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07239B" w14:textId="1E8BAA12" w:rsidR="0082667F" w:rsidRPr="009A0DA6" w:rsidRDefault="00AA4320" w:rsidP="0082667F">
      <w:pPr>
        <w:pStyle w:val="NoSpacing"/>
        <w:rPr>
          <w:sz w:val="40"/>
          <w:szCs w:val="40"/>
        </w:rPr>
      </w:pPr>
      <w:r>
        <w:rPr>
          <w:sz w:val="40"/>
          <w:szCs w:val="40"/>
        </w:rPr>
        <w:t>COVER</w:t>
      </w:r>
      <w:bookmarkStart w:id="0" w:name="_GoBack"/>
      <w:bookmarkEnd w:id="0"/>
      <w:r w:rsidR="0082667F" w:rsidRPr="009A0DA6">
        <w:rPr>
          <w:sz w:val="40"/>
          <w:szCs w:val="40"/>
        </w:rPr>
        <w:br w:type="page"/>
      </w:r>
    </w:p>
    <w:p w14:paraId="1E792405" w14:textId="01914A1A" w:rsidR="009A0DA6" w:rsidRPr="009A0DA6" w:rsidRDefault="009A0DA6" w:rsidP="0063233B">
      <w:pPr>
        <w:pStyle w:val="NoSpacing"/>
        <w:rPr>
          <w:sz w:val="40"/>
          <w:szCs w:val="40"/>
        </w:rPr>
      </w:pPr>
    </w:p>
    <w:p w14:paraId="3DD47201" w14:textId="7BD0FD49" w:rsidR="009A0DA6" w:rsidRPr="009A0DA6" w:rsidRDefault="009A0DA6" w:rsidP="0063233B">
      <w:pPr>
        <w:pStyle w:val="NoSpacing"/>
        <w:rPr>
          <w:sz w:val="40"/>
          <w:szCs w:val="40"/>
        </w:rPr>
      </w:pPr>
    </w:p>
    <w:p w14:paraId="1B91DB00" w14:textId="236B6003" w:rsidR="009A0DA6" w:rsidRPr="009A0DA6" w:rsidRDefault="009A0DA6" w:rsidP="0063233B">
      <w:pPr>
        <w:pStyle w:val="NoSpacing"/>
        <w:rPr>
          <w:sz w:val="40"/>
          <w:szCs w:val="40"/>
        </w:rPr>
      </w:pPr>
      <w:r w:rsidRPr="009A0DA6">
        <w:rPr>
          <w:noProof/>
          <w:sz w:val="40"/>
          <w:szCs w:val="40"/>
          <w:lang w:eastAsia="en-AU"/>
        </w:rPr>
        <w:drawing>
          <wp:inline distT="0" distB="0" distL="0" distR="0" wp14:anchorId="296AD509" wp14:editId="6A004260">
            <wp:extent cx="4552950" cy="2108866"/>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ynod Logo BLACK (Text Sid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62003" cy="2113059"/>
                    </a:xfrm>
                    <a:prstGeom prst="rect">
                      <a:avLst/>
                    </a:prstGeom>
                  </pic:spPr>
                </pic:pic>
              </a:graphicData>
            </a:graphic>
          </wp:inline>
        </w:drawing>
      </w:r>
    </w:p>
    <w:p w14:paraId="694F188C" w14:textId="761E3C86" w:rsidR="009A0DA6" w:rsidRPr="009A0DA6" w:rsidRDefault="009A0DA6" w:rsidP="0063233B">
      <w:pPr>
        <w:pStyle w:val="NoSpacing"/>
        <w:rPr>
          <w:sz w:val="40"/>
          <w:szCs w:val="40"/>
        </w:rPr>
      </w:pPr>
    </w:p>
    <w:p w14:paraId="0104CFCD" w14:textId="49FCA1AC" w:rsidR="009A0DA6" w:rsidRPr="009A0DA6" w:rsidRDefault="009A0DA6" w:rsidP="009A0DA6">
      <w:pPr>
        <w:pStyle w:val="NoSpacing"/>
        <w:tabs>
          <w:tab w:val="left" w:pos="2265"/>
        </w:tabs>
        <w:rPr>
          <w:sz w:val="40"/>
          <w:szCs w:val="40"/>
        </w:rPr>
      </w:pPr>
      <w:r>
        <w:rPr>
          <w:sz w:val="40"/>
          <w:szCs w:val="40"/>
        </w:rPr>
        <w:tab/>
      </w:r>
    </w:p>
    <w:p w14:paraId="400A872B" w14:textId="0B7D9131" w:rsidR="009A0DA6" w:rsidRDefault="009A0DA6" w:rsidP="008C2E06">
      <w:pPr>
        <w:pStyle w:val="NoSpacing"/>
        <w:ind w:right="1693"/>
      </w:pPr>
      <w:r w:rsidRPr="009A0DA6">
        <w:t>Our General Synod logo is inspired by the journey of the Israelites, recorded in the book of Exodus. With every step of faith they took towards freedom and future – through good times and bad, in obedience or rebellion – they were held safely in the hands of God. As are we.</w:t>
      </w:r>
    </w:p>
    <w:p w14:paraId="6B37AD56" w14:textId="01FD3B33" w:rsidR="008C2E06" w:rsidRDefault="008C2E06" w:rsidP="009A0DA6">
      <w:pPr>
        <w:pStyle w:val="NoSpacing"/>
      </w:pPr>
    </w:p>
    <w:p w14:paraId="00ABFE4E" w14:textId="7B212049" w:rsidR="009A61BA" w:rsidRDefault="009A61BA" w:rsidP="009A0DA6">
      <w:pPr>
        <w:pStyle w:val="NoSpacing"/>
        <w:rPr>
          <w:highlight w:val="yellow"/>
        </w:rPr>
        <w:sectPr w:rsidR="009A61BA" w:rsidSect="001B46FC">
          <w:footerReference w:type="default" r:id="rId13"/>
          <w:pgSz w:w="11900" w:h="16840" w:code="9"/>
          <w:pgMar w:top="1134" w:right="1701" w:bottom="1418" w:left="1418" w:header="709" w:footer="1004" w:gutter="0"/>
          <w:pgNumType w:start="21"/>
          <w:cols w:space="567"/>
        </w:sectPr>
      </w:pPr>
    </w:p>
    <w:p w14:paraId="7834D46D" w14:textId="4BEDCAB3" w:rsidR="000D28AC" w:rsidRPr="009A0DA6" w:rsidRDefault="000D28AC" w:rsidP="000D28AC">
      <w:pPr>
        <w:pStyle w:val="NoSpacing"/>
      </w:pPr>
      <w:r w:rsidRPr="009A0DA6">
        <w:rPr>
          <w:noProof/>
          <w:lang w:eastAsia="en-AU"/>
        </w:rPr>
        <w:lastRenderedPageBreak/>
        <w:drawing>
          <wp:inline distT="0" distB="0" distL="0" distR="0" wp14:anchorId="4E1963F3" wp14:editId="3F1C4D66">
            <wp:extent cx="2336630" cy="642710"/>
            <wp:effectExtent l="0" t="0" r="6985"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 Black.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35723" cy="642460"/>
                    </a:xfrm>
                    <a:prstGeom prst="rect">
                      <a:avLst/>
                    </a:prstGeom>
                  </pic:spPr>
                </pic:pic>
              </a:graphicData>
            </a:graphic>
          </wp:inline>
        </w:drawing>
      </w:r>
    </w:p>
    <w:p w14:paraId="1DC65C20" w14:textId="77777777" w:rsidR="000D28AC" w:rsidRPr="009A0DA6" w:rsidRDefault="000D28AC" w:rsidP="000D28AC">
      <w:pPr>
        <w:pStyle w:val="NoSpacing"/>
      </w:pPr>
    </w:p>
    <w:p w14:paraId="5DC8FB49" w14:textId="77777777" w:rsidR="000D28AC" w:rsidRPr="009A0DA6" w:rsidRDefault="000D28AC" w:rsidP="000D28AC">
      <w:pPr>
        <w:pStyle w:val="NoSpacing"/>
      </w:pPr>
    </w:p>
    <w:p w14:paraId="025CFA30" w14:textId="47D1AC00" w:rsidR="000D28AC" w:rsidRPr="00F81620" w:rsidRDefault="00F81620" w:rsidP="00F81620">
      <w:pPr>
        <w:pStyle w:val="NoSpacing"/>
        <w:rPr>
          <w:b/>
          <w:sz w:val="46"/>
          <w:szCs w:val="40"/>
        </w:rPr>
      </w:pPr>
      <w:r w:rsidRPr="00F81620">
        <w:rPr>
          <w:b/>
          <w:sz w:val="46"/>
          <w:szCs w:val="40"/>
        </w:rPr>
        <w:t>Nineteenth General Convention of Synod</w:t>
      </w:r>
    </w:p>
    <w:p w14:paraId="43F6AEAC" w14:textId="340CFA5C" w:rsidR="000D28AC" w:rsidRPr="00F81620" w:rsidRDefault="00F81620" w:rsidP="00F81620">
      <w:pPr>
        <w:pStyle w:val="NoSpacing"/>
        <w:rPr>
          <w:b/>
          <w:sz w:val="36"/>
          <w:szCs w:val="36"/>
        </w:rPr>
      </w:pPr>
      <w:r w:rsidRPr="00F81620">
        <w:rPr>
          <w:b/>
          <w:sz w:val="36"/>
          <w:szCs w:val="36"/>
        </w:rPr>
        <w:t>Rosehill, New South Wales</w:t>
      </w:r>
    </w:p>
    <w:p w14:paraId="6997CEE8" w14:textId="06B1F242" w:rsidR="000D28AC" w:rsidRPr="00F81620" w:rsidRDefault="00E72999" w:rsidP="00F81620">
      <w:pPr>
        <w:pStyle w:val="NoSpacing"/>
        <w:rPr>
          <w:b/>
          <w:sz w:val="36"/>
          <w:szCs w:val="36"/>
        </w:rPr>
      </w:pPr>
      <w:r>
        <w:rPr>
          <w:b/>
          <w:sz w:val="36"/>
          <w:szCs w:val="36"/>
        </w:rPr>
        <w:t>2–</w:t>
      </w:r>
      <w:r w:rsidR="00F81620" w:rsidRPr="00F81620">
        <w:rPr>
          <w:b/>
          <w:sz w:val="36"/>
          <w:szCs w:val="36"/>
        </w:rPr>
        <w:t>7 October 2018</w:t>
      </w:r>
    </w:p>
    <w:p w14:paraId="7FE983A0" w14:textId="77777777" w:rsidR="000D28AC" w:rsidRPr="009A0DA6" w:rsidRDefault="000D28AC" w:rsidP="000D28AC">
      <w:pPr>
        <w:pStyle w:val="NoSpacing"/>
      </w:pPr>
    </w:p>
    <w:p w14:paraId="0CB9720D" w14:textId="77777777" w:rsidR="00D02F1D" w:rsidRPr="009A0DA6" w:rsidRDefault="0037789C" w:rsidP="005D571C">
      <w:pPr>
        <w:pStyle w:val="Heading1"/>
      </w:pPr>
      <w:bookmarkStart w:id="1" w:name="_Toc521954579"/>
      <w:bookmarkStart w:id="2" w:name="_Toc522394945"/>
      <w:r w:rsidRPr="009A0DA6">
        <w:t>C</w:t>
      </w:r>
      <w:r w:rsidR="000D28AC" w:rsidRPr="009A0DA6">
        <w:t>ontents</w:t>
      </w:r>
      <w:bookmarkEnd w:id="1"/>
      <w:bookmarkEnd w:id="2"/>
    </w:p>
    <w:p w14:paraId="41592448" w14:textId="77777777" w:rsidR="000F6859" w:rsidRPr="009A0DA6" w:rsidRDefault="000F6859" w:rsidP="000F6859">
      <w:pPr>
        <w:pStyle w:val="NoSpacing"/>
      </w:pPr>
    </w:p>
    <w:tbl>
      <w:tblPr>
        <w:tblStyle w:val="PlainTable2"/>
        <w:tblW w:w="0" w:type="auto"/>
        <w:tblLayout w:type="fixed"/>
        <w:tblLook w:val="04A0" w:firstRow="1" w:lastRow="0" w:firstColumn="1" w:lastColumn="0" w:noHBand="0" w:noVBand="1"/>
      </w:tblPr>
      <w:tblGrid>
        <w:gridCol w:w="6946"/>
        <w:gridCol w:w="1134"/>
        <w:gridCol w:w="764"/>
      </w:tblGrid>
      <w:tr w:rsidR="00445FD0" w14:paraId="23EF2CA4" w14:textId="77777777" w:rsidTr="00445F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Borders>
              <w:top w:val="single" w:sz="4" w:space="0" w:color="7F7F7F" w:themeColor="text1" w:themeTint="80"/>
              <w:left w:val="nil"/>
              <w:right w:val="nil"/>
            </w:tcBorders>
            <w:shd w:val="clear" w:color="auto" w:fill="A6A6A6" w:themeFill="background1" w:themeFillShade="A6"/>
            <w:hideMark/>
          </w:tcPr>
          <w:p w14:paraId="7151EE27" w14:textId="77777777" w:rsidR="00445FD0" w:rsidRDefault="00445FD0">
            <w:pPr>
              <w:pStyle w:val="NoSpacing"/>
            </w:pPr>
            <w:r>
              <w:t>SUBJECT</w:t>
            </w:r>
          </w:p>
        </w:tc>
        <w:tc>
          <w:tcPr>
            <w:tcW w:w="1134" w:type="dxa"/>
            <w:tcBorders>
              <w:top w:val="single" w:sz="4" w:space="0" w:color="7F7F7F" w:themeColor="text1" w:themeTint="80"/>
              <w:left w:val="nil"/>
              <w:right w:val="nil"/>
            </w:tcBorders>
            <w:shd w:val="clear" w:color="auto" w:fill="A6A6A6" w:themeFill="background1" w:themeFillShade="A6"/>
            <w:vAlign w:val="bottom"/>
            <w:hideMark/>
          </w:tcPr>
          <w:p w14:paraId="6F2A4F7E" w14:textId="77777777" w:rsidR="00445FD0" w:rsidRDefault="00445FD0">
            <w:pPr>
              <w:pStyle w:val="NoSpacing"/>
              <w:cnfStyle w:val="100000000000" w:firstRow="1" w:lastRow="0" w:firstColumn="0" w:lastColumn="0" w:oddVBand="0" w:evenVBand="0" w:oddHBand="0" w:evenHBand="0" w:firstRowFirstColumn="0" w:firstRowLastColumn="0" w:lastRowFirstColumn="0" w:lastRowLastColumn="0"/>
            </w:pPr>
            <w:r>
              <w:t>AGENDA</w:t>
            </w:r>
          </w:p>
        </w:tc>
        <w:tc>
          <w:tcPr>
            <w:tcW w:w="764" w:type="dxa"/>
            <w:tcBorders>
              <w:top w:val="single" w:sz="4" w:space="0" w:color="7F7F7F" w:themeColor="text1" w:themeTint="80"/>
              <w:left w:val="nil"/>
              <w:right w:val="nil"/>
            </w:tcBorders>
            <w:shd w:val="clear" w:color="auto" w:fill="A6A6A6" w:themeFill="background1" w:themeFillShade="A6"/>
            <w:vAlign w:val="bottom"/>
            <w:hideMark/>
          </w:tcPr>
          <w:p w14:paraId="45388265" w14:textId="77777777" w:rsidR="00445FD0" w:rsidRDefault="00445FD0">
            <w:pPr>
              <w:pStyle w:val="NoSpacing"/>
              <w:jc w:val="right"/>
              <w:cnfStyle w:val="100000000000" w:firstRow="1" w:lastRow="0" w:firstColumn="0" w:lastColumn="0" w:oddVBand="0" w:evenVBand="0" w:oddHBand="0" w:evenHBand="0" w:firstRowFirstColumn="0" w:firstRowLastColumn="0" w:lastRowFirstColumn="0" w:lastRowLastColumn="0"/>
            </w:pPr>
            <w:r>
              <w:t>PAGE</w:t>
            </w:r>
          </w:p>
        </w:tc>
      </w:tr>
      <w:tr w:rsidR="00445FD0" w14:paraId="1FA17F06" w14:textId="77777777" w:rsidTr="00445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Borders>
              <w:left w:val="nil"/>
              <w:right w:val="nil"/>
            </w:tcBorders>
            <w:hideMark/>
          </w:tcPr>
          <w:p w14:paraId="29906227" w14:textId="77777777" w:rsidR="00445FD0" w:rsidRDefault="00445FD0">
            <w:pPr>
              <w:pStyle w:val="NoSpacing"/>
            </w:pPr>
            <w:r>
              <w:t>Excerpts from the constitution and by-laws</w:t>
            </w:r>
          </w:p>
        </w:tc>
        <w:tc>
          <w:tcPr>
            <w:tcW w:w="1134" w:type="dxa"/>
            <w:tcBorders>
              <w:left w:val="nil"/>
              <w:right w:val="nil"/>
            </w:tcBorders>
            <w:vAlign w:val="bottom"/>
          </w:tcPr>
          <w:p w14:paraId="23122C17" w14:textId="77777777" w:rsidR="00445FD0" w:rsidRDefault="00445FD0">
            <w:pPr>
              <w:pStyle w:val="NoSpacing"/>
              <w:cnfStyle w:val="000000100000" w:firstRow="0" w:lastRow="0" w:firstColumn="0" w:lastColumn="0" w:oddVBand="0" w:evenVBand="0" w:oddHBand="1" w:evenHBand="0" w:firstRowFirstColumn="0" w:firstRowLastColumn="0" w:lastRowFirstColumn="0" w:lastRowLastColumn="0"/>
            </w:pPr>
          </w:p>
        </w:tc>
        <w:tc>
          <w:tcPr>
            <w:tcW w:w="764" w:type="dxa"/>
            <w:tcBorders>
              <w:left w:val="nil"/>
              <w:right w:val="nil"/>
            </w:tcBorders>
            <w:vAlign w:val="bottom"/>
            <w:hideMark/>
          </w:tcPr>
          <w:p w14:paraId="0B32317F" w14:textId="77777777" w:rsidR="00445FD0" w:rsidRDefault="00445FD0">
            <w:pPr>
              <w:pStyle w:val="NoSpacing"/>
              <w:jc w:val="right"/>
              <w:cnfStyle w:val="000000100000" w:firstRow="0" w:lastRow="0" w:firstColumn="0" w:lastColumn="0" w:oddVBand="0" w:evenVBand="0" w:oddHBand="1" w:evenHBand="0" w:firstRowFirstColumn="0" w:firstRowLastColumn="0" w:lastRowFirstColumn="0" w:lastRowLastColumn="0"/>
            </w:pPr>
            <w:r>
              <w:t>1</w:t>
            </w:r>
          </w:p>
        </w:tc>
      </w:tr>
      <w:tr w:rsidR="00445FD0" w14:paraId="3AE052A5" w14:textId="77777777" w:rsidTr="00445FD0">
        <w:tc>
          <w:tcPr>
            <w:cnfStyle w:val="001000000000" w:firstRow="0" w:lastRow="0" w:firstColumn="1" w:lastColumn="0" w:oddVBand="0" w:evenVBand="0" w:oddHBand="0" w:evenHBand="0" w:firstRowFirstColumn="0" w:firstRowLastColumn="0" w:lastRowFirstColumn="0" w:lastRowLastColumn="0"/>
            <w:tcW w:w="6946" w:type="dxa"/>
            <w:tcBorders>
              <w:top w:val="nil"/>
              <w:left w:val="nil"/>
              <w:bottom w:val="nil"/>
              <w:right w:val="nil"/>
            </w:tcBorders>
            <w:hideMark/>
          </w:tcPr>
          <w:p w14:paraId="1192D144" w14:textId="77777777" w:rsidR="00445FD0" w:rsidRDefault="00445FD0">
            <w:pPr>
              <w:pStyle w:val="NoSpacing"/>
            </w:pPr>
            <w:r>
              <w:t>Draft schedule of Convention 2018</w:t>
            </w:r>
          </w:p>
        </w:tc>
        <w:tc>
          <w:tcPr>
            <w:tcW w:w="1134" w:type="dxa"/>
            <w:tcBorders>
              <w:top w:val="nil"/>
              <w:left w:val="nil"/>
              <w:bottom w:val="nil"/>
              <w:right w:val="nil"/>
            </w:tcBorders>
            <w:vAlign w:val="bottom"/>
          </w:tcPr>
          <w:p w14:paraId="4872C723" w14:textId="77777777" w:rsidR="00445FD0" w:rsidRDefault="00445FD0">
            <w:pPr>
              <w:pStyle w:val="NoSpacing"/>
              <w:cnfStyle w:val="000000000000" w:firstRow="0" w:lastRow="0" w:firstColumn="0" w:lastColumn="0" w:oddVBand="0" w:evenVBand="0" w:oddHBand="0" w:evenHBand="0" w:firstRowFirstColumn="0" w:firstRowLastColumn="0" w:lastRowFirstColumn="0" w:lastRowLastColumn="0"/>
            </w:pPr>
          </w:p>
        </w:tc>
        <w:tc>
          <w:tcPr>
            <w:tcW w:w="764" w:type="dxa"/>
            <w:tcBorders>
              <w:top w:val="nil"/>
              <w:left w:val="nil"/>
              <w:bottom w:val="nil"/>
              <w:right w:val="nil"/>
            </w:tcBorders>
            <w:vAlign w:val="bottom"/>
            <w:hideMark/>
          </w:tcPr>
          <w:p w14:paraId="764E74B6" w14:textId="77777777" w:rsidR="00445FD0" w:rsidRDefault="00445FD0">
            <w:pPr>
              <w:pStyle w:val="NoSpacing"/>
              <w:jc w:val="right"/>
              <w:cnfStyle w:val="000000000000" w:firstRow="0" w:lastRow="0" w:firstColumn="0" w:lastColumn="0" w:oddVBand="0" w:evenVBand="0" w:oddHBand="0" w:evenHBand="0" w:firstRowFirstColumn="0" w:firstRowLastColumn="0" w:lastRowFirstColumn="0" w:lastRowLastColumn="0"/>
            </w:pPr>
            <w:r>
              <w:t>7</w:t>
            </w:r>
          </w:p>
        </w:tc>
      </w:tr>
      <w:tr w:rsidR="00445FD0" w14:paraId="7454913E" w14:textId="77777777" w:rsidTr="00445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Borders>
              <w:left w:val="nil"/>
              <w:right w:val="nil"/>
            </w:tcBorders>
            <w:hideMark/>
          </w:tcPr>
          <w:p w14:paraId="4ACF4667" w14:textId="77777777" w:rsidR="00445FD0" w:rsidRDefault="00445FD0">
            <w:pPr>
              <w:pStyle w:val="NoSpacing"/>
            </w:pPr>
            <w:r>
              <w:t>Agenda</w:t>
            </w:r>
          </w:p>
        </w:tc>
        <w:tc>
          <w:tcPr>
            <w:tcW w:w="1134" w:type="dxa"/>
            <w:tcBorders>
              <w:left w:val="nil"/>
              <w:right w:val="nil"/>
            </w:tcBorders>
            <w:vAlign w:val="bottom"/>
          </w:tcPr>
          <w:p w14:paraId="0CCCBBAE" w14:textId="77777777" w:rsidR="00445FD0" w:rsidRDefault="00445FD0">
            <w:pPr>
              <w:pStyle w:val="NoSpacing"/>
              <w:cnfStyle w:val="000000100000" w:firstRow="0" w:lastRow="0" w:firstColumn="0" w:lastColumn="0" w:oddVBand="0" w:evenVBand="0" w:oddHBand="1" w:evenHBand="0" w:firstRowFirstColumn="0" w:firstRowLastColumn="0" w:lastRowFirstColumn="0" w:lastRowLastColumn="0"/>
            </w:pPr>
          </w:p>
        </w:tc>
        <w:tc>
          <w:tcPr>
            <w:tcW w:w="764" w:type="dxa"/>
            <w:tcBorders>
              <w:left w:val="nil"/>
              <w:right w:val="nil"/>
            </w:tcBorders>
            <w:vAlign w:val="bottom"/>
            <w:hideMark/>
          </w:tcPr>
          <w:p w14:paraId="2548C905" w14:textId="77777777" w:rsidR="00445FD0" w:rsidRDefault="00445FD0">
            <w:pPr>
              <w:pStyle w:val="NoSpacing"/>
              <w:jc w:val="right"/>
              <w:cnfStyle w:val="000000100000" w:firstRow="0" w:lastRow="0" w:firstColumn="0" w:lastColumn="0" w:oddVBand="0" w:evenVBand="0" w:oddHBand="1" w:evenHBand="0" w:firstRowFirstColumn="0" w:firstRowLastColumn="0" w:lastRowFirstColumn="0" w:lastRowLastColumn="0"/>
            </w:pPr>
            <w:r>
              <w:t>9</w:t>
            </w:r>
          </w:p>
        </w:tc>
      </w:tr>
      <w:tr w:rsidR="00445FD0" w14:paraId="5A122090" w14:textId="77777777" w:rsidTr="00445FD0">
        <w:tc>
          <w:tcPr>
            <w:cnfStyle w:val="001000000000" w:firstRow="0" w:lastRow="0" w:firstColumn="1" w:lastColumn="0" w:oddVBand="0" w:evenVBand="0" w:oddHBand="0" w:evenHBand="0" w:firstRowFirstColumn="0" w:firstRowLastColumn="0" w:lastRowFirstColumn="0" w:lastRowLastColumn="0"/>
            <w:tcW w:w="6946" w:type="dxa"/>
            <w:tcBorders>
              <w:top w:val="nil"/>
              <w:left w:val="nil"/>
              <w:bottom w:val="nil"/>
              <w:right w:val="nil"/>
            </w:tcBorders>
            <w:hideMark/>
          </w:tcPr>
          <w:p w14:paraId="6B54DBDA" w14:textId="77777777" w:rsidR="00445FD0" w:rsidRDefault="00445FD0">
            <w:pPr>
              <w:pStyle w:val="NoSpacing"/>
            </w:pPr>
            <w:r>
              <w:t>Proposals from LCA boards and commissions</w:t>
            </w:r>
          </w:p>
        </w:tc>
        <w:tc>
          <w:tcPr>
            <w:tcW w:w="1134" w:type="dxa"/>
            <w:tcBorders>
              <w:top w:val="nil"/>
              <w:left w:val="nil"/>
              <w:bottom w:val="nil"/>
              <w:right w:val="nil"/>
            </w:tcBorders>
            <w:vAlign w:val="bottom"/>
            <w:hideMark/>
          </w:tcPr>
          <w:p w14:paraId="31831C6D" w14:textId="77777777" w:rsidR="00445FD0" w:rsidRDefault="00445FD0">
            <w:pPr>
              <w:pStyle w:val="NoSpacing"/>
              <w:cnfStyle w:val="000000000000" w:firstRow="0" w:lastRow="0" w:firstColumn="0" w:lastColumn="0" w:oddVBand="0" w:evenVBand="0" w:oddHBand="0" w:evenHBand="0" w:firstRowFirstColumn="0" w:firstRowLastColumn="0" w:lastRowFirstColumn="0" w:lastRowLastColumn="0"/>
            </w:pPr>
            <w:r>
              <w:rPr>
                <w:b/>
              </w:rPr>
              <w:t>2.2</w:t>
            </w:r>
          </w:p>
        </w:tc>
        <w:tc>
          <w:tcPr>
            <w:tcW w:w="764" w:type="dxa"/>
            <w:tcBorders>
              <w:top w:val="nil"/>
              <w:left w:val="nil"/>
              <w:bottom w:val="nil"/>
              <w:right w:val="nil"/>
            </w:tcBorders>
            <w:vAlign w:val="bottom"/>
          </w:tcPr>
          <w:p w14:paraId="0DE66089" w14:textId="77777777" w:rsidR="00445FD0" w:rsidRDefault="00445FD0">
            <w:pPr>
              <w:pStyle w:val="NoSpacing"/>
              <w:jc w:val="right"/>
              <w:cnfStyle w:val="000000000000" w:firstRow="0" w:lastRow="0" w:firstColumn="0" w:lastColumn="0" w:oddVBand="0" w:evenVBand="0" w:oddHBand="0" w:evenHBand="0" w:firstRowFirstColumn="0" w:firstRowLastColumn="0" w:lastRowFirstColumn="0" w:lastRowLastColumn="0"/>
              <w:rPr>
                <w:b/>
              </w:rPr>
            </w:pPr>
          </w:p>
        </w:tc>
      </w:tr>
      <w:tr w:rsidR="00445FD0" w14:paraId="245000B0" w14:textId="77777777" w:rsidTr="00445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Borders>
              <w:left w:val="nil"/>
              <w:right w:val="nil"/>
            </w:tcBorders>
            <w:hideMark/>
          </w:tcPr>
          <w:p w14:paraId="04782861" w14:textId="77777777" w:rsidR="00445FD0" w:rsidRDefault="00445FD0">
            <w:pPr>
              <w:pStyle w:val="NoSpacing"/>
              <w:rPr>
                <w:b w:val="0"/>
              </w:rPr>
            </w:pPr>
            <w:r>
              <w:rPr>
                <w:b w:val="0"/>
              </w:rPr>
              <w:t>Governing bodies</w:t>
            </w:r>
          </w:p>
          <w:p w14:paraId="10B1D294" w14:textId="77777777" w:rsidR="00445FD0" w:rsidRDefault="00445FD0">
            <w:pPr>
              <w:pStyle w:val="NoSpacing"/>
              <w:ind w:left="321" w:hanging="321"/>
              <w:rPr>
                <w:b w:val="0"/>
                <w:i/>
                <w:sz w:val="18"/>
                <w:szCs w:val="18"/>
              </w:rPr>
            </w:pPr>
            <w:r>
              <w:rPr>
                <w:b w:val="0"/>
                <w:i/>
                <w:sz w:val="18"/>
                <w:szCs w:val="18"/>
              </w:rPr>
              <w:t xml:space="preserve">        General Church Council</w:t>
            </w:r>
          </w:p>
        </w:tc>
        <w:tc>
          <w:tcPr>
            <w:tcW w:w="1134" w:type="dxa"/>
            <w:tcBorders>
              <w:left w:val="nil"/>
              <w:right w:val="nil"/>
            </w:tcBorders>
            <w:vAlign w:val="bottom"/>
            <w:hideMark/>
          </w:tcPr>
          <w:p w14:paraId="10E83A3B" w14:textId="77777777" w:rsidR="00445FD0" w:rsidRDefault="00445FD0">
            <w:pPr>
              <w:pStyle w:val="NoSpacing"/>
              <w:cnfStyle w:val="000000100000" w:firstRow="0" w:lastRow="0" w:firstColumn="0" w:lastColumn="0" w:oddVBand="0" w:evenVBand="0" w:oddHBand="1" w:evenHBand="0" w:firstRowFirstColumn="0" w:firstRowLastColumn="0" w:lastRowFirstColumn="0" w:lastRowLastColumn="0"/>
              <w:rPr>
                <w:b/>
              </w:rPr>
            </w:pPr>
            <w:r>
              <w:t>2.2.1</w:t>
            </w:r>
          </w:p>
        </w:tc>
        <w:tc>
          <w:tcPr>
            <w:tcW w:w="764" w:type="dxa"/>
            <w:tcBorders>
              <w:left w:val="nil"/>
              <w:right w:val="nil"/>
            </w:tcBorders>
            <w:vAlign w:val="bottom"/>
            <w:hideMark/>
          </w:tcPr>
          <w:p w14:paraId="380EA155" w14:textId="77777777" w:rsidR="00445FD0" w:rsidRDefault="00445FD0">
            <w:pPr>
              <w:pStyle w:val="NoSpacing"/>
              <w:jc w:val="right"/>
              <w:cnfStyle w:val="000000100000" w:firstRow="0" w:lastRow="0" w:firstColumn="0" w:lastColumn="0" w:oddVBand="0" w:evenVBand="0" w:oddHBand="1" w:evenHBand="0" w:firstRowFirstColumn="0" w:firstRowLastColumn="0" w:lastRowFirstColumn="0" w:lastRowLastColumn="0"/>
            </w:pPr>
            <w:r>
              <w:t>95</w:t>
            </w:r>
          </w:p>
        </w:tc>
      </w:tr>
      <w:tr w:rsidR="00445FD0" w14:paraId="1392F41E" w14:textId="77777777" w:rsidTr="00445FD0">
        <w:tc>
          <w:tcPr>
            <w:cnfStyle w:val="001000000000" w:firstRow="0" w:lastRow="0" w:firstColumn="1" w:lastColumn="0" w:oddVBand="0" w:evenVBand="0" w:oddHBand="0" w:evenHBand="0" w:firstRowFirstColumn="0" w:firstRowLastColumn="0" w:lastRowFirstColumn="0" w:lastRowLastColumn="0"/>
            <w:tcW w:w="6946" w:type="dxa"/>
            <w:tcBorders>
              <w:top w:val="nil"/>
              <w:left w:val="nil"/>
              <w:bottom w:val="nil"/>
              <w:right w:val="nil"/>
            </w:tcBorders>
            <w:hideMark/>
          </w:tcPr>
          <w:p w14:paraId="2C372C5E" w14:textId="77777777" w:rsidR="00445FD0" w:rsidRDefault="00445FD0">
            <w:pPr>
              <w:pStyle w:val="NoSpacing"/>
              <w:rPr>
                <w:b w:val="0"/>
              </w:rPr>
            </w:pPr>
            <w:r>
              <w:rPr>
                <w:b w:val="0"/>
              </w:rPr>
              <w:t>National functions</w:t>
            </w:r>
          </w:p>
          <w:p w14:paraId="5BADD01D" w14:textId="77777777" w:rsidR="00445FD0" w:rsidRDefault="00445FD0">
            <w:pPr>
              <w:pStyle w:val="NoSpacing"/>
              <w:rPr>
                <w:b w:val="0"/>
              </w:rPr>
            </w:pPr>
            <w:r>
              <w:rPr>
                <w:b w:val="0"/>
                <w:i/>
                <w:sz w:val="18"/>
                <w:szCs w:val="18"/>
              </w:rPr>
              <w:t xml:space="preserve">        General Church Council</w:t>
            </w:r>
          </w:p>
        </w:tc>
        <w:tc>
          <w:tcPr>
            <w:tcW w:w="1134" w:type="dxa"/>
            <w:tcBorders>
              <w:top w:val="nil"/>
              <w:left w:val="nil"/>
              <w:bottom w:val="nil"/>
              <w:right w:val="nil"/>
            </w:tcBorders>
            <w:vAlign w:val="bottom"/>
            <w:hideMark/>
          </w:tcPr>
          <w:p w14:paraId="3615CAB1" w14:textId="77777777" w:rsidR="00445FD0" w:rsidRDefault="00445FD0">
            <w:pPr>
              <w:pStyle w:val="NoSpacing"/>
              <w:cnfStyle w:val="000000000000" w:firstRow="0" w:lastRow="0" w:firstColumn="0" w:lastColumn="0" w:oddVBand="0" w:evenVBand="0" w:oddHBand="0" w:evenHBand="0" w:firstRowFirstColumn="0" w:firstRowLastColumn="0" w:lastRowFirstColumn="0" w:lastRowLastColumn="0"/>
              <w:rPr>
                <w:b/>
              </w:rPr>
            </w:pPr>
            <w:r>
              <w:t>2.2.2</w:t>
            </w:r>
          </w:p>
        </w:tc>
        <w:tc>
          <w:tcPr>
            <w:tcW w:w="764" w:type="dxa"/>
            <w:tcBorders>
              <w:top w:val="nil"/>
              <w:left w:val="nil"/>
              <w:bottom w:val="nil"/>
              <w:right w:val="nil"/>
            </w:tcBorders>
            <w:vAlign w:val="bottom"/>
            <w:hideMark/>
          </w:tcPr>
          <w:p w14:paraId="7D0DC030" w14:textId="77777777" w:rsidR="00445FD0" w:rsidRDefault="00445FD0">
            <w:pPr>
              <w:pStyle w:val="NoSpacing"/>
              <w:jc w:val="right"/>
              <w:cnfStyle w:val="000000000000" w:firstRow="0" w:lastRow="0" w:firstColumn="0" w:lastColumn="0" w:oddVBand="0" w:evenVBand="0" w:oddHBand="0" w:evenHBand="0" w:firstRowFirstColumn="0" w:firstRowLastColumn="0" w:lastRowFirstColumn="0" w:lastRowLastColumn="0"/>
            </w:pPr>
            <w:r>
              <w:t>103</w:t>
            </w:r>
          </w:p>
        </w:tc>
      </w:tr>
      <w:tr w:rsidR="00445FD0" w14:paraId="1C80B9BF" w14:textId="77777777" w:rsidTr="00445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Borders>
              <w:left w:val="nil"/>
              <w:right w:val="nil"/>
            </w:tcBorders>
            <w:hideMark/>
          </w:tcPr>
          <w:p w14:paraId="07ABCDFC" w14:textId="77777777" w:rsidR="00445FD0" w:rsidRDefault="00445FD0">
            <w:pPr>
              <w:pStyle w:val="NoSpacing"/>
              <w:rPr>
                <w:b w:val="0"/>
              </w:rPr>
            </w:pPr>
            <w:r>
              <w:rPr>
                <w:b w:val="0"/>
              </w:rPr>
              <w:t>Ordination of women and men</w:t>
            </w:r>
          </w:p>
          <w:p w14:paraId="650A0108" w14:textId="77777777" w:rsidR="00445FD0" w:rsidRDefault="00445FD0">
            <w:pPr>
              <w:pStyle w:val="NoSpacing"/>
              <w:rPr>
                <w:b w:val="0"/>
              </w:rPr>
            </w:pPr>
            <w:r>
              <w:rPr>
                <w:b w:val="0"/>
                <w:i/>
                <w:sz w:val="18"/>
                <w:szCs w:val="18"/>
              </w:rPr>
              <w:t xml:space="preserve">        General Church Council</w:t>
            </w:r>
          </w:p>
        </w:tc>
        <w:tc>
          <w:tcPr>
            <w:tcW w:w="1134" w:type="dxa"/>
            <w:tcBorders>
              <w:left w:val="nil"/>
              <w:right w:val="nil"/>
            </w:tcBorders>
            <w:vAlign w:val="bottom"/>
            <w:hideMark/>
          </w:tcPr>
          <w:p w14:paraId="4BD66A7F" w14:textId="77777777" w:rsidR="00445FD0" w:rsidRDefault="00445FD0">
            <w:pPr>
              <w:pStyle w:val="NoSpacing"/>
              <w:cnfStyle w:val="000000100000" w:firstRow="0" w:lastRow="0" w:firstColumn="0" w:lastColumn="0" w:oddVBand="0" w:evenVBand="0" w:oddHBand="1" w:evenHBand="0" w:firstRowFirstColumn="0" w:firstRowLastColumn="0" w:lastRowFirstColumn="0" w:lastRowLastColumn="0"/>
              <w:rPr>
                <w:b/>
              </w:rPr>
            </w:pPr>
            <w:r>
              <w:t>2.2.3</w:t>
            </w:r>
          </w:p>
        </w:tc>
        <w:tc>
          <w:tcPr>
            <w:tcW w:w="764" w:type="dxa"/>
            <w:tcBorders>
              <w:left w:val="nil"/>
              <w:right w:val="nil"/>
            </w:tcBorders>
            <w:vAlign w:val="bottom"/>
            <w:hideMark/>
          </w:tcPr>
          <w:p w14:paraId="7BC054C3" w14:textId="77777777" w:rsidR="00445FD0" w:rsidRDefault="00445FD0">
            <w:pPr>
              <w:pStyle w:val="NoSpacing"/>
              <w:jc w:val="right"/>
              <w:cnfStyle w:val="000000100000" w:firstRow="0" w:lastRow="0" w:firstColumn="0" w:lastColumn="0" w:oddVBand="0" w:evenVBand="0" w:oddHBand="1" w:evenHBand="0" w:firstRowFirstColumn="0" w:firstRowLastColumn="0" w:lastRowFirstColumn="0" w:lastRowLastColumn="0"/>
            </w:pPr>
            <w:r>
              <w:t>116</w:t>
            </w:r>
          </w:p>
        </w:tc>
      </w:tr>
      <w:tr w:rsidR="00445FD0" w14:paraId="28E663AD" w14:textId="77777777" w:rsidTr="00445FD0">
        <w:tc>
          <w:tcPr>
            <w:cnfStyle w:val="001000000000" w:firstRow="0" w:lastRow="0" w:firstColumn="1" w:lastColumn="0" w:oddVBand="0" w:evenVBand="0" w:oddHBand="0" w:evenHBand="0" w:firstRowFirstColumn="0" w:firstRowLastColumn="0" w:lastRowFirstColumn="0" w:lastRowLastColumn="0"/>
            <w:tcW w:w="6946" w:type="dxa"/>
            <w:tcBorders>
              <w:top w:val="nil"/>
              <w:left w:val="nil"/>
              <w:bottom w:val="nil"/>
              <w:right w:val="nil"/>
            </w:tcBorders>
            <w:hideMark/>
          </w:tcPr>
          <w:p w14:paraId="1162A670" w14:textId="77777777" w:rsidR="00445FD0" w:rsidRDefault="00445FD0">
            <w:pPr>
              <w:pStyle w:val="NoSpacing"/>
              <w:rPr>
                <w:b w:val="0"/>
              </w:rPr>
            </w:pPr>
            <w:r>
              <w:rPr>
                <w:b w:val="0"/>
              </w:rPr>
              <w:t>The practice of holy communion and infants</w:t>
            </w:r>
          </w:p>
          <w:p w14:paraId="1097C632" w14:textId="77777777" w:rsidR="00445FD0" w:rsidRDefault="00445FD0">
            <w:pPr>
              <w:pStyle w:val="NoSpacing"/>
              <w:rPr>
                <w:b w:val="0"/>
              </w:rPr>
            </w:pPr>
            <w:r>
              <w:rPr>
                <w:b w:val="0"/>
                <w:i/>
                <w:sz w:val="18"/>
                <w:szCs w:val="18"/>
              </w:rPr>
              <w:t xml:space="preserve">        General Church Council</w:t>
            </w:r>
          </w:p>
        </w:tc>
        <w:tc>
          <w:tcPr>
            <w:tcW w:w="1134" w:type="dxa"/>
            <w:tcBorders>
              <w:top w:val="nil"/>
              <w:left w:val="nil"/>
              <w:bottom w:val="nil"/>
              <w:right w:val="nil"/>
            </w:tcBorders>
            <w:vAlign w:val="bottom"/>
            <w:hideMark/>
          </w:tcPr>
          <w:p w14:paraId="299B25C9" w14:textId="77777777" w:rsidR="00445FD0" w:rsidRDefault="00445FD0">
            <w:pPr>
              <w:pStyle w:val="NoSpacing"/>
              <w:cnfStyle w:val="000000000000" w:firstRow="0" w:lastRow="0" w:firstColumn="0" w:lastColumn="0" w:oddVBand="0" w:evenVBand="0" w:oddHBand="0" w:evenHBand="0" w:firstRowFirstColumn="0" w:firstRowLastColumn="0" w:lastRowFirstColumn="0" w:lastRowLastColumn="0"/>
              <w:rPr>
                <w:b/>
              </w:rPr>
            </w:pPr>
            <w:r>
              <w:t>2.2.4</w:t>
            </w:r>
          </w:p>
        </w:tc>
        <w:tc>
          <w:tcPr>
            <w:tcW w:w="764" w:type="dxa"/>
            <w:tcBorders>
              <w:top w:val="nil"/>
              <w:left w:val="nil"/>
              <w:bottom w:val="nil"/>
              <w:right w:val="nil"/>
            </w:tcBorders>
            <w:vAlign w:val="bottom"/>
            <w:hideMark/>
          </w:tcPr>
          <w:p w14:paraId="40055DA5" w14:textId="77777777" w:rsidR="00445FD0" w:rsidRDefault="00445FD0">
            <w:pPr>
              <w:pStyle w:val="NoSpacing"/>
              <w:jc w:val="right"/>
              <w:cnfStyle w:val="000000000000" w:firstRow="0" w:lastRow="0" w:firstColumn="0" w:lastColumn="0" w:oddVBand="0" w:evenVBand="0" w:oddHBand="0" w:evenHBand="0" w:firstRowFirstColumn="0" w:firstRowLastColumn="0" w:lastRowFirstColumn="0" w:lastRowLastColumn="0"/>
            </w:pPr>
            <w:r>
              <w:t>117</w:t>
            </w:r>
          </w:p>
        </w:tc>
      </w:tr>
      <w:tr w:rsidR="00445FD0" w14:paraId="4372C58E" w14:textId="77777777" w:rsidTr="00445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Borders>
              <w:left w:val="nil"/>
              <w:right w:val="nil"/>
            </w:tcBorders>
            <w:hideMark/>
          </w:tcPr>
          <w:p w14:paraId="298AAA6F" w14:textId="77777777" w:rsidR="00445FD0" w:rsidRDefault="00445FD0">
            <w:pPr>
              <w:pStyle w:val="NoSpacing"/>
              <w:rPr>
                <w:b w:val="0"/>
              </w:rPr>
            </w:pPr>
            <w:r>
              <w:rPr>
                <w:b w:val="0"/>
              </w:rPr>
              <w:t>Membership of both International Lutheran Council and Lutheran World Federation</w:t>
            </w:r>
          </w:p>
          <w:p w14:paraId="47B91BD9" w14:textId="77777777" w:rsidR="00445FD0" w:rsidRDefault="00445FD0">
            <w:pPr>
              <w:pStyle w:val="NoSpacing"/>
              <w:rPr>
                <w:b w:val="0"/>
              </w:rPr>
            </w:pPr>
            <w:r>
              <w:rPr>
                <w:b w:val="0"/>
                <w:i/>
                <w:sz w:val="18"/>
                <w:szCs w:val="18"/>
              </w:rPr>
              <w:t xml:space="preserve">        General Church Council</w:t>
            </w:r>
          </w:p>
        </w:tc>
        <w:tc>
          <w:tcPr>
            <w:tcW w:w="1134" w:type="dxa"/>
            <w:tcBorders>
              <w:left w:val="nil"/>
              <w:right w:val="nil"/>
            </w:tcBorders>
            <w:vAlign w:val="bottom"/>
            <w:hideMark/>
          </w:tcPr>
          <w:p w14:paraId="236E1E2A" w14:textId="77777777" w:rsidR="00445FD0" w:rsidRDefault="00445FD0">
            <w:pPr>
              <w:pStyle w:val="NoSpacing"/>
              <w:cnfStyle w:val="000000100000" w:firstRow="0" w:lastRow="0" w:firstColumn="0" w:lastColumn="0" w:oddVBand="0" w:evenVBand="0" w:oddHBand="1" w:evenHBand="0" w:firstRowFirstColumn="0" w:firstRowLastColumn="0" w:lastRowFirstColumn="0" w:lastRowLastColumn="0"/>
              <w:rPr>
                <w:b/>
              </w:rPr>
            </w:pPr>
            <w:r>
              <w:t>2.2.5</w:t>
            </w:r>
          </w:p>
        </w:tc>
        <w:tc>
          <w:tcPr>
            <w:tcW w:w="764" w:type="dxa"/>
            <w:tcBorders>
              <w:left w:val="nil"/>
              <w:right w:val="nil"/>
            </w:tcBorders>
            <w:vAlign w:val="bottom"/>
            <w:hideMark/>
          </w:tcPr>
          <w:p w14:paraId="5287EBED" w14:textId="77777777" w:rsidR="00445FD0" w:rsidRDefault="00445FD0">
            <w:pPr>
              <w:pStyle w:val="NoSpacing"/>
              <w:jc w:val="right"/>
              <w:cnfStyle w:val="000000100000" w:firstRow="0" w:lastRow="0" w:firstColumn="0" w:lastColumn="0" w:oddVBand="0" w:evenVBand="0" w:oddHBand="1" w:evenHBand="0" w:firstRowFirstColumn="0" w:firstRowLastColumn="0" w:lastRowFirstColumn="0" w:lastRowLastColumn="0"/>
            </w:pPr>
            <w:r>
              <w:t>118</w:t>
            </w:r>
          </w:p>
        </w:tc>
      </w:tr>
      <w:tr w:rsidR="00445FD0" w14:paraId="72652D6E" w14:textId="77777777" w:rsidTr="00445FD0">
        <w:tc>
          <w:tcPr>
            <w:cnfStyle w:val="001000000000" w:firstRow="0" w:lastRow="0" w:firstColumn="1" w:lastColumn="0" w:oddVBand="0" w:evenVBand="0" w:oddHBand="0" w:evenHBand="0" w:firstRowFirstColumn="0" w:firstRowLastColumn="0" w:lastRowFirstColumn="0" w:lastRowLastColumn="0"/>
            <w:tcW w:w="6946" w:type="dxa"/>
            <w:tcBorders>
              <w:top w:val="nil"/>
              <w:left w:val="nil"/>
              <w:bottom w:val="nil"/>
              <w:right w:val="nil"/>
            </w:tcBorders>
            <w:hideMark/>
          </w:tcPr>
          <w:p w14:paraId="2511A5FD" w14:textId="77777777" w:rsidR="00445FD0" w:rsidRDefault="00445FD0">
            <w:pPr>
              <w:pStyle w:val="NoSpacing"/>
              <w:rPr>
                <w:b w:val="0"/>
              </w:rPr>
            </w:pPr>
            <w:r>
              <w:rPr>
                <w:b w:val="0"/>
              </w:rPr>
              <w:t>Review of Professional Standards Department</w:t>
            </w:r>
          </w:p>
          <w:p w14:paraId="3119A6BD" w14:textId="77777777" w:rsidR="00445FD0" w:rsidRDefault="00445FD0">
            <w:pPr>
              <w:pStyle w:val="NoSpacing"/>
              <w:rPr>
                <w:b w:val="0"/>
              </w:rPr>
            </w:pPr>
            <w:r>
              <w:rPr>
                <w:b w:val="0"/>
                <w:i/>
                <w:sz w:val="18"/>
                <w:szCs w:val="18"/>
              </w:rPr>
              <w:t xml:space="preserve">        General Church Council</w:t>
            </w:r>
          </w:p>
        </w:tc>
        <w:tc>
          <w:tcPr>
            <w:tcW w:w="1134" w:type="dxa"/>
            <w:tcBorders>
              <w:top w:val="nil"/>
              <w:left w:val="nil"/>
              <w:bottom w:val="nil"/>
              <w:right w:val="nil"/>
            </w:tcBorders>
            <w:vAlign w:val="bottom"/>
            <w:hideMark/>
          </w:tcPr>
          <w:p w14:paraId="401E739B" w14:textId="77777777" w:rsidR="00445FD0" w:rsidRDefault="00445FD0">
            <w:pPr>
              <w:pStyle w:val="NoSpacing"/>
              <w:cnfStyle w:val="000000000000" w:firstRow="0" w:lastRow="0" w:firstColumn="0" w:lastColumn="0" w:oddVBand="0" w:evenVBand="0" w:oddHBand="0" w:evenHBand="0" w:firstRowFirstColumn="0" w:firstRowLastColumn="0" w:lastRowFirstColumn="0" w:lastRowLastColumn="0"/>
              <w:rPr>
                <w:b/>
              </w:rPr>
            </w:pPr>
            <w:r>
              <w:t>2.2.6</w:t>
            </w:r>
          </w:p>
        </w:tc>
        <w:tc>
          <w:tcPr>
            <w:tcW w:w="764" w:type="dxa"/>
            <w:tcBorders>
              <w:top w:val="nil"/>
              <w:left w:val="nil"/>
              <w:bottom w:val="nil"/>
              <w:right w:val="nil"/>
            </w:tcBorders>
            <w:vAlign w:val="bottom"/>
            <w:hideMark/>
          </w:tcPr>
          <w:p w14:paraId="6B45DE11" w14:textId="77777777" w:rsidR="00445FD0" w:rsidRDefault="00445FD0">
            <w:pPr>
              <w:pStyle w:val="NoSpacing"/>
              <w:jc w:val="right"/>
              <w:cnfStyle w:val="000000000000" w:firstRow="0" w:lastRow="0" w:firstColumn="0" w:lastColumn="0" w:oddVBand="0" w:evenVBand="0" w:oddHBand="0" w:evenHBand="0" w:firstRowFirstColumn="0" w:firstRowLastColumn="0" w:lastRowFirstColumn="0" w:lastRowLastColumn="0"/>
            </w:pPr>
            <w:r>
              <w:t>119</w:t>
            </w:r>
          </w:p>
        </w:tc>
      </w:tr>
      <w:tr w:rsidR="00445FD0" w14:paraId="5488BC8D" w14:textId="77777777" w:rsidTr="00445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Borders>
              <w:left w:val="nil"/>
              <w:right w:val="nil"/>
            </w:tcBorders>
            <w:hideMark/>
          </w:tcPr>
          <w:p w14:paraId="2E8CCD86" w14:textId="77777777" w:rsidR="00445FD0" w:rsidRDefault="00445FD0">
            <w:pPr>
              <w:pStyle w:val="NoSpacing"/>
              <w:rPr>
                <w:b w:val="0"/>
              </w:rPr>
            </w:pPr>
            <w:r>
              <w:rPr>
                <w:b w:val="0"/>
              </w:rPr>
              <w:t>Lutheran Education Australia review</w:t>
            </w:r>
          </w:p>
          <w:p w14:paraId="6AB54B32" w14:textId="77777777" w:rsidR="00445FD0" w:rsidRDefault="00445FD0">
            <w:pPr>
              <w:pStyle w:val="NoSpacing"/>
              <w:rPr>
                <w:b w:val="0"/>
              </w:rPr>
            </w:pPr>
            <w:r>
              <w:rPr>
                <w:b w:val="0"/>
                <w:i/>
                <w:sz w:val="18"/>
                <w:szCs w:val="18"/>
              </w:rPr>
              <w:t xml:space="preserve">        General Church Council</w:t>
            </w:r>
          </w:p>
        </w:tc>
        <w:tc>
          <w:tcPr>
            <w:tcW w:w="1134" w:type="dxa"/>
            <w:tcBorders>
              <w:left w:val="nil"/>
              <w:right w:val="nil"/>
            </w:tcBorders>
            <w:vAlign w:val="bottom"/>
            <w:hideMark/>
          </w:tcPr>
          <w:p w14:paraId="48129BE0" w14:textId="77777777" w:rsidR="00445FD0" w:rsidRDefault="00445FD0">
            <w:pPr>
              <w:pStyle w:val="NoSpacing"/>
              <w:cnfStyle w:val="000000100000" w:firstRow="0" w:lastRow="0" w:firstColumn="0" w:lastColumn="0" w:oddVBand="0" w:evenVBand="0" w:oddHBand="1" w:evenHBand="0" w:firstRowFirstColumn="0" w:firstRowLastColumn="0" w:lastRowFirstColumn="0" w:lastRowLastColumn="0"/>
              <w:rPr>
                <w:b/>
              </w:rPr>
            </w:pPr>
            <w:r>
              <w:t>2.2.7</w:t>
            </w:r>
          </w:p>
        </w:tc>
        <w:tc>
          <w:tcPr>
            <w:tcW w:w="764" w:type="dxa"/>
            <w:tcBorders>
              <w:left w:val="nil"/>
              <w:right w:val="nil"/>
            </w:tcBorders>
            <w:vAlign w:val="bottom"/>
            <w:hideMark/>
          </w:tcPr>
          <w:p w14:paraId="0CF2AAA2" w14:textId="77777777" w:rsidR="00445FD0" w:rsidRDefault="00445FD0">
            <w:pPr>
              <w:pStyle w:val="NoSpacing"/>
              <w:jc w:val="right"/>
              <w:cnfStyle w:val="000000100000" w:firstRow="0" w:lastRow="0" w:firstColumn="0" w:lastColumn="0" w:oddVBand="0" w:evenVBand="0" w:oddHBand="1" w:evenHBand="0" w:firstRowFirstColumn="0" w:firstRowLastColumn="0" w:lastRowFirstColumn="0" w:lastRowLastColumn="0"/>
            </w:pPr>
            <w:r>
              <w:t>119</w:t>
            </w:r>
          </w:p>
        </w:tc>
      </w:tr>
      <w:tr w:rsidR="00445FD0" w14:paraId="388AC77E" w14:textId="77777777" w:rsidTr="00445FD0">
        <w:tc>
          <w:tcPr>
            <w:cnfStyle w:val="001000000000" w:firstRow="0" w:lastRow="0" w:firstColumn="1" w:lastColumn="0" w:oddVBand="0" w:evenVBand="0" w:oddHBand="0" w:evenHBand="0" w:firstRowFirstColumn="0" w:firstRowLastColumn="0" w:lastRowFirstColumn="0" w:lastRowLastColumn="0"/>
            <w:tcW w:w="6946" w:type="dxa"/>
            <w:tcBorders>
              <w:top w:val="nil"/>
              <w:left w:val="nil"/>
              <w:bottom w:val="nil"/>
              <w:right w:val="nil"/>
            </w:tcBorders>
            <w:hideMark/>
          </w:tcPr>
          <w:p w14:paraId="1CB653CD" w14:textId="77777777" w:rsidR="00445FD0" w:rsidRDefault="00445FD0">
            <w:pPr>
              <w:pStyle w:val="NoSpacing"/>
              <w:rPr>
                <w:b w:val="0"/>
              </w:rPr>
            </w:pPr>
            <w:r>
              <w:rPr>
                <w:b w:val="0"/>
              </w:rPr>
              <w:t>Reconciliation Action Plan</w:t>
            </w:r>
          </w:p>
          <w:p w14:paraId="19B9AC80" w14:textId="77777777" w:rsidR="00445FD0" w:rsidRDefault="00445FD0">
            <w:pPr>
              <w:pStyle w:val="NoSpacing"/>
              <w:rPr>
                <w:b w:val="0"/>
              </w:rPr>
            </w:pPr>
            <w:r>
              <w:rPr>
                <w:b w:val="0"/>
                <w:i/>
                <w:sz w:val="18"/>
                <w:szCs w:val="18"/>
              </w:rPr>
              <w:t xml:space="preserve">        General Church Council</w:t>
            </w:r>
          </w:p>
        </w:tc>
        <w:tc>
          <w:tcPr>
            <w:tcW w:w="1134" w:type="dxa"/>
            <w:tcBorders>
              <w:top w:val="nil"/>
              <w:left w:val="nil"/>
              <w:bottom w:val="nil"/>
              <w:right w:val="nil"/>
            </w:tcBorders>
            <w:vAlign w:val="bottom"/>
            <w:hideMark/>
          </w:tcPr>
          <w:p w14:paraId="031B79DA" w14:textId="77777777" w:rsidR="00445FD0" w:rsidRDefault="00445FD0">
            <w:pPr>
              <w:pStyle w:val="NoSpacing"/>
              <w:cnfStyle w:val="000000000000" w:firstRow="0" w:lastRow="0" w:firstColumn="0" w:lastColumn="0" w:oddVBand="0" w:evenVBand="0" w:oddHBand="0" w:evenHBand="0" w:firstRowFirstColumn="0" w:firstRowLastColumn="0" w:lastRowFirstColumn="0" w:lastRowLastColumn="0"/>
              <w:rPr>
                <w:b/>
              </w:rPr>
            </w:pPr>
            <w:r>
              <w:t>2.2.8</w:t>
            </w:r>
          </w:p>
        </w:tc>
        <w:tc>
          <w:tcPr>
            <w:tcW w:w="764" w:type="dxa"/>
            <w:tcBorders>
              <w:top w:val="nil"/>
              <w:left w:val="nil"/>
              <w:bottom w:val="nil"/>
              <w:right w:val="nil"/>
            </w:tcBorders>
            <w:vAlign w:val="bottom"/>
            <w:hideMark/>
          </w:tcPr>
          <w:p w14:paraId="501E6162" w14:textId="77777777" w:rsidR="00445FD0" w:rsidRDefault="00445FD0">
            <w:pPr>
              <w:pStyle w:val="NoSpacing"/>
              <w:jc w:val="right"/>
              <w:cnfStyle w:val="000000000000" w:firstRow="0" w:lastRow="0" w:firstColumn="0" w:lastColumn="0" w:oddVBand="0" w:evenVBand="0" w:oddHBand="0" w:evenHBand="0" w:firstRowFirstColumn="0" w:firstRowLastColumn="0" w:lastRowFirstColumn="0" w:lastRowLastColumn="0"/>
            </w:pPr>
            <w:r>
              <w:t>122</w:t>
            </w:r>
          </w:p>
        </w:tc>
      </w:tr>
      <w:tr w:rsidR="00445FD0" w14:paraId="19DB7677" w14:textId="77777777" w:rsidTr="00445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Borders>
              <w:left w:val="nil"/>
              <w:right w:val="nil"/>
            </w:tcBorders>
            <w:hideMark/>
          </w:tcPr>
          <w:p w14:paraId="3F1403EA" w14:textId="77777777" w:rsidR="00445FD0" w:rsidRDefault="00445FD0">
            <w:pPr>
              <w:pStyle w:val="NoSpacing"/>
              <w:rPr>
                <w:b w:val="0"/>
              </w:rPr>
            </w:pPr>
            <w:r>
              <w:rPr>
                <w:b w:val="0"/>
              </w:rPr>
              <w:t>Our Direction 2018 – 2024</w:t>
            </w:r>
          </w:p>
          <w:p w14:paraId="7DE70B5C" w14:textId="77777777" w:rsidR="00445FD0" w:rsidRDefault="00445FD0">
            <w:pPr>
              <w:pStyle w:val="NoSpacing"/>
              <w:rPr>
                <w:b w:val="0"/>
              </w:rPr>
            </w:pPr>
            <w:r>
              <w:rPr>
                <w:b w:val="0"/>
                <w:i/>
                <w:sz w:val="18"/>
                <w:szCs w:val="18"/>
              </w:rPr>
              <w:t xml:space="preserve">        General Church Council</w:t>
            </w:r>
          </w:p>
        </w:tc>
        <w:tc>
          <w:tcPr>
            <w:tcW w:w="1134" w:type="dxa"/>
            <w:tcBorders>
              <w:left w:val="nil"/>
              <w:right w:val="nil"/>
            </w:tcBorders>
            <w:vAlign w:val="bottom"/>
            <w:hideMark/>
          </w:tcPr>
          <w:p w14:paraId="23ABC315" w14:textId="77777777" w:rsidR="00445FD0" w:rsidRDefault="00445FD0">
            <w:pPr>
              <w:pStyle w:val="NoSpacing"/>
              <w:cnfStyle w:val="000000100000" w:firstRow="0" w:lastRow="0" w:firstColumn="0" w:lastColumn="0" w:oddVBand="0" w:evenVBand="0" w:oddHBand="1" w:evenHBand="0" w:firstRowFirstColumn="0" w:firstRowLastColumn="0" w:lastRowFirstColumn="0" w:lastRowLastColumn="0"/>
              <w:rPr>
                <w:b/>
              </w:rPr>
            </w:pPr>
            <w:r>
              <w:t>2.2.9</w:t>
            </w:r>
          </w:p>
        </w:tc>
        <w:tc>
          <w:tcPr>
            <w:tcW w:w="764" w:type="dxa"/>
            <w:tcBorders>
              <w:left w:val="nil"/>
              <w:right w:val="nil"/>
            </w:tcBorders>
            <w:vAlign w:val="bottom"/>
            <w:hideMark/>
          </w:tcPr>
          <w:p w14:paraId="0F67BD72" w14:textId="77777777" w:rsidR="00445FD0" w:rsidRDefault="00445FD0">
            <w:pPr>
              <w:pStyle w:val="NoSpacing"/>
              <w:jc w:val="right"/>
              <w:cnfStyle w:val="000000100000" w:firstRow="0" w:lastRow="0" w:firstColumn="0" w:lastColumn="0" w:oddVBand="0" w:evenVBand="0" w:oddHBand="1" w:evenHBand="0" w:firstRowFirstColumn="0" w:firstRowLastColumn="0" w:lastRowFirstColumn="0" w:lastRowLastColumn="0"/>
            </w:pPr>
            <w:r>
              <w:t>127</w:t>
            </w:r>
          </w:p>
        </w:tc>
      </w:tr>
      <w:tr w:rsidR="00445FD0" w14:paraId="027DC661" w14:textId="77777777" w:rsidTr="00445FD0">
        <w:tc>
          <w:tcPr>
            <w:cnfStyle w:val="001000000000" w:firstRow="0" w:lastRow="0" w:firstColumn="1" w:lastColumn="0" w:oddVBand="0" w:evenVBand="0" w:oddHBand="0" w:evenHBand="0" w:firstRowFirstColumn="0" w:firstRowLastColumn="0" w:lastRowFirstColumn="0" w:lastRowLastColumn="0"/>
            <w:tcW w:w="6946" w:type="dxa"/>
            <w:tcBorders>
              <w:top w:val="nil"/>
              <w:left w:val="nil"/>
              <w:bottom w:val="nil"/>
              <w:right w:val="nil"/>
            </w:tcBorders>
            <w:hideMark/>
          </w:tcPr>
          <w:p w14:paraId="135C619D" w14:textId="77777777" w:rsidR="00445FD0" w:rsidRDefault="00445FD0">
            <w:pPr>
              <w:pStyle w:val="NoSpacing"/>
              <w:rPr>
                <w:b w:val="0"/>
              </w:rPr>
            </w:pPr>
            <w:r>
              <w:rPr>
                <w:b w:val="0"/>
              </w:rPr>
              <w:t>Establishment of Lutheran Earth Care Australia and New Zealand</w:t>
            </w:r>
          </w:p>
          <w:p w14:paraId="5A198838" w14:textId="77777777" w:rsidR="00445FD0" w:rsidRDefault="00445FD0">
            <w:pPr>
              <w:pStyle w:val="NoSpacing"/>
              <w:rPr>
                <w:b w:val="0"/>
              </w:rPr>
            </w:pPr>
            <w:r>
              <w:rPr>
                <w:b w:val="0"/>
                <w:i/>
              </w:rPr>
              <w:t xml:space="preserve">      </w:t>
            </w:r>
            <w:r>
              <w:rPr>
                <w:b w:val="0"/>
                <w:i/>
                <w:sz w:val="18"/>
              </w:rPr>
              <w:t xml:space="preserve">Commission on Social and Bioethical Questions, Lutheran Education Australia and </w:t>
            </w:r>
            <w:r>
              <w:rPr>
                <w:b w:val="0"/>
                <w:i/>
                <w:sz w:val="18"/>
              </w:rPr>
              <w:br/>
              <w:t xml:space="preserve">       Australian Lutheran World Service</w:t>
            </w:r>
          </w:p>
        </w:tc>
        <w:tc>
          <w:tcPr>
            <w:tcW w:w="1134" w:type="dxa"/>
            <w:tcBorders>
              <w:top w:val="nil"/>
              <w:left w:val="nil"/>
              <w:bottom w:val="nil"/>
              <w:right w:val="nil"/>
            </w:tcBorders>
            <w:vAlign w:val="bottom"/>
            <w:hideMark/>
          </w:tcPr>
          <w:p w14:paraId="208BB16D" w14:textId="77777777" w:rsidR="00445FD0" w:rsidRDefault="00445FD0">
            <w:pPr>
              <w:pStyle w:val="NoSpacing"/>
              <w:cnfStyle w:val="000000000000" w:firstRow="0" w:lastRow="0" w:firstColumn="0" w:lastColumn="0" w:oddVBand="0" w:evenVBand="0" w:oddHBand="0" w:evenHBand="0" w:firstRowFirstColumn="0" w:firstRowLastColumn="0" w:lastRowFirstColumn="0" w:lastRowLastColumn="0"/>
              <w:rPr>
                <w:b/>
              </w:rPr>
            </w:pPr>
            <w:r>
              <w:t>2.2.10</w:t>
            </w:r>
          </w:p>
        </w:tc>
        <w:tc>
          <w:tcPr>
            <w:tcW w:w="764" w:type="dxa"/>
            <w:tcBorders>
              <w:top w:val="nil"/>
              <w:left w:val="nil"/>
              <w:bottom w:val="nil"/>
              <w:right w:val="nil"/>
            </w:tcBorders>
            <w:vAlign w:val="bottom"/>
            <w:hideMark/>
          </w:tcPr>
          <w:p w14:paraId="2A225759" w14:textId="77777777" w:rsidR="00445FD0" w:rsidRDefault="00445FD0">
            <w:pPr>
              <w:pStyle w:val="NoSpacing"/>
              <w:jc w:val="right"/>
              <w:cnfStyle w:val="000000000000" w:firstRow="0" w:lastRow="0" w:firstColumn="0" w:lastColumn="0" w:oddVBand="0" w:evenVBand="0" w:oddHBand="0" w:evenHBand="0" w:firstRowFirstColumn="0" w:firstRowLastColumn="0" w:lastRowFirstColumn="0" w:lastRowLastColumn="0"/>
            </w:pPr>
            <w:r>
              <w:t>129</w:t>
            </w:r>
          </w:p>
        </w:tc>
      </w:tr>
      <w:tr w:rsidR="00445FD0" w14:paraId="75CD9F28" w14:textId="77777777" w:rsidTr="00445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Borders>
              <w:left w:val="nil"/>
              <w:right w:val="nil"/>
            </w:tcBorders>
            <w:hideMark/>
          </w:tcPr>
          <w:p w14:paraId="2E3030EF" w14:textId="77777777" w:rsidR="00445FD0" w:rsidRDefault="00445FD0">
            <w:pPr>
              <w:pStyle w:val="NoSpacing"/>
              <w:rPr>
                <w:b w:val="0"/>
              </w:rPr>
            </w:pPr>
            <w:r>
              <w:rPr>
                <w:b w:val="0"/>
              </w:rPr>
              <w:t>LCA committees and commissions to have one member under 30 by 2022</w:t>
            </w:r>
          </w:p>
          <w:p w14:paraId="09D2156D" w14:textId="77777777" w:rsidR="00445FD0" w:rsidRDefault="00445FD0">
            <w:pPr>
              <w:pStyle w:val="NoSpacing"/>
              <w:rPr>
                <w:b w:val="0"/>
              </w:rPr>
            </w:pPr>
            <w:r>
              <w:rPr>
                <w:b w:val="0"/>
                <w:i/>
                <w:sz w:val="18"/>
                <w:szCs w:val="18"/>
              </w:rPr>
              <w:t xml:space="preserve">        Committee for Children, Youth and Family Ministry and Standing Committee on</w:t>
            </w:r>
            <w:r>
              <w:rPr>
                <w:b w:val="0"/>
                <w:i/>
                <w:sz w:val="18"/>
                <w:szCs w:val="18"/>
              </w:rPr>
              <w:br/>
              <w:t xml:space="preserve">        Nominations</w:t>
            </w:r>
          </w:p>
        </w:tc>
        <w:tc>
          <w:tcPr>
            <w:tcW w:w="1134" w:type="dxa"/>
            <w:tcBorders>
              <w:left w:val="nil"/>
              <w:right w:val="nil"/>
            </w:tcBorders>
            <w:vAlign w:val="bottom"/>
            <w:hideMark/>
          </w:tcPr>
          <w:p w14:paraId="5B8C9D7C" w14:textId="77777777" w:rsidR="00445FD0" w:rsidRDefault="00445FD0">
            <w:pPr>
              <w:pStyle w:val="NoSpacing"/>
              <w:cnfStyle w:val="000000100000" w:firstRow="0" w:lastRow="0" w:firstColumn="0" w:lastColumn="0" w:oddVBand="0" w:evenVBand="0" w:oddHBand="1" w:evenHBand="0" w:firstRowFirstColumn="0" w:firstRowLastColumn="0" w:lastRowFirstColumn="0" w:lastRowLastColumn="0"/>
              <w:rPr>
                <w:b/>
              </w:rPr>
            </w:pPr>
            <w:r>
              <w:t>2.2.11</w:t>
            </w:r>
          </w:p>
        </w:tc>
        <w:tc>
          <w:tcPr>
            <w:tcW w:w="764" w:type="dxa"/>
            <w:tcBorders>
              <w:left w:val="nil"/>
              <w:right w:val="nil"/>
            </w:tcBorders>
            <w:vAlign w:val="bottom"/>
            <w:hideMark/>
          </w:tcPr>
          <w:p w14:paraId="3C82824D" w14:textId="77777777" w:rsidR="00445FD0" w:rsidRDefault="00445FD0">
            <w:pPr>
              <w:pStyle w:val="NoSpacing"/>
              <w:jc w:val="right"/>
              <w:cnfStyle w:val="000000100000" w:firstRow="0" w:lastRow="0" w:firstColumn="0" w:lastColumn="0" w:oddVBand="0" w:evenVBand="0" w:oddHBand="1" w:evenHBand="0" w:firstRowFirstColumn="0" w:firstRowLastColumn="0" w:lastRowFirstColumn="0" w:lastRowLastColumn="0"/>
            </w:pPr>
            <w:r>
              <w:t>130</w:t>
            </w:r>
          </w:p>
        </w:tc>
      </w:tr>
      <w:tr w:rsidR="00445FD0" w14:paraId="0572ECC7" w14:textId="77777777" w:rsidTr="00445FD0">
        <w:tc>
          <w:tcPr>
            <w:cnfStyle w:val="001000000000" w:firstRow="0" w:lastRow="0" w:firstColumn="1" w:lastColumn="0" w:oddVBand="0" w:evenVBand="0" w:oddHBand="0" w:evenHBand="0" w:firstRowFirstColumn="0" w:firstRowLastColumn="0" w:lastRowFirstColumn="0" w:lastRowLastColumn="0"/>
            <w:tcW w:w="6946" w:type="dxa"/>
            <w:tcBorders>
              <w:top w:val="nil"/>
              <w:left w:val="nil"/>
              <w:bottom w:val="nil"/>
              <w:right w:val="nil"/>
            </w:tcBorders>
            <w:hideMark/>
          </w:tcPr>
          <w:p w14:paraId="6C5FC3E7" w14:textId="77777777" w:rsidR="00445FD0" w:rsidRDefault="00445FD0">
            <w:pPr>
              <w:pStyle w:val="NoSpacing"/>
              <w:rPr>
                <w:b w:val="0"/>
              </w:rPr>
            </w:pPr>
            <w:r>
              <w:rPr>
                <w:b w:val="0"/>
              </w:rPr>
              <w:t>Australian Lutheran World Service: Appointment of auditor</w:t>
            </w:r>
          </w:p>
          <w:p w14:paraId="30EB7738" w14:textId="77777777" w:rsidR="00445FD0" w:rsidRDefault="00445FD0">
            <w:pPr>
              <w:pStyle w:val="NoSpacing"/>
              <w:rPr>
                <w:b w:val="0"/>
              </w:rPr>
            </w:pPr>
            <w:r>
              <w:rPr>
                <w:b w:val="0"/>
                <w:i/>
                <w:sz w:val="18"/>
                <w:szCs w:val="18"/>
              </w:rPr>
              <w:t xml:space="preserve">        Australian Lutheran World Service</w:t>
            </w:r>
          </w:p>
        </w:tc>
        <w:tc>
          <w:tcPr>
            <w:tcW w:w="1134" w:type="dxa"/>
            <w:tcBorders>
              <w:top w:val="nil"/>
              <w:left w:val="nil"/>
              <w:bottom w:val="nil"/>
              <w:right w:val="nil"/>
            </w:tcBorders>
            <w:vAlign w:val="bottom"/>
            <w:hideMark/>
          </w:tcPr>
          <w:p w14:paraId="54497463" w14:textId="77777777" w:rsidR="00445FD0" w:rsidRDefault="00445FD0">
            <w:pPr>
              <w:pStyle w:val="NoSpacing"/>
              <w:cnfStyle w:val="000000000000" w:firstRow="0" w:lastRow="0" w:firstColumn="0" w:lastColumn="0" w:oddVBand="0" w:evenVBand="0" w:oddHBand="0" w:evenHBand="0" w:firstRowFirstColumn="0" w:firstRowLastColumn="0" w:lastRowFirstColumn="0" w:lastRowLastColumn="0"/>
              <w:rPr>
                <w:b/>
              </w:rPr>
            </w:pPr>
            <w:r>
              <w:t>2.2.12</w:t>
            </w:r>
          </w:p>
        </w:tc>
        <w:tc>
          <w:tcPr>
            <w:tcW w:w="764" w:type="dxa"/>
            <w:tcBorders>
              <w:top w:val="nil"/>
              <w:left w:val="nil"/>
              <w:bottom w:val="nil"/>
              <w:right w:val="nil"/>
            </w:tcBorders>
            <w:vAlign w:val="bottom"/>
            <w:hideMark/>
          </w:tcPr>
          <w:p w14:paraId="2102DA06" w14:textId="77777777" w:rsidR="00445FD0" w:rsidRDefault="00445FD0">
            <w:pPr>
              <w:pStyle w:val="NoSpacing"/>
              <w:jc w:val="right"/>
              <w:cnfStyle w:val="000000000000" w:firstRow="0" w:lastRow="0" w:firstColumn="0" w:lastColumn="0" w:oddVBand="0" w:evenVBand="0" w:oddHBand="0" w:evenHBand="0" w:firstRowFirstColumn="0" w:firstRowLastColumn="0" w:lastRowFirstColumn="0" w:lastRowLastColumn="0"/>
            </w:pPr>
            <w:r>
              <w:t>131</w:t>
            </w:r>
          </w:p>
        </w:tc>
      </w:tr>
      <w:tr w:rsidR="00445FD0" w14:paraId="4AF723EC" w14:textId="77777777" w:rsidTr="00445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Borders>
              <w:left w:val="nil"/>
              <w:right w:val="nil"/>
            </w:tcBorders>
            <w:hideMark/>
          </w:tcPr>
          <w:p w14:paraId="24F2448B" w14:textId="77777777" w:rsidR="00445FD0" w:rsidRDefault="00445FD0">
            <w:pPr>
              <w:pStyle w:val="NoSpacing"/>
              <w:rPr>
                <w:b w:val="0"/>
              </w:rPr>
            </w:pPr>
            <w:r>
              <w:rPr>
                <w:b w:val="0"/>
              </w:rPr>
              <w:t>Introduction of Christian Care Sunday</w:t>
            </w:r>
          </w:p>
          <w:p w14:paraId="7D3C4F73" w14:textId="77777777" w:rsidR="00445FD0" w:rsidRDefault="00445FD0">
            <w:pPr>
              <w:pStyle w:val="NoSpacing"/>
              <w:rPr>
                <w:b w:val="0"/>
              </w:rPr>
            </w:pPr>
            <w:r>
              <w:rPr>
                <w:b w:val="0"/>
                <w:i/>
                <w:sz w:val="18"/>
                <w:szCs w:val="18"/>
              </w:rPr>
              <w:t xml:space="preserve">        Board for Local Mission</w:t>
            </w:r>
          </w:p>
        </w:tc>
        <w:tc>
          <w:tcPr>
            <w:tcW w:w="1134" w:type="dxa"/>
            <w:tcBorders>
              <w:left w:val="nil"/>
              <w:right w:val="nil"/>
            </w:tcBorders>
            <w:vAlign w:val="bottom"/>
            <w:hideMark/>
          </w:tcPr>
          <w:p w14:paraId="0DC0EF82" w14:textId="77777777" w:rsidR="00445FD0" w:rsidRDefault="00445FD0">
            <w:pPr>
              <w:pStyle w:val="NoSpacing"/>
              <w:cnfStyle w:val="000000100000" w:firstRow="0" w:lastRow="0" w:firstColumn="0" w:lastColumn="0" w:oddVBand="0" w:evenVBand="0" w:oddHBand="1" w:evenHBand="0" w:firstRowFirstColumn="0" w:firstRowLastColumn="0" w:lastRowFirstColumn="0" w:lastRowLastColumn="0"/>
              <w:rPr>
                <w:b/>
              </w:rPr>
            </w:pPr>
            <w:r>
              <w:t>2.2.13</w:t>
            </w:r>
          </w:p>
        </w:tc>
        <w:tc>
          <w:tcPr>
            <w:tcW w:w="764" w:type="dxa"/>
            <w:tcBorders>
              <w:left w:val="nil"/>
              <w:right w:val="nil"/>
            </w:tcBorders>
            <w:vAlign w:val="bottom"/>
            <w:hideMark/>
          </w:tcPr>
          <w:p w14:paraId="3DB1041A" w14:textId="77777777" w:rsidR="00445FD0" w:rsidRDefault="00445FD0">
            <w:pPr>
              <w:pStyle w:val="NoSpacing"/>
              <w:jc w:val="right"/>
              <w:cnfStyle w:val="000000100000" w:firstRow="0" w:lastRow="0" w:firstColumn="0" w:lastColumn="0" w:oddVBand="0" w:evenVBand="0" w:oddHBand="1" w:evenHBand="0" w:firstRowFirstColumn="0" w:firstRowLastColumn="0" w:lastRowFirstColumn="0" w:lastRowLastColumn="0"/>
            </w:pPr>
            <w:r>
              <w:t>132</w:t>
            </w:r>
          </w:p>
        </w:tc>
      </w:tr>
      <w:tr w:rsidR="00445FD0" w14:paraId="389A77EB" w14:textId="77777777" w:rsidTr="00445FD0">
        <w:tc>
          <w:tcPr>
            <w:cnfStyle w:val="001000000000" w:firstRow="0" w:lastRow="0" w:firstColumn="1" w:lastColumn="0" w:oddVBand="0" w:evenVBand="0" w:oddHBand="0" w:evenHBand="0" w:firstRowFirstColumn="0" w:firstRowLastColumn="0" w:lastRowFirstColumn="0" w:lastRowLastColumn="0"/>
            <w:tcW w:w="6946" w:type="dxa"/>
            <w:tcBorders>
              <w:top w:val="nil"/>
              <w:left w:val="nil"/>
              <w:bottom w:val="nil"/>
              <w:right w:val="nil"/>
            </w:tcBorders>
            <w:hideMark/>
          </w:tcPr>
          <w:p w14:paraId="062A03B5" w14:textId="77777777" w:rsidR="00445FD0" w:rsidRDefault="00445FD0">
            <w:pPr>
              <w:pStyle w:val="NoSpacing"/>
              <w:rPr>
                <w:b w:val="0"/>
              </w:rPr>
            </w:pPr>
            <w:r>
              <w:rPr>
                <w:b w:val="0"/>
              </w:rPr>
              <w:t>Recognising and continuing the ‘Hidden Hurts Healing Hearts’ campaign</w:t>
            </w:r>
          </w:p>
          <w:p w14:paraId="14DCEA9B" w14:textId="77777777" w:rsidR="00445FD0" w:rsidRDefault="00445FD0">
            <w:pPr>
              <w:pStyle w:val="NoSpacing"/>
              <w:rPr>
                <w:b w:val="0"/>
              </w:rPr>
            </w:pPr>
            <w:r>
              <w:rPr>
                <w:b w:val="0"/>
                <w:i/>
                <w:sz w:val="18"/>
                <w:szCs w:val="18"/>
              </w:rPr>
              <w:t xml:space="preserve">        Commission on Social and Bioethical Questions</w:t>
            </w:r>
          </w:p>
        </w:tc>
        <w:tc>
          <w:tcPr>
            <w:tcW w:w="1134" w:type="dxa"/>
            <w:tcBorders>
              <w:top w:val="nil"/>
              <w:left w:val="nil"/>
              <w:bottom w:val="nil"/>
              <w:right w:val="nil"/>
            </w:tcBorders>
            <w:vAlign w:val="bottom"/>
            <w:hideMark/>
          </w:tcPr>
          <w:p w14:paraId="7A210A75" w14:textId="77777777" w:rsidR="00445FD0" w:rsidRDefault="00445FD0">
            <w:pPr>
              <w:pStyle w:val="NoSpacing"/>
              <w:cnfStyle w:val="000000000000" w:firstRow="0" w:lastRow="0" w:firstColumn="0" w:lastColumn="0" w:oddVBand="0" w:evenVBand="0" w:oddHBand="0" w:evenHBand="0" w:firstRowFirstColumn="0" w:firstRowLastColumn="0" w:lastRowFirstColumn="0" w:lastRowLastColumn="0"/>
              <w:rPr>
                <w:b/>
              </w:rPr>
            </w:pPr>
            <w:r>
              <w:t>2.2.14</w:t>
            </w:r>
          </w:p>
        </w:tc>
        <w:tc>
          <w:tcPr>
            <w:tcW w:w="764" w:type="dxa"/>
            <w:tcBorders>
              <w:top w:val="nil"/>
              <w:left w:val="nil"/>
              <w:bottom w:val="nil"/>
              <w:right w:val="nil"/>
            </w:tcBorders>
            <w:vAlign w:val="bottom"/>
            <w:hideMark/>
          </w:tcPr>
          <w:p w14:paraId="609B15A6" w14:textId="77777777" w:rsidR="00445FD0" w:rsidRDefault="00445FD0">
            <w:pPr>
              <w:pStyle w:val="NoSpacing"/>
              <w:jc w:val="right"/>
              <w:cnfStyle w:val="000000000000" w:firstRow="0" w:lastRow="0" w:firstColumn="0" w:lastColumn="0" w:oddVBand="0" w:evenVBand="0" w:oddHBand="0" w:evenHBand="0" w:firstRowFirstColumn="0" w:firstRowLastColumn="0" w:lastRowFirstColumn="0" w:lastRowLastColumn="0"/>
            </w:pPr>
            <w:r>
              <w:t>133</w:t>
            </w:r>
          </w:p>
        </w:tc>
      </w:tr>
      <w:tr w:rsidR="00445FD0" w14:paraId="10BBDE56" w14:textId="77777777" w:rsidTr="00445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Borders>
              <w:left w:val="nil"/>
              <w:right w:val="nil"/>
            </w:tcBorders>
            <w:hideMark/>
          </w:tcPr>
          <w:p w14:paraId="18F73A74" w14:textId="77777777" w:rsidR="00445FD0" w:rsidRDefault="00445FD0">
            <w:pPr>
              <w:pStyle w:val="NoSpacing"/>
              <w:rPr>
                <w:b w:val="0"/>
              </w:rPr>
            </w:pPr>
            <w:r>
              <w:rPr>
                <w:b w:val="0"/>
              </w:rPr>
              <w:t>Expansion of ‘New Home New Community New Hope’ training project</w:t>
            </w:r>
          </w:p>
          <w:p w14:paraId="5F8A43F0" w14:textId="77777777" w:rsidR="00445FD0" w:rsidRDefault="00445FD0">
            <w:pPr>
              <w:pStyle w:val="NoSpacing"/>
              <w:rPr>
                <w:b w:val="0"/>
              </w:rPr>
            </w:pPr>
            <w:r>
              <w:rPr>
                <w:b w:val="0"/>
                <w:i/>
                <w:sz w:val="18"/>
                <w:szCs w:val="18"/>
              </w:rPr>
              <w:t xml:space="preserve">        Commission on Social and Bioethical Questions</w:t>
            </w:r>
          </w:p>
        </w:tc>
        <w:tc>
          <w:tcPr>
            <w:tcW w:w="1134" w:type="dxa"/>
            <w:tcBorders>
              <w:left w:val="nil"/>
              <w:right w:val="nil"/>
            </w:tcBorders>
            <w:vAlign w:val="bottom"/>
            <w:hideMark/>
          </w:tcPr>
          <w:p w14:paraId="565D392F" w14:textId="77777777" w:rsidR="00445FD0" w:rsidRDefault="00445FD0">
            <w:pPr>
              <w:pStyle w:val="NoSpacing"/>
              <w:cnfStyle w:val="000000100000" w:firstRow="0" w:lastRow="0" w:firstColumn="0" w:lastColumn="0" w:oddVBand="0" w:evenVBand="0" w:oddHBand="1" w:evenHBand="0" w:firstRowFirstColumn="0" w:firstRowLastColumn="0" w:lastRowFirstColumn="0" w:lastRowLastColumn="0"/>
              <w:rPr>
                <w:b/>
              </w:rPr>
            </w:pPr>
            <w:r>
              <w:t>2.2.15</w:t>
            </w:r>
          </w:p>
        </w:tc>
        <w:tc>
          <w:tcPr>
            <w:tcW w:w="764" w:type="dxa"/>
            <w:tcBorders>
              <w:left w:val="nil"/>
              <w:right w:val="nil"/>
            </w:tcBorders>
            <w:vAlign w:val="bottom"/>
            <w:hideMark/>
          </w:tcPr>
          <w:p w14:paraId="5167A899" w14:textId="77777777" w:rsidR="00445FD0" w:rsidRDefault="00445FD0">
            <w:pPr>
              <w:pStyle w:val="NoSpacing"/>
              <w:jc w:val="right"/>
              <w:cnfStyle w:val="000000100000" w:firstRow="0" w:lastRow="0" w:firstColumn="0" w:lastColumn="0" w:oddVBand="0" w:evenVBand="0" w:oddHBand="1" w:evenHBand="0" w:firstRowFirstColumn="0" w:firstRowLastColumn="0" w:lastRowFirstColumn="0" w:lastRowLastColumn="0"/>
            </w:pPr>
            <w:r>
              <w:t>134</w:t>
            </w:r>
          </w:p>
        </w:tc>
      </w:tr>
      <w:tr w:rsidR="00445FD0" w14:paraId="76744E84" w14:textId="77777777" w:rsidTr="00445FD0">
        <w:tc>
          <w:tcPr>
            <w:cnfStyle w:val="001000000000" w:firstRow="0" w:lastRow="0" w:firstColumn="1" w:lastColumn="0" w:oddVBand="0" w:evenVBand="0" w:oddHBand="0" w:evenHBand="0" w:firstRowFirstColumn="0" w:firstRowLastColumn="0" w:lastRowFirstColumn="0" w:lastRowLastColumn="0"/>
            <w:tcW w:w="6946" w:type="dxa"/>
            <w:tcBorders>
              <w:top w:val="nil"/>
              <w:left w:val="nil"/>
              <w:bottom w:val="nil"/>
              <w:right w:val="nil"/>
            </w:tcBorders>
            <w:hideMark/>
          </w:tcPr>
          <w:p w14:paraId="124D3A2C" w14:textId="77777777" w:rsidR="00445FD0" w:rsidRDefault="00445FD0">
            <w:pPr>
              <w:pStyle w:val="NoSpacing"/>
              <w:rPr>
                <w:b w:val="0"/>
              </w:rPr>
            </w:pPr>
            <w:r>
              <w:rPr>
                <w:b w:val="0"/>
              </w:rPr>
              <w:t>Australian Lutheran College constitution</w:t>
            </w:r>
          </w:p>
          <w:p w14:paraId="37BD74EA" w14:textId="77777777" w:rsidR="00445FD0" w:rsidRDefault="00445FD0">
            <w:pPr>
              <w:pStyle w:val="NoSpacing"/>
              <w:rPr>
                <w:b w:val="0"/>
              </w:rPr>
            </w:pPr>
            <w:r>
              <w:rPr>
                <w:b w:val="0"/>
                <w:i/>
                <w:sz w:val="18"/>
                <w:szCs w:val="18"/>
              </w:rPr>
              <w:t xml:space="preserve">        Australian Lutheran College</w:t>
            </w:r>
          </w:p>
        </w:tc>
        <w:tc>
          <w:tcPr>
            <w:tcW w:w="1134" w:type="dxa"/>
            <w:tcBorders>
              <w:top w:val="nil"/>
              <w:left w:val="nil"/>
              <w:bottom w:val="nil"/>
              <w:right w:val="nil"/>
            </w:tcBorders>
            <w:vAlign w:val="bottom"/>
            <w:hideMark/>
          </w:tcPr>
          <w:p w14:paraId="7A3B010F" w14:textId="77777777" w:rsidR="00445FD0" w:rsidRDefault="00445FD0">
            <w:pPr>
              <w:pStyle w:val="NoSpacing"/>
              <w:cnfStyle w:val="000000000000" w:firstRow="0" w:lastRow="0" w:firstColumn="0" w:lastColumn="0" w:oddVBand="0" w:evenVBand="0" w:oddHBand="0" w:evenHBand="0" w:firstRowFirstColumn="0" w:firstRowLastColumn="0" w:lastRowFirstColumn="0" w:lastRowLastColumn="0"/>
              <w:rPr>
                <w:b/>
              </w:rPr>
            </w:pPr>
            <w:r>
              <w:t>2.2.16</w:t>
            </w:r>
          </w:p>
        </w:tc>
        <w:tc>
          <w:tcPr>
            <w:tcW w:w="764" w:type="dxa"/>
            <w:tcBorders>
              <w:top w:val="nil"/>
              <w:left w:val="nil"/>
              <w:bottom w:val="nil"/>
              <w:right w:val="nil"/>
            </w:tcBorders>
            <w:vAlign w:val="bottom"/>
            <w:hideMark/>
          </w:tcPr>
          <w:p w14:paraId="44A4844D" w14:textId="77777777" w:rsidR="00445FD0" w:rsidRDefault="00445FD0">
            <w:pPr>
              <w:pStyle w:val="NoSpacing"/>
              <w:jc w:val="right"/>
              <w:cnfStyle w:val="000000000000" w:firstRow="0" w:lastRow="0" w:firstColumn="0" w:lastColumn="0" w:oddVBand="0" w:evenVBand="0" w:oddHBand="0" w:evenHBand="0" w:firstRowFirstColumn="0" w:firstRowLastColumn="0" w:lastRowFirstColumn="0" w:lastRowLastColumn="0"/>
            </w:pPr>
            <w:r>
              <w:t>135</w:t>
            </w:r>
          </w:p>
        </w:tc>
      </w:tr>
      <w:tr w:rsidR="00445FD0" w14:paraId="2D49318A" w14:textId="77777777" w:rsidTr="00445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Borders>
              <w:left w:val="nil"/>
              <w:right w:val="nil"/>
            </w:tcBorders>
            <w:hideMark/>
          </w:tcPr>
          <w:p w14:paraId="66F52845" w14:textId="77777777" w:rsidR="00445FD0" w:rsidRDefault="00445FD0">
            <w:pPr>
              <w:pStyle w:val="NoSpacing"/>
            </w:pPr>
            <w:r>
              <w:lastRenderedPageBreak/>
              <w:t>Proposals from districts and congregations</w:t>
            </w:r>
          </w:p>
        </w:tc>
        <w:tc>
          <w:tcPr>
            <w:tcW w:w="1134" w:type="dxa"/>
            <w:tcBorders>
              <w:left w:val="nil"/>
              <w:right w:val="nil"/>
            </w:tcBorders>
            <w:vAlign w:val="bottom"/>
            <w:hideMark/>
          </w:tcPr>
          <w:p w14:paraId="6616C4E4" w14:textId="77777777" w:rsidR="00445FD0" w:rsidRDefault="00445FD0">
            <w:pPr>
              <w:pStyle w:val="NoSpacing"/>
              <w:cnfStyle w:val="000000100000" w:firstRow="0" w:lastRow="0" w:firstColumn="0" w:lastColumn="0" w:oddVBand="0" w:evenVBand="0" w:oddHBand="1" w:evenHBand="0" w:firstRowFirstColumn="0" w:firstRowLastColumn="0" w:lastRowFirstColumn="0" w:lastRowLastColumn="0"/>
            </w:pPr>
            <w:r>
              <w:rPr>
                <w:b/>
              </w:rPr>
              <w:t>2.3</w:t>
            </w:r>
          </w:p>
        </w:tc>
        <w:tc>
          <w:tcPr>
            <w:tcW w:w="764" w:type="dxa"/>
            <w:tcBorders>
              <w:left w:val="nil"/>
              <w:right w:val="nil"/>
            </w:tcBorders>
            <w:vAlign w:val="bottom"/>
          </w:tcPr>
          <w:p w14:paraId="128C5944" w14:textId="77777777" w:rsidR="00445FD0" w:rsidRDefault="00445FD0">
            <w:pPr>
              <w:pStyle w:val="NoSpacing"/>
              <w:jc w:val="right"/>
              <w:cnfStyle w:val="000000100000" w:firstRow="0" w:lastRow="0" w:firstColumn="0" w:lastColumn="0" w:oddVBand="0" w:evenVBand="0" w:oddHBand="1" w:evenHBand="0" w:firstRowFirstColumn="0" w:firstRowLastColumn="0" w:lastRowFirstColumn="0" w:lastRowLastColumn="0"/>
              <w:rPr>
                <w:b/>
              </w:rPr>
            </w:pPr>
          </w:p>
        </w:tc>
      </w:tr>
      <w:tr w:rsidR="00445FD0" w14:paraId="30EF6E07" w14:textId="77777777" w:rsidTr="00445FD0">
        <w:tc>
          <w:tcPr>
            <w:cnfStyle w:val="001000000000" w:firstRow="0" w:lastRow="0" w:firstColumn="1" w:lastColumn="0" w:oddVBand="0" w:evenVBand="0" w:oddHBand="0" w:evenHBand="0" w:firstRowFirstColumn="0" w:firstRowLastColumn="0" w:lastRowFirstColumn="0" w:lastRowLastColumn="0"/>
            <w:tcW w:w="6946" w:type="dxa"/>
            <w:tcBorders>
              <w:top w:val="nil"/>
              <w:left w:val="nil"/>
              <w:bottom w:val="nil"/>
              <w:right w:val="nil"/>
            </w:tcBorders>
            <w:hideMark/>
          </w:tcPr>
          <w:p w14:paraId="6BFE3892" w14:textId="77777777" w:rsidR="00445FD0" w:rsidRDefault="00445FD0">
            <w:pPr>
              <w:pStyle w:val="NoSpacing"/>
              <w:rPr>
                <w:b w:val="0"/>
              </w:rPr>
            </w:pPr>
            <w:r>
              <w:rPr>
                <w:b w:val="0"/>
              </w:rPr>
              <w:t>Ordination of both men and women</w:t>
            </w:r>
          </w:p>
          <w:p w14:paraId="12CD3725" w14:textId="77777777" w:rsidR="00445FD0" w:rsidRDefault="00445FD0">
            <w:pPr>
              <w:pStyle w:val="NoSpacing"/>
              <w:rPr>
                <w:b w:val="0"/>
              </w:rPr>
            </w:pPr>
            <w:r>
              <w:rPr>
                <w:b w:val="0"/>
                <w:i/>
                <w:sz w:val="18"/>
                <w:szCs w:val="18"/>
              </w:rPr>
              <w:t xml:space="preserve">        Various</w:t>
            </w:r>
          </w:p>
        </w:tc>
        <w:tc>
          <w:tcPr>
            <w:tcW w:w="1134" w:type="dxa"/>
            <w:tcBorders>
              <w:top w:val="nil"/>
              <w:left w:val="nil"/>
              <w:bottom w:val="nil"/>
              <w:right w:val="nil"/>
            </w:tcBorders>
            <w:vAlign w:val="bottom"/>
            <w:hideMark/>
          </w:tcPr>
          <w:p w14:paraId="65C954E4" w14:textId="77777777" w:rsidR="00445FD0" w:rsidRDefault="00445FD0">
            <w:pPr>
              <w:pStyle w:val="NoSpacing"/>
              <w:cnfStyle w:val="000000000000" w:firstRow="0" w:lastRow="0" w:firstColumn="0" w:lastColumn="0" w:oddVBand="0" w:evenVBand="0" w:oddHBand="0" w:evenHBand="0" w:firstRowFirstColumn="0" w:firstRowLastColumn="0" w:lastRowFirstColumn="0" w:lastRowLastColumn="0"/>
              <w:rPr>
                <w:b/>
              </w:rPr>
            </w:pPr>
            <w:r>
              <w:t>2.3.1</w:t>
            </w:r>
          </w:p>
        </w:tc>
        <w:tc>
          <w:tcPr>
            <w:tcW w:w="764" w:type="dxa"/>
            <w:tcBorders>
              <w:top w:val="nil"/>
              <w:left w:val="nil"/>
              <w:bottom w:val="nil"/>
              <w:right w:val="nil"/>
            </w:tcBorders>
            <w:vAlign w:val="bottom"/>
            <w:hideMark/>
          </w:tcPr>
          <w:p w14:paraId="77CA8F7C" w14:textId="77777777" w:rsidR="00445FD0" w:rsidRDefault="00445FD0">
            <w:pPr>
              <w:pStyle w:val="NoSpacing"/>
              <w:jc w:val="right"/>
              <w:cnfStyle w:val="000000000000" w:firstRow="0" w:lastRow="0" w:firstColumn="0" w:lastColumn="0" w:oddVBand="0" w:evenVBand="0" w:oddHBand="0" w:evenHBand="0" w:firstRowFirstColumn="0" w:firstRowLastColumn="0" w:lastRowFirstColumn="0" w:lastRowLastColumn="0"/>
            </w:pPr>
            <w:r>
              <w:t>151</w:t>
            </w:r>
          </w:p>
        </w:tc>
      </w:tr>
      <w:tr w:rsidR="00445FD0" w14:paraId="797D765E" w14:textId="77777777" w:rsidTr="00445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Borders>
              <w:left w:val="nil"/>
              <w:right w:val="nil"/>
            </w:tcBorders>
            <w:hideMark/>
          </w:tcPr>
          <w:p w14:paraId="6C5CBE42" w14:textId="77777777" w:rsidR="00445FD0" w:rsidRDefault="00445FD0">
            <w:pPr>
              <w:pStyle w:val="NoSpacing"/>
              <w:rPr>
                <w:b w:val="0"/>
              </w:rPr>
            </w:pPr>
            <w:r>
              <w:rPr>
                <w:b w:val="0"/>
              </w:rPr>
              <w:t>The theological basis for the ordination of women and men</w:t>
            </w:r>
          </w:p>
          <w:p w14:paraId="3CFBE143" w14:textId="77777777" w:rsidR="00445FD0" w:rsidRDefault="00445FD0">
            <w:pPr>
              <w:pStyle w:val="NoSpacing"/>
              <w:rPr>
                <w:b w:val="0"/>
              </w:rPr>
            </w:pPr>
            <w:r>
              <w:rPr>
                <w:b w:val="0"/>
                <w:i/>
                <w:sz w:val="18"/>
                <w:szCs w:val="18"/>
              </w:rPr>
              <w:t xml:space="preserve">        Redeemer Lutheran Congregation, Toowoomba Qld</w:t>
            </w:r>
          </w:p>
        </w:tc>
        <w:tc>
          <w:tcPr>
            <w:tcW w:w="1134" w:type="dxa"/>
            <w:tcBorders>
              <w:left w:val="nil"/>
              <w:right w:val="nil"/>
            </w:tcBorders>
            <w:vAlign w:val="bottom"/>
            <w:hideMark/>
          </w:tcPr>
          <w:p w14:paraId="25FDA7C6" w14:textId="77777777" w:rsidR="00445FD0" w:rsidRDefault="00445FD0">
            <w:pPr>
              <w:pStyle w:val="NoSpacing"/>
              <w:cnfStyle w:val="000000100000" w:firstRow="0" w:lastRow="0" w:firstColumn="0" w:lastColumn="0" w:oddVBand="0" w:evenVBand="0" w:oddHBand="1" w:evenHBand="0" w:firstRowFirstColumn="0" w:firstRowLastColumn="0" w:lastRowFirstColumn="0" w:lastRowLastColumn="0"/>
              <w:rPr>
                <w:b/>
              </w:rPr>
            </w:pPr>
            <w:r>
              <w:t>2.3.2</w:t>
            </w:r>
          </w:p>
        </w:tc>
        <w:tc>
          <w:tcPr>
            <w:tcW w:w="764" w:type="dxa"/>
            <w:tcBorders>
              <w:left w:val="nil"/>
              <w:right w:val="nil"/>
            </w:tcBorders>
            <w:vAlign w:val="bottom"/>
            <w:hideMark/>
          </w:tcPr>
          <w:p w14:paraId="0F1A2801" w14:textId="77777777" w:rsidR="00445FD0" w:rsidRDefault="00445FD0">
            <w:pPr>
              <w:pStyle w:val="NoSpacing"/>
              <w:jc w:val="right"/>
              <w:cnfStyle w:val="000000100000" w:firstRow="0" w:lastRow="0" w:firstColumn="0" w:lastColumn="0" w:oddVBand="0" w:evenVBand="0" w:oddHBand="1" w:evenHBand="0" w:firstRowFirstColumn="0" w:firstRowLastColumn="0" w:lastRowFirstColumn="0" w:lastRowLastColumn="0"/>
            </w:pPr>
            <w:r>
              <w:t>152</w:t>
            </w:r>
          </w:p>
        </w:tc>
      </w:tr>
      <w:tr w:rsidR="00445FD0" w14:paraId="7EDF0969" w14:textId="77777777" w:rsidTr="00445FD0">
        <w:tc>
          <w:tcPr>
            <w:cnfStyle w:val="001000000000" w:firstRow="0" w:lastRow="0" w:firstColumn="1" w:lastColumn="0" w:oddVBand="0" w:evenVBand="0" w:oddHBand="0" w:evenHBand="0" w:firstRowFirstColumn="0" w:firstRowLastColumn="0" w:lastRowFirstColumn="0" w:lastRowLastColumn="0"/>
            <w:tcW w:w="6946" w:type="dxa"/>
            <w:tcBorders>
              <w:top w:val="nil"/>
              <w:left w:val="nil"/>
              <w:bottom w:val="nil"/>
              <w:right w:val="nil"/>
            </w:tcBorders>
            <w:hideMark/>
          </w:tcPr>
          <w:p w14:paraId="5D32E357" w14:textId="77777777" w:rsidR="00445FD0" w:rsidRDefault="00445FD0">
            <w:pPr>
              <w:pStyle w:val="NoSpacing"/>
              <w:rPr>
                <w:b w:val="0"/>
              </w:rPr>
            </w:pPr>
            <w:r>
              <w:rPr>
                <w:b w:val="0"/>
              </w:rPr>
              <w:t>The theological basis for why the ordination of women and men need not be divisive</w:t>
            </w:r>
          </w:p>
          <w:p w14:paraId="04486FBA" w14:textId="77777777" w:rsidR="00445FD0" w:rsidRDefault="00445FD0">
            <w:pPr>
              <w:pStyle w:val="NoSpacing"/>
              <w:rPr>
                <w:b w:val="0"/>
              </w:rPr>
            </w:pPr>
            <w:r>
              <w:rPr>
                <w:b w:val="0"/>
                <w:i/>
                <w:sz w:val="18"/>
                <w:szCs w:val="18"/>
              </w:rPr>
              <w:t xml:space="preserve">        Redeemer Lutheran Congregation, Toowoomba Qld</w:t>
            </w:r>
          </w:p>
        </w:tc>
        <w:tc>
          <w:tcPr>
            <w:tcW w:w="1134" w:type="dxa"/>
            <w:tcBorders>
              <w:top w:val="nil"/>
              <w:left w:val="nil"/>
              <w:bottom w:val="nil"/>
              <w:right w:val="nil"/>
            </w:tcBorders>
            <w:vAlign w:val="bottom"/>
            <w:hideMark/>
          </w:tcPr>
          <w:p w14:paraId="69F2F45B" w14:textId="77777777" w:rsidR="00445FD0" w:rsidRDefault="00445FD0">
            <w:pPr>
              <w:pStyle w:val="NoSpacing"/>
              <w:cnfStyle w:val="000000000000" w:firstRow="0" w:lastRow="0" w:firstColumn="0" w:lastColumn="0" w:oddVBand="0" w:evenVBand="0" w:oddHBand="0" w:evenHBand="0" w:firstRowFirstColumn="0" w:firstRowLastColumn="0" w:lastRowFirstColumn="0" w:lastRowLastColumn="0"/>
              <w:rPr>
                <w:b/>
              </w:rPr>
            </w:pPr>
            <w:r>
              <w:t>2.3.3</w:t>
            </w:r>
          </w:p>
        </w:tc>
        <w:tc>
          <w:tcPr>
            <w:tcW w:w="764" w:type="dxa"/>
            <w:tcBorders>
              <w:top w:val="nil"/>
              <w:left w:val="nil"/>
              <w:bottom w:val="nil"/>
              <w:right w:val="nil"/>
            </w:tcBorders>
            <w:vAlign w:val="bottom"/>
            <w:hideMark/>
          </w:tcPr>
          <w:p w14:paraId="28953355" w14:textId="77777777" w:rsidR="00445FD0" w:rsidRDefault="00445FD0">
            <w:pPr>
              <w:pStyle w:val="NoSpacing"/>
              <w:jc w:val="right"/>
              <w:cnfStyle w:val="000000000000" w:firstRow="0" w:lastRow="0" w:firstColumn="0" w:lastColumn="0" w:oddVBand="0" w:evenVBand="0" w:oddHBand="0" w:evenHBand="0" w:firstRowFirstColumn="0" w:firstRowLastColumn="0" w:lastRowFirstColumn="0" w:lastRowLastColumn="0"/>
            </w:pPr>
            <w:r>
              <w:t>155</w:t>
            </w:r>
          </w:p>
        </w:tc>
      </w:tr>
      <w:tr w:rsidR="00445FD0" w14:paraId="75D914E7" w14:textId="77777777" w:rsidTr="00445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Borders>
              <w:left w:val="nil"/>
              <w:right w:val="nil"/>
            </w:tcBorders>
            <w:hideMark/>
          </w:tcPr>
          <w:p w14:paraId="4D78F090" w14:textId="77777777" w:rsidR="00445FD0" w:rsidRDefault="00445FD0">
            <w:pPr>
              <w:pStyle w:val="NoSpacing"/>
              <w:rPr>
                <w:b w:val="0"/>
              </w:rPr>
            </w:pPr>
            <w:r>
              <w:rPr>
                <w:b w:val="0"/>
              </w:rPr>
              <w:t>The theological basis for the ordination of men only</w:t>
            </w:r>
          </w:p>
          <w:p w14:paraId="33B1A20D" w14:textId="77777777" w:rsidR="00445FD0" w:rsidRDefault="00445FD0">
            <w:pPr>
              <w:pStyle w:val="NoSpacing"/>
              <w:rPr>
                <w:b w:val="0"/>
              </w:rPr>
            </w:pPr>
            <w:r>
              <w:rPr>
                <w:b w:val="0"/>
                <w:i/>
                <w:sz w:val="18"/>
                <w:szCs w:val="18"/>
              </w:rPr>
              <w:t xml:space="preserve">        Good Shepherd Lutheran Church, Hamilton Vic</w:t>
            </w:r>
          </w:p>
        </w:tc>
        <w:tc>
          <w:tcPr>
            <w:tcW w:w="1134" w:type="dxa"/>
            <w:tcBorders>
              <w:left w:val="nil"/>
              <w:right w:val="nil"/>
            </w:tcBorders>
            <w:vAlign w:val="bottom"/>
            <w:hideMark/>
          </w:tcPr>
          <w:p w14:paraId="40A2891D" w14:textId="77777777" w:rsidR="00445FD0" w:rsidRDefault="00445FD0">
            <w:pPr>
              <w:pStyle w:val="NoSpacing"/>
              <w:cnfStyle w:val="000000100000" w:firstRow="0" w:lastRow="0" w:firstColumn="0" w:lastColumn="0" w:oddVBand="0" w:evenVBand="0" w:oddHBand="1" w:evenHBand="0" w:firstRowFirstColumn="0" w:firstRowLastColumn="0" w:lastRowFirstColumn="0" w:lastRowLastColumn="0"/>
              <w:rPr>
                <w:b/>
              </w:rPr>
            </w:pPr>
            <w:r>
              <w:t>2.3.4</w:t>
            </w:r>
          </w:p>
        </w:tc>
        <w:tc>
          <w:tcPr>
            <w:tcW w:w="764" w:type="dxa"/>
            <w:tcBorders>
              <w:left w:val="nil"/>
              <w:right w:val="nil"/>
            </w:tcBorders>
            <w:vAlign w:val="bottom"/>
            <w:hideMark/>
          </w:tcPr>
          <w:p w14:paraId="367306CF" w14:textId="77777777" w:rsidR="00445FD0" w:rsidRDefault="00445FD0">
            <w:pPr>
              <w:pStyle w:val="NoSpacing"/>
              <w:jc w:val="right"/>
              <w:cnfStyle w:val="000000100000" w:firstRow="0" w:lastRow="0" w:firstColumn="0" w:lastColumn="0" w:oddVBand="0" w:evenVBand="0" w:oddHBand="1" w:evenHBand="0" w:firstRowFirstColumn="0" w:firstRowLastColumn="0" w:lastRowFirstColumn="0" w:lastRowLastColumn="0"/>
            </w:pPr>
            <w:r>
              <w:t>157</w:t>
            </w:r>
          </w:p>
        </w:tc>
      </w:tr>
      <w:tr w:rsidR="00445FD0" w14:paraId="78EA20A3" w14:textId="77777777" w:rsidTr="00445FD0">
        <w:tc>
          <w:tcPr>
            <w:cnfStyle w:val="001000000000" w:firstRow="0" w:lastRow="0" w:firstColumn="1" w:lastColumn="0" w:oddVBand="0" w:evenVBand="0" w:oddHBand="0" w:evenHBand="0" w:firstRowFirstColumn="0" w:firstRowLastColumn="0" w:lastRowFirstColumn="0" w:lastRowLastColumn="0"/>
            <w:tcW w:w="6946" w:type="dxa"/>
            <w:tcBorders>
              <w:top w:val="nil"/>
              <w:left w:val="nil"/>
              <w:bottom w:val="nil"/>
              <w:right w:val="nil"/>
            </w:tcBorders>
            <w:hideMark/>
          </w:tcPr>
          <w:p w14:paraId="2403DCBA" w14:textId="77777777" w:rsidR="00445FD0" w:rsidRDefault="00445FD0">
            <w:pPr>
              <w:pStyle w:val="NoSpacing"/>
              <w:rPr>
                <w:b w:val="0"/>
              </w:rPr>
            </w:pPr>
            <w:r>
              <w:rPr>
                <w:b w:val="0"/>
              </w:rPr>
              <w:t>No further amendments to Theses of Agreement on ordination of women regarding the office of the ministry</w:t>
            </w:r>
          </w:p>
          <w:p w14:paraId="43379A52" w14:textId="77777777" w:rsidR="00445FD0" w:rsidRDefault="00445FD0">
            <w:pPr>
              <w:pStyle w:val="NoSpacing"/>
              <w:rPr>
                <w:b w:val="0"/>
              </w:rPr>
            </w:pPr>
            <w:r>
              <w:rPr>
                <w:b w:val="0"/>
                <w:i/>
                <w:sz w:val="18"/>
                <w:szCs w:val="18"/>
              </w:rPr>
              <w:t xml:space="preserve">        St John’s Lutheran Church, Minyip-Warracknabeal, Vic</w:t>
            </w:r>
          </w:p>
        </w:tc>
        <w:tc>
          <w:tcPr>
            <w:tcW w:w="1134" w:type="dxa"/>
            <w:tcBorders>
              <w:top w:val="nil"/>
              <w:left w:val="nil"/>
              <w:bottom w:val="nil"/>
              <w:right w:val="nil"/>
            </w:tcBorders>
            <w:vAlign w:val="bottom"/>
            <w:hideMark/>
          </w:tcPr>
          <w:p w14:paraId="472811F5" w14:textId="77777777" w:rsidR="00445FD0" w:rsidRDefault="00445FD0">
            <w:pPr>
              <w:pStyle w:val="NoSpacing"/>
              <w:cnfStyle w:val="000000000000" w:firstRow="0" w:lastRow="0" w:firstColumn="0" w:lastColumn="0" w:oddVBand="0" w:evenVBand="0" w:oddHBand="0" w:evenHBand="0" w:firstRowFirstColumn="0" w:firstRowLastColumn="0" w:lastRowFirstColumn="0" w:lastRowLastColumn="0"/>
              <w:rPr>
                <w:b/>
              </w:rPr>
            </w:pPr>
            <w:r>
              <w:t>2.3.5</w:t>
            </w:r>
          </w:p>
        </w:tc>
        <w:tc>
          <w:tcPr>
            <w:tcW w:w="764" w:type="dxa"/>
            <w:tcBorders>
              <w:top w:val="nil"/>
              <w:left w:val="nil"/>
              <w:bottom w:val="nil"/>
              <w:right w:val="nil"/>
            </w:tcBorders>
            <w:vAlign w:val="bottom"/>
            <w:hideMark/>
          </w:tcPr>
          <w:p w14:paraId="6745B97F" w14:textId="77777777" w:rsidR="00445FD0" w:rsidRDefault="00445FD0">
            <w:pPr>
              <w:pStyle w:val="NoSpacing"/>
              <w:jc w:val="right"/>
              <w:cnfStyle w:val="000000000000" w:firstRow="0" w:lastRow="0" w:firstColumn="0" w:lastColumn="0" w:oddVBand="0" w:evenVBand="0" w:oddHBand="0" w:evenHBand="0" w:firstRowFirstColumn="0" w:firstRowLastColumn="0" w:lastRowFirstColumn="0" w:lastRowLastColumn="0"/>
            </w:pPr>
            <w:r>
              <w:t>158</w:t>
            </w:r>
          </w:p>
        </w:tc>
      </w:tr>
      <w:tr w:rsidR="00445FD0" w14:paraId="4DB2D995" w14:textId="77777777" w:rsidTr="00445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Borders>
              <w:left w:val="nil"/>
              <w:right w:val="nil"/>
            </w:tcBorders>
            <w:hideMark/>
          </w:tcPr>
          <w:p w14:paraId="48F315CF" w14:textId="77777777" w:rsidR="00445FD0" w:rsidRDefault="00445FD0">
            <w:pPr>
              <w:pStyle w:val="NoSpacing"/>
              <w:rPr>
                <w:b w:val="0"/>
              </w:rPr>
            </w:pPr>
            <w:r>
              <w:rPr>
                <w:b w:val="0"/>
              </w:rPr>
              <w:t>The practice of holy communion and infants</w:t>
            </w:r>
          </w:p>
          <w:p w14:paraId="30988522" w14:textId="77777777" w:rsidR="00445FD0" w:rsidRDefault="00445FD0">
            <w:pPr>
              <w:pStyle w:val="NoSpacing"/>
              <w:rPr>
                <w:b w:val="0"/>
                <w:highlight w:val="magenta"/>
              </w:rPr>
            </w:pPr>
            <w:r>
              <w:rPr>
                <w:b w:val="0"/>
                <w:i/>
                <w:sz w:val="18"/>
                <w:szCs w:val="18"/>
              </w:rPr>
              <w:t xml:space="preserve">        St John’s Lutheran Church, Unley SA</w:t>
            </w:r>
          </w:p>
        </w:tc>
        <w:tc>
          <w:tcPr>
            <w:tcW w:w="1134" w:type="dxa"/>
            <w:tcBorders>
              <w:left w:val="nil"/>
              <w:right w:val="nil"/>
            </w:tcBorders>
            <w:vAlign w:val="bottom"/>
            <w:hideMark/>
          </w:tcPr>
          <w:p w14:paraId="66384882" w14:textId="77777777" w:rsidR="00445FD0" w:rsidRDefault="00445FD0">
            <w:pPr>
              <w:pStyle w:val="NoSpacing"/>
              <w:cnfStyle w:val="000000100000" w:firstRow="0" w:lastRow="0" w:firstColumn="0" w:lastColumn="0" w:oddVBand="0" w:evenVBand="0" w:oddHBand="1" w:evenHBand="0" w:firstRowFirstColumn="0" w:firstRowLastColumn="0" w:lastRowFirstColumn="0" w:lastRowLastColumn="0"/>
              <w:rPr>
                <w:b/>
              </w:rPr>
            </w:pPr>
            <w:r>
              <w:t>2.3.6</w:t>
            </w:r>
          </w:p>
        </w:tc>
        <w:tc>
          <w:tcPr>
            <w:tcW w:w="764" w:type="dxa"/>
            <w:tcBorders>
              <w:left w:val="nil"/>
              <w:right w:val="nil"/>
            </w:tcBorders>
            <w:vAlign w:val="bottom"/>
            <w:hideMark/>
          </w:tcPr>
          <w:p w14:paraId="1842974B" w14:textId="77777777" w:rsidR="00445FD0" w:rsidRDefault="00445FD0">
            <w:pPr>
              <w:pStyle w:val="NoSpacing"/>
              <w:jc w:val="right"/>
              <w:cnfStyle w:val="000000100000" w:firstRow="0" w:lastRow="0" w:firstColumn="0" w:lastColumn="0" w:oddVBand="0" w:evenVBand="0" w:oddHBand="1" w:evenHBand="0" w:firstRowFirstColumn="0" w:firstRowLastColumn="0" w:lastRowFirstColumn="0" w:lastRowLastColumn="0"/>
            </w:pPr>
            <w:r>
              <w:t>159</w:t>
            </w:r>
          </w:p>
        </w:tc>
      </w:tr>
      <w:tr w:rsidR="00445FD0" w14:paraId="5C22C4F7" w14:textId="77777777" w:rsidTr="00445FD0">
        <w:tc>
          <w:tcPr>
            <w:cnfStyle w:val="001000000000" w:firstRow="0" w:lastRow="0" w:firstColumn="1" w:lastColumn="0" w:oddVBand="0" w:evenVBand="0" w:oddHBand="0" w:evenHBand="0" w:firstRowFirstColumn="0" w:firstRowLastColumn="0" w:lastRowFirstColumn="0" w:lastRowLastColumn="0"/>
            <w:tcW w:w="6946" w:type="dxa"/>
            <w:tcBorders>
              <w:top w:val="nil"/>
              <w:left w:val="nil"/>
              <w:bottom w:val="nil"/>
              <w:right w:val="nil"/>
            </w:tcBorders>
            <w:hideMark/>
          </w:tcPr>
          <w:p w14:paraId="615211F4" w14:textId="77777777" w:rsidR="00445FD0" w:rsidRDefault="00445FD0">
            <w:pPr>
              <w:pStyle w:val="NoSpacing"/>
              <w:rPr>
                <w:b w:val="0"/>
              </w:rPr>
            </w:pPr>
            <w:r>
              <w:rPr>
                <w:b w:val="0"/>
              </w:rPr>
              <w:t>Membership of International Lutheran Council</w:t>
            </w:r>
          </w:p>
          <w:p w14:paraId="24879BE7" w14:textId="77777777" w:rsidR="00445FD0" w:rsidRDefault="00445FD0">
            <w:pPr>
              <w:pStyle w:val="NoSpacing"/>
            </w:pPr>
            <w:r>
              <w:rPr>
                <w:b w:val="0"/>
                <w:i/>
                <w:sz w:val="18"/>
                <w:szCs w:val="18"/>
              </w:rPr>
              <w:t xml:space="preserve">        Various</w:t>
            </w:r>
          </w:p>
        </w:tc>
        <w:tc>
          <w:tcPr>
            <w:tcW w:w="1134" w:type="dxa"/>
            <w:tcBorders>
              <w:top w:val="nil"/>
              <w:left w:val="nil"/>
              <w:bottom w:val="nil"/>
              <w:right w:val="nil"/>
            </w:tcBorders>
            <w:vAlign w:val="bottom"/>
            <w:hideMark/>
          </w:tcPr>
          <w:p w14:paraId="0174B3BB" w14:textId="77777777" w:rsidR="00445FD0" w:rsidRDefault="00445FD0">
            <w:pPr>
              <w:pStyle w:val="NoSpacing"/>
              <w:cnfStyle w:val="000000000000" w:firstRow="0" w:lastRow="0" w:firstColumn="0" w:lastColumn="0" w:oddVBand="0" w:evenVBand="0" w:oddHBand="0" w:evenHBand="0" w:firstRowFirstColumn="0" w:firstRowLastColumn="0" w:lastRowFirstColumn="0" w:lastRowLastColumn="0"/>
            </w:pPr>
            <w:r>
              <w:t>2.3.7</w:t>
            </w:r>
          </w:p>
        </w:tc>
        <w:tc>
          <w:tcPr>
            <w:tcW w:w="764" w:type="dxa"/>
            <w:tcBorders>
              <w:top w:val="nil"/>
              <w:left w:val="nil"/>
              <w:bottom w:val="nil"/>
              <w:right w:val="nil"/>
            </w:tcBorders>
            <w:vAlign w:val="bottom"/>
            <w:hideMark/>
          </w:tcPr>
          <w:p w14:paraId="751FB2FF" w14:textId="77777777" w:rsidR="00445FD0" w:rsidRDefault="00445FD0">
            <w:pPr>
              <w:pStyle w:val="NoSpacing"/>
              <w:jc w:val="right"/>
              <w:cnfStyle w:val="000000000000" w:firstRow="0" w:lastRow="0" w:firstColumn="0" w:lastColumn="0" w:oddVBand="0" w:evenVBand="0" w:oddHBand="0" w:evenHBand="0" w:firstRowFirstColumn="0" w:firstRowLastColumn="0" w:lastRowFirstColumn="0" w:lastRowLastColumn="0"/>
            </w:pPr>
            <w:r>
              <w:t>159</w:t>
            </w:r>
          </w:p>
        </w:tc>
      </w:tr>
      <w:tr w:rsidR="00445FD0" w14:paraId="7EAF2D0B" w14:textId="77777777" w:rsidTr="00445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Borders>
              <w:left w:val="nil"/>
              <w:right w:val="nil"/>
            </w:tcBorders>
            <w:hideMark/>
          </w:tcPr>
          <w:p w14:paraId="3CEB2580" w14:textId="77777777" w:rsidR="00445FD0" w:rsidRDefault="00445FD0">
            <w:pPr>
              <w:pStyle w:val="NoSpacing"/>
              <w:rPr>
                <w:b w:val="0"/>
              </w:rPr>
            </w:pPr>
            <w:r>
              <w:rPr>
                <w:b w:val="0"/>
              </w:rPr>
              <w:t>Membership of Lutheran World Federation</w:t>
            </w:r>
          </w:p>
          <w:p w14:paraId="240A7D50" w14:textId="77777777" w:rsidR="00445FD0" w:rsidRDefault="00445FD0">
            <w:pPr>
              <w:pStyle w:val="NoSpacing"/>
              <w:rPr>
                <w:b w:val="0"/>
              </w:rPr>
            </w:pPr>
            <w:r>
              <w:rPr>
                <w:b w:val="0"/>
                <w:i/>
                <w:sz w:val="18"/>
                <w:szCs w:val="18"/>
              </w:rPr>
              <w:t xml:space="preserve">        Various</w:t>
            </w:r>
          </w:p>
        </w:tc>
        <w:tc>
          <w:tcPr>
            <w:tcW w:w="1134" w:type="dxa"/>
            <w:tcBorders>
              <w:left w:val="nil"/>
              <w:right w:val="nil"/>
            </w:tcBorders>
            <w:vAlign w:val="bottom"/>
            <w:hideMark/>
          </w:tcPr>
          <w:p w14:paraId="4176296C" w14:textId="77777777" w:rsidR="00445FD0" w:rsidRDefault="00445FD0">
            <w:pPr>
              <w:pStyle w:val="NoSpacing"/>
              <w:cnfStyle w:val="000000100000" w:firstRow="0" w:lastRow="0" w:firstColumn="0" w:lastColumn="0" w:oddVBand="0" w:evenVBand="0" w:oddHBand="1" w:evenHBand="0" w:firstRowFirstColumn="0" w:firstRowLastColumn="0" w:lastRowFirstColumn="0" w:lastRowLastColumn="0"/>
              <w:rPr>
                <w:b/>
              </w:rPr>
            </w:pPr>
            <w:r>
              <w:t>2.3.8</w:t>
            </w:r>
          </w:p>
        </w:tc>
        <w:tc>
          <w:tcPr>
            <w:tcW w:w="764" w:type="dxa"/>
            <w:tcBorders>
              <w:left w:val="nil"/>
              <w:right w:val="nil"/>
            </w:tcBorders>
            <w:vAlign w:val="bottom"/>
            <w:hideMark/>
          </w:tcPr>
          <w:p w14:paraId="6D1FF963" w14:textId="77777777" w:rsidR="00445FD0" w:rsidRDefault="00445FD0">
            <w:pPr>
              <w:pStyle w:val="NoSpacing"/>
              <w:jc w:val="right"/>
              <w:cnfStyle w:val="000000100000" w:firstRow="0" w:lastRow="0" w:firstColumn="0" w:lastColumn="0" w:oddVBand="0" w:evenVBand="0" w:oddHBand="1" w:evenHBand="0" w:firstRowFirstColumn="0" w:firstRowLastColumn="0" w:lastRowFirstColumn="0" w:lastRowLastColumn="0"/>
            </w:pPr>
            <w:r>
              <w:t>160</w:t>
            </w:r>
          </w:p>
        </w:tc>
      </w:tr>
      <w:tr w:rsidR="00445FD0" w14:paraId="3C6A3712" w14:textId="77777777" w:rsidTr="00445FD0">
        <w:tc>
          <w:tcPr>
            <w:cnfStyle w:val="001000000000" w:firstRow="0" w:lastRow="0" w:firstColumn="1" w:lastColumn="0" w:oddVBand="0" w:evenVBand="0" w:oddHBand="0" w:evenHBand="0" w:firstRowFirstColumn="0" w:firstRowLastColumn="0" w:lastRowFirstColumn="0" w:lastRowLastColumn="0"/>
            <w:tcW w:w="6946" w:type="dxa"/>
            <w:tcBorders>
              <w:top w:val="nil"/>
              <w:left w:val="nil"/>
              <w:bottom w:val="nil"/>
              <w:right w:val="nil"/>
            </w:tcBorders>
            <w:hideMark/>
          </w:tcPr>
          <w:p w14:paraId="215FF65C" w14:textId="77777777" w:rsidR="00445FD0" w:rsidRDefault="00445FD0">
            <w:pPr>
              <w:pStyle w:val="NoSpacing"/>
              <w:rPr>
                <w:b w:val="0"/>
              </w:rPr>
            </w:pPr>
            <w:r>
              <w:rPr>
                <w:b w:val="0"/>
              </w:rPr>
              <w:t>Changes to the LCA voting system</w:t>
            </w:r>
          </w:p>
          <w:p w14:paraId="797AE888" w14:textId="77777777" w:rsidR="00445FD0" w:rsidRDefault="00445FD0">
            <w:pPr>
              <w:pStyle w:val="NoSpacing"/>
              <w:rPr>
                <w:b w:val="0"/>
              </w:rPr>
            </w:pPr>
            <w:r>
              <w:rPr>
                <w:b w:val="0"/>
                <w:i/>
                <w:sz w:val="18"/>
                <w:szCs w:val="18"/>
              </w:rPr>
              <w:t xml:space="preserve">        LCA NSW District Church Council and others</w:t>
            </w:r>
          </w:p>
        </w:tc>
        <w:tc>
          <w:tcPr>
            <w:tcW w:w="1134" w:type="dxa"/>
            <w:tcBorders>
              <w:top w:val="nil"/>
              <w:left w:val="nil"/>
              <w:bottom w:val="nil"/>
              <w:right w:val="nil"/>
            </w:tcBorders>
            <w:vAlign w:val="bottom"/>
            <w:hideMark/>
          </w:tcPr>
          <w:p w14:paraId="7B37A3B0" w14:textId="77777777" w:rsidR="00445FD0" w:rsidRDefault="00445FD0">
            <w:pPr>
              <w:pStyle w:val="NoSpacing"/>
              <w:cnfStyle w:val="000000000000" w:firstRow="0" w:lastRow="0" w:firstColumn="0" w:lastColumn="0" w:oddVBand="0" w:evenVBand="0" w:oddHBand="0" w:evenHBand="0" w:firstRowFirstColumn="0" w:firstRowLastColumn="0" w:lastRowFirstColumn="0" w:lastRowLastColumn="0"/>
              <w:rPr>
                <w:b/>
              </w:rPr>
            </w:pPr>
            <w:r>
              <w:t>2.3.9</w:t>
            </w:r>
          </w:p>
        </w:tc>
        <w:tc>
          <w:tcPr>
            <w:tcW w:w="764" w:type="dxa"/>
            <w:tcBorders>
              <w:top w:val="nil"/>
              <w:left w:val="nil"/>
              <w:bottom w:val="nil"/>
              <w:right w:val="nil"/>
            </w:tcBorders>
            <w:vAlign w:val="bottom"/>
            <w:hideMark/>
          </w:tcPr>
          <w:p w14:paraId="208F8190" w14:textId="77777777" w:rsidR="00445FD0" w:rsidRDefault="00445FD0">
            <w:pPr>
              <w:pStyle w:val="NoSpacing"/>
              <w:jc w:val="right"/>
              <w:cnfStyle w:val="000000000000" w:firstRow="0" w:lastRow="0" w:firstColumn="0" w:lastColumn="0" w:oddVBand="0" w:evenVBand="0" w:oddHBand="0" w:evenHBand="0" w:firstRowFirstColumn="0" w:firstRowLastColumn="0" w:lastRowFirstColumn="0" w:lastRowLastColumn="0"/>
            </w:pPr>
            <w:r>
              <w:t>162</w:t>
            </w:r>
          </w:p>
        </w:tc>
      </w:tr>
      <w:tr w:rsidR="00445FD0" w14:paraId="0B682130" w14:textId="77777777" w:rsidTr="00445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Borders>
              <w:left w:val="nil"/>
              <w:right w:val="nil"/>
            </w:tcBorders>
            <w:hideMark/>
          </w:tcPr>
          <w:p w14:paraId="51CF8B80" w14:textId="77777777" w:rsidR="00445FD0" w:rsidRDefault="00445FD0">
            <w:pPr>
              <w:pStyle w:val="NoSpacing"/>
              <w:rPr>
                <w:b w:val="0"/>
              </w:rPr>
            </w:pPr>
            <w:r>
              <w:rPr>
                <w:b w:val="0"/>
              </w:rPr>
              <w:t>Request for a review of the Professional Standards Department</w:t>
            </w:r>
          </w:p>
          <w:p w14:paraId="22277ECD" w14:textId="77777777" w:rsidR="00445FD0" w:rsidRDefault="00445FD0">
            <w:pPr>
              <w:pStyle w:val="NoSpacing"/>
              <w:rPr>
                <w:b w:val="0"/>
              </w:rPr>
            </w:pPr>
            <w:r>
              <w:rPr>
                <w:b w:val="0"/>
                <w:i/>
                <w:sz w:val="18"/>
                <w:szCs w:val="18"/>
              </w:rPr>
              <w:t xml:space="preserve">        Redeemer Lutheran Congregation, Toowoomba Qld</w:t>
            </w:r>
          </w:p>
        </w:tc>
        <w:tc>
          <w:tcPr>
            <w:tcW w:w="1134" w:type="dxa"/>
            <w:tcBorders>
              <w:left w:val="nil"/>
              <w:right w:val="nil"/>
            </w:tcBorders>
            <w:vAlign w:val="bottom"/>
            <w:hideMark/>
          </w:tcPr>
          <w:p w14:paraId="60383505" w14:textId="77777777" w:rsidR="00445FD0" w:rsidRDefault="00445FD0">
            <w:pPr>
              <w:pStyle w:val="NoSpacing"/>
              <w:cnfStyle w:val="000000100000" w:firstRow="0" w:lastRow="0" w:firstColumn="0" w:lastColumn="0" w:oddVBand="0" w:evenVBand="0" w:oddHBand="1" w:evenHBand="0" w:firstRowFirstColumn="0" w:firstRowLastColumn="0" w:lastRowFirstColumn="0" w:lastRowLastColumn="0"/>
              <w:rPr>
                <w:b/>
              </w:rPr>
            </w:pPr>
            <w:r>
              <w:t>2.3.10</w:t>
            </w:r>
          </w:p>
        </w:tc>
        <w:tc>
          <w:tcPr>
            <w:tcW w:w="764" w:type="dxa"/>
            <w:tcBorders>
              <w:left w:val="nil"/>
              <w:right w:val="nil"/>
            </w:tcBorders>
            <w:vAlign w:val="bottom"/>
            <w:hideMark/>
          </w:tcPr>
          <w:p w14:paraId="6756E3A5" w14:textId="77777777" w:rsidR="00445FD0" w:rsidRDefault="00445FD0">
            <w:pPr>
              <w:pStyle w:val="NoSpacing"/>
              <w:jc w:val="right"/>
              <w:cnfStyle w:val="000000100000" w:firstRow="0" w:lastRow="0" w:firstColumn="0" w:lastColumn="0" w:oddVBand="0" w:evenVBand="0" w:oddHBand="1" w:evenHBand="0" w:firstRowFirstColumn="0" w:firstRowLastColumn="0" w:lastRowFirstColumn="0" w:lastRowLastColumn="0"/>
            </w:pPr>
            <w:r>
              <w:t>168</w:t>
            </w:r>
          </w:p>
        </w:tc>
      </w:tr>
      <w:tr w:rsidR="00445FD0" w14:paraId="7FF8F555" w14:textId="77777777" w:rsidTr="00445FD0">
        <w:tc>
          <w:tcPr>
            <w:cnfStyle w:val="001000000000" w:firstRow="0" w:lastRow="0" w:firstColumn="1" w:lastColumn="0" w:oddVBand="0" w:evenVBand="0" w:oddHBand="0" w:evenHBand="0" w:firstRowFirstColumn="0" w:firstRowLastColumn="0" w:lastRowFirstColumn="0" w:lastRowLastColumn="0"/>
            <w:tcW w:w="6946" w:type="dxa"/>
            <w:tcBorders>
              <w:top w:val="nil"/>
              <w:left w:val="nil"/>
              <w:bottom w:val="nil"/>
              <w:right w:val="nil"/>
            </w:tcBorders>
            <w:hideMark/>
          </w:tcPr>
          <w:p w14:paraId="34CDE5A9" w14:textId="77777777" w:rsidR="00445FD0" w:rsidRDefault="00445FD0">
            <w:pPr>
              <w:pStyle w:val="NoSpacing"/>
              <w:rPr>
                <w:b w:val="0"/>
              </w:rPr>
            </w:pPr>
            <w:r>
              <w:rPr>
                <w:b w:val="0"/>
              </w:rPr>
              <w:t>Change of interpretation of complaint procedures</w:t>
            </w:r>
          </w:p>
          <w:p w14:paraId="59F05936" w14:textId="77777777" w:rsidR="00445FD0" w:rsidRDefault="00445FD0">
            <w:pPr>
              <w:pStyle w:val="NoSpacing"/>
              <w:rPr>
                <w:b w:val="0"/>
              </w:rPr>
            </w:pPr>
            <w:r>
              <w:rPr>
                <w:b w:val="0"/>
                <w:i/>
                <w:sz w:val="18"/>
                <w:szCs w:val="18"/>
              </w:rPr>
              <w:t xml:space="preserve">        St Peter’s Lutheran Church, Hobart Tas</w:t>
            </w:r>
          </w:p>
        </w:tc>
        <w:tc>
          <w:tcPr>
            <w:tcW w:w="1134" w:type="dxa"/>
            <w:tcBorders>
              <w:top w:val="nil"/>
              <w:left w:val="nil"/>
              <w:bottom w:val="nil"/>
              <w:right w:val="nil"/>
            </w:tcBorders>
            <w:vAlign w:val="bottom"/>
            <w:hideMark/>
          </w:tcPr>
          <w:p w14:paraId="749B5E21" w14:textId="77777777" w:rsidR="00445FD0" w:rsidRDefault="00445FD0">
            <w:pPr>
              <w:pStyle w:val="NoSpacing"/>
              <w:cnfStyle w:val="000000000000" w:firstRow="0" w:lastRow="0" w:firstColumn="0" w:lastColumn="0" w:oddVBand="0" w:evenVBand="0" w:oddHBand="0" w:evenHBand="0" w:firstRowFirstColumn="0" w:firstRowLastColumn="0" w:lastRowFirstColumn="0" w:lastRowLastColumn="0"/>
              <w:rPr>
                <w:b/>
              </w:rPr>
            </w:pPr>
            <w:r>
              <w:t>2.3.11</w:t>
            </w:r>
          </w:p>
        </w:tc>
        <w:tc>
          <w:tcPr>
            <w:tcW w:w="764" w:type="dxa"/>
            <w:tcBorders>
              <w:top w:val="nil"/>
              <w:left w:val="nil"/>
              <w:bottom w:val="nil"/>
              <w:right w:val="nil"/>
            </w:tcBorders>
            <w:vAlign w:val="bottom"/>
            <w:hideMark/>
          </w:tcPr>
          <w:p w14:paraId="07771F50" w14:textId="77777777" w:rsidR="00445FD0" w:rsidRDefault="00445FD0">
            <w:pPr>
              <w:pStyle w:val="NoSpacing"/>
              <w:jc w:val="right"/>
              <w:cnfStyle w:val="000000000000" w:firstRow="0" w:lastRow="0" w:firstColumn="0" w:lastColumn="0" w:oddVBand="0" w:evenVBand="0" w:oddHBand="0" w:evenHBand="0" w:firstRowFirstColumn="0" w:firstRowLastColumn="0" w:lastRowFirstColumn="0" w:lastRowLastColumn="0"/>
            </w:pPr>
            <w:r>
              <w:t>170</w:t>
            </w:r>
          </w:p>
        </w:tc>
      </w:tr>
      <w:tr w:rsidR="00445FD0" w14:paraId="0BA9A9ED" w14:textId="77777777" w:rsidTr="00445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Borders>
              <w:left w:val="nil"/>
              <w:right w:val="nil"/>
            </w:tcBorders>
            <w:hideMark/>
          </w:tcPr>
          <w:p w14:paraId="0CE8C3B4" w14:textId="77777777" w:rsidR="00445FD0" w:rsidRDefault="00445FD0">
            <w:pPr>
              <w:pStyle w:val="NoSpacing"/>
              <w:rPr>
                <w:b w:val="0"/>
              </w:rPr>
            </w:pPr>
            <w:r>
              <w:rPr>
                <w:b w:val="0"/>
              </w:rPr>
              <w:t>Every effort is made to bring reconciliation and resolution before referral to the Tribunal</w:t>
            </w:r>
          </w:p>
          <w:p w14:paraId="58A893C0" w14:textId="77777777" w:rsidR="00445FD0" w:rsidRDefault="00445FD0">
            <w:pPr>
              <w:pStyle w:val="NoSpacing"/>
              <w:rPr>
                <w:b w:val="0"/>
              </w:rPr>
            </w:pPr>
            <w:r>
              <w:rPr>
                <w:b w:val="0"/>
                <w:i/>
                <w:sz w:val="18"/>
                <w:szCs w:val="18"/>
              </w:rPr>
              <w:t xml:space="preserve">        LCA Victoria and Tasmania Pastors Conference</w:t>
            </w:r>
          </w:p>
        </w:tc>
        <w:tc>
          <w:tcPr>
            <w:tcW w:w="1134" w:type="dxa"/>
            <w:tcBorders>
              <w:left w:val="nil"/>
              <w:right w:val="nil"/>
            </w:tcBorders>
            <w:vAlign w:val="bottom"/>
            <w:hideMark/>
          </w:tcPr>
          <w:p w14:paraId="563911E7" w14:textId="77777777" w:rsidR="00445FD0" w:rsidRDefault="00445FD0">
            <w:pPr>
              <w:pStyle w:val="NoSpacing"/>
              <w:cnfStyle w:val="000000100000" w:firstRow="0" w:lastRow="0" w:firstColumn="0" w:lastColumn="0" w:oddVBand="0" w:evenVBand="0" w:oddHBand="1" w:evenHBand="0" w:firstRowFirstColumn="0" w:firstRowLastColumn="0" w:lastRowFirstColumn="0" w:lastRowLastColumn="0"/>
              <w:rPr>
                <w:b/>
              </w:rPr>
            </w:pPr>
            <w:r>
              <w:t>2.3.12</w:t>
            </w:r>
          </w:p>
        </w:tc>
        <w:tc>
          <w:tcPr>
            <w:tcW w:w="764" w:type="dxa"/>
            <w:tcBorders>
              <w:left w:val="nil"/>
              <w:right w:val="nil"/>
            </w:tcBorders>
            <w:vAlign w:val="bottom"/>
            <w:hideMark/>
          </w:tcPr>
          <w:p w14:paraId="6670ACFF" w14:textId="77777777" w:rsidR="00445FD0" w:rsidRDefault="00445FD0">
            <w:pPr>
              <w:pStyle w:val="NoSpacing"/>
              <w:jc w:val="right"/>
              <w:cnfStyle w:val="000000100000" w:firstRow="0" w:lastRow="0" w:firstColumn="0" w:lastColumn="0" w:oddVBand="0" w:evenVBand="0" w:oddHBand="1" w:evenHBand="0" w:firstRowFirstColumn="0" w:firstRowLastColumn="0" w:lastRowFirstColumn="0" w:lastRowLastColumn="0"/>
            </w:pPr>
            <w:r>
              <w:t>171</w:t>
            </w:r>
          </w:p>
        </w:tc>
      </w:tr>
      <w:tr w:rsidR="00445FD0" w14:paraId="4665502E" w14:textId="77777777" w:rsidTr="00445FD0">
        <w:tc>
          <w:tcPr>
            <w:cnfStyle w:val="001000000000" w:firstRow="0" w:lastRow="0" w:firstColumn="1" w:lastColumn="0" w:oddVBand="0" w:evenVBand="0" w:oddHBand="0" w:evenHBand="0" w:firstRowFirstColumn="0" w:firstRowLastColumn="0" w:lastRowFirstColumn="0" w:lastRowLastColumn="0"/>
            <w:tcW w:w="6946" w:type="dxa"/>
            <w:tcBorders>
              <w:top w:val="nil"/>
              <w:left w:val="nil"/>
              <w:bottom w:val="nil"/>
              <w:right w:val="nil"/>
            </w:tcBorders>
            <w:hideMark/>
          </w:tcPr>
          <w:p w14:paraId="06E8A32C" w14:textId="77777777" w:rsidR="00445FD0" w:rsidRDefault="00445FD0">
            <w:pPr>
              <w:pStyle w:val="NoSpacing"/>
              <w:rPr>
                <w:b w:val="0"/>
              </w:rPr>
            </w:pPr>
            <w:r>
              <w:rPr>
                <w:b w:val="0"/>
              </w:rPr>
              <w:t>Adoption of a congregation risk assessment program</w:t>
            </w:r>
          </w:p>
          <w:p w14:paraId="25C879B2" w14:textId="77777777" w:rsidR="00445FD0" w:rsidRDefault="00445FD0">
            <w:pPr>
              <w:pStyle w:val="NoSpacing"/>
              <w:rPr>
                <w:b w:val="0"/>
              </w:rPr>
            </w:pPr>
            <w:r>
              <w:rPr>
                <w:b w:val="0"/>
                <w:i/>
                <w:sz w:val="18"/>
                <w:szCs w:val="18"/>
              </w:rPr>
              <w:t xml:space="preserve">        St Peter’s Lutheran Church, Hobart Tas</w:t>
            </w:r>
          </w:p>
        </w:tc>
        <w:tc>
          <w:tcPr>
            <w:tcW w:w="1134" w:type="dxa"/>
            <w:tcBorders>
              <w:top w:val="nil"/>
              <w:left w:val="nil"/>
              <w:bottom w:val="nil"/>
              <w:right w:val="nil"/>
            </w:tcBorders>
            <w:vAlign w:val="bottom"/>
            <w:hideMark/>
          </w:tcPr>
          <w:p w14:paraId="16F169AC" w14:textId="77777777" w:rsidR="00445FD0" w:rsidRDefault="00445FD0">
            <w:pPr>
              <w:pStyle w:val="NoSpacing"/>
              <w:cnfStyle w:val="000000000000" w:firstRow="0" w:lastRow="0" w:firstColumn="0" w:lastColumn="0" w:oddVBand="0" w:evenVBand="0" w:oddHBand="0" w:evenHBand="0" w:firstRowFirstColumn="0" w:firstRowLastColumn="0" w:lastRowFirstColumn="0" w:lastRowLastColumn="0"/>
              <w:rPr>
                <w:b/>
              </w:rPr>
            </w:pPr>
            <w:r>
              <w:t>2.3.13</w:t>
            </w:r>
          </w:p>
        </w:tc>
        <w:tc>
          <w:tcPr>
            <w:tcW w:w="764" w:type="dxa"/>
            <w:tcBorders>
              <w:top w:val="nil"/>
              <w:left w:val="nil"/>
              <w:bottom w:val="nil"/>
              <w:right w:val="nil"/>
            </w:tcBorders>
            <w:vAlign w:val="bottom"/>
            <w:hideMark/>
          </w:tcPr>
          <w:p w14:paraId="466FB451" w14:textId="77777777" w:rsidR="00445FD0" w:rsidRDefault="00445FD0">
            <w:pPr>
              <w:pStyle w:val="NoSpacing"/>
              <w:jc w:val="right"/>
              <w:cnfStyle w:val="000000000000" w:firstRow="0" w:lastRow="0" w:firstColumn="0" w:lastColumn="0" w:oddVBand="0" w:evenVBand="0" w:oddHBand="0" w:evenHBand="0" w:firstRowFirstColumn="0" w:firstRowLastColumn="0" w:lastRowFirstColumn="0" w:lastRowLastColumn="0"/>
            </w:pPr>
            <w:r>
              <w:t>171</w:t>
            </w:r>
          </w:p>
        </w:tc>
      </w:tr>
      <w:tr w:rsidR="00445FD0" w14:paraId="61C95A4A" w14:textId="77777777" w:rsidTr="00445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Borders>
              <w:left w:val="nil"/>
              <w:right w:val="nil"/>
            </w:tcBorders>
            <w:hideMark/>
          </w:tcPr>
          <w:p w14:paraId="37C1DCDD" w14:textId="77777777" w:rsidR="00445FD0" w:rsidRDefault="00445FD0">
            <w:pPr>
              <w:pStyle w:val="NoSpacing"/>
              <w:rPr>
                <w:b w:val="0"/>
              </w:rPr>
            </w:pPr>
            <w:r>
              <w:rPr>
                <w:b w:val="0"/>
              </w:rPr>
              <w:t>Examination of avenues to provide a pastoral support agency</w:t>
            </w:r>
          </w:p>
          <w:p w14:paraId="2342D032" w14:textId="77777777" w:rsidR="00445FD0" w:rsidRDefault="00445FD0">
            <w:pPr>
              <w:pStyle w:val="NoSpacing"/>
              <w:rPr>
                <w:b w:val="0"/>
              </w:rPr>
            </w:pPr>
            <w:r>
              <w:rPr>
                <w:b w:val="0"/>
                <w:i/>
                <w:sz w:val="18"/>
                <w:szCs w:val="18"/>
              </w:rPr>
              <w:t xml:space="preserve">        St Peter’s Lutheran Church, Hobart Tas</w:t>
            </w:r>
          </w:p>
        </w:tc>
        <w:tc>
          <w:tcPr>
            <w:tcW w:w="1134" w:type="dxa"/>
            <w:tcBorders>
              <w:left w:val="nil"/>
              <w:right w:val="nil"/>
            </w:tcBorders>
            <w:vAlign w:val="bottom"/>
            <w:hideMark/>
          </w:tcPr>
          <w:p w14:paraId="5539D3B2" w14:textId="77777777" w:rsidR="00445FD0" w:rsidRDefault="00445FD0">
            <w:pPr>
              <w:pStyle w:val="NoSpacing"/>
              <w:cnfStyle w:val="000000100000" w:firstRow="0" w:lastRow="0" w:firstColumn="0" w:lastColumn="0" w:oddVBand="0" w:evenVBand="0" w:oddHBand="1" w:evenHBand="0" w:firstRowFirstColumn="0" w:firstRowLastColumn="0" w:lastRowFirstColumn="0" w:lastRowLastColumn="0"/>
              <w:rPr>
                <w:b/>
              </w:rPr>
            </w:pPr>
            <w:r>
              <w:t>2.3.14</w:t>
            </w:r>
          </w:p>
        </w:tc>
        <w:tc>
          <w:tcPr>
            <w:tcW w:w="764" w:type="dxa"/>
            <w:tcBorders>
              <w:left w:val="nil"/>
              <w:right w:val="nil"/>
            </w:tcBorders>
            <w:vAlign w:val="bottom"/>
            <w:hideMark/>
          </w:tcPr>
          <w:p w14:paraId="267B4316" w14:textId="77777777" w:rsidR="00445FD0" w:rsidRDefault="00445FD0">
            <w:pPr>
              <w:pStyle w:val="NoSpacing"/>
              <w:jc w:val="right"/>
              <w:cnfStyle w:val="000000100000" w:firstRow="0" w:lastRow="0" w:firstColumn="0" w:lastColumn="0" w:oddVBand="0" w:evenVBand="0" w:oddHBand="1" w:evenHBand="0" w:firstRowFirstColumn="0" w:firstRowLastColumn="0" w:lastRowFirstColumn="0" w:lastRowLastColumn="0"/>
            </w:pPr>
            <w:r>
              <w:t>172</w:t>
            </w:r>
          </w:p>
        </w:tc>
      </w:tr>
      <w:tr w:rsidR="00445FD0" w14:paraId="6A307653" w14:textId="77777777" w:rsidTr="00445FD0">
        <w:tc>
          <w:tcPr>
            <w:cnfStyle w:val="001000000000" w:firstRow="0" w:lastRow="0" w:firstColumn="1" w:lastColumn="0" w:oddVBand="0" w:evenVBand="0" w:oddHBand="0" w:evenHBand="0" w:firstRowFirstColumn="0" w:firstRowLastColumn="0" w:lastRowFirstColumn="0" w:lastRowLastColumn="0"/>
            <w:tcW w:w="6946" w:type="dxa"/>
            <w:tcBorders>
              <w:top w:val="nil"/>
              <w:left w:val="nil"/>
              <w:bottom w:val="nil"/>
              <w:right w:val="nil"/>
            </w:tcBorders>
            <w:hideMark/>
          </w:tcPr>
          <w:p w14:paraId="0499A4AD" w14:textId="77777777" w:rsidR="00445FD0" w:rsidRDefault="00445FD0">
            <w:pPr>
              <w:pStyle w:val="NoSpacing"/>
              <w:rPr>
                <w:b w:val="0"/>
              </w:rPr>
            </w:pPr>
            <w:r>
              <w:rPr>
                <w:b w:val="0"/>
              </w:rPr>
              <w:t>Provide support to pastors and church workers who appear before the Tribunal</w:t>
            </w:r>
          </w:p>
          <w:p w14:paraId="154F2185" w14:textId="77777777" w:rsidR="00445FD0" w:rsidRDefault="00445FD0">
            <w:pPr>
              <w:pStyle w:val="NoSpacing"/>
              <w:rPr>
                <w:b w:val="0"/>
              </w:rPr>
            </w:pPr>
            <w:r>
              <w:rPr>
                <w:b w:val="0"/>
                <w:i/>
                <w:sz w:val="18"/>
                <w:szCs w:val="18"/>
              </w:rPr>
              <w:t xml:space="preserve">        LCA Victoria and Tasmania Pastors Conference</w:t>
            </w:r>
          </w:p>
        </w:tc>
        <w:tc>
          <w:tcPr>
            <w:tcW w:w="1134" w:type="dxa"/>
            <w:tcBorders>
              <w:top w:val="nil"/>
              <w:left w:val="nil"/>
              <w:bottom w:val="nil"/>
              <w:right w:val="nil"/>
            </w:tcBorders>
            <w:vAlign w:val="bottom"/>
            <w:hideMark/>
          </w:tcPr>
          <w:p w14:paraId="17C5A64A" w14:textId="77777777" w:rsidR="00445FD0" w:rsidRDefault="00445FD0">
            <w:pPr>
              <w:pStyle w:val="NoSpacing"/>
              <w:cnfStyle w:val="000000000000" w:firstRow="0" w:lastRow="0" w:firstColumn="0" w:lastColumn="0" w:oddVBand="0" w:evenVBand="0" w:oddHBand="0" w:evenHBand="0" w:firstRowFirstColumn="0" w:firstRowLastColumn="0" w:lastRowFirstColumn="0" w:lastRowLastColumn="0"/>
              <w:rPr>
                <w:b/>
              </w:rPr>
            </w:pPr>
            <w:r>
              <w:t>2.3.15</w:t>
            </w:r>
          </w:p>
        </w:tc>
        <w:tc>
          <w:tcPr>
            <w:tcW w:w="764" w:type="dxa"/>
            <w:tcBorders>
              <w:top w:val="nil"/>
              <w:left w:val="nil"/>
              <w:bottom w:val="nil"/>
              <w:right w:val="nil"/>
            </w:tcBorders>
            <w:vAlign w:val="bottom"/>
            <w:hideMark/>
          </w:tcPr>
          <w:p w14:paraId="1489167D" w14:textId="77777777" w:rsidR="00445FD0" w:rsidRDefault="00445FD0">
            <w:pPr>
              <w:pStyle w:val="NoSpacing"/>
              <w:jc w:val="right"/>
              <w:cnfStyle w:val="000000000000" w:firstRow="0" w:lastRow="0" w:firstColumn="0" w:lastColumn="0" w:oddVBand="0" w:evenVBand="0" w:oddHBand="0" w:evenHBand="0" w:firstRowFirstColumn="0" w:firstRowLastColumn="0" w:lastRowFirstColumn="0" w:lastRowLastColumn="0"/>
            </w:pPr>
            <w:r>
              <w:t>172</w:t>
            </w:r>
          </w:p>
        </w:tc>
      </w:tr>
      <w:tr w:rsidR="00445FD0" w14:paraId="03C6655F" w14:textId="77777777" w:rsidTr="00445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Borders>
              <w:left w:val="nil"/>
              <w:right w:val="nil"/>
            </w:tcBorders>
            <w:hideMark/>
          </w:tcPr>
          <w:p w14:paraId="603841D7" w14:textId="77777777" w:rsidR="00445FD0" w:rsidRDefault="00445FD0">
            <w:pPr>
              <w:pStyle w:val="NoSpacing"/>
              <w:rPr>
                <w:b w:val="0"/>
              </w:rPr>
            </w:pPr>
            <w:r>
              <w:rPr>
                <w:b w:val="0"/>
              </w:rPr>
              <w:t>Make available the use of child protection training from other denominations</w:t>
            </w:r>
          </w:p>
          <w:p w14:paraId="6942C053" w14:textId="77777777" w:rsidR="00445FD0" w:rsidRDefault="00445FD0">
            <w:pPr>
              <w:pStyle w:val="NoSpacing"/>
              <w:rPr>
                <w:b w:val="0"/>
              </w:rPr>
            </w:pPr>
            <w:r>
              <w:rPr>
                <w:b w:val="0"/>
                <w:i/>
                <w:sz w:val="18"/>
                <w:szCs w:val="18"/>
              </w:rPr>
              <w:t xml:space="preserve">        Calvary Lutheran Church, Rockhampton Qld</w:t>
            </w:r>
          </w:p>
        </w:tc>
        <w:tc>
          <w:tcPr>
            <w:tcW w:w="1134" w:type="dxa"/>
            <w:tcBorders>
              <w:left w:val="nil"/>
              <w:right w:val="nil"/>
            </w:tcBorders>
            <w:vAlign w:val="bottom"/>
            <w:hideMark/>
          </w:tcPr>
          <w:p w14:paraId="40D92D95" w14:textId="77777777" w:rsidR="00445FD0" w:rsidRDefault="00445FD0">
            <w:pPr>
              <w:pStyle w:val="NoSpacing"/>
              <w:cnfStyle w:val="000000100000" w:firstRow="0" w:lastRow="0" w:firstColumn="0" w:lastColumn="0" w:oddVBand="0" w:evenVBand="0" w:oddHBand="1" w:evenHBand="0" w:firstRowFirstColumn="0" w:firstRowLastColumn="0" w:lastRowFirstColumn="0" w:lastRowLastColumn="0"/>
              <w:rPr>
                <w:b/>
              </w:rPr>
            </w:pPr>
            <w:r>
              <w:t>2.3.16</w:t>
            </w:r>
          </w:p>
        </w:tc>
        <w:tc>
          <w:tcPr>
            <w:tcW w:w="764" w:type="dxa"/>
            <w:tcBorders>
              <w:left w:val="nil"/>
              <w:right w:val="nil"/>
            </w:tcBorders>
            <w:vAlign w:val="bottom"/>
            <w:hideMark/>
          </w:tcPr>
          <w:p w14:paraId="66B68983" w14:textId="77777777" w:rsidR="00445FD0" w:rsidRDefault="00445FD0">
            <w:pPr>
              <w:pStyle w:val="NoSpacing"/>
              <w:jc w:val="right"/>
              <w:cnfStyle w:val="000000100000" w:firstRow="0" w:lastRow="0" w:firstColumn="0" w:lastColumn="0" w:oddVBand="0" w:evenVBand="0" w:oddHBand="1" w:evenHBand="0" w:firstRowFirstColumn="0" w:firstRowLastColumn="0" w:lastRowFirstColumn="0" w:lastRowLastColumn="0"/>
            </w:pPr>
            <w:r>
              <w:t>173</w:t>
            </w:r>
          </w:p>
        </w:tc>
      </w:tr>
      <w:tr w:rsidR="00445FD0" w14:paraId="75760F7F" w14:textId="77777777" w:rsidTr="00445FD0">
        <w:tc>
          <w:tcPr>
            <w:cnfStyle w:val="001000000000" w:firstRow="0" w:lastRow="0" w:firstColumn="1" w:lastColumn="0" w:oddVBand="0" w:evenVBand="0" w:oddHBand="0" w:evenHBand="0" w:firstRowFirstColumn="0" w:firstRowLastColumn="0" w:lastRowFirstColumn="0" w:lastRowLastColumn="0"/>
            <w:tcW w:w="6946" w:type="dxa"/>
            <w:tcBorders>
              <w:top w:val="nil"/>
              <w:left w:val="nil"/>
              <w:bottom w:val="nil"/>
              <w:right w:val="nil"/>
            </w:tcBorders>
            <w:hideMark/>
          </w:tcPr>
          <w:p w14:paraId="6D2BADDF" w14:textId="77777777" w:rsidR="00445FD0" w:rsidRDefault="00445FD0">
            <w:pPr>
              <w:pStyle w:val="NoSpacing"/>
              <w:rPr>
                <w:b w:val="0"/>
              </w:rPr>
            </w:pPr>
            <w:r>
              <w:rPr>
                <w:b w:val="0"/>
              </w:rPr>
              <w:t>Recognition of Aboriginal members</w:t>
            </w:r>
          </w:p>
          <w:p w14:paraId="3FBA4557" w14:textId="77777777" w:rsidR="00445FD0" w:rsidRDefault="00445FD0">
            <w:pPr>
              <w:pStyle w:val="NoSpacing"/>
              <w:rPr>
                <w:b w:val="0"/>
              </w:rPr>
            </w:pPr>
            <w:r>
              <w:rPr>
                <w:b w:val="0"/>
                <w:i/>
                <w:sz w:val="18"/>
                <w:szCs w:val="18"/>
              </w:rPr>
              <w:t xml:space="preserve">        Redeemer Lutheran Congregation, Toowoomba Qld</w:t>
            </w:r>
          </w:p>
        </w:tc>
        <w:tc>
          <w:tcPr>
            <w:tcW w:w="1134" w:type="dxa"/>
            <w:tcBorders>
              <w:top w:val="nil"/>
              <w:left w:val="nil"/>
              <w:bottom w:val="nil"/>
              <w:right w:val="nil"/>
            </w:tcBorders>
            <w:vAlign w:val="bottom"/>
            <w:hideMark/>
          </w:tcPr>
          <w:p w14:paraId="6802E1DC" w14:textId="77777777" w:rsidR="00445FD0" w:rsidRDefault="00445FD0">
            <w:pPr>
              <w:pStyle w:val="NoSpacing"/>
              <w:cnfStyle w:val="000000000000" w:firstRow="0" w:lastRow="0" w:firstColumn="0" w:lastColumn="0" w:oddVBand="0" w:evenVBand="0" w:oddHBand="0" w:evenHBand="0" w:firstRowFirstColumn="0" w:firstRowLastColumn="0" w:lastRowFirstColumn="0" w:lastRowLastColumn="0"/>
              <w:rPr>
                <w:b/>
              </w:rPr>
            </w:pPr>
            <w:r>
              <w:t>2.3.17</w:t>
            </w:r>
          </w:p>
        </w:tc>
        <w:tc>
          <w:tcPr>
            <w:tcW w:w="764" w:type="dxa"/>
            <w:tcBorders>
              <w:top w:val="nil"/>
              <w:left w:val="nil"/>
              <w:bottom w:val="nil"/>
              <w:right w:val="nil"/>
            </w:tcBorders>
            <w:vAlign w:val="bottom"/>
            <w:hideMark/>
          </w:tcPr>
          <w:p w14:paraId="519FAB28" w14:textId="77777777" w:rsidR="00445FD0" w:rsidRDefault="00445FD0">
            <w:pPr>
              <w:pStyle w:val="NoSpacing"/>
              <w:jc w:val="right"/>
              <w:cnfStyle w:val="000000000000" w:firstRow="0" w:lastRow="0" w:firstColumn="0" w:lastColumn="0" w:oddVBand="0" w:evenVBand="0" w:oddHBand="0" w:evenHBand="0" w:firstRowFirstColumn="0" w:firstRowLastColumn="0" w:lastRowFirstColumn="0" w:lastRowLastColumn="0"/>
            </w:pPr>
            <w:r>
              <w:t>173</w:t>
            </w:r>
          </w:p>
        </w:tc>
      </w:tr>
      <w:tr w:rsidR="00445FD0" w14:paraId="0F6DE3D5" w14:textId="77777777" w:rsidTr="00445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Borders>
              <w:left w:val="nil"/>
              <w:right w:val="nil"/>
            </w:tcBorders>
            <w:hideMark/>
          </w:tcPr>
          <w:p w14:paraId="4D3D5F8A" w14:textId="77777777" w:rsidR="00445FD0" w:rsidRDefault="00445FD0">
            <w:pPr>
              <w:pStyle w:val="NoSpacing"/>
              <w:rPr>
                <w:b w:val="0"/>
              </w:rPr>
            </w:pPr>
            <w:r>
              <w:rPr>
                <w:b w:val="0"/>
              </w:rPr>
              <w:t>Change the name of the church to Lutheran Church of Australia and New Zealand</w:t>
            </w:r>
          </w:p>
          <w:p w14:paraId="46871A42" w14:textId="77777777" w:rsidR="00445FD0" w:rsidRDefault="00445FD0">
            <w:pPr>
              <w:pStyle w:val="NoSpacing"/>
              <w:rPr>
                <w:b w:val="0"/>
              </w:rPr>
            </w:pPr>
            <w:r>
              <w:rPr>
                <w:b w:val="0"/>
                <w:i/>
                <w:sz w:val="18"/>
                <w:szCs w:val="18"/>
              </w:rPr>
              <w:t xml:space="preserve">        Lutheran Church of New Zealand Council of Synod</w:t>
            </w:r>
          </w:p>
        </w:tc>
        <w:tc>
          <w:tcPr>
            <w:tcW w:w="1134" w:type="dxa"/>
            <w:tcBorders>
              <w:left w:val="nil"/>
              <w:right w:val="nil"/>
            </w:tcBorders>
            <w:vAlign w:val="bottom"/>
            <w:hideMark/>
          </w:tcPr>
          <w:p w14:paraId="480729BF" w14:textId="77777777" w:rsidR="00445FD0" w:rsidRDefault="00445FD0">
            <w:pPr>
              <w:pStyle w:val="NoSpacing"/>
              <w:cnfStyle w:val="000000100000" w:firstRow="0" w:lastRow="0" w:firstColumn="0" w:lastColumn="0" w:oddVBand="0" w:evenVBand="0" w:oddHBand="1" w:evenHBand="0" w:firstRowFirstColumn="0" w:firstRowLastColumn="0" w:lastRowFirstColumn="0" w:lastRowLastColumn="0"/>
              <w:rPr>
                <w:b/>
              </w:rPr>
            </w:pPr>
            <w:r>
              <w:t>2.3.18</w:t>
            </w:r>
          </w:p>
        </w:tc>
        <w:tc>
          <w:tcPr>
            <w:tcW w:w="764" w:type="dxa"/>
            <w:tcBorders>
              <w:left w:val="nil"/>
              <w:right w:val="nil"/>
            </w:tcBorders>
            <w:vAlign w:val="bottom"/>
            <w:hideMark/>
          </w:tcPr>
          <w:p w14:paraId="55D96112" w14:textId="5C78852D" w:rsidR="00445FD0" w:rsidRDefault="003B6C7A">
            <w:pPr>
              <w:pStyle w:val="NoSpacing"/>
              <w:jc w:val="right"/>
              <w:cnfStyle w:val="000000100000" w:firstRow="0" w:lastRow="0" w:firstColumn="0" w:lastColumn="0" w:oddVBand="0" w:evenVBand="0" w:oddHBand="1" w:evenHBand="0" w:firstRowFirstColumn="0" w:firstRowLastColumn="0" w:lastRowFirstColumn="0" w:lastRowLastColumn="0"/>
            </w:pPr>
            <w:r>
              <w:t>175</w:t>
            </w:r>
          </w:p>
        </w:tc>
      </w:tr>
      <w:tr w:rsidR="00445FD0" w14:paraId="1BD2E1C8" w14:textId="77777777" w:rsidTr="00445FD0">
        <w:tc>
          <w:tcPr>
            <w:cnfStyle w:val="001000000000" w:firstRow="0" w:lastRow="0" w:firstColumn="1" w:lastColumn="0" w:oddVBand="0" w:evenVBand="0" w:oddHBand="0" w:evenHBand="0" w:firstRowFirstColumn="0" w:firstRowLastColumn="0" w:lastRowFirstColumn="0" w:lastRowLastColumn="0"/>
            <w:tcW w:w="6946" w:type="dxa"/>
            <w:tcBorders>
              <w:top w:val="nil"/>
              <w:left w:val="nil"/>
              <w:bottom w:val="nil"/>
              <w:right w:val="nil"/>
            </w:tcBorders>
            <w:hideMark/>
          </w:tcPr>
          <w:p w14:paraId="05CA1243" w14:textId="77777777" w:rsidR="00445FD0" w:rsidRDefault="00445FD0">
            <w:pPr>
              <w:pStyle w:val="NoSpacing"/>
              <w:rPr>
                <w:b w:val="0"/>
              </w:rPr>
            </w:pPr>
            <w:r>
              <w:rPr>
                <w:b w:val="0"/>
              </w:rPr>
              <w:t>College of Bishops to address the serious shortage of pastors</w:t>
            </w:r>
          </w:p>
          <w:p w14:paraId="342B4A70" w14:textId="77777777" w:rsidR="00445FD0" w:rsidRDefault="00445FD0">
            <w:pPr>
              <w:pStyle w:val="NoSpacing"/>
              <w:rPr>
                <w:b w:val="0"/>
              </w:rPr>
            </w:pPr>
            <w:r>
              <w:rPr>
                <w:b w:val="0"/>
                <w:i/>
                <w:sz w:val="18"/>
                <w:szCs w:val="18"/>
              </w:rPr>
              <w:t xml:space="preserve">        St Paul’s Lutheran Church, Parkes NSW</w:t>
            </w:r>
          </w:p>
        </w:tc>
        <w:tc>
          <w:tcPr>
            <w:tcW w:w="1134" w:type="dxa"/>
            <w:tcBorders>
              <w:top w:val="nil"/>
              <w:left w:val="nil"/>
              <w:bottom w:val="nil"/>
              <w:right w:val="nil"/>
            </w:tcBorders>
            <w:vAlign w:val="bottom"/>
            <w:hideMark/>
          </w:tcPr>
          <w:p w14:paraId="7BD38A11" w14:textId="77777777" w:rsidR="00445FD0" w:rsidRDefault="00445FD0">
            <w:pPr>
              <w:pStyle w:val="NoSpacing"/>
              <w:cnfStyle w:val="000000000000" w:firstRow="0" w:lastRow="0" w:firstColumn="0" w:lastColumn="0" w:oddVBand="0" w:evenVBand="0" w:oddHBand="0" w:evenHBand="0" w:firstRowFirstColumn="0" w:firstRowLastColumn="0" w:lastRowFirstColumn="0" w:lastRowLastColumn="0"/>
              <w:rPr>
                <w:b/>
              </w:rPr>
            </w:pPr>
            <w:r>
              <w:t>2.3.19</w:t>
            </w:r>
          </w:p>
        </w:tc>
        <w:tc>
          <w:tcPr>
            <w:tcW w:w="764" w:type="dxa"/>
            <w:tcBorders>
              <w:top w:val="nil"/>
              <w:left w:val="nil"/>
              <w:bottom w:val="nil"/>
              <w:right w:val="nil"/>
            </w:tcBorders>
            <w:vAlign w:val="bottom"/>
            <w:hideMark/>
          </w:tcPr>
          <w:p w14:paraId="7D64B724" w14:textId="77777777" w:rsidR="00445FD0" w:rsidRDefault="00445FD0">
            <w:pPr>
              <w:pStyle w:val="NoSpacing"/>
              <w:jc w:val="right"/>
              <w:cnfStyle w:val="000000000000" w:firstRow="0" w:lastRow="0" w:firstColumn="0" w:lastColumn="0" w:oddVBand="0" w:evenVBand="0" w:oddHBand="0" w:evenHBand="0" w:firstRowFirstColumn="0" w:firstRowLastColumn="0" w:lastRowFirstColumn="0" w:lastRowLastColumn="0"/>
            </w:pPr>
            <w:r>
              <w:t>175</w:t>
            </w:r>
          </w:p>
        </w:tc>
      </w:tr>
      <w:tr w:rsidR="00445FD0" w14:paraId="63D88928" w14:textId="77777777" w:rsidTr="00445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Borders>
              <w:left w:val="nil"/>
              <w:right w:val="nil"/>
            </w:tcBorders>
            <w:hideMark/>
          </w:tcPr>
          <w:p w14:paraId="042C7952" w14:textId="77777777" w:rsidR="00445FD0" w:rsidRDefault="00445FD0">
            <w:pPr>
              <w:pStyle w:val="NoSpacing"/>
              <w:rPr>
                <w:b w:val="0"/>
              </w:rPr>
            </w:pPr>
            <w:r>
              <w:rPr>
                <w:b w:val="0"/>
              </w:rPr>
              <w:t>Dispensing with the title of ‘Bishop’</w:t>
            </w:r>
          </w:p>
          <w:p w14:paraId="3936F317" w14:textId="77777777" w:rsidR="00445FD0" w:rsidRDefault="00445FD0">
            <w:pPr>
              <w:pStyle w:val="NoSpacing"/>
              <w:rPr>
                <w:b w:val="0"/>
              </w:rPr>
            </w:pPr>
            <w:r>
              <w:rPr>
                <w:b w:val="0"/>
                <w:i/>
                <w:sz w:val="18"/>
                <w:szCs w:val="18"/>
              </w:rPr>
              <w:t xml:space="preserve">        Christ Church, Murray Bridge SA</w:t>
            </w:r>
          </w:p>
        </w:tc>
        <w:tc>
          <w:tcPr>
            <w:tcW w:w="1134" w:type="dxa"/>
            <w:tcBorders>
              <w:left w:val="nil"/>
              <w:right w:val="nil"/>
            </w:tcBorders>
            <w:vAlign w:val="bottom"/>
            <w:hideMark/>
          </w:tcPr>
          <w:p w14:paraId="0C188AF5" w14:textId="77777777" w:rsidR="00445FD0" w:rsidRDefault="00445FD0">
            <w:pPr>
              <w:pStyle w:val="NoSpacing"/>
              <w:cnfStyle w:val="000000100000" w:firstRow="0" w:lastRow="0" w:firstColumn="0" w:lastColumn="0" w:oddVBand="0" w:evenVBand="0" w:oddHBand="1" w:evenHBand="0" w:firstRowFirstColumn="0" w:firstRowLastColumn="0" w:lastRowFirstColumn="0" w:lastRowLastColumn="0"/>
              <w:rPr>
                <w:b/>
              </w:rPr>
            </w:pPr>
            <w:r>
              <w:t>2.3.20</w:t>
            </w:r>
          </w:p>
        </w:tc>
        <w:tc>
          <w:tcPr>
            <w:tcW w:w="764" w:type="dxa"/>
            <w:tcBorders>
              <w:left w:val="nil"/>
              <w:right w:val="nil"/>
            </w:tcBorders>
            <w:vAlign w:val="bottom"/>
            <w:hideMark/>
          </w:tcPr>
          <w:p w14:paraId="24978510" w14:textId="77777777" w:rsidR="00445FD0" w:rsidRDefault="00445FD0">
            <w:pPr>
              <w:pStyle w:val="NoSpacing"/>
              <w:jc w:val="right"/>
              <w:cnfStyle w:val="000000100000" w:firstRow="0" w:lastRow="0" w:firstColumn="0" w:lastColumn="0" w:oddVBand="0" w:evenVBand="0" w:oddHBand="1" w:evenHBand="0" w:firstRowFirstColumn="0" w:firstRowLastColumn="0" w:lastRowFirstColumn="0" w:lastRowLastColumn="0"/>
            </w:pPr>
            <w:r>
              <w:t>176</w:t>
            </w:r>
          </w:p>
        </w:tc>
      </w:tr>
      <w:tr w:rsidR="00445FD0" w14:paraId="47A460F7" w14:textId="77777777" w:rsidTr="00445FD0">
        <w:tc>
          <w:tcPr>
            <w:cnfStyle w:val="001000000000" w:firstRow="0" w:lastRow="0" w:firstColumn="1" w:lastColumn="0" w:oddVBand="0" w:evenVBand="0" w:oddHBand="0" w:evenHBand="0" w:firstRowFirstColumn="0" w:firstRowLastColumn="0" w:lastRowFirstColumn="0" w:lastRowLastColumn="0"/>
            <w:tcW w:w="6946" w:type="dxa"/>
            <w:tcBorders>
              <w:top w:val="nil"/>
              <w:left w:val="nil"/>
              <w:bottom w:val="nil"/>
              <w:right w:val="nil"/>
            </w:tcBorders>
            <w:hideMark/>
          </w:tcPr>
          <w:p w14:paraId="0512B547" w14:textId="77777777" w:rsidR="00445FD0" w:rsidRDefault="00445FD0">
            <w:pPr>
              <w:pStyle w:val="NoSpacing"/>
              <w:rPr>
                <w:b w:val="0"/>
              </w:rPr>
            </w:pPr>
            <w:r>
              <w:rPr>
                <w:b w:val="0"/>
              </w:rPr>
              <w:t>Mark the 500</w:t>
            </w:r>
            <w:r>
              <w:rPr>
                <w:b w:val="0"/>
                <w:vertAlign w:val="superscript"/>
              </w:rPr>
              <w:t>th</w:t>
            </w:r>
            <w:r>
              <w:rPr>
                <w:b w:val="0"/>
              </w:rPr>
              <w:t xml:space="preserve"> anniversary of the Reformation</w:t>
            </w:r>
          </w:p>
          <w:p w14:paraId="39C10DEE" w14:textId="77777777" w:rsidR="00445FD0" w:rsidRDefault="00445FD0">
            <w:pPr>
              <w:pStyle w:val="NoSpacing"/>
              <w:rPr>
                <w:b w:val="0"/>
              </w:rPr>
            </w:pPr>
            <w:r>
              <w:rPr>
                <w:b w:val="0"/>
                <w:i/>
                <w:sz w:val="18"/>
                <w:szCs w:val="18"/>
              </w:rPr>
              <w:t xml:space="preserve">        St John’s Lutheran Church, Geelong Vic</w:t>
            </w:r>
          </w:p>
        </w:tc>
        <w:tc>
          <w:tcPr>
            <w:tcW w:w="1134" w:type="dxa"/>
            <w:tcBorders>
              <w:top w:val="nil"/>
              <w:left w:val="nil"/>
              <w:bottom w:val="nil"/>
              <w:right w:val="nil"/>
            </w:tcBorders>
            <w:vAlign w:val="bottom"/>
            <w:hideMark/>
          </w:tcPr>
          <w:p w14:paraId="3E403296" w14:textId="77777777" w:rsidR="00445FD0" w:rsidRDefault="00445FD0">
            <w:pPr>
              <w:pStyle w:val="NoSpacing"/>
              <w:cnfStyle w:val="000000000000" w:firstRow="0" w:lastRow="0" w:firstColumn="0" w:lastColumn="0" w:oddVBand="0" w:evenVBand="0" w:oddHBand="0" w:evenHBand="0" w:firstRowFirstColumn="0" w:firstRowLastColumn="0" w:lastRowFirstColumn="0" w:lastRowLastColumn="0"/>
              <w:rPr>
                <w:b/>
              </w:rPr>
            </w:pPr>
            <w:r>
              <w:t>2.3.21</w:t>
            </w:r>
          </w:p>
        </w:tc>
        <w:tc>
          <w:tcPr>
            <w:tcW w:w="764" w:type="dxa"/>
            <w:tcBorders>
              <w:top w:val="nil"/>
              <w:left w:val="nil"/>
              <w:bottom w:val="nil"/>
              <w:right w:val="nil"/>
            </w:tcBorders>
            <w:vAlign w:val="bottom"/>
            <w:hideMark/>
          </w:tcPr>
          <w:p w14:paraId="3FE17723" w14:textId="77777777" w:rsidR="00445FD0" w:rsidRDefault="00445FD0">
            <w:pPr>
              <w:pStyle w:val="NoSpacing"/>
              <w:jc w:val="right"/>
              <w:cnfStyle w:val="000000000000" w:firstRow="0" w:lastRow="0" w:firstColumn="0" w:lastColumn="0" w:oddVBand="0" w:evenVBand="0" w:oddHBand="0" w:evenHBand="0" w:firstRowFirstColumn="0" w:firstRowLastColumn="0" w:lastRowFirstColumn="0" w:lastRowLastColumn="0"/>
            </w:pPr>
            <w:r>
              <w:t>176</w:t>
            </w:r>
          </w:p>
        </w:tc>
      </w:tr>
      <w:tr w:rsidR="00445FD0" w14:paraId="55DE5FDE" w14:textId="77777777" w:rsidTr="00445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Borders>
              <w:left w:val="nil"/>
              <w:right w:val="nil"/>
            </w:tcBorders>
            <w:hideMark/>
          </w:tcPr>
          <w:p w14:paraId="0828C91D" w14:textId="77777777" w:rsidR="00445FD0" w:rsidRDefault="00445FD0">
            <w:pPr>
              <w:pStyle w:val="NoSpacing"/>
              <w:rPr>
                <w:b w:val="0"/>
              </w:rPr>
            </w:pPr>
            <w:r>
              <w:rPr>
                <w:b w:val="0"/>
              </w:rPr>
              <w:t>Changes to the LCA national structure to be halted</w:t>
            </w:r>
          </w:p>
          <w:p w14:paraId="1FB807CC" w14:textId="77777777" w:rsidR="00445FD0" w:rsidRDefault="00445FD0">
            <w:pPr>
              <w:pStyle w:val="NoSpacing"/>
              <w:rPr>
                <w:b w:val="0"/>
              </w:rPr>
            </w:pPr>
            <w:r>
              <w:rPr>
                <w:b w:val="0"/>
                <w:i/>
                <w:sz w:val="18"/>
                <w:szCs w:val="18"/>
              </w:rPr>
              <w:t xml:space="preserve">        St John’s Lutheran Church, Dernancourt SA</w:t>
            </w:r>
          </w:p>
        </w:tc>
        <w:tc>
          <w:tcPr>
            <w:tcW w:w="1134" w:type="dxa"/>
            <w:tcBorders>
              <w:left w:val="nil"/>
              <w:right w:val="nil"/>
            </w:tcBorders>
            <w:vAlign w:val="bottom"/>
            <w:hideMark/>
          </w:tcPr>
          <w:p w14:paraId="720FE1AB" w14:textId="77777777" w:rsidR="00445FD0" w:rsidRDefault="00445FD0">
            <w:pPr>
              <w:pStyle w:val="NoSpacing"/>
              <w:cnfStyle w:val="000000100000" w:firstRow="0" w:lastRow="0" w:firstColumn="0" w:lastColumn="0" w:oddVBand="0" w:evenVBand="0" w:oddHBand="1" w:evenHBand="0" w:firstRowFirstColumn="0" w:firstRowLastColumn="0" w:lastRowFirstColumn="0" w:lastRowLastColumn="0"/>
              <w:rPr>
                <w:b/>
              </w:rPr>
            </w:pPr>
            <w:r>
              <w:t>2.3.22</w:t>
            </w:r>
          </w:p>
        </w:tc>
        <w:tc>
          <w:tcPr>
            <w:tcW w:w="764" w:type="dxa"/>
            <w:tcBorders>
              <w:left w:val="nil"/>
              <w:right w:val="nil"/>
            </w:tcBorders>
            <w:vAlign w:val="bottom"/>
            <w:hideMark/>
          </w:tcPr>
          <w:p w14:paraId="66513EAD" w14:textId="77777777" w:rsidR="00445FD0" w:rsidRDefault="00445FD0">
            <w:pPr>
              <w:pStyle w:val="NoSpacing"/>
              <w:jc w:val="right"/>
              <w:cnfStyle w:val="000000100000" w:firstRow="0" w:lastRow="0" w:firstColumn="0" w:lastColumn="0" w:oddVBand="0" w:evenVBand="0" w:oddHBand="1" w:evenHBand="0" w:firstRowFirstColumn="0" w:firstRowLastColumn="0" w:lastRowFirstColumn="0" w:lastRowLastColumn="0"/>
            </w:pPr>
            <w:r>
              <w:t>177</w:t>
            </w:r>
          </w:p>
        </w:tc>
      </w:tr>
      <w:tr w:rsidR="00445FD0" w14:paraId="3A8318D9" w14:textId="77777777" w:rsidTr="00445FD0">
        <w:tc>
          <w:tcPr>
            <w:cnfStyle w:val="001000000000" w:firstRow="0" w:lastRow="0" w:firstColumn="1" w:lastColumn="0" w:oddVBand="0" w:evenVBand="0" w:oddHBand="0" w:evenHBand="0" w:firstRowFirstColumn="0" w:firstRowLastColumn="0" w:lastRowFirstColumn="0" w:lastRowLastColumn="0"/>
            <w:tcW w:w="6946" w:type="dxa"/>
            <w:tcBorders>
              <w:top w:val="nil"/>
              <w:left w:val="nil"/>
              <w:bottom w:val="nil"/>
              <w:right w:val="nil"/>
            </w:tcBorders>
            <w:hideMark/>
          </w:tcPr>
          <w:p w14:paraId="4F10AC80" w14:textId="77777777" w:rsidR="00445FD0" w:rsidRDefault="00445FD0">
            <w:pPr>
              <w:pStyle w:val="NoSpacing"/>
            </w:pPr>
            <w:r>
              <w:t>Proposals: Constitutional matters</w:t>
            </w:r>
          </w:p>
        </w:tc>
        <w:tc>
          <w:tcPr>
            <w:tcW w:w="1134" w:type="dxa"/>
            <w:tcBorders>
              <w:top w:val="nil"/>
              <w:left w:val="nil"/>
              <w:bottom w:val="nil"/>
              <w:right w:val="nil"/>
            </w:tcBorders>
            <w:vAlign w:val="bottom"/>
            <w:hideMark/>
          </w:tcPr>
          <w:p w14:paraId="4DB69712" w14:textId="77777777" w:rsidR="00445FD0" w:rsidRDefault="00445FD0">
            <w:pPr>
              <w:pStyle w:val="NoSpacing"/>
              <w:cnfStyle w:val="000000000000" w:firstRow="0" w:lastRow="0" w:firstColumn="0" w:lastColumn="0" w:oddVBand="0" w:evenVBand="0" w:oddHBand="0" w:evenHBand="0" w:firstRowFirstColumn="0" w:firstRowLastColumn="0" w:lastRowFirstColumn="0" w:lastRowLastColumn="0"/>
            </w:pPr>
            <w:r>
              <w:rPr>
                <w:b/>
              </w:rPr>
              <w:t>2.4</w:t>
            </w:r>
          </w:p>
        </w:tc>
        <w:tc>
          <w:tcPr>
            <w:tcW w:w="764" w:type="dxa"/>
            <w:tcBorders>
              <w:top w:val="nil"/>
              <w:left w:val="nil"/>
              <w:bottom w:val="nil"/>
              <w:right w:val="nil"/>
            </w:tcBorders>
            <w:vAlign w:val="bottom"/>
          </w:tcPr>
          <w:p w14:paraId="70CE6EF1" w14:textId="1A54EF08" w:rsidR="00445FD0" w:rsidRPr="003B6C7A" w:rsidRDefault="003B6C7A">
            <w:pPr>
              <w:pStyle w:val="NoSpacing"/>
              <w:jc w:val="right"/>
              <w:cnfStyle w:val="000000000000" w:firstRow="0" w:lastRow="0" w:firstColumn="0" w:lastColumn="0" w:oddVBand="0" w:evenVBand="0" w:oddHBand="0" w:evenHBand="0" w:firstRowFirstColumn="0" w:firstRowLastColumn="0" w:lastRowFirstColumn="0" w:lastRowLastColumn="0"/>
            </w:pPr>
            <w:r w:rsidRPr="003B6C7A">
              <w:t>180</w:t>
            </w:r>
          </w:p>
        </w:tc>
      </w:tr>
      <w:tr w:rsidR="00445FD0" w14:paraId="58EF9B8F" w14:textId="77777777" w:rsidTr="00445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Borders>
              <w:left w:val="nil"/>
              <w:right w:val="nil"/>
            </w:tcBorders>
            <w:hideMark/>
          </w:tcPr>
          <w:p w14:paraId="525D1C11" w14:textId="77777777" w:rsidR="00445FD0" w:rsidRDefault="00445FD0">
            <w:pPr>
              <w:pStyle w:val="NoSpacing"/>
              <w:rPr>
                <w:b w:val="0"/>
              </w:rPr>
            </w:pPr>
            <w:r>
              <w:rPr>
                <w:b w:val="0"/>
              </w:rPr>
              <w:t>Constitutional changes: ACNC requirements</w:t>
            </w:r>
          </w:p>
        </w:tc>
        <w:tc>
          <w:tcPr>
            <w:tcW w:w="1134" w:type="dxa"/>
            <w:tcBorders>
              <w:left w:val="nil"/>
              <w:right w:val="nil"/>
            </w:tcBorders>
            <w:vAlign w:val="bottom"/>
            <w:hideMark/>
          </w:tcPr>
          <w:p w14:paraId="590A8CD8" w14:textId="77777777" w:rsidR="00445FD0" w:rsidRDefault="00445FD0">
            <w:pPr>
              <w:pStyle w:val="NoSpacing"/>
              <w:cnfStyle w:val="000000100000" w:firstRow="0" w:lastRow="0" w:firstColumn="0" w:lastColumn="0" w:oddVBand="0" w:evenVBand="0" w:oddHBand="1" w:evenHBand="0" w:firstRowFirstColumn="0" w:firstRowLastColumn="0" w:lastRowFirstColumn="0" w:lastRowLastColumn="0"/>
              <w:rPr>
                <w:b/>
              </w:rPr>
            </w:pPr>
            <w:r>
              <w:t>2.4.2</w:t>
            </w:r>
          </w:p>
        </w:tc>
        <w:tc>
          <w:tcPr>
            <w:tcW w:w="764" w:type="dxa"/>
            <w:tcBorders>
              <w:left w:val="nil"/>
              <w:right w:val="nil"/>
            </w:tcBorders>
            <w:vAlign w:val="bottom"/>
            <w:hideMark/>
          </w:tcPr>
          <w:p w14:paraId="04CA1E0D" w14:textId="77777777" w:rsidR="00445FD0" w:rsidRDefault="00445FD0">
            <w:pPr>
              <w:pStyle w:val="NoSpacing"/>
              <w:jc w:val="right"/>
              <w:cnfStyle w:val="000000100000" w:firstRow="0" w:lastRow="0" w:firstColumn="0" w:lastColumn="0" w:oddVBand="0" w:evenVBand="0" w:oddHBand="1" w:evenHBand="0" w:firstRowFirstColumn="0" w:firstRowLastColumn="0" w:lastRowFirstColumn="0" w:lastRowLastColumn="0"/>
            </w:pPr>
            <w:r>
              <w:t>183</w:t>
            </w:r>
          </w:p>
        </w:tc>
      </w:tr>
      <w:tr w:rsidR="00445FD0" w14:paraId="54007FCB" w14:textId="77777777" w:rsidTr="00445FD0">
        <w:tc>
          <w:tcPr>
            <w:cnfStyle w:val="001000000000" w:firstRow="0" w:lastRow="0" w:firstColumn="1" w:lastColumn="0" w:oddVBand="0" w:evenVBand="0" w:oddHBand="0" w:evenHBand="0" w:firstRowFirstColumn="0" w:firstRowLastColumn="0" w:lastRowFirstColumn="0" w:lastRowLastColumn="0"/>
            <w:tcW w:w="6946" w:type="dxa"/>
            <w:tcBorders>
              <w:top w:val="nil"/>
              <w:left w:val="nil"/>
              <w:bottom w:val="nil"/>
              <w:right w:val="nil"/>
            </w:tcBorders>
            <w:hideMark/>
          </w:tcPr>
          <w:p w14:paraId="7B2F97AF" w14:textId="77777777" w:rsidR="00445FD0" w:rsidRDefault="00445FD0">
            <w:pPr>
              <w:pStyle w:val="NoSpacing"/>
              <w:rPr>
                <w:b w:val="0"/>
              </w:rPr>
            </w:pPr>
            <w:r>
              <w:rPr>
                <w:b w:val="0"/>
              </w:rPr>
              <w:t>Constitutional changes: Alternate lay delegates</w:t>
            </w:r>
          </w:p>
        </w:tc>
        <w:tc>
          <w:tcPr>
            <w:tcW w:w="1134" w:type="dxa"/>
            <w:tcBorders>
              <w:top w:val="nil"/>
              <w:left w:val="nil"/>
              <w:bottom w:val="nil"/>
              <w:right w:val="nil"/>
            </w:tcBorders>
            <w:vAlign w:val="bottom"/>
            <w:hideMark/>
          </w:tcPr>
          <w:p w14:paraId="6BDB1380" w14:textId="77777777" w:rsidR="00445FD0" w:rsidRDefault="00445FD0">
            <w:pPr>
              <w:pStyle w:val="NoSpacing"/>
              <w:cnfStyle w:val="000000000000" w:firstRow="0" w:lastRow="0" w:firstColumn="0" w:lastColumn="0" w:oddVBand="0" w:evenVBand="0" w:oddHBand="0" w:evenHBand="0" w:firstRowFirstColumn="0" w:firstRowLastColumn="0" w:lastRowFirstColumn="0" w:lastRowLastColumn="0"/>
              <w:rPr>
                <w:b/>
              </w:rPr>
            </w:pPr>
            <w:r>
              <w:t>2.4.3</w:t>
            </w:r>
          </w:p>
        </w:tc>
        <w:tc>
          <w:tcPr>
            <w:tcW w:w="764" w:type="dxa"/>
            <w:tcBorders>
              <w:top w:val="nil"/>
              <w:left w:val="nil"/>
              <w:bottom w:val="nil"/>
              <w:right w:val="nil"/>
            </w:tcBorders>
            <w:vAlign w:val="bottom"/>
            <w:hideMark/>
          </w:tcPr>
          <w:p w14:paraId="4E880A50" w14:textId="77777777" w:rsidR="00445FD0" w:rsidRDefault="00445FD0">
            <w:pPr>
              <w:pStyle w:val="NoSpacing"/>
              <w:jc w:val="right"/>
              <w:cnfStyle w:val="000000000000" w:firstRow="0" w:lastRow="0" w:firstColumn="0" w:lastColumn="0" w:oddVBand="0" w:evenVBand="0" w:oddHBand="0" w:evenHBand="0" w:firstRowFirstColumn="0" w:firstRowLastColumn="0" w:lastRowFirstColumn="0" w:lastRowLastColumn="0"/>
            </w:pPr>
            <w:r>
              <w:t>187</w:t>
            </w:r>
          </w:p>
        </w:tc>
      </w:tr>
      <w:tr w:rsidR="00445FD0" w14:paraId="7F895A3B" w14:textId="77777777" w:rsidTr="00445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Borders>
              <w:left w:val="nil"/>
              <w:right w:val="nil"/>
            </w:tcBorders>
            <w:hideMark/>
          </w:tcPr>
          <w:p w14:paraId="32337BB1" w14:textId="77777777" w:rsidR="00445FD0" w:rsidRDefault="00445FD0">
            <w:pPr>
              <w:pStyle w:val="NoSpacing"/>
              <w:rPr>
                <w:b w:val="0"/>
              </w:rPr>
            </w:pPr>
            <w:r>
              <w:rPr>
                <w:b w:val="0"/>
              </w:rPr>
              <w:t>Constitutional changes: Change council to board</w:t>
            </w:r>
          </w:p>
        </w:tc>
        <w:tc>
          <w:tcPr>
            <w:tcW w:w="1134" w:type="dxa"/>
            <w:tcBorders>
              <w:left w:val="nil"/>
              <w:right w:val="nil"/>
            </w:tcBorders>
            <w:vAlign w:val="bottom"/>
            <w:hideMark/>
          </w:tcPr>
          <w:p w14:paraId="7C1D132F" w14:textId="77777777" w:rsidR="00445FD0" w:rsidRDefault="00445FD0">
            <w:pPr>
              <w:pStyle w:val="NoSpacing"/>
              <w:cnfStyle w:val="000000100000" w:firstRow="0" w:lastRow="0" w:firstColumn="0" w:lastColumn="0" w:oddVBand="0" w:evenVBand="0" w:oddHBand="1" w:evenHBand="0" w:firstRowFirstColumn="0" w:firstRowLastColumn="0" w:lastRowFirstColumn="0" w:lastRowLastColumn="0"/>
              <w:rPr>
                <w:b/>
              </w:rPr>
            </w:pPr>
            <w:r>
              <w:t>2.4.4</w:t>
            </w:r>
          </w:p>
        </w:tc>
        <w:tc>
          <w:tcPr>
            <w:tcW w:w="764" w:type="dxa"/>
            <w:tcBorders>
              <w:left w:val="nil"/>
              <w:right w:val="nil"/>
            </w:tcBorders>
            <w:vAlign w:val="bottom"/>
            <w:hideMark/>
          </w:tcPr>
          <w:p w14:paraId="0275E2C5" w14:textId="77777777" w:rsidR="00445FD0" w:rsidRDefault="00445FD0">
            <w:pPr>
              <w:pStyle w:val="NoSpacing"/>
              <w:jc w:val="right"/>
              <w:cnfStyle w:val="000000100000" w:firstRow="0" w:lastRow="0" w:firstColumn="0" w:lastColumn="0" w:oddVBand="0" w:evenVBand="0" w:oddHBand="1" w:evenHBand="0" w:firstRowFirstColumn="0" w:firstRowLastColumn="0" w:lastRowFirstColumn="0" w:lastRowLastColumn="0"/>
            </w:pPr>
            <w:r>
              <w:t>188</w:t>
            </w:r>
          </w:p>
        </w:tc>
      </w:tr>
      <w:tr w:rsidR="00445FD0" w14:paraId="17C2B16E" w14:textId="77777777" w:rsidTr="00445FD0">
        <w:tc>
          <w:tcPr>
            <w:cnfStyle w:val="001000000000" w:firstRow="0" w:lastRow="0" w:firstColumn="1" w:lastColumn="0" w:oddVBand="0" w:evenVBand="0" w:oddHBand="0" w:evenHBand="0" w:firstRowFirstColumn="0" w:firstRowLastColumn="0" w:lastRowFirstColumn="0" w:lastRowLastColumn="0"/>
            <w:tcW w:w="6946" w:type="dxa"/>
            <w:tcBorders>
              <w:top w:val="nil"/>
              <w:left w:val="nil"/>
              <w:bottom w:val="nil"/>
              <w:right w:val="nil"/>
            </w:tcBorders>
            <w:hideMark/>
          </w:tcPr>
          <w:p w14:paraId="53579241" w14:textId="77777777" w:rsidR="00445FD0" w:rsidRDefault="00445FD0">
            <w:pPr>
              <w:pStyle w:val="NoSpacing"/>
              <w:rPr>
                <w:b w:val="0"/>
              </w:rPr>
            </w:pPr>
            <w:r>
              <w:rPr>
                <w:b w:val="0"/>
              </w:rPr>
              <w:t>Constitutional changes: Care for children and the vulnerable</w:t>
            </w:r>
          </w:p>
        </w:tc>
        <w:tc>
          <w:tcPr>
            <w:tcW w:w="1134" w:type="dxa"/>
            <w:tcBorders>
              <w:top w:val="nil"/>
              <w:left w:val="nil"/>
              <w:bottom w:val="nil"/>
              <w:right w:val="nil"/>
            </w:tcBorders>
            <w:vAlign w:val="bottom"/>
            <w:hideMark/>
          </w:tcPr>
          <w:p w14:paraId="6192AC17" w14:textId="77777777" w:rsidR="00445FD0" w:rsidRDefault="00445FD0">
            <w:pPr>
              <w:pStyle w:val="NoSpacing"/>
              <w:cnfStyle w:val="000000000000" w:firstRow="0" w:lastRow="0" w:firstColumn="0" w:lastColumn="0" w:oddVBand="0" w:evenVBand="0" w:oddHBand="0" w:evenHBand="0" w:firstRowFirstColumn="0" w:firstRowLastColumn="0" w:lastRowFirstColumn="0" w:lastRowLastColumn="0"/>
              <w:rPr>
                <w:b/>
              </w:rPr>
            </w:pPr>
            <w:r>
              <w:t>2.4.5</w:t>
            </w:r>
          </w:p>
        </w:tc>
        <w:tc>
          <w:tcPr>
            <w:tcW w:w="764" w:type="dxa"/>
            <w:tcBorders>
              <w:top w:val="nil"/>
              <w:left w:val="nil"/>
              <w:bottom w:val="nil"/>
              <w:right w:val="nil"/>
            </w:tcBorders>
            <w:vAlign w:val="bottom"/>
            <w:hideMark/>
          </w:tcPr>
          <w:p w14:paraId="52E0DE73" w14:textId="77777777" w:rsidR="00445FD0" w:rsidRDefault="00445FD0">
            <w:pPr>
              <w:pStyle w:val="NoSpacing"/>
              <w:jc w:val="right"/>
              <w:cnfStyle w:val="000000000000" w:firstRow="0" w:lastRow="0" w:firstColumn="0" w:lastColumn="0" w:oddVBand="0" w:evenVBand="0" w:oddHBand="0" w:evenHBand="0" w:firstRowFirstColumn="0" w:firstRowLastColumn="0" w:lastRowFirstColumn="0" w:lastRowLastColumn="0"/>
            </w:pPr>
            <w:r>
              <w:t>189</w:t>
            </w:r>
          </w:p>
        </w:tc>
      </w:tr>
      <w:tr w:rsidR="00445FD0" w14:paraId="6D19A281" w14:textId="77777777" w:rsidTr="00445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Borders>
              <w:left w:val="nil"/>
              <w:right w:val="nil"/>
            </w:tcBorders>
            <w:hideMark/>
          </w:tcPr>
          <w:p w14:paraId="231D7FA9" w14:textId="77777777" w:rsidR="00445FD0" w:rsidRDefault="00445FD0">
            <w:pPr>
              <w:pStyle w:val="NoSpacing"/>
              <w:rPr>
                <w:b w:val="0"/>
              </w:rPr>
            </w:pPr>
            <w:r>
              <w:rPr>
                <w:b w:val="0"/>
              </w:rPr>
              <w:t>Constitutional changes: Care for children and the vulnerable – Congregation</w:t>
            </w:r>
          </w:p>
        </w:tc>
        <w:tc>
          <w:tcPr>
            <w:tcW w:w="1134" w:type="dxa"/>
            <w:tcBorders>
              <w:left w:val="nil"/>
              <w:right w:val="nil"/>
            </w:tcBorders>
            <w:vAlign w:val="bottom"/>
            <w:hideMark/>
          </w:tcPr>
          <w:p w14:paraId="3DB740CC" w14:textId="77777777" w:rsidR="00445FD0" w:rsidRDefault="00445FD0">
            <w:pPr>
              <w:pStyle w:val="NoSpacing"/>
              <w:cnfStyle w:val="000000100000" w:firstRow="0" w:lastRow="0" w:firstColumn="0" w:lastColumn="0" w:oddVBand="0" w:evenVBand="0" w:oddHBand="1" w:evenHBand="0" w:firstRowFirstColumn="0" w:firstRowLastColumn="0" w:lastRowFirstColumn="0" w:lastRowLastColumn="0"/>
              <w:rPr>
                <w:b/>
              </w:rPr>
            </w:pPr>
            <w:r>
              <w:t>2.4.6</w:t>
            </w:r>
          </w:p>
        </w:tc>
        <w:tc>
          <w:tcPr>
            <w:tcW w:w="764" w:type="dxa"/>
            <w:tcBorders>
              <w:left w:val="nil"/>
              <w:right w:val="nil"/>
            </w:tcBorders>
            <w:vAlign w:val="bottom"/>
            <w:hideMark/>
          </w:tcPr>
          <w:p w14:paraId="3A3DBA1C" w14:textId="77777777" w:rsidR="00445FD0" w:rsidRDefault="00445FD0">
            <w:pPr>
              <w:pStyle w:val="NoSpacing"/>
              <w:jc w:val="right"/>
              <w:cnfStyle w:val="000000100000" w:firstRow="0" w:lastRow="0" w:firstColumn="0" w:lastColumn="0" w:oddVBand="0" w:evenVBand="0" w:oddHBand="1" w:evenHBand="0" w:firstRowFirstColumn="0" w:firstRowLastColumn="0" w:lastRowFirstColumn="0" w:lastRowLastColumn="0"/>
            </w:pPr>
            <w:r>
              <w:t>190</w:t>
            </w:r>
          </w:p>
        </w:tc>
      </w:tr>
      <w:tr w:rsidR="00445FD0" w14:paraId="74F0D211" w14:textId="77777777" w:rsidTr="00445FD0">
        <w:tc>
          <w:tcPr>
            <w:cnfStyle w:val="001000000000" w:firstRow="0" w:lastRow="0" w:firstColumn="1" w:lastColumn="0" w:oddVBand="0" w:evenVBand="0" w:oddHBand="0" w:evenHBand="0" w:firstRowFirstColumn="0" w:firstRowLastColumn="0" w:lastRowFirstColumn="0" w:lastRowLastColumn="0"/>
            <w:tcW w:w="6946" w:type="dxa"/>
            <w:tcBorders>
              <w:top w:val="nil"/>
              <w:left w:val="nil"/>
              <w:bottom w:val="nil"/>
              <w:right w:val="nil"/>
            </w:tcBorders>
            <w:hideMark/>
          </w:tcPr>
          <w:p w14:paraId="0B7C2301" w14:textId="77777777" w:rsidR="00445FD0" w:rsidRDefault="00445FD0">
            <w:pPr>
              <w:pStyle w:val="NoSpacing"/>
              <w:rPr>
                <w:b w:val="0"/>
              </w:rPr>
            </w:pPr>
            <w:r>
              <w:rPr>
                <w:b w:val="0"/>
              </w:rPr>
              <w:lastRenderedPageBreak/>
              <w:t>Constitutional changes: Consultant right to speak</w:t>
            </w:r>
          </w:p>
        </w:tc>
        <w:tc>
          <w:tcPr>
            <w:tcW w:w="1134" w:type="dxa"/>
            <w:tcBorders>
              <w:top w:val="nil"/>
              <w:left w:val="nil"/>
              <w:bottom w:val="nil"/>
              <w:right w:val="nil"/>
            </w:tcBorders>
            <w:vAlign w:val="bottom"/>
            <w:hideMark/>
          </w:tcPr>
          <w:p w14:paraId="3457A5D2" w14:textId="77777777" w:rsidR="00445FD0" w:rsidRDefault="00445FD0">
            <w:pPr>
              <w:pStyle w:val="NoSpacing"/>
              <w:cnfStyle w:val="000000000000" w:firstRow="0" w:lastRow="0" w:firstColumn="0" w:lastColumn="0" w:oddVBand="0" w:evenVBand="0" w:oddHBand="0" w:evenHBand="0" w:firstRowFirstColumn="0" w:firstRowLastColumn="0" w:lastRowFirstColumn="0" w:lastRowLastColumn="0"/>
              <w:rPr>
                <w:b/>
              </w:rPr>
            </w:pPr>
            <w:r>
              <w:t>2.4.7</w:t>
            </w:r>
          </w:p>
        </w:tc>
        <w:tc>
          <w:tcPr>
            <w:tcW w:w="764" w:type="dxa"/>
            <w:tcBorders>
              <w:top w:val="nil"/>
              <w:left w:val="nil"/>
              <w:bottom w:val="nil"/>
              <w:right w:val="nil"/>
            </w:tcBorders>
            <w:vAlign w:val="bottom"/>
            <w:hideMark/>
          </w:tcPr>
          <w:p w14:paraId="21813591" w14:textId="77777777" w:rsidR="00445FD0" w:rsidRDefault="00445FD0">
            <w:pPr>
              <w:pStyle w:val="NoSpacing"/>
              <w:jc w:val="right"/>
              <w:cnfStyle w:val="000000000000" w:firstRow="0" w:lastRow="0" w:firstColumn="0" w:lastColumn="0" w:oddVBand="0" w:evenVBand="0" w:oddHBand="0" w:evenHBand="0" w:firstRowFirstColumn="0" w:firstRowLastColumn="0" w:lastRowFirstColumn="0" w:lastRowLastColumn="0"/>
            </w:pPr>
            <w:r>
              <w:t>191</w:t>
            </w:r>
          </w:p>
        </w:tc>
      </w:tr>
      <w:tr w:rsidR="00445FD0" w14:paraId="2074087E" w14:textId="77777777" w:rsidTr="00445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Borders>
              <w:left w:val="nil"/>
              <w:right w:val="nil"/>
            </w:tcBorders>
            <w:hideMark/>
          </w:tcPr>
          <w:p w14:paraId="55B7C093" w14:textId="77777777" w:rsidR="00445FD0" w:rsidRDefault="00445FD0">
            <w:pPr>
              <w:pStyle w:val="NoSpacing"/>
              <w:rPr>
                <w:b w:val="0"/>
              </w:rPr>
            </w:pPr>
            <w:r>
              <w:rPr>
                <w:b w:val="0"/>
              </w:rPr>
              <w:t>Constitutional changes: Funds removal from by-laws</w:t>
            </w:r>
          </w:p>
        </w:tc>
        <w:tc>
          <w:tcPr>
            <w:tcW w:w="1134" w:type="dxa"/>
            <w:tcBorders>
              <w:left w:val="nil"/>
              <w:right w:val="nil"/>
            </w:tcBorders>
            <w:vAlign w:val="bottom"/>
            <w:hideMark/>
          </w:tcPr>
          <w:p w14:paraId="05639E8C" w14:textId="77777777" w:rsidR="00445FD0" w:rsidRDefault="00445FD0">
            <w:pPr>
              <w:pStyle w:val="NoSpacing"/>
              <w:cnfStyle w:val="000000100000" w:firstRow="0" w:lastRow="0" w:firstColumn="0" w:lastColumn="0" w:oddVBand="0" w:evenVBand="0" w:oddHBand="1" w:evenHBand="0" w:firstRowFirstColumn="0" w:firstRowLastColumn="0" w:lastRowFirstColumn="0" w:lastRowLastColumn="0"/>
              <w:rPr>
                <w:b/>
              </w:rPr>
            </w:pPr>
            <w:r>
              <w:t>2.4.8</w:t>
            </w:r>
          </w:p>
        </w:tc>
        <w:tc>
          <w:tcPr>
            <w:tcW w:w="764" w:type="dxa"/>
            <w:tcBorders>
              <w:left w:val="nil"/>
              <w:right w:val="nil"/>
            </w:tcBorders>
            <w:vAlign w:val="bottom"/>
            <w:hideMark/>
          </w:tcPr>
          <w:p w14:paraId="59C61DDA" w14:textId="77777777" w:rsidR="00445FD0" w:rsidRDefault="00445FD0">
            <w:pPr>
              <w:pStyle w:val="NoSpacing"/>
              <w:jc w:val="right"/>
              <w:cnfStyle w:val="000000100000" w:firstRow="0" w:lastRow="0" w:firstColumn="0" w:lastColumn="0" w:oddVBand="0" w:evenVBand="0" w:oddHBand="1" w:evenHBand="0" w:firstRowFirstColumn="0" w:firstRowLastColumn="0" w:lastRowFirstColumn="0" w:lastRowLastColumn="0"/>
            </w:pPr>
            <w:r>
              <w:t>191</w:t>
            </w:r>
          </w:p>
        </w:tc>
      </w:tr>
      <w:tr w:rsidR="00445FD0" w14:paraId="03DB21BE" w14:textId="77777777" w:rsidTr="00445FD0">
        <w:tc>
          <w:tcPr>
            <w:cnfStyle w:val="001000000000" w:firstRow="0" w:lastRow="0" w:firstColumn="1" w:lastColumn="0" w:oddVBand="0" w:evenVBand="0" w:oddHBand="0" w:evenHBand="0" w:firstRowFirstColumn="0" w:firstRowLastColumn="0" w:lastRowFirstColumn="0" w:lastRowLastColumn="0"/>
            <w:tcW w:w="6946" w:type="dxa"/>
            <w:tcBorders>
              <w:top w:val="nil"/>
              <w:left w:val="nil"/>
              <w:bottom w:val="nil"/>
              <w:right w:val="nil"/>
            </w:tcBorders>
            <w:hideMark/>
          </w:tcPr>
          <w:p w14:paraId="1E768A84" w14:textId="77777777" w:rsidR="00445FD0" w:rsidRDefault="00445FD0">
            <w:pPr>
              <w:pStyle w:val="NoSpacing"/>
              <w:rPr>
                <w:b w:val="0"/>
              </w:rPr>
            </w:pPr>
            <w:r>
              <w:rPr>
                <w:b w:val="0"/>
              </w:rPr>
              <w:t>Constitutional changes: General Synod composition</w:t>
            </w:r>
          </w:p>
        </w:tc>
        <w:tc>
          <w:tcPr>
            <w:tcW w:w="1134" w:type="dxa"/>
            <w:tcBorders>
              <w:top w:val="nil"/>
              <w:left w:val="nil"/>
              <w:bottom w:val="nil"/>
              <w:right w:val="nil"/>
            </w:tcBorders>
            <w:vAlign w:val="bottom"/>
            <w:hideMark/>
          </w:tcPr>
          <w:p w14:paraId="44AC9B08" w14:textId="77777777" w:rsidR="00445FD0" w:rsidRDefault="00445FD0">
            <w:pPr>
              <w:pStyle w:val="NoSpacing"/>
              <w:cnfStyle w:val="000000000000" w:firstRow="0" w:lastRow="0" w:firstColumn="0" w:lastColumn="0" w:oddVBand="0" w:evenVBand="0" w:oddHBand="0" w:evenHBand="0" w:firstRowFirstColumn="0" w:firstRowLastColumn="0" w:lastRowFirstColumn="0" w:lastRowLastColumn="0"/>
              <w:rPr>
                <w:b/>
              </w:rPr>
            </w:pPr>
            <w:r>
              <w:t>2.4.9</w:t>
            </w:r>
          </w:p>
        </w:tc>
        <w:tc>
          <w:tcPr>
            <w:tcW w:w="764" w:type="dxa"/>
            <w:tcBorders>
              <w:top w:val="nil"/>
              <w:left w:val="nil"/>
              <w:bottom w:val="nil"/>
              <w:right w:val="nil"/>
            </w:tcBorders>
            <w:vAlign w:val="bottom"/>
            <w:hideMark/>
          </w:tcPr>
          <w:p w14:paraId="2CC45AC6" w14:textId="77777777" w:rsidR="00445FD0" w:rsidRDefault="00445FD0">
            <w:pPr>
              <w:pStyle w:val="NoSpacing"/>
              <w:jc w:val="right"/>
              <w:cnfStyle w:val="000000000000" w:firstRow="0" w:lastRow="0" w:firstColumn="0" w:lastColumn="0" w:oddVBand="0" w:evenVBand="0" w:oddHBand="0" w:evenHBand="0" w:firstRowFirstColumn="0" w:firstRowLastColumn="0" w:lastRowFirstColumn="0" w:lastRowLastColumn="0"/>
            </w:pPr>
            <w:r>
              <w:t>192</w:t>
            </w:r>
          </w:p>
        </w:tc>
      </w:tr>
      <w:tr w:rsidR="00445FD0" w14:paraId="3025C30C" w14:textId="77777777" w:rsidTr="00445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Borders>
              <w:left w:val="nil"/>
              <w:right w:val="nil"/>
            </w:tcBorders>
            <w:hideMark/>
          </w:tcPr>
          <w:p w14:paraId="08AA3844" w14:textId="77777777" w:rsidR="00445FD0" w:rsidRDefault="00445FD0">
            <w:pPr>
              <w:pStyle w:val="NoSpacing"/>
              <w:rPr>
                <w:b w:val="0"/>
              </w:rPr>
            </w:pPr>
            <w:r>
              <w:rPr>
                <w:b w:val="0"/>
              </w:rPr>
              <w:t>Constitutional changes: Interpretation</w:t>
            </w:r>
          </w:p>
        </w:tc>
        <w:tc>
          <w:tcPr>
            <w:tcW w:w="1134" w:type="dxa"/>
            <w:tcBorders>
              <w:left w:val="nil"/>
              <w:right w:val="nil"/>
            </w:tcBorders>
            <w:vAlign w:val="bottom"/>
            <w:hideMark/>
          </w:tcPr>
          <w:p w14:paraId="053D2BB3" w14:textId="77777777" w:rsidR="00445FD0" w:rsidRDefault="00445FD0">
            <w:pPr>
              <w:pStyle w:val="NoSpacing"/>
              <w:cnfStyle w:val="000000100000" w:firstRow="0" w:lastRow="0" w:firstColumn="0" w:lastColumn="0" w:oddVBand="0" w:evenVBand="0" w:oddHBand="1" w:evenHBand="0" w:firstRowFirstColumn="0" w:firstRowLastColumn="0" w:lastRowFirstColumn="0" w:lastRowLastColumn="0"/>
              <w:rPr>
                <w:b/>
              </w:rPr>
            </w:pPr>
            <w:r>
              <w:t>2.4.10</w:t>
            </w:r>
          </w:p>
        </w:tc>
        <w:tc>
          <w:tcPr>
            <w:tcW w:w="764" w:type="dxa"/>
            <w:tcBorders>
              <w:left w:val="nil"/>
              <w:right w:val="nil"/>
            </w:tcBorders>
            <w:vAlign w:val="bottom"/>
            <w:hideMark/>
          </w:tcPr>
          <w:p w14:paraId="16C21ED6" w14:textId="77777777" w:rsidR="00445FD0" w:rsidRDefault="00445FD0">
            <w:pPr>
              <w:pStyle w:val="NoSpacing"/>
              <w:jc w:val="right"/>
              <w:cnfStyle w:val="000000100000" w:firstRow="0" w:lastRow="0" w:firstColumn="0" w:lastColumn="0" w:oddVBand="0" w:evenVBand="0" w:oddHBand="1" w:evenHBand="0" w:firstRowFirstColumn="0" w:firstRowLastColumn="0" w:lastRowFirstColumn="0" w:lastRowLastColumn="0"/>
            </w:pPr>
            <w:r>
              <w:t>193</w:t>
            </w:r>
          </w:p>
        </w:tc>
      </w:tr>
      <w:tr w:rsidR="00445FD0" w14:paraId="15C426C3" w14:textId="77777777" w:rsidTr="00445FD0">
        <w:tc>
          <w:tcPr>
            <w:cnfStyle w:val="001000000000" w:firstRow="0" w:lastRow="0" w:firstColumn="1" w:lastColumn="0" w:oddVBand="0" w:evenVBand="0" w:oddHBand="0" w:evenHBand="0" w:firstRowFirstColumn="0" w:firstRowLastColumn="0" w:lastRowFirstColumn="0" w:lastRowLastColumn="0"/>
            <w:tcW w:w="6946" w:type="dxa"/>
            <w:tcBorders>
              <w:top w:val="nil"/>
              <w:left w:val="nil"/>
              <w:bottom w:val="nil"/>
              <w:right w:val="nil"/>
            </w:tcBorders>
            <w:hideMark/>
          </w:tcPr>
          <w:p w14:paraId="33B86BE4" w14:textId="77777777" w:rsidR="00445FD0" w:rsidRDefault="00445FD0">
            <w:pPr>
              <w:pStyle w:val="NoSpacing"/>
              <w:rPr>
                <w:b w:val="0"/>
              </w:rPr>
            </w:pPr>
            <w:r>
              <w:rPr>
                <w:b w:val="0"/>
              </w:rPr>
              <w:t>Constitutional changes: Judicial system</w:t>
            </w:r>
          </w:p>
        </w:tc>
        <w:tc>
          <w:tcPr>
            <w:tcW w:w="1134" w:type="dxa"/>
            <w:tcBorders>
              <w:top w:val="nil"/>
              <w:left w:val="nil"/>
              <w:bottom w:val="nil"/>
              <w:right w:val="nil"/>
            </w:tcBorders>
            <w:vAlign w:val="bottom"/>
            <w:hideMark/>
          </w:tcPr>
          <w:p w14:paraId="450FDD13" w14:textId="77777777" w:rsidR="00445FD0" w:rsidRDefault="00445FD0">
            <w:pPr>
              <w:pStyle w:val="NoSpacing"/>
              <w:cnfStyle w:val="000000000000" w:firstRow="0" w:lastRow="0" w:firstColumn="0" w:lastColumn="0" w:oddVBand="0" w:evenVBand="0" w:oddHBand="0" w:evenHBand="0" w:firstRowFirstColumn="0" w:firstRowLastColumn="0" w:lastRowFirstColumn="0" w:lastRowLastColumn="0"/>
              <w:rPr>
                <w:b/>
              </w:rPr>
            </w:pPr>
            <w:r>
              <w:t>2.4.11</w:t>
            </w:r>
          </w:p>
        </w:tc>
        <w:tc>
          <w:tcPr>
            <w:tcW w:w="764" w:type="dxa"/>
            <w:tcBorders>
              <w:top w:val="nil"/>
              <w:left w:val="nil"/>
              <w:bottom w:val="nil"/>
              <w:right w:val="nil"/>
            </w:tcBorders>
            <w:vAlign w:val="bottom"/>
            <w:hideMark/>
          </w:tcPr>
          <w:p w14:paraId="0CA0F42D" w14:textId="77777777" w:rsidR="00445FD0" w:rsidRDefault="00445FD0">
            <w:pPr>
              <w:pStyle w:val="NoSpacing"/>
              <w:jc w:val="right"/>
              <w:cnfStyle w:val="000000000000" w:firstRow="0" w:lastRow="0" w:firstColumn="0" w:lastColumn="0" w:oddVBand="0" w:evenVBand="0" w:oddHBand="0" w:evenHBand="0" w:firstRowFirstColumn="0" w:firstRowLastColumn="0" w:lastRowFirstColumn="0" w:lastRowLastColumn="0"/>
            </w:pPr>
            <w:r>
              <w:t>194</w:t>
            </w:r>
          </w:p>
        </w:tc>
      </w:tr>
      <w:tr w:rsidR="00445FD0" w14:paraId="10102681" w14:textId="77777777" w:rsidTr="00445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Borders>
              <w:left w:val="nil"/>
              <w:right w:val="nil"/>
            </w:tcBorders>
            <w:hideMark/>
          </w:tcPr>
          <w:p w14:paraId="210FB419" w14:textId="77777777" w:rsidR="00445FD0" w:rsidRDefault="00445FD0">
            <w:pPr>
              <w:pStyle w:val="NoSpacing"/>
              <w:rPr>
                <w:b w:val="0"/>
              </w:rPr>
            </w:pPr>
            <w:r>
              <w:rPr>
                <w:b w:val="0"/>
              </w:rPr>
              <w:t>Constitutional changes: Lay worker section</w:t>
            </w:r>
          </w:p>
        </w:tc>
        <w:tc>
          <w:tcPr>
            <w:tcW w:w="1134" w:type="dxa"/>
            <w:tcBorders>
              <w:left w:val="nil"/>
              <w:right w:val="nil"/>
            </w:tcBorders>
            <w:vAlign w:val="bottom"/>
            <w:hideMark/>
          </w:tcPr>
          <w:p w14:paraId="727CF1D4" w14:textId="77777777" w:rsidR="00445FD0" w:rsidRDefault="00445FD0">
            <w:pPr>
              <w:pStyle w:val="NoSpacing"/>
              <w:cnfStyle w:val="000000100000" w:firstRow="0" w:lastRow="0" w:firstColumn="0" w:lastColumn="0" w:oddVBand="0" w:evenVBand="0" w:oddHBand="1" w:evenHBand="0" w:firstRowFirstColumn="0" w:firstRowLastColumn="0" w:lastRowFirstColumn="0" w:lastRowLastColumn="0"/>
              <w:rPr>
                <w:b/>
              </w:rPr>
            </w:pPr>
            <w:r>
              <w:t>2.4.12</w:t>
            </w:r>
          </w:p>
        </w:tc>
        <w:tc>
          <w:tcPr>
            <w:tcW w:w="764" w:type="dxa"/>
            <w:tcBorders>
              <w:left w:val="nil"/>
              <w:right w:val="nil"/>
            </w:tcBorders>
            <w:vAlign w:val="bottom"/>
            <w:hideMark/>
          </w:tcPr>
          <w:p w14:paraId="3E564E8C" w14:textId="77777777" w:rsidR="00445FD0" w:rsidRDefault="00445FD0">
            <w:pPr>
              <w:pStyle w:val="NoSpacing"/>
              <w:jc w:val="right"/>
              <w:cnfStyle w:val="000000100000" w:firstRow="0" w:lastRow="0" w:firstColumn="0" w:lastColumn="0" w:oddVBand="0" w:evenVBand="0" w:oddHBand="1" w:evenHBand="0" w:firstRowFirstColumn="0" w:firstRowLastColumn="0" w:lastRowFirstColumn="0" w:lastRowLastColumn="0"/>
            </w:pPr>
            <w:r>
              <w:t>195</w:t>
            </w:r>
          </w:p>
        </w:tc>
      </w:tr>
      <w:tr w:rsidR="00445FD0" w14:paraId="4366132C" w14:textId="77777777" w:rsidTr="00445FD0">
        <w:tc>
          <w:tcPr>
            <w:cnfStyle w:val="001000000000" w:firstRow="0" w:lastRow="0" w:firstColumn="1" w:lastColumn="0" w:oddVBand="0" w:evenVBand="0" w:oddHBand="0" w:evenHBand="0" w:firstRowFirstColumn="0" w:firstRowLastColumn="0" w:lastRowFirstColumn="0" w:lastRowLastColumn="0"/>
            <w:tcW w:w="6946" w:type="dxa"/>
            <w:tcBorders>
              <w:top w:val="nil"/>
              <w:left w:val="nil"/>
              <w:bottom w:val="nil"/>
              <w:right w:val="nil"/>
            </w:tcBorders>
            <w:hideMark/>
          </w:tcPr>
          <w:p w14:paraId="56A1EDF1" w14:textId="77777777" w:rsidR="00445FD0" w:rsidRDefault="00445FD0">
            <w:pPr>
              <w:pStyle w:val="NoSpacing"/>
              <w:rPr>
                <w:b w:val="0"/>
              </w:rPr>
            </w:pPr>
            <w:r>
              <w:rPr>
                <w:b w:val="0"/>
              </w:rPr>
              <w:t>Constitutional changes: Determinations of majority</w:t>
            </w:r>
          </w:p>
        </w:tc>
        <w:tc>
          <w:tcPr>
            <w:tcW w:w="1134" w:type="dxa"/>
            <w:tcBorders>
              <w:top w:val="nil"/>
              <w:left w:val="nil"/>
              <w:bottom w:val="nil"/>
              <w:right w:val="nil"/>
            </w:tcBorders>
            <w:vAlign w:val="bottom"/>
            <w:hideMark/>
          </w:tcPr>
          <w:p w14:paraId="1D32108B" w14:textId="77777777" w:rsidR="00445FD0" w:rsidRDefault="00445FD0">
            <w:pPr>
              <w:pStyle w:val="NoSpacing"/>
              <w:cnfStyle w:val="000000000000" w:firstRow="0" w:lastRow="0" w:firstColumn="0" w:lastColumn="0" w:oddVBand="0" w:evenVBand="0" w:oddHBand="0" w:evenHBand="0" w:firstRowFirstColumn="0" w:firstRowLastColumn="0" w:lastRowFirstColumn="0" w:lastRowLastColumn="0"/>
              <w:rPr>
                <w:b/>
              </w:rPr>
            </w:pPr>
            <w:r>
              <w:t>2.4.13</w:t>
            </w:r>
          </w:p>
        </w:tc>
        <w:tc>
          <w:tcPr>
            <w:tcW w:w="764" w:type="dxa"/>
            <w:tcBorders>
              <w:top w:val="nil"/>
              <w:left w:val="nil"/>
              <w:bottom w:val="nil"/>
              <w:right w:val="nil"/>
            </w:tcBorders>
            <w:vAlign w:val="bottom"/>
            <w:hideMark/>
          </w:tcPr>
          <w:p w14:paraId="24B15DBE" w14:textId="77777777" w:rsidR="00445FD0" w:rsidRDefault="00445FD0">
            <w:pPr>
              <w:pStyle w:val="NoSpacing"/>
              <w:jc w:val="right"/>
              <w:cnfStyle w:val="000000000000" w:firstRow="0" w:lastRow="0" w:firstColumn="0" w:lastColumn="0" w:oddVBand="0" w:evenVBand="0" w:oddHBand="0" w:evenHBand="0" w:firstRowFirstColumn="0" w:firstRowLastColumn="0" w:lastRowFirstColumn="0" w:lastRowLastColumn="0"/>
            </w:pPr>
            <w:r>
              <w:t>196</w:t>
            </w:r>
          </w:p>
        </w:tc>
      </w:tr>
      <w:tr w:rsidR="00445FD0" w14:paraId="5D256252" w14:textId="77777777" w:rsidTr="00445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Borders>
              <w:left w:val="nil"/>
              <w:right w:val="nil"/>
            </w:tcBorders>
            <w:hideMark/>
          </w:tcPr>
          <w:p w14:paraId="3DFA4DF6" w14:textId="77777777" w:rsidR="00445FD0" w:rsidRDefault="00445FD0">
            <w:pPr>
              <w:pStyle w:val="NoSpacing"/>
              <w:rPr>
                <w:b w:val="0"/>
              </w:rPr>
            </w:pPr>
            <w:r>
              <w:rPr>
                <w:b w:val="0"/>
              </w:rPr>
              <w:t>Constitutional changes: Membership</w:t>
            </w:r>
          </w:p>
        </w:tc>
        <w:tc>
          <w:tcPr>
            <w:tcW w:w="1134" w:type="dxa"/>
            <w:tcBorders>
              <w:left w:val="nil"/>
              <w:right w:val="nil"/>
            </w:tcBorders>
            <w:vAlign w:val="bottom"/>
            <w:hideMark/>
          </w:tcPr>
          <w:p w14:paraId="468D9B14" w14:textId="77777777" w:rsidR="00445FD0" w:rsidRDefault="00445FD0">
            <w:pPr>
              <w:pStyle w:val="NoSpacing"/>
              <w:cnfStyle w:val="000000100000" w:firstRow="0" w:lastRow="0" w:firstColumn="0" w:lastColumn="0" w:oddVBand="0" w:evenVBand="0" w:oddHBand="1" w:evenHBand="0" w:firstRowFirstColumn="0" w:firstRowLastColumn="0" w:lastRowFirstColumn="0" w:lastRowLastColumn="0"/>
              <w:rPr>
                <w:b/>
              </w:rPr>
            </w:pPr>
            <w:r>
              <w:t>2.4.14</w:t>
            </w:r>
          </w:p>
        </w:tc>
        <w:tc>
          <w:tcPr>
            <w:tcW w:w="764" w:type="dxa"/>
            <w:tcBorders>
              <w:left w:val="nil"/>
              <w:right w:val="nil"/>
            </w:tcBorders>
            <w:vAlign w:val="bottom"/>
            <w:hideMark/>
          </w:tcPr>
          <w:p w14:paraId="41831765" w14:textId="77777777" w:rsidR="00445FD0" w:rsidRDefault="00445FD0">
            <w:pPr>
              <w:pStyle w:val="NoSpacing"/>
              <w:jc w:val="right"/>
              <w:cnfStyle w:val="000000100000" w:firstRow="0" w:lastRow="0" w:firstColumn="0" w:lastColumn="0" w:oddVBand="0" w:evenVBand="0" w:oddHBand="1" w:evenHBand="0" w:firstRowFirstColumn="0" w:firstRowLastColumn="0" w:lastRowFirstColumn="0" w:lastRowLastColumn="0"/>
            </w:pPr>
            <w:r>
              <w:t>198</w:t>
            </w:r>
          </w:p>
        </w:tc>
      </w:tr>
      <w:tr w:rsidR="00445FD0" w14:paraId="618481BC" w14:textId="77777777" w:rsidTr="00445FD0">
        <w:tc>
          <w:tcPr>
            <w:cnfStyle w:val="001000000000" w:firstRow="0" w:lastRow="0" w:firstColumn="1" w:lastColumn="0" w:oddVBand="0" w:evenVBand="0" w:oddHBand="0" w:evenHBand="0" w:firstRowFirstColumn="0" w:firstRowLastColumn="0" w:lastRowFirstColumn="0" w:lastRowLastColumn="0"/>
            <w:tcW w:w="6946" w:type="dxa"/>
            <w:tcBorders>
              <w:top w:val="nil"/>
              <w:left w:val="nil"/>
              <w:bottom w:val="nil"/>
              <w:right w:val="nil"/>
            </w:tcBorders>
            <w:hideMark/>
          </w:tcPr>
          <w:p w14:paraId="7E39BB74" w14:textId="77777777" w:rsidR="00445FD0" w:rsidRDefault="00445FD0">
            <w:pPr>
              <w:pStyle w:val="NoSpacing"/>
              <w:rPr>
                <w:b w:val="0"/>
              </w:rPr>
            </w:pPr>
            <w:r>
              <w:rPr>
                <w:b w:val="0"/>
              </w:rPr>
              <w:t>Constitutional changes: Model for a parish</w:t>
            </w:r>
          </w:p>
        </w:tc>
        <w:tc>
          <w:tcPr>
            <w:tcW w:w="1134" w:type="dxa"/>
            <w:tcBorders>
              <w:top w:val="nil"/>
              <w:left w:val="nil"/>
              <w:bottom w:val="nil"/>
              <w:right w:val="nil"/>
            </w:tcBorders>
            <w:vAlign w:val="bottom"/>
            <w:hideMark/>
          </w:tcPr>
          <w:p w14:paraId="07D93EEA" w14:textId="77777777" w:rsidR="00445FD0" w:rsidRDefault="00445FD0">
            <w:pPr>
              <w:pStyle w:val="NoSpacing"/>
              <w:cnfStyle w:val="000000000000" w:firstRow="0" w:lastRow="0" w:firstColumn="0" w:lastColumn="0" w:oddVBand="0" w:evenVBand="0" w:oddHBand="0" w:evenHBand="0" w:firstRowFirstColumn="0" w:firstRowLastColumn="0" w:lastRowFirstColumn="0" w:lastRowLastColumn="0"/>
              <w:rPr>
                <w:b/>
              </w:rPr>
            </w:pPr>
            <w:r>
              <w:t>2.4.15</w:t>
            </w:r>
          </w:p>
        </w:tc>
        <w:tc>
          <w:tcPr>
            <w:tcW w:w="764" w:type="dxa"/>
            <w:tcBorders>
              <w:top w:val="nil"/>
              <w:left w:val="nil"/>
              <w:bottom w:val="nil"/>
              <w:right w:val="nil"/>
            </w:tcBorders>
            <w:vAlign w:val="bottom"/>
            <w:hideMark/>
          </w:tcPr>
          <w:p w14:paraId="344F4E88" w14:textId="77777777" w:rsidR="00445FD0" w:rsidRDefault="00445FD0">
            <w:pPr>
              <w:pStyle w:val="NoSpacing"/>
              <w:jc w:val="right"/>
              <w:cnfStyle w:val="000000000000" w:firstRow="0" w:lastRow="0" w:firstColumn="0" w:lastColumn="0" w:oddVBand="0" w:evenVBand="0" w:oddHBand="0" w:evenHBand="0" w:firstRowFirstColumn="0" w:firstRowLastColumn="0" w:lastRowFirstColumn="0" w:lastRowLastColumn="0"/>
            </w:pPr>
            <w:r>
              <w:t>200</w:t>
            </w:r>
          </w:p>
        </w:tc>
      </w:tr>
      <w:tr w:rsidR="00445FD0" w14:paraId="675116BF" w14:textId="77777777" w:rsidTr="00445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Borders>
              <w:left w:val="nil"/>
              <w:right w:val="nil"/>
            </w:tcBorders>
            <w:hideMark/>
          </w:tcPr>
          <w:p w14:paraId="3371EA55" w14:textId="77777777" w:rsidR="00445FD0" w:rsidRDefault="00445FD0">
            <w:pPr>
              <w:pStyle w:val="NoSpacing"/>
              <w:rPr>
                <w:b w:val="0"/>
              </w:rPr>
            </w:pPr>
            <w:r>
              <w:rPr>
                <w:b w:val="0"/>
              </w:rPr>
              <w:t>Constitutional changes: Pastors Conference</w:t>
            </w:r>
          </w:p>
        </w:tc>
        <w:tc>
          <w:tcPr>
            <w:tcW w:w="1134" w:type="dxa"/>
            <w:tcBorders>
              <w:left w:val="nil"/>
              <w:right w:val="nil"/>
            </w:tcBorders>
            <w:vAlign w:val="bottom"/>
            <w:hideMark/>
          </w:tcPr>
          <w:p w14:paraId="34377AF9" w14:textId="77777777" w:rsidR="00445FD0" w:rsidRDefault="00445FD0">
            <w:pPr>
              <w:pStyle w:val="NoSpacing"/>
              <w:cnfStyle w:val="000000100000" w:firstRow="0" w:lastRow="0" w:firstColumn="0" w:lastColumn="0" w:oddVBand="0" w:evenVBand="0" w:oddHBand="1" w:evenHBand="0" w:firstRowFirstColumn="0" w:firstRowLastColumn="0" w:lastRowFirstColumn="0" w:lastRowLastColumn="0"/>
              <w:rPr>
                <w:b/>
              </w:rPr>
            </w:pPr>
            <w:r>
              <w:t>2.4.16</w:t>
            </w:r>
          </w:p>
        </w:tc>
        <w:tc>
          <w:tcPr>
            <w:tcW w:w="764" w:type="dxa"/>
            <w:tcBorders>
              <w:left w:val="nil"/>
              <w:right w:val="nil"/>
            </w:tcBorders>
            <w:vAlign w:val="bottom"/>
            <w:hideMark/>
          </w:tcPr>
          <w:p w14:paraId="4F756FDB" w14:textId="77777777" w:rsidR="00445FD0" w:rsidRDefault="00445FD0">
            <w:pPr>
              <w:pStyle w:val="NoSpacing"/>
              <w:jc w:val="right"/>
              <w:cnfStyle w:val="000000100000" w:firstRow="0" w:lastRow="0" w:firstColumn="0" w:lastColumn="0" w:oddVBand="0" w:evenVBand="0" w:oddHBand="1" w:evenHBand="0" w:firstRowFirstColumn="0" w:firstRowLastColumn="0" w:lastRowFirstColumn="0" w:lastRowLastColumn="0"/>
            </w:pPr>
            <w:r>
              <w:t>201</w:t>
            </w:r>
          </w:p>
        </w:tc>
      </w:tr>
      <w:tr w:rsidR="00445FD0" w14:paraId="09C074E6" w14:textId="77777777" w:rsidTr="00445FD0">
        <w:tc>
          <w:tcPr>
            <w:cnfStyle w:val="001000000000" w:firstRow="0" w:lastRow="0" w:firstColumn="1" w:lastColumn="0" w:oddVBand="0" w:evenVBand="0" w:oddHBand="0" w:evenHBand="0" w:firstRowFirstColumn="0" w:firstRowLastColumn="0" w:lastRowFirstColumn="0" w:lastRowLastColumn="0"/>
            <w:tcW w:w="6946" w:type="dxa"/>
            <w:tcBorders>
              <w:top w:val="nil"/>
              <w:left w:val="nil"/>
              <w:bottom w:val="nil"/>
              <w:right w:val="nil"/>
            </w:tcBorders>
            <w:hideMark/>
          </w:tcPr>
          <w:p w14:paraId="2CE296B2" w14:textId="77777777" w:rsidR="00445FD0" w:rsidRDefault="00445FD0">
            <w:pPr>
              <w:pStyle w:val="NoSpacing"/>
              <w:rPr>
                <w:b w:val="0"/>
              </w:rPr>
            </w:pPr>
            <w:r>
              <w:rPr>
                <w:b w:val="0"/>
              </w:rPr>
              <w:t>Constitutional changes: Pastors Transfer and Support Fund</w:t>
            </w:r>
          </w:p>
        </w:tc>
        <w:tc>
          <w:tcPr>
            <w:tcW w:w="1134" w:type="dxa"/>
            <w:tcBorders>
              <w:top w:val="nil"/>
              <w:left w:val="nil"/>
              <w:bottom w:val="nil"/>
              <w:right w:val="nil"/>
            </w:tcBorders>
            <w:vAlign w:val="bottom"/>
            <w:hideMark/>
          </w:tcPr>
          <w:p w14:paraId="0BBC076E" w14:textId="77777777" w:rsidR="00445FD0" w:rsidRDefault="00445FD0">
            <w:pPr>
              <w:pStyle w:val="NoSpacing"/>
              <w:cnfStyle w:val="000000000000" w:firstRow="0" w:lastRow="0" w:firstColumn="0" w:lastColumn="0" w:oddVBand="0" w:evenVBand="0" w:oddHBand="0" w:evenHBand="0" w:firstRowFirstColumn="0" w:firstRowLastColumn="0" w:lastRowFirstColumn="0" w:lastRowLastColumn="0"/>
              <w:rPr>
                <w:b/>
              </w:rPr>
            </w:pPr>
            <w:r>
              <w:t>2.4.17</w:t>
            </w:r>
          </w:p>
        </w:tc>
        <w:tc>
          <w:tcPr>
            <w:tcW w:w="764" w:type="dxa"/>
            <w:tcBorders>
              <w:top w:val="nil"/>
              <w:left w:val="nil"/>
              <w:bottom w:val="nil"/>
              <w:right w:val="nil"/>
            </w:tcBorders>
            <w:vAlign w:val="bottom"/>
            <w:hideMark/>
          </w:tcPr>
          <w:p w14:paraId="4775B57E" w14:textId="77777777" w:rsidR="00445FD0" w:rsidRDefault="00445FD0">
            <w:pPr>
              <w:pStyle w:val="NoSpacing"/>
              <w:jc w:val="right"/>
              <w:cnfStyle w:val="000000000000" w:firstRow="0" w:lastRow="0" w:firstColumn="0" w:lastColumn="0" w:oddVBand="0" w:evenVBand="0" w:oddHBand="0" w:evenHBand="0" w:firstRowFirstColumn="0" w:firstRowLastColumn="0" w:lastRowFirstColumn="0" w:lastRowLastColumn="0"/>
            </w:pPr>
            <w:r>
              <w:t>202</w:t>
            </w:r>
          </w:p>
        </w:tc>
      </w:tr>
      <w:tr w:rsidR="00445FD0" w14:paraId="78068EDD" w14:textId="77777777" w:rsidTr="00445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Borders>
              <w:left w:val="nil"/>
              <w:right w:val="nil"/>
            </w:tcBorders>
            <w:hideMark/>
          </w:tcPr>
          <w:p w14:paraId="37515207" w14:textId="77777777" w:rsidR="00445FD0" w:rsidRDefault="00445FD0">
            <w:pPr>
              <w:pStyle w:val="NoSpacing"/>
              <w:rPr>
                <w:b w:val="0"/>
              </w:rPr>
            </w:pPr>
            <w:r>
              <w:rPr>
                <w:b w:val="0"/>
              </w:rPr>
              <w:t>Constitutional changes: Student Fund</w:t>
            </w:r>
          </w:p>
        </w:tc>
        <w:tc>
          <w:tcPr>
            <w:tcW w:w="1134" w:type="dxa"/>
            <w:tcBorders>
              <w:left w:val="nil"/>
              <w:right w:val="nil"/>
            </w:tcBorders>
            <w:vAlign w:val="bottom"/>
            <w:hideMark/>
          </w:tcPr>
          <w:p w14:paraId="45C4B268" w14:textId="77777777" w:rsidR="00445FD0" w:rsidRDefault="00445FD0">
            <w:pPr>
              <w:pStyle w:val="NoSpacing"/>
              <w:cnfStyle w:val="000000100000" w:firstRow="0" w:lastRow="0" w:firstColumn="0" w:lastColumn="0" w:oddVBand="0" w:evenVBand="0" w:oddHBand="1" w:evenHBand="0" w:firstRowFirstColumn="0" w:firstRowLastColumn="0" w:lastRowFirstColumn="0" w:lastRowLastColumn="0"/>
              <w:rPr>
                <w:b/>
              </w:rPr>
            </w:pPr>
            <w:r>
              <w:t>2.4.18</w:t>
            </w:r>
          </w:p>
        </w:tc>
        <w:tc>
          <w:tcPr>
            <w:tcW w:w="764" w:type="dxa"/>
            <w:tcBorders>
              <w:left w:val="nil"/>
              <w:right w:val="nil"/>
            </w:tcBorders>
            <w:vAlign w:val="bottom"/>
            <w:hideMark/>
          </w:tcPr>
          <w:p w14:paraId="25FD0DC9" w14:textId="77777777" w:rsidR="00445FD0" w:rsidRDefault="00445FD0">
            <w:pPr>
              <w:pStyle w:val="NoSpacing"/>
              <w:jc w:val="right"/>
              <w:cnfStyle w:val="000000100000" w:firstRow="0" w:lastRow="0" w:firstColumn="0" w:lastColumn="0" w:oddVBand="0" w:evenVBand="0" w:oddHBand="1" w:evenHBand="0" w:firstRowFirstColumn="0" w:firstRowLastColumn="0" w:lastRowFirstColumn="0" w:lastRowLastColumn="0"/>
            </w:pPr>
            <w:r>
              <w:t>203</w:t>
            </w:r>
          </w:p>
        </w:tc>
      </w:tr>
      <w:tr w:rsidR="00445FD0" w14:paraId="6FB88FE0" w14:textId="77777777" w:rsidTr="00445FD0">
        <w:tc>
          <w:tcPr>
            <w:cnfStyle w:val="001000000000" w:firstRow="0" w:lastRow="0" w:firstColumn="1" w:lastColumn="0" w:oddVBand="0" w:evenVBand="0" w:oddHBand="0" w:evenHBand="0" w:firstRowFirstColumn="0" w:firstRowLastColumn="0" w:lastRowFirstColumn="0" w:lastRowLastColumn="0"/>
            <w:tcW w:w="6946" w:type="dxa"/>
            <w:tcBorders>
              <w:top w:val="nil"/>
              <w:left w:val="nil"/>
              <w:bottom w:val="nil"/>
              <w:right w:val="nil"/>
            </w:tcBorders>
            <w:hideMark/>
          </w:tcPr>
          <w:p w14:paraId="2EA3B2FE" w14:textId="77777777" w:rsidR="00445FD0" w:rsidRDefault="00445FD0">
            <w:pPr>
              <w:pStyle w:val="NoSpacing"/>
              <w:rPr>
                <w:b w:val="0"/>
              </w:rPr>
            </w:pPr>
            <w:r>
              <w:rPr>
                <w:b w:val="0"/>
              </w:rPr>
              <w:t>Constitutional changes: Vicarage Trust Fund</w:t>
            </w:r>
          </w:p>
        </w:tc>
        <w:tc>
          <w:tcPr>
            <w:tcW w:w="1134" w:type="dxa"/>
            <w:tcBorders>
              <w:top w:val="nil"/>
              <w:left w:val="nil"/>
              <w:bottom w:val="nil"/>
              <w:right w:val="nil"/>
            </w:tcBorders>
            <w:vAlign w:val="bottom"/>
            <w:hideMark/>
          </w:tcPr>
          <w:p w14:paraId="591673BE" w14:textId="77777777" w:rsidR="00445FD0" w:rsidRDefault="00445FD0">
            <w:pPr>
              <w:pStyle w:val="NoSpacing"/>
              <w:cnfStyle w:val="000000000000" w:firstRow="0" w:lastRow="0" w:firstColumn="0" w:lastColumn="0" w:oddVBand="0" w:evenVBand="0" w:oddHBand="0" w:evenHBand="0" w:firstRowFirstColumn="0" w:firstRowLastColumn="0" w:lastRowFirstColumn="0" w:lastRowLastColumn="0"/>
              <w:rPr>
                <w:b/>
              </w:rPr>
            </w:pPr>
            <w:r>
              <w:t>2.4.19</w:t>
            </w:r>
          </w:p>
        </w:tc>
        <w:tc>
          <w:tcPr>
            <w:tcW w:w="764" w:type="dxa"/>
            <w:tcBorders>
              <w:top w:val="nil"/>
              <w:left w:val="nil"/>
              <w:bottom w:val="nil"/>
              <w:right w:val="nil"/>
            </w:tcBorders>
            <w:vAlign w:val="bottom"/>
            <w:hideMark/>
          </w:tcPr>
          <w:p w14:paraId="4D632613" w14:textId="77777777" w:rsidR="00445FD0" w:rsidRDefault="00445FD0">
            <w:pPr>
              <w:pStyle w:val="NoSpacing"/>
              <w:jc w:val="right"/>
              <w:cnfStyle w:val="000000000000" w:firstRow="0" w:lastRow="0" w:firstColumn="0" w:lastColumn="0" w:oddVBand="0" w:evenVBand="0" w:oddHBand="0" w:evenHBand="0" w:firstRowFirstColumn="0" w:firstRowLastColumn="0" w:lastRowFirstColumn="0" w:lastRowLastColumn="0"/>
            </w:pPr>
            <w:r>
              <w:t>205</w:t>
            </w:r>
          </w:p>
        </w:tc>
      </w:tr>
      <w:tr w:rsidR="00445FD0" w14:paraId="136BCC5B" w14:textId="77777777" w:rsidTr="00445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Borders>
              <w:left w:val="nil"/>
              <w:right w:val="nil"/>
            </w:tcBorders>
            <w:hideMark/>
          </w:tcPr>
          <w:p w14:paraId="16747093" w14:textId="77777777" w:rsidR="00445FD0" w:rsidRDefault="00445FD0">
            <w:pPr>
              <w:pStyle w:val="NoSpacing"/>
            </w:pPr>
            <w:r>
              <w:t>Reports</w:t>
            </w:r>
          </w:p>
        </w:tc>
        <w:tc>
          <w:tcPr>
            <w:tcW w:w="1134" w:type="dxa"/>
            <w:tcBorders>
              <w:left w:val="nil"/>
              <w:right w:val="nil"/>
            </w:tcBorders>
            <w:vAlign w:val="bottom"/>
          </w:tcPr>
          <w:p w14:paraId="0C0F75F9" w14:textId="77777777" w:rsidR="00445FD0" w:rsidRDefault="00445FD0">
            <w:pPr>
              <w:pStyle w:val="NoSpacing"/>
              <w:cnfStyle w:val="000000100000" w:firstRow="0" w:lastRow="0" w:firstColumn="0" w:lastColumn="0" w:oddVBand="0" w:evenVBand="0" w:oddHBand="1" w:evenHBand="0" w:firstRowFirstColumn="0" w:firstRowLastColumn="0" w:lastRowFirstColumn="0" w:lastRowLastColumn="0"/>
            </w:pPr>
          </w:p>
        </w:tc>
        <w:tc>
          <w:tcPr>
            <w:tcW w:w="764" w:type="dxa"/>
            <w:tcBorders>
              <w:left w:val="nil"/>
              <w:right w:val="nil"/>
            </w:tcBorders>
            <w:vAlign w:val="bottom"/>
          </w:tcPr>
          <w:p w14:paraId="482D7845" w14:textId="77777777" w:rsidR="00445FD0" w:rsidRDefault="00445FD0">
            <w:pPr>
              <w:pStyle w:val="NoSpacing"/>
              <w:jc w:val="right"/>
              <w:cnfStyle w:val="000000100000" w:firstRow="0" w:lastRow="0" w:firstColumn="0" w:lastColumn="0" w:oddVBand="0" w:evenVBand="0" w:oddHBand="1" w:evenHBand="0" w:firstRowFirstColumn="0" w:firstRowLastColumn="0" w:lastRowFirstColumn="0" w:lastRowLastColumn="0"/>
            </w:pPr>
          </w:p>
        </w:tc>
      </w:tr>
      <w:tr w:rsidR="00445FD0" w14:paraId="5B0F5F14" w14:textId="77777777" w:rsidTr="00445FD0">
        <w:tc>
          <w:tcPr>
            <w:cnfStyle w:val="001000000000" w:firstRow="0" w:lastRow="0" w:firstColumn="1" w:lastColumn="0" w:oddVBand="0" w:evenVBand="0" w:oddHBand="0" w:evenHBand="0" w:firstRowFirstColumn="0" w:firstRowLastColumn="0" w:lastRowFirstColumn="0" w:lastRowLastColumn="0"/>
            <w:tcW w:w="6946" w:type="dxa"/>
            <w:tcBorders>
              <w:top w:val="nil"/>
              <w:left w:val="nil"/>
              <w:bottom w:val="nil"/>
              <w:right w:val="nil"/>
            </w:tcBorders>
            <w:hideMark/>
          </w:tcPr>
          <w:p w14:paraId="298B7801" w14:textId="77777777" w:rsidR="00445FD0" w:rsidRDefault="00445FD0">
            <w:pPr>
              <w:pStyle w:val="NoSpacing"/>
              <w:rPr>
                <w:b w:val="0"/>
              </w:rPr>
            </w:pPr>
            <w:r>
              <w:rPr>
                <w:b w:val="0"/>
              </w:rPr>
              <w:t>LCA Bishop</w:t>
            </w:r>
          </w:p>
        </w:tc>
        <w:tc>
          <w:tcPr>
            <w:tcW w:w="1134" w:type="dxa"/>
            <w:tcBorders>
              <w:top w:val="nil"/>
              <w:left w:val="nil"/>
              <w:bottom w:val="nil"/>
              <w:right w:val="nil"/>
            </w:tcBorders>
            <w:vAlign w:val="bottom"/>
            <w:hideMark/>
          </w:tcPr>
          <w:p w14:paraId="66879A00" w14:textId="77777777" w:rsidR="00445FD0" w:rsidRDefault="00445FD0">
            <w:pPr>
              <w:pStyle w:val="NoSpacing"/>
              <w:cnfStyle w:val="000000000000" w:firstRow="0" w:lastRow="0" w:firstColumn="0" w:lastColumn="0" w:oddVBand="0" w:evenVBand="0" w:oddHBand="0" w:evenHBand="0" w:firstRowFirstColumn="0" w:firstRowLastColumn="0" w:lastRowFirstColumn="0" w:lastRowLastColumn="0"/>
              <w:rPr>
                <w:b/>
              </w:rPr>
            </w:pPr>
            <w:r>
              <w:t>2.1.1</w:t>
            </w:r>
          </w:p>
        </w:tc>
        <w:tc>
          <w:tcPr>
            <w:tcW w:w="764" w:type="dxa"/>
            <w:tcBorders>
              <w:top w:val="nil"/>
              <w:left w:val="nil"/>
              <w:bottom w:val="nil"/>
              <w:right w:val="nil"/>
            </w:tcBorders>
            <w:vAlign w:val="bottom"/>
            <w:hideMark/>
          </w:tcPr>
          <w:p w14:paraId="7B2BD175" w14:textId="77777777" w:rsidR="00445FD0" w:rsidRDefault="00445FD0">
            <w:pPr>
              <w:pStyle w:val="NoSpacing"/>
              <w:jc w:val="right"/>
              <w:cnfStyle w:val="000000000000" w:firstRow="0" w:lastRow="0" w:firstColumn="0" w:lastColumn="0" w:oddVBand="0" w:evenVBand="0" w:oddHBand="0" w:evenHBand="0" w:firstRowFirstColumn="0" w:firstRowLastColumn="0" w:lastRowFirstColumn="0" w:lastRowLastColumn="0"/>
            </w:pPr>
            <w:r>
              <w:t>15</w:t>
            </w:r>
          </w:p>
        </w:tc>
      </w:tr>
      <w:tr w:rsidR="00445FD0" w14:paraId="6AFD793C" w14:textId="77777777" w:rsidTr="00445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Borders>
              <w:left w:val="nil"/>
              <w:right w:val="nil"/>
            </w:tcBorders>
            <w:hideMark/>
          </w:tcPr>
          <w:p w14:paraId="77BF598E" w14:textId="77777777" w:rsidR="00445FD0" w:rsidRDefault="00445FD0">
            <w:pPr>
              <w:pStyle w:val="NoSpacing"/>
              <w:rPr>
                <w:b w:val="0"/>
              </w:rPr>
            </w:pPr>
            <w:r>
              <w:rPr>
                <w:b w:val="0"/>
              </w:rPr>
              <w:t>General Church Council</w:t>
            </w:r>
          </w:p>
        </w:tc>
        <w:tc>
          <w:tcPr>
            <w:tcW w:w="1134" w:type="dxa"/>
            <w:tcBorders>
              <w:left w:val="nil"/>
              <w:right w:val="nil"/>
            </w:tcBorders>
            <w:vAlign w:val="bottom"/>
            <w:hideMark/>
          </w:tcPr>
          <w:p w14:paraId="02DB8DE2" w14:textId="77777777" w:rsidR="00445FD0" w:rsidRDefault="00445FD0">
            <w:pPr>
              <w:pStyle w:val="NoSpacing"/>
              <w:cnfStyle w:val="000000100000" w:firstRow="0" w:lastRow="0" w:firstColumn="0" w:lastColumn="0" w:oddVBand="0" w:evenVBand="0" w:oddHBand="1" w:evenHBand="0" w:firstRowFirstColumn="0" w:firstRowLastColumn="0" w:lastRowFirstColumn="0" w:lastRowLastColumn="0"/>
              <w:rPr>
                <w:b/>
              </w:rPr>
            </w:pPr>
            <w:r>
              <w:t>2.1.2</w:t>
            </w:r>
          </w:p>
        </w:tc>
        <w:tc>
          <w:tcPr>
            <w:tcW w:w="764" w:type="dxa"/>
            <w:tcBorders>
              <w:left w:val="nil"/>
              <w:right w:val="nil"/>
            </w:tcBorders>
            <w:vAlign w:val="bottom"/>
            <w:hideMark/>
          </w:tcPr>
          <w:p w14:paraId="3BDEBCCB" w14:textId="315FCAC3" w:rsidR="00445FD0" w:rsidRDefault="00DF5F0C">
            <w:pPr>
              <w:pStyle w:val="NoSpacing"/>
              <w:jc w:val="right"/>
              <w:cnfStyle w:val="000000100000" w:firstRow="0" w:lastRow="0" w:firstColumn="0" w:lastColumn="0" w:oddVBand="0" w:evenVBand="0" w:oddHBand="1" w:evenHBand="0" w:firstRowFirstColumn="0" w:firstRowLastColumn="0" w:lastRowFirstColumn="0" w:lastRowLastColumn="0"/>
            </w:pPr>
            <w:r>
              <w:t>25</w:t>
            </w:r>
          </w:p>
        </w:tc>
      </w:tr>
      <w:tr w:rsidR="00445FD0" w14:paraId="2634CCAC" w14:textId="77777777" w:rsidTr="00445FD0">
        <w:trPr>
          <w:trHeight w:val="2254"/>
        </w:trPr>
        <w:tc>
          <w:tcPr>
            <w:cnfStyle w:val="001000000000" w:firstRow="0" w:lastRow="0" w:firstColumn="1" w:lastColumn="0" w:oddVBand="0" w:evenVBand="0" w:oddHBand="0" w:evenHBand="0" w:firstRowFirstColumn="0" w:firstRowLastColumn="0" w:lastRowFirstColumn="0" w:lastRowLastColumn="0"/>
            <w:tcW w:w="6946" w:type="dxa"/>
            <w:tcBorders>
              <w:top w:val="nil"/>
              <w:left w:val="nil"/>
              <w:bottom w:val="nil"/>
              <w:right w:val="nil"/>
            </w:tcBorders>
            <w:hideMark/>
          </w:tcPr>
          <w:p w14:paraId="1920DA33" w14:textId="77777777" w:rsidR="00445FD0" w:rsidRDefault="00445FD0">
            <w:pPr>
              <w:pStyle w:val="NoSpacing"/>
              <w:ind w:left="319"/>
            </w:pPr>
            <w:r>
              <w:rPr>
                <w:b w:val="0"/>
              </w:rPr>
              <w:t>Appendix A: College of Bishops</w:t>
            </w:r>
          </w:p>
          <w:p w14:paraId="1C5FA37B" w14:textId="77777777" w:rsidR="00445FD0" w:rsidRDefault="00445FD0">
            <w:pPr>
              <w:pStyle w:val="NoSpacing"/>
              <w:ind w:left="319"/>
              <w:rPr>
                <w:b w:val="0"/>
                <w:bCs w:val="0"/>
              </w:rPr>
            </w:pPr>
            <w:r>
              <w:rPr>
                <w:b w:val="0"/>
              </w:rPr>
              <w:t>Appendix B: Secretary of the Church</w:t>
            </w:r>
          </w:p>
          <w:p w14:paraId="1C0F6E11" w14:textId="77777777" w:rsidR="00445FD0" w:rsidRDefault="00445FD0">
            <w:pPr>
              <w:pStyle w:val="NoSpacing"/>
              <w:ind w:left="319"/>
            </w:pPr>
            <w:r>
              <w:rPr>
                <w:b w:val="0"/>
              </w:rPr>
              <w:t>Appendix C: Professional Standards Department</w:t>
            </w:r>
          </w:p>
          <w:p w14:paraId="16FE477D" w14:textId="77777777" w:rsidR="00445FD0" w:rsidRDefault="00445FD0">
            <w:pPr>
              <w:pStyle w:val="NoSpacing"/>
              <w:ind w:left="319"/>
              <w:rPr>
                <w:bCs w:val="0"/>
              </w:rPr>
            </w:pPr>
            <w:r>
              <w:rPr>
                <w:b w:val="0"/>
              </w:rPr>
              <w:t>Appendix D: Communications Department</w:t>
            </w:r>
          </w:p>
          <w:p w14:paraId="34093A90" w14:textId="77777777" w:rsidR="00445FD0" w:rsidRDefault="00445FD0">
            <w:pPr>
              <w:pStyle w:val="NoSpacing"/>
              <w:ind w:left="319"/>
              <w:rPr>
                <w:bCs w:val="0"/>
              </w:rPr>
            </w:pPr>
            <w:r>
              <w:rPr>
                <w:b w:val="0"/>
              </w:rPr>
              <w:t>Appendix E: Church Worker Support Department</w:t>
            </w:r>
          </w:p>
          <w:p w14:paraId="611869F9" w14:textId="77777777" w:rsidR="00445FD0" w:rsidRDefault="00445FD0">
            <w:pPr>
              <w:pStyle w:val="NoSpacing"/>
              <w:ind w:left="319"/>
              <w:rPr>
                <w:bCs w:val="0"/>
              </w:rPr>
            </w:pPr>
            <w:r>
              <w:rPr>
                <w:b w:val="0"/>
              </w:rPr>
              <w:t>Appendix F: Lutheran Archives Department</w:t>
            </w:r>
          </w:p>
          <w:p w14:paraId="00A65020" w14:textId="77777777" w:rsidR="00445FD0" w:rsidRDefault="00445FD0">
            <w:pPr>
              <w:pStyle w:val="NoSpacing"/>
              <w:ind w:left="319"/>
              <w:rPr>
                <w:bCs w:val="0"/>
              </w:rPr>
            </w:pPr>
            <w:r>
              <w:rPr>
                <w:b w:val="0"/>
              </w:rPr>
              <w:t>Appendix G: Review of strategic direction 2013 – 2018</w:t>
            </w:r>
          </w:p>
          <w:p w14:paraId="075C86DD" w14:textId="77777777" w:rsidR="00445FD0" w:rsidRDefault="00445FD0">
            <w:pPr>
              <w:pStyle w:val="NoSpacing"/>
              <w:ind w:left="319"/>
              <w:rPr>
                <w:bCs w:val="0"/>
              </w:rPr>
            </w:pPr>
            <w:r>
              <w:rPr>
                <w:b w:val="0"/>
              </w:rPr>
              <w:t>Appendix H: Prevention of domestic and family violence campaign</w:t>
            </w:r>
          </w:p>
          <w:p w14:paraId="03AE7859" w14:textId="77777777" w:rsidR="00445FD0" w:rsidRDefault="00445FD0">
            <w:pPr>
              <w:pStyle w:val="NoSpacing"/>
              <w:ind w:left="319"/>
              <w:rPr>
                <w:b w:val="0"/>
                <w:bCs w:val="0"/>
              </w:rPr>
            </w:pPr>
            <w:r>
              <w:rPr>
                <w:b w:val="0"/>
              </w:rPr>
              <w:t>Appendix I: Review of the LCA pastor call system</w:t>
            </w:r>
          </w:p>
        </w:tc>
        <w:tc>
          <w:tcPr>
            <w:tcW w:w="1134" w:type="dxa"/>
            <w:tcBorders>
              <w:top w:val="nil"/>
              <w:left w:val="nil"/>
              <w:bottom w:val="nil"/>
              <w:right w:val="nil"/>
            </w:tcBorders>
            <w:vAlign w:val="bottom"/>
          </w:tcPr>
          <w:p w14:paraId="574BA5D1" w14:textId="77777777" w:rsidR="00445FD0" w:rsidRDefault="00445FD0">
            <w:pPr>
              <w:pStyle w:val="NoSpacing"/>
              <w:cnfStyle w:val="000000000000" w:firstRow="0" w:lastRow="0" w:firstColumn="0" w:lastColumn="0" w:oddVBand="0" w:evenVBand="0" w:oddHBand="0" w:evenHBand="0" w:firstRowFirstColumn="0" w:firstRowLastColumn="0" w:lastRowFirstColumn="0" w:lastRowLastColumn="0"/>
              <w:rPr>
                <w:b/>
              </w:rPr>
            </w:pPr>
          </w:p>
        </w:tc>
        <w:tc>
          <w:tcPr>
            <w:tcW w:w="764" w:type="dxa"/>
            <w:tcBorders>
              <w:top w:val="nil"/>
              <w:left w:val="nil"/>
              <w:bottom w:val="nil"/>
              <w:right w:val="nil"/>
            </w:tcBorders>
            <w:vAlign w:val="bottom"/>
            <w:hideMark/>
          </w:tcPr>
          <w:p w14:paraId="0C251CF5" w14:textId="77777777" w:rsidR="00445FD0" w:rsidRDefault="00445FD0">
            <w:pPr>
              <w:pStyle w:val="NoSpacing"/>
              <w:jc w:val="right"/>
              <w:cnfStyle w:val="000000000000" w:firstRow="0" w:lastRow="0" w:firstColumn="0" w:lastColumn="0" w:oddVBand="0" w:evenVBand="0" w:oddHBand="0" w:evenHBand="0" w:firstRowFirstColumn="0" w:firstRowLastColumn="0" w:lastRowFirstColumn="0" w:lastRowLastColumn="0"/>
            </w:pPr>
            <w:r>
              <w:t>39</w:t>
            </w:r>
          </w:p>
          <w:p w14:paraId="06D48C85" w14:textId="3FBEC2F6" w:rsidR="00445FD0" w:rsidRDefault="00207C37">
            <w:pPr>
              <w:pStyle w:val="NoSpacing"/>
              <w:jc w:val="right"/>
              <w:cnfStyle w:val="000000000000" w:firstRow="0" w:lastRow="0" w:firstColumn="0" w:lastColumn="0" w:oddVBand="0" w:evenVBand="0" w:oddHBand="0" w:evenHBand="0" w:firstRowFirstColumn="0" w:firstRowLastColumn="0" w:lastRowFirstColumn="0" w:lastRowLastColumn="0"/>
            </w:pPr>
            <w:r>
              <w:t>51</w:t>
            </w:r>
          </w:p>
          <w:p w14:paraId="231F6F8F" w14:textId="73C75FEB" w:rsidR="00445FD0" w:rsidRDefault="00DF5F0C">
            <w:pPr>
              <w:pStyle w:val="NoSpacing"/>
              <w:jc w:val="right"/>
              <w:cnfStyle w:val="000000000000" w:firstRow="0" w:lastRow="0" w:firstColumn="0" w:lastColumn="0" w:oddVBand="0" w:evenVBand="0" w:oddHBand="0" w:evenHBand="0" w:firstRowFirstColumn="0" w:firstRowLastColumn="0" w:lastRowFirstColumn="0" w:lastRowLastColumn="0"/>
            </w:pPr>
            <w:r>
              <w:t>58</w:t>
            </w:r>
          </w:p>
          <w:p w14:paraId="08077EFE" w14:textId="77777777" w:rsidR="00445FD0" w:rsidRDefault="00445FD0">
            <w:pPr>
              <w:pStyle w:val="NoSpacing"/>
              <w:jc w:val="right"/>
              <w:cnfStyle w:val="000000000000" w:firstRow="0" w:lastRow="0" w:firstColumn="0" w:lastColumn="0" w:oddVBand="0" w:evenVBand="0" w:oddHBand="0" w:evenHBand="0" w:firstRowFirstColumn="0" w:firstRowLastColumn="0" w:lastRowFirstColumn="0" w:lastRowLastColumn="0"/>
            </w:pPr>
            <w:r>
              <w:t>62</w:t>
            </w:r>
          </w:p>
          <w:p w14:paraId="229F9909" w14:textId="77777777" w:rsidR="00445FD0" w:rsidRDefault="00445FD0">
            <w:pPr>
              <w:pStyle w:val="NoSpacing"/>
              <w:jc w:val="right"/>
              <w:cnfStyle w:val="000000000000" w:firstRow="0" w:lastRow="0" w:firstColumn="0" w:lastColumn="0" w:oddVBand="0" w:evenVBand="0" w:oddHBand="0" w:evenHBand="0" w:firstRowFirstColumn="0" w:firstRowLastColumn="0" w:lastRowFirstColumn="0" w:lastRowLastColumn="0"/>
            </w:pPr>
            <w:r>
              <w:t>66</w:t>
            </w:r>
          </w:p>
          <w:p w14:paraId="5FBEC20A" w14:textId="77777777" w:rsidR="00445FD0" w:rsidRDefault="00445FD0">
            <w:pPr>
              <w:pStyle w:val="NoSpacing"/>
              <w:jc w:val="right"/>
              <w:cnfStyle w:val="000000000000" w:firstRow="0" w:lastRow="0" w:firstColumn="0" w:lastColumn="0" w:oddVBand="0" w:evenVBand="0" w:oddHBand="0" w:evenHBand="0" w:firstRowFirstColumn="0" w:firstRowLastColumn="0" w:lastRowFirstColumn="0" w:lastRowLastColumn="0"/>
            </w:pPr>
            <w:r>
              <w:t>74</w:t>
            </w:r>
          </w:p>
          <w:p w14:paraId="3426D652" w14:textId="77777777" w:rsidR="00445FD0" w:rsidRDefault="00445FD0">
            <w:pPr>
              <w:pStyle w:val="NoSpacing"/>
              <w:jc w:val="right"/>
              <w:cnfStyle w:val="000000000000" w:firstRow="0" w:lastRow="0" w:firstColumn="0" w:lastColumn="0" w:oddVBand="0" w:evenVBand="0" w:oddHBand="0" w:evenHBand="0" w:firstRowFirstColumn="0" w:firstRowLastColumn="0" w:lastRowFirstColumn="0" w:lastRowLastColumn="0"/>
            </w:pPr>
            <w:r>
              <w:t>81</w:t>
            </w:r>
          </w:p>
          <w:p w14:paraId="50F8D5B7" w14:textId="77777777" w:rsidR="00445FD0" w:rsidRDefault="00445FD0">
            <w:pPr>
              <w:pStyle w:val="NoSpacing"/>
              <w:jc w:val="right"/>
              <w:cnfStyle w:val="000000000000" w:firstRow="0" w:lastRow="0" w:firstColumn="0" w:lastColumn="0" w:oddVBand="0" w:evenVBand="0" w:oddHBand="0" w:evenHBand="0" w:firstRowFirstColumn="0" w:firstRowLastColumn="0" w:lastRowFirstColumn="0" w:lastRowLastColumn="0"/>
            </w:pPr>
            <w:r>
              <w:t>84</w:t>
            </w:r>
          </w:p>
          <w:p w14:paraId="752BA3B8" w14:textId="77777777" w:rsidR="00445FD0" w:rsidRDefault="00445FD0">
            <w:pPr>
              <w:pStyle w:val="NoSpacing"/>
              <w:jc w:val="right"/>
              <w:cnfStyle w:val="000000000000" w:firstRow="0" w:lastRow="0" w:firstColumn="0" w:lastColumn="0" w:oddVBand="0" w:evenVBand="0" w:oddHBand="0" w:evenHBand="0" w:firstRowFirstColumn="0" w:firstRowLastColumn="0" w:lastRowFirstColumn="0" w:lastRowLastColumn="0"/>
            </w:pPr>
            <w:r>
              <w:t>88</w:t>
            </w:r>
          </w:p>
        </w:tc>
      </w:tr>
      <w:tr w:rsidR="00445FD0" w14:paraId="64CE28D0" w14:textId="77777777" w:rsidTr="00445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Borders>
              <w:left w:val="nil"/>
              <w:right w:val="nil"/>
            </w:tcBorders>
            <w:hideMark/>
          </w:tcPr>
          <w:p w14:paraId="529C9BA7" w14:textId="77777777" w:rsidR="00445FD0" w:rsidRDefault="00445FD0">
            <w:pPr>
              <w:pStyle w:val="NoSpacing"/>
              <w:rPr>
                <w:b w:val="0"/>
              </w:rPr>
            </w:pPr>
            <w:r>
              <w:rPr>
                <w:b w:val="0"/>
              </w:rPr>
              <w:t>General Pastors Conference Advice to Synod</w:t>
            </w:r>
          </w:p>
        </w:tc>
        <w:tc>
          <w:tcPr>
            <w:tcW w:w="1134" w:type="dxa"/>
            <w:tcBorders>
              <w:left w:val="nil"/>
              <w:right w:val="nil"/>
            </w:tcBorders>
            <w:vAlign w:val="bottom"/>
            <w:hideMark/>
          </w:tcPr>
          <w:p w14:paraId="5D0C4635" w14:textId="77777777" w:rsidR="00445FD0" w:rsidRDefault="00445FD0">
            <w:pPr>
              <w:pStyle w:val="NoSpacing"/>
              <w:cnfStyle w:val="000000100000" w:firstRow="0" w:lastRow="0" w:firstColumn="0" w:lastColumn="0" w:oddVBand="0" w:evenVBand="0" w:oddHBand="1" w:evenHBand="0" w:firstRowFirstColumn="0" w:firstRowLastColumn="0" w:lastRowFirstColumn="0" w:lastRowLastColumn="0"/>
              <w:rPr>
                <w:b/>
              </w:rPr>
            </w:pPr>
            <w:r>
              <w:t>2.1.3</w:t>
            </w:r>
          </w:p>
        </w:tc>
        <w:tc>
          <w:tcPr>
            <w:tcW w:w="764" w:type="dxa"/>
            <w:tcBorders>
              <w:left w:val="nil"/>
              <w:right w:val="nil"/>
            </w:tcBorders>
            <w:vAlign w:val="bottom"/>
            <w:hideMark/>
          </w:tcPr>
          <w:p w14:paraId="3AEE58B7" w14:textId="77777777" w:rsidR="00445FD0" w:rsidRDefault="00445FD0">
            <w:pPr>
              <w:pStyle w:val="NoSpacing"/>
              <w:jc w:val="right"/>
              <w:cnfStyle w:val="000000100000" w:firstRow="0" w:lastRow="0" w:firstColumn="0" w:lastColumn="0" w:oddVBand="0" w:evenVBand="0" w:oddHBand="1" w:evenHBand="0" w:firstRowFirstColumn="0" w:firstRowLastColumn="0" w:lastRowFirstColumn="0" w:lastRowLastColumn="0"/>
            </w:pPr>
            <w:r>
              <w:t>90</w:t>
            </w:r>
          </w:p>
        </w:tc>
      </w:tr>
      <w:tr w:rsidR="00445FD0" w14:paraId="1CB6BABE" w14:textId="77777777" w:rsidTr="00445FD0">
        <w:tc>
          <w:tcPr>
            <w:cnfStyle w:val="001000000000" w:firstRow="0" w:lastRow="0" w:firstColumn="1" w:lastColumn="0" w:oddVBand="0" w:evenVBand="0" w:oddHBand="0" w:evenHBand="0" w:firstRowFirstColumn="0" w:firstRowLastColumn="0" w:lastRowFirstColumn="0" w:lastRowLastColumn="0"/>
            <w:tcW w:w="6946" w:type="dxa"/>
            <w:tcBorders>
              <w:top w:val="nil"/>
              <w:left w:val="nil"/>
              <w:bottom w:val="nil"/>
              <w:right w:val="nil"/>
            </w:tcBorders>
            <w:hideMark/>
          </w:tcPr>
          <w:p w14:paraId="5400A694" w14:textId="77777777" w:rsidR="00445FD0" w:rsidRDefault="00445FD0">
            <w:pPr>
              <w:pStyle w:val="NoSpacing"/>
              <w:rPr>
                <w:b w:val="0"/>
              </w:rPr>
            </w:pPr>
            <w:r>
              <w:rPr>
                <w:b w:val="0"/>
              </w:rPr>
              <w:t>Australian Lutheran College Ltd</w:t>
            </w:r>
          </w:p>
        </w:tc>
        <w:tc>
          <w:tcPr>
            <w:tcW w:w="1134" w:type="dxa"/>
            <w:tcBorders>
              <w:top w:val="nil"/>
              <w:left w:val="nil"/>
              <w:bottom w:val="nil"/>
              <w:right w:val="nil"/>
            </w:tcBorders>
            <w:vAlign w:val="bottom"/>
            <w:hideMark/>
          </w:tcPr>
          <w:p w14:paraId="38034EA3" w14:textId="77777777" w:rsidR="00445FD0" w:rsidRDefault="00445FD0">
            <w:pPr>
              <w:pStyle w:val="NoSpacing"/>
              <w:cnfStyle w:val="000000000000" w:firstRow="0" w:lastRow="0" w:firstColumn="0" w:lastColumn="0" w:oddVBand="0" w:evenVBand="0" w:oddHBand="0" w:evenHBand="0" w:firstRowFirstColumn="0" w:firstRowLastColumn="0" w:lastRowFirstColumn="0" w:lastRowLastColumn="0"/>
              <w:rPr>
                <w:b/>
              </w:rPr>
            </w:pPr>
            <w:r>
              <w:t>10.1</w:t>
            </w:r>
          </w:p>
        </w:tc>
        <w:tc>
          <w:tcPr>
            <w:tcW w:w="764" w:type="dxa"/>
            <w:tcBorders>
              <w:top w:val="nil"/>
              <w:left w:val="nil"/>
              <w:bottom w:val="nil"/>
              <w:right w:val="nil"/>
            </w:tcBorders>
            <w:vAlign w:val="bottom"/>
            <w:hideMark/>
          </w:tcPr>
          <w:p w14:paraId="71EC9901" w14:textId="77777777" w:rsidR="00445FD0" w:rsidRDefault="00445FD0">
            <w:pPr>
              <w:pStyle w:val="NoSpacing"/>
              <w:jc w:val="right"/>
              <w:cnfStyle w:val="000000000000" w:firstRow="0" w:lastRow="0" w:firstColumn="0" w:lastColumn="0" w:oddVBand="0" w:evenVBand="0" w:oddHBand="0" w:evenHBand="0" w:firstRowFirstColumn="0" w:firstRowLastColumn="0" w:lastRowFirstColumn="0" w:lastRowLastColumn="0"/>
            </w:pPr>
            <w:r>
              <w:t>273</w:t>
            </w:r>
          </w:p>
        </w:tc>
      </w:tr>
      <w:tr w:rsidR="00445FD0" w14:paraId="20B18605" w14:textId="77777777" w:rsidTr="00445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Borders>
              <w:left w:val="nil"/>
              <w:right w:val="nil"/>
            </w:tcBorders>
            <w:hideMark/>
          </w:tcPr>
          <w:p w14:paraId="2926DCC6" w14:textId="77777777" w:rsidR="00445FD0" w:rsidRDefault="00445FD0">
            <w:pPr>
              <w:pStyle w:val="NoSpacing"/>
              <w:ind w:firstLine="319"/>
              <w:rPr>
                <w:b w:val="0"/>
              </w:rPr>
            </w:pPr>
            <w:r>
              <w:rPr>
                <w:b w:val="0"/>
              </w:rPr>
              <w:t>Financial Report: Australian Lutheran College Ltd</w:t>
            </w:r>
          </w:p>
        </w:tc>
        <w:tc>
          <w:tcPr>
            <w:tcW w:w="1134" w:type="dxa"/>
            <w:tcBorders>
              <w:left w:val="nil"/>
              <w:right w:val="nil"/>
            </w:tcBorders>
            <w:vAlign w:val="bottom"/>
            <w:hideMark/>
          </w:tcPr>
          <w:p w14:paraId="52F051EC" w14:textId="77777777" w:rsidR="00445FD0" w:rsidRDefault="00445FD0">
            <w:pPr>
              <w:pStyle w:val="NoSpacing"/>
              <w:cnfStyle w:val="000000100000" w:firstRow="0" w:lastRow="0" w:firstColumn="0" w:lastColumn="0" w:oddVBand="0" w:evenVBand="0" w:oddHBand="1" w:evenHBand="0" w:firstRowFirstColumn="0" w:firstRowLastColumn="0" w:lastRowFirstColumn="0" w:lastRowLastColumn="0"/>
              <w:rPr>
                <w:b/>
              </w:rPr>
            </w:pPr>
            <w:r>
              <w:t>10.2</w:t>
            </w:r>
          </w:p>
        </w:tc>
        <w:tc>
          <w:tcPr>
            <w:tcW w:w="764" w:type="dxa"/>
            <w:tcBorders>
              <w:left w:val="nil"/>
              <w:right w:val="nil"/>
            </w:tcBorders>
            <w:vAlign w:val="bottom"/>
            <w:hideMark/>
          </w:tcPr>
          <w:p w14:paraId="6883BB33" w14:textId="77777777" w:rsidR="00445FD0" w:rsidRDefault="00445FD0">
            <w:pPr>
              <w:pStyle w:val="NoSpacing"/>
              <w:jc w:val="right"/>
              <w:cnfStyle w:val="000000100000" w:firstRow="0" w:lastRow="0" w:firstColumn="0" w:lastColumn="0" w:oddVBand="0" w:evenVBand="0" w:oddHBand="1" w:evenHBand="0" w:firstRowFirstColumn="0" w:firstRowLastColumn="0" w:lastRowFirstColumn="0" w:lastRowLastColumn="0"/>
            </w:pPr>
            <w:r>
              <w:t>281</w:t>
            </w:r>
          </w:p>
        </w:tc>
      </w:tr>
      <w:tr w:rsidR="00445FD0" w14:paraId="63A432D6" w14:textId="77777777" w:rsidTr="00445FD0">
        <w:tc>
          <w:tcPr>
            <w:cnfStyle w:val="001000000000" w:firstRow="0" w:lastRow="0" w:firstColumn="1" w:lastColumn="0" w:oddVBand="0" w:evenVBand="0" w:oddHBand="0" w:evenHBand="0" w:firstRowFirstColumn="0" w:firstRowLastColumn="0" w:lastRowFirstColumn="0" w:lastRowLastColumn="0"/>
            <w:tcW w:w="6946" w:type="dxa"/>
            <w:tcBorders>
              <w:top w:val="nil"/>
              <w:left w:val="nil"/>
              <w:bottom w:val="nil"/>
              <w:right w:val="nil"/>
            </w:tcBorders>
            <w:hideMark/>
          </w:tcPr>
          <w:p w14:paraId="556F3645" w14:textId="77777777" w:rsidR="00445FD0" w:rsidRDefault="00445FD0">
            <w:pPr>
              <w:pStyle w:val="NoSpacing"/>
              <w:ind w:firstLine="319"/>
              <w:rPr>
                <w:b w:val="0"/>
              </w:rPr>
            </w:pPr>
            <w:r>
              <w:rPr>
                <w:b w:val="0"/>
              </w:rPr>
              <w:t>Financial Report: LCA Student Assistance Fund</w:t>
            </w:r>
          </w:p>
        </w:tc>
        <w:tc>
          <w:tcPr>
            <w:tcW w:w="1134" w:type="dxa"/>
            <w:tcBorders>
              <w:top w:val="nil"/>
              <w:left w:val="nil"/>
              <w:bottom w:val="nil"/>
              <w:right w:val="nil"/>
            </w:tcBorders>
            <w:vAlign w:val="bottom"/>
            <w:hideMark/>
          </w:tcPr>
          <w:p w14:paraId="2681E7B5" w14:textId="77777777" w:rsidR="00445FD0" w:rsidRDefault="00445FD0">
            <w:pPr>
              <w:pStyle w:val="NoSpacing"/>
              <w:cnfStyle w:val="000000000000" w:firstRow="0" w:lastRow="0" w:firstColumn="0" w:lastColumn="0" w:oddVBand="0" w:evenVBand="0" w:oddHBand="0" w:evenHBand="0" w:firstRowFirstColumn="0" w:firstRowLastColumn="0" w:lastRowFirstColumn="0" w:lastRowLastColumn="0"/>
              <w:rPr>
                <w:b/>
              </w:rPr>
            </w:pPr>
            <w:r>
              <w:t>10.3</w:t>
            </w:r>
          </w:p>
        </w:tc>
        <w:tc>
          <w:tcPr>
            <w:tcW w:w="764" w:type="dxa"/>
            <w:tcBorders>
              <w:top w:val="nil"/>
              <w:left w:val="nil"/>
              <w:bottom w:val="nil"/>
              <w:right w:val="nil"/>
            </w:tcBorders>
            <w:vAlign w:val="bottom"/>
            <w:hideMark/>
          </w:tcPr>
          <w:p w14:paraId="60A2E125" w14:textId="77777777" w:rsidR="00445FD0" w:rsidRDefault="00445FD0">
            <w:pPr>
              <w:pStyle w:val="NoSpacing"/>
              <w:jc w:val="right"/>
              <w:cnfStyle w:val="000000000000" w:firstRow="0" w:lastRow="0" w:firstColumn="0" w:lastColumn="0" w:oddVBand="0" w:evenVBand="0" w:oddHBand="0" w:evenHBand="0" w:firstRowFirstColumn="0" w:firstRowLastColumn="0" w:lastRowFirstColumn="0" w:lastRowLastColumn="0"/>
            </w:pPr>
            <w:r>
              <w:t>282</w:t>
            </w:r>
          </w:p>
        </w:tc>
      </w:tr>
      <w:tr w:rsidR="00445FD0" w14:paraId="68F9301A" w14:textId="77777777" w:rsidTr="00445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Borders>
              <w:left w:val="nil"/>
              <w:right w:val="nil"/>
            </w:tcBorders>
            <w:hideMark/>
          </w:tcPr>
          <w:p w14:paraId="2D3F3940" w14:textId="77777777" w:rsidR="00445FD0" w:rsidRDefault="00445FD0">
            <w:pPr>
              <w:pStyle w:val="NoSpacing"/>
              <w:rPr>
                <w:b w:val="0"/>
              </w:rPr>
            </w:pPr>
            <w:r>
              <w:rPr>
                <w:b w:val="0"/>
              </w:rPr>
              <w:t>Australian Lutheran World Service</w:t>
            </w:r>
          </w:p>
        </w:tc>
        <w:tc>
          <w:tcPr>
            <w:tcW w:w="1134" w:type="dxa"/>
            <w:tcBorders>
              <w:left w:val="nil"/>
              <w:right w:val="nil"/>
            </w:tcBorders>
            <w:vAlign w:val="bottom"/>
            <w:hideMark/>
          </w:tcPr>
          <w:p w14:paraId="6D84093D" w14:textId="77777777" w:rsidR="00445FD0" w:rsidRDefault="00445FD0">
            <w:pPr>
              <w:pStyle w:val="NoSpacing"/>
              <w:cnfStyle w:val="000000100000" w:firstRow="0" w:lastRow="0" w:firstColumn="0" w:lastColumn="0" w:oddVBand="0" w:evenVBand="0" w:oddHBand="1" w:evenHBand="0" w:firstRowFirstColumn="0" w:firstRowLastColumn="0" w:lastRowFirstColumn="0" w:lastRowLastColumn="0"/>
              <w:rPr>
                <w:b/>
              </w:rPr>
            </w:pPr>
            <w:r>
              <w:t>13.1</w:t>
            </w:r>
          </w:p>
        </w:tc>
        <w:tc>
          <w:tcPr>
            <w:tcW w:w="764" w:type="dxa"/>
            <w:tcBorders>
              <w:left w:val="nil"/>
              <w:right w:val="nil"/>
            </w:tcBorders>
            <w:vAlign w:val="bottom"/>
            <w:hideMark/>
          </w:tcPr>
          <w:p w14:paraId="7D6363D0" w14:textId="77777777" w:rsidR="00445FD0" w:rsidRDefault="00445FD0">
            <w:pPr>
              <w:pStyle w:val="NoSpacing"/>
              <w:jc w:val="right"/>
              <w:cnfStyle w:val="000000100000" w:firstRow="0" w:lastRow="0" w:firstColumn="0" w:lastColumn="0" w:oddVBand="0" w:evenVBand="0" w:oddHBand="1" w:evenHBand="0" w:firstRowFirstColumn="0" w:firstRowLastColumn="0" w:lastRowFirstColumn="0" w:lastRowLastColumn="0"/>
            </w:pPr>
            <w:r>
              <w:t>320</w:t>
            </w:r>
          </w:p>
        </w:tc>
      </w:tr>
      <w:tr w:rsidR="00445FD0" w14:paraId="4A589C99" w14:textId="77777777" w:rsidTr="00445FD0">
        <w:tc>
          <w:tcPr>
            <w:cnfStyle w:val="001000000000" w:firstRow="0" w:lastRow="0" w:firstColumn="1" w:lastColumn="0" w:oddVBand="0" w:evenVBand="0" w:oddHBand="0" w:evenHBand="0" w:firstRowFirstColumn="0" w:firstRowLastColumn="0" w:lastRowFirstColumn="0" w:lastRowLastColumn="0"/>
            <w:tcW w:w="6946" w:type="dxa"/>
            <w:tcBorders>
              <w:top w:val="nil"/>
              <w:left w:val="nil"/>
              <w:bottom w:val="nil"/>
              <w:right w:val="nil"/>
            </w:tcBorders>
            <w:hideMark/>
          </w:tcPr>
          <w:p w14:paraId="3AB733EE" w14:textId="77777777" w:rsidR="00445FD0" w:rsidRDefault="00445FD0">
            <w:pPr>
              <w:pStyle w:val="NoSpacing"/>
              <w:ind w:left="460"/>
              <w:rPr>
                <w:b w:val="0"/>
              </w:rPr>
            </w:pPr>
            <w:r>
              <w:rPr>
                <w:b w:val="0"/>
              </w:rPr>
              <w:t>Financial Report: Australian Lutheran World Service</w:t>
            </w:r>
          </w:p>
        </w:tc>
        <w:tc>
          <w:tcPr>
            <w:tcW w:w="1134" w:type="dxa"/>
            <w:tcBorders>
              <w:top w:val="nil"/>
              <w:left w:val="nil"/>
              <w:bottom w:val="nil"/>
              <w:right w:val="nil"/>
            </w:tcBorders>
            <w:vAlign w:val="bottom"/>
            <w:hideMark/>
          </w:tcPr>
          <w:p w14:paraId="21500D2D" w14:textId="77777777" w:rsidR="00445FD0" w:rsidRDefault="00445FD0">
            <w:pPr>
              <w:pStyle w:val="NoSpacing"/>
              <w:cnfStyle w:val="000000000000" w:firstRow="0" w:lastRow="0" w:firstColumn="0" w:lastColumn="0" w:oddVBand="0" w:evenVBand="0" w:oddHBand="0" w:evenHBand="0" w:firstRowFirstColumn="0" w:firstRowLastColumn="0" w:lastRowFirstColumn="0" w:lastRowLastColumn="0"/>
              <w:rPr>
                <w:b/>
              </w:rPr>
            </w:pPr>
            <w:r>
              <w:t>13.2</w:t>
            </w:r>
          </w:p>
        </w:tc>
        <w:tc>
          <w:tcPr>
            <w:tcW w:w="764" w:type="dxa"/>
            <w:tcBorders>
              <w:top w:val="nil"/>
              <w:left w:val="nil"/>
              <w:bottom w:val="nil"/>
              <w:right w:val="nil"/>
            </w:tcBorders>
            <w:vAlign w:val="bottom"/>
            <w:hideMark/>
          </w:tcPr>
          <w:p w14:paraId="1716376A" w14:textId="77777777" w:rsidR="00445FD0" w:rsidRDefault="00445FD0">
            <w:pPr>
              <w:pStyle w:val="NoSpacing"/>
              <w:jc w:val="right"/>
              <w:cnfStyle w:val="000000000000" w:firstRow="0" w:lastRow="0" w:firstColumn="0" w:lastColumn="0" w:oddVBand="0" w:evenVBand="0" w:oddHBand="0" w:evenHBand="0" w:firstRowFirstColumn="0" w:firstRowLastColumn="0" w:lastRowFirstColumn="0" w:lastRowLastColumn="0"/>
            </w:pPr>
            <w:r>
              <w:t>327</w:t>
            </w:r>
          </w:p>
        </w:tc>
      </w:tr>
      <w:tr w:rsidR="00445FD0" w14:paraId="35DA76B4" w14:textId="77777777" w:rsidTr="00445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Borders>
              <w:left w:val="nil"/>
              <w:right w:val="nil"/>
            </w:tcBorders>
            <w:hideMark/>
          </w:tcPr>
          <w:p w14:paraId="447C712C" w14:textId="77777777" w:rsidR="00445FD0" w:rsidRDefault="00445FD0">
            <w:pPr>
              <w:pStyle w:val="NoSpacing"/>
              <w:rPr>
                <w:b w:val="0"/>
              </w:rPr>
            </w:pPr>
            <w:r>
              <w:rPr>
                <w:b w:val="0"/>
              </w:rPr>
              <w:t>Children, Youth and Family Ministry, Board for</w:t>
            </w:r>
          </w:p>
        </w:tc>
        <w:tc>
          <w:tcPr>
            <w:tcW w:w="1134" w:type="dxa"/>
            <w:tcBorders>
              <w:left w:val="nil"/>
              <w:right w:val="nil"/>
            </w:tcBorders>
            <w:vAlign w:val="bottom"/>
            <w:hideMark/>
          </w:tcPr>
          <w:p w14:paraId="750E8BC8" w14:textId="77777777" w:rsidR="00445FD0" w:rsidRDefault="00445FD0">
            <w:pPr>
              <w:pStyle w:val="NoSpacing"/>
              <w:cnfStyle w:val="000000100000" w:firstRow="0" w:lastRow="0" w:firstColumn="0" w:lastColumn="0" w:oddVBand="0" w:evenVBand="0" w:oddHBand="1" w:evenHBand="0" w:firstRowFirstColumn="0" w:firstRowLastColumn="0" w:lastRowFirstColumn="0" w:lastRowLastColumn="0"/>
              <w:rPr>
                <w:b/>
              </w:rPr>
            </w:pPr>
            <w:r>
              <w:t>3.1</w:t>
            </w:r>
          </w:p>
        </w:tc>
        <w:tc>
          <w:tcPr>
            <w:tcW w:w="764" w:type="dxa"/>
            <w:tcBorders>
              <w:left w:val="nil"/>
              <w:right w:val="nil"/>
            </w:tcBorders>
            <w:vAlign w:val="bottom"/>
            <w:hideMark/>
          </w:tcPr>
          <w:p w14:paraId="4A157FF3" w14:textId="77777777" w:rsidR="00445FD0" w:rsidRDefault="00445FD0">
            <w:pPr>
              <w:pStyle w:val="NoSpacing"/>
              <w:jc w:val="right"/>
              <w:cnfStyle w:val="000000100000" w:firstRow="0" w:lastRow="0" w:firstColumn="0" w:lastColumn="0" w:oddVBand="0" w:evenVBand="0" w:oddHBand="1" w:evenHBand="0" w:firstRowFirstColumn="0" w:firstRowLastColumn="0" w:lastRowFirstColumn="0" w:lastRowLastColumn="0"/>
            </w:pPr>
            <w:r>
              <w:t>212</w:t>
            </w:r>
          </w:p>
        </w:tc>
      </w:tr>
      <w:tr w:rsidR="00445FD0" w14:paraId="1C8E8CF2" w14:textId="77777777" w:rsidTr="00445FD0">
        <w:tc>
          <w:tcPr>
            <w:cnfStyle w:val="001000000000" w:firstRow="0" w:lastRow="0" w:firstColumn="1" w:lastColumn="0" w:oddVBand="0" w:evenVBand="0" w:oddHBand="0" w:evenHBand="0" w:firstRowFirstColumn="0" w:firstRowLastColumn="0" w:lastRowFirstColumn="0" w:lastRowLastColumn="0"/>
            <w:tcW w:w="6946" w:type="dxa"/>
            <w:tcBorders>
              <w:top w:val="nil"/>
              <w:left w:val="nil"/>
              <w:bottom w:val="nil"/>
              <w:right w:val="nil"/>
            </w:tcBorders>
            <w:hideMark/>
          </w:tcPr>
          <w:p w14:paraId="1908A0AC" w14:textId="77777777" w:rsidR="00445FD0" w:rsidRDefault="00445FD0">
            <w:pPr>
              <w:pStyle w:val="NoSpacing"/>
              <w:ind w:left="460"/>
              <w:rPr>
                <w:b w:val="0"/>
              </w:rPr>
            </w:pPr>
            <w:r>
              <w:rPr>
                <w:b w:val="0"/>
              </w:rPr>
              <w:t>Financial Report: Children, Youth and Family Ministry, Board for</w:t>
            </w:r>
          </w:p>
        </w:tc>
        <w:tc>
          <w:tcPr>
            <w:tcW w:w="1134" w:type="dxa"/>
            <w:tcBorders>
              <w:top w:val="nil"/>
              <w:left w:val="nil"/>
              <w:bottom w:val="nil"/>
              <w:right w:val="nil"/>
            </w:tcBorders>
            <w:vAlign w:val="bottom"/>
            <w:hideMark/>
          </w:tcPr>
          <w:p w14:paraId="7B08B2AF" w14:textId="77777777" w:rsidR="00445FD0" w:rsidRDefault="00445FD0">
            <w:pPr>
              <w:pStyle w:val="NoSpacing"/>
              <w:cnfStyle w:val="000000000000" w:firstRow="0" w:lastRow="0" w:firstColumn="0" w:lastColumn="0" w:oddVBand="0" w:evenVBand="0" w:oddHBand="0" w:evenHBand="0" w:firstRowFirstColumn="0" w:firstRowLastColumn="0" w:lastRowFirstColumn="0" w:lastRowLastColumn="0"/>
              <w:rPr>
                <w:b/>
              </w:rPr>
            </w:pPr>
            <w:r>
              <w:t>3.2</w:t>
            </w:r>
          </w:p>
        </w:tc>
        <w:tc>
          <w:tcPr>
            <w:tcW w:w="764" w:type="dxa"/>
            <w:tcBorders>
              <w:top w:val="nil"/>
              <w:left w:val="nil"/>
              <w:bottom w:val="nil"/>
              <w:right w:val="nil"/>
            </w:tcBorders>
            <w:vAlign w:val="bottom"/>
            <w:hideMark/>
          </w:tcPr>
          <w:p w14:paraId="17BBD95D" w14:textId="77777777" w:rsidR="00445FD0" w:rsidRDefault="00445FD0">
            <w:pPr>
              <w:pStyle w:val="NoSpacing"/>
              <w:jc w:val="right"/>
              <w:cnfStyle w:val="000000000000" w:firstRow="0" w:lastRow="0" w:firstColumn="0" w:lastColumn="0" w:oddVBand="0" w:evenVBand="0" w:oddHBand="0" w:evenHBand="0" w:firstRowFirstColumn="0" w:firstRowLastColumn="0" w:lastRowFirstColumn="0" w:lastRowLastColumn="0"/>
            </w:pPr>
            <w:r>
              <w:t>219</w:t>
            </w:r>
          </w:p>
        </w:tc>
      </w:tr>
      <w:tr w:rsidR="00445FD0" w14:paraId="5A4FA43D" w14:textId="77777777" w:rsidTr="00445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Borders>
              <w:left w:val="nil"/>
              <w:right w:val="nil"/>
            </w:tcBorders>
            <w:hideMark/>
          </w:tcPr>
          <w:p w14:paraId="23C1D052" w14:textId="77777777" w:rsidR="00445FD0" w:rsidRDefault="00445FD0">
            <w:pPr>
              <w:pStyle w:val="NoSpacing"/>
              <w:rPr>
                <w:b w:val="0"/>
              </w:rPr>
            </w:pPr>
            <w:r>
              <w:rPr>
                <w:b w:val="0"/>
              </w:rPr>
              <w:t>Constitutions, Standing Committee on</w:t>
            </w:r>
          </w:p>
        </w:tc>
        <w:tc>
          <w:tcPr>
            <w:tcW w:w="1134" w:type="dxa"/>
            <w:tcBorders>
              <w:left w:val="nil"/>
              <w:right w:val="nil"/>
            </w:tcBorders>
            <w:vAlign w:val="bottom"/>
            <w:hideMark/>
          </w:tcPr>
          <w:p w14:paraId="5D619A4D" w14:textId="77777777" w:rsidR="00445FD0" w:rsidRDefault="00445FD0">
            <w:pPr>
              <w:pStyle w:val="NoSpacing"/>
              <w:cnfStyle w:val="000000100000" w:firstRow="0" w:lastRow="0" w:firstColumn="0" w:lastColumn="0" w:oddVBand="0" w:evenVBand="0" w:oddHBand="1" w:evenHBand="0" w:firstRowFirstColumn="0" w:firstRowLastColumn="0" w:lastRowFirstColumn="0" w:lastRowLastColumn="0"/>
              <w:rPr>
                <w:b/>
              </w:rPr>
            </w:pPr>
            <w:r>
              <w:t>2.4.1</w:t>
            </w:r>
          </w:p>
        </w:tc>
        <w:tc>
          <w:tcPr>
            <w:tcW w:w="764" w:type="dxa"/>
            <w:tcBorders>
              <w:left w:val="nil"/>
              <w:right w:val="nil"/>
            </w:tcBorders>
            <w:vAlign w:val="bottom"/>
            <w:hideMark/>
          </w:tcPr>
          <w:p w14:paraId="046964E0" w14:textId="77777777" w:rsidR="00445FD0" w:rsidRDefault="00445FD0">
            <w:pPr>
              <w:pStyle w:val="NoSpacing"/>
              <w:jc w:val="right"/>
              <w:cnfStyle w:val="000000100000" w:firstRow="0" w:lastRow="0" w:firstColumn="0" w:lastColumn="0" w:oddVBand="0" w:evenVBand="0" w:oddHBand="1" w:evenHBand="0" w:firstRowFirstColumn="0" w:firstRowLastColumn="0" w:lastRowFirstColumn="0" w:lastRowLastColumn="0"/>
            </w:pPr>
            <w:r>
              <w:t>180</w:t>
            </w:r>
          </w:p>
        </w:tc>
      </w:tr>
      <w:tr w:rsidR="00445FD0" w14:paraId="498FAEC3" w14:textId="77777777" w:rsidTr="00445FD0">
        <w:tc>
          <w:tcPr>
            <w:cnfStyle w:val="001000000000" w:firstRow="0" w:lastRow="0" w:firstColumn="1" w:lastColumn="0" w:oddVBand="0" w:evenVBand="0" w:oddHBand="0" w:evenHBand="0" w:firstRowFirstColumn="0" w:firstRowLastColumn="0" w:lastRowFirstColumn="0" w:lastRowLastColumn="0"/>
            <w:tcW w:w="6946" w:type="dxa"/>
            <w:tcBorders>
              <w:top w:val="nil"/>
              <w:left w:val="nil"/>
              <w:bottom w:val="nil"/>
              <w:right w:val="nil"/>
            </w:tcBorders>
            <w:hideMark/>
          </w:tcPr>
          <w:p w14:paraId="3C5CA136" w14:textId="77777777" w:rsidR="00445FD0" w:rsidRDefault="00445FD0">
            <w:pPr>
              <w:pStyle w:val="NoSpacing"/>
              <w:rPr>
                <w:b w:val="0"/>
              </w:rPr>
            </w:pPr>
            <w:r>
              <w:rPr>
                <w:b w:val="0"/>
              </w:rPr>
              <w:t>Finance, Audit and Risk Committee</w:t>
            </w:r>
          </w:p>
        </w:tc>
        <w:tc>
          <w:tcPr>
            <w:tcW w:w="1134" w:type="dxa"/>
            <w:tcBorders>
              <w:top w:val="nil"/>
              <w:left w:val="nil"/>
              <w:bottom w:val="nil"/>
              <w:right w:val="nil"/>
            </w:tcBorders>
            <w:vAlign w:val="bottom"/>
            <w:hideMark/>
          </w:tcPr>
          <w:p w14:paraId="48A1616B" w14:textId="77777777" w:rsidR="00445FD0" w:rsidRDefault="00445FD0">
            <w:pPr>
              <w:pStyle w:val="NoSpacing"/>
              <w:cnfStyle w:val="000000000000" w:firstRow="0" w:lastRow="0" w:firstColumn="0" w:lastColumn="0" w:oddVBand="0" w:evenVBand="0" w:oddHBand="0" w:evenHBand="0" w:firstRowFirstColumn="0" w:firstRowLastColumn="0" w:lastRowFirstColumn="0" w:lastRowLastColumn="0"/>
              <w:rPr>
                <w:b/>
              </w:rPr>
            </w:pPr>
            <w:r>
              <w:t>14.1</w:t>
            </w:r>
          </w:p>
        </w:tc>
        <w:tc>
          <w:tcPr>
            <w:tcW w:w="764" w:type="dxa"/>
            <w:tcBorders>
              <w:top w:val="nil"/>
              <w:left w:val="nil"/>
              <w:bottom w:val="nil"/>
              <w:right w:val="nil"/>
            </w:tcBorders>
            <w:vAlign w:val="bottom"/>
            <w:hideMark/>
          </w:tcPr>
          <w:p w14:paraId="722326AD" w14:textId="77777777" w:rsidR="00445FD0" w:rsidRDefault="00445FD0">
            <w:pPr>
              <w:pStyle w:val="NoSpacing"/>
              <w:jc w:val="right"/>
              <w:cnfStyle w:val="000000000000" w:firstRow="0" w:lastRow="0" w:firstColumn="0" w:lastColumn="0" w:oddVBand="0" w:evenVBand="0" w:oddHBand="0" w:evenHBand="0" w:firstRowFirstColumn="0" w:firstRowLastColumn="0" w:lastRowFirstColumn="0" w:lastRowLastColumn="0"/>
            </w:pPr>
            <w:r>
              <w:t>329</w:t>
            </w:r>
          </w:p>
        </w:tc>
      </w:tr>
      <w:tr w:rsidR="00445FD0" w14:paraId="675096FF" w14:textId="77777777" w:rsidTr="00445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Borders>
              <w:left w:val="nil"/>
              <w:right w:val="nil"/>
            </w:tcBorders>
            <w:hideMark/>
          </w:tcPr>
          <w:p w14:paraId="283048AE" w14:textId="77777777" w:rsidR="00445FD0" w:rsidRDefault="00445FD0">
            <w:pPr>
              <w:pStyle w:val="NoSpacing"/>
              <w:ind w:left="460"/>
              <w:rPr>
                <w:b w:val="0"/>
              </w:rPr>
            </w:pPr>
            <w:r>
              <w:rPr>
                <w:b w:val="0"/>
              </w:rPr>
              <w:t>Financial Report: Lutheran Church of Australia Inc</w:t>
            </w:r>
          </w:p>
        </w:tc>
        <w:tc>
          <w:tcPr>
            <w:tcW w:w="1134" w:type="dxa"/>
            <w:tcBorders>
              <w:left w:val="nil"/>
              <w:right w:val="nil"/>
            </w:tcBorders>
            <w:vAlign w:val="bottom"/>
            <w:hideMark/>
          </w:tcPr>
          <w:p w14:paraId="5F610CE2" w14:textId="77777777" w:rsidR="00445FD0" w:rsidRDefault="00445FD0">
            <w:pPr>
              <w:pStyle w:val="NoSpacing"/>
              <w:cnfStyle w:val="000000100000" w:firstRow="0" w:lastRow="0" w:firstColumn="0" w:lastColumn="0" w:oddVBand="0" w:evenVBand="0" w:oddHBand="1" w:evenHBand="0" w:firstRowFirstColumn="0" w:firstRowLastColumn="0" w:lastRowFirstColumn="0" w:lastRowLastColumn="0"/>
              <w:rPr>
                <w:b/>
              </w:rPr>
            </w:pPr>
            <w:r>
              <w:t>14.2</w:t>
            </w:r>
          </w:p>
        </w:tc>
        <w:tc>
          <w:tcPr>
            <w:tcW w:w="764" w:type="dxa"/>
            <w:tcBorders>
              <w:left w:val="nil"/>
              <w:right w:val="nil"/>
            </w:tcBorders>
            <w:vAlign w:val="bottom"/>
            <w:hideMark/>
          </w:tcPr>
          <w:p w14:paraId="2938137E" w14:textId="77777777" w:rsidR="00445FD0" w:rsidRDefault="00445FD0">
            <w:pPr>
              <w:pStyle w:val="NoSpacing"/>
              <w:jc w:val="right"/>
              <w:cnfStyle w:val="000000100000" w:firstRow="0" w:lastRow="0" w:firstColumn="0" w:lastColumn="0" w:oddVBand="0" w:evenVBand="0" w:oddHBand="1" w:evenHBand="0" w:firstRowFirstColumn="0" w:firstRowLastColumn="0" w:lastRowFirstColumn="0" w:lastRowLastColumn="0"/>
            </w:pPr>
            <w:r>
              <w:t>335</w:t>
            </w:r>
          </w:p>
        </w:tc>
      </w:tr>
      <w:tr w:rsidR="00445FD0" w14:paraId="4153D5AE" w14:textId="77777777" w:rsidTr="00445FD0">
        <w:tc>
          <w:tcPr>
            <w:cnfStyle w:val="001000000000" w:firstRow="0" w:lastRow="0" w:firstColumn="1" w:lastColumn="0" w:oddVBand="0" w:evenVBand="0" w:oddHBand="0" w:evenHBand="0" w:firstRowFirstColumn="0" w:firstRowLastColumn="0" w:lastRowFirstColumn="0" w:lastRowLastColumn="0"/>
            <w:tcW w:w="6946" w:type="dxa"/>
            <w:tcBorders>
              <w:top w:val="nil"/>
              <w:left w:val="nil"/>
              <w:bottom w:val="nil"/>
              <w:right w:val="nil"/>
            </w:tcBorders>
            <w:hideMark/>
          </w:tcPr>
          <w:p w14:paraId="19BDA6C1" w14:textId="77777777" w:rsidR="00445FD0" w:rsidRDefault="00445FD0">
            <w:pPr>
              <w:pStyle w:val="NoSpacing"/>
              <w:ind w:left="460"/>
              <w:rPr>
                <w:b w:val="0"/>
              </w:rPr>
            </w:pPr>
            <w:r>
              <w:rPr>
                <w:b w:val="0"/>
              </w:rPr>
              <w:t>Financial Report: LCA Subscriptions</w:t>
            </w:r>
          </w:p>
        </w:tc>
        <w:tc>
          <w:tcPr>
            <w:tcW w:w="1134" w:type="dxa"/>
            <w:tcBorders>
              <w:top w:val="nil"/>
              <w:left w:val="nil"/>
              <w:bottom w:val="nil"/>
              <w:right w:val="nil"/>
            </w:tcBorders>
            <w:vAlign w:val="bottom"/>
            <w:hideMark/>
          </w:tcPr>
          <w:p w14:paraId="1BB30618" w14:textId="77777777" w:rsidR="00445FD0" w:rsidRDefault="00445FD0">
            <w:pPr>
              <w:pStyle w:val="NoSpacing"/>
              <w:cnfStyle w:val="000000000000" w:firstRow="0" w:lastRow="0" w:firstColumn="0" w:lastColumn="0" w:oddVBand="0" w:evenVBand="0" w:oddHBand="0" w:evenHBand="0" w:firstRowFirstColumn="0" w:firstRowLastColumn="0" w:lastRowFirstColumn="0" w:lastRowLastColumn="0"/>
              <w:rPr>
                <w:b/>
              </w:rPr>
            </w:pPr>
            <w:r>
              <w:t>14.3</w:t>
            </w:r>
          </w:p>
        </w:tc>
        <w:tc>
          <w:tcPr>
            <w:tcW w:w="764" w:type="dxa"/>
            <w:tcBorders>
              <w:top w:val="nil"/>
              <w:left w:val="nil"/>
              <w:bottom w:val="nil"/>
              <w:right w:val="nil"/>
            </w:tcBorders>
            <w:vAlign w:val="bottom"/>
            <w:hideMark/>
          </w:tcPr>
          <w:p w14:paraId="3DFD813D" w14:textId="77777777" w:rsidR="00445FD0" w:rsidRDefault="00445FD0">
            <w:pPr>
              <w:pStyle w:val="NoSpacing"/>
              <w:jc w:val="right"/>
              <w:cnfStyle w:val="000000000000" w:firstRow="0" w:lastRow="0" w:firstColumn="0" w:lastColumn="0" w:oddVBand="0" w:evenVBand="0" w:oddHBand="0" w:evenHBand="0" w:firstRowFirstColumn="0" w:firstRowLastColumn="0" w:lastRowFirstColumn="0" w:lastRowLastColumn="0"/>
            </w:pPr>
            <w:r>
              <w:t>347</w:t>
            </w:r>
          </w:p>
        </w:tc>
      </w:tr>
      <w:tr w:rsidR="00445FD0" w14:paraId="3C4B5E80" w14:textId="77777777" w:rsidTr="00445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Borders>
              <w:left w:val="nil"/>
              <w:right w:val="nil"/>
            </w:tcBorders>
            <w:hideMark/>
          </w:tcPr>
          <w:p w14:paraId="483949DB" w14:textId="77777777" w:rsidR="00445FD0" w:rsidRDefault="00445FD0">
            <w:pPr>
              <w:pStyle w:val="NoSpacing"/>
              <w:rPr>
                <w:b w:val="0"/>
              </w:rPr>
            </w:pPr>
            <w:r>
              <w:rPr>
                <w:b w:val="0"/>
              </w:rPr>
              <w:t>Finke River Mission Board</w:t>
            </w:r>
          </w:p>
        </w:tc>
        <w:tc>
          <w:tcPr>
            <w:tcW w:w="1134" w:type="dxa"/>
            <w:tcBorders>
              <w:left w:val="nil"/>
              <w:right w:val="nil"/>
            </w:tcBorders>
            <w:vAlign w:val="bottom"/>
            <w:hideMark/>
          </w:tcPr>
          <w:p w14:paraId="58D321A3" w14:textId="77777777" w:rsidR="00445FD0" w:rsidRDefault="00445FD0">
            <w:pPr>
              <w:pStyle w:val="NoSpacing"/>
              <w:cnfStyle w:val="000000100000" w:firstRow="0" w:lastRow="0" w:firstColumn="0" w:lastColumn="0" w:oddVBand="0" w:evenVBand="0" w:oddHBand="1" w:evenHBand="0" w:firstRowFirstColumn="0" w:firstRowLastColumn="0" w:lastRowFirstColumn="0" w:lastRowLastColumn="0"/>
              <w:rPr>
                <w:b/>
              </w:rPr>
            </w:pPr>
            <w:r>
              <w:t>12.1</w:t>
            </w:r>
          </w:p>
        </w:tc>
        <w:tc>
          <w:tcPr>
            <w:tcW w:w="764" w:type="dxa"/>
            <w:tcBorders>
              <w:left w:val="nil"/>
              <w:right w:val="nil"/>
            </w:tcBorders>
            <w:vAlign w:val="bottom"/>
            <w:hideMark/>
          </w:tcPr>
          <w:p w14:paraId="36BE4434" w14:textId="77777777" w:rsidR="00445FD0" w:rsidRDefault="00445FD0">
            <w:pPr>
              <w:pStyle w:val="NoSpacing"/>
              <w:jc w:val="right"/>
              <w:cnfStyle w:val="000000100000" w:firstRow="0" w:lastRow="0" w:firstColumn="0" w:lastColumn="0" w:oddVBand="0" w:evenVBand="0" w:oddHBand="1" w:evenHBand="0" w:firstRowFirstColumn="0" w:firstRowLastColumn="0" w:lastRowFirstColumn="0" w:lastRowLastColumn="0"/>
            </w:pPr>
            <w:r>
              <w:t>314</w:t>
            </w:r>
          </w:p>
        </w:tc>
      </w:tr>
      <w:tr w:rsidR="00445FD0" w14:paraId="25CBC3C8" w14:textId="77777777" w:rsidTr="00445FD0">
        <w:tc>
          <w:tcPr>
            <w:cnfStyle w:val="001000000000" w:firstRow="0" w:lastRow="0" w:firstColumn="1" w:lastColumn="0" w:oddVBand="0" w:evenVBand="0" w:oddHBand="0" w:evenHBand="0" w:firstRowFirstColumn="0" w:firstRowLastColumn="0" w:lastRowFirstColumn="0" w:lastRowLastColumn="0"/>
            <w:tcW w:w="6946" w:type="dxa"/>
            <w:tcBorders>
              <w:top w:val="nil"/>
              <w:left w:val="nil"/>
              <w:bottom w:val="nil"/>
              <w:right w:val="nil"/>
            </w:tcBorders>
            <w:hideMark/>
          </w:tcPr>
          <w:p w14:paraId="327525A6" w14:textId="77777777" w:rsidR="00445FD0" w:rsidRDefault="00445FD0">
            <w:pPr>
              <w:pStyle w:val="NoSpacing"/>
              <w:ind w:firstLine="460"/>
              <w:rPr>
                <w:b w:val="0"/>
              </w:rPr>
            </w:pPr>
            <w:r>
              <w:rPr>
                <w:b w:val="0"/>
              </w:rPr>
              <w:t>Financial Report: Finke River Mission Board</w:t>
            </w:r>
          </w:p>
        </w:tc>
        <w:tc>
          <w:tcPr>
            <w:tcW w:w="1134" w:type="dxa"/>
            <w:tcBorders>
              <w:top w:val="nil"/>
              <w:left w:val="nil"/>
              <w:bottom w:val="nil"/>
              <w:right w:val="nil"/>
            </w:tcBorders>
            <w:vAlign w:val="bottom"/>
            <w:hideMark/>
          </w:tcPr>
          <w:p w14:paraId="53322047" w14:textId="77777777" w:rsidR="00445FD0" w:rsidRDefault="00445FD0">
            <w:pPr>
              <w:pStyle w:val="NoSpacing"/>
              <w:cnfStyle w:val="000000000000" w:firstRow="0" w:lastRow="0" w:firstColumn="0" w:lastColumn="0" w:oddVBand="0" w:evenVBand="0" w:oddHBand="0" w:evenHBand="0" w:firstRowFirstColumn="0" w:firstRowLastColumn="0" w:lastRowFirstColumn="0" w:lastRowLastColumn="0"/>
              <w:rPr>
                <w:b/>
              </w:rPr>
            </w:pPr>
            <w:r>
              <w:t>12.2</w:t>
            </w:r>
          </w:p>
        </w:tc>
        <w:tc>
          <w:tcPr>
            <w:tcW w:w="764" w:type="dxa"/>
            <w:tcBorders>
              <w:top w:val="nil"/>
              <w:left w:val="nil"/>
              <w:bottom w:val="nil"/>
              <w:right w:val="nil"/>
            </w:tcBorders>
            <w:vAlign w:val="bottom"/>
            <w:hideMark/>
          </w:tcPr>
          <w:p w14:paraId="450D2EDE" w14:textId="77777777" w:rsidR="00445FD0" w:rsidRDefault="00445FD0">
            <w:pPr>
              <w:pStyle w:val="NoSpacing"/>
              <w:jc w:val="right"/>
              <w:cnfStyle w:val="000000000000" w:firstRow="0" w:lastRow="0" w:firstColumn="0" w:lastColumn="0" w:oddVBand="0" w:evenVBand="0" w:oddHBand="0" w:evenHBand="0" w:firstRowFirstColumn="0" w:firstRowLastColumn="0" w:lastRowFirstColumn="0" w:lastRowLastColumn="0"/>
            </w:pPr>
            <w:r>
              <w:t>318</w:t>
            </w:r>
          </w:p>
        </w:tc>
      </w:tr>
      <w:tr w:rsidR="00445FD0" w14:paraId="3E3F7877" w14:textId="77777777" w:rsidTr="00445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Borders>
              <w:left w:val="nil"/>
              <w:right w:val="nil"/>
            </w:tcBorders>
            <w:hideMark/>
          </w:tcPr>
          <w:p w14:paraId="15228DED" w14:textId="77777777" w:rsidR="00445FD0" w:rsidRDefault="00445FD0">
            <w:pPr>
              <w:pStyle w:val="NoSpacing"/>
              <w:rPr>
                <w:b w:val="0"/>
              </w:rPr>
            </w:pPr>
            <w:r>
              <w:rPr>
                <w:b w:val="0"/>
              </w:rPr>
              <w:t>LCA Nominees Pty Ltd ATF Lutheran Super</w:t>
            </w:r>
          </w:p>
        </w:tc>
        <w:tc>
          <w:tcPr>
            <w:tcW w:w="1134" w:type="dxa"/>
            <w:tcBorders>
              <w:left w:val="nil"/>
              <w:right w:val="nil"/>
            </w:tcBorders>
            <w:vAlign w:val="bottom"/>
            <w:hideMark/>
          </w:tcPr>
          <w:p w14:paraId="69AB6E66" w14:textId="77777777" w:rsidR="00445FD0" w:rsidRDefault="00445FD0">
            <w:pPr>
              <w:pStyle w:val="NoSpacing"/>
              <w:cnfStyle w:val="000000100000" w:firstRow="0" w:lastRow="0" w:firstColumn="0" w:lastColumn="0" w:oddVBand="0" w:evenVBand="0" w:oddHBand="1" w:evenHBand="0" w:firstRowFirstColumn="0" w:firstRowLastColumn="0" w:lastRowFirstColumn="0" w:lastRowLastColumn="0"/>
              <w:rPr>
                <w:b/>
              </w:rPr>
            </w:pPr>
            <w:r>
              <w:t>14.13</w:t>
            </w:r>
          </w:p>
        </w:tc>
        <w:tc>
          <w:tcPr>
            <w:tcW w:w="764" w:type="dxa"/>
            <w:tcBorders>
              <w:left w:val="nil"/>
              <w:right w:val="nil"/>
            </w:tcBorders>
            <w:vAlign w:val="bottom"/>
            <w:hideMark/>
          </w:tcPr>
          <w:p w14:paraId="70B72CD2" w14:textId="77777777" w:rsidR="00445FD0" w:rsidRDefault="00445FD0">
            <w:pPr>
              <w:pStyle w:val="NoSpacing"/>
              <w:jc w:val="right"/>
              <w:cnfStyle w:val="000000100000" w:firstRow="0" w:lastRow="0" w:firstColumn="0" w:lastColumn="0" w:oddVBand="0" w:evenVBand="0" w:oddHBand="1" w:evenHBand="0" w:firstRowFirstColumn="0" w:firstRowLastColumn="0" w:lastRowFirstColumn="0" w:lastRowLastColumn="0"/>
            </w:pPr>
            <w:r>
              <w:t>360</w:t>
            </w:r>
          </w:p>
        </w:tc>
      </w:tr>
      <w:tr w:rsidR="00445FD0" w14:paraId="780DB21E" w14:textId="77777777" w:rsidTr="00445FD0">
        <w:tc>
          <w:tcPr>
            <w:cnfStyle w:val="001000000000" w:firstRow="0" w:lastRow="0" w:firstColumn="1" w:lastColumn="0" w:oddVBand="0" w:evenVBand="0" w:oddHBand="0" w:evenHBand="0" w:firstRowFirstColumn="0" w:firstRowLastColumn="0" w:lastRowFirstColumn="0" w:lastRowLastColumn="0"/>
            <w:tcW w:w="6946" w:type="dxa"/>
            <w:tcBorders>
              <w:top w:val="nil"/>
              <w:left w:val="nil"/>
              <w:bottom w:val="nil"/>
              <w:right w:val="nil"/>
            </w:tcBorders>
            <w:hideMark/>
          </w:tcPr>
          <w:p w14:paraId="23FD3098" w14:textId="77777777" w:rsidR="00445FD0" w:rsidRDefault="00445FD0">
            <w:pPr>
              <w:pStyle w:val="NoSpacing"/>
              <w:rPr>
                <w:b w:val="0"/>
              </w:rPr>
            </w:pPr>
            <w:r>
              <w:rPr>
                <w:b w:val="0"/>
              </w:rPr>
              <w:t>Loan Management Committee</w:t>
            </w:r>
          </w:p>
        </w:tc>
        <w:tc>
          <w:tcPr>
            <w:tcW w:w="1134" w:type="dxa"/>
            <w:tcBorders>
              <w:top w:val="nil"/>
              <w:left w:val="nil"/>
              <w:bottom w:val="nil"/>
              <w:right w:val="nil"/>
            </w:tcBorders>
            <w:vAlign w:val="bottom"/>
            <w:hideMark/>
          </w:tcPr>
          <w:p w14:paraId="433DF602" w14:textId="77777777" w:rsidR="00445FD0" w:rsidRDefault="00445FD0">
            <w:pPr>
              <w:pStyle w:val="NoSpacing"/>
              <w:cnfStyle w:val="000000000000" w:firstRow="0" w:lastRow="0" w:firstColumn="0" w:lastColumn="0" w:oddVBand="0" w:evenVBand="0" w:oddHBand="0" w:evenHBand="0" w:firstRowFirstColumn="0" w:firstRowLastColumn="0" w:lastRowFirstColumn="0" w:lastRowLastColumn="0"/>
              <w:rPr>
                <w:b/>
              </w:rPr>
            </w:pPr>
            <w:r>
              <w:t>14.4</w:t>
            </w:r>
          </w:p>
        </w:tc>
        <w:tc>
          <w:tcPr>
            <w:tcW w:w="764" w:type="dxa"/>
            <w:tcBorders>
              <w:top w:val="nil"/>
              <w:left w:val="nil"/>
              <w:bottom w:val="nil"/>
              <w:right w:val="nil"/>
            </w:tcBorders>
            <w:vAlign w:val="bottom"/>
            <w:hideMark/>
          </w:tcPr>
          <w:p w14:paraId="3B138CCF" w14:textId="77777777" w:rsidR="00445FD0" w:rsidRDefault="00445FD0">
            <w:pPr>
              <w:pStyle w:val="NoSpacing"/>
              <w:jc w:val="right"/>
              <w:cnfStyle w:val="000000000000" w:firstRow="0" w:lastRow="0" w:firstColumn="0" w:lastColumn="0" w:oddVBand="0" w:evenVBand="0" w:oddHBand="0" w:evenHBand="0" w:firstRowFirstColumn="0" w:firstRowLastColumn="0" w:lastRowFirstColumn="0" w:lastRowLastColumn="0"/>
            </w:pPr>
            <w:r>
              <w:t>347</w:t>
            </w:r>
          </w:p>
        </w:tc>
      </w:tr>
      <w:tr w:rsidR="00445FD0" w14:paraId="598D54D7" w14:textId="77777777" w:rsidTr="00445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Borders>
              <w:left w:val="nil"/>
              <w:right w:val="nil"/>
            </w:tcBorders>
            <w:hideMark/>
          </w:tcPr>
          <w:p w14:paraId="40772FB2" w14:textId="77777777" w:rsidR="00445FD0" w:rsidRDefault="00445FD0">
            <w:pPr>
              <w:pStyle w:val="NoSpacing"/>
              <w:rPr>
                <w:b w:val="0"/>
              </w:rPr>
            </w:pPr>
            <w:r>
              <w:rPr>
                <w:b w:val="0"/>
              </w:rPr>
              <w:t>Local Mission, Board for</w:t>
            </w:r>
          </w:p>
        </w:tc>
        <w:tc>
          <w:tcPr>
            <w:tcW w:w="1134" w:type="dxa"/>
            <w:tcBorders>
              <w:left w:val="nil"/>
              <w:right w:val="nil"/>
            </w:tcBorders>
            <w:vAlign w:val="bottom"/>
            <w:hideMark/>
          </w:tcPr>
          <w:p w14:paraId="376D90D0" w14:textId="77777777" w:rsidR="00445FD0" w:rsidRDefault="00445FD0">
            <w:pPr>
              <w:pStyle w:val="NoSpacing"/>
              <w:cnfStyle w:val="000000100000" w:firstRow="0" w:lastRow="0" w:firstColumn="0" w:lastColumn="0" w:oddVBand="0" w:evenVBand="0" w:oddHBand="1" w:evenHBand="0" w:firstRowFirstColumn="0" w:firstRowLastColumn="0" w:lastRowFirstColumn="0" w:lastRowLastColumn="0"/>
              <w:rPr>
                <w:b/>
              </w:rPr>
            </w:pPr>
            <w:r>
              <w:t>5.1</w:t>
            </w:r>
          </w:p>
        </w:tc>
        <w:tc>
          <w:tcPr>
            <w:tcW w:w="764" w:type="dxa"/>
            <w:tcBorders>
              <w:left w:val="nil"/>
              <w:right w:val="nil"/>
            </w:tcBorders>
            <w:vAlign w:val="bottom"/>
            <w:hideMark/>
          </w:tcPr>
          <w:p w14:paraId="01594A8B" w14:textId="77777777" w:rsidR="00445FD0" w:rsidRDefault="00445FD0">
            <w:pPr>
              <w:pStyle w:val="NoSpacing"/>
              <w:jc w:val="right"/>
              <w:cnfStyle w:val="000000100000" w:firstRow="0" w:lastRow="0" w:firstColumn="0" w:lastColumn="0" w:oddVBand="0" w:evenVBand="0" w:oddHBand="1" w:evenHBand="0" w:firstRowFirstColumn="0" w:firstRowLastColumn="0" w:lastRowFirstColumn="0" w:lastRowLastColumn="0"/>
            </w:pPr>
            <w:r>
              <w:t>231</w:t>
            </w:r>
          </w:p>
        </w:tc>
      </w:tr>
      <w:tr w:rsidR="00445FD0" w14:paraId="50F30D33" w14:textId="77777777" w:rsidTr="00445FD0">
        <w:tc>
          <w:tcPr>
            <w:cnfStyle w:val="001000000000" w:firstRow="0" w:lastRow="0" w:firstColumn="1" w:lastColumn="0" w:oddVBand="0" w:evenVBand="0" w:oddHBand="0" w:evenHBand="0" w:firstRowFirstColumn="0" w:firstRowLastColumn="0" w:lastRowFirstColumn="0" w:lastRowLastColumn="0"/>
            <w:tcW w:w="6946" w:type="dxa"/>
            <w:tcBorders>
              <w:top w:val="nil"/>
              <w:left w:val="nil"/>
              <w:bottom w:val="nil"/>
              <w:right w:val="nil"/>
            </w:tcBorders>
            <w:hideMark/>
          </w:tcPr>
          <w:p w14:paraId="1DFCAB9A" w14:textId="77777777" w:rsidR="00445FD0" w:rsidRDefault="00445FD0">
            <w:pPr>
              <w:pStyle w:val="NoSpacing"/>
              <w:ind w:left="460"/>
              <w:rPr>
                <w:b w:val="0"/>
              </w:rPr>
            </w:pPr>
            <w:r>
              <w:rPr>
                <w:b w:val="0"/>
              </w:rPr>
              <w:t>Financial Report: Local Mission, Board for</w:t>
            </w:r>
          </w:p>
        </w:tc>
        <w:tc>
          <w:tcPr>
            <w:tcW w:w="1134" w:type="dxa"/>
            <w:tcBorders>
              <w:top w:val="nil"/>
              <w:left w:val="nil"/>
              <w:bottom w:val="nil"/>
              <w:right w:val="nil"/>
            </w:tcBorders>
            <w:vAlign w:val="bottom"/>
            <w:hideMark/>
          </w:tcPr>
          <w:p w14:paraId="014FFCAE" w14:textId="77777777" w:rsidR="00445FD0" w:rsidRDefault="00445FD0">
            <w:pPr>
              <w:pStyle w:val="NoSpacing"/>
              <w:cnfStyle w:val="000000000000" w:firstRow="0" w:lastRow="0" w:firstColumn="0" w:lastColumn="0" w:oddVBand="0" w:evenVBand="0" w:oddHBand="0" w:evenHBand="0" w:firstRowFirstColumn="0" w:firstRowLastColumn="0" w:lastRowFirstColumn="0" w:lastRowLastColumn="0"/>
              <w:rPr>
                <w:b/>
              </w:rPr>
            </w:pPr>
            <w:r>
              <w:t>5.2</w:t>
            </w:r>
          </w:p>
        </w:tc>
        <w:tc>
          <w:tcPr>
            <w:tcW w:w="764" w:type="dxa"/>
            <w:tcBorders>
              <w:top w:val="nil"/>
              <w:left w:val="nil"/>
              <w:bottom w:val="nil"/>
              <w:right w:val="nil"/>
            </w:tcBorders>
            <w:vAlign w:val="bottom"/>
            <w:hideMark/>
          </w:tcPr>
          <w:p w14:paraId="749D487E" w14:textId="77777777" w:rsidR="00445FD0" w:rsidRDefault="00445FD0">
            <w:pPr>
              <w:pStyle w:val="NoSpacing"/>
              <w:jc w:val="right"/>
              <w:cnfStyle w:val="000000000000" w:firstRow="0" w:lastRow="0" w:firstColumn="0" w:lastColumn="0" w:oddVBand="0" w:evenVBand="0" w:oddHBand="0" w:evenHBand="0" w:firstRowFirstColumn="0" w:firstRowLastColumn="0" w:lastRowFirstColumn="0" w:lastRowLastColumn="0"/>
            </w:pPr>
            <w:r>
              <w:t>236</w:t>
            </w:r>
          </w:p>
        </w:tc>
      </w:tr>
      <w:tr w:rsidR="00445FD0" w14:paraId="44EF75E4" w14:textId="77777777" w:rsidTr="00445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Borders>
              <w:left w:val="nil"/>
              <w:right w:val="nil"/>
            </w:tcBorders>
            <w:hideMark/>
          </w:tcPr>
          <w:p w14:paraId="174E3379" w14:textId="77777777" w:rsidR="00445FD0" w:rsidRDefault="00445FD0">
            <w:pPr>
              <w:pStyle w:val="NoSpacing"/>
              <w:rPr>
                <w:b w:val="0"/>
              </w:rPr>
            </w:pPr>
            <w:r>
              <w:rPr>
                <w:b w:val="0"/>
              </w:rPr>
              <w:t xml:space="preserve">Lutheran Education Australia Ltd </w:t>
            </w:r>
          </w:p>
        </w:tc>
        <w:tc>
          <w:tcPr>
            <w:tcW w:w="1134" w:type="dxa"/>
            <w:tcBorders>
              <w:left w:val="nil"/>
              <w:right w:val="nil"/>
            </w:tcBorders>
            <w:vAlign w:val="bottom"/>
            <w:hideMark/>
          </w:tcPr>
          <w:p w14:paraId="2E19698C" w14:textId="77777777" w:rsidR="00445FD0" w:rsidRDefault="00445FD0">
            <w:pPr>
              <w:pStyle w:val="NoSpacing"/>
              <w:cnfStyle w:val="000000100000" w:firstRow="0" w:lastRow="0" w:firstColumn="0" w:lastColumn="0" w:oddVBand="0" w:evenVBand="0" w:oddHBand="1" w:evenHBand="0" w:firstRowFirstColumn="0" w:firstRowLastColumn="0" w:lastRowFirstColumn="0" w:lastRowLastColumn="0"/>
              <w:rPr>
                <w:b/>
              </w:rPr>
            </w:pPr>
            <w:r>
              <w:t>11.1</w:t>
            </w:r>
          </w:p>
        </w:tc>
        <w:tc>
          <w:tcPr>
            <w:tcW w:w="764" w:type="dxa"/>
            <w:tcBorders>
              <w:left w:val="nil"/>
              <w:right w:val="nil"/>
            </w:tcBorders>
            <w:vAlign w:val="bottom"/>
            <w:hideMark/>
          </w:tcPr>
          <w:p w14:paraId="1FF2E95E" w14:textId="77777777" w:rsidR="00445FD0" w:rsidRDefault="00445FD0">
            <w:pPr>
              <w:pStyle w:val="NoSpacing"/>
              <w:jc w:val="right"/>
              <w:cnfStyle w:val="000000100000" w:firstRow="0" w:lastRow="0" w:firstColumn="0" w:lastColumn="0" w:oddVBand="0" w:evenVBand="0" w:oddHBand="1" w:evenHBand="0" w:firstRowFirstColumn="0" w:firstRowLastColumn="0" w:lastRowFirstColumn="0" w:lastRowLastColumn="0"/>
            </w:pPr>
            <w:r>
              <w:t>283</w:t>
            </w:r>
          </w:p>
        </w:tc>
      </w:tr>
      <w:tr w:rsidR="00445FD0" w14:paraId="524E440E" w14:textId="77777777" w:rsidTr="00445FD0">
        <w:tc>
          <w:tcPr>
            <w:cnfStyle w:val="001000000000" w:firstRow="0" w:lastRow="0" w:firstColumn="1" w:lastColumn="0" w:oddVBand="0" w:evenVBand="0" w:oddHBand="0" w:evenHBand="0" w:firstRowFirstColumn="0" w:firstRowLastColumn="0" w:lastRowFirstColumn="0" w:lastRowLastColumn="0"/>
            <w:tcW w:w="6946" w:type="dxa"/>
            <w:tcBorders>
              <w:top w:val="nil"/>
              <w:left w:val="nil"/>
              <w:bottom w:val="nil"/>
              <w:right w:val="nil"/>
            </w:tcBorders>
            <w:hideMark/>
          </w:tcPr>
          <w:p w14:paraId="318A9541" w14:textId="77777777" w:rsidR="00445FD0" w:rsidRDefault="00445FD0">
            <w:pPr>
              <w:pStyle w:val="NoSpacing"/>
              <w:ind w:firstLine="460"/>
              <w:rPr>
                <w:b w:val="0"/>
              </w:rPr>
            </w:pPr>
            <w:r>
              <w:rPr>
                <w:b w:val="0"/>
              </w:rPr>
              <w:t>Lutheran Education Australia: Key data and statistics</w:t>
            </w:r>
          </w:p>
          <w:p w14:paraId="2C8CA7E5" w14:textId="77777777" w:rsidR="00445FD0" w:rsidRDefault="00445FD0">
            <w:pPr>
              <w:pStyle w:val="NoSpacing"/>
              <w:ind w:firstLine="460"/>
              <w:rPr>
                <w:b w:val="0"/>
              </w:rPr>
            </w:pPr>
            <w:r>
              <w:rPr>
                <w:b w:val="0"/>
              </w:rPr>
              <w:t xml:space="preserve">Financial Report: Lutheran Education Australia Ltd </w:t>
            </w:r>
          </w:p>
          <w:p w14:paraId="2B11C865" w14:textId="72580EAA" w:rsidR="00445FD0" w:rsidRDefault="00445FD0">
            <w:pPr>
              <w:pStyle w:val="NoSpacing"/>
              <w:ind w:firstLine="460"/>
              <w:rPr>
                <w:b w:val="0"/>
              </w:rPr>
            </w:pPr>
            <w:r>
              <w:rPr>
                <w:b w:val="0"/>
              </w:rPr>
              <w:t>L</w:t>
            </w:r>
            <w:r w:rsidR="00207C37">
              <w:rPr>
                <w:b w:val="0"/>
              </w:rPr>
              <w:t>utheran Education Review (G</w:t>
            </w:r>
            <w:r>
              <w:rPr>
                <w:b w:val="0"/>
              </w:rPr>
              <w:t>CC</w:t>
            </w:r>
            <w:r w:rsidR="00207C37">
              <w:rPr>
                <w:b w:val="0"/>
              </w:rPr>
              <w:t>/BLEA</w:t>
            </w:r>
            <w:r>
              <w:rPr>
                <w:b w:val="0"/>
              </w:rPr>
              <w:t>)</w:t>
            </w:r>
          </w:p>
        </w:tc>
        <w:tc>
          <w:tcPr>
            <w:tcW w:w="1134" w:type="dxa"/>
            <w:tcBorders>
              <w:top w:val="nil"/>
              <w:left w:val="nil"/>
              <w:bottom w:val="nil"/>
              <w:right w:val="nil"/>
            </w:tcBorders>
            <w:vAlign w:val="bottom"/>
            <w:hideMark/>
          </w:tcPr>
          <w:p w14:paraId="64419A1D" w14:textId="77777777" w:rsidR="00445FD0" w:rsidRDefault="00445FD0">
            <w:pPr>
              <w:pStyle w:val="NoSpacing"/>
              <w:cnfStyle w:val="000000000000" w:firstRow="0" w:lastRow="0" w:firstColumn="0" w:lastColumn="0" w:oddVBand="0" w:evenVBand="0" w:oddHBand="0" w:evenHBand="0" w:firstRowFirstColumn="0" w:firstRowLastColumn="0" w:lastRowFirstColumn="0" w:lastRowLastColumn="0"/>
              <w:rPr>
                <w:b/>
              </w:rPr>
            </w:pPr>
            <w:r>
              <w:t>11.2</w:t>
            </w:r>
          </w:p>
          <w:p w14:paraId="43C2390E" w14:textId="77777777" w:rsidR="00445FD0" w:rsidRDefault="00445FD0">
            <w:pPr>
              <w:pStyle w:val="NoSpacing"/>
              <w:cnfStyle w:val="000000000000" w:firstRow="0" w:lastRow="0" w:firstColumn="0" w:lastColumn="0" w:oddVBand="0" w:evenVBand="0" w:oddHBand="0" w:evenHBand="0" w:firstRowFirstColumn="0" w:firstRowLastColumn="0" w:lastRowFirstColumn="0" w:lastRowLastColumn="0"/>
            </w:pPr>
            <w:r>
              <w:t>11.3</w:t>
            </w:r>
          </w:p>
          <w:p w14:paraId="0D13A4DB" w14:textId="77777777" w:rsidR="00445FD0" w:rsidRDefault="00445FD0">
            <w:pPr>
              <w:pStyle w:val="NoSpacing"/>
              <w:cnfStyle w:val="000000000000" w:firstRow="0" w:lastRow="0" w:firstColumn="0" w:lastColumn="0" w:oddVBand="0" w:evenVBand="0" w:oddHBand="0" w:evenHBand="0" w:firstRowFirstColumn="0" w:firstRowLastColumn="0" w:lastRowFirstColumn="0" w:lastRowLastColumn="0"/>
            </w:pPr>
            <w:r>
              <w:t>11.4</w:t>
            </w:r>
          </w:p>
        </w:tc>
        <w:tc>
          <w:tcPr>
            <w:tcW w:w="764" w:type="dxa"/>
            <w:tcBorders>
              <w:top w:val="nil"/>
              <w:left w:val="nil"/>
              <w:bottom w:val="nil"/>
              <w:right w:val="nil"/>
            </w:tcBorders>
            <w:vAlign w:val="bottom"/>
            <w:hideMark/>
          </w:tcPr>
          <w:p w14:paraId="45A82612" w14:textId="77777777" w:rsidR="00445FD0" w:rsidRDefault="00445FD0">
            <w:pPr>
              <w:pStyle w:val="NoSpacing"/>
              <w:jc w:val="right"/>
              <w:cnfStyle w:val="000000000000" w:firstRow="0" w:lastRow="0" w:firstColumn="0" w:lastColumn="0" w:oddVBand="0" w:evenVBand="0" w:oddHBand="0" w:evenHBand="0" w:firstRowFirstColumn="0" w:firstRowLastColumn="0" w:lastRowFirstColumn="0" w:lastRowLastColumn="0"/>
            </w:pPr>
            <w:r>
              <w:t>289</w:t>
            </w:r>
          </w:p>
          <w:p w14:paraId="5EC96970" w14:textId="77777777" w:rsidR="00445FD0" w:rsidRDefault="00445FD0">
            <w:pPr>
              <w:pStyle w:val="NoSpacing"/>
              <w:jc w:val="right"/>
              <w:cnfStyle w:val="000000000000" w:firstRow="0" w:lastRow="0" w:firstColumn="0" w:lastColumn="0" w:oddVBand="0" w:evenVBand="0" w:oddHBand="0" w:evenHBand="0" w:firstRowFirstColumn="0" w:firstRowLastColumn="0" w:lastRowFirstColumn="0" w:lastRowLastColumn="0"/>
            </w:pPr>
            <w:r>
              <w:t>291</w:t>
            </w:r>
          </w:p>
          <w:p w14:paraId="6FDED2EA" w14:textId="77777777" w:rsidR="00445FD0" w:rsidRDefault="00445FD0">
            <w:pPr>
              <w:pStyle w:val="NoSpacing"/>
              <w:jc w:val="right"/>
              <w:cnfStyle w:val="000000000000" w:firstRow="0" w:lastRow="0" w:firstColumn="0" w:lastColumn="0" w:oddVBand="0" w:evenVBand="0" w:oddHBand="0" w:evenHBand="0" w:firstRowFirstColumn="0" w:firstRowLastColumn="0" w:lastRowFirstColumn="0" w:lastRowLastColumn="0"/>
            </w:pPr>
            <w:r>
              <w:t>292</w:t>
            </w:r>
          </w:p>
        </w:tc>
      </w:tr>
      <w:tr w:rsidR="00445FD0" w14:paraId="71342B2B" w14:textId="77777777" w:rsidTr="00445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Borders>
              <w:left w:val="nil"/>
              <w:right w:val="nil"/>
            </w:tcBorders>
            <w:hideMark/>
          </w:tcPr>
          <w:p w14:paraId="1F95C067" w14:textId="77777777" w:rsidR="00445FD0" w:rsidRDefault="00445FD0">
            <w:pPr>
              <w:pStyle w:val="NoSpacing"/>
              <w:rPr>
                <w:b w:val="0"/>
              </w:rPr>
            </w:pPr>
            <w:r>
              <w:rPr>
                <w:b w:val="0"/>
              </w:rPr>
              <w:t>Lutherans for Life</w:t>
            </w:r>
          </w:p>
        </w:tc>
        <w:tc>
          <w:tcPr>
            <w:tcW w:w="1134" w:type="dxa"/>
            <w:tcBorders>
              <w:left w:val="nil"/>
              <w:right w:val="nil"/>
            </w:tcBorders>
            <w:vAlign w:val="bottom"/>
            <w:hideMark/>
          </w:tcPr>
          <w:p w14:paraId="4F02F7CC" w14:textId="77777777" w:rsidR="00445FD0" w:rsidRDefault="00445FD0">
            <w:pPr>
              <w:pStyle w:val="NoSpacing"/>
              <w:cnfStyle w:val="000000100000" w:firstRow="0" w:lastRow="0" w:firstColumn="0" w:lastColumn="0" w:oddVBand="0" w:evenVBand="0" w:oddHBand="1" w:evenHBand="0" w:firstRowFirstColumn="0" w:firstRowLastColumn="0" w:lastRowFirstColumn="0" w:lastRowLastColumn="0"/>
              <w:rPr>
                <w:b/>
              </w:rPr>
            </w:pPr>
            <w:r>
              <w:t>7.2</w:t>
            </w:r>
          </w:p>
        </w:tc>
        <w:tc>
          <w:tcPr>
            <w:tcW w:w="764" w:type="dxa"/>
            <w:tcBorders>
              <w:left w:val="nil"/>
              <w:right w:val="nil"/>
            </w:tcBorders>
            <w:vAlign w:val="bottom"/>
            <w:hideMark/>
          </w:tcPr>
          <w:p w14:paraId="3FE938C8" w14:textId="77777777" w:rsidR="00445FD0" w:rsidRDefault="00445FD0">
            <w:pPr>
              <w:pStyle w:val="NoSpacing"/>
              <w:jc w:val="right"/>
              <w:cnfStyle w:val="000000100000" w:firstRow="0" w:lastRow="0" w:firstColumn="0" w:lastColumn="0" w:oddVBand="0" w:evenVBand="0" w:oddHBand="1" w:evenHBand="0" w:firstRowFirstColumn="0" w:firstRowLastColumn="0" w:lastRowFirstColumn="0" w:lastRowLastColumn="0"/>
            </w:pPr>
            <w:r>
              <w:t>261</w:t>
            </w:r>
          </w:p>
        </w:tc>
      </w:tr>
      <w:tr w:rsidR="00445FD0" w14:paraId="2A54F577" w14:textId="77777777" w:rsidTr="00445FD0">
        <w:tc>
          <w:tcPr>
            <w:cnfStyle w:val="001000000000" w:firstRow="0" w:lastRow="0" w:firstColumn="1" w:lastColumn="0" w:oddVBand="0" w:evenVBand="0" w:oddHBand="0" w:evenHBand="0" w:firstRowFirstColumn="0" w:firstRowLastColumn="0" w:lastRowFirstColumn="0" w:lastRowLastColumn="0"/>
            <w:tcW w:w="6946" w:type="dxa"/>
            <w:tcBorders>
              <w:top w:val="nil"/>
              <w:left w:val="nil"/>
              <w:bottom w:val="nil"/>
              <w:right w:val="nil"/>
            </w:tcBorders>
            <w:hideMark/>
          </w:tcPr>
          <w:p w14:paraId="7968FAA4" w14:textId="77777777" w:rsidR="00445FD0" w:rsidRDefault="00445FD0">
            <w:pPr>
              <w:pStyle w:val="NoSpacing"/>
              <w:rPr>
                <w:b w:val="0"/>
              </w:rPr>
            </w:pPr>
            <w:r>
              <w:rPr>
                <w:b w:val="0"/>
              </w:rPr>
              <w:t>Lutheran Laypeople’s League</w:t>
            </w:r>
          </w:p>
        </w:tc>
        <w:tc>
          <w:tcPr>
            <w:tcW w:w="1134" w:type="dxa"/>
            <w:tcBorders>
              <w:top w:val="nil"/>
              <w:left w:val="nil"/>
              <w:bottom w:val="nil"/>
              <w:right w:val="nil"/>
            </w:tcBorders>
            <w:vAlign w:val="bottom"/>
            <w:hideMark/>
          </w:tcPr>
          <w:p w14:paraId="4B6466AE" w14:textId="77777777" w:rsidR="00445FD0" w:rsidRDefault="00445FD0">
            <w:pPr>
              <w:pStyle w:val="NoSpacing"/>
              <w:cnfStyle w:val="000000000000" w:firstRow="0" w:lastRow="0" w:firstColumn="0" w:lastColumn="0" w:oddVBand="0" w:evenVBand="0" w:oddHBand="0" w:evenHBand="0" w:firstRowFirstColumn="0" w:firstRowLastColumn="0" w:lastRowFirstColumn="0" w:lastRowLastColumn="0"/>
              <w:rPr>
                <w:b/>
              </w:rPr>
            </w:pPr>
            <w:r>
              <w:t>14.6</w:t>
            </w:r>
          </w:p>
        </w:tc>
        <w:tc>
          <w:tcPr>
            <w:tcW w:w="764" w:type="dxa"/>
            <w:tcBorders>
              <w:top w:val="nil"/>
              <w:left w:val="nil"/>
              <w:bottom w:val="nil"/>
              <w:right w:val="nil"/>
            </w:tcBorders>
            <w:vAlign w:val="bottom"/>
            <w:hideMark/>
          </w:tcPr>
          <w:p w14:paraId="65C3F9D9" w14:textId="77777777" w:rsidR="00445FD0" w:rsidRDefault="00445FD0">
            <w:pPr>
              <w:pStyle w:val="NoSpacing"/>
              <w:jc w:val="right"/>
              <w:cnfStyle w:val="000000000000" w:firstRow="0" w:lastRow="0" w:firstColumn="0" w:lastColumn="0" w:oddVBand="0" w:evenVBand="0" w:oddHBand="0" w:evenHBand="0" w:firstRowFirstColumn="0" w:firstRowLastColumn="0" w:lastRowFirstColumn="0" w:lastRowLastColumn="0"/>
            </w:pPr>
            <w:r>
              <w:t>350</w:t>
            </w:r>
          </w:p>
        </w:tc>
      </w:tr>
      <w:tr w:rsidR="00445FD0" w14:paraId="699ABD89" w14:textId="77777777" w:rsidTr="00445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Borders>
              <w:left w:val="nil"/>
              <w:right w:val="nil"/>
            </w:tcBorders>
            <w:hideMark/>
          </w:tcPr>
          <w:p w14:paraId="1859A4D5" w14:textId="77777777" w:rsidR="00445FD0" w:rsidRDefault="00445FD0">
            <w:pPr>
              <w:pStyle w:val="NoSpacing"/>
              <w:ind w:firstLine="460"/>
              <w:rPr>
                <w:b w:val="0"/>
              </w:rPr>
            </w:pPr>
            <w:r>
              <w:rPr>
                <w:b w:val="0"/>
              </w:rPr>
              <w:t>Financial Report: Lutheran Laypeople’s League</w:t>
            </w:r>
          </w:p>
        </w:tc>
        <w:tc>
          <w:tcPr>
            <w:tcW w:w="1134" w:type="dxa"/>
            <w:tcBorders>
              <w:left w:val="nil"/>
              <w:right w:val="nil"/>
            </w:tcBorders>
            <w:vAlign w:val="bottom"/>
          </w:tcPr>
          <w:p w14:paraId="4215479C" w14:textId="77777777" w:rsidR="00445FD0" w:rsidRDefault="00445FD0">
            <w:pPr>
              <w:pStyle w:val="NoSpacing"/>
              <w:cnfStyle w:val="000000100000" w:firstRow="0" w:lastRow="0" w:firstColumn="0" w:lastColumn="0" w:oddVBand="0" w:evenVBand="0" w:oddHBand="1" w:evenHBand="0" w:firstRowFirstColumn="0" w:firstRowLastColumn="0" w:lastRowFirstColumn="0" w:lastRowLastColumn="0"/>
              <w:rPr>
                <w:b/>
              </w:rPr>
            </w:pPr>
          </w:p>
        </w:tc>
        <w:tc>
          <w:tcPr>
            <w:tcW w:w="764" w:type="dxa"/>
            <w:tcBorders>
              <w:left w:val="nil"/>
              <w:right w:val="nil"/>
            </w:tcBorders>
            <w:vAlign w:val="bottom"/>
            <w:hideMark/>
          </w:tcPr>
          <w:p w14:paraId="45690968" w14:textId="77777777" w:rsidR="00445FD0" w:rsidRDefault="00445FD0">
            <w:pPr>
              <w:pStyle w:val="NoSpacing"/>
              <w:jc w:val="right"/>
              <w:cnfStyle w:val="000000100000" w:firstRow="0" w:lastRow="0" w:firstColumn="0" w:lastColumn="0" w:oddVBand="0" w:evenVBand="0" w:oddHBand="1" w:evenHBand="0" w:firstRowFirstColumn="0" w:firstRowLastColumn="0" w:lastRowFirstColumn="0" w:lastRowLastColumn="0"/>
            </w:pPr>
            <w:r>
              <w:t>354</w:t>
            </w:r>
          </w:p>
        </w:tc>
      </w:tr>
      <w:tr w:rsidR="00445FD0" w14:paraId="7671DA6A" w14:textId="77777777" w:rsidTr="00445FD0">
        <w:tc>
          <w:tcPr>
            <w:cnfStyle w:val="001000000000" w:firstRow="0" w:lastRow="0" w:firstColumn="1" w:lastColumn="0" w:oddVBand="0" w:evenVBand="0" w:oddHBand="0" w:evenHBand="0" w:firstRowFirstColumn="0" w:firstRowLastColumn="0" w:lastRowFirstColumn="0" w:lastRowLastColumn="0"/>
            <w:tcW w:w="6946" w:type="dxa"/>
            <w:tcBorders>
              <w:top w:val="nil"/>
              <w:left w:val="nil"/>
              <w:bottom w:val="nil"/>
              <w:right w:val="nil"/>
            </w:tcBorders>
            <w:hideMark/>
          </w:tcPr>
          <w:p w14:paraId="70661A0B" w14:textId="77777777" w:rsidR="00445FD0" w:rsidRDefault="00445FD0">
            <w:pPr>
              <w:pStyle w:val="NoSpacing"/>
              <w:rPr>
                <w:b w:val="0"/>
              </w:rPr>
            </w:pPr>
            <w:r>
              <w:rPr>
                <w:b w:val="0"/>
              </w:rPr>
              <w:t>Lutheran Men of Australia</w:t>
            </w:r>
          </w:p>
        </w:tc>
        <w:tc>
          <w:tcPr>
            <w:tcW w:w="1134" w:type="dxa"/>
            <w:tcBorders>
              <w:top w:val="nil"/>
              <w:left w:val="nil"/>
              <w:bottom w:val="nil"/>
              <w:right w:val="nil"/>
            </w:tcBorders>
            <w:vAlign w:val="bottom"/>
            <w:hideMark/>
          </w:tcPr>
          <w:p w14:paraId="1801F9B5" w14:textId="77777777" w:rsidR="00445FD0" w:rsidRDefault="00445FD0">
            <w:pPr>
              <w:pStyle w:val="NoSpacing"/>
              <w:cnfStyle w:val="000000000000" w:firstRow="0" w:lastRow="0" w:firstColumn="0" w:lastColumn="0" w:oddVBand="0" w:evenVBand="0" w:oddHBand="0" w:evenHBand="0" w:firstRowFirstColumn="0" w:firstRowLastColumn="0" w:lastRowFirstColumn="0" w:lastRowLastColumn="0"/>
              <w:rPr>
                <w:b/>
              </w:rPr>
            </w:pPr>
            <w:r>
              <w:t>15.1</w:t>
            </w:r>
          </w:p>
        </w:tc>
        <w:tc>
          <w:tcPr>
            <w:tcW w:w="764" w:type="dxa"/>
            <w:tcBorders>
              <w:top w:val="nil"/>
              <w:left w:val="nil"/>
              <w:bottom w:val="nil"/>
              <w:right w:val="nil"/>
            </w:tcBorders>
            <w:vAlign w:val="bottom"/>
            <w:hideMark/>
          </w:tcPr>
          <w:p w14:paraId="1ED542D6" w14:textId="77777777" w:rsidR="00445FD0" w:rsidRDefault="00445FD0">
            <w:pPr>
              <w:pStyle w:val="NoSpacing"/>
              <w:jc w:val="right"/>
              <w:cnfStyle w:val="000000000000" w:firstRow="0" w:lastRow="0" w:firstColumn="0" w:lastColumn="0" w:oddVBand="0" w:evenVBand="0" w:oddHBand="0" w:evenHBand="0" w:firstRowFirstColumn="0" w:firstRowLastColumn="0" w:lastRowFirstColumn="0" w:lastRowLastColumn="0"/>
            </w:pPr>
            <w:r>
              <w:t>363</w:t>
            </w:r>
          </w:p>
        </w:tc>
      </w:tr>
      <w:tr w:rsidR="00445FD0" w14:paraId="2E78C041" w14:textId="77777777" w:rsidTr="00445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Borders>
              <w:left w:val="nil"/>
              <w:right w:val="nil"/>
            </w:tcBorders>
            <w:hideMark/>
          </w:tcPr>
          <w:p w14:paraId="08D50A13" w14:textId="77777777" w:rsidR="00445FD0" w:rsidRDefault="00445FD0">
            <w:pPr>
              <w:pStyle w:val="NoSpacing"/>
              <w:rPr>
                <w:b w:val="0"/>
              </w:rPr>
            </w:pPr>
            <w:r>
              <w:rPr>
                <w:b w:val="0"/>
              </w:rPr>
              <w:t>Lutheran Nurses of Australia (including Parish Nursing)</w:t>
            </w:r>
          </w:p>
        </w:tc>
        <w:tc>
          <w:tcPr>
            <w:tcW w:w="1134" w:type="dxa"/>
            <w:tcBorders>
              <w:left w:val="nil"/>
              <w:right w:val="nil"/>
            </w:tcBorders>
            <w:vAlign w:val="bottom"/>
            <w:hideMark/>
          </w:tcPr>
          <w:p w14:paraId="6FF02E3A" w14:textId="77777777" w:rsidR="00445FD0" w:rsidRDefault="00445FD0">
            <w:pPr>
              <w:pStyle w:val="NoSpacing"/>
              <w:cnfStyle w:val="000000100000" w:firstRow="0" w:lastRow="0" w:firstColumn="0" w:lastColumn="0" w:oddVBand="0" w:evenVBand="0" w:oddHBand="1" w:evenHBand="0" w:firstRowFirstColumn="0" w:firstRowLastColumn="0" w:lastRowFirstColumn="0" w:lastRowLastColumn="0"/>
              <w:rPr>
                <w:b/>
              </w:rPr>
            </w:pPr>
            <w:r>
              <w:t>15.2</w:t>
            </w:r>
          </w:p>
        </w:tc>
        <w:tc>
          <w:tcPr>
            <w:tcW w:w="764" w:type="dxa"/>
            <w:tcBorders>
              <w:left w:val="nil"/>
              <w:right w:val="nil"/>
            </w:tcBorders>
            <w:vAlign w:val="bottom"/>
            <w:hideMark/>
          </w:tcPr>
          <w:p w14:paraId="6C2A512B" w14:textId="77777777" w:rsidR="00445FD0" w:rsidRDefault="00445FD0">
            <w:pPr>
              <w:pStyle w:val="NoSpacing"/>
              <w:jc w:val="right"/>
              <w:cnfStyle w:val="000000100000" w:firstRow="0" w:lastRow="0" w:firstColumn="0" w:lastColumn="0" w:oddVBand="0" w:evenVBand="0" w:oddHBand="1" w:evenHBand="0" w:firstRowFirstColumn="0" w:firstRowLastColumn="0" w:lastRowFirstColumn="0" w:lastRowLastColumn="0"/>
            </w:pPr>
            <w:r>
              <w:t>365</w:t>
            </w:r>
          </w:p>
        </w:tc>
      </w:tr>
      <w:tr w:rsidR="00445FD0" w14:paraId="317E2F9D" w14:textId="77777777" w:rsidTr="00445FD0">
        <w:tc>
          <w:tcPr>
            <w:cnfStyle w:val="001000000000" w:firstRow="0" w:lastRow="0" w:firstColumn="1" w:lastColumn="0" w:oddVBand="0" w:evenVBand="0" w:oddHBand="0" w:evenHBand="0" w:firstRowFirstColumn="0" w:firstRowLastColumn="0" w:lastRowFirstColumn="0" w:lastRowLastColumn="0"/>
            <w:tcW w:w="6946" w:type="dxa"/>
            <w:tcBorders>
              <w:top w:val="nil"/>
              <w:left w:val="nil"/>
              <w:bottom w:val="nil"/>
              <w:right w:val="nil"/>
            </w:tcBorders>
            <w:hideMark/>
          </w:tcPr>
          <w:p w14:paraId="69744B29" w14:textId="77777777" w:rsidR="00445FD0" w:rsidRDefault="00445FD0">
            <w:pPr>
              <w:pStyle w:val="NoSpacing"/>
              <w:rPr>
                <w:b w:val="0"/>
              </w:rPr>
            </w:pPr>
            <w:r>
              <w:rPr>
                <w:b w:val="0"/>
              </w:rPr>
              <w:t>Lutheran Women of Australia</w:t>
            </w:r>
          </w:p>
        </w:tc>
        <w:tc>
          <w:tcPr>
            <w:tcW w:w="1134" w:type="dxa"/>
            <w:tcBorders>
              <w:top w:val="nil"/>
              <w:left w:val="nil"/>
              <w:bottom w:val="nil"/>
              <w:right w:val="nil"/>
            </w:tcBorders>
            <w:vAlign w:val="bottom"/>
            <w:hideMark/>
          </w:tcPr>
          <w:p w14:paraId="2D746406" w14:textId="77777777" w:rsidR="00445FD0" w:rsidRDefault="00445FD0">
            <w:pPr>
              <w:pStyle w:val="NoSpacing"/>
              <w:cnfStyle w:val="000000000000" w:firstRow="0" w:lastRow="0" w:firstColumn="0" w:lastColumn="0" w:oddVBand="0" w:evenVBand="0" w:oddHBand="0" w:evenHBand="0" w:firstRowFirstColumn="0" w:firstRowLastColumn="0" w:lastRowFirstColumn="0" w:lastRowLastColumn="0"/>
              <w:rPr>
                <w:b/>
              </w:rPr>
            </w:pPr>
            <w:r>
              <w:t>15.3</w:t>
            </w:r>
          </w:p>
        </w:tc>
        <w:tc>
          <w:tcPr>
            <w:tcW w:w="764" w:type="dxa"/>
            <w:tcBorders>
              <w:top w:val="nil"/>
              <w:left w:val="nil"/>
              <w:bottom w:val="nil"/>
              <w:right w:val="nil"/>
            </w:tcBorders>
            <w:vAlign w:val="bottom"/>
            <w:hideMark/>
          </w:tcPr>
          <w:p w14:paraId="652E04E2" w14:textId="77777777" w:rsidR="00445FD0" w:rsidRDefault="00445FD0">
            <w:pPr>
              <w:pStyle w:val="NoSpacing"/>
              <w:jc w:val="right"/>
              <w:cnfStyle w:val="000000000000" w:firstRow="0" w:lastRow="0" w:firstColumn="0" w:lastColumn="0" w:oddVBand="0" w:evenVBand="0" w:oddHBand="0" w:evenHBand="0" w:firstRowFirstColumn="0" w:firstRowLastColumn="0" w:lastRowFirstColumn="0" w:lastRowLastColumn="0"/>
            </w:pPr>
            <w:r>
              <w:t>371</w:t>
            </w:r>
          </w:p>
        </w:tc>
      </w:tr>
      <w:tr w:rsidR="00445FD0" w14:paraId="1F6D5E9C" w14:textId="77777777" w:rsidTr="00445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Borders>
              <w:left w:val="nil"/>
              <w:right w:val="nil"/>
            </w:tcBorders>
            <w:hideMark/>
          </w:tcPr>
          <w:p w14:paraId="50F567E3" w14:textId="77777777" w:rsidR="00445FD0" w:rsidRDefault="00445FD0">
            <w:pPr>
              <w:pStyle w:val="NoSpacing"/>
              <w:rPr>
                <w:b w:val="0"/>
              </w:rPr>
            </w:pPr>
            <w:r>
              <w:rPr>
                <w:b w:val="0"/>
              </w:rPr>
              <w:t>Media Ministry, Board for</w:t>
            </w:r>
          </w:p>
        </w:tc>
        <w:tc>
          <w:tcPr>
            <w:tcW w:w="1134" w:type="dxa"/>
            <w:tcBorders>
              <w:left w:val="nil"/>
              <w:right w:val="nil"/>
            </w:tcBorders>
            <w:vAlign w:val="bottom"/>
            <w:hideMark/>
          </w:tcPr>
          <w:p w14:paraId="719F3EBC" w14:textId="77777777" w:rsidR="00445FD0" w:rsidRDefault="00445FD0">
            <w:pPr>
              <w:pStyle w:val="NoSpacing"/>
              <w:cnfStyle w:val="000000100000" w:firstRow="0" w:lastRow="0" w:firstColumn="0" w:lastColumn="0" w:oddVBand="0" w:evenVBand="0" w:oddHBand="1" w:evenHBand="0" w:firstRowFirstColumn="0" w:firstRowLastColumn="0" w:lastRowFirstColumn="0" w:lastRowLastColumn="0"/>
              <w:rPr>
                <w:b/>
              </w:rPr>
            </w:pPr>
            <w:r>
              <w:t>9.1</w:t>
            </w:r>
          </w:p>
        </w:tc>
        <w:tc>
          <w:tcPr>
            <w:tcW w:w="764" w:type="dxa"/>
            <w:tcBorders>
              <w:left w:val="nil"/>
              <w:right w:val="nil"/>
            </w:tcBorders>
            <w:vAlign w:val="bottom"/>
            <w:hideMark/>
          </w:tcPr>
          <w:p w14:paraId="0536B93F" w14:textId="77777777" w:rsidR="00445FD0" w:rsidRDefault="00445FD0">
            <w:pPr>
              <w:pStyle w:val="NoSpacing"/>
              <w:jc w:val="right"/>
              <w:cnfStyle w:val="000000100000" w:firstRow="0" w:lastRow="0" w:firstColumn="0" w:lastColumn="0" w:oddVBand="0" w:evenVBand="0" w:oddHBand="1" w:evenHBand="0" w:firstRowFirstColumn="0" w:firstRowLastColumn="0" w:lastRowFirstColumn="0" w:lastRowLastColumn="0"/>
            </w:pPr>
            <w:r>
              <w:t>266</w:t>
            </w:r>
          </w:p>
        </w:tc>
      </w:tr>
      <w:tr w:rsidR="00445FD0" w14:paraId="29A99274" w14:textId="77777777" w:rsidTr="00445FD0">
        <w:tc>
          <w:tcPr>
            <w:cnfStyle w:val="001000000000" w:firstRow="0" w:lastRow="0" w:firstColumn="1" w:lastColumn="0" w:oddVBand="0" w:evenVBand="0" w:oddHBand="0" w:evenHBand="0" w:firstRowFirstColumn="0" w:firstRowLastColumn="0" w:lastRowFirstColumn="0" w:lastRowLastColumn="0"/>
            <w:tcW w:w="6946" w:type="dxa"/>
            <w:tcBorders>
              <w:top w:val="nil"/>
              <w:left w:val="nil"/>
              <w:bottom w:val="nil"/>
              <w:right w:val="nil"/>
            </w:tcBorders>
            <w:hideMark/>
          </w:tcPr>
          <w:p w14:paraId="41D34D68" w14:textId="77777777" w:rsidR="00445FD0" w:rsidRDefault="00445FD0">
            <w:pPr>
              <w:pStyle w:val="NoSpacing"/>
              <w:ind w:firstLine="460"/>
              <w:rPr>
                <w:b w:val="0"/>
              </w:rPr>
            </w:pPr>
            <w:r>
              <w:rPr>
                <w:b w:val="0"/>
              </w:rPr>
              <w:lastRenderedPageBreak/>
              <w:t>Financial Report: Board for Media Ministry</w:t>
            </w:r>
          </w:p>
        </w:tc>
        <w:tc>
          <w:tcPr>
            <w:tcW w:w="1134" w:type="dxa"/>
            <w:tcBorders>
              <w:top w:val="nil"/>
              <w:left w:val="nil"/>
              <w:bottom w:val="nil"/>
              <w:right w:val="nil"/>
            </w:tcBorders>
            <w:vAlign w:val="bottom"/>
            <w:hideMark/>
          </w:tcPr>
          <w:p w14:paraId="624D543D" w14:textId="77777777" w:rsidR="00445FD0" w:rsidRDefault="00445FD0">
            <w:pPr>
              <w:pStyle w:val="NoSpacing"/>
              <w:cnfStyle w:val="000000000000" w:firstRow="0" w:lastRow="0" w:firstColumn="0" w:lastColumn="0" w:oddVBand="0" w:evenVBand="0" w:oddHBand="0" w:evenHBand="0" w:firstRowFirstColumn="0" w:firstRowLastColumn="0" w:lastRowFirstColumn="0" w:lastRowLastColumn="0"/>
              <w:rPr>
                <w:b/>
              </w:rPr>
            </w:pPr>
            <w:r>
              <w:t>9.2</w:t>
            </w:r>
          </w:p>
        </w:tc>
        <w:tc>
          <w:tcPr>
            <w:tcW w:w="764" w:type="dxa"/>
            <w:tcBorders>
              <w:top w:val="nil"/>
              <w:left w:val="nil"/>
              <w:bottom w:val="nil"/>
              <w:right w:val="nil"/>
            </w:tcBorders>
            <w:vAlign w:val="bottom"/>
            <w:hideMark/>
          </w:tcPr>
          <w:p w14:paraId="4BA5909C" w14:textId="77777777" w:rsidR="00445FD0" w:rsidRDefault="00445FD0">
            <w:pPr>
              <w:pStyle w:val="NoSpacing"/>
              <w:jc w:val="right"/>
              <w:cnfStyle w:val="000000000000" w:firstRow="0" w:lastRow="0" w:firstColumn="0" w:lastColumn="0" w:oddVBand="0" w:evenVBand="0" w:oddHBand="0" w:evenHBand="0" w:firstRowFirstColumn="0" w:firstRowLastColumn="0" w:lastRowFirstColumn="0" w:lastRowLastColumn="0"/>
            </w:pPr>
            <w:r>
              <w:t>272</w:t>
            </w:r>
          </w:p>
        </w:tc>
      </w:tr>
      <w:tr w:rsidR="00445FD0" w14:paraId="72F245C2" w14:textId="77777777" w:rsidTr="00445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Borders>
              <w:left w:val="nil"/>
              <w:right w:val="nil"/>
            </w:tcBorders>
            <w:hideMark/>
          </w:tcPr>
          <w:p w14:paraId="6964478D" w14:textId="77777777" w:rsidR="00445FD0" w:rsidRDefault="00445FD0">
            <w:pPr>
              <w:pStyle w:val="NoSpacing"/>
              <w:rPr>
                <w:b w:val="0"/>
              </w:rPr>
            </w:pPr>
            <w:r>
              <w:rPr>
                <w:b w:val="0"/>
              </w:rPr>
              <w:t>Mission, Board for</w:t>
            </w:r>
          </w:p>
        </w:tc>
        <w:tc>
          <w:tcPr>
            <w:tcW w:w="1134" w:type="dxa"/>
            <w:tcBorders>
              <w:left w:val="nil"/>
              <w:right w:val="nil"/>
            </w:tcBorders>
            <w:vAlign w:val="bottom"/>
            <w:hideMark/>
          </w:tcPr>
          <w:p w14:paraId="4719DD24" w14:textId="77777777" w:rsidR="00445FD0" w:rsidRDefault="00445FD0">
            <w:pPr>
              <w:pStyle w:val="NoSpacing"/>
              <w:cnfStyle w:val="000000100000" w:firstRow="0" w:lastRow="0" w:firstColumn="0" w:lastColumn="0" w:oddVBand="0" w:evenVBand="0" w:oddHBand="1" w:evenHBand="0" w:firstRowFirstColumn="0" w:firstRowLastColumn="0" w:lastRowFirstColumn="0" w:lastRowLastColumn="0"/>
              <w:rPr>
                <w:b/>
              </w:rPr>
            </w:pPr>
            <w:r>
              <w:t>4.1</w:t>
            </w:r>
          </w:p>
        </w:tc>
        <w:tc>
          <w:tcPr>
            <w:tcW w:w="764" w:type="dxa"/>
            <w:tcBorders>
              <w:left w:val="nil"/>
              <w:right w:val="nil"/>
            </w:tcBorders>
            <w:vAlign w:val="bottom"/>
            <w:hideMark/>
          </w:tcPr>
          <w:p w14:paraId="46457DA7" w14:textId="77777777" w:rsidR="00445FD0" w:rsidRDefault="00445FD0">
            <w:pPr>
              <w:pStyle w:val="NoSpacing"/>
              <w:jc w:val="right"/>
              <w:cnfStyle w:val="000000100000" w:firstRow="0" w:lastRow="0" w:firstColumn="0" w:lastColumn="0" w:oddVBand="0" w:evenVBand="0" w:oddHBand="1" w:evenHBand="0" w:firstRowFirstColumn="0" w:firstRowLastColumn="0" w:lastRowFirstColumn="0" w:lastRowLastColumn="0"/>
            </w:pPr>
            <w:r>
              <w:t>220</w:t>
            </w:r>
          </w:p>
        </w:tc>
      </w:tr>
      <w:tr w:rsidR="00445FD0" w14:paraId="498B8F61" w14:textId="77777777" w:rsidTr="00445FD0">
        <w:tc>
          <w:tcPr>
            <w:cnfStyle w:val="001000000000" w:firstRow="0" w:lastRow="0" w:firstColumn="1" w:lastColumn="0" w:oddVBand="0" w:evenVBand="0" w:oddHBand="0" w:evenHBand="0" w:firstRowFirstColumn="0" w:firstRowLastColumn="0" w:lastRowFirstColumn="0" w:lastRowLastColumn="0"/>
            <w:tcW w:w="6946" w:type="dxa"/>
            <w:tcBorders>
              <w:top w:val="nil"/>
              <w:left w:val="nil"/>
              <w:bottom w:val="nil"/>
              <w:right w:val="nil"/>
            </w:tcBorders>
            <w:hideMark/>
          </w:tcPr>
          <w:p w14:paraId="536B185D" w14:textId="77777777" w:rsidR="00445FD0" w:rsidRDefault="00445FD0">
            <w:pPr>
              <w:pStyle w:val="NoSpacing"/>
              <w:ind w:firstLine="460"/>
              <w:rPr>
                <w:b w:val="0"/>
              </w:rPr>
            </w:pPr>
            <w:r>
              <w:rPr>
                <w:b w:val="0"/>
              </w:rPr>
              <w:t>Financial Report: Mission, Board for</w:t>
            </w:r>
          </w:p>
        </w:tc>
        <w:tc>
          <w:tcPr>
            <w:tcW w:w="1134" w:type="dxa"/>
            <w:tcBorders>
              <w:top w:val="nil"/>
              <w:left w:val="nil"/>
              <w:bottom w:val="nil"/>
              <w:right w:val="nil"/>
            </w:tcBorders>
            <w:vAlign w:val="bottom"/>
            <w:hideMark/>
          </w:tcPr>
          <w:p w14:paraId="4E928F69" w14:textId="77777777" w:rsidR="00445FD0" w:rsidRDefault="00445FD0">
            <w:pPr>
              <w:pStyle w:val="NoSpacing"/>
              <w:cnfStyle w:val="000000000000" w:firstRow="0" w:lastRow="0" w:firstColumn="0" w:lastColumn="0" w:oddVBand="0" w:evenVBand="0" w:oddHBand="0" w:evenHBand="0" w:firstRowFirstColumn="0" w:firstRowLastColumn="0" w:lastRowFirstColumn="0" w:lastRowLastColumn="0"/>
              <w:rPr>
                <w:b/>
              </w:rPr>
            </w:pPr>
            <w:r>
              <w:t>4.2</w:t>
            </w:r>
          </w:p>
        </w:tc>
        <w:tc>
          <w:tcPr>
            <w:tcW w:w="764" w:type="dxa"/>
            <w:tcBorders>
              <w:top w:val="nil"/>
              <w:left w:val="nil"/>
              <w:bottom w:val="nil"/>
              <w:right w:val="nil"/>
            </w:tcBorders>
            <w:vAlign w:val="bottom"/>
            <w:hideMark/>
          </w:tcPr>
          <w:p w14:paraId="67949100" w14:textId="77777777" w:rsidR="00445FD0" w:rsidRDefault="00445FD0">
            <w:pPr>
              <w:pStyle w:val="NoSpacing"/>
              <w:jc w:val="right"/>
              <w:cnfStyle w:val="000000000000" w:firstRow="0" w:lastRow="0" w:firstColumn="0" w:lastColumn="0" w:oddVBand="0" w:evenVBand="0" w:oddHBand="0" w:evenHBand="0" w:firstRowFirstColumn="0" w:firstRowLastColumn="0" w:lastRowFirstColumn="0" w:lastRowLastColumn="0"/>
            </w:pPr>
            <w:r>
              <w:t>229</w:t>
            </w:r>
          </w:p>
        </w:tc>
      </w:tr>
      <w:tr w:rsidR="00445FD0" w14:paraId="307DCD71" w14:textId="77777777" w:rsidTr="00445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Borders>
              <w:left w:val="nil"/>
              <w:right w:val="nil"/>
            </w:tcBorders>
            <w:hideMark/>
          </w:tcPr>
          <w:p w14:paraId="0A08690A" w14:textId="77777777" w:rsidR="00445FD0" w:rsidRDefault="00445FD0">
            <w:pPr>
              <w:pStyle w:val="NoSpacing"/>
              <w:ind w:firstLine="460"/>
            </w:pPr>
            <w:r>
              <w:rPr>
                <w:b w:val="0"/>
              </w:rPr>
              <w:t xml:space="preserve">Financial Report: Lutheran Bible Translators Australia </w:t>
            </w:r>
          </w:p>
        </w:tc>
        <w:tc>
          <w:tcPr>
            <w:tcW w:w="1134" w:type="dxa"/>
            <w:tcBorders>
              <w:left w:val="nil"/>
              <w:right w:val="nil"/>
            </w:tcBorders>
            <w:vAlign w:val="bottom"/>
            <w:hideMark/>
          </w:tcPr>
          <w:p w14:paraId="7FB24E37" w14:textId="77777777" w:rsidR="00445FD0" w:rsidRDefault="00445FD0">
            <w:pPr>
              <w:pStyle w:val="NoSpacing"/>
              <w:cnfStyle w:val="000000100000" w:firstRow="0" w:lastRow="0" w:firstColumn="0" w:lastColumn="0" w:oddVBand="0" w:evenVBand="0" w:oddHBand="1" w:evenHBand="0" w:firstRowFirstColumn="0" w:firstRowLastColumn="0" w:lastRowFirstColumn="0" w:lastRowLastColumn="0"/>
            </w:pPr>
            <w:r>
              <w:t>4.3</w:t>
            </w:r>
          </w:p>
        </w:tc>
        <w:tc>
          <w:tcPr>
            <w:tcW w:w="764" w:type="dxa"/>
            <w:tcBorders>
              <w:left w:val="nil"/>
              <w:right w:val="nil"/>
            </w:tcBorders>
            <w:vAlign w:val="bottom"/>
            <w:hideMark/>
          </w:tcPr>
          <w:p w14:paraId="766F8CE9" w14:textId="77777777" w:rsidR="00445FD0" w:rsidRDefault="00445FD0">
            <w:pPr>
              <w:pStyle w:val="NoSpacing"/>
              <w:jc w:val="right"/>
              <w:cnfStyle w:val="000000100000" w:firstRow="0" w:lastRow="0" w:firstColumn="0" w:lastColumn="0" w:oddVBand="0" w:evenVBand="0" w:oddHBand="1" w:evenHBand="0" w:firstRowFirstColumn="0" w:firstRowLastColumn="0" w:lastRowFirstColumn="0" w:lastRowLastColumn="0"/>
            </w:pPr>
            <w:r>
              <w:t>230</w:t>
            </w:r>
          </w:p>
        </w:tc>
      </w:tr>
      <w:tr w:rsidR="00445FD0" w14:paraId="3C3B4D88" w14:textId="77777777" w:rsidTr="00445FD0">
        <w:tc>
          <w:tcPr>
            <w:cnfStyle w:val="001000000000" w:firstRow="0" w:lastRow="0" w:firstColumn="1" w:lastColumn="0" w:oddVBand="0" w:evenVBand="0" w:oddHBand="0" w:evenHBand="0" w:firstRowFirstColumn="0" w:firstRowLastColumn="0" w:lastRowFirstColumn="0" w:lastRowLastColumn="0"/>
            <w:tcW w:w="6946" w:type="dxa"/>
            <w:tcBorders>
              <w:top w:val="nil"/>
              <w:left w:val="nil"/>
              <w:bottom w:val="nil"/>
              <w:right w:val="nil"/>
            </w:tcBorders>
            <w:hideMark/>
          </w:tcPr>
          <w:p w14:paraId="653F3932" w14:textId="77777777" w:rsidR="00445FD0" w:rsidRDefault="00445FD0">
            <w:pPr>
              <w:pStyle w:val="NoSpacing"/>
              <w:rPr>
                <w:b w:val="0"/>
              </w:rPr>
            </w:pPr>
            <w:r>
              <w:rPr>
                <w:b w:val="0"/>
              </w:rPr>
              <w:t>Nominations, Standing Committee on</w:t>
            </w:r>
          </w:p>
        </w:tc>
        <w:tc>
          <w:tcPr>
            <w:tcW w:w="1134" w:type="dxa"/>
            <w:tcBorders>
              <w:top w:val="nil"/>
              <w:left w:val="nil"/>
              <w:bottom w:val="nil"/>
              <w:right w:val="nil"/>
            </w:tcBorders>
            <w:vAlign w:val="bottom"/>
            <w:hideMark/>
          </w:tcPr>
          <w:p w14:paraId="45822880" w14:textId="77777777" w:rsidR="00445FD0" w:rsidRDefault="00445FD0">
            <w:pPr>
              <w:pStyle w:val="NoSpacing"/>
              <w:cnfStyle w:val="000000000000" w:firstRow="0" w:lastRow="0" w:firstColumn="0" w:lastColumn="0" w:oddVBand="0" w:evenVBand="0" w:oddHBand="0" w:evenHBand="0" w:firstRowFirstColumn="0" w:firstRowLastColumn="0" w:lastRowFirstColumn="0" w:lastRowLastColumn="0"/>
              <w:rPr>
                <w:b/>
              </w:rPr>
            </w:pPr>
            <w:r>
              <w:t>2.6.1</w:t>
            </w:r>
          </w:p>
        </w:tc>
        <w:tc>
          <w:tcPr>
            <w:tcW w:w="764" w:type="dxa"/>
            <w:tcBorders>
              <w:top w:val="nil"/>
              <w:left w:val="nil"/>
              <w:bottom w:val="nil"/>
              <w:right w:val="nil"/>
            </w:tcBorders>
            <w:vAlign w:val="bottom"/>
            <w:hideMark/>
          </w:tcPr>
          <w:p w14:paraId="2D58A193" w14:textId="77777777" w:rsidR="00445FD0" w:rsidRDefault="00445FD0">
            <w:pPr>
              <w:pStyle w:val="NoSpacing"/>
              <w:jc w:val="right"/>
              <w:cnfStyle w:val="000000000000" w:firstRow="0" w:lastRow="0" w:firstColumn="0" w:lastColumn="0" w:oddVBand="0" w:evenVBand="0" w:oddHBand="0" w:evenHBand="0" w:firstRowFirstColumn="0" w:firstRowLastColumn="0" w:lastRowFirstColumn="0" w:lastRowLastColumn="0"/>
            </w:pPr>
            <w:r>
              <w:t>207</w:t>
            </w:r>
          </w:p>
        </w:tc>
      </w:tr>
      <w:tr w:rsidR="00445FD0" w14:paraId="205B961B" w14:textId="77777777" w:rsidTr="00445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Borders>
              <w:left w:val="nil"/>
              <w:right w:val="nil"/>
            </w:tcBorders>
            <w:hideMark/>
          </w:tcPr>
          <w:p w14:paraId="4A1A3F09" w14:textId="77777777" w:rsidR="00445FD0" w:rsidRDefault="00445FD0">
            <w:pPr>
              <w:pStyle w:val="NoSpacing"/>
              <w:rPr>
                <w:b w:val="0"/>
              </w:rPr>
            </w:pPr>
            <w:r>
              <w:rPr>
                <w:b w:val="0"/>
              </w:rPr>
              <w:t>Salaries, Commission on</w:t>
            </w:r>
          </w:p>
        </w:tc>
        <w:tc>
          <w:tcPr>
            <w:tcW w:w="1134" w:type="dxa"/>
            <w:tcBorders>
              <w:left w:val="nil"/>
              <w:right w:val="nil"/>
            </w:tcBorders>
            <w:vAlign w:val="bottom"/>
            <w:hideMark/>
          </w:tcPr>
          <w:p w14:paraId="6BF113EF" w14:textId="77777777" w:rsidR="00445FD0" w:rsidRDefault="00445FD0">
            <w:pPr>
              <w:pStyle w:val="NoSpacing"/>
              <w:cnfStyle w:val="000000100000" w:firstRow="0" w:lastRow="0" w:firstColumn="0" w:lastColumn="0" w:oddVBand="0" w:evenVBand="0" w:oddHBand="1" w:evenHBand="0" w:firstRowFirstColumn="0" w:firstRowLastColumn="0" w:lastRowFirstColumn="0" w:lastRowLastColumn="0"/>
              <w:rPr>
                <w:b/>
              </w:rPr>
            </w:pPr>
            <w:r>
              <w:t>14.5</w:t>
            </w:r>
          </w:p>
        </w:tc>
        <w:tc>
          <w:tcPr>
            <w:tcW w:w="764" w:type="dxa"/>
            <w:tcBorders>
              <w:left w:val="nil"/>
              <w:right w:val="nil"/>
            </w:tcBorders>
            <w:vAlign w:val="bottom"/>
            <w:hideMark/>
          </w:tcPr>
          <w:p w14:paraId="1A96A599" w14:textId="77777777" w:rsidR="00445FD0" w:rsidRDefault="00445FD0">
            <w:pPr>
              <w:pStyle w:val="NoSpacing"/>
              <w:jc w:val="right"/>
              <w:cnfStyle w:val="000000100000" w:firstRow="0" w:lastRow="0" w:firstColumn="0" w:lastColumn="0" w:oddVBand="0" w:evenVBand="0" w:oddHBand="1" w:evenHBand="0" w:firstRowFirstColumn="0" w:firstRowLastColumn="0" w:lastRowFirstColumn="0" w:lastRowLastColumn="0"/>
            </w:pPr>
            <w:r>
              <w:t>349</w:t>
            </w:r>
          </w:p>
        </w:tc>
      </w:tr>
      <w:tr w:rsidR="00445FD0" w14:paraId="7A2AE3BD" w14:textId="77777777" w:rsidTr="00445FD0">
        <w:tc>
          <w:tcPr>
            <w:cnfStyle w:val="001000000000" w:firstRow="0" w:lastRow="0" w:firstColumn="1" w:lastColumn="0" w:oddVBand="0" w:evenVBand="0" w:oddHBand="0" w:evenHBand="0" w:firstRowFirstColumn="0" w:firstRowLastColumn="0" w:lastRowFirstColumn="0" w:lastRowLastColumn="0"/>
            <w:tcW w:w="6946" w:type="dxa"/>
            <w:tcBorders>
              <w:top w:val="nil"/>
              <w:left w:val="nil"/>
              <w:bottom w:val="nil"/>
              <w:right w:val="nil"/>
            </w:tcBorders>
            <w:hideMark/>
          </w:tcPr>
          <w:p w14:paraId="749A5422" w14:textId="77777777" w:rsidR="00445FD0" w:rsidRDefault="00445FD0">
            <w:pPr>
              <w:pStyle w:val="NoSpacing"/>
              <w:rPr>
                <w:b w:val="0"/>
              </w:rPr>
            </w:pPr>
            <w:r>
              <w:rPr>
                <w:b w:val="0"/>
              </w:rPr>
              <w:t>Social and Bioethical Questions, Commission on</w:t>
            </w:r>
          </w:p>
        </w:tc>
        <w:tc>
          <w:tcPr>
            <w:tcW w:w="1134" w:type="dxa"/>
            <w:tcBorders>
              <w:top w:val="nil"/>
              <w:left w:val="nil"/>
              <w:bottom w:val="nil"/>
              <w:right w:val="nil"/>
            </w:tcBorders>
            <w:vAlign w:val="bottom"/>
            <w:hideMark/>
          </w:tcPr>
          <w:p w14:paraId="5F9AA3BF" w14:textId="77777777" w:rsidR="00445FD0" w:rsidRDefault="00445FD0">
            <w:pPr>
              <w:pStyle w:val="NoSpacing"/>
              <w:cnfStyle w:val="000000000000" w:firstRow="0" w:lastRow="0" w:firstColumn="0" w:lastColumn="0" w:oddVBand="0" w:evenVBand="0" w:oddHBand="0" w:evenHBand="0" w:firstRowFirstColumn="0" w:firstRowLastColumn="0" w:lastRowFirstColumn="0" w:lastRowLastColumn="0"/>
              <w:rPr>
                <w:b/>
              </w:rPr>
            </w:pPr>
            <w:r>
              <w:t>7.1</w:t>
            </w:r>
          </w:p>
        </w:tc>
        <w:tc>
          <w:tcPr>
            <w:tcW w:w="764" w:type="dxa"/>
            <w:tcBorders>
              <w:top w:val="nil"/>
              <w:left w:val="nil"/>
              <w:bottom w:val="nil"/>
              <w:right w:val="nil"/>
            </w:tcBorders>
            <w:vAlign w:val="bottom"/>
            <w:hideMark/>
          </w:tcPr>
          <w:p w14:paraId="4A88B8EB" w14:textId="77777777" w:rsidR="00445FD0" w:rsidRDefault="00445FD0">
            <w:pPr>
              <w:pStyle w:val="NoSpacing"/>
              <w:jc w:val="right"/>
              <w:cnfStyle w:val="000000000000" w:firstRow="0" w:lastRow="0" w:firstColumn="0" w:lastColumn="0" w:oddVBand="0" w:evenVBand="0" w:oddHBand="0" w:evenHBand="0" w:firstRowFirstColumn="0" w:firstRowLastColumn="0" w:lastRowFirstColumn="0" w:lastRowLastColumn="0"/>
            </w:pPr>
            <w:r>
              <w:t>259</w:t>
            </w:r>
          </w:p>
        </w:tc>
      </w:tr>
      <w:tr w:rsidR="00445FD0" w14:paraId="7D5A6DBC" w14:textId="77777777" w:rsidTr="00445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Borders>
              <w:left w:val="nil"/>
              <w:right w:val="nil"/>
            </w:tcBorders>
            <w:hideMark/>
          </w:tcPr>
          <w:p w14:paraId="5A6FB7BB" w14:textId="77777777" w:rsidR="00445FD0" w:rsidRDefault="00445FD0">
            <w:pPr>
              <w:pStyle w:val="NoSpacing"/>
              <w:rPr>
                <w:b w:val="0"/>
              </w:rPr>
            </w:pPr>
            <w:r>
              <w:rPr>
                <w:b w:val="0"/>
              </w:rPr>
              <w:t>Suomi Conference</w:t>
            </w:r>
          </w:p>
        </w:tc>
        <w:tc>
          <w:tcPr>
            <w:tcW w:w="1134" w:type="dxa"/>
            <w:tcBorders>
              <w:left w:val="nil"/>
              <w:right w:val="nil"/>
            </w:tcBorders>
            <w:vAlign w:val="bottom"/>
            <w:hideMark/>
          </w:tcPr>
          <w:p w14:paraId="0AE85455" w14:textId="77777777" w:rsidR="00445FD0" w:rsidRDefault="00445FD0">
            <w:pPr>
              <w:pStyle w:val="NoSpacing"/>
              <w:cnfStyle w:val="000000100000" w:firstRow="0" w:lastRow="0" w:firstColumn="0" w:lastColumn="0" w:oddVBand="0" w:evenVBand="0" w:oddHBand="1" w:evenHBand="0" w:firstRowFirstColumn="0" w:firstRowLastColumn="0" w:lastRowFirstColumn="0" w:lastRowLastColumn="0"/>
              <w:rPr>
                <w:b/>
              </w:rPr>
            </w:pPr>
            <w:r>
              <w:t>2.7.1</w:t>
            </w:r>
          </w:p>
        </w:tc>
        <w:tc>
          <w:tcPr>
            <w:tcW w:w="764" w:type="dxa"/>
            <w:tcBorders>
              <w:left w:val="nil"/>
              <w:right w:val="nil"/>
            </w:tcBorders>
            <w:vAlign w:val="bottom"/>
            <w:hideMark/>
          </w:tcPr>
          <w:p w14:paraId="0DF7FABA" w14:textId="77777777" w:rsidR="00445FD0" w:rsidRDefault="00445FD0">
            <w:pPr>
              <w:pStyle w:val="NoSpacing"/>
              <w:jc w:val="right"/>
              <w:cnfStyle w:val="000000100000" w:firstRow="0" w:lastRow="0" w:firstColumn="0" w:lastColumn="0" w:oddVBand="0" w:evenVBand="0" w:oddHBand="1" w:evenHBand="0" w:firstRowFirstColumn="0" w:firstRowLastColumn="0" w:lastRowFirstColumn="0" w:lastRowLastColumn="0"/>
            </w:pPr>
            <w:r>
              <w:t>210</w:t>
            </w:r>
          </w:p>
        </w:tc>
      </w:tr>
      <w:tr w:rsidR="00445FD0" w14:paraId="7AB70C14" w14:textId="77777777" w:rsidTr="00445FD0">
        <w:tc>
          <w:tcPr>
            <w:cnfStyle w:val="001000000000" w:firstRow="0" w:lastRow="0" w:firstColumn="1" w:lastColumn="0" w:oddVBand="0" w:evenVBand="0" w:oddHBand="0" w:evenHBand="0" w:firstRowFirstColumn="0" w:firstRowLastColumn="0" w:lastRowFirstColumn="0" w:lastRowLastColumn="0"/>
            <w:tcW w:w="6946" w:type="dxa"/>
            <w:tcBorders>
              <w:top w:val="nil"/>
              <w:left w:val="nil"/>
              <w:bottom w:val="nil"/>
              <w:right w:val="nil"/>
            </w:tcBorders>
            <w:hideMark/>
          </w:tcPr>
          <w:p w14:paraId="1130C008" w14:textId="77777777" w:rsidR="00445FD0" w:rsidRDefault="00445FD0">
            <w:pPr>
              <w:pStyle w:val="NoSpacing"/>
              <w:rPr>
                <w:b w:val="0"/>
              </w:rPr>
            </w:pPr>
            <w:r>
              <w:rPr>
                <w:b w:val="0"/>
              </w:rPr>
              <w:t>Support for Pastoral Ministry, Board of</w:t>
            </w:r>
          </w:p>
        </w:tc>
        <w:tc>
          <w:tcPr>
            <w:tcW w:w="1134" w:type="dxa"/>
            <w:tcBorders>
              <w:top w:val="nil"/>
              <w:left w:val="nil"/>
              <w:bottom w:val="nil"/>
              <w:right w:val="nil"/>
            </w:tcBorders>
            <w:vAlign w:val="bottom"/>
            <w:hideMark/>
          </w:tcPr>
          <w:p w14:paraId="1643BAC4" w14:textId="77777777" w:rsidR="00445FD0" w:rsidRDefault="00445FD0">
            <w:pPr>
              <w:pStyle w:val="NoSpacing"/>
              <w:cnfStyle w:val="000000000000" w:firstRow="0" w:lastRow="0" w:firstColumn="0" w:lastColumn="0" w:oddVBand="0" w:evenVBand="0" w:oddHBand="0" w:evenHBand="0" w:firstRowFirstColumn="0" w:firstRowLastColumn="0" w:lastRowFirstColumn="0" w:lastRowLastColumn="0"/>
              <w:rPr>
                <w:b/>
              </w:rPr>
            </w:pPr>
            <w:r>
              <w:t>2.5.1</w:t>
            </w:r>
          </w:p>
        </w:tc>
        <w:tc>
          <w:tcPr>
            <w:tcW w:w="764" w:type="dxa"/>
            <w:tcBorders>
              <w:top w:val="nil"/>
              <w:left w:val="nil"/>
              <w:bottom w:val="nil"/>
              <w:right w:val="nil"/>
            </w:tcBorders>
            <w:vAlign w:val="bottom"/>
            <w:hideMark/>
          </w:tcPr>
          <w:p w14:paraId="3F60AC19" w14:textId="77777777" w:rsidR="00445FD0" w:rsidRDefault="00445FD0">
            <w:pPr>
              <w:pStyle w:val="NoSpacing"/>
              <w:jc w:val="right"/>
              <w:cnfStyle w:val="000000000000" w:firstRow="0" w:lastRow="0" w:firstColumn="0" w:lastColumn="0" w:oddVBand="0" w:evenVBand="0" w:oddHBand="0" w:evenHBand="0" w:firstRowFirstColumn="0" w:firstRowLastColumn="0" w:lastRowFirstColumn="0" w:lastRowLastColumn="0"/>
            </w:pPr>
            <w:r>
              <w:t>206</w:t>
            </w:r>
          </w:p>
        </w:tc>
      </w:tr>
      <w:tr w:rsidR="00445FD0" w14:paraId="1E9411D5" w14:textId="77777777" w:rsidTr="00445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Borders>
              <w:left w:val="nil"/>
              <w:right w:val="nil"/>
            </w:tcBorders>
            <w:hideMark/>
          </w:tcPr>
          <w:p w14:paraId="5B5742AA" w14:textId="77777777" w:rsidR="00445FD0" w:rsidRDefault="00445FD0">
            <w:pPr>
              <w:pStyle w:val="NoSpacing"/>
              <w:rPr>
                <w:b w:val="0"/>
              </w:rPr>
            </w:pPr>
            <w:r>
              <w:rPr>
                <w:b w:val="0"/>
              </w:rPr>
              <w:t>Theology and Inter-Church Relations, Commission on</w:t>
            </w:r>
          </w:p>
        </w:tc>
        <w:tc>
          <w:tcPr>
            <w:tcW w:w="1134" w:type="dxa"/>
            <w:tcBorders>
              <w:left w:val="nil"/>
              <w:right w:val="nil"/>
            </w:tcBorders>
            <w:vAlign w:val="bottom"/>
            <w:hideMark/>
          </w:tcPr>
          <w:p w14:paraId="3DA56713" w14:textId="77777777" w:rsidR="00445FD0" w:rsidRDefault="00445FD0">
            <w:pPr>
              <w:pStyle w:val="NoSpacing"/>
              <w:cnfStyle w:val="000000100000" w:firstRow="0" w:lastRow="0" w:firstColumn="0" w:lastColumn="0" w:oddVBand="0" w:evenVBand="0" w:oddHBand="1" w:evenHBand="0" w:firstRowFirstColumn="0" w:firstRowLastColumn="0" w:lastRowFirstColumn="0" w:lastRowLastColumn="0"/>
              <w:rPr>
                <w:b/>
              </w:rPr>
            </w:pPr>
            <w:r>
              <w:t>6.1</w:t>
            </w:r>
          </w:p>
        </w:tc>
        <w:tc>
          <w:tcPr>
            <w:tcW w:w="764" w:type="dxa"/>
            <w:tcBorders>
              <w:left w:val="nil"/>
              <w:right w:val="nil"/>
            </w:tcBorders>
            <w:vAlign w:val="bottom"/>
            <w:hideMark/>
          </w:tcPr>
          <w:p w14:paraId="0D700C49" w14:textId="77777777" w:rsidR="00445FD0" w:rsidRDefault="00445FD0">
            <w:pPr>
              <w:pStyle w:val="NoSpacing"/>
              <w:jc w:val="right"/>
              <w:cnfStyle w:val="000000100000" w:firstRow="0" w:lastRow="0" w:firstColumn="0" w:lastColumn="0" w:oddVBand="0" w:evenVBand="0" w:oddHBand="1" w:evenHBand="0" w:firstRowFirstColumn="0" w:firstRowLastColumn="0" w:lastRowFirstColumn="0" w:lastRowLastColumn="0"/>
            </w:pPr>
            <w:r>
              <w:t>237</w:t>
            </w:r>
          </w:p>
        </w:tc>
      </w:tr>
      <w:tr w:rsidR="00445FD0" w14:paraId="03C18D6C" w14:textId="77777777" w:rsidTr="00445FD0">
        <w:tc>
          <w:tcPr>
            <w:cnfStyle w:val="001000000000" w:firstRow="0" w:lastRow="0" w:firstColumn="1" w:lastColumn="0" w:oddVBand="0" w:evenVBand="0" w:oddHBand="0" w:evenHBand="0" w:firstRowFirstColumn="0" w:firstRowLastColumn="0" w:lastRowFirstColumn="0" w:lastRowLastColumn="0"/>
            <w:tcW w:w="6946" w:type="dxa"/>
            <w:tcBorders>
              <w:top w:val="nil"/>
              <w:left w:val="nil"/>
              <w:bottom w:val="nil"/>
              <w:right w:val="nil"/>
            </w:tcBorders>
            <w:hideMark/>
          </w:tcPr>
          <w:p w14:paraId="317CCC88" w14:textId="1776639D" w:rsidR="00445FD0" w:rsidRDefault="00445FD0">
            <w:pPr>
              <w:pStyle w:val="NoSpacing"/>
              <w:ind w:left="460"/>
              <w:rPr>
                <w:b w:val="0"/>
              </w:rPr>
            </w:pPr>
            <w:r>
              <w:rPr>
                <w:b w:val="0"/>
              </w:rPr>
              <w:t>CTICR: A theological basis for the ordination of women and men – D</w:t>
            </w:r>
            <w:r w:rsidR="00590B48">
              <w:rPr>
                <w:b w:val="0"/>
              </w:rPr>
              <w:t>raft Doctrinal Statement</w:t>
            </w:r>
          </w:p>
          <w:p w14:paraId="41E5A162" w14:textId="77777777" w:rsidR="00590B48" w:rsidRDefault="00445FD0" w:rsidP="00590B48">
            <w:pPr>
              <w:pStyle w:val="NoSpacing"/>
              <w:ind w:left="460"/>
              <w:rPr>
                <w:b w:val="0"/>
              </w:rPr>
            </w:pPr>
            <w:r>
              <w:rPr>
                <w:b w:val="0"/>
              </w:rPr>
              <w:t xml:space="preserve">CTICR: </w:t>
            </w:r>
            <w:r w:rsidR="00590B48">
              <w:rPr>
                <w:b w:val="0"/>
              </w:rPr>
              <w:t>A</w:t>
            </w:r>
            <w:r>
              <w:rPr>
                <w:b w:val="0"/>
              </w:rPr>
              <w:t xml:space="preserve"> theological basis </w:t>
            </w:r>
            <w:r w:rsidR="00590B48">
              <w:rPr>
                <w:b w:val="0"/>
              </w:rPr>
              <w:t>for</w:t>
            </w:r>
            <w:r>
              <w:rPr>
                <w:b w:val="0"/>
              </w:rPr>
              <w:t xml:space="preserve"> why </w:t>
            </w:r>
            <w:r w:rsidR="00590B48">
              <w:rPr>
                <w:b w:val="0"/>
              </w:rPr>
              <w:t xml:space="preserve">the </w:t>
            </w:r>
            <w:r>
              <w:rPr>
                <w:b w:val="0"/>
              </w:rPr>
              <w:t xml:space="preserve">ordination of women </w:t>
            </w:r>
            <w:r w:rsidR="00590B48">
              <w:rPr>
                <w:b w:val="0"/>
              </w:rPr>
              <w:t>and men need</w:t>
            </w:r>
            <w:r>
              <w:rPr>
                <w:b w:val="0"/>
              </w:rPr>
              <w:t xml:space="preserve"> not be church divisive</w:t>
            </w:r>
          </w:p>
          <w:p w14:paraId="133003D8" w14:textId="66F78CE9" w:rsidR="00445FD0" w:rsidRDefault="00445FD0" w:rsidP="00590B48">
            <w:pPr>
              <w:pStyle w:val="NoSpacing"/>
              <w:ind w:left="460"/>
              <w:rPr>
                <w:b w:val="0"/>
              </w:rPr>
            </w:pPr>
            <w:r>
              <w:rPr>
                <w:b w:val="0"/>
              </w:rPr>
              <w:t>CTICR: Domestic violence taskforce report</w:t>
            </w:r>
          </w:p>
        </w:tc>
        <w:tc>
          <w:tcPr>
            <w:tcW w:w="1134" w:type="dxa"/>
            <w:tcBorders>
              <w:top w:val="nil"/>
              <w:left w:val="nil"/>
              <w:bottom w:val="nil"/>
              <w:right w:val="nil"/>
            </w:tcBorders>
            <w:vAlign w:val="bottom"/>
          </w:tcPr>
          <w:p w14:paraId="341020B4" w14:textId="77777777" w:rsidR="00445FD0" w:rsidRDefault="00445FD0">
            <w:pPr>
              <w:pStyle w:val="NoSpacing"/>
              <w:cnfStyle w:val="000000000000" w:firstRow="0" w:lastRow="0" w:firstColumn="0" w:lastColumn="0" w:oddVBand="0" w:evenVBand="0" w:oddHBand="0" w:evenHBand="0" w:firstRowFirstColumn="0" w:firstRowLastColumn="0" w:lastRowFirstColumn="0" w:lastRowLastColumn="0"/>
              <w:rPr>
                <w:b/>
              </w:rPr>
            </w:pPr>
            <w:r>
              <w:t>6.2</w:t>
            </w:r>
          </w:p>
          <w:p w14:paraId="090BDCEA" w14:textId="77777777" w:rsidR="00445FD0" w:rsidRDefault="00445FD0">
            <w:pPr>
              <w:pStyle w:val="NoSpacing"/>
              <w:cnfStyle w:val="000000000000" w:firstRow="0" w:lastRow="0" w:firstColumn="0" w:lastColumn="0" w:oddVBand="0" w:evenVBand="0" w:oddHBand="0" w:evenHBand="0" w:firstRowFirstColumn="0" w:firstRowLastColumn="0" w:lastRowFirstColumn="0" w:lastRowLastColumn="0"/>
            </w:pPr>
          </w:p>
          <w:p w14:paraId="2726A206" w14:textId="77777777" w:rsidR="00445FD0" w:rsidRDefault="00445FD0">
            <w:pPr>
              <w:pStyle w:val="NoSpacing"/>
              <w:cnfStyle w:val="000000000000" w:firstRow="0" w:lastRow="0" w:firstColumn="0" w:lastColumn="0" w:oddVBand="0" w:evenVBand="0" w:oddHBand="0" w:evenHBand="0" w:firstRowFirstColumn="0" w:firstRowLastColumn="0" w:lastRowFirstColumn="0" w:lastRowLastColumn="0"/>
            </w:pPr>
            <w:r>
              <w:t>6.3</w:t>
            </w:r>
          </w:p>
          <w:p w14:paraId="10228FAF" w14:textId="77777777" w:rsidR="00445FD0" w:rsidRDefault="00445FD0">
            <w:pPr>
              <w:pStyle w:val="NoSpacing"/>
              <w:cnfStyle w:val="000000000000" w:firstRow="0" w:lastRow="0" w:firstColumn="0" w:lastColumn="0" w:oddVBand="0" w:evenVBand="0" w:oddHBand="0" w:evenHBand="0" w:firstRowFirstColumn="0" w:firstRowLastColumn="0" w:lastRowFirstColumn="0" w:lastRowLastColumn="0"/>
            </w:pPr>
            <w:r>
              <w:t>6.4</w:t>
            </w:r>
          </w:p>
        </w:tc>
        <w:tc>
          <w:tcPr>
            <w:tcW w:w="764" w:type="dxa"/>
            <w:tcBorders>
              <w:top w:val="nil"/>
              <w:left w:val="nil"/>
              <w:bottom w:val="nil"/>
              <w:right w:val="nil"/>
            </w:tcBorders>
            <w:vAlign w:val="bottom"/>
          </w:tcPr>
          <w:p w14:paraId="18EED557" w14:textId="77777777" w:rsidR="00445FD0" w:rsidRDefault="00445FD0">
            <w:pPr>
              <w:pStyle w:val="NoSpacing"/>
              <w:jc w:val="right"/>
              <w:cnfStyle w:val="000000000000" w:firstRow="0" w:lastRow="0" w:firstColumn="0" w:lastColumn="0" w:oddVBand="0" w:evenVBand="0" w:oddHBand="0" w:evenHBand="0" w:firstRowFirstColumn="0" w:firstRowLastColumn="0" w:lastRowFirstColumn="0" w:lastRowLastColumn="0"/>
            </w:pPr>
            <w:r>
              <w:t>240</w:t>
            </w:r>
          </w:p>
          <w:p w14:paraId="1629E9B8" w14:textId="77777777" w:rsidR="00445FD0" w:rsidRDefault="00445FD0">
            <w:pPr>
              <w:pStyle w:val="NoSpacing"/>
              <w:jc w:val="right"/>
              <w:cnfStyle w:val="000000000000" w:firstRow="0" w:lastRow="0" w:firstColumn="0" w:lastColumn="0" w:oddVBand="0" w:evenVBand="0" w:oddHBand="0" w:evenHBand="0" w:firstRowFirstColumn="0" w:firstRowLastColumn="0" w:lastRowFirstColumn="0" w:lastRowLastColumn="0"/>
            </w:pPr>
          </w:p>
          <w:p w14:paraId="60F7F6DB" w14:textId="77777777" w:rsidR="00445FD0" w:rsidRDefault="00445FD0">
            <w:pPr>
              <w:pStyle w:val="NoSpacing"/>
              <w:jc w:val="right"/>
              <w:cnfStyle w:val="000000000000" w:firstRow="0" w:lastRow="0" w:firstColumn="0" w:lastColumn="0" w:oddVBand="0" w:evenVBand="0" w:oddHBand="0" w:evenHBand="0" w:firstRowFirstColumn="0" w:firstRowLastColumn="0" w:lastRowFirstColumn="0" w:lastRowLastColumn="0"/>
            </w:pPr>
            <w:r>
              <w:t>253</w:t>
            </w:r>
          </w:p>
          <w:p w14:paraId="23C6268C" w14:textId="77777777" w:rsidR="00445FD0" w:rsidRDefault="00445FD0">
            <w:pPr>
              <w:pStyle w:val="NoSpacing"/>
              <w:jc w:val="right"/>
              <w:cnfStyle w:val="000000000000" w:firstRow="0" w:lastRow="0" w:firstColumn="0" w:lastColumn="0" w:oddVBand="0" w:evenVBand="0" w:oddHBand="0" w:evenHBand="0" w:firstRowFirstColumn="0" w:firstRowLastColumn="0" w:lastRowFirstColumn="0" w:lastRowLastColumn="0"/>
            </w:pPr>
            <w:r>
              <w:t>255</w:t>
            </w:r>
          </w:p>
        </w:tc>
      </w:tr>
      <w:tr w:rsidR="00445FD0" w14:paraId="37513B0A" w14:textId="77777777" w:rsidTr="00445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Borders>
              <w:left w:val="nil"/>
              <w:right w:val="nil"/>
            </w:tcBorders>
            <w:hideMark/>
          </w:tcPr>
          <w:p w14:paraId="335B236E" w14:textId="77777777" w:rsidR="00445FD0" w:rsidRDefault="00445FD0">
            <w:pPr>
              <w:pStyle w:val="NoSpacing"/>
              <w:rPr>
                <w:b w:val="0"/>
              </w:rPr>
            </w:pPr>
            <w:r>
              <w:rPr>
                <w:b w:val="0"/>
              </w:rPr>
              <w:t>Worship, Commission on</w:t>
            </w:r>
          </w:p>
        </w:tc>
        <w:tc>
          <w:tcPr>
            <w:tcW w:w="1134" w:type="dxa"/>
            <w:tcBorders>
              <w:left w:val="nil"/>
              <w:right w:val="nil"/>
            </w:tcBorders>
            <w:vAlign w:val="bottom"/>
            <w:hideMark/>
          </w:tcPr>
          <w:p w14:paraId="4A6AF978" w14:textId="77777777" w:rsidR="00445FD0" w:rsidRDefault="00445FD0">
            <w:pPr>
              <w:pStyle w:val="NoSpacing"/>
              <w:cnfStyle w:val="000000100000" w:firstRow="0" w:lastRow="0" w:firstColumn="0" w:lastColumn="0" w:oddVBand="0" w:evenVBand="0" w:oddHBand="1" w:evenHBand="0" w:firstRowFirstColumn="0" w:firstRowLastColumn="0" w:lastRowFirstColumn="0" w:lastRowLastColumn="0"/>
              <w:rPr>
                <w:b/>
              </w:rPr>
            </w:pPr>
            <w:r>
              <w:t>8.1</w:t>
            </w:r>
          </w:p>
        </w:tc>
        <w:tc>
          <w:tcPr>
            <w:tcW w:w="764" w:type="dxa"/>
            <w:tcBorders>
              <w:left w:val="nil"/>
              <w:right w:val="nil"/>
            </w:tcBorders>
            <w:vAlign w:val="bottom"/>
            <w:hideMark/>
          </w:tcPr>
          <w:p w14:paraId="04F14784" w14:textId="77777777" w:rsidR="00445FD0" w:rsidRDefault="00445FD0">
            <w:pPr>
              <w:pStyle w:val="NoSpacing"/>
              <w:jc w:val="right"/>
              <w:cnfStyle w:val="000000100000" w:firstRow="0" w:lastRow="0" w:firstColumn="0" w:lastColumn="0" w:oddVBand="0" w:evenVBand="0" w:oddHBand="1" w:evenHBand="0" w:firstRowFirstColumn="0" w:firstRowLastColumn="0" w:lastRowFirstColumn="0" w:lastRowLastColumn="0"/>
            </w:pPr>
            <w:r>
              <w:t>263</w:t>
            </w:r>
          </w:p>
        </w:tc>
      </w:tr>
      <w:tr w:rsidR="00445FD0" w14:paraId="6245306A" w14:textId="77777777" w:rsidTr="00445FD0">
        <w:tc>
          <w:tcPr>
            <w:cnfStyle w:val="001000000000" w:firstRow="0" w:lastRow="0" w:firstColumn="1" w:lastColumn="0" w:oddVBand="0" w:evenVBand="0" w:oddHBand="0" w:evenHBand="0" w:firstRowFirstColumn="0" w:firstRowLastColumn="0" w:lastRowFirstColumn="0" w:lastRowLastColumn="0"/>
            <w:tcW w:w="6946" w:type="dxa"/>
            <w:tcBorders>
              <w:top w:val="nil"/>
              <w:left w:val="nil"/>
              <w:bottom w:val="nil"/>
              <w:right w:val="nil"/>
            </w:tcBorders>
            <w:hideMark/>
          </w:tcPr>
          <w:p w14:paraId="4252CF4A" w14:textId="77777777" w:rsidR="00445FD0" w:rsidRDefault="00445FD0">
            <w:pPr>
              <w:pStyle w:val="NoSpacing"/>
              <w:ind w:left="460" w:hanging="425"/>
              <w:rPr>
                <w:b w:val="0"/>
              </w:rPr>
            </w:pPr>
            <w:r>
              <w:rPr>
                <w:b w:val="0"/>
              </w:rPr>
              <w:t>General finance</w:t>
            </w:r>
          </w:p>
        </w:tc>
        <w:tc>
          <w:tcPr>
            <w:tcW w:w="1134" w:type="dxa"/>
            <w:tcBorders>
              <w:top w:val="nil"/>
              <w:left w:val="nil"/>
              <w:bottom w:val="nil"/>
              <w:right w:val="nil"/>
            </w:tcBorders>
            <w:vAlign w:val="bottom"/>
          </w:tcPr>
          <w:p w14:paraId="7DE72FDB" w14:textId="77777777" w:rsidR="00445FD0" w:rsidRDefault="00445FD0">
            <w:pPr>
              <w:pStyle w:val="NoSpacing"/>
              <w:cnfStyle w:val="000000000000" w:firstRow="0" w:lastRow="0" w:firstColumn="0" w:lastColumn="0" w:oddVBand="0" w:evenVBand="0" w:oddHBand="0" w:evenHBand="0" w:firstRowFirstColumn="0" w:firstRowLastColumn="0" w:lastRowFirstColumn="0" w:lastRowLastColumn="0"/>
              <w:rPr>
                <w:b/>
              </w:rPr>
            </w:pPr>
          </w:p>
        </w:tc>
        <w:tc>
          <w:tcPr>
            <w:tcW w:w="764" w:type="dxa"/>
            <w:tcBorders>
              <w:top w:val="nil"/>
              <w:left w:val="nil"/>
              <w:bottom w:val="nil"/>
              <w:right w:val="nil"/>
            </w:tcBorders>
            <w:vAlign w:val="bottom"/>
          </w:tcPr>
          <w:p w14:paraId="2923ECEE" w14:textId="77777777" w:rsidR="00445FD0" w:rsidRDefault="00445FD0">
            <w:pPr>
              <w:pStyle w:val="NoSpacing"/>
              <w:jc w:val="right"/>
              <w:cnfStyle w:val="000000000000" w:firstRow="0" w:lastRow="0" w:firstColumn="0" w:lastColumn="0" w:oddVBand="0" w:evenVBand="0" w:oddHBand="0" w:evenHBand="0" w:firstRowFirstColumn="0" w:firstRowLastColumn="0" w:lastRowFirstColumn="0" w:lastRowLastColumn="0"/>
            </w:pPr>
          </w:p>
        </w:tc>
      </w:tr>
      <w:tr w:rsidR="00445FD0" w14:paraId="22AA6E56" w14:textId="77777777" w:rsidTr="00445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Borders>
              <w:left w:val="nil"/>
              <w:right w:val="nil"/>
            </w:tcBorders>
            <w:hideMark/>
          </w:tcPr>
          <w:p w14:paraId="135F3711" w14:textId="77777777" w:rsidR="00445FD0" w:rsidRDefault="00445FD0">
            <w:pPr>
              <w:pStyle w:val="NoSpacing"/>
              <w:ind w:left="460"/>
              <w:rPr>
                <w:b w:val="0"/>
              </w:rPr>
            </w:pPr>
            <w:r>
              <w:rPr>
                <w:b w:val="0"/>
              </w:rPr>
              <w:t>Financial Report: LCA Provident Fund</w:t>
            </w:r>
          </w:p>
        </w:tc>
        <w:tc>
          <w:tcPr>
            <w:tcW w:w="1134" w:type="dxa"/>
            <w:tcBorders>
              <w:left w:val="nil"/>
              <w:right w:val="nil"/>
            </w:tcBorders>
            <w:vAlign w:val="bottom"/>
            <w:hideMark/>
          </w:tcPr>
          <w:p w14:paraId="46D03183" w14:textId="77777777" w:rsidR="00445FD0" w:rsidRDefault="00445FD0">
            <w:pPr>
              <w:pStyle w:val="NoSpacing"/>
              <w:cnfStyle w:val="000000100000" w:firstRow="0" w:lastRow="0" w:firstColumn="0" w:lastColumn="0" w:oddVBand="0" w:evenVBand="0" w:oddHBand="1" w:evenHBand="0" w:firstRowFirstColumn="0" w:firstRowLastColumn="0" w:lastRowFirstColumn="0" w:lastRowLastColumn="0"/>
              <w:rPr>
                <w:b/>
              </w:rPr>
            </w:pPr>
            <w:r>
              <w:t>14.7</w:t>
            </w:r>
          </w:p>
        </w:tc>
        <w:tc>
          <w:tcPr>
            <w:tcW w:w="764" w:type="dxa"/>
            <w:tcBorders>
              <w:left w:val="nil"/>
              <w:right w:val="nil"/>
            </w:tcBorders>
            <w:vAlign w:val="bottom"/>
            <w:hideMark/>
          </w:tcPr>
          <w:p w14:paraId="3C083A1E" w14:textId="77777777" w:rsidR="00445FD0" w:rsidRDefault="00445FD0">
            <w:pPr>
              <w:pStyle w:val="NoSpacing"/>
              <w:jc w:val="right"/>
              <w:cnfStyle w:val="000000100000" w:firstRow="0" w:lastRow="0" w:firstColumn="0" w:lastColumn="0" w:oddVBand="0" w:evenVBand="0" w:oddHBand="1" w:evenHBand="0" w:firstRowFirstColumn="0" w:firstRowLastColumn="0" w:lastRowFirstColumn="0" w:lastRowLastColumn="0"/>
            </w:pPr>
            <w:r>
              <w:t>355</w:t>
            </w:r>
          </w:p>
        </w:tc>
      </w:tr>
      <w:tr w:rsidR="00445FD0" w14:paraId="2AB2BF95" w14:textId="77777777" w:rsidTr="00445FD0">
        <w:tc>
          <w:tcPr>
            <w:cnfStyle w:val="001000000000" w:firstRow="0" w:lastRow="0" w:firstColumn="1" w:lastColumn="0" w:oddVBand="0" w:evenVBand="0" w:oddHBand="0" w:evenHBand="0" w:firstRowFirstColumn="0" w:firstRowLastColumn="0" w:lastRowFirstColumn="0" w:lastRowLastColumn="0"/>
            <w:tcW w:w="6946" w:type="dxa"/>
            <w:tcBorders>
              <w:top w:val="nil"/>
              <w:left w:val="nil"/>
              <w:bottom w:val="nil"/>
              <w:right w:val="nil"/>
            </w:tcBorders>
            <w:hideMark/>
          </w:tcPr>
          <w:p w14:paraId="7F57A01F" w14:textId="77777777" w:rsidR="00445FD0" w:rsidRDefault="00445FD0">
            <w:pPr>
              <w:pStyle w:val="NoSpacing"/>
              <w:ind w:left="460"/>
              <w:rPr>
                <w:b w:val="0"/>
              </w:rPr>
            </w:pPr>
            <w:r>
              <w:rPr>
                <w:b w:val="0"/>
              </w:rPr>
              <w:t>Financial Report: LCA Pensions Fund</w:t>
            </w:r>
          </w:p>
        </w:tc>
        <w:tc>
          <w:tcPr>
            <w:tcW w:w="1134" w:type="dxa"/>
            <w:tcBorders>
              <w:top w:val="nil"/>
              <w:left w:val="nil"/>
              <w:bottom w:val="nil"/>
              <w:right w:val="nil"/>
            </w:tcBorders>
            <w:vAlign w:val="bottom"/>
            <w:hideMark/>
          </w:tcPr>
          <w:p w14:paraId="5FA6BF05" w14:textId="77777777" w:rsidR="00445FD0" w:rsidRDefault="00445FD0">
            <w:pPr>
              <w:pStyle w:val="NoSpacing"/>
              <w:cnfStyle w:val="000000000000" w:firstRow="0" w:lastRow="0" w:firstColumn="0" w:lastColumn="0" w:oddVBand="0" w:evenVBand="0" w:oddHBand="0" w:evenHBand="0" w:firstRowFirstColumn="0" w:firstRowLastColumn="0" w:lastRowFirstColumn="0" w:lastRowLastColumn="0"/>
              <w:rPr>
                <w:b/>
              </w:rPr>
            </w:pPr>
            <w:r>
              <w:t>14.8</w:t>
            </w:r>
          </w:p>
        </w:tc>
        <w:tc>
          <w:tcPr>
            <w:tcW w:w="764" w:type="dxa"/>
            <w:tcBorders>
              <w:top w:val="nil"/>
              <w:left w:val="nil"/>
              <w:bottom w:val="nil"/>
              <w:right w:val="nil"/>
            </w:tcBorders>
            <w:vAlign w:val="bottom"/>
            <w:hideMark/>
          </w:tcPr>
          <w:p w14:paraId="1AFB031A" w14:textId="77777777" w:rsidR="00445FD0" w:rsidRDefault="00445FD0">
            <w:pPr>
              <w:pStyle w:val="NoSpacing"/>
              <w:jc w:val="right"/>
              <w:cnfStyle w:val="000000000000" w:firstRow="0" w:lastRow="0" w:firstColumn="0" w:lastColumn="0" w:oddVBand="0" w:evenVBand="0" w:oddHBand="0" w:evenHBand="0" w:firstRowFirstColumn="0" w:firstRowLastColumn="0" w:lastRowFirstColumn="0" w:lastRowLastColumn="0"/>
            </w:pPr>
            <w:r>
              <w:t>356</w:t>
            </w:r>
          </w:p>
        </w:tc>
      </w:tr>
      <w:tr w:rsidR="00445FD0" w14:paraId="5DCDB67D" w14:textId="77777777" w:rsidTr="00445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Borders>
              <w:left w:val="nil"/>
              <w:right w:val="nil"/>
            </w:tcBorders>
            <w:hideMark/>
          </w:tcPr>
          <w:p w14:paraId="266C8761" w14:textId="77777777" w:rsidR="00445FD0" w:rsidRDefault="00445FD0">
            <w:pPr>
              <w:pStyle w:val="NoSpacing"/>
              <w:ind w:left="460"/>
              <w:rPr>
                <w:b w:val="0"/>
              </w:rPr>
            </w:pPr>
            <w:r>
              <w:rPr>
                <w:b w:val="0"/>
              </w:rPr>
              <w:t>Financial Report: LCA Pastors Transfer and Support Fund</w:t>
            </w:r>
          </w:p>
        </w:tc>
        <w:tc>
          <w:tcPr>
            <w:tcW w:w="1134" w:type="dxa"/>
            <w:tcBorders>
              <w:left w:val="nil"/>
              <w:right w:val="nil"/>
            </w:tcBorders>
            <w:vAlign w:val="bottom"/>
            <w:hideMark/>
          </w:tcPr>
          <w:p w14:paraId="2C925C52" w14:textId="77777777" w:rsidR="00445FD0" w:rsidRDefault="00445FD0">
            <w:pPr>
              <w:pStyle w:val="NoSpacing"/>
              <w:cnfStyle w:val="000000100000" w:firstRow="0" w:lastRow="0" w:firstColumn="0" w:lastColumn="0" w:oddVBand="0" w:evenVBand="0" w:oddHBand="1" w:evenHBand="0" w:firstRowFirstColumn="0" w:firstRowLastColumn="0" w:lastRowFirstColumn="0" w:lastRowLastColumn="0"/>
              <w:rPr>
                <w:b/>
              </w:rPr>
            </w:pPr>
            <w:r>
              <w:t>14.9</w:t>
            </w:r>
          </w:p>
        </w:tc>
        <w:tc>
          <w:tcPr>
            <w:tcW w:w="764" w:type="dxa"/>
            <w:tcBorders>
              <w:left w:val="nil"/>
              <w:right w:val="nil"/>
            </w:tcBorders>
            <w:vAlign w:val="bottom"/>
            <w:hideMark/>
          </w:tcPr>
          <w:p w14:paraId="05EC8597" w14:textId="77777777" w:rsidR="00445FD0" w:rsidRDefault="00445FD0">
            <w:pPr>
              <w:pStyle w:val="NoSpacing"/>
              <w:jc w:val="right"/>
              <w:cnfStyle w:val="000000100000" w:firstRow="0" w:lastRow="0" w:firstColumn="0" w:lastColumn="0" w:oddVBand="0" w:evenVBand="0" w:oddHBand="1" w:evenHBand="0" w:firstRowFirstColumn="0" w:firstRowLastColumn="0" w:lastRowFirstColumn="0" w:lastRowLastColumn="0"/>
            </w:pPr>
            <w:r>
              <w:t>356</w:t>
            </w:r>
          </w:p>
        </w:tc>
      </w:tr>
      <w:tr w:rsidR="00445FD0" w14:paraId="2DBE23AB" w14:textId="77777777" w:rsidTr="00445FD0">
        <w:tc>
          <w:tcPr>
            <w:cnfStyle w:val="001000000000" w:firstRow="0" w:lastRow="0" w:firstColumn="1" w:lastColumn="0" w:oddVBand="0" w:evenVBand="0" w:oddHBand="0" w:evenHBand="0" w:firstRowFirstColumn="0" w:firstRowLastColumn="0" w:lastRowFirstColumn="0" w:lastRowLastColumn="0"/>
            <w:tcW w:w="6946" w:type="dxa"/>
            <w:tcBorders>
              <w:top w:val="nil"/>
              <w:left w:val="nil"/>
              <w:bottom w:val="nil"/>
              <w:right w:val="nil"/>
            </w:tcBorders>
            <w:hideMark/>
          </w:tcPr>
          <w:p w14:paraId="37DEC1F0" w14:textId="77777777" w:rsidR="00445FD0" w:rsidRDefault="00445FD0">
            <w:pPr>
              <w:pStyle w:val="NoSpacing"/>
              <w:ind w:left="460"/>
              <w:rPr>
                <w:b w:val="0"/>
              </w:rPr>
            </w:pPr>
            <w:r>
              <w:rPr>
                <w:b w:val="0"/>
              </w:rPr>
              <w:t>Financial Report: LCA Levy Fund</w:t>
            </w:r>
          </w:p>
        </w:tc>
        <w:tc>
          <w:tcPr>
            <w:tcW w:w="1134" w:type="dxa"/>
            <w:tcBorders>
              <w:top w:val="nil"/>
              <w:left w:val="nil"/>
              <w:bottom w:val="nil"/>
              <w:right w:val="nil"/>
            </w:tcBorders>
            <w:vAlign w:val="bottom"/>
            <w:hideMark/>
          </w:tcPr>
          <w:p w14:paraId="77C2D692" w14:textId="77777777" w:rsidR="00445FD0" w:rsidRDefault="00445FD0">
            <w:pPr>
              <w:pStyle w:val="NoSpacing"/>
              <w:cnfStyle w:val="000000000000" w:firstRow="0" w:lastRow="0" w:firstColumn="0" w:lastColumn="0" w:oddVBand="0" w:evenVBand="0" w:oddHBand="0" w:evenHBand="0" w:firstRowFirstColumn="0" w:firstRowLastColumn="0" w:lastRowFirstColumn="0" w:lastRowLastColumn="0"/>
              <w:rPr>
                <w:b/>
              </w:rPr>
            </w:pPr>
            <w:r>
              <w:t>14.10</w:t>
            </w:r>
          </w:p>
        </w:tc>
        <w:tc>
          <w:tcPr>
            <w:tcW w:w="764" w:type="dxa"/>
            <w:tcBorders>
              <w:top w:val="nil"/>
              <w:left w:val="nil"/>
              <w:bottom w:val="nil"/>
              <w:right w:val="nil"/>
            </w:tcBorders>
            <w:vAlign w:val="bottom"/>
            <w:hideMark/>
          </w:tcPr>
          <w:p w14:paraId="08AE9CB3" w14:textId="77777777" w:rsidR="00445FD0" w:rsidRDefault="00445FD0">
            <w:pPr>
              <w:pStyle w:val="NoSpacing"/>
              <w:jc w:val="right"/>
              <w:cnfStyle w:val="000000000000" w:firstRow="0" w:lastRow="0" w:firstColumn="0" w:lastColumn="0" w:oddVBand="0" w:evenVBand="0" w:oddHBand="0" w:evenHBand="0" w:firstRowFirstColumn="0" w:firstRowLastColumn="0" w:lastRowFirstColumn="0" w:lastRowLastColumn="0"/>
            </w:pPr>
            <w:r>
              <w:t>358</w:t>
            </w:r>
          </w:p>
        </w:tc>
      </w:tr>
      <w:tr w:rsidR="00445FD0" w14:paraId="0729BDD4" w14:textId="77777777" w:rsidTr="00445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Borders>
              <w:left w:val="nil"/>
              <w:right w:val="nil"/>
            </w:tcBorders>
            <w:hideMark/>
          </w:tcPr>
          <w:p w14:paraId="726B2A24" w14:textId="77777777" w:rsidR="00445FD0" w:rsidRDefault="00445FD0">
            <w:pPr>
              <w:pStyle w:val="NoSpacing"/>
              <w:ind w:left="460"/>
              <w:rPr>
                <w:b w:val="0"/>
              </w:rPr>
            </w:pPr>
            <w:r>
              <w:rPr>
                <w:b w:val="0"/>
              </w:rPr>
              <w:t>Financial Report: LCA Car Grant Fund</w:t>
            </w:r>
          </w:p>
        </w:tc>
        <w:tc>
          <w:tcPr>
            <w:tcW w:w="1134" w:type="dxa"/>
            <w:tcBorders>
              <w:left w:val="nil"/>
              <w:right w:val="nil"/>
            </w:tcBorders>
            <w:vAlign w:val="bottom"/>
            <w:hideMark/>
          </w:tcPr>
          <w:p w14:paraId="143C8AD0" w14:textId="77777777" w:rsidR="00445FD0" w:rsidRDefault="00445FD0">
            <w:pPr>
              <w:pStyle w:val="NoSpacing"/>
              <w:cnfStyle w:val="000000100000" w:firstRow="0" w:lastRow="0" w:firstColumn="0" w:lastColumn="0" w:oddVBand="0" w:evenVBand="0" w:oddHBand="1" w:evenHBand="0" w:firstRowFirstColumn="0" w:firstRowLastColumn="0" w:lastRowFirstColumn="0" w:lastRowLastColumn="0"/>
              <w:rPr>
                <w:b/>
              </w:rPr>
            </w:pPr>
            <w:r>
              <w:t>14.11</w:t>
            </w:r>
          </w:p>
        </w:tc>
        <w:tc>
          <w:tcPr>
            <w:tcW w:w="764" w:type="dxa"/>
            <w:tcBorders>
              <w:left w:val="nil"/>
              <w:right w:val="nil"/>
            </w:tcBorders>
            <w:vAlign w:val="bottom"/>
            <w:hideMark/>
          </w:tcPr>
          <w:p w14:paraId="71A5F80B" w14:textId="77777777" w:rsidR="00445FD0" w:rsidRDefault="00445FD0">
            <w:pPr>
              <w:pStyle w:val="NoSpacing"/>
              <w:jc w:val="right"/>
              <w:cnfStyle w:val="000000100000" w:firstRow="0" w:lastRow="0" w:firstColumn="0" w:lastColumn="0" w:oddVBand="0" w:evenVBand="0" w:oddHBand="1" w:evenHBand="0" w:firstRowFirstColumn="0" w:firstRowLastColumn="0" w:lastRowFirstColumn="0" w:lastRowLastColumn="0"/>
            </w:pPr>
            <w:r>
              <w:t>359</w:t>
            </w:r>
          </w:p>
        </w:tc>
      </w:tr>
      <w:tr w:rsidR="00445FD0" w14:paraId="524386E5" w14:textId="77777777" w:rsidTr="00445FD0">
        <w:tc>
          <w:tcPr>
            <w:cnfStyle w:val="001000000000" w:firstRow="0" w:lastRow="0" w:firstColumn="1" w:lastColumn="0" w:oddVBand="0" w:evenVBand="0" w:oddHBand="0" w:evenHBand="0" w:firstRowFirstColumn="0" w:firstRowLastColumn="0" w:lastRowFirstColumn="0" w:lastRowLastColumn="0"/>
            <w:tcW w:w="6946" w:type="dxa"/>
            <w:tcBorders>
              <w:top w:val="nil"/>
              <w:left w:val="nil"/>
              <w:bottom w:val="nil"/>
              <w:right w:val="nil"/>
            </w:tcBorders>
            <w:hideMark/>
          </w:tcPr>
          <w:p w14:paraId="67641CFE" w14:textId="77777777" w:rsidR="00445FD0" w:rsidRDefault="00445FD0">
            <w:pPr>
              <w:pStyle w:val="NoSpacing"/>
              <w:ind w:left="460"/>
              <w:rPr>
                <w:b w:val="0"/>
              </w:rPr>
            </w:pPr>
            <w:r>
              <w:rPr>
                <w:b w:val="0"/>
              </w:rPr>
              <w:t>Financial Report: LCA Insurance Fund</w:t>
            </w:r>
          </w:p>
        </w:tc>
        <w:tc>
          <w:tcPr>
            <w:tcW w:w="1134" w:type="dxa"/>
            <w:tcBorders>
              <w:top w:val="nil"/>
              <w:left w:val="nil"/>
              <w:bottom w:val="nil"/>
              <w:right w:val="nil"/>
            </w:tcBorders>
            <w:vAlign w:val="bottom"/>
            <w:hideMark/>
          </w:tcPr>
          <w:p w14:paraId="06B93835" w14:textId="77777777" w:rsidR="00445FD0" w:rsidRDefault="00445FD0">
            <w:pPr>
              <w:pStyle w:val="NoSpacing"/>
              <w:cnfStyle w:val="000000000000" w:firstRow="0" w:lastRow="0" w:firstColumn="0" w:lastColumn="0" w:oddVBand="0" w:evenVBand="0" w:oddHBand="0" w:evenHBand="0" w:firstRowFirstColumn="0" w:firstRowLastColumn="0" w:lastRowFirstColumn="0" w:lastRowLastColumn="0"/>
              <w:rPr>
                <w:b/>
              </w:rPr>
            </w:pPr>
            <w:r>
              <w:t>14.12</w:t>
            </w:r>
          </w:p>
        </w:tc>
        <w:tc>
          <w:tcPr>
            <w:tcW w:w="764" w:type="dxa"/>
            <w:tcBorders>
              <w:top w:val="nil"/>
              <w:left w:val="nil"/>
              <w:bottom w:val="nil"/>
              <w:right w:val="nil"/>
            </w:tcBorders>
            <w:vAlign w:val="bottom"/>
            <w:hideMark/>
          </w:tcPr>
          <w:p w14:paraId="0AAE0D5E" w14:textId="77777777" w:rsidR="00445FD0" w:rsidRDefault="00445FD0">
            <w:pPr>
              <w:pStyle w:val="NoSpacing"/>
              <w:jc w:val="right"/>
              <w:cnfStyle w:val="000000000000" w:firstRow="0" w:lastRow="0" w:firstColumn="0" w:lastColumn="0" w:oddVBand="0" w:evenVBand="0" w:oddHBand="0" w:evenHBand="0" w:firstRowFirstColumn="0" w:firstRowLastColumn="0" w:lastRowFirstColumn="0" w:lastRowLastColumn="0"/>
            </w:pPr>
            <w:r>
              <w:t>360</w:t>
            </w:r>
          </w:p>
        </w:tc>
      </w:tr>
      <w:tr w:rsidR="00445FD0" w14:paraId="10D0475C" w14:textId="77777777" w:rsidTr="00AA65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Borders>
              <w:left w:val="nil"/>
              <w:right w:val="nil"/>
            </w:tcBorders>
            <w:hideMark/>
          </w:tcPr>
          <w:p w14:paraId="0F776282" w14:textId="77777777" w:rsidR="00AA6507" w:rsidRDefault="00445FD0">
            <w:pPr>
              <w:pStyle w:val="NoSpacing"/>
            </w:pPr>
            <w:r>
              <w:t>Agenda document</w:t>
            </w:r>
            <w:r w:rsidR="00AA6507">
              <w:t>s</w:t>
            </w:r>
          </w:p>
          <w:p w14:paraId="039ADE6E" w14:textId="66D258E8" w:rsidR="00AA6507" w:rsidRPr="00AA6507" w:rsidRDefault="00AA6507" w:rsidP="00AA6507">
            <w:pPr>
              <w:pStyle w:val="NoSpacing"/>
              <w:tabs>
                <w:tab w:val="left" w:pos="525"/>
              </w:tabs>
              <w:ind w:left="462"/>
              <w:rPr>
                <w:b w:val="0"/>
              </w:rPr>
            </w:pPr>
            <w:r w:rsidRPr="00AA6507">
              <w:rPr>
                <w:b w:val="0"/>
              </w:rPr>
              <w:t>1</w:t>
            </w:r>
            <w:r w:rsidR="00445FD0" w:rsidRPr="00AA6507">
              <w:rPr>
                <w:b w:val="0"/>
              </w:rPr>
              <w:t xml:space="preserve"> – Trial structures for governing bodies and national office functions: Report of the evaluation study</w:t>
            </w:r>
            <w:r w:rsidR="00200A11">
              <w:rPr>
                <w:b w:val="0"/>
              </w:rPr>
              <w:tab/>
            </w:r>
            <w:r w:rsidR="00200A11">
              <w:rPr>
                <w:b w:val="0"/>
              </w:rPr>
              <w:tab/>
            </w:r>
            <w:r w:rsidR="00200A11">
              <w:rPr>
                <w:b w:val="0"/>
              </w:rPr>
              <w:tab/>
            </w:r>
            <w:r w:rsidR="00200A11">
              <w:rPr>
                <w:b w:val="0"/>
              </w:rPr>
              <w:tab/>
            </w:r>
            <w:r>
              <w:rPr>
                <w:b w:val="0"/>
              </w:rPr>
              <w:br/>
              <w:t xml:space="preserve">2 </w:t>
            </w:r>
            <w:r w:rsidRPr="00AA6507">
              <w:rPr>
                <w:b w:val="0"/>
              </w:rPr>
              <w:t>–</w:t>
            </w:r>
            <w:r>
              <w:rPr>
                <w:b w:val="0"/>
              </w:rPr>
              <w:t xml:space="preserve"> </w:t>
            </w:r>
            <w:r w:rsidR="00200A11">
              <w:rPr>
                <w:b w:val="0"/>
              </w:rPr>
              <w:t>Governing bodies and national functions: Terms of Reference</w:t>
            </w:r>
          </w:p>
        </w:tc>
        <w:tc>
          <w:tcPr>
            <w:tcW w:w="1134" w:type="dxa"/>
            <w:tcBorders>
              <w:left w:val="nil"/>
              <w:right w:val="nil"/>
            </w:tcBorders>
            <w:vAlign w:val="bottom"/>
          </w:tcPr>
          <w:p w14:paraId="6753D044" w14:textId="77777777" w:rsidR="00445FD0" w:rsidRDefault="00445FD0">
            <w:pPr>
              <w:pStyle w:val="NoSpacing"/>
              <w:cnfStyle w:val="000000100000" w:firstRow="0" w:lastRow="0" w:firstColumn="0" w:lastColumn="0" w:oddVBand="0" w:evenVBand="0" w:oddHBand="1" w:evenHBand="0" w:firstRowFirstColumn="0" w:firstRowLastColumn="0" w:lastRowFirstColumn="0" w:lastRowLastColumn="0"/>
            </w:pPr>
          </w:p>
        </w:tc>
        <w:tc>
          <w:tcPr>
            <w:tcW w:w="764" w:type="dxa"/>
            <w:tcBorders>
              <w:left w:val="nil"/>
              <w:right w:val="nil"/>
            </w:tcBorders>
            <w:vAlign w:val="bottom"/>
          </w:tcPr>
          <w:p w14:paraId="4A72D7CE" w14:textId="50BFF7E6" w:rsidR="00AA6507" w:rsidRDefault="00AA6507" w:rsidP="00200A11">
            <w:pPr>
              <w:pStyle w:val="NoSpacing"/>
              <w:cnfStyle w:val="000000100000" w:firstRow="0" w:lastRow="0" w:firstColumn="0" w:lastColumn="0" w:oddVBand="0" w:evenVBand="0" w:oddHBand="1" w:evenHBand="0" w:firstRowFirstColumn="0" w:firstRowLastColumn="0" w:lastRowFirstColumn="0" w:lastRowLastColumn="0"/>
            </w:pPr>
            <w:r>
              <w:t xml:space="preserve">   </w:t>
            </w:r>
            <w:r w:rsidR="001A226A">
              <w:t>373</w:t>
            </w:r>
          </w:p>
          <w:p w14:paraId="1569A449" w14:textId="79E2675C" w:rsidR="001A226A" w:rsidRDefault="001A226A" w:rsidP="00200A11">
            <w:pPr>
              <w:pStyle w:val="NoSpacing"/>
              <w:cnfStyle w:val="000000100000" w:firstRow="0" w:lastRow="0" w:firstColumn="0" w:lastColumn="0" w:oddVBand="0" w:evenVBand="0" w:oddHBand="1" w:evenHBand="0" w:firstRowFirstColumn="0" w:firstRowLastColumn="0" w:lastRowFirstColumn="0" w:lastRowLastColumn="0"/>
            </w:pPr>
            <w:r>
              <w:t xml:space="preserve">   407</w:t>
            </w:r>
          </w:p>
        </w:tc>
      </w:tr>
      <w:tr w:rsidR="00445FD0" w14:paraId="57061586" w14:textId="77777777" w:rsidTr="00445FD0">
        <w:tc>
          <w:tcPr>
            <w:cnfStyle w:val="001000000000" w:firstRow="0" w:lastRow="0" w:firstColumn="1" w:lastColumn="0" w:oddVBand="0" w:evenVBand="0" w:oddHBand="0" w:evenHBand="0" w:firstRowFirstColumn="0" w:firstRowLastColumn="0" w:lastRowFirstColumn="0" w:lastRowLastColumn="0"/>
            <w:tcW w:w="6946" w:type="dxa"/>
            <w:tcBorders>
              <w:top w:val="nil"/>
              <w:left w:val="nil"/>
              <w:bottom w:val="single" w:sz="4" w:space="0" w:color="7F7F7F" w:themeColor="text1" w:themeTint="80"/>
              <w:right w:val="nil"/>
            </w:tcBorders>
            <w:hideMark/>
          </w:tcPr>
          <w:p w14:paraId="214E48CD" w14:textId="6F091D46" w:rsidR="00445FD0" w:rsidRDefault="00445FD0">
            <w:pPr>
              <w:pStyle w:val="NoSpacing"/>
            </w:pPr>
            <w:r>
              <w:t>Rules for transacting business</w:t>
            </w:r>
          </w:p>
        </w:tc>
        <w:tc>
          <w:tcPr>
            <w:tcW w:w="1134" w:type="dxa"/>
            <w:tcBorders>
              <w:top w:val="nil"/>
              <w:left w:val="nil"/>
              <w:bottom w:val="single" w:sz="4" w:space="0" w:color="7F7F7F" w:themeColor="text1" w:themeTint="80"/>
              <w:right w:val="nil"/>
            </w:tcBorders>
            <w:vAlign w:val="bottom"/>
          </w:tcPr>
          <w:p w14:paraId="534B92AC" w14:textId="77777777" w:rsidR="00445FD0" w:rsidRDefault="00445FD0">
            <w:pPr>
              <w:pStyle w:val="NoSpacing"/>
              <w:cnfStyle w:val="000000000000" w:firstRow="0" w:lastRow="0" w:firstColumn="0" w:lastColumn="0" w:oddVBand="0" w:evenVBand="0" w:oddHBand="0" w:evenHBand="0" w:firstRowFirstColumn="0" w:firstRowLastColumn="0" w:lastRowFirstColumn="0" w:lastRowLastColumn="0"/>
            </w:pPr>
          </w:p>
        </w:tc>
        <w:tc>
          <w:tcPr>
            <w:tcW w:w="764" w:type="dxa"/>
            <w:tcBorders>
              <w:top w:val="nil"/>
              <w:left w:val="nil"/>
              <w:bottom w:val="single" w:sz="4" w:space="0" w:color="7F7F7F" w:themeColor="text1" w:themeTint="80"/>
              <w:right w:val="nil"/>
            </w:tcBorders>
            <w:vAlign w:val="bottom"/>
            <w:hideMark/>
          </w:tcPr>
          <w:p w14:paraId="1546C527" w14:textId="5A5668BB" w:rsidR="00445FD0" w:rsidRDefault="008A59F5">
            <w:pPr>
              <w:pStyle w:val="NoSpacing"/>
              <w:jc w:val="right"/>
              <w:cnfStyle w:val="000000000000" w:firstRow="0" w:lastRow="0" w:firstColumn="0" w:lastColumn="0" w:oddVBand="0" w:evenVBand="0" w:oddHBand="0" w:evenHBand="0" w:firstRowFirstColumn="0" w:firstRowLastColumn="0" w:lastRowFirstColumn="0" w:lastRowLastColumn="0"/>
              <w:rPr>
                <w:highlight w:val="green"/>
              </w:rPr>
            </w:pPr>
            <w:r>
              <w:t>436</w:t>
            </w:r>
          </w:p>
        </w:tc>
      </w:tr>
    </w:tbl>
    <w:p w14:paraId="536AABBB" w14:textId="4365C35F" w:rsidR="004035FE" w:rsidRDefault="004035FE" w:rsidP="00E07C9E">
      <w:pPr>
        <w:pStyle w:val="NoSpacing"/>
      </w:pPr>
    </w:p>
    <w:p w14:paraId="3204EB67" w14:textId="270F3857" w:rsidR="004035FE" w:rsidRDefault="004035FE">
      <w:pPr>
        <w:rPr>
          <w:rFonts w:ascii="Cambria" w:hAnsi="Cambria"/>
        </w:rPr>
      </w:pPr>
    </w:p>
    <w:p w14:paraId="637F5AF0" w14:textId="77777777" w:rsidR="000F6859" w:rsidRPr="009A0DA6" w:rsidRDefault="000F6859" w:rsidP="000F6859">
      <w:pPr>
        <w:pStyle w:val="NoSpacing"/>
      </w:pPr>
    </w:p>
    <w:p w14:paraId="3DB450C3" w14:textId="5C50A1ED" w:rsidR="004C0EDE" w:rsidRPr="009A0DA6" w:rsidRDefault="004C0EDE">
      <w:pPr>
        <w:rPr>
          <w:rFonts w:ascii="Cambria" w:hAnsi="Cambria"/>
        </w:rPr>
      </w:pPr>
    </w:p>
    <w:p w14:paraId="1919E27F" w14:textId="77777777" w:rsidR="0063233B" w:rsidRPr="009A0DA6" w:rsidRDefault="0063233B" w:rsidP="0063233B">
      <w:pPr>
        <w:rPr>
          <w:rFonts w:ascii="Cambria" w:hAnsi="Cambria"/>
          <w:highlight w:val="magenta"/>
        </w:rPr>
      </w:pPr>
    </w:p>
    <w:p w14:paraId="2084AB2B" w14:textId="77777777" w:rsidR="0063233B" w:rsidRPr="009A0DA6" w:rsidRDefault="0063233B" w:rsidP="0063233B">
      <w:pPr>
        <w:rPr>
          <w:rFonts w:ascii="Cambria" w:hAnsi="Cambria"/>
          <w:highlight w:val="magenta"/>
        </w:rPr>
      </w:pPr>
    </w:p>
    <w:p w14:paraId="568E103B" w14:textId="77777777" w:rsidR="0063233B" w:rsidRPr="009A0DA6" w:rsidRDefault="0063233B" w:rsidP="0063233B">
      <w:pPr>
        <w:rPr>
          <w:rFonts w:ascii="Cambria" w:hAnsi="Cambria"/>
          <w:highlight w:val="magenta"/>
        </w:rPr>
      </w:pPr>
    </w:p>
    <w:p w14:paraId="73AA144E" w14:textId="77777777" w:rsidR="0063233B" w:rsidRPr="009A0DA6" w:rsidRDefault="0063233B" w:rsidP="0063233B">
      <w:pPr>
        <w:rPr>
          <w:rFonts w:ascii="Cambria" w:hAnsi="Cambria"/>
          <w:highlight w:val="magenta"/>
        </w:rPr>
      </w:pPr>
    </w:p>
    <w:p w14:paraId="660F1759" w14:textId="77777777" w:rsidR="0063233B" w:rsidRPr="009A0DA6" w:rsidRDefault="0063233B" w:rsidP="0063233B">
      <w:pPr>
        <w:rPr>
          <w:rFonts w:ascii="Cambria" w:hAnsi="Cambria"/>
          <w:highlight w:val="magenta"/>
        </w:rPr>
      </w:pPr>
    </w:p>
    <w:p w14:paraId="0192526E" w14:textId="6BFFAE9C" w:rsidR="0063233B" w:rsidRPr="009A0DA6" w:rsidRDefault="0063233B" w:rsidP="0063233B">
      <w:pPr>
        <w:jc w:val="right"/>
        <w:rPr>
          <w:rFonts w:ascii="Cambria" w:hAnsi="Cambria"/>
          <w:highlight w:val="magenta"/>
        </w:rPr>
      </w:pPr>
    </w:p>
    <w:p w14:paraId="4ADA8B7C" w14:textId="3D25F4C8" w:rsidR="0063233B" w:rsidRPr="009A0DA6" w:rsidRDefault="0063233B" w:rsidP="0063233B">
      <w:pPr>
        <w:rPr>
          <w:rFonts w:ascii="Cambria" w:hAnsi="Cambria"/>
          <w:highlight w:val="magenta"/>
        </w:rPr>
      </w:pPr>
    </w:p>
    <w:p w14:paraId="742C633C" w14:textId="77777777" w:rsidR="0063233B" w:rsidRPr="009A0DA6" w:rsidRDefault="0063233B" w:rsidP="0063233B">
      <w:pPr>
        <w:rPr>
          <w:rFonts w:ascii="Cambria" w:hAnsi="Cambria"/>
          <w:highlight w:val="magenta"/>
        </w:rPr>
        <w:sectPr w:rsidR="0063233B" w:rsidRPr="009A0DA6" w:rsidSect="0063233B">
          <w:footerReference w:type="even" r:id="rId15"/>
          <w:footerReference w:type="default" r:id="rId16"/>
          <w:pgSz w:w="11900" w:h="16840" w:code="9"/>
          <w:pgMar w:top="1134" w:right="1134" w:bottom="1134" w:left="2104" w:header="709" w:footer="1004" w:gutter="0"/>
          <w:pgNumType w:fmt="lowerRoman" w:start="1"/>
          <w:cols w:space="567"/>
          <w:docGrid w:linePitch="299"/>
        </w:sectPr>
      </w:pPr>
    </w:p>
    <w:p w14:paraId="577F7B0F" w14:textId="0FE10440" w:rsidR="000F6859" w:rsidRPr="009A0DA6" w:rsidRDefault="0063233B" w:rsidP="005D571C">
      <w:pPr>
        <w:pStyle w:val="Heading1"/>
      </w:pPr>
      <w:bookmarkStart w:id="3" w:name="_Toc521954580"/>
      <w:bookmarkStart w:id="4" w:name="_Toc522394946"/>
      <w:bookmarkStart w:id="5" w:name="_Hlk522191558"/>
      <w:r w:rsidRPr="009A0DA6">
        <w:lastRenderedPageBreak/>
        <w:t>E</w:t>
      </w:r>
      <w:r w:rsidR="000F6859" w:rsidRPr="009A0DA6">
        <w:t>xcerpts from the constitu</w:t>
      </w:r>
      <w:r w:rsidR="0037789C" w:rsidRPr="009A0DA6">
        <w:t>T</w:t>
      </w:r>
      <w:r w:rsidR="000F6859" w:rsidRPr="009A0DA6">
        <w:t xml:space="preserve">ion </w:t>
      </w:r>
      <w:r w:rsidR="00DA16F1" w:rsidRPr="009A0DA6">
        <w:br/>
      </w:r>
      <w:r w:rsidR="000F6859" w:rsidRPr="009A0DA6">
        <w:t>and by-laws</w:t>
      </w:r>
      <w:bookmarkEnd w:id="3"/>
      <w:bookmarkEnd w:id="4"/>
    </w:p>
    <w:p w14:paraId="50A0E01D" w14:textId="77777777" w:rsidR="000F6859" w:rsidRPr="009A0DA6" w:rsidRDefault="002C1425" w:rsidP="002C1425">
      <w:pPr>
        <w:pStyle w:val="Subtitle"/>
      </w:pPr>
      <w:r w:rsidRPr="009A0DA6">
        <w:t>with reference to the church and the pastorate</w:t>
      </w:r>
    </w:p>
    <w:p w14:paraId="46C2A76E" w14:textId="77777777" w:rsidR="00D21557" w:rsidRPr="009A0DA6" w:rsidRDefault="00D21557" w:rsidP="00D21557">
      <w:pPr>
        <w:pStyle w:val="NoSpacing"/>
      </w:pPr>
    </w:p>
    <w:p w14:paraId="349DFA35" w14:textId="77777777" w:rsidR="00D21557" w:rsidRPr="009A0DA6" w:rsidRDefault="00D21557" w:rsidP="00964A90">
      <w:pPr>
        <w:pStyle w:val="Heading3"/>
      </w:pPr>
      <w:r w:rsidRPr="009A0DA6">
        <w:t>Constitution</w:t>
      </w:r>
    </w:p>
    <w:p w14:paraId="7E392073" w14:textId="6D0ACF04" w:rsidR="00D21557" w:rsidRPr="009A0DA6" w:rsidRDefault="00D21557" w:rsidP="00D21557">
      <w:pPr>
        <w:pStyle w:val="NoSpacing"/>
        <w:jc w:val="center"/>
        <w:rPr>
          <w:b/>
        </w:rPr>
      </w:pPr>
      <w:r w:rsidRPr="009A0DA6">
        <w:rPr>
          <w:b/>
        </w:rPr>
        <w:t>ARTICLE 3</w:t>
      </w:r>
      <w:r w:rsidR="0027799A" w:rsidRPr="009A0DA6">
        <w:rPr>
          <w:b/>
        </w:rPr>
        <w:t xml:space="preserve">. </w:t>
      </w:r>
      <w:r w:rsidRPr="009A0DA6">
        <w:rPr>
          <w:b/>
        </w:rPr>
        <w:t>OBJECTS</w:t>
      </w:r>
    </w:p>
    <w:p w14:paraId="709ED5C2" w14:textId="77777777" w:rsidR="00D21557" w:rsidRPr="009A0DA6" w:rsidRDefault="00D21557" w:rsidP="00D21557">
      <w:pPr>
        <w:pStyle w:val="NoSpacing"/>
        <w:rPr>
          <w:b/>
          <w:sz w:val="10"/>
          <w:szCs w:val="10"/>
        </w:rPr>
      </w:pPr>
    </w:p>
    <w:p w14:paraId="187B6898" w14:textId="77777777" w:rsidR="00D21557" w:rsidRPr="009A0DA6" w:rsidRDefault="00D21557" w:rsidP="00D21557">
      <w:pPr>
        <w:pStyle w:val="NoSpacing"/>
        <w:tabs>
          <w:tab w:val="left" w:pos="567"/>
        </w:tabs>
      </w:pPr>
      <w:r w:rsidRPr="009A0DA6">
        <w:t>3.1</w:t>
      </w:r>
      <w:r w:rsidRPr="009A0DA6">
        <w:tab/>
        <w:t>The Objects of the Church are to</w:t>
      </w:r>
    </w:p>
    <w:p w14:paraId="7F04D42F" w14:textId="77777777" w:rsidR="003F5E80" w:rsidRPr="009A0DA6" w:rsidRDefault="00D21557" w:rsidP="00D21557">
      <w:pPr>
        <w:pStyle w:val="NoSpacing"/>
        <w:tabs>
          <w:tab w:val="left" w:pos="1418"/>
        </w:tabs>
        <w:ind w:left="1418" w:hanging="851"/>
      </w:pPr>
      <w:r w:rsidRPr="009A0DA6">
        <w:t>3.1.1</w:t>
      </w:r>
      <w:r w:rsidRPr="009A0DA6">
        <w:tab/>
        <w:t>fulfil the mission of the Christian Church in the world by proclaiming the Word of God and administering the Sacraments in accordance with the Confession of the Church laid d</w:t>
      </w:r>
      <w:r w:rsidR="003F5E80" w:rsidRPr="009A0DA6">
        <w:t>own in the preceding Article 2;</w:t>
      </w:r>
    </w:p>
    <w:p w14:paraId="498879E1" w14:textId="5FE8C437" w:rsidR="00D21557" w:rsidRPr="009A0DA6" w:rsidRDefault="00D21557" w:rsidP="00D21557">
      <w:pPr>
        <w:pStyle w:val="NoSpacing"/>
        <w:tabs>
          <w:tab w:val="left" w:pos="1418"/>
        </w:tabs>
        <w:ind w:left="1418" w:hanging="851"/>
        <w:rPr>
          <w:sz w:val="10"/>
          <w:szCs w:val="10"/>
        </w:rPr>
      </w:pPr>
      <w:r w:rsidRPr="009A0DA6">
        <w:t>3.1.2</w:t>
      </w:r>
      <w:r w:rsidRPr="009A0DA6">
        <w:tab/>
        <w:t>unite in one body Evangelical Lutheran congregations in Australia and New Zealand for the mor</w:t>
      </w:r>
      <w:r w:rsidR="003F5E80" w:rsidRPr="009A0DA6">
        <w:t>e effective work of the Church;</w:t>
      </w:r>
    </w:p>
    <w:p w14:paraId="13B88F59" w14:textId="5E578F45" w:rsidR="00D21557" w:rsidRPr="009A0DA6" w:rsidRDefault="00D21557" w:rsidP="00D21557">
      <w:pPr>
        <w:pStyle w:val="NoSpacing"/>
        <w:tabs>
          <w:tab w:val="left" w:pos="1418"/>
        </w:tabs>
        <w:ind w:left="1418" w:hanging="851"/>
        <w:rPr>
          <w:sz w:val="10"/>
          <w:szCs w:val="10"/>
        </w:rPr>
      </w:pPr>
      <w:r w:rsidRPr="009A0DA6">
        <w:t>3.1.3</w:t>
      </w:r>
      <w:r w:rsidRPr="009A0DA6">
        <w:tab/>
        <w:t>promote and maintain true Christ</w:t>
      </w:r>
      <w:r w:rsidR="003F5E80" w:rsidRPr="009A0DA6">
        <w:t>ian unity in the bond of peace;</w:t>
      </w:r>
    </w:p>
    <w:p w14:paraId="2A5FFE4F" w14:textId="4EDCEC9F" w:rsidR="00D21557" w:rsidRPr="009A0DA6" w:rsidRDefault="003F5E80" w:rsidP="00D21557">
      <w:pPr>
        <w:pStyle w:val="NoSpacing"/>
        <w:tabs>
          <w:tab w:val="left" w:pos="1418"/>
        </w:tabs>
        <w:ind w:left="1418" w:hanging="851"/>
        <w:rPr>
          <w:sz w:val="10"/>
          <w:szCs w:val="10"/>
        </w:rPr>
      </w:pPr>
      <w:r w:rsidRPr="009A0DA6">
        <w:t>3.1.4</w:t>
      </w:r>
      <w:r w:rsidRPr="009A0DA6">
        <w:tab/>
        <w:t>e</w:t>
      </w:r>
      <w:r w:rsidR="00D21557" w:rsidRPr="009A0DA6">
        <w:t>nsure that preaching, teaching and practice in the Church are in conformity wit</w:t>
      </w:r>
      <w:r w:rsidRPr="009A0DA6">
        <w:t>h the Confession of the Church;</w:t>
      </w:r>
    </w:p>
    <w:p w14:paraId="3FABE049" w14:textId="039981D4" w:rsidR="00D21557" w:rsidRPr="009A0DA6" w:rsidRDefault="00D21557" w:rsidP="00D21557">
      <w:pPr>
        <w:pStyle w:val="NoSpacing"/>
        <w:tabs>
          <w:tab w:val="left" w:pos="1418"/>
        </w:tabs>
        <w:ind w:left="1418" w:hanging="851"/>
        <w:rPr>
          <w:sz w:val="10"/>
          <w:szCs w:val="10"/>
        </w:rPr>
      </w:pPr>
      <w:r w:rsidRPr="009A0DA6">
        <w:t>3.1.5</w:t>
      </w:r>
      <w:r w:rsidRPr="009A0DA6">
        <w:tab/>
        <w:t>provide pastors and teachers and other church workers for service in the Church and its congregations, and for this purpose to establish and maintain i</w:t>
      </w:r>
      <w:r w:rsidR="003F5E80" w:rsidRPr="009A0DA6">
        <w:t>nstitutions for their training;</w:t>
      </w:r>
    </w:p>
    <w:p w14:paraId="7C2227B2" w14:textId="7908E965" w:rsidR="00D21557" w:rsidRPr="009A0DA6" w:rsidRDefault="00D21557" w:rsidP="003F5E80">
      <w:pPr>
        <w:pStyle w:val="NoSpacing"/>
        <w:tabs>
          <w:tab w:val="left" w:pos="1418"/>
        </w:tabs>
        <w:ind w:left="1418" w:hanging="851"/>
      </w:pPr>
      <w:r w:rsidRPr="009A0DA6">
        <w:t>3.1.6</w:t>
      </w:r>
      <w:r w:rsidRPr="009A0DA6">
        <w:tab/>
        <w:t>encourage every congregation to carry out its mission to its local commu</w:t>
      </w:r>
      <w:r w:rsidR="003F5E80" w:rsidRPr="009A0DA6">
        <w:t>nity;</w:t>
      </w:r>
    </w:p>
    <w:p w14:paraId="4559D013" w14:textId="10F6964B" w:rsidR="00D21557" w:rsidRPr="009A0DA6" w:rsidRDefault="00D21557" w:rsidP="00D21557">
      <w:pPr>
        <w:pStyle w:val="NoSpacing"/>
        <w:tabs>
          <w:tab w:val="left" w:pos="1418"/>
        </w:tabs>
        <w:ind w:left="1418" w:hanging="851"/>
        <w:rPr>
          <w:sz w:val="10"/>
          <w:szCs w:val="10"/>
        </w:rPr>
      </w:pPr>
      <w:r w:rsidRPr="009A0DA6">
        <w:t>3.1.7</w:t>
      </w:r>
      <w:r w:rsidRPr="009A0DA6">
        <w:tab/>
        <w:t>establish, develop and support new congregations where it is not possible for ind</w:t>
      </w:r>
      <w:r w:rsidR="003F5E80" w:rsidRPr="009A0DA6">
        <w:t>ividual congregations to do so;</w:t>
      </w:r>
    </w:p>
    <w:p w14:paraId="21903ED9" w14:textId="4705B5B3" w:rsidR="00D21557" w:rsidRPr="009A0DA6" w:rsidRDefault="00D21557" w:rsidP="00D21557">
      <w:pPr>
        <w:pStyle w:val="NoSpacing"/>
        <w:tabs>
          <w:tab w:val="left" w:pos="1418"/>
        </w:tabs>
        <w:ind w:left="1418" w:hanging="851"/>
        <w:rPr>
          <w:sz w:val="10"/>
          <w:szCs w:val="10"/>
        </w:rPr>
      </w:pPr>
      <w:r w:rsidRPr="009A0DA6">
        <w:t>3.1.8</w:t>
      </w:r>
      <w:r w:rsidRPr="009A0DA6">
        <w:tab/>
        <w:t>support and cooperate with selected churches in other lands as they s</w:t>
      </w:r>
      <w:r w:rsidR="003F5E80" w:rsidRPr="009A0DA6">
        <w:t>eek to carry out their mission;</w:t>
      </w:r>
    </w:p>
    <w:p w14:paraId="35C7CB6C" w14:textId="55544F72" w:rsidR="00D21557" w:rsidRPr="009A0DA6" w:rsidRDefault="00D21557" w:rsidP="00D21557">
      <w:pPr>
        <w:pStyle w:val="NoSpacing"/>
        <w:tabs>
          <w:tab w:val="left" w:pos="1418"/>
        </w:tabs>
        <w:ind w:left="1418" w:hanging="851"/>
        <w:rPr>
          <w:sz w:val="10"/>
          <w:szCs w:val="10"/>
        </w:rPr>
      </w:pPr>
      <w:r w:rsidRPr="009A0DA6">
        <w:t>3.1.9</w:t>
      </w:r>
      <w:r w:rsidRPr="009A0DA6">
        <w:tab/>
        <w:t>dialogue with o</w:t>
      </w:r>
      <w:r w:rsidR="003F5E80" w:rsidRPr="009A0DA6">
        <w:t>ther Christian church bodies;</w:t>
      </w:r>
    </w:p>
    <w:p w14:paraId="4CD3B7BD" w14:textId="1390F953" w:rsidR="00D21557" w:rsidRPr="009A0DA6" w:rsidRDefault="003F5E80" w:rsidP="00D21557">
      <w:pPr>
        <w:pStyle w:val="NoSpacing"/>
        <w:tabs>
          <w:tab w:val="left" w:pos="1418"/>
        </w:tabs>
        <w:ind w:left="1418" w:hanging="851"/>
        <w:rPr>
          <w:sz w:val="10"/>
          <w:szCs w:val="10"/>
        </w:rPr>
      </w:pPr>
      <w:r w:rsidRPr="009A0DA6">
        <w:t>3.1.10</w:t>
      </w:r>
      <w:r w:rsidRPr="009A0DA6">
        <w:tab/>
        <w:t>es</w:t>
      </w:r>
      <w:r w:rsidR="00D21557" w:rsidRPr="009A0DA6">
        <w:t>tablish and maintain schools and other institutions and to foster all other means whereby the members of the congregatio</w:t>
      </w:r>
      <w:r w:rsidRPr="009A0DA6">
        <w:t>ns receive Christian education;</w:t>
      </w:r>
    </w:p>
    <w:p w14:paraId="713CAEC4" w14:textId="5BE755BA" w:rsidR="00D21557" w:rsidRPr="009A0DA6" w:rsidRDefault="00D21557" w:rsidP="00D21557">
      <w:pPr>
        <w:pStyle w:val="NoSpacing"/>
        <w:tabs>
          <w:tab w:val="left" w:pos="1418"/>
        </w:tabs>
        <w:ind w:left="1418" w:hanging="851"/>
        <w:rPr>
          <w:sz w:val="10"/>
          <w:szCs w:val="10"/>
        </w:rPr>
      </w:pPr>
      <w:r w:rsidRPr="009A0DA6">
        <w:t>3.1.11</w:t>
      </w:r>
      <w:r w:rsidRPr="009A0DA6">
        <w:tab/>
        <w:t>cultivate uniformity in worship, ecclesiastical practice and customs in accord with the principles laid down in Articl</w:t>
      </w:r>
      <w:r w:rsidR="003F5E80" w:rsidRPr="009A0DA6">
        <w:t>e X. of the Formula of Concord;</w:t>
      </w:r>
    </w:p>
    <w:p w14:paraId="40097EA1" w14:textId="61D77EC8" w:rsidR="00D21557" w:rsidRPr="009A0DA6" w:rsidRDefault="00D21557" w:rsidP="00D21557">
      <w:pPr>
        <w:pStyle w:val="NoSpacing"/>
        <w:tabs>
          <w:tab w:val="left" w:pos="1418"/>
        </w:tabs>
        <w:ind w:left="1418" w:hanging="851"/>
        <w:rPr>
          <w:sz w:val="10"/>
          <w:szCs w:val="10"/>
        </w:rPr>
      </w:pPr>
      <w:r w:rsidRPr="009A0DA6">
        <w:t>3.1.12</w:t>
      </w:r>
      <w:r w:rsidRPr="009A0DA6">
        <w:tab/>
        <w:t>publish, procure, and distribute literature compatible with the Confessio</w:t>
      </w:r>
      <w:r w:rsidR="003F5E80" w:rsidRPr="009A0DA6">
        <w:t>n and principles of the Church;</w:t>
      </w:r>
    </w:p>
    <w:p w14:paraId="474BAFD8" w14:textId="41CFC946" w:rsidR="00D21557" w:rsidRPr="009A0DA6" w:rsidRDefault="00D21557" w:rsidP="00D21557">
      <w:pPr>
        <w:pStyle w:val="NoSpacing"/>
        <w:tabs>
          <w:tab w:val="left" w:pos="1418"/>
        </w:tabs>
        <w:ind w:left="1418" w:hanging="851"/>
        <w:rPr>
          <w:sz w:val="10"/>
          <w:szCs w:val="10"/>
        </w:rPr>
      </w:pPr>
      <w:r w:rsidRPr="009A0DA6">
        <w:t>3.1.13</w:t>
      </w:r>
      <w:r w:rsidRPr="009A0DA6">
        <w:tab/>
        <w:t>minister to human need in the name of Jesus Christ our Lord in the spirit of Christian love and service, and to provide institutions and</w:t>
      </w:r>
      <w:r w:rsidR="003F5E80" w:rsidRPr="009A0DA6">
        <w:t xml:space="preserve"> agencies for this purpose; and</w:t>
      </w:r>
    </w:p>
    <w:p w14:paraId="3DA5C4A4" w14:textId="77777777" w:rsidR="00D21557" w:rsidRPr="009A0DA6" w:rsidRDefault="00D21557" w:rsidP="00D21557">
      <w:pPr>
        <w:pStyle w:val="NoSpacing"/>
        <w:tabs>
          <w:tab w:val="left" w:pos="1418"/>
        </w:tabs>
        <w:ind w:left="1418" w:hanging="851"/>
      </w:pPr>
      <w:r w:rsidRPr="009A0DA6">
        <w:t>3.1.14</w:t>
      </w:r>
      <w:r w:rsidRPr="009A0DA6">
        <w:tab/>
        <w:t>take such action as is necessary for the protection of the congregations, pastors, teachers and other church workers in the performance of their duties and the maintenance of their rights.</w:t>
      </w:r>
    </w:p>
    <w:p w14:paraId="1B7592E2" w14:textId="77777777" w:rsidR="00D21557" w:rsidRPr="009A0DA6" w:rsidRDefault="00D21557" w:rsidP="00D21557">
      <w:pPr>
        <w:pStyle w:val="NoSpacing"/>
      </w:pPr>
    </w:p>
    <w:p w14:paraId="0890B0A3" w14:textId="7867B0E3" w:rsidR="00D21557" w:rsidRPr="009A0DA6" w:rsidRDefault="00D21557" w:rsidP="00D21557">
      <w:pPr>
        <w:pStyle w:val="NoSpacing"/>
        <w:jc w:val="center"/>
        <w:rPr>
          <w:b/>
        </w:rPr>
      </w:pPr>
      <w:r w:rsidRPr="009A0DA6">
        <w:rPr>
          <w:b/>
        </w:rPr>
        <w:t>ARTICLE 9</w:t>
      </w:r>
      <w:r w:rsidR="0027799A" w:rsidRPr="009A0DA6">
        <w:rPr>
          <w:b/>
        </w:rPr>
        <w:t xml:space="preserve">. </w:t>
      </w:r>
      <w:r w:rsidRPr="009A0DA6">
        <w:rPr>
          <w:b/>
        </w:rPr>
        <w:t>DISTRICTS</w:t>
      </w:r>
    </w:p>
    <w:p w14:paraId="31D50A19" w14:textId="77777777" w:rsidR="00D21557" w:rsidRPr="009A0DA6" w:rsidRDefault="00D21557" w:rsidP="00D21557">
      <w:pPr>
        <w:pStyle w:val="NoSpacing"/>
        <w:rPr>
          <w:sz w:val="10"/>
          <w:szCs w:val="10"/>
        </w:rPr>
      </w:pPr>
    </w:p>
    <w:p w14:paraId="54F1335A" w14:textId="5C293612" w:rsidR="00D21557" w:rsidRPr="009A0DA6" w:rsidRDefault="00D21557" w:rsidP="00D21557">
      <w:pPr>
        <w:pStyle w:val="NoSpacing"/>
        <w:ind w:left="567" w:hanging="567"/>
      </w:pPr>
      <w:r w:rsidRPr="009A0DA6">
        <w:t>9.1</w:t>
      </w:r>
      <w:r w:rsidRPr="009A0DA6">
        <w:tab/>
        <w:t>For the promotion of its Objects by its members in prescribed geographical areas, the Church shall be divided into Districts</w:t>
      </w:r>
      <w:r w:rsidR="0027799A" w:rsidRPr="009A0DA6">
        <w:t xml:space="preserve">. </w:t>
      </w:r>
      <w:r w:rsidRPr="009A0DA6">
        <w:t>The number and the boundaries of the Districts shall be determined by the Church in consultation, and by agreement, with the Districts concerned and be defined in the By-laws.</w:t>
      </w:r>
    </w:p>
    <w:p w14:paraId="444BEE78" w14:textId="77777777" w:rsidR="00D21557" w:rsidRPr="009A0DA6" w:rsidRDefault="00D21557" w:rsidP="00D21557">
      <w:pPr>
        <w:pStyle w:val="NoSpacing"/>
      </w:pPr>
    </w:p>
    <w:p w14:paraId="55DAABDC" w14:textId="77777777" w:rsidR="00DA16F1" w:rsidRPr="009A0DA6" w:rsidRDefault="00DA16F1">
      <w:pPr>
        <w:rPr>
          <w:rFonts w:ascii="Cambria" w:eastAsiaTheme="majorEastAsia" w:hAnsi="Cambria" w:cstheme="majorBidi"/>
          <w:b/>
          <w:caps/>
          <w:sz w:val="28"/>
          <w:szCs w:val="24"/>
        </w:rPr>
      </w:pPr>
      <w:r w:rsidRPr="009A0DA6">
        <w:rPr>
          <w:rFonts w:ascii="Cambria" w:hAnsi="Cambria"/>
        </w:rPr>
        <w:br w:type="page"/>
      </w:r>
    </w:p>
    <w:p w14:paraId="30084537" w14:textId="466CC552" w:rsidR="00D21557" w:rsidRPr="009A0DA6" w:rsidRDefault="00D21557" w:rsidP="00964A90">
      <w:pPr>
        <w:pStyle w:val="Heading3"/>
      </w:pPr>
      <w:r w:rsidRPr="009A0DA6">
        <w:lastRenderedPageBreak/>
        <w:t>BY-LAWS</w:t>
      </w:r>
    </w:p>
    <w:p w14:paraId="5E05651A" w14:textId="241AA9E6" w:rsidR="00D21557" w:rsidRPr="009A0DA6" w:rsidRDefault="00DA16F1" w:rsidP="00D21557">
      <w:pPr>
        <w:pStyle w:val="NoSpacing"/>
        <w:jc w:val="center"/>
        <w:rPr>
          <w:b/>
        </w:rPr>
      </w:pPr>
      <w:r w:rsidRPr="009A0DA6">
        <w:rPr>
          <w:b/>
        </w:rPr>
        <w:t xml:space="preserve">SECTION 5.4 CALLS AND </w:t>
      </w:r>
      <w:r w:rsidR="00D21557" w:rsidRPr="009A0DA6">
        <w:rPr>
          <w:b/>
        </w:rPr>
        <w:t>TRANSFERS</w:t>
      </w:r>
    </w:p>
    <w:p w14:paraId="10046BF1" w14:textId="77777777" w:rsidR="00D21557" w:rsidRPr="009A0DA6" w:rsidRDefault="00D21557" w:rsidP="00D21557">
      <w:pPr>
        <w:pStyle w:val="NoSpacing"/>
        <w:rPr>
          <w:sz w:val="10"/>
          <w:szCs w:val="10"/>
        </w:rPr>
      </w:pPr>
    </w:p>
    <w:p w14:paraId="14ADB9B2" w14:textId="77777777" w:rsidR="00D21557" w:rsidRPr="009A0DA6" w:rsidRDefault="00D21557" w:rsidP="00D21557">
      <w:pPr>
        <w:pStyle w:val="NoSpacing"/>
        <w:rPr>
          <w:b/>
        </w:rPr>
      </w:pPr>
      <w:r w:rsidRPr="009A0DA6">
        <w:rPr>
          <w:b/>
        </w:rPr>
        <w:t>PREAMBLE (EXCERPT)</w:t>
      </w:r>
    </w:p>
    <w:p w14:paraId="67B99D88" w14:textId="77777777" w:rsidR="00D21557" w:rsidRPr="009A0DA6" w:rsidRDefault="00D21557" w:rsidP="00D21557">
      <w:pPr>
        <w:pStyle w:val="NoSpacing"/>
        <w:rPr>
          <w:sz w:val="10"/>
          <w:szCs w:val="10"/>
        </w:rPr>
      </w:pPr>
    </w:p>
    <w:p w14:paraId="56DD4944" w14:textId="7B1C3B34" w:rsidR="00D21557" w:rsidRPr="00F817BE" w:rsidRDefault="00D21557" w:rsidP="00D21557">
      <w:pPr>
        <w:pStyle w:val="NoSpacing"/>
        <w:ind w:left="567" w:hanging="567"/>
      </w:pPr>
      <w:r w:rsidRPr="009A0DA6">
        <w:t>5.4.1</w:t>
      </w:r>
      <w:r w:rsidRPr="009A0DA6">
        <w:tab/>
      </w:r>
      <w:r w:rsidR="009E4431" w:rsidRPr="00F817BE">
        <w:t>…</w:t>
      </w:r>
      <w:r w:rsidRPr="00F817BE">
        <w:t xml:space="preserve"> the New Testament ministry is the office instituted by Christ for the public administration of the means of grace, that is, the preaching of the Gospel and the administering of the Sacraments, through which as through instruments the Holy Spirit works saving faith in the hearts of people (Matthew 10;  Matthew 28:18</w:t>
      </w:r>
      <w:r w:rsidRPr="00F817BE">
        <w:sym w:font="Symbol" w:char="F02D"/>
      </w:r>
      <w:r w:rsidRPr="00F817BE">
        <w:t>20;  Luke 9:1</w:t>
      </w:r>
      <w:r w:rsidRPr="00F817BE">
        <w:sym w:font="Symbol" w:char="F02D"/>
      </w:r>
      <w:r w:rsidRPr="00F817BE">
        <w:t>2;  1 Corinthians 3:5</w:t>
      </w:r>
      <w:r w:rsidRPr="00F817BE">
        <w:sym w:font="Symbol" w:char="F02D"/>
      </w:r>
      <w:r w:rsidRPr="00F817BE">
        <w:t>7;  2 Corinthians 3:5</w:t>
      </w:r>
      <w:r w:rsidRPr="00F817BE">
        <w:sym w:font="Symbol" w:char="F02D"/>
      </w:r>
      <w:r w:rsidRPr="00F817BE">
        <w:t>8;  Augsburg Confession V;  Formula Concordiae,  Solida Declaratio XI. 29)</w:t>
      </w:r>
      <w:r w:rsidR="009E4431" w:rsidRPr="00F817BE">
        <w:t xml:space="preserve"> …</w:t>
      </w:r>
    </w:p>
    <w:p w14:paraId="02508DE6" w14:textId="77777777" w:rsidR="00D21557" w:rsidRPr="00F817BE" w:rsidRDefault="00D21557" w:rsidP="00D21557">
      <w:pPr>
        <w:pStyle w:val="NoSpacing"/>
        <w:rPr>
          <w:sz w:val="10"/>
          <w:szCs w:val="10"/>
        </w:rPr>
      </w:pPr>
      <w:r w:rsidRPr="00F817BE">
        <w:rPr>
          <w:sz w:val="10"/>
          <w:szCs w:val="10"/>
        </w:rPr>
        <w:tab/>
      </w:r>
    </w:p>
    <w:p w14:paraId="67605C03" w14:textId="19B7A303" w:rsidR="00D21557" w:rsidRPr="00F817BE" w:rsidRDefault="00F817BE" w:rsidP="00DA16F1">
      <w:pPr>
        <w:pStyle w:val="NoSpacing"/>
        <w:ind w:left="567"/>
      </w:pPr>
      <w:r w:rsidRPr="00F817BE">
        <w:t xml:space="preserve">… </w:t>
      </w:r>
      <w:r w:rsidR="00D21557" w:rsidRPr="00F817BE">
        <w:t xml:space="preserve"> the office of the ministry is not a human institution but one instituted by God (2 Corinthians 5:18</w:t>
      </w:r>
      <w:r w:rsidR="00D21557" w:rsidRPr="00F817BE">
        <w:sym w:font="Symbol" w:char="F02D"/>
      </w:r>
      <w:r w:rsidR="003F5E80" w:rsidRPr="00F817BE">
        <w:t xml:space="preserve">20; Ephesians 4:11; Acts 20:28; </w:t>
      </w:r>
      <w:r w:rsidR="00D21557" w:rsidRPr="00F817BE">
        <w:t>Apology XIII. 11);</w:t>
      </w:r>
    </w:p>
    <w:p w14:paraId="76B6C66A" w14:textId="77777777" w:rsidR="00D21557" w:rsidRPr="00F817BE" w:rsidRDefault="00D21557" w:rsidP="00DA16F1">
      <w:pPr>
        <w:pStyle w:val="NoSpacing"/>
        <w:ind w:left="567"/>
        <w:rPr>
          <w:sz w:val="10"/>
          <w:szCs w:val="10"/>
        </w:rPr>
      </w:pPr>
      <w:r w:rsidRPr="00F817BE">
        <w:rPr>
          <w:sz w:val="10"/>
          <w:szCs w:val="10"/>
        </w:rPr>
        <w:tab/>
      </w:r>
    </w:p>
    <w:p w14:paraId="5CE6D3DB" w14:textId="1DDA77FA" w:rsidR="00D21557" w:rsidRPr="00F817BE" w:rsidRDefault="00F817BE" w:rsidP="00DA16F1">
      <w:pPr>
        <w:pStyle w:val="NoSpacing"/>
        <w:ind w:left="567"/>
      </w:pPr>
      <w:r w:rsidRPr="00F817BE">
        <w:t>…</w:t>
      </w:r>
      <w:r w:rsidR="00D21557" w:rsidRPr="00F817BE">
        <w:t xml:space="preserve"> the procedures connected with calls and transfers shall serve, under the guidance of the Holy Spirit, towards the fulfilment of the divine promise: ‘And I will give you shepherds after my own heart who shall feed you with knowledge and understanding’ (Jeremiah 3:15);</w:t>
      </w:r>
    </w:p>
    <w:p w14:paraId="1E5A626F" w14:textId="77777777" w:rsidR="00D21557" w:rsidRPr="00F817BE" w:rsidRDefault="00D21557" w:rsidP="00DA16F1">
      <w:pPr>
        <w:pStyle w:val="NoSpacing"/>
        <w:ind w:left="567"/>
        <w:rPr>
          <w:sz w:val="10"/>
          <w:szCs w:val="10"/>
        </w:rPr>
      </w:pPr>
      <w:r w:rsidRPr="00F817BE">
        <w:rPr>
          <w:sz w:val="10"/>
          <w:szCs w:val="10"/>
        </w:rPr>
        <w:tab/>
      </w:r>
    </w:p>
    <w:p w14:paraId="0C7F090E" w14:textId="249102ED" w:rsidR="00D21557" w:rsidRPr="009A0DA6" w:rsidRDefault="00F817BE" w:rsidP="00DA16F1">
      <w:pPr>
        <w:pStyle w:val="NoSpacing"/>
        <w:ind w:left="567"/>
      </w:pPr>
      <w:r w:rsidRPr="00F817BE">
        <w:t>…</w:t>
      </w:r>
      <w:r w:rsidR="00D21557" w:rsidRPr="00F817BE">
        <w:t xml:space="preserve"> the calling of a pastor is not comparable with the purely secular procedures of employer and employee, but the acceptance of a call establishes a personal, spiritual, and sacred relationship between shepherd and flock in the </w:t>
      </w:r>
      <w:r w:rsidRPr="00F817BE">
        <w:t>Church of our Lord Jesus Christ …</w:t>
      </w:r>
    </w:p>
    <w:p w14:paraId="008B1191" w14:textId="77777777" w:rsidR="00D21557" w:rsidRPr="009A0DA6" w:rsidRDefault="00D21557" w:rsidP="00D21557">
      <w:pPr>
        <w:pStyle w:val="NoSpacing"/>
      </w:pPr>
    </w:p>
    <w:p w14:paraId="722D92FB" w14:textId="1D822F56" w:rsidR="00D21557" w:rsidRPr="009A0DA6" w:rsidRDefault="00DA16F1" w:rsidP="00593002">
      <w:pPr>
        <w:pStyle w:val="NoSpacing"/>
        <w:jc w:val="center"/>
        <w:rPr>
          <w:b/>
        </w:rPr>
      </w:pPr>
      <w:r w:rsidRPr="009A0DA6">
        <w:rPr>
          <w:b/>
        </w:rPr>
        <w:t xml:space="preserve">SECTION 8.2 </w:t>
      </w:r>
      <w:r w:rsidR="00D21557" w:rsidRPr="009A0DA6">
        <w:rPr>
          <w:b/>
        </w:rPr>
        <w:t>OFFICIALS</w:t>
      </w:r>
    </w:p>
    <w:p w14:paraId="596CA6F0" w14:textId="77777777" w:rsidR="00593002" w:rsidRPr="009A0DA6" w:rsidRDefault="00593002" w:rsidP="00D21557">
      <w:pPr>
        <w:pStyle w:val="NoSpacing"/>
        <w:rPr>
          <w:sz w:val="10"/>
          <w:szCs w:val="10"/>
        </w:rPr>
      </w:pPr>
    </w:p>
    <w:p w14:paraId="384D1F07" w14:textId="77777777" w:rsidR="00D21557" w:rsidRPr="009A0DA6" w:rsidRDefault="00593002" w:rsidP="00D21557">
      <w:pPr>
        <w:pStyle w:val="NoSpacing"/>
        <w:rPr>
          <w:b/>
        </w:rPr>
      </w:pPr>
      <w:r w:rsidRPr="009A0DA6">
        <w:rPr>
          <w:b/>
        </w:rPr>
        <w:t>OFFICIALS</w:t>
      </w:r>
    </w:p>
    <w:p w14:paraId="01AC2138" w14:textId="77777777" w:rsidR="00593002" w:rsidRPr="009A0DA6" w:rsidRDefault="00593002" w:rsidP="00D21557">
      <w:pPr>
        <w:pStyle w:val="NoSpacing"/>
        <w:rPr>
          <w:b/>
          <w:sz w:val="10"/>
          <w:szCs w:val="10"/>
        </w:rPr>
      </w:pPr>
    </w:p>
    <w:p w14:paraId="4383145F" w14:textId="77777777" w:rsidR="00D21557" w:rsidRPr="009A0DA6" w:rsidRDefault="00D21557" w:rsidP="00593002">
      <w:pPr>
        <w:pStyle w:val="NoSpacing"/>
        <w:tabs>
          <w:tab w:val="left" w:pos="567"/>
        </w:tabs>
        <w:ind w:left="567" w:hanging="567"/>
      </w:pPr>
      <w:r w:rsidRPr="009A0DA6">
        <w:t>8.2.1</w:t>
      </w:r>
      <w:r w:rsidRPr="009A0DA6">
        <w:tab/>
        <w:t>The Bishop</w:t>
      </w:r>
    </w:p>
    <w:p w14:paraId="16B14EBE" w14:textId="77777777" w:rsidR="00593002" w:rsidRPr="009A0DA6" w:rsidRDefault="00593002" w:rsidP="00593002">
      <w:pPr>
        <w:pStyle w:val="NoSpacing"/>
        <w:rPr>
          <w:b/>
          <w:sz w:val="10"/>
          <w:szCs w:val="10"/>
        </w:rPr>
      </w:pPr>
    </w:p>
    <w:p w14:paraId="00BF4AC9" w14:textId="530FDFA3" w:rsidR="00593002" w:rsidRPr="009A0DA6" w:rsidRDefault="00D21557" w:rsidP="003F5E80">
      <w:pPr>
        <w:pStyle w:val="NoSpacing"/>
        <w:ind w:left="1418" w:hanging="851"/>
      </w:pPr>
      <w:r w:rsidRPr="009A0DA6">
        <w:t>8.2.1.1</w:t>
      </w:r>
      <w:r w:rsidRPr="009A0DA6">
        <w:tab/>
        <w:t>The Bis</w:t>
      </w:r>
      <w:r w:rsidR="003F5E80" w:rsidRPr="009A0DA6">
        <w:t>hop by virtue of election shall</w:t>
      </w:r>
    </w:p>
    <w:p w14:paraId="45A4BC5D" w14:textId="5402A14E" w:rsidR="00593002" w:rsidRPr="009A0DA6" w:rsidRDefault="00D21557" w:rsidP="00593002">
      <w:pPr>
        <w:pStyle w:val="NoSpacing"/>
        <w:ind w:left="2552" w:hanging="1134"/>
        <w:rPr>
          <w:sz w:val="10"/>
        </w:rPr>
      </w:pPr>
      <w:r w:rsidRPr="009A0DA6">
        <w:t>8.2.1.1.1</w:t>
      </w:r>
      <w:r w:rsidRPr="009A0DA6">
        <w:tab/>
        <w:t>preach, teach and administer the Sacraments in accord with the Confession of the Church, exercising this ministry in congregations in consultation with the congregation and pastor concerned;</w:t>
      </w:r>
    </w:p>
    <w:p w14:paraId="5BDB103B" w14:textId="1CCBE201" w:rsidR="00593002" w:rsidRPr="009A0DA6" w:rsidRDefault="00D21557" w:rsidP="00593002">
      <w:pPr>
        <w:pStyle w:val="NoSpacing"/>
        <w:ind w:left="2552" w:hanging="1134"/>
        <w:rPr>
          <w:sz w:val="10"/>
        </w:rPr>
      </w:pPr>
      <w:r w:rsidRPr="009A0DA6">
        <w:t>8.2.1.1.2</w:t>
      </w:r>
      <w:r w:rsidRPr="009A0DA6">
        <w:tab/>
        <w:t>exercise oversight of the Church, promote its spiritual welfare and strive to preserve peace and order;</w:t>
      </w:r>
    </w:p>
    <w:p w14:paraId="7E0A8192" w14:textId="54042CF6" w:rsidR="00593002" w:rsidRPr="009A0DA6" w:rsidRDefault="00D21557" w:rsidP="00593002">
      <w:pPr>
        <w:pStyle w:val="NoSpacing"/>
        <w:ind w:left="2552" w:hanging="1134"/>
        <w:rPr>
          <w:sz w:val="10"/>
        </w:rPr>
      </w:pPr>
      <w:r w:rsidRPr="009A0DA6">
        <w:t>8.2.1.1.3</w:t>
      </w:r>
      <w:r w:rsidRPr="009A0DA6">
        <w:tab/>
        <w:t>exercise oversight over the doctrine and practice of all pastors and congregations of the Church, doing this in association with or through the respective Bishops of the Districts;</w:t>
      </w:r>
    </w:p>
    <w:p w14:paraId="7419AB95" w14:textId="3E7DD980" w:rsidR="00593002" w:rsidRPr="009A0DA6" w:rsidRDefault="00D21557" w:rsidP="00593002">
      <w:pPr>
        <w:pStyle w:val="NoSpacing"/>
        <w:ind w:left="2552" w:hanging="1134"/>
        <w:rPr>
          <w:sz w:val="10"/>
        </w:rPr>
      </w:pPr>
      <w:r w:rsidRPr="009A0DA6">
        <w:t>8.2.1.1.4</w:t>
      </w:r>
      <w:r w:rsidRPr="009A0DA6">
        <w:tab/>
        <w:t>exercise supervision over the doctrine, practice and official conduct of all officers of the Church, of all Bishops of the Districts and of all those who are elected or appointed by the Church;</w:t>
      </w:r>
    </w:p>
    <w:p w14:paraId="17D8628D" w14:textId="19EDED64" w:rsidR="00593002" w:rsidRPr="009A0DA6" w:rsidRDefault="00D21557" w:rsidP="00593002">
      <w:pPr>
        <w:pStyle w:val="NoSpacing"/>
        <w:ind w:left="2552" w:hanging="1134"/>
        <w:rPr>
          <w:sz w:val="10"/>
        </w:rPr>
      </w:pPr>
      <w:r w:rsidRPr="009A0DA6">
        <w:t>8.2.1.1.5</w:t>
      </w:r>
      <w:r w:rsidRPr="009A0DA6">
        <w:tab/>
        <w:t>ensure the pastoral care of the pastors of the Church in association with or through the respective Bishops of the Districts;</w:t>
      </w:r>
    </w:p>
    <w:p w14:paraId="63497298" w14:textId="66D9DA0F" w:rsidR="00593002" w:rsidRPr="009A0DA6" w:rsidRDefault="00D21557" w:rsidP="00593002">
      <w:pPr>
        <w:pStyle w:val="NoSpacing"/>
        <w:ind w:left="2552" w:hanging="1134"/>
        <w:rPr>
          <w:sz w:val="10"/>
        </w:rPr>
      </w:pPr>
      <w:r w:rsidRPr="009A0DA6">
        <w:t>8.2.1.1.6</w:t>
      </w:r>
      <w:r w:rsidRPr="009A0DA6">
        <w:tab/>
        <w:t>be the Official Visitor to Australian Lutheran College and as such, in fulfilment of this role, shall</w:t>
      </w:r>
    </w:p>
    <w:p w14:paraId="13BE13FA" w14:textId="6BE05530" w:rsidR="00593002" w:rsidRPr="009A0DA6" w:rsidRDefault="00D21557" w:rsidP="00593002">
      <w:pPr>
        <w:pStyle w:val="NoSpacing"/>
        <w:ind w:left="3686" w:hanging="1134"/>
        <w:rPr>
          <w:sz w:val="10"/>
        </w:rPr>
      </w:pPr>
      <w:r w:rsidRPr="009A0DA6">
        <w:t>8.2.1.1.6.1</w:t>
      </w:r>
      <w:r w:rsidRPr="009A0DA6">
        <w:tab/>
        <w:t>assure himself and thereby the Church that the teaching and practice of Australian Lutheran College is in accord with the public teaching and practice of the Church;</w:t>
      </w:r>
    </w:p>
    <w:p w14:paraId="7E1120BA" w14:textId="2C1E00EA" w:rsidR="00593002" w:rsidRPr="009A0DA6" w:rsidRDefault="00D21557" w:rsidP="00593002">
      <w:pPr>
        <w:pStyle w:val="NoSpacing"/>
        <w:ind w:left="3686" w:hanging="1134"/>
        <w:rPr>
          <w:sz w:val="10"/>
        </w:rPr>
      </w:pPr>
      <w:r w:rsidRPr="009A0DA6">
        <w:t>8.2.1.1.6.2</w:t>
      </w:r>
      <w:r w:rsidRPr="009A0DA6">
        <w:tab/>
        <w:t>be available to provide pastoral care to the Principal;  and</w:t>
      </w:r>
    </w:p>
    <w:p w14:paraId="722187A3" w14:textId="77777777" w:rsidR="00D21557" w:rsidRPr="009A0DA6" w:rsidRDefault="00D21557" w:rsidP="00593002">
      <w:pPr>
        <w:pStyle w:val="NoSpacing"/>
        <w:ind w:left="3686" w:hanging="1134"/>
      </w:pPr>
      <w:r w:rsidRPr="009A0DA6">
        <w:t>8.2.1.1.6.3</w:t>
      </w:r>
      <w:r w:rsidRPr="009A0DA6">
        <w:tab/>
        <w:t>satisfy himself that the appropriate pastoral care is available for the staff of Australian Lutheran College;</w:t>
      </w:r>
    </w:p>
    <w:p w14:paraId="1B127BEF" w14:textId="3D5B75FC" w:rsidR="00593002" w:rsidRPr="009A0DA6" w:rsidRDefault="00D21557" w:rsidP="00593002">
      <w:pPr>
        <w:pStyle w:val="NoSpacing"/>
        <w:ind w:left="2552" w:hanging="1134"/>
        <w:rPr>
          <w:sz w:val="10"/>
        </w:rPr>
      </w:pPr>
      <w:r w:rsidRPr="009A0DA6">
        <w:t>8.2.1.1.7</w:t>
      </w:r>
      <w:r w:rsidRPr="009A0DA6">
        <w:tab/>
        <w:t>ordain approved candidates for the Ministry and install Bishops of the Districts and all those elected or called to spiritual offices of the Church, other than the pastoral ministry;</w:t>
      </w:r>
    </w:p>
    <w:p w14:paraId="2F292FA1" w14:textId="7B6A1FBD" w:rsidR="00593002" w:rsidRPr="009A0DA6" w:rsidRDefault="00D21557" w:rsidP="00593002">
      <w:pPr>
        <w:pStyle w:val="NoSpacing"/>
        <w:ind w:left="2552" w:hanging="1134"/>
        <w:rPr>
          <w:sz w:val="10"/>
        </w:rPr>
      </w:pPr>
      <w:r w:rsidRPr="009A0DA6">
        <w:lastRenderedPageBreak/>
        <w:t>8.2.1.1.8</w:t>
      </w:r>
      <w:r w:rsidRPr="009A0DA6">
        <w:tab/>
        <w:t>arrange colloquies of persons seeking to enter the Ministry of the Church;</w:t>
      </w:r>
    </w:p>
    <w:p w14:paraId="5A1508FB" w14:textId="7BC00EF6" w:rsidR="00593002" w:rsidRPr="009A0DA6" w:rsidRDefault="00D21557" w:rsidP="00593002">
      <w:pPr>
        <w:pStyle w:val="NoSpacing"/>
        <w:ind w:left="2552" w:hanging="1134"/>
        <w:rPr>
          <w:sz w:val="10"/>
        </w:rPr>
      </w:pPr>
      <w:r w:rsidRPr="009A0DA6">
        <w:t>8.2.1.1.9</w:t>
      </w:r>
      <w:r w:rsidRPr="009A0DA6">
        <w:tab/>
        <w:t>officially represent the Church in relations with other church bodies and other agencies, unless these rights have been delegated by the Church to other persons;</w:t>
      </w:r>
    </w:p>
    <w:p w14:paraId="740668AF" w14:textId="46073E34" w:rsidR="00593002" w:rsidRPr="009A0DA6" w:rsidRDefault="00D21557" w:rsidP="00593002">
      <w:pPr>
        <w:pStyle w:val="NoSpacing"/>
        <w:ind w:left="2552" w:hanging="1134"/>
        <w:rPr>
          <w:sz w:val="10"/>
        </w:rPr>
      </w:pPr>
      <w:r w:rsidRPr="009A0DA6">
        <w:t>8.2.1.1.10</w:t>
      </w:r>
      <w:r w:rsidRPr="009A0DA6">
        <w:tab/>
        <w:t>preside over all conventions of the General Synod, submit the Report of the Bishop and supervise the execution of all synodical resolutions;</w:t>
      </w:r>
    </w:p>
    <w:p w14:paraId="34EB0A2B" w14:textId="15CCD842" w:rsidR="00593002" w:rsidRPr="009A0DA6" w:rsidRDefault="00D21557" w:rsidP="00593002">
      <w:pPr>
        <w:pStyle w:val="NoSpacing"/>
        <w:ind w:left="2552" w:hanging="1134"/>
        <w:rPr>
          <w:sz w:val="10"/>
        </w:rPr>
      </w:pPr>
      <w:r w:rsidRPr="009A0DA6">
        <w:t>8.2.1.1.11</w:t>
      </w:r>
      <w:r w:rsidRPr="009A0DA6">
        <w:tab/>
        <w:t>be present at the conventions of the Synods of the Districts, or appoint a deputy, and submit the Report of the Bishop;</w:t>
      </w:r>
    </w:p>
    <w:p w14:paraId="37F1F28E" w14:textId="509CE932" w:rsidR="00593002" w:rsidRPr="009A0DA6" w:rsidRDefault="00D21557" w:rsidP="00593002">
      <w:pPr>
        <w:pStyle w:val="NoSpacing"/>
        <w:ind w:left="2552" w:hanging="1134"/>
        <w:rPr>
          <w:sz w:val="10"/>
        </w:rPr>
      </w:pPr>
      <w:r w:rsidRPr="009A0DA6">
        <w:t>8.2.1.1.12</w:t>
      </w:r>
      <w:r w:rsidRPr="009A0DA6">
        <w:tab/>
        <w:t>call and preside over meetings of the General Church Council and its Executive and the College of Bishops;</w:t>
      </w:r>
    </w:p>
    <w:p w14:paraId="57F310BE" w14:textId="72F7C72B" w:rsidR="00593002" w:rsidRPr="009A0DA6" w:rsidRDefault="00D21557" w:rsidP="00593002">
      <w:pPr>
        <w:pStyle w:val="NoSpacing"/>
        <w:ind w:left="2552" w:hanging="1134"/>
        <w:rPr>
          <w:sz w:val="10"/>
        </w:rPr>
      </w:pPr>
      <w:r w:rsidRPr="009A0DA6">
        <w:t>8.2.1.1.13</w:t>
      </w:r>
      <w:r w:rsidRPr="009A0DA6">
        <w:tab/>
        <w:t>provide for the calling of pastors or any other church workers needed for the institutions and/or departments of the Church, unless such powers have been delegated by the Church to Boards, Councils or Commissions or other persons; and</w:t>
      </w:r>
    </w:p>
    <w:p w14:paraId="22D63D17" w14:textId="77777777" w:rsidR="00D21557" w:rsidRPr="009A0DA6" w:rsidRDefault="00D21557" w:rsidP="00593002">
      <w:pPr>
        <w:pStyle w:val="NoSpacing"/>
        <w:ind w:left="2552" w:hanging="1134"/>
      </w:pPr>
      <w:r w:rsidRPr="009A0DA6">
        <w:t>8.2.1.1.14</w:t>
      </w:r>
      <w:r w:rsidRPr="009A0DA6">
        <w:tab/>
        <w:t>be entitled to attend meetings of all the Boards, Councils, Departments, Standing Committees and Commissions of the Church and shall receive due notice of all meetings.</w:t>
      </w:r>
    </w:p>
    <w:p w14:paraId="5FDADB20" w14:textId="60A5EE6A" w:rsidR="00593002" w:rsidRPr="009A0DA6" w:rsidRDefault="00D21557" w:rsidP="00593002">
      <w:pPr>
        <w:pStyle w:val="NoSpacing"/>
        <w:ind w:left="1418" w:hanging="851"/>
        <w:rPr>
          <w:sz w:val="10"/>
        </w:rPr>
      </w:pPr>
      <w:r w:rsidRPr="009A0DA6">
        <w:t>8.2.1.2</w:t>
      </w:r>
      <w:r w:rsidRPr="009A0DA6">
        <w:tab/>
        <w:t>The Bishop may appoint the Assistant Bishop, the Secretary or another person to act as the Bishop's deputy.</w:t>
      </w:r>
    </w:p>
    <w:p w14:paraId="6A1538E2" w14:textId="305310C5" w:rsidR="00D21557" w:rsidRPr="009A0DA6" w:rsidRDefault="00593002" w:rsidP="00593002">
      <w:pPr>
        <w:pStyle w:val="NoSpacing"/>
        <w:tabs>
          <w:tab w:val="left" w:pos="2552"/>
        </w:tabs>
        <w:ind w:left="1440" w:hanging="855"/>
        <w:rPr>
          <w:sz w:val="10"/>
        </w:rPr>
      </w:pPr>
      <w:r w:rsidRPr="009A0DA6">
        <w:t>8.2.1.3</w:t>
      </w:r>
      <w:r w:rsidRPr="009A0DA6">
        <w:tab/>
        <w:t>8.2.1.3.1</w:t>
      </w:r>
      <w:r w:rsidRPr="009A0DA6">
        <w:tab/>
      </w:r>
      <w:r w:rsidR="00D21557" w:rsidRPr="009A0DA6">
        <w:t xml:space="preserve">A Bishop-elect shall normally assume office three [3] </w:t>
      </w:r>
      <w:r w:rsidRPr="009A0DA6">
        <w:t xml:space="preserve">months  </w:t>
      </w:r>
      <w:r w:rsidRPr="009A0DA6">
        <w:br/>
        <w:t xml:space="preserve">                       </w:t>
      </w:r>
      <w:r w:rsidR="00D21557" w:rsidRPr="009A0DA6">
        <w:t>after being elected.</w:t>
      </w:r>
    </w:p>
    <w:p w14:paraId="4B342346" w14:textId="74134372" w:rsidR="00D21557" w:rsidRPr="009A0DA6" w:rsidRDefault="00593002" w:rsidP="00593002">
      <w:pPr>
        <w:pStyle w:val="NoSpacing"/>
        <w:rPr>
          <w:sz w:val="10"/>
        </w:rPr>
      </w:pPr>
      <w:r w:rsidRPr="009A0DA6">
        <w:tab/>
      </w:r>
      <w:r w:rsidRPr="009A0DA6">
        <w:tab/>
        <w:t xml:space="preserve">8.2.1.3.2      </w:t>
      </w:r>
      <w:r w:rsidR="00D21557" w:rsidRPr="009A0DA6">
        <w:t xml:space="preserve">Before a Bishop-elect assumes office, the outgoing Bishop shall </w:t>
      </w:r>
    </w:p>
    <w:p w14:paraId="2A3A00DC" w14:textId="4505F84D" w:rsidR="00D21557" w:rsidRPr="009A0DA6" w:rsidRDefault="00D21557" w:rsidP="00593002">
      <w:pPr>
        <w:pStyle w:val="NoSpacing"/>
        <w:ind w:left="3686" w:hanging="1134"/>
        <w:rPr>
          <w:sz w:val="10"/>
        </w:rPr>
      </w:pPr>
      <w:r w:rsidRPr="009A0DA6">
        <w:t>8.2.1.3.2.1</w:t>
      </w:r>
      <w:r w:rsidRPr="009A0DA6">
        <w:tab/>
        <w:t>continue as Bishop;</w:t>
      </w:r>
    </w:p>
    <w:p w14:paraId="0E3FB5E4" w14:textId="3265190A" w:rsidR="00593002" w:rsidRPr="009A0DA6" w:rsidRDefault="00D21557" w:rsidP="00593002">
      <w:pPr>
        <w:pStyle w:val="NoSpacing"/>
        <w:ind w:left="3686" w:hanging="1134"/>
        <w:rPr>
          <w:sz w:val="10"/>
        </w:rPr>
      </w:pPr>
      <w:r w:rsidRPr="009A0DA6">
        <w:t>8.2.1.3.2.2</w:t>
      </w:r>
      <w:r w:rsidRPr="009A0DA6">
        <w:tab/>
        <w:t xml:space="preserve">use the intervening period to settle the </w:t>
      </w:r>
      <w:r w:rsidR="00593002" w:rsidRPr="009A0DA6">
        <w:t xml:space="preserve">affairs of the administration; </w:t>
      </w:r>
      <w:r w:rsidRPr="009A0DA6">
        <w:t>and</w:t>
      </w:r>
    </w:p>
    <w:p w14:paraId="3D31A79F" w14:textId="77777777" w:rsidR="00D21557" w:rsidRPr="009A0DA6" w:rsidRDefault="00D21557" w:rsidP="00593002">
      <w:pPr>
        <w:pStyle w:val="NoSpacing"/>
        <w:ind w:left="3686" w:hanging="1134"/>
      </w:pPr>
      <w:r w:rsidRPr="009A0DA6">
        <w:t>8.2.1.3.2.3</w:t>
      </w:r>
      <w:r w:rsidRPr="009A0DA6">
        <w:tab/>
        <w:t>assist the Bishop-elect to become acquainted with the duties and responsibilities of the office.</w:t>
      </w:r>
    </w:p>
    <w:p w14:paraId="34F856A7" w14:textId="77777777" w:rsidR="00D21557" w:rsidRPr="009A0DA6" w:rsidRDefault="00D21557" w:rsidP="00D21557">
      <w:pPr>
        <w:pStyle w:val="NoSpacing"/>
      </w:pPr>
    </w:p>
    <w:p w14:paraId="362120FB" w14:textId="77777777" w:rsidR="00D21557" w:rsidRPr="009A0DA6" w:rsidRDefault="00593002" w:rsidP="00593002">
      <w:pPr>
        <w:pStyle w:val="NoSpacing"/>
        <w:jc w:val="center"/>
        <w:rPr>
          <w:b/>
        </w:rPr>
      </w:pPr>
      <w:r w:rsidRPr="009A0DA6">
        <w:rPr>
          <w:b/>
        </w:rPr>
        <w:t xml:space="preserve">SECTION </w:t>
      </w:r>
      <w:r w:rsidR="00CE705A" w:rsidRPr="009A0DA6">
        <w:rPr>
          <w:b/>
        </w:rPr>
        <w:t>8.4   THE GENERAL CHURCH</w:t>
      </w:r>
      <w:r w:rsidR="00D21557" w:rsidRPr="009A0DA6">
        <w:rPr>
          <w:b/>
        </w:rPr>
        <w:t xml:space="preserve"> COUNCIL</w:t>
      </w:r>
    </w:p>
    <w:p w14:paraId="2FFB0EA2" w14:textId="77777777" w:rsidR="00593002" w:rsidRPr="009A0DA6" w:rsidRDefault="00593002" w:rsidP="00D21557">
      <w:pPr>
        <w:pStyle w:val="NoSpacing"/>
        <w:rPr>
          <w:sz w:val="10"/>
        </w:rPr>
      </w:pPr>
    </w:p>
    <w:p w14:paraId="4D6D2156" w14:textId="6A362296" w:rsidR="00D21557" w:rsidRPr="009A0DA6" w:rsidRDefault="00D21557" w:rsidP="00593002">
      <w:pPr>
        <w:pStyle w:val="NoSpacing"/>
        <w:ind w:left="567" w:hanging="567"/>
        <w:rPr>
          <w:sz w:val="10"/>
          <w:szCs w:val="10"/>
        </w:rPr>
      </w:pPr>
      <w:r w:rsidRPr="009A0DA6">
        <w:t>8.4.1</w:t>
      </w:r>
      <w:r w:rsidRPr="009A0DA6">
        <w:tab/>
        <w:t>The duties of the General Church Council shall be to</w:t>
      </w:r>
    </w:p>
    <w:p w14:paraId="6EA4BAD4" w14:textId="71C9FB7D" w:rsidR="00593002" w:rsidRPr="009A0DA6" w:rsidRDefault="00D21557" w:rsidP="00593002">
      <w:pPr>
        <w:pStyle w:val="NoSpacing"/>
        <w:ind w:left="1418" w:hanging="851"/>
        <w:rPr>
          <w:sz w:val="10"/>
        </w:rPr>
      </w:pPr>
      <w:r w:rsidRPr="009A0DA6">
        <w:t>8.4.1.1</w:t>
      </w:r>
      <w:r w:rsidRPr="009A0DA6">
        <w:tab/>
        <w:t>implement the program of the Church in accordance with the policies established by the General Synod;</w:t>
      </w:r>
    </w:p>
    <w:p w14:paraId="40A04802" w14:textId="6532E7B6" w:rsidR="00593002" w:rsidRPr="009A0DA6" w:rsidRDefault="00593002" w:rsidP="00593002">
      <w:pPr>
        <w:pStyle w:val="NoSpacing"/>
        <w:ind w:left="1418" w:hanging="851"/>
        <w:rPr>
          <w:sz w:val="10"/>
        </w:rPr>
      </w:pPr>
      <w:r w:rsidRPr="009A0DA6">
        <w:t>8</w:t>
      </w:r>
      <w:r w:rsidR="003F5E80" w:rsidRPr="009A0DA6">
        <w:t>.4.1.2</w:t>
      </w:r>
      <w:r w:rsidR="003F5E80" w:rsidRPr="009A0DA6">
        <w:tab/>
        <w:t>e</w:t>
      </w:r>
      <w:r w:rsidR="00D21557" w:rsidRPr="009A0DA6">
        <w:t>nsure that the mission of the Church, the proclamation of the Gospel of Christ, remains central in the work of the Church;</w:t>
      </w:r>
    </w:p>
    <w:p w14:paraId="5FF74B44" w14:textId="55226E26" w:rsidR="00593002" w:rsidRPr="009A0DA6" w:rsidRDefault="00D21557" w:rsidP="00593002">
      <w:pPr>
        <w:pStyle w:val="NoSpacing"/>
        <w:ind w:left="1418" w:hanging="851"/>
        <w:rPr>
          <w:sz w:val="10"/>
        </w:rPr>
      </w:pPr>
      <w:r w:rsidRPr="009A0DA6">
        <w:t>8.4.1.3</w:t>
      </w:r>
      <w:r w:rsidRPr="009A0DA6">
        <w:tab/>
        <w:t>ensure that all phases of the work of the Church are efficiently planned, coordinated, and controlled;</w:t>
      </w:r>
    </w:p>
    <w:p w14:paraId="2D0F680A" w14:textId="0AE43906" w:rsidR="00593002" w:rsidRPr="009A0DA6" w:rsidRDefault="00D21557" w:rsidP="00593002">
      <w:pPr>
        <w:pStyle w:val="NoSpacing"/>
        <w:ind w:left="1418" w:hanging="851"/>
        <w:rPr>
          <w:sz w:val="10"/>
        </w:rPr>
      </w:pPr>
      <w:r w:rsidRPr="009A0DA6">
        <w:t>8.4.1.4</w:t>
      </w:r>
      <w:r w:rsidRPr="009A0DA6">
        <w:tab/>
        <w:t>receive the reports submitted at least annually by the boards of the Church, and pursuant to Article 8.3.2 of the Constitution to make any necessary decisions thereon subject to any policy or decisions laid down by the General Synod;</w:t>
      </w:r>
    </w:p>
    <w:p w14:paraId="43171688" w14:textId="08B2F672" w:rsidR="00593002" w:rsidRPr="009A0DA6" w:rsidRDefault="00D21557" w:rsidP="00593002">
      <w:pPr>
        <w:pStyle w:val="NoSpacing"/>
        <w:ind w:left="1418" w:hanging="851"/>
        <w:rPr>
          <w:sz w:val="10"/>
        </w:rPr>
      </w:pPr>
      <w:r w:rsidRPr="009A0DA6">
        <w:t>8.4.1.5</w:t>
      </w:r>
      <w:r w:rsidRPr="009A0DA6">
        <w:tab/>
        <w:t>review the reports of the boards to the General Synod and submit recommendations for coordinated action to the General Synod;</w:t>
      </w:r>
    </w:p>
    <w:p w14:paraId="67C84382" w14:textId="5DF75454" w:rsidR="00593002" w:rsidRPr="009A0DA6" w:rsidRDefault="00D21557" w:rsidP="00593002">
      <w:pPr>
        <w:pStyle w:val="NoSpacing"/>
        <w:ind w:left="1418" w:hanging="851"/>
        <w:rPr>
          <w:sz w:val="10"/>
        </w:rPr>
      </w:pPr>
      <w:r w:rsidRPr="009A0DA6">
        <w:t>8.4.1.6</w:t>
      </w:r>
      <w:r w:rsidRPr="009A0DA6">
        <w:tab/>
        <w:t>initiate research into any sphere of activity with a view to achieving greater efficiency in the promotion of the Objects of the Church;</w:t>
      </w:r>
    </w:p>
    <w:p w14:paraId="08D2C5D8" w14:textId="470D4EA5" w:rsidR="00593002" w:rsidRPr="009A0DA6" w:rsidRDefault="00D21557" w:rsidP="00593002">
      <w:pPr>
        <w:pStyle w:val="NoSpacing"/>
        <w:ind w:left="1418" w:hanging="851"/>
        <w:rPr>
          <w:sz w:val="10"/>
        </w:rPr>
      </w:pPr>
      <w:r w:rsidRPr="009A0DA6">
        <w:t>8.4.1.7</w:t>
      </w:r>
      <w:r w:rsidRPr="009A0DA6">
        <w:tab/>
        <w:t>appoint executive officers as required;</w:t>
      </w:r>
    </w:p>
    <w:p w14:paraId="18FCAD5D" w14:textId="6868612E" w:rsidR="00593002" w:rsidRPr="009A0DA6" w:rsidRDefault="00D21557" w:rsidP="00593002">
      <w:pPr>
        <w:pStyle w:val="NoSpacing"/>
        <w:ind w:left="1418" w:hanging="851"/>
        <w:rPr>
          <w:sz w:val="10"/>
        </w:rPr>
      </w:pPr>
      <w:r w:rsidRPr="009A0DA6">
        <w:t>8.4.1.8</w:t>
      </w:r>
      <w:r w:rsidRPr="009A0DA6">
        <w:tab/>
        <w:t>submit the budget of the Church to the General Synod for consideration and adoption according to the policy laid down by the Church, and to adopt the budget of the Church in a year when the General Synod is not convened;</w:t>
      </w:r>
    </w:p>
    <w:p w14:paraId="30937D9C" w14:textId="486F1DC2" w:rsidR="00593002" w:rsidRPr="009A0DA6" w:rsidRDefault="003F5E80" w:rsidP="00593002">
      <w:pPr>
        <w:pStyle w:val="NoSpacing"/>
        <w:ind w:left="1418" w:hanging="851"/>
        <w:rPr>
          <w:sz w:val="10"/>
        </w:rPr>
      </w:pPr>
      <w:r w:rsidRPr="009A0DA6">
        <w:t>8.4.1.9</w:t>
      </w:r>
      <w:r w:rsidRPr="009A0DA6">
        <w:tab/>
        <w:t>ap</w:t>
      </w:r>
      <w:r w:rsidR="00D21557" w:rsidRPr="009A0DA6">
        <w:t>point the Auditor of the Church;</w:t>
      </w:r>
    </w:p>
    <w:p w14:paraId="2546A5B0" w14:textId="3A6D53D8" w:rsidR="00593002" w:rsidRPr="009A0DA6" w:rsidRDefault="00D21557" w:rsidP="00593002">
      <w:pPr>
        <w:pStyle w:val="NoSpacing"/>
        <w:ind w:left="1418" w:hanging="851"/>
        <w:rPr>
          <w:sz w:val="10"/>
        </w:rPr>
      </w:pPr>
      <w:r w:rsidRPr="009A0DA6">
        <w:t>8.4.1.10</w:t>
      </w:r>
      <w:r w:rsidRPr="009A0DA6">
        <w:tab/>
        <w:t>authorise proposals by a board regarding the number of office staff;</w:t>
      </w:r>
    </w:p>
    <w:p w14:paraId="224F0683" w14:textId="3232BF8C" w:rsidR="00593002" w:rsidRPr="009A0DA6" w:rsidRDefault="00D21557" w:rsidP="00593002">
      <w:pPr>
        <w:pStyle w:val="NoSpacing"/>
        <w:ind w:left="1418" w:hanging="851"/>
        <w:rPr>
          <w:sz w:val="10"/>
        </w:rPr>
      </w:pPr>
      <w:r w:rsidRPr="009A0DA6">
        <w:t>8.4.1.11</w:t>
      </w:r>
      <w:r w:rsidRPr="009A0DA6">
        <w:tab/>
        <w:t>appoint such sub-committees and delegate such powers as it sees fit;</w:t>
      </w:r>
    </w:p>
    <w:p w14:paraId="4CB9A48F" w14:textId="5C4EF083" w:rsidR="00593002" w:rsidRPr="009A0DA6" w:rsidRDefault="00D21557" w:rsidP="00593002">
      <w:pPr>
        <w:pStyle w:val="NoSpacing"/>
        <w:ind w:left="1418" w:hanging="851"/>
        <w:rPr>
          <w:sz w:val="10"/>
        </w:rPr>
      </w:pPr>
      <w:r w:rsidRPr="009A0DA6">
        <w:t>8.4.1.12</w:t>
      </w:r>
      <w:r w:rsidRPr="009A0DA6">
        <w:tab/>
        <w:t>define from time to time the specific areas of responsibility of the Bishop and Assistant Bishop;</w:t>
      </w:r>
    </w:p>
    <w:p w14:paraId="08EADB0B" w14:textId="19116FBD" w:rsidR="00593002" w:rsidRPr="009A0DA6" w:rsidRDefault="00D21557" w:rsidP="00593002">
      <w:pPr>
        <w:pStyle w:val="NoSpacing"/>
        <w:ind w:left="1418" w:hanging="851"/>
        <w:rPr>
          <w:sz w:val="10"/>
        </w:rPr>
      </w:pPr>
      <w:r w:rsidRPr="009A0DA6">
        <w:lastRenderedPageBreak/>
        <w:t>8.4.1.13</w:t>
      </w:r>
      <w:r w:rsidRPr="009A0DA6">
        <w:tab/>
        <w:t>fill any vacancy in any office or on any Board, Council, Department, Standing Committee or Commission, except when such vacancy occurs within three months of the next regular convention of the General Synod;</w:t>
      </w:r>
    </w:p>
    <w:p w14:paraId="34E1E759" w14:textId="08B40559" w:rsidR="00593002" w:rsidRPr="009A0DA6" w:rsidRDefault="00D21557" w:rsidP="00593002">
      <w:pPr>
        <w:pStyle w:val="NoSpacing"/>
        <w:ind w:left="1418" w:hanging="851"/>
        <w:rPr>
          <w:sz w:val="10"/>
        </w:rPr>
      </w:pPr>
      <w:r w:rsidRPr="009A0DA6">
        <w:t>8.4.1.14</w:t>
      </w:r>
      <w:r w:rsidRPr="009A0DA6">
        <w:tab/>
        <w:t xml:space="preserve">remove any Official, officer or member of a Board, Council, Department, Standing Committee or Commission from office during the term if, in its considered judgment, the said person becomes incapable or unworthy of holding office, and to fill the vacancy created until the next regular convention of the General Synod; </w:t>
      </w:r>
    </w:p>
    <w:p w14:paraId="59751D91" w14:textId="71C1FFE1" w:rsidR="00593002" w:rsidRPr="009A0DA6" w:rsidRDefault="00D21557" w:rsidP="00593002">
      <w:pPr>
        <w:pStyle w:val="NoSpacing"/>
        <w:ind w:left="1418" w:hanging="851"/>
        <w:rPr>
          <w:sz w:val="10"/>
        </w:rPr>
      </w:pPr>
      <w:r w:rsidRPr="009A0DA6">
        <w:t>8.4.1.15</w:t>
      </w:r>
      <w:r w:rsidRPr="009A0DA6">
        <w:tab/>
        <w:t>determine any interim arrangements that may be necessary following the election of a full-time Official of the Church at a convention of the General Synod; and</w:t>
      </w:r>
    </w:p>
    <w:p w14:paraId="7CFC3484" w14:textId="77777777" w:rsidR="00D21557" w:rsidRPr="009A0DA6" w:rsidRDefault="00D21557" w:rsidP="00593002">
      <w:pPr>
        <w:pStyle w:val="NoSpacing"/>
        <w:ind w:left="1418" w:hanging="851"/>
      </w:pPr>
      <w:r w:rsidRPr="009A0DA6">
        <w:t>8.4.1.16</w:t>
      </w:r>
      <w:r w:rsidRPr="009A0DA6">
        <w:tab/>
        <w:t>approve any alteration to the By-laws of the Church or the rules governing any board or fund of the Church made necessary by any resolution of the General Synod, as prepared by the Standing Committee on Constitutions.</w:t>
      </w:r>
    </w:p>
    <w:p w14:paraId="367BFD60" w14:textId="63D900BF" w:rsidR="00CE705A" w:rsidRPr="009A0DA6" w:rsidRDefault="00D21557" w:rsidP="00DA16F1">
      <w:pPr>
        <w:pStyle w:val="NoSpacing"/>
        <w:ind w:left="567" w:hanging="567"/>
      </w:pPr>
      <w:r w:rsidRPr="009A0DA6">
        <w:t>8.4.2</w:t>
      </w:r>
      <w:r w:rsidRPr="009A0DA6">
        <w:tab/>
        <w:t>8.4.2.1</w:t>
      </w:r>
      <w:r w:rsidRPr="009A0DA6">
        <w:tab/>
        <w:t>In reference to finance its duties shall be to</w:t>
      </w:r>
    </w:p>
    <w:p w14:paraId="4DB41395" w14:textId="54661E85" w:rsidR="00CE705A" w:rsidRPr="009A0DA6" w:rsidRDefault="00D21557" w:rsidP="00CE705A">
      <w:pPr>
        <w:pStyle w:val="NoSpacing"/>
        <w:ind w:left="2552" w:hanging="1134"/>
        <w:rPr>
          <w:sz w:val="10"/>
        </w:rPr>
      </w:pPr>
      <w:r w:rsidRPr="009A0DA6">
        <w:t>8.4.2.1.1</w:t>
      </w:r>
      <w:r w:rsidRPr="009A0DA6">
        <w:tab/>
        <w:t>ensure that all moneys collected by or payable to the Church are banked promptly into such banks or other institutions as are approved by the Church and that such moneys are properly accounted for and recorded in the accounting records of the Church</w:t>
      </w:r>
      <w:r w:rsidR="0027799A" w:rsidRPr="009A0DA6">
        <w:t xml:space="preserve">. </w:t>
      </w:r>
      <w:r w:rsidRPr="009A0DA6">
        <w:t>In this respect it shall have oversight of the work performed on behalf of the Church by any person or organisation to whom such work has been delegated by the Church, including a Central Treasury Service;</w:t>
      </w:r>
    </w:p>
    <w:p w14:paraId="10600E74" w14:textId="641D53E3" w:rsidR="00CE705A" w:rsidRPr="009A0DA6" w:rsidRDefault="00D21557" w:rsidP="00CE705A">
      <w:pPr>
        <w:pStyle w:val="NoSpacing"/>
        <w:ind w:left="2552" w:hanging="1134"/>
        <w:rPr>
          <w:sz w:val="10"/>
        </w:rPr>
      </w:pPr>
      <w:r w:rsidRPr="009A0DA6">
        <w:t>8.4.2.1.2</w:t>
      </w:r>
      <w:r w:rsidRPr="009A0DA6">
        <w:tab/>
        <w:t>ensure that recurring expenses and charges are paid in accordance with adopted budgets of the Church, and other moneys only withdrawn upon a specific resolution;</w:t>
      </w:r>
    </w:p>
    <w:p w14:paraId="50172B04" w14:textId="22EC7EA2" w:rsidR="00CE705A" w:rsidRPr="009A0DA6" w:rsidRDefault="00D21557" w:rsidP="00CE705A">
      <w:pPr>
        <w:pStyle w:val="NoSpacing"/>
        <w:ind w:left="2552" w:hanging="1134"/>
        <w:rPr>
          <w:sz w:val="10"/>
        </w:rPr>
      </w:pPr>
      <w:r w:rsidRPr="009A0DA6">
        <w:t>8.4.2.1.3</w:t>
      </w:r>
      <w:r w:rsidRPr="009A0DA6">
        <w:tab/>
        <w:t>receive reports on the state of the finances of the Church, including moneys received and payments made, on a regular basis, and present such reports to the Bishop when so required;</w:t>
      </w:r>
    </w:p>
    <w:p w14:paraId="23DA1F1B" w14:textId="7E1F283E" w:rsidR="00CE705A" w:rsidRPr="009A0DA6" w:rsidRDefault="00D21557" w:rsidP="00CE705A">
      <w:pPr>
        <w:pStyle w:val="NoSpacing"/>
        <w:ind w:left="2552" w:hanging="1134"/>
        <w:rPr>
          <w:sz w:val="10"/>
        </w:rPr>
      </w:pPr>
      <w:r w:rsidRPr="009A0DA6">
        <w:t>8.4.2.1.4</w:t>
      </w:r>
      <w:r w:rsidRPr="009A0DA6">
        <w:tab/>
        <w:t>prepare financial statements for publication or submission to the regular convention of the General Synod;</w:t>
      </w:r>
    </w:p>
    <w:p w14:paraId="01E822CF" w14:textId="1D19FF54" w:rsidR="00CE705A" w:rsidRPr="009A0DA6" w:rsidRDefault="00D21557" w:rsidP="00CE705A">
      <w:pPr>
        <w:pStyle w:val="NoSpacing"/>
        <w:ind w:left="2552" w:hanging="1134"/>
        <w:rPr>
          <w:sz w:val="10"/>
        </w:rPr>
      </w:pPr>
      <w:r w:rsidRPr="009A0DA6">
        <w:t>8.4.2.1.5</w:t>
      </w:r>
      <w:r w:rsidRPr="009A0DA6">
        <w:tab/>
        <w:t>submit financial records and statements to the Auditor for examination at least annually, or when it otherwise deems necessary;</w:t>
      </w:r>
    </w:p>
    <w:p w14:paraId="418C0410" w14:textId="7FA840A8" w:rsidR="00CE705A" w:rsidRPr="009A0DA6" w:rsidRDefault="00D21557" w:rsidP="00CE705A">
      <w:pPr>
        <w:pStyle w:val="NoSpacing"/>
        <w:ind w:left="2552" w:hanging="1134"/>
        <w:rPr>
          <w:sz w:val="10"/>
        </w:rPr>
      </w:pPr>
      <w:r w:rsidRPr="009A0DA6">
        <w:t>8.4.2.1.6</w:t>
      </w:r>
      <w:r w:rsidRPr="009A0DA6">
        <w:tab/>
        <w:t>insure the insurable property of the Church as determined by resolution of the Council;</w:t>
      </w:r>
    </w:p>
    <w:p w14:paraId="3384C1BE" w14:textId="5663B84D" w:rsidR="00CE705A" w:rsidRPr="009A0DA6" w:rsidRDefault="00D21557" w:rsidP="00CE705A">
      <w:pPr>
        <w:pStyle w:val="NoSpacing"/>
        <w:ind w:left="2552" w:hanging="1134"/>
        <w:rPr>
          <w:sz w:val="10"/>
        </w:rPr>
      </w:pPr>
      <w:r w:rsidRPr="009A0DA6">
        <w:t>8.4.2.1.7</w:t>
      </w:r>
      <w:r w:rsidRPr="009A0DA6">
        <w:tab/>
        <w:t>have general oversight over all matters relating to the property of the Church; and</w:t>
      </w:r>
    </w:p>
    <w:p w14:paraId="07095E09" w14:textId="77777777" w:rsidR="00D21557" w:rsidRPr="009A0DA6" w:rsidRDefault="00D21557" w:rsidP="00CE705A">
      <w:pPr>
        <w:pStyle w:val="NoSpacing"/>
        <w:ind w:left="2552" w:hanging="1134"/>
      </w:pPr>
      <w:r w:rsidRPr="009A0DA6">
        <w:t>8.4.2.1.8</w:t>
      </w:r>
      <w:r w:rsidRPr="009A0DA6">
        <w:tab/>
        <w:t xml:space="preserve">have the right to appoint an advisory committee to give advice and professional guidance on financial issues. </w:t>
      </w:r>
    </w:p>
    <w:p w14:paraId="56F582A8" w14:textId="3356CF53" w:rsidR="00CE705A" w:rsidRPr="009A0DA6" w:rsidRDefault="00D21557" w:rsidP="00DA16F1">
      <w:pPr>
        <w:pStyle w:val="NoSpacing"/>
        <w:ind w:left="1418" w:hanging="851"/>
      </w:pPr>
      <w:r w:rsidRPr="009A0DA6">
        <w:t>8.4.2.2</w:t>
      </w:r>
      <w:r w:rsidRPr="009A0DA6">
        <w:tab/>
        <w:t>In reference to the LCA Pensions Fund its duties shall be to</w:t>
      </w:r>
    </w:p>
    <w:p w14:paraId="23A2534E" w14:textId="080F1229" w:rsidR="00CE705A" w:rsidRPr="009A0DA6" w:rsidRDefault="00D21557" w:rsidP="00CE705A">
      <w:pPr>
        <w:pStyle w:val="NoSpacing"/>
        <w:ind w:left="2552" w:hanging="1134"/>
        <w:rPr>
          <w:sz w:val="10"/>
        </w:rPr>
      </w:pPr>
      <w:r w:rsidRPr="009A0DA6">
        <w:t>8.4.2.2.1</w:t>
      </w:r>
      <w:r w:rsidRPr="009A0DA6">
        <w:tab/>
        <w:t>administer the funds entrusted to its control in accordance with the policy laid down by the General Synod;</w:t>
      </w:r>
    </w:p>
    <w:p w14:paraId="25629CDF" w14:textId="1F8463CA" w:rsidR="00CE705A" w:rsidRPr="009A0DA6" w:rsidRDefault="00D21557" w:rsidP="00CE705A">
      <w:pPr>
        <w:pStyle w:val="NoSpacing"/>
        <w:ind w:left="2552" w:hanging="1134"/>
        <w:rPr>
          <w:sz w:val="10"/>
        </w:rPr>
      </w:pPr>
      <w:r w:rsidRPr="009A0DA6">
        <w:t>8.4.2.2.2</w:t>
      </w:r>
      <w:r w:rsidRPr="009A0DA6">
        <w:tab/>
        <w:t>keep itself informed on matters relating to pensions, benefit schemes and social services, and at its discretion submit to the General Synod any amendments to the policy of the Church;</w:t>
      </w:r>
    </w:p>
    <w:p w14:paraId="5328E011" w14:textId="3591065A" w:rsidR="00CE705A" w:rsidRPr="009A0DA6" w:rsidRDefault="00D21557" w:rsidP="00CE705A">
      <w:pPr>
        <w:pStyle w:val="NoSpacing"/>
        <w:ind w:left="2552" w:hanging="1134"/>
        <w:rPr>
          <w:sz w:val="10"/>
        </w:rPr>
      </w:pPr>
      <w:r w:rsidRPr="009A0DA6">
        <w:t>8.4.2.2.3</w:t>
      </w:r>
      <w:r w:rsidRPr="009A0DA6">
        <w:tab/>
        <w:t>recommend to the General Synod the scale of benefits and contributions applicable to any or all of the funds;</w:t>
      </w:r>
    </w:p>
    <w:p w14:paraId="6228C9D6" w14:textId="73F3ADC5" w:rsidR="00CE705A" w:rsidRPr="009A0DA6" w:rsidRDefault="00D21557" w:rsidP="00CE705A">
      <w:pPr>
        <w:pStyle w:val="NoSpacing"/>
        <w:ind w:left="2552" w:hanging="1134"/>
        <w:rPr>
          <w:sz w:val="10"/>
        </w:rPr>
      </w:pPr>
      <w:r w:rsidRPr="009A0DA6">
        <w:t>8.4.2.2.4</w:t>
      </w:r>
      <w:r w:rsidRPr="009A0DA6">
        <w:tab/>
        <w:t>set up the procedures and provide any forms necessary for the payment of benefits from the funds;</w:t>
      </w:r>
    </w:p>
    <w:p w14:paraId="51D3F287" w14:textId="4C8087A9" w:rsidR="00CE705A" w:rsidRPr="009A0DA6" w:rsidRDefault="00D21557" w:rsidP="00CE705A">
      <w:pPr>
        <w:pStyle w:val="NoSpacing"/>
        <w:ind w:left="2552" w:hanging="1134"/>
        <w:rPr>
          <w:sz w:val="10"/>
        </w:rPr>
      </w:pPr>
      <w:r w:rsidRPr="009A0DA6">
        <w:t>8.4.2.2.5</w:t>
      </w:r>
      <w:r w:rsidRPr="009A0DA6">
        <w:tab/>
        <w:t>investigate any applications for assistance not ordinarily covered by the regulat</w:t>
      </w:r>
      <w:r w:rsidR="00CE705A" w:rsidRPr="009A0DA6">
        <w:t xml:space="preserve">ions and make recommendations; </w:t>
      </w:r>
      <w:r w:rsidRPr="009A0DA6">
        <w:t>and</w:t>
      </w:r>
    </w:p>
    <w:p w14:paraId="4B0C1270" w14:textId="77777777" w:rsidR="00D21557" w:rsidRPr="009A0DA6" w:rsidRDefault="00D21557" w:rsidP="00CE705A">
      <w:pPr>
        <w:pStyle w:val="NoSpacing"/>
        <w:ind w:left="2552" w:hanging="1134"/>
      </w:pPr>
      <w:r w:rsidRPr="009A0DA6">
        <w:t>8.4.2.2.6</w:t>
      </w:r>
      <w:r w:rsidRPr="009A0DA6">
        <w:tab/>
        <w:t>regulate and arrange the rest and refreshment leave/long-service leave of church workers.</w:t>
      </w:r>
    </w:p>
    <w:p w14:paraId="1FD47BC9" w14:textId="5C867725" w:rsidR="00CE705A" w:rsidRPr="009A0DA6" w:rsidRDefault="00D21557" w:rsidP="00CE705A">
      <w:pPr>
        <w:pStyle w:val="NoSpacing"/>
        <w:ind w:left="567" w:hanging="567"/>
      </w:pPr>
      <w:r w:rsidRPr="009A0DA6">
        <w:lastRenderedPageBreak/>
        <w:t>8.4.3</w:t>
      </w:r>
      <w:r w:rsidRPr="009A0DA6">
        <w:tab/>
        <w:t>The General Church Council shall meet at least twice a year</w:t>
      </w:r>
      <w:r w:rsidR="0027799A" w:rsidRPr="009A0DA6">
        <w:t xml:space="preserve">. </w:t>
      </w:r>
      <w:r w:rsidRPr="009A0DA6">
        <w:t>Special meetings may be called by the Chairperson, and shall be called by the Chairperson at the request of at least three [3] members of the General Church Council.</w:t>
      </w:r>
    </w:p>
    <w:p w14:paraId="77E7E683" w14:textId="77777777" w:rsidR="00D21557" w:rsidRPr="009A0DA6" w:rsidRDefault="00D21557" w:rsidP="00CE705A">
      <w:pPr>
        <w:pStyle w:val="NoSpacing"/>
        <w:tabs>
          <w:tab w:val="left" w:pos="1418"/>
        </w:tabs>
        <w:ind w:left="567" w:hanging="567"/>
      </w:pPr>
      <w:r w:rsidRPr="009A0DA6">
        <w:t>8.4.4</w:t>
      </w:r>
      <w:r w:rsidRPr="009A0DA6">
        <w:tab/>
        <w:t>8.4.4.1</w:t>
      </w:r>
      <w:r w:rsidRPr="009A0DA6">
        <w:tab/>
        <w:t xml:space="preserve">There shall be an Executive of the General Church Council, consisting of the </w:t>
      </w:r>
      <w:r w:rsidR="00CE705A" w:rsidRPr="009A0DA6">
        <w:br/>
        <w:t xml:space="preserve">                  </w:t>
      </w:r>
      <w:r w:rsidRPr="009A0DA6">
        <w:t>Bishop, and six [6] other members including at least two [2] pastor members</w:t>
      </w:r>
      <w:r w:rsidR="00CE705A" w:rsidRPr="009A0DA6">
        <w:br/>
        <w:t xml:space="preserve">                 </w:t>
      </w:r>
      <w:r w:rsidRPr="009A0DA6">
        <w:t xml:space="preserve"> and at least two [2] lay members, appointed by the General Church Council.</w:t>
      </w:r>
    </w:p>
    <w:p w14:paraId="5F9200BE" w14:textId="1B1EDCC4" w:rsidR="00CE705A" w:rsidRPr="009A0DA6" w:rsidRDefault="00D21557" w:rsidP="00DA16F1">
      <w:pPr>
        <w:pStyle w:val="NoSpacing"/>
        <w:ind w:firstLine="567"/>
      </w:pPr>
      <w:r w:rsidRPr="009A0DA6">
        <w:t>8.4.4.2</w:t>
      </w:r>
      <w:r w:rsidRPr="009A0DA6">
        <w:tab/>
        <w:t>The duties of the Executive of the General Church Council shall be to</w:t>
      </w:r>
      <w:r w:rsidRPr="009A0DA6">
        <w:rPr>
          <w:sz w:val="16"/>
        </w:rPr>
        <w:tab/>
      </w:r>
    </w:p>
    <w:p w14:paraId="6FB57314" w14:textId="77777777" w:rsidR="00DA16F1" w:rsidRPr="009A0DA6" w:rsidRDefault="00D21557" w:rsidP="00CE705A">
      <w:pPr>
        <w:pStyle w:val="NoSpacing"/>
        <w:ind w:left="2552" w:hanging="1134"/>
      </w:pPr>
      <w:r w:rsidRPr="009A0DA6">
        <w:t>8.4.4.2.1</w:t>
      </w:r>
      <w:r w:rsidRPr="009A0DA6">
        <w:tab/>
        <w:t>carry out such tasks as are delegated to it by the General Church Council;</w:t>
      </w:r>
    </w:p>
    <w:p w14:paraId="1DF03001" w14:textId="77777777" w:rsidR="00DA16F1" w:rsidRPr="009A0DA6" w:rsidRDefault="00D21557" w:rsidP="00CE705A">
      <w:pPr>
        <w:pStyle w:val="NoSpacing"/>
        <w:ind w:left="2552" w:hanging="1134"/>
      </w:pPr>
      <w:r w:rsidRPr="009A0DA6">
        <w:t>8.4.4.2.2</w:t>
      </w:r>
      <w:r w:rsidRPr="009A0DA6">
        <w:tab/>
        <w:t>attend to routine matters in accordance with the policy as generally defined by the General Church Council;</w:t>
      </w:r>
    </w:p>
    <w:p w14:paraId="7CBA459D" w14:textId="77777777" w:rsidR="00DA16F1" w:rsidRPr="009A0DA6" w:rsidRDefault="00D21557" w:rsidP="00CE705A">
      <w:pPr>
        <w:pStyle w:val="NoSpacing"/>
        <w:ind w:left="2552" w:hanging="1134"/>
      </w:pPr>
      <w:r w:rsidRPr="009A0DA6">
        <w:t>8.4.4.2.3</w:t>
      </w:r>
      <w:r w:rsidRPr="009A0DA6">
        <w:tab/>
        <w:t>advise the Bishop on any matters the Bishop desires to place before it;</w:t>
      </w:r>
    </w:p>
    <w:p w14:paraId="37A2BACE" w14:textId="4F124AE0" w:rsidR="00CE705A" w:rsidRPr="009A0DA6" w:rsidRDefault="00D21557" w:rsidP="00CE705A">
      <w:pPr>
        <w:pStyle w:val="NoSpacing"/>
        <w:ind w:left="2552" w:hanging="1134"/>
        <w:rPr>
          <w:sz w:val="10"/>
        </w:rPr>
      </w:pPr>
      <w:r w:rsidRPr="009A0DA6">
        <w:t>8.4.4.2.4</w:t>
      </w:r>
      <w:r w:rsidRPr="009A0DA6">
        <w:tab/>
        <w:t>determine the Register of Lay Workers;</w:t>
      </w:r>
    </w:p>
    <w:p w14:paraId="78E53B9C" w14:textId="2C281944" w:rsidR="00CE705A" w:rsidRPr="009A0DA6" w:rsidRDefault="00D21557" w:rsidP="00CE705A">
      <w:pPr>
        <w:pStyle w:val="NoSpacing"/>
        <w:ind w:left="2552" w:hanging="1134"/>
        <w:rPr>
          <w:sz w:val="10"/>
        </w:rPr>
      </w:pPr>
      <w:r w:rsidRPr="009A0DA6">
        <w:t>8.4.4.2.5</w:t>
      </w:r>
      <w:r w:rsidRPr="009A0DA6">
        <w:tab/>
        <w:t xml:space="preserve">determine the rentals to be paid by tenants of </w:t>
      </w:r>
      <w:r w:rsidR="00CE705A" w:rsidRPr="009A0DA6">
        <w:t>Church-owned property;</w:t>
      </w:r>
      <w:r w:rsidRPr="009A0DA6">
        <w:t xml:space="preserve"> and</w:t>
      </w:r>
    </w:p>
    <w:p w14:paraId="0CC7C3C3" w14:textId="465AFDCE" w:rsidR="00CE705A" w:rsidRPr="009A0DA6" w:rsidRDefault="00D21557" w:rsidP="00DA16F1">
      <w:pPr>
        <w:pStyle w:val="NoSpacing"/>
        <w:ind w:left="2552" w:hanging="1134"/>
      </w:pPr>
      <w:r w:rsidRPr="009A0DA6">
        <w:t>8.4.4.2.6</w:t>
      </w:r>
      <w:r w:rsidRPr="009A0DA6">
        <w:tab/>
        <w:t xml:space="preserve">report all decisions to the General Church Council. </w:t>
      </w:r>
    </w:p>
    <w:p w14:paraId="66ADC017" w14:textId="77777777" w:rsidR="00D21557" w:rsidRPr="009A0DA6" w:rsidRDefault="00D21557" w:rsidP="00CE705A">
      <w:pPr>
        <w:pStyle w:val="NoSpacing"/>
        <w:ind w:left="1418" w:hanging="851"/>
      </w:pPr>
      <w:r w:rsidRPr="009A0DA6">
        <w:t>8.4.4.3</w:t>
      </w:r>
      <w:r w:rsidRPr="009A0DA6">
        <w:tab/>
        <w:t>The Executive of the General Church Council shall be empowered at its discretion to call conferences of executive officers and such other persons as it deems advisable, to advise in the planning and coordination of the Church's program or any portion thereof.</w:t>
      </w:r>
    </w:p>
    <w:p w14:paraId="32AF31A9" w14:textId="77777777" w:rsidR="00D21557" w:rsidRPr="009A0DA6" w:rsidRDefault="00D21557" w:rsidP="00D21557">
      <w:pPr>
        <w:pStyle w:val="NoSpacing"/>
      </w:pPr>
    </w:p>
    <w:p w14:paraId="0610EB2D" w14:textId="1A751750" w:rsidR="00D21557" w:rsidRPr="009A0DA6" w:rsidRDefault="00D21557" w:rsidP="00CE705A">
      <w:pPr>
        <w:pStyle w:val="NoSpacing"/>
        <w:jc w:val="center"/>
        <w:rPr>
          <w:b/>
        </w:rPr>
      </w:pPr>
      <w:r w:rsidRPr="009A0DA6">
        <w:rPr>
          <w:b/>
        </w:rPr>
        <w:t>SECTION</w:t>
      </w:r>
      <w:r w:rsidR="003B5E6B" w:rsidRPr="009A0DA6">
        <w:rPr>
          <w:b/>
        </w:rPr>
        <w:t xml:space="preserve"> 8.6 </w:t>
      </w:r>
      <w:r w:rsidR="00934A96" w:rsidRPr="009A0DA6">
        <w:rPr>
          <w:b/>
        </w:rPr>
        <w:t xml:space="preserve">THE COLLEGE OF </w:t>
      </w:r>
      <w:r w:rsidRPr="009A0DA6">
        <w:rPr>
          <w:b/>
        </w:rPr>
        <w:t>BISHOPS</w:t>
      </w:r>
    </w:p>
    <w:p w14:paraId="521ADB76" w14:textId="77777777" w:rsidR="00CE705A" w:rsidRPr="009A0DA6" w:rsidRDefault="00CE705A" w:rsidP="00D21557">
      <w:pPr>
        <w:pStyle w:val="NoSpacing"/>
        <w:rPr>
          <w:sz w:val="10"/>
        </w:rPr>
      </w:pPr>
    </w:p>
    <w:p w14:paraId="6B622DF5" w14:textId="608EB7B0" w:rsidR="003B5E6B" w:rsidRPr="009A0DA6" w:rsidRDefault="00D21557" w:rsidP="003B5E6B">
      <w:pPr>
        <w:pStyle w:val="NoSpacing"/>
        <w:ind w:left="567" w:hanging="567"/>
        <w:rPr>
          <w:sz w:val="10"/>
        </w:rPr>
      </w:pPr>
      <w:r w:rsidRPr="009A0DA6">
        <w:t>8.6.1</w:t>
      </w:r>
      <w:r w:rsidRPr="009A0DA6">
        <w:tab/>
        <w:t>The College of Bishops shall consist of the Bishop and the Assistant Bishop of the Church and the Bishops of the Districts</w:t>
      </w:r>
      <w:r w:rsidR="0027799A" w:rsidRPr="009A0DA6">
        <w:t xml:space="preserve">. </w:t>
      </w:r>
      <w:r w:rsidRPr="009A0DA6">
        <w:t>The Secretary of the Church shall be a consultant.</w:t>
      </w:r>
    </w:p>
    <w:p w14:paraId="308A0604" w14:textId="198EDDC5" w:rsidR="003B5E6B" w:rsidRPr="009A0DA6" w:rsidRDefault="003B5E6B" w:rsidP="003B5E6B">
      <w:pPr>
        <w:pStyle w:val="NoSpacing"/>
        <w:ind w:left="567" w:hanging="567"/>
        <w:rPr>
          <w:sz w:val="10"/>
        </w:rPr>
      </w:pPr>
      <w:r w:rsidRPr="009A0DA6">
        <w:t>8</w:t>
      </w:r>
      <w:r w:rsidR="00D21557" w:rsidRPr="009A0DA6">
        <w:t>.6.2</w:t>
      </w:r>
      <w:r w:rsidR="00D21557" w:rsidRPr="009A0DA6">
        <w:tab/>
        <w:t>The chief function of the College of Bishops shall be collectively to provide leadership, oversight and guidance to the Church, subject to the authority vested in the Bishop, as outlined in Section 8.2.1, according to Holy Scripture as interpreted by the Confessions of the Evangelical Lutheran Church.</w:t>
      </w:r>
    </w:p>
    <w:p w14:paraId="3A15A497" w14:textId="2CF8BD1B" w:rsidR="00D21557" w:rsidRPr="009A0DA6" w:rsidRDefault="00D21557" w:rsidP="003B5E6B">
      <w:pPr>
        <w:pStyle w:val="NoSpacing"/>
        <w:ind w:left="567" w:hanging="567"/>
        <w:rPr>
          <w:sz w:val="10"/>
        </w:rPr>
      </w:pPr>
      <w:r w:rsidRPr="009A0DA6">
        <w:t>8.6.3</w:t>
      </w:r>
      <w:r w:rsidRPr="009A0DA6">
        <w:tab/>
        <w:t>The duties of the College of Bishops shall be to</w:t>
      </w:r>
    </w:p>
    <w:p w14:paraId="6B58063A" w14:textId="67952E0E" w:rsidR="003B5E6B" w:rsidRPr="009A0DA6" w:rsidRDefault="00D21557" w:rsidP="003B5E6B">
      <w:pPr>
        <w:pStyle w:val="NoSpacing"/>
        <w:ind w:left="1418" w:hanging="851"/>
        <w:rPr>
          <w:sz w:val="10"/>
        </w:rPr>
      </w:pPr>
      <w:r w:rsidRPr="009A0DA6">
        <w:t>8.6.3.1</w:t>
      </w:r>
      <w:r w:rsidRPr="009A0DA6">
        <w:tab/>
        <w:t>give special attention to the doctrine, worship and life of the Church;</w:t>
      </w:r>
    </w:p>
    <w:p w14:paraId="2AF3C2F4" w14:textId="70D7FB4F" w:rsidR="00715CCE" w:rsidRPr="009A0DA6" w:rsidRDefault="00D21557" w:rsidP="00715CCE">
      <w:pPr>
        <w:pStyle w:val="NoSpacing"/>
        <w:ind w:left="1418" w:hanging="851"/>
        <w:rPr>
          <w:sz w:val="10"/>
        </w:rPr>
      </w:pPr>
      <w:r w:rsidRPr="009A0DA6">
        <w:t>8.6.3.2</w:t>
      </w:r>
      <w:r w:rsidRPr="009A0DA6">
        <w:tab/>
        <w:t>support the Bishop in the Bishop's role as the spiritual leader of the Church;</w:t>
      </w:r>
    </w:p>
    <w:p w14:paraId="648AC30F" w14:textId="758EA414" w:rsidR="00715CCE" w:rsidRPr="009A0DA6" w:rsidRDefault="00D21557" w:rsidP="00715CCE">
      <w:pPr>
        <w:pStyle w:val="NoSpacing"/>
        <w:ind w:left="1418" w:hanging="851"/>
        <w:rPr>
          <w:sz w:val="10"/>
        </w:rPr>
      </w:pPr>
      <w:r w:rsidRPr="009A0DA6">
        <w:t>8.6.3.3</w:t>
      </w:r>
      <w:r w:rsidRPr="009A0DA6">
        <w:tab/>
        <w:t>encourage the Church to be active in Christ's mission and to strive for unity, harmony and good order in the Church;</w:t>
      </w:r>
    </w:p>
    <w:p w14:paraId="3A6A0E09" w14:textId="47375BC9" w:rsidR="00715CCE" w:rsidRPr="009A0DA6" w:rsidRDefault="00715CCE" w:rsidP="00715CCE">
      <w:pPr>
        <w:pStyle w:val="NoSpacing"/>
        <w:ind w:left="1418" w:hanging="851"/>
        <w:rPr>
          <w:sz w:val="10"/>
        </w:rPr>
      </w:pPr>
      <w:r w:rsidRPr="009A0DA6">
        <w:t>8</w:t>
      </w:r>
      <w:r w:rsidR="00D21557" w:rsidRPr="009A0DA6">
        <w:t>.6.3.4</w:t>
      </w:r>
      <w:r w:rsidR="00D21557" w:rsidRPr="009A0DA6">
        <w:tab/>
        <w:t xml:space="preserve">study developments and trends in church and society and give guidance to the pastors and members of the Church accordingly; </w:t>
      </w:r>
    </w:p>
    <w:p w14:paraId="11A94537" w14:textId="0AFCB50B" w:rsidR="00715CCE" w:rsidRPr="009A0DA6" w:rsidRDefault="00D21557" w:rsidP="00715CCE">
      <w:pPr>
        <w:pStyle w:val="NoSpacing"/>
        <w:ind w:left="1418" w:hanging="851"/>
        <w:rPr>
          <w:sz w:val="10"/>
        </w:rPr>
      </w:pPr>
      <w:r w:rsidRPr="009A0DA6">
        <w:t>8.6.3.5</w:t>
      </w:r>
      <w:r w:rsidRPr="009A0DA6">
        <w:tab/>
        <w:t>care for the pastors of the Church and have oversight of their ministry;</w:t>
      </w:r>
    </w:p>
    <w:p w14:paraId="25D10F92" w14:textId="4C4EB45F" w:rsidR="00715CCE" w:rsidRPr="009A0DA6" w:rsidRDefault="00D21557" w:rsidP="00715CCE">
      <w:pPr>
        <w:pStyle w:val="NoSpacing"/>
        <w:ind w:left="1418" w:hanging="851"/>
        <w:rPr>
          <w:sz w:val="10"/>
        </w:rPr>
      </w:pPr>
      <w:r w:rsidRPr="009A0DA6">
        <w:t>8.6.3.6</w:t>
      </w:r>
      <w:r w:rsidRPr="009A0DA6">
        <w:tab/>
        <w:t>give leadership in the resolution of conflict in the Church;</w:t>
      </w:r>
    </w:p>
    <w:p w14:paraId="604F1D8B" w14:textId="7793D4BF" w:rsidR="00715CCE" w:rsidRPr="009A0DA6" w:rsidRDefault="00D21557" w:rsidP="00715CCE">
      <w:pPr>
        <w:pStyle w:val="NoSpacing"/>
        <w:ind w:left="1418" w:hanging="851"/>
        <w:rPr>
          <w:sz w:val="10"/>
        </w:rPr>
      </w:pPr>
      <w:r w:rsidRPr="009A0DA6">
        <w:t>8.6.3.7</w:t>
      </w:r>
      <w:r w:rsidRPr="009A0DA6">
        <w:tab/>
        <w:t>advise the General Church Council and any District Church Council on matters pertaining to the Church and its ministry;</w:t>
      </w:r>
    </w:p>
    <w:p w14:paraId="562D3E9A" w14:textId="5AA25BE4" w:rsidR="00715CCE" w:rsidRPr="009A0DA6" w:rsidRDefault="00DA16F1" w:rsidP="00715CCE">
      <w:pPr>
        <w:pStyle w:val="NoSpacing"/>
        <w:ind w:left="1418" w:hanging="851"/>
        <w:rPr>
          <w:snapToGrid w:val="0"/>
          <w:sz w:val="10"/>
        </w:rPr>
      </w:pPr>
      <w:r w:rsidRPr="009A0DA6">
        <w:t>8.6.3.8</w:t>
      </w:r>
      <w:r w:rsidRPr="009A0DA6">
        <w:tab/>
        <w:t>h</w:t>
      </w:r>
      <w:r w:rsidR="00D21557" w:rsidRPr="009A0DA6">
        <w:t xml:space="preserve">ave oversight of, and report to the General Church Council on the work of the </w:t>
      </w:r>
      <w:r w:rsidR="00D21557" w:rsidRPr="009A0DA6">
        <w:rPr>
          <w:snapToGrid w:val="0"/>
        </w:rPr>
        <w:t>Commission on Theology and Inter-Church Relations, the Commission on Worship and the Commission on Social and Bioethical Questions;</w:t>
      </w:r>
    </w:p>
    <w:p w14:paraId="20C7835F" w14:textId="65FEE4CD" w:rsidR="00715CCE" w:rsidRPr="009A0DA6" w:rsidRDefault="00D21557" w:rsidP="00715CCE">
      <w:pPr>
        <w:pStyle w:val="NoSpacing"/>
        <w:ind w:left="1418" w:hanging="851"/>
        <w:rPr>
          <w:sz w:val="10"/>
        </w:rPr>
      </w:pPr>
      <w:r w:rsidRPr="009A0DA6">
        <w:t>8.6.3.9</w:t>
      </w:r>
      <w:r w:rsidRPr="009A0DA6">
        <w:tab/>
        <w:t>assign, in consultation with the teaching staff, the pastor graduates of Australian Lutheran College and oth</w:t>
      </w:r>
      <w:r w:rsidR="00715CCE" w:rsidRPr="009A0DA6">
        <w:t xml:space="preserve">er pastors as the need arises; </w:t>
      </w:r>
      <w:r w:rsidRPr="009A0DA6">
        <w:t>and</w:t>
      </w:r>
    </w:p>
    <w:p w14:paraId="21079CCB" w14:textId="77777777" w:rsidR="00D21557" w:rsidRPr="009A0DA6" w:rsidRDefault="00D21557" w:rsidP="00715CCE">
      <w:pPr>
        <w:pStyle w:val="NoSpacing"/>
        <w:ind w:left="1418" w:hanging="851"/>
      </w:pPr>
      <w:r w:rsidRPr="009A0DA6">
        <w:t>8.6.3.10</w:t>
      </w:r>
      <w:r w:rsidRPr="009A0DA6">
        <w:tab/>
        <w:t>give pastoral support, care and counsel to each other.</w:t>
      </w:r>
    </w:p>
    <w:p w14:paraId="3C16E3F3" w14:textId="77777777" w:rsidR="00715CCE" w:rsidRPr="009A0DA6" w:rsidRDefault="00715CCE" w:rsidP="00715CCE">
      <w:pPr>
        <w:pStyle w:val="NoSpacing"/>
        <w:ind w:left="1418" w:hanging="851"/>
        <w:rPr>
          <w:sz w:val="10"/>
        </w:rPr>
      </w:pPr>
    </w:p>
    <w:p w14:paraId="5533B0B3" w14:textId="77777777" w:rsidR="00D21557" w:rsidRPr="009A0DA6" w:rsidRDefault="00D21557" w:rsidP="00715CCE">
      <w:pPr>
        <w:pStyle w:val="NoSpacing"/>
        <w:ind w:left="567" w:hanging="567"/>
      </w:pPr>
      <w:r w:rsidRPr="009A0DA6">
        <w:t>8.6.4</w:t>
      </w:r>
      <w:r w:rsidRPr="009A0DA6">
        <w:tab/>
        <w:t>The College of Bishops shall meet and consult regularly in order to carry out its work.</w:t>
      </w:r>
    </w:p>
    <w:p w14:paraId="3B0EB18C" w14:textId="77777777" w:rsidR="00D21557" w:rsidRPr="009A0DA6" w:rsidRDefault="00D21557" w:rsidP="00D21557">
      <w:pPr>
        <w:pStyle w:val="NoSpacing"/>
      </w:pPr>
    </w:p>
    <w:p w14:paraId="18EC8628" w14:textId="77777777" w:rsidR="00DA16F1" w:rsidRPr="009A0DA6" w:rsidRDefault="00DA16F1">
      <w:pPr>
        <w:rPr>
          <w:rFonts w:ascii="Cambria" w:hAnsi="Cambria"/>
          <w:b/>
        </w:rPr>
      </w:pPr>
      <w:r w:rsidRPr="009A0DA6">
        <w:rPr>
          <w:rFonts w:ascii="Cambria" w:hAnsi="Cambria"/>
          <w:b/>
        </w:rPr>
        <w:br w:type="page"/>
      </w:r>
    </w:p>
    <w:p w14:paraId="3DBE1EA0" w14:textId="316AEBD5" w:rsidR="00D21557" w:rsidRPr="009A0DA6" w:rsidRDefault="00CB1007" w:rsidP="00715CCE">
      <w:pPr>
        <w:pStyle w:val="NoSpacing"/>
        <w:jc w:val="center"/>
        <w:rPr>
          <w:b/>
          <w:sz w:val="10"/>
        </w:rPr>
      </w:pPr>
      <w:r>
        <w:rPr>
          <w:b/>
        </w:rPr>
        <w:lastRenderedPageBreak/>
        <w:t xml:space="preserve">SECTION 5.6 </w:t>
      </w:r>
      <w:r w:rsidR="00D21557" w:rsidRPr="009A0DA6">
        <w:rPr>
          <w:b/>
        </w:rPr>
        <w:t>GENERAL</w:t>
      </w:r>
      <w:r>
        <w:rPr>
          <w:b/>
        </w:rPr>
        <w:t xml:space="preserve"> PASTORS'</w:t>
      </w:r>
      <w:r w:rsidR="00D21557" w:rsidRPr="009A0DA6">
        <w:rPr>
          <w:b/>
        </w:rPr>
        <w:t xml:space="preserve"> CONFERENCE</w:t>
      </w:r>
      <w:r w:rsidR="00715CCE" w:rsidRPr="009A0DA6">
        <w:rPr>
          <w:b/>
        </w:rPr>
        <w:br/>
      </w:r>
    </w:p>
    <w:p w14:paraId="294433E7" w14:textId="40113276" w:rsidR="00715CCE" w:rsidRPr="009A0DA6" w:rsidRDefault="00D21557" w:rsidP="00DA16F1">
      <w:pPr>
        <w:pStyle w:val="NoSpacing"/>
        <w:ind w:left="567" w:hanging="567"/>
      </w:pPr>
      <w:r w:rsidRPr="009A0DA6">
        <w:t>5.6.1</w:t>
      </w:r>
      <w:r w:rsidRPr="009A0DA6">
        <w:tab/>
        <w:t xml:space="preserve">The duties of the </w:t>
      </w:r>
      <w:r w:rsidR="0027799A" w:rsidRPr="009A0DA6">
        <w:t>General Pastors Conference</w:t>
      </w:r>
      <w:r w:rsidRPr="009A0DA6">
        <w:t xml:space="preserve"> shall be to</w:t>
      </w:r>
    </w:p>
    <w:p w14:paraId="503A58B4" w14:textId="61F08E71" w:rsidR="00933F77" w:rsidRPr="009A0DA6" w:rsidRDefault="00D21557" w:rsidP="00DA16F1">
      <w:pPr>
        <w:pStyle w:val="NoSpacing"/>
        <w:ind w:left="1418" w:hanging="851"/>
      </w:pPr>
      <w:r w:rsidRPr="009A0DA6">
        <w:t>5.6.1.1</w:t>
      </w:r>
      <w:r w:rsidRPr="009A0DA6">
        <w:tab/>
        <w:t>give guidance in matters of doctrine and confession;</w:t>
      </w:r>
    </w:p>
    <w:p w14:paraId="1E71FC65" w14:textId="54D5BAED" w:rsidR="00933F77" w:rsidRPr="009A0DA6" w:rsidRDefault="00D21557" w:rsidP="00DA16F1">
      <w:pPr>
        <w:pStyle w:val="NoSpacing"/>
        <w:ind w:left="1418" w:hanging="851"/>
      </w:pPr>
      <w:r w:rsidRPr="009A0DA6">
        <w:t>5.6.1.2</w:t>
      </w:r>
      <w:r w:rsidRPr="009A0DA6">
        <w:tab/>
        <w:t>foster theological studies by all members of the Ministry;</w:t>
      </w:r>
    </w:p>
    <w:p w14:paraId="2C67304A" w14:textId="565E1419" w:rsidR="00933F77" w:rsidRPr="009A0DA6" w:rsidRDefault="00D21557" w:rsidP="00DA16F1">
      <w:pPr>
        <w:pStyle w:val="NoSpacing"/>
        <w:ind w:left="1418" w:hanging="851"/>
      </w:pPr>
      <w:r w:rsidRPr="009A0DA6">
        <w:t>5.6.1.3</w:t>
      </w:r>
      <w:r w:rsidRPr="009A0DA6">
        <w:tab/>
        <w:t>stimulate and give guidance to the members of the Ministry in the work of their calling;</w:t>
      </w:r>
    </w:p>
    <w:p w14:paraId="59AAC500" w14:textId="1A883775" w:rsidR="00933F77" w:rsidRPr="009A0DA6" w:rsidRDefault="00D21557" w:rsidP="00DA16F1">
      <w:pPr>
        <w:pStyle w:val="NoSpacing"/>
        <w:ind w:left="1418" w:hanging="851"/>
      </w:pPr>
      <w:r w:rsidRPr="009A0DA6">
        <w:t>5.6.1.4</w:t>
      </w:r>
      <w:r w:rsidRPr="009A0DA6">
        <w:tab/>
        <w:t>foster fellowship betwee</w:t>
      </w:r>
      <w:r w:rsidR="00715CCE" w:rsidRPr="009A0DA6">
        <w:t xml:space="preserve">n the members of the Ministry; </w:t>
      </w:r>
      <w:r w:rsidRPr="009A0DA6">
        <w:t>and</w:t>
      </w:r>
    </w:p>
    <w:p w14:paraId="50875E41" w14:textId="61360494" w:rsidR="00715CCE" w:rsidRPr="009A0DA6" w:rsidRDefault="00D21557" w:rsidP="00DA16F1">
      <w:pPr>
        <w:pStyle w:val="NoSpacing"/>
        <w:ind w:left="1418" w:hanging="851"/>
      </w:pPr>
      <w:r w:rsidRPr="009A0DA6">
        <w:t>5.6.1.5</w:t>
      </w:r>
      <w:r w:rsidRPr="009A0DA6">
        <w:tab/>
        <w:t>consider matters relating to the well-being of the Church.</w:t>
      </w:r>
    </w:p>
    <w:p w14:paraId="1A6E912D" w14:textId="4D0FE1F3" w:rsidR="00933F77" w:rsidRPr="009A0DA6" w:rsidRDefault="00DA16F1" w:rsidP="00DA16F1">
      <w:pPr>
        <w:pStyle w:val="NoSpacing"/>
        <w:ind w:left="567" w:hanging="567"/>
      </w:pPr>
      <w:r w:rsidRPr="009A0DA6">
        <w:t>5.6.2</w:t>
      </w:r>
      <w:r w:rsidRPr="009A0DA6">
        <w:tab/>
        <w:t>T</w:t>
      </w:r>
      <w:r w:rsidR="00D21557" w:rsidRPr="009A0DA6">
        <w:t xml:space="preserve">he </w:t>
      </w:r>
      <w:r w:rsidR="0027799A" w:rsidRPr="009A0DA6">
        <w:t>General Pastors Conference</w:t>
      </w:r>
      <w:r w:rsidR="00D21557" w:rsidRPr="009A0DA6">
        <w:t xml:space="preserve"> shall serve as a theological a</w:t>
      </w:r>
      <w:r w:rsidRPr="009A0DA6">
        <w:t xml:space="preserve">dviser to the General Synod and </w:t>
      </w:r>
      <w:r w:rsidR="00D21557" w:rsidRPr="009A0DA6">
        <w:t>in fulfilment of such function</w:t>
      </w:r>
    </w:p>
    <w:p w14:paraId="1EC42B1D" w14:textId="77777777" w:rsidR="00933F77" w:rsidRPr="009A0DA6" w:rsidRDefault="00D21557" w:rsidP="00933F77">
      <w:pPr>
        <w:pStyle w:val="NoSpacing"/>
        <w:ind w:left="1418" w:hanging="851"/>
      </w:pPr>
      <w:r w:rsidRPr="009A0DA6">
        <w:t>5.6.2.1</w:t>
      </w:r>
      <w:r w:rsidRPr="009A0DA6">
        <w:tab/>
        <w:t>shall consider those questions, issues and statements of a theological and confessional nature which appear on the agenda of the convention of the General Synod and are referred to it by the General Church Council;</w:t>
      </w:r>
    </w:p>
    <w:p w14:paraId="10E30EFA" w14:textId="664B9AE3" w:rsidR="00933F77" w:rsidRPr="009A0DA6" w:rsidRDefault="00D21557" w:rsidP="00DA16F1">
      <w:pPr>
        <w:pStyle w:val="NoSpacing"/>
        <w:ind w:left="1418" w:hanging="851"/>
      </w:pPr>
      <w:r w:rsidRPr="009A0DA6">
        <w:t>5.6.2.2</w:t>
      </w:r>
      <w:r w:rsidRPr="009A0DA6">
        <w:tab/>
        <w:t>may voice its opinion with regard to the advisability or non-advisability of dealing with any such question or issue or of ad</w:t>
      </w:r>
      <w:r w:rsidR="00933F77" w:rsidRPr="009A0DA6">
        <w:t xml:space="preserve">opting a particular statement; </w:t>
      </w:r>
      <w:r w:rsidRPr="009A0DA6">
        <w:t>and</w:t>
      </w:r>
    </w:p>
    <w:p w14:paraId="477C4F00" w14:textId="7ADE7273" w:rsidR="00933F77" w:rsidRPr="009A0DA6" w:rsidRDefault="00D21557" w:rsidP="00DA16F1">
      <w:pPr>
        <w:pStyle w:val="NoSpacing"/>
        <w:ind w:left="1418" w:hanging="851"/>
      </w:pPr>
      <w:r w:rsidRPr="009A0DA6">
        <w:t>5.6.2.3</w:t>
      </w:r>
      <w:r w:rsidRPr="009A0DA6">
        <w:tab/>
        <w:t>may recommend amendments, corrections, additions or explanations concerning proposed statements.</w:t>
      </w:r>
    </w:p>
    <w:p w14:paraId="06EF9456" w14:textId="64A6B8F3" w:rsidR="00933F77" w:rsidRPr="009A0DA6" w:rsidRDefault="00D21557" w:rsidP="00933F77">
      <w:pPr>
        <w:pStyle w:val="NoSpacing"/>
        <w:ind w:left="567" w:hanging="567"/>
      </w:pPr>
      <w:r w:rsidRPr="009A0DA6">
        <w:t>5.6.3</w:t>
      </w:r>
      <w:r w:rsidRPr="009A0DA6">
        <w:tab/>
        <w:t>5.6.3.1</w:t>
      </w:r>
      <w:r w:rsidRPr="009A0DA6">
        <w:tab/>
        <w:t xml:space="preserve">All pastors shall be entitled to attend all </w:t>
      </w:r>
      <w:r w:rsidR="0027799A" w:rsidRPr="009A0DA6">
        <w:t>General Pastors Conference</w:t>
      </w:r>
      <w:r w:rsidRPr="009A0DA6">
        <w:t xml:space="preserve">s, to </w:t>
      </w:r>
      <w:r w:rsidR="00933F77" w:rsidRPr="009A0DA6">
        <w:br/>
        <w:t xml:space="preserve">                  </w:t>
      </w:r>
      <w:r w:rsidRPr="009A0DA6">
        <w:t xml:space="preserve">take an active part in all deliberations and to vote on all matters before the </w:t>
      </w:r>
    </w:p>
    <w:p w14:paraId="301A58D9" w14:textId="335CDF16" w:rsidR="00D21557" w:rsidRPr="009A0DA6" w:rsidRDefault="00933F77" w:rsidP="00933F77">
      <w:pPr>
        <w:pStyle w:val="NoSpacing"/>
        <w:tabs>
          <w:tab w:val="left" w:pos="1418"/>
        </w:tabs>
        <w:ind w:left="1418"/>
      </w:pPr>
      <w:r w:rsidRPr="009A0DA6">
        <w:tab/>
      </w:r>
      <w:r w:rsidR="00D21557" w:rsidRPr="009A0DA6">
        <w:t xml:space="preserve">Conference, except when nominations for the positions of Bishop and Assistant Bishop are being made according to the By-laws of the Church during a </w:t>
      </w:r>
      <w:r w:rsidR="0027799A" w:rsidRPr="009A0DA6">
        <w:t>General Pastors Conference</w:t>
      </w:r>
      <w:r w:rsidR="00D21557" w:rsidRPr="009A0DA6">
        <w:t>.</w:t>
      </w:r>
    </w:p>
    <w:p w14:paraId="11E74814" w14:textId="0433A380" w:rsidR="00933F77" w:rsidRPr="009A0DA6" w:rsidRDefault="00D21557" w:rsidP="00933F77">
      <w:pPr>
        <w:pStyle w:val="NoSpacing"/>
        <w:ind w:left="1418" w:hanging="851"/>
      </w:pPr>
      <w:r w:rsidRPr="009A0DA6">
        <w:t>5.6.3.2</w:t>
      </w:r>
      <w:r w:rsidRPr="009A0DA6">
        <w:tab/>
        <w:t xml:space="preserve">The </w:t>
      </w:r>
      <w:r w:rsidR="0027799A" w:rsidRPr="009A0DA6">
        <w:t>General Pastors Conference</w:t>
      </w:r>
      <w:r w:rsidRPr="009A0DA6">
        <w:t xml:space="preserve"> shall elect a chairperson and a secretary at its conference prior to the regular convention of the General Synod</w:t>
      </w:r>
      <w:r w:rsidR="0027799A" w:rsidRPr="009A0DA6">
        <w:t xml:space="preserve">. </w:t>
      </w:r>
      <w:r w:rsidRPr="009A0DA6">
        <w:t>There shall be a Program Committee which shall consist of the chairperson and the secretary of the Conference, the Bishop and Assistant Bishop of the Church, and two other members elected by the Conference.</w:t>
      </w:r>
    </w:p>
    <w:p w14:paraId="4DA35EB1" w14:textId="77777777" w:rsidR="00D21557" w:rsidRPr="009A0DA6" w:rsidRDefault="00D21557" w:rsidP="00933F77">
      <w:pPr>
        <w:pStyle w:val="NoSpacing"/>
        <w:ind w:left="1418" w:hanging="851"/>
      </w:pPr>
      <w:r w:rsidRPr="009A0DA6">
        <w:t>5.6.3.3</w:t>
      </w:r>
      <w:r w:rsidRPr="009A0DA6">
        <w:tab/>
        <w:t xml:space="preserve">The basis for any reimbursement of the travelling expenses of </w:t>
      </w:r>
    </w:p>
    <w:p w14:paraId="5A94FA22" w14:textId="05D63BDB" w:rsidR="00DA16F1" w:rsidRPr="009A0DA6" w:rsidRDefault="00D21557" w:rsidP="00933F77">
      <w:pPr>
        <w:pStyle w:val="NoSpacing"/>
        <w:ind w:left="2552" w:hanging="1134"/>
      </w:pPr>
      <w:r w:rsidRPr="009A0DA6">
        <w:t>5.6.3.3.1</w:t>
      </w:r>
      <w:r w:rsidRPr="009A0DA6">
        <w:tab/>
        <w:t xml:space="preserve">pastors not being pastor delegates who attend the </w:t>
      </w:r>
      <w:r w:rsidR="0027799A" w:rsidRPr="009A0DA6">
        <w:t>General Pastors Conference</w:t>
      </w:r>
      <w:r w:rsidRPr="009A0DA6">
        <w:t xml:space="preserve"> held in conjunction with the regular c</w:t>
      </w:r>
      <w:r w:rsidR="00933F77" w:rsidRPr="009A0DA6">
        <w:t>onvention of the General Synod;</w:t>
      </w:r>
      <w:r w:rsidRPr="009A0DA6">
        <w:t xml:space="preserve"> and</w:t>
      </w:r>
    </w:p>
    <w:p w14:paraId="3CB3361A" w14:textId="00DC4627" w:rsidR="00DA16F1" w:rsidRPr="009A0DA6" w:rsidRDefault="00D21557" w:rsidP="00DA16F1">
      <w:pPr>
        <w:pStyle w:val="NoSpacing"/>
        <w:ind w:left="2552" w:hanging="1134"/>
        <w:rPr>
          <w:sz w:val="10"/>
        </w:rPr>
      </w:pPr>
      <w:r w:rsidRPr="009A0DA6">
        <w:t>5.6.3.3.2</w:t>
      </w:r>
      <w:r w:rsidRPr="009A0DA6">
        <w:tab/>
        <w:t xml:space="preserve">all pastors attending a </w:t>
      </w:r>
      <w:r w:rsidR="0027799A" w:rsidRPr="009A0DA6">
        <w:t>General Pastors Conference</w:t>
      </w:r>
      <w:r w:rsidRPr="009A0DA6">
        <w:t xml:space="preserve"> held at any other time, </w:t>
      </w:r>
    </w:p>
    <w:p w14:paraId="458C975F" w14:textId="58C4E50B" w:rsidR="00933F77" w:rsidRPr="009A0DA6" w:rsidRDefault="00933F77" w:rsidP="00D21557">
      <w:pPr>
        <w:pStyle w:val="NoSpacing"/>
      </w:pPr>
      <w:r w:rsidRPr="009A0DA6">
        <w:tab/>
      </w:r>
      <w:r w:rsidRPr="009A0DA6">
        <w:tab/>
      </w:r>
      <w:r w:rsidR="00D21557" w:rsidRPr="009A0DA6">
        <w:t>shall be determined by the General Synod or the General Church Council.</w:t>
      </w:r>
    </w:p>
    <w:p w14:paraId="3D97FCF7" w14:textId="36535591" w:rsidR="00D21557" w:rsidRPr="009A0DA6" w:rsidRDefault="00D21557" w:rsidP="00933F77">
      <w:pPr>
        <w:pStyle w:val="NoSpacing"/>
        <w:ind w:left="567" w:hanging="567"/>
      </w:pPr>
      <w:r w:rsidRPr="009A0DA6">
        <w:t>5.6.4</w:t>
      </w:r>
      <w:r w:rsidRPr="009A0DA6">
        <w:tab/>
        <w:t xml:space="preserve">An official copy of the minutes of the </w:t>
      </w:r>
      <w:r w:rsidR="0027799A" w:rsidRPr="009A0DA6">
        <w:t>General Pastors Conference</w:t>
      </w:r>
      <w:r w:rsidRPr="009A0DA6">
        <w:t xml:space="preserve"> shall be filed with the Secretary of the Church.</w:t>
      </w:r>
    </w:p>
    <w:p w14:paraId="0AD06753" w14:textId="636C99F9" w:rsidR="000F6859" w:rsidRDefault="000F6859" w:rsidP="000F6859">
      <w:pPr>
        <w:pStyle w:val="NoSpacing"/>
      </w:pPr>
    </w:p>
    <w:p w14:paraId="53EEAAF6" w14:textId="77777777" w:rsidR="00CB1007" w:rsidRPr="00CB1007" w:rsidRDefault="00CB1007" w:rsidP="00CB1007">
      <w:pPr>
        <w:pStyle w:val="NoSpacing"/>
        <w:jc w:val="center"/>
        <w:rPr>
          <w:b/>
          <w:lang w:val="en-US"/>
        </w:rPr>
      </w:pPr>
      <w:r w:rsidRPr="00CB1007">
        <w:rPr>
          <w:b/>
        </w:rPr>
        <w:t>SECTION 7.3 PROCEDURE IN TRANSACTING BUSINESS</w:t>
      </w:r>
    </w:p>
    <w:p w14:paraId="0752737E" w14:textId="77777777" w:rsidR="00CB1007" w:rsidRPr="009A0DA6" w:rsidRDefault="00CB1007" w:rsidP="00CB1007">
      <w:pPr>
        <w:tabs>
          <w:tab w:val="left" w:pos="851"/>
          <w:tab w:val="left" w:pos="1985"/>
          <w:tab w:val="left" w:pos="3119"/>
          <w:tab w:val="left" w:pos="4536"/>
          <w:tab w:val="left" w:pos="5670"/>
        </w:tabs>
        <w:spacing w:before="120" w:after="120" w:line="240" w:lineRule="auto"/>
        <w:ind w:left="1985" w:hanging="1985"/>
        <w:contextualSpacing/>
        <w:rPr>
          <w:rFonts w:ascii="Cambria" w:hAnsi="Cambria"/>
        </w:rPr>
      </w:pPr>
      <w:r w:rsidRPr="009A0DA6">
        <w:rPr>
          <w:rFonts w:ascii="Cambria" w:hAnsi="Cambria"/>
        </w:rPr>
        <w:t>7.3.28</w:t>
      </w:r>
      <w:r w:rsidRPr="009A0DA6">
        <w:rPr>
          <w:rFonts w:ascii="Cambria" w:hAnsi="Cambria"/>
        </w:rPr>
        <w:tab/>
        <w:t>7.3.28.1</w:t>
      </w:r>
      <w:r w:rsidRPr="009A0DA6">
        <w:rPr>
          <w:rFonts w:ascii="Cambria" w:hAnsi="Cambria"/>
        </w:rPr>
        <w:tab/>
        <w:t>Matters of conscience and of doctrine shall have precedence over other matters and any rules relating to time limits and number of times a person may speak may be suspended by the ruling of the Chairperson or by a majority of those delegates voting.</w:t>
      </w:r>
    </w:p>
    <w:p w14:paraId="01254C98" w14:textId="77777777" w:rsidR="00CB1007" w:rsidRPr="009A0DA6" w:rsidRDefault="00CB1007" w:rsidP="00CB1007">
      <w:pPr>
        <w:tabs>
          <w:tab w:val="left" w:pos="851"/>
          <w:tab w:val="left" w:pos="1985"/>
          <w:tab w:val="left" w:pos="3119"/>
          <w:tab w:val="left" w:pos="4536"/>
          <w:tab w:val="left" w:pos="5670"/>
        </w:tabs>
        <w:spacing w:before="120" w:after="120" w:line="240" w:lineRule="auto"/>
        <w:ind w:left="1985" w:hanging="1985"/>
        <w:contextualSpacing/>
        <w:rPr>
          <w:rFonts w:ascii="Cambria" w:hAnsi="Cambria"/>
        </w:rPr>
      </w:pPr>
      <w:r w:rsidRPr="009A0DA6">
        <w:rPr>
          <w:rFonts w:ascii="Cambria" w:hAnsi="Cambria"/>
        </w:rPr>
        <w:tab/>
        <w:t>7.3.28.2</w:t>
      </w:r>
      <w:r w:rsidRPr="009A0DA6">
        <w:rPr>
          <w:rFonts w:ascii="Cambria" w:hAnsi="Cambria"/>
        </w:rPr>
        <w:tab/>
        <w:t>A matter deemed to be of a theological and confessional nature which has been referred to the General Pastors Conference for consideration shall be considered by the convention only after a recommendation has been received from the General Pastors Conference.</w:t>
      </w:r>
    </w:p>
    <w:p w14:paraId="0EF80FF4" w14:textId="77777777" w:rsidR="00CB1007" w:rsidRPr="009A0DA6" w:rsidRDefault="00CB1007" w:rsidP="00CB1007">
      <w:pPr>
        <w:tabs>
          <w:tab w:val="left" w:pos="851"/>
          <w:tab w:val="left" w:pos="1985"/>
          <w:tab w:val="left" w:pos="3119"/>
          <w:tab w:val="left" w:pos="4536"/>
          <w:tab w:val="left" w:pos="5670"/>
        </w:tabs>
        <w:spacing w:before="120" w:after="120" w:line="240" w:lineRule="auto"/>
        <w:ind w:left="1985" w:hanging="1985"/>
        <w:contextualSpacing/>
        <w:rPr>
          <w:rFonts w:ascii="Cambria" w:hAnsi="Cambria"/>
        </w:rPr>
      </w:pPr>
      <w:r w:rsidRPr="009A0DA6">
        <w:rPr>
          <w:rFonts w:ascii="Cambria" w:hAnsi="Cambria"/>
        </w:rPr>
        <w:tab/>
        <w:t>7.3.28.3</w:t>
      </w:r>
      <w:r w:rsidRPr="009A0DA6">
        <w:rPr>
          <w:rFonts w:ascii="Cambria" w:hAnsi="Cambria"/>
        </w:rPr>
        <w:tab/>
      </w:r>
      <w:r w:rsidRPr="009A0DA6">
        <w:rPr>
          <w:rFonts w:ascii="Cambria" w:hAnsi="Cambria" w:cs="Arial"/>
        </w:rPr>
        <w:t xml:space="preserve">For a resolution on a matter of doctrine </w:t>
      </w:r>
      <w:r w:rsidRPr="009A0DA6">
        <w:rPr>
          <w:rFonts w:ascii="Cambria" w:hAnsi="Cambria" w:cs="Arial"/>
          <w:bCs/>
        </w:rPr>
        <w:t xml:space="preserve">to </w:t>
      </w:r>
      <w:r w:rsidRPr="009A0DA6">
        <w:rPr>
          <w:rFonts w:ascii="Cambria" w:hAnsi="Cambria" w:cs="Arial"/>
        </w:rPr>
        <w:t xml:space="preserve">be deemed to be the official position of the Church </w:t>
      </w:r>
      <w:r w:rsidRPr="009A0DA6">
        <w:rPr>
          <w:rFonts w:ascii="Cambria" w:hAnsi="Cambria" w:cs="Arial"/>
          <w:bCs/>
        </w:rPr>
        <w:t>it shall require</w:t>
      </w:r>
      <w:r w:rsidRPr="009A0DA6">
        <w:rPr>
          <w:rFonts w:ascii="Cambria" w:hAnsi="Cambria" w:cs="Arial"/>
        </w:rPr>
        <w:t xml:space="preserve"> a two-thirds </w:t>
      </w:r>
      <w:r w:rsidRPr="009A0DA6">
        <w:rPr>
          <w:rFonts w:ascii="Cambria" w:hAnsi="Cambria" w:cs="Arial"/>
          <w:bCs/>
        </w:rPr>
        <w:t>majority</w:t>
      </w:r>
      <w:r w:rsidRPr="009A0DA6">
        <w:rPr>
          <w:rFonts w:ascii="Cambria" w:hAnsi="Cambria" w:cs="Arial"/>
        </w:rPr>
        <w:t xml:space="preserve"> of all the registered delegates at the convention.</w:t>
      </w:r>
      <w:r w:rsidRPr="009A0DA6">
        <w:rPr>
          <w:rFonts w:ascii="Cambria" w:hAnsi="Cambria"/>
        </w:rPr>
        <w:t xml:space="preserve"> </w:t>
      </w:r>
    </w:p>
    <w:bookmarkEnd w:id="5"/>
    <w:p w14:paraId="54C43C84" w14:textId="77777777" w:rsidR="00CB1007" w:rsidRPr="009A0DA6" w:rsidRDefault="00CB1007" w:rsidP="000F6859">
      <w:pPr>
        <w:pStyle w:val="NoSpacing"/>
      </w:pPr>
    </w:p>
    <w:p w14:paraId="63067177" w14:textId="77777777" w:rsidR="00DA16F1" w:rsidRPr="009A0DA6" w:rsidRDefault="00DA16F1">
      <w:pPr>
        <w:rPr>
          <w:rFonts w:ascii="Cambria" w:eastAsiaTheme="majorEastAsia" w:hAnsi="Cambria" w:cstheme="majorBidi"/>
          <w:b/>
          <w:caps/>
          <w:sz w:val="40"/>
          <w:szCs w:val="32"/>
        </w:rPr>
      </w:pPr>
      <w:r w:rsidRPr="009A0DA6">
        <w:rPr>
          <w:rFonts w:ascii="Cambria" w:hAnsi="Cambria"/>
        </w:rPr>
        <w:br w:type="page"/>
      </w:r>
    </w:p>
    <w:p w14:paraId="78189B96" w14:textId="44E36780" w:rsidR="000F6859" w:rsidRPr="009A0DA6" w:rsidRDefault="0037789C" w:rsidP="00D21557">
      <w:pPr>
        <w:pStyle w:val="Heading1"/>
      </w:pPr>
      <w:bookmarkStart w:id="6" w:name="_Toc521954581"/>
      <w:bookmarkStart w:id="7" w:name="_Toc522394947"/>
      <w:r w:rsidRPr="009A0DA6">
        <w:lastRenderedPageBreak/>
        <w:t>D</w:t>
      </w:r>
      <w:r w:rsidR="000F6859" w:rsidRPr="009A0DA6">
        <w:t>raft schedule of convention 2018</w:t>
      </w:r>
      <w:bookmarkEnd w:id="6"/>
      <w:bookmarkEnd w:id="7"/>
    </w:p>
    <w:p w14:paraId="6315D1C9" w14:textId="77777777" w:rsidR="00933F77" w:rsidRPr="009A0DA6" w:rsidRDefault="00933F77" w:rsidP="00933F77">
      <w:pPr>
        <w:pStyle w:val="NoSpacing"/>
      </w:pPr>
    </w:p>
    <w:p w14:paraId="571DF571" w14:textId="464CA025" w:rsidR="00933F77" w:rsidRPr="009A0DA6" w:rsidRDefault="00646FB6" w:rsidP="00646FB6">
      <w:pPr>
        <w:pStyle w:val="NoSpacing"/>
        <w:rPr>
          <w:sz w:val="30"/>
        </w:rPr>
      </w:pPr>
      <w:r w:rsidRPr="009A0DA6">
        <w:rPr>
          <w:sz w:val="30"/>
        </w:rPr>
        <w:t>2–</w:t>
      </w:r>
      <w:r w:rsidR="00933F77" w:rsidRPr="009A0DA6">
        <w:rPr>
          <w:sz w:val="30"/>
        </w:rPr>
        <w:t xml:space="preserve">7 </w:t>
      </w:r>
      <w:r w:rsidRPr="009A0DA6">
        <w:rPr>
          <w:sz w:val="30"/>
        </w:rPr>
        <w:t>October</w:t>
      </w:r>
      <w:r w:rsidR="00933F77" w:rsidRPr="009A0DA6">
        <w:rPr>
          <w:sz w:val="30"/>
        </w:rPr>
        <w:t xml:space="preserve"> 2018</w:t>
      </w:r>
    </w:p>
    <w:p w14:paraId="335DDFB2" w14:textId="5F82CCD1" w:rsidR="00933F77" w:rsidRPr="009A0DA6" w:rsidRDefault="00933F77" w:rsidP="00646FB6">
      <w:pPr>
        <w:pStyle w:val="NoSpacing"/>
        <w:rPr>
          <w:sz w:val="30"/>
        </w:rPr>
      </w:pPr>
      <w:r w:rsidRPr="009A0DA6">
        <w:rPr>
          <w:sz w:val="30"/>
        </w:rPr>
        <w:t>G</w:t>
      </w:r>
      <w:r w:rsidR="00646FB6" w:rsidRPr="009A0DA6">
        <w:rPr>
          <w:sz w:val="30"/>
        </w:rPr>
        <w:t>rand Pavilion</w:t>
      </w:r>
      <w:r w:rsidRPr="009A0DA6">
        <w:rPr>
          <w:sz w:val="30"/>
        </w:rPr>
        <w:t>, R</w:t>
      </w:r>
      <w:r w:rsidR="00646FB6" w:rsidRPr="009A0DA6">
        <w:rPr>
          <w:sz w:val="30"/>
        </w:rPr>
        <w:t>osehill Gardens</w:t>
      </w:r>
      <w:r w:rsidRPr="009A0DA6">
        <w:rPr>
          <w:sz w:val="30"/>
        </w:rPr>
        <w:t>, J</w:t>
      </w:r>
      <w:r w:rsidR="00646FB6" w:rsidRPr="009A0DA6">
        <w:rPr>
          <w:sz w:val="30"/>
        </w:rPr>
        <w:t>ames Ruse Drive</w:t>
      </w:r>
      <w:r w:rsidRPr="009A0DA6">
        <w:rPr>
          <w:sz w:val="30"/>
        </w:rPr>
        <w:t xml:space="preserve">, </w:t>
      </w:r>
      <w:r w:rsidR="00646FB6" w:rsidRPr="009A0DA6">
        <w:rPr>
          <w:sz w:val="30"/>
        </w:rPr>
        <w:t>Rosehill</w:t>
      </w:r>
      <w:r w:rsidRPr="009A0DA6">
        <w:rPr>
          <w:sz w:val="30"/>
        </w:rPr>
        <w:t xml:space="preserve"> NSW</w:t>
      </w:r>
    </w:p>
    <w:p w14:paraId="335B7BDE" w14:textId="77777777" w:rsidR="00933F77" w:rsidRPr="009A0DA6" w:rsidRDefault="00933F77" w:rsidP="00933F77">
      <w:pPr>
        <w:pStyle w:val="NoSpacing"/>
        <w:rPr>
          <w:sz w:val="24"/>
          <w:szCs w:val="24"/>
        </w:rPr>
      </w:pPr>
    </w:p>
    <w:p w14:paraId="57ABC312" w14:textId="77777777" w:rsidR="00933F77" w:rsidRPr="009A0DA6" w:rsidRDefault="00933F77" w:rsidP="00933F77">
      <w:pPr>
        <w:pStyle w:val="Subtitle"/>
      </w:pPr>
      <w:r w:rsidRPr="009A0DA6">
        <w:t>TUESDAY 2 OCTOBER</w:t>
      </w:r>
      <w:r w:rsidRPr="009A0DA6">
        <w:tab/>
      </w:r>
    </w:p>
    <w:p w14:paraId="7367780E" w14:textId="5285B8E3" w:rsidR="00933F77" w:rsidRPr="009A0DA6" w:rsidRDefault="00646FB6" w:rsidP="005E5BC9">
      <w:pPr>
        <w:pStyle w:val="NoSpacing"/>
        <w:rPr>
          <w:rFonts w:cs="Arial"/>
          <w:b/>
        </w:rPr>
      </w:pPr>
      <w:r w:rsidRPr="009A0DA6">
        <w:rPr>
          <w:rFonts w:cs="Arial"/>
          <w:b/>
        </w:rPr>
        <w:t>Exodus 3:7-8a</w:t>
      </w:r>
    </w:p>
    <w:p w14:paraId="6F12CAAF" w14:textId="55705516" w:rsidR="00646FB6" w:rsidRPr="009A0DA6" w:rsidRDefault="00646FB6" w:rsidP="005E5BC9">
      <w:pPr>
        <w:pStyle w:val="NoSpacing"/>
        <w:rPr>
          <w:rFonts w:cs="Arial"/>
          <w:i/>
        </w:rPr>
      </w:pPr>
      <w:r w:rsidRPr="009A0DA6">
        <w:rPr>
          <w:rStyle w:val="text"/>
          <w:i/>
        </w:rPr>
        <w:t xml:space="preserve">Then the </w:t>
      </w:r>
      <w:r w:rsidRPr="009A0DA6">
        <w:rPr>
          <w:rStyle w:val="small-caps"/>
          <w:i/>
          <w:smallCaps/>
        </w:rPr>
        <w:t>Lord</w:t>
      </w:r>
      <w:r w:rsidRPr="009A0DA6">
        <w:rPr>
          <w:rStyle w:val="text"/>
          <w:i/>
        </w:rPr>
        <w:t xml:space="preserve"> said, “I have observed the misery of my people who are in Egypt; I have heard their cry on account of their taskmasters. Indeed, I know their sufferings, and I have come down to </w:t>
      </w:r>
      <w:r w:rsidR="005E5BC9" w:rsidRPr="009A0DA6">
        <w:rPr>
          <w:rStyle w:val="text"/>
          <w:i/>
        </w:rPr>
        <w:t>deliver them from the Egyptians.”</w:t>
      </w:r>
    </w:p>
    <w:p w14:paraId="58A73802" w14:textId="77777777" w:rsidR="00646FB6" w:rsidRPr="009A0DA6" w:rsidRDefault="00646FB6" w:rsidP="00933F77">
      <w:pPr>
        <w:pStyle w:val="NoSpacing"/>
        <w:rPr>
          <w:rFonts w:cs="Arial"/>
        </w:rPr>
      </w:pPr>
    </w:p>
    <w:p w14:paraId="6375AE37" w14:textId="77777777" w:rsidR="00933F77" w:rsidRPr="009A0DA6" w:rsidRDefault="00933F77" w:rsidP="00933F77">
      <w:pPr>
        <w:pStyle w:val="NoSpacing"/>
      </w:pPr>
      <w:r w:rsidRPr="009A0DA6">
        <w:t xml:space="preserve">  4:00 pm</w:t>
      </w:r>
      <w:r w:rsidRPr="009A0DA6">
        <w:tab/>
        <w:t>Registrations open</w:t>
      </w:r>
    </w:p>
    <w:p w14:paraId="34A95B02" w14:textId="4BF482CF" w:rsidR="00933F77" w:rsidRPr="009A0DA6" w:rsidRDefault="00B916AC" w:rsidP="00933F77">
      <w:pPr>
        <w:pStyle w:val="NoSpacing"/>
      </w:pPr>
      <w:r w:rsidRPr="009A0DA6">
        <w:t xml:space="preserve">  7:00 pm </w:t>
      </w:r>
      <w:r w:rsidRPr="009A0DA6">
        <w:tab/>
        <w:t>Convention opening s</w:t>
      </w:r>
      <w:r w:rsidR="00933F77" w:rsidRPr="009A0DA6">
        <w:t>ervice</w:t>
      </w:r>
      <w:r w:rsidR="00D355C0">
        <w:t xml:space="preserve"> and welcome</w:t>
      </w:r>
      <w:r w:rsidRPr="009A0DA6">
        <w:t xml:space="preserve"> (chapel)</w:t>
      </w:r>
    </w:p>
    <w:p w14:paraId="60152C33" w14:textId="77777777" w:rsidR="00933F77" w:rsidRPr="009A0DA6" w:rsidRDefault="00933F77" w:rsidP="00933F77">
      <w:pPr>
        <w:pStyle w:val="NoSpacing"/>
      </w:pPr>
      <w:r w:rsidRPr="009A0DA6">
        <w:t xml:space="preserve">  8:30 pm </w:t>
      </w:r>
      <w:r w:rsidRPr="009A0DA6">
        <w:tab/>
        <w:t>Supper</w:t>
      </w:r>
    </w:p>
    <w:p w14:paraId="274D7D84" w14:textId="77777777" w:rsidR="00933F77" w:rsidRPr="009A0DA6" w:rsidRDefault="00933F77" w:rsidP="00933F77">
      <w:pPr>
        <w:pStyle w:val="NoSpacing"/>
        <w:rPr>
          <w:b/>
          <w:sz w:val="24"/>
          <w:szCs w:val="24"/>
        </w:rPr>
      </w:pPr>
    </w:p>
    <w:p w14:paraId="62D4F463" w14:textId="77777777" w:rsidR="00933F77" w:rsidRPr="009A0DA6" w:rsidRDefault="00933F77" w:rsidP="00933F77">
      <w:pPr>
        <w:pStyle w:val="NoSpacing"/>
        <w:rPr>
          <w:b/>
          <w:sz w:val="24"/>
          <w:szCs w:val="24"/>
        </w:rPr>
      </w:pPr>
      <w:r w:rsidRPr="009A0DA6">
        <w:rPr>
          <w:b/>
          <w:sz w:val="24"/>
          <w:szCs w:val="24"/>
        </w:rPr>
        <w:t xml:space="preserve">WEDNESDAY 3 OCTOBER </w:t>
      </w:r>
      <w:r w:rsidRPr="009A0DA6">
        <w:rPr>
          <w:b/>
          <w:sz w:val="24"/>
          <w:szCs w:val="24"/>
        </w:rPr>
        <w:tab/>
      </w:r>
    </w:p>
    <w:p w14:paraId="5E3806BA" w14:textId="0CD49F26" w:rsidR="003E0EEF" w:rsidRPr="009A0DA6" w:rsidRDefault="003E0EEF" w:rsidP="003E0EEF">
      <w:pPr>
        <w:pStyle w:val="NoSpacing"/>
        <w:rPr>
          <w:rFonts w:cs="Arial"/>
          <w:b/>
        </w:rPr>
      </w:pPr>
      <w:r w:rsidRPr="009A0DA6">
        <w:rPr>
          <w:rFonts w:cs="Arial"/>
          <w:b/>
        </w:rPr>
        <w:t>Exodus 12:13</w:t>
      </w:r>
    </w:p>
    <w:p w14:paraId="38812095" w14:textId="154662FE" w:rsidR="003E0EEF" w:rsidRPr="009A0DA6" w:rsidRDefault="0017619D" w:rsidP="003E0EEF">
      <w:pPr>
        <w:pStyle w:val="NoSpacing"/>
        <w:rPr>
          <w:rStyle w:val="text"/>
          <w:i/>
        </w:rPr>
      </w:pPr>
      <w:r w:rsidRPr="009A0DA6">
        <w:rPr>
          <w:rStyle w:val="text"/>
          <w:i/>
        </w:rPr>
        <w:t>“The blood shall be a sign for you on the houses where you live: when I see the blood, I will</w:t>
      </w:r>
      <w:r w:rsidRPr="009A0DA6">
        <w:rPr>
          <w:rStyle w:val="text"/>
        </w:rPr>
        <w:t xml:space="preserve"> </w:t>
      </w:r>
      <w:r w:rsidRPr="009A0DA6">
        <w:rPr>
          <w:rStyle w:val="text"/>
          <w:i/>
        </w:rPr>
        <w:t>pass over you, and no plague shall destroy you when I strike the land of Egypt.”</w:t>
      </w:r>
    </w:p>
    <w:p w14:paraId="3B681D32" w14:textId="77777777" w:rsidR="0017619D" w:rsidRPr="009A0DA6" w:rsidRDefault="0017619D" w:rsidP="003E0EEF">
      <w:pPr>
        <w:pStyle w:val="NoSpacing"/>
        <w:rPr>
          <w:rFonts w:cs="Arial"/>
          <w:i/>
        </w:rPr>
      </w:pPr>
    </w:p>
    <w:p w14:paraId="704937F3" w14:textId="77777777" w:rsidR="00933F77" w:rsidRPr="009A0DA6" w:rsidRDefault="00933F77" w:rsidP="00933F77">
      <w:pPr>
        <w:pStyle w:val="NoSpacing"/>
      </w:pPr>
      <w:r w:rsidRPr="009A0DA6">
        <w:t xml:space="preserve">  7:00 am</w:t>
      </w:r>
      <w:r w:rsidRPr="009A0DA6">
        <w:tab/>
        <w:t>Registrations open</w:t>
      </w:r>
    </w:p>
    <w:p w14:paraId="43F45CF0" w14:textId="3F44DA02" w:rsidR="00933F77" w:rsidRPr="009A0DA6" w:rsidRDefault="00933F77" w:rsidP="00933F77">
      <w:pPr>
        <w:pStyle w:val="NoSpacing"/>
      </w:pPr>
      <w:r w:rsidRPr="009A0DA6">
        <w:t xml:space="preserve">  8:30 am</w:t>
      </w:r>
      <w:r w:rsidRPr="009A0DA6">
        <w:tab/>
        <w:t>Communion service (chapel)</w:t>
      </w:r>
    </w:p>
    <w:p w14:paraId="109E402D" w14:textId="77777777" w:rsidR="00933F77" w:rsidRPr="009A0DA6" w:rsidRDefault="00933F77" w:rsidP="00933F77">
      <w:pPr>
        <w:pStyle w:val="NoSpacing"/>
      </w:pPr>
      <w:r w:rsidRPr="009A0DA6">
        <w:t xml:space="preserve">  9:40 am</w:t>
      </w:r>
      <w:r w:rsidRPr="009A0DA6">
        <w:tab/>
        <w:t>Convention session</w:t>
      </w:r>
    </w:p>
    <w:p w14:paraId="2210C1C9" w14:textId="77777777" w:rsidR="00933F77" w:rsidRPr="009A0DA6" w:rsidRDefault="00933F77" w:rsidP="00933F77">
      <w:pPr>
        <w:pStyle w:val="NoSpacing"/>
      </w:pPr>
      <w:r w:rsidRPr="009A0DA6">
        <w:t>10:30 am</w:t>
      </w:r>
      <w:r w:rsidRPr="009A0DA6">
        <w:tab/>
        <w:t>Morning tea</w:t>
      </w:r>
    </w:p>
    <w:p w14:paraId="77E701C6" w14:textId="77777777" w:rsidR="00933F77" w:rsidRPr="009A0DA6" w:rsidRDefault="00933F77" w:rsidP="00933F77">
      <w:pPr>
        <w:pStyle w:val="NoSpacing"/>
      </w:pPr>
      <w:r w:rsidRPr="009A0DA6">
        <w:t>11:00 am</w:t>
      </w:r>
      <w:r w:rsidRPr="009A0DA6">
        <w:tab/>
        <w:t xml:space="preserve">Convention session </w:t>
      </w:r>
    </w:p>
    <w:p w14:paraId="743C0D40" w14:textId="77777777" w:rsidR="00933F77" w:rsidRPr="009A0DA6" w:rsidRDefault="00933F77" w:rsidP="00933F77">
      <w:pPr>
        <w:pStyle w:val="NoSpacing"/>
      </w:pPr>
      <w:r w:rsidRPr="009A0DA6">
        <w:t>12:00 pm</w:t>
      </w:r>
      <w:r w:rsidRPr="009A0DA6">
        <w:tab/>
        <w:t>Lunch</w:t>
      </w:r>
    </w:p>
    <w:p w14:paraId="3ED54810" w14:textId="77777777" w:rsidR="00933F77" w:rsidRPr="009A0DA6" w:rsidRDefault="00933F77" w:rsidP="00933F77">
      <w:pPr>
        <w:pStyle w:val="NoSpacing"/>
      </w:pPr>
      <w:r w:rsidRPr="009A0DA6">
        <w:t xml:space="preserve">  1:00 pm</w:t>
      </w:r>
      <w:r w:rsidRPr="009A0DA6">
        <w:tab/>
        <w:t>Convention session (reporting)</w:t>
      </w:r>
    </w:p>
    <w:p w14:paraId="173A5260" w14:textId="77777777" w:rsidR="00933F77" w:rsidRPr="009A0DA6" w:rsidRDefault="00933F77" w:rsidP="00933F77">
      <w:pPr>
        <w:pStyle w:val="NoSpacing"/>
      </w:pPr>
      <w:r w:rsidRPr="009A0DA6">
        <w:t xml:space="preserve">  3:30 pm</w:t>
      </w:r>
      <w:r w:rsidRPr="009A0DA6">
        <w:tab/>
        <w:t>Afternoon tea</w:t>
      </w:r>
    </w:p>
    <w:p w14:paraId="3376E812" w14:textId="77777777" w:rsidR="00933F77" w:rsidRPr="009A0DA6" w:rsidRDefault="00933F77" w:rsidP="00933F77">
      <w:pPr>
        <w:pStyle w:val="NoSpacing"/>
      </w:pPr>
      <w:r w:rsidRPr="009A0DA6">
        <w:t xml:space="preserve">  4:00 pm</w:t>
      </w:r>
      <w:r w:rsidRPr="009A0DA6">
        <w:tab/>
        <w:t>Convention session (reporting)</w:t>
      </w:r>
    </w:p>
    <w:p w14:paraId="73B1C10B" w14:textId="77777777" w:rsidR="00933F77" w:rsidRPr="009A0DA6" w:rsidRDefault="00933F77" w:rsidP="00933F77">
      <w:pPr>
        <w:pStyle w:val="NoSpacing"/>
      </w:pPr>
      <w:r w:rsidRPr="009A0DA6">
        <w:t xml:space="preserve">  5:10 pm</w:t>
      </w:r>
      <w:r w:rsidRPr="009A0DA6">
        <w:tab/>
        <w:t>Closing devotion</w:t>
      </w:r>
    </w:p>
    <w:p w14:paraId="0547C048" w14:textId="77777777" w:rsidR="00933F77" w:rsidRPr="009A0DA6" w:rsidRDefault="00933F77" w:rsidP="00933F77">
      <w:pPr>
        <w:pStyle w:val="NoSpacing"/>
      </w:pPr>
      <w:r w:rsidRPr="009A0DA6">
        <w:t xml:space="preserve">  5:30 pm</w:t>
      </w:r>
      <w:r w:rsidRPr="009A0DA6">
        <w:tab/>
        <w:t>Close of session</w:t>
      </w:r>
    </w:p>
    <w:p w14:paraId="2CA8323F" w14:textId="77777777" w:rsidR="00933F77" w:rsidRPr="009A0DA6" w:rsidRDefault="00933F77" w:rsidP="00933F77">
      <w:pPr>
        <w:pStyle w:val="NoSpacing"/>
        <w:rPr>
          <w:b/>
          <w:sz w:val="24"/>
          <w:szCs w:val="24"/>
        </w:rPr>
      </w:pPr>
    </w:p>
    <w:p w14:paraId="4B9C552E" w14:textId="77777777" w:rsidR="00933F77" w:rsidRPr="009A0DA6" w:rsidRDefault="00933F77" w:rsidP="00933F77">
      <w:pPr>
        <w:pStyle w:val="NoSpacing"/>
        <w:rPr>
          <w:b/>
          <w:sz w:val="24"/>
          <w:szCs w:val="24"/>
        </w:rPr>
      </w:pPr>
      <w:r w:rsidRPr="009A0DA6">
        <w:rPr>
          <w:b/>
          <w:sz w:val="24"/>
          <w:szCs w:val="24"/>
        </w:rPr>
        <w:t xml:space="preserve">THURSDAY 4 OCTOBER </w:t>
      </w:r>
    </w:p>
    <w:p w14:paraId="20BD9BC1" w14:textId="164CBC49" w:rsidR="008B3AF3" w:rsidRPr="009A0DA6" w:rsidRDefault="008B3AF3" w:rsidP="008B3AF3">
      <w:pPr>
        <w:pStyle w:val="NoSpacing"/>
        <w:rPr>
          <w:rFonts w:cs="Arial"/>
          <w:b/>
        </w:rPr>
      </w:pPr>
      <w:r w:rsidRPr="009A0DA6">
        <w:rPr>
          <w:rFonts w:cs="Arial"/>
          <w:b/>
        </w:rPr>
        <w:t>Exodus 16:4a</w:t>
      </w:r>
    </w:p>
    <w:p w14:paraId="38221966" w14:textId="0844B4B0" w:rsidR="008B3AF3" w:rsidRPr="009A0DA6" w:rsidRDefault="00660B38" w:rsidP="00660B38">
      <w:pPr>
        <w:pStyle w:val="NoSpacing"/>
        <w:rPr>
          <w:rStyle w:val="text"/>
          <w:i/>
        </w:rPr>
      </w:pPr>
      <w:r w:rsidRPr="009A0DA6">
        <w:rPr>
          <w:rStyle w:val="text"/>
          <w:i/>
        </w:rPr>
        <w:t xml:space="preserve">Then the </w:t>
      </w:r>
      <w:r w:rsidRPr="009A0DA6">
        <w:rPr>
          <w:rStyle w:val="small-caps"/>
          <w:i/>
          <w:smallCaps/>
        </w:rPr>
        <w:t>Lord</w:t>
      </w:r>
      <w:r w:rsidRPr="009A0DA6">
        <w:rPr>
          <w:rStyle w:val="text"/>
          <w:i/>
        </w:rPr>
        <w:t xml:space="preserve"> said to Moses, “I am going to rain bread from heaven for you, and each day the people shall go out and gather enough for that day. In that way I will test them, whether they will follow my instruction or not.”</w:t>
      </w:r>
    </w:p>
    <w:p w14:paraId="6CC030D1" w14:textId="77777777" w:rsidR="00660B38" w:rsidRPr="009A0DA6" w:rsidRDefault="00660B38" w:rsidP="00660B38">
      <w:pPr>
        <w:pStyle w:val="NoSpacing"/>
        <w:rPr>
          <w:rStyle w:val="text"/>
          <w:i/>
        </w:rPr>
      </w:pPr>
    </w:p>
    <w:p w14:paraId="14D360F2" w14:textId="69DDE4D6" w:rsidR="00933F77" w:rsidRPr="009A0DA6" w:rsidRDefault="00933F77" w:rsidP="00933F77">
      <w:pPr>
        <w:pStyle w:val="NoSpacing"/>
      </w:pPr>
      <w:r w:rsidRPr="009A0DA6">
        <w:t xml:space="preserve"> </w:t>
      </w:r>
      <w:r w:rsidR="00CC0100" w:rsidRPr="009A0DA6">
        <w:t xml:space="preserve"> </w:t>
      </w:r>
      <w:r w:rsidRPr="009A0DA6">
        <w:t xml:space="preserve"> 8:30 am</w:t>
      </w:r>
      <w:r w:rsidRPr="009A0DA6">
        <w:tab/>
        <w:t>Communion service (chapel)</w:t>
      </w:r>
    </w:p>
    <w:p w14:paraId="0C3AEDDF" w14:textId="54140B25" w:rsidR="00933F77" w:rsidRPr="009A0DA6" w:rsidRDefault="00933F77" w:rsidP="00933F77">
      <w:pPr>
        <w:pStyle w:val="NoSpacing"/>
      </w:pPr>
      <w:r w:rsidRPr="009A0DA6">
        <w:t xml:space="preserve"> </w:t>
      </w:r>
      <w:r w:rsidR="00CC0100" w:rsidRPr="009A0DA6">
        <w:t xml:space="preserve"> </w:t>
      </w:r>
      <w:r w:rsidRPr="009A0DA6">
        <w:t xml:space="preserve"> 9:40 am</w:t>
      </w:r>
      <w:r w:rsidRPr="009A0DA6">
        <w:tab/>
        <w:t>Convention session</w:t>
      </w:r>
    </w:p>
    <w:p w14:paraId="4BC44234" w14:textId="77777777" w:rsidR="00933F77" w:rsidRPr="009A0DA6" w:rsidRDefault="00933F77" w:rsidP="00933F77">
      <w:pPr>
        <w:pStyle w:val="NoSpacing"/>
      </w:pPr>
      <w:r w:rsidRPr="009A0DA6">
        <w:t xml:space="preserve"> 10:30 am</w:t>
      </w:r>
      <w:r w:rsidRPr="009A0DA6">
        <w:tab/>
        <w:t>Morning tea</w:t>
      </w:r>
    </w:p>
    <w:p w14:paraId="432C9597" w14:textId="77777777" w:rsidR="00933F77" w:rsidRPr="009A0DA6" w:rsidRDefault="00933F77" w:rsidP="00933F77">
      <w:pPr>
        <w:pStyle w:val="NoSpacing"/>
      </w:pPr>
      <w:r w:rsidRPr="009A0DA6">
        <w:t xml:space="preserve"> 11:00 am</w:t>
      </w:r>
      <w:r w:rsidRPr="009A0DA6">
        <w:tab/>
        <w:t>Convention session</w:t>
      </w:r>
    </w:p>
    <w:p w14:paraId="20738D63" w14:textId="77777777" w:rsidR="00933F77" w:rsidRPr="009A0DA6" w:rsidRDefault="00933F77" w:rsidP="00933F77">
      <w:pPr>
        <w:pStyle w:val="NoSpacing"/>
      </w:pPr>
      <w:r w:rsidRPr="009A0DA6">
        <w:t xml:space="preserve"> 12:30 pm</w:t>
      </w:r>
      <w:r w:rsidRPr="009A0DA6">
        <w:tab/>
        <w:t>Lunch</w:t>
      </w:r>
    </w:p>
    <w:p w14:paraId="0C03C60A" w14:textId="037BA08D" w:rsidR="00933F77" w:rsidRPr="009A0DA6" w:rsidRDefault="00933F77" w:rsidP="00933F77">
      <w:pPr>
        <w:pStyle w:val="NoSpacing"/>
      </w:pPr>
      <w:r w:rsidRPr="009A0DA6">
        <w:t xml:space="preserve">  </w:t>
      </w:r>
      <w:r w:rsidR="00CC0100" w:rsidRPr="009A0DA6">
        <w:t xml:space="preserve"> </w:t>
      </w:r>
      <w:r w:rsidRPr="009A0DA6">
        <w:t>1:30 pm</w:t>
      </w:r>
      <w:r w:rsidRPr="009A0DA6">
        <w:tab/>
        <w:t>Convention session</w:t>
      </w:r>
    </w:p>
    <w:p w14:paraId="07D13485" w14:textId="086BA926" w:rsidR="00933F77" w:rsidRPr="009A0DA6" w:rsidRDefault="00933F77" w:rsidP="00933F77">
      <w:pPr>
        <w:pStyle w:val="NoSpacing"/>
      </w:pPr>
      <w:r w:rsidRPr="009A0DA6">
        <w:t xml:space="preserve">  </w:t>
      </w:r>
      <w:r w:rsidR="00CC0100" w:rsidRPr="009A0DA6">
        <w:t xml:space="preserve"> </w:t>
      </w:r>
      <w:r w:rsidRPr="009A0DA6">
        <w:t>3:00 pm</w:t>
      </w:r>
      <w:r w:rsidRPr="009A0DA6">
        <w:tab/>
        <w:t>Afternoon tea</w:t>
      </w:r>
    </w:p>
    <w:p w14:paraId="7FD87F58" w14:textId="58796565" w:rsidR="00933F77" w:rsidRPr="009A0DA6" w:rsidRDefault="00933F77" w:rsidP="00933F77">
      <w:pPr>
        <w:pStyle w:val="NoSpacing"/>
      </w:pPr>
      <w:r w:rsidRPr="009A0DA6">
        <w:t xml:space="preserve">  </w:t>
      </w:r>
      <w:r w:rsidR="00CC0100" w:rsidRPr="009A0DA6">
        <w:t xml:space="preserve"> </w:t>
      </w:r>
      <w:r w:rsidRPr="009A0DA6">
        <w:t>3:30 pm</w:t>
      </w:r>
      <w:r w:rsidRPr="009A0DA6">
        <w:tab/>
        <w:t>Convention session</w:t>
      </w:r>
    </w:p>
    <w:p w14:paraId="2F9A598B" w14:textId="4CA9A05D" w:rsidR="00933F77" w:rsidRPr="009A0DA6" w:rsidRDefault="00933F77" w:rsidP="00933F77">
      <w:pPr>
        <w:pStyle w:val="NoSpacing"/>
      </w:pPr>
      <w:r w:rsidRPr="009A0DA6">
        <w:t xml:space="preserve">  </w:t>
      </w:r>
      <w:r w:rsidR="00CC0100" w:rsidRPr="009A0DA6">
        <w:t xml:space="preserve"> </w:t>
      </w:r>
      <w:r w:rsidRPr="009A0DA6">
        <w:t>5:00 pm</w:t>
      </w:r>
      <w:r w:rsidRPr="009A0DA6">
        <w:tab/>
        <w:t>Closing devotion</w:t>
      </w:r>
    </w:p>
    <w:p w14:paraId="4F69E5AA" w14:textId="655BCA33" w:rsidR="00933F77" w:rsidRPr="009A0DA6" w:rsidRDefault="00933F77" w:rsidP="00933F77">
      <w:pPr>
        <w:pStyle w:val="NoSpacing"/>
      </w:pPr>
      <w:r w:rsidRPr="009A0DA6">
        <w:t xml:space="preserve">  </w:t>
      </w:r>
      <w:r w:rsidR="00CC0100" w:rsidRPr="009A0DA6">
        <w:t xml:space="preserve"> </w:t>
      </w:r>
      <w:r w:rsidRPr="009A0DA6">
        <w:t>5:15 pm</w:t>
      </w:r>
      <w:r w:rsidRPr="009A0DA6">
        <w:tab/>
        <w:t>Close of session</w:t>
      </w:r>
    </w:p>
    <w:p w14:paraId="2C9C7F21" w14:textId="77777777" w:rsidR="00933F77" w:rsidRPr="009A0DA6" w:rsidRDefault="00933F77" w:rsidP="00933F77">
      <w:pPr>
        <w:pStyle w:val="NoSpacing"/>
        <w:rPr>
          <w:b/>
          <w:sz w:val="24"/>
          <w:szCs w:val="24"/>
        </w:rPr>
      </w:pPr>
    </w:p>
    <w:p w14:paraId="0AC5DCB3" w14:textId="12A424F5" w:rsidR="00933F77" w:rsidRPr="009A0DA6" w:rsidRDefault="008B3AF3" w:rsidP="00933F77">
      <w:pPr>
        <w:pStyle w:val="NoSpacing"/>
        <w:rPr>
          <w:b/>
          <w:sz w:val="24"/>
          <w:szCs w:val="24"/>
        </w:rPr>
      </w:pPr>
      <w:r w:rsidRPr="009A0DA6">
        <w:rPr>
          <w:b/>
          <w:sz w:val="24"/>
          <w:szCs w:val="24"/>
        </w:rPr>
        <w:br w:type="column"/>
      </w:r>
      <w:r w:rsidR="00933F77" w:rsidRPr="009A0DA6">
        <w:rPr>
          <w:b/>
          <w:sz w:val="24"/>
          <w:szCs w:val="24"/>
        </w:rPr>
        <w:lastRenderedPageBreak/>
        <w:t>FRIDAY 5 OCTOBER</w:t>
      </w:r>
    </w:p>
    <w:p w14:paraId="102135F1" w14:textId="024898FE" w:rsidR="008B3AF3" w:rsidRPr="009A0DA6" w:rsidRDefault="008B3AF3" w:rsidP="008B3AF3">
      <w:pPr>
        <w:pStyle w:val="NoSpacing"/>
        <w:rPr>
          <w:rFonts w:cs="Arial"/>
          <w:b/>
        </w:rPr>
      </w:pPr>
      <w:r w:rsidRPr="009A0DA6">
        <w:rPr>
          <w:rFonts w:cs="Arial"/>
          <w:b/>
        </w:rPr>
        <w:t>Exodus 19:5b</w:t>
      </w:r>
    </w:p>
    <w:p w14:paraId="5335D592" w14:textId="4138DE4E" w:rsidR="008B3AF3" w:rsidRPr="009A0DA6" w:rsidRDefault="0056020E" w:rsidP="00831091">
      <w:pPr>
        <w:pStyle w:val="NoSpacing"/>
        <w:rPr>
          <w:rStyle w:val="text"/>
          <w:i/>
        </w:rPr>
      </w:pPr>
      <w:r w:rsidRPr="009A0DA6">
        <w:rPr>
          <w:rStyle w:val="text"/>
          <w:i/>
        </w:rPr>
        <w:t>“No</w:t>
      </w:r>
      <w:r w:rsidR="00831091" w:rsidRPr="009A0DA6">
        <w:rPr>
          <w:rStyle w:val="text"/>
          <w:i/>
        </w:rPr>
        <w:t>w therefore, if you obey my voice and keep my covenant, you shall be my treasured possession out of all the peoples. Indeed, the whole earth is mine.”</w:t>
      </w:r>
    </w:p>
    <w:p w14:paraId="7FBC3BD6" w14:textId="77777777" w:rsidR="00831091" w:rsidRPr="009A0DA6" w:rsidRDefault="00831091" w:rsidP="00831091">
      <w:pPr>
        <w:pStyle w:val="NoSpacing"/>
        <w:rPr>
          <w:rStyle w:val="text"/>
          <w:i/>
        </w:rPr>
      </w:pPr>
    </w:p>
    <w:p w14:paraId="127BD8DC" w14:textId="06F4BAF8" w:rsidR="000C542B" w:rsidRPr="009A0DA6" w:rsidRDefault="00933F77" w:rsidP="00933F77">
      <w:pPr>
        <w:pStyle w:val="NoSpacing"/>
      </w:pPr>
      <w:r w:rsidRPr="009A0DA6">
        <w:t xml:space="preserve">  </w:t>
      </w:r>
      <w:r w:rsidR="00CC0100" w:rsidRPr="009A0DA6">
        <w:t xml:space="preserve">  </w:t>
      </w:r>
      <w:r w:rsidR="000C542B" w:rsidRPr="009A0DA6">
        <w:t>8:30am</w:t>
      </w:r>
      <w:r w:rsidR="000C542B" w:rsidRPr="009A0DA6">
        <w:tab/>
        <w:t>Communion service and In Memoriam (chapel)</w:t>
      </w:r>
    </w:p>
    <w:p w14:paraId="5938B4AC" w14:textId="7D787EE3" w:rsidR="00933F77" w:rsidRPr="009A0DA6" w:rsidRDefault="000C542B" w:rsidP="00933F77">
      <w:pPr>
        <w:pStyle w:val="NoSpacing"/>
      </w:pPr>
      <w:r w:rsidRPr="009A0DA6">
        <w:t xml:space="preserve">  </w:t>
      </w:r>
      <w:r w:rsidR="00CC0100" w:rsidRPr="009A0DA6">
        <w:t xml:space="preserve">  </w:t>
      </w:r>
      <w:r w:rsidR="00933F77" w:rsidRPr="009A0DA6">
        <w:t>9:40 am</w:t>
      </w:r>
      <w:r w:rsidR="00933F77" w:rsidRPr="009A0DA6">
        <w:tab/>
        <w:t>Convention session</w:t>
      </w:r>
    </w:p>
    <w:p w14:paraId="6F77FE7B" w14:textId="77777777" w:rsidR="00933F77" w:rsidRPr="009A0DA6" w:rsidRDefault="00933F77" w:rsidP="00933F77">
      <w:pPr>
        <w:pStyle w:val="NoSpacing"/>
      </w:pPr>
      <w:r w:rsidRPr="009A0DA6">
        <w:t xml:space="preserve"> 10:30 am</w:t>
      </w:r>
      <w:r w:rsidRPr="009A0DA6">
        <w:tab/>
        <w:t>Morning tea</w:t>
      </w:r>
    </w:p>
    <w:p w14:paraId="696A96EA" w14:textId="77777777" w:rsidR="00933F77" w:rsidRPr="009A0DA6" w:rsidRDefault="00933F77" w:rsidP="00933F77">
      <w:pPr>
        <w:pStyle w:val="NoSpacing"/>
      </w:pPr>
      <w:r w:rsidRPr="009A0DA6">
        <w:t xml:space="preserve"> 11:00 am</w:t>
      </w:r>
      <w:r w:rsidRPr="009A0DA6">
        <w:tab/>
        <w:t>Convention session</w:t>
      </w:r>
    </w:p>
    <w:p w14:paraId="392C6DF1" w14:textId="77777777" w:rsidR="00933F77" w:rsidRPr="009A0DA6" w:rsidRDefault="00933F77" w:rsidP="00933F77">
      <w:pPr>
        <w:pStyle w:val="NoSpacing"/>
      </w:pPr>
      <w:r w:rsidRPr="009A0DA6">
        <w:t xml:space="preserve"> 12:30 pm</w:t>
      </w:r>
      <w:r w:rsidRPr="009A0DA6">
        <w:tab/>
        <w:t>Lunch</w:t>
      </w:r>
    </w:p>
    <w:p w14:paraId="788295B5" w14:textId="0AE52390" w:rsidR="00933F77" w:rsidRPr="009A0DA6" w:rsidRDefault="00933F77" w:rsidP="00933F77">
      <w:pPr>
        <w:pStyle w:val="NoSpacing"/>
      </w:pPr>
      <w:r w:rsidRPr="009A0DA6">
        <w:t xml:space="preserve">  </w:t>
      </w:r>
      <w:r w:rsidR="00CC0100" w:rsidRPr="009A0DA6">
        <w:t xml:space="preserve"> </w:t>
      </w:r>
      <w:r w:rsidRPr="009A0DA6">
        <w:t>1:30 pm</w:t>
      </w:r>
      <w:r w:rsidRPr="009A0DA6">
        <w:tab/>
        <w:t>Convention session</w:t>
      </w:r>
    </w:p>
    <w:p w14:paraId="44B634D1" w14:textId="745FA4B1" w:rsidR="00933F77" w:rsidRPr="009A0DA6" w:rsidRDefault="00933F77" w:rsidP="00933F77">
      <w:pPr>
        <w:pStyle w:val="NoSpacing"/>
      </w:pPr>
      <w:r w:rsidRPr="009A0DA6">
        <w:t xml:space="preserve">  </w:t>
      </w:r>
      <w:r w:rsidR="00CC0100" w:rsidRPr="009A0DA6">
        <w:t xml:space="preserve"> </w:t>
      </w:r>
      <w:r w:rsidRPr="009A0DA6">
        <w:t>3:00 pm</w:t>
      </w:r>
      <w:r w:rsidRPr="009A0DA6">
        <w:tab/>
        <w:t>Afternoon tea</w:t>
      </w:r>
    </w:p>
    <w:p w14:paraId="1D151DB4" w14:textId="2FCCE465" w:rsidR="00933F77" w:rsidRPr="009A0DA6" w:rsidRDefault="00933F77" w:rsidP="00933F77">
      <w:pPr>
        <w:pStyle w:val="NoSpacing"/>
      </w:pPr>
      <w:r w:rsidRPr="009A0DA6">
        <w:t xml:space="preserve">  </w:t>
      </w:r>
      <w:r w:rsidR="00CC0100" w:rsidRPr="009A0DA6">
        <w:t xml:space="preserve"> </w:t>
      </w:r>
      <w:r w:rsidRPr="009A0DA6">
        <w:t>3:30 pm</w:t>
      </w:r>
      <w:r w:rsidRPr="009A0DA6">
        <w:tab/>
        <w:t>Convention session</w:t>
      </w:r>
    </w:p>
    <w:p w14:paraId="4E214BD2" w14:textId="36FBAD74" w:rsidR="00933F77" w:rsidRPr="009A0DA6" w:rsidRDefault="00933F77" w:rsidP="00933F77">
      <w:pPr>
        <w:pStyle w:val="NoSpacing"/>
      </w:pPr>
      <w:r w:rsidRPr="009A0DA6">
        <w:t xml:space="preserve">  </w:t>
      </w:r>
      <w:r w:rsidR="00CC0100" w:rsidRPr="009A0DA6">
        <w:t xml:space="preserve"> </w:t>
      </w:r>
      <w:r w:rsidRPr="009A0DA6">
        <w:t>5:00 pm</w:t>
      </w:r>
      <w:r w:rsidRPr="009A0DA6">
        <w:tab/>
        <w:t>Closing devotion</w:t>
      </w:r>
    </w:p>
    <w:p w14:paraId="6E66916D" w14:textId="4C7A617B" w:rsidR="00933F77" w:rsidRPr="009A0DA6" w:rsidRDefault="00933F77" w:rsidP="00933F77">
      <w:pPr>
        <w:pStyle w:val="NoSpacing"/>
      </w:pPr>
      <w:r w:rsidRPr="009A0DA6">
        <w:t xml:space="preserve">  </w:t>
      </w:r>
      <w:r w:rsidR="00CC0100" w:rsidRPr="009A0DA6">
        <w:t xml:space="preserve"> </w:t>
      </w:r>
      <w:r w:rsidRPr="009A0DA6">
        <w:t>5:15 pm</w:t>
      </w:r>
      <w:r w:rsidRPr="009A0DA6">
        <w:tab/>
        <w:t>Close of session</w:t>
      </w:r>
    </w:p>
    <w:p w14:paraId="6FE5F024" w14:textId="1496C446" w:rsidR="00933F77" w:rsidRPr="009A0DA6" w:rsidRDefault="00933F77" w:rsidP="00933F77">
      <w:pPr>
        <w:pStyle w:val="NoSpacing"/>
      </w:pPr>
      <w:r w:rsidRPr="009A0DA6">
        <w:t xml:space="preserve">  </w:t>
      </w:r>
      <w:r w:rsidR="00CC0100" w:rsidRPr="009A0DA6">
        <w:t xml:space="preserve"> </w:t>
      </w:r>
      <w:r w:rsidRPr="009A0DA6">
        <w:t>5:15 pm</w:t>
      </w:r>
      <w:r w:rsidRPr="009A0DA6">
        <w:tab/>
      </w:r>
      <w:r w:rsidR="00B916AC" w:rsidRPr="009A0DA6">
        <w:t>Taizé service</w:t>
      </w:r>
      <w:r w:rsidR="00CC0100" w:rsidRPr="009A0DA6">
        <w:t xml:space="preserve"> (chapel)</w:t>
      </w:r>
    </w:p>
    <w:p w14:paraId="633A847F" w14:textId="06D1C735" w:rsidR="00933F77" w:rsidRPr="009A0DA6" w:rsidRDefault="00933F77" w:rsidP="00933F77">
      <w:pPr>
        <w:pStyle w:val="NoSpacing"/>
      </w:pPr>
      <w:r w:rsidRPr="009A0DA6">
        <w:t xml:space="preserve">  </w:t>
      </w:r>
      <w:r w:rsidR="00CC0100" w:rsidRPr="009A0DA6">
        <w:t xml:space="preserve"> </w:t>
      </w:r>
      <w:r w:rsidRPr="009A0DA6">
        <w:t>6:00 pm</w:t>
      </w:r>
      <w:r w:rsidRPr="009A0DA6">
        <w:tab/>
      </w:r>
      <w:r w:rsidR="00B916AC" w:rsidRPr="009A0DA6">
        <w:t>Dinner</w:t>
      </w:r>
    </w:p>
    <w:p w14:paraId="56F9D9DF" w14:textId="77777777" w:rsidR="00933F77" w:rsidRPr="009A0DA6" w:rsidRDefault="00933F77" w:rsidP="00933F77">
      <w:pPr>
        <w:pStyle w:val="NoSpacing"/>
      </w:pPr>
    </w:p>
    <w:p w14:paraId="4A2822C4" w14:textId="77777777" w:rsidR="00933F77" w:rsidRPr="009A0DA6" w:rsidRDefault="00933F77" w:rsidP="00933F77">
      <w:pPr>
        <w:pStyle w:val="NoSpacing"/>
        <w:rPr>
          <w:b/>
          <w:sz w:val="24"/>
          <w:szCs w:val="24"/>
        </w:rPr>
      </w:pPr>
      <w:r w:rsidRPr="009A0DA6">
        <w:rPr>
          <w:b/>
          <w:sz w:val="24"/>
          <w:szCs w:val="24"/>
        </w:rPr>
        <w:t xml:space="preserve">SATURDAY 6 OCTOBER </w:t>
      </w:r>
    </w:p>
    <w:p w14:paraId="1638408E" w14:textId="0FEA517A" w:rsidR="008B3AF3" w:rsidRPr="009A0DA6" w:rsidRDefault="008B3AF3" w:rsidP="008B3AF3">
      <w:pPr>
        <w:pStyle w:val="NoSpacing"/>
        <w:rPr>
          <w:rFonts w:cs="Arial"/>
          <w:b/>
        </w:rPr>
      </w:pPr>
      <w:r w:rsidRPr="009A0DA6">
        <w:rPr>
          <w:rFonts w:cs="Arial"/>
          <w:b/>
        </w:rPr>
        <w:t>Exodus 29:45</w:t>
      </w:r>
    </w:p>
    <w:p w14:paraId="07113BAA" w14:textId="4661B7E1" w:rsidR="008B3AF3" w:rsidRPr="009A0DA6" w:rsidRDefault="0056020E" w:rsidP="0056020E">
      <w:pPr>
        <w:pStyle w:val="NoSpacing"/>
        <w:rPr>
          <w:rStyle w:val="text"/>
          <w:i/>
        </w:rPr>
      </w:pPr>
      <w:r w:rsidRPr="009A0DA6">
        <w:rPr>
          <w:rStyle w:val="text"/>
          <w:i/>
        </w:rPr>
        <w:t>“I will dwell among the Israelites, and I will be their God.”</w:t>
      </w:r>
    </w:p>
    <w:p w14:paraId="440E4ED8" w14:textId="77777777" w:rsidR="008B3AF3" w:rsidRPr="009A0DA6" w:rsidRDefault="008B3AF3" w:rsidP="00933F77">
      <w:pPr>
        <w:pStyle w:val="NoSpacing"/>
      </w:pPr>
    </w:p>
    <w:p w14:paraId="78C80406" w14:textId="3761F55A" w:rsidR="00933F77" w:rsidRPr="009A0DA6" w:rsidRDefault="00933F77" w:rsidP="00933F77">
      <w:pPr>
        <w:pStyle w:val="NoSpacing"/>
      </w:pPr>
      <w:r w:rsidRPr="009A0DA6">
        <w:t xml:space="preserve">  8:30 am</w:t>
      </w:r>
      <w:r w:rsidRPr="009A0DA6">
        <w:tab/>
        <w:t>Communion service (chapel)</w:t>
      </w:r>
    </w:p>
    <w:p w14:paraId="2C4F54FD" w14:textId="77777777" w:rsidR="00933F77" w:rsidRPr="009A0DA6" w:rsidRDefault="00933F77" w:rsidP="00933F77">
      <w:pPr>
        <w:pStyle w:val="NoSpacing"/>
      </w:pPr>
      <w:r w:rsidRPr="009A0DA6">
        <w:t xml:space="preserve">  9:40 am</w:t>
      </w:r>
      <w:r w:rsidRPr="009A0DA6">
        <w:tab/>
        <w:t>Convention session</w:t>
      </w:r>
    </w:p>
    <w:p w14:paraId="7A7C4832" w14:textId="77777777" w:rsidR="00933F77" w:rsidRPr="009A0DA6" w:rsidRDefault="00933F77" w:rsidP="00933F77">
      <w:pPr>
        <w:pStyle w:val="NoSpacing"/>
      </w:pPr>
      <w:r w:rsidRPr="009A0DA6">
        <w:t xml:space="preserve"> 10:30 am</w:t>
      </w:r>
      <w:r w:rsidRPr="009A0DA6">
        <w:tab/>
        <w:t>Morning tea</w:t>
      </w:r>
    </w:p>
    <w:p w14:paraId="0CEAA1A6" w14:textId="77777777" w:rsidR="00933F77" w:rsidRPr="009A0DA6" w:rsidRDefault="00933F77" w:rsidP="00933F77">
      <w:pPr>
        <w:pStyle w:val="NoSpacing"/>
      </w:pPr>
      <w:r w:rsidRPr="009A0DA6">
        <w:t xml:space="preserve"> 11:00 am</w:t>
      </w:r>
      <w:r w:rsidRPr="009A0DA6">
        <w:tab/>
        <w:t>Convention session</w:t>
      </w:r>
    </w:p>
    <w:p w14:paraId="20481DF8" w14:textId="77777777" w:rsidR="00933F77" w:rsidRPr="009A0DA6" w:rsidRDefault="00933F77" w:rsidP="00933F77">
      <w:pPr>
        <w:pStyle w:val="NoSpacing"/>
      </w:pPr>
      <w:r w:rsidRPr="009A0DA6">
        <w:t xml:space="preserve"> 12:30 pm</w:t>
      </w:r>
      <w:r w:rsidRPr="009A0DA6">
        <w:tab/>
        <w:t>Lunch</w:t>
      </w:r>
    </w:p>
    <w:p w14:paraId="09B28392" w14:textId="77777777" w:rsidR="00933F77" w:rsidRPr="009A0DA6" w:rsidRDefault="00933F77" w:rsidP="00933F77">
      <w:pPr>
        <w:pStyle w:val="NoSpacing"/>
      </w:pPr>
      <w:r w:rsidRPr="009A0DA6">
        <w:t xml:space="preserve">  1:30 pm</w:t>
      </w:r>
      <w:r w:rsidRPr="009A0DA6">
        <w:tab/>
        <w:t>Convention session</w:t>
      </w:r>
    </w:p>
    <w:p w14:paraId="206E2EAA" w14:textId="77777777" w:rsidR="00933F77" w:rsidRPr="009A0DA6" w:rsidRDefault="00933F77" w:rsidP="00933F77">
      <w:pPr>
        <w:pStyle w:val="NoSpacing"/>
      </w:pPr>
      <w:r w:rsidRPr="009A0DA6">
        <w:t xml:space="preserve">  3:00 pm</w:t>
      </w:r>
      <w:r w:rsidRPr="009A0DA6">
        <w:tab/>
        <w:t>Afternoon tea</w:t>
      </w:r>
    </w:p>
    <w:p w14:paraId="3E00F332" w14:textId="77777777" w:rsidR="00933F77" w:rsidRPr="009A0DA6" w:rsidRDefault="00933F77" w:rsidP="00933F77">
      <w:pPr>
        <w:pStyle w:val="NoSpacing"/>
      </w:pPr>
      <w:r w:rsidRPr="009A0DA6">
        <w:t xml:space="preserve">  3:30 pm</w:t>
      </w:r>
      <w:r w:rsidRPr="009A0DA6">
        <w:tab/>
        <w:t>Convention session</w:t>
      </w:r>
    </w:p>
    <w:p w14:paraId="457E8AEC" w14:textId="77777777" w:rsidR="00933F77" w:rsidRPr="009A0DA6" w:rsidRDefault="00933F77" w:rsidP="00933F77">
      <w:pPr>
        <w:pStyle w:val="NoSpacing"/>
      </w:pPr>
      <w:r w:rsidRPr="009A0DA6">
        <w:t xml:space="preserve">  5:00 pm</w:t>
      </w:r>
      <w:r w:rsidRPr="009A0DA6">
        <w:tab/>
        <w:t>Closing devotion</w:t>
      </w:r>
    </w:p>
    <w:p w14:paraId="22A45DB2" w14:textId="77777777" w:rsidR="00933F77" w:rsidRPr="009A0DA6" w:rsidRDefault="00933F77" w:rsidP="00933F77">
      <w:pPr>
        <w:pStyle w:val="NoSpacing"/>
      </w:pPr>
      <w:r w:rsidRPr="009A0DA6">
        <w:t xml:space="preserve">  5:15 pm</w:t>
      </w:r>
      <w:r w:rsidRPr="009A0DA6">
        <w:tab/>
        <w:t>Close of session</w:t>
      </w:r>
    </w:p>
    <w:p w14:paraId="16AB46F7" w14:textId="77777777" w:rsidR="00933F77" w:rsidRPr="009A0DA6" w:rsidRDefault="00933F77" w:rsidP="00933F77">
      <w:pPr>
        <w:pStyle w:val="NoSpacing"/>
      </w:pPr>
      <w:r w:rsidRPr="009A0DA6">
        <w:t xml:space="preserve">  7:30 pm</w:t>
      </w:r>
      <w:r w:rsidRPr="009A0DA6">
        <w:tab/>
        <w:t>Convention Dinner</w:t>
      </w:r>
    </w:p>
    <w:p w14:paraId="43CE2847" w14:textId="77777777" w:rsidR="00933F77" w:rsidRPr="009A0DA6" w:rsidRDefault="00933F77" w:rsidP="00933F77">
      <w:pPr>
        <w:pStyle w:val="NoSpacing"/>
      </w:pPr>
    </w:p>
    <w:p w14:paraId="56EC0E9F" w14:textId="77777777" w:rsidR="00933F77" w:rsidRPr="009A0DA6" w:rsidRDefault="00933F77" w:rsidP="00933F77">
      <w:pPr>
        <w:pStyle w:val="NoSpacing"/>
        <w:rPr>
          <w:b/>
          <w:sz w:val="24"/>
          <w:szCs w:val="24"/>
        </w:rPr>
      </w:pPr>
      <w:r w:rsidRPr="009A0DA6">
        <w:rPr>
          <w:b/>
          <w:sz w:val="24"/>
          <w:szCs w:val="24"/>
        </w:rPr>
        <w:t xml:space="preserve">SUNDAY 7 OCTOBER </w:t>
      </w:r>
    </w:p>
    <w:p w14:paraId="2B021755" w14:textId="732606CC" w:rsidR="00CB1007" w:rsidRPr="00CB1007" w:rsidRDefault="00CB1007" w:rsidP="008B3AF3">
      <w:pPr>
        <w:pStyle w:val="NoSpacing"/>
        <w:rPr>
          <w:rFonts w:ascii="Calibri" w:hAnsi="Calibri" w:cs="Calibri"/>
          <w:b/>
          <w:iCs/>
          <w:color w:val="000000"/>
          <w:bdr w:val="none" w:sz="0" w:space="0" w:color="auto" w:frame="1"/>
          <w:shd w:val="clear" w:color="auto" w:fill="FFFFFF"/>
        </w:rPr>
      </w:pPr>
      <w:r>
        <w:rPr>
          <w:rFonts w:ascii="Calibri" w:hAnsi="Calibri" w:cs="Calibri"/>
          <w:b/>
          <w:iCs/>
          <w:color w:val="000000"/>
          <w:bdr w:val="none" w:sz="0" w:space="0" w:color="auto" w:frame="1"/>
          <w:shd w:val="clear" w:color="auto" w:fill="FFFFFF"/>
        </w:rPr>
        <w:t>Exodus 29:45</w:t>
      </w:r>
    </w:p>
    <w:p w14:paraId="2E34B934" w14:textId="7A58BB22" w:rsidR="008B3AF3" w:rsidRDefault="00CB1007" w:rsidP="008B3AF3">
      <w:pPr>
        <w:pStyle w:val="NoSpacing"/>
        <w:rPr>
          <w:rFonts w:ascii="Calibri" w:hAnsi="Calibri" w:cs="Calibri"/>
          <w:color w:val="000000"/>
          <w:bdr w:val="none" w:sz="0" w:space="0" w:color="auto" w:frame="1"/>
          <w:shd w:val="clear" w:color="auto" w:fill="FFFFFF"/>
        </w:rPr>
      </w:pPr>
      <w:r>
        <w:rPr>
          <w:rFonts w:ascii="Calibri" w:hAnsi="Calibri" w:cs="Calibri"/>
          <w:i/>
          <w:iCs/>
          <w:color w:val="000000"/>
          <w:bdr w:val="none" w:sz="0" w:space="0" w:color="auto" w:frame="1"/>
          <w:shd w:val="clear" w:color="auto" w:fill="FFFFFF"/>
        </w:rPr>
        <w:t>“Then I will dwell among the Israelites and be their God.”</w:t>
      </w:r>
      <w:r>
        <w:rPr>
          <w:rFonts w:ascii="Calibri" w:hAnsi="Calibri" w:cs="Calibri"/>
          <w:color w:val="000000"/>
          <w:bdr w:val="none" w:sz="0" w:space="0" w:color="auto" w:frame="1"/>
          <w:shd w:val="clear" w:color="auto" w:fill="FFFFFF"/>
        </w:rPr>
        <w:t> </w:t>
      </w:r>
    </w:p>
    <w:p w14:paraId="390FF439" w14:textId="77777777" w:rsidR="00CB1007" w:rsidRPr="009A0DA6" w:rsidRDefault="00CB1007" w:rsidP="008B3AF3">
      <w:pPr>
        <w:pStyle w:val="NoSpacing"/>
        <w:rPr>
          <w:rFonts w:cs="Arial"/>
          <w:b/>
          <w:i/>
        </w:rPr>
      </w:pPr>
    </w:p>
    <w:p w14:paraId="642D35F2" w14:textId="2A4D67E8" w:rsidR="00933F77" w:rsidRPr="009A0DA6" w:rsidRDefault="00933F77" w:rsidP="00933F77">
      <w:pPr>
        <w:pStyle w:val="NoSpacing"/>
      </w:pPr>
      <w:r w:rsidRPr="009A0DA6">
        <w:t xml:space="preserve"> </w:t>
      </w:r>
      <w:r w:rsidR="00CC0100" w:rsidRPr="009A0DA6">
        <w:t xml:space="preserve"> </w:t>
      </w:r>
      <w:r w:rsidRPr="009A0DA6">
        <w:t>9:30 am</w:t>
      </w:r>
      <w:r w:rsidRPr="009A0DA6">
        <w:tab/>
        <w:t>Convention closing service (chapel)</w:t>
      </w:r>
    </w:p>
    <w:p w14:paraId="357B8019" w14:textId="77777777" w:rsidR="00933F77" w:rsidRPr="009A0DA6" w:rsidRDefault="00933F77" w:rsidP="00933F77">
      <w:pPr>
        <w:pStyle w:val="NoSpacing"/>
      </w:pPr>
      <w:r w:rsidRPr="009A0DA6">
        <w:t>11:30 am</w:t>
      </w:r>
      <w:r w:rsidRPr="009A0DA6">
        <w:tab/>
        <w:t>Morning tea</w:t>
      </w:r>
    </w:p>
    <w:p w14:paraId="5DEE0A3C" w14:textId="77777777" w:rsidR="00933F77" w:rsidRPr="009A0DA6" w:rsidRDefault="00933F77" w:rsidP="00933F77">
      <w:pPr>
        <w:pStyle w:val="NoSpacing"/>
      </w:pPr>
      <w:r w:rsidRPr="009A0DA6">
        <w:t>12:00 noon</w:t>
      </w:r>
      <w:r w:rsidRPr="009A0DA6">
        <w:tab/>
        <w:t>Depart</w:t>
      </w:r>
    </w:p>
    <w:p w14:paraId="100B80C2" w14:textId="77777777" w:rsidR="000F6859" w:rsidRPr="009A0DA6" w:rsidRDefault="000F6859" w:rsidP="00933F77">
      <w:pPr>
        <w:pStyle w:val="NoSpacing"/>
      </w:pPr>
    </w:p>
    <w:p w14:paraId="5514FFEA" w14:textId="77777777" w:rsidR="00DA16F1" w:rsidRPr="009A0DA6" w:rsidRDefault="00DA16F1">
      <w:pPr>
        <w:rPr>
          <w:rFonts w:ascii="Cambria" w:eastAsiaTheme="majorEastAsia" w:hAnsi="Cambria" w:cstheme="majorBidi"/>
          <w:b/>
          <w:caps/>
          <w:sz w:val="40"/>
          <w:szCs w:val="32"/>
        </w:rPr>
      </w:pPr>
      <w:r w:rsidRPr="009A0DA6">
        <w:rPr>
          <w:rFonts w:ascii="Cambria" w:hAnsi="Cambria"/>
        </w:rPr>
        <w:br w:type="page"/>
      </w:r>
    </w:p>
    <w:p w14:paraId="2457479A" w14:textId="093BC584" w:rsidR="000F6859" w:rsidRPr="009A0DA6" w:rsidRDefault="000F6859" w:rsidP="005D571C">
      <w:pPr>
        <w:pStyle w:val="Heading1"/>
      </w:pPr>
      <w:bookmarkStart w:id="8" w:name="_Toc521954582"/>
      <w:bookmarkStart w:id="9" w:name="_Toc522394948"/>
      <w:r w:rsidRPr="009A0DA6">
        <w:lastRenderedPageBreak/>
        <w:t>Agenda</w:t>
      </w:r>
      <w:bookmarkEnd w:id="8"/>
      <w:bookmarkEnd w:id="9"/>
    </w:p>
    <w:p w14:paraId="4362B078" w14:textId="77777777" w:rsidR="000F6859" w:rsidRPr="009A0DA6" w:rsidRDefault="000F6859" w:rsidP="000F6859">
      <w:pPr>
        <w:pStyle w:val="NoSpacing"/>
      </w:pPr>
    </w:p>
    <w:p w14:paraId="3C18B70C" w14:textId="77777777" w:rsidR="00061992" w:rsidRPr="009A0DA6" w:rsidRDefault="00061992" w:rsidP="005D4CD4">
      <w:pPr>
        <w:pStyle w:val="ListParagraph"/>
        <w:numPr>
          <w:ilvl w:val="0"/>
          <w:numId w:val="1"/>
        </w:numPr>
        <w:tabs>
          <w:tab w:val="left" w:pos="567"/>
          <w:tab w:val="left" w:pos="1276"/>
          <w:tab w:val="left" w:pos="1701"/>
        </w:tabs>
        <w:spacing w:after="0" w:line="22" w:lineRule="atLeast"/>
        <w:ind w:left="0" w:firstLine="0"/>
        <w:rPr>
          <w:rFonts w:ascii="Cambria" w:hAnsi="Cambria"/>
          <w:b/>
          <w:sz w:val="28"/>
          <w:szCs w:val="28"/>
        </w:rPr>
      </w:pPr>
      <w:r w:rsidRPr="009A0DA6">
        <w:rPr>
          <w:rFonts w:ascii="Cambria" w:hAnsi="Cambria"/>
          <w:b/>
          <w:sz w:val="28"/>
          <w:szCs w:val="28"/>
        </w:rPr>
        <w:t>PRELIMINARIES</w:t>
      </w:r>
    </w:p>
    <w:p w14:paraId="1B331DD4" w14:textId="77777777" w:rsidR="00061992" w:rsidRPr="009A0DA6" w:rsidRDefault="00061992" w:rsidP="00CC1481">
      <w:pPr>
        <w:pStyle w:val="ListParagraph"/>
        <w:numPr>
          <w:ilvl w:val="1"/>
          <w:numId w:val="1"/>
        </w:numPr>
        <w:tabs>
          <w:tab w:val="left" w:pos="567"/>
          <w:tab w:val="left" w:pos="1134"/>
          <w:tab w:val="left" w:pos="1701"/>
        </w:tabs>
        <w:spacing w:after="0" w:line="22" w:lineRule="atLeast"/>
        <w:ind w:left="567" w:firstLine="0"/>
        <w:rPr>
          <w:rFonts w:ascii="Cambria" w:hAnsi="Cambria"/>
        </w:rPr>
      </w:pPr>
      <w:r w:rsidRPr="009A0DA6">
        <w:rPr>
          <w:rFonts w:ascii="Cambria" w:hAnsi="Cambria"/>
        </w:rPr>
        <w:t>Formal constitution of Convention</w:t>
      </w:r>
    </w:p>
    <w:p w14:paraId="130C1906" w14:textId="77777777" w:rsidR="00061992" w:rsidRPr="009A0DA6" w:rsidRDefault="00061992" w:rsidP="00CC1481">
      <w:pPr>
        <w:pStyle w:val="ListParagraph"/>
        <w:numPr>
          <w:ilvl w:val="1"/>
          <w:numId w:val="1"/>
        </w:numPr>
        <w:tabs>
          <w:tab w:val="left" w:pos="567"/>
          <w:tab w:val="left" w:pos="1134"/>
          <w:tab w:val="left" w:pos="1701"/>
        </w:tabs>
        <w:spacing w:after="0" w:line="22" w:lineRule="atLeast"/>
        <w:ind w:left="567" w:firstLine="0"/>
        <w:rPr>
          <w:rFonts w:ascii="Cambria" w:hAnsi="Cambria"/>
        </w:rPr>
      </w:pPr>
      <w:r w:rsidRPr="009A0DA6">
        <w:rPr>
          <w:rFonts w:ascii="Cambria" w:hAnsi="Cambria"/>
        </w:rPr>
        <w:t>Endorsements</w:t>
      </w:r>
    </w:p>
    <w:p w14:paraId="5228A7D6" w14:textId="77777777" w:rsidR="00061992" w:rsidRPr="009A0DA6" w:rsidRDefault="00061992" w:rsidP="00CC1481">
      <w:pPr>
        <w:pStyle w:val="ListParagraph"/>
        <w:numPr>
          <w:ilvl w:val="2"/>
          <w:numId w:val="1"/>
        </w:numPr>
        <w:tabs>
          <w:tab w:val="left" w:pos="567"/>
          <w:tab w:val="left" w:pos="1134"/>
          <w:tab w:val="left" w:pos="1276"/>
          <w:tab w:val="left" w:pos="1985"/>
        </w:tabs>
        <w:spacing w:after="0" w:line="22" w:lineRule="atLeast"/>
        <w:ind w:left="567" w:firstLine="567"/>
        <w:rPr>
          <w:rFonts w:ascii="Cambria" w:hAnsi="Cambria"/>
        </w:rPr>
      </w:pPr>
      <w:r w:rsidRPr="009A0DA6">
        <w:rPr>
          <w:rFonts w:ascii="Cambria" w:hAnsi="Cambria"/>
        </w:rPr>
        <w:t>Minute secretaries</w:t>
      </w:r>
    </w:p>
    <w:p w14:paraId="7CBBA078" w14:textId="77777777" w:rsidR="00061992" w:rsidRPr="009A0DA6" w:rsidRDefault="00061992" w:rsidP="00CC1481">
      <w:pPr>
        <w:pStyle w:val="ListParagraph"/>
        <w:numPr>
          <w:ilvl w:val="2"/>
          <w:numId w:val="1"/>
        </w:numPr>
        <w:tabs>
          <w:tab w:val="left" w:pos="567"/>
          <w:tab w:val="left" w:pos="1134"/>
          <w:tab w:val="left" w:pos="1276"/>
          <w:tab w:val="left" w:pos="1985"/>
        </w:tabs>
        <w:spacing w:after="0" w:line="22" w:lineRule="atLeast"/>
        <w:ind w:left="567" w:firstLine="567"/>
        <w:rPr>
          <w:rFonts w:ascii="Cambria" w:hAnsi="Cambria"/>
        </w:rPr>
      </w:pPr>
      <w:r w:rsidRPr="009A0DA6">
        <w:rPr>
          <w:rFonts w:ascii="Cambria" w:hAnsi="Cambria"/>
        </w:rPr>
        <w:t>Tellers</w:t>
      </w:r>
    </w:p>
    <w:p w14:paraId="450812BB" w14:textId="77777777" w:rsidR="00061992" w:rsidRPr="009A0DA6" w:rsidRDefault="00061992" w:rsidP="00CC1481">
      <w:pPr>
        <w:pStyle w:val="ListParagraph"/>
        <w:numPr>
          <w:ilvl w:val="2"/>
          <w:numId w:val="1"/>
        </w:numPr>
        <w:tabs>
          <w:tab w:val="left" w:pos="567"/>
          <w:tab w:val="left" w:pos="1134"/>
          <w:tab w:val="left" w:pos="1276"/>
          <w:tab w:val="left" w:pos="1985"/>
        </w:tabs>
        <w:spacing w:after="0" w:line="22" w:lineRule="atLeast"/>
        <w:ind w:left="567" w:firstLine="567"/>
        <w:rPr>
          <w:rFonts w:ascii="Cambria" w:hAnsi="Cambria"/>
        </w:rPr>
      </w:pPr>
      <w:r w:rsidRPr="009A0DA6">
        <w:rPr>
          <w:rFonts w:ascii="Cambria" w:hAnsi="Cambria"/>
        </w:rPr>
        <w:t>Communications officers</w:t>
      </w:r>
    </w:p>
    <w:p w14:paraId="61C36294" w14:textId="77777777" w:rsidR="00061992" w:rsidRPr="009A0DA6" w:rsidRDefault="00061992" w:rsidP="00CC1481">
      <w:pPr>
        <w:pStyle w:val="ListParagraph"/>
        <w:numPr>
          <w:ilvl w:val="2"/>
          <w:numId w:val="1"/>
        </w:numPr>
        <w:tabs>
          <w:tab w:val="left" w:pos="567"/>
          <w:tab w:val="left" w:pos="1134"/>
          <w:tab w:val="left" w:pos="1276"/>
          <w:tab w:val="left" w:pos="1985"/>
        </w:tabs>
        <w:spacing w:after="0" w:line="22" w:lineRule="atLeast"/>
        <w:ind w:left="567" w:firstLine="567"/>
        <w:rPr>
          <w:rFonts w:ascii="Cambria" w:hAnsi="Cambria"/>
        </w:rPr>
      </w:pPr>
      <w:r w:rsidRPr="009A0DA6">
        <w:rPr>
          <w:rFonts w:ascii="Cambria" w:hAnsi="Cambria"/>
        </w:rPr>
        <w:t>Committee for Verification of Minutes</w:t>
      </w:r>
    </w:p>
    <w:p w14:paraId="1FA9AF05" w14:textId="77777777" w:rsidR="00061992" w:rsidRPr="009A0DA6" w:rsidRDefault="00061992" w:rsidP="00CC1481">
      <w:pPr>
        <w:pStyle w:val="ListParagraph"/>
        <w:numPr>
          <w:ilvl w:val="2"/>
          <w:numId w:val="1"/>
        </w:numPr>
        <w:tabs>
          <w:tab w:val="left" w:pos="567"/>
          <w:tab w:val="left" w:pos="1134"/>
          <w:tab w:val="left" w:pos="1276"/>
          <w:tab w:val="left" w:pos="1985"/>
        </w:tabs>
        <w:spacing w:after="0" w:line="22" w:lineRule="atLeast"/>
        <w:ind w:left="567" w:firstLine="567"/>
        <w:rPr>
          <w:rFonts w:ascii="Cambria" w:hAnsi="Cambria"/>
        </w:rPr>
      </w:pPr>
      <w:r w:rsidRPr="009A0DA6">
        <w:rPr>
          <w:rFonts w:ascii="Cambria" w:hAnsi="Cambria"/>
        </w:rPr>
        <w:t>Electoral Committee</w:t>
      </w:r>
    </w:p>
    <w:p w14:paraId="4BAC11D5" w14:textId="77777777" w:rsidR="00061992" w:rsidRPr="009A0DA6" w:rsidRDefault="00061992" w:rsidP="00CC1481">
      <w:pPr>
        <w:pStyle w:val="ListParagraph"/>
        <w:numPr>
          <w:ilvl w:val="2"/>
          <w:numId w:val="1"/>
        </w:numPr>
        <w:tabs>
          <w:tab w:val="left" w:pos="567"/>
          <w:tab w:val="left" w:pos="1134"/>
          <w:tab w:val="left" w:pos="1276"/>
          <w:tab w:val="left" w:pos="1985"/>
        </w:tabs>
        <w:spacing w:after="0" w:line="22" w:lineRule="atLeast"/>
        <w:ind w:left="567" w:firstLine="567"/>
        <w:rPr>
          <w:rFonts w:ascii="Cambria" w:hAnsi="Cambria"/>
        </w:rPr>
      </w:pPr>
      <w:r w:rsidRPr="009A0DA6">
        <w:rPr>
          <w:rFonts w:ascii="Cambria" w:hAnsi="Cambria"/>
        </w:rPr>
        <w:t>Welcome to Convention</w:t>
      </w:r>
    </w:p>
    <w:p w14:paraId="2334E901" w14:textId="77777777" w:rsidR="00061992" w:rsidRPr="009A0DA6" w:rsidRDefault="00061992" w:rsidP="00CC1481">
      <w:pPr>
        <w:pStyle w:val="ListParagraph"/>
        <w:numPr>
          <w:ilvl w:val="2"/>
          <w:numId w:val="1"/>
        </w:numPr>
        <w:tabs>
          <w:tab w:val="left" w:pos="567"/>
          <w:tab w:val="left" w:pos="1134"/>
          <w:tab w:val="left" w:pos="1276"/>
          <w:tab w:val="left" w:pos="1985"/>
        </w:tabs>
        <w:spacing w:after="0" w:line="22" w:lineRule="atLeast"/>
        <w:ind w:left="567" w:firstLine="567"/>
        <w:rPr>
          <w:rFonts w:ascii="Cambria" w:hAnsi="Cambria"/>
        </w:rPr>
      </w:pPr>
      <w:r w:rsidRPr="009A0DA6">
        <w:rPr>
          <w:rFonts w:ascii="Cambria" w:hAnsi="Cambria"/>
        </w:rPr>
        <w:t>Civic welcome</w:t>
      </w:r>
    </w:p>
    <w:p w14:paraId="3FDB8FEC" w14:textId="77777777" w:rsidR="00061992" w:rsidRPr="009A0DA6" w:rsidRDefault="00061992" w:rsidP="00CC1481">
      <w:pPr>
        <w:pStyle w:val="ListParagraph"/>
        <w:numPr>
          <w:ilvl w:val="2"/>
          <w:numId w:val="1"/>
        </w:numPr>
        <w:tabs>
          <w:tab w:val="left" w:pos="567"/>
          <w:tab w:val="left" w:pos="1134"/>
          <w:tab w:val="left" w:pos="1276"/>
          <w:tab w:val="left" w:pos="1985"/>
        </w:tabs>
        <w:spacing w:after="0" w:line="22" w:lineRule="atLeast"/>
        <w:ind w:left="567" w:firstLine="567"/>
        <w:rPr>
          <w:rFonts w:ascii="Cambria" w:hAnsi="Cambria"/>
        </w:rPr>
      </w:pPr>
      <w:r w:rsidRPr="009A0DA6">
        <w:rPr>
          <w:rFonts w:ascii="Cambria" w:hAnsi="Cambria"/>
        </w:rPr>
        <w:t>Roll call and apologies</w:t>
      </w:r>
    </w:p>
    <w:p w14:paraId="652D324A" w14:textId="77777777" w:rsidR="00061992" w:rsidRPr="009A0DA6" w:rsidRDefault="00061992" w:rsidP="00CC1481">
      <w:pPr>
        <w:pStyle w:val="ListParagraph"/>
        <w:numPr>
          <w:ilvl w:val="2"/>
          <w:numId w:val="1"/>
        </w:numPr>
        <w:tabs>
          <w:tab w:val="left" w:pos="567"/>
          <w:tab w:val="left" w:pos="1134"/>
          <w:tab w:val="left" w:pos="1276"/>
          <w:tab w:val="left" w:pos="1985"/>
        </w:tabs>
        <w:spacing w:after="0" w:line="22" w:lineRule="atLeast"/>
        <w:ind w:left="567" w:firstLine="567"/>
        <w:rPr>
          <w:rFonts w:ascii="Cambria" w:hAnsi="Cambria"/>
        </w:rPr>
      </w:pPr>
      <w:r w:rsidRPr="009A0DA6">
        <w:rPr>
          <w:rFonts w:ascii="Cambria" w:hAnsi="Cambria"/>
        </w:rPr>
        <w:t>Greetings</w:t>
      </w:r>
    </w:p>
    <w:p w14:paraId="11EF2DC2" w14:textId="77777777" w:rsidR="00061992" w:rsidRPr="009A0DA6" w:rsidRDefault="00061992" w:rsidP="00CC1481">
      <w:pPr>
        <w:pStyle w:val="ListParagraph"/>
        <w:numPr>
          <w:ilvl w:val="2"/>
          <w:numId w:val="1"/>
        </w:numPr>
        <w:tabs>
          <w:tab w:val="left" w:pos="567"/>
          <w:tab w:val="left" w:pos="1134"/>
          <w:tab w:val="left" w:pos="1276"/>
          <w:tab w:val="left" w:pos="1985"/>
        </w:tabs>
        <w:spacing w:after="0" w:line="22" w:lineRule="atLeast"/>
        <w:ind w:left="567" w:firstLine="567"/>
        <w:rPr>
          <w:rFonts w:ascii="Cambria" w:hAnsi="Cambria"/>
        </w:rPr>
      </w:pPr>
      <w:r w:rsidRPr="009A0DA6">
        <w:rPr>
          <w:rFonts w:ascii="Cambria" w:hAnsi="Cambria"/>
        </w:rPr>
        <w:t>Receive reports</w:t>
      </w:r>
    </w:p>
    <w:p w14:paraId="1FBB1C08" w14:textId="77777777" w:rsidR="00061992" w:rsidRPr="009A0DA6" w:rsidRDefault="00061992" w:rsidP="00CC1481">
      <w:pPr>
        <w:pStyle w:val="ListParagraph"/>
        <w:numPr>
          <w:ilvl w:val="2"/>
          <w:numId w:val="1"/>
        </w:numPr>
        <w:tabs>
          <w:tab w:val="left" w:pos="567"/>
          <w:tab w:val="left" w:pos="1134"/>
          <w:tab w:val="left" w:pos="1276"/>
          <w:tab w:val="left" w:pos="1985"/>
        </w:tabs>
        <w:spacing w:after="0" w:line="22" w:lineRule="atLeast"/>
        <w:ind w:left="567" w:firstLine="567"/>
        <w:rPr>
          <w:rFonts w:ascii="Cambria" w:hAnsi="Cambria"/>
        </w:rPr>
      </w:pPr>
      <w:r w:rsidRPr="009A0DA6">
        <w:rPr>
          <w:rFonts w:ascii="Cambria" w:hAnsi="Cambria"/>
        </w:rPr>
        <w:t>Late proposals for acceptance</w:t>
      </w:r>
    </w:p>
    <w:p w14:paraId="682F2D5B" w14:textId="77777777" w:rsidR="00061992" w:rsidRPr="009A0DA6" w:rsidRDefault="00061992" w:rsidP="00061992">
      <w:pPr>
        <w:tabs>
          <w:tab w:val="left" w:pos="567"/>
          <w:tab w:val="left" w:pos="1276"/>
          <w:tab w:val="left" w:pos="1701"/>
        </w:tabs>
        <w:spacing w:after="0" w:line="22" w:lineRule="atLeast"/>
        <w:contextualSpacing/>
        <w:rPr>
          <w:rFonts w:ascii="Cambria" w:hAnsi="Cambria"/>
        </w:rPr>
      </w:pPr>
    </w:p>
    <w:p w14:paraId="74EBDCB7" w14:textId="77777777" w:rsidR="00061992" w:rsidRPr="009A0DA6" w:rsidRDefault="00061992" w:rsidP="005D4CD4">
      <w:pPr>
        <w:pStyle w:val="ListParagraph"/>
        <w:numPr>
          <w:ilvl w:val="0"/>
          <w:numId w:val="1"/>
        </w:numPr>
        <w:tabs>
          <w:tab w:val="left" w:pos="567"/>
          <w:tab w:val="left" w:pos="1276"/>
          <w:tab w:val="left" w:pos="1701"/>
        </w:tabs>
        <w:spacing w:after="0" w:line="22" w:lineRule="atLeast"/>
        <w:ind w:left="0" w:firstLine="0"/>
        <w:rPr>
          <w:rFonts w:ascii="Cambria" w:hAnsi="Cambria"/>
          <w:b/>
          <w:sz w:val="28"/>
          <w:szCs w:val="28"/>
        </w:rPr>
      </w:pPr>
      <w:r w:rsidRPr="009A0DA6">
        <w:rPr>
          <w:rFonts w:ascii="Cambria" w:hAnsi="Cambria"/>
          <w:b/>
          <w:sz w:val="28"/>
          <w:szCs w:val="28"/>
        </w:rPr>
        <w:t>ADMINISTRATION AND PASTORAL</w:t>
      </w:r>
    </w:p>
    <w:p w14:paraId="177F3E76" w14:textId="77777777" w:rsidR="00061992" w:rsidRPr="009A0DA6" w:rsidRDefault="00061992" w:rsidP="00CC1481">
      <w:pPr>
        <w:pStyle w:val="ListParagraph"/>
        <w:numPr>
          <w:ilvl w:val="1"/>
          <w:numId w:val="1"/>
        </w:numPr>
        <w:tabs>
          <w:tab w:val="left" w:pos="567"/>
          <w:tab w:val="left" w:pos="1134"/>
          <w:tab w:val="left" w:pos="1701"/>
        </w:tabs>
        <w:spacing w:after="0" w:line="22" w:lineRule="atLeast"/>
        <w:ind w:left="0" w:firstLine="567"/>
        <w:rPr>
          <w:rFonts w:ascii="Cambria" w:hAnsi="Cambria"/>
          <w:b/>
          <w:sz w:val="24"/>
          <w:szCs w:val="24"/>
        </w:rPr>
      </w:pPr>
      <w:r w:rsidRPr="009A0DA6">
        <w:rPr>
          <w:rFonts w:ascii="Cambria" w:hAnsi="Cambria"/>
          <w:b/>
          <w:sz w:val="24"/>
          <w:szCs w:val="24"/>
        </w:rPr>
        <w:t>OFFICE OF THE BISHOP</w:t>
      </w:r>
    </w:p>
    <w:p w14:paraId="078BF097" w14:textId="4F013261" w:rsidR="00061992" w:rsidRPr="009A0DA6" w:rsidRDefault="00061992" w:rsidP="00CC1481">
      <w:pPr>
        <w:pStyle w:val="ListParagraph"/>
        <w:numPr>
          <w:ilvl w:val="2"/>
          <w:numId w:val="1"/>
        </w:numPr>
        <w:tabs>
          <w:tab w:val="left" w:pos="567"/>
          <w:tab w:val="left" w:pos="1276"/>
          <w:tab w:val="left" w:pos="1985"/>
        </w:tabs>
        <w:spacing w:after="0" w:line="22" w:lineRule="atLeast"/>
        <w:ind w:left="0" w:firstLine="1134"/>
        <w:rPr>
          <w:rFonts w:ascii="Cambria" w:hAnsi="Cambria"/>
        </w:rPr>
      </w:pPr>
      <w:r w:rsidRPr="009A0DA6">
        <w:rPr>
          <w:rFonts w:ascii="Cambria" w:hAnsi="Cambria"/>
        </w:rPr>
        <w:t xml:space="preserve">Report: LCA Bishop </w:t>
      </w:r>
      <w:r w:rsidRPr="006E0371">
        <w:rPr>
          <w:rFonts w:ascii="Cambria" w:hAnsi="Cambria"/>
        </w:rPr>
        <w:t>(</w:t>
      </w:r>
      <w:r w:rsidR="006E0371" w:rsidRPr="006E0371">
        <w:rPr>
          <w:rFonts w:ascii="Cambria" w:hAnsi="Cambria"/>
        </w:rPr>
        <w:t>p15</w:t>
      </w:r>
      <w:r w:rsidRPr="006E0371">
        <w:rPr>
          <w:rFonts w:ascii="Cambria" w:hAnsi="Cambria"/>
        </w:rPr>
        <w:t>)</w:t>
      </w:r>
    </w:p>
    <w:p w14:paraId="1E997B6B" w14:textId="3250031C" w:rsidR="00061992" w:rsidRPr="009A0DA6" w:rsidRDefault="00061992" w:rsidP="00CC1481">
      <w:pPr>
        <w:pStyle w:val="ListParagraph"/>
        <w:numPr>
          <w:ilvl w:val="2"/>
          <w:numId w:val="1"/>
        </w:numPr>
        <w:tabs>
          <w:tab w:val="left" w:pos="567"/>
          <w:tab w:val="left" w:pos="1276"/>
          <w:tab w:val="left" w:pos="1985"/>
        </w:tabs>
        <w:spacing w:after="0" w:line="22" w:lineRule="atLeast"/>
        <w:ind w:left="0" w:firstLine="1134"/>
        <w:rPr>
          <w:rFonts w:ascii="Cambria" w:hAnsi="Cambria"/>
        </w:rPr>
      </w:pPr>
      <w:r w:rsidRPr="009A0DA6">
        <w:rPr>
          <w:rFonts w:ascii="Cambria" w:hAnsi="Cambria"/>
        </w:rPr>
        <w:t>Report: General Church Council (</w:t>
      </w:r>
      <w:r w:rsidR="006E0371">
        <w:rPr>
          <w:rFonts w:ascii="Cambria" w:hAnsi="Cambria"/>
        </w:rPr>
        <w:t>p24</w:t>
      </w:r>
      <w:r w:rsidRPr="009A0DA6">
        <w:rPr>
          <w:rFonts w:ascii="Cambria" w:hAnsi="Cambria"/>
        </w:rPr>
        <w:t>)</w:t>
      </w:r>
    </w:p>
    <w:p w14:paraId="012071F2" w14:textId="7532B341" w:rsidR="00061992" w:rsidRDefault="00061992" w:rsidP="00CC1481">
      <w:pPr>
        <w:pStyle w:val="ListParagraph"/>
        <w:numPr>
          <w:ilvl w:val="2"/>
          <w:numId w:val="1"/>
        </w:numPr>
        <w:tabs>
          <w:tab w:val="left" w:pos="567"/>
          <w:tab w:val="left" w:pos="1276"/>
          <w:tab w:val="left" w:pos="1985"/>
        </w:tabs>
        <w:spacing w:after="0" w:line="22" w:lineRule="atLeast"/>
        <w:ind w:left="0" w:firstLine="1134"/>
        <w:rPr>
          <w:rFonts w:ascii="Cambria" w:hAnsi="Cambria"/>
        </w:rPr>
      </w:pPr>
      <w:r w:rsidRPr="009A0DA6">
        <w:rPr>
          <w:rFonts w:ascii="Cambria" w:hAnsi="Cambria"/>
        </w:rPr>
        <w:t xml:space="preserve">Report: </w:t>
      </w:r>
      <w:r w:rsidR="0027799A" w:rsidRPr="009A0DA6">
        <w:rPr>
          <w:rFonts w:ascii="Cambria" w:hAnsi="Cambria"/>
        </w:rPr>
        <w:t>General Pastors Conference</w:t>
      </w:r>
      <w:r w:rsidR="006E0371">
        <w:rPr>
          <w:rFonts w:ascii="Cambria" w:hAnsi="Cambria"/>
        </w:rPr>
        <w:t xml:space="preserve"> Advice to Synod (p</w:t>
      </w:r>
      <w:r w:rsidR="00C8498A">
        <w:rPr>
          <w:rFonts w:ascii="Cambria" w:hAnsi="Cambria"/>
        </w:rPr>
        <w:t>9</w:t>
      </w:r>
      <w:r w:rsidR="00873979">
        <w:rPr>
          <w:rFonts w:ascii="Cambria" w:hAnsi="Cambria"/>
        </w:rPr>
        <w:t>0</w:t>
      </w:r>
      <w:r w:rsidR="006E0371">
        <w:rPr>
          <w:rFonts w:ascii="Cambria" w:hAnsi="Cambria"/>
        </w:rPr>
        <w:t>)</w:t>
      </w:r>
    </w:p>
    <w:p w14:paraId="54BFFB9F" w14:textId="77777777" w:rsidR="00061992" w:rsidRPr="009A0DA6" w:rsidRDefault="00061992" w:rsidP="00061992">
      <w:pPr>
        <w:tabs>
          <w:tab w:val="left" w:pos="567"/>
          <w:tab w:val="left" w:pos="1276"/>
          <w:tab w:val="left" w:pos="1701"/>
        </w:tabs>
        <w:spacing w:after="0" w:line="22" w:lineRule="atLeast"/>
        <w:rPr>
          <w:rFonts w:ascii="Cambria" w:hAnsi="Cambria"/>
        </w:rPr>
      </w:pPr>
    </w:p>
    <w:p w14:paraId="6424F121" w14:textId="77777777" w:rsidR="00061992" w:rsidRPr="009A0DA6" w:rsidRDefault="00061992" w:rsidP="00CC1481">
      <w:pPr>
        <w:pStyle w:val="ListParagraph"/>
        <w:numPr>
          <w:ilvl w:val="1"/>
          <w:numId w:val="1"/>
        </w:numPr>
        <w:tabs>
          <w:tab w:val="left" w:pos="567"/>
          <w:tab w:val="left" w:pos="1134"/>
          <w:tab w:val="left" w:pos="1701"/>
        </w:tabs>
        <w:spacing w:after="0" w:line="22" w:lineRule="atLeast"/>
        <w:ind w:left="567" w:firstLine="0"/>
        <w:rPr>
          <w:rFonts w:ascii="Cambria" w:hAnsi="Cambria"/>
          <w:b/>
          <w:sz w:val="24"/>
          <w:szCs w:val="24"/>
        </w:rPr>
      </w:pPr>
      <w:r w:rsidRPr="009A0DA6">
        <w:rPr>
          <w:rFonts w:ascii="Cambria" w:hAnsi="Cambria"/>
          <w:b/>
          <w:sz w:val="24"/>
          <w:szCs w:val="24"/>
        </w:rPr>
        <w:t>PROPOSALS FROM LCA BOARDS AND COMMISSIONS</w:t>
      </w:r>
    </w:p>
    <w:p w14:paraId="784379A5" w14:textId="720E33E3" w:rsidR="00061992" w:rsidRPr="009A0DA6" w:rsidRDefault="00061992" w:rsidP="00CC1481">
      <w:pPr>
        <w:pStyle w:val="ListParagraph"/>
        <w:numPr>
          <w:ilvl w:val="2"/>
          <w:numId w:val="1"/>
        </w:numPr>
        <w:tabs>
          <w:tab w:val="left" w:pos="567"/>
          <w:tab w:val="left" w:pos="1276"/>
          <w:tab w:val="left" w:pos="3828"/>
        </w:tabs>
        <w:spacing w:after="0" w:line="22" w:lineRule="atLeast"/>
        <w:ind w:left="1985" w:hanging="851"/>
        <w:rPr>
          <w:rFonts w:ascii="Cambria" w:hAnsi="Cambria"/>
          <w:b/>
          <w:sz w:val="24"/>
          <w:szCs w:val="24"/>
        </w:rPr>
      </w:pPr>
      <w:r w:rsidRPr="009A0DA6">
        <w:rPr>
          <w:rFonts w:ascii="Cambria" w:hAnsi="Cambria"/>
          <w:b/>
        </w:rPr>
        <w:t xml:space="preserve">Governing </w:t>
      </w:r>
      <w:r w:rsidR="00802695" w:rsidRPr="009A0DA6">
        <w:rPr>
          <w:rFonts w:ascii="Cambria" w:hAnsi="Cambria"/>
          <w:b/>
        </w:rPr>
        <w:t>b</w:t>
      </w:r>
      <w:r w:rsidRPr="009A0DA6">
        <w:rPr>
          <w:rFonts w:ascii="Cambria" w:hAnsi="Cambria"/>
          <w:b/>
        </w:rPr>
        <w:t>odies</w:t>
      </w:r>
      <w:r w:rsidR="00CC1481">
        <w:rPr>
          <w:rFonts w:ascii="Cambria" w:hAnsi="Cambria"/>
          <w:b/>
        </w:rPr>
        <w:t xml:space="preserve"> </w:t>
      </w:r>
      <w:r w:rsidR="00017D5B">
        <w:rPr>
          <w:rFonts w:ascii="Cambria" w:hAnsi="Cambria"/>
          <w:b/>
        </w:rPr>
        <w:br/>
      </w:r>
      <w:r w:rsidR="00017D5B">
        <w:rPr>
          <w:rFonts w:ascii="Cambria" w:hAnsi="Cambria"/>
        </w:rPr>
        <w:t xml:space="preserve">(General Church Council) </w:t>
      </w:r>
      <w:r w:rsidR="00CC1481">
        <w:rPr>
          <w:rFonts w:ascii="Cambria" w:hAnsi="Cambria"/>
        </w:rPr>
        <w:t>(p</w:t>
      </w:r>
      <w:r w:rsidR="00873979">
        <w:rPr>
          <w:rFonts w:ascii="Cambria" w:hAnsi="Cambria"/>
        </w:rPr>
        <w:t>95</w:t>
      </w:r>
      <w:r w:rsidR="00CC1481">
        <w:rPr>
          <w:rFonts w:ascii="Cambria" w:hAnsi="Cambria"/>
        </w:rPr>
        <w:t>)</w:t>
      </w:r>
    </w:p>
    <w:p w14:paraId="4F9E960B" w14:textId="52C96190" w:rsidR="00061992" w:rsidRPr="009A0DA6" w:rsidRDefault="00061992" w:rsidP="00CC1481">
      <w:pPr>
        <w:pStyle w:val="ListParagraph"/>
        <w:numPr>
          <w:ilvl w:val="2"/>
          <w:numId w:val="1"/>
        </w:numPr>
        <w:tabs>
          <w:tab w:val="left" w:pos="567"/>
          <w:tab w:val="left" w:pos="1276"/>
          <w:tab w:val="left" w:pos="3828"/>
        </w:tabs>
        <w:spacing w:after="0" w:line="22" w:lineRule="atLeast"/>
        <w:ind w:left="1985" w:hanging="851"/>
        <w:rPr>
          <w:rFonts w:ascii="Cambria" w:hAnsi="Cambria"/>
          <w:b/>
          <w:sz w:val="24"/>
          <w:szCs w:val="24"/>
        </w:rPr>
      </w:pPr>
      <w:r w:rsidRPr="009A0DA6">
        <w:rPr>
          <w:rFonts w:ascii="Cambria" w:hAnsi="Cambria"/>
          <w:b/>
        </w:rPr>
        <w:t xml:space="preserve">National </w:t>
      </w:r>
      <w:r w:rsidR="00802695" w:rsidRPr="009A0DA6">
        <w:rPr>
          <w:rFonts w:ascii="Cambria" w:hAnsi="Cambria"/>
          <w:b/>
        </w:rPr>
        <w:t>f</w:t>
      </w:r>
      <w:r w:rsidRPr="009A0DA6">
        <w:rPr>
          <w:rFonts w:ascii="Cambria" w:hAnsi="Cambria"/>
          <w:b/>
        </w:rPr>
        <w:t>unctions</w:t>
      </w:r>
      <w:r w:rsidR="00CC1481">
        <w:rPr>
          <w:rFonts w:ascii="Cambria" w:hAnsi="Cambria"/>
        </w:rPr>
        <w:t xml:space="preserve"> </w:t>
      </w:r>
      <w:r w:rsidR="006B0C69">
        <w:rPr>
          <w:rFonts w:ascii="Cambria" w:hAnsi="Cambria"/>
          <w:b/>
        </w:rPr>
        <w:br/>
      </w:r>
      <w:r w:rsidR="006B0C69">
        <w:rPr>
          <w:rFonts w:ascii="Cambria" w:hAnsi="Cambria"/>
        </w:rPr>
        <w:t xml:space="preserve">(General Church Council) </w:t>
      </w:r>
      <w:r w:rsidR="00873979">
        <w:rPr>
          <w:rFonts w:ascii="Cambria" w:hAnsi="Cambria"/>
        </w:rPr>
        <w:t>(p103</w:t>
      </w:r>
      <w:r w:rsidR="00CC1481">
        <w:rPr>
          <w:rFonts w:ascii="Cambria" w:hAnsi="Cambria"/>
        </w:rPr>
        <w:t>)</w:t>
      </w:r>
    </w:p>
    <w:p w14:paraId="11EEFB71" w14:textId="29C5E780" w:rsidR="00061992" w:rsidRPr="009A0DA6" w:rsidRDefault="00061992" w:rsidP="00CC1481">
      <w:pPr>
        <w:pStyle w:val="ListParagraph"/>
        <w:numPr>
          <w:ilvl w:val="2"/>
          <w:numId w:val="1"/>
        </w:numPr>
        <w:tabs>
          <w:tab w:val="left" w:pos="567"/>
          <w:tab w:val="left" w:pos="1276"/>
          <w:tab w:val="left" w:pos="3828"/>
        </w:tabs>
        <w:spacing w:after="0" w:line="22" w:lineRule="atLeast"/>
        <w:ind w:left="1985" w:hanging="851"/>
        <w:rPr>
          <w:rFonts w:ascii="Cambria" w:hAnsi="Cambria"/>
          <w:b/>
          <w:sz w:val="24"/>
          <w:szCs w:val="24"/>
        </w:rPr>
      </w:pPr>
      <w:r w:rsidRPr="009A0DA6">
        <w:rPr>
          <w:rFonts w:ascii="Cambria" w:hAnsi="Cambria"/>
          <w:b/>
        </w:rPr>
        <w:t xml:space="preserve">Ordination of </w:t>
      </w:r>
      <w:r w:rsidR="00802695" w:rsidRPr="009A0DA6">
        <w:rPr>
          <w:rFonts w:ascii="Cambria" w:hAnsi="Cambria"/>
          <w:b/>
        </w:rPr>
        <w:t>w</w:t>
      </w:r>
      <w:r w:rsidRPr="009A0DA6">
        <w:rPr>
          <w:rFonts w:ascii="Cambria" w:hAnsi="Cambria"/>
          <w:b/>
        </w:rPr>
        <w:t xml:space="preserve">omen and </w:t>
      </w:r>
      <w:r w:rsidR="00802695" w:rsidRPr="009A0DA6">
        <w:rPr>
          <w:rFonts w:ascii="Cambria" w:hAnsi="Cambria"/>
          <w:b/>
        </w:rPr>
        <w:t>m</w:t>
      </w:r>
      <w:r w:rsidRPr="009A0DA6">
        <w:rPr>
          <w:rFonts w:ascii="Cambria" w:hAnsi="Cambria"/>
          <w:b/>
        </w:rPr>
        <w:t>en</w:t>
      </w:r>
      <w:r w:rsidR="00CC1481">
        <w:rPr>
          <w:rFonts w:ascii="Cambria" w:hAnsi="Cambria"/>
          <w:b/>
        </w:rPr>
        <w:t xml:space="preserve"> </w:t>
      </w:r>
      <w:r w:rsidR="006B0C69">
        <w:rPr>
          <w:rFonts w:ascii="Cambria" w:hAnsi="Cambria"/>
          <w:b/>
        </w:rPr>
        <w:br/>
      </w:r>
      <w:r w:rsidR="006B0C69">
        <w:rPr>
          <w:rFonts w:ascii="Cambria" w:hAnsi="Cambria"/>
        </w:rPr>
        <w:t xml:space="preserve">(General Church Council) </w:t>
      </w:r>
      <w:r w:rsidR="00873979">
        <w:rPr>
          <w:rFonts w:ascii="Cambria" w:hAnsi="Cambria"/>
        </w:rPr>
        <w:t>(</w:t>
      </w:r>
      <w:r w:rsidR="00F923DF">
        <w:rPr>
          <w:rFonts w:ascii="Cambria" w:hAnsi="Cambria"/>
        </w:rPr>
        <w:t>p</w:t>
      </w:r>
      <w:r w:rsidR="00873979">
        <w:rPr>
          <w:rFonts w:ascii="Cambria" w:hAnsi="Cambria"/>
        </w:rPr>
        <w:t>116</w:t>
      </w:r>
      <w:r w:rsidR="00CC1481">
        <w:rPr>
          <w:rFonts w:ascii="Cambria" w:hAnsi="Cambria"/>
        </w:rPr>
        <w:t>)</w:t>
      </w:r>
    </w:p>
    <w:p w14:paraId="1830D08E" w14:textId="238C6BA1" w:rsidR="00061992" w:rsidRPr="009A0DA6" w:rsidRDefault="00802695" w:rsidP="00CC1481">
      <w:pPr>
        <w:pStyle w:val="ListParagraph"/>
        <w:numPr>
          <w:ilvl w:val="2"/>
          <w:numId w:val="1"/>
        </w:numPr>
        <w:tabs>
          <w:tab w:val="left" w:pos="567"/>
          <w:tab w:val="left" w:pos="1276"/>
          <w:tab w:val="left" w:pos="3828"/>
        </w:tabs>
        <w:spacing w:after="0" w:line="22" w:lineRule="atLeast"/>
        <w:ind w:left="1985" w:hanging="851"/>
        <w:rPr>
          <w:rFonts w:ascii="Cambria" w:hAnsi="Cambria"/>
          <w:b/>
          <w:sz w:val="24"/>
          <w:szCs w:val="24"/>
        </w:rPr>
      </w:pPr>
      <w:r w:rsidRPr="009A0DA6">
        <w:rPr>
          <w:rFonts w:ascii="Cambria" w:hAnsi="Cambria"/>
          <w:b/>
        </w:rPr>
        <w:t>The practice of holy communion and infants</w:t>
      </w:r>
      <w:r w:rsidR="006B0C69">
        <w:rPr>
          <w:rFonts w:ascii="Cambria" w:hAnsi="Cambria"/>
          <w:b/>
        </w:rPr>
        <w:br/>
      </w:r>
      <w:r w:rsidR="006B0C69">
        <w:rPr>
          <w:rFonts w:ascii="Cambria" w:hAnsi="Cambria"/>
        </w:rPr>
        <w:t xml:space="preserve">(General Church Council) </w:t>
      </w:r>
      <w:r w:rsidR="00873979">
        <w:rPr>
          <w:rFonts w:ascii="Cambria" w:hAnsi="Cambria"/>
        </w:rPr>
        <w:t>(p117</w:t>
      </w:r>
      <w:r w:rsidR="00CC1481">
        <w:rPr>
          <w:rFonts w:ascii="Cambria" w:hAnsi="Cambria"/>
        </w:rPr>
        <w:t>)</w:t>
      </w:r>
    </w:p>
    <w:p w14:paraId="23BD9B66" w14:textId="5E5E2D4F" w:rsidR="00061992" w:rsidRPr="009A0DA6" w:rsidRDefault="00061992" w:rsidP="00CC1481">
      <w:pPr>
        <w:pStyle w:val="ListParagraph"/>
        <w:numPr>
          <w:ilvl w:val="2"/>
          <w:numId w:val="1"/>
        </w:numPr>
        <w:tabs>
          <w:tab w:val="left" w:pos="567"/>
          <w:tab w:val="left" w:pos="1276"/>
          <w:tab w:val="left" w:pos="3828"/>
        </w:tabs>
        <w:spacing w:after="0" w:line="22" w:lineRule="atLeast"/>
        <w:ind w:left="1985" w:hanging="851"/>
        <w:rPr>
          <w:rFonts w:ascii="Cambria" w:hAnsi="Cambria"/>
          <w:b/>
          <w:sz w:val="24"/>
          <w:szCs w:val="24"/>
        </w:rPr>
      </w:pPr>
      <w:r w:rsidRPr="009A0DA6">
        <w:rPr>
          <w:rFonts w:ascii="Cambria" w:hAnsi="Cambria"/>
          <w:b/>
        </w:rPr>
        <w:t xml:space="preserve">Membership of both International Lutheran Council and Lutheran World Federation </w:t>
      </w:r>
      <w:r w:rsidR="006B0C69">
        <w:rPr>
          <w:rFonts w:ascii="Cambria" w:hAnsi="Cambria"/>
          <w:b/>
        </w:rPr>
        <w:br/>
      </w:r>
      <w:r w:rsidR="006B0C69">
        <w:rPr>
          <w:rFonts w:ascii="Cambria" w:hAnsi="Cambria"/>
        </w:rPr>
        <w:t xml:space="preserve">(General Church Council) </w:t>
      </w:r>
      <w:r w:rsidR="00873979">
        <w:rPr>
          <w:rFonts w:ascii="Cambria" w:hAnsi="Cambria"/>
        </w:rPr>
        <w:t>(p118</w:t>
      </w:r>
      <w:r w:rsidR="00CC1481">
        <w:rPr>
          <w:rFonts w:ascii="Cambria" w:hAnsi="Cambria"/>
        </w:rPr>
        <w:t>)</w:t>
      </w:r>
    </w:p>
    <w:p w14:paraId="3BFF5A4B" w14:textId="0D69BED5" w:rsidR="00061992" w:rsidRPr="009A0DA6" w:rsidRDefault="00061992" w:rsidP="00CC1481">
      <w:pPr>
        <w:pStyle w:val="ListParagraph"/>
        <w:numPr>
          <w:ilvl w:val="2"/>
          <w:numId w:val="1"/>
        </w:numPr>
        <w:tabs>
          <w:tab w:val="left" w:pos="567"/>
          <w:tab w:val="left" w:pos="1276"/>
          <w:tab w:val="left" w:pos="3828"/>
        </w:tabs>
        <w:spacing w:after="0" w:line="22" w:lineRule="atLeast"/>
        <w:ind w:left="1985" w:hanging="851"/>
        <w:rPr>
          <w:rFonts w:ascii="Cambria" w:hAnsi="Cambria"/>
          <w:b/>
          <w:sz w:val="24"/>
          <w:szCs w:val="24"/>
        </w:rPr>
      </w:pPr>
      <w:r w:rsidRPr="009A0DA6">
        <w:rPr>
          <w:rFonts w:ascii="Cambria" w:hAnsi="Cambria"/>
          <w:b/>
        </w:rPr>
        <w:t xml:space="preserve">Review of Professional Standards Department </w:t>
      </w:r>
      <w:r w:rsidR="006B0C69">
        <w:rPr>
          <w:rFonts w:ascii="Cambria" w:hAnsi="Cambria"/>
          <w:b/>
        </w:rPr>
        <w:br/>
      </w:r>
      <w:r w:rsidR="006B0C69">
        <w:rPr>
          <w:rFonts w:ascii="Cambria" w:hAnsi="Cambria"/>
        </w:rPr>
        <w:t xml:space="preserve">(General Church Council) </w:t>
      </w:r>
      <w:r w:rsidR="00873979">
        <w:rPr>
          <w:rFonts w:ascii="Cambria" w:hAnsi="Cambria"/>
        </w:rPr>
        <w:t>(p119</w:t>
      </w:r>
      <w:r w:rsidR="00CC1481">
        <w:rPr>
          <w:rFonts w:ascii="Cambria" w:hAnsi="Cambria"/>
        </w:rPr>
        <w:t>)</w:t>
      </w:r>
    </w:p>
    <w:p w14:paraId="4E37B89A" w14:textId="716E8C5E" w:rsidR="00061992" w:rsidRPr="009A0DA6" w:rsidRDefault="00061992" w:rsidP="00CC1481">
      <w:pPr>
        <w:pStyle w:val="ListParagraph"/>
        <w:numPr>
          <w:ilvl w:val="2"/>
          <w:numId w:val="1"/>
        </w:numPr>
        <w:tabs>
          <w:tab w:val="left" w:pos="567"/>
          <w:tab w:val="left" w:pos="1276"/>
          <w:tab w:val="left" w:pos="3828"/>
        </w:tabs>
        <w:spacing w:after="0" w:line="22" w:lineRule="atLeast"/>
        <w:ind w:left="1985" w:hanging="851"/>
        <w:rPr>
          <w:rFonts w:ascii="Cambria" w:hAnsi="Cambria"/>
          <w:b/>
          <w:sz w:val="24"/>
          <w:szCs w:val="24"/>
        </w:rPr>
      </w:pPr>
      <w:r w:rsidRPr="009A0DA6">
        <w:rPr>
          <w:rFonts w:ascii="Cambria" w:hAnsi="Cambria"/>
          <w:b/>
        </w:rPr>
        <w:t>Lutheran Education Australia review</w:t>
      </w:r>
      <w:r w:rsidR="006B0C69">
        <w:rPr>
          <w:rFonts w:ascii="Cambria" w:hAnsi="Cambria"/>
          <w:b/>
        </w:rPr>
        <w:br/>
      </w:r>
      <w:r w:rsidR="006B0C69">
        <w:rPr>
          <w:rFonts w:ascii="Cambria" w:hAnsi="Cambria"/>
        </w:rPr>
        <w:t xml:space="preserve">(General Church Council) </w:t>
      </w:r>
      <w:r w:rsidR="00873979">
        <w:rPr>
          <w:rFonts w:ascii="Cambria" w:hAnsi="Cambria"/>
        </w:rPr>
        <w:t>(p119</w:t>
      </w:r>
      <w:r w:rsidR="00CC1481">
        <w:rPr>
          <w:rFonts w:ascii="Cambria" w:hAnsi="Cambria"/>
        </w:rPr>
        <w:t>)</w:t>
      </w:r>
    </w:p>
    <w:p w14:paraId="4AB1BF1E" w14:textId="4DA6FB53" w:rsidR="00061992" w:rsidRPr="009A0DA6" w:rsidRDefault="00061992" w:rsidP="00CC1481">
      <w:pPr>
        <w:pStyle w:val="ListParagraph"/>
        <w:numPr>
          <w:ilvl w:val="2"/>
          <w:numId w:val="1"/>
        </w:numPr>
        <w:tabs>
          <w:tab w:val="left" w:pos="567"/>
          <w:tab w:val="left" w:pos="1276"/>
          <w:tab w:val="left" w:pos="3828"/>
        </w:tabs>
        <w:spacing w:after="0" w:line="22" w:lineRule="atLeast"/>
        <w:ind w:left="1985" w:hanging="851"/>
        <w:rPr>
          <w:rFonts w:ascii="Cambria" w:hAnsi="Cambria"/>
          <w:b/>
          <w:sz w:val="24"/>
          <w:szCs w:val="24"/>
        </w:rPr>
      </w:pPr>
      <w:r w:rsidRPr="009A0DA6">
        <w:rPr>
          <w:rFonts w:ascii="Cambria" w:hAnsi="Cambria"/>
          <w:b/>
        </w:rPr>
        <w:t xml:space="preserve">Reconciliation </w:t>
      </w:r>
      <w:r w:rsidR="005003B6" w:rsidRPr="009A0DA6">
        <w:rPr>
          <w:rFonts w:ascii="Cambria" w:hAnsi="Cambria"/>
          <w:b/>
        </w:rPr>
        <w:t>A</w:t>
      </w:r>
      <w:r w:rsidRPr="009A0DA6">
        <w:rPr>
          <w:rFonts w:ascii="Cambria" w:hAnsi="Cambria"/>
          <w:b/>
        </w:rPr>
        <w:t xml:space="preserve">ction </w:t>
      </w:r>
      <w:r w:rsidR="005003B6" w:rsidRPr="009A0DA6">
        <w:rPr>
          <w:rFonts w:ascii="Cambria" w:hAnsi="Cambria"/>
          <w:b/>
        </w:rPr>
        <w:t>P</w:t>
      </w:r>
      <w:r w:rsidRPr="009A0DA6">
        <w:rPr>
          <w:rFonts w:ascii="Cambria" w:hAnsi="Cambria"/>
          <w:b/>
        </w:rPr>
        <w:t>lan</w:t>
      </w:r>
      <w:r w:rsidR="006B0C69">
        <w:rPr>
          <w:rFonts w:ascii="Cambria" w:hAnsi="Cambria"/>
          <w:b/>
        </w:rPr>
        <w:br/>
      </w:r>
      <w:r w:rsidR="006B0C69">
        <w:rPr>
          <w:rFonts w:ascii="Cambria" w:hAnsi="Cambria"/>
        </w:rPr>
        <w:t xml:space="preserve">(General Church Council) </w:t>
      </w:r>
      <w:r w:rsidR="00873979">
        <w:rPr>
          <w:rFonts w:ascii="Cambria" w:hAnsi="Cambria"/>
        </w:rPr>
        <w:t>(p122</w:t>
      </w:r>
      <w:r w:rsidR="00CC1481">
        <w:rPr>
          <w:rFonts w:ascii="Cambria" w:hAnsi="Cambria"/>
        </w:rPr>
        <w:t>)</w:t>
      </w:r>
    </w:p>
    <w:p w14:paraId="66261378" w14:textId="56B012F9" w:rsidR="00802695" w:rsidRPr="009A0DA6" w:rsidRDefault="00910D02" w:rsidP="00CC1481">
      <w:pPr>
        <w:pStyle w:val="ListParagraph"/>
        <w:numPr>
          <w:ilvl w:val="2"/>
          <w:numId w:val="1"/>
        </w:numPr>
        <w:tabs>
          <w:tab w:val="left" w:pos="567"/>
          <w:tab w:val="left" w:pos="1276"/>
          <w:tab w:val="left" w:pos="3828"/>
        </w:tabs>
        <w:spacing w:after="0" w:line="22" w:lineRule="atLeast"/>
        <w:ind w:left="1985" w:hanging="851"/>
        <w:rPr>
          <w:rFonts w:ascii="Cambria" w:hAnsi="Cambria"/>
          <w:b/>
          <w:sz w:val="24"/>
          <w:szCs w:val="24"/>
        </w:rPr>
      </w:pPr>
      <w:r w:rsidRPr="009A0DA6">
        <w:rPr>
          <w:rFonts w:ascii="Cambria" w:hAnsi="Cambria"/>
        </w:rPr>
        <w:t xml:space="preserve"> </w:t>
      </w:r>
      <w:r w:rsidRPr="009A0DA6">
        <w:rPr>
          <w:rFonts w:ascii="Cambria" w:hAnsi="Cambria"/>
          <w:b/>
        </w:rPr>
        <w:t>‘</w:t>
      </w:r>
      <w:r w:rsidRPr="009A0DA6">
        <w:rPr>
          <w:rFonts w:ascii="Cambria" w:hAnsi="Cambria"/>
          <w:b/>
          <w:szCs w:val="24"/>
        </w:rPr>
        <w:t>Our Direction 2018–2024’</w:t>
      </w:r>
      <w:r w:rsidR="00CC1481">
        <w:rPr>
          <w:rFonts w:ascii="Cambria" w:hAnsi="Cambria"/>
          <w:b/>
          <w:szCs w:val="24"/>
        </w:rPr>
        <w:t xml:space="preserve"> </w:t>
      </w:r>
      <w:r w:rsidR="006B0C69">
        <w:rPr>
          <w:rFonts w:ascii="Cambria" w:hAnsi="Cambria"/>
          <w:b/>
        </w:rPr>
        <w:br/>
      </w:r>
      <w:r w:rsidR="006B0C69">
        <w:rPr>
          <w:rFonts w:ascii="Cambria" w:hAnsi="Cambria"/>
        </w:rPr>
        <w:t xml:space="preserve">(General Church Council) </w:t>
      </w:r>
      <w:r w:rsidR="00873979">
        <w:rPr>
          <w:rFonts w:ascii="Cambria" w:hAnsi="Cambria"/>
          <w:szCs w:val="24"/>
        </w:rPr>
        <w:t>(p127</w:t>
      </w:r>
      <w:r w:rsidR="00CC1481">
        <w:rPr>
          <w:rFonts w:ascii="Cambria" w:hAnsi="Cambria"/>
          <w:szCs w:val="24"/>
        </w:rPr>
        <w:t>)</w:t>
      </w:r>
    </w:p>
    <w:p w14:paraId="1FFDAD34" w14:textId="3AF9C348" w:rsidR="00061992" w:rsidRPr="009A0DA6" w:rsidRDefault="00061992" w:rsidP="00CC1481">
      <w:pPr>
        <w:pStyle w:val="ListParagraph"/>
        <w:numPr>
          <w:ilvl w:val="2"/>
          <w:numId w:val="1"/>
        </w:numPr>
        <w:tabs>
          <w:tab w:val="left" w:pos="567"/>
          <w:tab w:val="left" w:pos="1276"/>
          <w:tab w:val="left" w:pos="3828"/>
        </w:tabs>
        <w:spacing w:after="0" w:line="22" w:lineRule="atLeast"/>
        <w:ind w:left="1985" w:hanging="851"/>
        <w:rPr>
          <w:rFonts w:ascii="Cambria" w:hAnsi="Cambria"/>
          <w:b/>
          <w:sz w:val="24"/>
          <w:szCs w:val="24"/>
        </w:rPr>
      </w:pPr>
      <w:r w:rsidRPr="009A0DA6">
        <w:rPr>
          <w:rFonts w:ascii="Cambria" w:hAnsi="Cambria"/>
          <w:b/>
        </w:rPr>
        <w:t>Establishment of Lutheran Earth Care Australia and New Zealand</w:t>
      </w:r>
      <w:r w:rsidR="00CC1481">
        <w:rPr>
          <w:rFonts w:ascii="Cambria" w:hAnsi="Cambria"/>
        </w:rPr>
        <w:t xml:space="preserve"> </w:t>
      </w:r>
      <w:r w:rsidR="006B0C69">
        <w:rPr>
          <w:rFonts w:ascii="Cambria" w:hAnsi="Cambria"/>
        </w:rPr>
        <w:t>(</w:t>
      </w:r>
      <w:r w:rsidR="006B0C69" w:rsidRPr="009A0DA6">
        <w:rPr>
          <w:rFonts w:ascii="Cambria" w:hAnsi="Cambria"/>
        </w:rPr>
        <w:t>Commission on Social and Bioethical Questions, Lutheran Education Australia and Au</w:t>
      </w:r>
      <w:r w:rsidR="006B0C69">
        <w:rPr>
          <w:rFonts w:ascii="Cambria" w:hAnsi="Cambria"/>
        </w:rPr>
        <w:t>stralian Lutheran World Service)</w:t>
      </w:r>
      <w:r w:rsidR="006B0C69" w:rsidRPr="009A0DA6">
        <w:rPr>
          <w:rFonts w:ascii="Cambria" w:hAnsi="Cambria"/>
        </w:rPr>
        <w:t xml:space="preserve"> </w:t>
      </w:r>
      <w:r w:rsidR="00873979">
        <w:rPr>
          <w:rFonts w:ascii="Cambria" w:hAnsi="Cambria"/>
        </w:rPr>
        <w:t>(p129</w:t>
      </w:r>
      <w:r w:rsidR="00CC1481">
        <w:rPr>
          <w:rFonts w:ascii="Cambria" w:hAnsi="Cambria"/>
        </w:rPr>
        <w:t>)</w:t>
      </w:r>
    </w:p>
    <w:p w14:paraId="61EA6C6B" w14:textId="7101E036" w:rsidR="00061992" w:rsidRPr="009A0DA6" w:rsidRDefault="00061992" w:rsidP="00CC1481">
      <w:pPr>
        <w:pStyle w:val="ListParagraph"/>
        <w:numPr>
          <w:ilvl w:val="2"/>
          <w:numId w:val="1"/>
        </w:numPr>
        <w:tabs>
          <w:tab w:val="left" w:pos="567"/>
          <w:tab w:val="left" w:pos="1276"/>
          <w:tab w:val="left" w:pos="3828"/>
        </w:tabs>
        <w:spacing w:after="0" w:line="22" w:lineRule="atLeast"/>
        <w:ind w:left="1985" w:hanging="851"/>
        <w:rPr>
          <w:rFonts w:ascii="Cambria" w:hAnsi="Cambria"/>
          <w:b/>
          <w:sz w:val="24"/>
          <w:szCs w:val="24"/>
        </w:rPr>
      </w:pPr>
      <w:r w:rsidRPr="009A0DA6">
        <w:rPr>
          <w:rFonts w:ascii="Cambria" w:hAnsi="Cambria"/>
          <w:b/>
        </w:rPr>
        <w:t xml:space="preserve">LCA </w:t>
      </w:r>
      <w:r w:rsidR="00802695" w:rsidRPr="009A0DA6">
        <w:rPr>
          <w:rFonts w:ascii="Cambria" w:hAnsi="Cambria"/>
          <w:b/>
        </w:rPr>
        <w:t>c</w:t>
      </w:r>
      <w:r w:rsidRPr="009A0DA6">
        <w:rPr>
          <w:rFonts w:ascii="Cambria" w:hAnsi="Cambria"/>
          <w:b/>
        </w:rPr>
        <w:t>ommittees and commissions to ha</w:t>
      </w:r>
      <w:r w:rsidR="0053396D" w:rsidRPr="009A0DA6">
        <w:rPr>
          <w:rFonts w:ascii="Cambria" w:hAnsi="Cambria"/>
          <w:b/>
        </w:rPr>
        <w:t>ve one member under 30 by 2022</w:t>
      </w:r>
      <w:r w:rsidR="00CC1481">
        <w:rPr>
          <w:rFonts w:ascii="Cambria" w:hAnsi="Cambria"/>
        </w:rPr>
        <w:t xml:space="preserve"> </w:t>
      </w:r>
      <w:r w:rsidR="006B0C69">
        <w:rPr>
          <w:rFonts w:ascii="Cambria" w:hAnsi="Cambria"/>
        </w:rPr>
        <w:t>(</w:t>
      </w:r>
      <w:r w:rsidR="006B0C69" w:rsidRPr="009A0DA6">
        <w:rPr>
          <w:rFonts w:ascii="Cambria" w:hAnsi="Cambria"/>
        </w:rPr>
        <w:t>Committee for Child Youth and Family</w:t>
      </w:r>
      <w:r w:rsidR="00AD32D2">
        <w:rPr>
          <w:rFonts w:ascii="Cambria" w:hAnsi="Cambria"/>
        </w:rPr>
        <w:t xml:space="preserve"> Ministry</w:t>
      </w:r>
      <w:r w:rsidR="006B0C69" w:rsidRPr="009A0DA6">
        <w:rPr>
          <w:rFonts w:ascii="Cambria" w:hAnsi="Cambria"/>
        </w:rPr>
        <w:t>, and Standing Committee on Nominations</w:t>
      </w:r>
      <w:r w:rsidR="006B0C69">
        <w:rPr>
          <w:rFonts w:ascii="Cambria" w:hAnsi="Cambria"/>
        </w:rPr>
        <w:t>)</w:t>
      </w:r>
      <w:r w:rsidR="006B0C69" w:rsidRPr="009A0DA6">
        <w:rPr>
          <w:rFonts w:ascii="Cambria" w:hAnsi="Cambria"/>
        </w:rPr>
        <w:t xml:space="preserve"> </w:t>
      </w:r>
      <w:r w:rsidR="00873979">
        <w:rPr>
          <w:rFonts w:ascii="Cambria" w:hAnsi="Cambria"/>
        </w:rPr>
        <w:t>(p130</w:t>
      </w:r>
      <w:r w:rsidR="00CC1481">
        <w:rPr>
          <w:rFonts w:ascii="Cambria" w:hAnsi="Cambria"/>
        </w:rPr>
        <w:t>)</w:t>
      </w:r>
    </w:p>
    <w:p w14:paraId="794E3E7A" w14:textId="09549EFE" w:rsidR="00061992" w:rsidRPr="009A0DA6" w:rsidRDefault="00061992" w:rsidP="00CC1481">
      <w:pPr>
        <w:pStyle w:val="ListParagraph"/>
        <w:numPr>
          <w:ilvl w:val="2"/>
          <w:numId w:val="1"/>
        </w:numPr>
        <w:tabs>
          <w:tab w:val="left" w:pos="567"/>
          <w:tab w:val="left" w:pos="1276"/>
          <w:tab w:val="left" w:pos="3828"/>
        </w:tabs>
        <w:spacing w:after="0" w:line="22" w:lineRule="atLeast"/>
        <w:ind w:left="1985" w:hanging="851"/>
        <w:rPr>
          <w:rFonts w:ascii="Cambria" w:hAnsi="Cambria"/>
          <w:b/>
          <w:sz w:val="24"/>
          <w:szCs w:val="24"/>
        </w:rPr>
      </w:pPr>
      <w:r w:rsidRPr="009A0DA6">
        <w:rPr>
          <w:rFonts w:ascii="Cambria" w:hAnsi="Cambria"/>
          <w:b/>
        </w:rPr>
        <w:t xml:space="preserve">Appointment of </w:t>
      </w:r>
      <w:r w:rsidR="00802695" w:rsidRPr="009A0DA6">
        <w:rPr>
          <w:rFonts w:ascii="Cambria" w:hAnsi="Cambria"/>
          <w:b/>
        </w:rPr>
        <w:t>a</w:t>
      </w:r>
      <w:r w:rsidR="0053396D" w:rsidRPr="009A0DA6">
        <w:rPr>
          <w:rFonts w:ascii="Cambria" w:hAnsi="Cambria"/>
          <w:b/>
        </w:rPr>
        <w:t>uditor</w:t>
      </w:r>
      <w:r w:rsidR="00CC1481">
        <w:rPr>
          <w:rFonts w:ascii="Cambria" w:hAnsi="Cambria"/>
        </w:rPr>
        <w:t xml:space="preserve"> </w:t>
      </w:r>
      <w:r w:rsidR="006B0C69">
        <w:rPr>
          <w:rFonts w:ascii="Cambria" w:hAnsi="Cambria"/>
        </w:rPr>
        <w:br/>
        <w:t>(</w:t>
      </w:r>
      <w:r w:rsidR="006B0C69" w:rsidRPr="009A0DA6">
        <w:rPr>
          <w:rFonts w:ascii="Cambria" w:hAnsi="Cambria"/>
        </w:rPr>
        <w:t>Aus</w:t>
      </w:r>
      <w:r w:rsidR="006B0C69">
        <w:rPr>
          <w:rFonts w:ascii="Cambria" w:hAnsi="Cambria"/>
        </w:rPr>
        <w:t xml:space="preserve">tralian Lutheran World Service) </w:t>
      </w:r>
      <w:r w:rsidR="00CC1481">
        <w:rPr>
          <w:rFonts w:ascii="Cambria" w:hAnsi="Cambria"/>
        </w:rPr>
        <w:t>(p1</w:t>
      </w:r>
      <w:r w:rsidR="00873979">
        <w:rPr>
          <w:rFonts w:ascii="Cambria" w:hAnsi="Cambria"/>
        </w:rPr>
        <w:t>31</w:t>
      </w:r>
      <w:r w:rsidR="00CC1481">
        <w:rPr>
          <w:rFonts w:ascii="Cambria" w:hAnsi="Cambria"/>
        </w:rPr>
        <w:t>)</w:t>
      </w:r>
    </w:p>
    <w:p w14:paraId="49BFC6F4" w14:textId="4A3519B0" w:rsidR="00061992" w:rsidRPr="009A0DA6" w:rsidRDefault="00061992" w:rsidP="00CC1481">
      <w:pPr>
        <w:pStyle w:val="ListParagraph"/>
        <w:numPr>
          <w:ilvl w:val="2"/>
          <w:numId w:val="1"/>
        </w:numPr>
        <w:tabs>
          <w:tab w:val="left" w:pos="567"/>
          <w:tab w:val="left" w:pos="1276"/>
          <w:tab w:val="left" w:pos="3828"/>
        </w:tabs>
        <w:spacing w:after="0" w:line="22" w:lineRule="atLeast"/>
        <w:ind w:left="1985" w:hanging="851"/>
        <w:rPr>
          <w:rFonts w:ascii="Cambria" w:hAnsi="Cambria"/>
          <w:b/>
          <w:sz w:val="24"/>
          <w:szCs w:val="24"/>
        </w:rPr>
      </w:pPr>
      <w:r w:rsidRPr="009A0DA6">
        <w:rPr>
          <w:rFonts w:ascii="Cambria" w:hAnsi="Cambria"/>
          <w:b/>
        </w:rPr>
        <w:t xml:space="preserve">Introduction of Christian Care </w:t>
      </w:r>
      <w:r w:rsidR="0053396D" w:rsidRPr="009A0DA6">
        <w:rPr>
          <w:rFonts w:ascii="Cambria" w:hAnsi="Cambria"/>
          <w:b/>
        </w:rPr>
        <w:t>Sunday</w:t>
      </w:r>
      <w:r w:rsidR="00CC1481">
        <w:rPr>
          <w:rFonts w:ascii="Cambria" w:hAnsi="Cambria"/>
          <w:b/>
        </w:rPr>
        <w:t xml:space="preserve"> </w:t>
      </w:r>
      <w:r w:rsidR="006B0C69">
        <w:rPr>
          <w:rFonts w:ascii="Cambria" w:hAnsi="Cambria"/>
          <w:b/>
        </w:rPr>
        <w:br/>
      </w:r>
      <w:r w:rsidR="006B0C69">
        <w:rPr>
          <w:rFonts w:ascii="Cambria" w:hAnsi="Cambria"/>
        </w:rPr>
        <w:t>(</w:t>
      </w:r>
      <w:r w:rsidR="006B0C69" w:rsidRPr="009A0DA6">
        <w:rPr>
          <w:rFonts w:ascii="Cambria" w:hAnsi="Cambria"/>
        </w:rPr>
        <w:t>Board for Local Mission</w:t>
      </w:r>
      <w:r w:rsidR="006B0C69">
        <w:rPr>
          <w:rFonts w:ascii="Cambria" w:hAnsi="Cambria"/>
        </w:rPr>
        <w:t>)</w:t>
      </w:r>
      <w:r w:rsidR="006B0C69" w:rsidRPr="009A0DA6">
        <w:rPr>
          <w:rFonts w:ascii="Cambria" w:hAnsi="Cambria"/>
          <w:b/>
        </w:rPr>
        <w:t xml:space="preserve"> </w:t>
      </w:r>
      <w:r w:rsidR="00873979">
        <w:rPr>
          <w:rFonts w:ascii="Cambria" w:hAnsi="Cambria"/>
        </w:rPr>
        <w:t>(p132</w:t>
      </w:r>
      <w:r w:rsidR="00CC1481">
        <w:rPr>
          <w:rFonts w:ascii="Cambria" w:hAnsi="Cambria"/>
        </w:rPr>
        <w:t>)</w:t>
      </w:r>
    </w:p>
    <w:p w14:paraId="5D406990" w14:textId="043435FB" w:rsidR="00061992" w:rsidRPr="009A0DA6" w:rsidRDefault="00061992" w:rsidP="00CC1481">
      <w:pPr>
        <w:pStyle w:val="ListParagraph"/>
        <w:numPr>
          <w:ilvl w:val="2"/>
          <w:numId w:val="1"/>
        </w:numPr>
        <w:tabs>
          <w:tab w:val="left" w:pos="567"/>
          <w:tab w:val="left" w:pos="1276"/>
          <w:tab w:val="left" w:pos="3828"/>
        </w:tabs>
        <w:spacing w:after="0" w:line="22" w:lineRule="atLeast"/>
        <w:ind w:left="1985" w:hanging="851"/>
        <w:rPr>
          <w:rFonts w:ascii="Cambria" w:hAnsi="Cambria"/>
          <w:b/>
          <w:sz w:val="24"/>
          <w:szCs w:val="24"/>
        </w:rPr>
      </w:pPr>
      <w:r w:rsidRPr="009A0DA6">
        <w:rPr>
          <w:rFonts w:ascii="Cambria" w:hAnsi="Cambria"/>
          <w:b/>
        </w:rPr>
        <w:lastRenderedPageBreak/>
        <w:t xml:space="preserve">Recognising and continuing the </w:t>
      </w:r>
      <w:r w:rsidR="005003B6" w:rsidRPr="009A0DA6">
        <w:rPr>
          <w:rFonts w:ascii="Cambria" w:hAnsi="Cambria"/>
          <w:b/>
        </w:rPr>
        <w:t xml:space="preserve">‘Hidden Hurts Healing Hearts’ </w:t>
      </w:r>
      <w:r w:rsidR="00802695" w:rsidRPr="009A0DA6">
        <w:rPr>
          <w:rFonts w:ascii="Cambria" w:hAnsi="Cambria"/>
          <w:b/>
        </w:rPr>
        <w:t>c</w:t>
      </w:r>
      <w:r w:rsidR="0053396D" w:rsidRPr="009A0DA6">
        <w:rPr>
          <w:rFonts w:ascii="Cambria" w:hAnsi="Cambria"/>
          <w:b/>
        </w:rPr>
        <w:t>ampaign</w:t>
      </w:r>
      <w:r w:rsidR="00CC1481">
        <w:rPr>
          <w:rFonts w:ascii="Cambria" w:hAnsi="Cambria"/>
          <w:b/>
        </w:rPr>
        <w:t xml:space="preserve"> </w:t>
      </w:r>
      <w:r w:rsidR="006B0C69">
        <w:rPr>
          <w:rFonts w:ascii="Cambria" w:hAnsi="Cambria"/>
          <w:b/>
        </w:rPr>
        <w:t>(</w:t>
      </w:r>
      <w:r w:rsidR="006B0C69" w:rsidRPr="009A0DA6">
        <w:rPr>
          <w:rFonts w:ascii="Cambria" w:hAnsi="Cambria"/>
        </w:rPr>
        <w:t>Commission for Social and Bioethical Questions</w:t>
      </w:r>
      <w:r w:rsidR="006B0C69">
        <w:rPr>
          <w:rFonts w:ascii="Cambria" w:hAnsi="Cambria"/>
        </w:rPr>
        <w:t>)</w:t>
      </w:r>
      <w:r w:rsidR="006B0C69" w:rsidRPr="009A0DA6">
        <w:rPr>
          <w:rFonts w:ascii="Cambria" w:hAnsi="Cambria"/>
        </w:rPr>
        <w:t xml:space="preserve"> </w:t>
      </w:r>
      <w:r w:rsidR="00873979">
        <w:rPr>
          <w:rFonts w:ascii="Cambria" w:hAnsi="Cambria"/>
        </w:rPr>
        <w:t>(p133</w:t>
      </w:r>
      <w:r w:rsidR="00CC1481">
        <w:rPr>
          <w:rFonts w:ascii="Cambria" w:hAnsi="Cambria"/>
        </w:rPr>
        <w:t>)</w:t>
      </w:r>
    </w:p>
    <w:p w14:paraId="0B1E9ADF" w14:textId="32C1658A" w:rsidR="00061992" w:rsidRPr="009A0DA6" w:rsidRDefault="00061992" w:rsidP="00CC1481">
      <w:pPr>
        <w:pStyle w:val="ListParagraph"/>
        <w:numPr>
          <w:ilvl w:val="2"/>
          <w:numId w:val="1"/>
        </w:numPr>
        <w:tabs>
          <w:tab w:val="left" w:pos="567"/>
          <w:tab w:val="left" w:pos="1276"/>
          <w:tab w:val="left" w:pos="3828"/>
        </w:tabs>
        <w:spacing w:after="0" w:line="22" w:lineRule="atLeast"/>
        <w:ind w:left="1985" w:hanging="851"/>
        <w:rPr>
          <w:rFonts w:ascii="Cambria" w:hAnsi="Cambria"/>
          <w:b/>
          <w:sz w:val="24"/>
          <w:szCs w:val="24"/>
        </w:rPr>
      </w:pPr>
      <w:r w:rsidRPr="009A0DA6">
        <w:rPr>
          <w:rFonts w:ascii="Cambria" w:hAnsi="Cambria"/>
          <w:b/>
        </w:rPr>
        <w:t xml:space="preserve">Expansion of </w:t>
      </w:r>
      <w:r w:rsidR="0053396D" w:rsidRPr="009A0DA6">
        <w:rPr>
          <w:rFonts w:ascii="Cambria" w:hAnsi="Cambria"/>
          <w:b/>
        </w:rPr>
        <w:t>‘</w:t>
      </w:r>
      <w:r w:rsidRPr="009A0DA6">
        <w:rPr>
          <w:rFonts w:ascii="Cambria" w:hAnsi="Cambria"/>
          <w:b/>
        </w:rPr>
        <w:t>New Home New Com</w:t>
      </w:r>
      <w:r w:rsidR="0053396D" w:rsidRPr="009A0DA6">
        <w:rPr>
          <w:rFonts w:ascii="Cambria" w:hAnsi="Cambria"/>
          <w:b/>
        </w:rPr>
        <w:t>munity New Hope’ training project</w:t>
      </w:r>
      <w:r w:rsidR="00CC1481">
        <w:rPr>
          <w:rFonts w:ascii="Cambria" w:hAnsi="Cambria"/>
          <w:b/>
        </w:rPr>
        <w:t xml:space="preserve"> </w:t>
      </w:r>
      <w:r w:rsidR="006B0C69">
        <w:rPr>
          <w:rFonts w:ascii="Cambria" w:hAnsi="Cambria"/>
          <w:b/>
        </w:rPr>
        <w:t>(</w:t>
      </w:r>
      <w:r w:rsidR="006B0C69" w:rsidRPr="009A0DA6">
        <w:rPr>
          <w:rFonts w:ascii="Cambria" w:hAnsi="Cambria"/>
        </w:rPr>
        <w:t xml:space="preserve">Commission on </w:t>
      </w:r>
      <w:r w:rsidR="006B0C69">
        <w:rPr>
          <w:rFonts w:ascii="Cambria" w:hAnsi="Cambria"/>
        </w:rPr>
        <w:t>Social and Bioethical Questions)</w:t>
      </w:r>
      <w:r w:rsidR="006B0C69" w:rsidRPr="009A0DA6">
        <w:rPr>
          <w:rFonts w:ascii="Cambria" w:hAnsi="Cambria"/>
        </w:rPr>
        <w:t xml:space="preserve"> </w:t>
      </w:r>
      <w:r w:rsidR="00873979">
        <w:rPr>
          <w:rFonts w:ascii="Cambria" w:hAnsi="Cambria"/>
        </w:rPr>
        <w:t>(p134</w:t>
      </w:r>
      <w:r w:rsidR="00CC1481">
        <w:rPr>
          <w:rFonts w:ascii="Cambria" w:hAnsi="Cambria"/>
        </w:rPr>
        <w:t>)</w:t>
      </w:r>
    </w:p>
    <w:p w14:paraId="30282385" w14:textId="323B24A4" w:rsidR="00061992" w:rsidRPr="009A0DA6" w:rsidRDefault="00802695" w:rsidP="00CC1481">
      <w:pPr>
        <w:pStyle w:val="ListParagraph"/>
        <w:numPr>
          <w:ilvl w:val="2"/>
          <w:numId w:val="1"/>
        </w:numPr>
        <w:tabs>
          <w:tab w:val="left" w:pos="567"/>
          <w:tab w:val="left" w:pos="1276"/>
          <w:tab w:val="left" w:pos="3828"/>
        </w:tabs>
        <w:spacing w:after="0" w:line="22" w:lineRule="atLeast"/>
        <w:ind w:left="1985" w:hanging="851"/>
        <w:rPr>
          <w:rFonts w:ascii="Cambria" w:hAnsi="Cambria"/>
          <w:b/>
          <w:sz w:val="24"/>
          <w:szCs w:val="24"/>
        </w:rPr>
      </w:pPr>
      <w:r w:rsidRPr="009A0DA6">
        <w:rPr>
          <w:rFonts w:ascii="Cambria" w:hAnsi="Cambria"/>
          <w:b/>
        </w:rPr>
        <w:t>Australian Lutheran College c</w:t>
      </w:r>
      <w:r w:rsidR="0053396D" w:rsidRPr="009A0DA6">
        <w:rPr>
          <w:rFonts w:ascii="Cambria" w:hAnsi="Cambria"/>
          <w:b/>
        </w:rPr>
        <w:t>onstitution</w:t>
      </w:r>
      <w:r w:rsidR="00CC1481">
        <w:rPr>
          <w:rFonts w:ascii="Cambria" w:hAnsi="Cambria"/>
          <w:b/>
        </w:rPr>
        <w:t xml:space="preserve"> </w:t>
      </w:r>
      <w:r w:rsidR="006B0C69">
        <w:rPr>
          <w:rFonts w:ascii="Cambria" w:hAnsi="Cambria"/>
          <w:b/>
        </w:rPr>
        <w:br/>
      </w:r>
      <w:r w:rsidR="006B0C69" w:rsidRPr="006B0C69">
        <w:rPr>
          <w:rFonts w:ascii="Cambria" w:hAnsi="Cambria"/>
        </w:rPr>
        <w:t>(</w:t>
      </w:r>
      <w:r w:rsidR="006B0C69" w:rsidRPr="009A0DA6">
        <w:rPr>
          <w:rFonts w:ascii="Cambria" w:hAnsi="Cambria"/>
        </w:rPr>
        <w:t>Australian Lutheran College</w:t>
      </w:r>
      <w:r w:rsidR="006B0C69">
        <w:rPr>
          <w:rFonts w:ascii="Cambria" w:hAnsi="Cambria"/>
        </w:rPr>
        <w:t>)</w:t>
      </w:r>
      <w:r w:rsidR="006B0C69" w:rsidRPr="009A0DA6">
        <w:rPr>
          <w:rFonts w:ascii="Cambria" w:hAnsi="Cambria"/>
        </w:rPr>
        <w:t xml:space="preserve"> </w:t>
      </w:r>
      <w:r w:rsidR="00873979">
        <w:rPr>
          <w:rFonts w:ascii="Cambria" w:hAnsi="Cambria"/>
        </w:rPr>
        <w:t>(p135</w:t>
      </w:r>
      <w:r w:rsidR="00CC1481">
        <w:rPr>
          <w:rFonts w:ascii="Cambria" w:hAnsi="Cambria"/>
        </w:rPr>
        <w:t>)</w:t>
      </w:r>
      <w:r w:rsidR="006B0C69">
        <w:rPr>
          <w:rFonts w:ascii="Cambria" w:hAnsi="Cambria"/>
        </w:rPr>
        <w:br/>
      </w:r>
    </w:p>
    <w:p w14:paraId="6195D83F" w14:textId="667820EB" w:rsidR="00061992" w:rsidRPr="009A0DA6" w:rsidRDefault="00061992" w:rsidP="00CC1481">
      <w:pPr>
        <w:pStyle w:val="ListParagraph"/>
        <w:numPr>
          <w:ilvl w:val="1"/>
          <w:numId w:val="1"/>
        </w:numPr>
        <w:tabs>
          <w:tab w:val="left" w:pos="567"/>
          <w:tab w:val="left" w:pos="1134"/>
          <w:tab w:val="left" w:pos="1701"/>
        </w:tabs>
        <w:spacing w:after="0" w:line="22" w:lineRule="atLeast"/>
        <w:ind w:left="0" w:firstLine="567"/>
        <w:rPr>
          <w:rFonts w:ascii="Cambria" w:hAnsi="Cambria"/>
          <w:b/>
          <w:sz w:val="24"/>
          <w:szCs w:val="24"/>
        </w:rPr>
      </w:pPr>
      <w:r w:rsidRPr="009A0DA6">
        <w:rPr>
          <w:rFonts w:ascii="Cambria" w:hAnsi="Cambria"/>
          <w:b/>
          <w:sz w:val="24"/>
          <w:szCs w:val="24"/>
        </w:rPr>
        <w:t>PROPOSALS FROM DISTRICTS AND CONGREGATIONS</w:t>
      </w:r>
    </w:p>
    <w:p w14:paraId="4C95C98B" w14:textId="34EDBDF9" w:rsidR="00061992" w:rsidRPr="009A0DA6" w:rsidRDefault="00061992" w:rsidP="00CC1481">
      <w:pPr>
        <w:pStyle w:val="ListParagraph"/>
        <w:numPr>
          <w:ilvl w:val="2"/>
          <w:numId w:val="1"/>
        </w:numPr>
        <w:tabs>
          <w:tab w:val="left" w:pos="567"/>
          <w:tab w:val="left" w:pos="1276"/>
          <w:tab w:val="left" w:pos="3828"/>
        </w:tabs>
        <w:spacing w:after="0" w:line="22" w:lineRule="atLeast"/>
        <w:ind w:left="1985" w:hanging="851"/>
        <w:rPr>
          <w:rFonts w:ascii="Cambria" w:hAnsi="Cambria"/>
          <w:b/>
          <w:sz w:val="24"/>
          <w:szCs w:val="24"/>
        </w:rPr>
      </w:pPr>
      <w:r w:rsidRPr="009A0DA6">
        <w:rPr>
          <w:rFonts w:ascii="Cambria" w:hAnsi="Cambria"/>
          <w:b/>
        </w:rPr>
        <w:t xml:space="preserve">Ordination of </w:t>
      </w:r>
      <w:r w:rsidR="00802695" w:rsidRPr="009A0DA6">
        <w:rPr>
          <w:rFonts w:ascii="Cambria" w:hAnsi="Cambria"/>
          <w:b/>
        </w:rPr>
        <w:t>b</w:t>
      </w:r>
      <w:r w:rsidRPr="009A0DA6">
        <w:rPr>
          <w:rFonts w:ascii="Cambria" w:hAnsi="Cambria"/>
          <w:b/>
        </w:rPr>
        <w:t xml:space="preserve">oth </w:t>
      </w:r>
      <w:r w:rsidR="00E0762F" w:rsidRPr="009A0DA6">
        <w:rPr>
          <w:rFonts w:ascii="Cambria" w:hAnsi="Cambria"/>
          <w:b/>
        </w:rPr>
        <w:t>women and men</w:t>
      </w:r>
    </w:p>
    <w:p w14:paraId="4B95872C" w14:textId="0CB386EC" w:rsidR="00B27318" w:rsidRPr="009A0DA6" w:rsidRDefault="00E72999" w:rsidP="006B0C69">
      <w:pPr>
        <w:pStyle w:val="ListParagraph"/>
        <w:tabs>
          <w:tab w:val="left" w:pos="567"/>
          <w:tab w:val="left" w:pos="1276"/>
          <w:tab w:val="left" w:pos="1985"/>
          <w:tab w:val="left" w:pos="3828"/>
        </w:tabs>
        <w:spacing w:after="0" w:line="22" w:lineRule="atLeast"/>
        <w:ind w:left="1985"/>
        <w:rPr>
          <w:rFonts w:ascii="Cambria" w:hAnsi="Cambria" w:cs="Arial"/>
          <w:shd w:val="clear" w:color="auto" w:fill="FFFFFF"/>
        </w:rPr>
      </w:pPr>
      <w:r>
        <w:rPr>
          <w:rFonts w:ascii="Cambria" w:hAnsi="Cambria" w:cs="Arial"/>
          <w:shd w:val="clear" w:color="auto" w:fill="FFFFFF"/>
        </w:rPr>
        <w:t>(</w:t>
      </w:r>
      <w:r w:rsidR="00E14888" w:rsidRPr="009A0DA6">
        <w:rPr>
          <w:rFonts w:ascii="Cambria" w:hAnsi="Cambria" w:cs="Arial"/>
          <w:shd w:val="clear" w:color="auto" w:fill="FFFFFF"/>
        </w:rPr>
        <w:t>St Luke’s Lutheran Church, Palmerston North NZ</w:t>
      </w:r>
      <w:r w:rsidR="00892E6E">
        <w:rPr>
          <w:rFonts w:ascii="Cambria" w:hAnsi="Cambria" w:cs="Arial"/>
          <w:shd w:val="clear" w:color="auto" w:fill="FFFFFF"/>
        </w:rPr>
        <w:t xml:space="preserve"> </w:t>
      </w:r>
      <w:r w:rsidR="006B0C69">
        <w:rPr>
          <w:rFonts w:ascii="Cambria" w:hAnsi="Cambria" w:cs="Arial"/>
          <w:shd w:val="clear" w:color="auto" w:fill="FFFFFF"/>
        </w:rPr>
        <w:t xml:space="preserve">; </w:t>
      </w:r>
      <w:r w:rsidR="00B27318" w:rsidRPr="006B0C69">
        <w:rPr>
          <w:rFonts w:ascii="Cambria" w:hAnsi="Cambria" w:cs="Arial"/>
          <w:shd w:val="clear" w:color="auto" w:fill="FFFFFF"/>
        </w:rPr>
        <w:t>St Stephen’s Lutheran Congregation, Adelaide SA</w:t>
      </w:r>
      <w:r w:rsidR="006B0C69">
        <w:rPr>
          <w:rFonts w:ascii="Cambria" w:hAnsi="Cambria" w:cs="Arial"/>
          <w:shd w:val="clear" w:color="auto" w:fill="FFFFFF"/>
        </w:rPr>
        <w:t xml:space="preserve">; </w:t>
      </w:r>
      <w:r w:rsidR="00B27318" w:rsidRPr="009A0DA6">
        <w:rPr>
          <w:rFonts w:ascii="Cambria" w:hAnsi="Cambria" w:cs="Arial"/>
          <w:shd w:val="clear" w:color="auto" w:fill="FFFFFF"/>
        </w:rPr>
        <w:t>Holy Cross Lutheran Congregation, Belconnen ACT</w:t>
      </w:r>
      <w:r w:rsidR="006B0C69">
        <w:rPr>
          <w:rFonts w:ascii="Cambria" w:hAnsi="Cambria" w:cs="Arial"/>
          <w:shd w:val="clear" w:color="auto" w:fill="FFFFFF"/>
        </w:rPr>
        <w:t xml:space="preserve">; </w:t>
      </w:r>
      <w:r w:rsidR="00B27318" w:rsidRPr="009A0DA6">
        <w:rPr>
          <w:rFonts w:ascii="Cambria" w:hAnsi="Cambria" w:cs="Arial"/>
          <w:shd w:val="clear" w:color="auto" w:fill="FFFFFF"/>
        </w:rPr>
        <w:t>St Paul Lutheran Congregation, Blair Athol SA</w:t>
      </w:r>
      <w:r w:rsidR="006B0C69">
        <w:rPr>
          <w:rFonts w:ascii="Cambria" w:hAnsi="Cambria" w:cs="Arial"/>
          <w:shd w:val="clear" w:color="auto" w:fill="FFFFFF"/>
        </w:rPr>
        <w:t xml:space="preserve">; </w:t>
      </w:r>
      <w:r w:rsidR="00B27318" w:rsidRPr="009A0DA6">
        <w:rPr>
          <w:rFonts w:ascii="Cambria" w:hAnsi="Cambria" w:cs="Arial"/>
          <w:shd w:val="clear" w:color="auto" w:fill="FFFFFF"/>
        </w:rPr>
        <w:t>St Andrew’s Lutheran Congregation, Brisbane Qld</w:t>
      </w:r>
      <w:r w:rsidR="006B0C69">
        <w:rPr>
          <w:rFonts w:ascii="Cambria" w:hAnsi="Cambria" w:cs="Arial"/>
          <w:shd w:val="clear" w:color="auto" w:fill="FFFFFF"/>
        </w:rPr>
        <w:t xml:space="preserve">; </w:t>
      </w:r>
      <w:r w:rsidR="00B27318" w:rsidRPr="009A0DA6">
        <w:rPr>
          <w:rFonts w:ascii="Cambria" w:hAnsi="Cambria" w:cs="Arial"/>
          <w:shd w:val="clear" w:color="auto" w:fill="FFFFFF"/>
        </w:rPr>
        <w:t>Golden Grove Lutheran Church SA</w:t>
      </w:r>
      <w:r w:rsidR="006B0C69">
        <w:rPr>
          <w:rFonts w:ascii="Cambria" w:hAnsi="Cambria" w:cs="Arial"/>
          <w:shd w:val="clear" w:color="auto" w:fill="FFFFFF"/>
        </w:rPr>
        <w:t xml:space="preserve">; </w:t>
      </w:r>
      <w:r w:rsidR="00B27318" w:rsidRPr="009A0DA6">
        <w:rPr>
          <w:rFonts w:ascii="Cambria" w:hAnsi="Cambria" w:cs="Arial"/>
          <w:shd w:val="clear" w:color="auto" w:fill="FFFFFF"/>
        </w:rPr>
        <w:t>St Peter’s Lutheran Congregation, Indooroopilly Qld</w:t>
      </w:r>
      <w:r w:rsidR="006B0C69">
        <w:rPr>
          <w:rFonts w:ascii="Cambria" w:hAnsi="Cambria" w:cs="Arial"/>
          <w:shd w:val="clear" w:color="auto" w:fill="FFFFFF"/>
        </w:rPr>
        <w:t xml:space="preserve">; </w:t>
      </w:r>
      <w:r w:rsidR="00B27318" w:rsidRPr="009A0DA6">
        <w:rPr>
          <w:rFonts w:ascii="Cambria" w:hAnsi="Cambria" w:cs="Arial"/>
          <w:shd w:val="clear" w:color="auto" w:fill="FFFFFF"/>
        </w:rPr>
        <w:t>Ipswich Lutheran Parish Qld</w:t>
      </w:r>
      <w:r w:rsidR="006B0C69">
        <w:rPr>
          <w:rFonts w:ascii="Cambria" w:hAnsi="Cambria" w:cs="Arial"/>
          <w:shd w:val="clear" w:color="auto" w:fill="FFFFFF"/>
        </w:rPr>
        <w:t xml:space="preserve">; </w:t>
      </w:r>
      <w:r w:rsidR="00B27318" w:rsidRPr="009A0DA6">
        <w:rPr>
          <w:rFonts w:ascii="Cambria" w:hAnsi="Cambria" w:cs="Arial"/>
          <w:shd w:val="clear" w:color="auto" w:fill="FFFFFF"/>
        </w:rPr>
        <w:t>Mawson Lakes Community Church SA</w:t>
      </w:r>
      <w:r w:rsidR="006B0C69">
        <w:rPr>
          <w:rFonts w:ascii="Cambria" w:hAnsi="Cambria" w:cs="Arial"/>
          <w:shd w:val="clear" w:color="auto" w:fill="FFFFFF"/>
        </w:rPr>
        <w:t xml:space="preserve">; </w:t>
      </w:r>
      <w:r w:rsidR="00B27318" w:rsidRPr="009A0DA6">
        <w:rPr>
          <w:rFonts w:ascii="Cambria" w:hAnsi="Cambria" w:cs="Arial"/>
          <w:shd w:val="clear" w:color="auto" w:fill="FFFFFF"/>
        </w:rPr>
        <w:t>Good News Lutheran Congregation, Middle Park Qld</w:t>
      </w:r>
      <w:r w:rsidR="006B0C69">
        <w:rPr>
          <w:rFonts w:ascii="Cambria" w:hAnsi="Cambria" w:cs="Arial"/>
          <w:shd w:val="clear" w:color="auto" w:fill="FFFFFF"/>
        </w:rPr>
        <w:t xml:space="preserve">; </w:t>
      </w:r>
      <w:r w:rsidR="00B27318" w:rsidRPr="009A0DA6">
        <w:rPr>
          <w:rFonts w:ascii="Cambria" w:hAnsi="Cambria" w:cs="Arial"/>
          <w:shd w:val="clear" w:color="auto" w:fill="FFFFFF"/>
        </w:rPr>
        <w:t>The Finnish Lutheran Church of Brisbane, Mt Gravatt Qld</w:t>
      </w:r>
      <w:r w:rsidR="006B0C69">
        <w:rPr>
          <w:rFonts w:ascii="Cambria" w:hAnsi="Cambria" w:cs="Arial"/>
          <w:shd w:val="clear" w:color="auto" w:fill="FFFFFF"/>
        </w:rPr>
        <w:t xml:space="preserve">; </w:t>
      </w:r>
      <w:r w:rsidR="00B27318" w:rsidRPr="009A0DA6">
        <w:rPr>
          <w:rFonts w:ascii="Cambria" w:hAnsi="Cambria" w:cs="Arial"/>
          <w:shd w:val="clear" w:color="auto" w:fill="FFFFFF"/>
        </w:rPr>
        <w:t>Nunawading/Waverley Parish, Vic</w:t>
      </w:r>
      <w:r w:rsidR="006B0C69">
        <w:rPr>
          <w:rFonts w:ascii="Cambria" w:hAnsi="Cambria" w:cs="Arial"/>
          <w:shd w:val="clear" w:color="auto" w:fill="FFFFFF"/>
        </w:rPr>
        <w:t xml:space="preserve">; </w:t>
      </w:r>
      <w:r w:rsidR="00B27318" w:rsidRPr="009A0DA6">
        <w:rPr>
          <w:rFonts w:ascii="Cambria" w:hAnsi="Cambria" w:cs="Arial"/>
          <w:shd w:val="clear" w:color="auto" w:fill="FFFFFF"/>
        </w:rPr>
        <w:t>Our Saviour Lutheran Congregation, Rochedale Qld</w:t>
      </w:r>
      <w:r w:rsidR="006B0C69">
        <w:rPr>
          <w:rFonts w:ascii="Cambria" w:hAnsi="Cambria" w:cs="Arial"/>
          <w:shd w:val="clear" w:color="auto" w:fill="FFFFFF"/>
        </w:rPr>
        <w:t xml:space="preserve">; </w:t>
      </w:r>
      <w:r w:rsidR="00B27318" w:rsidRPr="009A0DA6">
        <w:rPr>
          <w:rFonts w:ascii="Cambria" w:hAnsi="Cambria" w:cs="Arial"/>
          <w:shd w:val="clear" w:color="auto" w:fill="FFFFFF"/>
        </w:rPr>
        <w:t>Bethany Lutheran Congregation Sunbury Vic</w:t>
      </w:r>
      <w:r w:rsidR="006B0C69">
        <w:rPr>
          <w:rFonts w:ascii="Cambria" w:hAnsi="Cambria" w:cs="Arial"/>
          <w:shd w:val="clear" w:color="auto" w:fill="FFFFFF"/>
        </w:rPr>
        <w:t xml:space="preserve">; </w:t>
      </w:r>
      <w:r w:rsidR="00B27318" w:rsidRPr="009A0DA6">
        <w:rPr>
          <w:rFonts w:ascii="Cambria" w:hAnsi="Cambria" w:cs="Arial"/>
          <w:shd w:val="clear" w:color="auto" w:fill="FFFFFF"/>
        </w:rPr>
        <w:t>St Paul’s Lutheran Congregation, Sydney NSW</w:t>
      </w:r>
      <w:r w:rsidR="006B0C69">
        <w:rPr>
          <w:rFonts w:ascii="Cambria" w:hAnsi="Cambria" w:cs="Arial"/>
          <w:shd w:val="clear" w:color="auto" w:fill="FFFFFF"/>
        </w:rPr>
        <w:t xml:space="preserve">; </w:t>
      </w:r>
      <w:r w:rsidR="00B27318" w:rsidRPr="009A0DA6">
        <w:rPr>
          <w:rFonts w:ascii="Cambria" w:hAnsi="Cambria" w:cs="Arial"/>
          <w:shd w:val="clear" w:color="auto" w:fill="FFFFFF"/>
        </w:rPr>
        <w:t>Emmanuel Lutheran Fellowship, Toowoomba Qld</w:t>
      </w:r>
      <w:r w:rsidR="006B0C69">
        <w:rPr>
          <w:rFonts w:ascii="Cambria" w:hAnsi="Cambria" w:cs="Arial"/>
          <w:shd w:val="clear" w:color="auto" w:fill="FFFFFF"/>
        </w:rPr>
        <w:t xml:space="preserve">; </w:t>
      </w:r>
      <w:r w:rsidR="00B27318" w:rsidRPr="009A0DA6">
        <w:rPr>
          <w:rFonts w:ascii="Cambria" w:hAnsi="Cambria" w:cs="Arial"/>
          <w:shd w:val="clear" w:color="auto" w:fill="FFFFFF"/>
        </w:rPr>
        <w:t>Church of the Good Shepherd Tuggeranong Lutheran Parish, ACT</w:t>
      </w:r>
      <w:r w:rsidR="006B0C69">
        <w:rPr>
          <w:rFonts w:ascii="Cambria" w:hAnsi="Cambria" w:cs="Arial"/>
          <w:shd w:val="clear" w:color="auto" w:fill="FFFFFF"/>
        </w:rPr>
        <w:t xml:space="preserve">; </w:t>
      </w:r>
      <w:r w:rsidR="00B27318" w:rsidRPr="009A0DA6">
        <w:rPr>
          <w:rFonts w:ascii="Cambria" w:hAnsi="Cambria" w:cs="Arial"/>
          <w:color w:val="222222"/>
          <w:shd w:val="clear" w:color="auto" w:fill="FFFFFF"/>
        </w:rPr>
        <w:t>Victor Harbor Lutheran Church, SA</w:t>
      </w:r>
      <w:r w:rsidR="006B0C69">
        <w:rPr>
          <w:rFonts w:ascii="Cambria" w:hAnsi="Cambria" w:cs="Arial"/>
          <w:color w:val="222222"/>
          <w:shd w:val="clear" w:color="auto" w:fill="FFFFFF"/>
        </w:rPr>
        <w:t xml:space="preserve">; </w:t>
      </w:r>
      <w:r w:rsidR="00B27318" w:rsidRPr="009A0DA6">
        <w:rPr>
          <w:rFonts w:ascii="Cambria" w:hAnsi="Cambria" w:cs="Arial"/>
          <w:color w:val="222222"/>
          <w:shd w:val="clear" w:color="auto" w:fill="FFFFFF"/>
        </w:rPr>
        <w:t>St Paul’s Lutheran Congregation, Wellington NZ</w:t>
      </w:r>
      <w:r w:rsidR="006B0C69">
        <w:rPr>
          <w:rFonts w:ascii="Cambria" w:hAnsi="Cambria" w:cs="Arial"/>
          <w:color w:val="222222"/>
          <w:shd w:val="clear" w:color="auto" w:fill="FFFFFF"/>
        </w:rPr>
        <w:t xml:space="preserve">; </w:t>
      </w:r>
      <w:r w:rsidR="00B27318" w:rsidRPr="009A0DA6">
        <w:rPr>
          <w:rFonts w:ascii="Cambria" w:hAnsi="Cambria" w:cs="Arial"/>
          <w:color w:val="222222"/>
          <w:shd w:val="clear" w:color="auto" w:fill="FFFFFF"/>
        </w:rPr>
        <w:t>Immanuel Woden Valley Lutheran Church, Lyons ACT</w:t>
      </w:r>
      <w:r w:rsidR="006B0C69">
        <w:rPr>
          <w:rFonts w:ascii="Cambria" w:hAnsi="Cambria" w:cs="Arial"/>
          <w:color w:val="222222"/>
          <w:shd w:val="clear" w:color="auto" w:fill="FFFFFF"/>
        </w:rPr>
        <w:t>)</w:t>
      </w:r>
      <w:r w:rsidR="006B0C69" w:rsidRPr="006B0C69">
        <w:rPr>
          <w:rFonts w:ascii="Cambria" w:hAnsi="Cambria" w:cs="Arial"/>
          <w:shd w:val="clear" w:color="auto" w:fill="FFFFFF"/>
        </w:rPr>
        <w:t xml:space="preserve"> </w:t>
      </w:r>
      <w:r w:rsidR="006B0C69">
        <w:rPr>
          <w:rFonts w:ascii="Cambria" w:hAnsi="Cambria" w:cs="Arial"/>
          <w:shd w:val="clear" w:color="auto" w:fill="FFFFFF"/>
        </w:rPr>
        <w:t>(p1</w:t>
      </w:r>
      <w:r w:rsidR="00873979">
        <w:rPr>
          <w:rFonts w:ascii="Cambria" w:hAnsi="Cambria" w:cs="Arial"/>
          <w:shd w:val="clear" w:color="auto" w:fill="FFFFFF"/>
        </w:rPr>
        <w:t>51</w:t>
      </w:r>
      <w:r w:rsidR="006B0C69">
        <w:rPr>
          <w:rFonts w:ascii="Cambria" w:hAnsi="Cambria" w:cs="Arial"/>
          <w:shd w:val="clear" w:color="auto" w:fill="FFFFFF"/>
        </w:rPr>
        <w:t>)</w:t>
      </w:r>
    </w:p>
    <w:p w14:paraId="2961BF7A" w14:textId="680D7C4F" w:rsidR="00061992" w:rsidRPr="009A0DA6" w:rsidRDefault="006404F0" w:rsidP="00CC1481">
      <w:pPr>
        <w:pStyle w:val="ListParagraph"/>
        <w:numPr>
          <w:ilvl w:val="2"/>
          <w:numId w:val="1"/>
        </w:numPr>
        <w:tabs>
          <w:tab w:val="left" w:pos="567"/>
          <w:tab w:val="left" w:pos="1276"/>
          <w:tab w:val="left" w:pos="3828"/>
        </w:tabs>
        <w:spacing w:after="0" w:line="22" w:lineRule="atLeast"/>
        <w:ind w:left="1985" w:hanging="851"/>
        <w:rPr>
          <w:rFonts w:ascii="Cambria" w:hAnsi="Cambria"/>
          <w:b/>
          <w:sz w:val="24"/>
          <w:szCs w:val="24"/>
        </w:rPr>
      </w:pPr>
      <w:r>
        <w:rPr>
          <w:rFonts w:ascii="Cambria" w:hAnsi="Cambria"/>
          <w:b/>
        </w:rPr>
        <w:t>The theological basis for the ordination of women and men</w:t>
      </w:r>
      <w:r w:rsidR="00061992" w:rsidRPr="009A0DA6">
        <w:rPr>
          <w:rFonts w:ascii="Cambria" w:hAnsi="Cambria"/>
          <w:b/>
        </w:rPr>
        <w:t xml:space="preserve"> </w:t>
      </w:r>
      <w:r w:rsidR="00061992" w:rsidRPr="009A0DA6">
        <w:rPr>
          <w:rFonts w:ascii="Cambria" w:hAnsi="Cambria"/>
        </w:rPr>
        <w:t>(Redeemer Lutheran Congregation, Toowoomba</w:t>
      </w:r>
      <w:r w:rsidR="001103FC" w:rsidRPr="009A0DA6">
        <w:rPr>
          <w:rFonts w:ascii="Cambria" w:hAnsi="Cambria"/>
        </w:rPr>
        <w:t xml:space="preserve"> Qld</w:t>
      </w:r>
      <w:r w:rsidR="00061992" w:rsidRPr="009A0DA6">
        <w:rPr>
          <w:rFonts w:ascii="Cambria" w:hAnsi="Cambria"/>
        </w:rPr>
        <w:t>)</w:t>
      </w:r>
      <w:r w:rsidR="00CC1481">
        <w:rPr>
          <w:rFonts w:ascii="Cambria" w:hAnsi="Cambria"/>
        </w:rPr>
        <w:t xml:space="preserve"> (p1</w:t>
      </w:r>
      <w:r w:rsidR="00873979">
        <w:rPr>
          <w:rFonts w:ascii="Cambria" w:hAnsi="Cambria"/>
        </w:rPr>
        <w:t>52</w:t>
      </w:r>
      <w:r w:rsidR="00CC1481">
        <w:rPr>
          <w:rFonts w:ascii="Cambria" w:hAnsi="Cambria"/>
        </w:rPr>
        <w:t>)</w:t>
      </w:r>
    </w:p>
    <w:p w14:paraId="25FB66F7" w14:textId="37DE6544" w:rsidR="00061992" w:rsidRPr="009A0DA6" w:rsidRDefault="006404F0" w:rsidP="00CC1481">
      <w:pPr>
        <w:pStyle w:val="ListParagraph"/>
        <w:numPr>
          <w:ilvl w:val="2"/>
          <w:numId w:val="1"/>
        </w:numPr>
        <w:tabs>
          <w:tab w:val="left" w:pos="567"/>
          <w:tab w:val="left" w:pos="1276"/>
          <w:tab w:val="left" w:pos="3828"/>
        </w:tabs>
        <w:spacing w:after="0" w:line="22" w:lineRule="atLeast"/>
        <w:ind w:left="1985" w:hanging="851"/>
        <w:rPr>
          <w:rFonts w:ascii="Cambria" w:hAnsi="Cambria"/>
          <w:b/>
          <w:sz w:val="24"/>
          <w:szCs w:val="24"/>
        </w:rPr>
      </w:pPr>
      <w:r>
        <w:rPr>
          <w:rFonts w:ascii="Cambria" w:hAnsi="Cambria"/>
          <w:b/>
        </w:rPr>
        <w:t>The theological basis for why the ordination of women and men need not be divisive</w:t>
      </w:r>
      <w:r w:rsidR="00061992" w:rsidRPr="009A0DA6">
        <w:rPr>
          <w:rFonts w:ascii="Cambria" w:hAnsi="Cambria"/>
        </w:rPr>
        <w:t xml:space="preserve"> </w:t>
      </w:r>
      <w:r w:rsidR="00FF35A8">
        <w:rPr>
          <w:rFonts w:ascii="Cambria" w:hAnsi="Cambria"/>
        </w:rPr>
        <w:br/>
      </w:r>
      <w:r w:rsidR="00061992" w:rsidRPr="009A0DA6">
        <w:rPr>
          <w:rFonts w:ascii="Cambria" w:hAnsi="Cambria"/>
        </w:rPr>
        <w:t>(Redeemer Lutheran Congregation, Toowoomba</w:t>
      </w:r>
      <w:r w:rsidR="001103FC" w:rsidRPr="009A0DA6">
        <w:rPr>
          <w:rFonts w:ascii="Cambria" w:hAnsi="Cambria"/>
        </w:rPr>
        <w:t xml:space="preserve"> Qld</w:t>
      </w:r>
      <w:r w:rsidR="00061992" w:rsidRPr="009A0DA6">
        <w:rPr>
          <w:rFonts w:ascii="Cambria" w:hAnsi="Cambria"/>
        </w:rPr>
        <w:t>)</w:t>
      </w:r>
      <w:r w:rsidR="00CC1481">
        <w:rPr>
          <w:rFonts w:ascii="Cambria" w:hAnsi="Cambria"/>
        </w:rPr>
        <w:t xml:space="preserve"> (</w:t>
      </w:r>
      <w:r w:rsidR="00873979">
        <w:rPr>
          <w:rFonts w:ascii="Cambria" w:hAnsi="Cambria"/>
        </w:rPr>
        <w:t>p</w:t>
      </w:r>
      <w:r w:rsidR="00CC1481">
        <w:rPr>
          <w:rFonts w:ascii="Cambria" w:hAnsi="Cambria"/>
        </w:rPr>
        <w:t>1</w:t>
      </w:r>
      <w:r w:rsidR="00873979">
        <w:rPr>
          <w:rFonts w:ascii="Cambria" w:hAnsi="Cambria"/>
        </w:rPr>
        <w:t>55</w:t>
      </w:r>
      <w:r w:rsidR="00CC1481">
        <w:rPr>
          <w:rFonts w:ascii="Cambria" w:hAnsi="Cambria"/>
        </w:rPr>
        <w:t>)</w:t>
      </w:r>
    </w:p>
    <w:p w14:paraId="38A9DBAF" w14:textId="34856644" w:rsidR="00061992" w:rsidRPr="009A0DA6" w:rsidRDefault="00334F3F" w:rsidP="00CC1481">
      <w:pPr>
        <w:pStyle w:val="ListParagraph"/>
        <w:numPr>
          <w:ilvl w:val="2"/>
          <w:numId w:val="1"/>
        </w:numPr>
        <w:tabs>
          <w:tab w:val="left" w:pos="567"/>
          <w:tab w:val="left" w:pos="1276"/>
          <w:tab w:val="left" w:pos="3828"/>
        </w:tabs>
        <w:spacing w:after="0" w:line="22" w:lineRule="atLeast"/>
        <w:ind w:left="1985" w:hanging="851"/>
        <w:rPr>
          <w:rFonts w:ascii="Cambria" w:hAnsi="Cambria"/>
          <w:b/>
          <w:sz w:val="24"/>
          <w:szCs w:val="24"/>
        </w:rPr>
      </w:pPr>
      <w:r>
        <w:rPr>
          <w:rFonts w:ascii="Cambria" w:hAnsi="Cambria"/>
          <w:b/>
        </w:rPr>
        <w:t>The theological basis for the ordination of men only</w:t>
      </w:r>
      <w:r w:rsidR="005003B6" w:rsidRPr="009A0DA6">
        <w:rPr>
          <w:rFonts w:ascii="Cambria" w:hAnsi="Cambria"/>
        </w:rPr>
        <w:t xml:space="preserve"> </w:t>
      </w:r>
      <w:r w:rsidR="00FF35A8">
        <w:rPr>
          <w:rFonts w:ascii="Cambria" w:hAnsi="Cambria"/>
        </w:rPr>
        <w:br/>
      </w:r>
      <w:r w:rsidR="00061992" w:rsidRPr="009A0DA6">
        <w:rPr>
          <w:rFonts w:ascii="Cambria" w:hAnsi="Cambria"/>
        </w:rPr>
        <w:t>(Good Shepherd Lutheran Church, Hamilton</w:t>
      </w:r>
      <w:r w:rsidR="001103FC" w:rsidRPr="009A0DA6">
        <w:rPr>
          <w:rFonts w:ascii="Cambria" w:hAnsi="Cambria"/>
        </w:rPr>
        <w:t xml:space="preserve"> Vic</w:t>
      </w:r>
      <w:r w:rsidR="00061992" w:rsidRPr="009A0DA6">
        <w:rPr>
          <w:rFonts w:ascii="Cambria" w:hAnsi="Cambria"/>
        </w:rPr>
        <w:t>)</w:t>
      </w:r>
      <w:r w:rsidR="00CC1481">
        <w:rPr>
          <w:rFonts w:ascii="Cambria" w:hAnsi="Cambria"/>
        </w:rPr>
        <w:t xml:space="preserve"> (p1</w:t>
      </w:r>
      <w:r w:rsidR="00873979">
        <w:rPr>
          <w:rFonts w:ascii="Cambria" w:hAnsi="Cambria"/>
        </w:rPr>
        <w:t>57</w:t>
      </w:r>
      <w:r w:rsidR="00CC1481">
        <w:rPr>
          <w:rFonts w:ascii="Cambria" w:hAnsi="Cambria"/>
        </w:rPr>
        <w:t>)</w:t>
      </w:r>
    </w:p>
    <w:p w14:paraId="675DAD20" w14:textId="04D98F4B" w:rsidR="00061992" w:rsidRPr="009A0DA6" w:rsidRDefault="00334F3F" w:rsidP="00CC1481">
      <w:pPr>
        <w:pStyle w:val="ListParagraph"/>
        <w:numPr>
          <w:ilvl w:val="2"/>
          <w:numId w:val="1"/>
        </w:numPr>
        <w:tabs>
          <w:tab w:val="left" w:pos="567"/>
          <w:tab w:val="left" w:pos="1276"/>
          <w:tab w:val="left" w:pos="3828"/>
        </w:tabs>
        <w:spacing w:after="0" w:line="22" w:lineRule="atLeast"/>
        <w:ind w:left="1985" w:hanging="851"/>
        <w:rPr>
          <w:rFonts w:ascii="Cambria" w:hAnsi="Cambria"/>
          <w:b/>
          <w:sz w:val="24"/>
          <w:szCs w:val="24"/>
        </w:rPr>
      </w:pPr>
      <w:r>
        <w:rPr>
          <w:rFonts w:ascii="Cambria" w:hAnsi="Cambria"/>
          <w:b/>
        </w:rPr>
        <w:t>No further amendments to Theses of Agreement on ordination of women regarding the office of the ministry</w:t>
      </w:r>
      <w:r w:rsidR="00061992" w:rsidRPr="009A0DA6">
        <w:rPr>
          <w:rFonts w:ascii="Cambria" w:hAnsi="Cambria"/>
        </w:rPr>
        <w:t xml:space="preserve"> </w:t>
      </w:r>
      <w:r w:rsidR="00FF35A8">
        <w:rPr>
          <w:rFonts w:ascii="Cambria" w:hAnsi="Cambria"/>
        </w:rPr>
        <w:br/>
      </w:r>
      <w:r w:rsidR="00061992" w:rsidRPr="009A0DA6">
        <w:rPr>
          <w:rFonts w:ascii="Cambria" w:hAnsi="Cambria"/>
        </w:rPr>
        <w:t>(St John’s Lutheran Church, Miny</w:t>
      </w:r>
      <w:r w:rsidR="00B51786" w:rsidRPr="009A0DA6">
        <w:rPr>
          <w:rFonts w:ascii="Cambria" w:hAnsi="Cambria"/>
        </w:rPr>
        <w:t>ip–</w:t>
      </w:r>
      <w:r w:rsidR="00061992" w:rsidRPr="009A0DA6">
        <w:rPr>
          <w:rFonts w:ascii="Cambria" w:hAnsi="Cambria"/>
        </w:rPr>
        <w:t>Warracknabeal</w:t>
      </w:r>
      <w:r w:rsidR="001103FC" w:rsidRPr="009A0DA6">
        <w:rPr>
          <w:rFonts w:ascii="Cambria" w:hAnsi="Cambria"/>
        </w:rPr>
        <w:t xml:space="preserve"> Vic</w:t>
      </w:r>
      <w:r w:rsidR="00061992" w:rsidRPr="009A0DA6">
        <w:rPr>
          <w:rFonts w:ascii="Cambria" w:hAnsi="Cambria"/>
        </w:rPr>
        <w:t>)</w:t>
      </w:r>
      <w:r w:rsidR="00CC1481">
        <w:rPr>
          <w:rFonts w:ascii="Cambria" w:hAnsi="Cambria"/>
        </w:rPr>
        <w:t xml:space="preserve"> (p1</w:t>
      </w:r>
      <w:r w:rsidR="00873979">
        <w:rPr>
          <w:rFonts w:ascii="Cambria" w:hAnsi="Cambria"/>
        </w:rPr>
        <w:t>58</w:t>
      </w:r>
      <w:r w:rsidR="00CC1481">
        <w:rPr>
          <w:rFonts w:ascii="Cambria" w:hAnsi="Cambria"/>
        </w:rPr>
        <w:t>)</w:t>
      </w:r>
    </w:p>
    <w:p w14:paraId="0FC79BB0" w14:textId="3F43307C" w:rsidR="00061992" w:rsidRPr="009A0DA6" w:rsidRDefault="00334F3F" w:rsidP="00CC1481">
      <w:pPr>
        <w:pStyle w:val="ListParagraph"/>
        <w:numPr>
          <w:ilvl w:val="2"/>
          <w:numId w:val="1"/>
        </w:numPr>
        <w:tabs>
          <w:tab w:val="left" w:pos="567"/>
          <w:tab w:val="left" w:pos="1276"/>
          <w:tab w:val="left" w:pos="3828"/>
        </w:tabs>
        <w:spacing w:after="0" w:line="22" w:lineRule="atLeast"/>
        <w:ind w:left="1985" w:hanging="851"/>
        <w:rPr>
          <w:rFonts w:ascii="Cambria" w:hAnsi="Cambria"/>
          <w:b/>
          <w:sz w:val="24"/>
          <w:szCs w:val="24"/>
        </w:rPr>
      </w:pPr>
      <w:r>
        <w:rPr>
          <w:rFonts w:ascii="Cambria" w:hAnsi="Cambria"/>
          <w:b/>
        </w:rPr>
        <w:t>T</w:t>
      </w:r>
      <w:r w:rsidR="00892E6E">
        <w:rPr>
          <w:rFonts w:ascii="Cambria" w:hAnsi="Cambria"/>
          <w:b/>
        </w:rPr>
        <w:t xml:space="preserve">he </w:t>
      </w:r>
      <w:r w:rsidR="00802695" w:rsidRPr="009A0DA6">
        <w:rPr>
          <w:rFonts w:ascii="Cambria" w:hAnsi="Cambria"/>
          <w:b/>
        </w:rPr>
        <w:t>practice of holy communion and infants</w:t>
      </w:r>
      <w:r w:rsidR="00061992" w:rsidRPr="009A0DA6">
        <w:rPr>
          <w:rFonts w:ascii="Cambria" w:hAnsi="Cambria"/>
          <w:b/>
        </w:rPr>
        <w:t xml:space="preserve"> </w:t>
      </w:r>
      <w:r w:rsidR="00FF35A8">
        <w:rPr>
          <w:rFonts w:ascii="Cambria" w:hAnsi="Cambria"/>
          <w:b/>
        </w:rPr>
        <w:br/>
      </w:r>
      <w:r w:rsidR="00061992" w:rsidRPr="009A0DA6">
        <w:rPr>
          <w:rFonts w:ascii="Cambria" w:hAnsi="Cambria"/>
        </w:rPr>
        <w:t>(St John’s Lutheran Church, Unley</w:t>
      </w:r>
      <w:r w:rsidR="001103FC" w:rsidRPr="009A0DA6">
        <w:rPr>
          <w:rFonts w:ascii="Cambria" w:hAnsi="Cambria"/>
        </w:rPr>
        <w:t xml:space="preserve"> SA</w:t>
      </w:r>
      <w:r w:rsidR="00061992" w:rsidRPr="009A0DA6">
        <w:rPr>
          <w:rFonts w:ascii="Cambria" w:hAnsi="Cambria"/>
        </w:rPr>
        <w:t>)</w:t>
      </w:r>
      <w:r w:rsidR="00CC1481">
        <w:rPr>
          <w:rFonts w:ascii="Cambria" w:hAnsi="Cambria"/>
        </w:rPr>
        <w:t xml:space="preserve"> (p1</w:t>
      </w:r>
      <w:r w:rsidR="00873979">
        <w:rPr>
          <w:rFonts w:ascii="Cambria" w:hAnsi="Cambria"/>
        </w:rPr>
        <w:t>59</w:t>
      </w:r>
      <w:r w:rsidR="00CC1481">
        <w:rPr>
          <w:rFonts w:ascii="Cambria" w:hAnsi="Cambria"/>
        </w:rPr>
        <w:t>)</w:t>
      </w:r>
    </w:p>
    <w:p w14:paraId="77AC7A76" w14:textId="31571AD9" w:rsidR="00061992" w:rsidRPr="009A0DA6" w:rsidRDefault="00334F3F" w:rsidP="00CC1481">
      <w:pPr>
        <w:pStyle w:val="ListParagraph"/>
        <w:numPr>
          <w:ilvl w:val="2"/>
          <w:numId w:val="1"/>
        </w:numPr>
        <w:tabs>
          <w:tab w:val="left" w:pos="567"/>
          <w:tab w:val="left" w:pos="1276"/>
          <w:tab w:val="left" w:pos="3828"/>
        </w:tabs>
        <w:spacing w:after="0" w:line="22" w:lineRule="atLeast"/>
        <w:ind w:left="1985" w:hanging="851"/>
        <w:rPr>
          <w:rFonts w:ascii="Cambria" w:hAnsi="Cambria"/>
          <w:b/>
          <w:sz w:val="24"/>
          <w:szCs w:val="24"/>
        </w:rPr>
      </w:pPr>
      <w:r>
        <w:rPr>
          <w:rFonts w:ascii="Cambria" w:hAnsi="Cambria"/>
          <w:b/>
        </w:rPr>
        <w:t>Membership</w:t>
      </w:r>
      <w:r w:rsidR="00061992" w:rsidRPr="009A0DA6">
        <w:rPr>
          <w:rFonts w:ascii="Cambria" w:hAnsi="Cambria"/>
          <w:b/>
        </w:rPr>
        <w:t xml:space="preserve"> of </w:t>
      </w:r>
      <w:r w:rsidR="00892E6E">
        <w:rPr>
          <w:rFonts w:ascii="Cambria" w:hAnsi="Cambria"/>
          <w:b/>
        </w:rPr>
        <w:t>I</w:t>
      </w:r>
      <w:r w:rsidR="00B51786" w:rsidRPr="009A0DA6">
        <w:rPr>
          <w:rFonts w:ascii="Cambria" w:hAnsi="Cambria"/>
          <w:b/>
        </w:rPr>
        <w:t>nternational Lutheran Council</w:t>
      </w:r>
      <w:r w:rsidR="00B51786" w:rsidRPr="009A0DA6">
        <w:rPr>
          <w:rFonts w:ascii="Cambria" w:hAnsi="Cambria"/>
        </w:rPr>
        <w:t xml:space="preserve"> </w:t>
      </w:r>
      <w:r w:rsidR="00FF35A8">
        <w:rPr>
          <w:rFonts w:ascii="Cambria" w:hAnsi="Cambria"/>
        </w:rPr>
        <w:br/>
      </w:r>
      <w:r w:rsidR="00B51786" w:rsidRPr="009A0DA6">
        <w:rPr>
          <w:rFonts w:ascii="Cambria" w:hAnsi="Cambria"/>
        </w:rPr>
        <w:t>(</w:t>
      </w:r>
      <w:r w:rsidR="0047649D">
        <w:rPr>
          <w:rFonts w:ascii="Cambria" w:hAnsi="Cambria"/>
        </w:rPr>
        <w:t>Holy Cross Congregation, Belconnen ACT; Good Shepherd Tuggeranong Lutheran Parish ACT</w:t>
      </w:r>
      <w:r w:rsidR="00061992" w:rsidRPr="009A0DA6">
        <w:rPr>
          <w:rFonts w:ascii="Cambria" w:hAnsi="Cambria"/>
        </w:rPr>
        <w:t>)</w:t>
      </w:r>
      <w:r w:rsidR="00CC1481">
        <w:rPr>
          <w:rFonts w:ascii="Cambria" w:hAnsi="Cambria"/>
        </w:rPr>
        <w:t xml:space="preserve"> (p1</w:t>
      </w:r>
      <w:r w:rsidR="00873979">
        <w:rPr>
          <w:rFonts w:ascii="Cambria" w:hAnsi="Cambria"/>
        </w:rPr>
        <w:t>59</w:t>
      </w:r>
      <w:r w:rsidR="00CC1481">
        <w:rPr>
          <w:rFonts w:ascii="Cambria" w:hAnsi="Cambria"/>
        </w:rPr>
        <w:t>)</w:t>
      </w:r>
    </w:p>
    <w:p w14:paraId="2EE304AB" w14:textId="7E35119F" w:rsidR="00061992" w:rsidRPr="00892E6E" w:rsidRDefault="00334F3F" w:rsidP="00892E6E">
      <w:pPr>
        <w:pStyle w:val="ListParagraph"/>
        <w:numPr>
          <w:ilvl w:val="2"/>
          <w:numId w:val="1"/>
        </w:numPr>
        <w:tabs>
          <w:tab w:val="left" w:pos="567"/>
          <w:tab w:val="left" w:pos="1276"/>
          <w:tab w:val="left" w:pos="3828"/>
        </w:tabs>
        <w:spacing w:after="0" w:line="22" w:lineRule="atLeast"/>
        <w:ind w:left="1985" w:hanging="851"/>
        <w:rPr>
          <w:rFonts w:ascii="Cambria" w:hAnsi="Cambria"/>
          <w:b/>
        </w:rPr>
      </w:pPr>
      <w:r>
        <w:rPr>
          <w:rFonts w:ascii="Cambria" w:hAnsi="Cambria"/>
          <w:b/>
        </w:rPr>
        <w:t>Membership</w:t>
      </w:r>
      <w:r w:rsidR="00892E6E">
        <w:rPr>
          <w:rFonts w:ascii="Cambria" w:hAnsi="Cambria"/>
          <w:b/>
        </w:rPr>
        <w:t xml:space="preserve"> of </w:t>
      </w:r>
      <w:r w:rsidR="008910E1" w:rsidRPr="00892E6E">
        <w:rPr>
          <w:rFonts w:ascii="Cambria" w:hAnsi="Cambria"/>
          <w:b/>
        </w:rPr>
        <w:t>Lutheran World F</w:t>
      </w:r>
      <w:r w:rsidR="00061992" w:rsidRPr="00892E6E">
        <w:rPr>
          <w:rFonts w:ascii="Cambria" w:hAnsi="Cambria"/>
          <w:b/>
        </w:rPr>
        <w:t>ederation</w:t>
      </w:r>
      <w:r w:rsidR="00061992" w:rsidRPr="00892E6E">
        <w:rPr>
          <w:rFonts w:ascii="Cambria" w:hAnsi="Cambria"/>
        </w:rPr>
        <w:t xml:space="preserve"> </w:t>
      </w:r>
      <w:r w:rsidR="00FF35A8">
        <w:rPr>
          <w:rFonts w:ascii="Cambria" w:hAnsi="Cambria"/>
        </w:rPr>
        <w:br/>
      </w:r>
      <w:r w:rsidR="00061992" w:rsidRPr="00892E6E">
        <w:rPr>
          <w:rFonts w:ascii="Cambria" w:hAnsi="Cambria"/>
        </w:rPr>
        <w:t>(</w:t>
      </w:r>
      <w:r w:rsidR="0047649D">
        <w:rPr>
          <w:rFonts w:ascii="Cambria" w:hAnsi="Cambria"/>
        </w:rPr>
        <w:t xml:space="preserve">Holy Cross Congregation, Belconnen ACT; St Andrew’s Lutheran Congregation, Brisbane </w:t>
      </w:r>
      <w:r w:rsidR="00E72999">
        <w:rPr>
          <w:rFonts w:ascii="Cambria" w:hAnsi="Cambria"/>
        </w:rPr>
        <w:t>Qld</w:t>
      </w:r>
      <w:r w:rsidR="0047649D">
        <w:rPr>
          <w:rFonts w:ascii="Cambria" w:hAnsi="Cambria"/>
        </w:rPr>
        <w:t>; The Finnish Lutheran Church of Brisbane, Mt Gravatt Qld; Mikael Agricola Finnish Lutheran Congregation of Melbourne Vic; St Paul’s Lutheran Congregation, Sydney NST; Church of the Good Shepherd Tuggeranong Lutheran Parish ACT</w:t>
      </w:r>
      <w:r w:rsidR="00061992" w:rsidRPr="00892E6E">
        <w:rPr>
          <w:rFonts w:ascii="Cambria" w:hAnsi="Cambria"/>
        </w:rPr>
        <w:t>)</w:t>
      </w:r>
      <w:r w:rsidR="00CC1481" w:rsidRPr="00892E6E">
        <w:rPr>
          <w:rFonts w:ascii="Cambria" w:hAnsi="Cambria"/>
        </w:rPr>
        <w:t xml:space="preserve"> (p1</w:t>
      </w:r>
      <w:r w:rsidR="00873979">
        <w:rPr>
          <w:rFonts w:ascii="Cambria" w:hAnsi="Cambria"/>
        </w:rPr>
        <w:t>60</w:t>
      </w:r>
      <w:r w:rsidR="00CC1481" w:rsidRPr="00892E6E">
        <w:rPr>
          <w:rFonts w:ascii="Cambria" w:hAnsi="Cambria"/>
        </w:rPr>
        <w:t>)</w:t>
      </w:r>
    </w:p>
    <w:p w14:paraId="5636DB14" w14:textId="1C6FD32F" w:rsidR="00061992" w:rsidRPr="009A0DA6" w:rsidRDefault="00061992" w:rsidP="00CC1481">
      <w:pPr>
        <w:pStyle w:val="ListParagraph"/>
        <w:numPr>
          <w:ilvl w:val="2"/>
          <w:numId w:val="1"/>
        </w:numPr>
        <w:tabs>
          <w:tab w:val="left" w:pos="567"/>
          <w:tab w:val="left" w:pos="1276"/>
          <w:tab w:val="left" w:pos="3828"/>
        </w:tabs>
        <w:spacing w:after="0" w:line="22" w:lineRule="atLeast"/>
        <w:ind w:left="1985" w:hanging="851"/>
        <w:rPr>
          <w:rFonts w:ascii="Cambria" w:hAnsi="Cambria"/>
          <w:b/>
          <w:sz w:val="24"/>
          <w:szCs w:val="24"/>
        </w:rPr>
      </w:pPr>
      <w:r w:rsidRPr="009A0DA6">
        <w:rPr>
          <w:rFonts w:ascii="Cambria" w:hAnsi="Cambria"/>
          <w:b/>
        </w:rPr>
        <w:t xml:space="preserve">Changes to the LCA voting </w:t>
      </w:r>
      <w:r w:rsidR="005003B6" w:rsidRPr="009A0DA6">
        <w:rPr>
          <w:rFonts w:ascii="Cambria" w:hAnsi="Cambria"/>
          <w:b/>
        </w:rPr>
        <w:t>s</w:t>
      </w:r>
      <w:r w:rsidRPr="009A0DA6">
        <w:rPr>
          <w:rFonts w:ascii="Cambria" w:hAnsi="Cambria"/>
          <w:b/>
        </w:rPr>
        <w:t>ystem</w:t>
      </w:r>
      <w:r w:rsidRPr="009A0DA6">
        <w:rPr>
          <w:rFonts w:ascii="Cambria" w:hAnsi="Cambria"/>
        </w:rPr>
        <w:t xml:space="preserve"> </w:t>
      </w:r>
      <w:r w:rsidR="00FF35A8">
        <w:rPr>
          <w:rFonts w:ascii="Cambria" w:hAnsi="Cambria"/>
        </w:rPr>
        <w:br/>
      </w:r>
      <w:r w:rsidRPr="009A0DA6">
        <w:rPr>
          <w:rFonts w:ascii="Cambria" w:hAnsi="Cambria"/>
        </w:rPr>
        <w:t>(LCA NSW District Church Council</w:t>
      </w:r>
      <w:r w:rsidR="0047649D">
        <w:rPr>
          <w:rFonts w:ascii="Cambria" w:hAnsi="Cambria"/>
        </w:rPr>
        <w:t>; St Paul’s Lutheran Congregation, Sydney NSW; Church of the Good Shepherd Tuggeranong Lutheran Parish ACT; Holy Cross Lutheran Congregation; Belconnen ACT</w:t>
      </w:r>
      <w:r w:rsidRPr="009A0DA6">
        <w:rPr>
          <w:rFonts w:ascii="Cambria" w:hAnsi="Cambria"/>
        </w:rPr>
        <w:t>)</w:t>
      </w:r>
      <w:r w:rsidR="00CC1481">
        <w:rPr>
          <w:rFonts w:ascii="Cambria" w:hAnsi="Cambria"/>
        </w:rPr>
        <w:t xml:space="preserve"> (p1</w:t>
      </w:r>
      <w:r w:rsidR="00873979">
        <w:rPr>
          <w:rFonts w:ascii="Cambria" w:hAnsi="Cambria"/>
        </w:rPr>
        <w:t>62</w:t>
      </w:r>
      <w:r w:rsidR="00CC1481">
        <w:rPr>
          <w:rFonts w:ascii="Cambria" w:hAnsi="Cambria"/>
        </w:rPr>
        <w:t>)</w:t>
      </w:r>
    </w:p>
    <w:p w14:paraId="117F68A2" w14:textId="3A811010" w:rsidR="00061992" w:rsidRPr="009A0DA6" w:rsidRDefault="00334F3F" w:rsidP="00CC1481">
      <w:pPr>
        <w:pStyle w:val="ListParagraph"/>
        <w:numPr>
          <w:ilvl w:val="2"/>
          <w:numId w:val="1"/>
        </w:numPr>
        <w:tabs>
          <w:tab w:val="left" w:pos="567"/>
          <w:tab w:val="left" w:pos="1276"/>
          <w:tab w:val="left" w:pos="3828"/>
        </w:tabs>
        <w:spacing w:after="0" w:line="22" w:lineRule="atLeast"/>
        <w:ind w:left="1985" w:hanging="851"/>
        <w:rPr>
          <w:rFonts w:ascii="Cambria" w:hAnsi="Cambria"/>
          <w:b/>
          <w:sz w:val="24"/>
          <w:szCs w:val="24"/>
        </w:rPr>
      </w:pPr>
      <w:r>
        <w:rPr>
          <w:rFonts w:ascii="Cambria" w:hAnsi="Cambria"/>
          <w:b/>
        </w:rPr>
        <w:t>Request for a review of</w:t>
      </w:r>
      <w:r w:rsidR="00061992" w:rsidRPr="009A0DA6">
        <w:rPr>
          <w:rFonts w:ascii="Cambria" w:hAnsi="Cambria"/>
          <w:b/>
        </w:rPr>
        <w:t xml:space="preserve"> the Professional Standards Department</w:t>
      </w:r>
      <w:r w:rsidR="00061992" w:rsidRPr="009A0DA6">
        <w:rPr>
          <w:rFonts w:ascii="Cambria" w:hAnsi="Cambria"/>
        </w:rPr>
        <w:t xml:space="preserve"> (Redeemer Lutheran Church, Toowoomba</w:t>
      </w:r>
      <w:r w:rsidR="00E0762F" w:rsidRPr="009A0DA6">
        <w:rPr>
          <w:rFonts w:ascii="Cambria" w:hAnsi="Cambria"/>
        </w:rPr>
        <w:t xml:space="preserve"> Qld</w:t>
      </w:r>
      <w:r w:rsidR="00061992" w:rsidRPr="009A0DA6">
        <w:rPr>
          <w:rFonts w:ascii="Cambria" w:hAnsi="Cambria"/>
        </w:rPr>
        <w:t>)</w:t>
      </w:r>
      <w:r w:rsidR="00CC1481">
        <w:rPr>
          <w:rFonts w:ascii="Cambria" w:hAnsi="Cambria"/>
        </w:rPr>
        <w:t xml:space="preserve"> (p1</w:t>
      </w:r>
      <w:r w:rsidR="00873979">
        <w:rPr>
          <w:rFonts w:ascii="Cambria" w:hAnsi="Cambria"/>
        </w:rPr>
        <w:t>68</w:t>
      </w:r>
      <w:r w:rsidR="00CC1481">
        <w:rPr>
          <w:rFonts w:ascii="Cambria" w:hAnsi="Cambria"/>
        </w:rPr>
        <w:t>)</w:t>
      </w:r>
    </w:p>
    <w:p w14:paraId="5FDDC493" w14:textId="5C9F1547" w:rsidR="00061992" w:rsidRPr="009A0DA6" w:rsidRDefault="00334F3F" w:rsidP="00CC1481">
      <w:pPr>
        <w:pStyle w:val="ListParagraph"/>
        <w:numPr>
          <w:ilvl w:val="2"/>
          <w:numId w:val="1"/>
        </w:numPr>
        <w:tabs>
          <w:tab w:val="left" w:pos="567"/>
          <w:tab w:val="left" w:pos="1276"/>
          <w:tab w:val="left" w:pos="3828"/>
        </w:tabs>
        <w:spacing w:after="0" w:line="22" w:lineRule="atLeast"/>
        <w:ind w:left="1985" w:hanging="851"/>
        <w:rPr>
          <w:rFonts w:ascii="Cambria" w:hAnsi="Cambria"/>
          <w:b/>
          <w:sz w:val="24"/>
          <w:szCs w:val="24"/>
        </w:rPr>
      </w:pPr>
      <w:r>
        <w:rPr>
          <w:rFonts w:ascii="Cambria" w:hAnsi="Cambria"/>
          <w:b/>
        </w:rPr>
        <w:t>Change of</w:t>
      </w:r>
      <w:r w:rsidR="00061992" w:rsidRPr="009A0DA6">
        <w:rPr>
          <w:rFonts w:ascii="Cambria" w:hAnsi="Cambria"/>
          <w:b/>
        </w:rPr>
        <w:t xml:space="preserve"> interpretation of complaint procedures </w:t>
      </w:r>
      <w:r w:rsidR="00061992" w:rsidRPr="009A0DA6">
        <w:rPr>
          <w:rFonts w:ascii="Cambria" w:hAnsi="Cambria"/>
        </w:rPr>
        <w:br/>
        <w:t>(St Peters Lutheran Church, Hobart</w:t>
      </w:r>
      <w:r w:rsidR="007A25A3" w:rsidRPr="009A0DA6">
        <w:rPr>
          <w:rFonts w:ascii="Cambria" w:hAnsi="Cambria"/>
        </w:rPr>
        <w:t xml:space="preserve"> Tas</w:t>
      </w:r>
      <w:r w:rsidR="00061992" w:rsidRPr="009A0DA6">
        <w:rPr>
          <w:rFonts w:ascii="Cambria" w:hAnsi="Cambria"/>
        </w:rPr>
        <w:t>)</w:t>
      </w:r>
      <w:r w:rsidR="00CC1481">
        <w:rPr>
          <w:rFonts w:ascii="Cambria" w:hAnsi="Cambria"/>
        </w:rPr>
        <w:t xml:space="preserve"> (p1</w:t>
      </w:r>
      <w:r w:rsidR="00873979">
        <w:rPr>
          <w:rFonts w:ascii="Cambria" w:hAnsi="Cambria"/>
        </w:rPr>
        <w:t>70</w:t>
      </w:r>
      <w:r w:rsidR="00CC1481">
        <w:rPr>
          <w:rFonts w:ascii="Cambria" w:hAnsi="Cambria"/>
        </w:rPr>
        <w:t>)</w:t>
      </w:r>
    </w:p>
    <w:p w14:paraId="59CB1E4E" w14:textId="3B1DF784" w:rsidR="00061992" w:rsidRPr="009A0DA6" w:rsidRDefault="00061992" w:rsidP="00CC1481">
      <w:pPr>
        <w:pStyle w:val="ListParagraph"/>
        <w:numPr>
          <w:ilvl w:val="2"/>
          <w:numId w:val="1"/>
        </w:numPr>
        <w:tabs>
          <w:tab w:val="left" w:pos="567"/>
          <w:tab w:val="left" w:pos="1276"/>
          <w:tab w:val="left" w:pos="3828"/>
        </w:tabs>
        <w:spacing w:after="0" w:line="22" w:lineRule="atLeast"/>
        <w:ind w:left="1985" w:hanging="851"/>
        <w:rPr>
          <w:rFonts w:ascii="Cambria" w:hAnsi="Cambria"/>
          <w:b/>
          <w:sz w:val="24"/>
          <w:szCs w:val="24"/>
        </w:rPr>
      </w:pPr>
      <w:r w:rsidRPr="009A0DA6">
        <w:rPr>
          <w:rFonts w:ascii="Cambria" w:hAnsi="Cambria"/>
          <w:b/>
        </w:rPr>
        <w:t xml:space="preserve">Ensure every effort is made to bring reconciliation and resolution before referral to the </w:t>
      </w:r>
      <w:r w:rsidR="00892E6E">
        <w:rPr>
          <w:rFonts w:ascii="Cambria" w:hAnsi="Cambria"/>
          <w:b/>
        </w:rPr>
        <w:t>T</w:t>
      </w:r>
      <w:r w:rsidRPr="009A0DA6">
        <w:rPr>
          <w:rFonts w:ascii="Cambria" w:hAnsi="Cambria"/>
          <w:b/>
        </w:rPr>
        <w:t xml:space="preserve">ribunal </w:t>
      </w:r>
      <w:r w:rsidR="00FF35A8">
        <w:rPr>
          <w:rFonts w:ascii="Cambria" w:hAnsi="Cambria"/>
          <w:b/>
        </w:rPr>
        <w:br/>
      </w:r>
      <w:r w:rsidRPr="009A0DA6">
        <w:rPr>
          <w:rFonts w:ascii="Cambria" w:hAnsi="Cambria"/>
        </w:rPr>
        <w:t>(LCA Victoria and Tasmania Pastors Conference)</w:t>
      </w:r>
      <w:r w:rsidR="00CC1481">
        <w:rPr>
          <w:rFonts w:ascii="Cambria" w:hAnsi="Cambria"/>
        </w:rPr>
        <w:t xml:space="preserve"> (p1</w:t>
      </w:r>
      <w:r w:rsidR="00873979">
        <w:rPr>
          <w:rFonts w:ascii="Cambria" w:hAnsi="Cambria"/>
        </w:rPr>
        <w:t>71</w:t>
      </w:r>
      <w:r w:rsidR="00CC1481">
        <w:rPr>
          <w:rFonts w:ascii="Cambria" w:hAnsi="Cambria"/>
        </w:rPr>
        <w:t>)</w:t>
      </w:r>
    </w:p>
    <w:p w14:paraId="60568D8C" w14:textId="192C6B65" w:rsidR="00061992" w:rsidRPr="009A0DA6" w:rsidRDefault="00334F3F" w:rsidP="00CC1481">
      <w:pPr>
        <w:pStyle w:val="ListParagraph"/>
        <w:numPr>
          <w:ilvl w:val="2"/>
          <w:numId w:val="1"/>
        </w:numPr>
        <w:tabs>
          <w:tab w:val="left" w:pos="567"/>
          <w:tab w:val="left" w:pos="1276"/>
          <w:tab w:val="left" w:pos="3828"/>
        </w:tabs>
        <w:spacing w:after="0" w:line="22" w:lineRule="atLeast"/>
        <w:ind w:left="1985" w:hanging="851"/>
        <w:rPr>
          <w:rFonts w:ascii="Cambria" w:hAnsi="Cambria"/>
          <w:b/>
          <w:sz w:val="24"/>
          <w:szCs w:val="24"/>
        </w:rPr>
      </w:pPr>
      <w:r>
        <w:rPr>
          <w:rFonts w:ascii="Cambria" w:hAnsi="Cambria"/>
          <w:b/>
        </w:rPr>
        <w:lastRenderedPageBreak/>
        <w:t>Adoption of a</w:t>
      </w:r>
      <w:r w:rsidR="005003B6" w:rsidRPr="009A0DA6">
        <w:rPr>
          <w:rFonts w:ascii="Cambria" w:hAnsi="Cambria"/>
          <w:b/>
        </w:rPr>
        <w:t xml:space="preserve"> congregation</w:t>
      </w:r>
      <w:r w:rsidR="00061992" w:rsidRPr="009A0DA6">
        <w:rPr>
          <w:rFonts w:ascii="Cambria" w:hAnsi="Cambria"/>
          <w:b/>
        </w:rPr>
        <w:t xml:space="preserve"> </w:t>
      </w:r>
      <w:r w:rsidR="005003B6" w:rsidRPr="009A0DA6">
        <w:rPr>
          <w:rFonts w:ascii="Cambria" w:hAnsi="Cambria"/>
          <w:b/>
        </w:rPr>
        <w:t>r</w:t>
      </w:r>
      <w:r w:rsidR="00061992" w:rsidRPr="009A0DA6">
        <w:rPr>
          <w:rFonts w:ascii="Cambria" w:hAnsi="Cambria"/>
          <w:b/>
        </w:rPr>
        <w:t>isk assessment program</w:t>
      </w:r>
      <w:r w:rsidR="00061992" w:rsidRPr="009A0DA6">
        <w:rPr>
          <w:rFonts w:ascii="Cambria" w:hAnsi="Cambria"/>
        </w:rPr>
        <w:t xml:space="preserve"> </w:t>
      </w:r>
      <w:r w:rsidR="00FF35A8">
        <w:rPr>
          <w:rFonts w:ascii="Cambria" w:hAnsi="Cambria"/>
        </w:rPr>
        <w:br/>
      </w:r>
      <w:r w:rsidR="00061992" w:rsidRPr="009A0DA6">
        <w:rPr>
          <w:rFonts w:ascii="Cambria" w:hAnsi="Cambria"/>
        </w:rPr>
        <w:t>(St Peter’s Lutheran Church, Hobart</w:t>
      </w:r>
      <w:r w:rsidR="00E0762F" w:rsidRPr="009A0DA6">
        <w:rPr>
          <w:rFonts w:ascii="Cambria" w:hAnsi="Cambria"/>
        </w:rPr>
        <w:t xml:space="preserve"> Tas</w:t>
      </w:r>
      <w:r w:rsidR="00061992" w:rsidRPr="009A0DA6">
        <w:rPr>
          <w:rFonts w:ascii="Cambria" w:hAnsi="Cambria"/>
        </w:rPr>
        <w:t>)</w:t>
      </w:r>
      <w:r w:rsidR="00CC1481">
        <w:rPr>
          <w:rFonts w:ascii="Cambria" w:hAnsi="Cambria"/>
        </w:rPr>
        <w:t xml:space="preserve"> (p1</w:t>
      </w:r>
      <w:r w:rsidR="00873979">
        <w:rPr>
          <w:rFonts w:ascii="Cambria" w:hAnsi="Cambria"/>
        </w:rPr>
        <w:t>71</w:t>
      </w:r>
      <w:r w:rsidR="00CC1481">
        <w:rPr>
          <w:rFonts w:ascii="Cambria" w:hAnsi="Cambria"/>
        </w:rPr>
        <w:t>)</w:t>
      </w:r>
    </w:p>
    <w:p w14:paraId="73810D52" w14:textId="4E817A4C" w:rsidR="00061992" w:rsidRPr="009A0DA6" w:rsidRDefault="00334F3F" w:rsidP="00CC1481">
      <w:pPr>
        <w:pStyle w:val="ListParagraph"/>
        <w:numPr>
          <w:ilvl w:val="2"/>
          <w:numId w:val="1"/>
        </w:numPr>
        <w:tabs>
          <w:tab w:val="left" w:pos="567"/>
          <w:tab w:val="left" w:pos="1276"/>
          <w:tab w:val="left" w:pos="3828"/>
        </w:tabs>
        <w:spacing w:after="0" w:line="22" w:lineRule="atLeast"/>
        <w:ind w:left="1985" w:hanging="851"/>
        <w:rPr>
          <w:rFonts w:ascii="Cambria" w:hAnsi="Cambria"/>
          <w:b/>
          <w:sz w:val="24"/>
          <w:szCs w:val="24"/>
        </w:rPr>
      </w:pPr>
      <w:r>
        <w:rPr>
          <w:rFonts w:ascii="Cambria" w:hAnsi="Cambria"/>
          <w:b/>
        </w:rPr>
        <w:t>Examination of</w:t>
      </w:r>
      <w:r w:rsidR="00061992" w:rsidRPr="009A0DA6">
        <w:rPr>
          <w:rFonts w:ascii="Cambria" w:hAnsi="Cambria"/>
          <w:b/>
        </w:rPr>
        <w:t xml:space="preserve"> avenues to provide a pastoral support body</w:t>
      </w:r>
      <w:r w:rsidR="00061992" w:rsidRPr="009A0DA6">
        <w:rPr>
          <w:rFonts w:ascii="Cambria" w:hAnsi="Cambria"/>
        </w:rPr>
        <w:t xml:space="preserve"> </w:t>
      </w:r>
      <w:r w:rsidR="009D0CDE" w:rsidRPr="009A0DA6">
        <w:rPr>
          <w:rFonts w:ascii="Cambria" w:hAnsi="Cambria"/>
        </w:rPr>
        <w:br/>
      </w:r>
      <w:r w:rsidR="00061992" w:rsidRPr="009A0DA6">
        <w:rPr>
          <w:rFonts w:ascii="Cambria" w:hAnsi="Cambria"/>
        </w:rPr>
        <w:t>(St Peter’s Lutheran Church, Hobart</w:t>
      </w:r>
      <w:r w:rsidR="00E0762F" w:rsidRPr="009A0DA6">
        <w:rPr>
          <w:rFonts w:ascii="Cambria" w:hAnsi="Cambria"/>
        </w:rPr>
        <w:t xml:space="preserve"> Tas</w:t>
      </w:r>
      <w:r w:rsidR="00061992" w:rsidRPr="009A0DA6">
        <w:rPr>
          <w:rFonts w:ascii="Cambria" w:hAnsi="Cambria"/>
        </w:rPr>
        <w:t>)</w:t>
      </w:r>
      <w:r w:rsidR="00CC1481">
        <w:rPr>
          <w:rFonts w:ascii="Cambria" w:hAnsi="Cambria"/>
        </w:rPr>
        <w:t xml:space="preserve"> (p1</w:t>
      </w:r>
      <w:r w:rsidR="00873979">
        <w:rPr>
          <w:rFonts w:ascii="Cambria" w:hAnsi="Cambria"/>
        </w:rPr>
        <w:t>72</w:t>
      </w:r>
      <w:r w:rsidR="00CC1481">
        <w:rPr>
          <w:rFonts w:ascii="Cambria" w:hAnsi="Cambria"/>
        </w:rPr>
        <w:t>)</w:t>
      </w:r>
    </w:p>
    <w:p w14:paraId="38E8FE59" w14:textId="0F7C484E" w:rsidR="00061992" w:rsidRPr="009A0DA6" w:rsidRDefault="00061992" w:rsidP="00CC1481">
      <w:pPr>
        <w:pStyle w:val="ListParagraph"/>
        <w:numPr>
          <w:ilvl w:val="2"/>
          <w:numId w:val="1"/>
        </w:numPr>
        <w:tabs>
          <w:tab w:val="left" w:pos="567"/>
          <w:tab w:val="left" w:pos="1276"/>
          <w:tab w:val="left" w:pos="3828"/>
        </w:tabs>
        <w:spacing w:after="0" w:line="22" w:lineRule="atLeast"/>
        <w:ind w:left="1985" w:hanging="851"/>
        <w:rPr>
          <w:rFonts w:ascii="Cambria" w:hAnsi="Cambria"/>
          <w:b/>
          <w:sz w:val="24"/>
          <w:szCs w:val="24"/>
        </w:rPr>
      </w:pPr>
      <w:r w:rsidRPr="009A0DA6">
        <w:rPr>
          <w:rFonts w:ascii="Cambria" w:hAnsi="Cambria"/>
          <w:b/>
        </w:rPr>
        <w:t xml:space="preserve">Provide support to pastors and church workers who appear before the Tribunal </w:t>
      </w:r>
      <w:r w:rsidRPr="009A0DA6">
        <w:rPr>
          <w:rFonts w:ascii="Cambria" w:hAnsi="Cambria"/>
        </w:rPr>
        <w:t>(LCA Victoria and Tasmania Pastors Conference)</w:t>
      </w:r>
      <w:r w:rsidR="00CC1481">
        <w:rPr>
          <w:rFonts w:ascii="Cambria" w:hAnsi="Cambria"/>
        </w:rPr>
        <w:t xml:space="preserve"> (p1</w:t>
      </w:r>
      <w:r w:rsidR="00873979">
        <w:rPr>
          <w:rFonts w:ascii="Cambria" w:hAnsi="Cambria"/>
        </w:rPr>
        <w:t>72</w:t>
      </w:r>
      <w:r w:rsidR="00CC1481">
        <w:rPr>
          <w:rFonts w:ascii="Cambria" w:hAnsi="Cambria"/>
        </w:rPr>
        <w:t>)</w:t>
      </w:r>
    </w:p>
    <w:p w14:paraId="5D726409" w14:textId="205135C6" w:rsidR="00061992" w:rsidRPr="009A0DA6" w:rsidRDefault="00061992" w:rsidP="00CC1481">
      <w:pPr>
        <w:pStyle w:val="ListParagraph"/>
        <w:numPr>
          <w:ilvl w:val="2"/>
          <w:numId w:val="1"/>
        </w:numPr>
        <w:tabs>
          <w:tab w:val="left" w:pos="567"/>
          <w:tab w:val="left" w:pos="1276"/>
          <w:tab w:val="left" w:pos="3828"/>
        </w:tabs>
        <w:spacing w:after="0" w:line="22" w:lineRule="atLeast"/>
        <w:ind w:left="1985" w:hanging="851"/>
        <w:rPr>
          <w:rFonts w:ascii="Cambria" w:hAnsi="Cambria"/>
          <w:b/>
          <w:sz w:val="24"/>
          <w:szCs w:val="24"/>
        </w:rPr>
      </w:pPr>
      <w:r w:rsidRPr="009A0DA6">
        <w:rPr>
          <w:rFonts w:ascii="Cambria" w:hAnsi="Cambria"/>
          <w:b/>
        </w:rPr>
        <w:t>Make available</w:t>
      </w:r>
      <w:r w:rsidR="00334F3F">
        <w:rPr>
          <w:rFonts w:ascii="Cambria" w:hAnsi="Cambria"/>
          <w:b/>
        </w:rPr>
        <w:t xml:space="preserve"> the use of</w:t>
      </w:r>
      <w:r w:rsidRPr="009A0DA6">
        <w:rPr>
          <w:rFonts w:ascii="Cambria" w:hAnsi="Cambria"/>
          <w:b/>
        </w:rPr>
        <w:t xml:space="preserve"> </w:t>
      </w:r>
      <w:r w:rsidR="005003B6" w:rsidRPr="009A0DA6">
        <w:rPr>
          <w:rFonts w:ascii="Cambria" w:hAnsi="Cambria"/>
          <w:b/>
        </w:rPr>
        <w:t>c</w:t>
      </w:r>
      <w:r w:rsidRPr="009A0DA6">
        <w:rPr>
          <w:rFonts w:ascii="Cambria" w:hAnsi="Cambria"/>
          <w:b/>
        </w:rPr>
        <w:t xml:space="preserve">hild </w:t>
      </w:r>
      <w:r w:rsidR="005003B6" w:rsidRPr="009A0DA6">
        <w:rPr>
          <w:rFonts w:ascii="Cambria" w:hAnsi="Cambria"/>
          <w:b/>
        </w:rPr>
        <w:t>p</w:t>
      </w:r>
      <w:r w:rsidRPr="009A0DA6">
        <w:rPr>
          <w:rFonts w:ascii="Cambria" w:hAnsi="Cambria"/>
          <w:b/>
        </w:rPr>
        <w:t xml:space="preserve">rotection </w:t>
      </w:r>
      <w:r w:rsidR="005003B6" w:rsidRPr="009A0DA6">
        <w:rPr>
          <w:rFonts w:ascii="Cambria" w:hAnsi="Cambria"/>
          <w:b/>
        </w:rPr>
        <w:t>t</w:t>
      </w:r>
      <w:r w:rsidRPr="009A0DA6">
        <w:rPr>
          <w:rFonts w:ascii="Cambria" w:hAnsi="Cambria"/>
          <w:b/>
        </w:rPr>
        <w:t>raining from other denominations</w:t>
      </w:r>
      <w:r w:rsidRPr="009A0DA6">
        <w:rPr>
          <w:rFonts w:ascii="Cambria" w:hAnsi="Cambria"/>
        </w:rPr>
        <w:t xml:space="preserve"> (Calvary Lutheran Church, Rockhampton</w:t>
      </w:r>
      <w:r w:rsidR="00C6103C" w:rsidRPr="009A0DA6">
        <w:rPr>
          <w:rFonts w:ascii="Cambria" w:hAnsi="Cambria"/>
        </w:rPr>
        <w:t xml:space="preserve"> Qld</w:t>
      </w:r>
      <w:r w:rsidRPr="009A0DA6">
        <w:rPr>
          <w:rFonts w:ascii="Cambria" w:hAnsi="Cambria"/>
        </w:rPr>
        <w:t>)</w:t>
      </w:r>
      <w:r w:rsidR="00CC1481">
        <w:rPr>
          <w:rFonts w:ascii="Cambria" w:hAnsi="Cambria"/>
        </w:rPr>
        <w:t xml:space="preserve"> (p1</w:t>
      </w:r>
      <w:r w:rsidR="00873979">
        <w:rPr>
          <w:rFonts w:ascii="Cambria" w:hAnsi="Cambria"/>
        </w:rPr>
        <w:t>73</w:t>
      </w:r>
      <w:r w:rsidR="00CC1481">
        <w:rPr>
          <w:rFonts w:ascii="Cambria" w:hAnsi="Cambria"/>
        </w:rPr>
        <w:t>)</w:t>
      </w:r>
    </w:p>
    <w:p w14:paraId="0874A6F5" w14:textId="4992FE60" w:rsidR="00061992" w:rsidRPr="009A0DA6" w:rsidRDefault="00334F3F" w:rsidP="00CC1481">
      <w:pPr>
        <w:pStyle w:val="ListParagraph"/>
        <w:numPr>
          <w:ilvl w:val="2"/>
          <w:numId w:val="1"/>
        </w:numPr>
        <w:tabs>
          <w:tab w:val="left" w:pos="567"/>
          <w:tab w:val="left" w:pos="1276"/>
          <w:tab w:val="left" w:pos="3828"/>
        </w:tabs>
        <w:spacing w:after="0" w:line="22" w:lineRule="atLeast"/>
        <w:ind w:left="1985" w:hanging="851"/>
        <w:rPr>
          <w:rFonts w:ascii="Cambria" w:hAnsi="Cambria"/>
          <w:b/>
          <w:sz w:val="24"/>
          <w:szCs w:val="24"/>
        </w:rPr>
      </w:pPr>
      <w:r>
        <w:rPr>
          <w:rFonts w:ascii="Cambria" w:hAnsi="Cambria"/>
          <w:b/>
        </w:rPr>
        <w:t>Recognition of</w:t>
      </w:r>
      <w:r w:rsidR="005003B6" w:rsidRPr="009A0DA6">
        <w:rPr>
          <w:rFonts w:ascii="Cambria" w:hAnsi="Cambria"/>
          <w:b/>
        </w:rPr>
        <w:t xml:space="preserve"> Aboriginal members</w:t>
      </w:r>
      <w:r w:rsidR="00061992" w:rsidRPr="009A0DA6">
        <w:rPr>
          <w:rFonts w:ascii="Cambria" w:hAnsi="Cambria"/>
        </w:rPr>
        <w:t xml:space="preserve"> </w:t>
      </w:r>
      <w:r w:rsidR="00CF3A28">
        <w:rPr>
          <w:rFonts w:ascii="Cambria" w:hAnsi="Cambria"/>
        </w:rPr>
        <w:br/>
      </w:r>
      <w:r w:rsidR="00061992" w:rsidRPr="009A0DA6">
        <w:rPr>
          <w:rFonts w:ascii="Cambria" w:hAnsi="Cambria"/>
        </w:rPr>
        <w:t>(Redeemer Lutheran Congregation, Toowoomba</w:t>
      </w:r>
      <w:r w:rsidR="00C6103C" w:rsidRPr="009A0DA6">
        <w:rPr>
          <w:rFonts w:ascii="Cambria" w:hAnsi="Cambria"/>
        </w:rPr>
        <w:t xml:space="preserve"> Qld</w:t>
      </w:r>
      <w:r w:rsidR="00061992" w:rsidRPr="009A0DA6">
        <w:rPr>
          <w:rFonts w:ascii="Cambria" w:hAnsi="Cambria"/>
        </w:rPr>
        <w:t>)</w:t>
      </w:r>
      <w:r w:rsidR="00CC1481">
        <w:rPr>
          <w:rFonts w:ascii="Cambria" w:hAnsi="Cambria"/>
        </w:rPr>
        <w:t xml:space="preserve"> (p1</w:t>
      </w:r>
      <w:r w:rsidR="00873979">
        <w:rPr>
          <w:rFonts w:ascii="Cambria" w:hAnsi="Cambria"/>
        </w:rPr>
        <w:t>73</w:t>
      </w:r>
      <w:r w:rsidR="00CC1481">
        <w:rPr>
          <w:rFonts w:ascii="Cambria" w:hAnsi="Cambria"/>
        </w:rPr>
        <w:t>)</w:t>
      </w:r>
    </w:p>
    <w:p w14:paraId="7E35B7E0" w14:textId="30582EF2" w:rsidR="00061992" w:rsidRPr="009A0DA6" w:rsidRDefault="00061992" w:rsidP="00CC1481">
      <w:pPr>
        <w:pStyle w:val="ListParagraph"/>
        <w:numPr>
          <w:ilvl w:val="2"/>
          <w:numId w:val="1"/>
        </w:numPr>
        <w:tabs>
          <w:tab w:val="left" w:pos="567"/>
          <w:tab w:val="left" w:pos="1276"/>
          <w:tab w:val="left" w:pos="3828"/>
        </w:tabs>
        <w:spacing w:after="0" w:line="22" w:lineRule="atLeast"/>
        <w:ind w:left="1985" w:hanging="851"/>
        <w:rPr>
          <w:rFonts w:ascii="Cambria" w:hAnsi="Cambria"/>
          <w:b/>
          <w:sz w:val="24"/>
          <w:szCs w:val="24"/>
        </w:rPr>
      </w:pPr>
      <w:r w:rsidRPr="009A0DA6">
        <w:rPr>
          <w:rFonts w:ascii="Cambria" w:hAnsi="Cambria"/>
          <w:b/>
        </w:rPr>
        <w:t xml:space="preserve">Change </w:t>
      </w:r>
      <w:r w:rsidR="00334F3F">
        <w:rPr>
          <w:rFonts w:ascii="Cambria" w:hAnsi="Cambria"/>
          <w:b/>
        </w:rPr>
        <w:t xml:space="preserve">the </w:t>
      </w:r>
      <w:r w:rsidRPr="009A0DA6">
        <w:rPr>
          <w:rFonts w:ascii="Cambria" w:hAnsi="Cambria"/>
          <w:b/>
        </w:rPr>
        <w:t>name</w:t>
      </w:r>
      <w:r w:rsidR="00892E6E">
        <w:rPr>
          <w:rFonts w:ascii="Cambria" w:hAnsi="Cambria"/>
          <w:b/>
        </w:rPr>
        <w:t xml:space="preserve"> </w:t>
      </w:r>
      <w:r w:rsidR="00334F3F">
        <w:rPr>
          <w:rFonts w:ascii="Cambria" w:hAnsi="Cambria"/>
          <w:b/>
        </w:rPr>
        <w:t xml:space="preserve">of the church </w:t>
      </w:r>
      <w:r w:rsidRPr="009A0DA6">
        <w:rPr>
          <w:rFonts w:ascii="Cambria" w:hAnsi="Cambria"/>
          <w:b/>
        </w:rPr>
        <w:t xml:space="preserve">to Lutheran Church of Australia and New Zealand </w:t>
      </w:r>
      <w:r w:rsidR="00CF3A28">
        <w:rPr>
          <w:rFonts w:ascii="Cambria" w:hAnsi="Cambria"/>
          <w:b/>
        </w:rPr>
        <w:br/>
      </w:r>
      <w:r w:rsidR="007455D0" w:rsidRPr="009A0DA6">
        <w:rPr>
          <w:rFonts w:ascii="Cambria" w:hAnsi="Cambria"/>
        </w:rPr>
        <w:t>(Lutheran Church of New Zealand</w:t>
      </w:r>
      <w:r w:rsidRPr="009A0DA6">
        <w:rPr>
          <w:rFonts w:ascii="Cambria" w:hAnsi="Cambria"/>
        </w:rPr>
        <w:t xml:space="preserve"> Council of Synod)</w:t>
      </w:r>
      <w:r w:rsidR="00CC1481">
        <w:rPr>
          <w:rFonts w:ascii="Cambria" w:hAnsi="Cambria"/>
        </w:rPr>
        <w:t xml:space="preserve"> (p1</w:t>
      </w:r>
      <w:r w:rsidR="003B6C7A">
        <w:rPr>
          <w:rFonts w:ascii="Cambria" w:hAnsi="Cambria"/>
        </w:rPr>
        <w:t>75</w:t>
      </w:r>
      <w:r w:rsidR="00CC1481">
        <w:rPr>
          <w:rFonts w:ascii="Cambria" w:hAnsi="Cambria"/>
        </w:rPr>
        <w:t>)</w:t>
      </w:r>
    </w:p>
    <w:p w14:paraId="6DDC1963" w14:textId="2B418226" w:rsidR="00061992" w:rsidRPr="009A0DA6" w:rsidRDefault="00334F3F" w:rsidP="00CC1481">
      <w:pPr>
        <w:pStyle w:val="ListParagraph"/>
        <w:numPr>
          <w:ilvl w:val="2"/>
          <w:numId w:val="1"/>
        </w:numPr>
        <w:tabs>
          <w:tab w:val="left" w:pos="567"/>
          <w:tab w:val="left" w:pos="1276"/>
          <w:tab w:val="left" w:pos="3828"/>
        </w:tabs>
        <w:spacing w:after="0" w:line="22" w:lineRule="atLeast"/>
        <w:ind w:left="1985" w:hanging="851"/>
        <w:rPr>
          <w:rFonts w:ascii="Cambria" w:hAnsi="Cambria"/>
          <w:b/>
          <w:sz w:val="24"/>
          <w:szCs w:val="24"/>
        </w:rPr>
      </w:pPr>
      <w:r>
        <w:rPr>
          <w:rFonts w:ascii="Cambria" w:hAnsi="Cambria"/>
          <w:b/>
        </w:rPr>
        <w:t>College of Bishops to a</w:t>
      </w:r>
      <w:r w:rsidR="00061992" w:rsidRPr="009A0DA6">
        <w:rPr>
          <w:rFonts w:ascii="Cambria" w:hAnsi="Cambria"/>
          <w:b/>
        </w:rPr>
        <w:t xml:space="preserve">ddress </w:t>
      </w:r>
      <w:r>
        <w:rPr>
          <w:rFonts w:ascii="Cambria" w:hAnsi="Cambria"/>
          <w:b/>
        </w:rPr>
        <w:t xml:space="preserve">the </w:t>
      </w:r>
      <w:r w:rsidR="00061992" w:rsidRPr="009A0DA6">
        <w:rPr>
          <w:rFonts w:ascii="Cambria" w:hAnsi="Cambria"/>
          <w:b/>
        </w:rPr>
        <w:t>serious shortage of pastors</w:t>
      </w:r>
      <w:r w:rsidR="00061992" w:rsidRPr="009A0DA6">
        <w:rPr>
          <w:rFonts w:ascii="Cambria" w:hAnsi="Cambria"/>
        </w:rPr>
        <w:t xml:space="preserve"> </w:t>
      </w:r>
      <w:r w:rsidR="00CF3A28">
        <w:rPr>
          <w:rFonts w:ascii="Cambria" w:hAnsi="Cambria"/>
        </w:rPr>
        <w:br/>
      </w:r>
      <w:r w:rsidR="00061992" w:rsidRPr="009A0DA6">
        <w:rPr>
          <w:rFonts w:ascii="Cambria" w:hAnsi="Cambria"/>
        </w:rPr>
        <w:t>(St Paul’s Lutheran Church, Parkes</w:t>
      </w:r>
      <w:r w:rsidR="00C6103C" w:rsidRPr="009A0DA6">
        <w:rPr>
          <w:rFonts w:ascii="Cambria" w:hAnsi="Cambria"/>
        </w:rPr>
        <w:t xml:space="preserve"> NSW</w:t>
      </w:r>
      <w:r w:rsidR="00061992" w:rsidRPr="009A0DA6">
        <w:rPr>
          <w:rFonts w:ascii="Cambria" w:hAnsi="Cambria"/>
        </w:rPr>
        <w:t>)</w:t>
      </w:r>
      <w:r w:rsidR="00CC1481">
        <w:rPr>
          <w:rFonts w:ascii="Cambria" w:hAnsi="Cambria"/>
        </w:rPr>
        <w:t xml:space="preserve"> (p1</w:t>
      </w:r>
      <w:r w:rsidR="00873979">
        <w:rPr>
          <w:rFonts w:ascii="Cambria" w:hAnsi="Cambria"/>
        </w:rPr>
        <w:t>75</w:t>
      </w:r>
      <w:r w:rsidR="00CC1481">
        <w:rPr>
          <w:rFonts w:ascii="Cambria" w:hAnsi="Cambria"/>
        </w:rPr>
        <w:t>)</w:t>
      </w:r>
    </w:p>
    <w:p w14:paraId="2FC6E579" w14:textId="1A953655" w:rsidR="00061992" w:rsidRPr="009A0DA6" w:rsidRDefault="00892E6E" w:rsidP="00CC1481">
      <w:pPr>
        <w:pStyle w:val="ListParagraph"/>
        <w:numPr>
          <w:ilvl w:val="2"/>
          <w:numId w:val="1"/>
        </w:numPr>
        <w:tabs>
          <w:tab w:val="left" w:pos="567"/>
          <w:tab w:val="left" w:pos="1276"/>
          <w:tab w:val="left" w:pos="3828"/>
        </w:tabs>
        <w:spacing w:after="0" w:line="22" w:lineRule="atLeast"/>
        <w:ind w:left="1985" w:hanging="851"/>
        <w:rPr>
          <w:rFonts w:ascii="Cambria" w:hAnsi="Cambria"/>
          <w:b/>
          <w:sz w:val="24"/>
          <w:szCs w:val="24"/>
        </w:rPr>
      </w:pPr>
      <w:r>
        <w:rPr>
          <w:rFonts w:ascii="Cambria" w:hAnsi="Cambria"/>
          <w:b/>
        </w:rPr>
        <w:t>Dispens</w:t>
      </w:r>
      <w:r w:rsidR="00334F3F">
        <w:rPr>
          <w:rFonts w:ascii="Cambria" w:hAnsi="Cambria"/>
          <w:b/>
        </w:rPr>
        <w:t>ing</w:t>
      </w:r>
      <w:r>
        <w:rPr>
          <w:rFonts w:ascii="Cambria" w:hAnsi="Cambria"/>
          <w:b/>
        </w:rPr>
        <w:t xml:space="preserve"> </w:t>
      </w:r>
      <w:r w:rsidR="00061992" w:rsidRPr="009A0DA6">
        <w:rPr>
          <w:rFonts w:ascii="Cambria" w:hAnsi="Cambria"/>
          <w:b/>
        </w:rPr>
        <w:t xml:space="preserve">with </w:t>
      </w:r>
      <w:r w:rsidR="00334F3F">
        <w:rPr>
          <w:rFonts w:ascii="Cambria" w:hAnsi="Cambria"/>
          <w:b/>
        </w:rPr>
        <w:t xml:space="preserve">the </w:t>
      </w:r>
      <w:r w:rsidR="00CC1481">
        <w:rPr>
          <w:rFonts w:ascii="Cambria" w:hAnsi="Cambria"/>
          <w:b/>
        </w:rPr>
        <w:t>title</w:t>
      </w:r>
      <w:r w:rsidR="00061992" w:rsidRPr="009A0DA6">
        <w:rPr>
          <w:rFonts w:ascii="Cambria" w:hAnsi="Cambria"/>
          <w:b/>
        </w:rPr>
        <w:t xml:space="preserve"> </w:t>
      </w:r>
      <w:r w:rsidR="00334F3F">
        <w:rPr>
          <w:rFonts w:ascii="Cambria" w:hAnsi="Cambria"/>
          <w:b/>
        </w:rPr>
        <w:t>of ‘</w:t>
      </w:r>
      <w:r w:rsidR="005003B6" w:rsidRPr="009A0DA6">
        <w:rPr>
          <w:rFonts w:ascii="Cambria" w:hAnsi="Cambria"/>
          <w:b/>
        </w:rPr>
        <w:t>Bishop</w:t>
      </w:r>
      <w:r w:rsidR="00334F3F">
        <w:rPr>
          <w:rFonts w:ascii="Cambria" w:hAnsi="Cambria"/>
          <w:b/>
        </w:rPr>
        <w:t>’</w:t>
      </w:r>
      <w:r w:rsidR="00061992" w:rsidRPr="009A0DA6">
        <w:rPr>
          <w:rFonts w:ascii="Cambria" w:hAnsi="Cambria"/>
        </w:rPr>
        <w:t xml:space="preserve"> </w:t>
      </w:r>
      <w:r w:rsidR="00CF3A28">
        <w:rPr>
          <w:rFonts w:ascii="Cambria" w:hAnsi="Cambria"/>
        </w:rPr>
        <w:br/>
      </w:r>
      <w:r w:rsidR="00061992" w:rsidRPr="009A0DA6">
        <w:rPr>
          <w:rFonts w:ascii="Cambria" w:hAnsi="Cambria"/>
        </w:rPr>
        <w:t>(Christ Church, Murray Bridge</w:t>
      </w:r>
      <w:r w:rsidR="00C6103C" w:rsidRPr="009A0DA6">
        <w:rPr>
          <w:rFonts w:ascii="Cambria" w:hAnsi="Cambria"/>
        </w:rPr>
        <w:t xml:space="preserve"> SA)</w:t>
      </w:r>
      <w:r w:rsidR="00CC1481">
        <w:rPr>
          <w:rFonts w:ascii="Cambria" w:hAnsi="Cambria"/>
        </w:rPr>
        <w:t xml:space="preserve"> (p1</w:t>
      </w:r>
      <w:r w:rsidR="00873979">
        <w:rPr>
          <w:rFonts w:ascii="Cambria" w:hAnsi="Cambria"/>
        </w:rPr>
        <w:t>76</w:t>
      </w:r>
      <w:r w:rsidR="00CC1481">
        <w:rPr>
          <w:rFonts w:ascii="Cambria" w:hAnsi="Cambria"/>
        </w:rPr>
        <w:t>)</w:t>
      </w:r>
    </w:p>
    <w:p w14:paraId="7C5E2C31" w14:textId="1620761C" w:rsidR="00061992" w:rsidRPr="009A0DA6" w:rsidRDefault="00061992" w:rsidP="00CC1481">
      <w:pPr>
        <w:pStyle w:val="ListParagraph"/>
        <w:numPr>
          <w:ilvl w:val="2"/>
          <w:numId w:val="1"/>
        </w:numPr>
        <w:tabs>
          <w:tab w:val="left" w:pos="567"/>
          <w:tab w:val="left" w:pos="1276"/>
          <w:tab w:val="left" w:pos="3828"/>
        </w:tabs>
        <w:spacing w:after="0" w:line="22" w:lineRule="atLeast"/>
        <w:ind w:left="1985" w:hanging="851"/>
        <w:rPr>
          <w:rFonts w:ascii="Cambria" w:hAnsi="Cambria"/>
          <w:b/>
          <w:sz w:val="24"/>
          <w:szCs w:val="24"/>
        </w:rPr>
      </w:pPr>
      <w:r w:rsidRPr="009A0DA6">
        <w:rPr>
          <w:rFonts w:ascii="Cambria" w:hAnsi="Cambria"/>
          <w:b/>
        </w:rPr>
        <w:t>Mark the 500</w:t>
      </w:r>
      <w:r w:rsidRPr="009A0DA6">
        <w:rPr>
          <w:rFonts w:ascii="Cambria" w:hAnsi="Cambria"/>
          <w:b/>
          <w:vertAlign w:val="superscript"/>
        </w:rPr>
        <w:t>th</w:t>
      </w:r>
      <w:r w:rsidRPr="009A0DA6">
        <w:rPr>
          <w:rFonts w:ascii="Cambria" w:hAnsi="Cambria"/>
          <w:b/>
        </w:rPr>
        <w:t xml:space="preserve"> </w:t>
      </w:r>
      <w:r w:rsidR="005003B6" w:rsidRPr="009A0DA6">
        <w:rPr>
          <w:rFonts w:ascii="Cambria" w:hAnsi="Cambria"/>
          <w:b/>
        </w:rPr>
        <w:t>a</w:t>
      </w:r>
      <w:r w:rsidRPr="009A0DA6">
        <w:rPr>
          <w:rFonts w:ascii="Cambria" w:hAnsi="Cambria"/>
          <w:b/>
        </w:rPr>
        <w:t>nniversary of the Reformation</w:t>
      </w:r>
      <w:r w:rsidRPr="009A0DA6">
        <w:rPr>
          <w:rFonts w:ascii="Cambria" w:hAnsi="Cambria"/>
        </w:rPr>
        <w:t xml:space="preserve"> </w:t>
      </w:r>
      <w:r w:rsidR="00CF3A28">
        <w:rPr>
          <w:rFonts w:ascii="Cambria" w:hAnsi="Cambria"/>
        </w:rPr>
        <w:br/>
      </w:r>
      <w:r w:rsidRPr="009A0DA6">
        <w:rPr>
          <w:rFonts w:ascii="Cambria" w:hAnsi="Cambria"/>
        </w:rPr>
        <w:t>(St John’s Lutheran Church, Geelong</w:t>
      </w:r>
      <w:r w:rsidR="00C6103C" w:rsidRPr="009A0DA6">
        <w:rPr>
          <w:rFonts w:ascii="Cambria" w:hAnsi="Cambria"/>
        </w:rPr>
        <w:t xml:space="preserve"> Vic</w:t>
      </w:r>
      <w:r w:rsidRPr="009A0DA6">
        <w:rPr>
          <w:rFonts w:ascii="Cambria" w:hAnsi="Cambria"/>
        </w:rPr>
        <w:t>)</w:t>
      </w:r>
      <w:r w:rsidR="00CC1481">
        <w:rPr>
          <w:rFonts w:ascii="Cambria" w:hAnsi="Cambria"/>
        </w:rPr>
        <w:t xml:space="preserve"> (p1</w:t>
      </w:r>
      <w:r w:rsidR="00873979">
        <w:rPr>
          <w:rFonts w:ascii="Cambria" w:hAnsi="Cambria"/>
        </w:rPr>
        <w:t>76</w:t>
      </w:r>
      <w:r w:rsidR="00CC1481">
        <w:rPr>
          <w:rFonts w:ascii="Cambria" w:hAnsi="Cambria"/>
        </w:rPr>
        <w:t>)</w:t>
      </w:r>
    </w:p>
    <w:p w14:paraId="43D260D1" w14:textId="4079C8B8" w:rsidR="00061992" w:rsidRPr="009A0DA6" w:rsidRDefault="00334F3F" w:rsidP="00CC1481">
      <w:pPr>
        <w:pStyle w:val="ListParagraph"/>
        <w:numPr>
          <w:ilvl w:val="2"/>
          <w:numId w:val="1"/>
        </w:numPr>
        <w:tabs>
          <w:tab w:val="left" w:pos="567"/>
          <w:tab w:val="left" w:pos="1276"/>
          <w:tab w:val="left" w:pos="3828"/>
        </w:tabs>
        <w:spacing w:after="0" w:line="22" w:lineRule="atLeast"/>
        <w:ind w:left="1985" w:hanging="851"/>
        <w:rPr>
          <w:rFonts w:ascii="Cambria" w:hAnsi="Cambria"/>
          <w:b/>
          <w:sz w:val="24"/>
          <w:szCs w:val="24"/>
        </w:rPr>
      </w:pPr>
      <w:r>
        <w:rPr>
          <w:rFonts w:ascii="Cambria" w:hAnsi="Cambria"/>
          <w:b/>
        </w:rPr>
        <w:t>Changes to the LCA national structure to be halted</w:t>
      </w:r>
      <w:r w:rsidR="00061992" w:rsidRPr="009A0DA6">
        <w:rPr>
          <w:rFonts w:ascii="Cambria" w:hAnsi="Cambria"/>
        </w:rPr>
        <w:t xml:space="preserve"> </w:t>
      </w:r>
      <w:r w:rsidR="00CF3A28">
        <w:rPr>
          <w:rFonts w:ascii="Cambria" w:hAnsi="Cambria"/>
        </w:rPr>
        <w:br/>
      </w:r>
      <w:r w:rsidR="00061992" w:rsidRPr="009A0DA6">
        <w:rPr>
          <w:rFonts w:ascii="Cambria" w:hAnsi="Cambria"/>
        </w:rPr>
        <w:t>(St John’s Lutheran Church, Dernancourt</w:t>
      </w:r>
      <w:r w:rsidR="00C6103C" w:rsidRPr="009A0DA6">
        <w:rPr>
          <w:rFonts w:ascii="Cambria" w:hAnsi="Cambria"/>
        </w:rPr>
        <w:t xml:space="preserve"> SA</w:t>
      </w:r>
      <w:r w:rsidR="00061992" w:rsidRPr="009A0DA6">
        <w:rPr>
          <w:rFonts w:ascii="Cambria" w:hAnsi="Cambria"/>
        </w:rPr>
        <w:t>)</w:t>
      </w:r>
      <w:r w:rsidR="00CC1481">
        <w:rPr>
          <w:rFonts w:ascii="Cambria" w:hAnsi="Cambria"/>
        </w:rPr>
        <w:t xml:space="preserve"> (p</w:t>
      </w:r>
      <w:r w:rsidR="00873979">
        <w:rPr>
          <w:rFonts w:ascii="Cambria" w:hAnsi="Cambria"/>
        </w:rPr>
        <w:t>177</w:t>
      </w:r>
      <w:r w:rsidR="00CC1481">
        <w:rPr>
          <w:rFonts w:ascii="Cambria" w:hAnsi="Cambria"/>
        </w:rPr>
        <w:t>)</w:t>
      </w:r>
    </w:p>
    <w:p w14:paraId="78D90611" w14:textId="77777777" w:rsidR="00061992" w:rsidRPr="009A0DA6" w:rsidRDefault="00061992" w:rsidP="00061992">
      <w:pPr>
        <w:tabs>
          <w:tab w:val="left" w:pos="567"/>
          <w:tab w:val="left" w:pos="1276"/>
          <w:tab w:val="left" w:pos="1701"/>
        </w:tabs>
        <w:spacing w:after="0" w:line="22" w:lineRule="atLeast"/>
        <w:contextualSpacing/>
        <w:rPr>
          <w:rFonts w:ascii="Cambria" w:hAnsi="Cambria"/>
        </w:rPr>
      </w:pPr>
    </w:p>
    <w:p w14:paraId="38CAB9B4" w14:textId="77777777" w:rsidR="00061992" w:rsidRPr="009A0DA6" w:rsidRDefault="00061992" w:rsidP="00CC1481">
      <w:pPr>
        <w:pStyle w:val="ListParagraph"/>
        <w:numPr>
          <w:ilvl w:val="1"/>
          <w:numId w:val="1"/>
        </w:numPr>
        <w:tabs>
          <w:tab w:val="left" w:pos="567"/>
          <w:tab w:val="left" w:pos="1134"/>
          <w:tab w:val="left" w:pos="1701"/>
        </w:tabs>
        <w:spacing w:after="0" w:line="22" w:lineRule="atLeast"/>
        <w:ind w:left="567" w:firstLine="0"/>
        <w:rPr>
          <w:rFonts w:ascii="Cambria" w:hAnsi="Cambria"/>
          <w:b/>
          <w:sz w:val="24"/>
          <w:szCs w:val="24"/>
        </w:rPr>
      </w:pPr>
      <w:r w:rsidRPr="009A0DA6">
        <w:rPr>
          <w:rFonts w:ascii="Cambria" w:hAnsi="Cambria"/>
          <w:b/>
          <w:sz w:val="24"/>
          <w:szCs w:val="24"/>
        </w:rPr>
        <w:t>CONSTITUTIONAL MATTERS</w:t>
      </w:r>
    </w:p>
    <w:p w14:paraId="54430E39" w14:textId="2163478E" w:rsidR="00061992" w:rsidRPr="009A0DA6" w:rsidRDefault="00061992" w:rsidP="00CC1481">
      <w:pPr>
        <w:pStyle w:val="ListParagraph"/>
        <w:numPr>
          <w:ilvl w:val="2"/>
          <w:numId w:val="1"/>
        </w:numPr>
        <w:tabs>
          <w:tab w:val="left" w:pos="567"/>
          <w:tab w:val="left" w:pos="1276"/>
          <w:tab w:val="left" w:pos="1985"/>
        </w:tabs>
        <w:spacing w:after="0" w:line="22" w:lineRule="atLeast"/>
        <w:ind w:left="567" w:firstLine="567"/>
        <w:rPr>
          <w:rFonts w:ascii="Cambria" w:hAnsi="Cambria"/>
        </w:rPr>
      </w:pPr>
      <w:r w:rsidRPr="009A0DA6">
        <w:rPr>
          <w:rFonts w:ascii="Cambria" w:hAnsi="Cambria"/>
        </w:rPr>
        <w:t>Report: Stan</w:t>
      </w:r>
      <w:r w:rsidR="000306B1" w:rsidRPr="009A0DA6">
        <w:rPr>
          <w:rFonts w:ascii="Cambria" w:hAnsi="Cambria"/>
        </w:rPr>
        <w:t>ding Committee on Constitutions</w:t>
      </w:r>
      <w:r w:rsidR="00CC1481">
        <w:rPr>
          <w:rFonts w:ascii="Cambria" w:hAnsi="Cambria"/>
        </w:rPr>
        <w:t xml:space="preserve"> (p</w:t>
      </w:r>
      <w:r w:rsidR="00873979">
        <w:rPr>
          <w:rFonts w:ascii="Cambria" w:hAnsi="Cambria"/>
        </w:rPr>
        <w:t>180</w:t>
      </w:r>
      <w:r w:rsidR="00CC1481">
        <w:rPr>
          <w:rFonts w:ascii="Cambria" w:hAnsi="Cambria"/>
        </w:rPr>
        <w:t>)</w:t>
      </w:r>
    </w:p>
    <w:p w14:paraId="2B8586C3" w14:textId="1BC6C7F6" w:rsidR="00061992" w:rsidRPr="009A0DA6" w:rsidRDefault="00375EAE" w:rsidP="00CC1481">
      <w:pPr>
        <w:pStyle w:val="ListParagraph"/>
        <w:numPr>
          <w:ilvl w:val="2"/>
          <w:numId w:val="1"/>
        </w:numPr>
        <w:tabs>
          <w:tab w:val="left" w:pos="567"/>
          <w:tab w:val="left" w:pos="1276"/>
          <w:tab w:val="left" w:pos="1985"/>
        </w:tabs>
        <w:spacing w:after="0" w:line="22" w:lineRule="atLeast"/>
        <w:ind w:left="567" w:firstLine="567"/>
        <w:rPr>
          <w:rFonts w:ascii="Cambria" w:hAnsi="Cambria"/>
        </w:rPr>
      </w:pPr>
      <w:r>
        <w:rPr>
          <w:rFonts w:ascii="Cambria" w:hAnsi="Cambria"/>
        </w:rPr>
        <w:t>Constitutional changes</w:t>
      </w:r>
      <w:r w:rsidR="00061992" w:rsidRPr="009A0DA6">
        <w:rPr>
          <w:rFonts w:ascii="Cambria" w:hAnsi="Cambria"/>
        </w:rPr>
        <w:t>: ACNC Requirements</w:t>
      </w:r>
      <w:r w:rsidR="00CC1481">
        <w:rPr>
          <w:rFonts w:ascii="Cambria" w:hAnsi="Cambria"/>
        </w:rPr>
        <w:t xml:space="preserve"> (p</w:t>
      </w:r>
      <w:r w:rsidR="00873979">
        <w:rPr>
          <w:rFonts w:ascii="Cambria" w:hAnsi="Cambria"/>
        </w:rPr>
        <w:t>183</w:t>
      </w:r>
      <w:r w:rsidR="00CC1481">
        <w:rPr>
          <w:rFonts w:ascii="Cambria" w:hAnsi="Cambria"/>
        </w:rPr>
        <w:t>)</w:t>
      </w:r>
    </w:p>
    <w:p w14:paraId="3C8FA974" w14:textId="0BEEBC5F" w:rsidR="00061992" w:rsidRPr="009A0DA6" w:rsidRDefault="00061992" w:rsidP="00CC1481">
      <w:pPr>
        <w:pStyle w:val="ListParagraph"/>
        <w:numPr>
          <w:ilvl w:val="2"/>
          <w:numId w:val="1"/>
        </w:numPr>
        <w:tabs>
          <w:tab w:val="left" w:pos="567"/>
          <w:tab w:val="left" w:pos="1276"/>
          <w:tab w:val="left" w:pos="1985"/>
        </w:tabs>
        <w:spacing w:after="0" w:line="22" w:lineRule="atLeast"/>
        <w:ind w:left="567" w:firstLine="567"/>
        <w:rPr>
          <w:rFonts w:ascii="Cambria" w:hAnsi="Cambria"/>
        </w:rPr>
      </w:pPr>
      <w:r w:rsidRPr="009A0DA6">
        <w:rPr>
          <w:rFonts w:ascii="Cambria" w:hAnsi="Cambria"/>
        </w:rPr>
        <w:t xml:space="preserve">Constitutional </w:t>
      </w:r>
      <w:r w:rsidR="00375EAE">
        <w:rPr>
          <w:rFonts w:ascii="Cambria" w:hAnsi="Cambria"/>
        </w:rPr>
        <w:t>changes</w:t>
      </w:r>
      <w:r w:rsidRPr="009A0DA6">
        <w:rPr>
          <w:rFonts w:ascii="Cambria" w:hAnsi="Cambria"/>
        </w:rPr>
        <w:t xml:space="preserve">: Alternate </w:t>
      </w:r>
      <w:r w:rsidR="005003B6" w:rsidRPr="009A0DA6">
        <w:rPr>
          <w:rFonts w:ascii="Cambria" w:hAnsi="Cambria"/>
        </w:rPr>
        <w:t>l</w:t>
      </w:r>
      <w:r w:rsidRPr="009A0DA6">
        <w:rPr>
          <w:rFonts w:ascii="Cambria" w:hAnsi="Cambria"/>
        </w:rPr>
        <w:t xml:space="preserve">ay </w:t>
      </w:r>
      <w:r w:rsidR="005003B6" w:rsidRPr="009A0DA6">
        <w:rPr>
          <w:rFonts w:ascii="Cambria" w:hAnsi="Cambria"/>
        </w:rPr>
        <w:t>d</w:t>
      </w:r>
      <w:r w:rsidRPr="009A0DA6">
        <w:rPr>
          <w:rFonts w:ascii="Cambria" w:hAnsi="Cambria"/>
        </w:rPr>
        <w:t>elegates</w:t>
      </w:r>
      <w:r w:rsidR="00CC1481">
        <w:rPr>
          <w:rFonts w:ascii="Cambria" w:hAnsi="Cambria"/>
        </w:rPr>
        <w:t xml:space="preserve"> (p</w:t>
      </w:r>
      <w:r w:rsidR="00873979">
        <w:rPr>
          <w:rFonts w:ascii="Cambria" w:hAnsi="Cambria"/>
        </w:rPr>
        <w:t>187</w:t>
      </w:r>
      <w:r w:rsidR="00CC1481">
        <w:rPr>
          <w:rFonts w:ascii="Cambria" w:hAnsi="Cambria"/>
        </w:rPr>
        <w:t>)</w:t>
      </w:r>
    </w:p>
    <w:p w14:paraId="6E648CF9" w14:textId="559F8EBF" w:rsidR="00061992" w:rsidRPr="009A0DA6" w:rsidRDefault="005003B6" w:rsidP="00CC1481">
      <w:pPr>
        <w:pStyle w:val="ListParagraph"/>
        <w:numPr>
          <w:ilvl w:val="2"/>
          <w:numId w:val="1"/>
        </w:numPr>
        <w:tabs>
          <w:tab w:val="left" w:pos="567"/>
          <w:tab w:val="left" w:pos="1276"/>
          <w:tab w:val="left" w:pos="1985"/>
        </w:tabs>
        <w:spacing w:after="0" w:line="22" w:lineRule="atLeast"/>
        <w:ind w:left="567" w:firstLine="567"/>
        <w:rPr>
          <w:rFonts w:ascii="Cambria" w:hAnsi="Cambria"/>
        </w:rPr>
      </w:pPr>
      <w:r w:rsidRPr="009A0DA6">
        <w:rPr>
          <w:rFonts w:ascii="Cambria" w:hAnsi="Cambria"/>
        </w:rPr>
        <w:t xml:space="preserve">Constitutional </w:t>
      </w:r>
      <w:r w:rsidR="00375EAE">
        <w:rPr>
          <w:rFonts w:ascii="Cambria" w:hAnsi="Cambria"/>
        </w:rPr>
        <w:t>changes</w:t>
      </w:r>
      <w:r w:rsidRPr="009A0DA6">
        <w:rPr>
          <w:rFonts w:ascii="Cambria" w:hAnsi="Cambria"/>
        </w:rPr>
        <w:t>: Change c</w:t>
      </w:r>
      <w:r w:rsidR="00061992" w:rsidRPr="009A0DA6">
        <w:rPr>
          <w:rFonts w:ascii="Cambria" w:hAnsi="Cambria"/>
        </w:rPr>
        <w:t xml:space="preserve">ouncil to </w:t>
      </w:r>
      <w:r w:rsidRPr="009A0DA6">
        <w:rPr>
          <w:rFonts w:ascii="Cambria" w:hAnsi="Cambria"/>
        </w:rPr>
        <w:t>b</w:t>
      </w:r>
      <w:r w:rsidR="00061992" w:rsidRPr="009A0DA6">
        <w:rPr>
          <w:rFonts w:ascii="Cambria" w:hAnsi="Cambria"/>
        </w:rPr>
        <w:t>oard</w:t>
      </w:r>
      <w:r w:rsidR="00CC1481">
        <w:rPr>
          <w:rFonts w:ascii="Cambria" w:hAnsi="Cambria"/>
        </w:rPr>
        <w:t xml:space="preserve"> (p</w:t>
      </w:r>
      <w:r w:rsidR="00873979">
        <w:rPr>
          <w:rFonts w:ascii="Cambria" w:hAnsi="Cambria"/>
        </w:rPr>
        <w:t>188</w:t>
      </w:r>
      <w:r w:rsidR="00CC1481">
        <w:rPr>
          <w:rFonts w:ascii="Cambria" w:hAnsi="Cambria"/>
        </w:rPr>
        <w:t>)</w:t>
      </w:r>
    </w:p>
    <w:p w14:paraId="22811163" w14:textId="18261EAB" w:rsidR="00061992" w:rsidRPr="009A0DA6" w:rsidRDefault="00061992" w:rsidP="00CC1481">
      <w:pPr>
        <w:pStyle w:val="ListParagraph"/>
        <w:numPr>
          <w:ilvl w:val="2"/>
          <w:numId w:val="1"/>
        </w:numPr>
        <w:tabs>
          <w:tab w:val="left" w:pos="567"/>
          <w:tab w:val="left" w:pos="1276"/>
          <w:tab w:val="left" w:pos="1985"/>
        </w:tabs>
        <w:spacing w:after="0" w:line="22" w:lineRule="atLeast"/>
        <w:ind w:left="567" w:firstLine="567"/>
        <w:rPr>
          <w:rFonts w:ascii="Cambria" w:hAnsi="Cambria"/>
        </w:rPr>
      </w:pPr>
      <w:r w:rsidRPr="009A0DA6">
        <w:rPr>
          <w:rFonts w:ascii="Cambria" w:hAnsi="Cambria"/>
        </w:rPr>
        <w:t xml:space="preserve">Constitutional </w:t>
      </w:r>
      <w:r w:rsidR="00375EAE">
        <w:rPr>
          <w:rFonts w:ascii="Cambria" w:hAnsi="Cambria"/>
        </w:rPr>
        <w:t>changes</w:t>
      </w:r>
      <w:r w:rsidRPr="009A0DA6">
        <w:rPr>
          <w:rFonts w:ascii="Cambria" w:hAnsi="Cambria"/>
        </w:rPr>
        <w:t xml:space="preserve">: </w:t>
      </w:r>
      <w:r w:rsidR="005003B6" w:rsidRPr="009A0DA6">
        <w:rPr>
          <w:rFonts w:ascii="Cambria" w:hAnsi="Cambria"/>
        </w:rPr>
        <w:t>Care for children and the vulnerable</w:t>
      </w:r>
      <w:r w:rsidR="00CC1481">
        <w:rPr>
          <w:rFonts w:ascii="Cambria" w:hAnsi="Cambria"/>
        </w:rPr>
        <w:t xml:space="preserve"> (p</w:t>
      </w:r>
      <w:r w:rsidR="00873979">
        <w:rPr>
          <w:rFonts w:ascii="Cambria" w:hAnsi="Cambria"/>
        </w:rPr>
        <w:t>189</w:t>
      </w:r>
      <w:r w:rsidR="00CC1481">
        <w:rPr>
          <w:rFonts w:ascii="Cambria" w:hAnsi="Cambria"/>
        </w:rPr>
        <w:t>)</w:t>
      </w:r>
    </w:p>
    <w:p w14:paraId="4C84D037" w14:textId="7AC2E057" w:rsidR="00061992" w:rsidRPr="009A0DA6" w:rsidRDefault="00061992" w:rsidP="00CC1481">
      <w:pPr>
        <w:pStyle w:val="ListParagraph"/>
        <w:numPr>
          <w:ilvl w:val="2"/>
          <w:numId w:val="1"/>
        </w:numPr>
        <w:tabs>
          <w:tab w:val="left" w:pos="1276"/>
          <w:tab w:val="left" w:pos="1985"/>
        </w:tabs>
        <w:spacing w:after="0" w:line="22" w:lineRule="atLeast"/>
        <w:ind w:left="4111" w:hanging="2977"/>
        <w:rPr>
          <w:rFonts w:ascii="Cambria" w:hAnsi="Cambria"/>
        </w:rPr>
      </w:pPr>
      <w:r w:rsidRPr="009A0DA6">
        <w:rPr>
          <w:rFonts w:ascii="Cambria" w:hAnsi="Cambria"/>
        </w:rPr>
        <w:t xml:space="preserve">Constitutional </w:t>
      </w:r>
      <w:r w:rsidR="00375EAE">
        <w:rPr>
          <w:rFonts w:ascii="Cambria" w:hAnsi="Cambria"/>
        </w:rPr>
        <w:t>changes</w:t>
      </w:r>
      <w:r w:rsidRPr="009A0DA6">
        <w:rPr>
          <w:rFonts w:ascii="Cambria" w:hAnsi="Cambria"/>
        </w:rPr>
        <w:t xml:space="preserve">: </w:t>
      </w:r>
      <w:r w:rsidR="005003B6" w:rsidRPr="009A0DA6">
        <w:rPr>
          <w:rFonts w:ascii="Cambria" w:hAnsi="Cambria"/>
        </w:rPr>
        <w:t xml:space="preserve">Care for children and the vulnerable -    </w:t>
      </w:r>
      <w:r w:rsidR="005003B6" w:rsidRPr="009A0DA6">
        <w:rPr>
          <w:rFonts w:ascii="Cambria" w:hAnsi="Cambria"/>
        </w:rPr>
        <w:br/>
        <w:t xml:space="preserve"> </w:t>
      </w:r>
      <w:r w:rsidR="00375EAE">
        <w:rPr>
          <w:rFonts w:ascii="Cambria" w:hAnsi="Cambria"/>
        </w:rPr>
        <w:t xml:space="preserve"> </w:t>
      </w:r>
      <w:r w:rsidR="005003B6" w:rsidRPr="009A0DA6">
        <w:rPr>
          <w:rFonts w:ascii="Cambria" w:hAnsi="Cambria"/>
        </w:rPr>
        <w:t>Congregation</w:t>
      </w:r>
      <w:r w:rsidR="00CC1481">
        <w:rPr>
          <w:rFonts w:ascii="Cambria" w:hAnsi="Cambria"/>
        </w:rPr>
        <w:t xml:space="preserve"> (p</w:t>
      </w:r>
      <w:r w:rsidR="00873979">
        <w:rPr>
          <w:rFonts w:ascii="Cambria" w:hAnsi="Cambria"/>
        </w:rPr>
        <w:t>190</w:t>
      </w:r>
      <w:r w:rsidR="00CC1481">
        <w:rPr>
          <w:rFonts w:ascii="Cambria" w:hAnsi="Cambria"/>
        </w:rPr>
        <w:t>)</w:t>
      </w:r>
    </w:p>
    <w:p w14:paraId="1E34B23D" w14:textId="39F5B914" w:rsidR="00061992" w:rsidRPr="009A0DA6" w:rsidRDefault="00061992" w:rsidP="00CC1481">
      <w:pPr>
        <w:pStyle w:val="ListParagraph"/>
        <w:numPr>
          <w:ilvl w:val="2"/>
          <w:numId w:val="1"/>
        </w:numPr>
        <w:tabs>
          <w:tab w:val="left" w:pos="567"/>
          <w:tab w:val="left" w:pos="1276"/>
          <w:tab w:val="left" w:pos="1985"/>
        </w:tabs>
        <w:spacing w:after="0" w:line="22" w:lineRule="atLeast"/>
        <w:ind w:left="567" w:firstLine="567"/>
        <w:rPr>
          <w:rFonts w:ascii="Cambria" w:hAnsi="Cambria"/>
        </w:rPr>
      </w:pPr>
      <w:r w:rsidRPr="009A0DA6">
        <w:rPr>
          <w:rFonts w:ascii="Cambria" w:hAnsi="Cambria"/>
        </w:rPr>
        <w:t xml:space="preserve">Constitutional </w:t>
      </w:r>
      <w:r w:rsidR="00375EAE">
        <w:rPr>
          <w:rFonts w:ascii="Cambria" w:hAnsi="Cambria"/>
        </w:rPr>
        <w:t>changes</w:t>
      </w:r>
      <w:r w:rsidRPr="009A0DA6">
        <w:rPr>
          <w:rFonts w:ascii="Cambria" w:hAnsi="Cambria"/>
        </w:rPr>
        <w:t>: Consultant right to speak</w:t>
      </w:r>
      <w:r w:rsidR="00CC1481">
        <w:rPr>
          <w:rFonts w:ascii="Cambria" w:hAnsi="Cambria"/>
        </w:rPr>
        <w:t xml:space="preserve"> (p</w:t>
      </w:r>
      <w:r w:rsidR="00873979">
        <w:rPr>
          <w:rFonts w:ascii="Cambria" w:hAnsi="Cambria"/>
        </w:rPr>
        <w:t>191</w:t>
      </w:r>
      <w:r w:rsidR="00CC1481">
        <w:rPr>
          <w:rFonts w:ascii="Cambria" w:hAnsi="Cambria"/>
        </w:rPr>
        <w:t>)</w:t>
      </w:r>
    </w:p>
    <w:p w14:paraId="66A682FC" w14:textId="616B9112" w:rsidR="00061992" w:rsidRPr="009A0DA6" w:rsidRDefault="00061992" w:rsidP="00CC1481">
      <w:pPr>
        <w:pStyle w:val="ListParagraph"/>
        <w:numPr>
          <w:ilvl w:val="2"/>
          <w:numId w:val="1"/>
        </w:numPr>
        <w:tabs>
          <w:tab w:val="left" w:pos="567"/>
          <w:tab w:val="left" w:pos="1276"/>
          <w:tab w:val="left" w:pos="1985"/>
        </w:tabs>
        <w:spacing w:after="0" w:line="22" w:lineRule="atLeast"/>
        <w:ind w:left="567" w:firstLine="567"/>
        <w:rPr>
          <w:rFonts w:ascii="Cambria" w:hAnsi="Cambria"/>
        </w:rPr>
      </w:pPr>
      <w:r w:rsidRPr="009A0DA6">
        <w:rPr>
          <w:rFonts w:ascii="Cambria" w:hAnsi="Cambria"/>
        </w:rPr>
        <w:t xml:space="preserve">Constitutional </w:t>
      </w:r>
      <w:r w:rsidR="00375EAE">
        <w:rPr>
          <w:rFonts w:ascii="Cambria" w:hAnsi="Cambria"/>
        </w:rPr>
        <w:t>changes</w:t>
      </w:r>
      <w:r w:rsidRPr="009A0DA6">
        <w:rPr>
          <w:rFonts w:ascii="Cambria" w:hAnsi="Cambria"/>
        </w:rPr>
        <w:t>: Funds removal from by-laws</w:t>
      </w:r>
      <w:r w:rsidR="00CC1481">
        <w:rPr>
          <w:rFonts w:ascii="Cambria" w:hAnsi="Cambria"/>
        </w:rPr>
        <w:t xml:space="preserve"> (p</w:t>
      </w:r>
      <w:r w:rsidR="00873979">
        <w:rPr>
          <w:rFonts w:ascii="Cambria" w:hAnsi="Cambria"/>
        </w:rPr>
        <w:t>191</w:t>
      </w:r>
      <w:r w:rsidR="00CC1481">
        <w:rPr>
          <w:rFonts w:ascii="Cambria" w:hAnsi="Cambria"/>
        </w:rPr>
        <w:t>)</w:t>
      </w:r>
    </w:p>
    <w:p w14:paraId="1CFBD990" w14:textId="56138403" w:rsidR="00061992" w:rsidRPr="009A0DA6" w:rsidRDefault="00061992" w:rsidP="00CC1481">
      <w:pPr>
        <w:pStyle w:val="ListParagraph"/>
        <w:numPr>
          <w:ilvl w:val="2"/>
          <w:numId w:val="1"/>
        </w:numPr>
        <w:tabs>
          <w:tab w:val="left" w:pos="567"/>
          <w:tab w:val="left" w:pos="1276"/>
          <w:tab w:val="left" w:pos="1985"/>
        </w:tabs>
        <w:spacing w:after="0" w:line="22" w:lineRule="atLeast"/>
        <w:ind w:left="567" w:firstLine="567"/>
        <w:rPr>
          <w:rFonts w:ascii="Cambria" w:hAnsi="Cambria"/>
        </w:rPr>
      </w:pPr>
      <w:r w:rsidRPr="009A0DA6">
        <w:rPr>
          <w:rFonts w:ascii="Cambria" w:hAnsi="Cambria"/>
        </w:rPr>
        <w:t xml:space="preserve">Constitutional </w:t>
      </w:r>
      <w:r w:rsidR="00375EAE">
        <w:rPr>
          <w:rFonts w:ascii="Cambria" w:hAnsi="Cambria"/>
        </w:rPr>
        <w:t>changes</w:t>
      </w:r>
      <w:r w:rsidRPr="009A0DA6">
        <w:rPr>
          <w:rFonts w:ascii="Cambria" w:hAnsi="Cambria"/>
        </w:rPr>
        <w:t>: General Synod composition</w:t>
      </w:r>
      <w:r w:rsidR="00CC1481">
        <w:rPr>
          <w:rFonts w:ascii="Cambria" w:hAnsi="Cambria"/>
        </w:rPr>
        <w:t xml:space="preserve"> (p</w:t>
      </w:r>
      <w:r w:rsidR="00873979">
        <w:rPr>
          <w:rFonts w:ascii="Cambria" w:hAnsi="Cambria"/>
        </w:rPr>
        <w:t>192</w:t>
      </w:r>
      <w:r w:rsidR="00CC1481">
        <w:rPr>
          <w:rFonts w:ascii="Cambria" w:hAnsi="Cambria"/>
        </w:rPr>
        <w:t>)</w:t>
      </w:r>
    </w:p>
    <w:p w14:paraId="256BBF6F" w14:textId="2A6FFB9B" w:rsidR="00061992" w:rsidRPr="009A0DA6" w:rsidRDefault="00061992" w:rsidP="00CC1481">
      <w:pPr>
        <w:pStyle w:val="ListParagraph"/>
        <w:numPr>
          <w:ilvl w:val="2"/>
          <w:numId w:val="1"/>
        </w:numPr>
        <w:tabs>
          <w:tab w:val="left" w:pos="567"/>
          <w:tab w:val="left" w:pos="1276"/>
          <w:tab w:val="left" w:pos="1985"/>
        </w:tabs>
        <w:spacing w:after="0" w:line="22" w:lineRule="atLeast"/>
        <w:ind w:left="567" w:firstLine="567"/>
        <w:rPr>
          <w:rFonts w:ascii="Cambria" w:hAnsi="Cambria"/>
        </w:rPr>
      </w:pPr>
      <w:r w:rsidRPr="009A0DA6">
        <w:rPr>
          <w:rFonts w:ascii="Cambria" w:hAnsi="Cambria"/>
        </w:rPr>
        <w:t xml:space="preserve">Constitutional </w:t>
      </w:r>
      <w:r w:rsidR="00375EAE">
        <w:rPr>
          <w:rFonts w:ascii="Cambria" w:hAnsi="Cambria"/>
        </w:rPr>
        <w:t>changes</w:t>
      </w:r>
      <w:r w:rsidRPr="009A0DA6">
        <w:rPr>
          <w:rFonts w:ascii="Cambria" w:hAnsi="Cambria"/>
        </w:rPr>
        <w:t>: Interpretation</w:t>
      </w:r>
      <w:r w:rsidR="00CC1481">
        <w:rPr>
          <w:rFonts w:ascii="Cambria" w:hAnsi="Cambria"/>
        </w:rPr>
        <w:t xml:space="preserve"> (p</w:t>
      </w:r>
      <w:r w:rsidR="00873979">
        <w:rPr>
          <w:rFonts w:ascii="Cambria" w:hAnsi="Cambria"/>
        </w:rPr>
        <w:t>193</w:t>
      </w:r>
      <w:r w:rsidR="00CC1481">
        <w:rPr>
          <w:rFonts w:ascii="Cambria" w:hAnsi="Cambria"/>
        </w:rPr>
        <w:t>)</w:t>
      </w:r>
    </w:p>
    <w:p w14:paraId="319BDE6A" w14:textId="2AD8C6A0" w:rsidR="00061992" w:rsidRPr="009A0DA6" w:rsidRDefault="00061992" w:rsidP="00CC1481">
      <w:pPr>
        <w:pStyle w:val="ListParagraph"/>
        <w:numPr>
          <w:ilvl w:val="2"/>
          <w:numId w:val="1"/>
        </w:numPr>
        <w:tabs>
          <w:tab w:val="left" w:pos="567"/>
          <w:tab w:val="left" w:pos="1276"/>
          <w:tab w:val="left" w:pos="1985"/>
        </w:tabs>
        <w:spacing w:after="0" w:line="22" w:lineRule="atLeast"/>
        <w:ind w:left="567" w:firstLine="567"/>
        <w:rPr>
          <w:rFonts w:ascii="Cambria" w:hAnsi="Cambria"/>
        </w:rPr>
      </w:pPr>
      <w:r w:rsidRPr="009A0DA6">
        <w:rPr>
          <w:rFonts w:ascii="Cambria" w:hAnsi="Cambria"/>
        </w:rPr>
        <w:t xml:space="preserve">Constitutional </w:t>
      </w:r>
      <w:r w:rsidR="00375EAE">
        <w:rPr>
          <w:rFonts w:ascii="Cambria" w:hAnsi="Cambria"/>
        </w:rPr>
        <w:t>changes</w:t>
      </w:r>
      <w:r w:rsidRPr="009A0DA6">
        <w:rPr>
          <w:rFonts w:ascii="Cambria" w:hAnsi="Cambria"/>
        </w:rPr>
        <w:t xml:space="preserve">: Judicial </w:t>
      </w:r>
      <w:r w:rsidR="005003B6" w:rsidRPr="009A0DA6">
        <w:rPr>
          <w:rFonts w:ascii="Cambria" w:hAnsi="Cambria"/>
        </w:rPr>
        <w:t>s</w:t>
      </w:r>
      <w:r w:rsidRPr="009A0DA6">
        <w:rPr>
          <w:rFonts w:ascii="Cambria" w:hAnsi="Cambria"/>
        </w:rPr>
        <w:t>ystem</w:t>
      </w:r>
      <w:r w:rsidR="00CC1481">
        <w:rPr>
          <w:rFonts w:ascii="Cambria" w:hAnsi="Cambria"/>
        </w:rPr>
        <w:t xml:space="preserve"> (p</w:t>
      </w:r>
      <w:r w:rsidR="00873979">
        <w:rPr>
          <w:rFonts w:ascii="Cambria" w:hAnsi="Cambria"/>
        </w:rPr>
        <w:t>194</w:t>
      </w:r>
      <w:r w:rsidR="00CC1481">
        <w:rPr>
          <w:rFonts w:ascii="Cambria" w:hAnsi="Cambria"/>
        </w:rPr>
        <w:t>)</w:t>
      </w:r>
    </w:p>
    <w:p w14:paraId="43B06139" w14:textId="1266C985" w:rsidR="00061992" w:rsidRPr="009A0DA6" w:rsidRDefault="00061992" w:rsidP="00CC1481">
      <w:pPr>
        <w:pStyle w:val="ListParagraph"/>
        <w:numPr>
          <w:ilvl w:val="2"/>
          <w:numId w:val="1"/>
        </w:numPr>
        <w:tabs>
          <w:tab w:val="left" w:pos="567"/>
          <w:tab w:val="left" w:pos="1276"/>
          <w:tab w:val="left" w:pos="1985"/>
        </w:tabs>
        <w:spacing w:after="0" w:line="22" w:lineRule="atLeast"/>
        <w:ind w:left="567" w:firstLine="567"/>
        <w:rPr>
          <w:rFonts w:ascii="Cambria" w:hAnsi="Cambria"/>
        </w:rPr>
      </w:pPr>
      <w:r w:rsidRPr="009A0DA6">
        <w:rPr>
          <w:rFonts w:ascii="Cambria" w:hAnsi="Cambria"/>
        </w:rPr>
        <w:t xml:space="preserve">Constitutional </w:t>
      </w:r>
      <w:r w:rsidR="00375EAE">
        <w:rPr>
          <w:rFonts w:ascii="Cambria" w:hAnsi="Cambria"/>
        </w:rPr>
        <w:t>changes</w:t>
      </w:r>
      <w:r w:rsidRPr="009A0DA6">
        <w:rPr>
          <w:rFonts w:ascii="Cambria" w:hAnsi="Cambria"/>
        </w:rPr>
        <w:t xml:space="preserve">: Lay </w:t>
      </w:r>
      <w:r w:rsidR="005003B6" w:rsidRPr="009A0DA6">
        <w:rPr>
          <w:rFonts w:ascii="Cambria" w:hAnsi="Cambria"/>
        </w:rPr>
        <w:t>w</w:t>
      </w:r>
      <w:r w:rsidRPr="009A0DA6">
        <w:rPr>
          <w:rFonts w:ascii="Cambria" w:hAnsi="Cambria"/>
        </w:rPr>
        <w:t xml:space="preserve">orker </w:t>
      </w:r>
      <w:r w:rsidR="005003B6" w:rsidRPr="009A0DA6">
        <w:rPr>
          <w:rFonts w:ascii="Cambria" w:hAnsi="Cambria"/>
        </w:rPr>
        <w:t>s</w:t>
      </w:r>
      <w:r w:rsidRPr="009A0DA6">
        <w:rPr>
          <w:rFonts w:ascii="Cambria" w:hAnsi="Cambria"/>
        </w:rPr>
        <w:t>ection</w:t>
      </w:r>
      <w:r w:rsidR="00CC1481">
        <w:rPr>
          <w:rFonts w:ascii="Cambria" w:hAnsi="Cambria"/>
        </w:rPr>
        <w:t xml:space="preserve"> (p</w:t>
      </w:r>
      <w:r w:rsidR="00873979">
        <w:rPr>
          <w:rFonts w:ascii="Cambria" w:hAnsi="Cambria"/>
        </w:rPr>
        <w:t>195</w:t>
      </w:r>
      <w:r w:rsidR="00CC1481">
        <w:rPr>
          <w:rFonts w:ascii="Cambria" w:hAnsi="Cambria"/>
        </w:rPr>
        <w:t>)</w:t>
      </w:r>
    </w:p>
    <w:p w14:paraId="608EA3F1" w14:textId="1B96635B" w:rsidR="00061992" w:rsidRPr="009A0DA6" w:rsidRDefault="00061992" w:rsidP="00CC1481">
      <w:pPr>
        <w:pStyle w:val="ListParagraph"/>
        <w:numPr>
          <w:ilvl w:val="2"/>
          <w:numId w:val="1"/>
        </w:numPr>
        <w:tabs>
          <w:tab w:val="left" w:pos="567"/>
          <w:tab w:val="left" w:pos="1276"/>
          <w:tab w:val="left" w:pos="1985"/>
        </w:tabs>
        <w:spacing w:after="0" w:line="22" w:lineRule="atLeast"/>
        <w:ind w:left="567" w:firstLine="567"/>
        <w:rPr>
          <w:rFonts w:ascii="Cambria" w:hAnsi="Cambria"/>
        </w:rPr>
      </w:pPr>
      <w:r w:rsidRPr="009A0DA6">
        <w:rPr>
          <w:rFonts w:ascii="Cambria" w:hAnsi="Cambria"/>
        </w:rPr>
        <w:t xml:space="preserve">Constitutional </w:t>
      </w:r>
      <w:r w:rsidR="00375EAE">
        <w:rPr>
          <w:rFonts w:ascii="Cambria" w:hAnsi="Cambria"/>
        </w:rPr>
        <w:t>changes</w:t>
      </w:r>
      <w:r w:rsidRPr="009A0DA6">
        <w:rPr>
          <w:rFonts w:ascii="Cambria" w:hAnsi="Cambria"/>
        </w:rPr>
        <w:t xml:space="preserve">: </w:t>
      </w:r>
      <w:r w:rsidR="00CC1481">
        <w:rPr>
          <w:rFonts w:ascii="Cambria" w:hAnsi="Cambria"/>
        </w:rPr>
        <w:t>Determinations of majority (p</w:t>
      </w:r>
      <w:r w:rsidR="00873979">
        <w:rPr>
          <w:rFonts w:ascii="Cambria" w:hAnsi="Cambria"/>
        </w:rPr>
        <w:t>196</w:t>
      </w:r>
      <w:r w:rsidR="00CC1481">
        <w:rPr>
          <w:rFonts w:ascii="Cambria" w:hAnsi="Cambria"/>
        </w:rPr>
        <w:t>)</w:t>
      </w:r>
    </w:p>
    <w:p w14:paraId="5B344564" w14:textId="2B772FA6" w:rsidR="00061992" w:rsidRPr="009A0DA6" w:rsidRDefault="00061992" w:rsidP="00CC1481">
      <w:pPr>
        <w:pStyle w:val="ListParagraph"/>
        <w:numPr>
          <w:ilvl w:val="2"/>
          <w:numId w:val="1"/>
        </w:numPr>
        <w:tabs>
          <w:tab w:val="left" w:pos="567"/>
          <w:tab w:val="left" w:pos="1276"/>
          <w:tab w:val="left" w:pos="1985"/>
        </w:tabs>
        <w:spacing w:after="0" w:line="22" w:lineRule="atLeast"/>
        <w:ind w:left="567" w:firstLine="567"/>
        <w:rPr>
          <w:rFonts w:ascii="Cambria" w:hAnsi="Cambria"/>
        </w:rPr>
      </w:pPr>
      <w:r w:rsidRPr="009A0DA6">
        <w:rPr>
          <w:rFonts w:ascii="Cambria" w:hAnsi="Cambria"/>
        </w:rPr>
        <w:t xml:space="preserve">Constitutional </w:t>
      </w:r>
      <w:r w:rsidR="00375EAE">
        <w:rPr>
          <w:rFonts w:ascii="Cambria" w:hAnsi="Cambria"/>
        </w:rPr>
        <w:t>changes</w:t>
      </w:r>
      <w:r w:rsidRPr="009A0DA6">
        <w:rPr>
          <w:rFonts w:ascii="Cambria" w:hAnsi="Cambria"/>
        </w:rPr>
        <w:t>: Membership</w:t>
      </w:r>
      <w:r w:rsidR="00CC1481">
        <w:rPr>
          <w:rFonts w:ascii="Cambria" w:hAnsi="Cambria"/>
        </w:rPr>
        <w:t xml:space="preserve"> (p</w:t>
      </w:r>
      <w:r w:rsidR="00873979">
        <w:rPr>
          <w:rFonts w:ascii="Cambria" w:hAnsi="Cambria"/>
        </w:rPr>
        <w:t>198</w:t>
      </w:r>
      <w:r w:rsidR="00CC1481">
        <w:rPr>
          <w:rFonts w:ascii="Cambria" w:hAnsi="Cambria"/>
        </w:rPr>
        <w:t>)</w:t>
      </w:r>
    </w:p>
    <w:p w14:paraId="7F56FC4B" w14:textId="3D890875" w:rsidR="00061992" w:rsidRPr="009A0DA6" w:rsidRDefault="00061992" w:rsidP="00CC1481">
      <w:pPr>
        <w:pStyle w:val="ListParagraph"/>
        <w:numPr>
          <w:ilvl w:val="2"/>
          <w:numId w:val="1"/>
        </w:numPr>
        <w:tabs>
          <w:tab w:val="left" w:pos="567"/>
          <w:tab w:val="left" w:pos="1276"/>
          <w:tab w:val="left" w:pos="1985"/>
        </w:tabs>
        <w:spacing w:after="0" w:line="22" w:lineRule="atLeast"/>
        <w:ind w:left="567" w:firstLine="567"/>
        <w:rPr>
          <w:rFonts w:ascii="Cambria" w:hAnsi="Cambria"/>
        </w:rPr>
      </w:pPr>
      <w:r w:rsidRPr="009A0DA6">
        <w:rPr>
          <w:rFonts w:ascii="Cambria" w:hAnsi="Cambria"/>
        </w:rPr>
        <w:t xml:space="preserve">Constitutional </w:t>
      </w:r>
      <w:r w:rsidR="00375EAE">
        <w:rPr>
          <w:rFonts w:ascii="Cambria" w:hAnsi="Cambria"/>
        </w:rPr>
        <w:t>changes</w:t>
      </w:r>
      <w:r w:rsidRPr="009A0DA6">
        <w:rPr>
          <w:rFonts w:ascii="Cambria" w:hAnsi="Cambria"/>
        </w:rPr>
        <w:t>: Model for a parish</w:t>
      </w:r>
      <w:r w:rsidR="00CC1481">
        <w:rPr>
          <w:rFonts w:ascii="Cambria" w:hAnsi="Cambria"/>
        </w:rPr>
        <w:t xml:space="preserve"> (p2</w:t>
      </w:r>
      <w:r w:rsidR="00873979">
        <w:rPr>
          <w:rFonts w:ascii="Cambria" w:hAnsi="Cambria"/>
        </w:rPr>
        <w:t>00</w:t>
      </w:r>
      <w:r w:rsidR="00CC1481">
        <w:rPr>
          <w:rFonts w:ascii="Cambria" w:hAnsi="Cambria"/>
        </w:rPr>
        <w:t>)</w:t>
      </w:r>
    </w:p>
    <w:p w14:paraId="436071CD" w14:textId="1A9261A8" w:rsidR="00061992" w:rsidRPr="009A0DA6" w:rsidRDefault="00061992" w:rsidP="00CC1481">
      <w:pPr>
        <w:pStyle w:val="ListParagraph"/>
        <w:numPr>
          <w:ilvl w:val="2"/>
          <w:numId w:val="1"/>
        </w:numPr>
        <w:tabs>
          <w:tab w:val="left" w:pos="567"/>
          <w:tab w:val="left" w:pos="1276"/>
          <w:tab w:val="left" w:pos="1985"/>
        </w:tabs>
        <w:spacing w:after="0" w:line="22" w:lineRule="atLeast"/>
        <w:ind w:left="567" w:firstLine="567"/>
        <w:rPr>
          <w:rFonts w:ascii="Cambria" w:hAnsi="Cambria"/>
        </w:rPr>
      </w:pPr>
      <w:r w:rsidRPr="009A0DA6">
        <w:rPr>
          <w:rFonts w:ascii="Cambria" w:hAnsi="Cambria"/>
        </w:rPr>
        <w:t xml:space="preserve">Constitutional </w:t>
      </w:r>
      <w:r w:rsidR="00375EAE">
        <w:rPr>
          <w:rFonts w:ascii="Cambria" w:hAnsi="Cambria"/>
        </w:rPr>
        <w:t>changes</w:t>
      </w:r>
      <w:r w:rsidRPr="009A0DA6">
        <w:rPr>
          <w:rFonts w:ascii="Cambria" w:hAnsi="Cambria"/>
        </w:rPr>
        <w:t>: Pastors Conference</w:t>
      </w:r>
      <w:r w:rsidR="00CC1481">
        <w:rPr>
          <w:rFonts w:ascii="Cambria" w:hAnsi="Cambria"/>
        </w:rPr>
        <w:t xml:space="preserve"> (p2</w:t>
      </w:r>
      <w:r w:rsidR="00873979">
        <w:rPr>
          <w:rFonts w:ascii="Cambria" w:hAnsi="Cambria"/>
        </w:rPr>
        <w:t>01</w:t>
      </w:r>
      <w:r w:rsidR="00CC1481">
        <w:rPr>
          <w:rFonts w:ascii="Cambria" w:hAnsi="Cambria"/>
        </w:rPr>
        <w:t>)</w:t>
      </w:r>
    </w:p>
    <w:p w14:paraId="65FAB09E" w14:textId="00CCB885" w:rsidR="00061992" w:rsidRPr="009A0DA6" w:rsidRDefault="00061992" w:rsidP="00CC1481">
      <w:pPr>
        <w:pStyle w:val="ListParagraph"/>
        <w:numPr>
          <w:ilvl w:val="2"/>
          <w:numId w:val="1"/>
        </w:numPr>
        <w:tabs>
          <w:tab w:val="left" w:pos="567"/>
          <w:tab w:val="left" w:pos="1276"/>
          <w:tab w:val="left" w:pos="1985"/>
        </w:tabs>
        <w:spacing w:after="0" w:line="22" w:lineRule="atLeast"/>
        <w:ind w:left="567" w:firstLine="567"/>
        <w:rPr>
          <w:rFonts w:ascii="Cambria" w:hAnsi="Cambria"/>
        </w:rPr>
      </w:pPr>
      <w:r w:rsidRPr="009A0DA6">
        <w:rPr>
          <w:rFonts w:ascii="Cambria" w:hAnsi="Cambria"/>
        </w:rPr>
        <w:t xml:space="preserve">Constitutional </w:t>
      </w:r>
      <w:r w:rsidR="00375EAE">
        <w:rPr>
          <w:rFonts w:ascii="Cambria" w:hAnsi="Cambria"/>
        </w:rPr>
        <w:t>changes</w:t>
      </w:r>
      <w:r w:rsidRPr="009A0DA6">
        <w:rPr>
          <w:rFonts w:ascii="Cambria" w:hAnsi="Cambria"/>
        </w:rPr>
        <w:t>: Pastors</w:t>
      </w:r>
      <w:r w:rsidR="005003B6" w:rsidRPr="009A0DA6">
        <w:rPr>
          <w:rFonts w:ascii="Cambria" w:hAnsi="Cambria"/>
        </w:rPr>
        <w:t>’</w:t>
      </w:r>
      <w:r w:rsidRPr="009A0DA6">
        <w:rPr>
          <w:rFonts w:ascii="Cambria" w:hAnsi="Cambria"/>
        </w:rPr>
        <w:t xml:space="preserve"> Transfer and Support Fund</w:t>
      </w:r>
      <w:r w:rsidR="00873979">
        <w:rPr>
          <w:rFonts w:ascii="Cambria" w:hAnsi="Cambria"/>
        </w:rPr>
        <w:t xml:space="preserve"> (p202</w:t>
      </w:r>
      <w:r w:rsidR="00CC1481">
        <w:rPr>
          <w:rFonts w:ascii="Cambria" w:hAnsi="Cambria"/>
        </w:rPr>
        <w:t>)</w:t>
      </w:r>
    </w:p>
    <w:p w14:paraId="5D5693DC" w14:textId="01918AFC" w:rsidR="00061992" w:rsidRPr="009A0DA6" w:rsidRDefault="00061992" w:rsidP="00CC1481">
      <w:pPr>
        <w:pStyle w:val="ListParagraph"/>
        <w:numPr>
          <w:ilvl w:val="2"/>
          <w:numId w:val="1"/>
        </w:numPr>
        <w:tabs>
          <w:tab w:val="left" w:pos="567"/>
          <w:tab w:val="left" w:pos="1276"/>
          <w:tab w:val="left" w:pos="1985"/>
        </w:tabs>
        <w:spacing w:after="0" w:line="22" w:lineRule="atLeast"/>
        <w:ind w:left="567" w:firstLine="567"/>
        <w:rPr>
          <w:rFonts w:ascii="Cambria" w:hAnsi="Cambria"/>
        </w:rPr>
      </w:pPr>
      <w:r w:rsidRPr="009A0DA6">
        <w:rPr>
          <w:rFonts w:ascii="Cambria" w:hAnsi="Cambria"/>
        </w:rPr>
        <w:t xml:space="preserve">Constitutional </w:t>
      </w:r>
      <w:r w:rsidR="00375EAE">
        <w:rPr>
          <w:rFonts w:ascii="Cambria" w:hAnsi="Cambria"/>
        </w:rPr>
        <w:t>changes</w:t>
      </w:r>
      <w:r w:rsidRPr="009A0DA6">
        <w:rPr>
          <w:rFonts w:ascii="Cambria" w:hAnsi="Cambria"/>
        </w:rPr>
        <w:t>: Student Fund</w:t>
      </w:r>
      <w:r w:rsidR="00CC1481">
        <w:rPr>
          <w:rFonts w:ascii="Cambria" w:hAnsi="Cambria"/>
        </w:rPr>
        <w:t xml:space="preserve"> (p2</w:t>
      </w:r>
      <w:r w:rsidR="00873979">
        <w:rPr>
          <w:rFonts w:ascii="Cambria" w:hAnsi="Cambria"/>
        </w:rPr>
        <w:t>03</w:t>
      </w:r>
      <w:r w:rsidR="00CC1481">
        <w:rPr>
          <w:rFonts w:ascii="Cambria" w:hAnsi="Cambria"/>
        </w:rPr>
        <w:t>)</w:t>
      </w:r>
    </w:p>
    <w:p w14:paraId="5D733F6E" w14:textId="1A30650A" w:rsidR="00061992" w:rsidRPr="009A0DA6" w:rsidRDefault="00061992" w:rsidP="00CC1481">
      <w:pPr>
        <w:pStyle w:val="ListParagraph"/>
        <w:numPr>
          <w:ilvl w:val="2"/>
          <w:numId w:val="1"/>
        </w:numPr>
        <w:tabs>
          <w:tab w:val="left" w:pos="567"/>
          <w:tab w:val="left" w:pos="1276"/>
          <w:tab w:val="left" w:pos="1985"/>
        </w:tabs>
        <w:spacing w:after="0" w:line="22" w:lineRule="atLeast"/>
        <w:ind w:left="567" w:firstLine="567"/>
        <w:rPr>
          <w:rFonts w:ascii="Cambria" w:hAnsi="Cambria"/>
        </w:rPr>
      </w:pPr>
      <w:r w:rsidRPr="009A0DA6">
        <w:rPr>
          <w:rFonts w:ascii="Cambria" w:hAnsi="Cambria"/>
        </w:rPr>
        <w:t xml:space="preserve">Constitutional </w:t>
      </w:r>
      <w:r w:rsidR="00375EAE">
        <w:rPr>
          <w:rFonts w:ascii="Cambria" w:hAnsi="Cambria"/>
        </w:rPr>
        <w:t>changes</w:t>
      </w:r>
      <w:r w:rsidRPr="009A0DA6">
        <w:rPr>
          <w:rFonts w:ascii="Cambria" w:hAnsi="Cambria"/>
        </w:rPr>
        <w:t>: Vicarage Trust Fund</w:t>
      </w:r>
      <w:r w:rsidR="00CC1481">
        <w:rPr>
          <w:rFonts w:ascii="Cambria" w:hAnsi="Cambria"/>
        </w:rPr>
        <w:t xml:space="preserve"> (p2</w:t>
      </w:r>
      <w:r w:rsidR="00873979">
        <w:rPr>
          <w:rFonts w:ascii="Cambria" w:hAnsi="Cambria"/>
        </w:rPr>
        <w:t>05</w:t>
      </w:r>
      <w:r w:rsidR="00CC1481">
        <w:rPr>
          <w:rFonts w:ascii="Cambria" w:hAnsi="Cambria"/>
        </w:rPr>
        <w:t>)</w:t>
      </w:r>
    </w:p>
    <w:p w14:paraId="29553701" w14:textId="77777777" w:rsidR="00061992" w:rsidRPr="009A0DA6" w:rsidRDefault="00061992" w:rsidP="00061992">
      <w:pPr>
        <w:pStyle w:val="ListParagraph"/>
        <w:tabs>
          <w:tab w:val="left" w:pos="567"/>
          <w:tab w:val="left" w:pos="1276"/>
          <w:tab w:val="left" w:pos="1701"/>
        </w:tabs>
        <w:spacing w:after="0" w:line="22" w:lineRule="atLeast"/>
        <w:ind w:left="1276"/>
        <w:rPr>
          <w:rFonts w:ascii="Cambria" w:hAnsi="Cambria"/>
        </w:rPr>
      </w:pPr>
    </w:p>
    <w:p w14:paraId="452BE540" w14:textId="77777777" w:rsidR="00061992" w:rsidRPr="009A0DA6" w:rsidRDefault="00061992" w:rsidP="00CC1481">
      <w:pPr>
        <w:pStyle w:val="ListParagraph"/>
        <w:numPr>
          <w:ilvl w:val="1"/>
          <w:numId w:val="1"/>
        </w:numPr>
        <w:tabs>
          <w:tab w:val="left" w:pos="1134"/>
          <w:tab w:val="left" w:pos="1701"/>
        </w:tabs>
        <w:spacing w:after="0" w:line="22" w:lineRule="atLeast"/>
        <w:ind w:left="1134" w:hanging="573"/>
        <w:rPr>
          <w:rFonts w:ascii="Cambria" w:hAnsi="Cambria"/>
        </w:rPr>
      </w:pPr>
      <w:r w:rsidRPr="009A0DA6">
        <w:rPr>
          <w:rFonts w:ascii="Cambria" w:hAnsi="Cambria"/>
          <w:b/>
          <w:sz w:val="24"/>
          <w:szCs w:val="24"/>
        </w:rPr>
        <w:t>PASTORAL MINISTRY</w:t>
      </w:r>
    </w:p>
    <w:p w14:paraId="40069175" w14:textId="400C1073" w:rsidR="00061992" w:rsidRPr="009A0DA6" w:rsidRDefault="00061992" w:rsidP="00CC1481">
      <w:pPr>
        <w:pStyle w:val="ListParagraph"/>
        <w:numPr>
          <w:ilvl w:val="2"/>
          <w:numId w:val="1"/>
        </w:numPr>
        <w:tabs>
          <w:tab w:val="left" w:pos="1276"/>
          <w:tab w:val="left" w:pos="1985"/>
        </w:tabs>
        <w:spacing w:after="0" w:line="22" w:lineRule="atLeast"/>
        <w:ind w:left="1985" w:hanging="851"/>
        <w:rPr>
          <w:rFonts w:ascii="Cambria" w:hAnsi="Cambria"/>
        </w:rPr>
      </w:pPr>
      <w:r w:rsidRPr="009A0DA6">
        <w:rPr>
          <w:rFonts w:ascii="Cambria" w:hAnsi="Cambria"/>
        </w:rPr>
        <w:t>Report: Board for Support to Pastoral Ministry (</w:t>
      </w:r>
      <w:r w:rsidR="00375EAE">
        <w:rPr>
          <w:rFonts w:ascii="Cambria" w:hAnsi="Cambria"/>
        </w:rPr>
        <w:t>p2</w:t>
      </w:r>
      <w:r w:rsidR="00873979">
        <w:rPr>
          <w:rFonts w:ascii="Cambria" w:hAnsi="Cambria"/>
        </w:rPr>
        <w:t>06</w:t>
      </w:r>
      <w:r w:rsidRPr="009A0DA6">
        <w:rPr>
          <w:rFonts w:ascii="Cambria" w:hAnsi="Cambria"/>
        </w:rPr>
        <w:t>)</w:t>
      </w:r>
    </w:p>
    <w:p w14:paraId="5706FABD" w14:textId="77777777" w:rsidR="00061992" w:rsidRPr="009A0DA6" w:rsidRDefault="00061992" w:rsidP="00061992">
      <w:pPr>
        <w:pStyle w:val="ListParagraph"/>
        <w:tabs>
          <w:tab w:val="left" w:pos="1276"/>
          <w:tab w:val="left" w:pos="1701"/>
        </w:tabs>
        <w:spacing w:after="0" w:line="22" w:lineRule="atLeast"/>
        <w:ind w:left="1638"/>
        <w:rPr>
          <w:rFonts w:ascii="Cambria" w:hAnsi="Cambria"/>
        </w:rPr>
      </w:pPr>
    </w:p>
    <w:p w14:paraId="41CDF835" w14:textId="77777777" w:rsidR="00061992" w:rsidRPr="009A0DA6" w:rsidRDefault="00061992" w:rsidP="00CC1481">
      <w:pPr>
        <w:pStyle w:val="ListParagraph"/>
        <w:numPr>
          <w:ilvl w:val="1"/>
          <w:numId w:val="1"/>
        </w:numPr>
        <w:tabs>
          <w:tab w:val="left" w:pos="1134"/>
          <w:tab w:val="left" w:pos="1701"/>
        </w:tabs>
        <w:spacing w:after="0" w:line="22" w:lineRule="atLeast"/>
        <w:ind w:left="1134" w:hanging="573"/>
        <w:rPr>
          <w:rFonts w:ascii="Cambria" w:hAnsi="Cambria"/>
        </w:rPr>
      </w:pPr>
      <w:r w:rsidRPr="009A0DA6">
        <w:rPr>
          <w:rFonts w:ascii="Cambria" w:hAnsi="Cambria"/>
          <w:b/>
          <w:sz w:val="24"/>
          <w:szCs w:val="24"/>
        </w:rPr>
        <w:t>NOMINATIONS</w:t>
      </w:r>
    </w:p>
    <w:p w14:paraId="15B7D10A" w14:textId="36E0BAC6" w:rsidR="00061992" w:rsidRPr="009A0DA6" w:rsidRDefault="00061992" w:rsidP="00CC1481">
      <w:pPr>
        <w:pStyle w:val="ListParagraph"/>
        <w:numPr>
          <w:ilvl w:val="2"/>
          <w:numId w:val="1"/>
        </w:numPr>
        <w:tabs>
          <w:tab w:val="left" w:pos="1276"/>
          <w:tab w:val="left" w:pos="1985"/>
        </w:tabs>
        <w:spacing w:after="0" w:line="22" w:lineRule="atLeast"/>
        <w:ind w:hanging="1072"/>
        <w:rPr>
          <w:rFonts w:ascii="Cambria" w:hAnsi="Cambria"/>
        </w:rPr>
      </w:pPr>
      <w:r w:rsidRPr="009A0DA6">
        <w:rPr>
          <w:rFonts w:ascii="Cambria" w:hAnsi="Cambria"/>
          <w:szCs w:val="24"/>
        </w:rPr>
        <w:t>Report: Nominations Committee (</w:t>
      </w:r>
      <w:r w:rsidR="00375EAE">
        <w:rPr>
          <w:rFonts w:ascii="Cambria" w:hAnsi="Cambria"/>
          <w:szCs w:val="24"/>
        </w:rPr>
        <w:t>p2</w:t>
      </w:r>
      <w:r w:rsidR="00873979">
        <w:rPr>
          <w:rFonts w:ascii="Cambria" w:hAnsi="Cambria"/>
          <w:szCs w:val="24"/>
        </w:rPr>
        <w:t>07</w:t>
      </w:r>
      <w:r w:rsidRPr="009A0DA6">
        <w:rPr>
          <w:rFonts w:ascii="Cambria" w:hAnsi="Cambria"/>
          <w:szCs w:val="24"/>
        </w:rPr>
        <w:t>)</w:t>
      </w:r>
    </w:p>
    <w:p w14:paraId="47DB208F" w14:textId="77777777" w:rsidR="00061992" w:rsidRPr="009A0DA6" w:rsidRDefault="00061992" w:rsidP="00061992">
      <w:pPr>
        <w:pStyle w:val="ListParagraph"/>
        <w:tabs>
          <w:tab w:val="left" w:pos="1276"/>
          <w:tab w:val="left" w:pos="1701"/>
        </w:tabs>
        <w:spacing w:after="0" w:line="22" w:lineRule="atLeast"/>
        <w:ind w:left="1638"/>
        <w:rPr>
          <w:rFonts w:ascii="Cambria" w:hAnsi="Cambria"/>
        </w:rPr>
      </w:pPr>
    </w:p>
    <w:p w14:paraId="3C7CE311" w14:textId="77777777" w:rsidR="00061992" w:rsidRPr="009A0DA6" w:rsidRDefault="00061992" w:rsidP="00CC1481">
      <w:pPr>
        <w:pStyle w:val="ListParagraph"/>
        <w:numPr>
          <w:ilvl w:val="1"/>
          <w:numId w:val="1"/>
        </w:numPr>
        <w:tabs>
          <w:tab w:val="left" w:pos="1134"/>
          <w:tab w:val="left" w:pos="1701"/>
        </w:tabs>
        <w:spacing w:after="0" w:line="22" w:lineRule="atLeast"/>
        <w:ind w:left="1134" w:hanging="573"/>
        <w:rPr>
          <w:rFonts w:ascii="Cambria" w:hAnsi="Cambria"/>
        </w:rPr>
      </w:pPr>
      <w:r w:rsidRPr="009A0DA6">
        <w:rPr>
          <w:rFonts w:ascii="Cambria" w:hAnsi="Cambria"/>
          <w:b/>
          <w:sz w:val="24"/>
          <w:szCs w:val="24"/>
        </w:rPr>
        <w:t>SUOMI CONFERENCE</w:t>
      </w:r>
    </w:p>
    <w:p w14:paraId="1E1FEA34" w14:textId="6344C4B5" w:rsidR="00061992" w:rsidRPr="009A0DA6" w:rsidRDefault="00061992" w:rsidP="00CC1481">
      <w:pPr>
        <w:pStyle w:val="ListParagraph"/>
        <w:numPr>
          <w:ilvl w:val="2"/>
          <w:numId w:val="1"/>
        </w:numPr>
        <w:tabs>
          <w:tab w:val="left" w:pos="1276"/>
          <w:tab w:val="left" w:pos="1985"/>
        </w:tabs>
        <w:spacing w:after="0" w:line="22" w:lineRule="atLeast"/>
        <w:ind w:hanging="1072"/>
        <w:rPr>
          <w:rFonts w:ascii="Cambria" w:hAnsi="Cambria"/>
        </w:rPr>
      </w:pPr>
      <w:r w:rsidRPr="009A0DA6">
        <w:rPr>
          <w:rFonts w:ascii="Cambria" w:hAnsi="Cambria"/>
        </w:rPr>
        <w:t>Report: Suomi Conference (</w:t>
      </w:r>
      <w:r w:rsidR="00375EAE">
        <w:rPr>
          <w:rFonts w:ascii="Cambria" w:hAnsi="Cambria"/>
        </w:rPr>
        <w:t>p2</w:t>
      </w:r>
      <w:r w:rsidR="00873979">
        <w:rPr>
          <w:rFonts w:ascii="Cambria" w:hAnsi="Cambria"/>
        </w:rPr>
        <w:t>10</w:t>
      </w:r>
      <w:r w:rsidRPr="009A0DA6">
        <w:rPr>
          <w:rFonts w:ascii="Cambria" w:hAnsi="Cambria"/>
        </w:rPr>
        <w:t>)</w:t>
      </w:r>
    </w:p>
    <w:p w14:paraId="49689D5D" w14:textId="77777777" w:rsidR="00061992" w:rsidRPr="009A0DA6" w:rsidRDefault="00061992" w:rsidP="00061992">
      <w:pPr>
        <w:tabs>
          <w:tab w:val="left" w:pos="1276"/>
          <w:tab w:val="left" w:pos="1701"/>
        </w:tabs>
        <w:spacing w:after="0" w:line="22" w:lineRule="atLeast"/>
        <w:rPr>
          <w:rFonts w:ascii="Cambria" w:hAnsi="Cambria"/>
        </w:rPr>
      </w:pPr>
    </w:p>
    <w:p w14:paraId="4D69D5C5" w14:textId="77777777" w:rsidR="00061992" w:rsidRPr="009A0DA6" w:rsidRDefault="00061992" w:rsidP="00CC1481">
      <w:pPr>
        <w:pStyle w:val="ListParagraph"/>
        <w:numPr>
          <w:ilvl w:val="1"/>
          <w:numId w:val="1"/>
        </w:numPr>
        <w:tabs>
          <w:tab w:val="left" w:pos="1134"/>
          <w:tab w:val="left" w:pos="1701"/>
        </w:tabs>
        <w:spacing w:after="0" w:line="22" w:lineRule="atLeast"/>
        <w:ind w:left="1134" w:hanging="573"/>
        <w:rPr>
          <w:rFonts w:ascii="Cambria" w:hAnsi="Cambria"/>
        </w:rPr>
      </w:pPr>
      <w:r w:rsidRPr="009A0DA6">
        <w:rPr>
          <w:rFonts w:ascii="Cambria" w:hAnsi="Cambria"/>
          <w:b/>
          <w:sz w:val="24"/>
          <w:szCs w:val="24"/>
        </w:rPr>
        <w:t>LATE PROPOSAL</w:t>
      </w:r>
    </w:p>
    <w:p w14:paraId="703AD05D" w14:textId="77777777" w:rsidR="00061992" w:rsidRPr="009A0DA6" w:rsidRDefault="00061992" w:rsidP="00061992">
      <w:pPr>
        <w:tabs>
          <w:tab w:val="left" w:pos="567"/>
          <w:tab w:val="left" w:pos="1276"/>
          <w:tab w:val="left" w:pos="1701"/>
        </w:tabs>
        <w:spacing w:after="0" w:line="22" w:lineRule="atLeast"/>
        <w:contextualSpacing/>
        <w:rPr>
          <w:rFonts w:ascii="Cambria" w:hAnsi="Cambria"/>
        </w:rPr>
      </w:pPr>
    </w:p>
    <w:p w14:paraId="1B586BE9" w14:textId="77777777" w:rsidR="00061992" w:rsidRPr="009A0DA6" w:rsidRDefault="00061992" w:rsidP="00CC1481">
      <w:pPr>
        <w:pStyle w:val="ListParagraph"/>
        <w:numPr>
          <w:ilvl w:val="0"/>
          <w:numId w:val="1"/>
        </w:numPr>
        <w:tabs>
          <w:tab w:val="left" w:pos="567"/>
          <w:tab w:val="left" w:pos="1276"/>
          <w:tab w:val="left" w:pos="1701"/>
        </w:tabs>
        <w:spacing w:after="0" w:line="22" w:lineRule="atLeast"/>
        <w:ind w:left="567" w:hanging="567"/>
        <w:rPr>
          <w:rFonts w:ascii="Cambria" w:hAnsi="Cambria"/>
          <w:b/>
          <w:sz w:val="28"/>
          <w:szCs w:val="28"/>
        </w:rPr>
      </w:pPr>
      <w:r w:rsidRPr="009A0DA6">
        <w:rPr>
          <w:rFonts w:ascii="Cambria" w:hAnsi="Cambria"/>
          <w:b/>
          <w:sz w:val="28"/>
          <w:szCs w:val="28"/>
        </w:rPr>
        <w:lastRenderedPageBreak/>
        <w:t>CHILD, YOUTH AND FAMILY MINISTRY</w:t>
      </w:r>
    </w:p>
    <w:p w14:paraId="2A308151" w14:textId="5D06687B" w:rsidR="00061992" w:rsidRPr="009A0DA6" w:rsidRDefault="00061992" w:rsidP="00CC1481">
      <w:pPr>
        <w:pStyle w:val="ListParagraph"/>
        <w:numPr>
          <w:ilvl w:val="1"/>
          <w:numId w:val="1"/>
        </w:numPr>
        <w:tabs>
          <w:tab w:val="left" w:pos="567"/>
          <w:tab w:val="left" w:pos="1134"/>
          <w:tab w:val="left" w:pos="1418"/>
        </w:tabs>
        <w:spacing w:after="0" w:line="22" w:lineRule="atLeast"/>
        <w:ind w:left="567" w:firstLine="0"/>
        <w:rPr>
          <w:rFonts w:ascii="Cambria" w:hAnsi="Cambria"/>
        </w:rPr>
      </w:pPr>
      <w:r w:rsidRPr="009A0DA6">
        <w:rPr>
          <w:rFonts w:ascii="Cambria" w:hAnsi="Cambria"/>
        </w:rPr>
        <w:t>Report: Committee for Children, Youth and Family Ministry (</w:t>
      </w:r>
      <w:r w:rsidR="00375EAE">
        <w:rPr>
          <w:rFonts w:ascii="Cambria" w:hAnsi="Cambria"/>
        </w:rPr>
        <w:t>p2</w:t>
      </w:r>
      <w:r w:rsidR="00873979">
        <w:rPr>
          <w:rFonts w:ascii="Cambria" w:hAnsi="Cambria"/>
        </w:rPr>
        <w:t>12</w:t>
      </w:r>
      <w:r w:rsidRPr="009A0DA6">
        <w:rPr>
          <w:rFonts w:ascii="Cambria" w:hAnsi="Cambria"/>
        </w:rPr>
        <w:t>)</w:t>
      </w:r>
    </w:p>
    <w:p w14:paraId="21DDD8B2" w14:textId="5E84F2E3" w:rsidR="00061992" w:rsidRPr="009A0DA6" w:rsidRDefault="00061992" w:rsidP="00CC1481">
      <w:pPr>
        <w:pStyle w:val="ListParagraph"/>
        <w:numPr>
          <w:ilvl w:val="1"/>
          <w:numId w:val="1"/>
        </w:numPr>
        <w:tabs>
          <w:tab w:val="left" w:pos="567"/>
          <w:tab w:val="left" w:pos="1134"/>
          <w:tab w:val="left" w:pos="1418"/>
        </w:tabs>
        <w:spacing w:after="0" w:line="22" w:lineRule="atLeast"/>
        <w:ind w:left="567" w:firstLine="0"/>
        <w:rPr>
          <w:rFonts w:ascii="Cambria" w:hAnsi="Cambria"/>
        </w:rPr>
      </w:pPr>
      <w:r w:rsidRPr="009A0DA6">
        <w:rPr>
          <w:rFonts w:ascii="Cambria" w:hAnsi="Cambria"/>
        </w:rPr>
        <w:t>Financial Report: Committee for Children, Youth and Family Ministry (</w:t>
      </w:r>
      <w:r w:rsidR="00375EAE">
        <w:rPr>
          <w:rFonts w:ascii="Cambria" w:hAnsi="Cambria"/>
        </w:rPr>
        <w:t>p2</w:t>
      </w:r>
      <w:r w:rsidR="00873979">
        <w:rPr>
          <w:rFonts w:ascii="Cambria" w:hAnsi="Cambria"/>
        </w:rPr>
        <w:t>19</w:t>
      </w:r>
      <w:r w:rsidRPr="009A0DA6">
        <w:rPr>
          <w:rFonts w:ascii="Cambria" w:hAnsi="Cambria"/>
        </w:rPr>
        <w:t>)</w:t>
      </w:r>
    </w:p>
    <w:p w14:paraId="56CED717" w14:textId="77777777" w:rsidR="00061992" w:rsidRPr="009A0DA6" w:rsidRDefault="00061992" w:rsidP="00061992">
      <w:pPr>
        <w:tabs>
          <w:tab w:val="left" w:pos="567"/>
          <w:tab w:val="left" w:pos="1276"/>
          <w:tab w:val="left" w:pos="1701"/>
        </w:tabs>
        <w:spacing w:after="0" w:line="22" w:lineRule="atLeast"/>
        <w:contextualSpacing/>
        <w:rPr>
          <w:rFonts w:ascii="Cambria" w:hAnsi="Cambria"/>
          <w:b/>
          <w:sz w:val="28"/>
          <w:szCs w:val="28"/>
        </w:rPr>
      </w:pPr>
    </w:p>
    <w:p w14:paraId="581E708F" w14:textId="77777777" w:rsidR="00061992" w:rsidRPr="009A0DA6" w:rsidRDefault="00061992" w:rsidP="00CC1481">
      <w:pPr>
        <w:pStyle w:val="ListParagraph"/>
        <w:numPr>
          <w:ilvl w:val="0"/>
          <w:numId w:val="1"/>
        </w:numPr>
        <w:tabs>
          <w:tab w:val="left" w:pos="567"/>
          <w:tab w:val="left" w:pos="1276"/>
          <w:tab w:val="left" w:pos="1701"/>
        </w:tabs>
        <w:spacing w:after="0" w:line="22" w:lineRule="atLeast"/>
        <w:ind w:left="567" w:hanging="567"/>
        <w:rPr>
          <w:rFonts w:ascii="Cambria" w:hAnsi="Cambria"/>
          <w:b/>
        </w:rPr>
      </w:pPr>
      <w:r w:rsidRPr="009A0DA6">
        <w:rPr>
          <w:rFonts w:ascii="Cambria" w:hAnsi="Cambria"/>
          <w:b/>
          <w:sz w:val="28"/>
          <w:szCs w:val="28"/>
        </w:rPr>
        <w:t>INTERNATIONAL MISSION</w:t>
      </w:r>
    </w:p>
    <w:p w14:paraId="22D10AAC" w14:textId="654EFD0D" w:rsidR="00061992" w:rsidRPr="009A0DA6" w:rsidRDefault="00061992" w:rsidP="00CC1481">
      <w:pPr>
        <w:pStyle w:val="ListParagraph"/>
        <w:numPr>
          <w:ilvl w:val="1"/>
          <w:numId w:val="1"/>
        </w:numPr>
        <w:tabs>
          <w:tab w:val="left" w:pos="567"/>
          <w:tab w:val="left" w:pos="1134"/>
          <w:tab w:val="left" w:pos="1701"/>
        </w:tabs>
        <w:spacing w:after="0" w:line="22" w:lineRule="atLeast"/>
        <w:ind w:left="567" w:firstLine="0"/>
        <w:rPr>
          <w:rFonts w:ascii="Cambria" w:hAnsi="Cambria"/>
        </w:rPr>
      </w:pPr>
      <w:r w:rsidRPr="009A0DA6">
        <w:rPr>
          <w:rFonts w:ascii="Cambria" w:hAnsi="Cambria"/>
        </w:rPr>
        <w:t>Report: Board for Mission (</w:t>
      </w:r>
      <w:r w:rsidR="00375EAE">
        <w:rPr>
          <w:rFonts w:ascii="Cambria" w:hAnsi="Cambria"/>
        </w:rPr>
        <w:t>p2</w:t>
      </w:r>
      <w:r w:rsidR="00873979">
        <w:rPr>
          <w:rFonts w:ascii="Cambria" w:hAnsi="Cambria"/>
        </w:rPr>
        <w:t>20</w:t>
      </w:r>
      <w:r w:rsidRPr="009A0DA6">
        <w:rPr>
          <w:rFonts w:ascii="Cambria" w:hAnsi="Cambria"/>
        </w:rPr>
        <w:t>)</w:t>
      </w:r>
    </w:p>
    <w:p w14:paraId="48933177" w14:textId="3ECFFE99" w:rsidR="00061992" w:rsidRPr="009A0DA6" w:rsidRDefault="00061992" w:rsidP="00CC1481">
      <w:pPr>
        <w:pStyle w:val="ListParagraph"/>
        <w:numPr>
          <w:ilvl w:val="1"/>
          <w:numId w:val="1"/>
        </w:numPr>
        <w:tabs>
          <w:tab w:val="left" w:pos="567"/>
          <w:tab w:val="left" w:pos="1134"/>
          <w:tab w:val="left" w:pos="1701"/>
        </w:tabs>
        <w:spacing w:after="0" w:line="22" w:lineRule="atLeast"/>
        <w:ind w:left="567" w:firstLine="0"/>
        <w:rPr>
          <w:rFonts w:ascii="Cambria" w:hAnsi="Cambria"/>
        </w:rPr>
      </w:pPr>
      <w:r w:rsidRPr="009A0DA6">
        <w:rPr>
          <w:rFonts w:ascii="Cambria" w:hAnsi="Cambria"/>
        </w:rPr>
        <w:t>Financial Report: Board for Mission (</w:t>
      </w:r>
      <w:r w:rsidR="00375EAE">
        <w:rPr>
          <w:rFonts w:ascii="Cambria" w:hAnsi="Cambria"/>
        </w:rPr>
        <w:t>p2</w:t>
      </w:r>
      <w:r w:rsidR="00873979">
        <w:rPr>
          <w:rFonts w:ascii="Cambria" w:hAnsi="Cambria"/>
        </w:rPr>
        <w:t>29</w:t>
      </w:r>
      <w:r w:rsidRPr="009A0DA6">
        <w:rPr>
          <w:rFonts w:ascii="Cambria" w:hAnsi="Cambria"/>
        </w:rPr>
        <w:t>)</w:t>
      </w:r>
    </w:p>
    <w:p w14:paraId="3874D5A5" w14:textId="73F7AFD1" w:rsidR="00061992" w:rsidRPr="009A0DA6" w:rsidRDefault="00061992" w:rsidP="00CC1481">
      <w:pPr>
        <w:pStyle w:val="ListParagraph"/>
        <w:numPr>
          <w:ilvl w:val="1"/>
          <w:numId w:val="1"/>
        </w:numPr>
        <w:tabs>
          <w:tab w:val="left" w:pos="567"/>
          <w:tab w:val="left" w:pos="1134"/>
          <w:tab w:val="left" w:pos="1701"/>
        </w:tabs>
        <w:spacing w:after="0" w:line="22" w:lineRule="atLeast"/>
        <w:ind w:left="567" w:firstLine="0"/>
        <w:rPr>
          <w:rFonts w:ascii="Cambria" w:hAnsi="Cambria"/>
        </w:rPr>
      </w:pPr>
      <w:r w:rsidRPr="009A0DA6">
        <w:rPr>
          <w:rFonts w:ascii="Cambria" w:hAnsi="Cambria"/>
        </w:rPr>
        <w:t>Financial Report: Lutheran Bible Translators Australia (</w:t>
      </w:r>
      <w:r w:rsidR="00375EAE">
        <w:rPr>
          <w:rFonts w:ascii="Cambria" w:hAnsi="Cambria"/>
        </w:rPr>
        <w:t>p2</w:t>
      </w:r>
      <w:r w:rsidR="00873979">
        <w:rPr>
          <w:rFonts w:ascii="Cambria" w:hAnsi="Cambria"/>
        </w:rPr>
        <w:t>30</w:t>
      </w:r>
      <w:r w:rsidRPr="009A0DA6">
        <w:rPr>
          <w:rFonts w:ascii="Cambria" w:hAnsi="Cambria"/>
        </w:rPr>
        <w:t>)</w:t>
      </w:r>
    </w:p>
    <w:p w14:paraId="7534E199" w14:textId="77777777" w:rsidR="00061992" w:rsidRPr="009A0DA6" w:rsidRDefault="00061992" w:rsidP="00061992">
      <w:pPr>
        <w:tabs>
          <w:tab w:val="left" w:pos="567"/>
          <w:tab w:val="left" w:pos="1276"/>
          <w:tab w:val="left" w:pos="1701"/>
        </w:tabs>
        <w:spacing w:after="0" w:line="22" w:lineRule="atLeast"/>
        <w:rPr>
          <w:rFonts w:ascii="Cambria" w:hAnsi="Cambria"/>
        </w:rPr>
      </w:pPr>
    </w:p>
    <w:p w14:paraId="08BF8F70" w14:textId="77777777" w:rsidR="00061992" w:rsidRPr="009A0DA6" w:rsidRDefault="00061992" w:rsidP="00CC1481">
      <w:pPr>
        <w:pStyle w:val="ListParagraph"/>
        <w:numPr>
          <w:ilvl w:val="0"/>
          <w:numId w:val="1"/>
        </w:numPr>
        <w:tabs>
          <w:tab w:val="left" w:pos="567"/>
          <w:tab w:val="left" w:pos="1276"/>
          <w:tab w:val="left" w:pos="1701"/>
        </w:tabs>
        <w:spacing w:after="0" w:line="22" w:lineRule="atLeast"/>
        <w:ind w:left="567" w:hanging="567"/>
        <w:rPr>
          <w:rFonts w:ascii="Cambria" w:hAnsi="Cambria"/>
          <w:b/>
          <w:sz w:val="28"/>
          <w:szCs w:val="28"/>
        </w:rPr>
      </w:pPr>
      <w:r w:rsidRPr="009A0DA6">
        <w:rPr>
          <w:rFonts w:ascii="Cambria" w:hAnsi="Cambria"/>
          <w:b/>
          <w:sz w:val="28"/>
          <w:szCs w:val="28"/>
        </w:rPr>
        <w:t>LOCAL MISSION</w:t>
      </w:r>
    </w:p>
    <w:p w14:paraId="37EE820C" w14:textId="462C5540" w:rsidR="00061992" w:rsidRPr="009A0DA6" w:rsidRDefault="00061992" w:rsidP="00CC1481">
      <w:pPr>
        <w:pStyle w:val="ListParagraph"/>
        <w:numPr>
          <w:ilvl w:val="1"/>
          <w:numId w:val="1"/>
        </w:numPr>
        <w:tabs>
          <w:tab w:val="left" w:pos="567"/>
          <w:tab w:val="left" w:pos="1134"/>
          <w:tab w:val="left" w:pos="1276"/>
          <w:tab w:val="left" w:pos="1701"/>
        </w:tabs>
        <w:spacing w:after="0" w:line="22" w:lineRule="atLeast"/>
        <w:ind w:left="567" w:firstLine="0"/>
        <w:rPr>
          <w:rFonts w:ascii="Cambria" w:hAnsi="Cambria"/>
        </w:rPr>
      </w:pPr>
      <w:r w:rsidRPr="009A0DA6">
        <w:rPr>
          <w:rFonts w:ascii="Cambria" w:hAnsi="Cambria"/>
        </w:rPr>
        <w:t>Report: Board for Local Mission (</w:t>
      </w:r>
      <w:r w:rsidR="00375EAE">
        <w:rPr>
          <w:rFonts w:ascii="Cambria" w:hAnsi="Cambria"/>
        </w:rPr>
        <w:t>p2</w:t>
      </w:r>
      <w:r w:rsidR="00873979">
        <w:rPr>
          <w:rFonts w:ascii="Cambria" w:hAnsi="Cambria"/>
        </w:rPr>
        <w:t>31</w:t>
      </w:r>
      <w:r w:rsidRPr="009A0DA6">
        <w:rPr>
          <w:rFonts w:ascii="Cambria" w:hAnsi="Cambria"/>
        </w:rPr>
        <w:t>)</w:t>
      </w:r>
    </w:p>
    <w:p w14:paraId="53FFCF57" w14:textId="76A807AD" w:rsidR="00061992" w:rsidRPr="009A0DA6" w:rsidRDefault="00061992" w:rsidP="00CC1481">
      <w:pPr>
        <w:pStyle w:val="ListParagraph"/>
        <w:numPr>
          <w:ilvl w:val="1"/>
          <w:numId w:val="1"/>
        </w:numPr>
        <w:tabs>
          <w:tab w:val="left" w:pos="567"/>
          <w:tab w:val="left" w:pos="1134"/>
          <w:tab w:val="left" w:pos="1276"/>
          <w:tab w:val="left" w:pos="1701"/>
        </w:tabs>
        <w:spacing w:after="0" w:line="22" w:lineRule="atLeast"/>
        <w:ind w:left="567" w:firstLine="0"/>
        <w:rPr>
          <w:rFonts w:ascii="Cambria" w:hAnsi="Cambria"/>
        </w:rPr>
      </w:pPr>
      <w:r w:rsidRPr="009A0DA6">
        <w:rPr>
          <w:rFonts w:ascii="Cambria" w:hAnsi="Cambria"/>
        </w:rPr>
        <w:t>Financial Report: Board for Local Mission (</w:t>
      </w:r>
      <w:r w:rsidR="00375EAE">
        <w:rPr>
          <w:rFonts w:ascii="Cambria" w:hAnsi="Cambria"/>
        </w:rPr>
        <w:t>p2</w:t>
      </w:r>
      <w:r w:rsidR="00873979">
        <w:rPr>
          <w:rFonts w:ascii="Cambria" w:hAnsi="Cambria"/>
        </w:rPr>
        <w:t>36</w:t>
      </w:r>
      <w:r w:rsidRPr="009A0DA6">
        <w:rPr>
          <w:rFonts w:ascii="Cambria" w:hAnsi="Cambria"/>
        </w:rPr>
        <w:t>)</w:t>
      </w:r>
    </w:p>
    <w:p w14:paraId="17C2134D" w14:textId="77777777" w:rsidR="00061992" w:rsidRPr="009A0DA6" w:rsidRDefault="00061992" w:rsidP="00061992">
      <w:pPr>
        <w:tabs>
          <w:tab w:val="left" w:pos="567"/>
          <w:tab w:val="left" w:pos="1276"/>
          <w:tab w:val="left" w:pos="1701"/>
        </w:tabs>
        <w:spacing w:after="0" w:line="22" w:lineRule="atLeast"/>
        <w:contextualSpacing/>
        <w:rPr>
          <w:rFonts w:ascii="Cambria" w:hAnsi="Cambria"/>
        </w:rPr>
      </w:pPr>
    </w:p>
    <w:p w14:paraId="0B6B2A85" w14:textId="77777777" w:rsidR="00061992" w:rsidRPr="009A0DA6" w:rsidRDefault="00061992" w:rsidP="00CC1481">
      <w:pPr>
        <w:pStyle w:val="ListParagraph"/>
        <w:numPr>
          <w:ilvl w:val="0"/>
          <w:numId w:val="1"/>
        </w:numPr>
        <w:tabs>
          <w:tab w:val="left" w:pos="567"/>
          <w:tab w:val="left" w:pos="1276"/>
          <w:tab w:val="left" w:pos="1701"/>
        </w:tabs>
        <w:spacing w:after="0" w:line="22" w:lineRule="atLeast"/>
        <w:ind w:left="567" w:hanging="567"/>
        <w:rPr>
          <w:rFonts w:ascii="Cambria" w:hAnsi="Cambria"/>
          <w:b/>
          <w:sz w:val="28"/>
          <w:szCs w:val="28"/>
        </w:rPr>
      </w:pPr>
      <w:r w:rsidRPr="009A0DA6">
        <w:rPr>
          <w:rFonts w:ascii="Cambria" w:hAnsi="Cambria"/>
          <w:b/>
          <w:sz w:val="28"/>
          <w:szCs w:val="28"/>
        </w:rPr>
        <w:t>THEOLOGY</w:t>
      </w:r>
    </w:p>
    <w:p w14:paraId="294AF6FA" w14:textId="65B7126B" w:rsidR="00061992" w:rsidRPr="009A0DA6" w:rsidRDefault="00061992" w:rsidP="00CC1481">
      <w:pPr>
        <w:pStyle w:val="ListParagraph"/>
        <w:numPr>
          <w:ilvl w:val="1"/>
          <w:numId w:val="1"/>
        </w:numPr>
        <w:tabs>
          <w:tab w:val="left" w:pos="567"/>
          <w:tab w:val="left" w:pos="1134"/>
          <w:tab w:val="left" w:pos="1276"/>
          <w:tab w:val="left" w:pos="1701"/>
        </w:tabs>
        <w:spacing w:after="0" w:line="22" w:lineRule="atLeast"/>
        <w:ind w:left="567" w:firstLine="0"/>
        <w:rPr>
          <w:rFonts w:ascii="Cambria" w:hAnsi="Cambria"/>
        </w:rPr>
      </w:pPr>
      <w:r w:rsidRPr="009A0DA6">
        <w:rPr>
          <w:rFonts w:ascii="Cambria" w:hAnsi="Cambria"/>
        </w:rPr>
        <w:t>Report: Commission on Theology and Inter-Church Relations</w:t>
      </w:r>
      <w:r w:rsidR="00AD784D" w:rsidRPr="009A0DA6">
        <w:rPr>
          <w:rFonts w:ascii="Cambria" w:hAnsi="Cambria"/>
        </w:rPr>
        <w:t xml:space="preserve"> (CTICR)</w:t>
      </w:r>
      <w:r w:rsidRPr="009A0DA6">
        <w:rPr>
          <w:rFonts w:ascii="Cambria" w:hAnsi="Cambria"/>
        </w:rPr>
        <w:t xml:space="preserve"> (</w:t>
      </w:r>
      <w:r w:rsidR="00375EAE">
        <w:rPr>
          <w:rFonts w:ascii="Cambria" w:hAnsi="Cambria"/>
        </w:rPr>
        <w:t>p2</w:t>
      </w:r>
      <w:r w:rsidR="00873979">
        <w:rPr>
          <w:rFonts w:ascii="Cambria" w:hAnsi="Cambria"/>
        </w:rPr>
        <w:t>37</w:t>
      </w:r>
      <w:r w:rsidRPr="009A0DA6">
        <w:rPr>
          <w:rFonts w:ascii="Cambria" w:hAnsi="Cambria"/>
        </w:rPr>
        <w:t>)</w:t>
      </w:r>
    </w:p>
    <w:p w14:paraId="3BF19350" w14:textId="10761696" w:rsidR="00061992" w:rsidRPr="009A0DA6" w:rsidRDefault="00A22B46" w:rsidP="00CC1481">
      <w:pPr>
        <w:pStyle w:val="ListParagraph"/>
        <w:numPr>
          <w:ilvl w:val="1"/>
          <w:numId w:val="1"/>
        </w:numPr>
        <w:tabs>
          <w:tab w:val="left" w:pos="567"/>
          <w:tab w:val="left" w:pos="1134"/>
          <w:tab w:val="left" w:pos="1276"/>
          <w:tab w:val="left" w:pos="1701"/>
        </w:tabs>
        <w:spacing w:after="0" w:line="22" w:lineRule="atLeast"/>
        <w:ind w:left="1418" w:hanging="851"/>
        <w:rPr>
          <w:rFonts w:ascii="Cambria" w:hAnsi="Cambria"/>
        </w:rPr>
      </w:pPr>
      <w:r w:rsidRPr="009A0DA6">
        <w:rPr>
          <w:rFonts w:ascii="Cambria" w:hAnsi="Cambria"/>
        </w:rPr>
        <w:t xml:space="preserve">CTICR: </w:t>
      </w:r>
      <w:r w:rsidR="00EF3A21" w:rsidRPr="009A0DA6">
        <w:rPr>
          <w:rFonts w:ascii="Cambria" w:hAnsi="Cambria"/>
        </w:rPr>
        <w:t>A theological basis for the ordination of wo</w:t>
      </w:r>
      <w:r w:rsidR="00061992" w:rsidRPr="009A0DA6">
        <w:rPr>
          <w:rFonts w:ascii="Cambria" w:hAnsi="Cambria"/>
        </w:rPr>
        <w:t>men</w:t>
      </w:r>
      <w:r w:rsidR="00EF3A21" w:rsidRPr="009A0DA6">
        <w:rPr>
          <w:rFonts w:ascii="Cambria" w:hAnsi="Cambria"/>
        </w:rPr>
        <w:t xml:space="preserve"> </w:t>
      </w:r>
      <w:r w:rsidRPr="009A0DA6">
        <w:rPr>
          <w:rFonts w:ascii="Cambria" w:hAnsi="Cambria"/>
        </w:rPr>
        <w:t xml:space="preserve">and men – </w:t>
      </w:r>
      <w:r w:rsidR="00F13AC6" w:rsidRPr="009A0DA6">
        <w:rPr>
          <w:rFonts w:ascii="Cambria" w:hAnsi="Cambria"/>
        </w:rPr>
        <w:t>Draft Doctrinal Statement</w:t>
      </w:r>
      <w:r w:rsidR="00375EAE">
        <w:rPr>
          <w:rFonts w:ascii="Cambria" w:hAnsi="Cambria"/>
        </w:rPr>
        <w:t xml:space="preserve"> (p</w:t>
      </w:r>
      <w:r w:rsidR="00873979">
        <w:rPr>
          <w:rFonts w:ascii="Cambria" w:hAnsi="Cambria"/>
        </w:rPr>
        <w:t>240</w:t>
      </w:r>
      <w:r w:rsidR="00375EAE">
        <w:rPr>
          <w:rFonts w:ascii="Cambria" w:hAnsi="Cambria"/>
        </w:rPr>
        <w:t>)</w:t>
      </w:r>
    </w:p>
    <w:p w14:paraId="3DAD2A45" w14:textId="4B20BF7A" w:rsidR="00061992" w:rsidRPr="009A0DA6" w:rsidRDefault="00A22B46" w:rsidP="00CC1481">
      <w:pPr>
        <w:pStyle w:val="ListParagraph"/>
        <w:numPr>
          <w:ilvl w:val="1"/>
          <w:numId w:val="1"/>
        </w:numPr>
        <w:tabs>
          <w:tab w:val="left" w:pos="1134"/>
          <w:tab w:val="left" w:pos="1276"/>
          <w:tab w:val="left" w:pos="1701"/>
        </w:tabs>
        <w:spacing w:after="0" w:line="22" w:lineRule="atLeast"/>
        <w:ind w:left="1418" w:hanging="851"/>
        <w:rPr>
          <w:rFonts w:ascii="Cambria" w:hAnsi="Cambria"/>
        </w:rPr>
      </w:pPr>
      <w:r w:rsidRPr="009A0DA6">
        <w:rPr>
          <w:rFonts w:ascii="Cambria" w:hAnsi="Cambria"/>
        </w:rPr>
        <w:t xml:space="preserve">CTICR: </w:t>
      </w:r>
      <w:r w:rsidR="00446D14" w:rsidRPr="009A0DA6">
        <w:rPr>
          <w:rFonts w:ascii="Cambria" w:hAnsi="Cambria"/>
        </w:rPr>
        <w:t xml:space="preserve">A theological </w:t>
      </w:r>
      <w:r w:rsidR="00061992" w:rsidRPr="009A0DA6">
        <w:rPr>
          <w:rFonts w:ascii="Cambria" w:hAnsi="Cambria"/>
        </w:rPr>
        <w:t xml:space="preserve">basis </w:t>
      </w:r>
      <w:r w:rsidR="00446D14" w:rsidRPr="009A0DA6">
        <w:rPr>
          <w:rFonts w:ascii="Cambria" w:hAnsi="Cambria"/>
        </w:rPr>
        <w:t>for</w:t>
      </w:r>
      <w:r w:rsidR="00061992" w:rsidRPr="009A0DA6">
        <w:rPr>
          <w:rFonts w:ascii="Cambria" w:hAnsi="Cambria"/>
        </w:rPr>
        <w:t xml:space="preserve"> why </w:t>
      </w:r>
      <w:r w:rsidR="00446D14" w:rsidRPr="009A0DA6">
        <w:rPr>
          <w:rFonts w:ascii="Cambria" w:hAnsi="Cambria"/>
        </w:rPr>
        <w:t>the ordination of w</w:t>
      </w:r>
      <w:r w:rsidR="00061992" w:rsidRPr="009A0DA6">
        <w:rPr>
          <w:rFonts w:ascii="Cambria" w:hAnsi="Cambria"/>
        </w:rPr>
        <w:t xml:space="preserve">omen </w:t>
      </w:r>
      <w:r w:rsidR="00446D14" w:rsidRPr="009A0DA6">
        <w:rPr>
          <w:rFonts w:ascii="Cambria" w:hAnsi="Cambria"/>
        </w:rPr>
        <w:t>and men need</w:t>
      </w:r>
      <w:r w:rsidR="00061992" w:rsidRPr="009A0DA6">
        <w:rPr>
          <w:rFonts w:ascii="Cambria" w:hAnsi="Cambria"/>
        </w:rPr>
        <w:t xml:space="preserve"> not be church divisive</w:t>
      </w:r>
      <w:r w:rsidR="00375EAE">
        <w:rPr>
          <w:rFonts w:ascii="Cambria" w:hAnsi="Cambria"/>
        </w:rPr>
        <w:t xml:space="preserve"> (p2</w:t>
      </w:r>
      <w:r w:rsidR="00873979">
        <w:rPr>
          <w:rFonts w:ascii="Cambria" w:hAnsi="Cambria"/>
        </w:rPr>
        <w:t>53</w:t>
      </w:r>
      <w:r w:rsidR="00375EAE">
        <w:rPr>
          <w:rFonts w:ascii="Cambria" w:hAnsi="Cambria"/>
        </w:rPr>
        <w:t>)</w:t>
      </w:r>
    </w:p>
    <w:p w14:paraId="4405503B" w14:textId="27B89A66" w:rsidR="00027F19" w:rsidRPr="009A0DA6" w:rsidRDefault="00A22B46" w:rsidP="00CC1481">
      <w:pPr>
        <w:pStyle w:val="ListParagraph"/>
        <w:numPr>
          <w:ilvl w:val="1"/>
          <w:numId w:val="1"/>
        </w:numPr>
        <w:tabs>
          <w:tab w:val="left" w:pos="1134"/>
          <w:tab w:val="left" w:pos="1276"/>
          <w:tab w:val="left" w:pos="1701"/>
        </w:tabs>
        <w:spacing w:after="0" w:line="22" w:lineRule="atLeast"/>
        <w:ind w:left="1418" w:hanging="851"/>
        <w:rPr>
          <w:rFonts w:ascii="Cambria" w:hAnsi="Cambria"/>
        </w:rPr>
      </w:pPr>
      <w:r w:rsidRPr="009A0DA6">
        <w:rPr>
          <w:rFonts w:ascii="Cambria" w:hAnsi="Cambria"/>
        </w:rPr>
        <w:t xml:space="preserve">CTICR: </w:t>
      </w:r>
      <w:r w:rsidR="00027F19" w:rsidRPr="009A0DA6">
        <w:rPr>
          <w:rFonts w:ascii="Cambria" w:hAnsi="Cambria"/>
        </w:rPr>
        <w:t xml:space="preserve">Domestic Violence </w:t>
      </w:r>
      <w:r w:rsidRPr="009A0DA6">
        <w:rPr>
          <w:rFonts w:ascii="Cambria" w:hAnsi="Cambria"/>
        </w:rPr>
        <w:t xml:space="preserve">Taskforce </w:t>
      </w:r>
      <w:r w:rsidR="00027F19" w:rsidRPr="009A0DA6">
        <w:rPr>
          <w:rFonts w:ascii="Cambria" w:hAnsi="Cambria"/>
        </w:rPr>
        <w:t>report</w:t>
      </w:r>
      <w:r w:rsidR="00375EAE">
        <w:rPr>
          <w:rFonts w:ascii="Cambria" w:hAnsi="Cambria"/>
        </w:rPr>
        <w:t xml:space="preserve"> (p2</w:t>
      </w:r>
      <w:r w:rsidR="00873979">
        <w:rPr>
          <w:rFonts w:ascii="Cambria" w:hAnsi="Cambria"/>
        </w:rPr>
        <w:t>55</w:t>
      </w:r>
      <w:r w:rsidR="00375EAE">
        <w:rPr>
          <w:rFonts w:ascii="Cambria" w:hAnsi="Cambria"/>
        </w:rPr>
        <w:t>)</w:t>
      </w:r>
    </w:p>
    <w:p w14:paraId="373B7A79" w14:textId="77777777" w:rsidR="00061992" w:rsidRPr="009A0DA6" w:rsidRDefault="00061992" w:rsidP="00061992">
      <w:pPr>
        <w:tabs>
          <w:tab w:val="left" w:pos="567"/>
          <w:tab w:val="left" w:pos="1276"/>
          <w:tab w:val="left" w:pos="1701"/>
        </w:tabs>
        <w:spacing w:after="0" w:line="22" w:lineRule="atLeast"/>
        <w:contextualSpacing/>
        <w:rPr>
          <w:rFonts w:ascii="Cambria" w:hAnsi="Cambria"/>
        </w:rPr>
      </w:pPr>
    </w:p>
    <w:p w14:paraId="7FD652E3" w14:textId="77777777" w:rsidR="00061992" w:rsidRPr="009A0DA6" w:rsidRDefault="00061992" w:rsidP="00CC1481">
      <w:pPr>
        <w:pStyle w:val="ListParagraph"/>
        <w:numPr>
          <w:ilvl w:val="0"/>
          <w:numId w:val="1"/>
        </w:numPr>
        <w:tabs>
          <w:tab w:val="left" w:pos="567"/>
          <w:tab w:val="left" w:pos="1276"/>
          <w:tab w:val="left" w:pos="1701"/>
        </w:tabs>
        <w:spacing w:after="0" w:line="22" w:lineRule="atLeast"/>
        <w:ind w:left="567" w:hanging="567"/>
        <w:rPr>
          <w:rFonts w:ascii="Cambria" w:hAnsi="Cambria"/>
          <w:b/>
          <w:sz w:val="28"/>
          <w:szCs w:val="28"/>
        </w:rPr>
      </w:pPr>
      <w:r w:rsidRPr="009A0DA6">
        <w:rPr>
          <w:rFonts w:ascii="Cambria" w:hAnsi="Cambria"/>
          <w:b/>
          <w:sz w:val="28"/>
          <w:szCs w:val="28"/>
        </w:rPr>
        <w:t>SOCIAL QUESTIONS</w:t>
      </w:r>
    </w:p>
    <w:p w14:paraId="5C36D3FC" w14:textId="63E34941" w:rsidR="00061992" w:rsidRPr="009A0DA6" w:rsidRDefault="00061992" w:rsidP="00CC1481">
      <w:pPr>
        <w:pStyle w:val="ListParagraph"/>
        <w:numPr>
          <w:ilvl w:val="1"/>
          <w:numId w:val="1"/>
        </w:numPr>
        <w:tabs>
          <w:tab w:val="left" w:pos="567"/>
          <w:tab w:val="left" w:pos="1134"/>
          <w:tab w:val="left" w:pos="1276"/>
          <w:tab w:val="left" w:pos="1701"/>
        </w:tabs>
        <w:spacing w:after="0" w:line="22" w:lineRule="atLeast"/>
        <w:ind w:left="567" w:firstLine="0"/>
        <w:rPr>
          <w:rFonts w:ascii="Cambria" w:hAnsi="Cambria"/>
        </w:rPr>
      </w:pPr>
      <w:r w:rsidRPr="009A0DA6">
        <w:rPr>
          <w:rFonts w:ascii="Cambria" w:hAnsi="Cambria"/>
        </w:rPr>
        <w:t>Report: Commission on Social and Bioethical Questions (</w:t>
      </w:r>
      <w:r w:rsidR="00375EAE">
        <w:rPr>
          <w:rFonts w:ascii="Cambria" w:hAnsi="Cambria"/>
        </w:rPr>
        <w:t>p2</w:t>
      </w:r>
      <w:r w:rsidR="00873979">
        <w:rPr>
          <w:rFonts w:ascii="Cambria" w:hAnsi="Cambria"/>
        </w:rPr>
        <w:t>59</w:t>
      </w:r>
      <w:r w:rsidRPr="009A0DA6">
        <w:rPr>
          <w:rFonts w:ascii="Cambria" w:hAnsi="Cambria"/>
        </w:rPr>
        <w:t>)</w:t>
      </w:r>
    </w:p>
    <w:p w14:paraId="3E6F5EC3" w14:textId="6A8146C4" w:rsidR="00061992" w:rsidRPr="009A0DA6" w:rsidRDefault="00061992" w:rsidP="00CC1481">
      <w:pPr>
        <w:pStyle w:val="ListParagraph"/>
        <w:numPr>
          <w:ilvl w:val="1"/>
          <w:numId w:val="1"/>
        </w:numPr>
        <w:tabs>
          <w:tab w:val="left" w:pos="567"/>
          <w:tab w:val="left" w:pos="1134"/>
          <w:tab w:val="left" w:pos="1276"/>
          <w:tab w:val="left" w:pos="1701"/>
        </w:tabs>
        <w:spacing w:after="0" w:line="22" w:lineRule="atLeast"/>
        <w:ind w:left="567" w:firstLine="0"/>
        <w:rPr>
          <w:rFonts w:ascii="Cambria" w:hAnsi="Cambria"/>
        </w:rPr>
      </w:pPr>
      <w:r w:rsidRPr="009A0DA6">
        <w:rPr>
          <w:rFonts w:ascii="Cambria" w:hAnsi="Cambria"/>
        </w:rPr>
        <w:t>Report: Lutherans for Life (</w:t>
      </w:r>
      <w:r w:rsidR="00375EAE">
        <w:rPr>
          <w:rFonts w:ascii="Cambria" w:hAnsi="Cambria"/>
        </w:rPr>
        <w:t>p2</w:t>
      </w:r>
      <w:r w:rsidR="00873979">
        <w:rPr>
          <w:rFonts w:ascii="Cambria" w:hAnsi="Cambria"/>
        </w:rPr>
        <w:t>61</w:t>
      </w:r>
      <w:r w:rsidRPr="009A0DA6">
        <w:rPr>
          <w:rFonts w:ascii="Cambria" w:hAnsi="Cambria"/>
        </w:rPr>
        <w:t>)</w:t>
      </w:r>
    </w:p>
    <w:p w14:paraId="51932E1D" w14:textId="77777777" w:rsidR="00061992" w:rsidRPr="009A0DA6" w:rsidRDefault="00061992" w:rsidP="00061992">
      <w:pPr>
        <w:tabs>
          <w:tab w:val="left" w:pos="567"/>
          <w:tab w:val="left" w:pos="1276"/>
          <w:tab w:val="left" w:pos="1701"/>
        </w:tabs>
        <w:spacing w:after="0" w:line="22" w:lineRule="atLeast"/>
        <w:contextualSpacing/>
        <w:rPr>
          <w:rFonts w:ascii="Cambria" w:hAnsi="Cambria"/>
        </w:rPr>
      </w:pPr>
    </w:p>
    <w:p w14:paraId="165CEF1F" w14:textId="77777777" w:rsidR="00061992" w:rsidRPr="009A0DA6" w:rsidRDefault="00061992" w:rsidP="00CC1481">
      <w:pPr>
        <w:pStyle w:val="ListParagraph"/>
        <w:numPr>
          <w:ilvl w:val="0"/>
          <w:numId w:val="1"/>
        </w:numPr>
        <w:tabs>
          <w:tab w:val="left" w:pos="567"/>
          <w:tab w:val="left" w:pos="1276"/>
          <w:tab w:val="left" w:pos="1701"/>
        </w:tabs>
        <w:spacing w:after="0" w:line="22" w:lineRule="atLeast"/>
        <w:ind w:left="567" w:hanging="567"/>
        <w:rPr>
          <w:rFonts w:ascii="Cambria" w:hAnsi="Cambria"/>
          <w:b/>
          <w:sz w:val="28"/>
          <w:szCs w:val="28"/>
        </w:rPr>
      </w:pPr>
      <w:r w:rsidRPr="009A0DA6">
        <w:rPr>
          <w:rFonts w:ascii="Cambria" w:hAnsi="Cambria"/>
          <w:b/>
          <w:sz w:val="28"/>
          <w:szCs w:val="28"/>
        </w:rPr>
        <w:t>WORSHIP</w:t>
      </w:r>
    </w:p>
    <w:p w14:paraId="064E30E9" w14:textId="76ADDA6D" w:rsidR="00061992" w:rsidRPr="009A0DA6" w:rsidRDefault="00061992" w:rsidP="00CC1481">
      <w:pPr>
        <w:pStyle w:val="ListParagraph"/>
        <w:numPr>
          <w:ilvl w:val="1"/>
          <w:numId w:val="1"/>
        </w:numPr>
        <w:tabs>
          <w:tab w:val="left" w:pos="567"/>
          <w:tab w:val="left" w:pos="1134"/>
          <w:tab w:val="left" w:pos="1276"/>
          <w:tab w:val="left" w:pos="1701"/>
        </w:tabs>
        <w:spacing w:after="0" w:line="22" w:lineRule="atLeast"/>
        <w:ind w:left="567" w:firstLine="0"/>
        <w:rPr>
          <w:rFonts w:ascii="Cambria" w:hAnsi="Cambria"/>
        </w:rPr>
      </w:pPr>
      <w:r w:rsidRPr="009A0DA6">
        <w:rPr>
          <w:rFonts w:ascii="Cambria" w:hAnsi="Cambria"/>
        </w:rPr>
        <w:t>Report: Commission on Worship (</w:t>
      </w:r>
      <w:r w:rsidR="00375EAE">
        <w:rPr>
          <w:rFonts w:ascii="Cambria" w:hAnsi="Cambria"/>
        </w:rPr>
        <w:t>p2</w:t>
      </w:r>
      <w:r w:rsidR="00873979">
        <w:rPr>
          <w:rFonts w:ascii="Cambria" w:hAnsi="Cambria"/>
        </w:rPr>
        <w:t>63</w:t>
      </w:r>
      <w:r w:rsidRPr="009A0DA6">
        <w:rPr>
          <w:rFonts w:ascii="Cambria" w:hAnsi="Cambria"/>
        </w:rPr>
        <w:t>)</w:t>
      </w:r>
    </w:p>
    <w:p w14:paraId="00B71A6A" w14:textId="77777777" w:rsidR="00061992" w:rsidRPr="009A0DA6" w:rsidRDefault="00061992" w:rsidP="00061992">
      <w:pPr>
        <w:tabs>
          <w:tab w:val="left" w:pos="567"/>
          <w:tab w:val="left" w:pos="1276"/>
          <w:tab w:val="left" w:pos="1701"/>
        </w:tabs>
        <w:spacing w:after="0" w:line="22" w:lineRule="atLeast"/>
        <w:contextualSpacing/>
        <w:rPr>
          <w:rFonts w:ascii="Cambria" w:hAnsi="Cambria"/>
          <w:b/>
          <w:sz w:val="28"/>
          <w:szCs w:val="28"/>
        </w:rPr>
      </w:pPr>
    </w:p>
    <w:p w14:paraId="0B7CF7BA" w14:textId="77777777" w:rsidR="00061992" w:rsidRPr="009A0DA6" w:rsidRDefault="00061992" w:rsidP="00CC1481">
      <w:pPr>
        <w:pStyle w:val="ListParagraph"/>
        <w:numPr>
          <w:ilvl w:val="0"/>
          <w:numId w:val="1"/>
        </w:numPr>
        <w:tabs>
          <w:tab w:val="left" w:pos="567"/>
          <w:tab w:val="left" w:pos="1276"/>
          <w:tab w:val="left" w:pos="1701"/>
        </w:tabs>
        <w:spacing w:after="0" w:line="22" w:lineRule="atLeast"/>
        <w:ind w:left="567" w:hanging="567"/>
        <w:rPr>
          <w:rFonts w:ascii="Cambria" w:hAnsi="Cambria"/>
          <w:b/>
          <w:sz w:val="28"/>
          <w:szCs w:val="28"/>
        </w:rPr>
      </w:pPr>
      <w:r w:rsidRPr="009A0DA6">
        <w:rPr>
          <w:rFonts w:ascii="Cambria" w:hAnsi="Cambria"/>
          <w:b/>
          <w:sz w:val="28"/>
          <w:szCs w:val="28"/>
        </w:rPr>
        <w:t>MEDIA MINISTRY</w:t>
      </w:r>
    </w:p>
    <w:p w14:paraId="54385C48" w14:textId="1D97F30C" w:rsidR="00061992" w:rsidRPr="009A0DA6" w:rsidRDefault="00061992" w:rsidP="00CC1481">
      <w:pPr>
        <w:pStyle w:val="ListParagraph"/>
        <w:numPr>
          <w:ilvl w:val="1"/>
          <w:numId w:val="1"/>
        </w:numPr>
        <w:tabs>
          <w:tab w:val="left" w:pos="567"/>
          <w:tab w:val="left" w:pos="1134"/>
          <w:tab w:val="left" w:pos="1276"/>
          <w:tab w:val="left" w:pos="1701"/>
        </w:tabs>
        <w:spacing w:after="0" w:line="22" w:lineRule="atLeast"/>
        <w:ind w:left="567" w:firstLine="0"/>
        <w:rPr>
          <w:rFonts w:ascii="Cambria" w:hAnsi="Cambria"/>
        </w:rPr>
      </w:pPr>
      <w:r w:rsidRPr="009A0DA6">
        <w:rPr>
          <w:rFonts w:ascii="Cambria" w:hAnsi="Cambria"/>
        </w:rPr>
        <w:t>Report: Board for Media Ministry (</w:t>
      </w:r>
      <w:r w:rsidR="00375EAE">
        <w:rPr>
          <w:rFonts w:ascii="Cambria" w:hAnsi="Cambria"/>
        </w:rPr>
        <w:t>p2</w:t>
      </w:r>
      <w:r w:rsidR="00873979">
        <w:rPr>
          <w:rFonts w:ascii="Cambria" w:hAnsi="Cambria"/>
        </w:rPr>
        <w:t>66</w:t>
      </w:r>
      <w:r w:rsidRPr="009A0DA6">
        <w:rPr>
          <w:rFonts w:ascii="Cambria" w:hAnsi="Cambria"/>
        </w:rPr>
        <w:t>)</w:t>
      </w:r>
    </w:p>
    <w:p w14:paraId="113926F7" w14:textId="4C916315" w:rsidR="00061992" w:rsidRPr="009A0DA6" w:rsidRDefault="00061992" w:rsidP="00CC1481">
      <w:pPr>
        <w:pStyle w:val="ListParagraph"/>
        <w:numPr>
          <w:ilvl w:val="1"/>
          <w:numId w:val="1"/>
        </w:numPr>
        <w:tabs>
          <w:tab w:val="left" w:pos="567"/>
          <w:tab w:val="left" w:pos="1134"/>
          <w:tab w:val="left" w:pos="1276"/>
          <w:tab w:val="left" w:pos="1701"/>
        </w:tabs>
        <w:spacing w:after="0" w:line="22" w:lineRule="atLeast"/>
        <w:ind w:left="567" w:firstLine="0"/>
        <w:rPr>
          <w:rFonts w:ascii="Cambria" w:hAnsi="Cambria"/>
        </w:rPr>
      </w:pPr>
      <w:r w:rsidRPr="009A0DA6">
        <w:rPr>
          <w:rFonts w:ascii="Cambria" w:hAnsi="Cambria"/>
        </w:rPr>
        <w:t>Financial Report: Board for Media Ministry (</w:t>
      </w:r>
      <w:r w:rsidR="00375EAE">
        <w:rPr>
          <w:rFonts w:ascii="Cambria" w:hAnsi="Cambria"/>
        </w:rPr>
        <w:t>p2</w:t>
      </w:r>
      <w:r w:rsidR="00873979">
        <w:rPr>
          <w:rFonts w:ascii="Cambria" w:hAnsi="Cambria"/>
        </w:rPr>
        <w:t>72</w:t>
      </w:r>
      <w:r w:rsidRPr="009A0DA6">
        <w:rPr>
          <w:rFonts w:ascii="Cambria" w:hAnsi="Cambria"/>
        </w:rPr>
        <w:t>)</w:t>
      </w:r>
    </w:p>
    <w:p w14:paraId="589883A2" w14:textId="77777777" w:rsidR="00061992" w:rsidRPr="009A0DA6" w:rsidRDefault="00061992" w:rsidP="00061992">
      <w:pPr>
        <w:tabs>
          <w:tab w:val="left" w:pos="567"/>
          <w:tab w:val="left" w:pos="1276"/>
          <w:tab w:val="left" w:pos="1701"/>
        </w:tabs>
        <w:spacing w:after="0" w:line="22" w:lineRule="atLeast"/>
        <w:contextualSpacing/>
        <w:rPr>
          <w:rFonts w:ascii="Cambria" w:hAnsi="Cambria"/>
        </w:rPr>
      </w:pPr>
    </w:p>
    <w:p w14:paraId="6DFEB6A4" w14:textId="77777777" w:rsidR="00061992" w:rsidRPr="009A0DA6" w:rsidRDefault="00061992" w:rsidP="00CC1481">
      <w:pPr>
        <w:pStyle w:val="ListParagraph"/>
        <w:numPr>
          <w:ilvl w:val="0"/>
          <w:numId w:val="1"/>
        </w:numPr>
        <w:tabs>
          <w:tab w:val="left" w:pos="567"/>
          <w:tab w:val="left" w:pos="1276"/>
          <w:tab w:val="left" w:pos="1701"/>
        </w:tabs>
        <w:spacing w:after="0" w:line="22" w:lineRule="atLeast"/>
        <w:ind w:left="567" w:hanging="567"/>
        <w:rPr>
          <w:rFonts w:ascii="Cambria" w:hAnsi="Cambria"/>
          <w:b/>
          <w:sz w:val="28"/>
          <w:szCs w:val="28"/>
        </w:rPr>
      </w:pPr>
      <w:r w:rsidRPr="009A0DA6">
        <w:rPr>
          <w:rFonts w:ascii="Cambria" w:hAnsi="Cambria"/>
          <w:b/>
          <w:sz w:val="28"/>
          <w:szCs w:val="28"/>
        </w:rPr>
        <w:t>AUSTRALIAN LUTHERAN COLLEGE</w:t>
      </w:r>
    </w:p>
    <w:p w14:paraId="5FB194C8" w14:textId="3966F6FF" w:rsidR="00061992" w:rsidRPr="009A0DA6" w:rsidRDefault="00061992" w:rsidP="00CC1481">
      <w:pPr>
        <w:pStyle w:val="ListParagraph"/>
        <w:numPr>
          <w:ilvl w:val="1"/>
          <w:numId w:val="1"/>
        </w:numPr>
        <w:tabs>
          <w:tab w:val="left" w:pos="567"/>
          <w:tab w:val="left" w:pos="1134"/>
          <w:tab w:val="left" w:pos="1276"/>
          <w:tab w:val="left" w:pos="1701"/>
        </w:tabs>
        <w:spacing w:after="0" w:line="22" w:lineRule="atLeast"/>
        <w:ind w:left="567" w:firstLine="0"/>
        <w:rPr>
          <w:rFonts w:ascii="Cambria" w:hAnsi="Cambria"/>
        </w:rPr>
      </w:pPr>
      <w:r w:rsidRPr="009A0DA6">
        <w:rPr>
          <w:rFonts w:ascii="Cambria" w:hAnsi="Cambria"/>
        </w:rPr>
        <w:t>Report: Board of Australian Lutheran College (</w:t>
      </w:r>
      <w:r w:rsidR="00375EAE">
        <w:rPr>
          <w:rFonts w:ascii="Cambria" w:hAnsi="Cambria"/>
        </w:rPr>
        <w:t>p2</w:t>
      </w:r>
      <w:r w:rsidR="00873979">
        <w:rPr>
          <w:rFonts w:ascii="Cambria" w:hAnsi="Cambria"/>
        </w:rPr>
        <w:t>73</w:t>
      </w:r>
      <w:r w:rsidRPr="009A0DA6">
        <w:rPr>
          <w:rFonts w:ascii="Cambria" w:hAnsi="Cambria"/>
        </w:rPr>
        <w:t>)</w:t>
      </w:r>
    </w:p>
    <w:p w14:paraId="3AA5A961" w14:textId="5000CDBB" w:rsidR="00061992" w:rsidRPr="009A0DA6" w:rsidRDefault="00061992" w:rsidP="00CC1481">
      <w:pPr>
        <w:pStyle w:val="ListParagraph"/>
        <w:numPr>
          <w:ilvl w:val="1"/>
          <w:numId w:val="1"/>
        </w:numPr>
        <w:tabs>
          <w:tab w:val="left" w:pos="567"/>
          <w:tab w:val="left" w:pos="1134"/>
          <w:tab w:val="left" w:pos="1276"/>
          <w:tab w:val="left" w:pos="1701"/>
        </w:tabs>
        <w:spacing w:after="0" w:line="22" w:lineRule="atLeast"/>
        <w:ind w:left="567" w:firstLine="0"/>
        <w:rPr>
          <w:rFonts w:ascii="Cambria" w:hAnsi="Cambria"/>
        </w:rPr>
      </w:pPr>
      <w:r w:rsidRPr="009A0DA6">
        <w:rPr>
          <w:rFonts w:ascii="Cambria" w:hAnsi="Cambria"/>
        </w:rPr>
        <w:t>Financial Report: Australian Lutheran College Ltd (</w:t>
      </w:r>
      <w:r w:rsidR="00375EAE">
        <w:rPr>
          <w:rFonts w:ascii="Cambria" w:hAnsi="Cambria"/>
        </w:rPr>
        <w:t>p</w:t>
      </w:r>
      <w:r w:rsidR="00873979">
        <w:rPr>
          <w:rFonts w:ascii="Cambria" w:hAnsi="Cambria"/>
        </w:rPr>
        <w:t>281</w:t>
      </w:r>
      <w:r w:rsidRPr="009A0DA6">
        <w:rPr>
          <w:rFonts w:ascii="Cambria" w:hAnsi="Cambria"/>
        </w:rPr>
        <w:t>)</w:t>
      </w:r>
    </w:p>
    <w:p w14:paraId="005FB739" w14:textId="121B3469" w:rsidR="00061992" w:rsidRPr="009A0DA6" w:rsidRDefault="00061992" w:rsidP="00CC1481">
      <w:pPr>
        <w:pStyle w:val="ListParagraph"/>
        <w:numPr>
          <w:ilvl w:val="1"/>
          <w:numId w:val="1"/>
        </w:numPr>
        <w:tabs>
          <w:tab w:val="left" w:pos="567"/>
          <w:tab w:val="left" w:pos="1134"/>
          <w:tab w:val="left" w:pos="1276"/>
          <w:tab w:val="left" w:pos="1701"/>
        </w:tabs>
        <w:spacing w:after="0" w:line="22" w:lineRule="atLeast"/>
        <w:ind w:left="567" w:firstLine="0"/>
        <w:rPr>
          <w:rFonts w:ascii="Cambria" w:hAnsi="Cambria"/>
        </w:rPr>
      </w:pPr>
      <w:r w:rsidRPr="009A0DA6">
        <w:rPr>
          <w:rFonts w:ascii="Cambria" w:hAnsi="Cambria"/>
        </w:rPr>
        <w:t>Financial Report: LCA Student Assistance Fund (</w:t>
      </w:r>
      <w:r w:rsidR="00375EAE">
        <w:rPr>
          <w:rFonts w:ascii="Cambria" w:hAnsi="Cambria"/>
        </w:rPr>
        <w:t>p</w:t>
      </w:r>
      <w:r w:rsidR="00873979">
        <w:rPr>
          <w:rFonts w:ascii="Cambria" w:hAnsi="Cambria"/>
        </w:rPr>
        <w:t>282</w:t>
      </w:r>
      <w:r w:rsidRPr="009A0DA6">
        <w:rPr>
          <w:rFonts w:ascii="Cambria" w:hAnsi="Cambria"/>
        </w:rPr>
        <w:t>)</w:t>
      </w:r>
    </w:p>
    <w:p w14:paraId="7304B608" w14:textId="77777777" w:rsidR="00061992" w:rsidRPr="009A0DA6" w:rsidRDefault="00061992" w:rsidP="00061992">
      <w:pPr>
        <w:tabs>
          <w:tab w:val="left" w:pos="567"/>
          <w:tab w:val="left" w:pos="1276"/>
          <w:tab w:val="left" w:pos="1701"/>
        </w:tabs>
        <w:spacing w:after="0" w:line="22" w:lineRule="atLeast"/>
        <w:contextualSpacing/>
        <w:rPr>
          <w:rFonts w:ascii="Cambria" w:hAnsi="Cambria"/>
        </w:rPr>
      </w:pPr>
    </w:p>
    <w:p w14:paraId="16C8572F" w14:textId="77777777" w:rsidR="00061992" w:rsidRPr="009A0DA6" w:rsidRDefault="00061992" w:rsidP="00CC1481">
      <w:pPr>
        <w:pStyle w:val="ListParagraph"/>
        <w:numPr>
          <w:ilvl w:val="0"/>
          <w:numId w:val="1"/>
        </w:numPr>
        <w:tabs>
          <w:tab w:val="left" w:pos="567"/>
          <w:tab w:val="left" w:pos="1276"/>
          <w:tab w:val="left" w:pos="1701"/>
        </w:tabs>
        <w:spacing w:after="0" w:line="22" w:lineRule="atLeast"/>
        <w:ind w:left="567" w:hanging="567"/>
        <w:rPr>
          <w:rFonts w:ascii="Cambria" w:hAnsi="Cambria"/>
          <w:b/>
          <w:sz w:val="28"/>
          <w:szCs w:val="28"/>
        </w:rPr>
      </w:pPr>
      <w:r w:rsidRPr="009A0DA6">
        <w:rPr>
          <w:rFonts w:ascii="Cambria" w:hAnsi="Cambria"/>
          <w:b/>
          <w:sz w:val="28"/>
          <w:szCs w:val="28"/>
        </w:rPr>
        <w:t>LUTHERAN EDUCATION</w:t>
      </w:r>
    </w:p>
    <w:p w14:paraId="6DB722A4" w14:textId="7D1010DF" w:rsidR="00CB6550" w:rsidRPr="00375EAE" w:rsidRDefault="00061992" w:rsidP="00CC1481">
      <w:pPr>
        <w:pStyle w:val="ListParagraph"/>
        <w:numPr>
          <w:ilvl w:val="1"/>
          <w:numId w:val="1"/>
        </w:numPr>
        <w:tabs>
          <w:tab w:val="left" w:pos="567"/>
          <w:tab w:val="left" w:pos="1134"/>
          <w:tab w:val="left" w:pos="1276"/>
          <w:tab w:val="left" w:pos="1701"/>
        </w:tabs>
        <w:spacing w:after="0" w:line="22" w:lineRule="atLeast"/>
        <w:ind w:left="567" w:firstLine="0"/>
        <w:rPr>
          <w:rFonts w:ascii="Cambria" w:hAnsi="Cambria"/>
        </w:rPr>
      </w:pPr>
      <w:r w:rsidRPr="00375EAE">
        <w:rPr>
          <w:rFonts w:ascii="Cambria" w:hAnsi="Cambria"/>
        </w:rPr>
        <w:t xml:space="preserve">Report: Lutheran Education Australia </w:t>
      </w:r>
      <w:r w:rsidR="009717C9">
        <w:rPr>
          <w:rFonts w:ascii="Cambria" w:hAnsi="Cambria"/>
        </w:rPr>
        <w:t xml:space="preserve">Ltd </w:t>
      </w:r>
      <w:r w:rsidRPr="00375EAE">
        <w:rPr>
          <w:rFonts w:ascii="Cambria" w:hAnsi="Cambria"/>
        </w:rPr>
        <w:t>(</w:t>
      </w:r>
      <w:r w:rsidR="009717C9">
        <w:rPr>
          <w:rFonts w:ascii="Cambria" w:hAnsi="Cambria"/>
        </w:rPr>
        <w:t>p</w:t>
      </w:r>
      <w:r w:rsidR="00873979">
        <w:rPr>
          <w:rFonts w:ascii="Cambria" w:hAnsi="Cambria"/>
        </w:rPr>
        <w:t>283</w:t>
      </w:r>
      <w:r w:rsidRPr="00375EAE">
        <w:rPr>
          <w:rFonts w:ascii="Cambria" w:hAnsi="Cambria"/>
        </w:rPr>
        <w:t>)</w:t>
      </w:r>
    </w:p>
    <w:p w14:paraId="0E799CAF" w14:textId="43B0E7E8" w:rsidR="00CB6550" w:rsidRPr="00375EAE" w:rsidRDefault="00CB6550" w:rsidP="00CC1481">
      <w:pPr>
        <w:pStyle w:val="ListParagraph"/>
        <w:numPr>
          <w:ilvl w:val="1"/>
          <w:numId w:val="1"/>
        </w:numPr>
        <w:tabs>
          <w:tab w:val="left" w:pos="567"/>
          <w:tab w:val="left" w:pos="1134"/>
          <w:tab w:val="left" w:pos="1276"/>
          <w:tab w:val="left" w:pos="1701"/>
        </w:tabs>
        <w:spacing w:after="0" w:line="22" w:lineRule="atLeast"/>
        <w:ind w:left="567" w:firstLine="0"/>
        <w:rPr>
          <w:rFonts w:ascii="Cambria" w:hAnsi="Cambria"/>
        </w:rPr>
      </w:pPr>
      <w:r w:rsidRPr="00375EAE">
        <w:rPr>
          <w:rFonts w:ascii="Cambria" w:hAnsi="Cambria"/>
        </w:rPr>
        <w:t xml:space="preserve">Lutheran Education Australia: Key </w:t>
      </w:r>
      <w:r w:rsidR="009717C9">
        <w:rPr>
          <w:rFonts w:ascii="Cambria" w:hAnsi="Cambria"/>
        </w:rPr>
        <w:t>d</w:t>
      </w:r>
      <w:r w:rsidRPr="00375EAE">
        <w:rPr>
          <w:rFonts w:ascii="Cambria" w:hAnsi="Cambria"/>
        </w:rPr>
        <w:t xml:space="preserve">ata and </w:t>
      </w:r>
      <w:r w:rsidR="009717C9">
        <w:rPr>
          <w:rFonts w:ascii="Cambria" w:hAnsi="Cambria"/>
        </w:rPr>
        <w:t>s</w:t>
      </w:r>
      <w:r w:rsidRPr="00375EAE">
        <w:rPr>
          <w:rFonts w:ascii="Cambria" w:hAnsi="Cambria"/>
        </w:rPr>
        <w:t>tatistics</w:t>
      </w:r>
      <w:r w:rsidR="009717C9">
        <w:rPr>
          <w:rFonts w:ascii="Cambria" w:hAnsi="Cambria"/>
        </w:rPr>
        <w:t xml:space="preserve"> (p</w:t>
      </w:r>
      <w:r w:rsidR="00873979">
        <w:rPr>
          <w:rFonts w:ascii="Cambria" w:hAnsi="Cambria"/>
        </w:rPr>
        <w:t>289</w:t>
      </w:r>
      <w:r w:rsidR="009717C9">
        <w:rPr>
          <w:rFonts w:ascii="Cambria" w:hAnsi="Cambria"/>
        </w:rPr>
        <w:t>)</w:t>
      </w:r>
    </w:p>
    <w:p w14:paraId="160C3D06" w14:textId="0BCFE27B" w:rsidR="00F81620" w:rsidRDefault="00061992" w:rsidP="00F81620">
      <w:pPr>
        <w:pStyle w:val="ListParagraph"/>
        <w:numPr>
          <w:ilvl w:val="1"/>
          <w:numId w:val="1"/>
        </w:numPr>
        <w:tabs>
          <w:tab w:val="left" w:pos="567"/>
          <w:tab w:val="left" w:pos="1134"/>
          <w:tab w:val="left" w:pos="1276"/>
          <w:tab w:val="left" w:pos="1701"/>
        </w:tabs>
        <w:spacing w:after="0" w:line="22" w:lineRule="atLeast"/>
        <w:ind w:left="567" w:firstLine="0"/>
        <w:rPr>
          <w:rFonts w:ascii="Cambria" w:hAnsi="Cambria"/>
        </w:rPr>
      </w:pPr>
      <w:r w:rsidRPr="009A0DA6">
        <w:rPr>
          <w:rFonts w:ascii="Cambria" w:hAnsi="Cambria"/>
        </w:rPr>
        <w:t>Financial Report: Lutheran Education Australia Ltd (</w:t>
      </w:r>
      <w:r w:rsidR="009717C9">
        <w:rPr>
          <w:rFonts w:ascii="Cambria" w:hAnsi="Cambria"/>
        </w:rPr>
        <w:t>p</w:t>
      </w:r>
      <w:r w:rsidR="00873979">
        <w:rPr>
          <w:rFonts w:ascii="Cambria" w:hAnsi="Cambria"/>
        </w:rPr>
        <w:t>291</w:t>
      </w:r>
      <w:r w:rsidRPr="009A0DA6">
        <w:rPr>
          <w:rFonts w:ascii="Cambria" w:hAnsi="Cambria"/>
        </w:rPr>
        <w:t xml:space="preserve">) </w:t>
      </w:r>
    </w:p>
    <w:p w14:paraId="3832EF41" w14:textId="65E0499E" w:rsidR="00F81620" w:rsidRPr="00F81620" w:rsidRDefault="00F81620" w:rsidP="00F81620">
      <w:pPr>
        <w:pStyle w:val="ListParagraph"/>
        <w:numPr>
          <w:ilvl w:val="1"/>
          <w:numId w:val="1"/>
        </w:numPr>
        <w:tabs>
          <w:tab w:val="left" w:pos="567"/>
          <w:tab w:val="left" w:pos="1134"/>
          <w:tab w:val="left" w:pos="1276"/>
          <w:tab w:val="left" w:pos="1701"/>
        </w:tabs>
        <w:spacing w:after="0" w:line="22" w:lineRule="atLeast"/>
        <w:ind w:left="567" w:firstLine="0"/>
        <w:rPr>
          <w:rFonts w:ascii="Cambria" w:hAnsi="Cambria"/>
        </w:rPr>
      </w:pPr>
      <w:r w:rsidRPr="00F81620">
        <w:rPr>
          <w:rFonts w:ascii="Cambria" w:hAnsi="Cambria"/>
        </w:rPr>
        <w:t>Review: Luthe</w:t>
      </w:r>
      <w:r>
        <w:rPr>
          <w:rFonts w:ascii="Cambria" w:hAnsi="Cambria"/>
        </w:rPr>
        <w:t>ran Education in Australia (</w:t>
      </w:r>
      <w:r w:rsidRPr="00F81620">
        <w:rPr>
          <w:rFonts w:ascii="Cambria" w:hAnsi="Cambria"/>
        </w:rPr>
        <w:t>BLEA</w:t>
      </w:r>
      <w:r>
        <w:rPr>
          <w:rFonts w:ascii="Cambria" w:hAnsi="Cambria"/>
        </w:rPr>
        <w:t>/GCC</w:t>
      </w:r>
      <w:r w:rsidRPr="00873979">
        <w:rPr>
          <w:rFonts w:ascii="Cambria" w:hAnsi="Cambria"/>
        </w:rPr>
        <w:t>) (p</w:t>
      </w:r>
      <w:r w:rsidR="00873979" w:rsidRPr="00873979">
        <w:rPr>
          <w:rFonts w:ascii="Cambria" w:hAnsi="Cambria"/>
        </w:rPr>
        <w:t>292</w:t>
      </w:r>
      <w:r w:rsidRPr="00873979">
        <w:rPr>
          <w:rFonts w:ascii="Cambria" w:hAnsi="Cambria"/>
        </w:rPr>
        <w:t>)</w:t>
      </w:r>
    </w:p>
    <w:p w14:paraId="317D7C94" w14:textId="77777777" w:rsidR="00061992" w:rsidRPr="009A0DA6" w:rsidRDefault="00061992" w:rsidP="00061992">
      <w:pPr>
        <w:tabs>
          <w:tab w:val="left" w:pos="567"/>
          <w:tab w:val="left" w:pos="1276"/>
          <w:tab w:val="left" w:pos="1701"/>
        </w:tabs>
        <w:spacing w:after="0" w:line="22" w:lineRule="atLeast"/>
        <w:contextualSpacing/>
        <w:rPr>
          <w:rFonts w:ascii="Cambria" w:hAnsi="Cambria"/>
        </w:rPr>
      </w:pPr>
    </w:p>
    <w:p w14:paraId="36211661" w14:textId="77777777" w:rsidR="00061992" w:rsidRPr="009A0DA6" w:rsidRDefault="00061992" w:rsidP="00CC1481">
      <w:pPr>
        <w:pStyle w:val="ListParagraph"/>
        <w:numPr>
          <w:ilvl w:val="0"/>
          <w:numId w:val="1"/>
        </w:numPr>
        <w:tabs>
          <w:tab w:val="left" w:pos="567"/>
          <w:tab w:val="left" w:pos="1276"/>
          <w:tab w:val="left" w:pos="1701"/>
        </w:tabs>
        <w:spacing w:after="0" w:line="22" w:lineRule="atLeast"/>
        <w:ind w:left="567" w:hanging="567"/>
        <w:rPr>
          <w:rFonts w:ascii="Cambria" w:hAnsi="Cambria"/>
          <w:b/>
          <w:sz w:val="28"/>
          <w:szCs w:val="28"/>
        </w:rPr>
      </w:pPr>
      <w:r w:rsidRPr="009A0DA6">
        <w:rPr>
          <w:rFonts w:ascii="Cambria" w:hAnsi="Cambria"/>
          <w:b/>
          <w:sz w:val="28"/>
          <w:szCs w:val="28"/>
        </w:rPr>
        <w:t>ABORIGINAL MINISTRY</w:t>
      </w:r>
    </w:p>
    <w:p w14:paraId="2E644E32" w14:textId="49109B9B" w:rsidR="00061992" w:rsidRPr="009A0DA6" w:rsidRDefault="00061992" w:rsidP="00CC1481">
      <w:pPr>
        <w:pStyle w:val="ListParagraph"/>
        <w:numPr>
          <w:ilvl w:val="1"/>
          <w:numId w:val="1"/>
        </w:numPr>
        <w:tabs>
          <w:tab w:val="left" w:pos="567"/>
          <w:tab w:val="left" w:pos="1134"/>
          <w:tab w:val="left" w:pos="1276"/>
          <w:tab w:val="left" w:pos="1701"/>
        </w:tabs>
        <w:spacing w:after="0" w:line="22" w:lineRule="atLeast"/>
        <w:ind w:left="567" w:firstLine="0"/>
        <w:rPr>
          <w:rFonts w:ascii="Cambria" w:hAnsi="Cambria"/>
        </w:rPr>
      </w:pPr>
      <w:r w:rsidRPr="009A0DA6">
        <w:rPr>
          <w:rFonts w:ascii="Cambria" w:hAnsi="Cambria"/>
        </w:rPr>
        <w:t>Report: Finke River Mission Board (</w:t>
      </w:r>
      <w:r w:rsidR="00873979">
        <w:rPr>
          <w:rFonts w:ascii="Cambria" w:hAnsi="Cambria"/>
        </w:rPr>
        <w:t>p314</w:t>
      </w:r>
      <w:r w:rsidRPr="009A0DA6">
        <w:rPr>
          <w:rFonts w:ascii="Cambria" w:hAnsi="Cambria"/>
        </w:rPr>
        <w:t>)</w:t>
      </w:r>
    </w:p>
    <w:p w14:paraId="5918AE87" w14:textId="31FFAB95" w:rsidR="00061992" w:rsidRPr="009A0DA6" w:rsidRDefault="00061992" w:rsidP="00CC1481">
      <w:pPr>
        <w:pStyle w:val="ListParagraph"/>
        <w:numPr>
          <w:ilvl w:val="1"/>
          <w:numId w:val="1"/>
        </w:numPr>
        <w:tabs>
          <w:tab w:val="left" w:pos="567"/>
          <w:tab w:val="left" w:pos="1134"/>
          <w:tab w:val="left" w:pos="1276"/>
          <w:tab w:val="left" w:pos="1701"/>
        </w:tabs>
        <w:spacing w:after="0" w:line="22" w:lineRule="atLeast"/>
        <w:ind w:left="567" w:firstLine="0"/>
        <w:rPr>
          <w:rFonts w:ascii="Cambria" w:hAnsi="Cambria"/>
        </w:rPr>
      </w:pPr>
      <w:r w:rsidRPr="009A0DA6">
        <w:rPr>
          <w:rFonts w:ascii="Cambria" w:hAnsi="Cambria"/>
        </w:rPr>
        <w:t>Financial Report: Finke River Mission Board (</w:t>
      </w:r>
      <w:r w:rsidR="009717C9">
        <w:rPr>
          <w:rFonts w:ascii="Cambria" w:hAnsi="Cambria"/>
        </w:rPr>
        <w:t>p3</w:t>
      </w:r>
      <w:r w:rsidR="00873979">
        <w:rPr>
          <w:rFonts w:ascii="Cambria" w:hAnsi="Cambria"/>
        </w:rPr>
        <w:t>18</w:t>
      </w:r>
      <w:r w:rsidRPr="009A0DA6">
        <w:rPr>
          <w:rFonts w:ascii="Cambria" w:hAnsi="Cambria"/>
        </w:rPr>
        <w:t xml:space="preserve">) </w:t>
      </w:r>
    </w:p>
    <w:p w14:paraId="22EC4D22" w14:textId="77777777" w:rsidR="00061992" w:rsidRPr="009A0DA6" w:rsidRDefault="00061992" w:rsidP="00061992">
      <w:pPr>
        <w:tabs>
          <w:tab w:val="left" w:pos="567"/>
          <w:tab w:val="left" w:pos="1276"/>
          <w:tab w:val="left" w:pos="1701"/>
        </w:tabs>
        <w:spacing w:after="0" w:line="22" w:lineRule="atLeast"/>
        <w:contextualSpacing/>
        <w:rPr>
          <w:rFonts w:ascii="Cambria" w:hAnsi="Cambria"/>
        </w:rPr>
      </w:pPr>
    </w:p>
    <w:p w14:paraId="5E57CDE4" w14:textId="77777777" w:rsidR="00061992" w:rsidRPr="009A0DA6" w:rsidRDefault="00061992" w:rsidP="00CC1481">
      <w:pPr>
        <w:pStyle w:val="ListParagraph"/>
        <w:numPr>
          <w:ilvl w:val="0"/>
          <w:numId w:val="1"/>
        </w:numPr>
        <w:tabs>
          <w:tab w:val="left" w:pos="567"/>
          <w:tab w:val="left" w:pos="1276"/>
          <w:tab w:val="left" w:pos="1701"/>
        </w:tabs>
        <w:spacing w:after="0" w:line="22" w:lineRule="atLeast"/>
        <w:ind w:left="567" w:hanging="567"/>
        <w:rPr>
          <w:rFonts w:ascii="Cambria" w:hAnsi="Cambria"/>
          <w:b/>
          <w:sz w:val="28"/>
          <w:szCs w:val="28"/>
        </w:rPr>
      </w:pPr>
      <w:r w:rsidRPr="009A0DA6">
        <w:rPr>
          <w:rFonts w:ascii="Cambria" w:hAnsi="Cambria"/>
          <w:b/>
          <w:sz w:val="28"/>
          <w:szCs w:val="28"/>
        </w:rPr>
        <w:t>WORLD SERVICE</w:t>
      </w:r>
    </w:p>
    <w:p w14:paraId="69829B09" w14:textId="479AF827" w:rsidR="00061992" w:rsidRPr="009A0DA6" w:rsidRDefault="00061992" w:rsidP="00CC1481">
      <w:pPr>
        <w:pStyle w:val="ListParagraph"/>
        <w:numPr>
          <w:ilvl w:val="1"/>
          <w:numId w:val="1"/>
        </w:numPr>
        <w:tabs>
          <w:tab w:val="left" w:pos="567"/>
          <w:tab w:val="left" w:pos="1134"/>
          <w:tab w:val="left" w:pos="1276"/>
          <w:tab w:val="left" w:pos="1701"/>
        </w:tabs>
        <w:spacing w:after="0" w:line="22" w:lineRule="atLeast"/>
        <w:ind w:left="567" w:firstLine="0"/>
        <w:rPr>
          <w:rFonts w:ascii="Cambria" w:hAnsi="Cambria"/>
        </w:rPr>
      </w:pPr>
      <w:r w:rsidRPr="009A0DA6">
        <w:rPr>
          <w:rFonts w:ascii="Cambria" w:hAnsi="Cambria"/>
        </w:rPr>
        <w:t>Report: Australian Lutheran World Service (</w:t>
      </w:r>
      <w:r w:rsidR="009717C9">
        <w:rPr>
          <w:rFonts w:ascii="Cambria" w:hAnsi="Cambria"/>
        </w:rPr>
        <w:t>p32</w:t>
      </w:r>
      <w:r w:rsidR="00873979">
        <w:rPr>
          <w:rFonts w:ascii="Cambria" w:hAnsi="Cambria"/>
        </w:rPr>
        <w:t>0</w:t>
      </w:r>
      <w:r w:rsidRPr="009A0DA6">
        <w:rPr>
          <w:rFonts w:ascii="Cambria" w:hAnsi="Cambria"/>
        </w:rPr>
        <w:t>)</w:t>
      </w:r>
    </w:p>
    <w:p w14:paraId="5282A819" w14:textId="1BEE6710" w:rsidR="00061992" w:rsidRPr="009A0DA6" w:rsidRDefault="00061992" w:rsidP="00CC1481">
      <w:pPr>
        <w:pStyle w:val="ListParagraph"/>
        <w:numPr>
          <w:ilvl w:val="1"/>
          <w:numId w:val="1"/>
        </w:numPr>
        <w:tabs>
          <w:tab w:val="left" w:pos="567"/>
          <w:tab w:val="left" w:pos="1134"/>
          <w:tab w:val="left" w:pos="1276"/>
          <w:tab w:val="left" w:pos="1701"/>
        </w:tabs>
        <w:spacing w:after="0" w:line="22" w:lineRule="atLeast"/>
        <w:ind w:left="567" w:firstLine="0"/>
        <w:rPr>
          <w:rFonts w:ascii="Cambria" w:hAnsi="Cambria"/>
        </w:rPr>
      </w:pPr>
      <w:r w:rsidRPr="009A0DA6">
        <w:rPr>
          <w:rFonts w:ascii="Cambria" w:hAnsi="Cambria"/>
        </w:rPr>
        <w:t>Financial Report: Australian Lutheran World Service (</w:t>
      </w:r>
      <w:r w:rsidR="009717C9">
        <w:rPr>
          <w:rFonts w:ascii="Cambria" w:hAnsi="Cambria"/>
        </w:rPr>
        <w:t>p3</w:t>
      </w:r>
      <w:r w:rsidR="00873979">
        <w:rPr>
          <w:rFonts w:ascii="Cambria" w:hAnsi="Cambria"/>
        </w:rPr>
        <w:t>27</w:t>
      </w:r>
      <w:r w:rsidRPr="009A0DA6">
        <w:rPr>
          <w:rFonts w:ascii="Cambria" w:hAnsi="Cambria"/>
        </w:rPr>
        <w:t>)</w:t>
      </w:r>
    </w:p>
    <w:p w14:paraId="79779C46" w14:textId="4A70CE5D" w:rsidR="00061992" w:rsidRDefault="00061992" w:rsidP="00061992">
      <w:pPr>
        <w:tabs>
          <w:tab w:val="left" w:pos="567"/>
          <w:tab w:val="left" w:pos="1276"/>
          <w:tab w:val="left" w:pos="1701"/>
        </w:tabs>
        <w:spacing w:after="0" w:line="22" w:lineRule="atLeast"/>
        <w:contextualSpacing/>
        <w:rPr>
          <w:rFonts w:ascii="Cambria" w:hAnsi="Cambria"/>
        </w:rPr>
      </w:pPr>
    </w:p>
    <w:p w14:paraId="64A9901D" w14:textId="77777777" w:rsidR="006B0C69" w:rsidRPr="009A0DA6" w:rsidRDefault="006B0C69" w:rsidP="00061992">
      <w:pPr>
        <w:tabs>
          <w:tab w:val="left" w:pos="567"/>
          <w:tab w:val="left" w:pos="1276"/>
          <w:tab w:val="left" w:pos="1701"/>
        </w:tabs>
        <w:spacing w:after="0" w:line="22" w:lineRule="atLeast"/>
        <w:contextualSpacing/>
        <w:rPr>
          <w:rFonts w:ascii="Cambria" w:hAnsi="Cambria"/>
        </w:rPr>
      </w:pPr>
    </w:p>
    <w:p w14:paraId="7CB3176C" w14:textId="77777777" w:rsidR="00061992" w:rsidRPr="009A0DA6" w:rsidRDefault="00061992" w:rsidP="00CC1481">
      <w:pPr>
        <w:pStyle w:val="ListParagraph"/>
        <w:numPr>
          <w:ilvl w:val="0"/>
          <w:numId w:val="1"/>
        </w:numPr>
        <w:tabs>
          <w:tab w:val="left" w:pos="567"/>
          <w:tab w:val="left" w:pos="1276"/>
          <w:tab w:val="left" w:pos="1701"/>
        </w:tabs>
        <w:spacing w:after="0" w:line="22" w:lineRule="atLeast"/>
        <w:ind w:left="567" w:hanging="567"/>
        <w:rPr>
          <w:rFonts w:ascii="Cambria" w:hAnsi="Cambria"/>
          <w:b/>
          <w:sz w:val="28"/>
          <w:szCs w:val="28"/>
        </w:rPr>
      </w:pPr>
      <w:r w:rsidRPr="009A0DA6">
        <w:rPr>
          <w:rFonts w:ascii="Cambria" w:hAnsi="Cambria"/>
          <w:b/>
          <w:sz w:val="28"/>
          <w:szCs w:val="28"/>
        </w:rPr>
        <w:lastRenderedPageBreak/>
        <w:t>GENERAL FINANCE</w:t>
      </w:r>
    </w:p>
    <w:p w14:paraId="7D967CF2" w14:textId="5EE5FEFB" w:rsidR="00061992" w:rsidRPr="009A0DA6" w:rsidRDefault="00061992" w:rsidP="00CC1481">
      <w:pPr>
        <w:pStyle w:val="ListParagraph"/>
        <w:numPr>
          <w:ilvl w:val="1"/>
          <w:numId w:val="1"/>
        </w:numPr>
        <w:tabs>
          <w:tab w:val="left" w:pos="567"/>
          <w:tab w:val="left" w:pos="1134"/>
          <w:tab w:val="left" w:pos="1701"/>
        </w:tabs>
        <w:spacing w:after="0" w:line="22" w:lineRule="atLeast"/>
        <w:ind w:left="567" w:firstLine="0"/>
        <w:rPr>
          <w:rFonts w:ascii="Cambria" w:hAnsi="Cambria"/>
        </w:rPr>
      </w:pPr>
      <w:r w:rsidRPr="009A0DA6">
        <w:rPr>
          <w:rFonts w:ascii="Cambria" w:hAnsi="Cambria"/>
        </w:rPr>
        <w:t>Report: Finance, Audit and Risk Committee (</w:t>
      </w:r>
      <w:r w:rsidR="009717C9">
        <w:rPr>
          <w:rFonts w:ascii="Cambria" w:hAnsi="Cambria"/>
        </w:rPr>
        <w:t>p3</w:t>
      </w:r>
      <w:r w:rsidR="00873979">
        <w:rPr>
          <w:rFonts w:ascii="Cambria" w:hAnsi="Cambria"/>
        </w:rPr>
        <w:t>29</w:t>
      </w:r>
      <w:r w:rsidRPr="009A0DA6">
        <w:rPr>
          <w:rFonts w:ascii="Cambria" w:hAnsi="Cambria"/>
        </w:rPr>
        <w:t>)</w:t>
      </w:r>
    </w:p>
    <w:p w14:paraId="114453B7" w14:textId="4ADCA437" w:rsidR="00061992" w:rsidRPr="009A0DA6" w:rsidRDefault="00061992" w:rsidP="00CC1481">
      <w:pPr>
        <w:pStyle w:val="ListParagraph"/>
        <w:numPr>
          <w:ilvl w:val="1"/>
          <w:numId w:val="1"/>
        </w:numPr>
        <w:tabs>
          <w:tab w:val="left" w:pos="567"/>
          <w:tab w:val="left" w:pos="1134"/>
          <w:tab w:val="left" w:pos="1701"/>
        </w:tabs>
        <w:spacing w:after="0" w:line="22" w:lineRule="atLeast"/>
        <w:ind w:left="567" w:firstLine="0"/>
        <w:rPr>
          <w:rFonts w:ascii="Cambria" w:hAnsi="Cambria"/>
        </w:rPr>
      </w:pPr>
      <w:r w:rsidRPr="009A0DA6">
        <w:rPr>
          <w:rFonts w:ascii="Cambria" w:hAnsi="Cambria"/>
        </w:rPr>
        <w:t>Financial Report: Lutheran Church of Australia Inc (</w:t>
      </w:r>
      <w:r w:rsidR="009717C9">
        <w:rPr>
          <w:rFonts w:ascii="Cambria" w:hAnsi="Cambria"/>
        </w:rPr>
        <w:t>p33</w:t>
      </w:r>
      <w:r w:rsidR="00873979">
        <w:rPr>
          <w:rFonts w:ascii="Cambria" w:hAnsi="Cambria"/>
        </w:rPr>
        <w:t>5</w:t>
      </w:r>
      <w:r w:rsidRPr="009A0DA6">
        <w:rPr>
          <w:rFonts w:ascii="Cambria" w:hAnsi="Cambria"/>
        </w:rPr>
        <w:t>)</w:t>
      </w:r>
    </w:p>
    <w:p w14:paraId="054C5A71" w14:textId="4F492B00" w:rsidR="00061992" w:rsidRPr="009A0DA6" w:rsidRDefault="00061992" w:rsidP="00CC1481">
      <w:pPr>
        <w:pStyle w:val="ListParagraph"/>
        <w:numPr>
          <w:ilvl w:val="1"/>
          <w:numId w:val="1"/>
        </w:numPr>
        <w:tabs>
          <w:tab w:val="left" w:pos="567"/>
          <w:tab w:val="left" w:pos="1134"/>
          <w:tab w:val="left" w:pos="1701"/>
        </w:tabs>
        <w:spacing w:after="0" w:line="22" w:lineRule="atLeast"/>
        <w:ind w:left="567" w:firstLine="0"/>
        <w:rPr>
          <w:rFonts w:ascii="Cambria" w:hAnsi="Cambria"/>
        </w:rPr>
      </w:pPr>
      <w:r w:rsidRPr="009A0DA6">
        <w:rPr>
          <w:rFonts w:ascii="Cambria" w:hAnsi="Cambria"/>
        </w:rPr>
        <w:t>Financial Report: LCA Subscriptions (</w:t>
      </w:r>
      <w:r w:rsidR="009717C9">
        <w:rPr>
          <w:rFonts w:ascii="Cambria" w:hAnsi="Cambria"/>
        </w:rPr>
        <w:t>p3</w:t>
      </w:r>
      <w:r w:rsidR="00873979">
        <w:rPr>
          <w:rFonts w:ascii="Cambria" w:hAnsi="Cambria"/>
        </w:rPr>
        <w:t>47</w:t>
      </w:r>
      <w:r w:rsidRPr="009A0DA6">
        <w:rPr>
          <w:rFonts w:ascii="Cambria" w:hAnsi="Cambria"/>
        </w:rPr>
        <w:t>)</w:t>
      </w:r>
    </w:p>
    <w:p w14:paraId="5D36550D" w14:textId="0C2BF8E7" w:rsidR="00061992" w:rsidRPr="009A0DA6" w:rsidRDefault="00061992" w:rsidP="00CC1481">
      <w:pPr>
        <w:pStyle w:val="ListParagraph"/>
        <w:numPr>
          <w:ilvl w:val="1"/>
          <w:numId w:val="1"/>
        </w:numPr>
        <w:tabs>
          <w:tab w:val="left" w:pos="567"/>
          <w:tab w:val="left" w:pos="1134"/>
          <w:tab w:val="left" w:pos="1701"/>
        </w:tabs>
        <w:spacing w:after="0" w:line="22" w:lineRule="atLeast"/>
        <w:ind w:left="567" w:firstLine="0"/>
        <w:rPr>
          <w:rFonts w:ascii="Cambria" w:hAnsi="Cambria"/>
        </w:rPr>
      </w:pPr>
      <w:r w:rsidRPr="009A0DA6">
        <w:rPr>
          <w:rFonts w:ascii="Cambria" w:hAnsi="Cambria"/>
        </w:rPr>
        <w:t>Report: Loan Management Committee (</w:t>
      </w:r>
      <w:r w:rsidR="009717C9">
        <w:rPr>
          <w:rFonts w:ascii="Cambria" w:hAnsi="Cambria"/>
        </w:rPr>
        <w:t>p3</w:t>
      </w:r>
      <w:r w:rsidR="00873979">
        <w:rPr>
          <w:rFonts w:ascii="Cambria" w:hAnsi="Cambria"/>
        </w:rPr>
        <w:t>47</w:t>
      </w:r>
      <w:r w:rsidRPr="009A0DA6">
        <w:rPr>
          <w:rFonts w:ascii="Cambria" w:hAnsi="Cambria"/>
        </w:rPr>
        <w:t>)</w:t>
      </w:r>
    </w:p>
    <w:p w14:paraId="0869AFD0" w14:textId="6AE17A23" w:rsidR="00061992" w:rsidRPr="009A0DA6" w:rsidRDefault="00061992" w:rsidP="00CC1481">
      <w:pPr>
        <w:pStyle w:val="ListParagraph"/>
        <w:numPr>
          <w:ilvl w:val="1"/>
          <w:numId w:val="1"/>
        </w:numPr>
        <w:tabs>
          <w:tab w:val="left" w:pos="567"/>
          <w:tab w:val="left" w:pos="1134"/>
          <w:tab w:val="left" w:pos="1701"/>
        </w:tabs>
        <w:spacing w:after="0" w:line="22" w:lineRule="atLeast"/>
        <w:ind w:left="567" w:firstLine="0"/>
        <w:rPr>
          <w:rFonts w:ascii="Cambria" w:hAnsi="Cambria"/>
        </w:rPr>
      </w:pPr>
      <w:r w:rsidRPr="009A0DA6">
        <w:rPr>
          <w:rFonts w:ascii="Cambria" w:hAnsi="Cambria"/>
        </w:rPr>
        <w:t>Report: Commission on Salaries</w:t>
      </w:r>
      <w:r w:rsidR="00A33B80" w:rsidRPr="009A0DA6">
        <w:rPr>
          <w:rFonts w:ascii="Cambria" w:hAnsi="Cambria"/>
        </w:rPr>
        <w:t xml:space="preserve"> </w:t>
      </w:r>
      <w:r w:rsidRPr="009A0DA6">
        <w:rPr>
          <w:rFonts w:ascii="Cambria" w:hAnsi="Cambria"/>
        </w:rPr>
        <w:t>(</w:t>
      </w:r>
      <w:r w:rsidR="009717C9">
        <w:rPr>
          <w:rFonts w:ascii="Cambria" w:hAnsi="Cambria"/>
        </w:rPr>
        <w:t>p3</w:t>
      </w:r>
      <w:r w:rsidR="00873979">
        <w:rPr>
          <w:rFonts w:ascii="Cambria" w:hAnsi="Cambria"/>
        </w:rPr>
        <w:t>49</w:t>
      </w:r>
      <w:r w:rsidRPr="009A0DA6">
        <w:rPr>
          <w:rFonts w:ascii="Cambria" w:hAnsi="Cambria"/>
        </w:rPr>
        <w:t>)</w:t>
      </w:r>
    </w:p>
    <w:p w14:paraId="598A7B1A" w14:textId="46E7A057" w:rsidR="00061992" w:rsidRPr="009A0DA6" w:rsidRDefault="00061992" w:rsidP="00CC1481">
      <w:pPr>
        <w:pStyle w:val="ListParagraph"/>
        <w:numPr>
          <w:ilvl w:val="1"/>
          <w:numId w:val="1"/>
        </w:numPr>
        <w:tabs>
          <w:tab w:val="left" w:pos="567"/>
          <w:tab w:val="left" w:pos="1134"/>
          <w:tab w:val="left" w:pos="1701"/>
        </w:tabs>
        <w:spacing w:after="0" w:line="22" w:lineRule="atLeast"/>
        <w:ind w:left="567" w:firstLine="0"/>
        <w:rPr>
          <w:rFonts w:ascii="Cambria" w:hAnsi="Cambria"/>
        </w:rPr>
      </w:pPr>
      <w:r w:rsidRPr="009A0DA6">
        <w:rPr>
          <w:rFonts w:ascii="Cambria" w:hAnsi="Cambria"/>
        </w:rPr>
        <w:t>Report: Lutheran Laypeople’s League</w:t>
      </w:r>
      <w:r w:rsidR="00A33B80" w:rsidRPr="009A0DA6">
        <w:rPr>
          <w:rFonts w:ascii="Cambria" w:hAnsi="Cambria"/>
        </w:rPr>
        <w:t xml:space="preserve"> </w:t>
      </w:r>
      <w:r w:rsidRPr="009A0DA6">
        <w:rPr>
          <w:rFonts w:ascii="Cambria" w:hAnsi="Cambria"/>
        </w:rPr>
        <w:t>(</w:t>
      </w:r>
      <w:r w:rsidR="009717C9">
        <w:rPr>
          <w:rFonts w:ascii="Cambria" w:hAnsi="Cambria"/>
        </w:rPr>
        <w:t>p35</w:t>
      </w:r>
      <w:r w:rsidR="00873979">
        <w:rPr>
          <w:rFonts w:ascii="Cambria" w:hAnsi="Cambria"/>
        </w:rPr>
        <w:t>0</w:t>
      </w:r>
      <w:r w:rsidRPr="009A0DA6">
        <w:rPr>
          <w:rFonts w:ascii="Cambria" w:hAnsi="Cambria"/>
        </w:rPr>
        <w:t>)</w:t>
      </w:r>
      <w:r w:rsidRPr="009A0DA6">
        <w:rPr>
          <w:rFonts w:ascii="Cambria" w:hAnsi="Cambria"/>
        </w:rPr>
        <w:br/>
      </w:r>
      <w:r w:rsidRPr="009A0DA6">
        <w:rPr>
          <w:rFonts w:ascii="Cambria" w:hAnsi="Cambria"/>
        </w:rPr>
        <w:tab/>
        <w:t>Financial Report: Lutheran Laypeople’s League</w:t>
      </w:r>
      <w:r w:rsidR="00A33B80" w:rsidRPr="009A0DA6">
        <w:rPr>
          <w:rFonts w:ascii="Cambria" w:hAnsi="Cambria"/>
        </w:rPr>
        <w:t xml:space="preserve"> </w:t>
      </w:r>
      <w:r w:rsidRPr="009A0DA6">
        <w:rPr>
          <w:rFonts w:ascii="Cambria" w:hAnsi="Cambria"/>
        </w:rPr>
        <w:t>(</w:t>
      </w:r>
      <w:r w:rsidR="009717C9">
        <w:rPr>
          <w:rFonts w:ascii="Cambria" w:hAnsi="Cambria"/>
        </w:rPr>
        <w:t>p35</w:t>
      </w:r>
      <w:r w:rsidR="00873979">
        <w:rPr>
          <w:rFonts w:ascii="Cambria" w:hAnsi="Cambria"/>
        </w:rPr>
        <w:t>4</w:t>
      </w:r>
      <w:r w:rsidRPr="009A0DA6">
        <w:rPr>
          <w:rFonts w:ascii="Cambria" w:hAnsi="Cambria"/>
        </w:rPr>
        <w:t>)</w:t>
      </w:r>
    </w:p>
    <w:p w14:paraId="30A18BA8" w14:textId="5795E533" w:rsidR="00061992" w:rsidRPr="009A0DA6" w:rsidRDefault="00061992" w:rsidP="00CC1481">
      <w:pPr>
        <w:pStyle w:val="ListParagraph"/>
        <w:numPr>
          <w:ilvl w:val="1"/>
          <w:numId w:val="1"/>
        </w:numPr>
        <w:tabs>
          <w:tab w:val="left" w:pos="567"/>
          <w:tab w:val="left" w:pos="1134"/>
          <w:tab w:val="left" w:pos="1701"/>
        </w:tabs>
        <w:spacing w:after="0" w:line="22" w:lineRule="atLeast"/>
        <w:ind w:left="567" w:firstLine="0"/>
        <w:rPr>
          <w:rFonts w:ascii="Cambria" w:hAnsi="Cambria"/>
        </w:rPr>
      </w:pPr>
      <w:r w:rsidRPr="009A0DA6">
        <w:rPr>
          <w:rFonts w:ascii="Cambria" w:hAnsi="Cambria"/>
        </w:rPr>
        <w:t>Financial Report: LCA Provident Fund</w:t>
      </w:r>
      <w:r w:rsidR="00A33B80" w:rsidRPr="009A0DA6">
        <w:rPr>
          <w:rFonts w:ascii="Cambria" w:hAnsi="Cambria"/>
        </w:rPr>
        <w:t xml:space="preserve"> </w:t>
      </w:r>
      <w:r w:rsidRPr="009A0DA6">
        <w:rPr>
          <w:rFonts w:ascii="Cambria" w:hAnsi="Cambria"/>
        </w:rPr>
        <w:t>(</w:t>
      </w:r>
      <w:r w:rsidR="009717C9">
        <w:rPr>
          <w:rFonts w:ascii="Cambria" w:hAnsi="Cambria"/>
        </w:rPr>
        <w:t>p35</w:t>
      </w:r>
      <w:r w:rsidR="00873979">
        <w:rPr>
          <w:rFonts w:ascii="Cambria" w:hAnsi="Cambria"/>
        </w:rPr>
        <w:t>5</w:t>
      </w:r>
      <w:r w:rsidRPr="009A0DA6">
        <w:rPr>
          <w:rFonts w:ascii="Cambria" w:hAnsi="Cambria"/>
        </w:rPr>
        <w:t>)</w:t>
      </w:r>
    </w:p>
    <w:p w14:paraId="4077857F" w14:textId="456A21AD" w:rsidR="00061992" w:rsidRPr="009A0DA6" w:rsidRDefault="00061992" w:rsidP="00CC1481">
      <w:pPr>
        <w:pStyle w:val="ListParagraph"/>
        <w:numPr>
          <w:ilvl w:val="1"/>
          <w:numId w:val="1"/>
        </w:numPr>
        <w:tabs>
          <w:tab w:val="left" w:pos="567"/>
          <w:tab w:val="left" w:pos="1134"/>
          <w:tab w:val="left" w:pos="1701"/>
        </w:tabs>
        <w:spacing w:after="0" w:line="22" w:lineRule="atLeast"/>
        <w:ind w:left="0" w:firstLine="567"/>
        <w:rPr>
          <w:rFonts w:ascii="Cambria" w:hAnsi="Cambria"/>
        </w:rPr>
      </w:pPr>
      <w:r w:rsidRPr="009A0DA6">
        <w:rPr>
          <w:rFonts w:ascii="Cambria" w:hAnsi="Cambria"/>
        </w:rPr>
        <w:t>Financial Report: LCA Pension Fund (</w:t>
      </w:r>
      <w:r w:rsidR="009717C9">
        <w:rPr>
          <w:rFonts w:ascii="Cambria" w:hAnsi="Cambria"/>
        </w:rPr>
        <w:t>p35</w:t>
      </w:r>
      <w:r w:rsidR="00873979">
        <w:rPr>
          <w:rFonts w:ascii="Cambria" w:hAnsi="Cambria"/>
        </w:rPr>
        <w:t>6</w:t>
      </w:r>
      <w:r w:rsidRPr="009A0DA6">
        <w:rPr>
          <w:rFonts w:ascii="Cambria" w:hAnsi="Cambria"/>
        </w:rPr>
        <w:t>)</w:t>
      </w:r>
    </w:p>
    <w:p w14:paraId="44492E55" w14:textId="118D7CFD" w:rsidR="00061992" w:rsidRPr="009A0DA6" w:rsidRDefault="00061992" w:rsidP="00CC1481">
      <w:pPr>
        <w:pStyle w:val="ListParagraph"/>
        <w:numPr>
          <w:ilvl w:val="1"/>
          <w:numId w:val="1"/>
        </w:numPr>
        <w:tabs>
          <w:tab w:val="left" w:pos="567"/>
          <w:tab w:val="left" w:pos="1134"/>
          <w:tab w:val="left" w:pos="1701"/>
        </w:tabs>
        <w:spacing w:after="0" w:line="22" w:lineRule="atLeast"/>
        <w:ind w:left="0" w:firstLine="567"/>
        <w:rPr>
          <w:rFonts w:ascii="Cambria" w:hAnsi="Cambria"/>
        </w:rPr>
      </w:pPr>
      <w:r w:rsidRPr="009A0DA6">
        <w:rPr>
          <w:rFonts w:ascii="Cambria" w:hAnsi="Cambria"/>
        </w:rPr>
        <w:t>Financial Report: LCA Pastors Transfer and Support Fund (</w:t>
      </w:r>
      <w:r w:rsidR="009717C9">
        <w:rPr>
          <w:rFonts w:ascii="Cambria" w:hAnsi="Cambria"/>
        </w:rPr>
        <w:t>p3</w:t>
      </w:r>
      <w:r w:rsidR="00873979">
        <w:rPr>
          <w:rFonts w:ascii="Cambria" w:hAnsi="Cambria"/>
        </w:rPr>
        <w:t>57</w:t>
      </w:r>
      <w:r w:rsidRPr="009A0DA6">
        <w:rPr>
          <w:rFonts w:ascii="Cambria" w:hAnsi="Cambria"/>
        </w:rPr>
        <w:t>)</w:t>
      </w:r>
    </w:p>
    <w:p w14:paraId="46833A83" w14:textId="6128CB54" w:rsidR="00061992" w:rsidRPr="009A0DA6" w:rsidRDefault="00061992" w:rsidP="00CC1481">
      <w:pPr>
        <w:pStyle w:val="ListParagraph"/>
        <w:numPr>
          <w:ilvl w:val="1"/>
          <w:numId w:val="1"/>
        </w:numPr>
        <w:tabs>
          <w:tab w:val="left" w:pos="567"/>
          <w:tab w:val="left" w:pos="1134"/>
          <w:tab w:val="left" w:pos="1276"/>
        </w:tabs>
        <w:spacing w:after="0" w:line="22" w:lineRule="atLeast"/>
        <w:ind w:left="0" w:firstLine="567"/>
        <w:rPr>
          <w:rFonts w:ascii="Cambria" w:hAnsi="Cambria"/>
        </w:rPr>
      </w:pPr>
      <w:r w:rsidRPr="009A0DA6">
        <w:rPr>
          <w:rFonts w:ascii="Cambria" w:hAnsi="Cambria"/>
        </w:rPr>
        <w:t>Financial Report: LCA Levy Fund (</w:t>
      </w:r>
      <w:r w:rsidR="009717C9">
        <w:rPr>
          <w:rFonts w:ascii="Cambria" w:hAnsi="Cambria"/>
        </w:rPr>
        <w:t>p3</w:t>
      </w:r>
      <w:r w:rsidR="00873979">
        <w:rPr>
          <w:rFonts w:ascii="Cambria" w:hAnsi="Cambria"/>
        </w:rPr>
        <w:t>58</w:t>
      </w:r>
      <w:r w:rsidRPr="009A0DA6">
        <w:rPr>
          <w:rFonts w:ascii="Cambria" w:hAnsi="Cambria"/>
        </w:rPr>
        <w:t>)</w:t>
      </w:r>
    </w:p>
    <w:p w14:paraId="33687FF1" w14:textId="2FC98067" w:rsidR="00061992" w:rsidRPr="009A0DA6" w:rsidRDefault="00061992" w:rsidP="00CC1481">
      <w:pPr>
        <w:pStyle w:val="ListParagraph"/>
        <w:numPr>
          <w:ilvl w:val="1"/>
          <w:numId w:val="1"/>
        </w:numPr>
        <w:tabs>
          <w:tab w:val="left" w:pos="567"/>
          <w:tab w:val="left" w:pos="1276"/>
          <w:tab w:val="left" w:pos="1701"/>
        </w:tabs>
        <w:spacing w:after="0" w:line="22" w:lineRule="atLeast"/>
        <w:ind w:left="0" w:firstLine="567"/>
        <w:rPr>
          <w:rFonts w:ascii="Cambria" w:hAnsi="Cambria"/>
        </w:rPr>
      </w:pPr>
      <w:r w:rsidRPr="009A0DA6">
        <w:rPr>
          <w:rFonts w:ascii="Cambria" w:hAnsi="Cambria"/>
        </w:rPr>
        <w:t>Financial Report: LCA Car Grant Fund (</w:t>
      </w:r>
      <w:r w:rsidR="009717C9">
        <w:rPr>
          <w:rFonts w:ascii="Cambria" w:hAnsi="Cambria"/>
        </w:rPr>
        <w:t>p3</w:t>
      </w:r>
      <w:r w:rsidR="00873979">
        <w:rPr>
          <w:rFonts w:ascii="Cambria" w:hAnsi="Cambria"/>
        </w:rPr>
        <w:t>59</w:t>
      </w:r>
      <w:r w:rsidRPr="009A0DA6">
        <w:rPr>
          <w:rFonts w:ascii="Cambria" w:hAnsi="Cambria"/>
        </w:rPr>
        <w:t>)</w:t>
      </w:r>
    </w:p>
    <w:p w14:paraId="4B011DE9" w14:textId="5EDAAC61" w:rsidR="00061992" w:rsidRPr="009A0DA6" w:rsidRDefault="00061992" w:rsidP="00CC1481">
      <w:pPr>
        <w:pStyle w:val="ListParagraph"/>
        <w:numPr>
          <w:ilvl w:val="1"/>
          <w:numId w:val="1"/>
        </w:numPr>
        <w:tabs>
          <w:tab w:val="left" w:pos="567"/>
          <w:tab w:val="left" w:pos="1276"/>
          <w:tab w:val="left" w:pos="1701"/>
        </w:tabs>
        <w:spacing w:after="0" w:line="22" w:lineRule="atLeast"/>
        <w:ind w:left="0" w:firstLine="567"/>
        <w:rPr>
          <w:rFonts w:ascii="Cambria" w:hAnsi="Cambria"/>
        </w:rPr>
      </w:pPr>
      <w:r w:rsidRPr="009A0DA6">
        <w:rPr>
          <w:rFonts w:ascii="Cambria" w:hAnsi="Cambria"/>
        </w:rPr>
        <w:t>Financial Report: LCA Insurance Fund (</w:t>
      </w:r>
      <w:r w:rsidR="009717C9">
        <w:rPr>
          <w:rFonts w:ascii="Cambria" w:hAnsi="Cambria"/>
        </w:rPr>
        <w:t>p3</w:t>
      </w:r>
      <w:r w:rsidR="00873979">
        <w:rPr>
          <w:rFonts w:ascii="Cambria" w:hAnsi="Cambria"/>
        </w:rPr>
        <w:t>60</w:t>
      </w:r>
      <w:r w:rsidRPr="009A0DA6">
        <w:rPr>
          <w:rFonts w:ascii="Cambria" w:hAnsi="Cambria"/>
        </w:rPr>
        <w:t>)</w:t>
      </w:r>
    </w:p>
    <w:p w14:paraId="04E559ED" w14:textId="466FB0C3" w:rsidR="00061992" w:rsidRPr="009A0DA6" w:rsidRDefault="00061992" w:rsidP="00CC1481">
      <w:pPr>
        <w:pStyle w:val="ListParagraph"/>
        <w:numPr>
          <w:ilvl w:val="1"/>
          <w:numId w:val="1"/>
        </w:numPr>
        <w:tabs>
          <w:tab w:val="left" w:pos="567"/>
          <w:tab w:val="left" w:pos="1276"/>
          <w:tab w:val="left" w:pos="1701"/>
        </w:tabs>
        <w:spacing w:after="0" w:line="22" w:lineRule="atLeast"/>
        <w:ind w:left="0" w:firstLine="567"/>
        <w:rPr>
          <w:rFonts w:ascii="Cambria" w:hAnsi="Cambria"/>
        </w:rPr>
      </w:pPr>
      <w:r w:rsidRPr="009A0DA6">
        <w:rPr>
          <w:rFonts w:ascii="Cambria" w:hAnsi="Cambria"/>
        </w:rPr>
        <w:t xml:space="preserve">Report: LCA Nominees </w:t>
      </w:r>
      <w:r w:rsidR="009717C9">
        <w:rPr>
          <w:rFonts w:ascii="Cambria" w:hAnsi="Cambria"/>
        </w:rPr>
        <w:t xml:space="preserve">Pty Ltd ATF Lutheran Super </w:t>
      </w:r>
      <w:r w:rsidRPr="009A0DA6">
        <w:rPr>
          <w:rFonts w:ascii="Cambria" w:hAnsi="Cambria"/>
        </w:rPr>
        <w:t>(</w:t>
      </w:r>
      <w:r w:rsidR="009717C9">
        <w:rPr>
          <w:rFonts w:ascii="Cambria" w:hAnsi="Cambria"/>
        </w:rPr>
        <w:t>p36</w:t>
      </w:r>
      <w:r w:rsidR="00873979">
        <w:rPr>
          <w:rFonts w:ascii="Cambria" w:hAnsi="Cambria"/>
        </w:rPr>
        <w:t>1</w:t>
      </w:r>
      <w:r w:rsidRPr="009A0DA6">
        <w:rPr>
          <w:rFonts w:ascii="Cambria" w:hAnsi="Cambria"/>
        </w:rPr>
        <w:t>)</w:t>
      </w:r>
    </w:p>
    <w:p w14:paraId="6DB78A40" w14:textId="77777777" w:rsidR="00061992" w:rsidRPr="009A0DA6" w:rsidRDefault="00061992" w:rsidP="00061992">
      <w:pPr>
        <w:tabs>
          <w:tab w:val="left" w:pos="567"/>
          <w:tab w:val="left" w:pos="1276"/>
          <w:tab w:val="left" w:pos="1701"/>
        </w:tabs>
        <w:spacing w:after="0" w:line="22" w:lineRule="atLeast"/>
        <w:contextualSpacing/>
        <w:rPr>
          <w:rFonts w:ascii="Cambria" w:hAnsi="Cambria"/>
        </w:rPr>
      </w:pPr>
    </w:p>
    <w:p w14:paraId="353F9916" w14:textId="77777777" w:rsidR="00061992" w:rsidRPr="009A0DA6" w:rsidRDefault="00061992" w:rsidP="00CC1481">
      <w:pPr>
        <w:pStyle w:val="ListParagraph"/>
        <w:numPr>
          <w:ilvl w:val="0"/>
          <w:numId w:val="1"/>
        </w:numPr>
        <w:tabs>
          <w:tab w:val="left" w:pos="567"/>
          <w:tab w:val="left" w:pos="1276"/>
          <w:tab w:val="left" w:pos="1701"/>
        </w:tabs>
        <w:spacing w:after="0" w:line="22" w:lineRule="atLeast"/>
        <w:ind w:left="567" w:hanging="567"/>
        <w:rPr>
          <w:rFonts w:ascii="Cambria" w:hAnsi="Cambria"/>
          <w:b/>
          <w:sz w:val="28"/>
          <w:szCs w:val="28"/>
        </w:rPr>
      </w:pPr>
      <w:r w:rsidRPr="009A0DA6">
        <w:rPr>
          <w:rFonts w:ascii="Cambria" w:hAnsi="Cambria"/>
          <w:b/>
          <w:sz w:val="28"/>
          <w:szCs w:val="28"/>
        </w:rPr>
        <w:t>AUXILIARIES</w:t>
      </w:r>
    </w:p>
    <w:p w14:paraId="63E0A0C1" w14:textId="49696E25" w:rsidR="00061992" w:rsidRPr="009A0DA6" w:rsidRDefault="00061992" w:rsidP="00CC1481">
      <w:pPr>
        <w:pStyle w:val="ListParagraph"/>
        <w:numPr>
          <w:ilvl w:val="1"/>
          <w:numId w:val="1"/>
        </w:numPr>
        <w:tabs>
          <w:tab w:val="left" w:pos="567"/>
          <w:tab w:val="left" w:pos="1276"/>
          <w:tab w:val="left" w:pos="1701"/>
        </w:tabs>
        <w:spacing w:after="0" w:line="22" w:lineRule="atLeast"/>
        <w:ind w:left="0" w:firstLine="567"/>
        <w:rPr>
          <w:rFonts w:ascii="Cambria" w:hAnsi="Cambria"/>
        </w:rPr>
      </w:pPr>
      <w:r w:rsidRPr="009A0DA6">
        <w:rPr>
          <w:rFonts w:ascii="Cambria" w:hAnsi="Cambria"/>
        </w:rPr>
        <w:t>Report: Lutheran Men of Australia (</w:t>
      </w:r>
      <w:r w:rsidR="009717C9">
        <w:rPr>
          <w:rFonts w:ascii="Cambria" w:hAnsi="Cambria"/>
        </w:rPr>
        <w:t>p36</w:t>
      </w:r>
      <w:r w:rsidR="00873979">
        <w:rPr>
          <w:rFonts w:ascii="Cambria" w:hAnsi="Cambria"/>
        </w:rPr>
        <w:t>3</w:t>
      </w:r>
      <w:r w:rsidRPr="009A0DA6">
        <w:rPr>
          <w:rFonts w:ascii="Cambria" w:hAnsi="Cambria"/>
        </w:rPr>
        <w:t>)</w:t>
      </w:r>
    </w:p>
    <w:p w14:paraId="3B83FC0F" w14:textId="35D34113" w:rsidR="00061992" w:rsidRPr="009A0DA6" w:rsidRDefault="00061992" w:rsidP="00CC1481">
      <w:pPr>
        <w:pStyle w:val="ListParagraph"/>
        <w:numPr>
          <w:ilvl w:val="1"/>
          <w:numId w:val="1"/>
        </w:numPr>
        <w:tabs>
          <w:tab w:val="left" w:pos="567"/>
          <w:tab w:val="left" w:pos="1276"/>
          <w:tab w:val="left" w:pos="1701"/>
        </w:tabs>
        <w:spacing w:after="0" w:line="22" w:lineRule="atLeast"/>
        <w:ind w:left="0" w:firstLine="567"/>
        <w:rPr>
          <w:rFonts w:ascii="Cambria" w:hAnsi="Cambria"/>
        </w:rPr>
      </w:pPr>
      <w:r w:rsidRPr="009A0DA6">
        <w:rPr>
          <w:rFonts w:ascii="Cambria" w:hAnsi="Cambria"/>
        </w:rPr>
        <w:t>Report: Lutheran Nurses Association of Australia (</w:t>
      </w:r>
      <w:r w:rsidR="009717C9">
        <w:rPr>
          <w:rFonts w:ascii="Cambria" w:hAnsi="Cambria"/>
        </w:rPr>
        <w:t>p36</w:t>
      </w:r>
      <w:r w:rsidR="00873979">
        <w:rPr>
          <w:rFonts w:ascii="Cambria" w:hAnsi="Cambria"/>
        </w:rPr>
        <w:t>5</w:t>
      </w:r>
      <w:r w:rsidRPr="009A0DA6">
        <w:rPr>
          <w:rFonts w:ascii="Cambria" w:hAnsi="Cambria"/>
        </w:rPr>
        <w:t>)</w:t>
      </w:r>
    </w:p>
    <w:p w14:paraId="51698D29" w14:textId="7A1620DE" w:rsidR="00061992" w:rsidRPr="009A0DA6" w:rsidRDefault="00061992" w:rsidP="00CC1481">
      <w:pPr>
        <w:pStyle w:val="ListParagraph"/>
        <w:numPr>
          <w:ilvl w:val="1"/>
          <w:numId w:val="1"/>
        </w:numPr>
        <w:tabs>
          <w:tab w:val="left" w:pos="567"/>
          <w:tab w:val="left" w:pos="1276"/>
          <w:tab w:val="left" w:pos="1701"/>
        </w:tabs>
        <w:spacing w:after="0" w:line="22" w:lineRule="atLeast"/>
        <w:ind w:left="0" w:firstLine="567"/>
        <w:rPr>
          <w:rFonts w:ascii="Cambria" w:hAnsi="Cambria"/>
        </w:rPr>
      </w:pPr>
      <w:r w:rsidRPr="009A0DA6">
        <w:rPr>
          <w:rFonts w:ascii="Cambria" w:hAnsi="Cambria"/>
        </w:rPr>
        <w:t>Report: Lutheran Women of Australia (</w:t>
      </w:r>
      <w:r w:rsidR="009717C9">
        <w:rPr>
          <w:rFonts w:ascii="Cambria" w:hAnsi="Cambria"/>
        </w:rPr>
        <w:t>p37</w:t>
      </w:r>
      <w:r w:rsidR="00873979">
        <w:rPr>
          <w:rFonts w:ascii="Cambria" w:hAnsi="Cambria"/>
        </w:rPr>
        <w:t>1</w:t>
      </w:r>
      <w:r w:rsidRPr="009A0DA6">
        <w:rPr>
          <w:rFonts w:ascii="Cambria" w:hAnsi="Cambria"/>
        </w:rPr>
        <w:t>)</w:t>
      </w:r>
    </w:p>
    <w:p w14:paraId="59594332" w14:textId="77777777" w:rsidR="00061992" w:rsidRPr="009A0DA6" w:rsidRDefault="00061992" w:rsidP="00061992">
      <w:pPr>
        <w:tabs>
          <w:tab w:val="left" w:pos="567"/>
          <w:tab w:val="left" w:pos="1276"/>
          <w:tab w:val="left" w:pos="1701"/>
        </w:tabs>
        <w:spacing w:after="0" w:line="22" w:lineRule="atLeast"/>
        <w:contextualSpacing/>
        <w:rPr>
          <w:rFonts w:ascii="Cambria" w:hAnsi="Cambria"/>
        </w:rPr>
      </w:pPr>
    </w:p>
    <w:p w14:paraId="5073C52E" w14:textId="77777777" w:rsidR="00061992" w:rsidRPr="009A0DA6" w:rsidRDefault="00061992" w:rsidP="00CC1481">
      <w:pPr>
        <w:pStyle w:val="ListParagraph"/>
        <w:numPr>
          <w:ilvl w:val="0"/>
          <w:numId w:val="1"/>
        </w:numPr>
        <w:spacing w:after="0" w:line="22" w:lineRule="atLeast"/>
        <w:ind w:left="567" w:hanging="567"/>
        <w:rPr>
          <w:rFonts w:ascii="Cambria" w:hAnsi="Cambria"/>
          <w:b/>
          <w:sz w:val="28"/>
          <w:szCs w:val="28"/>
        </w:rPr>
      </w:pPr>
      <w:r w:rsidRPr="009A0DA6">
        <w:rPr>
          <w:rFonts w:ascii="Cambria" w:hAnsi="Cambria"/>
          <w:b/>
          <w:sz w:val="28"/>
          <w:szCs w:val="28"/>
        </w:rPr>
        <w:t xml:space="preserve">ELECTIONS OF OFFICIALS AND </w:t>
      </w:r>
      <w:r w:rsidRPr="009A0DA6">
        <w:rPr>
          <w:rFonts w:ascii="Cambria" w:hAnsi="Cambria"/>
          <w:b/>
          <w:sz w:val="28"/>
          <w:szCs w:val="28"/>
        </w:rPr>
        <w:br/>
        <w:t>GENERAL CHURCH COUNCIL MEMBERS</w:t>
      </w:r>
    </w:p>
    <w:p w14:paraId="046064C2" w14:textId="067D6CDC" w:rsidR="00061992" w:rsidRPr="009A0DA6" w:rsidRDefault="00061992" w:rsidP="0016732E">
      <w:pPr>
        <w:spacing w:after="0" w:line="22" w:lineRule="atLeast"/>
        <w:ind w:firstLine="567"/>
        <w:rPr>
          <w:rFonts w:ascii="Cambria" w:hAnsi="Cambria"/>
        </w:rPr>
      </w:pPr>
      <w:r w:rsidRPr="0047649D">
        <w:rPr>
          <w:rFonts w:ascii="Cambria" w:hAnsi="Cambria"/>
        </w:rPr>
        <w:t>(Current office-bearers listed)</w:t>
      </w:r>
    </w:p>
    <w:p w14:paraId="0106214D" w14:textId="77777777" w:rsidR="00061992" w:rsidRPr="009A0DA6" w:rsidRDefault="00061992" w:rsidP="00061992">
      <w:pPr>
        <w:spacing w:after="0" w:line="22" w:lineRule="atLeast"/>
        <w:ind w:firstLine="360"/>
        <w:rPr>
          <w:rFonts w:ascii="Cambria" w:hAnsi="Cambria"/>
          <w:b/>
        </w:rPr>
      </w:pPr>
    </w:p>
    <w:p w14:paraId="63382AA3" w14:textId="77777777" w:rsidR="00061992" w:rsidRPr="009A0DA6" w:rsidRDefault="00061992" w:rsidP="005D4CD4">
      <w:pPr>
        <w:pStyle w:val="ListParagraph"/>
        <w:numPr>
          <w:ilvl w:val="1"/>
          <w:numId w:val="1"/>
        </w:numPr>
        <w:spacing w:after="0" w:line="22" w:lineRule="atLeast"/>
        <w:ind w:left="1418" w:hanging="851"/>
        <w:rPr>
          <w:rFonts w:ascii="Cambria" w:hAnsi="Cambria"/>
          <w:b/>
        </w:rPr>
      </w:pPr>
      <w:r w:rsidRPr="009A0DA6">
        <w:rPr>
          <w:rFonts w:ascii="Cambria" w:hAnsi="Cambria"/>
          <w:b/>
        </w:rPr>
        <w:t>Election of Bishop</w:t>
      </w:r>
    </w:p>
    <w:p w14:paraId="7CC89ABC" w14:textId="77777777" w:rsidR="00061992" w:rsidRPr="009A0DA6" w:rsidRDefault="00061992" w:rsidP="00061992">
      <w:pPr>
        <w:spacing w:after="0" w:line="22" w:lineRule="atLeast"/>
        <w:ind w:left="1418"/>
        <w:rPr>
          <w:rFonts w:ascii="Cambria" w:hAnsi="Cambria"/>
          <w:i/>
        </w:rPr>
      </w:pPr>
      <w:r w:rsidRPr="009A0DA6">
        <w:rPr>
          <w:rFonts w:ascii="Cambria" w:hAnsi="Cambria"/>
          <w:i/>
        </w:rPr>
        <w:t>Rev John R Henderson</w:t>
      </w:r>
    </w:p>
    <w:p w14:paraId="36E51CB4" w14:textId="77777777" w:rsidR="00061992" w:rsidRPr="009A0DA6" w:rsidRDefault="00061992" w:rsidP="005D4CD4">
      <w:pPr>
        <w:pStyle w:val="ListParagraph"/>
        <w:numPr>
          <w:ilvl w:val="1"/>
          <w:numId w:val="1"/>
        </w:numPr>
        <w:spacing w:after="0" w:line="22" w:lineRule="atLeast"/>
        <w:ind w:left="1418" w:hanging="851"/>
        <w:rPr>
          <w:rFonts w:ascii="Cambria" w:hAnsi="Cambria"/>
          <w:b/>
        </w:rPr>
      </w:pPr>
      <w:r w:rsidRPr="009A0DA6">
        <w:rPr>
          <w:rFonts w:ascii="Cambria" w:hAnsi="Cambria"/>
          <w:b/>
        </w:rPr>
        <w:t>Election of Assistant Bishop</w:t>
      </w:r>
    </w:p>
    <w:p w14:paraId="0E8AE95B" w14:textId="77777777" w:rsidR="00061992" w:rsidRPr="009A0DA6" w:rsidRDefault="00061992" w:rsidP="00061992">
      <w:pPr>
        <w:spacing w:after="0" w:line="22" w:lineRule="atLeast"/>
        <w:ind w:left="1418"/>
        <w:rPr>
          <w:rFonts w:ascii="Cambria" w:hAnsi="Cambria"/>
        </w:rPr>
      </w:pPr>
      <w:r w:rsidRPr="009A0DA6">
        <w:rPr>
          <w:rFonts w:ascii="Cambria" w:hAnsi="Cambria"/>
        </w:rPr>
        <w:t xml:space="preserve">Assistant Bishop: </w:t>
      </w:r>
      <w:r w:rsidRPr="009A0DA6">
        <w:rPr>
          <w:rFonts w:ascii="Cambria" w:hAnsi="Cambria"/>
          <w:i/>
        </w:rPr>
        <w:t>Rev Dr Andrew Pfeiffer</w:t>
      </w:r>
    </w:p>
    <w:p w14:paraId="0226F1DF" w14:textId="77777777" w:rsidR="00061992" w:rsidRPr="009A0DA6" w:rsidRDefault="00061992" w:rsidP="005D4CD4">
      <w:pPr>
        <w:pStyle w:val="ListParagraph"/>
        <w:numPr>
          <w:ilvl w:val="1"/>
          <w:numId w:val="1"/>
        </w:numPr>
        <w:spacing w:after="0" w:line="22" w:lineRule="atLeast"/>
        <w:ind w:left="1418" w:hanging="851"/>
        <w:rPr>
          <w:rFonts w:ascii="Cambria" w:hAnsi="Cambria"/>
          <w:b/>
        </w:rPr>
      </w:pPr>
      <w:r w:rsidRPr="009A0DA6">
        <w:rPr>
          <w:rFonts w:ascii="Cambria" w:hAnsi="Cambria"/>
          <w:b/>
        </w:rPr>
        <w:t>Election of General Church Council</w:t>
      </w:r>
    </w:p>
    <w:p w14:paraId="2B19B920" w14:textId="77777777" w:rsidR="00061992" w:rsidRPr="009A0DA6" w:rsidRDefault="00061992" w:rsidP="00061992">
      <w:pPr>
        <w:spacing w:after="0" w:line="22" w:lineRule="atLeast"/>
        <w:ind w:left="1418"/>
        <w:contextualSpacing/>
        <w:rPr>
          <w:rFonts w:ascii="Cambria" w:hAnsi="Cambria"/>
        </w:rPr>
      </w:pPr>
      <w:r w:rsidRPr="009A0DA6">
        <w:rPr>
          <w:rFonts w:ascii="Cambria" w:hAnsi="Cambria"/>
        </w:rPr>
        <w:t>[1 pastor, 1 lay member elected]</w:t>
      </w:r>
    </w:p>
    <w:p w14:paraId="14DFD48D" w14:textId="4A751878" w:rsidR="00061992" w:rsidRPr="009A0DA6" w:rsidRDefault="00061992" w:rsidP="00061992">
      <w:pPr>
        <w:spacing w:after="0" w:line="22" w:lineRule="atLeast"/>
        <w:ind w:left="1418"/>
        <w:contextualSpacing/>
        <w:rPr>
          <w:rFonts w:ascii="Cambria" w:hAnsi="Cambria"/>
        </w:rPr>
      </w:pPr>
      <w:r w:rsidRPr="009A0DA6">
        <w:rPr>
          <w:rFonts w:ascii="Cambria" w:hAnsi="Cambria"/>
        </w:rPr>
        <w:t xml:space="preserve">Pastor at large: </w:t>
      </w:r>
      <w:r w:rsidRPr="009A0DA6">
        <w:rPr>
          <w:rFonts w:ascii="Cambria" w:hAnsi="Cambria"/>
          <w:i/>
        </w:rPr>
        <w:t>Greg Priebbenow (</w:t>
      </w:r>
      <w:r w:rsidRPr="009A0DA6">
        <w:rPr>
          <w:rFonts w:ascii="Cambria" w:hAnsi="Cambria"/>
        </w:rPr>
        <w:t>not available for re-election</w:t>
      </w:r>
      <w:r w:rsidRPr="009A0DA6">
        <w:rPr>
          <w:rFonts w:ascii="Cambria" w:hAnsi="Cambria"/>
          <w:i/>
        </w:rPr>
        <w:t>)</w:t>
      </w:r>
    </w:p>
    <w:p w14:paraId="69E9DA1F" w14:textId="77777777" w:rsidR="00061992" w:rsidRPr="009A0DA6" w:rsidRDefault="00061992" w:rsidP="00061992">
      <w:pPr>
        <w:spacing w:after="0" w:line="22" w:lineRule="atLeast"/>
        <w:ind w:left="1418"/>
        <w:contextualSpacing/>
        <w:rPr>
          <w:rFonts w:ascii="Cambria" w:hAnsi="Cambria"/>
        </w:rPr>
      </w:pPr>
      <w:r w:rsidRPr="009A0DA6">
        <w:rPr>
          <w:rFonts w:ascii="Cambria" w:hAnsi="Cambria"/>
        </w:rPr>
        <w:t xml:space="preserve">Lay person at large: </w:t>
      </w:r>
      <w:r w:rsidRPr="009A0DA6">
        <w:rPr>
          <w:rFonts w:ascii="Cambria" w:hAnsi="Cambria"/>
          <w:i/>
        </w:rPr>
        <w:t>Ms Faye Schmidt</w:t>
      </w:r>
    </w:p>
    <w:p w14:paraId="4B61BA3E" w14:textId="77777777" w:rsidR="00061992" w:rsidRPr="009A0DA6" w:rsidRDefault="00061992" w:rsidP="00061992">
      <w:pPr>
        <w:spacing w:after="0" w:line="22" w:lineRule="atLeast"/>
        <w:ind w:left="1341" w:hanging="981"/>
        <w:contextualSpacing/>
        <w:rPr>
          <w:rFonts w:ascii="Cambria" w:hAnsi="Cambria"/>
        </w:rPr>
      </w:pPr>
    </w:p>
    <w:p w14:paraId="7F32B456" w14:textId="77777777" w:rsidR="00061992" w:rsidRPr="009A0DA6" w:rsidRDefault="00061992" w:rsidP="005D4CD4">
      <w:pPr>
        <w:pStyle w:val="ListParagraph"/>
        <w:numPr>
          <w:ilvl w:val="0"/>
          <w:numId w:val="1"/>
        </w:numPr>
        <w:tabs>
          <w:tab w:val="left" w:pos="1701"/>
        </w:tabs>
        <w:spacing w:after="0" w:line="22" w:lineRule="atLeast"/>
        <w:ind w:left="567" w:hanging="567"/>
        <w:rPr>
          <w:rFonts w:ascii="Cambria" w:hAnsi="Cambria"/>
          <w:b/>
          <w:sz w:val="28"/>
          <w:szCs w:val="28"/>
        </w:rPr>
      </w:pPr>
      <w:r w:rsidRPr="009A0DA6">
        <w:rPr>
          <w:rFonts w:ascii="Cambria" w:hAnsi="Cambria"/>
          <w:b/>
          <w:sz w:val="28"/>
          <w:szCs w:val="28"/>
        </w:rPr>
        <w:t>BOARDS PARTIALLY ELECTED BY SYNOD</w:t>
      </w:r>
    </w:p>
    <w:p w14:paraId="573D42F3" w14:textId="676B621B" w:rsidR="00061992" w:rsidRPr="009A0DA6" w:rsidRDefault="00061992" w:rsidP="0016732E">
      <w:pPr>
        <w:pStyle w:val="ListParagraph"/>
        <w:spacing w:after="0" w:line="22" w:lineRule="atLeast"/>
        <w:ind w:left="567"/>
        <w:rPr>
          <w:rFonts w:ascii="Cambria" w:hAnsi="Cambria"/>
        </w:rPr>
      </w:pPr>
      <w:r w:rsidRPr="0047649D">
        <w:rPr>
          <w:rFonts w:ascii="Cambria" w:hAnsi="Cambria"/>
        </w:rPr>
        <w:t xml:space="preserve">(Current members </w:t>
      </w:r>
      <w:r w:rsidR="0047649D" w:rsidRPr="0047649D">
        <w:rPr>
          <w:rFonts w:ascii="Cambria" w:hAnsi="Cambria"/>
        </w:rPr>
        <w:t>listed</w:t>
      </w:r>
      <w:r w:rsidRPr="0047649D">
        <w:rPr>
          <w:rFonts w:ascii="Cambria" w:hAnsi="Cambria"/>
        </w:rPr>
        <w:t>)</w:t>
      </w:r>
    </w:p>
    <w:p w14:paraId="643E39EB" w14:textId="77777777" w:rsidR="00061992" w:rsidRPr="009A0DA6" w:rsidRDefault="00061992" w:rsidP="00061992">
      <w:pPr>
        <w:pStyle w:val="ListParagraph"/>
        <w:spacing w:after="0" w:line="22" w:lineRule="atLeast"/>
        <w:ind w:left="1418"/>
        <w:rPr>
          <w:rFonts w:ascii="Cambria" w:hAnsi="Cambria"/>
          <w:i/>
        </w:rPr>
      </w:pPr>
    </w:p>
    <w:p w14:paraId="4240DDD0" w14:textId="77777777" w:rsidR="00061992" w:rsidRPr="009A0DA6" w:rsidRDefault="00061992" w:rsidP="005D4CD4">
      <w:pPr>
        <w:pStyle w:val="ListParagraph"/>
        <w:numPr>
          <w:ilvl w:val="1"/>
          <w:numId w:val="1"/>
        </w:numPr>
        <w:spacing w:after="0" w:line="22" w:lineRule="atLeast"/>
        <w:ind w:left="1418" w:hanging="851"/>
        <w:rPr>
          <w:rFonts w:ascii="Cambria" w:hAnsi="Cambria"/>
          <w:b/>
        </w:rPr>
      </w:pPr>
      <w:r w:rsidRPr="009A0DA6">
        <w:rPr>
          <w:rFonts w:ascii="Cambria" w:hAnsi="Cambria"/>
          <w:b/>
        </w:rPr>
        <w:t>Board of Directors Australian Lutheran College Ltd</w:t>
      </w:r>
    </w:p>
    <w:p w14:paraId="4D8A4E8D" w14:textId="5CAAC18A" w:rsidR="00061992" w:rsidRPr="009A0DA6" w:rsidRDefault="00061992" w:rsidP="00061992">
      <w:pPr>
        <w:spacing w:after="0" w:line="22" w:lineRule="atLeast"/>
        <w:ind w:left="1418"/>
        <w:contextualSpacing/>
        <w:rPr>
          <w:rFonts w:ascii="Cambria" w:hAnsi="Cambria"/>
        </w:rPr>
      </w:pPr>
      <w:r w:rsidRPr="009A0DA6">
        <w:rPr>
          <w:rFonts w:ascii="Cambria" w:hAnsi="Cambria"/>
        </w:rPr>
        <w:t>[2 pastor</w:t>
      </w:r>
      <w:r w:rsidR="00E65192" w:rsidRPr="009A0DA6">
        <w:rPr>
          <w:rFonts w:ascii="Cambria" w:hAnsi="Cambria"/>
        </w:rPr>
        <w:t>s</w:t>
      </w:r>
      <w:r w:rsidRPr="009A0DA6">
        <w:rPr>
          <w:rFonts w:ascii="Cambria" w:hAnsi="Cambria"/>
        </w:rPr>
        <w:t>, 2 lay members elected by Convention]</w:t>
      </w:r>
    </w:p>
    <w:p w14:paraId="4DF456D5" w14:textId="01E0DB40" w:rsidR="00061992" w:rsidRPr="009A0DA6" w:rsidRDefault="00061992" w:rsidP="00061992">
      <w:pPr>
        <w:spacing w:after="0" w:line="22" w:lineRule="atLeast"/>
        <w:ind w:left="1418"/>
        <w:contextualSpacing/>
        <w:rPr>
          <w:rFonts w:ascii="Cambria" w:hAnsi="Cambria"/>
          <w:i/>
        </w:rPr>
      </w:pPr>
      <w:r w:rsidRPr="009A0DA6">
        <w:rPr>
          <w:rFonts w:ascii="Cambria" w:hAnsi="Cambria"/>
        </w:rPr>
        <w:t>Pastors</w:t>
      </w:r>
      <w:r w:rsidR="00E65192" w:rsidRPr="009A0DA6">
        <w:rPr>
          <w:rFonts w:ascii="Cambria" w:hAnsi="Cambria"/>
        </w:rPr>
        <w:t>:</w:t>
      </w:r>
      <w:r w:rsidRPr="009A0DA6">
        <w:rPr>
          <w:rFonts w:ascii="Cambria" w:hAnsi="Cambria"/>
        </w:rPr>
        <w:t xml:space="preserve"> </w:t>
      </w:r>
      <w:r w:rsidRPr="009A0DA6">
        <w:rPr>
          <w:rFonts w:ascii="Cambria" w:hAnsi="Cambria"/>
          <w:i/>
        </w:rPr>
        <w:t>G Pietsch, D Gogoll, J Henderson, R Paech</w:t>
      </w:r>
    </w:p>
    <w:p w14:paraId="31B3FA87" w14:textId="77777777" w:rsidR="00061992" w:rsidRPr="009A0DA6" w:rsidRDefault="00061992" w:rsidP="00061992">
      <w:pPr>
        <w:spacing w:after="0" w:line="22" w:lineRule="atLeast"/>
        <w:ind w:left="1418"/>
        <w:contextualSpacing/>
        <w:rPr>
          <w:rFonts w:ascii="Cambria" w:hAnsi="Cambria"/>
          <w:i/>
        </w:rPr>
      </w:pPr>
      <w:r w:rsidRPr="009A0DA6">
        <w:rPr>
          <w:rFonts w:ascii="Cambria" w:hAnsi="Cambria"/>
        </w:rPr>
        <w:t>Lay members</w:t>
      </w:r>
      <w:r w:rsidRPr="009A0DA6">
        <w:rPr>
          <w:rFonts w:ascii="Cambria" w:hAnsi="Cambria"/>
          <w:i/>
        </w:rPr>
        <w:t xml:space="preserve">: Mrs S Kloeden, Mr D Dreckow, Mr N Klinge, Mr D Prenzler, </w:t>
      </w:r>
      <w:r w:rsidRPr="009A0DA6">
        <w:rPr>
          <w:rFonts w:ascii="Cambria" w:hAnsi="Cambria"/>
          <w:i/>
        </w:rPr>
        <w:br/>
        <w:t>Mr B Mills, Ms Kristine Gebbie</w:t>
      </w:r>
    </w:p>
    <w:p w14:paraId="609EDC04" w14:textId="64238DDF" w:rsidR="00061992" w:rsidRPr="009A0DA6" w:rsidRDefault="00061992" w:rsidP="00061992">
      <w:pPr>
        <w:spacing w:after="0" w:line="22" w:lineRule="atLeast"/>
        <w:ind w:left="1418"/>
        <w:contextualSpacing/>
        <w:rPr>
          <w:rFonts w:ascii="Cambria" w:hAnsi="Cambria"/>
          <w:i/>
        </w:rPr>
      </w:pPr>
      <w:r w:rsidRPr="009A0DA6">
        <w:rPr>
          <w:rFonts w:ascii="Cambria" w:hAnsi="Cambria"/>
        </w:rPr>
        <w:t>Consultants</w:t>
      </w:r>
      <w:r w:rsidRPr="009A0DA6">
        <w:rPr>
          <w:rFonts w:ascii="Cambria" w:hAnsi="Cambria"/>
          <w:i/>
        </w:rPr>
        <w:t>:</w:t>
      </w:r>
      <w:r w:rsidR="00E65192" w:rsidRPr="009A0DA6">
        <w:rPr>
          <w:rFonts w:ascii="Cambria" w:hAnsi="Cambria"/>
          <w:i/>
        </w:rPr>
        <w:t xml:space="preserve"> Rev J Winderlich, Mrs A Lamnek</w:t>
      </w:r>
    </w:p>
    <w:p w14:paraId="496B7087" w14:textId="77777777" w:rsidR="00061992" w:rsidRPr="009A0DA6" w:rsidRDefault="00061992" w:rsidP="005D4CD4">
      <w:pPr>
        <w:pStyle w:val="ListParagraph"/>
        <w:numPr>
          <w:ilvl w:val="1"/>
          <w:numId w:val="1"/>
        </w:numPr>
        <w:spacing w:after="0" w:line="22" w:lineRule="atLeast"/>
        <w:ind w:left="1418" w:hanging="851"/>
        <w:rPr>
          <w:rFonts w:ascii="Cambria" w:hAnsi="Cambria"/>
          <w:b/>
        </w:rPr>
      </w:pPr>
      <w:r w:rsidRPr="009A0DA6">
        <w:rPr>
          <w:rFonts w:ascii="Cambria" w:hAnsi="Cambria"/>
          <w:b/>
        </w:rPr>
        <w:t>Board for Mission</w:t>
      </w:r>
    </w:p>
    <w:p w14:paraId="39C8B42C" w14:textId="77777777" w:rsidR="00061992" w:rsidRPr="009A0DA6" w:rsidRDefault="00061992" w:rsidP="00061992">
      <w:pPr>
        <w:spacing w:after="0" w:line="22" w:lineRule="atLeast"/>
        <w:ind w:left="1418"/>
        <w:contextualSpacing/>
        <w:rPr>
          <w:rFonts w:ascii="Cambria" w:hAnsi="Cambria"/>
        </w:rPr>
      </w:pPr>
      <w:r w:rsidRPr="009A0DA6">
        <w:rPr>
          <w:rFonts w:ascii="Cambria" w:hAnsi="Cambria"/>
        </w:rPr>
        <w:t>[1 pastor, 2 lay members elected by Convention]</w:t>
      </w:r>
    </w:p>
    <w:p w14:paraId="63B4E09C" w14:textId="77777777" w:rsidR="00061992" w:rsidRPr="009A0DA6" w:rsidRDefault="00061992" w:rsidP="00061992">
      <w:pPr>
        <w:tabs>
          <w:tab w:val="left" w:pos="5748"/>
        </w:tabs>
        <w:spacing w:after="0" w:line="22" w:lineRule="atLeast"/>
        <w:ind w:left="1418" w:hanging="851"/>
        <w:contextualSpacing/>
        <w:rPr>
          <w:rFonts w:ascii="Cambria" w:hAnsi="Cambria"/>
          <w:i/>
        </w:rPr>
      </w:pPr>
      <w:r w:rsidRPr="009A0DA6">
        <w:rPr>
          <w:rFonts w:ascii="Cambria" w:hAnsi="Cambria"/>
          <w:i/>
        </w:rPr>
        <w:tab/>
      </w:r>
      <w:r w:rsidRPr="009A0DA6">
        <w:rPr>
          <w:rFonts w:ascii="Cambria" w:hAnsi="Cambria"/>
        </w:rPr>
        <w:t>Pastors:</w:t>
      </w:r>
      <w:r w:rsidRPr="009A0DA6">
        <w:rPr>
          <w:rFonts w:ascii="Cambria" w:hAnsi="Cambria"/>
          <w:i/>
        </w:rPr>
        <w:t xml:space="preserve"> J Henderson, P Hage</w:t>
      </w:r>
      <w:r w:rsidRPr="009A0DA6">
        <w:rPr>
          <w:rFonts w:ascii="Cambria" w:hAnsi="Cambria"/>
          <w:i/>
        </w:rPr>
        <w:tab/>
      </w:r>
    </w:p>
    <w:p w14:paraId="2D19BEB4" w14:textId="5FEBDD95" w:rsidR="00061992" w:rsidRPr="009A0DA6" w:rsidRDefault="00061992" w:rsidP="00061992">
      <w:pPr>
        <w:spacing w:after="0" w:line="22" w:lineRule="atLeast"/>
        <w:ind w:left="1418"/>
        <w:contextualSpacing/>
        <w:rPr>
          <w:rFonts w:ascii="Cambria" w:hAnsi="Cambria"/>
          <w:i/>
        </w:rPr>
      </w:pPr>
      <w:r w:rsidRPr="009A0DA6">
        <w:rPr>
          <w:rFonts w:ascii="Cambria" w:hAnsi="Cambria"/>
        </w:rPr>
        <w:t>Lay members:</w:t>
      </w:r>
      <w:r w:rsidRPr="009A0DA6">
        <w:rPr>
          <w:rFonts w:ascii="Cambria" w:hAnsi="Cambria"/>
          <w:i/>
        </w:rPr>
        <w:t xml:space="preserve"> Ms A Synnott, </w:t>
      </w:r>
      <w:r w:rsidR="0047649D">
        <w:rPr>
          <w:rFonts w:ascii="Cambria" w:hAnsi="Cambria"/>
          <w:i/>
        </w:rPr>
        <w:t>Mr R Hoff</w:t>
      </w:r>
    </w:p>
    <w:p w14:paraId="4FB5C6CC" w14:textId="59C07F08" w:rsidR="00061992" w:rsidRPr="009A0DA6" w:rsidRDefault="00061992" w:rsidP="00061992">
      <w:pPr>
        <w:spacing w:after="0" w:line="22" w:lineRule="atLeast"/>
        <w:ind w:left="1418"/>
        <w:contextualSpacing/>
        <w:rPr>
          <w:rFonts w:ascii="Cambria" w:hAnsi="Cambria"/>
          <w:i/>
          <w:highlight w:val="green"/>
        </w:rPr>
      </w:pPr>
      <w:r w:rsidRPr="009A0DA6">
        <w:rPr>
          <w:rFonts w:ascii="Cambria" w:hAnsi="Cambria"/>
        </w:rPr>
        <w:t>Consultants:</w:t>
      </w:r>
      <w:r w:rsidRPr="009A0DA6">
        <w:rPr>
          <w:rFonts w:ascii="Cambria" w:hAnsi="Cambria"/>
          <w:i/>
        </w:rPr>
        <w:t xml:space="preserve"> Ms G Hartwich, Mr S Kroker</w:t>
      </w:r>
      <w:r w:rsidR="0047649D">
        <w:rPr>
          <w:rFonts w:ascii="Cambria" w:hAnsi="Cambria"/>
          <w:i/>
        </w:rPr>
        <w:t>, Dr T Nelson</w:t>
      </w:r>
    </w:p>
    <w:p w14:paraId="0B985DEC" w14:textId="77777777" w:rsidR="00061992" w:rsidRPr="009A0DA6" w:rsidRDefault="00061992" w:rsidP="005D4CD4">
      <w:pPr>
        <w:pStyle w:val="ListParagraph"/>
        <w:numPr>
          <w:ilvl w:val="1"/>
          <w:numId w:val="1"/>
        </w:numPr>
        <w:spacing w:after="0" w:line="22" w:lineRule="atLeast"/>
        <w:ind w:left="1418" w:hanging="851"/>
        <w:rPr>
          <w:rFonts w:ascii="Cambria" w:hAnsi="Cambria"/>
          <w:b/>
        </w:rPr>
      </w:pPr>
      <w:r w:rsidRPr="009A0DA6">
        <w:rPr>
          <w:rFonts w:ascii="Cambria" w:hAnsi="Cambria"/>
          <w:b/>
        </w:rPr>
        <w:t>Board for Lutheran Archives</w:t>
      </w:r>
    </w:p>
    <w:p w14:paraId="6F57EA18" w14:textId="77777777" w:rsidR="00061992" w:rsidRPr="009A0DA6" w:rsidRDefault="00061992" w:rsidP="00061992">
      <w:pPr>
        <w:spacing w:after="0" w:line="22" w:lineRule="atLeast"/>
        <w:ind w:left="1418"/>
        <w:contextualSpacing/>
        <w:rPr>
          <w:rFonts w:ascii="Cambria" w:hAnsi="Cambria"/>
        </w:rPr>
      </w:pPr>
      <w:r w:rsidRPr="009A0DA6">
        <w:rPr>
          <w:rFonts w:ascii="Cambria" w:hAnsi="Cambria"/>
        </w:rPr>
        <w:t>[1 pastor, 3 lay members elected by Convention]</w:t>
      </w:r>
    </w:p>
    <w:p w14:paraId="1ABC7FE0" w14:textId="77777777" w:rsidR="00061992" w:rsidRPr="009A0DA6" w:rsidRDefault="00061992" w:rsidP="00061992">
      <w:pPr>
        <w:spacing w:after="0" w:line="22" w:lineRule="atLeast"/>
        <w:ind w:left="1418"/>
        <w:contextualSpacing/>
        <w:rPr>
          <w:rFonts w:ascii="Cambria" w:hAnsi="Cambria"/>
        </w:rPr>
      </w:pPr>
      <w:r w:rsidRPr="009A0DA6">
        <w:rPr>
          <w:rFonts w:ascii="Cambria" w:hAnsi="Cambria"/>
        </w:rPr>
        <w:t>Pastors</w:t>
      </w:r>
      <w:r w:rsidRPr="009A0DA6">
        <w:rPr>
          <w:rFonts w:ascii="Cambria" w:hAnsi="Cambria"/>
          <w:i/>
        </w:rPr>
        <w:t>: Dr G Lockwood, M Stollznow</w:t>
      </w:r>
    </w:p>
    <w:p w14:paraId="4C82703E" w14:textId="6F0D60AE" w:rsidR="00061992" w:rsidRPr="009A0DA6" w:rsidRDefault="00061992" w:rsidP="00061992">
      <w:pPr>
        <w:spacing w:after="0" w:line="22" w:lineRule="atLeast"/>
        <w:ind w:left="1418"/>
        <w:contextualSpacing/>
        <w:rPr>
          <w:rFonts w:ascii="Cambria" w:hAnsi="Cambria"/>
        </w:rPr>
      </w:pPr>
      <w:r w:rsidRPr="009A0DA6">
        <w:rPr>
          <w:rFonts w:ascii="Cambria" w:hAnsi="Cambria"/>
        </w:rPr>
        <w:t>Lay members</w:t>
      </w:r>
      <w:r w:rsidR="00E65192" w:rsidRPr="009A0DA6">
        <w:rPr>
          <w:rFonts w:ascii="Cambria" w:hAnsi="Cambria"/>
        </w:rPr>
        <w:t>:</w:t>
      </w:r>
      <w:r w:rsidRPr="009A0DA6">
        <w:rPr>
          <w:rFonts w:ascii="Cambria" w:hAnsi="Cambria"/>
        </w:rPr>
        <w:t xml:space="preserve"> </w:t>
      </w:r>
      <w:r w:rsidRPr="009A0DA6">
        <w:rPr>
          <w:rFonts w:ascii="Cambria" w:hAnsi="Cambria"/>
          <w:i/>
        </w:rPr>
        <w:t>Mrs L Coleman, Dr L Zweck, Ms L Helbig, Mr E Leske</w:t>
      </w:r>
    </w:p>
    <w:p w14:paraId="4318D962" w14:textId="77777777" w:rsidR="00061992" w:rsidRPr="009A0DA6" w:rsidRDefault="00061992" w:rsidP="00061992">
      <w:pPr>
        <w:spacing w:after="0" w:line="22" w:lineRule="atLeast"/>
        <w:ind w:left="1418"/>
        <w:contextualSpacing/>
        <w:rPr>
          <w:rFonts w:ascii="Cambria" w:hAnsi="Cambria"/>
        </w:rPr>
      </w:pPr>
      <w:r w:rsidRPr="009A0DA6">
        <w:rPr>
          <w:rFonts w:ascii="Cambria" w:hAnsi="Cambria"/>
        </w:rPr>
        <w:t xml:space="preserve">Consultant: </w:t>
      </w:r>
      <w:r w:rsidRPr="009A0DA6">
        <w:rPr>
          <w:rFonts w:ascii="Cambria" w:hAnsi="Cambria"/>
          <w:i/>
        </w:rPr>
        <w:t>Mrs R Kuchel</w:t>
      </w:r>
    </w:p>
    <w:p w14:paraId="1F5111DF" w14:textId="77777777" w:rsidR="00DB1A87" w:rsidRDefault="00DB1A87">
      <w:pPr>
        <w:rPr>
          <w:rFonts w:ascii="Cambria" w:eastAsiaTheme="minorEastAsia" w:hAnsi="Cambria"/>
          <w:b/>
          <w:lang w:val="en-US" w:eastAsia="ja-JP"/>
        </w:rPr>
      </w:pPr>
      <w:r>
        <w:rPr>
          <w:rFonts w:ascii="Cambria" w:hAnsi="Cambria"/>
          <w:b/>
        </w:rPr>
        <w:br w:type="page"/>
      </w:r>
    </w:p>
    <w:p w14:paraId="2B585CCB" w14:textId="597602AA" w:rsidR="00061992" w:rsidRPr="009A0DA6" w:rsidRDefault="00061992" w:rsidP="005D4CD4">
      <w:pPr>
        <w:pStyle w:val="ListParagraph"/>
        <w:numPr>
          <w:ilvl w:val="1"/>
          <w:numId w:val="1"/>
        </w:numPr>
        <w:spacing w:after="0" w:line="22" w:lineRule="atLeast"/>
        <w:ind w:left="1418" w:hanging="851"/>
        <w:rPr>
          <w:rFonts w:ascii="Cambria" w:hAnsi="Cambria"/>
          <w:b/>
        </w:rPr>
      </w:pPr>
      <w:r w:rsidRPr="009A0DA6">
        <w:rPr>
          <w:rFonts w:ascii="Cambria" w:hAnsi="Cambria"/>
          <w:b/>
        </w:rPr>
        <w:lastRenderedPageBreak/>
        <w:t>Board for Media Ministry</w:t>
      </w:r>
    </w:p>
    <w:p w14:paraId="77ECA991" w14:textId="77777777" w:rsidR="00061992" w:rsidRPr="009A0DA6" w:rsidRDefault="00061992" w:rsidP="00061992">
      <w:pPr>
        <w:spacing w:after="0" w:line="22" w:lineRule="atLeast"/>
        <w:ind w:left="1418"/>
        <w:rPr>
          <w:rFonts w:ascii="Cambria" w:hAnsi="Cambria"/>
        </w:rPr>
      </w:pPr>
      <w:r w:rsidRPr="009A0DA6">
        <w:rPr>
          <w:rFonts w:ascii="Cambria" w:hAnsi="Cambria"/>
        </w:rPr>
        <w:t>[1 pastor, 3 lay members elected by Convention}</w:t>
      </w:r>
    </w:p>
    <w:p w14:paraId="4D320700" w14:textId="77777777" w:rsidR="00061992" w:rsidRPr="009A0DA6" w:rsidRDefault="00061992" w:rsidP="00061992">
      <w:pPr>
        <w:spacing w:after="0" w:line="22" w:lineRule="atLeast"/>
        <w:ind w:left="1418"/>
        <w:rPr>
          <w:rFonts w:ascii="Cambria" w:hAnsi="Cambria"/>
          <w:i/>
        </w:rPr>
      </w:pPr>
      <w:r w:rsidRPr="009A0DA6">
        <w:rPr>
          <w:rFonts w:ascii="Cambria" w:hAnsi="Cambria"/>
        </w:rPr>
        <w:t>Pastors</w:t>
      </w:r>
      <w:r w:rsidRPr="009A0DA6">
        <w:rPr>
          <w:rFonts w:ascii="Cambria" w:hAnsi="Cambria"/>
          <w:i/>
        </w:rPr>
        <w:t>: B Hentschke, M Hansen</w:t>
      </w:r>
    </w:p>
    <w:p w14:paraId="1343776D" w14:textId="3C17ABFD" w:rsidR="00061992" w:rsidRPr="009A0DA6" w:rsidRDefault="00061992" w:rsidP="00061992">
      <w:pPr>
        <w:spacing w:after="0" w:line="22" w:lineRule="atLeast"/>
        <w:ind w:left="1418"/>
        <w:rPr>
          <w:rFonts w:ascii="Cambria" w:hAnsi="Cambria"/>
          <w:i/>
        </w:rPr>
      </w:pPr>
      <w:r w:rsidRPr="009A0DA6">
        <w:rPr>
          <w:rFonts w:ascii="Cambria" w:hAnsi="Cambria"/>
        </w:rPr>
        <w:t>Lay members</w:t>
      </w:r>
      <w:r w:rsidRPr="009A0DA6">
        <w:rPr>
          <w:rFonts w:ascii="Cambria" w:hAnsi="Cambria"/>
          <w:i/>
        </w:rPr>
        <w:t>: Ms M Shepherd, Ms K Mildred, Mr R Meharg</w:t>
      </w:r>
      <w:r w:rsidR="00E65192" w:rsidRPr="009A0DA6">
        <w:rPr>
          <w:rFonts w:ascii="Cambria" w:hAnsi="Cambria"/>
          <w:i/>
        </w:rPr>
        <w:t>, Mr J Graetz</w:t>
      </w:r>
    </w:p>
    <w:p w14:paraId="1E493DB5" w14:textId="77777777" w:rsidR="00061992" w:rsidRPr="009A0DA6" w:rsidRDefault="00061992" w:rsidP="00061992">
      <w:pPr>
        <w:spacing w:after="0" w:line="22" w:lineRule="atLeast"/>
        <w:ind w:left="1418"/>
        <w:rPr>
          <w:rFonts w:ascii="Cambria" w:hAnsi="Cambria"/>
          <w:b/>
        </w:rPr>
      </w:pPr>
      <w:r w:rsidRPr="009A0DA6">
        <w:rPr>
          <w:rFonts w:ascii="Cambria" w:hAnsi="Cambria"/>
        </w:rPr>
        <w:t>Consultant</w:t>
      </w:r>
      <w:r w:rsidRPr="009A0DA6">
        <w:rPr>
          <w:rFonts w:ascii="Cambria" w:hAnsi="Cambria"/>
          <w:i/>
        </w:rPr>
        <w:t>: Rev R Fox</w:t>
      </w:r>
    </w:p>
    <w:p w14:paraId="7AD10990" w14:textId="77777777" w:rsidR="00061992" w:rsidRPr="009A0DA6" w:rsidRDefault="00061992" w:rsidP="005D4CD4">
      <w:pPr>
        <w:pStyle w:val="ListParagraph"/>
        <w:numPr>
          <w:ilvl w:val="1"/>
          <w:numId w:val="1"/>
        </w:numPr>
        <w:spacing w:after="0" w:line="22" w:lineRule="atLeast"/>
        <w:ind w:left="1418" w:hanging="851"/>
        <w:rPr>
          <w:rFonts w:ascii="Cambria" w:hAnsi="Cambria"/>
          <w:b/>
        </w:rPr>
      </w:pPr>
      <w:r w:rsidRPr="009A0DA6">
        <w:rPr>
          <w:rFonts w:ascii="Cambria" w:hAnsi="Cambria"/>
          <w:b/>
        </w:rPr>
        <w:t>Board for Lutheran Aged Care Australia</w:t>
      </w:r>
    </w:p>
    <w:p w14:paraId="4068DE16" w14:textId="77777777" w:rsidR="00061992" w:rsidRPr="009A0DA6" w:rsidRDefault="00061992" w:rsidP="00061992">
      <w:pPr>
        <w:spacing w:after="0" w:line="22" w:lineRule="atLeast"/>
        <w:ind w:left="1418"/>
        <w:rPr>
          <w:rFonts w:ascii="Cambria" w:hAnsi="Cambria"/>
        </w:rPr>
      </w:pPr>
      <w:r w:rsidRPr="009A0DA6">
        <w:rPr>
          <w:rFonts w:ascii="Cambria" w:hAnsi="Cambria"/>
        </w:rPr>
        <w:t>[1 pastor, 1 lay member elected by Convention]</w:t>
      </w:r>
    </w:p>
    <w:p w14:paraId="121CC6BD" w14:textId="38138874" w:rsidR="00061992" w:rsidRPr="009A0DA6" w:rsidRDefault="005C47FE" w:rsidP="00061992">
      <w:pPr>
        <w:spacing w:after="0" w:line="22" w:lineRule="atLeast"/>
        <w:ind w:left="1418"/>
        <w:rPr>
          <w:rFonts w:ascii="Cambria" w:hAnsi="Cambria"/>
        </w:rPr>
      </w:pPr>
      <w:r w:rsidRPr="009A0DA6">
        <w:rPr>
          <w:rFonts w:ascii="Cambria" w:hAnsi="Cambria"/>
        </w:rPr>
        <w:t>Pastor</w:t>
      </w:r>
      <w:r w:rsidR="00061992" w:rsidRPr="009A0DA6">
        <w:rPr>
          <w:rFonts w:ascii="Cambria" w:hAnsi="Cambria"/>
        </w:rPr>
        <w:t xml:space="preserve">: </w:t>
      </w:r>
      <w:r w:rsidR="00061992" w:rsidRPr="009A0DA6">
        <w:rPr>
          <w:rFonts w:ascii="Cambria" w:hAnsi="Cambria"/>
          <w:i/>
        </w:rPr>
        <w:t>G Wegener</w:t>
      </w:r>
    </w:p>
    <w:p w14:paraId="750104D8" w14:textId="183E6958" w:rsidR="00061992" w:rsidRPr="009A0DA6" w:rsidRDefault="00061992" w:rsidP="00061992">
      <w:pPr>
        <w:spacing w:after="0" w:line="22" w:lineRule="atLeast"/>
        <w:ind w:left="1418"/>
        <w:rPr>
          <w:rFonts w:ascii="Cambria" w:hAnsi="Cambria"/>
        </w:rPr>
      </w:pPr>
      <w:r w:rsidRPr="009A0DA6">
        <w:rPr>
          <w:rFonts w:ascii="Cambria" w:hAnsi="Cambria"/>
        </w:rPr>
        <w:t xml:space="preserve">Lay members: </w:t>
      </w:r>
      <w:r w:rsidRPr="009A0DA6">
        <w:rPr>
          <w:rFonts w:ascii="Cambria" w:hAnsi="Cambria"/>
          <w:i/>
        </w:rPr>
        <w:t xml:space="preserve">Mr M Johns, Mrs </w:t>
      </w:r>
      <w:r w:rsidR="005C47FE" w:rsidRPr="009A0DA6">
        <w:rPr>
          <w:rFonts w:ascii="Cambria" w:hAnsi="Cambria"/>
          <w:i/>
        </w:rPr>
        <w:t xml:space="preserve">C Fitzpatrick, Ms J Gilbertson, Mr G Thiel, </w:t>
      </w:r>
      <w:r w:rsidR="005C47FE" w:rsidRPr="009A0DA6">
        <w:rPr>
          <w:rFonts w:ascii="Cambria" w:hAnsi="Cambria"/>
          <w:i/>
        </w:rPr>
        <w:br/>
        <w:t>Dr C Seligmann, Ms A Uhrhane</w:t>
      </w:r>
    </w:p>
    <w:p w14:paraId="4323B78C" w14:textId="085BFF2D" w:rsidR="00061992" w:rsidRPr="009A0DA6" w:rsidRDefault="00061992" w:rsidP="00061992">
      <w:pPr>
        <w:spacing w:after="0" w:line="22" w:lineRule="atLeast"/>
        <w:ind w:left="1418"/>
        <w:rPr>
          <w:rFonts w:ascii="Cambria" w:hAnsi="Cambria"/>
          <w:b/>
        </w:rPr>
      </w:pPr>
      <w:r w:rsidRPr="009A0DA6">
        <w:rPr>
          <w:rFonts w:ascii="Cambria" w:hAnsi="Cambria"/>
        </w:rPr>
        <w:t xml:space="preserve">Consultants: </w:t>
      </w:r>
      <w:r w:rsidR="005C47FE" w:rsidRPr="009A0DA6">
        <w:rPr>
          <w:rFonts w:ascii="Cambria" w:hAnsi="Cambria"/>
          <w:i/>
        </w:rPr>
        <w:t>Rev P Semmler, Ms W Rocks</w:t>
      </w:r>
    </w:p>
    <w:p w14:paraId="4C45510C" w14:textId="77777777" w:rsidR="00061992" w:rsidRPr="009A0DA6" w:rsidRDefault="00061992" w:rsidP="005D4CD4">
      <w:pPr>
        <w:pStyle w:val="ListParagraph"/>
        <w:numPr>
          <w:ilvl w:val="1"/>
          <w:numId w:val="1"/>
        </w:numPr>
        <w:spacing w:after="0" w:line="22" w:lineRule="atLeast"/>
        <w:ind w:left="1418" w:hanging="851"/>
        <w:rPr>
          <w:rFonts w:ascii="Cambria" w:hAnsi="Cambria"/>
          <w:b/>
        </w:rPr>
      </w:pPr>
      <w:r w:rsidRPr="009A0DA6">
        <w:rPr>
          <w:rFonts w:ascii="Cambria" w:hAnsi="Cambria"/>
          <w:b/>
        </w:rPr>
        <w:t>Board of Directors Lutheran Education Australia Ltd</w:t>
      </w:r>
    </w:p>
    <w:p w14:paraId="1A431560" w14:textId="77777777" w:rsidR="00061992" w:rsidRPr="009A0DA6" w:rsidRDefault="00061992" w:rsidP="00061992">
      <w:pPr>
        <w:spacing w:after="0" w:line="22" w:lineRule="atLeast"/>
        <w:ind w:left="1418"/>
        <w:rPr>
          <w:rFonts w:ascii="Cambria" w:hAnsi="Cambria"/>
        </w:rPr>
      </w:pPr>
      <w:r w:rsidRPr="009A0DA6">
        <w:rPr>
          <w:rFonts w:ascii="Cambria" w:hAnsi="Cambria"/>
        </w:rPr>
        <w:t>[1 pastor, 1 lay member elected by Convention]</w:t>
      </w:r>
    </w:p>
    <w:p w14:paraId="1A97B974" w14:textId="3C2BEA43" w:rsidR="00061992" w:rsidRPr="009A0DA6" w:rsidRDefault="00061992" w:rsidP="00061992">
      <w:pPr>
        <w:spacing w:after="0" w:line="22" w:lineRule="atLeast"/>
        <w:ind w:left="1418"/>
        <w:rPr>
          <w:rFonts w:ascii="Cambria" w:hAnsi="Cambria"/>
          <w:i/>
        </w:rPr>
      </w:pPr>
      <w:r w:rsidRPr="009A0DA6">
        <w:rPr>
          <w:rFonts w:ascii="Cambria" w:hAnsi="Cambria"/>
        </w:rPr>
        <w:t xml:space="preserve">Pastor: </w:t>
      </w:r>
      <w:r w:rsidRPr="009A0DA6">
        <w:rPr>
          <w:rFonts w:ascii="Cambria" w:hAnsi="Cambria"/>
          <w:i/>
        </w:rPr>
        <w:t>T B</w:t>
      </w:r>
      <w:r w:rsidR="00F923DF">
        <w:rPr>
          <w:rFonts w:ascii="Cambria" w:hAnsi="Cambria"/>
          <w:i/>
        </w:rPr>
        <w:t>o</w:t>
      </w:r>
      <w:r w:rsidRPr="009A0DA6">
        <w:rPr>
          <w:rFonts w:ascii="Cambria" w:hAnsi="Cambria"/>
          <w:i/>
        </w:rPr>
        <w:t>hmert</w:t>
      </w:r>
    </w:p>
    <w:p w14:paraId="49B245BF" w14:textId="77777777" w:rsidR="00061992" w:rsidRPr="009A0DA6" w:rsidRDefault="00061992" w:rsidP="00061992">
      <w:pPr>
        <w:spacing w:after="0" w:line="22" w:lineRule="atLeast"/>
        <w:ind w:left="1418"/>
        <w:rPr>
          <w:rFonts w:ascii="Cambria" w:hAnsi="Cambria"/>
          <w:i/>
        </w:rPr>
      </w:pPr>
      <w:r w:rsidRPr="009A0DA6">
        <w:rPr>
          <w:rFonts w:ascii="Cambria" w:hAnsi="Cambria"/>
        </w:rPr>
        <w:t xml:space="preserve">Lay members: </w:t>
      </w:r>
      <w:r w:rsidRPr="009A0DA6">
        <w:rPr>
          <w:rFonts w:ascii="Cambria" w:hAnsi="Cambria"/>
          <w:i/>
        </w:rPr>
        <w:t>Dr N Highett, Mr L Saegenschnitter, Mr B Hausler, Ms S Wood, Ms S Dixon, Dr L Schmidt</w:t>
      </w:r>
    </w:p>
    <w:p w14:paraId="572A897A" w14:textId="4E034C9E" w:rsidR="00061992" w:rsidRPr="009A0DA6" w:rsidRDefault="00061992" w:rsidP="00061992">
      <w:pPr>
        <w:spacing w:after="0" w:line="22" w:lineRule="atLeast"/>
        <w:ind w:left="1418"/>
        <w:rPr>
          <w:rFonts w:ascii="Cambria" w:hAnsi="Cambria"/>
        </w:rPr>
      </w:pPr>
      <w:r w:rsidRPr="009A0DA6">
        <w:rPr>
          <w:rFonts w:ascii="Cambria" w:hAnsi="Cambria"/>
        </w:rPr>
        <w:t>Consultants:</w:t>
      </w:r>
      <w:r w:rsidRPr="009A0DA6">
        <w:rPr>
          <w:rFonts w:ascii="Cambria" w:hAnsi="Cambria"/>
          <w:i/>
        </w:rPr>
        <w:t xml:space="preserve"> Mr S Rudolph, Mr J Proeve, Mr</w:t>
      </w:r>
      <w:r w:rsidR="005C47FE" w:rsidRPr="009A0DA6">
        <w:rPr>
          <w:rFonts w:ascii="Cambria" w:hAnsi="Cambria"/>
          <w:i/>
        </w:rPr>
        <w:t xml:space="preserve"> D Mulherin, Mr J Denholm</w:t>
      </w:r>
    </w:p>
    <w:p w14:paraId="15E8E60A" w14:textId="77777777" w:rsidR="00061992" w:rsidRPr="009A0DA6" w:rsidRDefault="00061992" w:rsidP="005D4CD4">
      <w:pPr>
        <w:pStyle w:val="ListParagraph"/>
        <w:numPr>
          <w:ilvl w:val="1"/>
          <w:numId w:val="1"/>
        </w:numPr>
        <w:spacing w:after="0" w:line="22" w:lineRule="atLeast"/>
        <w:ind w:left="1418" w:hanging="851"/>
        <w:rPr>
          <w:rFonts w:ascii="Cambria" w:hAnsi="Cambria"/>
          <w:b/>
        </w:rPr>
      </w:pPr>
      <w:r w:rsidRPr="009A0DA6">
        <w:rPr>
          <w:rFonts w:ascii="Cambria" w:hAnsi="Cambria"/>
          <w:b/>
        </w:rPr>
        <w:t>Commission on Salaries</w:t>
      </w:r>
    </w:p>
    <w:p w14:paraId="22CDC382" w14:textId="77777777" w:rsidR="00061992" w:rsidRPr="009A0DA6" w:rsidRDefault="00061992" w:rsidP="00061992">
      <w:pPr>
        <w:spacing w:after="0" w:line="22" w:lineRule="atLeast"/>
        <w:ind w:left="1418"/>
        <w:contextualSpacing/>
        <w:rPr>
          <w:rFonts w:ascii="Cambria" w:hAnsi="Cambria"/>
        </w:rPr>
      </w:pPr>
      <w:r w:rsidRPr="009A0DA6">
        <w:rPr>
          <w:rFonts w:ascii="Cambria" w:hAnsi="Cambria"/>
        </w:rPr>
        <w:t>[1 pastor, 2 lay members elected by Convention]</w:t>
      </w:r>
    </w:p>
    <w:p w14:paraId="4AD21CB4" w14:textId="56050EEA" w:rsidR="00061992" w:rsidRPr="009A0DA6" w:rsidRDefault="005C47FE" w:rsidP="00061992">
      <w:pPr>
        <w:spacing w:after="0" w:line="22" w:lineRule="atLeast"/>
        <w:ind w:left="1418"/>
        <w:contextualSpacing/>
        <w:rPr>
          <w:rFonts w:ascii="Cambria" w:hAnsi="Cambria"/>
        </w:rPr>
      </w:pPr>
      <w:r w:rsidRPr="009A0DA6">
        <w:rPr>
          <w:rFonts w:ascii="Cambria" w:hAnsi="Cambria"/>
        </w:rPr>
        <w:t>Pastor</w:t>
      </w:r>
      <w:r w:rsidRPr="009A0DA6">
        <w:rPr>
          <w:rFonts w:ascii="Cambria" w:hAnsi="Cambria"/>
          <w:i/>
        </w:rPr>
        <w:t xml:space="preserve">: </w:t>
      </w:r>
      <w:r w:rsidR="00061992" w:rsidRPr="009A0DA6">
        <w:rPr>
          <w:rFonts w:ascii="Cambria" w:hAnsi="Cambria"/>
          <w:i/>
        </w:rPr>
        <w:t>G Fowler</w:t>
      </w:r>
    </w:p>
    <w:p w14:paraId="79A4145B" w14:textId="77777777" w:rsidR="00061992" w:rsidRPr="009A0DA6" w:rsidRDefault="00061992" w:rsidP="00061992">
      <w:pPr>
        <w:spacing w:after="0" w:line="22" w:lineRule="atLeast"/>
        <w:ind w:left="1418"/>
        <w:contextualSpacing/>
        <w:rPr>
          <w:rFonts w:ascii="Cambria" w:hAnsi="Cambria"/>
        </w:rPr>
      </w:pPr>
      <w:r w:rsidRPr="009A0DA6">
        <w:rPr>
          <w:rFonts w:ascii="Cambria" w:hAnsi="Cambria"/>
        </w:rPr>
        <w:t xml:space="preserve">Lay members: </w:t>
      </w:r>
      <w:r w:rsidRPr="009A0DA6">
        <w:rPr>
          <w:rFonts w:ascii="Cambria" w:hAnsi="Cambria"/>
          <w:i/>
        </w:rPr>
        <w:t>Mr A Kupke, Mr R Pietsch, Mrs N Heppner, Mrs K Doecke</w:t>
      </w:r>
    </w:p>
    <w:p w14:paraId="26ADE7A3" w14:textId="77777777" w:rsidR="00061992" w:rsidRPr="009A0DA6" w:rsidRDefault="00061992" w:rsidP="005D4CD4">
      <w:pPr>
        <w:pStyle w:val="ListParagraph"/>
        <w:numPr>
          <w:ilvl w:val="1"/>
          <w:numId w:val="1"/>
        </w:numPr>
        <w:spacing w:after="0" w:line="22" w:lineRule="atLeast"/>
        <w:ind w:left="1418" w:hanging="851"/>
        <w:rPr>
          <w:rFonts w:ascii="Cambria" w:hAnsi="Cambria"/>
          <w:b/>
        </w:rPr>
      </w:pPr>
      <w:r w:rsidRPr="009A0DA6">
        <w:rPr>
          <w:rFonts w:ascii="Cambria" w:hAnsi="Cambria"/>
          <w:b/>
        </w:rPr>
        <w:t>Commission on Theology and Inter-Church Relations</w:t>
      </w:r>
    </w:p>
    <w:p w14:paraId="789C265D" w14:textId="77777777" w:rsidR="00061992" w:rsidRPr="009A0DA6" w:rsidRDefault="00061992" w:rsidP="00061992">
      <w:pPr>
        <w:spacing w:after="0" w:line="22" w:lineRule="atLeast"/>
        <w:ind w:left="1418"/>
        <w:contextualSpacing/>
        <w:rPr>
          <w:rFonts w:ascii="Cambria" w:hAnsi="Cambria"/>
        </w:rPr>
      </w:pPr>
      <w:r w:rsidRPr="009A0DA6">
        <w:rPr>
          <w:rFonts w:ascii="Cambria" w:hAnsi="Cambria"/>
        </w:rPr>
        <w:t>[1 pastor, 1 lay member elected by Convention]</w:t>
      </w:r>
    </w:p>
    <w:p w14:paraId="1978A8EF" w14:textId="77777777" w:rsidR="00061992" w:rsidRPr="009A0DA6" w:rsidRDefault="00061992" w:rsidP="00061992">
      <w:pPr>
        <w:spacing w:after="0" w:line="22" w:lineRule="atLeast"/>
        <w:ind w:left="1418"/>
        <w:contextualSpacing/>
        <w:rPr>
          <w:rFonts w:ascii="Cambria" w:hAnsi="Cambria"/>
        </w:rPr>
      </w:pPr>
      <w:r w:rsidRPr="009A0DA6">
        <w:rPr>
          <w:rFonts w:ascii="Cambria" w:hAnsi="Cambria"/>
        </w:rPr>
        <w:t xml:space="preserve">Bishop and Assistant Bishop: </w:t>
      </w:r>
      <w:r w:rsidRPr="009A0DA6">
        <w:rPr>
          <w:rFonts w:ascii="Cambria" w:hAnsi="Cambria"/>
          <w:i/>
        </w:rPr>
        <w:t>J Henderson, Dr A Pfeiffer</w:t>
      </w:r>
    </w:p>
    <w:p w14:paraId="44F5A913" w14:textId="77777777" w:rsidR="00061992" w:rsidRPr="009A0DA6" w:rsidRDefault="00061992" w:rsidP="00061992">
      <w:pPr>
        <w:spacing w:after="0" w:line="22" w:lineRule="atLeast"/>
        <w:ind w:left="1418"/>
        <w:contextualSpacing/>
        <w:rPr>
          <w:rFonts w:ascii="Cambria" w:hAnsi="Cambria"/>
          <w:i/>
        </w:rPr>
      </w:pPr>
      <w:r w:rsidRPr="009A0DA6">
        <w:rPr>
          <w:rFonts w:ascii="Cambria" w:hAnsi="Cambria"/>
        </w:rPr>
        <w:t xml:space="preserve">ALC teaching staff: </w:t>
      </w:r>
      <w:r w:rsidRPr="009A0DA6">
        <w:rPr>
          <w:rFonts w:ascii="Cambria" w:hAnsi="Cambria"/>
          <w:i/>
        </w:rPr>
        <w:t xml:space="preserve">Dr S Pietsch, Dr P Lockwood, Dr J Silcock, </w:t>
      </w:r>
      <w:r w:rsidRPr="009A0DA6">
        <w:rPr>
          <w:rFonts w:ascii="Cambria" w:hAnsi="Cambria"/>
          <w:i/>
        </w:rPr>
        <w:br/>
        <w:t>Dr S Hultgren, Dr S Haar</w:t>
      </w:r>
    </w:p>
    <w:p w14:paraId="1F6405FC" w14:textId="77777777" w:rsidR="00061992" w:rsidRPr="009A0DA6" w:rsidRDefault="00061992" w:rsidP="00061992">
      <w:pPr>
        <w:spacing w:after="0" w:line="22" w:lineRule="atLeast"/>
        <w:ind w:left="1418"/>
        <w:contextualSpacing/>
        <w:rPr>
          <w:rFonts w:ascii="Cambria" w:hAnsi="Cambria"/>
        </w:rPr>
      </w:pPr>
      <w:r w:rsidRPr="009A0DA6">
        <w:rPr>
          <w:rFonts w:ascii="Cambria" w:hAnsi="Cambria"/>
        </w:rPr>
        <w:t xml:space="preserve">Pastors: </w:t>
      </w:r>
      <w:r w:rsidRPr="009A0DA6">
        <w:rPr>
          <w:rFonts w:ascii="Cambria" w:hAnsi="Cambria"/>
          <w:i/>
        </w:rPr>
        <w:t>F Pearce, T Vuorinen, M Thomas, M Lockwood</w:t>
      </w:r>
    </w:p>
    <w:p w14:paraId="5B466458" w14:textId="77777777" w:rsidR="00061992" w:rsidRPr="009A0DA6" w:rsidRDefault="00061992" w:rsidP="00061992">
      <w:pPr>
        <w:spacing w:after="0" w:line="22" w:lineRule="atLeast"/>
        <w:ind w:left="1418"/>
        <w:contextualSpacing/>
        <w:rPr>
          <w:rFonts w:ascii="Cambria" w:hAnsi="Cambria"/>
        </w:rPr>
      </w:pPr>
      <w:r w:rsidRPr="009A0DA6">
        <w:rPr>
          <w:rFonts w:ascii="Cambria" w:hAnsi="Cambria"/>
        </w:rPr>
        <w:t xml:space="preserve">Lay members: </w:t>
      </w:r>
      <w:r w:rsidRPr="009A0DA6">
        <w:rPr>
          <w:rFonts w:ascii="Cambria" w:hAnsi="Cambria"/>
          <w:i/>
        </w:rPr>
        <w:t>Dr P Simonsen, Ms V Kohrt, Mr N Mattiske</w:t>
      </w:r>
    </w:p>
    <w:p w14:paraId="36846EF8" w14:textId="30B82355" w:rsidR="00061992" w:rsidRPr="009A0DA6" w:rsidRDefault="00061992" w:rsidP="00061992">
      <w:pPr>
        <w:spacing w:after="0" w:line="22" w:lineRule="atLeast"/>
        <w:ind w:left="1418"/>
        <w:contextualSpacing/>
        <w:rPr>
          <w:rFonts w:ascii="Cambria" w:hAnsi="Cambria"/>
        </w:rPr>
      </w:pPr>
      <w:r w:rsidRPr="009A0DA6">
        <w:rPr>
          <w:rFonts w:ascii="Cambria" w:hAnsi="Cambria"/>
        </w:rPr>
        <w:t xml:space="preserve">Consultants: </w:t>
      </w:r>
      <w:r w:rsidRPr="009A0DA6">
        <w:rPr>
          <w:rFonts w:ascii="Cambria" w:hAnsi="Cambria"/>
          <w:i/>
        </w:rPr>
        <w:t>Revs D Altus, P Smith, N Otto</w:t>
      </w:r>
      <w:r w:rsidR="005C47FE" w:rsidRPr="009A0DA6">
        <w:rPr>
          <w:rFonts w:ascii="Cambria" w:hAnsi="Cambria"/>
          <w:i/>
        </w:rPr>
        <w:t>, J Winderlich</w:t>
      </w:r>
    </w:p>
    <w:p w14:paraId="11A1E242" w14:textId="77777777" w:rsidR="00061992" w:rsidRPr="009A0DA6" w:rsidRDefault="00061992" w:rsidP="005D4CD4">
      <w:pPr>
        <w:pStyle w:val="ListParagraph"/>
        <w:numPr>
          <w:ilvl w:val="1"/>
          <w:numId w:val="1"/>
        </w:numPr>
        <w:spacing w:after="0" w:line="22" w:lineRule="atLeast"/>
        <w:ind w:left="1418" w:hanging="851"/>
        <w:rPr>
          <w:rFonts w:ascii="Cambria" w:hAnsi="Cambria"/>
          <w:b/>
        </w:rPr>
      </w:pPr>
      <w:r w:rsidRPr="009A0DA6">
        <w:rPr>
          <w:rFonts w:ascii="Cambria" w:hAnsi="Cambria"/>
          <w:b/>
        </w:rPr>
        <w:t>Commission on Worship</w:t>
      </w:r>
    </w:p>
    <w:p w14:paraId="0A71C05E" w14:textId="46204276" w:rsidR="00061992" w:rsidRPr="009A0DA6" w:rsidRDefault="005C47FE" w:rsidP="00061992">
      <w:pPr>
        <w:spacing w:after="0" w:line="22" w:lineRule="atLeast"/>
        <w:ind w:left="1418"/>
        <w:contextualSpacing/>
        <w:rPr>
          <w:rFonts w:ascii="Cambria" w:hAnsi="Cambria"/>
        </w:rPr>
      </w:pPr>
      <w:r w:rsidRPr="009A0DA6">
        <w:rPr>
          <w:rFonts w:ascii="Cambria" w:hAnsi="Cambria"/>
        </w:rPr>
        <w:t>[1 pastor, 1 lay member</w:t>
      </w:r>
      <w:r w:rsidR="00061992" w:rsidRPr="009A0DA6">
        <w:rPr>
          <w:rFonts w:ascii="Cambria" w:hAnsi="Cambria"/>
        </w:rPr>
        <w:t xml:space="preserve"> elected by Convention]</w:t>
      </w:r>
    </w:p>
    <w:p w14:paraId="48ED8714" w14:textId="77777777" w:rsidR="00061992" w:rsidRPr="009A0DA6" w:rsidRDefault="00061992" w:rsidP="00061992">
      <w:pPr>
        <w:spacing w:after="0" w:line="22" w:lineRule="atLeast"/>
        <w:ind w:left="1418"/>
        <w:contextualSpacing/>
        <w:rPr>
          <w:rFonts w:ascii="Cambria" w:hAnsi="Cambria"/>
          <w:i/>
        </w:rPr>
      </w:pPr>
      <w:r w:rsidRPr="009A0DA6">
        <w:rPr>
          <w:rFonts w:ascii="Cambria" w:hAnsi="Cambria"/>
        </w:rPr>
        <w:t xml:space="preserve">Pastors: </w:t>
      </w:r>
      <w:r w:rsidRPr="009A0DA6">
        <w:rPr>
          <w:rFonts w:ascii="Cambria" w:hAnsi="Cambria"/>
          <w:i/>
        </w:rPr>
        <w:t>A Kitson, M Prenzler, T Klein</w:t>
      </w:r>
    </w:p>
    <w:p w14:paraId="5B63D531" w14:textId="0CA3A6F8" w:rsidR="00061992" w:rsidRPr="009A0DA6" w:rsidRDefault="00061992" w:rsidP="00061992">
      <w:pPr>
        <w:spacing w:after="0" w:line="22" w:lineRule="atLeast"/>
        <w:ind w:left="1418"/>
        <w:contextualSpacing/>
        <w:rPr>
          <w:rFonts w:ascii="Cambria" w:hAnsi="Cambria"/>
        </w:rPr>
      </w:pPr>
      <w:r w:rsidRPr="009A0DA6">
        <w:rPr>
          <w:rFonts w:ascii="Cambria" w:hAnsi="Cambria"/>
        </w:rPr>
        <w:t xml:space="preserve">Lay members: </w:t>
      </w:r>
      <w:r w:rsidRPr="009A0DA6">
        <w:rPr>
          <w:rFonts w:ascii="Cambria" w:hAnsi="Cambria"/>
          <w:i/>
        </w:rPr>
        <w:t xml:space="preserve">Mrs C Matthias, Mr M Simpfendorfer, Mrs S Mattner, </w:t>
      </w:r>
      <w:r w:rsidR="005C47FE" w:rsidRPr="009A0DA6">
        <w:rPr>
          <w:rFonts w:ascii="Cambria" w:hAnsi="Cambria"/>
          <w:i/>
        </w:rPr>
        <w:br/>
      </w:r>
      <w:r w:rsidRPr="009A0DA6">
        <w:rPr>
          <w:rFonts w:ascii="Cambria" w:hAnsi="Cambria"/>
          <w:i/>
        </w:rPr>
        <w:t>Mr A Collyer</w:t>
      </w:r>
    </w:p>
    <w:p w14:paraId="1FF6AB38" w14:textId="1C662E52" w:rsidR="00061992" w:rsidRPr="009A0DA6" w:rsidRDefault="00061992" w:rsidP="00061992">
      <w:pPr>
        <w:spacing w:after="0" w:line="22" w:lineRule="atLeast"/>
        <w:ind w:left="1418"/>
        <w:contextualSpacing/>
        <w:rPr>
          <w:rFonts w:ascii="Cambria" w:hAnsi="Cambria"/>
          <w:i/>
          <w:lang w:val="fr-FR"/>
        </w:rPr>
      </w:pPr>
      <w:r w:rsidRPr="009A0DA6">
        <w:rPr>
          <w:rFonts w:ascii="Cambria" w:hAnsi="Cambria"/>
          <w:lang w:val="fr-FR"/>
        </w:rPr>
        <w:t xml:space="preserve">Consultants: </w:t>
      </w:r>
      <w:r w:rsidRPr="009A0DA6">
        <w:rPr>
          <w:rFonts w:ascii="Cambria" w:hAnsi="Cambria"/>
          <w:i/>
          <w:lang w:val="fr-FR"/>
        </w:rPr>
        <w:t>Dr J Kleinig, Dr T Skene </w:t>
      </w:r>
    </w:p>
    <w:p w14:paraId="551344D5" w14:textId="77777777" w:rsidR="00061992" w:rsidRPr="009A0DA6" w:rsidRDefault="00061992" w:rsidP="005D4CD4">
      <w:pPr>
        <w:pStyle w:val="ListParagraph"/>
        <w:numPr>
          <w:ilvl w:val="1"/>
          <w:numId w:val="1"/>
        </w:numPr>
        <w:spacing w:after="0" w:line="22" w:lineRule="atLeast"/>
        <w:ind w:left="1418" w:hanging="851"/>
        <w:rPr>
          <w:rFonts w:ascii="Cambria" w:hAnsi="Cambria"/>
          <w:b/>
        </w:rPr>
      </w:pPr>
      <w:r w:rsidRPr="009A0DA6">
        <w:rPr>
          <w:rFonts w:ascii="Cambria" w:hAnsi="Cambria"/>
          <w:b/>
        </w:rPr>
        <w:t>Standing Committee on Constitutions</w:t>
      </w:r>
    </w:p>
    <w:p w14:paraId="5F446FC6" w14:textId="77777777" w:rsidR="00061992" w:rsidRPr="009A0DA6" w:rsidRDefault="00061992" w:rsidP="00061992">
      <w:pPr>
        <w:spacing w:after="0" w:line="22" w:lineRule="atLeast"/>
        <w:ind w:left="1418"/>
        <w:contextualSpacing/>
        <w:rPr>
          <w:rFonts w:ascii="Cambria" w:hAnsi="Cambria"/>
        </w:rPr>
      </w:pPr>
      <w:r w:rsidRPr="009A0DA6">
        <w:rPr>
          <w:rFonts w:ascii="Cambria" w:hAnsi="Cambria"/>
        </w:rPr>
        <w:t>[1 pastor, 2 lay members elected by Convention]</w:t>
      </w:r>
    </w:p>
    <w:p w14:paraId="5F80FB4F" w14:textId="77777777" w:rsidR="00061992" w:rsidRPr="009A0DA6" w:rsidRDefault="00061992" w:rsidP="00061992">
      <w:pPr>
        <w:spacing w:after="0" w:line="22" w:lineRule="atLeast"/>
        <w:ind w:left="1418"/>
        <w:contextualSpacing/>
        <w:rPr>
          <w:rFonts w:ascii="Cambria" w:hAnsi="Cambria"/>
        </w:rPr>
      </w:pPr>
      <w:r w:rsidRPr="009A0DA6">
        <w:rPr>
          <w:rFonts w:ascii="Cambria" w:hAnsi="Cambria"/>
        </w:rPr>
        <w:t xml:space="preserve">Pastors: </w:t>
      </w:r>
      <w:r w:rsidRPr="009A0DA6">
        <w:rPr>
          <w:rFonts w:ascii="Cambria" w:hAnsi="Cambria"/>
          <w:i/>
        </w:rPr>
        <w:t>W Schiller, T Ebbs</w:t>
      </w:r>
    </w:p>
    <w:p w14:paraId="7235F39E" w14:textId="77777777" w:rsidR="00061992" w:rsidRPr="009A0DA6" w:rsidRDefault="00061992" w:rsidP="00061992">
      <w:pPr>
        <w:spacing w:after="0" w:line="22" w:lineRule="atLeast"/>
        <w:ind w:left="1418"/>
        <w:contextualSpacing/>
        <w:rPr>
          <w:rFonts w:ascii="Cambria" w:hAnsi="Cambria"/>
          <w:i/>
        </w:rPr>
      </w:pPr>
      <w:r w:rsidRPr="009A0DA6">
        <w:rPr>
          <w:rFonts w:ascii="Cambria" w:hAnsi="Cambria"/>
        </w:rPr>
        <w:t xml:space="preserve">Lay members: </w:t>
      </w:r>
      <w:r w:rsidRPr="009A0DA6">
        <w:rPr>
          <w:rFonts w:ascii="Cambria" w:hAnsi="Cambria"/>
          <w:i/>
        </w:rPr>
        <w:t>Mrs M Koch, Mr D Dreckow, Mr G Materne, Mrs F Schmidt</w:t>
      </w:r>
    </w:p>
    <w:p w14:paraId="1ACFE026" w14:textId="77777777" w:rsidR="00061992" w:rsidRPr="009A0DA6" w:rsidRDefault="00061992" w:rsidP="005D4CD4">
      <w:pPr>
        <w:pStyle w:val="ListParagraph"/>
        <w:numPr>
          <w:ilvl w:val="1"/>
          <w:numId w:val="1"/>
        </w:numPr>
        <w:spacing w:after="0" w:line="22" w:lineRule="atLeast"/>
        <w:ind w:left="1418" w:hanging="851"/>
        <w:rPr>
          <w:rFonts w:ascii="Cambria" w:hAnsi="Cambria"/>
          <w:b/>
        </w:rPr>
      </w:pPr>
      <w:r w:rsidRPr="009A0DA6">
        <w:rPr>
          <w:rFonts w:ascii="Cambria" w:hAnsi="Cambria"/>
          <w:b/>
        </w:rPr>
        <w:t>Finke River Mission Board</w:t>
      </w:r>
    </w:p>
    <w:p w14:paraId="33D6CD13" w14:textId="77777777" w:rsidR="00061992" w:rsidRPr="009A0DA6" w:rsidRDefault="00061992" w:rsidP="00061992">
      <w:pPr>
        <w:spacing w:after="0" w:line="22" w:lineRule="atLeast"/>
        <w:ind w:left="1418"/>
        <w:contextualSpacing/>
        <w:rPr>
          <w:rFonts w:ascii="Cambria" w:hAnsi="Cambria"/>
        </w:rPr>
      </w:pPr>
      <w:r w:rsidRPr="009A0DA6">
        <w:rPr>
          <w:rFonts w:ascii="Cambria" w:hAnsi="Cambria"/>
        </w:rPr>
        <w:t>[1 pastor, 3 lay members elected by Convention]</w:t>
      </w:r>
    </w:p>
    <w:p w14:paraId="52861F61" w14:textId="77777777" w:rsidR="00061992" w:rsidRPr="009A0DA6" w:rsidRDefault="00061992" w:rsidP="00061992">
      <w:pPr>
        <w:spacing w:after="0" w:line="22" w:lineRule="atLeast"/>
        <w:ind w:left="1418"/>
        <w:contextualSpacing/>
        <w:rPr>
          <w:rFonts w:ascii="Cambria" w:hAnsi="Cambria"/>
        </w:rPr>
      </w:pPr>
      <w:r w:rsidRPr="009A0DA6">
        <w:rPr>
          <w:rFonts w:ascii="Cambria" w:hAnsi="Cambria"/>
        </w:rPr>
        <w:t xml:space="preserve">Pastors: </w:t>
      </w:r>
      <w:r w:rsidRPr="009A0DA6">
        <w:rPr>
          <w:rFonts w:ascii="Cambria" w:hAnsi="Cambria"/>
          <w:i/>
        </w:rPr>
        <w:t>J Heffernan, G Schutz, R Zadow</w:t>
      </w:r>
    </w:p>
    <w:p w14:paraId="7E6E9F08" w14:textId="77777777" w:rsidR="00061992" w:rsidRPr="009A0DA6" w:rsidRDefault="00061992" w:rsidP="00061992">
      <w:pPr>
        <w:spacing w:after="0" w:line="22" w:lineRule="atLeast"/>
        <w:ind w:left="1418"/>
        <w:contextualSpacing/>
        <w:rPr>
          <w:rFonts w:ascii="Cambria" w:hAnsi="Cambria"/>
          <w:i/>
        </w:rPr>
      </w:pPr>
      <w:r w:rsidRPr="009A0DA6">
        <w:rPr>
          <w:rFonts w:ascii="Cambria" w:hAnsi="Cambria"/>
        </w:rPr>
        <w:t xml:space="preserve">Lay members: </w:t>
      </w:r>
      <w:r w:rsidRPr="009A0DA6">
        <w:rPr>
          <w:rFonts w:ascii="Cambria" w:hAnsi="Cambria"/>
          <w:i/>
        </w:rPr>
        <w:t xml:space="preserve">Mr C Gunter, Mr T Stollznow, Ms S Tikoft, Mr C Pfeiffer, </w:t>
      </w:r>
      <w:r w:rsidRPr="009A0DA6">
        <w:rPr>
          <w:rFonts w:ascii="Cambria" w:hAnsi="Cambria"/>
          <w:i/>
        </w:rPr>
        <w:br/>
        <w:t>Mr M Kenny</w:t>
      </w:r>
    </w:p>
    <w:p w14:paraId="74D7EB17" w14:textId="77777777" w:rsidR="00061992" w:rsidRPr="009A0DA6" w:rsidRDefault="00061992" w:rsidP="00061992">
      <w:pPr>
        <w:spacing w:after="0" w:line="22" w:lineRule="atLeast"/>
        <w:ind w:left="1418"/>
        <w:contextualSpacing/>
        <w:rPr>
          <w:rFonts w:ascii="Cambria" w:hAnsi="Cambria"/>
        </w:rPr>
      </w:pPr>
      <w:r w:rsidRPr="009A0DA6">
        <w:rPr>
          <w:rFonts w:ascii="Cambria" w:hAnsi="Cambria"/>
        </w:rPr>
        <w:t xml:space="preserve">Consultants: </w:t>
      </w:r>
      <w:r w:rsidRPr="009A0DA6">
        <w:rPr>
          <w:rFonts w:ascii="Cambria" w:hAnsi="Cambria"/>
          <w:i/>
        </w:rPr>
        <w:t>Mr B Elliott, Ms M Roberts</w:t>
      </w:r>
    </w:p>
    <w:p w14:paraId="1A62D4DB" w14:textId="77777777" w:rsidR="00061992" w:rsidRPr="009A0DA6" w:rsidRDefault="00061992" w:rsidP="005D4CD4">
      <w:pPr>
        <w:pStyle w:val="ListParagraph"/>
        <w:numPr>
          <w:ilvl w:val="1"/>
          <w:numId w:val="1"/>
        </w:numPr>
        <w:spacing w:after="0" w:line="22" w:lineRule="atLeast"/>
        <w:ind w:left="1418" w:hanging="851"/>
        <w:rPr>
          <w:rFonts w:ascii="Cambria" w:hAnsi="Cambria"/>
          <w:b/>
        </w:rPr>
      </w:pPr>
      <w:r w:rsidRPr="009A0DA6">
        <w:rPr>
          <w:rFonts w:ascii="Cambria" w:hAnsi="Cambria"/>
          <w:b/>
        </w:rPr>
        <w:t>Commission on Social and Bioethical Question</w:t>
      </w:r>
      <w:r w:rsidRPr="009A0DA6">
        <w:rPr>
          <w:rFonts w:ascii="Cambria" w:hAnsi="Cambria"/>
        </w:rPr>
        <w:t>s</w:t>
      </w:r>
    </w:p>
    <w:p w14:paraId="5C8CA701" w14:textId="77777777" w:rsidR="00061992" w:rsidRPr="009A0DA6" w:rsidRDefault="00061992" w:rsidP="00061992">
      <w:pPr>
        <w:spacing w:after="0" w:line="22" w:lineRule="atLeast"/>
        <w:ind w:left="1418"/>
        <w:contextualSpacing/>
        <w:rPr>
          <w:rFonts w:ascii="Cambria" w:hAnsi="Cambria"/>
        </w:rPr>
      </w:pPr>
      <w:r w:rsidRPr="009A0DA6">
        <w:rPr>
          <w:rFonts w:ascii="Cambria" w:hAnsi="Cambria"/>
        </w:rPr>
        <w:t>[2 parish pastors, 4 lay members elected by Convention]</w:t>
      </w:r>
    </w:p>
    <w:p w14:paraId="1AEFBC37" w14:textId="48D6301F" w:rsidR="00061992" w:rsidRPr="009A0DA6" w:rsidRDefault="00061992" w:rsidP="00061992">
      <w:pPr>
        <w:spacing w:after="0" w:line="22" w:lineRule="atLeast"/>
        <w:ind w:left="1418"/>
        <w:contextualSpacing/>
        <w:rPr>
          <w:rFonts w:ascii="Cambria" w:hAnsi="Cambria"/>
        </w:rPr>
      </w:pPr>
      <w:r w:rsidRPr="009A0DA6">
        <w:rPr>
          <w:rFonts w:ascii="Cambria" w:hAnsi="Cambria"/>
        </w:rPr>
        <w:t xml:space="preserve">Pastors: </w:t>
      </w:r>
      <w:r w:rsidRPr="009A0DA6">
        <w:rPr>
          <w:rFonts w:ascii="Cambria" w:hAnsi="Cambria"/>
          <w:i/>
        </w:rPr>
        <w:t>T Kowald, B Schild, S Pietsch</w:t>
      </w:r>
    </w:p>
    <w:p w14:paraId="7A143E34" w14:textId="77777777" w:rsidR="00061992" w:rsidRPr="009A0DA6" w:rsidRDefault="00061992" w:rsidP="00061992">
      <w:pPr>
        <w:spacing w:after="0" w:line="22" w:lineRule="atLeast"/>
        <w:ind w:left="1418"/>
        <w:contextualSpacing/>
        <w:rPr>
          <w:rFonts w:ascii="Cambria" w:hAnsi="Cambria"/>
          <w:i/>
        </w:rPr>
      </w:pPr>
      <w:r w:rsidRPr="009A0DA6">
        <w:rPr>
          <w:rFonts w:ascii="Cambria" w:hAnsi="Cambria"/>
        </w:rPr>
        <w:t>Lay members:</w:t>
      </w:r>
      <w:r w:rsidRPr="009A0DA6">
        <w:rPr>
          <w:rFonts w:ascii="Cambria" w:hAnsi="Cambria"/>
          <w:i/>
        </w:rPr>
        <w:t xml:space="preserve"> Mrs H Lockwood, Ms K Pfeiffer, Dr C Hamilton, Dr T Wittwer, </w:t>
      </w:r>
      <w:r w:rsidRPr="009A0DA6">
        <w:rPr>
          <w:rFonts w:ascii="Cambria" w:hAnsi="Cambria"/>
          <w:i/>
        </w:rPr>
        <w:br/>
      </w:r>
      <w:r w:rsidRPr="009A0DA6">
        <w:rPr>
          <w:rFonts w:ascii="Cambria" w:hAnsi="Cambria"/>
        </w:rPr>
        <w:t>Consultant:</w:t>
      </w:r>
      <w:r w:rsidRPr="009A0DA6">
        <w:rPr>
          <w:rFonts w:ascii="Cambria" w:hAnsi="Cambria"/>
          <w:i/>
        </w:rPr>
        <w:t xml:space="preserve"> Mr I Rentsch</w:t>
      </w:r>
    </w:p>
    <w:p w14:paraId="75A341E1" w14:textId="77777777" w:rsidR="00061992" w:rsidRPr="009A0DA6" w:rsidRDefault="00061992" w:rsidP="00061992">
      <w:pPr>
        <w:spacing w:after="0" w:line="22" w:lineRule="atLeast"/>
        <w:rPr>
          <w:rFonts w:ascii="Cambria" w:hAnsi="Cambria"/>
          <w:b/>
        </w:rPr>
      </w:pPr>
    </w:p>
    <w:p w14:paraId="132351A6" w14:textId="77777777" w:rsidR="00061992" w:rsidRPr="009A0DA6" w:rsidRDefault="00061992" w:rsidP="005D4CD4">
      <w:pPr>
        <w:pStyle w:val="ListParagraph"/>
        <w:numPr>
          <w:ilvl w:val="0"/>
          <w:numId w:val="1"/>
        </w:numPr>
        <w:spacing w:after="0" w:line="22" w:lineRule="atLeast"/>
        <w:ind w:left="567" w:hanging="567"/>
        <w:rPr>
          <w:rFonts w:ascii="Cambria" w:hAnsi="Cambria"/>
          <w:b/>
        </w:rPr>
      </w:pPr>
      <w:r w:rsidRPr="009A0DA6">
        <w:rPr>
          <w:rFonts w:ascii="Cambria" w:hAnsi="Cambria"/>
          <w:b/>
          <w:sz w:val="28"/>
          <w:szCs w:val="28"/>
        </w:rPr>
        <w:t>CLOSING FORMALITIES</w:t>
      </w:r>
    </w:p>
    <w:p w14:paraId="4CFFF8FD" w14:textId="63F6759F" w:rsidR="00061992" w:rsidRPr="009A0DA6" w:rsidRDefault="00061992" w:rsidP="005D4CD4">
      <w:pPr>
        <w:pStyle w:val="ListParagraph"/>
        <w:numPr>
          <w:ilvl w:val="1"/>
          <w:numId w:val="1"/>
        </w:numPr>
        <w:spacing w:after="0" w:line="22" w:lineRule="atLeast"/>
        <w:ind w:left="1418" w:hanging="857"/>
        <w:rPr>
          <w:rFonts w:ascii="Cambria" w:hAnsi="Cambria"/>
          <w:b/>
        </w:rPr>
      </w:pPr>
      <w:r w:rsidRPr="009A0DA6">
        <w:rPr>
          <w:rFonts w:ascii="Cambria" w:hAnsi="Cambria"/>
        </w:rPr>
        <w:t>Next Convention</w:t>
      </w:r>
      <w:r w:rsidRPr="009A0DA6">
        <w:rPr>
          <w:rFonts w:ascii="Cambria" w:hAnsi="Cambria"/>
        </w:rPr>
        <w:br/>
      </w:r>
      <w:r w:rsidRPr="009A0DA6">
        <w:rPr>
          <w:rFonts w:ascii="Cambria" w:hAnsi="Cambria"/>
        </w:rPr>
        <w:tab/>
        <w:t>Inv</w:t>
      </w:r>
      <w:r w:rsidR="005C47FE" w:rsidRPr="009A0DA6">
        <w:rPr>
          <w:rFonts w:ascii="Cambria" w:hAnsi="Cambria"/>
        </w:rPr>
        <w:t>itation from Victorian District</w:t>
      </w:r>
    </w:p>
    <w:p w14:paraId="12FFD7C8" w14:textId="77777777" w:rsidR="00061992" w:rsidRPr="009A0DA6" w:rsidRDefault="00061992" w:rsidP="005D4CD4">
      <w:pPr>
        <w:pStyle w:val="ListParagraph"/>
        <w:numPr>
          <w:ilvl w:val="1"/>
          <w:numId w:val="1"/>
        </w:numPr>
        <w:spacing w:after="0" w:line="22" w:lineRule="atLeast"/>
        <w:ind w:left="1418" w:hanging="857"/>
        <w:rPr>
          <w:rFonts w:ascii="Cambria" w:hAnsi="Cambria"/>
          <w:b/>
        </w:rPr>
      </w:pPr>
      <w:r w:rsidRPr="009A0DA6">
        <w:rPr>
          <w:rFonts w:ascii="Cambria" w:hAnsi="Cambria"/>
        </w:rPr>
        <w:t>Vote of thanks</w:t>
      </w:r>
    </w:p>
    <w:p w14:paraId="29AB7181" w14:textId="37FE6B7E" w:rsidR="00DA16F1" w:rsidRPr="00DB1A87" w:rsidRDefault="00061992" w:rsidP="00786120">
      <w:pPr>
        <w:pStyle w:val="ListParagraph"/>
        <w:numPr>
          <w:ilvl w:val="1"/>
          <w:numId w:val="1"/>
        </w:numPr>
        <w:spacing w:after="0" w:line="22" w:lineRule="atLeast"/>
        <w:ind w:left="1418" w:hanging="857"/>
        <w:rPr>
          <w:rFonts w:ascii="Cambria" w:eastAsiaTheme="majorEastAsia" w:hAnsi="Cambria" w:cstheme="majorBidi"/>
          <w:b/>
          <w:caps/>
          <w:sz w:val="40"/>
          <w:szCs w:val="32"/>
        </w:rPr>
      </w:pPr>
      <w:r w:rsidRPr="00DB1A87">
        <w:rPr>
          <w:rFonts w:ascii="Cambria" w:hAnsi="Cambria"/>
        </w:rPr>
        <w:t>Close of Convention</w:t>
      </w:r>
      <w:r w:rsidR="00DA16F1" w:rsidRPr="00DB1A87">
        <w:rPr>
          <w:rFonts w:ascii="Cambria" w:hAnsi="Cambria"/>
        </w:rPr>
        <w:br w:type="page"/>
      </w:r>
    </w:p>
    <w:p w14:paraId="07CA0003" w14:textId="77777777" w:rsidR="00F631B1" w:rsidRPr="009A0DA6" w:rsidRDefault="00F631B1" w:rsidP="00F631B1">
      <w:pPr>
        <w:pStyle w:val="Heading1"/>
      </w:pPr>
      <w:bookmarkStart w:id="10" w:name="_Toc521954583"/>
      <w:bookmarkStart w:id="11" w:name="_Toc522394949"/>
      <w:r w:rsidRPr="009A0DA6">
        <w:lastRenderedPageBreak/>
        <w:t>ADMINISTRATION AND PASTORAL</w:t>
      </w:r>
      <w:bookmarkEnd w:id="10"/>
      <w:bookmarkEnd w:id="11"/>
    </w:p>
    <w:p w14:paraId="6B6F25BD" w14:textId="77777777" w:rsidR="00F631B1" w:rsidRPr="009A0DA6" w:rsidRDefault="00F631B1" w:rsidP="00F631B1">
      <w:pPr>
        <w:pStyle w:val="NoSpacing"/>
      </w:pPr>
    </w:p>
    <w:p w14:paraId="2207BBC6" w14:textId="77777777" w:rsidR="00F631B1" w:rsidRPr="009A0DA6" w:rsidRDefault="00F631B1" w:rsidP="00F631B1">
      <w:pPr>
        <w:pStyle w:val="NoSpacing"/>
      </w:pPr>
    </w:p>
    <w:p w14:paraId="1DBB5500" w14:textId="77777777" w:rsidR="00F631B1" w:rsidRPr="009A0DA6" w:rsidRDefault="00F631B1" w:rsidP="00F631B1">
      <w:pPr>
        <w:pStyle w:val="Heading3"/>
      </w:pPr>
      <w:r w:rsidRPr="009A0DA6">
        <w:t>agenda 2.1.1</w:t>
      </w:r>
    </w:p>
    <w:p w14:paraId="36B8B213" w14:textId="77777777" w:rsidR="00F631B1" w:rsidRPr="009A0DA6" w:rsidRDefault="00F631B1" w:rsidP="00F631B1">
      <w:pPr>
        <w:pStyle w:val="Heading2"/>
      </w:pPr>
      <w:bookmarkStart w:id="12" w:name="_Toc521954584"/>
      <w:bookmarkStart w:id="13" w:name="_Toc522394950"/>
      <w:r w:rsidRPr="009A0DA6">
        <w:t>LCA Bishop</w:t>
      </w:r>
      <w:bookmarkEnd w:id="12"/>
      <w:bookmarkEnd w:id="13"/>
    </w:p>
    <w:p w14:paraId="66944AE8" w14:textId="77777777" w:rsidR="00F631B1" w:rsidRPr="009A0DA6" w:rsidRDefault="00F631B1" w:rsidP="00F631B1">
      <w:pPr>
        <w:pStyle w:val="NoSpacing"/>
      </w:pPr>
    </w:p>
    <w:p w14:paraId="620A9579" w14:textId="77777777" w:rsidR="00F631B1" w:rsidRPr="009A0DA6" w:rsidRDefault="00F631B1" w:rsidP="00F631B1">
      <w:pPr>
        <w:pStyle w:val="Heading3"/>
        <w:numPr>
          <w:ilvl w:val="3"/>
          <w:numId w:val="3"/>
        </w:numPr>
        <w:ind w:left="567" w:hanging="567"/>
      </w:pPr>
      <w:r w:rsidRPr="009A0DA6">
        <w:t>Introduction</w:t>
      </w:r>
    </w:p>
    <w:p w14:paraId="4B153213" w14:textId="77777777" w:rsidR="00F631B1" w:rsidRPr="009A0DA6" w:rsidRDefault="00F631B1" w:rsidP="00F631B1">
      <w:pPr>
        <w:rPr>
          <w:rFonts w:ascii="Cambria" w:hAnsi="Cambria"/>
        </w:rPr>
      </w:pPr>
      <w:r w:rsidRPr="009A0DA6">
        <w:rPr>
          <w:rFonts w:ascii="Cambria" w:hAnsi="Cambria"/>
        </w:rPr>
        <w:t>The Lutheran Church of Australia and New Zealand has existed as a united, independent synod for 52 years. We are Lutheran because we confess our Christian faith according to Scripture and the Book of Concord (1580). We are united because under the guidance of the Holy Spirit farsighted, committed people brought our factions together and welded us into a single church body. We are independent because we are not under any external organisation. We are synod because we work together to set our priorities in ministry and mission.</w:t>
      </w:r>
    </w:p>
    <w:p w14:paraId="072EEB0E" w14:textId="77777777" w:rsidR="00F631B1" w:rsidRPr="009A0DA6" w:rsidRDefault="00F631B1" w:rsidP="00F631B1">
      <w:pPr>
        <w:rPr>
          <w:rFonts w:ascii="Cambria" w:hAnsi="Cambria"/>
        </w:rPr>
      </w:pPr>
      <w:r w:rsidRPr="009A0DA6">
        <w:rPr>
          <w:rFonts w:ascii="Cambria" w:hAnsi="Cambria"/>
        </w:rPr>
        <w:t>While primarily a community of faith and we centre our life on worship and service, in addition the LCA has legal, financial, property and human resource responsibilities. Our Constitution makes us a legal entity with all the structures, authorities and processes necessary to operate in the everyday world. As a ‘legal person’ the church can sign contracts, own property, open bank accounts, employ staff and can also be taken to court, just like everyone else in society.</w:t>
      </w:r>
    </w:p>
    <w:p w14:paraId="2DFC3DFF" w14:textId="77777777" w:rsidR="00F631B1" w:rsidRPr="009A0DA6" w:rsidRDefault="00F631B1" w:rsidP="00F631B1">
      <w:pPr>
        <w:rPr>
          <w:rFonts w:ascii="Cambria" w:hAnsi="Cambria"/>
        </w:rPr>
      </w:pPr>
      <w:r w:rsidRPr="009A0DA6">
        <w:rPr>
          <w:rFonts w:ascii="Cambria" w:hAnsi="Cambria"/>
        </w:rPr>
        <w:t>Our 19th Synod in 2018 will involve both these realities. Matters of faith and salvation will be at the heart of our gathering. Each day prayer and worship will be central. In the mornings we will celebrate Holy Communion as one family in Christ. Much of our business will be about doctrine. But we will also need to address things like constitutions, structure, governance, finance and elections. God willing, the decisions of Synod will set the priorities and work plans of the LCA for the next three years, and maybe beyond.</w:t>
      </w:r>
    </w:p>
    <w:p w14:paraId="40E3252C" w14:textId="77777777" w:rsidR="00F631B1" w:rsidRPr="009A0DA6" w:rsidRDefault="00F631B1" w:rsidP="00F631B1">
      <w:pPr>
        <w:rPr>
          <w:rFonts w:ascii="Cambria" w:hAnsi="Cambria"/>
        </w:rPr>
      </w:pPr>
      <w:r w:rsidRPr="009A0DA6">
        <w:rPr>
          <w:rFonts w:ascii="Cambria" w:hAnsi="Cambria"/>
        </w:rPr>
        <w:t>The LCA has marked the years 2016 (50</w:t>
      </w:r>
      <w:r w:rsidRPr="009A0DA6">
        <w:rPr>
          <w:rFonts w:ascii="Cambria" w:hAnsi="Cambria"/>
          <w:vertAlign w:val="superscript"/>
        </w:rPr>
        <w:t>th</w:t>
      </w:r>
      <w:r w:rsidRPr="009A0DA6">
        <w:rPr>
          <w:rFonts w:ascii="Cambria" w:hAnsi="Cambria"/>
        </w:rPr>
        <w:t xml:space="preserve"> anniversary of the LCA), 2017 (500</w:t>
      </w:r>
      <w:r w:rsidRPr="009A0DA6">
        <w:rPr>
          <w:rFonts w:ascii="Cambria" w:hAnsi="Cambria"/>
          <w:vertAlign w:val="superscript"/>
        </w:rPr>
        <w:t>th</w:t>
      </w:r>
      <w:r w:rsidRPr="009A0DA6">
        <w:rPr>
          <w:rFonts w:ascii="Cambria" w:hAnsi="Cambria"/>
        </w:rPr>
        <w:t xml:space="preserve"> anniversary of the Reformation) and 2018 under the 50.500 theme ‘Faith, Freedom, Future’. 2018 is the year of the future, and this Convention will be a significant moment in that year. 52 years on, the generation which brought the LCA into being is no longer attending its meetings. The next two generations have taken their places at the microphones and are casting their votes. We respect our predecessors, and just as they in their time, so we in ours must prepare to hand the church on to those who come after us. In this context I note with sadness the passing in 2017 of Dr Les Grope, the second LCA General President.</w:t>
      </w:r>
    </w:p>
    <w:p w14:paraId="6515D20A" w14:textId="77777777" w:rsidR="00F631B1" w:rsidRPr="009A0DA6" w:rsidRDefault="00F631B1" w:rsidP="00F631B1">
      <w:pPr>
        <w:rPr>
          <w:rFonts w:ascii="Cambria" w:hAnsi="Cambria"/>
        </w:rPr>
      </w:pPr>
      <w:r w:rsidRPr="009A0DA6">
        <w:rPr>
          <w:rFonts w:ascii="Cambria" w:hAnsi="Cambria"/>
        </w:rPr>
        <w:t>I pray that at this 19</w:t>
      </w:r>
      <w:r w:rsidRPr="009A0DA6">
        <w:rPr>
          <w:rFonts w:ascii="Cambria" w:hAnsi="Cambria"/>
          <w:vertAlign w:val="superscript"/>
        </w:rPr>
        <w:t>th</w:t>
      </w:r>
      <w:r w:rsidRPr="009A0DA6">
        <w:rPr>
          <w:rFonts w:ascii="Cambria" w:hAnsi="Cambria"/>
        </w:rPr>
        <w:t xml:space="preserve"> Convention our experience may be that described in Acts 9:31: </w:t>
      </w:r>
      <w:r w:rsidRPr="009A0DA6">
        <w:rPr>
          <w:rFonts w:ascii="Cambria" w:hAnsi="Cambria"/>
          <w:i/>
        </w:rPr>
        <w:t>The church in Judea, Galilee, and Samaria now had a time of peace and kept on worshipping the Lord. The church became stronger, as the Holy Spirit encouraged it and helped it grow.</w:t>
      </w:r>
      <w:r w:rsidRPr="009A0DA6">
        <w:rPr>
          <w:rFonts w:ascii="Cambria" w:hAnsi="Cambria"/>
        </w:rPr>
        <w:t xml:space="preserve"> (CEV)</w:t>
      </w:r>
    </w:p>
    <w:p w14:paraId="1127A74C" w14:textId="77777777" w:rsidR="00F631B1" w:rsidRPr="009A0DA6" w:rsidRDefault="00F631B1" w:rsidP="00F631B1">
      <w:pPr>
        <w:pStyle w:val="Heading3"/>
        <w:numPr>
          <w:ilvl w:val="3"/>
          <w:numId w:val="3"/>
        </w:numPr>
        <w:ind w:left="567" w:hanging="567"/>
      </w:pPr>
      <w:r w:rsidRPr="009A0DA6">
        <w:t>The church</w:t>
      </w:r>
    </w:p>
    <w:p w14:paraId="3949C409" w14:textId="77777777" w:rsidR="00F631B1" w:rsidRPr="009A0DA6" w:rsidRDefault="00F631B1" w:rsidP="00F631B1">
      <w:pPr>
        <w:pStyle w:val="Subtitle"/>
        <w:tabs>
          <w:tab w:val="left" w:pos="567"/>
        </w:tabs>
      </w:pPr>
      <w:r w:rsidRPr="009A0DA6">
        <w:t>2.1</w:t>
      </w:r>
      <w:r w:rsidRPr="009A0DA6">
        <w:tab/>
        <w:t>The LCA TOday</w:t>
      </w:r>
    </w:p>
    <w:p w14:paraId="5DF2544D" w14:textId="77777777" w:rsidR="00F631B1" w:rsidRPr="009A0DA6" w:rsidRDefault="00F631B1" w:rsidP="00F631B1">
      <w:pPr>
        <w:rPr>
          <w:rFonts w:ascii="Cambria" w:hAnsi="Cambria"/>
        </w:rPr>
      </w:pPr>
      <w:r w:rsidRPr="009A0DA6">
        <w:rPr>
          <w:rFonts w:ascii="Cambria" w:hAnsi="Cambria"/>
        </w:rPr>
        <w:t>The church isn’t a perfect society, shielded from the world around it. That’s clear in our faith. Jesus Christ did not set himself apart. He was God who lived among us in this world and who died for us as real flesh and blood.</w:t>
      </w:r>
    </w:p>
    <w:p w14:paraId="3498EF4E" w14:textId="77777777" w:rsidR="00F631B1" w:rsidRPr="009A0DA6" w:rsidRDefault="00F631B1" w:rsidP="00F631B1">
      <w:pPr>
        <w:rPr>
          <w:rFonts w:ascii="Cambria" w:hAnsi="Cambria"/>
        </w:rPr>
      </w:pPr>
      <w:r w:rsidRPr="009A0DA6">
        <w:rPr>
          <w:rFonts w:ascii="Cambria" w:hAnsi="Cambria"/>
        </w:rPr>
        <w:t>So as God is in the world and is for us, we his church are in the world and for it. Faith in God requires us to serve the world in love, give our lives for it, immerse ourselves in it, and risk carrying the light of Christ into places where angels fear to tread.</w:t>
      </w:r>
    </w:p>
    <w:p w14:paraId="6A215B4D" w14:textId="77777777" w:rsidR="00F631B1" w:rsidRPr="009A0DA6" w:rsidRDefault="00F631B1" w:rsidP="00F631B1">
      <w:pPr>
        <w:rPr>
          <w:rFonts w:ascii="Cambria" w:hAnsi="Cambria"/>
        </w:rPr>
      </w:pPr>
      <w:r w:rsidRPr="009A0DA6">
        <w:rPr>
          <w:rFonts w:ascii="Cambria" w:hAnsi="Cambria"/>
        </w:rPr>
        <w:lastRenderedPageBreak/>
        <w:t>Faith involves dangerous work. The New Testament shows that clearly. The greatest danger, however, comes from within. Without realising it we fall prey to the same temptation as the world – to replace God with ourselves. In the Large Catechism Martin Luther explains: ‘</w:t>
      </w:r>
      <w:r w:rsidRPr="009A0DA6">
        <w:rPr>
          <w:rFonts w:ascii="Cambria" w:hAnsi="Cambria"/>
          <w:i/>
        </w:rPr>
        <w:t>That to which your heart clings and entrusts itself is, I say, really your God.</w:t>
      </w:r>
      <w:r w:rsidRPr="009A0DA6">
        <w:rPr>
          <w:rFonts w:ascii="Cambria" w:hAnsi="Cambria"/>
        </w:rPr>
        <w:t>’</w:t>
      </w:r>
      <w:r w:rsidRPr="009A0DA6">
        <w:rPr>
          <w:rStyle w:val="FootnoteReference"/>
          <w:rFonts w:ascii="Cambria" w:hAnsi="Cambria"/>
        </w:rPr>
        <w:footnoteReference w:id="1"/>
      </w:r>
      <w:r w:rsidRPr="009A0DA6">
        <w:rPr>
          <w:rFonts w:ascii="Cambria" w:hAnsi="Cambria"/>
        </w:rPr>
        <w:t xml:space="preserve"> The church must take care not to cling to its power. That is partly what made the Reformation so potent in the 16</w:t>
      </w:r>
      <w:r w:rsidRPr="009A0DA6">
        <w:rPr>
          <w:rFonts w:ascii="Cambria" w:hAnsi="Cambria"/>
          <w:vertAlign w:val="superscript"/>
        </w:rPr>
        <w:t>th</w:t>
      </w:r>
      <w:r w:rsidRPr="009A0DA6">
        <w:rPr>
          <w:rFonts w:ascii="Cambria" w:hAnsi="Cambria"/>
        </w:rPr>
        <w:t xml:space="preserve"> century. At that time the church tried to conceal its sin behind a shallow pretence of holiness. More recently, in our century, abuse scandals have rocked churches across the world. The court cases that follow are ripping apart any pretences the church might have had left. Society has ripped away the veil of secrecy. People are now free to say what was previously unsayable. We now have to face up and take the consequences. The LCA has a realistic approach to this environment. We are committed, under God to do our best to prevent all forms of abuse. We will practice higher levels of accountability in all our operations. It means additional checks and balances, policies and procedures, rules and regulations.</w:t>
      </w:r>
    </w:p>
    <w:p w14:paraId="1CB87C41" w14:textId="77777777" w:rsidR="00F631B1" w:rsidRPr="009A0DA6" w:rsidRDefault="00F631B1" w:rsidP="00F631B1">
      <w:pPr>
        <w:rPr>
          <w:rFonts w:ascii="Cambria" w:hAnsi="Cambria"/>
        </w:rPr>
      </w:pPr>
      <w:r w:rsidRPr="009A0DA6">
        <w:rPr>
          <w:rFonts w:ascii="Cambria" w:hAnsi="Cambria"/>
        </w:rPr>
        <w:t>Although these new requirements can appear to be onerous, we need them if we are to continue in mission and ministry. We need to ask the hard questions and leave less to chance. Getting the balance right is difficult, and it will take time. All of us find it difficult. Some are grateful for this work, others complain. A few openly oppose these new standards, wondering what has become of the church they once knew.</w:t>
      </w:r>
    </w:p>
    <w:p w14:paraId="6C8396F0" w14:textId="77777777" w:rsidR="00F631B1" w:rsidRPr="009A0DA6" w:rsidRDefault="00F631B1" w:rsidP="00F631B1">
      <w:pPr>
        <w:rPr>
          <w:rFonts w:ascii="Cambria" w:hAnsi="Cambria"/>
        </w:rPr>
      </w:pPr>
      <w:r w:rsidRPr="009A0DA6">
        <w:rPr>
          <w:rFonts w:ascii="Cambria" w:hAnsi="Cambria"/>
        </w:rPr>
        <w:t>I will give you one example of what that means. In 2015 the LCA Synod resolved to conduct a campaign to combat domestic violence. We launched the campaign in late 2017, drawing materials from several resources, including an organisation called White Ribbon Australia. Unbeknown to us, in mid-2017 White Ribbon had posted an opinion on late term abortions on its website. There was a storm of protest and they took the opinion down, but it was too late. Because of it a pastor told me he was binning the whole LCA campaign. That’s extremely sad because he arbitrarily swept away the good with the bad (Matthew 13:24</w:t>
      </w:r>
      <w:r w:rsidRPr="009A0DA6">
        <w:rPr>
          <w:rFonts w:ascii="Cambria" w:hAnsi="Cambria"/>
        </w:rPr>
        <w:sym w:font="Symbol" w:char="F02D"/>
      </w:r>
      <w:r w:rsidRPr="009A0DA6">
        <w:rPr>
          <w:rFonts w:ascii="Cambria" w:hAnsi="Cambria"/>
        </w:rPr>
        <w:t>30). His personal decision meant the people of his parish do not know of their church’s work to combat domestic violence in marriages and families. Those parishioners will then quite likely complain that the church is unloving and does nothing to help them and their loved ones in the distress of domestic violence.</w:t>
      </w:r>
    </w:p>
    <w:p w14:paraId="0F42606A" w14:textId="77777777" w:rsidR="00F631B1" w:rsidRPr="009A0DA6" w:rsidRDefault="00F631B1" w:rsidP="00F631B1">
      <w:pPr>
        <w:rPr>
          <w:rFonts w:ascii="Cambria" w:hAnsi="Cambria"/>
        </w:rPr>
      </w:pPr>
      <w:r w:rsidRPr="009A0DA6">
        <w:rPr>
          <w:rFonts w:ascii="Cambria" w:hAnsi="Cambria"/>
        </w:rPr>
        <w:t>This example, and others like it, shows how interconnected we are in the modern world. An emerging phenomenon, however, seems to be that as we become more connected by technology, we can also become the more isolated. We start to select and listen only to the voices we want to hear. Instead of engaging with difference among our local flesh and blood neighbours, we begin selectively talking to like-minded people hundreds or even thousands of kilometres away, sometimes in other countries. Sometimes, in the isolation of forms of electronic communication we even talk down our own church, forgetting the explanation to the 8</w:t>
      </w:r>
      <w:r w:rsidRPr="009A0DA6">
        <w:rPr>
          <w:rFonts w:ascii="Cambria" w:hAnsi="Cambria"/>
          <w:vertAlign w:val="superscript"/>
        </w:rPr>
        <w:t>th</w:t>
      </w:r>
      <w:r w:rsidRPr="009A0DA6">
        <w:rPr>
          <w:rFonts w:ascii="Cambria" w:hAnsi="Cambria"/>
        </w:rPr>
        <w:t xml:space="preserve"> commandment, ‘</w:t>
      </w:r>
      <w:r w:rsidRPr="009A0DA6">
        <w:rPr>
          <w:rFonts w:ascii="Cambria" w:hAnsi="Cambria"/>
          <w:i/>
        </w:rPr>
        <w:t>We should fear and love God, and so we should not tell lies about our neighbour, nor betray, slander, or defame him, but should apologize for him, speak well of him, and interpret charitably all that he does.</w:t>
      </w:r>
      <w:r w:rsidRPr="009A0DA6">
        <w:rPr>
          <w:rFonts w:ascii="Cambria" w:hAnsi="Cambria"/>
        </w:rPr>
        <w:t>’</w:t>
      </w:r>
      <w:r w:rsidRPr="009A0DA6">
        <w:rPr>
          <w:rStyle w:val="FootnoteReference"/>
          <w:rFonts w:ascii="Cambria" w:hAnsi="Cambria"/>
        </w:rPr>
        <w:footnoteReference w:id="2"/>
      </w:r>
    </w:p>
    <w:p w14:paraId="0079734A" w14:textId="77777777" w:rsidR="00F631B1" w:rsidRPr="009A0DA6" w:rsidRDefault="00F631B1" w:rsidP="00F631B1">
      <w:pPr>
        <w:rPr>
          <w:rFonts w:ascii="Cambria" w:hAnsi="Cambria"/>
        </w:rPr>
      </w:pPr>
      <w:r w:rsidRPr="009A0DA6">
        <w:rPr>
          <w:rFonts w:ascii="Cambria" w:hAnsi="Cambria"/>
        </w:rPr>
        <w:t>It’s wrong to stick labels on others as ‘confessional’ or ‘liberal’, as though people are simply binary. The reality is far more complex. Labels just make it easier to defame and abuse another person rather than love them. This is not the way of Christ.</w:t>
      </w:r>
    </w:p>
    <w:p w14:paraId="4E489AE0" w14:textId="77777777" w:rsidR="00F631B1" w:rsidRPr="009A0DA6" w:rsidRDefault="00F631B1" w:rsidP="00F631B1">
      <w:pPr>
        <w:rPr>
          <w:rFonts w:ascii="Cambria" w:hAnsi="Cambria"/>
        </w:rPr>
      </w:pPr>
      <w:r w:rsidRPr="009A0DA6">
        <w:rPr>
          <w:rFonts w:ascii="Cambria" w:hAnsi="Cambria"/>
        </w:rPr>
        <w:t xml:space="preserve">In 2017, Nadia Bolz-Weber, a pastor of the Evangelical Lutheran Church in America, was guest at the Australian Conference on Lutheran Education in Adelaide. She gave a keynote on the Reformation which was a conference highlight. One person asked whether she was glad </w:t>
      </w:r>
      <w:r w:rsidRPr="009A0DA6">
        <w:rPr>
          <w:rFonts w:ascii="Cambria" w:hAnsi="Cambria"/>
        </w:rPr>
        <w:lastRenderedPageBreak/>
        <w:t>that ‘conservatives’ were leaving her church because of its ‘progressive’ stance? Did that make life easier for her? She responded with evident sadness, grieving their departure. As a bird needs both wings to fly, she said, the church needs both its wings to be and to do what God designed to it be and do.</w:t>
      </w:r>
    </w:p>
    <w:p w14:paraId="526A57AB" w14:textId="77777777" w:rsidR="00F631B1" w:rsidRPr="009A0DA6" w:rsidRDefault="00F631B1" w:rsidP="00F631B1">
      <w:pPr>
        <w:rPr>
          <w:rFonts w:ascii="Cambria" w:hAnsi="Cambria"/>
        </w:rPr>
      </w:pPr>
      <w:r w:rsidRPr="009A0DA6">
        <w:rPr>
          <w:rFonts w:ascii="Cambria" w:hAnsi="Cambria"/>
        </w:rPr>
        <w:t>Through baptismal grace we are all being reborn, washed clean, every day, just as God promises. Some mornings we might not make it past the bathroom door before the dirt sticks again, but God doesn’t give up on us. Faith is a power, an ability, which is not of this world. If you ask me why I have confidence in the church, and hope in its future, this is why. It’s not ours, it’s God’s, and that means it’s something else entirely. We express it best in worship. God expresses it best when he gives us his Son – in the Word, in baptism, in Holy Communion, and in a myriad of ways that maybe you know in the private spaces of your heart.</w:t>
      </w:r>
    </w:p>
    <w:p w14:paraId="54B22DAF" w14:textId="77777777" w:rsidR="00F631B1" w:rsidRPr="009A0DA6" w:rsidRDefault="00F631B1" w:rsidP="00F631B1">
      <w:pPr>
        <w:pStyle w:val="Subtitle"/>
        <w:ind w:left="567" w:hanging="567"/>
      </w:pPr>
      <w:r w:rsidRPr="009A0DA6">
        <w:t xml:space="preserve">2.2 </w:t>
      </w:r>
      <w:r w:rsidRPr="009A0DA6">
        <w:tab/>
        <w:t>The ordination of women and men</w:t>
      </w:r>
    </w:p>
    <w:p w14:paraId="528F885C" w14:textId="77777777" w:rsidR="00F631B1" w:rsidRPr="009A0DA6" w:rsidRDefault="00F631B1" w:rsidP="0069692D">
      <w:pPr>
        <w:rPr>
          <w:rFonts w:ascii="Cambria" w:hAnsi="Cambria"/>
        </w:rPr>
      </w:pPr>
      <w:r w:rsidRPr="009A0DA6">
        <w:rPr>
          <w:rFonts w:ascii="Cambria" w:hAnsi="Cambria"/>
        </w:rPr>
        <w:t>So much has been and is still being said on this matter. It will be on the business of Convention once again following the decision of the last Convention to have the Commission on Theology and Inter-Church Relations prepare a draft doctrinal statement. 20 congregations have submitted proposals that the LCA admit both women and men to the office of the ministry.</w:t>
      </w:r>
    </w:p>
    <w:p w14:paraId="676F1FF0" w14:textId="77777777" w:rsidR="00F631B1" w:rsidRPr="009A0DA6" w:rsidRDefault="00F631B1" w:rsidP="0069692D">
      <w:pPr>
        <w:rPr>
          <w:rFonts w:ascii="Cambria" w:hAnsi="Cambria"/>
        </w:rPr>
      </w:pPr>
      <w:r w:rsidRPr="009A0DA6">
        <w:rPr>
          <w:rFonts w:ascii="Cambria" w:hAnsi="Cambria"/>
        </w:rPr>
        <w:t>A key underlying issue has long been how we read and interpret Scripture – hermeneutics. That’s despite our very strong statement that we accept, ‘</w:t>
      </w:r>
      <w:r w:rsidRPr="009A0DA6">
        <w:rPr>
          <w:rFonts w:ascii="Cambria" w:hAnsi="Cambria"/>
          <w:i/>
        </w:rPr>
        <w:t>without reservation, the Holy Scriptures of the Old and the New Testaments,</w:t>
      </w:r>
      <w:r w:rsidRPr="009A0DA6">
        <w:rPr>
          <w:rFonts w:ascii="Cambria" w:hAnsi="Cambria"/>
        </w:rPr>
        <w:t xml:space="preserve"> </w:t>
      </w:r>
      <w:r w:rsidRPr="009A0DA6">
        <w:rPr>
          <w:rFonts w:ascii="Cambria" w:hAnsi="Cambria"/>
          <w:i/>
        </w:rPr>
        <w:t>as a whole and in all their parts, as the divinely inspired, written and inerrant Word of God, and as the only infallible source and norm for all matters of faith, doctrine and life.</w:t>
      </w:r>
      <w:r w:rsidRPr="009A0DA6">
        <w:rPr>
          <w:rFonts w:ascii="Cambria" w:hAnsi="Cambria"/>
        </w:rPr>
        <w:t>’</w:t>
      </w:r>
      <w:r w:rsidRPr="009A0DA6">
        <w:rPr>
          <w:rStyle w:val="FootnoteReference"/>
          <w:rFonts w:ascii="Cambria" w:hAnsi="Cambria"/>
        </w:rPr>
        <w:footnoteReference w:id="3"/>
      </w:r>
    </w:p>
    <w:p w14:paraId="2D293752" w14:textId="77777777" w:rsidR="00F631B1" w:rsidRPr="009A0DA6" w:rsidRDefault="00F631B1" w:rsidP="0069692D">
      <w:pPr>
        <w:rPr>
          <w:rFonts w:ascii="Cambria" w:hAnsi="Cambria"/>
        </w:rPr>
      </w:pPr>
      <w:r w:rsidRPr="009A0DA6">
        <w:rPr>
          <w:rFonts w:ascii="Cambria" w:hAnsi="Cambria"/>
        </w:rPr>
        <w:t>The Bible is a life-giving book, and we don’t read it in a vacuum. As humans we always bring a set of presuppositions, which must be open to challenge. The Bible speaks into a real world situation. If we turn it into a textbook then we stop listening for the living, breathing Word of God and the whole practice of faith quickly becomes a legalistic framework of rules and regulations. Textbooks are a product of rationalistic humanism, with an answer for everything. Scripture is the living God speaking his living Word to creatures and a world whom he loves, a word of love.</w:t>
      </w:r>
    </w:p>
    <w:p w14:paraId="213C054E" w14:textId="77777777" w:rsidR="00F631B1" w:rsidRPr="009A0DA6" w:rsidRDefault="00F631B1" w:rsidP="0069692D">
      <w:pPr>
        <w:rPr>
          <w:rFonts w:ascii="Cambria" w:hAnsi="Cambria"/>
        </w:rPr>
      </w:pPr>
      <w:r w:rsidRPr="009A0DA6">
        <w:rPr>
          <w:rFonts w:ascii="Cambria" w:hAnsi="Cambria"/>
        </w:rPr>
        <w:t>So I guess that is what I will be listening for as, yet again, we approach the question (which to some is not a question at all) at this General Convention. As I have said at some meetings in recent times, it is not just what we decide that matters to me, but how and why we decide it.</w:t>
      </w:r>
    </w:p>
    <w:p w14:paraId="16A443E0" w14:textId="77777777" w:rsidR="00F631B1" w:rsidRPr="009A0DA6" w:rsidRDefault="00F631B1" w:rsidP="0069692D">
      <w:pPr>
        <w:rPr>
          <w:rFonts w:ascii="Cambria" w:hAnsi="Cambria"/>
        </w:rPr>
      </w:pPr>
      <w:r w:rsidRPr="009A0DA6">
        <w:rPr>
          <w:rFonts w:ascii="Cambria" w:hAnsi="Cambria"/>
        </w:rPr>
        <w:t>At Convention we will be wise to vote on a proposal for change, as we did in 2015. If we were to vote on a proposal for the current teaching and fail to achieve the 66.6% majority required ‘</w:t>
      </w:r>
      <w:r w:rsidRPr="009A0DA6">
        <w:rPr>
          <w:rFonts w:ascii="Cambria" w:hAnsi="Cambria"/>
          <w:i/>
        </w:rPr>
        <w:t>for a matter of doctrine deemed to be the official position of the Church</w:t>
      </w:r>
      <w:r w:rsidRPr="009A0DA6">
        <w:rPr>
          <w:rFonts w:ascii="Cambria" w:hAnsi="Cambria"/>
        </w:rPr>
        <w:t>’</w:t>
      </w:r>
      <w:r w:rsidRPr="009A0DA6">
        <w:rPr>
          <w:rStyle w:val="FootnoteReference"/>
          <w:rFonts w:ascii="Cambria" w:hAnsi="Cambria"/>
        </w:rPr>
        <w:footnoteReference w:id="4"/>
      </w:r>
      <w:r w:rsidRPr="009A0DA6">
        <w:rPr>
          <w:rFonts w:ascii="Cambria" w:hAnsi="Cambria"/>
        </w:rPr>
        <w:t xml:space="preserve"> it would leave us in an invidious position. Again, as last time, I remind delegates that only one proposal on a matter may be brought forward, except under very specific and unusual circumstances.</w:t>
      </w:r>
      <w:r w:rsidRPr="009A0DA6">
        <w:rPr>
          <w:rStyle w:val="FootnoteReference"/>
          <w:rFonts w:ascii="Cambria" w:hAnsi="Cambria"/>
        </w:rPr>
        <w:footnoteReference w:id="5"/>
      </w:r>
    </w:p>
    <w:p w14:paraId="36CCA73E" w14:textId="77777777" w:rsidR="00F631B1" w:rsidRPr="009A0DA6" w:rsidRDefault="00F631B1" w:rsidP="00F631B1">
      <w:pPr>
        <w:pStyle w:val="Subtitle"/>
        <w:ind w:left="567" w:hanging="567"/>
      </w:pPr>
      <w:r w:rsidRPr="009A0DA6">
        <w:t xml:space="preserve">2.3 </w:t>
      </w:r>
      <w:r w:rsidRPr="009A0DA6">
        <w:tab/>
        <w:t>Recruitment, supply and deployment of pastors</w:t>
      </w:r>
    </w:p>
    <w:p w14:paraId="6438B835" w14:textId="77777777" w:rsidR="00F631B1" w:rsidRPr="009A0DA6" w:rsidRDefault="00F631B1" w:rsidP="0069692D">
      <w:pPr>
        <w:rPr>
          <w:rFonts w:ascii="Cambria" w:hAnsi="Cambria"/>
        </w:rPr>
      </w:pPr>
      <w:r w:rsidRPr="009A0DA6">
        <w:rPr>
          <w:rFonts w:ascii="Cambria" w:hAnsi="Cambria"/>
        </w:rPr>
        <w:t xml:space="preserve">Statistics show that we have a shortage of pastors (21) relative to parishes with the ability to call. At the present rate of attrition and replacement, that could climb to 89 by 2023 and 129 by 2029. The forecast allows for the increasing number of calls to Specific Ministry Pastors, but does not take into account pastoral calls beyond parishes, such as schools, aged care, and military chaplaincies. </w:t>
      </w:r>
    </w:p>
    <w:p w14:paraId="6EFFBC6B" w14:textId="77777777" w:rsidR="00F631B1" w:rsidRPr="009A0DA6" w:rsidRDefault="00F631B1" w:rsidP="0069692D">
      <w:pPr>
        <w:rPr>
          <w:rFonts w:ascii="Cambria" w:hAnsi="Cambria"/>
        </w:rPr>
      </w:pPr>
      <w:r w:rsidRPr="009A0DA6">
        <w:rPr>
          <w:rFonts w:ascii="Cambria" w:hAnsi="Cambria"/>
        </w:rPr>
        <w:lastRenderedPageBreak/>
        <w:t xml:space="preserve">If these forecasts are accurate, we need on average of 12 new ‘General Ministry Pastors’ per year just to supply our parishes. The current average rate is 4 and falling and the median age of our pastors is 56. </w:t>
      </w:r>
    </w:p>
    <w:p w14:paraId="63EC35AD" w14:textId="77777777" w:rsidR="00F631B1" w:rsidRPr="009A0DA6" w:rsidRDefault="00F631B1" w:rsidP="0069692D">
      <w:pPr>
        <w:rPr>
          <w:rFonts w:ascii="Cambria" w:hAnsi="Cambria"/>
        </w:rPr>
      </w:pPr>
      <w:r w:rsidRPr="009A0DA6">
        <w:rPr>
          <w:rFonts w:ascii="Cambria" w:hAnsi="Cambria"/>
        </w:rPr>
        <w:t>What is the Holy Spirit telling us through these figures? The College of Bishops has been considering this, as have the leadership and staff of Australian Lutheran College (ALC) and the General Church Council (GCC). Many Synod delegates who have been involved in the call process will have felt the pinch of finding the ‘right’ pastor for your ministry setting.</w:t>
      </w:r>
    </w:p>
    <w:p w14:paraId="77D421C2" w14:textId="77777777" w:rsidR="00F631B1" w:rsidRPr="009A0DA6" w:rsidRDefault="00F631B1" w:rsidP="0069692D">
      <w:pPr>
        <w:rPr>
          <w:rFonts w:ascii="Cambria" w:hAnsi="Cambria"/>
        </w:rPr>
      </w:pPr>
      <w:r w:rsidRPr="009A0DA6">
        <w:rPr>
          <w:rFonts w:ascii="Cambria" w:hAnsi="Cambria"/>
        </w:rPr>
        <w:t>The training, supply and calling of pastors is an issue for all of us, and not just a single department or organisation. God calls pastors from the wider membership of the church – they are your brothers, cousins, nephews (and sometimes these days uncles and fathers), friends, and fellow church members.</w:t>
      </w:r>
    </w:p>
    <w:p w14:paraId="20200F9B" w14:textId="77777777" w:rsidR="00F631B1" w:rsidRPr="009A0DA6" w:rsidRDefault="00F631B1" w:rsidP="0069692D">
      <w:pPr>
        <w:rPr>
          <w:rFonts w:ascii="Cambria" w:hAnsi="Cambria"/>
        </w:rPr>
      </w:pPr>
      <w:r w:rsidRPr="009A0DA6">
        <w:rPr>
          <w:rFonts w:ascii="Cambria" w:hAnsi="Cambria"/>
        </w:rPr>
        <w:t>We have work to do, but not out of panic. LCA trends are similar to those of other churches. Ask any Catholic parishioner about the supply of priests, or members of the Uniting or Anglican churches who come from parishes, particularly in the country, which cannot obtain or afford a minister. The general decline in vocations should not surprise us. Society encourages emerging adults to qualify for careers that will bring advancement in promotion and income. The ministry of the LCA, however, has a ‘flat’ structure. A graduate pastor receives the same remuneration as an experienced pastor of many years, whatever work he is doing. The factors that attract people to train for the ministry are not those commonly valued and promoted by society. The proportion of graduate pastors taking up a second or third career in ministry is also higher than it used to be. Pastors are graduating at an older age. To date the oldest ordination age of a graduate pastor is 64. For Specific Ministry Pastors that figure has occasionally reached the mid-70s and even into the early 80s.</w:t>
      </w:r>
    </w:p>
    <w:p w14:paraId="0903782A" w14:textId="77777777" w:rsidR="00F631B1" w:rsidRPr="009A0DA6" w:rsidRDefault="00F631B1" w:rsidP="0069692D">
      <w:pPr>
        <w:rPr>
          <w:rFonts w:ascii="Cambria" w:hAnsi="Cambria"/>
        </w:rPr>
      </w:pPr>
      <w:r w:rsidRPr="009A0DA6">
        <w:rPr>
          <w:rFonts w:ascii="Cambria" w:hAnsi="Cambria"/>
        </w:rPr>
        <w:t>I have included these realities to affirm that we share this issue together, whether urban or rural, large or small, single or multi place, regional or remote, parish, school, aged care, or something else. As a worshipping, sacramental community we need to share our pastors. We must carefully consider how we deploy them, what we expect them to be and do, and how we can become less ‘pastor dependent’ in some things. The supply of pastors, while a human dilemma, cannot be ‘fixed’ by purely human solutions. Jesus told us to ask the Lord of the harvest to send out labourers into his harvest (Matthew 9:37). Is this the lesson we are to learn?</w:t>
      </w:r>
    </w:p>
    <w:p w14:paraId="6525A857" w14:textId="77777777" w:rsidR="00F631B1" w:rsidRPr="009A0DA6" w:rsidRDefault="00F631B1" w:rsidP="00F631B1">
      <w:pPr>
        <w:pStyle w:val="NoSpacing"/>
      </w:pPr>
      <w:r w:rsidRPr="009A0DA6">
        <w:t>In summary, it will help if we:</w:t>
      </w:r>
    </w:p>
    <w:p w14:paraId="5D87E6CA" w14:textId="77777777" w:rsidR="00F631B1" w:rsidRPr="009A0DA6" w:rsidRDefault="00F631B1" w:rsidP="00F55252">
      <w:pPr>
        <w:pStyle w:val="ListParagraph"/>
        <w:numPr>
          <w:ilvl w:val="0"/>
          <w:numId w:val="4"/>
        </w:numPr>
        <w:spacing w:after="120" w:line="240" w:lineRule="auto"/>
        <w:ind w:left="567" w:hanging="567"/>
        <w:rPr>
          <w:rFonts w:ascii="Cambria" w:hAnsi="Cambria"/>
        </w:rPr>
      </w:pPr>
      <w:r w:rsidRPr="009A0DA6">
        <w:rPr>
          <w:rFonts w:ascii="Cambria" w:hAnsi="Cambria"/>
        </w:rPr>
        <w:t>cultivate generosity of spirit towards the supply and utilisation of our pastors;</w:t>
      </w:r>
    </w:p>
    <w:p w14:paraId="41ADACEC" w14:textId="77777777" w:rsidR="00F631B1" w:rsidRPr="009A0DA6" w:rsidRDefault="00F631B1" w:rsidP="00F55252">
      <w:pPr>
        <w:pStyle w:val="ListParagraph"/>
        <w:numPr>
          <w:ilvl w:val="0"/>
          <w:numId w:val="4"/>
        </w:numPr>
        <w:spacing w:after="120" w:line="240" w:lineRule="auto"/>
        <w:ind w:left="567" w:hanging="567"/>
        <w:rPr>
          <w:rFonts w:ascii="Cambria" w:hAnsi="Cambria"/>
        </w:rPr>
      </w:pPr>
      <w:r w:rsidRPr="009A0DA6">
        <w:rPr>
          <w:rFonts w:ascii="Cambria" w:hAnsi="Cambria"/>
        </w:rPr>
        <w:t>are not overly protective of our congregation and parish boundaries;</w:t>
      </w:r>
    </w:p>
    <w:p w14:paraId="3ECFB5E6" w14:textId="77777777" w:rsidR="00F631B1" w:rsidRPr="009A0DA6" w:rsidRDefault="00F631B1" w:rsidP="00F55252">
      <w:pPr>
        <w:pStyle w:val="ListParagraph"/>
        <w:numPr>
          <w:ilvl w:val="0"/>
          <w:numId w:val="4"/>
        </w:numPr>
        <w:spacing w:after="120" w:line="240" w:lineRule="auto"/>
        <w:ind w:left="567" w:hanging="567"/>
        <w:rPr>
          <w:rFonts w:ascii="Cambria" w:hAnsi="Cambria"/>
        </w:rPr>
      </w:pPr>
      <w:r w:rsidRPr="009A0DA6">
        <w:rPr>
          <w:rFonts w:ascii="Cambria" w:hAnsi="Cambria"/>
        </w:rPr>
        <w:t>think flexibly, creatively and collaboratively about pastoral supply;</w:t>
      </w:r>
    </w:p>
    <w:p w14:paraId="4181FC11" w14:textId="77777777" w:rsidR="00F631B1" w:rsidRPr="009A0DA6" w:rsidRDefault="00F631B1" w:rsidP="00F55252">
      <w:pPr>
        <w:pStyle w:val="ListParagraph"/>
        <w:numPr>
          <w:ilvl w:val="0"/>
          <w:numId w:val="4"/>
        </w:numPr>
        <w:spacing w:after="120" w:line="240" w:lineRule="auto"/>
        <w:ind w:left="567" w:hanging="567"/>
        <w:rPr>
          <w:rFonts w:ascii="Cambria" w:hAnsi="Cambria"/>
        </w:rPr>
      </w:pPr>
      <w:r w:rsidRPr="009A0DA6">
        <w:rPr>
          <w:rFonts w:ascii="Cambria" w:hAnsi="Cambria"/>
        </w:rPr>
        <w:t>encourage lay people to maximise their service to the church;</w:t>
      </w:r>
    </w:p>
    <w:p w14:paraId="32AFE4E7" w14:textId="77777777" w:rsidR="00F631B1" w:rsidRPr="009A0DA6" w:rsidRDefault="00F631B1" w:rsidP="00F55252">
      <w:pPr>
        <w:pStyle w:val="ListParagraph"/>
        <w:numPr>
          <w:ilvl w:val="0"/>
          <w:numId w:val="4"/>
        </w:numPr>
        <w:spacing w:after="120" w:line="240" w:lineRule="auto"/>
        <w:ind w:left="567" w:hanging="567"/>
        <w:rPr>
          <w:rFonts w:ascii="Cambria" w:hAnsi="Cambria"/>
        </w:rPr>
      </w:pPr>
      <w:r w:rsidRPr="009A0DA6">
        <w:rPr>
          <w:rFonts w:ascii="Cambria" w:hAnsi="Cambria"/>
        </w:rPr>
        <w:t>prepare our congregations to embrace a future that will be different from the past;</w:t>
      </w:r>
    </w:p>
    <w:p w14:paraId="20ED4BC2" w14:textId="77777777" w:rsidR="00F631B1" w:rsidRPr="009A0DA6" w:rsidRDefault="00F631B1" w:rsidP="00F55252">
      <w:pPr>
        <w:pStyle w:val="ListParagraph"/>
        <w:numPr>
          <w:ilvl w:val="0"/>
          <w:numId w:val="4"/>
        </w:numPr>
        <w:spacing w:after="120" w:line="240" w:lineRule="auto"/>
        <w:ind w:left="567" w:hanging="567"/>
        <w:rPr>
          <w:rFonts w:ascii="Cambria" w:hAnsi="Cambria"/>
        </w:rPr>
      </w:pPr>
      <w:r w:rsidRPr="009A0DA6">
        <w:rPr>
          <w:rFonts w:ascii="Cambria" w:hAnsi="Cambria"/>
        </w:rPr>
        <w:t>look outside our own patches and work together for the good of the whole;</w:t>
      </w:r>
    </w:p>
    <w:p w14:paraId="4A802326" w14:textId="77777777" w:rsidR="00F631B1" w:rsidRPr="009A0DA6" w:rsidRDefault="00F631B1" w:rsidP="00F55252">
      <w:pPr>
        <w:pStyle w:val="ListParagraph"/>
        <w:numPr>
          <w:ilvl w:val="0"/>
          <w:numId w:val="4"/>
        </w:numPr>
        <w:spacing w:after="120" w:line="240" w:lineRule="auto"/>
        <w:ind w:left="567" w:hanging="567"/>
        <w:rPr>
          <w:rFonts w:ascii="Cambria" w:hAnsi="Cambria"/>
        </w:rPr>
      </w:pPr>
      <w:r w:rsidRPr="009A0DA6">
        <w:rPr>
          <w:rFonts w:ascii="Cambria" w:hAnsi="Cambria"/>
        </w:rPr>
        <w:t>enquire about how we are using our resources to the best effect; and</w:t>
      </w:r>
    </w:p>
    <w:p w14:paraId="30D14232" w14:textId="77777777" w:rsidR="00F631B1" w:rsidRPr="009A0DA6" w:rsidRDefault="00F631B1" w:rsidP="00F55252">
      <w:pPr>
        <w:pStyle w:val="ListParagraph"/>
        <w:numPr>
          <w:ilvl w:val="0"/>
          <w:numId w:val="4"/>
        </w:numPr>
        <w:spacing w:after="120" w:line="240" w:lineRule="auto"/>
        <w:ind w:left="567" w:hanging="567"/>
        <w:rPr>
          <w:rFonts w:ascii="Cambria" w:hAnsi="Cambria"/>
        </w:rPr>
      </w:pPr>
      <w:r w:rsidRPr="009A0DA6">
        <w:rPr>
          <w:rFonts w:ascii="Cambria" w:hAnsi="Cambria"/>
        </w:rPr>
        <w:t>are positive and hopeful about the ministry of the gospel and serving people.</w:t>
      </w:r>
    </w:p>
    <w:p w14:paraId="66E54663" w14:textId="77777777" w:rsidR="00F631B1" w:rsidRPr="009A0DA6" w:rsidRDefault="00F631B1" w:rsidP="00F631B1">
      <w:pPr>
        <w:rPr>
          <w:rFonts w:ascii="Cambria" w:hAnsi="Cambria"/>
        </w:rPr>
      </w:pPr>
      <w:r w:rsidRPr="009A0DA6">
        <w:rPr>
          <w:rFonts w:ascii="Cambria" w:hAnsi="Cambria"/>
        </w:rPr>
        <w:t>There are many other things to say about the church, but space does not allow them in this report. My desire for the church is that we focus on the basics, our first love as Lutherans, which is salvation through faith in Jesus Christ and sharing that good news with a dying world.</w:t>
      </w:r>
    </w:p>
    <w:p w14:paraId="04CA3616" w14:textId="77777777" w:rsidR="00F631B1" w:rsidRPr="009A0DA6" w:rsidRDefault="00F631B1" w:rsidP="00F631B1">
      <w:pPr>
        <w:rPr>
          <w:rFonts w:ascii="Cambria" w:hAnsi="Cambria"/>
        </w:rPr>
      </w:pPr>
      <w:r w:rsidRPr="009A0DA6">
        <w:rPr>
          <w:rFonts w:ascii="Cambria" w:hAnsi="Cambria"/>
        </w:rPr>
        <w:t xml:space="preserve">To this end I encourage all our congregations, ministries, members and pastors to foster the regular study of the Bible in private, at home and in group settings. It really isn’t that difficult. Just read it, reflect on it, talk about it, and let the living Word of God speak into your </w:t>
      </w:r>
      <w:r w:rsidRPr="009A0DA6">
        <w:rPr>
          <w:rFonts w:ascii="Cambria" w:hAnsi="Cambria"/>
        </w:rPr>
        <w:lastRenderedPageBreak/>
        <w:t>situations, into your hearts, and into your communities. Let’s model that which we want our world, and our church, to be.</w:t>
      </w:r>
    </w:p>
    <w:p w14:paraId="5C898F9B" w14:textId="77777777" w:rsidR="00F631B1" w:rsidRPr="009A0DA6" w:rsidRDefault="00F631B1" w:rsidP="00F631B1">
      <w:pPr>
        <w:pStyle w:val="Heading3"/>
        <w:numPr>
          <w:ilvl w:val="3"/>
          <w:numId w:val="3"/>
        </w:numPr>
        <w:ind w:left="567" w:hanging="567"/>
      </w:pPr>
      <w:r w:rsidRPr="009A0DA6">
        <w:t>Indigenous lutherans</w:t>
      </w:r>
    </w:p>
    <w:p w14:paraId="24570E31" w14:textId="77777777" w:rsidR="00F631B1" w:rsidRPr="009A0DA6" w:rsidRDefault="00F631B1" w:rsidP="00F631B1">
      <w:pPr>
        <w:rPr>
          <w:rFonts w:ascii="Cambria" w:hAnsi="Cambria"/>
        </w:rPr>
      </w:pPr>
      <w:r w:rsidRPr="009A0DA6">
        <w:rPr>
          <w:rFonts w:ascii="Cambria" w:hAnsi="Cambria"/>
        </w:rPr>
        <w:t>In the late 1990s, Dr Lance Steicke, the LCA’s third President, conducted a rite of reconciliation, a sorry event, with Indigenous participants at a Synod. At the time the church produced some excellent materials, including a report ‘We’re all people’ and a video ‘Out of the shadows’. We slowly forgot them, and didn’t follow through on this initiative as fully as we might have.</w:t>
      </w:r>
    </w:p>
    <w:p w14:paraId="3AC84252" w14:textId="77777777" w:rsidR="00F631B1" w:rsidRPr="009A0DA6" w:rsidRDefault="00F631B1" w:rsidP="00F631B1">
      <w:pPr>
        <w:rPr>
          <w:rFonts w:ascii="Cambria" w:hAnsi="Cambria"/>
        </w:rPr>
      </w:pPr>
      <w:r w:rsidRPr="009A0DA6">
        <w:rPr>
          <w:rFonts w:ascii="Cambria" w:hAnsi="Cambria"/>
        </w:rPr>
        <w:t>Recently the leadership has been reviewing what we did then and where we are now. The LCA continues to work hard in the complex and demanding ministries around Central Australia, Cape York, and South Australia’s West Coast. LCA ministries are right there where it counts, and we have a good grasp of the problems and the possibilities. Nevertheless, overall our approach is not coordinated, and we have ‘siloed’ our various ministries so that they find it difficult to collaborate and share what they know.</w:t>
      </w:r>
    </w:p>
    <w:p w14:paraId="2FA5196F" w14:textId="77777777" w:rsidR="00F631B1" w:rsidRPr="009A0DA6" w:rsidRDefault="00F631B1" w:rsidP="00F631B1">
      <w:pPr>
        <w:rPr>
          <w:rFonts w:ascii="Cambria" w:hAnsi="Cambria"/>
        </w:rPr>
      </w:pPr>
      <w:r w:rsidRPr="009A0DA6">
        <w:rPr>
          <w:rFonts w:ascii="Cambria" w:hAnsi="Cambria"/>
        </w:rPr>
        <w:t>After all these decades we continue to have a noticeable the lack of Indigenous leadership, at least beyond the local and the immediate field of work. LCA Synods, councils and committees proceed largely without Indigenous participation. We rarely pause to ask our Indigenous members what they think, even if we had the mechanisms to do so. And yet a remarkably large percentage of Lutherans in Australia are Indigenous. Because they are not in ‘constituted’ congregations, and because English may be a second or even fourth language, it takes special acumen, and a great deal of time, to listen and to hear the message.</w:t>
      </w:r>
    </w:p>
    <w:p w14:paraId="6BCD8266" w14:textId="77777777" w:rsidR="00F631B1" w:rsidRPr="009A0DA6" w:rsidRDefault="00F631B1" w:rsidP="00F631B1">
      <w:pPr>
        <w:rPr>
          <w:rFonts w:ascii="Cambria" w:hAnsi="Cambria"/>
        </w:rPr>
      </w:pPr>
      <w:r w:rsidRPr="009A0DA6">
        <w:rPr>
          <w:rFonts w:ascii="Cambria" w:hAnsi="Cambria"/>
        </w:rPr>
        <w:t>So we can easily put it into the ‘too hard’ basket and just get on with business. In the end, however, that’s not enough. To be a truly local church, and not just a European transplant into the southern hemisphere, we must include, and allow ourselves to be changed by, Indigenous voices.</w:t>
      </w:r>
    </w:p>
    <w:p w14:paraId="46108368" w14:textId="77777777" w:rsidR="00F631B1" w:rsidRPr="009A0DA6" w:rsidRDefault="00F631B1" w:rsidP="00F631B1">
      <w:pPr>
        <w:rPr>
          <w:rFonts w:ascii="Cambria" w:hAnsi="Cambria"/>
        </w:rPr>
      </w:pPr>
      <w:r w:rsidRPr="009A0DA6">
        <w:rPr>
          <w:rFonts w:ascii="Cambria" w:hAnsi="Cambria"/>
        </w:rPr>
        <w:t>Recently there have been several commendable efforts to validate Indigenous representation at Synods – in other words, what wider society would call ‘recognition’. Only a few congregations with substantial Aboriginal membership can currently send voting delegates to a Synod. Attempts at finding a way to widening this representation, however, have so far ended up in circular arguments. Our structure dictates that congregations are the members of the church. If you aren’t a constituted and recognised congregation you aren’t an ‘official’ member, at least not for the purpose of voting. Simple as that.</w:t>
      </w:r>
    </w:p>
    <w:p w14:paraId="028E0C78" w14:textId="77777777" w:rsidR="00F631B1" w:rsidRPr="009A0DA6" w:rsidRDefault="00F631B1" w:rsidP="00F631B1">
      <w:pPr>
        <w:rPr>
          <w:rFonts w:ascii="Cambria" w:hAnsi="Cambria"/>
        </w:rPr>
      </w:pPr>
      <w:r w:rsidRPr="009A0DA6">
        <w:rPr>
          <w:rFonts w:ascii="Cambria" w:hAnsi="Cambria"/>
        </w:rPr>
        <w:t>One solution, novel and so far untried by us, but proven in other churches, would be to rewrite the Constitution to separate the functions of the LCA as a church and as a legal entity. We need to be incorporated to own property, be sued, and all that other stuff. We don’t need it, however, to be a worshipping community, to conduct ministry and mission, and to preach the gospel! If we separated these constitutionally two then some of the current barriers to Indigenous recognition might cease to exist.</w:t>
      </w:r>
    </w:p>
    <w:p w14:paraId="1E810959" w14:textId="77777777" w:rsidR="00F631B1" w:rsidRPr="009A0DA6" w:rsidRDefault="00F631B1" w:rsidP="00F631B1">
      <w:pPr>
        <w:rPr>
          <w:rFonts w:ascii="Cambria" w:hAnsi="Cambria"/>
        </w:rPr>
      </w:pPr>
      <w:r w:rsidRPr="009A0DA6">
        <w:rPr>
          <w:rFonts w:ascii="Cambria" w:hAnsi="Cambria"/>
        </w:rPr>
        <w:t>Another issue, which I have only just begun to think about, is the reality that introducing a stronger, identifiable Indigenous voice into the affairs of the LCA will substantially change the way we do things. In other words, we must be willing to receive from each other, as well as to give, and Indigenous Australians have many gifts to give their non-Indigenous fellow believers.</w:t>
      </w:r>
    </w:p>
    <w:p w14:paraId="57506630" w14:textId="77777777" w:rsidR="00F631B1" w:rsidRPr="009A0DA6" w:rsidRDefault="00F631B1" w:rsidP="00F631B1">
      <w:pPr>
        <w:rPr>
          <w:rFonts w:ascii="Cambria" w:hAnsi="Cambria"/>
        </w:rPr>
      </w:pPr>
      <w:r w:rsidRPr="009A0DA6">
        <w:rPr>
          <w:rFonts w:ascii="Cambria" w:hAnsi="Cambria"/>
        </w:rPr>
        <w:t xml:space="preserve">So there is work to be done on this, and it’s the work of a lifetime. In the short to medium term we have searched for a mechanism to get us on the road to continue the journey we began in the 1990s. We have begun work on developing a Reconciliation Action Plan, and a proposal will come before Synod to resource the development of such a plan. We have already </w:t>
      </w:r>
      <w:r w:rsidRPr="009A0DA6">
        <w:rPr>
          <w:rFonts w:ascii="Cambria" w:hAnsi="Cambria"/>
        </w:rPr>
        <w:lastRenderedPageBreak/>
        <w:t>begun a series of deep consultations, and with Neville Otto have gathered a steering group of Indigenous and leadership representatives. It’s slow work but extremely rewarding and worthwhile, and I hope you will give it your support.</w:t>
      </w:r>
    </w:p>
    <w:p w14:paraId="426D1B86" w14:textId="77777777" w:rsidR="00F631B1" w:rsidRPr="009A0DA6" w:rsidRDefault="00F631B1" w:rsidP="00F631B1">
      <w:pPr>
        <w:pStyle w:val="Heading3"/>
        <w:numPr>
          <w:ilvl w:val="3"/>
          <w:numId w:val="3"/>
        </w:numPr>
        <w:ind w:left="567" w:hanging="567"/>
      </w:pPr>
      <w:r w:rsidRPr="009A0DA6">
        <w:t>Australian Lutheran College</w:t>
      </w:r>
    </w:p>
    <w:p w14:paraId="6EC5C695" w14:textId="77777777" w:rsidR="00F631B1" w:rsidRPr="009A0DA6" w:rsidRDefault="00F631B1" w:rsidP="00F631B1">
      <w:pPr>
        <w:rPr>
          <w:rFonts w:ascii="Cambria" w:hAnsi="Cambria"/>
        </w:rPr>
      </w:pPr>
      <w:r w:rsidRPr="009A0DA6">
        <w:rPr>
          <w:rFonts w:ascii="Cambria" w:hAnsi="Cambria"/>
        </w:rPr>
        <w:t>ALC will be submitting its own report to Convention, but one of my duties as your bishop is ‘Official Visitor’ to ALC.</w:t>
      </w:r>
      <w:r w:rsidRPr="009A0DA6">
        <w:rPr>
          <w:rStyle w:val="FootnoteReference"/>
          <w:rFonts w:ascii="Cambria" w:hAnsi="Cambria"/>
        </w:rPr>
        <w:footnoteReference w:id="6"/>
      </w:r>
    </w:p>
    <w:p w14:paraId="34603957" w14:textId="77777777" w:rsidR="00F631B1" w:rsidRPr="009A0DA6" w:rsidRDefault="00F631B1" w:rsidP="00F631B1">
      <w:pPr>
        <w:rPr>
          <w:rFonts w:ascii="Cambria" w:hAnsi="Cambria"/>
        </w:rPr>
      </w:pPr>
      <w:r w:rsidRPr="009A0DA6">
        <w:rPr>
          <w:rFonts w:ascii="Cambria" w:hAnsi="Cambria"/>
        </w:rPr>
        <w:t>ALC continues to be the largest single project undertaken by the LCA. It reflects the high priority our church has always had on training and equipping church workers in Lutheran theology and spirituality.</w:t>
      </w:r>
    </w:p>
    <w:p w14:paraId="6A849824" w14:textId="77777777" w:rsidR="00F631B1" w:rsidRPr="009A0DA6" w:rsidRDefault="00F631B1" w:rsidP="00F631B1">
      <w:pPr>
        <w:rPr>
          <w:rFonts w:ascii="Cambria" w:hAnsi="Cambria"/>
        </w:rPr>
      </w:pPr>
      <w:r w:rsidRPr="009A0DA6">
        <w:rPr>
          <w:rFonts w:ascii="Cambria" w:hAnsi="Cambria"/>
        </w:rPr>
        <w:t>ALC is operating in a more difficult and competitive environment than ever. It is learning to be agile and responsive in delivering educational outcomes. It is creating opportunities on-line and regionally for both higher education and vocational theological education. ALC is going out to the people.</w:t>
      </w:r>
    </w:p>
    <w:p w14:paraId="7BCD9F9A" w14:textId="77777777" w:rsidR="00F631B1" w:rsidRPr="009A0DA6" w:rsidRDefault="00F631B1" w:rsidP="00F631B1">
      <w:pPr>
        <w:rPr>
          <w:rFonts w:ascii="Cambria" w:hAnsi="Cambria"/>
        </w:rPr>
      </w:pPr>
      <w:r w:rsidRPr="009A0DA6">
        <w:rPr>
          <w:rFonts w:ascii="Cambria" w:hAnsi="Cambria"/>
        </w:rPr>
        <w:t>In 2017 the ALC annual appeal received one of the best responses ever. I take that as a sign that the people of the church continue to support their learning institution despite our challenging environment. Getting back to basics means knowing who we are as Lutherans. ALC provides the best opportunity for us to do just that. Please continue to pray for and support the Principal, the staff, the Board, and most especially the students.</w:t>
      </w:r>
    </w:p>
    <w:p w14:paraId="1A70C0D2" w14:textId="77777777" w:rsidR="00F631B1" w:rsidRPr="009A0DA6" w:rsidRDefault="00F631B1" w:rsidP="00F631B1">
      <w:pPr>
        <w:pStyle w:val="Heading3"/>
        <w:numPr>
          <w:ilvl w:val="3"/>
          <w:numId w:val="3"/>
        </w:numPr>
        <w:ind w:left="567" w:hanging="567"/>
      </w:pPr>
      <w:r w:rsidRPr="009A0DA6">
        <w:t>International connections</w:t>
      </w:r>
    </w:p>
    <w:p w14:paraId="72A20516" w14:textId="77777777" w:rsidR="00F631B1" w:rsidRPr="009A0DA6" w:rsidRDefault="00F631B1" w:rsidP="00F631B1">
      <w:pPr>
        <w:rPr>
          <w:rFonts w:ascii="Cambria" w:hAnsi="Cambria"/>
        </w:rPr>
      </w:pPr>
      <w:r w:rsidRPr="009A0DA6">
        <w:rPr>
          <w:rFonts w:ascii="Cambria" w:hAnsi="Cambria"/>
        </w:rPr>
        <w:t>During the synodical term, the LCA has maintained cordial relations with its international cousins. LCA Mission International has been at the forefront of many of these relationships, particularly in Asia. This synodical term I have participated in the following international engagements:</w:t>
      </w:r>
    </w:p>
    <w:p w14:paraId="4CAA242A" w14:textId="77777777" w:rsidR="00F631B1" w:rsidRPr="009A0DA6" w:rsidRDefault="00F631B1" w:rsidP="00F631B1">
      <w:pPr>
        <w:pStyle w:val="NoSpacing"/>
      </w:pPr>
      <w:r w:rsidRPr="009A0DA6">
        <w:t>2015</w:t>
      </w:r>
    </w:p>
    <w:p w14:paraId="363A2CCF" w14:textId="77777777" w:rsidR="00F631B1" w:rsidRPr="009A0DA6" w:rsidRDefault="00F631B1" w:rsidP="00F55252">
      <w:pPr>
        <w:pStyle w:val="ListParagraph"/>
        <w:numPr>
          <w:ilvl w:val="0"/>
          <w:numId w:val="5"/>
        </w:numPr>
        <w:spacing w:after="120" w:line="240" w:lineRule="auto"/>
        <w:ind w:left="567" w:hanging="567"/>
        <w:rPr>
          <w:rFonts w:ascii="Cambria" w:hAnsi="Cambria"/>
        </w:rPr>
      </w:pPr>
      <w:r w:rsidRPr="009A0DA6">
        <w:rPr>
          <w:rFonts w:ascii="Cambria" w:hAnsi="Cambria"/>
        </w:rPr>
        <w:t>Asian Church Leaders Conference, Taiwan</w:t>
      </w:r>
    </w:p>
    <w:p w14:paraId="70D5DAF6" w14:textId="77777777" w:rsidR="00F631B1" w:rsidRPr="009A0DA6" w:rsidRDefault="00F631B1" w:rsidP="00F55252">
      <w:pPr>
        <w:pStyle w:val="ListParagraph"/>
        <w:numPr>
          <w:ilvl w:val="0"/>
          <w:numId w:val="5"/>
        </w:numPr>
        <w:spacing w:after="120" w:line="240" w:lineRule="auto"/>
        <w:ind w:left="567" w:hanging="567"/>
        <w:rPr>
          <w:rFonts w:ascii="Cambria" w:hAnsi="Cambria"/>
        </w:rPr>
      </w:pPr>
      <w:r w:rsidRPr="009A0DA6">
        <w:rPr>
          <w:rFonts w:ascii="Cambria" w:hAnsi="Cambria"/>
        </w:rPr>
        <w:t>Conference on Confessional Leadership in the 21st century, Wittenberg Germany</w:t>
      </w:r>
    </w:p>
    <w:p w14:paraId="573E006F" w14:textId="77777777" w:rsidR="00F631B1" w:rsidRPr="009A0DA6" w:rsidRDefault="00F631B1" w:rsidP="00F631B1">
      <w:pPr>
        <w:pStyle w:val="NoSpacing"/>
      </w:pPr>
      <w:r w:rsidRPr="009A0DA6">
        <w:t>2016</w:t>
      </w:r>
    </w:p>
    <w:p w14:paraId="00A37FEA" w14:textId="77777777" w:rsidR="00F631B1" w:rsidRPr="009A0DA6" w:rsidRDefault="00F631B1" w:rsidP="00F55252">
      <w:pPr>
        <w:pStyle w:val="ListParagraph"/>
        <w:numPr>
          <w:ilvl w:val="0"/>
          <w:numId w:val="6"/>
        </w:numPr>
        <w:spacing w:after="120" w:line="240" w:lineRule="auto"/>
        <w:ind w:left="567" w:hanging="567"/>
        <w:rPr>
          <w:rFonts w:ascii="Cambria" w:hAnsi="Cambria"/>
        </w:rPr>
      </w:pPr>
      <w:r w:rsidRPr="009A0DA6">
        <w:rPr>
          <w:rFonts w:ascii="Cambria" w:hAnsi="Cambria"/>
        </w:rPr>
        <w:t>Lutheran Church Missouri Synod National Convention, Milwaukee USA</w:t>
      </w:r>
    </w:p>
    <w:p w14:paraId="1B6EE277" w14:textId="77777777" w:rsidR="00F631B1" w:rsidRPr="009A0DA6" w:rsidRDefault="00F631B1" w:rsidP="00F55252">
      <w:pPr>
        <w:pStyle w:val="ListParagraph"/>
        <w:numPr>
          <w:ilvl w:val="0"/>
          <w:numId w:val="6"/>
        </w:numPr>
        <w:spacing w:after="120" w:line="240" w:lineRule="auto"/>
        <w:ind w:left="567" w:hanging="567"/>
        <w:rPr>
          <w:rFonts w:ascii="Cambria" w:hAnsi="Cambria"/>
        </w:rPr>
      </w:pPr>
      <w:r w:rsidRPr="009A0DA6">
        <w:rPr>
          <w:rFonts w:ascii="Cambria" w:hAnsi="Cambria"/>
        </w:rPr>
        <w:t>Visit to Church-wide Office, Evangelical Lutheran Church of America</w:t>
      </w:r>
    </w:p>
    <w:p w14:paraId="07F2BA63" w14:textId="77777777" w:rsidR="00F631B1" w:rsidRPr="009A0DA6" w:rsidRDefault="00F631B1" w:rsidP="00F55252">
      <w:pPr>
        <w:pStyle w:val="ListParagraph"/>
        <w:numPr>
          <w:ilvl w:val="0"/>
          <w:numId w:val="6"/>
        </w:numPr>
        <w:spacing w:after="120" w:line="240" w:lineRule="auto"/>
        <w:ind w:left="567" w:hanging="567"/>
        <w:rPr>
          <w:rFonts w:ascii="Cambria" w:hAnsi="Cambria"/>
        </w:rPr>
      </w:pPr>
      <w:r w:rsidRPr="009A0DA6">
        <w:rPr>
          <w:rFonts w:ascii="Cambria" w:hAnsi="Cambria"/>
        </w:rPr>
        <w:t>Joint commemoration of the Reformation, Lund and Malmö Sweden</w:t>
      </w:r>
    </w:p>
    <w:p w14:paraId="05E52E10" w14:textId="77777777" w:rsidR="00F631B1" w:rsidRPr="009A0DA6" w:rsidRDefault="00F631B1" w:rsidP="00F631B1">
      <w:pPr>
        <w:pStyle w:val="NoSpacing"/>
      </w:pPr>
      <w:r w:rsidRPr="009A0DA6">
        <w:t>2017</w:t>
      </w:r>
    </w:p>
    <w:p w14:paraId="4424DF96" w14:textId="77777777" w:rsidR="00F631B1" w:rsidRPr="009A0DA6" w:rsidRDefault="00F631B1" w:rsidP="00F55252">
      <w:pPr>
        <w:pStyle w:val="ListParagraph"/>
        <w:numPr>
          <w:ilvl w:val="0"/>
          <w:numId w:val="7"/>
        </w:numPr>
        <w:spacing w:after="120" w:line="240" w:lineRule="auto"/>
        <w:ind w:left="567" w:hanging="567"/>
        <w:rPr>
          <w:rFonts w:ascii="Cambria" w:hAnsi="Cambria"/>
        </w:rPr>
      </w:pPr>
      <w:r w:rsidRPr="009A0DA6">
        <w:rPr>
          <w:rFonts w:ascii="Cambria" w:hAnsi="Cambria"/>
        </w:rPr>
        <w:t>Lutheran World Federation Assembly (LWF), Windhoek Namibia</w:t>
      </w:r>
    </w:p>
    <w:p w14:paraId="55A24F6D" w14:textId="77777777" w:rsidR="00F631B1" w:rsidRPr="009A0DA6" w:rsidRDefault="00F631B1" w:rsidP="00F55252">
      <w:pPr>
        <w:pStyle w:val="ListParagraph"/>
        <w:numPr>
          <w:ilvl w:val="0"/>
          <w:numId w:val="7"/>
        </w:numPr>
        <w:spacing w:after="120" w:line="240" w:lineRule="auto"/>
        <w:ind w:left="567" w:hanging="567"/>
        <w:rPr>
          <w:rFonts w:ascii="Cambria" w:hAnsi="Cambria"/>
        </w:rPr>
      </w:pPr>
      <w:r w:rsidRPr="009A0DA6">
        <w:rPr>
          <w:rFonts w:ascii="Cambria" w:hAnsi="Cambria"/>
        </w:rPr>
        <w:t>Visit of Martin Junge, General Secretary, LWF</w:t>
      </w:r>
    </w:p>
    <w:p w14:paraId="4ECDE728" w14:textId="77777777" w:rsidR="00F631B1" w:rsidRPr="009A0DA6" w:rsidRDefault="00F631B1" w:rsidP="00F55252">
      <w:pPr>
        <w:pStyle w:val="ListParagraph"/>
        <w:numPr>
          <w:ilvl w:val="0"/>
          <w:numId w:val="7"/>
        </w:numPr>
        <w:spacing w:after="120" w:line="240" w:lineRule="auto"/>
        <w:ind w:left="567" w:hanging="567"/>
        <w:rPr>
          <w:rFonts w:ascii="Cambria" w:hAnsi="Cambria"/>
        </w:rPr>
      </w:pPr>
      <w:r w:rsidRPr="009A0DA6">
        <w:rPr>
          <w:rFonts w:ascii="Cambria" w:hAnsi="Cambria"/>
        </w:rPr>
        <w:t>Asian Church Leaders Conference, Manilla The Philippines</w:t>
      </w:r>
    </w:p>
    <w:p w14:paraId="4C29CC36" w14:textId="77777777" w:rsidR="00F631B1" w:rsidRPr="009A0DA6" w:rsidRDefault="00F631B1" w:rsidP="00F55252">
      <w:pPr>
        <w:pStyle w:val="ListParagraph"/>
        <w:numPr>
          <w:ilvl w:val="0"/>
          <w:numId w:val="7"/>
        </w:numPr>
        <w:spacing w:after="120" w:line="240" w:lineRule="auto"/>
        <w:ind w:left="567" w:hanging="567"/>
        <w:rPr>
          <w:rFonts w:ascii="Cambria" w:hAnsi="Cambria"/>
        </w:rPr>
      </w:pPr>
      <w:r w:rsidRPr="009A0DA6">
        <w:rPr>
          <w:rFonts w:ascii="Cambria" w:hAnsi="Cambria"/>
        </w:rPr>
        <w:t>Reformation conference and opening of Old Latin School, Wittenberg (ILC/LCMS)</w:t>
      </w:r>
    </w:p>
    <w:p w14:paraId="7A8C15EB" w14:textId="77777777" w:rsidR="00F631B1" w:rsidRPr="009A0DA6" w:rsidRDefault="00F631B1" w:rsidP="00F631B1">
      <w:pPr>
        <w:pStyle w:val="NoSpacing"/>
      </w:pPr>
      <w:r w:rsidRPr="009A0DA6">
        <w:t>2018</w:t>
      </w:r>
    </w:p>
    <w:p w14:paraId="6B31E48F" w14:textId="77777777" w:rsidR="00F631B1" w:rsidRPr="009A0DA6" w:rsidRDefault="00F631B1" w:rsidP="00F55252">
      <w:pPr>
        <w:pStyle w:val="ListParagraph"/>
        <w:numPr>
          <w:ilvl w:val="0"/>
          <w:numId w:val="8"/>
        </w:numPr>
        <w:spacing w:after="120" w:line="240" w:lineRule="auto"/>
        <w:ind w:left="567" w:hanging="567"/>
        <w:rPr>
          <w:rFonts w:ascii="Cambria" w:hAnsi="Cambria"/>
        </w:rPr>
      </w:pPr>
      <w:r w:rsidRPr="009A0DA6">
        <w:rPr>
          <w:rFonts w:ascii="Cambria" w:hAnsi="Cambria"/>
        </w:rPr>
        <w:t>Visit to Lutheran churches in Thailand and Cambodia, LCA International Mission</w:t>
      </w:r>
    </w:p>
    <w:p w14:paraId="741A3C74" w14:textId="77777777" w:rsidR="00F631B1" w:rsidRPr="009A0DA6" w:rsidRDefault="00F631B1" w:rsidP="00F631B1">
      <w:pPr>
        <w:pStyle w:val="NoSpacing"/>
      </w:pPr>
    </w:p>
    <w:p w14:paraId="2D8E2DBF" w14:textId="77777777" w:rsidR="00F631B1" w:rsidRPr="009A0DA6" w:rsidRDefault="00F631B1" w:rsidP="00F631B1">
      <w:pPr>
        <w:pStyle w:val="NoSpacing"/>
      </w:pPr>
      <w:r w:rsidRPr="009A0DA6">
        <w:t>In this synodical term, apart from those working with LCA Mission International and Australian Lutheran World Service (ALWS), and those undertaking tours such as Lutheran Educators, the following people have represented the LCA internationally:</w:t>
      </w:r>
    </w:p>
    <w:p w14:paraId="427DB8C0" w14:textId="77777777" w:rsidR="00F631B1" w:rsidRPr="009A0DA6" w:rsidRDefault="00F631B1" w:rsidP="00F631B1">
      <w:pPr>
        <w:pStyle w:val="NoSpacing"/>
        <w:rPr>
          <w:sz w:val="10"/>
          <w:szCs w:val="10"/>
        </w:rPr>
      </w:pPr>
    </w:p>
    <w:p w14:paraId="6C2578B6" w14:textId="77777777" w:rsidR="00F631B1" w:rsidRPr="009A0DA6" w:rsidRDefault="00F631B1" w:rsidP="00F55252">
      <w:pPr>
        <w:pStyle w:val="ListParagraph"/>
        <w:numPr>
          <w:ilvl w:val="0"/>
          <w:numId w:val="8"/>
        </w:numPr>
        <w:spacing w:after="120" w:line="240" w:lineRule="auto"/>
        <w:ind w:left="567" w:hanging="567"/>
        <w:rPr>
          <w:rFonts w:ascii="Cambria" w:hAnsi="Cambria"/>
        </w:rPr>
      </w:pPr>
      <w:r w:rsidRPr="009A0DA6">
        <w:rPr>
          <w:rFonts w:ascii="Cambria" w:hAnsi="Cambria"/>
        </w:rPr>
        <w:t>Lutheran churches in Asia (LUCAS) (intermittent);</w:t>
      </w:r>
    </w:p>
    <w:p w14:paraId="7494CB96" w14:textId="77777777" w:rsidR="00F631B1" w:rsidRPr="009A0DA6" w:rsidRDefault="00F631B1" w:rsidP="00F55252">
      <w:pPr>
        <w:pStyle w:val="ListParagraph"/>
        <w:numPr>
          <w:ilvl w:val="0"/>
          <w:numId w:val="8"/>
        </w:numPr>
        <w:spacing w:after="120" w:line="240" w:lineRule="auto"/>
        <w:ind w:left="567" w:hanging="567"/>
        <w:rPr>
          <w:rFonts w:ascii="Cambria" w:hAnsi="Cambria"/>
        </w:rPr>
      </w:pPr>
      <w:r w:rsidRPr="009A0DA6">
        <w:rPr>
          <w:rFonts w:ascii="Cambria" w:hAnsi="Cambria"/>
        </w:rPr>
        <w:t>LWF Global Young Reformers Network: Sam Suke (ecology), Sophie Gerry;</w:t>
      </w:r>
    </w:p>
    <w:p w14:paraId="0B5321DF" w14:textId="77777777" w:rsidR="00F631B1" w:rsidRPr="009A0DA6" w:rsidRDefault="00F631B1" w:rsidP="00F55252">
      <w:pPr>
        <w:pStyle w:val="ListParagraph"/>
        <w:numPr>
          <w:ilvl w:val="0"/>
          <w:numId w:val="8"/>
        </w:numPr>
        <w:spacing w:after="120" w:line="240" w:lineRule="auto"/>
        <w:ind w:left="567" w:hanging="567"/>
        <w:rPr>
          <w:rFonts w:ascii="Cambria" w:hAnsi="Cambria"/>
        </w:rPr>
      </w:pPr>
      <w:r w:rsidRPr="009A0DA6">
        <w:rPr>
          <w:rFonts w:ascii="Cambria" w:hAnsi="Cambria"/>
        </w:rPr>
        <w:lastRenderedPageBreak/>
        <w:t>Mission EineWelt Summer Schools of the Evangelical Lutheran Church in Bavaria (a number of attendees);</w:t>
      </w:r>
    </w:p>
    <w:p w14:paraId="0F471C8A" w14:textId="77777777" w:rsidR="00F631B1" w:rsidRPr="009A0DA6" w:rsidRDefault="00F631B1" w:rsidP="00F55252">
      <w:pPr>
        <w:pStyle w:val="ListParagraph"/>
        <w:numPr>
          <w:ilvl w:val="0"/>
          <w:numId w:val="8"/>
        </w:numPr>
        <w:spacing w:after="120" w:line="240" w:lineRule="auto"/>
        <w:ind w:left="567" w:hanging="567"/>
        <w:rPr>
          <w:rFonts w:ascii="Cambria" w:hAnsi="Cambria"/>
        </w:rPr>
      </w:pPr>
      <w:r w:rsidRPr="009A0DA6">
        <w:rPr>
          <w:rFonts w:ascii="Cambria" w:hAnsi="Cambria"/>
        </w:rPr>
        <w:t xml:space="preserve">Luther Decade International Seminars in Wittenberg Mark Vainikka; Anthony Price; </w:t>
      </w:r>
    </w:p>
    <w:p w14:paraId="361E9A46" w14:textId="77777777" w:rsidR="00F631B1" w:rsidRPr="009A0DA6" w:rsidRDefault="00F631B1" w:rsidP="00F55252">
      <w:pPr>
        <w:pStyle w:val="ListParagraph"/>
        <w:numPr>
          <w:ilvl w:val="0"/>
          <w:numId w:val="8"/>
        </w:numPr>
        <w:spacing w:after="120" w:line="240" w:lineRule="auto"/>
        <w:ind w:left="567" w:hanging="567"/>
        <w:rPr>
          <w:rFonts w:ascii="Cambria" w:hAnsi="Cambria"/>
        </w:rPr>
      </w:pPr>
      <w:r w:rsidRPr="009A0DA6">
        <w:rPr>
          <w:rFonts w:ascii="Cambria" w:hAnsi="Cambria"/>
        </w:rPr>
        <w:t>ILC World Seminaries Conference (Dr Stephen Pietsch)</w:t>
      </w:r>
    </w:p>
    <w:p w14:paraId="4F11357D" w14:textId="77777777" w:rsidR="00F631B1" w:rsidRPr="009A0DA6" w:rsidRDefault="00F631B1" w:rsidP="00F55252">
      <w:pPr>
        <w:pStyle w:val="ListParagraph"/>
        <w:numPr>
          <w:ilvl w:val="0"/>
          <w:numId w:val="8"/>
        </w:numPr>
        <w:spacing w:after="120" w:line="240" w:lineRule="auto"/>
        <w:ind w:left="567" w:hanging="567"/>
        <w:rPr>
          <w:rFonts w:ascii="Cambria" w:hAnsi="Cambria"/>
        </w:rPr>
      </w:pPr>
      <w:r w:rsidRPr="009A0DA6">
        <w:rPr>
          <w:rFonts w:ascii="Cambria" w:hAnsi="Cambria"/>
        </w:rPr>
        <w:t>Visit to the Evangelical Lutheran Church in Jordan and the Holy Land: Bishop Michael Fulwood;</w:t>
      </w:r>
    </w:p>
    <w:p w14:paraId="623DCFE1" w14:textId="77777777" w:rsidR="00F631B1" w:rsidRPr="009A0DA6" w:rsidRDefault="00F631B1" w:rsidP="00F55252">
      <w:pPr>
        <w:pStyle w:val="ListParagraph"/>
        <w:numPr>
          <w:ilvl w:val="0"/>
          <w:numId w:val="8"/>
        </w:numPr>
        <w:spacing w:after="120" w:line="240" w:lineRule="auto"/>
        <w:ind w:left="567" w:hanging="567"/>
        <w:rPr>
          <w:rFonts w:ascii="Cambria" w:hAnsi="Cambria"/>
        </w:rPr>
      </w:pPr>
      <w:r w:rsidRPr="009A0DA6">
        <w:rPr>
          <w:rFonts w:ascii="Cambria" w:hAnsi="Cambria"/>
        </w:rPr>
        <w:t>Links with the Evangelical Lutheran Church in Finland through the Suomi Conference.</w:t>
      </w:r>
    </w:p>
    <w:p w14:paraId="785CD1E9" w14:textId="77777777" w:rsidR="00F631B1" w:rsidRPr="009A0DA6" w:rsidRDefault="00F631B1" w:rsidP="00F631B1">
      <w:pPr>
        <w:pStyle w:val="NoSpacing"/>
      </w:pPr>
      <w:r w:rsidRPr="009A0DA6">
        <w:t>Elsewhere:</w:t>
      </w:r>
    </w:p>
    <w:p w14:paraId="1BEDDC6C" w14:textId="77777777" w:rsidR="00F631B1" w:rsidRPr="009A0DA6" w:rsidRDefault="00F631B1" w:rsidP="00F55252">
      <w:pPr>
        <w:pStyle w:val="ListParagraph"/>
        <w:numPr>
          <w:ilvl w:val="0"/>
          <w:numId w:val="9"/>
        </w:numPr>
        <w:spacing w:after="120" w:line="240" w:lineRule="auto"/>
        <w:ind w:left="567" w:hanging="567"/>
        <w:rPr>
          <w:rFonts w:ascii="Cambria" w:hAnsi="Cambria"/>
        </w:rPr>
      </w:pPr>
      <w:r w:rsidRPr="009A0DA6">
        <w:rPr>
          <w:rFonts w:ascii="Cambria" w:hAnsi="Cambria"/>
        </w:rPr>
        <w:t>Pastor George Samiec continues to serve in the Evangelical Lutheran Church of England;</w:t>
      </w:r>
    </w:p>
    <w:p w14:paraId="0F2DC99E" w14:textId="77777777" w:rsidR="00F631B1" w:rsidRPr="009A0DA6" w:rsidRDefault="00F631B1" w:rsidP="00F55252">
      <w:pPr>
        <w:pStyle w:val="ListParagraph"/>
        <w:numPr>
          <w:ilvl w:val="0"/>
          <w:numId w:val="9"/>
        </w:numPr>
        <w:spacing w:after="120" w:line="240" w:lineRule="auto"/>
        <w:ind w:left="567" w:hanging="567"/>
        <w:rPr>
          <w:rFonts w:ascii="Cambria" w:hAnsi="Cambria"/>
        </w:rPr>
      </w:pPr>
      <w:r w:rsidRPr="009A0DA6">
        <w:rPr>
          <w:rFonts w:ascii="Cambria" w:hAnsi="Cambria"/>
        </w:rPr>
        <w:t>Pastor Greg Schiller has returned to Australia after serving with the Evangelical Church of Papua New Guinea as a seminary lecturer;</w:t>
      </w:r>
    </w:p>
    <w:p w14:paraId="6A9C7695" w14:textId="77777777" w:rsidR="00F631B1" w:rsidRPr="009A0DA6" w:rsidRDefault="00F631B1" w:rsidP="00F55252">
      <w:pPr>
        <w:pStyle w:val="ListParagraph"/>
        <w:numPr>
          <w:ilvl w:val="0"/>
          <w:numId w:val="9"/>
        </w:numPr>
        <w:spacing w:after="120" w:line="240" w:lineRule="auto"/>
        <w:ind w:left="567" w:hanging="567"/>
        <w:rPr>
          <w:rFonts w:ascii="Cambria" w:hAnsi="Cambria"/>
        </w:rPr>
      </w:pPr>
      <w:r w:rsidRPr="009A0DA6">
        <w:rPr>
          <w:rFonts w:ascii="Cambria" w:hAnsi="Cambria"/>
        </w:rPr>
        <w:t>Michael Hauser serves as a lay lecturer serving with ELCPNG;</w:t>
      </w:r>
    </w:p>
    <w:p w14:paraId="0F7E1736" w14:textId="77777777" w:rsidR="00F631B1" w:rsidRPr="009A0DA6" w:rsidRDefault="00F631B1" w:rsidP="00F55252">
      <w:pPr>
        <w:pStyle w:val="ListParagraph"/>
        <w:numPr>
          <w:ilvl w:val="0"/>
          <w:numId w:val="9"/>
        </w:numPr>
        <w:spacing w:after="120" w:line="240" w:lineRule="auto"/>
        <w:ind w:left="567" w:hanging="567"/>
        <w:rPr>
          <w:rFonts w:ascii="Cambria" w:hAnsi="Cambria"/>
        </w:rPr>
      </w:pPr>
      <w:r w:rsidRPr="009A0DA6">
        <w:rPr>
          <w:rFonts w:ascii="Cambria" w:hAnsi="Cambria"/>
        </w:rPr>
        <w:t>Margaret Mickan has retired as Lutheran Bible Translator;</w:t>
      </w:r>
    </w:p>
    <w:p w14:paraId="734D275D" w14:textId="77777777" w:rsidR="00F631B1" w:rsidRPr="009A0DA6" w:rsidRDefault="00F631B1" w:rsidP="00F55252">
      <w:pPr>
        <w:pStyle w:val="ListParagraph"/>
        <w:numPr>
          <w:ilvl w:val="0"/>
          <w:numId w:val="9"/>
        </w:numPr>
        <w:spacing w:after="120" w:line="240" w:lineRule="auto"/>
        <w:ind w:left="567" w:hanging="567"/>
        <w:rPr>
          <w:rFonts w:ascii="Cambria" w:hAnsi="Cambria"/>
        </w:rPr>
      </w:pPr>
      <w:r w:rsidRPr="009A0DA6">
        <w:rPr>
          <w:rFonts w:ascii="Cambria" w:hAnsi="Cambria"/>
        </w:rPr>
        <w:t>Hanna Schulz serves as a Bible Translator in PNG with Wycliffe Bible Translators;</w:t>
      </w:r>
    </w:p>
    <w:p w14:paraId="71EC1630" w14:textId="77777777" w:rsidR="00F631B1" w:rsidRPr="009A0DA6" w:rsidRDefault="00F631B1" w:rsidP="00F55252">
      <w:pPr>
        <w:pStyle w:val="ListParagraph"/>
        <w:numPr>
          <w:ilvl w:val="0"/>
          <w:numId w:val="9"/>
        </w:numPr>
        <w:spacing w:after="120" w:line="240" w:lineRule="auto"/>
        <w:ind w:left="567" w:hanging="567"/>
        <w:rPr>
          <w:rFonts w:ascii="Cambria" w:hAnsi="Cambria"/>
        </w:rPr>
      </w:pPr>
      <w:r w:rsidRPr="009A0DA6">
        <w:rPr>
          <w:rFonts w:ascii="Cambria" w:hAnsi="Cambria"/>
        </w:rPr>
        <w:t>Chey Mattner (formerly ALWS Executive Director) now serves as Director of Operations for the Department of World Service, LWF in Geneva, Switzerland.</w:t>
      </w:r>
    </w:p>
    <w:p w14:paraId="091C35F0" w14:textId="77777777" w:rsidR="00F631B1" w:rsidRPr="009A0DA6" w:rsidRDefault="00F631B1" w:rsidP="00F631B1">
      <w:pPr>
        <w:rPr>
          <w:rFonts w:ascii="Cambria" w:hAnsi="Cambria"/>
        </w:rPr>
      </w:pPr>
      <w:r w:rsidRPr="009A0DA6">
        <w:rPr>
          <w:rFonts w:ascii="Cambria" w:hAnsi="Cambria"/>
        </w:rPr>
        <w:t>The LCA has formally expressed church-to-church relationships with Papua New Guinea and the Lutheran Church―Canada.</w:t>
      </w:r>
    </w:p>
    <w:p w14:paraId="1A4DED77" w14:textId="77777777" w:rsidR="00F631B1" w:rsidRPr="009A0DA6" w:rsidRDefault="00F631B1" w:rsidP="00F631B1">
      <w:pPr>
        <w:pStyle w:val="Subtitle"/>
        <w:tabs>
          <w:tab w:val="left" w:pos="567"/>
        </w:tabs>
      </w:pPr>
      <w:r w:rsidRPr="009A0DA6">
        <w:t>5.1</w:t>
      </w:r>
      <w:r w:rsidRPr="009A0DA6">
        <w:tab/>
        <w:t>Lutheran World Federation</w:t>
      </w:r>
    </w:p>
    <w:p w14:paraId="3A9BA754" w14:textId="77777777" w:rsidR="00F631B1" w:rsidRPr="009A0DA6" w:rsidRDefault="00F631B1" w:rsidP="00F631B1">
      <w:pPr>
        <w:rPr>
          <w:rFonts w:ascii="Cambria" w:hAnsi="Cambria"/>
        </w:rPr>
      </w:pPr>
      <w:r w:rsidRPr="009A0DA6">
        <w:rPr>
          <w:rFonts w:ascii="Cambria" w:hAnsi="Cambria"/>
        </w:rPr>
        <w:t>The LCA is an Associate Member of the LWF. While we participate in events and pay a membership fee, we are unable to hold office or vote at meetings.</w:t>
      </w:r>
    </w:p>
    <w:p w14:paraId="006F04BB" w14:textId="77777777" w:rsidR="00F631B1" w:rsidRPr="009A0DA6" w:rsidRDefault="00F631B1" w:rsidP="00F631B1">
      <w:pPr>
        <w:rPr>
          <w:rFonts w:ascii="Cambria" w:hAnsi="Cambria"/>
        </w:rPr>
      </w:pPr>
      <w:r w:rsidRPr="009A0DA6">
        <w:rPr>
          <w:rFonts w:ascii="Cambria" w:hAnsi="Cambria"/>
        </w:rPr>
        <w:t>The most active sector of LWF for us is the Asia region, where we enjoy many productive bi- and multi-lateral mission partnerships.</w:t>
      </w:r>
    </w:p>
    <w:p w14:paraId="3E152ACA" w14:textId="77777777" w:rsidR="00F631B1" w:rsidRPr="009A0DA6" w:rsidRDefault="00F631B1" w:rsidP="00F631B1">
      <w:pPr>
        <w:rPr>
          <w:rFonts w:ascii="Cambria" w:hAnsi="Cambria"/>
        </w:rPr>
      </w:pPr>
      <w:r w:rsidRPr="009A0DA6">
        <w:rPr>
          <w:rFonts w:ascii="Cambria" w:hAnsi="Cambria"/>
        </w:rPr>
        <w:t>Further afield we have participated in a number of LWF activities. The most recent was a trial bi-lateral exchange arranged by the LWF between the LCA and the Evangelical Church of the River Plate (Argentina/Uruguay/Paraguay), attended by Pastor Andrew and Jodi Brook</w:t>
      </w:r>
    </w:p>
    <w:p w14:paraId="4D174B58" w14:textId="77777777" w:rsidR="00F631B1" w:rsidRPr="009A0DA6" w:rsidRDefault="00F631B1" w:rsidP="00F631B1">
      <w:pPr>
        <w:rPr>
          <w:rFonts w:ascii="Cambria" w:hAnsi="Cambria"/>
        </w:rPr>
      </w:pPr>
      <w:r w:rsidRPr="009A0DA6">
        <w:rPr>
          <w:rFonts w:ascii="Cambria" w:hAnsi="Cambria"/>
        </w:rPr>
        <w:t>Every seven years the LWF holds a global Assembly. In May 2017 it was held in Windhoek, Namibia. LCA attendees were Glenice Hartwich (International Mission), Chey Mattner (ALWS), Pastor Matt Anker (Omatala speaker) and me as Bishop.</w:t>
      </w:r>
    </w:p>
    <w:p w14:paraId="11B24A9C" w14:textId="77777777" w:rsidR="00F631B1" w:rsidRPr="009A0DA6" w:rsidRDefault="00F631B1" w:rsidP="00F631B1">
      <w:pPr>
        <w:rPr>
          <w:rFonts w:ascii="Cambria" w:hAnsi="Cambria"/>
        </w:rPr>
      </w:pPr>
      <w:r w:rsidRPr="009A0DA6">
        <w:rPr>
          <w:rFonts w:ascii="Cambria" w:hAnsi="Cambria"/>
        </w:rPr>
        <w:t>In July 2017 we received a visit from the LWF General Secretary, Rev Dr Martin Junge, and his wife, Marietta. The LCA hosted them in Wellington, Sydney, Alice Springs, Adelaide, and Shepparton.</w:t>
      </w:r>
    </w:p>
    <w:p w14:paraId="7FE4FBC3" w14:textId="77777777" w:rsidR="00F631B1" w:rsidRPr="009A0DA6" w:rsidRDefault="00F631B1" w:rsidP="00F631B1">
      <w:pPr>
        <w:rPr>
          <w:rFonts w:ascii="Cambria" w:hAnsi="Cambria"/>
        </w:rPr>
      </w:pPr>
      <w:r w:rsidRPr="009A0DA6">
        <w:rPr>
          <w:rFonts w:ascii="Cambria" w:hAnsi="Cambria"/>
        </w:rPr>
        <w:t>Proposals are before this Convention that the LCA seek full membership in the LWF. The General Pastors Conference recommends that the LCA commission a study of the implications, in tandem with seeking full membership in the International Lutheran Council (ILC).</w:t>
      </w:r>
    </w:p>
    <w:p w14:paraId="0E9B77C8" w14:textId="77777777" w:rsidR="00F631B1" w:rsidRPr="009A0DA6" w:rsidRDefault="00F631B1" w:rsidP="00F631B1">
      <w:pPr>
        <w:pStyle w:val="Subtitle"/>
        <w:ind w:left="567" w:hanging="567"/>
      </w:pPr>
      <w:r w:rsidRPr="009A0DA6">
        <w:t>5.2</w:t>
      </w:r>
      <w:r w:rsidRPr="009A0DA6">
        <w:tab/>
        <w:t>Internation lutheran conference</w:t>
      </w:r>
    </w:p>
    <w:p w14:paraId="7D4EE495" w14:textId="77777777" w:rsidR="00F631B1" w:rsidRPr="009A0DA6" w:rsidRDefault="00F631B1" w:rsidP="00F631B1">
      <w:pPr>
        <w:rPr>
          <w:rFonts w:ascii="Cambria" w:hAnsi="Cambria"/>
        </w:rPr>
      </w:pPr>
      <w:r w:rsidRPr="009A0DA6">
        <w:rPr>
          <w:rFonts w:ascii="Cambria" w:hAnsi="Cambria"/>
        </w:rPr>
        <w:t>The LCA is an Associate Member of the ILC. As for LWF, it means we participate in events and pay a membership fee, but cannot hold office or vote at meetings.</w:t>
      </w:r>
    </w:p>
    <w:p w14:paraId="56A4196B" w14:textId="77777777" w:rsidR="00F631B1" w:rsidRPr="009A0DA6" w:rsidRDefault="00F631B1" w:rsidP="00F631B1">
      <w:pPr>
        <w:rPr>
          <w:rFonts w:ascii="Cambria" w:hAnsi="Cambria"/>
        </w:rPr>
      </w:pPr>
      <w:r w:rsidRPr="009A0DA6">
        <w:rPr>
          <w:rFonts w:ascii="Cambria" w:hAnsi="Cambria"/>
        </w:rPr>
        <w:t>Unfortunately the dates of the ILC’s Triennial Conventions in 2015 and 2018 have clashed with the LCA Convention of Synod. This year, however, Bishop emeritus Mark Lieschke is attending in Brussels on our behalf.</w:t>
      </w:r>
    </w:p>
    <w:p w14:paraId="70701049" w14:textId="77777777" w:rsidR="00F631B1" w:rsidRPr="009A0DA6" w:rsidRDefault="00F631B1" w:rsidP="00F631B1">
      <w:pPr>
        <w:rPr>
          <w:rFonts w:ascii="Cambria" w:hAnsi="Cambria"/>
        </w:rPr>
      </w:pPr>
      <w:r w:rsidRPr="009A0DA6">
        <w:rPr>
          <w:rFonts w:ascii="Cambria" w:hAnsi="Cambria"/>
        </w:rPr>
        <w:t>Proposals are also before this convention that the LCA seek full membership in the ILC, as with LWF (see LWF above).</w:t>
      </w:r>
    </w:p>
    <w:p w14:paraId="162DA85F" w14:textId="77777777" w:rsidR="00F631B1" w:rsidRPr="009A0DA6" w:rsidRDefault="00F631B1" w:rsidP="00F631B1">
      <w:pPr>
        <w:pStyle w:val="Heading3"/>
      </w:pPr>
      <w:r w:rsidRPr="009A0DA6">
        <w:lastRenderedPageBreak/>
        <w:t xml:space="preserve">6. </w:t>
      </w:r>
      <w:r w:rsidRPr="009A0DA6">
        <w:tab/>
        <w:t>Domestic Ecumenical Relations</w:t>
      </w:r>
    </w:p>
    <w:p w14:paraId="70A1150F" w14:textId="77777777" w:rsidR="00F631B1" w:rsidRPr="009A0DA6" w:rsidRDefault="00F631B1" w:rsidP="00F631B1">
      <w:pPr>
        <w:pStyle w:val="Subtitle"/>
      </w:pPr>
      <w:r w:rsidRPr="009A0DA6">
        <w:t>6.1</w:t>
      </w:r>
      <w:r w:rsidRPr="009A0DA6">
        <w:tab/>
        <w:t>national council of churches in australia (NCCA)</w:t>
      </w:r>
    </w:p>
    <w:p w14:paraId="6EB1C467" w14:textId="77777777" w:rsidR="00F631B1" w:rsidRPr="00995084" w:rsidRDefault="00F631B1" w:rsidP="00F631B1">
      <w:pPr>
        <w:pStyle w:val="NoSpacing"/>
        <w:rPr>
          <w:sz w:val="10"/>
          <w:szCs w:val="10"/>
        </w:rPr>
      </w:pPr>
      <w:r w:rsidRPr="009A0DA6">
        <w:t xml:space="preserve">The LCA has been a member of the </w:t>
      </w:r>
      <w:r w:rsidRPr="00995084">
        <w:t>NCCA (</w:t>
      </w:r>
      <w:hyperlink r:id="rId17" w:history="1">
        <w:r w:rsidRPr="00995084">
          <w:rPr>
            <w:rStyle w:val="Hyperlink"/>
            <w:color w:val="auto"/>
            <w:u w:val="none"/>
          </w:rPr>
          <w:t>www.ncca.org.au</w:t>
        </w:r>
      </w:hyperlink>
      <w:r w:rsidRPr="00995084">
        <w:t>) since 1998. In that time we have provided two Presidents (Dr Lance Steicke and Dr Michael Semmler) and one General Secretary (Pastor John Henderson). We have continued to provide personnel to serve on various commissions and task groups as required:</w:t>
      </w:r>
      <w:r w:rsidRPr="00995084">
        <w:br/>
      </w:r>
    </w:p>
    <w:p w14:paraId="34C8893F" w14:textId="77777777" w:rsidR="00F631B1" w:rsidRPr="00995084" w:rsidRDefault="00F631B1" w:rsidP="00F55252">
      <w:pPr>
        <w:pStyle w:val="ListParagraph"/>
        <w:numPr>
          <w:ilvl w:val="0"/>
          <w:numId w:val="10"/>
        </w:numPr>
        <w:spacing w:after="120" w:line="240" w:lineRule="auto"/>
        <w:rPr>
          <w:rFonts w:ascii="Cambria" w:hAnsi="Cambria"/>
        </w:rPr>
      </w:pPr>
      <w:r w:rsidRPr="00995084">
        <w:rPr>
          <w:rFonts w:ascii="Cambria" w:hAnsi="Cambria"/>
        </w:rPr>
        <w:t>Faith and Unity Commission (</w:t>
      </w:r>
      <w:hyperlink r:id="rId18" w:history="1">
        <w:r w:rsidRPr="00995084">
          <w:rPr>
            <w:rStyle w:val="Hyperlink"/>
            <w:rFonts w:ascii="Cambria" w:hAnsi="Cambria"/>
            <w:color w:val="auto"/>
            <w:u w:val="none"/>
          </w:rPr>
          <w:t>www.ncca.org.au/index.php/departments/faith-unity</w:t>
        </w:r>
      </w:hyperlink>
      <w:r w:rsidRPr="00995084">
        <w:rPr>
          <w:rFonts w:ascii="Cambria" w:hAnsi="Cambria"/>
        </w:rPr>
        <w:t>)―Pastor Andrew Brook</w:t>
      </w:r>
    </w:p>
    <w:p w14:paraId="0C460A09" w14:textId="77777777" w:rsidR="00F631B1" w:rsidRPr="00995084" w:rsidRDefault="00F631B1" w:rsidP="00F55252">
      <w:pPr>
        <w:pStyle w:val="ListParagraph"/>
        <w:numPr>
          <w:ilvl w:val="0"/>
          <w:numId w:val="10"/>
        </w:numPr>
        <w:spacing w:after="120" w:line="240" w:lineRule="auto"/>
        <w:rPr>
          <w:rFonts w:ascii="Cambria" w:hAnsi="Cambria"/>
        </w:rPr>
      </w:pPr>
      <w:r w:rsidRPr="00995084">
        <w:rPr>
          <w:rFonts w:ascii="Cambria" w:hAnsi="Cambria"/>
        </w:rPr>
        <w:t>Safe Churches Program (</w:t>
      </w:r>
      <w:hyperlink r:id="rId19" w:history="1">
        <w:r w:rsidRPr="00995084">
          <w:rPr>
            <w:rStyle w:val="Hyperlink"/>
            <w:rFonts w:ascii="Cambria" w:hAnsi="Cambria"/>
            <w:color w:val="auto"/>
            <w:u w:val="none"/>
          </w:rPr>
          <w:t>www.ncca.org.au/index.php/departments/safe-church-program</w:t>
        </w:r>
      </w:hyperlink>
      <w:r w:rsidRPr="00995084">
        <w:rPr>
          <w:rFonts w:ascii="Cambria" w:hAnsi="Cambria"/>
        </w:rPr>
        <w:t>)—Tim Ross (LCA PS Manager)</w:t>
      </w:r>
    </w:p>
    <w:p w14:paraId="75FBAE11" w14:textId="77777777" w:rsidR="00F631B1" w:rsidRPr="00995084" w:rsidRDefault="00F631B1" w:rsidP="00F55252">
      <w:pPr>
        <w:pStyle w:val="ListParagraph"/>
        <w:numPr>
          <w:ilvl w:val="0"/>
          <w:numId w:val="10"/>
        </w:numPr>
        <w:spacing w:after="120" w:line="240" w:lineRule="auto"/>
        <w:rPr>
          <w:rFonts w:ascii="Cambria" w:hAnsi="Cambria"/>
        </w:rPr>
      </w:pPr>
      <w:r w:rsidRPr="00995084">
        <w:rPr>
          <w:rFonts w:ascii="Cambria" w:hAnsi="Cambria"/>
        </w:rPr>
        <w:t>Act for Peace―This is the NCCA’s Aid and Development arm (formerly Christian World Service). Members of the LCA will know little about this, as we remain committed to ALWS. Nevertheless, until his departure in February 2017, ALWS Executive Director Chey Mattner served on the board of Act for Peace, and from August 2018 Jamieson Davies will replace him.</w:t>
      </w:r>
    </w:p>
    <w:p w14:paraId="5351C839" w14:textId="77777777" w:rsidR="00F631B1" w:rsidRPr="00995084" w:rsidRDefault="00F631B1" w:rsidP="00F55252">
      <w:pPr>
        <w:pStyle w:val="ListParagraph"/>
        <w:numPr>
          <w:ilvl w:val="0"/>
          <w:numId w:val="10"/>
        </w:numPr>
        <w:spacing w:after="120" w:line="240" w:lineRule="auto"/>
        <w:rPr>
          <w:rFonts w:ascii="Cambria" w:hAnsi="Cambria"/>
        </w:rPr>
      </w:pPr>
      <w:r w:rsidRPr="00995084">
        <w:rPr>
          <w:rFonts w:ascii="Cambria" w:hAnsi="Cambria"/>
        </w:rPr>
        <w:t>Eco-mission project (</w:t>
      </w:r>
      <w:hyperlink r:id="rId20" w:history="1">
        <w:r w:rsidRPr="00995084">
          <w:rPr>
            <w:rStyle w:val="Hyperlink"/>
            <w:rFonts w:ascii="Cambria" w:hAnsi="Cambria"/>
            <w:color w:val="auto"/>
            <w:u w:val="none"/>
          </w:rPr>
          <w:t>www.ncca.org.au/index.php/departments/eco-mission</w:t>
        </w:r>
      </w:hyperlink>
      <w:r w:rsidRPr="00995084">
        <w:rPr>
          <w:rFonts w:ascii="Cambria" w:hAnsi="Cambria"/>
        </w:rPr>
        <w:t>)—Dr Andrew Ruddell.</w:t>
      </w:r>
    </w:p>
    <w:p w14:paraId="037B0AE7" w14:textId="77777777" w:rsidR="00F631B1" w:rsidRPr="009A0DA6" w:rsidRDefault="00F631B1" w:rsidP="00F55252">
      <w:pPr>
        <w:pStyle w:val="ListParagraph"/>
        <w:numPr>
          <w:ilvl w:val="0"/>
          <w:numId w:val="10"/>
        </w:numPr>
        <w:spacing w:after="120" w:line="240" w:lineRule="auto"/>
        <w:rPr>
          <w:rFonts w:ascii="Cambria" w:hAnsi="Cambria"/>
        </w:rPr>
      </w:pPr>
      <w:r w:rsidRPr="009A0DA6">
        <w:rPr>
          <w:rFonts w:ascii="Cambria" w:hAnsi="Cambria"/>
        </w:rPr>
        <w:t>National Aboriginal and Torres Strait Islander Commission―In the last term this commission has not been active.</w:t>
      </w:r>
    </w:p>
    <w:p w14:paraId="225DEB61" w14:textId="77777777" w:rsidR="00F631B1" w:rsidRPr="009A0DA6" w:rsidRDefault="00F631B1" w:rsidP="00F631B1">
      <w:pPr>
        <w:rPr>
          <w:rFonts w:ascii="Cambria" w:hAnsi="Cambria"/>
        </w:rPr>
      </w:pPr>
      <w:r w:rsidRPr="009A0DA6">
        <w:rPr>
          <w:rFonts w:ascii="Cambria" w:hAnsi="Cambria"/>
        </w:rPr>
        <w:t>I have been a Director of NCCA Ltd since 2016, when the NCCA adopted a new structure of a board, quarterly Assemblies, and a triennial Forum. It is still determining the success of this new structure in engaging the churches and achieving the Council’s objects.</w:t>
      </w:r>
    </w:p>
    <w:p w14:paraId="081BA934" w14:textId="77777777" w:rsidR="00F631B1" w:rsidRPr="009A0DA6" w:rsidRDefault="00F631B1" w:rsidP="00F631B1">
      <w:pPr>
        <w:rPr>
          <w:rFonts w:ascii="Cambria" w:hAnsi="Cambria"/>
        </w:rPr>
      </w:pPr>
      <w:r w:rsidRPr="009A0DA6">
        <w:rPr>
          <w:rFonts w:ascii="Cambria" w:hAnsi="Cambria"/>
        </w:rPr>
        <w:t>Over the last several years operations that were once distinctive of the NCCA have not functioned – the National Aboriginal and Torres Strait Islander Ecumenical Council, the Gender Network, and the Youth Network. Others continue with varying degrees of effectiveness – the Faith and Unity Commission, and the Social Justice Network. Still others are growing and developing – the Safe Church Program, the Ecumenical Accompaniment Program, and the Churches Refugee Task Force. Act for Peace has grown much stronger and in 2018 the NCCA formed a separate company for this operation.</w:t>
      </w:r>
    </w:p>
    <w:p w14:paraId="2836F5E0" w14:textId="77777777" w:rsidR="00F631B1" w:rsidRPr="009A0DA6" w:rsidRDefault="00F631B1" w:rsidP="00F631B1">
      <w:pPr>
        <w:rPr>
          <w:rFonts w:ascii="Cambria" w:hAnsi="Cambria"/>
        </w:rPr>
      </w:pPr>
      <w:r w:rsidRPr="009A0DA6">
        <w:rPr>
          <w:rFonts w:ascii="Cambria" w:hAnsi="Cambria"/>
        </w:rPr>
        <w:t xml:space="preserve">The NCCA has few staff. Ms Liz Stone is Acting General Secretary since the departure of Sister Elizabeth Delaney at the end of 2017. The President is Anglican Bishop Phillip Huggins. </w:t>
      </w:r>
    </w:p>
    <w:p w14:paraId="5F835EE0" w14:textId="77777777" w:rsidR="00F631B1" w:rsidRPr="009A0DA6" w:rsidRDefault="00F631B1" w:rsidP="00F631B1">
      <w:pPr>
        <w:pStyle w:val="Subtitle"/>
        <w:ind w:left="567" w:hanging="567"/>
      </w:pPr>
      <w:r w:rsidRPr="009A0DA6">
        <w:t>6.2</w:t>
      </w:r>
      <w:r w:rsidRPr="009A0DA6">
        <w:tab/>
        <w:t>national church leaders</w:t>
      </w:r>
    </w:p>
    <w:p w14:paraId="4DDBA2AC" w14:textId="77777777" w:rsidR="00F631B1" w:rsidRPr="009A0DA6" w:rsidRDefault="00F631B1" w:rsidP="00F631B1">
      <w:pPr>
        <w:rPr>
          <w:rFonts w:ascii="Cambria" w:hAnsi="Cambria"/>
        </w:rPr>
      </w:pPr>
      <w:r w:rsidRPr="009A0DA6">
        <w:rPr>
          <w:rFonts w:ascii="Cambria" w:hAnsi="Cambria"/>
        </w:rPr>
        <w:t>National Church Leaders is an informal group that meet infrequently. Since 2015 I know of only one meeting, which was in Melbourne. Timing issues meant I could not attend.</w:t>
      </w:r>
    </w:p>
    <w:p w14:paraId="7DFC7E84" w14:textId="77777777" w:rsidR="00F631B1" w:rsidRPr="009A0DA6" w:rsidRDefault="00F631B1" w:rsidP="00F631B1">
      <w:pPr>
        <w:pStyle w:val="Heading3"/>
        <w:numPr>
          <w:ilvl w:val="0"/>
          <w:numId w:val="3"/>
        </w:numPr>
        <w:ind w:left="567" w:hanging="567"/>
      </w:pPr>
      <w:r w:rsidRPr="009A0DA6">
        <w:t>public theology</w:t>
      </w:r>
    </w:p>
    <w:p w14:paraId="5A8E8C95" w14:textId="77777777" w:rsidR="00F631B1" w:rsidRPr="009A0DA6" w:rsidRDefault="00F631B1" w:rsidP="00F631B1">
      <w:pPr>
        <w:rPr>
          <w:rFonts w:ascii="Cambria" w:hAnsi="Cambria"/>
        </w:rPr>
      </w:pPr>
      <w:r w:rsidRPr="009A0DA6">
        <w:rPr>
          <w:rFonts w:ascii="Cambria" w:hAnsi="Cambria"/>
        </w:rPr>
        <w:t>Since 2016 Mr Nick Schwarz has assisted me in keeping abreast of public affairs, and making occasional comment or submissions.</w:t>
      </w:r>
    </w:p>
    <w:p w14:paraId="29B40912" w14:textId="77777777" w:rsidR="00F631B1" w:rsidRPr="009A0DA6" w:rsidRDefault="00F631B1" w:rsidP="00F631B1">
      <w:pPr>
        <w:pStyle w:val="NoSpacing"/>
      </w:pPr>
      <w:r w:rsidRPr="009A0DA6">
        <w:t>Topics we have addressed so far include:</w:t>
      </w:r>
    </w:p>
    <w:p w14:paraId="7ACCC250" w14:textId="77777777" w:rsidR="00F631B1" w:rsidRPr="009A0DA6" w:rsidRDefault="00F631B1" w:rsidP="00F55252">
      <w:pPr>
        <w:pStyle w:val="ListParagraph"/>
        <w:numPr>
          <w:ilvl w:val="0"/>
          <w:numId w:val="11"/>
        </w:numPr>
        <w:spacing w:after="120" w:line="240" w:lineRule="auto"/>
        <w:ind w:left="567" w:hanging="567"/>
        <w:rPr>
          <w:rFonts w:ascii="Cambria" w:hAnsi="Cambria"/>
        </w:rPr>
      </w:pPr>
      <w:r w:rsidRPr="009A0DA6">
        <w:rPr>
          <w:rFonts w:ascii="Cambria" w:hAnsi="Cambria"/>
        </w:rPr>
        <w:t>Aboriginal affairs – eg NAIDOC, National Sorry Day and Reconciliation Week.</w:t>
      </w:r>
    </w:p>
    <w:p w14:paraId="1C4781E8" w14:textId="77777777" w:rsidR="00F631B1" w:rsidRPr="009A0DA6" w:rsidRDefault="00F631B1" w:rsidP="00F55252">
      <w:pPr>
        <w:pStyle w:val="ListParagraph"/>
        <w:numPr>
          <w:ilvl w:val="0"/>
          <w:numId w:val="11"/>
        </w:numPr>
        <w:spacing w:after="120" w:line="240" w:lineRule="auto"/>
        <w:ind w:left="567" w:hanging="567"/>
        <w:rPr>
          <w:rFonts w:ascii="Cambria" w:hAnsi="Cambria"/>
        </w:rPr>
      </w:pPr>
      <w:r w:rsidRPr="009A0DA6">
        <w:rPr>
          <w:rFonts w:ascii="Cambria" w:hAnsi="Cambria"/>
        </w:rPr>
        <w:t>Aboriginal Lutherans – eg 140</w:t>
      </w:r>
      <w:r w:rsidRPr="009A0DA6">
        <w:rPr>
          <w:rFonts w:ascii="Cambria" w:hAnsi="Cambria"/>
          <w:vertAlign w:val="superscript"/>
        </w:rPr>
        <w:t>th</w:t>
      </w:r>
      <w:r w:rsidRPr="009A0DA6">
        <w:rPr>
          <w:rFonts w:ascii="Cambria" w:hAnsi="Cambria"/>
        </w:rPr>
        <w:t xml:space="preserve"> anniversary of Hermannsburg</w:t>
      </w:r>
    </w:p>
    <w:p w14:paraId="7E4F6B15" w14:textId="77777777" w:rsidR="00F631B1" w:rsidRPr="009A0DA6" w:rsidRDefault="00F631B1" w:rsidP="00F55252">
      <w:pPr>
        <w:pStyle w:val="ListParagraph"/>
        <w:numPr>
          <w:ilvl w:val="0"/>
          <w:numId w:val="11"/>
        </w:numPr>
        <w:spacing w:after="120" w:line="240" w:lineRule="auto"/>
        <w:ind w:left="567" w:hanging="567"/>
        <w:rPr>
          <w:rFonts w:ascii="Cambria" w:hAnsi="Cambria"/>
        </w:rPr>
      </w:pPr>
      <w:r w:rsidRPr="009A0DA6">
        <w:rPr>
          <w:rFonts w:ascii="Cambria" w:hAnsi="Cambria"/>
        </w:rPr>
        <w:t>Freedom of religion and faith – eg a submission to the recent government review</w:t>
      </w:r>
    </w:p>
    <w:p w14:paraId="47CC019C" w14:textId="0A17B171" w:rsidR="00F631B1" w:rsidRPr="009A0DA6" w:rsidRDefault="008C2E06" w:rsidP="00F55252">
      <w:pPr>
        <w:pStyle w:val="ListParagraph"/>
        <w:numPr>
          <w:ilvl w:val="0"/>
          <w:numId w:val="11"/>
        </w:numPr>
        <w:spacing w:after="120" w:line="240" w:lineRule="auto"/>
        <w:ind w:left="567" w:hanging="567"/>
        <w:rPr>
          <w:rFonts w:ascii="Cambria" w:hAnsi="Cambria"/>
        </w:rPr>
      </w:pPr>
      <w:r>
        <w:rPr>
          <w:rFonts w:ascii="Cambria" w:hAnsi="Cambria"/>
        </w:rPr>
        <w:t>Same-</w:t>
      </w:r>
      <w:r w:rsidR="00F631B1" w:rsidRPr="009A0DA6">
        <w:rPr>
          <w:rFonts w:ascii="Cambria" w:hAnsi="Cambria"/>
        </w:rPr>
        <w:t>sex marriage – various statements and advice</w:t>
      </w:r>
    </w:p>
    <w:p w14:paraId="7866969C" w14:textId="77777777" w:rsidR="00F631B1" w:rsidRPr="009A0DA6" w:rsidRDefault="00F631B1" w:rsidP="00F55252">
      <w:pPr>
        <w:pStyle w:val="ListParagraph"/>
        <w:numPr>
          <w:ilvl w:val="0"/>
          <w:numId w:val="11"/>
        </w:numPr>
        <w:spacing w:after="120" w:line="240" w:lineRule="auto"/>
        <w:ind w:left="567" w:hanging="567"/>
        <w:rPr>
          <w:rFonts w:ascii="Cambria" w:hAnsi="Cambria"/>
        </w:rPr>
      </w:pPr>
      <w:r w:rsidRPr="009A0DA6">
        <w:rPr>
          <w:rFonts w:ascii="Cambria" w:hAnsi="Cambria"/>
        </w:rPr>
        <w:t>Domestic violence</w:t>
      </w:r>
    </w:p>
    <w:p w14:paraId="12ACCFD1" w14:textId="77777777" w:rsidR="00F631B1" w:rsidRPr="009A0DA6" w:rsidRDefault="00F631B1" w:rsidP="00F55252">
      <w:pPr>
        <w:pStyle w:val="ListParagraph"/>
        <w:numPr>
          <w:ilvl w:val="0"/>
          <w:numId w:val="11"/>
        </w:numPr>
        <w:spacing w:after="120" w:line="240" w:lineRule="auto"/>
        <w:ind w:left="567" w:hanging="567"/>
        <w:rPr>
          <w:rFonts w:ascii="Cambria" w:hAnsi="Cambria"/>
        </w:rPr>
      </w:pPr>
      <w:r w:rsidRPr="009A0DA6">
        <w:rPr>
          <w:rFonts w:ascii="Cambria" w:hAnsi="Cambria"/>
        </w:rPr>
        <w:t>Sexual abuse – National Redress Scheme</w:t>
      </w:r>
    </w:p>
    <w:p w14:paraId="0AAD4332" w14:textId="77777777" w:rsidR="00F631B1" w:rsidRPr="009A0DA6" w:rsidRDefault="00F631B1" w:rsidP="00F55252">
      <w:pPr>
        <w:pStyle w:val="ListParagraph"/>
        <w:numPr>
          <w:ilvl w:val="0"/>
          <w:numId w:val="11"/>
        </w:numPr>
        <w:spacing w:after="120" w:line="240" w:lineRule="auto"/>
        <w:ind w:left="567" w:hanging="567"/>
        <w:rPr>
          <w:rFonts w:ascii="Cambria" w:hAnsi="Cambria"/>
        </w:rPr>
      </w:pPr>
      <w:r w:rsidRPr="009A0DA6">
        <w:rPr>
          <w:rFonts w:ascii="Cambria" w:hAnsi="Cambria"/>
        </w:rPr>
        <w:t>Families – eg resources for a month of prayer and fasting</w:t>
      </w:r>
    </w:p>
    <w:p w14:paraId="33F78678" w14:textId="77777777" w:rsidR="00F631B1" w:rsidRPr="009A0DA6" w:rsidRDefault="00F631B1" w:rsidP="00F55252">
      <w:pPr>
        <w:pStyle w:val="ListParagraph"/>
        <w:numPr>
          <w:ilvl w:val="0"/>
          <w:numId w:val="11"/>
        </w:numPr>
        <w:spacing w:after="120" w:line="240" w:lineRule="auto"/>
        <w:ind w:left="567" w:hanging="567"/>
        <w:rPr>
          <w:rFonts w:ascii="Cambria" w:hAnsi="Cambria"/>
        </w:rPr>
      </w:pPr>
      <w:r w:rsidRPr="009A0DA6">
        <w:rPr>
          <w:rFonts w:ascii="Cambria" w:hAnsi="Cambria"/>
        </w:rPr>
        <w:t>Euthanasia – eg the debates in South Australia and Victoria</w:t>
      </w:r>
    </w:p>
    <w:p w14:paraId="39EE7100" w14:textId="3A1233C2" w:rsidR="00F631B1" w:rsidRPr="009A0DA6" w:rsidRDefault="00F631B1" w:rsidP="00F55252">
      <w:pPr>
        <w:pStyle w:val="ListParagraph"/>
        <w:numPr>
          <w:ilvl w:val="0"/>
          <w:numId w:val="11"/>
        </w:numPr>
        <w:spacing w:after="120" w:line="240" w:lineRule="auto"/>
        <w:ind w:left="567" w:hanging="567"/>
        <w:rPr>
          <w:rFonts w:ascii="Cambria" w:hAnsi="Cambria"/>
        </w:rPr>
      </w:pPr>
      <w:r w:rsidRPr="009A0DA6">
        <w:rPr>
          <w:rFonts w:ascii="Cambria" w:hAnsi="Cambria"/>
        </w:rPr>
        <w:t xml:space="preserve">Abortion – assisting the </w:t>
      </w:r>
      <w:r w:rsidR="008C2E06">
        <w:rPr>
          <w:rFonts w:ascii="Cambria" w:hAnsi="Cambria"/>
        </w:rPr>
        <w:t>Queensland</w:t>
      </w:r>
      <w:r w:rsidRPr="009A0DA6">
        <w:rPr>
          <w:rFonts w:ascii="Cambria" w:hAnsi="Cambria"/>
        </w:rPr>
        <w:t xml:space="preserve"> District submission to the Law Reform Commission</w:t>
      </w:r>
    </w:p>
    <w:p w14:paraId="0B71EAD0" w14:textId="4A397BE9" w:rsidR="00F631B1" w:rsidRPr="009A0DA6" w:rsidRDefault="00F631B1" w:rsidP="00F55252">
      <w:pPr>
        <w:pStyle w:val="ListParagraph"/>
        <w:numPr>
          <w:ilvl w:val="0"/>
          <w:numId w:val="11"/>
        </w:numPr>
        <w:spacing w:after="120" w:line="240" w:lineRule="auto"/>
        <w:ind w:left="567" w:hanging="567"/>
        <w:rPr>
          <w:rFonts w:ascii="Cambria" w:hAnsi="Cambria"/>
        </w:rPr>
      </w:pPr>
      <w:r w:rsidRPr="009A0DA6">
        <w:rPr>
          <w:rFonts w:ascii="Cambria" w:hAnsi="Cambria"/>
        </w:rPr>
        <w:t xml:space="preserve">Religious programming on the ABC – a letter to the </w:t>
      </w:r>
      <w:r w:rsidR="008C2E06">
        <w:rPr>
          <w:rFonts w:ascii="Cambria" w:hAnsi="Cambria"/>
        </w:rPr>
        <w:t>managing director and c</w:t>
      </w:r>
      <w:r w:rsidRPr="009A0DA6">
        <w:rPr>
          <w:rFonts w:ascii="Cambria" w:hAnsi="Cambria"/>
        </w:rPr>
        <w:t>hairman about cutbacks in this area</w:t>
      </w:r>
    </w:p>
    <w:p w14:paraId="2C49F0ED" w14:textId="77777777" w:rsidR="00F631B1" w:rsidRPr="009A0DA6" w:rsidRDefault="00F631B1" w:rsidP="00F55252">
      <w:pPr>
        <w:pStyle w:val="ListParagraph"/>
        <w:numPr>
          <w:ilvl w:val="0"/>
          <w:numId w:val="11"/>
        </w:numPr>
        <w:spacing w:after="120" w:line="240" w:lineRule="auto"/>
        <w:ind w:left="567" w:hanging="567"/>
        <w:rPr>
          <w:rFonts w:ascii="Cambria" w:hAnsi="Cambria"/>
        </w:rPr>
      </w:pPr>
      <w:r w:rsidRPr="009A0DA6">
        <w:rPr>
          <w:rFonts w:ascii="Cambria" w:hAnsi="Cambria"/>
        </w:rPr>
        <w:lastRenderedPageBreak/>
        <w:t>Refugees – eg statements for refugee week, the sanctuary movement, Manus Island</w:t>
      </w:r>
    </w:p>
    <w:p w14:paraId="2BAC72E4" w14:textId="77777777" w:rsidR="00F631B1" w:rsidRPr="009A0DA6" w:rsidRDefault="00F631B1" w:rsidP="00F55252">
      <w:pPr>
        <w:pStyle w:val="ListParagraph"/>
        <w:numPr>
          <w:ilvl w:val="0"/>
          <w:numId w:val="11"/>
        </w:numPr>
        <w:spacing w:after="120" w:line="240" w:lineRule="auto"/>
        <w:ind w:left="567" w:hanging="567"/>
        <w:rPr>
          <w:rFonts w:ascii="Cambria" w:hAnsi="Cambria"/>
        </w:rPr>
      </w:pPr>
      <w:r w:rsidRPr="009A0DA6">
        <w:rPr>
          <w:rFonts w:ascii="Cambria" w:hAnsi="Cambria"/>
        </w:rPr>
        <w:t>Principled overseas aid by the Australian government – participated in a letter to the Australian Foreign Minister.</w:t>
      </w:r>
    </w:p>
    <w:p w14:paraId="11C0508D" w14:textId="77777777" w:rsidR="00F631B1" w:rsidRPr="009A0DA6" w:rsidRDefault="00F631B1" w:rsidP="00F55252">
      <w:pPr>
        <w:pStyle w:val="ListParagraph"/>
        <w:numPr>
          <w:ilvl w:val="0"/>
          <w:numId w:val="11"/>
        </w:numPr>
        <w:spacing w:after="120" w:line="240" w:lineRule="auto"/>
        <w:ind w:left="567" w:hanging="567"/>
        <w:rPr>
          <w:rFonts w:ascii="Cambria" w:hAnsi="Cambria"/>
        </w:rPr>
      </w:pPr>
      <w:r w:rsidRPr="009A0DA6">
        <w:rPr>
          <w:rFonts w:ascii="Cambria" w:hAnsi="Cambria"/>
        </w:rPr>
        <w:t>Citizenship – assisting LCA Cross-Cultural ministry submission on the proposed Citizenship Amendment Bill (Australia)</w:t>
      </w:r>
    </w:p>
    <w:p w14:paraId="19DEDBC9" w14:textId="77777777" w:rsidR="00F631B1" w:rsidRPr="009A0DA6" w:rsidRDefault="00F631B1" w:rsidP="00F55252">
      <w:pPr>
        <w:pStyle w:val="ListParagraph"/>
        <w:numPr>
          <w:ilvl w:val="0"/>
          <w:numId w:val="11"/>
        </w:numPr>
        <w:spacing w:after="120" w:line="240" w:lineRule="auto"/>
        <w:ind w:left="567" w:hanging="567"/>
        <w:rPr>
          <w:rFonts w:ascii="Cambria" w:hAnsi="Cambria"/>
        </w:rPr>
      </w:pPr>
      <w:r w:rsidRPr="009A0DA6">
        <w:rPr>
          <w:rFonts w:ascii="Cambria" w:hAnsi="Cambria"/>
        </w:rPr>
        <w:t>Multiculturalism – eg Harmony Day</w:t>
      </w:r>
    </w:p>
    <w:p w14:paraId="15A26818" w14:textId="77777777" w:rsidR="00F631B1" w:rsidRPr="009A0DA6" w:rsidRDefault="00F631B1" w:rsidP="00F55252">
      <w:pPr>
        <w:pStyle w:val="ListParagraph"/>
        <w:numPr>
          <w:ilvl w:val="0"/>
          <w:numId w:val="11"/>
        </w:numPr>
        <w:spacing w:after="120" w:line="240" w:lineRule="auto"/>
        <w:ind w:left="567" w:hanging="567"/>
        <w:rPr>
          <w:rFonts w:ascii="Cambria" w:hAnsi="Cambria"/>
        </w:rPr>
      </w:pPr>
      <w:r w:rsidRPr="009A0DA6">
        <w:rPr>
          <w:rFonts w:ascii="Cambria" w:hAnsi="Cambria"/>
        </w:rPr>
        <w:t>Climate change</w:t>
      </w:r>
    </w:p>
    <w:p w14:paraId="12800B6E" w14:textId="77777777" w:rsidR="00F631B1" w:rsidRPr="009A0DA6" w:rsidRDefault="00F631B1" w:rsidP="00F55252">
      <w:pPr>
        <w:pStyle w:val="ListParagraph"/>
        <w:numPr>
          <w:ilvl w:val="0"/>
          <w:numId w:val="11"/>
        </w:numPr>
        <w:spacing w:after="120" w:line="240" w:lineRule="auto"/>
        <w:ind w:left="567" w:hanging="567"/>
        <w:rPr>
          <w:rFonts w:ascii="Cambria" w:hAnsi="Cambria"/>
        </w:rPr>
      </w:pPr>
      <w:r w:rsidRPr="009A0DA6">
        <w:rPr>
          <w:rFonts w:ascii="Cambria" w:hAnsi="Cambria"/>
        </w:rPr>
        <w:t>ANZAC Day</w:t>
      </w:r>
    </w:p>
    <w:p w14:paraId="554342F7" w14:textId="77777777" w:rsidR="00F631B1" w:rsidRPr="009A0DA6" w:rsidRDefault="00F631B1" w:rsidP="00F55252">
      <w:pPr>
        <w:pStyle w:val="ListParagraph"/>
        <w:numPr>
          <w:ilvl w:val="0"/>
          <w:numId w:val="11"/>
        </w:numPr>
        <w:spacing w:after="120" w:line="240" w:lineRule="auto"/>
        <w:ind w:left="567" w:hanging="567"/>
        <w:rPr>
          <w:rFonts w:ascii="Cambria" w:hAnsi="Cambria"/>
        </w:rPr>
      </w:pPr>
      <w:r w:rsidRPr="009A0DA6">
        <w:rPr>
          <w:rFonts w:ascii="Cambria" w:hAnsi="Cambria"/>
        </w:rPr>
        <w:t>Remembrance Day</w:t>
      </w:r>
    </w:p>
    <w:p w14:paraId="106CECED" w14:textId="77777777" w:rsidR="00F631B1" w:rsidRPr="009A0DA6" w:rsidRDefault="00F631B1" w:rsidP="00F55252">
      <w:pPr>
        <w:pStyle w:val="ListParagraph"/>
        <w:numPr>
          <w:ilvl w:val="0"/>
          <w:numId w:val="11"/>
        </w:numPr>
        <w:spacing w:after="120" w:line="240" w:lineRule="auto"/>
        <w:ind w:left="567" w:hanging="567"/>
        <w:rPr>
          <w:rFonts w:ascii="Cambria" w:hAnsi="Cambria"/>
        </w:rPr>
      </w:pPr>
      <w:r w:rsidRPr="009A0DA6">
        <w:rPr>
          <w:rFonts w:ascii="Cambria" w:hAnsi="Cambria"/>
        </w:rPr>
        <w:t>Australia Day</w:t>
      </w:r>
    </w:p>
    <w:p w14:paraId="3DCA08DA" w14:textId="77777777" w:rsidR="00F631B1" w:rsidRPr="009A0DA6" w:rsidRDefault="00F631B1" w:rsidP="00F55252">
      <w:pPr>
        <w:pStyle w:val="ListParagraph"/>
        <w:numPr>
          <w:ilvl w:val="0"/>
          <w:numId w:val="11"/>
        </w:numPr>
        <w:spacing w:after="120" w:line="240" w:lineRule="auto"/>
        <w:ind w:left="567" w:hanging="567"/>
        <w:rPr>
          <w:rFonts w:ascii="Cambria" w:hAnsi="Cambria"/>
        </w:rPr>
      </w:pPr>
      <w:r w:rsidRPr="009A0DA6">
        <w:rPr>
          <w:rFonts w:ascii="Cambria" w:hAnsi="Cambria"/>
        </w:rPr>
        <w:t>Modern Slavery – eg Australian Parliamentary enquiry</w:t>
      </w:r>
    </w:p>
    <w:p w14:paraId="0AC27B59" w14:textId="77777777" w:rsidR="00F631B1" w:rsidRPr="009A0DA6" w:rsidRDefault="00F631B1" w:rsidP="00F55252">
      <w:pPr>
        <w:pStyle w:val="ListParagraph"/>
        <w:numPr>
          <w:ilvl w:val="0"/>
          <w:numId w:val="11"/>
        </w:numPr>
        <w:spacing w:after="120" w:line="240" w:lineRule="auto"/>
        <w:ind w:left="567" w:hanging="567"/>
        <w:rPr>
          <w:rFonts w:ascii="Cambria" w:hAnsi="Cambria"/>
        </w:rPr>
      </w:pPr>
      <w:r w:rsidRPr="009A0DA6">
        <w:rPr>
          <w:rFonts w:ascii="Cambria" w:hAnsi="Cambria"/>
        </w:rPr>
        <w:t>Terror attacks – eg Paris (2015), Egypt (2015), Indonesia (2016, 2018), Europe (2016)</w:t>
      </w:r>
    </w:p>
    <w:p w14:paraId="6202CB3D" w14:textId="77777777" w:rsidR="00F631B1" w:rsidRPr="009A0DA6" w:rsidRDefault="00F631B1" w:rsidP="00F631B1">
      <w:pPr>
        <w:rPr>
          <w:rFonts w:ascii="Cambria" w:hAnsi="Cambria"/>
        </w:rPr>
      </w:pPr>
      <w:r w:rsidRPr="009A0DA6">
        <w:rPr>
          <w:rFonts w:ascii="Cambria" w:hAnsi="Cambria"/>
        </w:rPr>
        <w:t>I have also released messages on Christmas, Easter, Holy Week, Lutheran Renewal, New Zealand earthquakes, transitions for school leavers, Synod, and the General Pastors Conference (2x).</w:t>
      </w:r>
    </w:p>
    <w:p w14:paraId="203BCF0F" w14:textId="77777777" w:rsidR="00F631B1" w:rsidRPr="009A0DA6" w:rsidRDefault="00F631B1" w:rsidP="00F631B1">
      <w:pPr>
        <w:pStyle w:val="Heading3"/>
        <w:numPr>
          <w:ilvl w:val="0"/>
          <w:numId w:val="3"/>
        </w:numPr>
        <w:ind w:left="567" w:hanging="567"/>
      </w:pPr>
      <w:r w:rsidRPr="009A0DA6">
        <w:t>leadership and administration</w:t>
      </w:r>
    </w:p>
    <w:p w14:paraId="31833B81" w14:textId="77777777" w:rsidR="00F631B1" w:rsidRPr="009A0DA6" w:rsidRDefault="00F631B1" w:rsidP="00F631B1">
      <w:pPr>
        <w:pStyle w:val="Subtitle"/>
        <w:ind w:left="567" w:hanging="567"/>
      </w:pPr>
      <w:r w:rsidRPr="009A0DA6">
        <w:t xml:space="preserve">8.1 </w:t>
      </w:r>
      <w:r w:rsidRPr="009A0DA6">
        <w:tab/>
        <w:t>general church council</w:t>
      </w:r>
    </w:p>
    <w:p w14:paraId="128EA187" w14:textId="77777777" w:rsidR="00F631B1" w:rsidRPr="009A0DA6" w:rsidRDefault="00F631B1" w:rsidP="00F631B1">
      <w:pPr>
        <w:rPr>
          <w:rFonts w:ascii="Cambria" w:hAnsi="Cambria"/>
        </w:rPr>
      </w:pPr>
      <w:r w:rsidRPr="009A0DA6">
        <w:rPr>
          <w:rFonts w:ascii="Cambria" w:hAnsi="Cambria"/>
        </w:rPr>
        <w:t>During this synodical period I have once again served as the chairperson of the GCC. In writing about the GCC I don’t believe I can improve on what I wrote in 2015:</w:t>
      </w:r>
    </w:p>
    <w:p w14:paraId="04D76D79" w14:textId="77777777" w:rsidR="00F631B1" w:rsidRPr="009A0DA6" w:rsidRDefault="00F631B1" w:rsidP="00F631B1">
      <w:pPr>
        <w:ind w:left="720"/>
        <w:rPr>
          <w:rFonts w:ascii="Cambria" w:hAnsi="Cambria"/>
          <w:i/>
        </w:rPr>
      </w:pPr>
      <w:r w:rsidRPr="009A0DA6">
        <w:rPr>
          <w:rFonts w:ascii="Cambria" w:hAnsi="Cambria"/>
          <w:i/>
        </w:rPr>
        <w:t>The GCC is your ‘Synod between conventions’. A volunteer board, largely constructed on representational principles, it nevertheless operates at a consistently demanding level. Your church councillors are a gifted, dedicated and committed group of people, who give a great deal to the church. Normally, they are heavily involved in local and district affairs as well as at the national level. They have a deep understanding and appreciation of the LCA in its many manifestations. Most of them travel some distance, some even internationally, to attend meetings. GCC does hold regular teleconferences, but when the chips are down there is no substitute for being in the same room together.</w:t>
      </w:r>
    </w:p>
    <w:p w14:paraId="578F5BA0" w14:textId="77777777" w:rsidR="00F631B1" w:rsidRPr="009A0DA6" w:rsidRDefault="00F631B1" w:rsidP="00F631B1">
      <w:pPr>
        <w:ind w:left="720"/>
        <w:rPr>
          <w:rFonts w:ascii="Cambria" w:hAnsi="Cambria"/>
          <w:i/>
        </w:rPr>
      </w:pPr>
      <w:r w:rsidRPr="009A0DA6">
        <w:rPr>
          <w:rFonts w:ascii="Cambria" w:hAnsi="Cambria"/>
          <w:i/>
        </w:rPr>
        <w:t>Very few people appreciate the complexity of the GCC’s role and the sheer volume of business it must process. I express my gratitude to each member of the GCC for their love of Jesus, commitment to their church, and patient compassion for the new bishop as he finds his way through the multiplicity of issues on the often very lengthy agenda.</w:t>
      </w:r>
    </w:p>
    <w:p w14:paraId="31BAEA75" w14:textId="77777777" w:rsidR="00F631B1" w:rsidRPr="009A0DA6" w:rsidRDefault="00F631B1" w:rsidP="00F631B1">
      <w:pPr>
        <w:rPr>
          <w:rFonts w:ascii="Cambria" w:hAnsi="Cambria"/>
        </w:rPr>
      </w:pPr>
      <w:r w:rsidRPr="009A0DA6">
        <w:rPr>
          <w:rFonts w:ascii="Cambria" w:hAnsi="Cambria"/>
        </w:rPr>
        <w:t>I once again must add my thanks to the Executive Officer of the Church, Peter Schirmer, and his staff. Peter’s calm leadership, his partnership in the gospel, quiet assurance and constant attention to staying on track in completing tasks are invaluable.</w:t>
      </w:r>
    </w:p>
    <w:p w14:paraId="6AC16278" w14:textId="77777777" w:rsidR="00F631B1" w:rsidRPr="009A0DA6" w:rsidRDefault="00F631B1" w:rsidP="00F631B1">
      <w:pPr>
        <w:rPr>
          <w:rFonts w:ascii="Cambria" w:hAnsi="Cambria"/>
        </w:rPr>
      </w:pPr>
      <w:r w:rsidRPr="009A0DA6">
        <w:rPr>
          <w:rFonts w:ascii="Cambria" w:hAnsi="Cambria"/>
        </w:rPr>
        <w:t>I also acknowledge Assistant Bishop Andrew Pfeiffer, who has stepped in for me a number of times, usually at a critical juncture. Andrew has been a great support, and his chairing of the recent General Pastors Conference was exemplary.</w:t>
      </w:r>
    </w:p>
    <w:p w14:paraId="17EB78E0" w14:textId="77777777" w:rsidR="00F631B1" w:rsidRPr="009A0DA6" w:rsidRDefault="00F631B1" w:rsidP="00F631B1">
      <w:pPr>
        <w:pStyle w:val="Subtitle"/>
        <w:ind w:left="567" w:hanging="567"/>
      </w:pPr>
      <w:r w:rsidRPr="009A0DA6">
        <w:t>8.2</w:t>
      </w:r>
      <w:r w:rsidRPr="009A0DA6">
        <w:tab/>
        <w:t>the college of bishops (CoB)</w:t>
      </w:r>
    </w:p>
    <w:p w14:paraId="3F88F6B4" w14:textId="77777777" w:rsidR="00F631B1" w:rsidRPr="009A0DA6" w:rsidRDefault="00F631B1" w:rsidP="00F631B1">
      <w:pPr>
        <w:rPr>
          <w:rFonts w:ascii="Cambria" w:hAnsi="Cambria"/>
        </w:rPr>
      </w:pPr>
      <w:r w:rsidRPr="009A0DA6">
        <w:rPr>
          <w:rFonts w:ascii="Cambria" w:hAnsi="Cambria"/>
        </w:rPr>
        <w:t>The last period has seen the following changes</w:t>
      </w:r>
    </w:p>
    <w:p w14:paraId="046D1C41" w14:textId="77777777" w:rsidR="00F631B1" w:rsidRPr="009A0DA6" w:rsidRDefault="00F631B1" w:rsidP="00F55252">
      <w:pPr>
        <w:pStyle w:val="ListParagraph"/>
        <w:numPr>
          <w:ilvl w:val="0"/>
          <w:numId w:val="12"/>
        </w:numPr>
        <w:spacing w:after="120" w:line="240" w:lineRule="auto"/>
        <w:ind w:left="567" w:hanging="567"/>
        <w:rPr>
          <w:rFonts w:ascii="Cambria" w:hAnsi="Cambria"/>
        </w:rPr>
      </w:pPr>
      <w:r w:rsidRPr="009A0DA6">
        <w:rPr>
          <w:rFonts w:ascii="Cambria" w:hAnsi="Cambria"/>
        </w:rPr>
        <w:t>Bishop Greg Pietsch (Vic-Tas) replaced by Bishop Lester Priebbenow</w:t>
      </w:r>
    </w:p>
    <w:p w14:paraId="68E19A51" w14:textId="77777777" w:rsidR="00F631B1" w:rsidRPr="009A0DA6" w:rsidRDefault="00F631B1" w:rsidP="00F55252">
      <w:pPr>
        <w:pStyle w:val="ListParagraph"/>
        <w:numPr>
          <w:ilvl w:val="0"/>
          <w:numId w:val="12"/>
        </w:numPr>
        <w:spacing w:after="120" w:line="240" w:lineRule="auto"/>
        <w:ind w:left="567" w:hanging="567"/>
        <w:rPr>
          <w:rFonts w:ascii="Cambria" w:hAnsi="Cambria"/>
        </w:rPr>
      </w:pPr>
      <w:r w:rsidRPr="009A0DA6">
        <w:rPr>
          <w:rFonts w:ascii="Cambria" w:hAnsi="Cambria"/>
        </w:rPr>
        <w:t>Bishop Greg Pfeiffer (WA, retired) replaced by Bishop Michael Fulwood</w:t>
      </w:r>
    </w:p>
    <w:p w14:paraId="31E9F1D0" w14:textId="77777777" w:rsidR="00F631B1" w:rsidRPr="009A0DA6" w:rsidRDefault="00F631B1" w:rsidP="00F55252">
      <w:pPr>
        <w:pStyle w:val="ListParagraph"/>
        <w:numPr>
          <w:ilvl w:val="0"/>
          <w:numId w:val="12"/>
        </w:numPr>
        <w:spacing w:after="120" w:line="240" w:lineRule="auto"/>
        <w:ind w:left="567" w:hanging="567"/>
        <w:rPr>
          <w:rFonts w:ascii="Cambria" w:hAnsi="Cambria"/>
        </w:rPr>
      </w:pPr>
      <w:r w:rsidRPr="009A0DA6">
        <w:rPr>
          <w:rFonts w:ascii="Cambria" w:hAnsi="Cambria"/>
        </w:rPr>
        <w:t>Bishop Mark Lieschke (NSW, retired) replaced by Bishop James Haak</w:t>
      </w:r>
    </w:p>
    <w:p w14:paraId="76EE90FA" w14:textId="77777777" w:rsidR="00F631B1" w:rsidRPr="009A0DA6" w:rsidRDefault="00F631B1" w:rsidP="00F55252">
      <w:pPr>
        <w:pStyle w:val="ListParagraph"/>
        <w:numPr>
          <w:ilvl w:val="0"/>
          <w:numId w:val="12"/>
        </w:numPr>
        <w:spacing w:after="120" w:line="240" w:lineRule="auto"/>
        <w:ind w:left="567" w:hanging="567"/>
        <w:rPr>
          <w:rFonts w:ascii="Cambria" w:hAnsi="Cambria"/>
        </w:rPr>
      </w:pPr>
      <w:r w:rsidRPr="009A0DA6">
        <w:rPr>
          <w:rFonts w:ascii="Cambria" w:hAnsi="Cambria"/>
        </w:rPr>
        <w:t>Assistant Bishop Andrew Pfeiffer elected in 2015</w:t>
      </w:r>
    </w:p>
    <w:p w14:paraId="393CAD8C" w14:textId="77777777" w:rsidR="00F631B1" w:rsidRPr="009A0DA6" w:rsidRDefault="00F631B1" w:rsidP="00F631B1">
      <w:pPr>
        <w:rPr>
          <w:rFonts w:ascii="Cambria" w:hAnsi="Cambria"/>
        </w:rPr>
      </w:pPr>
      <w:r w:rsidRPr="009A0DA6">
        <w:rPr>
          <w:rFonts w:ascii="Cambria" w:hAnsi="Cambria"/>
        </w:rPr>
        <w:t xml:space="preserve">Bishop Paul Smith (Qld) came onto the CoB just prior to the last General Convention. As a result of these changes the CoB has a significantly new look. I thank all the bishops, both those who have left and those who have arrived, for their unwavering support and encouragement, </w:t>
      </w:r>
      <w:r w:rsidRPr="009A0DA6">
        <w:rPr>
          <w:rFonts w:ascii="Cambria" w:hAnsi="Cambria"/>
        </w:rPr>
        <w:lastRenderedPageBreak/>
        <w:t>and the considerable work they do and the sacrificial way in which they serve the church, the personal costs of which others do not generally see.</w:t>
      </w:r>
    </w:p>
    <w:p w14:paraId="67DAAEE5" w14:textId="77777777" w:rsidR="00F631B1" w:rsidRPr="009A0DA6" w:rsidRDefault="00F631B1" w:rsidP="00F631B1">
      <w:pPr>
        <w:pStyle w:val="Subtitle"/>
        <w:ind w:left="567" w:hanging="567"/>
      </w:pPr>
      <w:r w:rsidRPr="009A0DA6">
        <w:t>8.3</w:t>
      </w:r>
      <w:r w:rsidRPr="009A0DA6">
        <w:tab/>
        <w:t>Churchwide Office</w:t>
      </w:r>
    </w:p>
    <w:p w14:paraId="4B747BA1" w14:textId="77777777" w:rsidR="00F631B1" w:rsidRPr="009A0DA6" w:rsidRDefault="00F631B1" w:rsidP="00F631B1">
      <w:pPr>
        <w:rPr>
          <w:rFonts w:ascii="Cambria" w:hAnsi="Cambria"/>
        </w:rPr>
      </w:pPr>
      <w:r w:rsidRPr="009A0DA6">
        <w:rPr>
          <w:rFonts w:ascii="Cambria" w:hAnsi="Cambria"/>
        </w:rPr>
        <w:t>Briefly, in closing, I acknowledge my co-workers in the LCA Churchwide office, full-time, part-time and volunteer, located in North Adelaide and across the church. I especially thank Larissa Helbig, my Executive Assistant for her untiring and patient work, and Debbie Venz, LCA Business Manager, who gives far more to her work than most realise. All LCA staff work willingly and often beyond the call of duty. The LCA is a richer, better place for your service among us.</w:t>
      </w:r>
    </w:p>
    <w:p w14:paraId="4EB7B3AB" w14:textId="77777777" w:rsidR="00F631B1" w:rsidRPr="009A0DA6" w:rsidRDefault="00F631B1" w:rsidP="00F631B1">
      <w:pPr>
        <w:rPr>
          <w:rFonts w:ascii="Cambria" w:hAnsi="Cambria"/>
        </w:rPr>
      </w:pPr>
      <w:r w:rsidRPr="009A0DA6">
        <w:rPr>
          <w:rFonts w:ascii="Cambria" w:hAnsi="Cambria"/>
        </w:rPr>
        <w:t xml:space="preserve">Respectfully submitted, </w:t>
      </w:r>
      <w:r w:rsidRPr="009A0DA6">
        <w:rPr>
          <w:rFonts w:ascii="Cambria" w:hAnsi="Cambria"/>
        </w:rPr>
        <w:br/>
        <w:t>Pastor John Henderson</w:t>
      </w:r>
      <w:r w:rsidRPr="009A0DA6">
        <w:rPr>
          <w:rFonts w:ascii="Cambria" w:hAnsi="Cambria"/>
        </w:rPr>
        <w:br/>
        <w:t>Bishop, Lutheran Church of Australia</w:t>
      </w:r>
      <w:r w:rsidRPr="009A0DA6">
        <w:rPr>
          <w:rFonts w:ascii="Cambria" w:hAnsi="Cambria"/>
        </w:rPr>
        <w:br/>
        <w:t>Adelaide, 17 July 2018</w:t>
      </w:r>
    </w:p>
    <w:p w14:paraId="78747B56" w14:textId="366E9A77" w:rsidR="00F631B1" w:rsidRDefault="00F631B1" w:rsidP="00F631B1">
      <w:pPr>
        <w:pStyle w:val="NoSpacing"/>
      </w:pPr>
    </w:p>
    <w:p w14:paraId="4C288AF7" w14:textId="4A68075D" w:rsidR="00DB1A87" w:rsidRPr="00DB1A87" w:rsidRDefault="00DB1A87" w:rsidP="00F631B1">
      <w:pPr>
        <w:pStyle w:val="NoSpacing"/>
        <w:rPr>
          <w:sz w:val="8"/>
        </w:rPr>
      </w:pPr>
    </w:p>
    <w:p w14:paraId="13EF4844" w14:textId="77777777" w:rsidR="00DB1A87" w:rsidRPr="009A0DA6" w:rsidRDefault="00DB1A87" w:rsidP="00F631B1">
      <w:pPr>
        <w:pStyle w:val="NoSpacing"/>
      </w:pPr>
    </w:p>
    <w:p w14:paraId="27AC98BE" w14:textId="2EEA125F" w:rsidR="00F631B1" w:rsidRPr="009A0DA6" w:rsidRDefault="00CF1FE7" w:rsidP="00F631B1">
      <w:pPr>
        <w:pStyle w:val="Heading3"/>
      </w:pPr>
      <w:r>
        <w:br w:type="column"/>
      </w:r>
      <w:r w:rsidR="00F631B1" w:rsidRPr="009A0DA6">
        <w:lastRenderedPageBreak/>
        <w:t>agenda 2.1.2</w:t>
      </w:r>
    </w:p>
    <w:p w14:paraId="236C664D" w14:textId="77777777" w:rsidR="00F631B1" w:rsidRPr="009A0DA6" w:rsidRDefault="00F631B1" w:rsidP="00F631B1">
      <w:pPr>
        <w:pStyle w:val="Heading2"/>
      </w:pPr>
      <w:bookmarkStart w:id="14" w:name="_Toc521954585"/>
      <w:bookmarkStart w:id="15" w:name="_Toc522394951"/>
      <w:r w:rsidRPr="009A0DA6">
        <w:t>General Church Council</w:t>
      </w:r>
      <w:bookmarkEnd w:id="14"/>
      <w:bookmarkEnd w:id="15"/>
    </w:p>
    <w:p w14:paraId="109D5112" w14:textId="77777777" w:rsidR="00F631B1" w:rsidRPr="009A0DA6" w:rsidRDefault="00F631B1" w:rsidP="00F631B1">
      <w:pPr>
        <w:pStyle w:val="NoSpacing"/>
      </w:pPr>
    </w:p>
    <w:p w14:paraId="7E3BE2BF" w14:textId="77777777" w:rsidR="00F631B1" w:rsidRPr="009A0DA6" w:rsidRDefault="00F631B1" w:rsidP="00F631B1">
      <w:pPr>
        <w:spacing w:after="120" w:line="240" w:lineRule="auto"/>
        <w:rPr>
          <w:rFonts w:ascii="Cambria" w:hAnsi="Cambria"/>
        </w:rPr>
      </w:pPr>
      <w:r w:rsidRPr="009A0DA6">
        <w:rPr>
          <w:rFonts w:ascii="Cambria" w:hAnsi="Cambria"/>
        </w:rPr>
        <w:t xml:space="preserve">The General Church Council (GCC) has worked during this synodical term to carry out its duties, which includes the implementation of the program of the church in accordance with the policies established by the General Synod; ensuring that the mission of the church, the proclamation of the Gospel of Christ, remains central in the work of the church; and ensuring the work of the church is efficiently planned, coordinated, and controlled. </w:t>
      </w:r>
    </w:p>
    <w:p w14:paraId="5A76B6F7" w14:textId="77777777" w:rsidR="00F631B1" w:rsidRPr="009A0DA6" w:rsidRDefault="00F631B1" w:rsidP="00F631B1">
      <w:pPr>
        <w:spacing w:after="120" w:line="240" w:lineRule="auto"/>
        <w:rPr>
          <w:rFonts w:ascii="Cambria" w:hAnsi="Cambria"/>
        </w:rPr>
      </w:pPr>
      <w:r w:rsidRPr="009A0DA6">
        <w:rPr>
          <w:rFonts w:ascii="Cambria" w:hAnsi="Cambria"/>
        </w:rPr>
        <w:t>The elections of Pastor Andrew Pfeiffer to replace Pastor Greg Pietsch as Assistant Bishop; Faye Schmidt to replace the retiring Dr Gillian Heintze as the lay person at large; and Pastor Greg Priebbenow to replace the retiring Pastor Avito de Costa as the pastor at large were the only changes in the membership of the General Church Council at the commencement of the new synodical term.</w:t>
      </w:r>
    </w:p>
    <w:p w14:paraId="17560C0E" w14:textId="77777777" w:rsidR="00F631B1" w:rsidRPr="009A0DA6" w:rsidRDefault="00F631B1" w:rsidP="00F631B1">
      <w:pPr>
        <w:spacing w:after="120" w:line="240" w:lineRule="auto"/>
        <w:rPr>
          <w:rFonts w:ascii="Cambria" w:hAnsi="Cambria"/>
        </w:rPr>
      </w:pPr>
      <w:r w:rsidRPr="009A0DA6">
        <w:rPr>
          <w:rFonts w:ascii="Cambria" w:hAnsi="Cambria"/>
        </w:rPr>
        <w:t xml:space="preserve">During the synodical term, District Bishops Mark Lieschke, Greg Pietsch and Noel Noack concluded their service in their respective districts and were replaced on the General Church Council by their successors, Bishops James Haak; Lester Priebbenow and Paul Smith. In addition, David Menzel (NSW) retired from GCC in April 2017 after nine years of service and was replaced by Peter Zweck (NSW). </w:t>
      </w:r>
    </w:p>
    <w:p w14:paraId="5B194542" w14:textId="24EB577A" w:rsidR="00F631B1" w:rsidRPr="009A0DA6" w:rsidRDefault="00F631B1" w:rsidP="00F631B1">
      <w:pPr>
        <w:spacing w:after="120" w:line="240" w:lineRule="auto"/>
        <w:rPr>
          <w:rFonts w:ascii="Cambria" w:hAnsi="Cambria"/>
        </w:rPr>
      </w:pPr>
      <w:r w:rsidRPr="009A0DA6">
        <w:rPr>
          <w:rFonts w:ascii="Cambria" w:hAnsi="Cambria"/>
        </w:rPr>
        <w:t xml:space="preserve">We sincerely thank all of the retiring members for their service on the </w:t>
      </w:r>
      <w:r w:rsidR="0047649D">
        <w:rPr>
          <w:rFonts w:ascii="Cambria" w:hAnsi="Cambria"/>
        </w:rPr>
        <w:t>GCC</w:t>
      </w:r>
      <w:r w:rsidRPr="009A0DA6">
        <w:rPr>
          <w:rFonts w:ascii="Cambria" w:hAnsi="Cambria"/>
        </w:rPr>
        <w:t xml:space="preserve">. </w:t>
      </w:r>
    </w:p>
    <w:p w14:paraId="7382DC73" w14:textId="77777777" w:rsidR="00F631B1" w:rsidRPr="009A0DA6" w:rsidRDefault="00F631B1" w:rsidP="00F631B1">
      <w:pPr>
        <w:spacing w:after="120" w:line="240" w:lineRule="auto"/>
        <w:rPr>
          <w:rFonts w:ascii="Cambria" w:hAnsi="Cambria"/>
        </w:rPr>
      </w:pPr>
      <w:r w:rsidRPr="009A0DA6">
        <w:rPr>
          <w:rFonts w:ascii="Cambria" w:hAnsi="Cambria"/>
        </w:rPr>
        <w:t>The following report provides a summary of the key decisions and actions that have been taken by the GCC during this synodical period.</w:t>
      </w:r>
    </w:p>
    <w:p w14:paraId="7E50220F" w14:textId="77777777" w:rsidR="00F631B1" w:rsidRPr="009A0DA6" w:rsidRDefault="00F631B1" w:rsidP="00F631B1">
      <w:pPr>
        <w:spacing w:after="120" w:line="240" w:lineRule="auto"/>
        <w:rPr>
          <w:rFonts w:ascii="Cambria" w:hAnsi="Cambria"/>
          <w:sz w:val="4"/>
          <w:szCs w:val="4"/>
        </w:rPr>
      </w:pPr>
    </w:p>
    <w:p w14:paraId="63378412" w14:textId="77777777" w:rsidR="00F631B1" w:rsidRPr="009A0DA6" w:rsidRDefault="00F631B1" w:rsidP="00F631B1">
      <w:pPr>
        <w:pStyle w:val="Heading3"/>
      </w:pPr>
      <w:r w:rsidRPr="009A0DA6">
        <w:t>Members of GCC</w:t>
      </w:r>
    </w:p>
    <w:p w14:paraId="63D292A9" w14:textId="77777777" w:rsidR="00F631B1" w:rsidRPr="009A0DA6" w:rsidRDefault="00F631B1" w:rsidP="00565A2C">
      <w:pPr>
        <w:pStyle w:val="NoSpacing"/>
      </w:pPr>
      <w:r w:rsidRPr="009A0DA6">
        <w:t>Bishop: Rev J Henderson</w:t>
      </w:r>
    </w:p>
    <w:p w14:paraId="20513B5B" w14:textId="77777777" w:rsidR="00F631B1" w:rsidRPr="009A0DA6" w:rsidRDefault="00F631B1" w:rsidP="00565A2C">
      <w:pPr>
        <w:pStyle w:val="NoSpacing"/>
      </w:pPr>
      <w:r w:rsidRPr="009A0DA6">
        <w:t>Assistant Bishop: Rev Dr A Pfeiffer</w:t>
      </w:r>
    </w:p>
    <w:p w14:paraId="675EE35B" w14:textId="77777777" w:rsidR="00F631B1" w:rsidRPr="009A0DA6" w:rsidRDefault="00F631B1" w:rsidP="00565A2C">
      <w:pPr>
        <w:pStyle w:val="NoSpacing"/>
      </w:pPr>
      <w:r w:rsidRPr="009A0DA6">
        <w:t>District Bishops: Revs J Haak (NSW), D Altus (SA/NT); L Priebbenow and P Smith (Qld)</w:t>
      </w:r>
    </w:p>
    <w:p w14:paraId="3E44F6F8" w14:textId="61885E6D" w:rsidR="00F631B1" w:rsidRPr="009A0DA6" w:rsidRDefault="00F631B1" w:rsidP="00565A2C">
      <w:pPr>
        <w:pStyle w:val="NoSpacing"/>
      </w:pPr>
      <w:r w:rsidRPr="009A0DA6">
        <w:t>District Lay Representatives: Mr P Zweck (NSW), Mr M Zerner (SA/NT), Mr T Wiebusch (</w:t>
      </w:r>
      <w:r w:rsidR="00E72999">
        <w:t>Vic</w:t>
      </w:r>
      <w:r w:rsidRPr="009A0DA6">
        <w:t>/</w:t>
      </w:r>
      <w:r w:rsidR="00E72999">
        <w:t>Tas</w:t>
      </w:r>
      <w:r w:rsidRPr="009A0DA6">
        <w:t>), Mr M Stolz (Qld), Mr V Hopfmueller (WA), Ms J Hobden (NZ)</w:t>
      </w:r>
    </w:p>
    <w:p w14:paraId="76C36AEC" w14:textId="77777777" w:rsidR="00F631B1" w:rsidRPr="009A0DA6" w:rsidRDefault="00F631B1" w:rsidP="00565A2C">
      <w:pPr>
        <w:pStyle w:val="NoSpacing"/>
      </w:pPr>
      <w:r w:rsidRPr="009A0DA6">
        <w:t>Members at large: Ms F Schmidt, Rev G Priebbenow</w:t>
      </w:r>
    </w:p>
    <w:p w14:paraId="41E9CFFA" w14:textId="77777777" w:rsidR="00F631B1" w:rsidRPr="009A0DA6" w:rsidRDefault="00F631B1" w:rsidP="00565A2C">
      <w:pPr>
        <w:pStyle w:val="NoSpacing"/>
      </w:pPr>
      <w:r w:rsidRPr="009A0DA6">
        <w:t>Consultant (Secretary of the Church): Rev N Otto</w:t>
      </w:r>
    </w:p>
    <w:p w14:paraId="41DC878E" w14:textId="77777777" w:rsidR="00F631B1" w:rsidRPr="009A0DA6" w:rsidRDefault="00F631B1" w:rsidP="00565A2C">
      <w:pPr>
        <w:pStyle w:val="NoSpacing"/>
      </w:pPr>
      <w:r w:rsidRPr="009A0DA6">
        <w:t>Consultant (Executive Officer of the Church): Mr P Schirmer</w:t>
      </w:r>
    </w:p>
    <w:p w14:paraId="44493557" w14:textId="77777777" w:rsidR="00F631B1" w:rsidRPr="009A0DA6" w:rsidRDefault="00F631B1" w:rsidP="00565A2C">
      <w:pPr>
        <w:pStyle w:val="NoSpacing"/>
      </w:pPr>
      <w:r w:rsidRPr="009A0DA6">
        <w:t>Consultant (Executive Officer, Local Mission): Dr T Nelson</w:t>
      </w:r>
    </w:p>
    <w:p w14:paraId="479033E1" w14:textId="5A0C69D7" w:rsidR="00F631B1" w:rsidRDefault="00F631B1" w:rsidP="00565A2C">
      <w:pPr>
        <w:pStyle w:val="NoSpacing"/>
      </w:pPr>
      <w:r w:rsidRPr="009A0DA6">
        <w:t>Consultant (Business Manager</w:t>
      </w:r>
      <w:r w:rsidR="0047649D">
        <w:t>): Mrs D Venz</w:t>
      </w:r>
    </w:p>
    <w:p w14:paraId="29453047" w14:textId="7E4436EA" w:rsidR="0047649D" w:rsidRPr="009A0DA6" w:rsidRDefault="0047649D" w:rsidP="00565A2C">
      <w:pPr>
        <w:pStyle w:val="NoSpacing"/>
      </w:pPr>
      <w:r>
        <w:t>Minute Secretary: Jayne Welke</w:t>
      </w:r>
    </w:p>
    <w:p w14:paraId="02232073" w14:textId="4DB2E5B5" w:rsidR="00F631B1" w:rsidRPr="009A0DA6" w:rsidRDefault="00F631B1" w:rsidP="00F631B1">
      <w:pPr>
        <w:pStyle w:val="NoSpacing"/>
        <w:spacing w:after="120"/>
      </w:pPr>
      <w:r w:rsidRPr="009A0DA6">
        <w:rPr>
          <w:b/>
        </w:rPr>
        <w:t>Attendance from October 2015 (including teleconferences)</w:t>
      </w:r>
      <w:r w:rsidRPr="009A0DA6">
        <w:rPr>
          <w:b/>
        </w:rPr>
        <w:br/>
      </w:r>
      <w:r w:rsidRPr="009A0DA6">
        <w:t>Attendances vary depending on being a current/outgoing member or consultant of the Council during the synodical term.</w:t>
      </w:r>
    </w:p>
    <w:p w14:paraId="18A089DC" w14:textId="77777777" w:rsidR="00F631B1" w:rsidRPr="009A0DA6" w:rsidRDefault="00F631B1" w:rsidP="00565A2C">
      <w:pPr>
        <w:pStyle w:val="NoSpacing"/>
        <w:rPr>
          <w:b/>
        </w:rPr>
      </w:pPr>
      <w:r w:rsidRPr="009A0DA6">
        <w:rPr>
          <w:b/>
        </w:rPr>
        <w:t>Members</w:t>
      </w:r>
    </w:p>
    <w:p w14:paraId="61D58B99" w14:textId="6CC28AB1" w:rsidR="00F631B1" w:rsidRDefault="00F631B1" w:rsidP="00565A2C">
      <w:pPr>
        <w:pStyle w:val="NoSpacing"/>
      </w:pPr>
      <w:r w:rsidRPr="009A0DA6">
        <w:t xml:space="preserve">Bishop John Henderson (30 meetings/35), Rev G Pietsch (8), Rev Dr A Pfeiffer (32), </w:t>
      </w:r>
      <w:r w:rsidRPr="009A0DA6">
        <w:br/>
        <w:t xml:space="preserve">Rev M Lieschke (20), Rev J Haak (8), Rev David Altus (28), Rev P Smith (34), Rev Lester Priebbenow (15), Rev G Priebbenow (28), Mr D Menzel (6), Mr P Zweck (24) Mr M Zerner (35), Mr T Wiebusch (30), Mr M Stolz (25), Ms F Schmidt (34), Ms J Hobden (32), </w:t>
      </w:r>
      <w:r w:rsidRPr="009A0DA6">
        <w:br/>
        <w:t>Mr V Hopfmueller (28).</w:t>
      </w:r>
    </w:p>
    <w:p w14:paraId="7E4F9578" w14:textId="77777777" w:rsidR="00565A2C" w:rsidRPr="009A0DA6" w:rsidRDefault="00565A2C" w:rsidP="00565A2C">
      <w:pPr>
        <w:pStyle w:val="NoSpacing"/>
      </w:pPr>
    </w:p>
    <w:p w14:paraId="585952C8" w14:textId="77777777" w:rsidR="00F631B1" w:rsidRPr="009A0DA6" w:rsidRDefault="00F631B1" w:rsidP="00565A2C">
      <w:pPr>
        <w:pStyle w:val="NoSpacing"/>
        <w:rPr>
          <w:b/>
        </w:rPr>
      </w:pPr>
      <w:r w:rsidRPr="009A0DA6">
        <w:rPr>
          <w:b/>
        </w:rPr>
        <w:t>Consultants</w:t>
      </w:r>
    </w:p>
    <w:p w14:paraId="75C9B991" w14:textId="77777777" w:rsidR="00F631B1" w:rsidRPr="009A0DA6" w:rsidRDefault="00F631B1" w:rsidP="00F631B1">
      <w:pPr>
        <w:pStyle w:val="NoSpacing"/>
        <w:spacing w:after="120"/>
      </w:pPr>
      <w:r w:rsidRPr="009A0DA6">
        <w:t>Rev N Otto (28), Mr P Schirmer (34), Dr T Nelson (16), Mrs D Venz (34).</w:t>
      </w:r>
    </w:p>
    <w:p w14:paraId="56E0D3A1" w14:textId="77777777" w:rsidR="00F631B1" w:rsidRPr="009A0DA6" w:rsidRDefault="00F631B1" w:rsidP="00F631B1">
      <w:pPr>
        <w:pStyle w:val="NoSpacing"/>
        <w:spacing w:after="120"/>
        <w:rPr>
          <w:sz w:val="10"/>
          <w:szCs w:val="4"/>
          <w:lang w:val="en-US"/>
        </w:rPr>
      </w:pPr>
      <w:r w:rsidRPr="009A0DA6">
        <w:t>We note with regret that Ms Jill Hobden, Rev Greg Priebbenow, Mr Michael Stolz and Mr Volker Hopfmueller have not re-nominated to serve on the Council in the next synodical term. GCC acknowledges with deep appreciation their service on the Council and wishes them God’s blessings for the future.</w:t>
      </w:r>
      <w:r w:rsidRPr="009A0DA6">
        <w:br/>
      </w:r>
    </w:p>
    <w:p w14:paraId="0A23AD52" w14:textId="77777777" w:rsidR="00F631B1" w:rsidRPr="009A0DA6" w:rsidRDefault="00F631B1" w:rsidP="00F631B1">
      <w:pPr>
        <w:pStyle w:val="Heading3"/>
      </w:pPr>
      <w:r w:rsidRPr="009A0DA6">
        <w:lastRenderedPageBreak/>
        <w:t>ACTION ON RESOLUTIONS AND PROPOSALS REFERRED TO GCC FROM CONVENTION 2015</w:t>
      </w:r>
    </w:p>
    <w:p w14:paraId="15BCD080" w14:textId="77777777" w:rsidR="00F631B1" w:rsidRPr="009A0DA6" w:rsidRDefault="00F631B1" w:rsidP="00F631B1">
      <w:pPr>
        <w:pStyle w:val="NoSpacing"/>
        <w:spacing w:after="120"/>
        <w:rPr>
          <w:b/>
        </w:rPr>
      </w:pPr>
      <w:r w:rsidRPr="009A0DA6">
        <w:t>The following table provides a summary of the action taken in regard to most of the substantive resolutions (in terms of time and resource requirements allocated to them over the past three years) adopted at the 2015 Convention of Synod.</w:t>
      </w:r>
    </w:p>
    <w:tbl>
      <w:tblPr>
        <w:tblStyle w:val="PlainTable2"/>
        <w:tblW w:w="0" w:type="auto"/>
        <w:tblLook w:val="04A0" w:firstRow="1" w:lastRow="0" w:firstColumn="1" w:lastColumn="0" w:noHBand="0" w:noVBand="1"/>
      </w:tblPr>
      <w:tblGrid>
        <w:gridCol w:w="2547"/>
        <w:gridCol w:w="6095"/>
      </w:tblGrid>
      <w:tr w:rsidR="00F631B1" w:rsidRPr="009A0DA6" w14:paraId="165A6B51" w14:textId="77777777" w:rsidTr="00180211">
        <w:trPr>
          <w:cnfStyle w:val="100000000000" w:firstRow="1" w:lastRow="0" w:firstColumn="0" w:lastColumn="0" w:oddVBand="0" w:evenVBand="0" w:oddHBand="0"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2547" w:type="dxa"/>
            <w:hideMark/>
          </w:tcPr>
          <w:p w14:paraId="07976A56" w14:textId="77777777" w:rsidR="00F631B1" w:rsidRPr="009A0DA6" w:rsidRDefault="00F631B1" w:rsidP="00180211">
            <w:pPr>
              <w:pStyle w:val="NoSpacing"/>
              <w:spacing w:after="120"/>
              <w:rPr>
                <w:lang w:val="en-US"/>
              </w:rPr>
            </w:pPr>
            <w:r w:rsidRPr="009A0DA6">
              <w:t>Resolutions for action</w:t>
            </w:r>
          </w:p>
        </w:tc>
        <w:tc>
          <w:tcPr>
            <w:tcW w:w="6095" w:type="dxa"/>
            <w:hideMark/>
          </w:tcPr>
          <w:p w14:paraId="56D722AF" w14:textId="77777777" w:rsidR="00F631B1" w:rsidRPr="009A0DA6" w:rsidRDefault="00F631B1" w:rsidP="00180211">
            <w:pPr>
              <w:pStyle w:val="NoSpacing"/>
              <w:spacing w:after="120"/>
              <w:cnfStyle w:val="100000000000" w:firstRow="1" w:lastRow="0" w:firstColumn="0" w:lastColumn="0" w:oddVBand="0" w:evenVBand="0" w:oddHBand="0" w:evenHBand="0" w:firstRowFirstColumn="0" w:firstRowLastColumn="0" w:lastRowFirstColumn="0" w:lastRowLastColumn="0"/>
            </w:pPr>
            <w:r w:rsidRPr="009A0DA6">
              <w:t>Action to date</w:t>
            </w:r>
          </w:p>
        </w:tc>
      </w:tr>
      <w:tr w:rsidR="00F631B1" w:rsidRPr="009A0DA6" w14:paraId="5AD5B9E7" w14:textId="77777777" w:rsidTr="001802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hideMark/>
          </w:tcPr>
          <w:p w14:paraId="25D3D0CD" w14:textId="162B2A6A" w:rsidR="00F631B1" w:rsidRPr="009A0DA6" w:rsidRDefault="004113A1" w:rsidP="00180211">
            <w:pPr>
              <w:pStyle w:val="NoSpacing"/>
              <w:spacing w:after="120"/>
              <w:rPr>
                <w:b w:val="0"/>
              </w:rPr>
            </w:pPr>
            <w:r>
              <w:t>2015:0</w:t>
            </w:r>
            <w:r w:rsidR="00F631B1" w:rsidRPr="009A0DA6">
              <w:t xml:space="preserve">203 </w:t>
            </w:r>
          </w:p>
          <w:p w14:paraId="49FE2229" w14:textId="77777777" w:rsidR="00F631B1" w:rsidRPr="009A0DA6" w:rsidRDefault="00F631B1" w:rsidP="00180211">
            <w:pPr>
              <w:pStyle w:val="NoSpacing"/>
              <w:spacing w:after="120"/>
            </w:pPr>
            <w:r w:rsidRPr="009A0DA6">
              <w:t>Standing Committee on Nominations</w:t>
            </w:r>
          </w:p>
        </w:tc>
        <w:tc>
          <w:tcPr>
            <w:tcW w:w="6095" w:type="dxa"/>
            <w:hideMark/>
          </w:tcPr>
          <w:p w14:paraId="357168FE" w14:textId="77777777" w:rsidR="00F631B1" w:rsidRPr="009A0DA6" w:rsidRDefault="00F631B1" w:rsidP="00180211">
            <w:pPr>
              <w:pStyle w:val="NoSpacing"/>
              <w:spacing w:after="120"/>
              <w:cnfStyle w:val="000000100000" w:firstRow="0" w:lastRow="0" w:firstColumn="0" w:lastColumn="0" w:oddVBand="0" w:evenVBand="0" w:oddHBand="1" w:evenHBand="0" w:firstRowFirstColumn="0" w:firstRowLastColumn="0" w:lastRowFirstColumn="0" w:lastRowLastColumn="0"/>
            </w:pPr>
            <w:r w:rsidRPr="009A0DA6">
              <w:t>The Standing Committee on Nominations was established in 2016 and has been operating according to the Terms of Reference approved at General Synod in 2015 (refer report of the Standing Committee on Nominations).</w:t>
            </w:r>
          </w:p>
        </w:tc>
      </w:tr>
      <w:tr w:rsidR="00F631B1" w:rsidRPr="009A0DA6" w14:paraId="7EEBE1BF" w14:textId="77777777" w:rsidTr="00180211">
        <w:tc>
          <w:tcPr>
            <w:cnfStyle w:val="001000000000" w:firstRow="0" w:lastRow="0" w:firstColumn="1" w:lastColumn="0" w:oddVBand="0" w:evenVBand="0" w:oddHBand="0" w:evenHBand="0" w:firstRowFirstColumn="0" w:firstRowLastColumn="0" w:lastRowFirstColumn="0" w:lastRowLastColumn="0"/>
            <w:tcW w:w="2547" w:type="dxa"/>
            <w:hideMark/>
          </w:tcPr>
          <w:p w14:paraId="5449C6C2" w14:textId="518CAE35" w:rsidR="00F631B1" w:rsidRPr="009A0DA6" w:rsidRDefault="004113A1" w:rsidP="00180211">
            <w:pPr>
              <w:pStyle w:val="NoSpacing"/>
              <w:spacing w:after="120"/>
            </w:pPr>
            <w:r>
              <w:t>2015:0</w:t>
            </w:r>
            <w:r w:rsidR="00F631B1" w:rsidRPr="009A0DA6">
              <w:t xml:space="preserve">205 </w:t>
            </w:r>
          </w:p>
          <w:p w14:paraId="2D5AD346" w14:textId="77777777" w:rsidR="00F631B1" w:rsidRPr="009A0DA6" w:rsidRDefault="00F631B1" w:rsidP="00180211">
            <w:pPr>
              <w:pStyle w:val="NoSpacing"/>
              <w:spacing w:after="120"/>
            </w:pPr>
            <w:r w:rsidRPr="009A0DA6">
              <w:t>Governing Bodies</w:t>
            </w:r>
          </w:p>
        </w:tc>
        <w:tc>
          <w:tcPr>
            <w:tcW w:w="6095" w:type="dxa"/>
            <w:hideMark/>
          </w:tcPr>
          <w:p w14:paraId="1067F342" w14:textId="111D0CE3" w:rsidR="00F631B1" w:rsidRPr="009A0DA6" w:rsidRDefault="00F631B1" w:rsidP="00180211">
            <w:pPr>
              <w:pStyle w:val="NoSpacing"/>
              <w:spacing w:after="120"/>
              <w:cnfStyle w:val="000000000000" w:firstRow="0" w:lastRow="0" w:firstColumn="0" w:lastColumn="0" w:oddVBand="0" w:evenVBand="0" w:oddHBand="0" w:evenHBand="0" w:firstRowFirstColumn="0" w:firstRowLastColumn="0" w:lastRowFirstColumn="0" w:lastRowLastColumn="0"/>
            </w:pPr>
            <w:r w:rsidRPr="009A0DA6">
              <w:t xml:space="preserve">Refer to GCC’s proposed motion regarding “Governing Bodies” contained </w:t>
            </w:r>
            <w:r w:rsidRPr="00C7268C">
              <w:t xml:space="preserve">at </w:t>
            </w:r>
            <w:r w:rsidR="00995084">
              <w:t>Agenda</w:t>
            </w:r>
            <w:r w:rsidR="00C7268C" w:rsidRPr="00C7268C">
              <w:t xml:space="preserve"> 2.2.1</w:t>
            </w:r>
            <w:r w:rsidRPr="00C7268C">
              <w:t xml:space="preserve"> in the</w:t>
            </w:r>
            <w:r w:rsidRPr="009A0DA6">
              <w:t xml:space="preserve"> Book of Reports.</w:t>
            </w:r>
          </w:p>
        </w:tc>
      </w:tr>
      <w:tr w:rsidR="00F631B1" w:rsidRPr="009A0DA6" w14:paraId="0E176F6C" w14:textId="77777777" w:rsidTr="001802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hideMark/>
          </w:tcPr>
          <w:p w14:paraId="3A40541F" w14:textId="3C26B8DA" w:rsidR="00F631B1" w:rsidRPr="009A0DA6" w:rsidRDefault="004113A1" w:rsidP="00180211">
            <w:pPr>
              <w:pStyle w:val="NoSpacing"/>
              <w:spacing w:after="120"/>
            </w:pPr>
            <w:r>
              <w:t>2015:0</w:t>
            </w:r>
            <w:r w:rsidR="00F631B1" w:rsidRPr="009A0DA6">
              <w:t xml:space="preserve">206 </w:t>
            </w:r>
          </w:p>
          <w:p w14:paraId="50E80D4A" w14:textId="77777777" w:rsidR="00F631B1" w:rsidRPr="009A0DA6" w:rsidRDefault="00F631B1" w:rsidP="00180211">
            <w:pPr>
              <w:pStyle w:val="NoSpacing"/>
              <w:spacing w:after="120"/>
            </w:pPr>
            <w:r w:rsidRPr="009A0DA6">
              <w:t>National Functions</w:t>
            </w:r>
          </w:p>
        </w:tc>
        <w:tc>
          <w:tcPr>
            <w:tcW w:w="6095" w:type="dxa"/>
            <w:hideMark/>
          </w:tcPr>
          <w:p w14:paraId="7152BC87" w14:textId="4111C9CF" w:rsidR="00F631B1" w:rsidRPr="009A0DA6" w:rsidRDefault="00F631B1" w:rsidP="00180211">
            <w:pPr>
              <w:pStyle w:val="NoSpacing"/>
              <w:spacing w:after="120"/>
              <w:cnfStyle w:val="000000100000" w:firstRow="0" w:lastRow="0" w:firstColumn="0" w:lastColumn="0" w:oddVBand="0" w:evenVBand="0" w:oddHBand="1" w:evenHBand="0" w:firstRowFirstColumn="0" w:firstRowLastColumn="0" w:lastRowFirstColumn="0" w:lastRowLastColumn="0"/>
            </w:pPr>
            <w:r w:rsidRPr="009A0DA6">
              <w:t xml:space="preserve">Refer to GCC’s </w:t>
            </w:r>
            <w:r w:rsidRPr="00C7268C">
              <w:t xml:space="preserve">proposed motion regarding “National Functions” contained at </w:t>
            </w:r>
            <w:r w:rsidR="00995084">
              <w:t>Agenda</w:t>
            </w:r>
            <w:r w:rsidRPr="00C7268C">
              <w:t xml:space="preserve"> </w:t>
            </w:r>
            <w:r w:rsidR="00C7268C" w:rsidRPr="00C7268C">
              <w:t>2.2.2</w:t>
            </w:r>
            <w:r w:rsidRPr="00C7268C">
              <w:t xml:space="preserve"> in the Book of Reports.</w:t>
            </w:r>
          </w:p>
        </w:tc>
      </w:tr>
      <w:tr w:rsidR="00F631B1" w:rsidRPr="009A0DA6" w14:paraId="4FD4DB11" w14:textId="77777777" w:rsidTr="00180211">
        <w:tc>
          <w:tcPr>
            <w:cnfStyle w:val="001000000000" w:firstRow="0" w:lastRow="0" w:firstColumn="1" w:lastColumn="0" w:oddVBand="0" w:evenVBand="0" w:oddHBand="0" w:evenHBand="0" w:firstRowFirstColumn="0" w:firstRowLastColumn="0" w:lastRowFirstColumn="0" w:lastRowLastColumn="0"/>
            <w:tcW w:w="2547" w:type="dxa"/>
            <w:hideMark/>
          </w:tcPr>
          <w:p w14:paraId="341A36C3" w14:textId="51A5B5B2" w:rsidR="00F631B1" w:rsidRPr="009A0DA6" w:rsidRDefault="004113A1" w:rsidP="00180211">
            <w:pPr>
              <w:pStyle w:val="NoSpacing"/>
              <w:spacing w:after="120"/>
            </w:pPr>
            <w:r>
              <w:t>2015:0</w:t>
            </w:r>
            <w:r w:rsidR="00F631B1" w:rsidRPr="009A0DA6">
              <w:t xml:space="preserve">207 </w:t>
            </w:r>
          </w:p>
          <w:p w14:paraId="6CB396FA" w14:textId="77777777" w:rsidR="00F631B1" w:rsidRPr="009A0DA6" w:rsidRDefault="00F631B1" w:rsidP="00180211">
            <w:pPr>
              <w:pStyle w:val="NoSpacing"/>
              <w:spacing w:after="120"/>
            </w:pPr>
            <w:r w:rsidRPr="009A0DA6">
              <w:t>Child Protection</w:t>
            </w:r>
          </w:p>
        </w:tc>
        <w:tc>
          <w:tcPr>
            <w:tcW w:w="6095" w:type="dxa"/>
            <w:hideMark/>
          </w:tcPr>
          <w:p w14:paraId="40B3E13E" w14:textId="77777777" w:rsidR="00F631B1" w:rsidRPr="009A0DA6" w:rsidRDefault="00F631B1" w:rsidP="00180211">
            <w:pPr>
              <w:pStyle w:val="NoSpacing"/>
              <w:spacing w:after="120"/>
              <w:cnfStyle w:val="000000000000" w:firstRow="0" w:lastRow="0" w:firstColumn="0" w:lastColumn="0" w:oddVBand="0" w:evenVBand="0" w:oddHBand="0" w:evenHBand="0" w:firstRowFirstColumn="0" w:firstRowLastColumn="0" w:lastRowFirstColumn="0" w:lastRowLastColumn="0"/>
            </w:pPr>
            <w:r w:rsidRPr="009A0DA6">
              <w:t>General Church Council has continued to commit resources to the development of effective procedures, and education and training programs to ensure that children are valued, respected, listened to and kept safe from harm.</w:t>
            </w:r>
          </w:p>
        </w:tc>
      </w:tr>
      <w:tr w:rsidR="00F631B1" w:rsidRPr="009A0DA6" w14:paraId="59260BA0" w14:textId="77777777" w:rsidTr="001802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hideMark/>
          </w:tcPr>
          <w:p w14:paraId="33E50952" w14:textId="53414FDA" w:rsidR="00F631B1" w:rsidRPr="009A0DA6" w:rsidRDefault="004113A1" w:rsidP="00180211">
            <w:pPr>
              <w:pStyle w:val="NoSpacing"/>
              <w:spacing w:after="120"/>
            </w:pPr>
            <w:r>
              <w:t>2015:0</w:t>
            </w:r>
            <w:r w:rsidR="00F631B1" w:rsidRPr="009A0DA6">
              <w:t xml:space="preserve">208 </w:t>
            </w:r>
          </w:p>
          <w:p w14:paraId="74A36913" w14:textId="77777777" w:rsidR="00F631B1" w:rsidRPr="009A0DA6" w:rsidRDefault="00F631B1" w:rsidP="00180211">
            <w:pPr>
              <w:pStyle w:val="NoSpacing"/>
              <w:spacing w:after="120"/>
            </w:pPr>
            <w:r w:rsidRPr="009A0DA6">
              <w:t>Prevention of Domestic Violence campaign</w:t>
            </w:r>
          </w:p>
        </w:tc>
        <w:tc>
          <w:tcPr>
            <w:tcW w:w="6095" w:type="dxa"/>
            <w:hideMark/>
          </w:tcPr>
          <w:p w14:paraId="3C02F962" w14:textId="6CFBD515" w:rsidR="00F631B1" w:rsidRPr="009A0DA6" w:rsidRDefault="00F631B1" w:rsidP="00180211">
            <w:pPr>
              <w:pStyle w:val="NoSpacing"/>
              <w:spacing w:after="120"/>
              <w:cnfStyle w:val="000000100000" w:firstRow="0" w:lastRow="0" w:firstColumn="0" w:lastColumn="0" w:oddVBand="0" w:evenVBand="0" w:oddHBand="1" w:evenHBand="0" w:firstRowFirstColumn="0" w:firstRowLastColumn="0" w:lastRowFirstColumn="0" w:lastRowLastColumn="0"/>
            </w:pPr>
            <w:r w:rsidRPr="009A0DA6">
              <w:t>As requested by the 2015 Convention of Synod, the General Church Council committed resources to a campaign, including the appointment of a campaign coordinator supported by a working g</w:t>
            </w:r>
            <w:r w:rsidR="006868B2">
              <w:t>roup (refer Agenda 2.1.2, p84).</w:t>
            </w:r>
          </w:p>
        </w:tc>
      </w:tr>
      <w:tr w:rsidR="00F631B1" w:rsidRPr="009A0DA6" w14:paraId="5EEC90E5" w14:textId="77777777" w:rsidTr="00180211">
        <w:tc>
          <w:tcPr>
            <w:cnfStyle w:val="001000000000" w:firstRow="0" w:lastRow="0" w:firstColumn="1" w:lastColumn="0" w:oddVBand="0" w:evenVBand="0" w:oddHBand="0" w:evenHBand="0" w:firstRowFirstColumn="0" w:firstRowLastColumn="0" w:lastRowFirstColumn="0" w:lastRowLastColumn="0"/>
            <w:tcW w:w="2547" w:type="dxa"/>
            <w:hideMark/>
          </w:tcPr>
          <w:p w14:paraId="2398EFF7" w14:textId="46567BC1" w:rsidR="00F631B1" w:rsidRPr="00C7268C" w:rsidRDefault="004113A1" w:rsidP="00180211">
            <w:pPr>
              <w:pStyle w:val="NoSpacing"/>
              <w:spacing w:after="120"/>
            </w:pPr>
            <w:r>
              <w:t>2015:0</w:t>
            </w:r>
            <w:r w:rsidR="00F631B1" w:rsidRPr="00C7268C">
              <w:t xml:space="preserve">209 </w:t>
            </w:r>
          </w:p>
          <w:p w14:paraId="3D3A8D5B" w14:textId="77777777" w:rsidR="00F631B1" w:rsidRPr="00C7268C" w:rsidRDefault="00F631B1" w:rsidP="00180211">
            <w:pPr>
              <w:pStyle w:val="NoSpacing"/>
              <w:spacing w:after="120"/>
            </w:pPr>
            <w:r w:rsidRPr="00C7268C">
              <w:t>CTICR: understanding theological issues and implications for family violence</w:t>
            </w:r>
          </w:p>
        </w:tc>
        <w:tc>
          <w:tcPr>
            <w:tcW w:w="6095" w:type="dxa"/>
            <w:hideMark/>
          </w:tcPr>
          <w:p w14:paraId="0A4D9F7F" w14:textId="2A96FAC6" w:rsidR="00F631B1" w:rsidRPr="00C7268C" w:rsidRDefault="00F631B1" w:rsidP="00180211">
            <w:pPr>
              <w:pStyle w:val="NoSpacing"/>
              <w:spacing w:after="120"/>
              <w:cnfStyle w:val="000000000000" w:firstRow="0" w:lastRow="0" w:firstColumn="0" w:lastColumn="0" w:oddVBand="0" w:evenVBand="0" w:oddHBand="0" w:evenHBand="0" w:firstRowFirstColumn="0" w:firstRowLastColumn="0" w:lastRowFirstColumn="0" w:lastRowLastColumn="0"/>
            </w:pPr>
            <w:r w:rsidRPr="00C7268C">
              <w:t xml:space="preserve">The 2015 General Convention of Synod requested CTICR to study the Lutheran theological and spiritual understanding of subordination and the role of male headship in marriage and the contextual implications for family violence. A report of this study is presented to this General Convention of Synod </w:t>
            </w:r>
            <w:r w:rsidR="00C7268C" w:rsidRPr="00C7268C">
              <w:t xml:space="preserve">(refer to CTICR report, </w:t>
            </w:r>
            <w:r w:rsidR="00995084">
              <w:t>Agenda</w:t>
            </w:r>
            <w:r w:rsidR="00C7268C" w:rsidRPr="00C7268C">
              <w:t xml:space="preserve"> 6.4</w:t>
            </w:r>
            <w:r w:rsidRPr="00C7268C">
              <w:t>).</w:t>
            </w:r>
          </w:p>
        </w:tc>
      </w:tr>
      <w:tr w:rsidR="00F631B1" w:rsidRPr="009A0DA6" w14:paraId="71C61DE8" w14:textId="77777777" w:rsidTr="001802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hideMark/>
          </w:tcPr>
          <w:p w14:paraId="347F7F27" w14:textId="1C765D91" w:rsidR="00F631B1" w:rsidRPr="009A0DA6" w:rsidRDefault="004113A1" w:rsidP="00180211">
            <w:pPr>
              <w:pStyle w:val="NoSpacing"/>
              <w:spacing w:after="120"/>
            </w:pPr>
            <w:r>
              <w:rPr>
                <w:b w:val="0"/>
                <w:bCs w:val="0"/>
              </w:rPr>
              <w:br w:type="page"/>
            </w:r>
            <w:r>
              <w:t>2015:0</w:t>
            </w:r>
            <w:r w:rsidR="00F631B1" w:rsidRPr="009A0DA6">
              <w:t xml:space="preserve">216 </w:t>
            </w:r>
          </w:p>
          <w:p w14:paraId="1A3DCC78" w14:textId="77777777" w:rsidR="00F631B1" w:rsidRPr="009A0DA6" w:rsidRDefault="00F631B1" w:rsidP="00180211">
            <w:pPr>
              <w:pStyle w:val="NoSpacing"/>
              <w:spacing w:after="120"/>
            </w:pPr>
            <w:r w:rsidRPr="009A0DA6">
              <w:t>Ordination of Men and Women: Doctrinal Statement</w:t>
            </w:r>
          </w:p>
        </w:tc>
        <w:tc>
          <w:tcPr>
            <w:tcW w:w="6095" w:type="dxa"/>
            <w:hideMark/>
          </w:tcPr>
          <w:p w14:paraId="4FD9CE24" w14:textId="356E7E23" w:rsidR="00F631B1" w:rsidRPr="007817B7" w:rsidRDefault="00F631B1" w:rsidP="00180211">
            <w:pPr>
              <w:pStyle w:val="NoSpacing"/>
              <w:spacing w:after="120"/>
              <w:cnfStyle w:val="000000100000" w:firstRow="0" w:lastRow="0" w:firstColumn="0" w:lastColumn="0" w:oddVBand="0" w:evenVBand="0" w:oddHBand="1" w:evenHBand="0" w:firstRowFirstColumn="0" w:firstRowLastColumn="0" w:lastRowFirstColumn="0" w:lastRowLastColumn="0"/>
            </w:pPr>
            <w:r w:rsidRPr="007817B7">
              <w:t xml:space="preserve">The CTICR, supported by resources allocated by GCC, has developed a draft doctrinal statement that presents a theological basis for ordination of women and men; and why this need not be church divisive. The CTICR’s work was released in April 2018, and is included in the Book of Reports (refer </w:t>
            </w:r>
            <w:r w:rsidR="00995084" w:rsidRPr="007817B7">
              <w:t>Agenda</w:t>
            </w:r>
            <w:r w:rsidR="00C7268C" w:rsidRPr="007817B7">
              <w:t>s 6.2 and 6.3</w:t>
            </w:r>
            <w:r w:rsidRPr="007817B7">
              <w:t>).</w:t>
            </w:r>
          </w:p>
        </w:tc>
      </w:tr>
      <w:tr w:rsidR="00F631B1" w:rsidRPr="009A0DA6" w14:paraId="4847B79D" w14:textId="77777777" w:rsidTr="00180211">
        <w:tc>
          <w:tcPr>
            <w:cnfStyle w:val="001000000000" w:firstRow="0" w:lastRow="0" w:firstColumn="1" w:lastColumn="0" w:oddVBand="0" w:evenVBand="0" w:oddHBand="0" w:evenHBand="0" w:firstRowFirstColumn="0" w:firstRowLastColumn="0" w:lastRowFirstColumn="0" w:lastRowLastColumn="0"/>
            <w:tcW w:w="2547" w:type="dxa"/>
            <w:hideMark/>
          </w:tcPr>
          <w:p w14:paraId="58763D86" w14:textId="16ED81DD" w:rsidR="00F631B1" w:rsidRPr="009A0DA6" w:rsidRDefault="004113A1" w:rsidP="00180211">
            <w:pPr>
              <w:pStyle w:val="NoSpacing"/>
              <w:spacing w:after="120"/>
            </w:pPr>
            <w:r>
              <w:t>2015:0</w:t>
            </w:r>
            <w:r w:rsidR="00F631B1" w:rsidRPr="009A0DA6">
              <w:t xml:space="preserve">218 </w:t>
            </w:r>
          </w:p>
          <w:p w14:paraId="4B231B6A" w14:textId="77777777" w:rsidR="00F631B1" w:rsidRPr="009A0DA6" w:rsidRDefault="00F631B1" w:rsidP="00180211">
            <w:pPr>
              <w:pStyle w:val="NoSpacing"/>
              <w:spacing w:after="120"/>
            </w:pPr>
            <w:r w:rsidRPr="009A0DA6">
              <w:t>One Loving God: Two Hands materials</w:t>
            </w:r>
          </w:p>
        </w:tc>
        <w:tc>
          <w:tcPr>
            <w:tcW w:w="6095" w:type="dxa"/>
            <w:hideMark/>
          </w:tcPr>
          <w:p w14:paraId="1CDF9444" w14:textId="77777777" w:rsidR="00F631B1" w:rsidRPr="009A0DA6" w:rsidRDefault="00F631B1" w:rsidP="00180211">
            <w:pPr>
              <w:pStyle w:val="NoSpacing"/>
              <w:spacing w:after="120"/>
              <w:cnfStyle w:val="000000000000" w:firstRow="0" w:lastRow="0" w:firstColumn="0" w:lastColumn="0" w:oddVBand="0" w:evenVBand="0" w:oddHBand="0" w:evenHBand="0" w:firstRowFirstColumn="0" w:firstRowLastColumn="0" w:lastRowFirstColumn="0" w:lastRowLastColumn="0"/>
            </w:pPr>
            <w:r w:rsidRPr="009A0DA6">
              <w:t>The General Convention of Synod invited Lutheran Community Care SA/NT to revisit the document: “One Loving God: Two Hands – sharing and caring in the light of our current culture”. GCC provided resources for LCC SA/NT, in partnership with the LCA’s Committee for Ministry with the Ageing, to undertake a project to review and revise the document, and prepare studies and related materials for distribution and utilisation across the church. The project is expected to be completed at the end of 2018.</w:t>
            </w:r>
          </w:p>
        </w:tc>
      </w:tr>
    </w:tbl>
    <w:p w14:paraId="45624294" w14:textId="79EDAD67" w:rsidR="00CF1FE7" w:rsidRDefault="00CF1FE7"/>
    <w:p w14:paraId="2E22373D" w14:textId="777FD12E" w:rsidR="00CF1FE7" w:rsidRDefault="00CF1FE7"/>
    <w:p w14:paraId="7D88CF10" w14:textId="77777777" w:rsidR="00CF1FE7" w:rsidRDefault="00CF1FE7"/>
    <w:tbl>
      <w:tblPr>
        <w:tblStyle w:val="PlainTable2"/>
        <w:tblW w:w="0" w:type="auto"/>
        <w:tblLook w:val="04A0" w:firstRow="1" w:lastRow="0" w:firstColumn="1" w:lastColumn="0" w:noHBand="0" w:noVBand="1"/>
      </w:tblPr>
      <w:tblGrid>
        <w:gridCol w:w="2547"/>
        <w:gridCol w:w="6095"/>
      </w:tblGrid>
      <w:tr w:rsidR="00F631B1" w:rsidRPr="009A0DA6" w14:paraId="39AC8345" w14:textId="77777777" w:rsidTr="001802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hideMark/>
          </w:tcPr>
          <w:p w14:paraId="025BE3BF" w14:textId="5ECE890C" w:rsidR="00F631B1" w:rsidRPr="009A0DA6" w:rsidRDefault="004113A1" w:rsidP="00180211">
            <w:pPr>
              <w:pStyle w:val="NoSpacing"/>
              <w:spacing w:after="120"/>
            </w:pPr>
            <w:r>
              <w:lastRenderedPageBreak/>
              <w:t>2015:0</w:t>
            </w:r>
            <w:r w:rsidR="00F631B1" w:rsidRPr="009A0DA6">
              <w:t xml:space="preserve">219 </w:t>
            </w:r>
          </w:p>
          <w:p w14:paraId="1A3CC478" w14:textId="77777777" w:rsidR="00F631B1" w:rsidRPr="009A0DA6" w:rsidRDefault="00F631B1" w:rsidP="00180211">
            <w:pPr>
              <w:pStyle w:val="NoSpacing"/>
              <w:spacing w:after="120"/>
            </w:pPr>
            <w:r w:rsidRPr="009A0DA6">
              <w:t>ALC Pastoral training</w:t>
            </w:r>
          </w:p>
        </w:tc>
        <w:tc>
          <w:tcPr>
            <w:tcW w:w="6095" w:type="dxa"/>
            <w:hideMark/>
          </w:tcPr>
          <w:p w14:paraId="2849FE46" w14:textId="32D0E7F4" w:rsidR="00F631B1" w:rsidRPr="007817B7" w:rsidRDefault="00F631B1" w:rsidP="00510CA5">
            <w:pPr>
              <w:pStyle w:val="NoSpacing"/>
              <w:spacing w:after="120"/>
              <w:cnfStyle w:val="100000000000" w:firstRow="1" w:lastRow="0" w:firstColumn="0" w:lastColumn="0" w:oddVBand="0" w:evenVBand="0" w:oddHBand="0" w:evenHBand="0" w:firstRowFirstColumn="0" w:firstRowLastColumn="0" w:lastRowFirstColumn="0" w:lastRowLastColumn="0"/>
              <w:rPr>
                <w:b w:val="0"/>
              </w:rPr>
            </w:pPr>
            <w:r w:rsidRPr="007817B7">
              <w:rPr>
                <w:b w:val="0"/>
              </w:rPr>
              <w:t xml:space="preserve">General Convention supported an examination of the creation and development of an additional ministry position that does not require completion of the full ALC course for the person to be able to write and deliver sermons and to administer the Sacraments outside those envisaged by the Specific Ministry Pastor Policy. Refer CoB report </w:t>
            </w:r>
            <w:r w:rsidR="00510CA5">
              <w:rPr>
                <w:b w:val="0"/>
              </w:rPr>
              <w:t xml:space="preserve">(p39) </w:t>
            </w:r>
            <w:r w:rsidRPr="007817B7">
              <w:rPr>
                <w:b w:val="0"/>
              </w:rPr>
              <w:t>for information about progress in t</w:t>
            </w:r>
            <w:r w:rsidR="00431A4D">
              <w:rPr>
                <w:b w:val="0"/>
              </w:rPr>
              <w:t>he exploration of this proposal</w:t>
            </w:r>
            <w:r w:rsidR="00510CA5">
              <w:rPr>
                <w:b w:val="0"/>
              </w:rPr>
              <w:t>.</w:t>
            </w:r>
          </w:p>
        </w:tc>
      </w:tr>
      <w:tr w:rsidR="00F631B1" w:rsidRPr="009A0DA6" w14:paraId="70A389FC" w14:textId="77777777" w:rsidTr="001802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hideMark/>
          </w:tcPr>
          <w:p w14:paraId="2A34BE9E" w14:textId="3ECC5007" w:rsidR="00F631B1" w:rsidRPr="009A0DA6" w:rsidRDefault="004113A1" w:rsidP="00180211">
            <w:pPr>
              <w:pStyle w:val="NoSpacing"/>
              <w:spacing w:after="120"/>
            </w:pPr>
            <w:r>
              <w:t>2015:0</w:t>
            </w:r>
            <w:r w:rsidR="00F631B1" w:rsidRPr="009A0DA6">
              <w:t xml:space="preserve">220 </w:t>
            </w:r>
          </w:p>
          <w:p w14:paraId="448170FD" w14:textId="77777777" w:rsidR="00F631B1" w:rsidRPr="009A0DA6" w:rsidRDefault="00F631B1" w:rsidP="00180211">
            <w:pPr>
              <w:pStyle w:val="NoSpacing"/>
              <w:spacing w:after="120"/>
            </w:pPr>
            <w:r w:rsidRPr="009A0DA6">
              <w:t>Review of Call System</w:t>
            </w:r>
          </w:p>
        </w:tc>
        <w:tc>
          <w:tcPr>
            <w:tcW w:w="6095" w:type="dxa"/>
            <w:hideMark/>
          </w:tcPr>
          <w:p w14:paraId="34D87F97" w14:textId="1E8F50B5" w:rsidR="00F631B1" w:rsidRPr="009A0DA6" w:rsidRDefault="00F631B1" w:rsidP="00180211">
            <w:pPr>
              <w:pStyle w:val="NoSpacing"/>
              <w:spacing w:after="120"/>
              <w:cnfStyle w:val="000000100000" w:firstRow="0" w:lastRow="0" w:firstColumn="0" w:lastColumn="0" w:oddVBand="0" w:evenVBand="0" w:oddHBand="1" w:evenHBand="0" w:firstRowFirstColumn="0" w:firstRowLastColumn="0" w:lastRowFirstColumn="0" w:lastRowLastColumn="0"/>
            </w:pPr>
            <w:r w:rsidRPr="009A0DA6">
              <w:t>General Convention requested a review of the Call system. The GCC commissioned ALC, through its Australian Lutheran Institute for Theology and Ethics (ALITE) to undertake the review, supported by a genero</w:t>
            </w:r>
            <w:r w:rsidR="00431A4D">
              <w:t>us grant from the NSW District (refer GCC Report Appendix I, p88).</w:t>
            </w:r>
          </w:p>
        </w:tc>
      </w:tr>
    </w:tbl>
    <w:p w14:paraId="4CF18959" w14:textId="77777777" w:rsidR="00F631B1" w:rsidRPr="00565A2C" w:rsidRDefault="00F631B1" w:rsidP="00F631B1">
      <w:pPr>
        <w:pStyle w:val="NoSpacing"/>
        <w:spacing w:after="120"/>
        <w:rPr>
          <w:b/>
          <w:sz w:val="12"/>
          <w:lang w:eastAsia="ja-JP"/>
        </w:rPr>
      </w:pPr>
    </w:p>
    <w:p w14:paraId="692EFE76" w14:textId="77777777" w:rsidR="00F631B1" w:rsidRPr="009A0DA6" w:rsidRDefault="00F631B1" w:rsidP="00F631B1">
      <w:pPr>
        <w:pStyle w:val="Heading3"/>
      </w:pPr>
      <w:r w:rsidRPr="009A0DA6">
        <w:t xml:space="preserve">GIVING THANKS FOR THOSE WHO HAVE SERVED </w:t>
      </w:r>
    </w:p>
    <w:p w14:paraId="4AE4DA9F" w14:textId="286C25CC" w:rsidR="00F631B1" w:rsidRPr="009A0DA6" w:rsidRDefault="00F631B1" w:rsidP="00F631B1">
      <w:pPr>
        <w:pStyle w:val="NoSpacing"/>
        <w:spacing w:after="120"/>
      </w:pPr>
      <w:r w:rsidRPr="009A0DA6">
        <w:t xml:space="preserve">In July 2016, the Manager of the Professional Standards Department, </w:t>
      </w:r>
      <w:r w:rsidR="004113A1">
        <w:rPr>
          <w:b/>
        </w:rPr>
        <w:t xml:space="preserve">Ms </w:t>
      </w:r>
      <w:r w:rsidRPr="009A0DA6">
        <w:rPr>
          <w:b/>
        </w:rPr>
        <w:t>Liz Crawford</w:t>
      </w:r>
      <w:r w:rsidRPr="009A0DA6">
        <w:t>, retired. She had served in that position since February 2011, and prior to that had been in a similar role in the Qld District.</w:t>
      </w:r>
    </w:p>
    <w:p w14:paraId="48A3D2DD" w14:textId="57EE3D43" w:rsidR="00F631B1" w:rsidRPr="009A0DA6" w:rsidRDefault="00F631B1" w:rsidP="00F631B1">
      <w:pPr>
        <w:pStyle w:val="NoSpacing"/>
        <w:spacing w:after="120"/>
      </w:pPr>
      <w:r w:rsidRPr="009A0DA6">
        <w:t xml:space="preserve">At the end of 2016, </w:t>
      </w:r>
      <w:r w:rsidR="004113A1">
        <w:rPr>
          <w:b/>
        </w:rPr>
        <w:t xml:space="preserve">Mr </w:t>
      </w:r>
      <w:r w:rsidRPr="009A0DA6">
        <w:rPr>
          <w:b/>
        </w:rPr>
        <w:t>Glenn Schultz</w:t>
      </w:r>
      <w:r w:rsidRPr="009A0DA6">
        <w:t xml:space="preserve"> retired after 36 years of service, including four years (2012–2016) as a Lay Worker Formation Officer in the Department for Lay Ministry. We give thanks to God for Glen’s service in providing support to lay workers and the congregations where they serve. </w:t>
      </w:r>
    </w:p>
    <w:p w14:paraId="4FDD3E9A" w14:textId="1FB70122" w:rsidR="00F631B1" w:rsidRPr="009A0DA6" w:rsidRDefault="00F631B1" w:rsidP="00F631B1">
      <w:pPr>
        <w:pStyle w:val="NoSpacing"/>
        <w:rPr>
          <w:lang w:val="en-US"/>
        </w:rPr>
      </w:pPr>
      <w:r w:rsidRPr="009A0DA6">
        <w:t xml:space="preserve">In early February 2018, </w:t>
      </w:r>
      <w:r w:rsidR="004113A1">
        <w:rPr>
          <w:b/>
        </w:rPr>
        <w:t xml:space="preserve">Mr </w:t>
      </w:r>
      <w:r w:rsidRPr="009A0DA6">
        <w:rPr>
          <w:b/>
          <w:bCs/>
        </w:rPr>
        <w:t>Chey Mattner</w:t>
      </w:r>
      <w:r w:rsidRPr="009A0DA6">
        <w:t xml:space="preserve"> resigned as Executive Secretary of Australian Lutheran World Service (ALWS) to take up the position of the Lutheran World Federation/Department for World Service’s Head of Operations based in Geneva. Chey served at ALWS from 2008, firstly as Program Manager and from 2013 as the Executive Secretary (having served as Acting Executive Secretary from mid-2012).</w:t>
      </w:r>
    </w:p>
    <w:p w14:paraId="75B77D5F" w14:textId="77777777" w:rsidR="00F631B1" w:rsidRPr="009A0DA6" w:rsidRDefault="00F631B1" w:rsidP="00F631B1">
      <w:pPr>
        <w:pStyle w:val="NoSpacing"/>
        <w:rPr>
          <w:sz w:val="14"/>
        </w:rPr>
      </w:pPr>
    </w:p>
    <w:p w14:paraId="1B51A724" w14:textId="3BCD63EA" w:rsidR="00F631B1" w:rsidRPr="009A0DA6" w:rsidRDefault="00F631B1" w:rsidP="00F631B1">
      <w:pPr>
        <w:pStyle w:val="NoSpacing"/>
        <w:spacing w:after="120"/>
      </w:pPr>
      <w:r w:rsidRPr="009A0DA6">
        <w:t xml:space="preserve">At the end of June 2018, </w:t>
      </w:r>
      <w:r w:rsidR="004113A1">
        <w:rPr>
          <w:b/>
        </w:rPr>
        <w:t xml:space="preserve">Mr </w:t>
      </w:r>
      <w:r w:rsidRPr="009A0DA6">
        <w:rPr>
          <w:b/>
        </w:rPr>
        <w:t>Stephen Hoffmann</w:t>
      </w:r>
      <w:r w:rsidRPr="009A0DA6">
        <w:t xml:space="preserve"> retired from the position of Finance Secretary for Missions. Stephen commenced his service in the LCA in 2008. Over the past ten years he has faithfully served International Mission, Finke River Mission and Lutheran Overseas Partner Churches (PNG).</w:t>
      </w:r>
    </w:p>
    <w:p w14:paraId="2685CCD9" w14:textId="03702E80" w:rsidR="00F631B1" w:rsidRPr="009A0DA6" w:rsidRDefault="00F631B1" w:rsidP="00F631B1">
      <w:pPr>
        <w:pStyle w:val="NoSpacing"/>
        <w:spacing w:after="120"/>
      </w:pPr>
      <w:r w:rsidRPr="009A0DA6">
        <w:t xml:space="preserve">In November 2018, </w:t>
      </w:r>
      <w:r w:rsidR="004113A1">
        <w:rPr>
          <w:b/>
        </w:rPr>
        <w:t xml:space="preserve">Mrs </w:t>
      </w:r>
      <w:r w:rsidRPr="009A0DA6">
        <w:rPr>
          <w:b/>
        </w:rPr>
        <w:t>Glenice Hartwich</w:t>
      </w:r>
      <w:r w:rsidRPr="009A0DA6">
        <w:t xml:space="preserve"> will retire from the position of Assistant to the Bishop – International Mission. She has faithfully served in this position since 2016, and a total of 12 years in International Mission. We give thanks to God for Glenice’s leadership of this important ministry and, her lifelong service to the church which began in PNG in 1973 as a deaconess.</w:t>
      </w:r>
    </w:p>
    <w:p w14:paraId="76106038" w14:textId="49E90014" w:rsidR="00F631B1" w:rsidRPr="009A0DA6" w:rsidRDefault="00F631B1" w:rsidP="00F631B1">
      <w:pPr>
        <w:pStyle w:val="NoSpacing"/>
        <w:spacing w:after="120"/>
      </w:pPr>
      <w:r w:rsidRPr="009A0DA6">
        <w:t xml:space="preserve">At the end of 2018, </w:t>
      </w:r>
      <w:r w:rsidR="004113A1">
        <w:rPr>
          <w:b/>
        </w:rPr>
        <w:t xml:space="preserve">Mr </w:t>
      </w:r>
      <w:r w:rsidRPr="009A0DA6">
        <w:rPr>
          <w:b/>
        </w:rPr>
        <w:t>Stephen Rudolph</w:t>
      </w:r>
      <w:r w:rsidRPr="009A0DA6">
        <w:t>, will retire from the position of Executive Director, Lutheran Education Australia. Stephen has served in this role since 2011 and before that has served as a principal or teacher in Lutheran schools for over 40 years.</w:t>
      </w:r>
    </w:p>
    <w:p w14:paraId="6D4837CE" w14:textId="77777777" w:rsidR="00F631B1" w:rsidRPr="00565A2C" w:rsidRDefault="00F631B1" w:rsidP="00F631B1">
      <w:pPr>
        <w:pStyle w:val="NoSpacing"/>
        <w:spacing w:after="120"/>
        <w:rPr>
          <w:sz w:val="6"/>
        </w:rPr>
      </w:pPr>
      <w:r w:rsidRPr="009A0DA6">
        <w:t xml:space="preserve">We are grateful for these servants of the church, and for other staff who have concluded their service during this synodical term. </w:t>
      </w:r>
      <w:r w:rsidRPr="009A0DA6">
        <w:br/>
      </w:r>
    </w:p>
    <w:p w14:paraId="0691D698" w14:textId="77777777" w:rsidR="00F631B1" w:rsidRPr="009A0DA6" w:rsidRDefault="00F631B1" w:rsidP="00F631B1">
      <w:pPr>
        <w:pStyle w:val="Heading3"/>
      </w:pPr>
      <w:r w:rsidRPr="009A0DA6">
        <w:t>NEW APPOINTMENTS TO CHURCHWIDE POSITIONS</w:t>
      </w:r>
    </w:p>
    <w:p w14:paraId="23E24955" w14:textId="77777777" w:rsidR="00F631B1" w:rsidRPr="009A0DA6" w:rsidRDefault="00F631B1" w:rsidP="00F631B1">
      <w:pPr>
        <w:pStyle w:val="NoSpacing"/>
        <w:spacing w:after="120"/>
      </w:pPr>
      <w:r w:rsidRPr="009A0DA6">
        <w:rPr>
          <w:b/>
        </w:rPr>
        <w:t>Dr Tania Nelson</w:t>
      </w:r>
      <w:r w:rsidRPr="009A0DA6">
        <w:t xml:space="preserve"> was called to the position of Executive Officer, Local Mission in August 2016. Dr Nelson has brought a wealth of experience to the role including service as the Head of ALC’s School of Theological Studies, and prior to that in leadership positions in Lutheran schools.</w:t>
      </w:r>
    </w:p>
    <w:p w14:paraId="3B23F9A0" w14:textId="77777777" w:rsidR="00F631B1" w:rsidRPr="009A0DA6" w:rsidRDefault="00F631B1" w:rsidP="00F631B1">
      <w:pPr>
        <w:pStyle w:val="NoSpacing"/>
        <w:spacing w:after="120"/>
        <w:rPr>
          <w:lang w:val="en-US"/>
        </w:rPr>
      </w:pPr>
      <w:r w:rsidRPr="009A0DA6">
        <w:t xml:space="preserve">In February 2016, </w:t>
      </w:r>
      <w:r w:rsidRPr="009A0DA6">
        <w:rPr>
          <w:b/>
        </w:rPr>
        <w:t>Dr Christine Materne</w:t>
      </w:r>
      <w:r w:rsidRPr="009A0DA6">
        <w:t xml:space="preserve"> was appointed to the new position of Manager, Church Worker Support Department. Dr Materne came to the position from working for the SA Government in the Department for Communities and Social Inclusion.</w:t>
      </w:r>
    </w:p>
    <w:p w14:paraId="6E2C4E5B" w14:textId="77777777" w:rsidR="00F631B1" w:rsidRPr="009A0DA6" w:rsidRDefault="00F631B1" w:rsidP="00F631B1">
      <w:pPr>
        <w:pStyle w:val="NoSpacing"/>
        <w:spacing w:after="120"/>
      </w:pPr>
      <w:r w:rsidRPr="009A0DA6">
        <w:rPr>
          <w:b/>
        </w:rPr>
        <w:lastRenderedPageBreak/>
        <w:t>Mr Tim Ross</w:t>
      </w:r>
      <w:r w:rsidRPr="009A0DA6">
        <w:t>, commenced duties as the Manager, Professional Standards Department, in June 2016, replacing the retiring Liz Crawford. He came to the LCA from his previous role as a senior case manager in the Financial Ombudsman Service Australia.</w:t>
      </w:r>
      <w:r w:rsidRPr="009A0DA6">
        <w:tab/>
      </w:r>
    </w:p>
    <w:p w14:paraId="34C6F418" w14:textId="3D29BEF7" w:rsidR="00F631B1" w:rsidRPr="009A0DA6" w:rsidRDefault="00F631B1" w:rsidP="00F631B1">
      <w:pPr>
        <w:pStyle w:val="NoSpacing"/>
        <w:rPr>
          <w:sz w:val="10"/>
          <w:szCs w:val="10"/>
          <w:lang w:val="en-US"/>
        </w:rPr>
      </w:pPr>
      <w:r w:rsidRPr="009A0DA6">
        <w:t xml:space="preserve">In August 2018, </w:t>
      </w:r>
      <w:r w:rsidR="004113A1">
        <w:rPr>
          <w:b/>
        </w:rPr>
        <w:t xml:space="preserve">Ms </w:t>
      </w:r>
      <w:r w:rsidRPr="009A0DA6">
        <w:rPr>
          <w:b/>
          <w:bCs/>
        </w:rPr>
        <w:t>Jamieson (Jamie) Davies</w:t>
      </w:r>
      <w:r w:rsidRPr="009A0DA6">
        <w:t xml:space="preserve">, commenced duties as the new ALWS Executive Secretary. She has significant experience working in the international aid and development field, including approximately nine years as Program Manager at Caritas Australia. </w:t>
      </w:r>
      <w:r w:rsidRPr="009A0DA6">
        <w:br/>
      </w:r>
    </w:p>
    <w:p w14:paraId="4F8EFA16" w14:textId="6016A6D0" w:rsidR="00F631B1" w:rsidRPr="009A0DA6" w:rsidRDefault="00F631B1" w:rsidP="00F631B1">
      <w:pPr>
        <w:pStyle w:val="NoSpacing"/>
      </w:pPr>
      <w:r w:rsidRPr="009A0DA6">
        <w:rPr>
          <w:b/>
          <w:bCs/>
        </w:rPr>
        <w:t>Pastor Matt Anker</w:t>
      </w:r>
      <w:r w:rsidRPr="009A0DA6">
        <w:t xml:space="preserve"> </w:t>
      </w:r>
      <w:r w:rsidR="00431A4D">
        <w:t>was</w:t>
      </w:r>
      <w:r w:rsidRPr="009A0DA6">
        <w:t xml:space="preserve"> called to replace Glenice as Assistant to the Bishop – International Mission. Pastor Anker comes to this role from his current call as pastor of the Goulburn–Murray Parish in Victoria, where he has served since 2007.</w:t>
      </w:r>
      <w:r w:rsidR="00431A4D">
        <w:t xml:space="preserve"> He commenced in the role in August 2018.</w:t>
      </w:r>
    </w:p>
    <w:p w14:paraId="3B1CEEC4" w14:textId="77777777" w:rsidR="00F631B1" w:rsidRPr="00565A2C" w:rsidRDefault="00F631B1" w:rsidP="00F631B1">
      <w:pPr>
        <w:pStyle w:val="NoSpacing"/>
        <w:rPr>
          <w:sz w:val="10"/>
        </w:rPr>
      </w:pPr>
    </w:p>
    <w:p w14:paraId="6000A7B3" w14:textId="77777777" w:rsidR="00F631B1" w:rsidRPr="009A0DA6" w:rsidRDefault="00F631B1" w:rsidP="00F631B1">
      <w:pPr>
        <w:pStyle w:val="Heading3"/>
      </w:pPr>
      <w:r w:rsidRPr="009A0DA6">
        <w:t>LCA STRATEGIC DIRECTION</w:t>
      </w:r>
    </w:p>
    <w:p w14:paraId="142E5758" w14:textId="77777777" w:rsidR="00F631B1" w:rsidRPr="009A0DA6" w:rsidRDefault="00F631B1" w:rsidP="00F631B1">
      <w:pPr>
        <w:spacing w:after="120" w:line="240" w:lineRule="auto"/>
        <w:rPr>
          <w:rFonts w:ascii="Cambria" w:eastAsia="Times New Roman" w:hAnsi="Cambria" w:cs="Times New Roman"/>
          <w:color w:val="000000"/>
        </w:rPr>
      </w:pPr>
      <w:r w:rsidRPr="009A0DA6">
        <w:rPr>
          <w:rFonts w:ascii="Cambria" w:eastAsia="Times New Roman" w:hAnsi="Cambria" w:cs="Times New Roman"/>
          <w:color w:val="000000"/>
        </w:rPr>
        <w:t xml:space="preserve">In 2013 General Synod approved a LCA Strategic Direction 2013–2018 as a catalyst for action. The strategic direction of the LCA has its foundations in the Objects of the Church which are articulated in the LCA constitution. </w:t>
      </w:r>
    </w:p>
    <w:p w14:paraId="50D9923A" w14:textId="77777777" w:rsidR="00F631B1" w:rsidRPr="009A0DA6" w:rsidRDefault="00F631B1" w:rsidP="00F631B1">
      <w:pPr>
        <w:spacing w:after="120" w:line="240" w:lineRule="auto"/>
        <w:rPr>
          <w:rFonts w:ascii="Cambria" w:eastAsia="Times New Roman" w:hAnsi="Cambria" w:cs="Times New Roman"/>
          <w:color w:val="000000"/>
        </w:rPr>
      </w:pPr>
      <w:r w:rsidRPr="009A0DA6">
        <w:rPr>
          <w:rFonts w:ascii="Cambria" w:eastAsia="Times New Roman" w:hAnsi="Cambria" w:cs="Times New Roman"/>
          <w:color w:val="000000"/>
        </w:rPr>
        <w:t>The Strategic Direction was produced in a booklet form and distributed across the Lutheran Church of Australia and New Zealand.</w:t>
      </w:r>
    </w:p>
    <w:p w14:paraId="45CB8AF2" w14:textId="77777777" w:rsidR="00F631B1" w:rsidRPr="009A0DA6" w:rsidRDefault="00F631B1" w:rsidP="00F631B1">
      <w:pPr>
        <w:spacing w:after="120" w:line="240" w:lineRule="auto"/>
        <w:rPr>
          <w:rFonts w:ascii="Cambria" w:eastAsia="Times New Roman" w:hAnsi="Cambria" w:cs="Times New Roman"/>
          <w:color w:val="000000"/>
        </w:rPr>
      </w:pPr>
      <w:r w:rsidRPr="009A0DA6">
        <w:rPr>
          <w:rFonts w:ascii="Cambria" w:eastAsia="Times New Roman" w:hAnsi="Cambria" w:cs="Times New Roman"/>
          <w:color w:val="000000"/>
        </w:rPr>
        <w:t>LCA boards have worked to align their plans with the LCA Strategic Direction. The board reports contained in the Book of Reports include a reference to where their activities are supporting the implementation of the Strategic Direction’s priorities, goals and objectives.</w:t>
      </w:r>
    </w:p>
    <w:p w14:paraId="2C9E3185" w14:textId="77777777" w:rsidR="00F631B1" w:rsidRPr="009A0DA6" w:rsidRDefault="00F631B1" w:rsidP="00F631B1">
      <w:pPr>
        <w:spacing w:after="120" w:line="240" w:lineRule="auto"/>
        <w:rPr>
          <w:rFonts w:ascii="Cambria" w:eastAsia="Times New Roman" w:hAnsi="Cambria" w:cs="Times New Roman"/>
          <w:color w:val="000000"/>
        </w:rPr>
      </w:pPr>
      <w:r w:rsidRPr="009A0DA6">
        <w:rPr>
          <w:rFonts w:ascii="Cambria" w:eastAsia="Times New Roman" w:hAnsi="Cambria" w:cs="Times New Roman"/>
          <w:color w:val="000000"/>
        </w:rPr>
        <w:t>The GCC has also used the Strategic Direction as a framework for decision-making, particularly when considering funding applications from LCA ministries, which must demonstrate how the proposed activities to be funded align with the Strategic Direction priorities.</w:t>
      </w:r>
    </w:p>
    <w:p w14:paraId="4BDE795B" w14:textId="77777777" w:rsidR="00F631B1" w:rsidRPr="009A0DA6" w:rsidRDefault="00F631B1" w:rsidP="00F631B1">
      <w:pPr>
        <w:spacing w:after="120" w:line="240" w:lineRule="auto"/>
        <w:rPr>
          <w:rFonts w:ascii="Cambria" w:eastAsia="Times New Roman" w:hAnsi="Cambria" w:cs="Times New Roman"/>
          <w:color w:val="000000"/>
        </w:rPr>
      </w:pPr>
      <w:r w:rsidRPr="009A0DA6">
        <w:rPr>
          <w:rFonts w:ascii="Cambria" w:eastAsia="Times New Roman" w:hAnsi="Cambria" w:cs="Times New Roman"/>
          <w:color w:val="000000"/>
        </w:rPr>
        <w:t xml:space="preserve">It has also been encouraging to note that congregations and districts have either referred to or used the LCA Strategic Direction as a framework for their own ministry plans/charters.  </w:t>
      </w:r>
    </w:p>
    <w:p w14:paraId="30E2812F" w14:textId="77F1AF71" w:rsidR="00F631B1" w:rsidRPr="009A0DA6" w:rsidRDefault="00F631B1" w:rsidP="00F631B1">
      <w:pPr>
        <w:spacing w:after="120" w:line="240" w:lineRule="auto"/>
        <w:rPr>
          <w:rFonts w:ascii="Cambria" w:eastAsia="Times New Roman" w:hAnsi="Cambria" w:cs="Times New Roman"/>
          <w:color w:val="000000"/>
        </w:rPr>
      </w:pPr>
      <w:r w:rsidRPr="009A0DA6">
        <w:rPr>
          <w:rFonts w:ascii="Cambria" w:eastAsia="Times New Roman" w:hAnsi="Cambria" w:cs="Times New Roman"/>
          <w:color w:val="000000"/>
        </w:rPr>
        <w:t>The GCC is proposing a new ‘</w:t>
      </w:r>
      <w:r w:rsidRPr="00C7268C">
        <w:rPr>
          <w:rFonts w:ascii="Cambria" w:eastAsia="Times New Roman" w:hAnsi="Cambria" w:cs="Times New Roman"/>
          <w:color w:val="000000"/>
        </w:rPr>
        <w:t xml:space="preserve">Our Direction’ for the period 2018–2024. Please refer to the ‘Report of the Strategic Direction 2013–2018’ at Appendix </w:t>
      </w:r>
      <w:r w:rsidR="00C7268C" w:rsidRPr="00C7268C">
        <w:rPr>
          <w:rFonts w:ascii="Cambria" w:eastAsia="Times New Roman" w:hAnsi="Cambria" w:cs="Times New Roman"/>
          <w:color w:val="000000"/>
        </w:rPr>
        <w:t>G</w:t>
      </w:r>
      <w:r w:rsidRPr="00C7268C">
        <w:rPr>
          <w:rFonts w:ascii="Cambria" w:eastAsia="Times New Roman" w:hAnsi="Cambria" w:cs="Times New Roman"/>
          <w:color w:val="000000"/>
        </w:rPr>
        <w:t>.</w:t>
      </w:r>
      <w:r w:rsidRPr="009A0DA6">
        <w:rPr>
          <w:rFonts w:ascii="Cambria" w:eastAsia="Times New Roman" w:hAnsi="Cambria" w:cs="Times New Roman"/>
          <w:color w:val="000000"/>
        </w:rPr>
        <w:t xml:space="preserve"> </w:t>
      </w:r>
    </w:p>
    <w:p w14:paraId="7C82BBD7" w14:textId="77777777" w:rsidR="00F631B1" w:rsidRPr="009A0DA6" w:rsidRDefault="00F631B1" w:rsidP="00F631B1">
      <w:pPr>
        <w:pStyle w:val="Heading3"/>
      </w:pPr>
      <w:r w:rsidRPr="009A0DA6">
        <w:t>POLICIES</w:t>
      </w:r>
    </w:p>
    <w:p w14:paraId="3E6D2A28" w14:textId="77777777" w:rsidR="00F631B1" w:rsidRPr="009A0DA6" w:rsidRDefault="00F631B1" w:rsidP="00F631B1">
      <w:pPr>
        <w:pStyle w:val="NoSpacing"/>
        <w:spacing w:after="120"/>
      </w:pPr>
      <w:r w:rsidRPr="009A0DA6">
        <w:t>During this synodical period the following policies have been approved by General Church Council, and the relevant Churchwide departments (eg PSD, Church Worker Support) will continue to support the implementation of these policies across the church:</w:t>
      </w:r>
    </w:p>
    <w:p w14:paraId="7CF70E87" w14:textId="77777777" w:rsidR="00F631B1" w:rsidRPr="009A0DA6" w:rsidRDefault="00F631B1" w:rsidP="00F55252">
      <w:pPr>
        <w:pStyle w:val="NoSpacing"/>
        <w:numPr>
          <w:ilvl w:val="0"/>
          <w:numId w:val="13"/>
        </w:numPr>
        <w:spacing w:after="120"/>
        <w:ind w:left="425" w:hanging="425"/>
        <w:contextualSpacing/>
      </w:pPr>
      <w:r w:rsidRPr="009A0DA6">
        <w:t>Prevention of Risk of Sexual Offence by a Person of Concern Policy and Procedure (revised, and previously the Prevention of Harm from a Known Sex Offender Policy)</w:t>
      </w:r>
    </w:p>
    <w:p w14:paraId="2CF5549E" w14:textId="77777777" w:rsidR="00F631B1" w:rsidRPr="009A0DA6" w:rsidRDefault="00F631B1" w:rsidP="00F55252">
      <w:pPr>
        <w:pStyle w:val="NoSpacing"/>
        <w:numPr>
          <w:ilvl w:val="0"/>
          <w:numId w:val="13"/>
        </w:numPr>
        <w:spacing w:after="120"/>
        <w:ind w:left="425" w:hanging="425"/>
        <w:contextualSpacing/>
      </w:pPr>
      <w:r w:rsidRPr="009A0DA6">
        <w:t>Social Media Policy</w:t>
      </w:r>
    </w:p>
    <w:p w14:paraId="5ABC09BD" w14:textId="77777777" w:rsidR="00F631B1" w:rsidRPr="009A0DA6" w:rsidRDefault="00F631B1" w:rsidP="00F55252">
      <w:pPr>
        <w:pStyle w:val="NoSpacing"/>
        <w:numPr>
          <w:ilvl w:val="0"/>
          <w:numId w:val="13"/>
        </w:numPr>
        <w:spacing w:after="120"/>
        <w:ind w:left="425" w:hanging="425"/>
        <w:contextualSpacing/>
      </w:pPr>
      <w:r w:rsidRPr="009A0DA6">
        <w:t>Church Worker Service Policy</w:t>
      </w:r>
    </w:p>
    <w:p w14:paraId="7ACE776A" w14:textId="77777777" w:rsidR="00F631B1" w:rsidRPr="009A0DA6" w:rsidRDefault="00F631B1" w:rsidP="00F55252">
      <w:pPr>
        <w:pStyle w:val="NoSpacing"/>
        <w:numPr>
          <w:ilvl w:val="0"/>
          <w:numId w:val="13"/>
        </w:numPr>
        <w:spacing w:after="120"/>
        <w:ind w:left="425" w:hanging="425"/>
        <w:contextualSpacing/>
      </w:pPr>
      <w:r w:rsidRPr="009A0DA6">
        <w:t>Pastor Call Process Policy</w:t>
      </w:r>
    </w:p>
    <w:p w14:paraId="5DC822F4" w14:textId="77777777" w:rsidR="00F631B1" w:rsidRPr="009A0DA6" w:rsidRDefault="00F631B1" w:rsidP="00F55252">
      <w:pPr>
        <w:pStyle w:val="NoSpacing"/>
        <w:numPr>
          <w:ilvl w:val="0"/>
          <w:numId w:val="13"/>
        </w:numPr>
        <w:spacing w:after="120"/>
        <w:ind w:left="425" w:hanging="425"/>
        <w:contextualSpacing/>
      </w:pPr>
      <w:r w:rsidRPr="009A0DA6">
        <w:t>Employee Recruitment and Selection Policy</w:t>
      </w:r>
    </w:p>
    <w:p w14:paraId="61F1D7CF" w14:textId="77777777" w:rsidR="00F631B1" w:rsidRPr="009A0DA6" w:rsidRDefault="00F631B1" w:rsidP="00F55252">
      <w:pPr>
        <w:pStyle w:val="NoSpacing"/>
        <w:numPr>
          <w:ilvl w:val="0"/>
          <w:numId w:val="13"/>
        </w:numPr>
        <w:spacing w:after="120"/>
        <w:ind w:left="425" w:hanging="425"/>
        <w:contextualSpacing/>
      </w:pPr>
      <w:r w:rsidRPr="009A0DA6">
        <w:t>Volunteer Identification and Selection Policy</w:t>
      </w:r>
    </w:p>
    <w:p w14:paraId="15F112FE" w14:textId="77777777" w:rsidR="00F631B1" w:rsidRPr="009A0DA6" w:rsidRDefault="00F631B1" w:rsidP="00F55252">
      <w:pPr>
        <w:pStyle w:val="NoSpacing"/>
        <w:numPr>
          <w:ilvl w:val="0"/>
          <w:numId w:val="13"/>
        </w:numPr>
        <w:spacing w:after="120"/>
        <w:ind w:left="425" w:hanging="425"/>
        <w:contextualSpacing/>
      </w:pPr>
      <w:r w:rsidRPr="009A0DA6">
        <w:t xml:space="preserve">Vocational Development and Training Policy </w:t>
      </w:r>
    </w:p>
    <w:p w14:paraId="5C72583D" w14:textId="77777777" w:rsidR="00F631B1" w:rsidRPr="009A0DA6" w:rsidRDefault="00F631B1" w:rsidP="00F55252">
      <w:pPr>
        <w:pStyle w:val="NoSpacing"/>
        <w:numPr>
          <w:ilvl w:val="0"/>
          <w:numId w:val="13"/>
        </w:numPr>
        <w:spacing w:after="120"/>
        <w:ind w:left="425" w:hanging="425"/>
        <w:contextualSpacing/>
      </w:pPr>
      <w:r w:rsidRPr="009A0DA6">
        <w:t>Conflict of Interest Policy</w:t>
      </w:r>
    </w:p>
    <w:p w14:paraId="29AFFE51" w14:textId="77777777" w:rsidR="00F631B1" w:rsidRPr="009A0DA6" w:rsidRDefault="00F631B1" w:rsidP="00F55252">
      <w:pPr>
        <w:pStyle w:val="NoSpacing"/>
        <w:numPr>
          <w:ilvl w:val="0"/>
          <w:numId w:val="13"/>
        </w:numPr>
        <w:spacing w:after="120"/>
        <w:ind w:left="425" w:hanging="425"/>
        <w:contextualSpacing/>
      </w:pPr>
      <w:r w:rsidRPr="009A0DA6">
        <w:t>Gift Acceptance Policy.</w:t>
      </w:r>
    </w:p>
    <w:p w14:paraId="5FBC4151" w14:textId="77777777" w:rsidR="00F631B1" w:rsidRPr="009A0DA6" w:rsidRDefault="00F631B1" w:rsidP="00F631B1">
      <w:pPr>
        <w:pStyle w:val="NoSpacing"/>
        <w:spacing w:after="120"/>
        <w:rPr>
          <w:sz w:val="8"/>
        </w:rPr>
      </w:pPr>
    </w:p>
    <w:p w14:paraId="54229CBD" w14:textId="77777777" w:rsidR="00F631B1" w:rsidRPr="009A0DA6" w:rsidRDefault="00F631B1" w:rsidP="00F631B1">
      <w:pPr>
        <w:pStyle w:val="NoSpacing"/>
        <w:spacing w:after="120"/>
      </w:pPr>
      <w:r w:rsidRPr="009A0DA6">
        <w:t>The purpose of these policies is to provide for clear and consistent practice across the church in a manner that is in keeping with the theology of the church and the laws of the land. The Royal Commission into Institutional Responses to Child Sexual Abuse has highlighted the importance of setting and implementing standards that protect everyone who engages with the church, and upholds the integrity and credibility of the church in the wider community.</w:t>
      </w:r>
    </w:p>
    <w:p w14:paraId="14B386A9" w14:textId="77777777" w:rsidR="00F631B1" w:rsidRPr="009A0DA6" w:rsidRDefault="00F631B1" w:rsidP="00F631B1">
      <w:pPr>
        <w:pStyle w:val="Heading3"/>
      </w:pPr>
      <w:r w:rsidRPr="009A0DA6">
        <w:lastRenderedPageBreak/>
        <w:t>PROFESSIONAL STANDARDS DEPARTMENT</w:t>
      </w:r>
    </w:p>
    <w:p w14:paraId="4641B59F" w14:textId="77777777" w:rsidR="00F631B1" w:rsidRPr="009A0DA6" w:rsidRDefault="00F631B1" w:rsidP="00F631B1">
      <w:pPr>
        <w:pStyle w:val="NoSpacing"/>
        <w:spacing w:after="120"/>
      </w:pPr>
      <w:r w:rsidRPr="009A0DA6">
        <w:t>The Professional Standards Department (PSD) operates to support the Church’s Object to ‘take such action as is necessary for the protection of the congregations, pastors, teachers and other church workers in the performance of their duties and the maintenance of their rights’.</w:t>
      </w:r>
    </w:p>
    <w:p w14:paraId="61E15F63" w14:textId="77777777" w:rsidR="00F631B1" w:rsidRPr="009A0DA6" w:rsidRDefault="00F631B1" w:rsidP="00F631B1">
      <w:pPr>
        <w:pStyle w:val="NoSpacing"/>
        <w:spacing w:after="120"/>
      </w:pPr>
      <w:r w:rsidRPr="009A0DA6">
        <w:t xml:space="preserve">Since its inception in 2010, the PSD, firstly under the management of Liz Crawford and now Tim Ross, has played an important role in the identification of possible risk and assists the church to respond to these risks, particularly related to behaviour and ethical conduct. </w:t>
      </w:r>
    </w:p>
    <w:p w14:paraId="1E1555DF" w14:textId="77777777" w:rsidR="00F631B1" w:rsidRPr="009A0DA6" w:rsidRDefault="00F631B1" w:rsidP="00F631B1">
      <w:pPr>
        <w:pStyle w:val="NoSpacing"/>
        <w:spacing w:after="120"/>
      </w:pPr>
      <w:r w:rsidRPr="009A0DA6">
        <w:t>The PSD provides leadership in the preparation of general policies within its remit which can be then further developed and/or adapted by church bodies (eg Districts and boards) to address their specific needs and comply with relevant legislation within the jurisdictions in which they operate.</w:t>
      </w:r>
    </w:p>
    <w:p w14:paraId="338C1DFC" w14:textId="77777777" w:rsidR="00F631B1" w:rsidRPr="009A0DA6" w:rsidRDefault="00F631B1" w:rsidP="00F631B1">
      <w:pPr>
        <w:pStyle w:val="NoSpacing"/>
        <w:spacing w:after="120"/>
      </w:pPr>
      <w:r w:rsidRPr="009A0DA6">
        <w:t>The PSD also supports the implementation of the approved policies and procedures through communication and the development of consistent training programs with a specific, but not exclusive, focus on the congregational life of the church.</w:t>
      </w:r>
    </w:p>
    <w:p w14:paraId="21671B73" w14:textId="77777777" w:rsidR="00F631B1" w:rsidRPr="009A0DA6" w:rsidRDefault="00F631B1" w:rsidP="00F631B1">
      <w:pPr>
        <w:pStyle w:val="NoSpacing"/>
        <w:spacing w:after="120"/>
      </w:pPr>
      <w:r w:rsidRPr="009A0DA6">
        <w:t>In this synodical term a new training program was developed and delivered by the Professional Standards Officers in each District. It is acknowledged the training involves a time commitment by people involved in leadership positions and who are actively involved in children’s ministry. However, as the Royal Commission has demonstrated, the consequences of not taking a thorough approach to protecting all who participate in the life of the church, especially children and other vulnerable people, is very serious for those people who experience harm, and to the credibility of the church ‘where loves comes to life’.</w:t>
      </w:r>
    </w:p>
    <w:p w14:paraId="0B94C886" w14:textId="77777777" w:rsidR="00F631B1" w:rsidRPr="009A0DA6" w:rsidRDefault="00F631B1" w:rsidP="00F631B1">
      <w:pPr>
        <w:pStyle w:val="NoSpacing"/>
        <w:spacing w:after="120"/>
      </w:pPr>
      <w:r w:rsidRPr="009A0DA6">
        <w:t>The PSD is committed to making the training program as flexible and ‘user-friendly’ as possible, while maintaining a high standard and ensuring the LCA continues to meet its obligations under the Safe Church Training Agreement. For example, the PSD now has a process in place to recognise child protection-related training people have undertaken in their work life or other volunteer roles outside the church.</w:t>
      </w:r>
    </w:p>
    <w:p w14:paraId="65DD6391" w14:textId="77777777" w:rsidR="00F631B1" w:rsidRPr="009A0DA6" w:rsidRDefault="00F631B1" w:rsidP="00F631B1">
      <w:pPr>
        <w:pStyle w:val="NoSpacing"/>
        <w:spacing w:after="120"/>
      </w:pPr>
      <w:r w:rsidRPr="009A0DA6">
        <w:t>We are grateful to the almost 3000 people who have completed the new core training program, and the hundreds more who have undertaken the other ‘on-line’ levels of training.</w:t>
      </w:r>
    </w:p>
    <w:p w14:paraId="794195ED" w14:textId="77777777" w:rsidR="00F631B1" w:rsidRPr="009A0DA6" w:rsidRDefault="00F631B1" w:rsidP="00F631B1">
      <w:pPr>
        <w:pStyle w:val="NoSpacing"/>
        <w:spacing w:after="120"/>
      </w:pPr>
      <w:r w:rsidRPr="009A0DA6">
        <w:t xml:space="preserve">During this synodical term the PSD Manager and Assistant to the Bishop - Reconciliation Ministry have been working together under the auspices of the College of Bishops, to develop complaints handling procedures that reflect the principles of fairness, natural justice and underpinned by scriptural principles. </w:t>
      </w:r>
    </w:p>
    <w:p w14:paraId="6421A6A6" w14:textId="77777777" w:rsidR="00F631B1" w:rsidRPr="009A0DA6" w:rsidRDefault="00F631B1" w:rsidP="00F631B1">
      <w:pPr>
        <w:pStyle w:val="NoSpacing"/>
        <w:spacing w:after="120"/>
      </w:pPr>
      <w:r w:rsidRPr="009A0DA6">
        <w:t>Complaints handling matters are often complex and involve people who are experiencing hurt. PSD and Reconciliation Ministry endeavour to work through these situations in a fair manner, but acknowledge they may not always get the process right. However, they are committed to learning from any failings in order that complaints are addressed appropriately and, God-willing, restore relationships that may have been broken.</w:t>
      </w:r>
    </w:p>
    <w:p w14:paraId="7A030A63" w14:textId="77777777" w:rsidR="00F631B1" w:rsidRPr="009A0DA6" w:rsidRDefault="00F631B1" w:rsidP="00F631B1">
      <w:pPr>
        <w:pStyle w:val="NoSpacing"/>
        <w:spacing w:after="120"/>
      </w:pPr>
      <w:r w:rsidRPr="009A0DA6">
        <w:t>In regard to complaints, it must be stressed that the PSD only has the capacity to make findings and recommendations. It does not have the power to make directions to the parties concerned or enforce disciplinary action. This is the role of authorised bodies/persons as provided for in the LCA Constitution and By-Laws.</w:t>
      </w:r>
    </w:p>
    <w:p w14:paraId="61B2813B" w14:textId="77777777" w:rsidR="00F631B1" w:rsidRPr="009A0DA6" w:rsidRDefault="00F631B1" w:rsidP="00F631B1">
      <w:pPr>
        <w:pStyle w:val="NoSpacing"/>
        <w:spacing w:after="120"/>
      </w:pPr>
      <w:r w:rsidRPr="009A0DA6">
        <w:t>The PSD is organisationally located in the office of the Executive Officer of the Church. The PSD Manager is accountable to and reports to the Executive Officer of the Church.</w:t>
      </w:r>
    </w:p>
    <w:p w14:paraId="1814ABA6" w14:textId="5DB40522" w:rsidR="00F631B1" w:rsidRPr="009A0DA6" w:rsidRDefault="00F631B1" w:rsidP="00F631B1">
      <w:pPr>
        <w:pStyle w:val="NoSpacing"/>
        <w:spacing w:after="120"/>
      </w:pPr>
      <w:r w:rsidRPr="009A0DA6">
        <w:t xml:space="preserve">Further detail about the work of the PSD during this synodical period is available </w:t>
      </w:r>
      <w:r w:rsidRPr="00C7268C">
        <w:t xml:space="preserve">at </w:t>
      </w:r>
      <w:r w:rsidR="00DB1A87">
        <w:br/>
      </w:r>
      <w:r w:rsidRPr="00C7268C">
        <w:t>Appendix C.</w:t>
      </w:r>
    </w:p>
    <w:p w14:paraId="6C09B267" w14:textId="77777777" w:rsidR="00F631B1" w:rsidRPr="009A0DA6" w:rsidRDefault="00F631B1" w:rsidP="00F631B1">
      <w:pPr>
        <w:pStyle w:val="Heading3"/>
      </w:pPr>
      <w:r w:rsidRPr="009A0DA6">
        <w:t>ROYAL COMMISSION INTO INSTITUTIONAL RESPONSES TO CHILD SEXUAL ABUSE</w:t>
      </w:r>
    </w:p>
    <w:p w14:paraId="4B0E14F9" w14:textId="77777777" w:rsidR="00F631B1" w:rsidRPr="009A0DA6" w:rsidRDefault="00F631B1" w:rsidP="00F631B1">
      <w:pPr>
        <w:pStyle w:val="NoSpacing"/>
        <w:spacing w:after="120"/>
      </w:pPr>
      <w:r w:rsidRPr="009A0DA6">
        <w:t>In January 2013 the Commonwealth Government announced it would establish a Royal Commission into Institutional Responses to Child Sexual Abuse.</w:t>
      </w:r>
    </w:p>
    <w:p w14:paraId="76478286" w14:textId="77777777" w:rsidR="00F631B1" w:rsidRPr="009A0DA6" w:rsidRDefault="00F631B1" w:rsidP="00F631B1">
      <w:pPr>
        <w:pStyle w:val="NoSpacing"/>
        <w:spacing w:after="120"/>
        <w:rPr>
          <w:lang w:val="en"/>
        </w:rPr>
      </w:pPr>
      <w:r w:rsidRPr="009A0DA6">
        <w:rPr>
          <w:bCs/>
          <w:lang w:val="en"/>
        </w:rPr>
        <w:lastRenderedPageBreak/>
        <w:t>In welcoming the Royal Commission the LCA pledged full cooperation with authorities and i</w:t>
      </w:r>
      <w:r w:rsidRPr="009A0DA6">
        <w:rPr>
          <w:lang w:val="en"/>
        </w:rPr>
        <w:t>n a statement LCA President Rev Dr Mike Semmler said, ‘[The LCA] welcomes and fully supports all initiatives that will protect children, bring healing to those abused, achieve reconciliation where that is possible, and bring to justice those who have perpetrated evil acts against vulnerable individuals’.</w:t>
      </w:r>
    </w:p>
    <w:p w14:paraId="3067485D" w14:textId="77777777" w:rsidR="00F631B1" w:rsidRPr="009A0DA6" w:rsidRDefault="00F631B1" w:rsidP="00F631B1">
      <w:pPr>
        <w:pStyle w:val="NoSpacing"/>
        <w:spacing w:after="120"/>
        <w:rPr>
          <w:lang w:val="en"/>
        </w:rPr>
      </w:pPr>
      <w:r w:rsidRPr="009A0DA6">
        <w:rPr>
          <w:lang w:val="en"/>
        </w:rPr>
        <w:t xml:space="preserve">GCC formed a Working Group in April 2013 to coordinate the LCA's engagement with the Royal Commission. The LCA’s working group engaged with the Royal Commission on behalf of the church, monitored its developments and their likely impact, and provided input into the commission’s deliberations as it worked towards preparing its report and recommendations to government. </w:t>
      </w:r>
    </w:p>
    <w:p w14:paraId="054FF107" w14:textId="6D7027FA" w:rsidR="00F631B1" w:rsidRPr="009A0DA6" w:rsidRDefault="00F631B1" w:rsidP="00F631B1">
      <w:pPr>
        <w:pStyle w:val="NoSpacing"/>
        <w:spacing w:after="120"/>
        <w:rPr>
          <w:lang w:val="en"/>
        </w:rPr>
      </w:pPr>
      <w:r w:rsidRPr="009A0DA6">
        <w:rPr>
          <w:lang w:val="en"/>
        </w:rPr>
        <w:t>In this regard, the Working Group responded to six issues papers from the Royal</w:t>
      </w:r>
      <w:r w:rsidR="00F80405" w:rsidRPr="009A0DA6">
        <w:rPr>
          <w:lang w:val="en"/>
        </w:rPr>
        <w:t xml:space="preserve"> Commission, including Working w</w:t>
      </w:r>
      <w:r w:rsidRPr="009A0DA6">
        <w:rPr>
          <w:lang w:val="en"/>
        </w:rPr>
        <w:t>ith Children Checks, Redress Schemes, Out of Home Care for Children, Child-Safe Institutions, Victims of Crime Compensation Scheme and Addressing the Risk of Child Sexual Abuse in Primary and Secondary Schools; as well as a Consultation Paper on Redress and Civil Litigation.</w:t>
      </w:r>
    </w:p>
    <w:p w14:paraId="66DE59D4" w14:textId="77777777" w:rsidR="00F631B1" w:rsidRPr="009A0DA6" w:rsidRDefault="00F631B1" w:rsidP="00F631B1">
      <w:pPr>
        <w:pStyle w:val="NoSpacing"/>
        <w:spacing w:after="120"/>
        <w:rPr>
          <w:lang w:val="en"/>
        </w:rPr>
      </w:pPr>
      <w:r w:rsidRPr="009A0DA6">
        <w:rPr>
          <w:lang w:val="en"/>
        </w:rPr>
        <w:t>The Royal Commission delivered its final report and recommendations to the government in December 2017.</w:t>
      </w:r>
    </w:p>
    <w:p w14:paraId="7B29145F" w14:textId="77777777" w:rsidR="00F631B1" w:rsidRPr="009A0DA6" w:rsidRDefault="00F631B1" w:rsidP="00F631B1">
      <w:pPr>
        <w:pStyle w:val="NoSpacing"/>
        <w:spacing w:after="120"/>
        <w:rPr>
          <w:lang w:val="en"/>
        </w:rPr>
      </w:pPr>
      <w:r w:rsidRPr="009A0DA6">
        <w:rPr>
          <w:lang w:val="en"/>
        </w:rPr>
        <w:t xml:space="preserve">One of the commission’s 189 recommendations was the establishment of a national redress scheme as a way of acknowledging people who experienced child sexual abuse in an institutional setting. The scheme comprises: psychological care and counselling; a direct personal response from the LCA; $1000 to cover legal costs; and monetary payment of up to $150,000. </w:t>
      </w:r>
    </w:p>
    <w:p w14:paraId="71FF721A" w14:textId="77777777" w:rsidR="00F631B1" w:rsidRPr="009A0DA6" w:rsidRDefault="00F631B1" w:rsidP="00F631B1">
      <w:pPr>
        <w:pStyle w:val="NoSpacing"/>
        <w:spacing w:after="120"/>
        <w:rPr>
          <w:lang w:val="en"/>
        </w:rPr>
      </w:pPr>
      <w:r w:rsidRPr="009A0DA6">
        <w:rPr>
          <w:lang w:val="en"/>
        </w:rPr>
        <w:t xml:space="preserve">In June 2018, GCC resolved that the LCA will opt-in to the scheme. The scheme officially commenced on 1 July 2018 and will be in place for ten years. The LCA will fund its obligations to the scheme by way of a special redress premium added to the annual LCA Insurance premiums payable by LCA entities which hold LCA Insurance. </w:t>
      </w:r>
    </w:p>
    <w:p w14:paraId="6FC9375E" w14:textId="77777777" w:rsidR="00F631B1" w:rsidRPr="009A0DA6" w:rsidRDefault="00F631B1" w:rsidP="00F631B1">
      <w:pPr>
        <w:pStyle w:val="NoSpacing"/>
        <w:spacing w:after="120"/>
        <w:rPr>
          <w:lang w:val="en"/>
        </w:rPr>
      </w:pPr>
      <w:r w:rsidRPr="009A0DA6">
        <w:rPr>
          <w:lang w:val="en"/>
        </w:rPr>
        <w:t xml:space="preserve">The Working Group has carefully reviewed all of the commission’s recommendations relevant to the LCA. The GCC has accepted the Working Group’s action plan to work towards complying with these recommendations and has committed resources to achieve that end. </w:t>
      </w:r>
    </w:p>
    <w:p w14:paraId="155E0EF5" w14:textId="77777777" w:rsidR="00F631B1" w:rsidRPr="009A0DA6" w:rsidRDefault="00F631B1" w:rsidP="00F631B1">
      <w:pPr>
        <w:pStyle w:val="NoSpacing"/>
        <w:spacing w:after="120"/>
        <w:rPr>
          <w:lang w:val="en"/>
        </w:rPr>
      </w:pPr>
      <w:r w:rsidRPr="009A0DA6">
        <w:rPr>
          <w:lang w:val="en"/>
        </w:rPr>
        <w:t xml:space="preserve">The Royal Commission has been a forceful reminder to the LCA that it is not immune from the prevalence of child sexual abuse and reinforced how important it is that LCA take very seriously the protection of children by implementing appropriate policies and procedures, including adequate screening, working with children checks, and sufficient training. </w:t>
      </w:r>
    </w:p>
    <w:p w14:paraId="54707F94" w14:textId="77777777" w:rsidR="00F631B1" w:rsidRPr="009A0DA6" w:rsidRDefault="00F631B1" w:rsidP="00F631B1">
      <w:pPr>
        <w:pStyle w:val="NoSpacing"/>
        <w:spacing w:after="120"/>
        <w:rPr>
          <w:lang w:val="en"/>
        </w:rPr>
      </w:pPr>
      <w:r w:rsidRPr="009A0DA6">
        <w:rPr>
          <w:lang w:val="en"/>
        </w:rPr>
        <w:t xml:space="preserve">The Working Group also contributed to a submission to the Australian Law Reform Commission’s inquiry into Elder Abuse, prepared by the LCA’s Committee for Ministry with the Ageing. </w:t>
      </w:r>
    </w:p>
    <w:p w14:paraId="7ADB41E7" w14:textId="77777777" w:rsidR="00F631B1" w:rsidRPr="009A0DA6" w:rsidRDefault="00F631B1" w:rsidP="00F631B1">
      <w:pPr>
        <w:pStyle w:val="NoSpacing"/>
        <w:spacing w:after="120"/>
        <w:rPr>
          <w:lang w:val="en"/>
        </w:rPr>
      </w:pPr>
      <w:r w:rsidRPr="009A0DA6">
        <w:rPr>
          <w:lang w:val="en"/>
        </w:rPr>
        <w:t>The GCC thanks the Working Group members: Ms Faye Schmidt, Ms Colleen Fitzpatrick, Mr Leon Doecke (until September 2015), Bishop Paul Smith (until July 2016), Ms Linda Macqueen, Ms Liz Crawford (until July 2016), Mr Tim Ross (from July 2016), Mr Stephen Rudolph and Mr Peter Schirmer (convener) for their service and contribution to the church in this capacity over the past five years.</w:t>
      </w:r>
    </w:p>
    <w:p w14:paraId="487C45C3" w14:textId="77777777" w:rsidR="00F631B1" w:rsidRPr="009A0DA6" w:rsidRDefault="00F631B1" w:rsidP="00F631B1">
      <w:pPr>
        <w:pStyle w:val="Heading3"/>
      </w:pPr>
      <w:r w:rsidRPr="009A0DA6">
        <w:t>PREVENTION OF DOMESTIC AND FAMILY VIOLENCE CAMPAIGN</w:t>
      </w:r>
    </w:p>
    <w:p w14:paraId="628D13A4" w14:textId="77777777" w:rsidR="00F631B1" w:rsidRPr="009A0DA6" w:rsidRDefault="00F631B1" w:rsidP="00DB1A87">
      <w:pPr>
        <w:pStyle w:val="NoSpacing"/>
        <w:rPr>
          <w:lang w:val="en"/>
        </w:rPr>
      </w:pPr>
      <w:r w:rsidRPr="009A0DA6">
        <w:rPr>
          <w:lang w:val="en"/>
        </w:rPr>
        <w:t>The 2015 General Convention resolved that:</w:t>
      </w:r>
    </w:p>
    <w:p w14:paraId="5937778F" w14:textId="77777777" w:rsidR="00F631B1" w:rsidRPr="009A0DA6" w:rsidRDefault="00F631B1" w:rsidP="00DB1A87">
      <w:pPr>
        <w:pStyle w:val="NoSpacing"/>
        <w:rPr>
          <w:lang w:val="en"/>
        </w:rPr>
      </w:pPr>
      <w:r w:rsidRPr="009A0DA6">
        <w:rPr>
          <w:i/>
          <w:lang w:val="en"/>
        </w:rPr>
        <w:t>the Convention of Synod reaffirms its condemnation of all forms of violence in the family and authorises GCC to commit resources for a churchwide campaign to address the prevalence of family violence amongst us, which may include sharing of resources, education initiatives and the provision of pastoral care to the survivors of violence, as well as the perpetrators of abuse.</w:t>
      </w:r>
    </w:p>
    <w:p w14:paraId="3FF281E4" w14:textId="77777777" w:rsidR="00F631B1" w:rsidRPr="009A0DA6" w:rsidRDefault="00F631B1" w:rsidP="00F631B1">
      <w:pPr>
        <w:pStyle w:val="NoSpacing"/>
        <w:spacing w:after="120"/>
        <w:rPr>
          <w:lang w:val="en"/>
        </w:rPr>
      </w:pPr>
      <w:r w:rsidRPr="009A0DA6">
        <w:rPr>
          <w:lang w:val="en"/>
        </w:rPr>
        <w:t xml:space="preserve">The GCC allocated funding from annual LLL grants to support the implementation of the campaign. A campaign coordinator, Ian Rentsch, was engaged to lead the campaign, assisted by a Working Group. </w:t>
      </w:r>
    </w:p>
    <w:p w14:paraId="556DD29B" w14:textId="77777777" w:rsidR="00F631B1" w:rsidRPr="009A0DA6" w:rsidRDefault="00F631B1" w:rsidP="00F631B1">
      <w:pPr>
        <w:pStyle w:val="NoSpacing"/>
        <w:spacing w:after="120"/>
        <w:rPr>
          <w:lang w:val="en-US"/>
        </w:rPr>
      </w:pPr>
      <w:r w:rsidRPr="009A0DA6">
        <w:rPr>
          <w:lang w:val="en"/>
        </w:rPr>
        <w:lastRenderedPageBreak/>
        <w:t xml:space="preserve">The </w:t>
      </w:r>
      <w:r w:rsidRPr="009A0DA6">
        <w:t xml:space="preserve">Hidden Hurts/Healing Hearts campaign commenced in November 2017, which included an information pack sent to all parishes/congregations across the LCA, in both Australia and New Zealand; the development of a resource website </w:t>
      </w:r>
      <w:hyperlink r:id="rId21" w:history="1">
        <w:r w:rsidRPr="0033400D">
          <w:rPr>
            <w:rStyle w:val="Hyperlink"/>
            <w:color w:val="000000" w:themeColor="text1"/>
            <w:u w:val="none"/>
          </w:rPr>
          <w:t>preventDFV@lca.org.au</w:t>
        </w:r>
      </w:hyperlink>
      <w:r w:rsidRPr="0033400D">
        <w:rPr>
          <w:color w:val="000000" w:themeColor="text1"/>
          <w:lang w:val="en"/>
        </w:rPr>
        <w:t xml:space="preserve">; </w:t>
      </w:r>
      <w:r w:rsidRPr="009A0DA6">
        <w:t xml:space="preserve">publication of a Domestic Violence Handbook for pastors and church workers that was distributed to all pastors; and the commencement of a training program in late May 2018. </w:t>
      </w:r>
    </w:p>
    <w:p w14:paraId="713568C9" w14:textId="77777777" w:rsidR="00F631B1" w:rsidRPr="009A0DA6" w:rsidRDefault="00F631B1" w:rsidP="00F631B1">
      <w:pPr>
        <w:pStyle w:val="NoSpacing"/>
        <w:spacing w:after="120"/>
      </w:pPr>
      <w:r w:rsidRPr="009A0DA6">
        <w:t>The CSBQ and the Prevention of Domestic Violence Working Group is proposing a continuation of the campaign in the next synodical term in order to build on the work that has started.</w:t>
      </w:r>
    </w:p>
    <w:p w14:paraId="2901D71D" w14:textId="77777777" w:rsidR="00F631B1" w:rsidRPr="009A0DA6" w:rsidRDefault="00F631B1" w:rsidP="00F631B1">
      <w:pPr>
        <w:pStyle w:val="NoSpacing"/>
        <w:spacing w:after="120"/>
      </w:pPr>
      <w:r w:rsidRPr="009A0DA6">
        <w:t xml:space="preserve">The GCC thanks the Working Group members: Ms Colleen Fitzpatrick; Ms Helen Lockwood; Ms Libby Jewson; Ms Angela Mayer, Rev James Winderlich, Mr Stephen Rudolph, and Rev Keith Stiller for their support of the campaign, and to Ian Rentsch in his role as campaign coordinator. </w:t>
      </w:r>
    </w:p>
    <w:p w14:paraId="46A6432F" w14:textId="77777777" w:rsidR="00F631B1" w:rsidRPr="009A0DA6" w:rsidRDefault="00F631B1" w:rsidP="00F631B1">
      <w:pPr>
        <w:pStyle w:val="NoSpacing"/>
        <w:spacing w:after="120"/>
      </w:pPr>
      <w:r w:rsidRPr="009A0DA6">
        <w:t>The GCC also thanks the LLL for its financial support of the campaign.</w:t>
      </w:r>
    </w:p>
    <w:p w14:paraId="736C3F22" w14:textId="77777777" w:rsidR="00F631B1" w:rsidRPr="009A0DA6" w:rsidRDefault="00F631B1" w:rsidP="00F631B1">
      <w:pPr>
        <w:pStyle w:val="NoSpacing"/>
        <w:spacing w:after="120"/>
      </w:pPr>
      <w:r w:rsidRPr="009A0DA6">
        <w:t>Further information about the campaign’s activities is included in this report at Appendix H.</w:t>
      </w:r>
    </w:p>
    <w:p w14:paraId="1ABEEC1F" w14:textId="77777777" w:rsidR="00F631B1" w:rsidRPr="009A0DA6" w:rsidRDefault="00F631B1" w:rsidP="00F631B1">
      <w:pPr>
        <w:pStyle w:val="Heading3"/>
      </w:pPr>
      <w:r w:rsidRPr="009A0DA6">
        <w:t>50.500</w:t>
      </w:r>
    </w:p>
    <w:p w14:paraId="297522FA" w14:textId="77777777" w:rsidR="00F631B1" w:rsidRPr="004113A1" w:rsidRDefault="00F631B1" w:rsidP="00F631B1">
      <w:pPr>
        <w:pStyle w:val="NoSpacing"/>
        <w:spacing w:after="120"/>
      </w:pPr>
      <w:r w:rsidRPr="004113A1">
        <w:t>50.500 was launched at the Eighteenth General Convention of Synod as the official LCA banner for the LCA celebrating and commemorating the 50</w:t>
      </w:r>
      <w:r w:rsidRPr="004113A1">
        <w:rPr>
          <w:vertAlign w:val="superscript"/>
        </w:rPr>
        <w:t>th</w:t>
      </w:r>
      <w:r w:rsidRPr="004113A1">
        <w:t xml:space="preserve"> anniversary of the LCA in 2016 and the 500</w:t>
      </w:r>
      <w:r w:rsidRPr="004113A1">
        <w:rPr>
          <w:vertAlign w:val="superscript"/>
        </w:rPr>
        <w:t>th</w:t>
      </w:r>
      <w:r w:rsidRPr="004113A1">
        <w:t xml:space="preserve"> anniversary of the Reformation in 2017.</w:t>
      </w:r>
    </w:p>
    <w:p w14:paraId="435ECD11" w14:textId="3C5B9556" w:rsidR="00F631B1" w:rsidRPr="009A0DA6" w:rsidRDefault="00F631B1" w:rsidP="00F631B1">
      <w:pPr>
        <w:pStyle w:val="NoSpacing"/>
        <w:spacing w:after="120"/>
      </w:pPr>
      <w:r w:rsidRPr="009A0DA6">
        <w:t>We are grateful to the LLL for making available a special grant that has funded the 50.500 activities.</w:t>
      </w:r>
      <w:r w:rsidR="004113A1">
        <w:t xml:space="preserve"> Refer to Appendix B: Secretary of the Church/</w:t>
      </w:r>
      <w:r w:rsidR="004113A1" w:rsidRPr="00DE6A49">
        <w:t xml:space="preserve">50.500 </w:t>
      </w:r>
      <w:r w:rsidR="00DE6A49" w:rsidRPr="00DE6A49">
        <w:t>(p53</w:t>
      </w:r>
      <w:r w:rsidR="00F923DF">
        <w:t>)</w:t>
      </w:r>
      <w:r w:rsidR="004113A1" w:rsidRPr="00DE6A49">
        <w:t>.</w:t>
      </w:r>
      <w:r w:rsidRPr="009A0DA6">
        <w:t xml:space="preserve"> </w:t>
      </w:r>
    </w:p>
    <w:p w14:paraId="26EDEF47" w14:textId="77777777" w:rsidR="00F631B1" w:rsidRPr="009A0DA6" w:rsidRDefault="00F631B1" w:rsidP="00F631B1">
      <w:pPr>
        <w:pStyle w:val="Heading3"/>
      </w:pPr>
      <w:r w:rsidRPr="009A0DA6">
        <w:t>FINANCE, AUDIT AND RISK COMMITTEE</w:t>
      </w:r>
    </w:p>
    <w:p w14:paraId="11013210" w14:textId="77777777" w:rsidR="00F631B1" w:rsidRPr="009A0DA6" w:rsidRDefault="00F631B1" w:rsidP="00F631B1">
      <w:pPr>
        <w:pStyle w:val="NoSpacing"/>
        <w:spacing w:after="120"/>
      </w:pPr>
      <w:r w:rsidRPr="009A0DA6">
        <w:t>In March 2013, the GCC established a committee called the Finance, Audit and Risk Committee.</w:t>
      </w:r>
    </w:p>
    <w:p w14:paraId="75EA5D49" w14:textId="77777777" w:rsidR="00F631B1" w:rsidRPr="009A0DA6" w:rsidRDefault="00F631B1" w:rsidP="00F631B1">
      <w:pPr>
        <w:pStyle w:val="NoSpacing"/>
        <w:spacing w:after="120"/>
      </w:pPr>
      <w:r w:rsidRPr="009A0DA6">
        <w:t xml:space="preserve">The primary objective of the committee is to assist the GCC in fulfilling its finance-related responsibilities prescribed in the LCA’s By Laws (Section 8. 4.) and in respect to compliance with relevant legislation. Its role is to provide independent comment, advice and counsel to GCC on matters considered by the committee at its regular meetings. </w:t>
      </w:r>
    </w:p>
    <w:p w14:paraId="3B09B2AE" w14:textId="77777777" w:rsidR="00F631B1" w:rsidRPr="009A0DA6" w:rsidRDefault="00F631B1" w:rsidP="00F631B1">
      <w:pPr>
        <w:pStyle w:val="NoSpacing"/>
        <w:spacing w:after="120"/>
      </w:pPr>
      <w:r w:rsidRPr="009A0DA6">
        <w:t>A governance focus of GCC relates to risk and risk mitigation. Some specific activities in this regard are reflected in the report in regard to policy development, HR and payroll compliance, various reviews and financial accounting and reporting standardisation.</w:t>
      </w:r>
    </w:p>
    <w:p w14:paraId="7E188C1B" w14:textId="77777777" w:rsidR="00F631B1" w:rsidRPr="009A0DA6" w:rsidRDefault="00F631B1" w:rsidP="00F631B1">
      <w:pPr>
        <w:pStyle w:val="NoSpacing"/>
        <w:spacing w:after="120"/>
      </w:pPr>
      <w:r w:rsidRPr="009A0DA6">
        <w:t>The current membership is Mr Mel Zerner (SA/NT District), Mr Steve Podlich (Qld District); Ms Karen Pienaar (SA/NT District); Mr Peter Schirmer (EOC) and Ms Debbie Venz (LCA Business Manager).</w:t>
      </w:r>
    </w:p>
    <w:p w14:paraId="0EC3F248" w14:textId="13AFFEB8" w:rsidR="00F631B1" w:rsidRPr="009A0DA6" w:rsidRDefault="00F631B1" w:rsidP="00F631B1">
      <w:pPr>
        <w:pStyle w:val="NoSpacing"/>
        <w:spacing w:after="120"/>
      </w:pPr>
      <w:r w:rsidRPr="009A0DA6">
        <w:t xml:space="preserve">A separate finance report is included </w:t>
      </w:r>
      <w:r w:rsidR="007817B7">
        <w:t xml:space="preserve">at </w:t>
      </w:r>
      <w:r w:rsidR="00995084">
        <w:t>Agenda</w:t>
      </w:r>
      <w:r w:rsidR="00C7268C" w:rsidRPr="00C7268C">
        <w:t xml:space="preserve"> 14.1</w:t>
      </w:r>
      <w:r w:rsidRPr="00C7268C">
        <w:t>.</w:t>
      </w:r>
    </w:p>
    <w:p w14:paraId="0E325B0C" w14:textId="77777777" w:rsidR="00F631B1" w:rsidRPr="009A0DA6" w:rsidRDefault="00F631B1" w:rsidP="00F631B1">
      <w:pPr>
        <w:pStyle w:val="Heading3"/>
      </w:pPr>
      <w:r w:rsidRPr="009A0DA6">
        <w:t>STANDING COMMITTEE ON CONSTITUTIONS</w:t>
      </w:r>
    </w:p>
    <w:p w14:paraId="3CDB9940" w14:textId="77777777" w:rsidR="00F631B1" w:rsidRPr="009A0DA6" w:rsidRDefault="00F631B1" w:rsidP="00F631B1">
      <w:pPr>
        <w:pStyle w:val="NoSpacing"/>
        <w:spacing w:after="120"/>
      </w:pPr>
      <w:r w:rsidRPr="009A0DA6">
        <w:t>The Standing Committee on Constitutions provides advice and recommendations on constitutional matters relating to the church and its boards, councils, commissions and committees and to its Districts and auxiliary organisations in their relationship to the church.</w:t>
      </w:r>
    </w:p>
    <w:p w14:paraId="4F930770" w14:textId="77777777" w:rsidR="00F631B1" w:rsidRPr="009A0DA6" w:rsidRDefault="00F631B1" w:rsidP="00F631B1">
      <w:pPr>
        <w:pStyle w:val="NoSpacing"/>
        <w:spacing w:after="120"/>
      </w:pPr>
      <w:r w:rsidRPr="009A0DA6">
        <w:t>The committee has, among its many activities during this synodical term, provided significant support in drafting the necessary changes to the Constitutions and By-laws to support the structure-related proposals to be considered at this General Convention of Synod.</w:t>
      </w:r>
    </w:p>
    <w:p w14:paraId="56912FB3" w14:textId="77777777" w:rsidR="00F631B1" w:rsidRPr="009A0DA6" w:rsidRDefault="00F631B1" w:rsidP="00F631B1">
      <w:pPr>
        <w:pStyle w:val="NoSpacing"/>
        <w:spacing w:after="120"/>
      </w:pPr>
      <w:r w:rsidRPr="009A0DA6">
        <w:t>The current membership is Mr David Dreckow (Chairperson), Rev Wally Schiller (Secretary), Rev Tim Ebbs, Ms Margaret Koch, Mr Gilbert Materne and Ms Faye Schmidt.</w:t>
      </w:r>
    </w:p>
    <w:p w14:paraId="1ADFC1F8" w14:textId="77777777" w:rsidR="00F631B1" w:rsidRPr="009A0DA6" w:rsidRDefault="00F631B1" w:rsidP="00F631B1">
      <w:pPr>
        <w:pStyle w:val="NoSpacing"/>
        <w:spacing w:after="120"/>
      </w:pPr>
      <w:r w:rsidRPr="009A0DA6">
        <w:t>A separate report from the Standing Committee on Constitutions is included in the Synod Book of Reports.</w:t>
      </w:r>
    </w:p>
    <w:p w14:paraId="1520F5B4" w14:textId="77777777" w:rsidR="00F631B1" w:rsidRPr="009A0DA6" w:rsidRDefault="00F631B1" w:rsidP="00F631B1">
      <w:pPr>
        <w:pStyle w:val="Heading3"/>
      </w:pPr>
      <w:r w:rsidRPr="009A0DA6">
        <w:lastRenderedPageBreak/>
        <w:t>STANDING COMMITTEE ON NOMINATIONS</w:t>
      </w:r>
    </w:p>
    <w:p w14:paraId="2C7EAD1E" w14:textId="77777777" w:rsidR="00F631B1" w:rsidRPr="009A0DA6" w:rsidRDefault="00F631B1" w:rsidP="00F631B1">
      <w:pPr>
        <w:pStyle w:val="NoSpacing"/>
        <w:spacing w:after="120"/>
      </w:pPr>
      <w:r w:rsidRPr="009A0DA6">
        <w:t>The re-structured Standing Committee on Nominations was established at the 2015 General Convention of Synod.</w:t>
      </w:r>
    </w:p>
    <w:p w14:paraId="12C4309E" w14:textId="77777777" w:rsidR="00F631B1" w:rsidRPr="009A0DA6" w:rsidRDefault="00F631B1" w:rsidP="00F631B1">
      <w:pPr>
        <w:pStyle w:val="NoSpacing"/>
        <w:spacing w:after="120"/>
      </w:pPr>
      <w:r w:rsidRPr="009A0DA6">
        <w:t xml:space="preserve">The committee has developed processes to receive and review nominations, worked with boards, councils, committees and commissions to identify their membership requirements, fill casual vacancies that have arisen during the synodical term, and prepared the Book of Nominations for the General Convention of Synod. </w:t>
      </w:r>
    </w:p>
    <w:p w14:paraId="0B89D347" w14:textId="77777777" w:rsidR="00F631B1" w:rsidRPr="009A0DA6" w:rsidRDefault="00F631B1" w:rsidP="00F631B1">
      <w:pPr>
        <w:pStyle w:val="NoSpacing"/>
        <w:spacing w:after="120"/>
      </w:pPr>
      <w:r w:rsidRPr="009A0DA6">
        <w:t>A report from the Standing Committee on Nominations is included in the Synod Book of Reports.</w:t>
      </w:r>
    </w:p>
    <w:p w14:paraId="417AEEE9" w14:textId="77777777" w:rsidR="00F631B1" w:rsidRPr="009A0DA6" w:rsidRDefault="00F631B1" w:rsidP="00F631B1">
      <w:pPr>
        <w:pStyle w:val="Heading3"/>
      </w:pPr>
      <w:r w:rsidRPr="009A0DA6">
        <w:t>LOAN MANAGEMENT COMMITTEE</w:t>
      </w:r>
    </w:p>
    <w:p w14:paraId="242C2941" w14:textId="77777777" w:rsidR="00F631B1" w:rsidRPr="009A0DA6" w:rsidRDefault="00F631B1" w:rsidP="00F631B1">
      <w:pPr>
        <w:pStyle w:val="NoSpacing"/>
        <w:spacing w:after="120"/>
      </w:pPr>
      <w:r w:rsidRPr="009A0DA6">
        <w:t>The Loan Management Committee consists of six members appointed by the General Church Council.</w:t>
      </w:r>
    </w:p>
    <w:p w14:paraId="4D375677" w14:textId="77777777" w:rsidR="00F631B1" w:rsidRPr="009A0DA6" w:rsidRDefault="00F631B1" w:rsidP="00F631B1">
      <w:pPr>
        <w:pStyle w:val="NoSpacing"/>
        <w:spacing w:after="120"/>
      </w:pPr>
      <w:r w:rsidRPr="009A0DA6">
        <w:t>The Loan Management Committee considers, assesses and approves loan applications in accord with the LCA Loan Rules, monitors loans to ensure that borrowers are meeting their loan agreements, and works with District Church Councils, and where appropriate the General Church Council, to ensure appropriate action is taken where borrowers experience difficulty in adhering to their repayment commitments.</w:t>
      </w:r>
    </w:p>
    <w:p w14:paraId="5EFCE161" w14:textId="77777777" w:rsidR="00F631B1" w:rsidRPr="009A0DA6" w:rsidRDefault="00F631B1" w:rsidP="00F631B1">
      <w:pPr>
        <w:pStyle w:val="NoSpacing"/>
        <w:spacing w:after="120"/>
      </w:pPr>
      <w:r w:rsidRPr="009A0DA6">
        <w:t>A report from the Loan Management Committee is included in the Synod Book of Reports.</w:t>
      </w:r>
    </w:p>
    <w:p w14:paraId="265F3163" w14:textId="77777777" w:rsidR="00F631B1" w:rsidRPr="009A0DA6" w:rsidRDefault="00F631B1" w:rsidP="00F631B1">
      <w:pPr>
        <w:pStyle w:val="Heading3"/>
      </w:pPr>
      <w:r w:rsidRPr="009A0DA6">
        <w:t>EFFECTIVE GOVERNANCE</w:t>
      </w:r>
    </w:p>
    <w:p w14:paraId="2CF67311" w14:textId="77777777" w:rsidR="00F631B1" w:rsidRPr="009A0DA6" w:rsidRDefault="00F631B1" w:rsidP="00F631B1">
      <w:pPr>
        <w:pStyle w:val="NoSpacing"/>
        <w:spacing w:after="120"/>
      </w:pPr>
      <w:r w:rsidRPr="009A0DA6">
        <w:t>At its Convention in April 2013, the LCA General Synod adopted the following resolution:</w:t>
      </w:r>
    </w:p>
    <w:p w14:paraId="05A90D53" w14:textId="77777777" w:rsidR="00F631B1" w:rsidRPr="009A0DA6" w:rsidRDefault="00F631B1" w:rsidP="00F631B1">
      <w:pPr>
        <w:pStyle w:val="NoSpacing"/>
        <w:spacing w:after="120"/>
        <w:rPr>
          <w:b/>
        </w:rPr>
      </w:pPr>
      <w:r w:rsidRPr="009A0DA6">
        <w:rPr>
          <w:i/>
        </w:rPr>
        <w:t xml:space="preserve">THAT the GCC, </w:t>
      </w:r>
      <w:r w:rsidRPr="009A0DA6">
        <w:rPr>
          <w:b/>
          <w:i/>
        </w:rPr>
        <w:t>consistent with the Strategic Direction of the LCA - especially regarding improving our “Governance and Leadership capability” and being “good stewards of our available resources” - undertake a review of the current governance and administrative structures of the LCA including at the National level, District level, boards, commissions, councils and agencies during the next synodical term</w:t>
      </w:r>
      <w:r w:rsidRPr="009A0DA6">
        <w:rPr>
          <w:b/>
        </w:rPr>
        <w:t>.</w:t>
      </w:r>
    </w:p>
    <w:p w14:paraId="4170DAD4" w14:textId="77777777" w:rsidR="00F631B1" w:rsidRPr="009A0DA6" w:rsidRDefault="00F631B1" w:rsidP="00F631B1">
      <w:pPr>
        <w:pStyle w:val="NoSpacing"/>
        <w:spacing w:after="120"/>
      </w:pPr>
      <w:r w:rsidRPr="009A0DA6">
        <w:t>The GCC appointed an external consultant, Dr Maureen Cleary, to lead the review, which involved three rounds of consultations and culminated in a Final Review report from the Consultant that was received in February 2015.</w:t>
      </w:r>
    </w:p>
    <w:p w14:paraId="2187E144" w14:textId="77777777" w:rsidR="00F631B1" w:rsidRPr="009A0DA6" w:rsidRDefault="00F631B1" w:rsidP="00F631B1">
      <w:pPr>
        <w:pStyle w:val="NoSpacing"/>
        <w:spacing w:after="120"/>
      </w:pPr>
      <w:r w:rsidRPr="009A0DA6">
        <w:t>The GCC’s response to the Consultant’s report and its 28 recommendations was included in the 2015 Synod Book of Reports.</w:t>
      </w:r>
    </w:p>
    <w:p w14:paraId="74D9B6E8" w14:textId="77777777" w:rsidR="00F631B1" w:rsidRPr="009A0DA6" w:rsidRDefault="00F631B1" w:rsidP="00F631B1">
      <w:pPr>
        <w:pStyle w:val="NoSpacing"/>
        <w:spacing w:after="120"/>
        <w:rPr>
          <w:lang w:val="en-US"/>
        </w:rPr>
      </w:pPr>
      <w:r w:rsidRPr="009A0DA6">
        <w:t>At the 2015 General Convention of Synod the following proposed motion arising from recommendations of the consultant’s report was resolved:</w:t>
      </w:r>
    </w:p>
    <w:p w14:paraId="5F4ACDE0" w14:textId="77777777" w:rsidR="00F631B1" w:rsidRPr="009A0DA6" w:rsidRDefault="00F631B1" w:rsidP="00F631B1">
      <w:pPr>
        <w:pStyle w:val="NoSpacing"/>
        <w:spacing w:after="120"/>
        <w:rPr>
          <w:i/>
        </w:rPr>
      </w:pPr>
      <w:r w:rsidRPr="009A0DA6">
        <w:rPr>
          <w:i/>
        </w:rPr>
        <w:t>That Synod approves in principle support for competency-based, appropriately structured councils, boards, committees and commissions; and authorises GCC to develop and trial as far as practicable the new Rules and Governance Policy, as well as prepare necessary changes to the LCA By-Laws, for approval by General Synod in 2018 to give effect to the new arrangements for governing bodies.</w:t>
      </w:r>
    </w:p>
    <w:p w14:paraId="53C90448" w14:textId="66199B76" w:rsidR="00F631B1" w:rsidRPr="009A0DA6" w:rsidRDefault="00F631B1" w:rsidP="00F631B1">
      <w:pPr>
        <w:pStyle w:val="NoSpacing"/>
        <w:spacing w:after="120"/>
      </w:pPr>
      <w:r w:rsidRPr="009A0DA6">
        <w:t xml:space="preserve">During the synodical term a competency-based, appropriate structure has been trialled, as far as practicable, and this has been assessed as part of the </w:t>
      </w:r>
      <w:r w:rsidRPr="004A6CF9">
        <w:t xml:space="preserve">evaluation (refer to the evaluation report, which is included in the </w:t>
      </w:r>
      <w:r w:rsidR="004A6CF9" w:rsidRPr="004A6CF9">
        <w:t>Agenda Document</w:t>
      </w:r>
      <w:r w:rsidRPr="004A6CF9">
        <w:t xml:space="preserve"> section of the Book of Reports</w:t>
      </w:r>
      <w:r w:rsidR="004A6CF9" w:rsidRPr="004A6CF9">
        <w:t xml:space="preserve"> – p37</w:t>
      </w:r>
      <w:r w:rsidR="00A029DA">
        <w:t>3</w:t>
      </w:r>
      <w:r w:rsidRPr="004A6CF9">
        <w:t>).</w:t>
      </w:r>
    </w:p>
    <w:p w14:paraId="61B62C4D" w14:textId="77777777" w:rsidR="00F631B1" w:rsidRPr="009A0DA6" w:rsidRDefault="00F631B1" w:rsidP="00F631B1">
      <w:pPr>
        <w:pStyle w:val="NoSpacing"/>
        <w:spacing w:after="120"/>
      </w:pPr>
      <w:r w:rsidRPr="009A0DA6">
        <w:t xml:space="preserve">The GCC is satisfied that the outcomes of the trial have been generally positive and the proposed changes in governance reflect good practice that is appropriate to the LCA’s context. </w:t>
      </w:r>
    </w:p>
    <w:p w14:paraId="24CE6043" w14:textId="57D62930" w:rsidR="00F631B1" w:rsidRPr="009A0DA6" w:rsidRDefault="00F631B1" w:rsidP="00F631B1">
      <w:pPr>
        <w:pStyle w:val="NoSpacing"/>
        <w:spacing w:after="120"/>
      </w:pPr>
      <w:r w:rsidRPr="009A0DA6">
        <w:t>The proposed motion requests General Convention to approve the changes to the LCA Constitution and By-laws necessary to enable the new governance structure, and provides a summary of the</w:t>
      </w:r>
      <w:r w:rsidR="007817B7">
        <w:t xml:space="preserve"> reasons for the changes</w:t>
      </w:r>
      <w:r w:rsidRPr="009A0DA6">
        <w:t xml:space="preserve">. </w:t>
      </w:r>
    </w:p>
    <w:p w14:paraId="1C4FBF76" w14:textId="77777777" w:rsidR="00F631B1" w:rsidRPr="009A0DA6" w:rsidRDefault="00F631B1" w:rsidP="00F631B1">
      <w:pPr>
        <w:pStyle w:val="NoSpacing"/>
        <w:spacing w:after="120"/>
      </w:pPr>
      <w:r w:rsidRPr="009A0DA6">
        <w:t>A second distinct but complementary motion was also adopted at the 2015 General Convention, as follows:</w:t>
      </w:r>
    </w:p>
    <w:p w14:paraId="3A70D288" w14:textId="77777777" w:rsidR="00F631B1" w:rsidRPr="009A0DA6" w:rsidRDefault="00F631B1" w:rsidP="00F631B1">
      <w:pPr>
        <w:pStyle w:val="NoSpacing"/>
        <w:spacing w:after="120"/>
        <w:rPr>
          <w:i/>
          <w:lang w:val="en-US"/>
        </w:rPr>
      </w:pPr>
      <w:r w:rsidRPr="009A0DA6">
        <w:rPr>
          <w:i/>
        </w:rPr>
        <w:lastRenderedPageBreak/>
        <w:t>That GCC be authorised to trial a restructure of the National Church functions in a phased approach to provide more effective leadership, governance and other resources that are churchwide, mission-focused, service oriented, efficiently delivered and effective in enacting the decisions and directions of General Synod; and</w:t>
      </w:r>
    </w:p>
    <w:p w14:paraId="15497BE2" w14:textId="77777777" w:rsidR="00F631B1" w:rsidRPr="009A0DA6" w:rsidRDefault="00F631B1" w:rsidP="00F631B1">
      <w:pPr>
        <w:pStyle w:val="NoSpacing"/>
        <w:spacing w:after="120"/>
        <w:rPr>
          <w:i/>
        </w:rPr>
      </w:pPr>
      <w:r w:rsidRPr="009A0DA6">
        <w:rPr>
          <w:i/>
        </w:rPr>
        <w:t>That GCC report back to General Synod in 2018 on the results of the trial restructure and submit proposals for changes to the Constitution and By-laws to formalise those structural changes that have been demonstrated to provide more effective leadership, governance and other resources that are churchwide, mission-focused, service oriented, efficiently delivered and effective in enacting the decisions and directions of General Synod.</w:t>
      </w:r>
    </w:p>
    <w:p w14:paraId="3F2243BA" w14:textId="77777777" w:rsidR="00F631B1" w:rsidRPr="009A0DA6" w:rsidRDefault="00F631B1" w:rsidP="00F631B1">
      <w:pPr>
        <w:pStyle w:val="NoSpacing"/>
        <w:spacing w:after="120"/>
      </w:pPr>
      <w:r w:rsidRPr="009A0DA6">
        <w:t xml:space="preserve">The National Functions structure was established and has been operating as outlined in the 2015 General Synod proposal. </w:t>
      </w:r>
    </w:p>
    <w:p w14:paraId="208CFA02" w14:textId="3914EE0A" w:rsidR="00F631B1" w:rsidRPr="009A0DA6" w:rsidRDefault="00F631B1" w:rsidP="00F631B1">
      <w:pPr>
        <w:pStyle w:val="NoSpacing"/>
        <w:spacing w:after="120"/>
      </w:pPr>
      <w:r w:rsidRPr="009A0DA6">
        <w:t xml:space="preserve">As required by the 2015 resolution, an independent evaluation of the trial structure was commissioned by GCC </w:t>
      </w:r>
      <w:r w:rsidRPr="004A6CF9">
        <w:t xml:space="preserve">and the final report is included in the </w:t>
      </w:r>
      <w:r w:rsidR="004A6CF9" w:rsidRPr="004A6CF9">
        <w:t>Agenda Document</w:t>
      </w:r>
      <w:r w:rsidRPr="004A6CF9">
        <w:t xml:space="preserve"> section of the Book of Reports (</w:t>
      </w:r>
      <w:r w:rsidR="00F923DF">
        <w:t>p</w:t>
      </w:r>
      <w:r w:rsidR="00A029DA">
        <w:t>373</w:t>
      </w:r>
      <w:r w:rsidRPr="004A6CF9">
        <w:t>).</w:t>
      </w:r>
    </w:p>
    <w:p w14:paraId="5B5FE47C" w14:textId="77777777" w:rsidR="00F631B1" w:rsidRPr="009A0DA6" w:rsidRDefault="00F631B1" w:rsidP="00F631B1">
      <w:pPr>
        <w:pStyle w:val="NoSpacing"/>
        <w:spacing w:after="120"/>
      </w:pPr>
      <w:r w:rsidRPr="009A0DA6">
        <w:t xml:space="preserve">The GCC is satisfied the evaluation has demonstrated, within acknowledged constraints, the trial structure has or is on the way to meeting the criteria outlined in the 2015 Synod resolution and therefore recommends that the structure is formalised. </w:t>
      </w:r>
    </w:p>
    <w:p w14:paraId="08CD4703" w14:textId="7E982020" w:rsidR="00F631B1" w:rsidRPr="009A0DA6" w:rsidRDefault="00F631B1" w:rsidP="00F631B1">
      <w:pPr>
        <w:pStyle w:val="NoSpacing"/>
        <w:spacing w:after="120"/>
      </w:pPr>
      <w:r w:rsidRPr="009A0DA6">
        <w:t xml:space="preserve">The proposed motion requests General Convention to approve the changes to specific areas of the Constitution and By-laws which will give effect to the new structure, as well as terms of reference for the boards and councils; and provides a summary of the reasons for the changes </w:t>
      </w:r>
      <w:r w:rsidR="00773FBA" w:rsidRPr="00773FBA">
        <w:t>(refer Agenda 2.2.1 and 2.2.2</w:t>
      </w:r>
      <w:r w:rsidRPr="00773FBA">
        <w:t>).</w:t>
      </w:r>
      <w:r w:rsidRPr="009A0DA6">
        <w:t xml:space="preserve"> </w:t>
      </w:r>
    </w:p>
    <w:p w14:paraId="4629E906" w14:textId="77777777" w:rsidR="00F631B1" w:rsidRPr="009A0DA6" w:rsidRDefault="00F631B1" w:rsidP="00F631B1">
      <w:pPr>
        <w:pStyle w:val="NoSpacing"/>
        <w:spacing w:after="120"/>
      </w:pPr>
      <w:r w:rsidRPr="009A0DA6">
        <w:t>The proposed changes are designed to be consistent with the governing bodies proposal.</w:t>
      </w:r>
    </w:p>
    <w:p w14:paraId="50DD6817" w14:textId="77777777" w:rsidR="00F631B1" w:rsidRPr="009A0DA6" w:rsidRDefault="00F631B1" w:rsidP="00F631B1">
      <w:pPr>
        <w:pStyle w:val="Heading3"/>
      </w:pPr>
      <w:r w:rsidRPr="009A0DA6">
        <w:t>REVIEW OF THE CONSTITUTION AND BY-LAWS OF THE CHURCH</w:t>
      </w:r>
    </w:p>
    <w:p w14:paraId="58EF1D2F" w14:textId="77777777" w:rsidR="00F631B1" w:rsidRPr="009A0DA6" w:rsidRDefault="00F631B1" w:rsidP="00F631B1">
      <w:pPr>
        <w:pStyle w:val="NoSpacing"/>
        <w:spacing w:after="120"/>
      </w:pPr>
      <w:r w:rsidRPr="009A0DA6">
        <w:t>Since the church’s constitution was originally drafted in 1965 and adopted by the Constituting Convention of the LCA in October 1966, it has undergone a number of amendments and additions.</w:t>
      </w:r>
    </w:p>
    <w:p w14:paraId="683F8451" w14:textId="77777777" w:rsidR="00F631B1" w:rsidRPr="009A0DA6" w:rsidRDefault="00F631B1" w:rsidP="00F631B1">
      <w:pPr>
        <w:pStyle w:val="NoSpacing"/>
        <w:spacing w:after="120"/>
      </w:pPr>
      <w:r w:rsidRPr="009A0DA6">
        <w:t>This revision process is ongoing, led by internal changes and initiatives such as those described in the section above and those driven be external requirements; both regulatory/legislative and what is considered to be good governance practice for organisations, be they commercial enterprises or not-for-profit/charitable in purpose.</w:t>
      </w:r>
    </w:p>
    <w:p w14:paraId="67C3F502" w14:textId="77777777" w:rsidR="00F631B1" w:rsidRPr="009A0DA6" w:rsidRDefault="00F631B1" w:rsidP="00F631B1">
      <w:pPr>
        <w:pStyle w:val="NoSpacing"/>
        <w:spacing w:after="120"/>
      </w:pPr>
      <w:r w:rsidRPr="009A0DA6">
        <w:t>In light of the above the GCC has resolved that a comprehensive review of the Constitution and By-laws will be undertaken during the next synodical period.</w:t>
      </w:r>
    </w:p>
    <w:p w14:paraId="639B48E8" w14:textId="77777777" w:rsidR="00F631B1" w:rsidRPr="009A0DA6" w:rsidRDefault="00F631B1" w:rsidP="00F631B1">
      <w:pPr>
        <w:pStyle w:val="NoSpacing"/>
        <w:spacing w:after="120"/>
      </w:pPr>
      <w:r w:rsidRPr="009A0DA6">
        <w:t>The review will include, but not be limited to, a consideration of the following:</w:t>
      </w:r>
    </w:p>
    <w:p w14:paraId="5748DDCC" w14:textId="77777777" w:rsidR="00F631B1" w:rsidRPr="009A0DA6" w:rsidRDefault="00F631B1" w:rsidP="009C3A51">
      <w:pPr>
        <w:pStyle w:val="NoSpacing"/>
        <w:numPr>
          <w:ilvl w:val="0"/>
          <w:numId w:val="16"/>
        </w:numPr>
        <w:spacing w:after="120"/>
        <w:ind w:left="714" w:hanging="357"/>
      </w:pPr>
      <w:r w:rsidRPr="009A0DA6">
        <w:t>identifying the key content of the current constitution that must be retained;</w:t>
      </w:r>
    </w:p>
    <w:p w14:paraId="2171BC12" w14:textId="77777777" w:rsidR="00F631B1" w:rsidRPr="009A0DA6" w:rsidRDefault="00F631B1" w:rsidP="009C3A51">
      <w:pPr>
        <w:pStyle w:val="NoSpacing"/>
        <w:numPr>
          <w:ilvl w:val="0"/>
          <w:numId w:val="16"/>
        </w:numPr>
        <w:spacing w:after="120"/>
        <w:ind w:left="714" w:hanging="357"/>
      </w:pPr>
      <w:r w:rsidRPr="009A0DA6">
        <w:t>identifying those matters that should be removed from the constitution and by-laws and developed as Policy and Procedure; and</w:t>
      </w:r>
    </w:p>
    <w:p w14:paraId="2348B3AA" w14:textId="77777777" w:rsidR="00F631B1" w:rsidRPr="009A0DA6" w:rsidRDefault="00F631B1" w:rsidP="009C3A51">
      <w:pPr>
        <w:pStyle w:val="NoSpacing"/>
        <w:numPr>
          <w:ilvl w:val="0"/>
          <w:numId w:val="16"/>
        </w:numPr>
        <w:spacing w:after="120"/>
        <w:ind w:left="714" w:hanging="357"/>
      </w:pPr>
      <w:r w:rsidRPr="009A0DA6">
        <w:t>developing the required Policies and Procedures to align with the current constitution’s intent while updating it to reflect the church’s self-understanding and comply with current legal requirements of the Federal and State laws.</w:t>
      </w:r>
    </w:p>
    <w:p w14:paraId="37215248" w14:textId="77777777" w:rsidR="00F631B1" w:rsidRPr="009A0DA6" w:rsidRDefault="00F631B1" w:rsidP="00F631B1">
      <w:pPr>
        <w:pStyle w:val="NoSpacing"/>
        <w:spacing w:after="120"/>
      </w:pPr>
      <w:r w:rsidRPr="009A0DA6">
        <w:t>The aim is for a Constitution that has longevity and reflects who we are, why we exist, how we are governed, and be of such a nature that would require minimal changes over time.</w:t>
      </w:r>
    </w:p>
    <w:p w14:paraId="145E5F9D" w14:textId="77777777" w:rsidR="00F631B1" w:rsidRPr="009A0DA6" w:rsidRDefault="00F631B1" w:rsidP="00F631B1">
      <w:pPr>
        <w:pStyle w:val="NoSpacing"/>
        <w:spacing w:after="120"/>
      </w:pPr>
      <w:r w:rsidRPr="009A0DA6">
        <w:t>The review will be carried out under the guidance of the Standing Committee for Constitutions and in collaboration with the Executive Officer of the Church.</w:t>
      </w:r>
    </w:p>
    <w:p w14:paraId="0386BA25" w14:textId="7E05BFFB" w:rsidR="00F631B1" w:rsidRPr="009A0DA6" w:rsidRDefault="00F631B1" w:rsidP="00F631B1">
      <w:pPr>
        <w:pStyle w:val="NoSpacing"/>
        <w:spacing w:after="120"/>
        <w:rPr>
          <w:b/>
        </w:rPr>
      </w:pPr>
      <w:r w:rsidRPr="009A0DA6">
        <w:t>A report of the review, and any proposed new Constitution with supporting documents (</w:t>
      </w:r>
      <w:r w:rsidR="00773FBA" w:rsidRPr="009A0DA6">
        <w:t>e.g.</w:t>
      </w:r>
      <w:r w:rsidRPr="009A0DA6">
        <w:t xml:space="preserve"> policy), will be submitted to the 2021 General Convention of Synod for approval.</w:t>
      </w:r>
    </w:p>
    <w:p w14:paraId="629FC214" w14:textId="77777777" w:rsidR="00F631B1" w:rsidRPr="009A0DA6" w:rsidRDefault="00F631B1" w:rsidP="00F631B1">
      <w:pPr>
        <w:pStyle w:val="Heading3"/>
      </w:pPr>
      <w:r w:rsidRPr="009A0DA6">
        <w:lastRenderedPageBreak/>
        <w:t>LUTHERAN EDUCATION AUSTRALIA REVIEW</w:t>
      </w:r>
    </w:p>
    <w:p w14:paraId="25E572A7" w14:textId="77777777" w:rsidR="00F631B1" w:rsidRPr="009A0DA6" w:rsidRDefault="00F631B1" w:rsidP="00F631B1">
      <w:pPr>
        <w:pStyle w:val="NoSpacing"/>
        <w:spacing w:after="120"/>
      </w:pPr>
      <w:r w:rsidRPr="009A0DA6">
        <w:t>The GCC approved a dialogue-based review of Lutheran education, based on one of the 28 recommendations from the final report of the LCA’s Governance and Administration Review.</w:t>
      </w:r>
    </w:p>
    <w:p w14:paraId="6E6C2E08" w14:textId="77777777" w:rsidR="00F631B1" w:rsidRPr="009A0DA6" w:rsidRDefault="00F631B1" w:rsidP="00F631B1">
      <w:pPr>
        <w:pStyle w:val="NoSpacing"/>
        <w:spacing w:after="120"/>
      </w:pPr>
      <w:r w:rsidRPr="009A0DA6">
        <w:t>The review, led by Dr Maureen Cleary, commenced in 2016 and the process included consultations, surveys and consideration of written submissions which culminated in the preparation of a final report that was submitted to the GCC in August 2017.</w:t>
      </w:r>
    </w:p>
    <w:p w14:paraId="472EE00B" w14:textId="77777777" w:rsidR="00F631B1" w:rsidRPr="009A0DA6" w:rsidRDefault="00F631B1" w:rsidP="00F631B1">
      <w:pPr>
        <w:tabs>
          <w:tab w:val="left" w:pos="317"/>
        </w:tabs>
        <w:spacing w:after="120" w:line="240" w:lineRule="auto"/>
        <w:rPr>
          <w:rFonts w:ascii="Cambria" w:eastAsia="Times New Roman" w:hAnsi="Cambria" w:cs="Times New Roman"/>
        </w:rPr>
      </w:pPr>
      <w:r w:rsidRPr="009A0DA6">
        <w:rPr>
          <w:rFonts w:ascii="Cambria" w:eastAsia="Times New Roman" w:hAnsi="Cambria" w:cs="Times New Roman"/>
        </w:rPr>
        <w:t>In response to the recommendations contained in the final report, the GCC resolved to establish a joint BLEA/GCC group under the leadership of the Board for Lutheran Education Australia to build on the work of the Cleary Lutheran Education report by engaging the Lutheran Church and its Education community on core issues that impact on effective governance of Lutheran Education in Australia and NZ.</w:t>
      </w:r>
    </w:p>
    <w:p w14:paraId="6C55D8A4" w14:textId="52B582CD" w:rsidR="00F631B1" w:rsidRPr="00784AE4" w:rsidRDefault="007817B7" w:rsidP="00F631B1">
      <w:pPr>
        <w:tabs>
          <w:tab w:val="left" w:pos="317"/>
        </w:tabs>
        <w:spacing w:after="120" w:line="240" w:lineRule="auto"/>
        <w:rPr>
          <w:rFonts w:ascii="Cambria" w:eastAsia="Times New Roman" w:hAnsi="Cambria" w:cs="Times New Roman"/>
        </w:rPr>
      </w:pPr>
      <w:r>
        <w:rPr>
          <w:rFonts w:ascii="Cambria" w:eastAsia="Times New Roman" w:hAnsi="Cambria" w:cs="Times New Roman"/>
        </w:rPr>
        <w:t>The BLEA/</w:t>
      </w:r>
      <w:r w:rsidR="00F631B1" w:rsidRPr="00697150">
        <w:rPr>
          <w:rFonts w:ascii="Cambria" w:eastAsia="Times New Roman" w:hAnsi="Cambria" w:cs="Times New Roman"/>
        </w:rPr>
        <w:t xml:space="preserve">GCC Group report is included </w:t>
      </w:r>
      <w:r w:rsidR="00995084">
        <w:rPr>
          <w:rFonts w:ascii="Cambria" w:eastAsia="Times New Roman" w:hAnsi="Cambria" w:cs="Times New Roman"/>
        </w:rPr>
        <w:t xml:space="preserve">at Agenda 11.4. </w:t>
      </w:r>
      <w:r w:rsidR="00F631B1" w:rsidRPr="00784AE4">
        <w:rPr>
          <w:rFonts w:ascii="Cambria" w:eastAsia="Times New Roman" w:hAnsi="Cambria" w:cs="Times New Roman"/>
        </w:rPr>
        <w:t xml:space="preserve"> </w:t>
      </w:r>
    </w:p>
    <w:p w14:paraId="3464F2D5" w14:textId="77777777" w:rsidR="00F631B1" w:rsidRPr="009A0DA6" w:rsidRDefault="00F631B1" w:rsidP="00F631B1">
      <w:pPr>
        <w:tabs>
          <w:tab w:val="left" w:pos="317"/>
        </w:tabs>
        <w:spacing w:after="120" w:line="240" w:lineRule="auto"/>
        <w:rPr>
          <w:rFonts w:ascii="Cambria" w:eastAsia="Times New Roman" w:hAnsi="Cambria" w:cs="Times New Roman"/>
        </w:rPr>
      </w:pPr>
      <w:r w:rsidRPr="009A0DA6">
        <w:rPr>
          <w:rFonts w:ascii="Cambria" w:eastAsia="Times New Roman" w:hAnsi="Cambria" w:cs="Times New Roman"/>
        </w:rPr>
        <w:t xml:space="preserve">The GCC is submitting to the General Convention of Synod a proposed motion based on the recommendations arising from the </w:t>
      </w:r>
      <w:r w:rsidRPr="00697150">
        <w:rPr>
          <w:rFonts w:ascii="Cambria" w:eastAsia="Times New Roman" w:hAnsi="Cambria" w:cs="Times New Roman"/>
        </w:rPr>
        <w:t>report (Agenda 2.2.7).</w:t>
      </w:r>
    </w:p>
    <w:p w14:paraId="1FC4948C" w14:textId="77777777" w:rsidR="00F631B1" w:rsidRPr="009A0DA6" w:rsidRDefault="00F631B1" w:rsidP="00F631B1">
      <w:pPr>
        <w:pStyle w:val="Heading3"/>
      </w:pPr>
      <w:r w:rsidRPr="009A0DA6">
        <w:t>AGED CARE AND COMMUNITY SERVICES DIALOGUE</w:t>
      </w:r>
    </w:p>
    <w:p w14:paraId="5383770E" w14:textId="77777777" w:rsidR="00F631B1" w:rsidRPr="009A0DA6" w:rsidRDefault="00F631B1" w:rsidP="00F631B1">
      <w:pPr>
        <w:pStyle w:val="NoSpacing"/>
        <w:spacing w:after="120"/>
      </w:pPr>
      <w:r w:rsidRPr="009A0DA6">
        <w:t>In November 2015 the GCC resolved that “consideration be given by the GCC to a national ‘system’ model for the governance oversight of aged care facilities within the LCA.” This was subsequently expanded to include Lutheran Community Service organisations.</w:t>
      </w:r>
    </w:p>
    <w:p w14:paraId="757B36C3" w14:textId="77777777" w:rsidR="00F631B1" w:rsidRPr="009A0DA6" w:rsidRDefault="00F631B1" w:rsidP="00F631B1">
      <w:pPr>
        <w:pStyle w:val="NoSpacing"/>
        <w:spacing w:after="120"/>
      </w:pPr>
      <w:r w:rsidRPr="009A0DA6">
        <w:t xml:space="preserve">This decision was consistent with the Governance and Administration review report, which recommended that ‘the GCC initiates a governance review of the LCA’s aged and community care organisations with a view to identifying the various models of service provision how they fulfil the Object of the Church to: ‘Minister to human need in the name of Jesus Christ our Lord in the spirit of Christian love and service, and to provide institutions and agencies for this purpose’. </w:t>
      </w:r>
    </w:p>
    <w:p w14:paraId="12F0DF83" w14:textId="77777777" w:rsidR="00F631B1" w:rsidRPr="009A0DA6" w:rsidRDefault="00F631B1" w:rsidP="00F631B1">
      <w:pPr>
        <w:pStyle w:val="NoSpacing"/>
        <w:spacing w:after="120"/>
      </w:pPr>
      <w:r w:rsidRPr="009A0DA6">
        <w:t>A consultant, Les Stahl, was engaged in 2016 to lead the process supported by a Dialogue Group including GCC member, Mel Zerner.</w:t>
      </w:r>
    </w:p>
    <w:p w14:paraId="3DBB640E" w14:textId="77777777" w:rsidR="00F631B1" w:rsidRPr="009A0DA6" w:rsidRDefault="00F631B1" w:rsidP="00F631B1">
      <w:pPr>
        <w:pStyle w:val="NoSpacing"/>
        <w:spacing w:after="120"/>
      </w:pPr>
      <w:r w:rsidRPr="009A0DA6">
        <w:t>The majority of the LCA’s Aged Care and Community Service organisations participated in the dialogue, which included a one-on-one engagement with all of the participating organisations and two consultations/workshops.</w:t>
      </w:r>
    </w:p>
    <w:p w14:paraId="58FA4127" w14:textId="77777777" w:rsidR="00F631B1" w:rsidRPr="009A0DA6" w:rsidRDefault="00F631B1" w:rsidP="00F631B1">
      <w:pPr>
        <w:pStyle w:val="NoSpacing"/>
        <w:spacing w:after="120"/>
        <w:rPr>
          <w:lang w:val="en-US"/>
        </w:rPr>
      </w:pPr>
      <w:r w:rsidRPr="009A0DA6">
        <w:t>The final report was submitted to the GCC in February 2018 and contained 33 recommendations, all of them consistent with agreements supported by the participating organisations, and which were broken down under the following headings:</w:t>
      </w:r>
    </w:p>
    <w:p w14:paraId="13A26DBB" w14:textId="77777777" w:rsidR="00F631B1" w:rsidRPr="009A0DA6" w:rsidRDefault="00F631B1" w:rsidP="00F55252">
      <w:pPr>
        <w:pStyle w:val="NoSpacing"/>
        <w:numPr>
          <w:ilvl w:val="0"/>
          <w:numId w:val="17"/>
        </w:numPr>
        <w:spacing w:after="120"/>
        <w:ind w:left="567" w:hanging="567"/>
        <w:contextualSpacing/>
      </w:pPr>
      <w:r w:rsidRPr="009A0DA6">
        <w:t>Continuation of a dialogue-approach involving the LCA, its districts and the Aged and Community Services organisations;</w:t>
      </w:r>
    </w:p>
    <w:p w14:paraId="59585C60" w14:textId="77777777" w:rsidR="00F631B1" w:rsidRPr="009A0DA6" w:rsidRDefault="00F631B1" w:rsidP="00F55252">
      <w:pPr>
        <w:pStyle w:val="NoSpacing"/>
        <w:numPr>
          <w:ilvl w:val="0"/>
          <w:numId w:val="17"/>
        </w:numPr>
        <w:spacing w:after="120"/>
        <w:ind w:left="567" w:hanging="567"/>
        <w:contextualSpacing/>
      </w:pPr>
      <w:r w:rsidRPr="009A0DA6">
        <w:t>Focus on changing processes rather than structures;</w:t>
      </w:r>
    </w:p>
    <w:p w14:paraId="2DDCA69E" w14:textId="77777777" w:rsidR="00F631B1" w:rsidRPr="009A0DA6" w:rsidRDefault="00F631B1" w:rsidP="00F55252">
      <w:pPr>
        <w:pStyle w:val="NoSpacing"/>
        <w:numPr>
          <w:ilvl w:val="0"/>
          <w:numId w:val="17"/>
        </w:numPr>
        <w:spacing w:after="120"/>
        <w:ind w:left="567" w:hanging="567"/>
        <w:contextualSpacing/>
      </w:pPr>
      <w:r w:rsidRPr="009A0DA6">
        <w:t>Development and adoption of core governance documents;</w:t>
      </w:r>
    </w:p>
    <w:p w14:paraId="04F0C9C7" w14:textId="77777777" w:rsidR="00F631B1" w:rsidRPr="009A0DA6" w:rsidRDefault="00F631B1" w:rsidP="00F55252">
      <w:pPr>
        <w:pStyle w:val="NoSpacing"/>
        <w:numPr>
          <w:ilvl w:val="0"/>
          <w:numId w:val="17"/>
        </w:numPr>
        <w:spacing w:after="120"/>
        <w:ind w:left="567" w:hanging="567"/>
        <w:contextualSpacing/>
      </w:pPr>
      <w:r w:rsidRPr="009A0DA6">
        <w:t>Implementation of ‘in-house’ improvements to governance;</w:t>
      </w:r>
    </w:p>
    <w:p w14:paraId="24798A9F" w14:textId="77777777" w:rsidR="00F631B1" w:rsidRPr="009A0DA6" w:rsidRDefault="00F631B1" w:rsidP="00F55252">
      <w:pPr>
        <w:pStyle w:val="NoSpacing"/>
        <w:numPr>
          <w:ilvl w:val="0"/>
          <w:numId w:val="17"/>
        </w:numPr>
        <w:spacing w:after="120"/>
        <w:ind w:left="567" w:hanging="567"/>
        <w:contextualSpacing/>
      </w:pPr>
      <w:r w:rsidRPr="009A0DA6">
        <w:t>Greater support from the LCA at the national level; and</w:t>
      </w:r>
    </w:p>
    <w:p w14:paraId="65C7B97F" w14:textId="77777777" w:rsidR="00F631B1" w:rsidRPr="009A0DA6" w:rsidRDefault="00F631B1" w:rsidP="00F55252">
      <w:pPr>
        <w:pStyle w:val="NoSpacing"/>
        <w:numPr>
          <w:ilvl w:val="0"/>
          <w:numId w:val="17"/>
        </w:numPr>
        <w:spacing w:after="120"/>
        <w:ind w:left="567" w:hanging="567"/>
      </w:pPr>
      <w:r w:rsidRPr="009A0DA6">
        <w:t>Establishment of funding and support mechanisms;</w:t>
      </w:r>
    </w:p>
    <w:p w14:paraId="3A241EC5" w14:textId="77777777" w:rsidR="00F631B1" w:rsidRPr="009A0DA6" w:rsidRDefault="00F631B1" w:rsidP="00F631B1">
      <w:pPr>
        <w:pStyle w:val="NoSpacing"/>
        <w:spacing w:after="120"/>
      </w:pPr>
      <w:r w:rsidRPr="009A0DA6">
        <w:t>The GCC accepted the report’s recommendations and has committed resources to commence the initial implementation phase. The key expected outcome will be greater confidence that all the Lutheran Aged Care and Community Services are sustainable and well governed.</w:t>
      </w:r>
    </w:p>
    <w:p w14:paraId="16BD390C" w14:textId="77777777" w:rsidR="00F631B1" w:rsidRPr="009A0DA6" w:rsidRDefault="00F631B1" w:rsidP="00F631B1">
      <w:pPr>
        <w:pStyle w:val="NoSpacing"/>
        <w:spacing w:after="120"/>
        <w:rPr>
          <w:b/>
          <w:i/>
        </w:rPr>
      </w:pPr>
      <w:r w:rsidRPr="009A0DA6">
        <w:t>This outcome will require an ongoing commitment from the church and all the organisations to build on the agreements and commitments made during what is considered to have been a successful dialogue process.</w:t>
      </w:r>
    </w:p>
    <w:p w14:paraId="74422DCA" w14:textId="77777777" w:rsidR="00F631B1" w:rsidRPr="009A0DA6" w:rsidRDefault="00F631B1" w:rsidP="00F631B1">
      <w:pPr>
        <w:pStyle w:val="Heading3"/>
      </w:pPr>
      <w:r w:rsidRPr="009A0DA6">
        <w:lastRenderedPageBreak/>
        <w:t>NORTH ADELAIDE PRECINCT DEVELOPMENT</w:t>
      </w:r>
    </w:p>
    <w:p w14:paraId="29E39393" w14:textId="77777777" w:rsidR="00F631B1" w:rsidRPr="009A0DA6" w:rsidRDefault="00F631B1" w:rsidP="00F631B1">
      <w:pPr>
        <w:pStyle w:val="NoSpacing"/>
        <w:spacing w:after="120"/>
      </w:pPr>
      <w:r w:rsidRPr="009A0DA6">
        <w:t>At its Convention in 2013 the General Synod endorsed the North Adelaide Redevelopment concept and authorised the GCC to oversight the detailed master planning and implementation of the project upon satisfying itself that key issues had been addressed.</w:t>
      </w:r>
    </w:p>
    <w:p w14:paraId="1AA1252D" w14:textId="77777777" w:rsidR="00F631B1" w:rsidRPr="009A0DA6" w:rsidRDefault="00F631B1" w:rsidP="00F631B1">
      <w:pPr>
        <w:pStyle w:val="NoSpacing"/>
        <w:spacing w:after="120"/>
      </w:pPr>
      <w:r w:rsidRPr="009A0DA6">
        <w:t>The redevelopment concept was initiated, consistent with the LCA’s Strategic Direction, to ensure that the resources and assets of the LCA are fully and effectively utilised.</w:t>
      </w:r>
    </w:p>
    <w:p w14:paraId="331C00B9" w14:textId="77777777" w:rsidR="00F631B1" w:rsidRPr="009A0DA6" w:rsidRDefault="00F631B1" w:rsidP="00F631B1">
      <w:pPr>
        <w:pStyle w:val="NoSpacing"/>
        <w:spacing w:after="120"/>
      </w:pPr>
      <w:r w:rsidRPr="009A0DA6">
        <w:t>During this synodical term, there has continued to be a very careful and deliberate approach to establishing the viability of the project. The GCC has now established a clearer understanding of the financial options, which will inform the basis of further conversation with potential partners, particularly interested Lutheran Aged Care organisations.</w:t>
      </w:r>
    </w:p>
    <w:p w14:paraId="545476B9" w14:textId="77777777" w:rsidR="00F631B1" w:rsidRPr="009A0DA6" w:rsidRDefault="00F631B1" w:rsidP="00F631B1">
      <w:pPr>
        <w:pStyle w:val="NoSpacing"/>
        <w:spacing w:after="120"/>
      </w:pPr>
      <w:r w:rsidRPr="009A0DA6">
        <w:t xml:space="preserve">A significant achievement in this synodical term was the approval by the State Government of a LCA-specific Development Plan Area, which subject to any appeal by the Adelaide City Council, means that the proposed LCA masterplan for the site will comply with development policy and thereby maximise the prospects of gaining development approval. </w:t>
      </w:r>
    </w:p>
    <w:p w14:paraId="475B75EB" w14:textId="77777777" w:rsidR="00F631B1" w:rsidRPr="009A0DA6" w:rsidRDefault="00F631B1" w:rsidP="00F631B1">
      <w:pPr>
        <w:pStyle w:val="NoSpacing"/>
        <w:spacing w:after="120"/>
      </w:pPr>
      <w:r w:rsidRPr="009A0DA6">
        <w:t xml:space="preserve">The GCC has taken the position that it is important to make a ‘right’ decision, and not be pressured into making a decision within a certain timeframe. This will continue to be its position, especially in the light of rapid change within the policy environment for Aged Care organisations. </w:t>
      </w:r>
    </w:p>
    <w:p w14:paraId="1AC782A1" w14:textId="77777777" w:rsidR="00F631B1" w:rsidRPr="009A0DA6" w:rsidRDefault="00F631B1" w:rsidP="00F631B1">
      <w:pPr>
        <w:pStyle w:val="Heading3"/>
      </w:pPr>
      <w:r w:rsidRPr="009A0DA6">
        <w:t>CHURCH WORKER SUPPORT</w:t>
      </w:r>
    </w:p>
    <w:p w14:paraId="72EB0E30" w14:textId="76099D2E" w:rsidR="00F631B1" w:rsidRPr="009A0DA6" w:rsidRDefault="00F631B1" w:rsidP="00F631B1">
      <w:pPr>
        <w:pStyle w:val="NoSpacing"/>
        <w:spacing w:after="120"/>
        <w:rPr>
          <w:i/>
        </w:rPr>
      </w:pPr>
      <w:r w:rsidRPr="009A0DA6">
        <w:t>The LCA identified the need for a comprehensive and integrated approach to the care, support and management of its pastors, lay workers, employees and volunteers, which is reflected in the current LCA Strategic Direction 2013–2018 which includes a goal to</w:t>
      </w:r>
      <w:r w:rsidRPr="009A0DA6">
        <w:rPr>
          <w:b/>
          <w:i/>
        </w:rPr>
        <w:t>:</w:t>
      </w:r>
      <w:r w:rsidRPr="009A0DA6">
        <w:rPr>
          <w:i/>
        </w:rPr>
        <w:t xml:space="preserve"> </w:t>
      </w:r>
      <w:r w:rsidRPr="009A0DA6">
        <w:rPr>
          <w:b/>
          <w:i/>
        </w:rPr>
        <w:t xml:space="preserve">Enhance care of </w:t>
      </w:r>
      <w:r w:rsidR="00851A8E">
        <w:rPr>
          <w:b/>
          <w:i/>
        </w:rPr>
        <w:br/>
      </w:r>
      <w:r w:rsidRPr="009A0DA6">
        <w:rPr>
          <w:b/>
          <w:i/>
        </w:rPr>
        <w:t xml:space="preserve">our people, especially church workers and their families </w:t>
      </w:r>
      <w:r w:rsidRPr="009A0DA6">
        <w:rPr>
          <w:i/>
        </w:rPr>
        <w:t>by: developing and making available support structures that ensure appropriate care for people in the LCA, and those in contact with it.</w:t>
      </w:r>
    </w:p>
    <w:p w14:paraId="3E8C2E04" w14:textId="77777777" w:rsidR="00F631B1" w:rsidRPr="009A0DA6" w:rsidRDefault="00F631B1" w:rsidP="00F631B1">
      <w:pPr>
        <w:pStyle w:val="NoSpacing"/>
        <w:spacing w:after="120"/>
      </w:pPr>
      <w:r w:rsidRPr="009A0DA6">
        <w:t xml:space="preserve">The Department for Lay Ministry can take much credit for the improved conditions for Lay Workers, but its good progress highlighted the need to support calling and employing bodies in their care of all church workers: paid or unpaid. </w:t>
      </w:r>
    </w:p>
    <w:p w14:paraId="22CE1C8E" w14:textId="77777777" w:rsidR="00F631B1" w:rsidRPr="009A0DA6" w:rsidRDefault="00F631B1" w:rsidP="00F631B1">
      <w:pPr>
        <w:pStyle w:val="NoSpacing"/>
        <w:spacing w:after="120"/>
      </w:pPr>
      <w:r w:rsidRPr="009A0DA6">
        <w:t>The Church Worker Support Department is building on the foundations laid by the Department for Lay Ministry by implementing a program that addresses this wider need which will support church workers to ‘start well, stay well, and finish well’.</w:t>
      </w:r>
    </w:p>
    <w:p w14:paraId="582A49E7" w14:textId="77777777" w:rsidR="00F631B1" w:rsidRPr="009A0DA6" w:rsidRDefault="00F631B1" w:rsidP="00F631B1">
      <w:pPr>
        <w:pStyle w:val="NoSpacing"/>
        <w:spacing w:after="120"/>
        <w:rPr>
          <w:rFonts w:cstheme="minorHAnsi"/>
        </w:rPr>
      </w:pPr>
      <w:r w:rsidRPr="009A0DA6">
        <w:rPr>
          <w:rFonts w:cstheme="minorHAnsi"/>
        </w:rPr>
        <w:t>The work of the Church Worker Support Department has included: the development of an over-arching Church Worker Service Policy; provision of financial, physical and personal support to ALC and the Coordinator of Continuing Education Program for Pastors; preparation of resources and promotion of career and service opportunities in LCA schools; development of resources to support service management processes in congregations; and visits to over 50 congregations to support them with the resources that have been developed, and to hear from them what their issues and needs are.</w:t>
      </w:r>
    </w:p>
    <w:p w14:paraId="69620658" w14:textId="1DF9521B" w:rsidR="00F631B1" w:rsidRPr="009A0DA6" w:rsidRDefault="00F631B1" w:rsidP="00F631B1">
      <w:pPr>
        <w:pStyle w:val="NoSpacing"/>
        <w:spacing w:after="120"/>
      </w:pPr>
      <w:r w:rsidRPr="009A0DA6">
        <w:t xml:space="preserve">Further detail about the work of the Church Worker Support Department during this synodical period is available </w:t>
      </w:r>
      <w:r w:rsidR="002E1492" w:rsidRPr="002E1492">
        <w:t>at Appendix E</w:t>
      </w:r>
      <w:r w:rsidRPr="002E1492">
        <w:t>.</w:t>
      </w:r>
    </w:p>
    <w:p w14:paraId="709A5F98" w14:textId="77777777" w:rsidR="00F631B1" w:rsidRPr="009A0DA6" w:rsidRDefault="00F631B1" w:rsidP="00F631B1">
      <w:pPr>
        <w:pStyle w:val="Heading3"/>
      </w:pPr>
      <w:r w:rsidRPr="009A0DA6">
        <w:t>FINANCE AND ADMINISTRATION</w:t>
      </w:r>
    </w:p>
    <w:p w14:paraId="6D522D32" w14:textId="77777777" w:rsidR="00F631B1" w:rsidRPr="009A0DA6" w:rsidRDefault="00F631B1" w:rsidP="00F631B1">
      <w:pPr>
        <w:pStyle w:val="Subtitle"/>
      </w:pPr>
      <w:r w:rsidRPr="009A0DA6">
        <w:t xml:space="preserve">Human Resource System (HRS) </w:t>
      </w:r>
    </w:p>
    <w:p w14:paraId="049CD56C" w14:textId="77777777" w:rsidR="00F631B1" w:rsidRPr="009A0DA6" w:rsidRDefault="00F631B1" w:rsidP="00F631B1">
      <w:pPr>
        <w:pStyle w:val="NoSpacing"/>
        <w:spacing w:after="120"/>
      </w:pPr>
      <w:r w:rsidRPr="009A0DA6">
        <w:t xml:space="preserve">In recognition that existing systems and approaches to HR management (including payroll) were not meeting the needs of the LCA and exposing the church to significant risk, the GCC resolved to implement a churchwide Human Resource/Payroll System (LCA HRS). </w:t>
      </w:r>
    </w:p>
    <w:p w14:paraId="0FB44643" w14:textId="77777777" w:rsidR="00F631B1" w:rsidRPr="009A0DA6" w:rsidRDefault="00F631B1" w:rsidP="00F631B1">
      <w:pPr>
        <w:pStyle w:val="NoSpacing"/>
        <w:spacing w:after="120"/>
      </w:pPr>
      <w:r w:rsidRPr="009A0DA6">
        <w:t xml:space="preserve">As at July 2018, Churchwide and district offices, ALC, ALWS and almost 80% of all congregations and parishes in Australia are using the system, with over 1500 individuals registered into the LCA HRS. </w:t>
      </w:r>
    </w:p>
    <w:p w14:paraId="11F82A65" w14:textId="77777777" w:rsidR="00F631B1" w:rsidRPr="009A0DA6" w:rsidRDefault="00F631B1" w:rsidP="00F631B1">
      <w:pPr>
        <w:pStyle w:val="NoSpacing"/>
        <w:spacing w:after="120"/>
      </w:pPr>
      <w:r w:rsidRPr="009A0DA6">
        <w:lastRenderedPageBreak/>
        <w:t xml:space="preserve">A significant outcome has been to improve the consistent implementation of the LCA approved remuneration and entitlement policies and schedules for pastors and other church workers. Another benefit for congregations of the LCA HRS system will become evident when the ATO introduces the Single Touch Payroll, which will be compulsory for any employing/calling body with paid staff. The HRS system will be compliant with the STP and means congregations will not have to introduce their own new systems to comply with the ATO’s requirements. </w:t>
      </w:r>
    </w:p>
    <w:p w14:paraId="787F250D" w14:textId="77777777" w:rsidR="00F631B1" w:rsidRPr="009A0DA6" w:rsidRDefault="00F631B1" w:rsidP="00F631B1">
      <w:pPr>
        <w:pStyle w:val="NoSpacing"/>
        <w:spacing w:after="120"/>
      </w:pPr>
      <w:r w:rsidRPr="009A0DA6">
        <w:t>The LCAHRS was not intended to be solely a payroll system. The process for managing the administration of Pastor calls through the LCA HRS will soon be introduced. Once that is functioning, attention will focus on the opening of the remaining modules including the recording of training and development activities and performance reviews.</w:t>
      </w:r>
    </w:p>
    <w:p w14:paraId="40BD650D" w14:textId="77777777" w:rsidR="00F631B1" w:rsidRPr="009A0DA6" w:rsidRDefault="00F631B1" w:rsidP="00F631B1">
      <w:pPr>
        <w:pStyle w:val="NoSpacing"/>
        <w:spacing w:after="120"/>
      </w:pPr>
      <w:r w:rsidRPr="009A0DA6">
        <w:t xml:space="preserve">The LCAHRS will continue to refine the functioning of the system and its related processes to make it as user-friendly and responsive as possible. </w:t>
      </w:r>
    </w:p>
    <w:p w14:paraId="3CDA6AFB" w14:textId="77777777" w:rsidR="00F631B1" w:rsidRPr="009A0DA6" w:rsidRDefault="00F631B1" w:rsidP="00F631B1">
      <w:pPr>
        <w:pStyle w:val="Subtitle"/>
      </w:pPr>
      <w:r w:rsidRPr="009A0DA6">
        <w:t>Accounting Platform</w:t>
      </w:r>
    </w:p>
    <w:p w14:paraId="2246EF0F" w14:textId="77777777" w:rsidR="00F631B1" w:rsidRPr="009A0DA6" w:rsidRDefault="00F631B1" w:rsidP="00F631B1">
      <w:pPr>
        <w:pStyle w:val="NoSpacing"/>
        <w:spacing w:after="120"/>
      </w:pPr>
      <w:r w:rsidRPr="009A0DA6">
        <w:t>The LLL has provided ‘treasury services’ to the LCA since 2000, which has been a great benefit to the church. However, the LLL and LCA mutually agreed that it was time for the LCA to resume responsibility for its own finance and accounting functions in order to meet its needs at operational, management and governance levels. This decision was also consistent with the LCA auditor’s opinion that the LCA will be better served by the adoption of a new accounting platform.</w:t>
      </w:r>
    </w:p>
    <w:p w14:paraId="49BC6B88" w14:textId="1E456204" w:rsidR="00565A2C" w:rsidRDefault="00F631B1" w:rsidP="00851A8E">
      <w:pPr>
        <w:pStyle w:val="NoSpacing"/>
        <w:spacing w:after="120"/>
      </w:pPr>
      <w:r w:rsidRPr="009A0DA6">
        <w:t>The LCA, with a generous grant from the LLL, has now implemented a new accounting system, which will support the timely processing of transactions and improved financial reporting to all the LCA minist</w:t>
      </w:r>
      <w:r w:rsidR="00851A8E">
        <w:t>ries using the system.</w:t>
      </w:r>
    </w:p>
    <w:p w14:paraId="444C7D20" w14:textId="0B334A77" w:rsidR="00F631B1" w:rsidRPr="009A0DA6" w:rsidRDefault="00F631B1" w:rsidP="00F631B1">
      <w:pPr>
        <w:pStyle w:val="Subtitle"/>
        <w:rPr>
          <w:lang w:val="en-US"/>
        </w:rPr>
      </w:pPr>
      <w:r w:rsidRPr="009A0DA6">
        <w:t>Information Technology</w:t>
      </w:r>
    </w:p>
    <w:p w14:paraId="45691DC0" w14:textId="77777777" w:rsidR="00F631B1" w:rsidRPr="009A0DA6" w:rsidRDefault="00F631B1" w:rsidP="00F631B1">
      <w:pPr>
        <w:pStyle w:val="NoSpacing"/>
        <w:spacing w:after="120"/>
      </w:pPr>
      <w:r w:rsidRPr="009A0DA6">
        <w:t>In the past synodical term there has been a consolidation of IT functions under one LCA IT Team within the Finance and Administration Department. Besides the Churchwide departments, the ministries now served, to one extent or another, include ALC, SA/NT District and Vic/Tas District.</w:t>
      </w:r>
    </w:p>
    <w:p w14:paraId="6CA72284" w14:textId="77777777" w:rsidR="00F631B1" w:rsidRPr="009A0DA6" w:rsidRDefault="00F631B1" w:rsidP="00F631B1">
      <w:pPr>
        <w:pStyle w:val="NoSpacing"/>
        <w:spacing w:after="120"/>
      </w:pPr>
      <w:r w:rsidRPr="009A0DA6">
        <w:t xml:space="preserve">The LCA IT team is now also offering IT services to congregations with the aim that all parts of the church will benefit from the cost efficiencies gained by doing things together. </w:t>
      </w:r>
    </w:p>
    <w:p w14:paraId="62E42500" w14:textId="77777777" w:rsidR="00F631B1" w:rsidRPr="009A0DA6" w:rsidRDefault="00F631B1" w:rsidP="00F631B1">
      <w:pPr>
        <w:pStyle w:val="Subtitle"/>
      </w:pPr>
      <w:r w:rsidRPr="009A0DA6">
        <w:t xml:space="preserve">Lutheran Winemakers </w:t>
      </w:r>
    </w:p>
    <w:p w14:paraId="6B8424FF" w14:textId="490F3953" w:rsidR="00DB1A87" w:rsidRPr="00CF1FE7" w:rsidRDefault="00F631B1" w:rsidP="00CF1FE7">
      <w:pPr>
        <w:pStyle w:val="NoSpacing"/>
        <w:spacing w:after="120"/>
      </w:pPr>
      <w:r w:rsidRPr="009A0DA6">
        <w:t xml:space="preserve">The Lutheran Winemakers releases of four “Classic Cases” and “Stelzer Sixes” continues to provide financial support to the Longest Lutheran Lunch programme. GCC is grateful to </w:t>
      </w:r>
      <w:r w:rsidR="00851A8E">
        <w:br/>
      </w:r>
      <w:r w:rsidRPr="009A0DA6">
        <w:rPr>
          <w:b/>
        </w:rPr>
        <w:t>Mr Tyson Stelzer and Mr Chris Pfeiffer</w:t>
      </w:r>
      <w:r w:rsidRPr="009A0DA6">
        <w:t xml:space="preserve"> for their willingness to support th</w:t>
      </w:r>
      <w:r w:rsidR="00CF1FE7">
        <w:t xml:space="preserve">e Lutheran Winemakers project. </w:t>
      </w:r>
    </w:p>
    <w:p w14:paraId="0A797E00" w14:textId="12088287" w:rsidR="00F631B1" w:rsidRPr="009A0DA6" w:rsidRDefault="00F631B1" w:rsidP="00F631B1">
      <w:pPr>
        <w:pStyle w:val="Heading3"/>
      </w:pPr>
      <w:r w:rsidRPr="009A0DA6">
        <w:t>COMMUNICATIONS</w:t>
      </w:r>
    </w:p>
    <w:p w14:paraId="71E377F9" w14:textId="77777777" w:rsidR="00F631B1" w:rsidRPr="009A0DA6" w:rsidRDefault="00F631B1" w:rsidP="00F631B1">
      <w:pPr>
        <w:pStyle w:val="NoSpacing"/>
        <w:spacing w:after="120"/>
      </w:pPr>
      <w:r w:rsidRPr="009A0DA6">
        <w:t>During this synodical term, the Communications Department has worked to the GCC-approved Communications and Engagement Plan to give effect to the following LCA Strategic Direction priorities:</w:t>
      </w:r>
    </w:p>
    <w:p w14:paraId="3E7E9194" w14:textId="77777777" w:rsidR="00F631B1" w:rsidRPr="009A0DA6" w:rsidRDefault="00F631B1" w:rsidP="00F55252">
      <w:pPr>
        <w:pStyle w:val="NoSpacing"/>
        <w:numPr>
          <w:ilvl w:val="0"/>
          <w:numId w:val="19"/>
        </w:numPr>
        <w:spacing w:after="120"/>
        <w:ind w:left="425" w:hanging="357"/>
        <w:contextualSpacing/>
      </w:pPr>
      <w:r w:rsidRPr="009A0DA6">
        <w:t>Increase enthusiasm for mission by sharing how love is coming to life through individuals, families and communities;</w:t>
      </w:r>
    </w:p>
    <w:p w14:paraId="18A3BA01" w14:textId="77777777" w:rsidR="00F631B1" w:rsidRPr="009A0DA6" w:rsidRDefault="00F631B1" w:rsidP="00F55252">
      <w:pPr>
        <w:pStyle w:val="NoSpacing"/>
        <w:numPr>
          <w:ilvl w:val="0"/>
          <w:numId w:val="19"/>
        </w:numPr>
        <w:spacing w:after="120"/>
        <w:ind w:left="425" w:hanging="357"/>
        <w:contextualSpacing/>
      </w:pPr>
      <w:r w:rsidRPr="009A0DA6">
        <w:t>Support LCA ministries to effectively communicate and engage individuals, families and communities to grow and go;</w:t>
      </w:r>
    </w:p>
    <w:p w14:paraId="5C2366AB" w14:textId="77777777" w:rsidR="00F631B1" w:rsidRPr="009A0DA6" w:rsidRDefault="00F631B1" w:rsidP="00F55252">
      <w:pPr>
        <w:pStyle w:val="NoSpacing"/>
        <w:numPr>
          <w:ilvl w:val="0"/>
          <w:numId w:val="19"/>
        </w:numPr>
        <w:spacing w:after="120"/>
        <w:ind w:left="425" w:hanging="357"/>
        <w:contextualSpacing/>
      </w:pPr>
      <w:r w:rsidRPr="009A0DA6">
        <w:t>Improve collaboration between the ministries of the LCA to establish an integration of communications around the theme “Where love comes to life”; and</w:t>
      </w:r>
    </w:p>
    <w:p w14:paraId="552691B3" w14:textId="77777777" w:rsidR="00F631B1" w:rsidRPr="009A0DA6" w:rsidRDefault="00F631B1" w:rsidP="00F55252">
      <w:pPr>
        <w:pStyle w:val="NoSpacing"/>
        <w:numPr>
          <w:ilvl w:val="0"/>
          <w:numId w:val="19"/>
        </w:numPr>
        <w:spacing w:after="120"/>
        <w:ind w:left="426"/>
      </w:pPr>
      <w:r w:rsidRPr="009A0DA6">
        <w:t>Achieve internal LCA communication that is efficient, coordinated and relevant.</w:t>
      </w:r>
    </w:p>
    <w:p w14:paraId="43B0693A" w14:textId="32D35631" w:rsidR="00F631B1" w:rsidRDefault="00F631B1" w:rsidP="00F631B1">
      <w:pPr>
        <w:pStyle w:val="NoSpacing"/>
        <w:spacing w:after="120"/>
      </w:pPr>
      <w:r w:rsidRPr="009A0DA6">
        <w:t xml:space="preserve">The Plan is implemented by the Communications Department under the leadership of Communications Manager, Ms Linda Macqueen. </w:t>
      </w:r>
    </w:p>
    <w:p w14:paraId="709E7242" w14:textId="77777777" w:rsidR="00CF1FE7" w:rsidRPr="009A0DA6" w:rsidRDefault="00CF1FE7" w:rsidP="00F631B1">
      <w:pPr>
        <w:pStyle w:val="NoSpacing"/>
        <w:spacing w:after="120"/>
      </w:pPr>
    </w:p>
    <w:p w14:paraId="61C1B0CF" w14:textId="77777777" w:rsidR="00F631B1" w:rsidRPr="009A0DA6" w:rsidRDefault="00F631B1" w:rsidP="00F631B1">
      <w:pPr>
        <w:pStyle w:val="NoSpacing"/>
        <w:spacing w:after="120"/>
      </w:pPr>
      <w:r w:rsidRPr="009A0DA6">
        <w:lastRenderedPageBreak/>
        <w:t>The achievements during this synodical period include, but are not limited to:</w:t>
      </w:r>
    </w:p>
    <w:p w14:paraId="5EA8CDC3" w14:textId="77777777" w:rsidR="00F631B1" w:rsidRPr="009A0DA6" w:rsidRDefault="00F631B1" w:rsidP="00F55252">
      <w:pPr>
        <w:pStyle w:val="ListParagraph"/>
        <w:numPr>
          <w:ilvl w:val="0"/>
          <w:numId w:val="20"/>
        </w:numPr>
        <w:spacing w:after="120" w:line="240" w:lineRule="auto"/>
        <w:ind w:left="425" w:hanging="357"/>
        <w:rPr>
          <w:rFonts w:ascii="Cambria" w:hAnsi="Cambria"/>
          <w:sz w:val="10"/>
        </w:rPr>
      </w:pPr>
      <w:r w:rsidRPr="009A0DA6">
        <w:rPr>
          <w:rFonts w:ascii="Cambria" w:hAnsi="Cambria"/>
        </w:rPr>
        <w:t xml:space="preserve">Assistance to the mission departments to share their stories by: (a) developing effective means of communications, including websites, eNews, ‘Story of the Week’ videos and bulletin inserts, social media (LCA Facebook) and dedicated coverage in every edition of </w:t>
      </w:r>
      <w:r w:rsidRPr="009A0DA6">
        <w:rPr>
          <w:rFonts w:ascii="Cambria" w:hAnsi="Cambria"/>
          <w:i/>
        </w:rPr>
        <w:t>The Lutheran</w:t>
      </w:r>
      <w:r w:rsidRPr="009A0DA6">
        <w:rPr>
          <w:rFonts w:ascii="Cambria" w:hAnsi="Cambria"/>
        </w:rPr>
        <w:t>, and (b) providing expertise in writing, editing and design.</w:t>
      </w:r>
      <w:r w:rsidRPr="009A0DA6">
        <w:rPr>
          <w:rFonts w:ascii="Cambria" w:hAnsi="Cambria"/>
        </w:rPr>
        <w:br/>
      </w:r>
    </w:p>
    <w:p w14:paraId="0CEAA682" w14:textId="77777777" w:rsidR="00F631B1" w:rsidRPr="009A0DA6" w:rsidRDefault="00F631B1" w:rsidP="00F55252">
      <w:pPr>
        <w:pStyle w:val="ListParagraph"/>
        <w:numPr>
          <w:ilvl w:val="0"/>
          <w:numId w:val="20"/>
        </w:numPr>
        <w:spacing w:after="120" w:line="240" w:lineRule="auto"/>
        <w:ind w:left="425" w:hanging="357"/>
        <w:rPr>
          <w:rFonts w:ascii="Cambria" w:hAnsi="Cambria"/>
          <w:sz w:val="10"/>
        </w:rPr>
      </w:pPr>
      <w:r w:rsidRPr="009A0DA6">
        <w:rPr>
          <w:rFonts w:ascii="Cambria" w:hAnsi="Cambria"/>
        </w:rPr>
        <w:t>The provision of a wide range of communications support services across the church, including: graphic design, writing and editing support to assist in effective communication; rollout of e-communications (eNews) for most national departments and districts; and the development and maintenance of social media (LCA Facebook) platform</w:t>
      </w:r>
      <w:r w:rsidRPr="009A0DA6">
        <w:rPr>
          <w:rFonts w:ascii="Cambria" w:hAnsi="Cambria"/>
        </w:rPr>
        <w:br/>
      </w:r>
    </w:p>
    <w:p w14:paraId="21027596" w14:textId="77777777" w:rsidR="00F631B1" w:rsidRPr="009A0DA6" w:rsidRDefault="00F631B1" w:rsidP="00F55252">
      <w:pPr>
        <w:pStyle w:val="ListParagraph"/>
        <w:numPr>
          <w:ilvl w:val="0"/>
          <w:numId w:val="20"/>
        </w:numPr>
        <w:spacing w:after="120" w:line="240" w:lineRule="auto"/>
        <w:ind w:left="425" w:hanging="357"/>
        <w:rPr>
          <w:rFonts w:ascii="Cambria" w:hAnsi="Cambria"/>
          <w:sz w:val="10"/>
        </w:rPr>
      </w:pPr>
      <w:r w:rsidRPr="009A0DA6">
        <w:rPr>
          <w:rFonts w:ascii="Cambria" w:hAnsi="Cambria"/>
        </w:rPr>
        <w:t>With the generous support of the New South Wales District, development of an integrated website network across the whole church, including national departments and agencies, districts and congregations. This included the roll-out of 566 one-page congregational websites.</w:t>
      </w:r>
      <w:r w:rsidRPr="009A0DA6">
        <w:rPr>
          <w:rFonts w:ascii="Cambria" w:hAnsi="Cambria"/>
        </w:rPr>
        <w:br/>
      </w:r>
    </w:p>
    <w:p w14:paraId="7665C358" w14:textId="77777777" w:rsidR="00F631B1" w:rsidRPr="009A0DA6" w:rsidRDefault="00F631B1" w:rsidP="00F55252">
      <w:pPr>
        <w:pStyle w:val="ListParagraph"/>
        <w:numPr>
          <w:ilvl w:val="0"/>
          <w:numId w:val="20"/>
        </w:numPr>
        <w:spacing w:after="120" w:line="240" w:lineRule="auto"/>
        <w:ind w:left="425" w:hanging="357"/>
        <w:rPr>
          <w:rFonts w:ascii="Cambria" w:hAnsi="Cambria"/>
          <w:sz w:val="10"/>
        </w:rPr>
      </w:pPr>
      <w:r w:rsidRPr="009A0DA6">
        <w:rPr>
          <w:rFonts w:ascii="Cambria" w:hAnsi="Cambria"/>
        </w:rPr>
        <w:t>Standardised branding and developing common/consistent messages across national departments and districts; coordinated designs for department, agency and project promotional materials, including banners, brochures, larger publications and online media; and development of branding, design and editing manuals.</w:t>
      </w:r>
      <w:r w:rsidRPr="009A0DA6">
        <w:rPr>
          <w:rFonts w:ascii="Cambria" w:hAnsi="Cambria"/>
        </w:rPr>
        <w:br/>
      </w:r>
    </w:p>
    <w:p w14:paraId="39040E97" w14:textId="77777777" w:rsidR="00F631B1" w:rsidRPr="009A0DA6" w:rsidRDefault="00F631B1" w:rsidP="00F55252">
      <w:pPr>
        <w:pStyle w:val="ListParagraph"/>
        <w:numPr>
          <w:ilvl w:val="0"/>
          <w:numId w:val="20"/>
        </w:numPr>
        <w:spacing w:after="120" w:line="240" w:lineRule="auto"/>
        <w:ind w:left="426"/>
        <w:rPr>
          <w:rFonts w:ascii="Cambria" w:hAnsi="Cambria"/>
        </w:rPr>
      </w:pPr>
      <w:r w:rsidRPr="009A0DA6">
        <w:rPr>
          <w:rFonts w:ascii="Cambria" w:hAnsi="Cambria"/>
        </w:rPr>
        <w:t>A consistent growth in eNews (16 lists in 2014; 34 in 2017) as a key means of communication across the church. The distribution of the eNews has stimulated increased visits to LCA websites.</w:t>
      </w:r>
    </w:p>
    <w:p w14:paraId="6BB08800" w14:textId="77777777" w:rsidR="00F631B1" w:rsidRPr="009A0DA6" w:rsidRDefault="00F631B1" w:rsidP="00F631B1">
      <w:pPr>
        <w:pStyle w:val="NoSpacing"/>
        <w:spacing w:after="120"/>
      </w:pPr>
      <w:r w:rsidRPr="009A0DA6">
        <w:t xml:space="preserve">In addition, the Communications Department has continued to help to coordinate the Longest Lutheran Lunch (LLLunch) established as a means of reaching out to former and infrequently attending church members and to the wider community. The first LLLunch was held on 30 October 2011 (Reformation Sunday) and in 2017 more than 100 congregations, schools and aged care facilities registered to participate in the Lunch, which was part of the 50.500 Reformation commemorations. </w:t>
      </w:r>
    </w:p>
    <w:p w14:paraId="6E5E5D56" w14:textId="3664F516" w:rsidR="00F631B1" w:rsidRPr="009A0DA6" w:rsidRDefault="00F631B1" w:rsidP="00F631B1">
      <w:pPr>
        <w:pStyle w:val="NoSpacing"/>
        <w:spacing w:after="120"/>
      </w:pPr>
      <w:r w:rsidRPr="009A0DA6">
        <w:t xml:space="preserve">Further detail about the work of the Communications Department during this synodical period is available </w:t>
      </w:r>
      <w:r w:rsidRPr="002E1492">
        <w:t xml:space="preserve">at Appendix </w:t>
      </w:r>
      <w:r w:rsidR="002E1492" w:rsidRPr="002E1492">
        <w:t>D</w:t>
      </w:r>
      <w:r w:rsidRPr="002E1492">
        <w:t>.</w:t>
      </w:r>
    </w:p>
    <w:p w14:paraId="352F9777" w14:textId="77777777" w:rsidR="00F631B1" w:rsidRPr="009A0DA6" w:rsidRDefault="00F631B1" w:rsidP="00F631B1">
      <w:pPr>
        <w:pStyle w:val="Heading3"/>
      </w:pPr>
      <w:r w:rsidRPr="009A0DA6">
        <w:t>LUTHERAN ARCHIVES</w:t>
      </w:r>
    </w:p>
    <w:p w14:paraId="7DD2875E" w14:textId="77777777" w:rsidR="00F631B1" w:rsidRPr="009A0DA6" w:rsidRDefault="00F631B1" w:rsidP="00F631B1">
      <w:pPr>
        <w:pStyle w:val="NoSpacing"/>
        <w:spacing w:after="120"/>
      </w:pPr>
      <w:r w:rsidRPr="009A0DA6">
        <w:t>As part of the trial restructure, responsibility for the Lutheran Archives came under the Executive Officer of the Church, supported by a Committee of Lutheran Archives.</w:t>
      </w:r>
    </w:p>
    <w:p w14:paraId="10A02ADF" w14:textId="77777777" w:rsidR="00F631B1" w:rsidRPr="009A0DA6" w:rsidRDefault="00F631B1" w:rsidP="00F631B1">
      <w:pPr>
        <w:pStyle w:val="NoSpacing"/>
        <w:spacing w:after="120"/>
      </w:pPr>
      <w:r w:rsidRPr="009A0DA6">
        <w:t xml:space="preserve">While there has been a change in the structural arrangements Lutheran Archives has continued to carry out its purpose of serving the church by ensuring the records of the church are available for the church and wider community to access today, and for generations to come. </w:t>
      </w:r>
    </w:p>
    <w:p w14:paraId="6B995B17" w14:textId="77777777" w:rsidR="00F631B1" w:rsidRPr="009A0DA6" w:rsidRDefault="00F631B1" w:rsidP="00F631B1">
      <w:pPr>
        <w:pStyle w:val="NoSpacing"/>
        <w:spacing w:after="120"/>
      </w:pPr>
      <w:r w:rsidRPr="009A0DA6">
        <w:t>During the past synodical term a major project was to digitise the collection of 140 8mm and 16mm films (commenced 2015). Thanks to a generous response from church members to the ‘Seeds that Sprout’ appeal, 95% of the collection now has been digitised.</w:t>
      </w:r>
    </w:p>
    <w:p w14:paraId="75487664" w14:textId="77777777" w:rsidR="00F631B1" w:rsidRPr="009A0DA6" w:rsidRDefault="00F631B1" w:rsidP="00F631B1">
      <w:pPr>
        <w:pStyle w:val="NoSpacing"/>
        <w:spacing w:after="120"/>
      </w:pPr>
      <w:r w:rsidRPr="009A0DA6">
        <w:t>A number of other preservation-related projects also commenced, including the systematic digitisation of 24,000 catalogued photographs and photographing artefact collection for identification purposes and use in promotional ventures; rehousing of records (SA Parish Registers, congregation records) into acid-free archival enclosures; and conservation and stabilisation of fragile Immanuel Synod letter-press correspondence books (funded through a national Community Heritage grant).</w:t>
      </w:r>
    </w:p>
    <w:p w14:paraId="77F2D00A" w14:textId="77777777" w:rsidR="00F631B1" w:rsidRPr="009A0DA6" w:rsidRDefault="00F631B1" w:rsidP="00F631B1">
      <w:pPr>
        <w:pStyle w:val="NoSpacing"/>
        <w:spacing w:after="120"/>
      </w:pPr>
      <w:r w:rsidRPr="009A0DA6">
        <w:t xml:space="preserve">The Lutheran Archives has also developed relationships with Aboriginal communities, which has included the digitisation and repatriation of Koonibba Mission photographs and films to Ceduna Aboriginal Corporation, Far West Language Centre, and Koonibba community; and the exploration of a significant project to digitise and repatriate Qld mission records to the Wujal Wujal and Hope Vale communities. The project, facilitated by the State Library of </w:t>
      </w:r>
      <w:r w:rsidRPr="009A0DA6">
        <w:lastRenderedPageBreak/>
        <w:t>Queensland, included a very successful scoping and relationship-building visit in 2017 by traditional Wujal Wujal owners.</w:t>
      </w:r>
    </w:p>
    <w:p w14:paraId="3923F742" w14:textId="5E62D9E0" w:rsidR="00F631B1" w:rsidRPr="009A0DA6" w:rsidRDefault="00F631B1" w:rsidP="00F631B1">
      <w:pPr>
        <w:pStyle w:val="NoSpacing"/>
        <w:spacing w:after="120"/>
      </w:pPr>
      <w:r w:rsidRPr="009A0DA6">
        <w:t xml:space="preserve">Further detail about the work of Lutheran Archives during this synodical period is available at </w:t>
      </w:r>
      <w:r w:rsidRPr="002E1492">
        <w:t xml:space="preserve">Appendix </w:t>
      </w:r>
      <w:r w:rsidR="002E1492" w:rsidRPr="002E1492">
        <w:t>F</w:t>
      </w:r>
      <w:r w:rsidRPr="002E1492">
        <w:t>.</w:t>
      </w:r>
    </w:p>
    <w:p w14:paraId="33D180E9" w14:textId="77777777" w:rsidR="00F631B1" w:rsidRPr="009A0DA6" w:rsidRDefault="00F631B1" w:rsidP="00F631B1">
      <w:pPr>
        <w:pStyle w:val="Heading3"/>
      </w:pPr>
      <w:r w:rsidRPr="009A0DA6">
        <w:t>ORDINATION OF WOMEN</w:t>
      </w:r>
    </w:p>
    <w:p w14:paraId="074B2DA2" w14:textId="77777777" w:rsidR="00F631B1" w:rsidRPr="009A0DA6" w:rsidRDefault="00F631B1" w:rsidP="00F631B1">
      <w:pPr>
        <w:pStyle w:val="NoSpacing"/>
        <w:spacing w:after="120"/>
      </w:pPr>
      <w:r w:rsidRPr="009A0DA6">
        <w:t>The 2015 Convention of Synod resolved the following:</w:t>
      </w:r>
    </w:p>
    <w:p w14:paraId="6A226229" w14:textId="77777777" w:rsidR="00F631B1" w:rsidRPr="009A0DA6" w:rsidRDefault="00F631B1" w:rsidP="00565A2C">
      <w:pPr>
        <w:pStyle w:val="NoSpacing"/>
        <w:rPr>
          <w:i/>
        </w:rPr>
      </w:pPr>
      <w:r w:rsidRPr="009A0DA6">
        <w:rPr>
          <w:i/>
        </w:rPr>
        <w:t>That Synod requests the CTICR to build on its earlier work regarding the ordination of women and men to develop a draft doctrinal statement for GPC and the 19</w:t>
      </w:r>
      <w:r w:rsidRPr="009A0DA6">
        <w:rPr>
          <w:i/>
          <w:vertAlign w:val="superscript"/>
        </w:rPr>
        <w:t>th</w:t>
      </w:r>
      <w:r w:rsidRPr="009A0DA6">
        <w:rPr>
          <w:i/>
        </w:rPr>
        <w:t xml:space="preserve"> Convention of Synod that presents:</w:t>
      </w:r>
    </w:p>
    <w:p w14:paraId="441CB595" w14:textId="77777777" w:rsidR="00F631B1" w:rsidRPr="009A0DA6" w:rsidRDefault="00F631B1" w:rsidP="00F55252">
      <w:pPr>
        <w:pStyle w:val="NoSpacing"/>
        <w:numPr>
          <w:ilvl w:val="0"/>
          <w:numId w:val="325"/>
        </w:numPr>
        <w:ind w:left="567" w:hanging="567"/>
        <w:rPr>
          <w:i/>
        </w:rPr>
      </w:pPr>
      <w:r w:rsidRPr="009A0DA6">
        <w:rPr>
          <w:i/>
        </w:rPr>
        <w:t>A theological basis for the ordination of women and men.</w:t>
      </w:r>
    </w:p>
    <w:p w14:paraId="1C6EE42E" w14:textId="77777777" w:rsidR="00F631B1" w:rsidRPr="009A0DA6" w:rsidRDefault="00F631B1" w:rsidP="00F55252">
      <w:pPr>
        <w:pStyle w:val="NoSpacing"/>
        <w:numPr>
          <w:ilvl w:val="0"/>
          <w:numId w:val="325"/>
        </w:numPr>
        <w:ind w:left="567" w:hanging="567"/>
        <w:rPr>
          <w:i/>
        </w:rPr>
      </w:pPr>
      <w:r w:rsidRPr="009A0DA6">
        <w:rPr>
          <w:i/>
        </w:rPr>
        <w:t>A theological basis for why ordination of women and men need not be church divisive.</w:t>
      </w:r>
    </w:p>
    <w:p w14:paraId="65348463" w14:textId="37ABA6B3" w:rsidR="00F631B1" w:rsidRPr="00565A2C" w:rsidRDefault="00F631B1" w:rsidP="00F55252">
      <w:pPr>
        <w:pStyle w:val="NoSpacing"/>
        <w:numPr>
          <w:ilvl w:val="0"/>
          <w:numId w:val="325"/>
        </w:numPr>
        <w:ind w:left="567" w:hanging="567"/>
        <w:rPr>
          <w:i/>
          <w:sz w:val="6"/>
          <w:lang w:val="en"/>
        </w:rPr>
      </w:pPr>
      <w:r w:rsidRPr="009A0DA6">
        <w:rPr>
          <w:i/>
        </w:rPr>
        <w:t xml:space="preserve">And that GCC resource it. </w:t>
      </w:r>
      <w:r w:rsidR="00565A2C">
        <w:rPr>
          <w:i/>
        </w:rPr>
        <w:br/>
      </w:r>
    </w:p>
    <w:p w14:paraId="2AC7B557" w14:textId="77777777" w:rsidR="00F631B1" w:rsidRPr="009A0DA6" w:rsidRDefault="00F631B1" w:rsidP="00F631B1">
      <w:pPr>
        <w:pStyle w:val="NoSpacing"/>
        <w:spacing w:after="120"/>
        <w:rPr>
          <w:lang w:val="en"/>
        </w:rPr>
      </w:pPr>
      <w:r w:rsidRPr="009A0DA6">
        <w:rPr>
          <w:lang w:val="en"/>
        </w:rPr>
        <w:t>The GCC agreed to a plan proposed by Bishop John Henderson and prepared in consultation with the CTICR, which included a process of consultation across the church. The GCC approved an allocation of resources, generously provided by the LLL, to fund the plan. This included the appointment of a part-time Project Officer, Timothy Pietsch, who provided logistical support to the CTICR in organising the 33 consultations across Australian and New Zealand which involved over 1300 people.</w:t>
      </w:r>
    </w:p>
    <w:p w14:paraId="4A84893F" w14:textId="72D80EF2" w:rsidR="00F631B1" w:rsidRPr="009A0DA6" w:rsidRDefault="00F631B1" w:rsidP="00F631B1">
      <w:pPr>
        <w:pStyle w:val="NoSpacing"/>
        <w:spacing w:after="120"/>
        <w:rPr>
          <w:lang w:val="en"/>
        </w:rPr>
      </w:pPr>
      <w:r w:rsidRPr="009A0DA6">
        <w:rPr>
          <w:lang w:val="en"/>
        </w:rPr>
        <w:t xml:space="preserve">The GCC joins CoB (refer report at Appendix A) in thanking the members of the CTICR for faithfully and diligently carrying out the resolution of the General Synod, which culminated in the finalisation and distribution in April 2018 of the Draft Doctrinal Statement </w:t>
      </w:r>
      <w:r w:rsidRPr="009A0DA6">
        <w:t xml:space="preserve">and the paper outlining a theological basis for why the </w:t>
      </w:r>
      <w:r w:rsidRPr="00784AE4">
        <w:t>ordination of women and men need not be church divisive</w:t>
      </w:r>
      <w:r w:rsidRPr="00784AE4">
        <w:rPr>
          <w:lang w:val="en"/>
        </w:rPr>
        <w:t>, and they are now included in the CTICR report (</w:t>
      </w:r>
      <w:r w:rsidR="00F923DF">
        <w:rPr>
          <w:lang w:val="en"/>
        </w:rPr>
        <w:t>Agenda 6.1</w:t>
      </w:r>
      <w:r w:rsidRPr="00784AE4">
        <w:rPr>
          <w:lang w:val="en"/>
        </w:rPr>
        <w:t>).</w:t>
      </w:r>
    </w:p>
    <w:p w14:paraId="59920A08" w14:textId="77777777" w:rsidR="00F631B1" w:rsidRPr="009A0DA6" w:rsidRDefault="00F631B1" w:rsidP="00F631B1">
      <w:pPr>
        <w:pStyle w:val="NoSpacing"/>
        <w:spacing w:after="120"/>
        <w:rPr>
          <w:lang w:val="en"/>
        </w:rPr>
      </w:pPr>
      <w:r w:rsidRPr="009A0DA6">
        <w:rPr>
          <w:lang w:val="en"/>
        </w:rPr>
        <w:t>The GCC extends its thanks to the LLL for providing funds to assist in the implementation of this Synod resolution.</w:t>
      </w:r>
    </w:p>
    <w:p w14:paraId="5297AE12" w14:textId="77777777" w:rsidR="00F631B1" w:rsidRPr="009A0DA6" w:rsidRDefault="00F631B1" w:rsidP="00F631B1">
      <w:pPr>
        <w:pStyle w:val="Heading3"/>
      </w:pPr>
      <w:r w:rsidRPr="009A0DA6">
        <w:t>REVIEW OF THE CALL SYSTEM</w:t>
      </w:r>
    </w:p>
    <w:p w14:paraId="1FFDC83A" w14:textId="77777777" w:rsidR="00F631B1" w:rsidRPr="009A0DA6" w:rsidRDefault="00F631B1" w:rsidP="00F631B1">
      <w:pPr>
        <w:autoSpaceDE w:val="0"/>
        <w:autoSpaceDN w:val="0"/>
        <w:adjustRightInd w:val="0"/>
        <w:spacing w:after="120" w:line="240" w:lineRule="auto"/>
        <w:rPr>
          <w:rFonts w:ascii="Cambria" w:eastAsia="Calibri" w:hAnsi="Cambria" w:cs="Calibri Light"/>
        </w:rPr>
      </w:pPr>
      <w:r w:rsidRPr="009A0DA6">
        <w:rPr>
          <w:rFonts w:ascii="Cambria" w:eastAsia="Calibri" w:hAnsi="Cambria" w:cs="Calibri Light"/>
        </w:rPr>
        <w:t>The 2015 General Convention of Synod support the conduct of a review of the LCA call process which was to identify and examine potential new models for filling pastoral vacancies in congregations with a view to increasing efficiency, transparency and inclusion; and include facilitated conversations with congregations as part of the research process</w:t>
      </w:r>
    </w:p>
    <w:p w14:paraId="65F70AD2" w14:textId="77777777" w:rsidR="00F631B1" w:rsidRPr="009A0DA6" w:rsidRDefault="00F631B1" w:rsidP="00F631B1">
      <w:pPr>
        <w:autoSpaceDE w:val="0"/>
        <w:autoSpaceDN w:val="0"/>
        <w:adjustRightInd w:val="0"/>
        <w:spacing w:after="120" w:line="240" w:lineRule="auto"/>
        <w:rPr>
          <w:rFonts w:ascii="Cambria" w:eastAsia="Times New Roman" w:hAnsi="Cambria" w:cs="Calibri Light"/>
        </w:rPr>
      </w:pPr>
      <w:r w:rsidRPr="009A0DA6">
        <w:rPr>
          <w:rFonts w:ascii="Cambria" w:eastAsia="Times New Roman" w:hAnsi="Cambria" w:cs="Calibri Light"/>
        </w:rPr>
        <w:t xml:space="preserve">The engaged Australian Lutheran Institute for Theology and Ethics (ALITE) at Australian Lutheran College (ALC) to conduct the review, led by Prof. Wendy Mayer, Associate Dean for Research. </w:t>
      </w:r>
    </w:p>
    <w:p w14:paraId="51670B81" w14:textId="77777777" w:rsidR="00F631B1" w:rsidRPr="009A0DA6" w:rsidRDefault="00F631B1" w:rsidP="00F631B1">
      <w:pPr>
        <w:autoSpaceDE w:val="0"/>
        <w:autoSpaceDN w:val="0"/>
        <w:adjustRightInd w:val="0"/>
        <w:spacing w:after="120" w:line="240" w:lineRule="auto"/>
        <w:rPr>
          <w:rFonts w:ascii="Cambria" w:eastAsia="Times New Roman" w:hAnsi="Cambria" w:cs="Calibri Light"/>
        </w:rPr>
      </w:pPr>
      <w:r w:rsidRPr="009A0DA6">
        <w:rPr>
          <w:rFonts w:ascii="Cambria" w:eastAsia="Times New Roman" w:hAnsi="Cambria" w:cs="Calibri Light"/>
        </w:rPr>
        <w:t>The GCC thanks the NSW District for providing a generous grant to cover the cost of the review.</w:t>
      </w:r>
    </w:p>
    <w:p w14:paraId="79313F4F" w14:textId="5EEF89C2" w:rsidR="00F631B1" w:rsidRPr="009A0DA6" w:rsidRDefault="00F631B1" w:rsidP="00F631B1">
      <w:pPr>
        <w:pStyle w:val="NoSpacing"/>
        <w:spacing w:after="120"/>
        <w:rPr>
          <w:rFonts w:eastAsiaTheme="minorEastAsia"/>
          <w:b/>
          <w:bCs/>
          <w:lang w:val="en-US"/>
        </w:rPr>
      </w:pPr>
      <w:r w:rsidRPr="009A0DA6">
        <w:rPr>
          <w:rFonts w:eastAsia="Times New Roman" w:cs="Times New Roman"/>
        </w:rPr>
        <w:t xml:space="preserve">The GCC received the final report of the Review of the Call System slightly too late for inclusion in the Synod Book of reports. However, the GCC has prepared a document, including the general conclusions of the final report, which is </w:t>
      </w:r>
      <w:r w:rsidRPr="002E1492">
        <w:rPr>
          <w:rFonts w:eastAsia="Times New Roman" w:cs="Times New Roman"/>
        </w:rPr>
        <w:t xml:space="preserve">at Appendix </w:t>
      </w:r>
      <w:r w:rsidR="002E1492" w:rsidRPr="002E1492">
        <w:rPr>
          <w:rFonts w:eastAsia="Times New Roman" w:cs="Times New Roman"/>
        </w:rPr>
        <w:t>I</w:t>
      </w:r>
      <w:r w:rsidRPr="002E1492">
        <w:rPr>
          <w:rFonts w:eastAsia="Times New Roman" w:cs="Times New Roman"/>
        </w:rPr>
        <w:t xml:space="preserve"> of this GC</w:t>
      </w:r>
      <w:r w:rsidRPr="009A0DA6">
        <w:rPr>
          <w:rFonts w:eastAsia="Times New Roman" w:cs="Times New Roman"/>
        </w:rPr>
        <w:t>C report.</w:t>
      </w:r>
    </w:p>
    <w:p w14:paraId="7156A5AB" w14:textId="77777777" w:rsidR="00F631B1" w:rsidRPr="009A0DA6" w:rsidRDefault="00F631B1" w:rsidP="00F631B1">
      <w:pPr>
        <w:pStyle w:val="Heading3"/>
      </w:pPr>
      <w:r w:rsidRPr="009A0DA6">
        <w:t>LUTHERAN LAYPEOPLE’S LEAGUE</w:t>
      </w:r>
    </w:p>
    <w:p w14:paraId="241E8796" w14:textId="77777777" w:rsidR="00F631B1" w:rsidRPr="009A0DA6" w:rsidRDefault="00F631B1" w:rsidP="00F631B1">
      <w:pPr>
        <w:pStyle w:val="NoSpacing"/>
        <w:spacing w:after="120"/>
      </w:pPr>
      <w:r w:rsidRPr="009A0DA6">
        <w:t>The GCC once again acknowledges the invaluable support of the Lutheran Laypeople’s League (LLL). It has helped to fund many of the programs and projects of the church, including among others, Grow Ministries, Church Worker Support, Communications</w:t>
      </w:r>
      <w:r w:rsidRPr="009A0DA6">
        <w:rPr>
          <w:color w:val="FF0000"/>
        </w:rPr>
        <w:t xml:space="preserve">, </w:t>
      </w:r>
      <w:r w:rsidRPr="009A0DA6">
        <w:t xml:space="preserve">Local Mission, International Mission and Reconciliation Ministry. As mentioned earlier, the 50.500 project was also funded by the LLL. The LLL has also continued to be an important partner in managing a number of Funds of the church, including LCA Insurance and its operations. </w:t>
      </w:r>
    </w:p>
    <w:p w14:paraId="42443FB6" w14:textId="77777777" w:rsidR="00F631B1" w:rsidRPr="009A0DA6" w:rsidRDefault="00F631B1" w:rsidP="00F631B1">
      <w:pPr>
        <w:pStyle w:val="NoSpacing"/>
        <w:spacing w:after="120"/>
      </w:pPr>
      <w:r w:rsidRPr="009A0DA6">
        <w:t xml:space="preserve">The GCC is also grateful to all the church members who support the LLL by holding a deposit account or have contributed to the various LLL Funds. We encourage all members of the LCA </w:t>
      </w:r>
      <w:r w:rsidRPr="009A0DA6">
        <w:lastRenderedPageBreak/>
        <w:t xml:space="preserve">to continue to support them with personal deposit accounts and through the other facilities that the LLL offers. It is another way you can play an active role in the mission of the church. </w:t>
      </w:r>
    </w:p>
    <w:p w14:paraId="4F4D0820" w14:textId="77777777" w:rsidR="00F631B1" w:rsidRPr="009A0DA6" w:rsidRDefault="00F631B1" w:rsidP="00F631B1">
      <w:pPr>
        <w:pStyle w:val="NoSpacing"/>
        <w:spacing w:after="120"/>
      </w:pPr>
      <w:r w:rsidRPr="009A0DA6">
        <w:t xml:space="preserve">The transition of the LLL from a Religious Charitable Development Fund to an Authorised Deposit-taking Institution will involve changes to the way the LLL operates, particularly in regard to its lending policies and procedures. A GCC/LLL Working Group has been established to ensure the LCA responds appropriately to these changes. </w:t>
      </w:r>
    </w:p>
    <w:p w14:paraId="593D99C0" w14:textId="77777777" w:rsidR="00F631B1" w:rsidRPr="009A0DA6" w:rsidRDefault="00F631B1" w:rsidP="00F631B1">
      <w:pPr>
        <w:pStyle w:val="NoSpacing"/>
        <w:spacing w:after="120"/>
      </w:pPr>
      <w:r w:rsidRPr="009A0DA6">
        <w:t>Although this has involved a significant amount of change for the LLL in structure and operations, the church can be assured that the LLL’s core purpose of supporting the mission and ministry church is unchanged, along with protecting its depositors’ funds.</w:t>
      </w:r>
      <w:r w:rsidRPr="009A0DA6">
        <w:rPr>
          <w:color w:val="44546A"/>
        </w:rPr>
        <w:t xml:space="preserve"> </w:t>
      </w:r>
      <w:r w:rsidRPr="009A0DA6">
        <w:t>Customers will not notice anything different in the day to day operations of the LLL.</w:t>
      </w:r>
    </w:p>
    <w:p w14:paraId="2B404AB2" w14:textId="77777777" w:rsidR="00F631B1" w:rsidRPr="009A0DA6" w:rsidRDefault="00F631B1" w:rsidP="00F631B1">
      <w:pPr>
        <w:pStyle w:val="Heading3"/>
      </w:pPr>
      <w:r w:rsidRPr="009A0DA6">
        <w:t>COLLEGE OF BISHOPS</w:t>
      </w:r>
    </w:p>
    <w:p w14:paraId="74DE582D" w14:textId="3E88F5E7" w:rsidR="00F631B1" w:rsidRPr="009A0DA6" w:rsidRDefault="00F631B1" w:rsidP="00F631B1">
      <w:pPr>
        <w:pStyle w:val="NoSpacing"/>
        <w:spacing w:after="120"/>
      </w:pPr>
      <w:r w:rsidRPr="009A0DA6">
        <w:t>The College of Bishops (CoB) deals with all pastoral matters across the church and where appropriate report</w:t>
      </w:r>
      <w:r w:rsidR="00431A4D">
        <w:t xml:space="preserve">s on these issues to the GCC. </w:t>
      </w:r>
      <w:r w:rsidRPr="009A0DA6">
        <w:t>The Repo</w:t>
      </w:r>
      <w:r w:rsidR="00027472">
        <w:t>rt of the College of Bishops is printed below.</w:t>
      </w:r>
    </w:p>
    <w:p w14:paraId="10E9A65E" w14:textId="77777777" w:rsidR="00F631B1" w:rsidRPr="009A0DA6" w:rsidRDefault="00F631B1" w:rsidP="00F631B1">
      <w:pPr>
        <w:pStyle w:val="Heading3"/>
      </w:pPr>
      <w:r w:rsidRPr="009A0DA6">
        <w:t>APPEALS</w:t>
      </w:r>
    </w:p>
    <w:p w14:paraId="6EA02CE7" w14:textId="77777777" w:rsidR="00F631B1" w:rsidRPr="009A0DA6" w:rsidRDefault="00F631B1" w:rsidP="00F631B1">
      <w:pPr>
        <w:pStyle w:val="NoSpacing"/>
        <w:spacing w:after="120"/>
      </w:pPr>
      <w:r w:rsidRPr="009A0DA6">
        <w:t>During the synodical period (2015 – 2018) two appeals were launched to support the following projects through the LCA Disaster and Welfare Fund:</w:t>
      </w:r>
    </w:p>
    <w:p w14:paraId="11E78212" w14:textId="77777777" w:rsidR="00F631B1" w:rsidRPr="009A0DA6" w:rsidRDefault="00F631B1" w:rsidP="00F631B1">
      <w:pPr>
        <w:pStyle w:val="NoSpacing"/>
        <w:spacing w:after="120"/>
      </w:pPr>
      <w:r w:rsidRPr="009A0DA6">
        <w:t>Queensland Floods - Lockyer Valley (2013). A total of $275,000 was raised and this amount was forwarded to the Qld District for distribution to people affected by the disaster.</w:t>
      </w:r>
    </w:p>
    <w:p w14:paraId="7975B298" w14:textId="77777777" w:rsidR="00F631B1" w:rsidRPr="009A0DA6" w:rsidRDefault="00F631B1" w:rsidP="00F631B1">
      <w:pPr>
        <w:pStyle w:val="NoSpacing"/>
        <w:spacing w:after="120"/>
      </w:pPr>
      <w:r w:rsidRPr="009A0DA6">
        <w:t>South Australia Bush Fire Relief (2015). The response to this appeal generated contributions of $73,000, which was provided to the SA/NT District to enable it to render assistance to people impacted by this event.</w:t>
      </w:r>
    </w:p>
    <w:p w14:paraId="33516B0E" w14:textId="77777777" w:rsidR="00F631B1" w:rsidRPr="009A0DA6" w:rsidRDefault="00F631B1" w:rsidP="00F631B1">
      <w:pPr>
        <w:pStyle w:val="Heading3"/>
      </w:pPr>
      <w:r w:rsidRPr="009A0DA6">
        <w:t>SCHOLARSHIPS</w:t>
      </w:r>
    </w:p>
    <w:p w14:paraId="5584B90C" w14:textId="77777777" w:rsidR="00F631B1" w:rsidRPr="009A0DA6" w:rsidRDefault="00F631B1" w:rsidP="00F631B1">
      <w:pPr>
        <w:pStyle w:val="NoSpacing"/>
        <w:spacing w:after="120"/>
      </w:pPr>
      <w:r w:rsidRPr="009A0DA6">
        <w:t>During the synodical period a total of 11 scholarships with a value of $35,360 were awarded to pastors, lay workers and teachers to enable them to undertake a course of study to better equip them for service in the church.</w:t>
      </w:r>
    </w:p>
    <w:p w14:paraId="5FBBEDB4" w14:textId="77777777" w:rsidR="00F631B1" w:rsidRPr="009A0DA6" w:rsidRDefault="00F631B1" w:rsidP="00F631B1">
      <w:pPr>
        <w:pStyle w:val="NoSpacing"/>
        <w:spacing w:after="120"/>
        <w:rPr>
          <w:b/>
        </w:rPr>
      </w:pPr>
      <w:r w:rsidRPr="009A0DA6">
        <w:t>A LLL Scholarships Permanent Fund provides financial support to the Scholarship Fund ($25,000) and the LCA ALC Lecturer Succession Planning Fund ($50,000) on an annual basis.</w:t>
      </w:r>
    </w:p>
    <w:p w14:paraId="479B0541" w14:textId="06120076" w:rsidR="00F631B1" w:rsidRDefault="00F631B1" w:rsidP="00F631B1">
      <w:pPr>
        <w:pStyle w:val="NoSpacing"/>
        <w:spacing w:after="120"/>
        <w:rPr>
          <w:b/>
          <w:lang w:eastAsia="ja-JP"/>
        </w:rPr>
      </w:pPr>
    </w:p>
    <w:p w14:paraId="26FE3FF4" w14:textId="0D4AF661" w:rsidR="00697150" w:rsidRDefault="00697150">
      <w:pPr>
        <w:rPr>
          <w:rFonts w:ascii="Cambria" w:eastAsiaTheme="majorEastAsia" w:hAnsi="Cambria" w:cstheme="majorBidi"/>
          <w:b/>
          <w:sz w:val="36"/>
          <w:szCs w:val="32"/>
        </w:rPr>
      </w:pPr>
      <w:bookmarkStart w:id="16" w:name="_Toc521954586"/>
    </w:p>
    <w:p w14:paraId="0AF3947B" w14:textId="32280B17" w:rsidR="00F631B1" w:rsidRPr="009A0DA6" w:rsidRDefault="00F631B1" w:rsidP="00F631B1">
      <w:pPr>
        <w:pStyle w:val="Heading2"/>
      </w:pPr>
      <w:bookmarkStart w:id="17" w:name="_Toc522394952"/>
      <w:r w:rsidRPr="009A0DA6">
        <w:t>Appendix A: College of Bishops</w:t>
      </w:r>
      <w:bookmarkEnd w:id="16"/>
      <w:bookmarkEnd w:id="17"/>
    </w:p>
    <w:p w14:paraId="3D93E51C" w14:textId="192A5AE3" w:rsidR="00F631B1" w:rsidRPr="009A0DA6" w:rsidRDefault="00F631B1" w:rsidP="00F631B1">
      <w:pPr>
        <w:pStyle w:val="NoSpacing"/>
        <w:spacing w:before="120"/>
      </w:pPr>
      <w:r w:rsidRPr="009A0DA6">
        <w:t>The LCA Constitution and By-Laws outline the duties for the College of Bishops (CoB)</w:t>
      </w:r>
      <w:r w:rsidR="00995084">
        <w:t xml:space="preserve"> at Section 8.6.</w:t>
      </w:r>
    </w:p>
    <w:p w14:paraId="6DC94660" w14:textId="77777777" w:rsidR="00F631B1" w:rsidRPr="009A0DA6" w:rsidRDefault="00F631B1" w:rsidP="00F631B1">
      <w:pPr>
        <w:pStyle w:val="NoSpacing"/>
        <w:tabs>
          <w:tab w:val="left" w:pos="1276"/>
        </w:tabs>
        <w:ind w:left="709" w:hanging="709"/>
        <w:rPr>
          <w:b/>
          <w:sz w:val="10"/>
        </w:rPr>
      </w:pPr>
    </w:p>
    <w:p w14:paraId="50742CD1" w14:textId="77777777" w:rsidR="00F631B1" w:rsidRPr="009A0DA6" w:rsidRDefault="00F631B1" w:rsidP="00F631B1">
      <w:pPr>
        <w:pStyle w:val="NoSpacing"/>
        <w:spacing w:after="120"/>
      </w:pPr>
      <w:r w:rsidRPr="009A0DA6">
        <w:t>This report highlights the major foci of the work of the CoB during the last synodical term.</w:t>
      </w:r>
    </w:p>
    <w:p w14:paraId="13E821C6" w14:textId="77777777" w:rsidR="00F631B1" w:rsidRPr="009A0DA6" w:rsidRDefault="00F631B1" w:rsidP="00F631B1">
      <w:pPr>
        <w:pStyle w:val="NoSpacing"/>
        <w:spacing w:after="120"/>
      </w:pPr>
      <w:r w:rsidRPr="009A0DA6">
        <w:t>The College of Bishops meets monthly (except January). This involves four to five face-to-face meetings interspersed with teleconferences. In this triennium, the CoB conducted 31</w:t>
      </w:r>
      <w:r w:rsidRPr="009A0DA6">
        <w:rPr>
          <w:b/>
        </w:rPr>
        <w:t xml:space="preserve"> </w:t>
      </w:r>
      <w:r w:rsidRPr="009A0DA6">
        <w:t>meetings (17 face-to-face and 14 teleconferences). Face to face meetings are of two days duration, and include ‘generative’ topics relevant to the ministry and mission of the LCA. On occasion, the CoB will also hold electronic meetings via an online discussion board or email.</w:t>
      </w:r>
    </w:p>
    <w:p w14:paraId="4B646638" w14:textId="77777777" w:rsidR="00F631B1" w:rsidRPr="009A0DA6" w:rsidRDefault="00F631B1" w:rsidP="00F631B1">
      <w:pPr>
        <w:pStyle w:val="NoSpacing"/>
        <w:rPr>
          <w:sz w:val="10"/>
        </w:rPr>
      </w:pPr>
      <w:r w:rsidRPr="009A0DA6">
        <w:t>Additionally each year the CoB also:</w:t>
      </w:r>
      <w:r w:rsidRPr="009A0DA6">
        <w:br/>
      </w:r>
    </w:p>
    <w:p w14:paraId="65B26282" w14:textId="77777777" w:rsidR="00F631B1" w:rsidRPr="009A0DA6" w:rsidRDefault="00F631B1" w:rsidP="00F55252">
      <w:pPr>
        <w:pStyle w:val="NoSpacing"/>
        <w:numPr>
          <w:ilvl w:val="0"/>
          <w:numId w:val="21"/>
        </w:numPr>
        <w:ind w:left="567" w:hanging="567"/>
      </w:pPr>
      <w:r w:rsidRPr="009A0DA6">
        <w:t>Meets with graduate pastors and their wives who are in their second year of ministry, as part of the graduate pastor program;</w:t>
      </w:r>
    </w:p>
    <w:p w14:paraId="077A1236" w14:textId="77777777" w:rsidR="00F631B1" w:rsidRPr="009A0DA6" w:rsidRDefault="00F631B1" w:rsidP="00F55252">
      <w:pPr>
        <w:pStyle w:val="NoSpacing"/>
        <w:numPr>
          <w:ilvl w:val="0"/>
          <w:numId w:val="21"/>
        </w:numPr>
        <w:ind w:left="567" w:hanging="567"/>
      </w:pPr>
      <w:r w:rsidRPr="009A0DA6">
        <w:t>Meets Australian Lutheran College (ALC) final year pastoral ministry students and their wives on two occasions;</w:t>
      </w:r>
    </w:p>
    <w:p w14:paraId="71195431" w14:textId="77777777" w:rsidR="00F631B1" w:rsidRPr="009A0DA6" w:rsidRDefault="00F631B1" w:rsidP="00F55252">
      <w:pPr>
        <w:pStyle w:val="NoSpacing"/>
        <w:numPr>
          <w:ilvl w:val="0"/>
          <w:numId w:val="21"/>
        </w:numPr>
        <w:ind w:left="567" w:hanging="567"/>
      </w:pPr>
      <w:r w:rsidRPr="009A0DA6">
        <w:lastRenderedPageBreak/>
        <w:t>Meets as the LCA assignment panel to formally interview and approve ALC graduate candidates for ordination and conduct initial assignments to called ministry positions;</w:t>
      </w:r>
    </w:p>
    <w:p w14:paraId="73BFCCF1" w14:textId="77777777" w:rsidR="00F631B1" w:rsidRPr="009A0DA6" w:rsidRDefault="00F631B1" w:rsidP="00F55252">
      <w:pPr>
        <w:pStyle w:val="NoSpacing"/>
        <w:numPr>
          <w:ilvl w:val="0"/>
          <w:numId w:val="21"/>
        </w:numPr>
        <w:ind w:left="567" w:hanging="567"/>
      </w:pPr>
      <w:r w:rsidRPr="009A0DA6">
        <w:t>Holds an annual retreat for mutual support and refreshment through Scripture, prayer and mutual conversation and consolation;</w:t>
      </w:r>
    </w:p>
    <w:p w14:paraId="20261E2F" w14:textId="77777777" w:rsidR="00F631B1" w:rsidRPr="009A0DA6" w:rsidRDefault="00F631B1" w:rsidP="00F55252">
      <w:pPr>
        <w:pStyle w:val="NoSpacing"/>
        <w:numPr>
          <w:ilvl w:val="0"/>
          <w:numId w:val="21"/>
        </w:numPr>
        <w:ind w:left="567" w:hanging="567"/>
      </w:pPr>
      <w:r w:rsidRPr="009A0DA6">
        <w:t>Meets occasionally for special purposes, such as following the General Pastors Conference (GPC) to discuss matters emanating from the GPC.</w:t>
      </w:r>
    </w:p>
    <w:p w14:paraId="7160A273" w14:textId="77777777" w:rsidR="00F631B1" w:rsidRPr="009A0DA6" w:rsidRDefault="00F631B1" w:rsidP="00F55252">
      <w:pPr>
        <w:pStyle w:val="NoSpacing"/>
        <w:numPr>
          <w:ilvl w:val="0"/>
          <w:numId w:val="21"/>
        </w:numPr>
        <w:spacing w:after="120"/>
        <w:ind w:left="567" w:hanging="567"/>
      </w:pPr>
      <w:r w:rsidRPr="009A0DA6">
        <w:t>Arranges special workshops when it identifies the need;</w:t>
      </w:r>
    </w:p>
    <w:p w14:paraId="23450A85" w14:textId="77777777" w:rsidR="00F631B1" w:rsidRPr="009A0DA6" w:rsidRDefault="00F631B1" w:rsidP="00F631B1">
      <w:pPr>
        <w:pStyle w:val="NoSpacing"/>
        <w:rPr>
          <w:sz w:val="10"/>
        </w:rPr>
      </w:pPr>
      <w:r w:rsidRPr="009A0DA6">
        <w:t>The General Church Council (GCC) has delegated the following Constitutional responsibilities to the CoB:</w:t>
      </w:r>
      <w:r w:rsidRPr="009A0DA6">
        <w:br/>
      </w:r>
    </w:p>
    <w:p w14:paraId="2AB143CB" w14:textId="77777777" w:rsidR="00F631B1" w:rsidRPr="009A0DA6" w:rsidRDefault="00F631B1" w:rsidP="00F55252">
      <w:pPr>
        <w:pStyle w:val="NoSpacing"/>
        <w:numPr>
          <w:ilvl w:val="0"/>
          <w:numId w:val="28"/>
        </w:numPr>
        <w:ind w:left="567" w:hanging="567"/>
      </w:pPr>
      <w:r w:rsidRPr="009A0DA6">
        <w:t>Matters relating to pastors on the Roll of Pastors</w:t>
      </w:r>
    </w:p>
    <w:p w14:paraId="6D82946A" w14:textId="77777777" w:rsidR="00F631B1" w:rsidRPr="009A0DA6" w:rsidRDefault="00F631B1" w:rsidP="00F55252">
      <w:pPr>
        <w:pStyle w:val="NoSpacing"/>
        <w:numPr>
          <w:ilvl w:val="0"/>
          <w:numId w:val="22"/>
        </w:numPr>
        <w:spacing w:after="120"/>
        <w:ind w:left="567" w:hanging="567"/>
      </w:pPr>
      <w:r w:rsidRPr="009A0DA6">
        <w:t>Oversight of the Commission on Theology and Inter-Church Relations, the Commission on Worship, and the Commission on Social and Bioethical Questions</w:t>
      </w:r>
    </w:p>
    <w:p w14:paraId="4584A643" w14:textId="77777777" w:rsidR="00F631B1" w:rsidRPr="009A0DA6" w:rsidRDefault="00F631B1" w:rsidP="00F631B1">
      <w:pPr>
        <w:pStyle w:val="NoSpacing"/>
        <w:rPr>
          <w:sz w:val="10"/>
        </w:rPr>
      </w:pPr>
      <w:r w:rsidRPr="009A0DA6">
        <w:t>Over the period the membership of the CoB has been:</w:t>
      </w:r>
      <w:r w:rsidRPr="009A0DA6">
        <w:br/>
      </w:r>
    </w:p>
    <w:p w14:paraId="0CEB26A5" w14:textId="77777777" w:rsidR="00F631B1" w:rsidRPr="009A0DA6" w:rsidRDefault="00F631B1" w:rsidP="00F55252">
      <w:pPr>
        <w:pStyle w:val="NoSpacing"/>
        <w:numPr>
          <w:ilvl w:val="0"/>
          <w:numId w:val="23"/>
        </w:numPr>
        <w:ind w:left="567" w:hanging="567"/>
      </w:pPr>
      <w:r w:rsidRPr="009A0DA6">
        <w:t>Pastor John Henderson, LCA Bishop</w:t>
      </w:r>
    </w:p>
    <w:p w14:paraId="3436344D" w14:textId="77777777" w:rsidR="00F631B1" w:rsidRPr="009A0DA6" w:rsidRDefault="00F631B1" w:rsidP="00F55252">
      <w:pPr>
        <w:pStyle w:val="NoSpacing"/>
        <w:numPr>
          <w:ilvl w:val="0"/>
          <w:numId w:val="23"/>
        </w:numPr>
        <w:ind w:left="567" w:hanging="567"/>
      </w:pPr>
      <w:r w:rsidRPr="009A0DA6">
        <w:t>Pastor Dr Andrew Pfeiffer, LCA Assistant Bishop</w:t>
      </w:r>
    </w:p>
    <w:p w14:paraId="1E8135D5" w14:textId="77777777" w:rsidR="00F631B1" w:rsidRPr="009A0DA6" w:rsidRDefault="00F631B1" w:rsidP="00F55252">
      <w:pPr>
        <w:pStyle w:val="NoSpacing"/>
        <w:numPr>
          <w:ilvl w:val="0"/>
          <w:numId w:val="23"/>
        </w:numPr>
        <w:ind w:left="567" w:hanging="567"/>
      </w:pPr>
      <w:r w:rsidRPr="009A0DA6">
        <w:t>Pastor David Altus, SA/NT District</w:t>
      </w:r>
    </w:p>
    <w:p w14:paraId="5DFAE745" w14:textId="77777777" w:rsidR="00F631B1" w:rsidRPr="009A0DA6" w:rsidRDefault="00F631B1" w:rsidP="00F55252">
      <w:pPr>
        <w:pStyle w:val="NoSpacing"/>
        <w:numPr>
          <w:ilvl w:val="0"/>
          <w:numId w:val="23"/>
        </w:numPr>
        <w:ind w:left="567" w:hanging="567"/>
      </w:pPr>
      <w:r w:rsidRPr="009A0DA6">
        <w:t>Pastor Paul Smith, Qld District</w:t>
      </w:r>
    </w:p>
    <w:p w14:paraId="7D87396C" w14:textId="77777777" w:rsidR="00F631B1" w:rsidRPr="009A0DA6" w:rsidRDefault="00F631B1" w:rsidP="00F55252">
      <w:pPr>
        <w:pStyle w:val="NoSpacing"/>
        <w:numPr>
          <w:ilvl w:val="0"/>
          <w:numId w:val="23"/>
        </w:numPr>
        <w:ind w:left="567" w:hanging="567"/>
      </w:pPr>
      <w:r w:rsidRPr="009A0DA6">
        <w:t>Pastor Mark Whitfield, LCNZ</w:t>
      </w:r>
    </w:p>
    <w:p w14:paraId="47B2F200" w14:textId="54BE40A7" w:rsidR="00F631B1" w:rsidRPr="009A0DA6" w:rsidRDefault="00F631B1" w:rsidP="00F55252">
      <w:pPr>
        <w:pStyle w:val="NoSpacing"/>
        <w:numPr>
          <w:ilvl w:val="0"/>
          <w:numId w:val="23"/>
        </w:numPr>
        <w:ind w:left="567" w:hanging="567"/>
      </w:pPr>
      <w:r w:rsidRPr="009A0DA6">
        <w:t>Pastor Greg Pietsch, Vic/Tas District (</w:t>
      </w:r>
      <w:r w:rsidR="00995084">
        <w:t>2004 – 2016</w:t>
      </w:r>
      <w:r w:rsidRPr="009A0DA6">
        <w:t>)</w:t>
      </w:r>
    </w:p>
    <w:p w14:paraId="36FAB6F4" w14:textId="77777777" w:rsidR="00F631B1" w:rsidRPr="009A0DA6" w:rsidRDefault="00F631B1" w:rsidP="00F55252">
      <w:pPr>
        <w:pStyle w:val="NoSpacing"/>
        <w:numPr>
          <w:ilvl w:val="0"/>
          <w:numId w:val="23"/>
        </w:numPr>
        <w:ind w:left="567" w:hanging="567"/>
      </w:pPr>
      <w:r w:rsidRPr="009A0DA6">
        <w:t>Pastor Lester Priebbenow, Vic/Tas District (from February 2017)</w:t>
      </w:r>
    </w:p>
    <w:p w14:paraId="4B497705" w14:textId="3B391828" w:rsidR="00F631B1" w:rsidRPr="009A0DA6" w:rsidRDefault="00F631B1" w:rsidP="00F55252">
      <w:pPr>
        <w:pStyle w:val="NoSpacing"/>
        <w:numPr>
          <w:ilvl w:val="0"/>
          <w:numId w:val="23"/>
        </w:numPr>
        <w:ind w:left="567" w:hanging="567"/>
      </w:pPr>
      <w:r w:rsidRPr="009A0DA6">
        <w:t>Pastor Mark Lieschke, NSW District (</w:t>
      </w:r>
      <w:r w:rsidR="00995084">
        <w:t>2009 – 2017</w:t>
      </w:r>
      <w:r w:rsidRPr="009A0DA6">
        <w:t>)</w:t>
      </w:r>
    </w:p>
    <w:p w14:paraId="5C67E67D" w14:textId="77777777" w:rsidR="00F631B1" w:rsidRPr="009A0DA6" w:rsidRDefault="00F631B1" w:rsidP="00F55252">
      <w:pPr>
        <w:pStyle w:val="NoSpacing"/>
        <w:numPr>
          <w:ilvl w:val="0"/>
          <w:numId w:val="23"/>
        </w:numPr>
        <w:ind w:left="567" w:hanging="567"/>
      </w:pPr>
      <w:r w:rsidRPr="009A0DA6">
        <w:t>Pastor James Haak, NSW District (from February 2018)</w:t>
      </w:r>
    </w:p>
    <w:p w14:paraId="190223ED" w14:textId="11EA834B" w:rsidR="00F631B1" w:rsidRPr="009A0DA6" w:rsidRDefault="00F631B1" w:rsidP="00F55252">
      <w:pPr>
        <w:pStyle w:val="NoSpacing"/>
        <w:numPr>
          <w:ilvl w:val="0"/>
          <w:numId w:val="23"/>
        </w:numPr>
        <w:ind w:left="567" w:hanging="567"/>
      </w:pPr>
      <w:r w:rsidRPr="009A0DA6">
        <w:t>Pastor Greg Pfeiffer, WA District (</w:t>
      </w:r>
      <w:r w:rsidR="00995084">
        <w:t>2009 – 2017</w:t>
      </w:r>
      <w:r w:rsidRPr="009A0DA6">
        <w:t>)</w:t>
      </w:r>
    </w:p>
    <w:p w14:paraId="0228FEC3" w14:textId="77777777" w:rsidR="00F631B1" w:rsidRPr="009A0DA6" w:rsidRDefault="00F631B1" w:rsidP="00F55252">
      <w:pPr>
        <w:pStyle w:val="NoSpacing"/>
        <w:numPr>
          <w:ilvl w:val="0"/>
          <w:numId w:val="23"/>
        </w:numPr>
        <w:ind w:left="567" w:hanging="567"/>
      </w:pPr>
      <w:r w:rsidRPr="009A0DA6">
        <w:t>Pastor Mike Fulwood, WA District (from April 2017)</w:t>
      </w:r>
    </w:p>
    <w:p w14:paraId="79C23323" w14:textId="77777777" w:rsidR="00F631B1" w:rsidRPr="009A0DA6" w:rsidRDefault="00F631B1" w:rsidP="00F55252">
      <w:pPr>
        <w:pStyle w:val="NoSpacing"/>
        <w:numPr>
          <w:ilvl w:val="0"/>
          <w:numId w:val="23"/>
        </w:numPr>
        <w:spacing w:after="120"/>
        <w:ind w:left="567" w:hanging="567"/>
      </w:pPr>
      <w:r w:rsidRPr="009A0DA6">
        <w:t>Pastor Neville Otto, LCA Secretary (consultant).</w:t>
      </w:r>
    </w:p>
    <w:p w14:paraId="080F1437" w14:textId="77777777" w:rsidR="00F631B1" w:rsidRPr="009A0DA6" w:rsidRDefault="00F631B1" w:rsidP="00F631B1">
      <w:pPr>
        <w:pStyle w:val="NoSpacing"/>
        <w:spacing w:after="120"/>
      </w:pPr>
      <w:r w:rsidRPr="009A0DA6">
        <w:t>We thank God for the faithful service of all who concluded their service during this past synodical term and thank God for our new Bishops.</w:t>
      </w:r>
    </w:p>
    <w:p w14:paraId="45874A23" w14:textId="77777777" w:rsidR="00F631B1" w:rsidRPr="009A0DA6" w:rsidRDefault="00F631B1" w:rsidP="00F631B1">
      <w:pPr>
        <w:pStyle w:val="Heading3"/>
      </w:pPr>
      <w:r w:rsidRPr="009A0DA6">
        <w:t xml:space="preserve">Pastor Statistics </w:t>
      </w:r>
    </w:p>
    <w:p w14:paraId="7233F77B" w14:textId="7BEFF38D" w:rsidR="00F631B1" w:rsidRPr="009A0DA6" w:rsidRDefault="00697150" w:rsidP="00F631B1">
      <w:pPr>
        <w:pStyle w:val="NoSpacing"/>
        <w:spacing w:after="120"/>
      </w:pPr>
      <w:r w:rsidRPr="00697150">
        <w:t>(Refer Appendix 1</w:t>
      </w:r>
      <w:r w:rsidR="00027472">
        <w:t>, p44</w:t>
      </w:r>
      <w:r w:rsidR="00F631B1" w:rsidRPr="00DE6A49">
        <w:t>)</w:t>
      </w:r>
    </w:p>
    <w:p w14:paraId="4EAA108F" w14:textId="77777777" w:rsidR="00F631B1" w:rsidRPr="009A0DA6" w:rsidRDefault="00F631B1" w:rsidP="00F631B1">
      <w:pPr>
        <w:pStyle w:val="NoSpacing"/>
        <w:spacing w:after="120"/>
      </w:pPr>
      <w:r w:rsidRPr="009A0DA6">
        <w:t>The LCA holds that ‘the office of the (ordained) ministry is an office, which is simultaneous with the church and to which the church is bound from its beginning to the end of time.’ (Theses of Agreement VI.3) Therefore, the training, supply and service of our pastors is of vital concern to us.</w:t>
      </w:r>
    </w:p>
    <w:p w14:paraId="6D4A26EC" w14:textId="77777777" w:rsidR="00F631B1" w:rsidRPr="009A0DA6" w:rsidRDefault="00F631B1" w:rsidP="00F631B1">
      <w:pPr>
        <w:pStyle w:val="NoSpacing"/>
        <w:spacing w:after="120"/>
        <w:rPr>
          <w:b/>
          <w:sz w:val="28"/>
          <w:szCs w:val="28"/>
        </w:rPr>
      </w:pPr>
      <w:r w:rsidRPr="009A0DA6">
        <w:t>Accordingly, the pastorate has occupied the largest part of the CoB agenda. We continue to gather data on pastoral supply. We have identified an approaching shortage of supply and the ongoing need for active recruitment. The CoB is active in promoting the pastoral ministry and implementing strategies to best deployment of pastors in our contemporary church. We acknowledge the profound respect accorded to pastors in the LCA, and the need for Pastors to honour the trust the church places in them. We are thankful for the ongoing support of calling bodies that makes their ministry possible. Please pray for the ministry of our pastors as we walk, pray and serve together confidently as God’s people in Synod.</w:t>
      </w:r>
    </w:p>
    <w:p w14:paraId="50C417EE" w14:textId="77777777" w:rsidR="00F631B1" w:rsidRPr="009A0DA6" w:rsidRDefault="00F631B1" w:rsidP="00F631B1">
      <w:pPr>
        <w:pStyle w:val="NoSpacing"/>
      </w:pPr>
      <w:r w:rsidRPr="009A0DA6">
        <w:t>CoB also considers the care of pastors and their families, and their ongoing support and development.</w:t>
      </w:r>
    </w:p>
    <w:p w14:paraId="0DD6EA65" w14:textId="77777777" w:rsidR="00F631B1" w:rsidRPr="009A0DA6" w:rsidRDefault="00F631B1" w:rsidP="00F631B1">
      <w:pPr>
        <w:pStyle w:val="NoSpacing"/>
        <w:rPr>
          <w:sz w:val="10"/>
        </w:rPr>
      </w:pPr>
    </w:p>
    <w:p w14:paraId="08EACB82" w14:textId="53484D1F" w:rsidR="00F631B1" w:rsidRPr="009A0DA6" w:rsidRDefault="00F631B1" w:rsidP="00F631B1">
      <w:pPr>
        <w:pStyle w:val="NoSpacing"/>
        <w:spacing w:after="120"/>
      </w:pPr>
      <w:r w:rsidRPr="009A0DA6">
        <w:t>The 20 recommendations contained in report commissioned by the CoB, ‘</w:t>
      </w:r>
      <w:r w:rsidRPr="009A0DA6">
        <w:rPr>
          <w:i/>
        </w:rPr>
        <w:t>Pastoral Ministry in the Lutheran Church of Australia: A Snapshot Fifty Years after Union</w:t>
      </w:r>
      <w:r w:rsidRPr="009A0DA6">
        <w:t xml:space="preserve">’, have occupied much of our time. We are addressing them progressively (see the </w:t>
      </w:r>
      <w:r w:rsidRPr="00697150">
        <w:t xml:space="preserve">summary at </w:t>
      </w:r>
      <w:r w:rsidR="00027472">
        <w:t>Appendix 2, p44</w:t>
      </w:r>
      <w:r w:rsidRPr="00697150">
        <w:t>).</w:t>
      </w:r>
    </w:p>
    <w:p w14:paraId="328DF126" w14:textId="77777777" w:rsidR="00F631B1" w:rsidRPr="009A0DA6" w:rsidRDefault="00F631B1" w:rsidP="00F631B1">
      <w:pPr>
        <w:pStyle w:val="NoSpacing"/>
      </w:pPr>
    </w:p>
    <w:p w14:paraId="0A691E1E" w14:textId="77777777" w:rsidR="00F631B1" w:rsidRPr="009A0DA6" w:rsidRDefault="00F631B1" w:rsidP="00F631B1">
      <w:pPr>
        <w:pStyle w:val="Heading3"/>
      </w:pPr>
      <w:r w:rsidRPr="009A0DA6">
        <w:lastRenderedPageBreak/>
        <w:t>Attention to the Doctrine, Worship, and Life of the Church</w:t>
      </w:r>
    </w:p>
    <w:p w14:paraId="7DB51A2B" w14:textId="5300B3B5" w:rsidR="00F631B1" w:rsidRPr="009A0DA6" w:rsidRDefault="00F631B1" w:rsidP="00F631B1">
      <w:pPr>
        <w:pStyle w:val="NoSpacing"/>
        <w:spacing w:after="120"/>
      </w:pPr>
      <w:r w:rsidRPr="009A0DA6">
        <w:t xml:space="preserve">The CoB oversights the Commission on Theology and Inter-Church Relations (CTICR). This term the major focus of the CTICR has been Synod Resolution </w:t>
      </w:r>
      <w:r w:rsidR="004113A1">
        <w:t>2015:0</w:t>
      </w:r>
      <w:r w:rsidRPr="009A0DA6">
        <w:t xml:space="preserve">216: </w:t>
      </w:r>
    </w:p>
    <w:p w14:paraId="27B9E972" w14:textId="77777777" w:rsidR="00F631B1" w:rsidRPr="009A0DA6" w:rsidRDefault="00F631B1" w:rsidP="00F631B1">
      <w:pPr>
        <w:pStyle w:val="NoSpacing"/>
        <w:ind w:left="284"/>
        <w:rPr>
          <w:i/>
        </w:rPr>
      </w:pPr>
      <w:r w:rsidRPr="009A0DA6">
        <w:rPr>
          <w:i/>
        </w:rPr>
        <w:t>RESOLVED: that Synod requests the CTICR to build on its earlier work regarding the ordination of women and men to develop a draft doctrinal statement for GPC and the 19th Convention of Synod that presents:</w:t>
      </w:r>
    </w:p>
    <w:p w14:paraId="223D7DC7" w14:textId="77777777" w:rsidR="00F631B1" w:rsidRPr="009A0DA6" w:rsidRDefault="00F631B1" w:rsidP="00F631B1">
      <w:pPr>
        <w:pStyle w:val="NoSpacing"/>
        <w:ind w:left="851" w:hanging="284"/>
        <w:rPr>
          <w:i/>
        </w:rPr>
      </w:pPr>
      <w:r w:rsidRPr="009A0DA6">
        <w:rPr>
          <w:i/>
        </w:rPr>
        <w:t>•</w:t>
      </w:r>
      <w:r w:rsidRPr="009A0DA6">
        <w:rPr>
          <w:i/>
        </w:rPr>
        <w:tab/>
        <w:t>A theological basis for the ordination of women and men.</w:t>
      </w:r>
    </w:p>
    <w:p w14:paraId="2C0EFA16" w14:textId="77777777" w:rsidR="00F631B1" w:rsidRPr="009A0DA6" w:rsidRDefault="00F631B1" w:rsidP="00F631B1">
      <w:pPr>
        <w:pStyle w:val="NoSpacing"/>
        <w:ind w:left="851" w:hanging="284"/>
        <w:rPr>
          <w:i/>
        </w:rPr>
      </w:pPr>
      <w:r w:rsidRPr="009A0DA6">
        <w:rPr>
          <w:i/>
        </w:rPr>
        <w:t>•</w:t>
      </w:r>
      <w:r w:rsidRPr="009A0DA6">
        <w:rPr>
          <w:i/>
        </w:rPr>
        <w:tab/>
        <w:t>A theological basis for why the ordination of women and men need not be church divisive.</w:t>
      </w:r>
    </w:p>
    <w:p w14:paraId="559CD9B6" w14:textId="77777777" w:rsidR="00F631B1" w:rsidRPr="009A0DA6" w:rsidRDefault="00F631B1" w:rsidP="00F631B1">
      <w:pPr>
        <w:pStyle w:val="NoSpacing"/>
        <w:spacing w:after="120"/>
        <w:ind w:left="851" w:hanging="284"/>
        <w:rPr>
          <w:i/>
        </w:rPr>
      </w:pPr>
      <w:r w:rsidRPr="009A0DA6">
        <w:rPr>
          <w:i/>
        </w:rPr>
        <w:t>•</w:t>
      </w:r>
      <w:r w:rsidRPr="009A0DA6">
        <w:rPr>
          <w:i/>
        </w:rPr>
        <w:tab/>
        <w:t>And that GCC resource it.</w:t>
      </w:r>
    </w:p>
    <w:p w14:paraId="7D58EC09" w14:textId="77777777" w:rsidR="00F631B1" w:rsidRPr="009A0DA6" w:rsidRDefault="00F631B1" w:rsidP="00F631B1">
      <w:pPr>
        <w:pStyle w:val="NoSpacing"/>
        <w:spacing w:after="120"/>
      </w:pPr>
      <w:r w:rsidRPr="009A0DA6">
        <w:t>The CTICR has done this work using financial resources provided by the LLL through the GCC. The resulting statements will be presented to this Synod. The CoB thanks the CTICR and the Consultation Project Officer Timothy Pietsch for their diligent work in preparing these documents. The CoB also thanks the many people (1300+) who engaged in the consultation process.</w:t>
      </w:r>
    </w:p>
    <w:p w14:paraId="57641C10" w14:textId="77777777" w:rsidR="00F631B1" w:rsidRPr="009A0DA6" w:rsidRDefault="00F631B1" w:rsidP="00F631B1">
      <w:pPr>
        <w:pStyle w:val="NoSpacing"/>
        <w:spacing w:after="120"/>
      </w:pPr>
      <w:r w:rsidRPr="009A0DA6">
        <w:t>The CTICR also presents its work on the study of theological and scriptural understanding of subordination and the role of male headship in marriage and the contextual implications for family violence in its report to Synod.</w:t>
      </w:r>
    </w:p>
    <w:p w14:paraId="36958953" w14:textId="77777777" w:rsidR="00F631B1" w:rsidRPr="009A0DA6" w:rsidRDefault="00F631B1" w:rsidP="00F631B1">
      <w:pPr>
        <w:pStyle w:val="NoSpacing"/>
        <w:spacing w:after="120"/>
      </w:pPr>
      <w:r w:rsidRPr="009A0DA6">
        <w:t>The CoB worked with the theological and pastoral issues raised by the teaching and practice of Pastor Edgar Mayer and the Living Grace congregation in Toowoomba. Both Pastor Mayer and the congregation eventually decided to resign from the LCA and conduct their ministry independently. This action was finalised in an orderly way on 27 August 2017 with a rite of peaceful dismissal conducted by Bishop Paul Smith.</w:t>
      </w:r>
    </w:p>
    <w:p w14:paraId="21C20421" w14:textId="77777777" w:rsidR="00F631B1" w:rsidRPr="009A0DA6" w:rsidRDefault="00F631B1" w:rsidP="00F631B1">
      <w:pPr>
        <w:pStyle w:val="Heading3"/>
      </w:pPr>
      <w:r w:rsidRPr="009A0DA6">
        <w:t>50.500 Reformation Celebrations/Commemoration</w:t>
      </w:r>
    </w:p>
    <w:p w14:paraId="2B252AB3" w14:textId="0AC36331" w:rsidR="00F631B1" w:rsidRPr="009A0DA6" w:rsidRDefault="00F631B1" w:rsidP="00F631B1">
      <w:pPr>
        <w:pStyle w:val="NoSpacing"/>
        <w:rPr>
          <w:rStyle w:val="NoSpacingChar"/>
        </w:rPr>
      </w:pPr>
      <w:r w:rsidRPr="009A0DA6">
        <w:rPr>
          <w:rStyle w:val="NoSpacingChar"/>
        </w:rPr>
        <w:t>(Joint commemorations, Joint Statement on the Reformation)</w:t>
      </w:r>
    </w:p>
    <w:p w14:paraId="4BE3DE28" w14:textId="77777777" w:rsidR="00F631B1" w:rsidRPr="009A0DA6" w:rsidRDefault="00F631B1" w:rsidP="00F631B1">
      <w:pPr>
        <w:pStyle w:val="NoSpacing"/>
        <w:rPr>
          <w:sz w:val="10"/>
        </w:rPr>
      </w:pPr>
    </w:p>
    <w:p w14:paraId="7FCE8928" w14:textId="52BA25A6" w:rsidR="00F631B1" w:rsidRPr="009A0DA6" w:rsidRDefault="00F631B1" w:rsidP="00F631B1">
      <w:pPr>
        <w:pStyle w:val="NoSpacing"/>
        <w:spacing w:after="120"/>
      </w:pPr>
      <w:r w:rsidRPr="009A0DA6">
        <w:t>The LCA Churchwide celebrations and commemoration of the 500</w:t>
      </w:r>
      <w:r w:rsidRPr="009A0DA6">
        <w:rPr>
          <w:vertAlign w:val="superscript"/>
        </w:rPr>
        <w:t>th</w:t>
      </w:r>
      <w:r w:rsidRPr="009A0DA6">
        <w:t xml:space="preserve"> anniversary of the Reformation featured a number of events including joint commemoration on 31 October 2017 with the Roman Catholic Church. In the lead up to this event, the CoB oversaw the work of the Lutheran – Roman Catholic </w:t>
      </w:r>
      <w:r w:rsidRPr="00697150">
        <w:t>Dialogue group in preparing a Joint Statement on the occasion of the 500</w:t>
      </w:r>
      <w:r w:rsidRPr="00697150">
        <w:rPr>
          <w:vertAlign w:val="superscript"/>
        </w:rPr>
        <w:t>th</w:t>
      </w:r>
      <w:r w:rsidRPr="00697150">
        <w:t xml:space="preserve"> anniversary of the Reformation (see </w:t>
      </w:r>
      <w:r w:rsidR="006714F7">
        <w:t>Appendix 3</w:t>
      </w:r>
      <w:r w:rsidRPr="009A0DA6">
        <w:t>). The statement was approved by the General Church Council acting on behalf of the Synod.</w:t>
      </w:r>
    </w:p>
    <w:p w14:paraId="3170C190" w14:textId="77777777" w:rsidR="00F631B1" w:rsidRPr="009A0DA6" w:rsidRDefault="00F631B1" w:rsidP="00F631B1">
      <w:pPr>
        <w:pStyle w:val="Heading3"/>
      </w:pPr>
      <w:r w:rsidRPr="009A0DA6">
        <w:t>Pastoral Care/Ordering and Oversight of the Ministry</w:t>
      </w:r>
    </w:p>
    <w:p w14:paraId="4DBE78DE" w14:textId="77777777" w:rsidR="00F631B1" w:rsidRPr="009A0DA6" w:rsidRDefault="00F631B1" w:rsidP="00F631B1">
      <w:pPr>
        <w:pStyle w:val="NoSpacing"/>
        <w:spacing w:after="120"/>
      </w:pPr>
      <w:r w:rsidRPr="009A0DA6">
        <w:t xml:space="preserve">The CoB has worked with the Church Worker Support Department (CWSD) and Australian Lutheran College (ALC) to build on the solid foundation laid by Pastor Bob Kempe in establishing Continuing Education for Pastors (CEP). Pastor Kempe concluded his work as Coordinator early in 2017. Close collaboration between the CWSD and ALC has led to the creation of a 0.2 FTE CEP Coordinator at ALC. Pastor Gordon Wegener is the new CEP Coordinator under this arrangement. </w:t>
      </w:r>
    </w:p>
    <w:p w14:paraId="1F2FC866" w14:textId="77777777" w:rsidR="00F631B1" w:rsidRPr="009A0DA6" w:rsidRDefault="00F631B1" w:rsidP="00F631B1">
      <w:pPr>
        <w:pStyle w:val="NoSpacing"/>
        <w:rPr>
          <w:sz w:val="10"/>
        </w:rPr>
      </w:pPr>
      <w:r w:rsidRPr="009A0DA6">
        <w:t xml:space="preserve">The CoB has continued to receive reports and feedback from the Board for Support for Pastoral Ministry (BSPM). The BSPM has served the church well but, in discussion with members of the board, it has been agreed that the Church Worker Support Department is better placed to carry out the board’s current functions of personal and pastoral care ministry. It therefore will be proposed at this General Convention that the board comes to an end, with sincere thanks to members for their faithful service, and the work previously undertaken by the board will be continued through the Church Worker Support Department under the guidance of the College of Bishops. </w:t>
      </w:r>
      <w:r w:rsidRPr="009A0DA6">
        <w:br/>
      </w:r>
    </w:p>
    <w:p w14:paraId="0727AC2D" w14:textId="77777777" w:rsidR="00F631B1" w:rsidRPr="009A0DA6" w:rsidRDefault="00F631B1" w:rsidP="00F631B1">
      <w:pPr>
        <w:pStyle w:val="NoSpacing"/>
        <w:spacing w:after="120"/>
      </w:pPr>
      <w:r w:rsidRPr="009A0DA6">
        <w:t xml:space="preserve">The CoB is also encouraged by the work of the CWSD in its crucial role of supporting and developing those who serve in ministry in the LCA – ‘start well, grow well, finish well’. The </w:t>
      </w:r>
      <w:r w:rsidRPr="009A0DA6">
        <w:lastRenderedPageBreak/>
        <w:t>CWSD is assisting the CoB identify improved mechanisms and resources to support our ministry workers. Pastoral Supervision is a growing emphasis aspect of this work. A working group is examining the churchwide implications and opportunities.</w:t>
      </w:r>
    </w:p>
    <w:p w14:paraId="1804F9E4" w14:textId="77777777" w:rsidR="00F631B1" w:rsidRPr="009A0DA6" w:rsidRDefault="00F631B1" w:rsidP="00F631B1">
      <w:pPr>
        <w:pStyle w:val="NoSpacing"/>
        <w:spacing w:after="120"/>
      </w:pPr>
      <w:r w:rsidRPr="009A0DA6">
        <w:t>In addition to its work on the ALITE report and recommendations, the CoB is addressing a number of matters relating to the ordering and oversight of the ministry in the LCA. As these have continued to increase and limited resources made it difficult to manage them all, in late 2017, the CoB saw the opportunity to bring them together in a workshop, which they held in May 2018. Major matters it addressed include:</w:t>
      </w:r>
    </w:p>
    <w:p w14:paraId="11F35481" w14:textId="77777777" w:rsidR="00F631B1" w:rsidRPr="009A0DA6" w:rsidRDefault="00F631B1" w:rsidP="00F55252">
      <w:pPr>
        <w:pStyle w:val="NoSpacing"/>
        <w:numPr>
          <w:ilvl w:val="0"/>
          <w:numId w:val="29"/>
        </w:numPr>
        <w:spacing w:after="120"/>
        <w:ind w:left="567" w:hanging="567"/>
      </w:pPr>
      <w:r w:rsidRPr="009A0DA6">
        <w:t>Finalising Specific Ministry Pastor (SMP) Procedures to accompany the SMP Policy adopted by the 2013 Synod.</w:t>
      </w:r>
    </w:p>
    <w:p w14:paraId="3EFDA6F0" w14:textId="77777777" w:rsidR="00F631B1" w:rsidRPr="009A0DA6" w:rsidRDefault="00F631B1" w:rsidP="00F55252">
      <w:pPr>
        <w:pStyle w:val="NoSpacing"/>
        <w:numPr>
          <w:ilvl w:val="0"/>
          <w:numId w:val="29"/>
        </w:numPr>
        <w:spacing w:after="120"/>
        <w:ind w:left="567" w:hanging="567"/>
      </w:pPr>
      <w:r w:rsidRPr="009A0DA6">
        <w:t>Church Planters and the need for Word and Sacrament ministry in new plants. CoB will continue to explore the needs via engagement with Local Mission leaders in working through case studies.</w:t>
      </w:r>
    </w:p>
    <w:p w14:paraId="23FA295E" w14:textId="24191B7B" w:rsidR="00F631B1" w:rsidRPr="009A0DA6" w:rsidRDefault="00F631B1" w:rsidP="00F55252">
      <w:pPr>
        <w:pStyle w:val="NoSpacing"/>
        <w:numPr>
          <w:ilvl w:val="0"/>
          <w:numId w:val="29"/>
        </w:numPr>
        <w:spacing w:after="120"/>
        <w:ind w:left="567" w:hanging="567"/>
      </w:pPr>
      <w:r w:rsidRPr="009A0DA6">
        <w:t xml:space="preserve">Synod Resolution </w:t>
      </w:r>
      <w:r w:rsidR="004113A1">
        <w:t>2015:0</w:t>
      </w:r>
      <w:r w:rsidRPr="00697150">
        <w:t>219 (</w:t>
      </w:r>
      <w:r w:rsidR="00697150" w:rsidRPr="00697150">
        <w:t>see Appendix 4, p51</w:t>
      </w:r>
      <w:r w:rsidRPr="00697150">
        <w:t xml:space="preserve"> for details of Synod resolutions): </w:t>
      </w:r>
      <w:r w:rsidRPr="00697150">
        <w:rPr>
          <w:i/>
        </w:rPr>
        <w:t>RESOLVED: that General Convention support an examination of t</w:t>
      </w:r>
      <w:r w:rsidRPr="009A0DA6">
        <w:rPr>
          <w:i/>
        </w:rPr>
        <w:t>he creation and development of an additional ministry position that does not require completion of the full Australian Lutheran College (ALC) course for the person to be able to write and deliver sermons and to administer the Sacraments in situations outside those envisaged by the Specific Ministry Pastor Policy.</w:t>
      </w:r>
    </w:p>
    <w:p w14:paraId="4F11CF5E" w14:textId="77777777" w:rsidR="00F631B1" w:rsidRPr="009A0DA6" w:rsidRDefault="00F631B1" w:rsidP="00F631B1">
      <w:pPr>
        <w:pStyle w:val="NoSpacing"/>
        <w:spacing w:after="120"/>
        <w:ind w:left="567"/>
      </w:pPr>
      <w:r w:rsidRPr="009A0DA6">
        <w:t>The CoB studied this matter closely and concluded that the current provisions for licencing and ordination as a Specific Ministry Pastor are sufficient to meet the needs of the church. The CoB sees the resolution as giving good impetus to promote the presently available options and pathways and to work with Australian Lutheran College in the development and provision of training resources and the accreditation of study units.</w:t>
      </w:r>
    </w:p>
    <w:p w14:paraId="794D2947" w14:textId="77777777" w:rsidR="00F631B1" w:rsidRPr="009A0DA6" w:rsidRDefault="00F631B1" w:rsidP="00F55252">
      <w:pPr>
        <w:pStyle w:val="NoSpacing"/>
        <w:numPr>
          <w:ilvl w:val="0"/>
          <w:numId w:val="29"/>
        </w:numPr>
        <w:spacing w:after="120"/>
        <w:ind w:left="567" w:hanging="567"/>
      </w:pPr>
      <w:r w:rsidRPr="009A0DA6">
        <w:t xml:space="preserve">The 2013 Synod left undealt agenda item 2.5.7 re equipping pastors for team ministry in light of ALITE recommendations: </w:t>
      </w:r>
      <w:r w:rsidRPr="009A0DA6">
        <w:rPr>
          <w:i/>
        </w:rPr>
        <w:t>RESOLVED that Synod place on the Agenda Late Proposal: that the LCA gives priority attention to the nurture and equipping of pastors for the leadership of team ministries in all congregations, particularly including those which do/or could operate in close mission partnership with Lutheran schools, care or other agencies. Our Saviour Lutheran Church, Rochedale, Qld.</w:t>
      </w:r>
    </w:p>
    <w:p w14:paraId="20358AB9" w14:textId="77777777" w:rsidR="00F631B1" w:rsidRPr="009A0DA6" w:rsidRDefault="00F631B1" w:rsidP="00F631B1">
      <w:pPr>
        <w:pStyle w:val="NoSpacing"/>
        <w:spacing w:after="120"/>
        <w:ind w:left="567"/>
      </w:pPr>
      <w:r w:rsidRPr="009A0DA6">
        <w:t>The CoB discussed this in conjunction with recommendation 9 from the ALITE report. It noted the work being done in this area by numerous ministries such as the Board for Local Mission, Lutheran Education, Church Worker Support, and ALC to name a few. The CoB has asked the CWSD for its support in gaining a picture of team ministry in the LCA as it currently stands.</w:t>
      </w:r>
    </w:p>
    <w:p w14:paraId="41178D7C" w14:textId="77777777" w:rsidR="00F631B1" w:rsidRPr="009A0DA6" w:rsidRDefault="00F631B1" w:rsidP="00F631B1">
      <w:pPr>
        <w:pStyle w:val="Heading3"/>
      </w:pPr>
      <w:r w:rsidRPr="009A0DA6">
        <w:t xml:space="preserve">Leadership in the Resolution of Conflict in the Church </w:t>
      </w:r>
    </w:p>
    <w:p w14:paraId="3F9BA351" w14:textId="77777777" w:rsidR="00F631B1" w:rsidRPr="009A0DA6" w:rsidRDefault="00F631B1" w:rsidP="00F631B1">
      <w:pPr>
        <w:pStyle w:val="NoSpacing"/>
      </w:pPr>
      <w:r w:rsidRPr="009A0DA6">
        <w:t xml:space="preserve">The CoB has met regularly with the Assistant to the Bishop – Reconciliation Ministry </w:t>
      </w:r>
      <w:r w:rsidRPr="009A0DA6">
        <w:br/>
        <w:t>(AB-RM), Pastor Paul Kerber. A primary objective continues to be to build the capacity of this ministry as the call for it grows in the LCA. Pastor Kerber is working with the Bishops to identify lay people and pastors to be trained in Biblical Reconciliation skills. These people will be equipped to serve in their local settings and we hope also for service to the wider LCA from time to time. Planned training events and specific Biblical Reconciliation material will carry this objective forward in partnership with the Bishops.</w:t>
      </w:r>
    </w:p>
    <w:p w14:paraId="50D52906" w14:textId="77777777" w:rsidR="00F631B1" w:rsidRPr="009A0DA6" w:rsidRDefault="00F631B1" w:rsidP="00F631B1">
      <w:pPr>
        <w:pStyle w:val="NoSpacing"/>
        <w:rPr>
          <w:sz w:val="10"/>
        </w:rPr>
      </w:pPr>
    </w:p>
    <w:p w14:paraId="1C93B9C7" w14:textId="77777777" w:rsidR="00F631B1" w:rsidRPr="009A0DA6" w:rsidRDefault="00F631B1" w:rsidP="00F631B1">
      <w:pPr>
        <w:pStyle w:val="NoSpacing"/>
        <w:spacing w:after="120"/>
      </w:pPr>
      <w:r w:rsidRPr="009A0DA6">
        <w:t xml:space="preserve">The CoB has also met regularly with Pastor Paul Kerber and the Manager of the Professional Standards Department (PSD), Mr Tim Ross. We are vitally interested in responding to complaints in a God-pleasing way, using a sound and evidenced process. The CoB commends the collaborative approach being taken by PSD and the AB-RM. While this is a work in progress, we anticipate a productive outcome as we work through procedures and practices. It is a difficult, complex area requiring much patience and resilience. We ask for your prayers </w:t>
      </w:r>
      <w:r w:rsidRPr="009A0DA6">
        <w:lastRenderedPageBreak/>
        <w:t>for those engaged in this work, and those who both make complaints and those who are complained against.</w:t>
      </w:r>
    </w:p>
    <w:p w14:paraId="6A4ABEAA" w14:textId="77777777" w:rsidR="00F631B1" w:rsidRPr="009A0DA6" w:rsidRDefault="00F631B1" w:rsidP="00F631B1">
      <w:pPr>
        <w:pStyle w:val="Heading3"/>
      </w:pPr>
      <w:r w:rsidRPr="009A0DA6">
        <w:t>Oversight of the Commission on Theology and Inter-Church Relations, the Commission on Worship, and the Commission on Social and Bioethical Questions</w:t>
      </w:r>
    </w:p>
    <w:p w14:paraId="50816283" w14:textId="77777777" w:rsidR="00F631B1" w:rsidRPr="009A0DA6" w:rsidRDefault="00F631B1" w:rsidP="00F631B1">
      <w:pPr>
        <w:pStyle w:val="NoSpacing"/>
        <w:spacing w:after="120"/>
      </w:pPr>
      <w:r w:rsidRPr="009A0DA6">
        <w:t>The CoB has discussed the need and opportunity to provide better support and oversight of these commissions. Early in the next synodical term, the CoB will assign Bishops portfolios for each commissions so that each will have a Bishop to liaise with. Each commission chair will also have opportunity to meet with the CoB at least annually. The CoB recognises the need to work with the shared issue that commissions have limited resources in comparison to the workload expected of the largely voluntarily membership.</w:t>
      </w:r>
    </w:p>
    <w:p w14:paraId="0EAD24DE" w14:textId="77777777" w:rsidR="00F631B1" w:rsidRPr="009A0DA6" w:rsidRDefault="00F631B1" w:rsidP="00F631B1">
      <w:pPr>
        <w:pStyle w:val="NoSpacing"/>
        <w:spacing w:after="120"/>
      </w:pPr>
      <w:r w:rsidRPr="009A0DA6">
        <w:t>The CoB expresses thanks the dedicated workers who serve on these important commissions.</w:t>
      </w:r>
    </w:p>
    <w:p w14:paraId="236C13FE" w14:textId="77777777" w:rsidR="00F631B1" w:rsidRPr="009A0DA6" w:rsidRDefault="00F631B1" w:rsidP="00F631B1">
      <w:pPr>
        <w:pStyle w:val="Heading3"/>
      </w:pPr>
      <w:r w:rsidRPr="009A0DA6">
        <w:t>Encourage the Church to be Active in Christ's Mission and to strive for Unity, Harmony and Good Order in the Church</w:t>
      </w:r>
    </w:p>
    <w:p w14:paraId="0447CBB9" w14:textId="77777777" w:rsidR="00F631B1" w:rsidRPr="009A0DA6" w:rsidRDefault="00F631B1" w:rsidP="00F631B1">
      <w:pPr>
        <w:pStyle w:val="NoSpacing"/>
        <w:spacing w:after="120"/>
        <w:rPr>
          <w:i/>
          <w:szCs w:val="20"/>
        </w:rPr>
      </w:pPr>
      <w:r w:rsidRPr="009A0DA6">
        <w:t>The CoB continues to meet regularly with District Mission Directors and LCA Local Mission. The CoB is working with the new arrangements which gather the various LCA operations in local mission into a coordinated approach. This raises new possibilities and new conversations between our mission activities, particularly through the inclusion of New and Renewing Churches. The CoB continues to seek to support our missional work and provide appropriate oversight. There are many challenges, such as the ordering of Word and Sacrament ministry in new church plants and as some existing congregations as they go through significant change (eg when they can no longer afford to pay a pastor). As stated earlier in this report, in this period, we have particularly worked to finalise procedures associated with the LCA policy on Specific Ministry Pastors.</w:t>
      </w:r>
    </w:p>
    <w:p w14:paraId="515F2085" w14:textId="1ADCBA84" w:rsidR="00F631B1" w:rsidRPr="009A0DA6" w:rsidRDefault="00F631B1" w:rsidP="00F631B1">
      <w:pPr>
        <w:pStyle w:val="NoSpacing"/>
        <w:spacing w:after="120"/>
      </w:pPr>
      <w:r w:rsidRPr="009A0DA6">
        <w:t xml:space="preserve">The CoB also considered and acted on Synod resolution </w:t>
      </w:r>
      <w:r w:rsidR="004113A1">
        <w:t>2015:0</w:t>
      </w:r>
      <w:r w:rsidRPr="00697150">
        <w:t xml:space="preserve">217 concerning a period of careful theological reflection on the matter of ordination </w:t>
      </w:r>
      <w:r w:rsidR="00697150" w:rsidRPr="00697150">
        <w:t>(see Appendix 4, p51</w:t>
      </w:r>
      <w:r w:rsidRPr="00697150">
        <w:t>.).</w:t>
      </w:r>
      <w:r w:rsidRPr="009A0DA6">
        <w:t xml:space="preserve"> </w:t>
      </w:r>
    </w:p>
    <w:p w14:paraId="496F5D84" w14:textId="77777777" w:rsidR="00F631B1" w:rsidRPr="009A0DA6" w:rsidRDefault="00F631B1" w:rsidP="00F631B1">
      <w:pPr>
        <w:pStyle w:val="Heading3"/>
      </w:pPr>
      <w:r w:rsidRPr="009A0DA6">
        <w:t>Care for Pastors of the Church and Oversight of their Ministry</w:t>
      </w:r>
    </w:p>
    <w:p w14:paraId="50636A91" w14:textId="77777777" w:rsidR="00F631B1" w:rsidRPr="009A0DA6" w:rsidRDefault="00F631B1" w:rsidP="00F631B1">
      <w:pPr>
        <w:pStyle w:val="NoSpacing"/>
        <w:spacing w:after="120"/>
      </w:pPr>
      <w:r w:rsidRPr="009A0DA6">
        <w:t>A large proportion of CoB meetings focusses on matters of pastoral care and oversight. Each Bishop is individually responsible for the pastors in his District, and collectively the CoB supports that activity through considered decision making and resolution of matters relating to calling bodies and the care of pastors, church workers and their families. We acknowledge there is still much to learn in this area, and the bishops have formed themselves in to a listening and learning group.</w:t>
      </w:r>
    </w:p>
    <w:p w14:paraId="10FC1FCF" w14:textId="77777777" w:rsidR="00F631B1" w:rsidRPr="009A0DA6" w:rsidRDefault="00F631B1" w:rsidP="00F631B1">
      <w:pPr>
        <w:pStyle w:val="NoSpacing"/>
        <w:spacing w:after="120"/>
      </w:pPr>
      <w:r w:rsidRPr="009A0DA6">
        <w:t>Your bishops, each of them pastors themselves, are grateful to God for every person who works in the Lord’s harvest field. This includes a variety of called positions, ordained and non-ordained, volunteer and remunerated, known and unknown. We strive to provide leadership and care that nurtures and develops pastors and all church workers, knowing that we are all under the care of Jesus Christ, the Good Shepherd.</w:t>
      </w:r>
    </w:p>
    <w:p w14:paraId="335D0797" w14:textId="77777777" w:rsidR="00F631B1" w:rsidRPr="009A0DA6" w:rsidRDefault="00F631B1" w:rsidP="00F631B1">
      <w:pPr>
        <w:pStyle w:val="NoSpacing"/>
      </w:pPr>
      <w:r w:rsidRPr="009A0DA6">
        <w:t>To God be the glory.</w:t>
      </w:r>
    </w:p>
    <w:p w14:paraId="12F8F8F6" w14:textId="77777777" w:rsidR="00F631B1" w:rsidRPr="009A0DA6" w:rsidRDefault="00F631B1" w:rsidP="00F631B1">
      <w:pPr>
        <w:pStyle w:val="NoSpacing"/>
      </w:pPr>
    </w:p>
    <w:p w14:paraId="3609148A" w14:textId="3382389D" w:rsidR="00DB1A87" w:rsidRDefault="00DB1A87" w:rsidP="00F631B1">
      <w:pPr>
        <w:pStyle w:val="Heading3"/>
      </w:pPr>
    </w:p>
    <w:p w14:paraId="25C29D87" w14:textId="72C431C2" w:rsidR="00CF1FE7" w:rsidRDefault="00CF1FE7" w:rsidP="00CF1FE7">
      <w:pPr>
        <w:pStyle w:val="NoSpacing"/>
      </w:pPr>
    </w:p>
    <w:p w14:paraId="6BB5D303" w14:textId="595684E7" w:rsidR="00CF1FE7" w:rsidRDefault="00CF1FE7" w:rsidP="00CF1FE7">
      <w:pPr>
        <w:pStyle w:val="NoSpacing"/>
      </w:pPr>
    </w:p>
    <w:p w14:paraId="673585E8" w14:textId="77777777" w:rsidR="00CF1FE7" w:rsidRPr="00CF1FE7" w:rsidRDefault="00CF1FE7" w:rsidP="00CF1FE7">
      <w:pPr>
        <w:pStyle w:val="NoSpacing"/>
      </w:pPr>
    </w:p>
    <w:p w14:paraId="1E5FA3CC" w14:textId="67D01D83" w:rsidR="00F631B1" w:rsidRPr="009A0DA6" w:rsidRDefault="00F631B1" w:rsidP="00F631B1">
      <w:pPr>
        <w:pStyle w:val="Heading3"/>
      </w:pPr>
      <w:r w:rsidRPr="009A0DA6">
        <w:lastRenderedPageBreak/>
        <w:t xml:space="preserve">APPENDIX 1: Pastor statistics </w:t>
      </w:r>
    </w:p>
    <w:tbl>
      <w:tblPr>
        <w:tblStyle w:val="PlainTable2"/>
        <w:tblW w:w="8505" w:type="dxa"/>
        <w:tblLook w:val="04A0" w:firstRow="1" w:lastRow="0" w:firstColumn="1" w:lastColumn="0" w:noHBand="0" w:noVBand="1"/>
      </w:tblPr>
      <w:tblGrid>
        <w:gridCol w:w="7230"/>
        <w:gridCol w:w="1275"/>
      </w:tblGrid>
      <w:tr w:rsidR="00F631B1" w:rsidRPr="009A0DA6" w14:paraId="432BB881" w14:textId="77777777" w:rsidTr="00180211">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230" w:type="dxa"/>
            <w:hideMark/>
          </w:tcPr>
          <w:p w14:paraId="561B929D" w14:textId="77777777" w:rsidR="00F631B1" w:rsidRPr="009A0DA6" w:rsidRDefault="00F631B1" w:rsidP="00180211">
            <w:pPr>
              <w:pStyle w:val="NoSpacing"/>
              <w:rPr>
                <w:b w:val="0"/>
              </w:rPr>
            </w:pPr>
            <w:r w:rsidRPr="009A0DA6">
              <w:rPr>
                <w:b w:val="0"/>
              </w:rPr>
              <w:t xml:space="preserve">THIS SYNODICAL PERIOD  </w:t>
            </w:r>
          </w:p>
        </w:tc>
        <w:tc>
          <w:tcPr>
            <w:tcW w:w="1275" w:type="dxa"/>
          </w:tcPr>
          <w:p w14:paraId="7AD47224" w14:textId="77777777" w:rsidR="00F631B1" w:rsidRPr="009A0DA6" w:rsidRDefault="00F631B1" w:rsidP="00180211">
            <w:pPr>
              <w:pStyle w:val="NoSpacing"/>
              <w:ind w:left="177" w:right="31"/>
              <w:jc w:val="center"/>
              <w:cnfStyle w:val="100000000000" w:firstRow="1" w:lastRow="0" w:firstColumn="0" w:lastColumn="0" w:oddVBand="0" w:evenVBand="0" w:oddHBand="0" w:evenHBand="0" w:firstRowFirstColumn="0" w:firstRowLastColumn="0" w:lastRowFirstColumn="0" w:lastRowLastColumn="0"/>
              <w:rPr>
                <w:b w:val="0"/>
              </w:rPr>
            </w:pPr>
          </w:p>
        </w:tc>
      </w:tr>
      <w:tr w:rsidR="00F631B1" w:rsidRPr="009A0DA6" w14:paraId="1BF7B469" w14:textId="77777777" w:rsidTr="00180211">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7230" w:type="dxa"/>
            <w:hideMark/>
          </w:tcPr>
          <w:p w14:paraId="7F51F637" w14:textId="77777777" w:rsidR="00F631B1" w:rsidRPr="009A0DA6" w:rsidRDefault="00F631B1" w:rsidP="00180211">
            <w:pPr>
              <w:pStyle w:val="NoSpacing"/>
            </w:pPr>
            <w:r w:rsidRPr="009A0DA6">
              <w:t>ORDINATIONS</w:t>
            </w:r>
          </w:p>
        </w:tc>
        <w:tc>
          <w:tcPr>
            <w:tcW w:w="1275" w:type="dxa"/>
          </w:tcPr>
          <w:p w14:paraId="065F9585" w14:textId="77777777" w:rsidR="00F631B1" w:rsidRPr="009A0DA6" w:rsidRDefault="00F631B1" w:rsidP="00180211">
            <w:pPr>
              <w:pStyle w:val="NoSpacing"/>
              <w:ind w:left="177" w:right="31"/>
              <w:jc w:val="center"/>
              <w:cnfStyle w:val="000000100000" w:firstRow="0" w:lastRow="0" w:firstColumn="0" w:lastColumn="0" w:oddVBand="0" w:evenVBand="0" w:oddHBand="1" w:evenHBand="0" w:firstRowFirstColumn="0" w:firstRowLastColumn="0" w:lastRowFirstColumn="0" w:lastRowLastColumn="0"/>
            </w:pPr>
          </w:p>
        </w:tc>
      </w:tr>
      <w:tr w:rsidR="00F631B1" w:rsidRPr="009A0DA6" w14:paraId="591030E7" w14:textId="77777777" w:rsidTr="00180211">
        <w:trPr>
          <w:trHeight w:val="454"/>
        </w:trPr>
        <w:tc>
          <w:tcPr>
            <w:cnfStyle w:val="001000000000" w:firstRow="0" w:lastRow="0" w:firstColumn="1" w:lastColumn="0" w:oddVBand="0" w:evenVBand="0" w:oddHBand="0" w:evenHBand="0" w:firstRowFirstColumn="0" w:firstRowLastColumn="0" w:lastRowFirstColumn="0" w:lastRowLastColumn="0"/>
            <w:tcW w:w="7230" w:type="dxa"/>
            <w:hideMark/>
          </w:tcPr>
          <w:p w14:paraId="08D0D041" w14:textId="77777777" w:rsidR="00F631B1" w:rsidRPr="009A0DA6" w:rsidRDefault="00F631B1" w:rsidP="00180211">
            <w:pPr>
              <w:pStyle w:val="NoSpacing"/>
              <w:rPr>
                <w:b w:val="0"/>
              </w:rPr>
            </w:pPr>
            <w:r w:rsidRPr="009A0DA6">
              <w:rPr>
                <w:b w:val="0"/>
              </w:rPr>
              <w:t>Graduate pastors from Australian Lutheran College</w:t>
            </w:r>
            <w:r w:rsidRPr="009A0DA6">
              <w:rPr>
                <w:b w:val="0"/>
              </w:rPr>
              <w:tab/>
            </w:r>
            <w:r w:rsidRPr="009A0DA6">
              <w:rPr>
                <w:b w:val="0"/>
              </w:rPr>
              <w:tab/>
            </w:r>
          </w:p>
          <w:p w14:paraId="4DD1F241" w14:textId="77777777" w:rsidR="00F631B1" w:rsidRPr="009A0DA6" w:rsidRDefault="00F631B1" w:rsidP="00180211">
            <w:pPr>
              <w:pStyle w:val="NoSpacing"/>
              <w:rPr>
                <w:b w:val="0"/>
              </w:rPr>
            </w:pPr>
            <w:r w:rsidRPr="009A0DA6">
              <w:rPr>
                <w:b w:val="0"/>
              </w:rPr>
              <w:t>Specific Ministry Pastors, one of whom is an Aboriginal pastor</w:t>
            </w:r>
            <w:r w:rsidRPr="009A0DA6">
              <w:rPr>
                <w:b w:val="0"/>
              </w:rPr>
              <w:tab/>
            </w:r>
          </w:p>
        </w:tc>
        <w:tc>
          <w:tcPr>
            <w:tcW w:w="1275" w:type="dxa"/>
          </w:tcPr>
          <w:p w14:paraId="0A477AA3" w14:textId="77777777" w:rsidR="00F631B1" w:rsidRPr="009A0DA6" w:rsidRDefault="00F631B1" w:rsidP="00180211">
            <w:pPr>
              <w:pStyle w:val="NoSpacing"/>
              <w:ind w:left="177" w:right="31"/>
              <w:jc w:val="center"/>
              <w:cnfStyle w:val="000000000000" w:firstRow="0" w:lastRow="0" w:firstColumn="0" w:lastColumn="0" w:oddVBand="0" w:evenVBand="0" w:oddHBand="0" w:evenHBand="0" w:firstRowFirstColumn="0" w:firstRowLastColumn="0" w:lastRowFirstColumn="0" w:lastRowLastColumn="0"/>
            </w:pPr>
            <w:r w:rsidRPr="009A0DA6">
              <w:t>17</w:t>
            </w:r>
          </w:p>
          <w:p w14:paraId="73387C94" w14:textId="77777777" w:rsidR="00F631B1" w:rsidRPr="009A0DA6" w:rsidRDefault="00F631B1" w:rsidP="00180211">
            <w:pPr>
              <w:pStyle w:val="NoSpacing"/>
              <w:ind w:left="177" w:right="31"/>
              <w:jc w:val="center"/>
              <w:cnfStyle w:val="000000000000" w:firstRow="0" w:lastRow="0" w:firstColumn="0" w:lastColumn="0" w:oddVBand="0" w:evenVBand="0" w:oddHBand="0" w:evenHBand="0" w:firstRowFirstColumn="0" w:firstRowLastColumn="0" w:lastRowFirstColumn="0" w:lastRowLastColumn="0"/>
            </w:pPr>
            <w:r w:rsidRPr="009A0DA6">
              <w:t>9</w:t>
            </w:r>
          </w:p>
        </w:tc>
      </w:tr>
      <w:tr w:rsidR="00F631B1" w:rsidRPr="009A0DA6" w14:paraId="75AB08B0" w14:textId="77777777" w:rsidTr="00180211">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7230" w:type="dxa"/>
            <w:hideMark/>
          </w:tcPr>
          <w:p w14:paraId="5D30E090" w14:textId="77777777" w:rsidR="00F631B1" w:rsidRPr="009A0DA6" w:rsidRDefault="00F631B1" w:rsidP="00180211">
            <w:pPr>
              <w:pStyle w:val="NoSpacing"/>
            </w:pPr>
            <w:r w:rsidRPr="009A0DA6">
              <w:t>ADDITIONS TO ROLL (Other than graduate pastors)</w:t>
            </w:r>
          </w:p>
        </w:tc>
        <w:tc>
          <w:tcPr>
            <w:tcW w:w="1275" w:type="dxa"/>
          </w:tcPr>
          <w:p w14:paraId="3723DB91" w14:textId="77777777" w:rsidR="00F631B1" w:rsidRPr="009A0DA6" w:rsidRDefault="00F631B1" w:rsidP="00180211">
            <w:pPr>
              <w:pStyle w:val="NoSpacing"/>
              <w:ind w:left="177" w:right="31"/>
              <w:jc w:val="center"/>
              <w:cnfStyle w:val="000000100000" w:firstRow="0" w:lastRow="0" w:firstColumn="0" w:lastColumn="0" w:oddVBand="0" w:evenVBand="0" w:oddHBand="1" w:evenHBand="0" w:firstRowFirstColumn="0" w:firstRowLastColumn="0" w:lastRowFirstColumn="0" w:lastRowLastColumn="0"/>
            </w:pPr>
          </w:p>
        </w:tc>
      </w:tr>
      <w:tr w:rsidR="00F631B1" w:rsidRPr="009A0DA6" w14:paraId="639CF571" w14:textId="77777777" w:rsidTr="00180211">
        <w:trPr>
          <w:trHeight w:val="454"/>
        </w:trPr>
        <w:tc>
          <w:tcPr>
            <w:cnfStyle w:val="001000000000" w:firstRow="0" w:lastRow="0" w:firstColumn="1" w:lastColumn="0" w:oddVBand="0" w:evenVBand="0" w:oddHBand="0" w:evenHBand="0" w:firstRowFirstColumn="0" w:firstRowLastColumn="0" w:lastRowFirstColumn="0" w:lastRowLastColumn="0"/>
            <w:tcW w:w="7230" w:type="dxa"/>
            <w:hideMark/>
          </w:tcPr>
          <w:p w14:paraId="3D793EED" w14:textId="77777777" w:rsidR="00F631B1" w:rsidRPr="009A0DA6" w:rsidRDefault="00F631B1" w:rsidP="00180211">
            <w:pPr>
              <w:pStyle w:val="NoSpacing"/>
              <w:rPr>
                <w:b w:val="0"/>
              </w:rPr>
            </w:pPr>
            <w:r w:rsidRPr="009A0DA6">
              <w:rPr>
                <w:b w:val="0"/>
              </w:rPr>
              <w:t>From overseas Lutheran churches</w:t>
            </w:r>
            <w:r w:rsidRPr="009A0DA6">
              <w:rPr>
                <w:b w:val="0"/>
              </w:rPr>
              <w:tab/>
            </w:r>
            <w:r w:rsidRPr="009A0DA6">
              <w:rPr>
                <w:b w:val="0"/>
              </w:rPr>
              <w:tab/>
            </w:r>
            <w:r w:rsidRPr="009A0DA6">
              <w:rPr>
                <w:b w:val="0"/>
              </w:rPr>
              <w:tab/>
            </w:r>
            <w:r w:rsidRPr="009A0DA6">
              <w:rPr>
                <w:b w:val="0"/>
              </w:rPr>
              <w:tab/>
            </w:r>
          </w:p>
          <w:p w14:paraId="6F6FCEA8" w14:textId="77777777" w:rsidR="00F631B1" w:rsidRPr="009A0DA6" w:rsidRDefault="00F631B1" w:rsidP="00180211">
            <w:pPr>
              <w:pStyle w:val="NoSpacing"/>
              <w:rPr>
                <w:b w:val="0"/>
              </w:rPr>
            </w:pPr>
            <w:r w:rsidRPr="009A0DA6">
              <w:rPr>
                <w:b w:val="0"/>
              </w:rPr>
              <w:t>Pastors reinstated to the Roll</w:t>
            </w:r>
            <w:r w:rsidRPr="009A0DA6">
              <w:rPr>
                <w:b w:val="0"/>
              </w:rPr>
              <w:tab/>
            </w:r>
            <w:r w:rsidRPr="009A0DA6">
              <w:rPr>
                <w:b w:val="0"/>
              </w:rPr>
              <w:tab/>
            </w:r>
            <w:r w:rsidRPr="009A0DA6">
              <w:rPr>
                <w:b w:val="0"/>
              </w:rPr>
              <w:tab/>
            </w:r>
            <w:r w:rsidRPr="009A0DA6">
              <w:rPr>
                <w:b w:val="0"/>
              </w:rPr>
              <w:tab/>
            </w:r>
          </w:p>
        </w:tc>
        <w:tc>
          <w:tcPr>
            <w:tcW w:w="1275" w:type="dxa"/>
          </w:tcPr>
          <w:p w14:paraId="2F57E497" w14:textId="77777777" w:rsidR="00F631B1" w:rsidRPr="009A0DA6" w:rsidRDefault="00F631B1" w:rsidP="00180211">
            <w:pPr>
              <w:pStyle w:val="NoSpacing"/>
              <w:ind w:left="177" w:right="31"/>
              <w:jc w:val="center"/>
              <w:cnfStyle w:val="000000000000" w:firstRow="0" w:lastRow="0" w:firstColumn="0" w:lastColumn="0" w:oddVBand="0" w:evenVBand="0" w:oddHBand="0" w:evenHBand="0" w:firstRowFirstColumn="0" w:firstRowLastColumn="0" w:lastRowFirstColumn="0" w:lastRowLastColumn="0"/>
            </w:pPr>
            <w:r w:rsidRPr="009A0DA6">
              <w:t>3</w:t>
            </w:r>
          </w:p>
          <w:p w14:paraId="59E93B83" w14:textId="77777777" w:rsidR="00F631B1" w:rsidRPr="009A0DA6" w:rsidRDefault="00F631B1" w:rsidP="00180211">
            <w:pPr>
              <w:pStyle w:val="NoSpacing"/>
              <w:ind w:left="177" w:right="31"/>
              <w:jc w:val="center"/>
              <w:cnfStyle w:val="000000000000" w:firstRow="0" w:lastRow="0" w:firstColumn="0" w:lastColumn="0" w:oddVBand="0" w:evenVBand="0" w:oddHBand="0" w:evenHBand="0" w:firstRowFirstColumn="0" w:firstRowLastColumn="0" w:lastRowFirstColumn="0" w:lastRowLastColumn="0"/>
            </w:pPr>
            <w:r w:rsidRPr="009A0DA6">
              <w:t>10</w:t>
            </w:r>
          </w:p>
        </w:tc>
      </w:tr>
      <w:tr w:rsidR="00F631B1" w:rsidRPr="009A0DA6" w14:paraId="24DFCD8F" w14:textId="77777777" w:rsidTr="0018021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230" w:type="dxa"/>
            <w:hideMark/>
          </w:tcPr>
          <w:p w14:paraId="1780DCA0" w14:textId="77777777" w:rsidR="00F631B1" w:rsidRPr="009A0DA6" w:rsidRDefault="00F631B1" w:rsidP="00180211">
            <w:pPr>
              <w:pStyle w:val="NoSpacing"/>
              <w:ind w:left="34"/>
            </w:pPr>
            <w:r w:rsidRPr="009A0DA6">
              <w:t>NEW PASTORAL POSITIONS CREATED</w:t>
            </w:r>
            <w:r w:rsidRPr="009A0DA6">
              <w:rPr>
                <w:b w:val="0"/>
              </w:rPr>
              <w:tab/>
            </w:r>
            <w:r w:rsidRPr="009A0DA6">
              <w:rPr>
                <w:b w:val="0"/>
              </w:rPr>
              <w:tab/>
            </w:r>
            <w:r w:rsidRPr="009A0DA6">
              <w:rPr>
                <w:b w:val="0"/>
              </w:rPr>
              <w:tab/>
            </w:r>
            <w:r w:rsidRPr="009A0DA6">
              <w:rPr>
                <w:b w:val="0"/>
              </w:rPr>
              <w:tab/>
            </w:r>
          </w:p>
        </w:tc>
        <w:tc>
          <w:tcPr>
            <w:tcW w:w="1275" w:type="dxa"/>
          </w:tcPr>
          <w:p w14:paraId="459CA12B" w14:textId="77777777" w:rsidR="00F631B1" w:rsidRPr="009A0DA6" w:rsidRDefault="00F631B1" w:rsidP="00180211">
            <w:pPr>
              <w:pStyle w:val="NoSpacing"/>
              <w:ind w:left="177" w:right="31"/>
              <w:jc w:val="center"/>
              <w:cnfStyle w:val="000000100000" w:firstRow="0" w:lastRow="0" w:firstColumn="0" w:lastColumn="0" w:oddVBand="0" w:evenVBand="0" w:oddHBand="1" w:evenHBand="0" w:firstRowFirstColumn="0" w:firstRowLastColumn="0" w:lastRowFirstColumn="0" w:lastRowLastColumn="0"/>
            </w:pPr>
            <w:r w:rsidRPr="009A0DA6">
              <w:t>3</w:t>
            </w:r>
          </w:p>
        </w:tc>
      </w:tr>
      <w:tr w:rsidR="00F631B1" w:rsidRPr="009A0DA6" w14:paraId="04AFA3B2" w14:textId="77777777" w:rsidTr="00180211">
        <w:trPr>
          <w:trHeight w:val="454"/>
        </w:trPr>
        <w:tc>
          <w:tcPr>
            <w:cnfStyle w:val="001000000000" w:firstRow="0" w:lastRow="0" w:firstColumn="1" w:lastColumn="0" w:oddVBand="0" w:evenVBand="0" w:oddHBand="0" w:evenHBand="0" w:firstRowFirstColumn="0" w:firstRowLastColumn="0" w:lastRowFirstColumn="0" w:lastRowLastColumn="0"/>
            <w:tcW w:w="7230" w:type="dxa"/>
            <w:hideMark/>
          </w:tcPr>
          <w:p w14:paraId="38DD9FBF" w14:textId="77777777" w:rsidR="00F631B1" w:rsidRPr="009A0DA6" w:rsidRDefault="00F631B1" w:rsidP="00180211">
            <w:pPr>
              <w:pStyle w:val="NoSpacing"/>
              <w:ind w:left="34"/>
            </w:pPr>
            <w:r w:rsidRPr="009A0DA6">
              <w:t>COMMENCING LEAVE OF ABSENCE</w:t>
            </w:r>
            <w:r w:rsidRPr="009A0DA6">
              <w:tab/>
            </w:r>
            <w:r w:rsidRPr="009A0DA6">
              <w:tab/>
            </w:r>
            <w:r w:rsidRPr="009A0DA6">
              <w:tab/>
            </w:r>
            <w:r w:rsidRPr="009A0DA6">
              <w:tab/>
            </w:r>
          </w:p>
        </w:tc>
        <w:tc>
          <w:tcPr>
            <w:tcW w:w="1275" w:type="dxa"/>
          </w:tcPr>
          <w:p w14:paraId="29463017" w14:textId="77777777" w:rsidR="00F631B1" w:rsidRPr="009A0DA6" w:rsidRDefault="00F631B1" w:rsidP="00180211">
            <w:pPr>
              <w:pStyle w:val="NoSpacing"/>
              <w:ind w:left="177" w:right="31"/>
              <w:jc w:val="center"/>
              <w:cnfStyle w:val="000000000000" w:firstRow="0" w:lastRow="0" w:firstColumn="0" w:lastColumn="0" w:oddVBand="0" w:evenVBand="0" w:oddHBand="0" w:evenHBand="0" w:firstRowFirstColumn="0" w:firstRowLastColumn="0" w:lastRowFirstColumn="0" w:lastRowLastColumn="0"/>
            </w:pPr>
            <w:r w:rsidRPr="009A0DA6">
              <w:t>8</w:t>
            </w:r>
          </w:p>
        </w:tc>
      </w:tr>
      <w:tr w:rsidR="00F631B1" w:rsidRPr="009A0DA6" w14:paraId="775E8645" w14:textId="77777777" w:rsidTr="0018021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230" w:type="dxa"/>
            <w:hideMark/>
          </w:tcPr>
          <w:p w14:paraId="6127A620" w14:textId="77777777" w:rsidR="00F631B1" w:rsidRPr="009A0DA6" w:rsidRDefault="00F631B1" w:rsidP="00180211">
            <w:pPr>
              <w:pStyle w:val="NoSpacing"/>
              <w:ind w:left="34"/>
              <w:rPr>
                <w:b w:val="0"/>
              </w:rPr>
            </w:pPr>
            <w:r w:rsidRPr="009A0DA6">
              <w:t xml:space="preserve">RETURNING TO ACTIVE SERVICE FROM LEAVE OF ABSENCE </w:t>
            </w:r>
            <w:r w:rsidRPr="009A0DA6">
              <w:tab/>
            </w:r>
          </w:p>
        </w:tc>
        <w:tc>
          <w:tcPr>
            <w:tcW w:w="1275" w:type="dxa"/>
          </w:tcPr>
          <w:p w14:paraId="491CF7E2" w14:textId="77777777" w:rsidR="00F631B1" w:rsidRPr="009A0DA6" w:rsidRDefault="00F631B1" w:rsidP="00180211">
            <w:pPr>
              <w:pStyle w:val="NoSpacing"/>
              <w:ind w:left="177" w:right="31"/>
              <w:jc w:val="center"/>
              <w:cnfStyle w:val="000000100000" w:firstRow="0" w:lastRow="0" w:firstColumn="0" w:lastColumn="0" w:oddVBand="0" w:evenVBand="0" w:oddHBand="1" w:evenHBand="0" w:firstRowFirstColumn="0" w:firstRowLastColumn="0" w:lastRowFirstColumn="0" w:lastRowLastColumn="0"/>
            </w:pPr>
            <w:r w:rsidRPr="009A0DA6">
              <w:t>3</w:t>
            </w:r>
          </w:p>
        </w:tc>
      </w:tr>
      <w:tr w:rsidR="00F631B1" w:rsidRPr="009A0DA6" w14:paraId="505D969F" w14:textId="77777777" w:rsidTr="00180211">
        <w:trPr>
          <w:trHeight w:val="454"/>
        </w:trPr>
        <w:tc>
          <w:tcPr>
            <w:cnfStyle w:val="001000000000" w:firstRow="0" w:lastRow="0" w:firstColumn="1" w:lastColumn="0" w:oddVBand="0" w:evenVBand="0" w:oddHBand="0" w:evenHBand="0" w:firstRowFirstColumn="0" w:firstRowLastColumn="0" w:lastRowFirstColumn="0" w:lastRowLastColumn="0"/>
            <w:tcW w:w="7230" w:type="dxa"/>
            <w:hideMark/>
          </w:tcPr>
          <w:p w14:paraId="0051F7DC" w14:textId="77777777" w:rsidR="00F631B1" w:rsidRPr="009A0DA6" w:rsidRDefault="00F631B1" w:rsidP="00180211">
            <w:pPr>
              <w:pStyle w:val="NoSpacing"/>
              <w:ind w:left="34"/>
            </w:pPr>
            <w:r w:rsidRPr="009A0DA6">
              <w:t>RETIREMENTS</w:t>
            </w:r>
            <w:r w:rsidRPr="009A0DA6">
              <w:tab/>
            </w:r>
            <w:r w:rsidRPr="009A0DA6">
              <w:tab/>
            </w:r>
            <w:r w:rsidRPr="009A0DA6">
              <w:tab/>
            </w:r>
            <w:r w:rsidRPr="009A0DA6">
              <w:tab/>
            </w:r>
            <w:r w:rsidRPr="009A0DA6">
              <w:tab/>
            </w:r>
            <w:r w:rsidRPr="009A0DA6">
              <w:tab/>
            </w:r>
            <w:r w:rsidRPr="009A0DA6">
              <w:tab/>
            </w:r>
          </w:p>
        </w:tc>
        <w:tc>
          <w:tcPr>
            <w:tcW w:w="1275" w:type="dxa"/>
          </w:tcPr>
          <w:p w14:paraId="639E70E3" w14:textId="77777777" w:rsidR="00F631B1" w:rsidRPr="009A0DA6" w:rsidRDefault="00F631B1" w:rsidP="00180211">
            <w:pPr>
              <w:pStyle w:val="NoSpacing"/>
              <w:ind w:left="177" w:right="31"/>
              <w:jc w:val="center"/>
              <w:cnfStyle w:val="000000000000" w:firstRow="0" w:lastRow="0" w:firstColumn="0" w:lastColumn="0" w:oddVBand="0" w:evenVBand="0" w:oddHBand="0" w:evenHBand="0" w:firstRowFirstColumn="0" w:firstRowLastColumn="0" w:lastRowFirstColumn="0" w:lastRowLastColumn="0"/>
            </w:pPr>
            <w:r w:rsidRPr="009A0DA6">
              <w:t>28</w:t>
            </w:r>
          </w:p>
        </w:tc>
      </w:tr>
      <w:tr w:rsidR="00F631B1" w:rsidRPr="009A0DA6" w14:paraId="145E24A4" w14:textId="77777777" w:rsidTr="0018021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230" w:type="dxa"/>
            <w:hideMark/>
          </w:tcPr>
          <w:p w14:paraId="3168380A" w14:textId="77777777" w:rsidR="00F631B1" w:rsidRPr="009A0DA6" w:rsidRDefault="00F631B1" w:rsidP="00180211">
            <w:pPr>
              <w:pStyle w:val="NoSpacing"/>
              <w:ind w:left="34"/>
            </w:pPr>
            <w:r w:rsidRPr="009A0DA6">
              <w:t>REMOVALS FROM THE ROLL</w:t>
            </w:r>
            <w:r w:rsidRPr="009A0DA6">
              <w:tab/>
            </w:r>
            <w:r w:rsidRPr="009A0DA6">
              <w:tab/>
            </w:r>
            <w:r w:rsidRPr="009A0DA6">
              <w:tab/>
            </w:r>
            <w:r w:rsidRPr="009A0DA6">
              <w:tab/>
            </w:r>
            <w:r w:rsidRPr="009A0DA6">
              <w:tab/>
            </w:r>
          </w:p>
        </w:tc>
        <w:tc>
          <w:tcPr>
            <w:tcW w:w="1275" w:type="dxa"/>
          </w:tcPr>
          <w:p w14:paraId="063AAF27" w14:textId="77777777" w:rsidR="00F631B1" w:rsidRPr="009A0DA6" w:rsidRDefault="00F631B1" w:rsidP="00180211">
            <w:pPr>
              <w:pStyle w:val="NoSpacing"/>
              <w:ind w:left="177" w:right="31"/>
              <w:jc w:val="center"/>
              <w:cnfStyle w:val="000000100000" w:firstRow="0" w:lastRow="0" w:firstColumn="0" w:lastColumn="0" w:oddVBand="0" w:evenVBand="0" w:oddHBand="1" w:evenHBand="0" w:firstRowFirstColumn="0" w:firstRowLastColumn="0" w:lastRowFirstColumn="0" w:lastRowLastColumn="0"/>
            </w:pPr>
            <w:r w:rsidRPr="009A0DA6">
              <w:t>8</w:t>
            </w:r>
          </w:p>
        </w:tc>
      </w:tr>
      <w:tr w:rsidR="00F631B1" w:rsidRPr="009A0DA6" w14:paraId="50E5E3CB" w14:textId="77777777" w:rsidTr="00180211">
        <w:trPr>
          <w:trHeight w:val="454"/>
        </w:trPr>
        <w:tc>
          <w:tcPr>
            <w:cnfStyle w:val="001000000000" w:firstRow="0" w:lastRow="0" w:firstColumn="1" w:lastColumn="0" w:oddVBand="0" w:evenVBand="0" w:oddHBand="0" w:evenHBand="0" w:firstRowFirstColumn="0" w:firstRowLastColumn="0" w:lastRowFirstColumn="0" w:lastRowLastColumn="0"/>
            <w:tcW w:w="7230" w:type="dxa"/>
            <w:hideMark/>
          </w:tcPr>
          <w:p w14:paraId="7AB06744" w14:textId="77777777" w:rsidR="00F631B1" w:rsidRPr="009A0DA6" w:rsidRDefault="00F631B1" w:rsidP="00180211">
            <w:pPr>
              <w:pStyle w:val="NoSpacing"/>
              <w:ind w:left="34"/>
              <w:rPr>
                <w:b w:val="0"/>
                <w:i/>
              </w:rPr>
            </w:pPr>
            <w:r w:rsidRPr="009A0DA6">
              <w:t>DEATHS</w:t>
            </w:r>
            <w:r w:rsidRPr="009A0DA6">
              <w:rPr>
                <w:b w:val="0"/>
                <w:i/>
              </w:rPr>
              <w:t xml:space="preserve"> </w:t>
            </w:r>
          </w:p>
          <w:p w14:paraId="5C7684AD" w14:textId="77777777" w:rsidR="00F631B1" w:rsidRPr="009A0DA6" w:rsidRDefault="00F631B1" w:rsidP="00180211">
            <w:pPr>
              <w:pStyle w:val="NoSpacing"/>
              <w:ind w:left="34"/>
              <w:rPr>
                <w:b w:val="0"/>
              </w:rPr>
            </w:pPr>
            <w:r w:rsidRPr="009A0DA6">
              <w:rPr>
                <w:b w:val="0"/>
                <w:i/>
                <w:sz w:val="20"/>
              </w:rPr>
              <w:t>Among those who died, we grieved the loss of Pastor Les Grope who served the LCA as President from 1972 to 1987</w:t>
            </w:r>
            <w:r w:rsidRPr="009A0DA6">
              <w:rPr>
                <w:i/>
                <w:sz w:val="20"/>
              </w:rPr>
              <w:t>.</w:t>
            </w:r>
            <w:r w:rsidRPr="009A0DA6">
              <w:tab/>
            </w:r>
            <w:r w:rsidRPr="009A0DA6">
              <w:tab/>
            </w:r>
            <w:r w:rsidRPr="009A0DA6">
              <w:tab/>
            </w:r>
            <w:r w:rsidRPr="009A0DA6">
              <w:tab/>
            </w:r>
          </w:p>
        </w:tc>
        <w:tc>
          <w:tcPr>
            <w:tcW w:w="1275" w:type="dxa"/>
          </w:tcPr>
          <w:p w14:paraId="49CCCD1E" w14:textId="77777777" w:rsidR="00F631B1" w:rsidRPr="009A0DA6" w:rsidRDefault="00F631B1" w:rsidP="00180211">
            <w:pPr>
              <w:pStyle w:val="NoSpacing"/>
              <w:ind w:left="177" w:right="31"/>
              <w:jc w:val="center"/>
              <w:cnfStyle w:val="000000000000" w:firstRow="0" w:lastRow="0" w:firstColumn="0" w:lastColumn="0" w:oddVBand="0" w:evenVBand="0" w:oddHBand="0" w:evenHBand="0" w:firstRowFirstColumn="0" w:firstRowLastColumn="0" w:lastRowFirstColumn="0" w:lastRowLastColumn="0"/>
            </w:pPr>
            <w:r w:rsidRPr="009A0DA6">
              <w:t>20</w:t>
            </w:r>
          </w:p>
        </w:tc>
      </w:tr>
      <w:tr w:rsidR="00F631B1" w:rsidRPr="009A0DA6" w14:paraId="4C247D28" w14:textId="77777777" w:rsidTr="00180211">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7230" w:type="dxa"/>
            <w:hideMark/>
          </w:tcPr>
          <w:p w14:paraId="1E60D22B" w14:textId="77777777" w:rsidR="00F631B1" w:rsidRPr="009A0DA6" w:rsidRDefault="00F631B1" w:rsidP="00180211">
            <w:pPr>
              <w:pStyle w:val="NoSpacing"/>
            </w:pPr>
            <w:r w:rsidRPr="009A0DA6">
              <w:t>PASTORS IN ACTIVE SERVICE AS AT APRIL 2018</w:t>
            </w:r>
          </w:p>
        </w:tc>
        <w:tc>
          <w:tcPr>
            <w:tcW w:w="1275" w:type="dxa"/>
          </w:tcPr>
          <w:p w14:paraId="036B72EC" w14:textId="77777777" w:rsidR="00F631B1" w:rsidRPr="009A0DA6" w:rsidRDefault="00F631B1" w:rsidP="00180211">
            <w:pPr>
              <w:pStyle w:val="NoSpacing"/>
              <w:ind w:left="177" w:right="31"/>
              <w:jc w:val="center"/>
              <w:cnfStyle w:val="000000100000" w:firstRow="0" w:lastRow="0" w:firstColumn="0" w:lastColumn="0" w:oddVBand="0" w:evenVBand="0" w:oddHBand="1" w:evenHBand="0" w:firstRowFirstColumn="0" w:firstRowLastColumn="0" w:lastRowFirstColumn="0" w:lastRowLastColumn="0"/>
            </w:pPr>
          </w:p>
        </w:tc>
      </w:tr>
      <w:tr w:rsidR="00F631B1" w:rsidRPr="009A0DA6" w14:paraId="74B47990" w14:textId="77777777" w:rsidTr="00180211">
        <w:trPr>
          <w:trHeight w:val="454"/>
        </w:trPr>
        <w:tc>
          <w:tcPr>
            <w:cnfStyle w:val="001000000000" w:firstRow="0" w:lastRow="0" w:firstColumn="1" w:lastColumn="0" w:oddVBand="0" w:evenVBand="0" w:oddHBand="0" w:evenHBand="0" w:firstRowFirstColumn="0" w:firstRowLastColumn="0" w:lastRowFirstColumn="0" w:lastRowLastColumn="0"/>
            <w:tcW w:w="7230" w:type="dxa"/>
            <w:hideMark/>
          </w:tcPr>
          <w:p w14:paraId="2EE254EE" w14:textId="77777777" w:rsidR="00F631B1" w:rsidRPr="009A0DA6" w:rsidRDefault="00F631B1" w:rsidP="00180211">
            <w:pPr>
              <w:pStyle w:val="NoSpacing"/>
              <w:rPr>
                <w:b w:val="0"/>
              </w:rPr>
            </w:pPr>
            <w:r w:rsidRPr="009A0DA6">
              <w:rPr>
                <w:b w:val="0"/>
              </w:rPr>
              <w:t>Active’ General Ministry Pastors</w:t>
            </w:r>
            <w:r w:rsidRPr="009A0DA6">
              <w:rPr>
                <w:b w:val="0"/>
              </w:rPr>
              <w:tab/>
            </w:r>
            <w:r w:rsidRPr="009A0DA6">
              <w:rPr>
                <w:b w:val="0"/>
              </w:rPr>
              <w:tab/>
            </w:r>
            <w:r w:rsidRPr="009A0DA6">
              <w:rPr>
                <w:b w:val="0"/>
              </w:rPr>
              <w:tab/>
            </w:r>
            <w:r w:rsidRPr="009A0DA6">
              <w:rPr>
                <w:b w:val="0"/>
              </w:rPr>
              <w:tab/>
            </w:r>
            <w:r w:rsidRPr="009A0DA6">
              <w:rPr>
                <w:b w:val="0"/>
              </w:rPr>
              <w:tab/>
            </w:r>
          </w:p>
          <w:p w14:paraId="3BE0E96E" w14:textId="77777777" w:rsidR="00F631B1" w:rsidRPr="009A0DA6" w:rsidRDefault="00F631B1" w:rsidP="00180211">
            <w:pPr>
              <w:pStyle w:val="NoSpacing"/>
              <w:rPr>
                <w:b w:val="0"/>
              </w:rPr>
            </w:pPr>
            <w:r w:rsidRPr="009A0DA6">
              <w:rPr>
                <w:b w:val="0"/>
              </w:rPr>
              <w:t xml:space="preserve">Specific Ministry Pastors </w:t>
            </w:r>
            <w:r w:rsidRPr="009A0DA6">
              <w:rPr>
                <w:b w:val="0"/>
              </w:rPr>
              <w:br/>
            </w:r>
            <w:r w:rsidRPr="009A0DA6">
              <w:rPr>
                <w:b w:val="0"/>
                <w:sz w:val="20"/>
              </w:rPr>
              <w:t>(of whom 19 are indigenous pastors on the Roll of LCA Pastors - NB we believe we now have more accurate information compared to the previous Synod report regarding the number of Aboriginal pastors in active service)</w:t>
            </w:r>
          </w:p>
        </w:tc>
        <w:tc>
          <w:tcPr>
            <w:tcW w:w="1275" w:type="dxa"/>
          </w:tcPr>
          <w:p w14:paraId="3E67F8ED" w14:textId="77777777" w:rsidR="00F631B1" w:rsidRPr="009A0DA6" w:rsidRDefault="00F631B1" w:rsidP="00180211">
            <w:pPr>
              <w:pStyle w:val="NoSpacing"/>
              <w:ind w:left="177" w:right="31"/>
              <w:jc w:val="center"/>
              <w:cnfStyle w:val="000000000000" w:firstRow="0" w:lastRow="0" w:firstColumn="0" w:lastColumn="0" w:oddVBand="0" w:evenVBand="0" w:oddHBand="0" w:evenHBand="0" w:firstRowFirstColumn="0" w:firstRowLastColumn="0" w:lastRowFirstColumn="0" w:lastRowLastColumn="0"/>
            </w:pPr>
            <w:r w:rsidRPr="009A0DA6">
              <w:t>281</w:t>
            </w:r>
          </w:p>
          <w:p w14:paraId="35C57F61" w14:textId="77777777" w:rsidR="00F631B1" w:rsidRPr="009A0DA6" w:rsidRDefault="00F631B1" w:rsidP="00180211">
            <w:pPr>
              <w:pStyle w:val="NoSpacing"/>
              <w:ind w:left="177" w:right="31"/>
              <w:jc w:val="center"/>
              <w:cnfStyle w:val="000000000000" w:firstRow="0" w:lastRow="0" w:firstColumn="0" w:lastColumn="0" w:oddVBand="0" w:evenVBand="0" w:oddHBand="0" w:evenHBand="0" w:firstRowFirstColumn="0" w:firstRowLastColumn="0" w:lastRowFirstColumn="0" w:lastRowLastColumn="0"/>
              <w:rPr>
                <w:b/>
              </w:rPr>
            </w:pPr>
            <w:r w:rsidRPr="009A0DA6">
              <w:t>44</w:t>
            </w:r>
          </w:p>
        </w:tc>
      </w:tr>
      <w:tr w:rsidR="00F631B1" w:rsidRPr="009A0DA6" w14:paraId="722A07FF" w14:textId="77777777" w:rsidTr="0018021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230" w:type="dxa"/>
            <w:hideMark/>
          </w:tcPr>
          <w:p w14:paraId="4AA87489" w14:textId="77777777" w:rsidR="00F631B1" w:rsidRPr="009A0DA6" w:rsidRDefault="00F631B1" w:rsidP="00180211">
            <w:pPr>
              <w:pStyle w:val="NoSpacing"/>
              <w:rPr>
                <w:b w:val="0"/>
              </w:rPr>
            </w:pPr>
            <w:r w:rsidRPr="009A0DA6">
              <w:t xml:space="preserve">EMERITI PASTORS </w:t>
            </w:r>
            <w:r w:rsidRPr="009A0DA6">
              <w:rPr>
                <w:b w:val="0"/>
              </w:rPr>
              <w:tab/>
            </w:r>
            <w:r w:rsidRPr="009A0DA6">
              <w:rPr>
                <w:b w:val="0"/>
              </w:rPr>
              <w:tab/>
            </w:r>
            <w:r w:rsidRPr="009A0DA6">
              <w:rPr>
                <w:b w:val="0"/>
              </w:rPr>
              <w:tab/>
            </w:r>
            <w:r w:rsidRPr="009A0DA6">
              <w:rPr>
                <w:b w:val="0"/>
              </w:rPr>
              <w:tab/>
            </w:r>
            <w:r w:rsidRPr="009A0DA6">
              <w:rPr>
                <w:b w:val="0"/>
              </w:rPr>
              <w:tab/>
            </w:r>
            <w:r w:rsidRPr="009A0DA6">
              <w:rPr>
                <w:b w:val="0"/>
              </w:rPr>
              <w:tab/>
            </w:r>
            <w:r w:rsidRPr="009A0DA6">
              <w:rPr>
                <w:b w:val="0"/>
              </w:rPr>
              <w:tab/>
            </w:r>
          </w:p>
        </w:tc>
        <w:tc>
          <w:tcPr>
            <w:tcW w:w="1275" w:type="dxa"/>
          </w:tcPr>
          <w:p w14:paraId="3B8B82E9" w14:textId="77777777" w:rsidR="00F631B1" w:rsidRPr="009A0DA6" w:rsidRDefault="00F631B1" w:rsidP="00180211">
            <w:pPr>
              <w:pStyle w:val="NoSpacing"/>
              <w:ind w:left="177" w:right="31"/>
              <w:jc w:val="center"/>
              <w:cnfStyle w:val="000000100000" w:firstRow="0" w:lastRow="0" w:firstColumn="0" w:lastColumn="0" w:oddVBand="0" w:evenVBand="0" w:oddHBand="1" w:evenHBand="0" w:firstRowFirstColumn="0" w:firstRowLastColumn="0" w:lastRowFirstColumn="0" w:lastRowLastColumn="0"/>
            </w:pPr>
            <w:r w:rsidRPr="009A0DA6">
              <w:t>212</w:t>
            </w:r>
          </w:p>
        </w:tc>
      </w:tr>
      <w:tr w:rsidR="00F631B1" w:rsidRPr="009A0DA6" w14:paraId="12E2BDA6" w14:textId="77777777" w:rsidTr="00180211">
        <w:trPr>
          <w:trHeight w:val="454"/>
        </w:trPr>
        <w:tc>
          <w:tcPr>
            <w:cnfStyle w:val="001000000000" w:firstRow="0" w:lastRow="0" w:firstColumn="1" w:lastColumn="0" w:oddVBand="0" w:evenVBand="0" w:oddHBand="0" w:evenHBand="0" w:firstRowFirstColumn="0" w:firstRowLastColumn="0" w:lastRowFirstColumn="0" w:lastRowLastColumn="0"/>
            <w:tcW w:w="7230" w:type="dxa"/>
            <w:hideMark/>
          </w:tcPr>
          <w:p w14:paraId="5181BC4B" w14:textId="77777777" w:rsidR="00F631B1" w:rsidRPr="009A0DA6" w:rsidRDefault="00F631B1" w:rsidP="00180211">
            <w:pPr>
              <w:pStyle w:val="NoSpacing"/>
            </w:pPr>
            <w:r w:rsidRPr="009A0DA6">
              <w:t xml:space="preserve">NET REDUCTION IN PASTORS IN ACTIVE SERVICE SINCE </w:t>
            </w:r>
            <w:r w:rsidRPr="009A0DA6">
              <w:br/>
              <w:t>PREVIOUS CONVENTION</w:t>
            </w:r>
            <w:r w:rsidRPr="009A0DA6">
              <w:tab/>
            </w:r>
            <w:r w:rsidRPr="009A0DA6">
              <w:tab/>
            </w:r>
            <w:r w:rsidRPr="009A0DA6">
              <w:tab/>
            </w:r>
            <w:r w:rsidRPr="009A0DA6">
              <w:tab/>
            </w:r>
            <w:r w:rsidRPr="009A0DA6">
              <w:tab/>
            </w:r>
            <w:r w:rsidRPr="009A0DA6">
              <w:tab/>
            </w:r>
          </w:p>
        </w:tc>
        <w:tc>
          <w:tcPr>
            <w:tcW w:w="1275" w:type="dxa"/>
          </w:tcPr>
          <w:p w14:paraId="7921706B" w14:textId="77777777" w:rsidR="00F631B1" w:rsidRPr="009A0DA6" w:rsidRDefault="00F631B1" w:rsidP="00180211">
            <w:pPr>
              <w:pStyle w:val="NoSpacing"/>
              <w:ind w:left="177" w:right="31"/>
              <w:jc w:val="center"/>
              <w:cnfStyle w:val="000000000000" w:firstRow="0" w:lastRow="0" w:firstColumn="0" w:lastColumn="0" w:oddVBand="0" w:evenVBand="0" w:oddHBand="0" w:evenHBand="0" w:firstRowFirstColumn="0" w:firstRowLastColumn="0" w:lastRowFirstColumn="0" w:lastRowLastColumn="0"/>
            </w:pPr>
            <w:r w:rsidRPr="009A0DA6">
              <w:t>23</w:t>
            </w:r>
          </w:p>
        </w:tc>
      </w:tr>
      <w:tr w:rsidR="00F631B1" w:rsidRPr="009A0DA6" w14:paraId="0D09CD58" w14:textId="77777777" w:rsidTr="0018021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230" w:type="dxa"/>
            <w:hideMark/>
          </w:tcPr>
          <w:p w14:paraId="1F9237B0" w14:textId="77777777" w:rsidR="00F631B1" w:rsidRPr="009A0DA6" w:rsidRDefault="00F631B1" w:rsidP="00180211">
            <w:pPr>
              <w:pStyle w:val="NoSpacing"/>
              <w:rPr>
                <w:b w:val="0"/>
              </w:rPr>
            </w:pPr>
            <w:r w:rsidRPr="009A0DA6">
              <w:t xml:space="preserve">NET REDUCTION IN PASTORS ON THE ROLL OF PASTORS </w:t>
            </w:r>
            <w:r w:rsidRPr="009A0DA6">
              <w:br/>
              <w:t xml:space="preserve">SINCE PREVIOUS CONVENTION </w:t>
            </w:r>
            <w:r w:rsidRPr="009A0DA6">
              <w:tab/>
            </w:r>
            <w:r w:rsidRPr="009A0DA6">
              <w:tab/>
            </w:r>
            <w:r w:rsidRPr="009A0DA6">
              <w:tab/>
            </w:r>
            <w:r w:rsidRPr="009A0DA6">
              <w:tab/>
            </w:r>
            <w:r w:rsidRPr="009A0DA6">
              <w:tab/>
            </w:r>
          </w:p>
        </w:tc>
        <w:tc>
          <w:tcPr>
            <w:tcW w:w="1275" w:type="dxa"/>
          </w:tcPr>
          <w:p w14:paraId="476F1F1F" w14:textId="77777777" w:rsidR="00F631B1" w:rsidRPr="009A0DA6" w:rsidRDefault="00F631B1" w:rsidP="00180211">
            <w:pPr>
              <w:pStyle w:val="NoSpacing"/>
              <w:ind w:left="177" w:right="31"/>
              <w:jc w:val="center"/>
              <w:cnfStyle w:val="000000100000" w:firstRow="0" w:lastRow="0" w:firstColumn="0" w:lastColumn="0" w:oddVBand="0" w:evenVBand="0" w:oddHBand="1" w:evenHBand="0" w:firstRowFirstColumn="0" w:firstRowLastColumn="0" w:lastRowFirstColumn="0" w:lastRowLastColumn="0"/>
            </w:pPr>
            <w:r w:rsidRPr="009A0DA6">
              <w:t>19</w:t>
            </w:r>
          </w:p>
        </w:tc>
      </w:tr>
    </w:tbl>
    <w:p w14:paraId="442663FA" w14:textId="77777777" w:rsidR="00CF1FE7" w:rsidRDefault="00CF1FE7" w:rsidP="00F631B1">
      <w:pPr>
        <w:pStyle w:val="Heading3"/>
      </w:pPr>
    </w:p>
    <w:p w14:paraId="59275486" w14:textId="1C675B4D" w:rsidR="00F631B1" w:rsidRPr="009A0DA6" w:rsidRDefault="00F631B1" w:rsidP="00F631B1">
      <w:pPr>
        <w:pStyle w:val="Heading3"/>
        <w:rPr>
          <w:lang w:val="en-US"/>
        </w:rPr>
      </w:pPr>
      <w:r w:rsidRPr="009A0DA6">
        <w:t>APPENDIX 2: ALITE Pastoral Ministry in the Lutheran Church of Australia – A Snapshot FIFTY years after union report recommendations</w:t>
      </w:r>
    </w:p>
    <w:p w14:paraId="54E26D46" w14:textId="77777777" w:rsidR="00F631B1" w:rsidRPr="009A0DA6" w:rsidRDefault="00F631B1" w:rsidP="00F631B1">
      <w:pPr>
        <w:pStyle w:val="Subtitle"/>
        <w:rPr>
          <w:sz w:val="10"/>
        </w:rPr>
      </w:pPr>
      <w:r w:rsidRPr="009A0DA6">
        <w:t>Summary of College of Bishops (CoB) Actions as at 25/05/2018</w:t>
      </w:r>
      <w:r w:rsidRPr="009A0DA6">
        <w:br/>
      </w:r>
    </w:p>
    <w:tbl>
      <w:tblPr>
        <w:tblStyle w:val="PlainTable2"/>
        <w:tblW w:w="8674" w:type="dxa"/>
        <w:tblLayout w:type="fixed"/>
        <w:tblLook w:val="04A0" w:firstRow="1" w:lastRow="0" w:firstColumn="1" w:lastColumn="0" w:noHBand="0" w:noVBand="1"/>
      </w:tblPr>
      <w:tblGrid>
        <w:gridCol w:w="536"/>
        <w:gridCol w:w="3855"/>
        <w:gridCol w:w="1165"/>
        <w:gridCol w:w="3118"/>
      </w:tblGrid>
      <w:tr w:rsidR="00F631B1" w:rsidRPr="009A0DA6" w14:paraId="0E895AB0" w14:textId="77777777" w:rsidTr="001802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6" w:type="dxa"/>
            <w:hideMark/>
          </w:tcPr>
          <w:p w14:paraId="0D86F30B" w14:textId="77777777" w:rsidR="00F631B1" w:rsidRPr="009A0DA6" w:rsidRDefault="00F631B1" w:rsidP="00180211">
            <w:pPr>
              <w:rPr>
                <w:rFonts w:ascii="Cambria" w:hAnsi="Cambria"/>
                <w:b w:val="0"/>
              </w:rPr>
            </w:pPr>
            <w:r w:rsidRPr="009A0DA6">
              <w:rPr>
                <w:rFonts w:ascii="Cambria" w:hAnsi="Cambria"/>
              </w:rPr>
              <w:t>No</w:t>
            </w:r>
            <w:r w:rsidRPr="009A0DA6">
              <w:rPr>
                <w:rFonts w:ascii="Cambria" w:hAnsi="Cambria"/>
                <w:b w:val="0"/>
              </w:rPr>
              <w:t>.</w:t>
            </w:r>
          </w:p>
        </w:tc>
        <w:tc>
          <w:tcPr>
            <w:tcW w:w="3855" w:type="dxa"/>
            <w:hideMark/>
          </w:tcPr>
          <w:p w14:paraId="0D26B3F5" w14:textId="77777777" w:rsidR="00F631B1" w:rsidRPr="009A0DA6" w:rsidRDefault="00F631B1" w:rsidP="00180211">
            <w:pPr>
              <w:jc w:val="center"/>
              <w:cnfStyle w:val="100000000000" w:firstRow="1" w:lastRow="0" w:firstColumn="0" w:lastColumn="0" w:oddVBand="0" w:evenVBand="0" w:oddHBand="0" w:evenHBand="0" w:firstRowFirstColumn="0" w:firstRowLastColumn="0" w:lastRowFirstColumn="0" w:lastRowLastColumn="0"/>
              <w:rPr>
                <w:rFonts w:ascii="Cambria" w:hAnsi="Cambria"/>
              </w:rPr>
            </w:pPr>
            <w:r w:rsidRPr="009A0DA6">
              <w:rPr>
                <w:rFonts w:ascii="Cambria" w:hAnsi="Cambria"/>
              </w:rPr>
              <w:t>Recommendation</w:t>
            </w:r>
          </w:p>
        </w:tc>
        <w:tc>
          <w:tcPr>
            <w:tcW w:w="1165" w:type="dxa"/>
            <w:hideMark/>
          </w:tcPr>
          <w:p w14:paraId="20D27202" w14:textId="77777777" w:rsidR="00F631B1" w:rsidRPr="009A0DA6" w:rsidRDefault="00F631B1" w:rsidP="00180211">
            <w:pPr>
              <w:jc w:val="center"/>
              <w:cnfStyle w:val="100000000000" w:firstRow="1" w:lastRow="0" w:firstColumn="0" w:lastColumn="0" w:oddVBand="0" w:evenVBand="0" w:oddHBand="0" w:evenHBand="0" w:firstRowFirstColumn="0" w:firstRowLastColumn="0" w:lastRowFirstColumn="0" w:lastRowLastColumn="0"/>
              <w:rPr>
                <w:rFonts w:ascii="Cambria" w:hAnsi="Cambria"/>
              </w:rPr>
            </w:pPr>
            <w:r w:rsidRPr="009A0DA6">
              <w:rPr>
                <w:rFonts w:ascii="Cambria" w:hAnsi="Cambria"/>
              </w:rPr>
              <w:t>CoB Action</w:t>
            </w:r>
          </w:p>
        </w:tc>
        <w:tc>
          <w:tcPr>
            <w:tcW w:w="3118" w:type="dxa"/>
            <w:hideMark/>
          </w:tcPr>
          <w:p w14:paraId="446C6C73" w14:textId="77777777" w:rsidR="00F631B1" w:rsidRPr="009A0DA6" w:rsidRDefault="00F631B1" w:rsidP="00180211">
            <w:pPr>
              <w:jc w:val="center"/>
              <w:cnfStyle w:val="100000000000" w:firstRow="1" w:lastRow="0" w:firstColumn="0" w:lastColumn="0" w:oddVBand="0" w:evenVBand="0" w:oddHBand="0" w:evenHBand="0" w:firstRowFirstColumn="0" w:firstRowLastColumn="0" w:lastRowFirstColumn="0" w:lastRowLastColumn="0"/>
              <w:rPr>
                <w:rFonts w:ascii="Cambria" w:hAnsi="Cambria"/>
              </w:rPr>
            </w:pPr>
            <w:r w:rsidRPr="009A0DA6">
              <w:rPr>
                <w:rFonts w:ascii="Cambria" w:hAnsi="Cambria"/>
              </w:rPr>
              <w:t>Summary of Action taken</w:t>
            </w:r>
          </w:p>
        </w:tc>
      </w:tr>
      <w:tr w:rsidR="00F631B1" w:rsidRPr="009A0DA6" w14:paraId="02CC5D37" w14:textId="77777777" w:rsidTr="001802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6" w:type="dxa"/>
            <w:hideMark/>
          </w:tcPr>
          <w:p w14:paraId="4668BC6C" w14:textId="77777777" w:rsidR="00F631B1" w:rsidRPr="009A0DA6" w:rsidRDefault="00F631B1" w:rsidP="00180211">
            <w:pPr>
              <w:rPr>
                <w:rFonts w:ascii="Cambria" w:hAnsi="Cambria"/>
                <w:b w:val="0"/>
              </w:rPr>
            </w:pPr>
            <w:r w:rsidRPr="009A0DA6">
              <w:rPr>
                <w:rFonts w:ascii="Cambria" w:hAnsi="Cambria"/>
                <w:b w:val="0"/>
              </w:rPr>
              <w:t>1</w:t>
            </w:r>
          </w:p>
        </w:tc>
        <w:tc>
          <w:tcPr>
            <w:tcW w:w="3855" w:type="dxa"/>
            <w:hideMark/>
          </w:tcPr>
          <w:p w14:paraId="3B1154B3" w14:textId="77777777" w:rsidR="00F631B1" w:rsidRPr="009A0DA6" w:rsidRDefault="00F631B1" w:rsidP="00180211">
            <w:pPr>
              <w:cnfStyle w:val="000000100000" w:firstRow="0" w:lastRow="0" w:firstColumn="0" w:lastColumn="0" w:oddVBand="0" w:evenVBand="0" w:oddHBand="1" w:evenHBand="0" w:firstRowFirstColumn="0" w:firstRowLastColumn="0" w:lastRowFirstColumn="0" w:lastRowLastColumn="0"/>
              <w:rPr>
                <w:rFonts w:ascii="Cambria" w:hAnsi="Cambria"/>
              </w:rPr>
            </w:pPr>
            <w:r w:rsidRPr="009A0DA6">
              <w:rPr>
                <w:rFonts w:ascii="Cambria" w:hAnsi="Cambria"/>
              </w:rPr>
              <w:t>That existing research data pertaining to the LCA and the pastorate is identified and gathered, utilised in longitudinal research, and continuously managed and upgraded</w:t>
            </w:r>
          </w:p>
        </w:tc>
        <w:tc>
          <w:tcPr>
            <w:tcW w:w="1165" w:type="dxa"/>
            <w:hideMark/>
          </w:tcPr>
          <w:p w14:paraId="22EB2C39" w14:textId="77777777" w:rsidR="00F631B1" w:rsidRPr="009A0DA6" w:rsidRDefault="00F631B1" w:rsidP="00180211">
            <w:pPr>
              <w:cnfStyle w:val="000000100000" w:firstRow="0" w:lastRow="0" w:firstColumn="0" w:lastColumn="0" w:oddVBand="0" w:evenVBand="0" w:oddHBand="1" w:evenHBand="0" w:firstRowFirstColumn="0" w:firstRowLastColumn="0" w:lastRowFirstColumn="0" w:lastRowLastColumn="0"/>
              <w:rPr>
                <w:rFonts w:ascii="Cambria" w:hAnsi="Cambria"/>
              </w:rPr>
            </w:pPr>
            <w:r w:rsidRPr="009A0DA6">
              <w:rPr>
                <w:rFonts w:ascii="Cambria" w:hAnsi="Cambria"/>
              </w:rPr>
              <w:t>Action in progress</w:t>
            </w:r>
          </w:p>
        </w:tc>
        <w:tc>
          <w:tcPr>
            <w:tcW w:w="3118" w:type="dxa"/>
            <w:hideMark/>
          </w:tcPr>
          <w:p w14:paraId="330C4E57" w14:textId="77777777" w:rsidR="00F631B1" w:rsidRPr="009A0DA6" w:rsidRDefault="00F631B1" w:rsidP="00180211">
            <w:pPr>
              <w:pStyle w:val="ListParagraph"/>
              <w:spacing w:line="240" w:lineRule="auto"/>
              <w:ind w:left="0"/>
              <w:cnfStyle w:val="000000100000" w:firstRow="0" w:lastRow="0" w:firstColumn="0" w:lastColumn="0" w:oddVBand="0" w:evenVBand="0" w:oddHBand="1" w:evenHBand="0" w:firstRowFirstColumn="0" w:firstRowLastColumn="0" w:lastRowFirstColumn="0" w:lastRowLastColumn="0"/>
              <w:rPr>
                <w:rFonts w:ascii="Cambria" w:hAnsi="Cambria"/>
              </w:rPr>
            </w:pPr>
            <w:r w:rsidRPr="009A0DA6">
              <w:rPr>
                <w:rFonts w:ascii="Cambria" w:hAnsi="Cambria"/>
              </w:rPr>
              <w:t>CoB working with ALITE to create a central hub for research storage</w:t>
            </w:r>
          </w:p>
          <w:p w14:paraId="7A262BF4" w14:textId="77777777" w:rsidR="00F631B1" w:rsidRPr="009A0DA6" w:rsidRDefault="00F631B1" w:rsidP="00180211">
            <w:pPr>
              <w:pStyle w:val="ListParagraph"/>
              <w:spacing w:line="240" w:lineRule="auto"/>
              <w:ind w:left="0"/>
              <w:cnfStyle w:val="000000100000" w:firstRow="0" w:lastRow="0" w:firstColumn="0" w:lastColumn="0" w:oddVBand="0" w:evenVBand="0" w:oddHBand="1" w:evenHBand="0" w:firstRowFirstColumn="0" w:firstRowLastColumn="0" w:lastRowFirstColumn="0" w:lastRowLastColumn="0"/>
              <w:rPr>
                <w:rFonts w:ascii="Cambria" w:hAnsi="Cambria"/>
                <w:sz w:val="16"/>
              </w:rPr>
            </w:pPr>
          </w:p>
          <w:p w14:paraId="2571335E" w14:textId="77777777" w:rsidR="00F631B1" w:rsidRPr="009A0DA6" w:rsidRDefault="00F631B1" w:rsidP="00180211">
            <w:pPr>
              <w:pStyle w:val="ListParagraph"/>
              <w:spacing w:line="240" w:lineRule="auto"/>
              <w:ind w:left="0"/>
              <w:cnfStyle w:val="000000100000" w:firstRow="0" w:lastRow="0" w:firstColumn="0" w:lastColumn="0" w:oddVBand="0" w:evenVBand="0" w:oddHBand="1" w:evenHBand="0" w:firstRowFirstColumn="0" w:firstRowLastColumn="0" w:lastRowFirstColumn="0" w:lastRowLastColumn="0"/>
              <w:rPr>
                <w:rFonts w:ascii="Cambria" w:hAnsi="Cambria"/>
              </w:rPr>
            </w:pPr>
            <w:r w:rsidRPr="009A0DA6">
              <w:rPr>
                <w:rFonts w:ascii="Cambria" w:hAnsi="Cambria"/>
              </w:rPr>
              <w:t>Work on future research to be done</w:t>
            </w:r>
          </w:p>
        </w:tc>
      </w:tr>
      <w:tr w:rsidR="00F631B1" w:rsidRPr="009A0DA6" w14:paraId="46BFEBE5" w14:textId="77777777" w:rsidTr="00180211">
        <w:tc>
          <w:tcPr>
            <w:cnfStyle w:val="001000000000" w:firstRow="0" w:lastRow="0" w:firstColumn="1" w:lastColumn="0" w:oddVBand="0" w:evenVBand="0" w:oddHBand="0" w:evenHBand="0" w:firstRowFirstColumn="0" w:firstRowLastColumn="0" w:lastRowFirstColumn="0" w:lastRowLastColumn="0"/>
            <w:tcW w:w="536" w:type="dxa"/>
            <w:hideMark/>
          </w:tcPr>
          <w:p w14:paraId="7520C611" w14:textId="77777777" w:rsidR="00F631B1" w:rsidRPr="009A0DA6" w:rsidRDefault="00F631B1" w:rsidP="00180211">
            <w:pPr>
              <w:rPr>
                <w:rFonts w:ascii="Cambria" w:hAnsi="Cambria"/>
                <w:b w:val="0"/>
              </w:rPr>
            </w:pPr>
            <w:r w:rsidRPr="009A0DA6">
              <w:rPr>
                <w:rFonts w:ascii="Cambria" w:hAnsi="Cambria"/>
                <w:b w:val="0"/>
              </w:rPr>
              <w:t>2</w:t>
            </w:r>
          </w:p>
        </w:tc>
        <w:tc>
          <w:tcPr>
            <w:tcW w:w="3855" w:type="dxa"/>
            <w:hideMark/>
          </w:tcPr>
          <w:p w14:paraId="055B7823" w14:textId="77777777" w:rsidR="00F631B1" w:rsidRPr="009A0DA6" w:rsidRDefault="00F631B1" w:rsidP="00180211">
            <w:pPr>
              <w:cnfStyle w:val="000000000000" w:firstRow="0" w:lastRow="0" w:firstColumn="0" w:lastColumn="0" w:oddVBand="0" w:evenVBand="0" w:oddHBand="0" w:evenHBand="0" w:firstRowFirstColumn="0" w:firstRowLastColumn="0" w:lastRowFirstColumn="0" w:lastRowLastColumn="0"/>
              <w:rPr>
                <w:rFonts w:ascii="Cambria" w:hAnsi="Cambria"/>
              </w:rPr>
            </w:pPr>
            <w:r w:rsidRPr="009A0DA6">
              <w:rPr>
                <w:rFonts w:ascii="Cambria" w:hAnsi="Cambria"/>
              </w:rPr>
              <w:t>Conduct further research in order to estimate the supply of pastors over the next 5, 10 and 20 years, and what implications this has for the LCA in terms of recruitment, training, succession planning, and allocation of resources</w:t>
            </w:r>
          </w:p>
        </w:tc>
        <w:tc>
          <w:tcPr>
            <w:tcW w:w="1165" w:type="dxa"/>
            <w:hideMark/>
          </w:tcPr>
          <w:p w14:paraId="211C87CC" w14:textId="77777777" w:rsidR="00F631B1" w:rsidRPr="009A0DA6" w:rsidRDefault="00F631B1" w:rsidP="00180211">
            <w:pPr>
              <w:cnfStyle w:val="000000000000" w:firstRow="0" w:lastRow="0" w:firstColumn="0" w:lastColumn="0" w:oddVBand="0" w:evenVBand="0" w:oddHBand="0" w:evenHBand="0" w:firstRowFirstColumn="0" w:firstRowLastColumn="0" w:lastRowFirstColumn="0" w:lastRowLastColumn="0"/>
              <w:rPr>
                <w:rFonts w:ascii="Cambria" w:hAnsi="Cambria"/>
              </w:rPr>
            </w:pPr>
            <w:r w:rsidRPr="009A0DA6">
              <w:rPr>
                <w:rFonts w:ascii="Cambria" w:hAnsi="Cambria"/>
              </w:rPr>
              <w:t>Action in progress</w:t>
            </w:r>
          </w:p>
        </w:tc>
        <w:tc>
          <w:tcPr>
            <w:tcW w:w="3118" w:type="dxa"/>
            <w:hideMark/>
          </w:tcPr>
          <w:p w14:paraId="5E924F9C" w14:textId="77777777" w:rsidR="00F631B1" w:rsidRPr="009A0DA6" w:rsidRDefault="00F631B1" w:rsidP="00180211">
            <w:pPr>
              <w:pStyle w:val="ListParagraph"/>
              <w:spacing w:line="240" w:lineRule="auto"/>
              <w:ind w:left="0"/>
              <w:cnfStyle w:val="000000000000" w:firstRow="0" w:lastRow="0" w:firstColumn="0" w:lastColumn="0" w:oddVBand="0" w:evenVBand="0" w:oddHBand="0" w:evenHBand="0" w:firstRowFirstColumn="0" w:firstRowLastColumn="0" w:lastRowFirstColumn="0" w:lastRowLastColumn="0"/>
              <w:rPr>
                <w:rFonts w:ascii="Cambria" w:hAnsi="Cambria"/>
              </w:rPr>
            </w:pPr>
            <w:r w:rsidRPr="009A0DA6">
              <w:rPr>
                <w:rFonts w:ascii="Cambria" w:hAnsi="Cambria"/>
              </w:rPr>
              <w:t>CoB has done research on district pastorate needs forecast</w:t>
            </w:r>
          </w:p>
          <w:p w14:paraId="2E04FDD9" w14:textId="77777777" w:rsidR="00F631B1" w:rsidRPr="009A0DA6" w:rsidRDefault="00F631B1" w:rsidP="00180211">
            <w:pPr>
              <w:pStyle w:val="ListParagraph"/>
              <w:spacing w:line="240" w:lineRule="auto"/>
              <w:ind w:left="0"/>
              <w:cnfStyle w:val="000000000000" w:firstRow="0" w:lastRow="0" w:firstColumn="0" w:lastColumn="0" w:oddVBand="0" w:evenVBand="0" w:oddHBand="0" w:evenHBand="0" w:firstRowFirstColumn="0" w:firstRowLastColumn="0" w:lastRowFirstColumn="0" w:lastRowLastColumn="0"/>
              <w:rPr>
                <w:rFonts w:ascii="Cambria" w:hAnsi="Cambria"/>
                <w:sz w:val="16"/>
              </w:rPr>
            </w:pPr>
          </w:p>
          <w:p w14:paraId="108B3012" w14:textId="77777777" w:rsidR="00F631B1" w:rsidRPr="009A0DA6" w:rsidRDefault="00F631B1" w:rsidP="00180211">
            <w:pPr>
              <w:pStyle w:val="ListParagraph"/>
              <w:spacing w:line="240" w:lineRule="auto"/>
              <w:ind w:left="0"/>
              <w:cnfStyle w:val="000000000000" w:firstRow="0" w:lastRow="0" w:firstColumn="0" w:lastColumn="0" w:oddVBand="0" w:evenVBand="0" w:oddHBand="0" w:evenHBand="0" w:firstRowFirstColumn="0" w:firstRowLastColumn="0" w:lastRowFirstColumn="0" w:lastRowLastColumn="0"/>
              <w:rPr>
                <w:rFonts w:ascii="Cambria" w:hAnsi="Cambria"/>
              </w:rPr>
            </w:pPr>
            <w:r w:rsidRPr="009A0DA6">
              <w:rPr>
                <w:rFonts w:ascii="Cambria" w:hAnsi="Cambria"/>
              </w:rPr>
              <w:t xml:space="preserve">CoB determining action to be taken </w:t>
            </w:r>
          </w:p>
        </w:tc>
      </w:tr>
      <w:tr w:rsidR="00F631B1" w:rsidRPr="009A0DA6" w14:paraId="4D7C5776" w14:textId="77777777" w:rsidTr="001802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6" w:type="dxa"/>
            <w:hideMark/>
          </w:tcPr>
          <w:p w14:paraId="4BC9835D" w14:textId="77777777" w:rsidR="00F631B1" w:rsidRPr="009A0DA6" w:rsidRDefault="00F631B1" w:rsidP="00180211">
            <w:pPr>
              <w:rPr>
                <w:rFonts w:ascii="Cambria" w:hAnsi="Cambria"/>
                <w:b w:val="0"/>
              </w:rPr>
            </w:pPr>
            <w:r w:rsidRPr="009A0DA6">
              <w:rPr>
                <w:rFonts w:ascii="Cambria" w:hAnsi="Cambria"/>
                <w:b w:val="0"/>
              </w:rPr>
              <w:lastRenderedPageBreak/>
              <w:t>3</w:t>
            </w:r>
          </w:p>
        </w:tc>
        <w:tc>
          <w:tcPr>
            <w:tcW w:w="3855" w:type="dxa"/>
            <w:hideMark/>
          </w:tcPr>
          <w:p w14:paraId="0CC15217" w14:textId="77777777" w:rsidR="00F631B1" w:rsidRPr="009A0DA6" w:rsidRDefault="00F631B1" w:rsidP="00180211">
            <w:pPr>
              <w:cnfStyle w:val="000000100000" w:firstRow="0" w:lastRow="0" w:firstColumn="0" w:lastColumn="0" w:oddVBand="0" w:evenVBand="0" w:oddHBand="1" w:evenHBand="0" w:firstRowFirstColumn="0" w:firstRowLastColumn="0" w:lastRowFirstColumn="0" w:lastRowLastColumn="0"/>
              <w:rPr>
                <w:rFonts w:ascii="Cambria" w:hAnsi="Cambria"/>
              </w:rPr>
            </w:pPr>
            <w:r w:rsidRPr="009A0DA6">
              <w:rPr>
                <w:rFonts w:ascii="Cambria" w:hAnsi="Cambria"/>
              </w:rPr>
              <w:t>Conduct further research on changing patterns in home ownership by LCA pastors and the implications this has for the individual pastor (and his family), congregations/parishes, and for the LCA</w:t>
            </w:r>
          </w:p>
        </w:tc>
        <w:tc>
          <w:tcPr>
            <w:tcW w:w="1165" w:type="dxa"/>
            <w:hideMark/>
          </w:tcPr>
          <w:p w14:paraId="6F7704E2" w14:textId="77777777" w:rsidR="00F631B1" w:rsidRPr="009A0DA6" w:rsidRDefault="00F631B1" w:rsidP="00180211">
            <w:pPr>
              <w:cnfStyle w:val="000000100000" w:firstRow="0" w:lastRow="0" w:firstColumn="0" w:lastColumn="0" w:oddVBand="0" w:evenVBand="0" w:oddHBand="1" w:evenHBand="0" w:firstRowFirstColumn="0" w:firstRowLastColumn="0" w:lastRowFirstColumn="0" w:lastRowLastColumn="0"/>
              <w:rPr>
                <w:rFonts w:ascii="Cambria" w:hAnsi="Cambria"/>
              </w:rPr>
            </w:pPr>
            <w:r w:rsidRPr="009A0DA6">
              <w:rPr>
                <w:rFonts w:ascii="Cambria" w:hAnsi="Cambria"/>
              </w:rPr>
              <w:t>Referred</w:t>
            </w:r>
          </w:p>
        </w:tc>
        <w:tc>
          <w:tcPr>
            <w:tcW w:w="3118" w:type="dxa"/>
            <w:hideMark/>
          </w:tcPr>
          <w:p w14:paraId="44034BB6" w14:textId="77777777" w:rsidR="00F631B1" w:rsidRPr="009A0DA6" w:rsidRDefault="00F631B1" w:rsidP="00180211">
            <w:pPr>
              <w:cnfStyle w:val="000000100000" w:firstRow="0" w:lastRow="0" w:firstColumn="0" w:lastColumn="0" w:oddVBand="0" w:evenVBand="0" w:oddHBand="1" w:evenHBand="0" w:firstRowFirstColumn="0" w:firstRowLastColumn="0" w:lastRowFirstColumn="0" w:lastRowLastColumn="0"/>
              <w:rPr>
                <w:rFonts w:ascii="Cambria" w:hAnsi="Cambria"/>
              </w:rPr>
            </w:pPr>
            <w:r w:rsidRPr="009A0DA6">
              <w:rPr>
                <w:rFonts w:ascii="Cambria" w:hAnsi="Cambria"/>
              </w:rPr>
              <w:t>Referred to the Church Worker Support Department (CWSD) for attention in conjunction with retirement processes for pastors</w:t>
            </w:r>
          </w:p>
        </w:tc>
      </w:tr>
      <w:tr w:rsidR="00F631B1" w:rsidRPr="009A0DA6" w14:paraId="66CFA740" w14:textId="77777777" w:rsidTr="00180211">
        <w:tc>
          <w:tcPr>
            <w:cnfStyle w:val="001000000000" w:firstRow="0" w:lastRow="0" w:firstColumn="1" w:lastColumn="0" w:oddVBand="0" w:evenVBand="0" w:oddHBand="0" w:evenHBand="0" w:firstRowFirstColumn="0" w:firstRowLastColumn="0" w:lastRowFirstColumn="0" w:lastRowLastColumn="0"/>
            <w:tcW w:w="536" w:type="dxa"/>
            <w:hideMark/>
          </w:tcPr>
          <w:p w14:paraId="36343B9C" w14:textId="77777777" w:rsidR="00F631B1" w:rsidRPr="009A0DA6" w:rsidRDefault="00F631B1" w:rsidP="00180211">
            <w:pPr>
              <w:rPr>
                <w:rFonts w:ascii="Cambria" w:hAnsi="Cambria"/>
                <w:b w:val="0"/>
              </w:rPr>
            </w:pPr>
            <w:r w:rsidRPr="009A0DA6">
              <w:rPr>
                <w:rFonts w:ascii="Cambria" w:hAnsi="Cambria"/>
                <w:b w:val="0"/>
              </w:rPr>
              <w:t>4</w:t>
            </w:r>
          </w:p>
        </w:tc>
        <w:tc>
          <w:tcPr>
            <w:tcW w:w="3855" w:type="dxa"/>
            <w:hideMark/>
          </w:tcPr>
          <w:p w14:paraId="0CDF9F2D" w14:textId="77777777" w:rsidR="00F631B1" w:rsidRPr="009A0DA6" w:rsidRDefault="00F631B1" w:rsidP="00180211">
            <w:pPr>
              <w:cnfStyle w:val="000000000000" w:firstRow="0" w:lastRow="0" w:firstColumn="0" w:lastColumn="0" w:oddVBand="0" w:evenVBand="0" w:oddHBand="0" w:evenHBand="0" w:firstRowFirstColumn="0" w:firstRowLastColumn="0" w:lastRowFirstColumn="0" w:lastRowLastColumn="0"/>
              <w:rPr>
                <w:rFonts w:ascii="Cambria" w:hAnsi="Cambria"/>
              </w:rPr>
            </w:pPr>
            <w:r w:rsidRPr="009A0DA6">
              <w:rPr>
                <w:rFonts w:ascii="Cambria" w:hAnsi="Cambria"/>
              </w:rPr>
              <w:t>Conduct further research on factors contributing to the well-being of specific groups of LCA clergy, namely parish pastors, aged care pastors, SMPs, and pastor working in LCA or District roles, with recommendations made for the care of clergy</w:t>
            </w:r>
          </w:p>
        </w:tc>
        <w:tc>
          <w:tcPr>
            <w:tcW w:w="1165" w:type="dxa"/>
            <w:hideMark/>
          </w:tcPr>
          <w:p w14:paraId="79EA2A1B" w14:textId="77777777" w:rsidR="00F631B1" w:rsidRPr="009A0DA6" w:rsidRDefault="00F631B1" w:rsidP="00180211">
            <w:pPr>
              <w:cnfStyle w:val="000000000000" w:firstRow="0" w:lastRow="0" w:firstColumn="0" w:lastColumn="0" w:oddVBand="0" w:evenVBand="0" w:oddHBand="0" w:evenHBand="0" w:firstRowFirstColumn="0" w:firstRowLastColumn="0" w:lastRowFirstColumn="0" w:lastRowLastColumn="0"/>
              <w:rPr>
                <w:rFonts w:ascii="Cambria" w:hAnsi="Cambria"/>
              </w:rPr>
            </w:pPr>
            <w:r w:rsidRPr="009A0DA6">
              <w:rPr>
                <w:rFonts w:ascii="Cambria" w:hAnsi="Cambria"/>
              </w:rPr>
              <w:t>Referred</w:t>
            </w:r>
          </w:p>
        </w:tc>
        <w:tc>
          <w:tcPr>
            <w:tcW w:w="3118" w:type="dxa"/>
            <w:hideMark/>
          </w:tcPr>
          <w:p w14:paraId="275E46D2" w14:textId="77777777" w:rsidR="00F631B1" w:rsidRPr="009A0DA6" w:rsidRDefault="00F631B1" w:rsidP="00180211">
            <w:pPr>
              <w:cnfStyle w:val="000000000000" w:firstRow="0" w:lastRow="0" w:firstColumn="0" w:lastColumn="0" w:oddVBand="0" w:evenVBand="0" w:oddHBand="0" w:evenHBand="0" w:firstRowFirstColumn="0" w:firstRowLastColumn="0" w:lastRowFirstColumn="0" w:lastRowLastColumn="0"/>
              <w:rPr>
                <w:rFonts w:ascii="Cambria" w:hAnsi="Cambria"/>
              </w:rPr>
            </w:pPr>
            <w:r w:rsidRPr="009A0DA6">
              <w:rPr>
                <w:rFonts w:ascii="Cambria" w:hAnsi="Cambria"/>
              </w:rPr>
              <w:t>Referred to CWSD for investigation with current work on Mental Health and Supervision</w:t>
            </w:r>
          </w:p>
        </w:tc>
      </w:tr>
      <w:tr w:rsidR="00F631B1" w:rsidRPr="009A0DA6" w14:paraId="6670DCA4" w14:textId="77777777" w:rsidTr="001802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6" w:type="dxa"/>
            <w:hideMark/>
          </w:tcPr>
          <w:p w14:paraId="47502E99" w14:textId="77777777" w:rsidR="00F631B1" w:rsidRPr="009A0DA6" w:rsidRDefault="00F631B1" w:rsidP="00180211">
            <w:pPr>
              <w:rPr>
                <w:rFonts w:ascii="Cambria" w:hAnsi="Cambria"/>
                <w:b w:val="0"/>
              </w:rPr>
            </w:pPr>
            <w:r w:rsidRPr="009A0DA6">
              <w:rPr>
                <w:rFonts w:ascii="Cambria" w:hAnsi="Cambria"/>
                <w:b w:val="0"/>
              </w:rPr>
              <w:t>5</w:t>
            </w:r>
          </w:p>
        </w:tc>
        <w:tc>
          <w:tcPr>
            <w:tcW w:w="3855" w:type="dxa"/>
            <w:hideMark/>
          </w:tcPr>
          <w:p w14:paraId="6A187015" w14:textId="77777777" w:rsidR="00F631B1" w:rsidRPr="009A0DA6" w:rsidRDefault="00F631B1" w:rsidP="00180211">
            <w:pPr>
              <w:cnfStyle w:val="000000100000" w:firstRow="0" w:lastRow="0" w:firstColumn="0" w:lastColumn="0" w:oddVBand="0" w:evenVBand="0" w:oddHBand="1" w:evenHBand="0" w:firstRowFirstColumn="0" w:firstRowLastColumn="0" w:lastRowFirstColumn="0" w:lastRowLastColumn="0"/>
              <w:rPr>
                <w:rFonts w:ascii="Cambria" w:hAnsi="Cambria"/>
              </w:rPr>
            </w:pPr>
            <w:r w:rsidRPr="009A0DA6">
              <w:rPr>
                <w:rFonts w:ascii="Cambria" w:hAnsi="Cambria"/>
              </w:rPr>
              <w:t>That attention be given to the emotional formation and relational skills of ministry candidates and recent graduates, and that to this end pastors undergo an initial unit of Clinical Pastoral Education (CPE) within the first months of ministry</w:t>
            </w:r>
          </w:p>
        </w:tc>
        <w:tc>
          <w:tcPr>
            <w:tcW w:w="1165" w:type="dxa"/>
            <w:hideMark/>
          </w:tcPr>
          <w:p w14:paraId="4690C0ED" w14:textId="77777777" w:rsidR="00F631B1" w:rsidRPr="009A0DA6" w:rsidRDefault="00F631B1" w:rsidP="00180211">
            <w:pPr>
              <w:cnfStyle w:val="000000100000" w:firstRow="0" w:lastRow="0" w:firstColumn="0" w:lastColumn="0" w:oddVBand="0" w:evenVBand="0" w:oddHBand="1" w:evenHBand="0" w:firstRowFirstColumn="0" w:firstRowLastColumn="0" w:lastRowFirstColumn="0" w:lastRowLastColumn="0"/>
              <w:rPr>
                <w:rFonts w:ascii="Cambria" w:hAnsi="Cambria"/>
              </w:rPr>
            </w:pPr>
            <w:r w:rsidRPr="009A0DA6">
              <w:rPr>
                <w:rFonts w:ascii="Cambria" w:hAnsi="Cambria"/>
              </w:rPr>
              <w:t>Action in progress</w:t>
            </w:r>
          </w:p>
        </w:tc>
        <w:tc>
          <w:tcPr>
            <w:tcW w:w="3118" w:type="dxa"/>
            <w:hideMark/>
          </w:tcPr>
          <w:p w14:paraId="3A462222" w14:textId="77777777" w:rsidR="00F631B1" w:rsidRPr="009A0DA6" w:rsidRDefault="00F631B1" w:rsidP="00180211">
            <w:pPr>
              <w:cnfStyle w:val="000000100000" w:firstRow="0" w:lastRow="0" w:firstColumn="0" w:lastColumn="0" w:oddVBand="0" w:evenVBand="0" w:oddHBand="1" w:evenHBand="0" w:firstRowFirstColumn="0" w:firstRowLastColumn="0" w:lastRowFirstColumn="0" w:lastRowLastColumn="0"/>
              <w:rPr>
                <w:rFonts w:ascii="Cambria" w:hAnsi="Cambria"/>
              </w:rPr>
            </w:pPr>
            <w:r w:rsidRPr="009A0DA6">
              <w:rPr>
                <w:rFonts w:ascii="Cambria" w:hAnsi="Cambria"/>
              </w:rPr>
              <w:t>CoB updated ALC Pastoral Graduates document</w:t>
            </w:r>
          </w:p>
          <w:p w14:paraId="2F984A9E" w14:textId="77777777" w:rsidR="00F631B1" w:rsidRPr="009A0DA6" w:rsidRDefault="00F631B1" w:rsidP="00180211">
            <w:pPr>
              <w:pStyle w:val="ListParagraph"/>
              <w:spacing w:line="240" w:lineRule="auto"/>
              <w:ind w:left="176"/>
              <w:cnfStyle w:val="000000100000" w:firstRow="0" w:lastRow="0" w:firstColumn="0" w:lastColumn="0" w:oddVBand="0" w:evenVBand="0" w:oddHBand="1" w:evenHBand="0" w:firstRowFirstColumn="0" w:firstRowLastColumn="0" w:lastRowFirstColumn="0" w:lastRowLastColumn="0"/>
              <w:rPr>
                <w:rFonts w:ascii="Cambria" w:hAnsi="Cambria"/>
                <w:sz w:val="16"/>
              </w:rPr>
            </w:pPr>
          </w:p>
          <w:p w14:paraId="00736831" w14:textId="77777777" w:rsidR="00F631B1" w:rsidRPr="009A0DA6" w:rsidRDefault="00F631B1" w:rsidP="00180211">
            <w:pPr>
              <w:cnfStyle w:val="000000100000" w:firstRow="0" w:lastRow="0" w:firstColumn="0" w:lastColumn="0" w:oddVBand="0" w:evenVBand="0" w:oddHBand="1" w:evenHBand="0" w:firstRowFirstColumn="0" w:firstRowLastColumn="0" w:lastRowFirstColumn="0" w:lastRowLastColumn="0"/>
              <w:rPr>
                <w:rFonts w:ascii="Cambria" w:hAnsi="Cambria"/>
              </w:rPr>
            </w:pPr>
            <w:r w:rsidRPr="009A0DA6">
              <w:rPr>
                <w:rFonts w:ascii="Cambria" w:hAnsi="Cambria"/>
              </w:rPr>
              <w:t>Graduate Pastor Program under review to ensure adequate support for new pastors.</w:t>
            </w:r>
          </w:p>
        </w:tc>
      </w:tr>
      <w:tr w:rsidR="00F631B1" w:rsidRPr="009A0DA6" w14:paraId="07428336" w14:textId="77777777" w:rsidTr="00180211">
        <w:tc>
          <w:tcPr>
            <w:cnfStyle w:val="001000000000" w:firstRow="0" w:lastRow="0" w:firstColumn="1" w:lastColumn="0" w:oddVBand="0" w:evenVBand="0" w:oddHBand="0" w:evenHBand="0" w:firstRowFirstColumn="0" w:firstRowLastColumn="0" w:lastRowFirstColumn="0" w:lastRowLastColumn="0"/>
            <w:tcW w:w="536" w:type="dxa"/>
            <w:hideMark/>
          </w:tcPr>
          <w:p w14:paraId="12CD6C4E" w14:textId="77777777" w:rsidR="00F631B1" w:rsidRPr="009A0DA6" w:rsidRDefault="00F631B1" w:rsidP="00180211">
            <w:pPr>
              <w:rPr>
                <w:rFonts w:ascii="Cambria" w:hAnsi="Cambria"/>
                <w:b w:val="0"/>
              </w:rPr>
            </w:pPr>
            <w:r w:rsidRPr="009A0DA6">
              <w:rPr>
                <w:rFonts w:ascii="Cambria" w:hAnsi="Cambria"/>
                <w:b w:val="0"/>
              </w:rPr>
              <w:t>6</w:t>
            </w:r>
          </w:p>
        </w:tc>
        <w:tc>
          <w:tcPr>
            <w:tcW w:w="3855" w:type="dxa"/>
            <w:hideMark/>
          </w:tcPr>
          <w:p w14:paraId="6DC09A6A" w14:textId="77777777" w:rsidR="00F631B1" w:rsidRPr="009A0DA6" w:rsidRDefault="00F631B1" w:rsidP="00180211">
            <w:pPr>
              <w:cnfStyle w:val="000000000000" w:firstRow="0" w:lastRow="0" w:firstColumn="0" w:lastColumn="0" w:oddVBand="0" w:evenVBand="0" w:oddHBand="0" w:evenHBand="0" w:firstRowFirstColumn="0" w:firstRowLastColumn="0" w:lastRowFirstColumn="0" w:lastRowLastColumn="0"/>
              <w:rPr>
                <w:rFonts w:ascii="Cambria" w:hAnsi="Cambria"/>
              </w:rPr>
            </w:pPr>
            <w:r w:rsidRPr="009A0DA6">
              <w:rPr>
                <w:rFonts w:ascii="Cambria" w:hAnsi="Cambria"/>
              </w:rPr>
              <w:t>The LCA develop and implement, as part of its code of practice, guidelines for professional pastoral supervision encompassing all active LCA pastors, and particularly recent graduates</w:t>
            </w:r>
          </w:p>
        </w:tc>
        <w:tc>
          <w:tcPr>
            <w:tcW w:w="1165" w:type="dxa"/>
            <w:hideMark/>
          </w:tcPr>
          <w:p w14:paraId="10F0C98D" w14:textId="77777777" w:rsidR="00F631B1" w:rsidRPr="009A0DA6" w:rsidRDefault="00F631B1" w:rsidP="00180211">
            <w:pPr>
              <w:cnfStyle w:val="000000000000" w:firstRow="0" w:lastRow="0" w:firstColumn="0" w:lastColumn="0" w:oddVBand="0" w:evenVBand="0" w:oddHBand="0" w:evenHBand="0" w:firstRowFirstColumn="0" w:firstRowLastColumn="0" w:lastRowFirstColumn="0" w:lastRowLastColumn="0"/>
              <w:rPr>
                <w:rFonts w:ascii="Cambria" w:hAnsi="Cambria"/>
              </w:rPr>
            </w:pPr>
            <w:r w:rsidRPr="009A0DA6">
              <w:rPr>
                <w:rFonts w:ascii="Cambria" w:hAnsi="Cambria"/>
              </w:rPr>
              <w:t>Action in progress</w:t>
            </w:r>
          </w:p>
          <w:p w14:paraId="0070CF36" w14:textId="77777777" w:rsidR="00F631B1" w:rsidRPr="009A0DA6" w:rsidRDefault="00F631B1" w:rsidP="00180211">
            <w:pPr>
              <w:cnfStyle w:val="000000000000" w:firstRow="0" w:lastRow="0" w:firstColumn="0" w:lastColumn="0" w:oddVBand="0" w:evenVBand="0" w:oddHBand="0" w:evenHBand="0" w:firstRowFirstColumn="0" w:firstRowLastColumn="0" w:lastRowFirstColumn="0" w:lastRowLastColumn="0"/>
              <w:rPr>
                <w:rFonts w:ascii="Cambria" w:hAnsi="Cambria"/>
              </w:rPr>
            </w:pPr>
            <w:r w:rsidRPr="009A0DA6">
              <w:rPr>
                <w:rFonts w:ascii="Cambria" w:hAnsi="Cambria"/>
              </w:rPr>
              <w:t>Referred</w:t>
            </w:r>
          </w:p>
        </w:tc>
        <w:tc>
          <w:tcPr>
            <w:tcW w:w="3118" w:type="dxa"/>
            <w:hideMark/>
          </w:tcPr>
          <w:p w14:paraId="02CA0BCF" w14:textId="77777777" w:rsidR="00F631B1" w:rsidRPr="009A0DA6" w:rsidRDefault="00F631B1" w:rsidP="00180211">
            <w:pPr>
              <w:cnfStyle w:val="000000000000" w:firstRow="0" w:lastRow="0" w:firstColumn="0" w:lastColumn="0" w:oddVBand="0" w:evenVBand="0" w:oddHBand="0" w:evenHBand="0" w:firstRowFirstColumn="0" w:firstRowLastColumn="0" w:lastRowFirstColumn="0" w:lastRowLastColumn="0"/>
              <w:rPr>
                <w:rFonts w:ascii="Cambria" w:hAnsi="Cambria"/>
              </w:rPr>
            </w:pPr>
            <w:r w:rsidRPr="009A0DA6">
              <w:rPr>
                <w:rFonts w:ascii="Cambria" w:hAnsi="Cambria"/>
              </w:rPr>
              <w:t>Graduate Pastor Program under review to include supervision as part of the program</w:t>
            </w:r>
          </w:p>
          <w:p w14:paraId="1C33B8BA" w14:textId="77777777" w:rsidR="00F631B1" w:rsidRPr="009A0DA6" w:rsidRDefault="00F631B1" w:rsidP="00180211">
            <w:pPr>
              <w:cnfStyle w:val="000000000000" w:firstRow="0" w:lastRow="0" w:firstColumn="0" w:lastColumn="0" w:oddVBand="0" w:evenVBand="0" w:oddHBand="0" w:evenHBand="0" w:firstRowFirstColumn="0" w:firstRowLastColumn="0" w:lastRowFirstColumn="0" w:lastRowLastColumn="0"/>
              <w:rPr>
                <w:rFonts w:ascii="Cambria" w:hAnsi="Cambria"/>
              </w:rPr>
            </w:pPr>
            <w:r w:rsidRPr="009A0DA6">
              <w:rPr>
                <w:rFonts w:ascii="Cambria" w:hAnsi="Cambria"/>
                <w:sz w:val="16"/>
              </w:rPr>
              <w:br/>
            </w:r>
            <w:r w:rsidRPr="009A0DA6">
              <w:rPr>
                <w:rFonts w:ascii="Cambria" w:hAnsi="Cambria"/>
              </w:rPr>
              <w:t>CWSD developing supervision program for church workers</w:t>
            </w:r>
          </w:p>
        </w:tc>
      </w:tr>
      <w:tr w:rsidR="00F631B1" w:rsidRPr="009A0DA6" w14:paraId="6C8EE232" w14:textId="77777777" w:rsidTr="001802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6" w:type="dxa"/>
            <w:hideMark/>
          </w:tcPr>
          <w:p w14:paraId="1DB06C53" w14:textId="77777777" w:rsidR="00F631B1" w:rsidRPr="009A0DA6" w:rsidRDefault="00F631B1" w:rsidP="00180211">
            <w:pPr>
              <w:rPr>
                <w:rFonts w:ascii="Cambria" w:hAnsi="Cambria"/>
                <w:b w:val="0"/>
              </w:rPr>
            </w:pPr>
            <w:r w:rsidRPr="009A0DA6">
              <w:rPr>
                <w:rFonts w:ascii="Cambria" w:hAnsi="Cambria"/>
                <w:b w:val="0"/>
              </w:rPr>
              <w:t>7</w:t>
            </w:r>
          </w:p>
        </w:tc>
        <w:tc>
          <w:tcPr>
            <w:tcW w:w="3855" w:type="dxa"/>
            <w:hideMark/>
          </w:tcPr>
          <w:p w14:paraId="143862BE" w14:textId="77777777" w:rsidR="00F631B1" w:rsidRPr="009A0DA6" w:rsidRDefault="00F631B1" w:rsidP="00180211">
            <w:pPr>
              <w:cnfStyle w:val="000000100000" w:firstRow="0" w:lastRow="0" w:firstColumn="0" w:lastColumn="0" w:oddVBand="0" w:evenVBand="0" w:oddHBand="1" w:evenHBand="0" w:firstRowFirstColumn="0" w:firstRowLastColumn="0" w:lastRowFirstColumn="0" w:lastRowLastColumn="0"/>
              <w:rPr>
                <w:rFonts w:ascii="Cambria" w:hAnsi="Cambria"/>
              </w:rPr>
            </w:pPr>
            <w:r w:rsidRPr="009A0DA6">
              <w:rPr>
                <w:rFonts w:ascii="Cambria" w:hAnsi="Cambria"/>
              </w:rPr>
              <w:t>That professional development opportunities in the area of apologetics, evangelism, and engaging with contemporary culture be made available to pastors (as well as to church workers, students and congregations)</w:t>
            </w:r>
          </w:p>
        </w:tc>
        <w:tc>
          <w:tcPr>
            <w:tcW w:w="1165" w:type="dxa"/>
            <w:hideMark/>
          </w:tcPr>
          <w:p w14:paraId="5230BFCB" w14:textId="77777777" w:rsidR="00F631B1" w:rsidRPr="009A0DA6" w:rsidRDefault="00F631B1" w:rsidP="00180211">
            <w:pPr>
              <w:cnfStyle w:val="000000100000" w:firstRow="0" w:lastRow="0" w:firstColumn="0" w:lastColumn="0" w:oddVBand="0" w:evenVBand="0" w:oddHBand="1" w:evenHBand="0" w:firstRowFirstColumn="0" w:firstRowLastColumn="0" w:lastRowFirstColumn="0" w:lastRowLastColumn="0"/>
              <w:rPr>
                <w:rFonts w:ascii="Cambria" w:hAnsi="Cambria"/>
              </w:rPr>
            </w:pPr>
            <w:r w:rsidRPr="009A0DA6">
              <w:rPr>
                <w:rFonts w:ascii="Cambria" w:hAnsi="Cambria"/>
              </w:rPr>
              <w:t>Referred</w:t>
            </w:r>
          </w:p>
        </w:tc>
        <w:tc>
          <w:tcPr>
            <w:tcW w:w="3118" w:type="dxa"/>
            <w:hideMark/>
          </w:tcPr>
          <w:p w14:paraId="333AA9BF" w14:textId="77777777" w:rsidR="00F631B1" w:rsidRPr="009A0DA6" w:rsidRDefault="00F631B1" w:rsidP="00180211">
            <w:pPr>
              <w:cnfStyle w:val="000000100000" w:firstRow="0" w:lastRow="0" w:firstColumn="0" w:lastColumn="0" w:oddVBand="0" w:evenVBand="0" w:oddHBand="1" w:evenHBand="0" w:firstRowFirstColumn="0" w:firstRowLastColumn="0" w:lastRowFirstColumn="0" w:lastRowLastColumn="0"/>
              <w:rPr>
                <w:rFonts w:ascii="Cambria" w:hAnsi="Cambria"/>
              </w:rPr>
            </w:pPr>
            <w:r w:rsidRPr="009A0DA6">
              <w:rPr>
                <w:rFonts w:ascii="Cambria" w:hAnsi="Cambria"/>
              </w:rPr>
              <w:t xml:space="preserve">Referred to CWSD and ALITE for identification of development opportunities and individuals to be encouraged to study </w:t>
            </w:r>
          </w:p>
        </w:tc>
      </w:tr>
      <w:tr w:rsidR="00F631B1" w:rsidRPr="009A0DA6" w14:paraId="0EB672F3" w14:textId="77777777" w:rsidTr="00180211">
        <w:tc>
          <w:tcPr>
            <w:cnfStyle w:val="001000000000" w:firstRow="0" w:lastRow="0" w:firstColumn="1" w:lastColumn="0" w:oddVBand="0" w:evenVBand="0" w:oddHBand="0" w:evenHBand="0" w:firstRowFirstColumn="0" w:firstRowLastColumn="0" w:lastRowFirstColumn="0" w:lastRowLastColumn="0"/>
            <w:tcW w:w="536" w:type="dxa"/>
            <w:hideMark/>
          </w:tcPr>
          <w:p w14:paraId="408881E3" w14:textId="77777777" w:rsidR="00F631B1" w:rsidRPr="009A0DA6" w:rsidRDefault="00F631B1" w:rsidP="00180211">
            <w:pPr>
              <w:rPr>
                <w:rFonts w:ascii="Cambria" w:hAnsi="Cambria"/>
                <w:b w:val="0"/>
              </w:rPr>
            </w:pPr>
            <w:r w:rsidRPr="009A0DA6">
              <w:rPr>
                <w:rFonts w:ascii="Cambria" w:hAnsi="Cambria"/>
                <w:b w:val="0"/>
              </w:rPr>
              <w:t>8</w:t>
            </w:r>
          </w:p>
        </w:tc>
        <w:tc>
          <w:tcPr>
            <w:tcW w:w="3855" w:type="dxa"/>
            <w:hideMark/>
          </w:tcPr>
          <w:p w14:paraId="4FEBC6B1" w14:textId="77777777" w:rsidR="00F631B1" w:rsidRPr="009A0DA6" w:rsidRDefault="00F631B1" w:rsidP="00180211">
            <w:pPr>
              <w:cnfStyle w:val="000000000000" w:firstRow="0" w:lastRow="0" w:firstColumn="0" w:lastColumn="0" w:oddVBand="0" w:evenVBand="0" w:oddHBand="0" w:evenHBand="0" w:firstRowFirstColumn="0" w:firstRowLastColumn="0" w:lastRowFirstColumn="0" w:lastRowLastColumn="0"/>
              <w:rPr>
                <w:rFonts w:ascii="Cambria" w:hAnsi="Cambria"/>
              </w:rPr>
            </w:pPr>
            <w:r w:rsidRPr="009A0DA6">
              <w:rPr>
                <w:rFonts w:ascii="Cambria" w:hAnsi="Cambria"/>
              </w:rPr>
              <w:t>That professional development opportunities in the area of pastoral care and counselling be made available to pastors, focusing particularly on developing specific skills and competencies</w:t>
            </w:r>
          </w:p>
        </w:tc>
        <w:tc>
          <w:tcPr>
            <w:tcW w:w="1165" w:type="dxa"/>
            <w:hideMark/>
          </w:tcPr>
          <w:p w14:paraId="23325D5A" w14:textId="77777777" w:rsidR="00F631B1" w:rsidRPr="009A0DA6" w:rsidRDefault="00F631B1" w:rsidP="00180211">
            <w:pPr>
              <w:cnfStyle w:val="000000000000" w:firstRow="0" w:lastRow="0" w:firstColumn="0" w:lastColumn="0" w:oddVBand="0" w:evenVBand="0" w:oddHBand="0" w:evenHBand="0" w:firstRowFirstColumn="0" w:firstRowLastColumn="0" w:lastRowFirstColumn="0" w:lastRowLastColumn="0"/>
              <w:rPr>
                <w:rFonts w:ascii="Cambria" w:hAnsi="Cambria"/>
              </w:rPr>
            </w:pPr>
            <w:r w:rsidRPr="009A0DA6">
              <w:rPr>
                <w:rFonts w:ascii="Cambria" w:hAnsi="Cambria"/>
              </w:rPr>
              <w:t>Referred</w:t>
            </w:r>
          </w:p>
        </w:tc>
        <w:tc>
          <w:tcPr>
            <w:tcW w:w="3118" w:type="dxa"/>
            <w:hideMark/>
          </w:tcPr>
          <w:p w14:paraId="5E34127F" w14:textId="77777777" w:rsidR="00F631B1" w:rsidRPr="009A0DA6" w:rsidRDefault="00F631B1" w:rsidP="00180211">
            <w:pPr>
              <w:cnfStyle w:val="000000000000" w:firstRow="0" w:lastRow="0" w:firstColumn="0" w:lastColumn="0" w:oddVBand="0" w:evenVBand="0" w:oddHBand="0" w:evenHBand="0" w:firstRowFirstColumn="0" w:firstRowLastColumn="0" w:lastRowFirstColumn="0" w:lastRowLastColumn="0"/>
              <w:rPr>
                <w:rFonts w:ascii="Cambria" w:hAnsi="Cambria"/>
              </w:rPr>
            </w:pPr>
            <w:r w:rsidRPr="009A0DA6">
              <w:rPr>
                <w:rFonts w:ascii="Cambria" w:hAnsi="Cambria"/>
              </w:rPr>
              <w:t>Referred to CWSD for consideration in the review of the Continuing Education for Pastors (CEP) program</w:t>
            </w:r>
          </w:p>
        </w:tc>
      </w:tr>
      <w:tr w:rsidR="00F631B1" w:rsidRPr="009A0DA6" w14:paraId="1E9BD1C0" w14:textId="77777777" w:rsidTr="001802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6" w:type="dxa"/>
            <w:hideMark/>
          </w:tcPr>
          <w:p w14:paraId="08647B78" w14:textId="77777777" w:rsidR="00F631B1" w:rsidRPr="009A0DA6" w:rsidRDefault="00F631B1" w:rsidP="00180211">
            <w:pPr>
              <w:rPr>
                <w:rFonts w:ascii="Cambria" w:hAnsi="Cambria"/>
                <w:b w:val="0"/>
              </w:rPr>
            </w:pPr>
            <w:r w:rsidRPr="009A0DA6">
              <w:rPr>
                <w:rFonts w:ascii="Cambria" w:hAnsi="Cambria"/>
                <w:b w:val="0"/>
              </w:rPr>
              <w:t>9</w:t>
            </w:r>
          </w:p>
        </w:tc>
        <w:tc>
          <w:tcPr>
            <w:tcW w:w="3855" w:type="dxa"/>
            <w:hideMark/>
          </w:tcPr>
          <w:p w14:paraId="11E15DFF" w14:textId="77777777" w:rsidR="00F631B1" w:rsidRPr="009A0DA6" w:rsidRDefault="00F631B1" w:rsidP="00180211">
            <w:pPr>
              <w:cnfStyle w:val="000000100000" w:firstRow="0" w:lastRow="0" w:firstColumn="0" w:lastColumn="0" w:oddVBand="0" w:evenVBand="0" w:oddHBand="1" w:evenHBand="0" w:firstRowFirstColumn="0" w:firstRowLastColumn="0" w:lastRowFirstColumn="0" w:lastRowLastColumn="0"/>
              <w:rPr>
                <w:rFonts w:ascii="Cambria" w:hAnsi="Cambria"/>
              </w:rPr>
            </w:pPr>
            <w:r w:rsidRPr="009A0DA6">
              <w:rPr>
                <w:rFonts w:ascii="Cambria" w:hAnsi="Cambria"/>
              </w:rPr>
              <w:t>That research be conducted into the potential benefits of pastor-lay worker team ministry, especially with respect to developing a congregational culture of service and outreach and the equipping of the laity</w:t>
            </w:r>
          </w:p>
        </w:tc>
        <w:tc>
          <w:tcPr>
            <w:tcW w:w="1165" w:type="dxa"/>
            <w:hideMark/>
          </w:tcPr>
          <w:p w14:paraId="0DDFCA58" w14:textId="77777777" w:rsidR="00F631B1" w:rsidRPr="009A0DA6" w:rsidRDefault="00F631B1" w:rsidP="00180211">
            <w:pPr>
              <w:cnfStyle w:val="000000100000" w:firstRow="0" w:lastRow="0" w:firstColumn="0" w:lastColumn="0" w:oddVBand="0" w:evenVBand="0" w:oddHBand="1" w:evenHBand="0" w:firstRowFirstColumn="0" w:firstRowLastColumn="0" w:lastRowFirstColumn="0" w:lastRowLastColumn="0"/>
              <w:rPr>
                <w:rFonts w:ascii="Cambria" w:hAnsi="Cambria"/>
              </w:rPr>
            </w:pPr>
            <w:r w:rsidRPr="009A0DA6">
              <w:rPr>
                <w:rFonts w:ascii="Cambria" w:hAnsi="Cambria"/>
              </w:rPr>
              <w:t>Action in progress</w:t>
            </w:r>
          </w:p>
        </w:tc>
        <w:tc>
          <w:tcPr>
            <w:tcW w:w="3118" w:type="dxa"/>
            <w:hideMark/>
          </w:tcPr>
          <w:p w14:paraId="5D62491D" w14:textId="77777777" w:rsidR="00F631B1" w:rsidRPr="009A0DA6" w:rsidRDefault="00F631B1" w:rsidP="00180211">
            <w:pPr>
              <w:cnfStyle w:val="000000100000" w:firstRow="0" w:lastRow="0" w:firstColumn="0" w:lastColumn="0" w:oddVBand="0" w:evenVBand="0" w:oddHBand="1" w:evenHBand="0" w:firstRowFirstColumn="0" w:firstRowLastColumn="0" w:lastRowFirstColumn="0" w:lastRowLastColumn="0"/>
              <w:rPr>
                <w:rFonts w:ascii="Cambria" w:hAnsi="Cambria"/>
              </w:rPr>
            </w:pPr>
            <w:r w:rsidRPr="009A0DA6">
              <w:rPr>
                <w:rFonts w:ascii="Cambria" w:hAnsi="Cambria"/>
              </w:rPr>
              <w:t>Departments across the church are developing resources and programs in this area.</w:t>
            </w:r>
          </w:p>
        </w:tc>
      </w:tr>
      <w:tr w:rsidR="00F631B1" w:rsidRPr="009A0DA6" w14:paraId="1E0B37F3" w14:textId="77777777" w:rsidTr="00180211">
        <w:tc>
          <w:tcPr>
            <w:cnfStyle w:val="001000000000" w:firstRow="0" w:lastRow="0" w:firstColumn="1" w:lastColumn="0" w:oddVBand="0" w:evenVBand="0" w:oddHBand="0" w:evenHBand="0" w:firstRowFirstColumn="0" w:firstRowLastColumn="0" w:lastRowFirstColumn="0" w:lastRowLastColumn="0"/>
            <w:tcW w:w="536" w:type="dxa"/>
            <w:hideMark/>
          </w:tcPr>
          <w:p w14:paraId="5ACA8206" w14:textId="77777777" w:rsidR="00F631B1" w:rsidRPr="009A0DA6" w:rsidRDefault="00F631B1" w:rsidP="00180211">
            <w:pPr>
              <w:rPr>
                <w:rFonts w:ascii="Cambria" w:hAnsi="Cambria"/>
                <w:b w:val="0"/>
              </w:rPr>
            </w:pPr>
            <w:r w:rsidRPr="009A0DA6">
              <w:rPr>
                <w:rFonts w:ascii="Cambria" w:hAnsi="Cambria"/>
                <w:b w:val="0"/>
              </w:rPr>
              <w:t>10</w:t>
            </w:r>
          </w:p>
        </w:tc>
        <w:tc>
          <w:tcPr>
            <w:tcW w:w="3855" w:type="dxa"/>
            <w:hideMark/>
          </w:tcPr>
          <w:p w14:paraId="25EB00C4" w14:textId="77777777" w:rsidR="00F631B1" w:rsidRPr="009A0DA6" w:rsidRDefault="00F631B1" w:rsidP="00180211">
            <w:pPr>
              <w:cnfStyle w:val="000000000000" w:firstRow="0" w:lastRow="0" w:firstColumn="0" w:lastColumn="0" w:oddVBand="0" w:evenVBand="0" w:oddHBand="0" w:evenHBand="0" w:firstRowFirstColumn="0" w:firstRowLastColumn="0" w:lastRowFirstColumn="0" w:lastRowLastColumn="0"/>
              <w:rPr>
                <w:rFonts w:ascii="Cambria" w:hAnsi="Cambria"/>
              </w:rPr>
            </w:pPr>
            <w:r w:rsidRPr="009A0DA6">
              <w:rPr>
                <w:rFonts w:ascii="Cambria" w:hAnsi="Cambria"/>
              </w:rPr>
              <w:t>That the LCA or Districts provide guidance for pastors in acquiring practical and professional leadership skills. This would comprise guidance in/promotion of accredited and non-accredited training options, application to the training and equipping of lay leadership, theological guidance in evaluating leadership training options</w:t>
            </w:r>
          </w:p>
        </w:tc>
        <w:tc>
          <w:tcPr>
            <w:tcW w:w="1165" w:type="dxa"/>
            <w:hideMark/>
          </w:tcPr>
          <w:p w14:paraId="438917D9" w14:textId="77777777" w:rsidR="00F631B1" w:rsidRPr="009A0DA6" w:rsidRDefault="00F631B1" w:rsidP="00180211">
            <w:pPr>
              <w:cnfStyle w:val="000000000000" w:firstRow="0" w:lastRow="0" w:firstColumn="0" w:lastColumn="0" w:oddVBand="0" w:evenVBand="0" w:oddHBand="0" w:evenHBand="0" w:firstRowFirstColumn="0" w:firstRowLastColumn="0" w:lastRowFirstColumn="0" w:lastRowLastColumn="0"/>
              <w:rPr>
                <w:rFonts w:ascii="Cambria" w:hAnsi="Cambria"/>
              </w:rPr>
            </w:pPr>
            <w:r w:rsidRPr="009A0DA6">
              <w:rPr>
                <w:rFonts w:ascii="Cambria" w:hAnsi="Cambria"/>
              </w:rPr>
              <w:t>Referred</w:t>
            </w:r>
          </w:p>
        </w:tc>
        <w:tc>
          <w:tcPr>
            <w:tcW w:w="3118" w:type="dxa"/>
            <w:hideMark/>
          </w:tcPr>
          <w:p w14:paraId="7D64C5F5" w14:textId="77777777" w:rsidR="00F631B1" w:rsidRPr="009A0DA6" w:rsidRDefault="00F631B1" w:rsidP="00180211">
            <w:pPr>
              <w:cnfStyle w:val="000000000000" w:firstRow="0" w:lastRow="0" w:firstColumn="0" w:lastColumn="0" w:oddVBand="0" w:evenVBand="0" w:oddHBand="0" w:evenHBand="0" w:firstRowFirstColumn="0" w:firstRowLastColumn="0" w:lastRowFirstColumn="0" w:lastRowLastColumn="0"/>
              <w:rPr>
                <w:rFonts w:ascii="Cambria" w:hAnsi="Cambria"/>
              </w:rPr>
            </w:pPr>
            <w:r w:rsidRPr="009A0DA6">
              <w:rPr>
                <w:rFonts w:ascii="Cambria" w:hAnsi="Cambria"/>
              </w:rPr>
              <w:t>Referred to the CEP Program for attention and investigation into what is required</w:t>
            </w:r>
          </w:p>
        </w:tc>
      </w:tr>
      <w:tr w:rsidR="00F631B1" w:rsidRPr="009A0DA6" w14:paraId="2E6DB21D" w14:textId="77777777" w:rsidTr="001802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6" w:type="dxa"/>
            <w:hideMark/>
          </w:tcPr>
          <w:p w14:paraId="2F6E2724" w14:textId="77777777" w:rsidR="00F631B1" w:rsidRPr="009A0DA6" w:rsidRDefault="00F631B1" w:rsidP="00180211">
            <w:pPr>
              <w:rPr>
                <w:rFonts w:ascii="Cambria" w:hAnsi="Cambria"/>
                <w:b w:val="0"/>
              </w:rPr>
            </w:pPr>
            <w:r w:rsidRPr="009A0DA6">
              <w:rPr>
                <w:rFonts w:ascii="Cambria" w:hAnsi="Cambria"/>
                <w:b w:val="0"/>
              </w:rPr>
              <w:lastRenderedPageBreak/>
              <w:t>11</w:t>
            </w:r>
          </w:p>
        </w:tc>
        <w:tc>
          <w:tcPr>
            <w:tcW w:w="3855" w:type="dxa"/>
            <w:hideMark/>
          </w:tcPr>
          <w:p w14:paraId="2FE05CF5" w14:textId="77777777" w:rsidR="00F631B1" w:rsidRPr="009A0DA6" w:rsidRDefault="00F631B1" w:rsidP="00180211">
            <w:pPr>
              <w:cnfStyle w:val="000000100000" w:firstRow="0" w:lastRow="0" w:firstColumn="0" w:lastColumn="0" w:oddVBand="0" w:evenVBand="0" w:oddHBand="1" w:evenHBand="0" w:firstRowFirstColumn="0" w:firstRowLastColumn="0" w:lastRowFirstColumn="0" w:lastRowLastColumn="0"/>
              <w:rPr>
                <w:rFonts w:ascii="Cambria" w:hAnsi="Cambria"/>
              </w:rPr>
            </w:pPr>
            <w:r w:rsidRPr="009A0DA6">
              <w:rPr>
                <w:rFonts w:ascii="Cambria" w:hAnsi="Cambria"/>
              </w:rPr>
              <w:t>Conduct further research and make recommendations concerning the issues underlying the level of support and promotion given to ALC among pastors of the LCA</w:t>
            </w:r>
          </w:p>
        </w:tc>
        <w:tc>
          <w:tcPr>
            <w:tcW w:w="1165" w:type="dxa"/>
            <w:hideMark/>
          </w:tcPr>
          <w:p w14:paraId="4D5AE46A" w14:textId="77777777" w:rsidR="00F631B1" w:rsidRPr="009A0DA6" w:rsidRDefault="00F631B1" w:rsidP="00180211">
            <w:pPr>
              <w:cnfStyle w:val="000000100000" w:firstRow="0" w:lastRow="0" w:firstColumn="0" w:lastColumn="0" w:oddVBand="0" w:evenVBand="0" w:oddHBand="1" w:evenHBand="0" w:firstRowFirstColumn="0" w:firstRowLastColumn="0" w:lastRowFirstColumn="0" w:lastRowLastColumn="0"/>
              <w:rPr>
                <w:rFonts w:ascii="Cambria" w:hAnsi="Cambria"/>
              </w:rPr>
            </w:pPr>
            <w:r w:rsidRPr="009A0DA6">
              <w:rPr>
                <w:rFonts w:ascii="Cambria" w:hAnsi="Cambria"/>
              </w:rPr>
              <w:t>Referred</w:t>
            </w:r>
          </w:p>
        </w:tc>
        <w:tc>
          <w:tcPr>
            <w:tcW w:w="3118" w:type="dxa"/>
            <w:hideMark/>
          </w:tcPr>
          <w:p w14:paraId="32F9A64D" w14:textId="77777777" w:rsidR="00F631B1" w:rsidRPr="009A0DA6" w:rsidRDefault="00F631B1" w:rsidP="00180211">
            <w:pPr>
              <w:cnfStyle w:val="000000100000" w:firstRow="0" w:lastRow="0" w:firstColumn="0" w:lastColumn="0" w:oddVBand="0" w:evenVBand="0" w:oddHBand="1" w:evenHBand="0" w:firstRowFirstColumn="0" w:firstRowLastColumn="0" w:lastRowFirstColumn="0" w:lastRowLastColumn="0"/>
              <w:rPr>
                <w:rFonts w:ascii="Cambria" w:hAnsi="Cambria"/>
              </w:rPr>
            </w:pPr>
            <w:r w:rsidRPr="009A0DA6">
              <w:rPr>
                <w:rFonts w:ascii="Cambria" w:hAnsi="Cambria"/>
              </w:rPr>
              <w:t>Referred to ALC and Communications for advice</w:t>
            </w:r>
          </w:p>
        </w:tc>
      </w:tr>
      <w:tr w:rsidR="00F631B1" w:rsidRPr="009A0DA6" w14:paraId="670DA729" w14:textId="77777777" w:rsidTr="00180211">
        <w:tc>
          <w:tcPr>
            <w:cnfStyle w:val="001000000000" w:firstRow="0" w:lastRow="0" w:firstColumn="1" w:lastColumn="0" w:oddVBand="0" w:evenVBand="0" w:oddHBand="0" w:evenHBand="0" w:firstRowFirstColumn="0" w:firstRowLastColumn="0" w:lastRowFirstColumn="0" w:lastRowLastColumn="0"/>
            <w:tcW w:w="536" w:type="dxa"/>
            <w:hideMark/>
          </w:tcPr>
          <w:p w14:paraId="4156C9B8" w14:textId="77777777" w:rsidR="00F631B1" w:rsidRPr="009A0DA6" w:rsidRDefault="00F631B1" w:rsidP="00180211">
            <w:pPr>
              <w:rPr>
                <w:rFonts w:ascii="Cambria" w:hAnsi="Cambria"/>
                <w:b w:val="0"/>
              </w:rPr>
            </w:pPr>
            <w:r w:rsidRPr="009A0DA6">
              <w:rPr>
                <w:rFonts w:ascii="Cambria" w:hAnsi="Cambria"/>
                <w:b w:val="0"/>
              </w:rPr>
              <w:t>12</w:t>
            </w:r>
          </w:p>
        </w:tc>
        <w:tc>
          <w:tcPr>
            <w:tcW w:w="3855" w:type="dxa"/>
            <w:hideMark/>
          </w:tcPr>
          <w:p w14:paraId="398560C0" w14:textId="77777777" w:rsidR="00F631B1" w:rsidRPr="009A0DA6" w:rsidRDefault="00F631B1" w:rsidP="00180211">
            <w:pPr>
              <w:cnfStyle w:val="000000000000" w:firstRow="0" w:lastRow="0" w:firstColumn="0" w:lastColumn="0" w:oddVBand="0" w:evenVBand="0" w:oddHBand="0" w:evenHBand="0" w:firstRowFirstColumn="0" w:firstRowLastColumn="0" w:lastRowFirstColumn="0" w:lastRowLastColumn="0"/>
              <w:rPr>
                <w:rFonts w:ascii="Cambria" w:hAnsi="Cambria"/>
              </w:rPr>
            </w:pPr>
            <w:r w:rsidRPr="009A0DA6">
              <w:rPr>
                <w:rFonts w:ascii="Cambria" w:hAnsi="Cambria"/>
              </w:rPr>
              <w:t>That congregations are given greater exposure to the role, importance and forms of CEP, and that broad guidelines are developed to help congregations and pastors jointly work out programs of CEP/Professional Development</w:t>
            </w:r>
          </w:p>
        </w:tc>
        <w:tc>
          <w:tcPr>
            <w:tcW w:w="1165" w:type="dxa"/>
            <w:hideMark/>
          </w:tcPr>
          <w:p w14:paraId="4CDD7579" w14:textId="77777777" w:rsidR="00F631B1" w:rsidRPr="009A0DA6" w:rsidRDefault="00F631B1" w:rsidP="00180211">
            <w:pPr>
              <w:cnfStyle w:val="000000000000" w:firstRow="0" w:lastRow="0" w:firstColumn="0" w:lastColumn="0" w:oddVBand="0" w:evenVBand="0" w:oddHBand="0" w:evenHBand="0" w:firstRowFirstColumn="0" w:firstRowLastColumn="0" w:lastRowFirstColumn="0" w:lastRowLastColumn="0"/>
              <w:rPr>
                <w:rFonts w:ascii="Cambria" w:hAnsi="Cambria"/>
              </w:rPr>
            </w:pPr>
            <w:r w:rsidRPr="009A0DA6">
              <w:rPr>
                <w:rFonts w:ascii="Cambria" w:hAnsi="Cambria"/>
              </w:rPr>
              <w:t>Referred</w:t>
            </w:r>
          </w:p>
          <w:p w14:paraId="66F086FC" w14:textId="77777777" w:rsidR="00F631B1" w:rsidRPr="009A0DA6" w:rsidRDefault="00F631B1" w:rsidP="00180211">
            <w:pPr>
              <w:cnfStyle w:val="000000000000" w:firstRow="0" w:lastRow="0" w:firstColumn="0" w:lastColumn="0" w:oddVBand="0" w:evenVBand="0" w:oddHBand="0" w:evenHBand="0" w:firstRowFirstColumn="0" w:firstRowLastColumn="0" w:lastRowFirstColumn="0" w:lastRowLastColumn="0"/>
              <w:rPr>
                <w:rFonts w:ascii="Cambria" w:hAnsi="Cambria"/>
              </w:rPr>
            </w:pPr>
            <w:r w:rsidRPr="009A0DA6">
              <w:rPr>
                <w:rFonts w:ascii="Cambria" w:hAnsi="Cambria"/>
              </w:rPr>
              <w:t>Action in progress</w:t>
            </w:r>
          </w:p>
        </w:tc>
        <w:tc>
          <w:tcPr>
            <w:tcW w:w="3118" w:type="dxa"/>
          </w:tcPr>
          <w:p w14:paraId="34775E32" w14:textId="77777777" w:rsidR="00F631B1" w:rsidRPr="009A0DA6" w:rsidRDefault="00F631B1" w:rsidP="00180211">
            <w:pPr>
              <w:cnfStyle w:val="000000000000" w:firstRow="0" w:lastRow="0" w:firstColumn="0" w:lastColumn="0" w:oddVBand="0" w:evenVBand="0" w:oddHBand="0" w:evenHBand="0" w:firstRowFirstColumn="0" w:firstRowLastColumn="0" w:lastRowFirstColumn="0" w:lastRowLastColumn="0"/>
              <w:rPr>
                <w:rFonts w:ascii="Cambria" w:hAnsi="Cambria"/>
              </w:rPr>
            </w:pPr>
            <w:r w:rsidRPr="009A0DA6">
              <w:rPr>
                <w:rFonts w:ascii="Cambria" w:hAnsi="Cambria"/>
              </w:rPr>
              <w:t>Letter of Call being revised to include clauses for pastor and calling body</w:t>
            </w:r>
          </w:p>
          <w:p w14:paraId="6265662D" w14:textId="77777777" w:rsidR="00F631B1" w:rsidRPr="009A0DA6" w:rsidRDefault="00F631B1" w:rsidP="00180211">
            <w:pPr>
              <w:ind w:left="360"/>
              <w:cnfStyle w:val="000000000000" w:firstRow="0" w:lastRow="0" w:firstColumn="0" w:lastColumn="0" w:oddVBand="0" w:evenVBand="0" w:oddHBand="0" w:evenHBand="0" w:firstRowFirstColumn="0" w:firstRowLastColumn="0" w:lastRowFirstColumn="0" w:lastRowLastColumn="0"/>
              <w:rPr>
                <w:rFonts w:ascii="Cambria" w:hAnsi="Cambria"/>
              </w:rPr>
            </w:pPr>
          </w:p>
        </w:tc>
      </w:tr>
      <w:tr w:rsidR="00F631B1" w:rsidRPr="009A0DA6" w14:paraId="1CDB753A" w14:textId="77777777" w:rsidTr="001802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6" w:type="dxa"/>
            <w:hideMark/>
          </w:tcPr>
          <w:p w14:paraId="11D2AF6E" w14:textId="77777777" w:rsidR="00F631B1" w:rsidRPr="009A0DA6" w:rsidRDefault="00F631B1" w:rsidP="00180211">
            <w:pPr>
              <w:rPr>
                <w:rFonts w:ascii="Cambria" w:hAnsi="Cambria"/>
                <w:b w:val="0"/>
              </w:rPr>
            </w:pPr>
            <w:r w:rsidRPr="009A0DA6">
              <w:rPr>
                <w:rFonts w:ascii="Cambria" w:hAnsi="Cambria"/>
                <w:b w:val="0"/>
              </w:rPr>
              <w:t>13</w:t>
            </w:r>
          </w:p>
        </w:tc>
        <w:tc>
          <w:tcPr>
            <w:tcW w:w="3855" w:type="dxa"/>
            <w:hideMark/>
          </w:tcPr>
          <w:p w14:paraId="5AA0D923" w14:textId="77777777" w:rsidR="00F631B1" w:rsidRPr="009A0DA6" w:rsidRDefault="00F631B1" w:rsidP="00180211">
            <w:pPr>
              <w:cnfStyle w:val="000000100000" w:firstRow="0" w:lastRow="0" w:firstColumn="0" w:lastColumn="0" w:oddVBand="0" w:evenVBand="0" w:oddHBand="1" w:evenHBand="0" w:firstRowFirstColumn="0" w:firstRowLastColumn="0" w:lastRowFirstColumn="0" w:lastRowLastColumn="0"/>
              <w:rPr>
                <w:rFonts w:ascii="Cambria" w:hAnsi="Cambria"/>
              </w:rPr>
            </w:pPr>
            <w:r w:rsidRPr="009A0DA6">
              <w:rPr>
                <w:rFonts w:ascii="Cambria" w:hAnsi="Cambria"/>
              </w:rPr>
              <w:t>Conduct further research on the relationship between the pastor (both congregational and school) and school principal, focusing on current expectations about the role of the pastor in the school and understandings of the nature and extent of the pastoral office in the school environment</w:t>
            </w:r>
          </w:p>
        </w:tc>
        <w:tc>
          <w:tcPr>
            <w:tcW w:w="1165" w:type="dxa"/>
            <w:hideMark/>
          </w:tcPr>
          <w:p w14:paraId="67B70D2C" w14:textId="77777777" w:rsidR="00F631B1" w:rsidRPr="009A0DA6" w:rsidRDefault="00F631B1" w:rsidP="00180211">
            <w:pPr>
              <w:cnfStyle w:val="000000100000" w:firstRow="0" w:lastRow="0" w:firstColumn="0" w:lastColumn="0" w:oddVBand="0" w:evenVBand="0" w:oddHBand="1" w:evenHBand="0" w:firstRowFirstColumn="0" w:firstRowLastColumn="0" w:lastRowFirstColumn="0" w:lastRowLastColumn="0"/>
              <w:rPr>
                <w:rFonts w:ascii="Cambria" w:hAnsi="Cambria"/>
              </w:rPr>
            </w:pPr>
            <w:r w:rsidRPr="009A0DA6">
              <w:rPr>
                <w:rFonts w:ascii="Cambria" w:hAnsi="Cambria"/>
              </w:rPr>
              <w:t>Deferred</w:t>
            </w:r>
          </w:p>
        </w:tc>
        <w:tc>
          <w:tcPr>
            <w:tcW w:w="3118" w:type="dxa"/>
            <w:hideMark/>
          </w:tcPr>
          <w:p w14:paraId="74813BAE" w14:textId="77777777" w:rsidR="00F631B1" w:rsidRPr="009A0DA6" w:rsidRDefault="00F631B1" w:rsidP="00180211">
            <w:pPr>
              <w:cnfStyle w:val="000000100000" w:firstRow="0" w:lastRow="0" w:firstColumn="0" w:lastColumn="0" w:oddVBand="0" w:evenVBand="0" w:oddHBand="1" w:evenHBand="0" w:firstRowFirstColumn="0" w:firstRowLastColumn="0" w:lastRowFirstColumn="0" w:lastRowLastColumn="0"/>
              <w:rPr>
                <w:rFonts w:ascii="Cambria" w:hAnsi="Cambria"/>
              </w:rPr>
            </w:pPr>
            <w:r w:rsidRPr="009A0DA6">
              <w:rPr>
                <w:rFonts w:ascii="Cambria" w:hAnsi="Cambria"/>
              </w:rPr>
              <w:t>Awaiting appointment of new Executive Director of Lutheran Education</w:t>
            </w:r>
          </w:p>
        </w:tc>
      </w:tr>
      <w:tr w:rsidR="00F631B1" w:rsidRPr="009A0DA6" w14:paraId="16B860FA" w14:textId="77777777" w:rsidTr="00180211">
        <w:tc>
          <w:tcPr>
            <w:cnfStyle w:val="001000000000" w:firstRow="0" w:lastRow="0" w:firstColumn="1" w:lastColumn="0" w:oddVBand="0" w:evenVBand="0" w:oddHBand="0" w:evenHBand="0" w:firstRowFirstColumn="0" w:firstRowLastColumn="0" w:lastRowFirstColumn="0" w:lastRowLastColumn="0"/>
            <w:tcW w:w="536" w:type="dxa"/>
            <w:hideMark/>
          </w:tcPr>
          <w:p w14:paraId="2A2D0505" w14:textId="77777777" w:rsidR="00F631B1" w:rsidRPr="009A0DA6" w:rsidRDefault="00F631B1" w:rsidP="00180211">
            <w:pPr>
              <w:rPr>
                <w:rFonts w:ascii="Cambria" w:hAnsi="Cambria"/>
                <w:b w:val="0"/>
              </w:rPr>
            </w:pPr>
            <w:r w:rsidRPr="009A0DA6">
              <w:rPr>
                <w:rFonts w:ascii="Cambria" w:hAnsi="Cambria"/>
                <w:b w:val="0"/>
              </w:rPr>
              <w:t>14</w:t>
            </w:r>
          </w:p>
        </w:tc>
        <w:tc>
          <w:tcPr>
            <w:tcW w:w="3855" w:type="dxa"/>
            <w:hideMark/>
          </w:tcPr>
          <w:p w14:paraId="1C264738" w14:textId="5F08A818" w:rsidR="00F631B1" w:rsidRPr="009A0DA6" w:rsidRDefault="00F631B1" w:rsidP="00180211">
            <w:pPr>
              <w:cnfStyle w:val="000000000000" w:firstRow="0" w:lastRow="0" w:firstColumn="0" w:lastColumn="0" w:oddVBand="0" w:evenVBand="0" w:oddHBand="0" w:evenHBand="0" w:firstRowFirstColumn="0" w:firstRowLastColumn="0" w:lastRowFirstColumn="0" w:lastRowLastColumn="0"/>
              <w:rPr>
                <w:rFonts w:ascii="Cambria" w:hAnsi="Cambria"/>
              </w:rPr>
            </w:pPr>
            <w:r w:rsidRPr="009A0DA6">
              <w:rPr>
                <w:rFonts w:ascii="Cambria" w:hAnsi="Cambria"/>
              </w:rPr>
              <w:t xml:space="preserve">Interview those pastors (and congregations) whole ministry that includes demonstrably high levels of involvement in their local community in order to ascertain the nature of this ministry and explore the connection between this involvement and </w:t>
            </w:r>
            <w:r w:rsidR="006714F7">
              <w:rPr>
                <w:rFonts w:ascii="Cambria" w:hAnsi="Cambria"/>
              </w:rPr>
              <w:t>pastoral/personal well</w:t>
            </w:r>
            <w:r w:rsidRPr="009A0DA6">
              <w:rPr>
                <w:rFonts w:ascii="Cambria" w:hAnsi="Cambria"/>
              </w:rPr>
              <w:t>being</w:t>
            </w:r>
          </w:p>
        </w:tc>
        <w:tc>
          <w:tcPr>
            <w:tcW w:w="1165" w:type="dxa"/>
            <w:hideMark/>
          </w:tcPr>
          <w:p w14:paraId="0386DDE1" w14:textId="77777777" w:rsidR="00F631B1" w:rsidRPr="009A0DA6" w:rsidRDefault="00F631B1" w:rsidP="00180211">
            <w:pPr>
              <w:cnfStyle w:val="000000000000" w:firstRow="0" w:lastRow="0" w:firstColumn="0" w:lastColumn="0" w:oddVBand="0" w:evenVBand="0" w:oddHBand="0" w:evenHBand="0" w:firstRowFirstColumn="0" w:firstRowLastColumn="0" w:lastRowFirstColumn="0" w:lastRowLastColumn="0"/>
              <w:rPr>
                <w:rFonts w:ascii="Cambria" w:hAnsi="Cambria"/>
              </w:rPr>
            </w:pPr>
            <w:r w:rsidRPr="009A0DA6">
              <w:rPr>
                <w:rFonts w:ascii="Cambria" w:hAnsi="Cambria"/>
              </w:rPr>
              <w:t>No action taken</w:t>
            </w:r>
          </w:p>
        </w:tc>
        <w:tc>
          <w:tcPr>
            <w:tcW w:w="3118" w:type="dxa"/>
            <w:hideMark/>
          </w:tcPr>
          <w:p w14:paraId="67FAAC7F" w14:textId="77777777" w:rsidR="00F631B1" w:rsidRPr="009A0DA6" w:rsidRDefault="00F631B1" w:rsidP="00180211">
            <w:pPr>
              <w:cnfStyle w:val="000000000000" w:firstRow="0" w:lastRow="0" w:firstColumn="0" w:lastColumn="0" w:oddVBand="0" w:evenVBand="0" w:oddHBand="0" w:evenHBand="0" w:firstRowFirstColumn="0" w:firstRowLastColumn="0" w:lastRowFirstColumn="0" w:lastRowLastColumn="0"/>
              <w:rPr>
                <w:rFonts w:ascii="Cambria" w:hAnsi="Cambria"/>
              </w:rPr>
            </w:pPr>
            <w:r w:rsidRPr="009A0DA6">
              <w:rPr>
                <w:rFonts w:ascii="Cambria" w:hAnsi="Cambria"/>
              </w:rPr>
              <w:t>The CoB will look to work with Local Mission to undertake this and recommendation 15 as a project</w:t>
            </w:r>
          </w:p>
        </w:tc>
      </w:tr>
      <w:tr w:rsidR="00F631B1" w:rsidRPr="00CF1FE7" w14:paraId="60F58622" w14:textId="77777777" w:rsidTr="001802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6" w:type="dxa"/>
            <w:hideMark/>
          </w:tcPr>
          <w:p w14:paraId="022CE999" w14:textId="77777777" w:rsidR="00F631B1" w:rsidRPr="00CF1FE7" w:rsidRDefault="00F631B1" w:rsidP="00180211">
            <w:pPr>
              <w:rPr>
                <w:rFonts w:ascii="Cambria" w:hAnsi="Cambria"/>
                <w:b w:val="0"/>
              </w:rPr>
            </w:pPr>
            <w:r w:rsidRPr="00CF1FE7">
              <w:rPr>
                <w:rFonts w:ascii="Cambria" w:hAnsi="Cambria"/>
                <w:b w:val="0"/>
              </w:rPr>
              <w:t>15</w:t>
            </w:r>
          </w:p>
        </w:tc>
        <w:tc>
          <w:tcPr>
            <w:tcW w:w="3855" w:type="dxa"/>
            <w:hideMark/>
          </w:tcPr>
          <w:p w14:paraId="100A4490" w14:textId="77777777" w:rsidR="00F631B1" w:rsidRPr="00CF1FE7" w:rsidRDefault="00F631B1" w:rsidP="00180211">
            <w:pPr>
              <w:cnfStyle w:val="000000100000" w:firstRow="0" w:lastRow="0" w:firstColumn="0" w:lastColumn="0" w:oddVBand="0" w:evenVBand="0" w:oddHBand="1" w:evenHBand="0" w:firstRowFirstColumn="0" w:firstRowLastColumn="0" w:lastRowFirstColumn="0" w:lastRowLastColumn="0"/>
              <w:rPr>
                <w:rFonts w:ascii="Cambria" w:hAnsi="Cambria"/>
              </w:rPr>
            </w:pPr>
            <w:r w:rsidRPr="00CF1FE7">
              <w:rPr>
                <w:rFonts w:ascii="Cambria" w:hAnsi="Cambria"/>
              </w:rPr>
              <w:t>Based on 14, provide recommendations and resources for wider involvement of pastors and their congregations in local communities, including a theological rationale to clarify the nature of pastoral involvement in the local community</w:t>
            </w:r>
          </w:p>
        </w:tc>
        <w:tc>
          <w:tcPr>
            <w:tcW w:w="1165" w:type="dxa"/>
            <w:hideMark/>
          </w:tcPr>
          <w:p w14:paraId="74F501B5" w14:textId="77777777" w:rsidR="00F631B1" w:rsidRPr="00CF1FE7" w:rsidRDefault="00F631B1" w:rsidP="00180211">
            <w:pPr>
              <w:cnfStyle w:val="000000100000" w:firstRow="0" w:lastRow="0" w:firstColumn="0" w:lastColumn="0" w:oddVBand="0" w:evenVBand="0" w:oddHBand="1" w:evenHBand="0" w:firstRowFirstColumn="0" w:firstRowLastColumn="0" w:lastRowFirstColumn="0" w:lastRowLastColumn="0"/>
              <w:rPr>
                <w:rFonts w:ascii="Cambria" w:hAnsi="Cambria"/>
              </w:rPr>
            </w:pPr>
            <w:r w:rsidRPr="00CF1FE7">
              <w:rPr>
                <w:rFonts w:ascii="Cambria" w:hAnsi="Cambria"/>
              </w:rPr>
              <w:t>No action taken</w:t>
            </w:r>
          </w:p>
        </w:tc>
        <w:tc>
          <w:tcPr>
            <w:tcW w:w="3118" w:type="dxa"/>
            <w:hideMark/>
          </w:tcPr>
          <w:p w14:paraId="764F72D7" w14:textId="77777777" w:rsidR="00F631B1" w:rsidRPr="00CF1FE7" w:rsidRDefault="00F631B1" w:rsidP="00180211">
            <w:pPr>
              <w:cnfStyle w:val="000000100000" w:firstRow="0" w:lastRow="0" w:firstColumn="0" w:lastColumn="0" w:oddVBand="0" w:evenVBand="0" w:oddHBand="1" w:evenHBand="0" w:firstRowFirstColumn="0" w:firstRowLastColumn="0" w:lastRowFirstColumn="0" w:lastRowLastColumn="0"/>
              <w:rPr>
                <w:rFonts w:ascii="Cambria" w:hAnsi="Cambria"/>
              </w:rPr>
            </w:pPr>
            <w:r w:rsidRPr="00CF1FE7">
              <w:rPr>
                <w:rFonts w:ascii="Cambria" w:hAnsi="Cambria"/>
              </w:rPr>
              <w:t>The CoB will look to work with Local Mission to undertake this and recommendation 14 as a project</w:t>
            </w:r>
          </w:p>
        </w:tc>
      </w:tr>
      <w:tr w:rsidR="00F631B1" w:rsidRPr="009A0DA6" w14:paraId="2907F429" w14:textId="77777777" w:rsidTr="00180211">
        <w:tc>
          <w:tcPr>
            <w:cnfStyle w:val="001000000000" w:firstRow="0" w:lastRow="0" w:firstColumn="1" w:lastColumn="0" w:oddVBand="0" w:evenVBand="0" w:oddHBand="0" w:evenHBand="0" w:firstRowFirstColumn="0" w:firstRowLastColumn="0" w:lastRowFirstColumn="0" w:lastRowLastColumn="0"/>
            <w:tcW w:w="536" w:type="dxa"/>
            <w:hideMark/>
          </w:tcPr>
          <w:p w14:paraId="4627B313" w14:textId="77777777" w:rsidR="00F631B1" w:rsidRPr="009A0DA6" w:rsidRDefault="00F631B1" w:rsidP="00180211">
            <w:pPr>
              <w:rPr>
                <w:rFonts w:ascii="Cambria" w:hAnsi="Cambria"/>
                <w:b w:val="0"/>
              </w:rPr>
            </w:pPr>
            <w:r w:rsidRPr="009A0DA6">
              <w:rPr>
                <w:rFonts w:ascii="Cambria" w:hAnsi="Cambria"/>
                <w:b w:val="0"/>
              </w:rPr>
              <w:t>16</w:t>
            </w:r>
          </w:p>
        </w:tc>
        <w:tc>
          <w:tcPr>
            <w:tcW w:w="3855" w:type="dxa"/>
            <w:hideMark/>
          </w:tcPr>
          <w:p w14:paraId="7C0DA8E1" w14:textId="77777777" w:rsidR="00F631B1" w:rsidRPr="009A0DA6" w:rsidRDefault="00F631B1" w:rsidP="00180211">
            <w:pPr>
              <w:cnfStyle w:val="000000000000" w:firstRow="0" w:lastRow="0" w:firstColumn="0" w:lastColumn="0" w:oddVBand="0" w:evenVBand="0" w:oddHBand="0" w:evenHBand="0" w:firstRowFirstColumn="0" w:firstRowLastColumn="0" w:lastRowFirstColumn="0" w:lastRowLastColumn="0"/>
              <w:rPr>
                <w:rFonts w:ascii="Cambria" w:hAnsi="Cambria"/>
              </w:rPr>
            </w:pPr>
            <w:r w:rsidRPr="009A0DA6">
              <w:rPr>
                <w:rFonts w:ascii="Cambria" w:hAnsi="Cambria"/>
              </w:rPr>
              <w:t>Investigate the theological and practical implications of approving and incorporating a number of professional employment practices (expressions of interest, applications, interview and pre-call conversations) into the process for calling pastors</w:t>
            </w:r>
          </w:p>
        </w:tc>
        <w:tc>
          <w:tcPr>
            <w:tcW w:w="1165" w:type="dxa"/>
            <w:hideMark/>
          </w:tcPr>
          <w:p w14:paraId="3314BCCB" w14:textId="77777777" w:rsidR="00F631B1" w:rsidRPr="009A0DA6" w:rsidRDefault="00F631B1" w:rsidP="00180211">
            <w:pPr>
              <w:cnfStyle w:val="000000000000" w:firstRow="0" w:lastRow="0" w:firstColumn="0" w:lastColumn="0" w:oddVBand="0" w:evenVBand="0" w:oddHBand="0" w:evenHBand="0" w:firstRowFirstColumn="0" w:firstRowLastColumn="0" w:lastRowFirstColumn="0" w:lastRowLastColumn="0"/>
              <w:rPr>
                <w:rFonts w:ascii="Cambria" w:hAnsi="Cambria"/>
              </w:rPr>
            </w:pPr>
            <w:r w:rsidRPr="009A0DA6">
              <w:rPr>
                <w:rFonts w:ascii="Cambria" w:hAnsi="Cambria"/>
              </w:rPr>
              <w:t>Deferred</w:t>
            </w:r>
          </w:p>
        </w:tc>
        <w:tc>
          <w:tcPr>
            <w:tcW w:w="3118" w:type="dxa"/>
            <w:hideMark/>
          </w:tcPr>
          <w:p w14:paraId="3D9B97BB" w14:textId="77777777" w:rsidR="00F631B1" w:rsidRPr="009A0DA6" w:rsidRDefault="00F631B1" w:rsidP="00180211">
            <w:pPr>
              <w:cnfStyle w:val="000000000000" w:firstRow="0" w:lastRow="0" w:firstColumn="0" w:lastColumn="0" w:oddVBand="0" w:evenVBand="0" w:oddHBand="0" w:evenHBand="0" w:firstRowFirstColumn="0" w:firstRowLastColumn="0" w:lastRowFirstColumn="0" w:lastRowLastColumn="0"/>
              <w:rPr>
                <w:rFonts w:ascii="Cambria" w:hAnsi="Cambria"/>
              </w:rPr>
            </w:pPr>
            <w:r w:rsidRPr="009A0DA6">
              <w:rPr>
                <w:rFonts w:ascii="Cambria" w:hAnsi="Cambria"/>
              </w:rPr>
              <w:t>Awaiting the report from the Call Process review.</w:t>
            </w:r>
          </w:p>
          <w:p w14:paraId="1518AE90" w14:textId="77777777" w:rsidR="00F631B1" w:rsidRPr="009A0DA6" w:rsidRDefault="00F631B1" w:rsidP="00180211">
            <w:pPr>
              <w:cnfStyle w:val="000000000000" w:firstRow="0" w:lastRow="0" w:firstColumn="0" w:lastColumn="0" w:oddVBand="0" w:evenVBand="0" w:oddHBand="0" w:evenHBand="0" w:firstRowFirstColumn="0" w:firstRowLastColumn="0" w:lastRowFirstColumn="0" w:lastRowLastColumn="0"/>
              <w:rPr>
                <w:rFonts w:ascii="Cambria" w:hAnsi="Cambria"/>
                <w:sz w:val="16"/>
              </w:rPr>
            </w:pPr>
          </w:p>
          <w:p w14:paraId="6EED84AE" w14:textId="77777777" w:rsidR="00F631B1" w:rsidRPr="009A0DA6" w:rsidRDefault="00F631B1" w:rsidP="00180211">
            <w:pPr>
              <w:cnfStyle w:val="000000000000" w:firstRow="0" w:lastRow="0" w:firstColumn="0" w:lastColumn="0" w:oddVBand="0" w:evenVBand="0" w:oddHBand="0" w:evenHBand="0" w:firstRowFirstColumn="0" w:firstRowLastColumn="0" w:lastRowFirstColumn="0" w:lastRowLastColumn="0"/>
              <w:rPr>
                <w:rFonts w:ascii="Cambria" w:hAnsi="Cambria"/>
              </w:rPr>
            </w:pPr>
            <w:r w:rsidRPr="009A0DA6">
              <w:rPr>
                <w:rFonts w:ascii="Cambria" w:hAnsi="Cambria"/>
              </w:rPr>
              <w:t>CoB will engage with the review report and CWSD on this recommendation.</w:t>
            </w:r>
          </w:p>
        </w:tc>
      </w:tr>
      <w:tr w:rsidR="00F631B1" w:rsidRPr="009A0DA6" w14:paraId="7C4F662B" w14:textId="77777777" w:rsidTr="001802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6" w:type="dxa"/>
            <w:hideMark/>
          </w:tcPr>
          <w:p w14:paraId="312E8091" w14:textId="77777777" w:rsidR="00F631B1" w:rsidRPr="009A0DA6" w:rsidRDefault="00F631B1" w:rsidP="00180211">
            <w:pPr>
              <w:rPr>
                <w:rFonts w:ascii="Cambria" w:hAnsi="Cambria"/>
                <w:b w:val="0"/>
              </w:rPr>
            </w:pPr>
            <w:r w:rsidRPr="009A0DA6">
              <w:rPr>
                <w:rFonts w:ascii="Cambria" w:hAnsi="Cambria"/>
                <w:b w:val="0"/>
              </w:rPr>
              <w:t>17</w:t>
            </w:r>
          </w:p>
        </w:tc>
        <w:tc>
          <w:tcPr>
            <w:tcW w:w="3855" w:type="dxa"/>
            <w:hideMark/>
          </w:tcPr>
          <w:p w14:paraId="600712F1" w14:textId="77777777" w:rsidR="00F631B1" w:rsidRPr="009A0DA6" w:rsidRDefault="00F631B1" w:rsidP="00180211">
            <w:pPr>
              <w:cnfStyle w:val="000000100000" w:firstRow="0" w:lastRow="0" w:firstColumn="0" w:lastColumn="0" w:oddVBand="0" w:evenVBand="0" w:oddHBand="1" w:evenHBand="0" w:firstRowFirstColumn="0" w:firstRowLastColumn="0" w:lastRowFirstColumn="0" w:lastRowLastColumn="0"/>
              <w:rPr>
                <w:rFonts w:ascii="Cambria" w:hAnsi="Cambria"/>
              </w:rPr>
            </w:pPr>
            <w:r w:rsidRPr="009A0DA6">
              <w:rPr>
                <w:rFonts w:ascii="Cambria" w:hAnsi="Cambria"/>
              </w:rPr>
              <w:t>Facilitate more accurate, objective and comprehensive information about prospective pastors for calling bodies</w:t>
            </w:r>
          </w:p>
        </w:tc>
        <w:tc>
          <w:tcPr>
            <w:tcW w:w="1165" w:type="dxa"/>
            <w:hideMark/>
          </w:tcPr>
          <w:p w14:paraId="0A6E8058" w14:textId="77777777" w:rsidR="00F631B1" w:rsidRPr="009A0DA6" w:rsidRDefault="00F631B1" w:rsidP="00180211">
            <w:pPr>
              <w:cnfStyle w:val="000000100000" w:firstRow="0" w:lastRow="0" w:firstColumn="0" w:lastColumn="0" w:oddVBand="0" w:evenVBand="0" w:oddHBand="1" w:evenHBand="0" w:firstRowFirstColumn="0" w:firstRowLastColumn="0" w:lastRowFirstColumn="0" w:lastRowLastColumn="0"/>
              <w:rPr>
                <w:rFonts w:ascii="Cambria" w:hAnsi="Cambria"/>
              </w:rPr>
            </w:pPr>
            <w:r w:rsidRPr="009A0DA6">
              <w:rPr>
                <w:rFonts w:ascii="Cambria" w:hAnsi="Cambria"/>
              </w:rPr>
              <w:t>Action in progress</w:t>
            </w:r>
          </w:p>
        </w:tc>
        <w:tc>
          <w:tcPr>
            <w:tcW w:w="3118" w:type="dxa"/>
            <w:hideMark/>
          </w:tcPr>
          <w:p w14:paraId="4C3E6CCF" w14:textId="77777777" w:rsidR="00F631B1" w:rsidRPr="009A0DA6" w:rsidRDefault="00F631B1" w:rsidP="00180211">
            <w:pPr>
              <w:cnfStyle w:val="000000100000" w:firstRow="0" w:lastRow="0" w:firstColumn="0" w:lastColumn="0" w:oddVBand="0" w:evenVBand="0" w:oddHBand="1" w:evenHBand="0" w:firstRowFirstColumn="0" w:firstRowLastColumn="0" w:lastRowFirstColumn="0" w:lastRowLastColumn="0"/>
              <w:rPr>
                <w:rFonts w:ascii="Cambria" w:hAnsi="Cambria"/>
              </w:rPr>
            </w:pPr>
            <w:r w:rsidRPr="009A0DA6">
              <w:rPr>
                <w:rFonts w:ascii="Cambria" w:hAnsi="Cambria"/>
              </w:rPr>
              <w:t>Calling Information report reviewed and updated</w:t>
            </w:r>
          </w:p>
          <w:p w14:paraId="11E12DEC" w14:textId="77777777" w:rsidR="00F631B1" w:rsidRPr="009A0DA6" w:rsidRDefault="00F631B1" w:rsidP="00180211">
            <w:pPr>
              <w:cnfStyle w:val="000000100000" w:firstRow="0" w:lastRow="0" w:firstColumn="0" w:lastColumn="0" w:oddVBand="0" w:evenVBand="0" w:oddHBand="1" w:evenHBand="0" w:firstRowFirstColumn="0" w:firstRowLastColumn="0" w:lastRowFirstColumn="0" w:lastRowLastColumn="0"/>
              <w:rPr>
                <w:rFonts w:ascii="Cambria" w:hAnsi="Cambria"/>
                <w:sz w:val="16"/>
              </w:rPr>
            </w:pPr>
          </w:p>
          <w:p w14:paraId="06AB7FB8" w14:textId="77777777" w:rsidR="00F631B1" w:rsidRPr="009A0DA6" w:rsidRDefault="00F631B1" w:rsidP="00180211">
            <w:pPr>
              <w:cnfStyle w:val="000000100000" w:firstRow="0" w:lastRow="0" w:firstColumn="0" w:lastColumn="0" w:oddVBand="0" w:evenVBand="0" w:oddHBand="1" w:evenHBand="0" w:firstRowFirstColumn="0" w:firstRowLastColumn="0" w:lastRowFirstColumn="0" w:lastRowLastColumn="0"/>
              <w:rPr>
                <w:rFonts w:ascii="Cambria" w:hAnsi="Cambria"/>
              </w:rPr>
            </w:pPr>
            <w:r w:rsidRPr="009A0DA6">
              <w:rPr>
                <w:rFonts w:ascii="Cambria" w:hAnsi="Cambria"/>
              </w:rPr>
              <w:t>Awaiting new call process through HR system to roll out changes</w:t>
            </w:r>
          </w:p>
        </w:tc>
      </w:tr>
      <w:tr w:rsidR="00F631B1" w:rsidRPr="009A0DA6" w14:paraId="4B2DB3D9" w14:textId="77777777" w:rsidTr="00180211">
        <w:tc>
          <w:tcPr>
            <w:cnfStyle w:val="001000000000" w:firstRow="0" w:lastRow="0" w:firstColumn="1" w:lastColumn="0" w:oddVBand="0" w:evenVBand="0" w:oddHBand="0" w:evenHBand="0" w:firstRowFirstColumn="0" w:firstRowLastColumn="0" w:lastRowFirstColumn="0" w:lastRowLastColumn="0"/>
            <w:tcW w:w="536" w:type="dxa"/>
            <w:hideMark/>
          </w:tcPr>
          <w:p w14:paraId="0D0F85E5" w14:textId="77777777" w:rsidR="00F631B1" w:rsidRPr="009A0DA6" w:rsidRDefault="00F631B1" w:rsidP="00180211">
            <w:pPr>
              <w:rPr>
                <w:rFonts w:ascii="Cambria" w:hAnsi="Cambria"/>
                <w:b w:val="0"/>
              </w:rPr>
            </w:pPr>
            <w:r w:rsidRPr="009A0DA6">
              <w:rPr>
                <w:rFonts w:ascii="Cambria" w:hAnsi="Cambria"/>
                <w:b w:val="0"/>
              </w:rPr>
              <w:t>18</w:t>
            </w:r>
          </w:p>
        </w:tc>
        <w:tc>
          <w:tcPr>
            <w:tcW w:w="3855" w:type="dxa"/>
            <w:hideMark/>
          </w:tcPr>
          <w:p w14:paraId="279068DA" w14:textId="77777777" w:rsidR="00F631B1" w:rsidRPr="009A0DA6" w:rsidRDefault="00F631B1" w:rsidP="00180211">
            <w:pPr>
              <w:cnfStyle w:val="000000000000" w:firstRow="0" w:lastRow="0" w:firstColumn="0" w:lastColumn="0" w:oddVBand="0" w:evenVBand="0" w:oddHBand="0" w:evenHBand="0" w:firstRowFirstColumn="0" w:firstRowLastColumn="0" w:lastRowFirstColumn="0" w:lastRowLastColumn="0"/>
              <w:rPr>
                <w:rFonts w:ascii="Cambria" w:hAnsi="Cambria"/>
              </w:rPr>
            </w:pPr>
            <w:r w:rsidRPr="009A0DA6">
              <w:rPr>
                <w:rFonts w:ascii="Cambria" w:hAnsi="Cambria"/>
              </w:rPr>
              <w:t>Clarify and communicate the roles and prerogatives of congregations and District leadership in the call process</w:t>
            </w:r>
          </w:p>
        </w:tc>
        <w:tc>
          <w:tcPr>
            <w:tcW w:w="1165" w:type="dxa"/>
            <w:hideMark/>
          </w:tcPr>
          <w:p w14:paraId="6A1331AF" w14:textId="77777777" w:rsidR="00F631B1" w:rsidRPr="009A0DA6" w:rsidRDefault="00F631B1" w:rsidP="00180211">
            <w:pPr>
              <w:cnfStyle w:val="000000000000" w:firstRow="0" w:lastRow="0" w:firstColumn="0" w:lastColumn="0" w:oddVBand="0" w:evenVBand="0" w:oddHBand="0" w:evenHBand="0" w:firstRowFirstColumn="0" w:firstRowLastColumn="0" w:lastRowFirstColumn="0" w:lastRowLastColumn="0"/>
              <w:rPr>
                <w:rFonts w:ascii="Cambria" w:hAnsi="Cambria"/>
              </w:rPr>
            </w:pPr>
            <w:r w:rsidRPr="009A0DA6">
              <w:rPr>
                <w:rFonts w:ascii="Cambria" w:hAnsi="Cambria"/>
              </w:rPr>
              <w:t>Deferred/ Referred</w:t>
            </w:r>
          </w:p>
        </w:tc>
        <w:tc>
          <w:tcPr>
            <w:tcW w:w="3118" w:type="dxa"/>
            <w:hideMark/>
          </w:tcPr>
          <w:p w14:paraId="7D65F324" w14:textId="77777777" w:rsidR="00F631B1" w:rsidRPr="009A0DA6" w:rsidRDefault="00F631B1" w:rsidP="00180211">
            <w:pPr>
              <w:cnfStyle w:val="000000000000" w:firstRow="0" w:lastRow="0" w:firstColumn="0" w:lastColumn="0" w:oddVBand="0" w:evenVBand="0" w:oddHBand="0" w:evenHBand="0" w:firstRowFirstColumn="0" w:firstRowLastColumn="0" w:lastRowFirstColumn="0" w:lastRowLastColumn="0"/>
              <w:rPr>
                <w:rFonts w:ascii="Cambria" w:hAnsi="Cambria"/>
              </w:rPr>
            </w:pPr>
            <w:r w:rsidRPr="009A0DA6">
              <w:rPr>
                <w:rFonts w:ascii="Cambria" w:hAnsi="Cambria"/>
              </w:rPr>
              <w:t>Referred to CWSD for attention with training for the new call process through the HR system</w:t>
            </w:r>
          </w:p>
        </w:tc>
      </w:tr>
    </w:tbl>
    <w:p w14:paraId="7646F528" w14:textId="77777777" w:rsidR="00CF1FE7" w:rsidRDefault="00CF1FE7"/>
    <w:tbl>
      <w:tblPr>
        <w:tblStyle w:val="PlainTable2"/>
        <w:tblW w:w="8674" w:type="dxa"/>
        <w:tblLayout w:type="fixed"/>
        <w:tblLook w:val="04A0" w:firstRow="1" w:lastRow="0" w:firstColumn="1" w:lastColumn="0" w:noHBand="0" w:noVBand="1"/>
      </w:tblPr>
      <w:tblGrid>
        <w:gridCol w:w="536"/>
        <w:gridCol w:w="3855"/>
        <w:gridCol w:w="1165"/>
        <w:gridCol w:w="3118"/>
      </w:tblGrid>
      <w:tr w:rsidR="00F631B1" w:rsidRPr="00CF1FE7" w14:paraId="7271B935" w14:textId="77777777" w:rsidTr="001802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6" w:type="dxa"/>
            <w:hideMark/>
          </w:tcPr>
          <w:p w14:paraId="33596AC4" w14:textId="77777777" w:rsidR="00F631B1" w:rsidRPr="00CF1FE7" w:rsidRDefault="00F631B1" w:rsidP="00180211">
            <w:pPr>
              <w:rPr>
                <w:rFonts w:ascii="Cambria" w:hAnsi="Cambria"/>
                <w:b w:val="0"/>
              </w:rPr>
            </w:pPr>
            <w:r w:rsidRPr="00CF1FE7">
              <w:rPr>
                <w:rFonts w:ascii="Cambria" w:hAnsi="Cambria"/>
                <w:b w:val="0"/>
              </w:rPr>
              <w:lastRenderedPageBreak/>
              <w:t>19</w:t>
            </w:r>
          </w:p>
        </w:tc>
        <w:tc>
          <w:tcPr>
            <w:tcW w:w="3855" w:type="dxa"/>
            <w:hideMark/>
          </w:tcPr>
          <w:p w14:paraId="0861C05E" w14:textId="77777777" w:rsidR="00F631B1" w:rsidRPr="00CF1FE7" w:rsidRDefault="00F631B1" w:rsidP="00180211">
            <w:pPr>
              <w:cnfStyle w:val="100000000000" w:firstRow="1" w:lastRow="0" w:firstColumn="0" w:lastColumn="0" w:oddVBand="0" w:evenVBand="0" w:oddHBand="0" w:evenHBand="0" w:firstRowFirstColumn="0" w:firstRowLastColumn="0" w:lastRowFirstColumn="0" w:lastRowLastColumn="0"/>
              <w:rPr>
                <w:rFonts w:ascii="Cambria" w:hAnsi="Cambria"/>
                <w:b w:val="0"/>
              </w:rPr>
            </w:pPr>
            <w:r w:rsidRPr="00CF1FE7">
              <w:rPr>
                <w:rFonts w:ascii="Cambria" w:hAnsi="Cambria"/>
                <w:b w:val="0"/>
              </w:rPr>
              <w:t>Bishops take immediate, achievable and practical steps towards ensuring they more consistently engage in the pastoral care of pastors</w:t>
            </w:r>
          </w:p>
        </w:tc>
        <w:tc>
          <w:tcPr>
            <w:tcW w:w="1165" w:type="dxa"/>
            <w:hideMark/>
          </w:tcPr>
          <w:p w14:paraId="291D7D7D" w14:textId="77777777" w:rsidR="00F631B1" w:rsidRPr="00CF1FE7" w:rsidRDefault="00F631B1" w:rsidP="00180211">
            <w:pPr>
              <w:cnfStyle w:val="100000000000" w:firstRow="1" w:lastRow="0" w:firstColumn="0" w:lastColumn="0" w:oddVBand="0" w:evenVBand="0" w:oddHBand="0" w:evenHBand="0" w:firstRowFirstColumn="0" w:firstRowLastColumn="0" w:lastRowFirstColumn="0" w:lastRowLastColumn="0"/>
              <w:rPr>
                <w:rFonts w:ascii="Cambria" w:hAnsi="Cambria"/>
                <w:b w:val="0"/>
              </w:rPr>
            </w:pPr>
            <w:r w:rsidRPr="00CF1FE7">
              <w:rPr>
                <w:rFonts w:ascii="Cambria" w:hAnsi="Cambria"/>
                <w:b w:val="0"/>
              </w:rPr>
              <w:t>Action in progress</w:t>
            </w:r>
          </w:p>
        </w:tc>
        <w:tc>
          <w:tcPr>
            <w:tcW w:w="3118" w:type="dxa"/>
            <w:hideMark/>
          </w:tcPr>
          <w:p w14:paraId="6B63E5BF" w14:textId="77777777" w:rsidR="00F631B1" w:rsidRPr="00CF1FE7" w:rsidRDefault="00F631B1" w:rsidP="00180211">
            <w:pPr>
              <w:cnfStyle w:val="100000000000" w:firstRow="1" w:lastRow="0" w:firstColumn="0" w:lastColumn="0" w:oddVBand="0" w:evenVBand="0" w:oddHBand="0" w:evenHBand="0" w:firstRowFirstColumn="0" w:firstRowLastColumn="0" w:lastRowFirstColumn="0" w:lastRowLastColumn="0"/>
              <w:rPr>
                <w:rFonts w:ascii="Cambria" w:hAnsi="Cambria"/>
                <w:b w:val="0"/>
              </w:rPr>
            </w:pPr>
            <w:r w:rsidRPr="00CF1FE7">
              <w:rPr>
                <w:rFonts w:ascii="Cambria" w:hAnsi="Cambria"/>
                <w:b w:val="0"/>
              </w:rPr>
              <w:t>Bishops in discussions with their districts on what ‘pastoral care of pastors’ expectations are and how to best enact this in their districts</w:t>
            </w:r>
          </w:p>
        </w:tc>
      </w:tr>
      <w:tr w:rsidR="00F631B1" w:rsidRPr="009A0DA6" w14:paraId="50D6918F" w14:textId="77777777" w:rsidTr="001802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6" w:type="dxa"/>
            <w:hideMark/>
          </w:tcPr>
          <w:p w14:paraId="0FDB2AF5" w14:textId="77777777" w:rsidR="00F631B1" w:rsidRPr="009A0DA6" w:rsidRDefault="00F631B1" w:rsidP="00180211">
            <w:pPr>
              <w:rPr>
                <w:rFonts w:ascii="Cambria" w:hAnsi="Cambria"/>
                <w:b w:val="0"/>
              </w:rPr>
            </w:pPr>
            <w:r w:rsidRPr="009A0DA6">
              <w:rPr>
                <w:rFonts w:ascii="Cambria" w:hAnsi="Cambria"/>
                <w:b w:val="0"/>
              </w:rPr>
              <w:t>20</w:t>
            </w:r>
          </w:p>
        </w:tc>
        <w:tc>
          <w:tcPr>
            <w:tcW w:w="3855" w:type="dxa"/>
            <w:hideMark/>
          </w:tcPr>
          <w:p w14:paraId="660BA07D" w14:textId="77777777" w:rsidR="00F631B1" w:rsidRPr="009A0DA6" w:rsidRDefault="00F631B1" w:rsidP="00180211">
            <w:pPr>
              <w:cnfStyle w:val="000000100000" w:firstRow="0" w:lastRow="0" w:firstColumn="0" w:lastColumn="0" w:oddVBand="0" w:evenVBand="0" w:oddHBand="1" w:evenHBand="0" w:firstRowFirstColumn="0" w:firstRowLastColumn="0" w:lastRowFirstColumn="0" w:lastRowLastColumn="0"/>
              <w:rPr>
                <w:rFonts w:ascii="Cambria" w:hAnsi="Cambria"/>
              </w:rPr>
            </w:pPr>
            <w:r w:rsidRPr="009A0DA6">
              <w:rPr>
                <w:rFonts w:ascii="Cambria" w:hAnsi="Cambria"/>
              </w:rPr>
              <w:t>Review the workload and range of responsibilities of bishop, with a view to recommending achievable changes resulting in a reduction in managerial responsibilities and a facilitation of theological, spiritual and pastoral leadership</w:t>
            </w:r>
          </w:p>
        </w:tc>
        <w:tc>
          <w:tcPr>
            <w:tcW w:w="1165" w:type="dxa"/>
            <w:hideMark/>
          </w:tcPr>
          <w:p w14:paraId="6718D10C" w14:textId="77777777" w:rsidR="00F631B1" w:rsidRPr="009A0DA6" w:rsidRDefault="00F631B1" w:rsidP="00180211">
            <w:pPr>
              <w:cnfStyle w:val="000000100000" w:firstRow="0" w:lastRow="0" w:firstColumn="0" w:lastColumn="0" w:oddVBand="0" w:evenVBand="0" w:oddHBand="1" w:evenHBand="0" w:firstRowFirstColumn="0" w:firstRowLastColumn="0" w:lastRowFirstColumn="0" w:lastRowLastColumn="0"/>
              <w:rPr>
                <w:rFonts w:ascii="Cambria" w:hAnsi="Cambria"/>
              </w:rPr>
            </w:pPr>
            <w:r w:rsidRPr="009A0DA6">
              <w:rPr>
                <w:rFonts w:ascii="Cambria" w:hAnsi="Cambria"/>
              </w:rPr>
              <w:t>Action in progress</w:t>
            </w:r>
          </w:p>
        </w:tc>
        <w:tc>
          <w:tcPr>
            <w:tcW w:w="3118" w:type="dxa"/>
            <w:hideMark/>
          </w:tcPr>
          <w:p w14:paraId="3E1899F1" w14:textId="77777777" w:rsidR="00F631B1" w:rsidRPr="009A0DA6" w:rsidRDefault="00F631B1" w:rsidP="00180211">
            <w:pPr>
              <w:cnfStyle w:val="000000100000" w:firstRow="0" w:lastRow="0" w:firstColumn="0" w:lastColumn="0" w:oddVBand="0" w:evenVBand="0" w:oddHBand="1" w:evenHBand="0" w:firstRowFirstColumn="0" w:firstRowLastColumn="0" w:lastRowFirstColumn="0" w:lastRowLastColumn="0"/>
              <w:rPr>
                <w:rFonts w:ascii="Cambria" w:hAnsi="Cambria"/>
              </w:rPr>
            </w:pPr>
            <w:r w:rsidRPr="009A0DA6">
              <w:rPr>
                <w:rFonts w:ascii="Cambria" w:hAnsi="Cambria"/>
              </w:rPr>
              <w:t>Bishops in discussions with their districts on how this can be achieved</w:t>
            </w:r>
          </w:p>
        </w:tc>
      </w:tr>
    </w:tbl>
    <w:p w14:paraId="529B0113" w14:textId="77777777" w:rsidR="00F631B1" w:rsidRPr="009A0DA6" w:rsidRDefault="00F631B1" w:rsidP="00F631B1">
      <w:pPr>
        <w:pStyle w:val="NoSpacing"/>
        <w:rPr>
          <w:lang w:val="en-US" w:eastAsia="ja-JP"/>
        </w:rPr>
      </w:pPr>
    </w:p>
    <w:p w14:paraId="1F8525D9" w14:textId="77777777" w:rsidR="00F631B1" w:rsidRPr="009A0DA6" w:rsidRDefault="00F631B1" w:rsidP="00F631B1">
      <w:pPr>
        <w:pStyle w:val="NoSpacing"/>
        <w:rPr>
          <w:rStyle w:val="Hyperlink"/>
        </w:rPr>
      </w:pPr>
      <w:r w:rsidRPr="009A0DA6">
        <w:t xml:space="preserve">The ALITE Pastoral Ministry in the LCA report and recommendations is available to view on the LCA website: </w:t>
      </w:r>
      <w:hyperlink r:id="rId22" w:history="1">
        <w:r w:rsidRPr="00995084">
          <w:rPr>
            <w:rStyle w:val="Hyperlink"/>
            <w:color w:val="auto"/>
            <w:u w:val="none"/>
          </w:rPr>
          <w:t>www.lca.org.au/pastoral-ministry-research-paper-released/</w:t>
        </w:r>
      </w:hyperlink>
    </w:p>
    <w:p w14:paraId="5209B78B" w14:textId="77777777" w:rsidR="00F631B1" w:rsidRPr="009A0DA6" w:rsidRDefault="00F631B1" w:rsidP="00F631B1">
      <w:pPr>
        <w:pStyle w:val="NoSpacing"/>
        <w:rPr>
          <w:rStyle w:val="Hyperlink"/>
        </w:rPr>
      </w:pPr>
    </w:p>
    <w:p w14:paraId="59D334CC" w14:textId="77777777" w:rsidR="00F631B1" w:rsidRPr="009A0DA6" w:rsidRDefault="00F631B1" w:rsidP="00F631B1">
      <w:pPr>
        <w:pStyle w:val="NoSpacing"/>
        <w:rPr>
          <w:rStyle w:val="Hyperlink"/>
        </w:rPr>
      </w:pPr>
    </w:p>
    <w:p w14:paraId="169D6621" w14:textId="77777777" w:rsidR="00F631B1" w:rsidRPr="009A0DA6" w:rsidRDefault="00F631B1" w:rsidP="00F631B1">
      <w:pPr>
        <w:pStyle w:val="Heading3"/>
        <w:rPr>
          <w:color w:val="0563C1" w:themeColor="hyperlink"/>
          <w:u w:val="single"/>
        </w:rPr>
      </w:pPr>
      <w:r w:rsidRPr="009A0DA6">
        <w:br w:type="column"/>
      </w:r>
      <w:r w:rsidRPr="009A0DA6">
        <w:lastRenderedPageBreak/>
        <w:t>APPENDIX 3: 500</w:t>
      </w:r>
      <w:r w:rsidRPr="009A0DA6">
        <w:rPr>
          <w:vertAlign w:val="superscript"/>
        </w:rPr>
        <w:t>th</w:t>
      </w:r>
      <w:r w:rsidRPr="009A0DA6">
        <w:t xml:space="preserve"> Anniversary of the reformation statement</w:t>
      </w:r>
    </w:p>
    <w:p w14:paraId="2F63C8AC" w14:textId="5BA99299" w:rsidR="00F631B1" w:rsidRPr="009A0DA6" w:rsidRDefault="006714F7" w:rsidP="00F631B1">
      <w:pPr>
        <w:pStyle w:val="NoSpacing"/>
        <w:rPr>
          <w:b/>
          <w:sz w:val="28"/>
          <w:szCs w:val="28"/>
        </w:rPr>
      </w:pPr>
      <w:r>
        <w:rPr>
          <w:b/>
          <w:noProof/>
          <w:sz w:val="28"/>
          <w:szCs w:val="28"/>
          <w:lang w:eastAsia="en-AU"/>
        </w:rPr>
        <w:drawing>
          <wp:inline distT="0" distB="0" distL="0" distR="0" wp14:anchorId="1369F145" wp14:editId="2F9204BE">
            <wp:extent cx="5594985" cy="7487920"/>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_statement_500th_Anniversary_Reformation_A4_PDF_PAGE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94985" cy="7487920"/>
                    </a:xfrm>
                    <a:prstGeom prst="rect">
                      <a:avLst/>
                    </a:prstGeom>
                  </pic:spPr>
                </pic:pic>
              </a:graphicData>
            </a:graphic>
          </wp:inline>
        </w:drawing>
      </w:r>
      <w:r w:rsidR="00F631B1" w:rsidRPr="009A0DA6">
        <w:rPr>
          <w:b/>
          <w:sz w:val="28"/>
          <w:szCs w:val="28"/>
        </w:rPr>
        <w:br w:type="column"/>
      </w:r>
      <w:r w:rsidR="00F631B1" w:rsidRPr="009A0DA6">
        <w:rPr>
          <w:b/>
          <w:noProof/>
          <w:sz w:val="28"/>
          <w:szCs w:val="28"/>
          <w:lang w:eastAsia="en-AU"/>
        </w:rPr>
        <w:lastRenderedPageBreak/>
        <w:drawing>
          <wp:inline distT="0" distB="0" distL="0" distR="0" wp14:anchorId="053878C9" wp14:editId="4D4F4840">
            <wp:extent cx="5736590" cy="7387356"/>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736590" cy="7387356"/>
                    </a:xfrm>
                    <a:prstGeom prst="rect">
                      <a:avLst/>
                    </a:prstGeom>
                    <a:noFill/>
                    <a:ln>
                      <a:noFill/>
                    </a:ln>
                  </pic:spPr>
                </pic:pic>
              </a:graphicData>
            </a:graphic>
          </wp:inline>
        </w:drawing>
      </w:r>
    </w:p>
    <w:p w14:paraId="2216294E" w14:textId="77777777" w:rsidR="00F631B1" w:rsidRPr="009A0DA6" w:rsidRDefault="00F631B1" w:rsidP="00F631B1">
      <w:pPr>
        <w:spacing w:line="240" w:lineRule="auto"/>
        <w:rPr>
          <w:rFonts w:ascii="Cambria" w:hAnsi="Cambria"/>
          <w:b/>
          <w:sz w:val="28"/>
          <w:szCs w:val="28"/>
        </w:rPr>
      </w:pPr>
      <w:r w:rsidRPr="009A0DA6">
        <w:rPr>
          <w:rFonts w:ascii="Cambria" w:hAnsi="Cambria"/>
          <w:b/>
          <w:sz w:val="28"/>
          <w:szCs w:val="28"/>
        </w:rPr>
        <w:br w:type="page"/>
      </w:r>
    </w:p>
    <w:p w14:paraId="473B5F5D" w14:textId="77777777" w:rsidR="00F631B1" w:rsidRPr="009A0DA6" w:rsidRDefault="00F631B1" w:rsidP="00F631B1">
      <w:pPr>
        <w:pStyle w:val="Heading3"/>
      </w:pPr>
      <w:r w:rsidRPr="009A0DA6">
        <w:lastRenderedPageBreak/>
        <w:t>APPENDIX 4: Synod Matters referred to General Church Council from Convention delegated to the College of Bishops</w:t>
      </w:r>
    </w:p>
    <w:tbl>
      <w:tblPr>
        <w:tblStyle w:val="PlainTable2"/>
        <w:tblW w:w="8926" w:type="dxa"/>
        <w:tblLook w:val="04A0" w:firstRow="1" w:lastRow="0" w:firstColumn="1" w:lastColumn="0" w:noHBand="0" w:noVBand="1"/>
      </w:tblPr>
      <w:tblGrid>
        <w:gridCol w:w="3114"/>
        <w:gridCol w:w="5812"/>
      </w:tblGrid>
      <w:tr w:rsidR="00F631B1" w:rsidRPr="009A0DA6" w14:paraId="2F6274B2" w14:textId="77777777" w:rsidTr="001802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4BC65E4F" w14:textId="77777777" w:rsidR="00F631B1" w:rsidRPr="009A0DA6" w:rsidRDefault="00F631B1" w:rsidP="00180211">
            <w:pPr>
              <w:pStyle w:val="NoSpacing"/>
            </w:pPr>
            <w:r w:rsidRPr="009A0DA6">
              <w:t xml:space="preserve">Resolutions Synod Agenda </w:t>
            </w:r>
          </w:p>
        </w:tc>
        <w:tc>
          <w:tcPr>
            <w:tcW w:w="5812" w:type="dxa"/>
            <w:hideMark/>
          </w:tcPr>
          <w:p w14:paraId="141CC947" w14:textId="77777777" w:rsidR="00F631B1" w:rsidRPr="009A0DA6" w:rsidRDefault="00F631B1" w:rsidP="00180211">
            <w:pPr>
              <w:pStyle w:val="NoSpacing"/>
              <w:cnfStyle w:val="100000000000" w:firstRow="1" w:lastRow="0" w:firstColumn="0" w:lastColumn="0" w:oddVBand="0" w:evenVBand="0" w:oddHBand="0" w:evenHBand="0" w:firstRowFirstColumn="0" w:firstRowLastColumn="0" w:lastRowFirstColumn="0" w:lastRowLastColumn="0"/>
            </w:pPr>
            <w:r w:rsidRPr="009A0DA6">
              <w:t>Actions to date</w:t>
            </w:r>
          </w:p>
        </w:tc>
      </w:tr>
      <w:tr w:rsidR="00F631B1" w:rsidRPr="009A0DA6" w14:paraId="62F81D9D" w14:textId="77777777" w:rsidTr="001802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F23AA93" w14:textId="77777777" w:rsidR="00F631B1" w:rsidRPr="009A0DA6" w:rsidRDefault="00F631B1" w:rsidP="00180211">
            <w:pPr>
              <w:pStyle w:val="NoSpacing"/>
            </w:pPr>
            <w:r w:rsidRPr="009A0DA6">
              <w:t>From 2013 Synod</w:t>
            </w:r>
          </w:p>
          <w:p w14:paraId="4653C868" w14:textId="77777777" w:rsidR="00F631B1" w:rsidRPr="009A0DA6" w:rsidRDefault="00F631B1" w:rsidP="00180211">
            <w:pPr>
              <w:pStyle w:val="NoSpacing"/>
              <w:rPr>
                <w:bCs w:val="0"/>
              </w:rPr>
            </w:pPr>
            <w:r w:rsidRPr="009A0DA6">
              <w:rPr>
                <w:bCs w:val="0"/>
              </w:rPr>
              <w:t>Equipping Pastors for Team Ministry (2013 resolution 2.5.7)</w:t>
            </w:r>
          </w:p>
          <w:p w14:paraId="173C1321" w14:textId="77777777" w:rsidR="00F631B1" w:rsidRPr="009A0DA6" w:rsidRDefault="00F631B1" w:rsidP="00180211">
            <w:pPr>
              <w:pStyle w:val="NoSpacing"/>
            </w:pPr>
          </w:p>
        </w:tc>
        <w:tc>
          <w:tcPr>
            <w:tcW w:w="5812" w:type="dxa"/>
            <w:hideMark/>
          </w:tcPr>
          <w:p w14:paraId="76B68831" w14:textId="77777777" w:rsidR="00F631B1" w:rsidRPr="009A0DA6" w:rsidRDefault="00F631B1" w:rsidP="00180211">
            <w:pPr>
              <w:pStyle w:val="NoSpacing"/>
              <w:cnfStyle w:val="000000100000" w:firstRow="0" w:lastRow="0" w:firstColumn="0" w:lastColumn="0" w:oddVBand="0" w:evenVBand="0" w:oddHBand="1" w:evenHBand="0" w:firstRowFirstColumn="0" w:firstRowLastColumn="0" w:lastRowFirstColumn="0" w:lastRowLastColumn="0"/>
            </w:pPr>
            <w:r w:rsidRPr="009A0DA6">
              <w:t>The College of Bishops (CoB) placed this resolution amongst the suite of recommendations provided by ALITE and other priority matters relating to the ordering of the pastoral ministry.</w:t>
            </w:r>
          </w:p>
          <w:p w14:paraId="5393AA46" w14:textId="77777777" w:rsidR="00F631B1" w:rsidRPr="009A0DA6" w:rsidRDefault="00F631B1" w:rsidP="00180211">
            <w:pPr>
              <w:pStyle w:val="NoSpacing"/>
              <w:cnfStyle w:val="000000100000" w:firstRow="0" w:lastRow="0" w:firstColumn="0" w:lastColumn="0" w:oddVBand="0" w:evenVBand="0" w:oddHBand="1" w:evenHBand="0" w:firstRowFirstColumn="0" w:firstRowLastColumn="0" w:lastRowFirstColumn="0" w:lastRowLastColumn="0"/>
            </w:pPr>
            <w:r w:rsidRPr="009A0DA6">
              <w:t>The Bishops met in a workshop format in May 2018 to address these.</w:t>
            </w:r>
          </w:p>
        </w:tc>
      </w:tr>
      <w:tr w:rsidR="00F631B1" w:rsidRPr="009A0DA6" w14:paraId="1537F361" w14:textId="77777777" w:rsidTr="00180211">
        <w:tc>
          <w:tcPr>
            <w:cnfStyle w:val="001000000000" w:firstRow="0" w:lastRow="0" w:firstColumn="1" w:lastColumn="0" w:oddVBand="0" w:evenVBand="0" w:oddHBand="0" w:evenHBand="0" w:firstRowFirstColumn="0" w:firstRowLastColumn="0" w:lastRowFirstColumn="0" w:lastRowLastColumn="0"/>
            <w:tcW w:w="3114" w:type="dxa"/>
          </w:tcPr>
          <w:p w14:paraId="6394F63C" w14:textId="77777777" w:rsidR="00F631B1" w:rsidRPr="009A0DA6" w:rsidRDefault="00F631B1" w:rsidP="00180211">
            <w:pPr>
              <w:pStyle w:val="NoSpacing"/>
            </w:pPr>
            <w:r w:rsidRPr="009A0DA6">
              <w:t>From 2015 Synod</w:t>
            </w:r>
          </w:p>
          <w:p w14:paraId="64B752B5" w14:textId="1D7DE799" w:rsidR="00F631B1" w:rsidRPr="009A0DA6" w:rsidRDefault="00F631B1" w:rsidP="00180211">
            <w:pPr>
              <w:pStyle w:val="NoSpacing"/>
              <w:rPr>
                <w:bCs w:val="0"/>
              </w:rPr>
            </w:pPr>
            <w:r w:rsidRPr="009A0DA6">
              <w:rPr>
                <w:bCs w:val="0"/>
              </w:rPr>
              <w:t xml:space="preserve">Draft Doctrinal Statement on the Ordination Question (resolution </w:t>
            </w:r>
            <w:r w:rsidR="004113A1">
              <w:rPr>
                <w:bCs w:val="0"/>
              </w:rPr>
              <w:t>2015:0</w:t>
            </w:r>
            <w:r w:rsidRPr="009A0DA6">
              <w:rPr>
                <w:bCs w:val="0"/>
              </w:rPr>
              <w:t>216)</w:t>
            </w:r>
          </w:p>
          <w:p w14:paraId="67ECCDB5" w14:textId="367C9F6A" w:rsidR="00F631B1" w:rsidRPr="009A0DA6" w:rsidRDefault="004113A1" w:rsidP="00180211">
            <w:pPr>
              <w:pStyle w:val="NoSpacing"/>
            </w:pPr>
            <w:r>
              <w:rPr>
                <w:bCs w:val="0"/>
              </w:rPr>
              <w:t>2015:0</w:t>
            </w:r>
            <w:r w:rsidR="00F631B1" w:rsidRPr="009A0DA6">
              <w:rPr>
                <w:bCs w:val="0"/>
              </w:rPr>
              <w:t>216</w:t>
            </w:r>
            <w:r w:rsidR="00F631B1" w:rsidRPr="009A0DA6">
              <w:t>: RESOLVED: that Synod requests the CTICR to build on its earlier work regarding the ordination of women and men to develop a draft doctrinal statement for GPC and the 19</w:t>
            </w:r>
            <w:r w:rsidR="00F631B1" w:rsidRPr="009A0DA6">
              <w:rPr>
                <w:vertAlign w:val="superscript"/>
              </w:rPr>
              <w:t>th</w:t>
            </w:r>
            <w:r w:rsidR="00F631B1" w:rsidRPr="009A0DA6">
              <w:t xml:space="preserve"> Convention of Synod that presents:</w:t>
            </w:r>
          </w:p>
          <w:p w14:paraId="029C7E70" w14:textId="77777777" w:rsidR="00F631B1" w:rsidRPr="009A0DA6" w:rsidRDefault="00F631B1" w:rsidP="00F55252">
            <w:pPr>
              <w:pStyle w:val="NoSpacing"/>
              <w:numPr>
                <w:ilvl w:val="0"/>
                <w:numId w:val="25"/>
              </w:numPr>
              <w:ind w:left="360"/>
            </w:pPr>
            <w:r w:rsidRPr="009A0DA6">
              <w:t>A theological basis for the ordination of women and men.</w:t>
            </w:r>
          </w:p>
          <w:p w14:paraId="48AB2E75" w14:textId="77777777" w:rsidR="00F631B1" w:rsidRPr="009A0DA6" w:rsidRDefault="00F631B1" w:rsidP="00F55252">
            <w:pPr>
              <w:pStyle w:val="NoSpacing"/>
              <w:numPr>
                <w:ilvl w:val="0"/>
                <w:numId w:val="26"/>
              </w:numPr>
              <w:ind w:left="360"/>
            </w:pPr>
            <w:r w:rsidRPr="009A0DA6">
              <w:t>A theological basis for why the ordination of women and men need not be church divisive.</w:t>
            </w:r>
          </w:p>
          <w:p w14:paraId="6A2218F1" w14:textId="77777777" w:rsidR="00F631B1" w:rsidRPr="009A0DA6" w:rsidRDefault="00F631B1" w:rsidP="00F55252">
            <w:pPr>
              <w:pStyle w:val="NoSpacing"/>
              <w:numPr>
                <w:ilvl w:val="0"/>
                <w:numId w:val="26"/>
              </w:numPr>
              <w:ind w:left="360"/>
            </w:pPr>
            <w:r w:rsidRPr="009A0DA6">
              <w:t>And that GCC resource it.</w:t>
            </w:r>
          </w:p>
          <w:p w14:paraId="3923CF9C" w14:textId="77777777" w:rsidR="00F631B1" w:rsidRPr="009A0DA6" w:rsidRDefault="00F631B1" w:rsidP="00180211">
            <w:pPr>
              <w:pStyle w:val="NoSpacing"/>
            </w:pPr>
          </w:p>
        </w:tc>
        <w:tc>
          <w:tcPr>
            <w:tcW w:w="5812" w:type="dxa"/>
            <w:hideMark/>
          </w:tcPr>
          <w:p w14:paraId="2DE06964" w14:textId="77777777" w:rsidR="00F631B1" w:rsidRPr="009A0DA6" w:rsidRDefault="00F631B1" w:rsidP="00180211">
            <w:pPr>
              <w:pStyle w:val="NoSpacing"/>
              <w:cnfStyle w:val="000000000000" w:firstRow="0" w:lastRow="0" w:firstColumn="0" w:lastColumn="0" w:oddVBand="0" w:evenVBand="0" w:oddHBand="0" w:evenHBand="0" w:firstRowFirstColumn="0" w:firstRowLastColumn="0" w:lastRowFirstColumn="0" w:lastRowLastColumn="0"/>
            </w:pPr>
            <w:r w:rsidRPr="009A0DA6">
              <w:t>The Draft Doctrinal Statement and the paper outlining a theological basis for why the ordination of women and men need not be church divisive have been prepared and provided to Synod as requested.</w:t>
            </w:r>
          </w:p>
        </w:tc>
      </w:tr>
      <w:tr w:rsidR="00F631B1" w:rsidRPr="009A0DA6" w14:paraId="2361A77F" w14:textId="77777777" w:rsidTr="001802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E807FBF" w14:textId="2063FC64" w:rsidR="00F631B1" w:rsidRPr="009A0DA6" w:rsidRDefault="00F631B1" w:rsidP="00180211">
            <w:pPr>
              <w:pStyle w:val="NoSpacing"/>
              <w:rPr>
                <w:bCs w:val="0"/>
              </w:rPr>
            </w:pPr>
            <w:r w:rsidRPr="009A0DA6">
              <w:rPr>
                <w:bCs w:val="0"/>
              </w:rPr>
              <w:t xml:space="preserve">Period of careful theological reflection (resolution </w:t>
            </w:r>
            <w:r w:rsidR="004113A1">
              <w:rPr>
                <w:bCs w:val="0"/>
              </w:rPr>
              <w:t>2015:0</w:t>
            </w:r>
            <w:r w:rsidRPr="009A0DA6">
              <w:rPr>
                <w:bCs w:val="0"/>
              </w:rPr>
              <w:t>217)</w:t>
            </w:r>
          </w:p>
          <w:p w14:paraId="42B17C02" w14:textId="77777777" w:rsidR="00F631B1" w:rsidRPr="009A0DA6" w:rsidRDefault="00F631B1" w:rsidP="00180211">
            <w:pPr>
              <w:pStyle w:val="NoSpacing"/>
            </w:pPr>
          </w:p>
        </w:tc>
        <w:tc>
          <w:tcPr>
            <w:tcW w:w="5812" w:type="dxa"/>
            <w:hideMark/>
          </w:tcPr>
          <w:p w14:paraId="2DEF265B" w14:textId="77777777" w:rsidR="00F631B1" w:rsidRPr="009A0DA6" w:rsidRDefault="00F631B1" w:rsidP="00180211">
            <w:pPr>
              <w:pStyle w:val="NoSpacing"/>
              <w:cnfStyle w:val="000000100000" w:firstRow="0" w:lastRow="0" w:firstColumn="0" w:lastColumn="0" w:oddVBand="0" w:evenVBand="0" w:oddHBand="1" w:evenHBand="0" w:firstRowFirstColumn="0" w:firstRowLastColumn="0" w:lastRowFirstColumn="0" w:lastRowLastColumn="0"/>
            </w:pPr>
            <w:r w:rsidRPr="009A0DA6">
              <w:t xml:space="preserve">The Bishops reflected and prayed about this following the 2015 Convention of Synod. </w:t>
            </w:r>
          </w:p>
          <w:p w14:paraId="4A9F2B6D" w14:textId="77777777" w:rsidR="00F631B1" w:rsidRPr="009A0DA6" w:rsidRDefault="00F631B1" w:rsidP="00F55252">
            <w:pPr>
              <w:pStyle w:val="NoSpacing"/>
              <w:numPr>
                <w:ilvl w:val="0"/>
                <w:numId w:val="27"/>
              </w:numPr>
              <w:ind w:left="324" w:hanging="324"/>
              <w:cnfStyle w:val="000000100000" w:firstRow="0" w:lastRow="0" w:firstColumn="0" w:lastColumn="0" w:oddVBand="0" w:evenVBand="0" w:oddHBand="1" w:evenHBand="0" w:firstRowFirstColumn="0" w:firstRowLastColumn="0" w:lastRowFirstColumn="0" w:lastRowLastColumn="0"/>
            </w:pPr>
            <w:r w:rsidRPr="009A0DA6">
              <w:rPr>
                <w:u w:val="single"/>
              </w:rPr>
              <w:t>Pause and listen before doing anything further</w:t>
            </w:r>
            <w:r w:rsidRPr="009A0DA6">
              <w:t xml:space="preserve"> – The Bishops gave time for this pause in 2015. A pastoral letter from CoB was written in the October 2015 edition of </w:t>
            </w:r>
            <w:r w:rsidRPr="009A0DA6">
              <w:rPr>
                <w:i/>
                <w:iCs/>
              </w:rPr>
              <w:t>The Lutheran</w:t>
            </w:r>
            <w:r w:rsidRPr="009A0DA6">
              <w:t>.</w:t>
            </w:r>
          </w:p>
          <w:p w14:paraId="5751E18B" w14:textId="77777777" w:rsidR="00F631B1" w:rsidRPr="009A0DA6" w:rsidRDefault="00F631B1" w:rsidP="00F55252">
            <w:pPr>
              <w:pStyle w:val="NoSpacing"/>
              <w:numPr>
                <w:ilvl w:val="0"/>
                <w:numId w:val="27"/>
              </w:numPr>
              <w:ind w:left="324" w:hanging="324"/>
              <w:cnfStyle w:val="000000100000" w:firstRow="0" w:lastRow="0" w:firstColumn="0" w:lastColumn="0" w:oddVBand="0" w:evenVBand="0" w:oddHBand="1" w:evenHBand="0" w:firstRowFirstColumn="0" w:firstRowLastColumn="0" w:lastRowFirstColumn="0" w:lastRowLastColumn="0"/>
            </w:pPr>
            <w:r w:rsidRPr="009A0DA6">
              <w:rPr>
                <w:u w:val="single"/>
              </w:rPr>
              <w:t>Offer the church theological material for its reflection</w:t>
            </w:r>
            <w:r w:rsidRPr="009A0DA6">
              <w:t xml:space="preserve"> – This took place during 2017 through the CTICR consultations. The new theological material was presented to the church through a series of consultations between March and September 2017 and is available on the OWL website.</w:t>
            </w:r>
          </w:p>
          <w:p w14:paraId="7B466F61" w14:textId="77777777" w:rsidR="00F631B1" w:rsidRPr="009A0DA6" w:rsidRDefault="00F631B1" w:rsidP="00F55252">
            <w:pPr>
              <w:pStyle w:val="NoSpacing"/>
              <w:numPr>
                <w:ilvl w:val="0"/>
                <w:numId w:val="27"/>
              </w:numPr>
              <w:ind w:left="324" w:hanging="324"/>
              <w:cnfStyle w:val="000000100000" w:firstRow="0" w:lastRow="0" w:firstColumn="0" w:lastColumn="0" w:oddVBand="0" w:evenVBand="0" w:oddHBand="1" w:evenHBand="0" w:firstRowFirstColumn="0" w:firstRowLastColumn="0" w:lastRowFirstColumn="0" w:lastRowLastColumn="0"/>
            </w:pPr>
            <w:r w:rsidRPr="009A0DA6">
              <w:rPr>
                <w:u w:val="single"/>
              </w:rPr>
              <w:t>Ongoing pastoral work</w:t>
            </w:r>
            <w:r w:rsidRPr="009A0DA6">
              <w:t xml:space="preserve"> – ‘The Bishops have appealed to the pastors of the church to care for the flock of Christ’ and ‘walked alongside’ many who are concerned about this issue in the life of the church, and continue to do so.</w:t>
            </w:r>
          </w:p>
          <w:p w14:paraId="582BCCEE" w14:textId="77777777" w:rsidR="00F631B1" w:rsidRPr="009A0DA6" w:rsidRDefault="00F631B1" w:rsidP="00F55252">
            <w:pPr>
              <w:pStyle w:val="NoSpacing"/>
              <w:numPr>
                <w:ilvl w:val="0"/>
                <w:numId w:val="27"/>
              </w:numPr>
              <w:ind w:left="324" w:hanging="324"/>
              <w:cnfStyle w:val="000000100000" w:firstRow="0" w:lastRow="0" w:firstColumn="0" w:lastColumn="0" w:oddVBand="0" w:evenVBand="0" w:oddHBand="1" w:evenHBand="0" w:firstRowFirstColumn="0" w:firstRowLastColumn="0" w:lastRowFirstColumn="0" w:lastRowLastColumn="0"/>
            </w:pPr>
            <w:r w:rsidRPr="009A0DA6">
              <w:rPr>
                <w:u w:val="single"/>
              </w:rPr>
              <w:t>Communication with the church</w:t>
            </w:r>
            <w:r w:rsidRPr="009A0DA6">
              <w:t xml:space="preserve"> – In addition to the October 2015 letter from the CoB, a pastoral letter from Bishop Henderson was published in the March 2017 edition of </w:t>
            </w:r>
            <w:r w:rsidRPr="009A0DA6">
              <w:rPr>
                <w:i/>
              </w:rPr>
              <w:t>The Lutheran</w:t>
            </w:r>
            <w:r w:rsidRPr="009A0DA6">
              <w:t xml:space="preserve"> and also included in the consultation booklet, Ordination, We’re Listening as churchwide consultations began.</w:t>
            </w:r>
          </w:p>
        </w:tc>
      </w:tr>
      <w:tr w:rsidR="00F631B1" w:rsidRPr="009A0DA6" w14:paraId="666B6932" w14:textId="77777777" w:rsidTr="00180211">
        <w:tc>
          <w:tcPr>
            <w:cnfStyle w:val="001000000000" w:firstRow="0" w:lastRow="0" w:firstColumn="1" w:lastColumn="0" w:oddVBand="0" w:evenVBand="0" w:oddHBand="0" w:evenHBand="0" w:firstRowFirstColumn="0" w:firstRowLastColumn="0" w:lastRowFirstColumn="0" w:lastRowLastColumn="0"/>
            <w:tcW w:w="3114" w:type="dxa"/>
          </w:tcPr>
          <w:p w14:paraId="74636F3A" w14:textId="57955368" w:rsidR="00F631B1" w:rsidRPr="009A0DA6" w:rsidRDefault="00F631B1" w:rsidP="00180211">
            <w:pPr>
              <w:pStyle w:val="NoSpacing"/>
              <w:rPr>
                <w:bCs w:val="0"/>
              </w:rPr>
            </w:pPr>
            <w:r w:rsidRPr="009A0DA6">
              <w:rPr>
                <w:bCs w:val="0"/>
              </w:rPr>
              <w:lastRenderedPageBreak/>
              <w:t xml:space="preserve">ALC Course for Word and Sacrament ministry outside the SMP program (resolution </w:t>
            </w:r>
            <w:r w:rsidR="004113A1">
              <w:rPr>
                <w:bCs w:val="0"/>
              </w:rPr>
              <w:t>2015:0</w:t>
            </w:r>
            <w:r w:rsidRPr="009A0DA6">
              <w:rPr>
                <w:bCs w:val="0"/>
              </w:rPr>
              <w:t>219)</w:t>
            </w:r>
          </w:p>
          <w:p w14:paraId="25AEF7D6" w14:textId="77777777" w:rsidR="00F631B1" w:rsidRPr="009A0DA6" w:rsidRDefault="00F631B1" w:rsidP="00180211">
            <w:pPr>
              <w:pStyle w:val="NoSpacing"/>
            </w:pPr>
          </w:p>
        </w:tc>
        <w:tc>
          <w:tcPr>
            <w:tcW w:w="5812" w:type="dxa"/>
            <w:hideMark/>
          </w:tcPr>
          <w:p w14:paraId="446698A5" w14:textId="77777777" w:rsidR="00F631B1" w:rsidRPr="009A0DA6" w:rsidRDefault="00F631B1" w:rsidP="00180211">
            <w:pPr>
              <w:cnfStyle w:val="000000000000" w:firstRow="0" w:lastRow="0" w:firstColumn="0" w:lastColumn="0" w:oddVBand="0" w:evenVBand="0" w:oddHBand="0" w:evenHBand="0" w:firstRowFirstColumn="0" w:firstRowLastColumn="0" w:lastRowFirstColumn="0" w:lastRowLastColumn="0"/>
              <w:rPr>
                <w:rFonts w:ascii="Cambria" w:hAnsi="Cambria"/>
              </w:rPr>
            </w:pPr>
            <w:r w:rsidRPr="009A0DA6">
              <w:rPr>
                <w:rFonts w:ascii="Cambria" w:hAnsi="Cambria"/>
              </w:rPr>
              <w:t>The College of Bishops (CoB) placed this resolution amongst the suite of recommendations provided by ALITE and other priority matters relating to the ordering of the pastoral ministry.</w:t>
            </w:r>
          </w:p>
          <w:p w14:paraId="2EFACBDB" w14:textId="77777777" w:rsidR="00F631B1" w:rsidRPr="009A0DA6" w:rsidRDefault="00F631B1" w:rsidP="00180211">
            <w:pPr>
              <w:pStyle w:val="NoSpacing"/>
              <w:cnfStyle w:val="000000000000" w:firstRow="0" w:lastRow="0" w:firstColumn="0" w:lastColumn="0" w:oddVBand="0" w:evenVBand="0" w:oddHBand="0" w:evenHBand="0" w:firstRowFirstColumn="0" w:firstRowLastColumn="0" w:lastRowFirstColumn="0" w:lastRowLastColumn="0"/>
            </w:pPr>
            <w:r w:rsidRPr="009A0DA6">
              <w:t>The Bishops met in a workshop format in May 2018 to address these.</w:t>
            </w:r>
          </w:p>
        </w:tc>
      </w:tr>
      <w:tr w:rsidR="00F631B1" w:rsidRPr="009A0DA6" w14:paraId="1B87C012" w14:textId="77777777" w:rsidTr="001802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1AF9ECC" w14:textId="1E862BC5" w:rsidR="00F631B1" w:rsidRPr="009A0DA6" w:rsidRDefault="00F631B1" w:rsidP="00180211">
            <w:pPr>
              <w:pStyle w:val="NoSpacing"/>
              <w:rPr>
                <w:bCs w:val="0"/>
              </w:rPr>
            </w:pPr>
            <w:r w:rsidRPr="009A0DA6">
              <w:rPr>
                <w:bCs w:val="0"/>
              </w:rPr>
              <w:t xml:space="preserve">Review of the LCA Call Process (resolution </w:t>
            </w:r>
            <w:r w:rsidR="004113A1">
              <w:rPr>
                <w:bCs w:val="0"/>
              </w:rPr>
              <w:t>2015:0</w:t>
            </w:r>
            <w:r w:rsidRPr="009A0DA6">
              <w:rPr>
                <w:bCs w:val="0"/>
              </w:rPr>
              <w:t>220)</w:t>
            </w:r>
          </w:p>
          <w:p w14:paraId="096BC6B6" w14:textId="77777777" w:rsidR="00F631B1" w:rsidRPr="009A0DA6" w:rsidRDefault="00F631B1" w:rsidP="00180211">
            <w:pPr>
              <w:pStyle w:val="NoSpacing"/>
            </w:pPr>
          </w:p>
        </w:tc>
        <w:tc>
          <w:tcPr>
            <w:tcW w:w="5812" w:type="dxa"/>
            <w:hideMark/>
          </w:tcPr>
          <w:p w14:paraId="06B2FC5A" w14:textId="32E4BE1F" w:rsidR="00F631B1" w:rsidRPr="009A0DA6" w:rsidRDefault="0033400D" w:rsidP="0033400D">
            <w:pPr>
              <w:pStyle w:val="NoSpacing"/>
              <w:cnfStyle w:val="000000100000" w:firstRow="0" w:lastRow="0" w:firstColumn="0" w:lastColumn="0" w:oddVBand="0" w:evenVBand="0" w:oddHBand="1" w:evenHBand="0" w:firstRowFirstColumn="0" w:firstRowLastColumn="0" w:lastRowFirstColumn="0" w:lastRowLastColumn="0"/>
            </w:pPr>
            <w:r w:rsidRPr="009A0DA6">
              <w:t xml:space="preserve">The GCC received the final report of the Review of the Call System slightly too late for inclusion in the </w:t>
            </w:r>
            <w:r w:rsidR="0036300A">
              <w:t>Book of Re</w:t>
            </w:r>
            <w:r w:rsidRPr="009A0DA6">
              <w:t>ports</w:t>
            </w:r>
            <w:r w:rsidR="005C2E7F">
              <w:t xml:space="preserve"> (refer Appendix I, p88)</w:t>
            </w:r>
            <w:r w:rsidRPr="009A0DA6">
              <w:t>.</w:t>
            </w:r>
          </w:p>
        </w:tc>
      </w:tr>
    </w:tbl>
    <w:p w14:paraId="41E02EEE" w14:textId="24C62E0B" w:rsidR="00F631B1" w:rsidRDefault="00F631B1" w:rsidP="00F631B1">
      <w:pPr>
        <w:pStyle w:val="NoSpacing"/>
      </w:pPr>
    </w:p>
    <w:p w14:paraId="61E133F6" w14:textId="77777777" w:rsidR="00697150" w:rsidRPr="009A0DA6" w:rsidRDefault="00697150" w:rsidP="00F631B1">
      <w:pPr>
        <w:pStyle w:val="NoSpacing"/>
      </w:pPr>
    </w:p>
    <w:p w14:paraId="507549BC" w14:textId="77777777" w:rsidR="00F631B1" w:rsidRPr="009A0DA6" w:rsidRDefault="00F631B1" w:rsidP="00F631B1">
      <w:pPr>
        <w:pStyle w:val="NoSpacing"/>
      </w:pPr>
    </w:p>
    <w:p w14:paraId="3E9A9301" w14:textId="77777777" w:rsidR="00F631B1" w:rsidRPr="009A0DA6" w:rsidRDefault="00F631B1" w:rsidP="00F631B1">
      <w:pPr>
        <w:pStyle w:val="NoSpacing"/>
      </w:pPr>
    </w:p>
    <w:p w14:paraId="4B0661CF" w14:textId="119261FB" w:rsidR="00F631B1" w:rsidRPr="009A0DA6" w:rsidRDefault="00F631B1" w:rsidP="00F631B1">
      <w:pPr>
        <w:pStyle w:val="Heading2"/>
      </w:pPr>
      <w:bookmarkStart w:id="18" w:name="_Toc521954587"/>
      <w:bookmarkStart w:id="19" w:name="_Toc522394953"/>
      <w:r w:rsidRPr="009A0DA6">
        <w:t>Appendix B: Secretary of the Church</w:t>
      </w:r>
      <w:bookmarkEnd w:id="18"/>
      <w:bookmarkEnd w:id="19"/>
    </w:p>
    <w:p w14:paraId="4EE310E0" w14:textId="77777777" w:rsidR="00F631B1" w:rsidRPr="009A0DA6" w:rsidRDefault="00F631B1" w:rsidP="00F631B1">
      <w:pPr>
        <w:pStyle w:val="NoSpacing"/>
      </w:pPr>
    </w:p>
    <w:p w14:paraId="780B3092" w14:textId="77777777" w:rsidR="00F631B1" w:rsidRPr="009A0DA6" w:rsidRDefault="00F631B1" w:rsidP="00F631B1">
      <w:pPr>
        <w:pStyle w:val="Heading3"/>
        <w:pBdr>
          <w:bottom w:val="single" w:sz="4" w:space="1" w:color="auto"/>
        </w:pBdr>
      </w:pPr>
      <w:r w:rsidRPr="009A0DA6">
        <w:t>Reconciliation Ministry</w:t>
      </w:r>
    </w:p>
    <w:p w14:paraId="60535104" w14:textId="77777777" w:rsidR="00F631B1" w:rsidRPr="009A0DA6" w:rsidRDefault="00F631B1" w:rsidP="00DB1A87">
      <w:pPr>
        <w:spacing w:after="120" w:line="240" w:lineRule="auto"/>
        <w:rPr>
          <w:rFonts w:ascii="Cambria" w:hAnsi="Cambria"/>
        </w:rPr>
      </w:pPr>
      <w:r w:rsidRPr="009A0DA6">
        <w:rPr>
          <w:rFonts w:ascii="Cambria" w:hAnsi="Cambria"/>
        </w:rPr>
        <w:t>The position of Assistant to the Bishop – Reconciliation Ministry (AB-RM) was established to assist the Lutheran Church of Australia (LCA) in building a culture/lifestyle of Biblical Reconciliation in church and community through the application of God’s Word and the proclamation of the gospel.</w:t>
      </w:r>
    </w:p>
    <w:p w14:paraId="7757E995" w14:textId="77777777" w:rsidR="00F631B1" w:rsidRPr="009A0DA6" w:rsidRDefault="00F631B1" w:rsidP="00DB1A87">
      <w:pPr>
        <w:spacing w:after="120" w:line="240" w:lineRule="auto"/>
        <w:rPr>
          <w:rFonts w:ascii="Cambria" w:hAnsi="Cambria"/>
        </w:rPr>
      </w:pPr>
      <w:r w:rsidRPr="009A0DA6">
        <w:rPr>
          <w:rFonts w:ascii="Cambria" w:hAnsi="Cambria"/>
        </w:rPr>
        <w:t xml:space="preserve">Building culture takes time and this ministry is not a ‘quick fix’ or ‘band aid recipe.’ Growing out of the Word and Sacrament ministry of the church, LCA Reconciliation Ministry provides Biblical teaching, equipping and resourcing that assists God’s people in living out their faith in everyday relationships and in their roles in the church.  </w:t>
      </w:r>
    </w:p>
    <w:p w14:paraId="02A8DEE3" w14:textId="77777777" w:rsidR="00F631B1" w:rsidRPr="009A0DA6" w:rsidRDefault="00F631B1" w:rsidP="00DB1A87">
      <w:pPr>
        <w:spacing w:after="120" w:line="240" w:lineRule="auto"/>
        <w:rPr>
          <w:rFonts w:ascii="Cambria" w:hAnsi="Cambria"/>
        </w:rPr>
      </w:pPr>
      <w:r w:rsidRPr="009A0DA6">
        <w:rPr>
          <w:rFonts w:ascii="Cambria" w:hAnsi="Cambria"/>
        </w:rPr>
        <w:t xml:space="preserve">Appreciated as a means of improving the way we work through conflict and encouraging spiritual health in the church, Biblical Reconciliation connects people practically with the church’s call to give faithful witness to the Word of hope and forgiveness in Jesus Christ. </w:t>
      </w:r>
    </w:p>
    <w:p w14:paraId="237B515B" w14:textId="77777777" w:rsidR="00F631B1" w:rsidRPr="009A0DA6" w:rsidRDefault="00F631B1" w:rsidP="00DB1A87">
      <w:pPr>
        <w:spacing w:after="120" w:line="240" w:lineRule="auto"/>
        <w:rPr>
          <w:rFonts w:ascii="Cambria" w:hAnsi="Cambria"/>
        </w:rPr>
      </w:pPr>
      <w:r w:rsidRPr="009A0DA6">
        <w:rPr>
          <w:rFonts w:ascii="Cambria" w:hAnsi="Cambria"/>
        </w:rPr>
        <w:t>This ministry equips God’s people to apply God’s Word of law in order to speak the gospel,  and it assists them in their witness to each other and the community when working through times and places of conflict in a God-pleasing way.</w:t>
      </w:r>
    </w:p>
    <w:p w14:paraId="4CECCDF4" w14:textId="77777777" w:rsidR="00F631B1" w:rsidRPr="009A0DA6" w:rsidRDefault="00F631B1" w:rsidP="00DB1A87">
      <w:pPr>
        <w:spacing w:after="120" w:line="240" w:lineRule="auto"/>
        <w:rPr>
          <w:rFonts w:ascii="Cambria" w:hAnsi="Cambria"/>
        </w:rPr>
      </w:pPr>
      <w:r w:rsidRPr="009A0DA6">
        <w:rPr>
          <w:rFonts w:ascii="Cambria" w:hAnsi="Cambria"/>
        </w:rPr>
        <w:t xml:space="preserve">From March 2015, Pastor Paul Kerber has led this ministry with objectives to “indigenise” the ministry in the context of the LCA so that Biblical Reconciliation is embedded in the life and service of God’s people. </w:t>
      </w:r>
    </w:p>
    <w:p w14:paraId="33A5D578" w14:textId="77777777" w:rsidR="00F631B1" w:rsidRPr="009A0DA6" w:rsidRDefault="00F631B1" w:rsidP="00DB1A87">
      <w:pPr>
        <w:spacing w:after="120" w:line="240" w:lineRule="auto"/>
        <w:rPr>
          <w:rFonts w:ascii="Cambria" w:hAnsi="Cambria"/>
        </w:rPr>
      </w:pPr>
      <w:r w:rsidRPr="009A0DA6">
        <w:rPr>
          <w:rFonts w:ascii="Cambria" w:hAnsi="Cambria"/>
        </w:rPr>
        <w:t>Over this past synodical term new processes have been developed with a synodical approach, referred to as “Church serving Church.” Pastor Kerber will continue working closely with the Bishops. A primary objective continues to be to build the capacity of this ministry as the call for it grows in the LCA. We seek to recognize lay people and pastors to be trained in Biblical Reconciliation skills. These people will be equipped to serve in their home District and we envisage also for service to the wider LCA from time to time. Planned training events and specific Biblical Reconciliation material will carry this objective forward with the cooperation of Districts.</w:t>
      </w:r>
    </w:p>
    <w:p w14:paraId="7BFB2F89" w14:textId="3263AD54" w:rsidR="00F631B1" w:rsidRPr="00DB1A87" w:rsidRDefault="00F631B1" w:rsidP="00DB1A87">
      <w:pPr>
        <w:pStyle w:val="ListParagraph"/>
        <w:spacing w:after="120" w:line="240" w:lineRule="auto"/>
        <w:ind w:left="0"/>
        <w:contextualSpacing w:val="0"/>
        <w:rPr>
          <w:rFonts w:ascii="Cambria" w:hAnsi="Cambria"/>
          <w:sz w:val="6"/>
        </w:rPr>
      </w:pPr>
      <w:r w:rsidRPr="009A0DA6">
        <w:rPr>
          <w:rFonts w:ascii="Cambria" w:hAnsi="Cambria"/>
        </w:rPr>
        <w:t>We believe that it is necessary now to seek a second Reconciliation Ministry practitioner to work with Pastor Kerber and part time Support Officer, Kimberley Pfeiffer. This will allow focus on both the “upstream” training and capacity building for local ministry and the “downstream” working through conflict in a Biblical and God-pleasing way. At the time of writing the foundation work to seek approval for a second practitioner position continues.</w:t>
      </w:r>
      <w:r w:rsidR="00DB1A87">
        <w:rPr>
          <w:rFonts w:ascii="Cambria" w:hAnsi="Cambria"/>
        </w:rPr>
        <w:br/>
      </w:r>
    </w:p>
    <w:p w14:paraId="57840DD4" w14:textId="77777777" w:rsidR="00B908E2" w:rsidRDefault="00B908E2" w:rsidP="00F631B1">
      <w:pPr>
        <w:pStyle w:val="Heading3"/>
      </w:pPr>
    </w:p>
    <w:p w14:paraId="6E5B9DE4" w14:textId="00ABBD26" w:rsidR="00F631B1" w:rsidRPr="009A0DA6" w:rsidRDefault="00F631B1" w:rsidP="00F631B1">
      <w:pPr>
        <w:pStyle w:val="Heading3"/>
      </w:pPr>
      <w:r w:rsidRPr="009A0DA6">
        <w:t>Achievement against Plan</w:t>
      </w:r>
    </w:p>
    <w:p w14:paraId="4BC52F3C" w14:textId="77777777" w:rsidR="00F631B1" w:rsidRPr="009A0DA6" w:rsidRDefault="00F631B1" w:rsidP="00DB1A87">
      <w:pPr>
        <w:pStyle w:val="ListParagraph"/>
        <w:numPr>
          <w:ilvl w:val="1"/>
          <w:numId w:val="309"/>
        </w:numPr>
        <w:spacing w:after="0" w:line="240" w:lineRule="auto"/>
        <w:ind w:left="567" w:hanging="567"/>
        <w:rPr>
          <w:rFonts w:ascii="Cambria" w:hAnsi="Cambria"/>
        </w:rPr>
      </w:pPr>
      <w:r w:rsidRPr="009A0DA6">
        <w:rPr>
          <w:rFonts w:ascii="Cambria" w:hAnsi="Cambria"/>
        </w:rPr>
        <w:t>Specific Biblical Reconciliation workshop for LCA Bishops</w:t>
      </w:r>
    </w:p>
    <w:p w14:paraId="66B1F0EE" w14:textId="77777777" w:rsidR="00F631B1" w:rsidRPr="009A0DA6" w:rsidRDefault="00F631B1" w:rsidP="00DB1A87">
      <w:pPr>
        <w:pStyle w:val="ListParagraph"/>
        <w:numPr>
          <w:ilvl w:val="1"/>
          <w:numId w:val="309"/>
        </w:numPr>
        <w:spacing w:after="0" w:line="240" w:lineRule="auto"/>
        <w:ind w:left="567" w:hanging="567"/>
        <w:rPr>
          <w:rFonts w:ascii="Cambria" w:hAnsi="Cambria"/>
        </w:rPr>
      </w:pPr>
      <w:r w:rsidRPr="009A0DA6">
        <w:rPr>
          <w:rFonts w:ascii="Cambria" w:hAnsi="Cambria"/>
        </w:rPr>
        <w:t>Orientation for newly elected bishops</w:t>
      </w:r>
    </w:p>
    <w:p w14:paraId="5374B606" w14:textId="77777777" w:rsidR="00F631B1" w:rsidRPr="009A0DA6" w:rsidRDefault="00F631B1" w:rsidP="00DB1A87">
      <w:pPr>
        <w:pStyle w:val="ListParagraph"/>
        <w:numPr>
          <w:ilvl w:val="1"/>
          <w:numId w:val="309"/>
        </w:numPr>
        <w:spacing w:after="0" w:line="240" w:lineRule="auto"/>
        <w:ind w:left="567" w:hanging="567"/>
        <w:rPr>
          <w:rFonts w:ascii="Cambria" w:hAnsi="Cambria"/>
        </w:rPr>
      </w:pPr>
      <w:r w:rsidRPr="009A0DA6">
        <w:rPr>
          <w:rFonts w:ascii="Cambria" w:hAnsi="Cambria"/>
        </w:rPr>
        <w:t xml:space="preserve">Ongoing development for seven advanced practitioners in teaching, coaching, mediation, Congregational Reconciliation Assistance and Interim Ministry </w:t>
      </w:r>
    </w:p>
    <w:p w14:paraId="3F77DCAC" w14:textId="77777777" w:rsidR="00F631B1" w:rsidRPr="009A0DA6" w:rsidRDefault="00F631B1" w:rsidP="00DB1A87">
      <w:pPr>
        <w:pStyle w:val="ListParagraph"/>
        <w:numPr>
          <w:ilvl w:val="1"/>
          <w:numId w:val="309"/>
        </w:numPr>
        <w:spacing w:after="0" w:line="240" w:lineRule="auto"/>
        <w:ind w:left="567" w:hanging="567"/>
        <w:rPr>
          <w:rFonts w:ascii="Cambria" w:hAnsi="Cambria"/>
        </w:rPr>
      </w:pPr>
      <w:r w:rsidRPr="009A0DA6">
        <w:rPr>
          <w:rFonts w:ascii="Cambria" w:hAnsi="Cambria"/>
        </w:rPr>
        <w:t>Biblical Reconciliation Workshops for congregations, ALC, LCA lay workers and laypeople</w:t>
      </w:r>
    </w:p>
    <w:p w14:paraId="745979D0" w14:textId="77777777" w:rsidR="00F631B1" w:rsidRPr="009A0DA6" w:rsidRDefault="00F631B1" w:rsidP="00DB1A87">
      <w:pPr>
        <w:pStyle w:val="ListParagraph"/>
        <w:numPr>
          <w:ilvl w:val="1"/>
          <w:numId w:val="309"/>
        </w:numPr>
        <w:spacing w:after="0" w:line="240" w:lineRule="auto"/>
        <w:ind w:left="567" w:hanging="567"/>
        <w:rPr>
          <w:rFonts w:ascii="Cambria" w:hAnsi="Cambria"/>
        </w:rPr>
      </w:pPr>
      <w:r w:rsidRPr="009A0DA6">
        <w:rPr>
          <w:rFonts w:ascii="Cambria" w:hAnsi="Cambria"/>
        </w:rPr>
        <w:t>First LCA congregation completes two-year journey to embed Biblical Reconciliation</w:t>
      </w:r>
    </w:p>
    <w:p w14:paraId="27A31DC5" w14:textId="77777777" w:rsidR="00F631B1" w:rsidRPr="009A0DA6" w:rsidRDefault="00F631B1" w:rsidP="00DB1A87">
      <w:pPr>
        <w:pStyle w:val="ListParagraph"/>
        <w:numPr>
          <w:ilvl w:val="1"/>
          <w:numId w:val="309"/>
        </w:numPr>
        <w:spacing w:after="0" w:line="240" w:lineRule="auto"/>
        <w:ind w:left="567" w:hanging="567"/>
        <w:rPr>
          <w:rFonts w:ascii="Cambria" w:hAnsi="Cambria"/>
        </w:rPr>
      </w:pPr>
      <w:r w:rsidRPr="009A0DA6">
        <w:rPr>
          <w:rFonts w:ascii="Cambria" w:hAnsi="Cambria"/>
        </w:rPr>
        <w:t>Intentional Interim Reconciliation Ministry completed at Parkwood, WA</w:t>
      </w:r>
    </w:p>
    <w:p w14:paraId="37B9D620" w14:textId="77777777" w:rsidR="00F631B1" w:rsidRPr="009A0DA6" w:rsidRDefault="00F631B1" w:rsidP="00DB1A87">
      <w:pPr>
        <w:pStyle w:val="ListParagraph"/>
        <w:numPr>
          <w:ilvl w:val="1"/>
          <w:numId w:val="309"/>
        </w:numPr>
        <w:spacing w:after="0" w:line="240" w:lineRule="auto"/>
        <w:ind w:left="567" w:hanging="567"/>
        <w:rPr>
          <w:rFonts w:ascii="Cambria" w:hAnsi="Cambria"/>
        </w:rPr>
      </w:pPr>
      <w:r w:rsidRPr="009A0DA6">
        <w:rPr>
          <w:rFonts w:ascii="Cambria" w:hAnsi="Cambria"/>
        </w:rPr>
        <w:t>Extensive collaborative work on complaints handling procedure with Professional Standards Manager</w:t>
      </w:r>
    </w:p>
    <w:p w14:paraId="6F584F02" w14:textId="77777777" w:rsidR="00F631B1" w:rsidRPr="009A0DA6" w:rsidRDefault="00F631B1" w:rsidP="00DB1A87">
      <w:pPr>
        <w:pStyle w:val="ListParagraph"/>
        <w:numPr>
          <w:ilvl w:val="1"/>
          <w:numId w:val="309"/>
        </w:numPr>
        <w:spacing w:after="0" w:line="240" w:lineRule="auto"/>
        <w:ind w:left="567" w:hanging="567"/>
        <w:rPr>
          <w:rFonts w:ascii="Cambria" w:hAnsi="Cambria"/>
        </w:rPr>
      </w:pPr>
      <w:r w:rsidRPr="009A0DA6">
        <w:rPr>
          <w:rFonts w:ascii="Cambria" w:hAnsi="Cambria"/>
        </w:rPr>
        <w:t>Provided extensive coaching service</w:t>
      </w:r>
    </w:p>
    <w:p w14:paraId="29DBE136" w14:textId="223D2721" w:rsidR="00F631B1" w:rsidRPr="009A0DA6" w:rsidRDefault="00F631B1" w:rsidP="00DB1A87">
      <w:pPr>
        <w:pStyle w:val="ListParagraph"/>
        <w:numPr>
          <w:ilvl w:val="1"/>
          <w:numId w:val="309"/>
        </w:numPr>
        <w:spacing w:after="0" w:line="240" w:lineRule="auto"/>
        <w:ind w:left="567" w:hanging="567"/>
        <w:rPr>
          <w:rFonts w:ascii="Cambria" w:hAnsi="Cambria"/>
        </w:rPr>
      </w:pPr>
      <w:r w:rsidRPr="009A0DA6">
        <w:rPr>
          <w:rFonts w:ascii="Cambria" w:hAnsi="Cambria"/>
        </w:rPr>
        <w:t>Provided mediation service</w:t>
      </w:r>
      <w:r w:rsidR="009C3A51">
        <w:rPr>
          <w:rFonts w:ascii="Cambria" w:hAnsi="Cambria"/>
        </w:rPr>
        <w:br/>
      </w:r>
    </w:p>
    <w:p w14:paraId="735B943A" w14:textId="77777777" w:rsidR="00F631B1" w:rsidRPr="009A0DA6" w:rsidRDefault="00F631B1" w:rsidP="00F631B1">
      <w:pPr>
        <w:pStyle w:val="Heading3"/>
      </w:pPr>
      <w:r w:rsidRPr="009A0DA6">
        <w:t>Successes</w:t>
      </w:r>
    </w:p>
    <w:p w14:paraId="1B527D71" w14:textId="77777777" w:rsidR="00F631B1" w:rsidRPr="009A0DA6" w:rsidRDefault="00F631B1" w:rsidP="009C3A51">
      <w:pPr>
        <w:pStyle w:val="ListParagraph"/>
        <w:numPr>
          <w:ilvl w:val="0"/>
          <w:numId w:val="310"/>
        </w:numPr>
        <w:tabs>
          <w:tab w:val="left" w:pos="567"/>
        </w:tabs>
        <w:spacing w:after="0" w:line="240" w:lineRule="auto"/>
        <w:ind w:left="567" w:hanging="567"/>
        <w:rPr>
          <w:rFonts w:ascii="Cambria" w:hAnsi="Cambria"/>
        </w:rPr>
      </w:pPr>
      <w:r w:rsidRPr="009A0DA6">
        <w:rPr>
          <w:rFonts w:ascii="Cambria" w:hAnsi="Cambria"/>
        </w:rPr>
        <w:t xml:space="preserve">Growth in requests for Reconciliation Ministry to assist in working through conflict in the church.  </w:t>
      </w:r>
    </w:p>
    <w:p w14:paraId="46A32201" w14:textId="77777777" w:rsidR="00F631B1" w:rsidRPr="009A0DA6" w:rsidRDefault="00F631B1" w:rsidP="009C3A51">
      <w:pPr>
        <w:pStyle w:val="ListParagraph"/>
        <w:numPr>
          <w:ilvl w:val="0"/>
          <w:numId w:val="315"/>
        </w:numPr>
        <w:tabs>
          <w:tab w:val="left" w:pos="1134"/>
        </w:tabs>
        <w:spacing w:after="0" w:line="240" w:lineRule="auto"/>
        <w:ind w:left="1134" w:hanging="567"/>
        <w:rPr>
          <w:rFonts w:ascii="Cambria" w:hAnsi="Cambria"/>
        </w:rPr>
      </w:pPr>
      <w:r w:rsidRPr="009A0DA6">
        <w:rPr>
          <w:rFonts w:ascii="Cambria" w:hAnsi="Cambria"/>
        </w:rPr>
        <w:t>The number of requests has grown substantially from a variety of sources: College of Bishops, District Bishops, pastors and laypeople.</w:t>
      </w:r>
    </w:p>
    <w:p w14:paraId="7B5C64EA" w14:textId="77777777" w:rsidR="00F631B1" w:rsidRPr="009A0DA6" w:rsidRDefault="00F631B1" w:rsidP="009C3A51">
      <w:pPr>
        <w:pStyle w:val="ListParagraph"/>
        <w:numPr>
          <w:ilvl w:val="0"/>
          <w:numId w:val="315"/>
        </w:numPr>
        <w:tabs>
          <w:tab w:val="left" w:pos="1134"/>
        </w:tabs>
        <w:spacing w:after="0" w:line="240" w:lineRule="auto"/>
        <w:ind w:left="1134" w:hanging="567"/>
        <w:rPr>
          <w:rFonts w:ascii="Cambria" w:hAnsi="Cambria"/>
        </w:rPr>
      </w:pPr>
      <w:r w:rsidRPr="009A0DA6">
        <w:rPr>
          <w:rFonts w:ascii="Cambria" w:hAnsi="Cambria"/>
        </w:rPr>
        <w:t>Mediation process has improved from new learning gained through experience.</w:t>
      </w:r>
    </w:p>
    <w:p w14:paraId="22985C12" w14:textId="77777777" w:rsidR="00F631B1" w:rsidRPr="009A0DA6" w:rsidRDefault="00F631B1" w:rsidP="009C3A51">
      <w:pPr>
        <w:pStyle w:val="ListParagraph"/>
        <w:numPr>
          <w:ilvl w:val="0"/>
          <w:numId w:val="311"/>
        </w:numPr>
        <w:tabs>
          <w:tab w:val="left" w:pos="567"/>
        </w:tabs>
        <w:spacing w:after="0" w:line="240" w:lineRule="auto"/>
        <w:ind w:left="567" w:hanging="567"/>
        <w:rPr>
          <w:rFonts w:ascii="Cambria" w:hAnsi="Cambria"/>
        </w:rPr>
      </w:pPr>
      <w:r w:rsidRPr="009A0DA6">
        <w:rPr>
          <w:rFonts w:ascii="Cambria" w:hAnsi="Cambria"/>
        </w:rPr>
        <w:t>Redeemer Toowoomba congregation completes a “Two Year Journey” embedding Biblical Reconciliation as a lifestyle. The congregation and pastor continue training and developing the ministry for further service in the congregation and wider community.</w:t>
      </w:r>
    </w:p>
    <w:p w14:paraId="4A10EA24" w14:textId="77777777" w:rsidR="00F631B1" w:rsidRPr="009A0DA6" w:rsidRDefault="00F631B1" w:rsidP="009C3A51">
      <w:pPr>
        <w:pStyle w:val="ListParagraph"/>
        <w:numPr>
          <w:ilvl w:val="0"/>
          <w:numId w:val="311"/>
        </w:numPr>
        <w:tabs>
          <w:tab w:val="left" w:pos="567"/>
        </w:tabs>
        <w:spacing w:after="0" w:line="240" w:lineRule="auto"/>
        <w:ind w:left="567" w:hanging="567"/>
        <w:rPr>
          <w:rFonts w:ascii="Cambria" w:hAnsi="Cambria"/>
        </w:rPr>
      </w:pPr>
      <w:r w:rsidRPr="009A0DA6">
        <w:rPr>
          <w:rFonts w:ascii="Cambria" w:hAnsi="Cambria"/>
        </w:rPr>
        <w:t>More congregations requesting a “Two Year Journey” to embed Biblical Reconciliation and demand now exceeds our capacity to meet the need.</w:t>
      </w:r>
    </w:p>
    <w:p w14:paraId="05F34B7C" w14:textId="77777777" w:rsidR="00F631B1" w:rsidRPr="009A0DA6" w:rsidRDefault="00F631B1" w:rsidP="009C3A51">
      <w:pPr>
        <w:pStyle w:val="ListParagraph"/>
        <w:numPr>
          <w:ilvl w:val="0"/>
          <w:numId w:val="311"/>
        </w:numPr>
        <w:tabs>
          <w:tab w:val="left" w:pos="567"/>
        </w:tabs>
        <w:spacing w:after="0" w:line="240" w:lineRule="auto"/>
        <w:ind w:left="567" w:hanging="567"/>
        <w:rPr>
          <w:rFonts w:ascii="Cambria" w:hAnsi="Cambria"/>
        </w:rPr>
      </w:pPr>
      <w:r w:rsidRPr="009A0DA6">
        <w:rPr>
          <w:rFonts w:ascii="Cambria" w:hAnsi="Cambria"/>
        </w:rPr>
        <w:t xml:space="preserve">Interim Reconciliation Ministry at Parkwood WA completed by Pastor Mike Fulwood, described by members as “God’s gift from the LCA,” giving renewed hope and building up the whole church family.    </w:t>
      </w:r>
    </w:p>
    <w:p w14:paraId="61A396CE" w14:textId="77777777" w:rsidR="00F631B1" w:rsidRPr="009A0DA6" w:rsidRDefault="00F631B1" w:rsidP="009C3A51">
      <w:pPr>
        <w:pStyle w:val="ListParagraph"/>
        <w:numPr>
          <w:ilvl w:val="0"/>
          <w:numId w:val="311"/>
        </w:numPr>
        <w:tabs>
          <w:tab w:val="left" w:pos="567"/>
        </w:tabs>
        <w:spacing w:after="0" w:line="240" w:lineRule="auto"/>
        <w:ind w:left="567" w:hanging="567"/>
        <w:rPr>
          <w:rFonts w:ascii="Cambria" w:hAnsi="Cambria"/>
        </w:rPr>
      </w:pPr>
      <w:r w:rsidRPr="009A0DA6">
        <w:rPr>
          <w:rFonts w:ascii="Cambria" w:hAnsi="Cambria"/>
        </w:rPr>
        <w:t>Indigenise process and conduct LCA’s inaugural Congregation Reconciliation Assistance in the LCA, resulting in positive cultural change for laypeople, the congregation and leadership.</w:t>
      </w:r>
    </w:p>
    <w:p w14:paraId="5BDD56F8" w14:textId="77777777" w:rsidR="00F631B1" w:rsidRPr="009A0DA6" w:rsidRDefault="00F631B1" w:rsidP="009C3A51">
      <w:pPr>
        <w:pStyle w:val="ListParagraph"/>
        <w:numPr>
          <w:ilvl w:val="0"/>
          <w:numId w:val="311"/>
        </w:numPr>
        <w:tabs>
          <w:tab w:val="left" w:pos="567"/>
        </w:tabs>
        <w:spacing w:after="0" w:line="240" w:lineRule="auto"/>
        <w:ind w:left="567" w:hanging="567"/>
        <w:rPr>
          <w:rFonts w:ascii="Cambria" w:hAnsi="Cambria"/>
        </w:rPr>
      </w:pPr>
      <w:r w:rsidRPr="009A0DA6">
        <w:rPr>
          <w:rFonts w:ascii="Cambria" w:hAnsi="Cambria"/>
        </w:rPr>
        <w:t xml:space="preserve">Work with LCA International Mission partner churches. In particular, three weeks teaching in Indonesia.  </w:t>
      </w:r>
    </w:p>
    <w:p w14:paraId="555E44C7" w14:textId="77777777" w:rsidR="00F631B1" w:rsidRPr="009A0DA6" w:rsidRDefault="00F631B1" w:rsidP="009C3A51">
      <w:pPr>
        <w:pStyle w:val="ListParagraph"/>
        <w:numPr>
          <w:ilvl w:val="0"/>
          <w:numId w:val="311"/>
        </w:numPr>
        <w:tabs>
          <w:tab w:val="left" w:pos="567"/>
        </w:tabs>
        <w:spacing w:after="0" w:line="240" w:lineRule="auto"/>
        <w:ind w:left="567" w:hanging="567"/>
        <w:rPr>
          <w:rFonts w:ascii="Cambria" w:hAnsi="Cambria"/>
        </w:rPr>
      </w:pPr>
      <w:r w:rsidRPr="009A0DA6">
        <w:rPr>
          <w:rFonts w:ascii="Cambria" w:hAnsi="Cambria"/>
        </w:rPr>
        <w:t>Inaugural Reconciliation Ministry Short Term Scholarships conducted in partnership with LCA International Mission and granted to Rev Dr Jon Sipayung, Rev Rio Nababan (Indonesia) and Rev Shigeo Sueoka (KINKI ELC, Japan).</w:t>
      </w:r>
    </w:p>
    <w:p w14:paraId="1C817A96" w14:textId="76AC1848" w:rsidR="00F631B1" w:rsidRPr="00DB1A87" w:rsidRDefault="00F631B1" w:rsidP="009C3A51">
      <w:pPr>
        <w:pStyle w:val="ListParagraph"/>
        <w:numPr>
          <w:ilvl w:val="0"/>
          <w:numId w:val="311"/>
        </w:numPr>
        <w:tabs>
          <w:tab w:val="left" w:pos="567"/>
        </w:tabs>
        <w:spacing w:after="0" w:line="240" w:lineRule="auto"/>
        <w:ind w:left="567" w:hanging="567"/>
        <w:rPr>
          <w:rFonts w:ascii="Cambria" w:hAnsi="Cambria"/>
          <w:sz w:val="14"/>
        </w:rPr>
      </w:pPr>
      <w:r w:rsidRPr="009A0DA6">
        <w:rPr>
          <w:rFonts w:ascii="Cambria" w:hAnsi="Cambria"/>
        </w:rPr>
        <w:t xml:space="preserve">Work collaboratively to produce new Biblical Reconciliation material specific to Africans and Lutheran Youth of Victoria. </w:t>
      </w:r>
      <w:r w:rsidR="009C3A51">
        <w:rPr>
          <w:rFonts w:ascii="Cambria" w:hAnsi="Cambria"/>
        </w:rPr>
        <w:br/>
      </w:r>
    </w:p>
    <w:p w14:paraId="2E487C5F" w14:textId="77777777" w:rsidR="00F631B1" w:rsidRPr="009A0DA6" w:rsidRDefault="00F631B1" w:rsidP="00F631B1">
      <w:pPr>
        <w:pStyle w:val="Heading3"/>
      </w:pPr>
      <w:r w:rsidRPr="009A0DA6">
        <w:t>Challenges and Lessons Learned</w:t>
      </w:r>
    </w:p>
    <w:p w14:paraId="2DD824FA" w14:textId="77777777" w:rsidR="00F631B1" w:rsidRPr="009A0DA6" w:rsidRDefault="00F631B1" w:rsidP="009C3A51">
      <w:pPr>
        <w:pStyle w:val="ListParagraph"/>
        <w:numPr>
          <w:ilvl w:val="0"/>
          <w:numId w:val="312"/>
        </w:numPr>
        <w:spacing w:after="0" w:line="240" w:lineRule="auto"/>
        <w:ind w:left="567" w:hanging="567"/>
        <w:rPr>
          <w:rFonts w:ascii="Cambria" w:hAnsi="Cambria"/>
        </w:rPr>
      </w:pPr>
      <w:r w:rsidRPr="009A0DA6">
        <w:rPr>
          <w:rFonts w:ascii="Cambria" w:hAnsi="Cambria"/>
        </w:rPr>
        <w:t>Building capacity whilst managing a full workload</w:t>
      </w:r>
    </w:p>
    <w:p w14:paraId="580F43D7" w14:textId="50C9EB47" w:rsidR="00F631B1" w:rsidRDefault="00F631B1" w:rsidP="009C3A51">
      <w:pPr>
        <w:pStyle w:val="ListParagraph"/>
        <w:numPr>
          <w:ilvl w:val="0"/>
          <w:numId w:val="312"/>
        </w:numPr>
        <w:spacing w:after="0" w:line="240" w:lineRule="auto"/>
        <w:ind w:left="567" w:hanging="567"/>
        <w:rPr>
          <w:rFonts w:ascii="Cambria" w:hAnsi="Cambria"/>
        </w:rPr>
      </w:pPr>
      <w:r w:rsidRPr="009A0DA6">
        <w:rPr>
          <w:rFonts w:ascii="Cambria" w:hAnsi="Cambria"/>
        </w:rPr>
        <w:t>More practitioner support required</w:t>
      </w:r>
    </w:p>
    <w:p w14:paraId="1A9A3145" w14:textId="400515C2" w:rsidR="00B908E2" w:rsidRDefault="00B908E2" w:rsidP="00B908E2">
      <w:pPr>
        <w:spacing w:after="0" w:line="240" w:lineRule="auto"/>
        <w:rPr>
          <w:rFonts w:ascii="Cambria" w:hAnsi="Cambria"/>
        </w:rPr>
      </w:pPr>
    </w:p>
    <w:p w14:paraId="1E2084A0" w14:textId="4D9801D9" w:rsidR="00CF1FE7" w:rsidRDefault="00CF1FE7" w:rsidP="00B908E2">
      <w:pPr>
        <w:spacing w:after="0" w:line="240" w:lineRule="auto"/>
        <w:rPr>
          <w:rFonts w:ascii="Cambria" w:hAnsi="Cambria"/>
        </w:rPr>
      </w:pPr>
    </w:p>
    <w:p w14:paraId="5B8BB4C7" w14:textId="59DD734E" w:rsidR="00CF1FE7" w:rsidRDefault="00CF1FE7" w:rsidP="00B908E2">
      <w:pPr>
        <w:spacing w:after="0" w:line="240" w:lineRule="auto"/>
        <w:rPr>
          <w:rFonts w:ascii="Cambria" w:hAnsi="Cambria"/>
        </w:rPr>
      </w:pPr>
    </w:p>
    <w:p w14:paraId="1F9D542D" w14:textId="495B71F0" w:rsidR="00CF1FE7" w:rsidRDefault="00CF1FE7" w:rsidP="00B908E2">
      <w:pPr>
        <w:spacing w:after="0" w:line="240" w:lineRule="auto"/>
        <w:rPr>
          <w:rFonts w:ascii="Cambria" w:hAnsi="Cambria"/>
        </w:rPr>
      </w:pPr>
    </w:p>
    <w:p w14:paraId="542EEBE3" w14:textId="52675864" w:rsidR="00CF1FE7" w:rsidRDefault="00CF1FE7" w:rsidP="00B908E2">
      <w:pPr>
        <w:spacing w:after="0" w:line="240" w:lineRule="auto"/>
        <w:rPr>
          <w:rFonts w:ascii="Cambria" w:hAnsi="Cambria"/>
        </w:rPr>
      </w:pPr>
    </w:p>
    <w:p w14:paraId="61B6CB78" w14:textId="77777777" w:rsidR="00CF1FE7" w:rsidRPr="00B908E2" w:rsidRDefault="00CF1FE7" w:rsidP="00B908E2">
      <w:pPr>
        <w:spacing w:after="0" w:line="240" w:lineRule="auto"/>
        <w:rPr>
          <w:rFonts w:ascii="Cambria" w:hAnsi="Cambria"/>
        </w:rPr>
      </w:pPr>
    </w:p>
    <w:p w14:paraId="11D92E75" w14:textId="1565C5D5" w:rsidR="00F631B1" w:rsidRPr="009A0DA6" w:rsidRDefault="00DB1A87" w:rsidP="00DB1A87">
      <w:pPr>
        <w:pStyle w:val="Heading3"/>
        <w:spacing w:after="0"/>
      </w:pPr>
      <w:r w:rsidRPr="00DB1A87">
        <w:rPr>
          <w:sz w:val="18"/>
        </w:rPr>
        <w:lastRenderedPageBreak/>
        <w:br/>
      </w:r>
      <w:r w:rsidR="00F631B1" w:rsidRPr="009A0DA6">
        <w:t>Risks</w:t>
      </w:r>
    </w:p>
    <w:tbl>
      <w:tblPr>
        <w:tblStyle w:val="PlainTable2"/>
        <w:tblW w:w="9072" w:type="dxa"/>
        <w:tblLook w:val="04A0" w:firstRow="1" w:lastRow="0" w:firstColumn="1" w:lastColumn="0" w:noHBand="0" w:noVBand="1"/>
      </w:tblPr>
      <w:tblGrid>
        <w:gridCol w:w="3232"/>
        <w:gridCol w:w="2864"/>
        <w:gridCol w:w="2976"/>
      </w:tblGrid>
      <w:tr w:rsidR="00F631B1" w:rsidRPr="009A0DA6" w14:paraId="29696919" w14:textId="77777777" w:rsidTr="00180211">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3232" w:type="dxa"/>
            <w:vAlign w:val="center"/>
          </w:tcPr>
          <w:p w14:paraId="53D80217" w14:textId="77777777" w:rsidR="00F631B1" w:rsidRPr="009A0DA6" w:rsidRDefault="00F631B1" w:rsidP="007817B7">
            <w:pPr>
              <w:rPr>
                <w:rFonts w:ascii="Cambria" w:hAnsi="Cambria" w:cs="Arial"/>
                <w:b w:val="0"/>
              </w:rPr>
            </w:pPr>
            <w:r w:rsidRPr="009A0DA6">
              <w:rPr>
                <w:rFonts w:ascii="Cambria" w:hAnsi="Cambria" w:cs="Arial"/>
              </w:rPr>
              <w:t>Description of risk</w:t>
            </w:r>
          </w:p>
        </w:tc>
        <w:tc>
          <w:tcPr>
            <w:tcW w:w="2864" w:type="dxa"/>
            <w:vAlign w:val="center"/>
          </w:tcPr>
          <w:p w14:paraId="20D5000D" w14:textId="77777777" w:rsidR="00F631B1" w:rsidRPr="009A0DA6" w:rsidRDefault="00F631B1" w:rsidP="007817B7">
            <w:pPr>
              <w:cnfStyle w:val="100000000000" w:firstRow="1" w:lastRow="0" w:firstColumn="0" w:lastColumn="0" w:oddVBand="0" w:evenVBand="0" w:oddHBand="0" w:evenHBand="0" w:firstRowFirstColumn="0" w:firstRowLastColumn="0" w:lastRowFirstColumn="0" w:lastRowLastColumn="0"/>
              <w:rPr>
                <w:rFonts w:ascii="Cambria" w:hAnsi="Cambria" w:cs="Arial"/>
                <w:b w:val="0"/>
              </w:rPr>
            </w:pPr>
            <w:r w:rsidRPr="009A0DA6">
              <w:rPr>
                <w:rFonts w:ascii="Cambria" w:hAnsi="Cambria" w:cs="Arial"/>
              </w:rPr>
              <w:t>Likelihood of risk occurring and potential impact for the ministry and LCA</w:t>
            </w:r>
          </w:p>
        </w:tc>
        <w:tc>
          <w:tcPr>
            <w:tcW w:w="2976" w:type="dxa"/>
            <w:vAlign w:val="center"/>
          </w:tcPr>
          <w:p w14:paraId="266FC871" w14:textId="77777777" w:rsidR="00F631B1" w:rsidRPr="009A0DA6" w:rsidRDefault="00F631B1" w:rsidP="007817B7">
            <w:pPr>
              <w:cnfStyle w:val="100000000000" w:firstRow="1" w:lastRow="0" w:firstColumn="0" w:lastColumn="0" w:oddVBand="0" w:evenVBand="0" w:oddHBand="0" w:evenHBand="0" w:firstRowFirstColumn="0" w:firstRowLastColumn="0" w:lastRowFirstColumn="0" w:lastRowLastColumn="0"/>
              <w:rPr>
                <w:rFonts w:ascii="Cambria" w:hAnsi="Cambria" w:cs="Arial"/>
                <w:b w:val="0"/>
              </w:rPr>
            </w:pPr>
            <w:r w:rsidRPr="009A0DA6">
              <w:rPr>
                <w:rFonts w:ascii="Cambria" w:hAnsi="Cambria" w:cs="Arial"/>
              </w:rPr>
              <w:t>Summary of action to mitigate the risk</w:t>
            </w:r>
          </w:p>
        </w:tc>
      </w:tr>
      <w:tr w:rsidR="00F631B1" w:rsidRPr="009A0DA6" w14:paraId="18FDB677" w14:textId="77777777" w:rsidTr="00180211">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3232" w:type="dxa"/>
          </w:tcPr>
          <w:p w14:paraId="4BF1B9F3" w14:textId="77777777" w:rsidR="00F631B1" w:rsidRPr="009A0DA6" w:rsidRDefault="00F631B1" w:rsidP="00180211">
            <w:pPr>
              <w:widowControl w:val="0"/>
              <w:suppressAutoHyphens/>
              <w:ind w:left="34"/>
              <w:rPr>
                <w:rFonts w:ascii="Cambria" w:hAnsi="Cambria" w:cs="Arial"/>
              </w:rPr>
            </w:pPr>
            <w:r w:rsidRPr="009A0DA6">
              <w:rPr>
                <w:rFonts w:ascii="Cambria" w:hAnsi="Cambria" w:cs="Arial"/>
              </w:rPr>
              <w:t>Operational and Reputational in delivering Reconciliation Ministry in a timely way in the LCA given the limited capacity</w:t>
            </w:r>
          </w:p>
        </w:tc>
        <w:tc>
          <w:tcPr>
            <w:tcW w:w="2864" w:type="dxa"/>
          </w:tcPr>
          <w:p w14:paraId="13777F43" w14:textId="77777777" w:rsidR="00F631B1" w:rsidRPr="009A0DA6" w:rsidRDefault="00F631B1" w:rsidP="00180211">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Both in the “upstream” area of training people in the LCA in Biblical Reconciliation and in the “downstream” of providing ministry support to individuals, congregations, and districts in dealing with complex matters of conflict.</w:t>
            </w:r>
          </w:p>
        </w:tc>
        <w:tc>
          <w:tcPr>
            <w:tcW w:w="2976" w:type="dxa"/>
          </w:tcPr>
          <w:p w14:paraId="6A59FAF7" w14:textId="77777777" w:rsidR="00F631B1" w:rsidRPr="009A0DA6" w:rsidRDefault="00F631B1" w:rsidP="00180211">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 xml:space="preserve">Seek a second Churchwide Reconciliation Ministry practitioner to assist the current Assistant to the Bishop – Reconciliation Ministry officer. </w:t>
            </w:r>
          </w:p>
        </w:tc>
      </w:tr>
    </w:tbl>
    <w:p w14:paraId="64C92A45" w14:textId="77777777" w:rsidR="00B908E2" w:rsidRDefault="00B908E2" w:rsidP="00F631B1">
      <w:pPr>
        <w:pStyle w:val="Heading3"/>
        <w:pBdr>
          <w:bottom w:val="single" w:sz="4" w:space="1" w:color="auto"/>
        </w:pBdr>
      </w:pPr>
    </w:p>
    <w:p w14:paraId="38DE3E73" w14:textId="28D093F7" w:rsidR="00F631B1" w:rsidRPr="009A0DA6" w:rsidRDefault="00F631B1" w:rsidP="00F631B1">
      <w:pPr>
        <w:pStyle w:val="Heading3"/>
        <w:pBdr>
          <w:bottom w:val="single" w:sz="4" w:space="1" w:color="auto"/>
        </w:pBdr>
      </w:pPr>
      <w:r w:rsidRPr="009A0DA6">
        <w:t>Interim Ministry</w:t>
      </w:r>
    </w:p>
    <w:p w14:paraId="410E8C1B" w14:textId="77777777" w:rsidR="00F631B1" w:rsidRPr="009A0DA6" w:rsidRDefault="00F631B1" w:rsidP="0069692D">
      <w:pPr>
        <w:pStyle w:val="ListParagraph"/>
        <w:spacing w:after="120"/>
        <w:ind w:left="0"/>
        <w:contextualSpacing w:val="0"/>
        <w:rPr>
          <w:rFonts w:ascii="Cambria" w:hAnsi="Cambria"/>
        </w:rPr>
      </w:pPr>
      <w:r w:rsidRPr="009A0DA6">
        <w:rPr>
          <w:rFonts w:ascii="Cambria" w:hAnsi="Cambria"/>
        </w:rPr>
        <w:t xml:space="preserve">There are a number of reasons that mainline churches including the LCA find themselves in a state of transition. Rapid changes in society around us, and the ageing/changing nature of many congregations are some of these reasons. Congregations can struggle to understand and negotiate the challenges brought by factors within and without.  Intentional/Transitional ministry pastors provide the skills, tools and resources to assist congregations in critical times of transition.  </w:t>
      </w:r>
    </w:p>
    <w:p w14:paraId="6621C8D7" w14:textId="77777777" w:rsidR="00F631B1" w:rsidRPr="009A0DA6" w:rsidRDefault="00F631B1" w:rsidP="0069692D">
      <w:pPr>
        <w:pStyle w:val="ListParagraph"/>
        <w:spacing w:after="120"/>
        <w:ind w:left="0"/>
        <w:contextualSpacing w:val="0"/>
        <w:rPr>
          <w:rFonts w:ascii="Cambria" w:hAnsi="Cambria"/>
        </w:rPr>
      </w:pPr>
      <w:r w:rsidRPr="009A0DA6">
        <w:rPr>
          <w:rFonts w:ascii="Cambria" w:hAnsi="Cambria"/>
        </w:rPr>
        <w:t>The initial position of LCA Interim Pastor was established in 2002 to help congregations transition from one pastorate to the next so that the congregation is healthy and ready for mission and ministry in the next pastorate. Pastor Rodney Beh was the first pastor called to serve as the LCA Interim Pastor and Pastor Rob Erickson succeeded him and continued in the role until his retirement in January 2017.</w:t>
      </w:r>
    </w:p>
    <w:p w14:paraId="3922C290" w14:textId="77777777" w:rsidR="00F631B1" w:rsidRPr="009A0DA6" w:rsidRDefault="00F631B1" w:rsidP="0069692D">
      <w:pPr>
        <w:pStyle w:val="ListParagraph"/>
        <w:spacing w:after="120"/>
        <w:ind w:left="0"/>
        <w:contextualSpacing w:val="0"/>
        <w:rPr>
          <w:rFonts w:ascii="Cambria" w:hAnsi="Cambria"/>
        </w:rPr>
      </w:pPr>
      <w:r w:rsidRPr="009A0DA6">
        <w:rPr>
          <w:rFonts w:ascii="Cambria" w:hAnsi="Cambria"/>
        </w:rPr>
        <w:t>A second Interim Pastor call was approved by the College of Bishops in late 2013. This second Interim Pastor role had a special focus on Reconciliation Ministry and the call was taken up by Pastor Mike Fulwood until he was elected as WA District Bishop and concluded his interim ministry call in April 2017.</w:t>
      </w:r>
    </w:p>
    <w:p w14:paraId="058EDBB8" w14:textId="77777777" w:rsidR="00F631B1" w:rsidRPr="009A0DA6" w:rsidRDefault="00F631B1" w:rsidP="0069692D">
      <w:pPr>
        <w:pStyle w:val="ListParagraph"/>
        <w:spacing w:after="120"/>
        <w:ind w:left="0"/>
        <w:contextualSpacing w:val="0"/>
        <w:rPr>
          <w:rFonts w:ascii="Cambria" w:hAnsi="Cambria"/>
        </w:rPr>
      </w:pPr>
      <w:r w:rsidRPr="009A0DA6">
        <w:rPr>
          <w:rFonts w:ascii="Cambria" w:hAnsi="Cambria"/>
        </w:rPr>
        <w:t>Since then, the two interim pastor calls have been vacant.</w:t>
      </w:r>
    </w:p>
    <w:p w14:paraId="548FC74F" w14:textId="77777777" w:rsidR="00F631B1" w:rsidRPr="009A0DA6" w:rsidRDefault="00F631B1" w:rsidP="0069692D">
      <w:pPr>
        <w:pStyle w:val="ListParagraph"/>
        <w:spacing w:after="120"/>
        <w:ind w:left="0"/>
        <w:contextualSpacing w:val="0"/>
        <w:rPr>
          <w:rFonts w:ascii="Cambria" w:hAnsi="Cambria"/>
        </w:rPr>
      </w:pPr>
      <w:r w:rsidRPr="009A0DA6">
        <w:rPr>
          <w:rFonts w:ascii="Cambria" w:hAnsi="Cambria"/>
        </w:rPr>
        <w:t>The LCA College of Bishops (CoB) under its delegated authority from the General Church Council has been undertaking a process to recommend a pastor to call in the general interim pastor role (previously undertaken by Pastor Rob Erickson). Thus far a call has not been issued due to a number of factors, most notably the difficulty to find a pastor who is prepared to undertake the transitory nature of full time interim ministry.</w:t>
      </w:r>
    </w:p>
    <w:p w14:paraId="2ADDF4A5" w14:textId="77777777" w:rsidR="00F631B1" w:rsidRPr="009A0DA6" w:rsidRDefault="00F631B1" w:rsidP="0069692D">
      <w:pPr>
        <w:spacing w:after="120"/>
        <w:rPr>
          <w:rFonts w:ascii="Cambria" w:hAnsi="Cambria"/>
        </w:rPr>
      </w:pPr>
      <w:r w:rsidRPr="009A0DA6">
        <w:rPr>
          <w:rFonts w:ascii="Cambria" w:hAnsi="Cambria"/>
        </w:rPr>
        <w:t>Pastor Erickson has served in the Call of LCA Interim Pastor since 2011. He had recently completed an Interim Assignment at Geelong Victoria and has also completed assignments at Kingaroy, Qld and Morley WA. Since Pastor Erickson’s retirement there has been one further interim ministry assignment which was carried out by a North American Lutheran pastor Richard Vonesh at Upper Moutere, New Zealand. At the time of writing the Secretary of the Church is also in discussion with another trained interim pastor from North America to serve in the LCA from late 2018.</w:t>
      </w:r>
    </w:p>
    <w:p w14:paraId="1FFF3AB4" w14:textId="77777777" w:rsidR="00F631B1" w:rsidRPr="009A0DA6" w:rsidRDefault="00F631B1" w:rsidP="0069692D">
      <w:pPr>
        <w:spacing w:after="120"/>
        <w:rPr>
          <w:rFonts w:ascii="Cambria" w:hAnsi="Cambria"/>
        </w:rPr>
      </w:pPr>
      <w:r w:rsidRPr="009A0DA6">
        <w:rPr>
          <w:rFonts w:ascii="Cambria" w:hAnsi="Cambria"/>
        </w:rPr>
        <w:t>Also, during the past synodical period, Pastor Mike Fulwood completed his role as Interim Pastor specialising in Reconciliation Ministry. Pastor Mike is now serving as Bishop in WA.  Pastor Mike completed an assignment at Parkwood in WA in this past term.</w:t>
      </w:r>
    </w:p>
    <w:p w14:paraId="345822A4" w14:textId="78690FF8" w:rsidR="00F631B1" w:rsidRPr="009A0DA6" w:rsidRDefault="00F631B1" w:rsidP="00B6261C">
      <w:pPr>
        <w:spacing w:after="120"/>
        <w:rPr>
          <w:rFonts w:ascii="Cambria" w:hAnsi="Cambria"/>
        </w:rPr>
      </w:pPr>
      <w:r w:rsidRPr="009A0DA6">
        <w:rPr>
          <w:rFonts w:ascii="Cambria" w:hAnsi="Cambria"/>
        </w:rPr>
        <w:lastRenderedPageBreak/>
        <w:t>At the time of writing, consideration is being given as to where the focus of resourcing Reconciliatio</w:t>
      </w:r>
      <w:r w:rsidR="00B6261C">
        <w:rPr>
          <w:rFonts w:ascii="Cambria" w:hAnsi="Cambria"/>
        </w:rPr>
        <w:t xml:space="preserve">n Ministry best serves the LCA. </w:t>
      </w:r>
      <w:r w:rsidRPr="009A0DA6">
        <w:rPr>
          <w:rFonts w:ascii="Cambria" w:hAnsi="Cambria"/>
        </w:rPr>
        <w:t>A number of other (retired or nearing retirement) pastors have been trained over the years in the basic skills of interim ministry and these pastors have been called upon from time to time for locum ministry.</w:t>
      </w:r>
    </w:p>
    <w:p w14:paraId="3435CA6A" w14:textId="77777777" w:rsidR="00F631B1" w:rsidRPr="009A0DA6" w:rsidRDefault="00F631B1" w:rsidP="0069692D">
      <w:pPr>
        <w:pStyle w:val="ListParagraph"/>
        <w:spacing w:after="120"/>
        <w:ind w:left="0"/>
        <w:contextualSpacing w:val="0"/>
        <w:rPr>
          <w:rFonts w:ascii="Cambria" w:hAnsi="Cambria"/>
        </w:rPr>
      </w:pPr>
      <w:r w:rsidRPr="009A0DA6">
        <w:rPr>
          <w:rFonts w:ascii="Cambria" w:hAnsi="Cambria"/>
        </w:rPr>
        <w:t>At the time of writing, consideration is being given to discontinuing the Interim pastor specialising in Reconciliation Ministry role to allow the creation of a new Reconciliation Ministry role to assist Pastor Paul Kerber.</w:t>
      </w:r>
    </w:p>
    <w:p w14:paraId="0EA32060" w14:textId="77777777" w:rsidR="00F631B1" w:rsidRPr="009A0DA6" w:rsidRDefault="00F631B1" w:rsidP="00F631B1">
      <w:pPr>
        <w:pStyle w:val="Heading3"/>
      </w:pPr>
      <w:r w:rsidRPr="009A0DA6">
        <w:t>Challenges and Lessons Learned</w:t>
      </w:r>
    </w:p>
    <w:p w14:paraId="231DAA84" w14:textId="77777777" w:rsidR="00F631B1" w:rsidRPr="009A0DA6" w:rsidRDefault="00F631B1" w:rsidP="0069692D">
      <w:pPr>
        <w:spacing w:after="120"/>
        <w:rPr>
          <w:rFonts w:ascii="Cambria" w:hAnsi="Cambria"/>
        </w:rPr>
      </w:pPr>
      <w:r w:rsidRPr="009A0DA6">
        <w:rPr>
          <w:rFonts w:ascii="Cambria" w:hAnsi="Cambria"/>
        </w:rPr>
        <w:t xml:space="preserve">The Interim Ministry Call is very transient in nature and not easy for spouses and families of the Interim Pastor.  It is a very specific Call as it is currently structured and is difficult to find pastors who are able to commit to a full-time call.  </w:t>
      </w:r>
    </w:p>
    <w:p w14:paraId="442340CD" w14:textId="77777777" w:rsidR="00F631B1" w:rsidRPr="009A0DA6" w:rsidRDefault="00F631B1" w:rsidP="00F631B1">
      <w:pPr>
        <w:pStyle w:val="Heading3"/>
      </w:pPr>
      <w:r w:rsidRPr="009A0DA6">
        <w:t>Risks</w:t>
      </w:r>
    </w:p>
    <w:tbl>
      <w:tblPr>
        <w:tblStyle w:val="PlainTable2"/>
        <w:tblW w:w="8647" w:type="dxa"/>
        <w:tblLook w:val="04A0" w:firstRow="1" w:lastRow="0" w:firstColumn="1" w:lastColumn="0" w:noHBand="0" w:noVBand="1"/>
      </w:tblPr>
      <w:tblGrid>
        <w:gridCol w:w="1560"/>
        <w:gridCol w:w="3543"/>
        <w:gridCol w:w="3544"/>
      </w:tblGrid>
      <w:tr w:rsidR="00F631B1" w:rsidRPr="009A0DA6" w14:paraId="4DD6931B" w14:textId="77777777" w:rsidTr="00180211">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1779D0D1" w14:textId="77777777" w:rsidR="00F631B1" w:rsidRPr="009A0DA6" w:rsidRDefault="00F631B1" w:rsidP="00CF1FE7">
            <w:pPr>
              <w:rPr>
                <w:rFonts w:ascii="Cambria" w:hAnsi="Cambria" w:cs="Arial"/>
                <w:b w:val="0"/>
              </w:rPr>
            </w:pPr>
            <w:r w:rsidRPr="009A0DA6">
              <w:rPr>
                <w:rFonts w:ascii="Cambria" w:hAnsi="Cambria" w:cs="Arial"/>
              </w:rPr>
              <w:t>Description of risk</w:t>
            </w:r>
          </w:p>
        </w:tc>
        <w:tc>
          <w:tcPr>
            <w:tcW w:w="3543" w:type="dxa"/>
            <w:vAlign w:val="center"/>
          </w:tcPr>
          <w:p w14:paraId="374C9B52" w14:textId="77777777" w:rsidR="00F631B1" w:rsidRPr="009A0DA6" w:rsidRDefault="00F631B1" w:rsidP="00CF1FE7">
            <w:pPr>
              <w:cnfStyle w:val="100000000000" w:firstRow="1" w:lastRow="0" w:firstColumn="0" w:lastColumn="0" w:oddVBand="0" w:evenVBand="0" w:oddHBand="0" w:evenHBand="0" w:firstRowFirstColumn="0" w:firstRowLastColumn="0" w:lastRowFirstColumn="0" w:lastRowLastColumn="0"/>
              <w:rPr>
                <w:rFonts w:ascii="Cambria" w:hAnsi="Cambria" w:cs="Arial"/>
                <w:b w:val="0"/>
              </w:rPr>
            </w:pPr>
            <w:r w:rsidRPr="009A0DA6">
              <w:rPr>
                <w:rFonts w:ascii="Cambria" w:hAnsi="Cambria" w:cs="Arial"/>
              </w:rPr>
              <w:t>Likelihood of risk occurring and potential impact for the ministry and LCA</w:t>
            </w:r>
          </w:p>
        </w:tc>
        <w:tc>
          <w:tcPr>
            <w:tcW w:w="3544" w:type="dxa"/>
            <w:vAlign w:val="center"/>
          </w:tcPr>
          <w:p w14:paraId="10EF77E0" w14:textId="77777777" w:rsidR="00F631B1" w:rsidRPr="009A0DA6" w:rsidRDefault="00F631B1" w:rsidP="00CF1FE7">
            <w:pPr>
              <w:cnfStyle w:val="100000000000" w:firstRow="1" w:lastRow="0" w:firstColumn="0" w:lastColumn="0" w:oddVBand="0" w:evenVBand="0" w:oddHBand="0" w:evenHBand="0" w:firstRowFirstColumn="0" w:firstRowLastColumn="0" w:lastRowFirstColumn="0" w:lastRowLastColumn="0"/>
              <w:rPr>
                <w:rFonts w:ascii="Cambria" w:hAnsi="Cambria" w:cs="Arial"/>
                <w:b w:val="0"/>
              </w:rPr>
            </w:pPr>
            <w:r w:rsidRPr="009A0DA6">
              <w:rPr>
                <w:rFonts w:ascii="Cambria" w:hAnsi="Cambria" w:cs="Arial"/>
              </w:rPr>
              <w:t>Summary of action to mitigate the risk</w:t>
            </w:r>
          </w:p>
        </w:tc>
      </w:tr>
      <w:tr w:rsidR="00F631B1" w:rsidRPr="009A0DA6" w14:paraId="61A994C7" w14:textId="77777777" w:rsidTr="00180211">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560" w:type="dxa"/>
          </w:tcPr>
          <w:p w14:paraId="3BD65EA2" w14:textId="77777777" w:rsidR="00F631B1" w:rsidRPr="009A0DA6" w:rsidRDefault="00F631B1" w:rsidP="00180211">
            <w:pPr>
              <w:widowControl w:val="0"/>
              <w:suppressAutoHyphens/>
              <w:ind w:left="34"/>
              <w:rPr>
                <w:rFonts w:ascii="Cambria" w:hAnsi="Cambria" w:cs="Arial"/>
              </w:rPr>
            </w:pPr>
            <w:r w:rsidRPr="009A0DA6">
              <w:rPr>
                <w:rFonts w:ascii="Cambria" w:hAnsi="Cambria" w:cs="Arial"/>
              </w:rPr>
              <w:t>Meeting the needs for transitional ministry while there is a vacancy</w:t>
            </w:r>
          </w:p>
        </w:tc>
        <w:tc>
          <w:tcPr>
            <w:tcW w:w="3543" w:type="dxa"/>
          </w:tcPr>
          <w:p w14:paraId="29F92EF1" w14:textId="77777777" w:rsidR="00F631B1" w:rsidRPr="009A0DA6" w:rsidRDefault="00F631B1" w:rsidP="00180211">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The full time Interim Ministry call is unique insofar as the Interim Pastor is required to change place of ministry regularly. Also it is not always possible to arrange a suitable interim pastor from overseas to serve an assignment in the LCA.</w:t>
            </w:r>
          </w:p>
        </w:tc>
        <w:tc>
          <w:tcPr>
            <w:tcW w:w="3544" w:type="dxa"/>
          </w:tcPr>
          <w:p w14:paraId="799B9B81" w14:textId="2361D79F" w:rsidR="00F631B1" w:rsidRPr="009A0DA6" w:rsidRDefault="00F631B1" w:rsidP="00180211">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 xml:space="preserve">The College of Bishops </w:t>
            </w:r>
            <w:r w:rsidR="00851A8E">
              <w:rPr>
                <w:rFonts w:ascii="Cambria" w:hAnsi="Cambria" w:cs="Arial"/>
              </w:rPr>
              <w:t xml:space="preserve">will continue the call process. </w:t>
            </w:r>
            <w:r w:rsidRPr="009A0DA6">
              <w:rPr>
                <w:rFonts w:ascii="Cambria" w:hAnsi="Cambria" w:cs="Arial"/>
              </w:rPr>
              <w:t>The LCA can foster closer working relation</w:t>
            </w:r>
            <w:r w:rsidR="00851A8E">
              <w:rPr>
                <w:rFonts w:ascii="Cambria" w:hAnsi="Cambria" w:cs="Arial"/>
              </w:rPr>
              <w:t>-</w:t>
            </w:r>
            <w:r w:rsidRPr="009A0DA6">
              <w:rPr>
                <w:rFonts w:ascii="Cambria" w:hAnsi="Cambria" w:cs="Arial"/>
              </w:rPr>
              <w:t>ship (especially at this time of vacancy) with the North American Lutheran Interim Pastors Association to source interim pastors for assignments in the LCA.</w:t>
            </w:r>
          </w:p>
        </w:tc>
      </w:tr>
    </w:tbl>
    <w:p w14:paraId="41BD8C4E" w14:textId="77777777" w:rsidR="00F631B1" w:rsidRPr="009A0DA6" w:rsidRDefault="00F631B1" w:rsidP="00F631B1">
      <w:pPr>
        <w:pStyle w:val="Heading3"/>
        <w:pBdr>
          <w:bottom w:val="single" w:sz="4" w:space="1" w:color="auto"/>
        </w:pBdr>
      </w:pPr>
    </w:p>
    <w:p w14:paraId="1FBC6966" w14:textId="77777777" w:rsidR="00F631B1" w:rsidRPr="009A0DA6" w:rsidRDefault="00F631B1" w:rsidP="00F631B1">
      <w:pPr>
        <w:pStyle w:val="Heading3"/>
        <w:pBdr>
          <w:bottom w:val="single" w:sz="4" w:space="1" w:color="auto"/>
        </w:pBdr>
      </w:pPr>
      <w:r w:rsidRPr="009A0DA6">
        <w:t>50.500</w:t>
      </w:r>
    </w:p>
    <w:p w14:paraId="1A243876" w14:textId="77777777" w:rsidR="00F631B1" w:rsidRPr="009A0DA6" w:rsidRDefault="00F631B1" w:rsidP="0069692D">
      <w:pPr>
        <w:pStyle w:val="ListParagraph"/>
        <w:spacing w:after="120"/>
        <w:ind w:left="0"/>
        <w:contextualSpacing w:val="0"/>
        <w:rPr>
          <w:rFonts w:ascii="Cambria" w:hAnsi="Cambria"/>
        </w:rPr>
      </w:pPr>
      <w:r w:rsidRPr="009A0DA6">
        <w:rPr>
          <w:rFonts w:ascii="Cambria" w:hAnsi="Cambria"/>
        </w:rPr>
        <w:t>Under the delegation of the Synod which launched 50.500 and the LCA Bishop, the 50.500 Committee has overseen the major projects and celebrations associated with the 50th anniversary of the LCA which occurred in 2016, the 500th anniversary of the Reformation in 2017 and a future focus looking toward the 2018 Convention of Synod and beyond.</w:t>
      </w:r>
    </w:p>
    <w:p w14:paraId="7A96C880" w14:textId="7AAF7EDD" w:rsidR="00F631B1" w:rsidRPr="009A0DA6" w:rsidRDefault="00F631B1" w:rsidP="0069692D">
      <w:pPr>
        <w:pStyle w:val="ListParagraph"/>
        <w:spacing w:after="120"/>
        <w:ind w:left="0"/>
        <w:contextualSpacing w:val="0"/>
        <w:rPr>
          <w:rFonts w:ascii="Cambria" w:hAnsi="Cambria"/>
        </w:rPr>
      </w:pPr>
      <w:r w:rsidRPr="009A0DA6">
        <w:rPr>
          <w:rFonts w:ascii="Cambria" w:hAnsi="Cambria"/>
        </w:rPr>
        <w:t>The 50.500 Planning Team were Larissa Helbig, Bishop Mark Whitfield, Robert Hoff, Linda Macqueen, Neville Otto (Chair), Stephen Rudolph, Peter Schirmer,</w:t>
      </w:r>
      <w:r w:rsidR="00851A8E">
        <w:rPr>
          <w:rFonts w:ascii="Cambria" w:hAnsi="Cambria"/>
        </w:rPr>
        <w:t xml:space="preserve"> Bishop John Henderson. Minute-t</w:t>
      </w:r>
      <w:r w:rsidRPr="009A0DA6">
        <w:rPr>
          <w:rFonts w:ascii="Cambria" w:hAnsi="Cambria"/>
        </w:rPr>
        <w:t>akers were Chelsea Bellamy and Melissa Juergensen</w:t>
      </w:r>
      <w:r w:rsidR="00851A8E">
        <w:rPr>
          <w:rFonts w:ascii="Cambria" w:hAnsi="Cambria"/>
        </w:rPr>
        <w:t>.</w:t>
      </w:r>
    </w:p>
    <w:p w14:paraId="0596DB34" w14:textId="77777777" w:rsidR="00F631B1" w:rsidRPr="009A0DA6" w:rsidRDefault="00F631B1" w:rsidP="0069692D">
      <w:pPr>
        <w:pStyle w:val="ListParagraph"/>
        <w:spacing w:after="120"/>
        <w:ind w:left="0"/>
        <w:contextualSpacing w:val="0"/>
        <w:rPr>
          <w:rFonts w:ascii="Cambria" w:hAnsi="Cambria"/>
        </w:rPr>
      </w:pPr>
      <w:r w:rsidRPr="009A0DA6">
        <w:rPr>
          <w:rFonts w:ascii="Cambria" w:hAnsi="Cambria"/>
        </w:rPr>
        <w:t>These foci are reflected in the three major funded Project Areas:</w:t>
      </w:r>
    </w:p>
    <w:p w14:paraId="07640162" w14:textId="77777777" w:rsidR="00F631B1" w:rsidRPr="009A0DA6" w:rsidRDefault="00F631B1" w:rsidP="0069692D">
      <w:pPr>
        <w:pStyle w:val="ListParagraph"/>
        <w:numPr>
          <w:ilvl w:val="1"/>
          <w:numId w:val="313"/>
        </w:numPr>
        <w:spacing w:after="120" w:line="276" w:lineRule="auto"/>
        <w:ind w:left="567" w:hanging="567"/>
        <w:rPr>
          <w:rFonts w:ascii="Cambria" w:hAnsi="Cambria"/>
        </w:rPr>
      </w:pPr>
      <w:r w:rsidRPr="009A0DA6">
        <w:rPr>
          <w:rFonts w:ascii="Cambria" w:hAnsi="Cambria"/>
        </w:rPr>
        <w:t>‘Sowing the Seeds’ for the future (nationally initiated) through:</w:t>
      </w:r>
    </w:p>
    <w:p w14:paraId="2295B584" w14:textId="77777777" w:rsidR="00F631B1" w:rsidRPr="009A0DA6" w:rsidRDefault="00F631B1" w:rsidP="0069692D">
      <w:pPr>
        <w:pStyle w:val="ListParagraph"/>
        <w:numPr>
          <w:ilvl w:val="2"/>
          <w:numId w:val="313"/>
        </w:numPr>
        <w:spacing w:after="120" w:line="276" w:lineRule="auto"/>
        <w:rPr>
          <w:rFonts w:ascii="Cambria" w:hAnsi="Cambria"/>
        </w:rPr>
      </w:pPr>
      <w:r w:rsidRPr="009A0DA6">
        <w:rPr>
          <w:rFonts w:ascii="Cambria" w:hAnsi="Cambria"/>
        </w:rPr>
        <w:t>Leadership Development</w:t>
      </w:r>
    </w:p>
    <w:p w14:paraId="6461432C" w14:textId="77777777" w:rsidR="00F631B1" w:rsidRPr="009A0DA6" w:rsidRDefault="00F631B1" w:rsidP="0069692D">
      <w:pPr>
        <w:pStyle w:val="ListParagraph"/>
        <w:numPr>
          <w:ilvl w:val="2"/>
          <w:numId w:val="313"/>
        </w:numPr>
        <w:spacing w:after="120" w:line="276" w:lineRule="auto"/>
        <w:rPr>
          <w:rFonts w:ascii="Cambria" w:hAnsi="Cambria"/>
        </w:rPr>
      </w:pPr>
      <w:r w:rsidRPr="009A0DA6">
        <w:rPr>
          <w:rFonts w:ascii="Cambria" w:hAnsi="Cambria"/>
        </w:rPr>
        <w:t>‘Hearing the Indigenous Voice’</w:t>
      </w:r>
    </w:p>
    <w:p w14:paraId="025ACDFF" w14:textId="77777777" w:rsidR="00F631B1" w:rsidRPr="009A0DA6" w:rsidRDefault="00F631B1" w:rsidP="0069692D">
      <w:pPr>
        <w:pStyle w:val="ListParagraph"/>
        <w:numPr>
          <w:ilvl w:val="2"/>
          <w:numId w:val="313"/>
        </w:numPr>
        <w:spacing w:after="120" w:line="276" w:lineRule="auto"/>
        <w:rPr>
          <w:rFonts w:ascii="Cambria" w:hAnsi="Cambria"/>
        </w:rPr>
      </w:pPr>
      <w:r w:rsidRPr="009A0DA6">
        <w:rPr>
          <w:rFonts w:ascii="Cambria" w:hAnsi="Cambria"/>
        </w:rPr>
        <w:t>Resourcing the Church</w:t>
      </w:r>
    </w:p>
    <w:p w14:paraId="709D6F66" w14:textId="77777777" w:rsidR="00F631B1" w:rsidRPr="009A0DA6" w:rsidRDefault="00F631B1" w:rsidP="0069692D">
      <w:pPr>
        <w:spacing w:after="120"/>
        <w:ind w:left="709" w:hanging="349"/>
        <w:rPr>
          <w:rFonts w:ascii="Cambria" w:hAnsi="Cambria"/>
        </w:rPr>
      </w:pPr>
      <w:r w:rsidRPr="009A0DA6">
        <w:rPr>
          <w:rFonts w:ascii="Cambria" w:hAnsi="Cambria"/>
        </w:rPr>
        <w:tab/>
        <w:t>$225,000 in total was available for the three project areas outlined above from the total LLL grant of $550,000.</w:t>
      </w:r>
    </w:p>
    <w:p w14:paraId="62C78C00" w14:textId="77777777" w:rsidR="00F631B1" w:rsidRPr="009A0DA6" w:rsidRDefault="00F631B1" w:rsidP="0069692D">
      <w:pPr>
        <w:pStyle w:val="ListParagraph"/>
        <w:numPr>
          <w:ilvl w:val="1"/>
          <w:numId w:val="313"/>
        </w:numPr>
        <w:spacing w:after="120" w:line="240" w:lineRule="auto"/>
        <w:ind w:left="567" w:hanging="567"/>
        <w:contextualSpacing w:val="0"/>
        <w:rPr>
          <w:rFonts w:ascii="Cambria" w:hAnsi="Cambria"/>
        </w:rPr>
      </w:pPr>
      <w:r w:rsidRPr="009A0DA6">
        <w:rPr>
          <w:rFonts w:ascii="Cambria" w:hAnsi="Cambria"/>
        </w:rPr>
        <w:t>Inviting congregations/grassroots ministries to ‘Have a Go’ through seeking grants of up to $25,000 for local, innovative, mission focused projects.</w:t>
      </w:r>
    </w:p>
    <w:p w14:paraId="1C52B4CB" w14:textId="77777777" w:rsidR="00F631B1" w:rsidRPr="009A0DA6" w:rsidRDefault="00F631B1" w:rsidP="0069692D">
      <w:pPr>
        <w:pStyle w:val="ListParagraph"/>
        <w:spacing w:after="120"/>
        <w:ind w:left="567"/>
        <w:contextualSpacing w:val="0"/>
        <w:rPr>
          <w:rFonts w:ascii="Cambria" w:hAnsi="Cambria"/>
        </w:rPr>
      </w:pPr>
      <w:r w:rsidRPr="009A0DA6">
        <w:rPr>
          <w:rFonts w:ascii="Cambria" w:hAnsi="Cambria"/>
        </w:rPr>
        <w:t>A total of $225,000 was initially allocated for ‘Have a Go’ grants from the total LLL grant of $550,000.</w:t>
      </w:r>
    </w:p>
    <w:p w14:paraId="2BEE8C97" w14:textId="0E975D5F" w:rsidR="00F631B1" w:rsidRPr="009A0DA6" w:rsidRDefault="00F631B1" w:rsidP="0069692D">
      <w:pPr>
        <w:pStyle w:val="ListParagraph"/>
        <w:numPr>
          <w:ilvl w:val="1"/>
          <w:numId w:val="313"/>
        </w:numPr>
        <w:spacing w:after="120" w:line="240" w:lineRule="auto"/>
        <w:ind w:left="567" w:hanging="567"/>
        <w:contextualSpacing w:val="0"/>
        <w:rPr>
          <w:rFonts w:ascii="Cambria" w:hAnsi="Cambria"/>
        </w:rPr>
      </w:pPr>
      <w:r w:rsidRPr="009A0DA6">
        <w:rPr>
          <w:rFonts w:ascii="Cambria" w:hAnsi="Cambria"/>
        </w:rPr>
        <w:t>Celebr</w:t>
      </w:r>
      <w:r w:rsidR="00851A8E">
        <w:rPr>
          <w:rFonts w:ascii="Cambria" w:hAnsi="Cambria"/>
        </w:rPr>
        <w:t>ations: Allocation of $45,000</w:t>
      </w:r>
      <w:r w:rsidRPr="009A0DA6">
        <w:rPr>
          <w:rFonts w:ascii="Cambria" w:hAnsi="Cambria"/>
        </w:rPr>
        <w:t xml:space="preserve"> for national joint celebration/commemoration with Roman Catholic Church held in Adelaide on 31 October 2017 and tree-planting in Canberra on 18 September 2017.</w:t>
      </w:r>
    </w:p>
    <w:p w14:paraId="79944336" w14:textId="77777777" w:rsidR="00F631B1" w:rsidRPr="009A0DA6" w:rsidRDefault="00F631B1" w:rsidP="0069692D">
      <w:pPr>
        <w:pStyle w:val="ListParagraph"/>
        <w:spacing w:after="120" w:line="240" w:lineRule="auto"/>
        <w:ind w:left="567" w:hanging="567"/>
        <w:contextualSpacing w:val="0"/>
        <w:rPr>
          <w:rFonts w:ascii="Cambria" w:hAnsi="Cambria"/>
        </w:rPr>
      </w:pPr>
      <w:r w:rsidRPr="009A0DA6">
        <w:rPr>
          <w:rFonts w:ascii="Cambria" w:hAnsi="Cambria"/>
        </w:rPr>
        <w:lastRenderedPageBreak/>
        <w:tab/>
        <w:t xml:space="preserve">The major celebrations for both the 50th and 500th anniversaries was locally focused on resourcing the Longest Lutheran Lunch in 2016 and 2017. </w:t>
      </w:r>
    </w:p>
    <w:p w14:paraId="47E35DF6" w14:textId="13824385" w:rsidR="00F631B1" w:rsidRDefault="00F631B1" w:rsidP="0069692D">
      <w:pPr>
        <w:pStyle w:val="ListParagraph"/>
        <w:spacing w:after="120" w:line="240" w:lineRule="auto"/>
        <w:ind w:left="567" w:hanging="210"/>
        <w:contextualSpacing w:val="0"/>
        <w:rPr>
          <w:rFonts w:ascii="Cambria" w:hAnsi="Cambria"/>
        </w:rPr>
      </w:pPr>
      <w:r w:rsidRPr="009A0DA6">
        <w:rPr>
          <w:rFonts w:ascii="Cambria" w:hAnsi="Cambria"/>
        </w:rPr>
        <w:tab/>
        <w:t xml:space="preserve">Ten percent ($55,000) of total </w:t>
      </w:r>
      <w:r w:rsidR="00851A8E">
        <w:rPr>
          <w:rFonts w:ascii="Cambria" w:hAnsi="Cambria"/>
        </w:rPr>
        <w:t>LLL Funding grant of $550,000</w:t>
      </w:r>
      <w:r w:rsidRPr="009A0DA6">
        <w:rPr>
          <w:rFonts w:ascii="Cambria" w:hAnsi="Cambria"/>
        </w:rPr>
        <w:t xml:space="preserve"> was budgeted for Longest Lutheran Lunch personnel and resource costs, communications, administration, travel and meeting costs.</w:t>
      </w:r>
    </w:p>
    <w:p w14:paraId="0764F5CC" w14:textId="77777777" w:rsidR="00B908E2" w:rsidRPr="009A0DA6" w:rsidRDefault="00B908E2" w:rsidP="0069692D">
      <w:pPr>
        <w:pStyle w:val="ListParagraph"/>
        <w:spacing w:after="120" w:line="240" w:lineRule="auto"/>
        <w:ind w:left="567" w:hanging="210"/>
        <w:contextualSpacing w:val="0"/>
        <w:rPr>
          <w:rFonts w:ascii="Cambria" w:hAnsi="Cambria"/>
        </w:rPr>
      </w:pPr>
    </w:p>
    <w:p w14:paraId="78987D35" w14:textId="77777777" w:rsidR="00F631B1" w:rsidRPr="009A0DA6" w:rsidRDefault="00F631B1" w:rsidP="00F631B1">
      <w:pPr>
        <w:pStyle w:val="Heading3"/>
      </w:pPr>
      <w:r w:rsidRPr="009A0DA6">
        <w:t>Achievement against Plan</w:t>
      </w:r>
    </w:p>
    <w:tbl>
      <w:tblPr>
        <w:tblStyle w:val="PlainTable2"/>
        <w:tblW w:w="8789" w:type="dxa"/>
        <w:tblLook w:val="04A0" w:firstRow="1" w:lastRow="0" w:firstColumn="1" w:lastColumn="0" w:noHBand="0" w:noVBand="1"/>
      </w:tblPr>
      <w:tblGrid>
        <w:gridCol w:w="1698"/>
        <w:gridCol w:w="2288"/>
        <w:gridCol w:w="4803"/>
      </w:tblGrid>
      <w:tr w:rsidR="00F631B1" w:rsidRPr="009A0DA6" w14:paraId="5CF579FD" w14:textId="77777777" w:rsidTr="00180211">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698" w:type="dxa"/>
          </w:tcPr>
          <w:p w14:paraId="0D08481A" w14:textId="77777777" w:rsidR="00F631B1" w:rsidRPr="009A0DA6" w:rsidRDefault="00F631B1" w:rsidP="007817B7">
            <w:pPr>
              <w:rPr>
                <w:rFonts w:ascii="Cambria" w:hAnsi="Cambria" w:cs="Arial"/>
                <w:b w:val="0"/>
              </w:rPr>
            </w:pPr>
            <w:r w:rsidRPr="009A0DA6">
              <w:rPr>
                <w:rFonts w:ascii="Cambria" w:hAnsi="Cambria" w:cs="Arial"/>
              </w:rPr>
              <w:t>Objectives</w:t>
            </w:r>
          </w:p>
        </w:tc>
        <w:tc>
          <w:tcPr>
            <w:tcW w:w="2288" w:type="dxa"/>
          </w:tcPr>
          <w:p w14:paraId="11C2CC03" w14:textId="77777777" w:rsidR="00F631B1" w:rsidRPr="009A0DA6" w:rsidRDefault="00F631B1" w:rsidP="007817B7">
            <w:pPr>
              <w:cnfStyle w:val="100000000000" w:firstRow="1" w:lastRow="0" w:firstColumn="0" w:lastColumn="0" w:oddVBand="0" w:evenVBand="0" w:oddHBand="0" w:evenHBand="0" w:firstRowFirstColumn="0" w:firstRowLastColumn="0" w:lastRowFirstColumn="0" w:lastRowLastColumn="0"/>
              <w:rPr>
                <w:rFonts w:ascii="Cambria" w:hAnsi="Cambria" w:cs="Arial"/>
                <w:b w:val="0"/>
              </w:rPr>
            </w:pPr>
            <w:r w:rsidRPr="009A0DA6">
              <w:rPr>
                <w:rFonts w:ascii="Cambria" w:hAnsi="Cambria" w:cs="Arial"/>
              </w:rPr>
              <w:t>Planned Annual Activities/Outcomes</w:t>
            </w:r>
          </w:p>
        </w:tc>
        <w:tc>
          <w:tcPr>
            <w:tcW w:w="4803" w:type="dxa"/>
          </w:tcPr>
          <w:p w14:paraId="79195C43" w14:textId="77777777" w:rsidR="00F631B1" w:rsidRPr="009A0DA6" w:rsidRDefault="00F631B1" w:rsidP="007817B7">
            <w:pPr>
              <w:cnfStyle w:val="100000000000" w:firstRow="1" w:lastRow="0" w:firstColumn="0" w:lastColumn="0" w:oddVBand="0" w:evenVBand="0" w:oddHBand="0" w:evenHBand="0" w:firstRowFirstColumn="0" w:firstRowLastColumn="0" w:lastRowFirstColumn="0" w:lastRowLastColumn="0"/>
              <w:rPr>
                <w:rFonts w:ascii="Cambria" w:hAnsi="Cambria" w:cs="Arial"/>
                <w:b w:val="0"/>
              </w:rPr>
            </w:pPr>
            <w:r w:rsidRPr="009A0DA6">
              <w:rPr>
                <w:rFonts w:ascii="Cambria" w:hAnsi="Cambria" w:cs="Arial"/>
              </w:rPr>
              <w:t>Achievement of Annual Activities/Outcomes</w:t>
            </w:r>
          </w:p>
        </w:tc>
      </w:tr>
      <w:tr w:rsidR="00F631B1" w:rsidRPr="009A0DA6" w14:paraId="3A0D9E6D" w14:textId="77777777" w:rsidTr="00180211">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698" w:type="dxa"/>
          </w:tcPr>
          <w:p w14:paraId="5055BE4B" w14:textId="77777777" w:rsidR="00F631B1" w:rsidRPr="009A0DA6" w:rsidRDefault="00F631B1" w:rsidP="00180211">
            <w:pPr>
              <w:widowControl w:val="0"/>
              <w:suppressAutoHyphens/>
              <w:rPr>
                <w:rFonts w:ascii="Cambria" w:hAnsi="Cambria" w:cs="Arial"/>
              </w:rPr>
            </w:pPr>
            <w:r w:rsidRPr="009A0DA6">
              <w:rPr>
                <w:rFonts w:ascii="Cambria" w:hAnsi="Cambria" w:cs="Arial"/>
              </w:rPr>
              <w:t>Sow a seed for growing leaders in the LCA</w:t>
            </w:r>
          </w:p>
        </w:tc>
        <w:tc>
          <w:tcPr>
            <w:tcW w:w="2288" w:type="dxa"/>
          </w:tcPr>
          <w:p w14:paraId="047225DB" w14:textId="77777777" w:rsidR="00F631B1" w:rsidRPr="009A0DA6" w:rsidRDefault="00F631B1" w:rsidP="00180211">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Seed funding granted to Grow Ministries to assist with the development of the Cultivating Young Leaders program for 2017 and 2018</w:t>
            </w:r>
          </w:p>
        </w:tc>
        <w:tc>
          <w:tcPr>
            <w:tcW w:w="4803" w:type="dxa"/>
          </w:tcPr>
          <w:p w14:paraId="2A22F789" w14:textId="77777777" w:rsidR="00F631B1" w:rsidRPr="009A0DA6" w:rsidRDefault="00F631B1" w:rsidP="00180211">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The first Cultivating Young Leaders year long program involving 13 young adults from the LCA and South East Asian partner churches was successfully conducted.</w:t>
            </w:r>
          </w:p>
          <w:p w14:paraId="1A7F065C" w14:textId="77777777" w:rsidR="00F631B1" w:rsidRPr="009A0DA6" w:rsidRDefault="00F631B1" w:rsidP="00180211">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The program in 2019 has been budgeted and GROW is hoping for thirty participants.</w:t>
            </w:r>
          </w:p>
          <w:p w14:paraId="1623A4C2" w14:textId="77777777" w:rsidR="00F631B1" w:rsidRPr="009A0DA6" w:rsidRDefault="00F631B1" w:rsidP="00180211">
            <w:pPr>
              <w:cnfStyle w:val="000000100000" w:firstRow="0" w:lastRow="0" w:firstColumn="0" w:lastColumn="0" w:oddVBand="0" w:evenVBand="0" w:oddHBand="1" w:evenHBand="0" w:firstRowFirstColumn="0" w:firstRowLastColumn="0" w:lastRowFirstColumn="0" w:lastRowLastColumn="0"/>
              <w:rPr>
                <w:rFonts w:ascii="Cambria" w:hAnsi="Cambria" w:cs="Arial"/>
              </w:rPr>
            </w:pPr>
          </w:p>
          <w:p w14:paraId="707455D4" w14:textId="77777777" w:rsidR="00F631B1" w:rsidRPr="009A0DA6" w:rsidRDefault="00F631B1" w:rsidP="00180211">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Grow Ministries will be seeking the support of Synod to continue this important program growing a new generation of Christian leaders.</w:t>
            </w:r>
          </w:p>
        </w:tc>
      </w:tr>
      <w:tr w:rsidR="00F631B1" w:rsidRPr="009A0DA6" w14:paraId="784E5C3E" w14:textId="77777777" w:rsidTr="00180211">
        <w:trPr>
          <w:trHeight w:val="267"/>
        </w:trPr>
        <w:tc>
          <w:tcPr>
            <w:cnfStyle w:val="001000000000" w:firstRow="0" w:lastRow="0" w:firstColumn="1" w:lastColumn="0" w:oddVBand="0" w:evenVBand="0" w:oddHBand="0" w:evenHBand="0" w:firstRowFirstColumn="0" w:firstRowLastColumn="0" w:lastRowFirstColumn="0" w:lastRowLastColumn="0"/>
            <w:tcW w:w="1698" w:type="dxa"/>
          </w:tcPr>
          <w:p w14:paraId="3783918B" w14:textId="77777777" w:rsidR="00F631B1" w:rsidRPr="009A0DA6" w:rsidRDefault="00F631B1" w:rsidP="00180211">
            <w:pPr>
              <w:widowControl w:val="0"/>
              <w:suppressAutoHyphens/>
              <w:rPr>
                <w:rFonts w:ascii="Cambria" w:hAnsi="Cambria" w:cs="Arial"/>
              </w:rPr>
            </w:pPr>
            <w:r w:rsidRPr="009A0DA6">
              <w:rPr>
                <w:rFonts w:ascii="Cambria" w:hAnsi="Cambria" w:cs="Arial"/>
              </w:rPr>
              <w:t>Sow a seed for providing a helpful and appropriate resource to serve the LCA in its ministry and mission</w:t>
            </w:r>
          </w:p>
        </w:tc>
        <w:tc>
          <w:tcPr>
            <w:tcW w:w="2288" w:type="dxa"/>
          </w:tcPr>
          <w:p w14:paraId="4D734215" w14:textId="77777777" w:rsidR="00F631B1" w:rsidRPr="009A0DA6" w:rsidRDefault="00F631B1" w:rsidP="00180211">
            <w:pPr>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Seed funding granted to LCA Communications to produce series of videos on ‘What Lutherans Believe’ for broad use in the LCA</w:t>
            </w:r>
          </w:p>
        </w:tc>
        <w:tc>
          <w:tcPr>
            <w:tcW w:w="4803" w:type="dxa"/>
          </w:tcPr>
          <w:p w14:paraId="59BB0F7F" w14:textId="77777777" w:rsidR="00F631B1" w:rsidRPr="009A0DA6" w:rsidRDefault="00F631B1" w:rsidP="00180211">
            <w:pPr>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The question of resourcing the church with a one-off funding grant from the provided 50.500 funding pool was a difficult one to decide upon. However after much exploration of options the 50.500 Planning Team approved a grant for LCA Communications in September 2017 to produce a series of videos on ‘What Lutherans Believe’ for teaching and evangelism purposes. A part time project officer has been engaged and we hope to see the first fruits of this project at Synod.</w:t>
            </w:r>
          </w:p>
        </w:tc>
      </w:tr>
      <w:tr w:rsidR="00F631B1" w:rsidRPr="009A0DA6" w14:paraId="577D29F0" w14:textId="77777777" w:rsidTr="00180211">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698" w:type="dxa"/>
          </w:tcPr>
          <w:p w14:paraId="71359FF2" w14:textId="77777777" w:rsidR="00F631B1" w:rsidRPr="009A0DA6" w:rsidRDefault="00F631B1" w:rsidP="00180211">
            <w:pPr>
              <w:widowControl w:val="0"/>
              <w:suppressAutoHyphens/>
              <w:rPr>
                <w:rFonts w:ascii="Cambria" w:hAnsi="Cambria" w:cs="Arial"/>
              </w:rPr>
            </w:pPr>
            <w:r w:rsidRPr="009A0DA6">
              <w:rPr>
                <w:rFonts w:ascii="Cambria" w:hAnsi="Cambria" w:cs="Arial"/>
              </w:rPr>
              <w:t>Sow a Seed to hear the voices of Aboriginal people in the church</w:t>
            </w:r>
          </w:p>
        </w:tc>
        <w:tc>
          <w:tcPr>
            <w:tcW w:w="2288" w:type="dxa"/>
          </w:tcPr>
          <w:p w14:paraId="3145F6A2" w14:textId="77777777" w:rsidR="00F631B1" w:rsidRPr="009A0DA6" w:rsidRDefault="00F631B1" w:rsidP="00180211">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Thus far funding has been allocated to gather a Project Team and to commence consultations with LCA and community leaders and commence listening to Aboriginal people in the LCA.</w:t>
            </w:r>
          </w:p>
          <w:p w14:paraId="64137818" w14:textId="77777777" w:rsidR="00F631B1" w:rsidRPr="009A0DA6" w:rsidRDefault="00F631B1" w:rsidP="00180211">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Consultations continue at the time of writing and throughout 2018.</w:t>
            </w:r>
          </w:p>
          <w:p w14:paraId="59F3295A" w14:textId="77777777" w:rsidR="00F631B1" w:rsidRPr="009A0DA6" w:rsidRDefault="00F631B1" w:rsidP="00180211">
            <w:pPr>
              <w:cnfStyle w:val="000000100000" w:firstRow="0" w:lastRow="0" w:firstColumn="0" w:lastColumn="0" w:oddVBand="0" w:evenVBand="0" w:oddHBand="1" w:evenHBand="0" w:firstRowFirstColumn="0" w:firstRowLastColumn="0" w:lastRowFirstColumn="0" w:lastRowLastColumn="0"/>
              <w:rPr>
                <w:rFonts w:ascii="Cambria" w:hAnsi="Cambria" w:cs="Arial"/>
              </w:rPr>
            </w:pPr>
          </w:p>
        </w:tc>
        <w:tc>
          <w:tcPr>
            <w:tcW w:w="4803" w:type="dxa"/>
          </w:tcPr>
          <w:p w14:paraId="60864C77" w14:textId="77777777" w:rsidR="00F631B1" w:rsidRPr="009A0DA6" w:rsidRDefault="00F631B1" w:rsidP="00180211">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As we have done this, we have also considered the long term goal to hear Aboriginal people in the LCA, to empower them for leadership and service and to raise awareness across the LCA.</w:t>
            </w:r>
          </w:p>
          <w:p w14:paraId="1B306B37" w14:textId="77777777" w:rsidR="00F631B1" w:rsidRPr="009A0DA6" w:rsidRDefault="00F631B1" w:rsidP="00180211">
            <w:pPr>
              <w:cnfStyle w:val="000000100000" w:firstRow="0" w:lastRow="0" w:firstColumn="0" w:lastColumn="0" w:oddVBand="0" w:evenVBand="0" w:oddHBand="1" w:evenHBand="0" w:firstRowFirstColumn="0" w:firstRowLastColumn="0" w:lastRowFirstColumn="0" w:lastRowLastColumn="0"/>
              <w:rPr>
                <w:rFonts w:ascii="Cambria" w:hAnsi="Cambria" w:cs="Arial"/>
                <w:sz w:val="6"/>
              </w:rPr>
            </w:pPr>
            <w:r w:rsidRPr="009A0DA6">
              <w:rPr>
                <w:rFonts w:ascii="Cambria" w:hAnsi="Cambria" w:cs="Arial"/>
              </w:rPr>
              <w:t>Initial consultations with Aboriginal people have occurred in 2017/18 in communities on the West Coast of SA and in Central Australia.  Plans are also in motion to consult with people in Far North Qld later in 2018.</w:t>
            </w:r>
            <w:r w:rsidRPr="009A0DA6">
              <w:rPr>
                <w:rFonts w:ascii="Cambria" w:hAnsi="Cambria" w:cs="Arial"/>
              </w:rPr>
              <w:br/>
            </w:r>
          </w:p>
          <w:p w14:paraId="2B8DEBBB" w14:textId="77777777" w:rsidR="00F631B1" w:rsidRPr="009A0DA6" w:rsidRDefault="00F631B1" w:rsidP="00180211">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Ongoing listening and development of projects is vital.  To this end, we believe a helpful framework for sustained focus exists through the preparation of a Reconciliation Action Plan for the LCA. Such a churchwide plan provides for healthy accountability and for local congregations, schools, agencies and ministries to implement plans appropriate to their context.</w:t>
            </w:r>
          </w:p>
          <w:p w14:paraId="7E993B19" w14:textId="77777777" w:rsidR="00F631B1" w:rsidRPr="009A0DA6" w:rsidRDefault="00F631B1" w:rsidP="00180211">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 xml:space="preserve">The Project Team has prepared a project plan which will be presented to Synod with a request to resource it.   </w:t>
            </w:r>
          </w:p>
        </w:tc>
      </w:tr>
    </w:tbl>
    <w:p w14:paraId="75EBBB21" w14:textId="0E951602" w:rsidR="003022F9" w:rsidRDefault="003022F9"/>
    <w:p w14:paraId="0879F956" w14:textId="77777777" w:rsidR="003022F9" w:rsidRDefault="003022F9"/>
    <w:tbl>
      <w:tblPr>
        <w:tblStyle w:val="PlainTable2"/>
        <w:tblW w:w="8789" w:type="dxa"/>
        <w:tblLook w:val="04A0" w:firstRow="1" w:lastRow="0" w:firstColumn="1" w:lastColumn="0" w:noHBand="0" w:noVBand="1"/>
      </w:tblPr>
      <w:tblGrid>
        <w:gridCol w:w="1698"/>
        <w:gridCol w:w="2288"/>
        <w:gridCol w:w="4803"/>
      </w:tblGrid>
      <w:tr w:rsidR="00F631B1" w:rsidRPr="009A0DA6" w14:paraId="7AD16335" w14:textId="77777777" w:rsidTr="00180211">
        <w:trPr>
          <w:cnfStyle w:val="100000000000" w:firstRow="1" w:lastRow="0" w:firstColumn="0" w:lastColumn="0" w:oddVBand="0" w:evenVBand="0" w:oddHBand="0"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698" w:type="dxa"/>
          </w:tcPr>
          <w:p w14:paraId="77BEBFC4" w14:textId="735F03A2" w:rsidR="00F631B1" w:rsidRPr="009A0DA6" w:rsidRDefault="00F631B1" w:rsidP="00180211">
            <w:pPr>
              <w:widowControl w:val="0"/>
              <w:suppressAutoHyphens/>
              <w:rPr>
                <w:rFonts w:ascii="Cambria" w:hAnsi="Cambria" w:cs="Arial"/>
              </w:rPr>
            </w:pPr>
            <w:r w:rsidRPr="009A0DA6">
              <w:rPr>
                <w:rFonts w:ascii="Cambria" w:hAnsi="Cambria" w:cs="Arial"/>
              </w:rPr>
              <w:lastRenderedPageBreak/>
              <w:t>Prov</w:t>
            </w:r>
            <w:r w:rsidR="00851A8E">
              <w:rPr>
                <w:rFonts w:ascii="Cambria" w:hAnsi="Cambria" w:cs="Arial"/>
              </w:rPr>
              <w:t>iding grants of up to $25,000</w:t>
            </w:r>
            <w:r w:rsidRPr="009A0DA6">
              <w:rPr>
                <w:rFonts w:ascii="Cambria" w:hAnsi="Cambria" w:cs="Arial"/>
              </w:rPr>
              <w:t xml:space="preserve"> for local congreg</w:t>
            </w:r>
            <w:r w:rsidR="00851A8E">
              <w:rPr>
                <w:rFonts w:ascii="Cambria" w:hAnsi="Cambria" w:cs="Arial"/>
              </w:rPr>
              <w:t>-</w:t>
            </w:r>
            <w:r w:rsidRPr="009A0DA6">
              <w:rPr>
                <w:rFonts w:ascii="Cambria" w:hAnsi="Cambria" w:cs="Arial"/>
              </w:rPr>
              <w:t>ations and ministries to ‘Have a Go’</w:t>
            </w:r>
          </w:p>
        </w:tc>
        <w:tc>
          <w:tcPr>
            <w:tcW w:w="2288" w:type="dxa"/>
          </w:tcPr>
          <w:p w14:paraId="6BCFAB66" w14:textId="0A771A1E" w:rsidR="00F631B1" w:rsidRPr="007817B7" w:rsidRDefault="00851A8E" w:rsidP="00180211">
            <w:pPr>
              <w:cnfStyle w:val="100000000000" w:firstRow="1" w:lastRow="0" w:firstColumn="0" w:lastColumn="0" w:oddVBand="0" w:evenVBand="0" w:oddHBand="0" w:evenHBand="0" w:firstRowFirstColumn="0" w:firstRowLastColumn="0" w:lastRowFirstColumn="0" w:lastRowLastColumn="0"/>
              <w:rPr>
                <w:rFonts w:ascii="Cambria" w:hAnsi="Cambria" w:cs="Arial"/>
                <w:b w:val="0"/>
              </w:rPr>
            </w:pPr>
            <w:r w:rsidRPr="007817B7">
              <w:rPr>
                <w:rFonts w:ascii="Cambria" w:hAnsi="Cambria" w:cs="Arial"/>
                <w:b w:val="0"/>
              </w:rPr>
              <w:t xml:space="preserve">A pool of $225,000 </w:t>
            </w:r>
            <w:r w:rsidR="00F631B1" w:rsidRPr="007817B7">
              <w:rPr>
                <w:rFonts w:ascii="Cambria" w:hAnsi="Cambria" w:cs="Arial"/>
                <w:b w:val="0"/>
              </w:rPr>
              <w:t>was allocated from the 50.500 funding pool to provide one off grants designed to assist congregations and ministries to undertake innovative mission and ministry projects which they could not otherwise undertake and which could serve to inform the wider church.</w:t>
            </w:r>
          </w:p>
        </w:tc>
        <w:tc>
          <w:tcPr>
            <w:tcW w:w="4803" w:type="dxa"/>
          </w:tcPr>
          <w:p w14:paraId="18EF6929" w14:textId="3B528EBB" w:rsidR="00F631B1" w:rsidRPr="007817B7" w:rsidRDefault="00851A8E" w:rsidP="00180211">
            <w:pPr>
              <w:cnfStyle w:val="100000000000" w:firstRow="1" w:lastRow="0" w:firstColumn="0" w:lastColumn="0" w:oddVBand="0" w:evenVBand="0" w:oddHBand="0" w:evenHBand="0" w:firstRowFirstColumn="0" w:firstRowLastColumn="0" w:lastRowFirstColumn="0" w:lastRowLastColumn="0"/>
              <w:rPr>
                <w:rFonts w:ascii="Cambria" w:hAnsi="Cambria" w:cs="Arial"/>
                <w:b w:val="0"/>
              </w:rPr>
            </w:pPr>
            <w:r w:rsidRPr="007817B7">
              <w:rPr>
                <w:rFonts w:ascii="Cambria" w:hAnsi="Cambria" w:cs="Arial"/>
                <w:b w:val="0"/>
              </w:rPr>
              <w:t xml:space="preserve">$223,000 </w:t>
            </w:r>
            <w:r w:rsidR="00F631B1" w:rsidRPr="007817B7">
              <w:rPr>
                <w:rFonts w:ascii="Cambria" w:hAnsi="Cambria" w:cs="Arial"/>
                <w:b w:val="0"/>
              </w:rPr>
              <w:t>in grants were made to 14 congregations and ministry groups.</w:t>
            </w:r>
          </w:p>
          <w:p w14:paraId="33A1FC2C" w14:textId="77777777" w:rsidR="00F631B1" w:rsidRPr="007817B7" w:rsidRDefault="00F631B1" w:rsidP="00180211">
            <w:pPr>
              <w:cnfStyle w:val="100000000000" w:firstRow="1" w:lastRow="0" w:firstColumn="0" w:lastColumn="0" w:oddVBand="0" w:evenVBand="0" w:oddHBand="0" w:evenHBand="0" w:firstRowFirstColumn="0" w:firstRowLastColumn="0" w:lastRowFirstColumn="0" w:lastRowLastColumn="0"/>
              <w:rPr>
                <w:rFonts w:ascii="Cambria" w:hAnsi="Cambria" w:cs="Arial"/>
                <w:b w:val="0"/>
                <w:sz w:val="12"/>
              </w:rPr>
            </w:pPr>
          </w:p>
          <w:p w14:paraId="788E0136" w14:textId="7DACE2E9" w:rsidR="00F631B1" w:rsidRPr="007817B7" w:rsidRDefault="00F631B1" w:rsidP="00180211">
            <w:pPr>
              <w:cnfStyle w:val="100000000000" w:firstRow="1" w:lastRow="0" w:firstColumn="0" w:lastColumn="0" w:oddVBand="0" w:evenVBand="0" w:oddHBand="0" w:evenHBand="0" w:firstRowFirstColumn="0" w:firstRowLastColumn="0" w:lastRowFirstColumn="0" w:lastRowLastColumn="0"/>
              <w:rPr>
                <w:rFonts w:ascii="Cambria" w:hAnsi="Cambria" w:cs="Arial"/>
                <w:b w:val="0"/>
              </w:rPr>
            </w:pPr>
            <w:r w:rsidRPr="007817B7">
              <w:rPr>
                <w:rFonts w:ascii="Cambria" w:hAnsi="Cambria" w:cs="Arial"/>
                <w:b w:val="0"/>
              </w:rPr>
              <w:t>Grant monies were available to succe</w:t>
            </w:r>
            <w:r w:rsidR="00851A8E" w:rsidRPr="007817B7">
              <w:rPr>
                <w:rFonts w:ascii="Cambria" w:hAnsi="Cambria" w:cs="Arial"/>
                <w:b w:val="0"/>
              </w:rPr>
              <w:t xml:space="preserve">ssful applicants in early 2018. </w:t>
            </w:r>
            <w:r w:rsidRPr="007817B7">
              <w:rPr>
                <w:rFonts w:ascii="Cambria" w:hAnsi="Cambria" w:cs="Arial"/>
                <w:b w:val="0"/>
              </w:rPr>
              <w:t>Each congregation/</w:t>
            </w:r>
            <w:r w:rsidR="00851A8E" w:rsidRPr="007817B7">
              <w:rPr>
                <w:rFonts w:ascii="Cambria" w:hAnsi="Cambria" w:cs="Arial"/>
                <w:b w:val="0"/>
              </w:rPr>
              <w:t xml:space="preserve"> </w:t>
            </w:r>
            <w:r w:rsidRPr="007817B7">
              <w:rPr>
                <w:rFonts w:ascii="Cambria" w:hAnsi="Cambria" w:cs="Arial"/>
                <w:b w:val="0"/>
              </w:rPr>
              <w:t xml:space="preserve">ministry provides six monthly reports in order for us to learn and support.  At the time of writing one round of six monthly reports (due </w:t>
            </w:r>
            <w:r w:rsidR="003022F9">
              <w:rPr>
                <w:rFonts w:ascii="Cambria" w:hAnsi="Cambria" w:cs="Arial"/>
                <w:b w:val="0"/>
              </w:rPr>
              <w:br/>
            </w:r>
            <w:r w:rsidRPr="007817B7">
              <w:rPr>
                <w:rFonts w:ascii="Cambria" w:hAnsi="Cambria" w:cs="Arial"/>
                <w:b w:val="0"/>
              </w:rPr>
              <w:t xml:space="preserve">at the end of 2017) has been provided. </w:t>
            </w:r>
          </w:p>
        </w:tc>
      </w:tr>
      <w:tr w:rsidR="00F631B1" w:rsidRPr="009A0DA6" w14:paraId="0FCEACA0" w14:textId="77777777" w:rsidTr="00180211">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698" w:type="dxa"/>
          </w:tcPr>
          <w:p w14:paraId="4DD7EC5A" w14:textId="77777777" w:rsidR="00F631B1" w:rsidRPr="009A0DA6" w:rsidRDefault="00F631B1" w:rsidP="00180211">
            <w:pPr>
              <w:widowControl w:val="0"/>
              <w:suppressAutoHyphens/>
              <w:rPr>
                <w:rFonts w:ascii="Cambria" w:hAnsi="Cambria"/>
              </w:rPr>
            </w:pPr>
            <w:r w:rsidRPr="009A0DA6">
              <w:rPr>
                <w:rFonts w:ascii="Cambria" w:hAnsi="Cambria"/>
              </w:rPr>
              <w:t>Celebrations of anniversaries: National</w:t>
            </w:r>
          </w:p>
        </w:tc>
        <w:tc>
          <w:tcPr>
            <w:tcW w:w="2288" w:type="dxa"/>
          </w:tcPr>
          <w:p w14:paraId="5969ABDC" w14:textId="77777777" w:rsidR="001D2990" w:rsidRPr="00CF1FE7" w:rsidRDefault="00F631B1" w:rsidP="00180211">
            <w:pPr>
              <w:ind w:left="-8"/>
              <w:cnfStyle w:val="000000100000" w:firstRow="0" w:lastRow="0" w:firstColumn="0" w:lastColumn="0" w:oddVBand="0" w:evenVBand="0" w:oddHBand="1" w:evenHBand="0" w:firstRowFirstColumn="0" w:firstRowLastColumn="0" w:lastRowFirstColumn="0" w:lastRowLastColumn="0"/>
              <w:rPr>
                <w:rFonts w:ascii="Cambria" w:hAnsi="Cambria" w:cs="Arial"/>
              </w:rPr>
            </w:pPr>
            <w:r w:rsidRPr="00CF1FE7">
              <w:rPr>
                <w:rFonts w:ascii="Cambria" w:hAnsi="Cambria" w:cs="Arial"/>
              </w:rPr>
              <w:t xml:space="preserve">National Tree Planting of a Luther Oak on grounds of St Mark’s Theological College/Australian Centre for </w:t>
            </w:r>
          </w:p>
          <w:p w14:paraId="6F931B86" w14:textId="6F5A3B97" w:rsidR="00F631B1" w:rsidRPr="00CF1FE7" w:rsidRDefault="00F631B1" w:rsidP="00180211">
            <w:pPr>
              <w:ind w:left="-8"/>
              <w:cnfStyle w:val="000000100000" w:firstRow="0" w:lastRow="0" w:firstColumn="0" w:lastColumn="0" w:oddVBand="0" w:evenVBand="0" w:oddHBand="1" w:evenHBand="0" w:firstRowFirstColumn="0" w:firstRowLastColumn="0" w:lastRowFirstColumn="0" w:lastRowLastColumn="0"/>
              <w:rPr>
                <w:rFonts w:ascii="Cambria" w:hAnsi="Cambria" w:cs="Arial"/>
              </w:rPr>
            </w:pPr>
            <w:r w:rsidRPr="00CF1FE7">
              <w:rPr>
                <w:rFonts w:ascii="Cambria" w:hAnsi="Cambria" w:cs="Arial"/>
              </w:rPr>
              <w:t>Christian</w:t>
            </w:r>
            <w:r w:rsidR="001D2990" w:rsidRPr="00CF1FE7">
              <w:rPr>
                <w:rFonts w:ascii="Cambria" w:hAnsi="Cambria" w:cs="Arial"/>
              </w:rPr>
              <w:t>i</w:t>
            </w:r>
            <w:r w:rsidRPr="00CF1FE7">
              <w:rPr>
                <w:rFonts w:ascii="Cambria" w:hAnsi="Cambria" w:cs="Arial"/>
              </w:rPr>
              <w:t>ty and Culture. The tree is a sister tree to the LCA tree planted in the Lutheran Garden in Wittenberg, Germany.</w:t>
            </w:r>
          </w:p>
          <w:p w14:paraId="293DF86D" w14:textId="101D5D5A" w:rsidR="00F631B1" w:rsidRPr="00CF1FE7" w:rsidRDefault="00F631B1" w:rsidP="00180211">
            <w:pPr>
              <w:cnfStyle w:val="000000100000" w:firstRow="0" w:lastRow="0" w:firstColumn="0" w:lastColumn="0" w:oddVBand="0" w:evenVBand="0" w:oddHBand="1" w:evenHBand="0" w:firstRowFirstColumn="0" w:firstRowLastColumn="0" w:lastRowFirstColumn="0" w:lastRowLastColumn="0"/>
              <w:rPr>
                <w:rFonts w:ascii="Cambria" w:hAnsi="Cambria" w:cs="Arial"/>
              </w:rPr>
            </w:pPr>
          </w:p>
          <w:p w14:paraId="34E50A99" w14:textId="77777777" w:rsidR="001D2990" w:rsidRPr="00CF1FE7" w:rsidRDefault="001D2990" w:rsidP="00180211">
            <w:pPr>
              <w:ind w:left="-8"/>
              <w:cnfStyle w:val="000000100000" w:firstRow="0" w:lastRow="0" w:firstColumn="0" w:lastColumn="0" w:oddVBand="0" w:evenVBand="0" w:oddHBand="1" w:evenHBand="0" w:firstRowFirstColumn="0" w:firstRowLastColumn="0" w:lastRowFirstColumn="0" w:lastRowLastColumn="0"/>
              <w:rPr>
                <w:rFonts w:ascii="Cambria" w:hAnsi="Cambria" w:cs="Arial"/>
              </w:rPr>
            </w:pPr>
          </w:p>
          <w:p w14:paraId="47258041" w14:textId="77777777" w:rsidR="001D2990" w:rsidRPr="00CF1FE7" w:rsidRDefault="001D2990" w:rsidP="00180211">
            <w:pPr>
              <w:ind w:left="-8"/>
              <w:cnfStyle w:val="000000100000" w:firstRow="0" w:lastRow="0" w:firstColumn="0" w:lastColumn="0" w:oddVBand="0" w:evenVBand="0" w:oddHBand="1" w:evenHBand="0" w:firstRowFirstColumn="0" w:firstRowLastColumn="0" w:lastRowFirstColumn="0" w:lastRowLastColumn="0"/>
              <w:rPr>
                <w:rFonts w:ascii="Cambria" w:hAnsi="Cambria" w:cs="Arial"/>
              </w:rPr>
            </w:pPr>
          </w:p>
          <w:p w14:paraId="4970377A" w14:textId="75011F95" w:rsidR="00F631B1" w:rsidRPr="00CF1FE7" w:rsidRDefault="00F631B1" w:rsidP="00180211">
            <w:pPr>
              <w:ind w:left="-8"/>
              <w:cnfStyle w:val="000000100000" w:firstRow="0" w:lastRow="0" w:firstColumn="0" w:lastColumn="0" w:oddVBand="0" w:evenVBand="0" w:oddHBand="1" w:evenHBand="0" w:firstRowFirstColumn="0" w:firstRowLastColumn="0" w:lastRowFirstColumn="0" w:lastRowLastColumn="0"/>
              <w:rPr>
                <w:rFonts w:ascii="Cambria" w:hAnsi="Cambria" w:cs="Arial"/>
              </w:rPr>
            </w:pPr>
            <w:r w:rsidRPr="00CF1FE7">
              <w:rPr>
                <w:rFonts w:ascii="Cambria" w:hAnsi="Cambria" w:cs="Arial"/>
              </w:rPr>
              <w:t>A joint national commemoration of the 500</w:t>
            </w:r>
            <w:r w:rsidRPr="00CF1FE7">
              <w:rPr>
                <w:rFonts w:ascii="Cambria" w:hAnsi="Cambria" w:cs="Arial"/>
                <w:vertAlign w:val="superscript"/>
              </w:rPr>
              <w:t>th</w:t>
            </w:r>
            <w:r w:rsidRPr="00CF1FE7">
              <w:rPr>
                <w:rFonts w:ascii="Cambria" w:hAnsi="Cambria" w:cs="Arial"/>
              </w:rPr>
              <w:t xml:space="preserve"> anniversary with the Roman Catholic Church in Adelaide on 31 </w:t>
            </w:r>
            <w:r w:rsidR="001D2990" w:rsidRPr="00CF1FE7">
              <w:rPr>
                <w:rFonts w:ascii="Cambria" w:hAnsi="Cambria" w:cs="Arial"/>
              </w:rPr>
              <w:t xml:space="preserve">October </w:t>
            </w:r>
            <w:r w:rsidRPr="00CF1FE7">
              <w:rPr>
                <w:rFonts w:ascii="Cambria" w:hAnsi="Cambria" w:cs="Arial"/>
              </w:rPr>
              <w:t>2017</w:t>
            </w:r>
          </w:p>
        </w:tc>
        <w:tc>
          <w:tcPr>
            <w:tcW w:w="4803" w:type="dxa"/>
          </w:tcPr>
          <w:p w14:paraId="710D20E7" w14:textId="3D601E62" w:rsidR="00F631B1" w:rsidRPr="00CF1FE7" w:rsidRDefault="00F631B1" w:rsidP="00180211">
            <w:pPr>
              <w:tabs>
                <w:tab w:val="num" w:pos="416"/>
              </w:tabs>
              <w:ind w:left="-9"/>
              <w:cnfStyle w:val="000000100000" w:firstRow="0" w:lastRow="0" w:firstColumn="0" w:lastColumn="0" w:oddVBand="0" w:evenVBand="0" w:oddHBand="1" w:evenHBand="0" w:firstRowFirstColumn="0" w:firstRowLastColumn="0" w:lastRowFirstColumn="0" w:lastRowLastColumn="0"/>
              <w:rPr>
                <w:rFonts w:ascii="Cambria" w:hAnsi="Cambria" w:cs="Arial"/>
              </w:rPr>
            </w:pPr>
            <w:r w:rsidRPr="00CF1FE7">
              <w:rPr>
                <w:rFonts w:ascii="Cambria" w:hAnsi="Cambria" w:cs="Arial"/>
              </w:rPr>
              <w:t>The tree planting event occurred on September 18, 2017 and was an ecumenical event attended by leaders of St Mark’s Theological College, the Centre for Christianity and Culture and other church leaders. Bishop John Henderson planted the Luther Oak. The event was preceded by an ecumenical service commemorating the 500</w:t>
            </w:r>
            <w:r w:rsidRPr="00CF1FE7">
              <w:rPr>
                <w:rFonts w:ascii="Cambria" w:hAnsi="Cambria" w:cs="Arial"/>
                <w:vertAlign w:val="superscript"/>
              </w:rPr>
              <w:t>th</w:t>
            </w:r>
            <w:r w:rsidRPr="00CF1FE7">
              <w:rPr>
                <w:rFonts w:ascii="Cambria" w:hAnsi="Cambria" w:cs="Arial"/>
              </w:rPr>
              <w:t xml:space="preserve"> anniversary of the Reformation at St Peter’s Lutheran Church, Canberra. Costs tota</w:t>
            </w:r>
            <w:r w:rsidR="00851A8E" w:rsidRPr="00CF1FE7">
              <w:rPr>
                <w:rFonts w:ascii="Cambria" w:hAnsi="Cambria" w:cs="Arial"/>
              </w:rPr>
              <w:t>lled $6,728</w:t>
            </w:r>
            <w:r w:rsidRPr="00CF1FE7">
              <w:rPr>
                <w:rFonts w:ascii="Cambria" w:hAnsi="Cambria" w:cs="Arial"/>
              </w:rPr>
              <w:t xml:space="preserve"> for the event including travel, accommodation and afternoon tea for approximately 50 invited guests. Many thanks to the local Canberra Lutherans who assisted with the day.</w:t>
            </w:r>
          </w:p>
          <w:p w14:paraId="1FB4391A" w14:textId="77777777" w:rsidR="00F631B1" w:rsidRPr="00CF1FE7" w:rsidRDefault="00F631B1" w:rsidP="00180211">
            <w:pPr>
              <w:pStyle w:val="ListParagraph"/>
              <w:ind w:left="-9"/>
              <w:cnfStyle w:val="000000100000" w:firstRow="0" w:lastRow="0" w:firstColumn="0" w:lastColumn="0" w:oddVBand="0" w:evenVBand="0" w:oddHBand="1" w:evenHBand="0" w:firstRowFirstColumn="0" w:firstRowLastColumn="0" w:lastRowFirstColumn="0" w:lastRowLastColumn="0"/>
              <w:rPr>
                <w:rFonts w:ascii="Cambria" w:hAnsi="Cambria" w:cs="Arial"/>
              </w:rPr>
            </w:pPr>
          </w:p>
          <w:p w14:paraId="5FFF6599" w14:textId="77777777" w:rsidR="00F631B1" w:rsidRPr="00CF1FE7" w:rsidRDefault="00F631B1" w:rsidP="00180211">
            <w:pPr>
              <w:tabs>
                <w:tab w:val="num" w:pos="416"/>
              </w:tabs>
              <w:ind w:left="-9"/>
              <w:cnfStyle w:val="000000100000" w:firstRow="0" w:lastRow="0" w:firstColumn="0" w:lastColumn="0" w:oddVBand="0" w:evenVBand="0" w:oddHBand="1" w:evenHBand="0" w:firstRowFirstColumn="0" w:firstRowLastColumn="0" w:lastRowFirstColumn="0" w:lastRowLastColumn="0"/>
              <w:rPr>
                <w:rFonts w:ascii="Cambria" w:hAnsi="Cambria" w:cs="Arial"/>
              </w:rPr>
            </w:pPr>
            <w:r w:rsidRPr="00CF1FE7">
              <w:rPr>
                <w:rFonts w:ascii="Cambria" w:hAnsi="Cambria" w:cs="Arial"/>
              </w:rPr>
              <w:t>A full day of activities commencing with Lutheran worship service at St Stephen’s Lutheran Church at 7:00 am and concluding with Roman Catholic worship service at St Francis Xavier’s cathedral.</w:t>
            </w:r>
          </w:p>
          <w:p w14:paraId="63E97F8A" w14:textId="77777777" w:rsidR="00F631B1" w:rsidRPr="00CF1FE7" w:rsidRDefault="00F631B1" w:rsidP="00180211">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CF1FE7">
              <w:rPr>
                <w:rFonts w:ascii="Cambria" w:hAnsi="Cambria" w:cs="Arial"/>
              </w:rPr>
              <w:t>LCA Costs: $35,000</w:t>
            </w:r>
          </w:p>
        </w:tc>
      </w:tr>
      <w:tr w:rsidR="00F631B1" w:rsidRPr="009A0DA6" w14:paraId="47104CFF" w14:textId="77777777" w:rsidTr="00180211">
        <w:trPr>
          <w:trHeight w:val="267"/>
        </w:trPr>
        <w:tc>
          <w:tcPr>
            <w:cnfStyle w:val="001000000000" w:firstRow="0" w:lastRow="0" w:firstColumn="1" w:lastColumn="0" w:oddVBand="0" w:evenVBand="0" w:oddHBand="0" w:evenHBand="0" w:firstRowFirstColumn="0" w:firstRowLastColumn="0" w:lastRowFirstColumn="0" w:lastRowLastColumn="0"/>
            <w:tcW w:w="1698" w:type="dxa"/>
          </w:tcPr>
          <w:p w14:paraId="06C1214A" w14:textId="77777777" w:rsidR="00F631B1" w:rsidRPr="009A0DA6" w:rsidRDefault="00F631B1" w:rsidP="00180211">
            <w:pPr>
              <w:widowControl w:val="0"/>
              <w:suppressAutoHyphens/>
              <w:rPr>
                <w:rFonts w:ascii="Cambria" w:hAnsi="Cambria"/>
              </w:rPr>
            </w:pPr>
            <w:r w:rsidRPr="009A0DA6">
              <w:rPr>
                <w:rFonts w:ascii="Cambria" w:hAnsi="Cambria"/>
              </w:rPr>
              <w:t>Numerous LCNZ events held throughout 2017</w:t>
            </w:r>
          </w:p>
        </w:tc>
        <w:tc>
          <w:tcPr>
            <w:tcW w:w="2288" w:type="dxa"/>
          </w:tcPr>
          <w:p w14:paraId="3A26B8F9" w14:textId="77777777" w:rsidR="00F631B1" w:rsidRPr="009A0DA6" w:rsidRDefault="00F631B1" w:rsidP="00180211">
            <w:pPr>
              <w:ind w:left="-8"/>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These were both of a national and local nature</w:t>
            </w:r>
          </w:p>
        </w:tc>
        <w:tc>
          <w:tcPr>
            <w:tcW w:w="4803" w:type="dxa"/>
          </w:tcPr>
          <w:p w14:paraId="7A92FEEC" w14:textId="77777777" w:rsidR="00F631B1" w:rsidRPr="009A0DA6" w:rsidRDefault="00F631B1" w:rsidP="00180211">
            <w:pPr>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These have given impetus and encouragement to the following:</w:t>
            </w:r>
          </w:p>
          <w:p w14:paraId="744A9519" w14:textId="1146A1A3" w:rsidR="00F631B1" w:rsidRPr="009A0DA6" w:rsidRDefault="00F631B1" w:rsidP="00F55252">
            <w:pPr>
              <w:pStyle w:val="ListParagraph"/>
              <w:numPr>
                <w:ilvl w:val="0"/>
                <w:numId w:val="312"/>
              </w:numPr>
              <w:spacing w:line="240" w:lineRule="auto"/>
              <w:ind w:left="300" w:hanging="284"/>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 xml:space="preserve">Establishment </w:t>
            </w:r>
            <w:r w:rsidR="001D2990">
              <w:rPr>
                <w:rFonts w:ascii="Cambria" w:hAnsi="Cambria" w:cs="Arial"/>
              </w:rPr>
              <w:t>of a Think Tank to look forward</w:t>
            </w:r>
          </w:p>
          <w:p w14:paraId="6C46D98A" w14:textId="77777777" w:rsidR="00F631B1" w:rsidRPr="009A0DA6" w:rsidRDefault="00F631B1" w:rsidP="00180211">
            <w:pPr>
              <w:ind w:left="317" w:hanging="317"/>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w:t>
            </w:r>
            <w:r w:rsidRPr="009A0DA6">
              <w:rPr>
                <w:rFonts w:ascii="Cambria" w:hAnsi="Cambria" w:cs="Arial"/>
              </w:rPr>
              <w:tab/>
              <w:t xml:space="preserve">Visioning Workshop </w:t>
            </w:r>
          </w:p>
          <w:p w14:paraId="75146DE7" w14:textId="77777777" w:rsidR="00F631B1" w:rsidRPr="009A0DA6" w:rsidRDefault="00F631B1" w:rsidP="00F55252">
            <w:pPr>
              <w:pStyle w:val="ListParagraph"/>
              <w:numPr>
                <w:ilvl w:val="0"/>
                <w:numId w:val="316"/>
              </w:numPr>
              <w:spacing w:line="240" w:lineRule="auto"/>
              <w:ind w:left="583" w:hanging="283"/>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Church Worker Conference</w:t>
            </w:r>
          </w:p>
          <w:p w14:paraId="2BC930FA" w14:textId="77777777" w:rsidR="00F631B1" w:rsidRPr="009A0DA6" w:rsidRDefault="00F631B1" w:rsidP="00F55252">
            <w:pPr>
              <w:pStyle w:val="ListParagraph"/>
              <w:numPr>
                <w:ilvl w:val="0"/>
                <w:numId w:val="316"/>
              </w:numPr>
              <w:spacing w:line="240" w:lineRule="auto"/>
              <w:ind w:left="583" w:hanging="283"/>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Council of Synod</w:t>
            </w:r>
          </w:p>
          <w:p w14:paraId="6068BC9D" w14:textId="77777777" w:rsidR="00F631B1" w:rsidRPr="009A0DA6" w:rsidRDefault="00F631B1" w:rsidP="00F55252">
            <w:pPr>
              <w:pStyle w:val="ListParagraph"/>
              <w:numPr>
                <w:ilvl w:val="0"/>
                <w:numId w:val="316"/>
              </w:numPr>
              <w:spacing w:line="240" w:lineRule="auto"/>
              <w:ind w:left="583" w:hanging="283"/>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Congregational Chair</w:t>
            </w:r>
          </w:p>
          <w:p w14:paraId="2D18AC0D" w14:textId="77777777" w:rsidR="00F631B1" w:rsidRPr="009A0DA6" w:rsidRDefault="00F631B1" w:rsidP="00180211">
            <w:pPr>
              <w:ind w:left="317" w:hanging="317"/>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w:t>
            </w:r>
            <w:r w:rsidRPr="009A0DA6">
              <w:rPr>
                <w:rFonts w:ascii="Cambria" w:hAnsi="Cambria" w:cs="Arial"/>
              </w:rPr>
              <w:tab/>
              <w:t xml:space="preserve">Roman Catholic – Lutheran Dialogue </w:t>
            </w:r>
          </w:p>
          <w:p w14:paraId="268D4079" w14:textId="77777777" w:rsidR="00F631B1" w:rsidRPr="009A0DA6" w:rsidRDefault="00F631B1" w:rsidP="00F55252">
            <w:pPr>
              <w:pStyle w:val="ListParagraph"/>
              <w:numPr>
                <w:ilvl w:val="0"/>
                <w:numId w:val="317"/>
              </w:numPr>
              <w:spacing w:line="240" w:lineRule="auto"/>
              <w:ind w:left="583" w:hanging="283"/>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Well underway</w:t>
            </w:r>
          </w:p>
          <w:p w14:paraId="13EF1BF4" w14:textId="77777777" w:rsidR="00F631B1" w:rsidRPr="009A0DA6" w:rsidRDefault="00F631B1" w:rsidP="00F55252">
            <w:pPr>
              <w:pStyle w:val="ListParagraph"/>
              <w:numPr>
                <w:ilvl w:val="0"/>
                <w:numId w:val="317"/>
              </w:numPr>
              <w:spacing w:line="240" w:lineRule="auto"/>
              <w:ind w:left="583" w:hanging="283"/>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Using LCA Dialogue material</w:t>
            </w:r>
          </w:p>
          <w:p w14:paraId="571029BE" w14:textId="77777777" w:rsidR="00F631B1" w:rsidRPr="009A0DA6" w:rsidRDefault="00F631B1" w:rsidP="00180211">
            <w:pPr>
              <w:ind w:left="317" w:hanging="317"/>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w:t>
            </w:r>
            <w:r w:rsidRPr="009A0DA6">
              <w:rPr>
                <w:rFonts w:ascii="Cambria" w:hAnsi="Cambria" w:cs="Arial"/>
              </w:rPr>
              <w:tab/>
              <w:t xml:space="preserve">Reformation Vespers </w:t>
            </w:r>
          </w:p>
          <w:p w14:paraId="221E5084" w14:textId="77777777" w:rsidR="00F631B1" w:rsidRPr="009A0DA6" w:rsidRDefault="00F631B1" w:rsidP="00F55252">
            <w:pPr>
              <w:pStyle w:val="ListParagraph"/>
              <w:numPr>
                <w:ilvl w:val="0"/>
                <w:numId w:val="318"/>
              </w:numPr>
              <w:spacing w:line="240" w:lineRule="auto"/>
              <w:ind w:left="583" w:hanging="283"/>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An attempt to offer this to the ABC for broadcast in Australia was turned down</w:t>
            </w:r>
          </w:p>
          <w:p w14:paraId="18ADB44D" w14:textId="7A25E0E8" w:rsidR="00CF1FE7" w:rsidRPr="00CF1FE7" w:rsidRDefault="00F631B1" w:rsidP="00CF1FE7">
            <w:pPr>
              <w:pStyle w:val="ListParagraph"/>
              <w:numPr>
                <w:ilvl w:val="0"/>
                <w:numId w:val="318"/>
              </w:numPr>
              <w:spacing w:line="240" w:lineRule="auto"/>
              <w:ind w:left="583" w:hanging="283"/>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Lutheran Communica</w:t>
            </w:r>
            <w:r w:rsidR="00CF1FE7">
              <w:rPr>
                <w:rFonts w:ascii="Cambria" w:hAnsi="Cambria" w:cs="Arial"/>
              </w:rPr>
              <w:t>t</w:t>
            </w:r>
            <w:r w:rsidR="007817B7">
              <w:rPr>
                <w:rFonts w:ascii="Cambria" w:hAnsi="Cambria" w:cs="Arial"/>
              </w:rPr>
              <w:t>ions will now make it available</w:t>
            </w:r>
          </w:p>
          <w:p w14:paraId="262DA86C" w14:textId="5B27EED4" w:rsidR="00F631B1" w:rsidRPr="009A0DA6" w:rsidRDefault="00F631B1" w:rsidP="00180211">
            <w:pPr>
              <w:ind w:left="317" w:hanging="317"/>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w:t>
            </w:r>
            <w:r w:rsidRPr="009A0DA6">
              <w:rPr>
                <w:rFonts w:ascii="Cambria" w:hAnsi="Cambria" w:cs="Arial"/>
              </w:rPr>
              <w:tab/>
              <w:t xml:space="preserve">Luther's Small Catechism </w:t>
            </w:r>
          </w:p>
          <w:p w14:paraId="40A30DA1" w14:textId="77777777" w:rsidR="00F631B1" w:rsidRPr="009A0DA6" w:rsidRDefault="00F631B1" w:rsidP="00F55252">
            <w:pPr>
              <w:pStyle w:val="ListParagraph"/>
              <w:numPr>
                <w:ilvl w:val="0"/>
                <w:numId w:val="319"/>
              </w:numPr>
              <w:spacing w:line="240" w:lineRule="auto"/>
              <w:ind w:left="583" w:hanging="283"/>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In English and Maori</w:t>
            </w:r>
          </w:p>
          <w:p w14:paraId="4A4EAB59" w14:textId="77777777" w:rsidR="00F631B1" w:rsidRPr="009A0DA6" w:rsidRDefault="00F631B1" w:rsidP="00F55252">
            <w:pPr>
              <w:pStyle w:val="ListParagraph"/>
              <w:numPr>
                <w:ilvl w:val="0"/>
                <w:numId w:val="319"/>
              </w:numPr>
              <w:spacing w:line="240" w:lineRule="auto"/>
              <w:ind w:left="583" w:hanging="283"/>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For every Lutheran home in NZ</w:t>
            </w:r>
          </w:p>
        </w:tc>
      </w:tr>
      <w:tr w:rsidR="00F631B1" w:rsidRPr="009A0DA6" w14:paraId="0FC73FEC" w14:textId="77777777" w:rsidTr="00180211">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698" w:type="dxa"/>
          </w:tcPr>
          <w:p w14:paraId="5766C068" w14:textId="7061DC74" w:rsidR="00F631B1" w:rsidRPr="009A0DA6" w:rsidRDefault="00F631B1" w:rsidP="00180211">
            <w:pPr>
              <w:widowControl w:val="0"/>
              <w:suppressAutoHyphens/>
              <w:rPr>
                <w:rFonts w:ascii="Cambria" w:hAnsi="Cambria"/>
              </w:rPr>
            </w:pPr>
            <w:r w:rsidRPr="009A0DA6">
              <w:rPr>
                <w:rFonts w:ascii="Cambria" w:hAnsi="Cambria"/>
              </w:rPr>
              <w:lastRenderedPageBreak/>
              <w:t>Celebrations of Anniver</w:t>
            </w:r>
            <w:r w:rsidR="00851A8E">
              <w:rPr>
                <w:rFonts w:ascii="Cambria" w:hAnsi="Cambria"/>
              </w:rPr>
              <w:t>-</w:t>
            </w:r>
            <w:r w:rsidRPr="009A0DA6">
              <w:rPr>
                <w:rFonts w:ascii="Cambria" w:hAnsi="Cambria"/>
              </w:rPr>
              <w:t>saries: Local via Com</w:t>
            </w:r>
            <w:r w:rsidR="00851A8E">
              <w:rPr>
                <w:rFonts w:ascii="Cambria" w:hAnsi="Cambria"/>
              </w:rPr>
              <w:t>-</w:t>
            </w:r>
            <w:r w:rsidRPr="009A0DA6">
              <w:rPr>
                <w:rFonts w:ascii="Cambria" w:hAnsi="Cambria"/>
              </w:rPr>
              <w:t>mission on Worship resources being pre</w:t>
            </w:r>
            <w:r w:rsidR="00851A8E">
              <w:rPr>
                <w:rFonts w:ascii="Cambria" w:hAnsi="Cambria"/>
              </w:rPr>
              <w:t>-</w:t>
            </w:r>
            <w:r w:rsidRPr="009A0DA6">
              <w:rPr>
                <w:rFonts w:ascii="Cambria" w:hAnsi="Cambria"/>
              </w:rPr>
              <w:t xml:space="preserve">pared and community gatherings at Longest Lutheran Lunch </w:t>
            </w:r>
          </w:p>
        </w:tc>
        <w:tc>
          <w:tcPr>
            <w:tcW w:w="2288" w:type="dxa"/>
          </w:tcPr>
          <w:p w14:paraId="1BF03398" w14:textId="556127E6" w:rsidR="00F631B1" w:rsidRPr="009A0DA6" w:rsidRDefault="00F631B1" w:rsidP="001D2990">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Provide promotion, resources and support for 2016 and 2017 anniversaries of 50</w:t>
            </w:r>
            <w:r w:rsidRPr="009A0DA6">
              <w:rPr>
                <w:rFonts w:ascii="Cambria" w:hAnsi="Cambria" w:cs="Arial"/>
                <w:vertAlign w:val="superscript"/>
              </w:rPr>
              <w:t>th</w:t>
            </w:r>
            <w:r w:rsidRPr="009A0DA6">
              <w:rPr>
                <w:rFonts w:ascii="Cambria" w:hAnsi="Cambria" w:cs="Arial"/>
              </w:rPr>
              <w:t xml:space="preserve"> LCA and 500</w:t>
            </w:r>
            <w:r w:rsidRPr="009A0DA6">
              <w:rPr>
                <w:rFonts w:ascii="Cambria" w:hAnsi="Cambria" w:cs="Arial"/>
                <w:vertAlign w:val="superscript"/>
              </w:rPr>
              <w:t>th</w:t>
            </w:r>
            <w:r w:rsidRPr="009A0DA6">
              <w:rPr>
                <w:rFonts w:ascii="Cambria" w:hAnsi="Cambria" w:cs="Arial"/>
              </w:rPr>
              <w:t xml:space="preserve"> Reformation by way of worship resources from the LCA Com</w:t>
            </w:r>
            <w:r w:rsidR="00851A8E">
              <w:rPr>
                <w:rFonts w:ascii="Cambria" w:hAnsi="Cambria" w:cs="Arial"/>
              </w:rPr>
              <w:t>-</w:t>
            </w:r>
            <w:r w:rsidRPr="009A0DA6">
              <w:rPr>
                <w:rFonts w:ascii="Cambria" w:hAnsi="Cambria" w:cs="Arial"/>
              </w:rPr>
              <w:t>mission on Worship and the Longest Lutheran Lunch (with the view to encourage congregations to reach out into their local communities).</w:t>
            </w:r>
          </w:p>
        </w:tc>
        <w:tc>
          <w:tcPr>
            <w:tcW w:w="4803" w:type="dxa"/>
          </w:tcPr>
          <w:p w14:paraId="68F81194" w14:textId="77777777" w:rsidR="00F631B1" w:rsidRPr="009A0DA6" w:rsidRDefault="00F631B1" w:rsidP="00180211">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The major costs were for employing a part-time Longest Lutheran Lunch coordinator and resources.</w:t>
            </w:r>
          </w:p>
        </w:tc>
      </w:tr>
    </w:tbl>
    <w:p w14:paraId="120E98C3" w14:textId="77777777" w:rsidR="00CF1FE7" w:rsidRDefault="00CF1FE7" w:rsidP="00F631B1">
      <w:pPr>
        <w:pStyle w:val="Heading3"/>
        <w:rPr>
          <w:rFonts w:eastAsia="Calibri"/>
        </w:rPr>
      </w:pPr>
    </w:p>
    <w:p w14:paraId="1D40BF11" w14:textId="732C91D4" w:rsidR="00F631B1" w:rsidRPr="009A0DA6" w:rsidRDefault="00F631B1" w:rsidP="00F631B1">
      <w:pPr>
        <w:pStyle w:val="Heading3"/>
        <w:rPr>
          <w:rFonts w:cs="Arial"/>
        </w:rPr>
      </w:pPr>
      <w:r w:rsidRPr="009A0DA6">
        <w:rPr>
          <w:rFonts w:eastAsia="Calibri"/>
        </w:rPr>
        <w:t>50.500</w:t>
      </w:r>
      <w:r w:rsidRPr="009A0DA6">
        <w:rPr>
          <w:rFonts w:eastAsia="Calibri"/>
          <w:spacing w:val="14"/>
        </w:rPr>
        <w:t xml:space="preserve"> </w:t>
      </w:r>
      <w:r w:rsidRPr="009A0DA6">
        <w:rPr>
          <w:rFonts w:eastAsia="Calibri"/>
        </w:rPr>
        <w:t>Budget</w:t>
      </w:r>
      <w:r w:rsidRPr="009A0DA6">
        <w:rPr>
          <w:rFonts w:eastAsia="Calibri"/>
          <w:spacing w:val="16"/>
        </w:rPr>
        <w:t xml:space="preserve"> </w:t>
      </w:r>
      <w:r w:rsidRPr="009A0DA6">
        <w:rPr>
          <w:rFonts w:eastAsia="Calibri"/>
        </w:rPr>
        <w:t>2016–2017</w:t>
      </w:r>
    </w:p>
    <w:tbl>
      <w:tblPr>
        <w:tblW w:w="8931" w:type="dxa"/>
        <w:tblInd w:w="108" w:type="dxa"/>
        <w:tblLayout w:type="fixed"/>
        <w:tblCellMar>
          <w:left w:w="0" w:type="dxa"/>
          <w:right w:w="0" w:type="dxa"/>
        </w:tblCellMar>
        <w:tblLook w:val="01E0" w:firstRow="1" w:lastRow="1" w:firstColumn="1" w:lastColumn="1" w:noHBand="0" w:noVBand="0"/>
      </w:tblPr>
      <w:tblGrid>
        <w:gridCol w:w="4428"/>
        <w:gridCol w:w="288"/>
        <w:gridCol w:w="1119"/>
        <w:gridCol w:w="304"/>
        <w:gridCol w:w="1244"/>
        <w:gridCol w:w="304"/>
        <w:gridCol w:w="1244"/>
      </w:tblGrid>
      <w:tr w:rsidR="00F631B1" w:rsidRPr="009A0DA6" w14:paraId="05453262" w14:textId="77777777" w:rsidTr="00180211">
        <w:trPr>
          <w:trHeight w:hRule="exact" w:val="298"/>
        </w:trPr>
        <w:tc>
          <w:tcPr>
            <w:tcW w:w="4428" w:type="dxa"/>
            <w:tcBorders>
              <w:top w:val="nil"/>
              <w:left w:val="nil"/>
              <w:bottom w:val="single" w:sz="8" w:space="0" w:color="000000"/>
              <w:right w:val="single" w:sz="8" w:space="0" w:color="000000"/>
            </w:tcBorders>
          </w:tcPr>
          <w:p w14:paraId="57EEA93E" w14:textId="77777777" w:rsidR="00F631B1" w:rsidRPr="009A0DA6" w:rsidRDefault="00F631B1" w:rsidP="00180211">
            <w:pPr>
              <w:widowControl w:val="0"/>
              <w:spacing w:after="0" w:line="240" w:lineRule="auto"/>
              <w:rPr>
                <w:rFonts w:ascii="Cambria" w:eastAsia="Calibri" w:hAnsi="Cambria" w:cs="Times New Roman"/>
              </w:rPr>
            </w:pPr>
            <w:bookmarkStart w:id="20" w:name="Budget"/>
            <w:bookmarkEnd w:id="20"/>
          </w:p>
        </w:tc>
        <w:tc>
          <w:tcPr>
            <w:tcW w:w="1407" w:type="dxa"/>
            <w:gridSpan w:val="2"/>
            <w:tcBorders>
              <w:top w:val="single" w:sz="8" w:space="0" w:color="000000"/>
              <w:left w:val="single" w:sz="8" w:space="0" w:color="000000"/>
              <w:bottom w:val="single" w:sz="8" w:space="0" w:color="000000"/>
              <w:right w:val="single" w:sz="8" w:space="0" w:color="000000"/>
            </w:tcBorders>
            <w:shd w:val="clear" w:color="auto" w:fill="D0CECE"/>
          </w:tcPr>
          <w:p w14:paraId="79DFA6F5" w14:textId="77777777" w:rsidR="00F631B1" w:rsidRPr="009A0DA6" w:rsidRDefault="00F631B1" w:rsidP="00180211">
            <w:pPr>
              <w:widowControl w:val="0"/>
              <w:spacing w:after="0" w:line="276" w:lineRule="exact"/>
              <w:ind w:left="462"/>
              <w:rPr>
                <w:rFonts w:ascii="Cambria" w:eastAsia="Calibri" w:hAnsi="Cambria" w:cs="Calibri"/>
              </w:rPr>
            </w:pPr>
            <w:r w:rsidRPr="009A0DA6">
              <w:rPr>
                <w:rFonts w:ascii="Cambria" w:eastAsia="Calibri" w:hAnsi="Cambria" w:cs="Times New Roman"/>
                <w:b/>
              </w:rPr>
              <w:t>2016</w:t>
            </w:r>
          </w:p>
        </w:tc>
        <w:tc>
          <w:tcPr>
            <w:tcW w:w="1548" w:type="dxa"/>
            <w:gridSpan w:val="2"/>
            <w:tcBorders>
              <w:top w:val="single" w:sz="8" w:space="0" w:color="000000"/>
              <w:left w:val="single" w:sz="8" w:space="0" w:color="000000"/>
              <w:bottom w:val="single" w:sz="8" w:space="0" w:color="000000"/>
              <w:right w:val="single" w:sz="8" w:space="0" w:color="000000"/>
            </w:tcBorders>
            <w:shd w:val="clear" w:color="auto" w:fill="D0CECE"/>
          </w:tcPr>
          <w:p w14:paraId="1414F360" w14:textId="77777777" w:rsidR="00F631B1" w:rsidRPr="009A0DA6" w:rsidRDefault="00F631B1" w:rsidP="00180211">
            <w:pPr>
              <w:widowControl w:val="0"/>
              <w:spacing w:after="0" w:line="276" w:lineRule="exact"/>
              <w:ind w:left="16"/>
              <w:jc w:val="center"/>
              <w:rPr>
                <w:rFonts w:ascii="Cambria" w:eastAsia="Calibri" w:hAnsi="Cambria" w:cs="Calibri"/>
              </w:rPr>
            </w:pPr>
            <w:r w:rsidRPr="009A0DA6">
              <w:rPr>
                <w:rFonts w:ascii="Cambria" w:eastAsia="Calibri" w:hAnsi="Cambria" w:cs="Times New Roman"/>
                <w:b/>
              </w:rPr>
              <w:t>2017</w:t>
            </w:r>
          </w:p>
        </w:tc>
        <w:tc>
          <w:tcPr>
            <w:tcW w:w="1548" w:type="dxa"/>
            <w:gridSpan w:val="2"/>
            <w:tcBorders>
              <w:top w:val="single" w:sz="8" w:space="0" w:color="000000"/>
              <w:left w:val="single" w:sz="8" w:space="0" w:color="000000"/>
              <w:bottom w:val="single" w:sz="8" w:space="0" w:color="000000"/>
              <w:right w:val="single" w:sz="8" w:space="0" w:color="000000"/>
            </w:tcBorders>
            <w:shd w:val="clear" w:color="auto" w:fill="D0CECE"/>
          </w:tcPr>
          <w:p w14:paraId="02C972C9" w14:textId="77777777" w:rsidR="00F631B1" w:rsidRPr="009A0DA6" w:rsidRDefault="00F631B1" w:rsidP="00180211">
            <w:pPr>
              <w:widowControl w:val="0"/>
              <w:spacing w:after="0" w:line="276" w:lineRule="exact"/>
              <w:ind w:left="522"/>
              <w:rPr>
                <w:rFonts w:ascii="Cambria" w:eastAsia="Calibri" w:hAnsi="Cambria" w:cs="Calibri"/>
              </w:rPr>
            </w:pPr>
            <w:r w:rsidRPr="009A0DA6">
              <w:rPr>
                <w:rFonts w:ascii="Cambria" w:eastAsia="Calibri" w:hAnsi="Cambria" w:cs="Times New Roman"/>
                <w:b/>
                <w:spacing w:val="-1"/>
              </w:rPr>
              <w:t>Total</w:t>
            </w:r>
          </w:p>
        </w:tc>
      </w:tr>
      <w:tr w:rsidR="00F631B1" w:rsidRPr="009A0DA6" w14:paraId="092447E7" w14:textId="77777777" w:rsidTr="00180211">
        <w:trPr>
          <w:trHeight w:hRule="exact" w:val="299"/>
        </w:trPr>
        <w:tc>
          <w:tcPr>
            <w:tcW w:w="4428" w:type="dxa"/>
            <w:tcBorders>
              <w:top w:val="single" w:sz="8" w:space="0" w:color="000000"/>
              <w:left w:val="single" w:sz="8" w:space="0" w:color="000000"/>
              <w:bottom w:val="single" w:sz="8" w:space="0" w:color="000000"/>
              <w:right w:val="single" w:sz="8" w:space="0" w:color="000000"/>
            </w:tcBorders>
            <w:shd w:val="clear" w:color="auto" w:fill="D0CECE"/>
          </w:tcPr>
          <w:p w14:paraId="4AAA9745" w14:textId="77777777" w:rsidR="00F631B1" w:rsidRPr="009A0DA6" w:rsidRDefault="00F631B1" w:rsidP="00180211">
            <w:pPr>
              <w:widowControl w:val="0"/>
              <w:spacing w:after="0" w:line="278" w:lineRule="exact"/>
              <w:ind w:left="30"/>
              <w:rPr>
                <w:rFonts w:ascii="Cambria" w:eastAsia="Calibri" w:hAnsi="Cambria" w:cs="Calibri"/>
              </w:rPr>
            </w:pPr>
            <w:r w:rsidRPr="009A0DA6">
              <w:rPr>
                <w:rFonts w:ascii="Cambria" w:eastAsia="Calibri" w:hAnsi="Cambria" w:cs="Times New Roman"/>
                <w:b/>
              </w:rPr>
              <w:t>Total</w:t>
            </w:r>
            <w:r w:rsidRPr="009A0DA6">
              <w:rPr>
                <w:rFonts w:ascii="Cambria" w:eastAsia="Calibri" w:hAnsi="Cambria" w:cs="Times New Roman"/>
                <w:b/>
                <w:spacing w:val="25"/>
              </w:rPr>
              <w:t xml:space="preserve"> </w:t>
            </w:r>
            <w:r w:rsidRPr="009A0DA6">
              <w:rPr>
                <w:rFonts w:ascii="Cambria" w:eastAsia="Calibri" w:hAnsi="Cambria" w:cs="Times New Roman"/>
                <w:b/>
                <w:spacing w:val="-1"/>
              </w:rPr>
              <w:t>Income:</w:t>
            </w:r>
          </w:p>
        </w:tc>
        <w:tc>
          <w:tcPr>
            <w:tcW w:w="288" w:type="dxa"/>
            <w:tcBorders>
              <w:top w:val="single" w:sz="8" w:space="0" w:color="000000"/>
              <w:left w:val="single" w:sz="8" w:space="0" w:color="000000"/>
              <w:bottom w:val="single" w:sz="2" w:space="0" w:color="000000"/>
              <w:right w:val="nil"/>
            </w:tcBorders>
          </w:tcPr>
          <w:p w14:paraId="0D7A0F59" w14:textId="77777777" w:rsidR="00F631B1" w:rsidRPr="009A0DA6" w:rsidRDefault="00F631B1" w:rsidP="00180211">
            <w:pPr>
              <w:widowControl w:val="0"/>
              <w:spacing w:after="0" w:line="279" w:lineRule="exact"/>
              <w:ind w:left="109"/>
              <w:rPr>
                <w:rFonts w:ascii="Cambria" w:eastAsia="Calibri" w:hAnsi="Cambria" w:cs="Calibri"/>
              </w:rPr>
            </w:pPr>
            <w:r w:rsidRPr="009A0DA6">
              <w:rPr>
                <w:rFonts w:ascii="Cambria" w:eastAsia="Calibri" w:hAnsi="Cambria" w:cs="Times New Roman"/>
              </w:rPr>
              <w:t>$</w:t>
            </w:r>
          </w:p>
        </w:tc>
        <w:tc>
          <w:tcPr>
            <w:tcW w:w="1119" w:type="dxa"/>
            <w:tcBorders>
              <w:top w:val="single" w:sz="8" w:space="0" w:color="000000"/>
              <w:left w:val="nil"/>
              <w:bottom w:val="single" w:sz="2" w:space="0" w:color="000000"/>
              <w:right w:val="single" w:sz="8" w:space="0" w:color="000000"/>
            </w:tcBorders>
          </w:tcPr>
          <w:p w14:paraId="1EAB72FF" w14:textId="77777777" w:rsidR="00F631B1" w:rsidRPr="009A0DA6" w:rsidRDefault="00F631B1" w:rsidP="00180211">
            <w:pPr>
              <w:widowControl w:val="0"/>
              <w:spacing w:after="0" w:line="279" w:lineRule="exact"/>
              <w:ind w:left="48"/>
              <w:rPr>
                <w:rFonts w:ascii="Cambria" w:eastAsia="Calibri" w:hAnsi="Cambria" w:cs="Calibri"/>
              </w:rPr>
            </w:pPr>
            <w:r w:rsidRPr="009A0DA6">
              <w:rPr>
                <w:rFonts w:ascii="Cambria" w:eastAsia="Calibri" w:hAnsi="Cambria" w:cs="Times New Roman"/>
                <w:spacing w:val="-1"/>
              </w:rPr>
              <w:t>30,353</w:t>
            </w:r>
          </w:p>
        </w:tc>
        <w:tc>
          <w:tcPr>
            <w:tcW w:w="304" w:type="dxa"/>
            <w:tcBorders>
              <w:top w:val="single" w:sz="8" w:space="0" w:color="000000"/>
              <w:left w:val="single" w:sz="8" w:space="0" w:color="000000"/>
              <w:bottom w:val="single" w:sz="2" w:space="0" w:color="000000"/>
              <w:right w:val="nil"/>
            </w:tcBorders>
          </w:tcPr>
          <w:p w14:paraId="326753D0" w14:textId="77777777" w:rsidR="00F631B1" w:rsidRPr="009A0DA6" w:rsidRDefault="00F631B1" w:rsidP="00180211">
            <w:pPr>
              <w:widowControl w:val="0"/>
              <w:spacing w:after="0" w:line="279" w:lineRule="exact"/>
              <w:ind w:left="102"/>
              <w:rPr>
                <w:rFonts w:ascii="Cambria" w:eastAsia="Calibri" w:hAnsi="Cambria" w:cs="Calibri"/>
              </w:rPr>
            </w:pPr>
            <w:r w:rsidRPr="009A0DA6">
              <w:rPr>
                <w:rFonts w:ascii="Cambria" w:eastAsia="Calibri" w:hAnsi="Cambria" w:cs="Times New Roman"/>
              </w:rPr>
              <w:t>$</w:t>
            </w:r>
          </w:p>
        </w:tc>
        <w:tc>
          <w:tcPr>
            <w:tcW w:w="1244" w:type="dxa"/>
            <w:tcBorders>
              <w:top w:val="single" w:sz="8" w:space="0" w:color="000000"/>
              <w:left w:val="nil"/>
              <w:bottom w:val="single" w:sz="2" w:space="0" w:color="000000"/>
              <w:right w:val="single" w:sz="8" w:space="0" w:color="000000"/>
            </w:tcBorders>
          </w:tcPr>
          <w:p w14:paraId="41072EB9" w14:textId="77777777" w:rsidR="00F631B1" w:rsidRPr="009A0DA6" w:rsidRDefault="00F631B1" w:rsidP="00180211">
            <w:pPr>
              <w:widowControl w:val="0"/>
              <w:spacing w:after="0" w:line="279" w:lineRule="exact"/>
              <w:ind w:left="53"/>
              <w:rPr>
                <w:rFonts w:ascii="Cambria" w:eastAsia="Calibri" w:hAnsi="Cambria" w:cs="Calibri"/>
              </w:rPr>
            </w:pPr>
            <w:r w:rsidRPr="009A0DA6">
              <w:rPr>
                <w:rFonts w:ascii="Cambria" w:eastAsia="Calibri" w:hAnsi="Cambria" w:cs="Times New Roman"/>
                <w:spacing w:val="-1"/>
              </w:rPr>
              <w:t>533,718</w:t>
            </w:r>
          </w:p>
        </w:tc>
        <w:tc>
          <w:tcPr>
            <w:tcW w:w="304" w:type="dxa"/>
            <w:tcBorders>
              <w:top w:val="single" w:sz="8" w:space="0" w:color="000000"/>
              <w:left w:val="single" w:sz="8" w:space="0" w:color="000000"/>
              <w:bottom w:val="single" w:sz="2" w:space="0" w:color="000000"/>
              <w:right w:val="nil"/>
            </w:tcBorders>
          </w:tcPr>
          <w:p w14:paraId="4B985915" w14:textId="77777777" w:rsidR="00F631B1" w:rsidRPr="009A0DA6" w:rsidRDefault="00F631B1" w:rsidP="00180211">
            <w:pPr>
              <w:widowControl w:val="0"/>
              <w:spacing w:after="0" w:line="279" w:lineRule="exact"/>
              <w:ind w:left="121"/>
              <w:rPr>
                <w:rFonts w:ascii="Cambria" w:eastAsia="Calibri" w:hAnsi="Cambria" w:cs="Calibri"/>
              </w:rPr>
            </w:pPr>
            <w:r w:rsidRPr="009A0DA6">
              <w:rPr>
                <w:rFonts w:ascii="Cambria" w:eastAsia="Calibri" w:hAnsi="Cambria" w:cs="Times New Roman"/>
              </w:rPr>
              <w:t>$</w:t>
            </w:r>
          </w:p>
        </w:tc>
        <w:tc>
          <w:tcPr>
            <w:tcW w:w="1244" w:type="dxa"/>
            <w:tcBorders>
              <w:top w:val="single" w:sz="8" w:space="0" w:color="000000"/>
              <w:left w:val="nil"/>
              <w:bottom w:val="single" w:sz="2" w:space="0" w:color="000000"/>
              <w:right w:val="single" w:sz="8" w:space="0" w:color="000000"/>
            </w:tcBorders>
          </w:tcPr>
          <w:p w14:paraId="2E9E475B" w14:textId="77777777" w:rsidR="00F631B1" w:rsidRPr="009A0DA6" w:rsidRDefault="00F631B1" w:rsidP="00180211">
            <w:pPr>
              <w:widowControl w:val="0"/>
              <w:spacing w:after="0" w:line="279" w:lineRule="exact"/>
              <w:ind w:left="53"/>
              <w:rPr>
                <w:rFonts w:ascii="Cambria" w:eastAsia="Calibri" w:hAnsi="Cambria" w:cs="Calibri"/>
              </w:rPr>
            </w:pPr>
            <w:r w:rsidRPr="009A0DA6">
              <w:rPr>
                <w:rFonts w:ascii="Cambria" w:eastAsia="Calibri" w:hAnsi="Cambria" w:cs="Times New Roman"/>
                <w:spacing w:val="-1"/>
              </w:rPr>
              <w:t>564,071</w:t>
            </w:r>
          </w:p>
        </w:tc>
      </w:tr>
      <w:tr w:rsidR="00F631B1" w:rsidRPr="009A0DA6" w14:paraId="237C0C13" w14:textId="77777777" w:rsidTr="00180211">
        <w:trPr>
          <w:trHeight w:hRule="exact" w:val="296"/>
        </w:trPr>
        <w:tc>
          <w:tcPr>
            <w:tcW w:w="4428" w:type="dxa"/>
            <w:tcBorders>
              <w:top w:val="single" w:sz="8" w:space="0" w:color="000000"/>
              <w:left w:val="single" w:sz="8" w:space="0" w:color="000000"/>
              <w:bottom w:val="single" w:sz="8" w:space="0" w:color="000000"/>
              <w:right w:val="single" w:sz="8" w:space="0" w:color="000000"/>
            </w:tcBorders>
            <w:shd w:val="clear" w:color="auto" w:fill="D0CECE"/>
          </w:tcPr>
          <w:p w14:paraId="4FE7143A" w14:textId="77777777" w:rsidR="00F631B1" w:rsidRPr="009A0DA6" w:rsidRDefault="00F631B1" w:rsidP="00180211">
            <w:pPr>
              <w:widowControl w:val="0"/>
              <w:spacing w:after="0" w:line="275" w:lineRule="exact"/>
              <w:ind w:left="30"/>
              <w:rPr>
                <w:rFonts w:ascii="Cambria" w:eastAsia="Calibri" w:hAnsi="Cambria" w:cs="Calibri"/>
              </w:rPr>
            </w:pPr>
            <w:r w:rsidRPr="009A0DA6">
              <w:rPr>
                <w:rFonts w:ascii="Cambria" w:eastAsia="Calibri" w:hAnsi="Cambria" w:cs="Times New Roman"/>
                <w:b/>
              </w:rPr>
              <w:t>Total</w:t>
            </w:r>
            <w:r w:rsidRPr="009A0DA6">
              <w:rPr>
                <w:rFonts w:ascii="Cambria" w:eastAsia="Calibri" w:hAnsi="Cambria" w:cs="Times New Roman"/>
                <w:b/>
                <w:spacing w:val="34"/>
              </w:rPr>
              <w:t xml:space="preserve"> </w:t>
            </w:r>
            <w:r w:rsidRPr="009A0DA6">
              <w:rPr>
                <w:rFonts w:ascii="Cambria" w:eastAsia="Calibri" w:hAnsi="Cambria" w:cs="Times New Roman"/>
                <w:b/>
              </w:rPr>
              <w:t>Expenditure:</w:t>
            </w:r>
          </w:p>
        </w:tc>
        <w:tc>
          <w:tcPr>
            <w:tcW w:w="288" w:type="dxa"/>
            <w:tcBorders>
              <w:top w:val="single" w:sz="2" w:space="0" w:color="000000"/>
              <w:left w:val="single" w:sz="8" w:space="0" w:color="000000"/>
              <w:bottom w:val="single" w:sz="8" w:space="0" w:color="000000"/>
              <w:right w:val="nil"/>
            </w:tcBorders>
          </w:tcPr>
          <w:p w14:paraId="6EFFCE75" w14:textId="77777777" w:rsidR="00F631B1" w:rsidRPr="009A0DA6" w:rsidRDefault="00F631B1" w:rsidP="00180211">
            <w:pPr>
              <w:widowControl w:val="0"/>
              <w:spacing w:before="5" w:after="0" w:line="278" w:lineRule="exact"/>
              <w:ind w:left="109"/>
              <w:rPr>
                <w:rFonts w:ascii="Cambria" w:eastAsia="Calibri" w:hAnsi="Cambria" w:cs="Calibri"/>
              </w:rPr>
            </w:pPr>
            <w:r w:rsidRPr="009A0DA6">
              <w:rPr>
                <w:rFonts w:ascii="Cambria" w:eastAsia="Calibri" w:hAnsi="Cambria" w:cs="Times New Roman"/>
              </w:rPr>
              <w:t>$</w:t>
            </w:r>
          </w:p>
        </w:tc>
        <w:tc>
          <w:tcPr>
            <w:tcW w:w="1119" w:type="dxa"/>
            <w:tcBorders>
              <w:top w:val="single" w:sz="2" w:space="0" w:color="000000"/>
              <w:left w:val="nil"/>
              <w:bottom w:val="single" w:sz="8" w:space="0" w:color="000000"/>
              <w:right w:val="single" w:sz="8" w:space="0" w:color="000000"/>
            </w:tcBorders>
          </w:tcPr>
          <w:p w14:paraId="66A05317" w14:textId="77777777" w:rsidR="00F631B1" w:rsidRPr="009A0DA6" w:rsidRDefault="00F631B1" w:rsidP="00180211">
            <w:pPr>
              <w:widowControl w:val="0"/>
              <w:spacing w:before="5" w:after="0" w:line="278" w:lineRule="exact"/>
              <w:ind w:left="48"/>
              <w:rPr>
                <w:rFonts w:ascii="Cambria" w:eastAsia="Calibri" w:hAnsi="Cambria" w:cs="Calibri"/>
              </w:rPr>
            </w:pPr>
            <w:r w:rsidRPr="009A0DA6">
              <w:rPr>
                <w:rFonts w:ascii="Cambria" w:eastAsia="Calibri" w:hAnsi="Cambria" w:cs="Times New Roman"/>
                <w:spacing w:val="-1"/>
              </w:rPr>
              <w:t>30,353</w:t>
            </w:r>
          </w:p>
        </w:tc>
        <w:tc>
          <w:tcPr>
            <w:tcW w:w="304" w:type="dxa"/>
            <w:tcBorders>
              <w:top w:val="single" w:sz="2" w:space="0" w:color="000000"/>
              <w:left w:val="single" w:sz="8" w:space="0" w:color="000000"/>
              <w:bottom w:val="single" w:sz="8" w:space="0" w:color="000000"/>
              <w:right w:val="nil"/>
            </w:tcBorders>
          </w:tcPr>
          <w:p w14:paraId="2FA08B79" w14:textId="77777777" w:rsidR="00F631B1" w:rsidRPr="009A0DA6" w:rsidRDefault="00F631B1" w:rsidP="00180211">
            <w:pPr>
              <w:widowControl w:val="0"/>
              <w:spacing w:before="5" w:after="0" w:line="278" w:lineRule="exact"/>
              <w:ind w:left="121"/>
              <w:rPr>
                <w:rFonts w:ascii="Cambria" w:eastAsia="Calibri" w:hAnsi="Cambria" w:cs="Calibri"/>
              </w:rPr>
            </w:pPr>
            <w:r w:rsidRPr="009A0DA6">
              <w:rPr>
                <w:rFonts w:ascii="Cambria" w:eastAsia="Calibri" w:hAnsi="Cambria" w:cs="Times New Roman"/>
              </w:rPr>
              <w:t>$</w:t>
            </w:r>
          </w:p>
        </w:tc>
        <w:tc>
          <w:tcPr>
            <w:tcW w:w="1244" w:type="dxa"/>
            <w:tcBorders>
              <w:top w:val="single" w:sz="2" w:space="0" w:color="000000"/>
              <w:left w:val="nil"/>
              <w:bottom w:val="single" w:sz="8" w:space="0" w:color="000000"/>
              <w:right w:val="single" w:sz="8" w:space="0" w:color="000000"/>
            </w:tcBorders>
          </w:tcPr>
          <w:p w14:paraId="3D136CEF" w14:textId="77777777" w:rsidR="00F631B1" w:rsidRPr="009A0DA6" w:rsidRDefault="00F631B1" w:rsidP="00180211">
            <w:pPr>
              <w:widowControl w:val="0"/>
              <w:spacing w:before="5" w:after="0" w:line="278" w:lineRule="exact"/>
              <w:ind w:left="53"/>
              <w:rPr>
                <w:rFonts w:ascii="Cambria" w:eastAsia="Calibri" w:hAnsi="Cambria" w:cs="Calibri"/>
              </w:rPr>
            </w:pPr>
            <w:r w:rsidRPr="009A0DA6">
              <w:rPr>
                <w:rFonts w:ascii="Cambria" w:eastAsia="Calibri" w:hAnsi="Cambria" w:cs="Times New Roman"/>
                <w:spacing w:val="-1"/>
              </w:rPr>
              <w:t>350,236</w:t>
            </w:r>
          </w:p>
        </w:tc>
        <w:tc>
          <w:tcPr>
            <w:tcW w:w="304" w:type="dxa"/>
            <w:tcBorders>
              <w:top w:val="single" w:sz="2" w:space="0" w:color="000000"/>
              <w:left w:val="single" w:sz="8" w:space="0" w:color="000000"/>
              <w:bottom w:val="single" w:sz="8" w:space="0" w:color="000000"/>
              <w:right w:val="nil"/>
            </w:tcBorders>
          </w:tcPr>
          <w:p w14:paraId="2D46EDB5" w14:textId="77777777" w:rsidR="00F631B1" w:rsidRPr="009A0DA6" w:rsidRDefault="00F631B1" w:rsidP="00180211">
            <w:pPr>
              <w:widowControl w:val="0"/>
              <w:spacing w:before="5" w:after="0" w:line="278" w:lineRule="exact"/>
              <w:ind w:left="121"/>
              <w:rPr>
                <w:rFonts w:ascii="Cambria" w:eastAsia="Calibri" w:hAnsi="Cambria" w:cs="Calibri"/>
              </w:rPr>
            </w:pPr>
            <w:r w:rsidRPr="009A0DA6">
              <w:rPr>
                <w:rFonts w:ascii="Cambria" w:eastAsia="Calibri" w:hAnsi="Cambria" w:cs="Times New Roman"/>
              </w:rPr>
              <w:t>$</w:t>
            </w:r>
          </w:p>
        </w:tc>
        <w:tc>
          <w:tcPr>
            <w:tcW w:w="1244" w:type="dxa"/>
            <w:tcBorders>
              <w:top w:val="single" w:sz="2" w:space="0" w:color="000000"/>
              <w:left w:val="nil"/>
              <w:bottom w:val="single" w:sz="8" w:space="0" w:color="000000"/>
              <w:right w:val="single" w:sz="8" w:space="0" w:color="000000"/>
            </w:tcBorders>
          </w:tcPr>
          <w:p w14:paraId="151A0D47" w14:textId="77777777" w:rsidR="00F631B1" w:rsidRPr="009A0DA6" w:rsidRDefault="00F631B1" w:rsidP="00180211">
            <w:pPr>
              <w:widowControl w:val="0"/>
              <w:spacing w:before="5" w:after="0" w:line="278" w:lineRule="exact"/>
              <w:ind w:left="53"/>
              <w:rPr>
                <w:rFonts w:ascii="Cambria" w:eastAsia="Calibri" w:hAnsi="Cambria" w:cs="Calibri"/>
              </w:rPr>
            </w:pPr>
            <w:r w:rsidRPr="009A0DA6">
              <w:rPr>
                <w:rFonts w:ascii="Cambria" w:eastAsia="Calibri" w:hAnsi="Cambria" w:cs="Times New Roman"/>
                <w:spacing w:val="-1"/>
              </w:rPr>
              <w:t>380,589</w:t>
            </w:r>
          </w:p>
        </w:tc>
      </w:tr>
    </w:tbl>
    <w:p w14:paraId="68E7FFFA" w14:textId="77777777" w:rsidR="00F631B1" w:rsidRPr="009A0DA6" w:rsidRDefault="00F631B1" w:rsidP="00F631B1">
      <w:pPr>
        <w:widowControl w:val="0"/>
        <w:spacing w:before="8" w:after="0" w:line="240" w:lineRule="auto"/>
        <w:rPr>
          <w:rFonts w:ascii="Cambria" w:eastAsia="Calibri" w:hAnsi="Cambria" w:cs="Calibri"/>
          <w:b/>
          <w:bCs/>
        </w:rPr>
      </w:pPr>
    </w:p>
    <w:tbl>
      <w:tblPr>
        <w:tblW w:w="8927" w:type="dxa"/>
        <w:tblInd w:w="108" w:type="dxa"/>
        <w:tblLayout w:type="fixed"/>
        <w:tblCellMar>
          <w:left w:w="0" w:type="dxa"/>
          <w:right w:w="0" w:type="dxa"/>
        </w:tblCellMar>
        <w:tblLook w:val="01E0" w:firstRow="1" w:lastRow="1" w:firstColumn="1" w:lastColumn="1" w:noHBand="0" w:noVBand="0"/>
      </w:tblPr>
      <w:tblGrid>
        <w:gridCol w:w="4277"/>
        <w:gridCol w:w="355"/>
        <w:gridCol w:w="1195"/>
        <w:gridCol w:w="355"/>
        <w:gridCol w:w="1195"/>
        <w:gridCol w:w="292"/>
        <w:gridCol w:w="63"/>
        <w:gridCol w:w="1195"/>
      </w:tblGrid>
      <w:tr w:rsidR="00F631B1" w:rsidRPr="009A0DA6" w14:paraId="16FD83BF" w14:textId="77777777" w:rsidTr="00180211">
        <w:trPr>
          <w:trHeight w:hRule="exact" w:val="298"/>
        </w:trPr>
        <w:tc>
          <w:tcPr>
            <w:tcW w:w="4277" w:type="dxa"/>
            <w:tcBorders>
              <w:top w:val="single" w:sz="8" w:space="0" w:color="000000"/>
              <w:left w:val="single" w:sz="8" w:space="0" w:color="000000"/>
              <w:bottom w:val="single" w:sz="8" w:space="0" w:color="000000"/>
              <w:right w:val="single" w:sz="8" w:space="0" w:color="000000"/>
            </w:tcBorders>
            <w:shd w:val="clear" w:color="auto" w:fill="E7E6E6"/>
          </w:tcPr>
          <w:p w14:paraId="27541A2D" w14:textId="77777777" w:rsidR="00F631B1" w:rsidRPr="009A0DA6" w:rsidRDefault="00F631B1" w:rsidP="00180211">
            <w:pPr>
              <w:widowControl w:val="0"/>
              <w:spacing w:after="0" w:line="276" w:lineRule="exact"/>
              <w:ind w:right="28"/>
              <w:rPr>
                <w:rFonts w:ascii="Cambria" w:eastAsia="Calibri" w:hAnsi="Cambria" w:cs="Times New Roman"/>
                <w:b/>
                <w:spacing w:val="-1"/>
              </w:rPr>
            </w:pPr>
            <w:r w:rsidRPr="009A0DA6">
              <w:rPr>
                <w:rFonts w:ascii="Cambria" w:eastAsia="Calibri" w:hAnsi="Cambria" w:cs="Times New Roman"/>
                <w:b/>
                <w:spacing w:val="-1"/>
              </w:rPr>
              <w:t>Project</w:t>
            </w:r>
          </w:p>
        </w:tc>
        <w:tc>
          <w:tcPr>
            <w:tcW w:w="355" w:type="dxa"/>
            <w:tcBorders>
              <w:top w:val="single" w:sz="8" w:space="0" w:color="000000"/>
              <w:left w:val="single" w:sz="8" w:space="0" w:color="000000"/>
              <w:bottom w:val="single" w:sz="8" w:space="0" w:color="000000"/>
              <w:right w:val="nil"/>
            </w:tcBorders>
            <w:shd w:val="clear" w:color="auto" w:fill="E7E6E6"/>
          </w:tcPr>
          <w:p w14:paraId="607CE997" w14:textId="77777777" w:rsidR="00F631B1" w:rsidRPr="009A0DA6" w:rsidRDefault="00F631B1" w:rsidP="00180211">
            <w:pPr>
              <w:widowControl w:val="0"/>
              <w:spacing w:after="0" w:line="276" w:lineRule="exact"/>
              <w:ind w:left="102"/>
              <w:jc w:val="right"/>
              <w:rPr>
                <w:rFonts w:ascii="Cambria" w:eastAsia="Calibri" w:hAnsi="Cambria" w:cs="Times New Roman"/>
                <w:b/>
              </w:rPr>
            </w:pPr>
          </w:p>
        </w:tc>
        <w:tc>
          <w:tcPr>
            <w:tcW w:w="1195" w:type="dxa"/>
            <w:tcBorders>
              <w:top w:val="single" w:sz="8" w:space="0" w:color="000000"/>
              <w:left w:val="nil"/>
              <w:bottom w:val="single" w:sz="8" w:space="0" w:color="000000"/>
              <w:right w:val="single" w:sz="8" w:space="0" w:color="000000"/>
            </w:tcBorders>
            <w:shd w:val="clear" w:color="auto" w:fill="E7E6E6"/>
          </w:tcPr>
          <w:p w14:paraId="331A3D5E" w14:textId="77777777" w:rsidR="00F631B1" w:rsidRPr="009A0DA6" w:rsidRDefault="00F631B1" w:rsidP="00180211">
            <w:pPr>
              <w:widowControl w:val="0"/>
              <w:spacing w:after="0" w:line="276" w:lineRule="exact"/>
              <w:ind w:left="120" w:right="131"/>
              <w:jc w:val="right"/>
              <w:rPr>
                <w:rFonts w:ascii="Cambria" w:eastAsia="Calibri" w:hAnsi="Cambria" w:cs="Times New Roman"/>
                <w:b/>
                <w:spacing w:val="-1"/>
              </w:rPr>
            </w:pPr>
            <w:r w:rsidRPr="009A0DA6">
              <w:rPr>
                <w:rFonts w:ascii="Cambria" w:eastAsia="Calibri" w:hAnsi="Cambria" w:cs="Times New Roman"/>
                <w:b/>
                <w:spacing w:val="-1"/>
              </w:rPr>
              <w:t>Budget</w:t>
            </w:r>
          </w:p>
        </w:tc>
        <w:tc>
          <w:tcPr>
            <w:tcW w:w="355" w:type="dxa"/>
            <w:tcBorders>
              <w:top w:val="single" w:sz="8" w:space="0" w:color="000000"/>
              <w:left w:val="single" w:sz="8" w:space="0" w:color="000000"/>
              <w:bottom w:val="single" w:sz="8" w:space="0" w:color="000000"/>
              <w:right w:val="nil"/>
            </w:tcBorders>
            <w:shd w:val="clear" w:color="auto" w:fill="E7E6E6"/>
          </w:tcPr>
          <w:p w14:paraId="10B10E20" w14:textId="77777777" w:rsidR="00F631B1" w:rsidRPr="009A0DA6" w:rsidRDefault="00F631B1" w:rsidP="00180211">
            <w:pPr>
              <w:widowControl w:val="0"/>
              <w:spacing w:after="0" w:line="276" w:lineRule="exact"/>
              <w:ind w:left="102"/>
              <w:jc w:val="right"/>
              <w:rPr>
                <w:rFonts w:ascii="Cambria" w:eastAsia="Calibri" w:hAnsi="Cambria" w:cs="Times New Roman"/>
                <w:b/>
              </w:rPr>
            </w:pPr>
          </w:p>
        </w:tc>
        <w:tc>
          <w:tcPr>
            <w:tcW w:w="1195" w:type="dxa"/>
            <w:tcBorders>
              <w:top w:val="single" w:sz="8" w:space="0" w:color="000000"/>
              <w:left w:val="nil"/>
              <w:bottom w:val="single" w:sz="8" w:space="0" w:color="000000"/>
              <w:right w:val="single" w:sz="8" w:space="0" w:color="000000"/>
            </w:tcBorders>
            <w:shd w:val="clear" w:color="auto" w:fill="E7E6E6"/>
          </w:tcPr>
          <w:p w14:paraId="7377A655" w14:textId="77777777" w:rsidR="00F631B1" w:rsidRPr="009A0DA6" w:rsidRDefault="00F631B1" w:rsidP="00180211">
            <w:pPr>
              <w:widowControl w:val="0"/>
              <w:spacing w:after="0" w:line="276" w:lineRule="exact"/>
              <w:ind w:left="120" w:right="131"/>
              <w:jc w:val="right"/>
              <w:rPr>
                <w:rFonts w:ascii="Cambria" w:eastAsia="Calibri" w:hAnsi="Cambria" w:cs="Times New Roman"/>
                <w:b/>
                <w:spacing w:val="-1"/>
              </w:rPr>
            </w:pPr>
            <w:r w:rsidRPr="009A0DA6">
              <w:rPr>
                <w:rFonts w:ascii="Cambria" w:eastAsia="Calibri" w:hAnsi="Cambria" w:cs="Times New Roman"/>
                <w:b/>
                <w:spacing w:val="-1"/>
              </w:rPr>
              <w:t>Actual</w:t>
            </w:r>
          </w:p>
        </w:tc>
        <w:tc>
          <w:tcPr>
            <w:tcW w:w="355" w:type="dxa"/>
            <w:gridSpan w:val="2"/>
            <w:tcBorders>
              <w:top w:val="single" w:sz="8" w:space="0" w:color="000000"/>
              <w:left w:val="single" w:sz="8" w:space="0" w:color="000000"/>
              <w:bottom w:val="single" w:sz="8" w:space="0" w:color="000000"/>
              <w:right w:val="nil"/>
            </w:tcBorders>
            <w:shd w:val="clear" w:color="auto" w:fill="E7E6E6"/>
          </w:tcPr>
          <w:p w14:paraId="5034FA5F" w14:textId="77777777" w:rsidR="00F631B1" w:rsidRPr="009A0DA6" w:rsidRDefault="00F631B1" w:rsidP="00180211">
            <w:pPr>
              <w:widowControl w:val="0"/>
              <w:spacing w:after="0" w:line="276" w:lineRule="exact"/>
              <w:ind w:left="102"/>
              <w:jc w:val="right"/>
              <w:rPr>
                <w:rFonts w:ascii="Cambria" w:eastAsia="Calibri" w:hAnsi="Cambria" w:cs="Times New Roman"/>
                <w:b/>
              </w:rPr>
            </w:pPr>
          </w:p>
        </w:tc>
        <w:tc>
          <w:tcPr>
            <w:tcW w:w="1195" w:type="dxa"/>
            <w:tcBorders>
              <w:top w:val="single" w:sz="8" w:space="0" w:color="000000"/>
              <w:left w:val="nil"/>
              <w:bottom w:val="single" w:sz="8" w:space="0" w:color="000000"/>
              <w:right w:val="single" w:sz="8" w:space="0" w:color="000000"/>
            </w:tcBorders>
            <w:shd w:val="clear" w:color="auto" w:fill="E7E6E6"/>
          </w:tcPr>
          <w:p w14:paraId="1B75F325" w14:textId="77777777" w:rsidR="00F631B1" w:rsidRPr="009A0DA6" w:rsidRDefault="00F631B1" w:rsidP="00180211">
            <w:pPr>
              <w:widowControl w:val="0"/>
              <w:spacing w:after="0" w:line="276" w:lineRule="exact"/>
              <w:ind w:left="-337" w:right="131"/>
              <w:jc w:val="right"/>
              <w:rPr>
                <w:rFonts w:ascii="Cambria" w:eastAsia="Calibri" w:hAnsi="Cambria" w:cs="Times New Roman"/>
                <w:b/>
                <w:spacing w:val="-1"/>
              </w:rPr>
            </w:pPr>
            <w:r w:rsidRPr="009A0DA6">
              <w:rPr>
                <w:rFonts w:ascii="Cambria" w:eastAsia="Calibri" w:hAnsi="Cambria" w:cs="Times New Roman"/>
                <w:b/>
                <w:spacing w:val="-1"/>
              </w:rPr>
              <w:t>Balance</w:t>
            </w:r>
          </w:p>
        </w:tc>
      </w:tr>
      <w:tr w:rsidR="00F631B1" w:rsidRPr="009A0DA6" w14:paraId="121C328F" w14:textId="77777777" w:rsidTr="00180211">
        <w:trPr>
          <w:trHeight w:hRule="exact" w:val="298"/>
        </w:trPr>
        <w:tc>
          <w:tcPr>
            <w:tcW w:w="8927" w:type="dxa"/>
            <w:gridSpan w:val="8"/>
            <w:tcBorders>
              <w:top w:val="single" w:sz="8" w:space="0" w:color="000000"/>
              <w:left w:val="single" w:sz="8" w:space="0" w:color="000000"/>
              <w:bottom w:val="single" w:sz="8" w:space="0" w:color="000000"/>
              <w:right w:val="single" w:sz="8" w:space="0" w:color="000000"/>
            </w:tcBorders>
            <w:shd w:val="clear" w:color="auto" w:fill="E7E6E6"/>
          </w:tcPr>
          <w:p w14:paraId="16B3FDCC" w14:textId="77777777" w:rsidR="00F631B1" w:rsidRPr="009A0DA6" w:rsidRDefault="00F631B1" w:rsidP="00180211">
            <w:pPr>
              <w:widowControl w:val="0"/>
              <w:spacing w:after="0" w:line="276" w:lineRule="exact"/>
              <w:ind w:left="30"/>
              <w:rPr>
                <w:rFonts w:ascii="Cambria" w:eastAsia="Calibri" w:hAnsi="Cambria" w:cs="Calibri"/>
              </w:rPr>
            </w:pPr>
            <w:r w:rsidRPr="009A0DA6">
              <w:rPr>
                <w:rFonts w:ascii="Cambria" w:eastAsia="Calibri" w:hAnsi="Cambria" w:cs="Times New Roman"/>
                <w:b/>
                <w:spacing w:val="-1"/>
              </w:rPr>
              <w:t>Sowing</w:t>
            </w:r>
            <w:r w:rsidRPr="009A0DA6">
              <w:rPr>
                <w:rFonts w:ascii="Cambria" w:eastAsia="Calibri" w:hAnsi="Cambria" w:cs="Times New Roman"/>
                <w:b/>
                <w:spacing w:val="14"/>
              </w:rPr>
              <w:t xml:space="preserve"> </w:t>
            </w:r>
            <w:r w:rsidRPr="009A0DA6">
              <w:rPr>
                <w:rFonts w:ascii="Cambria" w:eastAsia="Calibri" w:hAnsi="Cambria" w:cs="Times New Roman"/>
                <w:b/>
              </w:rPr>
              <w:t>the</w:t>
            </w:r>
            <w:r w:rsidRPr="009A0DA6">
              <w:rPr>
                <w:rFonts w:ascii="Cambria" w:eastAsia="Calibri" w:hAnsi="Cambria" w:cs="Times New Roman"/>
                <w:b/>
                <w:spacing w:val="15"/>
              </w:rPr>
              <w:t xml:space="preserve"> </w:t>
            </w:r>
            <w:r w:rsidRPr="009A0DA6">
              <w:rPr>
                <w:rFonts w:ascii="Cambria" w:eastAsia="Calibri" w:hAnsi="Cambria" w:cs="Times New Roman"/>
                <w:b/>
                <w:spacing w:val="-1"/>
              </w:rPr>
              <w:t>Seeds</w:t>
            </w:r>
          </w:p>
        </w:tc>
      </w:tr>
      <w:tr w:rsidR="00F631B1" w:rsidRPr="009A0DA6" w14:paraId="63DF16A2" w14:textId="77777777" w:rsidTr="00180211">
        <w:trPr>
          <w:trHeight w:hRule="exact" w:val="317"/>
        </w:trPr>
        <w:tc>
          <w:tcPr>
            <w:tcW w:w="4277" w:type="dxa"/>
            <w:tcBorders>
              <w:top w:val="single" w:sz="8" w:space="0" w:color="000000"/>
              <w:left w:val="single" w:sz="8" w:space="0" w:color="000000"/>
              <w:bottom w:val="nil"/>
              <w:right w:val="nil"/>
            </w:tcBorders>
          </w:tcPr>
          <w:p w14:paraId="5ECC5B4F" w14:textId="77777777" w:rsidR="00F631B1" w:rsidRPr="009A0DA6" w:rsidRDefault="00F631B1" w:rsidP="00180211">
            <w:pPr>
              <w:widowControl w:val="0"/>
              <w:spacing w:after="0" w:line="277" w:lineRule="exact"/>
              <w:ind w:left="30"/>
              <w:rPr>
                <w:rFonts w:ascii="Cambria" w:eastAsia="Calibri" w:hAnsi="Cambria" w:cs="Calibri"/>
              </w:rPr>
            </w:pPr>
            <w:r w:rsidRPr="009A0DA6">
              <w:rPr>
                <w:rFonts w:ascii="Cambria" w:eastAsia="Calibri" w:hAnsi="Cambria" w:cs="Times New Roman"/>
              </w:rPr>
              <w:t>1.</w:t>
            </w:r>
            <w:r w:rsidRPr="009A0DA6">
              <w:rPr>
                <w:rFonts w:ascii="Cambria" w:eastAsia="Calibri" w:hAnsi="Cambria" w:cs="Times New Roman"/>
                <w:spacing w:val="24"/>
              </w:rPr>
              <w:t xml:space="preserve"> </w:t>
            </w:r>
            <w:r w:rsidRPr="009A0DA6">
              <w:rPr>
                <w:rFonts w:ascii="Cambria" w:eastAsia="Calibri" w:hAnsi="Cambria" w:cs="Times New Roman"/>
                <w:spacing w:val="-1"/>
              </w:rPr>
              <w:t>Leadership</w:t>
            </w:r>
            <w:r w:rsidRPr="009A0DA6">
              <w:rPr>
                <w:rFonts w:ascii="Cambria" w:eastAsia="Calibri" w:hAnsi="Cambria" w:cs="Times New Roman"/>
                <w:spacing w:val="21"/>
              </w:rPr>
              <w:t xml:space="preserve"> </w:t>
            </w:r>
            <w:r w:rsidRPr="009A0DA6">
              <w:rPr>
                <w:rFonts w:ascii="Cambria" w:eastAsia="Calibri" w:hAnsi="Cambria" w:cs="Times New Roman"/>
                <w:spacing w:val="-1"/>
              </w:rPr>
              <w:t>Development</w:t>
            </w:r>
            <w:r w:rsidRPr="009A0DA6">
              <w:rPr>
                <w:rFonts w:ascii="Cambria" w:eastAsia="Calibri" w:hAnsi="Cambria" w:cs="Times New Roman"/>
                <w:spacing w:val="25"/>
              </w:rPr>
              <w:t xml:space="preserve"> </w:t>
            </w:r>
          </w:p>
        </w:tc>
        <w:tc>
          <w:tcPr>
            <w:tcW w:w="1550" w:type="dxa"/>
            <w:gridSpan w:val="2"/>
            <w:tcBorders>
              <w:top w:val="single" w:sz="8" w:space="0" w:color="000000"/>
              <w:left w:val="nil"/>
              <w:bottom w:val="nil"/>
              <w:right w:val="single" w:sz="8" w:space="0" w:color="000000"/>
            </w:tcBorders>
          </w:tcPr>
          <w:p w14:paraId="60D7CADA" w14:textId="77777777" w:rsidR="00F631B1" w:rsidRPr="009A0DA6" w:rsidRDefault="00F631B1" w:rsidP="00180211">
            <w:pPr>
              <w:widowControl w:val="0"/>
              <w:tabs>
                <w:tab w:val="left" w:pos="477"/>
              </w:tabs>
              <w:spacing w:after="0" w:line="279" w:lineRule="exact"/>
              <w:ind w:left="112" w:right="131"/>
              <w:jc w:val="right"/>
              <w:rPr>
                <w:rFonts w:ascii="Cambria" w:eastAsia="Calibri" w:hAnsi="Cambria" w:cs="Calibri"/>
              </w:rPr>
            </w:pPr>
            <w:r w:rsidRPr="009A0DA6">
              <w:rPr>
                <w:rFonts w:ascii="Cambria" w:eastAsia="Calibri" w:hAnsi="Cambria" w:cs="Times New Roman"/>
                <w:spacing w:val="-1"/>
              </w:rPr>
              <w:t>73,471</w:t>
            </w:r>
          </w:p>
        </w:tc>
        <w:tc>
          <w:tcPr>
            <w:tcW w:w="355" w:type="dxa"/>
            <w:tcBorders>
              <w:top w:val="single" w:sz="8" w:space="0" w:color="000000"/>
              <w:left w:val="single" w:sz="8" w:space="0" w:color="000000"/>
              <w:bottom w:val="nil"/>
              <w:right w:val="nil"/>
            </w:tcBorders>
          </w:tcPr>
          <w:p w14:paraId="518DEF47" w14:textId="77777777" w:rsidR="00F631B1" w:rsidRPr="009A0DA6" w:rsidRDefault="00F631B1" w:rsidP="00180211">
            <w:pPr>
              <w:widowControl w:val="0"/>
              <w:spacing w:after="0" w:line="279" w:lineRule="exact"/>
              <w:ind w:left="102"/>
              <w:jc w:val="right"/>
              <w:rPr>
                <w:rFonts w:ascii="Cambria" w:eastAsia="Calibri" w:hAnsi="Cambria" w:cs="Calibri"/>
              </w:rPr>
            </w:pPr>
          </w:p>
        </w:tc>
        <w:tc>
          <w:tcPr>
            <w:tcW w:w="1195" w:type="dxa"/>
            <w:tcBorders>
              <w:top w:val="single" w:sz="8" w:space="0" w:color="000000"/>
              <w:left w:val="nil"/>
              <w:bottom w:val="nil"/>
              <w:right w:val="single" w:sz="8" w:space="0" w:color="000000"/>
            </w:tcBorders>
          </w:tcPr>
          <w:p w14:paraId="4D2147B7" w14:textId="77777777" w:rsidR="00F631B1" w:rsidRPr="009A0DA6" w:rsidRDefault="00F631B1" w:rsidP="00180211">
            <w:pPr>
              <w:widowControl w:val="0"/>
              <w:spacing w:after="0" w:line="279" w:lineRule="exact"/>
              <w:ind w:left="125" w:right="131"/>
              <w:jc w:val="right"/>
              <w:rPr>
                <w:rFonts w:ascii="Cambria" w:eastAsia="Calibri" w:hAnsi="Cambria" w:cs="Calibri"/>
              </w:rPr>
            </w:pPr>
            <w:r w:rsidRPr="009A0DA6">
              <w:rPr>
                <w:rFonts w:ascii="Cambria" w:eastAsia="Calibri" w:hAnsi="Cambria" w:cs="Times New Roman"/>
                <w:spacing w:val="-1"/>
              </w:rPr>
              <w:t>73,471</w:t>
            </w:r>
          </w:p>
        </w:tc>
        <w:tc>
          <w:tcPr>
            <w:tcW w:w="292" w:type="dxa"/>
            <w:tcBorders>
              <w:top w:val="single" w:sz="8" w:space="0" w:color="000000"/>
              <w:left w:val="single" w:sz="8" w:space="0" w:color="000000"/>
              <w:bottom w:val="nil"/>
              <w:right w:val="nil"/>
            </w:tcBorders>
          </w:tcPr>
          <w:p w14:paraId="10C917EB" w14:textId="77777777" w:rsidR="00F631B1" w:rsidRPr="009A0DA6" w:rsidRDefault="00F631B1" w:rsidP="00180211">
            <w:pPr>
              <w:widowControl w:val="0"/>
              <w:spacing w:after="0" w:line="279" w:lineRule="exact"/>
              <w:ind w:left="102"/>
              <w:jc w:val="right"/>
              <w:rPr>
                <w:rFonts w:ascii="Cambria" w:eastAsia="Calibri" w:hAnsi="Cambria" w:cs="Calibri"/>
              </w:rPr>
            </w:pPr>
          </w:p>
        </w:tc>
        <w:tc>
          <w:tcPr>
            <w:tcW w:w="1258" w:type="dxa"/>
            <w:gridSpan w:val="2"/>
            <w:tcBorders>
              <w:top w:val="single" w:sz="8" w:space="0" w:color="000000"/>
              <w:left w:val="nil"/>
              <w:bottom w:val="nil"/>
              <w:right w:val="single" w:sz="8" w:space="0" w:color="000000"/>
            </w:tcBorders>
          </w:tcPr>
          <w:p w14:paraId="0DA73D15" w14:textId="77777777" w:rsidR="00F631B1" w:rsidRPr="009A0DA6" w:rsidRDefault="00F631B1" w:rsidP="00180211">
            <w:pPr>
              <w:widowControl w:val="0"/>
              <w:spacing w:after="0" w:line="279" w:lineRule="exact"/>
              <w:ind w:right="131"/>
              <w:jc w:val="right"/>
              <w:rPr>
                <w:rFonts w:ascii="Cambria" w:eastAsia="Calibri" w:hAnsi="Cambria" w:cs="Calibri"/>
              </w:rPr>
            </w:pPr>
            <w:r w:rsidRPr="009A0DA6">
              <w:rPr>
                <w:rFonts w:ascii="Cambria" w:eastAsia="Calibri" w:hAnsi="Cambria" w:cs="Calibri"/>
              </w:rPr>
              <w:t>0</w:t>
            </w:r>
          </w:p>
        </w:tc>
      </w:tr>
      <w:tr w:rsidR="00F631B1" w:rsidRPr="009A0DA6" w14:paraId="6D1B343F" w14:textId="77777777" w:rsidTr="00180211">
        <w:trPr>
          <w:trHeight w:hRule="exact" w:val="298"/>
        </w:trPr>
        <w:tc>
          <w:tcPr>
            <w:tcW w:w="4277" w:type="dxa"/>
            <w:tcBorders>
              <w:top w:val="nil"/>
              <w:left w:val="single" w:sz="8" w:space="0" w:color="000000"/>
              <w:bottom w:val="nil"/>
              <w:right w:val="nil"/>
            </w:tcBorders>
          </w:tcPr>
          <w:p w14:paraId="0074340D" w14:textId="77777777" w:rsidR="00F631B1" w:rsidRPr="009A0DA6" w:rsidRDefault="00F631B1" w:rsidP="00180211">
            <w:pPr>
              <w:widowControl w:val="0"/>
              <w:spacing w:after="0" w:line="268" w:lineRule="exact"/>
              <w:ind w:left="30"/>
              <w:rPr>
                <w:rFonts w:ascii="Cambria" w:eastAsia="Calibri" w:hAnsi="Cambria" w:cs="Calibri"/>
              </w:rPr>
            </w:pPr>
            <w:r w:rsidRPr="009A0DA6">
              <w:rPr>
                <w:rFonts w:ascii="Cambria" w:eastAsia="Calibri" w:hAnsi="Cambria" w:cs="Times New Roman"/>
              </w:rPr>
              <w:t>2.</w:t>
            </w:r>
            <w:r w:rsidRPr="009A0DA6">
              <w:rPr>
                <w:rFonts w:ascii="Cambria" w:eastAsia="Calibri" w:hAnsi="Cambria" w:cs="Times New Roman"/>
                <w:spacing w:val="17"/>
              </w:rPr>
              <w:t xml:space="preserve"> </w:t>
            </w:r>
            <w:r w:rsidRPr="009A0DA6">
              <w:rPr>
                <w:rFonts w:ascii="Cambria" w:eastAsia="Calibri" w:hAnsi="Cambria" w:cs="Times New Roman"/>
                <w:spacing w:val="-2"/>
              </w:rPr>
              <w:t>Resourcing</w:t>
            </w:r>
            <w:r w:rsidRPr="009A0DA6">
              <w:rPr>
                <w:rFonts w:ascii="Cambria" w:eastAsia="Calibri" w:hAnsi="Cambria" w:cs="Times New Roman"/>
                <w:spacing w:val="15"/>
              </w:rPr>
              <w:t xml:space="preserve"> </w:t>
            </w:r>
            <w:r w:rsidRPr="009A0DA6">
              <w:rPr>
                <w:rFonts w:ascii="Cambria" w:eastAsia="Calibri" w:hAnsi="Cambria" w:cs="Times New Roman"/>
                <w:spacing w:val="-1"/>
              </w:rPr>
              <w:t>the</w:t>
            </w:r>
            <w:r w:rsidRPr="009A0DA6">
              <w:rPr>
                <w:rFonts w:ascii="Cambria" w:eastAsia="Calibri" w:hAnsi="Cambria" w:cs="Times New Roman"/>
                <w:spacing w:val="17"/>
              </w:rPr>
              <w:t xml:space="preserve"> </w:t>
            </w:r>
            <w:r w:rsidRPr="009A0DA6">
              <w:rPr>
                <w:rFonts w:ascii="Cambria" w:eastAsia="Calibri" w:hAnsi="Cambria" w:cs="Times New Roman"/>
                <w:spacing w:val="-2"/>
              </w:rPr>
              <w:t>Church</w:t>
            </w:r>
            <w:r w:rsidRPr="009A0DA6">
              <w:rPr>
                <w:rFonts w:ascii="Cambria" w:eastAsia="Calibri" w:hAnsi="Cambria" w:cs="Times New Roman"/>
                <w:spacing w:val="15"/>
              </w:rPr>
              <w:t xml:space="preserve"> </w:t>
            </w:r>
          </w:p>
        </w:tc>
        <w:tc>
          <w:tcPr>
            <w:tcW w:w="1550" w:type="dxa"/>
            <w:gridSpan w:val="2"/>
            <w:tcBorders>
              <w:top w:val="nil"/>
              <w:left w:val="nil"/>
              <w:bottom w:val="nil"/>
              <w:right w:val="single" w:sz="8" w:space="0" w:color="000000"/>
            </w:tcBorders>
          </w:tcPr>
          <w:p w14:paraId="04FD791E" w14:textId="77777777" w:rsidR="00F631B1" w:rsidRPr="009A0DA6" w:rsidRDefault="00F631B1" w:rsidP="00180211">
            <w:pPr>
              <w:widowControl w:val="0"/>
              <w:tabs>
                <w:tab w:val="left" w:pos="477"/>
              </w:tabs>
              <w:spacing w:after="0" w:line="271" w:lineRule="exact"/>
              <w:ind w:left="112" w:right="131"/>
              <w:jc w:val="right"/>
              <w:rPr>
                <w:rFonts w:ascii="Cambria" w:eastAsia="Calibri" w:hAnsi="Cambria" w:cs="Calibri"/>
              </w:rPr>
            </w:pPr>
            <w:r w:rsidRPr="009A0DA6">
              <w:rPr>
                <w:rFonts w:ascii="Cambria" w:eastAsia="Calibri" w:hAnsi="Cambria" w:cs="Times New Roman"/>
                <w:spacing w:val="-1"/>
              </w:rPr>
              <w:t>79,962</w:t>
            </w:r>
          </w:p>
        </w:tc>
        <w:tc>
          <w:tcPr>
            <w:tcW w:w="355" w:type="dxa"/>
            <w:tcBorders>
              <w:top w:val="nil"/>
              <w:left w:val="single" w:sz="8" w:space="0" w:color="000000"/>
              <w:bottom w:val="nil"/>
              <w:right w:val="nil"/>
            </w:tcBorders>
          </w:tcPr>
          <w:p w14:paraId="0B1C35B1" w14:textId="77777777" w:rsidR="00F631B1" w:rsidRPr="009A0DA6" w:rsidRDefault="00F631B1" w:rsidP="00180211">
            <w:pPr>
              <w:widowControl w:val="0"/>
              <w:spacing w:after="0" w:line="271" w:lineRule="exact"/>
              <w:ind w:left="102"/>
              <w:jc w:val="right"/>
              <w:rPr>
                <w:rFonts w:ascii="Cambria" w:eastAsia="Calibri" w:hAnsi="Cambria" w:cs="Calibri"/>
              </w:rPr>
            </w:pPr>
          </w:p>
        </w:tc>
        <w:tc>
          <w:tcPr>
            <w:tcW w:w="1195" w:type="dxa"/>
            <w:tcBorders>
              <w:top w:val="nil"/>
              <w:left w:val="nil"/>
              <w:bottom w:val="nil"/>
              <w:right w:val="single" w:sz="8" w:space="0" w:color="000000"/>
            </w:tcBorders>
          </w:tcPr>
          <w:p w14:paraId="54447257" w14:textId="77777777" w:rsidR="00F631B1" w:rsidRPr="009A0DA6" w:rsidRDefault="00F631B1" w:rsidP="00180211">
            <w:pPr>
              <w:widowControl w:val="0"/>
              <w:spacing w:after="0" w:line="271" w:lineRule="exact"/>
              <w:ind w:left="245" w:right="131"/>
              <w:jc w:val="right"/>
              <w:rPr>
                <w:rFonts w:ascii="Cambria" w:eastAsia="Calibri" w:hAnsi="Cambria" w:cs="Calibri"/>
              </w:rPr>
            </w:pPr>
            <w:r w:rsidRPr="009A0DA6">
              <w:rPr>
                <w:rFonts w:ascii="Cambria" w:eastAsia="Calibri" w:hAnsi="Cambria" w:cs="Times New Roman"/>
                <w:spacing w:val="-1"/>
              </w:rPr>
              <w:t>7,554</w:t>
            </w:r>
          </w:p>
        </w:tc>
        <w:tc>
          <w:tcPr>
            <w:tcW w:w="292" w:type="dxa"/>
            <w:tcBorders>
              <w:top w:val="nil"/>
              <w:left w:val="single" w:sz="8" w:space="0" w:color="000000"/>
              <w:bottom w:val="nil"/>
              <w:right w:val="nil"/>
            </w:tcBorders>
          </w:tcPr>
          <w:p w14:paraId="60E36686" w14:textId="77777777" w:rsidR="00F631B1" w:rsidRPr="009A0DA6" w:rsidRDefault="00F631B1" w:rsidP="00180211">
            <w:pPr>
              <w:widowControl w:val="0"/>
              <w:spacing w:after="0" w:line="271" w:lineRule="exact"/>
              <w:ind w:left="102"/>
              <w:jc w:val="right"/>
              <w:rPr>
                <w:rFonts w:ascii="Cambria" w:eastAsia="Calibri" w:hAnsi="Cambria" w:cs="Calibri"/>
              </w:rPr>
            </w:pPr>
          </w:p>
        </w:tc>
        <w:tc>
          <w:tcPr>
            <w:tcW w:w="1258" w:type="dxa"/>
            <w:gridSpan w:val="2"/>
            <w:tcBorders>
              <w:top w:val="nil"/>
              <w:left w:val="nil"/>
              <w:bottom w:val="nil"/>
              <w:right w:val="single" w:sz="8" w:space="0" w:color="000000"/>
            </w:tcBorders>
          </w:tcPr>
          <w:p w14:paraId="0EE11CD1" w14:textId="77777777" w:rsidR="00F631B1" w:rsidRPr="009A0DA6" w:rsidRDefault="00F631B1" w:rsidP="00180211">
            <w:pPr>
              <w:widowControl w:val="0"/>
              <w:spacing w:after="0" w:line="271" w:lineRule="exact"/>
              <w:ind w:left="185" w:right="131"/>
              <w:jc w:val="right"/>
              <w:rPr>
                <w:rFonts w:ascii="Cambria" w:eastAsia="Calibri" w:hAnsi="Cambria" w:cs="Calibri"/>
              </w:rPr>
            </w:pPr>
            <w:r w:rsidRPr="009A0DA6">
              <w:rPr>
                <w:rFonts w:ascii="Cambria" w:eastAsia="Calibri" w:hAnsi="Cambria" w:cs="Times New Roman"/>
                <w:spacing w:val="-1"/>
              </w:rPr>
              <w:t>72,408</w:t>
            </w:r>
          </w:p>
        </w:tc>
      </w:tr>
      <w:tr w:rsidR="00F631B1" w:rsidRPr="009A0DA6" w14:paraId="083DAEF0" w14:textId="77777777" w:rsidTr="00180211">
        <w:trPr>
          <w:trHeight w:hRule="exact" w:val="278"/>
        </w:trPr>
        <w:tc>
          <w:tcPr>
            <w:tcW w:w="4277" w:type="dxa"/>
            <w:tcBorders>
              <w:top w:val="nil"/>
              <w:left w:val="single" w:sz="8" w:space="0" w:color="000000"/>
              <w:bottom w:val="single" w:sz="8" w:space="0" w:color="000000"/>
              <w:right w:val="nil"/>
            </w:tcBorders>
          </w:tcPr>
          <w:p w14:paraId="47B0492D" w14:textId="77777777" w:rsidR="00F631B1" w:rsidRPr="009A0DA6" w:rsidRDefault="00F631B1" w:rsidP="00180211">
            <w:pPr>
              <w:widowControl w:val="0"/>
              <w:spacing w:after="0" w:line="268" w:lineRule="exact"/>
              <w:ind w:left="30"/>
              <w:rPr>
                <w:rFonts w:ascii="Cambria" w:eastAsia="Calibri" w:hAnsi="Cambria" w:cs="Calibri"/>
              </w:rPr>
            </w:pPr>
            <w:r w:rsidRPr="009A0DA6">
              <w:rPr>
                <w:rFonts w:ascii="Cambria" w:eastAsia="Calibri" w:hAnsi="Cambria" w:cs="Times New Roman"/>
              </w:rPr>
              <w:t>3.</w:t>
            </w:r>
            <w:r w:rsidRPr="009A0DA6">
              <w:rPr>
                <w:rFonts w:ascii="Cambria" w:eastAsia="Calibri" w:hAnsi="Cambria" w:cs="Times New Roman"/>
                <w:spacing w:val="16"/>
              </w:rPr>
              <w:t xml:space="preserve"> </w:t>
            </w:r>
            <w:r w:rsidRPr="009A0DA6">
              <w:rPr>
                <w:rFonts w:ascii="Cambria" w:eastAsia="Calibri" w:hAnsi="Cambria" w:cs="Times New Roman"/>
                <w:spacing w:val="-1"/>
              </w:rPr>
              <w:t>Hearing</w:t>
            </w:r>
            <w:r w:rsidRPr="009A0DA6">
              <w:rPr>
                <w:rFonts w:ascii="Cambria" w:eastAsia="Calibri" w:hAnsi="Cambria" w:cs="Times New Roman"/>
                <w:spacing w:val="15"/>
              </w:rPr>
              <w:t xml:space="preserve"> </w:t>
            </w:r>
            <w:r w:rsidRPr="009A0DA6">
              <w:rPr>
                <w:rFonts w:ascii="Cambria" w:eastAsia="Calibri" w:hAnsi="Cambria" w:cs="Times New Roman"/>
                <w:spacing w:val="-1"/>
              </w:rPr>
              <w:t>the</w:t>
            </w:r>
            <w:r w:rsidRPr="009A0DA6">
              <w:rPr>
                <w:rFonts w:ascii="Cambria" w:eastAsia="Calibri" w:hAnsi="Cambria" w:cs="Times New Roman"/>
                <w:spacing w:val="16"/>
              </w:rPr>
              <w:t xml:space="preserve"> </w:t>
            </w:r>
            <w:r w:rsidRPr="009A0DA6">
              <w:rPr>
                <w:rFonts w:ascii="Cambria" w:eastAsia="Calibri" w:hAnsi="Cambria" w:cs="Times New Roman"/>
                <w:spacing w:val="-2"/>
              </w:rPr>
              <w:t>Indigenous</w:t>
            </w:r>
            <w:r w:rsidRPr="009A0DA6">
              <w:rPr>
                <w:rFonts w:ascii="Cambria" w:eastAsia="Calibri" w:hAnsi="Cambria" w:cs="Times New Roman"/>
                <w:spacing w:val="13"/>
              </w:rPr>
              <w:t xml:space="preserve"> </w:t>
            </w:r>
            <w:r w:rsidRPr="009A0DA6">
              <w:rPr>
                <w:rFonts w:ascii="Cambria" w:eastAsia="Calibri" w:hAnsi="Cambria" w:cs="Times New Roman"/>
                <w:spacing w:val="-1"/>
              </w:rPr>
              <w:t>Voice</w:t>
            </w:r>
            <w:r w:rsidRPr="009A0DA6">
              <w:rPr>
                <w:rFonts w:ascii="Cambria" w:eastAsia="Calibri" w:hAnsi="Cambria" w:cs="Times New Roman"/>
                <w:spacing w:val="17"/>
              </w:rPr>
              <w:t xml:space="preserve"> </w:t>
            </w:r>
          </w:p>
        </w:tc>
        <w:tc>
          <w:tcPr>
            <w:tcW w:w="1550" w:type="dxa"/>
            <w:gridSpan w:val="2"/>
            <w:tcBorders>
              <w:top w:val="nil"/>
              <w:left w:val="nil"/>
              <w:bottom w:val="single" w:sz="8" w:space="0" w:color="000000"/>
              <w:right w:val="single" w:sz="8" w:space="0" w:color="000000"/>
            </w:tcBorders>
          </w:tcPr>
          <w:p w14:paraId="50F41997" w14:textId="77777777" w:rsidR="00F631B1" w:rsidRPr="009A0DA6" w:rsidRDefault="00F631B1" w:rsidP="00180211">
            <w:pPr>
              <w:widowControl w:val="0"/>
              <w:tabs>
                <w:tab w:val="left" w:pos="477"/>
              </w:tabs>
              <w:spacing w:after="0" w:line="268" w:lineRule="exact"/>
              <w:ind w:left="112" w:right="131"/>
              <w:jc w:val="right"/>
              <w:rPr>
                <w:rFonts w:ascii="Cambria" w:eastAsia="Calibri" w:hAnsi="Cambria" w:cs="Calibri"/>
              </w:rPr>
            </w:pPr>
            <w:r w:rsidRPr="009A0DA6">
              <w:rPr>
                <w:rFonts w:ascii="Cambria" w:eastAsia="Calibri" w:hAnsi="Cambria" w:cs="Times New Roman"/>
                <w:spacing w:val="-1"/>
              </w:rPr>
              <w:t>75,000</w:t>
            </w:r>
          </w:p>
        </w:tc>
        <w:tc>
          <w:tcPr>
            <w:tcW w:w="355" w:type="dxa"/>
            <w:tcBorders>
              <w:top w:val="nil"/>
              <w:left w:val="single" w:sz="8" w:space="0" w:color="000000"/>
              <w:bottom w:val="single" w:sz="8" w:space="0" w:color="000000"/>
              <w:right w:val="nil"/>
            </w:tcBorders>
          </w:tcPr>
          <w:p w14:paraId="3F869251" w14:textId="77777777" w:rsidR="00F631B1" w:rsidRPr="009A0DA6" w:rsidRDefault="00F631B1" w:rsidP="00180211">
            <w:pPr>
              <w:widowControl w:val="0"/>
              <w:spacing w:after="0" w:line="268" w:lineRule="exact"/>
              <w:ind w:left="102"/>
              <w:jc w:val="right"/>
              <w:rPr>
                <w:rFonts w:ascii="Cambria" w:eastAsia="Calibri" w:hAnsi="Cambria" w:cs="Calibri"/>
              </w:rPr>
            </w:pPr>
          </w:p>
        </w:tc>
        <w:tc>
          <w:tcPr>
            <w:tcW w:w="1195" w:type="dxa"/>
            <w:tcBorders>
              <w:top w:val="nil"/>
              <w:left w:val="nil"/>
              <w:bottom w:val="single" w:sz="8" w:space="0" w:color="000000"/>
              <w:right w:val="single" w:sz="8" w:space="0" w:color="000000"/>
            </w:tcBorders>
          </w:tcPr>
          <w:p w14:paraId="28A80CD0" w14:textId="77777777" w:rsidR="00F631B1" w:rsidRPr="009A0DA6" w:rsidRDefault="00F631B1" w:rsidP="00180211">
            <w:pPr>
              <w:widowControl w:val="0"/>
              <w:spacing w:after="0" w:line="268" w:lineRule="exact"/>
              <w:ind w:left="245" w:right="131"/>
              <w:jc w:val="right"/>
              <w:rPr>
                <w:rFonts w:ascii="Cambria" w:eastAsia="Calibri" w:hAnsi="Cambria" w:cs="Calibri"/>
              </w:rPr>
            </w:pPr>
            <w:r w:rsidRPr="009A0DA6">
              <w:rPr>
                <w:rFonts w:ascii="Cambria" w:eastAsia="Calibri" w:hAnsi="Cambria" w:cs="Times New Roman"/>
                <w:spacing w:val="-1"/>
              </w:rPr>
              <w:t>6,895</w:t>
            </w:r>
          </w:p>
        </w:tc>
        <w:tc>
          <w:tcPr>
            <w:tcW w:w="292" w:type="dxa"/>
            <w:tcBorders>
              <w:top w:val="nil"/>
              <w:left w:val="single" w:sz="8" w:space="0" w:color="000000"/>
              <w:bottom w:val="single" w:sz="8" w:space="0" w:color="000000"/>
              <w:right w:val="nil"/>
            </w:tcBorders>
          </w:tcPr>
          <w:p w14:paraId="520043CE" w14:textId="77777777" w:rsidR="00F631B1" w:rsidRPr="009A0DA6" w:rsidRDefault="00F631B1" w:rsidP="00180211">
            <w:pPr>
              <w:widowControl w:val="0"/>
              <w:spacing w:after="0" w:line="268" w:lineRule="exact"/>
              <w:ind w:left="102"/>
              <w:jc w:val="right"/>
              <w:rPr>
                <w:rFonts w:ascii="Cambria" w:eastAsia="Calibri" w:hAnsi="Cambria" w:cs="Calibri"/>
              </w:rPr>
            </w:pPr>
          </w:p>
        </w:tc>
        <w:tc>
          <w:tcPr>
            <w:tcW w:w="1258" w:type="dxa"/>
            <w:gridSpan w:val="2"/>
            <w:tcBorders>
              <w:top w:val="nil"/>
              <w:left w:val="nil"/>
              <w:bottom w:val="single" w:sz="8" w:space="0" w:color="000000"/>
              <w:right w:val="single" w:sz="8" w:space="0" w:color="000000"/>
            </w:tcBorders>
          </w:tcPr>
          <w:p w14:paraId="6F36112C" w14:textId="77777777" w:rsidR="00F631B1" w:rsidRPr="009A0DA6" w:rsidRDefault="00F631B1" w:rsidP="00180211">
            <w:pPr>
              <w:widowControl w:val="0"/>
              <w:spacing w:after="0" w:line="268" w:lineRule="exact"/>
              <w:ind w:left="185" w:right="131"/>
              <w:jc w:val="right"/>
              <w:rPr>
                <w:rFonts w:ascii="Cambria" w:eastAsia="Calibri" w:hAnsi="Cambria" w:cs="Calibri"/>
              </w:rPr>
            </w:pPr>
            <w:r w:rsidRPr="009A0DA6">
              <w:rPr>
                <w:rFonts w:ascii="Cambria" w:eastAsia="Calibri" w:hAnsi="Cambria" w:cs="Times New Roman"/>
                <w:spacing w:val="-1"/>
              </w:rPr>
              <w:t>68,105</w:t>
            </w:r>
          </w:p>
        </w:tc>
      </w:tr>
      <w:tr w:rsidR="00F631B1" w:rsidRPr="009A0DA6" w14:paraId="6B4D0780" w14:textId="77777777" w:rsidTr="00180211">
        <w:trPr>
          <w:trHeight w:hRule="exact" w:val="298"/>
        </w:trPr>
        <w:tc>
          <w:tcPr>
            <w:tcW w:w="4277" w:type="dxa"/>
            <w:tcBorders>
              <w:top w:val="single" w:sz="8" w:space="0" w:color="000000"/>
              <w:left w:val="single" w:sz="8" w:space="0" w:color="000000"/>
              <w:bottom w:val="single" w:sz="8" w:space="0" w:color="000000"/>
              <w:right w:val="single" w:sz="8" w:space="0" w:color="000000"/>
            </w:tcBorders>
            <w:shd w:val="clear" w:color="auto" w:fill="E7E6E6"/>
          </w:tcPr>
          <w:p w14:paraId="416CDAAB" w14:textId="77777777" w:rsidR="00F631B1" w:rsidRPr="009A0DA6" w:rsidRDefault="00F631B1" w:rsidP="00180211">
            <w:pPr>
              <w:widowControl w:val="0"/>
              <w:spacing w:after="0" w:line="276" w:lineRule="exact"/>
              <w:ind w:right="28"/>
              <w:rPr>
                <w:rFonts w:ascii="Cambria" w:eastAsia="Calibri" w:hAnsi="Cambria" w:cs="Times New Roman"/>
                <w:b/>
                <w:spacing w:val="-1"/>
              </w:rPr>
            </w:pPr>
            <w:r w:rsidRPr="009A0DA6">
              <w:rPr>
                <w:rFonts w:ascii="Cambria" w:eastAsia="Calibri" w:hAnsi="Cambria" w:cs="Times New Roman"/>
                <w:b/>
                <w:spacing w:val="-1"/>
              </w:rPr>
              <w:t>Sowing the Seeds, Sub total</w:t>
            </w:r>
          </w:p>
        </w:tc>
        <w:tc>
          <w:tcPr>
            <w:tcW w:w="355" w:type="dxa"/>
            <w:tcBorders>
              <w:top w:val="single" w:sz="8" w:space="0" w:color="000000"/>
              <w:left w:val="single" w:sz="8" w:space="0" w:color="000000"/>
              <w:bottom w:val="single" w:sz="8" w:space="0" w:color="000000"/>
              <w:right w:val="nil"/>
            </w:tcBorders>
            <w:shd w:val="clear" w:color="auto" w:fill="E7E6E6"/>
          </w:tcPr>
          <w:p w14:paraId="080DB5C8" w14:textId="77777777" w:rsidR="00F631B1" w:rsidRPr="009A0DA6" w:rsidRDefault="00F631B1" w:rsidP="00180211">
            <w:pPr>
              <w:widowControl w:val="0"/>
              <w:spacing w:after="0" w:line="276" w:lineRule="exact"/>
              <w:ind w:left="102"/>
              <w:jc w:val="right"/>
              <w:rPr>
                <w:rFonts w:ascii="Cambria" w:eastAsia="Calibri" w:hAnsi="Cambria" w:cs="Times New Roman"/>
                <w:b/>
              </w:rPr>
            </w:pPr>
            <w:r w:rsidRPr="009A0DA6">
              <w:rPr>
                <w:rFonts w:ascii="Cambria" w:eastAsia="Calibri" w:hAnsi="Cambria" w:cs="Times New Roman"/>
                <w:b/>
              </w:rPr>
              <w:t>$</w:t>
            </w:r>
          </w:p>
        </w:tc>
        <w:tc>
          <w:tcPr>
            <w:tcW w:w="1195" w:type="dxa"/>
            <w:tcBorders>
              <w:top w:val="single" w:sz="8" w:space="0" w:color="000000"/>
              <w:left w:val="nil"/>
              <w:bottom w:val="single" w:sz="8" w:space="0" w:color="000000"/>
              <w:right w:val="single" w:sz="8" w:space="0" w:color="000000"/>
            </w:tcBorders>
            <w:shd w:val="clear" w:color="auto" w:fill="E7E6E6"/>
          </w:tcPr>
          <w:p w14:paraId="11035D1A" w14:textId="77777777" w:rsidR="00F631B1" w:rsidRPr="009A0DA6" w:rsidRDefault="00F631B1" w:rsidP="00180211">
            <w:pPr>
              <w:widowControl w:val="0"/>
              <w:spacing w:after="0" w:line="276" w:lineRule="exact"/>
              <w:ind w:left="120" w:right="131"/>
              <w:jc w:val="right"/>
              <w:rPr>
                <w:rFonts w:ascii="Cambria" w:eastAsia="Calibri" w:hAnsi="Cambria" w:cs="Times New Roman"/>
                <w:b/>
                <w:spacing w:val="-1"/>
              </w:rPr>
            </w:pPr>
            <w:r w:rsidRPr="009A0DA6">
              <w:rPr>
                <w:rFonts w:ascii="Cambria" w:eastAsia="Calibri" w:hAnsi="Cambria" w:cs="Times New Roman"/>
                <w:b/>
                <w:spacing w:val="-1"/>
              </w:rPr>
              <w:t>228,433</w:t>
            </w:r>
          </w:p>
        </w:tc>
        <w:tc>
          <w:tcPr>
            <w:tcW w:w="355" w:type="dxa"/>
            <w:tcBorders>
              <w:top w:val="single" w:sz="8" w:space="0" w:color="000000"/>
              <w:left w:val="single" w:sz="8" w:space="0" w:color="000000"/>
              <w:bottom w:val="single" w:sz="8" w:space="0" w:color="000000"/>
              <w:right w:val="nil"/>
            </w:tcBorders>
            <w:shd w:val="clear" w:color="auto" w:fill="E7E6E6"/>
          </w:tcPr>
          <w:p w14:paraId="49175EB3" w14:textId="77777777" w:rsidR="00F631B1" w:rsidRPr="009A0DA6" w:rsidRDefault="00F631B1" w:rsidP="00180211">
            <w:pPr>
              <w:widowControl w:val="0"/>
              <w:spacing w:after="0" w:line="276" w:lineRule="exact"/>
              <w:ind w:left="102"/>
              <w:jc w:val="right"/>
              <w:rPr>
                <w:rFonts w:ascii="Cambria" w:eastAsia="Calibri" w:hAnsi="Cambria" w:cs="Times New Roman"/>
                <w:b/>
              </w:rPr>
            </w:pPr>
            <w:r w:rsidRPr="009A0DA6">
              <w:rPr>
                <w:rFonts w:ascii="Cambria" w:eastAsia="Calibri" w:hAnsi="Cambria" w:cs="Times New Roman"/>
                <w:b/>
              </w:rPr>
              <w:t>$</w:t>
            </w:r>
          </w:p>
        </w:tc>
        <w:tc>
          <w:tcPr>
            <w:tcW w:w="1195" w:type="dxa"/>
            <w:tcBorders>
              <w:top w:val="single" w:sz="8" w:space="0" w:color="000000"/>
              <w:left w:val="nil"/>
              <w:bottom w:val="single" w:sz="8" w:space="0" w:color="000000"/>
              <w:right w:val="single" w:sz="8" w:space="0" w:color="000000"/>
            </w:tcBorders>
            <w:shd w:val="clear" w:color="auto" w:fill="E7E6E6"/>
          </w:tcPr>
          <w:p w14:paraId="2098D1F8" w14:textId="77777777" w:rsidR="00F631B1" w:rsidRPr="009A0DA6" w:rsidRDefault="00F631B1" w:rsidP="00180211">
            <w:pPr>
              <w:widowControl w:val="0"/>
              <w:spacing w:after="0" w:line="276" w:lineRule="exact"/>
              <w:ind w:left="120" w:right="131"/>
              <w:jc w:val="right"/>
              <w:rPr>
                <w:rFonts w:ascii="Cambria" w:eastAsia="Calibri" w:hAnsi="Cambria" w:cs="Times New Roman"/>
                <w:b/>
                <w:spacing w:val="-1"/>
              </w:rPr>
            </w:pPr>
            <w:r w:rsidRPr="009A0DA6">
              <w:rPr>
                <w:rFonts w:ascii="Cambria" w:eastAsia="Calibri" w:hAnsi="Cambria" w:cs="Times New Roman"/>
                <w:b/>
                <w:spacing w:val="-1"/>
              </w:rPr>
              <w:t>87,920</w:t>
            </w:r>
          </w:p>
        </w:tc>
        <w:tc>
          <w:tcPr>
            <w:tcW w:w="355" w:type="dxa"/>
            <w:gridSpan w:val="2"/>
            <w:tcBorders>
              <w:top w:val="single" w:sz="8" w:space="0" w:color="000000"/>
              <w:left w:val="single" w:sz="8" w:space="0" w:color="000000"/>
              <w:bottom w:val="single" w:sz="8" w:space="0" w:color="000000"/>
              <w:right w:val="nil"/>
            </w:tcBorders>
            <w:shd w:val="clear" w:color="auto" w:fill="E7E6E6"/>
          </w:tcPr>
          <w:p w14:paraId="21BBE1E0" w14:textId="77777777" w:rsidR="00F631B1" w:rsidRPr="009A0DA6" w:rsidRDefault="00F631B1" w:rsidP="00180211">
            <w:pPr>
              <w:widowControl w:val="0"/>
              <w:spacing w:after="0" w:line="276" w:lineRule="exact"/>
              <w:ind w:left="102"/>
              <w:jc w:val="right"/>
              <w:rPr>
                <w:rFonts w:ascii="Cambria" w:eastAsia="Calibri" w:hAnsi="Cambria" w:cs="Times New Roman"/>
                <w:b/>
              </w:rPr>
            </w:pPr>
            <w:r w:rsidRPr="009A0DA6">
              <w:rPr>
                <w:rFonts w:ascii="Cambria" w:eastAsia="Calibri" w:hAnsi="Cambria" w:cs="Times New Roman"/>
                <w:b/>
              </w:rPr>
              <w:t>$</w:t>
            </w:r>
          </w:p>
        </w:tc>
        <w:tc>
          <w:tcPr>
            <w:tcW w:w="1195" w:type="dxa"/>
            <w:tcBorders>
              <w:top w:val="single" w:sz="8" w:space="0" w:color="000000"/>
              <w:left w:val="nil"/>
              <w:bottom w:val="single" w:sz="8" w:space="0" w:color="000000"/>
              <w:right w:val="single" w:sz="8" w:space="0" w:color="000000"/>
            </w:tcBorders>
            <w:shd w:val="clear" w:color="auto" w:fill="E7E6E6"/>
          </w:tcPr>
          <w:p w14:paraId="3FD50C7E" w14:textId="77777777" w:rsidR="00F631B1" w:rsidRPr="009A0DA6" w:rsidRDefault="00F631B1" w:rsidP="00180211">
            <w:pPr>
              <w:widowControl w:val="0"/>
              <w:spacing w:after="0" w:line="276" w:lineRule="exact"/>
              <w:ind w:left="120" w:right="131"/>
              <w:jc w:val="right"/>
              <w:rPr>
                <w:rFonts w:ascii="Cambria" w:eastAsia="Calibri" w:hAnsi="Cambria" w:cs="Times New Roman"/>
                <w:b/>
                <w:spacing w:val="-1"/>
              </w:rPr>
            </w:pPr>
            <w:r w:rsidRPr="009A0DA6">
              <w:rPr>
                <w:rFonts w:ascii="Cambria" w:eastAsia="Calibri" w:hAnsi="Cambria" w:cs="Times New Roman"/>
                <w:b/>
                <w:spacing w:val="-1"/>
              </w:rPr>
              <w:t>140,513</w:t>
            </w:r>
          </w:p>
        </w:tc>
      </w:tr>
      <w:tr w:rsidR="00F631B1" w:rsidRPr="009A0DA6" w14:paraId="331AB7A8" w14:textId="77777777" w:rsidTr="00180211">
        <w:trPr>
          <w:trHeight w:hRule="exact" w:val="298"/>
        </w:trPr>
        <w:tc>
          <w:tcPr>
            <w:tcW w:w="4277" w:type="dxa"/>
            <w:tcBorders>
              <w:top w:val="single" w:sz="8" w:space="0" w:color="000000"/>
              <w:left w:val="single" w:sz="8" w:space="0" w:color="000000"/>
              <w:bottom w:val="single" w:sz="8" w:space="0" w:color="000000"/>
              <w:right w:val="single" w:sz="8" w:space="0" w:color="000000"/>
            </w:tcBorders>
            <w:shd w:val="clear" w:color="auto" w:fill="E7E6E6"/>
          </w:tcPr>
          <w:p w14:paraId="0525AF84" w14:textId="77777777" w:rsidR="00F631B1" w:rsidRPr="009A0DA6" w:rsidRDefault="00F631B1" w:rsidP="00180211">
            <w:pPr>
              <w:widowControl w:val="0"/>
              <w:spacing w:after="0" w:line="276" w:lineRule="exact"/>
              <w:ind w:right="28"/>
              <w:rPr>
                <w:rFonts w:ascii="Cambria" w:eastAsia="Calibri" w:hAnsi="Cambria" w:cs="Times New Roman"/>
                <w:b/>
                <w:spacing w:val="-1"/>
              </w:rPr>
            </w:pPr>
            <w:r w:rsidRPr="009A0DA6">
              <w:rPr>
                <w:rFonts w:ascii="Cambria" w:eastAsia="Calibri" w:hAnsi="Cambria" w:cs="Times New Roman"/>
                <w:b/>
                <w:spacing w:val="-1"/>
              </w:rPr>
              <w:t>Have</w:t>
            </w:r>
            <w:r w:rsidRPr="009A0DA6">
              <w:rPr>
                <w:rFonts w:ascii="Cambria" w:eastAsia="Calibri" w:hAnsi="Cambria" w:cs="Times New Roman"/>
                <w:b/>
                <w:spacing w:val="11"/>
              </w:rPr>
              <w:t xml:space="preserve"> </w:t>
            </w:r>
            <w:r w:rsidRPr="009A0DA6">
              <w:rPr>
                <w:rFonts w:ascii="Cambria" w:eastAsia="Calibri" w:hAnsi="Cambria" w:cs="Times New Roman"/>
                <w:b/>
              </w:rPr>
              <w:t>a</w:t>
            </w:r>
            <w:r w:rsidRPr="009A0DA6">
              <w:rPr>
                <w:rFonts w:ascii="Cambria" w:eastAsia="Calibri" w:hAnsi="Cambria" w:cs="Times New Roman"/>
                <w:b/>
                <w:spacing w:val="11"/>
              </w:rPr>
              <w:t xml:space="preserve"> </w:t>
            </w:r>
            <w:r w:rsidRPr="009A0DA6">
              <w:rPr>
                <w:rFonts w:ascii="Cambria" w:eastAsia="Calibri" w:hAnsi="Cambria" w:cs="Times New Roman"/>
                <w:b/>
                <w:spacing w:val="-1"/>
              </w:rPr>
              <w:t>Go</w:t>
            </w:r>
          </w:p>
        </w:tc>
        <w:tc>
          <w:tcPr>
            <w:tcW w:w="355" w:type="dxa"/>
            <w:tcBorders>
              <w:top w:val="single" w:sz="8" w:space="0" w:color="000000"/>
              <w:left w:val="single" w:sz="8" w:space="0" w:color="000000"/>
              <w:bottom w:val="single" w:sz="8" w:space="0" w:color="000000"/>
              <w:right w:val="nil"/>
            </w:tcBorders>
            <w:shd w:val="clear" w:color="auto" w:fill="E7E6E6"/>
          </w:tcPr>
          <w:p w14:paraId="11CB11BB" w14:textId="77777777" w:rsidR="00F631B1" w:rsidRPr="009A0DA6" w:rsidRDefault="00F631B1" w:rsidP="00180211">
            <w:pPr>
              <w:widowControl w:val="0"/>
              <w:spacing w:after="0" w:line="276" w:lineRule="exact"/>
              <w:ind w:left="102"/>
              <w:jc w:val="right"/>
              <w:rPr>
                <w:rFonts w:ascii="Cambria" w:eastAsia="Calibri" w:hAnsi="Cambria" w:cs="Times New Roman"/>
                <w:b/>
              </w:rPr>
            </w:pPr>
            <w:r w:rsidRPr="009A0DA6">
              <w:rPr>
                <w:rFonts w:ascii="Cambria" w:eastAsia="Calibri" w:hAnsi="Cambria" w:cs="Times New Roman"/>
                <w:b/>
              </w:rPr>
              <w:t>$</w:t>
            </w:r>
          </w:p>
        </w:tc>
        <w:tc>
          <w:tcPr>
            <w:tcW w:w="1195" w:type="dxa"/>
            <w:tcBorders>
              <w:top w:val="single" w:sz="8" w:space="0" w:color="000000"/>
              <w:left w:val="nil"/>
              <w:bottom w:val="single" w:sz="8" w:space="0" w:color="000000"/>
              <w:right w:val="single" w:sz="8" w:space="0" w:color="000000"/>
            </w:tcBorders>
            <w:shd w:val="clear" w:color="auto" w:fill="E7E6E6"/>
          </w:tcPr>
          <w:p w14:paraId="3673DDF1" w14:textId="77777777" w:rsidR="00F631B1" w:rsidRPr="009A0DA6" w:rsidRDefault="00F631B1" w:rsidP="00180211">
            <w:pPr>
              <w:widowControl w:val="0"/>
              <w:spacing w:after="0" w:line="276" w:lineRule="exact"/>
              <w:ind w:left="120" w:right="131"/>
              <w:jc w:val="right"/>
              <w:rPr>
                <w:rFonts w:ascii="Cambria" w:eastAsia="Calibri" w:hAnsi="Cambria" w:cs="Times New Roman"/>
                <w:b/>
                <w:spacing w:val="-1"/>
              </w:rPr>
            </w:pPr>
            <w:r w:rsidRPr="009A0DA6">
              <w:rPr>
                <w:rFonts w:ascii="Cambria" w:eastAsia="Calibri" w:hAnsi="Cambria" w:cs="Times New Roman"/>
                <w:b/>
                <w:spacing w:val="-1"/>
              </w:rPr>
              <w:t>223,000</w:t>
            </w:r>
          </w:p>
        </w:tc>
        <w:tc>
          <w:tcPr>
            <w:tcW w:w="355" w:type="dxa"/>
            <w:tcBorders>
              <w:top w:val="single" w:sz="8" w:space="0" w:color="000000"/>
              <w:left w:val="single" w:sz="8" w:space="0" w:color="000000"/>
              <w:bottom w:val="single" w:sz="8" w:space="0" w:color="000000"/>
              <w:right w:val="nil"/>
            </w:tcBorders>
            <w:shd w:val="clear" w:color="auto" w:fill="E7E6E6"/>
          </w:tcPr>
          <w:p w14:paraId="16164A6F" w14:textId="77777777" w:rsidR="00F631B1" w:rsidRPr="009A0DA6" w:rsidRDefault="00F631B1" w:rsidP="00180211">
            <w:pPr>
              <w:widowControl w:val="0"/>
              <w:spacing w:after="0" w:line="276" w:lineRule="exact"/>
              <w:ind w:left="102"/>
              <w:jc w:val="right"/>
              <w:rPr>
                <w:rFonts w:ascii="Cambria" w:eastAsia="Calibri" w:hAnsi="Cambria" w:cs="Times New Roman"/>
                <w:b/>
              </w:rPr>
            </w:pPr>
            <w:r w:rsidRPr="009A0DA6">
              <w:rPr>
                <w:rFonts w:ascii="Cambria" w:eastAsia="Calibri" w:hAnsi="Cambria" w:cs="Times New Roman"/>
                <w:b/>
              </w:rPr>
              <w:t>$</w:t>
            </w:r>
          </w:p>
        </w:tc>
        <w:tc>
          <w:tcPr>
            <w:tcW w:w="1195" w:type="dxa"/>
            <w:tcBorders>
              <w:top w:val="single" w:sz="8" w:space="0" w:color="000000"/>
              <w:left w:val="nil"/>
              <w:bottom w:val="single" w:sz="8" w:space="0" w:color="000000"/>
              <w:right w:val="single" w:sz="8" w:space="0" w:color="000000"/>
            </w:tcBorders>
            <w:shd w:val="clear" w:color="auto" w:fill="E7E6E6"/>
          </w:tcPr>
          <w:p w14:paraId="70323CAB" w14:textId="77777777" w:rsidR="00F631B1" w:rsidRPr="009A0DA6" w:rsidRDefault="00F631B1" w:rsidP="00180211">
            <w:pPr>
              <w:widowControl w:val="0"/>
              <w:spacing w:after="0" w:line="276" w:lineRule="exact"/>
              <w:ind w:left="120" w:right="131"/>
              <w:jc w:val="right"/>
              <w:rPr>
                <w:rFonts w:ascii="Cambria" w:eastAsia="Calibri" w:hAnsi="Cambria" w:cs="Times New Roman"/>
                <w:b/>
                <w:spacing w:val="-1"/>
              </w:rPr>
            </w:pPr>
            <w:r w:rsidRPr="009A0DA6">
              <w:rPr>
                <w:rFonts w:ascii="Cambria" w:eastAsia="Calibri" w:hAnsi="Cambria" w:cs="Times New Roman"/>
                <w:b/>
                <w:spacing w:val="-1"/>
              </w:rPr>
              <w:t>223,000</w:t>
            </w:r>
          </w:p>
        </w:tc>
        <w:tc>
          <w:tcPr>
            <w:tcW w:w="355" w:type="dxa"/>
            <w:gridSpan w:val="2"/>
            <w:tcBorders>
              <w:top w:val="single" w:sz="8" w:space="0" w:color="000000"/>
              <w:left w:val="single" w:sz="8" w:space="0" w:color="000000"/>
              <w:bottom w:val="single" w:sz="8" w:space="0" w:color="000000"/>
              <w:right w:val="nil"/>
            </w:tcBorders>
            <w:shd w:val="clear" w:color="auto" w:fill="E7E6E6"/>
          </w:tcPr>
          <w:p w14:paraId="524E5CBD" w14:textId="77777777" w:rsidR="00F631B1" w:rsidRPr="009A0DA6" w:rsidRDefault="00F631B1" w:rsidP="00180211">
            <w:pPr>
              <w:widowControl w:val="0"/>
              <w:spacing w:after="0" w:line="276" w:lineRule="exact"/>
              <w:ind w:left="102"/>
              <w:jc w:val="right"/>
              <w:rPr>
                <w:rFonts w:ascii="Cambria" w:eastAsia="Calibri" w:hAnsi="Cambria" w:cs="Times New Roman"/>
                <w:b/>
              </w:rPr>
            </w:pPr>
            <w:r w:rsidRPr="009A0DA6">
              <w:rPr>
                <w:rFonts w:ascii="Cambria" w:eastAsia="Calibri" w:hAnsi="Cambria" w:cs="Times New Roman"/>
                <w:b/>
              </w:rPr>
              <w:t>$</w:t>
            </w:r>
          </w:p>
        </w:tc>
        <w:tc>
          <w:tcPr>
            <w:tcW w:w="1195" w:type="dxa"/>
            <w:tcBorders>
              <w:top w:val="single" w:sz="8" w:space="0" w:color="000000"/>
              <w:left w:val="nil"/>
              <w:bottom w:val="single" w:sz="8" w:space="0" w:color="000000"/>
              <w:right w:val="single" w:sz="8" w:space="0" w:color="000000"/>
            </w:tcBorders>
            <w:shd w:val="clear" w:color="auto" w:fill="E7E6E6"/>
          </w:tcPr>
          <w:p w14:paraId="234898CD" w14:textId="77777777" w:rsidR="00F631B1" w:rsidRPr="009A0DA6" w:rsidRDefault="00F631B1" w:rsidP="00180211">
            <w:pPr>
              <w:widowControl w:val="0"/>
              <w:spacing w:after="0" w:line="276" w:lineRule="exact"/>
              <w:ind w:left="120" w:right="131"/>
              <w:jc w:val="right"/>
              <w:rPr>
                <w:rFonts w:ascii="Cambria" w:eastAsia="Calibri" w:hAnsi="Cambria" w:cs="Times New Roman"/>
                <w:b/>
                <w:spacing w:val="-1"/>
              </w:rPr>
            </w:pPr>
            <w:r w:rsidRPr="009A0DA6">
              <w:rPr>
                <w:rFonts w:ascii="Cambria" w:eastAsia="Calibri" w:hAnsi="Cambria" w:cs="Times New Roman"/>
                <w:b/>
                <w:spacing w:val="-1"/>
              </w:rPr>
              <w:t>0</w:t>
            </w:r>
          </w:p>
        </w:tc>
      </w:tr>
      <w:tr w:rsidR="00F631B1" w:rsidRPr="009A0DA6" w14:paraId="06ACD474" w14:textId="77777777" w:rsidTr="00180211">
        <w:trPr>
          <w:trHeight w:hRule="exact" w:val="298"/>
        </w:trPr>
        <w:tc>
          <w:tcPr>
            <w:tcW w:w="4277" w:type="dxa"/>
            <w:tcBorders>
              <w:top w:val="single" w:sz="8" w:space="0" w:color="000000"/>
              <w:left w:val="single" w:sz="8" w:space="0" w:color="000000"/>
              <w:bottom w:val="single" w:sz="8" w:space="0" w:color="000000"/>
              <w:right w:val="single" w:sz="8" w:space="0" w:color="000000"/>
            </w:tcBorders>
            <w:shd w:val="clear" w:color="auto" w:fill="E7E6E6"/>
          </w:tcPr>
          <w:p w14:paraId="230470F0" w14:textId="77777777" w:rsidR="00F631B1" w:rsidRPr="009A0DA6" w:rsidRDefault="00F631B1" w:rsidP="00180211">
            <w:pPr>
              <w:widowControl w:val="0"/>
              <w:spacing w:after="0" w:line="276" w:lineRule="exact"/>
              <w:ind w:right="28"/>
              <w:rPr>
                <w:rFonts w:ascii="Cambria" w:eastAsia="Calibri" w:hAnsi="Cambria" w:cs="Calibri"/>
              </w:rPr>
            </w:pPr>
            <w:r w:rsidRPr="009A0DA6">
              <w:rPr>
                <w:rFonts w:ascii="Cambria" w:eastAsia="Calibri" w:hAnsi="Cambria" w:cs="Times New Roman"/>
                <w:b/>
                <w:spacing w:val="-1"/>
              </w:rPr>
              <w:t>Longest</w:t>
            </w:r>
            <w:r w:rsidRPr="009A0DA6">
              <w:rPr>
                <w:rFonts w:ascii="Cambria" w:eastAsia="Calibri" w:hAnsi="Cambria" w:cs="Times New Roman"/>
                <w:b/>
                <w:spacing w:val="17"/>
              </w:rPr>
              <w:t xml:space="preserve"> </w:t>
            </w:r>
            <w:r w:rsidRPr="009A0DA6">
              <w:rPr>
                <w:rFonts w:ascii="Cambria" w:eastAsia="Calibri" w:hAnsi="Cambria" w:cs="Times New Roman"/>
                <w:b/>
                <w:spacing w:val="-1"/>
              </w:rPr>
              <w:t>Lutheran</w:t>
            </w:r>
            <w:r w:rsidRPr="009A0DA6">
              <w:rPr>
                <w:rFonts w:ascii="Cambria" w:eastAsia="Calibri" w:hAnsi="Cambria" w:cs="Times New Roman"/>
                <w:b/>
                <w:spacing w:val="19"/>
              </w:rPr>
              <w:t xml:space="preserve"> </w:t>
            </w:r>
            <w:r w:rsidRPr="009A0DA6">
              <w:rPr>
                <w:rFonts w:ascii="Cambria" w:eastAsia="Calibri" w:hAnsi="Cambria" w:cs="Times New Roman"/>
                <w:b/>
              </w:rPr>
              <w:t>Lunch</w:t>
            </w:r>
            <w:r w:rsidRPr="009A0DA6">
              <w:rPr>
                <w:rFonts w:ascii="Cambria" w:eastAsia="Calibri" w:hAnsi="Cambria" w:cs="Times New Roman"/>
                <w:b/>
                <w:spacing w:val="19"/>
              </w:rPr>
              <w:t xml:space="preserve"> </w:t>
            </w:r>
            <w:r w:rsidRPr="009A0DA6">
              <w:rPr>
                <w:rFonts w:ascii="Cambria" w:eastAsia="Calibri" w:hAnsi="Cambria" w:cs="Times New Roman"/>
                <w:b/>
              </w:rPr>
              <w:t>plus</w:t>
            </w:r>
            <w:r w:rsidRPr="009A0DA6">
              <w:rPr>
                <w:rFonts w:ascii="Cambria" w:eastAsia="Calibri" w:hAnsi="Cambria" w:cs="Times New Roman"/>
                <w:b/>
                <w:spacing w:val="18"/>
              </w:rPr>
              <w:t xml:space="preserve"> </w:t>
            </w:r>
            <w:r w:rsidRPr="009A0DA6">
              <w:rPr>
                <w:rFonts w:ascii="Cambria" w:eastAsia="Calibri" w:hAnsi="Cambria" w:cs="Times New Roman"/>
                <w:b/>
                <w:spacing w:val="-1"/>
              </w:rPr>
              <w:t>Local</w:t>
            </w:r>
            <w:r w:rsidRPr="009A0DA6">
              <w:rPr>
                <w:rFonts w:ascii="Cambria" w:eastAsia="Calibri" w:hAnsi="Cambria" w:cs="Times New Roman"/>
                <w:b/>
                <w:spacing w:val="17"/>
              </w:rPr>
              <w:t xml:space="preserve"> </w:t>
            </w:r>
            <w:r w:rsidRPr="009A0DA6">
              <w:rPr>
                <w:rFonts w:ascii="Cambria" w:eastAsia="Calibri" w:hAnsi="Cambria" w:cs="Times New Roman"/>
                <w:b/>
                <w:spacing w:val="-1"/>
              </w:rPr>
              <w:t>Celebration</w:t>
            </w:r>
            <w:r w:rsidRPr="009A0DA6">
              <w:rPr>
                <w:rFonts w:ascii="Cambria" w:eastAsia="Calibri" w:hAnsi="Cambria" w:cs="Times New Roman"/>
                <w:b/>
                <w:spacing w:val="19"/>
              </w:rPr>
              <w:t xml:space="preserve"> </w:t>
            </w:r>
            <w:r w:rsidRPr="009A0DA6">
              <w:rPr>
                <w:rFonts w:ascii="Cambria" w:eastAsia="Calibri" w:hAnsi="Cambria" w:cs="Times New Roman"/>
                <w:b/>
                <w:spacing w:val="-1"/>
              </w:rPr>
              <w:t>Resources*</w:t>
            </w:r>
          </w:p>
        </w:tc>
        <w:tc>
          <w:tcPr>
            <w:tcW w:w="355" w:type="dxa"/>
            <w:tcBorders>
              <w:top w:val="single" w:sz="8" w:space="0" w:color="000000"/>
              <w:left w:val="single" w:sz="8" w:space="0" w:color="000000"/>
              <w:bottom w:val="single" w:sz="8" w:space="0" w:color="000000"/>
              <w:right w:val="nil"/>
            </w:tcBorders>
            <w:shd w:val="clear" w:color="auto" w:fill="E7E6E6"/>
          </w:tcPr>
          <w:p w14:paraId="7C6D76E8" w14:textId="77777777" w:rsidR="00F631B1" w:rsidRPr="009A0DA6" w:rsidRDefault="00F631B1" w:rsidP="00180211">
            <w:pPr>
              <w:widowControl w:val="0"/>
              <w:spacing w:after="0" w:line="276" w:lineRule="exact"/>
              <w:ind w:left="102"/>
              <w:jc w:val="right"/>
              <w:rPr>
                <w:rFonts w:ascii="Cambria" w:eastAsia="Calibri" w:hAnsi="Cambria" w:cs="Calibri"/>
              </w:rPr>
            </w:pPr>
            <w:r w:rsidRPr="009A0DA6">
              <w:rPr>
                <w:rFonts w:ascii="Cambria" w:eastAsia="Calibri" w:hAnsi="Cambria" w:cs="Times New Roman"/>
                <w:b/>
              </w:rPr>
              <w:t>$</w:t>
            </w:r>
          </w:p>
        </w:tc>
        <w:tc>
          <w:tcPr>
            <w:tcW w:w="1195" w:type="dxa"/>
            <w:tcBorders>
              <w:top w:val="single" w:sz="8" w:space="0" w:color="000000"/>
              <w:left w:val="nil"/>
              <w:bottom w:val="single" w:sz="8" w:space="0" w:color="000000"/>
              <w:right w:val="single" w:sz="8" w:space="0" w:color="000000"/>
            </w:tcBorders>
            <w:shd w:val="clear" w:color="auto" w:fill="E7E6E6"/>
          </w:tcPr>
          <w:p w14:paraId="0E77ACAD" w14:textId="77777777" w:rsidR="00F631B1" w:rsidRPr="009A0DA6" w:rsidRDefault="00F631B1" w:rsidP="00180211">
            <w:pPr>
              <w:widowControl w:val="0"/>
              <w:spacing w:after="0" w:line="276" w:lineRule="exact"/>
              <w:ind w:left="120" w:right="131"/>
              <w:jc w:val="right"/>
              <w:rPr>
                <w:rFonts w:ascii="Cambria" w:eastAsia="Calibri" w:hAnsi="Cambria" w:cs="Calibri"/>
              </w:rPr>
            </w:pPr>
            <w:r w:rsidRPr="009A0DA6">
              <w:rPr>
                <w:rFonts w:ascii="Cambria" w:eastAsia="Calibri" w:hAnsi="Cambria" w:cs="Times New Roman"/>
                <w:b/>
                <w:spacing w:val="-1"/>
              </w:rPr>
              <w:t>46,429</w:t>
            </w:r>
          </w:p>
        </w:tc>
        <w:tc>
          <w:tcPr>
            <w:tcW w:w="355" w:type="dxa"/>
            <w:tcBorders>
              <w:top w:val="single" w:sz="8" w:space="0" w:color="000000"/>
              <w:left w:val="single" w:sz="8" w:space="0" w:color="000000"/>
              <w:bottom w:val="single" w:sz="8" w:space="0" w:color="000000"/>
              <w:right w:val="nil"/>
            </w:tcBorders>
            <w:shd w:val="clear" w:color="auto" w:fill="E7E6E6"/>
          </w:tcPr>
          <w:p w14:paraId="20282F35" w14:textId="77777777" w:rsidR="00F631B1" w:rsidRPr="009A0DA6" w:rsidRDefault="00F631B1" w:rsidP="00180211">
            <w:pPr>
              <w:widowControl w:val="0"/>
              <w:spacing w:after="0" w:line="276" w:lineRule="exact"/>
              <w:ind w:left="102"/>
              <w:jc w:val="right"/>
              <w:rPr>
                <w:rFonts w:ascii="Cambria" w:eastAsia="Calibri" w:hAnsi="Cambria" w:cs="Calibri"/>
              </w:rPr>
            </w:pPr>
            <w:r w:rsidRPr="009A0DA6">
              <w:rPr>
                <w:rFonts w:ascii="Cambria" w:eastAsia="Calibri" w:hAnsi="Cambria" w:cs="Times New Roman"/>
                <w:b/>
              </w:rPr>
              <w:t>$</w:t>
            </w:r>
          </w:p>
        </w:tc>
        <w:tc>
          <w:tcPr>
            <w:tcW w:w="1195" w:type="dxa"/>
            <w:tcBorders>
              <w:top w:val="single" w:sz="8" w:space="0" w:color="000000"/>
              <w:left w:val="nil"/>
              <w:bottom w:val="single" w:sz="8" w:space="0" w:color="000000"/>
              <w:right w:val="single" w:sz="8" w:space="0" w:color="000000"/>
            </w:tcBorders>
            <w:shd w:val="clear" w:color="auto" w:fill="E7E6E6"/>
          </w:tcPr>
          <w:p w14:paraId="40A7CD3C" w14:textId="77777777" w:rsidR="00F631B1" w:rsidRPr="009A0DA6" w:rsidRDefault="00F631B1" w:rsidP="00180211">
            <w:pPr>
              <w:widowControl w:val="0"/>
              <w:spacing w:after="0" w:line="276" w:lineRule="exact"/>
              <w:ind w:left="120" w:right="131"/>
              <w:jc w:val="right"/>
              <w:rPr>
                <w:rFonts w:ascii="Cambria" w:eastAsia="Calibri" w:hAnsi="Cambria" w:cs="Calibri"/>
              </w:rPr>
            </w:pPr>
            <w:r w:rsidRPr="009A0DA6">
              <w:rPr>
                <w:rFonts w:ascii="Cambria" w:eastAsia="Calibri" w:hAnsi="Cambria" w:cs="Times New Roman"/>
                <w:b/>
                <w:spacing w:val="-1"/>
              </w:rPr>
              <w:t>27,891</w:t>
            </w:r>
          </w:p>
        </w:tc>
        <w:tc>
          <w:tcPr>
            <w:tcW w:w="355" w:type="dxa"/>
            <w:gridSpan w:val="2"/>
            <w:tcBorders>
              <w:top w:val="single" w:sz="8" w:space="0" w:color="000000"/>
              <w:left w:val="single" w:sz="8" w:space="0" w:color="000000"/>
              <w:bottom w:val="single" w:sz="8" w:space="0" w:color="000000"/>
              <w:right w:val="nil"/>
            </w:tcBorders>
            <w:shd w:val="clear" w:color="auto" w:fill="E7E6E6"/>
          </w:tcPr>
          <w:p w14:paraId="00794D7E" w14:textId="77777777" w:rsidR="00F631B1" w:rsidRPr="009A0DA6" w:rsidRDefault="00F631B1" w:rsidP="00180211">
            <w:pPr>
              <w:widowControl w:val="0"/>
              <w:spacing w:after="0" w:line="276" w:lineRule="exact"/>
              <w:ind w:left="102"/>
              <w:jc w:val="right"/>
              <w:rPr>
                <w:rFonts w:ascii="Cambria" w:eastAsia="Calibri" w:hAnsi="Cambria" w:cs="Calibri"/>
              </w:rPr>
            </w:pPr>
            <w:r w:rsidRPr="009A0DA6">
              <w:rPr>
                <w:rFonts w:ascii="Cambria" w:eastAsia="Calibri" w:hAnsi="Cambria" w:cs="Times New Roman"/>
                <w:b/>
              </w:rPr>
              <w:t>$</w:t>
            </w:r>
          </w:p>
        </w:tc>
        <w:tc>
          <w:tcPr>
            <w:tcW w:w="1195" w:type="dxa"/>
            <w:tcBorders>
              <w:top w:val="single" w:sz="8" w:space="0" w:color="000000"/>
              <w:left w:val="nil"/>
              <w:bottom w:val="single" w:sz="8" w:space="0" w:color="000000"/>
              <w:right w:val="single" w:sz="8" w:space="0" w:color="000000"/>
            </w:tcBorders>
            <w:shd w:val="clear" w:color="auto" w:fill="E7E6E6"/>
          </w:tcPr>
          <w:p w14:paraId="489E9451" w14:textId="77777777" w:rsidR="00F631B1" w:rsidRPr="009A0DA6" w:rsidRDefault="00F631B1" w:rsidP="00180211">
            <w:pPr>
              <w:widowControl w:val="0"/>
              <w:spacing w:after="0" w:line="276" w:lineRule="exact"/>
              <w:ind w:left="120" w:right="131"/>
              <w:jc w:val="right"/>
              <w:rPr>
                <w:rFonts w:ascii="Cambria" w:eastAsia="Calibri" w:hAnsi="Cambria" w:cs="Calibri"/>
              </w:rPr>
            </w:pPr>
            <w:r w:rsidRPr="009A0DA6">
              <w:rPr>
                <w:rFonts w:ascii="Cambria" w:eastAsia="Calibri" w:hAnsi="Cambria" w:cs="Times New Roman"/>
                <w:b/>
                <w:spacing w:val="-1"/>
              </w:rPr>
              <w:t>18,538</w:t>
            </w:r>
          </w:p>
        </w:tc>
      </w:tr>
      <w:tr w:rsidR="00F631B1" w:rsidRPr="009A0DA6" w14:paraId="104AAD0B" w14:textId="77777777" w:rsidTr="00180211">
        <w:trPr>
          <w:trHeight w:hRule="exact" w:val="298"/>
        </w:trPr>
        <w:tc>
          <w:tcPr>
            <w:tcW w:w="4277" w:type="dxa"/>
            <w:tcBorders>
              <w:top w:val="single" w:sz="8" w:space="0" w:color="000000"/>
              <w:left w:val="single" w:sz="8" w:space="0" w:color="000000"/>
              <w:bottom w:val="single" w:sz="8" w:space="0" w:color="000000"/>
              <w:right w:val="single" w:sz="8" w:space="0" w:color="000000"/>
            </w:tcBorders>
            <w:shd w:val="clear" w:color="auto" w:fill="E7E6E6"/>
          </w:tcPr>
          <w:p w14:paraId="2F5F09BC" w14:textId="77777777" w:rsidR="00F631B1" w:rsidRPr="009A0DA6" w:rsidRDefault="00F631B1" w:rsidP="00180211">
            <w:pPr>
              <w:widowControl w:val="0"/>
              <w:spacing w:after="0" w:line="276" w:lineRule="exact"/>
              <w:ind w:right="28"/>
              <w:rPr>
                <w:rFonts w:ascii="Cambria" w:eastAsia="Calibri" w:hAnsi="Cambria" w:cs="Calibri"/>
              </w:rPr>
            </w:pPr>
            <w:r w:rsidRPr="009A0DA6">
              <w:rPr>
                <w:rFonts w:ascii="Cambria" w:eastAsia="Calibri" w:hAnsi="Cambria" w:cs="Times New Roman"/>
                <w:b/>
                <w:spacing w:val="-1"/>
              </w:rPr>
              <w:t>National</w:t>
            </w:r>
            <w:r w:rsidRPr="009A0DA6">
              <w:rPr>
                <w:rFonts w:ascii="Cambria" w:eastAsia="Calibri" w:hAnsi="Cambria" w:cs="Times New Roman"/>
                <w:b/>
                <w:spacing w:val="30"/>
              </w:rPr>
              <w:t xml:space="preserve"> </w:t>
            </w:r>
            <w:r w:rsidRPr="009A0DA6">
              <w:rPr>
                <w:rFonts w:ascii="Cambria" w:eastAsia="Calibri" w:hAnsi="Cambria" w:cs="Times New Roman"/>
                <w:b/>
                <w:spacing w:val="-1"/>
              </w:rPr>
              <w:t>Celebrations</w:t>
            </w:r>
          </w:p>
        </w:tc>
        <w:tc>
          <w:tcPr>
            <w:tcW w:w="355" w:type="dxa"/>
            <w:tcBorders>
              <w:top w:val="single" w:sz="8" w:space="0" w:color="000000"/>
              <w:left w:val="single" w:sz="8" w:space="0" w:color="000000"/>
              <w:bottom w:val="single" w:sz="8" w:space="0" w:color="000000"/>
              <w:right w:val="nil"/>
            </w:tcBorders>
            <w:shd w:val="clear" w:color="auto" w:fill="E7E6E6"/>
          </w:tcPr>
          <w:p w14:paraId="6C052F7C" w14:textId="77777777" w:rsidR="00F631B1" w:rsidRPr="009A0DA6" w:rsidRDefault="00F631B1" w:rsidP="00180211">
            <w:pPr>
              <w:widowControl w:val="0"/>
              <w:spacing w:after="0" w:line="276" w:lineRule="exact"/>
              <w:ind w:left="102"/>
              <w:jc w:val="right"/>
              <w:rPr>
                <w:rFonts w:ascii="Cambria" w:eastAsia="Calibri" w:hAnsi="Cambria" w:cs="Calibri"/>
              </w:rPr>
            </w:pPr>
            <w:r w:rsidRPr="009A0DA6">
              <w:rPr>
                <w:rFonts w:ascii="Cambria" w:eastAsia="Calibri" w:hAnsi="Cambria" w:cs="Times New Roman"/>
                <w:b/>
              </w:rPr>
              <w:t>$</w:t>
            </w:r>
          </w:p>
        </w:tc>
        <w:tc>
          <w:tcPr>
            <w:tcW w:w="1195" w:type="dxa"/>
            <w:tcBorders>
              <w:top w:val="single" w:sz="8" w:space="0" w:color="000000"/>
              <w:left w:val="nil"/>
              <w:bottom w:val="single" w:sz="8" w:space="0" w:color="000000"/>
              <w:right w:val="single" w:sz="8" w:space="0" w:color="000000"/>
            </w:tcBorders>
            <w:shd w:val="clear" w:color="auto" w:fill="E7E6E6"/>
          </w:tcPr>
          <w:p w14:paraId="1DFB9F1C" w14:textId="31DADC85" w:rsidR="00F631B1" w:rsidRPr="009A0DA6" w:rsidRDefault="00F631B1" w:rsidP="00180211">
            <w:pPr>
              <w:widowControl w:val="0"/>
              <w:spacing w:after="0" w:line="276" w:lineRule="exact"/>
              <w:ind w:left="117" w:right="131"/>
              <w:jc w:val="right"/>
              <w:rPr>
                <w:rFonts w:ascii="Cambria" w:eastAsia="Calibri" w:hAnsi="Cambria" w:cs="Calibri"/>
              </w:rPr>
            </w:pPr>
            <w:r w:rsidRPr="009A0DA6">
              <w:rPr>
                <w:rFonts w:ascii="Cambria" w:eastAsia="Calibri" w:hAnsi="Cambria" w:cs="Times New Roman"/>
                <w:b/>
                <w:spacing w:val="-1"/>
              </w:rPr>
              <w:t>41,72</w:t>
            </w:r>
            <w:r w:rsidR="009C3A51">
              <w:rPr>
                <w:rFonts w:ascii="Cambria" w:eastAsia="Calibri" w:hAnsi="Cambria" w:cs="Times New Roman"/>
                <w:b/>
                <w:spacing w:val="-1"/>
              </w:rPr>
              <w:t>8</w:t>
            </w:r>
          </w:p>
        </w:tc>
        <w:tc>
          <w:tcPr>
            <w:tcW w:w="355" w:type="dxa"/>
            <w:tcBorders>
              <w:top w:val="single" w:sz="8" w:space="0" w:color="000000"/>
              <w:left w:val="single" w:sz="8" w:space="0" w:color="000000"/>
              <w:bottom w:val="single" w:sz="8" w:space="0" w:color="000000"/>
              <w:right w:val="nil"/>
            </w:tcBorders>
            <w:shd w:val="clear" w:color="auto" w:fill="E7E6E6"/>
          </w:tcPr>
          <w:p w14:paraId="5913C0C6" w14:textId="77777777" w:rsidR="00F631B1" w:rsidRPr="009A0DA6" w:rsidRDefault="00F631B1" w:rsidP="00180211">
            <w:pPr>
              <w:widowControl w:val="0"/>
              <w:spacing w:after="0" w:line="276" w:lineRule="exact"/>
              <w:ind w:left="102"/>
              <w:jc w:val="right"/>
              <w:rPr>
                <w:rFonts w:ascii="Cambria" w:eastAsia="Calibri" w:hAnsi="Cambria" w:cs="Calibri"/>
              </w:rPr>
            </w:pPr>
            <w:r w:rsidRPr="009A0DA6">
              <w:rPr>
                <w:rFonts w:ascii="Cambria" w:eastAsia="Calibri" w:hAnsi="Cambria" w:cs="Times New Roman"/>
                <w:b/>
              </w:rPr>
              <w:t>$</w:t>
            </w:r>
          </w:p>
        </w:tc>
        <w:tc>
          <w:tcPr>
            <w:tcW w:w="1195" w:type="dxa"/>
            <w:tcBorders>
              <w:top w:val="single" w:sz="8" w:space="0" w:color="000000"/>
              <w:left w:val="nil"/>
              <w:bottom w:val="single" w:sz="8" w:space="0" w:color="000000"/>
              <w:right w:val="single" w:sz="8" w:space="0" w:color="000000"/>
            </w:tcBorders>
            <w:shd w:val="clear" w:color="auto" w:fill="E7E6E6"/>
          </w:tcPr>
          <w:p w14:paraId="65D75055" w14:textId="77777777" w:rsidR="00F631B1" w:rsidRPr="009A0DA6" w:rsidRDefault="00F631B1" w:rsidP="00180211">
            <w:pPr>
              <w:widowControl w:val="0"/>
              <w:spacing w:after="0" w:line="276" w:lineRule="exact"/>
              <w:ind w:left="117" w:right="131"/>
              <w:jc w:val="right"/>
              <w:rPr>
                <w:rFonts w:ascii="Cambria" w:eastAsia="Calibri" w:hAnsi="Cambria" w:cs="Calibri"/>
              </w:rPr>
            </w:pPr>
            <w:r w:rsidRPr="009A0DA6">
              <w:rPr>
                <w:rFonts w:ascii="Cambria" w:eastAsia="Calibri" w:hAnsi="Cambria" w:cs="Times New Roman"/>
                <w:b/>
                <w:spacing w:val="-1"/>
              </w:rPr>
              <w:t>27,909</w:t>
            </w:r>
          </w:p>
        </w:tc>
        <w:tc>
          <w:tcPr>
            <w:tcW w:w="355" w:type="dxa"/>
            <w:gridSpan w:val="2"/>
            <w:tcBorders>
              <w:top w:val="single" w:sz="8" w:space="0" w:color="000000"/>
              <w:left w:val="single" w:sz="8" w:space="0" w:color="000000"/>
              <w:bottom w:val="single" w:sz="8" w:space="0" w:color="000000"/>
              <w:right w:val="nil"/>
            </w:tcBorders>
            <w:shd w:val="clear" w:color="auto" w:fill="E7E6E6"/>
          </w:tcPr>
          <w:p w14:paraId="1031B602" w14:textId="77777777" w:rsidR="00F631B1" w:rsidRPr="009A0DA6" w:rsidRDefault="00F631B1" w:rsidP="00180211">
            <w:pPr>
              <w:widowControl w:val="0"/>
              <w:spacing w:after="0" w:line="276" w:lineRule="exact"/>
              <w:ind w:left="102"/>
              <w:jc w:val="right"/>
              <w:rPr>
                <w:rFonts w:ascii="Cambria" w:eastAsia="Calibri" w:hAnsi="Cambria" w:cs="Calibri"/>
              </w:rPr>
            </w:pPr>
            <w:r w:rsidRPr="009A0DA6">
              <w:rPr>
                <w:rFonts w:ascii="Cambria" w:eastAsia="Calibri" w:hAnsi="Cambria" w:cs="Times New Roman"/>
                <w:b/>
              </w:rPr>
              <w:t>$</w:t>
            </w:r>
          </w:p>
        </w:tc>
        <w:tc>
          <w:tcPr>
            <w:tcW w:w="1195" w:type="dxa"/>
            <w:tcBorders>
              <w:top w:val="single" w:sz="8" w:space="0" w:color="000000"/>
              <w:left w:val="nil"/>
              <w:bottom w:val="single" w:sz="8" w:space="0" w:color="000000"/>
              <w:right w:val="single" w:sz="8" w:space="0" w:color="000000"/>
            </w:tcBorders>
            <w:shd w:val="clear" w:color="auto" w:fill="E7E6E6"/>
          </w:tcPr>
          <w:p w14:paraId="5E201822" w14:textId="77777777" w:rsidR="00F631B1" w:rsidRPr="009A0DA6" w:rsidRDefault="00F631B1" w:rsidP="00180211">
            <w:pPr>
              <w:widowControl w:val="0"/>
              <w:spacing w:after="0" w:line="276" w:lineRule="exact"/>
              <w:ind w:left="117" w:right="131"/>
              <w:jc w:val="right"/>
              <w:rPr>
                <w:rFonts w:ascii="Cambria" w:eastAsia="Calibri" w:hAnsi="Cambria" w:cs="Calibri"/>
              </w:rPr>
            </w:pPr>
            <w:r w:rsidRPr="009A0DA6">
              <w:rPr>
                <w:rFonts w:ascii="Cambria" w:eastAsia="Calibri" w:hAnsi="Cambria" w:cs="Times New Roman"/>
                <w:b/>
                <w:spacing w:val="-1"/>
              </w:rPr>
              <w:t>13,817</w:t>
            </w:r>
          </w:p>
        </w:tc>
      </w:tr>
      <w:tr w:rsidR="00F631B1" w:rsidRPr="009A0DA6" w14:paraId="646C418E" w14:textId="77777777" w:rsidTr="00180211">
        <w:trPr>
          <w:trHeight w:hRule="exact" w:val="298"/>
        </w:trPr>
        <w:tc>
          <w:tcPr>
            <w:tcW w:w="4277" w:type="dxa"/>
            <w:tcBorders>
              <w:top w:val="single" w:sz="8" w:space="0" w:color="000000"/>
              <w:left w:val="single" w:sz="8" w:space="0" w:color="000000"/>
              <w:bottom w:val="single" w:sz="8" w:space="0" w:color="000000"/>
              <w:right w:val="single" w:sz="8" w:space="0" w:color="000000"/>
            </w:tcBorders>
            <w:shd w:val="clear" w:color="auto" w:fill="E7E6E6"/>
          </w:tcPr>
          <w:p w14:paraId="1BDD2690" w14:textId="77777777" w:rsidR="00F631B1" w:rsidRPr="009A0DA6" w:rsidRDefault="00F631B1" w:rsidP="00180211">
            <w:pPr>
              <w:widowControl w:val="0"/>
              <w:spacing w:after="0" w:line="276" w:lineRule="exact"/>
              <w:ind w:right="28"/>
              <w:rPr>
                <w:rFonts w:ascii="Cambria" w:eastAsia="Calibri" w:hAnsi="Cambria" w:cs="Calibri"/>
              </w:rPr>
            </w:pPr>
            <w:r w:rsidRPr="009A0DA6">
              <w:rPr>
                <w:rFonts w:ascii="Cambria" w:eastAsia="Calibri" w:hAnsi="Cambria" w:cs="Times New Roman"/>
                <w:b/>
                <w:spacing w:val="-1"/>
              </w:rPr>
              <w:t>Communications,</w:t>
            </w:r>
            <w:r w:rsidRPr="009A0DA6">
              <w:rPr>
                <w:rFonts w:ascii="Cambria" w:eastAsia="Calibri" w:hAnsi="Cambria" w:cs="Times New Roman"/>
                <w:b/>
                <w:spacing w:val="21"/>
              </w:rPr>
              <w:t xml:space="preserve"> </w:t>
            </w:r>
            <w:r w:rsidRPr="009A0DA6">
              <w:rPr>
                <w:rFonts w:ascii="Cambria" w:eastAsia="Calibri" w:hAnsi="Cambria" w:cs="Times New Roman"/>
                <w:b/>
                <w:spacing w:val="-1"/>
              </w:rPr>
              <w:t>Personnel,</w:t>
            </w:r>
            <w:r w:rsidRPr="009A0DA6">
              <w:rPr>
                <w:rFonts w:ascii="Cambria" w:eastAsia="Calibri" w:hAnsi="Cambria" w:cs="Times New Roman"/>
                <w:b/>
                <w:spacing w:val="21"/>
              </w:rPr>
              <w:t xml:space="preserve"> </w:t>
            </w:r>
            <w:r w:rsidRPr="009A0DA6">
              <w:rPr>
                <w:rFonts w:ascii="Cambria" w:eastAsia="Calibri" w:hAnsi="Cambria" w:cs="Times New Roman"/>
                <w:b/>
                <w:spacing w:val="-1"/>
              </w:rPr>
              <w:t>Admin</w:t>
            </w:r>
          </w:p>
        </w:tc>
        <w:tc>
          <w:tcPr>
            <w:tcW w:w="355" w:type="dxa"/>
            <w:tcBorders>
              <w:top w:val="single" w:sz="8" w:space="0" w:color="000000"/>
              <w:left w:val="single" w:sz="8" w:space="0" w:color="000000"/>
              <w:bottom w:val="single" w:sz="8" w:space="0" w:color="000000"/>
              <w:right w:val="nil"/>
            </w:tcBorders>
            <w:shd w:val="clear" w:color="auto" w:fill="E7E6E6"/>
          </w:tcPr>
          <w:p w14:paraId="0E1D1232" w14:textId="77777777" w:rsidR="00F631B1" w:rsidRPr="009A0DA6" w:rsidRDefault="00F631B1" w:rsidP="00180211">
            <w:pPr>
              <w:widowControl w:val="0"/>
              <w:spacing w:after="0" w:line="276" w:lineRule="exact"/>
              <w:ind w:left="102"/>
              <w:jc w:val="right"/>
              <w:rPr>
                <w:rFonts w:ascii="Cambria" w:eastAsia="Calibri" w:hAnsi="Cambria" w:cs="Calibri"/>
              </w:rPr>
            </w:pPr>
            <w:r w:rsidRPr="009A0DA6">
              <w:rPr>
                <w:rFonts w:ascii="Cambria" w:eastAsia="Calibri" w:hAnsi="Cambria" w:cs="Times New Roman"/>
                <w:b/>
              </w:rPr>
              <w:t>$</w:t>
            </w:r>
          </w:p>
        </w:tc>
        <w:tc>
          <w:tcPr>
            <w:tcW w:w="1195" w:type="dxa"/>
            <w:tcBorders>
              <w:top w:val="single" w:sz="8" w:space="0" w:color="000000"/>
              <w:left w:val="nil"/>
              <w:bottom w:val="single" w:sz="8" w:space="0" w:color="000000"/>
              <w:right w:val="single" w:sz="8" w:space="0" w:color="000000"/>
            </w:tcBorders>
            <w:shd w:val="clear" w:color="auto" w:fill="E7E6E6"/>
          </w:tcPr>
          <w:p w14:paraId="0C4FBE44" w14:textId="77777777" w:rsidR="00F631B1" w:rsidRPr="009A0DA6" w:rsidRDefault="00F631B1" w:rsidP="00180211">
            <w:pPr>
              <w:widowControl w:val="0"/>
              <w:spacing w:after="0" w:line="276" w:lineRule="exact"/>
              <w:ind w:left="117" w:right="131"/>
              <w:jc w:val="right"/>
              <w:rPr>
                <w:rFonts w:ascii="Cambria" w:eastAsia="Calibri" w:hAnsi="Cambria" w:cs="Calibri"/>
              </w:rPr>
            </w:pPr>
            <w:r w:rsidRPr="009A0DA6">
              <w:rPr>
                <w:rFonts w:ascii="Cambria" w:eastAsia="Calibri" w:hAnsi="Cambria" w:cs="Times New Roman"/>
                <w:b/>
                <w:spacing w:val="-1"/>
              </w:rPr>
              <w:t>20,409</w:t>
            </w:r>
          </w:p>
        </w:tc>
        <w:tc>
          <w:tcPr>
            <w:tcW w:w="355" w:type="dxa"/>
            <w:tcBorders>
              <w:top w:val="single" w:sz="8" w:space="0" w:color="000000"/>
              <w:left w:val="single" w:sz="8" w:space="0" w:color="000000"/>
              <w:bottom w:val="single" w:sz="8" w:space="0" w:color="000000"/>
              <w:right w:val="nil"/>
            </w:tcBorders>
            <w:shd w:val="clear" w:color="auto" w:fill="E7E6E6"/>
          </w:tcPr>
          <w:p w14:paraId="6A42EFB9" w14:textId="77777777" w:rsidR="00F631B1" w:rsidRPr="009A0DA6" w:rsidRDefault="00F631B1" w:rsidP="00180211">
            <w:pPr>
              <w:widowControl w:val="0"/>
              <w:spacing w:after="0" w:line="276" w:lineRule="exact"/>
              <w:ind w:left="102"/>
              <w:jc w:val="right"/>
              <w:rPr>
                <w:rFonts w:ascii="Cambria" w:eastAsia="Calibri" w:hAnsi="Cambria" w:cs="Calibri"/>
              </w:rPr>
            </w:pPr>
            <w:r w:rsidRPr="009A0DA6">
              <w:rPr>
                <w:rFonts w:ascii="Cambria" w:eastAsia="Calibri" w:hAnsi="Cambria" w:cs="Times New Roman"/>
                <w:b/>
              </w:rPr>
              <w:t>$</w:t>
            </w:r>
          </w:p>
        </w:tc>
        <w:tc>
          <w:tcPr>
            <w:tcW w:w="1195" w:type="dxa"/>
            <w:tcBorders>
              <w:top w:val="single" w:sz="8" w:space="0" w:color="000000"/>
              <w:left w:val="nil"/>
              <w:bottom w:val="single" w:sz="8" w:space="0" w:color="000000"/>
              <w:right w:val="single" w:sz="8" w:space="0" w:color="000000"/>
            </w:tcBorders>
            <w:shd w:val="clear" w:color="auto" w:fill="E7E6E6"/>
          </w:tcPr>
          <w:p w14:paraId="24F36ED1" w14:textId="77777777" w:rsidR="00F631B1" w:rsidRPr="009A0DA6" w:rsidRDefault="00F631B1" w:rsidP="00180211">
            <w:pPr>
              <w:widowControl w:val="0"/>
              <w:spacing w:after="0" w:line="276" w:lineRule="exact"/>
              <w:ind w:left="117" w:right="131"/>
              <w:jc w:val="right"/>
              <w:rPr>
                <w:rFonts w:ascii="Cambria" w:eastAsia="Calibri" w:hAnsi="Cambria" w:cs="Calibri"/>
              </w:rPr>
            </w:pPr>
            <w:r w:rsidRPr="009A0DA6">
              <w:rPr>
                <w:rFonts w:ascii="Cambria" w:eastAsia="Calibri" w:hAnsi="Cambria" w:cs="Times New Roman"/>
                <w:b/>
                <w:spacing w:val="-1"/>
              </w:rPr>
              <w:t>16,441</w:t>
            </w:r>
          </w:p>
        </w:tc>
        <w:tc>
          <w:tcPr>
            <w:tcW w:w="355" w:type="dxa"/>
            <w:gridSpan w:val="2"/>
            <w:tcBorders>
              <w:top w:val="single" w:sz="8" w:space="0" w:color="000000"/>
              <w:left w:val="single" w:sz="8" w:space="0" w:color="000000"/>
              <w:bottom w:val="single" w:sz="8" w:space="0" w:color="000000"/>
              <w:right w:val="nil"/>
            </w:tcBorders>
            <w:shd w:val="clear" w:color="auto" w:fill="E7E6E6"/>
          </w:tcPr>
          <w:p w14:paraId="29EEFCE7" w14:textId="77777777" w:rsidR="00F631B1" w:rsidRPr="009A0DA6" w:rsidRDefault="00F631B1" w:rsidP="00180211">
            <w:pPr>
              <w:widowControl w:val="0"/>
              <w:spacing w:after="0" w:line="276" w:lineRule="exact"/>
              <w:ind w:left="102"/>
              <w:jc w:val="right"/>
              <w:rPr>
                <w:rFonts w:ascii="Cambria" w:eastAsia="Calibri" w:hAnsi="Cambria" w:cs="Calibri"/>
              </w:rPr>
            </w:pPr>
            <w:r w:rsidRPr="009A0DA6">
              <w:rPr>
                <w:rFonts w:ascii="Cambria" w:eastAsia="Calibri" w:hAnsi="Cambria" w:cs="Times New Roman"/>
                <w:b/>
              </w:rPr>
              <w:t>$</w:t>
            </w:r>
          </w:p>
        </w:tc>
        <w:tc>
          <w:tcPr>
            <w:tcW w:w="1195" w:type="dxa"/>
            <w:tcBorders>
              <w:top w:val="single" w:sz="8" w:space="0" w:color="000000"/>
              <w:left w:val="nil"/>
              <w:bottom w:val="single" w:sz="8" w:space="0" w:color="000000"/>
              <w:right w:val="single" w:sz="8" w:space="0" w:color="000000"/>
            </w:tcBorders>
            <w:shd w:val="clear" w:color="auto" w:fill="E7E6E6"/>
          </w:tcPr>
          <w:p w14:paraId="5068ED81" w14:textId="77777777" w:rsidR="00F631B1" w:rsidRPr="009A0DA6" w:rsidRDefault="00F631B1" w:rsidP="00180211">
            <w:pPr>
              <w:widowControl w:val="0"/>
              <w:spacing w:after="0" w:line="276" w:lineRule="exact"/>
              <w:ind w:left="237" w:right="131"/>
              <w:jc w:val="right"/>
              <w:rPr>
                <w:rFonts w:ascii="Cambria" w:eastAsia="Calibri" w:hAnsi="Cambria" w:cs="Calibri"/>
              </w:rPr>
            </w:pPr>
            <w:r w:rsidRPr="009A0DA6">
              <w:rPr>
                <w:rFonts w:ascii="Cambria" w:eastAsia="Calibri" w:hAnsi="Cambria" w:cs="Times New Roman"/>
                <w:b/>
                <w:spacing w:val="-1"/>
              </w:rPr>
              <w:t>3,968</w:t>
            </w:r>
          </w:p>
        </w:tc>
      </w:tr>
      <w:tr w:rsidR="00F631B1" w:rsidRPr="009A0DA6" w14:paraId="5E762134" w14:textId="77777777" w:rsidTr="009C3A51">
        <w:trPr>
          <w:trHeight w:hRule="exact" w:val="298"/>
        </w:trPr>
        <w:tc>
          <w:tcPr>
            <w:tcW w:w="4277" w:type="dxa"/>
            <w:tcBorders>
              <w:top w:val="single" w:sz="8" w:space="0" w:color="000000"/>
              <w:left w:val="single" w:sz="8" w:space="0" w:color="000000"/>
              <w:bottom w:val="single" w:sz="8" w:space="0" w:color="000000"/>
              <w:right w:val="single" w:sz="8" w:space="0" w:color="000000"/>
            </w:tcBorders>
            <w:shd w:val="clear" w:color="auto" w:fill="auto"/>
          </w:tcPr>
          <w:p w14:paraId="281BE0AB" w14:textId="77777777" w:rsidR="00F631B1" w:rsidRPr="005B1CDB" w:rsidRDefault="00F631B1" w:rsidP="00180211">
            <w:pPr>
              <w:widowControl w:val="0"/>
              <w:spacing w:after="0" w:line="276" w:lineRule="exact"/>
              <w:ind w:right="28"/>
              <w:rPr>
                <w:rFonts w:ascii="Cambria" w:eastAsia="Calibri" w:hAnsi="Cambria" w:cs="Times New Roman"/>
                <w:b/>
                <w:spacing w:val="-1"/>
              </w:rPr>
            </w:pPr>
            <w:r w:rsidRPr="005B1CDB">
              <w:rPr>
                <w:rFonts w:ascii="Cambria" w:eastAsia="Calibri" w:hAnsi="Cambria" w:cs="Times New Roman"/>
                <w:b/>
                <w:spacing w:val="-1"/>
              </w:rPr>
              <w:t>Total</w:t>
            </w:r>
          </w:p>
        </w:tc>
        <w:tc>
          <w:tcPr>
            <w:tcW w:w="355" w:type="dxa"/>
            <w:tcBorders>
              <w:top w:val="single" w:sz="8" w:space="0" w:color="000000"/>
              <w:left w:val="single" w:sz="8" w:space="0" w:color="000000"/>
              <w:bottom w:val="single" w:sz="8" w:space="0" w:color="000000"/>
              <w:right w:val="nil"/>
            </w:tcBorders>
            <w:shd w:val="clear" w:color="auto" w:fill="E7E6E6"/>
          </w:tcPr>
          <w:p w14:paraId="5086D22B" w14:textId="77777777" w:rsidR="00F631B1" w:rsidRPr="005B1CDB" w:rsidRDefault="00F631B1" w:rsidP="00180211">
            <w:pPr>
              <w:widowControl w:val="0"/>
              <w:spacing w:after="0" w:line="276" w:lineRule="exact"/>
              <w:ind w:left="102"/>
              <w:jc w:val="right"/>
              <w:rPr>
                <w:rFonts w:ascii="Cambria" w:eastAsia="Calibri" w:hAnsi="Cambria" w:cs="Times New Roman"/>
                <w:b/>
              </w:rPr>
            </w:pPr>
            <w:r w:rsidRPr="005B1CDB">
              <w:rPr>
                <w:rFonts w:ascii="Cambria" w:eastAsia="Calibri" w:hAnsi="Cambria" w:cs="Times New Roman"/>
                <w:b/>
              </w:rPr>
              <w:t>$</w:t>
            </w:r>
          </w:p>
        </w:tc>
        <w:tc>
          <w:tcPr>
            <w:tcW w:w="1195" w:type="dxa"/>
            <w:tcBorders>
              <w:top w:val="single" w:sz="8" w:space="0" w:color="000000"/>
              <w:left w:val="nil"/>
              <w:bottom w:val="single" w:sz="8" w:space="0" w:color="000000"/>
              <w:right w:val="single" w:sz="8" w:space="0" w:color="000000"/>
            </w:tcBorders>
            <w:shd w:val="clear" w:color="auto" w:fill="E7E6E6"/>
          </w:tcPr>
          <w:p w14:paraId="5F39917D" w14:textId="77777777" w:rsidR="00F631B1" w:rsidRPr="005B1CDB" w:rsidRDefault="00F631B1" w:rsidP="00180211">
            <w:pPr>
              <w:widowControl w:val="0"/>
              <w:spacing w:after="0" w:line="276" w:lineRule="exact"/>
              <w:ind w:left="117" w:right="131"/>
              <w:jc w:val="right"/>
              <w:rPr>
                <w:rFonts w:ascii="Cambria" w:eastAsia="Calibri" w:hAnsi="Cambria" w:cs="Times New Roman"/>
                <w:b/>
                <w:spacing w:val="-1"/>
              </w:rPr>
            </w:pPr>
            <w:r w:rsidRPr="005B1CDB">
              <w:rPr>
                <w:rFonts w:ascii="Cambria" w:eastAsia="Calibri" w:hAnsi="Cambria" w:cs="Times New Roman"/>
                <w:b/>
                <w:spacing w:val="-1"/>
              </w:rPr>
              <w:t>560,000</w:t>
            </w:r>
          </w:p>
        </w:tc>
        <w:tc>
          <w:tcPr>
            <w:tcW w:w="355" w:type="dxa"/>
            <w:tcBorders>
              <w:top w:val="single" w:sz="8" w:space="0" w:color="000000"/>
              <w:left w:val="single" w:sz="8" w:space="0" w:color="000000"/>
              <w:bottom w:val="single" w:sz="8" w:space="0" w:color="000000"/>
              <w:right w:val="nil"/>
            </w:tcBorders>
            <w:shd w:val="clear" w:color="auto" w:fill="E7E6E6"/>
          </w:tcPr>
          <w:p w14:paraId="3E8F4865" w14:textId="77777777" w:rsidR="00F631B1" w:rsidRPr="005B1CDB" w:rsidRDefault="00F631B1" w:rsidP="00180211">
            <w:pPr>
              <w:widowControl w:val="0"/>
              <w:spacing w:after="0" w:line="276" w:lineRule="exact"/>
              <w:ind w:left="102"/>
              <w:jc w:val="right"/>
              <w:rPr>
                <w:rFonts w:ascii="Cambria" w:eastAsia="Calibri" w:hAnsi="Cambria" w:cs="Times New Roman"/>
                <w:b/>
              </w:rPr>
            </w:pPr>
            <w:r w:rsidRPr="005B1CDB">
              <w:rPr>
                <w:rFonts w:ascii="Cambria" w:eastAsia="Calibri" w:hAnsi="Cambria" w:cs="Times New Roman"/>
                <w:b/>
              </w:rPr>
              <w:t>$</w:t>
            </w:r>
          </w:p>
        </w:tc>
        <w:tc>
          <w:tcPr>
            <w:tcW w:w="1195" w:type="dxa"/>
            <w:tcBorders>
              <w:top w:val="single" w:sz="8" w:space="0" w:color="000000"/>
              <w:left w:val="nil"/>
              <w:bottom w:val="single" w:sz="8" w:space="0" w:color="000000"/>
              <w:right w:val="single" w:sz="8" w:space="0" w:color="000000"/>
            </w:tcBorders>
            <w:shd w:val="clear" w:color="auto" w:fill="E7E6E6"/>
          </w:tcPr>
          <w:p w14:paraId="19D91852" w14:textId="77777777" w:rsidR="00F631B1" w:rsidRPr="009C3A51" w:rsidRDefault="00F631B1" w:rsidP="00180211">
            <w:pPr>
              <w:widowControl w:val="0"/>
              <w:spacing w:after="0" w:line="276" w:lineRule="exact"/>
              <w:ind w:left="117" w:right="131"/>
              <w:jc w:val="right"/>
              <w:rPr>
                <w:rFonts w:ascii="Cambria" w:eastAsia="Calibri" w:hAnsi="Cambria" w:cs="Times New Roman"/>
                <w:b/>
                <w:spacing w:val="-1"/>
              </w:rPr>
            </w:pPr>
            <w:r w:rsidRPr="009C3A51">
              <w:rPr>
                <w:rFonts w:ascii="Cambria" w:eastAsia="Calibri" w:hAnsi="Cambria" w:cs="Times New Roman"/>
                <w:b/>
                <w:spacing w:val="-1"/>
              </w:rPr>
              <w:t>380,589</w:t>
            </w:r>
          </w:p>
        </w:tc>
        <w:tc>
          <w:tcPr>
            <w:tcW w:w="355" w:type="dxa"/>
            <w:gridSpan w:val="2"/>
            <w:tcBorders>
              <w:top w:val="single" w:sz="8" w:space="0" w:color="000000"/>
              <w:left w:val="single" w:sz="8" w:space="0" w:color="000000"/>
              <w:bottom w:val="single" w:sz="8" w:space="0" w:color="000000"/>
              <w:right w:val="nil"/>
            </w:tcBorders>
            <w:shd w:val="clear" w:color="auto" w:fill="E7E6E6"/>
          </w:tcPr>
          <w:p w14:paraId="3886BC29" w14:textId="77777777" w:rsidR="00F631B1" w:rsidRPr="009C3A51" w:rsidRDefault="00F631B1" w:rsidP="00180211">
            <w:pPr>
              <w:widowControl w:val="0"/>
              <w:spacing w:after="0" w:line="276" w:lineRule="exact"/>
              <w:ind w:left="102"/>
              <w:jc w:val="right"/>
              <w:rPr>
                <w:rFonts w:ascii="Cambria" w:eastAsia="Calibri" w:hAnsi="Cambria" w:cs="Times New Roman"/>
                <w:b/>
              </w:rPr>
            </w:pPr>
            <w:r w:rsidRPr="009C3A51">
              <w:rPr>
                <w:rFonts w:ascii="Cambria" w:eastAsia="Calibri" w:hAnsi="Cambria" w:cs="Times New Roman"/>
                <w:b/>
              </w:rPr>
              <w:t>$</w:t>
            </w:r>
          </w:p>
        </w:tc>
        <w:tc>
          <w:tcPr>
            <w:tcW w:w="1195" w:type="dxa"/>
            <w:tcBorders>
              <w:top w:val="single" w:sz="8" w:space="0" w:color="000000"/>
              <w:left w:val="nil"/>
              <w:bottom w:val="single" w:sz="8" w:space="0" w:color="000000"/>
              <w:right w:val="single" w:sz="8" w:space="0" w:color="000000"/>
            </w:tcBorders>
            <w:shd w:val="clear" w:color="auto" w:fill="E7E6E6"/>
          </w:tcPr>
          <w:p w14:paraId="23ED377B" w14:textId="77777777" w:rsidR="00F631B1" w:rsidRPr="009C3A51" w:rsidRDefault="00F631B1" w:rsidP="00180211">
            <w:pPr>
              <w:widowControl w:val="0"/>
              <w:spacing w:after="0" w:line="276" w:lineRule="exact"/>
              <w:ind w:left="72" w:right="131"/>
              <w:jc w:val="right"/>
              <w:rPr>
                <w:rFonts w:ascii="Cambria" w:eastAsia="Calibri" w:hAnsi="Cambria" w:cs="Times New Roman"/>
                <w:b/>
                <w:spacing w:val="-1"/>
              </w:rPr>
            </w:pPr>
            <w:r w:rsidRPr="009C3A51">
              <w:rPr>
                <w:rFonts w:ascii="Cambria" w:eastAsia="Calibri" w:hAnsi="Cambria" w:cs="Times New Roman"/>
                <w:b/>
                <w:spacing w:val="-1"/>
              </w:rPr>
              <w:t>179,411</w:t>
            </w:r>
          </w:p>
        </w:tc>
      </w:tr>
    </w:tbl>
    <w:p w14:paraId="74E4B894" w14:textId="77777777" w:rsidR="00F631B1" w:rsidRPr="009A0DA6" w:rsidRDefault="00F631B1" w:rsidP="00F631B1">
      <w:pPr>
        <w:pStyle w:val="NoSpacing"/>
      </w:pPr>
    </w:p>
    <w:p w14:paraId="058A0D2A" w14:textId="77777777" w:rsidR="00F631B1" w:rsidRPr="009A0DA6" w:rsidRDefault="00F631B1" w:rsidP="00F631B1">
      <w:pPr>
        <w:pStyle w:val="Heading3"/>
      </w:pPr>
      <w:r w:rsidRPr="009A0DA6">
        <w:t>Successes</w:t>
      </w:r>
    </w:p>
    <w:p w14:paraId="1C27C06E" w14:textId="77777777" w:rsidR="00F631B1" w:rsidRPr="009A0DA6" w:rsidRDefault="00F631B1" w:rsidP="0069692D">
      <w:pPr>
        <w:pStyle w:val="ListParagraph"/>
        <w:numPr>
          <w:ilvl w:val="0"/>
          <w:numId w:val="314"/>
        </w:numPr>
        <w:spacing w:after="120" w:line="240" w:lineRule="auto"/>
        <w:ind w:left="567" w:hanging="567"/>
        <w:rPr>
          <w:rFonts w:ascii="Cambria" w:hAnsi="Cambria"/>
        </w:rPr>
      </w:pPr>
      <w:r w:rsidRPr="009A0DA6">
        <w:rPr>
          <w:rFonts w:ascii="Cambria" w:hAnsi="Cambria"/>
        </w:rPr>
        <w:t>Cultivating Young Leaders Program. First group of 13 young leaders (from both the LCA and our partner churches in South East Asia) undertook the year-long Cultivating Young Leaders program culminating in the Graduation Event in December 2017. A number of these fine young people continue their journeys of development and service in the LCA and beyond.</w:t>
      </w:r>
    </w:p>
    <w:p w14:paraId="3C0DE9F8" w14:textId="77777777" w:rsidR="00F631B1" w:rsidRPr="009A0DA6" w:rsidRDefault="00F631B1" w:rsidP="0069692D">
      <w:pPr>
        <w:pStyle w:val="ListParagraph"/>
        <w:numPr>
          <w:ilvl w:val="0"/>
          <w:numId w:val="314"/>
        </w:numPr>
        <w:spacing w:after="120" w:line="240" w:lineRule="auto"/>
        <w:ind w:left="567" w:hanging="567"/>
        <w:rPr>
          <w:rFonts w:ascii="Cambria" w:hAnsi="Cambria"/>
        </w:rPr>
      </w:pPr>
      <w:r w:rsidRPr="009A0DA6">
        <w:rPr>
          <w:rFonts w:ascii="Cambria" w:hAnsi="Cambria"/>
        </w:rPr>
        <w:t>Consulting Aboriginal People. Initial consultations in SA on the West Coast and in Central Australia have been well received and provided much input as we consider a sustained approach via preparation of a Reconciliation Plan for the LCA.</w:t>
      </w:r>
    </w:p>
    <w:p w14:paraId="7CD596CC" w14:textId="77777777" w:rsidR="00F631B1" w:rsidRPr="009A0DA6" w:rsidRDefault="00F631B1" w:rsidP="0069692D">
      <w:pPr>
        <w:pStyle w:val="ListParagraph"/>
        <w:numPr>
          <w:ilvl w:val="0"/>
          <w:numId w:val="314"/>
        </w:numPr>
        <w:spacing w:after="120" w:line="240" w:lineRule="auto"/>
        <w:ind w:left="567" w:hanging="567"/>
        <w:rPr>
          <w:rFonts w:ascii="Cambria" w:hAnsi="Cambria"/>
        </w:rPr>
      </w:pPr>
      <w:r w:rsidRPr="009A0DA6">
        <w:rPr>
          <w:rFonts w:ascii="Cambria" w:hAnsi="Cambria"/>
        </w:rPr>
        <w:t>A number of ‘Have a Go’ projects bearing fruit.</w:t>
      </w:r>
    </w:p>
    <w:p w14:paraId="290709CB" w14:textId="77777777" w:rsidR="00F631B1" w:rsidRPr="009A0DA6" w:rsidRDefault="00F631B1" w:rsidP="0069692D">
      <w:pPr>
        <w:pStyle w:val="ListParagraph"/>
        <w:numPr>
          <w:ilvl w:val="0"/>
          <w:numId w:val="314"/>
        </w:numPr>
        <w:spacing w:after="120" w:line="240" w:lineRule="auto"/>
        <w:ind w:left="567" w:hanging="567"/>
        <w:rPr>
          <w:rFonts w:ascii="Cambria" w:hAnsi="Cambria"/>
        </w:rPr>
      </w:pPr>
      <w:r w:rsidRPr="009A0DA6">
        <w:rPr>
          <w:rFonts w:ascii="Cambria" w:hAnsi="Cambria"/>
        </w:rPr>
        <w:t>Shared commemorations of Reformation anniversary an excellent witness to the public.</w:t>
      </w:r>
    </w:p>
    <w:p w14:paraId="0E0F89FD" w14:textId="77777777" w:rsidR="00F631B1" w:rsidRPr="009A0DA6" w:rsidRDefault="00F631B1" w:rsidP="0069692D">
      <w:pPr>
        <w:pStyle w:val="ListParagraph"/>
        <w:numPr>
          <w:ilvl w:val="0"/>
          <w:numId w:val="314"/>
        </w:numPr>
        <w:spacing w:after="120" w:line="240" w:lineRule="auto"/>
        <w:ind w:left="567" w:hanging="567"/>
        <w:rPr>
          <w:rFonts w:ascii="Cambria" w:hAnsi="Cambria"/>
        </w:rPr>
      </w:pPr>
      <w:r w:rsidRPr="009A0DA6">
        <w:rPr>
          <w:rFonts w:ascii="Cambria" w:hAnsi="Cambria"/>
        </w:rPr>
        <w:t>The preparation of a joint statement of LCA and Catholic Bishops.</w:t>
      </w:r>
    </w:p>
    <w:p w14:paraId="052D6F34" w14:textId="77777777" w:rsidR="00F631B1" w:rsidRPr="009A0DA6" w:rsidRDefault="00F631B1" w:rsidP="0069692D">
      <w:pPr>
        <w:pStyle w:val="ListParagraph"/>
        <w:numPr>
          <w:ilvl w:val="0"/>
          <w:numId w:val="314"/>
        </w:numPr>
        <w:spacing w:after="120" w:line="240" w:lineRule="auto"/>
        <w:ind w:left="567" w:hanging="567"/>
        <w:rPr>
          <w:rFonts w:ascii="Cambria" w:hAnsi="Cambria"/>
        </w:rPr>
      </w:pPr>
      <w:r w:rsidRPr="009A0DA6">
        <w:rPr>
          <w:rFonts w:ascii="Cambria" w:hAnsi="Cambria"/>
        </w:rPr>
        <w:t>Some growth in numbers of congregations participating in Longest Lutheran Lunch events.</w:t>
      </w:r>
    </w:p>
    <w:p w14:paraId="3B0FCB86" w14:textId="77777777" w:rsidR="00F631B1" w:rsidRPr="009A0DA6" w:rsidRDefault="00F631B1" w:rsidP="00F631B1">
      <w:pPr>
        <w:pStyle w:val="Heading3"/>
      </w:pPr>
      <w:r w:rsidRPr="009A0DA6">
        <w:t>Challenges and Lessons Learned</w:t>
      </w:r>
    </w:p>
    <w:p w14:paraId="67FF9EE8" w14:textId="4F71F8EC" w:rsidR="00F631B1" w:rsidRDefault="00F631B1" w:rsidP="009C3A51">
      <w:pPr>
        <w:spacing w:after="0" w:line="240" w:lineRule="auto"/>
        <w:rPr>
          <w:rFonts w:ascii="Cambria" w:hAnsi="Cambria"/>
        </w:rPr>
      </w:pPr>
      <w:r w:rsidRPr="009A0DA6">
        <w:rPr>
          <w:rFonts w:ascii="Cambria" w:hAnsi="Cambria"/>
        </w:rPr>
        <w:t>Ensuring seed projects such as Cultivating Young Leaders and Hearing the Indigenous Voice /Reconciliation Plan are resourced for the future.</w:t>
      </w:r>
    </w:p>
    <w:p w14:paraId="62676227" w14:textId="77777777" w:rsidR="0069692D" w:rsidRPr="009A0DA6" w:rsidRDefault="0069692D" w:rsidP="009C3A51">
      <w:pPr>
        <w:spacing w:after="0" w:line="240" w:lineRule="auto"/>
        <w:rPr>
          <w:rFonts w:ascii="Cambria" w:hAnsi="Cambria"/>
        </w:rPr>
      </w:pPr>
    </w:p>
    <w:p w14:paraId="54801235" w14:textId="77777777" w:rsidR="00F631B1" w:rsidRPr="009A0DA6" w:rsidRDefault="00F631B1" w:rsidP="00F631B1">
      <w:pPr>
        <w:pStyle w:val="Heading3"/>
      </w:pPr>
      <w:r w:rsidRPr="009A0DA6">
        <w:t>Risks</w:t>
      </w:r>
    </w:p>
    <w:tbl>
      <w:tblPr>
        <w:tblStyle w:val="PlainTable2"/>
        <w:tblW w:w="8789" w:type="dxa"/>
        <w:tblLook w:val="04A0" w:firstRow="1" w:lastRow="0" w:firstColumn="1" w:lastColumn="0" w:noHBand="0" w:noVBand="1"/>
      </w:tblPr>
      <w:tblGrid>
        <w:gridCol w:w="2694"/>
        <w:gridCol w:w="3402"/>
        <w:gridCol w:w="2693"/>
      </w:tblGrid>
      <w:tr w:rsidR="00F631B1" w:rsidRPr="009A0DA6" w14:paraId="77FE4E60" w14:textId="77777777" w:rsidTr="00180211">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5047529F" w14:textId="77777777" w:rsidR="00F631B1" w:rsidRPr="009A0DA6" w:rsidRDefault="00F631B1" w:rsidP="007817B7">
            <w:pPr>
              <w:rPr>
                <w:rFonts w:ascii="Cambria" w:hAnsi="Cambria" w:cs="Arial"/>
                <w:b w:val="0"/>
              </w:rPr>
            </w:pPr>
            <w:r w:rsidRPr="009A0DA6">
              <w:rPr>
                <w:rFonts w:ascii="Cambria" w:hAnsi="Cambria" w:cs="Arial"/>
              </w:rPr>
              <w:t>Description of risk</w:t>
            </w:r>
          </w:p>
        </w:tc>
        <w:tc>
          <w:tcPr>
            <w:tcW w:w="3402" w:type="dxa"/>
            <w:vAlign w:val="center"/>
          </w:tcPr>
          <w:p w14:paraId="5B396FA8" w14:textId="77777777" w:rsidR="00F631B1" w:rsidRPr="009A0DA6" w:rsidRDefault="00F631B1" w:rsidP="007817B7">
            <w:pPr>
              <w:cnfStyle w:val="100000000000" w:firstRow="1" w:lastRow="0" w:firstColumn="0" w:lastColumn="0" w:oddVBand="0" w:evenVBand="0" w:oddHBand="0" w:evenHBand="0" w:firstRowFirstColumn="0" w:firstRowLastColumn="0" w:lastRowFirstColumn="0" w:lastRowLastColumn="0"/>
              <w:rPr>
                <w:rFonts w:ascii="Cambria" w:hAnsi="Cambria" w:cs="Arial"/>
                <w:b w:val="0"/>
              </w:rPr>
            </w:pPr>
            <w:r w:rsidRPr="009A0DA6">
              <w:rPr>
                <w:rFonts w:ascii="Cambria" w:hAnsi="Cambria" w:cs="Arial"/>
              </w:rPr>
              <w:t>Likelihood of risk occurring and potential impact for the ministry and LCA</w:t>
            </w:r>
          </w:p>
        </w:tc>
        <w:tc>
          <w:tcPr>
            <w:tcW w:w="2693" w:type="dxa"/>
            <w:vAlign w:val="center"/>
          </w:tcPr>
          <w:p w14:paraId="457D6E53" w14:textId="77777777" w:rsidR="00F631B1" w:rsidRPr="009A0DA6" w:rsidRDefault="00F631B1" w:rsidP="007817B7">
            <w:pPr>
              <w:cnfStyle w:val="100000000000" w:firstRow="1" w:lastRow="0" w:firstColumn="0" w:lastColumn="0" w:oddVBand="0" w:evenVBand="0" w:oddHBand="0" w:evenHBand="0" w:firstRowFirstColumn="0" w:firstRowLastColumn="0" w:lastRowFirstColumn="0" w:lastRowLastColumn="0"/>
              <w:rPr>
                <w:rFonts w:ascii="Cambria" w:hAnsi="Cambria" w:cs="Arial"/>
                <w:b w:val="0"/>
              </w:rPr>
            </w:pPr>
            <w:r w:rsidRPr="009A0DA6">
              <w:rPr>
                <w:rFonts w:ascii="Cambria" w:hAnsi="Cambria" w:cs="Arial"/>
              </w:rPr>
              <w:t>Summary of action to mitigate the risk</w:t>
            </w:r>
          </w:p>
        </w:tc>
      </w:tr>
      <w:tr w:rsidR="00F631B1" w:rsidRPr="009A0DA6" w14:paraId="0696F991" w14:textId="77777777" w:rsidTr="00180211">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694" w:type="dxa"/>
          </w:tcPr>
          <w:p w14:paraId="7211AC1D" w14:textId="77777777" w:rsidR="00F631B1" w:rsidRPr="009A0DA6" w:rsidRDefault="00F631B1" w:rsidP="00180211">
            <w:pPr>
              <w:widowControl w:val="0"/>
              <w:suppressAutoHyphens/>
              <w:rPr>
                <w:rFonts w:ascii="Cambria" w:hAnsi="Cambria" w:cs="Arial"/>
              </w:rPr>
            </w:pPr>
            <w:r w:rsidRPr="009A0DA6">
              <w:rPr>
                <w:rFonts w:ascii="Cambria" w:hAnsi="Cambria" w:cs="Arial"/>
              </w:rPr>
              <w:t>Not sustaining 50.500 seed initiatives especially in the areas of “Leadership Development” and “Hearing the Indigenous Voice”</w:t>
            </w:r>
          </w:p>
        </w:tc>
        <w:tc>
          <w:tcPr>
            <w:tcW w:w="3402" w:type="dxa"/>
          </w:tcPr>
          <w:p w14:paraId="2B04BC76" w14:textId="77777777" w:rsidR="00F631B1" w:rsidRPr="009A0DA6" w:rsidRDefault="00F631B1" w:rsidP="00180211">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Without adequate long-term planning and resourcing, good seed work will not bear fruit.</w:t>
            </w:r>
          </w:p>
        </w:tc>
        <w:tc>
          <w:tcPr>
            <w:tcW w:w="2693" w:type="dxa"/>
          </w:tcPr>
          <w:p w14:paraId="6FBED24E" w14:textId="77777777" w:rsidR="00F631B1" w:rsidRPr="009A0DA6" w:rsidRDefault="00F631B1" w:rsidP="00180211">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Planning already being detailed and Synod support being sought.</w:t>
            </w:r>
          </w:p>
        </w:tc>
      </w:tr>
    </w:tbl>
    <w:p w14:paraId="68F0F3A2" w14:textId="77777777" w:rsidR="00F631B1" w:rsidRPr="009A0DA6" w:rsidRDefault="00F631B1" w:rsidP="00F631B1">
      <w:pPr>
        <w:rPr>
          <w:rFonts w:ascii="Cambria" w:hAnsi="Cambria"/>
        </w:rPr>
      </w:pPr>
    </w:p>
    <w:p w14:paraId="7EBF8462" w14:textId="77777777" w:rsidR="00F631B1" w:rsidRPr="009A0DA6" w:rsidRDefault="00F631B1" w:rsidP="00F631B1">
      <w:pPr>
        <w:pStyle w:val="Heading3"/>
      </w:pPr>
      <w:r w:rsidRPr="009A0DA6">
        <w:t>Alignment to LCA Strategic Direction 2013–2018</w:t>
      </w:r>
    </w:p>
    <w:p w14:paraId="1446B172" w14:textId="77777777" w:rsidR="00F631B1" w:rsidRPr="009A0DA6" w:rsidRDefault="00F631B1" w:rsidP="00F631B1">
      <w:pPr>
        <w:rPr>
          <w:rFonts w:ascii="Cambria" w:hAnsi="Cambria"/>
        </w:rPr>
      </w:pPr>
      <w:r w:rsidRPr="009A0DA6">
        <w:rPr>
          <w:rFonts w:ascii="Cambria" w:hAnsi="Cambria"/>
        </w:rPr>
        <w:t>All activities help the LCA to grow and to go.</w:t>
      </w:r>
    </w:p>
    <w:p w14:paraId="7712100B" w14:textId="77777777" w:rsidR="00F631B1" w:rsidRPr="009A0DA6" w:rsidRDefault="00F631B1" w:rsidP="00F631B1">
      <w:pPr>
        <w:pStyle w:val="Heading3"/>
      </w:pPr>
      <w:r w:rsidRPr="009A0DA6">
        <w:t>Cooperating LCA Boards and Agencies</w:t>
      </w:r>
    </w:p>
    <w:tbl>
      <w:tblPr>
        <w:tblStyle w:val="PlainTable2"/>
        <w:tblW w:w="0" w:type="auto"/>
        <w:tblLook w:val="04A0" w:firstRow="1" w:lastRow="0" w:firstColumn="1" w:lastColumn="0" w:noHBand="0" w:noVBand="1"/>
      </w:tblPr>
      <w:tblGrid>
        <w:gridCol w:w="4392"/>
        <w:gridCol w:w="4419"/>
      </w:tblGrid>
      <w:tr w:rsidR="00F631B1" w:rsidRPr="009A0DA6" w14:paraId="16FD4662" w14:textId="77777777" w:rsidTr="001802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0AFE6797" w14:textId="77777777" w:rsidR="00F631B1" w:rsidRPr="009A0DA6" w:rsidRDefault="00F631B1" w:rsidP="00180211">
            <w:pPr>
              <w:rPr>
                <w:rFonts w:ascii="Cambria" w:hAnsi="Cambria" w:cs="Arial"/>
                <w:b w:val="0"/>
              </w:rPr>
            </w:pPr>
            <w:r w:rsidRPr="009A0DA6">
              <w:rPr>
                <w:rFonts w:ascii="Cambria" w:hAnsi="Cambria" w:cs="Arial"/>
              </w:rPr>
              <w:t>Reconciliation Ministry and Interim Ministry:</w:t>
            </w:r>
            <w:r w:rsidRPr="009A0DA6">
              <w:rPr>
                <w:rFonts w:ascii="Cambria" w:hAnsi="Cambria" w:cs="Arial"/>
                <w:b w:val="0"/>
              </w:rPr>
              <w:t xml:space="preserve"> LCA Bishop, College of Bishops, Districts, Australian Lutheran College, Professional Standards Department</w:t>
            </w:r>
          </w:p>
          <w:p w14:paraId="5CD8CD6B" w14:textId="77777777" w:rsidR="00F631B1" w:rsidRPr="009A0DA6" w:rsidRDefault="00F631B1" w:rsidP="00180211">
            <w:pPr>
              <w:rPr>
                <w:rFonts w:ascii="Cambria" w:hAnsi="Cambria" w:cs="Arial"/>
                <w:b w:val="0"/>
              </w:rPr>
            </w:pPr>
          </w:p>
          <w:p w14:paraId="044D593E" w14:textId="77777777" w:rsidR="00F631B1" w:rsidRPr="009A0DA6" w:rsidRDefault="00F631B1" w:rsidP="00180211">
            <w:pPr>
              <w:rPr>
                <w:rFonts w:ascii="Cambria" w:hAnsi="Cambria" w:cs="Arial"/>
                <w:b w:val="0"/>
              </w:rPr>
            </w:pPr>
          </w:p>
        </w:tc>
        <w:tc>
          <w:tcPr>
            <w:tcW w:w="4644" w:type="dxa"/>
          </w:tcPr>
          <w:p w14:paraId="26654B0F" w14:textId="77777777" w:rsidR="00F631B1" w:rsidRPr="009A0DA6" w:rsidRDefault="00F631B1" w:rsidP="00180211">
            <w:pPr>
              <w:cnfStyle w:val="100000000000" w:firstRow="1" w:lastRow="0" w:firstColumn="0" w:lastColumn="0" w:oddVBand="0" w:evenVBand="0" w:oddHBand="0" w:evenHBand="0" w:firstRowFirstColumn="0" w:firstRowLastColumn="0" w:lastRowFirstColumn="0" w:lastRowLastColumn="0"/>
              <w:rPr>
                <w:rFonts w:ascii="Cambria" w:hAnsi="Cambria" w:cs="Arial"/>
                <w:b w:val="0"/>
              </w:rPr>
            </w:pPr>
            <w:r w:rsidRPr="009A0DA6">
              <w:rPr>
                <w:rFonts w:ascii="Cambria" w:hAnsi="Cambria" w:cs="Arial"/>
                <w:b w:val="0"/>
              </w:rPr>
              <w:t>Reconciliation Ministry and Interim Ministry serve people in local congregation/parish settings and the church Wide workers seek to work supportively with local and District leaders and in collaboration with Assistant to the Bishop – International Mission in serving our overseas partner churches.</w:t>
            </w:r>
          </w:p>
        </w:tc>
      </w:tr>
      <w:tr w:rsidR="00F631B1" w:rsidRPr="009A0DA6" w14:paraId="5ED8E495" w14:textId="77777777" w:rsidTr="001802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0D81DF78" w14:textId="77777777" w:rsidR="00F631B1" w:rsidRPr="009A0DA6" w:rsidRDefault="00F631B1" w:rsidP="00180211">
            <w:pPr>
              <w:rPr>
                <w:rFonts w:ascii="Cambria" w:hAnsi="Cambria" w:cs="Arial"/>
                <w:b w:val="0"/>
              </w:rPr>
            </w:pPr>
            <w:r w:rsidRPr="009A0DA6">
              <w:rPr>
                <w:rFonts w:ascii="Cambria" w:hAnsi="Cambria" w:cs="Arial"/>
              </w:rPr>
              <w:t>50.500:</w:t>
            </w:r>
            <w:r w:rsidRPr="009A0DA6">
              <w:rPr>
                <w:rFonts w:ascii="Cambria" w:hAnsi="Cambria" w:cs="Arial"/>
                <w:b w:val="0"/>
              </w:rPr>
              <w:t xml:space="preserve"> Office of the Bishop, General Church Council, LCA Communications, Grow Ministries, College of Bishops</w:t>
            </w:r>
          </w:p>
        </w:tc>
        <w:tc>
          <w:tcPr>
            <w:tcW w:w="4644" w:type="dxa"/>
          </w:tcPr>
          <w:p w14:paraId="4A66A51B" w14:textId="77777777" w:rsidR="00F631B1" w:rsidRPr="009A0DA6" w:rsidRDefault="00F631B1" w:rsidP="00180211">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50.500 is an initiative of the LCA Bishop and Synod launched at the 2015 LCA Convention of Synod.</w:t>
            </w:r>
          </w:p>
        </w:tc>
      </w:tr>
    </w:tbl>
    <w:p w14:paraId="41C617EC" w14:textId="61DCFE51" w:rsidR="00F631B1" w:rsidRDefault="00F631B1" w:rsidP="00F631B1">
      <w:pPr>
        <w:rPr>
          <w:rFonts w:ascii="Cambria" w:hAnsi="Cambria"/>
          <w:b/>
        </w:rPr>
      </w:pPr>
    </w:p>
    <w:p w14:paraId="761551A6" w14:textId="76D43B9B" w:rsidR="00CF1FE7" w:rsidRDefault="00CF1FE7" w:rsidP="00F631B1">
      <w:pPr>
        <w:rPr>
          <w:rFonts w:ascii="Cambria" w:hAnsi="Cambria"/>
          <w:b/>
        </w:rPr>
      </w:pPr>
    </w:p>
    <w:p w14:paraId="46FFA8E9" w14:textId="2C60E85B" w:rsidR="00CF1FE7" w:rsidRDefault="00CF1FE7" w:rsidP="00F631B1">
      <w:pPr>
        <w:rPr>
          <w:rFonts w:ascii="Cambria" w:hAnsi="Cambria"/>
          <w:b/>
        </w:rPr>
      </w:pPr>
    </w:p>
    <w:p w14:paraId="1CBEB34B" w14:textId="77777777" w:rsidR="007817B7" w:rsidRPr="009A0DA6" w:rsidRDefault="007817B7" w:rsidP="00F631B1">
      <w:pPr>
        <w:rPr>
          <w:rFonts w:ascii="Cambria" w:hAnsi="Cambria"/>
          <w:b/>
        </w:rPr>
      </w:pPr>
    </w:p>
    <w:p w14:paraId="679092DF" w14:textId="77777777" w:rsidR="00F631B1" w:rsidRPr="009A0DA6" w:rsidRDefault="00F631B1" w:rsidP="00F631B1">
      <w:pPr>
        <w:pStyle w:val="NoSpacing"/>
      </w:pPr>
    </w:p>
    <w:p w14:paraId="305F628F" w14:textId="3B4E6522" w:rsidR="00F631B1" w:rsidRPr="009A0DA6" w:rsidRDefault="00F631B1" w:rsidP="00F631B1">
      <w:pPr>
        <w:pStyle w:val="Heading2"/>
      </w:pPr>
      <w:bookmarkStart w:id="21" w:name="_Toc521954588"/>
      <w:bookmarkStart w:id="22" w:name="_Toc522394954"/>
      <w:r w:rsidRPr="009A0DA6">
        <w:t xml:space="preserve">Appendix C: Professional Standards </w:t>
      </w:r>
      <w:bookmarkEnd w:id="21"/>
      <w:r w:rsidR="00936958">
        <w:t>Department</w:t>
      </w:r>
      <w:bookmarkEnd w:id="22"/>
    </w:p>
    <w:p w14:paraId="5654D0DA" w14:textId="77777777" w:rsidR="00F631B1" w:rsidRPr="009A0DA6" w:rsidRDefault="00F631B1" w:rsidP="00F631B1">
      <w:pPr>
        <w:tabs>
          <w:tab w:val="left" w:pos="1491"/>
        </w:tabs>
        <w:spacing w:after="120"/>
        <w:rPr>
          <w:rFonts w:ascii="Cambria" w:hAnsi="Cambria"/>
        </w:rPr>
      </w:pPr>
    </w:p>
    <w:p w14:paraId="0EDD3149" w14:textId="77777777" w:rsidR="00F631B1" w:rsidRPr="009A0DA6" w:rsidRDefault="00F631B1" w:rsidP="00F631B1">
      <w:pPr>
        <w:tabs>
          <w:tab w:val="left" w:pos="1491"/>
        </w:tabs>
        <w:spacing w:after="120"/>
        <w:rPr>
          <w:rFonts w:ascii="Cambria" w:hAnsi="Cambria"/>
          <w:lang w:val="en-SG"/>
        </w:rPr>
      </w:pPr>
      <w:r w:rsidRPr="009A0DA6">
        <w:rPr>
          <w:rFonts w:ascii="Cambria" w:hAnsi="Cambria"/>
          <w:i/>
          <w:lang w:val="en-SG"/>
        </w:rPr>
        <w:t xml:space="preserve">I exhort the elders among you to tend the flock of God that is in your charge, exercising the oversight, not under compulsion but willingly, as God would have you do it – not for sordid gain but eagerly. Do not lord it over those in your charge, but be examples to the flock. And when the chief shepherd appears, you will win the crown of glory that never fades away. </w:t>
      </w:r>
    </w:p>
    <w:p w14:paraId="56B87B2F" w14:textId="77777777" w:rsidR="00F631B1" w:rsidRPr="009A0DA6" w:rsidRDefault="00F631B1" w:rsidP="00F631B1">
      <w:pPr>
        <w:tabs>
          <w:tab w:val="left" w:pos="1491"/>
        </w:tabs>
        <w:spacing w:after="0"/>
        <w:jc w:val="right"/>
        <w:rPr>
          <w:rFonts w:ascii="Cambria" w:hAnsi="Cambria"/>
          <w:lang w:val="en-SG"/>
        </w:rPr>
      </w:pPr>
      <w:r w:rsidRPr="009A0DA6">
        <w:rPr>
          <w:rFonts w:ascii="Cambria" w:hAnsi="Cambria"/>
          <w:lang w:val="en-SG"/>
        </w:rPr>
        <w:t>1 Peter 5: 1-4 (NRSV)</w:t>
      </w:r>
      <w:r w:rsidRPr="009A0DA6">
        <w:rPr>
          <w:rFonts w:ascii="Cambria" w:hAnsi="Cambria"/>
          <w:lang w:val="en-SG"/>
        </w:rPr>
        <w:br/>
      </w:r>
    </w:p>
    <w:p w14:paraId="7E5AA6B7" w14:textId="77777777" w:rsidR="00F631B1" w:rsidRPr="009A0DA6" w:rsidRDefault="00F631B1" w:rsidP="00F631B1">
      <w:pPr>
        <w:pStyle w:val="Heading3"/>
        <w:rPr>
          <w:sz w:val="2"/>
          <w:lang w:val="en-SG"/>
        </w:rPr>
      </w:pPr>
      <w:r w:rsidRPr="009A0DA6">
        <w:rPr>
          <w:lang w:val="en-SG"/>
        </w:rPr>
        <w:t>Role of the Professional Standards Department</w:t>
      </w:r>
      <w:r w:rsidRPr="009A0DA6">
        <w:rPr>
          <w:lang w:val="en-SG"/>
        </w:rPr>
        <w:br/>
      </w:r>
    </w:p>
    <w:p w14:paraId="2724ADF5" w14:textId="3D5F4C1E" w:rsidR="00CF1FE7" w:rsidRPr="007817B7" w:rsidRDefault="00F631B1" w:rsidP="007817B7">
      <w:pPr>
        <w:tabs>
          <w:tab w:val="left" w:pos="3195"/>
        </w:tabs>
        <w:spacing w:after="120"/>
        <w:rPr>
          <w:rFonts w:ascii="Cambria" w:eastAsia="Calibri" w:hAnsi="Cambria" w:cs="Times New Roman"/>
          <w:lang w:val="en-US"/>
        </w:rPr>
      </w:pPr>
      <w:r w:rsidRPr="009A0DA6">
        <w:rPr>
          <w:rFonts w:ascii="Cambria" w:eastAsia="Calibri" w:hAnsi="Cambria" w:cs="Times New Roman"/>
        </w:rPr>
        <w:t>One of the Church’s Objects under its Constitution is to take such action as is necessary for the protection of congregations and of church workers, in the performance of their duties and the maintenance of their rights. The Professional Standards Department (PSD) helps to fulfil this Object.</w:t>
      </w:r>
    </w:p>
    <w:p w14:paraId="76C6443B" w14:textId="20A2F884" w:rsidR="00F631B1" w:rsidRPr="009A0DA6" w:rsidRDefault="00F631B1" w:rsidP="0069692D">
      <w:pPr>
        <w:tabs>
          <w:tab w:val="left" w:pos="3195"/>
        </w:tabs>
        <w:spacing w:after="120"/>
        <w:ind w:right="-70"/>
        <w:rPr>
          <w:rFonts w:ascii="Cambria" w:eastAsia="Calibri" w:hAnsi="Cambria" w:cs="Times New Roman"/>
        </w:rPr>
      </w:pPr>
      <w:r w:rsidRPr="009A0DA6">
        <w:rPr>
          <w:rFonts w:ascii="Cambria" w:eastAsia="Calibri" w:hAnsi="Cambria" w:cs="Times New Roman"/>
        </w:rPr>
        <w:lastRenderedPageBreak/>
        <w:t>PSD’s responsibilities relate to behaviour and ethical issues in the church. These responsibilities include:</w:t>
      </w:r>
    </w:p>
    <w:p w14:paraId="2F347203" w14:textId="77777777" w:rsidR="00F631B1" w:rsidRPr="009A0DA6" w:rsidRDefault="00F631B1" w:rsidP="0069692D">
      <w:pPr>
        <w:pStyle w:val="ListParagraph"/>
        <w:numPr>
          <w:ilvl w:val="0"/>
          <w:numId w:val="33"/>
        </w:numPr>
        <w:tabs>
          <w:tab w:val="left" w:pos="3195"/>
        </w:tabs>
        <w:spacing w:after="120"/>
        <w:ind w:left="567" w:hanging="567"/>
        <w:rPr>
          <w:rFonts w:ascii="Cambria" w:eastAsia="Calibri" w:hAnsi="Cambria" w:cs="Times New Roman"/>
        </w:rPr>
      </w:pPr>
      <w:r w:rsidRPr="009A0DA6">
        <w:rPr>
          <w:rFonts w:ascii="Cambria" w:eastAsia="Calibri" w:hAnsi="Cambria" w:cs="Times New Roman"/>
        </w:rPr>
        <w:t>providing a training program that is consistent churchwide</w:t>
      </w:r>
    </w:p>
    <w:p w14:paraId="0A06AA32" w14:textId="77777777" w:rsidR="00F631B1" w:rsidRPr="009A0DA6" w:rsidRDefault="00F631B1" w:rsidP="0069692D">
      <w:pPr>
        <w:pStyle w:val="ListParagraph"/>
        <w:numPr>
          <w:ilvl w:val="0"/>
          <w:numId w:val="33"/>
        </w:numPr>
        <w:tabs>
          <w:tab w:val="left" w:pos="3195"/>
        </w:tabs>
        <w:spacing w:after="120"/>
        <w:ind w:left="567" w:hanging="567"/>
        <w:rPr>
          <w:rFonts w:ascii="Cambria" w:eastAsia="Calibri" w:hAnsi="Cambria" w:cs="Times New Roman"/>
        </w:rPr>
      </w:pPr>
      <w:r w:rsidRPr="009A0DA6">
        <w:rPr>
          <w:rFonts w:ascii="Cambria" w:eastAsia="Calibri" w:hAnsi="Cambria" w:cs="Times New Roman"/>
        </w:rPr>
        <w:t>providing advice to districts and congregations</w:t>
      </w:r>
    </w:p>
    <w:p w14:paraId="3CBBF01E" w14:textId="77777777" w:rsidR="00F631B1" w:rsidRPr="009A0DA6" w:rsidRDefault="00F631B1" w:rsidP="0069692D">
      <w:pPr>
        <w:pStyle w:val="ListParagraph"/>
        <w:numPr>
          <w:ilvl w:val="0"/>
          <w:numId w:val="33"/>
        </w:numPr>
        <w:tabs>
          <w:tab w:val="left" w:pos="3195"/>
        </w:tabs>
        <w:spacing w:after="120"/>
        <w:ind w:left="567" w:hanging="567"/>
        <w:rPr>
          <w:rFonts w:ascii="Cambria" w:eastAsia="Calibri" w:hAnsi="Cambria" w:cs="Times New Roman"/>
        </w:rPr>
      </w:pPr>
      <w:r w:rsidRPr="009A0DA6">
        <w:rPr>
          <w:rFonts w:ascii="Cambria" w:eastAsia="Calibri" w:hAnsi="Cambria" w:cs="Times New Roman"/>
        </w:rPr>
        <w:t>handling some types of complaints</w:t>
      </w:r>
    </w:p>
    <w:p w14:paraId="10F79255" w14:textId="77777777" w:rsidR="00F631B1" w:rsidRPr="009A0DA6" w:rsidRDefault="00F631B1" w:rsidP="0069692D">
      <w:pPr>
        <w:pStyle w:val="ListParagraph"/>
        <w:numPr>
          <w:ilvl w:val="0"/>
          <w:numId w:val="33"/>
        </w:numPr>
        <w:tabs>
          <w:tab w:val="left" w:pos="3195"/>
        </w:tabs>
        <w:spacing w:after="120"/>
        <w:ind w:left="567" w:hanging="567"/>
        <w:rPr>
          <w:rFonts w:ascii="Cambria" w:eastAsia="Calibri" w:hAnsi="Cambria" w:cs="Times New Roman"/>
        </w:rPr>
      </w:pPr>
      <w:r w:rsidRPr="009A0DA6">
        <w:rPr>
          <w:rFonts w:ascii="Cambria" w:eastAsia="Calibri" w:hAnsi="Cambria" w:cs="Times New Roman"/>
        </w:rPr>
        <w:t>developing relevant policies and procedures.</w:t>
      </w:r>
    </w:p>
    <w:p w14:paraId="04B57BC8" w14:textId="77777777" w:rsidR="00F631B1" w:rsidRPr="009A0DA6" w:rsidRDefault="00F631B1" w:rsidP="00F631B1">
      <w:pPr>
        <w:pStyle w:val="Heading3"/>
        <w:rPr>
          <w:lang w:val="en-SG"/>
        </w:rPr>
      </w:pPr>
      <w:r w:rsidRPr="009A0DA6">
        <w:rPr>
          <w:lang w:val="en-SG"/>
        </w:rPr>
        <w:t>Activities during the Synodical term</w:t>
      </w:r>
    </w:p>
    <w:p w14:paraId="415A6446" w14:textId="77777777" w:rsidR="00F631B1" w:rsidRPr="009A0DA6" w:rsidRDefault="00F631B1" w:rsidP="00F631B1">
      <w:pPr>
        <w:pStyle w:val="Subtitle"/>
        <w:rPr>
          <w:sz w:val="22"/>
          <w:lang w:val="en-SG"/>
        </w:rPr>
      </w:pPr>
      <w:r w:rsidRPr="009A0DA6">
        <w:rPr>
          <w:lang w:val="en-SG"/>
        </w:rPr>
        <w:t>Training Program</w:t>
      </w:r>
    </w:p>
    <w:p w14:paraId="43C5A93F" w14:textId="77777777" w:rsidR="00F631B1" w:rsidRPr="009A0DA6" w:rsidRDefault="00F631B1" w:rsidP="0069692D">
      <w:pPr>
        <w:spacing w:after="120"/>
        <w:rPr>
          <w:rFonts w:ascii="Cambria" w:hAnsi="Cambria"/>
          <w:lang w:val="en-SG"/>
        </w:rPr>
      </w:pPr>
      <w:r w:rsidRPr="009A0DA6">
        <w:rPr>
          <w:rFonts w:ascii="Cambria" w:hAnsi="Cambria"/>
          <w:lang w:val="en-SG"/>
        </w:rPr>
        <w:t xml:space="preserve">In February 2016, Dr Patricia Crennan completed a review of Professional Standards training. </w:t>
      </w:r>
    </w:p>
    <w:p w14:paraId="10FAAB3C" w14:textId="77777777" w:rsidR="00F631B1" w:rsidRPr="009A0DA6" w:rsidRDefault="00F631B1" w:rsidP="0069692D">
      <w:pPr>
        <w:spacing w:after="120" w:line="240" w:lineRule="auto"/>
        <w:rPr>
          <w:rFonts w:ascii="Cambria" w:hAnsi="Cambria"/>
          <w:lang w:val="en-SG"/>
        </w:rPr>
      </w:pPr>
      <w:r w:rsidRPr="009A0DA6">
        <w:rPr>
          <w:rFonts w:ascii="Cambria" w:hAnsi="Cambria"/>
          <w:lang w:val="en-SG"/>
        </w:rPr>
        <w:t>During the same year, Marilyn Wall was appointed as the Professional Standards Training Coordinator and asked to develop a new program that was suited to the needs of congregations.</w:t>
      </w:r>
    </w:p>
    <w:p w14:paraId="7B87CC00" w14:textId="77777777" w:rsidR="00F631B1" w:rsidRPr="009A0DA6" w:rsidRDefault="00F631B1" w:rsidP="0069692D">
      <w:pPr>
        <w:spacing w:after="120" w:line="240" w:lineRule="auto"/>
        <w:rPr>
          <w:rFonts w:ascii="Cambria" w:hAnsi="Cambria"/>
          <w:lang w:val="en-SG"/>
        </w:rPr>
      </w:pPr>
      <w:r w:rsidRPr="009A0DA6">
        <w:rPr>
          <w:rFonts w:ascii="Cambria" w:hAnsi="Cambria"/>
          <w:lang w:val="en-SG"/>
        </w:rPr>
        <w:t>Marilyn has now developed a comprehensive program, which is based on:</w:t>
      </w:r>
    </w:p>
    <w:p w14:paraId="23AA067A" w14:textId="77777777" w:rsidR="00F631B1" w:rsidRPr="009A0DA6" w:rsidRDefault="00F631B1" w:rsidP="0069692D">
      <w:pPr>
        <w:pStyle w:val="ListParagraph"/>
        <w:numPr>
          <w:ilvl w:val="0"/>
          <w:numId w:val="30"/>
        </w:numPr>
        <w:spacing w:after="120" w:line="240" w:lineRule="auto"/>
        <w:ind w:left="567" w:hanging="567"/>
        <w:rPr>
          <w:rFonts w:ascii="Cambria" w:hAnsi="Cambria"/>
          <w:lang w:val="en-SG"/>
        </w:rPr>
      </w:pPr>
      <w:r w:rsidRPr="009A0DA6">
        <w:rPr>
          <w:rFonts w:ascii="Cambria" w:hAnsi="Cambria"/>
          <w:lang w:val="en-SG"/>
        </w:rPr>
        <w:t>Scripture</w:t>
      </w:r>
    </w:p>
    <w:p w14:paraId="4CC72E24" w14:textId="77777777" w:rsidR="00F631B1" w:rsidRPr="009A0DA6" w:rsidRDefault="00F631B1" w:rsidP="0069692D">
      <w:pPr>
        <w:pStyle w:val="ListParagraph"/>
        <w:numPr>
          <w:ilvl w:val="0"/>
          <w:numId w:val="30"/>
        </w:numPr>
        <w:spacing w:after="120" w:line="240" w:lineRule="auto"/>
        <w:ind w:left="567" w:hanging="567"/>
        <w:rPr>
          <w:rFonts w:ascii="Cambria" w:hAnsi="Cambria"/>
          <w:lang w:val="en-SG"/>
        </w:rPr>
      </w:pPr>
      <w:r w:rsidRPr="009A0DA6">
        <w:rPr>
          <w:rFonts w:ascii="Cambria" w:hAnsi="Cambria"/>
          <w:lang w:val="en-SG"/>
        </w:rPr>
        <w:t>the church’s Constitution</w:t>
      </w:r>
    </w:p>
    <w:p w14:paraId="10420149" w14:textId="77777777" w:rsidR="00F631B1" w:rsidRPr="009A0DA6" w:rsidRDefault="00F631B1" w:rsidP="0069692D">
      <w:pPr>
        <w:pStyle w:val="ListParagraph"/>
        <w:numPr>
          <w:ilvl w:val="0"/>
          <w:numId w:val="30"/>
        </w:numPr>
        <w:spacing w:after="120" w:line="240" w:lineRule="auto"/>
        <w:ind w:left="567" w:hanging="567"/>
        <w:rPr>
          <w:rFonts w:ascii="Cambria" w:hAnsi="Cambria"/>
          <w:lang w:val="en-SG"/>
        </w:rPr>
      </w:pPr>
      <w:r w:rsidRPr="009A0DA6">
        <w:rPr>
          <w:rFonts w:ascii="Cambria" w:hAnsi="Cambria"/>
          <w:lang w:val="en-SG"/>
        </w:rPr>
        <w:t>the church’s Standards of Ethical Behaviour</w:t>
      </w:r>
    </w:p>
    <w:p w14:paraId="4F37F7B4" w14:textId="77777777" w:rsidR="00F631B1" w:rsidRPr="009A0DA6" w:rsidRDefault="00F631B1" w:rsidP="0069692D">
      <w:pPr>
        <w:pStyle w:val="ListParagraph"/>
        <w:numPr>
          <w:ilvl w:val="0"/>
          <w:numId w:val="30"/>
        </w:numPr>
        <w:spacing w:after="120" w:line="240" w:lineRule="auto"/>
        <w:ind w:left="567" w:hanging="567"/>
        <w:rPr>
          <w:rFonts w:ascii="Cambria" w:hAnsi="Cambria"/>
          <w:lang w:val="en-SG"/>
        </w:rPr>
      </w:pPr>
      <w:r w:rsidRPr="009A0DA6">
        <w:rPr>
          <w:rFonts w:ascii="Cambria" w:hAnsi="Cambria"/>
          <w:lang w:val="en-SG"/>
        </w:rPr>
        <w:t>the church’s policies</w:t>
      </w:r>
    </w:p>
    <w:p w14:paraId="31269859" w14:textId="77777777" w:rsidR="00F631B1" w:rsidRPr="009A0DA6" w:rsidRDefault="00F631B1" w:rsidP="0069692D">
      <w:pPr>
        <w:pStyle w:val="ListParagraph"/>
        <w:numPr>
          <w:ilvl w:val="0"/>
          <w:numId w:val="30"/>
        </w:numPr>
        <w:spacing w:after="120" w:line="240" w:lineRule="auto"/>
        <w:ind w:left="567" w:hanging="567"/>
        <w:rPr>
          <w:rFonts w:ascii="Cambria" w:hAnsi="Cambria"/>
          <w:lang w:val="en-SG"/>
        </w:rPr>
      </w:pPr>
      <w:r w:rsidRPr="009A0DA6">
        <w:rPr>
          <w:rFonts w:ascii="Cambria" w:hAnsi="Cambria"/>
          <w:lang w:val="en-SG"/>
        </w:rPr>
        <w:t>the learnings and recommendations of Dr Crennan</w:t>
      </w:r>
    </w:p>
    <w:p w14:paraId="50429F70" w14:textId="664F8DEB" w:rsidR="00F631B1" w:rsidRPr="00CF1FE7" w:rsidRDefault="00F631B1" w:rsidP="00CF1FE7">
      <w:pPr>
        <w:pStyle w:val="ListParagraph"/>
        <w:numPr>
          <w:ilvl w:val="0"/>
          <w:numId w:val="30"/>
        </w:numPr>
        <w:spacing w:after="120" w:line="240" w:lineRule="auto"/>
        <w:ind w:left="567" w:hanging="567"/>
        <w:rPr>
          <w:rFonts w:ascii="Cambria" w:hAnsi="Cambria"/>
          <w:lang w:val="en-SG"/>
        </w:rPr>
      </w:pPr>
      <w:r w:rsidRPr="009A0DA6">
        <w:rPr>
          <w:rFonts w:ascii="Cambria" w:hAnsi="Cambria"/>
          <w:lang w:val="en-SG"/>
        </w:rPr>
        <w:t>the National Council of Churches in Australia (NCCA) Safe Church Training Agreement (SCTA) Standards (the church is a signatory to the SCTA).</w:t>
      </w:r>
    </w:p>
    <w:p w14:paraId="26EB6621" w14:textId="77777777" w:rsidR="00F631B1" w:rsidRPr="009A0DA6" w:rsidRDefault="00F631B1" w:rsidP="0069692D">
      <w:pPr>
        <w:spacing w:after="120" w:line="240" w:lineRule="auto"/>
        <w:rPr>
          <w:rFonts w:ascii="Cambria" w:hAnsi="Cambria"/>
          <w:lang w:val="en-SG"/>
        </w:rPr>
      </w:pPr>
      <w:r w:rsidRPr="009A0DA6">
        <w:rPr>
          <w:rFonts w:ascii="Cambria" w:hAnsi="Cambria"/>
          <w:lang w:val="en-SG"/>
        </w:rPr>
        <w:t>The new program is tiered and multi-modal; there are face-to-face and online components. It also provides for recognised prior learning, in relation to previous professional training. The intention is for a churchwide consistency in the training and delivery of the program throughout all congregations and affiliated ministries.</w:t>
      </w:r>
    </w:p>
    <w:p w14:paraId="2FB9BCAE" w14:textId="77777777" w:rsidR="00F631B1" w:rsidRPr="009A0DA6" w:rsidRDefault="00F631B1" w:rsidP="0069692D">
      <w:pPr>
        <w:spacing w:after="120" w:line="240" w:lineRule="auto"/>
        <w:rPr>
          <w:rFonts w:ascii="Cambria" w:hAnsi="Cambria"/>
          <w:lang w:val="en-SG"/>
        </w:rPr>
      </w:pPr>
      <w:r w:rsidRPr="009A0DA6">
        <w:rPr>
          <w:rFonts w:ascii="Cambria" w:hAnsi="Cambria"/>
          <w:lang w:val="en-SG"/>
        </w:rPr>
        <w:t xml:space="preserve">A range of resources, including the production of a short ‘Standards of Ethical Behaviour’ video, have been created to support the delivery of the new training program. </w:t>
      </w:r>
    </w:p>
    <w:p w14:paraId="03883E00" w14:textId="77777777" w:rsidR="00F631B1" w:rsidRPr="009A0DA6" w:rsidRDefault="00F631B1" w:rsidP="0069692D">
      <w:pPr>
        <w:spacing w:after="120" w:line="240" w:lineRule="auto"/>
        <w:rPr>
          <w:rFonts w:ascii="Cambria" w:hAnsi="Cambria"/>
          <w:lang w:val="en-SG"/>
        </w:rPr>
      </w:pPr>
      <w:r w:rsidRPr="009A0DA6">
        <w:rPr>
          <w:rFonts w:ascii="Cambria" w:eastAsia="Calibri" w:hAnsi="Cambria" w:cs="Arial"/>
        </w:rPr>
        <w:t>Importantly, the NCCA carried out a full review of the program and confirmed that it meets the SCTA Standards.</w:t>
      </w:r>
    </w:p>
    <w:p w14:paraId="6DC23DDD" w14:textId="6143A83E" w:rsidR="00F631B1" w:rsidRPr="009A0DA6" w:rsidRDefault="00F631B1" w:rsidP="00CF1FE7">
      <w:pPr>
        <w:spacing w:after="120" w:line="240" w:lineRule="auto"/>
        <w:rPr>
          <w:rFonts w:ascii="Cambria" w:hAnsi="Cambria"/>
          <w:lang w:val="en-SG"/>
        </w:rPr>
      </w:pPr>
      <w:r w:rsidRPr="009A0DA6">
        <w:rPr>
          <w:rFonts w:ascii="Cambria" w:hAnsi="Cambria"/>
          <w:lang w:val="en-SG"/>
        </w:rPr>
        <w:t>In 2017 training under the program was provided in every district, to a wide audience of participants, from a diverse range of ministry roles in the church. A growing number of individuals have now complet</w:t>
      </w:r>
      <w:r w:rsidR="00CF1FE7">
        <w:rPr>
          <w:rFonts w:ascii="Cambria" w:hAnsi="Cambria"/>
          <w:lang w:val="en-SG"/>
        </w:rPr>
        <w:t xml:space="preserve">ed all levels of the training. </w:t>
      </w:r>
    </w:p>
    <w:p w14:paraId="4FCC2E3C" w14:textId="77777777" w:rsidR="00F631B1" w:rsidRPr="009A0DA6" w:rsidRDefault="00F631B1" w:rsidP="0069692D">
      <w:pPr>
        <w:spacing w:after="120"/>
        <w:rPr>
          <w:rFonts w:ascii="Cambria" w:hAnsi="Cambria"/>
          <w:lang w:val="en-SG"/>
        </w:rPr>
      </w:pPr>
      <w:r w:rsidRPr="009A0DA6">
        <w:rPr>
          <w:rFonts w:ascii="Cambria" w:hAnsi="Cambria"/>
          <w:lang w:val="en-SG"/>
        </w:rPr>
        <w:t>In October 2017, the General Church Council resolved that it endorsed:</w:t>
      </w:r>
    </w:p>
    <w:p w14:paraId="6716A3D0" w14:textId="77777777" w:rsidR="00F631B1" w:rsidRPr="009A0DA6" w:rsidRDefault="00F631B1" w:rsidP="0069692D">
      <w:pPr>
        <w:numPr>
          <w:ilvl w:val="0"/>
          <w:numId w:val="31"/>
        </w:numPr>
        <w:spacing w:before="120" w:after="120" w:line="240" w:lineRule="auto"/>
        <w:ind w:left="567" w:hanging="567"/>
        <w:contextualSpacing/>
        <w:rPr>
          <w:rFonts w:ascii="Cambria" w:eastAsia="Calibri" w:hAnsi="Cambria" w:cs="Times New Roman"/>
          <w:lang w:val="en-US"/>
        </w:rPr>
      </w:pPr>
      <w:r w:rsidRPr="009A0DA6">
        <w:rPr>
          <w:rFonts w:ascii="Cambria" w:eastAsia="Calibri" w:hAnsi="Cambria" w:cs="Times New Roman"/>
        </w:rPr>
        <w:t>The direction and intent of the program and its consistent implementation across the church</w:t>
      </w:r>
    </w:p>
    <w:p w14:paraId="6A97519B" w14:textId="77777777" w:rsidR="00F631B1" w:rsidRPr="009A0DA6" w:rsidRDefault="00F631B1" w:rsidP="0069692D">
      <w:pPr>
        <w:numPr>
          <w:ilvl w:val="0"/>
          <w:numId w:val="31"/>
        </w:numPr>
        <w:spacing w:before="120" w:after="120" w:line="240" w:lineRule="auto"/>
        <w:ind w:left="567" w:hanging="567"/>
        <w:contextualSpacing/>
        <w:rPr>
          <w:rFonts w:ascii="Cambria" w:eastAsia="Calibri" w:hAnsi="Cambria" w:cs="Times New Roman"/>
        </w:rPr>
      </w:pPr>
      <w:r w:rsidRPr="009A0DA6">
        <w:rPr>
          <w:rFonts w:ascii="Cambria" w:eastAsia="Calibri" w:hAnsi="Cambria" w:cs="Times New Roman"/>
        </w:rPr>
        <w:t>PSD's ongoing efforts to improve the current training program, including the tailoring of training for specific focus groups (requesting PSD continue to explore the broadening of recognition of members’ prior learning)</w:t>
      </w:r>
    </w:p>
    <w:p w14:paraId="4A22887E" w14:textId="77777777" w:rsidR="00F631B1" w:rsidRPr="009A0DA6" w:rsidRDefault="00F631B1" w:rsidP="0069692D">
      <w:pPr>
        <w:numPr>
          <w:ilvl w:val="0"/>
          <w:numId w:val="31"/>
        </w:numPr>
        <w:spacing w:before="120" w:after="120" w:line="240" w:lineRule="auto"/>
        <w:ind w:left="567" w:hanging="567"/>
        <w:contextualSpacing/>
        <w:rPr>
          <w:rFonts w:ascii="Cambria" w:eastAsia="Calibri" w:hAnsi="Cambria" w:cs="Times New Roman"/>
        </w:rPr>
      </w:pPr>
      <w:r w:rsidRPr="009A0DA6">
        <w:rPr>
          <w:rFonts w:ascii="Cambria" w:eastAsia="Calibri" w:hAnsi="Cambria" w:cs="Times New Roman"/>
        </w:rPr>
        <w:t>PSD’s ongoing efforts to train more trainers, to strengthen the training delivery team and maintain the integrity of the program.</w:t>
      </w:r>
    </w:p>
    <w:p w14:paraId="29DB13CE" w14:textId="77777777" w:rsidR="00F631B1" w:rsidRPr="009A0DA6" w:rsidRDefault="00F631B1" w:rsidP="0069692D">
      <w:pPr>
        <w:spacing w:after="120" w:line="240" w:lineRule="auto"/>
        <w:contextualSpacing/>
        <w:jc w:val="right"/>
        <w:rPr>
          <w:rFonts w:ascii="Cambria" w:eastAsia="Calibri" w:hAnsi="Cambria" w:cs="Times New Roman"/>
        </w:rPr>
      </w:pPr>
      <w:r w:rsidRPr="009A0DA6">
        <w:rPr>
          <w:rFonts w:ascii="Cambria" w:eastAsia="Calibri" w:hAnsi="Cambria" w:cs="Times New Roman"/>
        </w:rPr>
        <w:t>(Resolution 17/168)</w:t>
      </w:r>
    </w:p>
    <w:p w14:paraId="54938AFE" w14:textId="77777777" w:rsidR="00F631B1" w:rsidRPr="009A0DA6" w:rsidRDefault="00F631B1" w:rsidP="0069692D">
      <w:pPr>
        <w:spacing w:after="120" w:line="240" w:lineRule="auto"/>
        <w:contextualSpacing/>
        <w:jc w:val="right"/>
        <w:rPr>
          <w:rFonts w:ascii="Cambria" w:eastAsia="Calibri" w:hAnsi="Cambria" w:cs="Times New Roman"/>
        </w:rPr>
      </w:pPr>
    </w:p>
    <w:p w14:paraId="4AF29E80" w14:textId="15E183FD" w:rsidR="00CF1FE7" w:rsidRPr="00C8156C" w:rsidRDefault="00F631B1" w:rsidP="0069692D">
      <w:pPr>
        <w:spacing w:after="120" w:line="240" w:lineRule="auto"/>
        <w:rPr>
          <w:rFonts w:ascii="Cambria" w:eastAsiaTheme="minorEastAsia" w:hAnsi="Cambria"/>
          <w:szCs w:val="24"/>
          <w:lang w:val="en-SG"/>
        </w:rPr>
      </w:pPr>
      <w:r w:rsidRPr="009A0DA6">
        <w:rPr>
          <w:rFonts w:ascii="Cambria" w:hAnsi="Cambria"/>
          <w:szCs w:val="24"/>
          <w:lang w:val="en-SG"/>
        </w:rPr>
        <w:t>Since the start of 2017 3029 people have attended face-to-face workshops and the response has been encouragingly very positive. When asked to rate the personal value of a workshop, just 1.8% of these participants have given the lowest rating of ‘Limited Value’.</w:t>
      </w:r>
    </w:p>
    <w:p w14:paraId="2781D275" w14:textId="77777777" w:rsidR="00C8156C" w:rsidRDefault="00F631B1" w:rsidP="0069692D">
      <w:pPr>
        <w:spacing w:after="120" w:line="240" w:lineRule="auto"/>
        <w:rPr>
          <w:rFonts w:ascii="Cambria" w:hAnsi="Cambria"/>
          <w:szCs w:val="24"/>
          <w:lang w:val="en-SG"/>
        </w:rPr>
      </w:pPr>
      <w:r w:rsidRPr="009A0DA6">
        <w:rPr>
          <w:rFonts w:ascii="Cambria" w:hAnsi="Cambria"/>
          <w:szCs w:val="24"/>
          <w:lang w:val="en-SG"/>
        </w:rPr>
        <w:t>The face-to-face workshops are considered to be an important part of the overall training program for the following reasons:</w:t>
      </w:r>
    </w:p>
    <w:p w14:paraId="59C87AE2" w14:textId="01C21EB8" w:rsidR="00F631B1" w:rsidRPr="009A0DA6" w:rsidRDefault="00F631B1" w:rsidP="0069692D">
      <w:pPr>
        <w:spacing w:after="120" w:line="240" w:lineRule="auto"/>
        <w:rPr>
          <w:rFonts w:ascii="Cambria" w:hAnsi="Cambria"/>
          <w:sz w:val="10"/>
          <w:szCs w:val="24"/>
          <w:lang w:val="en-SG"/>
        </w:rPr>
      </w:pPr>
      <w:r w:rsidRPr="009A0DA6">
        <w:rPr>
          <w:rFonts w:ascii="Cambria" w:hAnsi="Cambria"/>
          <w:szCs w:val="24"/>
          <w:lang w:val="en-SG"/>
        </w:rPr>
        <w:br/>
      </w:r>
    </w:p>
    <w:p w14:paraId="7B1F0A03" w14:textId="77777777" w:rsidR="00F631B1" w:rsidRPr="009A0DA6" w:rsidRDefault="00F631B1" w:rsidP="0069692D">
      <w:pPr>
        <w:pStyle w:val="ListParagraph"/>
        <w:numPr>
          <w:ilvl w:val="0"/>
          <w:numId w:val="32"/>
        </w:numPr>
        <w:spacing w:after="120" w:line="240" w:lineRule="auto"/>
        <w:ind w:left="567" w:hanging="567"/>
        <w:rPr>
          <w:rFonts w:ascii="Cambria" w:hAnsi="Cambria"/>
          <w:szCs w:val="24"/>
          <w:lang w:val="en-SG"/>
        </w:rPr>
      </w:pPr>
      <w:r w:rsidRPr="009A0DA6">
        <w:rPr>
          <w:rFonts w:ascii="Cambria" w:hAnsi="Cambria"/>
          <w:szCs w:val="24"/>
          <w:lang w:val="en-SG"/>
        </w:rPr>
        <w:lastRenderedPageBreak/>
        <w:t>The content invites discussion among the participants about their responsibilities as leaders within the context of the Lutheran Church. This helps to develop a collective understanding of why the policies and procedures of the church are necessary, and develops a mutual accountability for their implementation. This shared understanding and commitment is less likely to be achieved in an on-line environment.</w:t>
      </w:r>
    </w:p>
    <w:p w14:paraId="70D01417" w14:textId="77777777" w:rsidR="00F631B1" w:rsidRPr="009A0DA6" w:rsidRDefault="00F631B1" w:rsidP="0069692D">
      <w:pPr>
        <w:pStyle w:val="ListParagraph"/>
        <w:numPr>
          <w:ilvl w:val="0"/>
          <w:numId w:val="32"/>
        </w:numPr>
        <w:spacing w:after="120" w:line="240" w:lineRule="auto"/>
        <w:ind w:left="567" w:hanging="567"/>
        <w:rPr>
          <w:rFonts w:ascii="Cambria" w:hAnsi="Cambria"/>
          <w:szCs w:val="24"/>
          <w:lang w:val="en-SG"/>
        </w:rPr>
      </w:pPr>
      <w:r w:rsidRPr="009A0DA6">
        <w:rPr>
          <w:rFonts w:ascii="Cambria" w:hAnsi="Cambria"/>
          <w:szCs w:val="24"/>
          <w:lang w:val="en-SG"/>
        </w:rPr>
        <w:t>The content covers a wide range of issues related to the safety and well-being of all who engage in the life of the church. It is not strictly limited to child protection. Face-to-face training is considered to be the most effective way of getting across a wide range of issues.</w:t>
      </w:r>
    </w:p>
    <w:p w14:paraId="7E7EE574" w14:textId="516F2971" w:rsidR="00F631B1" w:rsidRPr="00CF1FE7" w:rsidRDefault="00F631B1" w:rsidP="0069692D">
      <w:pPr>
        <w:pStyle w:val="ListParagraph"/>
        <w:numPr>
          <w:ilvl w:val="0"/>
          <w:numId w:val="32"/>
        </w:numPr>
        <w:spacing w:after="120" w:line="240" w:lineRule="auto"/>
        <w:ind w:left="567" w:hanging="567"/>
        <w:rPr>
          <w:rFonts w:ascii="Cambria" w:hAnsi="Cambria"/>
          <w:szCs w:val="24"/>
          <w:lang w:val="en-SG"/>
        </w:rPr>
      </w:pPr>
      <w:r w:rsidRPr="009A0DA6">
        <w:rPr>
          <w:rFonts w:ascii="Cambria" w:hAnsi="Cambria"/>
          <w:szCs w:val="24"/>
          <w:lang w:val="en-SG"/>
        </w:rPr>
        <w:t xml:space="preserve">The face-to-face training also demonstrates to the wider community, far more than on-line training can, the church’s commitment to being a ‘safe place.’ </w:t>
      </w:r>
    </w:p>
    <w:p w14:paraId="512F0210" w14:textId="1EF3687C" w:rsidR="00F631B1" w:rsidRPr="009A0DA6" w:rsidRDefault="00F631B1" w:rsidP="0069692D">
      <w:pPr>
        <w:spacing w:after="120" w:line="240" w:lineRule="auto"/>
        <w:rPr>
          <w:rFonts w:ascii="Cambria" w:hAnsi="Cambria"/>
          <w:szCs w:val="24"/>
          <w:lang w:val="en-SG"/>
        </w:rPr>
      </w:pPr>
      <w:r w:rsidRPr="009A0DA6">
        <w:rPr>
          <w:rFonts w:ascii="Cambria" w:hAnsi="Cambria"/>
          <w:szCs w:val="24"/>
          <w:lang w:val="en-SG"/>
        </w:rPr>
        <w:t>Although the feedback has been overwhelmingly positive toward the face-to-face training, PSD is continuing to review the program to streamline it as much as possible, without comp</w:t>
      </w:r>
      <w:r w:rsidR="00C72D0C">
        <w:rPr>
          <w:rFonts w:ascii="Cambria" w:hAnsi="Cambria"/>
          <w:szCs w:val="24"/>
          <w:lang w:val="en-SG"/>
        </w:rPr>
        <w:t>romising the expected outcomes.</w:t>
      </w:r>
    </w:p>
    <w:p w14:paraId="136F0245" w14:textId="77777777" w:rsidR="00F631B1" w:rsidRPr="009A0DA6" w:rsidRDefault="00F631B1" w:rsidP="0069692D">
      <w:pPr>
        <w:tabs>
          <w:tab w:val="left" w:pos="1491"/>
        </w:tabs>
        <w:spacing w:after="120"/>
        <w:rPr>
          <w:rFonts w:ascii="Cambria" w:hAnsi="Cambria"/>
          <w:szCs w:val="24"/>
          <w:lang w:val="en-SG"/>
        </w:rPr>
      </w:pPr>
      <w:r w:rsidRPr="009A0DA6">
        <w:rPr>
          <w:rFonts w:ascii="Cambria" w:hAnsi="Cambria"/>
          <w:szCs w:val="24"/>
          <w:lang w:val="en-SG"/>
        </w:rPr>
        <w:t>PSD will soon commence the writing of a ‘refresher’ course, which will be undertaken by people three years after they’ve completed the initial face-to-face training. This refresher course will not be as long as the initial training, and may be delivered in an on-line environment.</w:t>
      </w:r>
    </w:p>
    <w:p w14:paraId="24B6DE78" w14:textId="77777777" w:rsidR="00F631B1" w:rsidRPr="009A0DA6" w:rsidRDefault="00F631B1" w:rsidP="0069692D">
      <w:pPr>
        <w:tabs>
          <w:tab w:val="left" w:pos="1491"/>
        </w:tabs>
        <w:spacing w:after="120"/>
        <w:rPr>
          <w:rFonts w:ascii="Cambria" w:hAnsi="Cambria"/>
          <w:szCs w:val="24"/>
          <w:lang w:val="en-SG"/>
        </w:rPr>
      </w:pPr>
      <w:r w:rsidRPr="009A0DA6">
        <w:rPr>
          <w:rFonts w:ascii="Cambria" w:hAnsi="Cambria"/>
          <w:szCs w:val="24"/>
          <w:lang w:val="en-SG"/>
        </w:rPr>
        <w:t xml:space="preserve">The other components of the training course are delivered on-line by webinar. Since the start of 2017 1063 people have taken part in webinars, with the majority of feedback being positive. PSD recognises that access to webinars can be a challenge in areas where internet connectivity is poor, or participants don’t have the necessary technology. The PSD has endeavoured to respond to these situations, including by way of delivering the training face-to-face. </w:t>
      </w:r>
    </w:p>
    <w:p w14:paraId="16816D6D" w14:textId="77777777" w:rsidR="00F631B1" w:rsidRPr="009A0DA6" w:rsidRDefault="00F631B1" w:rsidP="0069692D">
      <w:pPr>
        <w:tabs>
          <w:tab w:val="left" w:pos="1491"/>
        </w:tabs>
        <w:spacing w:after="120"/>
        <w:rPr>
          <w:rFonts w:ascii="Cambria" w:hAnsi="Cambria"/>
          <w:szCs w:val="24"/>
          <w:lang w:val="en-SG"/>
        </w:rPr>
      </w:pPr>
      <w:r w:rsidRPr="009A0DA6">
        <w:rPr>
          <w:rFonts w:ascii="Cambria" w:hAnsi="Cambria"/>
          <w:szCs w:val="24"/>
          <w:lang w:val="en-SG"/>
        </w:rPr>
        <w:t>We understand that training requires a significant commitment from the participants. Professional Standards Officers in each District are available to work with congregations and other ministries in meeting training requirements and will endeavour to respond as flexibly as is possible to accommodate a local situation.</w:t>
      </w:r>
    </w:p>
    <w:p w14:paraId="7E4F9B2D" w14:textId="77777777" w:rsidR="00F631B1" w:rsidRPr="009A0DA6" w:rsidRDefault="00F631B1" w:rsidP="0069692D">
      <w:pPr>
        <w:tabs>
          <w:tab w:val="left" w:pos="1491"/>
        </w:tabs>
        <w:spacing w:after="120"/>
        <w:rPr>
          <w:rFonts w:ascii="Cambria" w:hAnsi="Cambria"/>
          <w:szCs w:val="24"/>
          <w:lang w:val="en-SG"/>
        </w:rPr>
      </w:pPr>
      <w:r w:rsidRPr="009A0DA6">
        <w:rPr>
          <w:rFonts w:ascii="Cambria" w:hAnsi="Cambria"/>
          <w:b/>
          <w:szCs w:val="24"/>
          <w:lang w:val="en-SG"/>
        </w:rPr>
        <w:t xml:space="preserve">PSD emphasises that there should be no reason for a congregation or ministry to stop or defer any of its ministry activities because of a training issue. Please do not assume what is and isn’t possible. </w:t>
      </w:r>
    </w:p>
    <w:p w14:paraId="4F011079" w14:textId="77777777" w:rsidR="00F631B1" w:rsidRPr="00995084" w:rsidRDefault="00F631B1" w:rsidP="0069692D">
      <w:pPr>
        <w:spacing w:after="120" w:line="240" w:lineRule="auto"/>
        <w:rPr>
          <w:rFonts w:ascii="Cambria" w:hAnsi="Cambria"/>
        </w:rPr>
      </w:pPr>
      <w:r w:rsidRPr="009A0DA6">
        <w:rPr>
          <w:rFonts w:ascii="Cambria" w:eastAsia="Calibri" w:hAnsi="Cambria" w:cs="Arial"/>
          <w:szCs w:val="24"/>
        </w:rPr>
        <w:t xml:space="preserve">Congregations and other ministries can find more details at </w:t>
      </w:r>
      <w:hyperlink r:id="rId25" w:history="1">
        <w:r w:rsidRPr="00995084">
          <w:rPr>
            <w:rStyle w:val="Hyperlink"/>
            <w:rFonts w:ascii="Cambria" w:eastAsia="Calibri" w:hAnsi="Cambria" w:cs="Arial"/>
            <w:color w:val="auto"/>
            <w:szCs w:val="24"/>
            <w:u w:val="none"/>
          </w:rPr>
          <w:t>www.lca.org.au/psd-training</w:t>
        </w:r>
      </w:hyperlink>
    </w:p>
    <w:p w14:paraId="76E1C6FF" w14:textId="77777777" w:rsidR="00F631B1" w:rsidRPr="009A0DA6" w:rsidRDefault="00F631B1" w:rsidP="00F631B1">
      <w:pPr>
        <w:spacing w:after="0" w:line="240" w:lineRule="auto"/>
        <w:rPr>
          <w:rFonts w:ascii="Cambria" w:eastAsia="Calibri" w:hAnsi="Cambria" w:cs="Arial"/>
          <w:szCs w:val="24"/>
          <w:lang w:val="en-US"/>
        </w:rPr>
      </w:pPr>
    </w:p>
    <w:p w14:paraId="4E9C2B0F" w14:textId="77777777" w:rsidR="00F631B1" w:rsidRPr="009A0DA6" w:rsidRDefault="00F631B1" w:rsidP="00F631B1">
      <w:pPr>
        <w:pStyle w:val="Subtitle"/>
        <w:rPr>
          <w:rFonts w:eastAsiaTheme="majorEastAsia" w:cstheme="majorBidi"/>
          <w:lang w:val="en-SG"/>
        </w:rPr>
      </w:pPr>
      <w:r w:rsidRPr="009A0DA6">
        <w:rPr>
          <w:lang w:val="en-SG"/>
        </w:rPr>
        <w:t>Review of the Known Sex Offender/Person of Concern Policy</w:t>
      </w:r>
    </w:p>
    <w:p w14:paraId="582CB331" w14:textId="77777777" w:rsidR="00F631B1" w:rsidRPr="009A0DA6" w:rsidRDefault="00F631B1" w:rsidP="00F631B1">
      <w:pPr>
        <w:tabs>
          <w:tab w:val="left" w:pos="1491"/>
        </w:tabs>
        <w:rPr>
          <w:rFonts w:ascii="Cambria" w:hAnsi="Cambria"/>
          <w:szCs w:val="24"/>
          <w:lang w:val="en-SG"/>
        </w:rPr>
      </w:pPr>
      <w:r w:rsidRPr="009A0DA6">
        <w:rPr>
          <w:rFonts w:ascii="Cambria" w:hAnsi="Cambria"/>
          <w:szCs w:val="24"/>
          <w:lang w:val="en-SG"/>
        </w:rPr>
        <w:t>There has been an independent review, of the Prevention of Risk of Harm from a Known Sex Offender Policy and related Procedure, by child protection expert Carl Collins.</w:t>
      </w:r>
    </w:p>
    <w:p w14:paraId="45E34959" w14:textId="77777777" w:rsidR="00F631B1" w:rsidRPr="009A0DA6" w:rsidRDefault="00F631B1" w:rsidP="00F631B1">
      <w:pPr>
        <w:tabs>
          <w:tab w:val="left" w:pos="1491"/>
        </w:tabs>
        <w:rPr>
          <w:rFonts w:ascii="Cambria" w:hAnsi="Cambria"/>
          <w:szCs w:val="24"/>
          <w:lang w:val="en-SG"/>
        </w:rPr>
      </w:pPr>
      <w:r w:rsidRPr="009A0DA6">
        <w:rPr>
          <w:rFonts w:ascii="Cambria" w:hAnsi="Cambria"/>
          <w:szCs w:val="24"/>
          <w:lang w:val="en-SG"/>
        </w:rPr>
        <w:t xml:space="preserve">Following the recommendations from Mr Collins, the Policy has a new name: the Prevention of Risk of Sexual Offence by a Person of Concern. There is also a completely new Procedure to help PSD and the church to implement the Policy. </w:t>
      </w:r>
    </w:p>
    <w:p w14:paraId="76634DA7" w14:textId="4EB5BF99" w:rsidR="00CF1FE7" w:rsidRDefault="00F631B1" w:rsidP="00F631B1">
      <w:pPr>
        <w:tabs>
          <w:tab w:val="left" w:pos="1491"/>
        </w:tabs>
        <w:rPr>
          <w:rFonts w:ascii="Cambria" w:hAnsi="Cambria"/>
          <w:szCs w:val="24"/>
          <w:lang w:val="en-SG"/>
        </w:rPr>
      </w:pPr>
      <w:r w:rsidRPr="009A0DA6">
        <w:rPr>
          <w:rFonts w:ascii="Cambria" w:hAnsi="Cambria"/>
          <w:szCs w:val="24"/>
          <w:lang w:val="en-SG"/>
        </w:rPr>
        <w:t>PSD acknowledges this is a sensitive and complex area to navigate for all concerned. However, the Royal Commission into Institutional Responses to Child Sexual Abuse reminded the church that it is not immune from the scandal of child abuse. The church must apply policies and practices that protect children and other vulnerab</w:t>
      </w:r>
      <w:r w:rsidR="007817B7">
        <w:rPr>
          <w:rFonts w:ascii="Cambria" w:hAnsi="Cambria"/>
          <w:szCs w:val="24"/>
          <w:lang w:val="en-SG"/>
        </w:rPr>
        <w:t>le members of our community.</w:t>
      </w:r>
    </w:p>
    <w:p w14:paraId="7BBF5741" w14:textId="276C075D" w:rsidR="00F631B1" w:rsidRPr="009A0DA6" w:rsidRDefault="00F631B1" w:rsidP="00F631B1">
      <w:pPr>
        <w:tabs>
          <w:tab w:val="left" w:pos="1491"/>
        </w:tabs>
        <w:rPr>
          <w:rFonts w:ascii="Cambria" w:hAnsi="Cambria"/>
          <w:szCs w:val="24"/>
          <w:lang w:val="en-SG"/>
        </w:rPr>
      </w:pPr>
      <w:r w:rsidRPr="009A0DA6">
        <w:rPr>
          <w:rFonts w:ascii="Cambria" w:hAnsi="Cambria"/>
          <w:szCs w:val="24"/>
          <w:lang w:val="en-SG"/>
        </w:rPr>
        <w:t>It is important to note that PSD supports the implementation of the policy and procedure, but the final decisions are made by the local District Church Council or other authorised body.</w:t>
      </w:r>
    </w:p>
    <w:p w14:paraId="76835404" w14:textId="093D4F57" w:rsidR="00F631B1" w:rsidRDefault="00F631B1" w:rsidP="00F631B1">
      <w:pPr>
        <w:tabs>
          <w:tab w:val="left" w:pos="1491"/>
        </w:tabs>
        <w:rPr>
          <w:rFonts w:ascii="Cambria" w:hAnsi="Cambria"/>
          <w:szCs w:val="24"/>
          <w:lang w:val="en-SG"/>
        </w:rPr>
      </w:pPr>
      <w:r w:rsidRPr="009A0DA6">
        <w:rPr>
          <w:rFonts w:ascii="Cambria" w:hAnsi="Cambria"/>
          <w:szCs w:val="24"/>
          <w:lang w:val="en-SG"/>
        </w:rPr>
        <w:t>The new Procedure will be reviewed again in 12 months.</w:t>
      </w:r>
    </w:p>
    <w:p w14:paraId="10197E52" w14:textId="77777777" w:rsidR="007817B7" w:rsidRPr="009A0DA6" w:rsidRDefault="007817B7" w:rsidP="00F631B1">
      <w:pPr>
        <w:tabs>
          <w:tab w:val="left" w:pos="1491"/>
        </w:tabs>
        <w:rPr>
          <w:rFonts w:ascii="Cambria" w:hAnsi="Cambria"/>
          <w:szCs w:val="24"/>
          <w:lang w:val="en-SG"/>
        </w:rPr>
      </w:pPr>
    </w:p>
    <w:p w14:paraId="273B23F4" w14:textId="77777777" w:rsidR="00F631B1" w:rsidRPr="009A0DA6" w:rsidRDefault="00F631B1" w:rsidP="00F631B1">
      <w:pPr>
        <w:pStyle w:val="Subtitle"/>
        <w:rPr>
          <w:lang w:val="en-SG"/>
        </w:rPr>
      </w:pPr>
      <w:r w:rsidRPr="009A0DA6">
        <w:rPr>
          <w:lang w:val="en-SG"/>
        </w:rPr>
        <w:lastRenderedPageBreak/>
        <w:t>Other policies and procedures</w:t>
      </w:r>
    </w:p>
    <w:p w14:paraId="22DEFCEB" w14:textId="77777777" w:rsidR="00F631B1" w:rsidRPr="009A0DA6" w:rsidRDefault="00F631B1" w:rsidP="00F631B1">
      <w:pPr>
        <w:tabs>
          <w:tab w:val="left" w:pos="1491"/>
        </w:tabs>
        <w:rPr>
          <w:rFonts w:ascii="Cambria" w:hAnsi="Cambria"/>
          <w:szCs w:val="24"/>
          <w:lang w:val="en-SG"/>
        </w:rPr>
      </w:pPr>
      <w:r w:rsidRPr="009A0DA6">
        <w:rPr>
          <w:rFonts w:ascii="Cambria" w:hAnsi="Cambria"/>
          <w:szCs w:val="24"/>
          <w:lang w:val="en-SG"/>
        </w:rPr>
        <w:t>A Gift Acceptance Policy and a Conflict of Interest Policy have been approved by GCC following consultation. The procedures to accompany the respective policies are in the process of being developed. Once this work has been completed the documents will be made available for use across the church.</w:t>
      </w:r>
    </w:p>
    <w:p w14:paraId="5F997C77" w14:textId="77777777" w:rsidR="00F631B1" w:rsidRPr="009A0DA6" w:rsidRDefault="00F631B1" w:rsidP="00F631B1">
      <w:pPr>
        <w:tabs>
          <w:tab w:val="left" w:pos="1491"/>
        </w:tabs>
        <w:rPr>
          <w:rFonts w:ascii="Cambria" w:hAnsi="Cambria"/>
          <w:szCs w:val="24"/>
          <w:lang w:val="en-SG"/>
        </w:rPr>
      </w:pPr>
      <w:r w:rsidRPr="009A0DA6">
        <w:rPr>
          <w:rFonts w:ascii="Cambria" w:hAnsi="Cambria"/>
          <w:szCs w:val="24"/>
          <w:lang w:val="en-SG"/>
        </w:rPr>
        <w:t>PSD continues to liaise with Reconciliation Ministry and the Tribunal Administrator, in relation to the development of a churchwide Complaints Handling Procedure.</w:t>
      </w:r>
    </w:p>
    <w:p w14:paraId="1E48CACF" w14:textId="5AFCD183" w:rsidR="00F631B1" w:rsidRPr="009A0DA6" w:rsidRDefault="00F631B1" w:rsidP="00F631B1">
      <w:pPr>
        <w:tabs>
          <w:tab w:val="left" w:pos="1491"/>
        </w:tabs>
        <w:rPr>
          <w:rFonts w:ascii="Cambria" w:hAnsi="Cambria"/>
          <w:szCs w:val="24"/>
          <w:lang w:val="en-SG"/>
        </w:rPr>
      </w:pPr>
      <w:r w:rsidRPr="009A0DA6">
        <w:rPr>
          <w:rFonts w:ascii="Cambria" w:hAnsi="Cambria"/>
          <w:szCs w:val="24"/>
          <w:lang w:val="en-SG"/>
        </w:rPr>
        <w:t>It is again important to stress that, in any complaints handling matter, PSD provides support to the process and is not responsible for the final decision-making. This rests with the appropriate person (</w:t>
      </w:r>
      <w:r w:rsidR="00995084" w:rsidRPr="009A0DA6">
        <w:rPr>
          <w:rFonts w:ascii="Cambria" w:hAnsi="Cambria"/>
          <w:szCs w:val="24"/>
          <w:lang w:val="en-SG"/>
        </w:rPr>
        <w:t>e.g.</w:t>
      </w:r>
      <w:r w:rsidRPr="009A0DA6">
        <w:rPr>
          <w:rFonts w:ascii="Cambria" w:hAnsi="Cambria"/>
          <w:szCs w:val="24"/>
          <w:lang w:val="en-SG"/>
        </w:rPr>
        <w:t xml:space="preserve"> District Bishop) or body (</w:t>
      </w:r>
      <w:r w:rsidR="00995084" w:rsidRPr="009A0DA6">
        <w:rPr>
          <w:rFonts w:ascii="Cambria" w:hAnsi="Cambria"/>
          <w:szCs w:val="24"/>
          <w:lang w:val="en-SG"/>
        </w:rPr>
        <w:t>e.g.</w:t>
      </w:r>
      <w:r w:rsidRPr="009A0DA6">
        <w:rPr>
          <w:rFonts w:ascii="Cambria" w:hAnsi="Cambria"/>
          <w:szCs w:val="24"/>
          <w:lang w:val="en-SG"/>
        </w:rPr>
        <w:t xml:space="preserve"> District Church Council).</w:t>
      </w:r>
    </w:p>
    <w:p w14:paraId="6999180D" w14:textId="77777777" w:rsidR="00F631B1" w:rsidRPr="00995084" w:rsidRDefault="00F631B1" w:rsidP="00F631B1">
      <w:pPr>
        <w:tabs>
          <w:tab w:val="left" w:pos="1491"/>
        </w:tabs>
        <w:rPr>
          <w:rFonts w:ascii="Cambria" w:hAnsi="Cambria"/>
          <w:lang w:val="en-SG"/>
        </w:rPr>
      </w:pPr>
      <w:r w:rsidRPr="009A0DA6">
        <w:rPr>
          <w:rFonts w:ascii="Cambria" w:hAnsi="Cambria"/>
          <w:lang w:val="en-SG"/>
        </w:rPr>
        <w:t xml:space="preserve">You can find approved policies and procedures of the church at </w:t>
      </w:r>
      <w:hyperlink r:id="rId26" w:history="1">
        <w:r w:rsidRPr="00995084">
          <w:rPr>
            <w:rStyle w:val="Hyperlink"/>
            <w:rFonts w:ascii="Cambria" w:hAnsi="Cambria"/>
            <w:color w:val="auto"/>
            <w:u w:val="none"/>
            <w:lang w:val="en-SG"/>
          </w:rPr>
          <w:t>www.lca.org.au/policies</w:t>
        </w:r>
      </w:hyperlink>
    </w:p>
    <w:p w14:paraId="313C950C" w14:textId="77777777" w:rsidR="00F631B1" w:rsidRPr="009A0DA6" w:rsidRDefault="00F631B1" w:rsidP="00F631B1">
      <w:pPr>
        <w:pStyle w:val="Subtitle"/>
        <w:rPr>
          <w:lang w:val="en-SG"/>
        </w:rPr>
      </w:pPr>
      <w:r w:rsidRPr="009A0DA6">
        <w:rPr>
          <w:lang w:val="en-SG"/>
        </w:rPr>
        <w:t>Royal Commission into Institutional Responses to Child Sexual Abuse</w:t>
      </w:r>
    </w:p>
    <w:p w14:paraId="7C2EBD88" w14:textId="77777777" w:rsidR="00F631B1" w:rsidRPr="009A0DA6" w:rsidRDefault="00F631B1" w:rsidP="00F631B1">
      <w:pPr>
        <w:tabs>
          <w:tab w:val="left" w:pos="1491"/>
        </w:tabs>
        <w:rPr>
          <w:rFonts w:ascii="Cambria" w:hAnsi="Cambria"/>
          <w:lang w:val="en-SG"/>
        </w:rPr>
      </w:pPr>
      <w:r w:rsidRPr="009A0DA6">
        <w:rPr>
          <w:rFonts w:ascii="Cambria" w:hAnsi="Cambria"/>
          <w:lang w:val="en-SG"/>
        </w:rPr>
        <w:t>In December, the Royal Commission into Institutional Responses to Child Sexual Abuse released its final report. Spanning 17 volumes, the contents are sobering and challenging. The Royal Commission has found there has been gross and sustained misconduct in churches. As a result, there has been an erosion of public trust in churches. The Lutheran Church is, by no means, immune from such trust issues.</w:t>
      </w:r>
    </w:p>
    <w:p w14:paraId="2829F1E2" w14:textId="77777777" w:rsidR="00F631B1" w:rsidRPr="009A0DA6" w:rsidRDefault="00F631B1" w:rsidP="00F631B1">
      <w:pPr>
        <w:tabs>
          <w:tab w:val="left" w:pos="1491"/>
        </w:tabs>
        <w:rPr>
          <w:rFonts w:ascii="Cambria" w:hAnsi="Cambria"/>
          <w:lang w:val="en-SG"/>
        </w:rPr>
      </w:pPr>
      <w:r w:rsidRPr="009A0DA6">
        <w:rPr>
          <w:rFonts w:ascii="Cambria" w:hAnsi="Cambria"/>
          <w:lang w:val="en-SG"/>
        </w:rPr>
        <w:t xml:space="preserve">Child sexual abuse is not a historical problem. It is still happening. Churches remain particularly susceptible, as culture will not change overnight. Sadly, there is still a trend of scepticism towards complainants and of rallying around accused persons. And we also see a disproportionate focus on proven offenders, together with insufficient consideration regarding the feelings of abuse survivors and potential victims. </w:t>
      </w:r>
    </w:p>
    <w:p w14:paraId="6C313F18" w14:textId="77777777" w:rsidR="00F631B1" w:rsidRPr="009A0DA6" w:rsidRDefault="00F631B1" w:rsidP="00F631B1">
      <w:pPr>
        <w:tabs>
          <w:tab w:val="left" w:pos="1491"/>
        </w:tabs>
        <w:rPr>
          <w:rFonts w:ascii="Cambria" w:hAnsi="Cambria"/>
          <w:lang w:val="en-SG"/>
        </w:rPr>
      </w:pPr>
      <w:r w:rsidRPr="009A0DA6">
        <w:rPr>
          <w:rFonts w:ascii="Cambria" w:hAnsi="Cambria"/>
          <w:lang w:val="en-SG"/>
        </w:rPr>
        <w:t>PSD is trying to build a healthy level of awareness about persistent child molesters, who can be incredibly patient and cunning; they are currently trying to infiltrate our communities. Let’s be vigilant – not alarmed but alert!</w:t>
      </w:r>
    </w:p>
    <w:p w14:paraId="384E6D50" w14:textId="77777777" w:rsidR="00F631B1" w:rsidRPr="009A0DA6" w:rsidRDefault="00F631B1" w:rsidP="00F631B1">
      <w:pPr>
        <w:pStyle w:val="Subtitle"/>
        <w:rPr>
          <w:lang w:val="en-SG"/>
        </w:rPr>
      </w:pPr>
      <w:r w:rsidRPr="009A0DA6">
        <w:rPr>
          <w:lang w:val="en-SG"/>
        </w:rPr>
        <w:t>Redress scheme</w:t>
      </w:r>
    </w:p>
    <w:p w14:paraId="33C457A0" w14:textId="77777777" w:rsidR="00F631B1" w:rsidRPr="009A0DA6" w:rsidRDefault="00F631B1" w:rsidP="00F631B1">
      <w:pPr>
        <w:tabs>
          <w:tab w:val="left" w:pos="1491"/>
        </w:tabs>
        <w:rPr>
          <w:rFonts w:ascii="Cambria" w:hAnsi="Cambria"/>
          <w:szCs w:val="24"/>
          <w:lang w:val="en-SG"/>
        </w:rPr>
      </w:pPr>
      <w:r w:rsidRPr="009A0DA6">
        <w:rPr>
          <w:rFonts w:ascii="Cambria" w:hAnsi="Cambria"/>
          <w:szCs w:val="24"/>
          <w:lang w:val="en-SG"/>
        </w:rPr>
        <w:t>PSD acted on behalf of the church in negotiating with the Commonwealth government regarding the national redress scheme for survivors of child sexual abuse.</w:t>
      </w:r>
    </w:p>
    <w:p w14:paraId="0E626C7F" w14:textId="77777777" w:rsidR="00F631B1" w:rsidRPr="009A0DA6" w:rsidRDefault="00F631B1" w:rsidP="00F631B1">
      <w:pPr>
        <w:tabs>
          <w:tab w:val="left" w:pos="1491"/>
        </w:tabs>
        <w:rPr>
          <w:rFonts w:ascii="Cambria" w:hAnsi="Cambria"/>
          <w:szCs w:val="24"/>
          <w:lang w:val="en-SG"/>
        </w:rPr>
      </w:pPr>
      <w:r w:rsidRPr="009A0DA6">
        <w:rPr>
          <w:rFonts w:ascii="Cambria" w:hAnsi="Cambria"/>
          <w:szCs w:val="24"/>
          <w:lang w:val="en-SG"/>
        </w:rPr>
        <w:t>As has already been announced, the church has joined the redress scheme, which officially commenced on 1 July 2018.</w:t>
      </w:r>
    </w:p>
    <w:p w14:paraId="70E8EFAB" w14:textId="77777777" w:rsidR="00F631B1" w:rsidRPr="009A0DA6" w:rsidRDefault="00F631B1" w:rsidP="00F631B1">
      <w:pPr>
        <w:tabs>
          <w:tab w:val="left" w:pos="1491"/>
        </w:tabs>
        <w:rPr>
          <w:rFonts w:ascii="Cambria" w:hAnsi="Cambria"/>
          <w:szCs w:val="24"/>
          <w:lang w:val="en-SG"/>
        </w:rPr>
      </w:pPr>
      <w:r w:rsidRPr="009A0DA6">
        <w:rPr>
          <w:rFonts w:ascii="Cambria" w:hAnsi="Cambria"/>
          <w:szCs w:val="24"/>
          <w:lang w:val="en-SG"/>
        </w:rPr>
        <w:t xml:space="preserve">The church’s engagement with the scheme will be coordinated through the LCA’s Churchwide office. </w:t>
      </w:r>
    </w:p>
    <w:p w14:paraId="333F616B" w14:textId="77777777" w:rsidR="00F631B1" w:rsidRPr="009A0DA6" w:rsidRDefault="00F631B1" w:rsidP="00F631B1">
      <w:pPr>
        <w:tabs>
          <w:tab w:val="left" w:pos="1491"/>
        </w:tabs>
        <w:rPr>
          <w:rFonts w:ascii="Cambria" w:hAnsi="Cambria"/>
          <w:szCs w:val="24"/>
          <w:lang w:val="en-SG"/>
        </w:rPr>
      </w:pPr>
      <w:r w:rsidRPr="009A0DA6">
        <w:rPr>
          <w:rFonts w:ascii="Cambria" w:hAnsi="Cambria"/>
          <w:szCs w:val="24"/>
          <w:lang w:val="en-SG"/>
        </w:rPr>
        <w:t>Further information about the scheme and how it will work will be shared with congregations, districts and ministries in the coming months.</w:t>
      </w:r>
    </w:p>
    <w:p w14:paraId="218907BC" w14:textId="576F8D61" w:rsidR="00F631B1" w:rsidRPr="00CF1FE7" w:rsidRDefault="00CF1FE7" w:rsidP="00F631B1">
      <w:pPr>
        <w:pStyle w:val="Heading3"/>
        <w:rPr>
          <w:lang w:val="en-SG"/>
        </w:rPr>
      </w:pPr>
      <w:r>
        <w:rPr>
          <w:lang w:val="en-SG"/>
        </w:rPr>
        <w:br/>
      </w:r>
      <w:r w:rsidR="00F631B1" w:rsidRPr="009A0DA6">
        <w:rPr>
          <w:lang w:val="en-SG"/>
        </w:rPr>
        <w:t>Professional Standards Department staff</w:t>
      </w:r>
    </w:p>
    <w:p w14:paraId="20FA842D" w14:textId="77777777" w:rsidR="00F631B1" w:rsidRPr="009A0DA6" w:rsidRDefault="00F631B1" w:rsidP="00F631B1">
      <w:pPr>
        <w:tabs>
          <w:tab w:val="left" w:pos="1491"/>
        </w:tabs>
        <w:rPr>
          <w:rFonts w:ascii="Cambria" w:hAnsi="Cambria"/>
          <w:lang w:val="en-SG"/>
        </w:rPr>
      </w:pPr>
      <w:r w:rsidRPr="009A0DA6">
        <w:rPr>
          <w:rFonts w:ascii="Cambria" w:hAnsi="Cambria"/>
          <w:lang w:val="en-SG"/>
        </w:rPr>
        <w:t>PSD staff (at the time of this report) are as follows:</w:t>
      </w:r>
    </w:p>
    <w:p w14:paraId="45AD73C3" w14:textId="77777777" w:rsidR="00F631B1" w:rsidRPr="009A0DA6" w:rsidRDefault="00F631B1" w:rsidP="00F631B1">
      <w:pPr>
        <w:tabs>
          <w:tab w:val="left" w:pos="1491"/>
        </w:tabs>
        <w:spacing w:after="0" w:line="240" w:lineRule="auto"/>
        <w:rPr>
          <w:rFonts w:ascii="Cambria" w:hAnsi="Cambria"/>
          <w:lang w:val="en-SG"/>
        </w:rPr>
      </w:pPr>
      <w:r w:rsidRPr="009A0DA6">
        <w:rPr>
          <w:rFonts w:ascii="Cambria" w:hAnsi="Cambria"/>
          <w:lang w:val="en-SG"/>
        </w:rPr>
        <w:t>Dave Biar, Professional Standards Officer (PSO), South Australia/Northern Territory District</w:t>
      </w:r>
    </w:p>
    <w:p w14:paraId="2A3EC945" w14:textId="77777777" w:rsidR="00F631B1" w:rsidRPr="009A0DA6" w:rsidRDefault="00F631B1" w:rsidP="00F631B1">
      <w:pPr>
        <w:tabs>
          <w:tab w:val="left" w:pos="1491"/>
        </w:tabs>
        <w:spacing w:after="0" w:line="240" w:lineRule="auto"/>
        <w:rPr>
          <w:rFonts w:ascii="Cambria" w:hAnsi="Cambria"/>
          <w:lang w:val="en-SG"/>
        </w:rPr>
      </w:pPr>
      <w:r w:rsidRPr="009A0DA6">
        <w:rPr>
          <w:rFonts w:ascii="Cambria" w:hAnsi="Cambria"/>
          <w:lang w:val="en-SG"/>
        </w:rPr>
        <w:t>Celia Fielke, Online trainer</w:t>
      </w:r>
    </w:p>
    <w:p w14:paraId="45BC3635" w14:textId="77777777" w:rsidR="00F631B1" w:rsidRPr="009A0DA6" w:rsidRDefault="00F631B1" w:rsidP="00F631B1">
      <w:pPr>
        <w:tabs>
          <w:tab w:val="left" w:pos="1491"/>
        </w:tabs>
        <w:spacing w:after="0" w:line="240" w:lineRule="auto"/>
        <w:rPr>
          <w:rFonts w:ascii="Cambria" w:hAnsi="Cambria"/>
          <w:lang w:val="en-SG"/>
        </w:rPr>
      </w:pPr>
      <w:r w:rsidRPr="009A0DA6">
        <w:rPr>
          <w:rFonts w:ascii="Cambria" w:hAnsi="Cambria"/>
          <w:lang w:val="en-SG"/>
        </w:rPr>
        <w:t>Jill Hagen, PSO, Lutheran Church of New Zealand</w:t>
      </w:r>
    </w:p>
    <w:p w14:paraId="6078566F" w14:textId="77777777" w:rsidR="00F631B1" w:rsidRPr="009A0DA6" w:rsidRDefault="00F631B1" w:rsidP="00F631B1">
      <w:pPr>
        <w:tabs>
          <w:tab w:val="left" w:pos="1491"/>
        </w:tabs>
        <w:spacing w:after="0" w:line="240" w:lineRule="auto"/>
        <w:rPr>
          <w:rFonts w:ascii="Cambria" w:hAnsi="Cambria"/>
          <w:lang w:val="en-SG"/>
        </w:rPr>
      </w:pPr>
      <w:r w:rsidRPr="009A0DA6">
        <w:rPr>
          <w:rFonts w:ascii="Cambria" w:hAnsi="Cambria"/>
          <w:lang w:val="en-SG"/>
        </w:rPr>
        <w:t>Carolyn Kiss, PSO, New South Wales District</w:t>
      </w:r>
    </w:p>
    <w:p w14:paraId="0398CF99" w14:textId="77777777" w:rsidR="00F631B1" w:rsidRPr="009A0DA6" w:rsidRDefault="00F631B1" w:rsidP="00F631B1">
      <w:pPr>
        <w:tabs>
          <w:tab w:val="left" w:pos="1491"/>
        </w:tabs>
        <w:spacing w:after="0" w:line="240" w:lineRule="auto"/>
        <w:rPr>
          <w:rFonts w:ascii="Cambria" w:hAnsi="Cambria"/>
          <w:lang w:val="en-SG"/>
        </w:rPr>
      </w:pPr>
      <w:r w:rsidRPr="009A0DA6">
        <w:rPr>
          <w:rFonts w:ascii="Cambria" w:hAnsi="Cambria"/>
          <w:lang w:val="en-SG"/>
        </w:rPr>
        <w:t>Elizabeth Kloeden, PSO, Queensland District</w:t>
      </w:r>
    </w:p>
    <w:p w14:paraId="1860C9F2" w14:textId="77777777" w:rsidR="00F631B1" w:rsidRPr="009A0DA6" w:rsidRDefault="00F631B1" w:rsidP="00F631B1">
      <w:pPr>
        <w:tabs>
          <w:tab w:val="left" w:pos="1491"/>
        </w:tabs>
        <w:spacing w:after="0" w:line="240" w:lineRule="auto"/>
        <w:rPr>
          <w:rFonts w:ascii="Cambria" w:hAnsi="Cambria"/>
          <w:lang w:val="en-SG"/>
        </w:rPr>
      </w:pPr>
      <w:r w:rsidRPr="009A0DA6">
        <w:rPr>
          <w:rFonts w:ascii="Cambria" w:hAnsi="Cambria"/>
          <w:lang w:val="en-SG"/>
        </w:rPr>
        <w:t>Holly Koning, Administration Assistant</w:t>
      </w:r>
    </w:p>
    <w:p w14:paraId="54300694" w14:textId="77777777" w:rsidR="00F631B1" w:rsidRPr="009A0DA6" w:rsidRDefault="00F631B1" w:rsidP="00F631B1">
      <w:pPr>
        <w:tabs>
          <w:tab w:val="left" w:pos="1491"/>
        </w:tabs>
        <w:spacing w:after="0" w:line="240" w:lineRule="auto"/>
        <w:rPr>
          <w:rFonts w:ascii="Cambria" w:hAnsi="Cambria"/>
          <w:lang w:val="en-SG"/>
        </w:rPr>
      </w:pPr>
      <w:r w:rsidRPr="009A0DA6">
        <w:rPr>
          <w:rFonts w:ascii="Cambria" w:hAnsi="Cambria"/>
          <w:lang w:val="en-SG"/>
        </w:rPr>
        <w:t>Nigel Long, Trainer, South Australia/Northern Territory District</w:t>
      </w:r>
    </w:p>
    <w:p w14:paraId="51794869" w14:textId="77777777" w:rsidR="00F631B1" w:rsidRPr="009A0DA6" w:rsidRDefault="00F631B1" w:rsidP="00F631B1">
      <w:pPr>
        <w:tabs>
          <w:tab w:val="left" w:pos="1491"/>
        </w:tabs>
        <w:spacing w:after="0" w:line="240" w:lineRule="auto"/>
        <w:rPr>
          <w:rFonts w:ascii="Cambria" w:hAnsi="Cambria"/>
          <w:lang w:val="en-SG"/>
        </w:rPr>
      </w:pPr>
      <w:r w:rsidRPr="009A0DA6">
        <w:rPr>
          <w:rFonts w:ascii="Cambria" w:hAnsi="Cambria"/>
          <w:lang w:val="en-SG"/>
        </w:rPr>
        <w:lastRenderedPageBreak/>
        <w:t>Denise Muschamp, PSO, Victorian District (including Tasmania)</w:t>
      </w:r>
    </w:p>
    <w:p w14:paraId="34DBCC85" w14:textId="77777777" w:rsidR="00F631B1" w:rsidRPr="009A0DA6" w:rsidRDefault="00F631B1" w:rsidP="00F631B1">
      <w:pPr>
        <w:tabs>
          <w:tab w:val="left" w:pos="1491"/>
        </w:tabs>
        <w:spacing w:after="0" w:line="240" w:lineRule="auto"/>
        <w:rPr>
          <w:rFonts w:ascii="Cambria" w:hAnsi="Cambria"/>
          <w:lang w:val="en-SG"/>
        </w:rPr>
      </w:pPr>
      <w:r w:rsidRPr="009A0DA6">
        <w:rPr>
          <w:rFonts w:ascii="Cambria" w:hAnsi="Cambria"/>
          <w:lang w:val="en-SG"/>
        </w:rPr>
        <w:t>Tim Ross, Manager</w:t>
      </w:r>
    </w:p>
    <w:p w14:paraId="6F41E520" w14:textId="77777777" w:rsidR="00F631B1" w:rsidRPr="009A0DA6" w:rsidRDefault="00F631B1" w:rsidP="00F631B1">
      <w:pPr>
        <w:tabs>
          <w:tab w:val="left" w:pos="1491"/>
        </w:tabs>
        <w:spacing w:after="0" w:line="240" w:lineRule="auto"/>
        <w:rPr>
          <w:rFonts w:ascii="Cambria" w:hAnsi="Cambria"/>
          <w:lang w:val="en-SG"/>
        </w:rPr>
      </w:pPr>
      <w:r w:rsidRPr="009A0DA6">
        <w:rPr>
          <w:rFonts w:ascii="Cambria" w:hAnsi="Cambria"/>
          <w:lang w:val="en-SG"/>
        </w:rPr>
        <w:t>Monika Tropiano, PSO, Western Australia District</w:t>
      </w:r>
    </w:p>
    <w:p w14:paraId="4E000285" w14:textId="77777777" w:rsidR="00F631B1" w:rsidRPr="009A0DA6" w:rsidRDefault="00F631B1" w:rsidP="00F631B1">
      <w:pPr>
        <w:tabs>
          <w:tab w:val="left" w:pos="1491"/>
        </w:tabs>
        <w:spacing w:after="0" w:line="240" w:lineRule="auto"/>
        <w:rPr>
          <w:rFonts w:ascii="Cambria" w:hAnsi="Cambria"/>
          <w:lang w:val="en-SG"/>
        </w:rPr>
      </w:pPr>
      <w:r w:rsidRPr="009A0DA6">
        <w:rPr>
          <w:rFonts w:ascii="Cambria" w:hAnsi="Cambria"/>
          <w:lang w:val="en-SG"/>
        </w:rPr>
        <w:t>Kathy Tscharke, Administrant Assistant</w:t>
      </w:r>
    </w:p>
    <w:p w14:paraId="716D98EE" w14:textId="77777777" w:rsidR="00F631B1" w:rsidRPr="009A0DA6" w:rsidRDefault="00F631B1" w:rsidP="00F631B1">
      <w:pPr>
        <w:tabs>
          <w:tab w:val="left" w:pos="1491"/>
        </w:tabs>
        <w:spacing w:after="120" w:line="240" w:lineRule="auto"/>
        <w:rPr>
          <w:rFonts w:ascii="Cambria" w:hAnsi="Cambria"/>
          <w:lang w:val="en-SG"/>
        </w:rPr>
      </w:pPr>
      <w:r w:rsidRPr="009A0DA6">
        <w:rPr>
          <w:rFonts w:ascii="Cambria" w:hAnsi="Cambria"/>
          <w:lang w:val="en-SG"/>
        </w:rPr>
        <w:t>Marilyn Wall, Training Coordinator</w:t>
      </w:r>
    </w:p>
    <w:p w14:paraId="1490E2E4" w14:textId="77777777" w:rsidR="00F631B1" w:rsidRPr="009A0DA6" w:rsidRDefault="00F631B1" w:rsidP="00F631B1">
      <w:pPr>
        <w:tabs>
          <w:tab w:val="left" w:pos="1491"/>
        </w:tabs>
        <w:spacing w:after="120" w:line="240" w:lineRule="auto"/>
        <w:rPr>
          <w:rFonts w:ascii="Cambria" w:hAnsi="Cambria"/>
          <w:szCs w:val="24"/>
          <w:lang w:val="en-SG"/>
        </w:rPr>
      </w:pPr>
      <w:r w:rsidRPr="009A0DA6">
        <w:rPr>
          <w:rFonts w:ascii="Cambria" w:hAnsi="Cambria"/>
          <w:szCs w:val="24"/>
          <w:lang w:val="en-SG"/>
        </w:rPr>
        <w:t xml:space="preserve">As outlined earlier the PSD staff, and particularly the PSOs in each district, are there to support congregations and ministries. Please do not hesitate to contact them to seek information, clarification on issues, and to discuss matters of concern. </w:t>
      </w:r>
    </w:p>
    <w:p w14:paraId="3FA47891" w14:textId="1FBBFCED" w:rsidR="007A331A" w:rsidRDefault="007A331A" w:rsidP="00F631B1">
      <w:pPr>
        <w:pStyle w:val="NoSpacing"/>
      </w:pPr>
    </w:p>
    <w:p w14:paraId="09E2DBB4" w14:textId="26BE33C2" w:rsidR="0074205D" w:rsidRDefault="0074205D" w:rsidP="00F631B1">
      <w:pPr>
        <w:pStyle w:val="NoSpacing"/>
      </w:pPr>
    </w:p>
    <w:p w14:paraId="69D46647" w14:textId="7B4F40E6" w:rsidR="0074205D" w:rsidRDefault="0074205D" w:rsidP="00F631B1">
      <w:pPr>
        <w:pStyle w:val="NoSpacing"/>
      </w:pPr>
    </w:p>
    <w:p w14:paraId="2A79A8C6" w14:textId="77777777" w:rsidR="0074205D" w:rsidRDefault="0074205D" w:rsidP="00F631B1">
      <w:pPr>
        <w:pStyle w:val="NoSpacing"/>
      </w:pPr>
    </w:p>
    <w:p w14:paraId="7F730F3E" w14:textId="77777777" w:rsidR="007817B7" w:rsidRDefault="007817B7" w:rsidP="00F631B1">
      <w:pPr>
        <w:pStyle w:val="NoSpacing"/>
      </w:pPr>
    </w:p>
    <w:p w14:paraId="145CA082" w14:textId="77777777" w:rsidR="00565A2C" w:rsidRPr="009A0DA6" w:rsidRDefault="00565A2C" w:rsidP="00F631B1">
      <w:pPr>
        <w:pStyle w:val="NoSpacing"/>
      </w:pPr>
    </w:p>
    <w:p w14:paraId="2C9D03C4" w14:textId="77777777" w:rsidR="00F631B1" w:rsidRPr="009A0DA6" w:rsidRDefault="00F631B1" w:rsidP="00F631B1">
      <w:pPr>
        <w:pStyle w:val="Heading2"/>
      </w:pPr>
      <w:bookmarkStart w:id="23" w:name="_Toc521954589"/>
      <w:bookmarkStart w:id="24" w:name="_Toc522394955"/>
      <w:r w:rsidRPr="009A0DA6">
        <w:t>Appendix D: Communications Department</w:t>
      </w:r>
      <w:bookmarkEnd w:id="23"/>
      <w:bookmarkEnd w:id="24"/>
    </w:p>
    <w:p w14:paraId="1EA63D50" w14:textId="77777777" w:rsidR="00F631B1" w:rsidRPr="009A0DA6" w:rsidRDefault="00F631B1" w:rsidP="00F631B1">
      <w:pPr>
        <w:pStyle w:val="NoSpacing"/>
      </w:pPr>
    </w:p>
    <w:p w14:paraId="6A8AE7FF" w14:textId="77777777" w:rsidR="00F631B1" w:rsidRPr="009A0DA6" w:rsidRDefault="00F631B1" w:rsidP="00F631B1">
      <w:pPr>
        <w:pStyle w:val="Heading3"/>
      </w:pPr>
      <w:r w:rsidRPr="009A0DA6">
        <w:t>Background</w:t>
      </w:r>
    </w:p>
    <w:p w14:paraId="6DF31BD8" w14:textId="109CD609" w:rsidR="00F631B1" w:rsidRPr="009A0DA6" w:rsidRDefault="00F631B1" w:rsidP="0069692D">
      <w:pPr>
        <w:spacing w:after="120"/>
        <w:rPr>
          <w:rFonts w:ascii="Cambria" w:hAnsi="Cambria"/>
        </w:rPr>
      </w:pPr>
      <w:r w:rsidRPr="009A0DA6">
        <w:rPr>
          <w:rFonts w:ascii="Cambria" w:hAnsi="Cambria"/>
        </w:rPr>
        <w:t xml:space="preserve">The Communications Department was established in 2014. As well as providing support for districts and national agencies, LCA Communications serves the Office of the Bishop, the departments of the Executive Officer of the Church and Local Mission, commissions, and churchwide projects and campaigns. Increasingly it is also serving districts and congregations. The department also manages the direction and production of </w:t>
      </w:r>
      <w:r w:rsidRPr="009A0DA6">
        <w:rPr>
          <w:rFonts w:ascii="Cambria" w:hAnsi="Cambria"/>
          <w:i/>
        </w:rPr>
        <w:t>The Lutheran</w:t>
      </w:r>
      <w:r w:rsidRPr="009A0DA6">
        <w:rPr>
          <w:rFonts w:ascii="Cambria" w:hAnsi="Cambria"/>
        </w:rPr>
        <w:t xml:space="preserve"> and, from April 2016, also the development and churchwide implementation of t</w:t>
      </w:r>
      <w:r w:rsidR="00A22649">
        <w:rPr>
          <w:rFonts w:ascii="Cambria" w:hAnsi="Cambria"/>
        </w:rPr>
        <w:t>he Website Integration Project (</w:t>
      </w:r>
      <w:r w:rsidRPr="009A0DA6">
        <w:rPr>
          <w:rFonts w:ascii="Cambria" w:hAnsi="Cambria"/>
        </w:rPr>
        <w:t xml:space="preserve">due to conclude at the end of 2018). </w:t>
      </w:r>
    </w:p>
    <w:p w14:paraId="22801120" w14:textId="77777777" w:rsidR="00F631B1" w:rsidRPr="009A0DA6" w:rsidRDefault="00F631B1" w:rsidP="0069692D">
      <w:pPr>
        <w:spacing w:after="120"/>
        <w:rPr>
          <w:rFonts w:ascii="Cambria" w:hAnsi="Cambria"/>
        </w:rPr>
      </w:pPr>
      <w:r w:rsidRPr="009A0DA6">
        <w:rPr>
          <w:rFonts w:ascii="Cambria" w:hAnsi="Cambria"/>
        </w:rPr>
        <w:t>This report covers the work of the Communications Department from 2015–2018. The overall aim of the Communications Plan over this period has been to provide ‘Enabling’ support for Strategic Priorities 1 and 2 of the LCA Strategic Direction 2013–2018. This is spelt out in four key areas of the Strategic Direction, namely:</w:t>
      </w:r>
    </w:p>
    <w:p w14:paraId="261DC295" w14:textId="77777777" w:rsidR="00F631B1" w:rsidRPr="009A0DA6" w:rsidRDefault="00F631B1" w:rsidP="0069692D">
      <w:pPr>
        <w:pStyle w:val="Subtitle"/>
        <w:spacing w:after="120"/>
        <w:rPr>
          <w:sz w:val="22"/>
        </w:rPr>
      </w:pPr>
      <w:r w:rsidRPr="009A0DA6">
        <w:t>Communications and Engagement</w:t>
      </w:r>
    </w:p>
    <w:p w14:paraId="5EBE8C51" w14:textId="77777777" w:rsidR="00F631B1" w:rsidRPr="009A0DA6" w:rsidRDefault="00F631B1" w:rsidP="00DB1A87">
      <w:pPr>
        <w:spacing w:after="0" w:line="240" w:lineRule="auto"/>
        <w:rPr>
          <w:rFonts w:ascii="Cambria" w:hAnsi="Cambria"/>
        </w:rPr>
      </w:pPr>
      <w:r w:rsidRPr="009A0DA6">
        <w:rPr>
          <w:rFonts w:ascii="Cambria" w:hAnsi="Cambria"/>
        </w:rPr>
        <w:t>B1 – Increase enthusiasm for mission by sharing how love is coming to life through individuals, families and communities</w:t>
      </w:r>
    </w:p>
    <w:p w14:paraId="4F19F67C" w14:textId="77777777" w:rsidR="00F631B1" w:rsidRPr="009A0DA6" w:rsidRDefault="00F631B1" w:rsidP="00DB1A87">
      <w:pPr>
        <w:spacing w:after="0" w:line="240" w:lineRule="auto"/>
        <w:rPr>
          <w:rFonts w:ascii="Cambria" w:hAnsi="Cambria"/>
        </w:rPr>
      </w:pPr>
      <w:r w:rsidRPr="009A0DA6">
        <w:rPr>
          <w:rFonts w:ascii="Cambria" w:hAnsi="Cambria"/>
        </w:rPr>
        <w:t>B2 – Support LCA ministries to effectively communicate and engage individuals, families and communities to go and grow</w:t>
      </w:r>
    </w:p>
    <w:p w14:paraId="3211E4F0" w14:textId="77777777" w:rsidR="00F631B1" w:rsidRPr="009A0DA6" w:rsidRDefault="00F631B1" w:rsidP="00DB1A87">
      <w:pPr>
        <w:spacing w:after="0" w:line="240" w:lineRule="auto"/>
        <w:rPr>
          <w:rFonts w:ascii="Cambria" w:hAnsi="Cambria"/>
        </w:rPr>
      </w:pPr>
      <w:r w:rsidRPr="009A0DA6">
        <w:rPr>
          <w:rFonts w:ascii="Cambria" w:hAnsi="Cambria"/>
        </w:rPr>
        <w:t>B3 – Improve collaboration between the ministries of the LCA to establish an integration of communications around the theme ‘where loves comes to life’</w:t>
      </w:r>
    </w:p>
    <w:p w14:paraId="7388A89F" w14:textId="276263BB" w:rsidR="00F631B1" w:rsidRDefault="00F631B1" w:rsidP="00DB1A87">
      <w:pPr>
        <w:spacing w:after="0" w:line="240" w:lineRule="auto"/>
        <w:rPr>
          <w:rFonts w:ascii="Cambria" w:hAnsi="Cambria"/>
        </w:rPr>
      </w:pPr>
      <w:r w:rsidRPr="009A0DA6">
        <w:rPr>
          <w:rFonts w:ascii="Cambria" w:hAnsi="Cambria"/>
        </w:rPr>
        <w:t>B4 – Achieve internal LCA communication that is efficient, coordinated and relevant</w:t>
      </w:r>
    </w:p>
    <w:p w14:paraId="0498BA9B" w14:textId="77777777" w:rsidR="00CF1FE7" w:rsidRPr="009A0DA6" w:rsidRDefault="00CF1FE7" w:rsidP="00DB1A87">
      <w:pPr>
        <w:spacing w:after="0" w:line="240" w:lineRule="auto"/>
        <w:rPr>
          <w:rFonts w:ascii="Cambria" w:hAnsi="Cambria"/>
        </w:rPr>
      </w:pPr>
    </w:p>
    <w:p w14:paraId="5CB9C901" w14:textId="77777777" w:rsidR="00F631B1" w:rsidRPr="009A0DA6" w:rsidRDefault="00F631B1" w:rsidP="00F631B1">
      <w:pPr>
        <w:pStyle w:val="Heading3"/>
      </w:pPr>
      <w:r w:rsidRPr="009A0DA6">
        <w:t>Achievement against Plan</w:t>
      </w:r>
    </w:p>
    <w:p w14:paraId="5E612545" w14:textId="77777777" w:rsidR="00F631B1" w:rsidRPr="009A0DA6" w:rsidRDefault="00F631B1" w:rsidP="00F631B1">
      <w:pPr>
        <w:pStyle w:val="Subtitle"/>
      </w:pPr>
      <w:r w:rsidRPr="009A0DA6">
        <w:t>B1 – Increase enthusiasm for mission by sharing how love is coming to life through individuals, families and communities</w:t>
      </w:r>
    </w:p>
    <w:p w14:paraId="4FDFB636" w14:textId="77777777" w:rsidR="00F631B1" w:rsidRPr="009A0DA6" w:rsidRDefault="00F631B1" w:rsidP="00F631B1">
      <w:pPr>
        <w:rPr>
          <w:rFonts w:ascii="Cambria" w:hAnsi="Cambria"/>
        </w:rPr>
      </w:pPr>
      <w:r w:rsidRPr="009A0DA6">
        <w:rPr>
          <w:rFonts w:ascii="Cambria" w:hAnsi="Cambria"/>
        </w:rPr>
        <w:t xml:space="preserve">Our primary work in this area has been to be assist the mission departments to share their stories by: </w:t>
      </w:r>
    </w:p>
    <w:p w14:paraId="545E0FE8" w14:textId="77777777" w:rsidR="00F631B1" w:rsidRPr="009A0DA6" w:rsidRDefault="00F631B1" w:rsidP="00F55252">
      <w:pPr>
        <w:pStyle w:val="ListParagraph"/>
        <w:numPr>
          <w:ilvl w:val="0"/>
          <w:numId w:val="36"/>
        </w:numPr>
        <w:ind w:left="567" w:hanging="567"/>
        <w:rPr>
          <w:rFonts w:ascii="Cambria" w:hAnsi="Cambria"/>
        </w:rPr>
      </w:pPr>
      <w:r w:rsidRPr="009A0DA6">
        <w:rPr>
          <w:rFonts w:ascii="Cambria" w:hAnsi="Cambria"/>
        </w:rPr>
        <w:t xml:space="preserve">developing effective means of communications, including websites, eNews, ‘Story of the Week’ videos and bulletin inserts, social media and dedicated coverage in every edition of </w:t>
      </w:r>
      <w:r w:rsidRPr="009A0DA6">
        <w:rPr>
          <w:rFonts w:ascii="Cambria" w:hAnsi="Cambria"/>
          <w:i/>
        </w:rPr>
        <w:t>The Lutheran</w:t>
      </w:r>
      <w:r w:rsidRPr="009A0DA6">
        <w:rPr>
          <w:rFonts w:ascii="Cambria" w:hAnsi="Cambria"/>
        </w:rPr>
        <w:t xml:space="preserve">, and </w:t>
      </w:r>
    </w:p>
    <w:p w14:paraId="37950C67" w14:textId="178E1B88" w:rsidR="00F631B1" w:rsidRPr="009A0DA6" w:rsidRDefault="00F631B1" w:rsidP="00F55252">
      <w:pPr>
        <w:pStyle w:val="ListParagraph"/>
        <w:numPr>
          <w:ilvl w:val="0"/>
          <w:numId w:val="36"/>
        </w:numPr>
        <w:ind w:left="567" w:hanging="567"/>
        <w:rPr>
          <w:rFonts w:ascii="Cambria" w:hAnsi="Cambria"/>
        </w:rPr>
      </w:pPr>
      <w:r w:rsidRPr="009A0DA6">
        <w:rPr>
          <w:rFonts w:ascii="Cambria" w:hAnsi="Cambria"/>
        </w:rPr>
        <w:t>providing expertise in writing, editing and design. The centralisation of communi</w:t>
      </w:r>
      <w:r w:rsidR="00A22649">
        <w:rPr>
          <w:rFonts w:ascii="Cambria" w:hAnsi="Cambria"/>
        </w:rPr>
        <w:t>-</w:t>
      </w:r>
      <w:r w:rsidRPr="009A0DA6">
        <w:rPr>
          <w:rFonts w:ascii="Cambria" w:hAnsi="Cambria"/>
        </w:rPr>
        <w:t>cations services under one department has been a highly successful strategic initiative in the accomplishment of this goal.</w:t>
      </w:r>
    </w:p>
    <w:p w14:paraId="6C098C14" w14:textId="77777777" w:rsidR="00F631B1" w:rsidRPr="009A0DA6" w:rsidRDefault="00F631B1" w:rsidP="00F631B1">
      <w:pPr>
        <w:pStyle w:val="Subtitle"/>
        <w:rPr>
          <w:sz w:val="22"/>
        </w:rPr>
      </w:pPr>
      <w:r w:rsidRPr="009A0DA6">
        <w:lastRenderedPageBreak/>
        <w:t>B2 – Support LCA ministries to effectively communicate and engage individuals, families and communities to go and grow</w:t>
      </w:r>
    </w:p>
    <w:p w14:paraId="454FD21A" w14:textId="77777777" w:rsidR="00F631B1" w:rsidRPr="009A0DA6" w:rsidRDefault="00F631B1" w:rsidP="0069692D">
      <w:pPr>
        <w:spacing w:after="0" w:line="240" w:lineRule="auto"/>
        <w:rPr>
          <w:rFonts w:ascii="Cambria" w:hAnsi="Cambria"/>
        </w:rPr>
      </w:pPr>
      <w:r w:rsidRPr="009A0DA6">
        <w:rPr>
          <w:rFonts w:ascii="Cambria" w:hAnsi="Cambria"/>
        </w:rPr>
        <w:t>This has been the area of most obvious growth during the life of the Communications Plan. Our work in this area has covered a wide range of communications support services, including:</w:t>
      </w:r>
    </w:p>
    <w:p w14:paraId="223C0C95" w14:textId="77777777" w:rsidR="00F631B1" w:rsidRPr="009A0DA6" w:rsidRDefault="00F631B1" w:rsidP="0069692D">
      <w:pPr>
        <w:pStyle w:val="ListParagraph"/>
        <w:numPr>
          <w:ilvl w:val="0"/>
          <w:numId w:val="37"/>
        </w:numPr>
        <w:spacing w:after="0" w:line="240" w:lineRule="auto"/>
        <w:ind w:left="567" w:hanging="567"/>
        <w:contextualSpacing w:val="0"/>
        <w:rPr>
          <w:rFonts w:ascii="Cambria" w:hAnsi="Cambria"/>
        </w:rPr>
      </w:pPr>
      <w:r w:rsidRPr="009A0DA6">
        <w:rPr>
          <w:rFonts w:ascii="Cambria" w:hAnsi="Cambria"/>
        </w:rPr>
        <w:t>Graphic design, writing and editing support to assist in effective communication and also to develop baselines for quality and professionalism</w:t>
      </w:r>
    </w:p>
    <w:p w14:paraId="74BB8180" w14:textId="77777777" w:rsidR="00F631B1" w:rsidRPr="009A0DA6" w:rsidRDefault="00F631B1" w:rsidP="0069692D">
      <w:pPr>
        <w:pStyle w:val="ListParagraph"/>
        <w:numPr>
          <w:ilvl w:val="0"/>
          <w:numId w:val="37"/>
        </w:numPr>
        <w:spacing w:after="0" w:line="240" w:lineRule="auto"/>
        <w:ind w:left="567" w:hanging="567"/>
        <w:contextualSpacing w:val="0"/>
        <w:rPr>
          <w:rFonts w:ascii="Cambria" w:hAnsi="Cambria"/>
        </w:rPr>
      </w:pPr>
      <w:r w:rsidRPr="009A0DA6">
        <w:rPr>
          <w:rFonts w:ascii="Cambria" w:hAnsi="Cambria"/>
        </w:rPr>
        <w:t>Rollout of e-communications (eNews) for most national departments and districts</w:t>
      </w:r>
    </w:p>
    <w:p w14:paraId="5863EF61" w14:textId="77777777" w:rsidR="00F631B1" w:rsidRPr="009A0DA6" w:rsidRDefault="00F631B1" w:rsidP="0069692D">
      <w:pPr>
        <w:pStyle w:val="ListParagraph"/>
        <w:numPr>
          <w:ilvl w:val="0"/>
          <w:numId w:val="37"/>
        </w:numPr>
        <w:spacing w:after="0" w:line="240" w:lineRule="auto"/>
        <w:ind w:left="567" w:hanging="567"/>
        <w:contextualSpacing w:val="0"/>
        <w:rPr>
          <w:rFonts w:ascii="Cambria" w:hAnsi="Cambria"/>
        </w:rPr>
      </w:pPr>
      <w:r w:rsidRPr="009A0DA6">
        <w:rPr>
          <w:rFonts w:ascii="Cambria" w:hAnsi="Cambria"/>
        </w:rPr>
        <w:t>Development and maintenance of social media (LCA Facebook) platform</w:t>
      </w:r>
    </w:p>
    <w:p w14:paraId="0CE33B07" w14:textId="77777777" w:rsidR="00F631B1" w:rsidRPr="009A0DA6" w:rsidRDefault="00F631B1" w:rsidP="0069692D">
      <w:pPr>
        <w:pStyle w:val="ListParagraph"/>
        <w:numPr>
          <w:ilvl w:val="0"/>
          <w:numId w:val="37"/>
        </w:numPr>
        <w:spacing w:after="0" w:line="240" w:lineRule="auto"/>
        <w:ind w:left="567" w:hanging="567"/>
        <w:contextualSpacing w:val="0"/>
        <w:rPr>
          <w:rFonts w:ascii="Cambria" w:hAnsi="Cambria"/>
        </w:rPr>
      </w:pPr>
      <w:r w:rsidRPr="009A0DA6">
        <w:rPr>
          <w:rFonts w:ascii="Cambria" w:hAnsi="Cambria"/>
        </w:rPr>
        <w:t>With the generous support of the New South Wales District, development of an integrated website network across the whole church, including national departments and agencies, districts and congregations.</w:t>
      </w:r>
    </w:p>
    <w:p w14:paraId="17A8553D" w14:textId="77777777" w:rsidR="0069692D" w:rsidRPr="00B2736C" w:rsidRDefault="0069692D" w:rsidP="0069692D">
      <w:pPr>
        <w:spacing w:after="0" w:line="240" w:lineRule="auto"/>
        <w:rPr>
          <w:rFonts w:ascii="Cambria" w:hAnsi="Cambria"/>
          <w:sz w:val="14"/>
        </w:rPr>
      </w:pPr>
    </w:p>
    <w:p w14:paraId="045C2668" w14:textId="243B729A" w:rsidR="00F631B1" w:rsidRPr="009A0DA6" w:rsidRDefault="00F631B1" w:rsidP="0069692D">
      <w:pPr>
        <w:spacing w:after="0" w:line="240" w:lineRule="auto"/>
        <w:rPr>
          <w:rFonts w:ascii="Cambria" w:hAnsi="Cambria"/>
        </w:rPr>
      </w:pPr>
      <w:r w:rsidRPr="009A0DA6">
        <w:rPr>
          <w:rFonts w:ascii="Cambria" w:hAnsi="Cambria"/>
        </w:rPr>
        <w:t xml:space="preserve">Demand for support is now plateauing, however, and it may even fall off somewhat over the next synodical period. This is because much of the development work has been done and foundations laid. From 2019 national departments and agencies should become increasingly self-sufficient in managing their own communications, with Communications Department staff serving more in the roles of oversight, support, training and quality assurance. Attention is now likely to turn towards better supporting districts in their communications needs, and we are also seeing a steady rise in requests for support from congregations. </w:t>
      </w:r>
    </w:p>
    <w:p w14:paraId="4EDCBEAB" w14:textId="77777777" w:rsidR="00DB1A87" w:rsidRPr="00DB1A87" w:rsidRDefault="00DB1A87" w:rsidP="00F631B1">
      <w:pPr>
        <w:pStyle w:val="Subtitle"/>
        <w:rPr>
          <w:sz w:val="10"/>
        </w:rPr>
      </w:pPr>
    </w:p>
    <w:p w14:paraId="5E3A135C" w14:textId="147E5DAF" w:rsidR="00F631B1" w:rsidRPr="009A0DA6" w:rsidRDefault="00F631B1" w:rsidP="00F631B1">
      <w:pPr>
        <w:pStyle w:val="Subtitle"/>
        <w:rPr>
          <w:sz w:val="22"/>
        </w:rPr>
      </w:pPr>
      <w:r w:rsidRPr="009A0DA6">
        <w:t>B3 – Improve collaboration between the ministries of the LCA to establish an integration of communications around the theme ‘where loves comes to life’</w:t>
      </w:r>
    </w:p>
    <w:p w14:paraId="7505975F" w14:textId="77777777" w:rsidR="00F631B1" w:rsidRPr="009A0DA6" w:rsidRDefault="00F631B1" w:rsidP="00F631B1">
      <w:pPr>
        <w:rPr>
          <w:rFonts w:ascii="Cambria" w:hAnsi="Cambria"/>
        </w:rPr>
      </w:pPr>
      <w:r w:rsidRPr="009A0DA6">
        <w:rPr>
          <w:rFonts w:ascii="Cambria" w:hAnsi="Cambria"/>
        </w:rPr>
        <w:t>The adoption of the tagline ‘where love comes to life’ has been a key factor in developing a sense of oneness and common direction across the LCA/NZ. The tagline is now firmly embedded as part of our church culture and vernacular, and this is seen as a significant achievement in terms of drawing the church together under one shared ‘mission statement’. Our work in this area has involved:</w:t>
      </w:r>
    </w:p>
    <w:p w14:paraId="728D0760" w14:textId="77777777" w:rsidR="00F631B1" w:rsidRPr="009A0DA6" w:rsidRDefault="00F631B1" w:rsidP="00B2736C">
      <w:pPr>
        <w:pStyle w:val="ListParagraph"/>
        <w:numPr>
          <w:ilvl w:val="0"/>
          <w:numId w:val="38"/>
        </w:numPr>
        <w:spacing w:after="0" w:line="240" w:lineRule="auto"/>
        <w:ind w:left="567" w:hanging="567"/>
        <w:rPr>
          <w:rFonts w:ascii="Cambria" w:hAnsi="Cambria"/>
        </w:rPr>
      </w:pPr>
      <w:r w:rsidRPr="009A0DA6">
        <w:rPr>
          <w:rFonts w:ascii="Cambria" w:hAnsi="Cambria"/>
        </w:rPr>
        <w:t>Standardised branding and developing common/consistent messages across national departments and districts</w:t>
      </w:r>
    </w:p>
    <w:p w14:paraId="2760F56C" w14:textId="77777777" w:rsidR="00F631B1" w:rsidRPr="009A0DA6" w:rsidRDefault="00F631B1" w:rsidP="00B2736C">
      <w:pPr>
        <w:pStyle w:val="ListParagraph"/>
        <w:numPr>
          <w:ilvl w:val="0"/>
          <w:numId w:val="38"/>
        </w:numPr>
        <w:spacing w:after="0" w:line="240" w:lineRule="auto"/>
        <w:ind w:left="567" w:hanging="567"/>
        <w:rPr>
          <w:rFonts w:ascii="Cambria" w:hAnsi="Cambria"/>
        </w:rPr>
      </w:pPr>
      <w:r w:rsidRPr="009A0DA6">
        <w:rPr>
          <w:rFonts w:ascii="Cambria" w:hAnsi="Cambria"/>
        </w:rPr>
        <w:t>Coordinated designs for department, agency and project promotional materials, including banners, brochures, larger publications and online media</w:t>
      </w:r>
    </w:p>
    <w:p w14:paraId="4DB3FA57" w14:textId="7370B4A0" w:rsidR="00F631B1" w:rsidRPr="00B2736C" w:rsidRDefault="00F631B1" w:rsidP="00B2736C">
      <w:pPr>
        <w:pStyle w:val="ListParagraph"/>
        <w:numPr>
          <w:ilvl w:val="0"/>
          <w:numId w:val="38"/>
        </w:numPr>
        <w:spacing w:after="0" w:line="240" w:lineRule="auto"/>
        <w:ind w:left="567" w:hanging="567"/>
        <w:rPr>
          <w:rFonts w:ascii="Cambria" w:hAnsi="Cambria"/>
          <w:sz w:val="12"/>
        </w:rPr>
      </w:pPr>
      <w:r w:rsidRPr="009A0DA6">
        <w:rPr>
          <w:rFonts w:ascii="Cambria" w:hAnsi="Cambria"/>
        </w:rPr>
        <w:t>Development of branding, design and editing manuals.</w:t>
      </w:r>
      <w:r w:rsidR="00B2736C">
        <w:rPr>
          <w:rFonts w:ascii="Cambria" w:hAnsi="Cambria"/>
        </w:rPr>
        <w:br/>
      </w:r>
    </w:p>
    <w:p w14:paraId="0C97A7BC" w14:textId="77777777" w:rsidR="00F631B1" w:rsidRPr="009A0DA6" w:rsidRDefault="00F631B1" w:rsidP="00F631B1">
      <w:pPr>
        <w:rPr>
          <w:rFonts w:ascii="Cambria" w:hAnsi="Cambria"/>
        </w:rPr>
      </w:pPr>
      <w:r w:rsidRPr="009A0DA6">
        <w:rPr>
          <w:rFonts w:ascii="Cambria" w:hAnsi="Cambria"/>
        </w:rPr>
        <w:t>For national departments, our work is largely complete. Training for department staff is expected to be completed by the end of 2018, and from 2019 most departments should have the capacity to liaise directly with graphic designers, printers and other approved service providers for most standard communications services. This will relieve pressure on Communications staff in this area, and thus enable these resources to be directed towards assisting districts and congregations and also into emerging areas of focus for the department.</w:t>
      </w:r>
    </w:p>
    <w:p w14:paraId="310A9FC1" w14:textId="77777777" w:rsidR="00F631B1" w:rsidRPr="009A0DA6" w:rsidRDefault="00F631B1" w:rsidP="00F631B1">
      <w:pPr>
        <w:pStyle w:val="Subtitle"/>
        <w:rPr>
          <w:sz w:val="22"/>
        </w:rPr>
      </w:pPr>
      <w:r w:rsidRPr="009A0DA6">
        <w:t>B4 – Achieve internal LCA communication that is efficient, coordinated and relevant</w:t>
      </w:r>
    </w:p>
    <w:p w14:paraId="526DB18F" w14:textId="3F9D82E3" w:rsidR="007817B7" w:rsidRPr="0074205D" w:rsidRDefault="00F631B1" w:rsidP="0074205D">
      <w:pPr>
        <w:rPr>
          <w:rFonts w:ascii="Cambria" w:hAnsi="Cambria"/>
        </w:rPr>
      </w:pPr>
      <w:r w:rsidRPr="009A0DA6">
        <w:rPr>
          <w:rFonts w:ascii="Cambria" w:hAnsi="Cambria"/>
        </w:rPr>
        <w:t>This goal has been achieved, thanks to a large extent to the collaboration and cooperation of national department managers and staff. The work involved in achieving this outcome is described in sections B1, B2 and especially B3 above. The role of the department in this area will now move towards oversight, quality assurance and continuous improvement.</w:t>
      </w:r>
    </w:p>
    <w:p w14:paraId="244D81B9" w14:textId="278C74E8" w:rsidR="00F631B1" w:rsidRPr="009A0DA6" w:rsidRDefault="00F631B1" w:rsidP="00F631B1">
      <w:pPr>
        <w:pStyle w:val="Heading3"/>
      </w:pPr>
      <w:r w:rsidRPr="009A0DA6">
        <w:t>successes</w:t>
      </w:r>
    </w:p>
    <w:p w14:paraId="4C765A51" w14:textId="487538C0" w:rsidR="00F631B1" w:rsidRPr="009A0DA6" w:rsidRDefault="00F631B1" w:rsidP="0069692D">
      <w:pPr>
        <w:spacing w:after="0" w:line="240" w:lineRule="auto"/>
        <w:rPr>
          <w:rFonts w:ascii="Cambria" w:eastAsiaTheme="minorEastAsia" w:hAnsi="Cambria"/>
        </w:rPr>
      </w:pPr>
      <w:r w:rsidRPr="009A0DA6">
        <w:rPr>
          <w:rFonts w:ascii="Cambria" w:hAnsi="Cambria"/>
        </w:rPr>
        <w:t xml:space="preserve">Successes are outlined </w:t>
      </w:r>
      <w:r w:rsidR="007817B7">
        <w:rPr>
          <w:rFonts w:ascii="Cambria" w:hAnsi="Cambria"/>
        </w:rPr>
        <w:t>above,</w:t>
      </w:r>
      <w:r w:rsidRPr="009A0DA6">
        <w:rPr>
          <w:rFonts w:ascii="Cambria" w:hAnsi="Cambria"/>
        </w:rPr>
        <w:t xml:space="preserve"> under the respective Communication Plan goals.</w:t>
      </w:r>
      <w:r w:rsidR="009C3A51">
        <w:rPr>
          <w:rFonts w:ascii="Cambria" w:hAnsi="Cambria"/>
        </w:rPr>
        <w:br/>
      </w:r>
    </w:p>
    <w:p w14:paraId="7373B388" w14:textId="77777777" w:rsidR="00F631B1" w:rsidRPr="009A0DA6" w:rsidRDefault="00F631B1" w:rsidP="00F631B1">
      <w:pPr>
        <w:pStyle w:val="Heading3"/>
      </w:pPr>
      <w:r w:rsidRPr="009A0DA6">
        <w:lastRenderedPageBreak/>
        <w:t>Challenges and Lessons Learned</w:t>
      </w:r>
    </w:p>
    <w:p w14:paraId="38BB6E01" w14:textId="77777777" w:rsidR="00F631B1" w:rsidRPr="009A0DA6" w:rsidRDefault="00F631B1" w:rsidP="009C3A51">
      <w:pPr>
        <w:spacing w:after="0" w:line="240" w:lineRule="auto"/>
        <w:rPr>
          <w:rFonts w:ascii="Cambria" w:hAnsi="Cambria"/>
        </w:rPr>
      </w:pPr>
      <w:r w:rsidRPr="009A0DA6">
        <w:rPr>
          <w:rFonts w:ascii="Cambria" w:hAnsi="Cambria"/>
        </w:rPr>
        <w:t>Overall there has been a ‘critical mass’ of support for our work. National departments and agencies, bishops and other district leaders, congregation leaders and members, as well as many pastors have in the main embraced the communications advances we have made.</w:t>
      </w:r>
    </w:p>
    <w:p w14:paraId="0977F11C" w14:textId="1FED0C6E" w:rsidR="00F631B1" w:rsidRDefault="00F631B1" w:rsidP="009C3A51">
      <w:pPr>
        <w:spacing w:after="0" w:line="240" w:lineRule="auto"/>
        <w:rPr>
          <w:rFonts w:ascii="Cambria" w:hAnsi="Cambria"/>
        </w:rPr>
      </w:pPr>
      <w:r w:rsidRPr="009A0DA6">
        <w:rPr>
          <w:rFonts w:ascii="Cambria" w:hAnsi="Cambria"/>
        </w:rPr>
        <w:t>Roadblocks are primarily encountered at the local level, where some pastors and/or congregation leaders are not receptive to messages from the national office and thus many of our messages are not even opened, let alone passed on. This roadblock affects all areas of our work and also the work of many or most other national agencies and departments.</w:t>
      </w:r>
    </w:p>
    <w:p w14:paraId="7EC9E77B" w14:textId="77777777" w:rsidR="009C3A51" w:rsidRPr="009A0DA6" w:rsidRDefault="009C3A51" w:rsidP="009C3A51">
      <w:pPr>
        <w:spacing w:after="0" w:line="240" w:lineRule="auto"/>
        <w:rPr>
          <w:rFonts w:ascii="Cambria" w:hAnsi="Cambria"/>
        </w:rPr>
      </w:pPr>
    </w:p>
    <w:p w14:paraId="5969835B" w14:textId="22C263B4" w:rsidR="00F631B1" w:rsidRDefault="00F631B1" w:rsidP="009C3A51">
      <w:pPr>
        <w:spacing w:after="0" w:line="240" w:lineRule="auto"/>
        <w:rPr>
          <w:rFonts w:ascii="Cambria" w:hAnsi="Cambria"/>
        </w:rPr>
      </w:pPr>
      <w:r w:rsidRPr="009A0DA6">
        <w:rPr>
          <w:rFonts w:ascii="Cambria" w:hAnsi="Cambria"/>
        </w:rPr>
        <w:t xml:space="preserve">The result is that a large part of our LCA/NZ community never learn about the support or services available to them or are never given opportunity to be encouraged by our ‘where love comes to life’ stories. We often receive feedback from congregation members: ‘We never hear anything from the LCA’. The opposite response is heard just as frequently: ‘You are bombarding us with information; leave us alone.’ </w:t>
      </w:r>
    </w:p>
    <w:p w14:paraId="1677BA59" w14:textId="77777777" w:rsidR="009C3A51" w:rsidRPr="009A0DA6" w:rsidRDefault="009C3A51" w:rsidP="009C3A51">
      <w:pPr>
        <w:spacing w:after="0" w:line="240" w:lineRule="auto"/>
        <w:rPr>
          <w:rFonts w:ascii="Cambria" w:hAnsi="Cambria"/>
        </w:rPr>
      </w:pPr>
    </w:p>
    <w:p w14:paraId="3FE11F23" w14:textId="140C2015" w:rsidR="00F631B1" w:rsidRPr="009A0DA6" w:rsidRDefault="00F631B1" w:rsidP="009C3A51">
      <w:pPr>
        <w:spacing w:after="0" w:line="240" w:lineRule="auto"/>
        <w:rPr>
          <w:rFonts w:ascii="Cambria" w:hAnsi="Cambria"/>
        </w:rPr>
      </w:pPr>
      <w:r w:rsidRPr="009A0DA6">
        <w:rPr>
          <w:rFonts w:ascii="Cambria" w:hAnsi="Cambria"/>
        </w:rPr>
        <w:t>The solution is not to simply produce more messages or implement different methods of delivering the messages. In fact, that approach would likely be counter-productive. Instead, work needs to be d</w:t>
      </w:r>
      <w:r w:rsidR="00A22649">
        <w:rPr>
          <w:rFonts w:ascii="Cambria" w:hAnsi="Cambria"/>
        </w:rPr>
        <w:t>one in the area of relationship-</w:t>
      </w:r>
      <w:r w:rsidRPr="009A0DA6">
        <w:rPr>
          <w:rFonts w:ascii="Cambria" w:hAnsi="Cambria"/>
        </w:rPr>
        <w:t>building and developing trust. This cannot be achieved without concerted efforts to listen and to learn, preferably face to face. Therefore, now that much of our communications infrastructure has been built, we consider ‘engagement’ to be the next major area of work for the Communications Department, as a critical element in the overall need to effectively manage change across the LCA/NZ.</w:t>
      </w:r>
    </w:p>
    <w:p w14:paraId="3A745CD4" w14:textId="0A34A687" w:rsidR="00F631B1" w:rsidRDefault="00F631B1" w:rsidP="009C3A51">
      <w:pPr>
        <w:spacing w:after="0" w:line="240" w:lineRule="auto"/>
        <w:rPr>
          <w:rFonts w:ascii="Cambria" w:hAnsi="Cambria"/>
        </w:rPr>
      </w:pPr>
      <w:r w:rsidRPr="009A0DA6">
        <w:rPr>
          <w:rFonts w:ascii="Cambria" w:hAnsi="Cambria"/>
        </w:rPr>
        <w:t>The engagement focus could cover at least these two areas:</w:t>
      </w:r>
    </w:p>
    <w:p w14:paraId="20E53361" w14:textId="77777777" w:rsidR="009C3A51" w:rsidRPr="009A0DA6" w:rsidRDefault="009C3A51" w:rsidP="009C3A51">
      <w:pPr>
        <w:spacing w:after="0" w:line="240" w:lineRule="auto"/>
        <w:rPr>
          <w:rFonts w:ascii="Cambria" w:hAnsi="Cambria"/>
        </w:rPr>
      </w:pPr>
    </w:p>
    <w:p w14:paraId="1D1A0610" w14:textId="77777777" w:rsidR="00F631B1" w:rsidRPr="009A0DA6" w:rsidRDefault="00F631B1" w:rsidP="009C3A51">
      <w:pPr>
        <w:pStyle w:val="ListParagraph"/>
        <w:numPr>
          <w:ilvl w:val="0"/>
          <w:numId w:val="34"/>
        </w:numPr>
        <w:spacing w:after="0" w:line="240" w:lineRule="auto"/>
        <w:ind w:left="567" w:hanging="567"/>
        <w:rPr>
          <w:rFonts w:ascii="Cambria" w:hAnsi="Cambria"/>
        </w:rPr>
      </w:pPr>
      <w:r w:rsidRPr="009A0DA6">
        <w:rPr>
          <w:rFonts w:ascii="Cambria" w:hAnsi="Cambria"/>
        </w:rPr>
        <w:t>Face-to-face conversations with pastors and congregation leaders in order to actively listen to each other, to develop trusting and respectful relationships, to open up two-way communication; to discover how we can better support and encourage each other</w:t>
      </w:r>
    </w:p>
    <w:p w14:paraId="0A674D83" w14:textId="428FADD3" w:rsidR="00F631B1" w:rsidRPr="009A0DA6" w:rsidRDefault="00F631B1" w:rsidP="009C3A51">
      <w:pPr>
        <w:pStyle w:val="ListParagraph"/>
        <w:numPr>
          <w:ilvl w:val="0"/>
          <w:numId w:val="34"/>
        </w:numPr>
        <w:spacing w:after="0" w:line="240" w:lineRule="auto"/>
        <w:ind w:left="567" w:hanging="567"/>
        <w:rPr>
          <w:rFonts w:ascii="Cambria" w:hAnsi="Cambria"/>
        </w:rPr>
      </w:pPr>
      <w:r w:rsidRPr="009A0DA6">
        <w:rPr>
          <w:rFonts w:ascii="Cambria" w:hAnsi="Cambria"/>
        </w:rPr>
        <w:t>Develop new methods of engaging directly with people in the pews, utilising diverse and emerging media.</w:t>
      </w:r>
      <w:r w:rsidR="009C3A51">
        <w:rPr>
          <w:rFonts w:ascii="Cambria" w:hAnsi="Cambria"/>
        </w:rPr>
        <w:br/>
      </w:r>
    </w:p>
    <w:p w14:paraId="381548D2" w14:textId="77777777" w:rsidR="00F631B1" w:rsidRPr="009A0DA6" w:rsidRDefault="00F631B1" w:rsidP="00F631B1">
      <w:pPr>
        <w:pStyle w:val="Heading3"/>
        <w:rPr>
          <w:szCs w:val="28"/>
        </w:rPr>
      </w:pPr>
      <w:r w:rsidRPr="009A0DA6">
        <w:t>Risks</w:t>
      </w:r>
    </w:p>
    <w:p w14:paraId="23977CE7" w14:textId="7B171C66" w:rsidR="00F631B1" w:rsidRPr="009A0DA6" w:rsidRDefault="00F631B1" w:rsidP="00F631B1">
      <w:pPr>
        <w:rPr>
          <w:rFonts w:ascii="Cambria" w:hAnsi="Cambria"/>
        </w:rPr>
      </w:pPr>
      <w:r w:rsidRPr="009A0DA6">
        <w:rPr>
          <w:rFonts w:ascii="Cambria" w:hAnsi="Cambria"/>
        </w:rPr>
        <w:t xml:space="preserve">Risks are identified throughout </w:t>
      </w:r>
      <w:r w:rsidR="007817B7">
        <w:rPr>
          <w:rFonts w:ascii="Cambria" w:hAnsi="Cambria"/>
        </w:rPr>
        <w:t>the</w:t>
      </w:r>
      <w:r w:rsidRPr="009A0DA6">
        <w:rPr>
          <w:rFonts w:ascii="Cambria" w:hAnsi="Cambria"/>
        </w:rPr>
        <w:t xml:space="preserve"> report, but in summary:</w:t>
      </w:r>
    </w:p>
    <w:p w14:paraId="059F70E1" w14:textId="77777777" w:rsidR="00F631B1" w:rsidRPr="009A0DA6" w:rsidRDefault="00F631B1" w:rsidP="009C3A51">
      <w:pPr>
        <w:pStyle w:val="ListParagraph"/>
        <w:numPr>
          <w:ilvl w:val="0"/>
          <w:numId w:val="35"/>
        </w:numPr>
        <w:spacing w:after="0" w:line="240" w:lineRule="auto"/>
        <w:ind w:left="567" w:hanging="567"/>
        <w:rPr>
          <w:rFonts w:ascii="Cambria" w:hAnsi="Cambria"/>
        </w:rPr>
      </w:pPr>
      <w:r w:rsidRPr="009A0DA6">
        <w:rPr>
          <w:rFonts w:ascii="Cambria" w:hAnsi="Cambria"/>
        </w:rPr>
        <w:t>Difficulty getting our messages past gatekeepers. Mitigation: investigate the reasons; and explore how to regain trust, confidence and open two-way communication; implement face-to-face contact where possible and alternative ways of engaging using diverse media.</w:t>
      </w:r>
    </w:p>
    <w:p w14:paraId="50BA1BBD" w14:textId="77777777" w:rsidR="00F631B1" w:rsidRPr="009A0DA6" w:rsidRDefault="00F631B1" w:rsidP="009C3A51">
      <w:pPr>
        <w:pStyle w:val="ListParagraph"/>
        <w:numPr>
          <w:ilvl w:val="0"/>
          <w:numId w:val="35"/>
        </w:numPr>
        <w:spacing w:after="0" w:line="240" w:lineRule="auto"/>
        <w:ind w:left="567" w:hanging="567"/>
        <w:rPr>
          <w:rFonts w:ascii="Cambria" w:hAnsi="Cambria"/>
        </w:rPr>
      </w:pPr>
      <w:r w:rsidRPr="009A0DA6">
        <w:rPr>
          <w:rFonts w:ascii="Cambria" w:hAnsi="Cambria"/>
        </w:rPr>
        <w:t>Capacity to protect the church’s investment in websites and e-communications against cyber attacks, maintain compliance, and to continuously improve; and also to provide timely support for users. Mitigation: Apply available resources to this area (moving them from the development phase to security/improvement areas), and monitor capacity and effectiveness.</w:t>
      </w:r>
    </w:p>
    <w:p w14:paraId="0EC6FDC0" w14:textId="3BD20B6B" w:rsidR="00F631B1" w:rsidRPr="009A0DA6" w:rsidRDefault="00F631B1" w:rsidP="009C3A51">
      <w:pPr>
        <w:pStyle w:val="ListParagraph"/>
        <w:numPr>
          <w:ilvl w:val="0"/>
          <w:numId w:val="35"/>
        </w:numPr>
        <w:spacing w:after="0" w:line="240" w:lineRule="auto"/>
        <w:ind w:left="567" w:hanging="567"/>
        <w:rPr>
          <w:rFonts w:ascii="Cambria" w:hAnsi="Cambria"/>
        </w:rPr>
      </w:pPr>
      <w:r w:rsidRPr="009A0DA6">
        <w:rPr>
          <w:rFonts w:ascii="Cambria" w:hAnsi="Cambria"/>
        </w:rPr>
        <w:t xml:space="preserve">Financial capacity of the department. Mitigation: With the need to both maintain and improve existing communications channels and to also build new ones, a </w:t>
      </w:r>
      <w:r w:rsidR="00A22649">
        <w:rPr>
          <w:rFonts w:ascii="Cambria" w:hAnsi="Cambria"/>
        </w:rPr>
        <w:t>review of the expectations the C</w:t>
      </w:r>
      <w:r w:rsidRPr="009A0DA6">
        <w:rPr>
          <w:rFonts w:ascii="Cambria" w:hAnsi="Cambria"/>
        </w:rPr>
        <w:t xml:space="preserve">hurch has of the department, its capacity and funding model will need to be conducted. </w:t>
      </w:r>
    </w:p>
    <w:p w14:paraId="72C80F61" w14:textId="77777777" w:rsidR="007817B7" w:rsidRDefault="00F631B1" w:rsidP="009C3A51">
      <w:pPr>
        <w:pStyle w:val="ListParagraph"/>
        <w:numPr>
          <w:ilvl w:val="0"/>
          <w:numId w:val="35"/>
        </w:numPr>
        <w:spacing w:after="0" w:line="240" w:lineRule="auto"/>
        <w:ind w:left="567" w:hanging="567"/>
        <w:rPr>
          <w:rFonts w:ascii="Cambria" w:hAnsi="Cambria"/>
        </w:rPr>
      </w:pPr>
      <w:r w:rsidRPr="009A0DA6">
        <w:rPr>
          <w:rFonts w:ascii="Cambria" w:hAnsi="Cambria"/>
        </w:rPr>
        <w:t xml:space="preserve">Financial capacity of </w:t>
      </w:r>
      <w:r w:rsidRPr="009A0DA6">
        <w:rPr>
          <w:rFonts w:ascii="Cambria" w:hAnsi="Cambria"/>
          <w:i/>
        </w:rPr>
        <w:t>The Lutheran</w:t>
      </w:r>
      <w:r w:rsidRPr="009A0DA6">
        <w:rPr>
          <w:rFonts w:ascii="Cambria" w:hAnsi="Cambria"/>
        </w:rPr>
        <w:t xml:space="preserve">. Mitigation: (a) Trial pay-as-you-go plan; (b) develop a digital edition; (c) analyse alternative models, eg fewer editions per year; (d) </w:t>
      </w:r>
      <w:r w:rsidR="007A331A">
        <w:rPr>
          <w:rFonts w:ascii="Cambria" w:hAnsi="Cambria"/>
        </w:rPr>
        <w:t>imple-ment</w:t>
      </w:r>
      <w:r w:rsidRPr="009A0DA6">
        <w:rPr>
          <w:rFonts w:ascii="Cambria" w:hAnsi="Cambria"/>
        </w:rPr>
        <w:t xml:space="preserve"> as quickly as possible </w:t>
      </w:r>
      <w:r w:rsidR="007A331A">
        <w:rPr>
          <w:rFonts w:ascii="Cambria" w:hAnsi="Cambria"/>
        </w:rPr>
        <w:t>a</w:t>
      </w:r>
      <w:r w:rsidRPr="009A0DA6">
        <w:rPr>
          <w:rFonts w:ascii="Cambria" w:hAnsi="Cambria"/>
        </w:rPr>
        <w:t>lternative ways to communicate directly with members.</w:t>
      </w:r>
    </w:p>
    <w:p w14:paraId="2018A323" w14:textId="77777777" w:rsidR="007817B7" w:rsidRDefault="007817B7" w:rsidP="007817B7">
      <w:pPr>
        <w:spacing w:after="0" w:line="240" w:lineRule="auto"/>
        <w:rPr>
          <w:rFonts w:ascii="Cambria" w:hAnsi="Cambria"/>
        </w:rPr>
      </w:pPr>
    </w:p>
    <w:p w14:paraId="03016B4C" w14:textId="56309032" w:rsidR="00F631B1" w:rsidRPr="007817B7" w:rsidRDefault="00B2736C" w:rsidP="007817B7">
      <w:pPr>
        <w:spacing w:after="0" w:line="240" w:lineRule="auto"/>
        <w:rPr>
          <w:rFonts w:ascii="Cambria" w:hAnsi="Cambria"/>
        </w:rPr>
      </w:pPr>
      <w:r w:rsidRPr="007817B7">
        <w:rPr>
          <w:rFonts w:ascii="Cambria" w:hAnsi="Cambria"/>
        </w:rPr>
        <w:br/>
      </w:r>
    </w:p>
    <w:p w14:paraId="687DED17" w14:textId="77777777" w:rsidR="00F631B1" w:rsidRPr="009A0DA6" w:rsidRDefault="00F631B1" w:rsidP="00F631B1">
      <w:pPr>
        <w:pStyle w:val="Heading3"/>
      </w:pPr>
      <w:r w:rsidRPr="009A0DA6">
        <w:lastRenderedPageBreak/>
        <w:t>Financial Performance</w:t>
      </w:r>
    </w:p>
    <w:p w14:paraId="41FD8B30" w14:textId="77777777" w:rsidR="00F631B1" w:rsidRPr="009A0DA6" w:rsidRDefault="00F631B1" w:rsidP="00F631B1">
      <w:pPr>
        <w:rPr>
          <w:rFonts w:ascii="Cambria" w:hAnsi="Cambria"/>
        </w:rPr>
      </w:pPr>
      <w:r w:rsidRPr="009A0DA6">
        <w:rPr>
          <w:rFonts w:ascii="Cambria" w:hAnsi="Cambria"/>
        </w:rPr>
        <w:t>In common with other departments, the Communications Department experiences pressure to maintain and improve existing services, add more services, keep up with best practice, manage compliance and security issues, and respond to questions, problems and requests for service. There is an ongoing balancing act to work effectively and efficiently, while allowing margin to respond to issues and emergencies, particularly those of a technological nature.</w:t>
      </w:r>
    </w:p>
    <w:p w14:paraId="36D17646" w14:textId="77777777" w:rsidR="00F631B1" w:rsidRPr="009A0DA6" w:rsidRDefault="00F631B1" w:rsidP="00F631B1">
      <w:pPr>
        <w:rPr>
          <w:rFonts w:ascii="Cambria" w:hAnsi="Cambria"/>
        </w:rPr>
      </w:pPr>
      <w:r w:rsidRPr="009A0DA6">
        <w:rPr>
          <w:rFonts w:ascii="Cambria" w:hAnsi="Cambria"/>
        </w:rPr>
        <w:t>However, despite keeping operational overheads to the minimum, the Communications Department is likely to run on a deficit budget in 2018 and ongoing. The number of agencies using our services is also a major factor in assessing our capacity – as we expand from serving mainly national agencies to also districts, congregations and possibly aged- and community-care centres. A review of the expectations of the department, its capacity and its funding model will need to be conducted.</w:t>
      </w:r>
    </w:p>
    <w:p w14:paraId="1CB319FF" w14:textId="77777777" w:rsidR="00F631B1" w:rsidRPr="009A0DA6" w:rsidRDefault="00F631B1" w:rsidP="00F631B1">
      <w:pPr>
        <w:pStyle w:val="Heading3"/>
      </w:pPr>
      <w:r w:rsidRPr="009A0DA6">
        <w:t>Additional Information</w:t>
      </w:r>
    </w:p>
    <w:p w14:paraId="1DF918D1" w14:textId="77777777" w:rsidR="00F631B1" w:rsidRPr="009A0DA6" w:rsidRDefault="00F631B1" w:rsidP="00F631B1">
      <w:pPr>
        <w:pStyle w:val="Subtitle"/>
      </w:pPr>
      <w:r w:rsidRPr="009A0DA6">
        <w:t>Major Projects 2015–2018</w:t>
      </w:r>
    </w:p>
    <w:p w14:paraId="7839C0D8" w14:textId="77777777" w:rsidR="00F631B1" w:rsidRPr="009A0DA6" w:rsidRDefault="00F631B1" w:rsidP="00F631B1">
      <w:pPr>
        <w:pStyle w:val="Heading4"/>
        <w:ind w:left="864" w:hanging="864"/>
        <w:rPr>
          <w:rFonts w:ascii="Cambria" w:hAnsi="Cambria"/>
          <w:color w:val="auto"/>
        </w:rPr>
      </w:pPr>
      <w:r w:rsidRPr="009A0DA6">
        <w:rPr>
          <w:rFonts w:ascii="Cambria" w:hAnsi="Cambria"/>
          <w:color w:val="auto"/>
        </w:rPr>
        <w:t>Website Integration Project</w:t>
      </w:r>
    </w:p>
    <w:p w14:paraId="5AA82424" w14:textId="77241501" w:rsidR="00F631B1" w:rsidRPr="009A0DA6" w:rsidRDefault="00F631B1" w:rsidP="00F631B1">
      <w:pPr>
        <w:rPr>
          <w:rFonts w:ascii="Cambria" w:hAnsi="Cambria"/>
        </w:rPr>
      </w:pPr>
      <w:r w:rsidRPr="009A0DA6">
        <w:rPr>
          <w:rFonts w:ascii="Cambria" w:hAnsi="Cambria"/>
        </w:rPr>
        <w:t xml:space="preserve">From 2016 to 2018 the New South Wales District contributed a total of $352,000 towards the development of website integration for the entire LCA/NZ, including the LCA ‘mothership’, national departments and projects, districts and congregations. This amount includes the building of websites for all New South Wales congregations. All the projects are on track to conclude at the end of 2018, on time and on budget. On behalf of the entire LCA/NZ, we express our thanks to the New South Wales District for these generous gifts, the results of which will benefit the </w:t>
      </w:r>
      <w:r w:rsidR="00A22649">
        <w:rPr>
          <w:rFonts w:ascii="Cambria" w:hAnsi="Cambria"/>
        </w:rPr>
        <w:t>entire LCA/NZ</w:t>
      </w:r>
      <w:r w:rsidRPr="009A0DA6">
        <w:rPr>
          <w:rFonts w:ascii="Cambria" w:hAnsi="Cambria"/>
        </w:rPr>
        <w:t xml:space="preserve"> for decades to come.</w:t>
      </w:r>
    </w:p>
    <w:p w14:paraId="7F7F54B6" w14:textId="77777777" w:rsidR="00F631B1" w:rsidRPr="009A0DA6" w:rsidRDefault="00F631B1" w:rsidP="00F631B1">
      <w:pPr>
        <w:pStyle w:val="Heading4"/>
        <w:ind w:left="864" w:hanging="864"/>
        <w:rPr>
          <w:rFonts w:ascii="Cambria" w:hAnsi="Cambria"/>
          <w:color w:val="auto"/>
        </w:rPr>
      </w:pPr>
      <w:r w:rsidRPr="009A0DA6">
        <w:rPr>
          <w:rFonts w:ascii="Cambria" w:hAnsi="Cambria"/>
          <w:color w:val="auto"/>
        </w:rPr>
        <w:t>The Lutheran</w:t>
      </w:r>
    </w:p>
    <w:p w14:paraId="52E1CFF0" w14:textId="35B01495" w:rsidR="00F631B1" w:rsidRPr="009A0DA6" w:rsidRDefault="00F631B1" w:rsidP="00F631B1">
      <w:pPr>
        <w:rPr>
          <w:rFonts w:ascii="Cambria" w:hAnsi="Cambria"/>
          <w:color w:val="1F497D"/>
        </w:rPr>
      </w:pPr>
      <w:r w:rsidRPr="009A0DA6">
        <w:rPr>
          <w:rFonts w:ascii="Cambria" w:hAnsi="Cambria"/>
        </w:rPr>
        <w:t>In 2015 subscribers to</w:t>
      </w:r>
      <w:r w:rsidRPr="009A0DA6">
        <w:rPr>
          <w:rFonts w:ascii="Cambria" w:hAnsi="Cambria"/>
          <w:i/>
          <w:iCs/>
        </w:rPr>
        <w:t xml:space="preserve"> The Lutheran</w:t>
      </w:r>
      <w:r w:rsidRPr="009A0DA6">
        <w:rPr>
          <w:rFonts w:ascii="Cambria" w:hAnsi="Cambria"/>
        </w:rPr>
        <w:t xml:space="preserve"> numbered 6974. In 2018 that had fallen to 5914. The losses are attributable mainly to our ageing demographic: failing eyesight; pensioners sharing one edition to save costs; moving to aged-care facilities where one or two editions are shared between many; death. We also face the same issues print publications across the world face: competition from online media which is offered for free. There is a sense of holding back the tide now, for as long as we can. </w:t>
      </w:r>
      <w:r w:rsidRPr="009A0DA6">
        <w:rPr>
          <w:rFonts w:ascii="Cambria" w:hAnsi="Cambria"/>
          <w:i/>
        </w:rPr>
        <w:t>The Lutheran</w:t>
      </w:r>
      <w:r w:rsidRPr="009A0DA6">
        <w:rPr>
          <w:rFonts w:ascii="Cambria" w:hAnsi="Cambria"/>
        </w:rPr>
        <w:t xml:space="preserve"> has served the LCA/NZ faithfully and well for over 50 years as our primary communique. It is unlikely that it will be able to serve in that role for another decade; at least,</w:t>
      </w:r>
      <w:r w:rsidR="00A22649">
        <w:rPr>
          <w:rFonts w:ascii="Cambria" w:hAnsi="Cambria"/>
        </w:rPr>
        <w:t xml:space="preserve"> not without support from C</w:t>
      </w:r>
      <w:r w:rsidRPr="009A0DA6">
        <w:rPr>
          <w:rFonts w:ascii="Cambria" w:hAnsi="Cambria"/>
        </w:rPr>
        <w:t xml:space="preserve">hurch funds. There is therefore an urgent need to find ways of communicating directly with individual members via other media. </w:t>
      </w:r>
    </w:p>
    <w:p w14:paraId="3BF313E9" w14:textId="77777777" w:rsidR="00F631B1" w:rsidRPr="009A0DA6" w:rsidRDefault="00F631B1" w:rsidP="00F631B1">
      <w:pPr>
        <w:pStyle w:val="Heading4"/>
        <w:ind w:left="864" w:hanging="864"/>
        <w:rPr>
          <w:rFonts w:ascii="Cambria" w:hAnsi="Cambria"/>
          <w:color w:val="auto"/>
        </w:rPr>
      </w:pPr>
      <w:r w:rsidRPr="009A0DA6">
        <w:rPr>
          <w:rFonts w:ascii="Cambria" w:hAnsi="Cambria"/>
          <w:color w:val="auto"/>
        </w:rPr>
        <w:t>Issues (Media) Management</w:t>
      </w:r>
    </w:p>
    <w:p w14:paraId="774FB6CB" w14:textId="77777777" w:rsidR="00F631B1" w:rsidRPr="009A0DA6" w:rsidRDefault="00F631B1" w:rsidP="00F631B1">
      <w:pPr>
        <w:rPr>
          <w:rFonts w:ascii="Cambria" w:hAnsi="Cambria"/>
        </w:rPr>
      </w:pPr>
      <w:r w:rsidRPr="009A0DA6">
        <w:rPr>
          <w:rFonts w:ascii="Cambria" w:hAnsi="Cambria"/>
        </w:rPr>
        <w:t xml:space="preserve">At the request of the College of Bishops, the development of a churchwide Issues Management Plan (also known as Media Management) was commenced. A consultant was engaged to develop the framework, and stakeholder groups have provided feedback. It is anticipated that the plan will be finalised in 2018. In 2019 the plan will be rolled out across the LCA/NZ so that all leaders, including congregation leaders, will know how to respond to incidents which may attract the interest of the media or where the media is already involved. In addition, bishops and other key leaders will undertake face-to-face training in engaging with the media </w:t>
      </w:r>
    </w:p>
    <w:p w14:paraId="48249231" w14:textId="77777777" w:rsidR="00F631B1" w:rsidRPr="009A0DA6" w:rsidRDefault="00F631B1" w:rsidP="00F631B1">
      <w:pPr>
        <w:pStyle w:val="Heading4"/>
        <w:ind w:left="864" w:hanging="864"/>
        <w:rPr>
          <w:rFonts w:ascii="Cambria" w:hAnsi="Cambria"/>
          <w:color w:val="auto"/>
        </w:rPr>
      </w:pPr>
      <w:r w:rsidRPr="009A0DA6">
        <w:rPr>
          <w:rFonts w:ascii="Cambria" w:hAnsi="Cambria"/>
          <w:color w:val="auto"/>
        </w:rPr>
        <w:t>Social Media Policy</w:t>
      </w:r>
    </w:p>
    <w:p w14:paraId="59A56706" w14:textId="67B2C72F" w:rsidR="007817B7" w:rsidRPr="009A0DA6" w:rsidRDefault="00F631B1" w:rsidP="00F631B1">
      <w:pPr>
        <w:rPr>
          <w:rFonts w:ascii="Cambria" w:hAnsi="Cambria"/>
        </w:rPr>
      </w:pPr>
      <w:r w:rsidRPr="009A0DA6">
        <w:rPr>
          <w:rFonts w:ascii="Cambria" w:hAnsi="Cambria"/>
        </w:rPr>
        <w:t xml:space="preserve">The Communications Department drafted the LCA Social Media Policy and, after General Church Council approval, released the draft for consultation and feedback. In February 2018 GCC approved the policy for churchwide adoption. The Communications Department is now writing supporting documents, particularly those that can be used by agencies and congregations in adopting the LCA policy locally. Procedures and guidelines for using social </w:t>
      </w:r>
      <w:r w:rsidRPr="009A0DA6">
        <w:rPr>
          <w:rFonts w:ascii="Cambria" w:hAnsi="Cambria"/>
        </w:rPr>
        <w:lastRenderedPageBreak/>
        <w:t>media in the context of ministries involving children and young adults will be among the supporting documents.</w:t>
      </w:r>
    </w:p>
    <w:p w14:paraId="01EEA384" w14:textId="77777777" w:rsidR="00F631B1" w:rsidRPr="009A0DA6" w:rsidRDefault="00F631B1" w:rsidP="00F631B1">
      <w:pPr>
        <w:pStyle w:val="Heading4"/>
        <w:ind w:left="864" w:hanging="864"/>
        <w:rPr>
          <w:rFonts w:ascii="Cambria" w:hAnsi="Cambria"/>
          <w:color w:val="auto"/>
        </w:rPr>
      </w:pPr>
      <w:r w:rsidRPr="009A0DA6">
        <w:rPr>
          <w:rFonts w:ascii="Cambria" w:hAnsi="Cambria"/>
          <w:color w:val="auto"/>
        </w:rPr>
        <w:t>Longest Lutheran Lunch</w:t>
      </w:r>
    </w:p>
    <w:p w14:paraId="3B03A58B" w14:textId="278A6EAB" w:rsidR="00F631B1" w:rsidRPr="009A0DA6" w:rsidRDefault="00F631B1" w:rsidP="00F631B1">
      <w:pPr>
        <w:rPr>
          <w:rFonts w:ascii="Cambria" w:hAnsi="Cambria"/>
        </w:rPr>
      </w:pPr>
      <w:r w:rsidRPr="009A0DA6">
        <w:rPr>
          <w:rFonts w:ascii="Cambria" w:hAnsi="Cambria"/>
        </w:rPr>
        <w:t xml:space="preserve">LCA Communications has overseen the operations of Longest Lutheran Lunch through this reporting period, though it will come under the umbrella of Local Mission from </w:t>
      </w:r>
      <w:r w:rsidR="00A22649">
        <w:rPr>
          <w:rFonts w:ascii="Cambria" w:hAnsi="Cambria"/>
        </w:rPr>
        <w:t>2019</w:t>
      </w:r>
      <w:r w:rsidRPr="009A0DA6">
        <w:rPr>
          <w:rFonts w:ascii="Cambria" w:hAnsi="Cambria"/>
        </w:rPr>
        <w:t>. Known events numbered 108 in 2015, 152 in 2016 and 148 in 2017. This does not take into account that some congregations join up with others in their parish or with neighbouring congregations to host joint events. Overall the interest in holding an annual Longest Lutheran Lunch remains relatively high, which is encouraging. On the downside it appears that most congregations do not actively use the lunch as a way of connecting with their communities. This will remain a key focus of our endeavours, especially when the Longest Lutheran Lunch comes under the banner of Local Mission.</w:t>
      </w:r>
    </w:p>
    <w:p w14:paraId="15F28DE2" w14:textId="77777777" w:rsidR="00F631B1" w:rsidRPr="009A0DA6" w:rsidRDefault="00F631B1" w:rsidP="00F631B1">
      <w:pPr>
        <w:pStyle w:val="NoSpacing"/>
      </w:pPr>
    </w:p>
    <w:p w14:paraId="7EF5B97C" w14:textId="10A30E74" w:rsidR="00565A2C" w:rsidRDefault="00565A2C">
      <w:pPr>
        <w:rPr>
          <w:rFonts w:ascii="Cambria" w:eastAsiaTheme="majorEastAsia" w:hAnsi="Cambria" w:cstheme="majorBidi"/>
          <w:b/>
          <w:sz w:val="36"/>
          <w:szCs w:val="32"/>
        </w:rPr>
      </w:pPr>
    </w:p>
    <w:p w14:paraId="5A6E4132" w14:textId="77777777" w:rsidR="00B2736C" w:rsidRDefault="00B2736C">
      <w:pPr>
        <w:rPr>
          <w:rFonts w:ascii="Cambria" w:eastAsiaTheme="majorEastAsia" w:hAnsi="Cambria" w:cstheme="majorBidi"/>
          <w:b/>
          <w:sz w:val="36"/>
          <w:szCs w:val="32"/>
        </w:rPr>
      </w:pPr>
    </w:p>
    <w:p w14:paraId="1539CD0E" w14:textId="408665A1" w:rsidR="00F631B1" w:rsidRPr="009A0DA6" w:rsidRDefault="00F631B1" w:rsidP="00F631B1">
      <w:pPr>
        <w:pStyle w:val="Heading2"/>
      </w:pPr>
      <w:bookmarkStart w:id="25" w:name="_Toc521954590"/>
      <w:bookmarkStart w:id="26" w:name="_Toc522394956"/>
      <w:r w:rsidRPr="009A0DA6">
        <w:t>Appendix E: Church Worker Support Department</w:t>
      </w:r>
      <w:bookmarkEnd w:id="25"/>
      <w:bookmarkEnd w:id="26"/>
    </w:p>
    <w:p w14:paraId="657C3D2B" w14:textId="77777777" w:rsidR="00F631B1" w:rsidRPr="009A0DA6" w:rsidRDefault="00F631B1" w:rsidP="00F631B1">
      <w:pPr>
        <w:pStyle w:val="NoSpacing"/>
      </w:pPr>
    </w:p>
    <w:p w14:paraId="6A438577" w14:textId="77777777" w:rsidR="00F631B1" w:rsidRPr="009A0DA6" w:rsidRDefault="00F631B1" w:rsidP="00F631B1">
      <w:pPr>
        <w:pStyle w:val="Heading3"/>
      </w:pPr>
      <w:r w:rsidRPr="009A0DA6">
        <w:t>List of members</w:t>
      </w:r>
    </w:p>
    <w:p w14:paraId="3B64272F" w14:textId="77777777" w:rsidR="00F631B1" w:rsidRPr="009A0DA6" w:rsidRDefault="00F631B1" w:rsidP="00F631B1">
      <w:pPr>
        <w:spacing w:after="0" w:line="240" w:lineRule="auto"/>
        <w:rPr>
          <w:rFonts w:ascii="Cambria" w:hAnsi="Cambria"/>
        </w:rPr>
      </w:pPr>
      <w:r w:rsidRPr="009A0DA6">
        <w:rPr>
          <w:rFonts w:ascii="Cambria" w:hAnsi="Cambria"/>
        </w:rPr>
        <w:t>Board for Lay Ministry 2015 – October 2016:  Mr Kym Wallent (Chair), Rev Steven Liersch, Rev Kevin Spilsbury, Mrs Kelly Johnson and Mrs Nicky Lennon</w:t>
      </w:r>
    </w:p>
    <w:p w14:paraId="0C4000B5" w14:textId="40FD6BDA" w:rsidR="00F631B1" w:rsidRDefault="00F631B1" w:rsidP="00F631B1">
      <w:pPr>
        <w:spacing w:after="0" w:line="240" w:lineRule="auto"/>
        <w:rPr>
          <w:rFonts w:ascii="Cambria" w:hAnsi="Cambria"/>
        </w:rPr>
      </w:pPr>
      <w:r w:rsidRPr="009A0DA6">
        <w:rPr>
          <w:rFonts w:ascii="Cambria" w:hAnsi="Cambria"/>
        </w:rPr>
        <w:t>Church Worker Support Advisory Committee 2017:  Mr Peter Schirmer (Chair), Rev Luke Spilsbury, Mrs Nicky Lennon, Rev Tim Stringer and Ms Kerryn Simpfendorfer</w:t>
      </w:r>
    </w:p>
    <w:p w14:paraId="551F5FEA" w14:textId="27C131C3" w:rsidR="004E1A9E" w:rsidRPr="009A0DA6" w:rsidRDefault="004E1A9E" w:rsidP="00F631B1">
      <w:pPr>
        <w:spacing w:after="0" w:line="240" w:lineRule="auto"/>
        <w:rPr>
          <w:rFonts w:ascii="Cambria" w:hAnsi="Cambria"/>
        </w:rPr>
      </w:pPr>
      <w:r w:rsidRPr="00262C3C">
        <w:rPr>
          <w:rFonts w:ascii="Cambria" w:hAnsi="Cambria"/>
        </w:rPr>
        <w:t xml:space="preserve">Consultant: </w:t>
      </w:r>
      <w:r w:rsidR="00262C3C" w:rsidRPr="00262C3C">
        <w:rPr>
          <w:rFonts w:ascii="Cambria" w:hAnsi="Cambria"/>
        </w:rPr>
        <w:t xml:space="preserve">Dr </w:t>
      </w:r>
      <w:r w:rsidRPr="00262C3C">
        <w:rPr>
          <w:rFonts w:ascii="Cambria" w:hAnsi="Cambria"/>
        </w:rPr>
        <w:t>Chris Materne</w:t>
      </w:r>
    </w:p>
    <w:p w14:paraId="0E67CFF0" w14:textId="77777777" w:rsidR="00F631B1" w:rsidRPr="00565A2C" w:rsidRDefault="00F631B1" w:rsidP="00F631B1">
      <w:pPr>
        <w:pStyle w:val="NoSpacing"/>
        <w:rPr>
          <w:sz w:val="14"/>
        </w:rPr>
      </w:pPr>
    </w:p>
    <w:p w14:paraId="3FA0D5CC" w14:textId="77777777" w:rsidR="00F631B1" w:rsidRPr="009A0DA6" w:rsidRDefault="00F631B1" w:rsidP="00F631B1">
      <w:pPr>
        <w:pStyle w:val="Heading3"/>
      </w:pPr>
      <w:r w:rsidRPr="009A0DA6">
        <w:t>Background</w:t>
      </w:r>
    </w:p>
    <w:p w14:paraId="1836C203" w14:textId="77777777" w:rsidR="00F631B1" w:rsidRPr="009A0DA6" w:rsidRDefault="00F631B1" w:rsidP="00F631B1">
      <w:pPr>
        <w:rPr>
          <w:rFonts w:ascii="Cambria" w:hAnsi="Cambria"/>
        </w:rPr>
      </w:pPr>
      <w:r w:rsidRPr="009A0DA6">
        <w:rPr>
          <w:rFonts w:ascii="Cambria" w:hAnsi="Cambria"/>
        </w:rPr>
        <w:t>The Church Worker Support Department (CWSD) was formed to extend the work of the Lay Ministry team (previously reporting to the Board for Lay Ministry). This team now sits within the Ministry Support Function overseen by the Executive Officer of the Church. Chris Materne commenced as Manager, CWS in February 2016 and it was originally intended for this position to stand alone until later in 2017, with the Lay Ministry Department continuing in its previous form. However, in May 2016 the Director of Lay Ministry, Nevin Nitschke, took up a position with in International Mission. Chris Materne assumed line management of the Lay Ministry team at that time and the formal transition to the Church Worker Support Department was initiated. The Board for Lay Ministry met twice in 2016 and was formally decommissioned on 28 October by Pastor Andrew Pfeiffer, Assistant Bishop.</w:t>
      </w:r>
    </w:p>
    <w:p w14:paraId="07BDAAD6" w14:textId="77777777" w:rsidR="00F631B1" w:rsidRPr="009A0DA6" w:rsidRDefault="00F631B1" w:rsidP="00F631B1">
      <w:pPr>
        <w:rPr>
          <w:rFonts w:ascii="Cambria" w:hAnsi="Cambria"/>
        </w:rPr>
      </w:pPr>
      <w:r w:rsidRPr="009A0DA6">
        <w:rPr>
          <w:rFonts w:ascii="Cambria" w:hAnsi="Cambria"/>
        </w:rPr>
        <w:t>A Church Worker Support Advisory Committee was established in 2017 and while this committee has not met, they have provided input when requested by the Executive Officer of the church.</w:t>
      </w:r>
    </w:p>
    <w:p w14:paraId="124F7AA2" w14:textId="77777777" w:rsidR="00F631B1" w:rsidRPr="009A0DA6" w:rsidRDefault="00F631B1" w:rsidP="00565A2C">
      <w:pPr>
        <w:spacing w:after="0"/>
        <w:rPr>
          <w:rFonts w:ascii="Cambria" w:hAnsi="Cambria"/>
        </w:rPr>
      </w:pPr>
      <w:r w:rsidRPr="009A0DA6">
        <w:rPr>
          <w:rFonts w:ascii="Cambria" w:hAnsi="Cambria"/>
        </w:rPr>
        <w:t>A comprehensive review of lay ministry was conducted in 2016 and key points identified in the survey include:</w:t>
      </w:r>
    </w:p>
    <w:p w14:paraId="7B067ED0" w14:textId="703301C2" w:rsidR="007A331A" w:rsidRPr="007A331A" w:rsidRDefault="00F631B1" w:rsidP="007A331A">
      <w:pPr>
        <w:pStyle w:val="ListParagraph"/>
        <w:numPr>
          <w:ilvl w:val="0"/>
          <w:numId w:val="39"/>
        </w:numPr>
        <w:spacing w:after="0" w:line="276" w:lineRule="auto"/>
        <w:ind w:left="567" w:hanging="567"/>
        <w:rPr>
          <w:rFonts w:ascii="Cambria" w:hAnsi="Cambria"/>
        </w:rPr>
      </w:pPr>
      <w:r w:rsidRPr="009A0DA6">
        <w:rPr>
          <w:rFonts w:ascii="Cambria" w:hAnsi="Cambria"/>
        </w:rPr>
        <w:t xml:space="preserve">The average lay worker is likely to be female, aged 48 years. She is likely to have been in her current role for between two to four years in a part-time capacity (0.5 – 0.6 FTE). </w:t>
      </w:r>
      <w:r w:rsidR="007A331A">
        <w:rPr>
          <w:rFonts w:ascii="Cambria" w:hAnsi="Cambria"/>
        </w:rPr>
        <w:br/>
      </w:r>
    </w:p>
    <w:p w14:paraId="09AC9237" w14:textId="5BB5D965" w:rsidR="00F631B1" w:rsidRDefault="00F631B1" w:rsidP="00F55252">
      <w:pPr>
        <w:pStyle w:val="ListParagraph"/>
        <w:numPr>
          <w:ilvl w:val="0"/>
          <w:numId w:val="39"/>
        </w:numPr>
        <w:spacing w:after="200" w:line="276" w:lineRule="auto"/>
        <w:ind w:left="567" w:hanging="567"/>
        <w:rPr>
          <w:rFonts w:ascii="Cambria" w:hAnsi="Cambria"/>
        </w:rPr>
      </w:pPr>
      <w:r w:rsidRPr="009A0DA6">
        <w:rPr>
          <w:rFonts w:ascii="Cambria" w:hAnsi="Cambria"/>
        </w:rPr>
        <w:t>The challenges faced by lay workers do not appear to differ depending on district, employment status (ie paid or volunteer) or age group. The top three challenges are:</w:t>
      </w:r>
    </w:p>
    <w:p w14:paraId="6A61E05D" w14:textId="77777777" w:rsidR="00CF1773" w:rsidRPr="009A0DA6" w:rsidRDefault="00CF1773" w:rsidP="00CF1773">
      <w:pPr>
        <w:pStyle w:val="ListParagraph"/>
        <w:spacing w:after="200" w:line="276" w:lineRule="auto"/>
        <w:ind w:left="567"/>
        <w:rPr>
          <w:rFonts w:ascii="Cambria" w:hAnsi="Cambria"/>
        </w:rPr>
      </w:pPr>
    </w:p>
    <w:p w14:paraId="3C71FDA1" w14:textId="77777777" w:rsidR="00F631B1" w:rsidRPr="009A0DA6" w:rsidRDefault="00F631B1" w:rsidP="00F55252">
      <w:pPr>
        <w:pStyle w:val="ListParagraph"/>
        <w:numPr>
          <w:ilvl w:val="1"/>
          <w:numId w:val="45"/>
        </w:numPr>
        <w:ind w:left="1134" w:hanging="567"/>
        <w:rPr>
          <w:rFonts w:ascii="Cambria" w:hAnsi="Cambria"/>
        </w:rPr>
      </w:pPr>
      <w:r w:rsidRPr="009A0DA6">
        <w:rPr>
          <w:rFonts w:ascii="Cambria" w:hAnsi="Cambria"/>
        </w:rPr>
        <w:lastRenderedPageBreak/>
        <w:t>difficulty finding and keeping volunteers to help in ministry</w:t>
      </w:r>
    </w:p>
    <w:p w14:paraId="7C1BE56C" w14:textId="77777777" w:rsidR="00F631B1" w:rsidRPr="009A0DA6" w:rsidRDefault="00F631B1" w:rsidP="00F55252">
      <w:pPr>
        <w:pStyle w:val="ListParagraph"/>
        <w:numPr>
          <w:ilvl w:val="1"/>
          <w:numId w:val="45"/>
        </w:numPr>
        <w:ind w:left="1134" w:hanging="567"/>
        <w:rPr>
          <w:rFonts w:ascii="Cambria" w:hAnsi="Cambria"/>
        </w:rPr>
      </w:pPr>
      <w:r w:rsidRPr="009A0DA6">
        <w:rPr>
          <w:rFonts w:ascii="Cambria" w:hAnsi="Cambria"/>
        </w:rPr>
        <w:t>lack of ownership of the ministry by the church/organisation</w:t>
      </w:r>
    </w:p>
    <w:p w14:paraId="553D5B91" w14:textId="77777777" w:rsidR="00F631B1" w:rsidRPr="009A0DA6" w:rsidRDefault="00F631B1" w:rsidP="00F55252">
      <w:pPr>
        <w:pStyle w:val="ListParagraph"/>
        <w:numPr>
          <w:ilvl w:val="1"/>
          <w:numId w:val="45"/>
        </w:numPr>
        <w:ind w:left="1134" w:hanging="567"/>
        <w:rPr>
          <w:rFonts w:ascii="Cambria" w:hAnsi="Cambria"/>
        </w:rPr>
      </w:pPr>
      <w:r w:rsidRPr="009A0DA6">
        <w:rPr>
          <w:rFonts w:ascii="Cambria" w:hAnsi="Cambria"/>
        </w:rPr>
        <w:t>lack of understanding across church/organisation of the unique nature of lay ministry.</w:t>
      </w:r>
    </w:p>
    <w:p w14:paraId="2DEEA2EB" w14:textId="77777777" w:rsidR="00F631B1" w:rsidRPr="009A0DA6" w:rsidRDefault="00F631B1" w:rsidP="00F55252">
      <w:pPr>
        <w:pStyle w:val="ListParagraph"/>
        <w:numPr>
          <w:ilvl w:val="0"/>
          <w:numId w:val="39"/>
        </w:numPr>
        <w:spacing w:after="200" w:line="276" w:lineRule="auto"/>
        <w:ind w:left="567" w:hanging="567"/>
        <w:rPr>
          <w:rFonts w:ascii="Cambria" w:hAnsi="Cambria"/>
        </w:rPr>
      </w:pPr>
      <w:r w:rsidRPr="009A0DA6">
        <w:rPr>
          <w:rFonts w:ascii="Cambria" w:hAnsi="Cambria"/>
        </w:rPr>
        <w:t xml:space="preserve">In 2010 lay workers suggested that the main reason for lay worker turnover was related to job factors such as stressful work environment and unrealistic expectations on both sides. In 2016 the main reason suggested for turnover was due to part-time work or too little pay. </w:t>
      </w:r>
    </w:p>
    <w:p w14:paraId="36ECD1A9" w14:textId="77777777" w:rsidR="00F631B1" w:rsidRPr="009A0DA6" w:rsidRDefault="00F631B1" w:rsidP="00F631B1">
      <w:pPr>
        <w:rPr>
          <w:rFonts w:ascii="Cambria" w:hAnsi="Cambria"/>
        </w:rPr>
      </w:pPr>
      <w:r w:rsidRPr="009A0DA6">
        <w:rPr>
          <w:rFonts w:ascii="Cambria" w:hAnsi="Cambria"/>
        </w:rPr>
        <w:t xml:space="preserve">A review of lay worker remuneration has begun and is being progressed. </w:t>
      </w:r>
    </w:p>
    <w:p w14:paraId="36341464" w14:textId="77777777" w:rsidR="00F631B1" w:rsidRPr="009A0DA6" w:rsidRDefault="00F631B1" w:rsidP="00F631B1">
      <w:pPr>
        <w:rPr>
          <w:rFonts w:ascii="Cambria" w:hAnsi="Cambria"/>
        </w:rPr>
      </w:pPr>
      <w:r w:rsidRPr="009A0DA6">
        <w:rPr>
          <w:rFonts w:ascii="Cambria" w:hAnsi="Cambria"/>
        </w:rPr>
        <w:t xml:space="preserve">In 2017 Church Worker Support Department provided $10,000 to the ALC to support the position of Coordinator of the Continuing Education of Pastors Program (Pastor Gordon Wegener) and is providing administrative support. </w:t>
      </w:r>
    </w:p>
    <w:p w14:paraId="06FF0B8F" w14:textId="77777777" w:rsidR="00F631B1" w:rsidRPr="009A0DA6" w:rsidRDefault="00F631B1" w:rsidP="00F631B1">
      <w:pPr>
        <w:rPr>
          <w:rFonts w:ascii="Cambria" w:hAnsi="Cambria"/>
        </w:rPr>
      </w:pPr>
      <w:r w:rsidRPr="009A0DA6">
        <w:rPr>
          <w:rFonts w:ascii="Cambria" w:hAnsi="Cambria"/>
        </w:rPr>
        <w:t xml:space="preserve">As at the end of 2017 there were 197 lay workers on the Roll of Lay Workers. The majority of lay workers are part-time employees or volunteers, with 59 employed full-time. The graphs below provide other summary data. </w:t>
      </w:r>
    </w:p>
    <w:p w14:paraId="016B2E84" w14:textId="77777777" w:rsidR="00F631B1" w:rsidRPr="009A0DA6" w:rsidRDefault="00F631B1" w:rsidP="00F631B1">
      <w:pPr>
        <w:rPr>
          <w:rFonts w:ascii="Cambria" w:hAnsi="Cambria"/>
        </w:rPr>
      </w:pPr>
      <w:r w:rsidRPr="009A0DA6">
        <w:rPr>
          <w:rFonts w:ascii="Cambria" w:hAnsi="Cambria"/>
        </w:rPr>
        <w:t>The implementation of the LCA HRS has progressed more slowly than originally anticipated due to a range of factors, including operational and resource constraints, and variable churchwide acceptance (or resistance) to the system and process. As a March 2018 there were 1536 individuals registered into the LCA HRS. The process for managing the administration of Pastor calls through the LCA HRS is being tested. Once that is functioning, attention can be turned to the opening of the remaining modules including the recording of training and development activities and performance reviews.</w:t>
      </w:r>
    </w:p>
    <w:p w14:paraId="07E42EF6" w14:textId="77777777" w:rsidR="00F631B1" w:rsidRPr="009A0DA6" w:rsidRDefault="00F631B1" w:rsidP="00F631B1">
      <w:pPr>
        <w:rPr>
          <w:rFonts w:ascii="Cambria" w:hAnsi="Cambria"/>
        </w:rPr>
      </w:pPr>
      <w:r w:rsidRPr="009A0DA6">
        <w:rPr>
          <w:rFonts w:ascii="Cambria" w:hAnsi="Cambria"/>
        </w:rPr>
        <w:t>The following graphs summarise Church Worker Service across the LCA – to the extent that records permit.</w:t>
      </w:r>
    </w:p>
    <w:p w14:paraId="57EA3EE7" w14:textId="77777777" w:rsidR="00F631B1" w:rsidRPr="009A0DA6" w:rsidRDefault="00F631B1" w:rsidP="00F631B1">
      <w:pPr>
        <w:pStyle w:val="Heading3"/>
      </w:pPr>
      <w:r w:rsidRPr="009A0DA6">
        <w:t>Summary Demographic information</w:t>
      </w:r>
    </w:p>
    <w:p w14:paraId="00E2BCE6" w14:textId="77777777" w:rsidR="00B5685C" w:rsidRPr="00B5685C" w:rsidRDefault="00B5685C" w:rsidP="00B5685C">
      <w:pPr>
        <w:rPr>
          <w:rFonts w:ascii="Cambria" w:hAnsi="Cambria"/>
          <w:b/>
        </w:rPr>
      </w:pPr>
      <w:r w:rsidRPr="00B5685C">
        <w:rPr>
          <w:rFonts w:ascii="Cambria" w:hAnsi="Cambria"/>
          <w:b/>
        </w:rPr>
        <w:t>Pastors in 2017</w:t>
      </w:r>
    </w:p>
    <w:tbl>
      <w:tblPr>
        <w:tblStyle w:val="PlainTable2"/>
        <w:tblW w:w="4253" w:type="dxa"/>
        <w:tblLook w:val="04A0" w:firstRow="1" w:lastRow="0" w:firstColumn="1" w:lastColumn="0" w:noHBand="0" w:noVBand="1"/>
      </w:tblPr>
      <w:tblGrid>
        <w:gridCol w:w="3261"/>
        <w:gridCol w:w="992"/>
      </w:tblGrid>
      <w:tr w:rsidR="00B5685C" w:rsidRPr="00B5685C" w14:paraId="0A15CF3E" w14:textId="77777777" w:rsidTr="00B5685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noWrap/>
            <w:hideMark/>
          </w:tcPr>
          <w:p w14:paraId="15757CCE" w14:textId="77777777" w:rsidR="00B5685C" w:rsidRPr="00B5685C" w:rsidRDefault="00B5685C" w:rsidP="00CB1007">
            <w:pPr>
              <w:rPr>
                <w:rFonts w:ascii="Cambria" w:eastAsia="Times New Roman" w:hAnsi="Cambria" w:cs="Calibri"/>
                <w:color w:val="000000"/>
              </w:rPr>
            </w:pPr>
            <w:r w:rsidRPr="00B5685C">
              <w:rPr>
                <w:rFonts w:ascii="Cambria" w:eastAsia="Times New Roman" w:hAnsi="Cambria" w:cs="Calibri"/>
                <w:color w:val="000000"/>
              </w:rPr>
              <w:t>Active Pastors</w:t>
            </w:r>
          </w:p>
        </w:tc>
        <w:tc>
          <w:tcPr>
            <w:tcW w:w="992" w:type="dxa"/>
            <w:noWrap/>
            <w:hideMark/>
          </w:tcPr>
          <w:p w14:paraId="5741959F" w14:textId="77777777" w:rsidR="00B5685C" w:rsidRPr="00B5685C" w:rsidRDefault="00B5685C" w:rsidP="00CB1007">
            <w:pPr>
              <w:jc w:val="right"/>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b w:val="0"/>
                <w:color w:val="000000"/>
              </w:rPr>
            </w:pPr>
            <w:r w:rsidRPr="00B5685C">
              <w:rPr>
                <w:rFonts w:ascii="Cambria" w:eastAsia="Times New Roman" w:hAnsi="Cambria" w:cs="Calibri"/>
                <w:b w:val="0"/>
                <w:color w:val="000000"/>
              </w:rPr>
              <w:t>269</w:t>
            </w:r>
          </w:p>
        </w:tc>
      </w:tr>
      <w:tr w:rsidR="00B5685C" w:rsidRPr="00B5685C" w14:paraId="37D60964" w14:textId="77777777" w:rsidTr="00B568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noWrap/>
            <w:hideMark/>
          </w:tcPr>
          <w:p w14:paraId="01BC2A7C" w14:textId="358D2D1C" w:rsidR="00B5685C" w:rsidRPr="00B5685C" w:rsidRDefault="00B5685C" w:rsidP="00CB1007">
            <w:pPr>
              <w:rPr>
                <w:rFonts w:ascii="Cambria" w:eastAsia="Times New Roman" w:hAnsi="Cambria" w:cs="Calibri"/>
                <w:color w:val="000000"/>
              </w:rPr>
            </w:pPr>
            <w:r w:rsidRPr="00B5685C">
              <w:rPr>
                <w:rFonts w:ascii="Cambria" w:eastAsia="Times New Roman" w:hAnsi="Cambria" w:cs="Calibri"/>
                <w:color w:val="000000"/>
              </w:rPr>
              <w:t>Specific Min</w:t>
            </w:r>
            <w:r>
              <w:rPr>
                <w:rFonts w:ascii="Cambria" w:eastAsia="Times New Roman" w:hAnsi="Cambria" w:cs="Calibri"/>
                <w:color w:val="000000"/>
              </w:rPr>
              <w:t>i</w:t>
            </w:r>
            <w:r w:rsidRPr="00B5685C">
              <w:rPr>
                <w:rFonts w:ascii="Cambria" w:eastAsia="Times New Roman" w:hAnsi="Cambria" w:cs="Calibri"/>
                <w:color w:val="000000"/>
              </w:rPr>
              <w:t>stry Pastors</w:t>
            </w:r>
          </w:p>
        </w:tc>
        <w:tc>
          <w:tcPr>
            <w:tcW w:w="992" w:type="dxa"/>
            <w:noWrap/>
            <w:hideMark/>
          </w:tcPr>
          <w:p w14:paraId="2AB689ED" w14:textId="77777777" w:rsidR="00B5685C" w:rsidRPr="00B5685C" w:rsidRDefault="00B5685C" w:rsidP="00CB1007">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rPr>
            </w:pPr>
            <w:r w:rsidRPr="00B5685C">
              <w:rPr>
                <w:rFonts w:ascii="Cambria" w:eastAsia="Times New Roman" w:hAnsi="Cambria" w:cs="Calibri"/>
                <w:color w:val="000000"/>
              </w:rPr>
              <w:t>25</w:t>
            </w:r>
          </w:p>
        </w:tc>
      </w:tr>
      <w:tr w:rsidR="00B5685C" w:rsidRPr="00B5685C" w14:paraId="1E419195" w14:textId="77777777" w:rsidTr="00B5685C">
        <w:trPr>
          <w:trHeight w:val="300"/>
        </w:trPr>
        <w:tc>
          <w:tcPr>
            <w:cnfStyle w:val="001000000000" w:firstRow="0" w:lastRow="0" w:firstColumn="1" w:lastColumn="0" w:oddVBand="0" w:evenVBand="0" w:oddHBand="0" w:evenHBand="0" w:firstRowFirstColumn="0" w:firstRowLastColumn="0" w:lastRowFirstColumn="0" w:lastRowLastColumn="0"/>
            <w:tcW w:w="3261" w:type="dxa"/>
            <w:noWrap/>
            <w:hideMark/>
          </w:tcPr>
          <w:p w14:paraId="293305F7" w14:textId="77777777" w:rsidR="00B5685C" w:rsidRPr="00B5685C" w:rsidRDefault="00B5685C" w:rsidP="00CB1007">
            <w:pPr>
              <w:rPr>
                <w:rFonts w:ascii="Cambria" w:eastAsia="Times New Roman" w:hAnsi="Cambria" w:cs="Calibri"/>
                <w:color w:val="000000"/>
              </w:rPr>
            </w:pPr>
            <w:r w:rsidRPr="00B5685C">
              <w:rPr>
                <w:rFonts w:ascii="Cambria" w:eastAsia="Times New Roman" w:hAnsi="Cambria" w:cs="Calibri"/>
                <w:color w:val="000000"/>
              </w:rPr>
              <w:t>On Leave of Absence</w:t>
            </w:r>
          </w:p>
        </w:tc>
        <w:tc>
          <w:tcPr>
            <w:tcW w:w="992" w:type="dxa"/>
            <w:noWrap/>
            <w:hideMark/>
          </w:tcPr>
          <w:p w14:paraId="257896E5" w14:textId="77777777" w:rsidR="00B5685C" w:rsidRPr="00B5685C" w:rsidRDefault="00B5685C" w:rsidP="00CB1007">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rPr>
            </w:pPr>
            <w:r w:rsidRPr="00B5685C">
              <w:rPr>
                <w:rFonts w:ascii="Cambria" w:eastAsia="Times New Roman" w:hAnsi="Cambria" w:cs="Calibri"/>
                <w:color w:val="000000"/>
              </w:rPr>
              <w:t>15</w:t>
            </w:r>
          </w:p>
        </w:tc>
      </w:tr>
      <w:tr w:rsidR="00B5685C" w:rsidRPr="00B5685C" w14:paraId="62CDB94A" w14:textId="77777777" w:rsidTr="00B568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noWrap/>
            <w:hideMark/>
          </w:tcPr>
          <w:p w14:paraId="547AB20E" w14:textId="77777777" w:rsidR="00B5685C" w:rsidRPr="00B5685C" w:rsidRDefault="00B5685C" w:rsidP="00CB1007">
            <w:pPr>
              <w:rPr>
                <w:rFonts w:ascii="Cambria" w:eastAsia="Times New Roman" w:hAnsi="Cambria" w:cs="Calibri"/>
                <w:color w:val="000000"/>
              </w:rPr>
            </w:pPr>
            <w:r w:rsidRPr="00B5685C">
              <w:rPr>
                <w:rFonts w:ascii="Cambria" w:eastAsia="Times New Roman" w:hAnsi="Cambria" w:cs="Calibri"/>
                <w:color w:val="000000"/>
              </w:rPr>
              <w:t>Aboriginal Pastors</w:t>
            </w:r>
          </w:p>
        </w:tc>
        <w:tc>
          <w:tcPr>
            <w:tcW w:w="992" w:type="dxa"/>
            <w:noWrap/>
            <w:hideMark/>
          </w:tcPr>
          <w:p w14:paraId="020DB462" w14:textId="77777777" w:rsidR="00B5685C" w:rsidRPr="00B5685C" w:rsidRDefault="00B5685C" w:rsidP="00CB1007">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rPr>
            </w:pPr>
            <w:r w:rsidRPr="00B5685C">
              <w:rPr>
                <w:rFonts w:ascii="Cambria" w:eastAsia="Times New Roman" w:hAnsi="Cambria" w:cs="Calibri"/>
                <w:color w:val="000000"/>
              </w:rPr>
              <w:t>19</w:t>
            </w:r>
          </w:p>
        </w:tc>
      </w:tr>
      <w:tr w:rsidR="00B5685C" w:rsidRPr="00B5685C" w14:paraId="31CE91FB" w14:textId="77777777" w:rsidTr="00B5685C">
        <w:trPr>
          <w:trHeight w:val="300"/>
        </w:trPr>
        <w:tc>
          <w:tcPr>
            <w:cnfStyle w:val="001000000000" w:firstRow="0" w:lastRow="0" w:firstColumn="1" w:lastColumn="0" w:oddVBand="0" w:evenVBand="0" w:oddHBand="0" w:evenHBand="0" w:firstRowFirstColumn="0" w:firstRowLastColumn="0" w:lastRowFirstColumn="0" w:lastRowLastColumn="0"/>
            <w:tcW w:w="3261" w:type="dxa"/>
            <w:noWrap/>
            <w:hideMark/>
          </w:tcPr>
          <w:p w14:paraId="094A33BD" w14:textId="77777777" w:rsidR="00B5685C" w:rsidRPr="00B5685C" w:rsidRDefault="00B5685C" w:rsidP="00CB1007">
            <w:pPr>
              <w:rPr>
                <w:rFonts w:ascii="Cambria" w:eastAsia="Times New Roman" w:hAnsi="Cambria" w:cs="Calibri"/>
                <w:color w:val="000000"/>
              </w:rPr>
            </w:pPr>
            <w:r w:rsidRPr="00B5685C">
              <w:rPr>
                <w:rFonts w:ascii="Cambria" w:eastAsia="Times New Roman" w:hAnsi="Cambria" w:cs="Calibri"/>
                <w:color w:val="000000"/>
              </w:rPr>
              <w:t>Visiting/Non LCA Pastors</w:t>
            </w:r>
          </w:p>
        </w:tc>
        <w:tc>
          <w:tcPr>
            <w:tcW w:w="992" w:type="dxa"/>
            <w:noWrap/>
            <w:hideMark/>
          </w:tcPr>
          <w:p w14:paraId="7EAF9AB2" w14:textId="77777777" w:rsidR="00B5685C" w:rsidRPr="00B5685C" w:rsidRDefault="00B5685C" w:rsidP="00CB1007">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rPr>
            </w:pPr>
            <w:r w:rsidRPr="00B5685C">
              <w:rPr>
                <w:rFonts w:ascii="Cambria" w:eastAsia="Times New Roman" w:hAnsi="Cambria" w:cs="Calibri"/>
                <w:color w:val="000000"/>
              </w:rPr>
              <w:t>7</w:t>
            </w:r>
          </w:p>
        </w:tc>
      </w:tr>
    </w:tbl>
    <w:p w14:paraId="5CA19270" w14:textId="77777777" w:rsidR="00B2736C" w:rsidRDefault="00B2736C" w:rsidP="00B5685C">
      <w:pPr>
        <w:rPr>
          <w:rFonts w:ascii="Cambria" w:hAnsi="Cambria"/>
          <w:b/>
          <w:sz w:val="16"/>
        </w:rPr>
      </w:pPr>
    </w:p>
    <w:p w14:paraId="42AEE9DB" w14:textId="52C7F8D3" w:rsidR="00B5685C" w:rsidRPr="00B5685C" w:rsidRDefault="00B5685C" w:rsidP="00B5685C">
      <w:pPr>
        <w:rPr>
          <w:rFonts w:ascii="Cambria" w:hAnsi="Cambria"/>
          <w:b/>
        </w:rPr>
      </w:pPr>
      <w:r w:rsidRPr="00B5685C">
        <w:rPr>
          <w:rFonts w:ascii="Cambria" w:hAnsi="Cambria"/>
          <w:b/>
          <w:sz w:val="16"/>
        </w:rPr>
        <w:br/>
      </w:r>
      <w:r w:rsidRPr="00B5685C">
        <w:rPr>
          <w:rFonts w:ascii="Cambria" w:hAnsi="Cambria"/>
          <w:b/>
        </w:rPr>
        <w:t>Lay Workers</w:t>
      </w:r>
    </w:p>
    <w:tbl>
      <w:tblPr>
        <w:tblStyle w:val="PlainTable2"/>
        <w:tblW w:w="4298" w:type="dxa"/>
        <w:tblLook w:val="04A0" w:firstRow="1" w:lastRow="0" w:firstColumn="1" w:lastColumn="0" w:noHBand="0" w:noVBand="1"/>
      </w:tblPr>
      <w:tblGrid>
        <w:gridCol w:w="1418"/>
        <w:gridCol w:w="960"/>
        <w:gridCol w:w="960"/>
        <w:gridCol w:w="960"/>
      </w:tblGrid>
      <w:tr w:rsidR="00B5685C" w:rsidRPr="00B5685C" w14:paraId="3C764926" w14:textId="77777777" w:rsidTr="00B5685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B4E4CF3" w14:textId="77777777" w:rsidR="00B5685C" w:rsidRPr="00B5685C" w:rsidRDefault="00B5685C" w:rsidP="00CB1007">
            <w:pPr>
              <w:rPr>
                <w:rFonts w:ascii="Cambria" w:eastAsia="Times New Roman" w:hAnsi="Cambria" w:cs="Times New Roman"/>
              </w:rPr>
            </w:pPr>
          </w:p>
        </w:tc>
        <w:tc>
          <w:tcPr>
            <w:tcW w:w="960" w:type="dxa"/>
            <w:noWrap/>
            <w:hideMark/>
          </w:tcPr>
          <w:p w14:paraId="15EAF0AE" w14:textId="77777777" w:rsidR="00B5685C" w:rsidRPr="00B5685C" w:rsidRDefault="00B5685C" w:rsidP="00CB1007">
            <w:pPr>
              <w:jc w:val="right"/>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rPr>
            </w:pPr>
            <w:r w:rsidRPr="00B5685C">
              <w:rPr>
                <w:rFonts w:ascii="Cambria" w:eastAsia="Times New Roman" w:hAnsi="Cambria" w:cs="Calibri"/>
                <w:color w:val="000000"/>
              </w:rPr>
              <w:t>2017</w:t>
            </w:r>
          </w:p>
        </w:tc>
        <w:tc>
          <w:tcPr>
            <w:tcW w:w="960" w:type="dxa"/>
            <w:noWrap/>
            <w:hideMark/>
          </w:tcPr>
          <w:p w14:paraId="711FF3FD" w14:textId="77777777" w:rsidR="00B5685C" w:rsidRPr="00B5685C" w:rsidRDefault="00B5685C" w:rsidP="00CB1007">
            <w:pPr>
              <w:jc w:val="right"/>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rPr>
            </w:pPr>
            <w:r w:rsidRPr="00B5685C">
              <w:rPr>
                <w:rFonts w:ascii="Cambria" w:eastAsia="Times New Roman" w:hAnsi="Cambria" w:cs="Calibri"/>
                <w:color w:val="000000"/>
              </w:rPr>
              <w:t>2016</w:t>
            </w:r>
          </w:p>
        </w:tc>
        <w:tc>
          <w:tcPr>
            <w:tcW w:w="960" w:type="dxa"/>
            <w:noWrap/>
            <w:hideMark/>
          </w:tcPr>
          <w:p w14:paraId="71E01443" w14:textId="77777777" w:rsidR="00B5685C" w:rsidRPr="00B5685C" w:rsidRDefault="00B5685C" w:rsidP="00CB1007">
            <w:pPr>
              <w:jc w:val="right"/>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rPr>
            </w:pPr>
            <w:r w:rsidRPr="00B5685C">
              <w:rPr>
                <w:rFonts w:ascii="Cambria" w:eastAsia="Times New Roman" w:hAnsi="Cambria" w:cs="Calibri"/>
                <w:color w:val="000000"/>
              </w:rPr>
              <w:t>2015</w:t>
            </w:r>
          </w:p>
        </w:tc>
      </w:tr>
      <w:tr w:rsidR="00B5685C" w:rsidRPr="00B5685C" w14:paraId="0FEBA5AB" w14:textId="77777777" w:rsidTr="00B568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0E1058E" w14:textId="77777777" w:rsidR="00B5685C" w:rsidRPr="00B5685C" w:rsidRDefault="00B5685C" w:rsidP="00CB1007">
            <w:pPr>
              <w:rPr>
                <w:rFonts w:ascii="Cambria" w:eastAsia="Times New Roman" w:hAnsi="Cambria" w:cs="Calibri"/>
                <w:color w:val="000000"/>
              </w:rPr>
            </w:pPr>
            <w:r w:rsidRPr="00B5685C">
              <w:rPr>
                <w:rFonts w:ascii="Cambria" w:eastAsia="Times New Roman" w:hAnsi="Cambria" w:cs="Calibri"/>
                <w:color w:val="000000"/>
              </w:rPr>
              <w:t>Male</w:t>
            </w:r>
          </w:p>
        </w:tc>
        <w:tc>
          <w:tcPr>
            <w:tcW w:w="960" w:type="dxa"/>
            <w:noWrap/>
            <w:hideMark/>
          </w:tcPr>
          <w:p w14:paraId="739EEEC0" w14:textId="77777777" w:rsidR="00B5685C" w:rsidRPr="00B5685C" w:rsidRDefault="00B5685C" w:rsidP="00CB1007">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rPr>
            </w:pPr>
            <w:r w:rsidRPr="00B5685C">
              <w:rPr>
                <w:rFonts w:ascii="Cambria" w:eastAsia="Times New Roman" w:hAnsi="Cambria" w:cs="Calibri"/>
                <w:color w:val="000000"/>
              </w:rPr>
              <w:t>51</w:t>
            </w:r>
          </w:p>
        </w:tc>
        <w:tc>
          <w:tcPr>
            <w:tcW w:w="960" w:type="dxa"/>
            <w:noWrap/>
            <w:hideMark/>
          </w:tcPr>
          <w:p w14:paraId="333A379C" w14:textId="77777777" w:rsidR="00B5685C" w:rsidRPr="00B5685C" w:rsidRDefault="00B5685C" w:rsidP="00CB1007">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rPr>
            </w:pPr>
            <w:r w:rsidRPr="00B5685C">
              <w:rPr>
                <w:rFonts w:ascii="Cambria" w:eastAsia="Times New Roman" w:hAnsi="Cambria" w:cs="Calibri"/>
                <w:color w:val="000000"/>
              </w:rPr>
              <w:t>56</w:t>
            </w:r>
          </w:p>
        </w:tc>
        <w:tc>
          <w:tcPr>
            <w:tcW w:w="960" w:type="dxa"/>
            <w:noWrap/>
            <w:hideMark/>
          </w:tcPr>
          <w:p w14:paraId="5B7418E3" w14:textId="77777777" w:rsidR="00B5685C" w:rsidRPr="00B5685C" w:rsidRDefault="00B5685C" w:rsidP="00CB1007">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rPr>
            </w:pPr>
            <w:r w:rsidRPr="00B5685C">
              <w:rPr>
                <w:rFonts w:ascii="Cambria" w:eastAsia="Times New Roman" w:hAnsi="Cambria" w:cs="Calibri"/>
                <w:color w:val="000000"/>
              </w:rPr>
              <w:t>58</w:t>
            </w:r>
          </w:p>
        </w:tc>
      </w:tr>
      <w:tr w:rsidR="00B5685C" w:rsidRPr="00B5685C" w14:paraId="0DBEF70A" w14:textId="77777777" w:rsidTr="00B5685C">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5E3F457F" w14:textId="77777777" w:rsidR="00B5685C" w:rsidRPr="00B5685C" w:rsidRDefault="00B5685C" w:rsidP="00CB1007">
            <w:pPr>
              <w:rPr>
                <w:rFonts w:ascii="Cambria" w:eastAsia="Times New Roman" w:hAnsi="Cambria" w:cs="Calibri"/>
                <w:color w:val="000000"/>
              </w:rPr>
            </w:pPr>
            <w:r w:rsidRPr="00B5685C">
              <w:rPr>
                <w:rFonts w:ascii="Cambria" w:eastAsia="Times New Roman" w:hAnsi="Cambria" w:cs="Calibri"/>
                <w:color w:val="000000"/>
              </w:rPr>
              <w:t>Female</w:t>
            </w:r>
          </w:p>
        </w:tc>
        <w:tc>
          <w:tcPr>
            <w:tcW w:w="960" w:type="dxa"/>
            <w:noWrap/>
            <w:hideMark/>
          </w:tcPr>
          <w:p w14:paraId="3C59F1B4" w14:textId="77777777" w:rsidR="00B5685C" w:rsidRPr="00B5685C" w:rsidRDefault="00B5685C" w:rsidP="00CB1007">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rPr>
            </w:pPr>
            <w:r w:rsidRPr="00B5685C">
              <w:rPr>
                <w:rFonts w:ascii="Cambria" w:eastAsia="Times New Roman" w:hAnsi="Cambria" w:cs="Calibri"/>
                <w:color w:val="000000"/>
              </w:rPr>
              <w:t>146</w:t>
            </w:r>
          </w:p>
        </w:tc>
        <w:tc>
          <w:tcPr>
            <w:tcW w:w="960" w:type="dxa"/>
            <w:noWrap/>
            <w:hideMark/>
          </w:tcPr>
          <w:p w14:paraId="619A54B0" w14:textId="77777777" w:rsidR="00B5685C" w:rsidRPr="00B5685C" w:rsidRDefault="00B5685C" w:rsidP="00CB1007">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rPr>
            </w:pPr>
            <w:r w:rsidRPr="00B5685C">
              <w:rPr>
                <w:rFonts w:ascii="Cambria" w:eastAsia="Times New Roman" w:hAnsi="Cambria" w:cs="Calibri"/>
                <w:color w:val="000000"/>
              </w:rPr>
              <w:t>149</w:t>
            </w:r>
          </w:p>
        </w:tc>
        <w:tc>
          <w:tcPr>
            <w:tcW w:w="960" w:type="dxa"/>
            <w:noWrap/>
            <w:hideMark/>
          </w:tcPr>
          <w:p w14:paraId="78AFDD05" w14:textId="77777777" w:rsidR="00B5685C" w:rsidRPr="00B5685C" w:rsidRDefault="00B5685C" w:rsidP="00CB1007">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rPr>
            </w:pPr>
            <w:r w:rsidRPr="00B5685C">
              <w:rPr>
                <w:rFonts w:ascii="Cambria" w:eastAsia="Times New Roman" w:hAnsi="Cambria" w:cs="Calibri"/>
                <w:color w:val="000000"/>
              </w:rPr>
              <w:t>149</w:t>
            </w:r>
          </w:p>
        </w:tc>
      </w:tr>
    </w:tbl>
    <w:p w14:paraId="48286E9A" w14:textId="77777777" w:rsidR="00B2736C" w:rsidRDefault="00B5685C" w:rsidP="00B5685C">
      <w:pPr>
        <w:rPr>
          <w:rFonts w:ascii="Cambria" w:hAnsi="Cambria"/>
          <w:b/>
        </w:rPr>
      </w:pPr>
      <w:r w:rsidRPr="00B5685C">
        <w:rPr>
          <w:rFonts w:ascii="Cambria" w:hAnsi="Cambria"/>
          <w:b/>
          <w:sz w:val="16"/>
        </w:rPr>
        <w:br/>
      </w:r>
    </w:p>
    <w:p w14:paraId="5BCE8A13" w14:textId="3D7BC015" w:rsidR="00B5685C" w:rsidRPr="00B5685C" w:rsidRDefault="00B2736C" w:rsidP="00B5685C">
      <w:pPr>
        <w:rPr>
          <w:rFonts w:ascii="Cambria" w:hAnsi="Cambria"/>
          <w:b/>
        </w:rPr>
      </w:pPr>
      <w:r>
        <w:rPr>
          <w:rFonts w:ascii="Cambria" w:hAnsi="Cambria"/>
          <w:b/>
        </w:rPr>
        <w:br w:type="page"/>
      </w:r>
      <w:r w:rsidR="00B5685C" w:rsidRPr="00B5685C">
        <w:rPr>
          <w:rFonts w:ascii="Cambria" w:hAnsi="Cambria"/>
          <w:b/>
        </w:rPr>
        <w:lastRenderedPageBreak/>
        <w:t>Lay Workers by Ministry Area</w:t>
      </w:r>
    </w:p>
    <w:tbl>
      <w:tblPr>
        <w:tblStyle w:val="PlainTable2"/>
        <w:tblW w:w="5715" w:type="dxa"/>
        <w:tblLook w:val="04A0" w:firstRow="1" w:lastRow="0" w:firstColumn="1" w:lastColumn="0" w:noHBand="0" w:noVBand="1"/>
      </w:tblPr>
      <w:tblGrid>
        <w:gridCol w:w="2835"/>
        <w:gridCol w:w="960"/>
        <w:gridCol w:w="960"/>
        <w:gridCol w:w="960"/>
      </w:tblGrid>
      <w:tr w:rsidR="00B5685C" w:rsidRPr="00B5685C" w14:paraId="054D6BD4" w14:textId="77777777" w:rsidTr="00B5685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1D93D62B" w14:textId="77777777" w:rsidR="00B5685C" w:rsidRPr="00B5685C" w:rsidRDefault="00B5685C" w:rsidP="00CB1007">
            <w:pPr>
              <w:rPr>
                <w:rFonts w:ascii="Cambria" w:eastAsia="Times New Roman" w:hAnsi="Cambria" w:cs="Times New Roman"/>
              </w:rPr>
            </w:pPr>
          </w:p>
        </w:tc>
        <w:tc>
          <w:tcPr>
            <w:tcW w:w="960" w:type="dxa"/>
            <w:noWrap/>
            <w:hideMark/>
          </w:tcPr>
          <w:p w14:paraId="4B8BEC3D" w14:textId="77777777" w:rsidR="00B5685C" w:rsidRPr="00B5685C" w:rsidRDefault="00B5685C" w:rsidP="00CB1007">
            <w:pPr>
              <w:jc w:val="right"/>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rPr>
            </w:pPr>
            <w:r w:rsidRPr="00B5685C">
              <w:rPr>
                <w:rFonts w:ascii="Cambria" w:eastAsia="Times New Roman" w:hAnsi="Cambria" w:cs="Calibri"/>
                <w:color w:val="000000"/>
              </w:rPr>
              <w:t>2017</w:t>
            </w:r>
          </w:p>
        </w:tc>
        <w:tc>
          <w:tcPr>
            <w:tcW w:w="960" w:type="dxa"/>
            <w:noWrap/>
            <w:hideMark/>
          </w:tcPr>
          <w:p w14:paraId="51F2B7FA" w14:textId="77777777" w:rsidR="00B5685C" w:rsidRPr="00B5685C" w:rsidRDefault="00B5685C" w:rsidP="00CB1007">
            <w:pPr>
              <w:jc w:val="right"/>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rPr>
            </w:pPr>
            <w:r w:rsidRPr="00B5685C">
              <w:rPr>
                <w:rFonts w:ascii="Cambria" w:eastAsia="Times New Roman" w:hAnsi="Cambria" w:cs="Calibri"/>
                <w:color w:val="000000"/>
              </w:rPr>
              <w:t>2016</w:t>
            </w:r>
          </w:p>
        </w:tc>
        <w:tc>
          <w:tcPr>
            <w:tcW w:w="960" w:type="dxa"/>
            <w:noWrap/>
            <w:hideMark/>
          </w:tcPr>
          <w:p w14:paraId="6788C729" w14:textId="77777777" w:rsidR="00B5685C" w:rsidRPr="00B5685C" w:rsidRDefault="00B5685C" w:rsidP="00CB1007">
            <w:pPr>
              <w:jc w:val="right"/>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rPr>
            </w:pPr>
            <w:r w:rsidRPr="00B5685C">
              <w:rPr>
                <w:rFonts w:ascii="Cambria" w:eastAsia="Times New Roman" w:hAnsi="Cambria" w:cs="Calibri"/>
                <w:color w:val="000000"/>
              </w:rPr>
              <w:t>2015</w:t>
            </w:r>
          </w:p>
        </w:tc>
      </w:tr>
      <w:tr w:rsidR="00B5685C" w:rsidRPr="00B5685C" w14:paraId="0F98327C" w14:textId="77777777" w:rsidTr="00B568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062E6821" w14:textId="77777777" w:rsidR="00B5685C" w:rsidRPr="00B5685C" w:rsidRDefault="00B5685C" w:rsidP="00CB1007">
            <w:pPr>
              <w:rPr>
                <w:rFonts w:ascii="Cambria" w:eastAsia="Times New Roman" w:hAnsi="Cambria" w:cs="Calibri"/>
                <w:color w:val="000000"/>
              </w:rPr>
            </w:pPr>
            <w:r w:rsidRPr="00B5685C">
              <w:rPr>
                <w:rFonts w:ascii="Cambria" w:eastAsia="Times New Roman" w:hAnsi="Cambria" w:cs="Calibri"/>
                <w:color w:val="000000"/>
              </w:rPr>
              <w:t>Camping</w:t>
            </w:r>
          </w:p>
        </w:tc>
        <w:tc>
          <w:tcPr>
            <w:tcW w:w="960" w:type="dxa"/>
            <w:noWrap/>
            <w:hideMark/>
          </w:tcPr>
          <w:p w14:paraId="3D5D71BC" w14:textId="77777777" w:rsidR="00B5685C" w:rsidRPr="00B5685C" w:rsidRDefault="00B5685C" w:rsidP="00CB1007">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rPr>
            </w:pPr>
            <w:r w:rsidRPr="00B5685C">
              <w:rPr>
                <w:rFonts w:ascii="Cambria" w:eastAsia="Times New Roman" w:hAnsi="Cambria" w:cs="Calibri"/>
                <w:color w:val="000000"/>
              </w:rPr>
              <w:t>10</w:t>
            </w:r>
          </w:p>
        </w:tc>
        <w:tc>
          <w:tcPr>
            <w:tcW w:w="960" w:type="dxa"/>
            <w:noWrap/>
            <w:hideMark/>
          </w:tcPr>
          <w:p w14:paraId="44E11888" w14:textId="77777777" w:rsidR="00B5685C" w:rsidRPr="00B5685C" w:rsidRDefault="00B5685C" w:rsidP="00CB1007">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rPr>
            </w:pPr>
            <w:r w:rsidRPr="00B5685C">
              <w:rPr>
                <w:rFonts w:ascii="Cambria" w:eastAsia="Times New Roman" w:hAnsi="Cambria" w:cs="Calibri"/>
                <w:color w:val="000000"/>
              </w:rPr>
              <w:t>17</w:t>
            </w:r>
          </w:p>
        </w:tc>
        <w:tc>
          <w:tcPr>
            <w:tcW w:w="960" w:type="dxa"/>
            <w:noWrap/>
            <w:hideMark/>
          </w:tcPr>
          <w:p w14:paraId="0A76EE14" w14:textId="77777777" w:rsidR="00B5685C" w:rsidRPr="00B5685C" w:rsidRDefault="00B5685C" w:rsidP="00CB1007">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rPr>
            </w:pPr>
            <w:r w:rsidRPr="00B5685C">
              <w:rPr>
                <w:rFonts w:ascii="Cambria" w:eastAsia="Times New Roman" w:hAnsi="Cambria" w:cs="Calibri"/>
                <w:color w:val="000000"/>
              </w:rPr>
              <w:t>19</w:t>
            </w:r>
          </w:p>
        </w:tc>
      </w:tr>
      <w:tr w:rsidR="00B5685C" w:rsidRPr="00B5685C" w14:paraId="3E372EBE" w14:textId="77777777" w:rsidTr="00B5685C">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5CD581E2" w14:textId="77777777" w:rsidR="00B5685C" w:rsidRPr="00B5685C" w:rsidRDefault="00B5685C" w:rsidP="00CB1007">
            <w:pPr>
              <w:rPr>
                <w:rFonts w:ascii="Cambria" w:eastAsia="Times New Roman" w:hAnsi="Cambria" w:cs="Calibri"/>
                <w:color w:val="000000"/>
              </w:rPr>
            </w:pPr>
            <w:r w:rsidRPr="00B5685C">
              <w:rPr>
                <w:rFonts w:ascii="Cambria" w:eastAsia="Times New Roman" w:hAnsi="Cambria" w:cs="Calibri"/>
                <w:color w:val="000000"/>
              </w:rPr>
              <w:t>Chaplaincy</w:t>
            </w:r>
          </w:p>
        </w:tc>
        <w:tc>
          <w:tcPr>
            <w:tcW w:w="960" w:type="dxa"/>
            <w:noWrap/>
            <w:hideMark/>
          </w:tcPr>
          <w:p w14:paraId="05E495D8" w14:textId="77777777" w:rsidR="00B5685C" w:rsidRPr="00B5685C" w:rsidRDefault="00B5685C" w:rsidP="00CB1007">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rPr>
            </w:pPr>
            <w:r w:rsidRPr="00B5685C">
              <w:rPr>
                <w:rFonts w:ascii="Cambria" w:eastAsia="Times New Roman" w:hAnsi="Cambria" w:cs="Calibri"/>
                <w:color w:val="000000"/>
              </w:rPr>
              <w:t>15</w:t>
            </w:r>
          </w:p>
        </w:tc>
        <w:tc>
          <w:tcPr>
            <w:tcW w:w="960" w:type="dxa"/>
            <w:noWrap/>
            <w:hideMark/>
          </w:tcPr>
          <w:p w14:paraId="2D5531AC" w14:textId="77777777" w:rsidR="00B5685C" w:rsidRPr="00B5685C" w:rsidRDefault="00B5685C" w:rsidP="00CB1007">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rPr>
            </w:pPr>
            <w:r w:rsidRPr="00B5685C">
              <w:rPr>
                <w:rFonts w:ascii="Cambria" w:eastAsia="Times New Roman" w:hAnsi="Cambria" w:cs="Calibri"/>
                <w:color w:val="000000"/>
              </w:rPr>
              <w:t>18</w:t>
            </w:r>
          </w:p>
        </w:tc>
        <w:tc>
          <w:tcPr>
            <w:tcW w:w="960" w:type="dxa"/>
            <w:noWrap/>
            <w:hideMark/>
          </w:tcPr>
          <w:p w14:paraId="385F61C9" w14:textId="77777777" w:rsidR="00B5685C" w:rsidRPr="00B5685C" w:rsidRDefault="00B5685C" w:rsidP="00CB1007">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rPr>
            </w:pPr>
            <w:r w:rsidRPr="00B5685C">
              <w:rPr>
                <w:rFonts w:ascii="Cambria" w:eastAsia="Times New Roman" w:hAnsi="Cambria" w:cs="Calibri"/>
                <w:color w:val="000000"/>
              </w:rPr>
              <w:t>17</w:t>
            </w:r>
          </w:p>
        </w:tc>
      </w:tr>
      <w:tr w:rsidR="00B5685C" w:rsidRPr="00B5685C" w14:paraId="1B9B9912" w14:textId="77777777" w:rsidTr="00B568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6608F6E1" w14:textId="77777777" w:rsidR="00B5685C" w:rsidRPr="00B5685C" w:rsidRDefault="00B5685C" w:rsidP="00CB1007">
            <w:pPr>
              <w:rPr>
                <w:rFonts w:ascii="Cambria" w:eastAsia="Times New Roman" w:hAnsi="Cambria" w:cs="Calibri"/>
                <w:color w:val="000000"/>
              </w:rPr>
            </w:pPr>
            <w:r w:rsidRPr="00B5685C">
              <w:rPr>
                <w:rFonts w:ascii="Cambria" w:eastAsia="Times New Roman" w:hAnsi="Cambria" w:cs="Calibri"/>
                <w:color w:val="000000"/>
              </w:rPr>
              <w:t>Child &amp; Family</w:t>
            </w:r>
          </w:p>
        </w:tc>
        <w:tc>
          <w:tcPr>
            <w:tcW w:w="960" w:type="dxa"/>
            <w:noWrap/>
            <w:hideMark/>
          </w:tcPr>
          <w:p w14:paraId="00F3F700" w14:textId="77777777" w:rsidR="00B5685C" w:rsidRPr="00B5685C" w:rsidRDefault="00B5685C" w:rsidP="00CB1007">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rPr>
            </w:pPr>
            <w:r w:rsidRPr="00B5685C">
              <w:rPr>
                <w:rFonts w:ascii="Cambria" w:eastAsia="Times New Roman" w:hAnsi="Cambria" w:cs="Calibri"/>
                <w:color w:val="000000"/>
              </w:rPr>
              <w:t>17</w:t>
            </w:r>
          </w:p>
        </w:tc>
        <w:tc>
          <w:tcPr>
            <w:tcW w:w="960" w:type="dxa"/>
            <w:noWrap/>
            <w:hideMark/>
          </w:tcPr>
          <w:p w14:paraId="2A5765A3" w14:textId="77777777" w:rsidR="00B5685C" w:rsidRPr="00B5685C" w:rsidRDefault="00B5685C" w:rsidP="00CB1007">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rPr>
            </w:pPr>
            <w:r w:rsidRPr="00B5685C">
              <w:rPr>
                <w:rFonts w:ascii="Cambria" w:eastAsia="Times New Roman" w:hAnsi="Cambria" w:cs="Calibri"/>
                <w:color w:val="000000"/>
              </w:rPr>
              <w:t>22</w:t>
            </w:r>
          </w:p>
        </w:tc>
        <w:tc>
          <w:tcPr>
            <w:tcW w:w="960" w:type="dxa"/>
            <w:noWrap/>
            <w:hideMark/>
          </w:tcPr>
          <w:p w14:paraId="75E2DF40" w14:textId="77777777" w:rsidR="00B5685C" w:rsidRPr="00B5685C" w:rsidRDefault="00B5685C" w:rsidP="00CB1007">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rPr>
            </w:pPr>
            <w:r w:rsidRPr="00B5685C">
              <w:rPr>
                <w:rFonts w:ascii="Cambria" w:eastAsia="Times New Roman" w:hAnsi="Cambria" w:cs="Calibri"/>
                <w:color w:val="000000"/>
              </w:rPr>
              <w:t>23</w:t>
            </w:r>
          </w:p>
        </w:tc>
      </w:tr>
      <w:tr w:rsidR="00B5685C" w:rsidRPr="00B5685C" w14:paraId="6F3F6F8C" w14:textId="77777777" w:rsidTr="00B5685C">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3B4BF851" w14:textId="77777777" w:rsidR="00B5685C" w:rsidRPr="00B5685C" w:rsidRDefault="00B5685C" w:rsidP="00CB1007">
            <w:pPr>
              <w:rPr>
                <w:rFonts w:ascii="Cambria" w:eastAsia="Times New Roman" w:hAnsi="Cambria" w:cs="Calibri"/>
                <w:color w:val="000000"/>
              </w:rPr>
            </w:pPr>
            <w:r w:rsidRPr="00B5685C">
              <w:rPr>
                <w:rFonts w:ascii="Cambria" w:eastAsia="Times New Roman" w:hAnsi="Cambria" w:cs="Calibri"/>
                <w:color w:val="000000"/>
              </w:rPr>
              <w:t>Cultural Specific Ministry</w:t>
            </w:r>
          </w:p>
        </w:tc>
        <w:tc>
          <w:tcPr>
            <w:tcW w:w="960" w:type="dxa"/>
            <w:noWrap/>
            <w:hideMark/>
          </w:tcPr>
          <w:p w14:paraId="6C821EC7" w14:textId="77777777" w:rsidR="00B5685C" w:rsidRPr="00B5685C" w:rsidRDefault="00B5685C" w:rsidP="00CB1007">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rPr>
            </w:pPr>
            <w:r w:rsidRPr="00B5685C">
              <w:rPr>
                <w:rFonts w:ascii="Cambria" w:eastAsia="Times New Roman" w:hAnsi="Cambria" w:cs="Calibri"/>
                <w:color w:val="000000"/>
              </w:rPr>
              <w:t>6</w:t>
            </w:r>
          </w:p>
        </w:tc>
        <w:tc>
          <w:tcPr>
            <w:tcW w:w="960" w:type="dxa"/>
            <w:noWrap/>
            <w:hideMark/>
          </w:tcPr>
          <w:p w14:paraId="56E3B2F3" w14:textId="77777777" w:rsidR="00B5685C" w:rsidRPr="00B5685C" w:rsidRDefault="00B5685C" w:rsidP="00CB1007">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rPr>
            </w:pPr>
            <w:r w:rsidRPr="00B5685C">
              <w:rPr>
                <w:rFonts w:ascii="Cambria" w:eastAsia="Times New Roman" w:hAnsi="Cambria" w:cs="Calibri"/>
                <w:color w:val="000000"/>
              </w:rPr>
              <w:t>9</w:t>
            </w:r>
          </w:p>
        </w:tc>
        <w:tc>
          <w:tcPr>
            <w:tcW w:w="960" w:type="dxa"/>
            <w:noWrap/>
            <w:hideMark/>
          </w:tcPr>
          <w:p w14:paraId="7854FB73" w14:textId="77777777" w:rsidR="00B5685C" w:rsidRPr="00B5685C" w:rsidRDefault="00B5685C" w:rsidP="00CB1007">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rPr>
            </w:pPr>
            <w:r w:rsidRPr="00B5685C">
              <w:rPr>
                <w:rFonts w:ascii="Cambria" w:eastAsia="Times New Roman" w:hAnsi="Cambria" w:cs="Calibri"/>
                <w:color w:val="000000"/>
              </w:rPr>
              <w:t>13</w:t>
            </w:r>
          </w:p>
        </w:tc>
      </w:tr>
      <w:tr w:rsidR="00B5685C" w:rsidRPr="00B5685C" w14:paraId="112FDEA3" w14:textId="77777777" w:rsidTr="00B568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6FA748F7" w14:textId="77777777" w:rsidR="00B5685C" w:rsidRPr="00B5685C" w:rsidRDefault="00B5685C" w:rsidP="00CB1007">
            <w:pPr>
              <w:rPr>
                <w:rFonts w:ascii="Cambria" w:eastAsia="Times New Roman" w:hAnsi="Cambria" w:cs="Calibri"/>
                <w:color w:val="000000"/>
              </w:rPr>
            </w:pPr>
            <w:r w:rsidRPr="00B5685C">
              <w:rPr>
                <w:rFonts w:ascii="Cambria" w:eastAsia="Times New Roman" w:hAnsi="Cambria" w:cs="Calibri"/>
                <w:color w:val="000000"/>
              </w:rPr>
              <w:t>Ministry Support</w:t>
            </w:r>
          </w:p>
        </w:tc>
        <w:tc>
          <w:tcPr>
            <w:tcW w:w="960" w:type="dxa"/>
            <w:noWrap/>
            <w:hideMark/>
          </w:tcPr>
          <w:p w14:paraId="7FA7165A" w14:textId="77777777" w:rsidR="00B5685C" w:rsidRPr="00B5685C" w:rsidRDefault="00B5685C" w:rsidP="00CB1007">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rPr>
            </w:pPr>
            <w:r w:rsidRPr="00B5685C">
              <w:rPr>
                <w:rFonts w:ascii="Cambria" w:eastAsia="Times New Roman" w:hAnsi="Cambria" w:cs="Calibri"/>
                <w:color w:val="000000"/>
              </w:rPr>
              <w:t>44</w:t>
            </w:r>
          </w:p>
        </w:tc>
        <w:tc>
          <w:tcPr>
            <w:tcW w:w="960" w:type="dxa"/>
            <w:noWrap/>
            <w:hideMark/>
          </w:tcPr>
          <w:p w14:paraId="481166D1" w14:textId="77777777" w:rsidR="00B5685C" w:rsidRPr="00B5685C" w:rsidRDefault="00B5685C" w:rsidP="00CB1007">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rPr>
            </w:pPr>
            <w:r w:rsidRPr="00B5685C">
              <w:rPr>
                <w:rFonts w:ascii="Cambria" w:eastAsia="Times New Roman" w:hAnsi="Cambria" w:cs="Calibri"/>
                <w:color w:val="000000"/>
              </w:rPr>
              <w:t>42</w:t>
            </w:r>
          </w:p>
        </w:tc>
        <w:tc>
          <w:tcPr>
            <w:tcW w:w="960" w:type="dxa"/>
            <w:noWrap/>
            <w:hideMark/>
          </w:tcPr>
          <w:p w14:paraId="5EA23DF6" w14:textId="77777777" w:rsidR="00B5685C" w:rsidRPr="00B5685C" w:rsidRDefault="00B5685C" w:rsidP="00CB1007">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rPr>
            </w:pPr>
            <w:r w:rsidRPr="00B5685C">
              <w:rPr>
                <w:rFonts w:ascii="Cambria" w:eastAsia="Times New Roman" w:hAnsi="Cambria" w:cs="Calibri"/>
                <w:color w:val="000000"/>
              </w:rPr>
              <w:t>46</w:t>
            </w:r>
          </w:p>
        </w:tc>
      </w:tr>
      <w:tr w:rsidR="00B5685C" w:rsidRPr="00B5685C" w14:paraId="57FAD4E8" w14:textId="77777777" w:rsidTr="00B5685C">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747CC5A4" w14:textId="77777777" w:rsidR="00B5685C" w:rsidRPr="00B5685C" w:rsidRDefault="00B5685C" w:rsidP="00CB1007">
            <w:pPr>
              <w:rPr>
                <w:rFonts w:ascii="Cambria" w:eastAsia="Times New Roman" w:hAnsi="Cambria" w:cs="Calibri"/>
                <w:color w:val="000000"/>
              </w:rPr>
            </w:pPr>
            <w:r w:rsidRPr="00B5685C">
              <w:rPr>
                <w:rFonts w:ascii="Cambria" w:eastAsia="Times New Roman" w:hAnsi="Cambria" w:cs="Calibri"/>
                <w:color w:val="000000"/>
              </w:rPr>
              <w:t>Mission &amp; Outreach</w:t>
            </w:r>
          </w:p>
        </w:tc>
        <w:tc>
          <w:tcPr>
            <w:tcW w:w="960" w:type="dxa"/>
            <w:noWrap/>
            <w:hideMark/>
          </w:tcPr>
          <w:p w14:paraId="71B707C8" w14:textId="77777777" w:rsidR="00B5685C" w:rsidRPr="00B5685C" w:rsidRDefault="00B5685C" w:rsidP="00CB1007">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rPr>
            </w:pPr>
            <w:r w:rsidRPr="00B5685C">
              <w:rPr>
                <w:rFonts w:ascii="Cambria" w:eastAsia="Times New Roman" w:hAnsi="Cambria" w:cs="Calibri"/>
                <w:color w:val="000000"/>
              </w:rPr>
              <w:t>18</w:t>
            </w:r>
          </w:p>
        </w:tc>
        <w:tc>
          <w:tcPr>
            <w:tcW w:w="960" w:type="dxa"/>
            <w:noWrap/>
            <w:hideMark/>
          </w:tcPr>
          <w:p w14:paraId="15B27061" w14:textId="77777777" w:rsidR="00B5685C" w:rsidRPr="00B5685C" w:rsidRDefault="00B5685C" w:rsidP="00CB1007">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rPr>
            </w:pPr>
            <w:r w:rsidRPr="00B5685C">
              <w:rPr>
                <w:rFonts w:ascii="Cambria" w:eastAsia="Times New Roman" w:hAnsi="Cambria" w:cs="Calibri"/>
                <w:color w:val="000000"/>
              </w:rPr>
              <w:t>23</w:t>
            </w:r>
          </w:p>
        </w:tc>
        <w:tc>
          <w:tcPr>
            <w:tcW w:w="960" w:type="dxa"/>
            <w:noWrap/>
            <w:hideMark/>
          </w:tcPr>
          <w:p w14:paraId="798E024A" w14:textId="77777777" w:rsidR="00B5685C" w:rsidRPr="00B5685C" w:rsidRDefault="00B5685C" w:rsidP="00CB1007">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rPr>
            </w:pPr>
            <w:r w:rsidRPr="00B5685C">
              <w:rPr>
                <w:rFonts w:ascii="Cambria" w:eastAsia="Times New Roman" w:hAnsi="Cambria" w:cs="Calibri"/>
                <w:color w:val="000000"/>
              </w:rPr>
              <w:t>19</w:t>
            </w:r>
          </w:p>
        </w:tc>
      </w:tr>
      <w:tr w:rsidR="00B5685C" w:rsidRPr="00B5685C" w14:paraId="2EB39136" w14:textId="77777777" w:rsidTr="00B568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4CC6A438" w14:textId="77777777" w:rsidR="00B5685C" w:rsidRPr="00B5685C" w:rsidRDefault="00B5685C" w:rsidP="00CB1007">
            <w:pPr>
              <w:rPr>
                <w:rFonts w:ascii="Cambria" w:eastAsia="Times New Roman" w:hAnsi="Cambria" w:cs="Calibri"/>
                <w:color w:val="000000"/>
              </w:rPr>
            </w:pPr>
            <w:r w:rsidRPr="00B5685C">
              <w:rPr>
                <w:rFonts w:ascii="Cambria" w:eastAsia="Times New Roman" w:hAnsi="Cambria" w:cs="Calibri"/>
                <w:color w:val="000000"/>
              </w:rPr>
              <w:t>Parish Nursing</w:t>
            </w:r>
          </w:p>
        </w:tc>
        <w:tc>
          <w:tcPr>
            <w:tcW w:w="960" w:type="dxa"/>
            <w:noWrap/>
            <w:hideMark/>
          </w:tcPr>
          <w:p w14:paraId="7B96CD4F" w14:textId="77777777" w:rsidR="00B5685C" w:rsidRPr="00B5685C" w:rsidRDefault="00B5685C" w:rsidP="00CB1007">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rPr>
            </w:pPr>
            <w:r w:rsidRPr="00B5685C">
              <w:rPr>
                <w:rFonts w:ascii="Cambria" w:eastAsia="Times New Roman" w:hAnsi="Cambria" w:cs="Calibri"/>
                <w:color w:val="000000"/>
              </w:rPr>
              <w:t>3</w:t>
            </w:r>
          </w:p>
        </w:tc>
        <w:tc>
          <w:tcPr>
            <w:tcW w:w="960" w:type="dxa"/>
            <w:noWrap/>
            <w:hideMark/>
          </w:tcPr>
          <w:p w14:paraId="634F4F27" w14:textId="77777777" w:rsidR="00B5685C" w:rsidRPr="00B5685C" w:rsidRDefault="00B5685C" w:rsidP="00CB1007">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rPr>
            </w:pPr>
            <w:r w:rsidRPr="00B5685C">
              <w:rPr>
                <w:rFonts w:ascii="Cambria" w:eastAsia="Times New Roman" w:hAnsi="Cambria" w:cs="Calibri"/>
                <w:color w:val="000000"/>
              </w:rPr>
              <w:t>4</w:t>
            </w:r>
          </w:p>
        </w:tc>
        <w:tc>
          <w:tcPr>
            <w:tcW w:w="960" w:type="dxa"/>
            <w:noWrap/>
            <w:hideMark/>
          </w:tcPr>
          <w:p w14:paraId="749C63F5" w14:textId="77777777" w:rsidR="00B5685C" w:rsidRPr="00B5685C" w:rsidRDefault="00B5685C" w:rsidP="00CB1007">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rPr>
            </w:pPr>
            <w:r w:rsidRPr="00B5685C">
              <w:rPr>
                <w:rFonts w:ascii="Cambria" w:eastAsia="Times New Roman" w:hAnsi="Cambria" w:cs="Calibri"/>
                <w:color w:val="000000"/>
              </w:rPr>
              <w:t>4</w:t>
            </w:r>
          </w:p>
        </w:tc>
      </w:tr>
      <w:tr w:rsidR="00B5685C" w:rsidRPr="00B5685C" w14:paraId="7814E325" w14:textId="77777777" w:rsidTr="00B5685C">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39D68AFA" w14:textId="77777777" w:rsidR="00B5685C" w:rsidRPr="00B5685C" w:rsidRDefault="00B5685C" w:rsidP="00CB1007">
            <w:pPr>
              <w:rPr>
                <w:rFonts w:ascii="Cambria" w:eastAsia="Times New Roman" w:hAnsi="Cambria" w:cs="Calibri"/>
                <w:color w:val="000000"/>
              </w:rPr>
            </w:pPr>
            <w:r w:rsidRPr="00B5685C">
              <w:rPr>
                <w:rFonts w:ascii="Cambria" w:eastAsia="Times New Roman" w:hAnsi="Cambria" w:cs="Calibri"/>
                <w:color w:val="000000"/>
              </w:rPr>
              <w:t>Pastoral Care</w:t>
            </w:r>
          </w:p>
        </w:tc>
        <w:tc>
          <w:tcPr>
            <w:tcW w:w="960" w:type="dxa"/>
            <w:noWrap/>
            <w:hideMark/>
          </w:tcPr>
          <w:p w14:paraId="769E61CC" w14:textId="77777777" w:rsidR="00B5685C" w:rsidRPr="00B5685C" w:rsidRDefault="00B5685C" w:rsidP="00CB1007">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rPr>
            </w:pPr>
            <w:r w:rsidRPr="00B5685C">
              <w:rPr>
                <w:rFonts w:ascii="Cambria" w:eastAsia="Times New Roman" w:hAnsi="Cambria" w:cs="Calibri"/>
                <w:color w:val="000000"/>
              </w:rPr>
              <w:t>23</w:t>
            </w:r>
          </w:p>
        </w:tc>
        <w:tc>
          <w:tcPr>
            <w:tcW w:w="960" w:type="dxa"/>
            <w:noWrap/>
            <w:hideMark/>
          </w:tcPr>
          <w:p w14:paraId="351ACC2A" w14:textId="77777777" w:rsidR="00B5685C" w:rsidRPr="00B5685C" w:rsidRDefault="00B5685C" w:rsidP="00CB1007">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rPr>
            </w:pPr>
            <w:r w:rsidRPr="00B5685C">
              <w:rPr>
                <w:rFonts w:ascii="Cambria" w:eastAsia="Times New Roman" w:hAnsi="Cambria" w:cs="Calibri"/>
                <w:color w:val="000000"/>
              </w:rPr>
              <w:t>20</w:t>
            </w:r>
          </w:p>
        </w:tc>
        <w:tc>
          <w:tcPr>
            <w:tcW w:w="960" w:type="dxa"/>
            <w:noWrap/>
            <w:hideMark/>
          </w:tcPr>
          <w:p w14:paraId="6017473D" w14:textId="77777777" w:rsidR="00B5685C" w:rsidRPr="00B5685C" w:rsidRDefault="00B5685C" w:rsidP="00CB1007">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rPr>
            </w:pPr>
            <w:r w:rsidRPr="00B5685C">
              <w:rPr>
                <w:rFonts w:ascii="Cambria" w:eastAsia="Times New Roman" w:hAnsi="Cambria" w:cs="Calibri"/>
                <w:color w:val="000000"/>
              </w:rPr>
              <w:t>22</w:t>
            </w:r>
          </w:p>
        </w:tc>
      </w:tr>
      <w:tr w:rsidR="00B5685C" w:rsidRPr="00B5685C" w14:paraId="20EB908F" w14:textId="77777777" w:rsidTr="00B568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545B0989" w14:textId="77777777" w:rsidR="00B5685C" w:rsidRPr="00B5685C" w:rsidRDefault="00B5685C" w:rsidP="00CB1007">
            <w:pPr>
              <w:rPr>
                <w:rFonts w:ascii="Cambria" w:eastAsia="Times New Roman" w:hAnsi="Cambria" w:cs="Calibri"/>
                <w:color w:val="000000"/>
              </w:rPr>
            </w:pPr>
            <w:r w:rsidRPr="00B5685C">
              <w:rPr>
                <w:rFonts w:ascii="Cambria" w:eastAsia="Times New Roman" w:hAnsi="Cambria" w:cs="Calibri"/>
                <w:color w:val="000000"/>
              </w:rPr>
              <w:t>School Ministry</w:t>
            </w:r>
          </w:p>
        </w:tc>
        <w:tc>
          <w:tcPr>
            <w:tcW w:w="960" w:type="dxa"/>
            <w:noWrap/>
            <w:hideMark/>
          </w:tcPr>
          <w:p w14:paraId="4389B9CA" w14:textId="77777777" w:rsidR="00B5685C" w:rsidRPr="00B5685C" w:rsidRDefault="00B5685C" w:rsidP="00CB1007">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rPr>
            </w:pPr>
            <w:r w:rsidRPr="00B5685C">
              <w:rPr>
                <w:rFonts w:ascii="Cambria" w:eastAsia="Times New Roman" w:hAnsi="Cambria" w:cs="Calibri"/>
                <w:color w:val="000000"/>
              </w:rPr>
              <w:t>13</w:t>
            </w:r>
          </w:p>
        </w:tc>
        <w:tc>
          <w:tcPr>
            <w:tcW w:w="960" w:type="dxa"/>
            <w:noWrap/>
            <w:hideMark/>
          </w:tcPr>
          <w:p w14:paraId="15A95F3D" w14:textId="77777777" w:rsidR="00B5685C" w:rsidRPr="00B5685C" w:rsidRDefault="00B5685C" w:rsidP="00CB1007">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rPr>
            </w:pPr>
            <w:r w:rsidRPr="00B5685C">
              <w:rPr>
                <w:rFonts w:ascii="Cambria" w:eastAsia="Times New Roman" w:hAnsi="Cambria" w:cs="Calibri"/>
                <w:color w:val="000000"/>
              </w:rPr>
              <w:t>15</w:t>
            </w:r>
          </w:p>
        </w:tc>
        <w:tc>
          <w:tcPr>
            <w:tcW w:w="960" w:type="dxa"/>
            <w:noWrap/>
            <w:hideMark/>
          </w:tcPr>
          <w:p w14:paraId="1DB76D5F" w14:textId="77777777" w:rsidR="00B5685C" w:rsidRPr="00B5685C" w:rsidRDefault="00B5685C" w:rsidP="00CB1007">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rPr>
            </w:pPr>
            <w:r w:rsidRPr="00B5685C">
              <w:rPr>
                <w:rFonts w:ascii="Cambria" w:eastAsia="Times New Roman" w:hAnsi="Cambria" w:cs="Calibri"/>
                <w:color w:val="000000"/>
              </w:rPr>
              <w:t>15</w:t>
            </w:r>
          </w:p>
        </w:tc>
      </w:tr>
      <w:tr w:rsidR="00B5685C" w:rsidRPr="00B5685C" w14:paraId="3951F8C7" w14:textId="77777777" w:rsidTr="00B5685C">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08157686" w14:textId="77777777" w:rsidR="00B5685C" w:rsidRPr="00B5685C" w:rsidRDefault="00B5685C" w:rsidP="00CB1007">
            <w:pPr>
              <w:rPr>
                <w:rFonts w:ascii="Cambria" w:eastAsia="Times New Roman" w:hAnsi="Cambria" w:cs="Calibri"/>
                <w:color w:val="000000"/>
              </w:rPr>
            </w:pPr>
            <w:r w:rsidRPr="00B5685C">
              <w:rPr>
                <w:rFonts w:ascii="Cambria" w:eastAsia="Times New Roman" w:hAnsi="Cambria" w:cs="Calibri"/>
                <w:color w:val="000000"/>
              </w:rPr>
              <w:t>Worship &amp; Music</w:t>
            </w:r>
          </w:p>
        </w:tc>
        <w:tc>
          <w:tcPr>
            <w:tcW w:w="960" w:type="dxa"/>
            <w:noWrap/>
            <w:hideMark/>
          </w:tcPr>
          <w:p w14:paraId="3A70AB7A" w14:textId="77777777" w:rsidR="00B5685C" w:rsidRPr="00B5685C" w:rsidRDefault="00B5685C" w:rsidP="00CB1007">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rPr>
            </w:pPr>
            <w:r w:rsidRPr="00B5685C">
              <w:rPr>
                <w:rFonts w:ascii="Cambria" w:eastAsia="Times New Roman" w:hAnsi="Cambria" w:cs="Calibri"/>
                <w:color w:val="000000"/>
              </w:rPr>
              <w:t>7</w:t>
            </w:r>
          </w:p>
        </w:tc>
        <w:tc>
          <w:tcPr>
            <w:tcW w:w="960" w:type="dxa"/>
            <w:noWrap/>
            <w:hideMark/>
          </w:tcPr>
          <w:p w14:paraId="0F6F3506" w14:textId="77777777" w:rsidR="00B5685C" w:rsidRPr="00B5685C" w:rsidRDefault="00B5685C" w:rsidP="00CB1007">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rPr>
            </w:pPr>
            <w:r w:rsidRPr="00B5685C">
              <w:rPr>
                <w:rFonts w:ascii="Cambria" w:eastAsia="Times New Roman" w:hAnsi="Cambria" w:cs="Calibri"/>
                <w:color w:val="000000"/>
              </w:rPr>
              <w:t>5</w:t>
            </w:r>
          </w:p>
        </w:tc>
        <w:tc>
          <w:tcPr>
            <w:tcW w:w="960" w:type="dxa"/>
            <w:noWrap/>
            <w:hideMark/>
          </w:tcPr>
          <w:p w14:paraId="3851E885" w14:textId="77777777" w:rsidR="00B5685C" w:rsidRPr="00B5685C" w:rsidRDefault="00B5685C" w:rsidP="00CB1007">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rPr>
            </w:pPr>
            <w:r w:rsidRPr="00B5685C">
              <w:rPr>
                <w:rFonts w:ascii="Cambria" w:eastAsia="Times New Roman" w:hAnsi="Cambria" w:cs="Calibri"/>
                <w:color w:val="000000"/>
              </w:rPr>
              <w:t>2</w:t>
            </w:r>
          </w:p>
        </w:tc>
      </w:tr>
      <w:tr w:rsidR="00B5685C" w:rsidRPr="00B5685C" w14:paraId="18C0BF3B" w14:textId="77777777" w:rsidTr="00B568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18C1C88E" w14:textId="77777777" w:rsidR="00B5685C" w:rsidRPr="00B5685C" w:rsidRDefault="00B5685C" w:rsidP="00CB1007">
            <w:pPr>
              <w:rPr>
                <w:rFonts w:ascii="Cambria" w:eastAsia="Times New Roman" w:hAnsi="Cambria" w:cs="Calibri"/>
                <w:color w:val="000000"/>
              </w:rPr>
            </w:pPr>
            <w:r w:rsidRPr="00B5685C">
              <w:rPr>
                <w:rFonts w:ascii="Cambria" w:eastAsia="Times New Roman" w:hAnsi="Cambria" w:cs="Calibri"/>
                <w:color w:val="000000"/>
              </w:rPr>
              <w:t>Youth &amp; Young Adult</w:t>
            </w:r>
          </w:p>
        </w:tc>
        <w:tc>
          <w:tcPr>
            <w:tcW w:w="960" w:type="dxa"/>
            <w:noWrap/>
            <w:hideMark/>
          </w:tcPr>
          <w:p w14:paraId="5D37B664" w14:textId="77777777" w:rsidR="00B5685C" w:rsidRPr="00B5685C" w:rsidRDefault="00B5685C" w:rsidP="00CB1007">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rPr>
            </w:pPr>
            <w:r w:rsidRPr="00B5685C">
              <w:rPr>
                <w:rFonts w:ascii="Cambria" w:eastAsia="Times New Roman" w:hAnsi="Cambria" w:cs="Calibri"/>
                <w:color w:val="000000"/>
              </w:rPr>
              <w:t>28</w:t>
            </w:r>
          </w:p>
        </w:tc>
        <w:tc>
          <w:tcPr>
            <w:tcW w:w="960" w:type="dxa"/>
            <w:noWrap/>
            <w:hideMark/>
          </w:tcPr>
          <w:p w14:paraId="3D5D0D1E" w14:textId="77777777" w:rsidR="00B5685C" w:rsidRPr="00B5685C" w:rsidRDefault="00B5685C" w:rsidP="00CB1007">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rPr>
            </w:pPr>
            <w:r w:rsidRPr="00B5685C">
              <w:rPr>
                <w:rFonts w:ascii="Cambria" w:eastAsia="Times New Roman" w:hAnsi="Cambria" w:cs="Calibri"/>
                <w:color w:val="000000"/>
              </w:rPr>
              <w:t>30</w:t>
            </w:r>
          </w:p>
        </w:tc>
        <w:tc>
          <w:tcPr>
            <w:tcW w:w="960" w:type="dxa"/>
            <w:noWrap/>
            <w:hideMark/>
          </w:tcPr>
          <w:p w14:paraId="35CD1C3A" w14:textId="77777777" w:rsidR="00B5685C" w:rsidRPr="00B5685C" w:rsidRDefault="00B5685C" w:rsidP="00CB1007">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rPr>
            </w:pPr>
            <w:r w:rsidRPr="00B5685C">
              <w:rPr>
                <w:rFonts w:ascii="Cambria" w:eastAsia="Times New Roman" w:hAnsi="Cambria" w:cs="Calibri"/>
                <w:color w:val="000000"/>
              </w:rPr>
              <w:t>27</w:t>
            </w:r>
          </w:p>
        </w:tc>
      </w:tr>
      <w:tr w:rsidR="00B5685C" w:rsidRPr="00B5685C" w14:paraId="2DCD697A" w14:textId="77777777" w:rsidTr="00B5685C">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3574EBF6" w14:textId="77777777" w:rsidR="00B5685C" w:rsidRPr="00B5685C" w:rsidRDefault="00B5685C" w:rsidP="00CB1007">
            <w:pPr>
              <w:rPr>
                <w:rFonts w:ascii="Cambria" w:eastAsia="Times New Roman" w:hAnsi="Cambria" w:cs="Calibri"/>
                <w:color w:val="000000"/>
              </w:rPr>
            </w:pPr>
            <w:r w:rsidRPr="00B5685C">
              <w:rPr>
                <w:rFonts w:ascii="Cambria" w:eastAsia="Times New Roman" w:hAnsi="Cambria" w:cs="Calibri"/>
                <w:color w:val="000000"/>
              </w:rPr>
              <w:t>Interns</w:t>
            </w:r>
          </w:p>
        </w:tc>
        <w:tc>
          <w:tcPr>
            <w:tcW w:w="960" w:type="dxa"/>
            <w:noWrap/>
            <w:hideMark/>
          </w:tcPr>
          <w:p w14:paraId="618D18AD" w14:textId="77777777" w:rsidR="00B5685C" w:rsidRPr="00B5685C" w:rsidRDefault="00B5685C" w:rsidP="00CB1007">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rPr>
            </w:pPr>
            <w:r w:rsidRPr="00B5685C">
              <w:rPr>
                <w:rFonts w:ascii="Cambria" w:eastAsia="Times New Roman" w:hAnsi="Cambria" w:cs="Calibri"/>
                <w:color w:val="000000"/>
              </w:rPr>
              <w:t>13</w:t>
            </w:r>
          </w:p>
        </w:tc>
        <w:tc>
          <w:tcPr>
            <w:tcW w:w="960" w:type="dxa"/>
            <w:noWrap/>
            <w:hideMark/>
          </w:tcPr>
          <w:p w14:paraId="7CF89CA8" w14:textId="77777777" w:rsidR="00B5685C" w:rsidRPr="00B5685C" w:rsidRDefault="00B5685C" w:rsidP="00CB1007">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rPr>
            </w:pPr>
          </w:p>
        </w:tc>
        <w:tc>
          <w:tcPr>
            <w:tcW w:w="960" w:type="dxa"/>
            <w:noWrap/>
            <w:hideMark/>
          </w:tcPr>
          <w:p w14:paraId="689EC3E0" w14:textId="77777777" w:rsidR="00B5685C" w:rsidRPr="00B5685C" w:rsidRDefault="00B5685C" w:rsidP="00CB100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rPr>
            </w:pPr>
          </w:p>
        </w:tc>
      </w:tr>
      <w:tr w:rsidR="00B5685C" w:rsidRPr="00B5685C" w14:paraId="2AB598F9" w14:textId="77777777" w:rsidTr="00B568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3C5445E3" w14:textId="77777777" w:rsidR="00B5685C" w:rsidRPr="00B5685C" w:rsidRDefault="00B5685C" w:rsidP="00CB1007">
            <w:pPr>
              <w:rPr>
                <w:rFonts w:ascii="Cambria" w:eastAsia="Times New Roman" w:hAnsi="Cambria" w:cs="Times New Roman"/>
              </w:rPr>
            </w:pPr>
          </w:p>
        </w:tc>
        <w:tc>
          <w:tcPr>
            <w:tcW w:w="960" w:type="dxa"/>
            <w:noWrap/>
            <w:hideMark/>
          </w:tcPr>
          <w:p w14:paraId="0809E3C5" w14:textId="77777777" w:rsidR="00B5685C" w:rsidRPr="00B5685C" w:rsidRDefault="00B5685C" w:rsidP="00CB1007">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rPr>
            </w:pPr>
            <w:r w:rsidRPr="00B5685C">
              <w:rPr>
                <w:rFonts w:ascii="Cambria" w:eastAsia="Times New Roman" w:hAnsi="Cambria" w:cs="Calibri"/>
                <w:color w:val="000000"/>
              </w:rPr>
              <w:t>197</w:t>
            </w:r>
          </w:p>
        </w:tc>
        <w:tc>
          <w:tcPr>
            <w:tcW w:w="960" w:type="dxa"/>
            <w:noWrap/>
            <w:hideMark/>
          </w:tcPr>
          <w:p w14:paraId="7E73A8EC" w14:textId="77777777" w:rsidR="00B5685C" w:rsidRPr="00B5685C" w:rsidRDefault="00B5685C" w:rsidP="00CB1007">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rPr>
            </w:pPr>
            <w:r w:rsidRPr="00B5685C">
              <w:rPr>
                <w:rFonts w:ascii="Cambria" w:eastAsia="Times New Roman" w:hAnsi="Cambria" w:cs="Calibri"/>
                <w:color w:val="000000"/>
              </w:rPr>
              <w:t>205</w:t>
            </w:r>
          </w:p>
        </w:tc>
        <w:tc>
          <w:tcPr>
            <w:tcW w:w="960" w:type="dxa"/>
            <w:noWrap/>
            <w:hideMark/>
          </w:tcPr>
          <w:p w14:paraId="362453F4" w14:textId="77777777" w:rsidR="00B5685C" w:rsidRPr="00B5685C" w:rsidRDefault="00B5685C" w:rsidP="00CB1007">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rPr>
            </w:pPr>
            <w:r w:rsidRPr="00B5685C">
              <w:rPr>
                <w:rFonts w:ascii="Cambria" w:eastAsia="Times New Roman" w:hAnsi="Cambria" w:cs="Calibri"/>
                <w:color w:val="000000"/>
              </w:rPr>
              <w:t>207</w:t>
            </w:r>
          </w:p>
        </w:tc>
      </w:tr>
    </w:tbl>
    <w:p w14:paraId="33D1A356" w14:textId="77777777" w:rsidR="00B2736C" w:rsidRDefault="00B2736C" w:rsidP="00B5685C">
      <w:pPr>
        <w:rPr>
          <w:rFonts w:ascii="Cambria" w:hAnsi="Cambria"/>
          <w:b/>
          <w:sz w:val="16"/>
        </w:rPr>
      </w:pPr>
    </w:p>
    <w:p w14:paraId="7011F283" w14:textId="13CB8E4C" w:rsidR="00B5685C" w:rsidRPr="00B5685C" w:rsidRDefault="00B5685C" w:rsidP="00B5685C">
      <w:pPr>
        <w:rPr>
          <w:rFonts w:ascii="Cambria" w:hAnsi="Cambria"/>
          <w:b/>
        </w:rPr>
      </w:pPr>
      <w:r w:rsidRPr="00B5685C">
        <w:rPr>
          <w:rFonts w:ascii="Cambria" w:hAnsi="Cambria"/>
          <w:b/>
          <w:sz w:val="16"/>
        </w:rPr>
        <w:br/>
      </w:r>
      <w:r w:rsidRPr="00B5685C">
        <w:rPr>
          <w:rFonts w:ascii="Cambria" w:hAnsi="Cambria"/>
          <w:b/>
        </w:rPr>
        <w:t>Lay Wor</w:t>
      </w:r>
      <w:r w:rsidR="00B908E2">
        <w:rPr>
          <w:rFonts w:ascii="Cambria" w:hAnsi="Cambria"/>
          <w:b/>
        </w:rPr>
        <w:t>kers by M</w:t>
      </w:r>
      <w:r w:rsidRPr="00B5685C">
        <w:rPr>
          <w:rFonts w:ascii="Cambria" w:hAnsi="Cambria"/>
          <w:b/>
        </w:rPr>
        <w:t>inistry Area</w:t>
      </w:r>
    </w:p>
    <w:tbl>
      <w:tblPr>
        <w:tblStyle w:val="PlainTable2"/>
        <w:tblW w:w="5500" w:type="dxa"/>
        <w:tblLook w:val="04A0" w:firstRow="1" w:lastRow="0" w:firstColumn="1" w:lastColumn="0" w:noHBand="0" w:noVBand="1"/>
      </w:tblPr>
      <w:tblGrid>
        <w:gridCol w:w="2620"/>
        <w:gridCol w:w="960"/>
        <w:gridCol w:w="960"/>
        <w:gridCol w:w="960"/>
      </w:tblGrid>
      <w:tr w:rsidR="00B5685C" w:rsidRPr="00B5685C" w14:paraId="13A007B3" w14:textId="77777777" w:rsidTr="00B5685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0" w:type="dxa"/>
            <w:noWrap/>
            <w:hideMark/>
          </w:tcPr>
          <w:p w14:paraId="7B917F47" w14:textId="77777777" w:rsidR="00B5685C" w:rsidRPr="00B5685C" w:rsidRDefault="00B5685C" w:rsidP="00CB1007">
            <w:pPr>
              <w:rPr>
                <w:rFonts w:ascii="Cambria" w:eastAsia="Times New Roman" w:hAnsi="Cambria" w:cs="Times New Roman"/>
              </w:rPr>
            </w:pPr>
          </w:p>
        </w:tc>
        <w:tc>
          <w:tcPr>
            <w:tcW w:w="960" w:type="dxa"/>
            <w:noWrap/>
            <w:hideMark/>
          </w:tcPr>
          <w:p w14:paraId="17CCB205" w14:textId="77777777" w:rsidR="00B5685C" w:rsidRPr="00B5685C" w:rsidRDefault="00B5685C" w:rsidP="00CB1007">
            <w:pPr>
              <w:jc w:val="right"/>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rPr>
            </w:pPr>
            <w:r w:rsidRPr="00B5685C">
              <w:rPr>
                <w:rFonts w:ascii="Cambria" w:eastAsia="Times New Roman" w:hAnsi="Cambria" w:cs="Calibri"/>
                <w:color w:val="000000"/>
              </w:rPr>
              <w:t>2017</w:t>
            </w:r>
          </w:p>
        </w:tc>
        <w:tc>
          <w:tcPr>
            <w:tcW w:w="960" w:type="dxa"/>
            <w:noWrap/>
            <w:hideMark/>
          </w:tcPr>
          <w:p w14:paraId="22D61A99" w14:textId="77777777" w:rsidR="00B5685C" w:rsidRPr="00B5685C" w:rsidRDefault="00B5685C" w:rsidP="00CB1007">
            <w:pPr>
              <w:jc w:val="right"/>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rPr>
            </w:pPr>
            <w:r w:rsidRPr="00B5685C">
              <w:rPr>
                <w:rFonts w:ascii="Cambria" w:eastAsia="Times New Roman" w:hAnsi="Cambria" w:cs="Calibri"/>
                <w:color w:val="000000"/>
              </w:rPr>
              <w:t>2016</w:t>
            </w:r>
          </w:p>
        </w:tc>
        <w:tc>
          <w:tcPr>
            <w:tcW w:w="960" w:type="dxa"/>
            <w:noWrap/>
            <w:hideMark/>
          </w:tcPr>
          <w:p w14:paraId="0AC71C94" w14:textId="77777777" w:rsidR="00B5685C" w:rsidRPr="00B5685C" w:rsidRDefault="00B5685C" w:rsidP="00CB1007">
            <w:pPr>
              <w:jc w:val="right"/>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rPr>
            </w:pPr>
            <w:r w:rsidRPr="00B5685C">
              <w:rPr>
                <w:rFonts w:ascii="Cambria" w:eastAsia="Times New Roman" w:hAnsi="Cambria" w:cs="Calibri"/>
                <w:color w:val="000000"/>
              </w:rPr>
              <w:t>2015</w:t>
            </w:r>
          </w:p>
        </w:tc>
      </w:tr>
      <w:tr w:rsidR="00B5685C" w:rsidRPr="00B5685C" w14:paraId="511CD237" w14:textId="77777777" w:rsidTr="00B568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0" w:type="dxa"/>
            <w:noWrap/>
            <w:hideMark/>
          </w:tcPr>
          <w:p w14:paraId="7D541EC3" w14:textId="77777777" w:rsidR="00B5685C" w:rsidRPr="00B5685C" w:rsidRDefault="00B5685C" w:rsidP="00CB1007">
            <w:pPr>
              <w:rPr>
                <w:rFonts w:ascii="Cambria" w:eastAsia="Times New Roman" w:hAnsi="Cambria" w:cs="Calibri"/>
                <w:color w:val="000000"/>
              </w:rPr>
            </w:pPr>
            <w:r w:rsidRPr="00B5685C">
              <w:rPr>
                <w:rFonts w:ascii="Cambria" w:eastAsia="Times New Roman" w:hAnsi="Cambria" w:cs="Calibri"/>
                <w:color w:val="000000"/>
              </w:rPr>
              <w:t>LCA Employees</w:t>
            </w:r>
          </w:p>
        </w:tc>
        <w:tc>
          <w:tcPr>
            <w:tcW w:w="960" w:type="dxa"/>
            <w:noWrap/>
            <w:hideMark/>
          </w:tcPr>
          <w:p w14:paraId="1F2D1CA6" w14:textId="77777777" w:rsidR="00B5685C" w:rsidRPr="00B5685C" w:rsidRDefault="00B5685C" w:rsidP="00CB1007">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rPr>
            </w:pPr>
            <w:r w:rsidRPr="00B5685C">
              <w:rPr>
                <w:rFonts w:ascii="Cambria" w:eastAsia="Times New Roman" w:hAnsi="Cambria" w:cs="Calibri"/>
                <w:color w:val="000000"/>
              </w:rPr>
              <w:t>22</w:t>
            </w:r>
          </w:p>
        </w:tc>
        <w:tc>
          <w:tcPr>
            <w:tcW w:w="960" w:type="dxa"/>
            <w:noWrap/>
            <w:hideMark/>
          </w:tcPr>
          <w:p w14:paraId="20B0BEE2" w14:textId="77777777" w:rsidR="00B5685C" w:rsidRPr="00B5685C" w:rsidRDefault="00B5685C" w:rsidP="00CB1007">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rPr>
            </w:pPr>
            <w:r w:rsidRPr="00B5685C">
              <w:rPr>
                <w:rFonts w:ascii="Cambria" w:eastAsia="Times New Roman" w:hAnsi="Cambria" w:cs="Calibri"/>
                <w:color w:val="000000"/>
              </w:rPr>
              <w:t>19</w:t>
            </w:r>
          </w:p>
        </w:tc>
        <w:tc>
          <w:tcPr>
            <w:tcW w:w="960" w:type="dxa"/>
            <w:noWrap/>
            <w:hideMark/>
          </w:tcPr>
          <w:p w14:paraId="3797AEE1" w14:textId="77777777" w:rsidR="00B5685C" w:rsidRPr="00B5685C" w:rsidRDefault="00B5685C" w:rsidP="00CB1007">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rPr>
            </w:pPr>
          </w:p>
        </w:tc>
      </w:tr>
      <w:tr w:rsidR="00B5685C" w:rsidRPr="00B5685C" w14:paraId="7AE285BB" w14:textId="77777777" w:rsidTr="00B5685C">
        <w:trPr>
          <w:trHeight w:val="300"/>
        </w:trPr>
        <w:tc>
          <w:tcPr>
            <w:cnfStyle w:val="001000000000" w:firstRow="0" w:lastRow="0" w:firstColumn="1" w:lastColumn="0" w:oddVBand="0" w:evenVBand="0" w:oddHBand="0" w:evenHBand="0" w:firstRowFirstColumn="0" w:firstRowLastColumn="0" w:lastRowFirstColumn="0" w:lastRowLastColumn="0"/>
            <w:tcW w:w="2620" w:type="dxa"/>
            <w:noWrap/>
            <w:hideMark/>
          </w:tcPr>
          <w:p w14:paraId="59B97812" w14:textId="77777777" w:rsidR="00B5685C" w:rsidRPr="00B5685C" w:rsidRDefault="00B5685C" w:rsidP="00CB1007">
            <w:pPr>
              <w:rPr>
                <w:rFonts w:ascii="Cambria" w:eastAsia="Times New Roman" w:hAnsi="Cambria" w:cs="Calibri"/>
                <w:color w:val="000000"/>
              </w:rPr>
            </w:pPr>
            <w:r w:rsidRPr="00B5685C">
              <w:rPr>
                <w:rFonts w:ascii="Cambria" w:eastAsia="Times New Roman" w:hAnsi="Cambria" w:cs="Calibri"/>
                <w:color w:val="000000"/>
              </w:rPr>
              <w:t>QLD</w:t>
            </w:r>
          </w:p>
        </w:tc>
        <w:tc>
          <w:tcPr>
            <w:tcW w:w="960" w:type="dxa"/>
            <w:noWrap/>
            <w:hideMark/>
          </w:tcPr>
          <w:p w14:paraId="3B40408D" w14:textId="77777777" w:rsidR="00B5685C" w:rsidRPr="00B5685C" w:rsidRDefault="00B5685C" w:rsidP="00CB1007">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rPr>
            </w:pPr>
            <w:r w:rsidRPr="00B5685C">
              <w:rPr>
                <w:rFonts w:ascii="Cambria" w:eastAsia="Times New Roman" w:hAnsi="Cambria" w:cs="Calibri"/>
                <w:color w:val="000000"/>
              </w:rPr>
              <w:t>64</w:t>
            </w:r>
          </w:p>
        </w:tc>
        <w:tc>
          <w:tcPr>
            <w:tcW w:w="960" w:type="dxa"/>
            <w:noWrap/>
            <w:hideMark/>
          </w:tcPr>
          <w:p w14:paraId="2AF93E49" w14:textId="77777777" w:rsidR="00B5685C" w:rsidRPr="00B5685C" w:rsidRDefault="00B5685C" w:rsidP="00CB1007">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rPr>
            </w:pPr>
            <w:r w:rsidRPr="00B5685C">
              <w:rPr>
                <w:rFonts w:ascii="Cambria" w:eastAsia="Times New Roman" w:hAnsi="Cambria" w:cs="Calibri"/>
                <w:color w:val="000000"/>
              </w:rPr>
              <w:t>65</w:t>
            </w:r>
          </w:p>
        </w:tc>
        <w:tc>
          <w:tcPr>
            <w:tcW w:w="960" w:type="dxa"/>
            <w:noWrap/>
            <w:hideMark/>
          </w:tcPr>
          <w:p w14:paraId="36D740ED" w14:textId="77777777" w:rsidR="00B5685C" w:rsidRPr="00B5685C" w:rsidRDefault="00B5685C" w:rsidP="00CB1007">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rPr>
            </w:pPr>
            <w:r w:rsidRPr="00B5685C">
              <w:rPr>
                <w:rFonts w:ascii="Cambria" w:eastAsia="Times New Roman" w:hAnsi="Cambria" w:cs="Calibri"/>
                <w:color w:val="000000"/>
              </w:rPr>
              <w:t>64</w:t>
            </w:r>
          </w:p>
        </w:tc>
      </w:tr>
      <w:tr w:rsidR="00B5685C" w:rsidRPr="00B5685C" w14:paraId="008A519E" w14:textId="77777777" w:rsidTr="00B568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0" w:type="dxa"/>
            <w:noWrap/>
            <w:hideMark/>
          </w:tcPr>
          <w:p w14:paraId="5F315BA1" w14:textId="77777777" w:rsidR="00B5685C" w:rsidRPr="00B5685C" w:rsidRDefault="00B5685C" w:rsidP="00CB1007">
            <w:pPr>
              <w:rPr>
                <w:rFonts w:ascii="Cambria" w:eastAsia="Times New Roman" w:hAnsi="Cambria" w:cs="Calibri"/>
                <w:color w:val="000000"/>
              </w:rPr>
            </w:pPr>
            <w:r w:rsidRPr="00B5685C">
              <w:rPr>
                <w:rFonts w:ascii="Cambria" w:eastAsia="Times New Roman" w:hAnsi="Cambria" w:cs="Calibri"/>
                <w:color w:val="000000"/>
              </w:rPr>
              <w:t>SA/NT</w:t>
            </w:r>
          </w:p>
        </w:tc>
        <w:tc>
          <w:tcPr>
            <w:tcW w:w="960" w:type="dxa"/>
            <w:noWrap/>
            <w:hideMark/>
          </w:tcPr>
          <w:p w14:paraId="039523B5" w14:textId="77777777" w:rsidR="00B5685C" w:rsidRPr="00B5685C" w:rsidRDefault="00B5685C" w:rsidP="00CB1007">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rPr>
            </w:pPr>
            <w:r w:rsidRPr="00B5685C">
              <w:rPr>
                <w:rFonts w:ascii="Cambria" w:eastAsia="Times New Roman" w:hAnsi="Cambria" w:cs="Calibri"/>
                <w:color w:val="000000"/>
              </w:rPr>
              <w:t>41</w:t>
            </w:r>
          </w:p>
        </w:tc>
        <w:tc>
          <w:tcPr>
            <w:tcW w:w="960" w:type="dxa"/>
            <w:noWrap/>
            <w:hideMark/>
          </w:tcPr>
          <w:p w14:paraId="0B877FAB" w14:textId="77777777" w:rsidR="00B5685C" w:rsidRPr="00B5685C" w:rsidRDefault="00B5685C" w:rsidP="00CB1007">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rPr>
            </w:pPr>
            <w:r w:rsidRPr="00B5685C">
              <w:rPr>
                <w:rFonts w:ascii="Cambria" w:eastAsia="Times New Roman" w:hAnsi="Cambria" w:cs="Calibri"/>
                <w:color w:val="000000"/>
              </w:rPr>
              <w:t>50</w:t>
            </w:r>
          </w:p>
        </w:tc>
        <w:tc>
          <w:tcPr>
            <w:tcW w:w="960" w:type="dxa"/>
            <w:noWrap/>
            <w:hideMark/>
          </w:tcPr>
          <w:p w14:paraId="68397D57" w14:textId="77777777" w:rsidR="00B5685C" w:rsidRPr="00B5685C" w:rsidRDefault="00B5685C" w:rsidP="00CB1007">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rPr>
            </w:pPr>
            <w:r w:rsidRPr="00B5685C">
              <w:rPr>
                <w:rFonts w:ascii="Cambria" w:eastAsia="Times New Roman" w:hAnsi="Cambria" w:cs="Calibri"/>
                <w:color w:val="000000"/>
              </w:rPr>
              <w:t>77</w:t>
            </w:r>
          </w:p>
        </w:tc>
      </w:tr>
      <w:tr w:rsidR="00B5685C" w:rsidRPr="00B5685C" w14:paraId="40A9C45C" w14:textId="77777777" w:rsidTr="00B5685C">
        <w:trPr>
          <w:trHeight w:val="300"/>
        </w:trPr>
        <w:tc>
          <w:tcPr>
            <w:cnfStyle w:val="001000000000" w:firstRow="0" w:lastRow="0" w:firstColumn="1" w:lastColumn="0" w:oddVBand="0" w:evenVBand="0" w:oddHBand="0" w:evenHBand="0" w:firstRowFirstColumn="0" w:firstRowLastColumn="0" w:lastRowFirstColumn="0" w:lastRowLastColumn="0"/>
            <w:tcW w:w="2620" w:type="dxa"/>
            <w:noWrap/>
            <w:hideMark/>
          </w:tcPr>
          <w:p w14:paraId="5569DA29" w14:textId="77777777" w:rsidR="00B5685C" w:rsidRPr="00B5685C" w:rsidRDefault="00B5685C" w:rsidP="00CB1007">
            <w:pPr>
              <w:rPr>
                <w:rFonts w:ascii="Cambria" w:eastAsia="Times New Roman" w:hAnsi="Cambria" w:cs="Calibri"/>
                <w:color w:val="000000"/>
              </w:rPr>
            </w:pPr>
            <w:r w:rsidRPr="00B5685C">
              <w:rPr>
                <w:rFonts w:ascii="Cambria" w:eastAsia="Times New Roman" w:hAnsi="Cambria" w:cs="Calibri"/>
                <w:color w:val="000000"/>
              </w:rPr>
              <w:t>Vic/Tas</w:t>
            </w:r>
          </w:p>
        </w:tc>
        <w:tc>
          <w:tcPr>
            <w:tcW w:w="960" w:type="dxa"/>
            <w:noWrap/>
            <w:hideMark/>
          </w:tcPr>
          <w:p w14:paraId="58E346D6" w14:textId="77777777" w:rsidR="00B5685C" w:rsidRPr="00B5685C" w:rsidRDefault="00B5685C" w:rsidP="00CB1007">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rPr>
            </w:pPr>
            <w:r w:rsidRPr="00B5685C">
              <w:rPr>
                <w:rFonts w:ascii="Cambria" w:eastAsia="Times New Roman" w:hAnsi="Cambria" w:cs="Calibri"/>
                <w:color w:val="000000"/>
              </w:rPr>
              <w:t>35</w:t>
            </w:r>
          </w:p>
        </w:tc>
        <w:tc>
          <w:tcPr>
            <w:tcW w:w="960" w:type="dxa"/>
            <w:noWrap/>
            <w:hideMark/>
          </w:tcPr>
          <w:p w14:paraId="22217349" w14:textId="77777777" w:rsidR="00B5685C" w:rsidRPr="00B5685C" w:rsidRDefault="00B5685C" w:rsidP="00CB1007">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rPr>
            </w:pPr>
            <w:r w:rsidRPr="00B5685C">
              <w:rPr>
                <w:rFonts w:ascii="Cambria" w:eastAsia="Times New Roman" w:hAnsi="Cambria" w:cs="Calibri"/>
                <w:color w:val="000000"/>
              </w:rPr>
              <w:t>43</w:t>
            </w:r>
          </w:p>
        </w:tc>
        <w:tc>
          <w:tcPr>
            <w:tcW w:w="960" w:type="dxa"/>
            <w:noWrap/>
            <w:hideMark/>
          </w:tcPr>
          <w:p w14:paraId="78506E70" w14:textId="77777777" w:rsidR="00B5685C" w:rsidRPr="00B5685C" w:rsidRDefault="00B5685C" w:rsidP="00CB1007">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rPr>
            </w:pPr>
            <w:r w:rsidRPr="00B5685C">
              <w:rPr>
                <w:rFonts w:ascii="Cambria" w:eastAsia="Times New Roman" w:hAnsi="Cambria" w:cs="Calibri"/>
                <w:color w:val="000000"/>
              </w:rPr>
              <w:t>39</w:t>
            </w:r>
          </w:p>
        </w:tc>
      </w:tr>
      <w:tr w:rsidR="00B5685C" w:rsidRPr="00B5685C" w14:paraId="2AD23241" w14:textId="77777777" w:rsidTr="00B568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0" w:type="dxa"/>
            <w:noWrap/>
            <w:hideMark/>
          </w:tcPr>
          <w:p w14:paraId="4BDED90F" w14:textId="77777777" w:rsidR="00B5685C" w:rsidRPr="00B5685C" w:rsidRDefault="00B5685C" w:rsidP="00CB1007">
            <w:pPr>
              <w:rPr>
                <w:rFonts w:ascii="Cambria" w:eastAsia="Times New Roman" w:hAnsi="Cambria" w:cs="Calibri"/>
                <w:color w:val="000000"/>
              </w:rPr>
            </w:pPr>
            <w:r w:rsidRPr="00B5685C">
              <w:rPr>
                <w:rFonts w:ascii="Cambria" w:eastAsia="Times New Roman" w:hAnsi="Cambria" w:cs="Calibri"/>
                <w:color w:val="000000"/>
              </w:rPr>
              <w:t>NSW</w:t>
            </w:r>
          </w:p>
        </w:tc>
        <w:tc>
          <w:tcPr>
            <w:tcW w:w="960" w:type="dxa"/>
            <w:noWrap/>
            <w:hideMark/>
          </w:tcPr>
          <w:p w14:paraId="3F39F3E9" w14:textId="77777777" w:rsidR="00B5685C" w:rsidRPr="00B5685C" w:rsidRDefault="00B5685C" w:rsidP="00CB1007">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rPr>
            </w:pPr>
            <w:r w:rsidRPr="00B5685C">
              <w:rPr>
                <w:rFonts w:ascii="Cambria" w:eastAsia="Times New Roman" w:hAnsi="Cambria" w:cs="Calibri"/>
                <w:color w:val="000000"/>
              </w:rPr>
              <w:t>15</w:t>
            </w:r>
          </w:p>
        </w:tc>
        <w:tc>
          <w:tcPr>
            <w:tcW w:w="960" w:type="dxa"/>
            <w:noWrap/>
            <w:hideMark/>
          </w:tcPr>
          <w:p w14:paraId="2D4EF4DB" w14:textId="77777777" w:rsidR="00B5685C" w:rsidRPr="00B5685C" w:rsidRDefault="00B5685C" w:rsidP="00CB1007">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rPr>
            </w:pPr>
            <w:r w:rsidRPr="00B5685C">
              <w:rPr>
                <w:rFonts w:ascii="Cambria" w:eastAsia="Times New Roman" w:hAnsi="Cambria" w:cs="Calibri"/>
                <w:color w:val="000000"/>
              </w:rPr>
              <w:t>13</w:t>
            </w:r>
          </w:p>
        </w:tc>
        <w:tc>
          <w:tcPr>
            <w:tcW w:w="960" w:type="dxa"/>
            <w:noWrap/>
            <w:hideMark/>
          </w:tcPr>
          <w:p w14:paraId="49144CC6" w14:textId="77777777" w:rsidR="00B5685C" w:rsidRPr="00B5685C" w:rsidRDefault="00B5685C" w:rsidP="00CB1007">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rPr>
            </w:pPr>
            <w:r w:rsidRPr="00B5685C">
              <w:rPr>
                <w:rFonts w:ascii="Cambria" w:eastAsia="Times New Roman" w:hAnsi="Cambria" w:cs="Calibri"/>
                <w:color w:val="000000"/>
              </w:rPr>
              <w:t>16</w:t>
            </w:r>
          </w:p>
        </w:tc>
      </w:tr>
      <w:tr w:rsidR="00B5685C" w:rsidRPr="00B5685C" w14:paraId="037963CE" w14:textId="77777777" w:rsidTr="00B5685C">
        <w:trPr>
          <w:trHeight w:val="300"/>
        </w:trPr>
        <w:tc>
          <w:tcPr>
            <w:cnfStyle w:val="001000000000" w:firstRow="0" w:lastRow="0" w:firstColumn="1" w:lastColumn="0" w:oddVBand="0" w:evenVBand="0" w:oddHBand="0" w:evenHBand="0" w:firstRowFirstColumn="0" w:firstRowLastColumn="0" w:lastRowFirstColumn="0" w:lastRowLastColumn="0"/>
            <w:tcW w:w="2620" w:type="dxa"/>
            <w:noWrap/>
            <w:hideMark/>
          </w:tcPr>
          <w:p w14:paraId="5CDEB7C9" w14:textId="77777777" w:rsidR="00B5685C" w:rsidRPr="00B5685C" w:rsidRDefault="00B5685C" w:rsidP="00CB1007">
            <w:pPr>
              <w:rPr>
                <w:rFonts w:ascii="Cambria" w:eastAsia="Times New Roman" w:hAnsi="Cambria" w:cs="Calibri"/>
                <w:color w:val="000000"/>
              </w:rPr>
            </w:pPr>
            <w:r w:rsidRPr="00B5685C">
              <w:rPr>
                <w:rFonts w:ascii="Cambria" w:eastAsia="Times New Roman" w:hAnsi="Cambria" w:cs="Calibri"/>
                <w:color w:val="000000"/>
              </w:rPr>
              <w:t>WA</w:t>
            </w:r>
          </w:p>
        </w:tc>
        <w:tc>
          <w:tcPr>
            <w:tcW w:w="960" w:type="dxa"/>
            <w:noWrap/>
            <w:hideMark/>
          </w:tcPr>
          <w:p w14:paraId="673D817E" w14:textId="77777777" w:rsidR="00B5685C" w:rsidRPr="00B5685C" w:rsidRDefault="00B5685C" w:rsidP="00CB1007">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rPr>
            </w:pPr>
            <w:r w:rsidRPr="00B5685C">
              <w:rPr>
                <w:rFonts w:ascii="Cambria" w:eastAsia="Times New Roman" w:hAnsi="Cambria" w:cs="Calibri"/>
                <w:color w:val="000000"/>
              </w:rPr>
              <w:t>5</w:t>
            </w:r>
          </w:p>
        </w:tc>
        <w:tc>
          <w:tcPr>
            <w:tcW w:w="960" w:type="dxa"/>
            <w:noWrap/>
            <w:hideMark/>
          </w:tcPr>
          <w:p w14:paraId="3D9DB90F" w14:textId="77777777" w:rsidR="00B5685C" w:rsidRPr="00B5685C" w:rsidRDefault="00B5685C" w:rsidP="00CB1007">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rPr>
            </w:pPr>
            <w:r w:rsidRPr="00B5685C">
              <w:rPr>
                <w:rFonts w:ascii="Cambria" w:eastAsia="Times New Roman" w:hAnsi="Cambria" w:cs="Calibri"/>
                <w:color w:val="000000"/>
              </w:rPr>
              <w:t>5</w:t>
            </w:r>
          </w:p>
        </w:tc>
        <w:tc>
          <w:tcPr>
            <w:tcW w:w="960" w:type="dxa"/>
            <w:noWrap/>
            <w:hideMark/>
          </w:tcPr>
          <w:p w14:paraId="66D138B5" w14:textId="77777777" w:rsidR="00B5685C" w:rsidRPr="00B5685C" w:rsidRDefault="00B5685C" w:rsidP="00CB1007">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rPr>
            </w:pPr>
            <w:r w:rsidRPr="00B5685C">
              <w:rPr>
                <w:rFonts w:ascii="Cambria" w:eastAsia="Times New Roman" w:hAnsi="Cambria" w:cs="Calibri"/>
                <w:color w:val="000000"/>
              </w:rPr>
              <w:t>7</w:t>
            </w:r>
          </w:p>
        </w:tc>
      </w:tr>
      <w:tr w:rsidR="00B5685C" w:rsidRPr="00B5685C" w14:paraId="72F9A0FC" w14:textId="77777777" w:rsidTr="00B568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0" w:type="dxa"/>
            <w:noWrap/>
            <w:hideMark/>
          </w:tcPr>
          <w:p w14:paraId="62F68676" w14:textId="77777777" w:rsidR="00B5685C" w:rsidRPr="00B5685C" w:rsidRDefault="00B5685C" w:rsidP="00CB1007">
            <w:pPr>
              <w:rPr>
                <w:rFonts w:ascii="Cambria" w:eastAsia="Times New Roman" w:hAnsi="Cambria" w:cs="Calibri"/>
                <w:color w:val="000000"/>
              </w:rPr>
            </w:pPr>
            <w:r w:rsidRPr="00B5685C">
              <w:rPr>
                <w:rFonts w:ascii="Cambria" w:eastAsia="Times New Roman" w:hAnsi="Cambria" w:cs="Calibri"/>
                <w:color w:val="000000"/>
              </w:rPr>
              <w:t>NZ</w:t>
            </w:r>
          </w:p>
        </w:tc>
        <w:tc>
          <w:tcPr>
            <w:tcW w:w="960" w:type="dxa"/>
            <w:noWrap/>
            <w:hideMark/>
          </w:tcPr>
          <w:p w14:paraId="269158A7" w14:textId="77777777" w:rsidR="00B5685C" w:rsidRPr="00B5685C" w:rsidRDefault="00B5685C" w:rsidP="00CB1007">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rPr>
            </w:pPr>
            <w:r w:rsidRPr="00B5685C">
              <w:rPr>
                <w:rFonts w:ascii="Cambria" w:eastAsia="Times New Roman" w:hAnsi="Cambria" w:cs="Calibri"/>
                <w:color w:val="000000"/>
              </w:rPr>
              <w:t>5</w:t>
            </w:r>
          </w:p>
        </w:tc>
        <w:tc>
          <w:tcPr>
            <w:tcW w:w="960" w:type="dxa"/>
            <w:noWrap/>
            <w:hideMark/>
          </w:tcPr>
          <w:p w14:paraId="3102B4D8" w14:textId="77777777" w:rsidR="00B5685C" w:rsidRPr="00B5685C" w:rsidRDefault="00B5685C" w:rsidP="00CB1007">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rPr>
            </w:pPr>
            <w:r w:rsidRPr="00B5685C">
              <w:rPr>
                <w:rFonts w:ascii="Cambria" w:eastAsia="Times New Roman" w:hAnsi="Cambria" w:cs="Calibri"/>
                <w:color w:val="000000"/>
              </w:rPr>
              <w:t>5</w:t>
            </w:r>
          </w:p>
        </w:tc>
        <w:tc>
          <w:tcPr>
            <w:tcW w:w="960" w:type="dxa"/>
            <w:noWrap/>
            <w:hideMark/>
          </w:tcPr>
          <w:p w14:paraId="4FE08275" w14:textId="77777777" w:rsidR="00B5685C" w:rsidRPr="00B5685C" w:rsidRDefault="00B5685C" w:rsidP="00CB1007">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rPr>
            </w:pPr>
            <w:r w:rsidRPr="00B5685C">
              <w:rPr>
                <w:rFonts w:ascii="Cambria" w:eastAsia="Times New Roman" w:hAnsi="Cambria" w:cs="Calibri"/>
                <w:color w:val="000000"/>
              </w:rPr>
              <w:t>4</w:t>
            </w:r>
          </w:p>
        </w:tc>
      </w:tr>
      <w:tr w:rsidR="00B5685C" w:rsidRPr="00B5685C" w14:paraId="301FD06F" w14:textId="77777777" w:rsidTr="00B5685C">
        <w:trPr>
          <w:trHeight w:val="300"/>
        </w:trPr>
        <w:tc>
          <w:tcPr>
            <w:cnfStyle w:val="001000000000" w:firstRow="0" w:lastRow="0" w:firstColumn="1" w:lastColumn="0" w:oddVBand="0" w:evenVBand="0" w:oddHBand="0" w:evenHBand="0" w:firstRowFirstColumn="0" w:firstRowLastColumn="0" w:lastRowFirstColumn="0" w:lastRowLastColumn="0"/>
            <w:tcW w:w="2620" w:type="dxa"/>
            <w:noWrap/>
            <w:hideMark/>
          </w:tcPr>
          <w:p w14:paraId="6DA1E59F" w14:textId="77777777" w:rsidR="00B5685C" w:rsidRPr="00B5685C" w:rsidRDefault="00B5685C" w:rsidP="00CB1007">
            <w:pPr>
              <w:rPr>
                <w:rFonts w:ascii="Cambria" w:eastAsia="Times New Roman" w:hAnsi="Cambria" w:cs="Calibri"/>
                <w:color w:val="000000"/>
              </w:rPr>
            </w:pPr>
            <w:r w:rsidRPr="00B5685C">
              <w:rPr>
                <w:rFonts w:ascii="Cambria" w:eastAsia="Times New Roman" w:hAnsi="Cambria" w:cs="Calibri"/>
                <w:color w:val="000000"/>
              </w:rPr>
              <w:t>ALWS</w:t>
            </w:r>
          </w:p>
        </w:tc>
        <w:tc>
          <w:tcPr>
            <w:tcW w:w="960" w:type="dxa"/>
            <w:noWrap/>
            <w:hideMark/>
          </w:tcPr>
          <w:p w14:paraId="76F2EB30" w14:textId="77777777" w:rsidR="00B5685C" w:rsidRPr="00B5685C" w:rsidRDefault="00B5685C" w:rsidP="00CB1007">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rPr>
            </w:pPr>
            <w:r w:rsidRPr="00B5685C">
              <w:rPr>
                <w:rFonts w:ascii="Cambria" w:eastAsia="Times New Roman" w:hAnsi="Cambria" w:cs="Calibri"/>
                <w:color w:val="000000"/>
              </w:rPr>
              <w:t>8</w:t>
            </w:r>
          </w:p>
        </w:tc>
        <w:tc>
          <w:tcPr>
            <w:tcW w:w="960" w:type="dxa"/>
            <w:noWrap/>
            <w:hideMark/>
          </w:tcPr>
          <w:p w14:paraId="603575F7" w14:textId="77777777" w:rsidR="00B5685C" w:rsidRPr="00B5685C" w:rsidRDefault="00B5685C" w:rsidP="00CB1007">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rPr>
            </w:pPr>
            <w:r w:rsidRPr="00B5685C">
              <w:rPr>
                <w:rFonts w:ascii="Cambria" w:eastAsia="Times New Roman" w:hAnsi="Cambria" w:cs="Calibri"/>
                <w:color w:val="000000"/>
              </w:rPr>
              <w:t>4</w:t>
            </w:r>
          </w:p>
        </w:tc>
        <w:tc>
          <w:tcPr>
            <w:tcW w:w="960" w:type="dxa"/>
            <w:noWrap/>
            <w:hideMark/>
          </w:tcPr>
          <w:p w14:paraId="7DFB635D" w14:textId="77777777" w:rsidR="00B5685C" w:rsidRPr="00B5685C" w:rsidRDefault="00B5685C" w:rsidP="00CB1007">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rPr>
            </w:pPr>
          </w:p>
        </w:tc>
      </w:tr>
      <w:tr w:rsidR="00B5685C" w:rsidRPr="00B5685C" w14:paraId="02819D21" w14:textId="77777777" w:rsidTr="00B568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0" w:type="dxa"/>
            <w:noWrap/>
            <w:hideMark/>
          </w:tcPr>
          <w:p w14:paraId="4F8C10A9" w14:textId="77777777" w:rsidR="00B5685C" w:rsidRPr="00B5685C" w:rsidRDefault="00B5685C" w:rsidP="00CB1007">
            <w:pPr>
              <w:rPr>
                <w:rFonts w:ascii="Cambria" w:eastAsia="Times New Roman" w:hAnsi="Cambria" w:cs="Calibri"/>
                <w:color w:val="000000"/>
              </w:rPr>
            </w:pPr>
            <w:r w:rsidRPr="00B5685C">
              <w:rPr>
                <w:rFonts w:ascii="Cambria" w:eastAsia="Times New Roman" w:hAnsi="Cambria" w:cs="Calibri"/>
                <w:color w:val="000000"/>
              </w:rPr>
              <w:t>ALC</w:t>
            </w:r>
          </w:p>
        </w:tc>
        <w:tc>
          <w:tcPr>
            <w:tcW w:w="960" w:type="dxa"/>
            <w:noWrap/>
            <w:hideMark/>
          </w:tcPr>
          <w:p w14:paraId="4B67F12B" w14:textId="77777777" w:rsidR="00B5685C" w:rsidRPr="00B5685C" w:rsidRDefault="00B5685C" w:rsidP="00CB1007">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rPr>
            </w:pPr>
            <w:r w:rsidRPr="00B5685C">
              <w:rPr>
                <w:rFonts w:ascii="Cambria" w:eastAsia="Times New Roman" w:hAnsi="Cambria" w:cs="Calibri"/>
                <w:color w:val="000000"/>
              </w:rPr>
              <w:t>2</w:t>
            </w:r>
          </w:p>
        </w:tc>
        <w:tc>
          <w:tcPr>
            <w:tcW w:w="960" w:type="dxa"/>
            <w:noWrap/>
            <w:hideMark/>
          </w:tcPr>
          <w:p w14:paraId="6D9BED4A" w14:textId="77777777" w:rsidR="00B5685C" w:rsidRPr="00B5685C" w:rsidRDefault="00B5685C" w:rsidP="00CB1007">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rPr>
            </w:pPr>
            <w:r w:rsidRPr="00B5685C">
              <w:rPr>
                <w:rFonts w:ascii="Cambria" w:eastAsia="Times New Roman" w:hAnsi="Cambria" w:cs="Calibri"/>
                <w:color w:val="000000"/>
              </w:rPr>
              <w:t>1</w:t>
            </w:r>
          </w:p>
        </w:tc>
        <w:tc>
          <w:tcPr>
            <w:tcW w:w="960" w:type="dxa"/>
            <w:noWrap/>
            <w:hideMark/>
          </w:tcPr>
          <w:p w14:paraId="11EB1497" w14:textId="77777777" w:rsidR="00B5685C" w:rsidRPr="00B5685C" w:rsidRDefault="00B5685C" w:rsidP="00CB1007">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rPr>
            </w:pPr>
          </w:p>
        </w:tc>
      </w:tr>
    </w:tbl>
    <w:p w14:paraId="53120D38" w14:textId="77777777" w:rsidR="00B2736C" w:rsidRDefault="00B2736C" w:rsidP="00B5685C">
      <w:pPr>
        <w:rPr>
          <w:rFonts w:ascii="Cambria" w:hAnsi="Cambria"/>
          <w:b/>
        </w:rPr>
      </w:pPr>
    </w:p>
    <w:p w14:paraId="7EDAC13D" w14:textId="0C73D72A" w:rsidR="00B5685C" w:rsidRPr="00B5685C" w:rsidRDefault="00B5685C" w:rsidP="00B5685C">
      <w:pPr>
        <w:rPr>
          <w:rFonts w:ascii="Cambria" w:hAnsi="Cambria"/>
          <w:b/>
        </w:rPr>
      </w:pPr>
      <w:r w:rsidRPr="00B5685C">
        <w:rPr>
          <w:rFonts w:ascii="Cambria" w:hAnsi="Cambria"/>
          <w:b/>
        </w:rPr>
        <w:t>Church Workers in LCA HRS as at March 2018</w:t>
      </w:r>
    </w:p>
    <w:tbl>
      <w:tblPr>
        <w:tblStyle w:val="PlainTable2"/>
        <w:tblW w:w="3795" w:type="dxa"/>
        <w:tblLook w:val="04A0" w:firstRow="1" w:lastRow="0" w:firstColumn="1" w:lastColumn="0" w:noHBand="0" w:noVBand="1"/>
      </w:tblPr>
      <w:tblGrid>
        <w:gridCol w:w="2835"/>
        <w:gridCol w:w="960"/>
      </w:tblGrid>
      <w:tr w:rsidR="00B5685C" w:rsidRPr="00B5685C" w14:paraId="5022F06C" w14:textId="77777777" w:rsidTr="00B5685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29342F02" w14:textId="77777777" w:rsidR="00B5685C" w:rsidRPr="00B5685C" w:rsidRDefault="00B5685C" w:rsidP="00CB1007">
            <w:pPr>
              <w:rPr>
                <w:rFonts w:ascii="Cambria" w:eastAsia="Times New Roman" w:hAnsi="Cambria" w:cs="Calibri"/>
                <w:color w:val="000000"/>
              </w:rPr>
            </w:pPr>
            <w:r w:rsidRPr="00B5685C">
              <w:rPr>
                <w:rFonts w:ascii="Cambria" w:eastAsia="Times New Roman" w:hAnsi="Cambria" w:cs="Calibri"/>
                <w:color w:val="000000"/>
              </w:rPr>
              <w:t>Volunteers</w:t>
            </w:r>
          </w:p>
        </w:tc>
        <w:tc>
          <w:tcPr>
            <w:tcW w:w="960" w:type="dxa"/>
            <w:noWrap/>
            <w:hideMark/>
          </w:tcPr>
          <w:p w14:paraId="51FC1E4A" w14:textId="77777777" w:rsidR="00B5685C" w:rsidRPr="00B5685C" w:rsidRDefault="00B5685C" w:rsidP="00CB1007">
            <w:pPr>
              <w:jc w:val="right"/>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b w:val="0"/>
                <w:color w:val="000000"/>
              </w:rPr>
            </w:pPr>
            <w:r w:rsidRPr="00B5685C">
              <w:rPr>
                <w:rFonts w:ascii="Cambria" w:eastAsia="Times New Roman" w:hAnsi="Cambria" w:cs="Calibri"/>
                <w:b w:val="0"/>
                <w:color w:val="000000"/>
              </w:rPr>
              <w:t>663</w:t>
            </w:r>
          </w:p>
        </w:tc>
      </w:tr>
      <w:tr w:rsidR="00B5685C" w:rsidRPr="00B5685C" w14:paraId="30566AC3" w14:textId="77777777" w:rsidTr="00B568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676E3C85" w14:textId="77777777" w:rsidR="00B5685C" w:rsidRPr="00B5685C" w:rsidRDefault="00B5685C" w:rsidP="00CB1007">
            <w:pPr>
              <w:rPr>
                <w:rFonts w:ascii="Cambria" w:eastAsia="Times New Roman" w:hAnsi="Cambria" w:cs="Calibri"/>
                <w:color w:val="000000"/>
              </w:rPr>
            </w:pPr>
            <w:r w:rsidRPr="00B5685C">
              <w:rPr>
                <w:rFonts w:ascii="Cambria" w:eastAsia="Times New Roman" w:hAnsi="Cambria" w:cs="Calibri"/>
                <w:color w:val="000000"/>
              </w:rPr>
              <w:t>Pastors</w:t>
            </w:r>
          </w:p>
        </w:tc>
        <w:tc>
          <w:tcPr>
            <w:tcW w:w="960" w:type="dxa"/>
            <w:noWrap/>
            <w:hideMark/>
          </w:tcPr>
          <w:p w14:paraId="0B1499A1" w14:textId="77777777" w:rsidR="00B5685C" w:rsidRPr="00B5685C" w:rsidRDefault="00B5685C" w:rsidP="00CB1007">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rPr>
            </w:pPr>
            <w:r w:rsidRPr="00B5685C">
              <w:rPr>
                <w:rFonts w:ascii="Cambria" w:eastAsia="Times New Roman" w:hAnsi="Cambria" w:cs="Calibri"/>
                <w:color w:val="000000"/>
              </w:rPr>
              <w:t>233</w:t>
            </w:r>
          </w:p>
        </w:tc>
      </w:tr>
      <w:tr w:rsidR="00B5685C" w:rsidRPr="00B5685C" w14:paraId="309AC55E" w14:textId="77777777" w:rsidTr="00B5685C">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7E4A9A4C" w14:textId="77777777" w:rsidR="00B5685C" w:rsidRPr="00B5685C" w:rsidRDefault="00B5685C" w:rsidP="00CB1007">
            <w:pPr>
              <w:rPr>
                <w:rFonts w:ascii="Cambria" w:eastAsia="Times New Roman" w:hAnsi="Cambria" w:cs="Calibri"/>
                <w:color w:val="000000"/>
              </w:rPr>
            </w:pPr>
            <w:r w:rsidRPr="00B5685C">
              <w:rPr>
                <w:rFonts w:ascii="Cambria" w:eastAsia="Times New Roman" w:hAnsi="Cambria" w:cs="Calibri"/>
                <w:color w:val="000000"/>
              </w:rPr>
              <w:t xml:space="preserve">Lay Workers </w:t>
            </w:r>
          </w:p>
        </w:tc>
        <w:tc>
          <w:tcPr>
            <w:tcW w:w="960" w:type="dxa"/>
            <w:noWrap/>
            <w:hideMark/>
          </w:tcPr>
          <w:p w14:paraId="0F0E3F30" w14:textId="77777777" w:rsidR="00B5685C" w:rsidRPr="00B5685C" w:rsidRDefault="00B5685C" w:rsidP="00CB1007">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rPr>
            </w:pPr>
            <w:r w:rsidRPr="00B5685C">
              <w:rPr>
                <w:rFonts w:ascii="Cambria" w:eastAsia="Times New Roman" w:hAnsi="Cambria" w:cs="Calibri"/>
                <w:color w:val="000000"/>
              </w:rPr>
              <w:t>136</w:t>
            </w:r>
          </w:p>
        </w:tc>
      </w:tr>
      <w:tr w:rsidR="00B5685C" w:rsidRPr="00B5685C" w14:paraId="031D4C48" w14:textId="77777777" w:rsidTr="00B568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3C927214" w14:textId="77777777" w:rsidR="00B5685C" w:rsidRPr="00B5685C" w:rsidRDefault="00B5685C" w:rsidP="00CB1007">
            <w:pPr>
              <w:rPr>
                <w:rFonts w:ascii="Cambria" w:eastAsia="Times New Roman" w:hAnsi="Cambria" w:cs="Calibri"/>
                <w:color w:val="000000"/>
              </w:rPr>
            </w:pPr>
            <w:r w:rsidRPr="00B5685C">
              <w:rPr>
                <w:rFonts w:ascii="Cambria" w:eastAsia="Times New Roman" w:hAnsi="Cambria" w:cs="Calibri"/>
                <w:color w:val="000000"/>
              </w:rPr>
              <w:t>Locum Pastors</w:t>
            </w:r>
          </w:p>
        </w:tc>
        <w:tc>
          <w:tcPr>
            <w:tcW w:w="960" w:type="dxa"/>
            <w:noWrap/>
            <w:hideMark/>
          </w:tcPr>
          <w:p w14:paraId="592F3551" w14:textId="77777777" w:rsidR="00B5685C" w:rsidRPr="00B5685C" w:rsidRDefault="00B5685C" w:rsidP="00CB1007">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rPr>
            </w:pPr>
            <w:r w:rsidRPr="00B5685C">
              <w:rPr>
                <w:rFonts w:ascii="Cambria" w:eastAsia="Times New Roman" w:hAnsi="Cambria" w:cs="Calibri"/>
                <w:color w:val="000000"/>
              </w:rPr>
              <w:t>99</w:t>
            </w:r>
          </w:p>
        </w:tc>
      </w:tr>
      <w:tr w:rsidR="00B5685C" w:rsidRPr="00B5685C" w14:paraId="292F3FDA" w14:textId="77777777" w:rsidTr="00B5685C">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16041032" w14:textId="77777777" w:rsidR="00B5685C" w:rsidRPr="00B5685C" w:rsidRDefault="00B5685C" w:rsidP="00CB1007">
            <w:pPr>
              <w:rPr>
                <w:rFonts w:ascii="Cambria" w:eastAsia="Times New Roman" w:hAnsi="Cambria" w:cs="Calibri"/>
                <w:color w:val="000000"/>
              </w:rPr>
            </w:pPr>
            <w:r w:rsidRPr="00B5685C">
              <w:rPr>
                <w:rFonts w:ascii="Cambria" w:eastAsia="Times New Roman" w:hAnsi="Cambria" w:cs="Calibri"/>
                <w:color w:val="000000"/>
              </w:rPr>
              <w:t>LEA</w:t>
            </w:r>
          </w:p>
        </w:tc>
        <w:tc>
          <w:tcPr>
            <w:tcW w:w="960" w:type="dxa"/>
            <w:noWrap/>
            <w:hideMark/>
          </w:tcPr>
          <w:p w14:paraId="34EDFDD2" w14:textId="77777777" w:rsidR="00B5685C" w:rsidRPr="00B5685C" w:rsidRDefault="00B5685C" w:rsidP="00CB1007">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rPr>
            </w:pPr>
            <w:r w:rsidRPr="00B5685C">
              <w:rPr>
                <w:rFonts w:ascii="Cambria" w:eastAsia="Times New Roman" w:hAnsi="Cambria" w:cs="Calibri"/>
                <w:color w:val="000000"/>
              </w:rPr>
              <w:t>6</w:t>
            </w:r>
          </w:p>
        </w:tc>
      </w:tr>
      <w:tr w:rsidR="00B5685C" w:rsidRPr="00B5685C" w14:paraId="2245E805" w14:textId="77777777" w:rsidTr="00B568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14B14A84" w14:textId="77777777" w:rsidR="00B5685C" w:rsidRPr="00B5685C" w:rsidRDefault="00B5685C" w:rsidP="00CB1007">
            <w:pPr>
              <w:rPr>
                <w:rFonts w:ascii="Cambria" w:eastAsia="Times New Roman" w:hAnsi="Cambria" w:cs="Calibri"/>
                <w:color w:val="000000"/>
              </w:rPr>
            </w:pPr>
            <w:r w:rsidRPr="00B5685C">
              <w:rPr>
                <w:rFonts w:ascii="Cambria" w:eastAsia="Times New Roman" w:hAnsi="Cambria" w:cs="Calibri"/>
                <w:color w:val="000000"/>
              </w:rPr>
              <w:t>Hospitality Award Staff</w:t>
            </w:r>
          </w:p>
        </w:tc>
        <w:tc>
          <w:tcPr>
            <w:tcW w:w="960" w:type="dxa"/>
            <w:noWrap/>
            <w:hideMark/>
          </w:tcPr>
          <w:p w14:paraId="708465E5" w14:textId="77777777" w:rsidR="00B5685C" w:rsidRPr="00B5685C" w:rsidRDefault="00B5685C" w:rsidP="00CB1007">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rPr>
            </w:pPr>
            <w:r w:rsidRPr="00B5685C">
              <w:rPr>
                <w:rFonts w:ascii="Cambria" w:eastAsia="Times New Roman" w:hAnsi="Cambria" w:cs="Calibri"/>
                <w:color w:val="000000"/>
              </w:rPr>
              <w:t>122</w:t>
            </w:r>
          </w:p>
        </w:tc>
      </w:tr>
      <w:tr w:rsidR="00B5685C" w:rsidRPr="00B5685C" w14:paraId="4E01523D" w14:textId="77777777" w:rsidTr="00B5685C">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6EE2DBF5" w14:textId="77777777" w:rsidR="00B5685C" w:rsidRPr="00B5685C" w:rsidRDefault="00B5685C" w:rsidP="00CB1007">
            <w:pPr>
              <w:rPr>
                <w:rFonts w:ascii="Cambria" w:eastAsia="Times New Roman" w:hAnsi="Cambria" w:cs="Calibri"/>
                <w:color w:val="000000"/>
              </w:rPr>
            </w:pPr>
            <w:r w:rsidRPr="00B5685C">
              <w:rPr>
                <w:rFonts w:ascii="Cambria" w:eastAsia="Times New Roman" w:hAnsi="Cambria" w:cs="Calibri"/>
                <w:color w:val="000000"/>
              </w:rPr>
              <w:t>Clerks Award Staff</w:t>
            </w:r>
          </w:p>
        </w:tc>
        <w:tc>
          <w:tcPr>
            <w:tcW w:w="960" w:type="dxa"/>
            <w:noWrap/>
            <w:hideMark/>
          </w:tcPr>
          <w:p w14:paraId="101D4589" w14:textId="77777777" w:rsidR="00B5685C" w:rsidRPr="00B5685C" w:rsidRDefault="00B5685C" w:rsidP="00CB1007">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rPr>
            </w:pPr>
            <w:r w:rsidRPr="00B5685C">
              <w:rPr>
                <w:rFonts w:ascii="Cambria" w:eastAsia="Times New Roman" w:hAnsi="Cambria" w:cs="Calibri"/>
                <w:color w:val="000000"/>
              </w:rPr>
              <w:t>80</w:t>
            </w:r>
          </w:p>
        </w:tc>
      </w:tr>
      <w:tr w:rsidR="00B5685C" w:rsidRPr="00B5685C" w14:paraId="338B010E" w14:textId="77777777" w:rsidTr="00B568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23BCD437" w14:textId="77777777" w:rsidR="00B5685C" w:rsidRPr="00B5685C" w:rsidRDefault="00B5685C" w:rsidP="00CB1007">
            <w:pPr>
              <w:rPr>
                <w:rFonts w:ascii="Cambria" w:eastAsia="Times New Roman" w:hAnsi="Cambria" w:cs="Calibri"/>
                <w:color w:val="000000"/>
              </w:rPr>
            </w:pPr>
            <w:r w:rsidRPr="00B5685C">
              <w:rPr>
                <w:rFonts w:ascii="Cambria" w:eastAsia="Times New Roman" w:hAnsi="Cambria" w:cs="Calibri"/>
                <w:color w:val="000000"/>
              </w:rPr>
              <w:t xml:space="preserve">Unclassified </w:t>
            </w:r>
          </w:p>
        </w:tc>
        <w:tc>
          <w:tcPr>
            <w:tcW w:w="960" w:type="dxa"/>
            <w:noWrap/>
            <w:hideMark/>
          </w:tcPr>
          <w:p w14:paraId="1E260498" w14:textId="77777777" w:rsidR="00B5685C" w:rsidRPr="00B5685C" w:rsidRDefault="00B5685C" w:rsidP="00CB1007">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rPr>
            </w:pPr>
            <w:r w:rsidRPr="00B5685C">
              <w:rPr>
                <w:rFonts w:ascii="Cambria" w:eastAsia="Times New Roman" w:hAnsi="Cambria" w:cs="Calibri"/>
                <w:color w:val="000000"/>
              </w:rPr>
              <w:t>187</w:t>
            </w:r>
          </w:p>
        </w:tc>
      </w:tr>
      <w:tr w:rsidR="00B5685C" w:rsidRPr="00B5685C" w14:paraId="1F1DB6E8" w14:textId="77777777" w:rsidTr="00B5685C">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76B434A6" w14:textId="77777777" w:rsidR="00B5685C" w:rsidRPr="00B5685C" w:rsidRDefault="00B5685C" w:rsidP="00CB1007">
            <w:pPr>
              <w:rPr>
                <w:rFonts w:ascii="Cambria" w:eastAsia="Times New Roman" w:hAnsi="Cambria" w:cs="Calibri"/>
                <w:color w:val="000000"/>
              </w:rPr>
            </w:pPr>
            <w:r w:rsidRPr="00B5685C">
              <w:rPr>
                <w:rFonts w:ascii="Cambria" w:eastAsia="Times New Roman" w:hAnsi="Cambria" w:cs="Calibri"/>
                <w:color w:val="000000"/>
              </w:rPr>
              <w:t>Honorarium recipient</w:t>
            </w:r>
          </w:p>
        </w:tc>
        <w:tc>
          <w:tcPr>
            <w:tcW w:w="960" w:type="dxa"/>
            <w:noWrap/>
            <w:hideMark/>
          </w:tcPr>
          <w:p w14:paraId="7A54B7D7" w14:textId="77777777" w:rsidR="00B5685C" w:rsidRPr="00B5685C" w:rsidRDefault="00B5685C" w:rsidP="00CB1007">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rPr>
            </w:pPr>
            <w:r w:rsidRPr="00B5685C">
              <w:rPr>
                <w:rFonts w:ascii="Cambria" w:eastAsia="Times New Roman" w:hAnsi="Cambria" w:cs="Calibri"/>
                <w:color w:val="000000"/>
              </w:rPr>
              <w:t>10</w:t>
            </w:r>
          </w:p>
        </w:tc>
      </w:tr>
      <w:tr w:rsidR="00B5685C" w:rsidRPr="00B5685C" w14:paraId="3089E7C5" w14:textId="77777777" w:rsidTr="00B568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51FEA93D" w14:textId="77777777" w:rsidR="00B5685C" w:rsidRPr="00B5685C" w:rsidRDefault="00B5685C" w:rsidP="00CB1007">
            <w:pPr>
              <w:jc w:val="right"/>
              <w:rPr>
                <w:rFonts w:ascii="Cambria" w:eastAsia="Times New Roman" w:hAnsi="Cambria" w:cs="Calibri"/>
                <w:color w:val="000000"/>
              </w:rPr>
            </w:pPr>
          </w:p>
        </w:tc>
        <w:tc>
          <w:tcPr>
            <w:tcW w:w="960" w:type="dxa"/>
            <w:noWrap/>
            <w:hideMark/>
          </w:tcPr>
          <w:p w14:paraId="31AF6386" w14:textId="77777777" w:rsidR="00B5685C" w:rsidRPr="00B5685C" w:rsidRDefault="00B5685C" w:rsidP="00CB1007">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rPr>
            </w:pPr>
            <w:r w:rsidRPr="00B5685C">
              <w:rPr>
                <w:rFonts w:ascii="Cambria" w:eastAsia="Times New Roman" w:hAnsi="Cambria" w:cs="Calibri"/>
                <w:color w:val="000000"/>
              </w:rPr>
              <w:t>1536</w:t>
            </w:r>
          </w:p>
        </w:tc>
      </w:tr>
    </w:tbl>
    <w:p w14:paraId="5B568546" w14:textId="407C7008" w:rsidR="00F631B1" w:rsidRPr="009A0DA6" w:rsidRDefault="00F631B1" w:rsidP="00B5685C">
      <w:pPr>
        <w:rPr>
          <w:rFonts w:ascii="Cambria" w:hAnsi="Cambria"/>
        </w:rPr>
      </w:pPr>
    </w:p>
    <w:p w14:paraId="4D428E15" w14:textId="77777777" w:rsidR="00B2736C" w:rsidRDefault="00B2736C">
      <w:pPr>
        <w:rPr>
          <w:rFonts w:ascii="Cambria" w:eastAsiaTheme="majorEastAsia" w:hAnsi="Cambria" w:cstheme="majorBidi"/>
          <w:b/>
          <w:caps/>
          <w:sz w:val="28"/>
          <w:szCs w:val="24"/>
        </w:rPr>
      </w:pPr>
      <w:r>
        <w:br w:type="page"/>
      </w:r>
    </w:p>
    <w:p w14:paraId="2143B9E1" w14:textId="31A620BC" w:rsidR="00F631B1" w:rsidRPr="009A0DA6" w:rsidRDefault="00F631B1" w:rsidP="00F631B1">
      <w:pPr>
        <w:pStyle w:val="Heading3"/>
      </w:pPr>
      <w:r w:rsidRPr="009A0DA6">
        <w:lastRenderedPageBreak/>
        <w:t>Achievement against Plan</w:t>
      </w:r>
    </w:p>
    <w:tbl>
      <w:tblPr>
        <w:tblStyle w:val="PlainTable2"/>
        <w:tblW w:w="8647" w:type="dxa"/>
        <w:tblLayout w:type="fixed"/>
        <w:tblLook w:val="04A0" w:firstRow="1" w:lastRow="0" w:firstColumn="1" w:lastColumn="0" w:noHBand="0" w:noVBand="1"/>
      </w:tblPr>
      <w:tblGrid>
        <w:gridCol w:w="1985"/>
        <w:gridCol w:w="2977"/>
        <w:gridCol w:w="3685"/>
      </w:tblGrid>
      <w:tr w:rsidR="00F631B1" w:rsidRPr="009A0DA6" w14:paraId="3A0A25BF" w14:textId="77777777" w:rsidTr="00565A2C">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985" w:type="dxa"/>
            <w:vAlign w:val="center"/>
            <w:hideMark/>
          </w:tcPr>
          <w:p w14:paraId="3E3EB259" w14:textId="77777777" w:rsidR="00F631B1" w:rsidRPr="009A0DA6" w:rsidRDefault="00F631B1" w:rsidP="00CF1773">
            <w:pPr>
              <w:rPr>
                <w:rFonts w:ascii="Cambria" w:hAnsi="Cambria" w:cs="Arial"/>
              </w:rPr>
            </w:pPr>
            <w:r w:rsidRPr="009A0DA6">
              <w:rPr>
                <w:rFonts w:ascii="Cambria" w:hAnsi="Cambria" w:cs="Arial"/>
              </w:rPr>
              <w:t>Objectives</w:t>
            </w:r>
          </w:p>
        </w:tc>
        <w:tc>
          <w:tcPr>
            <w:tcW w:w="2977" w:type="dxa"/>
            <w:hideMark/>
          </w:tcPr>
          <w:p w14:paraId="064CD05C" w14:textId="77777777" w:rsidR="00F631B1" w:rsidRPr="009A0DA6" w:rsidRDefault="00F631B1" w:rsidP="00CF1773">
            <w:pPr>
              <w:ind w:left="174" w:hanging="174"/>
              <w:cnfStyle w:val="100000000000" w:firstRow="1"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Planned 2017-2019 Activities/Outcomes</w:t>
            </w:r>
          </w:p>
        </w:tc>
        <w:tc>
          <w:tcPr>
            <w:tcW w:w="3685" w:type="dxa"/>
            <w:hideMark/>
          </w:tcPr>
          <w:p w14:paraId="4BE20C99" w14:textId="77777777" w:rsidR="00F631B1" w:rsidRPr="009A0DA6" w:rsidRDefault="00F631B1" w:rsidP="00CF1773">
            <w:pPr>
              <w:ind w:left="150" w:hanging="150"/>
              <w:cnfStyle w:val="100000000000" w:firstRow="1"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Achievement of Activities/Outcomes</w:t>
            </w:r>
          </w:p>
        </w:tc>
      </w:tr>
      <w:tr w:rsidR="00F631B1" w:rsidRPr="009A0DA6" w14:paraId="5B2FDF3B" w14:textId="77777777" w:rsidTr="00565A2C">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985" w:type="dxa"/>
          </w:tcPr>
          <w:p w14:paraId="3256D3E6" w14:textId="77777777" w:rsidR="00F631B1" w:rsidRPr="009A0DA6" w:rsidRDefault="00F631B1" w:rsidP="00F55252">
            <w:pPr>
              <w:widowControl w:val="0"/>
              <w:numPr>
                <w:ilvl w:val="0"/>
                <w:numId w:val="40"/>
              </w:numPr>
              <w:suppressAutoHyphens/>
              <w:rPr>
                <w:rFonts w:ascii="Cambria" w:hAnsi="Cambria" w:cs="Arial"/>
              </w:rPr>
            </w:pPr>
            <w:r w:rsidRPr="009A0DA6">
              <w:rPr>
                <w:rFonts w:ascii="Cambria" w:hAnsi="Cambria" w:cs="Arial"/>
              </w:rPr>
              <w:t>Facilitate ongoing professional development for all church workers within the LCA</w:t>
            </w:r>
          </w:p>
          <w:p w14:paraId="480BEB48" w14:textId="77777777" w:rsidR="00F631B1" w:rsidRPr="009A0DA6" w:rsidRDefault="00F631B1" w:rsidP="00180211">
            <w:pPr>
              <w:widowControl w:val="0"/>
              <w:suppressAutoHyphens/>
              <w:ind w:left="360"/>
              <w:rPr>
                <w:rFonts w:ascii="Cambria" w:hAnsi="Cambria" w:cs="Arial"/>
              </w:rPr>
            </w:pPr>
          </w:p>
        </w:tc>
        <w:tc>
          <w:tcPr>
            <w:tcW w:w="2977" w:type="dxa"/>
          </w:tcPr>
          <w:p w14:paraId="0C4E0300" w14:textId="77777777" w:rsidR="00F631B1" w:rsidRPr="009A0DA6" w:rsidRDefault="00F631B1" w:rsidP="00F55252">
            <w:pPr>
              <w:numPr>
                <w:ilvl w:val="0"/>
                <w:numId w:val="41"/>
              </w:numPr>
              <w:ind w:left="174" w:hanging="174"/>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Induction and orientation process for all Church Workers developed by September 2017</w:t>
            </w:r>
          </w:p>
          <w:p w14:paraId="27D5C24F" w14:textId="77777777" w:rsidR="00F631B1" w:rsidRPr="009A0DA6" w:rsidRDefault="00F631B1" w:rsidP="00F55252">
            <w:pPr>
              <w:numPr>
                <w:ilvl w:val="0"/>
                <w:numId w:val="41"/>
              </w:numPr>
              <w:ind w:left="174" w:hanging="174"/>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Ensure suitable professional development opportunities are available and affordable</w:t>
            </w:r>
          </w:p>
          <w:p w14:paraId="4E8C2A17" w14:textId="77777777" w:rsidR="00F631B1" w:rsidRPr="009A0DA6" w:rsidRDefault="00F631B1" w:rsidP="00F55252">
            <w:pPr>
              <w:numPr>
                <w:ilvl w:val="0"/>
                <w:numId w:val="41"/>
              </w:numPr>
              <w:ind w:left="174" w:hanging="174"/>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Work with ALC and other stakeholders to develop and promote suitable activities</w:t>
            </w:r>
          </w:p>
          <w:p w14:paraId="72378294" w14:textId="77777777" w:rsidR="00F631B1" w:rsidRPr="009A0DA6" w:rsidRDefault="00F631B1" w:rsidP="00F55252">
            <w:pPr>
              <w:numPr>
                <w:ilvl w:val="0"/>
                <w:numId w:val="41"/>
              </w:numPr>
              <w:ind w:left="174" w:hanging="174"/>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Facilitate use of LCA HRS to record and administer PD</w:t>
            </w:r>
          </w:p>
          <w:p w14:paraId="569959E1" w14:textId="77777777" w:rsidR="00F631B1" w:rsidRPr="009A0DA6" w:rsidRDefault="00F631B1" w:rsidP="00180211">
            <w:pPr>
              <w:ind w:left="174" w:hanging="174"/>
              <w:cnfStyle w:val="000000100000" w:firstRow="0" w:lastRow="0" w:firstColumn="0" w:lastColumn="0" w:oddVBand="0" w:evenVBand="0" w:oddHBand="1" w:evenHBand="0" w:firstRowFirstColumn="0" w:firstRowLastColumn="0" w:lastRowFirstColumn="0" w:lastRowLastColumn="0"/>
              <w:rPr>
                <w:rFonts w:ascii="Cambria" w:hAnsi="Cambria" w:cs="Arial"/>
              </w:rPr>
            </w:pPr>
          </w:p>
        </w:tc>
        <w:tc>
          <w:tcPr>
            <w:tcW w:w="3685" w:type="dxa"/>
            <w:hideMark/>
          </w:tcPr>
          <w:p w14:paraId="5419FF27" w14:textId="77777777" w:rsidR="00F631B1" w:rsidRPr="009A0DA6" w:rsidRDefault="00F631B1" w:rsidP="00F55252">
            <w:pPr>
              <w:numPr>
                <w:ilvl w:val="0"/>
                <w:numId w:val="41"/>
              </w:numPr>
              <w:ind w:left="150" w:hanging="150"/>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 xml:space="preserve">Induction and orientation process resources currently being trialled and shared with congregations   </w:t>
            </w:r>
          </w:p>
          <w:p w14:paraId="045E6306" w14:textId="77777777" w:rsidR="00F631B1" w:rsidRPr="009A0DA6" w:rsidRDefault="00F631B1" w:rsidP="00F55252">
            <w:pPr>
              <w:numPr>
                <w:ilvl w:val="0"/>
                <w:numId w:val="41"/>
              </w:numPr>
              <w:ind w:left="150" w:hanging="150"/>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Disseminating information about professional development opportunities and supporting attendance with opportunities for grants for lay workers</w:t>
            </w:r>
          </w:p>
          <w:p w14:paraId="34098737" w14:textId="77777777" w:rsidR="00F631B1" w:rsidRPr="009A0DA6" w:rsidRDefault="00F631B1" w:rsidP="00F55252">
            <w:pPr>
              <w:numPr>
                <w:ilvl w:val="0"/>
                <w:numId w:val="41"/>
              </w:numPr>
              <w:ind w:left="150" w:hanging="150"/>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Working with ALC (both with VET and Principal) to develop and promote suitable activities</w:t>
            </w:r>
          </w:p>
          <w:p w14:paraId="6C951EFF" w14:textId="42AA521E" w:rsidR="00F631B1" w:rsidRPr="009A0DA6" w:rsidRDefault="007A0FE8" w:rsidP="00F55252">
            <w:pPr>
              <w:numPr>
                <w:ilvl w:val="0"/>
                <w:numId w:val="41"/>
              </w:numPr>
              <w:ind w:left="150" w:hanging="150"/>
              <w:cnfStyle w:val="000000100000" w:firstRow="0" w:lastRow="0" w:firstColumn="0" w:lastColumn="0" w:oddVBand="0" w:evenVBand="0" w:oddHBand="1" w:evenHBand="0" w:firstRowFirstColumn="0" w:firstRowLastColumn="0" w:lastRowFirstColumn="0" w:lastRowLastColumn="0"/>
              <w:rPr>
                <w:rFonts w:ascii="Cambria" w:hAnsi="Cambria" w:cs="Arial"/>
              </w:rPr>
            </w:pPr>
            <w:r>
              <w:rPr>
                <w:rFonts w:ascii="Cambria" w:hAnsi="Cambria" w:cs="Arial"/>
              </w:rPr>
              <w:t>Providing fi</w:t>
            </w:r>
            <w:r w:rsidR="00F631B1" w:rsidRPr="009A0DA6">
              <w:rPr>
                <w:rFonts w:ascii="Cambria" w:hAnsi="Cambria" w:cs="Arial"/>
              </w:rPr>
              <w:t>nancial support to ALC to support delivery of CEP for Pastors and admin support</w:t>
            </w:r>
          </w:p>
          <w:p w14:paraId="2FD30A8F" w14:textId="77777777" w:rsidR="00F631B1" w:rsidRPr="009A0DA6" w:rsidRDefault="00F631B1" w:rsidP="00F55252">
            <w:pPr>
              <w:numPr>
                <w:ilvl w:val="0"/>
                <w:numId w:val="41"/>
              </w:numPr>
              <w:ind w:left="150" w:hanging="150"/>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Continuing to provide an Accreditation process for Lay Workers</w:t>
            </w:r>
          </w:p>
          <w:p w14:paraId="4E48D568" w14:textId="77777777" w:rsidR="00F631B1" w:rsidRPr="009A0DA6" w:rsidRDefault="00F631B1" w:rsidP="00F55252">
            <w:pPr>
              <w:numPr>
                <w:ilvl w:val="0"/>
                <w:numId w:val="41"/>
              </w:numPr>
              <w:ind w:left="150" w:hanging="150"/>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Board for Lay Ministry in partnership with ALC facilitated Study Tour to Germany in 2016</w:t>
            </w:r>
          </w:p>
        </w:tc>
      </w:tr>
      <w:tr w:rsidR="00F631B1" w:rsidRPr="009A0DA6" w14:paraId="634498AD" w14:textId="77777777" w:rsidTr="00565A2C">
        <w:trPr>
          <w:trHeight w:val="267"/>
        </w:trPr>
        <w:tc>
          <w:tcPr>
            <w:cnfStyle w:val="001000000000" w:firstRow="0" w:lastRow="0" w:firstColumn="1" w:lastColumn="0" w:oddVBand="0" w:evenVBand="0" w:oddHBand="0" w:evenHBand="0" w:firstRowFirstColumn="0" w:firstRowLastColumn="0" w:lastRowFirstColumn="0" w:lastRowLastColumn="0"/>
            <w:tcW w:w="1985" w:type="dxa"/>
            <w:hideMark/>
          </w:tcPr>
          <w:p w14:paraId="5693BC37" w14:textId="77777777" w:rsidR="00F631B1" w:rsidRPr="009A0DA6" w:rsidRDefault="00F631B1" w:rsidP="00F55252">
            <w:pPr>
              <w:widowControl w:val="0"/>
              <w:numPr>
                <w:ilvl w:val="0"/>
                <w:numId w:val="40"/>
              </w:numPr>
              <w:suppressAutoHyphens/>
              <w:rPr>
                <w:rFonts w:ascii="Cambria" w:hAnsi="Cambria" w:cs="Arial"/>
              </w:rPr>
            </w:pPr>
            <w:r w:rsidRPr="009A0DA6">
              <w:rPr>
                <w:rFonts w:ascii="Cambria" w:hAnsi="Cambria" w:cs="Arial"/>
              </w:rPr>
              <w:t>Develop and implement a nationally consistent policy and procedure framework</w:t>
            </w:r>
          </w:p>
        </w:tc>
        <w:tc>
          <w:tcPr>
            <w:tcW w:w="2977" w:type="dxa"/>
          </w:tcPr>
          <w:p w14:paraId="7CA86564" w14:textId="77777777" w:rsidR="00F631B1" w:rsidRPr="009A0DA6" w:rsidRDefault="00F631B1" w:rsidP="00F55252">
            <w:pPr>
              <w:numPr>
                <w:ilvl w:val="0"/>
                <w:numId w:val="41"/>
              </w:numPr>
              <w:ind w:left="174" w:hanging="174"/>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Church Worker Support Advisory Committee in place by December 2016</w:t>
            </w:r>
          </w:p>
          <w:p w14:paraId="63469E3E" w14:textId="77777777" w:rsidR="00F631B1" w:rsidRPr="009A0DA6" w:rsidRDefault="00F631B1" w:rsidP="00F55252">
            <w:pPr>
              <w:numPr>
                <w:ilvl w:val="0"/>
                <w:numId w:val="41"/>
              </w:numPr>
              <w:ind w:left="174" w:hanging="174"/>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Overarching Policy Framework developed by March 2017</w:t>
            </w:r>
          </w:p>
          <w:p w14:paraId="2731A68A" w14:textId="77777777" w:rsidR="00F631B1" w:rsidRPr="009A0DA6" w:rsidRDefault="00F631B1" w:rsidP="00F55252">
            <w:pPr>
              <w:numPr>
                <w:ilvl w:val="0"/>
                <w:numId w:val="41"/>
              </w:numPr>
              <w:ind w:left="174" w:hanging="174"/>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 xml:space="preserve">Policies and Procedures developed by June 2017 </w:t>
            </w:r>
          </w:p>
          <w:p w14:paraId="36CEB2D5" w14:textId="77777777" w:rsidR="00F631B1" w:rsidRPr="009A0DA6" w:rsidRDefault="00F631B1" w:rsidP="00F55252">
            <w:pPr>
              <w:numPr>
                <w:ilvl w:val="0"/>
                <w:numId w:val="41"/>
              </w:numPr>
              <w:ind w:left="174" w:hanging="174"/>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P&amp;Ps introduced and use of P&amp;Ps facilitated commencing  July 2017</w:t>
            </w:r>
          </w:p>
          <w:p w14:paraId="32AF5FC9" w14:textId="77777777" w:rsidR="00F631B1" w:rsidRPr="009A0DA6" w:rsidRDefault="00F631B1" w:rsidP="00180211">
            <w:pPr>
              <w:pStyle w:val="ListParagraph"/>
              <w:spacing w:line="240" w:lineRule="auto"/>
              <w:ind w:left="174" w:hanging="174"/>
              <w:cnfStyle w:val="000000000000" w:firstRow="0" w:lastRow="0" w:firstColumn="0" w:lastColumn="0" w:oddVBand="0" w:evenVBand="0" w:oddHBand="0" w:evenHBand="0" w:firstRowFirstColumn="0" w:firstRowLastColumn="0" w:lastRowFirstColumn="0" w:lastRowLastColumn="0"/>
              <w:rPr>
                <w:rFonts w:ascii="Cambria" w:hAnsi="Cambria" w:cs="Arial"/>
              </w:rPr>
            </w:pPr>
          </w:p>
        </w:tc>
        <w:tc>
          <w:tcPr>
            <w:tcW w:w="3685" w:type="dxa"/>
            <w:hideMark/>
          </w:tcPr>
          <w:p w14:paraId="0CFA63A9" w14:textId="77777777" w:rsidR="00F631B1" w:rsidRPr="009A0DA6" w:rsidRDefault="00F631B1" w:rsidP="00F55252">
            <w:pPr>
              <w:numPr>
                <w:ilvl w:val="0"/>
                <w:numId w:val="41"/>
              </w:numPr>
              <w:ind w:left="150" w:hanging="150"/>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 xml:space="preserve">Church Worker Support Advisory Committee in place </w:t>
            </w:r>
          </w:p>
          <w:p w14:paraId="7CCE025D" w14:textId="77777777" w:rsidR="00F631B1" w:rsidRPr="009A0DA6" w:rsidRDefault="00F631B1" w:rsidP="00F55252">
            <w:pPr>
              <w:numPr>
                <w:ilvl w:val="0"/>
                <w:numId w:val="41"/>
              </w:numPr>
              <w:ind w:left="150" w:hanging="150"/>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Overarching Policy Framework approved by GCC in February 2018</w:t>
            </w:r>
          </w:p>
          <w:p w14:paraId="063D9DEE" w14:textId="77777777" w:rsidR="00F631B1" w:rsidRPr="009A0DA6" w:rsidRDefault="00F631B1" w:rsidP="00F55252">
            <w:pPr>
              <w:numPr>
                <w:ilvl w:val="0"/>
                <w:numId w:val="41"/>
              </w:numPr>
              <w:ind w:left="150" w:hanging="150"/>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Policies relating to recruitment and selection and Vocational Development approved by GCC in February 2018</w:t>
            </w:r>
          </w:p>
          <w:p w14:paraId="04E0558F" w14:textId="77777777" w:rsidR="00F631B1" w:rsidRPr="009A0DA6" w:rsidRDefault="00F631B1" w:rsidP="00F55252">
            <w:pPr>
              <w:numPr>
                <w:ilvl w:val="0"/>
                <w:numId w:val="41"/>
              </w:numPr>
              <w:ind w:left="150" w:hanging="150"/>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Procedures and Guidelines being trialled by Congregations currently</w:t>
            </w:r>
          </w:p>
          <w:p w14:paraId="2D3EF4DD" w14:textId="77777777" w:rsidR="00F631B1" w:rsidRPr="009A0DA6" w:rsidRDefault="00F631B1" w:rsidP="00F55252">
            <w:pPr>
              <w:numPr>
                <w:ilvl w:val="0"/>
                <w:numId w:val="41"/>
              </w:numPr>
              <w:ind w:left="150" w:hanging="150"/>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 xml:space="preserve">Commenced review of Lay Worker Remuneration </w:t>
            </w:r>
          </w:p>
        </w:tc>
      </w:tr>
      <w:tr w:rsidR="00F631B1" w:rsidRPr="009A0DA6" w14:paraId="6322E39C" w14:textId="77777777" w:rsidTr="00565A2C">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985" w:type="dxa"/>
            <w:hideMark/>
          </w:tcPr>
          <w:p w14:paraId="59A20F3F" w14:textId="45719CB1" w:rsidR="00F631B1" w:rsidRPr="009A0DA6" w:rsidRDefault="00F631B1" w:rsidP="00F55252">
            <w:pPr>
              <w:widowControl w:val="0"/>
              <w:numPr>
                <w:ilvl w:val="0"/>
                <w:numId w:val="40"/>
              </w:numPr>
              <w:suppressAutoHyphens/>
              <w:rPr>
                <w:rFonts w:ascii="Cambria" w:hAnsi="Cambria" w:cs="Arial"/>
              </w:rPr>
            </w:pPr>
            <w:r w:rsidRPr="009A0DA6">
              <w:rPr>
                <w:rFonts w:ascii="Cambria" w:hAnsi="Cambria" w:cs="Arial"/>
              </w:rPr>
              <w:t>Provide local- level support to congreg-ations and employing bodies</w:t>
            </w:r>
          </w:p>
        </w:tc>
        <w:tc>
          <w:tcPr>
            <w:tcW w:w="2977" w:type="dxa"/>
          </w:tcPr>
          <w:p w14:paraId="392FBB07" w14:textId="77777777" w:rsidR="00F631B1" w:rsidRPr="009A0DA6" w:rsidRDefault="00F631B1" w:rsidP="00F55252">
            <w:pPr>
              <w:numPr>
                <w:ilvl w:val="0"/>
                <w:numId w:val="41"/>
              </w:numPr>
              <w:ind w:left="174" w:hanging="174"/>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Attend General &amp; District Synods and Church Worker Conferences (including Pastors' conferences)</w:t>
            </w:r>
          </w:p>
          <w:p w14:paraId="7726DEE5" w14:textId="77777777" w:rsidR="00F631B1" w:rsidRPr="009A0DA6" w:rsidRDefault="00F631B1" w:rsidP="00F55252">
            <w:pPr>
              <w:numPr>
                <w:ilvl w:val="0"/>
                <w:numId w:val="41"/>
              </w:numPr>
              <w:ind w:left="174" w:hanging="174"/>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Visit every Congregation and employing body by end 2019</w:t>
            </w:r>
          </w:p>
          <w:p w14:paraId="2941F1DA" w14:textId="77777777" w:rsidR="00F631B1" w:rsidRPr="009A0DA6" w:rsidRDefault="00F631B1" w:rsidP="00F55252">
            <w:pPr>
              <w:numPr>
                <w:ilvl w:val="0"/>
                <w:numId w:val="41"/>
              </w:numPr>
              <w:ind w:left="174" w:hanging="174"/>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Develop and support local networks by July 2019</w:t>
            </w:r>
          </w:p>
          <w:p w14:paraId="61E7F902" w14:textId="77777777" w:rsidR="00F631B1" w:rsidRPr="009A0DA6" w:rsidRDefault="00F631B1" w:rsidP="00180211">
            <w:pPr>
              <w:ind w:left="174" w:hanging="174"/>
              <w:cnfStyle w:val="000000100000" w:firstRow="0" w:lastRow="0" w:firstColumn="0" w:lastColumn="0" w:oddVBand="0" w:evenVBand="0" w:oddHBand="1" w:evenHBand="0" w:firstRowFirstColumn="0" w:firstRowLastColumn="0" w:lastRowFirstColumn="0" w:lastRowLastColumn="0"/>
              <w:rPr>
                <w:rFonts w:ascii="Cambria" w:hAnsi="Cambria" w:cs="Arial"/>
              </w:rPr>
            </w:pPr>
          </w:p>
        </w:tc>
        <w:tc>
          <w:tcPr>
            <w:tcW w:w="3685" w:type="dxa"/>
            <w:hideMark/>
          </w:tcPr>
          <w:p w14:paraId="1B48A024" w14:textId="458E417F" w:rsidR="00F631B1" w:rsidRPr="009A0DA6" w:rsidRDefault="00F631B1" w:rsidP="00F55252">
            <w:pPr>
              <w:numPr>
                <w:ilvl w:val="0"/>
                <w:numId w:val="41"/>
              </w:numPr>
              <w:ind w:left="150" w:hanging="150"/>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Attended District Synods (</w:t>
            </w:r>
            <w:r w:rsidR="00E72999">
              <w:rPr>
                <w:rFonts w:ascii="Cambria" w:hAnsi="Cambria" w:cs="Arial"/>
              </w:rPr>
              <w:t>Qld</w:t>
            </w:r>
            <w:r w:rsidRPr="009A0DA6">
              <w:rPr>
                <w:rFonts w:ascii="Cambria" w:hAnsi="Cambria" w:cs="Arial"/>
              </w:rPr>
              <w:t xml:space="preserve">, WA, </w:t>
            </w:r>
            <w:r w:rsidR="00E72999">
              <w:rPr>
                <w:rFonts w:ascii="Cambria" w:hAnsi="Cambria" w:cs="Arial"/>
              </w:rPr>
              <w:t>Vic</w:t>
            </w:r>
            <w:r w:rsidRPr="009A0DA6">
              <w:rPr>
                <w:rFonts w:ascii="Cambria" w:hAnsi="Cambria" w:cs="Arial"/>
              </w:rPr>
              <w:t>/</w:t>
            </w:r>
            <w:r w:rsidR="00E72999">
              <w:rPr>
                <w:rFonts w:ascii="Cambria" w:hAnsi="Cambria" w:cs="Arial"/>
              </w:rPr>
              <w:t>Tas</w:t>
            </w:r>
            <w:r w:rsidRPr="009A0DA6">
              <w:rPr>
                <w:rFonts w:ascii="Cambria" w:hAnsi="Cambria" w:cs="Arial"/>
              </w:rPr>
              <w:t>, SA/NT) and Church Worker and Pastors Conferences (</w:t>
            </w:r>
            <w:r w:rsidR="00E72999">
              <w:rPr>
                <w:rFonts w:ascii="Cambria" w:hAnsi="Cambria" w:cs="Arial"/>
              </w:rPr>
              <w:t>Qld</w:t>
            </w:r>
            <w:r w:rsidRPr="009A0DA6">
              <w:rPr>
                <w:rFonts w:ascii="Cambria" w:hAnsi="Cambria" w:cs="Arial"/>
              </w:rPr>
              <w:t xml:space="preserve">, NZ, NSW, </w:t>
            </w:r>
            <w:r w:rsidR="00E72999">
              <w:rPr>
                <w:rFonts w:ascii="Cambria" w:hAnsi="Cambria" w:cs="Arial"/>
              </w:rPr>
              <w:t>Vic</w:t>
            </w:r>
            <w:r w:rsidRPr="009A0DA6">
              <w:rPr>
                <w:rFonts w:ascii="Cambria" w:hAnsi="Cambria" w:cs="Arial"/>
              </w:rPr>
              <w:t>/</w:t>
            </w:r>
            <w:r w:rsidR="00E72999">
              <w:rPr>
                <w:rFonts w:ascii="Cambria" w:hAnsi="Cambria" w:cs="Arial"/>
              </w:rPr>
              <w:t>Tas</w:t>
            </w:r>
            <w:r w:rsidRPr="009A0DA6">
              <w:rPr>
                <w:rFonts w:ascii="Cambria" w:hAnsi="Cambria" w:cs="Arial"/>
              </w:rPr>
              <w:t>, SA/NT) in various years</w:t>
            </w:r>
          </w:p>
          <w:p w14:paraId="4C343375" w14:textId="77777777" w:rsidR="00F631B1" w:rsidRPr="009A0DA6" w:rsidRDefault="00F631B1" w:rsidP="00F55252">
            <w:pPr>
              <w:numPr>
                <w:ilvl w:val="0"/>
                <w:numId w:val="41"/>
              </w:numPr>
              <w:ind w:left="150" w:hanging="150"/>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Attended LWA conventions as invited (SA/NT)</w:t>
            </w:r>
          </w:p>
          <w:p w14:paraId="09A6FA0E" w14:textId="77777777" w:rsidR="00F631B1" w:rsidRPr="009A0DA6" w:rsidRDefault="00F631B1" w:rsidP="00F55252">
            <w:pPr>
              <w:numPr>
                <w:ilvl w:val="0"/>
                <w:numId w:val="41"/>
              </w:numPr>
              <w:ind w:left="150" w:hanging="150"/>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Promote LNAA when possible</w:t>
            </w:r>
          </w:p>
          <w:p w14:paraId="65D3A9CD" w14:textId="77777777" w:rsidR="00F631B1" w:rsidRPr="009A0DA6" w:rsidRDefault="00F631B1" w:rsidP="00F55252">
            <w:pPr>
              <w:numPr>
                <w:ilvl w:val="0"/>
                <w:numId w:val="41"/>
              </w:numPr>
              <w:ind w:left="150" w:hanging="150"/>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Support LCA and District Bishops and Administrators as requested (particularly) with HR Management/Service Management issues</w:t>
            </w:r>
          </w:p>
          <w:p w14:paraId="0425F897" w14:textId="77777777" w:rsidR="00F631B1" w:rsidRPr="009A0DA6" w:rsidRDefault="00F631B1" w:rsidP="00F55252">
            <w:pPr>
              <w:numPr>
                <w:ilvl w:val="0"/>
                <w:numId w:val="41"/>
              </w:numPr>
              <w:ind w:left="150" w:hanging="150"/>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Hosted 2015 and 2017 Lay Worker Conferences</w:t>
            </w:r>
          </w:p>
          <w:p w14:paraId="3FBE6789" w14:textId="77777777" w:rsidR="00F631B1" w:rsidRPr="009A0DA6" w:rsidRDefault="00F631B1" w:rsidP="00F55252">
            <w:pPr>
              <w:numPr>
                <w:ilvl w:val="0"/>
                <w:numId w:val="41"/>
              </w:numPr>
              <w:ind w:left="150" w:hanging="150"/>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Congregational visitation program has commenced and will continue</w:t>
            </w:r>
          </w:p>
          <w:p w14:paraId="0696D2D5" w14:textId="77777777" w:rsidR="00F631B1" w:rsidRPr="009A0DA6" w:rsidRDefault="00F631B1" w:rsidP="00F55252">
            <w:pPr>
              <w:numPr>
                <w:ilvl w:val="0"/>
                <w:numId w:val="41"/>
              </w:numPr>
              <w:ind w:left="150" w:hanging="150"/>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Provide support to Congregations as requested (particularly with employment related issues)</w:t>
            </w:r>
          </w:p>
        </w:tc>
      </w:tr>
      <w:tr w:rsidR="00F631B1" w:rsidRPr="009A0DA6" w14:paraId="6AFB2654" w14:textId="77777777" w:rsidTr="00565A2C">
        <w:trPr>
          <w:trHeight w:val="252"/>
        </w:trPr>
        <w:tc>
          <w:tcPr>
            <w:cnfStyle w:val="001000000000" w:firstRow="0" w:lastRow="0" w:firstColumn="1" w:lastColumn="0" w:oddVBand="0" w:evenVBand="0" w:oddHBand="0" w:evenHBand="0" w:firstRowFirstColumn="0" w:firstRowLastColumn="0" w:lastRowFirstColumn="0" w:lastRowLastColumn="0"/>
            <w:tcW w:w="1985" w:type="dxa"/>
            <w:hideMark/>
          </w:tcPr>
          <w:p w14:paraId="4C82B448" w14:textId="77777777" w:rsidR="00F631B1" w:rsidRPr="009A0DA6" w:rsidRDefault="00F631B1" w:rsidP="00F55252">
            <w:pPr>
              <w:widowControl w:val="0"/>
              <w:numPr>
                <w:ilvl w:val="0"/>
                <w:numId w:val="40"/>
              </w:numPr>
              <w:suppressAutoHyphens/>
              <w:rPr>
                <w:rFonts w:ascii="Cambria" w:hAnsi="Cambria" w:cs="Arial"/>
              </w:rPr>
            </w:pPr>
            <w:r w:rsidRPr="009A0DA6">
              <w:rPr>
                <w:rFonts w:ascii="Cambria" w:hAnsi="Cambria" w:cs="Arial"/>
              </w:rPr>
              <w:lastRenderedPageBreak/>
              <w:t>Embed and fully inte-grate the LCA Human Resources System (LCA HRS)</w:t>
            </w:r>
          </w:p>
        </w:tc>
        <w:tc>
          <w:tcPr>
            <w:tcW w:w="2977" w:type="dxa"/>
          </w:tcPr>
          <w:p w14:paraId="4D4B1B7A" w14:textId="77777777" w:rsidR="00F631B1" w:rsidRPr="009A0DA6" w:rsidRDefault="00F631B1" w:rsidP="00F55252">
            <w:pPr>
              <w:numPr>
                <w:ilvl w:val="0"/>
                <w:numId w:val="41"/>
              </w:numPr>
              <w:ind w:left="174" w:hanging="174"/>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Facilitate all employing bodies (congregations, District and National Offices, and associated agencies) using LCA HRS for payroll by end 2017</w:t>
            </w:r>
          </w:p>
          <w:p w14:paraId="5569F1AF" w14:textId="77777777" w:rsidR="00F631B1" w:rsidRPr="009A0DA6" w:rsidRDefault="00F631B1" w:rsidP="00F55252">
            <w:pPr>
              <w:numPr>
                <w:ilvl w:val="0"/>
                <w:numId w:val="41"/>
              </w:numPr>
              <w:ind w:left="174" w:hanging="174"/>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Configure and Implement remaining LCA HRS modules by mid/late 2017</w:t>
            </w:r>
          </w:p>
          <w:p w14:paraId="5C69A2A9" w14:textId="77777777" w:rsidR="00F631B1" w:rsidRPr="009A0DA6" w:rsidRDefault="00F631B1" w:rsidP="00F55252">
            <w:pPr>
              <w:numPr>
                <w:ilvl w:val="0"/>
                <w:numId w:val="41"/>
              </w:numPr>
              <w:ind w:left="174" w:hanging="174"/>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Provide training and assistance to employing bodies as required</w:t>
            </w:r>
          </w:p>
          <w:p w14:paraId="5B92104C" w14:textId="77777777" w:rsidR="00F631B1" w:rsidRPr="009A0DA6" w:rsidRDefault="00F631B1" w:rsidP="00180211">
            <w:pPr>
              <w:ind w:left="174" w:hanging="174"/>
              <w:cnfStyle w:val="000000000000" w:firstRow="0" w:lastRow="0" w:firstColumn="0" w:lastColumn="0" w:oddVBand="0" w:evenVBand="0" w:oddHBand="0" w:evenHBand="0" w:firstRowFirstColumn="0" w:firstRowLastColumn="0" w:lastRowFirstColumn="0" w:lastRowLastColumn="0"/>
              <w:rPr>
                <w:rFonts w:ascii="Cambria" w:hAnsi="Cambria" w:cs="Arial"/>
              </w:rPr>
            </w:pPr>
          </w:p>
        </w:tc>
        <w:tc>
          <w:tcPr>
            <w:tcW w:w="3685" w:type="dxa"/>
            <w:hideMark/>
          </w:tcPr>
          <w:p w14:paraId="0D882AD3" w14:textId="77777777" w:rsidR="00F631B1" w:rsidRPr="009A0DA6" w:rsidRDefault="00F631B1" w:rsidP="00F55252">
            <w:pPr>
              <w:numPr>
                <w:ilvl w:val="0"/>
                <w:numId w:val="41"/>
              </w:numPr>
              <w:ind w:left="150" w:hanging="150"/>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LCA HRS phase 1 implementation almost complete – this has been overseen by LCA Business Manager</w:t>
            </w:r>
          </w:p>
          <w:p w14:paraId="3BDF93C1" w14:textId="77777777" w:rsidR="00F631B1" w:rsidRPr="009A0DA6" w:rsidRDefault="00F631B1" w:rsidP="00F55252">
            <w:pPr>
              <w:numPr>
                <w:ilvl w:val="0"/>
                <w:numId w:val="41"/>
              </w:numPr>
              <w:ind w:left="150" w:hanging="150"/>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Phase 2 has development has begun and commenced testing with process for administration of Pastor Calls</w:t>
            </w:r>
          </w:p>
          <w:p w14:paraId="0B34284F" w14:textId="77777777" w:rsidR="00F631B1" w:rsidRPr="009A0DA6" w:rsidRDefault="00F631B1" w:rsidP="00F55252">
            <w:pPr>
              <w:numPr>
                <w:ilvl w:val="0"/>
                <w:numId w:val="41"/>
              </w:numPr>
              <w:ind w:left="150" w:hanging="150"/>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Provided training and assistance to employing bodies as requested</w:t>
            </w:r>
          </w:p>
        </w:tc>
      </w:tr>
      <w:tr w:rsidR="00F631B1" w:rsidRPr="009A0DA6" w14:paraId="5B640BF1" w14:textId="77777777" w:rsidTr="00565A2C">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985" w:type="dxa"/>
          </w:tcPr>
          <w:p w14:paraId="3FFA573B" w14:textId="77777777" w:rsidR="00F631B1" w:rsidRPr="009A0DA6" w:rsidRDefault="00F631B1" w:rsidP="00F55252">
            <w:pPr>
              <w:widowControl w:val="0"/>
              <w:numPr>
                <w:ilvl w:val="0"/>
                <w:numId w:val="40"/>
              </w:numPr>
              <w:suppressAutoHyphens/>
              <w:rPr>
                <w:rFonts w:ascii="Cambria" w:hAnsi="Cambria" w:cs="Arial"/>
              </w:rPr>
            </w:pPr>
            <w:r w:rsidRPr="009A0DA6">
              <w:rPr>
                <w:rFonts w:ascii="Cambria" w:hAnsi="Cambria" w:cs="Arial"/>
              </w:rPr>
              <w:t xml:space="preserve">Unplanned or incidental outcomes </w:t>
            </w:r>
          </w:p>
          <w:p w14:paraId="01F14FE0" w14:textId="77777777" w:rsidR="00F631B1" w:rsidRPr="009A0DA6" w:rsidRDefault="00F631B1" w:rsidP="00180211">
            <w:pPr>
              <w:rPr>
                <w:rFonts w:ascii="Cambria" w:hAnsi="Cambria" w:cs="Arial"/>
              </w:rPr>
            </w:pPr>
          </w:p>
          <w:p w14:paraId="2191E4E5" w14:textId="77777777" w:rsidR="00F631B1" w:rsidRPr="009A0DA6" w:rsidRDefault="00F631B1" w:rsidP="00180211">
            <w:pPr>
              <w:jc w:val="center"/>
              <w:rPr>
                <w:rFonts w:ascii="Cambria" w:hAnsi="Cambria" w:cs="Arial"/>
              </w:rPr>
            </w:pPr>
          </w:p>
        </w:tc>
        <w:tc>
          <w:tcPr>
            <w:tcW w:w="2977" w:type="dxa"/>
          </w:tcPr>
          <w:p w14:paraId="7506F896" w14:textId="77777777" w:rsidR="00F631B1" w:rsidRPr="009A0DA6" w:rsidRDefault="00F631B1" w:rsidP="00180211">
            <w:pPr>
              <w:ind w:left="174"/>
              <w:cnfStyle w:val="000000100000" w:firstRow="0" w:lastRow="0" w:firstColumn="0" w:lastColumn="0" w:oddVBand="0" w:evenVBand="0" w:oddHBand="1" w:evenHBand="0" w:firstRowFirstColumn="0" w:firstRowLastColumn="0" w:lastRowFirstColumn="0" w:lastRowLastColumn="0"/>
              <w:rPr>
                <w:rFonts w:ascii="Cambria" w:hAnsi="Cambria" w:cs="Arial"/>
              </w:rPr>
            </w:pPr>
          </w:p>
        </w:tc>
        <w:tc>
          <w:tcPr>
            <w:tcW w:w="3685" w:type="dxa"/>
            <w:hideMark/>
          </w:tcPr>
          <w:p w14:paraId="277B89B4" w14:textId="77777777" w:rsidR="00F631B1" w:rsidRPr="009A0DA6" w:rsidRDefault="00F631B1" w:rsidP="00F55252">
            <w:pPr>
              <w:numPr>
                <w:ilvl w:val="0"/>
                <w:numId w:val="41"/>
              </w:numPr>
              <w:ind w:left="150" w:hanging="150"/>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In partnership with ALC CWS has developed and provided resources to Lutheran School Career Teachers about LCA Career and Service Opportunities, attended 3 Schools to promote directly in 2017, additional schools and visits and planned in 2018</w:t>
            </w:r>
          </w:p>
          <w:p w14:paraId="495E97EE" w14:textId="77777777" w:rsidR="00F631B1" w:rsidRPr="009A0DA6" w:rsidRDefault="00F631B1" w:rsidP="00F55252">
            <w:pPr>
              <w:numPr>
                <w:ilvl w:val="0"/>
                <w:numId w:val="41"/>
              </w:numPr>
              <w:ind w:left="150" w:hanging="150"/>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Supporting the 50.500 project to develop some Video Resources for the LCA with potential uses including induction in LCA entities (eg aged and community care services, congregations)</w:t>
            </w:r>
          </w:p>
          <w:p w14:paraId="4CF7619F" w14:textId="77777777" w:rsidR="00F631B1" w:rsidRPr="009A0DA6" w:rsidRDefault="00F631B1" w:rsidP="00F55252">
            <w:pPr>
              <w:numPr>
                <w:ilvl w:val="0"/>
                <w:numId w:val="41"/>
              </w:numPr>
              <w:ind w:left="150" w:hanging="150"/>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Supporting Local Mission’s One Loving God Project to develop resources to explain and describe diaconal ministry</w:t>
            </w:r>
          </w:p>
          <w:p w14:paraId="4968FAA3" w14:textId="77777777" w:rsidR="00F631B1" w:rsidRPr="009A0DA6" w:rsidRDefault="00F631B1" w:rsidP="00F55252">
            <w:pPr>
              <w:numPr>
                <w:ilvl w:val="0"/>
                <w:numId w:val="41"/>
              </w:numPr>
              <w:ind w:left="150" w:hanging="150"/>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Completed lay ministry survey</w:t>
            </w:r>
          </w:p>
        </w:tc>
      </w:tr>
    </w:tbl>
    <w:p w14:paraId="282AF664" w14:textId="77777777" w:rsidR="00F631B1" w:rsidRPr="009A0DA6" w:rsidRDefault="00F631B1" w:rsidP="00F631B1">
      <w:pPr>
        <w:pStyle w:val="NoSpacing"/>
      </w:pPr>
    </w:p>
    <w:p w14:paraId="133B2C01" w14:textId="77777777" w:rsidR="00F631B1" w:rsidRPr="009A0DA6" w:rsidRDefault="00F631B1" w:rsidP="00F631B1">
      <w:pPr>
        <w:pStyle w:val="Heading3"/>
        <w:rPr>
          <w:szCs w:val="28"/>
          <w:lang w:val="en-US" w:eastAsia="ja-JP"/>
        </w:rPr>
      </w:pPr>
      <w:r w:rsidRPr="009A0DA6">
        <w:t>Successes</w:t>
      </w:r>
    </w:p>
    <w:p w14:paraId="6013D563" w14:textId="77777777" w:rsidR="00F631B1" w:rsidRPr="009A0DA6" w:rsidRDefault="00F631B1" w:rsidP="00C8156C">
      <w:pPr>
        <w:pStyle w:val="ListParagraph"/>
        <w:numPr>
          <w:ilvl w:val="0"/>
          <w:numId w:val="360"/>
        </w:numPr>
        <w:spacing w:after="0" w:line="240" w:lineRule="auto"/>
        <w:ind w:left="567" w:hanging="567"/>
        <w:rPr>
          <w:rFonts w:ascii="Cambria" w:hAnsi="Cambria"/>
          <w:sz w:val="10"/>
        </w:rPr>
      </w:pPr>
      <w:r w:rsidRPr="009A0DA6">
        <w:rPr>
          <w:rFonts w:ascii="Cambria" w:hAnsi="Cambria"/>
        </w:rPr>
        <w:t xml:space="preserve">The Lay Worker Conferences in 2015 and 2017 were highly valued by those who attended. </w:t>
      </w:r>
      <w:r w:rsidRPr="009A0DA6">
        <w:rPr>
          <w:rFonts w:ascii="Cambria" w:hAnsi="Cambria"/>
        </w:rPr>
        <w:br/>
      </w:r>
    </w:p>
    <w:p w14:paraId="73EE2B8D" w14:textId="77777777" w:rsidR="00F631B1" w:rsidRPr="009A0DA6" w:rsidRDefault="00F631B1" w:rsidP="00C8156C">
      <w:pPr>
        <w:pStyle w:val="ListParagraph"/>
        <w:numPr>
          <w:ilvl w:val="0"/>
          <w:numId w:val="360"/>
        </w:numPr>
        <w:spacing w:after="0" w:line="240" w:lineRule="auto"/>
        <w:ind w:left="567" w:hanging="567"/>
        <w:rPr>
          <w:rFonts w:ascii="Cambria" w:hAnsi="Cambria"/>
          <w:sz w:val="10"/>
        </w:rPr>
      </w:pPr>
      <w:r w:rsidRPr="009A0DA6">
        <w:rPr>
          <w:rFonts w:ascii="Cambria" w:hAnsi="Cambria"/>
        </w:rPr>
        <w:t xml:space="preserve">The Development of resources for, and development of relationships with, Lutheran schools in 2017 has been particularly exciting and has led to increased awareness (in some staff in schools) of career, service and study opportunities with the LCA and at ALC. This picks up on the 2013 Synod resolution relating to the promotion of vocational paths in the LCA. The CWS Department has been working alongside ALC to represent the LCA at Lutheran schools’ career events and in smaller groups when possible. </w:t>
      </w:r>
      <w:r w:rsidRPr="009A0DA6">
        <w:rPr>
          <w:rFonts w:ascii="Cambria" w:hAnsi="Cambria"/>
        </w:rPr>
        <w:br/>
      </w:r>
    </w:p>
    <w:p w14:paraId="1309B257" w14:textId="77777777" w:rsidR="00F631B1" w:rsidRPr="009A0DA6" w:rsidRDefault="00F631B1" w:rsidP="00202891">
      <w:pPr>
        <w:pStyle w:val="ListParagraph"/>
        <w:numPr>
          <w:ilvl w:val="0"/>
          <w:numId w:val="42"/>
        </w:numPr>
        <w:spacing w:after="0" w:line="240" w:lineRule="auto"/>
        <w:ind w:left="567" w:hanging="567"/>
        <w:rPr>
          <w:rFonts w:ascii="Cambria" w:hAnsi="Cambria"/>
          <w:sz w:val="10"/>
        </w:rPr>
      </w:pPr>
      <w:r w:rsidRPr="009A0DA6">
        <w:rPr>
          <w:rFonts w:ascii="Cambria" w:hAnsi="Cambria"/>
        </w:rPr>
        <w:t>A review of lay ministry resources was undertaken and new CWS resources have been developed primarily to assist congregational leadership to manage and support those serving them. Resources include pre-employment checklists and considerations, recruitment and interviewing guides, employment agreement templates, position description templates, performance development review guides.</w:t>
      </w:r>
      <w:r w:rsidRPr="009A0DA6">
        <w:rPr>
          <w:rFonts w:ascii="Cambria" w:hAnsi="Cambria"/>
        </w:rPr>
        <w:br/>
      </w:r>
    </w:p>
    <w:p w14:paraId="760B7FA8" w14:textId="77777777" w:rsidR="00F631B1" w:rsidRPr="009A0DA6" w:rsidRDefault="00F631B1" w:rsidP="00202891">
      <w:pPr>
        <w:pStyle w:val="ListParagraph"/>
        <w:numPr>
          <w:ilvl w:val="0"/>
          <w:numId w:val="42"/>
        </w:numPr>
        <w:spacing w:after="0" w:line="240" w:lineRule="auto"/>
        <w:ind w:left="567" w:hanging="567"/>
        <w:rPr>
          <w:rFonts w:ascii="Cambria" w:hAnsi="Cambria"/>
          <w:sz w:val="10"/>
        </w:rPr>
      </w:pPr>
      <w:r w:rsidRPr="009A0DA6">
        <w:rPr>
          <w:rFonts w:ascii="Cambria" w:hAnsi="Cambria"/>
        </w:rPr>
        <w:t>The Principal of ALC and the CWS Manager meet regularly to intentionally examine opportunities to collaborate – the collaboration to support the CEP program (under the oversight of the College of Bishops) is one example of working together to further the mutual goal of equipping and supporting pastors, continued support of the VET program (for lay worker training) continues.</w:t>
      </w:r>
      <w:r w:rsidRPr="009A0DA6">
        <w:rPr>
          <w:rFonts w:ascii="Cambria" w:hAnsi="Cambria"/>
        </w:rPr>
        <w:br/>
      </w:r>
      <w:r w:rsidRPr="009A0DA6">
        <w:rPr>
          <w:rFonts w:ascii="Cambria" w:hAnsi="Cambria"/>
          <w:sz w:val="10"/>
        </w:rPr>
        <w:t xml:space="preserve">  </w:t>
      </w:r>
    </w:p>
    <w:p w14:paraId="322D37E2" w14:textId="38A058FC" w:rsidR="00F631B1" w:rsidRPr="009A0DA6" w:rsidRDefault="00F631B1" w:rsidP="00202891">
      <w:pPr>
        <w:pStyle w:val="ListParagraph"/>
        <w:numPr>
          <w:ilvl w:val="0"/>
          <w:numId w:val="42"/>
        </w:numPr>
        <w:spacing w:after="0" w:line="240" w:lineRule="auto"/>
        <w:ind w:left="567" w:hanging="567"/>
        <w:rPr>
          <w:rFonts w:ascii="Cambria" w:hAnsi="Cambria"/>
        </w:rPr>
      </w:pPr>
      <w:r w:rsidRPr="009A0DA6">
        <w:rPr>
          <w:rFonts w:ascii="Cambria" w:hAnsi="Cambria"/>
        </w:rPr>
        <w:lastRenderedPageBreak/>
        <w:t>Greater collaboration across functional groups of the LCA is leading to deeper collaboration and more effective working relationships and ultimately better outcomes, examples include working with local mission on the ‘One Loving God’ project, working on the 50.500 video resource project and with LEA on the Schools Ministry Working Group.</w:t>
      </w:r>
      <w:r w:rsidR="00202891">
        <w:rPr>
          <w:rFonts w:ascii="Cambria" w:hAnsi="Cambria"/>
        </w:rPr>
        <w:br/>
      </w:r>
    </w:p>
    <w:p w14:paraId="0BC5A9A7" w14:textId="77777777" w:rsidR="00F631B1" w:rsidRPr="009A0DA6" w:rsidRDefault="00F631B1" w:rsidP="00F631B1">
      <w:pPr>
        <w:pStyle w:val="Heading3"/>
      </w:pPr>
      <w:r w:rsidRPr="009A0DA6">
        <w:t>Challenges and Lessons Learned</w:t>
      </w:r>
    </w:p>
    <w:p w14:paraId="390A2943" w14:textId="77777777" w:rsidR="00F631B1" w:rsidRPr="009A0DA6" w:rsidRDefault="00F631B1" w:rsidP="00C8156C">
      <w:pPr>
        <w:pStyle w:val="ListParagraph"/>
        <w:numPr>
          <w:ilvl w:val="0"/>
          <w:numId w:val="361"/>
        </w:numPr>
        <w:spacing w:after="0" w:line="240" w:lineRule="auto"/>
        <w:rPr>
          <w:rFonts w:ascii="Cambria" w:hAnsi="Cambria"/>
          <w:sz w:val="10"/>
        </w:rPr>
      </w:pPr>
      <w:r w:rsidRPr="009A0DA6">
        <w:rPr>
          <w:rFonts w:ascii="Cambria" w:hAnsi="Cambria"/>
        </w:rPr>
        <w:t>Effective communication throughout the LCA and NZ is a challenge. While personal and/or face-to-face is preferable, this is not always possible – especially for messages that everyone needs to receive at the same time. E-newsletters and email is efficient but doesn’t always hit the right mark or intended target. This is not a new challenge but is ongoing.</w:t>
      </w:r>
      <w:r w:rsidRPr="009A0DA6">
        <w:rPr>
          <w:rFonts w:ascii="Cambria" w:hAnsi="Cambria"/>
        </w:rPr>
        <w:br/>
      </w:r>
    </w:p>
    <w:p w14:paraId="55DDAEA7" w14:textId="77777777" w:rsidR="00F631B1" w:rsidRPr="009A0DA6" w:rsidRDefault="00F631B1" w:rsidP="00C8156C">
      <w:pPr>
        <w:pStyle w:val="ListParagraph"/>
        <w:numPr>
          <w:ilvl w:val="0"/>
          <w:numId w:val="361"/>
        </w:numPr>
        <w:spacing w:after="0" w:line="240" w:lineRule="auto"/>
        <w:rPr>
          <w:rFonts w:ascii="Cambria" w:hAnsi="Cambria"/>
          <w:sz w:val="10"/>
        </w:rPr>
      </w:pPr>
      <w:r w:rsidRPr="009A0DA6">
        <w:rPr>
          <w:rFonts w:ascii="Cambria" w:hAnsi="Cambria"/>
        </w:rPr>
        <w:t>The department struggled to recruit a suitable candidate for the third CWS Officer and while this reduced expenditure, it curtailed activities. The position was filled in March 2018 and the incumbent will be based in Queensland (and with some additional funding from LCAQD and associated duties to support HR). This arrangement will be reassessed at the end of 2018.</w:t>
      </w:r>
      <w:r w:rsidRPr="009A0DA6">
        <w:rPr>
          <w:rFonts w:ascii="Cambria" w:hAnsi="Cambria"/>
        </w:rPr>
        <w:br/>
      </w:r>
    </w:p>
    <w:p w14:paraId="3482292A" w14:textId="77777777" w:rsidR="00F631B1" w:rsidRPr="009A0DA6" w:rsidRDefault="00F631B1" w:rsidP="00C8156C">
      <w:pPr>
        <w:pStyle w:val="ListParagraph"/>
        <w:numPr>
          <w:ilvl w:val="0"/>
          <w:numId w:val="361"/>
        </w:numPr>
        <w:spacing w:after="0" w:line="240" w:lineRule="auto"/>
        <w:rPr>
          <w:rFonts w:ascii="Cambria" w:hAnsi="Cambria"/>
          <w:sz w:val="10"/>
        </w:rPr>
      </w:pPr>
      <w:r w:rsidRPr="009A0DA6">
        <w:rPr>
          <w:rFonts w:ascii="Cambria" w:hAnsi="Cambria"/>
        </w:rPr>
        <w:t>The need for change in many areas is hampered at times by not having an agreed change management process, or from not having agreement about the need to change particular processes. There is limited trust of the activities of the LCA National Office in many congregations, and whilst personal engagement serves to reassure entities (usually) this takes considerable time. Relationships built on trust are critical to a sense of team and belonging to a bigger picture in the mission the LCA is called to be part of by God.</w:t>
      </w:r>
      <w:r w:rsidRPr="009A0DA6">
        <w:rPr>
          <w:rFonts w:ascii="Cambria" w:hAnsi="Cambria"/>
        </w:rPr>
        <w:br/>
      </w:r>
    </w:p>
    <w:p w14:paraId="00720AB3" w14:textId="7A827F47" w:rsidR="00F631B1" w:rsidRPr="009A0DA6" w:rsidRDefault="00F631B1" w:rsidP="00C8156C">
      <w:pPr>
        <w:pStyle w:val="ListParagraph"/>
        <w:numPr>
          <w:ilvl w:val="0"/>
          <w:numId w:val="361"/>
        </w:numPr>
        <w:spacing w:after="0" w:line="240" w:lineRule="auto"/>
        <w:rPr>
          <w:rFonts w:ascii="Cambria" w:hAnsi="Cambria"/>
        </w:rPr>
      </w:pPr>
      <w:r w:rsidRPr="009A0DA6">
        <w:rPr>
          <w:rFonts w:ascii="Cambria" w:hAnsi="Cambria"/>
        </w:rPr>
        <w:t>The importance and value of continuing education/vocational development is under acknowledged across the church. Sometimes it is passed off as too expensive, but education and development need not be expensive, indeed many opportunities are free. Skilled and well-equipped church workers are a great asset to the church.</w:t>
      </w:r>
      <w:r w:rsidR="00202891">
        <w:rPr>
          <w:rFonts w:ascii="Cambria" w:hAnsi="Cambria"/>
        </w:rPr>
        <w:br/>
      </w:r>
    </w:p>
    <w:p w14:paraId="321131B8" w14:textId="77777777" w:rsidR="00F631B1" w:rsidRPr="009A0DA6" w:rsidRDefault="00F631B1" w:rsidP="00F631B1">
      <w:pPr>
        <w:pStyle w:val="Heading3"/>
      </w:pPr>
      <w:r w:rsidRPr="009A0DA6">
        <w:t>Risks</w:t>
      </w:r>
    </w:p>
    <w:tbl>
      <w:tblPr>
        <w:tblStyle w:val="PlainTable2"/>
        <w:tblW w:w="8789" w:type="dxa"/>
        <w:tblLook w:val="04A0" w:firstRow="1" w:lastRow="0" w:firstColumn="1" w:lastColumn="0" w:noHBand="0" w:noVBand="1"/>
      </w:tblPr>
      <w:tblGrid>
        <w:gridCol w:w="1134"/>
        <w:gridCol w:w="3119"/>
        <w:gridCol w:w="4536"/>
      </w:tblGrid>
      <w:tr w:rsidR="00F631B1" w:rsidRPr="009A0DA6" w14:paraId="1EC0CFAF" w14:textId="77777777" w:rsidTr="00202891">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134" w:type="dxa"/>
            <w:vAlign w:val="center"/>
            <w:hideMark/>
          </w:tcPr>
          <w:p w14:paraId="58AD3EA1" w14:textId="78597597" w:rsidR="00F631B1" w:rsidRPr="009A0DA6" w:rsidRDefault="00F631B1" w:rsidP="00CF1FE7">
            <w:pPr>
              <w:rPr>
                <w:rFonts w:ascii="Cambria" w:hAnsi="Cambria" w:cs="Arial"/>
              </w:rPr>
            </w:pPr>
            <w:r w:rsidRPr="009A0DA6">
              <w:rPr>
                <w:rFonts w:ascii="Cambria" w:hAnsi="Cambria" w:cs="Arial"/>
              </w:rPr>
              <w:t>Descrip</w:t>
            </w:r>
            <w:r w:rsidR="00CF1FE7">
              <w:rPr>
                <w:rFonts w:ascii="Cambria" w:hAnsi="Cambria" w:cs="Arial"/>
              </w:rPr>
              <w:t>-</w:t>
            </w:r>
            <w:r w:rsidRPr="009A0DA6">
              <w:rPr>
                <w:rFonts w:ascii="Cambria" w:hAnsi="Cambria" w:cs="Arial"/>
              </w:rPr>
              <w:t>tion of risk</w:t>
            </w:r>
          </w:p>
        </w:tc>
        <w:tc>
          <w:tcPr>
            <w:tcW w:w="3119" w:type="dxa"/>
            <w:hideMark/>
          </w:tcPr>
          <w:p w14:paraId="09488337" w14:textId="77777777" w:rsidR="00F631B1" w:rsidRPr="009A0DA6" w:rsidRDefault="00F631B1" w:rsidP="00CF1FE7">
            <w:pPr>
              <w:cnfStyle w:val="100000000000" w:firstRow="1"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Likelihood of risk occurring and potential impact for the ministry and LCA</w:t>
            </w:r>
          </w:p>
        </w:tc>
        <w:tc>
          <w:tcPr>
            <w:tcW w:w="4536" w:type="dxa"/>
            <w:vAlign w:val="center"/>
            <w:hideMark/>
          </w:tcPr>
          <w:p w14:paraId="3DDE932C" w14:textId="77777777" w:rsidR="00F631B1" w:rsidRPr="009A0DA6" w:rsidRDefault="00F631B1" w:rsidP="00CF1FE7">
            <w:pPr>
              <w:cnfStyle w:val="100000000000" w:firstRow="1"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Summary of action to mitigate the risk</w:t>
            </w:r>
          </w:p>
        </w:tc>
      </w:tr>
      <w:tr w:rsidR="00F631B1" w:rsidRPr="009A0DA6" w14:paraId="763B94F0" w14:textId="77777777" w:rsidTr="00202891">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134" w:type="dxa"/>
            <w:hideMark/>
          </w:tcPr>
          <w:p w14:paraId="65EC381A" w14:textId="4923219E" w:rsidR="00F631B1" w:rsidRPr="009A0DA6" w:rsidRDefault="00F631B1" w:rsidP="00180211">
            <w:pPr>
              <w:widowControl w:val="0"/>
              <w:suppressAutoHyphens/>
              <w:rPr>
                <w:rFonts w:ascii="Cambria" w:hAnsi="Cambria" w:cs="Arial"/>
              </w:rPr>
            </w:pPr>
            <w:r w:rsidRPr="009A0DA6">
              <w:rPr>
                <w:rFonts w:ascii="Cambria" w:hAnsi="Cambria" w:cs="Arial"/>
              </w:rPr>
              <w:t>Reputa</w:t>
            </w:r>
            <w:r w:rsidR="00202891">
              <w:rPr>
                <w:rFonts w:ascii="Cambria" w:hAnsi="Cambria" w:cs="Arial"/>
              </w:rPr>
              <w:t>-</w:t>
            </w:r>
            <w:r w:rsidRPr="009A0DA6">
              <w:rPr>
                <w:rFonts w:ascii="Cambria" w:hAnsi="Cambria" w:cs="Arial"/>
              </w:rPr>
              <w:t xml:space="preserve">tional </w:t>
            </w:r>
          </w:p>
        </w:tc>
        <w:tc>
          <w:tcPr>
            <w:tcW w:w="3119" w:type="dxa"/>
            <w:hideMark/>
          </w:tcPr>
          <w:p w14:paraId="32311AE2" w14:textId="77777777" w:rsidR="00F631B1" w:rsidRPr="009A0DA6" w:rsidRDefault="00F631B1" w:rsidP="00180211">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 xml:space="preserve">There is a high risk of reputational risk if the recommendations of the Royal Commission into Institutional Responses to Child Sexual Abuse are not thoughtfully considered and acted upon. </w:t>
            </w:r>
          </w:p>
        </w:tc>
        <w:tc>
          <w:tcPr>
            <w:tcW w:w="4536" w:type="dxa"/>
            <w:hideMark/>
          </w:tcPr>
          <w:p w14:paraId="20E116FC" w14:textId="77777777" w:rsidR="00F631B1" w:rsidRPr="009A0DA6" w:rsidRDefault="00F631B1" w:rsidP="00180211">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 xml:space="preserve">The recommendations that relate to the management of church workers (in particular 16. 44, 16.45 and 16.46) appear to be sensible and appropriate good practices. A forum to review professional supervision of pastors was held early in 2018 and will progress a recommendation to the church. The church will need to work collaboratively (within and outside of the LCA) to address its response to the recommendations. </w:t>
            </w:r>
          </w:p>
        </w:tc>
      </w:tr>
      <w:tr w:rsidR="00F631B1" w:rsidRPr="009A0DA6" w14:paraId="4E5AA5F0" w14:textId="77777777" w:rsidTr="00202891">
        <w:trPr>
          <w:trHeight w:val="267"/>
        </w:trPr>
        <w:tc>
          <w:tcPr>
            <w:cnfStyle w:val="001000000000" w:firstRow="0" w:lastRow="0" w:firstColumn="1" w:lastColumn="0" w:oddVBand="0" w:evenVBand="0" w:oddHBand="0" w:evenHBand="0" w:firstRowFirstColumn="0" w:firstRowLastColumn="0" w:lastRowFirstColumn="0" w:lastRowLastColumn="0"/>
            <w:tcW w:w="1134" w:type="dxa"/>
          </w:tcPr>
          <w:p w14:paraId="66CDC1C2" w14:textId="77777777" w:rsidR="00F631B1" w:rsidRPr="009A0DA6" w:rsidRDefault="00F631B1" w:rsidP="00180211">
            <w:pPr>
              <w:widowControl w:val="0"/>
              <w:suppressAutoHyphens/>
              <w:ind w:left="360"/>
              <w:rPr>
                <w:rFonts w:ascii="Cambria" w:hAnsi="Cambria" w:cs="Arial"/>
              </w:rPr>
            </w:pPr>
          </w:p>
        </w:tc>
        <w:tc>
          <w:tcPr>
            <w:tcW w:w="3119" w:type="dxa"/>
            <w:hideMark/>
          </w:tcPr>
          <w:p w14:paraId="7E8F1201" w14:textId="77777777" w:rsidR="00F631B1" w:rsidRPr="009A0DA6" w:rsidRDefault="00F631B1" w:rsidP="00180211">
            <w:pPr>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Continuing Education and/or professional/vocational development is not prioritised by many church workers or their calling/employing body.</w:t>
            </w:r>
          </w:p>
        </w:tc>
        <w:tc>
          <w:tcPr>
            <w:tcW w:w="4536" w:type="dxa"/>
            <w:hideMark/>
          </w:tcPr>
          <w:p w14:paraId="51B2AB18" w14:textId="77777777" w:rsidR="00F631B1" w:rsidRPr="009A0DA6" w:rsidRDefault="00F631B1" w:rsidP="00180211">
            <w:pPr>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The CEP Coordinator will address each district Pastors Conference to encourage participation in Continuing Education. Resources have been developed to encourage other church workers to consider their needs in partnership with their employing/calling body. Annual performance development reviews (with the focus on development not castigation of performance) should be encouraged.</w:t>
            </w:r>
          </w:p>
        </w:tc>
      </w:tr>
    </w:tbl>
    <w:p w14:paraId="47E8EB69" w14:textId="77777777" w:rsidR="00F631B1" w:rsidRPr="009A0DA6" w:rsidRDefault="00F631B1" w:rsidP="00F631B1">
      <w:pPr>
        <w:pStyle w:val="Heading3"/>
        <w:rPr>
          <w:szCs w:val="28"/>
          <w:lang w:val="en-US" w:eastAsia="ja-JP"/>
        </w:rPr>
      </w:pPr>
      <w:r w:rsidRPr="009A0DA6">
        <w:lastRenderedPageBreak/>
        <w:t>Alignment to LCA Strategic Direction 2013–2018</w:t>
      </w:r>
    </w:p>
    <w:p w14:paraId="4D9C028C" w14:textId="77777777" w:rsidR="00F631B1" w:rsidRPr="009A0DA6" w:rsidRDefault="00F631B1" w:rsidP="00F631B1">
      <w:pPr>
        <w:rPr>
          <w:rFonts w:ascii="Cambria" w:hAnsi="Cambria"/>
        </w:rPr>
      </w:pPr>
      <w:r w:rsidRPr="009A0DA6">
        <w:rPr>
          <w:rFonts w:ascii="Cambria" w:hAnsi="Cambria"/>
        </w:rPr>
        <w:t>The main alignment is to aspects of Strategic Priority 3: Enable us to Go and Grow</w:t>
      </w:r>
    </w:p>
    <w:p w14:paraId="751A81CF" w14:textId="77777777" w:rsidR="00F631B1" w:rsidRPr="009A0DA6" w:rsidRDefault="00F631B1" w:rsidP="0069692D">
      <w:pPr>
        <w:autoSpaceDE w:val="0"/>
        <w:autoSpaceDN w:val="0"/>
        <w:adjustRightInd w:val="0"/>
        <w:spacing w:after="0" w:line="240" w:lineRule="auto"/>
        <w:ind w:left="567" w:hanging="567"/>
        <w:rPr>
          <w:rFonts w:ascii="Cambria" w:hAnsi="Cambria" w:cs="HelveticaNeueLTStd-Bd"/>
        </w:rPr>
      </w:pPr>
      <w:r w:rsidRPr="009A0DA6">
        <w:rPr>
          <w:rFonts w:ascii="Cambria" w:hAnsi="Cambria" w:cs="HelveticaNeueLTStd-Bd"/>
        </w:rPr>
        <w:t>A1.</w:t>
      </w:r>
      <w:r w:rsidRPr="009A0DA6">
        <w:rPr>
          <w:rFonts w:ascii="Cambria" w:hAnsi="Cambria" w:cs="HelveticaNeueLTStd-Bd"/>
        </w:rPr>
        <w:tab/>
        <w:t>Improve capability and performance of our leaders</w:t>
      </w:r>
    </w:p>
    <w:p w14:paraId="14F2D0F2" w14:textId="77777777" w:rsidR="00F631B1" w:rsidRPr="009A0DA6" w:rsidRDefault="00F631B1" w:rsidP="0069692D">
      <w:pPr>
        <w:autoSpaceDE w:val="0"/>
        <w:autoSpaceDN w:val="0"/>
        <w:adjustRightInd w:val="0"/>
        <w:spacing w:after="0" w:line="240" w:lineRule="auto"/>
        <w:ind w:left="567" w:hanging="567"/>
        <w:rPr>
          <w:rFonts w:ascii="Cambria" w:hAnsi="Cambria" w:cs="HelveticaNeueLTStd-Bd"/>
        </w:rPr>
      </w:pPr>
      <w:r w:rsidRPr="009A0DA6">
        <w:rPr>
          <w:rFonts w:ascii="Cambria" w:hAnsi="Cambria" w:cs="HelveticaNeueLTStd-Bd"/>
        </w:rPr>
        <w:t xml:space="preserve">A2. </w:t>
      </w:r>
      <w:r w:rsidRPr="009A0DA6">
        <w:rPr>
          <w:rFonts w:ascii="Cambria" w:hAnsi="Cambria" w:cs="HelveticaNeueLTStd-Bd"/>
        </w:rPr>
        <w:tab/>
        <w:t>Improve governance at all levels</w:t>
      </w:r>
    </w:p>
    <w:p w14:paraId="4246995F" w14:textId="77777777" w:rsidR="00F631B1" w:rsidRPr="009A0DA6" w:rsidRDefault="00F631B1" w:rsidP="0069692D">
      <w:pPr>
        <w:autoSpaceDE w:val="0"/>
        <w:autoSpaceDN w:val="0"/>
        <w:adjustRightInd w:val="0"/>
        <w:spacing w:after="0" w:line="240" w:lineRule="auto"/>
        <w:ind w:left="567" w:hanging="567"/>
        <w:rPr>
          <w:rFonts w:ascii="Cambria" w:hAnsi="Cambria" w:cs="HelveticaNeueLTStd-Bd"/>
        </w:rPr>
      </w:pPr>
      <w:r w:rsidRPr="009A0DA6">
        <w:rPr>
          <w:rFonts w:ascii="Cambria" w:hAnsi="Cambria" w:cs="HelveticaNeueLTStd-Bd"/>
        </w:rPr>
        <w:t xml:space="preserve">B.2 </w:t>
      </w:r>
      <w:r w:rsidRPr="009A0DA6">
        <w:rPr>
          <w:rFonts w:ascii="Cambria" w:hAnsi="Cambria" w:cs="HelveticaNeueLTStd-Bd"/>
        </w:rPr>
        <w:tab/>
        <w:t>Support LCA ministries to effectively communicate and engage individuals, families and communities to grow and go</w:t>
      </w:r>
    </w:p>
    <w:p w14:paraId="2976B9F7" w14:textId="77777777" w:rsidR="00F631B1" w:rsidRPr="009A0DA6" w:rsidRDefault="00F631B1" w:rsidP="0069692D">
      <w:pPr>
        <w:autoSpaceDE w:val="0"/>
        <w:autoSpaceDN w:val="0"/>
        <w:adjustRightInd w:val="0"/>
        <w:spacing w:after="0" w:line="240" w:lineRule="auto"/>
        <w:ind w:left="567" w:hanging="567"/>
        <w:rPr>
          <w:rFonts w:ascii="Cambria" w:hAnsi="Cambria" w:cs="HelveticaNeueLTStd-Bd"/>
        </w:rPr>
      </w:pPr>
      <w:r w:rsidRPr="009A0DA6">
        <w:rPr>
          <w:rFonts w:ascii="Cambria" w:hAnsi="Cambria" w:cs="HelveticaNeueLTStd-Bd"/>
        </w:rPr>
        <w:t xml:space="preserve">B3. </w:t>
      </w:r>
      <w:r w:rsidRPr="009A0DA6">
        <w:rPr>
          <w:rFonts w:ascii="Cambria" w:hAnsi="Cambria" w:cs="HelveticaNeueLTStd-Bd"/>
        </w:rPr>
        <w:tab/>
        <w:t xml:space="preserve">Improve collaboration between the ministries of the LCA </w:t>
      </w:r>
    </w:p>
    <w:p w14:paraId="4AC8F426" w14:textId="77777777" w:rsidR="00F631B1" w:rsidRPr="009A0DA6" w:rsidRDefault="00F631B1" w:rsidP="0069692D">
      <w:pPr>
        <w:autoSpaceDE w:val="0"/>
        <w:autoSpaceDN w:val="0"/>
        <w:adjustRightInd w:val="0"/>
        <w:spacing w:after="0" w:line="240" w:lineRule="auto"/>
        <w:ind w:left="567" w:hanging="567"/>
        <w:rPr>
          <w:rFonts w:ascii="Cambria" w:hAnsi="Cambria" w:cs="HelveticaNeueLTStd-Bd"/>
        </w:rPr>
      </w:pPr>
      <w:r w:rsidRPr="009A0DA6">
        <w:rPr>
          <w:rFonts w:ascii="Cambria" w:hAnsi="Cambria" w:cs="HelveticaNeueLTStd-Bd"/>
        </w:rPr>
        <w:t xml:space="preserve">C1. </w:t>
      </w:r>
      <w:r w:rsidRPr="009A0DA6">
        <w:rPr>
          <w:rFonts w:ascii="Cambria" w:hAnsi="Cambria" w:cs="HelveticaNeueLTStd-Bd"/>
        </w:rPr>
        <w:tab/>
        <w:t>Enhance care of our people, especially church workers and their families</w:t>
      </w:r>
    </w:p>
    <w:p w14:paraId="1A4B3138" w14:textId="77777777" w:rsidR="00F631B1" w:rsidRPr="009A0DA6" w:rsidRDefault="00F631B1" w:rsidP="0069692D">
      <w:pPr>
        <w:autoSpaceDE w:val="0"/>
        <w:autoSpaceDN w:val="0"/>
        <w:adjustRightInd w:val="0"/>
        <w:spacing w:after="0" w:line="240" w:lineRule="auto"/>
        <w:ind w:left="567" w:hanging="567"/>
        <w:rPr>
          <w:rFonts w:ascii="Cambria" w:hAnsi="Cambria" w:cs="HelveticaNeueLTStd-Bd"/>
        </w:rPr>
      </w:pPr>
      <w:r w:rsidRPr="009A0DA6">
        <w:rPr>
          <w:rFonts w:ascii="Cambria" w:hAnsi="Cambria" w:cs="HelveticaNeueLTStd-Bd"/>
        </w:rPr>
        <w:t xml:space="preserve">C2. </w:t>
      </w:r>
      <w:r w:rsidRPr="009A0DA6">
        <w:rPr>
          <w:rFonts w:ascii="Cambria" w:hAnsi="Cambria" w:cs="HelveticaNeueLTStd-Bd"/>
        </w:rPr>
        <w:tab/>
        <w:t>Effective use of assets and resources that releases more support to mission and ministry</w:t>
      </w:r>
    </w:p>
    <w:p w14:paraId="51ABFBE6" w14:textId="77777777" w:rsidR="00F631B1" w:rsidRPr="009A0DA6" w:rsidRDefault="00F631B1" w:rsidP="0069692D">
      <w:pPr>
        <w:autoSpaceDE w:val="0"/>
        <w:autoSpaceDN w:val="0"/>
        <w:adjustRightInd w:val="0"/>
        <w:spacing w:after="0" w:line="240" w:lineRule="auto"/>
        <w:ind w:left="567" w:hanging="567"/>
        <w:rPr>
          <w:rFonts w:ascii="Cambria" w:hAnsi="Cambria" w:cs="HelveticaNeueLTStd-Bd"/>
        </w:rPr>
      </w:pPr>
      <w:r w:rsidRPr="009A0DA6">
        <w:rPr>
          <w:rFonts w:ascii="Cambria" w:hAnsi="Cambria" w:cs="HelveticaNeueLTStd-Bd"/>
        </w:rPr>
        <w:t xml:space="preserve">C4. </w:t>
      </w:r>
      <w:r w:rsidRPr="009A0DA6">
        <w:rPr>
          <w:rFonts w:ascii="Cambria" w:hAnsi="Cambria" w:cs="HelveticaNeueLTStd-Bd"/>
        </w:rPr>
        <w:tab/>
        <w:t>Encourage greater support for the work of the LCA, using new and innovative technologies</w:t>
      </w:r>
    </w:p>
    <w:p w14:paraId="4DEB7621" w14:textId="77777777" w:rsidR="00F631B1" w:rsidRPr="009A0DA6" w:rsidRDefault="00F631B1" w:rsidP="00F631B1">
      <w:pPr>
        <w:autoSpaceDE w:val="0"/>
        <w:autoSpaceDN w:val="0"/>
        <w:adjustRightInd w:val="0"/>
        <w:spacing w:after="0"/>
        <w:ind w:left="709" w:hanging="709"/>
        <w:rPr>
          <w:rFonts w:ascii="Cambria" w:hAnsi="Cambria" w:cs="HelveticaNeueLTStd-Bd"/>
          <w:sz w:val="14"/>
        </w:rPr>
      </w:pPr>
    </w:p>
    <w:p w14:paraId="5D1FA614" w14:textId="1C66E296" w:rsidR="00F631B1" w:rsidRPr="009A0DA6" w:rsidRDefault="00F631B1" w:rsidP="00F631B1">
      <w:pPr>
        <w:pStyle w:val="Heading3"/>
      </w:pPr>
      <w:r w:rsidRPr="009A0DA6">
        <w:t>Cooperating LCA Boards and Agencies</w:t>
      </w:r>
    </w:p>
    <w:tbl>
      <w:tblPr>
        <w:tblStyle w:val="PlainTable2"/>
        <w:tblW w:w="0" w:type="auto"/>
        <w:tblLook w:val="04A0" w:firstRow="1" w:lastRow="0" w:firstColumn="1" w:lastColumn="0" w:noHBand="0" w:noVBand="1"/>
      </w:tblPr>
      <w:tblGrid>
        <w:gridCol w:w="1767"/>
        <w:gridCol w:w="6880"/>
      </w:tblGrid>
      <w:tr w:rsidR="00F631B1" w:rsidRPr="009A0DA6" w14:paraId="2AD170BC" w14:textId="77777777" w:rsidTr="001802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7" w:type="dxa"/>
            <w:hideMark/>
          </w:tcPr>
          <w:p w14:paraId="22334228" w14:textId="77777777" w:rsidR="00F631B1" w:rsidRPr="009A0DA6" w:rsidRDefault="00F631B1" w:rsidP="00180211">
            <w:pPr>
              <w:rPr>
                <w:rFonts w:ascii="Cambria" w:hAnsi="Cambria" w:cs="Arial"/>
              </w:rPr>
            </w:pPr>
            <w:r w:rsidRPr="009A0DA6">
              <w:rPr>
                <w:rFonts w:ascii="Cambria" w:hAnsi="Cambria" w:cs="Arial"/>
              </w:rPr>
              <w:t>Australian Lutheran College</w:t>
            </w:r>
          </w:p>
        </w:tc>
        <w:tc>
          <w:tcPr>
            <w:tcW w:w="6880" w:type="dxa"/>
            <w:hideMark/>
          </w:tcPr>
          <w:p w14:paraId="237DB9CC" w14:textId="1FDD090F" w:rsidR="00F631B1" w:rsidRPr="009A0DA6" w:rsidRDefault="00F631B1" w:rsidP="00F55252">
            <w:pPr>
              <w:pStyle w:val="ListParagraph"/>
              <w:numPr>
                <w:ilvl w:val="0"/>
                <w:numId w:val="44"/>
              </w:numPr>
              <w:spacing w:line="240" w:lineRule="auto"/>
              <w:ind w:left="181" w:hanging="181"/>
              <w:cnfStyle w:val="100000000000" w:firstRow="1" w:lastRow="0" w:firstColumn="0" w:lastColumn="0" w:oddVBand="0" w:evenVBand="0" w:oddHBand="0" w:evenHBand="0" w:firstRowFirstColumn="0" w:firstRowLastColumn="0" w:lastRowFirstColumn="0" w:lastRowLastColumn="0"/>
              <w:rPr>
                <w:rFonts w:ascii="Cambria" w:hAnsi="Cambria" w:cs="Arial"/>
                <w:b w:val="0"/>
              </w:rPr>
            </w:pPr>
            <w:r w:rsidRPr="009A0DA6">
              <w:rPr>
                <w:rFonts w:ascii="Cambria" w:hAnsi="Cambria" w:cs="Arial"/>
                <w:b w:val="0"/>
              </w:rPr>
              <w:t>VET program – Certificate IV in Christian Ministry and Theology – support through consultation and promotion of program, encouragement of Lay</w:t>
            </w:r>
            <w:r w:rsidR="00202891">
              <w:rPr>
                <w:rFonts w:ascii="Cambria" w:hAnsi="Cambria" w:cs="Arial"/>
                <w:b w:val="0"/>
              </w:rPr>
              <w:t xml:space="preserve"> Workers to undertake Cert IV/</w:t>
            </w:r>
            <w:r w:rsidRPr="009A0DA6">
              <w:rPr>
                <w:rFonts w:ascii="Cambria" w:hAnsi="Cambria" w:cs="Arial"/>
                <w:b w:val="0"/>
              </w:rPr>
              <w:t xml:space="preserve">higher studies </w:t>
            </w:r>
          </w:p>
          <w:p w14:paraId="294D829B" w14:textId="77777777" w:rsidR="00F631B1" w:rsidRPr="009A0DA6" w:rsidRDefault="00F631B1" w:rsidP="00F55252">
            <w:pPr>
              <w:pStyle w:val="ListParagraph"/>
              <w:numPr>
                <w:ilvl w:val="0"/>
                <w:numId w:val="44"/>
              </w:numPr>
              <w:spacing w:line="240" w:lineRule="auto"/>
              <w:ind w:left="181" w:hanging="181"/>
              <w:cnfStyle w:val="100000000000" w:firstRow="1" w:lastRow="0" w:firstColumn="0" w:lastColumn="0" w:oddVBand="0" w:evenVBand="0" w:oddHBand="0" w:evenHBand="0" w:firstRowFirstColumn="0" w:firstRowLastColumn="0" w:lastRowFirstColumn="0" w:lastRowLastColumn="0"/>
              <w:rPr>
                <w:rFonts w:ascii="Cambria" w:hAnsi="Cambria" w:cs="Arial"/>
                <w:b w:val="0"/>
              </w:rPr>
            </w:pPr>
            <w:r w:rsidRPr="009A0DA6">
              <w:rPr>
                <w:rFonts w:ascii="Cambria" w:hAnsi="Cambria" w:cs="Arial"/>
                <w:b w:val="0"/>
              </w:rPr>
              <w:t>CEP for pastors support in administration, strategic planning, financial support</w:t>
            </w:r>
          </w:p>
          <w:p w14:paraId="1D983054" w14:textId="77777777" w:rsidR="00F631B1" w:rsidRPr="009A0DA6" w:rsidRDefault="00F631B1" w:rsidP="00F55252">
            <w:pPr>
              <w:pStyle w:val="ListParagraph"/>
              <w:numPr>
                <w:ilvl w:val="0"/>
                <w:numId w:val="44"/>
              </w:numPr>
              <w:spacing w:line="240" w:lineRule="auto"/>
              <w:ind w:left="181" w:hanging="181"/>
              <w:cnfStyle w:val="100000000000" w:firstRow="1" w:lastRow="0" w:firstColumn="0" w:lastColumn="0" w:oddVBand="0" w:evenVBand="0" w:oddHBand="0" w:evenHBand="0" w:firstRowFirstColumn="0" w:firstRowLastColumn="0" w:lastRowFirstColumn="0" w:lastRowLastColumn="0"/>
              <w:rPr>
                <w:rFonts w:ascii="Cambria" w:hAnsi="Cambria" w:cs="Arial"/>
                <w:b w:val="0"/>
              </w:rPr>
            </w:pPr>
            <w:r w:rsidRPr="009A0DA6">
              <w:rPr>
                <w:rFonts w:ascii="Cambria" w:hAnsi="Cambria" w:cs="Arial"/>
                <w:b w:val="0"/>
              </w:rPr>
              <w:t>Support School of Pastoral Theology with LCA Induction Program for graduating students</w:t>
            </w:r>
          </w:p>
          <w:p w14:paraId="7282CCF2" w14:textId="77777777" w:rsidR="00F631B1" w:rsidRPr="009A0DA6" w:rsidRDefault="00F631B1" w:rsidP="00F55252">
            <w:pPr>
              <w:pStyle w:val="ListParagraph"/>
              <w:numPr>
                <w:ilvl w:val="0"/>
                <w:numId w:val="44"/>
              </w:numPr>
              <w:spacing w:line="240" w:lineRule="auto"/>
              <w:ind w:left="181" w:hanging="181"/>
              <w:cnfStyle w:val="100000000000" w:firstRow="1" w:lastRow="0" w:firstColumn="0" w:lastColumn="0" w:oddVBand="0" w:evenVBand="0" w:oddHBand="0" w:evenHBand="0" w:firstRowFirstColumn="0" w:firstRowLastColumn="0" w:lastRowFirstColumn="0" w:lastRowLastColumn="0"/>
              <w:rPr>
                <w:rFonts w:ascii="Cambria" w:hAnsi="Cambria" w:cs="Arial"/>
                <w:b w:val="0"/>
              </w:rPr>
            </w:pPr>
            <w:r w:rsidRPr="009A0DA6">
              <w:rPr>
                <w:rFonts w:ascii="Cambria" w:hAnsi="Cambria" w:cs="Arial"/>
                <w:b w:val="0"/>
              </w:rPr>
              <w:t xml:space="preserve">Promotion of ALC into Lutheran Schools </w:t>
            </w:r>
          </w:p>
          <w:p w14:paraId="1EFD563A" w14:textId="77777777" w:rsidR="00F631B1" w:rsidRPr="009A0DA6" w:rsidRDefault="00F631B1" w:rsidP="00F55252">
            <w:pPr>
              <w:pStyle w:val="ListParagraph"/>
              <w:numPr>
                <w:ilvl w:val="0"/>
                <w:numId w:val="44"/>
              </w:numPr>
              <w:spacing w:line="240" w:lineRule="auto"/>
              <w:ind w:left="181" w:hanging="181"/>
              <w:cnfStyle w:val="100000000000" w:firstRow="1" w:lastRow="0" w:firstColumn="0" w:lastColumn="0" w:oddVBand="0" w:evenVBand="0" w:oddHBand="0" w:evenHBand="0" w:firstRowFirstColumn="0" w:firstRowLastColumn="0" w:lastRowFirstColumn="0" w:lastRowLastColumn="0"/>
              <w:rPr>
                <w:rFonts w:ascii="Cambria" w:hAnsi="Cambria" w:cs="Arial"/>
                <w:b w:val="0"/>
              </w:rPr>
            </w:pPr>
            <w:r w:rsidRPr="009A0DA6">
              <w:rPr>
                <w:rFonts w:ascii="Cambria" w:hAnsi="Cambria" w:cs="Arial"/>
                <w:b w:val="0"/>
              </w:rPr>
              <w:t>With ALC Principal, support as requested, Video Resource Project</w:t>
            </w:r>
          </w:p>
          <w:p w14:paraId="77E1C1B7" w14:textId="77777777" w:rsidR="00F631B1" w:rsidRPr="009A0DA6" w:rsidRDefault="00F631B1" w:rsidP="00F55252">
            <w:pPr>
              <w:pStyle w:val="ListParagraph"/>
              <w:numPr>
                <w:ilvl w:val="0"/>
                <w:numId w:val="44"/>
              </w:numPr>
              <w:spacing w:line="240" w:lineRule="auto"/>
              <w:ind w:left="181" w:hanging="181"/>
              <w:cnfStyle w:val="100000000000" w:firstRow="1" w:lastRow="0" w:firstColumn="0" w:lastColumn="0" w:oddVBand="0" w:evenVBand="0" w:oddHBand="0" w:evenHBand="0" w:firstRowFirstColumn="0" w:firstRowLastColumn="0" w:lastRowFirstColumn="0" w:lastRowLastColumn="0"/>
              <w:rPr>
                <w:rFonts w:ascii="Cambria" w:hAnsi="Cambria" w:cs="Arial"/>
                <w:b w:val="0"/>
              </w:rPr>
            </w:pPr>
            <w:r w:rsidRPr="009A0DA6">
              <w:rPr>
                <w:rFonts w:ascii="Cambria" w:hAnsi="Cambria" w:cs="Arial"/>
                <w:b w:val="0"/>
              </w:rPr>
              <w:t>Support for ALITE research via Associate Dean for Research – Stakeholder/reference group and commencement of discussions for new/potential research collaborations.</w:t>
            </w:r>
          </w:p>
        </w:tc>
      </w:tr>
      <w:tr w:rsidR="00F631B1" w:rsidRPr="009A0DA6" w14:paraId="215B2448" w14:textId="77777777" w:rsidTr="001802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7" w:type="dxa"/>
            <w:hideMark/>
          </w:tcPr>
          <w:p w14:paraId="3FDE9B76" w14:textId="3E8A3EF0" w:rsidR="00F631B1" w:rsidRPr="009A0DA6" w:rsidRDefault="00202891" w:rsidP="00180211">
            <w:pPr>
              <w:rPr>
                <w:rFonts w:ascii="Cambria" w:hAnsi="Cambria" w:cs="Arial"/>
              </w:rPr>
            </w:pPr>
            <w:r>
              <w:rPr>
                <w:rFonts w:ascii="Cambria" w:hAnsi="Cambria" w:cs="Arial"/>
              </w:rPr>
              <w:t>College of Bishops/</w:t>
            </w:r>
            <w:r w:rsidR="00F631B1" w:rsidRPr="009A0DA6">
              <w:rPr>
                <w:rFonts w:ascii="Cambria" w:hAnsi="Cambria" w:cs="Arial"/>
              </w:rPr>
              <w:t>Office of the Bishop</w:t>
            </w:r>
          </w:p>
        </w:tc>
        <w:tc>
          <w:tcPr>
            <w:tcW w:w="6880" w:type="dxa"/>
            <w:hideMark/>
          </w:tcPr>
          <w:p w14:paraId="59FEDC6D" w14:textId="77777777" w:rsidR="00F631B1" w:rsidRPr="009A0DA6" w:rsidRDefault="00F631B1" w:rsidP="00F55252">
            <w:pPr>
              <w:pStyle w:val="ListParagraph"/>
              <w:numPr>
                <w:ilvl w:val="0"/>
                <w:numId w:val="44"/>
              </w:numPr>
              <w:spacing w:line="240" w:lineRule="auto"/>
              <w:ind w:left="181" w:hanging="181"/>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 xml:space="preserve">Support with CEP, Other confidential advice, Support for pastoral supervision discussions, Recruitment of project officers, support and work with reconciliation ministry. </w:t>
            </w:r>
          </w:p>
        </w:tc>
      </w:tr>
      <w:tr w:rsidR="00F631B1" w:rsidRPr="009A0DA6" w14:paraId="0CE13CB8" w14:textId="77777777" w:rsidTr="00180211">
        <w:tc>
          <w:tcPr>
            <w:cnfStyle w:val="001000000000" w:firstRow="0" w:lastRow="0" w:firstColumn="1" w:lastColumn="0" w:oddVBand="0" w:evenVBand="0" w:oddHBand="0" w:evenHBand="0" w:firstRowFirstColumn="0" w:firstRowLastColumn="0" w:lastRowFirstColumn="0" w:lastRowLastColumn="0"/>
            <w:tcW w:w="1767" w:type="dxa"/>
            <w:hideMark/>
          </w:tcPr>
          <w:p w14:paraId="408B9A19" w14:textId="77777777" w:rsidR="00F631B1" w:rsidRPr="009A0DA6" w:rsidRDefault="00F631B1" w:rsidP="00180211">
            <w:pPr>
              <w:rPr>
                <w:rFonts w:ascii="Cambria" w:hAnsi="Cambria" w:cs="Arial"/>
              </w:rPr>
            </w:pPr>
            <w:r w:rsidRPr="009A0DA6">
              <w:rPr>
                <w:rFonts w:ascii="Cambria" w:hAnsi="Cambria" w:cs="Arial"/>
              </w:rPr>
              <w:t>Board of Support for Pastoral Ministry</w:t>
            </w:r>
          </w:p>
        </w:tc>
        <w:tc>
          <w:tcPr>
            <w:tcW w:w="6880" w:type="dxa"/>
            <w:hideMark/>
          </w:tcPr>
          <w:p w14:paraId="46A396E9" w14:textId="77777777" w:rsidR="00F631B1" w:rsidRPr="009A0DA6" w:rsidRDefault="00F631B1" w:rsidP="00F55252">
            <w:pPr>
              <w:pStyle w:val="ListParagraph"/>
              <w:numPr>
                <w:ilvl w:val="0"/>
                <w:numId w:val="44"/>
              </w:numPr>
              <w:spacing w:line="240" w:lineRule="auto"/>
              <w:ind w:left="181" w:hanging="181"/>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Liaise with board around various matters</w:t>
            </w:r>
          </w:p>
        </w:tc>
      </w:tr>
      <w:tr w:rsidR="00F631B1" w:rsidRPr="009A0DA6" w14:paraId="30C44869" w14:textId="77777777" w:rsidTr="001802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7" w:type="dxa"/>
            <w:hideMark/>
          </w:tcPr>
          <w:p w14:paraId="37E30AAD" w14:textId="77777777" w:rsidR="00F631B1" w:rsidRPr="009A0DA6" w:rsidRDefault="00F631B1" w:rsidP="00180211">
            <w:pPr>
              <w:rPr>
                <w:rFonts w:ascii="Cambria" w:hAnsi="Cambria" w:cs="Arial"/>
              </w:rPr>
            </w:pPr>
            <w:r w:rsidRPr="009A0DA6">
              <w:rPr>
                <w:rFonts w:ascii="Cambria" w:hAnsi="Cambria" w:cs="Arial"/>
              </w:rPr>
              <w:t>District Administrators</w:t>
            </w:r>
          </w:p>
        </w:tc>
        <w:tc>
          <w:tcPr>
            <w:tcW w:w="6880" w:type="dxa"/>
            <w:hideMark/>
          </w:tcPr>
          <w:p w14:paraId="1C1D72A8" w14:textId="77777777" w:rsidR="00F631B1" w:rsidRPr="009A0DA6" w:rsidRDefault="00F631B1" w:rsidP="00F55252">
            <w:pPr>
              <w:pStyle w:val="ListParagraph"/>
              <w:numPr>
                <w:ilvl w:val="0"/>
                <w:numId w:val="44"/>
              </w:numPr>
              <w:spacing w:line="240" w:lineRule="auto"/>
              <w:ind w:left="181" w:hanging="181"/>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Provide industrial relations advice, award interpretation, HRM Support, LCA HRS liaison</w:t>
            </w:r>
          </w:p>
        </w:tc>
      </w:tr>
      <w:tr w:rsidR="00F631B1" w:rsidRPr="009A0DA6" w14:paraId="49057A89" w14:textId="77777777" w:rsidTr="00180211">
        <w:tc>
          <w:tcPr>
            <w:cnfStyle w:val="001000000000" w:firstRow="0" w:lastRow="0" w:firstColumn="1" w:lastColumn="0" w:oddVBand="0" w:evenVBand="0" w:oddHBand="0" w:evenHBand="0" w:firstRowFirstColumn="0" w:firstRowLastColumn="0" w:lastRowFirstColumn="0" w:lastRowLastColumn="0"/>
            <w:tcW w:w="1767" w:type="dxa"/>
            <w:hideMark/>
          </w:tcPr>
          <w:p w14:paraId="751AB284" w14:textId="589D4438" w:rsidR="00F631B1" w:rsidRPr="009A0DA6" w:rsidRDefault="00F631B1" w:rsidP="00180211">
            <w:pPr>
              <w:rPr>
                <w:rFonts w:ascii="Cambria" w:hAnsi="Cambria" w:cs="Arial"/>
              </w:rPr>
            </w:pPr>
            <w:r w:rsidRPr="009A0DA6">
              <w:rPr>
                <w:rFonts w:ascii="Cambria" w:hAnsi="Cambria" w:cs="Arial"/>
              </w:rPr>
              <w:t>Various Dis</w:t>
            </w:r>
            <w:r w:rsidR="00202891">
              <w:rPr>
                <w:rFonts w:ascii="Cambria" w:hAnsi="Cambria" w:cs="Arial"/>
              </w:rPr>
              <w:t>-</w:t>
            </w:r>
            <w:r w:rsidRPr="009A0DA6">
              <w:rPr>
                <w:rFonts w:ascii="Cambria" w:hAnsi="Cambria" w:cs="Arial"/>
              </w:rPr>
              <w:t>trict Entities</w:t>
            </w:r>
          </w:p>
        </w:tc>
        <w:tc>
          <w:tcPr>
            <w:tcW w:w="6880" w:type="dxa"/>
            <w:hideMark/>
          </w:tcPr>
          <w:p w14:paraId="1C3F7202" w14:textId="77777777" w:rsidR="00F631B1" w:rsidRPr="009A0DA6" w:rsidRDefault="00F631B1" w:rsidP="00F55252">
            <w:pPr>
              <w:pStyle w:val="ListParagraph"/>
              <w:numPr>
                <w:ilvl w:val="0"/>
                <w:numId w:val="44"/>
              </w:numPr>
              <w:spacing w:line="240" w:lineRule="auto"/>
              <w:ind w:left="181" w:hanging="181"/>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Support as requested. Liaise with LCC, LDS, Blueprint Ministries, LYQ, Lutheran Services</w:t>
            </w:r>
          </w:p>
        </w:tc>
      </w:tr>
      <w:tr w:rsidR="00F631B1" w:rsidRPr="009A0DA6" w14:paraId="46193AE5" w14:textId="77777777" w:rsidTr="001802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7" w:type="dxa"/>
            <w:hideMark/>
          </w:tcPr>
          <w:p w14:paraId="723AC25E" w14:textId="77777777" w:rsidR="00F631B1" w:rsidRPr="009A0DA6" w:rsidRDefault="00F631B1" w:rsidP="00180211">
            <w:pPr>
              <w:rPr>
                <w:rFonts w:ascii="Cambria" w:hAnsi="Cambria" w:cs="Arial"/>
              </w:rPr>
            </w:pPr>
            <w:r w:rsidRPr="009A0DA6">
              <w:rPr>
                <w:rFonts w:ascii="Cambria" w:hAnsi="Cambria" w:cs="Arial"/>
              </w:rPr>
              <w:t>Local Mission</w:t>
            </w:r>
          </w:p>
        </w:tc>
        <w:tc>
          <w:tcPr>
            <w:tcW w:w="6880" w:type="dxa"/>
            <w:hideMark/>
          </w:tcPr>
          <w:p w14:paraId="533F7FDE" w14:textId="77777777" w:rsidR="00F631B1" w:rsidRPr="009A0DA6" w:rsidRDefault="00F631B1" w:rsidP="00F55252">
            <w:pPr>
              <w:pStyle w:val="ListParagraph"/>
              <w:numPr>
                <w:ilvl w:val="0"/>
                <w:numId w:val="44"/>
              </w:numPr>
              <w:spacing w:line="240" w:lineRule="auto"/>
              <w:ind w:left="181" w:hanging="181"/>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Support for EOLM, One Loving God Project, Support of and worked with Grow Ministries, New and Renewing Churches, and Media, Video Resource Project</w:t>
            </w:r>
          </w:p>
        </w:tc>
      </w:tr>
      <w:tr w:rsidR="00F631B1" w:rsidRPr="009A0DA6" w14:paraId="23A09933" w14:textId="77777777" w:rsidTr="00180211">
        <w:tc>
          <w:tcPr>
            <w:cnfStyle w:val="001000000000" w:firstRow="0" w:lastRow="0" w:firstColumn="1" w:lastColumn="0" w:oddVBand="0" w:evenVBand="0" w:oddHBand="0" w:evenHBand="0" w:firstRowFirstColumn="0" w:firstRowLastColumn="0" w:lastRowFirstColumn="0" w:lastRowLastColumn="0"/>
            <w:tcW w:w="1767" w:type="dxa"/>
            <w:hideMark/>
          </w:tcPr>
          <w:p w14:paraId="50F53576" w14:textId="77777777" w:rsidR="00F631B1" w:rsidRPr="009A0DA6" w:rsidRDefault="00F631B1" w:rsidP="00180211">
            <w:pPr>
              <w:rPr>
                <w:rFonts w:ascii="Cambria" w:hAnsi="Cambria" w:cs="Arial"/>
              </w:rPr>
            </w:pPr>
            <w:r w:rsidRPr="009A0DA6">
              <w:rPr>
                <w:rFonts w:ascii="Cambria" w:hAnsi="Cambria" w:cs="Arial"/>
              </w:rPr>
              <w:t>Other departments of the EOC</w:t>
            </w:r>
          </w:p>
        </w:tc>
        <w:tc>
          <w:tcPr>
            <w:tcW w:w="6880" w:type="dxa"/>
            <w:hideMark/>
          </w:tcPr>
          <w:p w14:paraId="6A10DAA3" w14:textId="77777777" w:rsidR="00F631B1" w:rsidRPr="009A0DA6" w:rsidRDefault="00F631B1" w:rsidP="00F55252">
            <w:pPr>
              <w:pStyle w:val="ListParagraph"/>
              <w:numPr>
                <w:ilvl w:val="0"/>
                <w:numId w:val="44"/>
              </w:numPr>
              <w:spacing w:line="240" w:lineRule="auto"/>
              <w:ind w:left="181" w:hanging="181"/>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Various cross department interactions with Communications, PSD, Finance and Admin and Archives, Video Resource Project</w:t>
            </w:r>
          </w:p>
        </w:tc>
      </w:tr>
      <w:tr w:rsidR="00F631B1" w:rsidRPr="009A0DA6" w14:paraId="5B54AE6D" w14:textId="77777777" w:rsidTr="001802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7" w:type="dxa"/>
            <w:hideMark/>
          </w:tcPr>
          <w:p w14:paraId="63220846" w14:textId="77777777" w:rsidR="00F631B1" w:rsidRPr="009A0DA6" w:rsidRDefault="00F631B1" w:rsidP="00180211">
            <w:pPr>
              <w:rPr>
                <w:rFonts w:ascii="Cambria" w:hAnsi="Cambria" w:cs="Arial"/>
              </w:rPr>
            </w:pPr>
            <w:r w:rsidRPr="009A0DA6">
              <w:rPr>
                <w:rFonts w:ascii="Cambria" w:hAnsi="Cambria" w:cs="Arial"/>
              </w:rPr>
              <w:t>LEA</w:t>
            </w:r>
          </w:p>
        </w:tc>
        <w:tc>
          <w:tcPr>
            <w:tcW w:w="6880" w:type="dxa"/>
            <w:hideMark/>
          </w:tcPr>
          <w:p w14:paraId="2BA461F6" w14:textId="77777777" w:rsidR="00F631B1" w:rsidRPr="009A0DA6" w:rsidRDefault="00F631B1" w:rsidP="00F55252">
            <w:pPr>
              <w:pStyle w:val="ListParagraph"/>
              <w:numPr>
                <w:ilvl w:val="0"/>
                <w:numId w:val="44"/>
              </w:numPr>
              <w:spacing w:line="240" w:lineRule="auto"/>
              <w:ind w:left="181" w:hanging="181"/>
              <w:cnfStyle w:val="000000100000" w:firstRow="0" w:lastRow="0" w:firstColumn="0" w:lastColumn="0" w:oddVBand="0" w:evenVBand="0" w:oddHBand="1" w:evenHBand="0" w:firstRowFirstColumn="0" w:firstRowLastColumn="0" w:lastRowFirstColumn="0" w:lastRowLastColumn="0"/>
              <w:rPr>
                <w:rFonts w:ascii="Cambria" w:hAnsi="Cambria"/>
              </w:rPr>
            </w:pPr>
            <w:r w:rsidRPr="009A0DA6">
              <w:rPr>
                <w:rFonts w:ascii="Cambria" w:hAnsi="Cambria"/>
              </w:rPr>
              <w:t xml:space="preserve">To initiate contact with schools around career and Service opportunities </w:t>
            </w:r>
          </w:p>
          <w:p w14:paraId="5C4EEFDC" w14:textId="77777777" w:rsidR="00F631B1" w:rsidRPr="009A0DA6" w:rsidRDefault="00F631B1" w:rsidP="00F55252">
            <w:pPr>
              <w:pStyle w:val="ListParagraph"/>
              <w:numPr>
                <w:ilvl w:val="0"/>
                <w:numId w:val="44"/>
              </w:numPr>
              <w:spacing w:line="240" w:lineRule="auto"/>
              <w:ind w:left="181" w:hanging="181"/>
              <w:cnfStyle w:val="000000100000" w:firstRow="0" w:lastRow="0" w:firstColumn="0" w:lastColumn="0" w:oddVBand="0" w:evenVBand="0" w:oddHBand="1" w:evenHBand="0" w:firstRowFirstColumn="0" w:firstRowLastColumn="0" w:lastRowFirstColumn="0" w:lastRowLastColumn="0"/>
              <w:rPr>
                <w:rFonts w:ascii="Cambria" w:hAnsi="Cambria"/>
              </w:rPr>
            </w:pPr>
            <w:r w:rsidRPr="009A0DA6">
              <w:rPr>
                <w:rFonts w:ascii="Cambria" w:hAnsi="Cambria"/>
              </w:rPr>
              <w:t>Support Ministry Workers in Schools</w:t>
            </w:r>
          </w:p>
        </w:tc>
      </w:tr>
      <w:tr w:rsidR="00F631B1" w:rsidRPr="009A0DA6" w14:paraId="59BA3590" w14:textId="77777777" w:rsidTr="00180211">
        <w:tc>
          <w:tcPr>
            <w:cnfStyle w:val="001000000000" w:firstRow="0" w:lastRow="0" w:firstColumn="1" w:lastColumn="0" w:oddVBand="0" w:evenVBand="0" w:oddHBand="0" w:evenHBand="0" w:firstRowFirstColumn="0" w:firstRowLastColumn="0" w:lastRowFirstColumn="0" w:lastRowLastColumn="0"/>
            <w:tcW w:w="1767" w:type="dxa"/>
            <w:hideMark/>
          </w:tcPr>
          <w:p w14:paraId="5AB46DD4" w14:textId="77777777" w:rsidR="00F631B1" w:rsidRPr="009A0DA6" w:rsidRDefault="00F631B1" w:rsidP="00180211">
            <w:pPr>
              <w:rPr>
                <w:rFonts w:ascii="Cambria" w:hAnsi="Cambria" w:cs="Arial"/>
              </w:rPr>
            </w:pPr>
            <w:r w:rsidRPr="009A0DA6">
              <w:rPr>
                <w:rFonts w:ascii="Cambria" w:hAnsi="Cambria" w:cs="Arial"/>
              </w:rPr>
              <w:t>International Mission</w:t>
            </w:r>
          </w:p>
        </w:tc>
        <w:tc>
          <w:tcPr>
            <w:tcW w:w="6880" w:type="dxa"/>
            <w:hideMark/>
          </w:tcPr>
          <w:p w14:paraId="56E63CE0" w14:textId="77777777" w:rsidR="00F631B1" w:rsidRPr="009A0DA6" w:rsidRDefault="00F631B1" w:rsidP="00F55252">
            <w:pPr>
              <w:pStyle w:val="ListParagraph"/>
              <w:numPr>
                <w:ilvl w:val="0"/>
                <w:numId w:val="44"/>
              </w:numPr>
              <w:spacing w:line="240" w:lineRule="auto"/>
              <w:ind w:left="181" w:hanging="181"/>
              <w:cnfStyle w:val="000000000000" w:firstRow="0" w:lastRow="0" w:firstColumn="0" w:lastColumn="0" w:oddVBand="0" w:evenVBand="0" w:oddHBand="0" w:evenHBand="0" w:firstRowFirstColumn="0" w:firstRowLastColumn="0" w:lastRowFirstColumn="0" w:lastRowLastColumn="0"/>
              <w:rPr>
                <w:rFonts w:ascii="Cambria" w:hAnsi="Cambria"/>
              </w:rPr>
            </w:pPr>
            <w:r w:rsidRPr="009A0DA6">
              <w:rPr>
                <w:rFonts w:ascii="Cambria" w:hAnsi="Cambria"/>
              </w:rPr>
              <w:t>Supported International Mission with Industrial Relations matters, other support as requested</w:t>
            </w:r>
          </w:p>
        </w:tc>
      </w:tr>
      <w:tr w:rsidR="00F631B1" w:rsidRPr="009A0DA6" w14:paraId="5FB96336" w14:textId="77777777" w:rsidTr="001802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7" w:type="dxa"/>
            <w:hideMark/>
          </w:tcPr>
          <w:p w14:paraId="57A5CD7F" w14:textId="77777777" w:rsidR="00F631B1" w:rsidRPr="009A0DA6" w:rsidRDefault="00F631B1" w:rsidP="00180211">
            <w:pPr>
              <w:rPr>
                <w:rFonts w:ascii="Cambria" w:hAnsi="Cambria" w:cs="Arial"/>
              </w:rPr>
            </w:pPr>
            <w:r w:rsidRPr="009A0DA6">
              <w:rPr>
                <w:rFonts w:ascii="Cambria" w:hAnsi="Cambria" w:cs="Arial"/>
              </w:rPr>
              <w:t>LLL</w:t>
            </w:r>
          </w:p>
        </w:tc>
        <w:tc>
          <w:tcPr>
            <w:tcW w:w="6880" w:type="dxa"/>
            <w:hideMark/>
          </w:tcPr>
          <w:p w14:paraId="0EC96877" w14:textId="77777777" w:rsidR="00F631B1" w:rsidRPr="009A0DA6" w:rsidRDefault="00F631B1" w:rsidP="00F55252">
            <w:pPr>
              <w:pStyle w:val="ListParagraph"/>
              <w:numPr>
                <w:ilvl w:val="0"/>
                <w:numId w:val="44"/>
              </w:numPr>
              <w:spacing w:line="240" w:lineRule="auto"/>
              <w:ind w:left="181" w:hanging="181"/>
              <w:cnfStyle w:val="000000100000" w:firstRow="0" w:lastRow="0" w:firstColumn="0" w:lastColumn="0" w:oddVBand="0" w:evenVBand="0" w:oddHBand="1" w:evenHBand="0" w:firstRowFirstColumn="0" w:firstRowLastColumn="0" w:lastRowFirstColumn="0" w:lastRowLastColumn="0"/>
              <w:rPr>
                <w:rFonts w:ascii="Cambria" w:hAnsi="Cambria"/>
              </w:rPr>
            </w:pPr>
            <w:r w:rsidRPr="009A0DA6">
              <w:rPr>
                <w:rFonts w:ascii="Cambria" w:hAnsi="Cambria"/>
              </w:rPr>
              <w:t>Cross Promotion of LLL and Lay Ministry in particular around Lay Worker Conference, Commission on Salary submissions, Investigation of Support to relieve pastoral student debt</w:t>
            </w:r>
          </w:p>
        </w:tc>
      </w:tr>
      <w:tr w:rsidR="00F631B1" w:rsidRPr="009A0DA6" w14:paraId="2BA99938" w14:textId="77777777" w:rsidTr="00180211">
        <w:tc>
          <w:tcPr>
            <w:cnfStyle w:val="001000000000" w:firstRow="0" w:lastRow="0" w:firstColumn="1" w:lastColumn="0" w:oddVBand="0" w:evenVBand="0" w:oddHBand="0" w:evenHBand="0" w:firstRowFirstColumn="0" w:firstRowLastColumn="0" w:lastRowFirstColumn="0" w:lastRowLastColumn="0"/>
            <w:tcW w:w="1767" w:type="dxa"/>
            <w:hideMark/>
          </w:tcPr>
          <w:p w14:paraId="6620017B" w14:textId="77777777" w:rsidR="00F631B1" w:rsidRPr="009A0DA6" w:rsidRDefault="00F631B1" w:rsidP="00180211">
            <w:pPr>
              <w:rPr>
                <w:rFonts w:ascii="Cambria" w:hAnsi="Cambria" w:cs="Arial"/>
              </w:rPr>
            </w:pPr>
            <w:r w:rsidRPr="009A0DA6">
              <w:rPr>
                <w:rFonts w:ascii="Cambria" w:hAnsi="Cambria" w:cs="Arial"/>
              </w:rPr>
              <w:t>Finke River Mission</w:t>
            </w:r>
          </w:p>
        </w:tc>
        <w:tc>
          <w:tcPr>
            <w:tcW w:w="6880" w:type="dxa"/>
            <w:hideMark/>
          </w:tcPr>
          <w:p w14:paraId="74E5B6FA" w14:textId="77777777" w:rsidR="00F631B1" w:rsidRPr="009A0DA6" w:rsidRDefault="00F631B1" w:rsidP="00F55252">
            <w:pPr>
              <w:pStyle w:val="ListParagraph"/>
              <w:numPr>
                <w:ilvl w:val="0"/>
                <w:numId w:val="44"/>
              </w:numPr>
              <w:spacing w:line="240" w:lineRule="auto"/>
              <w:ind w:left="181" w:hanging="181"/>
              <w:cnfStyle w:val="000000000000" w:firstRow="0" w:lastRow="0" w:firstColumn="0" w:lastColumn="0" w:oddVBand="0" w:evenVBand="0" w:oddHBand="0" w:evenHBand="0" w:firstRowFirstColumn="0" w:firstRowLastColumn="0" w:lastRowFirstColumn="0" w:lastRowLastColumn="0"/>
              <w:rPr>
                <w:rFonts w:ascii="Cambria" w:hAnsi="Cambria"/>
              </w:rPr>
            </w:pPr>
            <w:r w:rsidRPr="009A0DA6">
              <w:rPr>
                <w:rFonts w:ascii="Cambria" w:hAnsi="Cambria"/>
              </w:rPr>
              <w:t>Assistance with Recruitment Processes</w:t>
            </w:r>
          </w:p>
        </w:tc>
      </w:tr>
    </w:tbl>
    <w:p w14:paraId="21EC3E8B" w14:textId="1281C1A7" w:rsidR="00F631B1" w:rsidRPr="009A0DA6" w:rsidRDefault="00F631B1" w:rsidP="00F631B1">
      <w:pPr>
        <w:pStyle w:val="Heading3"/>
        <w:rPr>
          <w:szCs w:val="28"/>
          <w:lang w:val="en-US" w:eastAsia="ja-JP"/>
        </w:rPr>
      </w:pPr>
      <w:r w:rsidRPr="009A0DA6">
        <w:lastRenderedPageBreak/>
        <w:t>Financial Performance</w:t>
      </w:r>
    </w:p>
    <w:p w14:paraId="7F281CCE" w14:textId="77777777" w:rsidR="00F631B1" w:rsidRPr="009A0DA6" w:rsidRDefault="00F631B1" w:rsidP="00766B14">
      <w:pPr>
        <w:pStyle w:val="NoSpacing"/>
        <w:rPr>
          <w:b/>
        </w:rPr>
      </w:pPr>
      <w:bookmarkStart w:id="27" w:name="_Hlk521571383"/>
      <w:r w:rsidRPr="009A0DA6">
        <w:rPr>
          <w:b/>
        </w:rPr>
        <w:t xml:space="preserve">INDIVIDUAL DEPARTMENTAL FINANCIAL REPORT </w:t>
      </w:r>
    </w:p>
    <w:p w14:paraId="40E60186" w14:textId="77777777" w:rsidR="00F631B1" w:rsidRPr="009A0DA6" w:rsidRDefault="00F631B1" w:rsidP="00F631B1">
      <w:pPr>
        <w:pStyle w:val="NoSpacing"/>
        <w:rPr>
          <w:b/>
          <w:sz w:val="12"/>
        </w:rPr>
      </w:pPr>
      <w:r w:rsidRPr="009A0DA6">
        <w:rPr>
          <w:b/>
          <w:sz w:val="2"/>
          <w:szCs w:val="2"/>
        </w:rPr>
        <w:br/>
      </w:r>
      <w:r w:rsidRPr="009A0DA6">
        <w:rPr>
          <w:b/>
        </w:rPr>
        <w:t>FOR THE PERIODS ENDING 31 DECEMBER</w:t>
      </w:r>
      <w:r w:rsidRPr="009A0DA6">
        <w:rPr>
          <w:b/>
        </w:rPr>
        <w:br/>
      </w:r>
    </w:p>
    <w:bookmarkEnd w:id="27"/>
    <w:p w14:paraId="52D540BA" w14:textId="77777777" w:rsidR="00F631B1" w:rsidRPr="009A0DA6" w:rsidRDefault="00F631B1" w:rsidP="00F631B1">
      <w:pPr>
        <w:tabs>
          <w:tab w:val="right" w:pos="5954"/>
          <w:tab w:val="right" w:pos="7371"/>
          <w:tab w:val="right" w:pos="8789"/>
        </w:tabs>
        <w:spacing w:after="0" w:line="240" w:lineRule="auto"/>
        <w:contextualSpacing/>
        <w:rPr>
          <w:rFonts w:ascii="Cambria" w:hAnsi="Cambria" w:cstheme="minorHAnsi"/>
          <w:b/>
        </w:rPr>
      </w:pPr>
      <w:r w:rsidRPr="009A0DA6">
        <w:rPr>
          <w:rFonts w:ascii="Cambria" w:hAnsi="Cambria" w:cstheme="minorHAnsi"/>
          <w:b/>
        </w:rPr>
        <w:tab/>
        <w:t>2017</w:t>
      </w:r>
      <w:r w:rsidRPr="009A0DA6">
        <w:rPr>
          <w:rFonts w:ascii="Cambria" w:hAnsi="Cambria" w:cstheme="minorHAnsi"/>
          <w:b/>
        </w:rPr>
        <w:tab/>
        <w:t>2016</w:t>
      </w:r>
      <w:r w:rsidRPr="009A0DA6">
        <w:rPr>
          <w:rFonts w:ascii="Cambria" w:hAnsi="Cambria" w:cstheme="minorHAnsi"/>
          <w:b/>
        </w:rPr>
        <w:tab/>
        <w:t>2015</w:t>
      </w:r>
    </w:p>
    <w:p w14:paraId="5A21119C" w14:textId="77777777" w:rsidR="00F631B1" w:rsidRPr="009A0DA6" w:rsidRDefault="00F631B1" w:rsidP="00F631B1">
      <w:pPr>
        <w:tabs>
          <w:tab w:val="right" w:pos="5954"/>
          <w:tab w:val="right" w:pos="7371"/>
          <w:tab w:val="right" w:pos="8789"/>
        </w:tabs>
        <w:spacing w:after="0" w:line="240" w:lineRule="auto"/>
        <w:contextualSpacing/>
        <w:rPr>
          <w:rFonts w:ascii="Cambria" w:hAnsi="Cambria" w:cstheme="minorHAnsi"/>
        </w:rPr>
      </w:pPr>
      <w:r w:rsidRPr="009A0DA6">
        <w:rPr>
          <w:rFonts w:ascii="Cambria" w:hAnsi="Cambria" w:cstheme="minorHAnsi"/>
          <w:b/>
        </w:rPr>
        <w:t>Income</w:t>
      </w:r>
    </w:p>
    <w:p w14:paraId="41AD790B" w14:textId="77777777" w:rsidR="00F631B1" w:rsidRPr="009A0DA6" w:rsidRDefault="00F631B1" w:rsidP="00F631B1">
      <w:pPr>
        <w:tabs>
          <w:tab w:val="right" w:pos="5954"/>
          <w:tab w:val="right" w:pos="7371"/>
          <w:tab w:val="right" w:pos="8789"/>
        </w:tabs>
        <w:spacing w:after="0" w:line="240" w:lineRule="auto"/>
        <w:contextualSpacing/>
        <w:rPr>
          <w:rFonts w:ascii="Cambria" w:hAnsi="Cambria" w:cstheme="minorHAnsi"/>
        </w:rPr>
      </w:pPr>
      <w:r w:rsidRPr="009A0DA6">
        <w:rPr>
          <w:rFonts w:ascii="Cambria" w:hAnsi="Cambria" w:cstheme="minorHAnsi"/>
        </w:rPr>
        <w:t>Appeals, donations and bequests</w:t>
      </w:r>
      <w:r w:rsidRPr="009A0DA6">
        <w:rPr>
          <w:rFonts w:ascii="Cambria" w:hAnsi="Cambria" w:cstheme="minorHAnsi"/>
        </w:rPr>
        <w:tab/>
        <w:t>508</w:t>
      </w:r>
      <w:r w:rsidRPr="009A0DA6">
        <w:rPr>
          <w:rFonts w:ascii="Cambria" w:hAnsi="Cambria" w:cstheme="minorHAnsi"/>
        </w:rPr>
        <w:tab/>
        <w:t>11,309</w:t>
      </w:r>
      <w:r w:rsidRPr="009A0DA6">
        <w:rPr>
          <w:rFonts w:ascii="Cambria" w:hAnsi="Cambria" w:cstheme="minorHAnsi"/>
        </w:rPr>
        <w:tab/>
        <w:t>100</w:t>
      </w:r>
    </w:p>
    <w:p w14:paraId="37098000" w14:textId="77777777" w:rsidR="00F631B1" w:rsidRPr="009A0DA6" w:rsidRDefault="00F631B1" w:rsidP="00F631B1">
      <w:pPr>
        <w:tabs>
          <w:tab w:val="right" w:pos="5954"/>
          <w:tab w:val="right" w:pos="7371"/>
          <w:tab w:val="right" w:pos="8789"/>
        </w:tabs>
        <w:spacing w:after="0" w:line="240" w:lineRule="auto"/>
        <w:contextualSpacing/>
        <w:rPr>
          <w:rFonts w:ascii="Cambria" w:hAnsi="Cambria" w:cstheme="minorHAnsi"/>
        </w:rPr>
      </w:pPr>
      <w:r w:rsidRPr="009A0DA6">
        <w:rPr>
          <w:rFonts w:ascii="Cambria" w:hAnsi="Cambria" w:cstheme="minorHAnsi"/>
        </w:rPr>
        <w:t>Investment and rental income</w:t>
      </w:r>
      <w:r w:rsidRPr="009A0DA6">
        <w:rPr>
          <w:rFonts w:ascii="Cambria" w:hAnsi="Cambria" w:cstheme="minorHAnsi"/>
        </w:rPr>
        <w:tab/>
        <w:t>19,629</w:t>
      </w:r>
      <w:r w:rsidRPr="009A0DA6">
        <w:rPr>
          <w:rFonts w:ascii="Cambria" w:hAnsi="Cambria" w:cstheme="minorHAnsi"/>
        </w:rPr>
        <w:tab/>
        <w:t>18,320</w:t>
      </w:r>
      <w:r w:rsidRPr="009A0DA6">
        <w:rPr>
          <w:rFonts w:ascii="Cambria" w:hAnsi="Cambria" w:cstheme="minorHAnsi"/>
        </w:rPr>
        <w:tab/>
        <w:t>14,425</w:t>
      </w:r>
    </w:p>
    <w:p w14:paraId="02805426" w14:textId="77777777" w:rsidR="00F631B1" w:rsidRPr="009A0DA6" w:rsidRDefault="00F631B1" w:rsidP="00F631B1">
      <w:pPr>
        <w:tabs>
          <w:tab w:val="right" w:pos="5954"/>
          <w:tab w:val="right" w:pos="7371"/>
          <w:tab w:val="right" w:pos="8789"/>
        </w:tabs>
        <w:spacing w:after="0" w:line="240" w:lineRule="auto"/>
        <w:contextualSpacing/>
        <w:rPr>
          <w:rFonts w:ascii="Cambria" w:hAnsi="Cambria" w:cstheme="minorHAnsi"/>
        </w:rPr>
      </w:pPr>
      <w:r w:rsidRPr="009A0DA6">
        <w:rPr>
          <w:rFonts w:ascii="Cambria" w:hAnsi="Cambria" w:cstheme="minorHAnsi"/>
        </w:rPr>
        <w:t>LCA income</w:t>
      </w:r>
      <w:r w:rsidRPr="009A0DA6">
        <w:rPr>
          <w:rFonts w:ascii="Cambria" w:hAnsi="Cambria" w:cstheme="minorHAnsi"/>
        </w:rPr>
        <w:tab/>
        <w:t>221,967</w:t>
      </w:r>
      <w:r w:rsidRPr="009A0DA6">
        <w:rPr>
          <w:rFonts w:ascii="Cambria" w:hAnsi="Cambria" w:cstheme="minorHAnsi"/>
        </w:rPr>
        <w:tab/>
        <w:t>205,956</w:t>
      </w:r>
      <w:r w:rsidRPr="009A0DA6">
        <w:rPr>
          <w:rFonts w:ascii="Cambria" w:hAnsi="Cambria" w:cstheme="minorHAnsi"/>
        </w:rPr>
        <w:tab/>
        <w:t>116.164</w:t>
      </w:r>
    </w:p>
    <w:p w14:paraId="1028E89C" w14:textId="77777777" w:rsidR="00F631B1" w:rsidRPr="009A0DA6" w:rsidRDefault="00F631B1" w:rsidP="00F631B1">
      <w:pPr>
        <w:tabs>
          <w:tab w:val="right" w:pos="5954"/>
          <w:tab w:val="right" w:pos="7371"/>
          <w:tab w:val="right" w:pos="8789"/>
        </w:tabs>
        <w:spacing w:after="0" w:line="240" w:lineRule="auto"/>
        <w:contextualSpacing/>
        <w:rPr>
          <w:rFonts w:ascii="Cambria" w:hAnsi="Cambria" w:cstheme="minorHAnsi"/>
        </w:rPr>
      </w:pPr>
      <w:r w:rsidRPr="009A0DA6">
        <w:rPr>
          <w:rFonts w:ascii="Cambria" w:hAnsi="Cambria" w:cstheme="minorHAnsi"/>
        </w:rPr>
        <w:t>LCA allocations</w:t>
      </w:r>
      <w:r w:rsidRPr="009A0DA6">
        <w:rPr>
          <w:rFonts w:ascii="Cambria" w:hAnsi="Cambria" w:cstheme="minorHAnsi"/>
        </w:rPr>
        <w:tab/>
        <w:t>215,000</w:t>
      </w:r>
      <w:r w:rsidRPr="009A0DA6">
        <w:rPr>
          <w:rFonts w:ascii="Cambria" w:hAnsi="Cambria" w:cstheme="minorHAnsi"/>
        </w:rPr>
        <w:tab/>
        <w:t>192,146</w:t>
      </w:r>
      <w:r w:rsidRPr="009A0DA6">
        <w:rPr>
          <w:rFonts w:ascii="Cambria" w:hAnsi="Cambria" w:cstheme="minorHAnsi"/>
        </w:rPr>
        <w:tab/>
        <w:t>263,000</w:t>
      </w:r>
    </w:p>
    <w:p w14:paraId="0C7061FF" w14:textId="77777777" w:rsidR="00F631B1" w:rsidRPr="009A0DA6" w:rsidRDefault="00F631B1" w:rsidP="00F631B1">
      <w:pPr>
        <w:tabs>
          <w:tab w:val="right" w:pos="5954"/>
          <w:tab w:val="right" w:pos="7371"/>
          <w:tab w:val="right" w:pos="8789"/>
        </w:tabs>
        <w:spacing w:after="0" w:line="240" w:lineRule="auto"/>
        <w:contextualSpacing/>
        <w:rPr>
          <w:rFonts w:ascii="Cambria" w:hAnsi="Cambria" w:cstheme="minorHAnsi"/>
        </w:rPr>
      </w:pPr>
      <w:r w:rsidRPr="009A0DA6">
        <w:rPr>
          <w:rFonts w:ascii="Cambria" w:hAnsi="Cambria" w:cstheme="minorHAnsi"/>
        </w:rPr>
        <w:t>Reimbursements</w:t>
      </w:r>
      <w:r w:rsidRPr="009A0DA6">
        <w:rPr>
          <w:rFonts w:ascii="Cambria" w:hAnsi="Cambria" w:cstheme="minorHAnsi"/>
        </w:rPr>
        <w:tab/>
        <w:t>0</w:t>
      </w:r>
      <w:r w:rsidRPr="009A0DA6">
        <w:rPr>
          <w:rFonts w:ascii="Cambria" w:hAnsi="Cambria" w:cstheme="minorHAnsi"/>
        </w:rPr>
        <w:tab/>
        <w:t>0</w:t>
      </w:r>
      <w:r w:rsidRPr="009A0DA6">
        <w:rPr>
          <w:rFonts w:ascii="Cambria" w:hAnsi="Cambria" w:cstheme="minorHAnsi"/>
        </w:rPr>
        <w:tab/>
        <w:t>500</w:t>
      </w:r>
    </w:p>
    <w:p w14:paraId="4E6C3C64" w14:textId="77777777" w:rsidR="00F631B1" w:rsidRPr="009A0DA6" w:rsidRDefault="00F631B1" w:rsidP="00F631B1">
      <w:pPr>
        <w:tabs>
          <w:tab w:val="right" w:pos="5954"/>
          <w:tab w:val="right" w:pos="7371"/>
          <w:tab w:val="right" w:pos="8789"/>
        </w:tabs>
        <w:spacing w:after="0" w:line="240" w:lineRule="auto"/>
        <w:contextualSpacing/>
        <w:rPr>
          <w:rFonts w:ascii="Cambria" w:hAnsi="Cambria" w:cstheme="minorHAnsi"/>
        </w:rPr>
      </w:pPr>
      <w:r w:rsidRPr="009A0DA6">
        <w:rPr>
          <w:rFonts w:ascii="Cambria" w:hAnsi="Cambria" w:cstheme="minorHAnsi"/>
        </w:rPr>
        <w:t>Trading Income</w:t>
      </w:r>
      <w:r w:rsidRPr="009A0DA6">
        <w:rPr>
          <w:rFonts w:ascii="Cambria" w:hAnsi="Cambria" w:cstheme="minorHAnsi"/>
        </w:rPr>
        <w:tab/>
        <w:t>0</w:t>
      </w:r>
      <w:r w:rsidRPr="009A0DA6">
        <w:rPr>
          <w:rFonts w:ascii="Cambria" w:hAnsi="Cambria" w:cstheme="minorHAnsi"/>
        </w:rPr>
        <w:tab/>
        <w:t>0</w:t>
      </w:r>
      <w:r w:rsidRPr="009A0DA6">
        <w:rPr>
          <w:rFonts w:ascii="Cambria" w:hAnsi="Cambria" w:cstheme="minorHAnsi"/>
        </w:rPr>
        <w:tab/>
        <w:t>58,900</w:t>
      </w:r>
    </w:p>
    <w:p w14:paraId="2955B07B" w14:textId="77777777" w:rsidR="00F631B1" w:rsidRPr="009A0DA6" w:rsidRDefault="00F631B1" w:rsidP="00F631B1">
      <w:pPr>
        <w:tabs>
          <w:tab w:val="right" w:pos="5954"/>
          <w:tab w:val="right" w:pos="7371"/>
          <w:tab w:val="right" w:pos="8789"/>
        </w:tabs>
        <w:spacing w:after="0" w:line="240" w:lineRule="auto"/>
        <w:contextualSpacing/>
        <w:rPr>
          <w:rFonts w:ascii="Cambria" w:hAnsi="Cambria" w:cstheme="minorHAnsi"/>
          <w:b/>
        </w:rPr>
      </w:pPr>
      <w:r w:rsidRPr="009A0DA6">
        <w:rPr>
          <w:rFonts w:ascii="Cambria" w:hAnsi="Cambria" w:cstheme="minorHAnsi"/>
          <w:b/>
        </w:rPr>
        <w:tab/>
        <w:t>457,104</w:t>
      </w:r>
      <w:r w:rsidRPr="009A0DA6">
        <w:rPr>
          <w:rFonts w:ascii="Cambria" w:hAnsi="Cambria" w:cstheme="minorHAnsi"/>
          <w:b/>
        </w:rPr>
        <w:tab/>
        <w:t>427,731</w:t>
      </w:r>
      <w:r w:rsidRPr="009A0DA6">
        <w:rPr>
          <w:rFonts w:ascii="Cambria" w:hAnsi="Cambria" w:cstheme="minorHAnsi"/>
          <w:b/>
        </w:rPr>
        <w:tab/>
        <w:t>453,089</w:t>
      </w:r>
    </w:p>
    <w:p w14:paraId="57602497" w14:textId="77777777" w:rsidR="00F631B1" w:rsidRPr="009A0DA6" w:rsidRDefault="00F631B1" w:rsidP="00F631B1">
      <w:pPr>
        <w:tabs>
          <w:tab w:val="right" w:pos="5954"/>
          <w:tab w:val="right" w:pos="7371"/>
          <w:tab w:val="right" w:pos="8789"/>
        </w:tabs>
        <w:spacing w:after="0" w:line="240" w:lineRule="auto"/>
        <w:contextualSpacing/>
        <w:rPr>
          <w:rFonts w:ascii="Cambria" w:hAnsi="Cambria" w:cstheme="minorHAnsi"/>
        </w:rPr>
      </w:pPr>
      <w:r w:rsidRPr="009A0DA6">
        <w:rPr>
          <w:rFonts w:ascii="Cambria" w:hAnsi="Cambria" w:cstheme="minorHAnsi"/>
          <w:b/>
        </w:rPr>
        <w:t>Expenditure</w:t>
      </w:r>
    </w:p>
    <w:p w14:paraId="1E68A0C1" w14:textId="77777777" w:rsidR="00F631B1" w:rsidRPr="009A0DA6" w:rsidRDefault="00F631B1" w:rsidP="00F631B1">
      <w:pPr>
        <w:tabs>
          <w:tab w:val="right" w:pos="5954"/>
          <w:tab w:val="right" w:pos="7371"/>
          <w:tab w:val="right" w:pos="8789"/>
        </w:tabs>
        <w:spacing w:after="0" w:line="240" w:lineRule="auto"/>
        <w:contextualSpacing/>
        <w:rPr>
          <w:rFonts w:ascii="Cambria" w:hAnsi="Cambria" w:cstheme="minorHAnsi"/>
        </w:rPr>
      </w:pPr>
      <w:r w:rsidRPr="009A0DA6">
        <w:rPr>
          <w:rFonts w:ascii="Cambria" w:hAnsi="Cambria" w:cstheme="minorHAnsi"/>
        </w:rPr>
        <w:t>Administration costs</w:t>
      </w:r>
      <w:r w:rsidRPr="009A0DA6">
        <w:rPr>
          <w:rFonts w:ascii="Cambria" w:hAnsi="Cambria" w:cstheme="minorHAnsi"/>
        </w:rPr>
        <w:tab/>
        <w:t>25,608</w:t>
      </w:r>
      <w:r w:rsidRPr="009A0DA6">
        <w:rPr>
          <w:rFonts w:ascii="Cambria" w:hAnsi="Cambria" w:cstheme="minorHAnsi"/>
        </w:rPr>
        <w:tab/>
        <w:t>18,518</w:t>
      </w:r>
      <w:r w:rsidRPr="009A0DA6">
        <w:rPr>
          <w:rFonts w:ascii="Cambria" w:hAnsi="Cambria" w:cstheme="minorHAnsi"/>
        </w:rPr>
        <w:tab/>
        <w:t>35,941</w:t>
      </w:r>
    </w:p>
    <w:p w14:paraId="2EEBD52B" w14:textId="77777777" w:rsidR="00F631B1" w:rsidRPr="009A0DA6" w:rsidRDefault="00F631B1" w:rsidP="00F631B1">
      <w:pPr>
        <w:tabs>
          <w:tab w:val="right" w:pos="5954"/>
          <w:tab w:val="right" w:pos="7371"/>
          <w:tab w:val="right" w:pos="8789"/>
        </w:tabs>
        <w:spacing w:after="0" w:line="240" w:lineRule="auto"/>
        <w:contextualSpacing/>
        <w:rPr>
          <w:rFonts w:ascii="Cambria" w:hAnsi="Cambria" w:cstheme="minorHAnsi"/>
        </w:rPr>
      </w:pPr>
      <w:r w:rsidRPr="009A0DA6">
        <w:rPr>
          <w:rFonts w:ascii="Cambria" w:hAnsi="Cambria" w:cstheme="minorHAnsi"/>
        </w:rPr>
        <w:t>Asset costs</w:t>
      </w:r>
      <w:r w:rsidRPr="009A0DA6">
        <w:rPr>
          <w:rFonts w:ascii="Cambria" w:hAnsi="Cambria" w:cstheme="minorHAnsi"/>
        </w:rPr>
        <w:tab/>
        <w:t>243</w:t>
      </w:r>
      <w:r w:rsidRPr="009A0DA6">
        <w:rPr>
          <w:rFonts w:ascii="Cambria" w:hAnsi="Cambria" w:cstheme="minorHAnsi"/>
        </w:rPr>
        <w:tab/>
        <w:t>4,650</w:t>
      </w:r>
      <w:r w:rsidRPr="009A0DA6">
        <w:rPr>
          <w:rFonts w:ascii="Cambria" w:hAnsi="Cambria" w:cstheme="minorHAnsi"/>
        </w:rPr>
        <w:tab/>
      </w:r>
    </w:p>
    <w:p w14:paraId="285DB049" w14:textId="77777777" w:rsidR="00F631B1" w:rsidRPr="009A0DA6" w:rsidRDefault="00F631B1" w:rsidP="00F631B1">
      <w:pPr>
        <w:tabs>
          <w:tab w:val="right" w:pos="5954"/>
          <w:tab w:val="right" w:pos="7371"/>
          <w:tab w:val="right" w:pos="8789"/>
        </w:tabs>
        <w:spacing w:after="0" w:line="240" w:lineRule="auto"/>
        <w:contextualSpacing/>
        <w:rPr>
          <w:rFonts w:ascii="Cambria" w:hAnsi="Cambria" w:cstheme="minorHAnsi"/>
        </w:rPr>
      </w:pPr>
      <w:r w:rsidRPr="009A0DA6">
        <w:rPr>
          <w:rFonts w:ascii="Cambria" w:hAnsi="Cambria" w:cstheme="minorHAnsi"/>
        </w:rPr>
        <w:t>Consulting expenses</w:t>
      </w:r>
      <w:r w:rsidRPr="009A0DA6">
        <w:rPr>
          <w:rFonts w:ascii="Cambria" w:hAnsi="Cambria" w:cstheme="minorHAnsi"/>
        </w:rPr>
        <w:tab/>
        <w:t>25,000</w:t>
      </w:r>
      <w:r w:rsidRPr="009A0DA6">
        <w:rPr>
          <w:rFonts w:ascii="Cambria" w:hAnsi="Cambria" w:cstheme="minorHAnsi"/>
        </w:rPr>
        <w:tab/>
      </w:r>
      <w:r w:rsidRPr="009A0DA6">
        <w:rPr>
          <w:rFonts w:ascii="Cambria" w:hAnsi="Cambria" w:cstheme="minorHAnsi"/>
        </w:rPr>
        <w:tab/>
        <w:t>1,500</w:t>
      </w:r>
    </w:p>
    <w:p w14:paraId="2D4095F2" w14:textId="77777777" w:rsidR="00F631B1" w:rsidRPr="009A0DA6" w:rsidRDefault="00F631B1" w:rsidP="00F631B1">
      <w:pPr>
        <w:tabs>
          <w:tab w:val="right" w:pos="5954"/>
          <w:tab w:val="right" w:pos="7371"/>
          <w:tab w:val="right" w:pos="8789"/>
        </w:tabs>
        <w:spacing w:after="0" w:line="240" w:lineRule="auto"/>
        <w:contextualSpacing/>
        <w:rPr>
          <w:rFonts w:ascii="Cambria" w:hAnsi="Cambria" w:cstheme="minorHAnsi"/>
        </w:rPr>
      </w:pPr>
      <w:r w:rsidRPr="009A0DA6">
        <w:rPr>
          <w:rFonts w:ascii="Cambria" w:hAnsi="Cambria" w:cstheme="minorHAnsi"/>
        </w:rPr>
        <w:t>Depreciation expense</w:t>
      </w:r>
      <w:r w:rsidRPr="009A0DA6">
        <w:rPr>
          <w:rFonts w:ascii="Cambria" w:hAnsi="Cambria" w:cstheme="minorHAnsi"/>
        </w:rPr>
        <w:tab/>
        <w:t>2,006</w:t>
      </w:r>
      <w:r w:rsidRPr="009A0DA6">
        <w:rPr>
          <w:rFonts w:ascii="Cambria" w:hAnsi="Cambria" w:cstheme="minorHAnsi"/>
        </w:rPr>
        <w:tab/>
        <w:t>1,845</w:t>
      </w:r>
      <w:r w:rsidRPr="009A0DA6">
        <w:rPr>
          <w:rFonts w:ascii="Cambria" w:hAnsi="Cambria" w:cstheme="minorHAnsi"/>
        </w:rPr>
        <w:tab/>
        <w:t>0</w:t>
      </w:r>
    </w:p>
    <w:p w14:paraId="21C52BF3" w14:textId="77777777" w:rsidR="00F631B1" w:rsidRPr="009A0DA6" w:rsidRDefault="00F631B1" w:rsidP="00F631B1">
      <w:pPr>
        <w:tabs>
          <w:tab w:val="right" w:pos="5954"/>
          <w:tab w:val="right" w:pos="7371"/>
          <w:tab w:val="right" w:pos="8789"/>
        </w:tabs>
        <w:spacing w:after="0" w:line="240" w:lineRule="auto"/>
        <w:contextualSpacing/>
        <w:rPr>
          <w:rFonts w:ascii="Cambria" w:hAnsi="Cambria" w:cstheme="minorHAnsi"/>
        </w:rPr>
      </w:pPr>
      <w:r w:rsidRPr="009A0DA6">
        <w:rPr>
          <w:rFonts w:ascii="Cambria" w:hAnsi="Cambria" w:cstheme="minorHAnsi"/>
        </w:rPr>
        <w:t>Employee expenses</w:t>
      </w:r>
      <w:r w:rsidRPr="009A0DA6">
        <w:rPr>
          <w:rFonts w:ascii="Cambria" w:hAnsi="Cambria" w:cstheme="minorHAnsi"/>
        </w:rPr>
        <w:tab/>
        <w:t>286,553</w:t>
      </w:r>
      <w:r w:rsidRPr="009A0DA6">
        <w:rPr>
          <w:rFonts w:ascii="Cambria" w:hAnsi="Cambria" w:cstheme="minorHAnsi"/>
        </w:rPr>
        <w:tab/>
        <w:t>320,900</w:t>
      </w:r>
      <w:r w:rsidRPr="009A0DA6">
        <w:rPr>
          <w:rFonts w:ascii="Cambria" w:hAnsi="Cambria" w:cstheme="minorHAnsi"/>
        </w:rPr>
        <w:tab/>
        <w:t>283,874</w:t>
      </w:r>
    </w:p>
    <w:p w14:paraId="2433C43F" w14:textId="77777777" w:rsidR="00F631B1" w:rsidRPr="009A0DA6" w:rsidRDefault="00F631B1" w:rsidP="00F631B1">
      <w:pPr>
        <w:tabs>
          <w:tab w:val="right" w:pos="5954"/>
          <w:tab w:val="right" w:pos="7371"/>
          <w:tab w:val="right" w:pos="8789"/>
        </w:tabs>
        <w:spacing w:after="0" w:line="240" w:lineRule="auto"/>
        <w:contextualSpacing/>
        <w:rPr>
          <w:rFonts w:ascii="Cambria" w:hAnsi="Cambria" w:cstheme="minorHAnsi"/>
        </w:rPr>
      </w:pPr>
      <w:r w:rsidRPr="009A0DA6">
        <w:rPr>
          <w:rFonts w:ascii="Cambria" w:hAnsi="Cambria" w:cstheme="minorHAnsi"/>
        </w:rPr>
        <w:t>LCA other expenditure</w:t>
      </w:r>
      <w:r w:rsidRPr="009A0DA6">
        <w:rPr>
          <w:rFonts w:ascii="Cambria" w:hAnsi="Cambria" w:cstheme="minorHAnsi"/>
        </w:rPr>
        <w:tab/>
        <w:t>16,908</w:t>
      </w:r>
      <w:r w:rsidRPr="009A0DA6">
        <w:rPr>
          <w:rFonts w:ascii="Cambria" w:hAnsi="Cambria" w:cstheme="minorHAnsi"/>
        </w:rPr>
        <w:tab/>
        <w:t>9,700</w:t>
      </w:r>
      <w:r w:rsidRPr="009A0DA6">
        <w:rPr>
          <w:rFonts w:ascii="Cambria" w:hAnsi="Cambria" w:cstheme="minorHAnsi"/>
        </w:rPr>
        <w:tab/>
        <w:t>9,300</w:t>
      </w:r>
    </w:p>
    <w:p w14:paraId="70FC7CDA" w14:textId="77777777" w:rsidR="00F631B1" w:rsidRPr="009A0DA6" w:rsidRDefault="00F631B1" w:rsidP="00F631B1">
      <w:pPr>
        <w:tabs>
          <w:tab w:val="right" w:pos="5954"/>
          <w:tab w:val="right" w:pos="7371"/>
          <w:tab w:val="right" w:pos="8789"/>
        </w:tabs>
        <w:spacing w:after="0" w:line="240" w:lineRule="auto"/>
        <w:contextualSpacing/>
        <w:rPr>
          <w:rFonts w:ascii="Cambria" w:hAnsi="Cambria" w:cstheme="minorHAnsi"/>
        </w:rPr>
      </w:pPr>
      <w:r w:rsidRPr="009A0DA6">
        <w:rPr>
          <w:rFonts w:ascii="Cambria" w:hAnsi="Cambria" w:cstheme="minorHAnsi"/>
        </w:rPr>
        <w:t>Ministry expenses</w:t>
      </w:r>
      <w:r w:rsidRPr="009A0DA6">
        <w:rPr>
          <w:rFonts w:ascii="Cambria" w:hAnsi="Cambria" w:cstheme="minorHAnsi"/>
        </w:rPr>
        <w:tab/>
        <w:t>3,841</w:t>
      </w:r>
      <w:r w:rsidRPr="009A0DA6">
        <w:rPr>
          <w:rFonts w:ascii="Cambria" w:hAnsi="Cambria" w:cstheme="minorHAnsi"/>
        </w:rPr>
        <w:tab/>
        <w:t>4,032</w:t>
      </w:r>
      <w:r w:rsidRPr="009A0DA6">
        <w:rPr>
          <w:rFonts w:ascii="Cambria" w:hAnsi="Cambria" w:cstheme="minorHAnsi"/>
        </w:rPr>
        <w:tab/>
        <w:t>6,157</w:t>
      </w:r>
    </w:p>
    <w:p w14:paraId="214E9A7A" w14:textId="77777777" w:rsidR="00F631B1" w:rsidRPr="009A0DA6" w:rsidRDefault="00F631B1" w:rsidP="00F631B1">
      <w:pPr>
        <w:tabs>
          <w:tab w:val="right" w:pos="5954"/>
          <w:tab w:val="right" w:pos="7371"/>
          <w:tab w:val="right" w:pos="8789"/>
        </w:tabs>
        <w:spacing w:after="0" w:line="240" w:lineRule="auto"/>
        <w:contextualSpacing/>
        <w:rPr>
          <w:rFonts w:ascii="Cambria" w:hAnsi="Cambria" w:cstheme="minorHAnsi"/>
        </w:rPr>
      </w:pPr>
      <w:r w:rsidRPr="009A0DA6">
        <w:rPr>
          <w:rFonts w:ascii="Cambria" w:hAnsi="Cambria" w:cstheme="minorHAnsi"/>
        </w:rPr>
        <w:t>Project costs</w:t>
      </w:r>
      <w:r w:rsidRPr="009A0DA6">
        <w:rPr>
          <w:rFonts w:ascii="Cambria" w:hAnsi="Cambria" w:cstheme="minorHAnsi"/>
        </w:rPr>
        <w:tab/>
        <w:t>213</w:t>
      </w:r>
      <w:r w:rsidRPr="009A0DA6">
        <w:rPr>
          <w:rFonts w:ascii="Cambria" w:hAnsi="Cambria" w:cstheme="minorHAnsi"/>
        </w:rPr>
        <w:tab/>
        <w:t>64,649</w:t>
      </w:r>
      <w:r w:rsidRPr="009A0DA6">
        <w:rPr>
          <w:rFonts w:ascii="Cambria" w:hAnsi="Cambria" w:cstheme="minorHAnsi"/>
        </w:rPr>
        <w:tab/>
        <w:t>0</w:t>
      </w:r>
    </w:p>
    <w:p w14:paraId="5F8907B8" w14:textId="77777777" w:rsidR="00F631B1" w:rsidRPr="009A0DA6" w:rsidRDefault="00F631B1" w:rsidP="00F631B1">
      <w:pPr>
        <w:tabs>
          <w:tab w:val="right" w:pos="5954"/>
          <w:tab w:val="right" w:pos="7371"/>
          <w:tab w:val="right" w:pos="8789"/>
        </w:tabs>
        <w:spacing w:after="0" w:line="240" w:lineRule="auto"/>
        <w:contextualSpacing/>
        <w:rPr>
          <w:rFonts w:ascii="Cambria" w:hAnsi="Cambria" w:cstheme="minorHAnsi"/>
        </w:rPr>
      </w:pPr>
      <w:r w:rsidRPr="009A0DA6">
        <w:rPr>
          <w:rFonts w:ascii="Cambria" w:hAnsi="Cambria" w:cstheme="minorHAnsi"/>
        </w:rPr>
        <w:t>Promotion and marketing</w:t>
      </w:r>
      <w:r w:rsidRPr="009A0DA6">
        <w:rPr>
          <w:rFonts w:ascii="Cambria" w:hAnsi="Cambria" w:cstheme="minorHAnsi"/>
        </w:rPr>
        <w:tab/>
        <w:t>9,623</w:t>
      </w:r>
      <w:r w:rsidRPr="009A0DA6">
        <w:rPr>
          <w:rFonts w:ascii="Cambria" w:hAnsi="Cambria" w:cstheme="minorHAnsi"/>
        </w:rPr>
        <w:tab/>
        <w:t>1,368</w:t>
      </w:r>
      <w:r w:rsidRPr="009A0DA6">
        <w:rPr>
          <w:rFonts w:ascii="Cambria" w:hAnsi="Cambria" w:cstheme="minorHAnsi"/>
        </w:rPr>
        <w:tab/>
        <w:t>949</w:t>
      </w:r>
    </w:p>
    <w:p w14:paraId="26FA1009" w14:textId="77777777" w:rsidR="00F631B1" w:rsidRPr="009A0DA6" w:rsidRDefault="00F631B1" w:rsidP="00F631B1">
      <w:pPr>
        <w:tabs>
          <w:tab w:val="right" w:pos="5954"/>
          <w:tab w:val="right" w:pos="7371"/>
          <w:tab w:val="right" w:pos="8789"/>
        </w:tabs>
        <w:spacing w:after="0" w:line="240" w:lineRule="auto"/>
        <w:contextualSpacing/>
        <w:rPr>
          <w:rFonts w:ascii="Cambria" w:hAnsi="Cambria" w:cstheme="minorHAnsi"/>
        </w:rPr>
      </w:pPr>
      <w:r w:rsidRPr="009A0DA6">
        <w:rPr>
          <w:rFonts w:ascii="Cambria" w:hAnsi="Cambria" w:cstheme="minorHAnsi"/>
        </w:rPr>
        <w:t>Travelling expenses</w:t>
      </w:r>
      <w:r w:rsidRPr="009A0DA6">
        <w:rPr>
          <w:rFonts w:ascii="Cambria" w:hAnsi="Cambria" w:cstheme="minorHAnsi"/>
        </w:rPr>
        <w:tab/>
        <w:t>10,557</w:t>
      </w:r>
      <w:r w:rsidRPr="009A0DA6">
        <w:rPr>
          <w:rFonts w:ascii="Cambria" w:hAnsi="Cambria" w:cstheme="minorHAnsi"/>
        </w:rPr>
        <w:tab/>
        <w:t>21,459</w:t>
      </w:r>
      <w:r w:rsidRPr="009A0DA6">
        <w:rPr>
          <w:rFonts w:ascii="Cambria" w:hAnsi="Cambria" w:cstheme="minorHAnsi"/>
        </w:rPr>
        <w:tab/>
        <w:t>17,947</w:t>
      </w:r>
    </w:p>
    <w:p w14:paraId="6245FC37" w14:textId="77777777" w:rsidR="00F631B1" w:rsidRPr="009A0DA6" w:rsidRDefault="00F631B1" w:rsidP="00F631B1">
      <w:pPr>
        <w:tabs>
          <w:tab w:val="right" w:pos="5954"/>
          <w:tab w:val="right" w:pos="7371"/>
          <w:tab w:val="right" w:pos="8789"/>
        </w:tabs>
        <w:spacing w:after="0" w:line="240" w:lineRule="auto"/>
        <w:contextualSpacing/>
        <w:rPr>
          <w:rFonts w:ascii="Cambria" w:hAnsi="Cambria" w:cstheme="minorHAnsi"/>
          <w:b/>
        </w:rPr>
      </w:pPr>
      <w:r w:rsidRPr="009A0DA6">
        <w:rPr>
          <w:rFonts w:ascii="Cambria" w:hAnsi="Cambria" w:cstheme="minorHAnsi"/>
          <w:b/>
        </w:rPr>
        <w:tab/>
        <w:t>380,552</w:t>
      </w:r>
      <w:r w:rsidRPr="009A0DA6">
        <w:rPr>
          <w:rFonts w:ascii="Cambria" w:hAnsi="Cambria" w:cstheme="minorHAnsi"/>
          <w:b/>
        </w:rPr>
        <w:tab/>
        <w:t>447,121</w:t>
      </w:r>
      <w:r w:rsidRPr="009A0DA6">
        <w:rPr>
          <w:rFonts w:ascii="Cambria" w:hAnsi="Cambria" w:cstheme="minorHAnsi"/>
          <w:b/>
        </w:rPr>
        <w:tab/>
        <w:t>355,668</w:t>
      </w:r>
    </w:p>
    <w:p w14:paraId="31E9A6BE" w14:textId="77777777" w:rsidR="00F631B1" w:rsidRPr="009A0DA6" w:rsidRDefault="00F631B1" w:rsidP="00F631B1">
      <w:pPr>
        <w:tabs>
          <w:tab w:val="right" w:pos="5954"/>
          <w:tab w:val="right" w:pos="7371"/>
          <w:tab w:val="right" w:pos="8789"/>
        </w:tabs>
        <w:spacing w:after="0" w:line="240" w:lineRule="auto"/>
        <w:contextualSpacing/>
        <w:rPr>
          <w:rFonts w:ascii="Cambria" w:hAnsi="Cambria" w:cstheme="minorHAnsi"/>
        </w:rPr>
      </w:pPr>
      <w:r w:rsidRPr="009A0DA6">
        <w:rPr>
          <w:rFonts w:ascii="Cambria" w:hAnsi="Cambria" w:cstheme="minorHAnsi"/>
        </w:rPr>
        <w:t>Operating Surplus (deficit) for the year</w:t>
      </w:r>
      <w:r w:rsidRPr="009A0DA6">
        <w:rPr>
          <w:rFonts w:ascii="Cambria" w:hAnsi="Cambria" w:cstheme="minorHAnsi"/>
        </w:rPr>
        <w:tab/>
        <w:t>76,552</w:t>
      </w:r>
      <w:r w:rsidRPr="009A0DA6">
        <w:rPr>
          <w:rFonts w:ascii="Cambria" w:hAnsi="Cambria" w:cstheme="minorHAnsi"/>
        </w:rPr>
        <w:tab/>
      </w:r>
      <w:r w:rsidRPr="009A0DA6">
        <w:rPr>
          <w:rFonts w:ascii="Cambria" w:hAnsi="Cambria" w:cstheme="minorHAnsi"/>
          <w:bCs/>
        </w:rPr>
        <w:t xml:space="preserve"> (19,390)</w:t>
      </w:r>
      <w:r w:rsidRPr="009A0DA6">
        <w:rPr>
          <w:rFonts w:ascii="Cambria" w:hAnsi="Cambria" w:cstheme="minorHAnsi"/>
        </w:rPr>
        <w:tab/>
        <w:t>97,421</w:t>
      </w:r>
    </w:p>
    <w:p w14:paraId="6BAE9BEA" w14:textId="77777777" w:rsidR="00F631B1" w:rsidRPr="009A0DA6" w:rsidRDefault="00F631B1" w:rsidP="00F631B1">
      <w:pPr>
        <w:tabs>
          <w:tab w:val="right" w:pos="5954"/>
          <w:tab w:val="right" w:pos="7371"/>
          <w:tab w:val="right" w:pos="8789"/>
        </w:tabs>
        <w:spacing w:after="0" w:line="240" w:lineRule="auto"/>
        <w:contextualSpacing/>
        <w:rPr>
          <w:rFonts w:ascii="Cambria" w:hAnsi="Cambria" w:cstheme="minorHAnsi"/>
        </w:rPr>
      </w:pPr>
      <w:r w:rsidRPr="009A0DA6">
        <w:rPr>
          <w:rFonts w:ascii="Cambria" w:hAnsi="Cambria" w:cstheme="minorHAnsi"/>
        </w:rPr>
        <w:t>LCA Transfers</w:t>
      </w:r>
      <w:r w:rsidRPr="009A0DA6">
        <w:rPr>
          <w:rFonts w:ascii="Cambria" w:hAnsi="Cambria" w:cstheme="minorHAnsi"/>
        </w:rPr>
        <w:tab/>
        <w:t>0</w:t>
      </w:r>
      <w:r w:rsidRPr="009A0DA6">
        <w:rPr>
          <w:rFonts w:ascii="Cambria" w:hAnsi="Cambria" w:cstheme="minorHAnsi"/>
        </w:rPr>
        <w:tab/>
        <w:t>0</w:t>
      </w:r>
      <w:r w:rsidRPr="009A0DA6">
        <w:rPr>
          <w:rFonts w:ascii="Cambria" w:hAnsi="Cambria" w:cstheme="minorHAnsi"/>
        </w:rPr>
        <w:tab/>
        <w:t>(58,900)</w:t>
      </w:r>
    </w:p>
    <w:p w14:paraId="24A0587F" w14:textId="77777777" w:rsidR="00F631B1" w:rsidRPr="009A0DA6" w:rsidRDefault="00F631B1" w:rsidP="00F631B1">
      <w:pPr>
        <w:tabs>
          <w:tab w:val="right" w:pos="5954"/>
          <w:tab w:val="right" w:pos="7371"/>
          <w:tab w:val="right" w:pos="8789"/>
        </w:tabs>
        <w:spacing w:after="0" w:line="240" w:lineRule="auto"/>
        <w:contextualSpacing/>
        <w:rPr>
          <w:rFonts w:ascii="Cambria" w:hAnsi="Cambria" w:cstheme="minorHAnsi"/>
          <w:b/>
          <w:bCs/>
        </w:rPr>
      </w:pPr>
      <w:r w:rsidRPr="009A0DA6">
        <w:rPr>
          <w:rFonts w:ascii="Cambria" w:hAnsi="Cambria" w:cstheme="minorHAnsi"/>
          <w:b/>
        </w:rPr>
        <w:t>Surplus after transfers</w:t>
      </w:r>
      <w:r w:rsidRPr="009A0DA6">
        <w:rPr>
          <w:rFonts w:ascii="Cambria" w:hAnsi="Cambria" w:cstheme="minorHAnsi"/>
          <w:b/>
        </w:rPr>
        <w:tab/>
        <w:t>$84,235</w:t>
      </w:r>
      <w:r w:rsidRPr="009A0DA6">
        <w:rPr>
          <w:rFonts w:ascii="Cambria" w:hAnsi="Cambria" w:cstheme="minorHAnsi"/>
          <w:b/>
          <w:bCs/>
        </w:rPr>
        <w:tab/>
        <w:t>$(78,396)</w:t>
      </w:r>
      <w:r w:rsidRPr="009A0DA6">
        <w:rPr>
          <w:rFonts w:ascii="Cambria" w:hAnsi="Cambria" w:cstheme="minorHAnsi"/>
          <w:b/>
        </w:rPr>
        <w:tab/>
        <w:t>$38,521</w:t>
      </w:r>
    </w:p>
    <w:p w14:paraId="366FB69C" w14:textId="77777777" w:rsidR="00F631B1" w:rsidRPr="009A0DA6" w:rsidRDefault="00F631B1" w:rsidP="00F631B1">
      <w:pPr>
        <w:tabs>
          <w:tab w:val="right" w:pos="5954"/>
          <w:tab w:val="right" w:pos="7371"/>
          <w:tab w:val="right" w:pos="8789"/>
        </w:tabs>
        <w:spacing w:after="0" w:line="240" w:lineRule="auto"/>
        <w:contextualSpacing/>
        <w:rPr>
          <w:rFonts w:ascii="Cambria" w:hAnsi="Cambria" w:cstheme="minorHAnsi"/>
          <w:b/>
        </w:rPr>
      </w:pPr>
    </w:p>
    <w:p w14:paraId="76BD5A88" w14:textId="77777777" w:rsidR="00F631B1" w:rsidRPr="009A0DA6" w:rsidRDefault="00F631B1" w:rsidP="00F631B1">
      <w:pPr>
        <w:tabs>
          <w:tab w:val="right" w:pos="5954"/>
          <w:tab w:val="right" w:pos="7371"/>
          <w:tab w:val="right" w:pos="8789"/>
        </w:tabs>
        <w:spacing w:after="0" w:line="240" w:lineRule="auto"/>
        <w:contextualSpacing/>
        <w:rPr>
          <w:rFonts w:ascii="Cambria" w:hAnsi="Cambria" w:cstheme="minorHAnsi"/>
          <w:b/>
        </w:rPr>
      </w:pPr>
      <w:r w:rsidRPr="009A0DA6">
        <w:rPr>
          <w:rFonts w:ascii="Cambria" w:hAnsi="Cambria" w:cstheme="minorHAnsi"/>
          <w:b/>
        </w:rPr>
        <w:t>ACCUMULATED FUNDS</w:t>
      </w:r>
    </w:p>
    <w:p w14:paraId="594707C5" w14:textId="77777777" w:rsidR="00F631B1" w:rsidRPr="009A0DA6" w:rsidRDefault="00F631B1" w:rsidP="00F631B1">
      <w:pPr>
        <w:tabs>
          <w:tab w:val="right" w:pos="5954"/>
          <w:tab w:val="right" w:pos="7371"/>
          <w:tab w:val="right" w:pos="8789"/>
        </w:tabs>
        <w:spacing w:after="0" w:line="240" w:lineRule="auto"/>
        <w:contextualSpacing/>
        <w:rPr>
          <w:rFonts w:ascii="Cambria" w:hAnsi="Cambria" w:cstheme="minorHAnsi"/>
          <w:b/>
        </w:rPr>
      </w:pPr>
      <w:r w:rsidRPr="009A0DA6">
        <w:rPr>
          <w:rFonts w:ascii="Cambria" w:hAnsi="Cambria" w:cstheme="minorHAnsi"/>
          <w:b/>
        </w:rPr>
        <w:t xml:space="preserve">Opening balance 1 January </w:t>
      </w:r>
      <w:r w:rsidRPr="009A0DA6">
        <w:rPr>
          <w:rFonts w:ascii="Cambria" w:hAnsi="Cambria" w:cstheme="minorHAnsi"/>
          <w:b/>
        </w:rPr>
        <w:tab/>
        <w:t>321,740</w:t>
      </w:r>
      <w:r w:rsidRPr="009A0DA6">
        <w:rPr>
          <w:rFonts w:ascii="Cambria" w:hAnsi="Cambria" w:cstheme="minorHAnsi"/>
          <w:b/>
        </w:rPr>
        <w:tab/>
        <w:t>282,230</w:t>
      </w:r>
      <w:r w:rsidRPr="009A0DA6">
        <w:rPr>
          <w:rFonts w:ascii="Cambria" w:hAnsi="Cambria" w:cstheme="minorHAnsi"/>
          <w:b/>
        </w:rPr>
        <w:tab/>
        <w:t>229,094</w:t>
      </w:r>
    </w:p>
    <w:p w14:paraId="1501EDDB" w14:textId="77777777" w:rsidR="00F631B1" w:rsidRPr="009A0DA6" w:rsidRDefault="00F631B1" w:rsidP="00F631B1">
      <w:pPr>
        <w:tabs>
          <w:tab w:val="right" w:pos="5954"/>
          <w:tab w:val="right" w:pos="7371"/>
          <w:tab w:val="right" w:pos="8789"/>
        </w:tabs>
        <w:spacing w:after="0" w:line="240" w:lineRule="auto"/>
        <w:contextualSpacing/>
        <w:rPr>
          <w:rFonts w:ascii="Cambria" w:hAnsi="Cambria" w:cstheme="minorHAnsi"/>
        </w:rPr>
      </w:pPr>
      <w:r w:rsidRPr="009A0DA6">
        <w:rPr>
          <w:rFonts w:ascii="Cambria" w:hAnsi="Cambria" w:cstheme="minorHAnsi"/>
        </w:rPr>
        <w:t>Operating Surplus for the year</w:t>
      </w:r>
      <w:r w:rsidRPr="009A0DA6">
        <w:rPr>
          <w:rFonts w:ascii="Cambria" w:hAnsi="Cambria" w:cstheme="minorHAnsi"/>
        </w:rPr>
        <w:tab/>
        <w:t>76,552</w:t>
      </w:r>
      <w:r w:rsidRPr="009A0DA6">
        <w:rPr>
          <w:rFonts w:ascii="Cambria" w:hAnsi="Cambria" w:cstheme="minorHAnsi"/>
        </w:rPr>
        <w:tab/>
      </w:r>
      <w:r w:rsidRPr="009A0DA6">
        <w:rPr>
          <w:rFonts w:ascii="Cambria" w:hAnsi="Cambria" w:cstheme="minorHAnsi"/>
          <w:bCs/>
        </w:rPr>
        <w:t>(19,390)</w:t>
      </w:r>
      <w:r w:rsidRPr="009A0DA6">
        <w:rPr>
          <w:rFonts w:ascii="Cambria" w:hAnsi="Cambria" w:cstheme="minorHAnsi"/>
        </w:rPr>
        <w:tab/>
        <w:t>38,521</w:t>
      </w:r>
    </w:p>
    <w:p w14:paraId="060EA382" w14:textId="77777777" w:rsidR="00F631B1" w:rsidRPr="009A0DA6" w:rsidRDefault="00F631B1" w:rsidP="00F631B1">
      <w:pPr>
        <w:tabs>
          <w:tab w:val="right" w:pos="5954"/>
          <w:tab w:val="right" w:pos="7371"/>
          <w:tab w:val="right" w:pos="8789"/>
        </w:tabs>
        <w:spacing w:after="0" w:line="240" w:lineRule="auto"/>
        <w:contextualSpacing/>
        <w:rPr>
          <w:rFonts w:ascii="Cambria" w:hAnsi="Cambria" w:cstheme="minorHAnsi"/>
        </w:rPr>
      </w:pPr>
      <w:r w:rsidRPr="009A0DA6">
        <w:rPr>
          <w:rFonts w:ascii="Cambria" w:hAnsi="Cambria" w:cstheme="minorHAnsi"/>
        </w:rPr>
        <w:t>Add distribution of gain on asset count</w:t>
      </w:r>
      <w:r w:rsidRPr="009A0DA6">
        <w:rPr>
          <w:rFonts w:ascii="Cambria" w:hAnsi="Cambria" w:cstheme="minorHAnsi"/>
        </w:rPr>
        <w:tab/>
        <w:t>0</w:t>
      </w:r>
      <w:r w:rsidRPr="009A0DA6">
        <w:rPr>
          <w:rFonts w:ascii="Cambria" w:hAnsi="Cambria" w:cstheme="minorHAnsi"/>
        </w:rPr>
        <w:tab/>
        <w:t>0</w:t>
      </w:r>
      <w:r w:rsidRPr="009A0DA6">
        <w:rPr>
          <w:rFonts w:ascii="Cambria" w:hAnsi="Cambria" w:cstheme="minorHAnsi"/>
        </w:rPr>
        <w:tab/>
        <w:t>14,615</w:t>
      </w:r>
    </w:p>
    <w:p w14:paraId="7AA3677F" w14:textId="77777777" w:rsidR="00F631B1" w:rsidRPr="009A0DA6" w:rsidRDefault="00F631B1" w:rsidP="00F631B1">
      <w:pPr>
        <w:tabs>
          <w:tab w:val="right" w:pos="5954"/>
          <w:tab w:val="right" w:pos="7371"/>
          <w:tab w:val="right" w:pos="8789"/>
        </w:tabs>
        <w:spacing w:after="0" w:line="240" w:lineRule="auto"/>
        <w:contextualSpacing/>
        <w:rPr>
          <w:rFonts w:ascii="Cambria" w:hAnsi="Cambria" w:cstheme="minorHAnsi"/>
          <w:b/>
        </w:rPr>
      </w:pPr>
      <w:r w:rsidRPr="009A0DA6">
        <w:rPr>
          <w:rFonts w:ascii="Cambria" w:hAnsi="Cambria" w:cstheme="minorHAnsi"/>
          <w:b/>
        </w:rPr>
        <w:t>Closing balance 31 December 2017</w:t>
      </w:r>
      <w:r w:rsidRPr="009A0DA6">
        <w:rPr>
          <w:rFonts w:ascii="Cambria" w:hAnsi="Cambria" w:cstheme="minorHAnsi"/>
          <w:b/>
        </w:rPr>
        <w:tab/>
        <w:t>$398,292</w:t>
      </w:r>
      <w:r w:rsidRPr="009A0DA6">
        <w:rPr>
          <w:rFonts w:ascii="Cambria" w:hAnsi="Cambria" w:cstheme="minorHAnsi"/>
          <w:b/>
        </w:rPr>
        <w:tab/>
        <w:t>$321,740</w:t>
      </w:r>
      <w:r w:rsidRPr="009A0DA6">
        <w:rPr>
          <w:rFonts w:ascii="Cambria" w:hAnsi="Cambria" w:cstheme="minorHAnsi"/>
          <w:b/>
        </w:rPr>
        <w:tab/>
        <w:t>$282,230</w:t>
      </w:r>
    </w:p>
    <w:p w14:paraId="69C678F5" w14:textId="695F45EF" w:rsidR="00F631B1" w:rsidRDefault="00F631B1" w:rsidP="00F631B1">
      <w:pPr>
        <w:tabs>
          <w:tab w:val="right" w:pos="5954"/>
          <w:tab w:val="right" w:pos="7371"/>
          <w:tab w:val="right" w:pos="8789"/>
        </w:tabs>
        <w:spacing w:after="0" w:line="240" w:lineRule="auto"/>
        <w:contextualSpacing/>
        <w:rPr>
          <w:rFonts w:ascii="Cambria" w:hAnsi="Cambria" w:cstheme="minorHAnsi"/>
          <w:b/>
        </w:rPr>
      </w:pPr>
    </w:p>
    <w:p w14:paraId="070AC57C" w14:textId="77777777" w:rsidR="00565A2C" w:rsidRPr="009A0DA6" w:rsidRDefault="00565A2C" w:rsidP="00F631B1">
      <w:pPr>
        <w:tabs>
          <w:tab w:val="right" w:pos="5954"/>
          <w:tab w:val="right" w:pos="7371"/>
          <w:tab w:val="right" w:pos="8789"/>
        </w:tabs>
        <w:spacing w:after="0" w:line="240" w:lineRule="auto"/>
        <w:contextualSpacing/>
        <w:rPr>
          <w:rFonts w:ascii="Cambria" w:hAnsi="Cambria" w:cstheme="minorHAnsi"/>
          <w:b/>
        </w:rPr>
      </w:pPr>
    </w:p>
    <w:p w14:paraId="7E1B38B9" w14:textId="04CD39D1" w:rsidR="00F631B1" w:rsidRDefault="00F631B1" w:rsidP="00F631B1">
      <w:pPr>
        <w:pStyle w:val="NoSpacing"/>
        <w:rPr>
          <w:b/>
        </w:rPr>
      </w:pPr>
    </w:p>
    <w:p w14:paraId="06B5AC63" w14:textId="3F4BA8C7" w:rsidR="00202891" w:rsidRDefault="00202891">
      <w:pPr>
        <w:rPr>
          <w:rFonts w:ascii="Cambria" w:eastAsiaTheme="majorEastAsia" w:hAnsi="Cambria" w:cstheme="majorBidi"/>
          <w:b/>
          <w:sz w:val="36"/>
          <w:szCs w:val="32"/>
        </w:rPr>
      </w:pPr>
      <w:bookmarkStart w:id="28" w:name="_Toc521954591"/>
    </w:p>
    <w:p w14:paraId="755C1CB8" w14:textId="52E873E3" w:rsidR="00F631B1" w:rsidRPr="009A0DA6" w:rsidRDefault="007A331A" w:rsidP="00F631B1">
      <w:pPr>
        <w:pStyle w:val="Heading2"/>
      </w:pPr>
      <w:bookmarkStart w:id="29" w:name="_Toc522394957"/>
      <w:r>
        <w:br w:type="column"/>
      </w:r>
      <w:r w:rsidR="00F631B1" w:rsidRPr="009A0DA6">
        <w:lastRenderedPageBreak/>
        <w:t>Appendix F: Lutheran Archives Department</w:t>
      </w:r>
      <w:bookmarkEnd w:id="28"/>
      <w:bookmarkEnd w:id="29"/>
    </w:p>
    <w:p w14:paraId="69C6C770" w14:textId="77777777" w:rsidR="00F631B1" w:rsidRPr="009A0DA6" w:rsidRDefault="00F631B1" w:rsidP="00F631B1">
      <w:pPr>
        <w:pStyle w:val="NoSpacing"/>
      </w:pPr>
    </w:p>
    <w:p w14:paraId="09DDF2A0" w14:textId="77777777" w:rsidR="00F631B1" w:rsidRPr="009A0DA6" w:rsidRDefault="00F631B1" w:rsidP="00F631B1">
      <w:pPr>
        <w:pStyle w:val="Heading3"/>
      </w:pPr>
      <w:r w:rsidRPr="009A0DA6">
        <w:t>Members of Committee of Lutheran Archives:</w:t>
      </w:r>
    </w:p>
    <w:p w14:paraId="22B19CEC" w14:textId="77777777" w:rsidR="00F631B1" w:rsidRPr="009A0DA6" w:rsidRDefault="00F631B1" w:rsidP="00F631B1">
      <w:pPr>
        <w:spacing w:after="120" w:line="240" w:lineRule="auto"/>
        <w:rPr>
          <w:rFonts w:ascii="Cambria" w:hAnsi="Cambria"/>
        </w:rPr>
      </w:pPr>
      <w:r w:rsidRPr="009A0DA6">
        <w:rPr>
          <w:rFonts w:ascii="Cambria" w:hAnsi="Cambria"/>
        </w:rPr>
        <w:t>Leona Coleman, Larissa Helbig, Ev Leske (Chairperson), Greg Lockwood, Max Stollznow, Lois Zweck, Peter Schirmer (EOC)</w:t>
      </w:r>
    </w:p>
    <w:p w14:paraId="12DDD770" w14:textId="77777777" w:rsidR="00F631B1" w:rsidRPr="009A0DA6" w:rsidRDefault="00F631B1" w:rsidP="00F631B1">
      <w:pPr>
        <w:spacing w:after="120" w:line="240" w:lineRule="auto"/>
        <w:rPr>
          <w:rFonts w:ascii="Cambria" w:hAnsi="Cambria"/>
        </w:rPr>
      </w:pPr>
      <w:r w:rsidRPr="009A0DA6">
        <w:rPr>
          <w:rFonts w:ascii="Cambria" w:hAnsi="Cambria"/>
        </w:rPr>
        <w:t>Consultant: Rachel Kuchel (2015, 2017); Janette Lange (2016)</w:t>
      </w:r>
    </w:p>
    <w:p w14:paraId="639EA506" w14:textId="77777777" w:rsidR="00F631B1" w:rsidRPr="009A0DA6" w:rsidRDefault="00F631B1" w:rsidP="00F631B1">
      <w:pPr>
        <w:pStyle w:val="Heading3"/>
        <w:rPr>
          <w:rFonts w:cs="Arial"/>
          <w:i/>
        </w:rPr>
      </w:pPr>
      <w:r w:rsidRPr="009A0DA6">
        <w:t>Background</w:t>
      </w:r>
    </w:p>
    <w:p w14:paraId="582DC001" w14:textId="77777777" w:rsidR="00F631B1" w:rsidRPr="009A0DA6" w:rsidRDefault="00F631B1" w:rsidP="0069692D">
      <w:pPr>
        <w:spacing w:after="120"/>
        <w:rPr>
          <w:rFonts w:ascii="Cambria" w:hAnsi="Cambria"/>
        </w:rPr>
      </w:pPr>
      <w:r w:rsidRPr="009A0DA6">
        <w:rPr>
          <w:rFonts w:ascii="Cambria" w:hAnsi="Cambria"/>
        </w:rPr>
        <w:t>Lutheran Archives gathers, preserves and tells the story of God’s love coming to life through the Lutherans of our church: the LCA/NZ and the preceding synods. This involves identifying records to be deposited whilst preserving and sharing the records already in the collection; making those records accessible through arrangement and description, translation and digitisation; providing contextual understanding; enabling and disseminating these stories throughout the Lutheran community and beyond.</w:t>
      </w:r>
    </w:p>
    <w:p w14:paraId="6E2BC49F" w14:textId="77777777" w:rsidR="00F631B1" w:rsidRPr="009A0DA6" w:rsidRDefault="00F631B1" w:rsidP="00F631B1">
      <w:pPr>
        <w:pStyle w:val="Heading3"/>
      </w:pPr>
      <w:r w:rsidRPr="009A0DA6">
        <w:t>Achievement against Plan</w:t>
      </w:r>
    </w:p>
    <w:p w14:paraId="2022F4EF" w14:textId="77777777" w:rsidR="00F631B1" w:rsidRPr="009A0DA6" w:rsidRDefault="00F631B1" w:rsidP="00F631B1">
      <w:pPr>
        <w:pStyle w:val="Subtitle"/>
      </w:pPr>
      <w:r w:rsidRPr="009A0DA6">
        <w:t>Preservation Projects</w:t>
      </w:r>
    </w:p>
    <w:p w14:paraId="781B4153" w14:textId="77777777" w:rsidR="00F631B1" w:rsidRPr="00202891" w:rsidRDefault="00F631B1" w:rsidP="00F55252">
      <w:pPr>
        <w:pStyle w:val="ListParagraph"/>
        <w:numPr>
          <w:ilvl w:val="0"/>
          <w:numId w:val="46"/>
        </w:numPr>
        <w:spacing w:after="0" w:line="240" w:lineRule="auto"/>
        <w:ind w:left="567" w:hanging="567"/>
        <w:rPr>
          <w:rFonts w:ascii="Cambria" w:hAnsi="Cambria" w:cs="Arial"/>
          <w:sz w:val="10"/>
        </w:rPr>
      </w:pPr>
      <w:r w:rsidRPr="009A0DA6">
        <w:rPr>
          <w:rFonts w:ascii="Cambria" w:hAnsi="Cambria" w:cs="Arial"/>
        </w:rPr>
        <w:t>Digitisation of the 8mm and 16mm film collection: 95% of the collection has been digitised; working towards Stage 2 of providing access to the digitised films through an online portal.</w:t>
      </w:r>
      <w:r w:rsidRPr="009A0DA6">
        <w:rPr>
          <w:rFonts w:ascii="Cambria" w:hAnsi="Cambria" w:cs="Arial"/>
        </w:rPr>
        <w:br/>
      </w:r>
    </w:p>
    <w:p w14:paraId="48A5F873" w14:textId="77777777" w:rsidR="00F631B1" w:rsidRPr="00202891" w:rsidRDefault="00F631B1" w:rsidP="00F55252">
      <w:pPr>
        <w:pStyle w:val="ListParagraph"/>
        <w:numPr>
          <w:ilvl w:val="0"/>
          <w:numId w:val="46"/>
        </w:numPr>
        <w:spacing w:after="0" w:line="240" w:lineRule="auto"/>
        <w:ind w:left="567" w:hanging="567"/>
        <w:rPr>
          <w:rFonts w:ascii="Cambria" w:hAnsi="Cambria" w:cs="Arial"/>
          <w:sz w:val="10"/>
        </w:rPr>
      </w:pPr>
      <w:r w:rsidRPr="009A0DA6">
        <w:rPr>
          <w:rFonts w:ascii="Cambria" w:hAnsi="Cambria" w:cs="Arial"/>
        </w:rPr>
        <w:t>Immanuel Synod pressed-letter correspondence books: stage 1: these have been stabilised through funds from a Community Heritage Grant; stage 2: funds have been obtained from NSW District for the purchase of an overhead cradle-bed scanner to safely digitise the books to preservation standards; once digitised they can be transcribed and translated.</w:t>
      </w:r>
      <w:r w:rsidRPr="009A0DA6">
        <w:rPr>
          <w:rFonts w:ascii="Cambria" w:hAnsi="Cambria" w:cs="Arial"/>
        </w:rPr>
        <w:br/>
      </w:r>
    </w:p>
    <w:p w14:paraId="223931D1" w14:textId="77777777" w:rsidR="00F631B1" w:rsidRPr="00202891" w:rsidRDefault="00F631B1" w:rsidP="00F55252">
      <w:pPr>
        <w:pStyle w:val="ListParagraph"/>
        <w:numPr>
          <w:ilvl w:val="0"/>
          <w:numId w:val="46"/>
        </w:numPr>
        <w:spacing w:after="0" w:line="240" w:lineRule="auto"/>
        <w:ind w:left="567" w:hanging="567"/>
        <w:rPr>
          <w:rFonts w:ascii="Cambria" w:hAnsi="Cambria" w:cs="Arial"/>
          <w:sz w:val="10"/>
        </w:rPr>
      </w:pPr>
      <w:r w:rsidRPr="009A0DA6">
        <w:rPr>
          <w:rFonts w:ascii="Cambria" w:hAnsi="Cambria" w:cs="Arial"/>
        </w:rPr>
        <w:t xml:space="preserve">Photographic collection: a preservation quality scanner was purchased in 2015 with assistance from a </w:t>
      </w:r>
      <w:r w:rsidRPr="009A0DA6">
        <w:rPr>
          <w:rFonts w:ascii="Cambria" w:hAnsi="Cambria" w:cs="Arial"/>
          <w:i/>
        </w:rPr>
        <w:t>Special Ministry</w:t>
      </w:r>
      <w:r w:rsidRPr="009A0DA6">
        <w:rPr>
          <w:rFonts w:ascii="Cambria" w:hAnsi="Cambria" w:cs="Arial"/>
        </w:rPr>
        <w:t xml:space="preserve"> grant enabling us to commence systematic digitisation of 24,000 catalogued photographs, including introduction of workflows for on-demand digitisation; external funds from the Ceduna Aboriginal Corporation were obtained to digitise images of Koonibba Mission SA.</w:t>
      </w:r>
      <w:r w:rsidRPr="009A0DA6">
        <w:rPr>
          <w:rFonts w:ascii="Cambria" w:hAnsi="Cambria" w:cs="Arial"/>
        </w:rPr>
        <w:br/>
      </w:r>
    </w:p>
    <w:p w14:paraId="0738D0D5" w14:textId="77777777" w:rsidR="00F631B1" w:rsidRPr="009A0DA6" w:rsidRDefault="00F631B1" w:rsidP="00F55252">
      <w:pPr>
        <w:pStyle w:val="ListParagraph"/>
        <w:numPr>
          <w:ilvl w:val="0"/>
          <w:numId w:val="46"/>
        </w:numPr>
        <w:spacing w:after="0" w:line="240" w:lineRule="auto"/>
        <w:ind w:left="567" w:hanging="567"/>
        <w:rPr>
          <w:rFonts w:ascii="Cambria" w:hAnsi="Cambria" w:cs="Arial"/>
        </w:rPr>
      </w:pPr>
      <w:r w:rsidRPr="009A0DA6">
        <w:rPr>
          <w:rFonts w:ascii="Cambria" w:hAnsi="Cambria" w:cs="Arial"/>
        </w:rPr>
        <w:t>Deposit of records: continual depositing of records by congregations, departments, auxiliaries and individuals enables the church, through the Archives, to manage and preserve these records. We continue to educate groups as to our services.</w:t>
      </w:r>
    </w:p>
    <w:p w14:paraId="29B02DCF" w14:textId="77777777" w:rsidR="00F631B1" w:rsidRPr="00202891" w:rsidRDefault="00F631B1" w:rsidP="00F631B1">
      <w:pPr>
        <w:spacing w:after="0" w:line="240" w:lineRule="auto"/>
        <w:rPr>
          <w:rFonts w:ascii="Cambria" w:hAnsi="Cambria" w:cs="Arial"/>
          <w:sz w:val="12"/>
        </w:rPr>
      </w:pPr>
    </w:p>
    <w:p w14:paraId="66DA1B0A" w14:textId="77777777" w:rsidR="00F631B1" w:rsidRPr="009A0DA6" w:rsidRDefault="00F631B1" w:rsidP="00F631B1">
      <w:pPr>
        <w:pStyle w:val="Subtitle"/>
        <w:rPr>
          <w:rFonts w:cstheme="majorBidi"/>
        </w:rPr>
      </w:pPr>
      <w:r w:rsidRPr="009A0DA6">
        <w:t>To make accessible the records of the collection</w:t>
      </w:r>
    </w:p>
    <w:p w14:paraId="584C3B5A" w14:textId="77777777" w:rsidR="00F631B1" w:rsidRPr="009A0DA6" w:rsidRDefault="00F631B1" w:rsidP="00F55252">
      <w:pPr>
        <w:pStyle w:val="ListParagraph"/>
        <w:numPr>
          <w:ilvl w:val="0"/>
          <w:numId w:val="47"/>
        </w:numPr>
        <w:spacing w:after="0" w:line="240" w:lineRule="auto"/>
        <w:ind w:left="567" w:hanging="567"/>
        <w:rPr>
          <w:rFonts w:ascii="Cambria" w:hAnsi="Cambria" w:cs="Arial"/>
          <w:sz w:val="10"/>
        </w:rPr>
      </w:pPr>
      <w:r w:rsidRPr="009A0DA6">
        <w:rPr>
          <w:rFonts w:ascii="Cambria" w:hAnsi="Cambria" w:cs="Arial"/>
        </w:rPr>
        <w:t xml:space="preserve">Interactive and searchable website: this project had to be put on hold as other projects, such as the installation of compactus shelving and 50:500 celebrations took precedence. </w:t>
      </w:r>
      <w:r w:rsidRPr="009A0DA6">
        <w:rPr>
          <w:rFonts w:ascii="Cambria" w:hAnsi="Cambria" w:cs="Arial"/>
        </w:rPr>
        <w:br/>
      </w:r>
    </w:p>
    <w:p w14:paraId="7F8DDB09" w14:textId="77777777" w:rsidR="00F631B1" w:rsidRPr="009A0DA6" w:rsidRDefault="00F631B1" w:rsidP="00F55252">
      <w:pPr>
        <w:pStyle w:val="ListParagraph"/>
        <w:numPr>
          <w:ilvl w:val="0"/>
          <w:numId w:val="47"/>
        </w:numPr>
        <w:spacing w:after="0" w:line="240" w:lineRule="auto"/>
        <w:ind w:left="567" w:hanging="567"/>
        <w:rPr>
          <w:rFonts w:ascii="Cambria" w:hAnsi="Cambria" w:cs="Arial"/>
          <w:sz w:val="10"/>
        </w:rPr>
      </w:pPr>
      <w:r w:rsidRPr="009A0DA6">
        <w:rPr>
          <w:rFonts w:ascii="Cambria" w:hAnsi="Cambria" w:cs="Arial"/>
        </w:rPr>
        <w:t xml:space="preserve">Arrangement, description and indexing of records: a project was completed to identify, arrange, describe and index post-WWII migrant records. Indexing of church registers of pastoral acts is an ongoing and continuous project. </w:t>
      </w:r>
      <w:r w:rsidRPr="009A0DA6">
        <w:rPr>
          <w:rFonts w:ascii="Cambria" w:hAnsi="Cambria" w:cs="Arial"/>
        </w:rPr>
        <w:br/>
      </w:r>
    </w:p>
    <w:p w14:paraId="0018E554" w14:textId="77777777" w:rsidR="00F631B1" w:rsidRPr="009A0DA6" w:rsidRDefault="00F631B1" w:rsidP="00F55252">
      <w:pPr>
        <w:pStyle w:val="ListParagraph"/>
        <w:numPr>
          <w:ilvl w:val="0"/>
          <w:numId w:val="47"/>
        </w:numPr>
        <w:spacing w:after="0" w:line="240" w:lineRule="auto"/>
        <w:ind w:left="567" w:hanging="567"/>
        <w:rPr>
          <w:rFonts w:ascii="Cambria" w:hAnsi="Cambria" w:cs="Arial"/>
        </w:rPr>
      </w:pPr>
      <w:r w:rsidRPr="009A0DA6">
        <w:rPr>
          <w:rFonts w:ascii="Cambria" w:hAnsi="Cambria" w:cs="Arial"/>
        </w:rPr>
        <w:t>Development and commencement of a plan to determine priorities for German transcription work.</w:t>
      </w:r>
    </w:p>
    <w:p w14:paraId="56228122" w14:textId="77777777" w:rsidR="00F631B1" w:rsidRPr="00202891" w:rsidRDefault="00F631B1" w:rsidP="00F631B1">
      <w:pPr>
        <w:pStyle w:val="ListParagraph"/>
        <w:spacing w:after="0" w:line="240" w:lineRule="auto"/>
        <w:ind w:left="567"/>
        <w:rPr>
          <w:rFonts w:ascii="Cambria" w:hAnsi="Cambria" w:cs="Arial"/>
          <w:sz w:val="12"/>
        </w:rPr>
      </w:pPr>
    </w:p>
    <w:p w14:paraId="04C0E959" w14:textId="77777777" w:rsidR="00F631B1" w:rsidRPr="009A0DA6" w:rsidRDefault="00F631B1" w:rsidP="00F631B1">
      <w:pPr>
        <w:pStyle w:val="Subtitle"/>
      </w:pPr>
      <w:r w:rsidRPr="009A0DA6">
        <w:t>Connecting people with the church through the Archives</w:t>
      </w:r>
    </w:p>
    <w:p w14:paraId="77C49CF9" w14:textId="77777777" w:rsidR="00F631B1" w:rsidRPr="009A0DA6" w:rsidRDefault="00F631B1" w:rsidP="00F55252">
      <w:pPr>
        <w:pStyle w:val="ListParagraph"/>
        <w:numPr>
          <w:ilvl w:val="0"/>
          <w:numId w:val="48"/>
        </w:numPr>
        <w:spacing w:after="0" w:line="240" w:lineRule="auto"/>
        <w:ind w:left="567" w:hanging="567"/>
        <w:rPr>
          <w:rFonts w:ascii="Cambria" w:hAnsi="Cambria" w:cs="Arial"/>
          <w:b/>
          <w:sz w:val="10"/>
        </w:rPr>
      </w:pPr>
      <w:r w:rsidRPr="009A0DA6">
        <w:rPr>
          <w:rFonts w:ascii="Cambria" w:hAnsi="Cambria" w:cs="Arial"/>
        </w:rPr>
        <w:t xml:space="preserve">Providing access and assistance to researchers, both from within the church and external to the church (academics, linguists, creative artists, individuals, subjects and heirs of records), who encounter the stories of </w:t>
      </w:r>
      <w:r w:rsidRPr="009A0DA6">
        <w:rPr>
          <w:rFonts w:ascii="Cambria" w:hAnsi="Cambria" w:cs="Arial"/>
          <w:i/>
        </w:rPr>
        <w:t>love coming to life</w:t>
      </w:r>
      <w:r w:rsidRPr="009A0DA6">
        <w:rPr>
          <w:rFonts w:ascii="Cambria" w:hAnsi="Cambria" w:cs="Arial"/>
        </w:rPr>
        <w:t xml:space="preserve"> and disseminate these stories in a myriad of ways. </w:t>
      </w:r>
      <w:r w:rsidRPr="009A0DA6">
        <w:rPr>
          <w:rFonts w:ascii="Cambria" w:hAnsi="Cambria" w:cs="Arial"/>
        </w:rPr>
        <w:br/>
      </w:r>
    </w:p>
    <w:p w14:paraId="4CC6EBA6" w14:textId="77777777" w:rsidR="00F631B1" w:rsidRPr="009A0DA6" w:rsidRDefault="00F631B1" w:rsidP="00F55252">
      <w:pPr>
        <w:pStyle w:val="ListParagraph"/>
        <w:numPr>
          <w:ilvl w:val="0"/>
          <w:numId w:val="48"/>
        </w:numPr>
        <w:spacing w:after="0" w:line="240" w:lineRule="auto"/>
        <w:ind w:left="567" w:hanging="567"/>
        <w:rPr>
          <w:rFonts w:ascii="Cambria" w:hAnsi="Cambria" w:cs="Arial"/>
          <w:b/>
        </w:rPr>
      </w:pPr>
      <w:r w:rsidRPr="009A0DA6">
        <w:rPr>
          <w:rFonts w:ascii="Cambria" w:hAnsi="Cambria" w:cs="Arial"/>
        </w:rPr>
        <w:t xml:space="preserve">Publications, orations, seminars, exhibitions, community events all serve to connect people with the church and share of </w:t>
      </w:r>
      <w:r w:rsidRPr="009A0DA6">
        <w:rPr>
          <w:rFonts w:ascii="Cambria" w:hAnsi="Cambria" w:cs="Arial"/>
          <w:i/>
        </w:rPr>
        <w:t>love coming to life</w:t>
      </w:r>
      <w:r w:rsidRPr="009A0DA6">
        <w:rPr>
          <w:rFonts w:ascii="Cambria" w:hAnsi="Cambria" w:cs="Arial"/>
        </w:rPr>
        <w:t xml:space="preserve">: through Friends of Lutheran </w:t>
      </w:r>
      <w:r w:rsidRPr="009A0DA6">
        <w:rPr>
          <w:rFonts w:ascii="Cambria" w:hAnsi="Cambria" w:cs="Arial"/>
        </w:rPr>
        <w:lastRenderedPageBreak/>
        <w:t>Archives and our professional historical, academic and archival network. New networks have been established to further this. We have participated in, and organised, many events within the community.</w:t>
      </w:r>
    </w:p>
    <w:p w14:paraId="064B2E6D" w14:textId="77777777" w:rsidR="00F631B1" w:rsidRPr="00202891" w:rsidRDefault="00F631B1" w:rsidP="00F631B1">
      <w:pPr>
        <w:spacing w:after="0" w:line="240" w:lineRule="auto"/>
        <w:rPr>
          <w:rFonts w:ascii="Cambria" w:hAnsi="Cambria" w:cs="Arial"/>
          <w:b/>
          <w:sz w:val="12"/>
        </w:rPr>
      </w:pPr>
    </w:p>
    <w:p w14:paraId="0D40CD63" w14:textId="77777777" w:rsidR="00F631B1" w:rsidRPr="009A0DA6" w:rsidRDefault="00F631B1" w:rsidP="00F631B1">
      <w:pPr>
        <w:pStyle w:val="Heading3"/>
      </w:pPr>
      <w:r w:rsidRPr="009A0DA6">
        <w:t>Successes</w:t>
      </w:r>
    </w:p>
    <w:p w14:paraId="0A1414E0" w14:textId="77777777" w:rsidR="00F631B1" w:rsidRPr="009A0DA6" w:rsidRDefault="00F631B1" w:rsidP="0069692D">
      <w:pPr>
        <w:pStyle w:val="ListParagraph"/>
        <w:numPr>
          <w:ilvl w:val="0"/>
          <w:numId w:val="49"/>
        </w:numPr>
        <w:spacing w:after="0" w:line="240" w:lineRule="auto"/>
        <w:ind w:left="567" w:hanging="567"/>
        <w:rPr>
          <w:rFonts w:ascii="Cambria" w:hAnsi="Cambria"/>
          <w:sz w:val="10"/>
        </w:rPr>
      </w:pPr>
      <w:r w:rsidRPr="009A0DA6">
        <w:rPr>
          <w:rFonts w:ascii="Cambria" w:hAnsi="Cambria"/>
        </w:rPr>
        <w:t>Funding secured for archival equipment: a preservation level scanner to digitise photographs, and for an overhead cradle-bed scanner to digitise and preserve bound, fragile and large-format works.</w:t>
      </w:r>
      <w:r w:rsidRPr="009A0DA6">
        <w:rPr>
          <w:rFonts w:ascii="Cambria" w:hAnsi="Cambria"/>
        </w:rPr>
        <w:br/>
      </w:r>
    </w:p>
    <w:p w14:paraId="3F719AE9" w14:textId="77777777" w:rsidR="00F631B1" w:rsidRPr="009A0DA6" w:rsidRDefault="00F631B1" w:rsidP="0069692D">
      <w:pPr>
        <w:pStyle w:val="ListParagraph"/>
        <w:numPr>
          <w:ilvl w:val="0"/>
          <w:numId w:val="49"/>
        </w:numPr>
        <w:spacing w:after="0" w:line="240" w:lineRule="auto"/>
        <w:ind w:left="567" w:hanging="567"/>
        <w:rPr>
          <w:rFonts w:ascii="Cambria" w:hAnsi="Cambria"/>
          <w:sz w:val="10"/>
        </w:rPr>
      </w:pPr>
      <w:r w:rsidRPr="009A0DA6">
        <w:rPr>
          <w:rFonts w:ascii="Cambria" w:hAnsi="Cambria"/>
          <w:b/>
        </w:rPr>
        <w:t>Preservation projects:</w:t>
      </w:r>
      <w:r w:rsidRPr="009A0DA6">
        <w:rPr>
          <w:rFonts w:ascii="Cambria" w:hAnsi="Cambria"/>
        </w:rPr>
        <w:t xml:space="preserve"> successful trials in preservation and migration of born-digital records; commenced digitisation of 24,000 catalogued photographs; commenced photographing the artefact collection for identification purposes and use in promotional ventures – eg on website; rehousing of records (congregation records and SA Parish Registers) into archival acid-free enclosures; conservation and stabilisation of fragile Immanuel Synod letter-press correspondence books (funded through a national Community Heritage grant).</w:t>
      </w:r>
      <w:r w:rsidRPr="009A0DA6">
        <w:rPr>
          <w:rFonts w:ascii="Cambria" w:hAnsi="Cambria"/>
        </w:rPr>
        <w:br/>
      </w:r>
    </w:p>
    <w:p w14:paraId="0450A5B4" w14:textId="77777777" w:rsidR="00F631B1" w:rsidRPr="009A0DA6" w:rsidRDefault="00F631B1" w:rsidP="0069692D">
      <w:pPr>
        <w:pStyle w:val="ListParagraph"/>
        <w:numPr>
          <w:ilvl w:val="0"/>
          <w:numId w:val="50"/>
        </w:numPr>
        <w:spacing w:after="0" w:line="240" w:lineRule="auto"/>
        <w:ind w:left="567" w:hanging="567"/>
        <w:rPr>
          <w:rFonts w:ascii="Cambria" w:hAnsi="Cambria"/>
        </w:rPr>
      </w:pPr>
      <w:r w:rsidRPr="009A0DA6">
        <w:rPr>
          <w:rFonts w:ascii="Cambria" w:hAnsi="Cambria"/>
          <w:b/>
        </w:rPr>
        <w:t>Film digitisation:</w:t>
      </w:r>
      <w:r w:rsidRPr="009A0DA6">
        <w:rPr>
          <w:rFonts w:ascii="Cambria" w:hAnsi="Cambria"/>
        </w:rPr>
        <w:t xml:space="preserve"> digitisation of our collection of 140 8mm and 16mm films (commenced 2015), funded through an LCA ‘Seeds that Sprout’ appeal. 95% of the collection has been digitised (2018) with many donations from individuals, congregations and departments who had not previously supported the Archives, as well as donations from researchers and external organisations who access the collection. </w:t>
      </w:r>
    </w:p>
    <w:p w14:paraId="24F1A1B1" w14:textId="77777777" w:rsidR="00F631B1" w:rsidRPr="009A0DA6" w:rsidRDefault="00F631B1" w:rsidP="0069692D">
      <w:pPr>
        <w:pStyle w:val="ListParagraph"/>
        <w:spacing w:after="0" w:line="240" w:lineRule="auto"/>
        <w:ind w:left="567"/>
        <w:rPr>
          <w:rFonts w:ascii="Cambria" w:hAnsi="Cambria"/>
          <w:sz w:val="10"/>
        </w:rPr>
      </w:pPr>
      <w:r w:rsidRPr="009A0DA6">
        <w:rPr>
          <w:rFonts w:ascii="Cambria" w:hAnsi="Cambria"/>
        </w:rPr>
        <w:t>The appeal successfully generated awareness of the collection and the role of the Archives. More films have been deposited as a result. The digitised films have already been utilised by members of the public in news stories (SBS), on Compass and Backroads (ABC), and in the production of films by private film makers (The Namatjira Project, and The Song Keepers), as well as at church events (eg 50:500 celebrations), and by individual congregations.</w:t>
      </w:r>
      <w:r w:rsidRPr="009A0DA6">
        <w:rPr>
          <w:rFonts w:ascii="Cambria" w:hAnsi="Cambria"/>
        </w:rPr>
        <w:br/>
      </w:r>
    </w:p>
    <w:p w14:paraId="64D4B8B9" w14:textId="77777777" w:rsidR="00F631B1" w:rsidRPr="009A0DA6" w:rsidRDefault="00F631B1" w:rsidP="0069692D">
      <w:pPr>
        <w:pStyle w:val="ListParagraph"/>
        <w:numPr>
          <w:ilvl w:val="0"/>
          <w:numId w:val="51"/>
        </w:numPr>
        <w:spacing w:after="0" w:line="240" w:lineRule="auto"/>
        <w:ind w:left="567" w:hanging="567"/>
        <w:rPr>
          <w:rFonts w:ascii="Cambria" w:hAnsi="Cambria"/>
          <w:sz w:val="10"/>
        </w:rPr>
      </w:pPr>
      <w:r w:rsidRPr="009A0DA6">
        <w:rPr>
          <w:rFonts w:ascii="Cambria" w:hAnsi="Cambria"/>
        </w:rPr>
        <w:t xml:space="preserve">Expansion of repository storage facilities with the installation of 72 bays of compactus shelving, and projects to manage the storage and facilitate access to the back-log of deposited but un-accessioned records. </w:t>
      </w:r>
      <w:r w:rsidRPr="009A0DA6">
        <w:rPr>
          <w:rFonts w:ascii="Cambria" w:hAnsi="Cambria"/>
        </w:rPr>
        <w:br/>
      </w:r>
    </w:p>
    <w:p w14:paraId="4FBF7E9A" w14:textId="77777777" w:rsidR="00F631B1" w:rsidRPr="009A0DA6" w:rsidRDefault="00F631B1" w:rsidP="0069692D">
      <w:pPr>
        <w:pStyle w:val="ListParagraph"/>
        <w:numPr>
          <w:ilvl w:val="0"/>
          <w:numId w:val="51"/>
        </w:numPr>
        <w:spacing w:after="0" w:line="240" w:lineRule="auto"/>
        <w:ind w:left="567" w:hanging="567"/>
        <w:rPr>
          <w:rFonts w:ascii="Cambria" w:hAnsi="Cambria"/>
          <w:sz w:val="10"/>
        </w:rPr>
      </w:pPr>
      <w:r w:rsidRPr="009A0DA6">
        <w:rPr>
          <w:rFonts w:ascii="Cambria" w:hAnsi="Cambria"/>
        </w:rPr>
        <w:t>Digitisation and repatriation of Koonibba Mission photographs and films to Ceduna Aboriginal Corporation, Far West Language Centre, and Koonibba community.</w:t>
      </w:r>
      <w:r w:rsidRPr="009A0DA6">
        <w:rPr>
          <w:rFonts w:ascii="Cambria" w:hAnsi="Cambria"/>
        </w:rPr>
        <w:br/>
      </w:r>
    </w:p>
    <w:p w14:paraId="0068BB48" w14:textId="77777777" w:rsidR="00F631B1" w:rsidRPr="009A0DA6" w:rsidRDefault="00F631B1" w:rsidP="0069692D">
      <w:pPr>
        <w:pStyle w:val="ListParagraph"/>
        <w:numPr>
          <w:ilvl w:val="0"/>
          <w:numId w:val="51"/>
        </w:numPr>
        <w:spacing w:after="0" w:line="240" w:lineRule="auto"/>
        <w:ind w:left="567" w:hanging="567"/>
        <w:rPr>
          <w:rFonts w:ascii="Cambria" w:hAnsi="Cambria"/>
          <w:sz w:val="10"/>
        </w:rPr>
      </w:pPr>
      <w:r w:rsidRPr="009A0DA6">
        <w:rPr>
          <w:rFonts w:ascii="Cambria" w:hAnsi="Cambria"/>
        </w:rPr>
        <w:t xml:space="preserve">Exploration of a significant project to digitise and repatriate copies of Qld mission records to the Wujal Wujal and Hope Vale communities. The project, facilitated by the State Library of Queensland, included a very successful scoping and relationship-building visit in 2017 by traditional Wujal Wujal owners. </w:t>
      </w:r>
      <w:r w:rsidRPr="009A0DA6">
        <w:rPr>
          <w:rFonts w:ascii="Cambria" w:hAnsi="Cambria"/>
        </w:rPr>
        <w:br/>
      </w:r>
    </w:p>
    <w:p w14:paraId="4CE56AC2" w14:textId="77777777" w:rsidR="00F631B1" w:rsidRPr="009A0DA6" w:rsidRDefault="00F631B1" w:rsidP="0069692D">
      <w:pPr>
        <w:pStyle w:val="ListParagraph"/>
        <w:numPr>
          <w:ilvl w:val="0"/>
          <w:numId w:val="51"/>
        </w:numPr>
        <w:spacing w:after="0" w:line="240" w:lineRule="auto"/>
        <w:ind w:left="567" w:hanging="567"/>
        <w:rPr>
          <w:rFonts w:ascii="Cambria" w:hAnsi="Cambria"/>
          <w:sz w:val="10"/>
        </w:rPr>
      </w:pPr>
      <w:r w:rsidRPr="009A0DA6">
        <w:rPr>
          <w:rFonts w:ascii="Cambria" w:hAnsi="Cambria"/>
        </w:rPr>
        <w:t>Development of new relationships: Bonegilla Migrant Centre; and German-Australian Genealogy &amp; History Alliance. Continued collaboration with numerous other public research and historical organisations.</w:t>
      </w:r>
      <w:r w:rsidRPr="009A0DA6">
        <w:rPr>
          <w:rFonts w:ascii="Cambria" w:hAnsi="Cambria"/>
        </w:rPr>
        <w:br/>
      </w:r>
    </w:p>
    <w:p w14:paraId="183D77C3" w14:textId="77777777" w:rsidR="00F631B1" w:rsidRPr="009A0DA6" w:rsidRDefault="00F631B1" w:rsidP="0069692D">
      <w:pPr>
        <w:pStyle w:val="ListParagraph"/>
        <w:numPr>
          <w:ilvl w:val="0"/>
          <w:numId w:val="51"/>
        </w:numPr>
        <w:spacing w:after="0" w:line="240" w:lineRule="auto"/>
        <w:ind w:left="567" w:hanging="567"/>
        <w:rPr>
          <w:rFonts w:ascii="Cambria" w:hAnsi="Cambria"/>
          <w:sz w:val="10"/>
          <w:szCs w:val="10"/>
        </w:rPr>
      </w:pPr>
      <w:r w:rsidRPr="009A0DA6">
        <w:rPr>
          <w:rFonts w:ascii="Cambria" w:hAnsi="Cambria"/>
        </w:rPr>
        <w:t>Successful project to arrange, describe and index post-WWII Migrant records, funded by a donation from Dr HFW Proeve on behalf of the former Warradale Migrant Congregation.</w:t>
      </w:r>
      <w:r w:rsidRPr="009A0DA6">
        <w:rPr>
          <w:rFonts w:ascii="Cambria" w:hAnsi="Cambria"/>
        </w:rPr>
        <w:br/>
      </w:r>
    </w:p>
    <w:p w14:paraId="09282931" w14:textId="77777777" w:rsidR="00F631B1" w:rsidRPr="009A0DA6" w:rsidRDefault="00F631B1" w:rsidP="0069692D">
      <w:pPr>
        <w:pStyle w:val="ListParagraph"/>
        <w:numPr>
          <w:ilvl w:val="0"/>
          <w:numId w:val="51"/>
        </w:numPr>
        <w:spacing w:after="0" w:line="240" w:lineRule="auto"/>
        <w:ind w:left="567" w:hanging="567"/>
        <w:rPr>
          <w:rFonts w:ascii="Cambria" w:hAnsi="Cambria"/>
          <w:sz w:val="10"/>
          <w:szCs w:val="10"/>
        </w:rPr>
      </w:pPr>
      <w:r w:rsidRPr="009A0DA6">
        <w:rPr>
          <w:rFonts w:ascii="Cambria" w:hAnsi="Cambria"/>
        </w:rPr>
        <w:t>Excellent provision of services to researchers. Researchers who use our records encounter and disseminate the stories of God’s love through their research projects and publications.</w:t>
      </w:r>
      <w:r w:rsidRPr="009A0DA6">
        <w:rPr>
          <w:rFonts w:ascii="Cambria" w:hAnsi="Cambria"/>
        </w:rPr>
        <w:br/>
      </w:r>
    </w:p>
    <w:p w14:paraId="64C0FCDD" w14:textId="77777777" w:rsidR="00F631B1" w:rsidRPr="009A0DA6" w:rsidRDefault="00F631B1" w:rsidP="0069692D">
      <w:pPr>
        <w:pStyle w:val="ListParagraph"/>
        <w:numPr>
          <w:ilvl w:val="0"/>
          <w:numId w:val="51"/>
        </w:numPr>
        <w:spacing w:after="0" w:line="240" w:lineRule="auto"/>
        <w:ind w:left="567" w:hanging="567"/>
        <w:rPr>
          <w:rFonts w:ascii="Cambria" w:hAnsi="Cambria"/>
          <w:sz w:val="10"/>
          <w:szCs w:val="10"/>
        </w:rPr>
      </w:pPr>
      <w:r w:rsidRPr="009A0DA6">
        <w:rPr>
          <w:rFonts w:ascii="Cambria" w:hAnsi="Cambria"/>
        </w:rPr>
        <w:t xml:space="preserve">Active promotion and education within the Lutheran community of the Archives and its role – the use of archives as ministry. </w:t>
      </w:r>
      <w:r w:rsidRPr="009A0DA6">
        <w:rPr>
          <w:rFonts w:ascii="Cambria" w:hAnsi="Cambria"/>
        </w:rPr>
        <w:br/>
      </w:r>
    </w:p>
    <w:p w14:paraId="5AB18FBD" w14:textId="77777777" w:rsidR="00F631B1" w:rsidRPr="009A0DA6" w:rsidRDefault="00F631B1" w:rsidP="0069692D">
      <w:pPr>
        <w:pStyle w:val="ListParagraph"/>
        <w:numPr>
          <w:ilvl w:val="0"/>
          <w:numId w:val="51"/>
        </w:numPr>
        <w:spacing w:after="0" w:line="240" w:lineRule="auto"/>
        <w:ind w:left="567" w:hanging="567"/>
        <w:rPr>
          <w:rFonts w:ascii="Cambria" w:hAnsi="Cambria"/>
          <w:sz w:val="10"/>
          <w:szCs w:val="10"/>
        </w:rPr>
      </w:pPr>
      <w:r w:rsidRPr="009A0DA6">
        <w:rPr>
          <w:rFonts w:ascii="Cambria" w:hAnsi="Cambria"/>
        </w:rPr>
        <w:t xml:space="preserve">Providing a positive connection point for the public with the church through 1) connecting individuals with their personal stories and 2) sharing stories of ‘Love coming to Life’ at community events. </w:t>
      </w:r>
      <w:r w:rsidRPr="009A0DA6">
        <w:rPr>
          <w:rFonts w:ascii="Cambria" w:hAnsi="Cambria"/>
        </w:rPr>
        <w:br/>
      </w:r>
    </w:p>
    <w:p w14:paraId="68E41D40" w14:textId="77777777" w:rsidR="00F631B1" w:rsidRPr="009A0DA6" w:rsidRDefault="00F631B1" w:rsidP="0069692D">
      <w:pPr>
        <w:pStyle w:val="ListParagraph"/>
        <w:numPr>
          <w:ilvl w:val="0"/>
          <w:numId w:val="51"/>
        </w:numPr>
        <w:spacing w:after="0" w:line="240" w:lineRule="auto"/>
        <w:ind w:left="567" w:hanging="567"/>
        <w:rPr>
          <w:rFonts w:ascii="Cambria" w:hAnsi="Cambria"/>
          <w:i/>
          <w:sz w:val="10"/>
          <w:szCs w:val="10"/>
        </w:rPr>
      </w:pPr>
      <w:r w:rsidRPr="009A0DA6">
        <w:rPr>
          <w:rFonts w:ascii="Cambria" w:hAnsi="Cambria"/>
        </w:rPr>
        <w:lastRenderedPageBreak/>
        <w:t>50</w:t>
      </w:r>
      <w:r w:rsidRPr="009A0DA6">
        <w:rPr>
          <w:rFonts w:ascii="Cambria" w:hAnsi="Cambria"/>
          <w:vertAlign w:val="superscript"/>
        </w:rPr>
        <w:t>th</w:t>
      </w:r>
      <w:r w:rsidRPr="009A0DA6">
        <w:rPr>
          <w:rFonts w:ascii="Cambria" w:hAnsi="Cambria"/>
        </w:rPr>
        <w:t xml:space="preserve"> anniversary of the LCA: commemorative events at General Pastors Conference 2015; school student research competition re LCA formation;  talks at Women’s guilds and congregations, audio-visual presentation at Friends of Lutheran Archives; Yearbook article, article in </w:t>
      </w:r>
      <w:r w:rsidRPr="009A0DA6">
        <w:rPr>
          <w:rFonts w:ascii="Cambria" w:hAnsi="Cambria"/>
          <w:i/>
        </w:rPr>
        <w:t>The Lutheran</w:t>
      </w:r>
      <w:r w:rsidRPr="009A0DA6">
        <w:rPr>
          <w:rFonts w:ascii="Cambria" w:hAnsi="Cambria"/>
        </w:rPr>
        <w:t xml:space="preserve">. </w:t>
      </w:r>
      <w:r w:rsidRPr="009A0DA6">
        <w:rPr>
          <w:rFonts w:ascii="Cambria" w:hAnsi="Cambria"/>
        </w:rPr>
        <w:br/>
      </w:r>
    </w:p>
    <w:p w14:paraId="1243070E" w14:textId="77777777" w:rsidR="00F631B1" w:rsidRPr="009A0DA6" w:rsidRDefault="00F631B1" w:rsidP="0069692D">
      <w:pPr>
        <w:pStyle w:val="ListParagraph"/>
        <w:numPr>
          <w:ilvl w:val="0"/>
          <w:numId w:val="51"/>
        </w:numPr>
        <w:spacing w:after="0" w:line="240" w:lineRule="auto"/>
        <w:ind w:left="567" w:hanging="567"/>
        <w:rPr>
          <w:rFonts w:ascii="Cambria" w:hAnsi="Cambria"/>
          <w:sz w:val="10"/>
          <w:szCs w:val="10"/>
        </w:rPr>
      </w:pPr>
      <w:r w:rsidRPr="009A0DA6">
        <w:rPr>
          <w:rFonts w:ascii="Cambria" w:hAnsi="Cambria"/>
        </w:rPr>
        <w:t>500</w:t>
      </w:r>
      <w:r w:rsidRPr="009A0DA6">
        <w:rPr>
          <w:rFonts w:ascii="Cambria" w:hAnsi="Cambria"/>
          <w:vertAlign w:val="superscript"/>
        </w:rPr>
        <w:t>th</w:t>
      </w:r>
      <w:r w:rsidRPr="009A0DA6">
        <w:rPr>
          <w:rFonts w:ascii="Cambria" w:hAnsi="Cambria"/>
        </w:rPr>
        <w:t xml:space="preserve"> anniversary of the Reformation in 2017: exploration of the theme ‘Luther’s Legacy in Australia’ through the curation of a year-long exhibition at Lutheran Archives; articles in </w:t>
      </w:r>
      <w:r w:rsidRPr="009A0DA6">
        <w:rPr>
          <w:rFonts w:ascii="Cambria" w:hAnsi="Cambria"/>
          <w:i/>
        </w:rPr>
        <w:t>The Lutheran</w:t>
      </w:r>
      <w:r w:rsidRPr="009A0DA6">
        <w:rPr>
          <w:rFonts w:ascii="Cambria" w:hAnsi="Cambria"/>
        </w:rPr>
        <w:t xml:space="preserve"> and curation of a 1-day seminar</w:t>
      </w:r>
      <w:r w:rsidRPr="009A0DA6">
        <w:rPr>
          <w:rFonts w:ascii="Cambria" w:hAnsi="Cambria"/>
          <w:i/>
        </w:rPr>
        <w:t xml:space="preserve">. </w:t>
      </w:r>
      <w:r w:rsidRPr="009A0DA6">
        <w:rPr>
          <w:rFonts w:ascii="Cambria" w:hAnsi="Cambria"/>
        </w:rPr>
        <w:t>Two travelling exhibitions were curated for the joint Anglican-Lutheran celebrations in Canberra and the Catholic-Lutheran celebrations in Adelaide, and items were loaned to external organisations for exhibitions.</w:t>
      </w:r>
      <w:r w:rsidRPr="009A0DA6">
        <w:rPr>
          <w:rFonts w:ascii="Cambria" w:hAnsi="Cambria"/>
        </w:rPr>
        <w:br/>
      </w:r>
      <w:r w:rsidRPr="009A0DA6">
        <w:rPr>
          <w:rFonts w:ascii="Cambria" w:hAnsi="Cambria"/>
          <w:sz w:val="10"/>
          <w:szCs w:val="10"/>
        </w:rPr>
        <w:t xml:space="preserve">   </w:t>
      </w:r>
    </w:p>
    <w:p w14:paraId="30725FA8" w14:textId="77777777" w:rsidR="00F631B1" w:rsidRPr="009A0DA6" w:rsidRDefault="00F631B1" w:rsidP="0069692D">
      <w:pPr>
        <w:pStyle w:val="ListParagraph"/>
        <w:numPr>
          <w:ilvl w:val="0"/>
          <w:numId w:val="51"/>
        </w:numPr>
        <w:spacing w:after="0" w:line="240" w:lineRule="auto"/>
        <w:ind w:left="567" w:hanging="567"/>
        <w:rPr>
          <w:rFonts w:ascii="Cambria" w:hAnsi="Cambria"/>
          <w:sz w:val="10"/>
          <w:szCs w:val="10"/>
        </w:rPr>
      </w:pPr>
      <w:r w:rsidRPr="009A0DA6">
        <w:rPr>
          <w:rFonts w:ascii="Cambria" w:hAnsi="Cambria"/>
        </w:rPr>
        <w:t>Volunteer support: an average of 18 volunteers give their time and skills to the Archives each week, equating to an extra 22 days of work per week, or the equivalent of 4.5 employees. Five additional volunteers transcribe documents at home - this input is not reflected in these figures.</w:t>
      </w:r>
      <w:r w:rsidRPr="009A0DA6">
        <w:rPr>
          <w:rFonts w:ascii="Cambria" w:hAnsi="Cambria"/>
        </w:rPr>
        <w:br/>
      </w:r>
    </w:p>
    <w:p w14:paraId="2ECC7305" w14:textId="77777777" w:rsidR="00F631B1" w:rsidRPr="009A0DA6" w:rsidRDefault="00F631B1" w:rsidP="0069692D">
      <w:pPr>
        <w:pStyle w:val="ListParagraph"/>
        <w:numPr>
          <w:ilvl w:val="0"/>
          <w:numId w:val="51"/>
        </w:numPr>
        <w:spacing w:after="0" w:line="240" w:lineRule="auto"/>
        <w:ind w:left="567" w:hanging="567"/>
        <w:rPr>
          <w:rFonts w:ascii="Cambria" w:hAnsi="Cambria"/>
        </w:rPr>
      </w:pPr>
      <w:r w:rsidRPr="009A0DA6">
        <w:rPr>
          <w:rFonts w:ascii="Cambria" w:hAnsi="Cambria"/>
        </w:rPr>
        <w:t xml:space="preserve">Staffing: Janette Lange as Acting Director for 2016 whilst Rachel Kuchel was on parenting-leave means two staff now have director experience; employment of archivists Danna Slessor-Cobb for the year of 2016, and Adam Kauschke for 2017 and 2018 has augmented our skills pool with experience from other Archives systems (Canada and State Records). 2017 saw the number of employees expand from 2 to 3, better reflecting the requirements of the actual workload. </w:t>
      </w:r>
    </w:p>
    <w:p w14:paraId="74654920" w14:textId="77777777" w:rsidR="00F631B1" w:rsidRPr="009A0DA6" w:rsidRDefault="00F631B1" w:rsidP="0069692D">
      <w:pPr>
        <w:pStyle w:val="ListParagraph"/>
        <w:spacing w:after="0" w:line="240" w:lineRule="auto"/>
        <w:ind w:left="567"/>
        <w:rPr>
          <w:rFonts w:ascii="Cambria" w:hAnsi="Cambria"/>
          <w:sz w:val="10"/>
          <w:szCs w:val="10"/>
        </w:rPr>
      </w:pPr>
    </w:p>
    <w:p w14:paraId="6CB3474F" w14:textId="21C61893" w:rsidR="00F631B1" w:rsidRPr="00202891" w:rsidRDefault="00F631B1" w:rsidP="0069692D">
      <w:pPr>
        <w:pStyle w:val="ListParagraph"/>
        <w:numPr>
          <w:ilvl w:val="0"/>
          <w:numId w:val="51"/>
        </w:numPr>
        <w:spacing w:after="0" w:line="240" w:lineRule="auto"/>
        <w:ind w:left="567" w:hanging="567"/>
        <w:rPr>
          <w:rFonts w:ascii="Cambria" w:hAnsi="Cambria"/>
          <w:sz w:val="12"/>
        </w:rPr>
      </w:pPr>
      <w:r w:rsidRPr="009A0DA6">
        <w:rPr>
          <w:rFonts w:ascii="Cambria" w:hAnsi="Cambria"/>
        </w:rPr>
        <w:t>Smooth transition of Board of Lutheran Archives to the Committee of Lutheran Archives, and support and collaboration from the EOC team at National Office.</w:t>
      </w:r>
      <w:r w:rsidR="00202891">
        <w:rPr>
          <w:rFonts w:ascii="Cambria" w:hAnsi="Cambria"/>
        </w:rPr>
        <w:br/>
      </w:r>
    </w:p>
    <w:p w14:paraId="34C3971D" w14:textId="77777777" w:rsidR="00F631B1" w:rsidRPr="009A0DA6" w:rsidRDefault="00F631B1" w:rsidP="00202891">
      <w:pPr>
        <w:pStyle w:val="Heading3"/>
        <w:spacing w:after="0"/>
      </w:pPr>
      <w:r w:rsidRPr="009A0DA6">
        <w:t>Challenges and Lessons Learned</w:t>
      </w:r>
    </w:p>
    <w:p w14:paraId="4E88FF49" w14:textId="77777777" w:rsidR="00F631B1" w:rsidRPr="009A0DA6" w:rsidRDefault="00F631B1" w:rsidP="00202891">
      <w:pPr>
        <w:pStyle w:val="ListParagraph"/>
        <w:numPr>
          <w:ilvl w:val="0"/>
          <w:numId w:val="52"/>
        </w:numPr>
        <w:spacing w:after="0" w:line="240" w:lineRule="auto"/>
        <w:ind w:left="567" w:hanging="567"/>
        <w:rPr>
          <w:rFonts w:ascii="Cambria" w:hAnsi="Cambria"/>
          <w:sz w:val="10"/>
        </w:rPr>
      </w:pPr>
      <w:r w:rsidRPr="009A0DA6">
        <w:rPr>
          <w:rFonts w:ascii="Cambria" w:hAnsi="Cambria"/>
          <w:b/>
        </w:rPr>
        <w:t>Accessibility issues</w:t>
      </w:r>
      <w:r w:rsidRPr="009A0DA6">
        <w:rPr>
          <w:rFonts w:ascii="Cambria" w:hAnsi="Cambria"/>
        </w:rPr>
        <w:t>: German language; general expectation that we will digitise all records – yet our primary focus needs to be on transcription, translation and description of the records; back-log of accessioning with un-accessioned records already requested for access by researchers; born-digital records – ensuring their accessibility beyond the redundancy of their technological medium; requests from remote communities for access to their records (eg mission records).</w:t>
      </w:r>
      <w:r w:rsidRPr="009A0DA6">
        <w:rPr>
          <w:rFonts w:ascii="Cambria" w:hAnsi="Cambria"/>
        </w:rPr>
        <w:br/>
      </w:r>
    </w:p>
    <w:p w14:paraId="78B685DB" w14:textId="77777777" w:rsidR="00F631B1" w:rsidRPr="009A0DA6" w:rsidRDefault="00F631B1" w:rsidP="0069692D">
      <w:pPr>
        <w:pStyle w:val="ListParagraph"/>
        <w:numPr>
          <w:ilvl w:val="0"/>
          <w:numId w:val="52"/>
        </w:numPr>
        <w:spacing w:after="0" w:line="240" w:lineRule="auto"/>
        <w:ind w:left="567" w:hanging="567"/>
        <w:rPr>
          <w:rFonts w:ascii="Cambria" w:hAnsi="Cambria"/>
          <w:sz w:val="10"/>
        </w:rPr>
      </w:pPr>
      <w:r w:rsidRPr="009A0DA6">
        <w:rPr>
          <w:rFonts w:ascii="Cambria" w:hAnsi="Cambria"/>
          <w:b/>
        </w:rPr>
        <w:t>Volunteers:</w:t>
      </w:r>
      <w:r w:rsidRPr="009A0DA6">
        <w:rPr>
          <w:rFonts w:ascii="Cambria" w:hAnsi="Cambria"/>
        </w:rPr>
        <w:t xml:space="preserve"> a challenge to attract volunteers with appropriate skills sets (German, IT competence)</w:t>
      </w:r>
      <w:r w:rsidRPr="009A0DA6">
        <w:rPr>
          <w:rFonts w:ascii="Cambria" w:hAnsi="Cambria"/>
        </w:rPr>
        <w:br/>
      </w:r>
    </w:p>
    <w:p w14:paraId="0D3A29CF" w14:textId="003B7F38" w:rsidR="00F631B1" w:rsidRPr="00202891" w:rsidRDefault="00F631B1" w:rsidP="0069692D">
      <w:pPr>
        <w:pStyle w:val="ListParagraph"/>
        <w:numPr>
          <w:ilvl w:val="0"/>
          <w:numId w:val="52"/>
        </w:numPr>
        <w:spacing w:after="0" w:line="240" w:lineRule="auto"/>
        <w:ind w:left="567" w:hanging="567"/>
        <w:rPr>
          <w:rFonts w:ascii="Cambria" w:hAnsi="Cambria"/>
          <w:b/>
          <w:color w:val="0070C0"/>
          <w:sz w:val="12"/>
        </w:rPr>
      </w:pPr>
      <w:r w:rsidRPr="009A0DA6">
        <w:rPr>
          <w:rFonts w:ascii="Cambria" w:hAnsi="Cambria"/>
          <w:b/>
        </w:rPr>
        <w:t>Funding:</w:t>
      </w:r>
      <w:r w:rsidRPr="009A0DA6">
        <w:rPr>
          <w:rFonts w:ascii="Cambria" w:hAnsi="Cambria"/>
        </w:rPr>
        <w:t xml:space="preserve"> 40% of our budget comes from a grant from the LCA. The remaining 60% comes from donations, fees for services and public grants for projects. It is difficult to raise enough revenue each year to simply maintain the ‘status quo’ of services, cover our operational costs and employee salaries, let alone engage in pro-active preserva</w:t>
      </w:r>
      <w:r w:rsidR="00202891">
        <w:rPr>
          <w:rFonts w:ascii="Cambria" w:hAnsi="Cambria"/>
        </w:rPr>
        <w:t>tion and accessibility projects.</w:t>
      </w:r>
      <w:r w:rsidR="00202891">
        <w:rPr>
          <w:rFonts w:ascii="Cambria" w:hAnsi="Cambria"/>
        </w:rPr>
        <w:br/>
      </w:r>
    </w:p>
    <w:p w14:paraId="0B62986F" w14:textId="77777777" w:rsidR="00F631B1" w:rsidRPr="009A0DA6" w:rsidRDefault="00F631B1" w:rsidP="00202891">
      <w:pPr>
        <w:pStyle w:val="Heading3"/>
        <w:spacing w:after="0"/>
        <w:rPr>
          <w:color w:val="000000" w:themeColor="text1"/>
        </w:rPr>
      </w:pPr>
      <w:r w:rsidRPr="009A0DA6">
        <w:t>Risks</w:t>
      </w:r>
    </w:p>
    <w:p w14:paraId="607E9092" w14:textId="77777777" w:rsidR="00F631B1" w:rsidRPr="00202891" w:rsidRDefault="00F631B1" w:rsidP="00202891">
      <w:pPr>
        <w:pStyle w:val="ListParagraph"/>
        <w:numPr>
          <w:ilvl w:val="0"/>
          <w:numId w:val="52"/>
        </w:numPr>
        <w:spacing w:after="0" w:line="240" w:lineRule="auto"/>
        <w:ind w:left="567" w:hanging="567"/>
        <w:rPr>
          <w:rFonts w:ascii="Cambria" w:hAnsi="Cambria"/>
          <w:sz w:val="4"/>
          <w:szCs w:val="10"/>
        </w:rPr>
      </w:pPr>
      <w:r w:rsidRPr="009A0DA6">
        <w:rPr>
          <w:rFonts w:ascii="Cambria" w:hAnsi="Cambria"/>
          <w:b/>
        </w:rPr>
        <w:t>Records manager for the LCA:</w:t>
      </w:r>
      <w:r w:rsidRPr="009A0DA6">
        <w:rPr>
          <w:rFonts w:ascii="Cambria" w:hAnsi="Cambria"/>
        </w:rPr>
        <w:t xml:space="preserve"> The absence of a records manager employed by the LCA to ensure that all permanent records are being created, captured and preserved, places our church at serious risk.</w:t>
      </w:r>
      <w:r w:rsidRPr="009A0DA6">
        <w:rPr>
          <w:rFonts w:ascii="Cambria" w:hAnsi="Cambria"/>
        </w:rPr>
        <w:br/>
      </w:r>
      <w:r w:rsidRPr="00202891">
        <w:rPr>
          <w:rFonts w:ascii="Cambria" w:hAnsi="Cambria"/>
          <w:sz w:val="16"/>
        </w:rPr>
        <w:t xml:space="preserve"> </w:t>
      </w:r>
    </w:p>
    <w:p w14:paraId="727D1E5B" w14:textId="77777777" w:rsidR="00F631B1" w:rsidRPr="009A0DA6" w:rsidRDefault="00F631B1" w:rsidP="0069692D">
      <w:pPr>
        <w:pStyle w:val="ListParagraph"/>
        <w:numPr>
          <w:ilvl w:val="0"/>
          <w:numId w:val="52"/>
        </w:numPr>
        <w:spacing w:after="0" w:line="240" w:lineRule="auto"/>
        <w:ind w:left="567" w:hanging="567"/>
        <w:rPr>
          <w:rFonts w:ascii="Cambria" w:hAnsi="Cambria"/>
          <w:sz w:val="10"/>
          <w:szCs w:val="10"/>
        </w:rPr>
      </w:pPr>
      <w:r w:rsidRPr="009A0DA6">
        <w:rPr>
          <w:rFonts w:ascii="Cambria" w:hAnsi="Cambria"/>
          <w:b/>
        </w:rPr>
        <w:t>Deposits of records:</w:t>
      </w:r>
      <w:r w:rsidRPr="009A0DA6">
        <w:rPr>
          <w:rFonts w:ascii="Cambria" w:hAnsi="Cambria"/>
        </w:rPr>
        <w:t xml:space="preserve"> the growth of the collection has been discretionary and haphazard as it is </w:t>
      </w:r>
      <w:r w:rsidRPr="009A0DA6">
        <w:rPr>
          <w:rFonts w:ascii="Cambria" w:hAnsi="Cambria"/>
          <w:u w:val="single"/>
        </w:rPr>
        <w:t xml:space="preserve">encouraged </w:t>
      </w:r>
      <w:r w:rsidRPr="009A0DA6">
        <w:rPr>
          <w:rFonts w:ascii="Cambria" w:hAnsi="Cambria"/>
        </w:rPr>
        <w:t xml:space="preserve">but not </w:t>
      </w:r>
      <w:r w:rsidRPr="009A0DA6">
        <w:rPr>
          <w:rFonts w:ascii="Cambria" w:hAnsi="Cambria"/>
          <w:u w:val="single"/>
        </w:rPr>
        <w:t>mandatory</w:t>
      </w:r>
      <w:r w:rsidRPr="009A0DA6">
        <w:rPr>
          <w:rFonts w:ascii="Cambria" w:hAnsi="Cambria"/>
        </w:rPr>
        <w:t xml:space="preserve"> for congregations and departments to deposit records at Lutheran Archives, therefore the stories of some congregations are being preserved for future generations while other congregations retain little or no record of their ministry. We are aware of records held by private individuals or organisations that pertain to the story of the church and its ministries but are not deposited for the benefit of the church. </w:t>
      </w:r>
      <w:r w:rsidRPr="009A0DA6">
        <w:rPr>
          <w:rFonts w:ascii="Cambria" w:hAnsi="Cambria"/>
        </w:rPr>
        <w:br/>
      </w:r>
    </w:p>
    <w:p w14:paraId="450289C9" w14:textId="77777777" w:rsidR="00F631B1" w:rsidRPr="009A0DA6" w:rsidRDefault="00F631B1" w:rsidP="0069692D">
      <w:pPr>
        <w:pStyle w:val="ListParagraph"/>
        <w:numPr>
          <w:ilvl w:val="0"/>
          <w:numId w:val="52"/>
        </w:numPr>
        <w:spacing w:after="0" w:line="240" w:lineRule="auto"/>
        <w:ind w:left="567" w:hanging="567"/>
        <w:rPr>
          <w:rFonts w:ascii="Cambria" w:hAnsi="Cambria"/>
          <w:sz w:val="10"/>
          <w:szCs w:val="10"/>
        </w:rPr>
      </w:pPr>
      <w:r w:rsidRPr="009A0DA6">
        <w:rPr>
          <w:rFonts w:ascii="Cambria" w:hAnsi="Cambria"/>
        </w:rPr>
        <w:t xml:space="preserve">We encourage the depositing of records through consistent promotion of the purpose, use and ministry of the Archives. However, without the mandated authority to require entities to deposit their records, there is a clear lack of targeted education or awareness </w:t>
      </w:r>
      <w:r w:rsidRPr="009A0DA6">
        <w:rPr>
          <w:rFonts w:ascii="Cambria" w:hAnsi="Cambria"/>
        </w:rPr>
        <w:lastRenderedPageBreak/>
        <w:t xml:space="preserve">of the need to create, keep and deposit records. If records are kept within a congregation, the church (through the Archives) has no means of ensuring that the significance of the records is recognised and their future retention is assured, or that the conditions in which they are held fulfil preservation requirements. </w:t>
      </w:r>
      <w:r w:rsidRPr="009A0DA6">
        <w:rPr>
          <w:rFonts w:ascii="Cambria" w:hAnsi="Cambria"/>
        </w:rPr>
        <w:br/>
      </w:r>
    </w:p>
    <w:p w14:paraId="0D6CC042" w14:textId="77777777" w:rsidR="00F631B1" w:rsidRPr="009A0DA6" w:rsidRDefault="00F631B1" w:rsidP="0069692D">
      <w:pPr>
        <w:pStyle w:val="ListParagraph"/>
        <w:numPr>
          <w:ilvl w:val="0"/>
          <w:numId w:val="52"/>
        </w:numPr>
        <w:spacing w:after="0" w:line="240" w:lineRule="auto"/>
        <w:ind w:left="567" w:hanging="567"/>
        <w:rPr>
          <w:rFonts w:ascii="Cambria" w:hAnsi="Cambria"/>
          <w:sz w:val="10"/>
          <w:szCs w:val="10"/>
        </w:rPr>
      </w:pPr>
      <w:r w:rsidRPr="009A0DA6">
        <w:rPr>
          <w:rFonts w:ascii="Cambria" w:hAnsi="Cambria"/>
          <w:b/>
        </w:rPr>
        <w:t>Published material:</w:t>
      </w:r>
      <w:r w:rsidRPr="009A0DA6">
        <w:rPr>
          <w:rFonts w:ascii="Cambria" w:hAnsi="Cambria"/>
        </w:rPr>
        <w:t xml:space="preserve"> A disproportionate amount of deposits are of German books or published material which are not unique archival records. Formal collection and assessment deposits do not currently exist for these types of records, but we are working towards this and to streamlining assessment of these records.</w:t>
      </w:r>
      <w:r w:rsidRPr="009A0DA6">
        <w:rPr>
          <w:rFonts w:ascii="Cambria" w:hAnsi="Cambria"/>
        </w:rPr>
        <w:br/>
      </w:r>
    </w:p>
    <w:p w14:paraId="20186E75" w14:textId="77777777" w:rsidR="00F631B1" w:rsidRPr="00784AE4" w:rsidRDefault="00F631B1" w:rsidP="0069692D">
      <w:pPr>
        <w:pStyle w:val="ListParagraph"/>
        <w:numPr>
          <w:ilvl w:val="0"/>
          <w:numId w:val="52"/>
        </w:numPr>
        <w:spacing w:after="0" w:line="240" w:lineRule="auto"/>
        <w:ind w:left="567" w:hanging="567"/>
        <w:rPr>
          <w:rFonts w:ascii="Cambria" w:hAnsi="Cambria"/>
          <w:sz w:val="10"/>
          <w:szCs w:val="10"/>
        </w:rPr>
      </w:pPr>
      <w:r w:rsidRPr="009A0DA6">
        <w:rPr>
          <w:rFonts w:ascii="Cambria" w:hAnsi="Cambria"/>
          <w:b/>
        </w:rPr>
        <w:t>Disaster Management</w:t>
      </w:r>
      <w:r w:rsidRPr="009A0DA6">
        <w:rPr>
          <w:rFonts w:ascii="Cambria" w:hAnsi="Cambria"/>
        </w:rPr>
        <w:t xml:space="preserve">: the risk of fire or water damage to the collection is mitigated through a disaster response plan and equipment. Our digital preservation strategies respond to these risks as well as to threats to born-digital, electronic and audio-visual records through </w:t>
      </w:r>
      <w:r w:rsidRPr="00784AE4">
        <w:rPr>
          <w:rFonts w:ascii="Cambria" w:hAnsi="Cambria"/>
        </w:rPr>
        <w:t xml:space="preserve">media corruption or out-moded technology. </w:t>
      </w:r>
      <w:r w:rsidRPr="00784AE4">
        <w:rPr>
          <w:rFonts w:ascii="Cambria" w:hAnsi="Cambria"/>
        </w:rPr>
        <w:br/>
      </w:r>
    </w:p>
    <w:p w14:paraId="2C50106A" w14:textId="77777777" w:rsidR="00821D9E" w:rsidRDefault="00F631B1" w:rsidP="0069692D">
      <w:pPr>
        <w:pStyle w:val="ListParagraph"/>
        <w:numPr>
          <w:ilvl w:val="0"/>
          <w:numId w:val="52"/>
        </w:numPr>
        <w:spacing w:after="0" w:line="240" w:lineRule="auto"/>
        <w:ind w:left="567" w:hanging="567"/>
        <w:rPr>
          <w:rFonts w:ascii="Cambria" w:hAnsi="Cambria"/>
        </w:rPr>
      </w:pPr>
      <w:r w:rsidRPr="00784AE4">
        <w:rPr>
          <w:rFonts w:ascii="Cambria" w:hAnsi="Cambria"/>
          <w:b/>
        </w:rPr>
        <w:t>Budgetary concerns:</w:t>
      </w:r>
      <w:r w:rsidRPr="00784AE4">
        <w:rPr>
          <w:rFonts w:ascii="Cambria" w:hAnsi="Cambria"/>
        </w:rPr>
        <w:t xml:space="preserve"> </w:t>
      </w:r>
      <w:r w:rsidR="00784AE4" w:rsidRPr="00784AE4">
        <w:rPr>
          <w:rFonts w:ascii="Cambria" w:hAnsi="Cambria"/>
        </w:rPr>
        <w:t>(also see Financial Report, p82</w:t>
      </w:r>
      <w:r w:rsidRPr="00784AE4">
        <w:rPr>
          <w:rFonts w:ascii="Cambria" w:hAnsi="Cambria"/>
        </w:rPr>
        <w:t>) Over the past synodical term, one financial donor has contributed 25% of our annual budget. Our Archival program would be severely hampered without this particular donation</w:t>
      </w:r>
      <w:r w:rsidRPr="009A0DA6">
        <w:rPr>
          <w:rFonts w:ascii="Cambria" w:hAnsi="Cambria"/>
        </w:rPr>
        <w:t xml:space="preserve">, and there is significant </w:t>
      </w:r>
    </w:p>
    <w:p w14:paraId="6452471C" w14:textId="47C0036C" w:rsidR="00F631B1" w:rsidRDefault="00F631B1" w:rsidP="00821D9E">
      <w:pPr>
        <w:pStyle w:val="ListParagraph"/>
        <w:spacing w:after="0" w:line="240" w:lineRule="auto"/>
        <w:ind w:left="567"/>
        <w:rPr>
          <w:rFonts w:ascii="Cambria" w:hAnsi="Cambria"/>
        </w:rPr>
      </w:pPr>
      <w:r w:rsidRPr="009A0DA6">
        <w:rPr>
          <w:rFonts w:ascii="Cambria" w:hAnsi="Cambria"/>
        </w:rPr>
        <w:t>risk in reliance on it each year. As far as possible we seek public grants for specific projects, but these cannot cover salaries or operational costs.</w:t>
      </w:r>
      <w:r w:rsidR="00202891">
        <w:rPr>
          <w:rFonts w:ascii="Cambria" w:hAnsi="Cambria"/>
        </w:rPr>
        <w:br/>
      </w:r>
    </w:p>
    <w:p w14:paraId="437ED763" w14:textId="77777777" w:rsidR="00F631B1" w:rsidRPr="009A0DA6" w:rsidRDefault="00F631B1" w:rsidP="00F631B1">
      <w:pPr>
        <w:pStyle w:val="Heading3"/>
      </w:pPr>
      <w:r w:rsidRPr="009A0DA6">
        <w:t>Alignment to LCA Strategic Direction 2013–2018</w:t>
      </w:r>
    </w:p>
    <w:p w14:paraId="7419BF1D" w14:textId="77777777" w:rsidR="00F631B1" w:rsidRPr="009A0DA6" w:rsidRDefault="00F631B1" w:rsidP="0069692D">
      <w:pPr>
        <w:spacing w:after="0" w:line="240" w:lineRule="auto"/>
        <w:rPr>
          <w:rFonts w:ascii="Cambria" w:hAnsi="Cambria"/>
          <w:b/>
        </w:rPr>
      </w:pPr>
      <w:r w:rsidRPr="009A0DA6">
        <w:rPr>
          <w:rFonts w:ascii="Cambria" w:hAnsi="Cambria"/>
          <w:b/>
        </w:rPr>
        <w:t>SP 2: Go as God’s People: Support the development and growth of new mission fields which God has already opened to us.</w:t>
      </w:r>
    </w:p>
    <w:p w14:paraId="1AC5A6AF" w14:textId="77777777" w:rsidR="00F631B1" w:rsidRPr="009A0DA6" w:rsidRDefault="00F631B1" w:rsidP="0069692D">
      <w:pPr>
        <w:spacing w:after="0" w:line="240" w:lineRule="auto"/>
        <w:rPr>
          <w:rFonts w:ascii="Cambria" w:hAnsi="Cambria"/>
        </w:rPr>
      </w:pPr>
      <w:r w:rsidRPr="009A0DA6">
        <w:rPr>
          <w:rFonts w:ascii="Cambria" w:hAnsi="Cambria"/>
        </w:rPr>
        <w:t>By preserving the traces of individual lives, we continue to minister to individuals and communities through providing access to their own history. As well as assisting individual researchers, in the last synodical term we have been engaged in:</w:t>
      </w:r>
    </w:p>
    <w:p w14:paraId="2B9857D3" w14:textId="77777777" w:rsidR="00F631B1" w:rsidRPr="009A0DA6" w:rsidRDefault="00F631B1" w:rsidP="0069692D">
      <w:pPr>
        <w:pStyle w:val="ListParagraph"/>
        <w:numPr>
          <w:ilvl w:val="0"/>
          <w:numId w:val="53"/>
        </w:numPr>
        <w:spacing w:after="0" w:line="240" w:lineRule="auto"/>
        <w:ind w:left="284" w:hanging="284"/>
        <w:rPr>
          <w:rFonts w:ascii="Cambria" w:hAnsi="Cambria"/>
        </w:rPr>
      </w:pPr>
      <w:r w:rsidRPr="009A0DA6">
        <w:rPr>
          <w:rFonts w:ascii="Cambria" w:hAnsi="Cambria"/>
        </w:rPr>
        <w:t>Digital photograph repatriation project for the Mirning, Wirangu, and Guguda people at Koonibba</w:t>
      </w:r>
    </w:p>
    <w:p w14:paraId="0E6E01BD" w14:textId="77777777" w:rsidR="00F631B1" w:rsidRPr="009A0DA6" w:rsidRDefault="00F631B1" w:rsidP="0069692D">
      <w:pPr>
        <w:pStyle w:val="ListParagraph"/>
        <w:numPr>
          <w:ilvl w:val="0"/>
          <w:numId w:val="53"/>
        </w:numPr>
        <w:spacing w:after="0" w:line="240" w:lineRule="auto"/>
        <w:ind w:left="284" w:hanging="284"/>
        <w:rPr>
          <w:rFonts w:ascii="Cambria" w:hAnsi="Cambria"/>
        </w:rPr>
      </w:pPr>
      <w:r w:rsidRPr="009A0DA6">
        <w:rPr>
          <w:rFonts w:ascii="Cambria" w:hAnsi="Cambria"/>
        </w:rPr>
        <w:t>Exploration of a project to repatriate digital copies of Queensland mission records to the communities at Hope Vale and Wujal Wujal</w:t>
      </w:r>
    </w:p>
    <w:p w14:paraId="2D455919" w14:textId="77777777" w:rsidR="00F631B1" w:rsidRPr="009A0DA6" w:rsidRDefault="00F631B1" w:rsidP="0069692D">
      <w:pPr>
        <w:pStyle w:val="ListParagraph"/>
        <w:numPr>
          <w:ilvl w:val="0"/>
          <w:numId w:val="53"/>
        </w:numPr>
        <w:spacing w:after="0" w:line="240" w:lineRule="auto"/>
        <w:ind w:left="284" w:hanging="284"/>
        <w:rPr>
          <w:rFonts w:ascii="Cambria" w:hAnsi="Cambria"/>
        </w:rPr>
      </w:pPr>
      <w:r w:rsidRPr="009A0DA6">
        <w:rPr>
          <w:rFonts w:ascii="Cambria" w:hAnsi="Cambria"/>
        </w:rPr>
        <w:t>A project to identify, describe and index post-WWII migrant records in our collection; development of a relationship with the Bonegilla Migrant Centre</w:t>
      </w:r>
    </w:p>
    <w:p w14:paraId="5877D8B7" w14:textId="77777777" w:rsidR="00F631B1" w:rsidRPr="009A0DA6" w:rsidRDefault="00F631B1" w:rsidP="0069692D">
      <w:pPr>
        <w:pStyle w:val="ListParagraph"/>
        <w:numPr>
          <w:ilvl w:val="0"/>
          <w:numId w:val="53"/>
        </w:numPr>
        <w:spacing w:after="0" w:line="240" w:lineRule="auto"/>
        <w:ind w:left="284" w:hanging="284"/>
        <w:rPr>
          <w:rFonts w:ascii="Cambria" w:hAnsi="Cambria"/>
        </w:rPr>
      </w:pPr>
      <w:r w:rsidRPr="009A0DA6">
        <w:rPr>
          <w:rFonts w:ascii="Cambria" w:hAnsi="Cambria"/>
        </w:rPr>
        <w:t xml:space="preserve">Film Digitisation </w:t>
      </w:r>
    </w:p>
    <w:p w14:paraId="08C1CD02" w14:textId="6FFC61BB" w:rsidR="00F631B1" w:rsidRPr="009A0DA6" w:rsidRDefault="00F631B1" w:rsidP="0069692D">
      <w:pPr>
        <w:pStyle w:val="ListParagraph"/>
        <w:numPr>
          <w:ilvl w:val="0"/>
          <w:numId w:val="53"/>
        </w:numPr>
        <w:spacing w:after="0" w:line="240" w:lineRule="auto"/>
        <w:ind w:left="284" w:hanging="284"/>
        <w:rPr>
          <w:rFonts w:ascii="Cambria" w:hAnsi="Cambria"/>
        </w:rPr>
      </w:pPr>
      <w:r w:rsidRPr="009A0DA6">
        <w:rPr>
          <w:rFonts w:ascii="Cambria" w:hAnsi="Cambria"/>
        </w:rPr>
        <w:t>Friends of Lutheran Archives program</w:t>
      </w:r>
      <w:r w:rsidR="0069692D">
        <w:rPr>
          <w:rFonts w:ascii="Cambria" w:hAnsi="Cambria"/>
        </w:rPr>
        <w:br/>
      </w:r>
    </w:p>
    <w:p w14:paraId="0DE2881E" w14:textId="77777777" w:rsidR="00F631B1" w:rsidRPr="009A0DA6" w:rsidRDefault="00F631B1" w:rsidP="0069692D">
      <w:pPr>
        <w:spacing w:after="0" w:line="240" w:lineRule="auto"/>
        <w:rPr>
          <w:rFonts w:ascii="Cambria" w:hAnsi="Cambria"/>
          <w:b/>
        </w:rPr>
      </w:pPr>
      <w:r w:rsidRPr="009A0DA6">
        <w:rPr>
          <w:rFonts w:ascii="Cambria" w:hAnsi="Cambria"/>
          <w:b/>
        </w:rPr>
        <w:t>SP2: Support and equip communities to use new, innovative and collaborative mission-oriented approaches in changed and changing mission fields;</w:t>
      </w:r>
    </w:p>
    <w:p w14:paraId="468C97D4" w14:textId="77777777" w:rsidR="00F631B1" w:rsidRPr="009A0DA6" w:rsidRDefault="00F631B1" w:rsidP="0069692D">
      <w:pPr>
        <w:pStyle w:val="ListParagraph"/>
        <w:spacing w:after="0" w:line="240" w:lineRule="auto"/>
        <w:ind w:left="0"/>
        <w:rPr>
          <w:rFonts w:ascii="Cambria" w:hAnsi="Cambria"/>
          <w:b/>
        </w:rPr>
      </w:pPr>
      <w:r w:rsidRPr="009A0DA6">
        <w:rPr>
          <w:rFonts w:ascii="Cambria" w:hAnsi="Cambria"/>
          <w:b/>
        </w:rPr>
        <w:t>SP2: Develop proactive strategies to seek and open new mission fields to which God is leading</w:t>
      </w:r>
    </w:p>
    <w:p w14:paraId="1AA96AF2" w14:textId="77777777" w:rsidR="00F631B1" w:rsidRPr="009A0DA6" w:rsidRDefault="00F631B1" w:rsidP="0069692D">
      <w:pPr>
        <w:spacing w:after="0" w:line="240" w:lineRule="auto"/>
        <w:rPr>
          <w:rFonts w:ascii="Cambria" w:hAnsi="Cambria"/>
        </w:rPr>
      </w:pPr>
      <w:r w:rsidRPr="009A0DA6">
        <w:rPr>
          <w:rFonts w:ascii="Cambria" w:hAnsi="Cambria"/>
        </w:rPr>
        <w:t xml:space="preserve">We are actively engaged in activities in the broader public, where we are able to provide a voice and a face for the church, often in situations where the church’s presence is not traditionally invited: at community or academic history events, curating public exhibitions, or working with organisations to provide access to Aboriginal or Post WWII migrant records of displaced-persons. </w:t>
      </w:r>
    </w:p>
    <w:p w14:paraId="707891F7" w14:textId="77777777" w:rsidR="00F631B1" w:rsidRPr="009A0DA6" w:rsidRDefault="00F631B1" w:rsidP="0069692D">
      <w:pPr>
        <w:spacing w:after="0" w:line="240" w:lineRule="auto"/>
        <w:rPr>
          <w:rFonts w:ascii="Cambria" w:hAnsi="Cambria"/>
        </w:rPr>
      </w:pPr>
    </w:p>
    <w:p w14:paraId="5C849894" w14:textId="77777777" w:rsidR="00F631B1" w:rsidRPr="009A0DA6" w:rsidRDefault="00F631B1" w:rsidP="0069692D">
      <w:pPr>
        <w:spacing w:after="0" w:line="240" w:lineRule="auto"/>
        <w:rPr>
          <w:rFonts w:ascii="Cambria" w:hAnsi="Cambria"/>
        </w:rPr>
      </w:pPr>
      <w:r w:rsidRPr="009A0DA6">
        <w:rPr>
          <w:rFonts w:ascii="Cambria" w:hAnsi="Cambria"/>
        </w:rPr>
        <w:t>Over the past synodical term we have actively partnered with the following organisations:</w:t>
      </w:r>
    </w:p>
    <w:p w14:paraId="65DE5CAD" w14:textId="77777777" w:rsidR="00F631B1" w:rsidRPr="009A0DA6" w:rsidRDefault="00F631B1" w:rsidP="0069692D">
      <w:pPr>
        <w:pStyle w:val="ListParagraph"/>
        <w:numPr>
          <w:ilvl w:val="0"/>
          <w:numId w:val="54"/>
        </w:numPr>
        <w:spacing w:after="0" w:line="240" w:lineRule="auto"/>
        <w:ind w:left="567" w:hanging="567"/>
        <w:rPr>
          <w:rFonts w:ascii="Cambria" w:hAnsi="Cambria"/>
        </w:rPr>
      </w:pPr>
      <w:r w:rsidRPr="009A0DA6">
        <w:rPr>
          <w:rFonts w:ascii="Cambria" w:hAnsi="Cambria"/>
          <w:b/>
        </w:rPr>
        <w:t>Access to Aboriginal records</w:t>
      </w:r>
      <w:r w:rsidRPr="009A0DA6">
        <w:rPr>
          <w:rFonts w:ascii="Cambria" w:hAnsi="Cambria"/>
        </w:rPr>
        <w:t xml:space="preserve">: SA Link Up &amp; NSW Link Up, Ceduna Aboriginal Corporation, Queensland State Library, Find and Connect, Adelaide University Mobile Language Team </w:t>
      </w:r>
    </w:p>
    <w:p w14:paraId="1E963CCE" w14:textId="77777777" w:rsidR="00F631B1" w:rsidRPr="009A0DA6" w:rsidRDefault="00F631B1" w:rsidP="0069692D">
      <w:pPr>
        <w:pStyle w:val="ListParagraph"/>
        <w:numPr>
          <w:ilvl w:val="0"/>
          <w:numId w:val="54"/>
        </w:numPr>
        <w:spacing w:after="0" w:line="240" w:lineRule="auto"/>
        <w:ind w:left="567" w:hanging="567"/>
        <w:rPr>
          <w:rFonts w:ascii="Cambria" w:hAnsi="Cambria"/>
        </w:rPr>
      </w:pPr>
      <w:r w:rsidRPr="009A0DA6">
        <w:rPr>
          <w:rFonts w:ascii="Cambria" w:hAnsi="Cambria"/>
          <w:b/>
        </w:rPr>
        <w:t>Historical and family research societies:</w:t>
      </w:r>
      <w:r w:rsidRPr="009A0DA6">
        <w:rPr>
          <w:rFonts w:ascii="Cambria" w:hAnsi="Cambria"/>
          <w:u w:val="single"/>
        </w:rPr>
        <w:t xml:space="preserve"> </w:t>
      </w:r>
      <w:r w:rsidRPr="009A0DA6">
        <w:rPr>
          <w:rFonts w:ascii="Cambria" w:hAnsi="Cambria"/>
        </w:rPr>
        <w:t xml:space="preserve">Friends of Lutheran Archives; Genealogy SA: Germanic &amp; Continental European Special Interest Group; Gould Genealogy, Family Historical Society Qld; German Heritage Research Group, German Club Schutzenfest; Barossa Deutsch group; German-Australian Genealogy &amp; History Alliance; Fleurieu Peninsula Family History Association; Royal Geographic Society SA. </w:t>
      </w:r>
    </w:p>
    <w:p w14:paraId="04A76A27" w14:textId="77777777" w:rsidR="00F631B1" w:rsidRPr="009A0DA6" w:rsidRDefault="00F631B1" w:rsidP="0069692D">
      <w:pPr>
        <w:pStyle w:val="ListParagraph"/>
        <w:numPr>
          <w:ilvl w:val="0"/>
          <w:numId w:val="54"/>
        </w:numPr>
        <w:spacing w:after="0" w:line="240" w:lineRule="auto"/>
        <w:ind w:left="567" w:hanging="567"/>
        <w:rPr>
          <w:rFonts w:ascii="Cambria" w:hAnsi="Cambria"/>
        </w:rPr>
      </w:pPr>
      <w:r w:rsidRPr="009A0DA6">
        <w:rPr>
          <w:rFonts w:ascii="Cambria" w:hAnsi="Cambria"/>
          <w:b/>
        </w:rPr>
        <w:t>Post WWII Migrant associations:</w:t>
      </w:r>
      <w:r w:rsidRPr="009A0DA6">
        <w:rPr>
          <w:rFonts w:ascii="Cambria" w:hAnsi="Cambria"/>
        </w:rPr>
        <w:t xml:space="preserve"> Bonegilla Migrant Centre, Latvian Association SA</w:t>
      </w:r>
    </w:p>
    <w:p w14:paraId="25A0204E" w14:textId="77777777" w:rsidR="00F631B1" w:rsidRPr="009A0DA6" w:rsidRDefault="00F631B1" w:rsidP="0069692D">
      <w:pPr>
        <w:pStyle w:val="ListParagraph"/>
        <w:numPr>
          <w:ilvl w:val="0"/>
          <w:numId w:val="54"/>
        </w:numPr>
        <w:spacing w:after="0" w:line="240" w:lineRule="auto"/>
        <w:ind w:left="567" w:hanging="567"/>
        <w:rPr>
          <w:rFonts w:ascii="Cambria" w:hAnsi="Cambria"/>
        </w:rPr>
      </w:pPr>
      <w:r w:rsidRPr="009A0DA6">
        <w:rPr>
          <w:rFonts w:ascii="Cambria" w:hAnsi="Cambria"/>
          <w:b/>
        </w:rPr>
        <w:lastRenderedPageBreak/>
        <w:t>Broadcasts:</w:t>
      </w:r>
      <w:r w:rsidRPr="009A0DA6">
        <w:rPr>
          <w:rFonts w:ascii="Cambria" w:hAnsi="Cambria"/>
        </w:rPr>
        <w:t xml:space="preserve"> ABC TV: Compass and Backroads programs (Shepparton, Bush Pastors Course, Reformation program); SBS community Radio; SBS News Bulletin; film makers (The Song Keepers; The Namatjira Project. </w:t>
      </w:r>
    </w:p>
    <w:p w14:paraId="0B04046A" w14:textId="77777777" w:rsidR="00F631B1" w:rsidRPr="009A0DA6" w:rsidRDefault="00F631B1" w:rsidP="0069692D">
      <w:pPr>
        <w:pStyle w:val="ListParagraph"/>
        <w:numPr>
          <w:ilvl w:val="0"/>
          <w:numId w:val="54"/>
        </w:numPr>
        <w:spacing w:after="0" w:line="240" w:lineRule="auto"/>
        <w:ind w:left="567" w:hanging="567"/>
        <w:rPr>
          <w:rFonts w:ascii="Cambria" w:hAnsi="Cambria"/>
        </w:rPr>
      </w:pPr>
      <w:r w:rsidRPr="009A0DA6">
        <w:rPr>
          <w:rFonts w:ascii="Cambria" w:hAnsi="Cambria"/>
          <w:b/>
        </w:rPr>
        <w:t xml:space="preserve">Cultural institutions: </w:t>
      </w:r>
      <w:r w:rsidRPr="009A0DA6">
        <w:rPr>
          <w:rFonts w:ascii="Cambria" w:hAnsi="Cambria"/>
        </w:rPr>
        <w:t xml:space="preserve">National Archives Australia, Australian Society Archivists, Adelaide University, Flinders University, University SA (placements and lectures), Barr Smith Library, State Library SA, Migration Museum, History SA, State History Conference, SA German Teachers Association. </w:t>
      </w:r>
    </w:p>
    <w:p w14:paraId="342A1333" w14:textId="6DA2856A" w:rsidR="00F631B1" w:rsidRDefault="00F631B1" w:rsidP="0069692D">
      <w:pPr>
        <w:spacing w:after="0" w:line="240" w:lineRule="auto"/>
        <w:rPr>
          <w:rFonts w:ascii="Cambria" w:hAnsi="Cambria"/>
        </w:rPr>
      </w:pPr>
      <w:r w:rsidRPr="009A0DA6">
        <w:rPr>
          <w:rFonts w:ascii="Cambria" w:hAnsi="Cambria"/>
        </w:rPr>
        <w:t>Through these ventures, we are telling the stories of God’s love and grace to us, as shown through the records in our collection. Researchers who use our records disseminate those stories through their research projects, publications and other media.</w:t>
      </w:r>
    </w:p>
    <w:p w14:paraId="0EE53151" w14:textId="77777777" w:rsidR="0069692D" w:rsidRPr="00202891" w:rsidRDefault="0069692D" w:rsidP="0069692D">
      <w:pPr>
        <w:spacing w:after="0" w:line="240" w:lineRule="auto"/>
        <w:rPr>
          <w:rFonts w:ascii="Cambria" w:hAnsi="Cambria"/>
          <w:sz w:val="12"/>
        </w:rPr>
      </w:pPr>
    </w:p>
    <w:p w14:paraId="4D2F6A50" w14:textId="77777777" w:rsidR="00F631B1" w:rsidRPr="009A0DA6" w:rsidRDefault="00F631B1" w:rsidP="0069692D">
      <w:pPr>
        <w:spacing w:after="0" w:line="240" w:lineRule="auto"/>
        <w:rPr>
          <w:rFonts w:ascii="Cambria" w:hAnsi="Cambria"/>
          <w:b/>
        </w:rPr>
      </w:pPr>
      <w:r w:rsidRPr="009A0DA6">
        <w:rPr>
          <w:rFonts w:ascii="Cambria" w:hAnsi="Cambria"/>
          <w:b/>
        </w:rPr>
        <w:t>SP2: To develop a missional culture where individuals, families and communities are inspired, passionate and active in sharing the gospel in word and action;</w:t>
      </w:r>
    </w:p>
    <w:p w14:paraId="2F0E5049" w14:textId="77777777" w:rsidR="00F631B1" w:rsidRPr="009A0DA6" w:rsidRDefault="00F631B1" w:rsidP="0069692D">
      <w:pPr>
        <w:spacing w:after="0" w:line="240" w:lineRule="auto"/>
        <w:rPr>
          <w:rFonts w:ascii="Cambria" w:hAnsi="Cambria"/>
          <w:b/>
        </w:rPr>
      </w:pPr>
      <w:r w:rsidRPr="009A0DA6">
        <w:rPr>
          <w:rFonts w:ascii="Cambria" w:hAnsi="Cambria"/>
          <w:b/>
        </w:rPr>
        <w:t>Support existing communities to be active in mission</w:t>
      </w:r>
    </w:p>
    <w:p w14:paraId="532AD676" w14:textId="77777777" w:rsidR="00F631B1" w:rsidRPr="009A0DA6" w:rsidRDefault="00F631B1" w:rsidP="0069692D">
      <w:pPr>
        <w:spacing w:after="0" w:line="240" w:lineRule="auto"/>
        <w:rPr>
          <w:rFonts w:ascii="Cambria" w:hAnsi="Cambria"/>
          <w:b/>
          <w:sz w:val="10"/>
        </w:rPr>
      </w:pPr>
    </w:p>
    <w:p w14:paraId="2D7253D2" w14:textId="77777777" w:rsidR="00F631B1" w:rsidRPr="009A0DA6" w:rsidRDefault="00F631B1" w:rsidP="0069692D">
      <w:pPr>
        <w:spacing w:after="0" w:line="240" w:lineRule="auto"/>
        <w:rPr>
          <w:rFonts w:ascii="Cambria" w:hAnsi="Cambria"/>
          <w:b/>
        </w:rPr>
      </w:pPr>
      <w:r w:rsidRPr="009A0DA6">
        <w:rPr>
          <w:rFonts w:ascii="Cambria" w:hAnsi="Cambria"/>
          <w:b/>
        </w:rPr>
        <w:t>SP3: C2 Effective use of assets and resources that releases more support to mission and ministry</w:t>
      </w:r>
    </w:p>
    <w:p w14:paraId="160668CC" w14:textId="499FC6A8" w:rsidR="00F631B1" w:rsidRDefault="00F631B1" w:rsidP="0069692D">
      <w:pPr>
        <w:spacing w:after="0" w:line="240" w:lineRule="auto"/>
        <w:rPr>
          <w:rFonts w:ascii="Cambria" w:hAnsi="Cambria"/>
        </w:rPr>
      </w:pPr>
      <w:r w:rsidRPr="009A0DA6">
        <w:rPr>
          <w:rFonts w:ascii="Cambria" w:hAnsi="Cambria"/>
        </w:rPr>
        <w:t xml:space="preserve">By taking care of the permanent records of the LCA, we enable congregations, departments and individuals to focus on their current ministries. We are able to ‘repurpose’ records deposited at the Archives to provide new ministries in the wider community through giving access to these stories and sharing them. </w:t>
      </w:r>
    </w:p>
    <w:p w14:paraId="1194E464" w14:textId="77777777" w:rsidR="00821D9E" w:rsidRDefault="00821D9E" w:rsidP="0069692D">
      <w:pPr>
        <w:spacing w:after="0" w:line="240" w:lineRule="auto"/>
        <w:rPr>
          <w:rFonts w:ascii="Cambria" w:hAnsi="Cambria"/>
        </w:rPr>
      </w:pPr>
    </w:p>
    <w:p w14:paraId="0EEF14DB" w14:textId="77777777" w:rsidR="00F631B1" w:rsidRPr="009A0DA6" w:rsidRDefault="00F631B1" w:rsidP="0069692D">
      <w:pPr>
        <w:spacing w:after="0" w:line="240" w:lineRule="auto"/>
        <w:rPr>
          <w:rFonts w:ascii="Cambria" w:hAnsi="Cambria"/>
          <w:b/>
        </w:rPr>
      </w:pPr>
      <w:r w:rsidRPr="009A0DA6">
        <w:rPr>
          <w:rFonts w:ascii="Cambria" w:hAnsi="Cambria"/>
          <w:b/>
        </w:rPr>
        <w:t>SP2: Support and equip communities to use new, innovative and collaborative mission-oriented approaches in changed and changing mission fields.</w:t>
      </w:r>
    </w:p>
    <w:p w14:paraId="04FFD8A0" w14:textId="77777777" w:rsidR="00F631B1" w:rsidRPr="009A0DA6" w:rsidRDefault="00F631B1" w:rsidP="0069692D">
      <w:pPr>
        <w:spacing w:after="0" w:line="240" w:lineRule="auto"/>
        <w:rPr>
          <w:rFonts w:ascii="Cambria" w:hAnsi="Cambria"/>
        </w:rPr>
      </w:pPr>
      <w:r w:rsidRPr="009A0DA6">
        <w:rPr>
          <w:rFonts w:ascii="Cambria" w:hAnsi="Cambria"/>
        </w:rPr>
        <w:t xml:space="preserve">Lutheran Archives provides the public with a connection point to the church and therefore to God’s love and grace. The largest proportion of researchers accessing the collection comes from outside our church membership, and may no longer be connected with a church. Through the stories and the lives of their ancestors, we can open the dialogue to faith. </w:t>
      </w:r>
    </w:p>
    <w:p w14:paraId="6626150A" w14:textId="77777777" w:rsidR="00F631B1" w:rsidRPr="00565A2C" w:rsidRDefault="00F631B1" w:rsidP="0069692D">
      <w:pPr>
        <w:spacing w:after="0" w:line="240" w:lineRule="auto"/>
        <w:rPr>
          <w:rFonts w:ascii="Cambria" w:hAnsi="Cambria"/>
          <w:sz w:val="10"/>
        </w:rPr>
      </w:pPr>
    </w:p>
    <w:p w14:paraId="5E021332" w14:textId="77777777" w:rsidR="00F631B1" w:rsidRPr="009A0DA6" w:rsidRDefault="00F631B1" w:rsidP="0069692D">
      <w:pPr>
        <w:pStyle w:val="NoSpacing"/>
        <w:rPr>
          <w:b/>
        </w:rPr>
      </w:pPr>
      <w:r w:rsidRPr="009A0DA6">
        <w:rPr>
          <w:b/>
        </w:rPr>
        <w:t>SP3: B1 Increase enthusiasm for mission by sharing how love is coming to life through individuals, families and communities.</w:t>
      </w:r>
    </w:p>
    <w:p w14:paraId="10A75AF4" w14:textId="77777777" w:rsidR="00F631B1" w:rsidRPr="009A0DA6" w:rsidRDefault="00F631B1" w:rsidP="0069692D">
      <w:pPr>
        <w:pStyle w:val="NoSpacing"/>
      </w:pPr>
      <w:r w:rsidRPr="009A0DA6">
        <w:t xml:space="preserve">Just as we have a program of events and are actively engaged in activities in the broader public, we encourage members of the LCA to continue in mission through the sharing of stories: through the column in </w:t>
      </w:r>
      <w:r w:rsidRPr="009A0DA6">
        <w:rPr>
          <w:i/>
        </w:rPr>
        <w:t>The Lutheran</w:t>
      </w:r>
      <w:r w:rsidRPr="009A0DA6">
        <w:t xml:space="preserve">, through </w:t>
      </w:r>
      <w:r w:rsidRPr="009A0DA6">
        <w:rPr>
          <w:i/>
        </w:rPr>
        <w:t>Friends of Lutheran Archives</w:t>
      </w:r>
      <w:r w:rsidRPr="009A0DA6">
        <w:t xml:space="preserve"> monthly evening talks and program of events, through the stories written for our film digitisation appeal, through speaking at congregations, through ‘behind the scenes’ tours at the Archives, through participation in events such 50:500 and ‘Together in Hope’.</w:t>
      </w:r>
    </w:p>
    <w:p w14:paraId="7F590ACB" w14:textId="4346C97D" w:rsidR="00F631B1" w:rsidRPr="00565A2C" w:rsidRDefault="00F631B1" w:rsidP="0069692D">
      <w:pPr>
        <w:pStyle w:val="NoSpacing"/>
        <w:rPr>
          <w:sz w:val="10"/>
        </w:rPr>
      </w:pPr>
    </w:p>
    <w:p w14:paraId="16000AE1" w14:textId="77777777" w:rsidR="00F631B1" w:rsidRPr="009A0DA6" w:rsidRDefault="00F631B1" w:rsidP="0069692D">
      <w:pPr>
        <w:pStyle w:val="NoSpacing"/>
        <w:rPr>
          <w:b/>
        </w:rPr>
      </w:pPr>
      <w:r w:rsidRPr="009A0DA6">
        <w:rPr>
          <w:b/>
        </w:rPr>
        <w:t>SP3: C3 Enhance care of our assets and resources</w:t>
      </w:r>
    </w:p>
    <w:p w14:paraId="1AAE1A67" w14:textId="77777777" w:rsidR="00F631B1" w:rsidRPr="009A0DA6" w:rsidRDefault="00F631B1" w:rsidP="0069692D">
      <w:pPr>
        <w:pStyle w:val="NoSpacing"/>
      </w:pPr>
      <w:r w:rsidRPr="009A0DA6">
        <w:t>Our church’s records play an important historical, evidential, and spiritual role in the life of the LCA. The records at Lutheran Archives are therefore a significant asset of the church. By preserving and providing authorised access to these records, Lutheran Archives helps to protect the LCA’s integrity, credibility and transparency. Lutheran Archives draws upon these records to promote the activities of the church, both past and present, to the wider community. These records and stories will let future generations know how God has blessed us and others through the Lutheran Church.</w:t>
      </w:r>
    </w:p>
    <w:p w14:paraId="2437B1E5" w14:textId="77777777" w:rsidR="00F631B1" w:rsidRPr="009A0DA6" w:rsidRDefault="00F631B1" w:rsidP="00F631B1">
      <w:pPr>
        <w:pStyle w:val="NoSpacing"/>
      </w:pPr>
    </w:p>
    <w:p w14:paraId="07B054D1" w14:textId="77777777" w:rsidR="00F631B1" w:rsidRPr="009A0DA6" w:rsidRDefault="00F631B1" w:rsidP="00F631B1">
      <w:pPr>
        <w:pStyle w:val="Heading3"/>
      </w:pPr>
      <w:r w:rsidRPr="009A0DA6">
        <w:t>Cooperating LCA Boards and Agencies</w:t>
      </w:r>
    </w:p>
    <w:p w14:paraId="12B2995D" w14:textId="77777777" w:rsidR="00F631B1" w:rsidRPr="009A0DA6" w:rsidRDefault="00F631B1" w:rsidP="00F631B1">
      <w:pPr>
        <w:pStyle w:val="Subtitle"/>
        <w:rPr>
          <w:color w:val="0070C0"/>
        </w:rPr>
      </w:pPr>
      <w:r w:rsidRPr="009A0DA6">
        <w:t>Australian Lutheran College</w:t>
      </w:r>
    </w:p>
    <w:p w14:paraId="68B24A8B" w14:textId="77777777" w:rsidR="00F631B1" w:rsidRPr="009A0DA6" w:rsidRDefault="00F631B1" w:rsidP="0069692D">
      <w:pPr>
        <w:pStyle w:val="ListParagraph"/>
        <w:numPr>
          <w:ilvl w:val="0"/>
          <w:numId w:val="55"/>
        </w:numPr>
        <w:spacing w:after="0" w:line="240" w:lineRule="auto"/>
        <w:ind w:left="714" w:hanging="357"/>
        <w:rPr>
          <w:rFonts w:ascii="Cambria" w:hAnsi="Cambria"/>
        </w:rPr>
      </w:pPr>
      <w:r w:rsidRPr="009A0DA6">
        <w:rPr>
          <w:rFonts w:ascii="Cambria" w:hAnsi="Cambria"/>
        </w:rPr>
        <w:t xml:space="preserve">Lutheran Archives and ALC together present an annual Fritzsche oration; </w:t>
      </w:r>
    </w:p>
    <w:p w14:paraId="1AE29475" w14:textId="77777777" w:rsidR="00F631B1" w:rsidRPr="009A0DA6" w:rsidRDefault="00F631B1" w:rsidP="0069692D">
      <w:pPr>
        <w:pStyle w:val="ListParagraph"/>
        <w:numPr>
          <w:ilvl w:val="0"/>
          <w:numId w:val="55"/>
        </w:numPr>
        <w:spacing w:after="0" w:line="240" w:lineRule="auto"/>
        <w:ind w:left="714" w:hanging="357"/>
        <w:rPr>
          <w:rFonts w:ascii="Cambria" w:hAnsi="Cambria"/>
        </w:rPr>
      </w:pPr>
      <w:r w:rsidRPr="009A0DA6">
        <w:rPr>
          <w:rFonts w:ascii="Cambria" w:hAnsi="Cambria"/>
        </w:rPr>
        <w:t xml:space="preserve">support is given to ALC pastoral students and to the history class for research projects; </w:t>
      </w:r>
    </w:p>
    <w:p w14:paraId="01661DCE" w14:textId="5A467D61" w:rsidR="00F631B1" w:rsidRDefault="00F631B1" w:rsidP="0069692D">
      <w:pPr>
        <w:pStyle w:val="ListParagraph"/>
        <w:numPr>
          <w:ilvl w:val="0"/>
          <w:numId w:val="55"/>
        </w:numPr>
        <w:spacing w:after="0" w:line="240" w:lineRule="auto"/>
        <w:ind w:left="714" w:hanging="357"/>
        <w:rPr>
          <w:rFonts w:ascii="Cambria" w:hAnsi="Cambria"/>
        </w:rPr>
      </w:pPr>
      <w:r w:rsidRPr="009A0DA6">
        <w:rPr>
          <w:rFonts w:ascii="Cambria" w:hAnsi="Cambria"/>
        </w:rPr>
        <w:t>Loehe Memorial Library cooperation with the sharing of resources.</w:t>
      </w:r>
    </w:p>
    <w:p w14:paraId="5D44D2D2" w14:textId="77777777" w:rsidR="0069692D" w:rsidRPr="009A0DA6" w:rsidRDefault="0069692D" w:rsidP="0069692D">
      <w:pPr>
        <w:pStyle w:val="ListParagraph"/>
        <w:spacing w:after="0" w:line="240" w:lineRule="auto"/>
        <w:ind w:left="714"/>
        <w:rPr>
          <w:rFonts w:ascii="Cambria" w:hAnsi="Cambria"/>
        </w:rPr>
      </w:pPr>
    </w:p>
    <w:p w14:paraId="45921E62" w14:textId="77777777" w:rsidR="00F631B1" w:rsidRPr="009A0DA6" w:rsidRDefault="00F631B1" w:rsidP="00F631B1">
      <w:pPr>
        <w:pStyle w:val="Subtitle"/>
      </w:pPr>
      <w:r w:rsidRPr="009A0DA6">
        <w:t>International Mission (Formerly Board for Mission)</w:t>
      </w:r>
    </w:p>
    <w:p w14:paraId="11A47870" w14:textId="79771919" w:rsidR="00F631B1" w:rsidRDefault="00F631B1" w:rsidP="0069692D">
      <w:pPr>
        <w:spacing w:after="0" w:line="240" w:lineRule="auto"/>
        <w:rPr>
          <w:rFonts w:ascii="Cambria" w:hAnsi="Cambria"/>
        </w:rPr>
      </w:pPr>
      <w:r w:rsidRPr="009A0DA6">
        <w:rPr>
          <w:rFonts w:ascii="Cambria" w:hAnsi="Cambria"/>
        </w:rPr>
        <w:t>We have provided advice and assistance in determining the future directions of the Louise Flierl Mission Museum, as well as records management advice.</w:t>
      </w:r>
    </w:p>
    <w:p w14:paraId="690AC419" w14:textId="77777777" w:rsidR="0069692D" w:rsidRPr="009A0DA6" w:rsidRDefault="0069692D" w:rsidP="0069692D">
      <w:pPr>
        <w:spacing w:after="0" w:line="240" w:lineRule="auto"/>
        <w:rPr>
          <w:rFonts w:ascii="Cambria" w:hAnsi="Cambria"/>
        </w:rPr>
      </w:pPr>
    </w:p>
    <w:p w14:paraId="6DAD0FAA" w14:textId="77777777" w:rsidR="00F631B1" w:rsidRPr="009A0DA6" w:rsidRDefault="00F631B1" w:rsidP="0069692D">
      <w:pPr>
        <w:pStyle w:val="Subtitle"/>
      </w:pPr>
      <w:r w:rsidRPr="009A0DA6">
        <w:t>Office of the Bishop</w:t>
      </w:r>
    </w:p>
    <w:p w14:paraId="233EE8B1" w14:textId="5D11E233" w:rsidR="00F631B1" w:rsidRDefault="00F631B1" w:rsidP="0069692D">
      <w:pPr>
        <w:spacing w:after="0" w:line="240" w:lineRule="auto"/>
        <w:rPr>
          <w:rFonts w:ascii="Cambria" w:hAnsi="Cambria"/>
        </w:rPr>
      </w:pPr>
      <w:r w:rsidRPr="009A0DA6">
        <w:rPr>
          <w:rFonts w:ascii="Cambria" w:hAnsi="Cambria"/>
        </w:rPr>
        <w:t>Support has been given to the Office of the Bishop with the provision of research and contacts for the LCA’s Reconciliation Action Plan; provision of research and resources for events such as ‘what is synod’; and presentations and exhibitions for Pastors Conference 2015, and events for 500</w:t>
      </w:r>
      <w:r w:rsidRPr="009A0DA6">
        <w:rPr>
          <w:rFonts w:ascii="Cambria" w:hAnsi="Cambria"/>
          <w:vertAlign w:val="superscript"/>
        </w:rPr>
        <w:t>th</w:t>
      </w:r>
      <w:r w:rsidRPr="009A0DA6">
        <w:rPr>
          <w:rFonts w:ascii="Cambria" w:hAnsi="Cambria"/>
        </w:rPr>
        <w:t xml:space="preserve"> anniversary of the Reformation as part of 50:500 celebrations. </w:t>
      </w:r>
    </w:p>
    <w:p w14:paraId="121FA6AE" w14:textId="77777777" w:rsidR="0069692D" w:rsidRPr="009A0DA6" w:rsidRDefault="0069692D" w:rsidP="0069692D">
      <w:pPr>
        <w:spacing w:after="0" w:line="240" w:lineRule="auto"/>
        <w:rPr>
          <w:rFonts w:ascii="Cambria" w:hAnsi="Cambria"/>
        </w:rPr>
      </w:pPr>
    </w:p>
    <w:p w14:paraId="3F719290" w14:textId="77777777" w:rsidR="00F631B1" w:rsidRPr="009A0DA6" w:rsidRDefault="00F631B1" w:rsidP="0069692D">
      <w:pPr>
        <w:pStyle w:val="Subtitle"/>
      </w:pPr>
      <w:r w:rsidRPr="009A0DA6">
        <w:t>Communications Department</w:t>
      </w:r>
    </w:p>
    <w:p w14:paraId="03106400" w14:textId="634A271E" w:rsidR="00F631B1" w:rsidRDefault="00F631B1" w:rsidP="0069692D">
      <w:pPr>
        <w:spacing w:after="0" w:line="240" w:lineRule="auto"/>
        <w:rPr>
          <w:rFonts w:ascii="Cambria" w:hAnsi="Cambria"/>
        </w:rPr>
      </w:pPr>
      <w:r w:rsidRPr="009A0DA6">
        <w:rPr>
          <w:rFonts w:ascii="Cambria" w:hAnsi="Cambria"/>
        </w:rPr>
        <w:t xml:space="preserve">Regular </w:t>
      </w:r>
      <w:r w:rsidRPr="009A0DA6">
        <w:rPr>
          <w:rFonts w:ascii="Cambria" w:hAnsi="Cambria"/>
          <w:i/>
        </w:rPr>
        <w:t xml:space="preserve">Stepping Stones </w:t>
      </w:r>
      <w:r w:rsidRPr="009A0DA6">
        <w:rPr>
          <w:rFonts w:ascii="Cambria" w:hAnsi="Cambria"/>
        </w:rPr>
        <w:t xml:space="preserve">column in </w:t>
      </w:r>
      <w:r w:rsidRPr="009A0DA6">
        <w:rPr>
          <w:rFonts w:ascii="Cambria" w:hAnsi="Cambria"/>
          <w:i/>
        </w:rPr>
        <w:t>The Lutheran</w:t>
      </w:r>
      <w:r w:rsidRPr="009A0DA6">
        <w:rPr>
          <w:rFonts w:ascii="Cambria" w:hAnsi="Cambria"/>
        </w:rPr>
        <w:t>; Yearbook articles; research for Communications’ stories.</w:t>
      </w:r>
    </w:p>
    <w:p w14:paraId="2ECB95CC" w14:textId="77777777" w:rsidR="0069692D" w:rsidRPr="009A0DA6" w:rsidRDefault="0069692D" w:rsidP="0069692D">
      <w:pPr>
        <w:spacing w:after="0" w:line="240" w:lineRule="auto"/>
        <w:rPr>
          <w:rFonts w:ascii="Cambria" w:hAnsi="Cambria"/>
          <w:b/>
        </w:rPr>
      </w:pPr>
    </w:p>
    <w:p w14:paraId="26D904A1" w14:textId="77777777" w:rsidR="00F631B1" w:rsidRPr="009A0DA6" w:rsidRDefault="00F631B1" w:rsidP="0069692D">
      <w:pPr>
        <w:pStyle w:val="Subtitle"/>
      </w:pPr>
      <w:r w:rsidRPr="009A0DA6">
        <w:t>Congregations</w:t>
      </w:r>
    </w:p>
    <w:p w14:paraId="6E9369E8" w14:textId="533E7C2A" w:rsidR="00F631B1" w:rsidRDefault="00F631B1" w:rsidP="0069692D">
      <w:pPr>
        <w:spacing w:after="0" w:line="240" w:lineRule="auto"/>
        <w:rPr>
          <w:rFonts w:ascii="Cambria" w:hAnsi="Cambria"/>
        </w:rPr>
      </w:pPr>
      <w:r w:rsidRPr="009A0DA6">
        <w:rPr>
          <w:rFonts w:ascii="Cambria" w:hAnsi="Cambria"/>
        </w:rPr>
        <w:t xml:space="preserve">Lutheran Archives manages and preserves deposited records and provides access to these for enquiries and events; provision of record keeping and archiving advice to congregations, including at church Secretaries and Treasurers days; historical presentations for guilds and congregations; ‘behind the scenes’ tours of the archival facilities. </w:t>
      </w:r>
    </w:p>
    <w:p w14:paraId="1F2E34EC" w14:textId="77777777" w:rsidR="0069692D" w:rsidRPr="009A0DA6" w:rsidRDefault="0069692D" w:rsidP="0069692D">
      <w:pPr>
        <w:spacing w:after="0" w:line="240" w:lineRule="auto"/>
        <w:rPr>
          <w:rFonts w:ascii="Cambria" w:hAnsi="Cambria"/>
        </w:rPr>
      </w:pPr>
    </w:p>
    <w:p w14:paraId="2852DCD3" w14:textId="77777777" w:rsidR="00F631B1" w:rsidRPr="009A0DA6" w:rsidRDefault="00F631B1" w:rsidP="0069692D">
      <w:pPr>
        <w:pStyle w:val="Subtitle"/>
      </w:pPr>
      <w:r w:rsidRPr="009A0DA6">
        <w:t>ALWS</w:t>
      </w:r>
    </w:p>
    <w:p w14:paraId="0DEE41BA" w14:textId="4AB0F728" w:rsidR="00F631B1" w:rsidRDefault="00F631B1" w:rsidP="0069692D">
      <w:pPr>
        <w:spacing w:after="0" w:line="240" w:lineRule="auto"/>
        <w:rPr>
          <w:rFonts w:ascii="Cambria" w:hAnsi="Cambria"/>
        </w:rPr>
      </w:pPr>
      <w:r w:rsidRPr="009A0DA6">
        <w:rPr>
          <w:rFonts w:ascii="Cambria" w:hAnsi="Cambria"/>
        </w:rPr>
        <w:t>Appraisal of records held in Albury; assistance for ‘Walk my Way’ 2017 event; support of an oral history project.</w:t>
      </w:r>
    </w:p>
    <w:p w14:paraId="0206A6EE" w14:textId="77777777" w:rsidR="0069692D" w:rsidRPr="009A0DA6" w:rsidRDefault="0069692D" w:rsidP="0069692D">
      <w:pPr>
        <w:spacing w:after="0" w:line="240" w:lineRule="auto"/>
        <w:rPr>
          <w:rFonts w:ascii="Cambria" w:hAnsi="Cambria"/>
        </w:rPr>
      </w:pPr>
    </w:p>
    <w:p w14:paraId="085C4375" w14:textId="77777777" w:rsidR="00F631B1" w:rsidRPr="009A0DA6" w:rsidRDefault="00F631B1" w:rsidP="0069692D">
      <w:pPr>
        <w:pStyle w:val="Subtitle"/>
      </w:pPr>
      <w:r w:rsidRPr="009A0DA6">
        <w:t>Commission on Worship</w:t>
      </w:r>
    </w:p>
    <w:p w14:paraId="56948C89" w14:textId="4B8B3061" w:rsidR="00F631B1" w:rsidRDefault="00F631B1" w:rsidP="0069692D">
      <w:pPr>
        <w:spacing w:after="0" w:line="240" w:lineRule="auto"/>
        <w:rPr>
          <w:rFonts w:ascii="Cambria" w:hAnsi="Cambria"/>
        </w:rPr>
      </w:pPr>
      <w:r w:rsidRPr="009A0DA6">
        <w:rPr>
          <w:rFonts w:ascii="Cambria" w:hAnsi="Cambria"/>
        </w:rPr>
        <w:t>Provision of resources for LCA 50</w:t>
      </w:r>
      <w:r w:rsidRPr="009A0DA6">
        <w:rPr>
          <w:rFonts w:ascii="Cambria" w:hAnsi="Cambria"/>
          <w:vertAlign w:val="superscript"/>
        </w:rPr>
        <w:t>th</w:t>
      </w:r>
      <w:r w:rsidRPr="009A0DA6">
        <w:rPr>
          <w:rFonts w:ascii="Cambria" w:hAnsi="Cambria"/>
        </w:rPr>
        <w:t xml:space="preserve"> anniversary worship material</w:t>
      </w:r>
      <w:r w:rsidR="0069692D">
        <w:rPr>
          <w:rFonts w:ascii="Cambria" w:hAnsi="Cambria"/>
        </w:rPr>
        <w:t>.</w:t>
      </w:r>
    </w:p>
    <w:p w14:paraId="04765AEF" w14:textId="77777777" w:rsidR="0069692D" w:rsidRPr="009A0DA6" w:rsidRDefault="0069692D" w:rsidP="0069692D">
      <w:pPr>
        <w:spacing w:after="0" w:line="240" w:lineRule="auto"/>
        <w:rPr>
          <w:rFonts w:ascii="Cambria" w:hAnsi="Cambria"/>
        </w:rPr>
      </w:pPr>
    </w:p>
    <w:p w14:paraId="1BE043FB" w14:textId="77777777" w:rsidR="00F631B1" w:rsidRPr="009A0DA6" w:rsidRDefault="00F631B1" w:rsidP="0069692D">
      <w:pPr>
        <w:pStyle w:val="Subtitle"/>
      </w:pPr>
      <w:r w:rsidRPr="009A0DA6">
        <w:t>Districts and Administrators</w:t>
      </w:r>
    </w:p>
    <w:p w14:paraId="059CB05B" w14:textId="35CBE3DD" w:rsidR="00F631B1" w:rsidRDefault="00F631B1" w:rsidP="0069692D">
      <w:pPr>
        <w:spacing w:after="0" w:line="240" w:lineRule="auto"/>
        <w:rPr>
          <w:rFonts w:ascii="Cambria" w:hAnsi="Cambria"/>
        </w:rPr>
      </w:pPr>
      <w:r w:rsidRPr="009A0DA6">
        <w:rPr>
          <w:rFonts w:ascii="Cambria" w:hAnsi="Cambria"/>
        </w:rPr>
        <w:t>Providing recordkeeping and archival advice to district, including involvement in Professional Development days (SA); research enquiries and provision of records; management of deposited district records.</w:t>
      </w:r>
    </w:p>
    <w:p w14:paraId="69F15AF7" w14:textId="77777777" w:rsidR="0069692D" w:rsidRPr="009A0DA6" w:rsidRDefault="0069692D" w:rsidP="0069692D">
      <w:pPr>
        <w:spacing w:after="0" w:line="240" w:lineRule="auto"/>
        <w:rPr>
          <w:rFonts w:ascii="Cambria" w:hAnsi="Cambria"/>
        </w:rPr>
      </w:pPr>
    </w:p>
    <w:p w14:paraId="67264110" w14:textId="77777777" w:rsidR="00F631B1" w:rsidRPr="009A0DA6" w:rsidRDefault="00F631B1" w:rsidP="0069692D">
      <w:pPr>
        <w:pStyle w:val="Subtitle"/>
      </w:pPr>
      <w:r w:rsidRPr="009A0DA6">
        <w:t>Auxiliaries, including Lutheran Women (SA) and (WA), Lutheran Men SA, and Fullarton Lutheran Homes</w:t>
      </w:r>
    </w:p>
    <w:p w14:paraId="419AF0E2" w14:textId="6B3BB315" w:rsidR="00F631B1" w:rsidRDefault="00F631B1" w:rsidP="0069692D">
      <w:pPr>
        <w:spacing w:after="0" w:line="240" w:lineRule="auto"/>
        <w:rPr>
          <w:rFonts w:ascii="Cambria" w:hAnsi="Cambria"/>
        </w:rPr>
      </w:pPr>
      <w:r w:rsidRPr="009A0DA6">
        <w:rPr>
          <w:rFonts w:ascii="Cambria" w:hAnsi="Cambria"/>
        </w:rPr>
        <w:t>Guest speaker at retreats, rallies, conventions and events; exhibitions at LWSA events.</w:t>
      </w:r>
    </w:p>
    <w:p w14:paraId="6C522868" w14:textId="77777777" w:rsidR="0069692D" w:rsidRPr="009A0DA6" w:rsidRDefault="0069692D" w:rsidP="0069692D">
      <w:pPr>
        <w:spacing w:after="0" w:line="240" w:lineRule="auto"/>
        <w:rPr>
          <w:rFonts w:ascii="Cambria" w:hAnsi="Cambria"/>
        </w:rPr>
      </w:pPr>
    </w:p>
    <w:p w14:paraId="7017E16B" w14:textId="77777777" w:rsidR="00F631B1" w:rsidRPr="009A0DA6" w:rsidRDefault="00F631B1" w:rsidP="0069692D">
      <w:pPr>
        <w:pStyle w:val="Subtitle"/>
      </w:pPr>
      <w:r w:rsidRPr="009A0DA6">
        <w:t>Lutheran Community Care (SA)</w:t>
      </w:r>
    </w:p>
    <w:p w14:paraId="5F2FC579" w14:textId="3F2399A3" w:rsidR="00F631B1" w:rsidRDefault="00F631B1" w:rsidP="0069692D">
      <w:pPr>
        <w:spacing w:after="0" w:line="240" w:lineRule="auto"/>
        <w:rPr>
          <w:rFonts w:ascii="Cambria" w:hAnsi="Cambria"/>
        </w:rPr>
      </w:pPr>
      <w:r w:rsidRPr="009A0DA6">
        <w:rPr>
          <w:rFonts w:ascii="Cambria" w:hAnsi="Cambria"/>
        </w:rPr>
        <w:t>Appraisal of LCC records</w:t>
      </w:r>
      <w:r w:rsidR="0069692D">
        <w:rPr>
          <w:rFonts w:ascii="Cambria" w:hAnsi="Cambria"/>
        </w:rPr>
        <w:t>.</w:t>
      </w:r>
    </w:p>
    <w:p w14:paraId="53C9E7AB" w14:textId="77777777" w:rsidR="0069692D" w:rsidRPr="009A0DA6" w:rsidRDefault="0069692D" w:rsidP="0069692D">
      <w:pPr>
        <w:spacing w:after="0" w:line="240" w:lineRule="auto"/>
        <w:rPr>
          <w:rFonts w:ascii="Cambria" w:hAnsi="Cambria"/>
        </w:rPr>
      </w:pPr>
    </w:p>
    <w:p w14:paraId="46B799AF" w14:textId="77777777" w:rsidR="00F631B1" w:rsidRPr="009A0DA6" w:rsidRDefault="00F631B1" w:rsidP="0069692D">
      <w:pPr>
        <w:pStyle w:val="Subtitle"/>
      </w:pPr>
      <w:r w:rsidRPr="009A0DA6">
        <w:t>Schools and LEA</w:t>
      </w:r>
    </w:p>
    <w:p w14:paraId="0C8FA98A" w14:textId="03C962B7" w:rsidR="00F631B1" w:rsidRDefault="00F631B1" w:rsidP="0069692D">
      <w:pPr>
        <w:spacing w:after="0" w:line="240" w:lineRule="auto"/>
        <w:rPr>
          <w:rFonts w:ascii="Cambria" w:hAnsi="Cambria"/>
        </w:rPr>
      </w:pPr>
      <w:r w:rsidRPr="009A0DA6">
        <w:rPr>
          <w:rFonts w:ascii="Cambria" w:hAnsi="Cambria"/>
        </w:rPr>
        <w:t xml:space="preserve">Archival advice for school archivists; attendance at Career’s expos; membership on Immanuel College Archives committee; holding classes and tours for school students at the Archives; participation in staff development day (SA/NT district); provision of work experience placement for students from SA and Tas; participation in events such as SA German Teacher’s Conference. </w:t>
      </w:r>
    </w:p>
    <w:p w14:paraId="5FDCC6EB" w14:textId="77777777" w:rsidR="0069692D" w:rsidRPr="009A0DA6" w:rsidRDefault="0069692D" w:rsidP="0069692D">
      <w:pPr>
        <w:spacing w:after="0" w:line="240" w:lineRule="auto"/>
        <w:rPr>
          <w:rFonts w:ascii="Cambria" w:hAnsi="Cambria"/>
        </w:rPr>
      </w:pPr>
    </w:p>
    <w:p w14:paraId="3622E14F" w14:textId="77777777" w:rsidR="00202891" w:rsidRDefault="00202891">
      <w:pPr>
        <w:rPr>
          <w:rFonts w:ascii="Cambria" w:eastAsiaTheme="majorEastAsia" w:hAnsi="Cambria" w:cstheme="majorBidi"/>
          <w:b/>
          <w:caps/>
          <w:sz w:val="28"/>
          <w:szCs w:val="24"/>
        </w:rPr>
      </w:pPr>
      <w:r>
        <w:br w:type="page"/>
      </w:r>
    </w:p>
    <w:p w14:paraId="7E67DA3C" w14:textId="44C0DE74" w:rsidR="00F631B1" w:rsidRPr="009A0DA6" w:rsidRDefault="00F631B1" w:rsidP="00F631B1">
      <w:pPr>
        <w:pStyle w:val="Heading3"/>
      </w:pPr>
      <w:r w:rsidRPr="009A0DA6">
        <w:lastRenderedPageBreak/>
        <w:t>Financial Performance</w:t>
      </w:r>
    </w:p>
    <w:p w14:paraId="712C3E75" w14:textId="77777777" w:rsidR="00F631B1" w:rsidRPr="009A0DA6" w:rsidRDefault="00F631B1" w:rsidP="00766B14">
      <w:pPr>
        <w:pStyle w:val="NoSpacing"/>
        <w:rPr>
          <w:b/>
        </w:rPr>
      </w:pPr>
      <w:r w:rsidRPr="009A0DA6">
        <w:rPr>
          <w:b/>
        </w:rPr>
        <w:t xml:space="preserve">INDIVIDUAL DEPARTMENTAL FINANCIAL REPORT </w:t>
      </w:r>
    </w:p>
    <w:p w14:paraId="496508B6" w14:textId="126EB52F" w:rsidR="00F631B1" w:rsidRPr="009A0DA6" w:rsidRDefault="00F631B1" w:rsidP="00F631B1">
      <w:pPr>
        <w:pStyle w:val="NoSpacing"/>
        <w:rPr>
          <w:b/>
          <w:sz w:val="12"/>
        </w:rPr>
      </w:pPr>
      <w:r w:rsidRPr="009A0DA6">
        <w:rPr>
          <w:b/>
          <w:sz w:val="2"/>
          <w:szCs w:val="2"/>
        </w:rPr>
        <w:br/>
      </w:r>
      <w:r w:rsidR="00FF7E8B" w:rsidRPr="009A0DA6">
        <w:rPr>
          <w:b/>
        </w:rPr>
        <w:t>FOR THE PERIODS ENDING 31 DECEMBER</w:t>
      </w:r>
      <w:r w:rsidR="00FF7E8B" w:rsidRPr="009A0DA6">
        <w:rPr>
          <w:b/>
        </w:rPr>
        <w:br/>
      </w:r>
    </w:p>
    <w:p w14:paraId="440C11D9" w14:textId="77777777" w:rsidR="00F631B1" w:rsidRPr="009A0DA6" w:rsidRDefault="00F631B1" w:rsidP="00F631B1">
      <w:pPr>
        <w:tabs>
          <w:tab w:val="right" w:pos="5954"/>
          <w:tab w:val="right" w:pos="7371"/>
          <w:tab w:val="right" w:pos="8789"/>
        </w:tabs>
        <w:spacing w:after="0" w:line="240" w:lineRule="auto"/>
        <w:rPr>
          <w:rFonts w:ascii="Cambria" w:hAnsi="Cambria" w:cstheme="minorHAnsi"/>
          <w:b/>
        </w:rPr>
      </w:pPr>
      <w:r w:rsidRPr="009A0DA6">
        <w:rPr>
          <w:rFonts w:ascii="Cambria" w:hAnsi="Cambria" w:cstheme="minorHAnsi"/>
          <w:b/>
        </w:rPr>
        <w:tab/>
        <w:t>2017</w:t>
      </w:r>
      <w:r w:rsidRPr="009A0DA6">
        <w:rPr>
          <w:rFonts w:ascii="Cambria" w:hAnsi="Cambria" w:cstheme="minorHAnsi"/>
          <w:b/>
        </w:rPr>
        <w:tab/>
        <w:t>2016</w:t>
      </w:r>
      <w:r w:rsidRPr="009A0DA6">
        <w:rPr>
          <w:rFonts w:ascii="Cambria" w:hAnsi="Cambria" w:cstheme="minorHAnsi"/>
          <w:b/>
        </w:rPr>
        <w:tab/>
        <w:t>2015</w:t>
      </w:r>
    </w:p>
    <w:p w14:paraId="1E15829B" w14:textId="77777777" w:rsidR="00F631B1" w:rsidRPr="009A0DA6" w:rsidRDefault="00F631B1" w:rsidP="00F631B1">
      <w:pPr>
        <w:tabs>
          <w:tab w:val="right" w:pos="5954"/>
          <w:tab w:val="right" w:pos="7371"/>
          <w:tab w:val="right" w:pos="8789"/>
        </w:tabs>
        <w:spacing w:after="0" w:line="240" w:lineRule="auto"/>
        <w:rPr>
          <w:rFonts w:ascii="Cambria" w:hAnsi="Cambria" w:cstheme="minorHAnsi"/>
        </w:rPr>
      </w:pPr>
      <w:r w:rsidRPr="009A0DA6">
        <w:rPr>
          <w:rFonts w:ascii="Cambria" w:hAnsi="Cambria" w:cstheme="minorHAnsi"/>
          <w:b/>
        </w:rPr>
        <w:t>Income</w:t>
      </w:r>
    </w:p>
    <w:p w14:paraId="3A4046CE" w14:textId="77777777" w:rsidR="00F631B1" w:rsidRPr="009A0DA6" w:rsidRDefault="00F631B1" w:rsidP="00F631B1">
      <w:pPr>
        <w:tabs>
          <w:tab w:val="right" w:pos="5954"/>
          <w:tab w:val="right" w:pos="7371"/>
          <w:tab w:val="right" w:pos="8789"/>
        </w:tabs>
        <w:spacing w:after="0" w:line="240" w:lineRule="auto"/>
        <w:rPr>
          <w:rFonts w:ascii="Cambria" w:hAnsi="Cambria" w:cstheme="minorHAnsi"/>
        </w:rPr>
      </w:pPr>
      <w:r w:rsidRPr="009A0DA6">
        <w:rPr>
          <w:rFonts w:ascii="Cambria" w:hAnsi="Cambria" w:cstheme="minorHAnsi"/>
        </w:rPr>
        <w:t>Appeals, donations and bequests</w:t>
      </w:r>
      <w:r w:rsidRPr="009A0DA6">
        <w:rPr>
          <w:rFonts w:ascii="Cambria" w:hAnsi="Cambria" w:cstheme="minorHAnsi"/>
        </w:rPr>
        <w:tab/>
        <w:t>214,747</w:t>
      </w:r>
      <w:r w:rsidRPr="009A0DA6">
        <w:rPr>
          <w:rFonts w:ascii="Cambria" w:hAnsi="Cambria" w:cstheme="minorHAnsi"/>
        </w:rPr>
        <w:tab/>
      </w:r>
      <w:r w:rsidRPr="009A0DA6">
        <w:rPr>
          <w:rFonts w:ascii="Cambria" w:hAnsi="Cambria" w:cstheme="minorHAnsi"/>
          <w:spacing w:val="1"/>
        </w:rPr>
        <w:t>110,</w:t>
      </w:r>
      <w:r w:rsidRPr="009A0DA6">
        <w:rPr>
          <w:rFonts w:ascii="Cambria" w:hAnsi="Cambria" w:cstheme="minorHAnsi"/>
          <w:spacing w:val="-1"/>
        </w:rPr>
        <w:t>9</w:t>
      </w:r>
      <w:r w:rsidRPr="009A0DA6">
        <w:rPr>
          <w:rFonts w:ascii="Cambria" w:hAnsi="Cambria" w:cstheme="minorHAnsi"/>
          <w:spacing w:val="1"/>
        </w:rPr>
        <w:t>6</w:t>
      </w:r>
      <w:r w:rsidRPr="009A0DA6">
        <w:rPr>
          <w:rFonts w:ascii="Cambria" w:hAnsi="Cambria" w:cstheme="minorHAnsi"/>
        </w:rPr>
        <w:t>4</w:t>
      </w:r>
      <w:r w:rsidRPr="009A0DA6">
        <w:rPr>
          <w:rFonts w:ascii="Cambria" w:hAnsi="Cambria" w:cstheme="minorHAnsi"/>
        </w:rPr>
        <w:tab/>
        <w:t>113,909</w:t>
      </w:r>
    </w:p>
    <w:p w14:paraId="4EE92626" w14:textId="77777777" w:rsidR="00F631B1" w:rsidRPr="009A0DA6" w:rsidRDefault="00F631B1" w:rsidP="00F631B1">
      <w:pPr>
        <w:tabs>
          <w:tab w:val="right" w:pos="5954"/>
          <w:tab w:val="right" w:pos="7371"/>
          <w:tab w:val="right" w:pos="8789"/>
        </w:tabs>
        <w:spacing w:after="0" w:line="240" w:lineRule="auto"/>
        <w:rPr>
          <w:rFonts w:ascii="Cambria" w:hAnsi="Cambria" w:cstheme="minorHAnsi"/>
        </w:rPr>
      </w:pPr>
      <w:r w:rsidRPr="009A0DA6">
        <w:rPr>
          <w:rFonts w:ascii="Cambria" w:hAnsi="Cambria" w:cstheme="minorHAnsi"/>
        </w:rPr>
        <w:t>Investment and rental income</w:t>
      </w:r>
      <w:r w:rsidRPr="009A0DA6">
        <w:rPr>
          <w:rFonts w:ascii="Cambria" w:hAnsi="Cambria" w:cstheme="minorHAnsi"/>
        </w:rPr>
        <w:tab/>
        <w:t>545</w:t>
      </w:r>
      <w:r w:rsidRPr="009A0DA6">
        <w:rPr>
          <w:rFonts w:ascii="Cambria" w:hAnsi="Cambria" w:cstheme="minorHAnsi"/>
        </w:rPr>
        <w:tab/>
      </w:r>
      <w:r w:rsidRPr="009A0DA6">
        <w:rPr>
          <w:rFonts w:ascii="Cambria" w:hAnsi="Cambria" w:cstheme="minorHAnsi"/>
          <w:spacing w:val="1"/>
        </w:rPr>
        <w:t>4,98</w:t>
      </w:r>
      <w:r w:rsidRPr="009A0DA6">
        <w:rPr>
          <w:rFonts w:ascii="Cambria" w:hAnsi="Cambria" w:cstheme="minorHAnsi"/>
        </w:rPr>
        <w:t>0</w:t>
      </w:r>
      <w:r w:rsidRPr="009A0DA6">
        <w:rPr>
          <w:rFonts w:ascii="Cambria" w:hAnsi="Cambria" w:cstheme="minorHAnsi"/>
        </w:rPr>
        <w:tab/>
        <w:t>4,101</w:t>
      </w:r>
    </w:p>
    <w:p w14:paraId="61696D6C" w14:textId="77777777" w:rsidR="00F631B1" w:rsidRPr="009A0DA6" w:rsidRDefault="00F631B1" w:rsidP="00F631B1">
      <w:pPr>
        <w:tabs>
          <w:tab w:val="right" w:pos="5954"/>
          <w:tab w:val="right" w:pos="7371"/>
          <w:tab w:val="right" w:pos="8789"/>
        </w:tabs>
        <w:spacing w:after="0" w:line="240" w:lineRule="auto"/>
        <w:rPr>
          <w:rFonts w:ascii="Cambria" w:hAnsi="Cambria" w:cstheme="minorHAnsi"/>
        </w:rPr>
      </w:pPr>
      <w:r w:rsidRPr="009A0DA6">
        <w:rPr>
          <w:rFonts w:ascii="Cambria" w:hAnsi="Cambria" w:cstheme="minorHAnsi"/>
        </w:rPr>
        <w:t>LCA grants</w:t>
      </w:r>
      <w:r w:rsidRPr="009A0DA6">
        <w:rPr>
          <w:rFonts w:ascii="Cambria" w:hAnsi="Cambria" w:cstheme="minorHAnsi"/>
        </w:rPr>
        <w:tab/>
        <w:t>738</w:t>
      </w:r>
      <w:r w:rsidRPr="009A0DA6">
        <w:rPr>
          <w:rFonts w:ascii="Cambria" w:hAnsi="Cambria" w:cstheme="minorHAnsi"/>
        </w:rPr>
        <w:tab/>
      </w:r>
      <w:r w:rsidRPr="009A0DA6">
        <w:rPr>
          <w:rFonts w:ascii="Cambria" w:hAnsi="Cambria" w:cstheme="minorHAnsi"/>
          <w:spacing w:val="1"/>
        </w:rPr>
        <w:t>69</w:t>
      </w:r>
      <w:r w:rsidRPr="009A0DA6">
        <w:rPr>
          <w:rFonts w:ascii="Cambria" w:hAnsi="Cambria" w:cstheme="minorHAnsi"/>
        </w:rPr>
        <w:t>4</w:t>
      </w:r>
      <w:r w:rsidRPr="009A0DA6">
        <w:rPr>
          <w:rFonts w:ascii="Cambria" w:hAnsi="Cambria" w:cstheme="minorHAnsi"/>
        </w:rPr>
        <w:tab/>
        <w:t>9,007</w:t>
      </w:r>
    </w:p>
    <w:p w14:paraId="2497BE79" w14:textId="77777777" w:rsidR="00F631B1" w:rsidRPr="009A0DA6" w:rsidRDefault="00F631B1" w:rsidP="00F631B1">
      <w:pPr>
        <w:tabs>
          <w:tab w:val="right" w:pos="5954"/>
          <w:tab w:val="right" w:pos="7371"/>
          <w:tab w:val="right" w:pos="8789"/>
        </w:tabs>
        <w:spacing w:after="0" w:line="240" w:lineRule="auto"/>
        <w:rPr>
          <w:rFonts w:ascii="Cambria" w:hAnsi="Cambria" w:cstheme="minorHAnsi"/>
        </w:rPr>
      </w:pPr>
      <w:r w:rsidRPr="009A0DA6">
        <w:rPr>
          <w:rFonts w:ascii="Cambria" w:hAnsi="Cambria" w:cstheme="minorHAnsi"/>
        </w:rPr>
        <w:t>LCA other income</w:t>
      </w:r>
      <w:r w:rsidRPr="009A0DA6">
        <w:rPr>
          <w:rFonts w:ascii="Cambria" w:hAnsi="Cambria" w:cstheme="minorHAnsi"/>
        </w:rPr>
        <w:tab/>
        <w:t>163,000</w:t>
      </w:r>
      <w:r w:rsidRPr="009A0DA6">
        <w:rPr>
          <w:rFonts w:ascii="Cambria" w:hAnsi="Cambria" w:cstheme="minorHAnsi"/>
        </w:rPr>
        <w:tab/>
      </w:r>
      <w:r w:rsidRPr="009A0DA6">
        <w:rPr>
          <w:rFonts w:ascii="Cambria" w:hAnsi="Cambria" w:cstheme="minorHAnsi"/>
          <w:spacing w:val="1"/>
        </w:rPr>
        <w:t>160,</w:t>
      </w:r>
      <w:r w:rsidRPr="009A0DA6">
        <w:rPr>
          <w:rFonts w:ascii="Cambria" w:hAnsi="Cambria" w:cstheme="minorHAnsi"/>
          <w:spacing w:val="-1"/>
        </w:rPr>
        <w:t>0</w:t>
      </w:r>
      <w:r w:rsidRPr="009A0DA6">
        <w:rPr>
          <w:rFonts w:ascii="Cambria" w:hAnsi="Cambria" w:cstheme="minorHAnsi"/>
          <w:spacing w:val="1"/>
        </w:rPr>
        <w:t>0</w:t>
      </w:r>
      <w:r w:rsidRPr="009A0DA6">
        <w:rPr>
          <w:rFonts w:ascii="Cambria" w:hAnsi="Cambria" w:cstheme="minorHAnsi"/>
        </w:rPr>
        <w:t>0</w:t>
      </w:r>
      <w:r w:rsidRPr="009A0DA6">
        <w:rPr>
          <w:rFonts w:ascii="Cambria" w:hAnsi="Cambria" w:cstheme="minorHAnsi"/>
        </w:rPr>
        <w:tab/>
        <w:t>140,000</w:t>
      </w:r>
    </w:p>
    <w:p w14:paraId="6C72F38F" w14:textId="77777777" w:rsidR="00F631B1" w:rsidRPr="009A0DA6" w:rsidRDefault="00F631B1" w:rsidP="00F631B1">
      <w:pPr>
        <w:tabs>
          <w:tab w:val="right" w:pos="5954"/>
          <w:tab w:val="right" w:pos="7371"/>
          <w:tab w:val="right" w:pos="8789"/>
        </w:tabs>
        <w:spacing w:after="0" w:line="240" w:lineRule="auto"/>
        <w:rPr>
          <w:rFonts w:ascii="Cambria" w:hAnsi="Cambria" w:cstheme="minorHAnsi"/>
        </w:rPr>
      </w:pPr>
      <w:r w:rsidRPr="009A0DA6">
        <w:rPr>
          <w:rFonts w:ascii="Cambria" w:hAnsi="Cambria" w:cstheme="minorHAnsi"/>
        </w:rPr>
        <w:t>Reimbursements</w:t>
      </w:r>
      <w:r w:rsidRPr="009A0DA6">
        <w:rPr>
          <w:rFonts w:ascii="Cambria" w:hAnsi="Cambria" w:cstheme="minorHAnsi"/>
        </w:rPr>
        <w:tab/>
        <w:t>1,520</w:t>
      </w:r>
      <w:r w:rsidRPr="009A0DA6">
        <w:rPr>
          <w:rFonts w:ascii="Cambria" w:hAnsi="Cambria" w:cstheme="minorHAnsi"/>
        </w:rPr>
        <w:tab/>
      </w:r>
      <w:r w:rsidRPr="009A0DA6">
        <w:rPr>
          <w:rFonts w:ascii="Cambria" w:hAnsi="Cambria" w:cstheme="minorHAnsi"/>
          <w:spacing w:val="1"/>
        </w:rPr>
        <w:t>1,92</w:t>
      </w:r>
      <w:r w:rsidRPr="009A0DA6">
        <w:rPr>
          <w:rFonts w:ascii="Cambria" w:hAnsi="Cambria" w:cstheme="minorHAnsi"/>
        </w:rPr>
        <w:t>9</w:t>
      </w:r>
      <w:r w:rsidRPr="009A0DA6">
        <w:rPr>
          <w:rFonts w:ascii="Cambria" w:hAnsi="Cambria" w:cstheme="minorHAnsi"/>
        </w:rPr>
        <w:tab/>
        <w:t>24,358</w:t>
      </w:r>
    </w:p>
    <w:p w14:paraId="10F6995B" w14:textId="77777777" w:rsidR="00F631B1" w:rsidRPr="009A0DA6" w:rsidRDefault="00F631B1" w:rsidP="00F631B1">
      <w:pPr>
        <w:tabs>
          <w:tab w:val="right" w:pos="5954"/>
          <w:tab w:val="right" w:pos="7371"/>
          <w:tab w:val="right" w:pos="8789"/>
        </w:tabs>
        <w:spacing w:after="0" w:line="240" w:lineRule="auto"/>
        <w:rPr>
          <w:rFonts w:ascii="Cambria" w:hAnsi="Cambria" w:cstheme="minorHAnsi"/>
        </w:rPr>
      </w:pPr>
      <w:r w:rsidRPr="009A0DA6">
        <w:rPr>
          <w:rFonts w:ascii="Cambria" w:hAnsi="Cambria" w:cstheme="minorHAnsi"/>
        </w:rPr>
        <w:t>Trading income</w:t>
      </w:r>
      <w:r w:rsidRPr="009A0DA6">
        <w:rPr>
          <w:rFonts w:ascii="Cambria" w:hAnsi="Cambria" w:cstheme="minorHAnsi"/>
        </w:rPr>
        <w:tab/>
        <w:t>13,172</w:t>
      </w:r>
      <w:r w:rsidRPr="009A0DA6">
        <w:rPr>
          <w:rFonts w:ascii="Cambria" w:hAnsi="Cambria" w:cstheme="minorHAnsi"/>
        </w:rPr>
        <w:tab/>
      </w:r>
      <w:r w:rsidRPr="009A0DA6">
        <w:rPr>
          <w:rFonts w:ascii="Cambria" w:hAnsi="Cambria" w:cstheme="minorHAnsi"/>
          <w:spacing w:val="1"/>
        </w:rPr>
        <w:t>6,30</w:t>
      </w:r>
      <w:r w:rsidRPr="009A0DA6">
        <w:rPr>
          <w:rFonts w:ascii="Cambria" w:hAnsi="Cambria" w:cstheme="minorHAnsi"/>
        </w:rPr>
        <w:t>6</w:t>
      </w:r>
      <w:r w:rsidRPr="009A0DA6">
        <w:rPr>
          <w:rFonts w:ascii="Cambria" w:hAnsi="Cambria" w:cstheme="minorHAnsi"/>
        </w:rPr>
        <w:tab/>
        <w:t>9,470</w:t>
      </w:r>
    </w:p>
    <w:p w14:paraId="5F65FAD1" w14:textId="77777777" w:rsidR="00F631B1" w:rsidRPr="009A0DA6" w:rsidRDefault="00F631B1" w:rsidP="00F631B1">
      <w:pPr>
        <w:tabs>
          <w:tab w:val="right" w:pos="5954"/>
          <w:tab w:val="right" w:pos="7371"/>
          <w:tab w:val="right" w:pos="8789"/>
        </w:tabs>
        <w:spacing w:after="0" w:line="240" w:lineRule="auto"/>
        <w:rPr>
          <w:rFonts w:ascii="Cambria" w:hAnsi="Cambria" w:cstheme="minorHAnsi"/>
          <w:b/>
        </w:rPr>
      </w:pPr>
      <w:r w:rsidRPr="009A0DA6">
        <w:rPr>
          <w:rFonts w:ascii="Cambria" w:hAnsi="Cambria" w:cstheme="minorHAnsi"/>
          <w:b/>
        </w:rPr>
        <w:tab/>
        <w:t>393,722</w:t>
      </w:r>
      <w:r w:rsidRPr="009A0DA6">
        <w:rPr>
          <w:rFonts w:ascii="Cambria" w:hAnsi="Cambria" w:cstheme="minorHAnsi"/>
          <w:b/>
        </w:rPr>
        <w:tab/>
      </w:r>
      <w:r w:rsidRPr="009A0DA6">
        <w:rPr>
          <w:rFonts w:ascii="Cambria" w:hAnsi="Cambria" w:cstheme="minorHAnsi"/>
          <w:b/>
          <w:spacing w:val="1"/>
          <w:w w:val="99"/>
        </w:rPr>
        <w:t>284,</w:t>
      </w:r>
      <w:r w:rsidRPr="009A0DA6">
        <w:rPr>
          <w:rFonts w:ascii="Cambria" w:hAnsi="Cambria" w:cstheme="minorHAnsi"/>
          <w:b/>
          <w:spacing w:val="-1"/>
          <w:w w:val="99"/>
        </w:rPr>
        <w:t>8</w:t>
      </w:r>
      <w:r w:rsidRPr="009A0DA6">
        <w:rPr>
          <w:rFonts w:ascii="Cambria" w:hAnsi="Cambria" w:cstheme="minorHAnsi"/>
          <w:b/>
          <w:spacing w:val="1"/>
          <w:w w:val="99"/>
        </w:rPr>
        <w:t>7</w:t>
      </w:r>
      <w:r w:rsidRPr="009A0DA6">
        <w:rPr>
          <w:rFonts w:ascii="Cambria" w:hAnsi="Cambria" w:cstheme="minorHAnsi"/>
          <w:b/>
          <w:w w:val="99"/>
        </w:rPr>
        <w:t>3</w:t>
      </w:r>
      <w:r w:rsidRPr="009A0DA6">
        <w:rPr>
          <w:rFonts w:ascii="Cambria" w:hAnsi="Cambria" w:cstheme="minorHAnsi"/>
          <w:b/>
        </w:rPr>
        <w:tab/>
        <w:t>300,845</w:t>
      </w:r>
    </w:p>
    <w:p w14:paraId="66541E0F" w14:textId="77777777" w:rsidR="00F631B1" w:rsidRPr="009A0DA6" w:rsidRDefault="00F631B1" w:rsidP="00F631B1">
      <w:pPr>
        <w:tabs>
          <w:tab w:val="right" w:pos="5954"/>
          <w:tab w:val="right" w:pos="7371"/>
          <w:tab w:val="right" w:pos="8789"/>
        </w:tabs>
        <w:spacing w:after="0" w:line="240" w:lineRule="auto"/>
        <w:rPr>
          <w:rFonts w:ascii="Cambria" w:hAnsi="Cambria" w:cstheme="minorHAnsi"/>
        </w:rPr>
      </w:pPr>
      <w:r w:rsidRPr="009A0DA6">
        <w:rPr>
          <w:rFonts w:ascii="Cambria" w:hAnsi="Cambria" w:cstheme="minorHAnsi"/>
          <w:b/>
        </w:rPr>
        <w:t>Expenditure</w:t>
      </w:r>
    </w:p>
    <w:p w14:paraId="44120223" w14:textId="77777777" w:rsidR="00F631B1" w:rsidRPr="009A0DA6" w:rsidRDefault="00F631B1" w:rsidP="00F631B1">
      <w:pPr>
        <w:tabs>
          <w:tab w:val="right" w:pos="5954"/>
          <w:tab w:val="right" w:pos="7371"/>
          <w:tab w:val="right" w:pos="8789"/>
        </w:tabs>
        <w:spacing w:after="0" w:line="240" w:lineRule="auto"/>
        <w:rPr>
          <w:rFonts w:ascii="Cambria" w:hAnsi="Cambria" w:cstheme="minorHAnsi"/>
        </w:rPr>
      </w:pPr>
      <w:r w:rsidRPr="009A0DA6">
        <w:rPr>
          <w:rFonts w:ascii="Cambria" w:hAnsi="Cambria" w:cstheme="minorHAnsi"/>
        </w:rPr>
        <w:t>Administration costs</w:t>
      </w:r>
      <w:r w:rsidRPr="009A0DA6">
        <w:rPr>
          <w:rFonts w:ascii="Cambria" w:hAnsi="Cambria" w:cstheme="minorHAnsi"/>
        </w:rPr>
        <w:tab/>
        <w:t>6,920</w:t>
      </w:r>
      <w:r w:rsidRPr="009A0DA6">
        <w:rPr>
          <w:rFonts w:ascii="Cambria" w:hAnsi="Cambria" w:cstheme="minorHAnsi"/>
        </w:rPr>
        <w:tab/>
      </w:r>
      <w:r w:rsidRPr="009A0DA6">
        <w:rPr>
          <w:rFonts w:ascii="Cambria" w:hAnsi="Cambria" w:cstheme="minorHAnsi"/>
          <w:spacing w:val="1"/>
        </w:rPr>
        <w:t>3,78</w:t>
      </w:r>
      <w:r w:rsidRPr="009A0DA6">
        <w:rPr>
          <w:rFonts w:ascii="Cambria" w:hAnsi="Cambria" w:cstheme="minorHAnsi"/>
        </w:rPr>
        <w:t>5</w:t>
      </w:r>
      <w:r w:rsidRPr="009A0DA6">
        <w:rPr>
          <w:rFonts w:ascii="Cambria" w:hAnsi="Cambria" w:cstheme="minorHAnsi"/>
        </w:rPr>
        <w:tab/>
        <w:t>3,769</w:t>
      </w:r>
    </w:p>
    <w:p w14:paraId="01E8C6A5" w14:textId="77777777" w:rsidR="00F631B1" w:rsidRPr="009A0DA6" w:rsidRDefault="00F631B1" w:rsidP="00F631B1">
      <w:pPr>
        <w:tabs>
          <w:tab w:val="right" w:pos="5954"/>
          <w:tab w:val="right" w:pos="7371"/>
          <w:tab w:val="right" w:pos="8789"/>
        </w:tabs>
        <w:spacing w:after="0" w:line="240" w:lineRule="auto"/>
        <w:rPr>
          <w:rFonts w:ascii="Cambria" w:hAnsi="Cambria" w:cstheme="minorHAnsi"/>
        </w:rPr>
      </w:pPr>
      <w:r w:rsidRPr="009A0DA6">
        <w:rPr>
          <w:rFonts w:ascii="Cambria" w:hAnsi="Cambria" w:cstheme="minorHAnsi"/>
        </w:rPr>
        <w:t>Asset costs</w:t>
      </w:r>
      <w:r w:rsidRPr="009A0DA6">
        <w:rPr>
          <w:rFonts w:ascii="Cambria" w:hAnsi="Cambria" w:cstheme="minorHAnsi"/>
        </w:rPr>
        <w:tab/>
        <w:t>30,342</w:t>
      </w:r>
      <w:r w:rsidRPr="009A0DA6">
        <w:rPr>
          <w:rFonts w:ascii="Cambria" w:hAnsi="Cambria" w:cstheme="minorHAnsi"/>
        </w:rPr>
        <w:tab/>
      </w:r>
      <w:r w:rsidRPr="009A0DA6">
        <w:rPr>
          <w:rFonts w:ascii="Cambria" w:hAnsi="Cambria" w:cstheme="minorHAnsi"/>
          <w:spacing w:val="1"/>
        </w:rPr>
        <w:t>33,1</w:t>
      </w:r>
      <w:r w:rsidRPr="009A0DA6">
        <w:rPr>
          <w:rFonts w:ascii="Cambria" w:hAnsi="Cambria" w:cstheme="minorHAnsi"/>
          <w:spacing w:val="-1"/>
        </w:rPr>
        <w:t>2</w:t>
      </w:r>
      <w:r w:rsidRPr="009A0DA6">
        <w:rPr>
          <w:rFonts w:ascii="Cambria" w:hAnsi="Cambria" w:cstheme="minorHAnsi"/>
        </w:rPr>
        <w:t>8</w:t>
      </w:r>
      <w:r w:rsidRPr="009A0DA6">
        <w:rPr>
          <w:rFonts w:ascii="Cambria" w:hAnsi="Cambria" w:cstheme="minorHAnsi"/>
        </w:rPr>
        <w:tab/>
        <w:t>42,586</w:t>
      </w:r>
    </w:p>
    <w:p w14:paraId="5A1957D2" w14:textId="77777777" w:rsidR="00F631B1" w:rsidRPr="009A0DA6" w:rsidRDefault="00F631B1" w:rsidP="00F631B1">
      <w:pPr>
        <w:tabs>
          <w:tab w:val="right" w:pos="5954"/>
          <w:tab w:val="right" w:pos="7371"/>
          <w:tab w:val="right" w:pos="8789"/>
        </w:tabs>
        <w:spacing w:after="0" w:line="240" w:lineRule="auto"/>
        <w:rPr>
          <w:rFonts w:ascii="Cambria" w:hAnsi="Cambria" w:cstheme="minorHAnsi"/>
        </w:rPr>
      </w:pPr>
      <w:r w:rsidRPr="009A0DA6">
        <w:rPr>
          <w:rFonts w:ascii="Cambria" w:hAnsi="Cambria" w:cstheme="minorHAnsi"/>
        </w:rPr>
        <w:t>Consulting expenses</w:t>
      </w:r>
      <w:r w:rsidRPr="009A0DA6">
        <w:rPr>
          <w:rFonts w:ascii="Cambria" w:hAnsi="Cambria" w:cstheme="minorHAnsi"/>
        </w:rPr>
        <w:tab/>
        <w:t>2,595</w:t>
      </w:r>
      <w:r w:rsidRPr="009A0DA6">
        <w:rPr>
          <w:rFonts w:ascii="Cambria" w:hAnsi="Cambria" w:cstheme="minorHAnsi"/>
        </w:rPr>
        <w:tab/>
      </w:r>
      <w:r w:rsidRPr="009A0DA6">
        <w:rPr>
          <w:rFonts w:ascii="Cambria" w:hAnsi="Cambria" w:cstheme="minorHAnsi"/>
          <w:spacing w:val="1"/>
        </w:rPr>
        <w:t>1,50</w:t>
      </w:r>
      <w:r w:rsidRPr="009A0DA6">
        <w:rPr>
          <w:rFonts w:ascii="Cambria" w:hAnsi="Cambria" w:cstheme="minorHAnsi"/>
        </w:rPr>
        <w:t>0</w:t>
      </w:r>
      <w:r w:rsidRPr="009A0DA6">
        <w:rPr>
          <w:rFonts w:ascii="Cambria" w:hAnsi="Cambria" w:cstheme="minorHAnsi"/>
        </w:rPr>
        <w:tab/>
        <w:t>1,500</w:t>
      </w:r>
    </w:p>
    <w:p w14:paraId="194AEFC1" w14:textId="77777777" w:rsidR="00F631B1" w:rsidRPr="009A0DA6" w:rsidRDefault="00F631B1" w:rsidP="00F631B1">
      <w:pPr>
        <w:tabs>
          <w:tab w:val="right" w:pos="5954"/>
          <w:tab w:val="right" w:pos="7371"/>
          <w:tab w:val="right" w:pos="8789"/>
        </w:tabs>
        <w:spacing w:after="0" w:line="240" w:lineRule="auto"/>
        <w:rPr>
          <w:rFonts w:ascii="Cambria" w:hAnsi="Cambria" w:cstheme="minorHAnsi"/>
        </w:rPr>
      </w:pPr>
      <w:r w:rsidRPr="009A0DA6">
        <w:rPr>
          <w:rFonts w:ascii="Cambria" w:hAnsi="Cambria" w:cstheme="minorHAnsi"/>
        </w:rPr>
        <w:t>Depreciation expense</w:t>
      </w:r>
      <w:r w:rsidRPr="009A0DA6">
        <w:rPr>
          <w:rFonts w:ascii="Cambria" w:hAnsi="Cambria" w:cstheme="minorHAnsi"/>
        </w:rPr>
        <w:tab/>
        <w:t>42,524</w:t>
      </w:r>
      <w:r w:rsidRPr="009A0DA6">
        <w:rPr>
          <w:rFonts w:ascii="Cambria" w:hAnsi="Cambria" w:cstheme="minorHAnsi"/>
        </w:rPr>
        <w:tab/>
      </w:r>
      <w:r w:rsidRPr="009A0DA6">
        <w:rPr>
          <w:rFonts w:ascii="Cambria" w:hAnsi="Cambria" w:cstheme="minorHAnsi"/>
          <w:spacing w:val="1"/>
        </w:rPr>
        <w:t>34,8</w:t>
      </w:r>
      <w:r w:rsidRPr="009A0DA6">
        <w:rPr>
          <w:rFonts w:ascii="Cambria" w:hAnsi="Cambria" w:cstheme="minorHAnsi"/>
          <w:spacing w:val="-1"/>
        </w:rPr>
        <w:t>8</w:t>
      </w:r>
      <w:r w:rsidRPr="009A0DA6">
        <w:rPr>
          <w:rFonts w:ascii="Cambria" w:hAnsi="Cambria" w:cstheme="minorHAnsi"/>
        </w:rPr>
        <w:t>3</w:t>
      </w:r>
      <w:r w:rsidRPr="009A0DA6">
        <w:rPr>
          <w:rFonts w:ascii="Cambria" w:hAnsi="Cambria" w:cstheme="minorHAnsi"/>
        </w:rPr>
        <w:tab/>
        <w:t>0</w:t>
      </w:r>
    </w:p>
    <w:p w14:paraId="6ADC8F22" w14:textId="77777777" w:rsidR="00F631B1" w:rsidRPr="009A0DA6" w:rsidRDefault="00F631B1" w:rsidP="00F631B1">
      <w:pPr>
        <w:tabs>
          <w:tab w:val="right" w:pos="5954"/>
          <w:tab w:val="right" w:pos="7371"/>
          <w:tab w:val="right" w:pos="8789"/>
        </w:tabs>
        <w:spacing w:after="0" w:line="240" w:lineRule="auto"/>
        <w:rPr>
          <w:rFonts w:ascii="Cambria" w:hAnsi="Cambria" w:cstheme="minorHAnsi"/>
        </w:rPr>
      </w:pPr>
      <w:r w:rsidRPr="009A0DA6">
        <w:rPr>
          <w:rFonts w:ascii="Cambria" w:hAnsi="Cambria" w:cstheme="minorHAnsi"/>
        </w:rPr>
        <w:t>Employee expenses</w:t>
      </w:r>
      <w:r w:rsidRPr="009A0DA6">
        <w:rPr>
          <w:rFonts w:ascii="Cambria" w:hAnsi="Cambria" w:cstheme="minorHAnsi"/>
        </w:rPr>
        <w:tab/>
        <w:t>224,129</w:t>
      </w:r>
      <w:r w:rsidRPr="009A0DA6">
        <w:rPr>
          <w:rFonts w:ascii="Cambria" w:hAnsi="Cambria" w:cstheme="minorHAnsi"/>
        </w:rPr>
        <w:tab/>
      </w:r>
      <w:r w:rsidRPr="009A0DA6">
        <w:rPr>
          <w:rFonts w:ascii="Cambria" w:hAnsi="Cambria" w:cstheme="minorHAnsi"/>
          <w:spacing w:val="1"/>
        </w:rPr>
        <w:t>182,</w:t>
      </w:r>
      <w:r w:rsidRPr="009A0DA6">
        <w:rPr>
          <w:rFonts w:ascii="Cambria" w:hAnsi="Cambria" w:cstheme="minorHAnsi"/>
          <w:spacing w:val="-1"/>
        </w:rPr>
        <w:t>2</w:t>
      </w:r>
      <w:r w:rsidRPr="009A0DA6">
        <w:rPr>
          <w:rFonts w:ascii="Cambria" w:hAnsi="Cambria" w:cstheme="minorHAnsi"/>
          <w:spacing w:val="1"/>
        </w:rPr>
        <w:t>4</w:t>
      </w:r>
      <w:r w:rsidRPr="009A0DA6">
        <w:rPr>
          <w:rFonts w:ascii="Cambria" w:hAnsi="Cambria" w:cstheme="minorHAnsi"/>
        </w:rPr>
        <w:t>5</w:t>
      </w:r>
      <w:r w:rsidRPr="009A0DA6">
        <w:rPr>
          <w:rFonts w:ascii="Cambria" w:hAnsi="Cambria" w:cstheme="minorHAnsi"/>
        </w:rPr>
        <w:tab/>
        <w:t>189,571</w:t>
      </w:r>
    </w:p>
    <w:p w14:paraId="2A6C0B41" w14:textId="77777777" w:rsidR="00F631B1" w:rsidRPr="009A0DA6" w:rsidRDefault="00F631B1" w:rsidP="00F631B1">
      <w:pPr>
        <w:tabs>
          <w:tab w:val="right" w:pos="5954"/>
          <w:tab w:val="right" w:pos="7371"/>
          <w:tab w:val="right" w:pos="8789"/>
        </w:tabs>
        <w:spacing w:after="0" w:line="240" w:lineRule="auto"/>
        <w:rPr>
          <w:rFonts w:ascii="Cambria" w:hAnsi="Cambria" w:cstheme="minorHAnsi"/>
        </w:rPr>
      </w:pPr>
      <w:r w:rsidRPr="009A0DA6">
        <w:rPr>
          <w:rFonts w:ascii="Cambria" w:hAnsi="Cambria" w:cstheme="minorHAnsi"/>
        </w:rPr>
        <w:t>Governance costs</w:t>
      </w:r>
      <w:r w:rsidRPr="009A0DA6">
        <w:rPr>
          <w:rFonts w:ascii="Cambria" w:hAnsi="Cambria" w:cstheme="minorHAnsi"/>
        </w:rPr>
        <w:tab/>
        <w:t>500</w:t>
      </w:r>
      <w:r w:rsidRPr="009A0DA6">
        <w:rPr>
          <w:rFonts w:ascii="Cambria" w:hAnsi="Cambria" w:cstheme="minorHAnsi"/>
        </w:rPr>
        <w:tab/>
      </w:r>
      <w:r w:rsidRPr="009A0DA6">
        <w:rPr>
          <w:rFonts w:ascii="Cambria" w:hAnsi="Cambria" w:cstheme="minorHAnsi"/>
        </w:rPr>
        <w:tab/>
        <w:t>1,215</w:t>
      </w:r>
    </w:p>
    <w:p w14:paraId="0DF898DA" w14:textId="77777777" w:rsidR="00F631B1" w:rsidRPr="009A0DA6" w:rsidRDefault="00F631B1" w:rsidP="00F631B1">
      <w:pPr>
        <w:tabs>
          <w:tab w:val="right" w:pos="5954"/>
          <w:tab w:val="right" w:pos="7371"/>
          <w:tab w:val="right" w:pos="8789"/>
        </w:tabs>
        <w:spacing w:after="0" w:line="240" w:lineRule="auto"/>
        <w:rPr>
          <w:rFonts w:ascii="Cambria" w:hAnsi="Cambria" w:cstheme="minorHAnsi"/>
        </w:rPr>
      </w:pPr>
      <w:r w:rsidRPr="009A0DA6">
        <w:rPr>
          <w:rFonts w:ascii="Cambria" w:hAnsi="Cambria" w:cstheme="minorHAnsi"/>
        </w:rPr>
        <w:t>LCA other expenditure and reimbursements</w:t>
      </w:r>
      <w:r w:rsidRPr="009A0DA6">
        <w:rPr>
          <w:rFonts w:ascii="Cambria" w:hAnsi="Cambria" w:cstheme="minorHAnsi"/>
        </w:rPr>
        <w:tab/>
        <w:t>6,580</w:t>
      </w:r>
      <w:r w:rsidRPr="009A0DA6">
        <w:rPr>
          <w:rFonts w:ascii="Cambria" w:hAnsi="Cambria" w:cstheme="minorHAnsi"/>
        </w:rPr>
        <w:tab/>
      </w:r>
      <w:r w:rsidRPr="009A0DA6">
        <w:rPr>
          <w:rFonts w:ascii="Cambria" w:hAnsi="Cambria" w:cstheme="minorHAnsi"/>
          <w:spacing w:val="1"/>
        </w:rPr>
        <w:t>1,40</w:t>
      </w:r>
      <w:r w:rsidRPr="009A0DA6">
        <w:rPr>
          <w:rFonts w:ascii="Cambria" w:hAnsi="Cambria" w:cstheme="minorHAnsi"/>
        </w:rPr>
        <w:t>5</w:t>
      </w:r>
      <w:r w:rsidRPr="009A0DA6">
        <w:rPr>
          <w:rFonts w:ascii="Cambria" w:hAnsi="Cambria" w:cstheme="minorHAnsi"/>
        </w:rPr>
        <w:tab/>
        <w:t>1,405</w:t>
      </w:r>
    </w:p>
    <w:p w14:paraId="150CADAD" w14:textId="77777777" w:rsidR="00F631B1" w:rsidRPr="009A0DA6" w:rsidRDefault="00F631B1" w:rsidP="00F631B1">
      <w:pPr>
        <w:tabs>
          <w:tab w:val="right" w:pos="5954"/>
          <w:tab w:val="right" w:pos="7371"/>
          <w:tab w:val="right" w:pos="8789"/>
        </w:tabs>
        <w:spacing w:after="0" w:line="240" w:lineRule="auto"/>
        <w:rPr>
          <w:rFonts w:ascii="Cambria" w:hAnsi="Cambria" w:cstheme="minorHAnsi"/>
        </w:rPr>
      </w:pPr>
      <w:r w:rsidRPr="009A0DA6">
        <w:rPr>
          <w:rFonts w:ascii="Cambria" w:hAnsi="Cambria" w:cstheme="minorHAnsi"/>
        </w:rPr>
        <w:t>Ministry expenses</w:t>
      </w:r>
      <w:r w:rsidRPr="009A0DA6">
        <w:rPr>
          <w:rFonts w:ascii="Cambria" w:hAnsi="Cambria" w:cstheme="minorHAnsi"/>
        </w:rPr>
        <w:tab/>
        <w:t>18,918</w:t>
      </w:r>
      <w:r w:rsidRPr="009A0DA6">
        <w:rPr>
          <w:rFonts w:ascii="Cambria" w:hAnsi="Cambria" w:cstheme="minorHAnsi"/>
        </w:rPr>
        <w:tab/>
      </w:r>
      <w:r w:rsidRPr="009A0DA6">
        <w:rPr>
          <w:rFonts w:ascii="Cambria" w:hAnsi="Cambria" w:cstheme="minorHAnsi"/>
          <w:spacing w:val="1"/>
        </w:rPr>
        <w:t>5,84</w:t>
      </w:r>
      <w:r w:rsidRPr="009A0DA6">
        <w:rPr>
          <w:rFonts w:ascii="Cambria" w:hAnsi="Cambria" w:cstheme="minorHAnsi"/>
        </w:rPr>
        <w:t>50</w:t>
      </w:r>
      <w:r w:rsidRPr="009A0DA6">
        <w:rPr>
          <w:rFonts w:ascii="Cambria" w:hAnsi="Cambria" w:cstheme="minorHAnsi"/>
        </w:rPr>
        <w:tab/>
        <w:t>25,746</w:t>
      </w:r>
    </w:p>
    <w:p w14:paraId="226F8E75" w14:textId="77777777" w:rsidR="00F631B1" w:rsidRPr="009A0DA6" w:rsidRDefault="00F631B1" w:rsidP="00F631B1">
      <w:pPr>
        <w:tabs>
          <w:tab w:val="right" w:pos="5954"/>
          <w:tab w:val="right" w:pos="7371"/>
          <w:tab w:val="right" w:pos="8789"/>
        </w:tabs>
        <w:spacing w:after="0" w:line="240" w:lineRule="auto"/>
        <w:rPr>
          <w:rFonts w:ascii="Cambria" w:hAnsi="Cambria" w:cstheme="minorHAnsi"/>
        </w:rPr>
      </w:pPr>
      <w:r w:rsidRPr="009A0DA6">
        <w:rPr>
          <w:rFonts w:ascii="Cambria" w:hAnsi="Cambria" w:cstheme="minorHAnsi"/>
        </w:rPr>
        <w:t>Project costs</w:t>
      </w:r>
      <w:r w:rsidRPr="009A0DA6">
        <w:rPr>
          <w:rFonts w:ascii="Cambria" w:hAnsi="Cambria" w:cstheme="minorHAnsi"/>
        </w:rPr>
        <w:tab/>
        <w:t>909</w:t>
      </w:r>
      <w:r w:rsidRPr="009A0DA6">
        <w:rPr>
          <w:rFonts w:ascii="Cambria" w:hAnsi="Cambria" w:cstheme="minorHAnsi"/>
        </w:rPr>
        <w:tab/>
        <w:t>0</w:t>
      </w:r>
      <w:r w:rsidRPr="009A0DA6">
        <w:rPr>
          <w:rFonts w:ascii="Cambria" w:hAnsi="Cambria" w:cstheme="minorHAnsi"/>
        </w:rPr>
        <w:tab/>
        <w:t>0</w:t>
      </w:r>
    </w:p>
    <w:p w14:paraId="2CB8D25B" w14:textId="77777777" w:rsidR="00F631B1" w:rsidRPr="009A0DA6" w:rsidRDefault="00F631B1" w:rsidP="00F631B1">
      <w:pPr>
        <w:tabs>
          <w:tab w:val="right" w:pos="5954"/>
          <w:tab w:val="right" w:pos="7371"/>
          <w:tab w:val="right" w:pos="8789"/>
        </w:tabs>
        <w:spacing w:after="0" w:line="240" w:lineRule="auto"/>
        <w:rPr>
          <w:rFonts w:ascii="Cambria" w:hAnsi="Cambria" w:cstheme="minorHAnsi"/>
        </w:rPr>
      </w:pPr>
      <w:r w:rsidRPr="009A0DA6">
        <w:rPr>
          <w:rFonts w:ascii="Cambria" w:hAnsi="Cambria" w:cstheme="minorHAnsi"/>
        </w:rPr>
        <w:t>Promotion and marketing costs</w:t>
      </w:r>
      <w:r w:rsidRPr="009A0DA6">
        <w:rPr>
          <w:rFonts w:ascii="Cambria" w:hAnsi="Cambria" w:cstheme="minorHAnsi"/>
        </w:rPr>
        <w:tab/>
        <w:t>962</w:t>
      </w:r>
      <w:r w:rsidRPr="009A0DA6">
        <w:rPr>
          <w:rFonts w:ascii="Cambria" w:hAnsi="Cambria" w:cstheme="minorHAnsi"/>
        </w:rPr>
        <w:tab/>
      </w:r>
      <w:r w:rsidRPr="009A0DA6">
        <w:rPr>
          <w:rFonts w:ascii="Cambria" w:hAnsi="Cambria" w:cstheme="minorHAnsi"/>
          <w:spacing w:val="1"/>
        </w:rPr>
        <w:t>2,06</w:t>
      </w:r>
      <w:r w:rsidRPr="009A0DA6">
        <w:rPr>
          <w:rFonts w:ascii="Cambria" w:hAnsi="Cambria" w:cstheme="minorHAnsi"/>
        </w:rPr>
        <w:t>9</w:t>
      </w:r>
      <w:r w:rsidRPr="009A0DA6">
        <w:rPr>
          <w:rFonts w:ascii="Cambria" w:hAnsi="Cambria" w:cstheme="minorHAnsi"/>
        </w:rPr>
        <w:tab/>
        <w:t>6,988</w:t>
      </w:r>
    </w:p>
    <w:p w14:paraId="496ABB35" w14:textId="77777777" w:rsidR="00F631B1" w:rsidRPr="009A0DA6" w:rsidRDefault="00F631B1" w:rsidP="00F631B1">
      <w:pPr>
        <w:tabs>
          <w:tab w:val="right" w:pos="5954"/>
          <w:tab w:val="right" w:pos="7371"/>
          <w:tab w:val="right" w:pos="8789"/>
        </w:tabs>
        <w:spacing w:after="0" w:line="240" w:lineRule="auto"/>
        <w:rPr>
          <w:rFonts w:ascii="Cambria" w:hAnsi="Cambria" w:cstheme="minorHAnsi"/>
        </w:rPr>
      </w:pPr>
      <w:r w:rsidRPr="009A0DA6">
        <w:rPr>
          <w:rFonts w:ascii="Cambria" w:hAnsi="Cambria" w:cstheme="minorHAnsi"/>
        </w:rPr>
        <w:t>Travelling expenses</w:t>
      </w:r>
      <w:r w:rsidRPr="009A0DA6">
        <w:rPr>
          <w:rFonts w:ascii="Cambria" w:hAnsi="Cambria" w:cstheme="minorHAnsi"/>
        </w:rPr>
        <w:tab/>
        <w:t>1,410</w:t>
      </w:r>
      <w:r w:rsidRPr="009A0DA6">
        <w:rPr>
          <w:rFonts w:ascii="Cambria" w:hAnsi="Cambria" w:cstheme="minorHAnsi"/>
        </w:rPr>
        <w:tab/>
      </w:r>
      <w:r w:rsidRPr="009A0DA6">
        <w:rPr>
          <w:rFonts w:ascii="Cambria" w:hAnsi="Cambria" w:cstheme="minorHAnsi"/>
          <w:spacing w:val="1"/>
        </w:rPr>
        <w:t>3,73</w:t>
      </w:r>
      <w:r w:rsidRPr="009A0DA6">
        <w:rPr>
          <w:rFonts w:ascii="Cambria" w:hAnsi="Cambria" w:cstheme="minorHAnsi"/>
        </w:rPr>
        <w:t>9</w:t>
      </w:r>
      <w:r w:rsidRPr="009A0DA6">
        <w:rPr>
          <w:rFonts w:ascii="Cambria" w:hAnsi="Cambria" w:cstheme="minorHAnsi"/>
        </w:rPr>
        <w:tab/>
        <w:t>4,576</w:t>
      </w:r>
    </w:p>
    <w:p w14:paraId="1E9CCB67" w14:textId="77777777" w:rsidR="00F631B1" w:rsidRPr="009A0DA6" w:rsidRDefault="00F631B1" w:rsidP="00F631B1">
      <w:pPr>
        <w:tabs>
          <w:tab w:val="right" w:pos="5954"/>
          <w:tab w:val="right" w:pos="7371"/>
          <w:tab w:val="right" w:pos="8789"/>
        </w:tabs>
        <w:spacing w:after="0" w:line="240" w:lineRule="auto"/>
        <w:rPr>
          <w:rFonts w:ascii="Cambria" w:hAnsi="Cambria" w:cstheme="minorHAnsi"/>
          <w:b/>
        </w:rPr>
      </w:pPr>
      <w:r w:rsidRPr="009A0DA6">
        <w:rPr>
          <w:rFonts w:ascii="Cambria" w:hAnsi="Cambria" w:cstheme="minorHAnsi"/>
          <w:b/>
        </w:rPr>
        <w:tab/>
        <w:t>335,789</w:t>
      </w:r>
      <w:r w:rsidRPr="009A0DA6">
        <w:rPr>
          <w:rFonts w:ascii="Cambria" w:hAnsi="Cambria" w:cstheme="minorHAnsi"/>
          <w:b/>
        </w:rPr>
        <w:tab/>
      </w:r>
      <w:r w:rsidRPr="009A0DA6">
        <w:rPr>
          <w:rFonts w:ascii="Cambria" w:hAnsi="Cambria" w:cstheme="minorHAnsi"/>
          <w:b/>
          <w:spacing w:val="1"/>
          <w:w w:val="99"/>
        </w:rPr>
        <w:t>268,</w:t>
      </w:r>
      <w:r w:rsidRPr="009A0DA6">
        <w:rPr>
          <w:rFonts w:ascii="Cambria" w:hAnsi="Cambria" w:cstheme="minorHAnsi"/>
          <w:b/>
          <w:spacing w:val="-1"/>
          <w:w w:val="99"/>
        </w:rPr>
        <w:t>5</w:t>
      </w:r>
      <w:r w:rsidRPr="009A0DA6">
        <w:rPr>
          <w:rFonts w:ascii="Cambria" w:hAnsi="Cambria" w:cstheme="minorHAnsi"/>
          <w:b/>
          <w:spacing w:val="1"/>
          <w:w w:val="99"/>
        </w:rPr>
        <w:t>9</w:t>
      </w:r>
      <w:r w:rsidRPr="009A0DA6">
        <w:rPr>
          <w:rFonts w:ascii="Cambria" w:hAnsi="Cambria" w:cstheme="minorHAnsi"/>
          <w:b/>
          <w:w w:val="99"/>
        </w:rPr>
        <w:t>9</w:t>
      </w:r>
      <w:r w:rsidRPr="009A0DA6">
        <w:rPr>
          <w:rFonts w:ascii="Cambria" w:hAnsi="Cambria" w:cstheme="minorHAnsi"/>
          <w:b/>
        </w:rPr>
        <w:tab/>
        <w:t>277,355</w:t>
      </w:r>
    </w:p>
    <w:p w14:paraId="0033FE85" w14:textId="77777777" w:rsidR="00F631B1" w:rsidRPr="009A0DA6" w:rsidRDefault="00F631B1" w:rsidP="00F631B1">
      <w:pPr>
        <w:tabs>
          <w:tab w:val="right" w:pos="5954"/>
          <w:tab w:val="right" w:pos="7371"/>
          <w:tab w:val="right" w:pos="8789"/>
        </w:tabs>
        <w:spacing w:after="0" w:line="240" w:lineRule="auto"/>
        <w:rPr>
          <w:rFonts w:ascii="Cambria" w:hAnsi="Cambria" w:cstheme="minorHAnsi"/>
          <w:b/>
        </w:rPr>
      </w:pPr>
    </w:p>
    <w:p w14:paraId="65B7EE75" w14:textId="77777777" w:rsidR="00F631B1" w:rsidRPr="009A0DA6" w:rsidRDefault="00F631B1" w:rsidP="00F631B1">
      <w:pPr>
        <w:tabs>
          <w:tab w:val="right" w:pos="5954"/>
          <w:tab w:val="right" w:pos="7371"/>
          <w:tab w:val="right" w:pos="8789"/>
        </w:tabs>
        <w:spacing w:after="0" w:line="240" w:lineRule="auto"/>
        <w:rPr>
          <w:rFonts w:ascii="Cambria" w:hAnsi="Cambria" w:cstheme="minorHAnsi"/>
        </w:rPr>
      </w:pPr>
      <w:r w:rsidRPr="009A0DA6">
        <w:rPr>
          <w:rFonts w:ascii="Cambria" w:hAnsi="Cambria" w:cstheme="minorHAnsi"/>
        </w:rPr>
        <w:t>Operating surplus for the year</w:t>
      </w:r>
      <w:r w:rsidRPr="009A0DA6">
        <w:rPr>
          <w:rFonts w:ascii="Cambria" w:hAnsi="Cambria" w:cstheme="minorHAnsi"/>
        </w:rPr>
        <w:tab/>
        <w:t>57,933</w:t>
      </w:r>
      <w:r w:rsidRPr="009A0DA6">
        <w:rPr>
          <w:rFonts w:ascii="Cambria" w:hAnsi="Cambria" w:cstheme="minorHAnsi"/>
        </w:rPr>
        <w:tab/>
      </w:r>
      <w:r w:rsidRPr="009A0DA6">
        <w:rPr>
          <w:rFonts w:ascii="Cambria" w:hAnsi="Cambria" w:cstheme="minorHAnsi"/>
          <w:spacing w:val="1"/>
        </w:rPr>
        <w:t>1</w:t>
      </w:r>
      <w:r w:rsidRPr="009A0DA6">
        <w:rPr>
          <w:rFonts w:ascii="Cambria" w:hAnsi="Cambria" w:cstheme="minorHAnsi"/>
          <w:spacing w:val="-1"/>
        </w:rPr>
        <w:t>6</w:t>
      </w:r>
      <w:r w:rsidRPr="009A0DA6">
        <w:rPr>
          <w:rFonts w:ascii="Cambria" w:hAnsi="Cambria" w:cstheme="minorHAnsi"/>
          <w:spacing w:val="1"/>
        </w:rPr>
        <w:t>,2</w:t>
      </w:r>
      <w:r w:rsidRPr="009A0DA6">
        <w:rPr>
          <w:rFonts w:ascii="Cambria" w:hAnsi="Cambria" w:cstheme="minorHAnsi"/>
          <w:spacing w:val="-1"/>
        </w:rPr>
        <w:t>7</w:t>
      </w:r>
      <w:r w:rsidRPr="009A0DA6">
        <w:rPr>
          <w:rFonts w:ascii="Cambria" w:hAnsi="Cambria" w:cstheme="minorHAnsi"/>
        </w:rPr>
        <w:t>4</w:t>
      </w:r>
      <w:r w:rsidRPr="009A0DA6">
        <w:rPr>
          <w:rFonts w:ascii="Cambria" w:hAnsi="Cambria" w:cstheme="minorHAnsi"/>
        </w:rPr>
        <w:tab/>
        <w:t>23,490</w:t>
      </w:r>
    </w:p>
    <w:p w14:paraId="5C43FCE8" w14:textId="77777777" w:rsidR="00F631B1" w:rsidRPr="009A0DA6" w:rsidRDefault="00F631B1" w:rsidP="00F631B1">
      <w:pPr>
        <w:tabs>
          <w:tab w:val="right" w:pos="5954"/>
          <w:tab w:val="right" w:pos="7371"/>
          <w:tab w:val="right" w:pos="8789"/>
        </w:tabs>
        <w:spacing w:after="0" w:line="240" w:lineRule="auto"/>
        <w:rPr>
          <w:rFonts w:ascii="Cambria" w:hAnsi="Cambria" w:cstheme="minorHAnsi"/>
        </w:rPr>
      </w:pPr>
      <w:r w:rsidRPr="009A0DA6">
        <w:rPr>
          <w:rFonts w:ascii="Cambria" w:hAnsi="Cambria" w:cstheme="minorHAnsi"/>
        </w:rPr>
        <w:t>Transfers to reserves</w:t>
      </w:r>
      <w:r w:rsidRPr="009A0DA6">
        <w:rPr>
          <w:rFonts w:ascii="Cambria" w:hAnsi="Cambria" w:cstheme="minorHAnsi"/>
        </w:rPr>
        <w:tab/>
        <w:t>(57,933)</w:t>
      </w:r>
      <w:r w:rsidRPr="009A0DA6">
        <w:rPr>
          <w:rFonts w:ascii="Cambria" w:hAnsi="Cambria" w:cstheme="minorHAnsi"/>
        </w:rPr>
        <w:tab/>
      </w:r>
      <w:r w:rsidRPr="009A0DA6">
        <w:rPr>
          <w:rFonts w:ascii="Cambria" w:hAnsi="Cambria" w:cstheme="minorHAnsi"/>
          <w:spacing w:val="1"/>
        </w:rPr>
        <w:t>(16,</w:t>
      </w:r>
      <w:r w:rsidRPr="009A0DA6">
        <w:rPr>
          <w:rFonts w:ascii="Cambria" w:hAnsi="Cambria" w:cstheme="minorHAnsi"/>
          <w:spacing w:val="-1"/>
        </w:rPr>
        <w:t>2</w:t>
      </w:r>
      <w:r w:rsidRPr="009A0DA6">
        <w:rPr>
          <w:rFonts w:ascii="Cambria" w:hAnsi="Cambria" w:cstheme="minorHAnsi"/>
          <w:spacing w:val="1"/>
        </w:rPr>
        <w:t>74</w:t>
      </w:r>
      <w:r w:rsidRPr="009A0DA6">
        <w:rPr>
          <w:rFonts w:ascii="Cambria" w:hAnsi="Cambria" w:cstheme="minorHAnsi"/>
        </w:rPr>
        <w:t>)</w:t>
      </w:r>
      <w:r w:rsidRPr="009A0DA6">
        <w:rPr>
          <w:rFonts w:ascii="Cambria" w:hAnsi="Cambria" w:cstheme="minorHAnsi"/>
        </w:rPr>
        <w:tab/>
        <w:t>(23,490)</w:t>
      </w:r>
    </w:p>
    <w:p w14:paraId="374A48EB" w14:textId="77777777" w:rsidR="00F631B1" w:rsidRPr="009A0DA6" w:rsidRDefault="00F631B1" w:rsidP="00F631B1">
      <w:pPr>
        <w:tabs>
          <w:tab w:val="right" w:pos="5954"/>
          <w:tab w:val="right" w:pos="7371"/>
          <w:tab w:val="right" w:pos="8789"/>
        </w:tabs>
        <w:spacing w:after="0" w:line="240" w:lineRule="auto"/>
        <w:rPr>
          <w:rFonts w:ascii="Cambria" w:hAnsi="Cambria" w:cstheme="minorHAnsi"/>
          <w:b/>
        </w:rPr>
      </w:pPr>
      <w:r w:rsidRPr="009A0DA6">
        <w:rPr>
          <w:rFonts w:ascii="Cambria" w:hAnsi="Cambria" w:cstheme="minorHAnsi"/>
          <w:b/>
        </w:rPr>
        <w:t>Operating result after transfers to reserves</w:t>
      </w:r>
      <w:r w:rsidRPr="009A0DA6">
        <w:rPr>
          <w:rFonts w:ascii="Cambria" w:hAnsi="Cambria" w:cstheme="minorHAnsi"/>
          <w:b/>
        </w:rPr>
        <w:tab/>
        <w:t>$ 0</w:t>
      </w:r>
      <w:r w:rsidRPr="009A0DA6">
        <w:rPr>
          <w:rFonts w:ascii="Cambria" w:hAnsi="Cambria" w:cstheme="minorHAnsi"/>
          <w:b/>
        </w:rPr>
        <w:tab/>
        <w:t>$ 0</w:t>
      </w:r>
      <w:r w:rsidRPr="009A0DA6">
        <w:rPr>
          <w:rFonts w:ascii="Cambria" w:hAnsi="Cambria" w:cstheme="minorHAnsi"/>
          <w:b/>
        </w:rPr>
        <w:tab/>
        <w:t>$ 0</w:t>
      </w:r>
    </w:p>
    <w:p w14:paraId="13558347" w14:textId="77777777" w:rsidR="00F631B1" w:rsidRPr="009A0DA6" w:rsidRDefault="00F631B1" w:rsidP="00F631B1">
      <w:pPr>
        <w:tabs>
          <w:tab w:val="right" w:pos="5954"/>
          <w:tab w:val="right" w:pos="7371"/>
          <w:tab w:val="right" w:pos="8789"/>
        </w:tabs>
        <w:spacing w:after="0" w:line="240" w:lineRule="auto"/>
        <w:rPr>
          <w:rFonts w:ascii="Cambria" w:hAnsi="Cambria" w:cstheme="minorHAnsi"/>
          <w:b/>
        </w:rPr>
      </w:pPr>
    </w:p>
    <w:p w14:paraId="529A098B" w14:textId="77777777" w:rsidR="00F631B1" w:rsidRPr="009A0DA6" w:rsidRDefault="00F631B1" w:rsidP="00F631B1">
      <w:pPr>
        <w:tabs>
          <w:tab w:val="right" w:pos="5954"/>
          <w:tab w:val="right" w:pos="7371"/>
          <w:tab w:val="right" w:pos="8789"/>
        </w:tabs>
        <w:spacing w:after="0" w:line="240" w:lineRule="auto"/>
        <w:rPr>
          <w:rFonts w:ascii="Cambria" w:hAnsi="Cambria" w:cstheme="minorHAnsi"/>
          <w:b/>
        </w:rPr>
      </w:pPr>
      <w:r w:rsidRPr="009A0DA6">
        <w:rPr>
          <w:rFonts w:ascii="Cambria" w:hAnsi="Cambria" w:cstheme="minorHAnsi"/>
          <w:b/>
        </w:rPr>
        <w:t>LUTHERAN ARCHIVES ACCUMULATED FUNDS AND RESERVES</w:t>
      </w:r>
    </w:p>
    <w:p w14:paraId="7A6CEFA9" w14:textId="77777777" w:rsidR="00F631B1" w:rsidRPr="009A0DA6" w:rsidRDefault="00F631B1" w:rsidP="00F631B1">
      <w:pPr>
        <w:tabs>
          <w:tab w:val="right" w:pos="5954"/>
          <w:tab w:val="right" w:pos="7371"/>
          <w:tab w:val="right" w:pos="8789"/>
        </w:tabs>
        <w:spacing w:after="0" w:line="240" w:lineRule="auto"/>
        <w:rPr>
          <w:rFonts w:ascii="Cambria" w:hAnsi="Cambria" w:cstheme="minorHAnsi"/>
        </w:rPr>
      </w:pPr>
      <w:r w:rsidRPr="009A0DA6">
        <w:rPr>
          <w:rFonts w:ascii="Cambria" w:hAnsi="Cambria" w:cstheme="minorHAnsi"/>
        </w:rPr>
        <w:t xml:space="preserve">Opening balance 1 January </w:t>
      </w:r>
      <w:r w:rsidRPr="009A0DA6">
        <w:rPr>
          <w:rFonts w:ascii="Cambria" w:hAnsi="Cambria" w:cstheme="minorHAnsi"/>
        </w:rPr>
        <w:tab/>
        <w:t>450,868</w:t>
      </w:r>
      <w:r w:rsidRPr="009A0DA6">
        <w:rPr>
          <w:rFonts w:ascii="Cambria" w:hAnsi="Cambria" w:cstheme="minorHAnsi"/>
        </w:rPr>
        <w:tab/>
        <w:t>432,749</w:t>
      </w:r>
      <w:r w:rsidRPr="009A0DA6">
        <w:rPr>
          <w:rFonts w:ascii="Cambria" w:hAnsi="Cambria" w:cstheme="minorHAnsi"/>
        </w:rPr>
        <w:tab/>
        <w:t>55,989</w:t>
      </w:r>
    </w:p>
    <w:p w14:paraId="40332240" w14:textId="77777777" w:rsidR="00F631B1" w:rsidRPr="009A0DA6" w:rsidRDefault="00F631B1" w:rsidP="00F631B1">
      <w:pPr>
        <w:tabs>
          <w:tab w:val="right" w:pos="5954"/>
          <w:tab w:val="right" w:pos="7371"/>
          <w:tab w:val="right" w:pos="8789"/>
        </w:tabs>
        <w:spacing w:after="0" w:line="240" w:lineRule="auto"/>
        <w:rPr>
          <w:rFonts w:ascii="Cambria" w:hAnsi="Cambria" w:cstheme="minorHAnsi"/>
        </w:rPr>
      </w:pPr>
      <w:r w:rsidRPr="009A0DA6">
        <w:rPr>
          <w:rFonts w:ascii="Cambria" w:hAnsi="Cambria" w:cstheme="minorHAnsi"/>
        </w:rPr>
        <w:t>Less: transfers out to special purpose fund</w:t>
      </w:r>
      <w:r w:rsidRPr="009A0DA6">
        <w:rPr>
          <w:rFonts w:ascii="Cambria" w:hAnsi="Cambria" w:cstheme="minorHAnsi"/>
        </w:rPr>
        <w:tab/>
        <w:t>(16,273)</w:t>
      </w:r>
      <w:r w:rsidRPr="009A0DA6">
        <w:rPr>
          <w:rFonts w:ascii="Cambria" w:hAnsi="Cambria" w:cstheme="minorHAnsi"/>
        </w:rPr>
        <w:tab/>
      </w:r>
      <w:r w:rsidRPr="009A0DA6">
        <w:rPr>
          <w:rFonts w:ascii="Cambria" w:hAnsi="Cambria" w:cstheme="minorHAnsi"/>
        </w:rPr>
        <w:tab/>
      </w:r>
    </w:p>
    <w:p w14:paraId="04B5D4D5" w14:textId="77777777" w:rsidR="00F631B1" w:rsidRPr="009A0DA6" w:rsidRDefault="00F631B1" w:rsidP="00F631B1">
      <w:pPr>
        <w:tabs>
          <w:tab w:val="right" w:pos="5954"/>
          <w:tab w:val="right" w:pos="7371"/>
          <w:tab w:val="right" w:pos="8789"/>
        </w:tabs>
        <w:spacing w:after="0" w:line="240" w:lineRule="auto"/>
        <w:rPr>
          <w:rFonts w:ascii="Cambria" w:hAnsi="Cambria" w:cstheme="minorHAnsi"/>
        </w:rPr>
      </w:pPr>
      <w:r w:rsidRPr="009A0DA6">
        <w:rPr>
          <w:rFonts w:ascii="Cambria" w:hAnsi="Cambria" w:cstheme="minorHAnsi"/>
        </w:rPr>
        <w:t>Add: operating transfers to reserves</w:t>
      </w:r>
      <w:r w:rsidRPr="009A0DA6">
        <w:rPr>
          <w:rFonts w:ascii="Cambria" w:hAnsi="Cambria" w:cstheme="minorHAnsi"/>
        </w:rPr>
        <w:tab/>
        <w:t>57,933</w:t>
      </w:r>
      <w:r w:rsidRPr="009A0DA6">
        <w:rPr>
          <w:rFonts w:ascii="Cambria" w:hAnsi="Cambria" w:cstheme="minorHAnsi"/>
        </w:rPr>
        <w:tab/>
      </w:r>
      <w:r w:rsidRPr="009A0DA6">
        <w:rPr>
          <w:rFonts w:ascii="Cambria" w:hAnsi="Cambria" w:cstheme="minorHAnsi"/>
          <w:spacing w:val="1"/>
        </w:rPr>
        <w:t>(16,</w:t>
      </w:r>
      <w:r w:rsidRPr="009A0DA6">
        <w:rPr>
          <w:rFonts w:ascii="Cambria" w:hAnsi="Cambria" w:cstheme="minorHAnsi"/>
          <w:spacing w:val="-1"/>
        </w:rPr>
        <w:t>2</w:t>
      </w:r>
      <w:r w:rsidRPr="009A0DA6">
        <w:rPr>
          <w:rFonts w:ascii="Cambria" w:hAnsi="Cambria" w:cstheme="minorHAnsi"/>
          <w:spacing w:val="1"/>
        </w:rPr>
        <w:t>74)</w:t>
      </w:r>
      <w:r w:rsidRPr="009A0DA6">
        <w:rPr>
          <w:rFonts w:ascii="Cambria" w:hAnsi="Cambria" w:cstheme="minorHAnsi"/>
        </w:rPr>
        <w:tab/>
      </w:r>
    </w:p>
    <w:p w14:paraId="4EB2B237" w14:textId="77777777" w:rsidR="00F631B1" w:rsidRPr="009A0DA6" w:rsidRDefault="00F631B1" w:rsidP="00F631B1">
      <w:pPr>
        <w:tabs>
          <w:tab w:val="right" w:pos="5954"/>
          <w:tab w:val="right" w:pos="7371"/>
          <w:tab w:val="right" w:pos="8789"/>
        </w:tabs>
        <w:spacing w:after="0" w:line="240" w:lineRule="auto"/>
        <w:rPr>
          <w:rFonts w:ascii="Cambria" w:hAnsi="Cambria" w:cstheme="minorHAnsi"/>
        </w:rPr>
      </w:pPr>
      <w:r w:rsidRPr="009A0DA6">
        <w:rPr>
          <w:rFonts w:ascii="Cambria" w:hAnsi="Cambria" w:cstheme="minorHAnsi"/>
        </w:rPr>
        <w:t>Add: interest earned on reserves</w:t>
      </w:r>
      <w:r w:rsidRPr="009A0DA6">
        <w:rPr>
          <w:rFonts w:ascii="Cambria" w:hAnsi="Cambria" w:cstheme="minorHAnsi"/>
        </w:rPr>
        <w:tab/>
        <w:t>1,568</w:t>
      </w:r>
      <w:r w:rsidRPr="009A0DA6">
        <w:rPr>
          <w:rFonts w:ascii="Cambria" w:hAnsi="Cambria" w:cstheme="minorHAnsi"/>
        </w:rPr>
        <w:tab/>
      </w:r>
      <w:r w:rsidRPr="009A0DA6">
        <w:rPr>
          <w:rFonts w:ascii="Cambria" w:hAnsi="Cambria" w:cstheme="minorHAnsi"/>
          <w:spacing w:val="1"/>
        </w:rPr>
        <w:t>1,84</w:t>
      </w:r>
      <w:r w:rsidRPr="009A0DA6">
        <w:rPr>
          <w:rFonts w:ascii="Cambria" w:hAnsi="Cambria" w:cstheme="minorHAnsi"/>
        </w:rPr>
        <w:t>5</w:t>
      </w:r>
      <w:r w:rsidRPr="009A0DA6">
        <w:rPr>
          <w:rFonts w:ascii="Cambria" w:hAnsi="Cambria" w:cstheme="minorHAnsi"/>
        </w:rPr>
        <w:tab/>
        <w:t>1,890</w:t>
      </w:r>
    </w:p>
    <w:p w14:paraId="386BC2B8" w14:textId="77777777" w:rsidR="00F631B1" w:rsidRPr="009A0DA6" w:rsidRDefault="00F631B1" w:rsidP="00F631B1">
      <w:pPr>
        <w:tabs>
          <w:tab w:val="right" w:pos="5954"/>
          <w:tab w:val="right" w:pos="7371"/>
          <w:tab w:val="right" w:pos="8789"/>
        </w:tabs>
        <w:spacing w:after="0" w:line="240" w:lineRule="auto"/>
        <w:rPr>
          <w:rFonts w:ascii="Cambria" w:hAnsi="Cambria" w:cstheme="minorHAnsi"/>
          <w:b/>
        </w:rPr>
      </w:pPr>
      <w:r w:rsidRPr="009A0DA6">
        <w:rPr>
          <w:rFonts w:ascii="Cambria" w:hAnsi="Cambria" w:cstheme="minorHAnsi"/>
        </w:rPr>
        <w:t>Add: distribution of gain on asset count</w:t>
      </w:r>
      <w:r w:rsidRPr="009A0DA6">
        <w:rPr>
          <w:rFonts w:ascii="Cambria" w:hAnsi="Cambria" w:cstheme="minorHAnsi"/>
        </w:rPr>
        <w:tab/>
      </w:r>
      <w:r w:rsidRPr="009A0DA6">
        <w:rPr>
          <w:rFonts w:ascii="Cambria" w:hAnsi="Cambria" w:cstheme="minorHAnsi"/>
          <w:b/>
        </w:rPr>
        <w:tab/>
      </w:r>
      <w:r w:rsidRPr="009A0DA6">
        <w:rPr>
          <w:rFonts w:ascii="Cambria" w:hAnsi="Cambria" w:cstheme="minorHAnsi"/>
          <w:b/>
        </w:rPr>
        <w:tab/>
      </w:r>
      <w:r w:rsidRPr="009A0DA6">
        <w:rPr>
          <w:rFonts w:ascii="Cambria" w:hAnsi="Cambria" w:cstheme="minorHAnsi"/>
        </w:rPr>
        <w:t>374,870</w:t>
      </w:r>
    </w:p>
    <w:p w14:paraId="1919E569" w14:textId="77777777" w:rsidR="00F631B1" w:rsidRPr="009A0DA6" w:rsidRDefault="00F631B1" w:rsidP="00F631B1">
      <w:pPr>
        <w:tabs>
          <w:tab w:val="right" w:pos="5954"/>
          <w:tab w:val="right" w:pos="7371"/>
          <w:tab w:val="right" w:pos="8789"/>
        </w:tabs>
        <w:spacing w:after="0" w:line="240" w:lineRule="auto"/>
        <w:rPr>
          <w:rFonts w:ascii="Cambria" w:hAnsi="Cambria" w:cstheme="minorHAnsi"/>
          <w:b/>
        </w:rPr>
      </w:pPr>
      <w:r w:rsidRPr="009A0DA6">
        <w:rPr>
          <w:rFonts w:ascii="Cambria" w:hAnsi="Cambria" w:cstheme="minorHAnsi"/>
          <w:b/>
        </w:rPr>
        <w:t>Closing balance 31 December 2017</w:t>
      </w:r>
      <w:r w:rsidRPr="009A0DA6">
        <w:rPr>
          <w:rFonts w:ascii="Cambria" w:hAnsi="Cambria" w:cstheme="minorHAnsi"/>
          <w:b/>
        </w:rPr>
        <w:tab/>
        <w:t>$494,096</w:t>
      </w:r>
      <w:r w:rsidRPr="009A0DA6">
        <w:rPr>
          <w:rFonts w:ascii="Cambria" w:hAnsi="Cambria" w:cstheme="minorHAnsi"/>
          <w:b/>
        </w:rPr>
        <w:tab/>
      </w:r>
      <w:r w:rsidRPr="009A0DA6">
        <w:rPr>
          <w:rFonts w:ascii="Cambria" w:hAnsi="Cambria" w:cstheme="minorHAnsi"/>
          <w:b/>
          <w:spacing w:val="1"/>
        </w:rPr>
        <w:t>$450</w:t>
      </w:r>
      <w:r w:rsidRPr="009A0DA6">
        <w:rPr>
          <w:rFonts w:ascii="Cambria" w:hAnsi="Cambria" w:cstheme="minorHAnsi"/>
          <w:b/>
          <w:spacing w:val="-2"/>
        </w:rPr>
        <w:t>,</w:t>
      </w:r>
      <w:r w:rsidRPr="009A0DA6">
        <w:rPr>
          <w:rFonts w:ascii="Cambria" w:hAnsi="Cambria" w:cstheme="minorHAnsi"/>
          <w:b/>
          <w:spacing w:val="1"/>
        </w:rPr>
        <w:t>86</w:t>
      </w:r>
      <w:r w:rsidRPr="009A0DA6">
        <w:rPr>
          <w:rFonts w:ascii="Cambria" w:hAnsi="Cambria" w:cstheme="minorHAnsi"/>
          <w:b/>
        </w:rPr>
        <w:t>8</w:t>
      </w:r>
      <w:r w:rsidRPr="009A0DA6">
        <w:rPr>
          <w:rFonts w:ascii="Cambria" w:hAnsi="Cambria" w:cstheme="minorHAnsi"/>
          <w:b/>
        </w:rPr>
        <w:tab/>
        <w:t>$432,749</w:t>
      </w:r>
    </w:p>
    <w:p w14:paraId="1182BB73" w14:textId="77777777" w:rsidR="00F631B1" w:rsidRPr="009A0DA6" w:rsidRDefault="00F631B1" w:rsidP="00F631B1">
      <w:pPr>
        <w:tabs>
          <w:tab w:val="right" w:pos="5954"/>
          <w:tab w:val="right" w:pos="7371"/>
          <w:tab w:val="right" w:pos="8789"/>
        </w:tabs>
        <w:spacing w:after="0" w:line="240" w:lineRule="auto"/>
        <w:rPr>
          <w:rFonts w:ascii="Cambria" w:hAnsi="Cambria" w:cstheme="minorHAnsi"/>
        </w:rPr>
      </w:pPr>
    </w:p>
    <w:p w14:paraId="5F5DD722" w14:textId="77777777" w:rsidR="00F631B1" w:rsidRPr="009A0DA6" w:rsidRDefault="00F631B1" w:rsidP="00F631B1">
      <w:pPr>
        <w:tabs>
          <w:tab w:val="right" w:pos="5954"/>
          <w:tab w:val="right" w:pos="7371"/>
          <w:tab w:val="right" w:pos="8789"/>
        </w:tabs>
        <w:spacing w:after="0" w:line="240" w:lineRule="auto"/>
        <w:rPr>
          <w:rFonts w:ascii="Cambria" w:hAnsi="Cambria" w:cstheme="minorHAnsi"/>
        </w:rPr>
      </w:pPr>
      <w:r w:rsidRPr="009A0DA6">
        <w:rPr>
          <w:rFonts w:ascii="Cambria" w:hAnsi="Cambria" w:cstheme="minorHAnsi"/>
          <w:b/>
        </w:rPr>
        <w:t>SPECIAL PURPOSE FUNDS</w:t>
      </w:r>
    </w:p>
    <w:p w14:paraId="2E132193" w14:textId="77777777" w:rsidR="00F631B1" w:rsidRPr="009A0DA6" w:rsidRDefault="00F631B1" w:rsidP="00F631B1">
      <w:pPr>
        <w:tabs>
          <w:tab w:val="right" w:pos="5954"/>
          <w:tab w:val="right" w:pos="7371"/>
          <w:tab w:val="right" w:pos="8789"/>
        </w:tabs>
        <w:spacing w:after="0" w:line="240" w:lineRule="auto"/>
        <w:rPr>
          <w:rFonts w:ascii="Cambria" w:hAnsi="Cambria" w:cstheme="minorHAnsi"/>
        </w:rPr>
      </w:pPr>
      <w:r w:rsidRPr="009A0DA6">
        <w:rPr>
          <w:rFonts w:ascii="Cambria" w:hAnsi="Cambria" w:cstheme="minorHAnsi"/>
        </w:rPr>
        <w:t xml:space="preserve">Opening balance 1 January </w:t>
      </w:r>
      <w:r w:rsidRPr="009A0DA6">
        <w:rPr>
          <w:rFonts w:ascii="Cambria" w:hAnsi="Cambria" w:cstheme="minorHAnsi"/>
        </w:rPr>
        <w:tab/>
        <w:t>245,748</w:t>
      </w:r>
      <w:r w:rsidRPr="009A0DA6">
        <w:rPr>
          <w:rFonts w:ascii="Cambria" w:hAnsi="Cambria" w:cstheme="minorHAnsi"/>
        </w:rPr>
        <w:tab/>
      </w:r>
      <w:r w:rsidRPr="009A0DA6">
        <w:rPr>
          <w:rFonts w:ascii="Cambria" w:hAnsi="Cambria" w:cstheme="minorHAnsi"/>
          <w:spacing w:val="1"/>
        </w:rPr>
        <w:t>237,</w:t>
      </w:r>
      <w:r w:rsidRPr="009A0DA6">
        <w:rPr>
          <w:rFonts w:ascii="Cambria" w:hAnsi="Cambria" w:cstheme="minorHAnsi"/>
          <w:spacing w:val="-1"/>
        </w:rPr>
        <w:t>9</w:t>
      </w:r>
      <w:r w:rsidRPr="009A0DA6">
        <w:rPr>
          <w:rFonts w:ascii="Cambria" w:hAnsi="Cambria" w:cstheme="minorHAnsi"/>
          <w:spacing w:val="1"/>
        </w:rPr>
        <w:t>7</w:t>
      </w:r>
      <w:r w:rsidRPr="009A0DA6">
        <w:rPr>
          <w:rFonts w:ascii="Cambria" w:hAnsi="Cambria" w:cstheme="minorHAnsi"/>
        </w:rPr>
        <w:t>8</w:t>
      </w:r>
      <w:r w:rsidRPr="009A0DA6">
        <w:rPr>
          <w:rFonts w:ascii="Cambria" w:hAnsi="Cambria" w:cstheme="minorHAnsi"/>
        </w:rPr>
        <w:tab/>
        <w:t>208,945</w:t>
      </w:r>
    </w:p>
    <w:p w14:paraId="2EFBBF4C" w14:textId="77777777" w:rsidR="00F631B1" w:rsidRPr="009A0DA6" w:rsidRDefault="00F631B1" w:rsidP="00F631B1">
      <w:pPr>
        <w:tabs>
          <w:tab w:val="right" w:pos="5954"/>
          <w:tab w:val="right" w:pos="7371"/>
          <w:tab w:val="right" w:pos="8789"/>
        </w:tabs>
        <w:spacing w:after="0" w:line="240" w:lineRule="auto"/>
        <w:rPr>
          <w:rFonts w:ascii="Cambria" w:hAnsi="Cambria" w:cstheme="minorHAnsi"/>
        </w:rPr>
      </w:pPr>
      <w:r w:rsidRPr="009A0DA6">
        <w:rPr>
          <w:rFonts w:ascii="Cambria" w:hAnsi="Cambria" w:cstheme="minorHAnsi"/>
        </w:rPr>
        <w:t>Interest added</w:t>
      </w:r>
      <w:r w:rsidRPr="009A0DA6">
        <w:rPr>
          <w:rFonts w:ascii="Cambria" w:hAnsi="Cambria" w:cstheme="minorHAnsi"/>
        </w:rPr>
        <w:tab/>
        <w:t>6,875</w:t>
      </w:r>
      <w:r w:rsidRPr="009A0DA6">
        <w:rPr>
          <w:rFonts w:ascii="Cambria" w:hAnsi="Cambria" w:cstheme="minorHAnsi"/>
        </w:rPr>
        <w:tab/>
      </w:r>
      <w:r w:rsidRPr="009A0DA6">
        <w:rPr>
          <w:rFonts w:ascii="Cambria" w:hAnsi="Cambria" w:cstheme="minorHAnsi"/>
          <w:spacing w:val="1"/>
        </w:rPr>
        <w:t>6,48</w:t>
      </w:r>
      <w:r w:rsidRPr="009A0DA6">
        <w:rPr>
          <w:rFonts w:ascii="Cambria" w:hAnsi="Cambria" w:cstheme="minorHAnsi"/>
        </w:rPr>
        <w:t>3</w:t>
      </w:r>
      <w:r w:rsidRPr="009A0DA6">
        <w:rPr>
          <w:rFonts w:ascii="Cambria" w:hAnsi="Cambria" w:cstheme="minorHAnsi"/>
        </w:rPr>
        <w:tab/>
        <w:t>6,620</w:t>
      </w:r>
    </w:p>
    <w:p w14:paraId="0AE6979C" w14:textId="77777777" w:rsidR="00F631B1" w:rsidRPr="009A0DA6" w:rsidRDefault="00F631B1" w:rsidP="00F631B1">
      <w:pPr>
        <w:tabs>
          <w:tab w:val="right" w:pos="5954"/>
          <w:tab w:val="right" w:pos="7371"/>
          <w:tab w:val="right" w:pos="8789"/>
        </w:tabs>
        <w:spacing w:after="0" w:line="240" w:lineRule="auto"/>
        <w:rPr>
          <w:rFonts w:ascii="Cambria" w:hAnsi="Cambria" w:cstheme="minorHAnsi"/>
        </w:rPr>
      </w:pPr>
      <w:r w:rsidRPr="009A0DA6">
        <w:rPr>
          <w:rFonts w:ascii="Cambria" w:hAnsi="Cambria" w:cstheme="minorHAnsi"/>
        </w:rPr>
        <w:t>Amounts received</w:t>
      </w:r>
      <w:r w:rsidRPr="009A0DA6">
        <w:rPr>
          <w:rFonts w:ascii="Cambria" w:hAnsi="Cambria" w:cstheme="minorHAnsi"/>
        </w:rPr>
        <w:tab/>
        <w:t>2,116</w:t>
      </w:r>
      <w:r w:rsidRPr="009A0DA6">
        <w:rPr>
          <w:rFonts w:ascii="Cambria" w:hAnsi="Cambria" w:cstheme="minorHAnsi"/>
        </w:rPr>
        <w:tab/>
      </w:r>
      <w:r w:rsidRPr="009A0DA6">
        <w:rPr>
          <w:rFonts w:ascii="Cambria" w:hAnsi="Cambria" w:cstheme="minorHAnsi"/>
          <w:spacing w:val="1"/>
        </w:rPr>
        <w:t>1,28</w:t>
      </w:r>
      <w:r w:rsidRPr="009A0DA6">
        <w:rPr>
          <w:rFonts w:ascii="Cambria" w:hAnsi="Cambria" w:cstheme="minorHAnsi"/>
        </w:rPr>
        <w:t>7</w:t>
      </w:r>
      <w:r w:rsidRPr="009A0DA6">
        <w:rPr>
          <w:rFonts w:ascii="Cambria" w:hAnsi="Cambria" w:cstheme="minorHAnsi"/>
        </w:rPr>
        <w:tab/>
        <w:t>1,464</w:t>
      </w:r>
    </w:p>
    <w:p w14:paraId="4B52FCB6" w14:textId="77777777" w:rsidR="00F631B1" w:rsidRPr="009A0DA6" w:rsidRDefault="00F631B1" w:rsidP="00F631B1">
      <w:pPr>
        <w:tabs>
          <w:tab w:val="right" w:pos="5954"/>
          <w:tab w:val="right" w:pos="7371"/>
          <w:tab w:val="right" w:pos="8789"/>
        </w:tabs>
        <w:spacing w:after="0" w:line="240" w:lineRule="auto"/>
        <w:rPr>
          <w:rFonts w:ascii="Cambria" w:hAnsi="Cambria" w:cstheme="minorHAnsi"/>
        </w:rPr>
      </w:pPr>
      <w:r w:rsidRPr="009A0DA6">
        <w:rPr>
          <w:rFonts w:ascii="Cambria" w:hAnsi="Cambria" w:cstheme="minorHAnsi"/>
        </w:rPr>
        <w:t>Add: transfers from reserves</w:t>
      </w:r>
      <w:r w:rsidRPr="009A0DA6">
        <w:rPr>
          <w:rFonts w:ascii="Cambria" w:hAnsi="Cambria" w:cstheme="minorHAnsi"/>
        </w:rPr>
        <w:tab/>
        <w:t>16,273</w:t>
      </w:r>
      <w:r w:rsidRPr="009A0DA6">
        <w:rPr>
          <w:rFonts w:ascii="Cambria" w:hAnsi="Cambria" w:cstheme="minorHAnsi"/>
        </w:rPr>
        <w:tab/>
      </w:r>
      <w:r w:rsidRPr="009A0DA6">
        <w:rPr>
          <w:rFonts w:ascii="Cambria" w:hAnsi="Cambria" w:cstheme="minorHAnsi"/>
        </w:rPr>
        <w:tab/>
        <w:t>23,490</w:t>
      </w:r>
    </w:p>
    <w:p w14:paraId="49B59F11" w14:textId="77777777" w:rsidR="00F631B1" w:rsidRPr="009A0DA6" w:rsidRDefault="00F631B1" w:rsidP="00F631B1">
      <w:pPr>
        <w:tabs>
          <w:tab w:val="right" w:pos="5954"/>
          <w:tab w:val="right" w:pos="7371"/>
          <w:tab w:val="right" w:pos="8789"/>
        </w:tabs>
        <w:spacing w:after="0" w:line="240" w:lineRule="auto"/>
        <w:rPr>
          <w:rFonts w:ascii="Cambria" w:hAnsi="Cambria" w:cstheme="minorHAnsi"/>
          <w:b/>
        </w:rPr>
      </w:pPr>
      <w:r w:rsidRPr="009A0DA6">
        <w:rPr>
          <w:rFonts w:ascii="Cambria" w:hAnsi="Cambria" w:cstheme="minorHAnsi"/>
        </w:rPr>
        <w:t>Less amounts paid</w:t>
      </w:r>
      <w:r w:rsidRPr="009A0DA6">
        <w:rPr>
          <w:rFonts w:ascii="Cambria" w:hAnsi="Cambria" w:cstheme="minorHAnsi"/>
        </w:rPr>
        <w:tab/>
      </w:r>
      <w:r w:rsidRPr="009A0DA6">
        <w:rPr>
          <w:rFonts w:ascii="Cambria" w:hAnsi="Cambria" w:cstheme="minorHAnsi"/>
          <w:b/>
        </w:rPr>
        <w:tab/>
      </w:r>
      <w:r w:rsidRPr="009A0DA6">
        <w:rPr>
          <w:rFonts w:ascii="Cambria" w:hAnsi="Cambria" w:cstheme="minorHAnsi"/>
          <w:b/>
        </w:rPr>
        <w:tab/>
      </w:r>
      <w:r w:rsidRPr="009A0DA6">
        <w:rPr>
          <w:rFonts w:ascii="Cambria" w:hAnsi="Cambria" w:cstheme="minorHAnsi"/>
        </w:rPr>
        <w:t>(2,541)</w:t>
      </w:r>
    </w:p>
    <w:p w14:paraId="57A43DEB" w14:textId="77777777" w:rsidR="00F631B1" w:rsidRPr="009A0DA6" w:rsidRDefault="00F631B1" w:rsidP="00F631B1">
      <w:pPr>
        <w:tabs>
          <w:tab w:val="right" w:pos="5954"/>
          <w:tab w:val="right" w:pos="7371"/>
          <w:tab w:val="right" w:pos="8789"/>
        </w:tabs>
        <w:spacing w:after="0" w:line="240" w:lineRule="auto"/>
        <w:rPr>
          <w:rFonts w:ascii="Cambria" w:hAnsi="Cambria" w:cstheme="minorHAnsi"/>
          <w:b/>
        </w:rPr>
      </w:pPr>
      <w:r w:rsidRPr="009A0DA6">
        <w:rPr>
          <w:rFonts w:ascii="Cambria" w:hAnsi="Cambria" w:cstheme="minorHAnsi"/>
          <w:b/>
        </w:rPr>
        <w:t>Closing balance 31 December 2017</w:t>
      </w:r>
      <w:r w:rsidRPr="009A0DA6">
        <w:rPr>
          <w:rFonts w:ascii="Cambria" w:hAnsi="Cambria" w:cstheme="minorHAnsi"/>
          <w:b/>
        </w:rPr>
        <w:tab/>
        <w:t>$271,012</w:t>
      </w:r>
      <w:r w:rsidRPr="009A0DA6">
        <w:rPr>
          <w:rFonts w:ascii="Cambria" w:hAnsi="Cambria" w:cstheme="minorHAnsi"/>
          <w:b/>
        </w:rPr>
        <w:tab/>
      </w:r>
      <w:r w:rsidRPr="009A0DA6">
        <w:rPr>
          <w:rFonts w:ascii="Cambria" w:hAnsi="Cambria" w:cstheme="minorHAnsi"/>
          <w:b/>
          <w:spacing w:val="1"/>
        </w:rPr>
        <w:t>$245</w:t>
      </w:r>
      <w:r w:rsidRPr="009A0DA6">
        <w:rPr>
          <w:rFonts w:ascii="Cambria" w:hAnsi="Cambria" w:cstheme="minorHAnsi"/>
          <w:b/>
          <w:spacing w:val="-2"/>
        </w:rPr>
        <w:t>,</w:t>
      </w:r>
      <w:r w:rsidRPr="009A0DA6">
        <w:rPr>
          <w:rFonts w:ascii="Cambria" w:hAnsi="Cambria" w:cstheme="minorHAnsi"/>
          <w:b/>
          <w:spacing w:val="1"/>
        </w:rPr>
        <w:t>74</w:t>
      </w:r>
      <w:r w:rsidRPr="009A0DA6">
        <w:rPr>
          <w:rFonts w:ascii="Cambria" w:hAnsi="Cambria" w:cstheme="minorHAnsi"/>
          <w:b/>
        </w:rPr>
        <w:t>8</w:t>
      </w:r>
      <w:r w:rsidRPr="009A0DA6">
        <w:rPr>
          <w:rFonts w:ascii="Cambria" w:hAnsi="Cambria" w:cstheme="minorHAnsi"/>
          <w:b/>
        </w:rPr>
        <w:tab/>
        <w:t>$237,978</w:t>
      </w:r>
    </w:p>
    <w:p w14:paraId="52E84C0B" w14:textId="77777777" w:rsidR="00F631B1" w:rsidRPr="009A0DA6" w:rsidRDefault="00F631B1" w:rsidP="00F631B1">
      <w:pPr>
        <w:tabs>
          <w:tab w:val="right" w:pos="5954"/>
          <w:tab w:val="right" w:pos="7371"/>
          <w:tab w:val="right" w:pos="8789"/>
        </w:tabs>
        <w:spacing w:after="0" w:line="240" w:lineRule="auto"/>
        <w:rPr>
          <w:rFonts w:ascii="Cambria" w:hAnsi="Cambria" w:cstheme="minorHAnsi"/>
          <w:b/>
        </w:rPr>
      </w:pPr>
    </w:p>
    <w:p w14:paraId="512F943C" w14:textId="77777777" w:rsidR="00784AE4" w:rsidRDefault="00784AE4">
      <w:pPr>
        <w:rPr>
          <w:rFonts w:ascii="Cambria" w:eastAsiaTheme="majorEastAsia" w:hAnsi="Cambria" w:cstheme="majorBidi"/>
          <w:b/>
          <w:sz w:val="36"/>
          <w:szCs w:val="32"/>
        </w:rPr>
      </w:pPr>
      <w:bookmarkStart w:id="30" w:name="_Toc521954592"/>
      <w:r>
        <w:br w:type="page"/>
      </w:r>
    </w:p>
    <w:p w14:paraId="3EDFB4CE" w14:textId="223E7588" w:rsidR="00F631B1" w:rsidRPr="009A0DA6" w:rsidRDefault="00F631B1" w:rsidP="00F631B1">
      <w:pPr>
        <w:pStyle w:val="Heading2"/>
      </w:pPr>
      <w:bookmarkStart w:id="31" w:name="_Toc522394958"/>
      <w:r w:rsidRPr="009A0DA6">
        <w:lastRenderedPageBreak/>
        <w:t xml:space="preserve">Appendix G: Review of Strategic Direction </w:t>
      </w:r>
      <w:r w:rsidR="00565A2C">
        <w:br/>
      </w:r>
      <w:r w:rsidRPr="009A0DA6">
        <w:t>2013– 2018</w:t>
      </w:r>
      <w:bookmarkEnd w:id="30"/>
      <w:bookmarkEnd w:id="31"/>
    </w:p>
    <w:p w14:paraId="27281C27" w14:textId="77777777" w:rsidR="00F631B1" w:rsidRPr="009A0DA6" w:rsidRDefault="00F631B1" w:rsidP="00F631B1">
      <w:pPr>
        <w:pStyle w:val="NoSpacing"/>
      </w:pPr>
    </w:p>
    <w:p w14:paraId="48CCCB6D" w14:textId="77777777" w:rsidR="00F631B1" w:rsidRPr="009A0DA6" w:rsidRDefault="00F631B1" w:rsidP="00F631B1">
      <w:pPr>
        <w:pStyle w:val="Heading3"/>
      </w:pPr>
      <w:r w:rsidRPr="009A0DA6">
        <w:t>Our Strategic Direction – A Catalyst for Action</w:t>
      </w:r>
    </w:p>
    <w:p w14:paraId="17DDC190" w14:textId="77777777" w:rsidR="00F631B1" w:rsidRPr="009A0DA6" w:rsidRDefault="00F631B1" w:rsidP="00F631B1">
      <w:pPr>
        <w:pStyle w:val="Heading3"/>
      </w:pPr>
      <w:r w:rsidRPr="009A0DA6">
        <w:t>Background</w:t>
      </w:r>
    </w:p>
    <w:p w14:paraId="31576F6E" w14:textId="77777777" w:rsidR="00F631B1" w:rsidRPr="009A0DA6" w:rsidRDefault="00F631B1" w:rsidP="00F631B1">
      <w:pPr>
        <w:autoSpaceDE w:val="0"/>
        <w:autoSpaceDN w:val="0"/>
        <w:adjustRightInd w:val="0"/>
        <w:spacing w:after="120" w:line="240" w:lineRule="auto"/>
        <w:rPr>
          <w:rFonts w:ascii="Cambria" w:hAnsi="Cambria" w:cstheme="minorHAnsi"/>
        </w:rPr>
      </w:pPr>
      <w:r w:rsidRPr="009A0DA6">
        <w:rPr>
          <w:rFonts w:ascii="Cambria" w:hAnsi="Cambria" w:cstheme="minorHAnsi"/>
        </w:rPr>
        <w:t>In 2013, the General Convention of Synod adopted a Strategic Direction 2013–2018.</w:t>
      </w:r>
    </w:p>
    <w:p w14:paraId="025A98B2" w14:textId="77777777" w:rsidR="00F631B1" w:rsidRPr="009A0DA6" w:rsidRDefault="00F631B1" w:rsidP="00F631B1">
      <w:pPr>
        <w:autoSpaceDE w:val="0"/>
        <w:autoSpaceDN w:val="0"/>
        <w:adjustRightInd w:val="0"/>
        <w:spacing w:after="120" w:line="240" w:lineRule="auto"/>
        <w:rPr>
          <w:rFonts w:ascii="Cambria" w:hAnsi="Cambria" w:cstheme="minorHAnsi"/>
        </w:rPr>
      </w:pPr>
      <w:r w:rsidRPr="009A0DA6">
        <w:rPr>
          <w:rFonts w:ascii="Cambria" w:hAnsi="Cambria" w:cstheme="minorHAnsi"/>
        </w:rPr>
        <w:t>In the ‘reason for the proposal’ it was highlighted that:</w:t>
      </w:r>
    </w:p>
    <w:p w14:paraId="68A08DF3" w14:textId="77777777" w:rsidR="00F631B1" w:rsidRPr="009A0DA6" w:rsidRDefault="00F631B1" w:rsidP="00F55252">
      <w:pPr>
        <w:pStyle w:val="ListParagraph"/>
        <w:numPr>
          <w:ilvl w:val="0"/>
          <w:numId w:val="56"/>
        </w:numPr>
        <w:autoSpaceDE w:val="0"/>
        <w:autoSpaceDN w:val="0"/>
        <w:adjustRightInd w:val="0"/>
        <w:spacing w:after="120" w:line="240" w:lineRule="auto"/>
        <w:ind w:left="567" w:hanging="567"/>
        <w:rPr>
          <w:rFonts w:ascii="Cambria" w:hAnsi="Cambria" w:cstheme="minorHAnsi"/>
        </w:rPr>
      </w:pPr>
      <w:r w:rsidRPr="009A0DA6">
        <w:rPr>
          <w:rFonts w:ascii="Cambria" w:hAnsi="Cambria" w:cstheme="minorHAnsi"/>
        </w:rPr>
        <w:t>We are a fellowship in the Faith, bound together by Scripture and our Lutheran confessions. We share a common identity. We support each other to accomplish those things we can’t effectively do alone.</w:t>
      </w:r>
    </w:p>
    <w:p w14:paraId="72728056" w14:textId="77777777" w:rsidR="00F631B1" w:rsidRPr="009A0DA6" w:rsidRDefault="00F631B1" w:rsidP="00F55252">
      <w:pPr>
        <w:pStyle w:val="ListParagraph"/>
        <w:numPr>
          <w:ilvl w:val="0"/>
          <w:numId w:val="56"/>
        </w:numPr>
        <w:autoSpaceDE w:val="0"/>
        <w:autoSpaceDN w:val="0"/>
        <w:adjustRightInd w:val="0"/>
        <w:spacing w:after="120" w:line="240" w:lineRule="auto"/>
        <w:ind w:left="567" w:hanging="567"/>
        <w:rPr>
          <w:rFonts w:ascii="Cambria" w:hAnsi="Cambria" w:cstheme="minorHAnsi"/>
        </w:rPr>
      </w:pPr>
      <w:r w:rsidRPr="009A0DA6">
        <w:rPr>
          <w:rFonts w:ascii="Cambria" w:hAnsi="Cambria" w:cstheme="minorHAnsi"/>
        </w:rPr>
        <w:t>We are blessed with the skills, talents and creativity of people across the church.</w:t>
      </w:r>
    </w:p>
    <w:p w14:paraId="2DB26B04" w14:textId="77777777" w:rsidR="00F631B1" w:rsidRPr="009A0DA6" w:rsidRDefault="00F631B1" w:rsidP="00F55252">
      <w:pPr>
        <w:pStyle w:val="ListParagraph"/>
        <w:numPr>
          <w:ilvl w:val="0"/>
          <w:numId w:val="56"/>
        </w:numPr>
        <w:autoSpaceDE w:val="0"/>
        <w:autoSpaceDN w:val="0"/>
        <w:adjustRightInd w:val="0"/>
        <w:spacing w:after="120" w:line="240" w:lineRule="auto"/>
        <w:ind w:left="567" w:hanging="567"/>
        <w:rPr>
          <w:rFonts w:ascii="Cambria" w:hAnsi="Cambria" w:cstheme="minorHAnsi"/>
        </w:rPr>
      </w:pPr>
      <w:r w:rsidRPr="009A0DA6">
        <w:rPr>
          <w:rFonts w:ascii="Cambria" w:hAnsi="Cambria" w:cstheme="minorHAnsi"/>
        </w:rPr>
        <w:t>God has provided us with substantial and diverse resources to support our ministry; and</w:t>
      </w:r>
    </w:p>
    <w:p w14:paraId="30C03106" w14:textId="77777777" w:rsidR="00F631B1" w:rsidRPr="009A0DA6" w:rsidRDefault="00F631B1" w:rsidP="00F55252">
      <w:pPr>
        <w:pStyle w:val="ListParagraph"/>
        <w:numPr>
          <w:ilvl w:val="0"/>
          <w:numId w:val="56"/>
        </w:numPr>
        <w:autoSpaceDE w:val="0"/>
        <w:autoSpaceDN w:val="0"/>
        <w:adjustRightInd w:val="0"/>
        <w:spacing w:after="120" w:line="240" w:lineRule="auto"/>
        <w:ind w:left="567" w:hanging="567"/>
        <w:rPr>
          <w:rFonts w:ascii="Cambria" w:hAnsi="Cambria" w:cstheme="minorHAnsi"/>
        </w:rPr>
      </w:pPr>
      <w:r w:rsidRPr="009A0DA6">
        <w:rPr>
          <w:rFonts w:ascii="Cambria" w:hAnsi="Cambria" w:cstheme="minorHAnsi"/>
        </w:rPr>
        <w:t>By working together as the body of Christ (1 Cor 12), we can effectively bring the good news of God’s love to a world that needs hope as much as it ever has. We can be a church where love comes to life.</w:t>
      </w:r>
    </w:p>
    <w:p w14:paraId="58259256" w14:textId="77777777" w:rsidR="00F631B1" w:rsidRPr="009A0DA6" w:rsidRDefault="00F631B1" w:rsidP="00F631B1">
      <w:pPr>
        <w:autoSpaceDE w:val="0"/>
        <w:autoSpaceDN w:val="0"/>
        <w:adjustRightInd w:val="0"/>
        <w:spacing w:after="120" w:line="240" w:lineRule="auto"/>
        <w:rPr>
          <w:rFonts w:ascii="Cambria" w:hAnsi="Cambria" w:cstheme="minorHAnsi"/>
        </w:rPr>
      </w:pPr>
      <w:r w:rsidRPr="009A0DA6">
        <w:rPr>
          <w:rFonts w:ascii="Cambria" w:hAnsi="Cambria" w:cstheme="minorHAnsi"/>
        </w:rPr>
        <w:t>It was in this spirit of unity that the Strategic Direction was approved.</w:t>
      </w:r>
    </w:p>
    <w:p w14:paraId="346BE14F" w14:textId="77777777" w:rsidR="00F631B1" w:rsidRPr="009A0DA6" w:rsidRDefault="00F631B1" w:rsidP="00F631B1">
      <w:pPr>
        <w:autoSpaceDE w:val="0"/>
        <w:autoSpaceDN w:val="0"/>
        <w:adjustRightInd w:val="0"/>
        <w:spacing w:after="120" w:line="240" w:lineRule="auto"/>
        <w:rPr>
          <w:rFonts w:ascii="Cambria" w:hAnsi="Cambria" w:cstheme="minorHAnsi"/>
        </w:rPr>
      </w:pPr>
      <w:r w:rsidRPr="009A0DA6">
        <w:rPr>
          <w:rFonts w:ascii="Cambria" w:hAnsi="Cambria" w:cstheme="minorHAnsi"/>
        </w:rPr>
        <w:t>The Strategic Direction involved a great deal of thinking, sharing and dreaming about our future direction, which crystallised into two core priorities for the church, consistent with the Objects of the Church:</w:t>
      </w:r>
    </w:p>
    <w:p w14:paraId="29AF550A" w14:textId="77777777" w:rsidR="00F631B1" w:rsidRPr="009A0DA6" w:rsidRDefault="00F631B1" w:rsidP="00F631B1">
      <w:pPr>
        <w:pStyle w:val="Heading3"/>
      </w:pPr>
      <w:r w:rsidRPr="009A0DA6">
        <w:t>Growing as God’s people</w:t>
      </w:r>
    </w:p>
    <w:p w14:paraId="465E2318" w14:textId="77777777" w:rsidR="00F631B1" w:rsidRPr="009A0DA6" w:rsidRDefault="00F631B1" w:rsidP="00F631B1">
      <w:pPr>
        <w:autoSpaceDE w:val="0"/>
        <w:autoSpaceDN w:val="0"/>
        <w:adjustRightInd w:val="0"/>
        <w:spacing w:after="120" w:line="240" w:lineRule="auto"/>
        <w:rPr>
          <w:rFonts w:ascii="Cambria" w:hAnsi="Cambria" w:cstheme="minorHAnsi"/>
        </w:rPr>
      </w:pPr>
      <w:r w:rsidRPr="009A0DA6">
        <w:rPr>
          <w:rFonts w:ascii="Cambria" w:hAnsi="Cambria" w:cstheme="minorHAnsi"/>
        </w:rPr>
        <w:t>As a church where love comes to life, it was acknowledged that we must take seriously Christ’s call to follow him as his disciples. This priority sought to nurture in each other a passion for God’s word, the sacraments and worship. Together we grow in faith and service, and follow Christ as his lifelong disciples.</w:t>
      </w:r>
    </w:p>
    <w:p w14:paraId="24752DFB" w14:textId="77777777" w:rsidR="00F631B1" w:rsidRPr="009A0DA6" w:rsidRDefault="00F631B1" w:rsidP="00F631B1">
      <w:pPr>
        <w:pStyle w:val="Heading3"/>
      </w:pPr>
      <w:r w:rsidRPr="009A0DA6">
        <w:t>Going as God’s people</w:t>
      </w:r>
    </w:p>
    <w:p w14:paraId="3E71BCFE" w14:textId="77777777" w:rsidR="00F631B1" w:rsidRPr="009A0DA6" w:rsidRDefault="00F631B1" w:rsidP="00F631B1">
      <w:pPr>
        <w:autoSpaceDE w:val="0"/>
        <w:autoSpaceDN w:val="0"/>
        <w:adjustRightInd w:val="0"/>
        <w:spacing w:after="120" w:line="240" w:lineRule="auto"/>
        <w:rPr>
          <w:rFonts w:ascii="Cambria" w:hAnsi="Cambria" w:cstheme="minorHAnsi"/>
        </w:rPr>
      </w:pPr>
      <w:r w:rsidRPr="009A0DA6">
        <w:rPr>
          <w:rFonts w:ascii="Cambria" w:hAnsi="Cambria" w:cstheme="minorHAnsi"/>
        </w:rPr>
        <w:t>As a church where love comes to life, it was affirmed that we must be active in mission. Going as God’s people means we seek to identify and initiate new opportunities to reach out with Christ’s love, in word and action, in our local communities and beyond.</w:t>
      </w:r>
    </w:p>
    <w:p w14:paraId="2C6C28B4" w14:textId="77777777" w:rsidR="00F631B1" w:rsidRPr="009A0DA6" w:rsidRDefault="00F631B1" w:rsidP="00F631B1">
      <w:pPr>
        <w:pStyle w:val="Heading3"/>
      </w:pPr>
      <w:r w:rsidRPr="009A0DA6">
        <w:t>Enable us to Grow and Go</w:t>
      </w:r>
    </w:p>
    <w:p w14:paraId="4C623F5B" w14:textId="77777777" w:rsidR="00F631B1" w:rsidRPr="009A0DA6" w:rsidRDefault="00F631B1" w:rsidP="00F631B1">
      <w:pPr>
        <w:autoSpaceDE w:val="0"/>
        <w:autoSpaceDN w:val="0"/>
        <w:adjustRightInd w:val="0"/>
        <w:spacing w:after="120" w:line="240" w:lineRule="auto"/>
        <w:rPr>
          <w:rFonts w:ascii="Cambria" w:hAnsi="Cambria" w:cstheme="minorHAnsi"/>
        </w:rPr>
      </w:pPr>
      <w:r w:rsidRPr="009A0DA6">
        <w:rPr>
          <w:rFonts w:ascii="Cambria" w:hAnsi="Cambria" w:cstheme="minorHAnsi"/>
        </w:rPr>
        <w:t>Enable us to Grow and Go is the third, supporting priority.</w:t>
      </w:r>
    </w:p>
    <w:p w14:paraId="70256836" w14:textId="77777777" w:rsidR="00F631B1" w:rsidRPr="009A0DA6" w:rsidRDefault="00F631B1" w:rsidP="00F631B1">
      <w:pPr>
        <w:autoSpaceDE w:val="0"/>
        <w:autoSpaceDN w:val="0"/>
        <w:adjustRightInd w:val="0"/>
        <w:spacing w:after="120" w:line="240" w:lineRule="auto"/>
        <w:rPr>
          <w:rFonts w:ascii="Cambria" w:hAnsi="Cambria" w:cstheme="minorHAnsi"/>
        </w:rPr>
      </w:pPr>
      <w:r w:rsidRPr="009A0DA6">
        <w:rPr>
          <w:rFonts w:ascii="Cambria" w:hAnsi="Cambria" w:cstheme="minorHAnsi"/>
        </w:rPr>
        <w:t>It was recognised that God has blessed us with the skills, talents and resources to achieve our Strategic Priorities.</w:t>
      </w:r>
    </w:p>
    <w:p w14:paraId="661BDDDF" w14:textId="77777777" w:rsidR="00F631B1" w:rsidRPr="009A0DA6" w:rsidRDefault="00F631B1" w:rsidP="00F631B1">
      <w:pPr>
        <w:autoSpaceDE w:val="0"/>
        <w:autoSpaceDN w:val="0"/>
        <w:adjustRightInd w:val="0"/>
        <w:spacing w:after="120" w:line="240" w:lineRule="auto"/>
        <w:rPr>
          <w:rFonts w:ascii="Cambria" w:hAnsi="Cambria" w:cstheme="minorHAnsi"/>
        </w:rPr>
      </w:pPr>
      <w:r w:rsidRPr="009A0DA6">
        <w:rPr>
          <w:rFonts w:ascii="Cambria" w:hAnsi="Cambria" w:cstheme="minorHAnsi"/>
        </w:rPr>
        <w:t>The challenge is to use them wisely and effectively.</w:t>
      </w:r>
    </w:p>
    <w:p w14:paraId="561B9066" w14:textId="77777777" w:rsidR="00F631B1" w:rsidRPr="009A0DA6" w:rsidRDefault="00F631B1" w:rsidP="00F631B1">
      <w:pPr>
        <w:autoSpaceDE w:val="0"/>
        <w:autoSpaceDN w:val="0"/>
        <w:adjustRightInd w:val="0"/>
        <w:spacing w:after="120" w:line="240" w:lineRule="auto"/>
        <w:rPr>
          <w:rFonts w:ascii="Cambria" w:hAnsi="Cambria" w:cstheme="minorHAnsi"/>
        </w:rPr>
      </w:pPr>
      <w:r w:rsidRPr="009A0DA6">
        <w:rPr>
          <w:rFonts w:ascii="Cambria" w:hAnsi="Cambria" w:cstheme="minorHAnsi"/>
        </w:rPr>
        <w:t>The Strategic Direction identified areas where we can do things better, which will help achieve our two core Strategic Priorities.</w:t>
      </w:r>
    </w:p>
    <w:p w14:paraId="7A7F7178" w14:textId="77777777" w:rsidR="00F631B1" w:rsidRPr="009A0DA6" w:rsidRDefault="00F631B1" w:rsidP="00F631B1">
      <w:pPr>
        <w:pStyle w:val="Heading3"/>
      </w:pPr>
      <w:r w:rsidRPr="009A0DA6">
        <w:t>From priorities to action</w:t>
      </w:r>
    </w:p>
    <w:p w14:paraId="0630EF53" w14:textId="77777777" w:rsidR="00F631B1" w:rsidRPr="009A0DA6" w:rsidRDefault="00F631B1" w:rsidP="00F631B1">
      <w:pPr>
        <w:autoSpaceDE w:val="0"/>
        <w:autoSpaceDN w:val="0"/>
        <w:adjustRightInd w:val="0"/>
        <w:spacing w:after="120" w:line="240" w:lineRule="auto"/>
        <w:rPr>
          <w:rFonts w:ascii="Cambria" w:hAnsi="Cambria" w:cstheme="minorHAnsi"/>
        </w:rPr>
      </w:pPr>
      <w:r w:rsidRPr="009A0DA6">
        <w:rPr>
          <w:rFonts w:ascii="Cambria" w:hAnsi="Cambria" w:cstheme="minorHAnsi"/>
        </w:rPr>
        <w:t>In 2013, it was made clear that the Strategic Direction is only a starting point: a catalyst for congregations, districts and agencies to respond to the opportunities which God has placed before them…</w:t>
      </w:r>
    </w:p>
    <w:p w14:paraId="1E59F7D4" w14:textId="77777777" w:rsidR="00F631B1" w:rsidRPr="009A0DA6" w:rsidRDefault="00F631B1" w:rsidP="00F631B1">
      <w:pPr>
        <w:autoSpaceDE w:val="0"/>
        <w:autoSpaceDN w:val="0"/>
        <w:adjustRightInd w:val="0"/>
        <w:spacing w:after="120" w:line="240" w:lineRule="auto"/>
        <w:rPr>
          <w:rFonts w:ascii="Cambria" w:hAnsi="Cambria" w:cstheme="minorHAnsi"/>
        </w:rPr>
      </w:pPr>
      <w:r w:rsidRPr="009A0DA6">
        <w:rPr>
          <w:rFonts w:ascii="Cambria" w:hAnsi="Cambria" w:cstheme="minorHAnsi"/>
        </w:rPr>
        <w:t>… supported by the LCA</w:t>
      </w:r>
    </w:p>
    <w:p w14:paraId="7C854E16" w14:textId="77777777" w:rsidR="00F631B1" w:rsidRPr="009A0DA6" w:rsidRDefault="00F631B1" w:rsidP="00F631B1">
      <w:pPr>
        <w:autoSpaceDE w:val="0"/>
        <w:autoSpaceDN w:val="0"/>
        <w:adjustRightInd w:val="0"/>
        <w:spacing w:after="120" w:line="240" w:lineRule="auto"/>
        <w:rPr>
          <w:rFonts w:ascii="Cambria" w:hAnsi="Cambria" w:cstheme="minorHAnsi"/>
        </w:rPr>
      </w:pPr>
      <w:r w:rsidRPr="009A0DA6">
        <w:rPr>
          <w:rFonts w:ascii="Cambria" w:hAnsi="Cambria" w:cstheme="minorHAnsi"/>
        </w:rPr>
        <w:t>… and supporting the LCA to pick up responsibilities that can better be accomplished as Synod.</w:t>
      </w:r>
    </w:p>
    <w:p w14:paraId="2111AC89" w14:textId="2B06D02D" w:rsidR="00F631B1" w:rsidRPr="009A0DA6" w:rsidRDefault="00F631B1" w:rsidP="00F631B1">
      <w:pPr>
        <w:autoSpaceDE w:val="0"/>
        <w:autoSpaceDN w:val="0"/>
        <w:adjustRightInd w:val="0"/>
        <w:spacing w:after="120" w:line="240" w:lineRule="auto"/>
        <w:rPr>
          <w:rFonts w:ascii="Cambria" w:hAnsi="Cambria" w:cstheme="minorHAnsi"/>
        </w:rPr>
      </w:pPr>
      <w:r w:rsidRPr="009A0DA6">
        <w:rPr>
          <w:rFonts w:ascii="Cambria" w:hAnsi="Cambria" w:cstheme="minorHAnsi"/>
        </w:rPr>
        <w:lastRenderedPageBreak/>
        <w:t>It was to help guide a focus on excitin</w:t>
      </w:r>
      <w:r w:rsidR="003A5884">
        <w:rPr>
          <w:rFonts w:ascii="Cambria" w:hAnsi="Cambria" w:cstheme="minorHAnsi"/>
        </w:rPr>
        <w:t>g initiatives to help us ‘grow and</w:t>
      </w:r>
      <w:r w:rsidRPr="009A0DA6">
        <w:rPr>
          <w:rFonts w:ascii="Cambria" w:hAnsi="Cambria" w:cstheme="minorHAnsi"/>
        </w:rPr>
        <w:t xml:space="preserve"> go’. </w:t>
      </w:r>
    </w:p>
    <w:p w14:paraId="3E14D810" w14:textId="77777777" w:rsidR="00F631B1" w:rsidRPr="009A0DA6" w:rsidRDefault="00F631B1" w:rsidP="00F631B1">
      <w:pPr>
        <w:autoSpaceDE w:val="0"/>
        <w:autoSpaceDN w:val="0"/>
        <w:adjustRightInd w:val="0"/>
        <w:spacing w:after="120" w:line="240" w:lineRule="auto"/>
        <w:rPr>
          <w:rFonts w:ascii="Cambria" w:hAnsi="Cambria" w:cstheme="minorHAnsi"/>
        </w:rPr>
      </w:pPr>
      <w:r w:rsidRPr="009A0DA6">
        <w:rPr>
          <w:rFonts w:ascii="Cambria" w:hAnsi="Cambria" w:cstheme="minorHAnsi"/>
        </w:rPr>
        <w:t xml:space="preserve">We recognised there were limited resources, and not everything can be, or necessarily should be, done at once. That is why the Strategic Direction covered a period of six years. </w:t>
      </w:r>
    </w:p>
    <w:p w14:paraId="40B1C4EA" w14:textId="77777777" w:rsidR="00F631B1" w:rsidRPr="009A0DA6" w:rsidRDefault="00F631B1" w:rsidP="00F631B1">
      <w:pPr>
        <w:autoSpaceDE w:val="0"/>
        <w:autoSpaceDN w:val="0"/>
        <w:adjustRightInd w:val="0"/>
        <w:spacing w:after="120" w:line="240" w:lineRule="auto"/>
        <w:rPr>
          <w:rFonts w:ascii="Cambria" w:hAnsi="Cambria" w:cstheme="minorHAnsi"/>
        </w:rPr>
      </w:pPr>
      <w:r w:rsidRPr="009A0DA6">
        <w:rPr>
          <w:rFonts w:ascii="Cambria" w:hAnsi="Cambria" w:cstheme="minorHAnsi"/>
        </w:rPr>
        <w:t>It was not designed to be a blueprint. Mission isn’t a straightforward process. New opportunities will come before us and challenges will emerge which can’t be easily anticipated.</w:t>
      </w:r>
    </w:p>
    <w:p w14:paraId="7EDC1C72" w14:textId="77777777" w:rsidR="00F631B1" w:rsidRPr="009A0DA6" w:rsidRDefault="00F631B1" w:rsidP="00F631B1">
      <w:pPr>
        <w:autoSpaceDE w:val="0"/>
        <w:autoSpaceDN w:val="0"/>
        <w:adjustRightInd w:val="0"/>
        <w:spacing w:after="120" w:line="240" w:lineRule="auto"/>
        <w:rPr>
          <w:rFonts w:ascii="Cambria" w:hAnsi="Cambria" w:cstheme="minorHAnsi"/>
        </w:rPr>
      </w:pPr>
      <w:r w:rsidRPr="009A0DA6">
        <w:rPr>
          <w:rFonts w:ascii="Cambria" w:hAnsi="Cambria" w:cstheme="minorHAnsi"/>
        </w:rPr>
        <w:t xml:space="preserve">It acknowledged that church operates in different places and contexts. There is a no ‘one size fits all’ approach. </w:t>
      </w:r>
    </w:p>
    <w:p w14:paraId="5D3C40A4" w14:textId="77777777" w:rsidR="00F631B1" w:rsidRPr="009A0DA6" w:rsidRDefault="00F631B1" w:rsidP="00F631B1">
      <w:pPr>
        <w:pStyle w:val="Heading3"/>
      </w:pPr>
      <w:r w:rsidRPr="009A0DA6">
        <w:t>Shaping our future together, with God’s help</w:t>
      </w:r>
    </w:p>
    <w:p w14:paraId="6B88BDE6" w14:textId="77777777" w:rsidR="00F631B1" w:rsidRPr="009A0DA6" w:rsidRDefault="00F631B1" w:rsidP="00F631B1">
      <w:pPr>
        <w:autoSpaceDE w:val="0"/>
        <w:autoSpaceDN w:val="0"/>
        <w:adjustRightInd w:val="0"/>
        <w:spacing w:after="120" w:line="240" w:lineRule="auto"/>
        <w:rPr>
          <w:rFonts w:ascii="Cambria" w:hAnsi="Cambria" w:cstheme="minorHAnsi"/>
        </w:rPr>
      </w:pPr>
      <w:r w:rsidRPr="009A0DA6">
        <w:rPr>
          <w:rFonts w:ascii="Cambria" w:hAnsi="Cambria" w:cstheme="minorHAnsi"/>
        </w:rPr>
        <w:t>The Strategic Direction was based firmly on an understanding that we walk together as Synod: respecting our diversity, but as one united church building each other up to face the challenges and embrace the possibilities in an ever changing context.</w:t>
      </w:r>
    </w:p>
    <w:p w14:paraId="77EA1717" w14:textId="77777777" w:rsidR="00F631B1" w:rsidRPr="009A0DA6" w:rsidRDefault="00F631B1" w:rsidP="00F631B1">
      <w:pPr>
        <w:autoSpaceDE w:val="0"/>
        <w:autoSpaceDN w:val="0"/>
        <w:adjustRightInd w:val="0"/>
        <w:spacing w:after="120" w:line="240" w:lineRule="auto"/>
        <w:rPr>
          <w:rFonts w:ascii="Cambria" w:hAnsi="Cambria" w:cstheme="minorHAnsi"/>
        </w:rPr>
      </w:pPr>
      <w:r w:rsidRPr="009A0DA6">
        <w:rPr>
          <w:rFonts w:ascii="Cambria" w:hAnsi="Cambria" w:cstheme="minorHAnsi"/>
        </w:rPr>
        <w:t xml:space="preserve">We recognised we are the ones who only water and sow, and that it is God that does the growing. We prayerfully sought God’s guidance, and the equipping of the Holy Spirit who empowers and transforms, as we sought to bring love to life the strategic direction. </w:t>
      </w:r>
    </w:p>
    <w:p w14:paraId="6A84B4FB" w14:textId="77777777" w:rsidR="00F631B1" w:rsidRPr="009A0DA6" w:rsidRDefault="00F631B1" w:rsidP="00F631B1">
      <w:pPr>
        <w:pStyle w:val="Heading3"/>
      </w:pPr>
      <w:r w:rsidRPr="009A0DA6">
        <w:t>Our progress</w:t>
      </w:r>
    </w:p>
    <w:p w14:paraId="001FE31E" w14:textId="77777777" w:rsidR="00F631B1" w:rsidRPr="009A0DA6" w:rsidRDefault="00F631B1" w:rsidP="00F631B1">
      <w:pPr>
        <w:autoSpaceDE w:val="0"/>
        <w:autoSpaceDN w:val="0"/>
        <w:adjustRightInd w:val="0"/>
        <w:spacing w:after="120" w:line="240" w:lineRule="auto"/>
        <w:rPr>
          <w:rFonts w:ascii="Cambria" w:hAnsi="Cambria" w:cstheme="minorHAnsi"/>
        </w:rPr>
      </w:pPr>
      <w:r w:rsidRPr="009A0DA6">
        <w:rPr>
          <w:rFonts w:ascii="Cambria" w:hAnsi="Cambria" w:cstheme="minorHAnsi"/>
        </w:rPr>
        <w:t xml:space="preserve">We sometimes worry, and even despair, when congregations close, there are fewer people in the pews on a Sunday, and our society becomes less trusting of religious communities. It is true these things are happening, however, as participants in God’s mission, we can be confident that there is never any reason to abandon our hope. </w:t>
      </w:r>
    </w:p>
    <w:p w14:paraId="6258B8E2" w14:textId="77777777" w:rsidR="00F631B1" w:rsidRPr="009A0DA6" w:rsidRDefault="00F631B1" w:rsidP="00F631B1">
      <w:pPr>
        <w:autoSpaceDE w:val="0"/>
        <w:autoSpaceDN w:val="0"/>
        <w:adjustRightInd w:val="0"/>
        <w:spacing w:after="120" w:line="240" w:lineRule="auto"/>
        <w:rPr>
          <w:rFonts w:ascii="Cambria" w:hAnsi="Cambria" w:cstheme="minorHAnsi"/>
        </w:rPr>
      </w:pPr>
      <w:r w:rsidRPr="009A0DA6">
        <w:rPr>
          <w:rFonts w:ascii="Cambria" w:hAnsi="Cambria" w:cstheme="minorHAnsi"/>
        </w:rPr>
        <w:t xml:space="preserve">Over the past six years, we can see glimpses of how God has worked through us to grow people in their faith and go in inviting people into a relationship with Jesus. </w:t>
      </w:r>
    </w:p>
    <w:p w14:paraId="00B99EC8" w14:textId="77777777" w:rsidR="00F631B1" w:rsidRPr="009A0DA6" w:rsidRDefault="00F631B1" w:rsidP="00F631B1">
      <w:pPr>
        <w:autoSpaceDE w:val="0"/>
        <w:autoSpaceDN w:val="0"/>
        <w:adjustRightInd w:val="0"/>
        <w:spacing w:after="120" w:line="240" w:lineRule="auto"/>
        <w:rPr>
          <w:rFonts w:ascii="Cambria" w:hAnsi="Cambria" w:cstheme="minorHAnsi"/>
        </w:rPr>
      </w:pPr>
      <w:r w:rsidRPr="009A0DA6">
        <w:rPr>
          <w:rFonts w:ascii="Cambria" w:hAnsi="Cambria" w:cstheme="minorHAnsi"/>
        </w:rPr>
        <w:t>The following is offered as a brief snapshot of key achievements against “Our Strategic Direction”:</w:t>
      </w:r>
    </w:p>
    <w:p w14:paraId="6C0D1700" w14:textId="77777777" w:rsidR="00F631B1" w:rsidRPr="009A0DA6" w:rsidRDefault="00F631B1" w:rsidP="00F631B1">
      <w:pPr>
        <w:pStyle w:val="Heading3"/>
      </w:pPr>
      <w:r w:rsidRPr="009A0DA6">
        <w:t>Grow as God’s People</w:t>
      </w:r>
    </w:p>
    <w:p w14:paraId="4D384B9E" w14:textId="77777777" w:rsidR="00F631B1" w:rsidRPr="009A0DA6" w:rsidRDefault="00F631B1" w:rsidP="00F631B1">
      <w:pPr>
        <w:autoSpaceDE w:val="0"/>
        <w:autoSpaceDN w:val="0"/>
        <w:adjustRightInd w:val="0"/>
        <w:spacing w:after="120" w:line="240" w:lineRule="auto"/>
        <w:rPr>
          <w:rFonts w:ascii="Cambria" w:hAnsi="Cambria" w:cstheme="minorHAnsi"/>
        </w:rPr>
      </w:pPr>
      <w:r w:rsidRPr="009A0DA6">
        <w:rPr>
          <w:rFonts w:ascii="Cambria" w:hAnsi="Cambria" w:cstheme="minorHAnsi"/>
        </w:rPr>
        <w:t>We have together:</w:t>
      </w:r>
    </w:p>
    <w:p w14:paraId="03B9D215" w14:textId="2E1E1AB4" w:rsidR="00F631B1" w:rsidRPr="009A0DA6" w:rsidRDefault="00F631B1" w:rsidP="00F55252">
      <w:pPr>
        <w:pStyle w:val="ListParagraph"/>
        <w:numPr>
          <w:ilvl w:val="0"/>
          <w:numId w:val="57"/>
        </w:numPr>
        <w:autoSpaceDE w:val="0"/>
        <w:autoSpaceDN w:val="0"/>
        <w:adjustRightInd w:val="0"/>
        <w:spacing w:after="120" w:line="240" w:lineRule="auto"/>
        <w:ind w:left="567" w:hanging="567"/>
        <w:rPr>
          <w:rFonts w:ascii="Cambria" w:hAnsi="Cambria" w:cstheme="minorHAnsi"/>
        </w:rPr>
      </w:pPr>
      <w:r w:rsidRPr="009A0DA6">
        <w:rPr>
          <w:rFonts w:ascii="Cambria" w:hAnsi="Cambria" w:cstheme="minorHAnsi"/>
        </w:rPr>
        <w:t>provided numerous training activities and events (</w:t>
      </w:r>
      <w:r w:rsidR="00453D5A" w:rsidRPr="009A0DA6">
        <w:rPr>
          <w:rFonts w:ascii="Cambria" w:hAnsi="Cambria" w:cstheme="minorHAnsi"/>
        </w:rPr>
        <w:t>e.g.</w:t>
      </w:r>
      <w:r w:rsidRPr="009A0DA6">
        <w:rPr>
          <w:rFonts w:ascii="Cambria" w:hAnsi="Cambria" w:cstheme="minorHAnsi"/>
        </w:rPr>
        <w:t xml:space="preserve"> Sent conferences and events, Missional Masterclasses, Grow Coaching, African ministry summit)</w:t>
      </w:r>
    </w:p>
    <w:p w14:paraId="0ABD0F67" w14:textId="77777777" w:rsidR="00F631B1" w:rsidRPr="009A0DA6" w:rsidRDefault="00F631B1" w:rsidP="00F55252">
      <w:pPr>
        <w:pStyle w:val="ListParagraph"/>
        <w:numPr>
          <w:ilvl w:val="0"/>
          <w:numId w:val="57"/>
        </w:numPr>
        <w:autoSpaceDE w:val="0"/>
        <w:autoSpaceDN w:val="0"/>
        <w:adjustRightInd w:val="0"/>
        <w:spacing w:after="120" w:line="240" w:lineRule="auto"/>
        <w:ind w:left="567" w:hanging="567"/>
        <w:rPr>
          <w:rFonts w:ascii="Cambria" w:hAnsi="Cambria" w:cstheme="minorHAnsi"/>
        </w:rPr>
      </w:pPr>
      <w:r w:rsidRPr="009A0DA6">
        <w:rPr>
          <w:rFonts w:ascii="Cambria" w:hAnsi="Cambria" w:cstheme="minorHAnsi"/>
        </w:rPr>
        <w:t>further resourced the Commission on Worship website</w:t>
      </w:r>
    </w:p>
    <w:p w14:paraId="1204967F" w14:textId="77777777" w:rsidR="00F631B1" w:rsidRPr="009A0DA6" w:rsidRDefault="00F631B1" w:rsidP="00F631B1">
      <w:pPr>
        <w:pStyle w:val="ListParagraph"/>
        <w:autoSpaceDE w:val="0"/>
        <w:autoSpaceDN w:val="0"/>
        <w:adjustRightInd w:val="0"/>
        <w:spacing w:after="120" w:line="240" w:lineRule="auto"/>
        <w:ind w:left="567"/>
        <w:rPr>
          <w:rFonts w:ascii="Cambria" w:hAnsi="Cambria" w:cstheme="minorHAnsi"/>
        </w:rPr>
      </w:pPr>
      <w:r w:rsidRPr="009A0DA6">
        <w:rPr>
          <w:rFonts w:ascii="Cambria" w:hAnsi="Cambria" w:cstheme="minorHAnsi"/>
        </w:rPr>
        <w:t>iIncreased the live streaming of worship services, and the distribution of worship service DVDs to people unable to attend worship</w:t>
      </w:r>
    </w:p>
    <w:p w14:paraId="550E42D4" w14:textId="77777777" w:rsidR="00F631B1" w:rsidRPr="009A0DA6" w:rsidRDefault="00F631B1" w:rsidP="00F55252">
      <w:pPr>
        <w:pStyle w:val="ListParagraph"/>
        <w:numPr>
          <w:ilvl w:val="0"/>
          <w:numId w:val="57"/>
        </w:numPr>
        <w:autoSpaceDE w:val="0"/>
        <w:autoSpaceDN w:val="0"/>
        <w:adjustRightInd w:val="0"/>
        <w:spacing w:after="120" w:line="240" w:lineRule="auto"/>
        <w:ind w:left="567" w:hanging="567"/>
        <w:rPr>
          <w:rFonts w:ascii="Cambria" w:hAnsi="Cambria" w:cstheme="minorHAnsi"/>
        </w:rPr>
      </w:pPr>
      <w:r w:rsidRPr="009A0DA6">
        <w:rPr>
          <w:rFonts w:ascii="Cambria" w:hAnsi="Cambria" w:cstheme="minorHAnsi"/>
        </w:rPr>
        <w:t>broadened service opportunities through volunteering via International Mission)</w:t>
      </w:r>
    </w:p>
    <w:p w14:paraId="1F269DCD" w14:textId="77777777" w:rsidR="00F631B1" w:rsidRPr="009A0DA6" w:rsidRDefault="00F631B1" w:rsidP="00F55252">
      <w:pPr>
        <w:pStyle w:val="ListParagraph"/>
        <w:numPr>
          <w:ilvl w:val="0"/>
          <w:numId w:val="57"/>
        </w:numPr>
        <w:autoSpaceDE w:val="0"/>
        <w:autoSpaceDN w:val="0"/>
        <w:adjustRightInd w:val="0"/>
        <w:spacing w:after="120" w:line="240" w:lineRule="auto"/>
        <w:ind w:left="567" w:hanging="567"/>
        <w:rPr>
          <w:rFonts w:ascii="Cambria" w:hAnsi="Cambria" w:cstheme="minorHAnsi"/>
        </w:rPr>
      </w:pPr>
      <w:r w:rsidRPr="009A0DA6">
        <w:rPr>
          <w:rFonts w:ascii="Cambria" w:hAnsi="Cambria" w:cstheme="minorHAnsi"/>
        </w:rPr>
        <w:t>helped to equip hundreds of people to provide and support child, youth and family ministry in their local contexts</w:t>
      </w:r>
    </w:p>
    <w:p w14:paraId="278092B2" w14:textId="617984F4" w:rsidR="00F631B1" w:rsidRPr="009A0DA6" w:rsidRDefault="00F631B1" w:rsidP="00F55252">
      <w:pPr>
        <w:pStyle w:val="ListParagraph"/>
        <w:numPr>
          <w:ilvl w:val="0"/>
          <w:numId w:val="57"/>
        </w:numPr>
        <w:autoSpaceDE w:val="0"/>
        <w:autoSpaceDN w:val="0"/>
        <w:adjustRightInd w:val="0"/>
        <w:spacing w:after="120" w:line="240" w:lineRule="auto"/>
        <w:ind w:left="567" w:hanging="567"/>
        <w:rPr>
          <w:rFonts w:ascii="Cambria" w:hAnsi="Cambria" w:cstheme="minorHAnsi"/>
        </w:rPr>
      </w:pPr>
      <w:r w:rsidRPr="009A0DA6">
        <w:rPr>
          <w:rFonts w:ascii="Cambria" w:hAnsi="Cambria" w:cstheme="minorHAnsi"/>
        </w:rPr>
        <w:t>developed print and media resources (</w:t>
      </w:r>
      <w:r w:rsidR="00453D5A" w:rsidRPr="009A0DA6">
        <w:rPr>
          <w:rFonts w:ascii="Cambria" w:hAnsi="Cambria" w:cstheme="minorHAnsi"/>
        </w:rPr>
        <w:t>e.g.</w:t>
      </w:r>
      <w:r w:rsidRPr="009A0DA6">
        <w:rPr>
          <w:rFonts w:ascii="Cambria" w:hAnsi="Cambria" w:cstheme="minorHAnsi"/>
        </w:rPr>
        <w:t xml:space="preserve"> texts such as ‘Sent: seeking the orphans of God’ and ‘New Life New Love’ and media activity such as the series on Dementia)</w:t>
      </w:r>
    </w:p>
    <w:p w14:paraId="0A888C9C" w14:textId="77777777" w:rsidR="00F631B1" w:rsidRPr="009A0DA6" w:rsidRDefault="00F631B1" w:rsidP="00F55252">
      <w:pPr>
        <w:pStyle w:val="ListParagraph"/>
        <w:numPr>
          <w:ilvl w:val="0"/>
          <w:numId w:val="57"/>
        </w:numPr>
        <w:autoSpaceDE w:val="0"/>
        <w:autoSpaceDN w:val="0"/>
        <w:adjustRightInd w:val="0"/>
        <w:spacing w:after="120" w:line="240" w:lineRule="auto"/>
        <w:ind w:left="567" w:hanging="567"/>
        <w:rPr>
          <w:rFonts w:ascii="Cambria" w:hAnsi="Cambria" w:cstheme="minorHAnsi"/>
        </w:rPr>
      </w:pPr>
      <w:r w:rsidRPr="009A0DA6">
        <w:rPr>
          <w:rFonts w:ascii="Cambria" w:hAnsi="Cambria" w:cstheme="minorHAnsi"/>
        </w:rPr>
        <w:t>provided discussion papers on ageing issues</w:t>
      </w:r>
    </w:p>
    <w:p w14:paraId="3386FD43" w14:textId="77777777" w:rsidR="00F631B1" w:rsidRPr="009A0DA6" w:rsidRDefault="00F631B1" w:rsidP="00F631B1">
      <w:pPr>
        <w:pStyle w:val="Heading3"/>
      </w:pPr>
      <w:r w:rsidRPr="009A0DA6">
        <w:t>Go as God’s People</w:t>
      </w:r>
    </w:p>
    <w:p w14:paraId="5CAEBCD8" w14:textId="77777777" w:rsidR="00F631B1" w:rsidRPr="009A0DA6" w:rsidRDefault="00F631B1" w:rsidP="00F631B1">
      <w:pPr>
        <w:autoSpaceDE w:val="0"/>
        <w:autoSpaceDN w:val="0"/>
        <w:adjustRightInd w:val="0"/>
        <w:spacing w:after="120" w:line="240" w:lineRule="auto"/>
        <w:rPr>
          <w:rFonts w:ascii="Cambria" w:hAnsi="Cambria" w:cstheme="minorHAnsi"/>
        </w:rPr>
      </w:pPr>
      <w:r w:rsidRPr="009A0DA6">
        <w:rPr>
          <w:rFonts w:ascii="Cambria" w:hAnsi="Cambria" w:cstheme="minorHAnsi"/>
        </w:rPr>
        <w:t>We have together:</w:t>
      </w:r>
    </w:p>
    <w:p w14:paraId="368F8B94" w14:textId="77777777" w:rsidR="00F631B1" w:rsidRPr="009A0DA6" w:rsidRDefault="00F631B1" w:rsidP="00F55252">
      <w:pPr>
        <w:pStyle w:val="ListParagraph"/>
        <w:numPr>
          <w:ilvl w:val="0"/>
          <w:numId w:val="58"/>
        </w:numPr>
        <w:autoSpaceDE w:val="0"/>
        <w:autoSpaceDN w:val="0"/>
        <w:adjustRightInd w:val="0"/>
        <w:spacing w:after="120" w:line="240" w:lineRule="auto"/>
        <w:ind w:left="567" w:hanging="567"/>
        <w:rPr>
          <w:rFonts w:ascii="Cambria" w:hAnsi="Cambria" w:cstheme="minorHAnsi"/>
        </w:rPr>
      </w:pPr>
      <w:r w:rsidRPr="009A0DA6">
        <w:rPr>
          <w:rFonts w:ascii="Cambria" w:hAnsi="Cambria" w:cstheme="minorHAnsi"/>
        </w:rPr>
        <w:t>trained and equipped 11 sending churches</w:t>
      </w:r>
    </w:p>
    <w:p w14:paraId="3BEA6FD4" w14:textId="77777777" w:rsidR="00F631B1" w:rsidRPr="009A0DA6" w:rsidRDefault="00F631B1" w:rsidP="00F55252">
      <w:pPr>
        <w:pStyle w:val="ListParagraph"/>
        <w:numPr>
          <w:ilvl w:val="0"/>
          <w:numId w:val="58"/>
        </w:numPr>
        <w:autoSpaceDE w:val="0"/>
        <w:autoSpaceDN w:val="0"/>
        <w:adjustRightInd w:val="0"/>
        <w:spacing w:after="120" w:line="240" w:lineRule="auto"/>
        <w:ind w:left="567" w:hanging="567"/>
        <w:rPr>
          <w:rFonts w:ascii="Cambria" w:hAnsi="Cambria" w:cstheme="minorHAnsi"/>
        </w:rPr>
      </w:pPr>
      <w:r w:rsidRPr="009A0DA6">
        <w:rPr>
          <w:rFonts w:ascii="Cambria" w:hAnsi="Cambria" w:cstheme="minorHAnsi"/>
        </w:rPr>
        <w:t>supported three church plants (Pakenham, Arise and Beyond)</w:t>
      </w:r>
    </w:p>
    <w:p w14:paraId="2BD0E14C" w14:textId="77777777" w:rsidR="00F631B1" w:rsidRPr="009A0DA6" w:rsidRDefault="00F631B1" w:rsidP="00F55252">
      <w:pPr>
        <w:pStyle w:val="ListParagraph"/>
        <w:numPr>
          <w:ilvl w:val="0"/>
          <w:numId w:val="58"/>
        </w:numPr>
        <w:autoSpaceDE w:val="0"/>
        <w:autoSpaceDN w:val="0"/>
        <w:adjustRightInd w:val="0"/>
        <w:spacing w:after="120" w:line="240" w:lineRule="auto"/>
        <w:ind w:left="567" w:hanging="567"/>
        <w:rPr>
          <w:rFonts w:ascii="Cambria" w:hAnsi="Cambria" w:cstheme="minorHAnsi"/>
        </w:rPr>
      </w:pPr>
      <w:r w:rsidRPr="009A0DA6">
        <w:rPr>
          <w:rFonts w:ascii="Cambria" w:hAnsi="Cambria" w:cstheme="minorHAnsi"/>
        </w:rPr>
        <w:t>expanded radio outreach in New Zealand and Australia, especially Queensland</w:t>
      </w:r>
    </w:p>
    <w:p w14:paraId="075FECD1" w14:textId="77777777" w:rsidR="00F631B1" w:rsidRPr="009A0DA6" w:rsidRDefault="00F631B1" w:rsidP="00F55252">
      <w:pPr>
        <w:pStyle w:val="ListParagraph"/>
        <w:numPr>
          <w:ilvl w:val="0"/>
          <w:numId w:val="58"/>
        </w:numPr>
        <w:autoSpaceDE w:val="0"/>
        <w:autoSpaceDN w:val="0"/>
        <w:adjustRightInd w:val="0"/>
        <w:spacing w:after="120" w:line="240" w:lineRule="auto"/>
        <w:ind w:left="567" w:hanging="567"/>
        <w:rPr>
          <w:rFonts w:ascii="Cambria" w:hAnsi="Cambria" w:cstheme="minorHAnsi"/>
        </w:rPr>
      </w:pPr>
      <w:r w:rsidRPr="009A0DA6">
        <w:rPr>
          <w:rFonts w:ascii="Cambria" w:hAnsi="Cambria" w:cstheme="minorHAnsi"/>
        </w:rPr>
        <w:t>expanded reach of the gospel through social media (through vehicles such as Facebook, YouTube), the increased use of video production (some of which are shown on Australian and NZ television) and availability of resources (eg on Pain and another on the issue of Parenting)</w:t>
      </w:r>
    </w:p>
    <w:p w14:paraId="060CB6FE" w14:textId="77777777" w:rsidR="00F631B1" w:rsidRPr="009A0DA6" w:rsidRDefault="00F631B1" w:rsidP="00F55252">
      <w:pPr>
        <w:pStyle w:val="ListParagraph"/>
        <w:numPr>
          <w:ilvl w:val="0"/>
          <w:numId w:val="58"/>
        </w:numPr>
        <w:autoSpaceDE w:val="0"/>
        <w:autoSpaceDN w:val="0"/>
        <w:adjustRightInd w:val="0"/>
        <w:spacing w:after="120" w:line="240" w:lineRule="auto"/>
        <w:ind w:left="567" w:hanging="567"/>
        <w:rPr>
          <w:rFonts w:ascii="Cambria" w:hAnsi="Cambria" w:cstheme="minorHAnsi"/>
        </w:rPr>
      </w:pPr>
      <w:r w:rsidRPr="009A0DA6">
        <w:rPr>
          <w:rFonts w:ascii="Cambria" w:hAnsi="Cambria" w:cstheme="minorHAnsi"/>
        </w:rPr>
        <w:t>resourced cross-cultural projects and opportunities</w:t>
      </w:r>
    </w:p>
    <w:p w14:paraId="30D4D011" w14:textId="77777777" w:rsidR="00F631B1" w:rsidRPr="009A0DA6" w:rsidRDefault="00F631B1" w:rsidP="00F55252">
      <w:pPr>
        <w:pStyle w:val="ListParagraph"/>
        <w:numPr>
          <w:ilvl w:val="0"/>
          <w:numId w:val="58"/>
        </w:numPr>
        <w:autoSpaceDE w:val="0"/>
        <w:autoSpaceDN w:val="0"/>
        <w:adjustRightInd w:val="0"/>
        <w:spacing w:after="120" w:line="240" w:lineRule="auto"/>
        <w:ind w:left="567" w:hanging="567"/>
        <w:rPr>
          <w:rFonts w:ascii="Cambria" w:hAnsi="Cambria" w:cstheme="minorHAnsi"/>
        </w:rPr>
      </w:pPr>
      <w:r w:rsidRPr="009A0DA6">
        <w:rPr>
          <w:rFonts w:ascii="Cambria" w:hAnsi="Cambria" w:cstheme="minorHAnsi"/>
        </w:rPr>
        <w:lastRenderedPageBreak/>
        <w:t>strengthened the partnerships with overseas churches, including PNG, Malaysia, Singapore, Myanmar and Cambodia.</w:t>
      </w:r>
    </w:p>
    <w:p w14:paraId="6F3EF2F1" w14:textId="77777777" w:rsidR="00F631B1" w:rsidRPr="009A0DA6" w:rsidRDefault="00F631B1" w:rsidP="00F631B1">
      <w:pPr>
        <w:pStyle w:val="Heading3"/>
      </w:pPr>
      <w:r w:rsidRPr="009A0DA6">
        <w:t>Enable Us to Go and Grow</w:t>
      </w:r>
    </w:p>
    <w:p w14:paraId="5CFAEE6D" w14:textId="77777777" w:rsidR="00F631B1" w:rsidRPr="009A0DA6" w:rsidRDefault="00F631B1" w:rsidP="00F631B1">
      <w:pPr>
        <w:autoSpaceDE w:val="0"/>
        <w:autoSpaceDN w:val="0"/>
        <w:adjustRightInd w:val="0"/>
        <w:spacing w:after="120" w:line="240" w:lineRule="auto"/>
        <w:rPr>
          <w:rFonts w:ascii="Cambria" w:hAnsi="Cambria" w:cstheme="minorHAnsi"/>
        </w:rPr>
      </w:pPr>
      <w:r w:rsidRPr="009A0DA6">
        <w:rPr>
          <w:rFonts w:ascii="Cambria" w:hAnsi="Cambria" w:cstheme="minorHAnsi"/>
        </w:rPr>
        <w:t>We have together:</w:t>
      </w:r>
    </w:p>
    <w:p w14:paraId="2199B493" w14:textId="77777777" w:rsidR="00F631B1" w:rsidRPr="009A0DA6" w:rsidRDefault="00F631B1" w:rsidP="00F55252">
      <w:pPr>
        <w:pStyle w:val="ListParagraph"/>
        <w:numPr>
          <w:ilvl w:val="0"/>
          <w:numId w:val="59"/>
        </w:numPr>
        <w:autoSpaceDE w:val="0"/>
        <w:autoSpaceDN w:val="0"/>
        <w:adjustRightInd w:val="0"/>
        <w:spacing w:after="120" w:line="240" w:lineRule="auto"/>
        <w:ind w:left="567" w:hanging="567"/>
        <w:rPr>
          <w:rFonts w:ascii="Cambria" w:hAnsi="Cambria" w:cstheme="minorHAnsi"/>
        </w:rPr>
      </w:pPr>
      <w:r w:rsidRPr="009A0DA6">
        <w:rPr>
          <w:rFonts w:ascii="Cambria" w:hAnsi="Cambria" w:cstheme="minorHAnsi"/>
        </w:rPr>
        <w:t>implemented a churchwide governance and administration review, which led to a trial of a new Churchwide functions structure that has had the aim of integrating mission work to be more effective and better serve the church</w:t>
      </w:r>
    </w:p>
    <w:p w14:paraId="20B1313D" w14:textId="77777777" w:rsidR="00F631B1" w:rsidRPr="009A0DA6" w:rsidRDefault="00F631B1" w:rsidP="00F55252">
      <w:pPr>
        <w:pStyle w:val="ListParagraph"/>
        <w:numPr>
          <w:ilvl w:val="0"/>
          <w:numId w:val="59"/>
        </w:numPr>
        <w:autoSpaceDE w:val="0"/>
        <w:autoSpaceDN w:val="0"/>
        <w:adjustRightInd w:val="0"/>
        <w:spacing w:after="120" w:line="240" w:lineRule="auto"/>
        <w:ind w:left="567" w:hanging="567"/>
        <w:rPr>
          <w:rFonts w:ascii="Cambria" w:hAnsi="Cambria" w:cstheme="minorHAnsi"/>
        </w:rPr>
      </w:pPr>
      <w:r w:rsidRPr="009A0DA6">
        <w:rPr>
          <w:rFonts w:ascii="Cambria" w:hAnsi="Cambria" w:cstheme="minorHAnsi"/>
        </w:rPr>
        <w:t>completed a review of our aged care and community service organisations that has affirmed they are all about mission and ministry through their provision of care; and entered into agreements that will lead to better governance</w:t>
      </w:r>
    </w:p>
    <w:p w14:paraId="48BAAFBA" w14:textId="77777777" w:rsidR="00F631B1" w:rsidRPr="009A0DA6" w:rsidRDefault="00F631B1" w:rsidP="00F55252">
      <w:pPr>
        <w:pStyle w:val="ListParagraph"/>
        <w:numPr>
          <w:ilvl w:val="0"/>
          <w:numId w:val="59"/>
        </w:numPr>
        <w:autoSpaceDE w:val="0"/>
        <w:autoSpaceDN w:val="0"/>
        <w:adjustRightInd w:val="0"/>
        <w:spacing w:after="120" w:line="240" w:lineRule="auto"/>
        <w:ind w:left="567" w:hanging="567"/>
        <w:rPr>
          <w:rFonts w:ascii="Cambria" w:hAnsi="Cambria" w:cstheme="minorHAnsi"/>
        </w:rPr>
      </w:pPr>
      <w:r w:rsidRPr="009A0DA6">
        <w:rPr>
          <w:rFonts w:ascii="Cambria" w:hAnsi="Cambria" w:cstheme="minorHAnsi"/>
        </w:rPr>
        <w:t>undertaken a review of Lutheran Education which has led to recommendations that aim to develop greater collaboration that will build on the already excellent education provided to over 40,000 students</w:t>
      </w:r>
    </w:p>
    <w:p w14:paraId="3CF43FBF" w14:textId="77777777" w:rsidR="00F631B1" w:rsidRPr="009A0DA6" w:rsidRDefault="00F631B1" w:rsidP="00F55252">
      <w:pPr>
        <w:pStyle w:val="ListParagraph"/>
        <w:numPr>
          <w:ilvl w:val="0"/>
          <w:numId w:val="59"/>
        </w:numPr>
        <w:autoSpaceDE w:val="0"/>
        <w:autoSpaceDN w:val="0"/>
        <w:adjustRightInd w:val="0"/>
        <w:spacing w:after="120" w:line="240" w:lineRule="auto"/>
        <w:ind w:left="567" w:hanging="567"/>
        <w:rPr>
          <w:rFonts w:ascii="Cambria" w:hAnsi="Cambria" w:cstheme="minorHAnsi"/>
        </w:rPr>
      </w:pPr>
      <w:r w:rsidRPr="009A0DA6">
        <w:rPr>
          <w:rFonts w:ascii="Cambria" w:hAnsi="Cambria" w:cstheme="minorHAnsi"/>
        </w:rPr>
        <w:t>supported districts and congregations to develop new or better websites to improve communication with their local communities</w:t>
      </w:r>
    </w:p>
    <w:p w14:paraId="013E5FAD" w14:textId="77777777" w:rsidR="00F631B1" w:rsidRPr="009A0DA6" w:rsidRDefault="00F631B1" w:rsidP="00F55252">
      <w:pPr>
        <w:pStyle w:val="ListParagraph"/>
        <w:numPr>
          <w:ilvl w:val="0"/>
          <w:numId w:val="59"/>
        </w:numPr>
        <w:autoSpaceDE w:val="0"/>
        <w:autoSpaceDN w:val="0"/>
        <w:adjustRightInd w:val="0"/>
        <w:spacing w:after="120" w:line="240" w:lineRule="auto"/>
        <w:ind w:left="567" w:hanging="567"/>
        <w:rPr>
          <w:rFonts w:ascii="Cambria" w:hAnsi="Cambria" w:cstheme="minorHAnsi"/>
        </w:rPr>
      </w:pPr>
      <w:r w:rsidRPr="009A0DA6">
        <w:rPr>
          <w:rFonts w:ascii="Cambria" w:hAnsi="Cambria" w:cstheme="minorHAnsi"/>
        </w:rPr>
        <w:t>improved church ministries’ communication and engagement with individuals, families and communities through, for example, enews and various publications and through an improved web presence</w:t>
      </w:r>
    </w:p>
    <w:p w14:paraId="50E928CB" w14:textId="77777777" w:rsidR="00F631B1" w:rsidRPr="009A0DA6" w:rsidRDefault="00F631B1" w:rsidP="00F55252">
      <w:pPr>
        <w:pStyle w:val="ListParagraph"/>
        <w:numPr>
          <w:ilvl w:val="0"/>
          <w:numId w:val="59"/>
        </w:numPr>
        <w:autoSpaceDE w:val="0"/>
        <w:autoSpaceDN w:val="0"/>
        <w:adjustRightInd w:val="0"/>
        <w:spacing w:after="120" w:line="240" w:lineRule="auto"/>
        <w:ind w:left="567" w:hanging="567"/>
        <w:rPr>
          <w:rFonts w:ascii="Cambria" w:hAnsi="Cambria" w:cstheme="minorHAnsi"/>
        </w:rPr>
      </w:pPr>
      <w:r w:rsidRPr="009A0DA6">
        <w:rPr>
          <w:rFonts w:ascii="Cambria" w:hAnsi="Cambria" w:cstheme="minorHAnsi"/>
        </w:rPr>
        <w:t>helped to develop greater collaboration and coordination of communications, with the ‘where love comes to life’ tagline a consistent message across the church</w:t>
      </w:r>
    </w:p>
    <w:p w14:paraId="1BCECF63" w14:textId="77777777" w:rsidR="00F631B1" w:rsidRPr="009A0DA6" w:rsidRDefault="00F631B1" w:rsidP="00F55252">
      <w:pPr>
        <w:pStyle w:val="ListParagraph"/>
        <w:numPr>
          <w:ilvl w:val="0"/>
          <w:numId w:val="59"/>
        </w:numPr>
        <w:autoSpaceDE w:val="0"/>
        <w:autoSpaceDN w:val="0"/>
        <w:adjustRightInd w:val="0"/>
        <w:spacing w:after="120" w:line="240" w:lineRule="auto"/>
        <w:ind w:left="567" w:hanging="567"/>
        <w:rPr>
          <w:rFonts w:ascii="Cambria" w:hAnsi="Cambria" w:cstheme="minorHAnsi"/>
        </w:rPr>
      </w:pPr>
      <w:r w:rsidRPr="009A0DA6">
        <w:rPr>
          <w:rFonts w:ascii="Cambria" w:hAnsi="Cambria" w:cstheme="minorHAnsi"/>
        </w:rPr>
        <w:t>increased capacity through the Church Worker Support Department to support congregations in the support of their pastors, lay workers and volunteers</w:t>
      </w:r>
    </w:p>
    <w:p w14:paraId="67F6CD86" w14:textId="77777777" w:rsidR="00F631B1" w:rsidRPr="009A0DA6" w:rsidRDefault="00F631B1" w:rsidP="00F55252">
      <w:pPr>
        <w:pStyle w:val="ListParagraph"/>
        <w:numPr>
          <w:ilvl w:val="0"/>
          <w:numId w:val="59"/>
        </w:numPr>
        <w:autoSpaceDE w:val="0"/>
        <w:autoSpaceDN w:val="0"/>
        <w:adjustRightInd w:val="0"/>
        <w:spacing w:after="120" w:line="240" w:lineRule="auto"/>
        <w:ind w:left="567" w:hanging="567"/>
        <w:rPr>
          <w:rFonts w:ascii="Cambria" w:hAnsi="Cambria" w:cstheme="minorHAnsi"/>
        </w:rPr>
      </w:pPr>
      <w:r w:rsidRPr="009A0DA6">
        <w:rPr>
          <w:rFonts w:ascii="Cambria" w:hAnsi="Cambria" w:cstheme="minorHAnsi"/>
        </w:rPr>
        <w:t>reduced siloing through the integration of, and collaboration between, local mission activities and departments.</w:t>
      </w:r>
    </w:p>
    <w:p w14:paraId="02376F3E" w14:textId="77777777" w:rsidR="00F631B1" w:rsidRPr="009A0DA6" w:rsidRDefault="00F631B1" w:rsidP="00F631B1">
      <w:pPr>
        <w:pStyle w:val="Heading3"/>
      </w:pPr>
      <w:r w:rsidRPr="009A0DA6">
        <w:t>Toward the future</w:t>
      </w:r>
    </w:p>
    <w:p w14:paraId="23B33DAB" w14:textId="77777777" w:rsidR="00F631B1" w:rsidRPr="009A0DA6" w:rsidRDefault="00F631B1" w:rsidP="00F631B1">
      <w:pPr>
        <w:autoSpaceDE w:val="0"/>
        <w:autoSpaceDN w:val="0"/>
        <w:adjustRightInd w:val="0"/>
        <w:spacing w:after="120" w:line="240" w:lineRule="auto"/>
        <w:rPr>
          <w:rFonts w:ascii="Cambria" w:hAnsi="Cambria" w:cstheme="minorHAnsi"/>
        </w:rPr>
      </w:pPr>
      <w:r w:rsidRPr="009A0DA6">
        <w:rPr>
          <w:rFonts w:ascii="Cambria" w:hAnsi="Cambria" w:cstheme="minorHAnsi"/>
        </w:rPr>
        <w:t>We give thanks to God for blessing all that has been done in his name over the past six years.</w:t>
      </w:r>
    </w:p>
    <w:p w14:paraId="2E51A00B" w14:textId="77777777" w:rsidR="00F631B1" w:rsidRPr="009A0DA6" w:rsidRDefault="00F631B1" w:rsidP="00F631B1">
      <w:pPr>
        <w:autoSpaceDE w:val="0"/>
        <w:autoSpaceDN w:val="0"/>
        <w:adjustRightInd w:val="0"/>
        <w:spacing w:after="120" w:line="240" w:lineRule="auto"/>
        <w:rPr>
          <w:rFonts w:ascii="Cambria" w:hAnsi="Cambria" w:cstheme="minorHAnsi"/>
        </w:rPr>
      </w:pPr>
      <w:r w:rsidRPr="009A0DA6">
        <w:rPr>
          <w:rFonts w:ascii="Cambria" w:hAnsi="Cambria" w:cstheme="minorHAnsi"/>
        </w:rPr>
        <w:t xml:space="preserve">We recognise that we have also fallen short of expectations and plans; and there is a continual need for improvement in the implementation of projects and activities that commenced during the period of the Strategic Direction. It is also the case that many of the initiatives we have started need more time to bear their full fruit. </w:t>
      </w:r>
    </w:p>
    <w:p w14:paraId="0C758517" w14:textId="77777777" w:rsidR="00F631B1" w:rsidRPr="009A0DA6" w:rsidRDefault="00F631B1" w:rsidP="00F631B1">
      <w:pPr>
        <w:autoSpaceDE w:val="0"/>
        <w:autoSpaceDN w:val="0"/>
        <w:adjustRightInd w:val="0"/>
        <w:spacing w:after="120" w:line="240" w:lineRule="auto"/>
        <w:rPr>
          <w:rFonts w:ascii="Cambria" w:hAnsi="Cambria" w:cstheme="minorHAnsi"/>
        </w:rPr>
      </w:pPr>
      <w:r w:rsidRPr="009A0DA6">
        <w:rPr>
          <w:rFonts w:ascii="Cambria" w:hAnsi="Cambria" w:cstheme="minorHAnsi"/>
        </w:rPr>
        <w:t xml:space="preserve">Overall, though, we believe the current priorities are still relevant. We are therefore not proposing any major changes to “Our Direction” for the period 2018–2024. </w:t>
      </w:r>
    </w:p>
    <w:p w14:paraId="137F7496" w14:textId="77777777" w:rsidR="00F631B1" w:rsidRPr="009A0DA6" w:rsidRDefault="00F631B1" w:rsidP="00F631B1">
      <w:pPr>
        <w:autoSpaceDE w:val="0"/>
        <w:autoSpaceDN w:val="0"/>
        <w:adjustRightInd w:val="0"/>
        <w:spacing w:after="120" w:line="240" w:lineRule="auto"/>
        <w:rPr>
          <w:rFonts w:ascii="Cambria" w:hAnsi="Cambria" w:cstheme="minorHAnsi"/>
        </w:rPr>
      </w:pPr>
      <w:r w:rsidRPr="009A0DA6">
        <w:rPr>
          <w:rFonts w:ascii="Cambria" w:hAnsi="Cambria" w:cstheme="minorHAnsi"/>
        </w:rPr>
        <w:t>Rather we are recommending that are some changes in emphasis, as we continue to build on what has been achieved between 2013 and 2018, and to address those areas that have been identified as requiring a particular focus.</w:t>
      </w:r>
    </w:p>
    <w:p w14:paraId="1BA85EEF" w14:textId="7631A635" w:rsidR="00F631B1" w:rsidRDefault="00F631B1" w:rsidP="00F631B1">
      <w:pPr>
        <w:pStyle w:val="NoSpacing"/>
      </w:pPr>
    </w:p>
    <w:p w14:paraId="0908C777" w14:textId="77777777" w:rsidR="00E54EAA" w:rsidRPr="009A0DA6" w:rsidRDefault="00E54EAA" w:rsidP="00E54EAA">
      <w:pPr>
        <w:pStyle w:val="Heading3"/>
      </w:pPr>
      <w:r w:rsidRPr="009A0DA6">
        <w:t>Financial Performance</w:t>
      </w:r>
    </w:p>
    <w:p w14:paraId="69C23EC8" w14:textId="77777777" w:rsidR="00E54EAA" w:rsidRPr="00E54EAA" w:rsidRDefault="00E54EAA" w:rsidP="00F631B1">
      <w:pPr>
        <w:pStyle w:val="NoSpacing"/>
        <w:rPr>
          <w:sz w:val="2"/>
        </w:rPr>
      </w:pPr>
    </w:p>
    <w:tbl>
      <w:tblPr>
        <w:tblW w:w="8708" w:type="dxa"/>
        <w:tblInd w:w="-15" w:type="dxa"/>
        <w:tblLook w:val="04A0" w:firstRow="1" w:lastRow="0" w:firstColumn="1" w:lastColumn="0" w:noHBand="0" w:noVBand="1"/>
      </w:tblPr>
      <w:tblGrid>
        <w:gridCol w:w="4268"/>
        <w:gridCol w:w="1480"/>
        <w:gridCol w:w="1480"/>
        <w:gridCol w:w="1480"/>
      </w:tblGrid>
      <w:tr w:rsidR="00E54EAA" w:rsidRPr="00A462B6" w14:paraId="7C3B353E" w14:textId="77777777" w:rsidTr="00AD32D2">
        <w:trPr>
          <w:trHeight w:val="310"/>
        </w:trPr>
        <w:tc>
          <w:tcPr>
            <w:tcW w:w="4268" w:type="dxa"/>
            <w:shd w:val="clear" w:color="auto" w:fill="auto"/>
            <w:vAlign w:val="center"/>
            <w:hideMark/>
          </w:tcPr>
          <w:p w14:paraId="09582037" w14:textId="77777777" w:rsidR="00E54EAA" w:rsidRPr="00A462B6" w:rsidRDefault="00E54EAA" w:rsidP="00A80EF2">
            <w:pPr>
              <w:spacing w:after="0" w:line="240" w:lineRule="auto"/>
              <w:rPr>
                <w:rFonts w:ascii="Cambria" w:eastAsia="Times New Roman" w:hAnsi="Cambria" w:cs="Times New Roman"/>
                <w:b/>
                <w:bCs/>
                <w:color w:val="000000"/>
                <w:lang w:eastAsia="en-AU"/>
              </w:rPr>
            </w:pPr>
            <w:r w:rsidRPr="00A462B6">
              <w:rPr>
                <w:rFonts w:ascii="Cambria" w:eastAsia="Times New Roman" w:hAnsi="Cambria" w:cs="Times New Roman"/>
                <w:b/>
                <w:bCs/>
                <w:color w:val="000000"/>
                <w:lang w:eastAsia="en-AU"/>
              </w:rPr>
              <w:t>Alignment to LCA Strategic Priorities</w:t>
            </w:r>
          </w:p>
        </w:tc>
        <w:tc>
          <w:tcPr>
            <w:tcW w:w="1480" w:type="dxa"/>
            <w:shd w:val="clear" w:color="auto" w:fill="auto"/>
            <w:vAlign w:val="center"/>
            <w:hideMark/>
          </w:tcPr>
          <w:p w14:paraId="14D89B33" w14:textId="77777777" w:rsidR="00E54EAA" w:rsidRPr="00A462B6" w:rsidRDefault="00E54EAA" w:rsidP="00A80EF2">
            <w:pPr>
              <w:spacing w:after="0" w:line="240" w:lineRule="auto"/>
              <w:jc w:val="right"/>
              <w:rPr>
                <w:rFonts w:ascii="Cambria" w:eastAsia="Times New Roman" w:hAnsi="Cambria" w:cs="Times New Roman"/>
                <w:b/>
                <w:bCs/>
                <w:color w:val="000000"/>
                <w:lang w:eastAsia="en-AU"/>
              </w:rPr>
            </w:pPr>
            <w:r w:rsidRPr="00A462B6">
              <w:rPr>
                <w:rFonts w:ascii="Cambria" w:eastAsia="Times New Roman" w:hAnsi="Cambria" w:cs="Times New Roman"/>
                <w:b/>
                <w:bCs/>
                <w:color w:val="000000"/>
                <w:lang w:eastAsia="en-AU"/>
              </w:rPr>
              <w:t>2017</w:t>
            </w:r>
          </w:p>
        </w:tc>
        <w:tc>
          <w:tcPr>
            <w:tcW w:w="1480" w:type="dxa"/>
            <w:shd w:val="clear" w:color="auto" w:fill="auto"/>
            <w:vAlign w:val="center"/>
            <w:hideMark/>
          </w:tcPr>
          <w:p w14:paraId="54C6B65D" w14:textId="77777777" w:rsidR="00E54EAA" w:rsidRPr="00A462B6" w:rsidRDefault="00E54EAA" w:rsidP="00A80EF2">
            <w:pPr>
              <w:spacing w:after="0" w:line="240" w:lineRule="auto"/>
              <w:jc w:val="right"/>
              <w:rPr>
                <w:rFonts w:ascii="Cambria" w:eastAsia="Times New Roman" w:hAnsi="Cambria" w:cs="Times New Roman"/>
                <w:b/>
                <w:bCs/>
                <w:color w:val="000000"/>
                <w:lang w:eastAsia="en-AU"/>
              </w:rPr>
            </w:pPr>
            <w:r w:rsidRPr="00A462B6">
              <w:rPr>
                <w:rFonts w:ascii="Cambria" w:eastAsia="Times New Roman" w:hAnsi="Cambria" w:cs="Times New Roman"/>
                <w:b/>
                <w:bCs/>
                <w:color w:val="000000"/>
                <w:lang w:eastAsia="en-AU"/>
              </w:rPr>
              <w:t>2016</w:t>
            </w:r>
          </w:p>
        </w:tc>
        <w:tc>
          <w:tcPr>
            <w:tcW w:w="1480" w:type="dxa"/>
            <w:shd w:val="clear" w:color="auto" w:fill="auto"/>
            <w:vAlign w:val="center"/>
            <w:hideMark/>
          </w:tcPr>
          <w:p w14:paraId="664EE885" w14:textId="77777777" w:rsidR="00E54EAA" w:rsidRPr="00A462B6" w:rsidRDefault="00E54EAA" w:rsidP="00A80EF2">
            <w:pPr>
              <w:spacing w:after="0" w:line="240" w:lineRule="auto"/>
              <w:jc w:val="right"/>
              <w:rPr>
                <w:rFonts w:ascii="Cambria" w:eastAsia="Times New Roman" w:hAnsi="Cambria" w:cs="Times New Roman"/>
                <w:b/>
                <w:bCs/>
                <w:color w:val="000000"/>
                <w:lang w:eastAsia="en-AU"/>
              </w:rPr>
            </w:pPr>
            <w:r w:rsidRPr="00A462B6">
              <w:rPr>
                <w:rFonts w:ascii="Cambria" w:eastAsia="Times New Roman" w:hAnsi="Cambria" w:cs="Times New Roman"/>
                <w:b/>
                <w:bCs/>
                <w:color w:val="000000"/>
                <w:lang w:eastAsia="en-AU"/>
              </w:rPr>
              <w:t>2015</w:t>
            </w:r>
          </w:p>
        </w:tc>
      </w:tr>
      <w:tr w:rsidR="00E54EAA" w:rsidRPr="00A462B6" w14:paraId="641EF900" w14:textId="77777777" w:rsidTr="00AD32D2">
        <w:trPr>
          <w:trHeight w:val="310"/>
        </w:trPr>
        <w:tc>
          <w:tcPr>
            <w:tcW w:w="4268" w:type="dxa"/>
            <w:shd w:val="clear" w:color="auto" w:fill="auto"/>
            <w:vAlign w:val="center"/>
            <w:hideMark/>
          </w:tcPr>
          <w:p w14:paraId="06768031" w14:textId="27631DCC" w:rsidR="00E54EAA" w:rsidRPr="00A462B6" w:rsidRDefault="00E54EAA" w:rsidP="00A80EF2">
            <w:pPr>
              <w:spacing w:after="0" w:line="240" w:lineRule="auto"/>
              <w:rPr>
                <w:rFonts w:ascii="Cambria" w:eastAsia="Times New Roman" w:hAnsi="Cambria" w:cs="Times New Roman"/>
                <w:b/>
                <w:bCs/>
                <w:color w:val="000000"/>
                <w:lang w:eastAsia="en-AU"/>
              </w:rPr>
            </w:pPr>
            <w:r>
              <w:rPr>
                <w:rFonts w:ascii="Cambria" w:eastAsia="Times New Roman" w:hAnsi="Cambria" w:cs="Times New Roman"/>
                <w:b/>
                <w:bCs/>
                <w:color w:val="000000"/>
                <w:lang w:eastAsia="en-AU"/>
              </w:rPr>
              <w:t xml:space="preserve">Total </w:t>
            </w:r>
            <w:r w:rsidRPr="00A462B6">
              <w:rPr>
                <w:rFonts w:ascii="Cambria" w:eastAsia="Times New Roman" w:hAnsi="Cambria" w:cs="Times New Roman"/>
                <w:b/>
                <w:bCs/>
                <w:color w:val="000000"/>
                <w:lang w:eastAsia="en-AU"/>
              </w:rPr>
              <w:t>Expenditure</w:t>
            </w:r>
            <w:r w:rsidR="00AD32D2">
              <w:rPr>
                <w:rFonts w:ascii="Cambria" w:eastAsia="Times New Roman" w:hAnsi="Cambria" w:cs="Times New Roman"/>
                <w:b/>
                <w:bCs/>
                <w:color w:val="000000"/>
                <w:lang w:eastAsia="en-AU"/>
              </w:rPr>
              <w:t xml:space="preserve"> </w:t>
            </w:r>
            <w:r w:rsidR="00AD32D2" w:rsidRPr="00AD32D2">
              <w:rPr>
                <w:rFonts w:ascii="Cambria" w:eastAsia="Times New Roman" w:hAnsi="Cambria" w:cs="Times New Roman"/>
                <w:bCs/>
                <w:color w:val="000000"/>
                <w:lang w:eastAsia="en-AU"/>
              </w:rPr>
              <w:t xml:space="preserve">(for </w:t>
            </w:r>
            <w:r w:rsidR="00AD32D2" w:rsidRPr="00AD32D2">
              <w:rPr>
                <w:rFonts w:ascii="Cambria" w:eastAsia="Times New Roman" w:hAnsi="Cambria" w:cs="Times New Roman"/>
                <w:b/>
                <w:bCs/>
                <w:color w:val="000000"/>
                <w:lang w:eastAsia="en-AU"/>
              </w:rPr>
              <w:t>all</w:t>
            </w:r>
            <w:r w:rsidR="00AD32D2" w:rsidRPr="00AD32D2">
              <w:rPr>
                <w:rFonts w:ascii="Cambria" w:eastAsia="Times New Roman" w:hAnsi="Cambria" w:cs="Times New Roman"/>
                <w:bCs/>
                <w:color w:val="000000"/>
                <w:lang w:eastAsia="en-AU"/>
              </w:rPr>
              <w:t xml:space="preserve"> LCA agencies)</w:t>
            </w:r>
          </w:p>
        </w:tc>
        <w:tc>
          <w:tcPr>
            <w:tcW w:w="1480" w:type="dxa"/>
            <w:shd w:val="clear" w:color="auto" w:fill="auto"/>
            <w:noWrap/>
            <w:vAlign w:val="bottom"/>
            <w:hideMark/>
          </w:tcPr>
          <w:p w14:paraId="0B20843D" w14:textId="77777777" w:rsidR="00E54EAA" w:rsidRPr="00A462B6" w:rsidRDefault="00E54EAA" w:rsidP="00A80EF2">
            <w:pPr>
              <w:spacing w:after="0" w:line="240" w:lineRule="auto"/>
              <w:rPr>
                <w:rFonts w:ascii="Cambria" w:eastAsia="Times New Roman" w:hAnsi="Cambria" w:cs="Times New Roman"/>
                <w:color w:val="000000"/>
                <w:lang w:eastAsia="en-AU"/>
              </w:rPr>
            </w:pPr>
          </w:p>
        </w:tc>
        <w:tc>
          <w:tcPr>
            <w:tcW w:w="1480" w:type="dxa"/>
            <w:shd w:val="clear" w:color="auto" w:fill="auto"/>
            <w:noWrap/>
            <w:vAlign w:val="bottom"/>
            <w:hideMark/>
          </w:tcPr>
          <w:p w14:paraId="797DC09E" w14:textId="77777777" w:rsidR="00E54EAA" w:rsidRPr="00A462B6" w:rsidRDefault="00E54EAA" w:rsidP="00A80EF2">
            <w:pPr>
              <w:spacing w:after="0" w:line="240" w:lineRule="auto"/>
              <w:rPr>
                <w:rFonts w:ascii="Cambria" w:eastAsia="Times New Roman" w:hAnsi="Cambria" w:cs="Times New Roman"/>
                <w:color w:val="000000"/>
                <w:lang w:eastAsia="en-AU"/>
              </w:rPr>
            </w:pPr>
          </w:p>
        </w:tc>
        <w:tc>
          <w:tcPr>
            <w:tcW w:w="1480" w:type="dxa"/>
            <w:shd w:val="clear" w:color="auto" w:fill="auto"/>
            <w:noWrap/>
            <w:vAlign w:val="bottom"/>
            <w:hideMark/>
          </w:tcPr>
          <w:p w14:paraId="685370E5" w14:textId="77777777" w:rsidR="00E54EAA" w:rsidRPr="00A462B6" w:rsidRDefault="00E54EAA" w:rsidP="00A80EF2">
            <w:pPr>
              <w:spacing w:after="0" w:line="240" w:lineRule="auto"/>
              <w:rPr>
                <w:rFonts w:ascii="Cambria" w:eastAsia="Times New Roman" w:hAnsi="Cambria" w:cs="Times New Roman"/>
                <w:color w:val="000000"/>
                <w:lang w:eastAsia="en-AU"/>
              </w:rPr>
            </w:pPr>
          </w:p>
        </w:tc>
      </w:tr>
      <w:tr w:rsidR="00E54EAA" w:rsidRPr="00A462B6" w14:paraId="3DFF2610" w14:textId="77777777" w:rsidTr="00AD32D2">
        <w:trPr>
          <w:trHeight w:val="310"/>
        </w:trPr>
        <w:tc>
          <w:tcPr>
            <w:tcW w:w="4268" w:type="dxa"/>
            <w:shd w:val="clear" w:color="auto" w:fill="auto"/>
            <w:vAlign w:val="center"/>
            <w:hideMark/>
          </w:tcPr>
          <w:p w14:paraId="13435FDA" w14:textId="77777777" w:rsidR="00E54EAA" w:rsidRPr="00A462B6" w:rsidRDefault="00E54EAA" w:rsidP="00A80EF2">
            <w:pPr>
              <w:spacing w:after="0" w:line="240" w:lineRule="auto"/>
              <w:rPr>
                <w:rFonts w:ascii="Cambria" w:eastAsia="Times New Roman" w:hAnsi="Cambria" w:cs="Times New Roman"/>
                <w:color w:val="000000"/>
                <w:lang w:eastAsia="en-AU"/>
              </w:rPr>
            </w:pPr>
            <w:r w:rsidRPr="00A462B6">
              <w:rPr>
                <w:rFonts w:ascii="Cambria" w:eastAsia="Times New Roman" w:hAnsi="Cambria" w:cs="Times New Roman"/>
                <w:color w:val="000000"/>
                <w:lang w:eastAsia="en-AU"/>
              </w:rPr>
              <w:t>1 Growing as God’s People</w:t>
            </w:r>
          </w:p>
        </w:tc>
        <w:tc>
          <w:tcPr>
            <w:tcW w:w="1480" w:type="dxa"/>
            <w:shd w:val="clear" w:color="auto" w:fill="auto"/>
            <w:vAlign w:val="center"/>
            <w:hideMark/>
          </w:tcPr>
          <w:p w14:paraId="1AC0E26C" w14:textId="77777777" w:rsidR="00E54EAA" w:rsidRPr="00A462B6" w:rsidRDefault="00E54EAA" w:rsidP="00A80EF2">
            <w:pPr>
              <w:spacing w:after="0" w:line="240" w:lineRule="auto"/>
              <w:jc w:val="right"/>
              <w:rPr>
                <w:rFonts w:ascii="Cambria" w:eastAsia="Times New Roman" w:hAnsi="Cambria" w:cs="Times New Roman"/>
                <w:color w:val="000000"/>
                <w:lang w:eastAsia="en-AU"/>
              </w:rPr>
            </w:pPr>
            <w:r w:rsidRPr="00A462B6">
              <w:rPr>
                <w:rFonts w:ascii="Cambria" w:eastAsia="Times New Roman" w:hAnsi="Cambria" w:cs="Times New Roman"/>
                <w:color w:val="000000"/>
                <w:lang w:eastAsia="en-AU"/>
              </w:rPr>
              <w:t>6,056,642</w:t>
            </w:r>
          </w:p>
        </w:tc>
        <w:tc>
          <w:tcPr>
            <w:tcW w:w="1480" w:type="dxa"/>
            <w:shd w:val="clear" w:color="auto" w:fill="auto"/>
            <w:vAlign w:val="center"/>
            <w:hideMark/>
          </w:tcPr>
          <w:p w14:paraId="74BB13DC" w14:textId="77777777" w:rsidR="00E54EAA" w:rsidRPr="00A462B6" w:rsidRDefault="00E54EAA" w:rsidP="00A80EF2">
            <w:pPr>
              <w:spacing w:after="0" w:line="240" w:lineRule="auto"/>
              <w:jc w:val="right"/>
              <w:rPr>
                <w:rFonts w:ascii="Cambria" w:eastAsia="Times New Roman" w:hAnsi="Cambria" w:cs="Times New Roman"/>
                <w:color w:val="000000"/>
                <w:lang w:eastAsia="en-AU"/>
              </w:rPr>
            </w:pPr>
            <w:r w:rsidRPr="00A462B6">
              <w:rPr>
                <w:rFonts w:ascii="Cambria" w:eastAsia="Times New Roman" w:hAnsi="Cambria" w:cs="Times New Roman"/>
                <w:color w:val="000000"/>
                <w:lang w:eastAsia="en-AU"/>
              </w:rPr>
              <w:t>5,946,554</w:t>
            </w:r>
          </w:p>
        </w:tc>
        <w:tc>
          <w:tcPr>
            <w:tcW w:w="1480" w:type="dxa"/>
            <w:shd w:val="clear" w:color="auto" w:fill="auto"/>
            <w:vAlign w:val="center"/>
            <w:hideMark/>
          </w:tcPr>
          <w:p w14:paraId="47F5DBD4" w14:textId="77777777" w:rsidR="00E54EAA" w:rsidRPr="00A462B6" w:rsidRDefault="00E54EAA" w:rsidP="00A80EF2">
            <w:pPr>
              <w:spacing w:after="0" w:line="240" w:lineRule="auto"/>
              <w:jc w:val="right"/>
              <w:rPr>
                <w:rFonts w:ascii="Cambria" w:eastAsia="Times New Roman" w:hAnsi="Cambria" w:cs="Times New Roman"/>
                <w:color w:val="000000"/>
                <w:lang w:eastAsia="en-AU"/>
              </w:rPr>
            </w:pPr>
            <w:r w:rsidRPr="00A462B6">
              <w:rPr>
                <w:rFonts w:ascii="Cambria" w:eastAsia="Times New Roman" w:hAnsi="Cambria" w:cs="Times New Roman"/>
                <w:color w:val="000000"/>
                <w:lang w:eastAsia="en-AU"/>
              </w:rPr>
              <w:t>5,933,210</w:t>
            </w:r>
          </w:p>
        </w:tc>
      </w:tr>
      <w:tr w:rsidR="00E54EAA" w:rsidRPr="00A462B6" w14:paraId="06BC3DB5" w14:textId="77777777" w:rsidTr="00AD32D2">
        <w:trPr>
          <w:trHeight w:val="310"/>
        </w:trPr>
        <w:tc>
          <w:tcPr>
            <w:tcW w:w="4268" w:type="dxa"/>
            <w:shd w:val="clear" w:color="auto" w:fill="auto"/>
            <w:vAlign w:val="center"/>
            <w:hideMark/>
          </w:tcPr>
          <w:p w14:paraId="006409AF" w14:textId="77777777" w:rsidR="00E54EAA" w:rsidRPr="00A462B6" w:rsidRDefault="00E54EAA" w:rsidP="00A80EF2">
            <w:pPr>
              <w:spacing w:after="0" w:line="240" w:lineRule="auto"/>
              <w:rPr>
                <w:rFonts w:ascii="Cambria" w:eastAsia="Times New Roman" w:hAnsi="Cambria" w:cs="Times New Roman"/>
                <w:color w:val="000000"/>
                <w:lang w:eastAsia="en-AU"/>
              </w:rPr>
            </w:pPr>
            <w:r w:rsidRPr="00A462B6">
              <w:rPr>
                <w:rFonts w:ascii="Cambria" w:eastAsia="Times New Roman" w:hAnsi="Cambria" w:cs="Times New Roman"/>
                <w:color w:val="000000"/>
                <w:lang w:eastAsia="en-AU"/>
              </w:rPr>
              <w:t>2 Going as God’s People</w:t>
            </w:r>
          </w:p>
        </w:tc>
        <w:tc>
          <w:tcPr>
            <w:tcW w:w="1480" w:type="dxa"/>
            <w:shd w:val="clear" w:color="auto" w:fill="auto"/>
            <w:vAlign w:val="center"/>
            <w:hideMark/>
          </w:tcPr>
          <w:p w14:paraId="18D43832" w14:textId="77777777" w:rsidR="00E54EAA" w:rsidRPr="00A462B6" w:rsidRDefault="00E54EAA" w:rsidP="00A80EF2">
            <w:pPr>
              <w:spacing w:after="0" w:line="240" w:lineRule="auto"/>
              <w:jc w:val="right"/>
              <w:rPr>
                <w:rFonts w:ascii="Cambria" w:eastAsia="Times New Roman" w:hAnsi="Cambria" w:cs="Times New Roman"/>
                <w:color w:val="000000"/>
                <w:lang w:eastAsia="en-AU"/>
              </w:rPr>
            </w:pPr>
            <w:r w:rsidRPr="00A462B6">
              <w:rPr>
                <w:rFonts w:ascii="Cambria" w:eastAsia="Times New Roman" w:hAnsi="Cambria" w:cs="Times New Roman"/>
                <w:color w:val="000000"/>
                <w:lang w:eastAsia="en-AU"/>
              </w:rPr>
              <w:t>8,553,917</w:t>
            </w:r>
          </w:p>
        </w:tc>
        <w:tc>
          <w:tcPr>
            <w:tcW w:w="1480" w:type="dxa"/>
            <w:shd w:val="clear" w:color="auto" w:fill="auto"/>
            <w:vAlign w:val="center"/>
            <w:hideMark/>
          </w:tcPr>
          <w:p w14:paraId="207CA3CB" w14:textId="77777777" w:rsidR="00E54EAA" w:rsidRPr="00A462B6" w:rsidRDefault="00E54EAA" w:rsidP="00A80EF2">
            <w:pPr>
              <w:spacing w:after="0" w:line="240" w:lineRule="auto"/>
              <w:jc w:val="right"/>
              <w:rPr>
                <w:rFonts w:ascii="Cambria" w:eastAsia="Times New Roman" w:hAnsi="Cambria" w:cs="Times New Roman"/>
                <w:color w:val="000000"/>
                <w:lang w:eastAsia="en-AU"/>
              </w:rPr>
            </w:pPr>
            <w:r w:rsidRPr="00A462B6">
              <w:rPr>
                <w:rFonts w:ascii="Cambria" w:eastAsia="Times New Roman" w:hAnsi="Cambria" w:cs="Times New Roman"/>
                <w:color w:val="000000"/>
                <w:lang w:eastAsia="en-AU"/>
              </w:rPr>
              <w:t>8,398,438</w:t>
            </w:r>
          </w:p>
        </w:tc>
        <w:tc>
          <w:tcPr>
            <w:tcW w:w="1480" w:type="dxa"/>
            <w:shd w:val="clear" w:color="auto" w:fill="auto"/>
            <w:vAlign w:val="center"/>
            <w:hideMark/>
          </w:tcPr>
          <w:p w14:paraId="68A46B7B" w14:textId="77777777" w:rsidR="00E54EAA" w:rsidRPr="00A462B6" w:rsidRDefault="00E54EAA" w:rsidP="00A80EF2">
            <w:pPr>
              <w:spacing w:after="0" w:line="240" w:lineRule="auto"/>
              <w:jc w:val="right"/>
              <w:rPr>
                <w:rFonts w:ascii="Cambria" w:eastAsia="Times New Roman" w:hAnsi="Cambria" w:cs="Times New Roman"/>
                <w:color w:val="000000"/>
                <w:lang w:eastAsia="en-AU"/>
              </w:rPr>
            </w:pPr>
            <w:r w:rsidRPr="00A462B6">
              <w:rPr>
                <w:rFonts w:ascii="Cambria" w:eastAsia="Times New Roman" w:hAnsi="Cambria" w:cs="Times New Roman"/>
                <w:color w:val="000000"/>
                <w:lang w:eastAsia="en-AU"/>
              </w:rPr>
              <w:t>8,379,592</w:t>
            </w:r>
          </w:p>
        </w:tc>
      </w:tr>
      <w:tr w:rsidR="00E54EAA" w:rsidRPr="00A462B6" w14:paraId="4E2ABA42" w14:textId="77777777" w:rsidTr="00AD32D2">
        <w:trPr>
          <w:trHeight w:val="310"/>
        </w:trPr>
        <w:tc>
          <w:tcPr>
            <w:tcW w:w="4268" w:type="dxa"/>
            <w:shd w:val="clear" w:color="auto" w:fill="auto"/>
            <w:vAlign w:val="center"/>
            <w:hideMark/>
          </w:tcPr>
          <w:p w14:paraId="7E97EB11" w14:textId="77777777" w:rsidR="00E54EAA" w:rsidRPr="00A462B6" w:rsidRDefault="00E54EAA" w:rsidP="00A80EF2">
            <w:pPr>
              <w:spacing w:after="0" w:line="240" w:lineRule="auto"/>
              <w:rPr>
                <w:rFonts w:ascii="Cambria" w:eastAsia="Times New Roman" w:hAnsi="Cambria" w:cs="Times New Roman"/>
                <w:color w:val="000000"/>
                <w:lang w:eastAsia="en-AU"/>
              </w:rPr>
            </w:pPr>
            <w:r w:rsidRPr="00A462B6">
              <w:rPr>
                <w:rFonts w:ascii="Cambria" w:eastAsia="Times New Roman" w:hAnsi="Cambria" w:cs="Times New Roman"/>
                <w:color w:val="000000"/>
                <w:lang w:eastAsia="en-AU"/>
              </w:rPr>
              <w:t>3 Enable us to Go &amp; Grow</w:t>
            </w:r>
          </w:p>
        </w:tc>
        <w:tc>
          <w:tcPr>
            <w:tcW w:w="1480" w:type="dxa"/>
            <w:shd w:val="clear" w:color="auto" w:fill="auto"/>
            <w:vAlign w:val="center"/>
            <w:hideMark/>
          </w:tcPr>
          <w:p w14:paraId="2521F2B9" w14:textId="77777777" w:rsidR="00E54EAA" w:rsidRPr="00A462B6" w:rsidRDefault="00E54EAA" w:rsidP="00A80EF2">
            <w:pPr>
              <w:spacing w:after="0" w:line="240" w:lineRule="auto"/>
              <w:jc w:val="right"/>
              <w:rPr>
                <w:rFonts w:ascii="Cambria" w:eastAsia="Times New Roman" w:hAnsi="Cambria" w:cs="Times New Roman"/>
                <w:color w:val="000000"/>
                <w:lang w:eastAsia="en-AU"/>
              </w:rPr>
            </w:pPr>
            <w:r w:rsidRPr="00A462B6">
              <w:rPr>
                <w:rFonts w:ascii="Cambria" w:eastAsia="Times New Roman" w:hAnsi="Cambria" w:cs="Times New Roman"/>
                <w:color w:val="000000"/>
                <w:lang w:eastAsia="en-AU"/>
              </w:rPr>
              <w:t>46,528,241</w:t>
            </w:r>
          </w:p>
        </w:tc>
        <w:tc>
          <w:tcPr>
            <w:tcW w:w="1480" w:type="dxa"/>
            <w:shd w:val="clear" w:color="auto" w:fill="auto"/>
            <w:vAlign w:val="center"/>
            <w:hideMark/>
          </w:tcPr>
          <w:p w14:paraId="22696D50" w14:textId="77777777" w:rsidR="00E54EAA" w:rsidRPr="00A462B6" w:rsidRDefault="00E54EAA" w:rsidP="00A80EF2">
            <w:pPr>
              <w:spacing w:after="0" w:line="240" w:lineRule="auto"/>
              <w:jc w:val="right"/>
              <w:rPr>
                <w:rFonts w:ascii="Cambria" w:eastAsia="Times New Roman" w:hAnsi="Cambria" w:cs="Times New Roman"/>
                <w:color w:val="000000"/>
                <w:lang w:eastAsia="en-AU"/>
              </w:rPr>
            </w:pPr>
            <w:r w:rsidRPr="00A462B6">
              <w:rPr>
                <w:rFonts w:ascii="Cambria" w:eastAsia="Times New Roman" w:hAnsi="Cambria" w:cs="Times New Roman"/>
                <w:color w:val="000000"/>
                <w:lang w:eastAsia="en-AU"/>
              </w:rPr>
              <w:t>45,682,523</w:t>
            </w:r>
          </w:p>
        </w:tc>
        <w:tc>
          <w:tcPr>
            <w:tcW w:w="1480" w:type="dxa"/>
            <w:shd w:val="clear" w:color="auto" w:fill="auto"/>
            <w:vAlign w:val="center"/>
            <w:hideMark/>
          </w:tcPr>
          <w:p w14:paraId="41936231" w14:textId="77777777" w:rsidR="00E54EAA" w:rsidRPr="00A462B6" w:rsidRDefault="00E54EAA" w:rsidP="00A80EF2">
            <w:pPr>
              <w:spacing w:after="0" w:line="240" w:lineRule="auto"/>
              <w:jc w:val="right"/>
              <w:rPr>
                <w:rFonts w:ascii="Cambria" w:eastAsia="Times New Roman" w:hAnsi="Cambria" w:cs="Times New Roman"/>
                <w:color w:val="000000"/>
                <w:lang w:eastAsia="en-AU"/>
              </w:rPr>
            </w:pPr>
            <w:r w:rsidRPr="00A462B6">
              <w:rPr>
                <w:rFonts w:ascii="Cambria" w:eastAsia="Times New Roman" w:hAnsi="Cambria" w:cs="Times New Roman"/>
                <w:color w:val="000000"/>
                <w:lang w:eastAsia="en-AU"/>
              </w:rPr>
              <w:t>45,580,015</w:t>
            </w:r>
          </w:p>
        </w:tc>
      </w:tr>
      <w:tr w:rsidR="00E54EAA" w:rsidRPr="00A462B6" w14:paraId="19525501" w14:textId="77777777" w:rsidTr="00AD32D2">
        <w:trPr>
          <w:trHeight w:val="310"/>
        </w:trPr>
        <w:tc>
          <w:tcPr>
            <w:tcW w:w="4268" w:type="dxa"/>
            <w:shd w:val="clear" w:color="auto" w:fill="auto"/>
            <w:vAlign w:val="center"/>
            <w:hideMark/>
          </w:tcPr>
          <w:p w14:paraId="58384241" w14:textId="77777777" w:rsidR="00E54EAA" w:rsidRPr="00A462B6" w:rsidRDefault="00E54EAA" w:rsidP="00A80EF2">
            <w:pPr>
              <w:spacing w:after="0" w:line="240" w:lineRule="auto"/>
              <w:jc w:val="right"/>
              <w:rPr>
                <w:rFonts w:ascii="Cambria" w:eastAsia="Times New Roman" w:hAnsi="Cambria" w:cs="Times New Roman"/>
                <w:b/>
                <w:bCs/>
                <w:color w:val="000000"/>
                <w:lang w:eastAsia="en-AU"/>
              </w:rPr>
            </w:pPr>
            <w:r w:rsidRPr="00A462B6">
              <w:rPr>
                <w:rFonts w:ascii="Cambria" w:eastAsia="Times New Roman" w:hAnsi="Cambria" w:cs="Times New Roman"/>
                <w:b/>
                <w:bCs/>
                <w:color w:val="000000"/>
                <w:lang w:eastAsia="en-AU"/>
              </w:rPr>
              <w:t>Total</w:t>
            </w:r>
          </w:p>
        </w:tc>
        <w:tc>
          <w:tcPr>
            <w:tcW w:w="1480" w:type="dxa"/>
            <w:shd w:val="clear" w:color="auto" w:fill="auto"/>
            <w:vAlign w:val="center"/>
            <w:hideMark/>
          </w:tcPr>
          <w:p w14:paraId="01528E02" w14:textId="77777777" w:rsidR="00E54EAA" w:rsidRPr="00A462B6" w:rsidRDefault="00E54EAA" w:rsidP="00A80EF2">
            <w:pPr>
              <w:spacing w:after="0" w:line="240" w:lineRule="auto"/>
              <w:jc w:val="right"/>
              <w:rPr>
                <w:rFonts w:ascii="Cambria" w:eastAsia="Times New Roman" w:hAnsi="Cambria" w:cs="Times New Roman"/>
                <w:b/>
                <w:color w:val="000000"/>
                <w:lang w:eastAsia="en-AU"/>
              </w:rPr>
            </w:pPr>
            <w:r w:rsidRPr="00A462B6">
              <w:rPr>
                <w:rFonts w:ascii="Cambria" w:eastAsia="Times New Roman" w:hAnsi="Cambria" w:cs="Times New Roman"/>
                <w:b/>
                <w:color w:val="000000"/>
                <w:lang w:eastAsia="en-AU"/>
              </w:rPr>
              <w:t>$61,138,800</w:t>
            </w:r>
          </w:p>
        </w:tc>
        <w:tc>
          <w:tcPr>
            <w:tcW w:w="1480" w:type="dxa"/>
            <w:shd w:val="clear" w:color="auto" w:fill="auto"/>
            <w:vAlign w:val="center"/>
            <w:hideMark/>
          </w:tcPr>
          <w:p w14:paraId="571EA6C3" w14:textId="77777777" w:rsidR="00E54EAA" w:rsidRPr="00A462B6" w:rsidRDefault="00E54EAA" w:rsidP="00A80EF2">
            <w:pPr>
              <w:spacing w:after="0" w:line="240" w:lineRule="auto"/>
              <w:jc w:val="right"/>
              <w:rPr>
                <w:rFonts w:ascii="Cambria" w:eastAsia="Times New Roman" w:hAnsi="Cambria" w:cs="Times New Roman"/>
                <w:b/>
                <w:color w:val="000000"/>
                <w:lang w:eastAsia="en-AU"/>
              </w:rPr>
            </w:pPr>
            <w:r w:rsidRPr="00A462B6">
              <w:rPr>
                <w:rFonts w:ascii="Cambria" w:eastAsia="Times New Roman" w:hAnsi="Cambria" w:cs="Times New Roman"/>
                <w:b/>
                <w:color w:val="000000"/>
                <w:lang w:eastAsia="en-AU"/>
              </w:rPr>
              <w:t>$60,027,515</w:t>
            </w:r>
          </w:p>
        </w:tc>
        <w:tc>
          <w:tcPr>
            <w:tcW w:w="1480" w:type="dxa"/>
            <w:shd w:val="clear" w:color="auto" w:fill="auto"/>
            <w:vAlign w:val="center"/>
            <w:hideMark/>
          </w:tcPr>
          <w:p w14:paraId="4DF05DFB" w14:textId="77777777" w:rsidR="00E54EAA" w:rsidRPr="00A462B6" w:rsidRDefault="00E54EAA" w:rsidP="00A80EF2">
            <w:pPr>
              <w:spacing w:after="0" w:line="240" w:lineRule="auto"/>
              <w:jc w:val="right"/>
              <w:rPr>
                <w:rFonts w:ascii="Cambria" w:eastAsia="Times New Roman" w:hAnsi="Cambria" w:cs="Times New Roman"/>
                <w:b/>
                <w:color w:val="000000"/>
                <w:lang w:eastAsia="en-AU"/>
              </w:rPr>
            </w:pPr>
            <w:r w:rsidRPr="00A462B6">
              <w:rPr>
                <w:rFonts w:ascii="Cambria" w:eastAsia="Times New Roman" w:hAnsi="Cambria" w:cs="Times New Roman"/>
                <w:b/>
                <w:color w:val="000000"/>
                <w:lang w:eastAsia="en-AU"/>
              </w:rPr>
              <w:t>$59,892,817</w:t>
            </w:r>
          </w:p>
        </w:tc>
      </w:tr>
    </w:tbl>
    <w:p w14:paraId="254EB265" w14:textId="77777777" w:rsidR="00F631B1" w:rsidRPr="009A0DA6" w:rsidRDefault="00F631B1" w:rsidP="00F631B1">
      <w:pPr>
        <w:pStyle w:val="NoSpacing"/>
      </w:pPr>
    </w:p>
    <w:p w14:paraId="571E8FAD" w14:textId="77777777" w:rsidR="00F631B1" w:rsidRPr="009A0DA6" w:rsidRDefault="00F631B1" w:rsidP="00F631B1">
      <w:pPr>
        <w:pStyle w:val="NoSpacing"/>
      </w:pPr>
    </w:p>
    <w:p w14:paraId="61D04D7C" w14:textId="77777777" w:rsidR="00565A2C" w:rsidRDefault="00565A2C">
      <w:pPr>
        <w:rPr>
          <w:rFonts w:ascii="Cambria" w:eastAsiaTheme="majorEastAsia" w:hAnsi="Cambria" w:cstheme="majorBidi"/>
          <w:b/>
          <w:sz w:val="36"/>
          <w:szCs w:val="32"/>
        </w:rPr>
      </w:pPr>
      <w:r>
        <w:br w:type="page"/>
      </w:r>
    </w:p>
    <w:p w14:paraId="4A7AC886" w14:textId="72632D5D" w:rsidR="00F631B1" w:rsidRPr="009A0DA6" w:rsidRDefault="00F631B1" w:rsidP="00F631B1">
      <w:pPr>
        <w:pStyle w:val="Heading2"/>
      </w:pPr>
      <w:bookmarkStart w:id="32" w:name="_Toc521954593"/>
      <w:bookmarkStart w:id="33" w:name="_Toc522394959"/>
      <w:r w:rsidRPr="009A0DA6">
        <w:lastRenderedPageBreak/>
        <w:t>Appendix H: Prevention of domestic and family violence campaign</w:t>
      </w:r>
      <w:bookmarkEnd w:id="32"/>
      <w:bookmarkEnd w:id="33"/>
    </w:p>
    <w:p w14:paraId="636B8D00" w14:textId="77777777" w:rsidR="00F631B1" w:rsidRPr="009A0DA6" w:rsidRDefault="00F631B1" w:rsidP="00F631B1">
      <w:pPr>
        <w:pStyle w:val="NoSpacing"/>
      </w:pPr>
    </w:p>
    <w:p w14:paraId="300D2E6A" w14:textId="77777777" w:rsidR="00F631B1" w:rsidRPr="009A0DA6" w:rsidRDefault="00F631B1" w:rsidP="00F631B1">
      <w:pPr>
        <w:pStyle w:val="Heading3"/>
      </w:pPr>
      <w:r w:rsidRPr="009A0DA6">
        <w:t>Prevention of Domestic and Family Violence Working Group Members</w:t>
      </w:r>
    </w:p>
    <w:p w14:paraId="04BA6430" w14:textId="77777777" w:rsidR="00F631B1" w:rsidRPr="009A0DA6" w:rsidRDefault="00F631B1" w:rsidP="00F631B1">
      <w:pPr>
        <w:spacing w:after="120" w:line="240" w:lineRule="auto"/>
        <w:rPr>
          <w:rFonts w:ascii="Cambria" w:hAnsi="Cambria" w:cs="Arial"/>
        </w:rPr>
      </w:pPr>
      <w:r w:rsidRPr="009A0DA6">
        <w:rPr>
          <w:rFonts w:ascii="Cambria" w:hAnsi="Cambria" w:cs="Arial"/>
        </w:rPr>
        <w:t>Libby Jewson, Helen Lockwood, Colleen Fitzpatrick, Angela Mayer, Ian Rentsch (Project Coordinator), Stephen Rudolph, Peter Schirmer (Convenor), Keith Stiller, James Winderlich</w:t>
      </w:r>
    </w:p>
    <w:p w14:paraId="7DA24A71" w14:textId="77777777" w:rsidR="00F631B1" w:rsidRPr="009A0DA6" w:rsidRDefault="00F631B1" w:rsidP="00F631B1">
      <w:pPr>
        <w:pStyle w:val="Heading3"/>
      </w:pPr>
      <w:r w:rsidRPr="009A0DA6">
        <w:t>Background</w:t>
      </w:r>
    </w:p>
    <w:p w14:paraId="560EDC6B" w14:textId="77777777" w:rsidR="00F631B1" w:rsidRPr="009A0DA6" w:rsidRDefault="00F631B1" w:rsidP="00F631B1">
      <w:pPr>
        <w:spacing w:after="120" w:line="240" w:lineRule="auto"/>
        <w:rPr>
          <w:rFonts w:ascii="Cambria" w:eastAsia="Times New Roman" w:hAnsi="Cambria" w:cs="Arial"/>
        </w:rPr>
      </w:pPr>
      <w:r w:rsidRPr="009A0DA6">
        <w:rPr>
          <w:rFonts w:ascii="Cambria" w:eastAsia="Times New Roman" w:hAnsi="Cambria" w:cs="Arial"/>
        </w:rPr>
        <w:t>The following resolutions were passed at the 2015 Synod:</w:t>
      </w:r>
    </w:p>
    <w:p w14:paraId="132AC905" w14:textId="77777777" w:rsidR="00F631B1" w:rsidRPr="009A0DA6" w:rsidRDefault="00F631B1" w:rsidP="00F631B1">
      <w:pPr>
        <w:spacing w:after="0" w:line="240" w:lineRule="auto"/>
        <w:ind w:left="720"/>
        <w:rPr>
          <w:rFonts w:ascii="Cambria" w:eastAsia="Times New Roman" w:hAnsi="Cambria" w:cs="Arial"/>
        </w:rPr>
      </w:pPr>
      <w:r w:rsidRPr="009A0DA6">
        <w:rPr>
          <w:rFonts w:ascii="Cambria" w:eastAsia="Times New Roman" w:hAnsi="Cambria" w:cs="Arial"/>
        </w:rPr>
        <w:t>That the Convention of Synod reaffirms its condemnation of all forms of violence in the family and authorises GCC to commit resources for a churchwide campaign to address the prevalence of Family Violence amongst us, which may include sharing of resources, education initiatives and the provision of pastoral care to the survivors of violence, as well as the perpetrators of abuse.</w:t>
      </w:r>
    </w:p>
    <w:p w14:paraId="6B6E779E" w14:textId="77777777" w:rsidR="00F631B1" w:rsidRPr="009A0DA6" w:rsidRDefault="00F631B1" w:rsidP="00F631B1">
      <w:pPr>
        <w:spacing w:after="0" w:line="240" w:lineRule="auto"/>
        <w:rPr>
          <w:rFonts w:ascii="Cambria" w:eastAsia="Times New Roman" w:hAnsi="Cambria" w:cs="Arial"/>
        </w:rPr>
      </w:pPr>
      <w:r w:rsidRPr="009A0DA6">
        <w:rPr>
          <w:rFonts w:ascii="Cambria" w:eastAsia="Times New Roman" w:hAnsi="Cambria" w:cs="Arial"/>
        </w:rPr>
        <w:t>and</w:t>
      </w:r>
    </w:p>
    <w:p w14:paraId="07EFC816" w14:textId="77777777" w:rsidR="00F631B1" w:rsidRPr="009A0DA6" w:rsidRDefault="00F631B1" w:rsidP="00F631B1">
      <w:pPr>
        <w:spacing w:after="0" w:line="240" w:lineRule="auto"/>
        <w:ind w:left="720"/>
        <w:rPr>
          <w:rFonts w:ascii="Cambria" w:eastAsia="Times New Roman" w:hAnsi="Cambria" w:cs="Arial"/>
        </w:rPr>
      </w:pPr>
      <w:r w:rsidRPr="009A0DA6">
        <w:rPr>
          <w:rFonts w:ascii="Cambria" w:eastAsia="Times New Roman" w:hAnsi="Cambria" w:cs="Arial"/>
        </w:rPr>
        <w:t>That Synod request CTICR study the Lutheran theological and scriptural understanding of subordination and the role of male headship in marriage and the contextual implications for family violence.</w:t>
      </w:r>
    </w:p>
    <w:p w14:paraId="14DBA5D3" w14:textId="77777777" w:rsidR="00F631B1" w:rsidRPr="009A0DA6" w:rsidRDefault="00F631B1" w:rsidP="00F631B1">
      <w:pPr>
        <w:spacing w:after="0" w:line="240" w:lineRule="auto"/>
        <w:rPr>
          <w:rFonts w:ascii="Cambria" w:eastAsia="Times New Roman" w:hAnsi="Cambria" w:cs="Arial"/>
          <w:b/>
          <w:i/>
        </w:rPr>
      </w:pPr>
    </w:p>
    <w:p w14:paraId="49753B1C" w14:textId="77777777" w:rsidR="00F631B1" w:rsidRPr="009A0DA6" w:rsidRDefault="00F631B1" w:rsidP="00F631B1">
      <w:pPr>
        <w:spacing w:after="120" w:line="240" w:lineRule="auto"/>
        <w:rPr>
          <w:rFonts w:ascii="Cambria" w:eastAsia="Times New Roman" w:hAnsi="Cambria" w:cs="Arial"/>
        </w:rPr>
      </w:pPr>
      <w:r w:rsidRPr="009A0DA6">
        <w:rPr>
          <w:rFonts w:ascii="Cambria" w:eastAsia="Times New Roman" w:hAnsi="Cambria" w:cs="Arial"/>
        </w:rPr>
        <w:t>The former was submitted by the committee that is responding to Royal Commissions and Inquiries, supported by the LCA’s Commission on Social and Bioethical Questions. The latter was proposed from the floor of Synod and addressed by the Commission on Theology and Inter Church Relations (CTICR).</w:t>
      </w:r>
    </w:p>
    <w:p w14:paraId="31698880" w14:textId="77777777" w:rsidR="00F631B1" w:rsidRPr="009A0DA6" w:rsidRDefault="00F631B1" w:rsidP="00F631B1">
      <w:pPr>
        <w:spacing w:after="120" w:line="240" w:lineRule="auto"/>
        <w:rPr>
          <w:rFonts w:ascii="Cambria" w:eastAsia="Times New Roman" w:hAnsi="Cambria" w:cs="Arial"/>
        </w:rPr>
      </w:pPr>
      <w:r w:rsidRPr="009A0DA6">
        <w:rPr>
          <w:rFonts w:ascii="Cambria" w:eastAsia="Times New Roman" w:hAnsi="Cambria" w:cs="Arial"/>
        </w:rPr>
        <w:t>A small working group was established, comprising representatives from CTICR, the Working Group for the Prevention of Domestic and Family Violence and CSBQ and has submitted a draft statement to CTICR.</w:t>
      </w:r>
    </w:p>
    <w:p w14:paraId="38A65C7C" w14:textId="77777777" w:rsidR="00F631B1" w:rsidRPr="009A0DA6" w:rsidRDefault="00F631B1" w:rsidP="00F631B1">
      <w:pPr>
        <w:spacing w:after="120" w:line="240" w:lineRule="auto"/>
        <w:rPr>
          <w:rFonts w:ascii="Cambria" w:eastAsia="Times New Roman" w:hAnsi="Cambria" w:cs="Arial"/>
        </w:rPr>
      </w:pPr>
      <w:r w:rsidRPr="009A0DA6">
        <w:rPr>
          <w:rFonts w:ascii="Cambria" w:eastAsia="Times New Roman" w:hAnsi="Cambria" w:cs="Arial"/>
        </w:rPr>
        <w:t xml:space="preserve">A concept document was approved by the General Church Council in 2016 and a coordinator, Ian Rentsch, was appointed in November 2016. </w:t>
      </w:r>
    </w:p>
    <w:p w14:paraId="6136CD8C" w14:textId="77777777" w:rsidR="00F631B1" w:rsidRPr="009A0DA6" w:rsidRDefault="00F631B1" w:rsidP="00F631B1">
      <w:pPr>
        <w:spacing w:after="120" w:line="240" w:lineRule="auto"/>
        <w:rPr>
          <w:rFonts w:ascii="Cambria" w:eastAsiaTheme="minorEastAsia" w:hAnsi="Cambria" w:cs="Arial"/>
        </w:rPr>
      </w:pPr>
      <w:r w:rsidRPr="009A0DA6">
        <w:rPr>
          <w:rFonts w:ascii="Cambria" w:hAnsi="Cambria" w:cs="Arial"/>
        </w:rPr>
        <w:t>The ‘Hidden Hurts Healing Hearts’ campaign is based on the principles set out in the LCA Standards of Ethical Behaviour which promote compassion, kindness, humility, gentleness and patience within relationships.</w:t>
      </w:r>
      <w:r w:rsidRPr="009A0DA6">
        <w:rPr>
          <w:rStyle w:val="FootnoteReference"/>
          <w:rFonts w:ascii="Cambria" w:hAnsi="Cambria" w:cs="Arial"/>
        </w:rPr>
        <w:footnoteReference w:id="7"/>
      </w:r>
      <w:r w:rsidRPr="009A0DA6">
        <w:rPr>
          <w:rFonts w:ascii="Cambria" w:hAnsi="Cambria" w:cs="Arial"/>
        </w:rPr>
        <w:t xml:space="preserve"> It supports the LCA Statement on Marriage.</w:t>
      </w:r>
      <w:r w:rsidRPr="009A0DA6">
        <w:rPr>
          <w:rStyle w:val="FootnoteReference"/>
          <w:rFonts w:ascii="Cambria" w:eastAsiaTheme="minorEastAsia" w:hAnsi="Cambria" w:cs="Arial"/>
        </w:rPr>
        <w:footnoteReference w:id="8"/>
      </w:r>
    </w:p>
    <w:p w14:paraId="0E785F29" w14:textId="77777777" w:rsidR="00F631B1" w:rsidRPr="009A0DA6" w:rsidRDefault="00F631B1" w:rsidP="00F631B1">
      <w:pPr>
        <w:spacing w:after="120" w:line="240" w:lineRule="auto"/>
        <w:rPr>
          <w:rFonts w:ascii="Cambria" w:hAnsi="Cambria" w:cs="Arial"/>
        </w:rPr>
      </w:pPr>
      <w:r w:rsidRPr="009A0DA6">
        <w:rPr>
          <w:rFonts w:ascii="Cambria" w:hAnsi="Cambria" w:cs="Arial"/>
        </w:rPr>
        <w:t>The campaign consists of training, research, identifying and developing resources, recommending and implementing specific actions.</w:t>
      </w:r>
    </w:p>
    <w:p w14:paraId="3AE75F91" w14:textId="77777777" w:rsidR="00F631B1" w:rsidRPr="009A0DA6" w:rsidRDefault="00F631B1" w:rsidP="00F631B1">
      <w:pPr>
        <w:spacing w:after="120" w:line="240" w:lineRule="auto"/>
        <w:rPr>
          <w:rFonts w:ascii="Cambria" w:eastAsia="Times New Roman" w:hAnsi="Cambria" w:cs="Arial"/>
          <w:i/>
          <w:iCs/>
        </w:rPr>
      </w:pPr>
      <w:r w:rsidRPr="009A0DA6">
        <w:rPr>
          <w:rFonts w:ascii="Cambria" w:hAnsi="Cambria" w:cs="Arial"/>
        </w:rPr>
        <w:t>The campaign involves the congregations/parishes, institutions/organisations, departments and ministries of the LCA.</w:t>
      </w:r>
    </w:p>
    <w:p w14:paraId="24269A66" w14:textId="77777777" w:rsidR="00EB6C06" w:rsidRDefault="00EB6C06">
      <w:pPr>
        <w:rPr>
          <w:rFonts w:ascii="Cambria" w:eastAsiaTheme="majorEastAsia" w:hAnsi="Cambria" w:cstheme="majorBidi"/>
          <w:b/>
          <w:caps/>
          <w:sz w:val="28"/>
          <w:szCs w:val="24"/>
        </w:rPr>
      </w:pPr>
      <w:r>
        <w:br w:type="page"/>
      </w:r>
    </w:p>
    <w:p w14:paraId="594A15F1" w14:textId="346BBC61" w:rsidR="00F631B1" w:rsidRPr="009A0DA6" w:rsidRDefault="00F631B1" w:rsidP="00EB6C06">
      <w:pPr>
        <w:pStyle w:val="Heading3"/>
      </w:pPr>
      <w:r w:rsidRPr="009A0DA6">
        <w:lastRenderedPageBreak/>
        <w:t>Achievement against Plan</w:t>
      </w:r>
    </w:p>
    <w:tbl>
      <w:tblPr>
        <w:tblStyle w:val="PlainTable2"/>
        <w:tblW w:w="8789" w:type="dxa"/>
        <w:tblLook w:val="04A0" w:firstRow="1" w:lastRow="0" w:firstColumn="1" w:lastColumn="0" w:noHBand="0" w:noVBand="1"/>
      </w:tblPr>
      <w:tblGrid>
        <w:gridCol w:w="3119"/>
        <w:gridCol w:w="1924"/>
        <w:gridCol w:w="3746"/>
      </w:tblGrid>
      <w:tr w:rsidR="00F631B1" w:rsidRPr="009A0DA6" w14:paraId="5C95F2B7" w14:textId="77777777" w:rsidTr="003A5884">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3119" w:type="dxa"/>
            <w:vAlign w:val="center"/>
            <w:hideMark/>
          </w:tcPr>
          <w:p w14:paraId="0A389758" w14:textId="77777777" w:rsidR="00F631B1" w:rsidRPr="009A0DA6" w:rsidRDefault="00F631B1" w:rsidP="007A0FE8">
            <w:pPr>
              <w:rPr>
                <w:rFonts w:ascii="Cambria" w:hAnsi="Cambria" w:cs="Arial"/>
              </w:rPr>
            </w:pPr>
            <w:r w:rsidRPr="009A0DA6">
              <w:rPr>
                <w:rFonts w:ascii="Cambria" w:hAnsi="Cambria" w:cs="Arial"/>
              </w:rPr>
              <w:t>Outcomes</w:t>
            </w:r>
          </w:p>
        </w:tc>
        <w:tc>
          <w:tcPr>
            <w:tcW w:w="1924" w:type="dxa"/>
            <w:vAlign w:val="center"/>
            <w:hideMark/>
          </w:tcPr>
          <w:p w14:paraId="3812C7D0" w14:textId="7859C36D" w:rsidR="00F631B1" w:rsidRPr="009A0DA6" w:rsidRDefault="00F631B1" w:rsidP="007A0FE8">
            <w:pPr>
              <w:ind w:left="148" w:hanging="148"/>
              <w:cnfStyle w:val="100000000000" w:firstRow="1"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Planned Annual Activities/</w:t>
            </w:r>
            <w:r w:rsidR="00565A2C">
              <w:rPr>
                <w:rFonts w:ascii="Cambria" w:hAnsi="Cambria" w:cs="Arial"/>
              </w:rPr>
              <w:t xml:space="preserve"> </w:t>
            </w:r>
            <w:r w:rsidRPr="009A0DA6">
              <w:rPr>
                <w:rFonts w:ascii="Cambria" w:hAnsi="Cambria" w:cs="Arial"/>
              </w:rPr>
              <w:t>Outcomes</w:t>
            </w:r>
          </w:p>
        </w:tc>
        <w:tc>
          <w:tcPr>
            <w:tcW w:w="3746" w:type="dxa"/>
            <w:vAlign w:val="center"/>
            <w:hideMark/>
          </w:tcPr>
          <w:p w14:paraId="43883CEC" w14:textId="77777777" w:rsidR="00F631B1" w:rsidRPr="009A0DA6" w:rsidRDefault="00F631B1" w:rsidP="007A0FE8">
            <w:pPr>
              <w:ind w:left="148" w:hanging="148"/>
              <w:cnfStyle w:val="100000000000" w:firstRow="1"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Achievement of Annual Activities/Outcomes</w:t>
            </w:r>
          </w:p>
        </w:tc>
      </w:tr>
      <w:tr w:rsidR="00F631B1" w:rsidRPr="009A0DA6" w14:paraId="42C014B0" w14:textId="77777777" w:rsidTr="003A5884">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3119" w:type="dxa"/>
          </w:tcPr>
          <w:p w14:paraId="7F8D2D2B" w14:textId="4D196ABF" w:rsidR="00F631B1" w:rsidRPr="009A0DA6" w:rsidRDefault="00F631B1" w:rsidP="00F55252">
            <w:pPr>
              <w:numPr>
                <w:ilvl w:val="0"/>
                <w:numId w:val="60"/>
              </w:numPr>
              <w:rPr>
                <w:rFonts w:ascii="Cambria" w:hAnsi="Cambria" w:cs="Arial"/>
              </w:rPr>
            </w:pPr>
            <w:r w:rsidRPr="009A0DA6">
              <w:rPr>
                <w:rFonts w:ascii="Cambria" w:eastAsia="Times New Roman" w:hAnsi="Cambria" w:cs="Arial"/>
              </w:rPr>
              <w:t>Increased level of respectful behaviour that is exhibited within the LCA toward each other leading to a culture of zero tolerance for domestic violence and violence in all forms</w:t>
            </w:r>
          </w:p>
        </w:tc>
        <w:tc>
          <w:tcPr>
            <w:tcW w:w="1924" w:type="dxa"/>
            <w:hideMark/>
          </w:tcPr>
          <w:p w14:paraId="660AD0E4" w14:textId="77777777" w:rsidR="00F631B1" w:rsidRPr="009A0DA6" w:rsidRDefault="00F631B1" w:rsidP="00180211">
            <w:pPr>
              <w:ind w:left="148" w:hanging="148"/>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Statements on domestic violence</w:t>
            </w:r>
          </w:p>
        </w:tc>
        <w:tc>
          <w:tcPr>
            <w:tcW w:w="3746" w:type="dxa"/>
            <w:hideMark/>
          </w:tcPr>
          <w:p w14:paraId="47FCA7D9" w14:textId="77777777" w:rsidR="00F631B1" w:rsidRPr="009A0DA6" w:rsidRDefault="00F631B1" w:rsidP="00180211">
            <w:pPr>
              <w:ind w:left="6" w:hanging="6"/>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Heartland e-news statements drafted and disseminated under the name of Bishop Henderson, and timed to coincide with the International Day for the Elimination of Violence Against Women in November 2016 and 2017.</w:t>
            </w:r>
          </w:p>
        </w:tc>
      </w:tr>
      <w:tr w:rsidR="00F631B1" w:rsidRPr="009A0DA6" w14:paraId="4A828A61" w14:textId="77777777" w:rsidTr="003A5884">
        <w:trPr>
          <w:trHeight w:val="267"/>
        </w:trPr>
        <w:tc>
          <w:tcPr>
            <w:cnfStyle w:val="001000000000" w:firstRow="0" w:lastRow="0" w:firstColumn="1" w:lastColumn="0" w:oddVBand="0" w:evenVBand="0" w:oddHBand="0" w:evenHBand="0" w:firstRowFirstColumn="0" w:firstRowLastColumn="0" w:lastRowFirstColumn="0" w:lastRowLastColumn="0"/>
            <w:tcW w:w="3119" w:type="dxa"/>
          </w:tcPr>
          <w:p w14:paraId="5DE66A25" w14:textId="77777777" w:rsidR="00F631B1" w:rsidRPr="009A0DA6" w:rsidRDefault="00F631B1" w:rsidP="00F55252">
            <w:pPr>
              <w:numPr>
                <w:ilvl w:val="0"/>
                <w:numId w:val="60"/>
              </w:numPr>
              <w:rPr>
                <w:rFonts w:ascii="Cambria" w:eastAsia="Times New Roman" w:hAnsi="Cambria" w:cs="Arial"/>
              </w:rPr>
            </w:pPr>
            <w:r w:rsidRPr="009A0DA6">
              <w:rPr>
                <w:rFonts w:ascii="Cambria" w:eastAsia="Times New Roman" w:hAnsi="Cambria" w:cs="Arial"/>
              </w:rPr>
              <w:t>Greater awareness and understanding of the prevalence of domestic and family violence affected families and individuals within the LCA</w:t>
            </w:r>
          </w:p>
          <w:p w14:paraId="6B82EED9" w14:textId="77777777" w:rsidR="00F631B1" w:rsidRPr="009A0DA6" w:rsidRDefault="00F631B1" w:rsidP="00180211">
            <w:pPr>
              <w:widowControl w:val="0"/>
              <w:suppressAutoHyphens/>
              <w:ind w:left="360"/>
              <w:rPr>
                <w:rFonts w:ascii="Cambria" w:hAnsi="Cambria" w:cs="Arial"/>
              </w:rPr>
            </w:pPr>
          </w:p>
        </w:tc>
        <w:tc>
          <w:tcPr>
            <w:tcW w:w="1924" w:type="dxa"/>
          </w:tcPr>
          <w:p w14:paraId="1911D9C5" w14:textId="77777777" w:rsidR="00F631B1" w:rsidRPr="009A0DA6" w:rsidRDefault="00F631B1" w:rsidP="00180211">
            <w:pPr>
              <w:ind w:left="148" w:hanging="148"/>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 xml:space="preserve">Communications: </w:t>
            </w:r>
          </w:p>
          <w:p w14:paraId="5CDC1370" w14:textId="77777777" w:rsidR="00F631B1" w:rsidRPr="009A0DA6" w:rsidRDefault="00F631B1" w:rsidP="00F55252">
            <w:pPr>
              <w:pStyle w:val="ListParagraph"/>
              <w:numPr>
                <w:ilvl w:val="0"/>
                <w:numId w:val="61"/>
              </w:numPr>
              <w:spacing w:line="240" w:lineRule="auto"/>
              <w:ind w:left="148" w:hanging="148"/>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Use of The Lutheran</w:t>
            </w:r>
          </w:p>
          <w:p w14:paraId="01E2845C" w14:textId="77777777" w:rsidR="00F631B1" w:rsidRPr="009A0DA6" w:rsidRDefault="00F631B1" w:rsidP="00F55252">
            <w:pPr>
              <w:pStyle w:val="ListParagraph"/>
              <w:numPr>
                <w:ilvl w:val="0"/>
                <w:numId w:val="61"/>
              </w:numPr>
              <w:spacing w:line="240" w:lineRule="auto"/>
              <w:ind w:left="148" w:hanging="148"/>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 xml:space="preserve"> Heartland eNews </w:t>
            </w:r>
          </w:p>
          <w:p w14:paraId="69FC7AA3" w14:textId="77777777" w:rsidR="00F631B1" w:rsidRPr="009A0DA6" w:rsidRDefault="00F631B1" w:rsidP="00F55252">
            <w:pPr>
              <w:pStyle w:val="ListParagraph"/>
              <w:numPr>
                <w:ilvl w:val="0"/>
                <w:numId w:val="61"/>
              </w:numPr>
              <w:spacing w:line="240" w:lineRule="auto"/>
              <w:ind w:left="148" w:hanging="148"/>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Website</w:t>
            </w:r>
          </w:p>
          <w:p w14:paraId="15F9A86B" w14:textId="77777777" w:rsidR="00F631B1" w:rsidRPr="009A0DA6" w:rsidRDefault="00F631B1" w:rsidP="00F55252">
            <w:pPr>
              <w:pStyle w:val="ListParagraph"/>
              <w:numPr>
                <w:ilvl w:val="0"/>
                <w:numId w:val="61"/>
              </w:numPr>
              <w:spacing w:line="240" w:lineRule="auto"/>
              <w:ind w:left="148" w:hanging="148"/>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 xml:space="preserve">Direct communications to congregations and parishes </w:t>
            </w:r>
          </w:p>
          <w:p w14:paraId="25BEDC40" w14:textId="77777777" w:rsidR="00F631B1" w:rsidRPr="009A0DA6" w:rsidRDefault="00F631B1" w:rsidP="00180211">
            <w:pPr>
              <w:pStyle w:val="ListParagraph"/>
              <w:spacing w:line="240" w:lineRule="auto"/>
              <w:ind w:left="148" w:hanging="148"/>
              <w:cnfStyle w:val="000000000000" w:firstRow="0" w:lastRow="0" w:firstColumn="0" w:lastColumn="0" w:oddVBand="0" w:evenVBand="0" w:oddHBand="0" w:evenHBand="0" w:firstRowFirstColumn="0" w:firstRowLastColumn="0" w:lastRowFirstColumn="0" w:lastRowLastColumn="0"/>
              <w:rPr>
                <w:rFonts w:ascii="Cambria" w:hAnsi="Cambria" w:cs="Arial"/>
              </w:rPr>
            </w:pPr>
          </w:p>
        </w:tc>
        <w:tc>
          <w:tcPr>
            <w:tcW w:w="3746" w:type="dxa"/>
            <w:hideMark/>
          </w:tcPr>
          <w:p w14:paraId="261452C0" w14:textId="77777777" w:rsidR="00F631B1" w:rsidRPr="009A0DA6" w:rsidRDefault="00F631B1" w:rsidP="00F55252">
            <w:pPr>
              <w:pStyle w:val="ListParagraph"/>
              <w:numPr>
                <w:ilvl w:val="0"/>
                <w:numId w:val="61"/>
              </w:numPr>
              <w:spacing w:line="240" w:lineRule="auto"/>
              <w:ind w:left="148" w:hanging="148"/>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Communications theme: Hidden Hurts/Healing Hearts</w:t>
            </w:r>
          </w:p>
          <w:p w14:paraId="74B75EDF" w14:textId="77777777" w:rsidR="00F631B1" w:rsidRPr="009A0DA6" w:rsidRDefault="00F631B1" w:rsidP="00F55252">
            <w:pPr>
              <w:pStyle w:val="ListParagraph"/>
              <w:numPr>
                <w:ilvl w:val="0"/>
                <w:numId w:val="62"/>
              </w:numPr>
              <w:spacing w:line="240" w:lineRule="auto"/>
              <w:ind w:left="148" w:hanging="148"/>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The Lutheran feature articles: November 2017</w:t>
            </w:r>
          </w:p>
          <w:p w14:paraId="39BF8A06" w14:textId="77777777" w:rsidR="00F631B1" w:rsidRPr="009A0DA6" w:rsidRDefault="00F631B1" w:rsidP="00F55252">
            <w:pPr>
              <w:pStyle w:val="ListParagraph"/>
              <w:numPr>
                <w:ilvl w:val="0"/>
                <w:numId w:val="62"/>
              </w:numPr>
              <w:spacing w:line="240" w:lineRule="auto"/>
              <w:ind w:left="148" w:hanging="148"/>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Heartland e-news features: November 2016 and 2017</w:t>
            </w:r>
          </w:p>
          <w:p w14:paraId="041EC926" w14:textId="77777777" w:rsidR="00F631B1" w:rsidRPr="00202891" w:rsidRDefault="00F631B1" w:rsidP="00F55252">
            <w:pPr>
              <w:pStyle w:val="ListParagraph"/>
              <w:numPr>
                <w:ilvl w:val="0"/>
                <w:numId w:val="62"/>
              </w:numPr>
              <w:spacing w:line="240" w:lineRule="auto"/>
              <w:ind w:left="148" w:hanging="148"/>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 xml:space="preserve">Website launched November 2017 </w:t>
            </w:r>
            <w:r w:rsidRPr="00202891">
              <w:rPr>
                <w:rFonts w:ascii="Cambria" w:hAnsi="Cambria" w:cs="Arial"/>
              </w:rPr>
              <w:t>(</w:t>
            </w:r>
            <w:hyperlink r:id="rId27" w:history="1">
              <w:r w:rsidRPr="00202891">
                <w:rPr>
                  <w:rStyle w:val="Hyperlink"/>
                  <w:rFonts w:ascii="Cambria" w:hAnsi="Cambria" w:cs="Arial"/>
                  <w:color w:val="auto"/>
                  <w:u w:val="none"/>
                </w:rPr>
                <w:t>preventDFV@lca.org.au</w:t>
              </w:r>
            </w:hyperlink>
            <w:r w:rsidRPr="00202891">
              <w:rPr>
                <w:rFonts w:ascii="Cambria" w:hAnsi="Cambria" w:cs="Arial"/>
              </w:rPr>
              <w:t>)</w:t>
            </w:r>
          </w:p>
          <w:p w14:paraId="2C17566D" w14:textId="5D326A77" w:rsidR="00F631B1" w:rsidRPr="009A0DA6" w:rsidRDefault="003A5884" w:rsidP="00F55252">
            <w:pPr>
              <w:pStyle w:val="ListParagraph"/>
              <w:numPr>
                <w:ilvl w:val="0"/>
                <w:numId w:val="62"/>
              </w:numPr>
              <w:spacing w:line="240" w:lineRule="auto"/>
              <w:ind w:left="148" w:hanging="148"/>
              <w:cnfStyle w:val="000000000000" w:firstRow="0" w:lastRow="0" w:firstColumn="0" w:lastColumn="0" w:oddVBand="0" w:evenVBand="0" w:oddHBand="0" w:evenHBand="0" w:firstRowFirstColumn="0" w:firstRowLastColumn="0" w:lastRowFirstColumn="0" w:lastRowLastColumn="0"/>
              <w:rPr>
                <w:rFonts w:ascii="Cambria" w:hAnsi="Cambria" w:cs="Arial"/>
              </w:rPr>
            </w:pPr>
            <w:r>
              <w:rPr>
                <w:rFonts w:ascii="Cambria" w:hAnsi="Cambria" w:cs="Arial"/>
              </w:rPr>
              <w:t>Awareness-</w:t>
            </w:r>
            <w:r w:rsidR="00F631B1" w:rsidRPr="009A0DA6">
              <w:rPr>
                <w:rFonts w:ascii="Cambria" w:hAnsi="Cambria" w:cs="Arial"/>
              </w:rPr>
              <w:t xml:space="preserve">raising packs </w:t>
            </w:r>
            <w:r>
              <w:rPr>
                <w:rFonts w:ascii="Cambria" w:hAnsi="Cambria" w:cs="Arial"/>
              </w:rPr>
              <w:t>to</w:t>
            </w:r>
            <w:r w:rsidR="00F631B1" w:rsidRPr="009A0DA6">
              <w:rPr>
                <w:rFonts w:ascii="Cambria" w:hAnsi="Cambria" w:cs="Arial"/>
              </w:rPr>
              <w:t xml:space="preserve"> congregations November 2017</w:t>
            </w:r>
          </w:p>
          <w:p w14:paraId="165B601A" w14:textId="77777777" w:rsidR="00F631B1" w:rsidRPr="009A0DA6" w:rsidRDefault="00F631B1" w:rsidP="00F55252">
            <w:pPr>
              <w:pStyle w:val="ListParagraph"/>
              <w:numPr>
                <w:ilvl w:val="0"/>
                <w:numId w:val="62"/>
              </w:numPr>
              <w:spacing w:line="240" w:lineRule="auto"/>
              <w:ind w:left="148" w:hanging="148"/>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Letter sent to all Lutheran schools in April 2018.</w:t>
            </w:r>
          </w:p>
        </w:tc>
      </w:tr>
      <w:tr w:rsidR="00F631B1" w:rsidRPr="009A0DA6" w14:paraId="2A6E1CB1" w14:textId="77777777" w:rsidTr="003A5884">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3119" w:type="dxa"/>
          </w:tcPr>
          <w:p w14:paraId="0D038947" w14:textId="77777777" w:rsidR="00F631B1" w:rsidRPr="009A0DA6" w:rsidRDefault="00F631B1" w:rsidP="00F55252">
            <w:pPr>
              <w:numPr>
                <w:ilvl w:val="0"/>
                <w:numId w:val="60"/>
              </w:numPr>
              <w:rPr>
                <w:rFonts w:ascii="Cambria" w:hAnsi="Cambria" w:cs="Arial"/>
              </w:rPr>
            </w:pPr>
            <w:r w:rsidRPr="009A0DA6">
              <w:rPr>
                <w:rFonts w:ascii="Cambria" w:eastAsia="Times New Roman" w:hAnsi="Cambria" w:cs="Arial"/>
              </w:rPr>
              <w:t xml:space="preserve">Improved knowledge of the resources that are available within the community for those affected by domestic and family violence and how they can be accessed. </w:t>
            </w:r>
          </w:p>
        </w:tc>
        <w:tc>
          <w:tcPr>
            <w:tcW w:w="1924" w:type="dxa"/>
            <w:hideMark/>
          </w:tcPr>
          <w:p w14:paraId="5BB61AB2" w14:textId="77777777" w:rsidR="00F631B1" w:rsidRPr="009A0DA6" w:rsidRDefault="00F631B1" w:rsidP="00F55252">
            <w:pPr>
              <w:pStyle w:val="ListParagraph"/>
              <w:numPr>
                <w:ilvl w:val="0"/>
                <w:numId w:val="63"/>
              </w:numPr>
              <w:spacing w:line="240" w:lineRule="auto"/>
              <w:ind w:left="148" w:hanging="148"/>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 xml:space="preserve">Identify services and resources for each State/Territory </w:t>
            </w:r>
          </w:p>
        </w:tc>
        <w:tc>
          <w:tcPr>
            <w:tcW w:w="3746" w:type="dxa"/>
            <w:hideMark/>
          </w:tcPr>
          <w:p w14:paraId="742AF774" w14:textId="77777777" w:rsidR="00F631B1" w:rsidRPr="009A0DA6" w:rsidRDefault="00F631B1" w:rsidP="00F55252">
            <w:pPr>
              <w:pStyle w:val="ListParagraph"/>
              <w:numPr>
                <w:ilvl w:val="0"/>
                <w:numId w:val="63"/>
              </w:numPr>
              <w:spacing w:line="240" w:lineRule="auto"/>
              <w:ind w:left="148" w:hanging="148"/>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Lists of services for each State/Territory and information resources listed on website</w:t>
            </w:r>
          </w:p>
          <w:p w14:paraId="2F640059" w14:textId="77777777" w:rsidR="00F631B1" w:rsidRPr="009A0DA6" w:rsidRDefault="00F631B1" w:rsidP="00F55252">
            <w:pPr>
              <w:pStyle w:val="ListParagraph"/>
              <w:numPr>
                <w:ilvl w:val="0"/>
                <w:numId w:val="63"/>
              </w:numPr>
              <w:spacing w:line="240" w:lineRule="auto"/>
              <w:ind w:left="148" w:hanging="148"/>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Additional information and resources also listed.</w:t>
            </w:r>
          </w:p>
        </w:tc>
      </w:tr>
      <w:tr w:rsidR="00F631B1" w:rsidRPr="009A0DA6" w14:paraId="3BEC1515" w14:textId="77777777" w:rsidTr="003A5884">
        <w:trPr>
          <w:trHeight w:val="252"/>
        </w:trPr>
        <w:tc>
          <w:tcPr>
            <w:cnfStyle w:val="001000000000" w:firstRow="0" w:lastRow="0" w:firstColumn="1" w:lastColumn="0" w:oddVBand="0" w:evenVBand="0" w:oddHBand="0" w:evenHBand="0" w:firstRowFirstColumn="0" w:firstRowLastColumn="0" w:lastRowFirstColumn="0" w:lastRowLastColumn="0"/>
            <w:tcW w:w="3119" w:type="dxa"/>
            <w:hideMark/>
          </w:tcPr>
          <w:p w14:paraId="5D4F7B48" w14:textId="4635811A" w:rsidR="00F631B1" w:rsidRPr="009A0DA6" w:rsidRDefault="00F631B1" w:rsidP="00F55252">
            <w:pPr>
              <w:widowControl w:val="0"/>
              <w:numPr>
                <w:ilvl w:val="0"/>
                <w:numId w:val="60"/>
              </w:numPr>
              <w:suppressAutoHyphens/>
              <w:rPr>
                <w:rFonts w:ascii="Cambria" w:hAnsi="Cambria" w:cs="Arial"/>
              </w:rPr>
            </w:pPr>
            <w:r w:rsidRPr="009A0DA6">
              <w:rPr>
                <w:rFonts w:ascii="Cambria" w:eastAsia="Times New Roman" w:hAnsi="Cambria" w:cs="Arial"/>
              </w:rPr>
              <w:t>Increased capacity within the LCA to respond to domestic and family violence-related matters, including pastoral care expertise and resourcing to support the victims of violence and perp</w:t>
            </w:r>
            <w:r w:rsidR="003A5884">
              <w:rPr>
                <w:rFonts w:ascii="Cambria" w:eastAsia="Times New Roman" w:hAnsi="Cambria" w:cs="Arial"/>
              </w:rPr>
              <w:t>-</w:t>
            </w:r>
            <w:r w:rsidRPr="009A0DA6">
              <w:rPr>
                <w:rFonts w:ascii="Cambria" w:eastAsia="Times New Roman" w:hAnsi="Cambria" w:cs="Arial"/>
              </w:rPr>
              <w:t>etrators of abuse</w:t>
            </w:r>
          </w:p>
        </w:tc>
        <w:tc>
          <w:tcPr>
            <w:tcW w:w="1924" w:type="dxa"/>
            <w:hideMark/>
          </w:tcPr>
          <w:p w14:paraId="4D394FD9" w14:textId="77777777" w:rsidR="00F631B1" w:rsidRPr="009A0DA6" w:rsidRDefault="00F631B1" w:rsidP="00F55252">
            <w:pPr>
              <w:pStyle w:val="ListParagraph"/>
              <w:numPr>
                <w:ilvl w:val="0"/>
                <w:numId w:val="63"/>
              </w:numPr>
              <w:spacing w:line="240" w:lineRule="auto"/>
              <w:ind w:left="148" w:hanging="148"/>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Publication of the Domestic Violence Handbook for Pastors and Church Workers</w:t>
            </w:r>
          </w:p>
          <w:p w14:paraId="2AB917BE" w14:textId="77777777" w:rsidR="00F631B1" w:rsidRPr="009A0DA6" w:rsidRDefault="00F631B1" w:rsidP="00F55252">
            <w:pPr>
              <w:pStyle w:val="ListParagraph"/>
              <w:numPr>
                <w:ilvl w:val="0"/>
                <w:numId w:val="63"/>
              </w:numPr>
              <w:spacing w:line="240" w:lineRule="auto"/>
              <w:ind w:left="148" w:hanging="148"/>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Training for pastors, church workers and lay people</w:t>
            </w:r>
          </w:p>
        </w:tc>
        <w:tc>
          <w:tcPr>
            <w:tcW w:w="3746" w:type="dxa"/>
          </w:tcPr>
          <w:p w14:paraId="19D09AAF" w14:textId="77777777" w:rsidR="00F631B1" w:rsidRPr="009A0DA6" w:rsidRDefault="00F631B1" w:rsidP="00F55252">
            <w:pPr>
              <w:pStyle w:val="ListParagraph"/>
              <w:numPr>
                <w:ilvl w:val="0"/>
                <w:numId w:val="63"/>
              </w:numPr>
              <w:spacing w:line="240" w:lineRule="auto"/>
              <w:ind w:left="148" w:hanging="148"/>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Domestic Violence handbook published and distributed to all pastors</w:t>
            </w:r>
          </w:p>
          <w:p w14:paraId="72CAEA10" w14:textId="77777777" w:rsidR="00F631B1" w:rsidRPr="009A0DA6" w:rsidRDefault="00F631B1" w:rsidP="00F55252">
            <w:pPr>
              <w:pStyle w:val="ListParagraph"/>
              <w:numPr>
                <w:ilvl w:val="0"/>
                <w:numId w:val="63"/>
              </w:numPr>
              <w:spacing w:line="240" w:lineRule="auto"/>
              <w:ind w:left="148" w:hanging="148"/>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Training package being finalised by Lutheran Community Care (SA/NT). Will be trialled in South Australia, Queensland and Victoria</w:t>
            </w:r>
          </w:p>
          <w:p w14:paraId="6D825462" w14:textId="77777777" w:rsidR="00F631B1" w:rsidRPr="009A0DA6" w:rsidRDefault="00F631B1" w:rsidP="00180211">
            <w:pPr>
              <w:ind w:left="148" w:hanging="148"/>
              <w:cnfStyle w:val="000000000000" w:firstRow="0" w:lastRow="0" w:firstColumn="0" w:lastColumn="0" w:oddVBand="0" w:evenVBand="0" w:oddHBand="0" w:evenHBand="0" w:firstRowFirstColumn="0" w:firstRowLastColumn="0" w:lastRowFirstColumn="0" w:lastRowLastColumn="0"/>
              <w:rPr>
                <w:rFonts w:ascii="Cambria" w:hAnsi="Cambria" w:cs="Arial"/>
              </w:rPr>
            </w:pPr>
          </w:p>
        </w:tc>
      </w:tr>
      <w:tr w:rsidR="00F631B1" w:rsidRPr="009A0DA6" w14:paraId="5146CCFC" w14:textId="77777777" w:rsidTr="003A5884">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3119" w:type="dxa"/>
          </w:tcPr>
          <w:p w14:paraId="6AF1AC9B" w14:textId="77777777" w:rsidR="00F631B1" w:rsidRPr="009A0DA6" w:rsidRDefault="00F631B1" w:rsidP="00F55252">
            <w:pPr>
              <w:pStyle w:val="ListParagraph"/>
              <w:numPr>
                <w:ilvl w:val="0"/>
                <w:numId w:val="60"/>
              </w:numPr>
              <w:spacing w:line="240" w:lineRule="auto"/>
              <w:rPr>
                <w:rFonts w:ascii="Cambria" w:eastAsia="Times New Roman" w:hAnsi="Cambria" w:cs="Arial"/>
              </w:rPr>
            </w:pPr>
            <w:r w:rsidRPr="009A0DA6">
              <w:rPr>
                <w:rFonts w:ascii="Cambria" w:eastAsia="Times New Roman" w:hAnsi="Cambria" w:cs="Arial"/>
              </w:rPr>
              <w:t>A Lutheran theology that is culturally relevant to family and domestic violence in the present day that undergirds and is integrated into relevant programs and activities that are both developed and delivered during the campaign and into the future.</w:t>
            </w:r>
          </w:p>
          <w:p w14:paraId="54779850" w14:textId="77777777" w:rsidR="00F631B1" w:rsidRPr="009A0DA6" w:rsidRDefault="00F631B1" w:rsidP="00180211">
            <w:pPr>
              <w:widowControl w:val="0"/>
              <w:suppressAutoHyphens/>
              <w:rPr>
                <w:rFonts w:ascii="Cambria" w:hAnsi="Cambria"/>
              </w:rPr>
            </w:pPr>
          </w:p>
        </w:tc>
        <w:tc>
          <w:tcPr>
            <w:tcW w:w="1924" w:type="dxa"/>
            <w:hideMark/>
          </w:tcPr>
          <w:p w14:paraId="0B1B2562" w14:textId="77777777" w:rsidR="00F631B1" w:rsidRPr="009A0DA6" w:rsidRDefault="00F631B1" w:rsidP="00F55252">
            <w:pPr>
              <w:pStyle w:val="ListParagraph"/>
              <w:numPr>
                <w:ilvl w:val="0"/>
                <w:numId w:val="64"/>
              </w:numPr>
              <w:spacing w:line="240" w:lineRule="auto"/>
              <w:ind w:left="148" w:hanging="148"/>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 xml:space="preserve">Prepare introduction on Lutheran theological basis for respectful relationships </w:t>
            </w:r>
          </w:p>
        </w:tc>
        <w:tc>
          <w:tcPr>
            <w:tcW w:w="3746" w:type="dxa"/>
            <w:hideMark/>
          </w:tcPr>
          <w:p w14:paraId="2B75DECB" w14:textId="539F4951" w:rsidR="00F631B1" w:rsidRPr="009A0DA6" w:rsidRDefault="00F631B1" w:rsidP="00F55252">
            <w:pPr>
              <w:pStyle w:val="ListParagraph"/>
              <w:numPr>
                <w:ilvl w:val="0"/>
                <w:numId w:val="64"/>
              </w:numPr>
              <w:spacing w:line="240" w:lineRule="auto"/>
              <w:ind w:left="148" w:hanging="148"/>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“Scriptural and Theological Foundations” supplement written and included in the Domestic Violence Handbook.</w:t>
            </w:r>
          </w:p>
          <w:p w14:paraId="2B2BFAF2" w14:textId="6320F72E" w:rsidR="00F631B1" w:rsidRPr="009A0DA6" w:rsidRDefault="00F631B1" w:rsidP="003A5884">
            <w:pPr>
              <w:pStyle w:val="ListParagraph"/>
              <w:numPr>
                <w:ilvl w:val="0"/>
                <w:numId w:val="64"/>
              </w:numPr>
              <w:spacing w:line="240" w:lineRule="auto"/>
              <w:ind w:left="148" w:hanging="148"/>
              <w:cnfStyle w:val="000000100000" w:firstRow="0" w:lastRow="0" w:firstColumn="0" w:lastColumn="0" w:oddVBand="0" w:evenVBand="0" w:oddHBand="1" w:evenHBand="0" w:firstRowFirstColumn="0" w:firstRowLastColumn="0" w:lastRowFirstColumn="0" w:lastRowLastColumn="0"/>
              <w:rPr>
                <w:rFonts w:ascii="Cambria" w:hAnsi="Cambria"/>
              </w:rPr>
            </w:pPr>
            <w:r w:rsidRPr="009A0DA6">
              <w:rPr>
                <w:rFonts w:ascii="Cambria" w:hAnsi="Cambria" w:cs="Arial"/>
              </w:rPr>
              <w:t xml:space="preserve">Coordinator and another Working Group member participated in </w:t>
            </w:r>
            <w:r w:rsidR="003A5884">
              <w:rPr>
                <w:rFonts w:ascii="Cambria" w:hAnsi="Cambria" w:cs="Arial"/>
              </w:rPr>
              <w:t>task group</w:t>
            </w:r>
            <w:r w:rsidRPr="009A0DA6">
              <w:rPr>
                <w:rFonts w:ascii="Cambria" w:hAnsi="Cambria" w:cs="Arial"/>
              </w:rPr>
              <w:t xml:space="preserve"> to consider Synod Resolution </w:t>
            </w:r>
            <w:r w:rsidR="004113A1">
              <w:rPr>
                <w:rFonts w:ascii="Cambria" w:hAnsi="Cambria"/>
                <w:bCs/>
              </w:rPr>
              <w:t>2015:0</w:t>
            </w:r>
            <w:r w:rsidRPr="009A0DA6">
              <w:rPr>
                <w:rFonts w:ascii="Cambria" w:hAnsi="Cambria"/>
                <w:bCs/>
              </w:rPr>
              <w:t>209</w:t>
            </w:r>
            <w:r w:rsidR="003A5884">
              <w:rPr>
                <w:rFonts w:ascii="Cambria" w:hAnsi="Cambria"/>
                <w:bCs/>
              </w:rPr>
              <w:t xml:space="preserve">: </w:t>
            </w:r>
            <w:r w:rsidRPr="009A0DA6">
              <w:rPr>
                <w:rFonts w:ascii="Cambria" w:hAnsi="Cambria"/>
                <w:i/>
              </w:rPr>
              <w:t xml:space="preserve">that Synod request CTICR </w:t>
            </w:r>
            <w:r w:rsidR="003A5884">
              <w:rPr>
                <w:rFonts w:ascii="Cambria" w:hAnsi="Cambria"/>
                <w:i/>
              </w:rPr>
              <w:t xml:space="preserve">to </w:t>
            </w:r>
            <w:r w:rsidRPr="009A0DA6">
              <w:rPr>
                <w:rFonts w:ascii="Cambria" w:hAnsi="Cambria"/>
                <w:i/>
              </w:rPr>
              <w:t>study the Lutheran theological and scriptural understanding of sub</w:t>
            </w:r>
            <w:r w:rsidR="003A5884">
              <w:rPr>
                <w:rFonts w:ascii="Cambria" w:hAnsi="Cambria"/>
                <w:i/>
              </w:rPr>
              <w:t>-</w:t>
            </w:r>
            <w:r w:rsidRPr="009A0DA6">
              <w:rPr>
                <w:rFonts w:ascii="Cambria" w:hAnsi="Cambria"/>
                <w:i/>
              </w:rPr>
              <w:t>ordination and the role of male headship in marriage and the contextual implications for family violence.</w:t>
            </w:r>
          </w:p>
        </w:tc>
      </w:tr>
    </w:tbl>
    <w:p w14:paraId="4BE75B24" w14:textId="72EBCF19" w:rsidR="00F631B1" w:rsidRPr="009A0DA6" w:rsidRDefault="00F631B1" w:rsidP="00EB6C06">
      <w:pPr>
        <w:pStyle w:val="Heading3"/>
        <w:rPr>
          <w:szCs w:val="28"/>
          <w:lang w:val="en-US" w:eastAsia="ja-JP"/>
        </w:rPr>
      </w:pPr>
      <w:r w:rsidRPr="009A0DA6">
        <w:lastRenderedPageBreak/>
        <w:t>Successes</w:t>
      </w:r>
    </w:p>
    <w:p w14:paraId="05A0544A" w14:textId="77777777" w:rsidR="00F631B1" w:rsidRPr="009A0DA6" w:rsidRDefault="00F631B1" w:rsidP="00453D5A">
      <w:pPr>
        <w:pStyle w:val="ListParagraph"/>
        <w:numPr>
          <w:ilvl w:val="0"/>
          <w:numId w:val="65"/>
        </w:numPr>
        <w:spacing w:after="0" w:line="240" w:lineRule="auto"/>
        <w:ind w:left="714" w:hanging="357"/>
        <w:rPr>
          <w:rFonts w:ascii="Cambria" w:hAnsi="Cambria" w:cs="Arial"/>
        </w:rPr>
      </w:pPr>
      <w:r w:rsidRPr="009A0DA6">
        <w:rPr>
          <w:rFonts w:ascii="Cambria" w:hAnsi="Cambria" w:cs="Arial"/>
        </w:rPr>
        <w:t>Campaign launched in November 2017 (after a ‘soft launch’ in August 2017)</w:t>
      </w:r>
    </w:p>
    <w:p w14:paraId="72CE570C" w14:textId="77777777" w:rsidR="00F631B1" w:rsidRPr="009A0DA6" w:rsidRDefault="00F631B1" w:rsidP="00453D5A">
      <w:pPr>
        <w:pStyle w:val="ListParagraph"/>
        <w:numPr>
          <w:ilvl w:val="0"/>
          <w:numId w:val="65"/>
        </w:numPr>
        <w:spacing w:after="0" w:line="240" w:lineRule="auto"/>
        <w:ind w:left="714" w:hanging="357"/>
        <w:rPr>
          <w:rFonts w:ascii="Cambria" w:hAnsi="Cambria" w:cs="Arial"/>
        </w:rPr>
      </w:pPr>
      <w:r w:rsidRPr="009A0DA6">
        <w:rPr>
          <w:rFonts w:ascii="Cambria" w:hAnsi="Cambria" w:cs="Arial"/>
        </w:rPr>
        <w:t>Domestic Violence Handbook revised and reprinted and distributed to pastors and church workers throughout the LCA and New Zealand</w:t>
      </w:r>
    </w:p>
    <w:p w14:paraId="70EE6217" w14:textId="732A6405" w:rsidR="00F631B1" w:rsidRPr="009A0DA6" w:rsidRDefault="00F631B1" w:rsidP="00453D5A">
      <w:pPr>
        <w:pStyle w:val="ListParagraph"/>
        <w:numPr>
          <w:ilvl w:val="0"/>
          <w:numId w:val="65"/>
        </w:numPr>
        <w:spacing w:after="0" w:line="240" w:lineRule="auto"/>
        <w:ind w:left="714" w:hanging="357"/>
        <w:rPr>
          <w:rFonts w:ascii="Cambria" w:hAnsi="Cambria" w:cs="Arial"/>
        </w:rPr>
      </w:pPr>
      <w:r w:rsidRPr="009A0DA6">
        <w:rPr>
          <w:rFonts w:ascii="Cambria" w:hAnsi="Cambria" w:cs="Arial"/>
        </w:rPr>
        <w:t>Congregations and schools now requesting additional materials</w:t>
      </w:r>
      <w:r w:rsidR="00202891">
        <w:rPr>
          <w:rFonts w:ascii="Cambria" w:hAnsi="Cambria" w:cs="Arial"/>
        </w:rPr>
        <w:br/>
      </w:r>
    </w:p>
    <w:p w14:paraId="0435FA94" w14:textId="77777777" w:rsidR="00F631B1" w:rsidRPr="009A0DA6" w:rsidRDefault="00F631B1" w:rsidP="00F631B1">
      <w:pPr>
        <w:pStyle w:val="Heading3"/>
      </w:pPr>
      <w:r w:rsidRPr="009A0DA6">
        <w:t>Challenges and Lessons Learned</w:t>
      </w:r>
    </w:p>
    <w:p w14:paraId="25DABABC" w14:textId="77777777" w:rsidR="00F631B1" w:rsidRPr="009A0DA6" w:rsidRDefault="00F631B1" w:rsidP="00453D5A">
      <w:pPr>
        <w:pStyle w:val="ListParagraph"/>
        <w:numPr>
          <w:ilvl w:val="0"/>
          <w:numId w:val="66"/>
        </w:numPr>
        <w:spacing w:after="0" w:line="240" w:lineRule="auto"/>
        <w:ind w:left="567" w:hanging="567"/>
        <w:rPr>
          <w:rFonts w:ascii="Cambria" w:hAnsi="Cambria" w:cs="Arial"/>
        </w:rPr>
      </w:pPr>
      <w:r w:rsidRPr="009A0DA6">
        <w:rPr>
          <w:rFonts w:ascii="Cambria" w:hAnsi="Cambria" w:cs="Arial"/>
        </w:rPr>
        <w:t xml:space="preserve">A number of pastors and members questioned the campaign, or the information that has come from the campaign. </w:t>
      </w:r>
    </w:p>
    <w:p w14:paraId="533A9643" w14:textId="77777777" w:rsidR="00F631B1" w:rsidRPr="009A0DA6" w:rsidRDefault="00F631B1" w:rsidP="00453D5A">
      <w:pPr>
        <w:pStyle w:val="ListParagraph"/>
        <w:numPr>
          <w:ilvl w:val="1"/>
          <w:numId w:val="66"/>
        </w:numPr>
        <w:spacing w:after="0" w:line="240" w:lineRule="auto"/>
        <w:ind w:left="1134" w:hanging="567"/>
        <w:rPr>
          <w:rFonts w:ascii="Cambria" w:hAnsi="Cambria" w:cs="Arial"/>
          <w:sz w:val="10"/>
        </w:rPr>
      </w:pPr>
      <w:r w:rsidRPr="009A0DA6">
        <w:rPr>
          <w:rFonts w:ascii="Cambria" w:hAnsi="Cambria" w:cs="Arial"/>
        </w:rPr>
        <w:t xml:space="preserve">More awareness training and information sharing needs to be done in face-to-face situations so that the issues can be talked through. </w:t>
      </w:r>
      <w:r w:rsidRPr="009A0DA6">
        <w:rPr>
          <w:rFonts w:ascii="Cambria" w:hAnsi="Cambria" w:cs="Arial"/>
        </w:rPr>
        <w:br/>
      </w:r>
    </w:p>
    <w:p w14:paraId="09A36BA0" w14:textId="77777777" w:rsidR="00F631B1" w:rsidRPr="009A0DA6" w:rsidRDefault="00F631B1" w:rsidP="00453D5A">
      <w:pPr>
        <w:pStyle w:val="ListParagraph"/>
        <w:numPr>
          <w:ilvl w:val="0"/>
          <w:numId w:val="66"/>
        </w:numPr>
        <w:spacing w:after="0" w:line="240" w:lineRule="auto"/>
        <w:ind w:left="567" w:hanging="567"/>
        <w:rPr>
          <w:rFonts w:ascii="Cambria" w:hAnsi="Cambria" w:cs="Arial"/>
          <w:sz w:val="10"/>
        </w:rPr>
      </w:pPr>
      <w:r w:rsidRPr="009A0DA6">
        <w:rPr>
          <w:rFonts w:ascii="Cambria" w:hAnsi="Cambria" w:cs="Arial"/>
        </w:rPr>
        <w:t>The launch of the campaign was planned to coincide with the International Day for the Prevention of Violence Against Women, which was Saturday 25 November. In Australia, the day is also known as White Ribbon Day. Unfortunately, the White Ribbon organisation in Australia had issued a policy advocating the availability of abortions for women who have been the victims of domestic violence a short time before White Ribbon Day last year, which caused individuals and organisations to distance themselves from the Hidden Hurts/Healing Hearts campaign. Bishop Henderson issued a clarifying statement to confirm that the intention was to highlight information provided by White Ribbon about stopping male violence and discernment should be exercised in regard to other material on the site, particularly where it may conflict with teachings and positions held by the church.</w:t>
      </w:r>
      <w:r w:rsidRPr="009A0DA6">
        <w:rPr>
          <w:rFonts w:ascii="Cambria" w:hAnsi="Cambria" w:cs="Arial"/>
        </w:rPr>
        <w:br/>
      </w:r>
    </w:p>
    <w:p w14:paraId="5D648016" w14:textId="77777777" w:rsidR="00F631B1" w:rsidRPr="009A0DA6" w:rsidRDefault="00F631B1" w:rsidP="00453D5A">
      <w:pPr>
        <w:pStyle w:val="ListParagraph"/>
        <w:numPr>
          <w:ilvl w:val="0"/>
          <w:numId w:val="66"/>
        </w:numPr>
        <w:spacing w:after="0" w:line="240" w:lineRule="auto"/>
        <w:ind w:left="567" w:hanging="567"/>
        <w:rPr>
          <w:rFonts w:ascii="Cambria" w:hAnsi="Cambria" w:cs="Arial"/>
          <w:sz w:val="10"/>
        </w:rPr>
      </w:pPr>
      <w:r w:rsidRPr="009A0DA6">
        <w:rPr>
          <w:rFonts w:ascii="Cambria" w:hAnsi="Cambria" w:cs="Arial"/>
        </w:rPr>
        <w:t>The launch also coincided with a busy time in the church calendar, prompting a number of congregations to delay the launch until 2018.</w:t>
      </w:r>
      <w:r w:rsidRPr="009A0DA6">
        <w:rPr>
          <w:rFonts w:ascii="Cambria" w:hAnsi="Cambria" w:cs="Arial"/>
        </w:rPr>
        <w:br/>
      </w:r>
    </w:p>
    <w:p w14:paraId="7392B736" w14:textId="6D67AC59" w:rsidR="00F631B1" w:rsidRPr="009A0DA6" w:rsidRDefault="00F631B1" w:rsidP="00453D5A">
      <w:pPr>
        <w:pStyle w:val="ListParagraph"/>
        <w:numPr>
          <w:ilvl w:val="0"/>
          <w:numId w:val="66"/>
        </w:numPr>
        <w:spacing w:after="0" w:line="240" w:lineRule="auto"/>
        <w:ind w:left="567" w:hanging="567"/>
        <w:rPr>
          <w:rFonts w:ascii="Cambria" w:hAnsi="Cambria" w:cs="Arial"/>
        </w:rPr>
      </w:pPr>
      <w:r w:rsidRPr="009A0DA6">
        <w:rPr>
          <w:rFonts w:ascii="Cambria" w:hAnsi="Cambria" w:cs="Arial"/>
        </w:rPr>
        <w:t>Statistical data associated with social issues, such as domestic violence, can be contestable. The Working Group recognised that it may have been preferable to use data sparingly, so that it did not distract from the campaign.</w:t>
      </w:r>
      <w:r w:rsidR="00202891">
        <w:rPr>
          <w:rFonts w:ascii="Cambria" w:hAnsi="Cambria" w:cs="Arial"/>
        </w:rPr>
        <w:br/>
      </w:r>
    </w:p>
    <w:p w14:paraId="5E8B900C" w14:textId="77777777" w:rsidR="00F631B1" w:rsidRPr="009A0DA6" w:rsidRDefault="00F631B1" w:rsidP="00F631B1">
      <w:pPr>
        <w:pStyle w:val="Heading3"/>
      </w:pPr>
      <w:r w:rsidRPr="009A0DA6">
        <w:t>project Risk assessment</w:t>
      </w:r>
    </w:p>
    <w:tbl>
      <w:tblPr>
        <w:tblStyle w:val="PlainTable2"/>
        <w:tblW w:w="8647" w:type="dxa"/>
        <w:tblLook w:val="01E0" w:firstRow="1" w:lastRow="1" w:firstColumn="1" w:lastColumn="1" w:noHBand="0" w:noVBand="0"/>
      </w:tblPr>
      <w:tblGrid>
        <w:gridCol w:w="2977"/>
        <w:gridCol w:w="2410"/>
        <w:gridCol w:w="3260"/>
      </w:tblGrid>
      <w:tr w:rsidR="00F631B1" w:rsidRPr="009A0DA6" w14:paraId="7CF329E4" w14:textId="77777777" w:rsidTr="00EB6C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7F7F7F" w:themeColor="text1" w:themeTint="80"/>
              <w:right w:val="nil"/>
            </w:tcBorders>
            <w:vAlign w:val="center"/>
            <w:hideMark/>
          </w:tcPr>
          <w:p w14:paraId="2B21F8E6" w14:textId="177679AB" w:rsidR="00F631B1" w:rsidRPr="009A0DA6" w:rsidRDefault="00F631B1" w:rsidP="007A0FE8">
            <w:pPr>
              <w:rPr>
                <w:rFonts w:ascii="Cambria" w:hAnsi="Cambria" w:cs="Arial"/>
                <w:bCs w:val="0"/>
              </w:rPr>
            </w:pPr>
            <w:r w:rsidRPr="009A0DA6">
              <w:rPr>
                <w:rFonts w:ascii="Cambria" w:hAnsi="Cambria" w:cs="Arial"/>
                <w:bCs w:val="0"/>
              </w:rPr>
              <w:t>Description of Risk</w:t>
            </w:r>
          </w:p>
        </w:tc>
        <w:tc>
          <w:tcPr>
            <w:cnfStyle w:val="000010000000" w:firstRow="0" w:lastRow="0" w:firstColumn="0" w:lastColumn="0" w:oddVBand="1" w:evenVBand="0" w:oddHBand="0" w:evenHBand="0" w:firstRowFirstColumn="0" w:firstRowLastColumn="0" w:lastRowFirstColumn="0" w:lastRowLastColumn="0"/>
            <w:tcW w:w="2410" w:type="dxa"/>
            <w:tcBorders>
              <w:top w:val="single" w:sz="4" w:space="0" w:color="7F7F7F" w:themeColor="text1" w:themeTint="80"/>
              <w:left w:val="nil"/>
              <w:right w:val="nil"/>
            </w:tcBorders>
            <w:vAlign w:val="center"/>
            <w:hideMark/>
          </w:tcPr>
          <w:p w14:paraId="51564F8B" w14:textId="77777777" w:rsidR="00F631B1" w:rsidRPr="009A0DA6" w:rsidRDefault="00F631B1" w:rsidP="007A0FE8">
            <w:pPr>
              <w:rPr>
                <w:rFonts w:ascii="Cambria" w:hAnsi="Cambria" w:cs="Arial"/>
                <w:bCs w:val="0"/>
              </w:rPr>
            </w:pPr>
            <w:r w:rsidRPr="009A0DA6">
              <w:rPr>
                <w:rFonts w:ascii="Cambria" w:hAnsi="Cambria" w:cs="Arial"/>
                <w:bCs w:val="0"/>
              </w:rPr>
              <w:t>Likelihood of risk occurring and potential impact for the ministry and LCA</w:t>
            </w:r>
          </w:p>
        </w:tc>
        <w:tc>
          <w:tcPr>
            <w:cnfStyle w:val="000100000000" w:firstRow="0" w:lastRow="0" w:firstColumn="0" w:lastColumn="1" w:oddVBand="0" w:evenVBand="0" w:oddHBand="0" w:evenHBand="0" w:firstRowFirstColumn="0" w:firstRowLastColumn="0" w:lastRowFirstColumn="0" w:lastRowLastColumn="0"/>
            <w:tcW w:w="3260" w:type="dxa"/>
            <w:tcBorders>
              <w:left w:val="nil"/>
            </w:tcBorders>
            <w:vAlign w:val="center"/>
            <w:hideMark/>
          </w:tcPr>
          <w:p w14:paraId="773665FA" w14:textId="77777777" w:rsidR="00F631B1" w:rsidRPr="009A0DA6" w:rsidRDefault="00F631B1" w:rsidP="007A0FE8">
            <w:pPr>
              <w:rPr>
                <w:rFonts w:ascii="Cambria" w:hAnsi="Cambria" w:cs="Arial"/>
                <w:bCs w:val="0"/>
              </w:rPr>
            </w:pPr>
            <w:r w:rsidRPr="009A0DA6">
              <w:rPr>
                <w:rFonts w:ascii="Cambria" w:hAnsi="Cambria" w:cs="Arial"/>
                <w:bCs w:val="0"/>
              </w:rPr>
              <w:t>Summary of Action to Mitigate the Risk</w:t>
            </w:r>
          </w:p>
        </w:tc>
      </w:tr>
      <w:tr w:rsidR="00F631B1" w:rsidRPr="009A0DA6" w14:paraId="1FADD7B7" w14:textId="77777777" w:rsidTr="001802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Borders>
              <w:right w:val="nil"/>
            </w:tcBorders>
          </w:tcPr>
          <w:p w14:paraId="179B1C9F" w14:textId="77777777" w:rsidR="00F631B1" w:rsidRPr="009A0DA6" w:rsidRDefault="00F631B1" w:rsidP="00F55252">
            <w:pPr>
              <w:numPr>
                <w:ilvl w:val="0"/>
                <w:numId w:val="67"/>
              </w:numPr>
              <w:rPr>
                <w:rFonts w:ascii="Cambria" w:hAnsi="Cambria" w:cs="Arial"/>
              </w:rPr>
            </w:pPr>
            <w:r w:rsidRPr="009A0DA6">
              <w:rPr>
                <w:rFonts w:ascii="Cambria" w:hAnsi="Cambria" w:cs="Arial"/>
                <w:bCs w:val="0"/>
                <w:iCs/>
              </w:rPr>
              <w:t>The perception by some that domestic and family violence is not relevant within the LCA</w:t>
            </w:r>
          </w:p>
        </w:tc>
        <w:tc>
          <w:tcPr>
            <w:cnfStyle w:val="000010000000" w:firstRow="0" w:lastRow="0" w:firstColumn="0" w:lastColumn="0" w:oddVBand="1" w:evenVBand="0" w:oddHBand="0" w:evenHBand="0" w:firstRowFirstColumn="0" w:firstRowLastColumn="0" w:lastRowFirstColumn="0" w:lastRowLastColumn="0"/>
            <w:tcW w:w="2410" w:type="dxa"/>
            <w:tcBorders>
              <w:left w:val="nil"/>
              <w:right w:val="nil"/>
            </w:tcBorders>
            <w:hideMark/>
          </w:tcPr>
          <w:p w14:paraId="34A5BEED" w14:textId="77777777" w:rsidR="00F631B1" w:rsidRPr="009A0DA6" w:rsidRDefault="00F631B1" w:rsidP="00180211">
            <w:pPr>
              <w:jc w:val="center"/>
              <w:rPr>
                <w:rFonts w:ascii="Cambria" w:hAnsi="Cambria" w:cs="Arial"/>
              </w:rPr>
            </w:pPr>
            <w:r w:rsidRPr="009A0DA6">
              <w:rPr>
                <w:rFonts w:ascii="Cambria" w:hAnsi="Cambria" w:cs="Arial"/>
              </w:rPr>
              <w:t>High</w:t>
            </w:r>
          </w:p>
        </w:tc>
        <w:tc>
          <w:tcPr>
            <w:cnfStyle w:val="000100000000" w:firstRow="0" w:lastRow="0" w:firstColumn="0" w:lastColumn="1" w:oddVBand="0" w:evenVBand="0" w:oddHBand="0" w:evenHBand="0" w:firstRowFirstColumn="0" w:firstRowLastColumn="0" w:lastRowFirstColumn="0" w:lastRowLastColumn="0"/>
            <w:tcW w:w="3260" w:type="dxa"/>
            <w:tcBorders>
              <w:left w:val="nil"/>
            </w:tcBorders>
            <w:hideMark/>
          </w:tcPr>
          <w:p w14:paraId="559A68A8" w14:textId="77777777" w:rsidR="00F631B1" w:rsidRPr="009A0DA6" w:rsidRDefault="00F631B1" w:rsidP="00180211">
            <w:pPr>
              <w:rPr>
                <w:rFonts w:ascii="Cambria" w:hAnsi="Cambria" w:cs="Arial"/>
                <w:b w:val="0"/>
              </w:rPr>
            </w:pPr>
            <w:r w:rsidRPr="009A0DA6">
              <w:rPr>
                <w:rFonts w:ascii="Cambria" w:hAnsi="Cambria" w:cs="Arial"/>
                <w:b w:val="0"/>
              </w:rPr>
              <w:t>Stories of Lutheran victims featured in The Lutheran (November 2017)</w:t>
            </w:r>
          </w:p>
        </w:tc>
      </w:tr>
      <w:tr w:rsidR="00F631B1" w:rsidRPr="009A0DA6" w14:paraId="5D2B7E4E" w14:textId="77777777" w:rsidTr="00180211">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7F7F7F" w:themeColor="text1" w:themeTint="80"/>
              <w:bottom w:val="single" w:sz="4" w:space="0" w:color="7F7F7F" w:themeColor="text1" w:themeTint="80"/>
              <w:right w:val="nil"/>
            </w:tcBorders>
          </w:tcPr>
          <w:p w14:paraId="6B39436C" w14:textId="77777777" w:rsidR="00F631B1" w:rsidRPr="009A0DA6" w:rsidRDefault="00F631B1" w:rsidP="00F55252">
            <w:pPr>
              <w:numPr>
                <w:ilvl w:val="0"/>
                <w:numId w:val="67"/>
              </w:numPr>
              <w:rPr>
                <w:rFonts w:ascii="Cambria" w:hAnsi="Cambria" w:cs="Arial"/>
              </w:rPr>
            </w:pPr>
            <w:r w:rsidRPr="009A0DA6">
              <w:rPr>
                <w:rFonts w:ascii="Cambria" w:hAnsi="Cambria" w:cs="Arial"/>
              </w:rPr>
              <w:t>Lack of resources to undertake the campaign</w:t>
            </w:r>
          </w:p>
          <w:p w14:paraId="0EDC6C11" w14:textId="77777777" w:rsidR="00F631B1" w:rsidRPr="009A0DA6" w:rsidRDefault="00F631B1" w:rsidP="00180211">
            <w:pPr>
              <w:rPr>
                <w:rFonts w:ascii="Cambria" w:hAnsi="Cambria" w:cs="Arial"/>
              </w:rPr>
            </w:pPr>
          </w:p>
        </w:tc>
        <w:tc>
          <w:tcPr>
            <w:cnfStyle w:val="000010000000" w:firstRow="0" w:lastRow="0" w:firstColumn="0" w:lastColumn="0" w:oddVBand="1" w:evenVBand="0" w:oddHBand="0" w:evenHBand="0" w:firstRowFirstColumn="0" w:firstRowLastColumn="0" w:lastRowFirstColumn="0" w:lastRowLastColumn="0"/>
            <w:tcW w:w="2410" w:type="dxa"/>
            <w:tcBorders>
              <w:top w:val="single" w:sz="4" w:space="0" w:color="7F7F7F" w:themeColor="text1" w:themeTint="80"/>
              <w:left w:val="nil"/>
              <w:bottom w:val="single" w:sz="4" w:space="0" w:color="7F7F7F" w:themeColor="text1" w:themeTint="80"/>
              <w:right w:val="nil"/>
            </w:tcBorders>
            <w:hideMark/>
          </w:tcPr>
          <w:p w14:paraId="392A75F5" w14:textId="77777777" w:rsidR="00F631B1" w:rsidRPr="009A0DA6" w:rsidRDefault="00F631B1" w:rsidP="00180211">
            <w:pPr>
              <w:jc w:val="center"/>
              <w:rPr>
                <w:rFonts w:ascii="Cambria" w:hAnsi="Cambria" w:cs="Arial"/>
              </w:rPr>
            </w:pPr>
            <w:r w:rsidRPr="009A0DA6">
              <w:rPr>
                <w:rFonts w:ascii="Cambria" w:hAnsi="Cambria" w:cs="Arial"/>
              </w:rPr>
              <w:t xml:space="preserve">Low </w:t>
            </w:r>
            <w:r w:rsidRPr="009A0DA6">
              <w:rPr>
                <w:rFonts w:ascii="Cambria" w:hAnsi="Cambria" w:cs="Arial"/>
              </w:rPr>
              <w:br/>
              <w:t>in the short-term</w:t>
            </w:r>
          </w:p>
        </w:tc>
        <w:tc>
          <w:tcPr>
            <w:cnfStyle w:val="000100000000" w:firstRow="0" w:lastRow="0" w:firstColumn="0" w:lastColumn="1" w:oddVBand="0" w:evenVBand="0" w:oddHBand="0" w:evenHBand="0" w:firstRowFirstColumn="0" w:firstRowLastColumn="0" w:lastRowFirstColumn="0" w:lastRowLastColumn="0"/>
            <w:tcW w:w="3260" w:type="dxa"/>
            <w:tcBorders>
              <w:left w:val="nil"/>
            </w:tcBorders>
          </w:tcPr>
          <w:p w14:paraId="2CFC112C" w14:textId="77777777" w:rsidR="00F631B1" w:rsidRPr="009A0DA6" w:rsidRDefault="00F631B1" w:rsidP="00180211">
            <w:pPr>
              <w:rPr>
                <w:rFonts w:ascii="Cambria" w:hAnsi="Cambria" w:cs="Arial"/>
                <w:b w:val="0"/>
              </w:rPr>
            </w:pPr>
            <w:r w:rsidRPr="009A0DA6">
              <w:rPr>
                <w:rFonts w:ascii="Cambria" w:hAnsi="Cambria" w:cs="Arial"/>
                <w:b w:val="0"/>
              </w:rPr>
              <w:t>The LLL has provided generous funding to support the campaign. The coordinator to continue to explore external funding.</w:t>
            </w:r>
          </w:p>
        </w:tc>
      </w:tr>
      <w:tr w:rsidR="00F631B1" w:rsidRPr="009A0DA6" w14:paraId="0D0ABFD2" w14:textId="77777777" w:rsidTr="001802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Borders>
              <w:right w:val="nil"/>
            </w:tcBorders>
          </w:tcPr>
          <w:p w14:paraId="68994E73" w14:textId="77777777" w:rsidR="00F631B1" w:rsidRPr="009A0DA6" w:rsidRDefault="00F631B1" w:rsidP="00F55252">
            <w:pPr>
              <w:numPr>
                <w:ilvl w:val="0"/>
                <w:numId w:val="67"/>
              </w:numPr>
              <w:rPr>
                <w:rFonts w:ascii="Cambria" w:hAnsi="Cambria" w:cs="Arial"/>
              </w:rPr>
            </w:pPr>
            <w:r w:rsidRPr="009A0DA6">
              <w:rPr>
                <w:rFonts w:ascii="Cambria" w:hAnsi="Cambria" w:cs="Arial"/>
              </w:rPr>
              <w:t>The campaign is not taken seriously by those who do not see women as created equal by God</w:t>
            </w:r>
          </w:p>
        </w:tc>
        <w:tc>
          <w:tcPr>
            <w:cnfStyle w:val="000010000000" w:firstRow="0" w:lastRow="0" w:firstColumn="0" w:lastColumn="0" w:oddVBand="1" w:evenVBand="0" w:oddHBand="0" w:evenHBand="0" w:firstRowFirstColumn="0" w:firstRowLastColumn="0" w:lastRowFirstColumn="0" w:lastRowLastColumn="0"/>
            <w:tcW w:w="2410" w:type="dxa"/>
            <w:tcBorders>
              <w:left w:val="nil"/>
              <w:right w:val="nil"/>
            </w:tcBorders>
            <w:hideMark/>
          </w:tcPr>
          <w:p w14:paraId="5C6382FE" w14:textId="77777777" w:rsidR="00F631B1" w:rsidRPr="009A0DA6" w:rsidRDefault="00F631B1" w:rsidP="00180211">
            <w:pPr>
              <w:jc w:val="center"/>
              <w:rPr>
                <w:rFonts w:ascii="Cambria" w:hAnsi="Cambria" w:cs="Arial"/>
              </w:rPr>
            </w:pPr>
            <w:r w:rsidRPr="009A0DA6">
              <w:rPr>
                <w:rFonts w:ascii="Cambria" w:hAnsi="Cambria" w:cs="Arial"/>
              </w:rPr>
              <w:t>High</w:t>
            </w:r>
          </w:p>
        </w:tc>
        <w:tc>
          <w:tcPr>
            <w:cnfStyle w:val="000100000000" w:firstRow="0" w:lastRow="0" w:firstColumn="0" w:lastColumn="1" w:oddVBand="0" w:evenVBand="0" w:oddHBand="0" w:evenHBand="0" w:firstRowFirstColumn="0" w:firstRowLastColumn="0" w:lastRowFirstColumn="0" w:lastRowLastColumn="0"/>
            <w:tcW w:w="3260" w:type="dxa"/>
            <w:tcBorders>
              <w:left w:val="nil"/>
            </w:tcBorders>
          </w:tcPr>
          <w:p w14:paraId="70A535B8" w14:textId="56D8FE15" w:rsidR="00F631B1" w:rsidRPr="009A0DA6" w:rsidRDefault="00F631B1" w:rsidP="00180211">
            <w:pPr>
              <w:rPr>
                <w:rFonts w:ascii="Cambria" w:hAnsi="Cambria" w:cs="Arial"/>
                <w:b w:val="0"/>
              </w:rPr>
            </w:pPr>
            <w:r w:rsidRPr="009A0DA6">
              <w:rPr>
                <w:rFonts w:ascii="Cambria" w:hAnsi="Cambria" w:cs="Arial"/>
                <w:b w:val="0"/>
              </w:rPr>
              <w:t xml:space="preserve">The Coordinator and another Working Group member participated in the Task Group to consider Synod Resolution </w:t>
            </w:r>
            <w:r w:rsidR="004113A1">
              <w:rPr>
                <w:rFonts w:ascii="Cambria" w:hAnsi="Cambria"/>
                <w:b w:val="0"/>
                <w:bCs w:val="0"/>
              </w:rPr>
              <w:t>2015:0</w:t>
            </w:r>
            <w:r w:rsidRPr="009A0DA6">
              <w:rPr>
                <w:rFonts w:ascii="Cambria" w:hAnsi="Cambria"/>
                <w:b w:val="0"/>
                <w:bCs w:val="0"/>
              </w:rPr>
              <w:t>209</w:t>
            </w:r>
          </w:p>
        </w:tc>
      </w:tr>
      <w:tr w:rsidR="00F631B1" w:rsidRPr="009A0DA6" w14:paraId="3B095ABF" w14:textId="77777777" w:rsidTr="00180211">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7F7F7F" w:themeColor="text1" w:themeTint="80"/>
              <w:bottom w:val="single" w:sz="4" w:space="0" w:color="7F7F7F" w:themeColor="text1" w:themeTint="80"/>
              <w:right w:val="nil"/>
            </w:tcBorders>
          </w:tcPr>
          <w:p w14:paraId="706D8506" w14:textId="77777777" w:rsidR="00F631B1" w:rsidRPr="009A0DA6" w:rsidRDefault="00F631B1" w:rsidP="00F55252">
            <w:pPr>
              <w:numPr>
                <w:ilvl w:val="0"/>
                <w:numId w:val="67"/>
              </w:numPr>
              <w:contextualSpacing/>
              <w:rPr>
                <w:rFonts w:ascii="Cambria" w:hAnsi="Cambria" w:cs="Arial"/>
              </w:rPr>
            </w:pPr>
            <w:r w:rsidRPr="009A0DA6">
              <w:rPr>
                <w:rFonts w:ascii="Cambria" w:hAnsi="Cambria" w:cs="Arial"/>
              </w:rPr>
              <w:t>Information and resources are not disseminated uniformly</w:t>
            </w:r>
          </w:p>
          <w:p w14:paraId="349517B0" w14:textId="77777777" w:rsidR="00F631B1" w:rsidRPr="009A0DA6" w:rsidRDefault="00F631B1" w:rsidP="00180211">
            <w:pPr>
              <w:ind w:left="360"/>
              <w:contextualSpacing/>
              <w:rPr>
                <w:rFonts w:ascii="Cambria" w:hAnsi="Cambria" w:cs="Arial"/>
              </w:rPr>
            </w:pPr>
          </w:p>
        </w:tc>
        <w:tc>
          <w:tcPr>
            <w:cnfStyle w:val="000010000000" w:firstRow="0" w:lastRow="0" w:firstColumn="0" w:lastColumn="0" w:oddVBand="1" w:evenVBand="0" w:oddHBand="0" w:evenHBand="0" w:firstRowFirstColumn="0" w:firstRowLastColumn="0" w:lastRowFirstColumn="0" w:lastRowLastColumn="0"/>
            <w:tcW w:w="2410" w:type="dxa"/>
            <w:tcBorders>
              <w:top w:val="single" w:sz="4" w:space="0" w:color="7F7F7F" w:themeColor="text1" w:themeTint="80"/>
              <w:left w:val="nil"/>
              <w:bottom w:val="single" w:sz="4" w:space="0" w:color="7F7F7F" w:themeColor="text1" w:themeTint="80"/>
              <w:right w:val="nil"/>
            </w:tcBorders>
            <w:hideMark/>
          </w:tcPr>
          <w:p w14:paraId="56BA92FA" w14:textId="77777777" w:rsidR="00F631B1" w:rsidRPr="009A0DA6" w:rsidRDefault="00F631B1" w:rsidP="00180211">
            <w:pPr>
              <w:jc w:val="center"/>
              <w:rPr>
                <w:rFonts w:ascii="Cambria" w:hAnsi="Cambria" w:cs="Arial"/>
              </w:rPr>
            </w:pPr>
            <w:r w:rsidRPr="009A0DA6">
              <w:rPr>
                <w:rFonts w:ascii="Cambria" w:hAnsi="Cambria" w:cs="Arial"/>
              </w:rPr>
              <w:t>High</w:t>
            </w:r>
          </w:p>
        </w:tc>
        <w:tc>
          <w:tcPr>
            <w:cnfStyle w:val="000100000000" w:firstRow="0" w:lastRow="0" w:firstColumn="0" w:lastColumn="1" w:oddVBand="0" w:evenVBand="0" w:oddHBand="0" w:evenHBand="0" w:firstRowFirstColumn="0" w:firstRowLastColumn="0" w:lastRowFirstColumn="0" w:lastRowLastColumn="0"/>
            <w:tcW w:w="3260" w:type="dxa"/>
            <w:tcBorders>
              <w:left w:val="nil"/>
            </w:tcBorders>
            <w:hideMark/>
          </w:tcPr>
          <w:p w14:paraId="4EA56B11" w14:textId="77777777" w:rsidR="00F631B1" w:rsidRPr="009A0DA6" w:rsidRDefault="00F631B1" w:rsidP="00180211">
            <w:pPr>
              <w:rPr>
                <w:rFonts w:ascii="Cambria" w:hAnsi="Cambria" w:cs="Arial"/>
                <w:b w:val="0"/>
              </w:rPr>
            </w:pPr>
            <w:r w:rsidRPr="009A0DA6">
              <w:rPr>
                <w:rFonts w:ascii="Cambria" w:hAnsi="Cambria" w:cs="Arial"/>
                <w:b w:val="0"/>
              </w:rPr>
              <w:t>The campaign has uses as many distribution channels as possible to make information and resources available across the church</w:t>
            </w:r>
          </w:p>
        </w:tc>
      </w:tr>
      <w:tr w:rsidR="00F631B1" w:rsidRPr="009A0DA6" w14:paraId="12611BD9" w14:textId="77777777" w:rsidTr="0018021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Borders>
              <w:bottom w:val="single" w:sz="4" w:space="0" w:color="7F7F7F" w:themeColor="text1" w:themeTint="80"/>
              <w:right w:val="nil"/>
            </w:tcBorders>
            <w:hideMark/>
          </w:tcPr>
          <w:p w14:paraId="70EB169E" w14:textId="77777777" w:rsidR="00F631B1" w:rsidRPr="009A0DA6" w:rsidRDefault="00F631B1" w:rsidP="00F55252">
            <w:pPr>
              <w:numPr>
                <w:ilvl w:val="0"/>
                <w:numId w:val="67"/>
              </w:numPr>
              <w:contextualSpacing/>
              <w:rPr>
                <w:rFonts w:ascii="Cambria" w:hAnsi="Cambria" w:cs="Arial"/>
              </w:rPr>
            </w:pPr>
            <w:r w:rsidRPr="009A0DA6">
              <w:rPr>
                <w:rFonts w:ascii="Cambria" w:hAnsi="Cambria" w:cs="Arial"/>
              </w:rPr>
              <w:lastRenderedPageBreak/>
              <w:t>Information does not reach widely across the church, particularly congregations</w:t>
            </w:r>
          </w:p>
        </w:tc>
        <w:tc>
          <w:tcPr>
            <w:cnfStyle w:val="000010000000" w:firstRow="0" w:lastRow="0" w:firstColumn="0" w:lastColumn="0" w:oddVBand="1" w:evenVBand="0" w:oddHBand="0" w:evenHBand="0" w:firstRowFirstColumn="0" w:firstRowLastColumn="0" w:lastRowFirstColumn="0" w:lastRowLastColumn="0"/>
            <w:tcW w:w="2410" w:type="dxa"/>
            <w:tcBorders>
              <w:left w:val="nil"/>
              <w:bottom w:val="single" w:sz="4" w:space="0" w:color="7F7F7F" w:themeColor="text1" w:themeTint="80"/>
              <w:right w:val="nil"/>
            </w:tcBorders>
            <w:hideMark/>
          </w:tcPr>
          <w:p w14:paraId="05CFA550" w14:textId="77777777" w:rsidR="00F631B1" w:rsidRPr="009A0DA6" w:rsidRDefault="00F631B1" w:rsidP="00180211">
            <w:pPr>
              <w:jc w:val="center"/>
              <w:rPr>
                <w:rFonts w:ascii="Cambria" w:hAnsi="Cambria" w:cs="Arial"/>
                <w:b w:val="0"/>
              </w:rPr>
            </w:pPr>
            <w:r w:rsidRPr="009A0DA6">
              <w:rPr>
                <w:rFonts w:ascii="Cambria" w:hAnsi="Cambria" w:cs="Arial"/>
                <w:b w:val="0"/>
              </w:rPr>
              <w:t>High</w:t>
            </w:r>
          </w:p>
        </w:tc>
        <w:tc>
          <w:tcPr>
            <w:cnfStyle w:val="000100000000" w:firstRow="0" w:lastRow="0" w:firstColumn="0" w:lastColumn="1" w:oddVBand="0" w:evenVBand="0" w:oddHBand="0" w:evenHBand="0" w:firstRowFirstColumn="0" w:firstRowLastColumn="0" w:lastRowFirstColumn="0" w:lastRowLastColumn="0"/>
            <w:tcW w:w="3260" w:type="dxa"/>
            <w:tcBorders>
              <w:left w:val="nil"/>
            </w:tcBorders>
          </w:tcPr>
          <w:p w14:paraId="0A058F8F" w14:textId="77777777" w:rsidR="00F631B1" w:rsidRPr="009A0DA6" w:rsidRDefault="00F631B1" w:rsidP="00180211">
            <w:pPr>
              <w:rPr>
                <w:rFonts w:ascii="Cambria" w:hAnsi="Cambria" w:cs="Arial"/>
                <w:b w:val="0"/>
              </w:rPr>
            </w:pPr>
            <w:r w:rsidRPr="009A0DA6">
              <w:rPr>
                <w:rFonts w:ascii="Cambria" w:hAnsi="Cambria" w:cs="Arial"/>
                <w:b w:val="0"/>
              </w:rPr>
              <w:t xml:space="preserve">The campaign will continue to use as many communication channels as possible to disseminate information. </w:t>
            </w:r>
          </w:p>
        </w:tc>
      </w:tr>
    </w:tbl>
    <w:p w14:paraId="3275FE78" w14:textId="77777777" w:rsidR="00F631B1" w:rsidRPr="009A0DA6" w:rsidRDefault="00F631B1" w:rsidP="00F631B1">
      <w:pPr>
        <w:pStyle w:val="NoSpacing"/>
      </w:pPr>
    </w:p>
    <w:p w14:paraId="73B002A1" w14:textId="1CE71866" w:rsidR="00F631B1" w:rsidRPr="009A0DA6" w:rsidRDefault="00F631B1" w:rsidP="00F631B1">
      <w:pPr>
        <w:pStyle w:val="Heading3"/>
        <w:rPr>
          <w:szCs w:val="28"/>
          <w:lang w:val="en-US" w:eastAsia="ja-JP"/>
        </w:rPr>
      </w:pPr>
      <w:r w:rsidRPr="009A0DA6">
        <w:t xml:space="preserve">Alignment to LCA Strategic Direction </w:t>
      </w:r>
      <w:r w:rsidR="00AC7AA2">
        <w:t>2013–2018</w:t>
      </w:r>
    </w:p>
    <w:p w14:paraId="4261CDCE" w14:textId="77777777" w:rsidR="00F631B1" w:rsidRPr="009A0DA6" w:rsidRDefault="00F631B1" w:rsidP="00F631B1">
      <w:pPr>
        <w:spacing w:before="120" w:after="120" w:line="240" w:lineRule="auto"/>
        <w:rPr>
          <w:rFonts w:ascii="Cambria" w:hAnsi="Cambria" w:cs="Arial"/>
        </w:rPr>
      </w:pPr>
      <w:r w:rsidRPr="009A0DA6">
        <w:rPr>
          <w:rFonts w:ascii="Cambria" w:hAnsi="Cambria" w:cs="Arial"/>
          <w:b/>
        </w:rPr>
        <w:t xml:space="preserve">Priority Area 1: Grow as God’s People </w:t>
      </w:r>
      <w:r w:rsidRPr="009A0DA6">
        <w:rPr>
          <w:rFonts w:ascii="Cambria" w:hAnsi="Cambria" w:cs="Arial"/>
        </w:rPr>
        <w:t>Goal 3</w:t>
      </w:r>
    </w:p>
    <w:p w14:paraId="3D21204B" w14:textId="77777777" w:rsidR="00F631B1" w:rsidRPr="009A0DA6" w:rsidRDefault="00F631B1" w:rsidP="00F631B1">
      <w:pPr>
        <w:spacing w:before="120" w:after="120" w:line="240" w:lineRule="auto"/>
        <w:rPr>
          <w:rFonts w:ascii="Cambria" w:hAnsi="Cambria" w:cs="Arial"/>
        </w:rPr>
      </w:pPr>
      <w:r w:rsidRPr="009A0DA6">
        <w:rPr>
          <w:rFonts w:ascii="Cambria" w:hAnsi="Cambria" w:cs="Arial"/>
        </w:rPr>
        <w:t>Develop a strong culture of service in individuals, families and communities, both locally and overseas, as a natural outworking of an active faith. This will also encompass respectful relationships in marriages, families and church communities.</w:t>
      </w:r>
    </w:p>
    <w:p w14:paraId="3AE0A986" w14:textId="77777777" w:rsidR="00F631B1" w:rsidRPr="009A0DA6" w:rsidRDefault="00F631B1" w:rsidP="00F631B1">
      <w:pPr>
        <w:spacing w:before="120" w:after="120" w:line="240" w:lineRule="auto"/>
        <w:rPr>
          <w:rFonts w:ascii="Cambria" w:hAnsi="Cambria" w:cs="Arial"/>
        </w:rPr>
      </w:pPr>
      <w:r w:rsidRPr="009A0DA6">
        <w:rPr>
          <w:rFonts w:ascii="Cambria" w:hAnsi="Cambria" w:cs="Arial"/>
          <w:b/>
        </w:rPr>
        <w:t xml:space="preserve">Priority Area 3: Enable us to Go and Grow – </w:t>
      </w:r>
      <w:r w:rsidRPr="009A0DA6">
        <w:rPr>
          <w:rFonts w:ascii="Cambria" w:hAnsi="Cambria" w:cs="Arial"/>
        </w:rPr>
        <w:t>Assets and Resources:  Goal C1</w:t>
      </w:r>
    </w:p>
    <w:p w14:paraId="57D45012" w14:textId="77777777" w:rsidR="00F631B1" w:rsidRPr="009A0DA6" w:rsidRDefault="00F631B1" w:rsidP="00F631B1">
      <w:pPr>
        <w:rPr>
          <w:rFonts w:ascii="Cambria" w:hAnsi="Cambria" w:cs="Arial"/>
        </w:rPr>
      </w:pPr>
      <w:r w:rsidRPr="009A0DA6">
        <w:rPr>
          <w:rFonts w:ascii="Cambria" w:hAnsi="Cambria" w:cs="Arial"/>
        </w:rPr>
        <w:t>Enhance care of our people, especially church workers and their families.</w:t>
      </w:r>
    </w:p>
    <w:p w14:paraId="0710ACF1" w14:textId="77777777" w:rsidR="00F631B1" w:rsidRPr="009A0DA6" w:rsidRDefault="00F631B1" w:rsidP="00F631B1">
      <w:pPr>
        <w:pStyle w:val="Heading3"/>
      </w:pPr>
      <w:r w:rsidRPr="009A0DA6">
        <w:t>Cooperating LCA Boards and Agencies</w:t>
      </w:r>
    </w:p>
    <w:p w14:paraId="25C74A55" w14:textId="77777777" w:rsidR="00F631B1" w:rsidRPr="009A0DA6" w:rsidRDefault="00F631B1" w:rsidP="00F631B1">
      <w:pPr>
        <w:spacing w:before="120"/>
        <w:rPr>
          <w:rFonts w:ascii="Cambria" w:hAnsi="Cambria" w:cs="Arial"/>
        </w:rPr>
      </w:pPr>
      <w:r w:rsidRPr="009A0DA6">
        <w:rPr>
          <w:rFonts w:ascii="Cambria" w:hAnsi="Cambria" w:cs="Arial"/>
          <w:b/>
        </w:rPr>
        <w:t xml:space="preserve">General Church Council: </w:t>
      </w:r>
      <w:r w:rsidRPr="009A0DA6">
        <w:rPr>
          <w:rFonts w:ascii="Cambria" w:hAnsi="Cambria" w:cs="Arial"/>
        </w:rPr>
        <w:t>To oversee and provide resourcing for the project.</w:t>
      </w:r>
    </w:p>
    <w:p w14:paraId="697B5BDE" w14:textId="77777777" w:rsidR="00F631B1" w:rsidRPr="009A0DA6" w:rsidRDefault="00F631B1" w:rsidP="00F631B1">
      <w:pPr>
        <w:spacing w:before="120"/>
        <w:rPr>
          <w:rFonts w:ascii="Cambria" w:hAnsi="Cambria" w:cs="Arial"/>
        </w:rPr>
      </w:pPr>
      <w:r w:rsidRPr="009A0DA6">
        <w:rPr>
          <w:rFonts w:ascii="Cambria" w:hAnsi="Cambria" w:cs="Arial"/>
          <w:b/>
        </w:rPr>
        <w:t xml:space="preserve">College of Bishops: </w:t>
      </w:r>
      <w:r w:rsidRPr="009A0DA6">
        <w:rPr>
          <w:rFonts w:ascii="Cambria" w:hAnsi="Cambria" w:cs="Arial"/>
        </w:rPr>
        <w:t>The Bishops were invited in August 2017 to be champions of the project and that they will model appropriate behaviour and promote it as part of their role.</w:t>
      </w:r>
    </w:p>
    <w:p w14:paraId="3C804E4E" w14:textId="77777777" w:rsidR="00F631B1" w:rsidRPr="009A0DA6" w:rsidRDefault="00F631B1" w:rsidP="00F631B1">
      <w:pPr>
        <w:spacing w:before="120"/>
        <w:rPr>
          <w:rFonts w:ascii="Cambria" w:hAnsi="Cambria" w:cs="Arial"/>
        </w:rPr>
      </w:pPr>
      <w:r w:rsidRPr="009A0DA6">
        <w:rPr>
          <w:rFonts w:ascii="Cambria" w:hAnsi="Cambria" w:cs="Arial"/>
          <w:b/>
        </w:rPr>
        <w:t>Professional Standards Department</w:t>
      </w:r>
      <w:r w:rsidRPr="009A0DA6">
        <w:rPr>
          <w:rFonts w:ascii="Cambria" w:hAnsi="Cambria" w:cs="Arial"/>
        </w:rPr>
        <w:t xml:space="preserve"> were invited to integrate information about domestic and family violence into their training. There is continuing contact with PSD to ensure information regarding domestic and family violence is incorporated into PSD training.</w:t>
      </w:r>
    </w:p>
    <w:p w14:paraId="2148ED71" w14:textId="77777777" w:rsidR="00F631B1" w:rsidRPr="009A0DA6" w:rsidRDefault="00F631B1" w:rsidP="00F631B1">
      <w:pPr>
        <w:spacing w:before="120"/>
        <w:rPr>
          <w:rFonts w:ascii="Cambria" w:hAnsi="Cambria" w:cs="Arial"/>
        </w:rPr>
      </w:pPr>
      <w:r w:rsidRPr="009A0DA6">
        <w:rPr>
          <w:rFonts w:ascii="Cambria" w:hAnsi="Cambria" w:cs="Arial"/>
          <w:b/>
        </w:rPr>
        <w:t>Lutheran Education Australia</w:t>
      </w:r>
      <w:r w:rsidRPr="009A0DA6">
        <w:rPr>
          <w:rFonts w:ascii="Cambria" w:hAnsi="Cambria" w:cs="Arial"/>
        </w:rPr>
        <w:t xml:space="preserve"> were approached to incorporate material that has been developed specifically for schools (eg by NAPCAN) into the curriculum. The LEA Director has sent out a letter to all pre-schools, primary and secondary schools, alerting them to the campaign and inviting them to seek more information and provide training for staff. </w:t>
      </w:r>
    </w:p>
    <w:p w14:paraId="05C9B922" w14:textId="77777777" w:rsidR="00F631B1" w:rsidRPr="009A0DA6" w:rsidRDefault="00F631B1" w:rsidP="00F631B1">
      <w:pPr>
        <w:spacing w:before="120"/>
        <w:rPr>
          <w:rFonts w:ascii="Cambria" w:hAnsi="Cambria" w:cs="Arial"/>
        </w:rPr>
      </w:pPr>
      <w:r w:rsidRPr="009A0DA6">
        <w:rPr>
          <w:rFonts w:ascii="Cambria" w:hAnsi="Cambria" w:cs="Arial"/>
          <w:b/>
        </w:rPr>
        <w:t>Lutheran Community Care</w:t>
      </w:r>
      <w:r w:rsidRPr="009A0DA6">
        <w:rPr>
          <w:rFonts w:ascii="Cambria" w:hAnsi="Cambria" w:cs="Arial"/>
        </w:rPr>
        <w:t xml:space="preserve"> </w:t>
      </w:r>
      <w:r w:rsidRPr="009A0DA6">
        <w:rPr>
          <w:rFonts w:ascii="Cambria" w:hAnsi="Cambria" w:cs="Arial"/>
          <w:b/>
        </w:rPr>
        <w:t xml:space="preserve">(SA/NT &amp; Qld) </w:t>
      </w:r>
      <w:r w:rsidRPr="009A0DA6">
        <w:rPr>
          <w:rFonts w:ascii="Cambria" w:hAnsi="Cambria" w:cs="Arial"/>
        </w:rPr>
        <w:t>are implementing partners in the campaign, particularly engaged in the development and delivery of training and, where possible and appropriate, service provision.</w:t>
      </w:r>
    </w:p>
    <w:p w14:paraId="26CFFFDB" w14:textId="77777777" w:rsidR="00F631B1" w:rsidRPr="009A0DA6" w:rsidRDefault="00F631B1" w:rsidP="00F631B1">
      <w:pPr>
        <w:spacing w:before="120"/>
        <w:rPr>
          <w:rFonts w:ascii="Cambria" w:hAnsi="Cambria" w:cs="Arial"/>
        </w:rPr>
      </w:pPr>
      <w:r w:rsidRPr="009A0DA6">
        <w:rPr>
          <w:rFonts w:ascii="Cambria" w:hAnsi="Cambria" w:cs="Arial"/>
          <w:b/>
        </w:rPr>
        <w:t>Lutheran Media Ministry</w:t>
      </w:r>
      <w:r w:rsidRPr="009A0DA6">
        <w:rPr>
          <w:rFonts w:ascii="Cambria" w:hAnsi="Cambria" w:cs="Arial"/>
        </w:rPr>
        <w:t xml:space="preserve"> may become a partner to develop and disseminate resources, including stories of hope using the theme of domestic and family violence.</w:t>
      </w:r>
    </w:p>
    <w:p w14:paraId="1497385F" w14:textId="77777777" w:rsidR="00F631B1" w:rsidRPr="009A0DA6" w:rsidRDefault="00F631B1" w:rsidP="00F631B1">
      <w:pPr>
        <w:spacing w:before="120"/>
        <w:rPr>
          <w:rFonts w:ascii="Cambria" w:hAnsi="Cambria" w:cs="Arial"/>
        </w:rPr>
      </w:pPr>
      <w:r w:rsidRPr="009A0DA6">
        <w:rPr>
          <w:rFonts w:ascii="Cambria" w:hAnsi="Cambria" w:cs="Arial"/>
          <w:b/>
        </w:rPr>
        <w:t>Grow Ministries and District Departments</w:t>
      </w:r>
      <w:r w:rsidRPr="009A0DA6">
        <w:rPr>
          <w:rFonts w:ascii="Cambria" w:hAnsi="Cambria" w:cs="Arial"/>
        </w:rPr>
        <w:t xml:space="preserve"> with their focus on child, youth and family ministry have the potential to support the campaign through integration of domestic violence issues into their resources and training. Grow Ministries will send out information as part of their kits to congregations.</w:t>
      </w:r>
    </w:p>
    <w:p w14:paraId="085A56C1" w14:textId="77777777" w:rsidR="00F631B1" w:rsidRPr="009A0DA6" w:rsidRDefault="00F631B1" w:rsidP="00F631B1">
      <w:pPr>
        <w:spacing w:before="120"/>
        <w:rPr>
          <w:rFonts w:ascii="Cambria" w:hAnsi="Cambria" w:cs="Arial"/>
          <w:b/>
        </w:rPr>
      </w:pPr>
      <w:r w:rsidRPr="009A0DA6">
        <w:rPr>
          <w:rFonts w:ascii="Cambria" w:hAnsi="Cambria" w:cs="Arial"/>
          <w:b/>
        </w:rPr>
        <w:t>LCA Communications Department</w:t>
      </w:r>
      <w:r w:rsidRPr="009A0DA6">
        <w:rPr>
          <w:rFonts w:ascii="Cambria" w:hAnsi="Cambria" w:cs="Arial"/>
        </w:rPr>
        <w:t xml:space="preserve"> supports the campaign by disseminating information, primarily through a special campaign website, about initiatives and resources that are developed within the LCA and that are available in the wider community.</w:t>
      </w:r>
    </w:p>
    <w:p w14:paraId="0CBECD1C" w14:textId="77777777" w:rsidR="00F631B1" w:rsidRPr="009A0DA6" w:rsidRDefault="00F631B1" w:rsidP="00F631B1">
      <w:pPr>
        <w:spacing w:before="120"/>
        <w:rPr>
          <w:rFonts w:ascii="Cambria" w:hAnsi="Cambria" w:cs="Arial"/>
          <w:b/>
        </w:rPr>
      </w:pPr>
      <w:r w:rsidRPr="009A0DA6">
        <w:rPr>
          <w:rFonts w:ascii="Cambria" w:hAnsi="Cambria" w:cs="Arial"/>
          <w:b/>
        </w:rPr>
        <w:t>Church Worker Support Department</w:t>
      </w:r>
      <w:r w:rsidRPr="009A0DA6">
        <w:rPr>
          <w:rFonts w:ascii="Cambria" w:hAnsi="Cambria" w:cs="Arial"/>
        </w:rPr>
        <w:t xml:space="preserve"> will be asked to consider how LCA HR policies and practices recognise and show sensitivity to the issue, and submit proposed changes to GCC for approval.</w:t>
      </w:r>
    </w:p>
    <w:p w14:paraId="0ECF57FB" w14:textId="77777777" w:rsidR="00F631B1" w:rsidRPr="009A0DA6" w:rsidRDefault="00F631B1" w:rsidP="00F631B1">
      <w:pPr>
        <w:spacing w:before="120"/>
        <w:rPr>
          <w:rFonts w:ascii="Cambria" w:hAnsi="Cambria" w:cs="Arial"/>
          <w:b/>
        </w:rPr>
      </w:pPr>
      <w:r w:rsidRPr="009A0DA6">
        <w:rPr>
          <w:rFonts w:ascii="Cambria" w:hAnsi="Cambria" w:cs="Arial"/>
          <w:b/>
        </w:rPr>
        <w:t>Commission on Worship</w:t>
      </w:r>
      <w:r w:rsidRPr="009A0DA6">
        <w:rPr>
          <w:rFonts w:ascii="Cambria" w:hAnsi="Cambria" w:cs="Arial"/>
        </w:rPr>
        <w:t xml:space="preserve"> will be approached to develop and provide resources that are pertinent to those affected by domestic and family violence.</w:t>
      </w:r>
    </w:p>
    <w:p w14:paraId="436F037D" w14:textId="77777777" w:rsidR="00F631B1" w:rsidRPr="009A0DA6" w:rsidRDefault="00F631B1" w:rsidP="00202891">
      <w:pPr>
        <w:spacing w:after="0" w:line="240" w:lineRule="auto"/>
        <w:rPr>
          <w:rFonts w:ascii="Cambria" w:hAnsi="Cambria" w:cs="Arial"/>
        </w:rPr>
      </w:pPr>
      <w:r w:rsidRPr="009A0DA6">
        <w:rPr>
          <w:rFonts w:ascii="Cambria" w:hAnsi="Cambria" w:cs="Arial"/>
          <w:b/>
        </w:rPr>
        <w:t>Australian Lutheran College</w:t>
      </w:r>
      <w:r w:rsidRPr="009A0DA6">
        <w:rPr>
          <w:rFonts w:ascii="Cambria" w:hAnsi="Cambria" w:cs="Arial"/>
        </w:rPr>
        <w:t xml:space="preserve"> is considered a key partner in the following ways:</w:t>
      </w:r>
    </w:p>
    <w:p w14:paraId="14E59AF2" w14:textId="77777777" w:rsidR="00F631B1" w:rsidRPr="009A0DA6" w:rsidRDefault="00F631B1" w:rsidP="00202891">
      <w:pPr>
        <w:spacing w:after="0" w:line="240" w:lineRule="auto"/>
        <w:rPr>
          <w:rFonts w:ascii="Cambria" w:hAnsi="Cambria" w:cs="Arial"/>
        </w:rPr>
      </w:pPr>
      <w:r w:rsidRPr="009A0DA6">
        <w:rPr>
          <w:rFonts w:ascii="Cambria" w:hAnsi="Cambria" w:cs="Arial"/>
          <w:i/>
        </w:rPr>
        <w:t>Pastoral training:</w:t>
      </w:r>
      <w:r w:rsidRPr="009A0DA6">
        <w:rPr>
          <w:rFonts w:ascii="Cambria" w:hAnsi="Cambria" w:cs="Arial"/>
        </w:rPr>
        <w:t xml:space="preserve"> ensuring pastoral students are sensitised to the domestic violence issues they are likely to face during their ministry</w:t>
      </w:r>
    </w:p>
    <w:p w14:paraId="4775E2CC" w14:textId="77777777" w:rsidR="00F631B1" w:rsidRPr="009A0DA6" w:rsidRDefault="00F631B1" w:rsidP="00EB6C06">
      <w:pPr>
        <w:spacing w:after="0"/>
        <w:rPr>
          <w:rFonts w:ascii="Cambria" w:hAnsi="Cambria" w:cs="Arial"/>
        </w:rPr>
      </w:pPr>
      <w:r w:rsidRPr="009A0DA6">
        <w:rPr>
          <w:rFonts w:ascii="Cambria" w:hAnsi="Cambria" w:cs="Arial"/>
          <w:i/>
        </w:rPr>
        <w:lastRenderedPageBreak/>
        <w:t>Grassroots</w:t>
      </w:r>
      <w:r w:rsidRPr="009A0DA6">
        <w:rPr>
          <w:rFonts w:ascii="Cambria" w:hAnsi="Cambria" w:cs="Arial"/>
        </w:rPr>
        <w:t>: to assist in the development and delivery of training: either integrated into their existing training programs and/or as specific training (delivered face to face or in an on-line environment)</w:t>
      </w:r>
    </w:p>
    <w:p w14:paraId="108A7E62" w14:textId="77777777" w:rsidR="00F631B1" w:rsidRPr="009A0DA6" w:rsidRDefault="00F631B1" w:rsidP="00EB6C06">
      <w:pPr>
        <w:spacing w:after="0"/>
        <w:rPr>
          <w:rFonts w:ascii="Cambria" w:hAnsi="Cambria" w:cs="Arial"/>
        </w:rPr>
      </w:pPr>
      <w:r w:rsidRPr="009A0DA6">
        <w:rPr>
          <w:rFonts w:ascii="Cambria" w:hAnsi="Cambria" w:cs="Arial"/>
          <w:i/>
        </w:rPr>
        <w:t xml:space="preserve">ALITE: </w:t>
      </w:r>
      <w:r w:rsidRPr="009A0DA6">
        <w:rPr>
          <w:rFonts w:ascii="Cambria" w:hAnsi="Cambria" w:cs="Arial"/>
        </w:rPr>
        <w:t xml:space="preserve">Possible engagement to undertake action/reflection research over the course of the campaign to better understand this issue within the LCA and the impact on its people. </w:t>
      </w:r>
    </w:p>
    <w:p w14:paraId="2C1F3A03" w14:textId="77777777" w:rsidR="00F631B1" w:rsidRPr="009A0DA6" w:rsidRDefault="00F631B1" w:rsidP="00F631B1">
      <w:pPr>
        <w:spacing w:before="120"/>
        <w:rPr>
          <w:rFonts w:ascii="Cambria" w:hAnsi="Cambria" w:cs="Arial"/>
        </w:rPr>
      </w:pPr>
      <w:r w:rsidRPr="009A0DA6">
        <w:rPr>
          <w:rFonts w:ascii="Cambria" w:hAnsi="Cambria" w:cs="Arial"/>
          <w:b/>
        </w:rPr>
        <w:t>Aged Care services</w:t>
      </w:r>
      <w:r w:rsidRPr="009A0DA6">
        <w:rPr>
          <w:rFonts w:ascii="Cambria" w:hAnsi="Cambria" w:cs="Arial"/>
        </w:rPr>
        <w:t xml:space="preserve"> will continue to provide information and training about elder abuse as well as about family and domestic violence. They will comply with their legislated requirements to report such elder abuse.</w:t>
      </w:r>
    </w:p>
    <w:p w14:paraId="450158B6" w14:textId="77777777" w:rsidR="00F631B1" w:rsidRPr="009A0DA6" w:rsidRDefault="00F631B1" w:rsidP="00F631B1">
      <w:pPr>
        <w:spacing w:before="120"/>
        <w:rPr>
          <w:rFonts w:ascii="Cambria" w:hAnsi="Cambria" w:cs="Arial"/>
        </w:rPr>
      </w:pPr>
      <w:r w:rsidRPr="009A0DA6">
        <w:rPr>
          <w:rFonts w:ascii="Cambria" w:hAnsi="Cambria" w:cs="Arial"/>
          <w:b/>
        </w:rPr>
        <w:t xml:space="preserve">Districts: </w:t>
      </w:r>
      <w:r w:rsidRPr="009A0DA6">
        <w:rPr>
          <w:rFonts w:ascii="Cambria" w:hAnsi="Cambria" w:cs="Arial"/>
        </w:rPr>
        <w:t>With the encouragement and oversight of the Bishop, districts will sponsor, promote and support the campaign.</w:t>
      </w:r>
    </w:p>
    <w:p w14:paraId="5FB50CDD" w14:textId="77777777" w:rsidR="00F631B1" w:rsidRPr="009A0DA6" w:rsidRDefault="00F631B1" w:rsidP="00F631B1">
      <w:pPr>
        <w:rPr>
          <w:rFonts w:ascii="Cambria" w:hAnsi="Cambria" w:cs="Arial"/>
        </w:rPr>
      </w:pPr>
      <w:r w:rsidRPr="009A0DA6">
        <w:rPr>
          <w:rFonts w:ascii="Cambria" w:hAnsi="Cambria" w:cs="Arial"/>
          <w:b/>
        </w:rPr>
        <w:t xml:space="preserve">Congregations/Parishes: </w:t>
      </w:r>
      <w:r w:rsidRPr="009A0DA6">
        <w:rPr>
          <w:rFonts w:ascii="Cambria" w:hAnsi="Cambria" w:cs="Arial"/>
        </w:rPr>
        <w:t>there are many congregations that have promoted and supported their members participation in the campaign.</w:t>
      </w:r>
    </w:p>
    <w:p w14:paraId="3FBB76D1" w14:textId="399C4970" w:rsidR="00F631B1" w:rsidRDefault="00F631B1" w:rsidP="00F631B1">
      <w:pPr>
        <w:pStyle w:val="NoSpacing"/>
        <w:rPr>
          <w:sz w:val="6"/>
        </w:rPr>
      </w:pPr>
    </w:p>
    <w:p w14:paraId="3BBA2B6C" w14:textId="7020B0FD" w:rsidR="00202891" w:rsidRDefault="00202891" w:rsidP="00F631B1">
      <w:pPr>
        <w:pStyle w:val="NoSpacing"/>
        <w:rPr>
          <w:sz w:val="6"/>
        </w:rPr>
      </w:pPr>
    </w:p>
    <w:p w14:paraId="3132C330" w14:textId="0376C3DC" w:rsidR="00202891" w:rsidRDefault="00202891" w:rsidP="00F631B1">
      <w:pPr>
        <w:pStyle w:val="NoSpacing"/>
        <w:rPr>
          <w:sz w:val="6"/>
        </w:rPr>
      </w:pPr>
    </w:p>
    <w:p w14:paraId="7E4483F8" w14:textId="2587B203" w:rsidR="00202891" w:rsidRDefault="00202891" w:rsidP="00F631B1">
      <w:pPr>
        <w:pStyle w:val="NoSpacing"/>
        <w:rPr>
          <w:sz w:val="6"/>
        </w:rPr>
      </w:pPr>
    </w:p>
    <w:p w14:paraId="61C4ECBD" w14:textId="5ABAEBB8" w:rsidR="00202891" w:rsidRDefault="00202891" w:rsidP="00F631B1">
      <w:pPr>
        <w:pStyle w:val="NoSpacing"/>
        <w:rPr>
          <w:sz w:val="6"/>
        </w:rPr>
      </w:pPr>
    </w:p>
    <w:p w14:paraId="4FF1E29C" w14:textId="77777777" w:rsidR="00202891" w:rsidRDefault="00202891" w:rsidP="00F631B1">
      <w:pPr>
        <w:pStyle w:val="NoSpacing"/>
        <w:rPr>
          <w:sz w:val="6"/>
        </w:rPr>
      </w:pPr>
    </w:p>
    <w:p w14:paraId="315D023C" w14:textId="582B86C5" w:rsidR="00EB6C06" w:rsidRDefault="00EB6C06" w:rsidP="00F631B1">
      <w:pPr>
        <w:pStyle w:val="NoSpacing"/>
        <w:rPr>
          <w:sz w:val="6"/>
        </w:rPr>
      </w:pPr>
    </w:p>
    <w:p w14:paraId="18DE1EA4" w14:textId="1C4A42B6" w:rsidR="00EB6C06" w:rsidRDefault="00EB6C06" w:rsidP="00F631B1">
      <w:pPr>
        <w:pStyle w:val="NoSpacing"/>
        <w:rPr>
          <w:sz w:val="6"/>
        </w:rPr>
      </w:pPr>
    </w:p>
    <w:p w14:paraId="67EDFE61" w14:textId="3044CD45" w:rsidR="00EB6C06" w:rsidRDefault="00EB6C06" w:rsidP="00F631B1">
      <w:pPr>
        <w:pStyle w:val="NoSpacing"/>
        <w:rPr>
          <w:sz w:val="6"/>
        </w:rPr>
      </w:pPr>
    </w:p>
    <w:p w14:paraId="5A839779" w14:textId="0556DAC5" w:rsidR="00EB6C06" w:rsidRDefault="00EB6C06" w:rsidP="00F631B1">
      <w:pPr>
        <w:pStyle w:val="NoSpacing"/>
        <w:rPr>
          <w:sz w:val="6"/>
        </w:rPr>
      </w:pPr>
    </w:p>
    <w:p w14:paraId="38DF4DB0" w14:textId="3FD93BCE" w:rsidR="00EB6C06" w:rsidRPr="009A0DA6" w:rsidRDefault="00EB6C06" w:rsidP="00F631B1">
      <w:pPr>
        <w:pStyle w:val="NoSpacing"/>
        <w:rPr>
          <w:sz w:val="6"/>
        </w:rPr>
      </w:pPr>
    </w:p>
    <w:p w14:paraId="023EBD61" w14:textId="77777777" w:rsidR="00F631B1" w:rsidRPr="009A0DA6" w:rsidRDefault="00F631B1" w:rsidP="00F631B1">
      <w:pPr>
        <w:pStyle w:val="Heading2"/>
      </w:pPr>
      <w:bookmarkStart w:id="34" w:name="_Toc521954594"/>
      <w:bookmarkStart w:id="35" w:name="_Toc522394960"/>
      <w:r w:rsidRPr="009A0DA6">
        <w:t>Appendix I: Review of the LCA pastor call system</w:t>
      </w:r>
      <w:bookmarkEnd w:id="34"/>
      <w:bookmarkEnd w:id="35"/>
    </w:p>
    <w:p w14:paraId="3BF3EE1B" w14:textId="77777777" w:rsidR="00F631B1" w:rsidRPr="009A0DA6" w:rsidRDefault="00F631B1" w:rsidP="00F631B1">
      <w:pPr>
        <w:pStyle w:val="NoSpacing"/>
      </w:pPr>
    </w:p>
    <w:p w14:paraId="180260AC" w14:textId="77777777" w:rsidR="00F631B1" w:rsidRPr="009A0DA6" w:rsidRDefault="00F631B1" w:rsidP="00F631B1">
      <w:pPr>
        <w:pStyle w:val="Heading3"/>
        <w:ind w:left="720" w:hanging="720"/>
      </w:pPr>
      <w:r w:rsidRPr="009A0DA6">
        <w:t>Introduction</w:t>
      </w:r>
    </w:p>
    <w:p w14:paraId="2E436F51" w14:textId="77777777" w:rsidR="00F631B1" w:rsidRPr="009A0DA6" w:rsidRDefault="00F631B1" w:rsidP="00EB6C06">
      <w:pPr>
        <w:spacing w:after="0"/>
        <w:rPr>
          <w:rFonts w:ascii="Cambria" w:hAnsi="Cambria" w:cstheme="majorHAnsi"/>
        </w:rPr>
      </w:pPr>
      <w:r w:rsidRPr="009A0DA6">
        <w:rPr>
          <w:rFonts w:ascii="Cambria" w:hAnsi="Cambria" w:cstheme="majorHAnsi"/>
        </w:rPr>
        <w:t xml:space="preserve">The Review of the Call System was initiated by Resolution 151209 of the 2015 LCA General Convention of Synod: </w:t>
      </w:r>
    </w:p>
    <w:p w14:paraId="6C123F2E" w14:textId="77777777" w:rsidR="00F631B1" w:rsidRPr="00EB6C06" w:rsidRDefault="00F631B1" w:rsidP="00EB6C06">
      <w:pPr>
        <w:spacing w:after="0"/>
        <w:ind w:left="567"/>
        <w:rPr>
          <w:rFonts w:ascii="Cambria" w:hAnsi="Cambria" w:cstheme="majorHAnsi"/>
          <w:sz w:val="20"/>
        </w:rPr>
      </w:pPr>
      <w:r w:rsidRPr="00EB6C06">
        <w:rPr>
          <w:rFonts w:ascii="Cambria" w:hAnsi="Cambria" w:cstheme="majorHAnsi"/>
          <w:sz w:val="20"/>
        </w:rPr>
        <w:t>RESOLVED that the General Convention support the conduct of a review of the LCA call process which will:</w:t>
      </w:r>
    </w:p>
    <w:p w14:paraId="130EAFDD" w14:textId="77777777" w:rsidR="00F631B1" w:rsidRPr="00EB6C06" w:rsidRDefault="00F631B1" w:rsidP="00F55252">
      <w:pPr>
        <w:numPr>
          <w:ilvl w:val="0"/>
          <w:numId w:val="68"/>
        </w:numPr>
        <w:spacing w:after="0" w:line="240" w:lineRule="auto"/>
        <w:ind w:left="1134" w:hanging="567"/>
        <w:contextualSpacing/>
        <w:rPr>
          <w:rFonts w:ascii="Cambria" w:hAnsi="Cambria" w:cstheme="majorHAnsi"/>
          <w:sz w:val="20"/>
        </w:rPr>
      </w:pPr>
      <w:r w:rsidRPr="00EB6C06">
        <w:rPr>
          <w:rFonts w:ascii="Cambria" w:hAnsi="Cambria" w:cstheme="majorHAnsi"/>
          <w:sz w:val="20"/>
        </w:rPr>
        <w:t>Identify and examine potential new models for filling pastoral vacancies in congregations with a view to increasing efficiency, transparency and inclusion; and</w:t>
      </w:r>
    </w:p>
    <w:p w14:paraId="357D7758" w14:textId="77777777" w:rsidR="00F631B1" w:rsidRPr="00EB6C06" w:rsidRDefault="00F631B1" w:rsidP="00F55252">
      <w:pPr>
        <w:numPr>
          <w:ilvl w:val="0"/>
          <w:numId w:val="68"/>
        </w:numPr>
        <w:spacing w:after="0" w:line="240" w:lineRule="auto"/>
        <w:ind w:left="1134" w:hanging="567"/>
        <w:contextualSpacing/>
        <w:rPr>
          <w:rFonts w:ascii="Cambria" w:hAnsi="Cambria" w:cstheme="majorHAnsi"/>
          <w:sz w:val="20"/>
        </w:rPr>
      </w:pPr>
      <w:r w:rsidRPr="00EB6C06">
        <w:rPr>
          <w:rFonts w:ascii="Cambria" w:hAnsi="Cambria" w:cstheme="majorHAnsi"/>
          <w:sz w:val="20"/>
        </w:rPr>
        <w:t>Include facilitated conversations with congregations as part of the research process</w:t>
      </w:r>
    </w:p>
    <w:p w14:paraId="29583E71" w14:textId="77777777" w:rsidR="00F631B1" w:rsidRPr="00EB6C06" w:rsidRDefault="00F631B1" w:rsidP="00EB6C06">
      <w:pPr>
        <w:spacing w:after="0"/>
        <w:ind w:left="567"/>
        <w:rPr>
          <w:rFonts w:ascii="Cambria" w:eastAsiaTheme="minorEastAsia" w:hAnsi="Cambria" w:cstheme="majorHAnsi"/>
          <w:sz w:val="20"/>
          <w:lang w:eastAsia="ja-JP"/>
        </w:rPr>
      </w:pPr>
      <w:r w:rsidRPr="00EB6C06">
        <w:rPr>
          <w:rFonts w:ascii="Cambria" w:hAnsi="Cambria" w:cstheme="majorHAnsi"/>
          <w:sz w:val="20"/>
        </w:rPr>
        <w:t>Outcome: a detailed report of the findings to be delivered to GCC and CoB, which includes recommendations that can be taken by GCC to the 2018 General Convention of Synod.</w:t>
      </w:r>
    </w:p>
    <w:p w14:paraId="396035DD" w14:textId="77777777" w:rsidR="00F631B1" w:rsidRPr="009A0DA6" w:rsidRDefault="00F631B1" w:rsidP="00F631B1">
      <w:pPr>
        <w:rPr>
          <w:rFonts w:ascii="Cambria" w:hAnsi="Cambria" w:cstheme="majorHAnsi"/>
        </w:rPr>
      </w:pPr>
      <w:r w:rsidRPr="009A0DA6">
        <w:rPr>
          <w:rFonts w:ascii="Cambria" w:hAnsi="Cambria" w:cstheme="majorHAnsi"/>
        </w:rPr>
        <w:t>The General Church Council (GCC) responded to the Synod resolution by engaging Australian Lutheran Institute for Theology and Ethics (ALITE) at Australian Lutheran College (ALC). The principle reviewer was Prof. Wendy Mayer, Associate Dean for Research. The NSW District provided a generous grant to cover the cost of the review.</w:t>
      </w:r>
    </w:p>
    <w:p w14:paraId="3AFF3DB2" w14:textId="0BD813D3" w:rsidR="00F631B1" w:rsidRPr="009A0DA6" w:rsidRDefault="00F631B1" w:rsidP="00EB6C06">
      <w:pPr>
        <w:spacing w:after="0"/>
        <w:rPr>
          <w:rFonts w:ascii="Cambria" w:hAnsi="Cambria" w:cstheme="majorHAnsi"/>
        </w:rPr>
      </w:pPr>
      <w:r w:rsidRPr="009A0DA6">
        <w:rPr>
          <w:rFonts w:ascii="Cambria" w:hAnsi="Cambria" w:cstheme="majorHAnsi"/>
        </w:rPr>
        <w:t xml:space="preserve">The review composed three parts. </w:t>
      </w:r>
    </w:p>
    <w:p w14:paraId="6CEEAA68" w14:textId="77777777" w:rsidR="00F631B1" w:rsidRPr="009A0DA6" w:rsidRDefault="00F631B1" w:rsidP="00F55252">
      <w:pPr>
        <w:pStyle w:val="ListParagraph"/>
        <w:numPr>
          <w:ilvl w:val="0"/>
          <w:numId w:val="69"/>
        </w:numPr>
        <w:autoSpaceDE w:val="0"/>
        <w:autoSpaceDN w:val="0"/>
        <w:adjustRightInd w:val="0"/>
        <w:spacing w:after="0" w:line="240" w:lineRule="auto"/>
        <w:ind w:left="567" w:hanging="567"/>
        <w:rPr>
          <w:rFonts w:ascii="Cambria" w:hAnsi="Cambria" w:cstheme="majorHAnsi"/>
          <w:i/>
        </w:rPr>
      </w:pPr>
      <w:r w:rsidRPr="009A0DA6">
        <w:rPr>
          <w:rFonts w:ascii="Cambria" w:hAnsi="Cambria" w:cstheme="majorHAnsi"/>
        </w:rPr>
        <w:t>Assessment of Call Process models in other comparable Lutheran churches around the world and in other denominations in Australia.</w:t>
      </w:r>
    </w:p>
    <w:p w14:paraId="1B0C4255" w14:textId="77777777" w:rsidR="00F631B1" w:rsidRPr="009A0DA6" w:rsidRDefault="00F631B1" w:rsidP="00F55252">
      <w:pPr>
        <w:pStyle w:val="ListParagraph"/>
        <w:numPr>
          <w:ilvl w:val="0"/>
          <w:numId w:val="69"/>
        </w:numPr>
        <w:autoSpaceDE w:val="0"/>
        <w:autoSpaceDN w:val="0"/>
        <w:adjustRightInd w:val="0"/>
        <w:spacing w:after="120" w:line="240" w:lineRule="auto"/>
        <w:ind w:left="567" w:hanging="567"/>
        <w:rPr>
          <w:rFonts w:ascii="Cambria" w:hAnsi="Cambria" w:cstheme="majorHAnsi"/>
          <w:i/>
        </w:rPr>
      </w:pPr>
      <w:r w:rsidRPr="009A0DA6">
        <w:rPr>
          <w:rFonts w:ascii="Cambria" w:hAnsi="Cambria" w:cstheme="majorHAnsi"/>
        </w:rPr>
        <w:t>A national online survey of congregations (conducted between 30 November 2017 and 19 February 2018. 115 congregations responded).</w:t>
      </w:r>
    </w:p>
    <w:p w14:paraId="405975BE" w14:textId="77777777" w:rsidR="00F631B1" w:rsidRPr="009A0DA6" w:rsidRDefault="00F631B1" w:rsidP="00F55252">
      <w:pPr>
        <w:pStyle w:val="ListParagraph"/>
        <w:numPr>
          <w:ilvl w:val="0"/>
          <w:numId w:val="69"/>
        </w:numPr>
        <w:autoSpaceDE w:val="0"/>
        <w:autoSpaceDN w:val="0"/>
        <w:adjustRightInd w:val="0"/>
        <w:spacing w:after="0" w:line="240" w:lineRule="auto"/>
        <w:ind w:left="567" w:hanging="567"/>
        <w:rPr>
          <w:rFonts w:ascii="Cambria" w:hAnsi="Cambria" w:cstheme="majorHAnsi"/>
          <w:i/>
        </w:rPr>
      </w:pPr>
      <w:r w:rsidRPr="009A0DA6">
        <w:rPr>
          <w:rFonts w:ascii="Cambria" w:hAnsi="Cambria" w:cstheme="majorHAnsi"/>
        </w:rPr>
        <w:t>In person interviews with current and recently retired District Bishops, Directors of Mission, and the Chair of the Vic/Tas District Lay Call Committee (11 interviews were conducted between 22 January and 22 February 2018).</w:t>
      </w:r>
    </w:p>
    <w:p w14:paraId="4306E313" w14:textId="77777777" w:rsidR="00F631B1" w:rsidRPr="009A0DA6" w:rsidRDefault="00F631B1" w:rsidP="00F631B1">
      <w:pPr>
        <w:pStyle w:val="NoSpacing"/>
      </w:pPr>
    </w:p>
    <w:p w14:paraId="7A421CB3" w14:textId="77777777" w:rsidR="00F631B1" w:rsidRPr="009A0DA6" w:rsidRDefault="00F631B1" w:rsidP="00F631B1">
      <w:pPr>
        <w:pStyle w:val="Heading3"/>
        <w:ind w:left="720" w:hanging="720"/>
      </w:pPr>
      <w:r w:rsidRPr="009A0DA6">
        <w:t xml:space="preserve">General conclusions </w:t>
      </w:r>
    </w:p>
    <w:p w14:paraId="55540632" w14:textId="77777777" w:rsidR="00F631B1" w:rsidRPr="009A0DA6" w:rsidRDefault="00F631B1" w:rsidP="00F631B1">
      <w:pPr>
        <w:pStyle w:val="Default"/>
        <w:rPr>
          <w:rFonts w:ascii="Cambria" w:hAnsi="Cambria"/>
          <w:sz w:val="22"/>
          <w:szCs w:val="22"/>
        </w:rPr>
      </w:pPr>
      <w:r w:rsidRPr="009A0DA6">
        <w:rPr>
          <w:rFonts w:ascii="Cambria" w:hAnsi="Cambria"/>
          <w:sz w:val="22"/>
          <w:szCs w:val="22"/>
        </w:rPr>
        <w:t>The GCC received the final report of the Review of the Call System slightly too late for inclusion in the Synod Book of reports. Some of its main conclusions are:</w:t>
      </w:r>
      <w:r w:rsidRPr="009A0DA6">
        <w:rPr>
          <w:rFonts w:ascii="Cambria" w:hAnsi="Cambria"/>
          <w:sz w:val="22"/>
          <w:szCs w:val="22"/>
        </w:rPr>
        <w:br/>
      </w:r>
    </w:p>
    <w:p w14:paraId="137EA015" w14:textId="77777777" w:rsidR="00F631B1" w:rsidRPr="009A0DA6" w:rsidRDefault="00F631B1" w:rsidP="00F55252">
      <w:pPr>
        <w:pStyle w:val="Default"/>
        <w:numPr>
          <w:ilvl w:val="0"/>
          <w:numId w:val="70"/>
        </w:numPr>
        <w:ind w:left="567" w:hanging="567"/>
        <w:rPr>
          <w:rFonts w:ascii="Cambria" w:hAnsi="Cambria" w:cstheme="minorHAnsi"/>
          <w:sz w:val="22"/>
          <w:szCs w:val="22"/>
        </w:rPr>
      </w:pPr>
      <w:r w:rsidRPr="009A0DA6">
        <w:rPr>
          <w:rFonts w:ascii="Cambria" w:hAnsi="Cambria" w:cstheme="minorHAnsi"/>
          <w:sz w:val="22"/>
          <w:szCs w:val="22"/>
        </w:rPr>
        <w:t xml:space="preserve">The LCA Call Process is at present under some stress. This is due to three main factors: </w:t>
      </w:r>
    </w:p>
    <w:p w14:paraId="7BCFF907" w14:textId="77777777" w:rsidR="00F631B1" w:rsidRPr="009A0DA6" w:rsidRDefault="00F631B1" w:rsidP="00F55252">
      <w:pPr>
        <w:pStyle w:val="Default"/>
        <w:numPr>
          <w:ilvl w:val="0"/>
          <w:numId w:val="71"/>
        </w:numPr>
        <w:ind w:left="1134" w:hanging="567"/>
        <w:rPr>
          <w:rFonts w:ascii="Cambria" w:hAnsi="Cambria"/>
          <w:sz w:val="22"/>
          <w:szCs w:val="22"/>
        </w:rPr>
      </w:pPr>
      <w:r w:rsidRPr="009A0DA6">
        <w:rPr>
          <w:rFonts w:ascii="Cambria" w:hAnsi="Cambria" w:cstheme="minorHAnsi"/>
          <w:sz w:val="22"/>
          <w:szCs w:val="22"/>
        </w:rPr>
        <w:t>the declining mobility of pastors</w:t>
      </w:r>
    </w:p>
    <w:p w14:paraId="7491729B" w14:textId="77777777" w:rsidR="00F631B1" w:rsidRPr="009A0DA6" w:rsidRDefault="00F631B1" w:rsidP="00F55252">
      <w:pPr>
        <w:pStyle w:val="Default"/>
        <w:numPr>
          <w:ilvl w:val="0"/>
          <w:numId w:val="71"/>
        </w:numPr>
        <w:ind w:left="1134" w:hanging="567"/>
        <w:rPr>
          <w:rFonts w:ascii="Cambria" w:hAnsi="Cambria"/>
          <w:sz w:val="22"/>
          <w:szCs w:val="22"/>
        </w:rPr>
      </w:pPr>
      <w:r w:rsidRPr="009A0DA6">
        <w:rPr>
          <w:rFonts w:ascii="Cambria" w:hAnsi="Cambria" w:cstheme="minorHAnsi"/>
          <w:sz w:val="22"/>
          <w:szCs w:val="22"/>
        </w:rPr>
        <w:t xml:space="preserve">a small shortfall in the current supply of pastors; and </w:t>
      </w:r>
    </w:p>
    <w:p w14:paraId="0AE6A843" w14:textId="77777777" w:rsidR="00F631B1" w:rsidRPr="009A0DA6" w:rsidRDefault="00F631B1" w:rsidP="00F55252">
      <w:pPr>
        <w:pStyle w:val="Default"/>
        <w:numPr>
          <w:ilvl w:val="0"/>
          <w:numId w:val="71"/>
        </w:numPr>
        <w:ind w:left="1134" w:hanging="567"/>
        <w:rPr>
          <w:rFonts w:ascii="Cambria" w:hAnsi="Cambria"/>
          <w:sz w:val="22"/>
          <w:szCs w:val="22"/>
        </w:rPr>
      </w:pPr>
      <w:r w:rsidRPr="009A0DA6">
        <w:rPr>
          <w:rFonts w:ascii="Cambria" w:hAnsi="Cambria" w:cstheme="minorHAnsi"/>
          <w:sz w:val="22"/>
          <w:szCs w:val="22"/>
        </w:rPr>
        <w:t xml:space="preserve">the skill set of the pastors currently available relative to the needs of parishes. </w:t>
      </w:r>
    </w:p>
    <w:p w14:paraId="4DD1C0DF" w14:textId="77777777" w:rsidR="00F631B1" w:rsidRPr="009A0DA6" w:rsidRDefault="00F631B1" w:rsidP="00F631B1">
      <w:pPr>
        <w:pStyle w:val="Default"/>
        <w:ind w:left="567"/>
        <w:rPr>
          <w:rFonts w:ascii="Cambria" w:hAnsi="Cambria"/>
          <w:sz w:val="10"/>
          <w:szCs w:val="22"/>
        </w:rPr>
      </w:pPr>
      <w:r w:rsidRPr="009A0DA6">
        <w:rPr>
          <w:rFonts w:ascii="Cambria" w:hAnsi="Cambria" w:cstheme="minorHAnsi"/>
          <w:sz w:val="22"/>
          <w:szCs w:val="22"/>
        </w:rPr>
        <w:lastRenderedPageBreak/>
        <w:t>An additional factor</w:t>
      </w:r>
      <w:r w:rsidRPr="009A0DA6">
        <w:rPr>
          <w:rFonts w:ascii="Cambria" w:hAnsi="Cambria"/>
          <w:sz w:val="22"/>
          <w:szCs w:val="22"/>
        </w:rPr>
        <w:t xml:space="preserve"> pertaining to the Call Process itself continues to be transparency.</w:t>
      </w:r>
      <w:r w:rsidRPr="009A0DA6">
        <w:rPr>
          <w:rFonts w:ascii="Cambria" w:hAnsi="Cambria"/>
          <w:sz w:val="22"/>
          <w:szCs w:val="22"/>
        </w:rPr>
        <w:br/>
        <w:t xml:space="preserve">A possible minor factor is the timeliness of the Call Process. </w:t>
      </w:r>
      <w:r w:rsidRPr="009A0DA6">
        <w:rPr>
          <w:rFonts w:ascii="Cambria" w:hAnsi="Cambria"/>
          <w:sz w:val="22"/>
          <w:szCs w:val="22"/>
        </w:rPr>
        <w:br/>
      </w:r>
    </w:p>
    <w:p w14:paraId="02E0FD23" w14:textId="77777777" w:rsidR="00F631B1" w:rsidRPr="009A0DA6" w:rsidRDefault="00F631B1" w:rsidP="00F55252">
      <w:pPr>
        <w:pStyle w:val="Default"/>
        <w:numPr>
          <w:ilvl w:val="0"/>
          <w:numId w:val="70"/>
        </w:numPr>
        <w:ind w:left="567" w:hanging="567"/>
        <w:rPr>
          <w:rFonts w:ascii="Cambria" w:hAnsi="Cambria"/>
          <w:sz w:val="10"/>
          <w:szCs w:val="22"/>
        </w:rPr>
      </w:pPr>
      <w:r w:rsidRPr="009A0DA6">
        <w:rPr>
          <w:rFonts w:ascii="Cambria" w:hAnsi="Cambria"/>
          <w:sz w:val="22"/>
          <w:szCs w:val="22"/>
        </w:rPr>
        <w:t xml:space="preserve">Parishes on the whole believe that the Call Process is inadequate but could be improved (rather than replaced). The deepest level of frustration for parishes pertains to transparency and timing: the status of pastor profiles, the delay in receipt of negative responses by pastors to an issued Call, and the real status of pastors in relation to availability for Call. </w:t>
      </w:r>
      <w:r w:rsidRPr="009A0DA6">
        <w:rPr>
          <w:rFonts w:ascii="Cambria" w:hAnsi="Cambria"/>
          <w:sz w:val="22"/>
          <w:szCs w:val="22"/>
        </w:rPr>
        <w:br/>
      </w:r>
    </w:p>
    <w:p w14:paraId="0C5BDE31" w14:textId="77777777" w:rsidR="00F631B1" w:rsidRPr="009A0DA6" w:rsidRDefault="00F631B1" w:rsidP="00F55252">
      <w:pPr>
        <w:pStyle w:val="Default"/>
        <w:numPr>
          <w:ilvl w:val="0"/>
          <w:numId w:val="70"/>
        </w:numPr>
        <w:ind w:left="567" w:hanging="567"/>
        <w:rPr>
          <w:rFonts w:ascii="Cambria" w:hAnsi="Cambria"/>
          <w:sz w:val="10"/>
          <w:szCs w:val="22"/>
        </w:rPr>
      </w:pPr>
      <w:r w:rsidRPr="009A0DA6">
        <w:rPr>
          <w:rFonts w:ascii="Cambria" w:hAnsi="Cambria"/>
          <w:sz w:val="22"/>
          <w:szCs w:val="22"/>
        </w:rPr>
        <w:t xml:space="preserve">Bishops and Directors of Mission generally report satisfaction with the current Call Process, but indicate that it could be improved. When pressed on this issue improvements related on the whole to the need to address the three impact factors listed above (mobility, supply, skill set relative to parish needs). </w:t>
      </w:r>
      <w:r w:rsidRPr="009A0DA6">
        <w:rPr>
          <w:rFonts w:ascii="Cambria" w:hAnsi="Cambria"/>
          <w:sz w:val="22"/>
          <w:szCs w:val="22"/>
        </w:rPr>
        <w:br/>
      </w:r>
    </w:p>
    <w:p w14:paraId="3B67B34D" w14:textId="77777777" w:rsidR="00F631B1" w:rsidRPr="009A0DA6" w:rsidRDefault="00F631B1" w:rsidP="00F55252">
      <w:pPr>
        <w:pStyle w:val="Default"/>
        <w:numPr>
          <w:ilvl w:val="0"/>
          <w:numId w:val="70"/>
        </w:numPr>
        <w:ind w:left="567" w:hanging="567"/>
        <w:rPr>
          <w:rFonts w:ascii="Cambria" w:hAnsi="Cambria"/>
          <w:color w:val="auto"/>
          <w:sz w:val="22"/>
          <w:szCs w:val="22"/>
        </w:rPr>
      </w:pPr>
      <w:r w:rsidRPr="009A0DA6">
        <w:rPr>
          <w:rFonts w:ascii="Cambria" w:hAnsi="Cambria"/>
          <w:color w:val="auto"/>
          <w:sz w:val="22"/>
          <w:szCs w:val="22"/>
        </w:rPr>
        <w:t xml:space="preserve">The Call Process of the LCA already allows for a variety of practices: an open call via the bishop for expressions of interest by pastors; bishops tapping a pastor in a current Call on the shoulder and asking them to consider a vacant parish that is challenging; parishes asking pastors available for Call whether there are reasons they would not consider a new Call (the opposite of the current standard question); having a dedicated group of lay volunteers doing the phoning around on behalf of parishes and maintaining a check list of who has been approached and who has indicated genuine interest in being in receipt of a new Call (current practice in the Vic/Tas District). </w:t>
      </w:r>
    </w:p>
    <w:p w14:paraId="145675F8" w14:textId="77777777" w:rsidR="00F631B1" w:rsidRPr="009A0DA6" w:rsidRDefault="00F631B1" w:rsidP="00F631B1">
      <w:pPr>
        <w:pStyle w:val="Default"/>
        <w:ind w:left="567"/>
        <w:rPr>
          <w:rFonts w:ascii="Cambria" w:hAnsi="Cambria"/>
          <w:color w:val="auto"/>
          <w:sz w:val="10"/>
          <w:szCs w:val="22"/>
        </w:rPr>
      </w:pPr>
    </w:p>
    <w:p w14:paraId="53F86FF4" w14:textId="77777777" w:rsidR="00F631B1" w:rsidRPr="009A0DA6" w:rsidRDefault="00F631B1" w:rsidP="00F55252">
      <w:pPr>
        <w:pStyle w:val="Default"/>
        <w:numPr>
          <w:ilvl w:val="0"/>
          <w:numId w:val="70"/>
        </w:numPr>
        <w:ind w:left="567" w:hanging="567"/>
        <w:rPr>
          <w:rFonts w:ascii="Cambria" w:hAnsi="Cambria"/>
          <w:color w:val="auto"/>
          <w:sz w:val="10"/>
          <w:szCs w:val="22"/>
        </w:rPr>
      </w:pPr>
      <w:r w:rsidRPr="009A0DA6">
        <w:rPr>
          <w:rFonts w:ascii="Cambria" w:hAnsi="Cambria"/>
          <w:color w:val="auto"/>
          <w:sz w:val="22"/>
          <w:szCs w:val="22"/>
        </w:rPr>
        <w:t xml:space="preserve">Neither parishes nor bishops and Directors of Mission are aware of the full range of variants available. A number of respondents to the survey reported that the outline of the Call Process provided with the Survey was the first time that they had gained a clear understanding of the Call Process. </w:t>
      </w:r>
      <w:r w:rsidRPr="009A0DA6">
        <w:rPr>
          <w:rFonts w:ascii="Cambria" w:hAnsi="Cambria"/>
          <w:color w:val="auto"/>
          <w:sz w:val="22"/>
          <w:szCs w:val="22"/>
        </w:rPr>
        <w:br/>
      </w:r>
    </w:p>
    <w:p w14:paraId="7CEBBAB4" w14:textId="77777777" w:rsidR="00F631B1" w:rsidRPr="009A0DA6" w:rsidRDefault="00F631B1" w:rsidP="00F55252">
      <w:pPr>
        <w:pStyle w:val="Default"/>
        <w:numPr>
          <w:ilvl w:val="0"/>
          <w:numId w:val="70"/>
        </w:numPr>
        <w:ind w:left="567" w:hanging="567"/>
        <w:rPr>
          <w:rFonts w:ascii="Cambria" w:hAnsi="Cambria"/>
          <w:color w:val="auto"/>
          <w:sz w:val="10"/>
          <w:szCs w:val="22"/>
        </w:rPr>
      </w:pPr>
      <w:r w:rsidRPr="009A0DA6">
        <w:rPr>
          <w:rFonts w:ascii="Cambria" w:hAnsi="Cambria"/>
          <w:color w:val="auto"/>
          <w:sz w:val="22"/>
          <w:szCs w:val="22"/>
        </w:rPr>
        <w:t xml:space="preserve">Expectation management is important for the Call Process to function well and for the reduction of levels of mistrust and frustration. </w:t>
      </w:r>
      <w:r w:rsidRPr="009A0DA6">
        <w:rPr>
          <w:rFonts w:ascii="Cambria" w:hAnsi="Cambria"/>
          <w:color w:val="auto"/>
          <w:sz w:val="22"/>
          <w:szCs w:val="22"/>
        </w:rPr>
        <w:br/>
      </w:r>
    </w:p>
    <w:p w14:paraId="7A668E23" w14:textId="77777777" w:rsidR="00F631B1" w:rsidRPr="009A0DA6" w:rsidRDefault="00F631B1" w:rsidP="00F55252">
      <w:pPr>
        <w:pStyle w:val="Default"/>
        <w:numPr>
          <w:ilvl w:val="0"/>
          <w:numId w:val="70"/>
        </w:numPr>
        <w:ind w:left="567" w:hanging="567"/>
        <w:rPr>
          <w:rFonts w:ascii="Cambria" w:hAnsi="Cambria"/>
          <w:color w:val="auto"/>
          <w:sz w:val="10"/>
          <w:szCs w:val="22"/>
        </w:rPr>
      </w:pPr>
      <w:r w:rsidRPr="009A0DA6">
        <w:rPr>
          <w:rFonts w:ascii="Cambria" w:hAnsi="Cambria"/>
          <w:color w:val="auto"/>
          <w:sz w:val="22"/>
          <w:szCs w:val="22"/>
        </w:rPr>
        <w:t xml:space="preserve">In regard to potential changes to the Call Process, there was overwhelming rejection by lay people, bishops and Directors of Mission to limiting the term of Call, even with the allowance for extension. There was also little enthusiasm for introducing formal interviews of shortlisted candidates or trial sermons prior to a Call meeting. </w:t>
      </w:r>
      <w:r w:rsidRPr="009A0DA6">
        <w:rPr>
          <w:rFonts w:ascii="Cambria" w:hAnsi="Cambria"/>
          <w:color w:val="auto"/>
          <w:sz w:val="22"/>
          <w:szCs w:val="22"/>
        </w:rPr>
        <w:br/>
      </w:r>
    </w:p>
    <w:p w14:paraId="4B67D391" w14:textId="77777777" w:rsidR="00F631B1" w:rsidRPr="009A0DA6" w:rsidRDefault="00F631B1" w:rsidP="00F55252">
      <w:pPr>
        <w:pStyle w:val="ListParagraph"/>
        <w:numPr>
          <w:ilvl w:val="0"/>
          <w:numId w:val="70"/>
        </w:numPr>
        <w:ind w:left="567" w:hanging="567"/>
        <w:rPr>
          <w:rFonts w:ascii="Cambria" w:hAnsi="Cambria" w:cstheme="minorHAnsi"/>
          <w:i/>
        </w:rPr>
      </w:pPr>
      <w:r w:rsidRPr="009A0DA6">
        <w:rPr>
          <w:rFonts w:ascii="Cambria" w:hAnsi="Cambria"/>
        </w:rPr>
        <w:t xml:space="preserve">The system itself as a whole suits current LCA ecclesiology and theology. </w:t>
      </w:r>
      <w:r w:rsidRPr="009A0DA6">
        <w:rPr>
          <w:rFonts w:ascii="Cambria" w:hAnsi="Cambria" w:cstheme="minorHAnsi"/>
        </w:rPr>
        <w:t>The results of the review do not call for substantive change to the Call Process. By substantive is meant major structural changes. Minor changes can and do need to be made to improve its efficiency.</w:t>
      </w:r>
    </w:p>
    <w:p w14:paraId="692C4F72" w14:textId="77777777" w:rsidR="00F631B1" w:rsidRPr="009A0DA6" w:rsidRDefault="00F631B1" w:rsidP="00EB6C06">
      <w:pPr>
        <w:pStyle w:val="Heading3"/>
      </w:pPr>
      <w:r w:rsidRPr="009A0DA6">
        <w:t xml:space="preserve">Next </w:t>
      </w:r>
      <w:r w:rsidRPr="00EB6C06">
        <w:t>steps</w:t>
      </w:r>
      <w:r w:rsidRPr="009A0DA6">
        <w:t xml:space="preserve"> </w:t>
      </w:r>
    </w:p>
    <w:p w14:paraId="63F0A639" w14:textId="761E46F2" w:rsidR="00F631B1" w:rsidRDefault="00F631B1" w:rsidP="00EB6C06">
      <w:pPr>
        <w:spacing w:after="0"/>
        <w:rPr>
          <w:rFonts w:ascii="Cambria" w:hAnsi="Cambria"/>
        </w:rPr>
      </w:pPr>
      <w:r w:rsidRPr="009A0DA6">
        <w:rPr>
          <w:rFonts w:ascii="Cambria" w:hAnsi="Cambria"/>
        </w:rPr>
        <w:t>The GCC will give further consideration to the report and release it to Synod delegates before the General Convention of Synod, along with its initial response to the report’s recommendations. The GCC believes that no synodical resolutions are required to enact the recommendations.</w:t>
      </w:r>
    </w:p>
    <w:p w14:paraId="72215672" w14:textId="77777777" w:rsidR="00EB6C06" w:rsidRDefault="00EB6C06">
      <w:pPr>
        <w:rPr>
          <w:rFonts w:ascii="Cambria" w:eastAsiaTheme="majorEastAsia" w:hAnsi="Cambria" w:cstheme="majorBidi"/>
          <w:b/>
          <w:sz w:val="36"/>
          <w:szCs w:val="32"/>
        </w:rPr>
      </w:pPr>
      <w:r>
        <w:br w:type="page"/>
      </w:r>
    </w:p>
    <w:p w14:paraId="2225C26F" w14:textId="5A66EB58" w:rsidR="00F631B1" w:rsidRPr="00D07CC0" w:rsidRDefault="00F631B1" w:rsidP="00F631B1">
      <w:pPr>
        <w:pStyle w:val="Heading3"/>
      </w:pPr>
      <w:r w:rsidRPr="00D07CC0">
        <w:lastRenderedPageBreak/>
        <w:t>agenda 2.1.3</w:t>
      </w:r>
    </w:p>
    <w:p w14:paraId="1DA0DB1E" w14:textId="06E43988" w:rsidR="00D07CC0" w:rsidRPr="00D07CC0" w:rsidRDefault="00F631B1" w:rsidP="00F631B1">
      <w:pPr>
        <w:pStyle w:val="Heading2"/>
      </w:pPr>
      <w:bookmarkStart w:id="36" w:name="_Toc521954596"/>
      <w:bookmarkStart w:id="37" w:name="_Toc522394961"/>
      <w:r w:rsidRPr="00D07CC0">
        <w:t>General Pastors Conference</w:t>
      </w:r>
      <w:r w:rsidR="00D07CC0" w:rsidRPr="00D07CC0">
        <w:t xml:space="preserve"> Advice to Synod</w:t>
      </w:r>
      <w:bookmarkEnd w:id="36"/>
      <w:bookmarkEnd w:id="37"/>
    </w:p>
    <w:p w14:paraId="513FAAD9" w14:textId="77777777" w:rsidR="00D07CC0" w:rsidRPr="00D07CC0" w:rsidRDefault="00D07CC0" w:rsidP="00D07CC0">
      <w:pPr>
        <w:pStyle w:val="Heading3"/>
        <w:rPr>
          <w:sz w:val="22"/>
          <w:szCs w:val="22"/>
        </w:rPr>
      </w:pPr>
    </w:p>
    <w:p w14:paraId="354E6BB6" w14:textId="19E3BFBE" w:rsidR="00D07CC0" w:rsidRDefault="00D07CC0" w:rsidP="00D07CC0">
      <w:pPr>
        <w:pStyle w:val="Heading3"/>
      </w:pPr>
      <w:r>
        <w:t xml:space="preserve">Preamble </w:t>
      </w:r>
    </w:p>
    <w:p w14:paraId="1C86E5C8" w14:textId="1B82DE8F" w:rsidR="00D07CC0" w:rsidRDefault="00D07CC0" w:rsidP="00D07CC0">
      <w:pPr>
        <w:pStyle w:val="Default"/>
        <w:rPr>
          <w:rFonts w:ascii="Cambria" w:hAnsi="Cambria"/>
          <w:sz w:val="22"/>
          <w:szCs w:val="22"/>
        </w:rPr>
      </w:pPr>
      <w:r>
        <w:rPr>
          <w:rFonts w:ascii="Cambria" w:hAnsi="Cambria"/>
          <w:sz w:val="22"/>
          <w:szCs w:val="22"/>
        </w:rPr>
        <w:t>The General Pastors Conference (GPC) of the Lutheran Church of Australia (LCA) met from 10</w:t>
      </w:r>
      <w:r w:rsidR="003A5884">
        <w:rPr>
          <w:rFonts w:ascii="Cambria" w:hAnsi="Cambria"/>
          <w:sz w:val="22"/>
          <w:szCs w:val="22"/>
        </w:rPr>
        <w:sym w:font="Symbol" w:char="F02D"/>
      </w:r>
      <w:r>
        <w:rPr>
          <w:rFonts w:ascii="Cambria" w:hAnsi="Cambria"/>
          <w:sz w:val="22"/>
          <w:szCs w:val="22"/>
        </w:rPr>
        <w:t>12 July 2018 at St Michael’s Church and School Hahndorf South Australia, in order to fulfil its duty to give guidance and to serve as a theological adviser to the 19th General Convention of Synod in matters of doctrine and confession [LCA By-Laws 5.6.2.1, 2.2 and 2.3]. The business of the meeting was to consider the proposals referred to it by the General Church Council (GCC) at its meeting of 15-16 June 2018 in preparation for the forthcoming 19th General Convention of Synod to be held from 2</w:t>
      </w:r>
      <w:r w:rsidR="003A5884">
        <w:rPr>
          <w:rFonts w:ascii="Cambria" w:hAnsi="Cambria"/>
          <w:sz w:val="22"/>
          <w:szCs w:val="22"/>
        </w:rPr>
        <w:sym w:font="Symbol" w:char="F02D"/>
      </w:r>
      <w:r>
        <w:rPr>
          <w:rFonts w:ascii="Cambria" w:hAnsi="Cambria"/>
          <w:sz w:val="22"/>
          <w:szCs w:val="22"/>
        </w:rPr>
        <w:t xml:space="preserve">7 October 2018. </w:t>
      </w:r>
    </w:p>
    <w:p w14:paraId="7E29FA20" w14:textId="77777777" w:rsidR="00D07CC0" w:rsidRDefault="00D07CC0" w:rsidP="00D07CC0">
      <w:pPr>
        <w:pStyle w:val="Default"/>
        <w:rPr>
          <w:rFonts w:ascii="Cambria" w:hAnsi="Cambria"/>
          <w:sz w:val="22"/>
          <w:szCs w:val="22"/>
        </w:rPr>
      </w:pPr>
    </w:p>
    <w:p w14:paraId="2B6DA0FA" w14:textId="77777777" w:rsidR="00D07CC0" w:rsidRDefault="00D07CC0" w:rsidP="00D07CC0">
      <w:pPr>
        <w:pStyle w:val="Default"/>
        <w:rPr>
          <w:rFonts w:ascii="Cambria" w:hAnsi="Cambria"/>
          <w:sz w:val="22"/>
          <w:szCs w:val="22"/>
        </w:rPr>
      </w:pPr>
      <w:r>
        <w:rPr>
          <w:rFonts w:ascii="Cambria" w:hAnsi="Cambria"/>
          <w:sz w:val="22"/>
          <w:szCs w:val="22"/>
        </w:rPr>
        <w:t>The GPC was mindful of its responsibility to assist the 19th General Convention of Synod according to the ‘Procedure in Transacting Business at a General Synod’ [LCA By-Laws 7.3.28.2] which states ‘</w:t>
      </w:r>
      <w:r>
        <w:rPr>
          <w:rFonts w:ascii="Cambria" w:hAnsi="Cambria"/>
          <w:i/>
          <w:iCs/>
          <w:sz w:val="22"/>
          <w:szCs w:val="22"/>
        </w:rPr>
        <w:t xml:space="preserve">a matter deemed to be of a theological and confessional nature…shall be considered by the Convention only after a recommendation has been received from the General Pastor’s Conference’. </w:t>
      </w:r>
    </w:p>
    <w:p w14:paraId="27C55A55" w14:textId="77777777" w:rsidR="00D07CC0" w:rsidRDefault="00D07CC0" w:rsidP="00D07CC0">
      <w:pPr>
        <w:pStyle w:val="Default"/>
        <w:rPr>
          <w:rFonts w:ascii="Cambria" w:hAnsi="Cambria"/>
          <w:sz w:val="22"/>
          <w:szCs w:val="22"/>
        </w:rPr>
      </w:pPr>
    </w:p>
    <w:p w14:paraId="59273B9B" w14:textId="77777777" w:rsidR="00D07CC0" w:rsidRDefault="00D07CC0" w:rsidP="00D07CC0">
      <w:pPr>
        <w:pStyle w:val="Default"/>
        <w:rPr>
          <w:rFonts w:ascii="Cambria" w:hAnsi="Cambria"/>
          <w:sz w:val="22"/>
          <w:szCs w:val="22"/>
        </w:rPr>
      </w:pPr>
      <w:r>
        <w:rPr>
          <w:rFonts w:ascii="Cambria" w:hAnsi="Cambria"/>
          <w:sz w:val="22"/>
          <w:szCs w:val="22"/>
        </w:rPr>
        <w:t xml:space="preserve">The guidance contained in this document represents the earnest and prayerful endeavour of the GPC to offer advice and recommendation to the 19th General Convention of Synod in regard to the proposals referred to it. </w:t>
      </w:r>
    </w:p>
    <w:p w14:paraId="51268326" w14:textId="77777777" w:rsidR="00D07CC0" w:rsidRDefault="00D07CC0" w:rsidP="00D07CC0">
      <w:pPr>
        <w:pStyle w:val="Default"/>
        <w:rPr>
          <w:rFonts w:ascii="Cambria" w:hAnsi="Cambria"/>
          <w:i/>
          <w:iCs/>
          <w:sz w:val="22"/>
          <w:szCs w:val="22"/>
        </w:rPr>
      </w:pPr>
    </w:p>
    <w:p w14:paraId="4D821A7A" w14:textId="77777777" w:rsidR="00D07CC0" w:rsidRDefault="00D07CC0" w:rsidP="00D07CC0">
      <w:pPr>
        <w:pStyle w:val="Default"/>
        <w:rPr>
          <w:rFonts w:ascii="Cambria" w:hAnsi="Cambria"/>
          <w:sz w:val="22"/>
          <w:szCs w:val="22"/>
        </w:rPr>
      </w:pPr>
      <w:r>
        <w:rPr>
          <w:rFonts w:ascii="Cambria" w:hAnsi="Cambria"/>
          <w:i/>
          <w:iCs/>
          <w:sz w:val="22"/>
          <w:szCs w:val="22"/>
        </w:rPr>
        <w:t xml:space="preserve">Please note: the text contained in boxes is the result of work done by the College of Bishops (CoB) after the conclusion of the GPC, at the request of the GPC. </w:t>
      </w:r>
    </w:p>
    <w:p w14:paraId="133E93B6" w14:textId="77777777" w:rsidR="00D07CC0" w:rsidRDefault="00D07CC0" w:rsidP="00D07CC0">
      <w:pPr>
        <w:pStyle w:val="NoSpacing"/>
        <w:rPr>
          <w:b/>
          <w:bCs/>
        </w:rPr>
      </w:pPr>
    </w:p>
    <w:p w14:paraId="62B57B57" w14:textId="722AA23D" w:rsidR="00D07CC0" w:rsidRDefault="00D07CC0" w:rsidP="00D07CC0">
      <w:pPr>
        <w:pStyle w:val="Heading3"/>
      </w:pPr>
      <w:r>
        <w:t xml:space="preserve">Theological and confessional matters considered </w:t>
      </w:r>
      <w:r w:rsidR="00207C37">
        <w:br/>
      </w:r>
      <w:r>
        <w:t xml:space="preserve">by the GPC </w:t>
      </w:r>
    </w:p>
    <w:p w14:paraId="6749AAB8" w14:textId="77777777" w:rsidR="00D07CC0" w:rsidRDefault="00D07CC0" w:rsidP="00D07CC0">
      <w:pPr>
        <w:pStyle w:val="Default"/>
        <w:rPr>
          <w:rFonts w:ascii="Cambria" w:hAnsi="Cambria"/>
          <w:sz w:val="22"/>
          <w:szCs w:val="22"/>
        </w:rPr>
      </w:pPr>
      <w:r>
        <w:rPr>
          <w:rFonts w:ascii="Cambria" w:hAnsi="Cambria"/>
          <w:sz w:val="22"/>
          <w:szCs w:val="22"/>
        </w:rPr>
        <w:t xml:space="preserve">The GPC considered the following items: </w:t>
      </w:r>
    </w:p>
    <w:p w14:paraId="10274730" w14:textId="77777777" w:rsidR="00D07CC0" w:rsidRDefault="00D07CC0" w:rsidP="00D07CC0">
      <w:pPr>
        <w:pStyle w:val="Default"/>
        <w:rPr>
          <w:rFonts w:ascii="Cambria" w:hAnsi="Cambria"/>
          <w:sz w:val="22"/>
          <w:szCs w:val="22"/>
        </w:rPr>
      </w:pPr>
    </w:p>
    <w:p w14:paraId="4DE2B6F5" w14:textId="77777777" w:rsidR="00D07CC0" w:rsidRDefault="00D07CC0" w:rsidP="00D07CC0">
      <w:pPr>
        <w:pStyle w:val="Default"/>
        <w:rPr>
          <w:rFonts w:ascii="Cambria" w:hAnsi="Cambria"/>
          <w:sz w:val="22"/>
          <w:szCs w:val="22"/>
        </w:rPr>
      </w:pPr>
      <w:r>
        <w:rPr>
          <w:rFonts w:ascii="Cambria" w:hAnsi="Cambria"/>
          <w:sz w:val="22"/>
          <w:szCs w:val="22"/>
        </w:rPr>
        <w:t xml:space="preserve">18th General Convention of Synod (2015) resolution </w:t>
      </w:r>
    </w:p>
    <w:p w14:paraId="0D91A987" w14:textId="77777777" w:rsidR="00D07CC0" w:rsidRDefault="00D07CC0" w:rsidP="00D07CC0">
      <w:pPr>
        <w:pStyle w:val="Default"/>
        <w:rPr>
          <w:rFonts w:ascii="Cambria" w:hAnsi="Cambria"/>
          <w:sz w:val="22"/>
          <w:szCs w:val="22"/>
        </w:rPr>
      </w:pPr>
      <w:r>
        <w:rPr>
          <w:rFonts w:ascii="Cambria" w:hAnsi="Cambria"/>
          <w:i/>
          <w:iCs/>
          <w:sz w:val="22"/>
          <w:szCs w:val="22"/>
        </w:rPr>
        <w:t xml:space="preserve">2015:0216: RESOLVED: that Synod requests the CTICR to build on its earlier work regarding the ordination of women and men to develop a draft doctrinal statement for GPC and the 19th Convention of Synod that presents: </w:t>
      </w:r>
    </w:p>
    <w:p w14:paraId="28214F53" w14:textId="77777777" w:rsidR="00D07CC0" w:rsidRDefault="00D07CC0" w:rsidP="00F55252">
      <w:pPr>
        <w:pStyle w:val="Default"/>
        <w:numPr>
          <w:ilvl w:val="0"/>
          <w:numId w:val="320"/>
        </w:numPr>
        <w:ind w:left="567" w:hanging="567"/>
        <w:rPr>
          <w:rFonts w:ascii="Cambria" w:hAnsi="Cambria"/>
          <w:sz w:val="22"/>
          <w:szCs w:val="22"/>
        </w:rPr>
      </w:pPr>
      <w:r>
        <w:rPr>
          <w:rFonts w:ascii="Cambria" w:hAnsi="Cambria"/>
          <w:i/>
          <w:iCs/>
          <w:sz w:val="22"/>
          <w:szCs w:val="22"/>
        </w:rPr>
        <w:t xml:space="preserve">A theological basis for the ordination of women and men. </w:t>
      </w:r>
    </w:p>
    <w:p w14:paraId="20ECEE3C" w14:textId="77777777" w:rsidR="00D07CC0" w:rsidRDefault="00D07CC0" w:rsidP="00F55252">
      <w:pPr>
        <w:pStyle w:val="Default"/>
        <w:numPr>
          <w:ilvl w:val="0"/>
          <w:numId w:val="320"/>
        </w:numPr>
        <w:ind w:left="567" w:hanging="567"/>
        <w:rPr>
          <w:rFonts w:ascii="Cambria" w:hAnsi="Cambria"/>
          <w:sz w:val="22"/>
          <w:szCs w:val="22"/>
        </w:rPr>
      </w:pPr>
      <w:r>
        <w:rPr>
          <w:rFonts w:ascii="Cambria" w:hAnsi="Cambria"/>
          <w:i/>
          <w:iCs/>
          <w:sz w:val="22"/>
          <w:szCs w:val="22"/>
        </w:rPr>
        <w:t xml:space="preserve">A theological basis for why the ordination of women and men need not be church divisive. </w:t>
      </w:r>
    </w:p>
    <w:p w14:paraId="3C7C276C" w14:textId="77777777" w:rsidR="00D07CC0" w:rsidRDefault="00D07CC0" w:rsidP="00F55252">
      <w:pPr>
        <w:pStyle w:val="Default"/>
        <w:numPr>
          <w:ilvl w:val="0"/>
          <w:numId w:val="320"/>
        </w:numPr>
        <w:ind w:left="567" w:hanging="567"/>
        <w:rPr>
          <w:rFonts w:ascii="Cambria" w:hAnsi="Cambria"/>
          <w:sz w:val="22"/>
          <w:szCs w:val="22"/>
        </w:rPr>
      </w:pPr>
      <w:r>
        <w:rPr>
          <w:rFonts w:ascii="Cambria" w:hAnsi="Cambria"/>
          <w:i/>
          <w:iCs/>
          <w:sz w:val="22"/>
          <w:szCs w:val="22"/>
        </w:rPr>
        <w:t xml:space="preserve">And that GCC resource it. </w:t>
      </w:r>
    </w:p>
    <w:p w14:paraId="020139D9" w14:textId="77777777" w:rsidR="00D07CC0" w:rsidRDefault="00D07CC0" w:rsidP="00D07CC0">
      <w:pPr>
        <w:pStyle w:val="Default"/>
        <w:rPr>
          <w:rFonts w:ascii="Cambria" w:hAnsi="Cambria"/>
          <w:sz w:val="22"/>
          <w:szCs w:val="22"/>
        </w:rPr>
      </w:pPr>
    </w:p>
    <w:p w14:paraId="0414E49F" w14:textId="77777777" w:rsidR="00D07CC0" w:rsidRDefault="00D07CC0" w:rsidP="00D07CC0">
      <w:pPr>
        <w:pStyle w:val="Default"/>
        <w:rPr>
          <w:rFonts w:ascii="Cambria" w:hAnsi="Cambria"/>
          <w:sz w:val="22"/>
          <w:szCs w:val="22"/>
        </w:rPr>
      </w:pPr>
      <w:r>
        <w:rPr>
          <w:rFonts w:ascii="Cambria" w:hAnsi="Cambria"/>
          <w:sz w:val="22"/>
          <w:szCs w:val="22"/>
        </w:rPr>
        <w:t>The two ‘theological basis’ statements were before the GPC.</w:t>
      </w:r>
    </w:p>
    <w:p w14:paraId="30935060" w14:textId="77777777" w:rsidR="00D07CC0" w:rsidRDefault="00D07CC0" w:rsidP="00D07CC0">
      <w:pPr>
        <w:pStyle w:val="Default"/>
        <w:rPr>
          <w:rFonts w:ascii="Cambria" w:hAnsi="Cambria"/>
          <w:sz w:val="22"/>
          <w:szCs w:val="22"/>
        </w:rPr>
      </w:pPr>
    </w:p>
    <w:p w14:paraId="1E7F4E95" w14:textId="77777777" w:rsidR="00D07CC0" w:rsidRDefault="00D07CC0" w:rsidP="00D07CC0">
      <w:pPr>
        <w:pStyle w:val="Heading3"/>
      </w:pPr>
      <w:r>
        <w:t xml:space="preserve">19th General Convention of Synod (2018) proposals referred by GCC to the GPC </w:t>
      </w:r>
    </w:p>
    <w:p w14:paraId="14F65AF3" w14:textId="77777777" w:rsidR="00D07CC0" w:rsidRPr="00453D5A" w:rsidRDefault="00D07CC0" w:rsidP="00D07CC0">
      <w:pPr>
        <w:pStyle w:val="Subtitle"/>
      </w:pPr>
      <w:r w:rsidRPr="00453D5A">
        <w:t xml:space="preserve">Ordination of women and men </w:t>
      </w:r>
    </w:p>
    <w:p w14:paraId="4A0BC992" w14:textId="77777777" w:rsidR="00D07CC0" w:rsidRPr="00693866" w:rsidRDefault="00D07CC0" w:rsidP="00F55252">
      <w:pPr>
        <w:pStyle w:val="Default"/>
        <w:numPr>
          <w:ilvl w:val="0"/>
          <w:numId w:val="321"/>
        </w:numPr>
        <w:ind w:left="567" w:hanging="567"/>
        <w:rPr>
          <w:rFonts w:ascii="Cambria" w:hAnsi="Cambria"/>
          <w:sz w:val="22"/>
          <w:szCs w:val="22"/>
        </w:rPr>
      </w:pPr>
      <w:r w:rsidRPr="00693866">
        <w:rPr>
          <w:rFonts w:ascii="Cambria" w:hAnsi="Cambria"/>
          <w:sz w:val="22"/>
          <w:szCs w:val="22"/>
        </w:rPr>
        <w:t>20 proposals that ‘</w:t>
      </w:r>
      <w:r w:rsidRPr="00693866">
        <w:rPr>
          <w:rFonts w:ascii="Cambria" w:hAnsi="Cambria"/>
          <w:i/>
          <w:iCs/>
          <w:sz w:val="22"/>
          <w:szCs w:val="22"/>
        </w:rPr>
        <w:t>the Lutheran Church of Australia amend its public teaching to accept the ordination of both men and women</w:t>
      </w:r>
      <w:r w:rsidRPr="00693866">
        <w:rPr>
          <w:rFonts w:ascii="Cambria" w:hAnsi="Cambria"/>
          <w:sz w:val="22"/>
          <w:szCs w:val="22"/>
        </w:rPr>
        <w:t xml:space="preserve">’; </w:t>
      </w:r>
    </w:p>
    <w:p w14:paraId="4140CB74" w14:textId="77777777" w:rsidR="00D07CC0" w:rsidRPr="00693866" w:rsidRDefault="00D07CC0" w:rsidP="00F55252">
      <w:pPr>
        <w:pStyle w:val="Default"/>
        <w:numPr>
          <w:ilvl w:val="0"/>
          <w:numId w:val="321"/>
        </w:numPr>
        <w:ind w:left="567" w:hanging="567"/>
        <w:rPr>
          <w:rFonts w:ascii="Cambria" w:hAnsi="Cambria"/>
          <w:sz w:val="22"/>
          <w:szCs w:val="22"/>
        </w:rPr>
      </w:pPr>
      <w:r w:rsidRPr="00693866">
        <w:rPr>
          <w:rFonts w:ascii="Cambria" w:hAnsi="Cambria"/>
          <w:sz w:val="22"/>
          <w:szCs w:val="22"/>
        </w:rPr>
        <w:t>One proposal that ‘</w:t>
      </w:r>
      <w:r w:rsidRPr="00693866">
        <w:rPr>
          <w:rFonts w:ascii="Cambria" w:hAnsi="Cambria"/>
          <w:i/>
          <w:iCs/>
          <w:sz w:val="22"/>
          <w:szCs w:val="22"/>
        </w:rPr>
        <w:t>the Synod not endorse “A Theological Basis for the Ordination of Women and Men: Draft Doctrinal Statement”</w:t>
      </w:r>
      <w:r w:rsidRPr="00693866">
        <w:rPr>
          <w:rFonts w:ascii="Cambria" w:hAnsi="Cambria"/>
          <w:sz w:val="22"/>
          <w:szCs w:val="22"/>
        </w:rPr>
        <w:t xml:space="preserve">’; </w:t>
      </w:r>
    </w:p>
    <w:p w14:paraId="6DCA0864" w14:textId="77777777" w:rsidR="00D07CC0" w:rsidRPr="00693866" w:rsidRDefault="00D07CC0" w:rsidP="00F55252">
      <w:pPr>
        <w:pStyle w:val="Default"/>
        <w:numPr>
          <w:ilvl w:val="0"/>
          <w:numId w:val="321"/>
        </w:numPr>
        <w:ind w:left="567" w:hanging="567"/>
        <w:rPr>
          <w:rFonts w:ascii="Cambria" w:hAnsi="Cambria"/>
          <w:sz w:val="22"/>
          <w:szCs w:val="22"/>
        </w:rPr>
      </w:pPr>
      <w:r w:rsidRPr="00693866">
        <w:rPr>
          <w:rFonts w:ascii="Cambria" w:hAnsi="Cambria"/>
          <w:sz w:val="22"/>
          <w:szCs w:val="22"/>
        </w:rPr>
        <w:t>One proposal that ‘</w:t>
      </w:r>
      <w:r w:rsidRPr="00693866">
        <w:rPr>
          <w:rFonts w:ascii="Cambria" w:hAnsi="Cambria"/>
          <w:i/>
          <w:iCs/>
          <w:sz w:val="22"/>
          <w:szCs w:val="22"/>
        </w:rPr>
        <w:t>no further discussion come before Synod to amend the Theses of Agreement VI regarding the Office of the Ministry</w:t>
      </w:r>
      <w:r w:rsidRPr="00693866">
        <w:rPr>
          <w:rFonts w:ascii="Cambria" w:hAnsi="Cambria"/>
          <w:sz w:val="22"/>
          <w:szCs w:val="22"/>
        </w:rPr>
        <w:t xml:space="preserve">’; </w:t>
      </w:r>
    </w:p>
    <w:p w14:paraId="7AB0C9B4" w14:textId="77777777" w:rsidR="00D07CC0" w:rsidRPr="00693866" w:rsidRDefault="00D07CC0" w:rsidP="00F55252">
      <w:pPr>
        <w:pStyle w:val="Default"/>
        <w:numPr>
          <w:ilvl w:val="0"/>
          <w:numId w:val="321"/>
        </w:numPr>
        <w:ind w:left="567" w:hanging="567"/>
        <w:rPr>
          <w:rFonts w:ascii="Cambria" w:hAnsi="Cambria"/>
          <w:sz w:val="22"/>
          <w:szCs w:val="22"/>
        </w:rPr>
      </w:pPr>
      <w:r w:rsidRPr="00693866">
        <w:rPr>
          <w:rFonts w:ascii="Cambria" w:hAnsi="Cambria"/>
          <w:sz w:val="22"/>
          <w:szCs w:val="22"/>
        </w:rPr>
        <w:t>One proposal ‘</w:t>
      </w:r>
      <w:r w:rsidRPr="00693866">
        <w:rPr>
          <w:rFonts w:ascii="Cambria" w:hAnsi="Cambria"/>
          <w:i/>
          <w:iCs/>
          <w:sz w:val="22"/>
          <w:szCs w:val="22"/>
        </w:rPr>
        <w:t>that Synod not endorse the Commission on Theology and Inter-Church Relations (CTICR) paper “ Theological Basis for why the ordination of women and men need not be Church divisive”</w:t>
      </w:r>
      <w:r w:rsidRPr="00693866">
        <w:rPr>
          <w:rFonts w:ascii="Cambria" w:hAnsi="Cambria"/>
          <w:sz w:val="22"/>
          <w:szCs w:val="22"/>
        </w:rPr>
        <w:t xml:space="preserve">’; </w:t>
      </w:r>
    </w:p>
    <w:p w14:paraId="6B36F573" w14:textId="421A8C20" w:rsidR="00D07CC0" w:rsidRPr="00693866" w:rsidRDefault="00D07CC0" w:rsidP="00F55252">
      <w:pPr>
        <w:pStyle w:val="Default"/>
        <w:numPr>
          <w:ilvl w:val="0"/>
          <w:numId w:val="321"/>
        </w:numPr>
        <w:ind w:left="567" w:hanging="567"/>
        <w:rPr>
          <w:rFonts w:ascii="Cambria" w:hAnsi="Cambria"/>
          <w:sz w:val="22"/>
          <w:szCs w:val="22"/>
        </w:rPr>
      </w:pPr>
      <w:r w:rsidRPr="00693866">
        <w:rPr>
          <w:rFonts w:ascii="Cambria" w:hAnsi="Cambria"/>
          <w:sz w:val="22"/>
          <w:szCs w:val="22"/>
        </w:rPr>
        <w:lastRenderedPageBreak/>
        <w:t>One proposal that ‘</w:t>
      </w:r>
      <w:r w:rsidRPr="00693866">
        <w:rPr>
          <w:rFonts w:ascii="Cambria" w:hAnsi="Cambria"/>
          <w:i/>
          <w:iCs/>
          <w:sz w:val="22"/>
          <w:szCs w:val="22"/>
        </w:rPr>
        <w:t>before any vote is conducted regarding the ordination of both men and women, no less than one hour be set aside to allow the clear presentation of the Scriptural case for the ordination of men only</w:t>
      </w:r>
      <w:r w:rsidRPr="00693866">
        <w:rPr>
          <w:rFonts w:ascii="Cambria" w:hAnsi="Cambria"/>
          <w:sz w:val="22"/>
          <w:szCs w:val="22"/>
        </w:rPr>
        <w:t>’ was shared with the GPC f</w:t>
      </w:r>
      <w:r w:rsidR="003A5884" w:rsidRPr="00693866">
        <w:rPr>
          <w:rFonts w:ascii="Cambria" w:hAnsi="Cambria"/>
          <w:sz w:val="22"/>
          <w:szCs w:val="22"/>
        </w:rPr>
        <w:t>or information only;</w:t>
      </w:r>
    </w:p>
    <w:p w14:paraId="36732EBF" w14:textId="77777777" w:rsidR="00D07CC0" w:rsidRPr="00693866" w:rsidRDefault="00D07CC0" w:rsidP="00D07CC0">
      <w:pPr>
        <w:pStyle w:val="Default"/>
        <w:rPr>
          <w:rFonts w:ascii="Cambria" w:hAnsi="Cambria"/>
          <w:sz w:val="22"/>
          <w:szCs w:val="22"/>
        </w:rPr>
      </w:pPr>
    </w:p>
    <w:p w14:paraId="7BD51380" w14:textId="77777777" w:rsidR="00D07CC0" w:rsidRPr="00693866" w:rsidRDefault="00D07CC0" w:rsidP="00D07CC0">
      <w:pPr>
        <w:pStyle w:val="Subtitle"/>
      </w:pPr>
      <w:r w:rsidRPr="00693866">
        <w:t xml:space="preserve">Infant Communion </w:t>
      </w:r>
    </w:p>
    <w:p w14:paraId="385A0598" w14:textId="77777777" w:rsidR="00D07CC0" w:rsidRPr="00693866" w:rsidRDefault="00D07CC0" w:rsidP="00F55252">
      <w:pPr>
        <w:pStyle w:val="Default"/>
        <w:numPr>
          <w:ilvl w:val="0"/>
          <w:numId w:val="321"/>
        </w:numPr>
        <w:ind w:left="567" w:hanging="567"/>
        <w:rPr>
          <w:rFonts w:ascii="Cambria" w:hAnsi="Cambria"/>
          <w:sz w:val="22"/>
          <w:szCs w:val="22"/>
        </w:rPr>
      </w:pPr>
      <w:r w:rsidRPr="00693866">
        <w:rPr>
          <w:rFonts w:ascii="Cambria" w:hAnsi="Cambria"/>
          <w:sz w:val="22"/>
          <w:szCs w:val="22"/>
        </w:rPr>
        <w:t>One proposal that ‘</w:t>
      </w:r>
      <w:r w:rsidRPr="00693866">
        <w:rPr>
          <w:rFonts w:ascii="Cambria" w:hAnsi="Cambria"/>
          <w:i/>
          <w:iCs/>
          <w:sz w:val="22"/>
          <w:szCs w:val="22"/>
        </w:rPr>
        <w:t>the LCA encourage the practice of admitting very young children, including infants, to Holy Communion</w:t>
      </w:r>
      <w:r w:rsidRPr="00693866">
        <w:rPr>
          <w:rFonts w:ascii="Cambria" w:hAnsi="Cambria"/>
          <w:sz w:val="22"/>
          <w:szCs w:val="22"/>
        </w:rPr>
        <w:t xml:space="preserve">’; </w:t>
      </w:r>
    </w:p>
    <w:p w14:paraId="709567DD" w14:textId="77777777" w:rsidR="00D07CC0" w:rsidRPr="00693866" w:rsidRDefault="00D07CC0" w:rsidP="00D07CC0">
      <w:pPr>
        <w:pStyle w:val="Default"/>
        <w:rPr>
          <w:rFonts w:ascii="Cambria" w:hAnsi="Cambria"/>
          <w:sz w:val="22"/>
          <w:szCs w:val="22"/>
        </w:rPr>
      </w:pPr>
    </w:p>
    <w:p w14:paraId="2EBE8CB6" w14:textId="77777777" w:rsidR="00D07CC0" w:rsidRPr="00693866" w:rsidRDefault="00D07CC0" w:rsidP="00D07CC0">
      <w:pPr>
        <w:pStyle w:val="Subtitle"/>
      </w:pPr>
      <w:r w:rsidRPr="00693866">
        <w:t xml:space="preserve">Full membership in the Lutheran World Federation (LWF) </w:t>
      </w:r>
    </w:p>
    <w:p w14:paraId="5F28ECAB" w14:textId="77777777" w:rsidR="00D07CC0" w:rsidRPr="00693866" w:rsidRDefault="00D07CC0" w:rsidP="00F55252">
      <w:pPr>
        <w:pStyle w:val="Default"/>
        <w:numPr>
          <w:ilvl w:val="0"/>
          <w:numId w:val="321"/>
        </w:numPr>
        <w:ind w:left="567" w:hanging="567"/>
        <w:rPr>
          <w:rFonts w:ascii="Cambria" w:hAnsi="Cambria"/>
          <w:sz w:val="22"/>
          <w:szCs w:val="22"/>
        </w:rPr>
      </w:pPr>
      <w:r w:rsidRPr="00693866">
        <w:rPr>
          <w:rFonts w:ascii="Cambria" w:hAnsi="Cambria"/>
          <w:sz w:val="22"/>
          <w:szCs w:val="22"/>
        </w:rPr>
        <w:t>Two proposals that ‘</w:t>
      </w:r>
      <w:r w:rsidRPr="00693866">
        <w:rPr>
          <w:rFonts w:ascii="Cambria" w:hAnsi="Cambria"/>
          <w:i/>
          <w:iCs/>
          <w:sz w:val="22"/>
          <w:szCs w:val="22"/>
        </w:rPr>
        <w:t>the Lutheran Church of Australia becomes a full member of the Lutheran World Federation</w:t>
      </w:r>
      <w:r w:rsidRPr="00693866">
        <w:rPr>
          <w:rFonts w:ascii="Cambria" w:hAnsi="Cambria"/>
          <w:sz w:val="22"/>
          <w:szCs w:val="22"/>
        </w:rPr>
        <w:t xml:space="preserve">’; </w:t>
      </w:r>
    </w:p>
    <w:p w14:paraId="400C520F" w14:textId="77777777" w:rsidR="00D07CC0" w:rsidRPr="00693866" w:rsidRDefault="00D07CC0" w:rsidP="00F55252">
      <w:pPr>
        <w:pStyle w:val="Default"/>
        <w:numPr>
          <w:ilvl w:val="0"/>
          <w:numId w:val="321"/>
        </w:numPr>
        <w:ind w:left="567" w:hanging="567"/>
        <w:rPr>
          <w:rFonts w:ascii="Cambria" w:hAnsi="Cambria"/>
          <w:sz w:val="22"/>
          <w:szCs w:val="22"/>
        </w:rPr>
      </w:pPr>
      <w:r w:rsidRPr="00693866">
        <w:rPr>
          <w:rFonts w:ascii="Cambria" w:hAnsi="Cambria"/>
          <w:sz w:val="22"/>
          <w:szCs w:val="22"/>
        </w:rPr>
        <w:t>Four proposals that ‘</w:t>
      </w:r>
      <w:r w:rsidRPr="00693866">
        <w:rPr>
          <w:rFonts w:ascii="Cambria" w:hAnsi="Cambria"/>
          <w:i/>
          <w:iCs/>
          <w:sz w:val="22"/>
          <w:szCs w:val="22"/>
        </w:rPr>
        <w:t>the Lutheran Church of Australia applies for full membership of the Lutheran World Federation (LWF)</w:t>
      </w:r>
      <w:r w:rsidRPr="00693866">
        <w:rPr>
          <w:rFonts w:ascii="Cambria" w:hAnsi="Cambria"/>
          <w:sz w:val="22"/>
          <w:szCs w:val="22"/>
        </w:rPr>
        <w:t xml:space="preserve">’; </w:t>
      </w:r>
    </w:p>
    <w:p w14:paraId="33B4DF8B" w14:textId="77777777" w:rsidR="00D07CC0" w:rsidRPr="00693866" w:rsidRDefault="00D07CC0" w:rsidP="00D07CC0">
      <w:pPr>
        <w:pStyle w:val="Default"/>
        <w:rPr>
          <w:rFonts w:ascii="Cambria" w:hAnsi="Cambria"/>
          <w:sz w:val="22"/>
          <w:szCs w:val="22"/>
        </w:rPr>
      </w:pPr>
    </w:p>
    <w:p w14:paraId="3CF0A605" w14:textId="77777777" w:rsidR="00D07CC0" w:rsidRPr="00693866" w:rsidRDefault="00D07CC0" w:rsidP="00D07CC0">
      <w:pPr>
        <w:pStyle w:val="Subtitle"/>
      </w:pPr>
      <w:r w:rsidRPr="00693866">
        <w:t xml:space="preserve">Full membership in the International Lutheran Council (ILC) </w:t>
      </w:r>
    </w:p>
    <w:p w14:paraId="771DF570" w14:textId="77777777" w:rsidR="00D07CC0" w:rsidRPr="00693866" w:rsidRDefault="00D07CC0" w:rsidP="00F55252">
      <w:pPr>
        <w:pStyle w:val="Default"/>
        <w:numPr>
          <w:ilvl w:val="0"/>
          <w:numId w:val="321"/>
        </w:numPr>
        <w:ind w:left="567" w:hanging="567"/>
        <w:rPr>
          <w:rFonts w:ascii="Cambria" w:hAnsi="Cambria"/>
          <w:sz w:val="22"/>
          <w:szCs w:val="22"/>
        </w:rPr>
      </w:pPr>
      <w:r w:rsidRPr="00693866">
        <w:rPr>
          <w:rFonts w:ascii="Cambria" w:hAnsi="Cambria"/>
          <w:sz w:val="22"/>
          <w:szCs w:val="22"/>
        </w:rPr>
        <w:t>Two proposals that ‘</w:t>
      </w:r>
      <w:r w:rsidRPr="00693866">
        <w:rPr>
          <w:rFonts w:ascii="Cambria" w:hAnsi="Cambria"/>
          <w:i/>
          <w:iCs/>
          <w:sz w:val="22"/>
          <w:szCs w:val="22"/>
        </w:rPr>
        <w:t>the Lutheran Church of Australia becomes a full member of the International Lutheran Council</w:t>
      </w:r>
      <w:r w:rsidRPr="00693866">
        <w:rPr>
          <w:rFonts w:ascii="Cambria" w:hAnsi="Cambria"/>
          <w:sz w:val="22"/>
          <w:szCs w:val="22"/>
        </w:rPr>
        <w:t xml:space="preserve">’. </w:t>
      </w:r>
    </w:p>
    <w:p w14:paraId="535DD1E8" w14:textId="77777777" w:rsidR="00D07CC0" w:rsidRPr="00693866" w:rsidRDefault="00D07CC0" w:rsidP="00D07CC0">
      <w:pPr>
        <w:pStyle w:val="Default"/>
        <w:rPr>
          <w:rFonts w:ascii="Cambria" w:hAnsi="Cambria"/>
          <w:sz w:val="22"/>
          <w:szCs w:val="22"/>
        </w:rPr>
      </w:pPr>
    </w:p>
    <w:p w14:paraId="514A93D0" w14:textId="77777777" w:rsidR="00D07CC0" w:rsidRPr="00693866" w:rsidRDefault="00D07CC0" w:rsidP="00D07CC0">
      <w:pPr>
        <w:pStyle w:val="Heading3"/>
      </w:pPr>
      <w:r w:rsidRPr="00693866">
        <w:t xml:space="preserve">With respect to the ordination of women and men </w:t>
      </w:r>
    </w:p>
    <w:p w14:paraId="351566EF" w14:textId="77777777" w:rsidR="00D07CC0" w:rsidRPr="00693866" w:rsidRDefault="00D07CC0" w:rsidP="00D07CC0">
      <w:pPr>
        <w:pStyle w:val="Default"/>
        <w:rPr>
          <w:rFonts w:ascii="Cambria" w:hAnsi="Cambria"/>
          <w:sz w:val="22"/>
          <w:szCs w:val="22"/>
        </w:rPr>
      </w:pPr>
      <w:r w:rsidRPr="00693866">
        <w:rPr>
          <w:rFonts w:ascii="Cambria" w:hAnsi="Cambria"/>
          <w:sz w:val="22"/>
          <w:szCs w:val="22"/>
        </w:rPr>
        <w:t xml:space="preserve">In discussion on the first day of Conference pastors were asked to reflect on the business before the conference and to offer input to assist the planning of business. </w:t>
      </w:r>
    </w:p>
    <w:p w14:paraId="111AA689" w14:textId="77777777" w:rsidR="00D07CC0" w:rsidRPr="00693866" w:rsidRDefault="00D07CC0" w:rsidP="00D07CC0">
      <w:pPr>
        <w:pStyle w:val="Default"/>
        <w:rPr>
          <w:rFonts w:ascii="Cambria" w:hAnsi="Cambria"/>
          <w:sz w:val="22"/>
          <w:szCs w:val="22"/>
        </w:rPr>
      </w:pPr>
    </w:p>
    <w:p w14:paraId="467382BA" w14:textId="77777777" w:rsidR="00D07CC0" w:rsidRPr="00693866" w:rsidRDefault="00D07CC0" w:rsidP="00D07CC0">
      <w:pPr>
        <w:pStyle w:val="Default"/>
        <w:rPr>
          <w:rFonts w:ascii="Cambria" w:hAnsi="Cambria"/>
          <w:sz w:val="22"/>
          <w:szCs w:val="22"/>
        </w:rPr>
      </w:pPr>
      <w:r w:rsidRPr="00693866">
        <w:rPr>
          <w:rFonts w:ascii="Cambria" w:hAnsi="Cambria"/>
          <w:sz w:val="22"/>
          <w:szCs w:val="22"/>
        </w:rPr>
        <w:t xml:space="preserve">Input from those discussions identified common threads, which included connecting the discussion of proposals on the ordination of women and men with the Draft Doctrinal Statement (DDS) on that issue, ensuring a plenum discussion to share views on the DDS, and allowing the pastorate to be heard by way of some type of vote. </w:t>
      </w:r>
    </w:p>
    <w:p w14:paraId="586AF2CF" w14:textId="77777777" w:rsidR="00D07CC0" w:rsidRPr="00693866" w:rsidRDefault="00D07CC0" w:rsidP="00D07CC0">
      <w:pPr>
        <w:pStyle w:val="Default"/>
        <w:rPr>
          <w:rFonts w:ascii="Cambria" w:hAnsi="Cambria"/>
          <w:sz w:val="22"/>
          <w:szCs w:val="22"/>
        </w:rPr>
      </w:pPr>
    </w:p>
    <w:p w14:paraId="19F1D5DB" w14:textId="77777777" w:rsidR="00D07CC0" w:rsidRPr="00693866" w:rsidRDefault="00D07CC0" w:rsidP="00D07CC0">
      <w:pPr>
        <w:pStyle w:val="Default"/>
        <w:rPr>
          <w:rFonts w:ascii="Cambria" w:hAnsi="Cambria"/>
          <w:sz w:val="22"/>
          <w:szCs w:val="22"/>
        </w:rPr>
      </w:pPr>
      <w:r w:rsidRPr="00693866">
        <w:rPr>
          <w:rFonts w:ascii="Cambria" w:hAnsi="Cambria"/>
          <w:sz w:val="22"/>
          <w:szCs w:val="22"/>
        </w:rPr>
        <w:t>The DDS on the ordination of women and men was the first item of business.</w:t>
      </w:r>
    </w:p>
    <w:p w14:paraId="6DA5E030" w14:textId="77777777" w:rsidR="00D07CC0" w:rsidRPr="00693866" w:rsidRDefault="00D07CC0" w:rsidP="00D07CC0">
      <w:pPr>
        <w:pStyle w:val="Default"/>
        <w:rPr>
          <w:rFonts w:ascii="Cambria" w:hAnsi="Cambria"/>
          <w:sz w:val="22"/>
          <w:szCs w:val="22"/>
        </w:rPr>
      </w:pPr>
    </w:p>
    <w:p w14:paraId="0F968308" w14:textId="77777777" w:rsidR="00D07CC0" w:rsidRPr="00693866" w:rsidRDefault="00D07CC0" w:rsidP="00D07CC0">
      <w:pPr>
        <w:pStyle w:val="Subtitle"/>
      </w:pPr>
      <w:r w:rsidRPr="00693866">
        <w:t xml:space="preserve">Recommendation 1 </w:t>
      </w:r>
    </w:p>
    <w:p w14:paraId="1C2D8B79" w14:textId="77777777" w:rsidR="00D07CC0" w:rsidRPr="00693866" w:rsidRDefault="00D07CC0" w:rsidP="00D07CC0">
      <w:pPr>
        <w:pStyle w:val="Default"/>
        <w:rPr>
          <w:rFonts w:ascii="Cambria" w:hAnsi="Cambria"/>
          <w:sz w:val="22"/>
          <w:szCs w:val="22"/>
        </w:rPr>
      </w:pPr>
      <w:r w:rsidRPr="00693866">
        <w:rPr>
          <w:rFonts w:ascii="Cambria" w:hAnsi="Cambria"/>
          <w:b/>
          <w:bCs/>
          <w:sz w:val="22"/>
          <w:szCs w:val="22"/>
        </w:rPr>
        <w:t xml:space="preserve">The GPC recommends </w:t>
      </w:r>
      <w:r w:rsidRPr="00693866">
        <w:rPr>
          <w:rFonts w:ascii="Cambria" w:hAnsi="Cambria"/>
          <w:sz w:val="22"/>
          <w:szCs w:val="22"/>
        </w:rPr>
        <w:t xml:space="preserve">to the Convention of Synod that any proposal to change the teaching of the Church in relation to the question of the ordination of women be done in the form of a proposal to adopt the Draft Doctrinal Statement prepared by the Commission on Theology and Inter-Church Relations called ‘A Theological Basis for the Ordination of Women and Men’. </w:t>
      </w:r>
    </w:p>
    <w:p w14:paraId="1A4C51F6" w14:textId="77777777" w:rsidR="00D07CC0" w:rsidRPr="00693866" w:rsidRDefault="00D07CC0" w:rsidP="00D07CC0">
      <w:pPr>
        <w:pStyle w:val="Default"/>
        <w:rPr>
          <w:rFonts w:ascii="Cambria" w:hAnsi="Cambria"/>
          <w:b/>
          <w:bCs/>
          <w:sz w:val="22"/>
          <w:szCs w:val="22"/>
        </w:rPr>
      </w:pPr>
    </w:p>
    <w:p w14:paraId="7CF11C43" w14:textId="77777777" w:rsidR="00D07CC0" w:rsidRPr="00693866" w:rsidRDefault="00D07CC0" w:rsidP="00D07CC0">
      <w:pPr>
        <w:pStyle w:val="Default"/>
        <w:rPr>
          <w:rFonts w:ascii="Cambria" w:hAnsi="Cambria"/>
          <w:sz w:val="22"/>
          <w:szCs w:val="22"/>
        </w:rPr>
      </w:pPr>
      <w:r w:rsidRPr="00693866">
        <w:rPr>
          <w:rFonts w:ascii="Cambria" w:hAnsi="Cambria"/>
          <w:b/>
          <w:bCs/>
          <w:sz w:val="22"/>
          <w:szCs w:val="22"/>
        </w:rPr>
        <w:t xml:space="preserve">The GPC discussed the DDS on the ordination of women and men </w:t>
      </w:r>
    </w:p>
    <w:p w14:paraId="48D624A2" w14:textId="77777777" w:rsidR="00D07CC0" w:rsidRPr="00693866" w:rsidRDefault="00D07CC0" w:rsidP="00D07CC0">
      <w:pPr>
        <w:pStyle w:val="Default"/>
        <w:rPr>
          <w:rFonts w:ascii="Cambria" w:hAnsi="Cambria"/>
          <w:sz w:val="22"/>
          <w:szCs w:val="22"/>
        </w:rPr>
      </w:pPr>
      <w:r w:rsidRPr="00693866">
        <w:rPr>
          <w:rFonts w:ascii="Cambria" w:hAnsi="Cambria"/>
          <w:sz w:val="22"/>
          <w:szCs w:val="22"/>
        </w:rPr>
        <w:t xml:space="preserve">In the discussion about the DDS on the ordination of women and men many points were made. We make the Convention of Synod aware of some of them with the understanding that they do not represent a consensus among the pastorate. </w:t>
      </w:r>
    </w:p>
    <w:p w14:paraId="5A484313" w14:textId="77777777" w:rsidR="00D07CC0" w:rsidRPr="00693866" w:rsidRDefault="00D07CC0" w:rsidP="00D07CC0">
      <w:pPr>
        <w:pStyle w:val="Default"/>
        <w:rPr>
          <w:rFonts w:ascii="Cambria" w:hAnsi="Cambria"/>
          <w:sz w:val="22"/>
          <w:szCs w:val="22"/>
        </w:rPr>
      </w:pPr>
    </w:p>
    <w:p w14:paraId="21422325" w14:textId="77777777" w:rsidR="00D07CC0" w:rsidRPr="00693866" w:rsidRDefault="00D07CC0" w:rsidP="00F55252">
      <w:pPr>
        <w:pStyle w:val="Default"/>
        <w:numPr>
          <w:ilvl w:val="0"/>
          <w:numId w:val="320"/>
        </w:numPr>
        <w:ind w:left="567" w:hanging="567"/>
        <w:rPr>
          <w:rFonts w:ascii="Cambria" w:hAnsi="Cambria"/>
          <w:sz w:val="22"/>
          <w:szCs w:val="22"/>
        </w:rPr>
      </w:pPr>
      <w:r w:rsidRPr="00693866">
        <w:rPr>
          <w:rFonts w:ascii="Cambria" w:hAnsi="Cambria"/>
          <w:sz w:val="22"/>
          <w:szCs w:val="22"/>
        </w:rPr>
        <w:t>In paragraphs 1</w:t>
      </w:r>
      <w:r w:rsidRPr="00693866">
        <w:rPr>
          <w:rFonts w:ascii="Cambria" w:hAnsi="Cambria"/>
          <w:sz w:val="22"/>
          <w:szCs w:val="22"/>
        </w:rPr>
        <w:sym w:font="Symbol" w:char="F02D"/>
      </w:r>
      <w:r w:rsidRPr="00693866">
        <w:rPr>
          <w:rFonts w:ascii="Cambria" w:hAnsi="Cambria"/>
          <w:sz w:val="22"/>
          <w:szCs w:val="22"/>
        </w:rPr>
        <w:t xml:space="preserve">3 of the DDS the data may be relatively uncontroversial but questions were raised about whether the data warranted the conclusions drawn; </w:t>
      </w:r>
    </w:p>
    <w:p w14:paraId="014B03DC" w14:textId="77777777" w:rsidR="00D07CC0" w:rsidRPr="00693866" w:rsidRDefault="00D07CC0" w:rsidP="00F55252">
      <w:pPr>
        <w:pStyle w:val="Default"/>
        <w:numPr>
          <w:ilvl w:val="0"/>
          <w:numId w:val="320"/>
        </w:numPr>
        <w:ind w:left="567" w:hanging="567"/>
        <w:rPr>
          <w:rFonts w:ascii="Cambria" w:hAnsi="Cambria"/>
          <w:sz w:val="22"/>
          <w:szCs w:val="22"/>
        </w:rPr>
      </w:pPr>
      <w:r w:rsidRPr="00693866">
        <w:rPr>
          <w:rFonts w:ascii="Cambria" w:hAnsi="Cambria"/>
          <w:sz w:val="22"/>
          <w:szCs w:val="22"/>
        </w:rPr>
        <w:t xml:space="preserve">Paragraph 4 was affirmed in light of the early church experience of living in a united way with theological differences; </w:t>
      </w:r>
    </w:p>
    <w:p w14:paraId="35DFB1FD" w14:textId="77777777" w:rsidR="00D07CC0" w:rsidRPr="00693866" w:rsidRDefault="00D07CC0" w:rsidP="00F55252">
      <w:pPr>
        <w:pStyle w:val="Default"/>
        <w:numPr>
          <w:ilvl w:val="0"/>
          <w:numId w:val="320"/>
        </w:numPr>
        <w:ind w:left="567" w:hanging="567"/>
        <w:rPr>
          <w:rFonts w:ascii="Cambria" w:hAnsi="Cambria"/>
          <w:sz w:val="22"/>
          <w:szCs w:val="22"/>
        </w:rPr>
      </w:pPr>
      <w:r w:rsidRPr="00693866">
        <w:rPr>
          <w:rFonts w:ascii="Cambria" w:hAnsi="Cambria"/>
          <w:sz w:val="22"/>
          <w:szCs w:val="22"/>
        </w:rPr>
        <w:t xml:space="preserve">In paragraph 4 the use of cultural arguments was questioned; </w:t>
      </w:r>
    </w:p>
    <w:p w14:paraId="61BC110C" w14:textId="77777777" w:rsidR="00D07CC0" w:rsidRPr="00693866" w:rsidRDefault="00D07CC0" w:rsidP="00F55252">
      <w:pPr>
        <w:pStyle w:val="Default"/>
        <w:numPr>
          <w:ilvl w:val="0"/>
          <w:numId w:val="320"/>
        </w:numPr>
        <w:ind w:left="567" w:hanging="567"/>
        <w:rPr>
          <w:rFonts w:ascii="Cambria" w:hAnsi="Cambria"/>
          <w:sz w:val="22"/>
          <w:szCs w:val="22"/>
        </w:rPr>
      </w:pPr>
      <w:r w:rsidRPr="00693866">
        <w:rPr>
          <w:rFonts w:ascii="Cambria" w:hAnsi="Cambria"/>
          <w:sz w:val="22"/>
          <w:szCs w:val="22"/>
        </w:rPr>
        <w:t>In paragraph 5 the relevance of Galatians 3:26</w:t>
      </w:r>
      <w:r w:rsidRPr="00693866">
        <w:rPr>
          <w:rFonts w:ascii="Cambria" w:hAnsi="Cambria"/>
          <w:sz w:val="22"/>
          <w:szCs w:val="22"/>
        </w:rPr>
        <w:sym w:font="Symbol" w:char="F02D"/>
      </w:r>
      <w:r w:rsidRPr="00693866">
        <w:rPr>
          <w:rFonts w:ascii="Cambria" w:hAnsi="Cambria"/>
          <w:sz w:val="22"/>
          <w:szCs w:val="22"/>
        </w:rPr>
        <w:t xml:space="preserve">28 to the issue to this discussion was questioned; </w:t>
      </w:r>
    </w:p>
    <w:p w14:paraId="06E6F25F" w14:textId="77777777" w:rsidR="00D07CC0" w:rsidRPr="00693866" w:rsidRDefault="00D07CC0" w:rsidP="00F55252">
      <w:pPr>
        <w:pStyle w:val="Default"/>
        <w:numPr>
          <w:ilvl w:val="0"/>
          <w:numId w:val="320"/>
        </w:numPr>
        <w:ind w:left="567" w:hanging="567"/>
        <w:rPr>
          <w:rFonts w:ascii="Cambria" w:hAnsi="Cambria"/>
          <w:sz w:val="22"/>
          <w:szCs w:val="22"/>
        </w:rPr>
      </w:pPr>
      <w:r w:rsidRPr="00693866">
        <w:rPr>
          <w:rFonts w:ascii="Cambria" w:hAnsi="Cambria"/>
          <w:sz w:val="22"/>
          <w:szCs w:val="22"/>
        </w:rPr>
        <w:t xml:space="preserve">In paragraph 6 the inclusion of ‘male and female’ in relation to the Apology to the Augsburg Confession 7/8, 28 was questioned; </w:t>
      </w:r>
    </w:p>
    <w:p w14:paraId="64ECE766" w14:textId="77777777" w:rsidR="00D07CC0" w:rsidRPr="00693866" w:rsidRDefault="00D07CC0" w:rsidP="00F55252">
      <w:pPr>
        <w:pStyle w:val="Default"/>
        <w:numPr>
          <w:ilvl w:val="0"/>
          <w:numId w:val="320"/>
        </w:numPr>
        <w:ind w:left="567" w:hanging="567"/>
        <w:rPr>
          <w:rFonts w:ascii="Cambria" w:hAnsi="Cambria"/>
          <w:sz w:val="22"/>
          <w:szCs w:val="22"/>
        </w:rPr>
      </w:pPr>
      <w:r w:rsidRPr="00693866">
        <w:rPr>
          <w:rFonts w:ascii="Cambria" w:hAnsi="Cambria"/>
          <w:sz w:val="22"/>
          <w:szCs w:val="22"/>
        </w:rPr>
        <w:t xml:space="preserve">Paragraph 6 was highlighted as significant to the case for the ordination of women and men, especially in terms of guiding the LCA in how it reads scripture; </w:t>
      </w:r>
    </w:p>
    <w:p w14:paraId="6F76196E" w14:textId="77777777" w:rsidR="00D07CC0" w:rsidRPr="00693866" w:rsidRDefault="00D07CC0" w:rsidP="00F55252">
      <w:pPr>
        <w:pStyle w:val="Default"/>
        <w:numPr>
          <w:ilvl w:val="0"/>
          <w:numId w:val="320"/>
        </w:numPr>
        <w:ind w:left="567" w:hanging="567"/>
        <w:rPr>
          <w:rFonts w:ascii="Cambria" w:hAnsi="Cambria"/>
          <w:sz w:val="22"/>
          <w:szCs w:val="22"/>
        </w:rPr>
      </w:pPr>
      <w:r w:rsidRPr="00693866">
        <w:rPr>
          <w:rFonts w:ascii="Cambria" w:hAnsi="Cambria"/>
          <w:sz w:val="22"/>
          <w:szCs w:val="22"/>
        </w:rPr>
        <w:t>Reference to the LCA’s teaching in Theses of Agreement 6:1</w:t>
      </w:r>
      <w:r w:rsidRPr="00693866">
        <w:rPr>
          <w:rFonts w:ascii="Cambria" w:hAnsi="Cambria"/>
          <w:sz w:val="22"/>
          <w:szCs w:val="22"/>
        </w:rPr>
        <w:sym w:font="Symbol" w:char="F02D"/>
      </w:r>
      <w:r w:rsidRPr="00693866">
        <w:rPr>
          <w:rFonts w:ascii="Cambria" w:hAnsi="Cambria"/>
          <w:sz w:val="22"/>
          <w:szCs w:val="22"/>
        </w:rPr>
        <w:t xml:space="preserve">10 should be incorporated within the DDS. </w:t>
      </w:r>
    </w:p>
    <w:p w14:paraId="20BA87F3" w14:textId="77777777" w:rsidR="00D07CC0" w:rsidRPr="00693866" w:rsidRDefault="00D07CC0" w:rsidP="00D07CC0">
      <w:pPr>
        <w:pStyle w:val="Default"/>
        <w:rPr>
          <w:rFonts w:ascii="Cambria" w:hAnsi="Cambria"/>
          <w:sz w:val="22"/>
          <w:szCs w:val="22"/>
        </w:rPr>
      </w:pPr>
    </w:p>
    <w:p w14:paraId="2EFE39D7" w14:textId="77777777" w:rsidR="00D07CC0" w:rsidRDefault="00D07CC0" w:rsidP="00D07CC0">
      <w:pPr>
        <w:pStyle w:val="Default"/>
        <w:rPr>
          <w:rFonts w:ascii="Cambria" w:hAnsi="Cambria"/>
          <w:sz w:val="22"/>
          <w:szCs w:val="22"/>
        </w:rPr>
      </w:pPr>
      <w:r w:rsidRPr="00693866">
        <w:rPr>
          <w:rFonts w:ascii="Cambria" w:hAnsi="Cambria"/>
          <w:sz w:val="22"/>
          <w:szCs w:val="22"/>
        </w:rPr>
        <w:lastRenderedPageBreak/>
        <w:t>After discussion the GPC voted on the following</w:t>
      </w:r>
      <w:r>
        <w:rPr>
          <w:rFonts w:ascii="Cambria" w:hAnsi="Cambria"/>
          <w:sz w:val="22"/>
          <w:szCs w:val="22"/>
        </w:rPr>
        <w:t xml:space="preserve"> statement: ‘</w:t>
      </w:r>
      <w:r>
        <w:rPr>
          <w:rFonts w:ascii="Cambria" w:hAnsi="Cambria"/>
          <w:i/>
          <w:iCs/>
          <w:sz w:val="22"/>
          <w:szCs w:val="22"/>
        </w:rPr>
        <w:t>Do you support changing the Church’s teaching to that contained in the Draft Doctrinal Statement on the Ordination of Women and Men</w:t>
      </w:r>
      <w:r>
        <w:rPr>
          <w:rFonts w:ascii="Cambria" w:hAnsi="Cambria"/>
          <w:sz w:val="22"/>
          <w:szCs w:val="22"/>
        </w:rPr>
        <w:t xml:space="preserve">?’ </w:t>
      </w:r>
    </w:p>
    <w:p w14:paraId="69FDA84C" w14:textId="77777777" w:rsidR="00D07CC0" w:rsidRDefault="00D07CC0" w:rsidP="00D07CC0">
      <w:pPr>
        <w:pStyle w:val="Default"/>
        <w:rPr>
          <w:rFonts w:ascii="Cambria" w:hAnsi="Cambria"/>
          <w:sz w:val="22"/>
          <w:szCs w:val="22"/>
        </w:rPr>
      </w:pPr>
      <w:r>
        <w:rPr>
          <w:rFonts w:ascii="Cambria" w:hAnsi="Cambria"/>
          <w:sz w:val="22"/>
          <w:szCs w:val="22"/>
        </w:rPr>
        <w:t xml:space="preserve">The result was: Yes 44.5%, No 55%, one ballot was returned blank. The GPC noted a lack of consensus in the pastorate on the sufficiency of the DDS as a basis for changing the church’s teaching. This vote taken at GPC is not necessarily indicative of how pastors might vote on the proposals that have been submitted to the 19th General Convention of Synod. </w:t>
      </w:r>
    </w:p>
    <w:p w14:paraId="432E587B" w14:textId="77777777" w:rsidR="00D07CC0" w:rsidRDefault="00D07CC0" w:rsidP="00D07CC0">
      <w:pPr>
        <w:pStyle w:val="Default"/>
        <w:rPr>
          <w:rFonts w:ascii="Cambria" w:hAnsi="Cambria"/>
          <w:b/>
          <w:bCs/>
          <w:sz w:val="22"/>
          <w:szCs w:val="22"/>
        </w:rPr>
      </w:pPr>
    </w:p>
    <w:p w14:paraId="64053D99" w14:textId="77777777" w:rsidR="00D07CC0" w:rsidRDefault="00D07CC0" w:rsidP="00D07CC0">
      <w:pPr>
        <w:pStyle w:val="Default"/>
        <w:rPr>
          <w:rFonts w:ascii="Cambria" w:hAnsi="Cambria"/>
          <w:sz w:val="22"/>
          <w:szCs w:val="22"/>
        </w:rPr>
      </w:pPr>
      <w:r>
        <w:rPr>
          <w:rFonts w:ascii="Cambria" w:hAnsi="Cambria"/>
          <w:b/>
          <w:bCs/>
          <w:sz w:val="22"/>
          <w:szCs w:val="22"/>
        </w:rPr>
        <w:t xml:space="preserve">The GPC then discussed the DDS on church divisiveness </w:t>
      </w:r>
    </w:p>
    <w:p w14:paraId="38190B65" w14:textId="77777777" w:rsidR="00D07CC0" w:rsidRDefault="00D07CC0" w:rsidP="00D07CC0">
      <w:pPr>
        <w:pStyle w:val="Default"/>
        <w:rPr>
          <w:rFonts w:ascii="Cambria" w:hAnsi="Cambria"/>
          <w:sz w:val="22"/>
          <w:szCs w:val="22"/>
        </w:rPr>
      </w:pPr>
      <w:r>
        <w:rPr>
          <w:rFonts w:ascii="Cambria" w:hAnsi="Cambria"/>
          <w:sz w:val="22"/>
          <w:szCs w:val="22"/>
        </w:rPr>
        <w:t xml:space="preserve">Various points were made including: </w:t>
      </w:r>
    </w:p>
    <w:p w14:paraId="33D7025A" w14:textId="77777777" w:rsidR="00D07CC0" w:rsidRDefault="00D07CC0" w:rsidP="00F55252">
      <w:pPr>
        <w:pStyle w:val="Default"/>
        <w:numPr>
          <w:ilvl w:val="0"/>
          <w:numId w:val="322"/>
        </w:numPr>
        <w:ind w:left="567" w:hanging="567"/>
        <w:rPr>
          <w:rFonts w:ascii="Cambria" w:hAnsi="Cambria"/>
          <w:sz w:val="22"/>
          <w:szCs w:val="22"/>
        </w:rPr>
      </w:pPr>
      <w:r>
        <w:rPr>
          <w:rFonts w:ascii="Cambria" w:hAnsi="Cambria"/>
          <w:sz w:val="22"/>
          <w:szCs w:val="22"/>
        </w:rPr>
        <w:t xml:space="preserve">Matters of conscience regarding any synodical decision are relevant to those who hold a committed view on the question; </w:t>
      </w:r>
    </w:p>
    <w:p w14:paraId="5A81F64F" w14:textId="77777777" w:rsidR="00D07CC0" w:rsidRDefault="00D07CC0" w:rsidP="00F55252">
      <w:pPr>
        <w:pStyle w:val="Default"/>
        <w:numPr>
          <w:ilvl w:val="0"/>
          <w:numId w:val="322"/>
        </w:numPr>
        <w:ind w:left="567" w:hanging="567"/>
        <w:rPr>
          <w:rFonts w:ascii="Cambria" w:hAnsi="Cambria"/>
          <w:sz w:val="22"/>
          <w:szCs w:val="22"/>
        </w:rPr>
      </w:pPr>
      <w:r>
        <w:rPr>
          <w:rFonts w:ascii="Cambria" w:hAnsi="Cambria"/>
          <w:sz w:val="22"/>
          <w:szCs w:val="22"/>
        </w:rPr>
        <w:t>Questions of clarification or definition about issues were raised such as:</w:t>
      </w:r>
    </w:p>
    <w:p w14:paraId="46D316B5" w14:textId="77777777" w:rsidR="00D07CC0" w:rsidRPr="00EB6C06" w:rsidRDefault="00D07CC0" w:rsidP="00F55252">
      <w:pPr>
        <w:pStyle w:val="Default"/>
        <w:numPr>
          <w:ilvl w:val="0"/>
          <w:numId w:val="324"/>
        </w:numPr>
        <w:ind w:left="1134" w:hanging="567"/>
        <w:rPr>
          <w:rFonts w:ascii="Cambria" w:hAnsi="Cambria"/>
          <w:sz w:val="22"/>
          <w:szCs w:val="22"/>
        </w:rPr>
      </w:pPr>
      <w:r w:rsidRPr="00EB6C06">
        <w:rPr>
          <w:rFonts w:ascii="Cambria" w:hAnsi="Cambria"/>
          <w:sz w:val="22"/>
          <w:szCs w:val="22"/>
        </w:rPr>
        <w:t xml:space="preserve">Are there different types of unity and at what point may division arise? </w:t>
      </w:r>
    </w:p>
    <w:p w14:paraId="2B1AE7B6" w14:textId="77777777" w:rsidR="00D07CC0" w:rsidRPr="00EB6C06" w:rsidRDefault="00D07CC0" w:rsidP="00F55252">
      <w:pPr>
        <w:pStyle w:val="Default"/>
        <w:numPr>
          <w:ilvl w:val="0"/>
          <w:numId w:val="324"/>
        </w:numPr>
        <w:ind w:left="1134" w:hanging="567"/>
        <w:rPr>
          <w:rFonts w:ascii="Cambria" w:hAnsi="Cambria"/>
          <w:sz w:val="22"/>
          <w:szCs w:val="22"/>
        </w:rPr>
      </w:pPr>
      <w:r w:rsidRPr="00EB6C06">
        <w:rPr>
          <w:rFonts w:ascii="Cambria" w:hAnsi="Cambria"/>
          <w:sz w:val="22"/>
          <w:szCs w:val="22"/>
        </w:rPr>
        <w:t xml:space="preserve">Is agreement on foundational doctrines only sufficient for church unity? </w:t>
      </w:r>
    </w:p>
    <w:p w14:paraId="4237EF4F" w14:textId="77777777" w:rsidR="00D07CC0" w:rsidRPr="00EB6C06" w:rsidRDefault="00D07CC0" w:rsidP="00F55252">
      <w:pPr>
        <w:pStyle w:val="Default"/>
        <w:numPr>
          <w:ilvl w:val="0"/>
          <w:numId w:val="324"/>
        </w:numPr>
        <w:ind w:left="1134" w:hanging="567"/>
        <w:rPr>
          <w:rFonts w:ascii="Cambria" w:hAnsi="Cambria"/>
          <w:sz w:val="22"/>
          <w:szCs w:val="22"/>
        </w:rPr>
      </w:pPr>
      <w:r w:rsidRPr="00EB6C06">
        <w:rPr>
          <w:rFonts w:ascii="Cambria" w:hAnsi="Cambria"/>
          <w:sz w:val="22"/>
          <w:szCs w:val="22"/>
        </w:rPr>
        <w:t xml:space="preserve">What is an ‘open question’ and what can remain an ‘open question’? </w:t>
      </w:r>
    </w:p>
    <w:p w14:paraId="76E47A65" w14:textId="77777777" w:rsidR="00D07CC0" w:rsidRDefault="00D07CC0" w:rsidP="00D07CC0">
      <w:pPr>
        <w:pStyle w:val="Default"/>
        <w:ind w:left="1134" w:hanging="567"/>
        <w:rPr>
          <w:rFonts w:ascii="Cambria" w:hAnsi="Cambria"/>
          <w:sz w:val="22"/>
          <w:szCs w:val="22"/>
        </w:rPr>
      </w:pPr>
    </w:p>
    <w:p w14:paraId="36386695" w14:textId="77777777" w:rsidR="00D07CC0" w:rsidRDefault="00D07CC0" w:rsidP="00F55252">
      <w:pPr>
        <w:pStyle w:val="Default"/>
        <w:numPr>
          <w:ilvl w:val="0"/>
          <w:numId w:val="322"/>
        </w:numPr>
        <w:ind w:left="567" w:hanging="567"/>
        <w:rPr>
          <w:rFonts w:ascii="Cambria" w:hAnsi="Cambria"/>
          <w:sz w:val="22"/>
          <w:szCs w:val="22"/>
        </w:rPr>
      </w:pPr>
      <w:r>
        <w:rPr>
          <w:rFonts w:ascii="Cambria" w:hAnsi="Cambria"/>
          <w:sz w:val="22"/>
          <w:szCs w:val="22"/>
        </w:rPr>
        <w:t xml:space="preserve">There were expressions of a united commitment to Scripture but exegetical differences remain. Implications drawn from those differences impact approaches to what teaching and pastoral practice are acceptable; </w:t>
      </w:r>
    </w:p>
    <w:p w14:paraId="2CC43F91" w14:textId="77777777" w:rsidR="00D07CC0" w:rsidRDefault="00D07CC0" w:rsidP="00F55252">
      <w:pPr>
        <w:pStyle w:val="Default"/>
        <w:numPr>
          <w:ilvl w:val="0"/>
          <w:numId w:val="322"/>
        </w:numPr>
        <w:ind w:left="567" w:hanging="567"/>
        <w:rPr>
          <w:rFonts w:ascii="Cambria" w:hAnsi="Cambria"/>
          <w:sz w:val="22"/>
          <w:szCs w:val="22"/>
        </w:rPr>
      </w:pPr>
      <w:r>
        <w:rPr>
          <w:rFonts w:ascii="Cambria" w:hAnsi="Cambria"/>
          <w:sz w:val="22"/>
          <w:szCs w:val="22"/>
        </w:rPr>
        <w:t xml:space="preserve">What might this mean for how pastors best serve the church in light of the possible divergence between the thinking of pastors and lay people in relation to these issues? </w:t>
      </w:r>
    </w:p>
    <w:p w14:paraId="7FC7648E" w14:textId="77777777" w:rsidR="00D07CC0" w:rsidRDefault="00D07CC0" w:rsidP="00D07CC0">
      <w:pPr>
        <w:pStyle w:val="Default"/>
        <w:rPr>
          <w:rFonts w:ascii="Cambria" w:hAnsi="Cambria"/>
          <w:sz w:val="22"/>
          <w:szCs w:val="22"/>
        </w:rPr>
      </w:pPr>
    </w:p>
    <w:p w14:paraId="1F699559" w14:textId="77777777" w:rsidR="00D07CC0" w:rsidRDefault="00D07CC0" w:rsidP="00D07CC0">
      <w:pPr>
        <w:pStyle w:val="Default"/>
        <w:rPr>
          <w:rFonts w:ascii="Cambria" w:hAnsi="Cambria"/>
          <w:sz w:val="22"/>
          <w:szCs w:val="22"/>
        </w:rPr>
      </w:pPr>
      <w:r>
        <w:rPr>
          <w:rFonts w:ascii="Cambria" w:hAnsi="Cambria"/>
          <w:b/>
          <w:bCs/>
          <w:sz w:val="22"/>
          <w:szCs w:val="22"/>
        </w:rPr>
        <w:t xml:space="preserve">The GPC then discussed the congregational proposals referred by the GCC </w:t>
      </w:r>
    </w:p>
    <w:p w14:paraId="30933141" w14:textId="77777777" w:rsidR="00D07CC0" w:rsidRDefault="00D07CC0" w:rsidP="00D07CC0">
      <w:pPr>
        <w:pStyle w:val="Default"/>
        <w:rPr>
          <w:rFonts w:ascii="Cambria" w:hAnsi="Cambria"/>
          <w:sz w:val="22"/>
          <w:szCs w:val="22"/>
        </w:rPr>
      </w:pPr>
      <w:r>
        <w:rPr>
          <w:rFonts w:ascii="Cambria" w:hAnsi="Cambria"/>
          <w:sz w:val="22"/>
          <w:szCs w:val="22"/>
        </w:rPr>
        <w:t xml:space="preserve">The GPC advises the Convention of Synod of the need to allow focussed time for a discussion around the issue of unity in the church. The GPC expressed a pastoral concern for the unity of the church whatever the outcome of any synodical vote. </w:t>
      </w:r>
    </w:p>
    <w:p w14:paraId="19D54DC0" w14:textId="77777777" w:rsidR="00D07CC0" w:rsidRDefault="00D07CC0" w:rsidP="00D07CC0">
      <w:pPr>
        <w:pStyle w:val="Default"/>
        <w:rPr>
          <w:rFonts w:ascii="Cambria" w:hAnsi="Cambria"/>
          <w:b/>
          <w:bCs/>
          <w:sz w:val="22"/>
          <w:szCs w:val="22"/>
        </w:rPr>
      </w:pPr>
    </w:p>
    <w:p w14:paraId="27148F00" w14:textId="77777777" w:rsidR="00D07CC0" w:rsidRDefault="00D07CC0" w:rsidP="00D07CC0">
      <w:pPr>
        <w:pStyle w:val="Subtitle"/>
      </w:pPr>
      <w:r>
        <w:t xml:space="preserve">Recommendation 2 </w:t>
      </w:r>
    </w:p>
    <w:p w14:paraId="5ABEBB14" w14:textId="77777777" w:rsidR="00D07CC0" w:rsidRDefault="00D07CC0" w:rsidP="00D07CC0">
      <w:pPr>
        <w:pStyle w:val="Default"/>
        <w:rPr>
          <w:rFonts w:ascii="Cambria" w:hAnsi="Cambria"/>
          <w:sz w:val="22"/>
          <w:szCs w:val="22"/>
        </w:rPr>
      </w:pPr>
      <w:r>
        <w:rPr>
          <w:rFonts w:ascii="Cambria" w:hAnsi="Cambria"/>
          <w:b/>
          <w:bCs/>
          <w:sz w:val="22"/>
          <w:szCs w:val="22"/>
        </w:rPr>
        <w:t xml:space="preserve">The GPC recommends </w:t>
      </w:r>
      <w:r>
        <w:rPr>
          <w:rFonts w:ascii="Cambria" w:hAnsi="Cambria"/>
          <w:sz w:val="22"/>
          <w:szCs w:val="22"/>
        </w:rPr>
        <w:t>to the Convention of Synod that in light of GPC concerns for the unity of the church, GPC recommends to Synod that time be given at Convention to discuss the matter of the unity of the Church.</w:t>
      </w:r>
    </w:p>
    <w:p w14:paraId="621BE46D" w14:textId="77777777" w:rsidR="00D07CC0" w:rsidRDefault="00D07CC0" w:rsidP="00D07CC0">
      <w:pPr>
        <w:pStyle w:val="Default"/>
        <w:rPr>
          <w:rFonts w:ascii="Cambria" w:hAnsi="Cambria"/>
          <w:sz w:val="22"/>
          <w:szCs w:val="22"/>
        </w:rPr>
      </w:pPr>
    </w:p>
    <w:p w14:paraId="63171498" w14:textId="77777777" w:rsidR="00D07CC0" w:rsidRDefault="00D07CC0" w:rsidP="00D07CC0">
      <w:pPr>
        <w:pStyle w:val="Subtitle"/>
      </w:pPr>
      <w:r>
        <w:t xml:space="preserve">Recommendation 3 </w:t>
      </w:r>
    </w:p>
    <w:p w14:paraId="559FC048" w14:textId="77777777" w:rsidR="00EB6C06" w:rsidRDefault="00D07CC0" w:rsidP="00EB6C06">
      <w:pPr>
        <w:pStyle w:val="Default"/>
        <w:rPr>
          <w:rFonts w:ascii="Cambria" w:hAnsi="Cambria"/>
          <w:b/>
          <w:bCs/>
          <w:sz w:val="22"/>
          <w:szCs w:val="22"/>
        </w:rPr>
      </w:pPr>
      <w:r>
        <w:rPr>
          <w:rFonts w:ascii="Cambria" w:hAnsi="Cambria"/>
          <w:b/>
          <w:bCs/>
          <w:sz w:val="22"/>
          <w:szCs w:val="22"/>
        </w:rPr>
        <w:t xml:space="preserve">The GPC recommends </w:t>
      </w:r>
      <w:r>
        <w:rPr>
          <w:rFonts w:ascii="Cambria" w:hAnsi="Cambria"/>
          <w:sz w:val="22"/>
          <w:szCs w:val="22"/>
        </w:rPr>
        <w:t>to the Convention of Synod that the Draft Doctrinal Statement ‘A Theological Basis for Why the Ordination of Women and Men Need Not Be Church Divisive’ serves as part of the discussion rather than being presented for adoption by the Church.</w:t>
      </w:r>
      <w:r>
        <w:rPr>
          <w:rFonts w:ascii="Cambria" w:hAnsi="Cambria"/>
          <w:sz w:val="22"/>
          <w:szCs w:val="22"/>
        </w:rPr>
        <w:br/>
      </w:r>
    </w:p>
    <w:tbl>
      <w:tblPr>
        <w:tblStyle w:val="TableGrid"/>
        <w:tblW w:w="0" w:type="auto"/>
        <w:tblInd w:w="0" w:type="dxa"/>
        <w:tblLook w:val="04A0" w:firstRow="1" w:lastRow="0" w:firstColumn="1" w:lastColumn="0" w:noHBand="0" w:noVBand="1"/>
      </w:tblPr>
      <w:tblGrid>
        <w:gridCol w:w="8652"/>
      </w:tblGrid>
      <w:tr w:rsidR="00EB6C06" w:rsidRPr="00EB6C06" w14:paraId="1526EFEE" w14:textId="77777777" w:rsidTr="00AD09CB">
        <w:trPr>
          <w:trHeight w:val="2619"/>
        </w:trPr>
        <w:tc>
          <w:tcPr>
            <w:tcW w:w="8652" w:type="dxa"/>
          </w:tcPr>
          <w:p w14:paraId="44A92943" w14:textId="5F0433A5" w:rsidR="00EB6C06" w:rsidRPr="00EB6C06" w:rsidRDefault="00EB6C06" w:rsidP="00AD09CB">
            <w:pPr>
              <w:pStyle w:val="Default"/>
              <w:rPr>
                <w:rFonts w:ascii="Cambria" w:hAnsi="Cambria"/>
                <w:sz w:val="22"/>
                <w:szCs w:val="22"/>
              </w:rPr>
            </w:pPr>
            <w:r>
              <w:rPr>
                <w:rFonts w:ascii="Cambria" w:hAnsi="Cambria"/>
                <w:b/>
                <w:bCs/>
                <w:sz w:val="22"/>
                <w:szCs w:val="22"/>
              </w:rPr>
              <w:br/>
            </w:r>
            <w:r w:rsidRPr="00EB6C06">
              <w:rPr>
                <w:rFonts w:ascii="Cambria" w:hAnsi="Cambria"/>
                <w:b/>
                <w:bCs/>
                <w:sz w:val="22"/>
                <w:szCs w:val="22"/>
              </w:rPr>
              <w:t xml:space="preserve">In peace and with love - a pastoral word from the Bishops. </w:t>
            </w:r>
          </w:p>
          <w:p w14:paraId="28A0C5CF" w14:textId="77777777" w:rsidR="00EB6C06" w:rsidRPr="00EB6C06" w:rsidRDefault="00EB6C06" w:rsidP="00AD09CB">
            <w:pPr>
              <w:pStyle w:val="Default"/>
              <w:rPr>
                <w:rFonts w:ascii="Cambria" w:hAnsi="Cambria"/>
                <w:sz w:val="22"/>
                <w:szCs w:val="22"/>
              </w:rPr>
            </w:pPr>
            <w:r w:rsidRPr="00EB6C06">
              <w:rPr>
                <w:rFonts w:ascii="Cambria" w:hAnsi="Cambria"/>
                <w:sz w:val="22"/>
                <w:szCs w:val="22"/>
              </w:rPr>
              <w:t xml:space="preserve">The God of love and peace will be with you (2 Cor.13:11b). </w:t>
            </w:r>
          </w:p>
          <w:p w14:paraId="316BF1C5" w14:textId="3AD16134" w:rsidR="00EB6C06" w:rsidRPr="00EB6C06" w:rsidRDefault="00EB6C06" w:rsidP="00AD09CB">
            <w:pPr>
              <w:pStyle w:val="Default"/>
              <w:rPr>
                <w:rFonts w:ascii="Cambria" w:hAnsi="Cambria"/>
                <w:sz w:val="22"/>
                <w:szCs w:val="22"/>
              </w:rPr>
            </w:pPr>
            <w:r w:rsidRPr="00EB6C06">
              <w:rPr>
                <w:rFonts w:ascii="Cambria" w:hAnsi="Cambria"/>
                <w:sz w:val="22"/>
                <w:szCs w:val="22"/>
              </w:rPr>
              <w:t xml:space="preserve">In spite of differences, the pastorate of the LCA is united in its concern for the unity of the church and has asked the Bishops to provide pastoral advice regarding the possible outcomes of the vote on the DDS on the ordination of women and men. We acknowledge that this discussion leads to anxiety and pain for many. Whether the church decides to retain or change its teaching, there are likely to be those whose deeply held convictions put them at odds with the church’s teaching on this matter. </w:t>
            </w:r>
          </w:p>
        </w:tc>
      </w:tr>
      <w:tr w:rsidR="00D07CC0" w14:paraId="5884132F" w14:textId="77777777" w:rsidTr="00EB6C06">
        <w:trPr>
          <w:trHeight w:val="4384"/>
        </w:trPr>
        <w:tc>
          <w:tcPr>
            <w:tcW w:w="8652" w:type="dxa"/>
            <w:tcBorders>
              <w:top w:val="single" w:sz="4" w:space="0" w:color="auto"/>
              <w:left w:val="single" w:sz="4" w:space="0" w:color="auto"/>
              <w:bottom w:val="single" w:sz="4" w:space="0" w:color="auto"/>
              <w:right w:val="single" w:sz="4" w:space="0" w:color="auto"/>
            </w:tcBorders>
          </w:tcPr>
          <w:p w14:paraId="61E8B4FB" w14:textId="22FD0060" w:rsidR="00D07CC0" w:rsidRDefault="00EB6C06">
            <w:pPr>
              <w:pStyle w:val="Default"/>
              <w:rPr>
                <w:rFonts w:ascii="Cambria" w:hAnsi="Cambria"/>
                <w:sz w:val="22"/>
                <w:szCs w:val="22"/>
              </w:rPr>
            </w:pPr>
            <w:r>
              <w:rPr>
                <w:rFonts w:ascii="Cambria" w:hAnsi="Cambria"/>
                <w:sz w:val="22"/>
                <w:szCs w:val="22"/>
              </w:rPr>
              <w:lastRenderedPageBreak/>
              <w:br/>
            </w:r>
            <w:r w:rsidR="00D07CC0">
              <w:rPr>
                <w:rFonts w:ascii="Cambria" w:hAnsi="Cambria"/>
                <w:sz w:val="22"/>
                <w:szCs w:val="22"/>
              </w:rPr>
              <w:t xml:space="preserve">As we work with the outcome of any synodical decision, the Bishops encourage people to respect the burden of conscience for some. This can be done when we all: </w:t>
            </w:r>
          </w:p>
          <w:p w14:paraId="3773FD91" w14:textId="77777777" w:rsidR="00D07CC0" w:rsidRDefault="00D07CC0" w:rsidP="00F55252">
            <w:pPr>
              <w:pStyle w:val="Default"/>
              <w:numPr>
                <w:ilvl w:val="0"/>
                <w:numId w:val="322"/>
              </w:numPr>
              <w:ind w:left="589" w:hanging="589"/>
              <w:rPr>
                <w:rFonts w:ascii="Cambria" w:hAnsi="Cambria"/>
                <w:sz w:val="22"/>
                <w:szCs w:val="22"/>
              </w:rPr>
            </w:pPr>
            <w:r>
              <w:rPr>
                <w:rFonts w:ascii="Cambria" w:hAnsi="Cambria"/>
                <w:sz w:val="22"/>
                <w:szCs w:val="22"/>
              </w:rPr>
              <w:t xml:space="preserve">Recall that through our common baptism into Christ we remain united with each other; </w:t>
            </w:r>
          </w:p>
          <w:p w14:paraId="77D36B3B" w14:textId="77777777" w:rsidR="00D07CC0" w:rsidRDefault="00D07CC0" w:rsidP="00F55252">
            <w:pPr>
              <w:pStyle w:val="Default"/>
              <w:numPr>
                <w:ilvl w:val="0"/>
                <w:numId w:val="322"/>
              </w:numPr>
              <w:ind w:left="589" w:hanging="589"/>
              <w:rPr>
                <w:rFonts w:ascii="Cambria" w:hAnsi="Cambria"/>
                <w:sz w:val="22"/>
                <w:szCs w:val="22"/>
              </w:rPr>
            </w:pPr>
            <w:r>
              <w:rPr>
                <w:rFonts w:ascii="Cambria" w:hAnsi="Cambria"/>
                <w:sz w:val="22"/>
                <w:szCs w:val="22"/>
              </w:rPr>
              <w:t xml:space="preserve">Put the best construction on the motives of others (Luther’s Small Catechism explanation to the 8th Commandment); </w:t>
            </w:r>
          </w:p>
          <w:p w14:paraId="04C5A22F" w14:textId="77777777" w:rsidR="00D07CC0" w:rsidRDefault="00D07CC0" w:rsidP="00F55252">
            <w:pPr>
              <w:pStyle w:val="Default"/>
              <w:numPr>
                <w:ilvl w:val="0"/>
                <w:numId w:val="322"/>
              </w:numPr>
              <w:ind w:left="589" w:hanging="589"/>
              <w:rPr>
                <w:rFonts w:ascii="Cambria" w:hAnsi="Cambria"/>
                <w:sz w:val="22"/>
                <w:szCs w:val="22"/>
              </w:rPr>
            </w:pPr>
            <w:r>
              <w:rPr>
                <w:rFonts w:ascii="Cambria" w:hAnsi="Cambria"/>
                <w:sz w:val="22"/>
                <w:szCs w:val="22"/>
              </w:rPr>
              <w:t xml:space="preserve">Make every effort to avoid unnecessary damage to the church and the proclamation of the gospel. </w:t>
            </w:r>
          </w:p>
          <w:p w14:paraId="2CEBA058" w14:textId="77777777" w:rsidR="00D07CC0" w:rsidRDefault="00D07CC0">
            <w:pPr>
              <w:pStyle w:val="Default"/>
              <w:rPr>
                <w:rFonts w:ascii="Cambria" w:hAnsi="Cambria"/>
                <w:sz w:val="22"/>
                <w:szCs w:val="22"/>
              </w:rPr>
            </w:pPr>
          </w:p>
          <w:p w14:paraId="66731D71" w14:textId="77777777" w:rsidR="00D07CC0" w:rsidRDefault="00D07CC0">
            <w:pPr>
              <w:pStyle w:val="Default"/>
              <w:rPr>
                <w:rFonts w:ascii="Cambria" w:hAnsi="Cambria"/>
                <w:sz w:val="22"/>
                <w:szCs w:val="22"/>
              </w:rPr>
            </w:pPr>
            <w:r>
              <w:rPr>
                <w:rFonts w:ascii="Cambria" w:hAnsi="Cambria"/>
                <w:sz w:val="22"/>
                <w:szCs w:val="22"/>
              </w:rPr>
              <w:t xml:space="preserve">The Bishops encourage all of us as God’s people to enter into prayerful reflection in the days leading up to and beyond the synod and to continue to be patient, showing restraint, whatever may happen. </w:t>
            </w:r>
          </w:p>
          <w:p w14:paraId="693D7135" w14:textId="77777777" w:rsidR="00D07CC0" w:rsidRDefault="00D07CC0">
            <w:pPr>
              <w:pStyle w:val="Default"/>
              <w:rPr>
                <w:rFonts w:ascii="Cambria" w:hAnsi="Cambria"/>
                <w:sz w:val="22"/>
                <w:szCs w:val="22"/>
              </w:rPr>
            </w:pPr>
          </w:p>
          <w:p w14:paraId="752CF370" w14:textId="77777777" w:rsidR="00D07CC0" w:rsidRDefault="00D07CC0">
            <w:pPr>
              <w:pStyle w:val="Default"/>
              <w:rPr>
                <w:rFonts w:ascii="Cambria" w:hAnsi="Cambria"/>
                <w:sz w:val="22"/>
                <w:szCs w:val="22"/>
              </w:rPr>
            </w:pPr>
            <w:r>
              <w:rPr>
                <w:rFonts w:ascii="Cambria" w:hAnsi="Cambria"/>
                <w:sz w:val="22"/>
                <w:szCs w:val="22"/>
              </w:rPr>
              <w:t xml:space="preserve">In the name of the Triune God, let us all strive to maintain the unity of the Spirit in the bond of peace (Eph 4:3) </w:t>
            </w:r>
          </w:p>
        </w:tc>
      </w:tr>
    </w:tbl>
    <w:p w14:paraId="5DE0E9E2" w14:textId="77777777" w:rsidR="00D07CC0" w:rsidRDefault="00D07CC0" w:rsidP="00D07CC0">
      <w:pPr>
        <w:pStyle w:val="Default"/>
        <w:rPr>
          <w:rFonts w:ascii="Cambria" w:hAnsi="Cambria" w:cs="Century Gothic"/>
          <w:sz w:val="22"/>
          <w:szCs w:val="22"/>
          <w:lang w:eastAsia="en-US"/>
        </w:rPr>
      </w:pPr>
    </w:p>
    <w:p w14:paraId="18796DF4" w14:textId="77777777" w:rsidR="00D07CC0" w:rsidRDefault="00D07CC0" w:rsidP="00D07CC0">
      <w:pPr>
        <w:pStyle w:val="Default"/>
        <w:rPr>
          <w:rFonts w:ascii="Cambria" w:hAnsi="Cambria"/>
          <w:sz w:val="22"/>
          <w:szCs w:val="22"/>
        </w:rPr>
      </w:pPr>
      <w:r>
        <w:rPr>
          <w:rFonts w:ascii="Cambria" w:hAnsi="Cambria"/>
          <w:sz w:val="22"/>
          <w:szCs w:val="22"/>
        </w:rPr>
        <w:t xml:space="preserve">The GPC noted that the following issues raised in 2015 CoB advice continue to require attention and discussion in the church </w:t>
      </w:r>
    </w:p>
    <w:p w14:paraId="057BDDDF" w14:textId="77777777" w:rsidR="00D07CC0" w:rsidRDefault="00D07CC0" w:rsidP="00F55252">
      <w:pPr>
        <w:pStyle w:val="Default"/>
        <w:numPr>
          <w:ilvl w:val="0"/>
          <w:numId w:val="323"/>
        </w:numPr>
        <w:ind w:left="567" w:hanging="567"/>
        <w:rPr>
          <w:rFonts w:ascii="Cambria" w:hAnsi="Cambria"/>
          <w:sz w:val="22"/>
          <w:szCs w:val="22"/>
        </w:rPr>
      </w:pPr>
      <w:r>
        <w:rPr>
          <w:rFonts w:ascii="Cambria" w:hAnsi="Cambria"/>
          <w:sz w:val="22"/>
          <w:szCs w:val="22"/>
        </w:rPr>
        <w:t xml:space="preserve">The ongoing question of how the LCA understands and interprets Scripture. </w:t>
      </w:r>
    </w:p>
    <w:p w14:paraId="7BFB5846" w14:textId="77777777" w:rsidR="00D07CC0" w:rsidRDefault="00D07CC0" w:rsidP="00F55252">
      <w:pPr>
        <w:pStyle w:val="Default"/>
        <w:numPr>
          <w:ilvl w:val="0"/>
          <w:numId w:val="323"/>
        </w:numPr>
        <w:ind w:left="567" w:hanging="567"/>
        <w:rPr>
          <w:rFonts w:ascii="Cambria" w:hAnsi="Cambria"/>
          <w:sz w:val="22"/>
          <w:szCs w:val="22"/>
        </w:rPr>
      </w:pPr>
      <w:r>
        <w:rPr>
          <w:rFonts w:ascii="Cambria" w:hAnsi="Cambria"/>
          <w:sz w:val="22"/>
          <w:szCs w:val="22"/>
        </w:rPr>
        <w:t xml:space="preserve">The parameters of unity and diversity in the church – how much diversity is possible within our Church while still preserving our unity. </w:t>
      </w:r>
    </w:p>
    <w:p w14:paraId="74767255" w14:textId="77777777" w:rsidR="00D07CC0" w:rsidRDefault="00D07CC0" w:rsidP="00F55252">
      <w:pPr>
        <w:pStyle w:val="Default"/>
        <w:numPr>
          <w:ilvl w:val="0"/>
          <w:numId w:val="323"/>
        </w:numPr>
        <w:ind w:left="567" w:hanging="567"/>
        <w:rPr>
          <w:rFonts w:ascii="Cambria" w:hAnsi="Cambria"/>
          <w:sz w:val="22"/>
          <w:szCs w:val="22"/>
        </w:rPr>
      </w:pPr>
      <w:r>
        <w:rPr>
          <w:rFonts w:ascii="Cambria" w:hAnsi="Cambria"/>
          <w:sz w:val="22"/>
          <w:szCs w:val="22"/>
        </w:rPr>
        <w:t xml:space="preserve">The pastoral implications for the church and its pastorate of either maintaining or changing the present teaching on the ordination of women and men. </w:t>
      </w:r>
    </w:p>
    <w:p w14:paraId="7F0D1F49" w14:textId="77777777" w:rsidR="00D07CC0" w:rsidRDefault="00D07CC0" w:rsidP="00D07CC0">
      <w:pPr>
        <w:pStyle w:val="Default"/>
        <w:rPr>
          <w:rFonts w:ascii="Cambria" w:hAnsi="Cambria"/>
          <w:sz w:val="22"/>
          <w:szCs w:val="22"/>
        </w:rPr>
      </w:pPr>
    </w:p>
    <w:p w14:paraId="35762FD4" w14:textId="77777777" w:rsidR="00D07CC0" w:rsidRDefault="00D07CC0" w:rsidP="00D07CC0">
      <w:pPr>
        <w:pStyle w:val="Heading3"/>
      </w:pPr>
      <w:r>
        <w:t xml:space="preserve">With respect to Infant Communion </w:t>
      </w:r>
    </w:p>
    <w:p w14:paraId="121598AF" w14:textId="77777777" w:rsidR="00D07CC0" w:rsidRDefault="00D07CC0" w:rsidP="00D07CC0">
      <w:pPr>
        <w:pStyle w:val="Default"/>
        <w:rPr>
          <w:rFonts w:ascii="Cambria" w:hAnsi="Cambria"/>
          <w:sz w:val="22"/>
          <w:szCs w:val="22"/>
        </w:rPr>
      </w:pPr>
      <w:r>
        <w:rPr>
          <w:rFonts w:ascii="Cambria" w:hAnsi="Cambria"/>
          <w:sz w:val="22"/>
          <w:szCs w:val="22"/>
        </w:rPr>
        <w:t xml:space="preserve">The GPC discussed this matter and resolved the following: </w:t>
      </w:r>
    </w:p>
    <w:p w14:paraId="618F1BAF" w14:textId="77777777" w:rsidR="00D07CC0" w:rsidRDefault="00D07CC0" w:rsidP="00D07CC0">
      <w:pPr>
        <w:pStyle w:val="Default"/>
        <w:rPr>
          <w:rFonts w:ascii="Cambria" w:hAnsi="Cambria"/>
          <w:b/>
          <w:bCs/>
          <w:sz w:val="22"/>
          <w:szCs w:val="22"/>
        </w:rPr>
      </w:pPr>
    </w:p>
    <w:p w14:paraId="4A25E58F" w14:textId="77777777" w:rsidR="00D07CC0" w:rsidRDefault="00D07CC0" w:rsidP="00D07CC0">
      <w:pPr>
        <w:pStyle w:val="Default"/>
        <w:rPr>
          <w:rFonts w:ascii="Cambria" w:hAnsi="Cambria"/>
          <w:sz w:val="22"/>
          <w:szCs w:val="22"/>
        </w:rPr>
      </w:pPr>
      <w:r>
        <w:rPr>
          <w:rFonts w:ascii="Cambria" w:hAnsi="Cambria"/>
          <w:b/>
          <w:bCs/>
          <w:sz w:val="22"/>
          <w:szCs w:val="22"/>
        </w:rPr>
        <w:t xml:space="preserve">The GPC resolved to </w:t>
      </w:r>
      <w:r>
        <w:rPr>
          <w:rFonts w:ascii="Cambria" w:hAnsi="Cambria"/>
          <w:sz w:val="22"/>
          <w:szCs w:val="22"/>
        </w:rPr>
        <w:t xml:space="preserve">affirm the conclusions of the 2012 CTICR statement on Infant Communion, namely, that there is no change to the Church’s position as stated in the 1986 Doctrinal Statement and Theological Opinion (DSTO) document ‘Infant Communion’ but that the Church offer to families the preparation and admission of children to communion at the earliest possible age, paying due attention to the connection between communion and life-long catechesis. </w:t>
      </w:r>
    </w:p>
    <w:p w14:paraId="2AE488C0" w14:textId="77777777" w:rsidR="00D07CC0" w:rsidRDefault="00D07CC0" w:rsidP="00D07CC0">
      <w:pPr>
        <w:pStyle w:val="Default"/>
        <w:rPr>
          <w:rFonts w:ascii="Cambria" w:hAnsi="Cambria"/>
          <w:sz w:val="22"/>
          <w:szCs w:val="22"/>
        </w:rPr>
      </w:pPr>
    </w:p>
    <w:p w14:paraId="2C0D2B28" w14:textId="77777777" w:rsidR="00D07CC0" w:rsidRDefault="00D07CC0" w:rsidP="00D07CC0">
      <w:pPr>
        <w:pStyle w:val="Default"/>
        <w:rPr>
          <w:rFonts w:ascii="Cambria" w:hAnsi="Cambria"/>
          <w:sz w:val="22"/>
          <w:szCs w:val="22"/>
        </w:rPr>
      </w:pPr>
      <w:r>
        <w:rPr>
          <w:rFonts w:ascii="Cambria" w:hAnsi="Cambria"/>
          <w:sz w:val="22"/>
          <w:szCs w:val="22"/>
        </w:rPr>
        <w:t xml:space="preserve">The GPC requests that the Convention of Synod note the resolution from the GPC as it considers the congregational proposal about Infant Communion. </w:t>
      </w:r>
    </w:p>
    <w:p w14:paraId="1CE079D0" w14:textId="77777777" w:rsidR="00D07CC0" w:rsidRDefault="00D07CC0" w:rsidP="00D07CC0">
      <w:pPr>
        <w:pStyle w:val="Default"/>
        <w:rPr>
          <w:rFonts w:ascii="Cambria" w:hAnsi="Cambria"/>
          <w:sz w:val="22"/>
          <w:szCs w:val="22"/>
        </w:rPr>
      </w:pPr>
    </w:p>
    <w:tbl>
      <w:tblPr>
        <w:tblStyle w:val="TableGrid"/>
        <w:tblW w:w="0" w:type="auto"/>
        <w:tblInd w:w="0" w:type="dxa"/>
        <w:tblLook w:val="04A0" w:firstRow="1" w:lastRow="0" w:firstColumn="1" w:lastColumn="0" w:noHBand="0" w:noVBand="1"/>
      </w:tblPr>
      <w:tblGrid>
        <w:gridCol w:w="8652"/>
      </w:tblGrid>
      <w:tr w:rsidR="00D07CC0" w:rsidRPr="00D07CC0" w14:paraId="513FA4EE" w14:textId="77777777" w:rsidTr="00D07CC0">
        <w:tc>
          <w:tcPr>
            <w:tcW w:w="8652" w:type="dxa"/>
          </w:tcPr>
          <w:p w14:paraId="7D7C7A58" w14:textId="77777777" w:rsidR="00EB6C06" w:rsidRPr="00EB6C06" w:rsidRDefault="00EB6C06" w:rsidP="00874956">
            <w:pPr>
              <w:pStyle w:val="Default"/>
              <w:rPr>
                <w:rFonts w:ascii="Cambria" w:hAnsi="Cambria"/>
                <w:sz w:val="14"/>
                <w:szCs w:val="22"/>
              </w:rPr>
            </w:pPr>
          </w:p>
          <w:p w14:paraId="4898FBF9" w14:textId="77777777" w:rsidR="00D07CC0" w:rsidRDefault="00D07CC0" w:rsidP="00874956">
            <w:pPr>
              <w:pStyle w:val="Default"/>
              <w:rPr>
                <w:rFonts w:ascii="Cambria" w:hAnsi="Cambria"/>
                <w:sz w:val="22"/>
                <w:szCs w:val="22"/>
              </w:rPr>
            </w:pPr>
            <w:r w:rsidRPr="00D07CC0">
              <w:rPr>
                <w:rFonts w:ascii="Cambria" w:hAnsi="Cambria"/>
                <w:sz w:val="22"/>
                <w:szCs w:val="22"/>
              </w:rPr>
              <w:t>The CoB considers that this resolution is a recommendation to the Convention of Synod</w:t>
            </w:r>
          </w:p>
          <w:p w14:paraId="424AF902" w14:textId="2B6E7C08" w:rsidR="00EB6C06" w:rsidRPr="00EB6C06" w:rsidRDefault="00EB6C06" w:rsidP="00874956">
            <w:pPr>
              <w:pStyle w:val="Default"/>
              <w:rPr>
                <w:rFonts w:ascii="Cambria" w:hAnsi="Cambria"/>
                <w:sz w:val="14"/>
                <w:szCs w:val="22"/>
              </w:rPr>
            </w:pPr>
          </w:p>
        </w:tc>
      </w:tr>
    </w:tbl>
    <w:p w14:paraId="754CF721" w14:textId="77777777" w:rsidR="00D07CC0" w:rsidRDefault="00D07CC0" w:rsidP="00D07CC0">
      <w:pPr>
        <w:pStyle w:val="Default"/>
        <w:rPr>
          <w:rFonts w:ascii="Cambria" w:hAnsi="Cambria"/>
          <w:sz w:val="22"/>
          <w:szCs w:val="22"/>
        </w:rPr>
      </w:pPr>
    </w:p>
    <w:p w14:paraId="7BF5E229" w14:textId="64ADA983" w:rsidR="00D07CC0" w:rsidRDefault="00D07CC0" w:rsidP="00D07CC0">
      <w:pPr>
        <w:pStyle w:val="Heading3"/>
        <w:rPr>
          <w:rFonts w:cs="Century Gothic"/>
        </w:rPr>
      </w:pPr>
      <w:r>
        <w:t xml:space="preserve">With respect to the LWF and the ILC </w:t>
      </w:r>
    </w:p>
    <w:p w14:paraId="22F22D0B" w14:textId="77777777" w:rsidR="00D07CC0" w:rsidRDefault="00D07CC0" w:rsidP="00D07CC0">
      <w:pPr>
        <w:pStyle w:val="Default"/>
        <w:rPr>
          <w:rFonts w:ascii="Cambria" w:hAnsi="Cambria"/>
          <w:sz w:val="22"/>
          <w:szCs w:val="22"/>
        </w:rPr>
      </w:pPr>
      <w:r>
        <w:rPr>
          <w:rFonts w:ascii="Cambria" w:hAnsi="Cambria"/>
          <w:sz w:val="22"/>
          <w:szCs w:val="22"/>
        </w:rPr>
        <w:t xml:space="preserve">The proposals submitted by various congregations regarding the LCA becoming a full member of the LWF and becoming a full member of the ILC were referred to the GPC by the GCC. </w:t>
      </w:r>
    </w:p>
    <w:p w14:paraId="3FB6B312" w14:textId="77777777" w:rsidR="00D07CC0" w:rsidRDefault="00D07CC0" w:rsidP="00D07CC0">
      <w:pPr>
        <w:pStyle w:val="Default"/>
        <w:rPr>
          <w:rFonts w:ascii="Cambria" w:hAnsi="Cambria"/>
          <w:sz w:val="22"/>
          <w:szCs w:val="22"/>
        </w:rPr>
      </w:pPr>
    </w:p>
    <w:p w14:paraId="5F009C98" w14:textId="77777777" w:rsidR="00D07CC0" w:rsidRDefault="00D07CC0" w:rsidP="00D07CC0">
      <w:pPr>
        <w:pStyle w:val="Default"/>
        <w:rPr>
          <w:rFonts w:ascii="Cambria" w:hAnsi="Cambria"/>
          <w:sz w:val="22"/>
          <w:szCs w:val="22"/>
        </w:rPr>
      </w:pPr>
      <w:r>
        <w:rPr>
          <w:rFonts w:ascii="Cambria" w:hAnsi="Cambria"/>
          <w:sz w:val="22"/>
          <w:szCs w:val="22"/>
        </w:rPr>
        <w:t>The conference received the following advice from LCA Bishop John Henderson in his report to the GPC, ‘</w:t>
      </w:r>
      <w:r>
        <w:rPr>
          <w:rFonts w:ascii="Cambria" w:hAnsi="Cambria"/>
          <w:i/>
          <w:iCs/>
          <w:sz w:val="22"/>
          <w:szCs w:val="22"/>
        </w:rPr>
        <w:t>Membership in the LWF has been regarded as a theological matter for some years, particularly since the LWF voted to become a ‘communion’ of churches in 1990. Membership in the ILC has not been regarded as a theological matter.</w:t>
      </w:r>
      <w:r>
        <w:rPr>
          <w:rFonts w:ascii="Cambria" w:hAnsi="Cambria"/>
          <w:sz w:val="22"/>
          <w:szCs w:val="22"/>
        </w:rPr>
        <w:t xml:space="preserve">’ The Bishop recommended handling these two membership issues together. </w:t>
      </w:r>
    </w:p>
    <w:p w14:paraId="35845201" w14:textId="77777777" w:rsidR="00D07CC0" w:rsidRDefault="00D07CC0" w:rsidP="00D07CC0">
      <w:pPr>
        <w:pStyle w:val="Default"/>
        <w:rPr>
          <w:rFonts w:ascii="Cambria" w:hAnsi="Cambria"/>
          <w:sz w:val="22"/>
          <w:szCs w:val="22"/>
        </w:rPr>
      </w:pPr>
    </w:p>
    <w:p w14:paraId="304AC196" w14:textId="77777777" w:rsidR="00D07CC0" w:rsidRDefault="00D07CC0" w:rsidP="00D07CC0">
      <w:pPr>
        <w:pStyle w:val="Default"/>
        <w:rPr>
          <w:rFonts w:ascii="Cambria" w:hAnsi="Cambria"/>
          <w:sz w:val="22"/>
          <w:szCs w:val="22"/>
        </w:rPr>
      </w:pPr>
      <w:r>
        <w:rPr>
          <w:rFonts w:ascii="Cambria" w:hAnsi="Cambria"/>
          <w:sz w:val="22"/>
          <w:szCs w:val="22"/>
        </w:rPr>
        <w:t xml:space="preserve">After discussion the GPC resolved the following: </w:t>
      </w:r>
    </w:p>
    <w:p w14:paraId="4F002246" w14:textId="77777777" w:rsidR="00D07CC0" w:rsidRDefault="00D07CC0" w:rsidP="00D07CC0">
      <w:pPr>
        <w:pStyle w:val="Subtitle"/>
      </w:pPr>
      <w:r>
        <w:lastRenderedPageBreak/>
        <w:t xml:space="preserve">Recommendation 4 </w:t>
      </w:r>
    </w:p>
    <w:p w14:paraId="532FC74C" w14:textId="77777777" w:rsidR="00D07CC0" w:rsidRDefault="00D07CC0" w:rsidP="00D07CC0">
      <w:pPr>
        <w:pStyle w:val="Default"/>
        <w:rPr>
          <w:rFonts w:ascii="Cambria" w:hAnsi="Cambria"/>
          <w:sz w:val="22"/>
          <w:szCs w:val="22"/>
        </w:rPr>
      </w:pPr>
      <w:r>
        <w:rPr>
          <w:rFonts w:ascii="Cambria" w:hAnsi="Cambria"/>
          <w:b/>
          <w:bCs/>
          <w:sz w:val="22"/>
          <w:szCs w:val="22"/>
        </w:rPr>
        <w:t xml:space="preserve">The GPC recommends </w:t>
      </w:r>
      <w:r>
        <w:rPr>
          <w:rFonts w:ascii="Cambria" w:hAnsi="Cambria"/>
          <w:sz w:val="22"/>
          <w:szCs w:val="22"/>
        </w:rPr>
        <w:t xml:space="preserve">to the Convention of Synod that the LCA commission a study of the implications and advisability of full membership in both the LWF and the ILC and arrange for the presentation of a report with recommendations to the 2021 GPC and Convention of Synod. </w:t>
      </w:r>
    </w:p>
    <w:p w14:paraId="6AFD8FB7" w14:textId="77777777" w:rsidR="00D07CC0" w:rsidRDefault="00D07CC0" w:rsidP="00D07CC0">
      <w:pPr>
        <w:pStyle w:val="Default"/>
        <w:rPr>
          <w:rFonts w:ascii="Cambria" w:hAnsi="Cambria"/>
          <w:b/>
          <w:bCs/>
          <w:sz w:val="22"/>
          <w:szCs w:val="22"/>
        </w:rPr>
      </w:pPr>
    </w:p>
    <w:p w14:paraId="1C7F48E8" w14:textId="77777777" w:rsidR="00D07CC0" w:rsidRDefault="00D07CC0" w:rsidP="00D07CC0">
      <w:pPr>
        <w:pStyle w:val="Heading3"/>
      </w:pPr>
      <w:r>
        <w:t xml:space="preserve">Late Proposal regarding the National Redress Scheme </w:t>
      </w:r>
    </w:p>
    <w:p w14:paraId="5A1CB5A3" w14:textId="77777777" w:rsidR="00D07CC0" w:rsidRDefault="00D07CC0" w:rsidP="00D07CC0">
      <w:pPr>
        <w:pStyle w:val="Default"/>
        <w:rPr>
          <w:rFonts w:ascii="Cambria" w:hAnsi="Cambria"/>
          <w:sz w:val="22"/>
          <w:szCs w:val="22"/>
        </w:rPr>
      </w:pPr>
      <w:r>
        <w:rPr>
          <w:rFonts w:ascii="Cambria" w:hAnsi="Cambria"/>
          <w:sz w:val="22"/>
          <w:szCs w:val="22"/>
        </w:rPr>
        <w:t xml:space="preserve">The GPC discussed and resolved the following: </w:t>
      </w:r>
    </w:p>
    <w:p w14:paraId="1A710163" w14:textId="77777777" w:rsidR="00D07CC0" w:rsidRDefault="00D07CC0" w:rsidP="00D07CC0">
      <w:pPr>
        <w:pStyle w:val="Default"/>
        <w:rPr>
          <w:rFonts w:ascii="Cambria" w:hAnsi="Cambria"/>
          <w:b/>
          <w:bCs/>
          <w:sz w:val="22"/>
          <w:szCs w:val="22"/>
        </w:rPr>
      </w:pPr>
    </w:p>
    <w:p w14:paraId="7C4EFE44" w14:textId="205863A2" w:rsidR="00D07CC0" w:rsidRDefault="00D07CC0" w:rsidP="00D07CC0">
      <w:pPr>
        <w:pStyle w:val="Default"/>
        <w:rPr>
          <w:rFonts w:ascii="Cambria" w:hAnsi="Cambria"/>
          <w:sz w:val="22"/>
          <w:szCs w:val="22"/>
        </w:rPr>
      </w:pPr>
      <w:r>
        <w:rPr>
          <w:rFonts w:ascii="Cambria" w:hAnsi="Cambria"/>
          <w:b/>
          <w:bCs/>
          <w:sz w:val="22"/>
          <w:szCs w:val="22"/>
        </w:rPr>
        <w:t xml:space="preserve">The GPC notes </w:t>
      </w:r>
      <w:r>
        <w:rPr>
          <w:rFonts w:ascii="Cambria" w:hAnsi="Cambria"/>
          <w:sz w:val="22"/>
          <w:szCs w:val="22"/>
        </w:rPr>
        <w:t>with gratitude the decision of the General Church Council that the LCA join the National Redress Scheme following the Royal Commission into Institutional Responses to Child Sexual Abuse, and encourage the CoB and GCC as they deal with the range of issues that arise. The GPC encourages pastors and members of the LCA to greater awareness of the impacts of all kinds of abuse on individuals and on the whole community, as we demonstrate concern, care, and compassion, working together as the people of God to prevent and respond to abuse, making genuine efforts to reduce its incidence in church, community, and family settings.</w:t>
      </w:r>
      <w:r w:rsidR="00EB6C06">
        <w:rPr>
          <w:rFonts w:ascii="Cambria" w:hAnsi="Cambria"/>
          <w:sz w:val="22"/>
          <w:szCs w:val="22"/>
        </w:rPr>
        <w:t xml:space="preserve">  </w:t>
      </w:r>
    </w:p>
    <w:p w14:paraId="79F30CBF" w14:textId="7C3D05DA" w:rsidR="00EB6C06" w:rsidRDefault="00EB6C06" w:rsidP="00D07CC0">
      <w:pPr>
        <w:pStyle w:val="Default"/>
        <w:rPr>
          <w:rFonts w:ascii="Cambria" w:hAnsi="Cambria"/>
          <w:sz w:val="22"/>
          <w:szCs w:val="22"/>
        </w:rPr>
      </w:pPr>
    </w:p>
    <w:tbl>
      <w:tblPr>
        <w:tblStyle w:val="TableGrid"/>
        <w:tblW w:w="0" w:type="auto"/>
        <w:tblInd w:w="0" w:type="dxa"/>
        <w:tblLook w:val="04A0" w:firstRow="1" w:lastRow="0" w:firstColumn="1" w:lastColumn="0" w:noHBand="0" w:noVBand="1"/>
      </w:tblPr>
      <w:tblGrid>
        <w:gridCol w:w="8652"/>
      </w:tblGrid>
      <w:tr w:rsidR="00EB6C06" w:rsidRPr="00EB6C06" w14:paraId="46CC5F98" w14:textId="77777777" w:rsidTr="00EB6C06">
        <w:trPr>
          <w:trHeight w:val="8874"/>
        </w:trPr>
        <w:tc>
          <w:tcPr>
            <w:tcW w:w="8652" w:type="dxa"/>
          </w:tcPr>
          <w:p w14:paraId="02511BDE" w14:textId="77777777" w:rsidR="00EB6C06" w:rsidRPr="00EB6C06" w:rsidRDefault="00EB6C06" w:rsidP="00AD09CB">
            <w:pPr>
              <w:pStyle w:val="Default"/>
              <w:rPr>
                <w:rFonts w:ascii="Cambria" w:hAnsi="Cambria"/>
                <w:b/>
                <w:sz w:val="12"/>
                <w:szCs w:val="22"/>
              </w:rPr>
            </w:pPr>
          </w:p>
          <w:p w14:paraId="117A08AA" w14:textId="4587B5AA" w:rsidR="00EB6C06" w:rsidRPr="00EB6C06" w:rsidRDefault="00EB6C06" w:rsidP="00AD09CB">
            <w:pPr>
              <w:pStyle w:val="Default"/>
              <w:rPr>
                <w:rFonts w:ascii="Cambria" w:hAnsi="Cambria"/>
                <w:b/>
                <w:sz w:val="22"/>
                <w:szCs w:val="22"/>
              </w:rPr>
            </w:pPr>
            <w:r w:rsidRPr="00EB6C06">
              <w:rPr>
                <w:rFonts w:ascii="Cambria" w:hAnsi="Cambria"/>
                <w:b/>
                <w:sz w:val="22"/>
                <w:szCs w:val="22"/>
              </w:rPr>
              <w:t xml:space="preserve">Pastoral Conclusion </w:t>
            </w:r>
          </w:p>
          <w:p w14:paraId="11AB2053" w14:textId="77777777" w:rsidR="00EB6C06" w:rsidRPr="00EB6C06" w:rsidRDefault="00EB6C06" w:rsidP="00AD09CB">
            <w:pPr>
              <w:pStyle w:val="Default"/>
              <w:rPr>
                <w:rFonts w:ascii="Cambria" w:hAnsi="Cambria"/>
                <w:sz w:val="22"/>
                <w:szCs w:val="22"/>
              </w:rPr>
            </w:pPr>
            <w:r w:rsidRPr="00EB6C06">
              <w:rPr>
                <w:rFonts w:ascii="Cambria" w:hAnsi="Cambria"/>
                <w:sz w:val="22"/>
                <w:szCs w:val="22"/>
              </w:rPr>
              <w:t xml:space="preserve">Led by the Holy Spirit and with thanksgiving, the GPC offers this advice to the delegates of the 19th General Convention of Synod. </w:t>
            </w:r>
          </w:p>
          <w:p w14:paraId="6D03DD53" w14:textId="77777777" w:rsidR="00EB6C06" w:rsidRPr="00EB6C06" w:rsidRDefault="00EB6C06" w:rsidP="00AD09CB">
            <w:pPr>
              <w:pStyle w:val="Default"/>
              <w:rPr>
                <w:rFonts w:ascii="Cambria" w:hAnsi="Cambria"/>
                <w:sz w:val="22"/>
                <w:szCs w:val="22"/>
              </w:rPr>
            </w:pPr>
            <w:r w:rsidRPr="00EB6C06">
              <w:rPr>
                <w:rFonts w:ascii="Cambria" w:hAnsi="Cambria"/>
                <w:sz w:val="22"/>
                <w:szCs w:val="22"/>
              </w:rPr>
              <w:t xml:space="preserve">Together with you, in the power of the Holy Spirit, we share a deep commitment to our Lord and his church. The GPC was immersed in worship and prayer, and its conversations were marked by considerate language and a gentle spirit. The foremost concern of the pastors was for the well-being and advancement of the church. </w:t>
            </w:r>
          </w:p>
          <w:p w14:paraId="484EBCCD" w14:textId="77777777" w:rsidR="00EB6C06" w:rsidRPr="00EB6C06" w:rsidRDefault="00EB6C06" w:rsidP="00AD09CB">
            <w:pPr>
              <w:pStyle w:val="Default"/>
              <w:rPr>
                <w:rFonts w:ascii="Cambria" w:hAnsi="Cambria"/>
                <w:sz w:val="22"/>
                <w:szCs w:val="22"/>
              </w:rPr>
            </w:pPr>
            <w:r w:rsidRPr="00EB6C06">
              <w:rPr>
                <w:rFonts w:ascii="Cambria" w:hAnsi="Cambria"/>
                <w:sz w:val="22"/>
                <w:szCs w:val="22"/>
              </w:rPr>
              <w:t xml:space="preserve">The pastors pray that this advice is beneficial to you as we prepare for the 19th General Convention of Synod in October. As we get ready to gather in Sydney may we: </w:t>
            </w:r>
          </w:p>
          <w:p w14:paraId="0FADE3DC" w14:textId="77777777" w:rsidR="00EB6C06" w:rsidRPr="00EB6C06" w:rsidRDefault="00EB6C06" w:rsidP="00F55252">
            <w:pPr>
              <w:pStyle w:val="Default"/>
              <w:numPr>
                <w:ilvl w:val="0"/>
                <w:numId w:val="322"/>
              </w:numPr>
              <w:ind w:left="589" w:hanging="589"/>
              <w:rPr>
                <w:rFonts w:ascii="Cambria" w:hAnsi="Cambria"/>
                <w:sz w:val="22"/>
                <w:szCs w:val="22"/>
              </w:rPr>
            </w:pPr>
            <w:r w:rsidRPr="00EB6C06">
              <w:rPr>
                <w:rFonts w:ascii="Cambria" w:hAnsi="Cambria"/>
                <w:sz w:val="22"/>
                <w:szCs w:val="22"/>
              </w:rPr>
              <w:t xml:space="preserve">uphold the truth of the gospel in our words and our deeds; </w:t>
            </w:r>
          </w:p>
          <w:p w14:paraId="1D0B2B2B" w14:textId="77777777" w:rsidR="00EB6C06" w:rsidRPr="00EB6C06" w:rsidRDefault="00EB6C06" w:rsidP="00F55252">
            <w:pPr>
              <w:pStyle w:val="Default"/>
              <w:numPr>
                <w:ilvl w:val="0"/>
                <w:numId w:val="322"/>
              </w:numPr>
              <w:ind w:left="589" w:hanging="589"/>
              <w:rPr>
                <w:rFonts w:ascii="Cambria" w:hAnsi="Cambria"/>
                <w:sz w:val="22"/>
                <w:szCs w:val="22"/>
              </w:rPr>
            </w:pPr>
            <w:r w:rsidRPr="00EB6C06">
              <w:rPr>
                <w:rFonts w:ascii="Cambria" w:hAnsi="Cambria"/>
                <w:sz w:val="22"/>
                <w:szCs w:val="22"/>
              </w:rPr>
              <w:t xml:space="preserve">work to maintain the unity of the church through the power of the Spirit; </w:t>
            </w:r>
          </w:p>
          <w:p w14:paraId="5083C598" w14:textId="77777777" w:rsidR="00EB6C06" w:rsidRPr="00EB6C06" w:rsidRDefault="00EB6C06" w:rsidP="00F55252">
            <w:pPr>
              <w:pStyle w:val="Default"/>
              <w:numPr>
                <w:ilvl w:val="0"/>
                <w:numId w:val="322"/>
              </w:numPr>
              <w:ind w:left="589" w:hanging="589"/>
              <w:rPr>
                <w:rFonts w:ascii="Cambria" w:hAnsi="Cambria"/>
                <w:sz w:val="22"/>
                <w:szCs w:val="22"/>
              </w:rPr>
            </w:pPr>
            <w:r w:rsidRPr="00EB6C06">
              <w:rPr>
                <w:rFonts w:ascii="Cambria" w:hAnsi="Cambria"/>
                <w:sz w:val="22"/>
                <w:szCs w:val="22"/>
              </w:rPr>
              <w:t xml:space="preserve">make sound and healthy decisions based on Scripture and guided by our Confessions; </w:t>
            </w:r>
          </w:p>
          <w:p w14:paraId="6A40422A" w14:textId="77777777" w:rsidR="00EB6C06" w:rsidRPr="00EB6C06" w:rsidRDefault="00EB6C06" w:rsidP="00F55252">
            <w:pPr>
              <w:pStyle w:val="Default"/>
              <w:numPr>
                <w:ilvl w:val="0"/>
                <w:numId w:val="322"/>
              </w:numPr>
              <w:ind w:left="589" w:hanging="589"/>
              <w:rPr>
                <w:rFonts w:ascii="Cambria" w:hAnsi="Cambria"/>
                <w:sz w:val="22"/>
                <w:szCs w:val="22"/>
              </w:rPr>
            </w:pPr>
            <w:r w:rsidRPr="00EB6C06">
              <w:rPr>
                <w:rFonts w:ascii="Cambria" w:hAnsi="Cambria"/>
                <w:sz w:val="22"/>
                <w:szCs w:val="22"/>
              </w:rPr>
              <w:t xml:space="preserve">conduct our business in ways that are life-giving for the whole church; </w:t>
            </w:r>
          </w:p>
          <w:p w14:paraId="3E373F51" w14:textId="77777777" w:rsidR="00EB6C06" w:rsidRPr="00EB6C06" w:rsidRDefault="00EB6C06" w:rsidP="00F55252">
            <w:pPr>
              <w:pStyle w:val="Default"/>
              <w:numPr>
                <w:ilvl w:val="0"/>
                <w:numId w:val="322"/>
              </w:numPr>
              <w:ind w:left="589" w:hanging="589"/>
              <w:rPr>
                <w:rFonts w:ascii="Cambria" w:hAnsi="Cambria"/>
                <w:sz w:val="22"/>
                <w:szCs w:val="22"/>
              </w:rPr>
            </w:pPr>
            <w:r w:rsidRPr="00EB6C06">
              <w:rPr>
                <w:rFonts w:ascii="Cambria" w:hAnsi="Cambria"/>
                <w:sz w:val="22"/>
                <w:szCs w:val="22"/>
              </w:rPr>
              <w:t xml:space="preserve">commit to work charitably, peacefully and patiently with those who struggle with the outcome of any synodical decision; </w:t>
            </w:r>
          </w:p>
          <w:p w14:paraId="6884DC24" w14:textId="77777777" w:rsidR="00EB6C06" w:rsidRPr="00EB6C06" w:rsidRDefault="00EB6C06" w:rsidP="00F55252">
            <w:pPr>
              <w:pStyle w:val="Default"/>
              <w:numPr>
                <w:ilvl w:val="0"/>
                <w:numId w:val="322"/>
              </w:numPr>
              <w:ind w:left="589" w:hanging="589"/>
              <w:rPr>
                <w:rFonts w:ascii="Cambria" w:hAnsi="Cambria"/>
                <w:sz w:val="22"/>
                <w:szCs w:val="22"/>
              </w:rPr>
            </w:pPr>
            <w:r w:rsidRPr="00EB6C06">
              <w:rPr>
                <w:rFonts w:ascii="Cambria" w:hAnsi="Cambria"/>
                <w:sz w:val="22"/>
                <w:szCs w:val="22"/>
              </w:rPr>
              <w:t xml:space="preserve">join together in thanking and praising God for his goodness to us; </w:t>
            </w:r>
          </w:p>
          <w:p w14:paraId="4BFE497D" w14:textId="77777777" w:rsidR="00EB6C06" w:rsidRPr="00EB6C06" w:rsidRDefault="00EB6C06" w:rsidP="00F55252">
            <w:pPr>
              <w:pStyle w:val="Default"/>
              <w:numPr>
                <w:ilvl w:val="0"/>
                <w:numId w:val="322"/>
              </w:numPr>
              <w:ind w:left="589" w:hanging="589"/>
              <w:rPr>
                <w:rFonts w:ascii="Cambria" w:hAnsi="Cambria"/>
                <w:sz w:val="22"/>
                <w:szCs w:val="22"/>
              </w:rPr>
            </w:pPr>
            <w:r w:rsidRPr="00EB6C06">
              <w:rPr>
                <w:rFonts w:ascii="Cambria" w:hAnsi="Cambria"/>
                <w:sz w:val="22"/>
                <w:szCs w:val="22"/>
              </w:rPr>
              <w:t xml:space="preserve">commit to a common life of discipleship and witness to our Lord Jesus Christ. </w:t>
            </w:r>
          </w:p>
          <w:p w14:paraId="75561646" w14:textId="77777777" w:rsidR="00EB6C06" w:rsidRPr="00EB6C06" w:rsidRDefault="00EB6C06" w:rsidP="00AD09CB">
            <w:pPr>
              <w:pStyle w:val="Default"/>
              <w:rPr>
                <w:rFonts w:ascii="Cambria" w:hAnsi="Cambria"/>
                <w:sz w:val="22"/>
                <w:szCs w:val="22"/>
              </w:rPr>
            </w:pPr>
            <w:r w:rsidRPr="00EB6C06">
              <w:rPr>
                <w:rFonts w:ascii="Cambria" w:hAnsi="Cambria"/>
                <w:sz w:val="22"/>
                <w:szCs w:val="22"/>
              </w:rPr>
              <w:t xml:space="preserve">As we prayed in 2015, so we pray again: </w:t>
            </w:r>
          </w:p>
          <w:p w14:paraId="02A181C8" w14:textId="77777777" w:rsidR="00EB6C06" w:rsidRPr="00EB6C06" w:rsidRDefault="00EB6C06" w:rsidP="00AD09CB">
            <w:pPr>
              <w:pStyle w:val="Default"/>
              <w:spacing w:after="120"/>
              <w:rPr>
                <w:rFonts w:ascii="Cambria" w:hAnsi="Cambria"/>
                <w:sz w:val="22"/>
                <w:szCs w:val="22"/>
              </w:rPr>
            </w:pPr>
            <w:r w:rsidRPr="00EB6C06">
              <w:rPr>
                <w:rFonts w:ascii="Cambria" w:hAnsi="Cambria"/>
                <w:i/>
                <w:iCs/>
                <w:sz w:val="22"/>
                <w:szCs w:val="22"/>
              </w:rPr>
              <w:t xml:space="preserve">Heavenly Father thank you for your church into which you have graciously called us. </w:t>
            </w:r>
          </w:p>
          <w:p w14:paraId="08FC7CFF" w14:textId="77777777" w:rsidR="00EB6C06" w:rsidRPr="00EB6C06" w:rsidRDefault="00EB6C06" w:rsidP="00AD09CB">
            <w:pPr>
              <w:pStyle w:val="Default"/>
              <w:spacing w:after="120"/>
              <w:rPr>
                <w:rFonts w:ascii="Cambria" w:hAnsi="Cambria"/>
                <w:sz w:val="22"/>
                <w:szCs w:val="22"/>
              </w:rPr>
            </w:pPr>
            <w:r w:rsidRPr="00EB6C06">
              <w:rPr>
                <w:rFonts w:ascii="Cambria" w:hAnsi="Cambria"/>
                <w:i/>
                <w:iCs/>
                <w:sz w:val="22"/>
                <w:szCs w:val="22"/>
              </w:rPr>
              <w:t xml:space="preserve">Thank you for your Word through which you reveal your will and work in this world. </w:t>
            </w:r>
          </w:p>
          <w:p w14:paraId="595403FA" w14:textId="77777777" w:rsidR="00EB6C06" w:rsidRPr="00EB6C06" w:rsidRDefault="00EB6C06" w:rsidP="00AD09CB">
            <w:pPr>
              <w:pStyle w:val="Default"/>
              <w:spacing w:after="120"/>
              <w:rPr>
                <w:rFonts w:ascii="Cambria" w:hAnsi="Cambria"/>
                <w:sz w:val="22"/>
                <w:szCs w:val="22"/>
              </w:rPr>
            </w:pPr>
            <w:r w:rsidRPr="00EB6C06">
              <w:rPr>
                <w:rFonts w:ascii="Cambria" w:hAnsi="Cambria"/>
                <w:i/>
                <w:iCs/>
                <w:sz w:val="22"/>
                <w:szCs w:val="22"/>
              </w:rPr>
              <w:t xml:space="preserve">As we look forward to and plan for our General Convention of Synod, give our delegates wisdom, guidance and patience. Open our hearts to your leading so that we may speak and act in ways that will honour your name. </w:t>
            </w:r>
          </w:p>
          <w:p w14:paraId="07296747" w14:textId="77777777" w:rsidR="00EB6C06" w:rsidRPr="00EB6C06" w:rsidRDefault="00EB6C06" w:rsidP="00AD09CB">
            <w:pPr>
              <w:pStyle w:val="Default"/>
              <w:spacing w:after="120"/>
              <w:rPr>
                <w:rFonts w:ascii="Cambria" w:hAnsi="Cambria"/>
                <w:sz w:val="22"/>
                <w:szCs w:val="22"/>
              </w:rPr>
            </w:pPr>
            <w:r w:rsidRPr="00EB6C06">
              <w:rPr>
                <w:rFonts w:ascii="Cambria" w:hAnsi="Cambria"/>
                <w:i/>
                <w:iCs/>
                <w:sz w:val="22"/>
                <w:szCs w:val="22"/>
              </w:rPr>
              <w:t xml:space="preserve">Continue to give us unity as we consider the business before us, especially matters of a theological and confessional nature. </w:t>
            </w:r>
          </w:p>
          <w:p w14:paraId="5A6BD4B3" w14:textId="77777777" w:rsidR="00EB6C06" w:rsidRPr="00EB6C06" w:rsidRDefault="00EB6C06" w:rsidP="00AD09CB">
            <w:pPr>
              <w:pStyle w:val="Default"/>
              <w:spacing w:after="120"/>
              <w:rPr>
                <w:rFonts w:ascii="Cambria" w:hAnsi="Cambria"/>
                <w:sz w:val="22"/>
                <w:szCs w:val="22"/>
              </w:rPr>
            </w:pPr>
            <w:r w:rsidRPr="00EB6C06">
              <w:rPr>
                <w:rFonts w:ascii="Cambria" w:hAnsi="Cambria"/>
                <w:i/>
                <w:iCs/>
                <w:sz w:val="22"/>
                <w:szCs w:val="22"/>
              </w:rPr>
              <w:t xml:space="preserve">Focus our attention on you and empower us with your Holy Spirit so that we continue to bring the joy of your salvation to our communities and your love to life in our world. </w:t>
            </w:r>
          </w:p>
          <w:p w14:paraId="1466CCD2" w14:textId="75CBC2EC" w:rsidR="00EB6C06" w:rsidRPr="00EB6C06" w:rsidRDefault="00EB6C06" w:rsidP="00AD09CB">
            <w:pPr>
              <w:pStyle w:val="Default"/>
              <w:rPr>
                <w:rFonts w:ascii="Cambria" w:hAnsi="Cambria"/>
                <w:b/>
                <w:sz w:val="22"/>
                <w:szCs w:val="22"/>
              </w:rPr>
            </w:pPr>
            <w:r w:rsidRPr="00EB6C06">
              <w:rPr>
                <w:i/>
                <w:iCs/>
              </w:rPr>
              <w:t>Now to him who is able to do immeasurably more than all we ask or imagine, according to his power that is at work within us, to him be glory in the church and in Christ Jesus throughout all generations, for ever and ever! Amen.</w:t>
            </w:r>
          </w:p>
        </w:tc>
      </w:tr>
    </w:tbl>
    <w:p w14:paraId="3A24ECF9" w14:textId="77777777" w:rsidR="00EB6C06" w:rsidRDefault="00EB6C06" w:rsidP="00D07CC0">
      <w:pPr>
        <w:pStyle w:val="Default"/>
        <w:rPr>
          <w:rFonts w:ascii="Cambria" w:hAnsi="Cambria"/>
          <w:sz w:val="22"/>
          <w:szCs w:val="22"/>
        </w:rPr>
      </w:pPr>
    </w:p>
    <w:p w14:paraId="0F313BD4" w14:textId="521C783A" w:rsidR="00C8498A" w:rsidRDefault="00C8498A" w:rsidP="00C8498A">
      <w:pPr>
        <w:rPr>
          <w:rFonts w:ascii="Cambria" w:eastAsiaTheme="majorEastAsia" w:hAnsi="Cambria" w:cstheme="majorBidi"/>
          <w:b/>
          <w:caps/>
          <w:sz w:val="28"/>
          <w:szCs w:val="24"/>
        </w:rPr>
      </w:pPr>
    </w:p>
    <w:p w14:paraId="0D545FE5" w14:textId="36B8585E" w:rsidR="000F6859" w:rsidRPr="009A0DA6" w:rsidRDefault="000F6859" w:rsidP="005D571C">
      <w:pPr>
        <w:pStyle w:val="Heading1"/>
      </w:pPr>
      <w:bookmarkStart w:id="38" w:name="_Toc521954597"/>
      <w:bookmarkStart w:id="39" w:name="_Toc522394962"/>
      <w:bookmarkStart w:id="40" w:name="_Hlk522191649"/>
      <w:r w:rsidRPr="009A0DA6">
        <w:lastRenderedPageBreak/>
        <w:t>Proposals</w:t>
      </w:r>
      <w:r w:rsidR="00D04794" w:rsidRPr="009A0DA6">
        <w:t xml:space="preserve"> from lca boards </w:t>
      </w:r>
      <w:r w:rsidR="00D04794" w:rsidRPr="009A0DA6">
        <w:br/>
        <w:t>and commissions</w:t>
      </w:r>
      <w:bookmarkEnd w:id="38"/>
      <w:bookmarkEnd w:id="39"/>
    </w:p>
    <w:p w14:paraId="78EF8BB6" w14:textId="77777777" w:rsidR="000F6859" w:rsidRPr="009A0DA6" w:rsidRDefault="000F6859" w:rsidP="000F6859">
      <w:pPr>
        <w:pStyle w:val="NoSpacing"/>
      </w:pPr>
    </w:p>
    <w:p w14:paraId="737EA73B" w14:textId="77777777" w:rsidR="00906B06" w:rsidRPr="009A0DA6" w:rsidRDefault="00906B06" w:rsidP="00964A90">
      <w:pPr>
        <w:pStyle w:val="Heading3"/>
      </w:pPr>
      <w:r w:rsidRPr="009A0DA6">
        <w:t>agenda 2.2.1</w:t>
      </w:r>
    </w:p>
    <w:p w14:paraId="5CE264E3" w14:textId="6261D8A3" w:rsidR="00906B06" w:rsidRPr="009A0DA6" w:rsidRDefault="00906B06" w:rsidP="005D571C">
      <w:pPr>
        <w:pStyle w:val="Heading2"/>
      </w:pPr>
      <w:bookmarkStart w:id="41" w:name="_Toc521954598"/>
      <w:bookmarkStart w:id="42" w:name="_Toc522394963"/>
      <w:r w:rsidRPr="009A0DA6">
        <w:t>Governing</w:t>
      </w:r>
      <w:r w:rsidR="0037789C" w:rsidRPr="009A0DA6">
        <w:t xml:space="preserve"> </w:t>
      </w:r>
      <w:r w:rsidR="00174A5E" w:rsidRPr="009A0DA6">
        <w:t>b</w:t>
      </w:r>
      <w:r w:rsidR="0037789C" w:rsidRPr="009A0DA6">
        <w:t>odies</w:t>
      </w:r>
      <w:bookmarkEnd w:id="41"/>
      <w:bookmarkEnd w:id="42"/>
    </w:p>
    <w:p w14:paraId="74454C60" w14:textId="77777777" w:rsidR="00906B06" w:rsidRPr="009A0DA6" w:rsidRDefault="00906B06" w:rsidP="00906B06">
      <w:pPr>
        <w:pStyle w:val="NoSpacing"/>
      </w:pPr>
    </w:p>
    <w:p w14:paraId="7F6B8D4B" w14:textId="5514D8FB" w:rsidR="00AD32D2" w:rsidRDefault="00AD32D2" w:rsidP="00AD32D2">
      <w:pPr>
        <w:pStyle w:val="NoSpacing"/>
        <w:rPr>
          <w:lang w:eastAsia="en-AU"/>
        </w:rPr>
      </w:pPr>
      <w:r>
        <w:rPr>
          <w:lang w:eastAsia="en-AU"/>
        </w:rPr>
        <w:t>(See also Agenda 2.4.4)</w:t>
      </w:r>
    </w:p>
    <w:p w14:paraId="1BD4E7D5" w14:textId="77777777" w:rsidR="00AD32D2" w:rsidRDefault="00AD32D2" w:rsidP="00AD32D2">
      <w:pPr>
        <w:pStyle w:val="NoSpacing"/>
        <w:rPr>
          <w:lang w:eastAsia="en-AU"/>
        </w:rPr>
      </w:pPr>
    </w:p>
    <w:p w14:paraId="2A8AEED4" w14:textId="1BA40BF6" w:rsidR="00E0197D" w:rsidRPr="009A0DA6" w:rsidRDefault="00E0197D" w:rsidP="00E0197D">
      <w:pPr>
        <w:pStyle w:val="Heading3"/>
        <w:rPr>
          <w:rFonts w:eastAsia="Times New Roman"/>
          <w:lang w:eastAsia="en-AU"/>
        </w:rPr>
      </w:pPr>
      <w:r w:rsidRPr="009A0DA6">
        <w:rPr>
          <w:rFonts w:eastAsia="Times New Roman"/>
          <w:lang w:eastAsia="en-AU"/>
        </w:rPr>
        <w:t>PROPOSED MOTION</w:t>
      </w:r>
    </w:p>
    <w:p w14:paraId="2EF907F8" w14:textId="77777777" w:rsidR="00E0197D" w:rsidRPr="009A0DA6" w:rsidRDefault="00E0197D" w:rsidP="00E0197D">
      <w:pPr>
        <w:shd w:val="clear" w:color="auto" w:fill="FFFFFF"/>
        <w:spacing w:after="120" w:line="22" w:lineRule="atLeast"/>
        <w:rPr>
          <w:rFonts w:ascii="Cambria" w:hAnsi="Cambria" w:cs="Arial"/>
          <w:i/>
          <w:shd w:val="clear" w:color="auto" w:fill="FFFFFF"/>
        </w:rPr>
      </w:pPr>
      <w:r w:rsidRPr="009A0DA6">
        <w:rPr>
          <w:rFonts w:ascii="Cambria" w:eastAsia="Times New Roman" w:hAnsi="Cambria" w:cs="Times New Roman"/>
          <w:bCs/>
          <w:i/>
          <w:lang w:eastAsia="en-AU"/>
        </w:rPr>
        <w:t>Submitted by General Church Council</w:t>
      </w:r>
    </w:p>
    <w:p w14:paraId="22B37D7A" w14:textId="782A654F" w:rsidR="00E0197D" w:rsidRPr="009A0DA6" w:rsidRDefault="00E0197D" w:rsidP="00E0197D">
      <w:pPr>
        <w:shd w:val="clear" w:color="auto" w:fill="FFFFFF"/>
        <w:spacing w:after="0" w:line="240" w:lineRule="auto"/>
        <w:rPr>
          <w:rFonts w:ascii="Cambria" w:eastAsia="Times New Roman" w:hAnsi="Cambria" w:cs="Times New Roman"/>
          <w:bCs/>
          <w:color w:val="222222"/>
          <w:lang w:eastAsia="en-AU"/>
        </w:rPr>
      </w:pPr>
      <w:r w:rsidRPr="009A0DA6">
        <w:rPr>
          <w:rFonts w:ascii="Cambria" w:eastAsia="Times New Roman" w:hAnsi="Cambria" w:cs="Times New Roman"/>
          <w:b/>
          <w:bCs/>
          <w:color w:val="222222"/>
          <w:lang w:eastAsia="en-AU"/>
        </w:rPr>
        <w:t>BE IT RESOLVED</w:t>
      </w:r>
      <w:r w:rsidR="00712620" w:rsidRPr="009A0DA6">
        <w:rPr>
          <w:rFonts w:ascii="Cambria" w:eastAsia="Times New Roman" w:hAnsi="Cambria" w:cs="Times New Roman"/>
          <w:bCs/>
          <w:color w:val="222222"/>
          <w:lang w:eastAsia="en-AU"/>
        </w:rPr>
        <w:t xml:space="preserve"> </w:t>
      </w:r>
      <w:r w:rsidRPr="009A0DA6">
        <w:rPr>
          <w:rFonts w:ascii="Cambria" w:eastAsia="Times New Roman" w:hAnsi="Cambria" w:cs="Times New Roman"/>
          <w:bCs/>
          <w:color w:val="222222"/>
          <w:lang w:eastAsia="en-AU"/>
        </w:rPr>
        <w:t xml:space="preserve">that </w:t>
      </w:r>
      <w:r w:rsidRPr="009A0DA6">
        <w:rPr>
          <w:rFonts w:ascii="Cambria" w:eastAsia="Times New Roman" w:hAnsi="Cambria" w:cs="Times New Roman"/>
          <w:b/>
          <w:bCs/>
          <w:color w:val="222222"/>
          <w:lang w:eastAsia="en-AU"/>
        </w:rPr>
        <w:t>Article 8 Officers and Administration</w:t>
      </w:r>
      <w:r w:rsidRPr="009A0DA6">
        <w:rPr>
          <w:rFonts w:ascii="Cambria" w:eastAsia="Times New Roman" w:hAnsi="Cambria" w:cs="Times New Roman"/>
          <w:bCs/>
          <w:color w:val="222222"/>
          <w:lang w:eastAsia="en-AU"/>
        </w:rPr>
        <w:t xml:space="preserve"> of the Constitution of the Church be amended to allow for the implementation of the revised governance structure as follows (words to be deleted – </w:t>
      </w:r>
      <w:r w:rsidRPr="009A0DA6">
        <w:rPr>
          <w:rFonts w:ascii="Cambria" w:eastAsia="Times New Roman" w:hAnsi="Cambria" w:cs="Times New Roman"/>
          <w:bCs/>
          <w:strike/>
          <w:color w:val="222222"/>
          <w:lang w:eastAsia="en-AU"/>
        </w:rPr>
        <w:t>strikethrough</w:t>
      </w:r>
      <w:r w:rsidRPr="009A0DA6">
        <w:rPr>
          <w:rFonts w:ascii="Cambria" w:eastAsia="Times New Roman" w:hAnsi="Cambria" w:cs="Times New Roman"/>
          <w:bCs/>
          <w:color w:val="222222"/>
          <w:lang w:eastAsia="en-AU"/>
        </w:rPr>
        <w:t xml:space="preserve">;  words to be added – </w:t>
      </w:r>
      <w:r w:rsidRPr="009A0DA6">
        <w:rPr>
          <w:rFonts w:ascii="Cambria" w:eastAsia="Times New Roman" w:hAnsi="Cambria" w:cs="Times New Roman"/>
          <w:b/>
          <w:bCs/>
          <w:color w:val="222222"/>
          <w:lang w:eastAsia="en-AU"/>
        </w:rPr>
        <w:t>bold</w:t>
      </w:r>
      <w:r w:rsidRPr="009A0DA6">
        <w:rPr>
          <w:rFonts w:ascii="Cambria" w:eastAsia="Times New Roman" w:hAnsi="Cambria" w:cs="Times New Roman"/>
          <w:bCs/>
          <w:color w:val="222222"/>
          <w:lang w:eastAsia="en-AU"/>
        </w:rPr>
        <w:t>):</w:t>
      </w:r>
    </w:p>
    <w:p w14:paraId="5AE176A1" w14:textId="77777777" w:rsidR="00E0197D" w:rsidRPr="009A0DA6" w:rsidRDefault="00E0197D" w:rsidP="00E0197D">
      <w:pPr>
        <w:shd w:val="clear" w:color="auto" w:fill="FFFFFF"/>
        <w:spacing w:after="0" w:line="240" w:lineRule="auto"/>
        <w:rPr>
          <w:rFonts w:ascii="Cambria" w:eastAsia="Times New Roman" w:hAnsi="Cambria" w:cs="Times New Roman"/>
          <w:bCs/>
          <w:color w:val="222222"/>
          <w:lang w:eastAsia="en-AU"/>
        </w:rPr>
      </w:pPr>
    </w:p>
    <w:p w14:paraId="1690D901" w14:textId="3E721324" w:rsidR="00E0197D" w:rsidRPr="009A0DA6" w:rsidRDefault="00E0197D" w:rsidP="00E0197D">
      <w:pPr>
        <w:tabs>
          <w:tab w:val="left" w:pos="851"/>
          <w:tab w:val="left" w:pos="1985"/>
          <w:tab w:val="left" w:pos="3119"/>
          <w:tab w:val="left" w:pos="4536"/>
          <w:tab w:val="left" w:pos="5670"/>
        </w:tabs>
        <w:spacing w:after="0" w:line="240" w:lineRule="auto"/>
        <w:jc w:val="center"/>
        <w:rPr>
          <w:rFonts w:ascii="Cambria" w:eastAsia="Times New Roman" w:hAnsi="Cambria" w:cs="Times New Roman"/>
          <w:b/>
          <w:sz w:val="10"/>
          <w:lang w:eastAsia="en-AU"/>
        </w:rPr>
      </w:pPr>
      <w:r w:rsidRPr="009A0DA6">
        <w:rPr>
          <w:rFonts w:ascii="Cambria" w:eastAsia="Times New Roman" w:hAnsi="Cambria" w:cs="Times New Roman"/>
          <w:b/>
          <w:lang w:eastAsia="en-AU"/>
        </w:rPr>
        <w:t>ARTICLE 8. OFFICERS AND ADMINISTRATION</w:t>
      </w:r>
      <w:r w:rsidRPr="009A0DA6">
        <w:rPr>
          <w:rFonts w:ascii="Cambria" w:eastAsia="Times New Roman" w:hAnsi="Cambria" w:cs="Times New Roman"/>
          <w:b/>
          <w:lang w:eastAsia="en-AU"/>
        </w:rPr>
        <w:br/>
      </w:r>
    </w:p>
    <w:p w14:paraId="4DE1BF06" w14:textId="51A228DA" w:rsidR="00E0197D" w:rsidRPr="009A0DA6" w:rsidRDefault="00E0197D" w:rsidP="00E0197D">
      <w:pPr>
        <w:tabs>
          <w:tab w:val="left" w:pos="851"/>
          <w:tab w:val="left" w:pos="1985"/>
          <w:tab w:val="left" w:pos="3119"/>
          <w:tab w:val="left" w:pos="4536"/>
          <w:tab w:val="left" w:pos="5670"/>
        </w:tabs>
        <w:spacing w:after="0" w:line="240" w:lineRule="auto"/>
        <w:ind w:left="851" w:hanging="851"/>
        <w:rPr>
          <w:rFonts w:ascii="Cambria" w:eastAsia="Times New Roman" w:hAnsi="Cambria" w:cs="Times New Roman"/>
          <w:lang w:eastAsia="en-AU"/>
        </w:rPr>
      </w:pPr>
      <w:r w:rsidRPr="009A0DA6">
        <w:rPr>
          <w:rFonts w:ascii="Cambria" w:eastAsia="Times New Roman" w:hAnsi="Cambria" w:cs="Times New Roman"/>
          <w:lang w:eastAsia="en-AU"/>
        </w:rPr>
        <w:t>8.1</w:t>
      </w:r>
      <w:r w:rsidRPr="009A0DA6">
        <w:rPr>
          <w:rFonts w:ascii="Cambria" w:eastAsia="Times New Roman" w:hAnsi="Cambria" w:cs="Times New Roman"/>
          <w:lang w:eastAsia="en-AU"/>
        </w:rPr>
        <w:tab/>
        <w:t>The Officials of the Church shall be a Bishop and an Assistant Bishop</w:t>
      </w:r>
      <w:r w:rsidR="0027799A" w:rsidRPr="009A0DA6">
        <w:rPr>
          <w:rFonts w:ascii="Cambria" w:eastAsia="Times New Roman" w:hAnsi="Cambria" w:cs="Times New Roman"/>
          <w:lang w:eastAsia="en-AU"/>
        </w:rPr>
        <w:t xml:space="preserve">. </w:t>
      </w:r>
      <w:r w:rsidRPr="009A0DA6">
        <w:rPr>
          <w:rFonts w:ascii="Cambria" w:eastAsia="Times New Roman" w:hAnsi="Cambria" w:cs="Times New Roman"/>
          <w:lang w:eastAsia="en-AU"/>
        </w:rPr>
        <w:t>They shall be elected for a term of office determined by the Church</w:t>
      </w:r>
      <w:r w:rsidR="0027799A" w:rsidRPr="009A0DA6">
        <w:rPr>
          <w:rFonts w:ascii="Cambria" w:eastAsia="Times New Roman" w:hAnsi="Cambria" w:cs="Times New Roman"/>
          <w:lang w:eastAsia="en-AU"/>
        </w:rPr>
        <w:t xml:space="preserve">. </w:t>
      </w:r>
      <w:r w:rsidRPr="009A0DA6">
        <w:rPr>
          <w:rFonts w:ascii="Cambria" w:eastAsia="Times New Roman" w:hAnsi="Cambria" w:cs="Times New Roman"/>
          <w:lang w:eastAsia="en-AU"/>
        </w:rPr>
        <w:t>The Bishop and the Assistant Bishop shall be pastors of the Church.</w:t>
      </w:r>
    </w:p>
    <w:p w14:paraId="686A23D7" w14:textId="77777777" w:rsidR="00E0197D" w:rsidRPr="009A0DA6" w:rsidRDefault="00E0197D" w:rsidP="00E0197D">
      <w:pPr>
        <w:tabs>
          <w:tab w:val="left" w:pos="851"/>
          <w:tab w:val="left" w:pos="1985"/>
          <w:tab w:val="left" w:pos="3119"/>
          <w:tab w:val="left" w:pos="4536"/>
          <w:tab w:val="left" w:pos="5670"/>
        </w:tabs>
        <w:spacing w:after="0" w:line="240" w:lineRule="auto"/>
        <w:ind w:left="851" w:hanging="851"/>
        <w:rPr>
          <w:rFonts w:ascii="Cambria" w:eastAsia="Times New Roman" w:hAnsi="Cambria" w:cs="Times New Roman"/>
          <w:lang w:eastAsia="en-AU"/>
        </w:rPr>
      </w:pPr>
      <w:r w:rsidRPr="009A0DA6">
        <w:rPr>
          <w:rFonts w:ascii="Cambria" w:eastAsia="Times New Roman" w:hAnsi="Cambria" w:cs="Times New Roman"/>
          <w:lang w:eastAsia="en-AU"/>
        </w:rPr>
        <w:t>8.2</w:t>
      </w:r>
      <w:r w:rsidRPr="009A0DA6">
        <w:rPr>
          <w:rFonts w:ascii="Cambria" w:eastAsia="Times New Roman" w:hAnsi="Cambria" w:cs="Times New Roman"/>
          <w:lang w:eastAsia="en-AU"/>
        </w:rPr>
        <w:tab/>
        <w:t>The Church shall have a Secretary who shall be an executive officer of the Church and shall undertake administrative duties including those normally undertaken by a secretary and treasurer.</w:t>
      </w:r>
    </w:p>
    <w:p w14:paraId="4AEDE711" w14:textId="77777777" w:rsidR="00E0197D" w:rsidRPr="009A0DA6" w:rsidRDefault="00E0197D" w:rsidP="00E0197D">
      <w:pPr>
        <w:tabs>
          <w:tab w:val="left" w:pos="851"/>
          <w:tab w:val="left" w:pos="1985"/>
          <w:tab w:val="left" w:pos="3119"/>
          <w:tab w:val="left" w:pos="4536"/>
          <w:tab w:val="left" w:pos="5670"/>
        </w:tabs>
        <w:spacing w:after="0" w:line="240" w:lineRule="auto"/>
        <w:ind w:left="1985" w:hanging="1985"/>
        <w:rPr>
          <w:rFonts w:ascii="Cambria" w:eastAsia="Times New Roman" w:hAnsi="Cambria" w:cs="Times New Roman"/>
          <w:lang w:eastAsia="en-AU"/>
        </w:rPr>
      </w:pPr>
      <w:r w:rsidRPr="009A0DA6">
        <w:rPr>
          <w:rFonts w:ascii="Cambria" w:eastAsia="Times New Roman" w:hAnsi="Cambria" w:cs="Times New Roman"/>
          <w:lang w:eastAsia="en-AU"/>
        </w:rPr>
        <w:t>8.3</w:t>
      </w:r>
      <w:r w:rsidRPr="009A0DA6">
        <w:rPr>
          <w:rFonts w:ascii="Cambria" w:eastAsia="Times New Roman" w:hAnsi="Cambria" w:cs="Times New Roman"/>
          <w:lang w:eastAsia="en-AU"/>
        </w:rPr>
        <w:tab/>
        <w:t>8.3.1</w:t>
      </w:r>
      <w:r w:rsidRPr="009A0DA6">
        <w:rPr>
          <w:rFonts w:ascii="Cambria" w:eastAsia="Times New Roman" w:hAnsi="Cambria" w:cs="Times New Roman"/>
          <w:lang w:eastAsia="en-AU"/>
        </w:rPr>
        <w:tab/>
        <w:t xml:space="preserve">The Church shall have a General Church </w:t>
      </w:r>
      <w:r w:rsidRPr="009A0DA6">
        <w:rPr>
          <w:rFonts w:ascii="Cambria" w:eastAsia="Times New Roman" w:hAnsi="Cambria" w:cs="Times New Roman"/>
          <w:strike/>
          <w:lang w:eastAsia="en-AU"/>
        </w:rPr>
        <w:t>Council</w:t>
      </w:r>
      <w:r w:rsidRPr="009A0DA6">
        <w:rPr>
          <w:rFonts w:ascii="Cambria" w:eastAsia="Times New Roman" w:hAnsi="Cambria" w:cs="Times New Roman"/>
          <w:b/>
          <w:lang w:eastAsia="en-AU"/>
        </w:rPr>
        <w:t>Board</w:t>
      </w:r>
      <w:r w:rsidRPr="009A0DA6">
        <w:rPr>
          <w:rFonts w:ascii="Cambria" w:eastAsia="Times New Roman" w:hAnsi="Cambria" w:cs="Times New Roman"/>
          <w:lang w:eastAsia="en-AU"/>
        </w:rPr>
        <w:t xml:space="preserve"> which shall consist of </w:t>
      </w:r>
    </w:p>
    <w:p w14:paraId="23C64999" w14:textId="77777777" w:rsidR="00E0197D" w:rsidRPr="009A0DA6" w:rsidRDefault="00E0197D" w:rsidP="00E0197D">
      <w:pPr>
        <w:tabs>
          <w:tab w:val="left" w:pos="851"/>
          <w:tab w:val="left" w:pos="1985"/>
          <w:tab w:val="left" w:pos="3119"/>
          <w:tab w:val="left" w:pos="4536"/>
          <w:tab w:val="left" w:pos="5670"/>
        </w:tabs>
        <w:spacing w:after="0" w:line="240" w:lineRule="auto"/>
        <w:ind w:left="3119" w:hanging="3119"/>
        <w:rPr>
          <w:rFonts w:ascii="Cambria" w:eastAsia="Times New Roman" w:hAnsi="Cambria" w:cs="Times New Roman"/>
          <w:b/>
          <w:lang w:eastAsia="en-AU"/>
        </w:rPr>
      </w:pPr>
      <w:r w:rsidRPr="009A0DA6">
        <w:rPr>
          <w:rFonts w:ascii="Cambria" w:eastAsia="Times New Roman" w:hAnsi="Cambria" w:cs="Times New Roman"/>
          <w:lang w:eastAsia="en-AU"/>
        </w:rPr>
        <w:tab/>
      </w:r>
      <w:r w:rsidRPr="009A0DA6">
        <w:rPr>
          <w:rFonts w:ascii="Cambria" w:eastAsia="Times New Roman" w:hAnsi="Cambria" w:cs="Times New Roman"/>
          <w:lang w:eastAsia="en-AU"/>
        </w:rPr>
        <w:tab/>
        <w:t>8.3.1.1</w:t>
      </w:r>
      <w:r w:rsidRPr="009A0DA6">
        <w:rPr>
          <w:rFonts w:ascii="Cambria" w:eastAsia="Times New Roman" w:hAnsi="Cambria" w:cs="Times New Roman"/>
          <w:lang w:eastAsia="en-AU"/>
        </w:rPr>
        <w:tab/>
        <w:t>the Bishop and the Assistant Bishop;</w:t>
      </w:r>
      <w:r w:rsidRPr="009A0DA6">
        <w:rPr>
          <w:rFonts w:ascii="Cambria" w:eastAsia="Times New Roman" w:hAnsi="Cambria" w:cs="Times New Roman"/>
          <w:b/>
          <w:lang w:eastAsia="en-AU"/>
        </w:rPr>
        <w:t xml:space="preserve">  and</w:t>
      </w:r>
    </w:p>
    <w:p w14:paraId="090244EF" w14:textId="77777777" w:rsidR="00E0197D" w:rsidRPr="009A0DA6" w:rsidRDefault="00E0197D" w:rsidP="00E0197D">
      <w:pPr>
        <w:tabs>
          <w:tab w:val="left" w:pos="851"/>
          <w:tab w:val="left" w:pos="1985"/>
          <w:tab w:val="left" w:pos="3119"/>
          <w:tab w:val="left" w:pos="4536"/>
          <w:tab w:val="left" w:pos="5670"/>
        </w:tabs>
        <w:spacing w:after="0" w:line="240" w:lineRule="auto"/>
        <w:ind w:left="3119" w:hanging="3119"/>
        <w:rPr>
          <w:rFonts w:ascii="Cambria" w:eastAsia="Times New Roman" w:hAnsi="Cambria" w:cs="Times New Roman"/>
          <w:strike/>
          <w:lang w:eastAsia="en-AU"/>
        </w:rPr>
      </w:pPr>
      <w:r w:rsidRPr="009A0DA6">
        <w:rPr>
          <w:rFonts w:ascii="Cambria" w:eastAsia="Times New Roman" w:hAnsi="Cambria" w:cs="Times New Roman"/>
          <w:strike/>
          <w:lang w:eastAsia="en-AU"/>
        </w:rPr>
        <w:tab/>
      </w:r>
      <w:r w:rsidRPr="009A0DA6">
        <w:rPr>
          <w:rFonts w:ascii="Cambria" w:eastAsia="Times New Roman" w:hAnsi="Cambria" w:cs="Times New Roman"/>
          <w:strike/>
          <w:lang w:eastAsia="en-AU"/>
        </w:rPr>
        <w:tab/>
        <w:t>8.3.1.2</w:t>
      </w:r>
      <w:r w:rsidRPr="009A0DA6">
        <w:rPr>
          <w:rFonts w:ascii="Cambria" w:eastAsia="Times New Roman" w:hAnsi="Cambria" w:cs="Times New Roman"/>
          <w:strike/>
          <w:lang w:eastAsia="en-AU"/>
        </w:rPr>
        <w:tab/>
        <w:t>the Bishops of the New South Wales, Queensland, South Australia and Northern Territory, and Victorian Districts of the Church;</w:t>
      </w:r>
    </w:p>
    <w:p w14:paraId="371B29D7" w14:textId="77777777" w:rsidR="00E0197D" w:rsidRPr="009A0DA6" w:rsidRDefault="00E0197D" w:rsidP="00E0197D">
      <w:pPr>
        <w:tabs>
          <w:tab w:val="left" w:pos="851"/>
          <w:tab w:val="left" w:pos="1985"/>
          <w:tab w:val="left" w:pos="3119"/>
          <w:tab w:val="left" w:pos="4536"/>
          <w:tab w:val="left" w:pos="5670"/>
        </w:tabs>
        <w:spacing w:after="0" w:line="240" w:lineRule="auto"/>
        <w:ind w:left="3119" w:hanging="3119"/>
        <w:rPr>
          <w:rFonts w:ascii="Cambria" w:eastAsia="Times New Roman" w:hAnsi="Cambria" w:cs="Times New Roman"/>
          <w:strike/>
          <w:lang w:eastAsia="en-AU"/>
        </w:rPr>
      </w:pPr>
      <w:r w:rsidRPr="009A0DA6">
        <w:rPr>
          <w:rFonts w:ascii="Cambria" w:eastAsia="Times New Roman" w:hAnsi="Cambria" w:cs="Times New Roman"/>
          <w:strike/>
          <w:lang w:eastAsia="en-AU"/>
        </w:rPr>
        <w:tab/>
      </w:r>
      <w:r w:rsidRPr="009A0DA6">
        <w:rPr>
          <w:rFonts w:ascii="Cambria" w:eastAsia="Times New Roman" w:hAnsi="Cambria" w:cs="Times New Roman"/>
          <w:strike/>
          <w:lang w:eastAsia="en-AU"/>
        </w:rPr>
        <w:tab/>
        <w:t>8.3.1.3</w:t>
      </w:r>
      <w:r w:rsidRPr="009A0DA6">
        <w:rPr>
          <w:rFonts w:ascii="Cambria" w:eastAsia="Times New Roman" w:hAnsi="Cambria" w:cs="Times New Roman"/>
          <w:strike/>
          <w:lang w:eastAsia="en-AU"/>
        </w:rPr>
        <w:tab/>
        <w:t>one [1] lay member from the New South Wales, Queensland, South Australia and Northern Territory, and Victorian Districts of the Church, elected by the Synod of the respective District;</w:t>
      </w:r>
    </w:p>
    <w:p w14:paraId="2820EC9B" w14:textId="77777777" w:rsidR="00E0197D" w:rsidRPr="009A0DA6" w:rsidRDefault="00E0197D" w:rsidP="00E0197D">
      <w:pPr>
        <w:tabs>
          <w:tab w:val="left" w:pos="851"/>
          <w:tab w:val="left" w:pos="1985"/>
          <w:tab w:val="left" w:pos="3119"/>
          <w:tab w:val="left" w:pos="4536"/>
          <w:tab w:val="left" w:pos="5670"/>
        </w:tabs>
        <w:spacing w:after="0" w:line="240" w:lineRule="auto"/>
        <w:ind w:left="3119" w:hanging="3119"/>
        <w:rPr>
          <w:rFonts w:ascii="Cambria" w:eastAsia="Times New Roman" w:hAnsi="Cambria" w:cs="Times New Roman"/>
          <w:strike/>
          <w:lang w:eastAsia="en-AU"/>
        </w:rPr>
      </w:pPr>
      <w:r w:rsidRPr="009A0DA6">
        <w:rPr>
          <w:rFonts w:ascii="Cambria" w:eastAsia="Times New Roman" w:hAnsi="Cambria" w:cs="Times New Roman"/>
          <w:strike/>
          <w:lang w:eastAsia="en-AU"/>
        </w:rPr>
        <w:tab/>
      </w:r>
      <w:r w:rsidRPr="009A0DA6">
        <w:rPr>
          <w:rFonts w:ascii="Cambria" w:eastAsia="Times New Roman" w:hAnsi="Cambria" w:cs="Times New Roman"/>
          <w:strike/>
          <w:lang w:eastAsia="en-AU"/>
        </w:rPr>
        <w:tab/>
        <w:t>8.3.1.4</w:t>
      </w:r>
      <w:r w:rsidRPr="009A0DA6">
        <w:rPr>
          <w:rFonts w:ascii="Cambria" w:eastAsia="Times New Roman" w:hAnsi="Cambria" w:cs="Times New Roman"/>
          <w:strike/>
          <w:lang w:eastAsia="en-AU"/>
        </w:rPr>
        <w:tab/>
        <w:t>one [1] member each from the Western Australia District and the Lutheran Church of New Zealand, who shall be either their Bishop or a lay member;  and</w:t>
      </w:r>
    </w:p>
    <w:p w14:paraId="1221C570" w14:textId="77777777" w:rsidR="00E0197D" w:rsidRPr="009A0DA6" w:rsidRDefault="00E0197D" w:rsidP="00E0197D">
      <w:pPr>
        <w:tabs>
          <w:tab w:val="left" w:pos="851"/>
          <w:tab w:val="left" w:pos="1985"/>
          <w:tab w:val="left" w:pos="3119"/>
          <w:tab w:val="left" w:pos="4536"/>
          <w:tab w:val="left" w:pos="5670"/>
        </w:tabs>
        <w:spacing w:after="0" w:line="240" w:lineRule="auto"/>
        <w:ind w:left="3119" w:hanging="3119"/>
        <w:rPr>
          <w:rFonts w:ascii="Cambria" w:eastAsia="Times New Roman" w:hAnsi="Cambria" w:cs="Times New Roman"/>
          <w:strike/>
          <w:lang w:eastAsia="en-AU"/>
        </w:rPr>
      </w:pPr>
      <w:r w:rsidRPr="009A0DA6">
        <w:rPr>
          <w:rFonts w:ascii="Cambria" w:eastAsia="Times New Roman" w:hAnsi="Cambria" w:cs="Times New Roman"/>
          <w:strike/>
          <w:lang w:eastAsia="en-AU"/>
        </w:rPr>
        <w:tab/>
      </w:r>
      <w:r w:rsidRPr="009A0DA6">
        <w:rPr>
          <w:rFonts w:ascii="Cambria" w:eastAsia="Times New Roman" w:hAnsi="Cambria" w:cs="Times New Roman"/>
          <w:strike/>
          <w:lang w:eastAsia="en-AU"/>
        </w:rPr>
        <w:tab/>
        <w:t>8.3.1.5</w:t>
      </w:r>
      <w:r w:rsidRPr="009A0DA6">
        <w:rPr>
          <w:rFonts w:ascii="Cambria" w:eastAsia="Times New Roman" w:hAnsi="Cambria" w:cs="Times New Roman"/>
          <w:strike/>
          <w:lang w:eastAsia="en-AU"/>
        </w:rPr>
        <w:tab/>
        <w:t>two [2] members at large elected by the General Synod:  one [1] ordained and one [1] lay, unless both the Western Australia District and the Lutheran Church of New Zealand are represented by their Bishop, in which case it shall be two [2] lay members.</w:t>
      </w:r>
    </w:p>
    <w:p w14:paraId="34A005F9" w14:textId="77777777" w:rsidR="00E0197D" w:rsidRPr="009A0DA6" w:rsidRDefault="00E0197D" w:rsidP="00E0197D">
      <w:pPr>
        <w:tabs>
          <w:tab w:val="left" w:pos="851"/>
          <w:tab w:val="left" w:pos="1985"/>
          <w:tab w:val="left" w:pos="3119"/>
          <w:tab w:val="left" w:pos="4536"/>
          <w:tab w:val="left" w:pos="5670"/>
        </w:tabs>
        <w:spacing w:after="0" w:line="240" w:lineRule="auto"/>
        <w:ind w:left="3119" w:hanging="3119"/>
        <w:rPr>
          <w:rFonts w:ascii="Cambria" w:eastAsia="Times New Roman" w:hAnsi="Cambria" w:cs="Times New Roman"/>
          <w:b/>
          <w:lang w:eastAsia="en-AU"/>
        </w:rPr>
      </w:pPr>
      <w:r w:rsidRPr="009A0DA6">
        <w:rPr>
          <w:rFonts w:ascii="Cambria" w:eastAsia="Times New Roman" w:hAnsi="Cambria" w:cs="Times New Roman"/>
          <w:b/>
          <w:lang w:eastAsia="en-AU"/>
        </w:rPr>
        <w:tab/>
      </w:r>
      <w:r w:rsidRPr="009A0DA6">
        <w:rPr>
          <w:rFonts w:ascii="Cambria" w:eastAsia="Times New Roman" w:hAnsi="Cambria" w:cs="Times New Roman"/>
          <w:b/>
          <w:lang w:eastAsia="en-AU"/>
        </w:rPr>
        <w:tab/>
        <w:t>8.3.1.2</w:t>
      </w:r>
      <w:r w:rsidRPr="009A0DA6">
        <w:rPr>
          <w:rFonts w:ascii="Cambria" w:eastAsia="Times New Roman" w:hAnsi="Cambria" w:cs="Times New Roman"/>
          <w:b/>
          <w:lang w:eastAsia="en-AU"/>
        </w:rPr>
        <w:tab/>
        <w:t>one [1] pastor and six [6] lay members who are voting members of congregations on the Roll of Congregations of the Church and who shall be elected by the General Synod from eligible candidates submitted as nominations from the Standing Committee on Nominations.</w:t>
      </w:r>
      <w:r w:rsidRPr="009A0DA6">
        <w:rPr>
          <w:rFonts w:ascii="Cambria" w:eastAsia="Times New Roman" w:hAnsi="Cambria" w:cs="Times New Roman"/>
          <w:b/>
          <w:lang w:eastAsia="en-AU"/>
        </w:rPr>
        <w:tab/>
      </w:r>
    </w:p>
    <w:p w14:paraId="7A11E257" w14:textId="77777777" w:rsidR="00E0197D" w:rsidRPr="009A0DA6" w:rsidRDefault="00E0197D" w:rsidP="00E0197D">
      <w:pPr>
        <w:tabs>
          <w:tab w:val="left" w:pos="851"/>
          <w:tab w:val="left" w:pos="1985"/>
          <w:tab w:val="left" w:pos="3119"/>
          <w:tab w:val="left" w:pos="4536"/>
          <w:tab w:val="left" w:pos="5670"/>
        </w:tabs>
        <w:spacing w:after="0" w:line="240" w:lineRule="auto"/>
        <w:ind w:left="1985" w:hanging="1985"/>
        <w:rPr>
          <w:rFonts w:ascii="Cambria" w:eastAsia="Times New Roman" w:hAnsi="Cambria" w:cs="Times New Roman"/>
          <w:lang w:eastAsia="en-AU"/>
        </w:rPr>
      </w:pPr>
      <w:r w:rsidRPr="009A0DA6">
        <w:rPr>
          <w:rFonts w:ascii="Cambria" w:eastAsia="Times New Roman" w:hAnsi="Cambria" w:cs="Times New Roman"/>
          <w:lang w:eastAsia="en-AU"/>
        </w:rPr>
        <w:tab/>
        <w:t>8.3.2</w:t>
      </w:r>
      <w:r w:rsidRPr="009A0DA6">
        <w:rPr>
          <w:rFonts w:ascii="Cambria" w:eastAsia="Times New Roman" w:hAnsi="Cambria" w:cs="Times New Roman"/>
          <w:lang w:eastAsia="en-AU"/>
        </w:rPr>
        <w:tab/>
        <w:t xml:space="preserve">The General Church </w:t>
      </w:r>
      <w:r w:rsidRPr="009A0DA6">
        <w:rPr>
          <w:rFonts w:ascii="Cambria" w:eastAsia="Times New Roman" w:hAnsi="Cambria" w:cs="Times New Roman"/>
          <w:strike/>
          <w:lang w:eastAsia="en-AU"/>
        </w:rPr>
        <w:t>Council</w:t>
      </w:r>
      <w:r w:rsidRPr="009A0DA6">
        <w:rPr>
          <w:rFonts w:ascii="Cambria" w:eastAsia="Times New Roman" w:hAnsi="Cambria" w:cs="Times New Roman"/>
          <w:b/>
          <w:lang w:eastAsia="en-AU"/>
        </w:rPr>
        <w:t>Board</w:t>
      </w:r>
      <w:r w:rsidRPr="009A0DA6">
        <w:rPr>
          <w:rFonts w:ascii="Cambria" w:eastAsia="Times New Roman" w:hAnsi="Cambria" w:cs="Times New Roman"/>
          <w:lang w:eastAsia="en-AU"/>
        </w:rPr>
        <w:t xml:space="preserve"> shall have authority between the conventions of the General Synod to make decisions within the limits prescribed by the By-laws.</w:t>
      </w:r>
    </w:p>
    <w:p w14:paraId="1B252F59" w14:textId="77777777" w:rsidR="00E0197D" w:rsidRPr="009A0DA6" w:rsidRDefault="00E0197D" w:rsidP="00E0197D">
      <w:pPr>
        <w:tabs>
          <w:tab w:val="left" w:pos="851"/>
          <w:tab w:val="left" w:pos="1985"/>
          <w:tab w:val="left" w:pos="3119"/>
          <w:tab w:val="left" w:pos="4536"/>
          <w:tab w:val="left" w:pos="5670"/>
        </w:tabs>
        <w:spacing w:after="0" w:line="240" w:lineRule="auto"/>
        <w:ind w:left="1985" w:hanging="1985"/>
        <w:rPr>
          <w:rFonts w:ascii="Cambria" w:eastAsia="Times New Roman" w:hAnsi="Cambria" w:cs="Times New Roman"/>
          <w:lang w:eastAsia="en-AU"/>
        </w:rPr>
      </w:pPr>
      <w:r w:rsidRPr="009A0DA6">
        <w:rPr>
          <w:rFonts w:ascii="Cambria" w:eastAsia="Times New Roman" w:hAnsi="Cambria" w:cs="Times New Roman"/>
          <w:lang w:eastAsia="en-AU"/>
        </w:rPr>
        <w:tab/>
        <w:t>8.3.3</w:t>
      </w:r>
      <w:r w:rsidRPr="009A0DA6">
        <w:rPr>
          <w:rFonts w:ascii="Cambria" w:eastAsia="Times New Roman" w:hAnsi="Cambria" w:cs="Times New Roman"/>
          <w:lang w:eastAsia="en-AU"/>
        </w:rPr>
        <w:tab/>
        <w:t xml:space="preserve">The duties of the General Church </w:t>
      </w:r>
      <w:r w:rsidRPr="009A0DA6">
        <w:rPr>
          <w:rFonts w:ascii="Cambria" w:eastAsia="Times New Roman" w:hAnsi="Cambria" w:cs="Times New Roman"/>
          <w:strike/>
          <w:lang w:eastAsia="en-AU"/>
        </w:rPr>
        <w:t>Council</w:t>
      </w:r>
      <w:r w:rsidRPr="009A0DA6">
        <w:rPr>
          <w:rFonts w:ascii="Cambria" w:eastAsia="Times New Roman" w:hAnsi="Cambria" w:cs="Times New Roman"/>
          <w:b/>
          <w:lang w:eastAsia="en-AU"/>
        </w:rPr>
        <w:t>Board</w:t>
      </w:r>
      <w:r w:rsidRPr="009A0DA6">
        <w:rPr>
          <w:rFonts w:ascii="Cambria" w:eastAsia="Times New Roman" w:hAnsi="Cambria" w:cs="Times New Roman"/>
          <w:lang w:eastAsia="en-AU"/>
        </w:rPr>
        <w:t xml:space="preserve"> shall be as prescribed by the By-laws.</w:t>
      </w:r>
    </w:p>
    <w:p w14:paraId="7C963A07" w14:textId="77777777" w:rsidR="00E0197D" w:rsidRPr="009A0DA6" w:rsidRDefault="00E0197D" w:rsidP="00E0197D">
      <w:pPr>
        <w:spacing w:after="0" w:line="240" w:lineRule="auto"/>
        <w:rPr>
          <w:rFonts w:ascii="Cambria" w:eastAsia="Times New Roman" w:hAnsi="Cambria" w:cs="Times New Roman"/>
          <w:lang w:eastAsia="en-AU"/>
        </w:rPr>
      </w:pPr>
    </w:p>
    <w:p w14:paraId="2A3D1070" w14:textId="1475100E" w:rsidR="00E0197D" w:rsidRPr="009A0DA6" w:rsidRDefault="00E0197D" w:rsidP="00E0197D">
      <w:pPr>
        <w:shd w:val="clear" w:color="auto" w:fill="FFFFFF"/>
        <w:spacing w:after="0" w:line="240" w:lineRule="auto"/>
        <w:rPr>
          <w:rFonts w:ascii="Cambria" w:eastAsia="Times New Roman" w:hAnsi="Cambria" w:cs="Times New Roman"/>
          <w:bCs/>
          <w:color w:val="222222"/>
          <w:lang w:eastAsia="en-AU"/>
        </w:rPr>
      </w:pPr>
      <w:r w:rsidRPr="009A0DA6">
        <w:rPr>
          <w:rFonts w:ascii="Cambria" w:eastAsia="Times New Roman" w:hAnsi="Cambria" w:cs="Times New Roman"/>
          <w:b/>
          <w:bCs/>
          <w:color w:val="222222"/>
          <w:lang w:eastAsia="en-AU"/>
        </w:rPr>
        <w:lastRenderedPageBreak/>
        <w:t>BE IT FURTHER RESOLVED</w:t>
      </w:r>
      <w:r w:rsidRPr="009A0DA6">
        <w:rPr>
          <w:rFonts w:ascii="Cambria" w:eastAsia="Times New Roman" w:hAnsi="Cambria" w:cs="Times New Roman"/>
          <w:bCs/>
          <w:color w:val="222222"/>
          <w:lang w:eastAsia="en-AU"/>
        </w:rPr>
        <w:t xml:space="preserve">  that </w:t>
      </w:r>
      <w:r w:rsidRPr="009A0DA6">
        <w:rPr>
          <w:rFonts w:ascii="Cambria" w:eastAsia="Times New Roman" w:hAnsi="Cambria" w:cs="Times New Roman"/>
          <w:b/>
          <w:bCs/>
          <w:color w:val="222222"/>
          <w:lang w:eastAsia="en-AU"/>
        </w:rPr>
        <w:t>Section 7.4 Nominations and Elections, Section 7.7 Appointments, Section 8.1 Eligibility and Terms of Office and Section 8.4 The General Church Council</w:t>
      </w:r>
      <w:r w:rsidRPr="009A0DA6">
        <w:rPr>
          <w:rFonts w:ascii="Cambria" w:eastAsia="Times New Roman" w:hAnsi="Cambria" w:cs="Times New Roman"/>
          <w:bCs/>
          <w:color w:val="222222"/>
          <w:lang w:eastAsia="en-AU"/>
        </w:rPr>
        <w:t xml:space="preserve"> of the By-laws of the Church be amended in consequence of the above amendment to Article 8 to allow for the implementation of the revised governance structure as follows (words to be deleted – </w:t>
      </w:r>
      <w:r w:rsidRPr="009A0DA6">
        <w:rPr>
          <w:rFonts w:ascii="Cambria" w:eastAsia="Times New Roman" w:hAnsi="Cambria" w:cs="Times New Roman"/>
          <w:bCs/>
          <w:strike/>
          <w:color w:val="222222"/>
          <w:lang w:eastAsia="en-AU"/>
        </w:rPr>
        <w:t>strikethrough</w:t>
      </w:r>
      <w:r w:rsidRPr="009A0DA6">
        <w:rPr>
          <w:rFonts w:ascii="Cambria" w:eastAsia="Times New Roman" w:hAnsi="Cambria" w:cs="Times New Roman"/>
          <w:bCs/>
          <w:color w:val="222222"/>
          <w:lang w:eastAsia="en-AU"/>
        </w:rPr>
        <w:t xml:space="preserve">;  words to be added – </w:t>
      </w:r>
      <w:r w:rsidRPr="009A0DA6">
        <w:rPr>
          <w:rFonts w:ascii="Cambria" w:eastAsia="Times New Roman" w:hAnsi="Cambria" w:cs="Times New Roman"/>
          <w:b/>
          <w:bCs/>
          <w:color w:val="222222"/>
          <w:lang w:eastAsia="en-AU"/>
        </w:rPr>
        <w:t>bold</w:t>
      </w:r>
      <w:r w:rsidRPr="009A0DA6">
        <w:rPr>
          <w:rFonts w:ascii="Cambria" w:eastAsia="Times New Roman" w:hAnsi="Cambria" w:cs="Times New Roman"/>
          <w:bCs/>
          <w:color w:val="222222"/>
          <w:lang w:eastAsia="en-AU"/>
        </w:rPr>
        <w:t>):</w:t>
      </w:r>
    </w:p>
    <w:p w14:paraId="03AC4FC4" w14:textId="77777777" w:rsidR="00E0197D" w:rsidRPr="009A0DA6" w:rsidRDefault="00E0197D" w:rsidP="00E0197D">
      <w:pPr>
        <w:shd w:val="clear" w:color="auto" w:fill="FFFFFF"/>
        <w:spacing w:after="0" w:line="240" w:lineRule="auto"/>
        <w:rPr>
          <w:rFonts w:ascii="Cambria" w:eastAsia="Times New Roman" w:hAnsi="Cambria" w:cs="Times New Roman"/>
          <w:bCs/>
          <w:color w:val="222222"/>
          <w:sz w:val="8"/>
          <w:lang w:eastAsia="en-AU"/>
        </w:rPr>
      </w:pPr>
    </w:p>
    <w:p w14:paraId="047CB2BA" w14:textId="77777777" w:rsidR="00E0197D" w:rsidRPr="009A0DA6" w:rsidRDefault="00E0197D" w:rsidP="00E0197D">
      <w:pPr>
        <w:tabs>
          <w:tab w:val="left" w:pos="851"/>
          <w:tab w:val="left" w:pos="1985"/>
          <w:tab w:val="left" w:pos="3119"/>
          <w:tab w:val="left" w:pos="4536"/>
          <w:tab w:val="left" w:pos="5670"/>
        </w:tabs>
        <w:spacing w:before="120" w:after="120" w:line="240" w:lineRule="auto"/>
        <w:jc w:val="center"/>
        <w:rPr>
          <w:rFonts w:ascii="Cambria" w:eastAsia="Times New Roman" w:hAnsi="Cambria" w:cs="Times New Roman"/>
          <w:lang w:eastAsia="en-AU"/>
        </w:rPr>
      </w:pPr>
      <w:r w:rsidRPr="009A0DA6">
        <w:rPr>
          <w:rFonts w:ascii="Cambria" w:eastAsia="Times New Roman" w:hAnsi="Cambria" w:cs="Times New Roman"/>
          <w:b/>
          <w:lang w:eastAsia="en-AU"/>
        </w:rPr>
        <w:t>SECTION 7.4 NOMINATIONS AND ELECTIONS</w:t>
      </w:r>
    </w:p>
    <w:p w14:paraId="3EE1369A" w14:textId="77777777" w:rsidR="00E0197D" w:rsidRPr="009A0DA6" w:rsidRDefault="00E0197D" w:rsidP="00E0197D">
      <w:pPr>
        <w:tabs>
          <w:tab w:val="left" w:pos="851"/>
          <w:tab w:val="left" w:pos="1985"/>
          <w:tab w:val="left" w:pos="3119"/>
          <w:tab w:val="left" w:pos="4536"/>
          <w:tab w:val="left" w:pos="5670"/>
        </w:tabs>
        <w:spacing w:after="0" w:line="240" w:lineRule="auto"/>
        <w:rPr>
          <w:rFonts w:ascii="Cambria" w:eastAsia="Times New Roman" w:hAnsi="Cambria" w:cs="Times New Roman"/>
          <w:u w:val="single"/>
          <w:lang w:eastAsia="en-AU"/>
        </w:rPr>
      </w:pPr>
      <w:r w:rsidRPr="009A0DA6">
        <w:rPr>
          <w:rFonts w:ascii="Cambria" w:eastAsia="Times New Roman" w:hAnsi="Cambria" w:cs="Times New Roman"/>
          <w:b/>
          <w:lang w:eastAsia="en-AU"/>
        </w:rPr>
        <w:t xml:space="preserve">Nominations </w:t>
      </w:r>
      <w:r w:rsidRPr="009A0DA6">
        <w:rPr>
          <w:rFonts w:ascii="Cambria" w:eastAsia="Times New Roman" w:hAnsi="Cambria" w:cs="Times New Roman"/>
          <w:b/>
          <w:strike/>
          <w:lang w:eastAsia="en-AU"/>
        </w:rPr>
        <w:t>in General</w:t>
      </w:r>
      <w:r w:rsidRPr="009A0DA6">
        <w:rPr>
          <w:rFonts w:ascii="Cambria" w:eastAsia="Times New Roman" w:hAnsi="Cambria" w:cs="Times New Roman"/>
          <w:b/>
          <w:u w:val="single"/>
          <w:lang w:eastAsia="en-AU"/>
        </w:rPr>
        <w:t>to the General Church Board</w:t>
      </w:r>
    </w:p>
    <w:p w14:paraId="60F89227" w14:textId="77777777" w:rsidR="00E0197D" w:rsidRPr="009A0DA6" w:rsidRDefault="00E0197D" w:rsidP="00E0197D">
      <w:pPr>
        <w:tabs>
          <w:tab w:val="left" w:pos="851"/>
          <w:tab w:val="left" w:pos="1985"/>
          <w:tab w:val="left" w:pos="3119"/>
          <w:tab w:val="left" w:pos="4536"/>
          <w:tab w:val="left" w:pos="5670"/>
        </w:tabs>
        <w:spacing w:after="0" w:line="240" w:lineRule="auto"/>
        <w:ind w:left="1985" w:hanging="1985"/>
        <w:rPr>
          <w:rFonts w:ascii="Cambria" w:eastAsia="Times New Roman" w:hAnsi="Cambria" w:cs="Times New Roman"/>
          <w:lang w:eastAsia="en-AU"/>
        </w:rPr>
      </w:pPr>
      <w:r w:rsidRPr="009A0DA6">
        <w:rPr>
          <w:rFonts w:ascii="Cambria" w:eastAsia="Times New Roman" w:hAnsi="Cambria" w:cs="Times New Roman"/>
          <w:lang w:eastAsia="en-AU"/>
        </w:rPr>
        <w:t>7.4.5</w:t>
      </w:r>
      <w:r w:rsidRPr="009A0DA6">
        <w:rPr>
          <w:rFonts w:ascii="Cambria" w:eastAsia="Times New Roman" w:hAnsi="Cambria" w:cs="Times New Roman"/>
          <w:lang w:eastAsia="en-AU"/>
        </w:rPr>
        <w:tab/>
        <w:t>7.4.5.1</w:t>
      </w:r>
      <w:r w:rsidRPr="009A0DA6">
        <w:rPr>
          <w:rFonts w:ascii="Cambria" w:eastAsia="Times New Roman" w:hAnsi="Cambria" w:cs="Times New Roman"/>
          <w:lang w:eastAsia="en-AU"/>
        </w:rPr>
        <w:tab/>
      </w:r>
      <w:r w:rsidRPr="009A0DA6">
        <w:rPr>
          <w:rFonts w:ascii="Cambria" w:eastAsia="Times New Roman" w:hAnsi="Cambria" w:cs="Times New Roman"/>
          <w:strike/>
          <w:lang w:eastAsia="en-AU"/>
        </w:rPr>
        <w:t>Unless otherwise provided for, n</w:t>
      </w:r>
      <w:r w:rsidRPr="009A0DA6">
        <w:rPr>
          <w:rFonts w:ascii="Cambria" w:eastAsia="Times New Roman" w:hAnsi="Cambria" w:cs="Times New Roman"/>
          <w:b/>
          <w:lang w:eastAsia="en-AU"/>
        </w:rPr>
        <w:t>N</w:t>
      </w:r>
      <w:r w:rsidRPr="009A0DA6">
        <w:rPr>
          <w:rFonts w:ascii="Cambria" w:eastAsia="Times New Roman" w:hAnsi="Cambria" w:cs="Times New Roman"/>
          <w:lang w:eastAsia="en-AU"/>
        </w:rPr>
        <w:t xml:space="preserve">ominations to the convention </w:t>
      </w:r>
      <w:r w:rsidRPr="009A0DA6">
        <w:rPr>
          <w:rFonts w:ascii="Cambria" w:eastAsia="Times New Roman" w:hAnsi="Cambria" w:cs="Times New Roman"/>
          <w:b/>
          <w:lang w:eastAsia="en-AU"/>
        </w:rPr>
        <w:t xml:space="preserve">for elected positions </w:t>
      </w:r>
      <w:r w:rsidRPr="009A0DA6">
        <w:rPr>
          <w:rFonts w:ascii="Cambria" w:eastAsia="Times New Roman" w:hAnsi="Cambria" w:cs="Times New Roman"/>
          <w:lang w:eastAsia="en-AU"/>
        </w:rPr>
        <w:t xml:space="preserve">shall be made by </w:t>
      </w:r>
      <w:r w:rsidRPr="009A0DA6">
        <w:rPr>
          <w:rFonts w:ascii="Cambria" w:eastAsia="Times New Roman" w:hAnsi="Cambria" w:cs="Times New Roman"/>
          <w:strike/>
          <w:lang w:eastAsia="en-AU"/>
        </w:rPr>
        <w:t>a standing committee called</w:t>
      </w:r>
      <w:r w:rsidRPr="009A0DA6">
        <w:rPr>
          <w:rFonts w:ascii="Cambria" w:eastAsia="Times New Roman" w:hAnsi="Cambria" w:cs="Times New Roman"/>
          <w:lang w:eastAsia="en-AU"/>
        </w:rPr>
        <w:t xml:space="preserve"> the </w:t>
      </w:r>
      <w:r w:rsidRPr="009A0DA6">
        <w:rPr>
          <w:rFonts w:ascii="Cambria" w:eastAsia="Times New Roman" w:hAnsi="Cambria" w:cs="Times New Roman"/>
          <w:strike/>
          <w:lang w:eastAsia="en-AU"/>
        </w:rPr>
        <w:t xml:space="preserve">LCA </w:t>
      </w:r>
      <w:r w:rsidRPr="009A0DA6">
        <w:rPr>
          <w:rFonts w:ascii="Cambria" w:eastAsia="Times New Roman" w:hAnsi="Cambria" w:cs="Times New Roman"/>
          <w:lang w:eastAsia="en-AU"/>
        </w:rPr>
        <w:t xml:space="preserve">Standing Committee on Nominations which shall act in accordance with the </w:t>
      </w:r>
      <w:r w:rsidRPr="009A0DA6">
        <w:rPr>
          <w:rFonts w:ascii="Cambria" w:eastAsia="Times New Roman" w:hAnsi="Cambria" w:cs="Times New Roman"/>
          <w:strike/>
          <w:lang w:eastAsia="en-AU"/>
        </w:rPr>
        <w:t xml:space="preserve">rules </w:t>
      </w:r>
      <w:r w:rsidRPr="009A0DA6">
        <w:rPr>
          <w:rFonts w:ascii="Cambria" w:eastAsia="Times New Roman" w:hAnsi="Cambria" w:cs="Times New Roman"/>
          <w:b/>
          <w:lang w:eastAsia="en-AU"/>
        </w:rPr>
        <w:t xml:space="preserve">procedures </w:t>
      </w:r>
      <w:r w:rsidRPr="009A0DA6">
        <w:rPr>
          <w:rFonts w:ascii="Cambria" w:eastAsia="Times New Roman" w:hAnsi="Cambria" w:cs="Times New Roman"/>
          <w:lang w:eastAsia="en-AU"/>
        </w:rPr>
        <w:t>resolved by the Synod and amended from time to time by the Synod</w:t>
      </w:r>
      <w:r w:rsidRPr="009A0DA6">
        <w:rPr>
          <w:rFonts w:ascii="Cambria" w:eastAsia="Times New Roman" w:hAnsi="Cambria" w:cs="Times New Roman"/>
          <w:strike/>
          <w:lang w:eastAsia="en-AU"/>
        </w:rPr>
        <w:t xml:space="preserve"> or the General Church Council</w:t>
      </w:r>
      <w:r w:rsidRPr="009A0DA6">
        <w:rPr>
          <w:rFonts w:ascii="Cambria" w:eastAsia="Times New Roman" w:hAnsi="Cambria" w:cs="Times New Roman"/>
          <w:lang w:eastAsia="en-AU"/>
        </w:rPr>
        <w:t>.</w:t>
      </w:r>
    </w:p>
    <w:p w14:paraId="3B0BC4B3" w14:textId="77777777" w:rsidR="00E0197D" w:rsidRPr="009A0DA6" w:rsidRDefault="00E0197D" w:rsidP="00E0197D">
      <w:pPr>
        <w:tabs>
          <w:tab w:val="left" w:pos="851"/>
          <w:tab w:val="left" w:pos="1985"/>
          <w:tab w:val="left" w:pos="3119"/>
          <w:tab w:val="left" w:pos="4536"/>
          <w:tab w:val="left" w:pos="5670"/>
        </w:tabs>
        <w:spacing w:after="0" w:line="240" w:lineRule="auto"/>
        <w:ind w:left="851" w:hanging="851"/>
        <w:rPr>
          <w:rFonts w:ascii="Cambria" w:eastAsia="Times New Roman" w:hAnsi="Cambria" w:cs="Times New Roman"/>
          <w:lang w:eastAsia="en-AU"/>
        </w:rPr>
      </w:pPr>
      <w:r w:rsidRPr="009A0DA6">
        <w:rPr>
          <w:rFonts w:ascii="Cambria" w:eastAsia="Times New Roman" w:hAnsi="Cambria" w:cs="Times New Roman"/>
          <w:lang w:eastAsia="en-AU"/>
        </w:rPr>
        <w:t>7.4.6</w:t>
      </w:r>
      <w:r w:rsidRPr="009A0DA6">
        <w:rPr>
          <w:rFonts w:ascii="Cambria" w:eastAsia="Times New Roman" w:hAnsi="Cambria" w:cs="Times New Roman"/>
          <w:lang w:eastAsia="en-AU"/>
        </w:rPr>
        <w:tab/>
        <w:t>The following provisions shall apply to nominations</w:t>
      </w:r>
      <w:r w:rsidRPr="009A0DA6">
        <w:rPr>
          <w:rFonts w:ascii="Cambria" w:eastAsia="Times New Roman" w:hAnsi="Cambria" w:cs="Times New Roman"/>
          <w:strike/>
          <w:lang w:eastAsia="en-AU"/>
        </w:rPr>
        <w:t xml:space="preserve"> for any elected office or any position on a board, except in those cases where the right of nomination has been delegated to a particular body</w:t>
      </w:r>
      <w:r w:rsidRPr="009A0DA6">
        <w:rPr>
          <w:rFonts w:ascii="Cambria" w:eastAsia="Times New Roman" w:hAnsi="Cambria" w:cs="Times New Roman"/>
          <w:lang w:eastAsia="en-AU"/>
        </w:rPr>
        <w:t>:</w:t>
      </w:r>
    </w:p>
    <w:p w14:paraId="4D85DB65" w14:textId="77777777" w:rsidR="00E0197D" w:rsidRPr="009A0DA6" w:rsidRDefault="00E0197D" w:rsidP="00E0197D">
      <w:pPr>
        <w:tabs>
          <w:tab w:val="left" w:pos="851"/>
          <w:tab w:val="left" w:pos="1985"/>
          <w:tab w:val="left" w:pos="3119"/>
          <w:tab w:val="left" w:pos="4536"/>
          <w:tab w:val="left" w:pos="5670"/>
        </w:tabs>
        <w:spacing w:after="0" w:line="240" w:lineRule="auto"/>
        <w:ind w:left="1985" w:hanging="1985"/>
        <w:rPr>
          <w:rFonts w:ascii="Cambria" w:eastAsia="Times New Roman" w:hAnsi="Cambria" w:cs="Times New Roman"/>
          <w:strike/>
          <w:lang w:eastAsia="en-AU"/>
        </w:rPr>
      </w:pPr>
      <w:r w:rsidRPr="009A0DA6">
        <w:rPr>
          <w:rFonts w:ascii="Cambria" w:eastAsia="Times New Roman" w:hAnsi="Cambria" w:cs="Times New Roman"/>
          <w:strike/>
          <w:lang w:eastAsia="en-AU"/>
        </w:rPr>
        <w:tab/>
        <w:t>7.4.6.1</w:t>
      </w:r>
      <w:r w:rsidRPr="009A0DA6">
        <w:rPr>
          <w:rFonts w:ascii="Cambria" w:eastAsia="Times New Roman" w:hAnsi="Cambria" w:cs="Times New Roman"/>
          <w:strike/>
          <w:lang w:eastAsia="en-AU"/>
        </w:rPr>
        <w:tab/>
        <w:t>Persons retiring and eligible for re-election shall indicate their willingness to continue in service as members.</w:t>
      </w:r>
    </w:p>
    <w:p w14:paraId="233E9FC3" w14:textId="77777777" w:rsidR="00E0197D" w:rsidRPr="009A0DA6" w:rsidRDefault="00E0197D" w:rsidP="00E0197D">
      <w:pPr>
        <w:tabs>
          <w:tab w:val="left" w:pos="851"/>
          <w:tab w:val="left" w:pos="1985"/>
          <w:tab w:val="left" w:pos="3119"/>
          <w:tab w:val="left" w:pos="4536"/>
          <w:tab w:val="left" w:pos="5670"/>
        </w:tabs>
        <w:spacing w:after="0" w:line="240" w:lineRule="auto"/>
        <w:ind w:left="1985" w:hanging="1985"/>
        <w:rPr>
          <w:rFonts w:ascii="Cambria" w:eastAsia="Times New Roman" w:hAnsi="Cambria" w:cs="Times New Roman"/>
          <w:strike/>
          <w:lang w:eastAsia="en-AU"/>
        </w:rPr>
      </w:pPr>
      <w:r w:rsidRPr="009A0DA6">
        <w:rPr>
          <w:rFonts w:ascii="Cambria" w:eastAsia="Times New Roman" w:hAnsi="Cambria" w:cs="Times New Roman"/>
          <w:strike/>
          <w:lang w:eastAsia="en-AU"/>
        </w:rPr>
        <w:tab/>
        <w:t>7.4.6.2</w:t>
      </w:r>
      <w:r w:rsidRPr="009A0DA6">
        <w:rPr>
          <w:rFonts w:ascii="Cambria" w:eastAsia="Times New Roman" w:hAnsi="Cambria" w:cs="Times New Roman"/>
          <w:strike/>
          <w:lang w:eastAsia="en-AU"/>
        </w:rPr>
        <w:tab/>
        <w:t>Nominations, indicating the consent of the nominee, may be forwarded by any congregation to the LCA Standing Committee on Nominations.</w:t>
      </w:r>
    </w:p>
    <w:p w14:paraId="3483CF29" w14:textId="77777777" w:rsidR="00E0197D" w:rsidRPr="009A0DA6" w:rsidRDefault="00E0197D" w:rsidP="00E0197D">
      <w:pPr>
        <w:tabs>
          <w:tab w:val="left" w:pos="851"/>
          <w:tab w:val="left" w:pos="1985"/>
          <w:tab w:val="left" w:pos="3119"/>
          <w:tab w:val="left" w:pos="4536"/>
          <w:tab w:val="left" w:pos="5670"/>
        </w:tabs>
        <w:spacing w:after="0" w:line="240" w:lineRule="auto"/>
        <w:ind w:left="1985" w:hanging="1985"/>
        <w:rPr>
          <w:rFonts w:ascii="Cambria" w:eastAsia="Times New Roman" w:hAnsi="Cambria" w:cs="Times New Roman"/>
          <w:strike/>
          <w:lang w:eastAsia="en-AU"/>
        </w:rPr>
      </w:pPr>
      <w:r w:rsidRPr="009A0DA6">
        <w:rPr>
          <w:rFonts w:ascii="Cambria" w:eastAsia="Times New Roman" w:hAnsi="Cambria" w:cs="Times New Roman"/>
          <w:strike/>
          <w:lang w:eastAsia="en-AU"/>
        </w:rPr>
        <w:tab/>
        <w:t>7.4.6.3</w:t>
      </w:r>
      <w:r w:rsidRPr="009A0DA6">
        <w:rPr>
          <w:rFonts w:ascii="Cambria" w:eastAsia="Times New Roman" w:hAnsi="Cambria" w:cs="Times New Roman"/>
          <w:strike/>
          <w:lang w:eastAsia="en-AU"/>
        </w:rPr>
        <w:tab/>
        <w:t>Suggested nominations may be made by the Bishop of the Church, the Bishop of any District, and by any board of the Church in reference to that board, for consideration by the LCA Standing Committee on Nominations.</w:t>
      </w:r>
    </w:p>
    <w:p w14:paraId="3FAF3122" w14:textId="77777777" w:rsidR="00E0197D" w:rsidRPr="009A0DA6" w:rsidRDefault="00E0197D" w:rsidP="00E0197D">
      <w:pPr>
        <w:tabs>
          <w:tab w:val="left" w:pos="851"/>
          <w:tab w:val="left" w:pos="1985"/>
          <w:tab w:val="left" w:pos="3119"/>
          <w:tab w:val="left" w:pos="4536"/>
          <w:tab w:val="left" w:pos="5670"/>
        </w:tabs>
        <w:spacing w:after="0" w:line="240" w:lineRule="auto"/>
        <w:ind w:left="1985" w:hanging="1985"/>
        <w:rPr>
          <w:rFonts w:ascii="Cambria" w:eastAsia="Times New Roman" w:hAnsi="Cambria" w:cs="Times New Roman"/>
          <w:b/>
          <w:lang w:eastAsia="en-AU"/>
        </w:rPr>
      </w:pPr>
      <w:r w:rsidRPr="009A0DA6">
        <w:rPr>
          <w:rFonts w:ascii="Cambria" w:eastAsia="Times New Roman" w:hAnsi="Cambria" w:cs="Times New Roman"/>
          <w:b/>
          <w:lang w:eastAsia="en-AU"/>
        </w:rPr>
        <w:tab/>
        <w:t>7.4.6.1</w:t>
      </w:r>
      <w:r w:rsidRPr="009A0DA6">
        <w:rPr>
          <w:rFonts w:ascii="Cambria" w:eastAsia="Times New Roman" w:hAnsi="Cambria" w:cs="Times New Roman"/>
          <w:b/>
          <w:lang w:eastAsia="en-AU"/>
        </w:rPr>
        <w:tab/>
        <w:t>Persons who wish to nominate themselves shall submit a completed nominations form to the Standing Committee on Nominations.</w:t>
      </w:r>
    </w:p>
    <w:p w14:paraId="3EFCCC01" w14:textId="77777777" w:rsidR="00E0197D" w:rsidRPr="009A0DA6" w:rsidRDefault="00E0197D" w:rsidP="00E0197D">
      <w:pPr>
        <w:tabs>
          <w:tab w:val="left" w:pos="851"/>
          <w:tab w:val="left" w:pos="1985"/>
          <w:tab w:val="left" w:pos="3119"/>
          <w:tab w:val="left" w:pos="4536"/>
          <w:tab w:val="left" w:pos="5670"/>
        </w:tabs>
        <w:spacing w:after="0" w:line="240" w:lineRule="auto"/>
        <w:ind w:left="1985" w:hanging="1985"/>
        <w:rPr>
          <w:rFonts w:ascii="Cambria" w:eastAsia="Times New Roman" w:hAnsi="Cambria" w:cs="Times New Roman"/>
          <w:b/>
          <w:lang w:eastAsia="en-AU"/>
        </w:rPr>
      </w:pPr>
      <w:r w:rsidRPr="009A0DA6">
        <w:rPr>
          <w:rFonts w:ascii="Cambria" w:eastAsia="Times New Roman" w:hAnsi="Cambria" w:cs="Times New Roman"/>
          <w:b/>
          <w:lang w:eastAsia="en-AU"/>
        </w:rPr>
        <w:tab/>
        <w:t>7.4.6.2</w:t>
      </w:r>
      <w:r w:rsidRPr="009A0DA6">
        <w:rPr>
          <w:rFonts w:ascii="Cambria" w:eastAsia="Times New Roman" w:hAnsi="Cambria" w:cs="Times New Roman"/>
          <w:b/>
          <w:lang w:eastAsia="en-AU"/>
        </w:rPr>
        <w:tab/>
        <w:t>Any congregation or Bishop may submit a nomination, with the consent of the nominee, to the Standing Committee on Nominations.</w:t>
      </w:r>
    </w:p>
    <w:p w14:paraId="032B165D" w14:textId="77777777" w:rsidR="00E0197D" w:rsidRPr="009A0DA6" w:rsidRDefault="00E0197D" w:rsidP="00E0197D">
      <w:pPr>
        <w:tabs>
          <w:tab w:val="left" w:pos="851"/>
          <w:tab w:val="left" w:pos="1985"/>
          <w:tab w:val="left" w:pos="3119"/>
          <w:tab w:val="left" w:pos="4536"/>
          <w:tab w:val="left" w:pos="5670"/>
        </w:tabs>
        <w:spacing w:after="0" w:line="240" w:lineRule="auto"/>
        <w:ind w:left="1985" w:hanging="1985"/>
        <w:rPr>
          <w:rFonts w:ascii="Cambria" w:eastAsia="Times New Roman" w:hAnsi="Cambria" w:cs="Times New Roman"/>
          <w:lang w:eastAsia="en-AU"/>
        </w:rPr>
      </w:pPr>
      <w:r w:rsidRPr="009A0DA6">
        <w:rPr>
          <w:rFonts w:ascii="Cambria" w:eastAsia="Times New Roman" w:hAnsi="Cambria" w:cs="Times New Roman"/>
          <w:lang w:eastAsia="en-AU"/>
        </w:rPr>
        <w:tab/>
        <w:t>7.4.6.</w:t>
      </w:r>
      <w:r w:rsidRPr="009A0DA6">
        <w:rPr>
          <w:rFonts w:ascii="Cambria" w:eastAsia="Times New Roman" w:hAnsi="Cambria" w:cs="Times New Roman"/>
          <w:strike/>
          <w:lang w:eastAsia="en-AU"/>
        </w:rPr>
        <w:t>4</w:t>
      </w:r>
      <w:r w:rsidRPr="009A0DA6">
        <w:rPr>
          <w:rFonts w:ascii="Cambria" w:eastAsia="Times New Roman" w:hAnsi="Cambria" w:cs="Times New Roman"/>
          <w:b/>
          <w:lang w:eastAsia="en-AU"/>
        </w:rPr>
        <w:t>3</w:t>
      </w:r>
      <w:r w:rsidRPr="009A0DA6">
        <w:rPr>
          <w:rFonts w:ascii="Cambria" w:eastAsia="Times New Roman" w:hAnsi="Cambria" w:cs="Times New Roman"/>
          <w:lang w:eastAsia="en-AU"/>
        </w:rPr>
        <w:tab/>
        <w:t xml:space="preserve">The </w:t>
      </w:r>
      <w:r w:rsidRPr="009A0DA6">
        <w:rPr>
          <w:rFonts w:ascii="Cambria" w:eastAsia="Times New Roman" w:hAnsi="Cambria" w:cs="Times New Roman"/>
          <w:strike/>
          <w:lang w:eastAsia="en-AU"/>
        </w:rPr>
        <w:t xml:space="preserve">LCA </w:t>
      </w:r>
      <w:r w:rsidRPr="009A0DA6">
        <w:rPr>
          <w:rFonts w:ascii="Cambria" w:eastAsia="Times New Roman" w:hAnsi="Cambria" w:cs="Times New Roman"/>
          <w:lang w:eastAsia="en-AU"/>
        </w:rPr>
        <w:t xml:space="preserve">Standing Committee on Nominations at its discretion may list a nominee </w:t>
      </w:r>
      <w:r w:rsidRPr="009A0DA6">
        <w:rPr>
          <w:rFonts w:ascii="Cambria" w:eastAsia="Times New Roman" w:hAnsi="Cambria" w:cs="Times New Roman"/>
          <w:b/>
          <w:lang w:eastAsia="en-AU"/>
        </w:rPr>
        <w:t>or nominees</w:t>
      </w:r>
      <w:r w:rsidRPr="009A0DA6">
        <w:rPr>
          <w:rFonts w:ascii="Cambria" w:eastAsia="Times New Roman" w:hAnsi="Cambria" w:cs="Times New Roman"/>
          <w:lang w:eastAsia="en-AU"/>
        </w:rPr>
        <w:t xml:space="preserve"> for a position on </w:t>
      </w:r>
      <w:r w:rsidRPr="009A0DA6">
        <w:rPr>
          <w:rFonts w:ascii="Cambria" w:eastAsia="Times New Roman" w:hAnsi="Cambria" w:cs="Times New Roman"/>
          <w:strike/>
          <w:lang w:eastAsia="en-AU"/>
        </w:rPr>
        <w:t>a</w:t>
      </w:r>
      <w:r w:rsidRPr="009A0DA6">
        <w:rPr>
          <w:rFonts w:ascii="Cambria" w:eastAsia="Times New Roman" w:hAnsi="Cambria" w:cs="Times New Roman"/>
          <w:b/>
          <w:lang w:eastAsia="en-AU"/>
        </w:rPr>
        <w:t>the</w:t>
      </w:r>
      <w:r w:rsidRPr="009A0DA6">
        <w:rPr>
          <w:rFonts w:ascii="Cambria" w:eastAsia="Times New Roman" w:hAnsi="Cambria" w:cs="Times New Roman"/>
          <w:lang w:eastAsia="en-AU"/>
        </w:rPr>
        <w:t xml:space="preserve"> </w:t>
      </w:r>
      <w:r w:rsidRPr="009A0DA6">
        <w:rPr>
          <w:rFonts w:ascii="Cambria" w:eastAsia="Times New Roman" w:hAnsi="Cambria" w:cs="Times New Roman"/>
          <w:strike/>
          <w:lang w:eastAsia="en-AU"/>
        </w:rPr>
        <w:t>b</w:t>
      </w:r>
      <w:r w:rsidRPr="009A0DA6">
        <w:rPr>
          <w:rFonts w:ascii="Cambria" w:eastAsia="Times New Roman" w:hAnsi="Cambria" w:cs="Times New Roman"/>
          <w:b/>
          <w:lang w:eastAsia="en-AU"/>
        </w:rPr>
        <w:t>B</w:t>
      </w:r>
      <w:r w:rsidRPr="009A0DA6">
        <w:rPr>
          <w:rFonts w:ascii="Cambria" w:eastAsia="Times New Roman" w:hAnsi="Cambria" w:cs="Times New Roman"/>
          <w:lang w:eastAsia="en-AU"/>
        </w:rPr>
        <w:t xml:space="preserve">oard </w:t>
      </w:r>
      <w:r w:rsidRPr="009A0DA6">
        <w:rPr>
          <w:rFonts w:ascii="Cambria" w:eastAsia="Times New Roman" w:hAnsi="Cambria" w:cs="Times New Roman"/>
          <w:strike/>
          <w:lang w:eastAsia="en-AU"/>
        </w:rPr>
        <w:t>in place of or in addition to that position for which the candidate was originally nominated,</w:t>
      </w:r>
      <w:r w:rsidRPr="009A0DA6">
        <w:rPr>
          <w:rFonts w:ascii="Cambria" w:eastAsia="Times New Roman" w:hAnsi="Cambria" w:cs="Times New Roman"/>
          <w:lang w:eastAsia="en-AU"/>
        </w:rPr>
        <w:t xml:space="preserve"> subject to the nominee's consent</w:t>
      </w:r>
      <w:r w:rsidRPr="009A0DA6">
        <w:rPr>
          <w:rFonts w:ascii="Cambria" w:eastAsia="Times New Roman" w:hAnsi="Cambria" w:cs="Times New Roman"/>
          <w:strike/>
          <w:lang w:eastAsia="en-AU"/>
        </w:rPr>
        <w:t xml:space="preserve"> and in consultation with the relevant board</w:t>
      </w:r>
      <w:r w:rsidRPr="009A0DA6">
        <w:rPr>
          <w:rFonts w:ascii="Cambria" w:eastAsia="Times New Roman" w:hAnsi="Cambria" w:cs="Times New Roman"/>
          <w:lang w:eastAsia="en-AU"/>
        </w:rPr>
        <w:t>.</w:t>
      </w:r>
    </w:p>
    <w:p w14:paraId="270592A7" w14:textId="77777777" w:rsidR="00E0197D" w:rsidRPr="009A0DA6" w:rsidRDefault="00E0197D" w:rsidP="00E0197D">
      <w:pPr>
        <w:tabs>
          <w:tab w:val="left" w:pos="851"/>
          <w:tab w:val="left" w:pos="1985"/>
          <w:tab w:val="left" w:pos="3119"/>
          <w:tab w:val="left" w:pos="4536"/>
          <w:tab w:val="left" w:pos="5670"/>
        </w:tabs>
        <w:spacing w:after="0" w:line="240" w:lineRule="auto"/>
        <w:ind w:left="1985" w:hanging="1985"/>
        <w:rPr>
          <w:rFonts w:ascii="Cambria" w:eastAsia="Times New Roman" w:hAnsi="Cambria" w:cs="Times New Roman"/>
          <w:lang w:eastAsia="en-AU"/>
        </w:rPr>
      </w:pPr>
      <w:r w:rsidRPr="009A0DA6">
        <w:rPr>
          <w:rFonts w:ascii="Cambria" w:eastAsia="Times New Roman" w:hAnsi="Cambria" w:cs="Times New Roman"/>
          <w:lang w:eastAsia="en-AU"/>
        </w:rPr>
        <w:t>7.4.7</w:t>
      </w:r>
      <w:r w:rsidRPr="009A0DA6">
        <w:rPr>
          <w:rFonts w:ascii="Cambria" w:eastAsia="Times New Roman" w:hAnsi="Cambria" w:cs="Times New Roman"/>
          <w:lang w:eastAsia="en-AU"/>
        </w:rPr>
        <w:tab/>
        <w:t>7.4.7.1</w:t>
      </w:r>
      <w:r w:rsidRPr="009A0DA6">
        <w:rPr>
          <w:rFonts w:ascii="Cambria" w:eastAsia="Times New Roman" w:hAnsi="Cambria" w:cs="Times New Roman"/>
          <w:lang w:eastAsia="en-AU"/>
        </w:rPr>
        <w:tab/>
        <w:t>The reading of nominations shall take place after the completion of the elections provided for in the preceding Section 7.4.4.</w:t>
      </w:r>
    </w:p>
    <w:p w14:paraId="1BD7D23C" w14:textId="77777777" w:rsidR="00E0197D" w:rsidRPr="009A0DA6" w:rsidRDefault="00E0197D" w:rsidP="00E0197D">
      <w:pPr>
        <w:tabs>
          <w:tab w:val="left" w:pos="851"/>
          <w:tab w:val="left" w:pos="1985"/>
          <w:tab w:val="left" w:pos="3119"/>
          <w:tab w:val="left" w:pos="4536"/>
          <w:tab w:val="left" w:pos="5670"/>
        </w:tabs>
        <w:spacing w:after="0" w:line="240" w:lineRule="auto"/>
        <w:ind w:left="1985" w:hanging="1985"/>
        <w:rPr>
          <w:rFonts w:ascii="Cambria" w:eastAsia="Times New Roman" w:hAnsi="Cambria" w:cs="Times New Roman"/>
          <w:lang w:eastAsia="en-AU"/>
        </w:rPr>
      </w:pPr>
      <w:r w:rsidRPr="009A0DA6">
        <w:rPr>
          <w:rFonts w:ascii="Cambria" w:eastAsia="Times New Roman" w:hAnsi="Cambria" w:cs="Times New Roman"/>
          <w:lang w:eastAsia="en-AU"/>
        </w:rPr>
        <w:tab/>
        <w:t>7.4.7.2</w:t>
      </w:r>
      <w:r w:rsidRPr="009A0DA6">
        <w:rPr>
          <w:rFonts w:ascii="Cambria" w:eastAsia="Times New Roman" w:hAnsi="Cambria" w:cs="Times New Roman"/>
          <w:lang w:eastAsia="en-AU"/>
        </w:rPr>
        <w:tab/>
        <w:t>At least one session shall elapse before the elections are conducted.</w:t>
      </w:r>
    </w:p>
    <w:p w14:paraId="41A90FCE" w14:textId="77777777" w:rsidR="00E0197D" w:rsidRPr="009A0DA6" w:rsidRDefault="00E0197D" w:rsidP="00E0197D">
      <w:pPr>
        <w:tabs>
          <w:tab w:val="left" w:pos="851"/>
          <w:tab w:val="left" w:pos="1985"/>
          <w:tab w:val="left" w:pos="3119"/>
          <w:tab w:val="left" w:pos="4536"/>
          <w:tab w:val="left" w:pos="5670"/>
        </w:tabs>
        <w:spacing w:after="0" w:line="240" w:lineRule="auto"/>
        <w:ind w:left="1985" w:hanging="1985"/>
        <w:rPr>
          <w:rFonts w:ascii="Cambria" w:eastAsia="Times New Roman" w:hAnsi="Cambria" w:cs="Times New Roman"/>
          <w:strike/>
          <w:lang w:eastAsia="en-AU"/>
        </w:rPr>
      </w:pPr>
      <w:r w:rsidRPr="009A0DA6">
        <w:rPr>
          <w:rFonts w:ascii="Cambria" w:eastAsia="Times New Roman" w:hAnsi="Cambria" w:cs="Times New Roman"/>
          <w:strike/>
          <w:lang w:eastAsia="en-AU"/>
        </w:rPr>
        <w:tab/>
        <w:t>7.4.7.3</w:t>
      </w:r>
      <w:r w:rsidRPr="009A0DA6">
        <w:rPr>
          <w:rFonts w:ascii="Cambria" w:eastAsia="Times New Roman" w:hAnsi="Cambria" w:cs="Times New Roman"/>
          <w:strike/>
          <w:lang w:eastAsia="en-AU"/>
        </w:rPr>
        <w:tab/>
        <w:t>Where a new office or board is created, or where changes are made to the composition of an existing board, the time of closure for such nominations shall be determined by the Bishop and the elections be held later accordingly.</w:t>
      </w:r>
    </w:p>
    <w:p w14:paraId="0DD01AAB" w14:textId="77777777" w:rsidR="00E0197D" w:rsidRPr="009A0DA6" w:rsidRDefault="00E0197D" w:rsidP="00E0197D">
      <w:pPr>
        <w:spacing w:after="0" w:line="240" w:lineRule="auto"/>
        <w:rPr>
          <w:rFonts w:ascii="Cambria" w:eastAsia="Times New Roman" w:hAnsi="Cambria" w:cs="Times New Roman"/>
          <w:sz w:val="8"/>
          <w:lang w:eastAsia="en-AU"/>
        </w:rPr>
      </w:pPr>
    </w:p>
    <w:p w14:paraId="039BDAE1" w14:textId="77777777" w:rsidR="00E0197D" w:rsidRPr="009A0DA6" w:rsidRDefault="00E0197D" w:rsidP="00E0197D">
      <w:pPr>
        <w:spacing w:before="120" w:after="120" w:line="240" w:lineRule="auto"/>
        <w:jc w:val="center"/>
        <w:rPr>
          <w:rFonts w:ascii="Cambria" w:hAnsi="Cambria"/>
          <w:b/>
          <w:lang w:eastAsia="en-AU"/>
        </w:rPr>
      </w:pPr>
      <w:r w:rsidRPr="009A0DA6">
        <w:rPr>
          <w:rFonts w:ascii="Cambria" w:hAnsi="Cambria"/>
          <w:b/>
          <w:lang w:eastAsia="en-AU"/>
        </w:rPr>
        <w:t>SECTION 7.7 APPOINTMENTS</w:t>
      </w:r>
    </w:p>
    <w:p w14:paraId="0D28AB87" w14:textId="77777777" w:rsidR="00E0197D" w:rsidRPr="009A0DA6" w:rsidRDefault="00E0197D" w:rsidP="00E0197D">
      <w:pPr>
        <w:tabs>
          <w:tab w:val="left" w:pos="851"/>
          <w:tab w:val="left" w:pos="1985"/>
          <w:tab w:val="left" w:pos="3119"/>
          <w:tab w:val="left" w:pos="4536"/>
          <w:tab w:val="left" w:pos="5670"/>
        </w:tabs>
        <w:spacing w:after="0" w:line="240" w:lineRule="auto"/>
        <w:ind w:left="851" w:hanging="851"/>
        <w:rPr>
          <w:rFonts w:ascii="Cambria" w:eastAsia="Times New Roman" w:hAnsi="Cambria" w:cs="Times New Roman"/>
          <w:b/>
          <w:lang w:eastAsia="en-AU"/>
        </w:rPr>
      </w:pPr>
      <w:r w:rsidRPr="009A0DA6">
        <w:rPr>
          <w:rFonts w:ascii="Cambria" w:eastAsia="Times New Roman" w:hAnsi="Cambria" w:cs="Times New Roman"/>
          <w:lang w:eastAsia="en-AU"/>
        </w:rPr>
        <w:t>7.7.1</w:t>
      </w:r>
      <w:r w:rsidRPr="009A0DA6">
        <w:rPr>
          <w:rFonts w:ascii="Cambria" w:eastAsia="Times New Roman" w:hAnsi="Cambria" w:cs="Times New Roman"/>
          <w:lang w:eastAsia="en-AU"/>
        </w:rPr>
        <w:tab/>
      </w:r>
      <w:r w:rsidRPr="009A0DA6">
        <w:rPr>
          <w:rFonts w:ascii="Cambria" w:eastAsia="Times New Roman" w:hAnsi="Cambria" w:cs="Times New Roman"/>
          <w:strike/>
          <w:lang w:eastAsia="en-AU"/>
        </w:rPr>
        <w:t>Appointments to boards shall be made by the General Church Council unless otherwise prescribed.</w:t>
      </w:r>
      <w:r w:rsidRPr="009A0DA6">
        <w:rPr>
          <w:rFonts w:ascii="Cambria" w:eastAsia="Times New Roman" w:hAnsi="Cambria" w:cs="Times New Roman"/>
          <w:lang w:eastAsia="en-AU"/>
        </w:rPr>
        <w:t xml:space="preserve"> </w:t>
      </w:r>
      <w:r w:rsidRPr="009A0DA6">
        <w:rPr>
          <w:rFonts w:ascii="Cambria" w:eastAsia="Times New Roman" w:hAnsi="Cambria" w:cs="Times New Roman"/>
          <w:b/>
          <w:lang w:eastAsia="en-AU"/>
        </w:rPr>
        <w:t>Appointments to boards, councils, commissions and committees shall be made in accordance with the relevant Terms of Reference.</w:t>
      </w:r>
    </w:p>
    <w:p w14:paraId="6C491FF3" w14:textId="77777777" w:rsidR="00E0197D" w:rsidRPr="009A0DA6" w:rsidRDefault="00E0197D" w:rsidP="00E0197D">
      <w:pPr>
        <w:tabs>
          <w:tab w:val="left" w:pos="851"/>
          <w:tab w:val="left" w:pos="1985"/>
          <w:tab w:val="left" w:pos="3119"/>
          <w:tab w:val="left" w:pos="4536"/>
          <w:tab w:val="left" w:pos="5670"/>
        </w:tabs>
        <w:spacing w:after="0" w:line="240" w:lineRule="auto"/>
        <w:ind w:left="851" w:hanging="851"/>
        <w:rPr>
          <w:rFonts w:ascii="Cambria" w:eastAsia="Times New Roman" w:hAnsi="Cambria" w:cs="Times New Roman"/>
          <w:lang w:eastAsia="en-AU"/>
        </w:rPr>
      </w:pPr>
      <w:r w:rsidRPr="009A0DA6">
        <w:rPr>
          <w:rFonts w:ascii="Cambria" w:eastAsia="Times New Roman" w:hAnsi="Cambria" w:cs="Times New Roman"/>
          <w:lang w:eastAsia="en-AU"/>
        </w:rPr>
        <w:t>7.7.2</w:t>
      </w:r>
      <w:r w:rsidRPr="009A0DA6">
        <w:rPr>
          <w:rFonts w:ascii="Cambria" w:eastAsia="Times New Roman" w:hAnsi="Cambria" w:cs="Times New Roman"/>
          <w:lang w:eastAsia="en-AU"/>
        </w:rPr>
        <w:tab/>
      </w:r>
      <w:r w:rsidRPr="009A0DA6">
        <w:rPr>
          <w:rFonts w:ascii="Cambria" w:eastAsia="Times New Roman" w:hAnsi="Cambria" w:cs="Times New Roman"/>
          <w:strike/>
          <w:lang w:eastAsia="en-AU"/>
        </w:rPr>
        <w:t>Any nominations which may be required for a position to be filled by appointment shall be submitted to the General Church Council at least four [4] weeks prior to convention.</w:t>
      </w:r>
      <w:r w:rsidRPr="009A0DA6">
        <w:rPr>
          <w:rFonts w:ascii="Cambria" w:eastAsia="Times New Roman" w:hAnsi="Cambria" w:cs="Times New Roman"/>
          <w:lang w:eastAsia="en-AU"/>
        </w:rPr>
        <w:t xml:space="preserve"> </w:t>
      </w:r>
      <w:r w:rsidRPr="009A0DA6">
        <w:rPr>
          <w:rFonts w:ascii="Cambria" w:eastAsia="Times New Roman" w:hAnsi="Cambria" w:cs="Times New Roman"/>
          <w:b/>
          <w:lang w:eastAsia="en-AU"/>
        </w:rPr>
        <w:t>Eligible nominations for appointment to boards, councils, commissions and committees shall be submitted by the Standing Committee on Nominations to the General Church Board at least three [3] months prior to convention and shall be included in the Book of Nominations for the information of delegates.</w:t>
      </w:r>
    </w:p>
    <w:p w14:paraId="4C5B992C" w14:textId="77777777" w:rsidR="00E0197D" w:rsidRPr="009A0DA6" w:rsidRDefault="00E0197D" w:rsidP="00E0197D">
      <w:pPr>
        <w:tabs>
          <w:tab w:val="left" w:pos="851"/>
          <w:tab w:val="left" w:pos="1985"/>
          <w:tab w:val="left" w:pos="3119"/>
          <w:tab w:val="left" w:pos="4536"/>
          <w:tab w:val="left" w:pos="5670"/>
        </w:tabs>
        <w:spacing w:after="0" w:line="240" w:lineRule="auto"/>
        <w:ind w:left="851" w:hanging="851"/>
        <w:rPr>
          <w:rFonts w:ascii="Cambria" w:eastAsia="Times New Roman" w:hAnsi="Cambria" w:cs="Times New Roman"/>
          <w:b/>
          <w:lang w:eastAsia="en-AU"/>
        </w:rPr>
      </w:pPr>
      <w:r w:rsidRPr="009A0DA6">
        <w:rPr>
          <w:rFonts w:ascii="Cambria" w:eastAsia="Times New Roman" w:hAnsi="Cambria" w:cs="Times New Roman"/>
          <w:lang w:eastAsia="en-AU"/>
        </w:rPr>
        <w:lastRenderedPageBreak/>
        <w:t>7.7.3</w:t>
      </w:r>
      <w:r w:rsidRPr="009A0DA6">
        <w:rPr>
          <w:rFonts w:ascii="Cambria" w:eastAsia="Times New Roman" w:hAnsi="Cambria" w:cs="Times New Roman"/>
          <w:lang w:eastAsia="en-AU"/>
        </w:rPr>
        <w:tab/>
      </w:r>
      <w:r w:rsidRPr="009A0DA6">
        <w:rPr>
          <w:rFonts w:ascii="Cambria" w:eastAsia="Times New Roman" w:hAnsi="Cambria" w:cs="Times New Roman"/>
          <w:strike/>
          <w:lang w:eastAsia="en-AU"/>
        </w:rPr>
        <w:t>The regular appointments to boards shall be made by the General Church Council as soon as feasible after the completion of elections by the General Synod.</w:t>
      </w:r>
      <w:r w:rsidRPr="009A0DA6">
        <w:rPr>
          <w:rFonts w:ascii="Cambria" w:eastAsia="Times New Roman" w:hAnsi="Cambria" w:cs="Times New Roman"/>
          <w:lang w:eastAsia="en-AU"/>
        </w:rPr>
        <w:t xml:space="preserve"> </w:t>
      </w:r>
      <w:r w:rsidRPr="009A0DA6">
        <w:rPr>
          <w:rFonts w:ascii="Cambria" w:eastAsia="Times New Roman" w:hAnsi="Cambria" w:cs="Times New Roman"/>
          <w:b/>
          <w:lang w:eastAsia="en-AU"/>
        </w:rPr>
        <w:t>The regular appointments to boards, councils, commissions and committees shall be made within two [2] months after the General Synod.</w:t>
      </w:r>
    </w:p>
    <w:p w14:paraId="71101C66" w14:textId="77777777" w:rsidR="00E0197D" w:rsidRPr="009A0DA6" w:rsidRDefault="00E0197D" w:rsidP="00E0197D">
      <w:pPr>
        <w:tabs>
          <w:tab w:val="left" w:pos="851"/>
          <w:tab w:val="left" w:pos="1985"/>
          <w:tab w:val="left" w:pos="3119"/>
          <w:tab w:val="left" w:pos="4536"/>
          <w:tab w:val="left" w:pos="5670"/>
        </w:tabs>
        <w:spacing w:after="0" w:line="240" w:lineRule="auto"/>
        <w:ind w:left="851" w:hanging="851"/>
        <w:rPr>
          <w:rFonts w:ascii="Cambria" w:eastAsia="Times New Roman" w:hAnsi="Cambria" w:cs="Times New Roman"/>
          <w:strike/>
          <w:lang w:eastAsia="en-AU"/>
        </w:rPr>
      </w:pPr>
      <w:r w:rsidRPr="009A0DA6">
        <w:rPr>
          <w:rFonts w:ascii="Cambria" w:eastAsia="Times New Roman" w:hAnsi="Cambria" w:cs="Times New Roman"/>
          <w:strike/>
          <w:lang w:eastAsia="en-AU"/>
        </w:rPr>
        <w:t>7.7.4</w:t>
      </w:r>
      <w:r w:rsidRPr="009A0DA6">
        <w:rPr>
          <w:rFonts w:ascii="Cambria" w:eastAsia="Times New Roman" w:hAnsi="Cambria" w:cs="Times New Roman"/>
          <w:strike/>
          <w:lang w:eastAsia="en-AU"/>
        </w:rPr>
        <w:tab/>
        <w:t>When the rules of a board provide for the appointment of a representative of a corresponding or relevant District Committee the following procedure shall apply:</w:t>
      </w:r>
    </w:p>
    <w:p w14:paraId="121E7915" w14:textId="77777777" w:rsidR="00E0197D" w:rsidRPr="009A0DA6" w:rsidRDefault="00E0197D" w:rsidP="00E0197D">
      <w:pPr>
        <w:tabs>
          <w:tab w:val="left" w:pos="851"/>
          <w:tab w:val="left" w:pos="1985"/>
          <w:tab w:val="left" w:pos="3119"/>
          <w:tab w:val="left" w:pos="4536"/>
          <w:tab w:val="left" w:pos="5670"/>
        </w:tabs>
        <w:spacing w:after="0" w:line="240" w:lineRule="auto"/>
        <w:ind w:left="1985" w:hanging="1985"/>
        <w:rPr>
          <w:rFonts w:ascii="Cambria" w:eastAsia="Times New Roman" w:hAnsi="Cambria" w:cs="Times New Roman"/>
          <w:strike/>
          <w:lang w:eastAsia="en-AU"/>
        </w:rPr>
      </w:pPr>
      <w:r w:rsidRPr="009A0DA6">
        <w:rPr>
          <w:rFonts w:ascii="Cambria" w:eastAsia="Times New Roman" w:hAnsi="Cambria" w:cs="Times New Roman"/>
          <w:strike/>
          <w:lang w:eastAsia="en-AU"/>
        </w:rPr>
        <w:tab/>
        <w:t xml:space="preserve">7.7.4.1 </w:t>
      </w:r>
      <w:r w:rsidRPr="009A0DA6">
        <w:rPr>
          <w:rFonts w:ascii="Cambria" w:eastAsia="Times New Roman" w:hAnsi="Cambria" w:cs="Times New Roman"/>
          <w:strike/>
          <w:lang w:eastAsia="en-AU"/>
        </w:rPr>
        <w:tab/>
        <w:t>The respective District Committee, if any, may suggest candidates for consideration by the respective District Church Council.</w:t>
      </w:r>
    </w:p>
    <w:p w14:paraId="3617D034" w14:textId="77777777" w:rsidR="00E0197D" w:rsidRPr="009A0DA6" w:rsidRDefault="00E0197D" w:rsidP="00E0197D">
      <w:pPr>
        <w:tabs>
          <w:tab w:val="left" w:pos="851"/>
          <w:tab w:val="left" w:pos="1985"/>
          <w:tab w:val="left" w:pos="3119"/>
          <w:tab w:val="left" w:pos="4536"/>
          <w:tab w:val="left" w:pos="5670"/>
        </w:tabs>
        <w:spacing w:after="0" w:line="240" w:lineRule="auto"/>
        <w:ind w:left="1985" w:hanging="1985"/>
        <w:rPr>
          <w:rFonts w:ascii="Cambria" w:eastAsia="Times New Roman" w:hAnsi="Cambria" w:cs="Times New Roman"/>
          <w:strike/>
          <w:lang w:eastAsia="en-AU"/>
        </w:rPr>
      </w:pPr>
      <w:r w:rsidRPr="009A0DA6">
        <w:rPr>
          <w:rFonts w:ascii="Cambria" w:eastAsia="Times New Roman" w:hAnsi="Cambria" w:cs="Times New Roman"/>
          <w:strike/>
          <w:lang w:eastAsia="en-AU"/>
        </w:rPr>
        <w:tab/>
        <w:t>7.7.4.2</w:t>
      </w:r>
      <w:r w:rsidRPr="009A0DA6">
        <w:rPr>
          <w:rFonts w:ascii="Cambria" w:eastAsia="Times New Roman" w:hAnsi="Cambria" w:cs="Times New Roman"/>
          <w:strike/>
          <w:lang w:eastAsia="en-AU"/>
        </w:rPr>
        <w:tab/>
        <w:t>The District Church Council shall make a nomination and forward this nomination to the</w:t>
      </w:r>
      <w:r w:rsidRPr="009A0DA6">
        <w:rPr>
          <w:rFonts w:ascii="Cambria" w:eastAsia="Times New Roman" w:hAnsi="Cambria" w:cs="Times New Roman"/>
          <w:b/>
          <w:strike/>
          <w:lang w:eastAsia="en-AU"/>
        </w:rPr>
        <w:t xml:space="preserve"> </w:t>
      </w:r>
      <w:r w:rsidRPr="009A0DA6">
        <w:rPr>
          <w:rFonts w:ascii="Cambria" w:eastAsia="Times New Roman" w:hAnsi="Cambria" w:cs="Times New Roman"/>
          <w:strike/>
          <w:lang w:eastAsia="en-AU"/>
        </w:rPr>
        <w:t>Secretary of the Church.</w:t>
      </w:r>
    </w:p>
    <w:p w14:paraId="4A9B2FDC" w14:textId="77777777" w:rsidR="00E0197D" w:rsidRPr="009A0DA6" w:rsidRDefault="00E0197D" w:rsidP="00E0197D">
      <w:pPr>
        <w:tabs>
          <w:tab w:val="left" w:pos="851"/>
          <w:tab w:val="left" w:pos="1985"/>
          <w:tab w:val="left" w:pos="3119"/>
          <w:tab w:val="left" w:pos="4536"/>
          <w:tab w:val="left" w:pos="5670"/>
        </w:tabs>
        <w:spacing w:after="0" w:line="240" w:lineRule="auto"/>
        <w:ind w:left="1985" w:hanging="1985"/>
        <w:rPr>
          <w:rFonts w:ascii="Cambria" w:eastAsia="Times New Roman" w:hAnsi="Cambria" w:cs="Times New Roman"/>
          <w:strike/>
          <w:lang w:eastAsia="en-AU"/>
        </w:rPr>
      </w:pPr>
      <w:r w:rsidRPr="009A0DA6">
        <w:rPr>
          <w:rFonts w:ascii="Cambria" w:eastAsia="Times New Roman" w:hAnsi="Cambria" w:cs="Times New Roman"/>
          <w:strike/>
          <w:lang w:eastAsia="en-AU"/>
        </w:rPr>
        <w:tab/>
        <w:t>7.7.4.3</w:t>
      </w:r>
      <w:r w:rsidRPr="009A0DA6">
        <w:rPr>
          <w:rFonts w:ascii="Cambria" w:eastAsia="Times New Roman" w:hAnsi="Cambria" w:cs="Times New Roman"/>
          <w:strike/>
          <w:lang w:eastAsia="en-AU"/>
        </w:rPr>
        <w:tab/>
        <w:t>The Secretary of the Church shall notify the next meeting of the General Church Council or its Executive, and upon such notification the position shall be deemed to be filled.</w:t>
      </w:r>
    </w:p>
    <w:p w14:paraId="3E87E403" w14:textId="67BEBD62" w:rsidR="00E0197D" w:rsidRPr="009A0DA6" w:rsidRDefault="00E0197D" w:rsidP="00E0197D">
      <w:pPr>
        <w:tabs>
          <w:tab w:val="left" w:pos="851"/>
          <w:tab w:val="left" w:pos="1985"/>
          <w:tab w:val="left" w:pos="3119"/>
          <w:tab w:val="left" w:pos="4536"/>
          <w:tab w:val="left" w:pos="5670"/>
        </w:tabs>
        <w:spacing w:after="0" w:line="240" w:lineRule="auto"/>
        <w:ind w:left="851" w:hanging="851"/>
        <w:rPr>
          <w:rFonts w:ascii="Cambria" w:eastAsia="Times New Roman" w:hAnsi="Cambria" w:cs="Times New Roman"/>
          <w:sz w:val="8"/>
          <w:lang w:eastAsia="en-AU"/>
        </w:rPr>
      </w:pPr>
    </w:p>
    <w:p w14:paraId="7E431FCD" w14:textId="77777777" w:rsidR="00E0197D" w:rsidRPr="009A0DA6" w:rsidRDefault="00E0197D" w:rsidP="00E0197D">
      <w:pPr>
        <w:spacing w:before="120" w:after="120" w:line="240" w:lineRule="auto"/>
        <w:jc w:val="center"/>
        <w:rPr>
          <w:rFonts w:ascii="Cambria" w:hAnsi="Cambria"/>
          <w:b/>
          <w:lang w:eastAsia="en-AU"/>
        </w:rPr>
      </w:pPr>
      <w:r w:rsidRPr="009A0DA6">
        <w:rPr>
          <w:rFonts w:ascii="Cambria" w:hAnsi="Cambria"/>
          <w:b/>
          <w:lang w:eastAsia="en-AU"/>
        </w:rPr>
        <w:t>SECTION 8.1 ELIGIBILITY AND TERMS OF OFFICE</w:t>
      </w:r>
    </w:p>
    <w:p w14:paraId="7027FE12" w14:textId="77777777" w:rsidR="00E0197D" w:rsidRPr="009A0DA6" w:rsidRDefault="00E0197D" w:rsidP="00E0197D">
      <w:pPr>
        <w:tabs>
          <w:tab w:val="left" w:pos="851"/>
          <w:tab w:val="left" w:pos="1985"/>
          <w:tab w:val="left" w:pos="3119"/>
          <w:tab w:val="left" w:pos="4536"/>
          <w:tab w:val="left" w:pos="5670"/>
        </w:tabs>
        <w:spacing w:after="0" w:line="240" w:lineRule="auto"/>
        <w:ind w:left="851" w:hanging="851"/>
        <w:rPr>
          <w:rFonts w:ascii="Cambria" w:eastAsia="Times New Roman" w:hAnsi="Cambria" w:cs="Times New Roman"/>
          <w:lang w:eastAsia="en-AU"/>
        </w:rPr>
      </w:pPr>
      <w:r w:rsidRPr="009A0DA6">
        <w:rPr>
          <w:rFonts w:ascii="Cambria" w:eastAsia="Times New Roman" w:hAnsi="Cambria" w:cs="Times New Roman"/>
          <w:lang w:eastAsia="en-AU"/>
        </w:rPr>
        <w:t>8.1.1</w:t>
      </w:r>
      <w:r w:rsidRPr="009A0DA6">
        <w:rPr>
          <w:rFonts w:ascii="Cambria" w:eastAsia="Times New Roman" w:hAnsi="Cambria" w:cs="Times New Roman"/>
          <w:lang w:eastAsia="en-AU"/>
        </w:rPr>
        <w:tab/>
        <w:t>The Officials of the Church holding a full-time office shall not be eligible to hold any other administrative office of the Church or a District.</w:t>
      </w:r>
    </w:p>
    <w:p w14:paraId="494AE975" w14:textId="77777777" w:rsidR="00E0197D" w:rsidRPr="009A0DA6" w:rsidRDefault="00E0197D" w:rsidP="00E0197D">
      <w:pPr>
        <w:tabs>
          <w:tab w:val="left" w:pos="851"/>
          <w:tab w:val="left" w:pos="1985"/>
          <w:tab w:val="left" w:pos="3119"/>
          <w:tab w:val="left" w:pos="4536"/>
          <w:tab w:val="left" w:pos="5670"/>
        </w:tabs>
        <w:spacing w:after="0" w:line="240" w:lineRule="auto"/>
        <w:ind w:left="851" w:hanging="851"/>
        <w:rPr>
          <w:rFonts w:ascii="Cambria" w:eastAsia="Times New Roman" w:hAnsi="Cambria" w:cs="Times New Roman"/>
          <w:lang w:eastAsia="en-AU"/>
        </w:rPr>
      </w:pPr>
      <w:r w:rsidRPr="009A0DA6">
        <w:rPr>
          <w:rFonts w:ascii="Cambria" w:eastAsia="Times New Roman" w:hAnsi="Cambria" w:cs="Times New Roman"/>
          <w:lang w:eastAsia="en-AU"/>
        </w:rPr>
        <w:t>8.1.2</w:t>
      </w:r>
      <w:r w:rsidRPr="009A0DA6">
        <w:rPr>
          <w:rFonts w:ascii="Cambria" w:eastAsia="Times New Roman" w:hAnsi="Cambria" w:cs="Times New Roman"/>
          <w:lang w:eastAsia="en-AU"/>
        </w:rPr>
        <w:tab/>
        <w:t xml:space="preserve">The Secretary shall be called by the General Church </w:t>
      </w:r>
      <w:r w:rsidRPr="009A0DA6">
        <w:rPr>
          <w:rFonts w:ascii="Cambria" w:eastAsia="Times New Roman" w:hAnsi="Cambria" w:cs="Times New Roman"/>
          <w:strike/>
          <w:lang w:eastAsia="en-AU"/>
        </w:rPr>
        <w:t>Council</w:t>
      </w:r>
      <w:r w:rsidRPr="009A0DA6">
        <w:rPr>
          <w:rFonts w:ascii="Cambria" w:eastAsia="Times New Roman" w:hAnsi="Cambria" w:cs="Times New Roman"/>
          <w:b/>
          <w:lang w:eastAsia="en-AU"/>
        </w:rPr>
        <w:t>Board</w:t>
      </w:r>
      <w:r w:rsidRPr="009A0DA6">
        <w:rPr>
          <w:rFonts w:ascii="Cambria" w:eastAsia="Times New Roman" w:hAnsi="Cambria" w:cs="Times New Roman"/>
          <w:lang w:eastAsia="en-AU"/>
        </w:rPr>
        <w:t>.</w:t>
      </w:r>
    </w:p>
    <w:p w14:paraId="59EAFD27" w14:textId="77777777" w:rsidR="00E0197D" w:rsidRPr="009A0DA6" w:rsidRDefault="00E0197D" w:rsidP="00E0197D">
      <w:pPr>
        <w:tabs>
          <w:tab w:val="left" w:pos="851"/>
          <w:tab w:val="left" w:pos="1985"/>
          <w:tab w:val="left" w:pos="3119"/>
          <w:tab w:val="left" w:pos="4536"/>
          <w:tab w:val="left" w:pos="5670"/>
        </w:tabs>
        <w:spacing w:after="0" w:line="240" w:lineRule="auto"/>
        <w:ind w:left="851" w:hanging="851"/>
        <w:rPr>
          <w:rFonts w:ascii="Cambria" w:eastAsia="Times New Roman" w:hAnsi="Cambria" w:cs="Times New Roman"/>
          <w:lang w:eastAsia="en-AU"/>
        </w:rPr>
      </w:pPr>
      <w:r w:rsidRPr="009A0DA6">
        <w:rPr>
          <w:rFonts w:ascii="Cambria" w:eastAsia="Times New Roman" w:hAnsi="Cambria" w:cs="Times New Roman"/>
          <w:lang w:eastAsia="en-AU"/>
        </w:rPr>
        <w:t>8.1.3</w:t>
      </w:r>
      <w:r w:rsidRPr="009A0DA6">
        <w:rPr>
          <w:rFonts w:ascii="Cambria" w:eastAsia="Times New Roman" w:hAnsi="Cambria" w:cs="Times New Roman"/>
          <w:lang w:eastAsia="en-AU"/>
        </w:rPr>
        <w:tab/>
        <w:t xml:space="preserve">The members of the General Church </w:t>
      </w:r>
      <w:r w:rsidRPr="009A0DA6">
        <w:rPr>
          <w:rFonts w:ascii="Cambria" w:eastAsia="Times New Roman" w:hAnsi="Cambria" w:cs="Times New Roman"/>
          <w:strike/>
          <w:lang w:eastAsia="en-AU"/>
        </w:rPr>
        <w:t>Council</w:t>
      </w:r>
      <w:r w:rsidRPr="009A0DA6">
        <w:rPr>
          <w:rFonts w:ascii="Cambria" w:eastAsia="Times New Roman" w:hAnsi="Cambria" w:cs="Times New Roman"/>
          <w:b/>
          <w:lang w:eastAsia="en-AU"/>
        </w:rPr>
        <w:t>Board</w:t>
      </w:r>
      <w:r w:rsidRPr="009A0DA6">
        <w:rPr>
          <w:rFonts w:ascii="Cambria" w:eastAsia="Times New Roman" w:hAnsi="Cambria" w:cs="Times New Roman"/>
          <w:lang w:eastAsia="en-AU"/>
        </w:rPr>
        <w:t xml:space="preserve"> shall not be eligible to be members of more than one </w:t>
      </w:r>
      <w:r w:rsidRPr="009A0DA6">
        <w:rPr>
          <w:rFonts w:ascii="Cambria" w:eastAsia="Times New Roman" w:hAnsi="Cambria" w:cs="Times New Roman"/>
          <w:b/>
          <w:lang w:eastAsia="en-AU"/>
        </w:rPr>
        <w:t>other</w:t>
      </w:r>
      <w:r w:rsidRPr="009A0DA6">
        <w:rPr>
          <w:rFonts w:ascii="Cambria" w:eastAsia="Times New Roman" w:hAnsi="Cambria" w:cs="Times New Roman"/>
          <w:lang w:eastAsia="en-AU"/>
        </w:rPr>
        <w:t xml:space="preserve"> </w:t>
      </w:r>
      <w:r w:rsidRPr="009A0DA6">
        <w:rPr>
          <w:rFonts w:ascii="Cambria" w:eastAsia="Times New Roman" w:hAnsi="Cambria" w:cs="Times New Roman"/>
          <w:strike/>
          <w:lang w:eastAsia="en-AU"/>
        </w:rPr>
        <w:t>B</w:t>
      </w:r>
      <w:r w:rsidRPr="009A0DA6">
        <w:rPr>
          <w:rFonts w:ascii="Cambria" w:eastAsia="Times New Roman" w:hAnsi="Cambria" w:cs="Times New Roman"/>
          <w:b/>
          <w:lang w:eastAsia="en-AU"/>
        </w:rPr>
        <w:t>b</w:t>
      </w:r>
      <w:r w:rsidRPr="009A0DA6">
        <w:rPr>
          <w:rFonts w:ascii="Cambria" w:eastAsia="Times New Roman" w:hAnsi="Cambria" w:cs="Times New Roman"/>
          <w:lang w:eastAsia="en-AU"/>
        </w:rPr>
        <w:t xml:space="preserve">oard or </w:t>
      </w:r>
      <w:r w:rsidRPr="009A0DA6">
        <w:rPr>
          <w:rFonts w:ascii="Cambria" w:eastAsia="Times New Roman" w:hAnsi="Cambria" w:cs="Times New Roman"/>
          <w:strike/>
          <w:lang w:eastAsia="en-AU"/>
        </w:rPr>
        <w:t>Standing Committee</w:t>
      </w:r>
      <w:r w:rsidRPr="009A0DA6">
        <w:rPr>
          <w:rFonts w:ascii="Cambria" w:eastAsia="Times New Roman" w:hAnsi="Cambria" w:cs="Times New Roman"/>
          <w:b/>
          <w:lang w:eastAsia="en-AU"/>
        </w:rPr>
        <w:t>council</w:t>
      </w:r>
      <w:r w:rsidRPr="009A0DA6">
        <w:rPr>
          <w:rFonts w:ascii="Cambria" w:eastAsia="Times New Roman" w:hAnsi="Cambria" w:cs="Times New Roman"/>
          <w:lang w:eastAsia="en-AU"/>
        </w:rPr>
        <w:t xml:space="preserve"> of the Church.</w:t>
      </w:r>
    </w:p>
    <w:p w14:paraId="26FE9E3B" w14:textId="77777777" w:rsidR="00E0197D" w:rsidRPr="009A0DA6" w:rsidRDefault="00E0197D" w:rsidP="00E0197D">
      <w:pPr>
        <w:tabs>
          <w:tab w:val="left" w:pos="851"/>
          <w:tab w:val="left" w:pos="1985"/>
          <w:tab w:val="left" w:pos="3119"/>
          <w:tab w:val="left" w:pos="4536"/>
          <w:tab w:val="left" w:pos="5670"/>
        </w:tabs>
        <w:spacing w:after="0" w:line="240" w:lineRule="auto"/>
        <w:ind w:left="851" w:hanging="851"/>
        <w:rPr>
          <w:rFonts w:ascii="Cambria" w:eastAsia="Times New Roman" w:hAnsi="Cambria" w:cs="Times New Roman"/>
          <w:lang w:eastAsia="en-AU"/>
        </w:rPr>
      </w:pPr>
      <w:r w:rsidRPr="009A0DA6">
        <w:rPr>
          <w:rFonts w:ascii="Cambria" w:eastAsia="Times New Roman" w:hAnsi="Cambria" w:cs="Times New Roman"/>
          <w:lang w:eastAsia="en-AU"/>
        </w:rPr>
        <w:t>8.1.4</w:t>
      </w:r>
      <w:r w:rsidRPr="009A0DA6">
        <w:rPr>
          <w:rFonts w:ascii="Cambria" w:eastAsia="Times New Roman" w:hAnsi="Cambria" w:cs="Times New Roman"/>
          <w:lang w:eastAsia="en-AU"/>
        </w:rPr>
        <w:tab/>
        <w:t xml:space="preserve">A full-time executive officer serving under a board </w:t>
      </w:r>
      <w:r w:rsidRPr="009A0DA6">
        <w:rPr>
          <w:rFonts w:ascii="Cambria" w:eastAsia="Times New Roman" w:hAnsi="Cambria" w:cs="Times New Roman"/>
          <w:b/>
          <w:lang w:eastAsia="en-AU"/>
        </w:rPr>
        <w:t>or council</w:t>
      </w:r>
      <w:r w:rsidRPr="009A0DA6">
        <w:rPr>
          <w:rFonts w:ascii="Cambria" w:eastAsia="Times New Roman" w:hAnsi="Cambria" w:cs="Times New Roman"/>
          <w:lang w:eastAsia="en-AU"/>
        </w:rPr>
        <w:t xml:space="preserve"> of the Church shall not be eligible to be a member of more than one </w:t>
      </w:r>
      <w:r w:rsidRPr="009A0DA6">
        <w:rPr>
          <w:rFonts w:ascii="Cambria" w:eastAsia="Times New Roman" w:hAnsi="Cambria" w:cs="Times New Roman"/>
          <w:strike/>
          <w:lang w:eastAsia="en-AU"/>
        </w:rPr>
        <w:t>B</w:t>
      </w:r>
      <w:r w:rsidRPr="009A0DA6">
        <w:rPr>
          <w:rFonts w:ascii="Cambria" w:eastAsia="Times New Roman" w:hAnsi="Cambria" w:cs="Times New Roman"/>
          <w:b/>
          <w:lang w:eastAsia="en-AU"/>
        </w:rPr>
        <w:t>b</w:t>
      </w:r>
      <w:r w:rsidRPr="009A0DA6">
        <w:rPr>
          <w:rFonts w:ascii="Cambria" w:eastAsia="Times New Roman" w:hAnsi="Cambria" w:cs="Times New Roman"/>
          <w:lang w:eastAsia="en-AU"/>
        </w:rPr>
        <w:t>oard</w:t>
      </w:r>
      <w:r w:rsidRPr="009A0DA6">
        <w:rPr>
          <w:rFonts w:ascii="Cambria" w:eastAsia="Times New Roman" w:hAnsi="Cambria" w:cs="Times New Roman"/>
          <w:b/>
          <w:lang w:eastAsia="en-AU"/>
        </w:rPr>
        <w:t>, council or commission</w:t>
      </w:r>
      <w:r w:rsidRPr="009A0DA6">
        <w:rPr>
          <w:rFonts w:ascii="Cambria" w:eastAsia="Times New Roman" w:hAnsi="Cambria" w:cs="Times New Roman"/>
          <w:lang w:eastAsia="en-AU"/>
        </w:rPr>
        <w:t xml:space="preserve"> </w:t>
      </w:r>
      <w:r w:rsidRPr="009A0DA6">
        <w:rPr>
          <w:rFonts w:ascii="Cambria" w:eastAsia="Times New Roman" w:hAnsi="Cambria" w:cs="Times New Roman"/>
          <w:strike/>
          <w:lang w:eastAsia="en-AU"/>
        </w:rPr>
        <w:t>or Standing Committee</w:t>
      </w:r>
      <w:r w:rsidRPr="009A0DA6">
        <w:rPr>
          <w:rFonts w:ascii="Cambria" w:eastAsia="Times New Roman" w:hAnsi="Cambria" w:cs="Times New Roman"/>
          <w:lang w:eastAsia="en-AU"/>
        </w:rPr>
        <w:t xml:space="preserve"> of the Church or a District.</w:t>
      </w:r>
    </w:p>
    <w:p w14:paraId="110907D7" w14:textId="77777777" w:rsidR="00E0197D" w:rsidRPr="009A0DA6" w:rsidRDefault="00E0197D" w:rsidP="00E0197D">
      <w:pPr>
        <w:tabs>
          <w:tab w:val="left" w:pos="851"/>
          <w:tab w:val="left" w:pos="1985"/>
          <w:tab w:val="left" w:pos="3119"/>
          <w:tab w:val="left" w:pos="4536"/>
          <w:tab w:val="left" w:pos="5670"/>
        </w:tabs>
        <w:spacing w:after="0" w:line="240" w:lineRule="auto"/>
        <w:ind w:left="851" w:hanging="851"/>
        <w:rPr>
          <w:rFonts w:ascii="Cambria" w:eastAsia="Times New Roman" w:hAnsi="Cambria" w:cs="Times New Roman"/>
          <w:lang w:eastAsia="en-AU"/>
        </w:rPr>
      </w:pPr>
      <w:r w:rsidRPr="009A0DA6">
        <w:rPr>
          <w:rFonts w:ascii="Cambria" w:eastAsia="Times New Roman" w:hAnsi="Cambria" w:cs="Times New Roman"/>
          <w:lang w:eastAsia="en-AU"/>
        </w:rPr>
        <w:t>8.1.5</w:t>
      </w:r>
      <w:r w:rsidRPr="009A0DA6">
        <w:rPr>
          <w:rFonts w:ascii="Cambria" w:eastAsia="Times New Roman" w:hAnsi="Cambria" w:cs="Times New Roman"/>
          <w:lang w:eastAsia="en-AU"/>
        </w:rPr>
        <w:tab/>
        <w:t xml:space="preserve">Any person who receives a salary from or is in the employ of a </w:t>
      </w:r>
      <w:r w:rsidRPr="009A0DA6">
        <w:rPr>
          <w:rFonts w:ascii="Cambria" w:eastAsia="Times New Roman" w:hAnsi="Cambria" w:cs="Times New Roman"/>
          <w:strike/>
          <w:lang w:eastAsia="en-AU"/>
        </w:rPr>
        <w:t>B</w:t>
      </w:r>
      <w:r w:rsidRPr="009A0DA6">
        <w:rPr>
          <w:rFonts w:ascii="Cambria" w:eastAsia="Times New Roman" w:hAnsi="Cambria" w:cs="Times New Roman"/>
          <w:b/>
          <w:lang w:eastAsia="en-AU"/>
        </w:rPr>
        <w:t>b</w:t>
      </w:r>
      <w:r w:rsidRPr="009A0DA6">
        <w:rPr>
          <w:rFonts w:ascii="Cambria" w:eastAsia="Times New Roman" w:hAnsi="Cambria" w:cs="Times New Roman"/>
          <w:lang w:eastAsia="en-AU"/>
        </w:rPr>
        <w:t xml:space="preserve">oard shall not be a member of the </w:t>
      </w:r>
      <w:r w:rsidRPr="009A0DA6">
        <w:rPr>
          <w:rFonts w:ascii="Cambria" w:eastAsia="Times New Roman" w:hAnsi="Cambria" w:cs="Times New Roman"/>
          <w:strike/>
          <w:lang w:eastAsia="en-AU"/>
        </w:rPr>
        <w:t>B</w:t>
      </w:r>
      <w:r w:rsidRPr="009A0DA6">
        <w:rPr>
          <w:rFonts w:ascii="Cambria" w:eastAsia="Times New Roman" w:hAnsi="Cambria" w:cs="Times New Roman"/>
          <w:b/>
          <w:lang w:eastAsia="en-AU"/>
        </w:rPr>
        <w:t>b</w:t>
      </w:r>
      <w:r w:rsidRPr="009A0DA6">
        <w:rPr>
          <w:rFonts w:ascii="Cambria" w:eastAsia="Times New Roman" w:hAnsi="Cambria" w:cs="Times New Roman"/>
          <w:lang w:eastAsia="en-AU"/>
        </w:rPr>
        <w:t>oard under which such person serves.</w:t>
      </w:r>
    </w:p>
    <w:p w14:paraId="227E84BF" w14:textId="77777777" w:rsidR="00E0197D" w:rsidRPr="009A0DA6" w:rsidRDefault="00E0197D" w:rsidP="00E0197D">
      <w:pPr>
        <w:tabs>
          <w:tab w:val="left" w:pos="851"/>
          <w:tab w:val="left" w:pos="1985"/>
          <w:tab w:val="left" w:pos="3119"/>
          <w:tab w:val="left" w:pos="4536"/>
          <w:tab w:val="left" w:pos="5670"/>
        </w:tabs>
        <w:spacing w:after="0" w:line="240" w:lineRule="auto"/>
        <w:ind w:left="851" w:hanging="851"/>
        <w:rPr>
          <w:rFonts w:ascii="Cambria" w:eastAsia="Times New Roman" w:hAnsi="Cambria" w:cs="Times New Roman"/>
          <w:lang w:eastAsia="en-AU"/>
        </w:rPr>
      </w:pPr>
      <w:r w:rsidRPr="009A0DA6">
        <w:rPr>
          <w:rFonts w:ascii="Cambria" w:eastAsia="Times New Roman" w:hAnsi="Cambria" w:cs="Times New Roman"/>
          <w:lang w:eastAsia="en-AU"/>
        </w:rPr>
        <w:t>8.1.6</w:t>
      </w:r>
      <w:r w:rsidRPr="009A0DA6">
        <w:rPr>
          <w:rFonts w:ascii="Cambria" w:eastAsia="Times New Roman" w:hAnsi="Cambria" w:cs="Times New Roman"/>
          <w:lang w:eastAsia="en-AU"/>
        </w:rPr>
        <w:tab/>
        <w:t>An executive officer of a committee of a District which is directly associated with the activities of a board of the Church shall not be eligible for membership on that board.</w:t>
      </w:r>
    </w:p>
    <w:p w14:paraId="6AB74B5B" w14:textId="77777777" w:rsidR="00E0197D" w:rsidRPr="009A0DA6" w:rsidRDefault="00E0197D" w:rsidP="00E0197D">
      <w:pPr>
        <w:tabs>
          <w:tab w:val="left" w:pos="851"/>
          <w:tab w:val="left" w:pos="1985"/>
          <w:tab w:val="left" w:pos="3119"/>
          <w:tab w:val="left" w:pos="4536"/>
          <w:tab w:val="left" w:pos="5670"/>
        </w:tabs>
        <w:spacing w:after="0" w:line="240" w:lineRule="auto"/>
        <w:ind w:left="851" w:hanging="851"/>
        <w:rPr>
          <w:rFonts w:ascii="Cambria" w:eastAsia="Times New Roman" w:hAnsi="Cambria" w:cs="Times New Roman"/>
          <w:lang w:eastAsia="en-AU"/>
        </w:rPr>
      </w:pPr>
      <w:r w:rsidRPr="009A0DA6">
        <w:rPr>
          <w:rFonts w:ascii="Cambria" w:eastAsia="Times New Roman" w:hAnsi="Cambria" w:cs="Times New Roman"/>
          <w:lang w:eastAsia="en-AU"/>
        </w:rPr>
        <w:t>8.1.7</w:t>
      </w:r>
      <w:r w:rsidRPr="009A0DA6">
        <w:rPr>
          <w:rFonts w:ascii="Cambria" w:eastAsia="Times New Roman" w:hAnsi="Cambria" w:cs="Times New Roman"/>
          <w:lang w:eastAsia="en-AU"/>
        </w:rPr>
        <w:tab/>
        <w:t>The spouse of an executive officer or salaried person serving the Church shall not be a member of a board under which such an executive officer or salaried person serves.</w:t>
      </w:r>
    </w:p>
    <w:p w14:paraId="14D2D633" w14:textId="63E9E70B" w:rsidR="00E0197D" w:rsidRPr="009A0DA6" w:rsidRDefault="00E0197D" w:rsidP="00E0197D">
      <w:pPr>
        <w:tabs>
          <w:tab w:val="left" w:pos="851"/>
          <w:tab w:val="left" w:pos="1985"/>
          <w:tab w:val="left" w:pos="3119"/>
          <w:tab w:val="left" w:pos="4536"/>
          <w:tab w:val="left" w:pos="5670"/>
        </w:tabs>
        <w:spacing w:after="0" w:line="240" w:lineRule="auto"/>
        <w:ind w:left="851" w:hanging="851"/>
        <w:rPr>
          <w:rFonts w:ascii="Cambria" w:eastAsia="Times New Roman" w:hAnsi="Cambria" w:cs="Times New Roman"/>
          <w:lang w:eastAsia="en-AU"/>
        </w:rPr>
      </w:pPr>
      <w:r w:rsidRPr="009A0DA6">
        <w:rPr>
          <w:rFonts w:ascii="Cambria" w:eastAsia="Times New Roman" w:hAnsi="Cambria" w:cs="Times New Roman"/>
          <w:lang w:eastAsia="en-AU"/>
        </w:rPr>
        <w:t>8.1.8</w:t>
      </w:r>
      <w:r w:rsidRPr="009A0DA6">
        <w:rPr>
          <w:rFonts w:ascii="Cambria" w:eastAsia="Times New Roman" w:hAnsi="Cambria" w:cs="Times New Roman"/>
          <w:lang w:eastAsia="en-AU"/>
        </w:rPr>
        <w:tab/>
        <w:t xml:space="preserve">No person shall be eligible for </w:t>
      </w:r>
      <w:r w:rsidRPr="009A0DA6">
        <w:rPr>
          <w:rFonts w:ascii="Cambria" w:eastAsia="Times New Roman" w:hAnsi="Cambria" w:cs="Times New Roman"/>
          <w:strike/>
          <w:lang w:eastAsia="en-AU"/>
        </w:rPr>
        <w:t>election by the General Synod or for</w:t>
      </w:r>
      <w:r w:rsidRPr="009A0DA6">
        <w:rPr>
          <w:rFonts w:ascii="Cambria" w:eastAsia="Times New Roman" w:hAnsi="Cambria" w:cs="Times New Roman"/>
          <w:lang w:eastAsia="en-AU"/>
        </w:rPr>
        <w:t xml:space="preserve"> appointment by the General Church </w:t>
      </w:r>
      <w:r w:rsidRPr="009A0DA6">
        <w:rPr>
          <w:rFonts w:ascii="Cambria" w:eastAsia="Times New Roman" w:hAnsi="Cambria" w:cs="Times New Roman"/>
          <w:strike/>
          <w:lang w:eastAsia="en-AU"/>
        </w:rPr>
        <w:t>Council</w:t>
      </w:r>
      <w:r w:rsidRPr="009A0DA6">
        <w:rPr>
          <w:rFonts w:ascii="Cambria" w:eastAsia="Times New Roman" w:hAnsi="Cambria" w:cs="Times New Roman"/>
          <w:b/>
          <w:lang w:eastAsia="en-AU"/>
        </w:rPr>
        <w:t>Board</w:t>
      </w:r>
      <w:r w:rsidRPr="009A0DA6">
        <w:rPr>
          <w:rFonts w:ascii="Cambria" w:eastAsia="Times New Roman" w:hAnsi="Cambria" w:cs="Times New Roman"/>
          <w:lang w:eastAsia="en-AU"/>
        </w:rPr>
        <w:t xml:space="preserve"> to more than two [2] </w:t>
      </w:r>
      <w:r w:rsidRPr="009A0DA6">
        <w:rPr>
          <w:rFonts w:ascii="Cambria" w:eastAsia="Times New Roman" w:hAnsi="Cambria" w:cs="Times New Roman"/>
          <w:strike/>
          <w:lang w:eastAsia="en-AU"/>
        </w:rPr>
        <w:t>B</w:t>
      </w:r>
      <w:r w:rsidRPr="009A0DA6">
        <w:rPr>
          <w:rFonts w:ascii="Cambria" w:eastAsia="Times New Roman" w:hAnsi="Cambria" w:cs="Times New Roman"/>
          <w:b/>
          <w:lang w:eastAsia="en-AU"/>
        </w:rPr>
        <w:t>b</w:t>
      </w:r>
      <w:r w:rsidRPr="009A0DA6">
        <w:rPr>
          <w:rFonts w:ascii="Cambria" w:eastAsia="Times New Roman" w:hAnsi="Cambria" w:cs="Times New Roman"/>
          <w:lang w:eastAsia="en-AU"/>
        </w:rPr>
        <w:t xml:space="preserve">oards or </w:t>
      </w:r>
      <w:r w:rsidRPr="009A0DA6">
        <w:rPr>
          <w:rFonts w:ascii="Cambria" w:eastAsia="Times New Roman" w:hAnsi="Cambria" w:cs="Times New Roman"/>
          <w:strike/>
          <w:lang w:eastAsia="en-AU"/>
        </w:rPr>
        <w:t>Standing Committees</w:t>
      </w:r>
      <w:r w:rsidRPr="009A0DA6">
        <w:rPr>
          <w:rFonts w:ascii="Cambria" w:eastAsia="Times New Roman" w:hAnsi="Cambria" w:cs="Times New Roman"/>
          <w:b/>
          <w:lang w:eastAsia="en-AU"/>
        </w:rPr>
        <w:t>councils</w:t>
      </w:r>
      <w:r w:rsidRPr="009A0DA6">
        <w:rPr>
          <w:rFonts w:ascii="Cambria" w:eastAsia="Times New Roman" w:hAnsi="Cambria" w:cs="Times New Roman"/>
          <w:lang w:eastAsia="en-AU"/>
        </w:rPr>
        <w:t xml:space="preserve"> of the Church unless otherwise determined by the </w:t>
      </w:r>
      <w:r w:rsidRPr="009A0DA6">
        <w:rPr>
          <w:rFonts w:ascii="Cambria" w:eastAsia="Times New Roman" w:hAnsi="Cambria" w:cs="Times New Roman"/>
          <w:strike/>
          <w:lang w:eastAsia="en-AU"/>
        </w:rPr>
        <w:t xml:space="preserve">General Synod or the </w:t>
      </w:r>
      <w:r w:rsidRPr="009A0DA6">
        <w:rPr>
          <w:rFonts w:ascii="Cambria" w:eastAsia="Times New Roman" w:hAnsi="Cambria" w:cs="Times New Roman"/>
          <w:lang w:eastAsia="en-AU"/>
        </w:rPr>
        <w:t xml:space="preserve">General Church </w:t>
      </w:r>
      <w:r w:rsidRPr="009A0DA6">
        <w:rPr>
          <w:rFonts w:ascii="Cambria" w:eastAsia="Times New Roman" w:hAnsi="Cambria" w:cs="Times New Roman"/>
          <w:strike/>
          <w:lang w:eastAsia="en-AU"/>
        </w:rPr>
        <w:t>Council respectively</w:t>
      </w:r>
      <w:r w:rsidRPr="009A0DA6">
        <w:rPr>
          <w:rFonts w:ascii="Cambria" w:eastAsia="Times New Roman" w:hAnsi="Cambria" w:cs="Times New Roman"/>
          <w:b/>
          <w:lang w:eastAsia="en-AU"/>
        </w:rPr>
        <w:t>Board</w:t>
      </w:r>
      <w:r w:rsidR="0027799A" w:rsidRPr="009A0DA6">
        <w:rPr>
          <w:rFonts w:ascii="Cambria" w:eastAsia="Times New Roman" w:hAnsi="Cambria" w:cs="Times New Roman"/>
          <w:lang w:eastAsia="en-AU"/>
        </w:rPr>
        <w:t xml:space="preserve">. </w:t>
      </w:r>
      <w:r w:rsidRPr="009A0DA6">
        <w:rPr>
          <w:rFonts w:ascii="Cambria" w:eastAsia="Times New Roman" w:hAnsi="Cambria" w:cs="Times New Roman"/>
          <w:lang w:eastAsia="en-AU"/>
        </w:rPr>
        <w:t xml:space="preserve">This restriction shall not include membership on a </w:t>
      </w:r>
      <w:r w:rsidRPr="009A0DA6">
        <w:rPr>
          <w:rFonts w:ascii="Cambria" w:eastAsia="Times New Roman" w:hAnsi="Cambria" w:cs="Times New Roman"/>
          <w:strike/>
          <w:lang w:eastAsia="en-AU"/>
        </w:rPr>
        <w:t>B</w:t>
      </w:r>
      <w:r w:rsidRPr="009A0DA6">
        <w:rPr>
          <w:rFonts w:ascii="Cambria" w:eastAsia="Times New Roman" w:hAnsi="Cambria" w:cs="Times New Roman"/>
          <w:b/>
          <w:lang w:eastAsia="en-AU"/>
        </w:rPr>
        <w:t>b</w:t>
      </w:r>
      <w:r w:rsidRPr="009A0DA6">
        <w:rPr>
          <w:rFonts w:ascii="Cambria" w:eastAsia="Times New Roman" w:hAnsi="Cambria" w:cs="Times New Roman"/>
          <w:lang w:eastAsia="en-AU"/>
        </w:rPr>
        <w:t xml:space="preserve">oard or </w:t>
      </w:r>
      <w:r w:rsidRPr="009A0DA6">
        <w:rPr>
          <w:rFonts w:ascii="Cambria" w:eastAsia="Times New Roman" w:hAnsi="Cambria" w:cs="Times New Roman"/>
          <w:strike/>
          <w:lang w:eastAsia="en-AU"/>
        </w:rPr>
        <w:t>Standing Committee</w:t>
      </w:r>
      <w:r w:rsidRPr="009A0DA6">
        <w:rPr>
          <w:rFonts w:ascii="Cambria" w:eastAsia="Times New Roman" w:hAnsi="Cambria" w:cs="Times New Roman"/>
          <w:b/>
          <w:lang w:eastAsia="en-AU"/>
        </w:rPr>
        <w:t>council</w:t>
      </w:r>
      <w:r w:rsidRPr="009A0DA6">
        <w:rPr>
          <w:rFonts w:ascii="Cambria" w:eastAsia="Times New Roman" w:hAnsi="Cambria" w:cs="Times New Roman"/>
          <w:lang w:eastAsia="en-AU"/>
        </w:rPr>
        <w:t xml:space="preserve"> which according to the </w:t>
      </w:r>
      <w:r w:rsidRPr="009A0DA6">
        <w:rPr>
          <w:rFonts w:ascii="Cambria" w:eastAsia="Times New Roman" w:hAnsi="Cambria" w:cs="Times New Roman"/>
          <w:strike/>
          <w:lang w:eastAsia="en-AU"/>
        </w:rPr>
        <w:t>rules and regulations</w:t>
      </w:r>
      <w:r w:rsidRPr="009A0DA6">
        <w:rPr>
          <w:rFonts w:ascii="Cambria" w:eastAsia="Times New Roman" w:hAnsi="Cambria" w:cs="Times New Roman"/>
          <w:b/>
          <w:lang w:eastAsia="en-AU"/>
        </w:rPr>
        <w:t>Terms of Reference</w:t>
      </w:r>
      <w:r w:rsidRPr="009A0DA6">
        <w:rPr>
          <w:rFonts w:ascii="Cambria" w:eastAsia="Times New Roman" w:hAnsi="Cambria" w:cs="Times New Roman"/>
          <w:lang w:eastAsia="en-AU"/>
        </w:rPr>
        <w:t xml:space="preserve"> is ex officio or representative of another </w:t>
      </w:r>
      <w:r w:rsidRPr="009A0DA6">
        <w:rPr>
          <w:rFonts w:ascii="Cambria" w:eastAsia="Times New Roman" w:hAnsi="Cambria" w:cs="Times New Roman"/>
          <w:strike/>
          <w:lang w:eastAsia="en-AU"/>
        </w:rPr>
        <w:t>B</w:t>
      </w:r>
      <w:r w:rsidRPr="009A0DA6">
        <w:rPr>
          <w:rFonts w:ascii="Cambria" w:eastAsia="Times New Roman" w:hAnsi="Cambria" w:cs="Times New Roman"/>
          <w:b/>
          <w:lang w:eastAsia="en-AU"/>
        </w:rPr>
        <w:t>b</w:t>
      </w:r>
      <w:r w:rsidRPr="009A0DA6">
        <w:rPr>
          <w:rFonts w:ascii="Cambria" w:eastAsia="Times New Roman" w:hAnsi="Cambria" w:cs="Times New Roman"/>
          <w:lang w:eastAsia="en-AU"/>
        </w:rPr>
        <w:t xml:space="preserve">oard or </w:t>
      </w:r>
      <w:r w:rsidRPr="009A0DA6">
        <w:rPr>
          <w:rFonts w:ascii="Cambria" w:eastAsia="Times New Roman" w:hAnsi="Cambria" w:cs="Times New Roman"/>
          <w:strike/>
          <w:lang w:eastAsia="en-AU"/>
        </w:rPr>
        <w:t>Standing Committee</w:t>
      </w:r>
      <w:r w:rsidRPr="009A0DA6">
        <w:rPr>
          <w:rFonts w:ascii="Cambria" w:eastAsia="Times New Roman" w:hAnsi="Cambria" w:cs="Times New Roman"/>
          <w:b/>
          <w:lang w:eastAsia="en-AU"/>
        </w:rPr>
        <w:t>council</w:t>
      </w:r>
      <w:r w:rsidRPr="009A0DA6">
        <w:rPr>
          <w:rFonts w:ascii="Cambria" w:eastAsia="Times New Roman" w:hAnsi="Cambria" w:cs="Times New Roman"/>
          <w:lang w:eastAsia="en-AU"/>
        </w:rPr>
        <w:t>.</w:t>
      </w:r>
    </w:p>
    <w:p w14:paraId="77702AD5" w14:textId="77777777" w:rsidR="00E0197D" w:rsidRPr="009A0DA6" w:rsidRDefault="00E0197D" w:rsidP="00E0197D">
      <w:pPr>
        <w:tabs>
          <w:tab w:val="left" w:pos="851"/>
          <w:tab w:val="left" w:pos="1985"/>
          <w:tab w:val="left" w:pos="3119"/>
          <w:tab w:val="left" w:pos="4536"/>
          <w:tab w:val="left" w:pos="5670"/>
        </w:tabs>
        <w:spacing w:after="0" w:line="240" w:lineRule="auto"/>
        <w:ind w:left="1985" w:hanging="1985"/>
        <w:rPr>
          <w:rFonts w:ascii="Cambria" w:eastAsia="Times New Roman" w:hAnsi="Cambria" w:cs="Arial"/>
          <w:lang w:eastAsia="en-AU"/>
        </w:rPr>
      </w:pPr>
      <w:r w:rsidRPr="009A0DA6">
        <w:rPr>
          <w:rFonts w:ascii="Cambria" w:eastAsia="Times New Roman" w:hAnsi="Cambria" w:cs="Arial"/>
          <w:lang w:eastAsia="en-AU"/>
        </w:rPr>
        <w:t>8.1.9</w:t>
      </w:r>
      <w:r w:rsidRPr="009A0DA6">
        <w:rPr>
          <w:rFonts w:ascii="Cambria" w:eastAsia="Times New Roman" w:hAnsi="Cambria" w:cs="Arial"/>
          <w:lang w:eastAsia="en-AU"/>
        </w:rPr>
        <w:tab/>
        <w:t>8.1.9.1</w:t>
      </w:r>
      <w:r w:rsidRPr="009A0DA6">
        <w:rPr>
          <w:rFonts w:ascii="Cambria" w:eastAsia="Times New Roman" w:hAnsi="Cambria" w:cs="Arial"/>
          <w:lang w:eastAsia="en-AU"/>
        </w:rPr>
        <w:tab/>
        <w:t>The term of office for the Bishop of the Church shall be</w:t>
      </w:r>
    </w:p>
    <w:p w14:paraId="25281216" w14:textId="77777777" w:rsidR="00E0197D" w:rsidRPr="009A0DA6" w:rsidRDefault="00E0197D" w:rsidP="00E0197D">
      <w:pPr>
        <w:tabs>
          <w:tab w:val="left" w:pos="851"/>
          <w:tab w:val="left" w:pos="1985"/>
          <w:tab w:val="left" w:pos="3119"/>
          <w:tab w:val="left" w:pos="4536"/>
          <w:tab w:val="left" w:pos="5670"/>
        </w:tabs>
        <w:spacing w:after="0" w:line="240" w:lineRule="auto"/>
        <w:ind w:left="3119" w:hanging="3119"/>
        <w:rPr>
          <w:rFonts w:ascii="Cambria" w:eastAsia="Times New Roman" w:hAnsi="Cambria" w:cs="Arial"/>
          <w:lang w:eastAsia="en-AU"/>
        </w:rPr>
      </w:pPr>
      <w:r w:rsidRPr="009A0DA6">
        <w:rPr>
          <w:rFonts w:ascii="Cambria" w:eastAsia="Times New Roman" w:hAnsi="Cambria" w:cs="Arial"/>
          <w:lang w:eastAsia="en-AU"/>
        </w:rPr>
        <w:tab/>
      </w:r>
      <w:r w:rsidRPr="009A0DA6">
        <w:rPr>
          <w:rFonts w:ascii="Cambria" w:eastAsia="Times New Roman" w:hAnsi="Cambria" w:cs="Arial"/>
          <w:lang w:eastAsia="en-AU"/>
        </w:rPr>
        <w:tab/>
        <w:t>8.1.9.1.1</w:t>
      </w:r>
      <w:r w:rsidRPr="009A0DA6">
        <w:rPr>
          <w:rFonts w:ascii="Cambria" w:eastAsia="Times New Roman" w:hAnsi="Cambria" w:cs="Arial"/>
          <w:lang w:eastAsia="en-AU"/>
        </w:rPr>
        <w:tab/>
        <w:t>two [2] synodical terms for an incoming Bishop;  and</w:t>
      </w:r>
    </w:p>
    <w:p w14:paraId="0D4A8E44" w14:textId="77777777" w:rsidR="00E0197D" w:rsidRPr="009A0DA6" w:rsidRDefault="00E0197D" w:rsidP="00E0197D">
      <w:pPr>
        <w:tabs>
          <w:tab w:val="left" w:pos="851"/>
          <w:tab w:val="left" w:pos="1985"/>
          <w:tab w:val="left" w:pos="3119"/>
          <w:tab w:val="left" w:pos="4536"/>
          <w:tab w:val="left" w:pos="5670"/>
        </w:tabs>
        <w:spacing w:after="0" w:line="240" w:lineRule="auto"/>
        <w:ind w:left="3119" w:hanging="3119"/>
        <w:rPr>
          <w:rFonts w:ascii="Cambria" w:eastAsia="Times New Roman" w:hAnsi="Cambria" w:cs="Arial"/>
          <w:lang w:eastAsia="en-AU"/>
        </w:rPr>
      </w:pPr>
      <w:r w:rsidRPr="009A0DA6">
        <w:rPr>
          <w:rFonts w:ascii="Cambria" w:eastAsia="Times New Roman" w:hAnsi="Cambria" w:cs="Arial"/>
          <w:lang w:eastAsia="en-AU"/>
        </w:rPr>
        <w:tab/>
      </w:r>
      <w:r w:rsidRPr="009A0DA6">
        <w:rPr>
          <w:rFonts w:ascii="Cambria" w:eastAsia="Times New Roman" w:hAnsi="Cambria" w:cs="Arial"/>
          <w:lang w:eastAsia="en-AU"/>
        </w:rPr>
        <w:tab/>
        <w:t>8.1.9.1.2</w:t>
      </w:r>
      <w:r w:rsidRPr="009A0DA6">
        <w:rPr>
          <w:rFonts w:ascii="Cambria" w:eastAsia="Times New Roman" w:hAnsi="Cambria" w:cs="Arial"/>
          <w:lang w:eastAsia="en-AU"/>
        </w:rPr>
        <w:tab/>
        <w:t>one [1] synodical term for an incumbent Bishop seeking re-election.</w:t>
      </w:r>
    </w:p>
    <w:p w14:paraId="004089FE" w14:textId="77777777" w:rsidR="00E0197D" w:rsidRPr="009A0DA6" w:rsidRDefault="00E0197D" w:rsidP="00E0197D">
      <w:pPr>
        <w:tabs>
          <w:tab w:val="left" w:pos="851"/>
          <w:tab w:val="left" w:pos="1985"/>
          <w:tab w:val="left" w:pos="3119"/>
          <w:tab w:val="left" w:pos="4536"/>
          <w:tab w:val="left" w:pos="5670"/>
        </w:tabs>
        <w:spacing w:after="0" w:line="240" w:lineRule="auto"/>
        <w:ind w:left="1985" w:hanging="1985"/>
        <w:rPr>
          <w:rFonts w:ascii="Cambria" w:eastAsia="Times New Roman" w:hAnsi="Cambria" w:cs="Arial"/>
          <w:b/>
          <w:lang w:eastAsia="en-AU"/>
        </w:rPr>
      </w:pPr>
      <w:r w:rsidRPr="009A0DA6">
        <w:rPr>
          <w:rFonts w:ascii="Cambria" w:eastAsia="Times New Roman" w:hAnsi="Cambria" w:cs="Arial"/>
          <w:b/>
          <w:lang w:eastAsia="en-AU"/>
        </w:rPr>
        <w:tab/>
        <w:t>8.1.9.2</w:t>
      </w:r>
      <w:r w:rsidRPr="009A0DA6">
        <w:rPr>
          <w:rFonts w:ascii="Cambria" w:eastAsia="Times New Roman" w:hAnsi="Cambria" w:cs="Arial"/>
          <w:b/>
          <w:lang w:eastAsia="en-AU"/>
        </w:rPr>
        <w:tab/>
        <w:t>The term of office for the Assistant Bishop and the Secretary shall be one [1] synodical term.</w:t>
      </w:r>
    </w:p>
    <w:p w14:paraId="46FA8D18" w14:textId="77777777" w:rsidR="00E0197D" w:rsidRPr="009A0DA6" w:rsidRDefault="00E0197D" w:rsidP="00E0197D">
      <w:pPr>
        <w:tabs>
          <w:tab w:val="left" w:pos="851"/>
          <w:tab w:val="left" w:pos="1985"/>
          <w:tab w:val="left" w:pos="3119"/>
          <w:tab w:val="left" w:pos="4536"/>
          <w:tab w:val="left" w:pos="5670"/>
        </w:tabs>
        <w:spacing w:after="0" w:line="240" w:lineRule="auto"/>
        <w:ind w:left="1985" w:hanging="1985"/>
        <w:rPr>
          <w:rFonts w:ascii="Cambria" w:eastAsia="Times New Roman" w:hAnsi="Cambria" w:cs="Arial"/>
          <w:lang w:eastAsia="en-AU"/>
        </w:rPr>
      </w:pPr>
      <w:r w:rsidRPr="009A0DA6">
        <w:rPr>
          <w:rFonts w:ascii="Cambria" w:eastAsia="Times New Roman" w:hAnsi="Cambria" w:cs="Arial"/>
          <w:lang w:eastAsia="en-AU"/>
        </w:rPr>
        <w:tab/>
        <w:t>8.1.9.</w:t>
      </w:r>
      <w:r w:rsidRPr="009A0DA6">
        <w:rPr>
          <w:rFonts w:ascii="Cambria" w:eastAsia="Times New Roman" w:hAnsi="Cambria" w:cs="Arial"/>
          <w:strike/>
          <w:lang w:eastAsia="en-AU"/>
        </w:rPr>
        <w:t>2</w:t>
      </w:r>
      <w:r w:rsidRPr="009A0DA6">
        <w:rPr>
          <w:rFonts w:ascii="Cambria" w:eastAsia="Times New Roman" w:hAnsi="Cambria" w:cs="Arial"/>
          <w:b/>
          <w:lang w:eastAsia="en-AU"/>
        </w:rPr>
        <w:t>3</w:t>
      </w:r>
      <w:r w:rsidRPr="009A0DA6">
        <w:rPr>
          <w:rFonts w:ascii="Cambria" w:eastAsia="Times New Roman" w:hAnsi="Cambria" w:cs="Arial"/>
          <w:lang w:eastAsia="en-AU"/>
        </w:rPr>
        <w:tab/>
        <w:t>The term of office for all other Officials</w:t>
      </w:r>
      <w:r w:rsidRPr="009A0DA6">
        <w:rPr>
          <w:rFonts w:ascii="Cambria" w:eastAsia="Times New Roman" w:hAnsi="Cambria" w:cs="Arial"/>
          <w:strike/>
          <w:lang w:eastAsia="en-AU"/>
        </w:rPr>
        <w:t>,</w:t>
      </w:r>
      <w:r w:rsidRPr="009A0DA6">
        <w:rPr>
          <w:rFonts w:ascii="Cambria" w:eastAsia="Times New Roman" w:hAnsi="Cambria" w:cs="Arial"/>
          <w:b/>
          <w:lang w:eastAsia="en-AU"/>
        </w:rPr>
        <w:t>and</w:t>
      </w:r>
      <w:r w:rsidRPr="009A0DA6">
        <w:rPr>
          <w:rFonts w:ascii="Cambria" w:eastAsia="Times New Roman" w:hAnsi="Cambria" w:cs="Arial"/>
          <w:lang w:eastAsia="en-AU"/>
        </w:rPr>
        <w:t xml:space="preserve"> officers of the Church</w:t>
      </w:r>
      <w:r w:rsidRPr="009A0DA6">
        <w:rPr>
          <w:rFonts w:ascii="Cambria" w:eastAsia="Times New Roman" w:hAnsi="Cambria" w:cs="Arial"/>
          <w:strike/>
          <w:lang w:eastAsia="en-AU"/>
        </w:rPr>
        <w:t>, members of the General Church Council, members of boards and any other representatives</w:t>
      </w:r>
      <w:r w:rsidRPr="009A0DA6">
        <w:rPr>
          <w:rFonts w:ascii="Cambria" w:eastAsia="Times New Roman" w:hAnsi="Cambria" w:cs="Arial"/>
          <w:lang w:eastAsia="en-AU"/>
        </w:rPr>
        <w:t xml:space="preserve"> shall be one [1] synodical term. </w:t>
      </w:r>
    </w:p>
    <w:p w14:paraId="1503B7ED" w14:textId="5BC91BDA" w:rsidR="00E0197D" w:rsidRPr="009A0DA6" w:rsidRDefault="00E0197D" w:rsidP="00E0197D">
      <w:pPr>
        <w:tabs>
          <w:tab w:val="left" w:pos="851"/>
          <w:tab w:val="left" w:pos="1985"/>
          <w:tab w:val="left" w:pos="3119"/>
          <w:tab w:val="left" w:pos="4536"/>
          <w:tab w:val="left" w:pos="5670"/>
        </w:tabs>
        <w:spacing w:after="0" w:line="240" w:lineRule="auto"/>
        <w:ind w:left="1985" w:hanging="1985"/>
        <w:rPr>
          <w:rFonts w:ascii="Cambria" w:eastAsia="Times New Roman" w:hAnsi="Cambria" w:cs="Arial"/>
          <w:b/>
          <w:lang w:eastAsia="en-AU"/>
        </w:rPr>
      </w:pPr>
      <w:r w:rsidRPr="009A0DA6">
        <w:rPr>
          <w:rFonts w:ascii="Cambria" w:eastAsia="Times New Roman" w:hAnsi="Cambria" w:cs="Arial"/>
          <w:b/>
          <w:lang w:eastAsia="en-AU"/>
        </w:rPr>
        <w:tab/>
        <w:t>8.1.9.4</w:t>
      </w:r>
      <w:r w:rsidRPr="009A0DA6">
        <w:rPr>
          <w:rFonts w:ascii="Cambria" w:eastAsia="Times New Roman" w:hAnsi="Cambria" w:cs="Arial"/>
          <w:b/>
          <w:lang w:eastAsia="en-AU"/>
        </w:rPr>
        <w:tab/>
        <w:t>The term of office for members of boards, councils, commissions and committees shall be one [1] synodical term.</w:t>
      </w:r>
    </w:p>
    <w:p w14:paraId="489FB5B3" w14:textId="77777777" w:rsidR="00B4011D" w:rsidRDefault="00E0197D" w:rsidP="00B4011D">
      <w:pPr>
        <w:tabs>
          <w:tab w:val="left" w:pos="851"/>
          <w:tab w:val="left" w:pos="1985"/>
          <w:tab w:val="left" w:pos="3119"/>
          <w:tab w:val="left" w:pos="4536"/>
          <w:tab w:val="left" w:pos="5670"/>
        </w:tabs>
        <w:ind w:left="1985" w:hanging="1985"/>
        <w:rPr>
          <w:rFonts w:ascii="Arial" w:eastAsia="Times New Roman" w:hAnsi="Arial" w:cs="Arial"/>
          <w:szCs w:val="20"/>
          <w:lang w:eastAsia="en-AU"/>
        </w:rPr>
      </w:pPr>
      <w:r w:rsidRPr="009A0DA6">
        <w:rPr>
          <w:rFonts w:ascii="Cambria" w:eastAsia="Times New Roman" w:hAnsi="Cambria" w:cs="Arial"/>
          <w:lang w:eastAsia="en-AU"/>
        </w:rPr>
        <w:tab/>
        <w:t>8.1.9.</w:t>
      </w:r>
      <w:r w:rsidRPr="009A0DA6">
        <w:rPr>
          <w:rFonts w:ascii="Cambria" w:eastAsia="Times New Roman" w:hAnsi="Cambria" w:cs="Arial"/>
          <w:strike/>
          <w:lang w:eastAsia="en-AU"/>
        </w:rPr>
        <w:t>3</w:t>
      </w:r>
      <w:r w:rsidRPr="009A0DA6">
        <w:rPr>
          <w:rFonts w:ascii="Cambria" w:eastAsia="Times New Roman" w:hAnsi="Cambria" w:cs="Arial"/>
          <w:b/>
          <w:lang w:eastAsia="en-AU"/>
        </w:rPr>
        <w:t>5</w:t>
      </w:r>
      <w:r w:rsidRPr="009A0DA6">
        <w:rPr>
          <w:rFonts w:ascii="Cambria" w:eastAsia="Times New Roman" w:hAnsi="Cambria" w:cs="Arial"/>
          <w:lang w:eastAsia="en-AU"/>
        </w:rPr>
        <w:tab/>
      </w:r>
      <w:r w:rsidR="00B4011D" w:rsidRPr="00B4011D">
        <w:rPr>
          <w:rFonts w:ascii="Cambria" w:eastAsia="Times New Roman" w:hAnsi="Cambria" w:cs="Arial"/>
          <w:szCs w:val="20"/>
          <w:lang w:eastAsia="en-AU"/>
        </w:rPr>
        <w:t xml:space="preserve">Any person retiring by effluxion of time under the provisions of the preceding </w:t>
      </w:r>
      <w:r w:rsidR="00B4011D" w:rsidRPr="00B4011D">
        <w:rPr>
          <w:rFonts w:ascii="Cambria" w:eastAsia="Times New Roman" w:hAnsi="Cambria" w:cs="Arial"/>
          <w:strike/>
          <w:szCs w:val="20"/>
          <w:lang w:eastAsia="en-AU"/>
        </w:rPr>
        <w:t>Section 8.1.9.1-2</w:t>
      </w:r>
      <w:r w:rsidR="00B4011D" w:rsidRPr="00B4011D">
        <w:rPr>
          <w:rFonts w:ascii="Cambria" w:eastAsia="Times New Roman" w:hAnsi="Cambria" w:cs="Arial"/>
          <w:szCs w:val="20"/>
          <w:lang w:eastAsia="en-AU"/>
        </w:rPr>
        <w:t xml:space="preserve"> </w:t>
      </w:r>
      <w:r w:rsidR="00B4011D" w:rsidRPr="00B4011D">
        <w:rPr>
          <w:rFonts w:ascii="Cambria" w:eastAsia="Times New Roman" w:hAnsi="Cambria" w:cs="Arial"/>
          <w:b/>
          <w:szCs w:val="20"/>
          <w:lang w:eastAsia="en-AU"/>
        </w:rPr>
        <w:t xml:space="preserve">sub-sections of 8.1.9 </w:t>
      </w:r>
      <w:r w:rsidR="00B4011D" w:rsidRPr="00B4011D">
        <w:rPr>
          <w:rFonts w:ascii="Cambria" w:eastAsia="Times New Roman" w:hAnsi="Cambria" w:cs="Arial"/>
          <w:szCs w:val="20"/>
          <w:lang w:eastAsia="en-AU"/>
        </w:rPr>
        <w:t>shall be eligible for re-election without limitation subject to the provisions of the preceding Section 8.1.6, or unless otherwise specifically determined.</w:t>
      </w:r>
    </w:p>
    <w:p w14:paraId="4AB3B7AB" w14:textId="4C9343E0" w:rsidR="00E0197D" w:rsidRPr="009A0DA6" w:rsidRDefault="00E0197D" w:rsidP="00E0197D">
      <w:pPr>
        <w:tabs>
          <w:tab w:val="left" w:pos="851"/>
          <w:tab w:val="left" w:pos="1985"/>
          <w:tab w:val="left" w:pos="3119"/>
          <w:tab w:val="left" w:pos="4536"/>
          <w:tab w:val="left" w:pos="5670"/>
        </w:tabs>
        <w:spacing w:after="0" w:line="240" w:lineRule="auto"/>
        <w:ind w:left="1985" w:hanging="1985"/>
        <w:rPr>
          <w:rFonts w:ascii="Cambria" w:eastAsia="Times New Roman" w:hAnsi="Cambria" w:cs="Arial"/>
          <w:lang w:eastAsia="en-AU"/>
        </w:rPr>
      </w:pPr>
    </w:p>
    <w:p w14:paraId="6D4FB63D" w14:textId="77777777" w:rsidR="00B4011D" w:rsidRDefault="00B4011D">
      <w:pPr>
        <w:rPr>
          <w:rFonts w:ascii="Cambria" w:eastAsia="Times New Roman" w:hAnsi="Cambria" w:cs="Times New Roman"/>
          <w:b/>
          <w:lang w:eastAsia="en-AU"/>
        </w:rPr>
      </w:pPr>
      <w:r>
        <w:rPr>
          <w:rFonts w:ascii="Cambria" w:eastAsia="Times New Roman" w:hAnsi="Cambria" w:cs="Times New Roman"/>
          <w:b/>
          <w:lang w:eastAsia="en-AU"/>
        </w:rPr>
        <w:br w:type="page"/>
      </w:r>
    </w:p>
    <w:p w14:paraId="0D2369DC" w14:textId="4D3E6258" w:rsidR="00E0197D" w:rsidRPr="009A0DA6" w:rsidRDefault="00E0197D" w:rsidP="00E0197D">
      <w:pPr>
        <w:tabs>
          <w:tab w:val="left" w:pos="851"/>
          <w:tab w:val="left" w:pos="1985"/>
          <w:tab w:val="left" w:pos="3119"/>
          <w:tab w:val="left" w:pos="4536"/>
          <w:tab w:val="left" w:pos="5670"/>
        </w:tabs>
        <w:spacing w:before="120" w:after="120" w:line="240" w:lineRule="auto"/>
        <w:jc w:val="center"/>
        <w:rPr>
          <w:rFonts w:ascii="Cambria" w:eastAsia="Times New Roman" w:hAnsi="Cambria" w:cs="Times New Roman"/>
          <w:b/>
          <w:u w:val="single"/>
          <w:lang w:eastAsia="en-AU"/>
        </w:rPr>
      </w:pPr>
      <w:r w:rsidRPr="009A0DA6">
        <w:rPr>
          <w:rFonts w:ascii="Cambria" w:eastAsia="Times New Roman" w:hAnsi="Cambria" w:cs="Times New Roman"/>
          <w:b/>
          <w:lang w:eastAsia="en-AU"/>
        </w:rPr>
        <w:lastRenderedPageBreak/>
        <w:t xml:space="preserve">SECTION  8.4   THE  GENERAL  CHURCH  </w:t>
      </w:r>
      <w:r w:rsidRPr="009A0DA6">
        <w:rPr>
          <w:rFonts w:ascii="Cambria" w:eastAsia="Times New Roman" w:hAnsi="Cambria" w:cs="Times New Roman"/>
          <w:b/>
          <w:strike/>
          <w:lang w:eastAsia="en-AU"/>
        </w:rPr>
        <w:t>COUNCIL</w:t>
      </w:r>
      <w:r w:rsidRPr="009A0DA6">
        <w:rPr>
          <w:rFonts w:ascii="Cambria" w:eastAsia="Times New Roman" w:hAnsi="Cambria" w:cs="Times New Roman"/>
          <w:b/>
          <w:u w:val="single"/>
          <w:lang w:eastAsia="en-AU"/>
        </w:rPr>
        <w:t>BOARD</w:t>
      </w:r>
    </w:p>
    <w:p w14:paraId="22A0DE56" w14:textId="77777777" w:rsidR="00E0197D" w:rsidRPr="009A0DA6" w:rsidRDefault="00E0197D" w:rsidP="00E0197D">
      <w:pPr>
        <w:tabs>
          <w:tab w:val="left" w:pos="851"/>
          <w:tab w:val="left" w:pos="1985"/>
          <w:tab w:val="left" w:pos="3119"/>
          <w:tab w:val="left" w:pos="4536"/>
          <w:tab w:val="left" w:pos="5670"/>
        </w:tabs>
        <w:spacing w:after="0" w:line="240" w:lineRule="auto"/>
        <w:ind w:left="851" w:hanging="851"/>
        <w:rPr>
          <w:rFonts w:ascii="Cambria" w:eastAsia="Times New Roman" w:hAnsi="Cambria" w:cs="Times New Roman"/>
          <w:lang w:eastAsia="en-AU"/>
        </w:rPr>
      </w:pPr>
      <w:r w:rsidRPr="009A0DA6">
        <w:rPr>
          <w:rFonts w:ascii="Cambria" w:eastAsia="Times New Roman" w:hAnsi="Cambria" w:cs="Times New Roman"/>
          <w:lang w:eastAsia="en-AU"/>
        </w:rPr>
        <w:t>8.4.1</w:t>
      </w:r>
      <w:r w:rsidRPr="009A0DA6">
        <w:rPr>
          <w:rFonts w:ascii="Cambria" w:eastAsia="Times New Roman" w:hAnsi="Cambria" w:cs="Times New Roman"/>
          <w:lang w:eastAsia="en-AU"/>
        </w:rPr>
        <w:tab/>
        <w:t xml:space="preserve">The duties of the General Church </w:t>
      </w:r>
      <w:r w:rsidRPr="009A0DA6">
        <w:rPr>
          <w:rFonts w:ascii="Cambria" w:eastAsia="Times New Roman" w:hAnsi="Cambria" w:cs="Times New Roman"/>
          <w:strike/>
          <w:lang w:eastAsia="en-AU"/>
        </w:rPr>
        <w:t>Council</w:t>
      </w:r>
      <w:r w:rsidRPr="009A0DA6">
        <w:rPr>
          <w:rFonts w:ascii="Cambria" w:eastAsia="Times New Roman" w:hAnsi="Cambria" w:cs="Times New Roman"/>
          <w:b/>
          <w:lang w:eastAsia="en-AU"/>
        </w:rPr>
        <w:t>Board</w:t>
      </w:r>
      <w:r w:rsidRPr="009A0DA6">
        <w:rPr>
          <w:rFonts w:ascii="Cambria" w:eastAsia="Times New Roman" w:hAnsi="Cambria" w:cs="Times New Roman"/>
          <w:lang w:eastAsia="en-AU"/>
        </w:rPr>
        <w:t xml:space="preserve"> shall be to</w:t>
      </w:r>
    </w:p>
    <w:p w14:paraId="107E52AD" w14:textId="77777777" w:rsidR="00E0197D" w:rsidRPr="009A0DA6" w:rsidRDefault="00E0197D" w:rsidP="00E0197D">
      <w:pPr>
        <w:tabs>
          <w:tab w:val="left" w:pos="851"/>
          <w:tab w:val="left" w:pos="1985"/>
          <w:tab w:val="left" w:pos="3119"/>
          <w:tab w:val="left" w:pos="4536"/>
          <w:tab w:val="left" w:pos="5670"/>
        </w:tabs>
        <w:spacing w:after="0" w:line="240" w:lineRule="auto"/>
        <w:ind w:left="1985" w:hanging="1985"/>
        <w:rPr>
          <w:rFonts w:ascii="Cambria" w:eastAsia="Times New Roman" w:hAnsi="Cambria" w:cs="Times New Roman"/>
          <w:lang w:eastAsia="en-AU"/>
        </w:rPr>
      </w:pPr>
      <w:r w:rsidRPr="009A0DA6">
        <w:rPr>
          <w:rFonts w:ascii="Cambria" w:eastAsia="Times New Roman" w:hAnsi="Cambria" w:cs="Times New Roman"/>
          <w:lang w:eastAsia="en-AU"/>
        </w:rPr>
        <w:tab/>
        <w:t>8.4.1.1</w:t>
      </w:r>
      <w:r w:rsidRPr="009A0DA6">
        <w:rPr>
          <w:rFonts w:ascii="Cambria" w:eastAsia="Times New Roman" w:hAnsi="Cambria" w:cs="Times New Roman"/>
          <w:lang w:eastAsia="en-AU"/>
        </w:rPr>
        <w:tab/>
        <w:t>implement the program of the Church in accordance with the policies established by the General Synod;</w:t>
      </w:r>
    </w:p>
    <w:p w14:paraId="59366A9F" w14:textId="77777777" w:rsidR="00E0197D" w:rsidRPr="009A0DA6" w:rsidRDefault="00E0197D" w:rsidP="00E0197D">
      <w:pPr>
        <w:tabs>
          <w:tab w:val="left" w:pos="851"/>
          <w:tab w:val="left" w:pos="1985"/>
          <w:tab w:val="left" w:pos="3119"/>
          <w:tab w:val="left" w:pos="4536"/>
          <w:tab w:val="left" w:pos="5670"/>
        </w:tabs>
        <w:spacing w:after="0" w:line="240" w:lineRule="auto"/>
        <w:ind w:left="1985" w:hanging="1985"/>
        <w:rPr>
          <w:rFonts w:ascii="Cambria" w:eastAsia="Times New Roman" w:hAnsi="Cambria" w:cs="Times New Roman"/>
          <w:lang w:eastAsia="en-AU"/>
        </w:rPr>
      </w:pPr>
      <w:r w:rsidRPr="009A0DA6">
        <w:rPr>
          <w:rFonts w:ascii="Cambria" w:eastAsia="Times New Roman" w:hAnsi="Cambria" w:cs="Times New Roman"/>
          <w:lang w:eastAsia="en-AU"/>
        </w:rPr>
        <w:tab/>
        <w:t>8.4.1.2</w:t>
      </w:r>
      <w:r w:rsidRPr="009A0DA6">
        <w:rPr>
          <w:rFonts w:ascii="Cambria" w:eastAsia="Times New Roman" w:hAnsi="Cambria" w:cs="Times New Roman"/>
          <w:lang w:eastAsia="en-AU"/>
        </w:rPr>
        <w:tab/>
        <w:t>ensure that the mission of the Church, the proclamation of the Gospel of Christ, remains central in the work of the Church;</w:t>
      </w:r>
    </w:p>
    <w:p w14:paraId="17A5434F" w14:textId="77777777" w:rsidR="00E0197D" w:rsidRPr="009A0DA6" w:rsidRDefault="00E0197D" w:rsidP="00E0197D">
      <w:pPr>
        <w:tabs>
          <w:tab w:val="left" w:pos="851"/>
          <w:tab w:val="left" w:pos="1985"/>
          <w:tab w:val="left" w:pos="3119"/>
          <w:tab w:val="left" w:pos="4536"/>
          <w:tab w:val="left" w:pos="5670"/>
        </w:tabs>
        <w:spacing w:after="0" w:line="240" w:lineRule="auto"/>
        <w:ind w:left="1985" w:hanging="1985"/>
        <w:rPr>
          <w:rFonts w:ascii="Cambria" w:eastAsia="Times New Roman" w:hAnsi="Cambria" w:cs="Times New Roman"/>
          <w:lang w:eastAsia="en-AU"/>
        </w:rPr>
      </w:pPr>
      <w:r w:rsidRPr="009A0DA6">
        <w:rPr>
          <w:rFonts w:ascii="Cambria" w:eastAsia="Times New Roman" w:hAnsi="Cambria" w:cs="Times New Roman"/>
          <w:lang w:eastAsia="en-AU"/>
        </w:rPr>
        <w:tab/>
        <w:t>8.4.1.3</w:t>
      </w:r>
      <w:r w:rsidRPr="009A0DA6">
        <w:rPr>
          <w:rFonts w:ascii="Cambria" w:eastAsia="Times New Roman" w:hAnsi="Cambria" w:cs="Times New Roman"/>
          <w:lang w:eastAsia="en-AU"/>
        </w:rPr>
        <w:tab/>
        <w:t>ensure that all phases of the work of the Church are efficiently planned, coordinated, and controlled;</w:t>
      </w:r>
    </w:p>
    <w:p w14:paraId="3A13F69B" w14:textId="77777777" w:rsidR="00E0197D" w:rsidRPr="009A0DA6" w:rsidRDefault="00E0197D" w:rsidP="00E0197D">
      <w:pPr>
        <w:tabs>
          <w:tab w:val="left" w:pos="851"/>
          <w:tab w:val="left" w:pos="1985"/>
          <w:tab w:val="left" w:pos="3119"/>
          <w:tab w:val="left" w:pos="4536"/>
          <w:tab w:val="left" w:pos="5670"/>
        </w:tabs>
        <w:spacing w:after="0" w:line="240" w:lineRule="auto"/>
        <w:ind w:left="1985" w:hanging="1985"/>
        <w:rPr>
          <w:rFonts w:ascii="Cambria" w:eastAsia="Times New Roman" w:hAnsi="Cambria" w:cs="Times New Roman"/>
          <w:lang w:eastAsia="en-AU"/>
        </w:rPr>
      </w:pPr>
      <w:r w:rsidRPr="009A0DA6">
        <w:rPr>
          <w:rFonts w:ascii="Cambria" w:eastAsia="Times New Roman" w:hAnsi="Cambria" w:cs="Times New Roman"/>
          <w:lang w:eastAsia="en-AU"/>
        </w:rPr>
        <w:tab/>
        <w:t>8.4.1.4</w:t>
      </w:r>
      <w:r w:rsidRPr="009A0DA6">
        <w:rPr>
          <w:rFonts w:ascii="Cambria" w:eastAsia="Times New Roman" w:hAnsi="Cambria" w:cs="Times New Roman"/>
          <w:lang w:eastAsia="en-AU"/>
        </w:rPr>
        <w:tab/>
        <w:t xml:space="preserve">receive the reports submitted at least annually by the boards </w:t>
      </w:r>
      <w:r w:rsidRPr="009A0DA6">
        <w:rPr>
          <w:rFonts w:ascii="Cambria" w:eastAsia="Times New Roman" w:hAnsi="Cambria" w:cs="Times New Roman"/>
          <w:b/>
          <w:lang w:eastAsia="en-AU"/>
        </w:rPr>
        <w:t xml:space="preserve">and councils </w:t>
      </w:r>
      <w:r w:rsidRPr="009A0DA6">
        <w:rPr>
          <w:rFonts w:ascii="Cambria" w:eastAsia="Times New Roman" w:hAnsi="Cambria" w:cs="Times New Roman"/>
          <w:lang w:eastAsia="en-AU"/>
        </w:rPr>
        <w:t>of the Church, and pursuant to Article 8.3.2 of the Constitution to make any necessary decisions thereon subject to any policy or decisions laid down by the General Synod;</w:t>
      </w:r>
    </w:p>
    <w:p w14:paraId="2AE86809" w14:textId="77777777" w:rsidR="00E0197D" w:rsidRPr="009A0DA6" w:rsidRDefault="00E0197D" w:rsidP="00E0197D">
      <w:pPr>
        <w:tabs>
          <w:tab w:val="left" w:pos="851"/>
          <w:tab w:val="left" w:pos="1985"/>
          <w:tab w:val="left" w:pos="3119"/>
          <w:tab w:val="left" w:pos="4536"/>
          <w:tab w:val="left" w:pos="5670"/>
        </w:tabs>
        <w:spacing w:after="0" w:line="240" w:lineRule="auto"/>
        <w:ind w:left="1985" w:hanging="1985"/>
        <w:rPr>
          <w:rFonts w:ascii="Cambria" w:eastAsia="Times New Roman" w:hAnsi="Cambria" w:cs="Times New Roman"/>
          <w:lang w:eastAsia="en-AU"/>
        </w:rPr>
      </w:pPr>
      <w:r w:rsidRPr="009A0DA6">
        <w:rPr>
          <w:rFonts w:ascii="Cambria" w:eastAsia="Times New Roman" w:hAnsi="Cambria" w:cs="Times New Roman"/>
          <w:lang w:eastAsia="en-AU"/>
        </w:rPr>
        <w:tab/>
        <w:t>8.4.1.5</w:t>
      </w:r>
      <w:r w:rsidRPr="009A0DA6">
        <w:rPr>
          <w:rFonts w:ascii="Cambria" w:eastAsia="Times New Roman" w:hAnsi="Cambria" w:cs="Times New Roman"/>
          <w:lang w:eastAsia="en-AU"/>
        </w:rPr>
        <w:tab/>
        <w:t>review the reports of the boards to the General Synod and submit recommendations for coordinated action to the General Synod;</w:t>
      </w:r>
    </w:p>
    <w:p w14:paraId="30EBDEF0" w14:textId="77777777" w:rsidR="00E0197D" w:rsidRPr="009A0DA6" w:rsidRDefault="00E0197D" w:rsidP="00E0197D">
      <w:pPr>
        <w:tabs>
          <w:tab w:val="left" w:pos="851"/>
          <w:tab w:val="left" w:pos="1985"/>
          <w:tab w:val="left" w:pos="3119"/>
          <w:tab w:val="left" w:pos="4536"/>
          <w:tab w:val="left" w:pos="5670"/>
        </w:tabs>
        <w:spacing w:after="0" w:line="240" w:lineRule="auto"/>
        <w:ind w:left="1985" w:hanging="1985"/>
        <w:rPr>
          <w:rFonts w:ascii="Cambria" w:eastAsia="Times New Roman" w:hAnsi="Cambria" w:cs="Times New Roman"/>
          <w:lang w:eastAsia="en-AU"/>
        </w:rPr>
      </w:pPr>
      <w:r w:rsidRPr="009A0DA6">
        <w:rPr>
          <w:rFonts w:ascii="Cambria" w:eastAsia="Times New Roman" w:hAnsi="Cambria" w:cs="Times New Roman"/>
          <w:lang w:eastAsia="en-AU"/>
        </w:rPr>
        <w:tab/>
        <w:t>8.4.1.6</w:t>
      </w:r>
      <w:r w:rsidRPr="009A0DA6">
        <w:rPr>
          <w:rFonts w:ascii="Cambria" w:eastAsia="Times New Roman" w:hAnsi="Cambria" w:cs="Times New Roman"/>
          <w:lang w:eastAsia="en-AU"/>
        </w:rPr>
        <w:tab/>
        <w:t>initiate research into any sphere of activity with a view to achieving greater efficiency in the promotion of the Objects of the Church;</w:t>
      </w:r>
    </w:p>
    <w:p w14:paraId="63D46378" w14:textId="77777777" w:rsidR="00E0197D" w:rsidRPr="009A0DA6" w:rsidRDefault="00E0197D" w:rsidP="00E0197D">
      <w:pPr>
        <w:tabs>
          <w:tab w:val="left" w:pos="851"/>
          <w:tab w:val="left" w:pos="1985"/>
          <w:tab w:val="left" w:pos="3119"/>
          <w:tab w:val="left" w:pos="4536"/>
          <w:tab w:val="left" w:pos="5670"/>
        </w:tabs>
        <w:spacing w:after="0" w:line="240" w:lineRule="auto"/>
        <w:ind w:left="1985" w:hanging="1985"/>
        <w:rPr>
          <w:rFonts w:ascii="Cambria" w:eastAsia="Times New Roman" w:hAnsi="Cambria" w:cs="Times New Roman"/>
          <w:lang w:eastAsia="en-AU"/>
        </w:rPr>
      </w:pPr>
      <w:r w:rsidRPr="009A0DA6">
        <w:rPr>
          <w:rFonts w:ascii="Cambria" w:eastAsia="Times New Roman" w:hAnsi="Cambria" w:cs="Times New Roman"/>
          <w:lang w:eastAsia="en-AU"/>
        </w:rPr>
        <w:tab/>
        <w:t>8.4.1.7</w:t>
      </w:r>
      <w:r w:rsidRPr="009A0DA6">
        <w:rPr>
          <w:rFonts w:ascii="Cambria" w:eastAsia="Times New Roman" w:hAnsi="Cambria" w:cs="Times New Roman"/>
          <w:lang w:eastAsia="en-AU"/>
        </w:rPr>
        <w:tab/>
        <w:t>appoint executive officers as required;</w:t>
      </w:r>
    </w:p>
    <w:p w14:paraId="65F8DAF8" w14:textId="77777777" w:rsidR="00E0197D" w:rsidRPr="009A0DA6" w:rsidRDefault="00E0197D" w:rsidP="00E0197D">
      <w:pPr>
        <w:tabs>
          <w:tab w:val="left" w:pos="851"/>
          <w:tab w:val="left" w:pos="1985"/>
          <w:tab w:val="left" w:pos="3119"/>
          <w:tab w:val="left" w:pos="4536"/>
          <w:tab w:val="left" w:pos="5670"/>
        </w:tabs>
        <w:spacing w:after="0" w:line="240" w:lineRule="auto"/>
        <w:ind w:left="1985" w:hanging="1985"/>
        <w:rPr>
          <w:rFonts w:ascii="Cambria" w:eastAsia="Times New Roman" w:hAnsi="Cambria" w:cs="Times New Roman"/>
          <w:lang w:eastAsia="en-AU"/>
        </w:rPr>
      </w:pPr>
      <w:r w:rsidRPr="009A0DA6">
        <w:rPr>
          <w:rFonts w:ascii="Cambria" w:eastAsia="Times New Roman" w:hAnsi="Cambria" w:cs="Times New Roman"/>
          <w:lang w:eastAsia="en-AU"/>
        </w:rPr>
        <w:tab/>
        <w:t>8.4.1.8</w:t>
      </w:r>
      <w:r w:rsidRPr="009A0DA6">
        <w:rPr>
          <w:rFonts w:ascii="Cambria" w:eastAsia="Times New Roman" w:hAnsi="Cambria" w:cs="Times New Roman"/>
          <w:lang w:eastAsia="en-AU"/>
        </w:rPr>
        <w:tab/>
        <w:t>submit the budget of the Church to the General Synod for consideration and adoption according to the policy laid down by the Church, and to adopt the budget of the Church in a year when the General Synod is not convened;</w:t>
      </w:r>
    </w:p>
    <w:p w14:paraId="16F536E9" w14:textId="77777777" w:rsidR="00E0197D" w:rsidRPr="009A0DA6" w:rsidRDefault="00E0197D" w:rsidP="00E0197D">
      <w:pPr>
        <w:tabs>
          <w:tab w:val="left" w:pos="851"/>
          <w:tab w:val="left" w:pos="1985"/>
          <w:tab w:val="left" w:pos="3119"/>
          <w:tab w:val="left" w:pos="4536"/>
          <w:tab w:val="left" w:pos="5670"/>
        </w:tabs>
        <w:spacing w:after="0" w:line="240" w:lineRule="auto"/>
        <w:ind w:left="1985" w:hanging="1985"/>
        <w:rPr>
          <w:rFonts w:ascii="Cambria" w:eastAsia="Times New Roman" w:hAnsi="Cambria" w:cs="Times New Roman"/>
          <w:lang w:eastAsia="en-AU"/>
        </w:rPr>
      </w:pPr>
      <w:r w:rsidRPr="009A0DA6">
        <w:rPr>
          <w:rFonts w:ascii="Cambria" w:eastAsia="Times New Roman" w:hAnsi="Cambria" w:cs="Times New Roman"/>
          <w:lang w:eastAsia="en-AU"/>
        </w:rPr>
        <w:tab/>
        <w:t>8.4.1.9</w:t>
      </w:r>
      <w:r w:rsidRPr="009A0DA6">
        <w:rPr>
          <w:rFonts w:ascii="Cambria" w:eastAsia="Times New Roman" w:hAnsi="Cambria" w:cs="Times New Roman"/>
          <w:lang w:eastAsia="en-AU"/>
        </w:rPr>
        <w:tab/>
        <w:t>appoint the Auditor of the Church;</w:t>
      </w:r>
    </w:p>
    <w:p w14:paraId="584841D0" w14:textId="77777777" w:rsidR="00E0197D" w:rsidRPr="009A0DA6" w:rsidRDefault="00E0197D" w:rsidP="00E0197D">
      <w:pPr>
        <w:tabs>
          <w:tab w:val="left" w:pos="851"/>
          <w:tab w:val="left" w:pos="1985"/>
          <w:tab w:val="left" w:pos="3119"/>
          <w:tab w:val="left" w:pos="4536"/>
          <w:tab w:val="left" w:pos="5670"/>
        </w:tabs>
        <w:spacing w:after="0" w:line="240" w:lineRule="auto"/>
        <w:ind w:left="1985" w:hanging="1985"/>
        <w:rPr>
          <w:rFonts w:ascii="Cambria" w:eastAsia="Times New Roman" w:hAnsi="Cambria" w:cs="Times New Roman"/>
          <w:lang w:eastAsia="en-AU"/>
        </w:rPr>
      </w:pPr>
      <w:r w:rsidRPr="009A0DA6">
        <w:rPr>
          <w:rFonts w:ascii="Cambria" w:eastAsia="Times New Roman" w:hAnsi="Cambria" w:cs="Times New Roman"/>
          <w:lang w:eastAsia="en-AU"/>
        </w:rPr>
        <w:tab/>
        <w:t>8.4.1.10</w:t>
      </w:r>
      <w:r w:rsidRPr="009A0DA6">
        <w:rPr>
          <w:rFonts w:ascii="Cambria" w:eastAsia="Times New Roman" w:hAnsi="Cambria" w:cs="Times New Roman"/>
          <w:lang w:eastAsia="en-AU"/>
        </w:rPr>
        <w:tab/>
        <w:t>authorise proposals by a board regarding the number of office staff;</w:t>
      </w:r>
    </w:p>
    <w:p w14:paraId="6711B91A" w14:textId="77777777" w:rsidR="00E0197D" w:rsidRPr="009A0DA6" w:rsidRDefault="00E0197D" w:rsidP="00E0197D">
      <w:pPr>
        <w:tabs>
          <w:tab w:val="left" w:pos="851"/>
          <w:tab w:val="left" w:pos="1985"/>
          <w:tab w:val="left" w:pos="3119"/>
          <w:tab w:val="left" w:pos="4536"/>
          <w:tab w:val="left" w:pos="5670"/>
        </w:tabs>
        <w:spacing w:after="0" w:line="240" w:lineRule="auto"/>
        <w:ind w:left="1985" w:hanging="1985"/>
        <w:rPr>
          <w:rFonts w:ascii="Cambria" w:eastAsia="Times New Roman" w:hAnsi="Cambria" w:cs="Times New Roman"/>
          <w:lang w:eastAsia="en-AU"/>
        </w:rPr>
      </w:pPr>
      <w:r w:rsidRPr="009A0DA6">
        <w:rPr>
          <w:rFonts w:ascii="Cambria" w:eastAsia="Times New Roman" w:hAnsi="Cambria" w:cs="Times New Roman"/>
          <w:lang w:eastAsia="en-AU"/>
        </w:rPr>
        <w:tab/>
        <w:t>8.4.1.11</w:t>
      </w:r>
      <w:r w:rsidRPr="009A0DA6">
        <w:rPr>
          <w:rFonts w:ascii="Cambria" w:eastAsia="Times New Roman" w:hAnsi="Cambria" w:cs="Times New Roman"/>
          <w:lang w:eastAsia="en-AU"/>
        </w:rPr>
        <w:tab/>
        <w:t>appoint such sub-committees and delegate such powers as it sees fit;</w:t>
      </w:r>
    </w:p>
    <w:p w14:paraId="2DF713E8" w14:textId="77777777" w:rsidR="00E0197D" w:rsidRPr="009A0DA6" w:rsidRDefault="00E0197D" w:rsidP="00E0197D">
      <w:pPr>
        <w:tabs>
          <w:tab w:val="left" w:pos="851"/>
          <w:tab w:val="left" w:pos="1985"/>
          <w:tab w:val="left" w:pos="3119"/>
          <w:tab w:val="left" w:pos="4536"/>
          <w:tab w:val="left" w:pos="5670"/>
        </w:tabs>
        <w:spacing w:after="0" w:line="240" w:lineRule="auto"/>
        <w:ind w:left="1985" w:hanging="1985"/>
        <w:rPr>
          <w:rFonts w:ascii="Cambria" w:eastAsia="Times New Roman" w:hAnsi="Cambria" w:cs="Times New Roman"/>
          <w:lang w:eastAsia="en-AU"/>
        </w:rPr>
      </w:pPr>
      <w:r w:rsidRPr="009A0DA6">
        <w:rPr>
          <w:rFonts w:ascii="Cambria" w:eastAsia="Times New Roman" w:hAnsi="Cambria" w:cs="Times New Roman"/>
          <w:lang w:eastAsia="en-AU"/>
        </w:rPr>
        <w:tab/>
        <w:t>8.4.1.12</w:t>
      </w:r>
      <w:r w:rsidRPr="009A0DA6">
        <w:rPr>
          <w:rFonts w:ascii="Cambria" w:eastAsia="Times New Roman" w:hAnsi="Cambria" w:cs="Times New Roman"/>
          <w:lang w:eastAsia="en-AU"/>
        </w:rPr>
        <w:tab/>
        <w:t>define from time to time the specific areas of responsibility of the Bishop and Assistant Bishop;</w:t>
      </w:r>
    </w:p>
    <w:p w14:paraId="7AC36F9D" w14:textId="77777777" w:rsidR="00E0197D" w:rsidRPr="009A0DA6" w:rsidRDefault="00E0197D" w:rsidP="00E0197D">
      <w:pPr>
        <w:tabs>
          <w:tab w:val="left" w:pos="851"/>
          <w:tab w:val="left" w:pos="1985"/>
          <w:tab w:val="left" w:pos="3119"/>
          <w:tab w:val="left" w:pos="4536"/>
          <w:tab w:val="left" w:pos="5670"/>
        </w:tabs>
        <w:spacing w:after="0" w:line="240" w:lineRule="auto"/>
        <w:ind w:left="1985" w:hanging="1985"/>
        <w:rPr>
          <w:rFonts w:ascii="Cambria" w:eastAsia="Times New Roman" w:hAnsi="Cambria" w:cs="Times New Roman"/>
          <w:lang w:eastAsia="en-AU"/>
        </w:rPr>
      </w:pPr>
      <w:r w:rsidRPr="009A0DA6">
        <w:rPr>
          <w:rFonts w:ascii="Cambria" w:eastAsia="Times New Roman" w:hAnsi="Cambria" w:cs="Times New Roman"/>
          <w:lang w:eastAsia="en-AU"/>
        </w:rPr>
        <w:tab/>
        <w:t>8.4.1.13</w:t>
      </w:r>
      <w:r w:rsidRPr="009A0DA6">
        <w:rPr>
          <w:rFonts w:ascii="Cambria" w:eastAsia="Times New Roman" w:hAnsi="Cambria" w:cs="Times New Roman"/>
          <w:lang w:eastAsia="en-AU"/>
        </w:rPr>
        <w:tab/>
        <w:t xml:space="preserve">fill any vacancy in any office or on any </w:t>
      </w:r>
      <w:r w:rsidRPr="009A0DA6">
        <w:rPr>
          <w:rFonts w:ascii="Cambria" w:eastAsia="Times New Roman" w:hAnsi="Cambria" w:cs="Times New Roman"/>
          <w:strike/>
          <w:lang w:eastAsia="en-AU"/>
        </w:rPr>
        <w:t>B</w:t>
      </w:r>
      <w:r w:rsidRPr="009A0DA6">
        <w:rPr>
          <w:rFonts w:ascii="Cambria" w:eastAsia="Times New Roman" w:hAnsi="Cambria" w:cs="Times New Roman"/>
          <w:b/>
          <w:lang w:eastAsia="en-AU"/>
        </w:rPr>
        <w:t>b</w:t>
      </w:r>
      <w:r w:rsidRPr="009A0DA6">
        <w:rPr>
          <w:rFonts w:ascii="Cambria" w:eastAsia="Times New Roman" w:hAnsi="Cambria" w:cs="Times New Roman"/>
          <w:lang w:eastAsia="en-AU"/>
        </w:rPr>
        <w:t xml:space="preserve">oard, </w:t>
      </w:r>
      <w:r w:rsidRPr="009A0DA6">
        <w:rPr>
          <w:rFonts w:ascii="Cambria" w:eastAsia="Times New Roman" w:hAnsi="Cambria" w:cs="Times New Roman"/>
          <w:strike/>
          <w:lang w:eastAsia="en-AU"/>
        </w:rPr>
        <w:t>C</w:t>
      </w:r>
      <w:r w:rsidRPr="009A0DA6">
        <w:rPr>
          <w:rFonts w:ascii="Cambria" w:eastAsia="Times New Roman" w:hAnsi="Cambria" w:cs="Times New Roman"/>
          <w:b/>
          <w:lang w:eastAsia="en-AU"/>
        </w:rPr>
        <w:t>c</w:t>
      </w:r>
      <w:r w:rsidRPr="009A0DA6">
        <w:rPr>
          <w:rFonts w:ascii="Cambria" w:eastAsia="Times New Roman" w:hAnsi="Cambria" w:cs="Times New Roman"/>
          <w:lang w:eastAsia="en-AU"/>
        </w:rPr>
        <w:t xml:space="preserve">ouncil, </w:t>
      </w:r>
      <w:r w:rsidRPr="009A0DA6">
        <w:rPr>
          <w:rFonts w:ascii="Cambria" w:eastAsia="Times New Roman" w:hAnsi="Cambria" w:cs="Times New Roman"/>
          <w:strike/>
          <w:lang w:eastAsia="en-AU"/>
        </w:rPr>
        <w:t>Department, Standing Committee or C</w:t>
      </w:r>
      <w:r w:rsidRPr="009A0DA6">
        <w:rPr>
          <w:rFonts w:ascii="Cambria" w:eastAsia="Times New Roman" w:hAnsi="Cambria" w:cs="Times New Roman"/>
          <w:b/>
          <w:lang w:eastAsia="en-AU"/>
        </w:rPr>
        <w:t>c</w:t>
      </w:r>
      <w:r w:rsidRPr="009A0DA6">
        <w:rPr>
          <w:rFonts w:ascii="Cambria" w:eastAsia="Times New Roman" w:hAnsi="Cambria" w:cs="Times New Roman"/>
          <w:lang w:eastAsia="en-AU"/>
        </w:rPr>
        <w:t>ommission</w:t>
      </w:r>
      <w:r w:rsidRPr="009A0DA6">
        <w:rPr>
          <w:rFonts w:ascii="Cambria" w:eastAsia="Times New Roman" w:hAnsi="Cambria" w:cs="Times New Roman"/>
          <w:b/>
          <w:lang w:eastAsia="en-AU"/>
        </w:rPr>
        <w:t xml:space="preserve"> or committee</w:t>
      </w:r>
      <w:r w:rsidRPr="009A0DA6">
        <w:rPr>
          <w:rFonts w:ascii="Cambria" w:eastAsia="Times New Roman" w:hAnsi="Cambria" w:cs="Times New Roman"/>
          <w:lang w:eastAsia="en-AU"/>
        </w:rPr>
        <w:t xml:space="preserve"> </w:t>
      </w:r>
      <w:r w:rsidRPr="009A0DA6">
        <w:rPr>
          <w:rFonts w:ascii="Cambria" w:eastAsia="Times New Roman" w:hAnsi="Cambria" w:cs="Times New Roman"/>
          <w:b/>
          <w:lang w:eastAsia="en-AU"/>
        </w:rPr>
        <w:t>in accordance with the delegated authority contained in the relevant Constitution or Terms of Reference</w:t>
      </w:r>
      <w:r w:rsidRPr="009A0DA6">
        <w:rPr>
          <w:rFonts w:ascii="Cambria" w:eastAsia="Times New Roman" w:hAnsi="Cambria" w:cs="Times New Roman"/>
          <w:lang w:eastAsia="en-AU"/>
        </w:rPr>
        <w:t>, except when such vacancy occurs within three months of the next regular convention of the General Synod;</w:t>
      </w:r>
    </w:p>
    <w:p w14:paraId="369DCD0D" w14:textId="77777777" w:rsidR="00E0197D" w:rsidRPr="009A0DA6" w:rsidRDefault="00E0197D" w:rsidP="00E0197D">
      <w:pPr>
        <w:tabs>
          <w:tab w:val="left" w:pos="851"/>
          <w:tab w:val="left" w:pos="1985"/>
          <w:tab w:val="left" w:pos="3119"/>
          <w:tab w:val="left" w:pos="4536"/>
          <w:tab w:val="left" w:pos="5670"/>
        </w:tabs>
        <w:spacing w:after="0" w:line="240" w:lineRule="auto"/>
        <w:ind w:left="1985" w:hanging="1985"/>
        <w:rPr>
          <w:rFonts w:ascii="Cambria" w:eastAsia="Times New Roman" w:hAnsi="Cambria" w:cs="Times New Roman"/>
          <w:lang w:eastAsia="en-AU"/>
        </w:rPr>
      </w:pPr>
      <w:r w:rsidRPr="009A0DA6">
        <w:rPr>
          <w:rFonts w:ascii="Cambria" w:eastAsia="Times New Roman" w:hAnsi="Cambria" w:cs="Times New Roman"/>
          <w:lang w:eastAsia="en-AU"/>
        </w:rPr>
        <w:tab/>
        <w:t>8.4.1.14</w:t>
      </w:r>
      <w:r w:rsidRPr="009A0DA6">
        <w:rPr>
          <w:rFonts w:ascii="Cambria" w:eastAsia="Times New Roman" w:hAnsi="Cambria" w:cs="Times New Roman"/>
          <w:lang w:eastAsia="en-AU"/>
        </w:rPr>
        <w:tab/>
        <w:t xml:space="preserve">remove any Official, officer or member of a </w:t>
      </w:r>
      <w:r w:rsidRPr="009A0DA6">
        <w:rPr>
          <w:rFonts w:ascii="Cambria" w:eastAsia="Times New Roman" w:hAnsi="Cambria" w:cs="Times New Roman"/>
          <w:strike/>
          <w:lang w:eastAsia="en-AU"/>
        </w:rPr>
        <w:t>B</w:t>
      </w:r>
      <w:r w:rsidRPr="009A0DA6">
        <w:rPr>
          <w:rFonts w:ascii="Cambria" w:eastAsia="Times New Roman" w:hAnsi="Cambria" w:cs="Times New Roman"/>
          <w:b/>
          <w:lang w:eastAsia="en-AU"/>
        </w:rPr>
        <w:t>b</w:t>
      </w:r>
      <w:r w:rsidRPr="009A0DA6">
        <w:rPr>
          <w:rFonts w:ascii="Cambria" w:eastAsia="Times New Roman" w:hAnsi="Cambria" w:cs="Times New Roman"/>
          <w:lang w:eastAsia="en-AU"/>
        </w:rPr>
        <w:t xml:space="preserve">oard, </w:t>
      </w:r>
      <w:r w:rsidRPr="009A0DA6">
        <w:rPr>
          <w:rFonts w:ascii="Cambria" w:eastAsia="Times New Roman" w:hAnsi="Cambria" w:cs="Times New Roman"/>
          <w:strike/>
          <w:lang w:eastAsia="en-AU"/>
        </w:rPr>
        <w:t>C</w:t>
      </w:r>
      <w:r w:rsidRPr="009A0DA6">
        <w:rPr>
          <w:rFonts w:ascii="Cambria" w:eastAsia="Times New Roman" w:hAnsi="Cambria" w:cs="Times New Roman"/>
          <w:b/>
          <w:lang w:eastAsia="en-AU"/>
        </w:rPr>
        <w:t>c</w:t>
      </w:r>
      <w:r w:rsidRPr="009A0DA6">
        <w:rPr>
          <w:rFonts w:ascii="Cambria" w:eastAsia="Times New Roman" w:hAnsi="Cambria" w:cs="Times New Roman"/>
          <w:lang w:eastAsia="en-AU"/>
        </w:rPr>
        <w:t xml:space="preserve">ouncil, </w:t>
      </w:r>
      <w:r w:rsidRPr="009A0DA6">
        <w:rPr>
          <w:rFonts w:ascii="Cambria" w:eastAsia="Times New Roman" w:hAnsi="Cambria" w:cs="Times New Roman"/>
          <w:strike/>
          <w:lang w:eastAsia="en-AU"/>
        </w:rPr>
        <w:t>Department, Standing Committee or C</w:t>
      </w:r>
      <w:r w:rsidRPr="009A0DA6">
        <w:rPr>
          <w:rFonts w:ascii="Cambria" w:eastAsia="Times New Roman" w:hAnsi="Cambria" w:cs="Times New Roman"/>
          <w:b/>
          <w:lang w:eastAsia="en-AU"/>
        </w:rPr>
        <w:t>c</w:t>
      </w:r>
      <w:r w:rsidRPr="009A0DA6">
        <w:rPr>
          <w:rFonts w:ascii="Cambria" w:eastAsia="Times New Roman" w:hAnsi="Cambria" w:cs="Times New Roman"/>
          <w:lang w:eastAsia="en-AU"/>
        </w:rPr>
        <w:t xml:space="preserve">ommission </w:t>
      </w:r>
      <w:r w:rsidRPr="009A0DA6">
        <w:rPr>
          <w:rFonts w:ascii="Cambria" w:eastAsia="Times New Roman" w:hAnsi="Cambria" w:cs="Times New Roman"/>
          <w:b/>
          <w:lang w:eastAsia="en-AU"/>
        </w:rPr>
        <w:t xml:space="preserve">or committee </w:t>
      </w:r>
      <w:r w:rsidRPr="009A0DA6">
        <w:rPr>
          <w:rFonts w:ascii="Cambria" w:eastAsia="Times New Roman" w:hAnsi="Cambria" w:cs="Times New Roman"/>
          <w:lang w:eastAsia="en-AU"/>
        </w:rPr>
        <w:t>from office during the term</w:t>
      </w:r>
      <w:r w:rsidRPr="009A0DA6">
        <w:rPr>
          <w:rFonts w:ascii="Cambria" w:eastAsia="Times New Roman" w:hAnsi="Cambria" w:cs="Times New Roman"/>
          <w:b/>
          <w:lang w:eastAsia="en-AU"/>
        </w:rPr>
        <w:t>, subject to constitutional requirements,</w:t>
      </w:r>
      <w:r w:rsidRPr="009A0DA6">
        <w:rPr>
          <w:rFonts w:ascii="Cambria" w:eastAsia="Times New Roman" w:hAnsi="Cambria" w:cs="Times New Roman"/>
          <w:lang w:eastAsia="en-AU"/>
        </w:rPr>
        <w:t xml:space="preserve"> if, in its considered judgment, the said person becomes incapable or unworthy of holding office, and to fill the vacancy created until the next regular convention of the General Synod; </w:t>
      </w:r>
    </w:p>
    <w:p w14:paraId="5ED03EAB" w14:textId="51579197" w:rsidR="00E0197D" w:rsidRPr="009A0DA6" w:rsidRDefault="00E0197D" w:rsidP="00E0197D">
      <w:pPr>
        <w:tabs>
          <w:tab w:val="left" w:pos="851"/>
          <w:tab w:val="left" w:pos="1985"/>
          <w:tab w:val="left" w:pos="3119"/>
          <w:tab w:val="left" w:pos="4536"/>
          <w:tab w:val="left" w:pos="5670"/>
        </w:tabs>
        <w:spacing w:after="0" w:line="240" w:lineRule="auto"/>
        <w:ind w:left="1985" w:hanging="1985"/>
        <w:rPr>
          <w:rFonts w:ascii="Cambria" w:eastAsia="Times New Roman" w:hAnsi="Cambria" w:cs="Times New Roman"/>
          <w:lang w:eastAsia="en-AU"/>
        </w:rPr>
      </w:pPr>
      <w:r w:rsidRPr="009A0DA6">
        <w:rPr>
          <w:rFonts w:ascii="Cambria" w:eastAsia="Times New Roman" w:hAnsi="Cambria" w:cs="Times New Roman"/>
          <w:lang w:eastAsia="en-AU"/>
        </w:rPr>
        <w:tab/>
        <w:t>8.4.1.15</w:t>
      </w:r>
      <w:r w:rsidRPr="009A0DA6">
        <w:rPr>
          <w:rFonts w:ascii="Cambria" w:eastAsia="Times New Roman" w:hAnsi="Cambria" w:cs="Times New Roman"/>
          <w:lang w:eastAsia="en-AU"/>
        </w:rPr>
        <w:tab/>
        <w:t>determine any interim arrangements that may be necessary following the election of a full-time Official of the Church at a co</w:t>
      </w:r>
      <w:r w:rsidR="00712620" w:rsidRPr="009A0DA6">
        <w:rPr>
          <w:rFonts w:ascii="Cambria" w:eastAsia="Times New Roman" w:hAnsi="Cambria" w:cs="Times New Roman"/>
          <w:lang w:eastAsia="en-AU"/>
        </w:rPr>
        <w:t xml:space="preserve">nvention of the General Synod; </w:t>
      </w:r>
      <w:r w:rsidRPr="009A0DA6">
        <w:rPr>
          <w:rFonts w:ascii="Cambria" w:eastAsia="Times New Roman" w:hAnsi="Cambria" w:cs="Times New Roman"/>
          <w:lang w:eastAsia="en-AU"/>
        </w:rPr>
        <w:t>and</w:t>
      </w:r>
    </w:p>
    <w:p w14:paraId="760102E1" w14:textId="77777777" w:rsidR="00E0197D" w:rsidRPr="009A0DA6" w:rsidRDefault="00E0197D" w:rsidP="00E0197D">
      <w:pPr>
        <w:tabs>
          <w:tab w:val="left" w:pos="851"/>
          <w:tab w:val="left" w:pos="1985"/>
          <w:tab w:val="left" w:pos="3119"/>
          <w:tab w:val="left" w:pos="4536"/>
          <w:tab w:val="left" w:pos="5670"/>
        </w:tabs>
        <w:spacing w:after="0" w:line="240" w:lineRule="exact"/>
        <w:ind w:left="1985" w:hanging="1985"/>
        <w:rPr>
          <w:rFonts w:ascii="Cambria" w:eastAsia="Times New Roman" w:hAnsi="Cambria" w:cs="Times New Roman"/>
          <w:lang w:eastAsia="en-AU"/>
        </w:rPr>
      </w:pPr>
      <w:r w:rsidRPr="009A0DA6">
        <w:rPr>
          <w:rFonts w:ascii="Cambria" w:eastAsia="Times New Roman" w:hAnsi="Cambria" w:cs="Arial"/>
          <w:lang w:eastAsia="en-AU"/>
        </w:rPr>
        <w:tab/>
      </w:r>
      <w:r w:rsidRPr="009A0DA6">
        <w:rPr>
          <w:rFonts w:ascii="Cambria" w:eastAsia="Times New Roman" w:hAnsi="Cambria" w:cs="Times New Roman"/>
          <w:lang w:eastAsia="en-AU"/>
        </w:rPr>
        <w:t>8.4.1.16</w:t>
      </w:r>
      <w:r w:rsidRPr="009A0DA6">
        <w:rPr>
          <w:rFonts w:ascii="Cambria" w:eastAsia="Times New Roman" w:hAnsi="Cambria" w:cs="Times New Roman"/>
          <w:lang w:eastAsia="en-AU"/>
        </w:rPr>
        <w:tab/>
        <w:t>approve any alteration to the By-laws of the Church or the rules governing any board or fund of the Church made necessary by any resolution of the General Synod, as prepared by the Standing Committee on Constitutions.</w:t>
      </w:r>
    </w:p>
    <w:p w14:paraId="1FD86CFF" w14:textId="77777777" w:rsidR="00E0197D" w:rsidRPr="009A0DA6" w:rsidRDefault="00E0197D" w:rsidP="00E0197D">
      <w:pPr>
        <w:shd w:val="clear" w:color="auto" w:fill="FFFFFF"/>
        <w:spacing w:after="0" w:line="240" w:lineRule="auto"/>
        <w:rPr>
          <w:rFonts w:ascii="Cambria" w:eastAsia="Times New Roman" w:hAnsi="Cambria" w:cs="Times New Roman"/>
          <w:b/>
          <w:bCs/>
          <w:color w:val="222222"/>
          <w:lang w:eastAsia="en-AU"/>
        </w:rPr>
      </w:pPr>
    </w:p>
    <w:p w14:paraId="4CDA44D5" w14:textId="4CCCE220" w:rsidR="00E0197D" w:rsidRPr="009A0DA6" w:rsidRDefault="00FB59B1" w:rsidP="002E45F0">
      <w:pPr>
        <w:pStyle w:val="Heading3"/>
        <w:rPr>
          <w:rFonts w:eastAsia="Times New Roman"/>
          <w:lang w:eastAsia="en-AU"/>
        </w:rPr>
      </w:pPr>
      <w:r w:rsidRPr="009A0DA6">
        <w:rPr>
          <w:rFonts w:eastAsia="Times New Roman"/>
          <w:lang w:eastAsia="en-AU"/>
        </w:rPr>
        <w:t>REASONS FOR THE MOTION</w:t>
      </w:r>
    </w:p>
    <w:p w14:paraId="6C8F832E" w14:textId="552FE557" w:rsidR="00E0197D" w:rsidRPr="009A0DA6" w:rsidRDefault="00712620" w:rsidP="00E0197D">
      <w:pPr>
        <w:shd w:val="clear" w:color="auto" w:fill="FFFFFF"/>
        <w:spacing w:line="240" w:lineRule="auto"/>
        <w:rPr>
          <w:rFonts w:ascii="Cambria" w:hAnsi="Cambria" w:cs="Arial"/>
          <w:color w:val="222222"/>
        </w:rPr>
      </w:pPr>
      <w:r w:rsidRPr="009A0DA6">
        <w:rPr>
          <w:rFonts w:ascii="Cambria" w:hAnsi="Cambria" w:cs="Arial"/>
          <w:color w:val="222222"/>
        </w:rPr>
        <w:t>In 2015</w:t>
      </w:r>
      <w:r w:rsidR="00E0197D" w:rsidRPr="009A0DA6">
        <w:rPr>
          <w:rFonts w:ascii="Cambria" w:hAnsi="Cambria" w:cs="Arial"/>
          <w:color w:val="222222"/>
        </w:rPr>
        <w:t xml:space="preserve"> the General Synod approved in principle support for competency-based, approp</w:t>
      </w:r>
      <w:r w:rsidR="00E0197D" w:rsidRPr="009A0DA6">
        <w:rPr>
          <w:rFonts w:ascii="Cambria" w:hAnsi="Cambria" w:cs="Arial"/>
        </w:rPr>
        <w:t xml:space="preserve">riately structured LCA councils, boards, committees and commissions; and authorised the GCC to develop and trial as far as practicable the </w:t>
      </w:r>
      <w:r w:rsidR="005925B7" w:rsidRPr="009A0DA6">
        <w:rPr>
          <w:rFonts w:ascii="Cambria" w:hAnsi="Cambria" w:cs="Arial"/>
        </w:rPr>
        <w:t xml:space="preserve">new Rules and Governance Policy, </w:t>
      </w:r>
      <w:r w:rsidR="005925B7" w:rsidRPr="009A0DA6">
        <w:rPr>
          <w:rFonts w:ascii="Cambria" w:hAnsi="Cambria"/>
        </w:rPr>
        <w:t>as well as prepare necessary changes to the LCA By-laws, for approval by General Synod in 2018, to give effect to the new arrangements.</w:t>
      </w:r>
    </w:p>
    <w:p w14:paraId="58A879D0" w14:textId="58451325" w:rsidR="00E0197D" w:rsidRPr="009A0DA6" w:rsidRDefault="00712620" w:rsidP="00E0197D">
      <w:pPr>
        <w:shd w:val="clear" w:color="auto" w:fill="FFFFFF"/>
        <w:spacing w:line="240" w:lineRule="auto"/>
        <w:rPr>
          <w:rFonts w:ascii="Cambria" w:hAnsi="Cambria" w:cs="Arial"/>
          <w:color w:val="222222"/>
        </w:rPr>
      </w:pPr>
      <w:r w:rsidRPr="009A0DA6">
        <w:rPr>
          <w:rFonts w:ascii="Cambria" w:hAnsi="Cambria" w:cs="Arial"/>
          <w:color w:val="222222"/>
        </w:rPr>
        <w:t>Since 2015</w:t>
      </w:r>
      <w:r w:rsidR="00E0197D" w:rsidRPr="009A0DA6">
        <w:rPr>
          <w:rFonts w:ascii="Cambria" w:hAnsi="Cambria" w:cs="Arial"/>
          <w:color w:val="222222"/>
        </w:rPr>
        <w:t xml:space="preserve"> this work began in the context of and complementary to the </w:t>
      </w:r>
      <w:r w:rsidRPr="009A0DA6">
        <w:rPr>
          <w:rFonts w:ascii="Cambria" w:hAnsi="Cambria" w:cs="Arial"/>
          <w:color w:val="222222"/>
        </w:rPr>
        <w:t>implementation of the National F</w:t>
      </w:r>
      <w:r w:rsidR="00E0197D" w:rsidRPr="009A0DA6">
        <w:rPr>
          <w:rFonts w:ascii="Cambria" w:hAnsi="Cambria" w:cs="Arial"/>
          <w:color w:val="222222"/>
        </w:rPr>
        <w:t>unctions resolution also adopted in 2015, which approved t</w:t>
      </w:r>
      <w:r w:rsidRPr="009A0DA6">
        <w:rPr>
          <w:rFonts w:ascii="Cambria" w:hAnsi="Cambria" w:cs="Arial"/>
          <w:color w:val="222222"/>
        </w:rPr>
        <w:t>he trial of a revised National F</w:t>
      </w:r>
      <w:r w:rsidR="00E0197D" w:rsidRPr="009A0DA6">
        <w:rPr>
          <w:rFonts w:ascii="Cambria" w:hAnsi="Cambria" w:cs="Arial"/>
          <w:color w:val="222222"/>
        </w:rPr>
        <w:t>unctions structure.</w:t>
      </w:r>
    </w:p>
    <w:p w14:paraId="52561560" w14:textId="5FB5F20F" w:rsidR="00E0197D" w:rsidRPr="009A0DA6" w:rsidRDefault="00712620" w:rsidP="00E0197D">
      <w:pPr>
        <w:shd w:val="clear" w:color="auto" w:fill="FFFFFF"/>
        <w:spacing w:line="240" w:lineRule="auto"/>
        <w:rPr>
          <w:rFonts w:ascii="Cambria" w:hAnsi="Cambria" w:cs="Arial"/>
          <w:color w:val="222222"/>
        </w:rPr>
      </w:pPr>
      <w:r w:rsidRPr="009A0DA6">
        <w:rPr>
          <w:rFonts w:ascii="Cambria" w:hAnsi="Cambria" w:cs="Arial"/>
          <w:color w:val="222222"/>
        </w:rPr>
        <w:lastRenderedPageBreak/>
        <w:t>In late 2017</w:t>
      </w:r>
      <w:r w:rsidR="00E0197D" w:rsidRPr="009A0DA6">
        <w:rPr>
          <w:rFonts w:ascii="Cambria" w:hAnsi="Cambria" w:cs="Arial"/>
          <w:color w:val="222222"/>
        </w:rPr>
        <w:t xml:space="preserve"> the GCC commissioned an independent evaluation of the trial structure, which included a wide consultation process involving individuals and groups directly impacted by the proposed changes, as well as those who were expected to benefit from the changes (District and congregational level).</w:t>
      </w:r>
    </w:p>
    <w:p w14:paraId="4B7EE488" w14:textId="77777777" w:rsidR="00E0197D" w:rsidRPr="009A0DA6" w:rsidRDefault="00E0197D" w:rsidP="00E0197D">
      <w:pPr>
        <w:shd w:val="clear" w:color="auto" w:fill="FFFFFF"/>
        <w:spacing w:line="240" w:lineRule="auto"/>
        <w:rPr>
          <w:rFonts w:ascii="Cambria" w:hAnsi="Cambria" w:cs="Arial"/>
          <w:color w:val="222222"/>
        </w:rPr>
      </w:pPr>
      <w:r w:rsidRPr="009A0DA6">
        <w:rPr>
          <w:rFonts w:ascii="Cambria" w:hAnsi="Cambria" w:cs="Arial"/>
          <w:color w:val="222222"/>
        </w:rPr>
        <w:t xml:space="preserve">The following provides the context and rationale for the GCC’s recommendation that the restructure to competency-based, LCA councils, boards, committees and commissions be formalised. </w:t>
      </w:r>
    </w:p>
    <w:p w14:paraId="5E121B62" w14:textId="77777777" w:rsidR="00E0197D" w:rsidRPr="009A0DA6" w:rsidRDefault="00E0197D" w:rsidP="00E0197D">
      <w:pPr>
        <w:pStyle w:val="NoSpacing"/>
        <w:rPr>
          <w:b/>
          <w:lang w:eastAsia="en-AU" w:bidi="he-IL"/>
        </w:rPr>
      </w:pPr>
      <w:r w:rsidRPr="009A0DA6">
        <w:rPr>
          <w:b/>
          <w:lang w:eastAsia="en-AU" w:bidi="he-IL"/>
        </w:rPr>
        <w:t>Membership of LCA bodies</w:t>
      </w:r>
    </w:p>
    <w:p w14:paraId="77B1609B" w14:textId="1082F23B" w:rsidR="00E0197D" w:rsidRPr="009A0DA6" w:rsidRDefault="00E0197D" w:rsidP="00E0197D">
      <w:pPr>
        <w:spacing w:after="120" w:line="240" w:lineRule="auto"/>
        <w:rPr>
          <w:rFonts w:ascii="Cambria" w:eastAsia="Calibri" w:hAnsi="Cambria" w:cs="Calibri"/>
          <w:i/>
          <w:lang w:eastAsia="en-AU" w:bidi="he-IL"/>
        </w:rPr>
      </w:pPr>
      <w:r w:rsidRPr="009A0DA6">
        <w:rPr>
          <w:rFonts w:ascii="Cambria" w:eastAsia="Calibri" w:hAnsi="Cambria" w:cs="Calibri"/>
          <w:i/>
          <w:lang w:eastAsia="en-AU" w:bidi="he-IL"/>
        </w:rPr>
        <w:t>Competency-focus</w:t>
      </w:r>
    </w:p>
    <w:p w14:paraId="6AD40AA0" w14:textId="77777777" w:rsidR="00E0197D" w:rsidRPr="009A0DA6" w:rsidRDefault="00E0197D" w:rsidP="00E0197D">
      <w:pPr>
        <w:spacing w:after="120" w:line="240" w:lineRule="auto"/>
        <w:rPr>
          <w:rFonts w:ascii="Cambria" w:eastAsia="Calibri" w:hAnsi="Cambria" w:cs="Calibri"/>
          <w:lang w:eastAsia="en-AU" w:bidi="he-IL"/>
        </w:rPr>
      </w:pPr>
      <w:r w:rsidRPr="009A0DA6">
        <w:rPr>
          <w:rFonts w:ascii="Cambria" w:eastAsia="Calibri" w:hAnsi="Cambria" w:cs="Calibri"/>
          <w:lang w:eastAsia="en-AU" w:bidi="he-IL"/>
        </w:rPr>
        <w:t>The Synod resolution approved an ‘in-principle’ adoption of a competency-based approach to membership of the LCA’s governing bodies.</w:t>
      </w:r>
    </w:p>
    <w:p w14:paraId="63A880C0" w14:textId="77777777" w:rsidR="00E0197D" w:rsidRPr="009A0DA6" w:rsidRDefault="00E0197D" w:rsidP="00E0197D">
      <w:pPr>
        <w:spacing w:after="120" w:line="240" w:lineRule="auto"/>
        <w:rPr>
          <w:rFonts w:ascii="Cambria" w:eastAsia="Calibri" w:hAnsi="Cambria" w:cs="Calibri"/>
          <w:lang w:eastAsia="en-AU" w:bidi="he-IL"/>
        </w:rPr>
      </w:pPr>
      <w:r w:rsidRPr="009A0DA6">
        <w:rPr>
          <w:rFonts w:ascii="Cambria" w:eastAsia="Calibri" w:hAnsi="Cambria" w:cs="Calibri"/>
          <w:lang w:eastAsia="en-AU" w:bidi="he-IL"/>
        </w:rPr>
        <w:t xml:space="preserve">It is relevant to note that the current membership arrangements for the majority of the LCA’s governing bodies </w:t>
      </w:r>
      <w:r w:rsidRPr="009A0DA6">
        <w:rPr>
          <w:rFonts w:ascii="Cambria" w:eastAsia="Calibri" w:hAnsi="Cambria" w:cs="Calibri"/>
          <w:b/>
          <w:lang w:eastAsia="en-AU" w:bidi="he-IL"/>
        </w:rPr>
        <w:t>do not</w:t>
      </w:r>
      <w:r w:rsidRPr="009A0DA6">
        <w:rPr>
          <w:rFonts w:ascii="Cambria" w:eastAsia="Calibri" w:hAnsi="Cambria" w:cs="Calibri"/>
          <w:lang w:eastAsia="en-AU" w:bidi="he-IL"/>
        </w:rPr>
        <w:t xml:space="preserve"> prescribe a representational model. The adoption of this proposal would therefore effectively: </w:t>
      </w:r>
    </w:p>
    <w:p w14:paraId="526043DA" w14:textId="77777777" w:rsidR="00E0197D" w:rsidRPr="009A0DA6" w:rsidRDefault="00E0197D" w:rsidP="00F55252">
      <w:pPr>
        <w:pStyle w:val="ListParagraph"/>
        <w:numPr>
          <w:ilvl w:val="0"/>
          <w:numId w:val="84"/>
        </w:numPr>
        <w:spacing w:after="120" w:line="240" w:lineRule="auto"/>
        <w:ind w:left="567" w:hanging="567"/>
        <w:rPr>
          <w:rFonts w:ascii="Cambria" w:eastAsia="Calibri" w:hAnsi="Cambria" w:cs="Calibri"/>
          <w:lang w:eastAsia="en-AU" w:bidi="he-IL"/>
        </w:rPr>
      </w:pPr>
      <w:r w:rsidRPr="009A0DA6">
        <w:rPr>
          <w:rFonts w:ascii="Cambria" w:eastAsia="Calibri" w:hAnsi="Cambria" w:cs="Calibri"/>
          <w:lang w:eastAsia="en-AU" w:bidi="he-IL"/>
        </w:rPr>
        <w:t xml:space="preserve">transition the minority of those bodies that are partially representational-based into alignment with what is now either already in place, trialled or proposed, and </w:t>
      </w:r>
    </w:p>
    <w:p w14:paraId="5217F6EF" w14:textId="77777777" w:rsidR="00E0197D" w:rsidRPr="009A0DA6" w:rsidRDefault="00E0197D" w:rsidP="00F55252">
      <w:pPr>
        <w:pStyle w:val="ListParagraph"/>
        <w:numPr>
          <w:ilvl w:val="0"/>
          <w:numId w:val="84"/>
        </w:numPr>
        <w:spacing w:after="120" w:line="240" w:lineRule="auto"/>
        <w:ind w:left="567" w:hanging="567"/>
        <w:rPr>
          <w:rFonts w:ascii="Cambria" w:eastAsia="Calibri" w:hAnsi="Cambria" w:cs="Calibri"/>
          <w:lang w:eastAsia="en-AU" w:bidi="he-IL"/>
        </w:rPr>
      </w:pPr>
      <w:r w:rsidRPr="009A0DA6">
        <w:rPr>
          <w:rFonts w:ascii="Cambria" w:eastAsia="Calibri" w:hAnsi="Cambria" w:cs="Calibri"/>
          <w:lang w:eastAsia="en-AU" w:bidi="he-IL"/>
        </w:rPr>
        <w:t xml:space="preserve">make explicit the membership requirements of boards, councils, commissions and committees, which expands upon the traditional pastor/lay member balance. </w:t>
      </w:r>
    </w:p>
    <w:p w14:paraId="7C690883" w14:textId="511F38C9" w:rsidR="00E0197D" w:rsidRPr="009A0DA6" w:rsidRDefault="00E0197D" w:rsidP="00E0197D">
      <w:pPr>
        <w:spacing w:after="120" w:line="240" w:lineRule="auto"/>
        <w:rPr>
          <w:rFonts w:ascii="Cambria" w:eastAsia="Calibri" w:hAnsi="Cambria" w:cs="Calibri"/>
          <w:lang w:eastAsia="en-AU" w:bidi="he-IL"/>
        </w:rPr>
      </w:pPr>
      <w:r w:rsidRPr="009A0DA6">
        <w:rPr>
          <w:rFonts w:ascii="Cambria" w:eastAsia="Calibri" w:hAnsi="Cambria" w:cs="Calibri"/>
          <w:lang w:eastAsia="en-AU" w:bidi="he-IL"/>
        </w:rPr>
        <w:t>It is also of note that, as to the second point, there is already precedent for articulating th</w:t>
      </w:r>
      <w:r w:rsidR="00F2518B" w:rsidRPr="009A0DA6">
        <w:rPr>
          <w:rFonts w:ascii="Cambria" w:eastAsia="Calibri" w:hAnsi="Cambria" w:cs="Calibri"/>
          <w:lang w:eastAsia="en-AU" w:bidi="he-IL"/>
        </w:rPr>
        <w:t>e membership requirements of a b</w:t>
      </w:r>
      <w:r w:rsidRPr="009A0DA6">
        <w:rPr>
          <w:rFonts w:ascii="Cambria" w:eastAsia="Calibri" w:hAnsi="Cambria" w:cs="Calibri"/>
          <w:lang w:eastAsia="en-AU" w:bidi="he-IL"/>
        </w:rPr>
        <w:t>oard when, in 2013, the General Synod approved a Terms of Reference for the Board for Child, Youth and Family Ministry which specified the skills, qualifications and experience required of its members.</w:t>
      </w:r>
    </w:p>
    <w:p w14:paraId="647873B0" w14:textId="77777777" w:rsidR="00E0197D" w:rsidRPr="009A0DA6" w:rsidRDefault="00E0197D" w:rsidP="00E0197D">
      <w:pPr>
        <w:spacing w:after="120" w:line="240" w:lineRule="auto"/>
        <w:rPr>
          <w:rFonts w:ascii="Cambria" w:eastAsia="Calibri" w:hAnsi="Cambria" w:cs="Calibri"/>
          <w:lang w:eastAsia="en-AU" w:bidi="he-IL"/>
        </w:rPr>
      </w:pPr>
      <w:r w:rsidRPr="009A0DA6">
        <w:rPr>
          <w:rFonts w:ascii="Cambria" w:eastAsia="Calibri" w:hAnsi="Cambria" w:cs="Calibri"/>
          <w:lang w:eastAsia="en-AU" w:bidi="he-IL"/>
        </w:rPr>
        <w:t>The key rationale for taking this direction is a view that the Church will benefit from decision-making and advisory bodies that have the best possible membership mix to carry out their roles and responsibilities. This requires people with a passion for mission and ministry who have the skills, experience and qualifications of potential members to make a meaningful contribution to the body on which they are serving.</w:t>
      </w:r>
    </w:p>
    <w:p w14:paraId="7BFB0891" w14:textId="77777777" w:rsidR="00E0197D" w:rsidRPr="009A0DA6" w:rsidRDefault="00E0197D" w:rsidP="00E0197D">
      <w:pPr>
        <w:spacing w:after="120" w:line="240" w:lineRule="auto"/>
        <w:rPr>
          <w:rFonts w:ascii="Cambria" w:eastAsia="Calibri" w:hAnsi="Cambria" w:cs="Calibri"/>
          <w:lang w:eastAsia="en-AU" w:bidi="he-IL"/>
        </w:rPr>
      </w:pPr>
      <w:r w:rsidRPr="009A0DA6">
        <w:rPr>
          <w:rFonts w:ascii="Cambria" w:eastAsia="Calibri" w:hAnsi="Cambria" w:cs="Calibri"/>
          <w:lang w:eastAsia="en-AU" w:bidi="he-IL"/>
        </w:rPr>
        <w:t>It is stressed that while skills, experience and qualifications are a primary focus, it shouldn’t be the only consideration. A competent body also should reflect a diversity of backgrounds and perspectives.</w:t>
      </w:r>
    </w:p>
    <w:p w14:paraId="68849683" w14:textId="77777777" w:rsidR="00E0197D" w:rsidRPr="009A0DA6" w:rsidRDefault="00E0197D" w:rsidP="00E0197D">
      <w:pPr>
        <w:spacing w:after="120" w:line="240" w:lineRule="auto"/>
        <w:rPr>
          <w:rFonts w:ascii="Cambria" w:eastAsia="Calibri" w:hAnsi="Cambria" w:cs="Calibri"/>
          <w:lang w:eastAsia="en-AU" w:bidi="he-IL"/>
        </w:rPr>
      </w:pPr>
      <w:r w:rsidRPr="009A0DA6">
        <w:rPr>
          <w:rFonts w:ascii="Cambria" w:eastAsia="Calibri" w:hAnsi="Cambria" w:cs="Calibri"/>
          <w:lang w:eastAsia="en-AU" w:bidi="he-IL"/>
        </w:rPr>
        <w:t xml:space="preserve">A more defined approach will assist the various governing bodies to identify their respective needs and guide the Standing Committee on Nominations (SCoN) to intentionally seek people with the necessary attributes to meet those needs. </w:t>
      </w:r>
    </w:p>
    <w:p w14:paraId="418F18E6" w14:textId="77777777" w:rsidR="00E0197D" w:rsidRPr="009A0DA6" w:rsidRDefault="00E0197D" w:rsidP="00E0197D">
      <w:pPr>
        <w:shd w:val="clear" w:color="auto" w:fill="FFFFFF"/>
        <w:spacing w:line="240" w:lineRule="auto"/>
        <w:rPr>
          <w:rFonts w:ascii="Cambria" w:hAnsi="Cambria" w:cs="Arial"/>
          <w:color w:val="222222"/>
          <w:shd w:val="clear" w:color="auto" w:fill="FFFFFF"/>
        </w:rPr>
      </w:pPr>
      <w:r w:rsidRPr="009A0DA6">
        <w:rPr>
          <w:rFonts w:ascii="Cambria" w:hAnsi="Cambria" w:cs="Arial"/>
          <w:color w:val="222222"/>
          <w:shd w:val="clear" w:color="auto" w:fill="FFFFFF"/>
        </w:rPr>
        <w:t>It was not practicable to trial a competency-based (rather than the largely representational-based) membership of the General Church Council because it is the legal governing body for LCA Inc and therefore its membership must at all times comply with the provisions of the legally recognised constitution and by-laws.</w:t>
      </w:r>
    </w:p>
    <w:p w14:paraId="29BB0C51" w14:textId="7341FA97" w:rsidR="00E0197D" w:rsidRPr="009A0DA6" w:rsidRDefault="00E0197D" w:rsidP="00E0197D">
      <w:pPr>
        <w:shd w:val="clear" w:color="auto" w:fill="FFFFFF"/>
        <w:spacing w:line="240" w:lineRule="auto"/>
        <w:rPr>
          <w:rFonts w:ascii="Cambria" w:hAnsi="Cambria" w:cs="Arial"/>
          <w:color w:val="222222"/>
          <w:shd w:val="clear" w:color="auto" w:fill="FFFFFF"/>
        </w:rPr>
      </w:pPr>
      <w:r w:rsidRPr="009A0DA6">
        <w:rPr>
          <w:rFonts w:ascii="Cambria" w:hAnsi="Cambria" w:cs="Arial"/>
          <w:color w:val="222222"/>
          <w:shd w:val="clear" w:color="auto" w:fill="FFFFFF"/>
        </w:rPr>
        <w:t xml:space="preserve">It was also not practicable to ‘spill’ all positions and thereby undertake a full trial of ‘competency-based’ boards, councils, commissions and committees. However, this approach was applied to the new boards and committees that were established as part of the </w:t>
      </w:r>
      <w:r w:rsidR="00712620" w:rsidRPr="009A0DA6">
        <w:rPr>
          <w:rFonts w:ascii="Cambria" w:hAnsi="Cambria" w:cs="Arial"/>
          <w:color w:val="222222"/>
          <w:shd w:val="clear" w:color="auto" w:fill="FFFFFF"/>
        </w:rPr>
        <w:t>National Functions</w:t>
      </w:r>
      <w:r w:rsidRPr="009A0DA6">
        <w:rPr>
          <w:rFonts w:ascii="Cambria" w:hAnsi="Cambria" w:cs="Arial"/>
          <w:color w:val="222222"/>
          <w:shd w:val="clear" w:color="auto" w:fill="FFFFFF"/>
        </w:rPr>
        <w:t xml:space="preserve"> trial structure (eg Board for Local Mission; Ne</w:t>
      </w:r>
      <w:r w:rsidR="00C67D2A" w:rsidRPr="009A0DA6">
        <w:rPr>
          <w:rFonts w:ascii="Cambria" w:hAnsi="Cambria" w:cs="Arial"/>
          <w:color w:val="222222"/>
          <w:shd w:val="clear" w:color="auto" w:fill="FFFFFF"/>
        </w:rPr>
        <w:t>w and Renewing Churches; Cross-Cultural M</w:t>
      </w:r>
      <w:r w:rsidRPr="009A0DA6">
        <w:rPr>
          <w:rFonts w:ascii="Cambria" w:hAnsi="Cambria" w:cs="Arial"/>
          <w:color w:val="222222"/>
          <w:shd w:val="clear" w:color="auto" w:fill="FFFFFF"/>
        </w:rPr>
        <w:t xml:space="preserve">inistry; Church Worker Support) and in filling vacancies that arose on a number of bodies during the </w:t>
      </w:r>
      <w:r w:rsidR="00C67D2A" w:rsidRPr="009A0DA6">
        <w:rPr>
          <w:rFonts w:ascii="Cambria" w:hAnsi="Cambria" w:cs="Arial"/>
          <w:color w:val="222222"/>
          <w:shd w:val="clear" w:color="auto" w:fill="FFFFFF"/>
        </w:rPr>
        <w:t>synodical</w:t>
      </w:r>
      <w:r w:rsidRPr="009A0DA6">
        <w:rPr>
          <w:rFonts w:ascii="Cambria" w:hAnsi="Cambria" w:cs="Arial"/>
          <w:color w:val="222222"/>
          <w:shd w:val="clear" w:color="auto" w:fill="FFFFFF"/>
        </w:rPr>
        <w:t xml:space="preserve"> period. </w:t>
      </w:r>
    </w:p>
    <w:p w14:paraId="07D45453" w14:textId="52029875" w:rsidR="00E0197D" w:rsidRPr="009A0DA6" w:rsidRDefault="00E0197D" w:rsidP="00E0197D">
      <w:pPr>
        <w:shd w:val="clear" w:color="auto" w:fill="FFFFFF"/>
        <w:spacing w:line="240" w:lineRule="auto"/>
        <w:rPr>
          <w:rFonts w:ascii="Cambria" w:hAnsi="Cambria" w:cs="Arial"/>
          <w:color w:val="222222"/>
          <w:shd w:val="clear" w:color="auto" w:fill="FFFFFF"/>
        </w:rPr>
      </w:pPr>
      <w:r w:rsidRPr="009A0DA6">
        <w:rPr>
          <w:rFonts w:ascii="Cambria" w:hAnsi="Cambria" w:cs="Arial"/>
          <w:color w:val="222222"/>
          <w:shd w:val="clear" w:color="auto" w:fill="FFFFFF"/>
        </w:rPr>
        <w:t xml:space="preserve">Noting the above constraints, the evaluation concluded that, based on the experience of the competency-based approach to date, the skills and competencies available to the </w:t>
      </w:r>
      <w:r w:rsidR="00DB2C41" w:rsidRPr="009A0DA6">
        <w:rPr>
          <w:rFonts w:ascii="Cambria" w:hAnsi="Cambria" w:cs="Arial"/>
          <w:color w:val="222222"/>
          <w:shd w:val="clear" w:color="auto" w:fill="FFFFFF"/>
        </w:rPr>
        <w:t>church</w:t>
      </w:r>
      <w:r w:rsidRPr="009A0DA6">
        <w:rPr>
          <w:rFonts w:ascii="Cambria" w:hAnsi="Cambria" w:cs="Arial"/>
          <w:color w:val="222222"/>
          <w:shd w:val="clear" w:color="auto" w:fill="FFFFFF"/>
        </w:rPr>
        <w:t xml:space="preserve"> via its </w:t>
      </w:r>
      <w:r w:rsidR="006862AD" w:rsidRPr="009A0DA6">
        <w:rPr>
          <w:rFonts w:ascii="Cambria" w:hAnsi="Cambria" w:cs="Arial"/>
          <w:color w:val="222222"/>
          <w:shd w:val="clear" w:color="auto" w:fill="FFFFFF"/>
        </w:rPr>
        <w:t>boards</w:t>
      </w:r>
      <w:r w:rsidRPr="009A0DA6">
        <w:rPr>
          <w:rFonts w:ascii="Cambria" w:hAnsi="Cambria" w:cs="Arial"/>
          <w:color w:val="222222"/>
          <w:shd w:val="clear" w:color="auto" w:fill="FFFFFF"/>
        </w:rPr>
        <w:t xml:space="preserve">, </w:t>
      </w:r>
      <w:r w:rsidR="006862AD" w:rsidRPr="009A0DA6">
        <w:rPr>
          <w:rFonts w:ascii="Cambria" w:hAnsi="Cambria" w:cs="Arial"/>
          <w:color w:val="222222"/>
          <w:shd w:val="clear" w:color="auto" w:fill="FFFFFF"/>
        </w:rPr>
        <w:t>committees</w:t>
      </w:r>
      <w:r w:rsidRPr="009A0DA6">
        <w:rPr>
          <w:rFonts w:ascii="Cambria" w:hAnsi="Cambria" w:cs="Arial"/>
          <w:color w:val="222222"/>
          <w:shd w:val="clear" w:color="auto" w:fill="FFFFFF"/>
        </w:rPr>
        <w:t xml:space="preserve"> and </w:t>
      </w:r>
      <w:r w:rsidR="006862AD" w:rsidRPr="009A0DA6">
        <w:rPr>
          <w:rFonts w:ascii="Cambria" w:hAnsi="Cambria" w:cs="Arial"/>
          <w:color w:val="222222"/>
          <w:shd w:val="clear" w:color="auto" w:fill="FFFFFF"/>
        </w:rPr>
        <w:t>commissions</w:t>
      </w:r>
      <w:r w:rsidRPr="009A0DA6">
        <w:rPr>
          <w:rFonts w:ascii="Cambria" w:hAnsi="Cambria" w:cs="Arial"/>
          <w:color w:val="222222"/>
          <w:shd w:val="clear" w:color="auto" w:fill="FFFFFF"/>
        </w:rPr>
        <w:t xml:space="preserve"> is very valuable and substantially more fit for purpose.</w:t>
      </w:r>
    </w:p>
    <w:p w14:paraId="77B39FE8" w14:textId="77777777" w:rsidR="00E0197D" w:rsidRPr="009A0DA6" w:rsidRDefault="00E0197D" w:rsidP="00E0197D">
      <w:pPr>
        <w:spacing w:after="120" w:line="240" w:lineRule="auto"/>
        <w:rPr>
          <w:rFonts w:ascii="Cambria" w:eastAsia="Calibri" w:hAnsi="Cambria" w:cs="Calibri"/>
          <w:lang w:eastAsia="en-AU" w:bidi="he-IL"/>
        </w:rPr>
      </w:pPr>
      <w:r w:rsidRPr="009A0DA6">
        <w:rPr>
          <w:rFonts w:ascii="Cambria" w:eastAsia="Calibri" w:hAnsi="Cambria" w:cs="Calibri"/>
          <w:lang w:eastAsia="en-AU" w:bidi="he-IL"/>
        </w:rPr>
        <w:lastRenderedPageBreak/>
        <w:t>Based on the rationale above, and taking account of the evaluation’s findings, the GCC recommends to Synod the adoption of a competency-based approach to all of the LCA’s governing bodies.</w:t>
      </w:r>
    </w:p>
    <w:p w14:paraId="410A8A7B" w14:textId="77777777" w:rsidR="00E0197D" w:rsidRPr="009A0DA6" w:rsidRDefault="00E0197D" w:rsidP="00E0197D">
      <w:pPr>
        <w:spacing w:after="120" w:line="240" w:lineRule="auto"/>
        <w:rPr>
          <w:rFonts w:ascii="Cambria" w:eastAsia="Calibri" w:hAnsi="Cambria" w:cs="Calibri"/>
          <w:lang w:eastAsia="en-AU" w:bidi="he-IL"/>
        </w:rPr>
      </w:pPr>
      <w:r w:rsidRPr="009A0DA6">
        <w:rPr>
          <w:rFonts w:ascii="Cambria" w:eastAsia="Calibri" w:hAnsi="Cambria" w:cs="Calibri"/>
          <w:lang w:eastAsia="en-AU" w:bidi="he-IL"/>
        </w:rPr>
        <w:t>In making this recommendation the GCC has taken into account concerns about this change expressed during the evaluation, including:</w:t>
      </w:r>
    </w:p>
    <w:tbl>
      <w:tblPr>
        <w:tblStyle w:val="PlainTable2"/>
        <w:tblW w:w="0" w:type="auto"/>
        <w:tblLook w:val="04A0" w:firstRow="1" w:lastRow="0" w:firstColumn="1" w:lastColumn="0" w:noHBand="0" w:noVBand="1"/>
      </w:tblPr>
      <w:tblGrid>
        <w:gridCol w:w="2730"/>
        <w:gridCol w:w="6081"/>
      </w:tblGrid>
      <w:tr w:rsidR="00E0197D" w:rsidRPr="009A0DA6" w14:paraId="42A1B306" w14:textId="77777777" w:rsidTr="00DA16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4C6F6C9F" w14:textId="77777777" w:rsidR="00E0197D" w:rsidRPr="009A0DA6" w:rsidRDefault="00E0197D" w:rsidP="007A0FE8">
            <w:pPr>
              <w:spacing w:after="120"/>
              <w:rPr>
                <w:rFonts w:ascii="Cambria" w:eastAsia="Calibri" w:hAnsi="Cambria" w:cs="Calibri"/>
                <w:b w:val="0"/>
                <w:lang w:eastAsia="en-AU" w:bidi="he-IL"/>
              </w:rPr>
            </w:pPr>
            <w:r w:rsidRPr="009A0DA6">
              <w:rPr>
                <w:rFonts w:ascii="Cambria" w:eastAsia="Calibri" w:hAnsi="Cambria" w:cs="Calibri"/>
                <w:lang w:eastAsia="en-AU" w:bidi="he-IL"/>
              </w:rPr>
              <w:t>Concern</w:t>
            </w:r>
          </w:p>
        </w:tc>
        <w:tc>
          <w:tcPr>
            <w:tcW w:w="0" w:type="auto"/>
            <w:vAlign w:val="bottom"/>
          </w:tcPr>
          <w:p w14:paraId="69A6E4BA" w14:textId="77777777" w:rsidR="00E0197D" w:rsidRPr="009A0DA6" w:rsidRDefault="00E0197D" w:rsidP="007A0FE8">
            <w:pPr>
              <w:spacing w:after="120"/>
              <w:cnfStyle w:val="100000000000" w:firstRow="1" w:lastRow="0" w:firstColumn="0" w:lastColumn="0" w:oddVBand="0" w:evenVBand="0" w:oddHBand="0" w:evenHBand="0" w:firstRowFirstColumn="0" w:firstRowLastColumn="0" w:lastRowFirstColumn="0" w:lastRowLastColumn="0"/>
              <w:rPr>
                <w:rFonts w:ascii="Cambria" w:eastAsia="Calibri" w:hAnsi="Cambria" w:cs="Calibri"/>
                <w:b w:val="0"/>
                <w:lang w:eastAsia="en-AU" w:bidi="he-IL"/>
              </w:rPr>
            </w:pPr>
            <w:r w:rsidRPr="009A0DA6">
              <w:rPr>
                <w:rFonts w:ascii="Cambria" w:eastAsia="Calibri" w:hAnsi="Cambria" w:cs="Calibri"/>
                <w:lang w:eastAsia="en-AU" w:bidi="he-IL"/>
              </w:rPr>
              <w:t>Response</w:t>
            </w:r>
          </w:p>
        </w:tc>
      </w:tr>
      <w:tr w:rsidR="00E0197D" w:rsidRPr="009A0DA6" w14:paraId="6FAA2E3E" w14:textId="77777777" w:rsidTr="00E019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5DC5E5" w14:textId="6A9170AD" w:rsidR="00E0197D" w:rsidRPr="009A0DA6" w:rsidRDefault="00E0197D" w:rsidP="00E0197D">
            <w:pPr>
              <w:spacing w:after="120"/>
              <w:rPr>
                <w:rFonts w:ascii="Cambria" w:eastAsia="Calibri" w:hAnsi="Cambria" w:cs="Calibri"/>
                <w:lang w:eastAsia="en-AU" w:bidi="he-IL"/>
              </w:rPr>
            </w:pPr>
            <w:r w:rsidRPr="009A0DA6">
              <w:rPr>
                <w:rFonts w:ascii="Cambria" w:eastAsia="Calibri" w:hAnsi="Cambria" w:cs="Calibri"/>
                <w:lang w:eastAsia="en-AU" w:bidi="he-IL"/>
              </w:rPr>
              <w:t>The loss of voice from the Districts</w:t>
            </w:r>
            <w:r w:rsidR="00CA5ECD" w:rsidRPr="009A0DA6">
              <w:rPr>
                <w:rFonts w:ascii="Cambria" w:eastAsia="Calibri" w:hAnsi="Cambria" w:cs="Calibri"/>
                <w:lang w:eastAsia="en-AU" w:bidi="he-IL"/>
              </w:rPr>
              <w:t xml:space="preserve"> in the decision-making process</w:t>
            </w:r>
          </w:p>
        </w:tc>
        <w:tc>
          <w:tcPr>
            <w:tcW w:w="0" w:type="auto"/>
          </w:tcPr>
          <w:p w14:paraId="387DBE6E" w14:textId="77777777" w:rsidR="00E0197D" w:rsidRPr="009A0DA6" w:rsidRDefault="00E0197D" w:rsidP="00E0197D">
            <w:pPr>
              <w:spacing w:after="120"/>
              <w:cnfStyle w:val="000000100000" w:firstRow="0" w:lastRow="0" w:firstColumn="0" w:lastColumn="0" w:oddVBand="0" w:evenVBand="0" w:oddHBand="1" w:evenHBand="0" w:firstRowFirstColumn="0" w:firstRowLastColumn="0" w:lastRowFirstColumn="0" w:lastRowLastColumn="0"/>
              <w:rPr>
                <w:rFonts w:ascii="Cambria" w:eastAsia="Calibri" w:hAnsi="Cambria" w:cs="Calibri"/>
                <w:lang w:eastAsia="en-AU" w:bidi="he-IL"/>
              </w:rPr>
            </w:pPr>
            <w:r w:rsidRPr="009A0DA6">
              <w:rPr>
                <w:rFonts w:ascii="Cambria" w:eastAsia="Calibri" w:hAnsi="Cambria" w:cs="Calibri"/>
                <w:lang w:eastAsia="en-AU" w:bidi="he-IL"/>
              </w:rPr>
              <w:t>As outlined above, the majority of LCA bodies haven’t had a requirement to have representation from all the Districts. The introduction of an explicit requirement for a diverse body ensures the Standing Committee on Nominations, as well as the approving body, takes this into account when appointing members. The General Church Council is clearly the most prominent body which has a membership that is largely representation based. However, the GCC doesn’t believe its effectiveness will be diminished by a move to a competency-based model, on the basis its decision-making includes processes of wide consultation and feedback when that is required.</w:t>
            </w:r>
          </w:p>
          <w:p w14:paraId="4AFF4C70" w14:textId="77777777" w:rsidR="00E0197D" w:rsidRPr="009A0DA6" w:rsidRDefault="00E0197D" w:rsidP="00E0197D">
            <w:pPr>
              <w:spacing w:after="120"/>
              <w:cnfStyle w:val="000000100000" w:firstRow="0" w:lastRow="0" w:firstColumn="0" w:lastColumn="0" w:oddVBand="0" w:evenVBand="0" w:oddHBand="1" w:evenHBand="0" w:firstRowFirstColumn="0" w:firstRowLastColumn="0" w:lastRowFirstColumn="0" w:lastRowLastColumn="0"/>
              <w:rPr>
                <w:rFonts w:ascii="Cambria" w:eastAsia="Calibri" w:hAnsi="Cambria" w:cs="Calibri"/>
                <w:lang w:eastAsia="en-AU" w:bidi="he-IL"/>
              </w:rPr>
            </w:pPr>
            <w:r w:rsidRPr="009A0DA6">
              <w:rPr>
                <w:rFonts w:ascii="Cambria" w:eastAsia="Calibri" w:hAnsi="Cambria" w:cs="Calibri"/>
                <w:lang w:eastAsia="en-AU" w:bidi="he-IL"/>
              </w:rPr>
              <w:t>Please also refer to the discussion below about the role of the College of Bishops.</w:t>
            </w:r>
          </w:p>
          <w:p w14:paraId="3F2453A8" w14:textId="77777777" w:rsidR="00E0197D" w:rsidRPr="009A0DA6" w:rsidRDefault="00E0197D" w:rsidP="00E0197D">
            <w:pPr>
              <w:spacing w:after="120"/>
              <w:cnfStyle w:val="000000100000" w:firstRow="0" w:lastRow="0" w:firstColumn="0" w:lastColumn="0" w:oddVBand="0" w:evenVBand="0" w:oddHBand="1" w:evenHBand="0" w:firstRowFirstColumn="0" w:firstRowLastColumn="0" w:lastRowFirstColumn="0" w:lastRowLastColumn="0"/>
              <w:rPr>
                <w:rFonts w:ascii="Cambria" w:eastAsia="Calibri" w:hAnsi="Cambria" w:cs="Calibri"/>
                <w:lang w:eastAsia="en-AU" w:bidi="he-IL"/>
              </w:rPr>
            </w:pPr>
            <w:r w:rsidRPr="009A0DA6">
              <w:rPr>
                <w:rFonts w:ascii="Cambria" w:eastAsia="Calibri" w:hAnsi="Cambria" w:cs="Calibri"/>
                <w:lang w:eastAsia="en-AU" w:bidi="he-IL"/>
              </w:rPr>
              <w:t xml:space="preserve">There is also a potential advantage in not emphasising a specific District-based representational model as the proposed competency-based alternative will further encourage a whole-of-church approach to decision-making, rather than addressing issues through a locally-oriented lens. </w:t>
            </w:r>
          </w:p>
        </w:tc>
      </w:tr>
      <w:tr w:rsidR="00E0197D" w:rsidRPr="009A0DA6" w14:paraId="4BA3C9EA" w14:textId="77777777" w:rsidTr="00E0197D">
        <w:tc>
          <w:tcPr>
            <w:cnfStyle w:val="001000000000" w:firstRow="0" w:lastRow="0" w:firstColumn="1" w:lastColumn="0" w:oddVBand="0" w:evenVBand="0" w:oddHBand="0" w:evenHBand="0" w:firstRowFirstColumn="0" w:firstRowLastColumn="0" w:lastRowFirstColumn="0" w:lastRowLastColumn="0"/>
            <w:tcW w:w="0" w:type="auto"/>
          </w:tcPr>
          <w:p w14:paraId="6EBCF509" w14:textId="3EB235DA" w:rsidR="00E0197D" w:rsidRPr="009A0DA6" w:rsidRDefault="00E0197D" w:rsidP="00E0197D">
            <w:pPr>
              <w:spacing w:after="120"/>
              <w:rPr>
                <w:rFonts w:ascii="Cambria" w:eastAsia="Calibri" w:hAnsi="Cambria" w:cs="Calibri"/>
                <w:lang w:eastAsia="en-AU" w:bidi="he-IL"/>
              </w:rPr>
            </w:pPr>
            <w:r w:rsidRPr="009A0DA6">
              <w:rPr>
                <w:rFonts w:ascii="Cambria" w:eastAsia="Calibri" w:hAnsi="Cambria" w:cs="Calibri"/>
                <w:lang w:eastAsia="en-AU" w:bidi="he-IL"/>
              </w:rPr>
              <w:t>The exclusion of ‘church people’ from service on boards, counc</w:t>
            </w:r>
            <w:r w:rsidR="00CA5ECD" w:rsidRPr="009A0DA6">
              <w:rPr>
                <w:rFonts w:ascii="Cambria" w:eastAsia="Calibri" w:hAnsi="Cambria" w:cs="Calibri"/>
                <w:lang w:eastAsia="en-AU" w:bidi="he-IL"/>
              </w:rPr>
              <w:t>ils, commissions and committees</w:t>
            </w:r>
          </w:p>
        </w:tc>
        <w:tc>
          <w:tcPr>
            <w:tcW w:w="0" w:type="auto"/>
          </w:tcPr>
          <w:p w14:paraId="6211457D" w14:textId="77777777" w:rsidR="00E0197D" w:rsidRPr="009A0DA6" w:rsidRDefault="00E0197D" w:rsidP="00E0197D">
            <w:pPr>
              <w:spacing w:after="120"/>
              <w:cnfStyle w:val="000000000000" w:firstRow="0" w:lastRow="0" w:firstColumn="0" w:lastColumn="0" w:oddVBand="0" w:evenVBand="0" w:oddHBand="0" w:evenHBand="0" w:firstRowFirstColumn="0" w:firstRowLastColumn="0" w:lastRowFirstColumn="0" w:lastRowLastColumn="0"/>
              <w:rPr>
                <w:rFonts w:ascii="Cambria" w:eastAsia="Calibri" w:hAnsi="Cambria" w:cs="Calibri"/>
                <w:lang w:eastAsia="en-AU" w:bidi="he-IL"/>
              </w:rPr>
            </w:pPr>
            <w:r w:rsidRPr="009A0DA6">
              <w:rPr>
                <w:rFonts w:ascii="Cambria" w:eastAsia="Calibri" w:hAnsi="Cambria" w:cs="Calibri"/>
                <w:lang w:eastAsia="en-AU" w:bidi="he-IL"/>
              </w:rPr>
              <w:t>The proposed arrangements make it quite clear that either all or the majority of the members on the LCA’s governing bodies are Voting Members of LCA congregations. It is acknowledged that this change does mean that the priority is given to ‘church people’ with the required skills, qualifications and experience, and thereby potentially excludes LCA people who have a heart for service, but not the requirements of the role. However, it is considered preferable to have the best possible group ‘around the table’ and seek input from the wider church membership as necessary and appropriate, rather than a less qualified group that needs to regularly call upon external expertise to assist in its decision-making.</w:t>
            </w:r>
          </w:p>
        </w:tc>
      </w:tr>
      <w:tr w:rsidR="00E0197D" w:rsidRPr="009A0DA6" w14:paraId="52E69B5E" w14:textId="77777777" w:rsidTr="00E019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85F95C" w14:textId="5F345714" w:rsidR="00E0197D" w:rsidRPr="009A0DA6" w:rsidRDefault="00E0197D" w:rsidP="00E0197D">
            <w:pPr>
              <w:spacing w:after="120"/>
              <w:rPr>
                <w:rFonts w:ascii="Cambria" w:eastAsia="Calibri" w:hAnsi="Cambria" w:cs="Calibri"/>
                <w:lang w:eastAsia="en-AU" w:bidi="he-IL"/>
              </w:rPr>
            </w:pPr>
            <w:r w:rsidRPr="009A0DA6">
              <w:rPr>
                <w:rFonts w:ascii="Cambria" w:eastAsia="Calibri" w:hAnsi="Cambria" w:cs="Calibri"/>
                <w:lang w:eastAsia="en-AU" w:bidi="he-IL"/>
              </w:rPr>
              <w:t xml:space="preserve">The loss of </w:t>
            </w:r>
            <w:r w:rsidR="00DB2C41" w:rsidRPr="009A0DA6">
              <w:rPr>
                <w:rFonts w:ascii="Cambria" w:eastAsia="Calibri" w:hAnsi="Cambria" w:cs="Calibri"/>
                <w:lang w:eastAsia="en-AU" w:bidi="he-IL"/>
              </w:rPr>
              <w:t>church</w:t>
            </w:r>
            <w:r w:rsidR="00CA5ECD" w:rsidRPr="009A0DA6">
              <w:rPr>
                <w:rFonts w:ascii="Cambria" w:eastAsia="Calibri" w:hAnsi="Cambria" w:cs="Calibri"/>
                <w:lang w:eastAsia="en-AU" w:bidi="he-IL"/>
              </w:rPr>
              <w:t xml:space="preserve"> identity</w:t>
            </w:r>
          </w:p>
        </w:tc>
        <w:tc>
          <w:tcPr>
            <w:tcW w:w="0" w:type="auto"/>
          </w:tcPr>
          <w:p w14:paraId="5FBC3914" w14:textId="11D6A602" w:rsidR="00E0197D" w:rsidRPr="009A0DA6" w:rsidRDefault="00E0197D" w:rsidP="00E0197D">
            <w:pPr>
              <w:spacing w:after="120"/>
              <w:cnfStyle w:val="000000100000" w:firstRow="0" w:lastRow="0" w:firstColumn="0" w:lastColumn="0" w:oddVBand="0" w:evenVBand="0" w:oddHBand="1" w:evenHBand="0" w:firstRowFirstColumn="0" w:firstRowLastColumn="0" w:lastRowFirstColumn="0" w:lastRowLastColumn="0"/>
              <w:rPr>
                <w:rFonts w:ascii="Cambria" w:eastAsia="Calibri" w:hAnsi="Cambria" w:cs="Calibri"/>
                <w:lang w:eastAsia="en-AU" w:bidi="he-IL"/>
              </w:rPr>
            </w:pPr>
            <w:r w:rsidRPr="009A0DA6">
              <w:rPr>
                <w:rFonts w:ascii="Cambria" w:eastAsia="Calibri" w:hAnsi="Cambria" w:cs="Calibri"/>
                <w:lang w:eastAsia="en-AU" w:bidi="he-IL"/>
              </w:rPr>
              <w:t xml:space="preserve">The nominations process includes a consideration of people’s motivation to stand for a position. The GCC believes it is essential that all nominees have a passion for the mission and ministry of the church. The GCC is confident that church members who possess skills, experience and qualifications, and ‘work in the outside world’ are also passionate about the </w:t>
            </w:r>
            <w:r w:rsidR="00DB2C41" w:rsidRPr="009A0DA6">
              <w:rPr>
                <w:rFonts w:ascii="Cambria" w:eastAsia="Calibri" w:hAnsi="Cambria" w:cs="Calibri"/>
                <w:lang w:eastAsia="en-AU" w:bidi="he-IL"/>
              </w:rPr>
              <w:t>church</w:t>
            </w:r>
            <w:r w:rsidRPr="009A0DA6">
              <w:rPr>
                <w:rFonts w:ascii="Cambria" w:eastAsia="Calibri" w:hAnsi="Cambria" w:cs="Calibri"/>
                <w:lang w:eastAsia="en-AU" w:bidi="he-IL"/>
              </w:rPr>
              <w:t xml:space="preserve">’s mission and will contribute in a manner that respects the ethos, teachings and purpose of the </w:t>
            </w:r>
            <w:r w:rsidR="00DB2C41" w:rsidRPr="009A0DA6">
              <w:rPr>
                <w:rFonts w:ascii="Cambria" w:eastAsia="Calibri" w:hAnsi="Cambria" w:cs="Calibri"/>
                <w:lang w:eastAsia="en-AU" w:bidi="he-IL"/>
              </w:rPr>
              <w:t>church</w:t>
            </w:r>
            <w:r w:rsidR="0027799A" w:rsidRPr="009A0DA6">
              <w:rPr>
                <w:rFonts w:ascii="Cambria" w:eastAsia="Calibri" w:hAnsi="Cambria" w:cs="Calibri"/>
                <w:lang w:eastAsia="en-AU" w:bidi="he-IL"/>
              </w:rPr>
              <w:t xml:space="preserve">. </w:t>
            </w:r>
          </w:p>
        </w:tc>
      </w:tr>
    </w:tbl>
    <w:p w14:paraId="73E33C96" w14:textId="77777777" w:rsidR="00E0197D" w:rsidRPr="009A0DA6" w:rsidRDefault="00E0197D" w:rsidP="00E0197D">
      <w:pPr>
        <w:spacing w:after="120" w:line="240" w:lineRule="auto"/>
        <w:rPr>
          <w:rFonts w:ascii="Cambria" w:eastAsia="Calibri" w:hAnsi="Cambria" w:cs="Calibri"/>
          <w:lang w:eastAsia="en-AU" w:bidi="he-IL"/>
        </w:rPr>
      </w:pPr>
    </w:p>
    <w:p w14:paraId="6F9845B8" w14:textId="5664691D" w:rsidR="00E0197D" w:rsidRPr="009A0DA6" w:rsidRDefault="00E0197D" w:rsidP="00E0197D">
      <w:pPr>
        <w:spacing w:after="120" w:line="240" w:lineRule="auto"/>
        <w:rPr>
          <w:rFonts w:ascii="Cambria" w:eastAsia="Calibri" w:hAnsi="Cambria" w:cs="Calibri"/>
          <w:i/>
          <w:lang w:eastAsia="en-AU" w:bidi="he-IL"/>
        </w:rPr>
      </w:pPr>
      <w:r w:rsidRPr="009A0DA6">
        <w:rPr>
          <w:rFonts w:ascii="Cambria" w:eastAsia="Calibri" w:hAnsi="Cambria" w:cs="Calibri"/>
          <w:i/>
          <w:lang w:eastAsia="en-AU" w:bidi="he-IL"/>
        </w:rPr>
        <w:t>Membership size</w:t>
      </w:r>
    </w:p>
    <w:p w14:paraId="3FB78E2B" w14:textId="7D8CA97B" w:rsidR="00E0197D" w:rsidRPr="009A0DA6" w:rsidRDefault="00E0197D" w:rsidP="00E0197D">
      <w:pPr>
        <w:spacing w:after="120" w:line="240" w:lineRule="auto"/>
        <w:rPr>
          <w:rFonts w:ascii="Cambria" w:eastAsia="Calibri" w:hAnsi="Cambria" w:cs="Calibri"/>
          <w:lang w:eastAsia="en-AU" w:bidi="he-IL"/>
        </w:rPr>
      </w:pPr>
      <w:r w:rsidRPr="009A0DA6">
        <w:rPr>
          <w:rFonts w:ascii="Cambria" w:eastAsia="Calibri" w:hAnsi="Cambria" w:cs="Calibri"/>
          <w:lang w:eastAsia="en-AU" w:bidi="he-IL"/>
        </w:rPr>
        <w:t xml:space="preserve">The proposed approach outlined in 2015 also signalled an intention to limit the number of members on any given body (nine for the GCC and seven for most other bodies, plus consultants/advisors). </w:t>
      </w:r>
    </w:p>
    <w:p w14:paraId="7FD5D7DE" w14:textId="20A26F96" w:rsidR="00E0197D" w:rsidRPr="009A0DA6" w:rsidRDefault="00E0197D" w:rsidP="00E0197D">
      <w:pPr>
        <w:shd w:val="clear" w:color="auto" w:fill="FFFFFF"/>
        <w:spacing w:line="240" w:lineRule="auto"/>
        <w:rPr>
          <w:rFonts w:ascii="Cambria" w:hAnsi="Cambria" w:cs="Arial"/>
          <w:color w:val="222222"/>
          <w:shd w:val="clear" w:color="auto" w:fill="FFFFFF"/>
        </w:rPr>
      </w:pPr>
      <w:r w:rsidRPr="009A0DA6">
        <w:rPr>
          <w:rFonts w:ascii="Cambria" w:hAnsi="Cambria" w:cs="Arial"/>
          <w:color w:val="222222"/>
          <w:shd w:val="clear" w:color="auto" w:fill="FFFFFF"/>
        </w:rPr>
        <w:lastRenderedPageBreak/>
        <w:t xml:space="preserve">During the trial period the </w:t>
      </w:r>
      <w:r w:rsidR="006862AD" w:rsidRPr="009A0DA6">
        <w:rPr>
          <w:rFonts w:ascii="Cambria" w:hAnsi="Cambria" w:cs="Arial"/>
          <w:color w:val="222222"/>
          <w:shd w:val="clear" w:color="auto" w:fill="FFFFFF"/>
        </w:rPr>
        <w:t>boards</w:t>
      </w:r>
      <w:r w:rsidRPr="009A0DA6">
        <w:rPr>
          <w:rFonts w:ascii="Cambria" w:hAnsi="Cambria" w:cs="Arial"/>
          <w:color w:val="222222"/>
          <w:shd w:val="clear" w:color="auto" w:fill="FFFFFF"/>
        </w:rPr>
        <w:t xml:space="preserve">, </w:t>
      </w:r>
      <w:r w:rsidR="006862AD" w:rsidRPr="009A0DA6">
        <w:rPr>
          <w:rFonts w:ascii="Cambria" w:hAnsi="Cambria" w:cs="Arial"/>
          <w:color w:val="222222"/>
          <w:shd w:val="clear" w:color="auto" w:fill="FFFFFF"/>
        </w:rPr>
        <w:t>councils</w:t>
      </w:r>
      <w:r w:rsidRPr="009A0DA6">
        <w:rPr>
          <w:rFonts w:ascii="Cambria" w:hAnsi="Cambria" w:cs="Arial"/>
          <w:color w:val="222222"/>
          <w:shd w:val="clear" w:color="auto" w:fill="FFFFFF"/>
        </w:rPr>
        <w:t xml:space="preserve">, </w:t>
      </w:r>
      <w:r w:rsidR="006862AD" w:rsidRPr="009A0DA6">
        <w:rPr>
          <w:rFonts w:ascii="Cambria" w:hAnsi="Cambria" w:cs="Arial"/>
          <w:color w:val="222222"/>
          <w:shd w:val="clear" w:color="auto" w:fill="FFFFFF"/>
        </w:rPr>
        <w:t>commissions</w:t>
      </w:r>
      <w:r w:rsidRPr="009A0DA6">
        <w:rPr>
          <w:rFonts w:ascii="Cambria" w:hAnsi="Cambria" w:cs="Arial"/>
          <w:color w:val="222222"/>
          <w:shd w:val="clear" w:color="auto" w:fill="FFFFFF"/>
        </w:rPr>
        <w:t xml:space="preserve"> and </w:t>
      </w:r>
      <w:r w:rsidR="006862AD" w:rsidRPr="009A0DA6">
        <w:rPr>
          <w:rFonts w:ascii="Cambria" w:hAnsi="Cambria" w:cs="Arial"/>
          <w:color w:val="222222"/>
          <w:shd w:val="clear" w:color="auto" w:fill="FFFFFF"/>
        </w:rPr>
        <w:t>committees</w:t>
      </w:r>
      <w:r w:rsidRPr="009A0DA6">
        <w:rPr>
          <w:rFonts w:ascii="Cambria" w:hAnsi="Cambria" w:cs="Arial"/>
          <w:color w:val="222222"/>
          <w:shd w:val="clear" w:color="auto" w:fill="FFFFFF"/>
        </w:rPr>
        <w:t xml:space="preserve"> operated, where feasible to do so, with a maximum membership of seven people and no more than two advisors/consultants. The GCC satisfied itself that this reflects good governance practice, and is a reasonable maximum that provides enough voices around the table to effect good decision-making and advice provision.</w:t>
      </w:r>
    </w:p>
    <w:p w14:paraId="49C74E18" w14:textId="77777777" w:rsidR="00E0197D" w:rsidRPr="009A0DA6" w:rsidRDefault="00E0197D" w:rsidP="00E0197D">
      <w:pPr>
        <w:shd w:val="clear" w:color="auto" w:fill="FFFFFF"/>
        <w:spacing w:line="240" w:lineRule="auto"/>
        <w:rPr>
          <w:rFonts w:ascii="Cambria" w:hAnsi="Cambria" w:cs="Arial"/>
          <w:color w:val="222222"/>
          <w:shd w:val="clear" w:color="auto" w:fill="FFFFFF"/>
        </w:rPr>
      </w:pPr>
      <w:r w:rsidRPr="009A0DA6">
        <w:rPr>
          <w:rFonts w:ascii="Cambria" w:hAnsi="Cambria" w:cs="Arial"/>
          <w:color w:val="222222"/>
          <w:shd w:val="clear" w:color="auto" w:fill="FFFFFF"/>
        </w:rPr>
        <w:t xml:space="preserve">In regard to the GCC it is proposed that its membership is reduced from 14 to nine. This will largely be achieved by the removal of the requirement for four district bishops (SA/NT; Qld; NSW/ACT; Vic/Tas) to serve on the GCC. </w:t>
      </w:r>
    </w:p>
    <w:p w14:paraId="7E0BBEAA" w14:textId="21DEB721" w:rsidR="00E0197D" w:rsidRPr="009A0DA6" w:rsidRDefault="00E0197D" w:rsidP="00E0197D">
      <w:pPr>
        <w:shd w:val="clear" w:color="auto" w:fill="FFFFFF"/>
        <w:spacing w:line="240" w:lineRule="auto"/>
        <w:rPr>
          <w:rFonts w:ascii="Cambria" w:hAnsi="Cambria" w:cs="Arial"/>
          <w:color w:val="222222"/>
          <w:shd w:val="clear" w:color="auto" w:fill="FFFFFF"/>
        </w:rPr>
      </w:pPr>
      <w:r w:rsidRPr="009A0DA6">
        <w:rPr>
          <w:rFonts w:ascii="Cambria" w:hAnsi="Cambria" w:cs="Arial"/>
          <w:color w:val="222222"/>
          <w:shd w:val="clear" w:color="auto" w:fill="FFFFFF"/>
        </w:rPr>
        <w:t>The recommended reduction is based on the following reasons, notwithstanding this change was not trialled:</w:t>
      </w:r>
    </w:p>
    <w:p w14:paraId="239E78B2" w14:textId="5BAF6C89" w:rsidR="00E0197D" w:rsidRPr="009A0DA6" w:rsidRDefault="00E0197D" w:rsidP="00F55252">
      <w:pPr>
        <w:pStyle w:val="ListParagraph"/>
        <w:numPr>
          <w:ilvl w:val="0"/>
          <w:numId w:val="85"/>
        </w:numPr>
        <w:shd w:val="clear" w:color="auto" w:fill="FFFFFF"/>
        <w:spacing w:after="200" w:line="240" w:lineRule="auto"/>
        <w:ind w:left="567" w:hanging="567"/>
        <w:rPr>
          <w:rFonts w:ascii="Cambria" w:hAnsi="Cambria" w:cs="Arial"/>
          <w:color w:val="222222"/>
          <w:shd w:val="clear" w:color="auto" w:fill="FFFFFF"/>
        </w:rPr>
      </w:pPr>
      <w:r w:rsidRPr="009A0DA6">
        <w:rPr>
          <w:rFonts w:ascii="Cambria" w:hAnsi="Cambria" w:cs="Arial"/>
          <w:color w:val="222222"/>
          <w:shd w:val="clear" w:color="auto" w:fill="FFFFFF"/>
        </w:rPr>
        <w:t xml:space="preserve">The College of Bishops has established itself over the past </w:t>
      </w:r>
      <w:r w:rsidR="00CA5ECD" w:rsidRPr="009A0DA6">
        <w:rPr>
          <w:rFonts w:ascii="Cambria" w:hAnsi="Cambria" w:cs="Arial"/>
          <w:color w:val="222222"/>
          <w:shd w:val="clear" w:color="auto" w:fill="FFFFFF"/>
        </w:rPr>
        <w:t>20</w:t>
      </w:r>
      <w:r w:rsidRPr="009A0DA6">
        <w:rPr>
          <w:rFonts w:ascii="Cambria" w:hAnsi="Cambria" w:cs="Arial"/>
          <w:color w:val="222222"/>
          <w:shd w:val="clear" w:color="auto" w:fill="FFFFFF"/>
        </w:rPr>
        <w:t xml:space="preserve"> years as a key advisor to the General Church Council. It reports to the GCC, recommends action, and makes decisions on matters delegated to it by the GCC. It would continue to influence the work and decision-making of the GCC without the Bishops having to be so strongly represented on the GCC.</w:t>
      </w:r>
    </w:p>
    <w:p w14:paraId="1188FEBD" w14:textId="77777777" w:rsidR="00E0197D" w:rsidRPr="009A0DA6" w:rsidRDefault="00E0197D" w:rsidP="00E0197D">
      <w:pPr>
        <w:shd w:val="clear" w:color="auto" w:fill="FFFFFF"/>
        <w:spacing w:line="240" w:lineRule="auto"/>
        <w:ind w:left="567"/>
        <w:rPr>
          <w:rFonts w:ascii="Cambria" w:hAnsi="Cambria" w:cs="Arial"/>
          <w:color w:val="222222"/>
          <w:shd w:val="clear" w:color="auto" w:fill="FFFFFF"/>
        </w:rPr>
      </w:pPr>
      <w:r w:rsidRPr="009A0DA6">
        <w:rPr>
          <w:rFonts w:ascii="Cambria" w:hAnsi="Cambria" w:cs="Arial"/>
          <w:color w:val="222222"/>
          <w:shd w:val="clear" w:color="auto" w:fill="FFFFFF"/>
        </w:rPr>
        <w:t>The proposed change also acknowledges the increased workload of the College of Bishops over recent years. It will mean the District Bishops aren’t required to take on this additional governance responsibility, minimises duplication of effort when issues raised at College of Bishops are discussed again at the GCC, and provides them with more time to focus on their other leadership tasks. The proposed model doesn’t, however, preclude a District Bishop to stand as the third pastor on the GCC.</w:t>
      </w:r>
    </w:p>
    <w:p w14:paraId="4FA1435E" w14:textId="77777777" w:rsidR="00E0197D" w:rsidRPr="009A0DA6" w:rsidRDefault="00E0197D" w:rsidP="00F55252">
      <w:pPr>
        <w:pStyle w:val="ListParagraph"/>
        <w:numPr>
          <w:ilvl w:val="0"/>
          <w:numId w:val="85"/>
        </w:numPr>
        <w:shd w:val="clear" w:color="auto" w:fill="FFFFFF"/>
        <w:spacing w:after="200" w:line="240" w:lineRule="auto"/>
        <w:ind w:left="567" w:hanging="567"/>
        <w:rPr>
          <w:rFonts w:ascii="Cambria" w:hAnsi="Cambria" w:cs="Arial"/>
          <w:color w:val="222222"/>
          <w:shd w:val="clear" w:color="auto" w:fill="FFFFFF"/>
        </w:rPr>
      </w:pPr>
      <w:r w:rsidRPr="009A0DA6">
        <w:rPr>
          <w:rFonts w:ascii="Cambria" w:hAnsi="Cambria" w:cs="Arial"/>
          <w:color w:val="222222"/>
          <w:shd w:val="clear" w:color="auto" w:fill="FFFFFF"/>
        </w:rPr>
        <w:t>The proposed mix of three pastors and six lay members mirrors the delegate representation at the General Convention of Synod, namely: one-third pastors and two-third lay persons.</w:t>
      </w:r>
    </w:p>
    <w:p w14:paraId="78A25B84" w14:textId="77777777" w:rsidR="00E0197D" w:rsidRPr="009A0DA6" w:rsidRDefault="00E0197D" w:rsidP="00E0197D">
      <w:pPr>
        <w:pStyle w:val="ListParagraph"/>
        <w:shd w:val="clear" w:color="auto" w:fill="FFFFFF"/>
        <w:spacing w:line="240" w:lineRule="auto"/>
        <w:ind w:left="567" w:hanging="567"/>
        <w:rPr>
          <w:rFonts w:ascii="Cambria" w:hAnsi="Cambria" w:cs="Arial"/>
          <w:color w:val="222222"/>
          <w:shd w:val="clear" w:color="auto" w:fill="FFFFFF"/>
        </w:rPr>
      </w:pPr>
    </w:p>
    <w:p w14:paraId="079DC627" w14:textId="77777777" w:rsidR="00E0197D" w:rsidRPr="009A0DA6" w:rsidRDefault="00E0197D" w:rsidP="00F55252">
      <w:pPr>
        <w:pStyle w:val="ListParagraph"/>
        <w:numPr>
          <w:ilvl w:val="0"/>
          <w:numId w:val="85"/>
        </w:numPr>
        <w:shd w:val="clear" w:color="auto" w:fill="FFFFFF"/>
        <w:spacing w:after="200" w:line="240" w:lineRule="auto"/>
        <w:ind w:left="567" w:hanging="567"/>
        <w:rPr>
          <w:rFonts w:ascii="Cambria" w:hAnsi="Cambria" w:cs="Arial"/>
          <w:color w:val="222222"/>
          <w:shd w:val="clear" w:color="auto" w:fill="FFFFFF"/>
        </w:rPr>
      </w:pPr>
      <w:r w:rsidRPr="009A0DA6">
        <w:rPr>
          <w:rFonts w:ascii="Cambria" w:hAnsi="Cambria" w:cs="Arial"/>
          <w:color w:val="222222"/>
          <w:shd w:val="clear" w:color="auto" w:fill="FFFFFF"/>
        </w:rPr>
        <w:t xml:space="preserve">The GCC has noted the reduction in membership numbers on both the NSW and SA/NT DCCs, approved by their respective Synods. </w:t>
      </w:r>
    </w:p>
    <w:p w14:paraId="4AC7688F" w14:textId="77777777" w:rsidR="00E0197D" w:rsidRPr="009A0DA6" w:rsidRDefault="00E0197D" w:rsidP="00E0197D">
      <w:pPr>
        <w:pStyle w:val="NoSpacing"/>
        <w:rPr>
          <w:b/>
          <w:shd w:val="clear" w:color="auto" w:fill="FFFFFF"/>
        </w:rPr>
      </w:pPr>
      <w:r w:rsidRPr="009A0DA6">
        <w:rPr>
          <w:b/>
          <w:shd w:val="clear" w:color="auto" w:fill="FFFFFF"/>
        </w:rPr>
        <w:t>Appointment and Election</w:t>
      </w:r>
    </w:p>
    <w:p w14:paraId="5F031E19" w14:textId="77777777" w:rsidR="00E0197D" w:rsidRPr="009A0DA6" w:rsidRDefault="00E0197D" w:rsidP="00E0197D">
      <w:pPr>
        <w:spacing w:after="120" w:line="240" w:lineRule="auto"/>
        <w:rPr>
          <w:rFonts w:ascii="Cambria" w:eastAsia="Calibri" w:hAnsi="Cambria" w:cs="Calibri"/>
          <w:lang w:eastAsia="en-AU" w:bidi="he-IL"/>
        </w:rPr>
      </w:pPr>
      <w:r w:rsidRPr="009A0DA6">
        <w:rPr>
          <w:rFonts w:ascii="Cambria" w:eastAsia="Calibri" w:hAnsi="Cambria" w:cs="Calibri"/>
          <w:i/>
          <w:lang w:eastAsia="en-AU" w:bidi="he-IL"/>
        </w:rPr>
        <w:t>Mode of Appointment</w:t>
      </w:r>
    </w:p>
    <w:p w14:paraId="15A6915B" w14:textId="139DC1C7" w:rsidR="00E0197D" w:rsidRPr="009A0DA6" w:rsidRDefault="00E0197D" w:rsidP="00E0197D">
      <w:pPr>
        <w:spacing w:after="120" w:line="240" w:lineRule="auto"/>
        <w:rPr>
          <w:rFonts w:ascii="Cambria" w:eastAsia="Calibri" w:hAnsi="Cambria" w:cs="Calibri"/>
          <w:lang w:eastAsia="en-AU" w:bidi="he-IL"/>
        </w:rPr>
      </w:pPr>
      <w:r w:rsidRPr="009A0DA6">
        <w:rPr>
          <w:rFonts w:ascii="Cambria" w:eastAsia="Calibri" w:hAnsi="Cambria" w:cs="Calibri"/>
          <w:lang w:eastAsia="en-AU" w:bidi="he-IL"/>
        </w:rPr>
        <w:t>It is relevant to note that there is no consistent approach to the election and/or appointment of members to the LCA’s various governing bodies. The current involvement of the General Synod in the election of members to these bodies varies from none (eg</w:t>
      </w:r>
      <w:r w:rsidR="00CA5ECD" w:rsidRPr="009A0DA6">
        <w:rPr>
          <w:rFonts w:ascii="Cambria" w:eastAsia="Calibri" w:hAnsi="Cambria" w:cs="Calibri"/>
          <w:lang w:eastAsia="en-AU" w:bidi="he-IL"/>
        </w:rPr>
        <w:t xml:space="preserve"> Board</w:t>
      </w:r>
      <w:r w:rsidRPr="009A0DA6">
        <w:rPr>
          <w:rFonts w:ascii="Cambria" w:eastAsia="Calibri" w:hAnsi="Cambria" w:cs="Calibri"/>
          <w:lang w:eastAsia="en-AU" w:bidi="he-IL"/>
        </w:rPr>
        <w:t xml:space="preserve"> for Support of Pastoral Ministry; and </w:t>
      </w:r>
      <w:r w:rsidR="00CA5ECD" w:rsidRPr="009A0DA6">
        <w:rPr>
          <w:rFonts w:ascii="Cambria" w:eastAsia="Calibri" w:hAnsi="Cambria" w:cs="Calibri"/>
          <w:lang w:eastAsia="en-AU" w:bidi="he-IL"/>
        </w:rPr>
        <w:t xml:space="preserve">Board for </w:t>
      </w:r>
      <w:r w:rsidRPr="009A0DA6">
        <w:rPr>
          <w:rFonts w:ascii="Cambria" w:eastAsia="Calibri" w:hAnsi="Cambria" w:cs="Calibri"/>
          <w:lang w:eastAsia="en-AU" w:bidi="he-IL"/>
        </w:rPr>
        <w:t>Children, Youth and Family Ministry) to between two and four for the majority of the others. The rest of the appointments are made by the GCC.</w:t>
      </w:r>
    </w:p>
    <w:p w14:paraId="32231598" w14:textId="77777777" w:rsidR="00E0197D" w:rsidRPr="009A0DA6" w:rsidRDefault="00E0197D" w:rsidP="00E0197D">
      <w:pPr>
        <w:spacing w:after="120" w:line="240" w:lineRule="auto"/>
        <w:rPr>
          <w:rFonts w:ascii="Cambria" w:eastAsia="Calibri" w:hAnsi="Cambria" w:cs="Calibri"/>
          <w:lang w:eastAsia="en-AU" w:bidi="he-IL"/>
        </w:rPr>
      </w:pPr>
      <w:r w:rsidRPr="009A0DA6">
        <w:rPr>
          <w:rFonts w:ascii="Cambria" w:eastAsia="Calibri" w:hAnsi="Cambria" w:cs="Calibri"/>
          <w:lang w:eastAsia="en-AU" w:bidi="he-IL"/>
        </w:rPr>
        <w:t>The intention of this proposal is to introduce, as far as is considered practicable, a consistent approach to all elections and appointments.</w:t>
      </w:r>
    </w:p>
    <w:p w14:paraId="07003147" w14:textId="77777777" w:rsidR="00E0197D" w:rsidRPr="009A0DA6" w:rsidRDefault="00E0197D" w:rsidP="00E0197D">
      <w:pPr>
        <w:spacing w:after="120" w:line="240" w:lineRule="auto"/>
        <w:rPr>
          <w:rFonts w:ascii="Cambria" w:eastAsia="Calibri" w:hAnsi="Cambria" w:cs="Calibri"/>
          <w:lang w:eastAsia="en-AU" w:bidi="he-IL"/>
        </w:rPr>
      </w:pPr>
      <w:r w:rsidRPr="009A0DA6">
        <w:rPr>
          <w:rFonts w:ascii="Cambria" w:eastAsia="Calibri" w:hAnsi="Cambria" w:cs="Calibri"/>
          <w:lang w:eastAsia="en-AU" w:bidi="he-IL"/>
        </w:rPr>
        <w:t xml:space="preserve">The 2015 ‘reason for proposal’ indicated that GCC would in the future be the only body elected by the General Convention of Synod. </w:t>
      </w:r>
    </w:p>
    <w:p w14:paraId="2D6F2817" w14:textId="61105C95" w:rsidR="00E0197D" w:rsidRPr="009A0DA6" w:rsidRDefault="00E0197D" w:rsidP="00E0197D">
      <w:pPr>
        <w:spacing w:after="120" w:line="240" w:lineRule="auto"/>
        <w:rPr>
          <w:rFonts w:ascii="Cambria" w:eastAsia="Calibri" w:hAnsi="Cambria" w:cs="Calibri"/>
          <w:lang w:eastAsia="en-AU" w:bidi="he-IL"/>
        </w:rPr>
      </w:pPr>
      <w:r w:rsidRPr="009A0DA6">
        <w:rPr>
          <w:rFonts w:ascii="Cambria" w:eastAsia="Calibri" w:hAnsi="Cambria" w:cs="Calibri"/>
          <w:lang w:eastAsia="en-AU" w:bidi="he-IL"/>
        </w:rPr>
        <w:t>The GCC is now formally recommending this change because this body is the primary decision-making body accountable to the General Synod, and also carries the formal legal responsibility for LCA Inc. It is therefore considered to be appropriate that the entire membership is elected by the General Synod, instead of the current only two positions</w:t>
      </w:r>
      <w:r w:rsidR="0027799A" w:rsidRPr="009A0DA6">
        <w:rPr>
          <w:rFonts w:ascii="Cambria" w:eastAsia="Calibri" w:hAnsi="Cambria" w:cs="Calibri"/>
          <w:lang w:eastAsia="en-AU" w:bidi="he-IL"/>
        </w:rPr>
        <w:t xml:space="preserve">. </w:t>
      </w:r>
    </w:p>
    <w:p w14:paraId="1C61D625" w14:textId="7D8C4123" w:rsidR="00E0197D" w:rsidRPr="009A0DA6" w:rsidRDefault="00E0197D" w:rsidP="00E0197D">
      <w:pPr>
        <w:spacing w:after="120" w:line="240" w:lineRule="auto"/>
        <w:rPr>
          <w:rFonts w:ascii="Cambria" w:eastAsia="Calibri" w:hAnsi="Cambria" w:cs="Calibri"/>
          <w:lang w:eastAsia="en-AU" w:bidi="he-IL"/>
        </w:rPr>
      </w:pPr>
      <w:r w:rsidRPr="009A0DA6">
        <w:rPr>
          <w:rFonts w:ascii="Cambria" w:eastAsia="Calibri" w:hAnsi="Cambria" w:cs="Calibri"/>
          <w:lang w:eastAsia="en-AU" w:bidi="he-IL"/>
        </w:rPr>
        <w:t>The membership appointments to all other entities would be by the</w:t>
      </w:r>
      <w:r w:rsidR="00CA5ECD" w:rsidRPr="009A0DA6">
        <w:rPr>
          <w:rFonts w:ascii="Cambria" w:eastAsia="Calibri" w:hAnsi="Cambria" w:cs="Calibri"/>
          <w:lang w:eastAsia="en-AU" w:bidi="he-IL"/>
        </w:rPr>
        <w:t xml:space="preserve"> GCC, or the relevant board or c</w:t>
      </w:r>
      <w:r w:rsidRPr="009A0DA6">
        <w:rPr>
          <w:rFonts w:ascii="Cambria" w:eastAsia="Calibri" w:hAnsi="Cambria" w:cs="Calibri"/>
          <w:lang w:eastAsia="en-AU" w:bidi="he-IL"/>
        </w:rPr>
        <w:t>ouncil.</w:t>
      </w:r>
    </w:p>
    <w:p w14:paraId="70611079" w14:textId="1D7CCFFE" w:rsidR="00E0197D" w:rsidRPr="009A0DA6" w:rsidRDefault="00E0197D" w:rsidP="00E0197D">
      <w:pPr>
        <w:spacing w:after="120" w:line="240" w:lineRule="auto"/>
        <w:rPr>
          <w:rFonts w:ascii="Cambria" w:eastAsia="Calibri" w:hAnsi="Cambria"/>
          <w:lang w:eastAsia="ar-SA"/>
        </w:rPr>
      </w:pPr>
      <w:r w:rsidRPr="009A0DA6">
        <w:rPr>
          <w:rFonts w:ascii="Cambria" w:eastAsia="Calibri" w:hAnsi="Cambria" w:cs="Calibri"/>
          <w:lang w:eastAsia="en-AU" w:bidi="he-IL"/>
        </w:rPr>
        <w:t xml:space="preserve">This approach is proposed because it provides for a greater prospect of achieving well-balanced bodies through an appointment process rather than an election process. It has often been commented that delegates find it difficult to make informed decisions when voting in elections because of the limited information available to them about individual candidates </w:t>
      </w:r>
      <w:r w:rsidRPr="009A0DA6">
        <w:rPr>
          <w:rFonts w:ascii="Cambria" w:eastAsia="Calibri" w:hAnsi="Cambria" w:cs="Calibri"/>
          <w:lang w:eastAsia="en-AU" w:bidi="he-IL"/>
        </w:rPr>
        <w:lastRenderedPageBreak/>
        <w:t>and, just as importantly, being able to assess the overall make-up of the body such that it collectively is equipped to fulfil its role and responsibilities</w:t>
      </w:r>
      <w:r w:rsidR="0027799A" w:rsidRPr="009A0DA6">
        <w:rPr>
          <w:rFonts w:ascii="Cambria" w:eastAsia="Calibri" w:hAnsi="Cambria" w:cs="Calibri"/>
          <w:lang w:eastAsia="en-AU" w:bidi="he-IL"/>
        </w:rPr>
        <w:t xml:space="preserve">. </w:t>
      </w:r>
      <w:r w:rsidRPr="009A0DA6">
        <w:rPr>
          <w:rFonts w:ascii="Cambria" w:eastAsia="Calibri" w:hAnsi="Cambria" w:cs="Calibri"/>
          <w:lang w:eastAsia="en-AU" w:bidi="he-IL"/>
        </w:rPr>
        <w:t xml:space="preserve">  </w:t>
      </w:r>
    </w:p>
    <w:p w14:paraId="56C1D34A" w14:textId="737161AB" w:rsidR="00E0197D" w:rsidRPr="009A0DA6" w:rsidRDefault="00E0197D" w:rsidP="00E0197D">
      <w:pPr>
        <w:spacing w:after="120" w:line="240" w:lineRule="auto"/>
        <w:rPr>
          <w:rFonts w:ascii="Cambria" w:eastAsia="Calibri" w:hAnsi="Cambria" w:cs="Calibri"/>
          <w:lang w:eastAsia="en-AU" w:bidi="he-IL"/>
        </w:rPr>
      </w:pPr>
      <w:r w:rsidRPr="009A0DA6">
        <w:rPr>
          <w:rFonts w:ascii="Cambria" w:eastAsia="Calibri" w:hAnsi="Cambria" w:cs="Calibri"/>
          <w:lang w:eastAsia="en-AU" w:bidi="he-IL"/>
        </w:rPr>
        <w:t xml:space="preserve">It is also important to </w:t>
      </w:r>
      <w:r w:rsidR="00CA5ECD" w:rsidRPr="009A0DA6">
        <w:rPr>
          <w:rFonts w:ascii="Cambria" w:eastAsia="Calibri" w:hAnsi="Cambria" w:cs="Calibri"/>
          <w:lang w:eastAsia="en-AU" w:bidi="he-IL"/>
        </w:rPr>
        <w:t>note that any appointment to a board, council, commission or co</w:t>
      </w:r>
      <w:r w:rsidRPr="009A0DA6">
        <w:rPr>
          <w:rFonts w:ascii="Cambria" w:eastAsia="Calibri" w:hAnsi="Cambria" w:cs="Calibri"/>
          <w:lang w:eastAsia="en-AU" w:bidi="he-IL"/>
        </w:rPr>
        <w:t>mmittee must be on re</w:t>
      </w:r>
      <w:r w:rsidR="00CA5ECD" w:rsidRPr="009A0DA6">
        <w:rPr>
          <w:rFonts w:ascii="Cambria" w:eastAsia="Calibri" w:hAnsi="Cambria" w:cs="Calibri"/>
          <w:lang w:eastAsia="en-AU" w:bidi="he-IL"/>
        </w:rPr>
        <w:t>commendation of the SCoN. This c</w:t>
      </w:r>
      <w:r w:rsidRPr="009A0DA6">
        <w:rPr>
          <w:rFonts w:ascii="Cambria" w:eastAsia="Calibri" w:hAnsi="Cambria" w:cs="Calibri"/>
          <w:lang w:eastAsia="en-AU" w:bidi="he-IL"/>
        </w:rPr>
        <w:t xml:space="preserve">ommittee, re-structured by resolution of the 2015 Convention of Synod, works with the </w:t>
      </w:r>
      <w:r w:rsidR="006862AD" w:rsidRPr="009A0DA6">
        <w:rPr>
          <w:rFonts w:ascii="Cambria" w:eastAsia="Calibri" w:hAnsi="Cambria" w:cs="Calibri"/>
          <w:lang w:eastAsia="en-AU" w:bidi="he-IL"/>
        </w:rPr>
        <w:t>boards</w:t>
      </w:r>
      <w:r w:rsidRPr="009A0DA6">
        <w:rPr>
          <w:rFonts w:ascii="Cambria" w:eastAsia="Calibri" w:hAnsi="Cambria" w:cs="Calibri"/>
          <w:lang w:eastAsia="en-AU" w:bidi="he-IL"/>
        </w:rPr>
        <w:t xml:space="preserve">, </w:t>
      </w:r>
      <w:r w:rsidR="006862AD" w:rsidRPr="009A0DA6">
        <w:rPr>
          <w:rFonts w:ascii="Cambria" w:eastAsia="Calibri" w:hAnsi="Cambria" w:cs="Calibri"/>
          <w:lang w:eastAsia="en-AU" w:bidi="he-IL"/>
        </w:rPr>
        <w:t>councils</w:t>
      </w:r>
      <w:r w:rsidRPr="009A0DA6">
        <w:rPr>
          <w:rFonts w:ascii="Cambria" w:eastAsia="Calibri" w:hAnsi="Cambria" w:cs="Calibri"/>
          <w:lang w:eastAsia="en-AU" w:bidi="he-IL"/>
        </w:rPr>
        <w:t xml:space="preserve">, </w:t>
      </w:r>
      <w:r w:rsidR="006862AD" w:rsidRPr="009A0DA6">
        <w:rPr>
          <w:rFonts w:ascii="Cambria" w:eastAsia="Calibri" w:hAnsi="Cambria" w:cs="Calibri"/>
          <w:lang w:eastAsia="en-AU" w:bidi="he-IL"/>
        </w:rPr>
        <w:t>commissions</w:t>
      </w:r>
      <w:r w:rsidRPr="009A0DA6">
        <w:rPr>
          <w:rFonts w:ascii="Cambria" w:eastAsia="Calibri" w:hAnsi="Cambria" w:cs="Calibri"/>
          <w:lang w:eastAsia="en-AU" w:bidi="he-IL"/>
        </w:rPr>
        <w:t xml:space="preserve"> and </w:t>
      </w:r>
      <w:r w:rsidR="006862AD" w:rsidRPr="009A0DA6">
        <w:rPr>
          <w:rFonts w:ascii="Cambria" w:eastAsia="Calibri" w:hAnsi="Cambria" w:cs="Calibri"/>
          <w:lang w:eastAsia="en-AU" w:bidi="he-IL"/>
        </w:rPr>
        <w:t>committees</w:t>
      </w:r>
      <w:r w:rsidRPr="009A0DA6">
        <w:rPr>
          <w:rFonts w:ascii="Cambria" w:eastAsia="Calibri" w:hAnsi="Cambria" w:cs="Calibri"/>
          <w:lang w:eastAsia="en-AU" w:bidi="he-IL"/>
        </w:rPr>
        <w:t xml:space="preserve"> to identify with them their needs, receive and vet nominations, and make recommendations to the approving body (in GCC’s case the approving body would be the General Synod).</w:t>
      </w:r>
    </w:p>
    <w:p w14:paraId="64D395EC" w14:textId="0A511D46" w:rsidR="00E0197D" w:rsidRPr="009A0DA6" w:rsidRDefault="00E0197D" w:rsidP="00E0197D">
      <w:pPr>
        <w:spacing w:after="120" w:line="240" w:lineRule="auto"/>
        <w:rPr>
          <w:rFonts w:ascii="Cambria" w:eastAsia="Calibri" w:hAnsi="Cambria" w:cs="Calibri"/>
          <w:lang w:eastAsia="en-AU" w:bidi="he-IL"/>
        </w:rPr>
      </w:pPr>
      <w:r w:rsidRPr="009A0DA6">
        <w:rPr>
          <w:rFonts w:ascii="Cambria" w:eastAsia="Calibri" w:hAnsi="Cambria" w:cs="Calibri"/>
          <w:lang w:eastAsia="en-AU" w:bidi="he-IL"/>
        </w:rPr>
        <w:t xml:space="preserve">The GCC has considered the concern about a more limited role for the Synod delegates in choosing who serves on the LCA’s governing bodies. However, on balance, the GCC is of the opinion that this new approach will achieve, over time, more effective decision-making. The GCC has also noted the success to date, during the </w:t>
      </w:r>
      <w:r w:rsidR="00385E67" w:rsidRPr="009A0DA6">
        <w:rPr>
          <w:rFonts w:ascii="Cambria" w:eastAsia="Calibri" w:hAnsi="Cambria" w:cs="Calibri"/>
          <w:lang w:eastAsia="en-AU" w:bidi="he-IL"/>
        </w:rPr>
        <w:t>2015–2018</w:t>
      </w:r>
      <w:r w:rsidRPr="009A0DA6">
        <w:rPr>
          <w:rFonts w:ascii="Cambria" w:eastAsia="Calibri" w:hAnsi="Cambria" w:cs="Calibri"/>
          <w:lang w:eastAsia="en-AU" w:bidi="he-IL"/>
        </w:rPr>
        <w:t xml:space="preserve"> </w:t>
      </w:r>
      <w:r w:rsidR="00C67D2A" w:rsidRPr="009A0DA6">
        <w:rPr>
          <w:rFonts w:ascii="Cambria" w:eastAsia="Calibri" w:hAnsi="Cambria" w:cs="Calibri"/>
          <w:lang w:eastAsia="en-AU" w:bidi="he-IL"/>
        </w:rPr>
        <w:t>synodical</w:t>
      </w:r>
      <w:r w:rsidRPr="009A0DA6">
        <w:rPr>
          <w:rFonts w:ascii="Cambria" w:eastAsia="Calibri" w:hAnsi="Cambria" w:cs="Calibri"/>
          <w:lang w:eastAsia="en-AU" w:bidi="he-IL"/>
        </w:rPr>
        <w:t xml:space="preserve"> term, of SCoN’s strong encouragement of self-nomination – in addition to the existing approaches to identifying people – which has proven effective in more people putting themselves forward for consideration to serve and make a contribution to the work of the </w:t>
      </w:r>
      <w:r w:rsidR="00DB2C41" w:rsidRPr="009A0DA6">
        <w:rPr>
          <w:rFonts w:ascii="Cambria" w:eastAsia="Calibri" w:hAnsi="Cambria" w:cs="Calibri"/>
          <w:lang w:eastAsia="en-AU" w:bidi="he-IL"/>
        </w:rPr>
        <w:t>church</w:t>
      </w:r>
      <w:r w:rsidRPr="009A0DA6">
        <w:rPr>
          <w:rFonts w:ascii="Cambria" w:eastAsia="Calibri" w:hAnsi="Cambria" w:cs="Calibri"/>
          <w:lang w:eastAsia="en-AU" w:bidi="he-IL"/>
        </w:rPr>
        <w:t>.</w:t>
      </w:r>
    </w:p>
    <w:p w14:paraId="242B68FC" w14:textId="77777777" w:rsidR="00E0197D" w:rsidRPr="009A0DA6" w:rsidRDefault="00E0197D" w:rsidP="00E0197D">
      <w:pPr>
        <w:shd w:val="clear" w:color="auto" w:fill="FFFFFF"/>
        <w:spacing w:line="240" w:lineRule="auto"/>
        <w:rPr>
          <w:rFonts w:ascii="Cambria" w:hAnsi="Cambria" w:cs="Arial"/>
          <w:b/>
          <w:color w:val="222222"/>
          <w:shd w:val="clear" w:color="auto" w:fill="FFFFFF"/>
        </w:rPr>
      </w:pPr>
      <w:r w:rsidRPr="009A0DA6">
        <w:rPr>
          <w:rFonts w:ascii="Cambria" w:hAnsi="Cambria" w:cs="Arial"/>
          <w:b/>
          <w:color w:val="222222"/>
          <w:shd w:val="clear" w:color="auto" w:fill="FFFFFF"/>
        </w:rPr>
        <w:t>Other governance issues</w:t>
      </w:r>
    </w:p>
    <w:p w14:paraId="306754C1" w14:textId="77777777" w:rsidR="00E0197D" w:rsidRPr="009A0DA6" w:rsidRDefault="00E0197D" w:rsidP="00E0197D">
      <w:pPr>
        <w:spacing w:after="120" w:line="240" w:lineRule="auto"/>
        <w:rPr>
          <w:rFonts w:ascii="Cambria" w:eastAsia="Calibri" w:hAnsi="Cambria" w:cs="Calibri"/>
          <w:lang w:eastAsia="en-AU" w:bidi="he-IL"/>
        </w:rPr>
      </w:pPr>
      <w:r w:rsidRPr="009A0DA6">
        <w:rPr>
          <w:rFonts w:ascii="Cambria" w:eastAsia="Calibri" w:hAnsi="Cambria" w:cs="Calibri"/>
          <w:lang w:eastAsia="en-AU" w:bidi="he-IL"/>
        </w:rPr>
        <w:t>The trial process has also highlighted a number of issues that, as governance-related changes are being proposed, should also be addressed to provide greater clarity, consistency and flexibility. A key issue is that the current LCA By-laws define the term ‘Board’ very broadly. It is proposed that the LCA becomes more deliberate in the describing and defining of the LCA’s governance arrangements. In particular:</w:t>
      </w:r>
    </w:p>
    <w:p w14:paraId="072B355A" w14:textId="5980FD04" w:rsidR="00E0197D" w:rsidRPr="009A0DA6" w:rsidRDefault="00E0197D" w:rsidP="00F55252">
      <w:pPr>
        <w:pStyle w:val="ListParagraph"/>
        <w:numPr>
          <w:ilvl w:val="0"/>
          <w:numId w:val="81"/>
        </w:numPr>
        <w:spacing w:after="120" w:line="240" w:lineRule="auto"/>
        <w:ind w:left="567" w:hanging="567"/>
        <w:rPr>
          <w:rFonts w:ascii="Cambria" w:eastAsia="Calibri" w:hAnsi="Cambria" w:cs="Calibri"/>
          <w:sz w:val="10"/>
          <w:lang w:eastAsia="en-AU" w:bidi="he-IL"/>
        </w:rPr>
      </w:pPr>
      <w:r w:rsidRPr="009A0DA6">
        <w:rPr>
          <w:rFonts w:ascii="Cambria" w:eastAsia="Calibri" w:hAnsi="Cambria" w:cs="Calibri"/>
          <w:lang w:eastAsia="en-AU" w:bidi="he-IL"/>
        </w:rPr>
        <w:t>Clearly distinguishing between “governance” and “advisory functions”.</w:t>
      </w:r>
      <w:r w:rsidRPr="009A0DA6">
        <w:rPr>
          <w:rFonts w:ascii="Cambria" w:eastAsia="Calibri" w:hAnsi="Cambria" w:cs="Calibri"/>
          <w:lang w:eastAsia="en-AU" w:bidi="he-IL"/>
        </w:rPr>
        <w:br/>
      </w:r>
    </w:p>
    <w:p w14:paraId="1FAA6AE1" w14:textId="44776150" w:rsidR="00E0197D" w:rsidRPr="009A0DA6" w:rsidRDefault="00E0197D" w:rsidP="00F55252">
      <w:pPr>
        <w:pStyle w:val="ListParagraph"/>
        <w:numPr>
          <w:ilvl w:val="0"/>
          <w:numId w:val="81"/>
        </w:numPr>
        <w:spacing w:after="120" w:line="240" w:lineRule="auto"/>
        <w:ind w:left="567" w:hanging="567"/>
        <w:rPr>
          <w:rFonts w:ascii="Cambria" w:eastAsia="Calibri" w:hAnsi="Cambria" w:cs="Calibri"/>
          <w:sz w:val="10"/>
          <w:lang w:eastAsia="en-AU" w:bidi="he-IL"/>
        </w:rPr>
      </w:pPr>
      <w:r w:rsidRPr="009A0DA6">
        <w:rPr>
          <w:rFonts w:ascii="Cambria" w:eastAsia="Calibri" w:hAnsi="Cambria" w:cs="Calibri"/>
          <w:lang w:eastAsia="en-AU" w:bidi="he-IL"/>
        </w:rPr>
        <w:t xml:space="preserve">The term “Board” will, unless particular regulatory or external requirements require otherwise, be used only for governing bodies of a legal entity (such as an association or company). </w:t>
      </w:r>
      <w:r w:rsidRPr="009A0DA6">
        <w:rPr>
          <w:rFonts w:ascii="Cambria" w:eastAsia="Calibri" w:hAnsi="Cambria" w:cs="Calibri"/>
          <w:u w:val="single"/>
          <w:lang w:eastAsia="en-AU" w:bidi="he-IL"/>
        </w:rPr>
        <w:t>Note</w:t>
      </w:r>
      <w:r w:rsidRPr="009A0DA6">
        <w:rPr>
          <w:rFonts w:ascii="Cambria" w:eastAsia="Calibri" w:hAnsi="Cambria" w:cs="Calibri"/>
          <w:lang w:eastAsia="en-AU" w:bidi="he-IL"/>
        </w:rPr>
        <w:t>: This explains why it is proposed that the General Church Council becomes the General Church Board.</w:t>
      </w:r>
      <w:r w:rsidRPr="009A0DA6">
        <w:rPr>
          <w:rFonts w:ascii="Cambria" w:eastAsia="Calibri" w:hAnsi="Cambria" w:cs="Calibri"/>
          <w:lang w:eastAsia="en-AU" w:bidi="he-IL"/>
        </w:rPr>
        <w:br/>
      </w:r>
    </w:p>
    <w:p w14:paraId="67D30184" w14:textId="6612196F" w:rsidR="00E0197D" w:rsidRPr="009A0DA6" w:rsidRDefault="00E0197D" w:rsidP="00F55252">
      <w:pPr>
        <w:pStyle w:val="ListParagraph"/>
        <w:numPr>
          <w:ilvl w:val="0"/>
          <w:numId w:val="81"/>
        </w:numPr>
        <w:spacing w:after="120" w:line="240" w:lineRule="auto"/>
        <w:ind w:left="567" w:hanging="567"/>
        <w:rPr>
          <w:rFonts w:ascii="Cambria" w:eastAsia="Calibri" w:hAnsi="Cambria" w:cs="Calibri"/>
          <w:sz w:val="10"/>
          <w:lang w:eastAsia="en-AU" w:bidi="he-IL"/>
        </w:rPr>
      </w:pPr>
      <w:r w:rsidRPr="009A0DA6">
        <w:rPr>
          <w:rFonts w:ascii="Cambria" w:eastAsia="Calibri" w:hAnsi="Cambria" w:cs="Calibri"/>
          <w:lang w:eastAsia="en-AU" w:bidi="he-IL"/>
        </w:rPr>
        <w:t>The term “Council” will be used for bodies that don’t govern a legal entity, but have been delegated certain decision-making authority.</w:t>
      </w:r>
      <w:r w:rsidRPr="009A0DA6">
        <w:rPr>
          <w:rFonts w:ascii="Cambria" w:eastAsia="Calibri" w:hAnsi="Cambria" w:cs="Calibri"/>
          <w:lang w:eastAsia="en-AU" w:bidi="he-IL"/>
        </w:rPr>
        <w:br/>
      </w:r>
    </w:p>
    <w:p w14:paraId="24EE259B" w14:textId="77777777" w:rsidR="00E0197D" w:rsidRPr="009A0DA6" w:rsidRDefault="00E0197D" w:rsidP="00F55252">
      <w:pPr>
        <w:pStyle w:val="ListParagraph"/>
        <w:numPr>
          <w:ilvl w:val="0"/>
          <w:numId w:val="81"/>
        </w:numPr>
        <w:spacing w:after="120" w:line="240" w:lineRule="auto"/>
        <w:ind w:left="567" w:hanging="567"/>
        <w:rPr>
          <w:rFonts w:ascii="Cambria" w:eastAsia="Calibri" w:hAnsi="Cambria" w:cs="Calibri"/>
          <w:lang w:eastAsia="en-AU" w:bidi="he-IL"/>
        </w:rPr>
      </w:pPr>
      <w:r w:rsidRPr="009A0DA6">
        <w:rPr>
          <w:rFonts w:ascii="Cambria" w:eastAsia="Calibri" w:hAnsi="Cambria" w:cs="Calibri"/>
          <w:lang w:eastAsia="en-AU" w:bidi="he-IL"/>
        </w:rPr>
        <w:t>The terms “Committees” and “Commissions” will be reserved for bodies that are advisory in nature, unless they are granted specific decision-making authority under a written delegation authority.</w:t>
      </w:r>
    </w:p>
    <w:p w14:paraId="5F25806D" w14:textId="77777777" w:rsidR="00E0197D" w:rsidRPr="009A0DA6" w:rsidRDefault="00E0197D" w:rsidP="00E0197D">
      <w:pPr>
        <w:spacing w:after="120" w:line="240" w:lineRule="auto"/>
        <w:rPr>
          <w:rFonts w:ascii="Cambria" w:eastAsia="Calibri" w:hAnsi="Cambria" w:cs="Calibri"/>
          <w:lang w:eastAsia="en-AU" w:bidi="he-IL"/>
        </w:rPr>
      </w:pPr>
      <w:r w:rsidRPr="009A0DA6">
        <w:rPr>
          <w:rFonts w:ascii="Cambria" w:eastAsia="Calibri" w:hAnsi="Cambria" w:cs="Calibri"/>
          <w:lang w:eastAsia="en-AU" w:bidi="he-IL"/>
        </w:rPr>
        <w:t>The clearer distinction is expected to provide the following benefits:</w:t>
      </w:r>
    </w:p>
    <w:p w14:paraId="3CBCBCA0" w14:textId="2CA4A5F0" w:rsidR="00E0197D" w:rsidRPr="009A0DA6" w:rsidRDefault="00E0197D" w:rsidP="00F55252">
      <w:pPr>
        <w:pStyle w:val="ListParagraph"/>
        <w:numPr>
          <w:ilvl w:val="0"/>
          <w:numId w:val="82"/>
        </w:numPr>
        <w:spacing w:after="120" w:line="240" w:lineRule="auto"/>
        <w:ind w:left="567" w:hanging="567"/>
        <w:rPr>
          <w:rFonts w:ascii="Cambria" w:eastAsia="Calibri" w:hAnsi="Cambria" w:cs="Calibri"/>
          <w:sz w:val="10"/>
          <w:szCs w:val="10"/>
          <w:lang w:eastAsia="en-AU" w:bidi="he-IL"/>
        </w:rPr>
      </w:pPr>
      <w:r w:rsidRPr="009A0DA6">
        <w:rPr>
          <w:rFonts w:ascii="Cambria" w:eastAsia="Calibri" w:hAnsi="Cambria" w:cs="Calibri"/>
          <w:lang w:eastAsia="en-AU" w:bidi="he-IL"/>
        </w:rPr>
        <w:t>Establishing a small number of ‘strategic boards/councils’ reporting to the GCC will provide greater strategic focus, than in the current situation where about 20 individual bodies report separately to the GCC .</w:t>
      </w:r>
      <w:r w:rsidRPr="009A0DA6">
        <w:rPr>
          <w:rFonts w:ascii="Cambria" w:eastAsia="Calibri" w:hAnsi="Cambria" w:cs="Calibri"/>
          <w:lang w:eastAsia="en-AU" w:bidi="he-IL"/>
        </w:rPr>
        <w:br/>
      </w:r>
    </w:p>
    <w:p w14:paraId="2F9D1699" w14:textId="2B3B272E" w:rsidR="00E0197D" w:rsidRPr="009A0DA6" w:rsidRDefault="00E0197D" w:rsidP="00F55252">
      <w:pPr>
        <w:pStyle w:val="ListParagraph"/>
        <w:numPr>
          <w:ilvl w:val="0"/>
          <w:numId w:val="82"/>
        </w:numPr>
        <w:spacing w:after="120" w:line="240" w:lineRule="auto"/>
        <w:ind w:left="567" w:hanging="567"/>
        <w:rPr>
          <w:rFonts w:ascii="Cambria" w:eastAsia="Calibri" w:hAnsi="Cambria" w:cs="Calibri"/>
          <w:sz w:val="10"/>
          <w:szCs w:val="10"/>
          <w:lang w:eastAsia="en-AU" w:bidi="he-IL"/>
        </w:rPr>
      </w:pPr>
      <w:r w:rsidRPr="009A0DA6">
        <w:rPr>
          <w:rFonts w:ascii="Cambria" w:eastAsia="Calibri" w:hAnsi="Cambria" w:cs="Calibri"/>
          <w:lang w:eastAsia="en-AU" w:bidi="he-IL"/>
        </w:rPr>
        <w:t xml:space="preserve">Greater flexibility in adapting the structure to meet changing needs by allowing GCC </w:t>
      </w:r>
      <w:r w:rsidR="006862AD" w:rsidRPr="009A0DA6">
        <w:rPr>
          <w:rFonts w:ascii="Cambria" w:eastAsia="Calibri" w:hAnsi="Cambria" w:cs="Calibri"/>
          <w:lang w:eastAsia="en-AU" w:bidi="he-IL"/>
        </w:rPr>
        <w:t>boards</w:t>
      </w:r>
      <w:r w:rsidRPr="009A0DA6">
        <w:rPr>
          <w:rFonts w:ascii="Cambria" w:eastAsia="Calibri" w:hAnsi="Cambria" w:cs="Calibri"/>
          <w:lang w:eastAsia="en-AU" w:bidi="he-IL"/>
        </w:rPr>
        <w:t xml:space="preserve"> and </w:t>
      </w:r>
      <w:r w:rsidR="006862AD" w:rsidRPr="009A0DA6">
        <w:rPr>
          <w:rFonts w:ascii="Cambria" w:eastAsia="Calibri" w:hAnsi="Cambria" w:cs="Calibri"/>
          <w:lang w:eastAsia="en-AU" w:bidi="he-IL"/>
        </w:rPr>
        <w:t>councils</w:t>
      </w:r>
      <w:r w:rsidRPr="009A0DA6">
        <w:rPr>
          <w:rFonts w:ascii="Cambria" w:eastAsia="Calibri" w:hAnsi="Cambria" w:cs="Calibri"/>
          <w:lang w:eastAsia="en-AU" w:bidi="he-IL"/>
        </w:rPr>
        <w:t xml:space="preserve"> to reorganise their advisory groups without the need for General Synod approval (which is currently necessary as General Synod approves changes to the Terms of Reference/Rules of all bodies because of the </w:t>
      </w:r>
      <w:r w:rsidR="009B2534" w:rsidRPr="009A0DA6">
        <w:rPr>
          <w:rFonts w:ascii="Cambria" w:eastAsia="Calibri" w:hAnsi="Cambria" w:cs="Calibri"/>
          <w:lang w:eastAsia="en-AU" w:bidi="he-IL"/>
        </w:rPr>
        <w:t>‘</w:t>
      </w:r>
      <w:r w:rsidRPr="009A0DA6">
        <w:rPr>
          <w:rFonts w:ascii="Cambria" w:eastAsia="Calibri" w:hAnsi="Cambria" w:cs="Calibri"/>
          <w:lang w:eastAsia="en-AU" w:bidi="he-IL"/>
        </w:rPr>
        <w:t>one size fits all</w:t>
      </w:r>
      <w:r w:rsidR="009B2534" w:rsidRPr="009A0DA6">
        <w:rPr>
          <w:rFonts w:ascii="Cambria" w:eastAsia="Calibri" w:hAnsi="Cambria" w:cs="Calibri"/>
          <w:lang w:eastAsia="en-AU" w:bidi="he-IL"/>
        </w:rPr>
        <w:t>’</w:t>
      </w:r>
      <w:r w:rsidRPr="009A0DA6">
        <w:rPr>
          <w:rFonts w:ascii="Cambria" w:eastAsia="Calibri" w:hAnsi="Cambria" w:cs="Calibri"/>
          <w:lang w:eastAsia="en-AU" w:bidi="he-IL"/>
        </w:rPr>
        <w:t xml:space="preserve"> approach in the use of the term “Board”).</w:t>
      </w:r>
      <w:r w:rsidRPr="009A0DA6">
        <w:rPr>
          <w:rFonts w:ascii="Cambria" w:eastAsia="Calibri" w:hAnsi="Cambria" w:cs="Calibri"/>
          <w:lang w:eastAsia="en-AU" w:bidi="he-IL"/>
        </w:rPr>
        <w:br/>
      </w:r>
    </w:p>
    <w:p w14:paraId="3878C892" w14:textId="60A86E55" w:rsidR="00E0197D" w:rsidRPr="009A0DA6" w:rsidRDefault="00E0197D" w:rsidP="00F55252">
      <w:pPr>
        <w:pStyle w:val="ListParagraph"/>
        <w:numPr>
          <w:ilvl w:val="0"/>
          <w:numId w:val="82"/>
        </w:numPr>
        <w:spacing w:after="120" w:line="240" w:lineRule="auto"/>
        <w:ind w:left="567" w:hanging="567"/>
        <w:rPr>
          <w:rFonts w:ascii="Cambria" w:eastAsia="Calibri" w:hAnsi="Cambria" w:cs="Calibri"/>
          <w:lang w:eastAsia="en-AU" w:bidi="he-IL"/>
        </w:rPr>
      </w:pPr>
      <w:r w:rsidRPr="009A0DA6">
        <w:rPr>
          <w:rFonts w:ascii="Cambria" w:eastAsia="Calibri" w:hAnsi="Cambria" w:cs="Calibri"/>
          <w:lang w:eastAsia="en-AU" w:bidi="he-IL"/>
        </w:rPr>
        <w:t>Providing clarity that the app</w:t>
      </w:r>
      <w:r w:rsidR="009B2534" w:rsidRPr="009A0DA6">
        <w:rPr>
          <w:rFonts w:ascii="Cambria" w:eastAsia="Calibri" w:hAnsi="Cambria" w:cs="Calibri"/>
          <w:lang w:eastAsia="en-AU" w:bidi="he-IL"/>
        </w:rPr>
        <w:t>ointment of non-Lutheran practis</w:t>
      </w:r>
      <w:r w:rsidRPr="009A0DA6">
        <w:rPr>
          <w:rFonts w:ascii="Cambria" w:eastAsia="Calibri" w:hAnsi="Cambria" w:cs="Calibri"/>
          <w:lang w:eastAsia="en-AU" w:bidi="he-IL"/>
        </w:rPr>
        <w:t>ing Christians are to only ‘advisory’ bodies, which don’t have decision-making authority (except in certain circumstances).</w:t>
      </w:r>
    </w:p>
    <w:p w14:paraId="0CB34C7A" w14:textId="77777777" w:rsidR="00E0197D" w:rsidRPr="009A0DA6" w:rsidRDefault="00E0197D" w:rsidP="00E0197D">
      <w:pPr>
        <w:spacing w:after="120" w:line="240" w:lineRule="auto"/>
        <w:rPr>
          <w:rFonts w:ascii="Cambria" w:eastAsia="Calibri" w:hAnsi="Cambria" w:cs="Calibri"/>
          <w:lang w:eastAsia="en-AU" w:bidi="he-IL"/>
        </w:rPr>
      </w:pPr>
      <w:r w:rsidRPr="009A0DA6">
        <w:rPr>
          <w:rFonts w:ascii="Cambria" w:eastAsia="Calibri" w:hAnsi="Cambria" w:cs="Calibri"/>
          <w:lang w:eastAsia="en-AU" w:bidi="he-IL"/>
        </w:rPr>
        <w:t>This approach aims to balance this greater flexibility with appropriate checks and balances, including:</w:t>
      </w:r>
    </w:p>
    <w:p w14:paraId="5589AA14" w14:textId="79360BE6" w:rsidR="00E0197D" w:rsidRPr="009A0DA6" w:rsidRDefault="00E0197D" w:rsidP="00F55252">
      <w:pPr>
        <w:pStyle w:val="ListParagraph"/>
        <w:numPr>
          <w:ilvl w:val="0"/>
          <w:numId w:val="83"/>
        </w:numPr>
        <w:spacing w:after="120" w:line="240" w:lineRule="auto"/>
        <w:ind w:left="567" w:hanging="567"/>
        <w:rPr>
          <w:rFonts w:ascii="Cambria" w:eastAsia="Calibri" w:hAnsi="Cambria" w:cs="Calibri"/>
          <w:sz w:val="10"/>
          <w:lang w:eastAsia="en-AU" w:bidi="he-IL"/>
        </w:rPr>
      </w:pPr>
      <w:r w:rsidRPr="009A0DA6">
        <w:rPr>
          <w:rFonts w:ascii="Cambria" w:eastAsia="Calibri" w:hAnsi="Cambria" w:cs="Calibri"/>
          <w:lang w:eastAsia="en-AU" w:bidi="he-IL"/>
        </w:rPr>
        <w:t xml:space="preserve">The Terms of Reference of decision-making </w:t>
      </w:r>
      <w:r w:rsidR="006862AD" w:rsidRPr="009A0DA6">
        <w:rPr>
          <w:rFonts w:ascii="Cambria" w:eastAsia="Calibri" w:hAnsi="Cambria" w:cs="Calibri"/>
          <w:lang w:eastAsia="en-AU" w:bidi="he-IL"/>
        </w:rPr>
        <w:t>boards</w:t>
      </w:r>
      <w:r w:rsidRPr="009A0DA6">
        <w:rPr>
          <w:rFonts w:ascii="Cambria" w:eastAsia="Calibri" w:hAnsi="Cambria" w:cs="Calibri"/>
          <w:lang w:eastAsia="en-AU" w:bidi="he-IL"/>
        </w:rPr>
        <w:t xml:space="preserve"> and </w:t>
      </w:r>
      <w:r w:rsidR="006862AD" w:rsidRPr="009A0DA6">
        <w:rPr>
          <w:rFonts w:ascii="Cambria" w:eastAsia="Calibri" w:hAnsi="Cambria" w:cs="Calibri"/>
          <w:lang w:eastAsia="en-AU" w:bidi="he-IL"/>
        </w:rPr>
        <w:t>councils</w:t>
      </w:r>
      <w:r w:rsidRPr="009A0DA6">
        <w:rPr>
          <w:rFonts w:ascii="Cambria" w:eastAsia="Calibri" w:hAnsi="Cambria" w:cs="Calibri"/>
          <w:lang w:eastAsia="en-AU" w:bidi="he-IL"/>
        </w:rPr>
        <w:t xml:space="preserve"> (</w:t>
      </w:r>
      <w:r w:rsidR="00C3381F" w:rsidRPr="009A0DA6">
        <w:rPr>
          <w:rFonts w:ascii="Cambria" w:eastAsia="Calibri" w:hAnsi="Cambria" w:cs="Calibri"/>
          <w:lang w:eastAsia="en-AU" w:bidi="he-IL"/>
        </w:rPr>
        <w:t>ie</w:t>
      </w:r>
      <w:r w:rsidRPr="009A0DA6">
        <w:rPr>
          <w:rFonts w:ascii="Cambria" w:eastAsia="Calibri" w:hAnsi="Cambria" w:cs="Calibri"/>
          <w:lang w:eastAsia="en-AU" w:bidi="he-IL"/>
        </w:rPr>
        <w:t xml:space="preserve"> the ‘strategic boards/councils’ described above) continue to be approved by General Synod. The </w:t>
      </w:r>
      <w:r w:rsidR="006862AD" w:rsidRPr="009A0DA6">
        <w:rPr>
          <w:rFonts w:ascii="Cambria" w:eastAsia="Calibri" w:hAnsi="Cambria" w:cs="Calibri"/>
          <w:lang w:eastAsia="en-AU" w:bidi="he-IL"/>
        </w:rPr>
        <w:t>boards</w:t>
      </w:r>
      <w:r w:rsidRPr="009A0DA6">
        <w:rPr>
          <w:rFonts w:ascii="Cambria" w:eastAsia="Calibri" w:hAnsi="Cambria" w:cs="Calibri"/>
          <w:lang w:eastAsia="en-AU" w:bidi="he-IL"/>
        </w:rPr>
        <w:t xml:space="preserve"> and </w:t>
      </w:r>
      <w:r w:rsidR="006862AD" w:rsidRPr="009A0DA6">
        <w:rPr>
          <w:rFonts w:ascii="Cambria" w:eastAsia="Calibri" w:hAnsi="Cambria" w:cs="Calibri"/>
          <w:lang w:eastAsia="en-AU" w:bidi="he-IL"/>
        </w:rPr>
        <w:t>councils</w:t>
      </w:r>
      <w:r w:rsidRPr="009A0DA6">
        <w:rPr>
          <w:rFonts w:ascii="Cambria" w:eastAsia="Calibri" w:hAnsi="Cambria" w:cs="Calibri"/>
          <w:lang w:eastAsia="en-AU" w:bidi="he-IL"/>
        </w:rPr>
        <w:t xml:space="preserve"> will continue to be referred to in the LCA Constitution.</w:t>
      </w:r>
      <w:r w:rsidRPr="009A0DA6">
        <w:rPr>
          <w:rFonts w:ascii="Cambria" w:eastAsia="Calibri" w:hAnsi="Cambria" w:cs="Calibri"/>
          <w:lang w:eastAsia="en-AU" w:bidi="he-IL"/>
        </w:rPr>
        <w:br/>
      </w:r>
    </w:p>
    <w:p w14:paraId="1D4E9F3A" w14:textId="35E6275D" w:rsidR="00E0197D" w:rsidRPr="009A0DA6" w:rsidRDefault="00E0197D" w:rsidP="00F55252">
      <w:pPr>
        <w:pStyle w:val="ListParagraph"/>
        <w:numPr>
          <w:ilvl w:val="0"/>
          <w:numId w:val="83"/>
        </w:numPr>
        <w:spacing w:after="120" w:line="240" w:lineRule="auto"/>
        <w:ind w:left="567" w:hanging="567"/>
        <w:rPr>
          <w:rFonts w:ascii="Cambria" w:eastAsia="Calibri" w:hAnsi="Cambria" w:cs="Calibri"/>
          <w:lang w:eastAsia="en-AU" w:bidi="he-IL"/>
        </w:rPr>
      </w:pPr>
      <w:r w:rsidRPr="009A0DA6">
        <w:rPr>
          <w:rFonts w:ascii="Cambria" w:eastAsia="Calibri" w:hAnsi="Cambria" w:cs="Calibri"/>
          <w:lang w:eastAsia="en-AU" w:bidi="he-IL"/>
        </w:rPr>
        <w:lastRenderedPageBreak/>
        <w:t>Any changes to the Terms of Reference of the advisory bodies must be reviewed and are subject to recommendation by the Standing Committee on Constitutions.</w:t>
      </w:r>
    </w:p>
    <w:p w14:paraId="6C3F455D" w14:textId="77777777" w:rsidR="00E0197D" w:rsidRPr="009A0DA6" w:rsidRDefault="00E0197D" w:rsidP="00E0197D">
      <w:pPr>
        <w:spacing w:after="120" w:line="240" w:lineRule="auto"/>
        <w:rPr>
          <w:rFonts w:ascii="Cambria" w:eastAsia="Times New Roman" w:hAnsi="Cambria" w:cs="Calibri"/>
          <w:lang w:eastAsia="en-AU" w:bidi="he-IL"/>
        </w:rPr>
      </w:pPr>
      <w:r w:rsidRPr="009A0DA6">
        <w:rPr>
          <w:rFonts w:ascii="Cambria" w:eastAsia="Times New Roman" w:hAnsi="Cambria" w:cs="Calibri"/>
          <w:lang w:eastAsia="en-AU" w:bidi="he-IL"/>
        </w:rPr>
        <w:t>The proposed Terms of Reference (which will be presented in the National Functions proposal) aim to introduce, as far as is practicable, a consistent format and a focus on key responsibilities rather than an exhaustive list of duties (</w:t>
      </w:r>
      <w:r w:rsidRPr="009A0DA6">
        <w:rPr>
          <w:rFonts w:ascii="Cambria" w:eastAsia="Times New Roman" w:hAnsi="Cambria" w:cs="Calibri"/>
          <w:u w:val="single"/>
          <w:lang w:eastAsia="en-AU" w:bidi="he-IL"/>
        </w:rPr>
        <w:t>note</w:t>
      </w:r>
      <w:r w:rsidRPr="009A0DA6">
        <w:rPr>
          <w:rFonts w:ascii="Cambria" w:eastAsia="Times New Roman" w:hAnsi="Cambria" w:cs="Calibri"/>
          <w:lang w:eastAsia="en-AU" w:bidi="he-IL"/>
        </w:rPr>
        <w:t>: in some cases, such as the Board for Lutheran Education, the changes are minimal pending finalisation of their own governance review).</w:t>
      </w:r>
    </w:p>
    <w:p w14:paraId="5255040F" w14:textId="77777777" w:rsidR="00E0197D" w:rsidRPr="009A0DA6" w:rsidRDefault="00E0197D" w:rsidP="00E0197D">
      <w:pPr>
        <w:shd w:val="clear" w:color="auto" w:fill="FFFFFF"/>
        <w:spacing w:line="240" w:lineRule="auto"/>
        <w:rPr>
          <w:rFonts w:ascii="Cambria" w:hAnsi="Cambria" w:cs="Arial"/>
          <w:color w:val="222222"/>
          <w:shd w:val="clear" w:color="auto" w:fill="FFFFFF"/>
        </w:rPr>
      </w:pPr>
      <w:r w:rsidRPr="009A0DA6">
        <w:rPr>
          <w:rFonts w:ascii="Cambria" w:eastAsia="Times New Roman" w:hAnsi="Cambria" w:cs="Calibri"/>
          <w:lang w:eastAsia="en-AU" w:bidi="he-IL"/>
        </w:rPr>
        <w:t>As outlined above,</w:t>
      </w:r>
      <w:r w:rsidRPr="009A0DA6">
        <w:rPr>
          <w:rFonts w:ascii="Cambria" w:hAnsi="Cambria" w:cs="Arial"/>
          <w:color w:val="222222"/>
          <w:shd w:val="clear" w:color="auto" w:fill="FFFFFF"/>
        </w:rPr>
        <w:t xml:space="preserve"> based on the generally positive outcomes of the evaluation, but noting there remain areas for improvement, the GCC is recommending that the General Convention of Synod approve the implementation of the changes to the LCA governance structure and the application of the principle of competency-based governing bodies.</w:t>
      </w:r>
    </w:p>
    <w:p w14:paraId="22899648" w14:textId="73C0101C" w:rsidR="00E0197D" w:rsidRPr="009A0DA6" w:rsidRDefault="00E0197D" w:rsidP="00E0197D">
      <w:pPr>
        <w:shd w:val="clear" w:color="auto" w:fill="FFFFFF"/>
        <w:spacing w:line="240" w:lineRule="auto"/>
        <w:rPr>
          <w:rFonts w:ascii="Cambria" w:hAnsi="Cambria" w:cs="Arial"/>
          <w:color w:val="222222"/>
          <w:shd w:val="clear" w:color="auto" w:fill="FFFFFF"/>
        </w:rPr>
      </w:pPr>
      <w:r w:rsidRPr="009A0DA6">
        <w:rPr>
          <w:rFonts w:ascii="Cambria" w:hAnsi="Cambria" w:cs="Arial"/>
          <w:color w:val="222222"/>
          <w:shd w:val="clear" w:color="auto" w:fill="FFFFFF"/>
        </w:rPr>
        <w:t xml:space="preserve">The GCC has also noted from the evaluation a need for appropriate governance training for members of all boards, councils, committees and commissions. This is accepted and will be implemented in the next </w:t>
      </w:r>
      <w:r w:rsidR="00C67D2A" w:rsidRPr="009A0DA6">
        <w:rPr>
          <w:rFonts w:ascii="Cambria" w:hAnsi="Cambria" w:cs="Arial"/>
          <w:color w:val="222222"/>
          <w:shd w:val="clear" w:color="auto" w:fill="FFFFFF"/>
        </w:rPr>
        <w:t>synodical</w:t>
      </w:r>
      <w:r w:rsidRPr="009A0DA6">
        <w:rPr>
          <w:rFonts w:ascii="Cambria" w:hAnsi="Cambria" w:cs="Arial"/>
          <w:color w:val="222222"/>
          <w:shd w:val="clear" w:color="auto" w:fill="FFFFFF"/>
        </w:rPr>
        <w:t xml:space="preserve"> term. </w:t>
      </w:r>
    </w:p>
    <w:p w14:paraId="1357120A" w14:textId="16819857" w:rsidR="00E0197D" w:rsidRPr="009A0DA6" w:rsidRDefault="00E0197D" w:rsidP="00E0197D">
      <w:pPr>
        <w:shd w:val="clear" w:color="auto" w:fill="FFFFFF"/>
        <w:spacing w:line="240" w:lineRule="auto"/>
        <w:rPr>
          <w:rFonts w:ascii="Cambria" w:hAnsi="Cambria" w:cs="Arial"/>
          <w:color w:val="222222"/>
          <w:shd w:val="clear" w:color="auto" w:fill="FFFFFF"/>
        </w:rPr>
      </w:pPr>
      <w:r w:rsidRPr="009A0DA6">
        <w:rPr>
          <w:rFonts w:ascii="Cambria" w:hAnsi="Cambria" w:cs="Arial"/>
          <w:color w:val="222222"/>
          <w:shd w:val="clear" w:color="auto" w:fill="FFFFFF"/>
        </w:rPr>
        <w:t xml:space="preserve">The adoption of the proposed changes to the relevant sections of the LCA Constitution and By-laws will give effect to the new governance arrangements noting that any other consequential changes that are required will be addressed as part of the review of the LCA Constitution that GCC will commence in the next </w:t>
      </w:r>
      <w:r w:rsidR="00C67D2A" w:rsidRPr="009A0DA6">
        <w:rPr>
          <w:rFonts w:ascii="Cambria" w:hAnsi="Cambria" w:cs="Arial"/>
          <w:color w:val="222222"/>
          <w:shd w:val="clear" w:color="auto" w:fill="FFFFFF"/>
        </w:rPr>
        <w:t>synodical</w:t>
      </w:r>
      <w:r w:rsidRPr="009A0DA6">
        <w:rPr>
          <w:rFonts w:ascii="Cambria" w:hAnsi="Cambria" w:cs="Arial"/>
          <w:color w:val="222222"/>
          <w:shd w:val="clear" w:color="auto" w:fill="FFFFFF"/>
        </w:rPr>
        <w:t xml:space="preserve"> term.</w:t>
      </w:r>
    </w:p>
    <w:p w14:paraId="0E5BC0DC" w14:textId="3E966B2C" w:rsidR="00E0197D" w:rsidRPr="009A0DA6" w:rsidRDefault="00E0197D" w:rsidP="00E0197D">
      <w:pPr>
        <w:shd w:val="clear" w:color="auto" w:fill="FFFFFF"/>
        <w:spacing w:line="240" w:lineRule="auto"/>
        <w:rPr>
          <w:rFonts w:ascii="Cambria" w:hAnsi="Cambria" w:cs="Arial"/>
          <w:color w:val="222222"/>
          <w:shd w:val="clear" w:color="auto" w:fill="FFFFFF"/>
        </w:rPr>
      </w:pPr>
      <w:r w:rsidRPr="009A0DA6">
        <w:rPr>
          <w:rFonts w:ascii="Cambria" w:hAnsi="Cambria" w:cs="Arial"/>
          <w:color w:val="222222"/>
          <w:shd w:val="clear" w:color="auto" w:fill="FFFFFF"/>
        </w:rPr>
        <w:t xml:space="preserve">The proposed terms of reference presented as part of the </w:t>
      </w:r>
      <w:r w:rsidR="00E31E45" w:rsidRPr="009A0DA6">
        <w:rPr>
          <w:rFonts w:ascii="Cambria" w:hAnsi="Cambria" w:cs="Arial"/>
          <w:color w:val="222222"/>
          <w:shd w:val="clear" w:color="auto" w:fill="FFFFFF"/>
        </w:rPr>
        <w:t>National Functions</w:t>
      </w:r>
      <w:r w:rsidRPr="009A0DA6">
        <w:rPr>
          <w:rFonts w:ascii="Cambria" w:hAnsi="Cambria" w:cs="Arial"/>
          <w:color w:val="222222"/>
          <w:shd w:val="clear" w:color="auto" w:fill="FFFFFF"/>
        </w:rPr>
        <w:t xml:space="preserve"> proposal will be consistent with these Constitutional and By-laws changes.</w:t>
      </w:r>
    </w:p>
    <w:p w14:paraId="04015A93" w14:textId="0E675348" w:rsidR="00906B06" w:rsidRPr="009A0DA6" w:rsidRDefault="00906B06" w:rsidP="00906B06">
      <w:pPr>
        <w:pStyle w:val="NoSpacing"/>
      </w:pPr>
    </w:p>
    <w:p w14:paraId="2CF2A708" w14:textId="73FEA862" w:rsidR="00DA16F1" w:rsidRPr="009A0DA6" w:rsidRDefault="00DA16F1" w:rsidP="00906B06">
      <w:pPr>
        <w:pStyle w:val="NoSpacing"/>
      </w:pPr>
    </w:p>
    <w:p w14:paraId="0B8EA693" w14:textId="77777777" w:rsidR="00DA16F1" w:rsidRPr="009A0DA6" w:rsidRDefault="00DA16F1" w:rsidP="00906B06">
      <w:pPr>
        <w:pStyle w:val="NoSpacing"/>
      </w:pPr>
    </w:p>
    <w:p w14:paraId="42FC6310" w14:textId="77777777" w:rsidR="00906B06" w:rsidRPr="009A0DA6" w:rsidRDefault="00906B06" w:rsidP="00964A90">
      <w:pPr>
        <w:pStyle w:val="Heading3"/>
      </w:pPr>
      <w:r w:rsidRPr="009A0DA6">
        <w:t>agenda 2.2.2</w:t>
      </w:r>
    </w:p>
    <w:p w14:paraId="6771365A" w14:textId="248DC0D4" w:rsidR="00906B06" w:rsidRPr="009A0DA6" w:rsidRDefault="0037789C" w:rsidP="005D571C">
      <w:pPr>
        <w:pStyle w:val="Heading2"/>
      </w:pPr>
      <w:bookmarkStart w:id="43" w:name="_Toc521954599"/>
      <w:bookmarkStart w:id="44" w:name="_Toc522394964"/>
      <w:r w:rsidRPr="009A0DA6">
        <w:t xml:space="preserve">National </w:t>
      </w:r>
      <w:r w:rsidR="00174A5E" w:rsidRPr="009A0DA6">
        <w:t>f</w:t>
      </w:r>
      <w:r w:rsidRPr="009A0DA6">
        <w:t>unctions</w:t>
      </w:r>
      <w:bookmarkEnd w:id="43"/>
      <w:bookmarkEnd w:id="44"/>
    </w:p>
    <w:p w14:paraId="27D5E95F" w14:textId="77777777" w:rsidR="00AD32D2" w:rsidRPr="009A0DA6" w:rsidRDefault="00AD32D2" w:rsidP="00AD32D2">
      <w:pPr>
        <w:pStyle w:val="NoSpacing"/>
      </w:pPr>
    </w:p>
    <w:p w14:paraId="5466A146" w14:textId="1D6DB3B2" w:rsidR="00AD32D2" w:rsidRDefault="00AD32D2" w:rsidP="00AD32D2">
      <w:pPr>
        <w:pStyle w:val="NoSpacing"/>
        <w:rPr>
          <w:lang w:eastAsia="en-AU"/>
        </w:rPr>
      </w:pPr>
      <w:r>
        <w:rPr>
          <w:lang w:eastAsia="en-AU"/>
        </w:rPr>
        <w:t>(See also Agenda 2.3.22 and 2.4.8)</w:t>
      </w:r>
    </w:p>
    <w:p w14:paraId="0045EA60" w14:textId="77777777" w:rsidR="00AD32D2" w:rsidRDefault="00AD32D2" w:rsidP="00AD32D2">
      <w:pPr>
        <w:pStyle w:val="NoSpacing"/>
        <w:rPr>
          <w:lang w:eastAsia="en-AU"/>
        </w:rPr>
      </w:pPr>
    </w:p>
    <w:p w14:paraId="0AA00F65" w14:textId="77777777" w:rsidR="00E0197D" w:rsidRPr="009A0DA6" w:rsidRDefault="00E0197D" w:rsidP="00E0197D">
      <w:pPr>
        <w:pStyle w:val="Heading3"/>
        <w:rPr>
          <w:rFonts w:eastAsia="Times New Roman"/>
          <w:vertAlign w:val="subscript"/>
          <w:lang w:eastAsia="en-AU"/>
        </w:rPr>
      </w:pPr>
      <w:r w:rsidRPr="009A0DA6">
        <w:rPr>
          <w:rFonts w:eastAsia="Times New Roman"/>
          <w:lang w:eastAsia="en-AU"/>
        </w:rPr>
        <w:t>PROPOSED MOTION</w:t>
      </w:r>
    </w:p>
    <w:p w14:paraId="397B59CD" w14:textId="77777777" w:rsidR="00E0197D" w:rsidRPr="009A0DA6" w:rsidRDefault="00E0197D" w:rsidP="00E0197D">
      <w:pPr>
        <w:shd w:val="clear" w:color="auto" w:fill="FFFFFF"/>
        <w:spacing w:after="120" w:line="22" w:lineRule="atLeast"/>
        <w:rPr>
          <w:rFonts w:ascii="Cambria" w:hAnsi="Cambria" w:cs="Arial"/>
          <w:i/>
          <w:shd w:val="clear" w:color="auto" w:fill="FFFFFF"/>
        </w:rPr>
      </w:pPr>
      <w:r w:rsidRPr="009A0DA6">
        <w:rPr>
          <w:rFonts w:ascii="Cambria" w:eastAsia="Times New Roman" w:hAnsi="Cambria" w:cs="Times New Roman"/>
          <w:bCs/>
          <w:i/>
          <w:lang w:eastAsia="en-AU"/>
        </w:rPr>
        <w:t>Submitted by General Church Council</w:t>
      </w:r>
    </w:p>
    <w:p w14:paraId="4C30EB95" w14:textId="4F206E7F" w:rsidR="00E0197D" w:rsidRPr="009A0DA6" w:rsidRDefault="00E0197D" w:rsidP="00E0197D">
      <w:pPr>
        <w:shd w:val="clear" w:color="auto" w:fill="FFFFFF"/>
        <w:spacing w:after="0" w:line="240" w:lineRule="auto"/>
        <w:rPr>
          <w:rFonts w:ascii="Cambria" w:eastAsia="Times New Roman" w:hAnsi="Cambria" w:cs="Times New Roman"/>
          <w:bCs/>
          <w:color w:val="222222"/>
          <w:lang w:eastAsia="en-AU"/>
        </w:rPr>
      </w:pPr>
      <w:r w:rsidRPr="009A0DA6">
        <w:rPr>
          <w:rFonts w:ascii="Cambria" w:eastAsia="Times New Roman" w:hAnsi="Cambria" w:cs="Times New Roman"/>
          <w:b/>
          <w:bCs/>
          <w:color w:val="222222"/>
          <w:lang w:eastAsia="en-AU"/>
        </w:rPr>
        <w:t>BE IT RESOLVED</w:t>
      </w:r>
      <w:r w:rsidRPr="009A0DA6">
        <w:rPr>
          <w:rFonts w:ascii="Cambria" w:eastAsia="Times New Roman" w:hAnsi="Cambria" w:cs="Times New Roman"/>
          <w:bCs/>
          <w:color w:val="222222"/>
          <w:lang w:eastAsia="en-AU"/>
        </w:rPr>
        <w:t xml:space="preserve"> that </w:t>
      </w:r>
      <w:r w:rsidRPr="009A0DA6">
        <w:rPr>
          <w:rFonts w:ascii="Cambria" w:eastAsia="Times New Roman" w:hAnsi="Cambria" w:cs="Times New Roman"/>
          <w:b/>
          <w:bCs/>
          <w:color w:val="222222"/>
          <w:lang w:eastAsia="en-AU"/>
        </w:rPr>
        <w:t>Article 8 Officers and Administration</w:t>
      </w:r>
      <w:r w:rsidRPr="009A0DA6">
        <w:rPr>
          <w:rFonts w:ascii="Cambria" w:eastAsia="Times New Roman" w:hAnsi="Cambria" w:cs="Times New Roman"/>
          <w:bCs/>
          <w:color w:val="222222"/>
          <w:lang w:eastAsia="en-AU"/>
        </w:rPr>
        <w:t xml:space="preserve"> of the Constitution of the Church be amended to allow for the implementation of the revised national functions as follows (words to be deleted – </w:t>
      </w:r>
      <w:r w:rsidRPr="009A0DA6">
        <w:rPr>
          <w:rFonts w:ascii="Cambria" w:eastAsia="Times New Roman" w:hAnsi="Cambria" w:cs="Times New Roman"/>
          <w:bCs/>
          <w:strike/>
          <w:color w:val="222222"/>
          <w:lang w:eastAsia="en-AU"/>
        </w:rPr>
        <w:t>strikethrough</w:t>
      </w:r>
      <w:r w:rsidRPr="009A0DA6">
        <w:rPr>
          <w:rFonts w:ascii="Cambria" w:eastAsia="Times New Roman" w:hAnsi="Cambria" w:cs="Times New Roman"/>
          <w:bCs/>
          <w:color w:val="222222"/>
          <w:lang w:eastAsia="en-AU"/>
        </w:rPr>
        <w:t xml:space="preserve">; words to be added – </w:t>
      </w:r>
      <w:r w:rsidRPr="009A0DA6">
        <w:rPr>
          <w:rFonts w:ascii="Cambria" w:eastAsia="Times New Roman" w:hAnsi="Cambria" w:cs="Times New Roman"/>
          <w:b/>
          <w:bCs/>
          <w:color w:val="222222"/>
          <w:lang w:eastAsia="en-AU"/>
        </w:rPr>
        <w:t>bold</w:t>
      </w:r>
      <w:r w:rsidRPr="009A0DA6">
        <w:rPr>
          <w:rFonts w:ascii="Cambria" w:eastAsia="Times New Roman" w:hAnsi="Cambria" w:cs="Times New Roman"/>
          <w:bCs/>
          <w:color w:val="222222"/>
          <w:lang w:eastAsia="en-AU"/>
        </w:rPr>
        <w:t>):</w:t>
      </w:r>
      <w:r w:rsidRPr="009A0DA6">
        <w:rPr>
          <w:rFonts w:ascii="Cambria" w:eastAsia="Times New Roman" w:hAnsi="Cambria" w:cs="Times New Roman"/>
          <w:bCs/>
          <w:color w:val="222222"/>
          <w:lang w:eastAsia="en-AU"/>
        </w:rPr>
        <w:br/>
      </w:r>
    </w:p>
    <w:p w14:paraId="0BCA925E" w14:textId="3A2CB77A" w:rsidR="00E0197D" w:rsidRPr="009A0DA6" w:rsidRDefault="00E0197D" w:rsidP="00E0197D">
      <w:pPr>
        <w:tabs>
          <w:tab w:val="left" w:pos="851"/>
          <w:tab w:val="left" w:pos="1985"/>
          <w:tab w:val="left" w:pos="3119"/>
          <w:tab w:val="left" w:pos="4536"/>
          <w:tab w:val="left" w:pos="5670"/>
        </w:tabs>
        <w:spacing w:after="0" w:line="240" w:lineRule="auto"/>
        <w:jc w:val="center"/>
        <w:rPr>
          <w:rFonts w:ascii="Cambria" w:eastAsia="Times New Roman" w:hAnsi="Cambria" w:cs="Times New Roman"/>
          <w:b/>
          <w:sz w:val="10"/>
          <w:lang w:eastAsia="en-AU"/>
        </w:rPr>
      </w:pPr>
      <w:r w:rsidRPr="009A0DA6">
        <w:rPr>
          <w:rFonts w:ascii="Cambria" w:eastAsia="Times New Roman" w:hAnsi="Cambria" w:cs="Times New Roman"/>
          <w:b/>
          <w:lang w:eastAsia="en-AU"/>
        </w:rPr>
        <w:t>ARTICLE 8. OFFICERS AND ADMINISTRATION</w:t>
      </w:r>
      <w:r w:rsidRPr="009A0DA6">
        <w:rPr>
          <w:rFonts w:ascii="Cambria" w:eastAsia="Times New Roman" w:hAnsi="Cambria" w:cs="Times New Roman"/>
          <w:b/>
          <w:lang w:eastAsia="en-AU"/>
        </w:rPr>
        <w:br/>
      </w:r>
    </w:p>
    <w:p w14:paraId="755DCE74" w14:textId="77777777" w:rsidR="00E0197D" w:rsidRPr="009A0DA6" w:rsidRDefault="00E0197D" w:rsidP="00E0197D">
      <w:pPr>
        <w:tabs>
          <w:tab w:val="left" w:pos="851"/>
          <w:tab w:val="left" w:pos="1985"/>
          <w:tab w:val="left" w:pos="3119"/>
          <w:tab w:val="left" w:pos="4536"/>
          <w:tab w:val="left" w:pos="5670"/>
        </w:tabs>
        <w:spacing w:after="0" w:line="240" w:lineRule="auto"/>
        <w:ind w:left="1985" w:hanging="1985"/>
        <w:rPr>
          <w:rFonts w:ascii="Cambria" w:eastAsia="Times New Roman" w:hAnsi="Cambria" w:cs="Times New Roman"/>
          <w:b/>
          <w:lang w:eastAsia="en-AU"/>
        </w:rPr>
      </w:pPr>
      <w:r w:rsidRPr="009A0DA6">
        <w:rPr>
          <w:rFonts w:ascii="Cambria" w:eastAsia="Times New Roman" w:hAnsi="Cambria" w:cs="Times New Roman"/>
          <w:b/>
          <w:lang w:eastAsia="en-AU"/>
        </w:rPr>
        <w:tab/>
        <w:t>8.3.4</w:t>
      </w:r>
      <w:r w:rsidRPr="009A0DA6">
        <w:rPr>
          <w:rFonts w:ascii="Cambria" w:eastAsia="Times New Roman" w:hAnsi="Cambria" w:cs="Times New Roman"/>
          <w:b/>
          <w:lang w:eastAsia="en-AU"/>
        </w:rPr>
        <w:tab/>
        <w:t xml:space="preserve">The General Church Board shall have the following Standing Committees which shall provide advice in accordance with the Terms of Reference for each as determined by the General Church Board: </w:t>
      </w:r>
    </w:p>
    <w:p w14:paraId="2AC61BB9" w14:textId="77777777" w:rsidR="00E0197D" w:rsidRPr="009A0DA6" w:rsidRDefault="00E0197D" w:rsidP="00E0197D">
      <w:pPr>
        <w:tabs>
          <w:tab w:val="left" w:pos="851"/>
          <w:tab w:val="left" w:pos="1985"/>
          <w:tab w:val="left" w:pos="3119"/>
          <w:tab w:val="left" w:pos="4536"/>
          <w:tab w:val="left" w:pos="5670"/>
        </w:tabs>
        <w:spacing w:after="0" w:line="240" w:lineRule="auto"/>
        <w:ind w:left="3119" w:hanging="3119"/>
        <w:rPr>
          <w:rFonts w:ascii="Cambria" w:eastAsia="Times New Roman" w:hAnsi="Cambria" w:cs="Times New Roman"/>
          <w:b/>
          <w:lang w:eastAsia="en-AU"/>
        </w:rPr>
      </w:pPr>
      <w:r w:rsidRPr="009A0DA6">
        <w:rPr>
          <w:rFonts w:ascii="Cambria" w:eastAsia="Times New Roman" w:hAnsi="Cambria" w:cs="Times New Roman"/>
          <w:b/>
          <w:lang w:eastAsia="en-AU"/>
        </w:rPr>
        <w:tab/>
      </w:r>
      <w:r w:rsidRPr="009A0DA6">
        <w:rPr>
          <w:rFonts w:ascii="Cambria" w:eastAsia="Times New Roman" w:hAnsi="Cambria" w:cs="Times New Roman"/>
          <w:b/>
          <w:lang w:eastAsia="en-AU"/>
        </w:rPr>
        <w:tab/>
        <w:t>8.3.4.1</w:t>
      </w:r>
      <w:r w:rsidRPr="009A0DA6">
        <w:rPr>
          <w:rFonts w:ascii="Cambria" w:eastAsia="Times New Roman" w:hAnsi="Cambria" w:cs="Times New Roman"/>
          <w:b/>
          <w:lang w:eastAsia="en-AU"/>
        </w:rPr>
        <w:tab/>
        <w:t>The Standing Committee for Nominations;</w:t>
      </w:r>
    </w:p>
    <w:p w14:paraId="0D224B1F" w14:textId="77777777" w:rsidR="00E0197D" w:rsidRPr="009A0DA6" w:rsidRDefault="00E0197D" w:rsidP="00E0197D">
      <w:pPr>
        <w:tabs>
          <w:tab w:val="left" w:pos="851"/>
          <w:tab w:val="left" w:pos="1985"/>
          <w:tab w:val="left" w:pos="3119"/>
          <w:tab w:val="left" w:pos="4536"/>
          <w:tab w:val="left" w:pos="5670"/>
        </w:tabs>
        <w:spacing w:after="0" w:line="240" w:lineRule="auto"/>
        <w:ind w:left="3119" w:hanging="3119"/>
        <w:rPr>
          <w:rFonts w:ascii="Cambria" w:eastAsia="Times New Roman" w:hAnsi="Cambria" w:cs="Times New Roman"/>
          <w:b/>
          <w:lang w:eastAsia="en-AU"/>
        </w:rPr>
      </w:pPr>
      <w:r w:rsidRPr="009A0DA6">
        <w:rPr>
          <w:rFonts w:ascii="Cambria" w:eastAsia="Times New Roman" w:hAnsi="Cambria" w:cs="Times New Roman"/>
          <w:b/>
          <w:lang w:eastAsia="en-AU"/>
        </w:rPr>
        <w:tab/>
      </w:r>
      <w:r w:rsidRPr="009A0DA6">
        <w:rPr>
          <w:rFonts w:ascii="Cambria" w:eastAsia="Times New Roman" w:hAnsi="Cambria" w:cs="Times New Roman"/>
          <w:b/>
          <w:lang w:eastAsia="en-AU"/>
        </w:rPr>
        <w:tab/>
        <w:t xml:space="preserve">8.3.4.2 </w:t>
      </w:r>
      <w:r w:rsidRPr="009A0DA6">
        <w:rPr>
          <w:rFonts w:ascii="Cambria" w:eastAsia="Times New Roman" w:hAnsi="Cambria" w:cs="Times New Roman"/>
          <w:b/>
          <w:lang w:eastAsia="en-AU"/>
        </w:rPr>
        <w:tab/>
        <w:t>The Standing Committee on Constitutions;  and</w:t>
      </w:r>
    </w:p>
    <w:p w14:paraId="77A89F9A" w14:textId="77777777" w:rsidR="00E0197D" w:rsidRPr="009A0DA6" w:rsidRDefault="00E0197D" w:rsidP="00E0197D">
      <w:pPr>
        <w:tabs>
          <w:tab w:val="left" w:pos="851"/>
          <w:tab w:val="left" w:pos="1985"/>
          <w:tab w:val="left" w:pos="3119"/>
          <w:tab w:val="left" w:pos="4536"/>
          <w:tab w:val="left" w:pos="5670"/>
        </w:tabs>
        <w:spacing w:after="0" w:line="240" w:lineRule="auto"/>
        <w:ind w:left="3119" w:hanging="3119"/>
        <w:rPr>
          <w:rFonts w:ascii="Cambria" w:eastAsia="Times New Roman" w:hAnsi="Cambria" w:cs="Times New Roman"/>
          <w:b/>
          <w:lang w:eastAsia="en-AU"/>
        </w:rPr>
      </w:pPr>
      <w:r w:rsidRPr="009A0DA6">
        <w:rPr>
          <w:rFonts w:ascii="Cambria" w:eastAsia="Times New Roman" w:hAnsi="Cambria" w:cs="Times New Roman"/>
          <w:b/>
          <w:lang w:eastAsia="en-AU"/>
        </w:rPr>
        <w:tab/>
      </w:r>
      <w:r w:rsidRPr="009A0DA6">
        <w:rPr>
          <w:rFonts w:ascii="Cambria" w:eastAsia="Times New Roman" w:hAnsi="Cambria" w:cs="Times New Roman"/>
          <w:b/>
          <w:lang w:eastAsia="en-AU"/>
        </w:rPr>
        <w:tab/>
        <w:t xml:space="preserve">8.3.4.3 </w:t>
      </w:r>
      <w:r w:rsidRPr="009A0DA6">
        <w:rPr>
          <w:rFonts w:ascii="Cambria" w:eastAsia="Times New Roman" w:hAnsi="Cambria" w:cs="Times New Roman"/>
          <w:b/>
          <w:lang w:eastAsia="en-AU"/>
        </w:rPr>
        <w:tab/>
        <w:t>The Standing Committee for Finance, Audit and Risk.</w:t>
      </w:r>
    </w:p>
    <w:p w14:paraId="1AFFD1C1" w14:textId="4457DEA9" w:rsidR="00E0197D" w:rsidRPr="009A0DA6" w:rsidRDefault="00E0197D" w:rsidP="00E0197D">
      <w:pPr>
        <w:tabs>
          <w:tab w:val="left" w:pos="851"/>
          <w:tab w:val="left" w:pos="1985"/>
          <w:tab w:val="left" w:pos="3119"/>
          <w:tab w:val="left" w:pos="4536"/>
          <w:tab w:val="left" w:pos="5670"/>
        </w:tabs>
        <w:spacing w:after="0" w:line="240" w:lineRule="auto"/>
        <w:ind w:left="851" w:hanging="851"/>
        <w:rPr>
          <w:rFonts w:ascii="Cambria" w:eastAsia="Times New Roman" w:hAnsi="Cambria" w:cs="Times New Roman"/>
          <w:lang w:eastAsia="en-AU"/>
        </w:rPr>
      </w:pPr>
      <w:r w:rsidRPr="009A0DA6">
        <w:rPr>
          <w:rFonts w:ascii="Cambria" w:eastAsia="Times New Roman" w:hAnsi="Cambria" w:cs="Times New Roman"/>
          <w:lang w:eastAsia="en-AU"/>
        </w:rPr>
        <w:t>8.4</w:t>
      </w:r>
      <w:r w:rsidRPr="009A0DA6">
        <w:rPr>
          <w:rFonts w:ascii="Cambria" w:eastAsia="Times New Roman" w:hAnsi="Cambria" w:cs="Times New Roman"/>
          <w:lang w:eastAsia="en-AU"/>
        </w:rPr>
        <w:tab/>
        <w:t xml:space="preserve">The Church shall have a College of Bishops </w:t>
      </w:r>
      <w:r w:rsidRPr="009A0DA6">
        <w:rPr>
          <w:rFonts w:ascii="Cambria" w:eastAsia="Times New Roman" w:hAnsi="Cambria" w:cs="Times New Roman"/>
          <w:b/>
          <w:lang w:eastAsia="en-AU"/>
        </w:rPr>
        <w:t>which shall have oversight of the theological, confessional, pastoral and worship life of the Church</w:t>
      </w:r>
      <w:r w:rsidR="0027799A" w:rsidRPr="009A0DA6">
        <w:rPr>
          <w:rFonts w:ascii="Cambria" w:eastAsia="Times New Roman" w:hAnsi="Cambria" w:cs="Times New Roman"/>
          <w:lang w:eastAsia="en-AU"/>
        </w:rPr>
        <w:t xml:space="preserve">. </w:t>
      </w:r>
    </w:p>
    <w:p w14:paraId="631EA7DC" w14:textId="77777777" w:rsidR="00E0197D" w:rsidRPr="009A0DA6" w:rsidRDefault="00E0197D" w:rsidP="00E0197D">
      <w:pPr>
        <w:tabs>
          <w:tab w:val="left" w:pos="851"/>
          <w:tab w:val="left" w:pos="1985"/>
          <w:tab w:val="left" w:pos="3119"/>
          <w:tab w:val="left" w:pos="4536"/>
          <w:tab w:val="left" w:pos="5670"/>
        </w:tabs>
        <w:spacing w:after="0" w:line="240" w:lineRule="auto"/>
        <w:ind w:left="1985" w:hanging="1985"/>
        <w:rPr>
          <w:rFonts w:ascii="Cambria" w:eastAsia="Times New Roman" w:hAnsi="Cambria" w:cs="Times New Roman"/>
          <w:lang w:eastAsia="en-AU"/>
        </w:rPr>
      </w:pPr>
      <w:r w:rsidRPr="009A0DA6">
        <w:rPr>
          <w:rFonts w:ascii="Cambria" w:eastAsia="Times New Roman" w:hAnsi="Cambria" w:cs="Times New Roman"/>
          <w:lang w:eastAsia="en-AU"/>
        </w:rPr>
        <w:tab/>
      </w:r>
      <w:r w:rsidRPr="009A0DA6">
        <w:rPr>
          <w:rFonts w:ascii="Cambria" w:eastAsia="Times New Roman" w:hAnsi="Cambria" w:cs="Times New Roman"/>
          <w:b/>
          <w:lang w:eastAsia="en-AU"/>
        </w:rPr>
        <w:t>8.4.1</w:t>
      </w:r>
      <w:r w:rsidRPr="009A0DA6">
        <w:rPr>
          <w:rFonts w:ascii="Cambria" w:eastAsia="Times New Roman" w:hAnsi="Cambria" w:cs="Times New Roman"/>
          <w:b/>
          <w:lang w:eastAsia="en-AU"/>
        </w:rPr>
        <w:tab/>
      </w:r>
      <w:r w:rsidRPr="009A0DA6">
        <w:rPr>
          <w:rFonts w:ascii="Cambria" w:eastAsia="Times New Roman" w:hAnsi="Cambria" w:cs="Times New Roman"/>
          <w:lang w:eastAsia="en-AU"/>
        </w:rPr>
        <w:t xml:space="preserve">The composition and duties </w:t>
      </w:r>
      <w:r w:rsidRPr="009A0DA6">
        <w:rPr>
          <w:rFonts w:ascii="Cambria" w:eastAsia="Times New Roman" w:hAnsi="Cambria" w:cs="Times New Roman"/>
          <w:b/>
          <w:lang w:eastAsia="en-AU"/>
        </w:rPr>
        <w:t xml:space="preserve">of the College of Bishops </w:t>
      </w:r>
      <w:r w:rsidRPr="009A0DA6">
        <w:rPr>
          <w:rFonts w:ascii="Cambria" w:eastAsia="Times New Roman" w:hAnsi="Cambria" w:cs="Times New Roman"/>
          <w:lang w:eastAsia="en-AU"/>
        </w:rPr>
        <w:t>shall be as prescribed by the By-laws.</w:t>
      </w:r>
    </w:p>
    <w:p w14:paraId="2A1A9F74" w14:textId="77777777" w:rsidR="00E0197D" w:rsidRPr="009A0DA6" w:rsidRDefault="00E0197D" w:rsidP="00E0197D">
      <w:pPr>
        <w:tabs>
          <w:tab w:val="left" w:pos="851"/>
          <w:tab w:val="left" w:pos="1985"/>
          <w:tab w:val="left" w:pos="3119"/>
          <w:tab w:val="left" w:pos="4536"/>
          <w:tab w:val="left" w:pos="5670"/>
        </w:tabs>
        <w:spacing w:after="0" w:line="240" w:lineRule="auto"/>
        <w:ind w:left="1985" w:hanging="1985"/>
        <w:rPr>
          <w:rFonts w:ascii="Cambria" w:eastAsia="Times New Roman" w:hAnsi="Cambria" w:cs="Times New Roman"/>
          <w:b/>
          <w:lang w:eastAsia="en-AU"/>
        </w:rPr>
      </w:pPr>
      <w:r w:rsidRPr="009A0DA6">
        <w:rPr>
          <w:rFonts w:ascii="Cambria" w:eastAsia="Times New Roman" w:hAnsi="Cambria" w:cs="Times New Roman"/>
          <w:b/>
          <w:lang w:eastAsia="en-AU"/>
        </w:rPr>
        <w:tab/>
        <w:t>8.4.2</w:t>
      </w:r>
      <w:r w:rsidRPr="009A0DA6">
        <w:rPr>
          <w:rFonts w:ascii="Cambria" w:eastAsia="Times New Roman" w:hAnsi="Cambria" w:cs="Times New Roman"/>
          <w:b/>
          <w:lang w:eastAsia="en-AU"/>
        </w:rPr>
        <w:tab/>
        <w:t>The College of Bishops shall have the following Commissions which shall provide advice in accordance with the Terms of Reference for each as determined by the General Church Board:</w:t>
      </w:r>
    </w:p>
    <w:p w14:paraId="5A63FAA2" w14:textId="77777777" w:rsidR="00E0197D" w:rsidRPr="009A0DA6" w:rsidRDefault="00E0197D" w:rsidP="00E0197D">
      <w:pPr>
        <w:tabs>
          <w:tab w:val="left" w:pos="851"/>
          <w:tab w:val="left" w:pos="1985"/>
          <w:tab w:val="left" w:pos="3119"/>
          <w:tab w:val="left" w:pos="4536"/>
          <w:tab w:val="left" w:pos="5670"/>
        </w:tabs>
        <w:spacing w:after="0" w:line="240" w:lineRule="auto"/>
        <w:ind w:left="851" w:hanging="851"/>
        <w:rPr>
          <w:rFonts w:ascii="Cambria" w:eastAsia="Times New Roman" w:hAnsi="Cambria" w:cs="Times New Roman"/>
          <w:b/>
          <w:lang w:eastAsia="en-AU"/>
        </w:rPr>
      </w:pPr>
      <w:r w:rsidRPr="009A0DA6">
        <w:rPr>
          <w:rFonts w:ascii="Cambria" w:eastAsia="Times New Roman" w:hAnsi="Cambria" w:cs="Times New Roman"/>
          <w:b/>
          <w:lang w:eastAsia="en-AU"/>
        </w:rPr>
        <w:lastRenderedPageBreak/>
        <w:tab/>
      </w:r>
      <w:r w:rsidRPr="009A0DA6">
        <w:rPr>
          <w:rFonts w:ascii="Cambria" w:eastAsia="Times New Roman" w:hAnsi="Cambria" w:cs="Times New Roman"/>
          <w:b/>
          <w:lang w:eastAsia="en-AU"/>
        </w:rPr>
        <w:tab/>
        <w:t>8.4.2.1     Commission on Theology and Inter-Church Relations;</w:t>
      </w:r>
    </w:p>
    <w:p w14:paraId="4892FC5B" w14:textId="77777777" w:rsidR="00E0197D" w:rsidRPr="009A0DA6" w:rsidRDefault="00E0197D" w:rsidP="00E0197D">
      <w:pPr>
        <w:tabs>
          <w:tab w:val="left" w:pos="851"/>
          <w:tab w:val="left" w:pos="1985"/>
          <w:tab w:val="left" w:pos="3119"/>
          <w:tab w:val="left" w:pos="4536"/>
          <w:tab w:val="left" w:pos="5670"/>
        </w:tabs>
        <w:spacing w:after="0" w:line="240" w:lineRule="auto"/>
        <w:ind w:left="851" w:hanging="851"/>
        <w:rPr>
          <w:rFonts w:ascii="Cambria" w:eastAsia="Times New Roman" w:hAnsi="Cambria" w:cs="Times New Roman"/>
          <w:b/>
          <w:lang w:eastAsia="en-AU"/>
        </w:rPr>
      </w:pPr>
      <w:r w:rsidRPr="009A0DA6">
        <w:rPr>
          <w:rFonts w:ascii="Cambria" w:eastAsia="Times New Roman" w:hAnsi="Cambria" w:cs="Times New Roman"/>
          <w:b/>
          <w:lang w:eastAsia="en-AU"/>
        </w:rPr>
        <w:tab/>
      </w:r>
      <w:r w:rsidRPr="009A0DA6">
        <w:rPr>
          <w:rFonts w:ascii="Cambria" w:eastAsia="Times New Roman" w:hAnsi="Cambria" w:cs="Times New Roman"/>
          <w:b/>
          <w:lang w:eastAsia="en-AU"/>
        </w:rPr>
        <w:tab/>
        <w:t>8.4.2.2     Commission on Worship;  and</w:t>
      </w:r>
    </w:p>
    <w:p w14:paraId="49E8114A" w14:textId="77777777" w:rsidR="00E0197D" w:rsidRPr="009A0DA6" w:rsidRDefault="00E0197D" w:rsidP="00E0197D">
      <w:pPr>
        <w:tabs>
          <w:tab w:val="left" w:pos="851"/>
          <w:tab w:val="left" w:pos="1985"/>
          <w:tab w:val="left" w:pos="3119"/>
          <w:tab w:val="left" w:pos="4536"/>
          <w:tab w:val="left" w:pos="5670"/>
        </w:tabs>
        <w:spacing w:after="0" w:line="240" w:lineRule="auto"/>
        <w:ind w:left="851" w:hanging="851"/>
        <w:rPr>
          <w:rFonts w:ascii="Cambria" w:eastAsia="Times New Roman" w:hAnsi="Cambria" w:cs="Times New Roman"/>
          <w:b/>
          <w:lang w:eastAsia="en-AU"/>
        </w:rPr>
      </w:pPr>
      <w:r w:rsidRPr="009A0DA6">
        <w:rPr>
          <w:rFonts w:ascii="Cambria" w:eastAsia="Times New Roman" w:hAnsi="Cambria" w:cs="Times New Roman"/>
          <w:b/>
          <w:lang w:eastAsia="en-AU"/>
        </w:rPr>
        <w:tab/>
      </w:r>
      <w:r w:rsidRPr="009A0DA6">
        <w:rPr>
          <w:rFonts w:ascii="Cambria" w:eastAsia="Times New Roman" w:hAnsi="Cambria" w:cs="Times New Roman"/>
          <w:b/>
          <w:lang w:eastAsia="en-AU"/>
        </w:rPr>
        <w:tab/>
        <w:t>8.4.2.3     Commission on Social and Bioethical Questions.</w:t>
      </w:r>
    </w:p>
    <w:p w14:paraId="66EC22BD" w14:textId="4CFE3109" w:rsidR="00E0197D" w:rsidRPr="009A0DA6" w:rsidRDefault="00E0197D" w:rsidP="00E0197D">
      <w:pPr>
        <w:tabs>
          <w:tab w:val="left" w:pos="851"/>
          <w:tab w:val="left" w:pos="1985"/>
          <w:tab w:val="left" w:pos="3119"/>
          <w:tab w:val="left" w:pos="4536"/>
          <w:tab w:val="left" w:pos="5670"/>
        </w:tabs>
        <w:spacing w:after="0" w:line="240" w:lineRule="auto"/>
        <w:ind w:left="851" w:hanging="851"/>
        <w:rPr>
          <w:rFonts w:ascii="Cambria" w:eastAsia="Times New Roman" w:hAnsi="Cambria" w:cs="Times New Roman"/>
          <w:lang w:eastAsia="en-AU"/>
        </w:rPr>
      </w:pPr>
      <w:r w:rsidRPr="009A0DA6">
        <w:rPr>
          <w:rFonts w:ascii="Cambria" w:eastAsia="Times New Roman" w:hAnsi="Cambria" w:cs="Times New Roman"/>
          <w:lang w:eastAsia="en-AU"/>
        </w:rPr>
        <w:t>8.5</w:t>
      </w:r>
      <w:r w:rsidRPr="009A0DA6">
        <w:rPr>
          <w:rFonts w:ascii="Cambria" w:eastAsia="Times New Roman" w:hAnsi="Cambria" w:cs="Times New Roman"/>
          <w:lang w:eastAsia="en-AU"/>
        </w:rPr>
        <w:tab/>
        <w:t xml:space="preserve">The Church shall </w:t>
      </w:r>
      <w:r w:rsidRPr="009A0DA6">
        <w:rPr>
          <w:rFonts w:ascii="Cambria" w:eastAsia="Times New Roman" w:hAnsi="Cambria" w:cs="Times New Roman"/>
          <w:strike/>
          <w:lang w:eastAsia="en-AU"/>
        </w:rPr>
        <w:t xml:space="preserve">appoint as many </w:t>
      </w:r>
      <w:r w:rsidRPr="009A0DA6">
        <w:rPr>
          <w:rFonts w:ascii="Cambria" w:eastAsia="Times New Roman" w:hAnsi="Cambria" w:cs="Times New Roman"/>
          <w:b/>
          <w:lang w:eastAsia="en-AU"/>
        </w:rPr>
        <w:t xml:space="preserve">establish </w:t>
      </w:r>
      <w:r w:rsidRPr="009A0DA6">
        <w:rPr>
          <w:rFonts w:ascii="Cambria" w:eastAsia="Times New Roman" w:hAnsi="Cambria" w:cs="Times New Roman"/>
          <w:strike/>
          <w:lang w:eastAsia="en-AU"/>
        </w:rPr>
        <w:t>B</w:t>
      </w:r>
      <w:r w:rsidRPr="009A0DA6">
        <w:rPr>
          <w:rFonts w:ascii="Cambria" w:eastAsia="Times New Roman" w:hAnsi="Cambria" w:cs="Times New Roman"/>
          <w:b/>
          <w:lang w:eastAsia="en-AU"/>
        </w:rPr>
        <w:t>b</w:t>
      </w:r>
      <w:r w:rsidRPr="009A0DA6">
        <w:rPr>
          <w:rFonts w:ascii="Cambria" w:eastAsia="Times New Roman" w:hAnsi="Cambria" w:cs="Times New Roman"/>
          <w:lang w:eastAsia="en-AU"/>
        </w:rPr>
        <w:t xml:space="preserve">oards and </w:t>
      </w:r>
      <w:r w:rsidRPr="009A0DA6">
        <w:rPr>
          <w:rFonts w:ascii="Cambria" w:eastAsia="Times New Roman" w:hAnsi="Cambria" w:cs="Times New Roman"/>
          <w:strike/>
          <w:lang w:eastAsia="en-AU"/>
        </w:rPr>
        <w:t xml:space="preserve">Standing Committees </w:t>
      </w:r>
      <w:r w:rsidRPr="009A0DA6">
        <w:rPr>
          <w:rFonts w:ascii="Cambria" w:eastAsia="Times New Roman" w:hAnsi="Cambria" w:cs="Times New Roman"/>
          <w:b/>
          <w:lang w:eastAsia="en-AU"/>
        </w:rPr>
        <w:t xml:space="preserve">councils </w:t>
      </w:r>
      <w:r w:rsidRPr="009A0DA6">
        <w:rPr>
          <w:rFonts w:ascii="Cambria" w:eastAsia="Times New Roman" w:hAnsi="Cambria" w:cs="Times New Roman"/>
          <w:lang w:eastAsia="en-AU"/>
        </w:rPr>
        <w:t>as it may deem necessary for the carrying out of its Objects</w:t>
      </w:r>
      <w:r w:rsidR="0027799A" w:rsidRPr="009A0DA6">
        <w:rPr>
          <w:rFonts w:ascii="Cambria" w:eastAsia="Times New Roman" w:hAnsi="Cambria" w:cs="Times New Roman"/>
          <w:lang w:eastAsia="en-AU"/>
        </w:rPr>
        <w:t xml:space="preserve">. </w:t>
      </w:r>
      <w:r w:rsidRPr="009A0DA6">
        <w:rPr>
          <w:rFonts w:ascii="Cambria" w:eastAsia="Times New Roman" w:hAnsi="Cambria" w:cs="Times New Roman"/>
          <w:lang w:eastAsia="en-AU"/>
        </w:rPr>
        <w:t xml:space="preserve">The rights and duties of such </w:t>
      </w:r>
      <w:r w:rsidRPr="009A0DA6">
        <w:rPr>
          <w:rFonts w:ascii="Cambria" w:eastAsia="Times New Roman" w:hAnsi="Cambria" w:cs="Times New Roman"/>
          <w:strike/>
          <w:lang w:eastAsia="en-AU"/>
        </w:rPr>
        <w:t>B</w:t>
      </w:r>
      <w:r w:rsidRPr="009A0DA6">
        <w:rPr>
          <w:rFonts w:ascii="Cambria" w:eastAsia="Times New Roman" w:hAnsi="Cambria" w:cs="Times New Roman"/>
          <w:b/>
          <w:lang w:eastAsia="en-AU"/>
        </w:rPr>
        <w:t>b</w:t>
      </w:r>
      <w:r w:rsidRPr="009A0DA6">
        <w:rPr>
          <w:rFonts w:ascii="Cambria" w:eastAsia="Times New Roman" w:hAnsi="Cambria" w:cs="Times New Roman"/>
          <w:lang w:eastAsia="en-AU"/>
        </w:rPr>
        <w:t xml:space="preserve">oards and </w:t>
      </w:r>
      <w:r w:rsidRPr="009A0DA6">
        <w:rPr>
          <w:rFonts w:ascii="Cambria" w:eastAsia="Times New Roman" w:hAnsi="Cambria" w:cs="Times New Roman"/>
          <w:strike/>
          <w:lang w:eastAsia="en-AU"/>
        </w:rPr>
        <w:t>Standing Committees</w:t>
      </w:r>
      <w:r w:rsidRPr="009A0DA6">
        <w:rPr>
          <w:rFonts w:ascii="Cambria" w:eastAsia="Times New Roman" w:hAnsi="Cambria" w:cs="Times New Roman"/>
          <w:lang w:eastAsia="en-AU"/>
        </w:rPr>
        <w:t xml:space="preserve"> </w:t>
      </w:r>
      <w:r w:rsidRPr="009A0DA6">
        <w:rPr>
          <w:rFonts w:ascii="Cambria" w:eastAsia="Times New Roman" w:hAnsi="Cambria" w:cs="Times New Roman"/>
          <w:b/>
          <w:lang w:eastAsia="en-AU"/>
        </w:rPr>
        <w:t xml:space="preserve">councils </w:t>
      </w:r>
      <w:r w:rsidRPr="009A0DA6">
        <w:rPr>
          <w:rFonts w:ascii="Cambria" w:eastAsia="Times New Roman" w:hAnsi="Cambria" w:cs="Times New Roman"/>
          <w:lang w:eastAsia="en-AU"/>
        </w:rPr>
        <w:t>shall be as prescribed by the By-laws.</w:t>
      </w:r>
    </w:p>
    <w:p w14:paraId="0BFDAB38" w14:textId="77777777" w:rsidR="00E0197D" w:rsidRPr="009A0DA6" w:rsidRDefault="00E0197D" w:rsidP="00E0197D">
      <w:pPr>
        <w:tabs>
          <w:tab w:val="left" w:pos="851"/>
          <w:tab w:val="left" w:pos="1985"/>
          <w:tab w:val="left" w:pos="3119"/>
          <w:tab w:val="left" w:pos="4536"/>
          <w:tab w:val="left" w:pos="5670"/>
        </w:tabs>
        <w:spacing w:after="0" w:line="240" w:lineRule="auto"/>
        <w:ind w:left="851" w:hanging="851"/>
        <w:rPr>
          <w:rFonts w:ascii="Cambria" w:eastAsia="Times New Roman" w:hAnsi="Cambria" w:cs="Times New Roman"/>
          <w:lang w:eastAsia="en-AU"/>
        </w:rPr>
      </w:pPr>
    </w:p>
    <w:p w14:paraId="1D9E2ECE" w14:textId="1A1778EF" w:rsidR="00E0197D" w:rsidRPr="009A0DA6" w:rsidRDefault="00E0197D" w:rsidP="00E0197D">
      <w:pPr>
        <w:shd w:val="clear" w:color="auto" w:fill="FFFFFF"/>
        <w:spacing w:after="0" w:line="240" w:lineRule="auto"/>
        <w:rPr>
          <w:rFonts w:ascii="Cambria" w:eastAsia="Times New Roman" w:hAnsi="Cambria" w:cs="Times New Roman"/>
          <w:bCs/>
          <w:color w:val="222222"/>
          <w:lang w:eastAsia="en-AU"/>
        </w:rPr>
      </w:pPr>
      <w:r w:rsidRPr="009A0DA6">
        <w:rPr>
          <w:rFonts w:ascii="Cambria" w:eastAsia="Times New Roman" w:hAnsi="Cambria" w:cs="Times New Roman"/>
          <w:b/>
          <w:bCs/>
          <w:color w:val="222222"/>
          <w:lang w:eastAsia="en-AU"/>
        </w:rPr>
        <w:t>BE IT FURTHER RESOLVED</w:t>
      </w:r>
      <w:r w:rsidRPr="009A0DA6">
        <w:rPr>
          <w:rFonts w:ascii="Cambria" w:eastAsia="Times New Roman" w:hAnsi="Cambria" w:cs="Times New Roman"/>
          <w:bCs/>
          <w:color w:val="222222"/>
          <w:lang w:eastAsia="en-AU"/>
        </w:rPr>
        <w:t xml:space="preserve"> that </w:t>
      </w:r>
      <w:r w:rsidRPr="009A0DA6">
        <w:rPr>
          <w:rFonts w:ascii="Cambria" w:eastAsia="Times New Roman" w:hAnsi="Cambria" w:cs="Times New Roman"/>
          <w:b/>
          <w:bCs/>
          <w:color w:val="222222"/>
          <w:lang w:eastAsia="en-AU"/>
        </w:rPr>
        <w:t>Section 8.4 The General Church Council, Section 8.7 The Boards of the Church and Section 11 By-laws</w:t>
      </w:r>
      <w:r w:rsidRPr="009A0DA6">
        <w:rPr>
          <w:rFonts w:ascii="Cambria" w:eastAsia="Times New Roman" w:hAnsi="Cambria" w:cs="Times New Roman"/>
          <w:bCs/>
          <w:color w:val="222222"/>
          <w:lang w:eastAsia="en-AU"/>
        </w:rPr>
        <w:t xml:space="preserve"> be amended in consequence of the above amendment to Article 8 to allow for the implementation of the revised national functions as follows (words to be deleted – </w:t>
      </w:r>
      <w:r w:rsidRPr="009A0DA6">
        <w:rPr>
          <w:rFonts w:ascii="Cambria" w:eastAsia="Times New Roman" w:hAnsi="Cambria" w:cs="Times New Roman"/>
          <w:bCs/>
          <w:strike/>
          <w:color w:val="222222"/>
          <w:lang w:eastAsia="en-AU"/>
        </w:rPr>
        <w:t>strikethrough</w:t>
      </w:r>
      <w:r w:rsidRPr="009A0DA6">
        <w:rPr>
          <w:rFonts w:ascii="Cambria" w:eastAsia="Times New Roman" w:hAnsi="Cambria" w:cs="Times New Roman"/>
          <w:bCs/>
          <w:color w:val="222222"/>
          <w:lang w:eastAsia="en-AU"/>
        </w:rPr>
        <w:t xml:space="preserve">;  words to be added – </w:t>
      </w:r>
      <w:r w:rsidRPr="009A0DA6">
        <w:rPr>
          <w:rFonts w:ascii="Cambria" w:eastAsia="Times New Roman" w:hAnsi="Cambria" w:cs="Times New Roman"/>
          <w:b/>
          <w:bCs/>
          <w:color w:val="222222"/>
          <w:lang w:eastAsia="en-AU"/>
        </w:rPr>
        <w:t>bold</w:t>
      </w:r>
      <w:r w:rsidRPr="009A0DA6">
        <w:rPr>
          <w:rFonts w:ascii="Cambria" w:eastAsia="Times New Roman" w:hAnsi="Cambria" w:cs="Times New Roman"/>
          <w:bCs/>
          <w:color w:val="222222"/>
          <w:lang w:eastAsia="en-AU"/>
        </w:rPr>
        <w:t>):</w:t>
      </w:r>
    </w:p>
    <w:p w14:paraId="587655CC" w14:textId="11871F13" w:rsidR="00E0197D" w:rsidRPr="009A0DA6" w:rsidRDefault="00E0197D" w:rsidP="00E0197D">
      <w:pPr>
        <w:tabs>
          <w:tab w:val="left" w:pos="851"/>
          <w:tab w:val="left" w:pos="1985"/>
          <w:tab w:val="left" w:pos="3119"/>
          <w:tab w:val="left" w:pos="4536"/>
          <w:tab w:val="left" w:pos="5670"/>
        </w:tabs>
        <w:spacing w:after="0" w:line="240" w:lineRule="auto"/>
        <w:jc w:val="center"/>
        <w:rPr>
          <w:rFonts w:ascii="Cambria" w:eastAsia="Times New Roman" w:hAnsi="Cambria" w:cs="Times New Roman"/>
          <w:b/>
          <w:strike/>
          <w:lang w:eastAsia="en-AU"/>
        </w:rPr>
      </w:pPr>
      <w:r w:rsidRPr="009A0DA6">
        <w:rPr>
          <w:rFonts w:ascii="Cambria" w:eastAsia="Times New Roman" w:hAnsi="Cambria" w:cs="Times New Roman"/>
          <w:b/>
          <w:strike/>
          <w:lang w:eastAsia="en-AU"/>
        </w:rPr>
        <w:br/>
        <w:t>SECTION  8.4   THE  GENERAL  CHURCH  COUNCIL</w:t>
      </w:r>
    </w:p>
    <w:p w14:paraId="4EC65F75" w14:textId="77777777" w:rsidR="00E0197D" w:rsidRPr="009A0DA6" w:rsidRDefault="00E0197D" w:rsidP="00E0197D">
      <w:pPr>
        <w:tabs>
          <w:tab w:val="left" w:pos="851"/>
          <w:tab w:val="left" w:pos="1985"/>
          <w:tab w:val="left" w:pos="3119"/>
          <w:tab w:val="left" w:pos="4536"/>
          <w:tab w:val="left" w:pos="5670"/>
        </w:tabs>
        <w:spacing w:after="0" w:line="240" w:lineRule="auto"/>
        <w:ind w:left="567" w:hanging="567"/>
        <w:rPr>
          <w:rFonts w:ascii="Cambria" w:eastAsia="Times New Roman" w:hAnsi="Cambria" w:cs="Times New Roman"/>
          <w:strike/>
          <w:sz w:val="10"/>
          <w:lang w:eastAsia="en-AU"/>
        </w:rPr>
      </w:pPr>
    </w:p>
    <w:p w14:paraId="2B48D802" w14:textId="3EFC7972" w:rsidR="00E0197D" w:rsidRPr="009A0DA6" w:rsidRDefault="00E0197D" w:rsidP="00E0197D">
      <w:pPr>
        <w:tabs>
          <w:tab w:val="left" w:pos="851"/>
          <w:tab w:val="left" w:pos="1985"/>
          <w:tab w:val="left" w:pos="3119"/>
          <w:tab w:val="left" w:pos="4536"/>
          <w:tab w:val="left" w:pos="5670"/>
        </w:tabs>
        <w:spacing w:after="0" w:line="240" w:lineRule="auto"/>
        <w:ind w:left="1985" w:hanging="1985"/>
        <w:rPr>
          <w:rFonts w:ascii="Cambria" w:eastAsia="Times New Roman" w:hAnsi="Cambria" w:cs="Times New Roman"/>
          <w:strike/>
          <w:lang w:eastAsia="en-AU"/>
        </w:rPr>
      </w:pPr>
      <w:r w:rsidRPr="009A0DA6">
        <w:rPr>
          <w:rFonts w:ascii="Cambria" w:eastAsia="Times New Roman" w:hAnsi="Cambria" w:cs="Times New Roman"/>
          <w:strike/>
          <w:lang w:eastAsia="en-AU"/>
        </w:rPr>
        <w:t>8.4.4</w:t>
      </w:r>
      <w:r w:rsidRPr="009A0DA6">
        <w:rPr>
          <w:rFonts w:ascii="Cambria" w:eastAsia="Times New Roman" w:hAnsi="Cambria" w:cs="Times New Roman"/>
          <w:strike/>
          <w:lang w:eastAsia="en-AU"/>
        </w:rPr>
        <w:tab/>
        <w:t>8.4.4.1</w:t>
      </w:r>
      <w:r w:rsidRPr="009A0DA6">
        <w:rPr>
          <w:rFonts w:ascii="Cambria" w:eastAsia="Times New Roman" w:hAnsi="Cambria" w:cs="Times New Roman"/>
          <w:strike/>
          <w:lang w:eastAsia="en-AU"/>
        </w:rPr>
        <w:tab/>
        <w:t>There shall be an Executive of the General Church Council, consisting of the Bishop, and six [6] other members including at least two [2] pastor members and at least two [2] lay members, appointed by the General Church Council.</w:t>
      </w:r>
    </w:p>
    <w:p w14:paraId="249389AA" w14:textId="77777777" w:rsidR="00E0197D" w:rsidRPr="009A0DA6" w:rsidRDefault="00E0197D" w:rsidP="00E0197D">
      <w:pPr>
        <w:tabs>
          <w:tab w:val="left" w:pos="851"/>
          <w:tab w:val="left" w:pos="1985"/>
          <w:tab w:val="left" w:pos="3119"/>
          <w:tab w:val="left" w:pos="4536"/>
          <w:tab w:val="left" w:pos="5670"/>
        </w:tabs>
        <w:spacing w:after="0" w:line="240" w:lineRule="auto"/>
        <w:ind w:left="1985" w:hanging="1985"/>
        <w:rPr>
          <w:rFonts w:ascii="Cambria" w:eastAsia="Times New Roman" w:hAnsi="Cambria" w:cs="Times New Roman"/>
          <w:strike/>
          <w:lang w:eastAsia="en-AU"/>
        </w:rPr>
      </w:pPr>
      <w:r w:rsidRPr="009A0DA6">
        <w:rPr>
          <w:rFonts w:ascii="Cambria" w:eastAsia="Times New Roman" w:hAnsi="Cambria" w:cs="Times New Roman"/>
          <w:strike/>
          <w:lang w:eastAsia="en-AU"/>
        </w:rPr>
        <w:tab/>
        <w:t>8.4.4.2</w:t>
      </w:r>
      <w:r w:rsidRPr="009A0DA6">
        <w:rPr>
          <w:rFonts w:ascii="Cambria" w:eastAsia="Times New Roman" w:hAnsi="Cambria" w:cs="Times New Roman"/>
          <w:strike/>
          <w:lang w:eastAsia="en-AU"/>
        </w:rPr>
        <w:tab/>
        <w:t>The duties of the Executive of the General Church Council shall be to</w:t>
      </w:r>
    </w:p>
    <w:p w14:paraId="4B14F66E" w14:textId="77777777" w:rsidR="00E0197D" w:rsidRPr="009A0DA6" w:rsidRDefault="00E0197D" w:rsidP="00E0197D">
      <w:pPr>
        <w:tabs>
          <w:tab w:val="left" w:pos="851"/>
          <w:tab w:val="left" w:pos="1985"/>
          <w:tab w:val="left" w:pos="3119"/>
          <w:tab w:val="left" w:pos="4536"/>
          <w:tab w:val="left" w:pos="5670"/>
        </w:tabs>
        <w:spacing w:after="0" w:line="240" w:lineRule="auto"/>
        <w:ind w:left="3119" w:hanging="3119"/>
        <w:rPr>
          <w:rFonts w:ascii="Cambria" w:eastAsia="Times New Roman" w:hAnsi="Cambria" w:cs="Times New Roman"/>
          <w:strike/>
          <w:lang w:eastAsia="en-AU"/>
        </w:rPr>
      </w:pPr>
      <w:r w:rsidRPr="009A0DA6">
        <w:rPr>
          <w:rFonts w:ascii="Cambria" w:eastAsia="Times New Roman" w:hAnsi="Cambria" w:cs="Times New Roman"/>
          <w:strike/>
          <w:lang w:eastAsia="en-AU"/>
        </w:rPr>
        <w:tab/>
      </w:r>
      <w:r w:rsidRPr="009A0DA6">
        <w:rPr>
          <w:rFonts w:ascii="Cambria" w:eastAsia="Times New Roman" w:hAnsi="Cambria" w:cs="Times New Roman"/>
          <w:strike/>
          <w:lang w:eastAsia="en-AU"/>
        </w:rPr>
        <w:tab/>
        <w:t>8.4.4.2.1</w:t>
      </w:r>
      <w:r w:rsidRPr="009A0DA6">
        <w:rPr>
          <w:rFonts w:ascii="Cambria" w:eastAsia="Times New Roman" w:hAnsi="Cambria" w:cs="Times New Roman"/>
          <w:strike/>
          <w:lang w:eastAsia="en-AU"/>
        </w:rPr>
        <w:tab/>
        <w:t>carry out such tasks as are delegated to it by the General Church Council;</w:t>
      </w:r>
    </w:p>
    <w:p w14:paraId="7E3EB239" w14:textId="77777777" w:rsidR="00E0197D" w:rsidRPr="009A0DA6" w:rsidRDefault="00E0197D" w:rsidP="00E0197D">
      <w:pPr>
        <w:tabs>
          <w:tab w:val="left" w:pos="851"/>
          <w:tab w:val="left" w:pos="1985"/>
          <w:tab w:val="left" w:pos="3119"/>
          <w:tab w:val="left" w:pos="4536"/>
          <w:tab w:val="left" w:pos="5670"/>
        </w:tabs>
        <w:spacing w:after="0" w:line="240" w:lineRule="auto"/>
        <w:ind w:left="3119" w:hanging="3119"/>
        <w:rPr>
          <w:rFonts w:ascii="Cambria" w:eastAsia="Times New Roman" w:hAnsi="Cambria" w:cs="Times New Roman"/>
          <w:strike/>
          <w:lang w:eastAsia="en-AU"/>
        </w:rPr>
      </w:pPr>
      <w:r w:rsidRPr="009A0DA6">
        <w:rPr>
          <w:rFonts w:ascii="Cambria" w:eastAsia="Times New Roman" w:hAnsi="Cambria" w:cs="Times New Roman"/>
          <w:strike/>
          <w:lang w:eastAsia="en-AU"/>
        </w:rPr>
        <w:tab/>
      </w:r>
      <w:r w:rsidRPr="009A0DA6">
        <w:rPr>
          <w:rFonts w:ascii="Cambria" w:eastAsia="Times New Roman" w:hAnsi="Cambria" w:cs="Times New Roman"/>
          <w:strike/>
          <w:lang w:eastAsia="en-AU"/>
        </w:rPr>
        <w:tab/>
        <w:t>8.4.4.2.2</w:t>
      </w:r>
      <w:r w:rsidRPr="009A0DA6">
        <w:rPr>
          <w:rFonts w:ascii="Cambria" w:eastAsia="Times New Roman" w:hAnsi="Cambria" w:cs="Times New Roman"/>
          <w:strike/>
          <w:lang w:eastAsia="en-AU"/>
        </w:rPr>
        <w:tab/>
        <w:t>attend to routine matters in accordance with the policy as generally defined by the General Church Council;</w:t>
      </w:r>
    </w:p>
    <w:p w14:paraId="464833DC" w14:textId="77777777" w:rsidR="00E0197D" w:rsidRPr="009A0DA6" w:rsidRDefault="00E0197D" w:rsidP="00E0197D">
      <w:pPr>
        <w:tabs>
          <w:tab w:val="left" w:pos="851"/>
          <w:tab w:val="left" w:pos="1985"/>
          <w:tab w:val="left" w:pos="3119"/>
          <w:tab w:val="left" w:pos="4536"/>
          <w:tab w:val="left" w:pos="5670"/>
        </w:tabs>
        <w:spacing w:after="0" w:line="240" w:lineRule="auto"/>
        <w:ind w:left="3119" w:hanging="3119"/>
        <w:rPr>
          <w:rFonts w:ascii="Cambria" w:eastAsia="Times New Roman" w:hAnsi="Cambria" w:cs="Times New Roman"/>
          <w:strike/>
          <w:lang w:eastAsia="en-AU"/>
        </w:rPr>
      </w:pPr>
      <w:r w:rsidRPr="009A0DA6">
        <w:rPr>
          <w:rFonts w:ascii="Cambria" w:eastAsia="Times New Roman" w:hAnsi="Cambria" w:cs="Times New Roman"/>
          <w:strike/>
          <w:lang w:eastAsia="en-AU"/>
        </w:rPr>
        <w:tab/>
      </w:r>
      <w:r w:rsidRPr="009A0DA6">
        <w:rPr>
          <w:rFonts w:ascii="Cambria" w:eastAsia="Times New Roman" w:hAnsi="Cambria" w:cs="Times New Roman"/>
          <w:strike/>
          <w:lang w:eastAsia="en-AU"/>
        </w:rPr>
        <w:tab/>
        <w:t>8.4.4.2.3</w:t>
      </w:r>
      <w:r w:rsidRPr="009A0DA6">
        <w:rPr>
          <w:rFonts w:ascii="Cambria" w:eastAsia="Times New Roman" w:hAnsi="Cambria" w:cs="Times New Roman"/>
          <w:strike/>
          <w:lang w:eastAsia="en-AU"/>
        </w:rPr>
        <w:tab/>
        <w:t>advise the Bishop on any matters the Bishop desires to place before it;</w:t>
      </w:r>
    </w:p>
    <w:p w14:paraId="5AFA6233" w14:textId="77777777" w:rsidR="00E0197D" w:rsidRPr="009A0DA6" w:rsidRDefault="00E0197D" w:rsidP="00E0197D">
      <w:pPr>
        <w:tabs>
          <w:tab w:val="left" w:pos="851"/>
          <w:tab w:val="left" w:pos="1985"/>
          <w:tab w:val="left" w:pos="3119"/>
          <w:tab w:val="left" w:pos="4536"/>
          <w:tab w:val="left" w:pos="5670"/>
        </w:tabs>
        <w:spacing w:after="0" w:line="240" w:lineRule="auto"/>
        <w:ind w:left="3119" w:hanging="3119"/>
        <w:rPr>
          <w:rFonts w:ascii="Cambria" w:eastAsia="Times New Roman" w:hAnsi="Cambria" w:cs="Times New Roman"/>
          <w:strike/>
          <w:lang w:eastAsia="en-AU"/>
        </w:rPr>
      </w:pPr>
      <w:r w:rsidRPr="009A0DA6">
        <w:rPr>
          <w:rFonts w:ascii="Cambria" w:eastAsia="Times New Roman" w:hAnsi="Cambria" w:cs="Times New Roman"/>
          <w:strike/>
          <w:lang w:eastAsia="en-AU"/>
        </w:rPr>
        <w:tab/>
      </w:r>
      <w:r w:rsidRPr="009A0DA6">
        <w:rPr>
          <w:rFonts w:ascii="Cambria" w:eastAsia="Times New Roman" w:hAnsi="Cambria" w:cs="Times New Roman"/>
          <w:strike/>
          <w:lang w:eastAsia="en-AU"/>
        </w:rPr>
        <w:tab/>
        <w:t>8.4.4.2.4</w:t>
      </w:r>
      <w:r w:rsidRPr="009A0DA6">
        <w:rPr>
          <w:rFonts w:ascii="Cambria" w:eastAsia="Times New Roman" w:hAnsi="Cambria" w:cs="Times New Roman"/>
          <w:strike/>
          <w:lang w:eastAsia="en-AU"/>
        </w:rPr>
        <w:tab/>
        <w:t>determine the Register of Lay Workers;</w:t>
      </w:r>
    </w:p>
    <w:p w14:paraId="52963237" w14:textId="77777777" w:rsidR="00E0197D" w:rsidRPr="009A0DA6" w:rsidRDefault="00E0197D" w:rsidP="00E0197D">
      <w:pPr>
        <w:tabs>
          <w:tab w:val="left" w:pos="851"/>
          <w:tab w:val="left" w:pos="1985"/>
          <w:tab w:val="left" w:pos="3119"/>
          <w:tab w:val="left" w:pos="4536"/>
          <w:tab w:val="left" w:pos="5670"/>
        </w:tabs>
        <w:spacing w:after="0" w:line="240" w:lineRule="auto"/>
        <w:ind w:left="3119" w:hanging="3119"/>
        <w:rPr>
          <w:rFonts w:ascii="Cambria" w:eastAsia="Times New Roman" w:hAnsi="Cambria" w:cs="Times New Roman"/>
          <w:strike/>
          <w:lang w:eastAsia="en-AU"/>
        </w:rPr>
      </w:pPr>
      <w:r w:rsidRPr="009A0DA6">
        <w:rPr>
          <w:rFonts w:ascii="Cambria" w:eastAsia="Times New Roman" w:hAnsi="Cambria" w:cs="Times New Roman"/>
          <w:strike/>
          <w:lang w:eastAsia="en-AU"/>
        </w:rPr>
        <w:tab/>
      </w:r>
      <w:r w:rsidRPr="009A0DA6">
        <w:rPr>
          <w:rFonts w:ascii="Cambria" w:eastAsia="Times New Roman" w:hAnsi="Cambria" w:cs="Times New Roman"/>
          <w:strike/>
          <w:lang w:eastAsia="en-AU"/>
        </w:rPr>
        <w:tab/>
        <w:t>8.4.4.2.5</w:t>
      </w:r>
      <w:r w:rsidRPr="009A0DA6">
        <w:rPr>
          <w:rFonts w:ascii="Cambria" w:eastAsia="Times New Roman" w:hAnsi="Cambria" w:cs="Times New Roman"/>
          <w:strike/>
          <w:lang w:eastAsia="en-AU"/>
        </w:rPr>
        <w:tab/>
        <w:t>determine the rentals to be paid by tenants of Church-owned property;  and</w:t>
      </w:r>
    </w:p>
    <w:p w14:paraId="67115333" w14:textId="77777777" w:rsidR="00E0197D" w:rsidRPr="009A0DA6" w:rsidRDefault="00E0197D" w:rsidP="00E0197D">
      <w:pPr>
        <w:tabs>
          <w:tab w:val="left" w:pos="851"/>
          <w:tab w:val="left" w:pos="1985"/>
          <w:tab w:val="left" w:pos="3119"/>
          <w:tab w:val="left" w:pos="4536"/>
          <w:tab w:val="left" w:pos="5670"/>
        </w:tabs>
        <w:spacing w:after="0" w:line="240" w:lineRule="auto"/>
        <w:ind w:left="3119" w:hanging="3119"/>
        <w:rPr>
          <w:rFonts w:ascii="Cambria" w:eastAsia="Times New Roman" w:hAnsi="Cambria" w:cs="Times New Roman"/>
          <w:strike/>
          <w:lang w:eastAsia="en-AU"/>
        </w:rPr>
      </w:pPr>
      <w:r w:rsidRPr="009A0DA6">
        <w:rPr>
          <w:rFonts w:ascii="Cambria" w:eastAsia="Times New Roman" w:hAnsi="Cambria" w:cs="Times New Roman"/>
          <w:strike/>
          <w:lang w:eastAsia="en-AU"/>
        </w:rPr>
        <w:tab/>
      </w:r>
      <w:r w:rsidRPr="009A0DA6">
        <w:rPr>
          <w:rFonts w:ascii="Cambria" w:eastAsia="Times New Roman" w:hAnsi="Cambria" w:cs="Times New Roman"/>
          <w:strike/>
          <w:lang w:eastAsia="en-AU"/>
        </w:rPr>
        <w:tab/>
        <w:t>8.4.4.2.6</w:t>
      </w:r>
      <w:r w:rsidRPr="009A0DA6">
        <w:rPr>
          <w:rFonts w:ascii="Cambria" w:eastAsia="Times New Roman" w:hAnsi="Cambria" w:cs="Times New Roman"/>
          <w:strike/>
          <w:lang w:eastAsia="en-AU"/>
        </w:rPr>
        <w:tab/>
        <w:t xml:space="preserve">report all decisions to the General Church Council. </w:t>
      </w:r>
    </w:p>
    <w:p w14:paraId="1EB1C8F6" w14:textId="77777777" w:rsidR="00E0197D" w:rsidRPr="009A0DA6" w:rsidRDefault="00E0197D" w:rsidP="00E0197D">
      <w:pPr>
        <w:tabs>
          <w:tab w:val="left" w:pos="851"/>
          <w:tab w:val="left" w:pos="1985"/>
          <w:tab w:val="left" w:pos="3119"/>
          <w:tab w:val="left" w:pos="4536"/>
          <w:tab w:val="left" w:pos="5670"/>
        </w:tabs>
        <w:spacing w:after="0" w:line="240" w:lineRule="auto"/>
        <w:ind w:left="1985" w:hanging="1985"/>
        <w:rPr>
          <w:rFonts w:ascii="Cambria" w:eastAsia="Times New Roman" w:hAnsi="Cambria" w:cs="Times New Roman"/>
          <w:strike/>
          <w:lang w:eastAsia="en-AU"/>
        </w:rPr>
      </w:pPr>
      <w:r w:rsidRPr="009A0DA6">
        <w:rPr>
          <w:rFonts w:ascii="Cambria" w:eastAsia="Times New Roman" w:hAnsi="Cambria" w:cs="Times New Roman"/>
          <w:strike/>
          <w:lang w:eastAsia="en-AU"/>
        </w:rPr>
        <w:tab/>
        <w:t>8.4.4.3</w:t>
      </w:r>
      <w:r w:rsidRPr="009A0DA6">
        <w:rPr>
          <w:rFonts w:ascii="Cambria" w:eastAsia="Times New Roman" w:hAnsi="Cambria" w:cs="Times New Roman"/>
          <w:strike/>
          <w:lang w:eastAsia="en-AU"/>
        </w:rPr>
        <w:tab/>
        <w:t>The Executive of the General Church Council shall be empowered at its discretion to call conferences of executive officers and such other persons as it deems advisable, to advise in the planning and coordination of the Church's program or any portion thereof.</w:t>
      </w:r>
    </w:p>
    <w:p w14:paraId="25773B64" w14:textId="77777777" w:rsidR="00E0197D" w:rsidRPr="009A0DA6" w:rsidRDefault="00E0197D" w:rsidP="00E0197D">
      <w:pPr>
        <w:tabs>
          <w:tab w:val="left" w:pos="851"/>
          <w:tab w:val="left" w:pos="1985"/>
          <w:tab w:val="left" w:pos="3119"/>
          <w:tab w:val="left" w:pos="4536"/>
          <w:tab w:val="left" w:pos="5670"/>
        </w:tabs>
        <w:spacing w:after="0" w:line="240" w:lineRule="auto"/>
        <w:rPr>
          <w:rFonts w:ascii="Cambria" w:eastAsia="Times New Roman" w:hAnsi="Cambria" w:cs="Times New Roman"/>
          <w:lang w:eastAsia="en-AU"/>
        </w:rPr>
      </w:pPr>
    </w:p>
    <w:p w14:paraId="6A2E43BE" w14:textId="07BFE2DD" w:rsidR="00E0197D" w:rsidRPr="009A0DA6" w:rsidRDefault="00E0197D" w:rsidP="00E0197D">
      <w:pPr>
        <w:tabs>
          <w:tab w:val="left" w:pos="851"/>
          <w:tab w:val="left" w:pos="1985"/>
          <w:tab w:val="left" w:pos="3119"/>
          <w:tab w:val="left" w:pos="4536"/>
          <w:tab w:val="left" w:pos="5670"/>
        </w:tabs>
        <w:spacing w:after="0" w:line="240" w:lineRule="auto"/>
        <w:jc w:val="center"/>
        <w:rPr>
          <w:rFonts w:ascii="Cambria" w:eastAsia="Times New Roman" w:hAnsi="Cambria" w:cs="Times New Roman"/>
          <w:sz w:val="10"/>
          <w:lang w:eastAsia="en-AU"/>
        </w:rPr>
      </w:pPr>
      <w:r w:rsidRPr="009A0DA6">
        <w:rPr>
          <w:rFonts w:ascii="Cambria" w:eastAsia="Times New Roman" w:hAnsi="Cambria" w:cs="Times New Roman"/>
          <w:b/>
          <w:lang w:eastAsia="en-AU"/>
        </w:rPr>
        <w:t xml:space="preserve">SECTION 8.7 THE BOARDS </w:t>
      </w:r>
      <w:r w:rsidRPr="009A0DA6">
        <w:rPr>
          <w:rFonts w:ascii="Cambria" w:eastAsia="Times New Roman" w:hAnsi="Cambria" w:cs="Times New Roman"/>
          <w:b/>
          <w:u w:val="single"/>
          <w:lang w:eastAsia="en-AU"/>
        </w:rPr>
        <w:t>AND COUNCILS</w:t>
      </w:r>
      <w:r w:rsidRPr="009A0DA6">
        <w:rPr>
          <w:rFonts w:ascii="Cambria" w:eastAsia="Times New Roman" w:hAnsi="Cambria" w:cs="Times New Roman"/>
          <w:b/>
          <w:lang w:eastAsia="en-AU"/>
        </w:rPr>
        <w:t xml:space="preserve"> OF THE CHURCH</w:t>
      </w:r>
      <w:r w:rsidRPr="009A0DA6">
        <w:rPr>
          <w:rFonts w:ascii="Cambria" w:eastAsia="Times New Roman" w:hAnsi="Cambria" w:cs="Times New Roman"/>
          <w:b/>
          <w:lang w:eastAsia="en-AU"/>
        </w:rPr>
        <w:br/>
      </w:r>
    </w:p>
    <w:p w14:paraId="0BE9B6C1" w14:textId="3A4A644A" w:rsidR="00E0197D" w:rsidRPr="009A0DA6" w:rsidRDefault="00E0197D" w:rsidP="00E0197D">
      <w:pPr>
        <w:tabs>
          <w:tab w:val="left" w:pos="851"/>
          <w:tab w:val="left" w:pos="1985"/>
          <w:tab w:val="left" w:pos="3119"/>
          <w:tab w:val="left" w:pos="4536"/>
          <w:tab w:val="left" w:pos="5670"/>
        </w:tabs>
        <w:spacing w:after="0" w:line="240" w:lineRule="auto"/>
        <w:ind w:left="851" w:hanging="850"/>
        <w:rPr>
          <w:rFonts w:ascii="Cambria" w:eastAsia="Times New Roman" w:hAnsi="Cambria" w:cs="Times New Roman"/>
          <w:lang w:eastAsia="en-AU"/>
        </w:rPr>
      </w:pPr>
      <w:r w:rsidRPr="009A0DA6">
        <w:rPr>
          <w:rFonts w:ascii="Cambria" w:eastAsia="Times New Roman" w:hAnsi="Cambria" w:cs="Times New Roman"/>
          <w:lang w:eastAsia="en-AU"/>
        </w:rPr>
        <w:t>8.7.1</w:t>
      </w:r>
      <w:r w:rsidRPr="009A0DA6">
        <w:rPr>
          <w:rFonts w:ascii="Cambria" w:eastAsia="Times New Roman" w:hAnsi="Cambria" w:cs="Times New Roman"/>
          <w:lang w:eastAsia="en-AU"/>
        </w:rPr>
        <w:tab/>
        <w:t>The By-laws in this section shall govern the administration of all boards and councils of the Church</w:t>
      </w:r>
      <w:r w:rsidR="0027799A" w:rsidRPr="009A0DA6">
        <w:rPr>
          <w:rFonts w:ascii="Cambria" w:eastAsia="Times New Roman" w:hAnsi="Cambria" w:cs="Times New Roman"/>
          <w:lang w:eastAsia="en-AU"/>
        </w:rPr>
        <w:t xml:space="preserve">. </w:t>
      </w:r>
      <w:r w:rsidRPr="009A0DA6">
        <w:rPr>
          <w:rFonts w:ascii="Cambria" w:eastAsia="Times New Roman" w:hAnsi="Cambria" w:cs="Times New Roman"/>
          <w:strike/>
          <w:lang w:eastAsia="en-AU"/>
        </w:rPr>
        <w:t>The term ‘board' in the By-laws shall mean a</w:t>
      </w:r>
      <w:r w:rsidRPr="009A0DA6">
        <w:rPr>
          <w:rFonts w:ascii="Cambria" w:eastAsia="Times New Roman" w:hAnsi="Cambria" w:cs="Times New Roman"/>
          <w:b/>
          <w:strike/>
          <w:lang w:eastAsia="en-AU"/>
        </w:rPr>
        <w:t xml:space="preserve"> </w:t>
      </w:r>
      <w:r w:rsidRPr="009A0DA6">
        <w:rPr>
          <w:rFonts w:ascii="Cambria" w:eastAsia="Times New Roman" w:hAnsi="Cambria" w:cs="Times New Roman"/>
          <w:strike/>
          <w:lang w:eastAsia="en-AU"/>
        </w:rPr>
        <w:t>Council, Board, Department, Standing Committee or Commission of the Church.</w:t>
      </w:r>
    </w:p>
    <w:p w14:paraId="2014BEB7" w14:textId="77777777" w:rsidR="00E0197D" w:rsidRPr="009A0DA6" w:rsidRDefault="00E0197D" w:rsidP="00E0197D">
      <w:pPr>
        <w:tabs>
          <w:tab w:val="left" w:pos="851"/>
          <w:tab w:val="left" w:pos="1985"/>
          <w:tab w:val="left" w:pos="3119"/>
          <w:tab w:val="left" w:pos="4536"/>
          <w:tab w:val="left" w:pos="5670"/>
        </w:tabs>
        <w:spacing w:after="0" w:line="240" w:lineRule="auto"/>
        <w:ind w:left="851" w:hanging="851"/>
        <w:rPr>
          <w:rFonts w:ascii="Cambria" w:eastAsia="Times New Roman" w:hAnsi="Cambria" w:cs="Times New Roman"/>
          <w:lang w:eastAsia="en-AU"/>
        </w:rPr>
      </w:pPr>
      <w:r w:rsidRPr="009A0DA6">
        <w:rPr>
          <w:rFonts w:ascii="Cambria" w:eastAsia="Times New Roman" w:hAnsi="Cambria" w:cs="Times New Roman"/>
          <w:lang w:eastAsia="en-AU"/>
        </w:rPr>
        <w:t>8.7.2</w:t>
      </w:r>
      <w:r w:rsidRPr="009A0DA6">
        <w:rPr>
          <w:rFonts w:ascii="Cambria" w:eastAsia="Times New Roman" w:hAnsi="Cambria" w:cs="Times New Roman"/>
          <w:lang w:eastAsia="en-AU"/>
        </w:rPr>
        <w:tab/>
      </w:r>
      <w:r w:rsidRPr="009A0DA6">
        <w:rPr>
          <w:rFonts w:ascii="Cambria" w:eastAsia="Times New Roman" w:hAnsi="Cambria" w:cs="Times New Roman"/>
          <w:b/>
          <w:lang w:eastAsia="en-AU"/>
        </w:rPr>
        <w:t>8.7.2.1</w:t>
      </w:r>
      <w:r w:rsidRPr="009A0DA6">
        <w:rPr>
          <w:rFonts w:ascii="Cambria" w:eastAsia="Times New Roman" w:hAnsi="Cambria" w:cs="Times New Roman"/>
          <w:b/>
          <w:lang w:eastAsia="en-AU"/>
        </w:rPr>
        <w:tab/>
      </w:r>
      <w:r w:rsidRPr="009A0DA6">
        <w:rPr>
          <w:rFonts w:ascii="Cambria" w:eastAsia="Times New Roman" w:hAnsi="Cambria" w:cs="Times New Roman"/>
          <w:lang w:eastAsia="en-AU"/>
        </w:rPr>
        <w:t>The boards of the Church shall be</w:t>
      </w:r>
    </w:p>
    <w:p w14:paraId="56E53996" w14:textId="77777777" w:rsidR="00E0197D" w:rsidRPr="009A0DA6" w:rsidRDefault="00E0197D" w:rsidP="00E0197D">
      <w:pPr>
        <w:tabs>
          <w:tab w:val="left" w:pos="851"/>
          <w:tab w:val="left" w:pos="1985"/>
          <w:tab w:val="left" w:pos="3119"/>
          <w:tab w:val="left" w:pos="4536"/>
          <w:tab w:val="left" w:pos="5670"/>
        </w:tabs>
        <w:spacing w:after="0" w:line="240" w:lineRule="auto"/>
        <w:ind w:left="1985" w:hanging="1985"/>
        <w:rPr>
          <w:rFonts w:ascii="Cambria" w:eastAsia="Times New Roman" w:hAnsi="Cambria" w:cs="Times New Roman"/>
          <w:strike/>
          <w:lang w:eastAsia="en-AU"/>
        </w:rPr>
      </w:pPr>
      <w:r w:rsidRPr="009A0DA6">
        <w:rPr>
          <w:rFonts w:ascii="Cambria" w:eastAsia="Times New Roman" w:hAnsi="Cambria" w:cs="Times New Roman"/>
          <w:strike/>
          <w:lang w:eastAsia="en-AU"/>
        </w:rPr>
        <w:tab/>
        <w:t>8.7.2.1</w:t>
      </w:r>
      <w:r w:rsidRPr="009A0DA6">
        <w:rPr>
          <w:rFonts w:ascii="Cambria" w:eastAsia="Times New Roman" w:hAnsi="Cambria" w:cs="Times New Roman"/>
          <w:strike/>
          <w:lang w:eastAsia="en-AU"/>
        </w:rPr>
        <w:tab/>
        <w:t>Board for Lay Ministry;</w:t>
      </w:r>
    </w:p>
    <w:p w14:paraId="32DF17CB" w14:textId="77777777" w:rsidR="00E0197D" w:rsidRPr="009A0DA6" w:rsidRDefault="00E0197D" w:rsidP="00E0197D">
      <w:pPr>
        <w:tabs>
          <w:tab w:val="left" w:pos="851"/>
          <w:tab w:val="left" w:pos="1985"/>
          <w:tab w:val="left" w:pos="3119"/>
          <w:tab w:val="left" w:pos="4536"/>
          <w:tab w:val="left" w:pos="5670"/>
        </w:tabs>
        <w:spacing w:after="0" w:line="240" w:lineRule="auto"/>
        <w:ind w:left="1985" w:hanging="1985"/>
        <w:rPr>
          <w:rFonts w:ascii="Cambria" w:eastAsia="Times New Roman" w:hAnsi="Cambria" w:cs="Times New Roman"/>
          <w:strike/>
          <w:lang w:eastAsia="en-AU"/>
        </w:rPr>
      </w:pPr>
      <w:r w:rsidRPr="009A0DA6">
        <w:rPr>
          <w:rFonts w:ascii="Cambria" w:eastAsia="Times New Roman" w:hAnsi="Cambria" w:cs="Times New Roman"/>
          <w:strike/>
          <w:lang w:eastAsia="en-AU"/>
        </w:rPr>
        <w:tab/>
        <w:t>8.7.2.2</w:t>
      </w:r>
      <w:r w:rsidRPr="009A0DA6">
        <w:rPr>
          <w:rFonts w:ascii="Cambria" w:eastAsia="Times New Roman" w:hAnsi="Cambria" w:cs="Times New Roman"/>
          <w:strike/>
          <w:lang w:eastAsia="en-AU"/>
        </w:rPr>
        <w:tab/>
        <w:t>Board for Lutheran Aged Care Australia;</w:t>
      </w:r>
    </w:p>
    <w:p w14:paraId="33A09A98" w14:textId="77777777" w:rsidR="00E0197D" w:rsidRPr="009A0DA6" w:rsidRDefault="00E0197D" w:rsidP="00E0197D">
      <w:pPr>
        <w:tabs>
          <w:tab w:val="left" w:pos="851"/>
          <w:tab w:val="left" w:pos="1985"/>
          <w:tab w:val="left" w:pos="3119"/>
          <w:tab w:val="left" w:pos="4536"/>
          <w:tab w:val="left" w:pos="5670"/>
        </w:tabs>
        <w:spacing w:after="0" w:line="240" w:lineRule="auto"/>
        <w:ind w:left="1985" w:hanging="1985"/>
        <w:rPr>
          <w:rFonts w:ascii="Cambria" w:eastAsia="Times New Roman" w:hAnsi="Cambria" w:cs="Times New Roman"/>
          <w:strike/>
          <w:lang w:eastAsia="en-AU"/>
        </w:rPr>
      </w:pPr>
      <w:r w:rsidRPr="009A0DA6">
        <w:rPr>
          <w:rFonts w:ascii="Cambria" w:eastAsia="Times New Roman" w:hAnsi="Cambria" w:cs="Times New Roman"/>
          <w:strike/>
          <w:lang w:eastAsia="en-AU"/>
        </w:rPr>
        <w:tab/>
        <w:t>8.7.2.3</w:t>
      </w:r>
      <w:r w:rsidRPr="009A0DA6">
        <w:rPr>
          <w:rFonts w:ascii="Cambria" w:eastAsia="Times New Roman" w:hAnsi="Cambria" w:cs="Times New Roman"/>
          <w:strike/>
          <w:lang w:eastAsia="en-AU"/>
        </w:rPr>
        <w:tab/>
        <w:t>Board for Lutheran Community Care - Australia;</w:t>
      </w:r>
    </w:p>
    <w:p w14:paraId="33577683" w14:textId="77777777" w:rsidR="00E0197D" w:rsidRPr="009A0DA6" w:rsidRDefault="00E0197D" w:rsidP="00E0197D">
      <w:pPr>
        <w:tabs>
          <w:tab w:val="left" w:pos="851"/>
          <w:tab w:val="left" w:pos="1985"/>
          <w:tab w:val="left" w:pos="3119"/>
          <w:tab w:val="left" w:pos="4536"/>
          <w:tab w:val="left" w:pos="5670"/>
        </w:tabs>
        <w:spacing w:after="0" w:line="240" w:lineRule="auto"/>
        <w:ind w:left="1985" w:hanging="1985"/>
        <w:rPr>
          <w:rFonts w:ascii="Cambria" w:eastAsia="Times New Roman" w:hAnsi="Cambria" w:cs="Times New Roman"/>
          <w:lang w:eastAsia="en-AU"/>
        </w:rPr>
      </w:pPr>
      <w:r w:rsidRPr="009A0DA6">
        <w:rPr>
          <w:rFonts w:ascii="Cambria" w:eastAsia="Times New Roman" w:hAnsi="Cambria" w:cs="Times New Roman"/>
          <w:lang w:eastAsia="en-AU"/>
        </w:rPr>
        <w:tab/>
      </w:r>
      <w:r w:rsidRPr="009A0DA6">
        <w:rPr>
          <w:rFonts w:ascii="Cambria" w:eastAsia="Times New Roman" w:hAnsi="Cambria" w:cs="Times New Roman"/>
          <w:lang w:eastAsia="en-AU"/>
        </w:rPr>
        <w:tab/>
        <w:t>8.7.2.</w:t>
      </w:r>
      <w:r w:rsidRPr="009A0DA6">
        <w:rPr>
          <w:rFonts w:ascii="Cambria" w:eastAsia="Times New Roman" w:hAnsi="Cambria" w:cs="Times New Roman"/>
          <w:strike/>
          <w:lang w:eastAsia="en-AU"/>
        </w:rPr>
        <w:t>4</w:t>
      </w:r>
      <w:r w:rsidRPr="009A0DA6">
        <w:rPr>
          <w:rFonts w:ascii="Cambria" w:eastAsia="Times New Roman" w:hAnsi="Cambria" w:cs="Times New Roman"/>
          <w:b/>
          <w:lang w:eastAsia="en-AU"/>
        </w:rPr>
        <w:t>1.1</w:t>
      </w:r>
      <w:r w:rsidRPr="009A0DA6">
        <w:rPr>
          <w:rFonts w:ascii="Cambria" w:eastAsia="Times New Roman" w:hAnsi="Cambria" w:cs="Times New Roman"/>
          <w:lang w:eastAsia="en-AU"/>
        </w:rPr>
        <w:tab/>
        <w:t>Board for Lutheran Education Australia;</w:t>
      </w:r>
    </w:p>
    <w:p w14:paraId="3D6A4965" w14:textId="77777777" w:rsidR="00E0197D" w:rsidRPr="009A0DA6" w:rsidRDefault="00E0197D" w:rsidP="00E0197D">
      <w:pPr>
        <w:tabs>
          <w:tab w:val="left" w:pos="851"/>
          <w:tab w:val="left" w:pos="1985"/>
          <w:tab w:val="left" w:pos="3119"/>
          <w:tab w:val="left" w:pos="4536"/>
          <w:tab w:val="left" w:pos="5670"/>
        </w:tabs>
        <w:spacing w:after="0" w:line="240" w:lineRule="auto"/>
        <w:ind w:left="1985" w:hanging="1985"/>
        <w:rPr>
          <w:rFonts w:ascii="Cambria" w:eastAsia="Times New Roman" w:hAnsi="Cambria" w:cs="Times New Roman"/>
          <w:strike/>
          <w:lang w:eastAsia="en-AU"/>
        </w:rPr>
      </w:pPr>
      <w:r w:rsidRPr="009A0DA6">
        <w:rPr>
          <w:rFonts w:ascii="Cambria" w:eastAsia="Times New Roman" w:hAnsi="Cambria" w:cs="Times New Roman"/>
          <w:strike/>
          <w:lang w:eastAsia="en-AU"/>
        </w:rPr>
        <w:tab/>
        <w:t>8.7.2.5</w:t>
      </w:r>
      <w:r w:rsidRPr="009A0DA6">
        <w:rPr>
          <w:rFonts w:ascii="Cambria" w:eastAsia="Times New Roman" w:hAnsi="Cambria" w:cs="Times New Roman"/>
          <w:strike/>
          <w:lang w:eastAsia="en-AU"/>
        </w:rPr>
        <w:tab/>
        <w:t xml:space="preserve">Board for Media Ministry; </w:t>
      </w:r>
    </w:p>
    <w:p w14:paraId="318E7E4F" w14:textId="77777777" w:rsidR="00E0197D" w:rsidRPr="009A0DA6" w:rsidRDefault="00E0197D" w:rsidP="00E0197D">
      <w:pPr>
        <w:tabs>
          <w:tab w:val="left" w:pos="851"/>
          <w:tab w:val="left" w:pos="1985"/>
          <w:tab w:val="left" w:pos="3119"/>
          <w:tab w:val="left" w:pos="4536"/>
          <w:tab w:val="left" w:pos="5670"/>
        </w:tabs>
        <w:spacing w:after="0" w:line="240" w:lineRule="auto"/>
        <w:ind w:left="1985" w:hanging="1985"/>
        <w:rPr>
          <w:rFonts w:ascii="Cambria" w:eastAsia="Times New Roman" w:hAnsi="Cambria" w:cs="Times New Roman"/>
          <w:strike/>
          <w:lang w:eastAsia="en-AU"/>
        </w:rPr>
      </w:pPr>
      <w:r w:rsidRPr="009A0DA6">
        <w:rPr>
          <w:rFonts w:ascii="Cambria" w:eastAsia="Times New Roman" w:hAnsi="Cambria" w:cs="Times New Roman"/>
          <w:strike/>
          <w:lang w:eastAsia="en-AU"/>
        </w:rPr>
        <w:tab/>
        <w:t>8.7.2.6</w:t>
      </w:r>
      <w:r w:rsidRPr="009A0DA6">
        <w:rPr>
          <w:rFonts w:ascii="Cambria" w:eastAsia="Times New Roman" w:hAnsi="Cambria" w:cs="Times New Roman"/>
          <w:strike/>
          <w:lang w:eastAsia="en-AU"/>
        </w:rPr>
        <w:tab/>
        <w:t xml:space="preserve">Board for Mission; </w:t>
      </w:r>
    </w:p>
    <w:p w14:paraId="429075A4" w14:textId="77777777" w:rsidR="00E0197D" w:rsidRPr="009A0DA6" w:rsidRDefault="00E0197D" w:rsidP="00E0197D">
      <w:pPr>
        <w:tabs>
          <w:tab w:val="left" w:pos="851"/>
          <w:tab w:val="left" w:pos="1985"/>
          <w:tab w:val="left" w:pos="3119"/>
          <w:tab w:val="left" w:pos="4536"/>
          <w:tab w:val="left" w:pos="5670"/>
        </w:tabs>
        <w:spacing w:after="0" w:line="240" w:lineRule="auto"/>
        <w:ind w:left="1985" w:hanging="1985"/>
        <w:rPr>
          <w:rFonts w:ascii="Cambria" w:eastAsia="Times New Roman" w:hAnsi="Cambria" w:cs="Times New Roman"/>
          <w:strike/>
          <w:lang w:eastAsia="en-AU"/>
        </w:rPr>
      </w:pPr>
      <w:r w:rsidRPr="009A0DA6">
        <w:rPr>
          <w:rFonts w:ascii="Cambria" w:eastAsia="Times New Roman" w:hAnsi="Cambria" w:cs="Times New Roman"/>
          <w:strike/>
          <w:lang w:eastAsia="en-AU"/>
        </w:rPr>
        <w:tab/>
        <w:t>8.7.2.7</w:t>
      </w:r>
      <w:r w:rsidRPr="009A0DA6">
        <w:rPr>
          <w:rFonts w:ascii="Cambria" w:eastAsia="Times New Roman" w:hAnsi="Cambria" w:cs="Times New Roman"/>
          <w:strike/>
          <w:lang w:eastAsia="en-AU"/>
        </w:rPr>
        <w:tab/>
        <w:t>Board for Support to Pastoral Ministry;</w:t>
      </w:r>
    </w:p>
    <w:p w14:paraId="3AFDDF5B" w14:textId="77777777" w:rsidR="00E0197D" w:rsidRPr="009A0DA6" w:rsidRDefault="00E0197D" w:rsidP="00E0197D">
      <w:pPr>
        <w:tabs>
          <w:tab w:val="left" w:pos="851"/>
          <w:tab w:val="left" w:pos="1985"/>
          <w:tab w:val="left" w:pos="3119"/>
          <w:tab w:val="left" w:pos="4536"/>
          <w:tab w:val="left" w:pos="5670"/>
        </w:tabs>
        <w:spacing w:after="0" w:line="240" w:lineRule="auto"/>
        <w:ind w:left="1985" w:hanging="1985"/>
        <w:rPr>
          <w:rFonts w:ascii="Cambria" w:eastAsia="Times New Roman" w:hAnsi="Cambria" w:cs="Times New Roman"/>
          <w:strike/>
          <w:lang w:eastAsia="en-AU"/>
        </w:rPr>
      </w:pPr>
      <w:r w:rsidRPr="009A0DA6">
        <w:rPr>
          <w:rFonts w:ascii="Cambria" w:eastAsia="Times New Roman" w:hAnsi="Cambria" w:cs="Times New Roman"/>
          <w:strike/>
          <w:lang w:eastAsia="en-AU"/>
        </w:rPr>
        <w:tab/>
        <w:t>8.7.2.8</w:t>
      </w:r>
      <w:r w:rsidRPr="009A0DA6">
        <w:rPr>
          <w:rFonts w:ascii="Cambria" w:eastAsia="Times New Roman" w:hAnsi="Cambria" w:cs="Times New Roman"/>
          <w:strike/>
          <w:lang w:eastAsia="en-AU"/>
        </w:rPr>
        <w:tab/>
        <w:t>Board for Youth and Family Ministry;</w:t>
      </w:r>
    </w:p>
    <w:p w14:paraId="386E8A8A" w14:textId="77777777" w:rsidR="00E0197D" w:rsidRPr="009A0DA6" w:rsidRDefault="00E0197D" w:rsidP="00E0197D">
      <w:pPr>
        <w:tabs>
          <w:tab w:val="left" w:pos="851"/>
          <w:tab w:val="left" w:pos="1985"/>
          <w:tab w:val="left" w:pos="3119"/>
          <w:tab w:val="left" w:pos="4536"/>
          <w:tab w:val="left" w:pos="5670"/>
        </w:tabs>
        <w:spacing w:after="0" w:line="240" w:lineRule="auto"/>
        <w:ind w:left="1985" w:hanging="1985"/>
        <w:rPr>
          <w:rFonts w:ascii="Cambria" w:eastAsia="Times New Roman" w:hAnsi="Cambria" w:cs="Times New Roman"/>
          <w:strike/>
          <w:lang w:eastAsia="en-AU"/>
        </w:rPr>
      </w:pPr>
      <w:r w:rsidRPr="009A0DA6">
        <w:rPr>
          <w:rFonts w:ascii="Cambria" w:eastAsia="Times New Roman" w:hAnsi="Cambria" w:cs="Times New Roman"/>
          <w:strike/>
          <w:lang w:eastAsia="en-AU"/>
        </w:rPr>
        <w:tab/>
        <w:t>8.7.2.9</w:t>
      </w:r>
      <w:r w:rsidRPr="009A0DA6">
        <w:rPr>
          <w:rFonts w:ascii="Cambria" w:eastAsia="Times New Roman" w:hAnsi="Cambria" w:cs="Times New Roman"/>
          <w:strike/>
          <w:lang w:eastAsia="en-AU"/>
        </w:rPr>
        <w:tab/>
        <w:t>Board of Lutheran Archives;</w:t>
      </w:r>
    </w:p>
    <w:p w14:paraId="03C599DE" w14:textId="77777777" w:rsidR="00E0197D" w:rsidRPr="009A0DA6" w:rsidRDefault="00E0197D" w:rsidP="00E0197D">
      <w:pPr>
        <w:tabs>
          <w:tab w:val="left" w:pos="851"/>
          <w:tab w:val="left" w:pos="1985"/>
          <w:tab w:val="left" w:pos="3119"/>
          <w:tab w:val="left" w:pos="4536"/>
          <w:tab w:val="left" w:pos="5670"/>
        </w:tabs>
        <w:spacing w:after="0" w:line="240" w:lineRule="auto"/>
        <w:ind w:left="1985" w:hanging="1985"/>
        <w:rPr>
          <w:rFonts w:ascii="Cambria" w:eastAsia="Times New Roman" w:hAnsi="Cambria" w:cs="Times New Roman"/>
          <w:lang w:eastAsia="en-AU"/>
        </w:rPr>
      </w:pPr>
      <w:r w:rsidRPr="009A0DA6">
        <w:rPr>
          <w:rFonts w:ascii="Cambria" w:eastAsia="Times New Roman" w:hAnsi="Cambria" w:cs="Times New Roman"/>
          <w:lang w:eastAsia="en-AU"/>
        </w:rPr>
        <w:tab/>
      </w:r>
      <w:r w:rsidRPr="009A0DA6">
        <w:rPr>
          <w:rFonts w:ascii="Cambria" w:eastAsia="Times New Roman" w:hAnsi="Cambria" w:cs="Times New Roman"/>
          <w:lang w:eastAsia="en-AU"/>
        </w:rPr>
        <w:tab/>
        <w:t>8.7.2.</w:t>
      </w:r>
      <w:r w:rsidRPr="009A0DA6">
        <w:rPr>
          <w:rFonts w:ascii="Cambria" w:eastAsia="Times New Roman" w:hAnsi="Cambria" w:cs="Times New Roman"/>
          <w:strike/>
          <w:lang w:eastAsia="en-AU"/>
        </w:rPr>
        <w:t>10</w:t>
      </w:r>
      <w:r w:rsidRPr="009A0DA6">
        <w:rPr>
          <w:rFonts w:ascii="Cambria" w:eastAsia="Times New Roman" w:hAnsi="Cambria" w:cs="Times New Roman"/>
          <w:b/>
          <w:lang w:eastAsia="en-AU"/>
        </w:rPr>
        <w:t>1.2</w:t>
      </w:r>
      <w:r w:rsidRPr="009A0DA6">
        <w:rPr>
          <w:rFonts w:ascii="Cambria" w:eastAsia="Times New Roman" w:hAnsi="Cambria" w:cs="Times New Roman"/>
          <w:lang w:eastAsia="en-AU"/>
        </w:rPr>
        <w:tab/>
        <w:t>Board of Directors of Australian Lutheran College;</w:t>
      </w:r>
    </w:p>
    <w:p w14:paraId="4EAC82EF" w14:textId="77777777" w:rsidR="00E0197D" w:rsidRPr="009A0DA6" w:rsidRDefault="00E0197D" w:rsidP="00E0197D">
      <w:pPr>
        <w:tabs>
          <w:tab w:val="left" w:pos="851"/>
          <w:tab w:val="left" w:pos="1985"/>
          <w:tab w:val="left" w:pos="3119"/>
          <w:tab w:val="left" w:pos="4536"/>
          <w:tab w:val="left" w:pos="5670"/>
        </w:tabs>
        <w:spacing w:after="0" w:line="240" w:lineRule="auto"/>
        <w:ind w:left="1985" w:hanging="1985"/>
        <w:rPr>
          <w:rFonts w:ascii="Cambria" w:eastAsia="Times New Roman" w:hAnsi="Cambria" w:cs="Times New Roman"/>
          <w:lang w:eastAsia="en-AU"/>
        </w:rPr>
      </w:pPr>
      <w:r w:rsidRPr="009A0DA6">
        <w:rPr>
          <w:rFonts w:ascii="Cambria" w:eastAsia="Times New Roman" w:hAnsi="Cambria" w:cs="Times New Roman"/>
          <w:lang w:eastAsia="en-AU"/>
        </w:rPr>
        <w:tab/>
      </w:r>
      <w:r w:rsidRPr="009A0DA6">
        <w:rPr>
          <w:rFonts w:ascii="Cambria" w:eastAsia="Times New Roman" w:hAnsi="Cambria" w:cs="Times New Roman"/>
          <w:lang w:eastAsia="en-AU"/>
        </w:rPr>
        <w:tab/>
        <w:t>8.7.2.</w:t>
      </w:r>
      <w:r w:rsidRPr="009A0DA6">
        <w:rPr>
          <w:rFonts w:ascii="Cambria" w:eastAsia="Times New Roman" w:hAnsi="Cambria" w:cs="Times New Roman"/>
          <w:strike/>
          <w:lang w:eastAsia="en-AU"/>
        </w:rPr>
        <w:t>11</w:t>
      </w:r>
      <w:r w:rsidRPr="009A0DA6">
        <w:rPr>
          <w:rFonts w:ascii="Cambria" w:eastAsia="Times New Roman" w:hAnsi="Cambria" w:cs="Times New Roman"/>
          <w:b/>
          <w:lang w:eastAsia="en-AU"/>
        </w:rPr>
        <w:t>1.3</w:t>
      </w:r>
      <w:r w:rsidRPr="009A0DA6">
        <w:rPr>
          <w:rFonts w:ascii="Cambria" w:eastAsia="Times New Roman" w:hAnsi="Cambria" w:cs="Times New Roman"/>
          <w:lang w:eastAsia="en-AU"/>
        </w:rPr>
        <w:tab/>
      </w:r>
      <w:r w:rsidRPr="009A0DA6">
        <w:rPr>
          <w:rFonts w:ascii="Cambria" w:eastAsia="Times New Roman" w:hAnsi="Cambria" w:cs="Times New Roman"/>
          <w:b/>
          <w:lang w:eastAsia="en-AU"/>
        </w:rPr>
        <w:t xml:space="preserve">Board for </w:t>
      </w:r>
      <w:r w:rsidRPr="009A0DA6">
        <w:rPr>
          <w:rFonts w:ascii="Cambria" w:eastAsia="Times New Roman" w:hAnsi="Cambria" w:cs="Times New Roman"/>
          <w:lang w:eastAsia="en-AU"/>
        </w:rPr>
        <w:t>Finke River Mission</w:t>
      </w:r>
      <w:r w:rsidRPr="009A0DA6">
        <w:rPr>
          <w:rFonts w:ascii="Cambria" w:eastAsia="Times New Roman" w:hAnsi="Cambria" w:cs="Times New Roman"/>
          <w:strike/>
          <w:lang w:eastAsia="en-AU"/>
        </w:rPr>
        <w:t xml:space="preserve"> Board</w:t>
      </w:r>
      <w:r w:rsidRPr="009A0DA6">
        <w:rPr>
          <w:rFonts w:ascii="Cambria" w:eastAsia="Times New Roman" w:hAnsi="Cambria" w:cs="Times New Roman"/>
          <w:lang w:eastAsia="en-AU"/>
        </w:rPr>
        <w:t>;</w:t>
      </w:r>
    </w:p>
    <w:p w14:paraId="4B27E7E3" w14:textId="77777777" w:rsidR="00E0197D" w:rsidRPr="009A0DA6" w:rsidRDefault="00E0197D" w:rsidP="00E0197D">
      <w:pPr>
        <w:tabs>
          <w:tab w:val="left" w:pos="851"/>
          <w:tab w:val="left" w:pos="1985"/>
          <w:tab w:val="left" w:pos="3119"/>
          <w:tab w:val="left" w:pos="4536"/>
          <w:tab w:val="left" w:pos="5670"/>
        </w:tabs>
        <w:spacing w:after="0" w:line="240" w:lineRule="auto"/>
        <w:ind w:left="1985" w:hanging="1985"/>
        <w:rPr>
          <w:rFonts w:ascii="Cambria" w:eastAsia="Times New Roman" w:hAnsi="Cambria" w:cs="Times New Roman"/>
          <w:strike/>
          <w:lang w:eastAsia="en-AU"/>
        </w:rPr>
      </w:pPr>
      <w:r w:rsidRPr="009A0DA6">
        <w:rPr>
          <w:rFonts w:ascii="Cambria" w:eastAsia="Times New Roman" w:hAnsi="Cambria" w:cs="Times New Roman"/>
          <w:strike/>
          <w:lang w:eastAsia="en-AU"/>
        </w:rPr>
        <w:tab/>
        <w:t>8.7.2.12</w:t>
      </w:r>
      <w:r w:rsidRPr="009A0DA6">
        <w:rPr>
          <w:rFonts w:ascii="Cambria" w:eastAsia="Times New Roman" w:hAnsi="Cambria" w:cs="Times New Roman"/>
          <w:strike/>
          <w:lang w:eastAsia="en-AU"/>
        </w:rPr>
        <w:tab/>
        <w:t>Commission on Salaries;</w:t>
      </w:r>
    </w:p>
    <w:p w14:paraId="54F7B9DE" w14:textId="77777777" w:rsidR="00E0197D" w:rsidRPr="009A0DA6" w:rsidRDefault="00E0197D" w:rsidP="00E0197D">
      <w:pPr>
        <w:tabs>
          <w:tab w:val="left" w:pos="851"/>
          <w:tab w:val="left" w:pos="1985"/>
          <w:tab w:val="left" w:pos="3119"/>
          <w:tab w:val="left" w:pos="4536"/>
          <w:tab w:val="left" w:pos="5670"/>
        </w:tabs>
        <w:spacing w:after="0" w:line="240" w:lineRule="auto"/>
        <w:ind w:left="1985" w:hanging="1985"/>
        <w:rPr>
          <w:rFonts w:ascii="Cambria" w:eastAsia="Times New Roman" w:hAnsi="Cambria" w:cs="Times New Roman"/>
          <w:strike/>
          <w:lang w:eastAsia="en-AU"/>
        </w:rPr>
      </w:pPr>
      <w:r w:rsidRPr="009A0DA6">
        <w:rPr>
          <w:rFonts w:ascii="Cambria" w:eastAsia="Times New Roman" w:hAnsi="Cambria" w:cs="Times New Roman"/>
          <w:strike/>
          <w:lang w:eastAsia="en-AU"/>
        </w:rPr>
        <w:tab/>
        <w:t>8.7.2.13</w:t>
      </w:r>
      <w:r w:rsidRPr="009A0DA6">
        <w:rPr>
          <w:rFonts w:ascii="Cambria" w:eastAsia="Times New Roman" w:hAnsi="Cambria" w:cs="Times New Roman"/>
          <w:strike/>
          <w:lang w:eastAsia="en-AU"/>
        </w:rPr>
        <w:tab/>
        <w:t>Commission on Social and Bioethical Questions;</w:t>
      </w:r>
    </w:p>
    <w:p w14:paraId="3EA261A6" w14:textId="77777777" w:rsidR="00E0197D" w:rsidRPr="009A0DA6" w:rsidRDefault="00E0197D" w:rsidP="00E0197D">
      <w:pPr>
        <w:tabs>
          <w:tab w:val="left" w:pos="851"/>
          <w:tab w:val="left" w:pos="1985"/>
          <w:tab w:val="left" w:pos="3119"/>
          <w:tab w:val="left" w:pos="4536"/>
          <w:tab w:val="left" w:pos="5670"/>
        </w:tabs>
        <w:spacing w:after="0" w:line="240" w:lineRule="auto"/>
        <w:ind w:left="1985" w:hanging="1985"/>
        <w:rPr>
          <w:rFonts w:ascii="Cambria" w:eastAsia="Times New Roman" w:hAnsi="Cambria" w:cs="Times New Roman"/>
          <w:strike/>
          <w:lang w:eastAsia="en-AU"/>
        </w:rPr>
      </w:pPr>
      <w:r w:rsidRPr="009A0DA6">
        <w:rPr>
          <w:rFonts w:ascii="Cambria" w:eastAsia="Times New Roman" w:hAnsi="Cambria" w:cs="Times New Roman"/>
          <w:strike/>
          <w:lang w:eastAsia="en-AU"/>
        </w:rPr>
        <w:tab/>
        <w:t>8.7.2.14</w:t>
      </w:r>
      <w:r w:rsidRPr="009A0DA6">
        <w:rPr>
          <w:rFonts w:ascii="Cambria" w:eastAsia="Times New Roman" w:hAnsi="Cambria" w:cs="Times New Roman"/>
          <w:strike/>
          <w:lang w:eastAsia="en-AU"/>
        </w:rPr>
        <w:tab/>
        <w:t>Commission on Tertiary Ministry;</w:t>
      </w:r>
    </w:p>
    <w:p w14:paraId="7688FBA3" w14:textId="77777777" w:rsidR="00E0197D" w:rsidRPr="009A0DA6" w:rsidRDefault="00E0197D" w:rsidP="00E0197D">
      <w:pPr>
        <w:tabs>
          <w:tab w:val="left" w:pos="851"/>
          <w:tab w:val="left" w:pos="1985"/>
          <w:tab w:val="left" w:pos="3119"/>
          <w:tab w:val="left" w:pos="4536"/>
          <w:tab w:val="left" w:pos="5670"/>
        </w:tabs>
        <w:spacing w:after="0" w:line="240" w:lineRule="auto"/>
        <w:ind w:left="1985" w:hanging="1985"/>
        <w:rPr>
          <w:rFonts w:ascii="Cambria" w:eastAsia="Times New Roman" w:hAnsi="Cambria" w:cs="Times New Roman"/>
          <w:strike/>
          <w:lang w:eastAsia="en-AU"/>
        </w:rPr>
      </w:pPr>
      <w:r w:rsidRPr="009A0DA6">
        <w:rPr>
          <w:rFonts w:ascii="Cambria" w:eastAsia="Times New Roman" w:hAnsi="Cambria" w:cs="Times New Roman"/>
          <w:strike/>
          <w:lang w:eastAsia="en-AU"/>
        </w:rPr>
        <w:tab/>
        <w:t>8.7.2.15</w:t>
      </w:r>
      <w:r w:rsidRPr="009A0DA6">
        <w:rPr>
          <w:rFonts w:ascii="Cambria" w:eastAsia="Times New Roman" w:hAnsi="Cambria" w:cs="Times New Roman"/>
          <w:strike/>
          <w:lang w:eastAsia="en-AU"/>
        </w:rPr>
        <w:tab/>
        <w:t>Commission on Theology and Inter-Church Relations;</w:t>
      </w:r>
    </w:p>
    <w:p w14:paraId="002A905C" w14:textId="77777777" w:rsidR="00E0197D" w:rsidRPr="009A0DA6" w:rsidRDefault="00E0197D" w:rsidP="00E0197D">
      <w:pPr>
        <w:tabs>
          <w:tab w:val="left" w:pos="851"/>
          <w:tab w:val="left" w:pos="1985"/>
          <w:tab w:val="left" w:pos="3119"/>
          <w:tab w:val="left" w:pos="4536"/>
          <w:tab w:val="left" w:pos="5670"/>
        </w:tabs>
        <w:spacing w:after="0" w:line="240" w:lineRule="auto"/>
        <w:ind w:left="1985" w:hanging="1985"/>
        <w:rPr>
          <w:rFonts w:ascii="Cambria" w:eastAsia="Times New Roman" w:hAnsi="Cambria" w:cs="Times New Roman"/>
          <w:strike/>
          <w:lang w:eastAsia="en-AU"/>
        </w:rPr>
      </w:pPr>
      <w:r w:rsidRPr="009A0DA6">
        <w:rPr>
          <w:rFonts w:ascii="Cambria" w:eastAsia="Times New Roman" w:hAnsi="Cambria" w:cs="Times New Roman"/>
          <w:strike/>
          <w:lang w:eastAsia="en-AU"/>
        </w:rPr>
        <w:tab/>
        <w:t>8.7.2.16</w:t>
      </w:r>
      <w:r w:rsidRPr="009A0DA6">
        <w:rPr>
          <w:rFonts w:ascii="Cambria" w:eastAsia="Times New Roman" w:hAnsi="Cambria" w:cs="Times New Roman"/>
          <w:strike/>
          <w:lang w:eastAsia="en-AU"/>
        </w:rPr>
        <w:tab/>
        <w:t>Commission on Worship;</w:t>
      </w:r>
    </w:p>
    <w:p w14:paraId="7BF0BB83" w14:textId="77777777" w:rsidR="00E0197D" w:rsidRPr="009A0DA6" w:rsidRDefault="00E0197D" w:rsidP="00E0197D">
      <w:pPr>
        <w:tabs>
          <w:tab w:val="left" w:pos="851"/>
          <w:tab w:val="left" w:pos="1985"/>
          <w:tab w:val="left" w:pos="3119"/>
          <w:tab w:val="left" w:pos="4536"/>
          <w:tab w:val="left" w:pos="5670"/>
        </w:tabs>
        <w:spacing w:after="0" w:line="240" w:lineRule="auto"/>
        <w:ind w:left="1985" w:hanging="1985"/>
        <w:rPr>
          <w:rFonts w:ascii="Cambria" w:eastAsia="Times New Roman" w:hAnsi="Cambria" w:cs="Times New Roman"/>
          <w:strike/>
          <w:lang w:eastAsia="en-AU"/>
        </w:rPr>
      </w:pPr>
      <w:r w:rsidRPr="009A0DA6">
        <w:rPr>
          <w:rFonts w:ascii="Cambria" w:eastAsia="Times New Roman" w:hAnsi="Cambria" w:cs="Times New Roman"/>
          <w:strike/>
          <w:lang w:eastAsia="en-AU"/>
        </w:rPr>
        <w:lastRenderedPageBreak/>
        <w:tab/>
        <w:t>8.7.2.17</w:t>
      </w:r>
      <w:r w:rsidRPr="009A0DA6">
        <w:rPr>
          <w:rFonts w:ascii="Cambria" w:eastAsia="Times New Roman" w:hAnsi="Cambria" w:cs="Times New Roman"/>
          <w:strike/>
          <w:lang w:eastAsia="en-AU"/>
        </w:rPr>
        <w:tab/>
        <w:t>LCA Safe Place Committee;</w:t>
      </w:r>
    </w:p>
    <w:p w14:paraId="5D56833B" w14:textId="77777777" w:rsidR="00E0197D" w:rsidRPr="009A0DA6" w:rsidRDefault="00E0197D" w:rsidP="00E0197D">
      <w:pPr>
        <w:tabs>
          <w:tab w:val="left" w:pos="851"/>
          <w:tab w:val="left" w:pos="1985"/>
          <w:tab w:val="left" w:pos="3119"/>
          <w:tab w:val="left" w:pos="4536"/>
          <w:tab w:val="left" w:pos="5670"/>
        </w:tabs>
        <w:spacing w:after="0" w:line="240" w:lineRule="auto"/>
        <w:ind w:left="1985" w:hanging="1985"/>
        <w:rPr>
          <w:rFonts w:ascii="Cambria" w:eastAsia="Times New Roman" w:hAnsi="Cambria" w:cs="Times New Roman"/>
          <w:strike/>
          <w:lang w:eastAsia="en-AU"/>
        </w:rPr>
      </w:pPr>
      <w:r w:rsidRPr="009A0DA6">
        <w:rPr>
          <w:rFonts w:ascii="Cambria" w:eastAsia="Times New Roman" w:hAnsi="Cambria" w:cs="Times New Roman"/>
          <w:strike/>
          <w:lang w:eastAsia="en-AU"/>
        </w:rPr>
        <w:tab/>
        <w:t>8.7.2.18</w:t>
      </w:r>
      <w:r w:rsidRPr="009A0DA6">
        <w:rPr>
          <w:rFonts w:ascii="Cambria" w:eastAsia="Times New Roman" w:hAnsi="Cambria" w:cs="Times New Roman"/>
          <w:strike/>
          <w:lang w:eastAsia="en-AU"/>
        </w:rPr>
        <w:tab/>
        <w:t>Standing Committee on Constitutions</w:t>
      </w:r>
    </w:p>
    <w:p w14:paraId="5AF55336" w14:textId="77777777" w:rsidR="00E0197D" w:rsidRPr="009A0DA6" w:rsidRDefault="00E0197D" w:rsidP="00E0197D">
      <w:pPr>
        <w:tabs>
          <w:tab w:val="left" w:pos="851"/>
          <w:tab w:val="left" w:pos="1985"/>
          <w:tab w:val="left" w:pos="3119"/>
          <w:tab w:val="left" w:pos="4536"/>
          <w:tab w:val="left" w:pos="5670"/>
        </w:tabs>
        <w:spacing w:after="0" w:line="240" w:lineRule="auto"/>
        <w:ind w:left="851" w:hanging="851"/>
        <w:rPr>
          <w:rFonts w:ascii="Cambria" w:eastAsia="Times New Roman" w:hAnsi="Cambria" w:cs="Times New Roman"/>
          <w:lang w:eastAsia="en-AU"/>
        </w:rPr>
      </w:pPr>
      <w:r w:rsidRPr="009A0DA6">
        <w:rPr>
          <w:rFonts w:ascii="Cambria" w:eastAsia="Times New Roman" w:hAnsi="Cambria" w:cs="Times New Roman"/>
          <w:lang w:eastAsia="en-AU"/>
        </w:rPr>
        <w:t xml:space="preserve">  </w:t>
      </w:r>
      <w:r w:rsidRPr="009A0DA6">
        <w:rPr>
          <w:rFonts w:ascii="Cambria" w:eastAsia="Times New Roman" w:hAnsi="Cambria" w:cs="Times New Roman"/>
          <w:lang w:eastAsia="en-AU"/>
        </w:rPr>
        <w:tab/>
        <w:t>and such other boards as the Church may establish.</w:t>
      </w:r>
    </w:p>
    <w:p w14:paraId="10862439" w14:textId="77777777" w:rsidR="00E0197D" w:rsidRPr="009A0DA6" w:rsidRDefault="00E0197D" w:rsidP="00E0197D">
      <w:pPr>
        <w:tabs>
          <w:tab w:val="left" w:pos="851"/>
          <w:tab w:val="left" w:pos="1985"/>
          <w:tab w:val="left" w:pos="3119"/>
          <w:tab w:val="left" w:pos="4536"/>
          <w:tab w:val="left" w:pos="5670"/>
        </w:tabs>
        <w:spacing w:after="0" w:line="240" w:lineRule="auto"/>
        <w:ind w:left="1985" w:hanging="1985"/>
        <w:rPr>
          <w:rFonts w:ascii="Cambria" w:eastAsia="Times New Roman" w:hAnsi="Cambria" w:cs="Times New Roman"/>
          <w:b/>
          <w:lang w:eastAsia="en-AU"/>
        </w:rPr>
      </w:pPr>
      <w:r w:rsidRPr="009A0DA6">
        <w:rPr>
          <w:rFonts w:ascii="Cambria" w:eastAsia="Times New Roman" w:hAnsi="Cambria" w:cs="Times New Roman"/>
          <w:b/>
          <w:lang w:eastAsia="en-AU"/>
        </w:rPr>
        <w:tab/>
        <w:t>8.7.2.2</w:t>
      </w:r>
      <w:r w:rsidRPr="009A0DA6">
        <w:rPr>
          <w:rFonts w:ascii="Cambria" w:eastAsia="Times New Roman" w:hAnsi="Cambria" w:cs="Times New Roman"/>
          <w:b/>
          <w:lang w:eastAsia="en-AU"/>
        </w:rPr>
        <w:tab/>
        <w:t xml:space="preserve">The boards shall function according to Terms of Reference approved by the Church. </w:t>
      </w:r>
    </w:p>
    <w:p w14:paraId="05285DE0" w14:textId="77777777" w:rsidR="00E0197D" w:rsidRPr="009A0DA6" w:rsidRDefault="00E0197D" w:rsidP="00E0197D">
      <w:pPr>
        <w:tabs>
          <w:tab w:val="left" w:pos="851"/>
          <w:tab w:val="left" w:pos="1985"/>
          <w:tab w:val="left" w:pos="3119"/>
          <w:tab w:val="left" w:pos="4536"/>
          <w:tab w:val="left" w:pos="5670"/>
        </w:tabs>
        <w:spacing w:after="0" w:line="240" w:lineRule="auto"/>
        <w:ind w:left="1985" w:hanging="1985"/>
        <w:rPr>
          <w:rFonts w:ascii="Cambria" w:eastAsia="Times New Roman" w:hAnsi="Cambria" w:cs="Times New Roman"/>
          <w:b/>
          <w:lang w:eastAsia="en-AU"/>
        </w:rPr>
      </w:pPr>
      <w:r w:rsidRPr="009A0DA6">
        <w:rPr>
          <w:rFonts w:ascii="Cambria" w:eastAsia="Times New Roman" w:hAnsi="Cambria" w:cs="Times New Roman"/>
          <w:b/>
          <w:lang w:eastAsia="en-AU"/>
        </w:rPr>
        <w:tab/>
        <w:t>8.7.2.3</w:t>
      </w:r>
      <w:r w:rsidRPr="009A0DA6">
        <w:rPr>
          <w:rFonts w:ascii="Cambria" w:eastAsia="Times New Roman" w:hAnsi="Cambria" w:cs="Times New Roman"/>
          <w:b/>
          <w:lang w:eastAsia="en-AU"/>
        </w:rPr>
        <w:tab/>
        <w:t>Where the board is a legally incorporated entity, it shall have a constitution approved by the Church.</w:t>
      </w:r>
    </w:p>
    <w:p w14:paraId="78A61291" w14:textId="77777777" w:rsidR="00E0197D" w:rsidRPr="009A0DA6" w:rsidRDefault="00E0197D" w:rsidP="00E0197D">
      <w:pPr>
        <w:tabs>
          <w:tab w:val="left" w:pos="851"/>
          <w:tab w:val="left" w:pos="1985"/>
          <w:tab w:val="left" w:pos="3119"/>
          <w:tab w:val="left" w:pos="4536"/>
          <w:tab w:val="left" w:pos="5670"/>
        </w:tabs>
        <w:spacing w:after="0" w:line="240" w:lineRule="auto"/>
        <w:ind w:left="851" w:hanging="851"/>
        <w:rPr>
          <w:rFonts w:ascii="Cambria" w:eastAsia="Times New Roman" w:hAnsi="Cambria" w:cs="Times New Roman"/>
          <w:strike/>
          <w:lang w:eastAsia="en-AU"/>
        </w:rPr>
      </w:pPr>
      <w:r w:rsidRPr="009A0DA6">
        <w:rPr>
          <w:rFonts w:ascii="Cambria" w:eastAsia="Times New Roman" w:hAnsi="Cambria" w:cs="Times New Roman"/>
          <w:strike/>
          <w:lang w:eastAsia="en-AU"/>
        </w:rPr>
        <w:t>8.7.3</w:t>
      </w:r>
      <w:r w:rsidRPr="009A0DA6">
        <w:rPr>
          <w:rFonts w:ascii="Cambria" w:eastAsia="Times New Roman" w:hAnsi="Cambria" w:cs="Times New Roman"/>
          <w:strike/>
          <w:lang w:eastAsia="en-AU"/>
        </w:rPr>
        <w:tab/>
        <w:t>Any member of a board who is absent for two [2] consecutive meetings without a valid and acceptable excuse shall forfeit membership on such board.</w:t>
      </w:r>
    </w:p>
    <w:p w14:paraId="16234DB9" w14:textId="77777777" w:rsidR="00E0197D" w:rsidRPr="009A0DA6" w:rsidRDefault="00E0197D" w:rsidP="00E0197D">
      <w:pPr>
        <w:tabs>
          <w:tab w:val="left" w:pos="851"/>
          <w:tab w:val="left" w:pos="1985"/>
          <w:tab w:val="left" w:pos="3119"/>
          <w:tab w:val="left" w:pos="4536"/>
          <w:tab w:val="left" w:pos="5670"/>
        </w:tabs>
        <w:spacing w:after="0" w:line="240" w:lineRule="auto"/>
        <w:ind w:left="851" w:hanging="851"/>
        <w:rPr>
          <w:rFonts w:ascii="Cambria" w:eastAsia="Times New Roman" w:hAnsi="Cambria" w:cs="Times New Roman"/>
          <w:b/>
          <w:lang w:eastAsia="en-AU"/>
        </w:rPr>
      </w:pPr>
      <w:r w:rsidRPr="009A0DA6">
        <w:rPr>
          <w:rFonts w:ascii="Cambria" w:eastAsia="Times New Roman" w:hAnsi="Cambria" w:cs="Times New Roman"/>
          <w:b/>
          <w:lang w:eastAsia="en-AU"/>
        </w:rPr>
        <w:t>8.7.3</w:t>
      </w:r>
      <w:r w:rsidRPr="009A0DA6">
        <w:rPr>
          <w:rFonts w:ascii="Cambria" w:eastAsia="Times New Roman" w:hAnsi="Cambria" w:cs="Times New Roman"/>
          <w:b/>
          <w:lang w:eastAsia="en-AU"/>
        </w:rPr>
        <w:tab/>
        <w:t>8.7.3.1</w:t>
      </w:r>
      <w:r w:rsidRPr="009A0DA6">
        <w:rPr>
          <w:rFonts w:ascii="Cambria" w:eastAsia="Times New Roman" w:hAnsi="Cambria" w:cs="Times New Roman"/>
          <w:b/>
          <w:lang w:eastAsia="en-AU"/>
        </w:rPr>
        <w:tab/>
        <w:t>The councils of the Church shall be the</w:t>
      </w:r>
    </w:p>
    <w:p w14:paraId="63696E39" w14:textId="77777777" w:rsidR="00E0197D" w:rsidRPr="009A0DA6" w:rsidRDefault="00E0197D" w:rsidP="00E0197D">
      <w:pPr>
        <w:tabs>
          <w:tab w:val="left" w:pos="851"/>
          <w:tab w:val="left" w:pos="1985"/>
          <w:tab w:val="left" w:pos="3119"/>
          <w:tab w:val="left" w:pos="4536"/>
          <w:tab w:val="left" w:pos="5670"/>
        </w:tabs>
        <w:spacing w:after="0" w:line="240" w:lineRule="auto"/>
        <w:ind w:left="851" w:hanging="851"/>
        <w:rPr>
          <w:rFonts w:ascii="Cambria" w:eastAsia="Times New Roman" w:hAnsi="Cambria" w:cs="Times New Roman"/>
          <w:b/>
          <w:lang w:eastAsia="en-AU"/>
        </w:rPr>
      </w:pPr>
      <w:r w:rsidRPr="009A0DA6">
        <w:rPr>
          <w:rFonts w:ascii="Cambria" w:eastAsia="Times New Roman" w:hAnsi="Cambria" w:cs="Times New Roman"/>
          <w:b/>
          <w:lang w:eastAsia="en-AU"/>
        </w:rPr>
        <w:tab/>
      </w:r>
      <w:r w:rsidRPr="009A0DA6">
        <w:rPr>
          <w:rFonts w:ascii="Cambria" w:eastAsia="Times New Roman" w:hAnsi="Cambria" w:cs="Times New Roman"/>
          <w:b/>
          <w:lang w:eastAsia="en-AU"/>
        </w:rPr>
        <w:tab/>
        <w:t>8.7.3.1.1</w:t>
      </w:r>
      <w:r w:rsidRPr="009A0DA6">
        <w:rPr>
          <w:rFonts w:ascii="Cambria" w:eastAsia="Times New Roman" w:hAnsi="Cambria" w:cs="Times New Roman"/>
          <w:b/>
          <w:lang w:eastAsia="en-AU"/>
        </w:rPr>
        <w:tab/>
        <w:t>Council for Local Mission</w:t>
      </w:r>
    </w:p>
    <w:p w14:paraId="5EB66D80" w14:textId="77777777" w:rsidR="00E0197D" w:rsidRPr="009A0DA6" w:rsidRDefault="00E0197D" w:rsidP="00E0197D">
      <w:pPr>
        <w:tabs>
          <w:tab w:val="left" w:pos="851"/>
          <w:tab w:val="left" w:pos="1985"/>
          <w:tab w:val="left" w:pos="3119"/>
          <w:tab w:val="left" w:pos="4536"/>
          <w:tab w:val="left" w:pos="5670"/>
        </w:tabs>
        <w:spacing w:after="0" w:line="240" w:lineRule="auto"/>
        <w:ind w:left="851" w:hanging="851"/>
        <w:rPr>
          <w:rFonts w:ascii="Cambria" w:eastAsia="Times New Roman" w:hAnsi="Cambria" w:cs="Times New Roman"/>
          <w:b/>
          <w:lang w:eastAsia="en-AU"/>
        </w:rPr>
      </w:pPr>
      <w:r w:rsidRPr="009A0DA6">
        <w:rPr>
          <w:rFonts w:ascii="Cambria" w:eastAsia="Times New Roman" w:hAnsi="Cambria" w:cs="Times New Roman"/>
          <w:b/>
          <w:lang w:eastAsia="en-AU"/>
        </w:rPr>
        <w:tab/>
        <w:t xml:space="preserve">  </w:t>
      </w:r>
      <w:r w:rsidRPr="009A0DA6">
        <w:rPr>
          <w:rFonts w:ascii="Cambria" w:eastAsia="Times New Roman" w:hAnsi="Cambria" w:cs="Times New Roman"/>
          <w:b/>
          <w:lang w:eastAsia="en-AU"/>
        </w:rPr>
        <w:tab/>
        <w:t>and such other councils as the Church may establish.</w:t>
      </w:r>
    </w:p>
    <w:p w14:paraId="1793BDD1" w14:textId="77777777" w:rsidR="00E0197D" w:rsidRPr="009A0DA6" w:rsidRDefault="00E0197D" w:rsidP="00E0197D">
      <w:pPr>
        <w:tabs>
          <w:tab w:val="left" w:pos="851"/>
          <w:tab w:val="left" w:pos="1985"/>
          <w:tab w:val="left" w:pos="3119"/>
          <w:tab w:val="left" w:pos="4536"/>
          <w:tab w:val="left" w:pos="5670"/>
        </w:tabs>
        <w:spacing w:after="0" w:line="240" w:lineRule="auto"/>
        <w:ind w:left="1985" w:hanging="1985"/>
        <w:rPr>
          <w:rFonts w:ascii="Cambria" w:eastAsia="Times New Roman" w:hAnsi="Cambria" w:cs="Times New Roman"/>
          <w:lang w:eastAsia="en-AU"/>
        </w:rPr>
      </w:pPr>
      <w:r w:rsidRPr="009A0DA6">
        <w:rPr>
          <w:rFonts w:ascii="Cambria" w:eastAsia="Times New Roman" w:hAnsi="Cambria" w:cs="Times New Roman"/>
          <w:b/>
          <w:lang w:eastAsia="en-AU"/>
        </w:rPr>
        <w:tab/>
        <w:t>8.7.3.2</w:t>
      </w:r>
      <w:r w:rsidRPr="009A0DA6">
        <w:rPr>
          <w:rFonts w:ascii="Cambria" w:eastAsia="Times New Roman" w:hAnsi="Cambria" w:cs="Times New Roman"/>
          <w:b/>
          <w:lang w:eastAsia="en-AU"/>
        </w:rPr>
        <w:tab/>
        <w:t xml:space="preserve">The councils shall function according to Terms of Reference approved by the Church. </w:t>
      </w:r>
    </w:p>
    <w:p w14:paraId="19E5A723" w14:textId="77777777" w:rsidR="00E0197D" w:rsidRPr="009A0DA6" w:rsidRDefault="00E0197D" w:rsidP="00E0197D">
      <w:pPr>
        <w:tabs>
          <w:tab w:val="left" w:pos="851"/>
          <w:tab w:val="left" w:pos="1985"/>
          <w:tab w:val="left" w:pos="3119"/>
          <w:tab w:val="left" w:pos="4536"/>
          <w:tab w:val="left" w:pos="5670"/>
        </w:tabs>
        <w:spacing w:after="0" w:line="240" w:lineRule="auto"/>
        <w:ind w:left="851" w:hanging="851"/>
        <w:rPr>
          <w:rFonts w:ascii="Cambria" w:eastAsia="Times New Roman" w:hAnsi="Cambria" w:cs="Times New Roman"/>
          <w:lang w:eastAsia="en-AU"/>
        </w:rPr>
      </w:pPr>
      <w:r w:rsidRPr="009A0DA6">
        <w:rPr>
          <w:rFonts w:ascii="Cambria" w:eastAsia="Times New Roman" w:hAnsi="Cambria" w:cs="Times New Roman"/>
          <w:lang w:eastAsia="en-AU"/>
        </w:rPr>
        <w:t>8.7.4</w:t>
      </w:r>
      <w:r w:rsidRPr="009A0DA6">
        <w:rPr>
          <w:rFonts w:ascii="Cambria" w:eastAsia="Times New Roman" w:hAnsi="Cambria" w:cs="Times New Roman"/>
          <w:lang w:eastAsia="en-AU"/>
        </w:rPr>
        <w:tab/>
        <w:t xml:space="preserve">The Bishop of the Church shall be responsible for the appointment of a convenor who shall convene the first meeting of the board </w:t>
      </w:r>
      <w:r w:rsidRPr="009A0DA6">
        <w:rPr>
          <w:rFonts w:ascii="Cambria" w:eastAsia="Times New Roman" w:hAnsi="Cambria" w:cs="Times New Roman"/>
          <w:b/>
          <w:lang w:eastAsia="en-AU"/>
        </w:rPr>
        <w:t xml:space="preserve">or council </w:t>
      </w:r>
      <w:r w:rsidRPr="009A0DA6">
        <w:rPr>
          <w:rFonts w:ascii="Cambria" w:eastAsia="Times New Roman" w:hAnsi="Cambria" w:cs="Times New Roman"/>
          <w:lang w:eastAsia="en-AU"/>
        </w:rPr>
        <w:t>after the regular convention of the General Synod.</w:t>
      </w:r>
    </w:p>
    <w:p w14:paraId="1A49A3A3" w14:textId="77777777" w:rsidR="00E0197D" w:rsidRPr="009A0DA6" w:rsidRDefault="00E0197D" w:rsidP="00E0197D">
      <w:pPr>
        <w:tabs>
          <w:tab w:val="left" w:pos="851"/>
          <w:tab w:val="left" w:pos="1985"/>
          <w:tab w:val="left" w:pos="3119"/>
          <w:tab w:val="left" w:pos="4536"/>
          <w:tab w:val="left" w:pos="5670"/>
        </w:tabs>
        <w:spacing w:after="0" w:line="240" w:lineRule="auto"/>
        <w:ind w:left="851" w:hanging="851"/>
        <w:rPr>
          <w:rFonts w:ascii="Cambria" w:eastAsia="Times New Roman" w:hAnsi="Cambria" w:cs="Times New Roman"/>
          <w:lang w:eastAsia="en-AU"/>
        </w:rPr>
      </w:pPr>
      <w:r w:rsidRPr="009A0DA6">
        <w:rPr>
          <w:rFonts w:ascii="Cambria" w:eastAsia="Times New Roman" w:hAnsi="Cambria" w:cs="Times New Roman"/>
          <w:lang w:eastAsia="en-AU"/>
        </w:rPr>
        <w:t>8.7.5</w:t>
      </w:r>
      <w:r w:rsidRPr="009A0DA6">
        <w:rPr>
          <w:rFonts w:ascii="Cambria" w:eastAsia="Times New Roman" w:hAnsi="Cambria" w:cs="Times New Roman"/>
          <w:lang w:eastAsia="en-AU"/>
        </w:rPr>
        <w:tab/>
        <w:t xml:space="preserve">The tenure of office of a board </w:t>
      </w:r>
      <w:r w:rsidRPr="009A0DA6">
        <w:rPr>
          <w:rFonts w:ascii="Cambria" w:eastAsia="Times New Roman" w:hAnsi="Cambria" w:cs="Times New Roman"/>
          <w:b/>
          <w:lang w:eastAsia="en-AU"/>
        </w:rPr>
        <w:t xml:space="preserve">or council </w:t>
      </w:r>
      <w:r w:rsidRPr="009A0DA6">
        <w:rPr>
          <w:rFonts w:ascii="Cambria" w:eastAsia="Times New Roman" w:hAnsi="Cambria" w:cs="Times New Roman"/>
          <w:lang w:eastAsia="en-AU"/>
        </w:rPr>
        <w:t xml:space="preserve">shall generally be from three [3] months after </w:t>
      </w:r>
      <w:r w:rsidRPr="009A0DA6">
        <w:rPr>
          <w:rFonts w:ascii="Cambria" w:eastAsia="Times New Roman" w:hAnsi="Cambria" w:cs="Times New Roman"/>
          <w:strike/>
          <w:lang w:eastAsia="en-AU"/>
        </w:rPr>
        <w:t xml:space="preserve">the close of the convention of the General Synod at which </w:t>
      </w:r>
      <w:r w:rsidRPr="009A0DA6">
        <w:rPr>
          <w:rFonts w:ascii="Cambria" w:eastAsia="Times New Roman" w:hAnsi="Cambria" w:cs="Times New Roman"/>
          <w:lang w:eastAsia="en-AU"/>
        </w:rPr>
        <w:t xml:space="preserve">it was </w:t>
      </w:r>
      <w:r w:rsidRPr="009A0DA6">
        <w:rPr>
          <w:rFonts w:ascii="Cambria" w:eastAsia="Times New Roman" w:hAnsi="Cambria" w:cs="Times New Roman"/>
          <w:strike/>
          <w:lang w:eastAsia="en-AU"/>
        </w:rPr>
        <w:t>elected or</w:t>
      </w:r>
      <w:r w:rsidRPr="009A0DA6">
        <w:rPr>
          <w:rFonts w:ascii="Cambria" w:eastAsia="Times New Roman" w:hAnsi="Cambria" w:cs="Times New Roman"/>
          <w:lang w:eastAsia="en-AU"/>
        </w:rPr>
        <w:t xml:space="preserve"> appointed to three [3] months after the close of the next regular convention.</w:t>
      </w:r>
    </w:p>
    <w:p w14:paraId="1617675A" w14:textId="77777777" w:rsidR="00E0197D" w:rsidRPr="009A0DA6" w:rsidRDefault="00E0197D" w:rsidP="00E0197D">
      <w:pPr>
        <w:tabs>
          <w:tab w:val="left" w:pos="851"/>
          <w:tab w:val="left" w:pos="1985"/>
          <w:tab w:val="left" w:pos="3119"/>
          <w:tab w:val="left" w:pos="4536"/>
          <w:tab w:val="left" w:pos="5670"/>
        </w:tabs>
        <w:spacing w:after="0" w:line="240" w:lineRule="auto"/>
        <w:ind w:left="851" w:hanging="851"/>
        <w:rPr>
          <w:rFonts w:ascii="Cambria" w:eastAsia="Times New Roman" w:hAnsi="Cambria" w:cs="Times New Roman"/>
          <w:b/>
          <w:lang w:eastAsia="en-AU"/>
        </w:rPr>
      </w:pPr>
      <w:r w:rsidRPr="009A0DA6">
        <w:rPr>
          <w:rFonts w:ascii="Cambria" w:eastAsia="Times New Roman" w:hAnsi="Cambria" w:cs="Times New Roman"/>
          <w:lang w:eastAsia="en-AU"/>
        </w:rPr>
        <w:t>8.7.6</w:t>
      </w:r>
      <w:r w:rsidRPr="009A0DA6">
        <w:rPr>
          <w:rFonts w:ascii="Cambria" w:eastAsia="Times New Roman" w:hAnsi="Cambria" w:cs="Times New Roman"/>
          <w:lang w:eastAsia="en-AU"/>
        </w:rPr>
        <w:tab/>
      </w:r>
      <w:r w:rsidRPr="009A0DA6">
        <w:rPr>
          <w:rFonts w:ascii="Cambria" w:eastAsia="Times New Roman" w:hAnsi="Cambria" w:cs="Times New Roman"/>
          <w:strike/>
          <w:lang w:eastAsia="en-AU"/>
        </w:rPr>
        <w:t>At the first meeting of the newly elected Board after the regular convention of the General Synod, the board shall appoint from its members a chairperson</w:t>
      </w:r>
      <w:r w:rsidRPr="009A0DA6">
        <w:rPr>
          <w:rFonts w:ascii="Cambria" w:eastAsia="Times New Roman" w:hAnsi="Cambria" w:cs="Times New Roman"/>
          <w:b/>
          <w:strike/>
          <w:lang w:eastAsia="en-AU"/>
        </w:rPr>
        <w:t xml:space="preserve"> </w:t>
      </w:r>
      <w:r w:rsidRPr="009A0DA6">
        <w:rPr>
          <w:rFonts w:ascii="Cambria" w:eastAsia="Times New Roman" w:hAnsi="Cambria" w:cs="Times New Roman"/>
          <w:strike/>
          <w:lang w:eastAsia="en-AU"/>
        </w:rPr>
        <w:t>and a secretary, and such other officers as are deemed desirable and necessary.</w:t>
      </w:r>
      <w:r w:rsidRPr="009A0DA6">
        <w:rPr>
          <w:rFonts w:ascii="Cambria" w:eastAsia="Times New Roman" w:hAnsi="Cambria" w:cs="Times New Roman"/>
          <w:lang w:eastAsia="en-AU"/>
        </w:rPr>
        <w:t xml:space="preserve"> </w:t>
      </w:r>
      <w:r w:rsidRPr="009A0DA6">
        <w:rPr>
          <w:rFonts w:ascii="Cambria" w:eastAsia="Times New Roman" w:hAnsi="Cambria" w:cs="Times New Roman"/>
          <w:b/>
          <w:lang w:eastAsia="en-AU"/>
        </w:rPr>
        <w:t>The Chairperson and any executive positions of each board and council shall be determined in accordance with the relevant Terms of Reference.</w:t>
      </w:r>
    </w:p>
    <w:p w14:paraId="1AE4B7F2" w14:textId="77777777" w:rsidR="00E0197D" w:rsidRPr="009A0DA6" w:rsidRDefault="00E0197D" w:rsidP="00E0197D">
      <w:pPr>
        <w:tabs>
          <w:tab w:val="left" w:pos="851"/>
          <w:tab w:val="left" w:pos="1985"/>
          <w:tab w:val="left" w:pos="3119"/>
          <w:tab w:val="left" w:pos="4536"/>
          <w:tab w:val="left" w:pos="5670"/>
        </w:tabs>
        <w:spacing w:after="0" w:line="240" w:lineRule="auto"/>
        <w:ind w:left="851" w:hanging="851"/>
        <w:rPr>
          <w:rFonts w:ascii="Cambria" w:eastAsia="Times New Roman" w:hAnsi="Cambria" w:cs="Times New Roman"/>
          <w:lang w:eastAsia="en-AU"/>
        </w:rPr>
      </w:pPr>
      <w:r w:rsidRPr="009A0DA6">
        <w:rPr>
          <w:rFonts w:ascii="Cambria" w:eastAsia="Times New Roman" w:hAnsi="Cambria" w:cs="Times New Roman"/>
          <w:lang w:eastAsia="en-AU"/>
        </w:rPr>
        <w:t>8.7.11</w:t>
      </w:r>
      <w:r w:rsidRPr="009A0DA6">
        <w:rPr>
          <w:rFonts w:ascii="Cambria" w:eastAsia="Times New Roman" w:hAnsi="Cambria" w:cs="Times New Roman"/>
          <w:lang w:eastAsia="en-AU"/>
        </w:rPr>
        <w:tab/>
      </w:r>
      <w:r w:rsidRPr="009A0DA6">
        <w:rPr>
          <w:rFonts w:ascii="Cambria" w:eastAsia="Times New Roman" w:hAnsi="Cambria" w:cs="Times New Roman"/>
          <w:strike/>
          <w:lang w:eastAsia="en-AU"/>
        </w:rPr>
        <w:t>The board shall</w:t>
      </w:r>
      <w:r w:rsidRPr="009A0DA6">
        <w:rPr>
          <w:rFonts w:ascii="Cambria" w:eastAsia="Times New Roman" w:hAnsi="Cambria" w:cs="Times New Roman"/>
          <w:lang w:eastAsia="en-AU"/>
        </w:rPr>
        <w:t xml:space="preserve"> </w:t>
      </w:r>
      <w:r w:rsidRPr="009A0DA6">
        <w:rPr>
          <w:rFonts w:ascii="Cambria" w:eastAsia="Times New Roman" w:hAnsi="Cambria" w:cs="Times New Roman"/>
          <w:b/>
          <w:lang w:eastAsia="en-AU"/>
        </w:rPr>
        <w:t>The boards and councils shall abide by the policies and requirements established by the General Church Board and shall</w:t>
      </w:r>
    </w:p>
    <w:p w14:paraId="537186FF" w14:textId="77777777" w:rsidR="00E0197D" w:rsidRPr="009A0DA6" w:rsidRDefault="00E0197D" w:rsidP="00E0197D">
      <w:pPr>
        <w:tabs>
          <w:tab w:val="left" w:pos="851"/>
          <w:tab w:val="left" w:pos="1985"/>
          <w:tab w:val="left" w:pos="3119"/>
          <w:tab w:val="left" w:pos="4536"/>
          <w:tab w:val="left" w:pos="5670"/>
        </w:tabs>
        <w:spacing w:after="0" w:line="240" w:lineRule="auto"/>
        <w:ind w:left="1985" w:hanging="1985"/>
        <w:rPr>
          <w:rFonts w:ascii="Cambria" w:eastAsia="Times New Roman" w:hAnsi="Cambria" w:cs="Times New Roman"/>
          <w:lang w:eastAsia="en-AU"/>
        </w:rPr>
      </w:pPr>
      <w:r w:rsidRPr="009A0DA6">
        <w:rPr>
          <w:rFonts w:ascii="Cambria" w:eastAsia="Times New Roman" w:hAnsi="Cambria" w:cs="Times New Roman"/>
          <w:lang w:eastAsia="en-AU"/>
        </w:rPr>
        <w:tab/>
        <w:t>8.7.11.1</w:t>
      </w:r>
      <w:r w:rsidRPr="009A0DA6">
        <w:rPr>
          <w:rFonts w:ascii="Cambria" w:eastAsia="Times New Roman" w:hAnsi="Cambria" w:cs="Times New Roman"/>
          <w:lang w:eastAsia="en-AU"/>
        </w:rPr>
        <w:tab/>
        <w:t xml:space="preserve">submit annually to the General Church </w:t>
      </w:r>
      <w:r w:rsidRPr="009A0DA6">
        <w:rPr>
          <w:rFonts w:ascii="Cambria" w:eastAsia="Times New Roman" w:hAnsi="Cambria" w:cs="Times New Roman"/>
          <w:strike/>
          <w:lang w:eastAsia="en-AU"/>
        </w:rPr>
        <w:t>Council</w:t>
      </w:r>
      <w:r w:rsidRPr="009A0DA6">
        <w:rPr>
          <w:rFonts w:ascii="Cambria" w:eastAsia="Times New Roman" w:hAnsi="Cambria" w:cs="Times New Roman"/>
          <w:b/>
          <w:lang w:eastAsia="en-AU"/>
        </w:rPr>
        <w:t>Board</w:t>
      </w:r>
      <w:r w:rsidRPr="009A0DA6">
        <w:rPr>
          <w:rFonts w:ascii="Cambria" w:eastAsia="Times New Roman" w:hAnsi="Cambria" w:cs="Times New Roman"/>
          <w:lang w:eastAsia="en-AU"/>
        </w:rPr>
        <w:t xml:space="preserve"> a report which shall include</w:t>
      </w:r>
    </w:p>
    <w:p w14:paraId="4554B46F" w14:textId="77777777" w:rsidR="00E0197D" w:rsidRPr="009A0DA6" w:rsidRDefault="00E0197D" w:rsidP="00E0197D">
      <w:pPr>
        <w:tabs>
          <w:tab w:val="left" w:pos="851"/>
          <w:tab w:val="left" w:pos="1985"/>
          <w:tab w:val="left" w:pos="3119"/>
          <w:tab w:val="left" w:pos="4536"/>
          <w:tab w:val="left" w:pos="5670"/>
        </w:tabs>
        <w:spacing w:after="0" w:line="240" w:lineRule="auto"/>
        <w:ind w:left="3119" w:hanging="3119"/>
        <w:rPr>
          <w:rFonts w:ascii="Cambria" w:eastAsia="Times New Roman" w:hAnsi="Cambria" w:cs="Times New Roman"/>
          <w:lang w:eastAsia="en-AU"/>
        </w:rPr>
      </w:pPr>
      <w:r w:rsidRPr="009A0DA6">
        <w:rPr>
          <w:rFonts w:ascii="Cambria" w:eastAsia="Times New Roman" w:hAnsi="Cambria" w:cs="Times New Roman"/>
          <w:lang w:eastAsia="en-AU"/>
        </w:rPr>
        <w:tab/>
      </w:r>
      <w:r w:rsidRPr="009A0DA6">
        <w:rPr>
          <w:rFonts w:ascii="Cambria" w:eastAsia="Times New Roman" w:hAnsi="Cambria" w:cs="Times New Roman"/>
          <w:lang w:eastAsia="en-AU"/>
        </w:rPr>
        <w:tab/>
        <w:t>8.7.11.1.1</w:t>
      </w:r>
      <w:r w:rsidRPr="009A0DA6">
        <w:rPr>
          <w:rFonts w:ascii="Cambria" w:eastAsia="Times New Roman" w:hAnsi="Cambria" w:cs="Times New Roman"/>
          <w:lang w:eastAsia="en-AU"/>
        </w:rPr>
        <w:tab/>
        <w:t>a record of the past year's activities in relation to planned objectives;</w:t>
      </w:r>
    </w:p>
    <w:p w14:paraId="5D9AF152" w14:textId="77777777" w:rsidR="00E0197D" w:rsidRPr="009A0DA6" w:rsidRDefault="00E0197D" w:rsidP="00E0197D">
      <w:pPr>
        <w:tabs>
          <w:tab w:val="left" w:pos="851"/>
          <w:tab w:val="left" w:pos="1985"/>
          <w:tab w:val="left" w:pos="3119"/>
          <w:tab w:val="left" w:pos="4536"/>
          <w:tab w:val="left" w:pos="5670"/>
        </w:tabs>
        <w:spacing w:after="0" w:line="240" w:lineRule="auto"/>
        <w:ind w:left="3119" w:hanging="3119"/>
        <w:rPr>
          <w:rFonts w:ascii="Cambria" w:eastAsia="Times New Roman" w:hAnsi="Cambria" w:cs="Times New Roman"/>
          <w:lang w:eastAsia="en-AU"/>
        </w:rPr>
      </w:pPr>
      <w:r w:rsidRPr="009A0DA6">
        <w:rPr>
          <w:rFonts w:ascii="Cambria" w:eastAsia="Times New Roman" w:hAnsi="Cambria" w:cs="Times New Roman"/>
          <w:lang w:eastAsia="en-AU"/>
        </w:rPr>
        <w:tab/>
      </w:r>
      <w:r w:rsidRPr="009A0DA6">
        <w:rPr>
          <w:rFonts w:ascii="Cambria" w:eastAsia="Times New Roman" w:hAnsi="Cambria" w:cs="Times New Roman"/>
          <w:lang w:eastAsia="en-AU"/>
        </w:rPr>
        <w:tab/>
        <w:t>8.7.11.1.2</w:t>
      </w:r>
      <w:r w:rsidRPr="009A0DA6">
        <w:rPr>
          <w:rFonts w:ascii="Cambria" w:eastAsia="Times New Roman" w:hAnsi="Cambria" w:cs="Times New Roman"/>
          <w:lang w:eastAsia="en-AU"/>
        </w:rPr>
        <w:tab/>
        <w:t xml:space="preserve">audited financial statements, including a balance sheet; </w:t>
      </w:r>
    </w:p>
    <w:p w14:paraId="1C28BF51" w14:textId="77777777" w:rsidR="00E0197D" w:rsidRPr="009A0DA6" w:rsidRDefault="00E0197D" w:rsidP="00E0197D">
      <w:pPr>
        <w:tabs>
          <w:tab w:val="left" w:pos="851"/>
          <w:tab w:val="left" w:pos="1985"/>
          <w:tab w:val="left" w:pos="3119"/>
          <w:tab w:val="left" w:pos="4536"/>
          <w:tab w:val="left" w:pos="5670"/>
        </w:tabs>
        <w:spacing w:after="0" w:line="240" w:lineRule="auto"/>
        <w:ind w:left="3119" w:hanging="3119"/>
        <w:rPr>
          <w:rFonts w:ascii="Cambria" w:eastAsia="Times New Roman" w:hAnsi="Cambria" w:cs="Times New Roman"/>
          <w:lang w:eastAsia="en-AU"/>
        </w:rPr>
      </w:pPr>
      <w:r w:rsidRPr="009A0DA6">
        <w:rPr>
          <w:rFonts w:ascii="Cambria" w:eastAsia="Times New Roman" w:hAnsi="Cambria" w:cs="Times New Roman"/>
          <w:lang w:eastAsia="en-AU"/>
        </w:rPr>
        <w:tab/>
      </w:r>
      <w:r w:rsidRPr="009A0DA6">
        <w:rPr>
          <w:rFonts w:ascii="Cambria" w:eastAsia="Times New Roman" w:hAnsi="Cambria" w:cs="Times New Roman"/>
          <w:lang w:eastAsia="en-AU"/>
        </w:rPr>
        <w:tab/>
        <w:t>8.7.11.1.3</w:t>
      </w:r>
      <w:r w:rsidRPr="009A0DA6">
        <w:rPr>
          <w:rFonts w:ascii="Cambria" w:eastAsia="Times New Roman" w:hAnsi="Cambria" w:cs="Times New Roman"/>
          <w:lang w:eastAsia="en-AU"/>
        </w:rPr>
        <w:tab/>
        <w:t>a written financial report that explains significant variations between budget and actual performance and, where necessary, how surpluses will be used and deficits funded;  and</w:t>
      </w:r>
    </w:p>
    <w:p w14:paraId="624048CF" w14:textId="77777777" w:rsidR="00E0197D" w:rsidRPr="009A0DA6" w:rsidRDefault="00E0197D" w:rsidP="00E0197D">
      <w:pPr>
        <w:tabs>
          <w:tab w:val="left" w:pos="851"/>
          <w:tab w:val="left" w:pos="1985"/>
          <w:tab w:val="left" w:pos="3119"/>
          <w:tab w:val="left" w:pos="4536"/>
          <w:tab w:val="left" w:pos="5670"/>
        </w:tabs>
        <w:spacing w:after="0" w:line="240" w:lineRule="auto"/>
        <w:ind w:left="3119" w:hanging="3119"/>
        <w:rPr>
          <w:rFonts w:ascii="Cambria" w:eastAsia="Times New Roman" w:hAnsi="Cambria" w:cs="Times New Roman"/>
          <w:lang w:eastAsia="en-AU"/>
        </w:rPr>
      </w:pPr>
      <w:r w:rsidRPr="009A0DA6">
        <w:rPr>
          <w:rFonts w:ascii="Cambria" w:eastAsia="Times New Roman" w:hAnsi="Cambria" w:cs="Times New Roman"/>
          <w:lang w:eastAsia="en-AU"/>
        </w:rPr>
        <w:tab/>
      </w:r>
      <w:r w:rsidRPr="009A0DA6">
        <w:rPr>
          <w:rFonts w:ascii="Cambria" w:eastAsia="Times New Roman" w:hAnsi="Cambria" w:cs="Times New Roman"/>
          <w:lang w:eastAsia="en-AU"/>
        </w:rPr>
        <w:tab/>
        <w:t>8.7.11.1.4</w:t>
      </w:r>
      <w:r w:rsidRPr="009A0DA6">
        <w:rPr>
          <w:rFonts w:ascii="Cambria" w:eastAsia="Times New Roman" w:hAnsi="Cambria" w:cs="Times New Roman"/>
          <w:lang w:eastAsia="en-AU"/>
        </w:rPr>
        <w:tab/>
        <w:t>identification of its major programmatic and organisational risks and the plans to mitigate them;</w:t>
      </w:r>
    </w:p>
    <w:p w14:paraId="57362ADA" w14:textId="4B6F8D9F" w:rsidR="00E0197D" w:rsidRPr="009A0DA6" w:rsidRDefault="00E0197D" w:rsidP="00E0197D">
      <w:pPr>
        <w:tabs>
          <w:tab w:val="left" w:pos="851"/>
          <w:tab w:val="left" w:pos="1985"/>
          <w:tab w:val="left" w:pos="3119"/>
          <w:tab w:val="left" w:pos="4536"/>
          <w:tab w:val="left" w:pos="5670"/>
        </w:tabs>
        <w:spacing w:after="0" w:line="240" w:lineRule="auto"/>
        <w:ind w:left="851" w:hanging="851"/>
        <w:rPr>
          <w:rFonts w:ascii="Cambria" w:eastAsia="Times New Roman" w:hAnsi="Cambria" w:cs="Times New Roman"/>
          <w:strike/>
          <w:lang w:eastAsia="en-AU"/>
        </w:rPr>
      </w:pPr>
      <w:r w:rsidRPr="009A0DA6">
        <w:rPr>
          <w:rFonts w:ascii="Cambria" w:eastAsia="Times New Roman" w:hAnsi="Cambria" w:cs="Times New Roman"/>
          <w:strike/>
          <w:lang w:eastAsia="en-AU"/>
        </w:rPr>
        <w:t>8.7.13</w:t>
      </w:r>
      <w:r w:rsidRPr="009A0DA6">
        <w:rPr>
          <w:rFonts w:ascii="Cambria" w:eastAsia="Times New Roman" w:hAnsi="Cambria" w:cs="Times New Roman"/>
          <w:strike/>
          <w:lang w:eastAsia="en-AU"/>
        </w:rPr>
        <w:tab/>
        <w:t>Any proposal to appoint an honorary member of a board shall be submitted to the General Church Council for decision</w:t>
      </w:r>
      <w:r w:rsidR="0027799A" w:rsidRPr="009A0DA6">
        <w:rPr>
          <w:rFonts w:ascii="Cambria" w:eastAsia="Times New Roman" w:hAnsi="Cambria" w:cs="Times New Roman"/>
          <w:strike/>
          <w:lang w:eastAsia="en-AU"/>
        </w:rPr>
        <w:t xml:space="preserve">. </w:t>
      </w:r>
      <w:r w:rsidRPr="009A0DA6">
        <w:rPr>
          <w:rFonts w:ascii="Cambria" w:eastAsia="Times New Roman" w:hAnsi="Cambria" w:cs="Times New Roman"/>
          <w:strike/>
          <w:lang w:eastAsia="en-AU"/>
        </w:rPr>
        <w:t>Any such honorary member shall have consultative status for one [1] synodical term, not being eligible to vote or hold office.</w:t>
      </w:r>
    </w:p>
    <w:p w14:paraId="5416DE7C" w14:textId="77777777" w:rsidR="00E0197D" w:rsidRPr="009A0DA6" w:rsidRDefault="00E0197D" w:rsidP="00E0197D">
      <w:pPr>
        <w:tabs>
          <w:tab w:val="left" w:pos="851"/>
          <w:tab w:val="left" w:pos="1985"/>
          <w:tab w:val="left" w:pos="3119"/>
          <w:tab w:val="left" w:pos="4536"/>
          <w:tab w:val="left" w:pos="5670"/>
        </w:tabs>
        <w:spacing w:after="0" w:line="240" w:lineRule="auto"/>
        <w:rPr>
          <w:rFonts w:ascii="Cambria" w:eastAsia="Times New Roman" w:hAnsi="Cambria" w:cs="Times New Roman"/>
          <w:lang w:eastAsia="en-AU"/>
        </w:rPr>
      </w:pPr>
    </w:p>
    <w:p w14:paraId="0C622D77" w14:textId="676EEC49" w:rsidR="00E0197D" w:rsidRPr="009A0DA6" w:rsidRDefault="00E0197D" w:rsidP="00E0197D">
      <w:pPr>
        <w:tabs>
          <w:tab w:val="left" w:pos="851"/>
          <w:tab w:val="left" w:pos="1985"/>
          <w:tab w:val="left" w:pos="3119"/>
          <w:tab w:val="left" w:pos="4536"/>
          <w:tab w:val="left" w:pos="5670"/>
        </w:tabs>
        <w:spacing w:after="0" w:line="240" w:lineRule="auto"/>
        <w:jc w:val="center"/>
        <w:rPr>
          <w:rFonts w:ascii="Cambria" w:eastAsia="Times New Roman" w:hAnsi="Cambria" w:cs="Times New Roman"/>
          <w:b/>
          <w:sz w:val="10"/>
          <w:lang w:eastAsia="en-AU"/>
        </w:rPr>
      </w:pPr>
      <w:r w:rsidRPr="009A0DA6">
        <w:rPr>
          <w:rFonts w:ascii="Cambria" w:eastAsia="Times New Roman" w:hAnsi="Cambria" w:cs="Times New Roman"/>
          <w:b/>
          <w:lang w:eastAsia="en-AU"/>
        </w:rPr>
        <w:t>SECTION 11. BY-LAWS</w:t>
      </w:r>
      <w:r w:rsidRPr="009A0DA6">
        <w:rPr>
          <w:rFonts w:ascii="Cambria" w:eastAsia="Times New Roman" w:hAnsi="Cambria" w:cs="Times New Roman"/>
          <w:b/>
          <w:lang w:eastAsia="en-AU"/>
        </w:rPr>
        <w:br/>
      </w:r>
    </w:p>
    <w:p w14:paraId="2D76EFB8" w14:textId="77777777" w:rsidR="00E0197D" w:rsidRPr="009A0DA6" w:rsidRDefault="00E0197D" w:rsidP="00E0197D">
      <w:pPr>
        <w:tabs>
          <w:tab w:val="left" w:pos="851"/>
          <w:tab w:val="left" w:pos="1985"/>
          <w:tab w:val="left" w:pos="3119"/>
          <w:tab w:val="left" w:pos="4536"/>
          <w:tab w:val="left" w:pos="5670"/>
        </w:tabs>
        <w:spacing w:after="0" w:line="240" w:lineRule="auto"/>
        <w:ind w:left="851" w:hanging="851"/>
        <w:rPr>
          <w:rFonts w:ascii="Cambria" w:eastAsia="Times New Roman" w:hAnsi="Cambria" w:cs="Times New Roman"/>
          <w:lang w:eastAsia="en-AU"/>
        </w:rPr>
      </w:pPr>
      <w:r w:rsidRPr="009A0DA6">
        <w:rPr>
          <w:rFonts w:ascii="Cambria" w:eastAsia="Times New Roman" w:hAnsi="Cambria" w:cs="Times New Roman"/>
          <w:lang w:eastAsia="en-AU"/>
        </w:rPr>
        <w:t>11.1</w:t>
      </w:r>
      <w:r w:rsidRPr="009A0DA6">
        <w:rPr>
          <w:rFonts w:ascii="Cambria" w:eastAsia="Times New Roman" w:hAnsi="Cambria" w:cs="Times New Roman"/>
          <w:lang w:eastAsia="en-AU"/>
        </w:rPr>
        <w:tab/>
        <w:t xml:space="preserve">The </w:t>
      </w:r>
      <w:r w:rsidRPr="009A0DA6">
        <w:rPr>
          <w:rFonts w:ascii="Cambria" w:eastAsia="Times New Roman" w:hAnsi="Cambria" w:cs="Times New Roman"/>
          <w:strike/>
          <w:lang w:eastAsia="en-AU"/>
        </w:rPr>
        <w:t>rules governing</w:t>
      </w:r>
      <w:r w:rsidRPr="009A0DA6">
        <w:rPr>
          <w:rFonts w:ascii="Cambria" w:eastAsia="Times New Roman" w:hAnsi="Cambria" w:cs="Times New Roman"/>
          <w:lang w:eastAsia="en-AU"/>
        </w:rPr>
        <w:t xml:space="preserve"> </w:t>
      </w:r>
      <w:r w:rsidRPr="009A0DA6">
        <w:rPr>
          <w:rFonts w:ascii="Cambria" w:eastAsia="Times New Roman" w:hAnsi="Cambria" w:cs="Times New Roman"/>
          <w:b/>
          <w:lang w:eastAsia="en-AU"/>
        </w:rPr>
        <w:t xml:space="preserve">Terms of Reference for </w:t>
      </w:r>
      <w:r w:rsidRPr="009A0DA6">
        <w:rPr>
          <w:rFonts w:ascii="Cambria" w:eastAsia="Times New Roman" w:hAnsi="Cambria" w:cs="Times New Roman"/>
          <w:lang w:eastAsia="en-AU"/>
        </w:rPr>
        <w:t xml:space="preserve">each </w:t>
      </w:r>
      <w:r w:rsidRPr="009A0DA6">
        <w:rPr>
          <w:rFonts w:ascii="Cambria" w:eastAsia="Times New Roman" w:hAnsi="Cambria" w:cs="Times New Roman"/>
          <w:strike/>
          <w:lang w:eastAsia="en-AU"/>
        </w:rPr>
        <w:t>B</w:t>
      </w:r>
      <w:r w:rsidRPr="009A0DA6">
        <w:rPr>
          <w:rFonts w:ascii="Cambria" w:eastAsia="Times New Roman" w:hAnsi="Cambria" w:cs="Times New Roman"/>
          <w:b/>
          <w:lang w:eastAsia="en-AU"/>
        </w:rPr>
        <w:t>b</w:t>
      </w:r>
      <w:r w:rsidRPr="009A0DA6">
        <w:rPr>
          <w:rFonts w:ascii="Cambria" w:eastAsia="Times New Roman" w:hAnsi="Cambria" w:cs="Times New Roman"/>
          <w:lang w:eastAsia="en-AU"/>
        </w:rPr>
        <w:t xml:space="preserve">oard </w:t>
      </w:r>
      <w:r w:rsidRPr="009A0DA6">
        <w:rPr>
          <w:rFonts w:ascii="Cambria" w:eastAsia="Times New Roman" w:hAnsi="Cambria" w:cs="Times New Roman"/>
          <w:b/>
          <w:lang w:eastAsia="en-AU"/>
        </w:rPr>
        <w:t xml:space="preserve">and council </w:t>
      </w:r>
      <w:r w:rsidRPr="009A0DA6">
        <w:rPr>
          <w:rFonts w:ascii="Cambria" w:eastAsia="Times New Roman" w:hAnsi="Cambria" w:cs="Times New Roman"/>
          <w:lang w:eastAsia="en-AU"/>
        </w:rPr>
        <w:t>of the Church are By-laws of the Church.</w:t>
      </w:r>
    </w:p>
    <w:p w14:paraId="46D7363E" w14:textId="77777777" w:rsidR="00E0197D" w:rsidRPr="009A0DA6" w:rsidRDefault="00E0197D" w:rsidP="00E0197D">
      <w:pPr>
        <w:tabs>
          <w:tab w:val="left" w:pos="851"/>
          <w:tab w:val="left" w:pos="1985"/>
          <w:tab w:val="left" w:pos="3119"/>
          <w:tab w:val="left" w:pos="4536"/>
          <w:tab w:val="left" w:pos="5670"/>
        </w:tabs>
        <w:spacing w:after="0" w:line="240" w:lineRule="auto"/>
        <w:ind w:left="851" w:hanging="851"/>
        <w:rPr>
          <w:rFonts w:ascii="Cambria" w:eastAsia="Times New Roman" w:hAnsi="Cambria" w:cs="Times New Roman"/>
          <w:lang w:eastAsia="en-AU"/>
        </w:rPr>
      </w:pPr>
    </w:p>
    <w:p w14:paraId="4948BE8A" w14:textId="538152F1" w:rsidR="00E0197D" w:rsidRPr="009A0DA6" w:rsidRDefault="00E0197D" w:rsidP="00E0197D">
      <w:pPr>
        <w:tabs>
          <w:tab w:val="left" w:pos="851"/>
          <w:tab w:val="left" w:pos="1985"/>
          <w:tab w:val="left" w:pos="3119"/>
          <w:tab w:val="left" w:pos="4536"/>
          <w:tab w:val="left" w:pos="5670"/>
        </w:tabs>
        <w:spacing w:after="0" w:line="240" w:lineRule="auto"/>
        <w:rPr>
          <w:rFonts w:ascii="Cambria" w:eastAsia="Times New Roman" w:hAnsi="Cambria" w:cs="Times New Roman"/>
          <w:bCs/>
          <w:color w:val="222222"/>
          <w:lang w:eastAsia="en-AU"/>
        </w:rPr>
      </w:pPr>
      <w:r w:rsidRPr="009A0DA6">
        <w:rPr>
          <w:rFonts w:ascii="Cambria" w:eastAsia="Times New Roman" w:hAnsi="Cambria" w:cs="Times New Roman"/>
          <w:b/>
          <w:bCs/>
          <w:color w:val="222222"/>
          <w:lang w:eastAsia="en-AU"/>
        </w:rPr>
        <w:t>BE IT FURTHER RESOLVED</w:t>
      </w:r>
      <w:r w:rsidRPr="009A0DA6">
        <w:rPr>
          <w:rFonts w:ascii="Cambria" w:eastAsia="Times New Roman" w:hAnsi="Cambria" w:cs="Times New Roman"/>
          <w:bCs/>
          <w:color w:val="222222"/>
          <w:lang w:eastAsia="en-AU"/>
        </w:rPr>
        <w:t xml:space="preserve"> that the new Terms of Reference for the Board for Lutheran Education Australia be adopted, as follows:</w:t>
      </w:r>
    </w:p>
    <w:p w14:paraId="06C2A20E" w14:textId="77777777" w:rsidR="00E0197D" w:rsidRPr="009A0DA6" w:rsidRDefault="00E0197D" w:rsidP="00E0197D">
      <w:pPr>
        <w:tabs>
          <w:tab w:val="left" w:pos="851"/>
          <w:tab w:val="left" w:pos="1985"/>
          <w:tab w:val="left" w:pos="3119"/>
          <w:tab w:val="left" w:pos="4536"/>
          <w:tab w:val="left" w:pos="5670"/>
        </w:tabs>
        <w:spacing w:after="0" w:line="240" w:lineRule="auto"/>
        <w:rPr>
          <w:rFonts w:ascii="Cambria" w:eastAsia="Times New Roman" w:hAnsi="Cambria" w:cs="Times New Roman"/>
          <w:bCs/>
          <w:color w:val="222222"/>
          <w:lang w:eastAsia="en-AU"/>
        </w:rPr>
      </w:pPr>
    </w:p>
    <w:p w14:paraId="73CFB877" w14:textId="09589C3B" w:rsidR="00E0197D" w:rsidRPr="009A0DA6" w:rsidRDefault="00E0197D" w:rsidP="00E0197D">
      <w:pPr>
        <w:tabs>
          <w:tab w:val="left" w:pos="567"/>
          <w:tab w:val="left" w:pos="1418"/>
          <w:tab w:val="left" w:pos="2268"/>
          <w:tab w:val="left" w:pos="3119"/>
          <w:tab w:val="left" w:pos="3969"/>
        </w:tabs>
        <w:spacing w:after="0" w:line="240" w:lineRule="auto"/>
        <w:ind w:left="567" w:hanging="567"/>
        <w:jc w:val="center"/>
        <w:rPr>
          <w:rFonts w:ascii="Cambria" w:hAnsi="Cambria" w:cstheme="minorHAnsi"/>
          <w:b/>
        </w:rPr>
      </w:pPr>
      <w:r w:rsidRPr="009A0DA6">
        <w:rPr>
          <w:rFonts w:ascii="Cambria" w:hAnsi="Cambria" w:cstheme="minorHAnsi"/>
          <w:b/>
        </w:rPr>
        <w:t>BOARD  FOR  LUTHERAN  EDUCATION  AUSTRALIA</w:t>
      </w:r>
    </w:p>
    <w:p w14:paraId="1B037FE2" w14:textId="77777777" w:rsidR="00E0197D" w:rsidRPr="009A0DA6" w:rsidRDefault="00E0197D" w:rsidP="00E0197D">
      <w:pPr>
        <w:tabs>
          <w:tab w:val="left" w:pos="567"/>
          <w:tab w:val="left" w:pos="1418"/>
          <w:tab w:val="left" w:pos="2268"/>
          <w:tab w:val="left" w:pos="3119"/>
          <w:tab w:val="left" w:pos="3969"/>
        </w:tabs>
        <w:spacing w:after="0" w:line="240" w:lineRule="auto"/>
        <w:ind w:left="567" w:hanging="567"/>
        <w:jc w:val="center"/>
        <w:rPr>
          <w:rFonts w:ascii="Cambria" w:hAnsi="Cambria" w:cstheme="minorHAnsi"/>
          <w:b/>
        </w:rPr>
      </w:pPr>
      <w:r w:rsidRPr="009A0DA6">
        <w:rPr>
          <w:rFonts w:ascii="Cambria" w:hAnsi="Cambria" w:cstheme="minorHAnsi"/>
          <w:b/>
        </w:rPr>
        <w:t>Terms of Reference</w:t>
      </w:r>
    </w:p>
    <w:p w14:paraId="704DBCBF" w14:textId="77777777" w:rsidR="00E0197D" w:rsidRPr="009A0DA6" w:rsidRDefault="00E0197D" w:rsidP="00E0197D">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9A0DA6">
        <w:rPr>
          <w:rFonts w:ascii="Cambria" w:hAnsi="Cambria" w:cstheme="minorHAnsi"/>
          <w:b/>
        </w:rPr>
        <w:t>1.</w:t>
      </w:r>
      <w:r w:rsidRPr="009A0DA6">
        <w:rPr>
          <w:rFonts w:ascii="Cambria" w:hAnsi="Cambria" w:cstheme="minorHAnsi"/>
          <w:b/>
        </w:rPr>
        <w:tab/>
        <w:t>NAME</w:t>
      </w:r>
    </w:p>
    <w:p w14:paraId="714ECC57" w14:textId="77777777" w:rsidR="00E0197D" w:rsidRPr="009A0DA6" w:rsidRDefault="00E0197D" w:rsidP="00E0197D">
      <w:pPr>
        <w:tabs>
          <w:tab w:val="left" w:pos="567"/>
          <w:tab w:val="left" w:pos="1418"/>
          <w:tab w:val="left" w:pos="2268"/>
          <w:tab w:val="left" w:pos="3119"/>
          <w:tab w:val="left" w:pos="3969"/>
        </w:tabs>
        <w:spacing w:after="0" w:line="240" w:lineRule="auto"/>
        <w:ind w:left="567" w:hanging="567"/>
        <w:rPr>
          <w:rFonts w:ascii="Cambria" w:hAnsi="Cambria" w:cstheme="minorHAnsi"/>
        </w:rPr>
      </w:pPr>
      <w:r w:rsidRPr="009A0DA6">
        <w:rPr>
          <w:rFonts w:ascii="Cambria" w:hAnsi="Cambria" w:cstheme="minorHAnsi"/>
        </w:rPr>
        <w:tab/>
        <w:t>Board for Lutheran Education Australia, referred to as “the Board”.</w:t>
      </w:r>
    </w:p>
    <w:p w14:paraId="7702279A" w14:textId="77777777" w:rsidR="00E0197D" w:rsidRPr="009A0DA6" w:rsidRDefault="00E0197D" w:rsidP="00E0197D">
      <w:pPr>
        <w:tabs>
          <w:tab w:val="left" w:pos="567"/>
          <w:tab w:val="left" w:pos="1418"/>
          <w:tab w:val="left" w:pos="2268"/>
          <w:tab w:val="left" w:pos="3119"/>
          <w:tab w:val="left" w:pos="3969"/>
        </w:tabs>
        <w:spacing w:after="0" w:line="240" w:lineRule="auto"/>
        <w:ind w:left="567" w:hanging="567"/>
        <w:rPr>
          <w:rFonts w:ascii="Cambria" w:hAnsi="Cambria" w:cstheme="minorHAnsi"/>
          <w:b/>
          <w:sz w:val="16"/>
        </w:rPr>
      </w:pPr>
    </w:p>
    <w:p w14:paraId="127A5D27" w14:textId="77777777" w:rsidR="00CE2064" w:rsidRDefault="00CE2064" w:rsidP="00E0197D">
      <w:pPr>
        <w:tabs>
          <w:tab w:val="left" w:pos="567"/>
          <w:tab w:val="left" w:pos="1418"/>
          <w:tab w:val="left" w:pos="2268"/>
          <w:tab w:val="left" w:pos="3119"/>
          <w:tab w:val="left" w:pos="3969"/>
        </w:tabs>
        <w:spacing w:after="0" w:line="240" w:lineRule="auto"/>
        <w:ind w:left="567" w:hanging="567"/>
        <w:rPr>
          <w:rFonts w:ascii="Cambria" w:hAnsi="Cambria" w:cstheme="minorHAnsi"/>
          <w:b/>
        </w:rPr>
      </w:pPr>
    </w:p>
    <w:p w14:paraId="28B644D8" w14:textId="396C8014" w:rsidR="00E0197D" w:rsidRPr="009A0DA6" w:rsidRDefault="00E0197D" w:rsidP="00E0197D">
      <w:pPr>
        <w:tabs>
          <w:tab w:val="left" w:pos="567"/>
          <w:tab w:val="left" w:pos="1418"/>
          <w:tab w:val="left" w:pos="2268"/>
          <w:tab w:val="left" w:pos="3119"/>
          <w:tab w:val="left" w:pos="3969"/>
        </w:tabs>
        <w:spacing w:after="0" w:line="240" w:lineRule="auto"/>
        <w:ind w:left="567" w:hanging="567"/>
        <w:rPr>
          <w:rFonts w:ascii="Cambria" w:hAnsi="Cambria" w:cstheme="minorHAnsi"/>
        </w:rPr>
      </w:pPr>
      <w:r w:rsidRPr="009A0DA6">
        <w:rPr>
          <w:rFonts w:ascii="Cambria" w:hAnsi="Cambria" w:cstheme="minorHAnsi"/>
          <w:b/>
        </w:rPr>
        <w:lastRenderedPageBreak/>
        <w:t>2.</w:t>
      </w:r>
      <w:r w:rsidRPr="009A0DA6">
        <w:rPr>
          <w:rFonts w:ascii="Cambria" w:hAnsi="Cambria" w:cstheme="minorHAnsi"/>
          <w:b/>
        </w:rPr>
        <w:tab/>
        <w:t>RELATIONSHIP TO THE CHURCH</w:t>
      </w:r>
      <w:r w:rsidRPr="009A0DA6">
        <w:rPr>
          <w:rFonts w:ascii="Cambria" w:hAnsi="Cambria" w:cstheme="minorHAnsi"/>
        </w:rPr>
        <w:tab/>
      </w:r>
    </w:p>
    <w:p w14:paraId="737BDCB8" w14:textId="77777777" w:rsidR="00E0197D" w:rsidRPr="009A0DA6" w:rsidRDefault="00E0197D" w:rsidP="00E0197D">
      <w:pPr>
        <w:tabs>
          <w:tab w:val="left" w:pos="567"/>
          <w:tab w:val="left" w:pos="1418"/>
          <w:tab w:val="left" w:pos="2268"/>
          <w:tab w:val="left" w:pos="3119"/>
          <w:tab w:val="left" w:pos="3969"/>
        </w:tabs>
        <w:spacing w:after="0" w:line="240" w:lineRule="auto"/>
        <w:ind w:left="567" w:hanging="567"/>
        <w:rPr>
          <w:rFonts w:ascii="Cambria" w:hAnsi="Cambria" w:cstheme="minorHAnsi"/>
        </w:rPr>
      </w:pPr>
      <w:r w:rsidRPr="009A0DA6">
        <w:rPr>
          <w:rFonts w:ascii="Cambria" w:hAnsi="Cambria" w:cstheme="minorHAnsi"/>
        </w:rPr>
        <w:tab/>
        <w:t xml:space="preserve">The Board is a board of the Church and is accountable to the Church through the General Church </w:t>
      </w:r>
    </w:p>
    <w:p w14:paraId="71CF7F45" w14:textId="77777777" w:rsidR="00E0197D" w:rsidRPr="009A0DA6" w:rsidRDefault="00E0197D" w:rsidP="00E0197D">
      <w:pPr>
        <w:tabs>
          <w:tab w:val="left" w:pos="567"/>
          <w:tab w:val="left" w:pos="1418"/>
          <w:tab w:val="left" w:pos="2268"/>
          <w:tab w:val="left" w:pos="3119"/>
          <w:tab w:val="left" w:pos="3969"/>
        </w:tabs>
        <w:spacing w:after="0" w:line="240" w:lineRule="auto"/>
        <w:ind w:left="567" w:hanging="567"/>
        <w:rPr>
          <w:rFonts w:ascii="Cambria" w:hAnsi="Cambria" w:cstheme="minorHAnsi"/>
        </w:rPr>
      </w:pPr>
      <w:r w:rsidRPr="009A0DA6">
        <w:rPr>
          <w:rFonts w:ascii="Cambria" w:hAnsi="Cambria" w:cstheme="minorHAnsi"/>
        </w:rPr>
        <w:tab/>
        <w:t>Board</w:t>
      </w:r>
      <w:r w:rsidRPr="009A0DA6">
        <w:rPr>
          <w:rFonts w:ascii="Cambria" w:hAnsi="Cambria"/>
        </w:rPr>
        <w:t xml:space="preserve"> </w:t>
      </w:r>
      <w:r w:rsidRPr="009A0DA6">
        <w:rPr>
          <w:rFonts w:ascii="Cambria" w:hAnsi="Cambria" w:cstheme="minorHAnsi"/>
        </w:rPr>
        <w:t xml:space="preserve">and shall fulfil its responsibilities in keeping with the Constitution and the policies of the Church. </w:t>
      </w:r>
    </w:p>
    <w:p w14:paraId="405260CB" w14:textId="77777777" w:rsidR="00E0197D" w:rsidRPr="009A0DA6" w:rsidRDefault="00E0197D" w:rsidP="00E0197D">
      <w:pPr>
        <w:tabs>
          <w:tab w:val="left" w:pos="567"/>
          <w:tab w:val="left" w:pos="1418"/>
          <w:tab w:val="left" w:pos="2268"/>
          <w:tab w:val="left" w:pos="3119"/>
          <w:tab w:val="left" w:pos="3969"/>
        </w:tabs>
        <w:spacing w:after="0" w:line="240" w:lineRule="auto"/>
        <w:ind w:left="567" w:hanging="567"/>
        <w:rPr>
          <w:rFonts w:ascii="Cambria" w:hAnsi="Cambria" w:cstheme="minorHAnsi"/>
          <w:sz w:val="16"/>
        </w:rPr>
      </w:pPr>
    </w:p>
    <w:p w14:paraId="335826C9" w14:textId="77777777" w:rsidR="00E0197D" w:rsidRPr="009A0DA6" w:rsidRDefault="00E0197D" w:rsidP="00E0197D">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9A0DA6">
        <w:rPr>
          <w:rFonts w:ascii="Cambria" w:hAnsi="Cambria" w:cstheme="minorHAnsi"/>
          <w:b/>
        </w:rPr>
        <w:t>3.</w:t>
      </w:r>
      <w:r w:rsidRPr="009A0DA6">
        <w:rPr>
          <w:rFonts w:ascii="Cambria" w:hAnsi="Cambria" w:cstheme="minorHAnsi"/>
          <w:b/>
        </w:rPr>
        <w:tab/>
        <w:t>PURPOSE</w:t>
      </w:r>
    </w:p>
    <w:p w14:paraId="57D4BB18" w14:textId="77777777" w:rsidR="00E0197D" w:rsidRPr="009A0DA6" w:rsidRDefault="00E0197D" w:rsidP="00E0197D">
      <w:pPr>
        <w:tabs>
          <w:tab w:val="left" w:pos="567"/>
          <w:tab w:val="left" w:pos="1418"/>
          <w:tab w:val="left" w:pos="2268"/>
          <w:tab w:val="left" w:pos="3119"/>
          <w:tab w:val="left" w:pos="3969"/>
        </w:tabs>
        <w:spacing w:after="0" w:line="240" w:lineRule="auto"/>
        <w:ind w:left="567" w:hanging="567"/>
        <w:rPr>
          <w:rFonts w:ascii="Cambria" w:hAnsi="Cambria" w:cstheme="minorHAnsi"/>
        </w:rPr>
      </w:pPr>
      <w:r w:rsidRPr="009A0DA6">
        <w:rPr>
          <w:rFonts w:ascii="Cambria" w:hAnsi="Cambria" w:cstheme="minorHAnsi"/>
        </w:rPr>
        <w:tab/>
        <w:t>The Board shall set the strategic direction and establish the overall policy environment for the schools of the Church, and serve as the authorised body for the distribution of Commonwealth funds in the Lutheran education system.</w:t>
      </w:r>
    </w:p>
    <w:p w14:paraId="171A6BE7" w14:textId="77777777" w:rsidR="00E0197D" w:rsidRPr="009A0DA6" w:rsidRDefault="00E0197D" w:rsidP="00E0197D">
      <w:pPr>
        <w:tabs>
          <w:tab w:val="left" w:pos="567"/>
          <w:tab w:val="left" w:pos="1418"/>
          <w:tab w:val="left" w:pos="2268"/>
          <w:tab w:val="left" w:pos="3119"/>
          <w:tab w:val="left" w:pos="3969"/>
        </w:tabs>
        <w:spacing w:after="0" w:line="240" w:lineRule="auto"/>
        <w:ind w:left="567" w:hanging="567"/>
        <w:rPr>
          <w:rFonts w:ascii="Cambria" w:hAnsi="Cambria" w:cstheme="minorHAnsi"/>
          <w:b/>
          <w:sz w:val="16"/>
        </w:rPr>
      </w:pPr>
    </w:p>
    <w:p w14:paraId="6BAA2AC6" w14:textId="77777777" w:rsidR="00E0197D" w:rsidRPr="009A0DA6" w:rsidRDefault="00E0197D" w:rsidP="00E0197D">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9A0DA6">
        <w:rPr>
          <w:rFonts w:ascii="Cambria" w:hAnsi="Cambria" w:cstheme="minorHAnsi"/>
          <w:b/>
        </w:rPr>
        <w:t>4.</w:t>
      </w:r>
      <w:r w:rsidRPr="009A0DA6">
        <w:rPr>
          <w:rFonts w:ascii="Cambria" w:hAnsi="Cambria" w:cstheme="minorHAnsi"/>
          <w:b/>
        </w:rPr>
        <w:tab/>
        <w:t>AUTHORITY</w:t>
      </w:r>
    </w:p>
    <w:p w14:paraId="7A37CE0F" w14:textId="77777777" w:rsidR="00E0197D" w:rsidRPr="009A0DA6" w:rsidRDefault="00E0197D" w:rsidP="00E0197D">
      <w:pPr>
        <w:tabs>
          <w:tab w:val="left" w:pos="567"/>
          <w:tab w:val="left" w:pos="1418"/>
          <w:tab w:val="left" w:pos="2268"/>
          <w:tab w:val="left" w:pos="3119"/>
          <w:tab w:val="left" w:pos="3969"/>
        </w:tabs>
        <w:spacing w:after="0" w:line="240" w:lineRule="auto"/>
        <w:ind w:left="567" w:hanging="567"/>
        <w:rPr>
          <w:rFonts w:ascii="Cambria" w:hAnsi="Cambria" w:cstheme="minorHAnsi"/>
        </w:rPr>
      </w:pPr>
      <w:r w:rsidRPr="009A0DA6">
        <w:rPr>
          <w:rFonts w:ascii="Cambria" w:hAnsi="Cambria" w:cstheme="minorHAnsi"/>
        </w:rPr>
        <w:tab/>
        <w:t xml:space="preserve">The Board for Lutheran Education Australia has the authority to carry out its purpose and </w:t>
      </w:r>
    </w:p>
    <w:p w14:paraId="49E91773" w14:textId="77777777" w:rsidR="00E0197D" w:rsidRPr="009A0DA6" w:rsidRDefault="00E0197D" w:rsidP="00E0197D">
      <w:pPr>
        <w:tabs>
          <w:tab w:val="left" w:pos="567"/>
          <w:tab w:val="left" w:pos="1418"/>
          <w:tab w:val="left" w:pos="2268"/>
          <w:tab w:val="left" w:pos="3119"/>
          <w:tab w:val="left" w:pos="3969"/>
        </w:tabs>
        <w:spacing w:after="0" w:line="240" w:lineRule="auto"/>
        <w:ind w:left="567" w:hanging="567"/>
        <w:rPr>
          <w:rFonts w:ascii="Cambria" w:hAnsi="Cambria" w:cstheme="minorHAnsi"/>
        </w:rPr>
      </w:pPr>
      <w:r w:rsidRPr="009A0DA6">
        <w:rPr>
          <w:rFonts w:ascii="Cambria" w:hAnsi="Cambria" w:cstheme="minorHAnsi"/>
        </w:rPr>
        <w:tab/>
        <w:t xml:space="preserve">responsibilities set out in Articles 2, 3 and 4 of the Constitution of Lutheran Education Australia Ltd, and shall be exercised consistent with the Constitution and By-laws of the Church. </w:t>
      </w:r>
    </w:p>
    <w:p w14:paraId="0E357650" w14:textId="77777777" w:rsidR="00E0197D" w:rsidRPr="009A0DA6" w:rsidRDefault="00E0197D" w:rsidP="00E0197D">
      <w:pPr>
        <w:tabs>
          <w:tab w:val="left" w:pos="567"/>
          <w:tab w:val="left" w:pos="1418"/>
          <w:tab w:val="left" w:pos="2268"/>
          <w:tab w:val="left" w:pos="3119"/>
          <w:tab w:val="left" w:pos="3969"/>
        </w:tabs>
        <w:spacing w:after="0" w:line="240" w:lineRule="auto"/>
        <w:ind w:left="567" w:hanging="567"/>
        <w:rPr>
          <w:rFonts w:ascii="Cambria" w:hAnsi="Cambria" w:cstheme="minorHAnsi"/>
          <w:b/>
          <w:sz w:val="16"/>
        </w:rPr>
      </w:pPr>
    </w:p>
    <w:p w14:paraId="3408A53E" w14:textId="77777777" w:rsidR="00E0197D" w:rsidRPr="009A0DA6" w:rsidRDefault="00E0197D" w:rsidP="00E0197D">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9A0DA6">
        <w:rPr>
          <w:rFonts w:ascii="Cambria" w:hAnsi="Cambria" w:cstheme="minorHAnsi"/>
          <w:b/>
        </w:rPr>
        <w:t>5.</w:t>
      </w:r>
      <w:r w:rsidRPr="009A0DA6">
        <w:rPr>
          <w:rFonts w:ascii="Cambria" w:hAnsi="Cambria" w:cstheme="minorHAnsi"/>
          <w:b/>
        </w:rPr>
        <w:tab/>
        <w:t>MEMBERSHIP</w:t>
      </w:r>
    </w:p>
    <w:p w14:paraId="4AB80E9E" w14:textId="77777777" w:rsidR="00E0197D" w:rsidRPr="009A0DA6" w:rsidRDefault="00E0197D" w:rsidP="00E0197D">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9A0DA6">
        <w:rPr>
          <w:rFonts w:ascii="Cambria" w:hAnsi="Cambria" w:cstheme="minorHAnsi"/>
        </w:rPr>
        <w:tab/>
        <w:t>5.1</w:t>
      </w:r>
      <w:r w:rsidRPr="009A0DA6">
        <w:rPr>
          <w:rFonts w:ascii="Cambria" w:hAnsi="Cambria" w:cstheme="minorHAnsi"/>
        </w:rPr>
        <w:tab/>
        <w:t>The Board of Directors shall consist of seven [7] members:</w:t>
      </w:r>
    </w:p>
    <w:p w14:paraId="1215AE19" w14:textId="77777777" w:rsidR="00E0197D" w:rsidRPr="009A0DA6" w:rsidRDefault="00E0197D" w:rsidP="00E0197D">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9A0DA6">
        <w:rPr>
          <w:rFonts w:ascii="Cambria" w:hAnsi="Cambria" w:cstheme="minorHAnsi"/>
        </w:rPr>
        <w:tab/>
      </w:r>
      <w:r w:rsidRPr="009A0DA6">
        <w:rPr>
          <w:rFonts w:ascii="Cambria" w:hAnsi="Cambria" w:cstheme="minorHAnsi"/>
        </w:rPr>
        <w:tab/>
        <w:t>5.1.1</w:t>
      </w:r>
      <w:r w:rsidRPr="009A0DA6">
        <w:rPr>
          <w:rFonts w:ascii="Cambria" w:hAnsi="Cambria" w:cstheme="minorHAnsi"/>
        </w:rPr>
        <w:tab/>
        <w:t>one [1] pastor of the Church;</w:t>
      </w:r>
    </w:p>
    <w:p w14:paraId="64C4C1BB" w14:textId="5BCD6F09" w:rsidR="00E0197D" w:rsidRPr="009A0DA6" w:rsidRDefault="00E0197D" w:rsidP="00E0197D">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9A0DA6">
        <w:rPr>
          <w:rFonts w:ascii="Cambria" w:hAnsi="Cambria" w:cstheme="minorHAnsi"/>
        </w:rPr>
        <w:tab/>
      </w:r>
      <w:r w:rsidRPr="009A0DA6">
        <w:rPr>
          <w:rFonts w:ascii="Cambria" w:hAnsi="Cambria" w:cstheme="minorHAnsi"/>
        </w:rPr>
        <w:tab/>
        <w:t>5.1.2</w:t>
      </w:r>
      <w:r w:rsidRPr="009A0DA6">
        <w:rPr>
          <w:rFonts w:ascii="Cambria" w:hAnsi="Cambria" w:cstheme="minorHAnsi"/>
        </w:rPr>
        <w:tab/>
        <w:t xml:space="preserve">three [3] lay members of the congregations of the Church; and </w:t>
      </w:r>
    </w:p>
    <w:p w14:paraId="6B491C2A" w14:textId="77777777" w:rsidR="00E0197D" w:rsidRPr="009A0DA6" w:rsidRDefault="00E0197D" w:rsidP="00E0197D">
      <w:pPr>
        <w:tabs>
          <w:tab w:val="left" w:pos="567"/>
          <w:tab w:val="left" w:pos="1418"/>
          <w:tab w:val="left" w:pos="2268"/>
          <w:tab w:val="left" w:pos="3119"/>
          <w:tab w:val="left" w:pos="3969"/>
        </w:tabs>
        <w:spacing w:after="0" w:line="240" w:lineRule="auto"/>
        <w:ind w:left="2268" w:hanging="2268"/>
        <w:rPr>
          <w:rFonts w:ascii="Cambria" w:eastAsia="Times New Roman" w:hAnsi="Cambria" w:cstheme="minorHAnsi"/>
          <w:lang w:eastAsia="en-AU"/>
        </w:rPr>
      </w:pPr>
      <w:r w:rsidRPr="009A0DA6">
        <w:rPr>
          <w:rFonts w:ascii="Cambria" w:hAnsi="Cambria" w:cstheme="minorHAnsi"/>
        </w:rPr>
        <w:tab/>
      </w:r>
      <w:r w:rsidRPr="009A0DA6">
        <w:rPr>
          <w:rFonts w:ascii="Cambria" w:hAnsi="Cambria" w:cstheme="minorHAnsi"/>
        </w:rPr>
        <w:tab/>
        <w:t>5.1.3</w:t>
      </w:r>
      <w:r w:rsidRPr="009A0DA6">
        <w:rPr>
          <w:rFonts w:ascii="Cambria" w:hAnsi="Cambria" w:cstheme="minorHAnsi"/>
        </w:rPr>
        <w:tab/>
      </w:r>
      <w:r w:rsidRPr="009A0DA6">
        <w:rPr>
          <w:rFonts w:ascii="Cambria" w:eastAsia="Times New Roman" w:hAnsi="Cambria" w:cstheme="minorHAnsi"/>
          <w:lang w:eastAsia="en-AU"/>
        </w:rPr>
        <w:t xml:space="preserve">one [1] representative from each of the regions of Lutheran Education Queensland, Lutheran Education Victoria/New South Wales/Tasmania, and Lutheran Education South Australia/Northern Territory/Western Australia, upon nomination to the Standing Committee of Nominations by the respective region. </w:t>
      </w:r>
    </w:p>
    <w:p w14:paraId="6ECA7369" w14:textId="332C6419" w:rsidR="00E0197D" w:rsidRPr="009A0DA6" w:rsidRDefault="00E0197D" w:rsidP="00E0197D">
      <w:pPr>
        <w:tabs>
          <w:tab w:val="left" w:pos="567"/>
          <w:tab w:val="left" w:pos="1418"/>
          <w:tab w:val="left" w:pos="2268"/>
          <w:tab w:val="left" w:pos="3119"/>
          <w:tab w:val="left" w:pos="3969"/>
        </w:tabs>
        <w:spacing w:after="0" w:line="240" w:lineRule="auto"/>
        <w:ind w:left="1418" w:hanging="1418"/>
        <w:rPr>
          <w:rFonts w:ascii="Cambria" w:hAnsi="Cambria"/>
        </w:rPr>
      </w:pPr>
      <w:r w:rsidRPr="009A0DA6">
        <w:rPr>
          <w:rFonts w:ascii="Cambria" w:hAnsi="Cambria"/>
        </w:rPr>
        <w:tab/>
        <w:t>5.2</w:t>
      </w:r>
      <w:r w:rsidRPr="009A0DA6">
        <w:rPr>
          <w:rFonts w:ascii="Cambria" w:hAnsi="Cambria"/>
        </w:rPr>
        <w:tab/>
        <w:t>The members shall be appointed by the General Church Board on recommendations from the Standing Committee on Nominations</w:t>
      </w:r>
      <w:r w:rsidR="0027799A" w:rsidRPr="009A0DA6">
        <w:rPr>
          <w:rFonts w:ascii="Cambria" w:hAnsi="Cambria"/>
        </w:rPr>
        <w:t xml:space="preserve">. </w:t>
      </w:r>
    </w:p>
    <w:p w14:paraId="67BA8298" w14:textId="77777777" w:rsidR="00E0197D" w:rsidRPr="009A0DA6" w:rsidRDefault="00E0197D" w:rsidP="00E0197D">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9A0DA6">
        <w:rPr>
          <w:rFonts w:ascii="Cambria" w:hAnsi="Cambria" w:cstheme="minorHAnsi"/>
        </w:rPr>
        <w:tab/>
        <w:t>5.3</w:t>
      </w:r>
      <w:r w:rsidRPr="009A0DA6">
        <w:rPr>
          <w:rFonts w:ascii="Cambria" w:hAnsi="Cambria" w:cstheme="minorHAnsi"/>
        </w:rPr>
        <w:tab/>
        <w:t xml:space="preserve">The Board membership shall consist of people, with a passion for mission and ministry and relevant skills, qualifications and experience in the following areas: </w:t>
      </w:r>
    </w:p>
    <w:p w14:paraId="7931005E" w14:textId="77777777" w:rsidR="00E0197D" w:rsidRPr="009A0DA6" w:rsidRDefault="00E0197D" w:rsidP="00E0197D">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9A0DA6">
        <w:rPr>
          <w:rFonts w:ascii="Cambria" w:hAnsi="Cambria" w:cstheme="minorHAnsi"/>
        </w:rPr>
        <w:tab/>
      </w:r>
      <w:r w:rsidRPr="009A0DA6">
        <w:rPr>
          <w:rFonts w:ascii="Cambria" w:hAnsi="Cambria" w:cstheme="minorHAnsi"/>
        </w:rPr>
        <w:tab/>
        <w:t>5.2.1</w:t>
      </w:r>
      <w:r w:rsidRPr="009A0DA6">
        <w:rPr>
          <w:rFonts w:ascii="Cambria" w:hAnsi="Cambria" w:cstheme="minorHAnsi"/>
        </w:rPr>
        <w:tab/>
        <w:t xml:space="preserve">finance; </w:t>
      </w:r>
    </w:p>
    <w:p w14:paraId="67E81FB7" w14:textId="77777777" w:rsidR="00E0197D" w:rsidRPr="009A0DA6" w:rsidRDefault="00E0197D" w:rsidP="00E0197D">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9A0DA6">
        <w:rPr>
          <w:rFonts w:ascii="Cambria" w:hAnsi="Cambria" w:cstheme="minorHAnsi"/>
        </w:rPr>
        <w:tab/>
      </w:r>
      <w:r w:rsidRPr="009A0DA6">
        <w:rPr>
          <w:rFonts w:ascii="Cambria" w:hAnsi="Cambria" w:cstheme="minorHAnsi"/>
        </w:rPr>
        <w:tab/>
        <w:t>5.2.2</w:t>
      </w:r>
      <w:r w:rsidRPr="009A0DA6">
        <w:rPr>
          <w:rFonts w:ascii="Cambria" w:hAnsi="Cambria" w:cstheme="minorHAnsi"/>
        </w:rPr>
        <w:tab/>
        <w:t xml:space="preserve">risk management; </w:t>
      </w:r>
    </w:p>
    <w:p w14:paraId="4F159C33" w14:textId="77777777" w:rsidR="00E0197D" w:rsidRPr="009A0DA6" w:rsidRDefault="00E0197D" w:rsidP="00E0197D">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9A0DA6">
        <w:rPr>
          <w:rFonts w:ascii="Cambria" w:hAnsi="Cambria" w:cstheme="minorHAnsi"/>
        </w:rPr>
        <w:tab/>
      </w:r>
      <w:r w:rsidRPr="009A0DA6">
        <w:rPr>
          <w:rFonts w:ascii="Cambria" w:hAnsi="Cambria" w:cstheme="minorHAnsi"/>
        </w:rPr>
        <w:tab/>
        <w:t>5.2.3</w:t>
      </w:r>
      <w:r w:rsidRPr="009A0DA6">
        <w:rPr>
          <w:rFonts w:ascii="Cambria" w:hAnsi="Cambria" w:cstheme="minorHAnsi"/>
        </w:rPr>
        <w:tab/>
        <w:t xml:space="preserve">governance; </w:t>
      </w:r>
    </w:p>
    <w:p w14:paraId="0B163FE0" w14:textId="1D831565" w:rsidR="00E0197D" w:rsidRPr="009A0DA6" w:rsidRDefault="00E0197D" w:rsidP="00E0197D">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9A0DA6">
        <w:rPr>
          <w:rFonts w:ascii="Cambria" w:hAnsi="Cambria" w:cstheme="minorHAnsi"/>
        </w:rPr>
        <w:tab/>
      </w:r>
      <w:r w:rsidRPr="009A0DA6">
        <w:rPr>
          <w:rFonts w:ascii="Cambria" w:hAnsi="Cambria" w:cstheme="minorHAnsi"/>
        </w:rPr>
        <w:tab/>
        <w:t>5.2.4</w:t>
      </w:r>
      <w:r w:rsidRPr="009A0DA6">
        <w:rPr>
          <w:rFonts w:ascii="Cambria" w:hAnsi="Cambria" w:cstheme="minorHAnsi"/>
        </w:rPr>
        <w:tab/>
        <w:t xml:space="preserve">Lutheran education; and </w:t>
      </w:r>
    </w:p>
    <w:p w14:paraId="6F9D24B4" w14:textId="77777777" w:rsidR="00E0197D" w:rsidRPr="009A0DA6" w:rsidRDefault="00E0197D" w:rsidP="00E0197D">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9A0DA6">
        <w:rPr>
          <w:rFonts w:ascii="Cambria" w:hAnsi="Cambria" w:cstheme="minorHAnsi"/>
        </w:rPr>
        <w:tab/>
      </w:r>
      <w:r w:rsidRPr="009A0DA6">
        <w:rPr>
          <w:rFonts w:ascii="Cambria" w:hAnsi="Cambria" w:cstheme="minorHAnsi"/>
        </w:rPr>
        <w:tab/>
        <w:t>5.2.5</w:t>
      </w:r>
      <w:r w:rsidRPr="009A0DA6">
        <w:rPr>
          <w:rFonts w:ascii="Cambria" w:hAnsi="Cambria" w:cstheme="minorHAnsi"/>
        </w:rPr>
        <w:tab/>
        <w:t>law.</w:t>
      </w:r>
    </w:p>
    <w:p w14:paraId="7A95ED4C" w14:textId="77777777" w:rsidR="00E0197D" w:rsidRPr="009A0DA6" w:rsidRDefault="00E0197D" w:rsidP="00E0197D">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9A0DA6">
        <w:rPr>
          <w:rFonts w:ascii="Cambria" w:hAnsi="Cambria" w:cstheme="minorHAnsi"/>
        </w:rPr>
        <w:tab/>
        <w:t>5.4</w:t>
      </w:r>
      <w:r w:rsidRPr="009A0DA6">
        <w:rPr>
          <w:rFonts w:ascii="Cambria" w:hAnsi="Cambria" w:cstheme="minorHAnsi"/>
        </w:rPr>
        <w:tab/>
        <w:t>The membership will include a mix of backgrounds and perspectives which, together with the relevant skills, qualifications and experience will enable the Board to fulfil its role.</w:t>
      </w:r>
    </w:p>
    <w:p w14:paraId="64BD69A1" w14:textId="77777777" w:rsidR="00E0197D" w:rsidRPr="009A0DA6" w:rsidRDefault="00E0197D" w:rsidP="00E0197D">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9A0DA6">
        <w:rPr>
          <w:rFonts w:ascii="Cambria" w:hAnsi="Cambria" w:cstheme="minorHAnsi"/>
        </w:rPr>
        <w:tab/>
        <w:t>5.5</w:t>
      </w:r>
      <w:r w:rsidRPr="009A0DA6">
        <w:rPr>
          <w:rFonts w:ascii="Cambria" w:hAnsi="Cambria" w:cstheme="minorHAnsi"/>
        </w:rPr>
        <w:tab/>
        <w:t>The Board shall regularly review the relevant skills and experience required to ensure the composition of the Board is aligned with the strategic direction of Lutheran Education Australia and the Church.</w:t>
      </w:r>
    </w:p>
    <w:p w14:paraId="518A2A6A" w14:textId="77777777" w:rsidR="00E0197D" w:rsidRPr="009A0DA6" w:rsidRDefault="00E0197D" w:rsidP="00E0197D">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9A0DA6">
        <w:rPr>
          <w:rFonts w:ascii="Cambria" w:hAnsi="Cambria" w:cstheme="minorHAnsi"/>
        </w:rPr>
        <w:tab/>
        <w:t>5.4</w:t>
      </w:r>
      <w:r w:rsidRPr="009A0DA6">
        <w:rPr>
          <w:rFonts w:ascii="Cambria" w:hAnsi="Cambria" w:cstheme="minorHAnsi"/>
        </w:rPr>
        <w:tab/>
        <w:t>The Directors shall elect a Director as the Chairperson, on nomination of the General Church Board.</w:t>
      </w:r>
    </w:p>
    <w:p w14:paraId="3C8A180C" w14:textId="77777777" w:rsidR="00E0197D" w:rsidRPr="009A0DA6" w:rsidRDefault="00E0197D" w:rsidP="00E0197D">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9A0DA6">
        <w:rPr>
          <w:rFonts w:ascii="Cambria" w:hAnsi="Cambria" w:cstheme="minorHAnsi"/>
        </w:rPr>
        <w:tab/>
        <w:t>5.5</w:t>
      </w:r>
      <w:r w:rsidRPr="009A0DA6">
        <w:rPr>
          <w:rFonts w:ascii="Cambria" w:hAnsi="Cambria" w:cstheme="minorHAnsi"/>
        </w:rPr>
        <w:tab/>
        <w:t>Consultants of the Board shall be</w:t>
      </w:r>
    </w:p>
    <w:p w14:paraId="18C961A6" w14:textId="77777777" w:rsidR="00E0197D" w:rsidRPr="009A0DA6" w:rsidRDefault="00E0197D" w:rsidP="00E0197D">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9A0DA6">
        <w:rPr>
          <w:rFonts w:ascii="Cambria" w:hAnsi="Cambria" w:cstheme="minorHAnsi"/>
        </w:rPr>
        <w:tab/>
      </w:r>
      <w:r w:rsidRPr="009A0DA6">
        <w:rPr>
          <w:rFonts w:ascii="Cambria" w:hAnsi="Cambria" w:cstheme="minorHAnsi"/>
        </w:rPr>
        <w:tab/>
        <w:t xml:space="preserve">5.5.1 </w:t>
      </w:r>
      <w:r w:rsidRPr="009A0DA6">
        <w:rPr>
          <w:rFonts w:ascii="Cambria" w:hAnsi="Cambria" w:cstheme="minorHAnsi"/>
        </w:rPr>
        <w:tab/>
        <w:t>the Executive Director of Lutheran Education Australia;  and</w:t>
      </w:r>
    </w:p>
    <w:p w14:paraId="00B3D641" w14:textId="77777777" w:rsidR="00E0197D" w:rsidRPr="009A0DA6" w:rsidRDefault="00E0197D" w:rsidP="00E0197D">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9A0DA6">
        <w:rPr>
          <w:rFonts w:ascii="Cambria" w:hAnsi="Cambria" w:cstheme="minorHAnsi"/>
        </w:rPr>
        <w:tab/>
      </w:r>
      <w:r w:rsidRPr="009A0DA6">
        <w:rPr>
          <w:rFonts w:ascii="Cambria" w:hAnsi="Cambria" w:cstheme="minorHAnsi"/>
        </w:rPr>
        <w:tab/>
        <w:t xml:space="preserve">5.5.2   </w:t>
      </w:r>
      <w:r w:rsidRPr="009A0DA6">
        <w:rPr>
          <w:rFonts w:ascii="Cambria" w:hAnsi="Cambria" w:cstheme="minorHAnsi"/>
        </w:rPr>
        <w:tab/>
        <w:t>such other persons as the Board may appoint to contribute specialised knowledge that is not available among the Board members.</w:t>
      </w:r>
    </w:p>
    <w:p w14:paraId="0E2F30E4" w14:textId="262A091B" w:rsidR="00E0197D" w:rsidRDefault="00E0197D" w:rsidP="00E0197D">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9A0DA6">
        <w:rPr>
          <w:rFonts w:ascii="Cambria" w:hAnsi="Cambria" w:cstheme="minorHAnsi"/>
        </w:rPr>
        <w:tab/>
      </w:r>
      <w:r w:rsidRPr="009A0DA6">
        <w:rPr>
          <w:rFonts w:ascii="Cambria" w:hAnsi="Cambria" w:cstheme="minorHAnsi"/>
        </w:rPr>
        <w:tab/>
        <w:t xml:space="preserve">The Board may from time to time meet without the presence of any consultant. </w:t>
      </w:r>
    </w:p>
    <w:p w14:paraId="35AC118C" w14:textId="77777777" w:rsidR="007A0FE8" w:rsidRPr="009A0DA6" w:rsidRDefault="007A0FE8" w:rsidP="00E0197D">
      <w:pPr>
        <w:tabs>
          <w:tab w:val="left" w:pos="567"/>
          <w:tab w:val="left" w:pos="1418"/>
          <w:tab w:val="left" w:pos="2268"/>
          <w:tab w:val="left" w:pos="3119"/>
          <w:tab w:val="left" w:pos="3969"/>
        </w:tabs>
        <w:spacing w:after="0" w:line="240" w:lineRule="auto"/>
        <w:ind w:left="1418" w:hanging="1418"/>
        <w:rPr>
          <w:rFonts w:ascii="Cambria" w:hAnsi="Cambria" w:cstheme="minorHAnsi"/>
        </w:rPr>
      </w:pPr>
    </w:p>
    <w:p w14:paraId="3A6779CF" w14:textId="4E0D97CF" w:rsidR="00E0197D" w:rsidRPr="009A0DA6" w:rsidRDefault="00E0197D" w:rsidP="00E0197D">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9A0DA6">
        <w:rPr>
          <w:rFonts w:ascii="Cambria" w:hAnsi="Cambria" w:cstheme="minorHAnsi"/>
          <w:b/>
        </w:rPr>
        <w:t>6.</w:t>
      </w:r>
      <w:r w:rsidRPr="009A0DA6">
        <w:rPr>
          <w:rFonts w:ascii="Cambria" w:hAnsi="Cambria" w:cstheme="minorHAnsi"/>
          <w:b/>
        </w:rPr>
        <w:tab/>
        <w:t>MEETING  ARRANGEMENTS  AND  REPORTING</w:t>
      </w:r>
    </w:p>
    <w:p w14:paraId="2EB8E01A" w14:textId="7705A4F0" w:rsidR="00E0197D" w:rsidRPr="009A0DA6" w:rsidRDefault="00E0197D" w:rsidP="00E0197D">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9A0DA6">
        <w:rPr>
          <w:rFonts w:ascii="Cambria" w:hAnsi="Cambria" w:cstheme="minorHAnsi"/>
        </w:rPr>
        <w:tab/>
        <w:t>6.1</w:t>
      </w:r>
      <w:r w:rsidRPr="009A0DA6">
        <w:rPr>
          <w:rFonts w:ascii="Cambria" w:hAnsi="Cambria" w:cstheme="minorHAnsi"/>
        </w:rPr>
        <w:tab/>
        <w:t>Regular meetings of the Board shall be held at least once a year</w:t>
      </w:r>
      <w:r w:rsidR="0027799A" w:rsidRPr="009A0DA6">
        <w:rPr>
          <w:rFonts w:ascii="Cambria" w:hAnsi="Cambria" w:cstheme="minorHAnsi"/>
        </w:rPr>
        <w:t xml:space="preserve">. </w:t>
      </w:r>
    </w:p>
    <w:p w14:paraId="057A207D" w14:textId="37DDE66C" w:rsidR="00E0197D" w:rsidRPr="009A0DA6" w:rsidRDefault="00E0197D" w:rsidP="00E0197D">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9A0DA6">
        <w:rPr>
          <w:rFonts w:ascii="Cambria" w:hAnsi="Cambria" w:cstheme="minorHAnsi"/>
        </w:rPr>
        <w:tab/>
        <w:t>6.2</w:t>
      </w:r>
      <w:r w:rsidRPr="009A0DA6">
        <w:rPr>
          <w:rFonts w:ascii="Cambria" w:hAnsi="Cambria" w:cstheme="minorHAnsi"/>
        </w:rPr>
        <w:tab/>
        <w:t>Meetings shall be convened by the Chairperson</w:t>
      </w:r>
      <w:r w:rsidR="0027799A" w:rsidRPr="009A0DA6">
        <w:rPr>
          <w:rFonts w:ascii="Cambria" w:hAnsi="Cambria" w:cstheme="minorHAnsi"/>
        </w:rPr>
        <w:t xml:space="preserve">. </w:t>
      </w:r>
    </w:p>
    <w:p w14:paraId="393D031F" w14:textId="77777777" w:rsidR="00E0197D" w:rsidRPr="009A0DA6" w:rsidRDefault="00E0197D" w:rsidP="00E0197D">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9A0DA6">
        <w:rPr>
          <w:rFonts w:ascii="Cambria" w:hAnsi="Cambria" w:cstheme="minorHAnsi"/>
        </w:rPr>
        <w:tab/>
        <w:t>6.3</w:t>
      </w:r>
      <w:r w:rsidRPr="009A0DA6">
        <w:rPr>
          <w:rFonts w:ascii="Cambria" w:hAnsi="Cambria" w:cstheme="minorHAnsi"/>
        </w:rPr>
        <w:tab/>
        <w:t>It is at the discretion of the Board to meet face-to-face, by electronic means, or a combination of modes.</w:t>
      </w:r>
    </w:p>
    <w:p w14:paraId="74ADA070" w14:textId="77777777" w:rsidR="00E0197D" w:rsidRPr="009A0DA6" w:rsidRDefault="00E0197D" w:rsidP="00E0197D">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9A0DA6">
        <w:rPr>
          <w:rFonts w:ascii="Cambria" w:hAnsi="Cambria" w:cstheme="minorHAnsi"/>
        </w:rPr>
        <w:lastRenderedPageBreak/>
        <w:tab/>
        <w:t>6.4</w:t>
      </w:r>
      <w:r w:rsidRPr="009A0DA6">
        <w:rPr>
          <w:rFonts w:ascii="Cambria" w:hAnsi="Cambria" w:cstheme="minorHAnsi"/>
        </w:rPr>
        <w:tab/>
        <w:t>The minutes of the meetings of the Board shall be submitted to the General Church Board.</w:t>
      </w:r>
    </w:p>
    <w:p w14:paraId="43F0E345" w14:textId="0F4416B4" w:rsidR="00E0197D" w:rsidRPr="009A0DA6" w:rsidRDefault="00E0197D" w:rsidP="00E0197D">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9A0DA6">
        <w:rPr>
          <w:rFonts w:ascii="Cambria" w:hAnsi="Cambria" w:cstheme="minorHAnsi"/>
        </w:rPr>
        <w:tab/>
        <w:t>6.5</w:t>
      </w:r>
      <w:r w:rsidRPr="009A0DA6">
        <w:rPr>
          <w:rFonts w:ascii="Cambria" w:hAnsi="Cambria" w:cstheme="minorHAnsi"/>
        </w:rPr>
        <w:tab/>
        <w:t>An annual report of the activities of the Board and any subsidiary bodies shall be submitted to the General Church Board</w:t>
      </w:r>
      <w:r w:rsidR="0027799A" w:rsidRPr="009A0DA6">
        <w:rPr>
          <w:rFonts w:ascii="Cambria" w:hAnsi="Cambria" w:cstheme="minorHAnsi"/>
        </w:rPr>
        <w:t xml:space="preserve">. </w:t>
      </w:r>
      <w:r w:rsidRPr="009A0DA6">
        <w:rPr>
          <w:rFonts w:ascii="Cambria" w:hAnsi="Cambria" w:cstheme="minorHAnsi"/>
        </w:rPr>
        <w:t>In addition to the annual report, the General Church Board and the Board for Lutheran Education Australia may mutually agree to a more regular reporting schedule from the Board.</w:t>
      </w:r>
      <w:r w:rsidRPr="009A0DA6">
        <w:rPr>
          <w:rFonts w:ascii="Cambria" w:hAnsi="Cambria" w:cstheme="minorHAnsi"/>
        </w:rPr>
        <w:tab/>
      </w:r>
    </w:p>
    <w:p w14:paraId="7166B616" w14:textId="77777777" w:rsidR="00E0197D" w:rsidRPr="009A0DA6" w:rsidRDefault="00E0197D" w:rsidP="00E0197D">
      <w:pPr>
        <w:tabs>
          <w:tab w:val="left" w:pos="567"/>
          <w:tab w:val="left" w:pos="1418"/>
          <w:tab w:val="left" w:pos="2268"/>
          <w:tab w:val="left" w:pos="3119"/>
          <w:tab w:val="left" w:pos="3969"/>
        </w:tabs>
        <w:spacing w:after="0" w:line="240" w:lineRule="auto"/>
        <w:ind w:left="567" w:hanging="567"/>
        <w:rPr>
          <w:rFonts w:ascii="Cambria" w:hAnsi="Cambria" w:cstheme="minorHAnsi"/>
        </w:rPr>
      </w:pPr>
    </w:p>
    <w:p w14:paraId="0C6468D9" w14:textId="77777777" w:rsidR="00E0197D" w:rsidRPr="009A0DA6" w:rsidRDefault="00E0197D" w:rsidP="00E0197D">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9A0DA6">
        <w:rPr>
          <w:rFonts w:ascii="Cambria" w:hAnsi="Cambria" w:cstheme="minorHAnsi"/>
          <w:b/>
        </w:rPr>
        <w:t>7.</w:t>
      </w:r>
      <w:r w:rsidRPr="009A0DA6">
        <w:rPr>
          <w:rFonts w:ascii="Cambria" w:hAnsi="Cambria" w:cstheme="minorHAnsi"/>
          <w:b/>
        </w:rPr>
        <w:tab/>
        <w:t xml:space="preserve">RESPONSIBILITIES </w:t>
      </w:r>
    </w:p>
    <w:p w14:paraId="0317143E" w14:textId="77777777" w:rsidR="00E0197D" w:rsidRPr="009A0DA6" w:rsidRDefault="00E0197D" w:rsidP="00E0197D">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9A0DA6">
        <w:rPr>
          <w:rFonts w:ascii="Cambria" w:hAnsi="Cambria" w:cstheme="minorHAnsi"/>
        </w:rPr>
        <w:tab/>
        <w:t>7.1</w:t>
      </w:r>
      <w:r w:rsidRPr="009A0DA6">
        <w:rPr>
          <w:rFonts w:ascii="Cambria" w:hAnsi="Cambria" w:cstheme="minorHAnsi"/>
        </w:rPr>
        <w:tab/>
        <w:t>The Board shall set the strategic direction and establish the overall policy environment for the schools of the church and as such shall</w:t>
      </w:r>
    </w:p>
    <w:p w14:paraId="277045F9" w14:textId="77777777" w:rsidR="00E0197D" w:rsidRPr="009A0DA6" w:rsidRDefault="00E0197D" w:rsidP="00E0197D">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9A0DA6">
        <w:rPr>
          <w:rFonts w:ascii="Cambria" w:hAnsi="Cambria" w:cstheme="minorHAnsi"/>
        </w:rPr>
        <w:tab/>
      </w:r>
      <w:r w:rsidRPr="009A0DA6">
        <w:rPr>
          <w:rFonts w:ascii="Cambria" w:hAnsi="Cambria" w:cstheme="minorHAnsi"/>
        </w:rPr>
        <w:tab/>
        <w:t>7.1.1</w:t>
      </w:r>
      <w:r w:rsidRPr="009A0DA6">
        <w:rPr>
          <w:rFonts w:ascii="Cambria" w:hAnsi="Cambria" w:cstheme="minorHAnsi"/>
        </w:rPr>
        <w:tab/>
        <w:t>promote Lutheran schools as agencies of Christian education;</w:t>
      </w:r>
    </w:p>
    <w:p w14:paraId="193924D3" w14:textId="77777777" w:rsidR="00E0197D" w:rsidRPr="009A0DA6" w:rsidRDefault="00E0197D" w:rsidP="00E0197D">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9A0DA6">
        <w:rPr>
          <w:rFonts w:ascii="Cambria" w:hAnsi="Cambria" w:cstheme="minorHAnsi"/>
        </w:rPr>
        <w:tab/>
      </w:r>
      <w:r w:rsidRPr="009A0DA6">
        <w:rPr>
          <w:rFonts w:ascii="Cambria" w:hAnsi="Cambria" w:cstheme="minorHAnsi"/>
        </w:rPr>
        <w:tab/>
        <w:t>7.1.2</w:t>
      </w:r>
      <w:r w:rsidRPr="009A0DA6">
        <w:rPr>
          <w:rFonts w:ascii="Cambria" w:hAnsi="Cambria" w:cstheme="minorHAnsi"/>
        </w:rPr>
        <w:tab/>
        <w:t>uphold and safeguard the confessional teachings of the Church, especially as these relate to the nature, purpose and program of the schools;</w:t>
      </w:r>
    </w:p>
    <w:p w14:paraId="40466215" w14:textId="77777777" w:rsidR="00E0197D" w:rsidRPr="009A0DA6" w:rsidRDefault="00E0197D" w:rsidP="00E0197D">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9A0DA6">
        <w:rPr>
          <w:rFonts w:ascii="Cambria" w:hAnsi="Cambria" w:cstheme="minorHAnsi"/>
        </w:rPr>
        <w:tab/>
      </w:r>
      <w:r w:rsidRPr="009A0DA6">
        <w:rPr>
          <w:rFonts w:ascii="Cambria" w:hAnsi="Cambria" w:cstheme="minorHAnsi"/>
        </w:rPr>
        <w:tab/>
        <w:t>7.1.3</w:t>
      </w:r>
      <w:r w:rsidRPr="009A0DA6">
        <w:rPr>
          <w:rFonts w:ascii="Cambria" w:hAnsi="Cambria" w:cstheme="minorHAnsi"/>
        </w:rPr>
        <w:tab/>
        <w:t>provide strategic leadership and support for the schools of the Church in those matters designated as national areas of responsibility as agreed from time to time;</w:t>
      </w:r>
    </w:p>
    <w:p w14:paraId="672D98A4" w14:textId="77777777" w:rsidR="00E0197D" w:rsidRPr="009A0DA6" w:rsidRDefault="00E0197D" w:rsidP="00E0197D">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9A0DA6">
        <w:rPr>
          <w:rFonts w:ascii="Cambria" w:hAnsi="Cambria" w:cstheme="minorHAnsi"/>
        </w:rPr>
        <w:tab/>
      </w:r>
      <w:r w:rsidRPr="009A0DA6">
        <w:rPr>
          <w:rFonts w:ascii="Cambria" w:hAnsi="Cambria" w:cstheme="minorHAnsi"/>
        </w:rPr>
        <w:tab/>
        <w:t>7.1.4</w:t>
      </w:r>
      <w:r w:rsidRPr="009A0DA6">
        <w:rPr>
          <w:rFonts w:ascii="Cambria" w:hAnsi="Cambria" w:cstheme="minorHAnsi"/>
        </w:rPr>
        <w:tab/>
        <w:t>formulate national policy that gives direction to Lutheran schools as agencies of Christian education of the Church;</w:t>
      </w:r>
    </w:p>
    <w:p w14:paraId="5B45C3B0" w14:textId="77777777" w:rsidR="00E0197D" w:rsidRPr="009A0DA6" w:rsidRDefault="00E0197D" w:rsidP="00E0197D">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9A0DA6">
        <w:rPr>
          <w:rFonts w:ascii="Cambria" w:hAnsi="Cambria" w:cstheme="minorHAnsi"/>
        </w:rPr>
        <w:tab/>
      </w:r>
      <w:r w:rsidRPr="009A0DA6">
        <w:rPr>
          <w:rFonts w:ascii="Cambria" w:hAnsi="Cambria" w:cstheme="minorHAnsi"/>
        </w:rPr>
        <w:tab/>
        <w:t>7.1.5</w:t>
      </w:r>
      <w:r w:rsidRPr="009A0DA6">
        <w:rPr>
          <w:rFonts w:ascii="Cambria" w:hAnsi="Cambria" w:cstheme="minorHAnsi"/>
        </w:rPr>
        <w:tab/>
        <w:t>promote, support and ensure the implementation of approved policy and associated procedures in the schools, working through regional structures;</w:t>
      </w:r>
    </w:p>
    <w:p w14:paraId="1E71174C" w14:textId="77777777" w:rsidR="00E0197D" w:rsidRPr="009A0DA6" w:rsidRDefault="00E0197D" w:rsidP="00E0197D">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9A0DA6">
        <w:rPr>
          <w:rFonts w:ascii="Cambria" w:hAnsi="Cambria" w:cstheme="minorHAnsi"/>
        </w:rPr>
        <w:tab/>
      </w:r>
      <w:r w:rsidRPr="009A0DA6">
        <w:rPr>
          <w:rFonts w:ascii="Cambria" w:hAnsi="Cambria" w:cstheme="minorHAnsi"/>
        </w:rPr>
        <w:tab/>
        <w:t>7.1.6</w:t>
      </w:r>
      <w:r w:rsidRPr="009A0DA6">
        <w:rPr>
          <w:rFonts w:ascii="Cambria" w:hAnsi="Cambria" w:cstheme="minorHAnsi"/>
        </w:rPr>
        <w:tab/>
        <w:t>work in close co-operation with the Church, in particular with regional organisational arms of Lutheran education and other appropriate departments of the Church;</w:t>
      </w:r>
    </w:p>
    <w:p w14:paraId="739788B6" w14:textId="77777777" w:rsidR="00E0197D" w:rsidRPr="009A0DA6" w:rsidRDefault="00E0197D" w:rsidP="00E0197D">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9A0DA6">
        <w:rPr>
          <w:rFonts w:ascii="Cambria" w:hAnsi="Cambria" w:cstheme="minorHAnsi"/>
        </w:rPr>
        <w:tab/>
      </w:r>
      <w:r w:rsidRPr="009A0DA6">
        <w:rPr>
          <w:rFonts w:ascii="Cambria" w:hAnsi="Cambria" w:cstheme="minorHAnsi"/>
        </w:rPr>
        <w:tab/>
        <w:t>7.1.7</w:t>
      </w:r>
      <w:r w:rsidRPr="009A0DA6">
        <w:rPr>
          <w:rFonts w:ascii="Cambria" w:hAnsi="Cambria" w:cstheme="minorHAnsi"/>
        </w:rPr>
        <w:tab/>
        <w:t>represent Lutheran schools and regions nationally to the Church, its departments, committees and auxiliaries, and to Australian Lutheran College;</w:t>
      </w:r>
    </w:p>
    <w:p w14:paraId="1764A09C" w14:textId="77777777" w:rsidR="00E0197D" w:rsidRPr="009A0DA6" w:rsidRDefault="00E0197D" w:rsidP="00E0197D">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9A0DA6">
        <w:rPr>
          <w:rFonts w:ascii="Cambria" w:hAnsi="Cambria" w:cstheme="minorHAnsi"/>
        </w:rPr>
        <w:tab/>
      </w:r>
      <w:r w:rsidRPr="009A0DA6">
        <w:rPr>
          <w:rFonts w:ascii="Cambria" w:hAnsi="Cambria" w:cstheme="minorHAnsi"/>
        </w:rPr>
        <w:tab/>
        <w:t>7.1.8</w:t>
      </w:r>
      <w:r w:rsidRPr="009A0DA6">
        <w:rPr>
          <w:rFonts w:ascii="Cambria" w:hAnsi="Cambria" w:cstheme="minorHAnsi"/>
        </w:rPr>
        <w:tab/>
        <w:t>research, make approaches, represent and act on behalf of regions and schools in relation to the Commonwealth government, its departments and government authorities and political parties, respond to Commonwealth government directives and initiatives relating to education and associated matters, and provide representation to national educational bodies where strategic and appropriate;</w:t>
      </w:r>
    </w:p>
    <w:p w14:paraId="0A724922" w14:textId="77777777" w:rsidR="00E0197D" w:rsidRPr="009A0DA6" w:rsidRDefault="00E0197D" w:rsidP="00E0197D">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9A0DA6">
        <w:rPr>
          <w:rFonts w:ascii="Cambria" w:hAnsi="Cambria" w:cstheme="minorHAnsi"/>
        </w:rPr>
        <w:tab/>
      </w:r>
      <w:r w:rsidRPr="009A0DA6">
        <w:rPr>
          <w:rFonts w:ascii="Cambria" w:hAnsi="Cambria" w:cstheme="minorHAnsi"/>
        </w:rPr>
        <w:tab/>
        <w:t>7.1.9</w:t>
      </w:r>
      <w:r w:rsidRPr="009A0DA6">
        <w:rPr>
          <w:rFonts w:ascii="Cambria" w:hAnsi="Cambria" w:cstheme="minorHAnsi"/>
        </w:rPr>
        <w:tab/>
        <w:t>develop co-operative working relationships with other sectors of education at national level;</w:t>
      </w:r>
    </w:p>
    <w:p w14:paraId="5D6C4344" w14:textId="77777777" w:rsidR="00E0197D" w:rsidRPr="009A0DA6" w:rsidRDefault="00E0197D" w:rsidP="00E0197D">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9A0DA6">
        <w:rPr>
          <w:rFonts w:ascii="Cambria" w:hAnsi="Cambria" w:cstheme="minorHAnsi"/>
        </w:rPr>
        <w:tab/>
      </w:r>
      <w:r w:rsidRPr="009A0DA6">
        <w:rPr>
          <w:rFonts w:ascii="Cambria" w:hAnsi="Cambria" w:cstheme="minorHAnsi"/>
        </w:rPr>
        <w:tab/>
        <w:t>7.1.10</w:t>
      </w:r>
      <w:r w:rsidRPr="009A0DA6">
        <w:rPr>
          <w:rFonts w:ascii="Cambria" w:hAnsi="Cambria" w:cstheme="minorHAnsi"/>
        </w:rPr>
        <w:tab/>
        <w:t>approve the establishment of new schools and change in function of existing Lutheran schools in consultation with the regions;</w:t>
      </w:r>
    </w:p>
    <w:p w14:paraId="1D5D5E19" w14:textId="77777777" w:rsidR="00E0197D" w:rsidRPr="009A0DA6" w:rsidRDefault="00E0197D" w:rsidP="00E0197D">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9A0DA6">
        <w:rPr>
          <w:rFonts w:ascii="Cambria" w:hAnsi="Cambria" w:cstheme="minorHAnsi"/>
        </w:rPr>
        <w:tab/>
      </w:r>
      <w:r w:rsidRPr="009A0DA6">
        <w:rPr>
          <w:rFonts w:ascii="Cambria" w:hAnsi="Cambria" w:cstheme="minorHAnsi"/>
        </w:rPr>
        <w:tab/>
        <w:t>7.1.11</w:t>
      </w:r>
      <w:r w:rsidRPr="009A0DA6">
        <w:rPr>
          <w:rFonts w:ascii="Cambria" w:hAnsi="Cambria" w:cstheme="minorHAnsi"/>
        </w:rPr>
        <w:tab/>
        <w:t>develop, coordinate and evaluate the national curriculum in Christian Studies for Lutheran schools, develop resources for, and promote and support the implementation of the Christian Studies curriculum in schools through regional authorities and/or officers;</w:t>
      </w:r>
    </w:p>
    <w:p w14:paraId="21EFA91E" w14:textId="77777777" w:rsidR="00E0197D" w:rsidRPr="009A0DA6" w:rsidRDefault="00E0197D" w:rsidP="00E0197D">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9A0DA6">
        <w:rPr>
          <w:rFonts w:ascii="Cambria" w:hAnsi="Cambria" w:cstheme="minorHAnsi"/>
        </w:rPr>
        <w:tab/>
      </w:r>
      <w:r w:rsidRPr="009A0DA6">
        <w:rPr>
          <w:rFonts w:ascii="Cambria" w:hAnsi="Cambria" w:cstheme="minorHAnsi"/>
        </w:rPr>
        <w:tab/>
        <w:t>7.1.12</w:t>
      </w:r>
      <w:r w:rsidRPr="009A0DA6">
        <w:rPr>
          <w:rFonts w:ascii="Cambria" w:hAnsi="Cambria" w:cstheme="minorHAnsi"/>
        </w:rPr>
        <w:tab/>
        <w:t>ensure that recruitment and staffing strategies, and leadership development programs are in place to meet the needs of Lutheran schools, that accreditation requirements in accordance with policies of the Church are implemented, and that a staff database is maintained and national conferences convened to promote the welfare of those who work in Lutheran schools;</w:t>
      </w:r>
    </w:p>
    <w:p w14:paraId="0237BB0B" w14:textId="77777777" w:rsidR="00E0197D" w:rsidRPr="009A0DA6" w:rsidRDefault="00E0197D" w:rsidP="00E0197D">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9A0DA6">
        <w:rPr>
          <w:rFonts w:ascii="Cambria" w:hAnsi="Cambria" w:cstheme="minorHAnsi"/>
        </w:rPr>
        <w:tab/>
      </w:r>
      <w:r w:rsidRPr="009A0DA6">
        <w:rPr>
          <w:rFonts w:ascii="Cambria" w:hAnsi="Cambria" w:cstheme="minorHAnsi"/>
        </w:rPr>
        <w:tab/>
        <w:t>7.1.13</w:t>
      </w:r>
      <w:r w:rsidRPr="009A0DA6">
        <w:rPr>
          <w:rFonts w:ascii="Cambria" w:hAnsi="Cambria" w:cstheme="minorHAnsi"/>
        </w:rPr>
        <w:tab/>
        <w:t>ensure income for the operation of the Board by means of annual levies or other means from Lutheran schools;</w:t>
      </w:r>
    </w:p>
    <w:p w14:paraId="2F0F51FD" w14:textId="77777777" w:rsidR="00E0197D" w:rsidRPr="009A0DA6" w:rsidRDefault="00E0197D" w:rsidP="00E0197D">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9A0DA6">
        <w:rPr>
          <w:rFonts w:ascii="Cambria" w:hAnsi="Cambria" w:cstheme="minorHAnsi"/>
        </w:rPr>
        <w:tab/>
      </w:r>
      <w:r w:rsidRPr="009A0DA6">
        <w:rPr>
          <w:rFonts w:ascii="Cambria" w:hAnsi="Cambria" w:cstheme="minorHAnsi"/>
        </w:rPr>
        <w:tab/>
        <w:t>7.1.14</w:t>
      </w:r>
      <w:r w:rsidRPr="009A0DA6">
        <w:rPr>
          <w:rFonts w:ascii="Cambria" w:hAnsi="Cambria" w:cstheme="minorHAnsi"/>
        </w:rPr>
        <w:tab/>
        <w:t>undertake, develop and maintain key relationships with international Lutheran schools and education systems, considering compatibility with the Church’s international relationships and programs, and the global focus of Lutheran schools; and</w:t>
      </w:r>
    </w:p>
    <w:p w14:paraId="79C92B34" w14:textId="77777777" w:rsidR="00E0197D" w:rsidRPr="009A0DA6" w:rsidRDefault="00E0197D" w:rsidP="00E0197D">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9A0DA6">
        <w:rPr>
          <w:rFonts w:ascii="Cambria" w:hAnsi="Cambria" w:cstheme="minorHAnsi"/>
        </w:rPr>
        <w:lastRenderedPageBreak/>
        <w:tab/>
      </w:r>
      <w:r w:rsidRPr="009A0DA6">
        <w:rPr>
          <w:rFonts w:ascii="Cambria" w:hAnsi="Cambria" w:cstheme="minorHAnsi"/>
        </w:rPr>
        <w:tab/>
        <w:t>7.1.15</w:t>
      </w:r>
      <w:r w:rsidRPr="009A0DA6">
        <w:rPr>
          <w:rFonts w:ascii="Cambria" w:hAnsi="Cambria" w:cstheme="minorHAnsi"/>
        </w:rPr>
        <w:tab/>
        <w:t>undertake other activities related to the matters designated as national areas of responsibility or as agreed with the regions.</w:t>
      </w:r>
    </w:p>
    <w:p w14:paraId="358B67FF" w14:textId="77777777" w:rsidR="00E0197D" w:rsidRPr="009A0DA6" w:rsidRDefault="00E0197D" w:rsidP="00E0197D">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9A0DA6">
        <w:rPr>
          <w:rFonts w:ascii="Cambria" w:hAnsi="Cambria" w:cstheme="minorHAnsi"/>
        </w:rPr>
        <w:tab/>
        <w:t>7.2</w:t>
      </w:r>
      <w:r w:rsidRPr="009A0DA6">
        <w:rPr>
          <w:rFonts w:ascii="Cambria" w:hAnsi="Cambria" w:cstheme="minorHAnsi"/>
        </w:rPr>
        <w:tab/>
        <w:t>The duties of the Board shall be in addition to responsibilities prescribed in Section 8.7 of the By-laws of the Church.</w:t>
      </w:r>
    </w:p>
    <w:p w14:paraId="40217016" w14:textId="77777777" w:rsidR="00E0197D" w:rsidRPr="009A0DA6" w:rsidRDefault="00E0197D" w:rsidP="00E0197D">
      <w:pPr>
        <w:tabs>
          <w:tab w:val="left" w:pos="567"/>
          <w:tab w:val="left" w:pos="1418"/>
          <w:tab w:val="left" w:pos="2268"/>
          <w:tab w:val="left" w:pos="3119"/>
          <w:tab w:val="left" w:pos="3969"/>
        </w:tabs>
        <w:spacing w:after="0" w:line="240" w:lineRule="auto"/>
        <w:ind w:left="567" w:hanging="567"/>
        <w:rPr>
          <w:rFonts w:ascii="Cambria" w:hAnsi="Cambria" w:cstheme="minorHAnsi"/>
        </w:rPr>
      </w:pPr>
    </w:p>
    <w:p w14:paraId="5DD5DCA6" w14:textId="77777777" w:rsidR="00E0197D" w:rsidRPr="009A0DA6" w:rsidRDefault="00E0197D" w:rsidP="00E0197D">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9A0DA6">
        <w:rPr>
          <w:rFonts w:ascii="Cambria" w:hAnsi="Cambria" w:cstheme="minorHAnsi"/>
          <w:b/>
        </w:rPr>
        <w:t>8.</w:t>
      </w:r>
      <w:r w:rsidRPr="009A0DA6">
        <w:rPr>
          <w:rFonts w:ascii="Cambria" w:hAnsi="Cambria" w:cstheme="minorHAnsi"/>
          <w:b/>
        </w:rPr>
        <w:tab/>
        <w:t>REVIEW</w:t>
      </w:r>
    </w:p>
    <w:p w14:paraId="707EB248" w14:textId="5A935E73" w:rsidR="00E0197D" w:rsidRPr="009A0DA6" w:rsidRDefault="00E0197D" w:rsidP="00E0197D">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9A0DA6">
        <w:rPr>
          <w:rFonts w:ascii="Cambria" w:hAnsi="Cambria" w:cstheme="minorHAnsi"/>
        </w:rPr>
        <w:tab/>
        <w:t>8.1</w:t>
      </w:r>
      <w:r w:rsidRPr="009A0DA6">
        <w:rPr>
          <w:rFonts w:ascii="Cambria" w:hAnsi="Cambria" w:cstheme="minorHAnsi"/>
        </w:rPr>
        <w:tab/>
        <w:t xml:space="preserve">The Terms of Reference for the Board shall be reviewed during each </w:t>
      </w:r>
      <w:r w:rsidR="00C67D2A" w:rsidRPr="009A0DA6">
        <w:rPr>
          <w:rFonts w:ascii="Cambria" w:hAnsi="Cambria" w:cstheme="minorHAnsi"/>
        </w:rPr>
        <w:t>synodical</w:t>
      </w:r>
      <w:r w:rsidRPr="009A0DA6">
        <w:rPr>
          <w:rFonts w:ascii="Cambria" w:hAnsi="Cambria" w:cstheme="minorHAnsi"/>
        </w:rPr>
        <w:t xml:space="preserve"> term. </w:t>
      </w:r>
    </w:p>
    <w:p w14:paraId="478A562A" w14:textId="77777777" w:rsidR="00E0197D" w:rsidRPr="009A0DA6" w:rsidRDefault="00E0197D" w:rsidP="00E0197D">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9A0DA6">
        <w:rPr>
          <w:rFonts w:ascii="Cambria" w:hAnsi="Cambria" w:cstheme="minorHAnsi"/>
        </w:rPr>
        <w:tab/>
        <w:t>8.2</w:t>
      </w:r>
      <w:r w:rsidRPr="009A0DA6">
        <w:rPr>
          <w:rFonts w:ascii="Cambria" w:hAnsi="Cambria" w:cstheme="minorHAnsi"/>
        </w:rPr>
        <w:tab/>
        <w:t>Any changes to the Terms of Reference shall be approved by the General Church Board, upon review by the Standing Committee on Constitutions.</w:t>
      </w:r>
    </w:p>
    <w:p w14:paraId="3D3D232C" w14:textId="014F7F51" w:rsidR="00E0197D" w:rsidRPr="009A0DA6" w:rsidRDefault="00E0197D" w:rsidP="00E0197D">
      <w:pPr>
        <w:tabs>
          <w:tab w:val="left" w:pos="851"/>
          <w:tab w:val="left" w:pos="1985"/>
          <w:tab w:val="left" w:pos="3119"/>
          <w:tab w:val="left" w:pos="4536"/>
          <w:tab w:val="left" w:pos="5670"/>
        </w:tabs>
        <w:spacing w:after="0" w:line="240" w:lineRule="auto"/>
        <w:rPr>
          <w:rFonts w:ascii="Cambria" w:eastAsia="Times New Roman" w:hAnsi="Cambria" w:cs="Times New Roman"/>
          <w:b/>
          <w:bCs/>
          <w:color w:val="222222"/>
          <w:lang w:eastAsia="en-AU"/>
        </w:rPr>
      </w:pPr>
    </w:p>
    <w:p w14:paraId="6D7B1FAE" w14:textId="7A04E35C" w:rsidR="00E0197D" w:rsidRPr="009A0DA6" w:rsidRDefault="00757ACA" w:rsidP="00E0197D">
      <w:pPr>
        <w:tabs>
          <w:tab w:val="left" w:pos="851"/>
          <w:tab w:val="left" w:pos="1985"/>
          <w:tab w:val="left" w:pos="3119"/>
          <w:tab w:val="left" w:pos="4536"/>
          <w:tab w:val="left" w:pos="5670"/>
        </w:tabs>
        <w:spacing w:after="0" w:line="240" w:lineRule="auto"/>
        <w:rPr>
          <w:rFonts w:ascii="Cambria" w:eastAsia="Times New Roman" w:hAnsi="Cambria" w:cs="Times New Roman"/>
          <w:lang w:eastAsia="en-AU"/>
        </w:rPr>
      </w:pPr>
      <w:r w:rsidRPr="009A0DA6">
        <w:rPr>
          <w:rFonts w:ascii="Cambria" w:eastAsia="Times New Roman" w:hAnsi="Cambria" w:cs="Times New Roman"/>
          <w:b/>
          <w:bCs/>
          <w:color w:val="222222"/>
          <w:lang w:eastAsia="en-AU"/>
        </w:rPr>
        <w:t>BE IT FURTHER RESOLVED</w:t>
      </w:r>
      <w:r w:rsidRPr="009A0DA6">
        <w:rPr>
          <w:rFonts w:ascii="Cambria" w:eastAsia="Times New Roman" w:hAnsi="Cambria" w:cs="Times New Roman"/>
          <w:bCs/>
          <w:color w:val="222222"/>
          <w:lang w:eastAsia="en-AU"/>
        </w:rPr>
        <w:t xml:space="preserve"> that </w:t>
      </w:r>
      <w:r w:rsidR="00E0197D" w:rsidRPr="009A0DA6">
        <w:rPr>
          <w:rFonts w:ascii="Cambria" w:eastAsia="Times New Roman" w:hAnsi="Cambria" w:cs="Times New Roman"/>
          <w:bCs/>
          <w:color w:val="222222"/>
          <w:lang w:eastAsia="en-AU"/>
        </w:rPr>
        <w:t>the new Terms of Reference for the Board of Directors of Australian Lutheran College be adopted, as follows:</w:t>
      </w:r>
    </w:p>
    <w:p w14:paraId="277B481B" w14:textId="77777777" w:rsidR="00E0197D" w:rsidRPr="009A0DA6" w:rsidRDefault="00E0197D" w:rsidP="00E0197D">
      <w:pPr>
        <w:tabs>
          <w:tab w:val="left" w:pos="851"/>
          <w:tab w:val="left" w:pos="1985"/>
          <w:tab w:val="left" w:pos="3119"/>
          <w:tab w:val="left" w:pos="4536"/>
          <w:tab w:val="left" w:pos="5670"/>
        </w:tabs>
        <w:spacing w:after="0" w:line="240" w:lineRule="auto"/>
        <w:ind w:left="851" w:hanging="851"/>
        <w:rPr>
          <w:rFonts w:ascii="Cambria" w:eastAsia="Times New Roman" w:hAnsi="Cambria" w:cs="Times New Roman"/>
          <w:lang w:eastAsia="en-AU"/>
        </w:rPr>
      </w:pPr>
    </w:p>
    <w:p w14:paraId="3F89EAE2" w14:textId="77777777" w:rsidR="00E0197D" w:rsidRPr="009A0DA6" w:rsidRDefault="00E0197D" w:rsidP="00E0197D">
      <w:pPr>
        <w:tabs>
          <w:tab w:val="left" w:pos="567"/>
          <w:tab w:val="left" w:pos="1418"/>
          <w:tab w:val="left" w:pos="2268"/>
          <w:tab w:val="left" w:pos="3119"/>
          <w:tab w:val="left" w:pos="3969"/>
        </w:tabs>
        <w:spacing w:after="0" w:line="240" w:lineRule="auto"/>
        <w:ind w:left="567" w:hanging="567"/>
        <w:jc w:val="center"/>
        <w:rPr>
          <w:rFonts w:ascii="Cambria" w:hAnsi="Cambria" w:cstheme="minorHAnsi"/>
          <w:b/>
        </w:rPr>
      </w:pPr>
      <w:r w:rsidRPr="009A0DA6">
        <w:rPr>
          <w:rFonts w:ascii="Cambria" w:hAnsi="Cambria" w:cstheme="minorHAnsi"/>
          <w:b/>
        </w:rPr>
        <w:t>BOARD  OF DIRECTORS OF  AUSTRALIAN  LUTHERAN  COLLEGE</w:t>
      </w:r>
    </w:p>
    <w:p w14:paraId="3286E4F1" w14:textId="77777777" w:rsidR="00E0197D" w:rsidRPr="009A0DA6" w:rsidRDefault="00E0197D" w:rsidP="00E0197D">
      <w:pPr>
        <w:tabs>
          <w:tab w:val="left" w:pos="567"/>
          <w:tab w:val="left" w:pos="1418"/>
          <w:tab w:val="left" w:pos="2268"/>
          <w:tab w:val="left" w:pos="3119"/>
          <w:tab w:val="left" w:pos="3969"/>
        </w:tabs>
        <w:spacing w:after="0" w:line="240" w:lineRule="auto"/>
        <w:ind w:left="567" w:hanging="567"/>
        <w:jc w:val="center"/>
        <w:rPr>
          <w:rFonts w:ascii="Cambria" w:hAnsi="Cambria" w:cstheme="minorHAnsi"/>
          <w:b/>
        </w:rPr>
      </w:pPr>
      <w:r w:rsidRPr="009A0DA6">
        <w:rPr>
          <w:rFonts w:ascii="Cambria" w:hAnsi="Cambria" w:cstheme="minorHAnsi"/>
          <w:b/>
        </w:rPr>
        <w:t>Terms of Reference</w:t>
      </w:r>
    </w:p>
    <w:p w14:paraId="7C09D1C1" w14:textId="77777777" w:rsidR="00E0197D" w:rsidRPr="009A0DA6" w:rsidRDefault="00E0197D" w:rsidP="00E0197D">
      <w:pPr>
        <w:tabs>
          <w:tab w:val="left" w:pos="567"/>
          <w:tab w:val="left" w:pos="1418"/>
          <w:tab w:val="left" w:pos="2268"/>
          <w:tab w:val="left" w:pos="3119"/>
          <w:tab w:val="left" w:pos="3969"/>
        </w:tabs>
        <w:spacing w:after="0" w:line="240" w:lineRule="auto"/>
        <w:ind w:left="567" w:hanging="567"/>
        <w:jc w:val="center"/>
        <w:rPr>
          <w:rFonts w:ascii="Cambria" w:hAnsi="Cambria" w:cstheme="minorHAnsi"/>
          <w:b/>
          <w:sz w:val="10"/>
        </w:rPr>
      </w:pPr>
    </w:p>
    <w:p w14:paraId="1FC0E202" w14:textId="77777777" w:rsidR="00E0197D" w:rsidRPr="009A0DA6" w:rsidRDefault="00E0197D" w:rsidP="00E0197D">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9A0DA6">
        <w:rPr>
          <w:rFonts w:ascii="Cambria" w:hAnsi="Cambria" w:cstheme="minorHAnsi"/>
          <w:b/>
        </w:rPr>
        <w:t>1.</w:t>
      </w:r>
      <w:r w:rsidRPr="009A0DA6">
        <w:rPr>
          <w:rFonts w:ascii="Cambria" w:hAnsi="Cambria" w:cstheme="minorHAnsi"/>
          <w:b/>
        </w:rPr>
        <w:tab/>
        <w:t xml:space="preserve">NAME </w:t>
      </w:r>
    </w:p>
    <w:p w14:paraId="45AB3B2C" w14:textId="77777777" w:rsidR="00E0197D" w:rsidRPr="009A0DA6" w:rsidRDefault="00E0197D" w:rsidP="00E0197D">
      <w:pPr>
        <w:tabs>
          <w:tab w:val="left" w:pos="567"/>
          <w:tab w:val="left" w:pos="1418"/>
          <w:tab w:val="left" w:pos="2268"/>
          <w:tab w:val="left" w:pos="3119"/>
          <w:tab w:val="left" w:pos="3969"/>
        </w:tabs>
        <w:spacing w:after="0" w:line="240" w:lineRule="auto"/>
        <w:ind w:left="567" w:hanging="567"/>
        <w:rPr>
          <w:rFonts w:ascii="Cambria" w:hAnsi="Cambria" w:cstheme="minorHAnsi"/>
        </w:rPr>
      </w:pPr>
      <w:r w:rsidRPr="009A0DA6">
        <w:rPr>
          <w:rFonts w:ascii="Cambria" w:hAnsi="Cambria" w:cstheme="minorHAnsi"/>
        </w:rPr>
        <w:tab/>
        <w:t>Board of Directors of Australian Lutheran College, referred to as “the Board”.</w:t>
      </w:r>
    </w:p>
    <w:p w14:paraId="5509D5A8" w14:textId="77777777" w:rsidR="00E0197D" w:rsidRPr="009A0DA6" w:rsidRDefault="00E0197D" w:rsidP="00E0197D">
      <w:pPr>
        <w:tabs>
          <w:tab w:val="left" w:pos="567"/>
          <w:tab w:val="left" w:pos="1418"/>
          <w:tab w:val="left" w:pos="2268"/>
          <w:tab w:val="left" w:pos="3119"/>
          <w:tab w:val="left" w:pos="3969"/>
        </w:tabs>
        <w:spacing w:after="0" w:line="240" w:lineRule="auto"/>
        <w:ind w:left="567" w:hanging="567"/>
        <w:rPr>
          <w:rFonts w:ascii="Cambria" w:hAnsi="Cambria" w:cstheme="minorHAnsi"/>
          <w:sz w:val="18"/>
        </w:rPr>
      </w:pPr>
      <w:r w:rsidRPr="009A0DA6">
        <w:rPr>
          <w:rFonts w:ascii="Cambria" w:hAnsi="Cambria" w:cstheme="minorHAnsi"/>
        </w:rPr>
        <w:tab/>
      </w:r>
    </w:p>
    <w:p w14:paraId="75568397" w14:textId="77777777" w:rsidR="00E0197D" w:rsidRPr="009A0DA6" w:rsidRDefault="00E0197D" w:rsidP="00E0197D">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9A0DA6">
        <w:rPr>
          <w:rFonts w:ascii="Cambria" w:hAnsi="Cambria" w:cstheme="minorHAnsi"/>
          <w:b/>
        </w:rPr>
        <w:t>2.</w:t>
      </w:r>
      <w:r w:rsidRPr="009A0DA6">
        <w:rPr>
          <w:rFonts w:ascii="Cambria" w:hAnsi="Cambria" w:cstheme="minorHAnsi"/>
          <w:b/>
        </w:rPr>
        <w:tab/>
        <w:t>RELATIONSHIP  TO  THE  CHURCH</w:t>
      </w:r>
    </w:p>
    <w:p w14:paraId="130337D6" w14:textId="77777777" w:rsidR="00E0197D" w:rsidRPr="009A0DA6" w:rsidRDefault="00E0197D" w:rsidP="00E0197D">
      <w:pPr>
        <w:tabs>
          <w:tab w:val="left" w:pos="567"/>
          <w:tab w:val="left" w:pos="1418"/>
          <w:tab w:val="left" w:pos="2268"/>
          <w:tab w:val="left" w:pos="3119"/>
          <w:tab w:val="left" w:pos="3969"/>
        </w:tabs>
        <w:spacing w:after="0" w:line="240" w:lineRule="auto"/>
        <w:ind w:left="567" w:hanging="567"/>
        <w:rPr>
          <w:rFonts w:ascii="Cambria" w:hAnsi="Cambria" w:cstheme="minorHAnsi"/>
        </w:rPr>
      </w:pPr>
      <w:r w:rsidRPr="009A0DA6">
        <w:rPr>
          <w:rFonts w:ascii="Cambria" w:hAnsi="Cambria" w:cstheme="minorHAnsi"/>
        </w:rPr>
        <w:t xml:space="preserve"> </w:t>
      </w:r>
      <w:r w:rsidRPr="009A0DA6">
        <w:rPr>
          <w:rFonts w:ascii="Cambria" w:hAnsi="Cambria" w:cstheme="minorHAnsi"/>
        </w:rPr>
        <w:tab/>
        <w:t>The Board is accountable to the Church through the General Church Board</w:t>
      </w:r>
      <w:r w:rsidRPr="009A0DA6">
        <w:rPr>
          <w:rFonts w:ascii="Cambria" w:hAnsi="Cambria"/>
        </w:rPr>
        <w:t xml:space="preserve"> </w:t>
      </w:r>
      <w:r w:rsidRPr="009A0DA6">
        <w:rPr>
          <w:rFonts w:ascii="Cambria" w:hAnsi="Cambria" w:cstheme="minorHAnsi"/>
        </w:rPr>
        <w:t xml:space="preserve">and shall fulfil its responsibilities in keeping with the Constitution and the policies of the Church. </w:t>
      </w:r>
    </w:p>
    <w:p w14:paraId="7D81C981" w14:textId="77777777" w:rsidR="00E0197D" w:rsidRPr="009A0DA6" w:rsidRDefault="00E0197D" w:rsidP="00E0197D">
      <w:pPr>
        <w:tabs>
          <w:tab w:val="left" w:pos="567"/>
          <w:tab w:val="left" w:pos="1418"/>
          <w:tab w:val="left" w:pos="2268"/>
          <w:tab w:val="left" w:pos="3119"/>
          <w:tab w:val="left" w:pos="3969"/>
        </w:tabs>
        <w:spacing w:after="0" w:line="240" w:lineRule="auto"/>
        <w:ind w:left="567" w:hanging="567"/>
        <w:rPr>
          <w:rFonts w:ascii="Cambria" w:hAnsi="Cambria" w:cstheme="minorHAnsi"/>
          <w:b/>
          <w:sz w:val="18"/>
        </w:rPr>
      </w:pPr>
    </w:p>
    <w:p w14:paraId="771C65FA" w14:textId="77777777" w:rsidR="00E0197D" w:rsidRPr="009A0DA6" w:rsidRDefault="00E0197D" w:rsidP="00E0197D">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9A0DA6">
        <w:rPr>
          <w:rFonts w:ascii="Cambria" w:hAnsi="Cambria" w:cstheme="minorHAnsi"/>
          <w:b/>
        </w:rPr>
        <w:t>3.</w:t>
      </w:r>
      <w:r w:rsidRPr="009A0DA6">
        <w:rPr>
          <w:rFonts w:ascii="Cambria" w:hAnsi="Cambria" w:cstheme="minorHAnsi"/>
          <w:b/>
        </w:rPr>
        <w:tab/>
        <w:t>PURPOSE</w:t>
      </w:r>
    </w:p>
    <w:p w14:paraId="17811B70" w14:textId="77777777" w:rsidR="00E0197D" w:rsidRPr="009A0DA6" w:rsidRDefault="00E0197D" w:rsidP="00E0197D">
      <w:pPr>
        <w:tabs>
          <w:tab w:val="left" w:pos="567"/>
          <w:tab w:val="left" w:pos="1418"/>
          <w:tab w:val="left" w:pos="2268"/>
          <w:tab w:val="left" w:pos="3119"/>
          <w:tab w:val="left" w:pos="3969"/>
        </w:tabs>
        <w:spacing w:after="0" w:line="240" w:lineRule="auto"/>
        <w:ind w:left="567" w:hanging="567"/>
        <w:rPr>
          <w:rFonts w:ascii="Cambria" w:hAnsi="Cambria" w:cstheme="minorHAnsi"/>
        </w:rPr>
      </w:pPr>
      <w:r w:rsidRPr="009A0DA6">
        <w:rPr>
          <w:rFonts w:ascii="Cambria" w:hAnsi="Cambria" w:cstheme="minorHAnsi"/>
        </w:rPr>
        <w:tab/>
        <w:t>The Board is to ensure that Australian Lutheran College serves as the theological and educational training facility of the Church in accordance with the objects of the Company as contained in the Constitution of the Company, Australian Lutheran College.</w:t>
      </w:r>
    </w:p>
    <w:p w14:paraId="4F0655A7" w14:textId="77777777" w:rsidR="00E0197D" w:rsidRPr="009A0DA6" w:rsidRDefault="00E0197D" w:rsidP="00E0197D">
      <w:pPr>
        <w:tabs>
          <w:tab w:val="left" w:pos="567"/>
          <w:tab w:val="left" w:pos="1418"/>
          <w:tab w:val="left" w:pos="2268"/>
          <w:tab w:val="left" w:pos="3119"/>
          <w:tab w:val="left" w:pos="3969"/>
        </w:tabs>
        <w:spacing w:after="0" w:line="240" w:lineRule="auto"/>
        <w:ind w:left="567" w:hanging="567"/>
        <w:rPr>
          <w:rFonts w:ascii="Cambria" w:hAnsi="Cambria" w:cstheme="minorHAnsi"/>
          <w:sz w:val="18"/>
        </w:rPr>
      </w:pPr>
    </w:p>
    <w:p w14:paraId="4110C9D3" w14:textId="77777777" w:rsidR="00E0197D" w:rsidRPr="009A0DA6" w:rsidRDefault="00E0197D" w:rsidP="00E0197D">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9A0DA6">
        <w:rPr>
          <w:rFonts w:ascii="Cambria" w:hAnsi="Cambria" w:cstheme="minorHAnsi"/>
          <w:b/>
        </w:rPr>
        <w:t>4.</w:t>
      </w:r>
      <w:r w:rsidRPr="009A0DA6">
        <w:rPr>
          <w:rFonts w:ascii="Cambria" w:hAnsi="Cambria" w:cstheme="minorHAnsi"/>
          <w:b/>
        </w:rPr>
        <w:tab/>
        <w:t>AUTHORITY</w:t>
      </w:r>
    </w:p>
    <w:p w14:paraId="3C1B7B8B" w14:textId="77777777" w:rsidR="00E0197D" w:rsidRPr="009A0DA6" w:rsidRDefault="00E0197D" w:rsidP="00E0197D">
      <w:pPr>
        <w:tabs>
          <w:tab w:val="left" w:pos="567"/>
          <w:tab w:val="left" w:pos="1418"/>
          <w:tab w:val="left" w:pos="2268"/>
          <w:tab w:val="left" w:pos="3119"/>
          <w:tab w:val="left" w:pos="3969"/>
        </w:tabs>
        <w:spacing w:after="0" w:line="240" w:lineRule="auto"/>
        <w:ind w:left="567" w:hanging="567"/>
        <w:rPr>
          <w:rFonts w:ascii="Cambria" w:hAnsi="Cambria" w:cstheme="minorHAnsi"/>
        </w:rPr>
      </w:pPr>
      <w:r w:rsidRPr="009A0DA6">
        <w:rPr>
          <w:rFonts w:ascii="Cambria" w:hAnsi="Cambria" w:cstheme="minorHAnsi"/>
        </w:rPr>
        <w:tab/>
        <w:t>The Board has the power to carry out its purposes which shall be exercised consistent with the Constitution and By-laws of the Church.</w:t>
      </w:r>
    </w:p>
    <w:p w14:paraId="055F5FD0" w14:textId="77777777" w:rsidR="00E0197D" w:rsidRPr="009A0DA6" w:rsidRDefault="00E0197D" w:rsidP="00E0197D">
      <w:pPr>
        <w:tabs>
          <w:tab w:val="left" w:pos="567"/>
          <w:tab w:val="left" w:pos="1418"/>
          <w:tab w:val="left" w:pos="2268"/>
          <w:tab w:val="left" w:pos="3119"/>
          <w:tab w:val="left" w:pos="3969"/>
        </w:tabs>
        <w:spacing w:after="0" w:line="240" w:lineRule="auto"/>
        <w:ind w:left="567" w:hanging="567"/>
        <w:rPr>
          <w:rFonts w:ascii="Cambria" w:hAnsi="Cambria" w:cstheme="minorHAnsi"/>
          <w:sz w:val="24"/>
        </w:rPr>
      </w:pPr>
      <w:r w:rsidRPr="009A0DA6">
        <w:rPr>
          <w:rFonts w:ascii="Cambria" w:hAnsi="Cambria" w:cstheme="minorHAnsi"/>
        </w:rPr>
        <w:tab/>
      </w:r>
    </w:p>
    <w:p w14:paraId="36EB59A6" w14:textId="77777777" w:rsidR="00E0197D" w:rsidRPr="009A0DA6" w:rsidRDefault="00E0197D" w:rsidP="00E0197D">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9A0DA6">
        <w:rPr>
          <w:rFonts w:ascii="Cambria" w:hAnsi="Cambria" w:cstheme="minorHAnsi"/>
          <w:b/>
        </w:rPr>
        <w:t>5.</w:t>
      </w:r>
      <w:r w:rsidRPr="009A0DA6">
        <w:rPr>
          <w:rFonts w:ascii="Cambria" w:hAnsi="Cambria" w:cstheme="minorHAnsi"/>
          <w:b/>
        </w:rPr>
        <w:tab/>
        <w:t>MEMBERSHIP</w:t>
      </w:r>
    </w:p>
    <w:p w14:paraId="7DDAF9C9" w14:textId="77777777" w:rsidR="00E0197D" w:rsidRPr="009A0DA6" w:rsidRDefault="00E0197D" w:rsidP="00E0197D">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9A0DA6">
        <w:rPr>
          <w:rFonts w:ascii="Cambria" w:hAnsi="Cambria" w:cstheme="minorHAnsi"/>
        </w:rPr>
        <w:tab/>
        <w:t>5.1</w:t>
      </w:r>
      <w:r w:rsidRPr="009A0DA6">
        <w:rPr>
          <w:rFonts w:ascii="Cambria" w:hAnsi="Cambria" w:cstheme="minorHAnsi"/>
        </w:rPr>
        <w:tab/>
        <w:t>The Board of Directors shall consist of eight [8] members:</w:t>
      </w:r>
    </w:p>
    <w:p w14:paraId="54AD94F8" w14:textId="77777777" w:rsidR="00E0197D" w:rsidRPr="009A0DA6" w:rsidRDefault="00E0197D" w:rsidP="00E0197D">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9A0DA6">
        <w:rPr>
          <w:rFonts w:ascii="Cambria" w:hAnsi="Cambria" w:cstheme="minorHAnsi"/>
        </w:rPr>
        <w:tab/>
      </w:r>
      <w:r w:rsidRPr="009A0DA6">
        <w:rPr>
          <w:rFonts w:ascii="Cambria" w:hAnsi="Cambria" w:cstheme="minorHAnsi"/>
        </w:rPr>
        <w:tab/>
        <w:t>5.1.1</w:t>
      </w:r>
      <w:r w:rsidRPr="009A0DA6">
        <w:rPr>
          <w:rFonts w:ascii="Cambria" w:hAnsi="Cambria" w:cstheme="minorHAnsi"/>
        </w:rPr>
        <w:tab/>
        <w:t>the Bishop of the Church;</w:t>
      </w:r>
    </w:p>
    <w:p w14:paraId="2238DF2A" w14:textId="77777777" w:rsidR="00E0197D" w:rsidRPr="009A0DA6" w:rsidRDefault="00E0197D" w:rsidP="00E0197D">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9A0DA6">
        <w:rPr>
          <w:rFonts w:ascii="Cambria" w:hAnsi="Cambria" w:cstheme="minorHAnsi"/>
        </w:rPr>
        <w:tab/>
      </w:r>
      <w:r w:rsidRPr="009A0DA6">
        <w:rPr>
          <w:rFonts w:ascii="Cambria" w:hAnsi="Cambria" w:cstheme="minorHAnsi"/>
        </w:rPr>
        <w:tab/>
        <w:t>5.1.2</w:t>
      </w:r>
      <w:r w:rsidRPr="009A0DA6">
        <w:rPr>
          <w:rFonts w:ascii="Cambria" w:hAnsi="Cambria" w:cstheme="minorHAnsi"/>
        </w:rPr>
        <w:tab/>
        <w:t>two [2] pastors of the Church;  and</w:t>
      </w:r>
    </w:p>
    <w:p w14:paraId="7AD60567" w14:textId="77777777" w:rsidR="00E0197D" w:rsidRPr="009A0DA6" w:rsidRDefault="00E0197D" w:rsidP="00E0197D">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9A0DA6">
        <w:rPr>
          <w:rFonts w:ascii="Cambria" w:hAnsi="Cambria" w:cstheme="minorHAnsi"/>
        </w:rPr>
        <w:tab/>
      </w:r>
      <w:r w:rsidRPr="009A0DA6">
        <w:rPr>
          <w:rFonts w:ascii="Cambria" w:hAnsi="Cambria" w:cstheme="minorHAnsi"/>
        </w:rPr>
        <w:tab/>
        <w:t>5.1.3</w:t>
      </w:r>
      <w:r w:rsidRPr="009A0DA6">
        <w:rPr>
          <w:rFonts w:ascii="Cambria" w:hAnsi="Cambria" w:cstheme="minorHAnsi"/>
        </w:rPr>
        <w:tab/>
        <w:t>five [5] lay members of congregations of the Church.</w:t>
      </w:r>
    </w:p>
    <w:p w14:paraId="7F9A34A1" w14:textId="77777777" w:rsidR="00E0197D" w:rsidRPr="009A0DA6" w:rsidRDefault="00E0197D" w:rsidP="00E0197D">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9A0DA6">
        <w:rPr>
          <w:rFonts w:ascii="Cambria" w:hAnsi="Cambria" w:cstheme="minorHAnsi"/>
        </w:rPr>
        <w:tab/>
        <w:t>5.2</w:t>
      </w:r>
      <w:r w:rsidRPr="009A0DA6">
        <w:rPr>
          <w:rFonts w:ascii="Cambria" w:hAnsi="Cambria" w:cstheme="minorHAnsi"/>
        </w:rPr>
        <w:tab/>
        <w:t xml:space="preserve">The pastors and lay members shall be appointed by the General Church Board on recommendations from the Standing Committee on Nominations. </w:t>
      </w:r>
    </w:p>
    <w:p w14:paraId="59E1FA33" w14:textId="77777777" w:rsidR="00E0197D" w:rsidRPr="009A0DA6" w:rsidRDefault="00E0197D" w:rsidP="00E0197D">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9A0DA6">
        <w:rPr>
          <w:rFonts w:ascii="Cambria" w:hAnsi="Cambria" w:cstheme="minorHAnsi"/>
        </w:rPr>
        <w:tab/>
        <w:t>5.3</w:t>
      </w:r>
      <w:r w:rsidRPr="009A0DA6">
        <w:rPr>
          <w:rFonts w:ascii="Cambria" w:hAnsi="Cambria" w:cstheme="minorHAnsi"/>
        </w:rPr>
        <w:tab/>
        <w:t xml:space="preserve">The Board membership shall consist of people with a passion for mission and ministry and have the relevant skills, qualifications and experience in one or more of the following areas: </w:t>
      </w:r>
    </w:p>
    <w:p w14:paraId="4D485E27" w14:textId="77777777" w:rsidR="00E0197D" w:rsidRPr="009A0DA6" w:rsidRDefault="00E0197D" w:rsidP="00E0197D">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9A0DA6">
        <w:rPr>
          <w:rFonts w:ascii="Cambria" w:hAnsi="Cambria" w:cstheme="minorHAnsi"/>
        </w:rPr>
        <w:tab/>
      </w:r>
      <w:r w:rsidRPr="009A0DA6">
        <w:rPr>
          <w:rFonts w:ascii="Cambria" w:hAnsi="Cambria" w:cstheme="minorHAnsi"/>
        </w:rPr>
        <w:tab/>
        <w:t>5.3.1</w:t>
      </w:r>
      <w:r w:rsidRPr="009A0DA6">
        <w:rPr>
          <w:rFonts w:ascii="Cambria" w:hAnsi="Cambria" w:cstheme="minorHAnsi"/>
        </w:rPr>
        <w:tab/>
        <w:t>education;</w:t>
      </w:r>
    </w:p>
    <w:p w14:paraId="6C50E006" w14:textId="77777777" w:rsidR="00E0197D" w:rsidRPr="009A0DA6" w:rsidRDefault="00E0197D" w:rsidP="00E0197D">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9A0DA6">
        <w:rPr>
          <w:rFonts w:ascii="Cambria" w:hAnsi="Cambria" w:cstheme="minorHAnsi"/>
        </w:rPr>
        <w:tab/>
      </w:r>
      <w:r w:rsidRPr="009A0DA6">
        <w:rPr>
          <w:rFonts w:ascii="Cambria" w:hAnsi="Cambria" w:cstheme="minorHAnsi"/>
        </w:rPr>
        <w:tab/>
        <w:t>5.3.2</w:t>
      </w:r>
      <w:r w:rsidRPr="009A0DA6">
        <w:rPr>
          <w:rFonts w:ascii="Cambria" w:hAnsi="Cambria" w:cstheme="minorHAnsi"/>
        </w:rPr>
        <w:tab/>
        <w:t>governance;</w:t>
      </w:r>
    </w:p>
    <w:p w14:paraId="75AF288F" w14:textId="77777777" w:rsidR="00E0197D" w:rsidRPr="009A0DA6" w:rsidRDefault="00E0197D" w:rsidP="00E0197D">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9A0DA6">
        <w:rPr>
          <w:rFonts w:ascii="Cambria" w:hAnsi="Cambria" w:cstheme="minorHAnsi"/>
        </w:rPr>
        <w:tab/>
      </w:r>
      <w:r w:rsidRPr="009A0DA6">
        <w:rPr>
          <w:rFonts w:ascii="Cambria" w:hAnsi="Cambria" w:cstheme="minorHAnsi"/>
        </w:rPr>
        <w:tab/>
        <w:t>5.3.3</w:t>
      </w:r>
      <w:r w:rsidRPr="009A0DA6">
        <w:rPr>
          <w:rFonts w:ascii="Cambria" w:hAnsi="Cambria" w:cstheme="minorHAnsi"/>
        </w:rPr>
        <w:tab/>
        <w:t>law;</w:t>
      </w:r>
    </w:p>
    <w:p w14:paraId="5BB3E2D2" w14:textId="42BE4F78" w:rsidR="00E0197D" w:rsidRPr="009A0DA6" w:rsidRDefault="00E0197D" w:rsidP="00E0197D">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9A0DA6">
        <w:rPr>
          <w:rFonts w:ascii="Cambria" w:hAnsi="Cambria" w:cstheme="minorHAnsi"/>
        </w:rPr>
        <w:tab/>
      </w:r>
      <w:r w:rsidRPr="009A0DA6">
        <w:rPr>
          <w:rFonts w:ascii="Cambria" w:hAnsi="Cambria" w:cstheme="minorHAnsi"/>
        </w:rPr>
        <w:tab/>
        <w:t>5.3.4</w:t>
      </w:r>
      <w:r w:rsidRPr="009A0DA6">
        <w:rPr>
          <w:rFonts w:ascii="Cambria" w:hAnsi="Cambria" w:cstheme="minorHAnsi"/>
        </w:rPr>
        <w:tab/>
        <w:t>risk management; and</w:t>
      </w:r>
    </w:p>
    <w:p w14:paraId="1F116948" w14:textId="77777777" w:rsidR="00E0197D" w:rsidRPr="009A0DA6" w:rsidRDefault="00E0197D" w:rsidP="00E0197D">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9A0DA6">
        <w:rPr>
          <w:rFonts w:ascii="Cambria" w:hAnsi="Cambria" w:cstheme="minorHAnsi"/>
        </w:rPr>
        <w:tab/>
      </w:r>
      <w:r w:rsidRPr="009A0DA6">
        <w:rPr>
          <w:rFonts w:ascii="Cambria" w:hAnsi="Cambria" w:cstheme="minorHAnsi"/>
        </w:rPr>
        <w:tab/>
        <w:t>5.3.5</w:t>
      </w:r>
      <w:r w:rsidRPr="009A0DA6">
        <w:rPr>
          <w:rFonts w:ascii="Cambria" w:hAnsi="Cambria" w:cstheme="minorHAnsi"/>
        </w:rPr>
        <w:tab/>
        <w:t>finance.</w:t>
      </w:r>
    </w:p>
    <w:p w14:paraId="7A00C492" w14:textId="77777777" w:rsidR="00E0197D" w:rsidRPr="009A0DA6" w:rsidRDefault="00E0197D" w:rsidP="00E0197D">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9A0DA6">
        <w:rPr>
          <w:rFonts w:ascii="Cambria" w:hAnsi="Cambria" w:cstheme="minorHAnsi"/>
        </w:rPr>
        <w:tab/>
        <w:t>5.4</w:t>
      </w:r>
      <w:r w:rsidRPr="009A0DA6">
        <w:rPr>
          <w:rFonts w:ascii="Cambria" w:hAnsi="Cambria" w:cstheme="minorHAnsi"/>
        </w:rPr>
        <w:tab/>
        <w:t xml:space="preserve">The Board shall elect a director as the Chairperson on the nomination of the General Church Board. </w:t>
      </w:r>
    </w:p>
    <w:p w14:paraId="0A8217F1" w14:textId="77777777" w:rsidR="00E0197D" w:rsidRPr="009A0DA6" w:rsidRDefault="00E0197D" w:rsidP="00E0197D">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9A0DA6">
        <w:rPr>
          <w:rFonts w:ascii="Cambria" w:hAnsi="Cambria" w:cstheme="minorHAnsi"/>
        </w:rPr>
        <w:tab/>
        <w:t>5.5</w:t>
      </w:r>
      <w:r w:rsidRPr="009A0DA6">
        <w:rPr>
          <w:rFonts w:ascii="Cambria" w:hAnsi="Cambria" w:cstheme="minorHAnsi"/>
        </w:rPr>
        <w:tab/>
        <w:t>The membership of the Board shall aim to include a mix of background and perspectives which, together with the relevant skills, qualifications and experience, will enable it to fulfil its role effectively.</w:t>
      </w:r>
    </w:p>
    <w:p w14:paraId="3BDD389D" w14:textId="658519D4" w:rsidR="00E0197D" w:rsidRDefault="00E0197D" w:rsidP="00E0197D">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9A0DA6">
        <w:rPr>
          <w:rFonts w:ascii="Cambria" w:hAnsi="Cambria" w:cstheme="minorHAnsi"/>
        </w:rPr>
        <w:tab/>
        <w:t>5.6</w:t>
      </w:r>
      <w:r w:rsidRPr="009A0DA6">
        <w:rPr>
          <w:rFonts w:ascii="Cambria" w:hAnsi="Cambria" w:cstheme="minorHAnsi"/>
        </w:rPr>
        <w:tab/>
        <w:t>The Principal of the College shall be a consultant.</w:t>
      </w:r>
    </w:p>
    <w:p w14:paraId="3E3CD8CB" w14:textId="4567197E" w:rsidR="00CE2064" w:rsidRDefault="00CE2064" w:rsidP="00E0197D">
      <w:pPr>
        <w:tabs>
          <w:tab w:val="left" w:pos="567"/>
          <w:tab w:val="left" w:pos="1418"/>
          <w:tab w:val="left" w:pos="2268"/>
          <w:tab w:val="left" w:pos="3119"/>
          <w:tab w:val="left" w:pos="3969"/>
        </w:tabs>
        <w:spacing w:after="0" w:line="240" w:lineRule="auto"/>
        <w:ind w:left="1418" w:hanging="1418"/>
        <w:rPr>
          <w:rFonts w:ascii="Cambria" w:hAnsi="Cambria" w:cstheme="minorHAnsi"/>
        </w:rPr>
      </w:pPr>
    </w:p>
    <w:p w14:paraId="1F49E0E0" w14:textId="77777777" w:rsidR="00CE2064" w:rsidRPr="009A0DA6" w:rsidRDefault="00CE2064" w:rsidP="00E0197D">
      <w:pPr>
        <w:tabs>
          <w:tab w:val="left" w:pos="567"/>
          <w:tab w:val="left" w:pos="1418"/>
          <w:tab w:val="left" w:pos="2268"/>
          <w:tab w:val="left" w:pos="3119"/>
          <w:tab w:val="left" w:pos="3969"/>
        </w:tabs>
        <w:spacing w:after="0" w:line="240" w:lineRule="auto"/>
        <w:ind w:left="1418" w:hanging="1418"/>
        <w:rPr>
          <w:rFonts w:ascii="Cambria" w:hAnsi="Cambria" w:cstheme="minorHAnsi"/>
        </w:rPr>
      </w:pPr>
    </w:p>
    <w:p w14:paraId="30D1C47D" w14:textId="77777777" w:rsidR="00E0197D" w:rsidRPr="009A0DA6" w:rsidRDefault="00E0197D" w:rsidP="00E0197D">
      <w:pPr>
        <w:tabs>
          <w:tab w:val="left" w:pos="567"/>
          <w:tab w:val="left" w:pos="1418"/>
          <w:tab w:val="left" w:pos="2268"/>
          <w:tab w:val="left" w:pos="3119"/>
          <w:tab w:val="left" w:pos="3969"/>
        </w:tabs>
        <w:spacing w:after="0" w:line="240" w:lineRule="auto"/>
        <w:ind w:left="567" w:hanging="567"/>
        <w:rPr>
          <w:rFonts w:ascii="Cambria" w:hAnsi="Cambria" w:cstheme="minorHAnsi"/>
        </w:rPr>
      </w:pPr>
    </w:p>
    <w:p w14:paraId="7A6BC700" w14:textId="48ADF6C4" w:rsidR="00E0197D" w:rsidRPr="009A0DA6" w:rsidRDefault="00295E5B" w:rsidP="00E0197D">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9A0DA6">
        <w:rPr>
          <w:rFonts w:ascii="Cambria" w:hAnsi="Cambria" w:cstheme="minorHAnsi"/>
          <w:b/>
        </w:rPr>
        <w:lastRenderedPageBreak/>
        <w:t>6.</w:t>
      </w:r>
      <w:r w:rsidRPr="009A0DA6">
        <w:rPr>
          <w:rFonts w:ascii="Cambria" w:hAnsi="Cambria" w:cstheme="minorHAnsi"/>
          <w:b/>
        </w:rPr>
        <w:tab/>
        <w:t>MEETING ARRANGEMENTS AND R</w:t>
      </w:r>
      <w:r w:rsidR="00E0197D" w:rsidRPr="009A0DA6">
        <w:rPr>
          <w:rFonts w:ascii="Cambria" w:hAnsi="Cambria" w:cstheme="minorHAnsi"/>
          <w:b/>
        </w:rPr>
        <w:t>EPORTING</w:t>
      </w:r>
    </w:p>
    <w:p w14:paraId="13BE31CE" w14:textId="0A790E4B" w:rsidR="00E0197D" w:rsidRPr="009A0DA6" w:rsidRDefault="00E0197D" w:rsidP="00E0197D">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9A0DA6">
        <w:rPr>
          <w:rFonts w:ascii="Cambria" w:hAnsi="Cambria" w:cstheme="minorHAnsi"/>
        </w:rPr>
        <w:tab/>
        <w:t>6.1</w:t>
      </w:r>
      <w:r w:rsidRPr="009A0DA6">
        <w:rPr>
          <w:rFonts w:ascii="Cambria" w:hAnsi="Cambria" w:cstheme="minorHAnsi"/>
        </w:rPr>
        <w:tab/>
        <w:t>Meetings shall be convened by the Chairperson</w:t>
      </w:r>
      <w:r w:rsidR="0027799A" w:rsidRPr="009A0DA6">
        <w:rPr>
          <w:rFonts w:ascii="Cambria" w:hAnsi="Cambria" w:cstheme="minorHAnsi"/>
        </w:rPr>
        <w:t xml:space="preserve">. </w:t>
      </w:r>
    </w:p>
    <w:p w14:paraId="02896768" w14:textId="77777777" w:rsidR="00E0197D" w:rsidRPr="009A0DA6" w:rsidRDefault="00E0197D" w:rsidP="00E0197D">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9A0DA6">
        <w:rPr>
          <w:rFonts w:ascii="Cambria" w:hAnsi="Cambria" w:cstheme="minorHAnsi"/>
        </w:rPr>
        <w:tab/>
        <w:t>6.2</w:t>
      </w:r>
      <w:r w:rsidRPr="009A0DA6">
        <w:rPr>
          <w:rFonts w:ascii="Cambria" w:hAnsi="Cambria" w:cstheme="minorHAnsi"/>
        </w:rPr>
        <w:tab/>
        <w:t>It is at the discretion of the Board to meet face-to-face, by electronic means, or by other means of communication.</w:t>
      </w:r>
    </w:p>
    <w:p w14:paraId="6C50C3C4" w14:textId="77777777" w:rsidR="00E0197D" w:rsidRPr="009A0DA6" w:rsidRDefault="00E0197D" w:rsidP="00E0197D">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9A0DA6">
        <w:rPr>
          <w:rFonts w:ascii="Cambria" w:hAnsi="Cambria" w:cstheme="minorHAnsi"/>
        </w:rPr>
        <w:tab/>
        <w:t>6.3</w:t>
      </w:r>
      <w:r w:rsidRPr="009A0DA6">
        <w:rPr>
          <w:rFonts w:ascii="Cambria" w:hAnsi="Cambria" w:cstheme="minorHAnsi"/>
        </w:rPr>
        <w:tab/>
        <w:t>Email correspondence may be used for the distribution of minutes, advisory information or approval of documentation.</w:t>
      </w:r>
    </w:p>
    <w:p w14:paraId="71731EE1" w14:textId="77777777" w:rsidR="00E0197D" w:rsidRPr="009A0DA6" w:rsidRDefault="00E0197D" w:rsidP="00E0197D">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9A0DA6">
        <w:rPr>
          <w:rFonts w:ascii="Cambria" w:hAnsi="Cambria" w:cstheme="minorHAnsi"/>
        </w:rPr>
        <w:tab/>
        <w:t>6.4</w:t>
      </w:r>
      <w:r w:rsidRPr="009A0DA6">
        <w:rPr>
          <w:rFonts w:ascii="Cambria" w:hAnsi="Cambria" w:cstheme="minorHAnsi"/>
        </w:rPr>
        <w:tab/>
        <w:t>The minutes of the meetings of the Board shall be submitted to the General Church Board.</w:t>
      </w:r>
    </w:p>
    <w:p w14:paraId="68748510" w14:textId="77777777" w:rsidR="00E0197D" w:rsidRPr="009A0DA6" w:rsidRDefault="00E0197D" w:rsidP="00E0197D">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9A0DA6">
        <w:rPr>
          <w:rFonts w:ascii="Cambria" w:hAnsi="Cambria" w:cstheme="minorHAnsi"/>
        </w:rPr>
        <w:tab/>
        <w:t>6.5</w:t>
      </w:r>
      <w:r w:rsidRPr="009A0DA6">
        <w:rPr>
          <w:rFonts w:ascii="Cambria" w:hAnsi="Cambria" w:cstheme="minorHAnsi"/>
        </w:rPr>
        <w:tab/>
        <w:t>An annual report of the activities of the Board and any subsidiary bodies shall be submitted to the General Church Board.</w:t>
      </w:r>
      <w:r w:rsidRPr="009A0DA6">
        <w:rPr>
          <w:rFonts w:ascii="Cambria" w:hAnsi="Cambria" w:cstheme="minorHAnsi"/>
        </w:rPr>
        <w:tab/>
      </w:r>
      <w:r w:rsidRPr="009A0DA6">
        <w:rPr>
          <w:rFonts w:ascii="Cambria" w:hAnsi="Cambria" w:cstheme="minorHAnsi"/>
        </w:rPr>
        <w:tab/>
      </w:r>
    </w:p>
    <w:p w14:paraId="5921A33C" w14:textId="77777777" w:rsidR="00E0197D" w:rsidRPr="009A0DA6" w:rsidRDefault="00E0197D" w:rsidP="00E0197D">
      <w:pPr>
        <w:tabs>
          <w:tab w:val="left" w:pos="567"/>
          <w:tab w:val="left" w:pos="1418"/>
          <w:tab w:val="left" w:pos="2268"/>
          <w:tab w:val="left" w:pos="3119"/>
          <w:tab w:val="left" w:pos="3969"/>
        </w:tabs>
        <w:spacing w:after="0" w:line="240" w:lineRule="auto"/>
        <w:ind w:left="567" w:hanging="567"/>
        <w:rPr>
          <w:rFonts w:ascii="Cambria" w:hAnsi="Cambria" w:cstheme="minorHAnsi"/>
        </w:rPr>
      </w:pPr>
    </w:p>
    <w:p w14:paraId="7A800844" w14:textId="77777777" w:rsidR="00E0197D" w:rsidRPr="009A0DA6" w:rsidRDefault="00E0197D" w:rsidP="00E0197D">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9A0DA6">
        <w:rPr>
          <w:rFonts w:ascii="Cambria" w:hAnsi="Cambria" w:cstheme="minorHAnsi"/>
          <w:b/>
        </w:rPr>
        <w:t>7.</w:t>
      </w:r>
      <w:r w:rsidRPr="009A0DA6">
        <w:rPr>
          <w:rFonts w:ascii="Cambria" w:hAnsi="Cambria" w:cstheme="minorHAnsi"/>
          <w:b/>
        </w:rPr>
        <w:tab/>
        <w:t>RESPONSIBILITIES</w:t>
      </w:r>
    </w:p>
    <w:p w14:paraId="1CC9FFE2" w14:textId="77777777" w:rsidR="00E0197D" w:rsidRPr="009A0DA6" w:rsidRDefault="00E0197D" w:rsidP="00E0197D">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9A0DA6">
        <w:rPr>
          <w:rFonts w:ascii="Cambria" w:hAnsi="Cambria" w:cstheme="minorHAnsi"/>
        </w:rPr>
        <w:tab/>
        <w:t>7.1</w:t>
      </w:r>
      <w:r w:rsidRPr="009A0DA6">
        <w:rPr>
          <w:rFonts w:ascii="Cambria" w:hAnsi="Cambria" w:cstheme="minorHAnsi"/>
        </w:rPr>
        <w:tab/>
        <w:t>The Board of Directors is responsible for ensuring that the facility is equipped to</w:t>
      </w:r>
    </w:p>
    <w:p w14:paraId="0C6A393A" w14:textId="77777777" w:rsidR="00E0197D" w:rsidRPr="009A0DA6" w:rsidRDefault="00E0197D" w:rsidP="00E0197D">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9A0DA6">
        <w:rPr>
          <w:rFonts w:ascii="Cambria" w:hAnsi="Cambria" w:cstheme="minorHAnsi"/>
        </w:rPr>
        <w:tab/>
      </w:r>
      <w:r w:rsidRPr="009A0DA6">
        <w:rPr>
          <w:rFonts w:ascii="Cambria" w:hAnsi="Cambria" w:cstheme="minorHAnsi"/>
        </w:rPr>
        <w:tab/>
        <w:t>7.1.1</w:t>
      </w:r>
      <w:r w:rsidRPr="009A0DA6">
        <w:rPr>
          <w:rFonts w:ascii="Cambria" w:hAnsi="Cambria" w:cstheme="minorHAnsi"/>
        </w:rPr>
        <w:tab/>
        <w:t>prepare candidates to be pastors of the Church;</w:t>
      </w:r>
    </w:p>
    <w:p w14:paraId="62221B6B" w14:textId="77777777" w:rsidR="00E0197D" w:rsidRPr="009A0DA6" w:rsidRDefault="00E0197D" w:rsidP="00E0197D">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9A0DA6">
        <w:rPr>
          <w:rFonts w:ascii="Cambria" w:hAnsi="Cambria" w:cstheme="minorHAnsi"/>
        </w:rPr>
        <w:tab/>
      </w:r>
      <w:r w:rsidRPr="009A0DA6">
        <w:rPr>
          <w:rFonts w:ascii="Cambria" w:hAnsi="Cambria" w:cstheme="minorHAnsi"/>
        </w:rPr>
        <w:tab/>
        <w:t>7.1.2</w:t>
      </w:r>
      <w:r w:rsidRPr="009A0DA6">
        <w:rPr>
          <w:rFonts w:ascii="Cambria" w:hAnsi="Cambria" w:cstheme="minorHAnsi"/>
        </w:rPr>
        <w:tab/>
        <w:t>prepare candidates to be teachers in the schools of the Church;</w:t>
      </w:r>
    </w:p>
    <w:p w14:paraId="5182BE4C" w14:textId="77777777" w:rsidR="00E0197D" w:rsidRPr="009A0DA6" w:rsidRDefault="00E0197D" w:rsidP="00E0197D">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9A0DA6">
        <w:rPr>
          <w:rFonts w:ascii="Cambria" w:hAnsi="Cambria" w:cstheme="minorHAnsi"/>
        </w:rPr>
        <w:tab/>
      </w:r>
      <w:r w:rsidRPr="009A0DA6">
        <w:rPr>
          <w:rFonts w:ascii="Cambria" w:hAnsi="Cambria" w:cstheme="minorHAnsi"/>
        </w:rPr>
        <w:tab/>
        <w:t>7.1.3</w:t>
      </w:r>
      <w:r w:rsidRPr="009A0DA6">
        <w:rPr>
          <w:rFonts w:ascii="Cambria" w:hAnsi="Cambria" w:cstheme="minorHAnsi"/>
        </w:rPr>
        <w:tab/>
        <w:t>prepare candidates to be lay workers of the Church;</w:t>
      </w:r>
    </w:p>
    <w:p w14:paraId="1FCB4F11" w14:textId="77777777" w:rsidR="00E0197D" w:rsidRPr="009A0DA6" w:rsidRDefault="00E0197D" w:rsidP="00E0197D">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9A0DA6">
        <w:rPr>
          <w:rFonts w:ascii="Cambria" w:hAnsi="Cambria" w:cstheme="minorHAnsi"/>
        </w:rPr>
        <w:tab/>
      </w:r>
      <w:r w:rsidRPr="009A0DA6">
        <w:rPr>
          <w:rFonts w:ascii="Cambria" w:hAnsi="Cambria" w:cstheme="minorHAnsi"/>
        </w:rPr>
        <w:tab/>
        <w:t>7.1.4</w:t>
      </w:r>
      <w:r w:rsidRPr="009A0DA6">
        <w:rPr>
          <w:rFonts w:ascii="Cambria" w:hAnsi="Cambria" w:cstheme="minorHAnsi"/>
        </w:rPr>
        <w:tab/>
        <w:t>provide continuing and postgraduate studies in theology and education;</w:t>
      </w:r>
    </w:p>
    <w:p w14:paraId="55A4F067" w14:textId="77777777" w:rsidR="00E0197D" w:rsidRPr="009A0DA6" w:rsidRDefault="00E0197D" w:rsidP="00E0197D">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9A0DA6">
        <w:rPr>
          <w:rFonts w:ascii="Cambria" w:hAnsi="Cambria" w:cstheme="minorHAnsi"/>
        </w:rPr>
        <w:tab/>
      </w:r>
      <w:r w:rsidRPr="009A0DA6">
        <w:rPr>
          <w:rFonts w:ascii="Cambria" w:hAnsi="Cambria" w:cstheme="minorHAnsi"/>
        </w:rPr>
        <w:tab/>
        <w:t>7.1.5</w:t>
      </w:r>
      <w:r w:rsidRPr="009A0DA6">
        <w:rPr>
          <w:rFonts w:ascii="Cambria" w:hAnsi="Cambria" w:cstheme="minorHAnsi"/>
        </w:rPr>
        <w:tab/>
        <w:t xml:space="preserve">provide education leading to degrees, awards and qualifications in theology and Christian service; </w:t>
      </w:r>
    </w:p>
    <w:p w14:paraId="33A78638" w14:textId="77777777" w:rsidR="00E0197D" w:rsidRPr="009A0DA6" w:rsidRDefault="00E0197D" w:rsidP="00E0197D">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9A0DA6">
        <w:rPr>
          <w:rFonts w:ascii="Cambria" w:hAnsi="Cambria" w:cstheme="minorHAnsi"/>
        </w:rPr>
        <w:tab/>
      </w:r>
      <w:r w:rsidRPr="009A0DA6">
        <w:rPr>
          <w:rFonts w:ascii="Cambria" w:hAnsi="Cambria" w:cstheme="minorHAnsi"/>
        </w:rPr>
        <w:tab/>
        <w:t>7.1.6</w:t>
      </w:r>
      <w:r w:rsidRPr="009A0DA6">
        <w:rPr>
          <w:rFonts w:ascii="Cambria" w:hAnsi="Cambria" w:cstheme="minorHAnsi"/>
        </w:rPr>
        <w:tab/>
        <w:t>provide training for members congregations and organisations of the Church and the community;</w:t>
      </w:r>
    </w:p>
    <w:p w14:paraId="3CD4F447" w14:textId="77777777" w:rsidR="00E0197D" w:rsidRPr="009A0DA6" w:rsidRDefault="00E0197D" w:rsidP="00E0197D">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9A0DA6">
        <w:rPr>
          <w:rFonts w:ascii="Cambria" w:hAnsi="Cambria" w:cstheme="minorHAnsi"/>
        </w:rPr>
        <w:tab/>
      </w:r>
      <w:r w:rsidRPr="009A0DA6">
        <w:rPr>
          <w:rFonts w:ascii="Cambria" w:hAnsi="Cambria" w:cstheme="minorHAnsi"/>
        </w:rPr>
        <w:tab/>
        <w:t>7.1.7</w:t>
      </w:r>
      <w:r w:rsidRPr="009A0DA6">
        <w:rPr>
          <w:rFonts w:ascii="Cambria" w:hAnsi="Cambria" w:cstheme="minorHAnsi"/>
        </w:rPr>
        <w:tab/>
        <w:t>undertake research to assist in the promotion of the mission of the Church;</w:t>
      </w:r>
    </w:p>
    <w:p w14:paraId="50AC0AC7" w14:textId="77777777" w:rsidR="00E0197D" w:rsidRPr="009A0DA6" w:rsidRDefault="00E0197D" w:rsidP="00E0197D">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9A0DA6">
        <w:rPr>
          <w:rFonts w:ascii="Cambria" w:hAnsi="Cambria" w:cstheme="minorHAnsi"/>
        </w:rPr>
        <w:tab/>
      </w:r>
      <w:r w:rsidRPr="009A0DA6">
        <w:rPr>
          <w:rFonts w:ascii="Cambria" w:hAnsi="Cambria" w:cstheme="minorHAnsi"/>
        </w:rPr>
        <w:tab/>
        <w:t>7.1.8</w:t>
      </w:r>
      <w:r w:rsidRPr="009A0DA6">
        <w:rPr>
          <w:rFonts w:ascii="Cambria" w:hAnsi="Cambria" w:cstheme="minorHAnsi"/>
        </w:rPr>
        <w:tab/>
        <w:t>establish and maintain relations with any relevant Board, committee or institution of the Church and with Lutheran education bodies overseas;  and</w:t>
      </w:r>
    </w:p>
    <w:p w14:paraId="73265CF7" w14:textId="77777777" w:rsidR="00E0197D" w:rsidRPr="009A0DA6" w:rsidRDefault="00E0197D" w:rsidP="00E0197D">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9A0DA6">
        <w:rPr>
          <w:rFonts w:ascii="Cambria" w:hAnsi="Cambria" w:cstheme="minorHAnsi"/>
        </w:rPr>
        <w:tab/>
      </w:r>
      <w:r w:rsidRPr="009A0DA6">
        <w:rPr>
          <w:rFonts w:ascii="Cambria" w:hAnsi="Cambria" w:cstheme="minorHAnsi"/>
        </w:rPr>
        <w:tab/>
        <w:t>7.1.9</w:t>
      </w:r>
      <w:r w:rsidRPr="009A0DA6">
        <w:rPr>
          <w:rFonts w:ascii="Cambria" w:hAnsi="Cambria" w:cstheme="minorHAnsi"/>
        </w:rPr>
        <w:tab/>
        <w:t>undertake such other activities which promote the mission of the Church.</w:t>
      </w:r>
    </w:p>
    <w:p w14:paraId="21C9666B" w14:textId="77777777" w:rsidR="00E0197D" w:rsidRPr="009A0DA6" w:rsidRDefault="00E0197D" w:rsidP="00E0197D">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9A0DA6">
        <w:rPr>
          <w:rFonts w:ascii="Cambria" w:hAnsi="Cambria" w:cstheme="minorHAnsi"/>
        </w:rPr>
        <w:tab/>
        <w:t>7.2</w:t>
      </w:r>
      <w:r w:rsidRPr="009A0DA6">
        <w:rPr>
          <w:rFonts w:ascii="Cambria" w:hAnsi="Cambria" w:cstheme="minorHAnsi"/>
        </w:rPr>
        <w:tab/>
        <w:t>The duties of the Board of Directors are in addition to responsibilities prescribed in Section 8.7 of the By-laws of the Church.</w:t>
      </w:r>
    </w:p>
    <w:p w14:paraId="466AE5EC" w14:textId="77777777" w:rsidR="00E0197D" w:rsidRPr="009A0DA6" w:rsidRDefault="00E0197D" w:rsidP="00E0197D">
      <w:pPr>
        <w:tabs>
          <w:tab w:val="left" w:pos="567"/>
          <w:tab w:val="left" w:pos="1418"/>
          <w:tab w:val="left" w:pos="2268"/>
          <w:tab w:val="left" w:pos="3119"/>
          <w:tab w:val="left" w:pos="3969"/>
        </w:tabs>
        <w:spacing w:after="0" w:line="240" w:lineRule="auto"/>
        <w:ind w:left="567" w:hanging="567"/>
        <w:rPr>
          <w:rFonts w:ascii="Cambria" w:hAnsi="Cambria" w:cstheme="minorHAnsi"/>
        </w:rPr>
      </w:pPr>
    </w:p>
    <w:p w14:paraId="0E035A6A" w14:textId="77777777" w:rsidR="00E0197D" w:rsidRPr="009A0DA6" w:rsidRDefault="00E0197D" w:rsidP="00E0197D">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9A0DA6">
        <w:rPr>
          <w:rFonts w:ascii="Cambria" w:hAnsi="Cambria" w:cstheme="minorHAnsi"/>
          <w:b/>
        </w:rPr>
        <w:t>8.</w:t>
      </w:r>
      <w:r w:rsidRPr="009A0DA6">
        <w:rPr>
          <w:rFonts w:ascii="Cambria" w:hAnsi="Cambria" w:cstheme="minorHAnsi"/>
          <w:b/>
        </w:rPr>
        <w:tab/>
        <w:t>REVIEW</w:t>
      </w:r>
    </w:p>
    <w:p w14:paraId="31B05985" w14:textId="1D7F8178" w:rsidR="00E0197D" w:rsidRPr="009A0DA6" w:rsidRDefault="00E0197D" w:rsidP="00E0197D">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9A0DA6">
        <w:rPr>
          <w:rFonts w:ascii="Cambria" w:hAnsi="Cambria" w:cstheme="minorHAnsi"/>
        </w:rPr>
        <w:tab/>
        <w:t>8.1</w:t>
      </w:r>
      <w:r w:rsidRPr="009A0DA6">
        <w:rPr>
          <w:rFonts w:ascii="Cambria" w:hAnsi="Cambria" w:cstheme="minorHAnsi"/>
        </w:rPr>
        <w:tab/>
        <w:t xml:space="preserve">The Terms of Reference for the Board shall be reviewed during each </w:t>
      </w:r>
      <w:r w:rsidR="00712620" w:rsidRPr="009A0DA6">
        <w:rPr>
          <w:rFonts w:ascii="Cambria" w:hAnsi="Cambria" w:cstheme="minorHAnsi"/>
        </w:rPr>
        <w:t>Synodical</w:t>
      </w:r>
      <w:r w:rsidRPr="009A0DA6">
        <w:rPr>
          <w:rFonts w:ascii="Cambria" w:hAnsi="Cambria" w:cstheme="minorHAnsi"/>
        </w:rPr>
        <w:t xml:space="preserve"> term. </w:t>
      </w:r>
    </w:p>
    <w:p w14:paraId="556701F5" w14:textId="77777777" w:rsidR="00E0197D" w:rsidRPr="009A0DA6" w:rsidRDefault="00E0197D" w:rsidP="00E0197D">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9A0DA6">
        <w:rPr>
          <w:rFonts w:ascii="Cambria" w:hAnsi="Cambria" w:cstheme="minorHAnsi"/>
        </w:rPr>
        <w:tab/>
        <w:t>8.2</w:t>
      </w:r>
      <w:r w:rsidRPr="009A0DA6">
        <w:rPr>
          <w:rFonts w:ascii="Cambria" w:hAnsi="Cambria" w:cstheme="minorHAnsi"/>
        </w:rPr>
        <w:tab/>
        <w:t>Any changes to the Terms of Reference shall be approved by the General Church Board, upon review by the Standing Committee on Constitutions.</w:t>
      </w:r>
    </w:p>
    <w:p w14:paraId="6BC2E825" w14:textId="77777777" w:rsidR="00E0197D" w:rsidRPr="009A0DA6" w:rsidRDefault="00E0197D" w:rsidP="00E0197D">
      <w:pPr>
        <w:shd w:val="clear" w:color="auto" w:fill="FFFFFF"/>
        <w:spacing w:after="0" w:line="240" w:lineRule="auto"/>
        <w:rPr>
          <w:rFonts w:ascii="Cambria" w:eastAsia="Times New Roman" w:hAnsi="Cambria" w:cs="Times New Roman"/>
          <w:bCs/>
          <w:color w:val="222222"/>
          <w:lang w:eastAsia="en-AU"/>
        </w:rPr>
      </w:pPr>
    </w:p>
    <w:p w14:paraId="2F50D2F9" w14:textId="3103EFD3" w:rsidR="00E0197D" w:rsidRPr="009A0DA6" w:rsidRDefault="00757ACA" w:rsidP="00E0197D">
      <w:pPr>
        <w:tabs>
          <w:tab w:val="left" w:pos="851"/>
          <w:tab w:val="left" w:pos="1985"/>
          <w:tab w:val="left" w:pos="3119"/>
          <w:tab w:val="left" w:pos="4536"/>
          <w:tab w:val="left" w:pos="5670"/>
        </w:tabs>
        <w:spacing w:after="0" w:line="240" w:lineRule="auto"/>
        <w:rPr>
          <w:rFonts w:ascii="Cambria" w:eastAsia="Times New Roman" w:hAnsi="Cambria" w:cs="Times New Roman"/>
          <w:lang w:eastAsia="en-AU"/>
        </w:rPr>
      </w:pPr>
      <w:r w:rsidRPr="009A0DA6">
        <w:rPr>
          <w:rFonts w:ascii="Cambria" w:eastAsia="Times New Roman" w:hAnsi="Cambria" w:cs="Times New Roman"/>
          <w:b/>
          <w:bCs/>
          <w:color w:val="222222"/>
          <w:lang w:eastAsia="en-AU"/>
        </w:rPr>
        <w:t>BE IT FURTHER RESOLVED</w:t>
      </w:r>
      <w:r w:rsidRPr="009A0DA6">
        <w:rPr>
          <w:rFonts w:ascii="Cambria" w:eastAsia="Times New Roman" w:hAnsi="Cambria" w:cs="Times New Roman"/>
          <w:bCs/>
          <w:color w:val="222222"/>
          <w:lang w:eastAsia="en-AU"/>
        </w:rPr>
        <w:t xml:space="preserve"> that </w:t>
      </w:r>
      <w:r w:rsidR="00E0197D" w:rsidRPr="009A0DA6">
        <w:rPr>
          <w:rFonts w:ascii="Cambria" w:eastAsia="Times New Roman" w:hAnsi="Cambria" w:cs="Times New Roman"/>
          <w:bCs/>
          <w:color w:val="222222"/>
          <w:lang w:eastAsia="en-AU"/>
        </w:rPr>
        <w:t>the new Terms of Reference for the Board for Finke River Mission be adopted, as follows:</w:t>
      </w:r>
    </w:p>
    <w:p w14:paraId="4ABA53ED" w14:textId="77777777" w:rsidR="00E0197D" w:rsidRPr="009A0DA6" w:rsidRDefault="00E0197D" w:rsidP="00E0197D">
      <w:pPr>
        <w:shd w:val="clear" w:color="auto" w:fill="FFFFFF"/>
        <w:spacing w:after="0" w:line="240" w:lineRule="auto"/>
        <w:rPr>
          <w:rFonts w:ascii="Cambria" w:eastAsia="Times New Roman" w:hAnsi="Cambria" w:cs="Times New Roman"/>
          <w:b/>
          <w:bCs/>
          <w:color w:val="222222"/>
          <w:lang w:eastAsia="en-AU"/>
        </w:rPr>
      </w:pPr>
    </w:p>
    <w:p w14:paraId="69329126" w14:textId="03D29C37" w:rsidR="00E0197D" w:rsidRPr="009A0DA6" w:rsidRDefault="00E0197D" w:rsidP="00E0197D">
      <w:pPr>
        <w:tabs>
          <w:tab w:val="left" w:pos="567"/>
          <w:tab w:val="left" w:pos="1418"/>
          <w:tab w:val="left" w:pos="2268"/>
          <w:tab w:val="left" w:pos="3119"/>
          <w:tab w:val="left" w:pos="3969"/>
        </w:tabs>
        <w:spacing w:after="0" w:line="240" w:lineRule="auto"/>
        <w:ind w:left="567" w:hanging="567"/>
        <w:jc w:val="center"/>
        <w:rPr>
          <w:rFonts w:ascii="Cambria" w:hAnsi="Cambria"/>
          <w:b/>
        </w:rPr>
      </w:pPr>
      <w:r w:rsidRPr="009A0DA6">
        <w:rPr>
          <w:rFonts w:ascii="Cambria" w:hAnsi="Cambria"/>
          <w:b/>
        </w:rPr>
        <w:t>BOARD FOR FINKE RIVER MISSION</w:t>
      </w:r>
    </w:p>
    <w:p w14:paraId="5089897D" w14:textId="77777777" w:rsidR="00E0197D" w:rsidRPr="009A0DA6" w:rsidRDefault="00E0197D" w:rsidP="00E0197D">
      <w:pPr>
        <w:tabs>
          <w:tab w:val="left" w:pos="567"/>
          <w:tab w:val="left" w:pos="1418"/>
          <w:tab w:val="left" w:pos="2268"/>
          <w:tab w:val="left" w:pos="3119"/>
          <w:tab w:val="left" w:pos="3969"/>
        </w:tabs>
        <w:spacing w:after="0" w:line="240" w:lineRule="auto"/>
        <w:ind w:left="567" w:hanging="567"/>
        <w:jc w:val="center"/>
        <w:rPr>
          <w:rFonts w:ascii="Cambria" w:hAnsi="Cambria"/>
          <w:b/>
        </w:rPr>
      </w:pPr>
      <w:r w:rsidRPr="009A0DA6">
        <w:rPr>
          <w:rFonts w:ascii="Cambria" w:hAnsi="Cambria"/>
          <w:b/>
        </w:rPr>
        <w:t>Terms of Reference</w:t>
      </w:r>
    </w:p>
    <w:p w14:paraId="476C6557" w14:textId="77777777" w:rsidR="00E0197D" w:rsidRPr="009A0DA6" w:rsidRDefault="00E0197D" w:rsidP="00E0197D">
      <w:pPr>
        <w:tabs>
          <w:tab w:val="left" w:pos="567"/>
          <w:tab w:val="left" w:pos="1418"/>
          <w:tab w:val="left" w:pos="2268"/>
          <w:tab w:val="left" w:pos="3119"/>
          <w:tab w:val="left" w:pos="3969"/>
        </w:tabs>
        <w:spacing w:after="0" w:line="240" w:lineRule="auto"/>
        <w:ind w:left="567" w:hanging="567"/>
        <w:jc w:val="center"/>
        <w:rPr>
          <w:rFonts w:ascii="Cambria" w:hAnsi="Cambria"/>
          <w:b/>
          <w:sz w:val="10"/>
        </w:rPr>
      </w:pPr>
    </w:p>
    <w:p w14:paraId="247887C9" w14:textId="77777777" w:rsidR="00E0197D" w:rsidRPr="009A0DA6" w:rsidRDefault="00E0197D" w:rsidP="00E0197D">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9A0DA6">
        <w:rPr>
          <w:rFonts w:ascii="Cambria" w:hAnsi="Cambria" w:cstheme="minorHAnsi"/>
          <w:b/>
        </w:rPr>
        <w:t>1.</w:t>
      </w:r>
      <w:r w:rsidRPr="009A0DA6">
        <w:rPr>
          <w:rFonts w:ascii="Cambria" w:hAnsi="Cambria" w:cstheme="minorHAnsi"/>
          <w:b/>
        </w:rPr>
        <w:tab/>
        <w:t xml:space="preserve">NAME </w:t>
      </w:r>
    </w:p>
    <w:p w14:paraId="3EFDE0F1" w14:textId="77777777" w:rsidR="00E0197D" w:rsidRPr="009A0DA6" w:rsidRDefault="00E0197D" w:rsidP="00E0197D">
      <w:pPr>
        <w:tabs>
          <w:tab w:val="left" w:pos="567"/>
          <w:tab w:val="left" w:pos="1418"/>
          <w:tab w:val="left" w:pos="2268"/>
          <w:tab w:val="left" w:pos="3119"/>
          <w:tab w:val="left" w:pos="3969"/>
        </w:tabs>
        <w:spacing w:after="0" w:line="240" w:lineRule="auto"/>
        <w:ind w:left="567" w:hanging="567"/>
        <w:rPr>
          <w:rFonts w:ascii="Cambria" w:hAnsi="Cambria" w:cstheme="minorHAnsi"/>
        </w:rPr>
      </w:pPr>
      <w:r w:rsidRPr="009A0DA6">
        <w:rPr>
          <w:rFonts w:ascii="Cambria" w:hAnsi="Cambria" w:cstheme="minorHAnsi"/>
        </w:rPr>
        <w:tab/>
        <w:t xml:space="preserve">Board for Finke River Mission, referred to as “the Board”. </w:t>
      </w:r>
    </w:p>
    <w:p w14:paraId="2CAB5CDC" w14:textId="3CB28A44" w:rsidR="00E0197D" w:rsidRPr="009A0DA6" w:rsidRDefault="00E0197D" w:rsidP="00E0197D">
      <w:pPr>
        <w:tabs>
          <w:tab w:val="left" w:pos="567"/>
          <w:tab w:val="left" w:pos="1418"/>
          <w:tab w:val="left" w:pos="2268"/>
          <w:tab w:val="left" w:pos="3119"/>
          <w:tab w:val="left" w:pos="3969"/>
        </w:tabs>
        <w:spacing w:after="0" w:line="240" w:lineRule="auto"/>
        <w:ind w:left="567" w:hanging="567"/>
        <w:rPr>
          <w:rFonts w:ascii="Cambria" w:hAnsi="Cambria" w:cstheme="minorHAnsi"/>
        </w:rPr>
      </w:pPr>
      <w:r w:rsidRPr="009A0DA6">
        <w:rPr>
          <w:rFonts w:ascii="Cambria" w:hAnsi="Cambria" w:cstheme="minorHAnsi"/>
        </w:rPr>
        <w:tab/>
      </w:r>
    </w:p>
    <w:p w14:paraId="286F158A" w14:textId="77777777" w:rsidR="002E45F0" w:rsidRPr="009A0DA6" w:rsidRDefault="002E45F0" w:rsidP="00E0197D">
      <w:pPr>
        <w:tabs>
          <w:tab w:val="left" w:pos="567"/>
          <w:tab w:val="left" w:pos="1418"/>
          <w:tab w:val="left" w:pos="2268"/>
          <w:tab w:val="left" w:pos="3119"/>
          <w:tab w:val="left" w:pos="3969"/>
        </w:tabs>
        <w:spacing w:after="0" w:line="240" w:lineRule="auto"/>
        <w:ind w:left="567" w:hanging="567"/>
        <w:rPr>
          <w:rFonts w:ascii="Cambria" w:hAnsi="Cambria" w:cstheme="minorHAnsi"/>
        </w:rPr>
      </w:pPr>
    </w:p>
    <w:p w14:paraId="45163F8F" w14:textId="48D1D03F" w:rsidR="00E0197D" w:rsidRPr="009A0DA6" w:rsidRDefault="00757ACA" w:rsidP="00E0197D">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9A0DA6">
        <w:rPr>
          <w:rFonts w:ascii="Cambria" w:hAnsi="Cambria" w:cstheme="minorHAnsi"/>
          <w:b/>
        </w:rPr>
        <w:t>2.</w:t>
      </w:r>
      <w:r w:rsidRPr="009A0DA6">
        <w:rPr>
          <w:rFonts w:ascii="Cambria" w:hAnsi="Cambria" w:cstheme="minorHAnsi"/>
          <w:b/>
        </w:rPr>
        <w:tab/>
        <w:t xml:space="preserve">RELATIONSHIP </w:t>
      </w:r>
      <w:r w:rsidR="00E0197D" w:rsidRPr="009A0DA6">
        <w:rPr>
          <w:rFonts w:ascii="Cambria" w:hAnsi="Cambria" w:cstheme="minorHAnsi"/>
          <w:b/>
        </w:rPr>
        <w:t>TO  THE  CHURCH</w:t>
      </w:r>
    </w:p>
    <w:p w14:paraId="01913069" w14:textId="77777777" w:rsidR="00E0197D" w:rsidRPr="009A0DA6" w:rsidRDefault="00E0197D" w:rsidP="00E0197D">
      <w:pPr>
        <w:tabs>
          <w:tab w:val="left" w:pos="567"/>
          <w:tab w:val="left" w:pos="1418"/>
          <w:tab w:val="left" w:pos="2268"/>
          <w:tab w:val="left" w:pos="3119"/>
          <w:tab w:val="left" w:pos="3969"/>
        </w:tabs>
        <w:spacing w:after="0" w:line="240" w:lineRule="auto"/>
        <w:ind w:left="567" w:hanging="567"/>
        <w:rPr>
          <w:rFonts w:ascii="Cambria" w:hAnsi="Cambria" w:cstheme="minorHAnsi"/>
        </w:rPr>
      </w:pPr>
      <w:r w:rsidRPr="009A0DA6">
        <w:rPr>
          <w:rFonts w:ascii="Cambria" w:hAnsi="Cambria" w:cstheme="minorHAnsi"/>
        </w:rPr>
        <w:t xml:space="preserve"> </w:t>
      </w:r>
      <w:r w:rsidRPr="009A0DA6">
        <w:rPr>
          <w:rFonts w:ascii="Cambria" w:hAnsi="Cambria" w:cstheme="minorHAnsi"/>
        </w:rPr>
        <w:tab/>
        <w:t>The Board is accountable to the Church through the General Church Board</w:t>
      </w:r>
      <w:r w:rsidRPr="009A0DA6">
        <w:rPr>
          <w:rFonts w:ascii="Cambria" w:hAnsi="Cambria"/>
        </w:rPr>
        <w:t xml:space="preserve"> </w:t>
      </w:r>
      <w:r w:rsidRPr="009A0DA6">
        <w:rPr>
          <w:rFonts w:ascii="Cambria" w:hAnsi="Cambria" w:cstheme="minorHAnsi"/>
        </w:rPr>
        <w:t xml:space="preserve">and shall fulfil its responsibilities in keeping with the Constitution and the policies of the Church. </w:t>
      </w:r>
    </w:p>
    <w:p w14:paraId="39FAEF5B" w14:textId="77777777" w:rsidR="00E0197D" w:rsidRPr="009A0DA6" w:rsidRDefault="00E0197D" w:rsidP="00E0197D">
      <w:pPr>
        <w:tabs>
          <w:tab w:val="left" w:pos="567"/>
          <w:tab w:val="left" w:pos="1418"/>
          <w:tab w:val="left" w:pos="2268"/>
          <w:tab w:val="left" w:pos="3119"/>
          <w:tab w:val="left" w:pos="3969"/>
        </w:tabs>
        <w:spacing w:after="0" w:line="240" w:lineRule="auto"/>
        <w:ind w:left="567" w:hanging="567"/>
        <w:rPr>
          <w:rFonts w:ascii="Cambria" w:hAnsi="Cambria" w:cstheme="minorHAnsi"/>
        </w:rPr>
      </w:pPr>
    </w:p>
    <w:p w14:paraId="6ABD4D46" w14:textId="77777777" w:rsidR="00E0197D" w:rsidRPr="009A0DA6" w:rsidRDefault="00E0197D" w:rsidP="00E0197D">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9A0DA6">
        <w:rPr>
          <w:rFonts w:ascii="Cambria" w:hAnsi="Cambria" w:cstheme="minorHAnsi"/>
          <w:b/>
        </w:rPr>
        <w:t>3.</w:t>
      </w:r>
      <w:r w:rsidRPr="009A0DA6">
        <w:rPr>
          <w:rFonts w:ascii="Cambria" w:hAnsi="Cambria" w:cstheme="minorHAnsi"/>
          <w:b/>
        </w:rPr>
        <w:tab/>
        <w:t>PURPOSE</w:t>
      </w:r>
    </w:p>
    <w:p w14:paraId="7B4A6C37" w14:textId="77777777" w:rsidR="00E0197D" w:rsidRPr="009A0DA6" w:rsidRDefault="00E0197D" w:rsidP="00E0197D">
      <w:pPr>
        <w:tabs>
          <w:tab w:val="left" w:pos="567"/>
          <w:tab w:val="left" w:pos="1418"/>
          <w:tab w:val="left" w:pos="2268"/>
          <w:tab w:val="left" w:pos="3119"/>
          <w:tab w:val="left" w:pos="3969"/>
        </w:tabs>
        <w:spacing w:after="0" w:line="240" w:lineRule="auto"/>
        <w:ind w:left="567" w:hanging="567"/>
        <w:rPr>
          <w:rFonts w:ascii="Cambria" w:hAnsi="Cambria" w:cstheme="minorHAnsi"/>
        </w:rPr>
      </w:pPr>
      <w:r w:rsidRPr="009A0DA6">
        <w:rPr>
          <w:rFonts w:ascii="Cambria" w:hAnsi="Cambria" w:cstheme="minorHAnsi"/>
        </w:rPr>
        <w:tab/>
        <w:t>The objects of the Board shall be to organise, supervise, and extend the work of preaching the Gospel of Christ to the Aborigines in central Australia, and to promote their general welfare.</w:t>
      </w:r>
    </w:p>
    <w:p w14:paraId="7126687F" w14:textId="35EF1E1C" w:rsidR="00E0197D" w:rsidRPr="009A0DA6" w:rsidRDefault="00D07614" w:rsidP="00E0197D">
      <w:pPr>
        <w:tabs>
          <w:tab w:val="left" w:pos="567"/>
          <w:tab w:val="left" w:pos="1418"/>
          <w:tab w:val="left" w:pos="2268"/>
          <w:tab w:val="left" w:pos="3119"/>
          <w:tab w:val="left" w:pos="3969"/>
        </w:tabs>
        <w:spacing w:after="0" w:line="240" w:lineRule="auto"/>
        <w:ind w:left="567" w:hanging="567"/>
        <w:rPr>
          <w:rFonts w:ascii="Cambria" w:hAnsi="Cambria" w:cstheme="minorHAnsi"/>
        </w:rPr>
      </w:pPr>
      <w:r>
        <w:rPr>
          <w:rFonts w:ascii="Cambria" w:hAnsi="Cambria" w:cstheme="minorHAnsi"/>
        </w:rPr>
        <w:lastRenderedPageBreak/>
        <w:br/>
      </w:r>
    </w:p>
    <w:p w14:paraId="6983CD57" w14:textId="77777777" w:rsidR="00E0197D" w:rsidRPr="009A0DA6" w:rsidRDefault="00E0197D" w:rsidP="00E0197D">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9A0DA6">
        <w:rPr>
          <w:rFonts w:ascii="Cambria" w:hAnsi="Cambria" w:cstheme="minorHAnsi"/>
          <w:b/>
        </w:rPr>
        <w:t>4.</w:t>
      </w:r>
      <w:r w:rsidRPr="009A0DA6">
        <w:rPr>
          <w:rFonts w:ascii="Cambria" w:hAnsi="Cambria" w:cstheme="minorHAnsi"/>
          <w:b/>
        </w:rPr>
        <w:tab/>
        <w:t>AUTHORITY</w:t>
      </w:r>
    </w:p>
    <w:p w14:paraId="00697088" w14:textId="77777777" w:rsidR="00E0197D" w:rsidRPr="009A0DA6" w:rsidRDefault="00E0197D" w:rsidP="00E0197D">
      <w:pPr>
        <w:tabs>
          <w:tab w:val="left" w:pos="567"/>
          <w:tab w:val="left" w:pos="1418"/>
          <w:tab w:val="left" w:pos="2268"/>
          <w:tab w:val="left" w:pos="3119"/>
          <w:tab w:val="left" w:pos="3969"/>
        </w:tabs>
        <w:spacing w:after="0" w:line="240" w:lineRule="auto"/>
        <w:ind w:left="567" w:hanging="567"/>
        <w:rPr>
          <w:rFonts w:ascii="Cambria" w:hAnsi="Cambria" w:cstheme="minorHAnsi"/>
        </w:rPr>
      </w:pPr>
      <w:r w:rsidRPr="009A0DA6">
        <w:rPr>
          <w:rFonts w:ascii="Cambria" w:hAnsi="Cambria" w:cstheme="minorHAnsi"/>
        </w:rPr>
        <w:tab/>
        <w:t xml:space="preserve">The Board has the authority to carry out its purpose and responsibilities which shall be exercised consistent with the Constitution and By-laws of the Church. </w:t>
      </w:r>
    </w:p>
    <w:p w14:paraId="680EB06D" w14:textId="77777777" w:rsidR="00E0197D" w:rsidRPr="009A0DA6" w:rsidRDefault="00E0197D" w:rsidP="00E0197D">
      <w:pPr>
        <w:tabs>
          <w:tab w:val="left" w:pos="567"/>
          <w:tab w:val="left" w:pos="1418"/>
          <w:tab w:val="left" w:pos="2268"/>
          <w:tab w:val="left" w:pos="3119"/>
          <w:tab w:val="left" w:pos="3969"/>
        </w:tabs>
        <w:spacing w:after="0" w:line="240" w:lineRule="auto"/>
        <w:ind w:left="567" w:hanging="567"/>
        <w:rPr>
          <w:rFonts w:ascii="Cambria" w:hAnsi="Cambria" w:cstheme="minorHAnsi"/>
        </w:rPr>
      </w:pPr>
    </w:p>
    <w:p w14:paraId="16932715" w14:textId="77777777" w:rsidR="00E0197D" w:rsidRPr="009A0DA6" w:rsidRDefault="00E0197D" w:rsidP="00E0197D">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9A0DA6">
        <w:rPr>
          <w:rFonts w:ascii="Cambria" w:hAnsi="Cambria" w:cstheme="minorHAnsi"/>
          <w:b/>
        </w:rPr>
        <w:t>5.</w:t>
      </w:r>
      <w:r w:rsidRPr="009A0DA6">
        <w:rPr>
          <w:rFonts w:ascii="Cambria" w:hAnsi="Cambria" w:cstheme="minorHAnsi"/>
          <w:b/>
        </w:rPr>
        <w:tab/>
        <w:t>MEMBERSHIP</w:t>
      </w:r>
    </w:p>
    <w:p w14:paraId="264F1E8E" w14:textId="77777777" w:rsidR="00E0197D" w:rsidRPr="009A0DA6" w:rsidRDefault="00E0197D" w:rsidP="00E0197D">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9A0DA6">
        <w:rPr>
          <w:rFonts w:ascii="Cambria" w:hAnsi="Cambria" w:cstheme="minorHAnsi"/>
        </w:rPr>
        <w:tab/>
        <w:t>5.1</w:t>
      </w:r>
      <w:r w:rsidRPr="009A0DA6">
        <w:rPr>
          <w:rFonts w:ascii="Cambria" w:hAnsi="Cambria" w:cstheme="minorHAnsi"/>
        </w:rPr>
        <w:tab/>
        <w:t xml:space="preserve">The Board shall consist of seven [7] members: </w:t>
      </w:r>
    </w:p>
    <w:p w14:paraId="445403D4" w14:textId="4678C3F6" w:rsidR="00E0197D" w:rsidRPr="009A0DA6" w:rsidRDefault="002E45F0" w:rsidP="00E0197D">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9A0DA6">
        <w:rPr>
          <w:rFonts w:ascii="Cambria" w:hAnsi="Cambria" w:cstheme="minorHAnsi"/>
        </w:rPr>
        <w:tab/>
      </w:r>
      <w:r w:rsidRPr="009A0DA6">
        <w:rPr>
          <w:rFonts w:ascii="Cambria" w:hAnsi="Cambria" w:cstheme="minorHAnsi"/>
        </w:rPr>
        <w:tab/>
        <w:t>5.1.1</w:t>
      </w:r>
      <w:r w:rsidRPr="009A0DA6">
        <w:rPr>
          <w:rFonts w:ascii="Cambria" w:hAnsi="Cambria" w:cstheme="minorHAnsi"/>
        </w:rPr>
        <w:tab/>
        <w:t>two [2] pastors;</w:t>
      </w:r>
      <w:r w:rsidR="00E0197D" w:rsidRPr="009A0DA6">
        <w:rPr>
          <w:rFonts w:ascii="Cambria" w:hAnsi="Cambria" w:cstheme="minorHAnsi"/>
        </w:rPr>
        <w:t xml:space="preserve"> and </w:t>
      </w:r>
    </w:p>
    <w:p w14:paraId="6623B87A" w14:textId="77777777" w:rsidR="00E0197D" w:rsidRPr="009A0DA6" w:rsidRDefault="00E0197D" w:rsidP="00E0197D">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9A0DA6">
        <w:rPr>
          <w:rFonts w:ascii="Cambria" w:hAnsi="Cambria" w:cstheme="minorHAnsi"/>
        </w:rPr>
        <w:tab/>
      </w:r>
      <w:r w:rsidRPr="009A0DA6">
        <w:rPr>
          <w:rFonts w:ascii="Cambria" w:hAnsi="Cambria" w:cstheme="minorHAnsi"/>
        </w:rPr>
        <w:tab/>
        <w:t>5.1.2</w:t>
      </w:r>
      <w:r w:rsidRPr="009A0DA6">
        <w:rPr>
          <w:rFonts w:ascii="Cambria" w:hAnsi="Cambria" w:cstheme="minorHAnsi"/>
        </w:rPr>
        <w:tab/>
        <w:t>five [5] lay members of the congregations of the Church.</w:t>
      </w:r>
    </w:p>
    <w:p w14:paraId="0368FFB5" w14:textId="77777777" w:rsidR="00E0197D" w:rsidRPr="009A0DA6" w:rsidRDefault="00E0197D" w:rsidP="00E0197D">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9A0DA6">
        <w:rPr>
          <w:rFonts w:ascii="Cambria" w:hAnsi="Cambria" w:cstheme="minorHAnsi"/>
        </w:rPr>
        <w:tab/>
        <w:t>5.2</w:t>
      </w:r>
      <w:r w:rsidRPr="009A0DA6">
        <w:rPr>
          <w:rFonts w:ascii="Cambria" w:hAnsi="Cambria" w:cstheme="minorHAnsi"/>
        </w:rPr>
        <w:tab/>
        <w:t xml:space="preserve">The pastors and lay members shall be appointed by the General Church Board on recommendations from the Standing Committee on Nominations. </w:t>
      </w:r>
    </w:p>
    <w:p w14:paraId="6E267EFE" w14:textId="77777777" w:rsidR="00E0197D" w:rsidRPr="009A0DA6" w:rsidRDefault="00E0197D" w:rsidP="00E0197D">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9A0DA6">
        <w:rPr>
          <w:rFonts w:ascii="Cambria" w:hAnsi="Cambria" w:cstheme="minorHAnsi"/>
        </w:rPr>
        <w:tab/>
        <w:t>5.3</w:t>
      </w:r>
      <w:r w:rsidRPr="009A0DA6">
        <w:rPr>
          <w:rFonts w:ascii="Cambria" w:hAnsi="Cambria" w:cstheme="minorHAnsi"/>
        </w:rPr>
        <w:tab/>
        <w:t>The Chairperson shall be appointed by the General Church Board.</w:t>
      </w:r>
    </w:p>
    <w:p w14:paraId="55E2D7F9" w14:textId="77777777" w:rsidR="00E0197D" w:rsidRPr="009A0DA6" w:rsidRDefault="00E0197D" w:rsidP="00E0197D">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9A0DA6">
        <w:rPr>
          <w:rFonts w:ascii="Cambria" w:hAnsi="Cambria" w:cstheme="minorHAnsi"/>
        </w:rPr>
        <w:tab/>
        <w:t>5.4</w:t>
      </w:r>
      <w:r w:rsidRPr="009A0DA6">
        <w:rPr>
          <w:rFonts w:ascii="Cambria" w:hAnsi="Cambria" w:cstheme="minorHAnsi"/>
        </w:rPr>
        <w:tab/>
        <w:t xml:space="preserve">The Board membership shall consist of people with a passion for mission and ministry and have the relevant skills, qualifications and experience in one or more of the following areas: </w:t>
      </w:r>
    </w:p>
    <w:p w14:paraId="7A84557A" w14:textId="77777777" w:rsidR="00E0197D" w:rsidRPr="009A0DA6" w:rsidRDefault="00E0197D" w:rsidP="00E0197D">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9A0DA6">
        <w:rPr>
          <w:rFonts w:ascii="Cambria" w:hAnsi="Cambria" w:cstheme="minorHAnsi"/>
        </w:rPr>
        <w:tab/>
      </w:r>
      <w:r w:rsidRPr="009A0DA6">
        <w:rPr>
          <w:rFonts w:ascii="Cambria" w:hAnsi="Cambria" w:cstheme="minorHAnsi"/>
        </w:rPr>
        <w:tab/>
        <w:t>5.4.1</w:t>
      </w:r>
      <w:r w:rsidRPr="009A0DA6">
        <w:rPr>
          <w:rFonts w:ascii="Cambria" w:hAnsi="Cambria" w:cstheme="minorHAnsi"/>
        </w:rPr>
        <w:tab/>
        <w:t xml:space="preserve">an understanding of the Church and its teaching; </w:t>
      </w:r>
    </w:p>
    <w:p w14:paraId="41D02A59" w14:textId="77777777" w:rsidR="00E0197D" w:rsidRPr="009A0DA6" w:rsidRDefault="00E0197D" w:rsidP="00E0197D">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9A0DA6">
        <w:rPr>
          <w:rFonts w:ascii="Cambria" w:hAnsi="Cambria" w:cstheme="minorHAnsi"/>
        </w:rPr>
        <w:tab/>
      </w:r>
      <w:r w:rsidRPr="009A0DA6">
        <w:rPr>
          <w:rFonts w:ascii="Cambria" w:hAnsi="Cambria" w:cstheme="minorHAnsi"/>
        </w:rPr>
        <w:tab/>
        <w:t>5.4.2</w:t>
      </w:r>
      <w:r w:rsidRPr="009A0DA6">
        <w:rPr>
          <w:rFonts w:ascii="Cambria" w:hAnsi="Cambria" w:cstheme="minorHAnsi"/>
        </w:rPr>
        <w:tab/>
        <w:t xml:space="preserve">an understanding of bilingual and cross-cultural issues; </w:t>
      </w:r>
    </w:p>
    <w:p w14:paraId="69F56A14" w14:textId="77777777" w:rsidR="00E0197D" w:rsidRPr="009A0DA6" w:rsidRDefault="00E0197D" w:rsidP="00E0197D">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9A0DA6">
        <w:rPr>
          <w:rFonts w:ascii="Cambria" w:hAnsi="Cambria" w:cstheme="minorHAnsi"/>
        </w:rPr>
        <w:tab/>
      </w:r>
      <w:r w:rsidRPr="009A0DA6">
        <w:rPr>
          <w:rFonts w:ascii="Cambria" w:hAnsi="Cambria" w:cstheme="minorHAnsi"/>
        </w:rPr>
        <w:tab/>
        <w:t>5.4.3</w:t>
      </w:r>
      <w:r w:rsidRPr="009A0DA6">
        <w:rPr>
          <w:rFonts w:ascii="Cambria" w:hAnsi="Cambria" w:cstheme="minorHAnsi"/>
        </w:rPr>
        <w:tab/>
        <w:t xml:space="preserve">experience in strategic planning; </w:t>
      </w:r>
    </w:p>
    <w:p w14:paraId="06F361A1" w14:textId="59C27A25" w:rsidR="00E0197D" w:rsidRPr="009A0DA6" w:rsidRDefault="00E0197D" w:rsidP="00E0197D">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9A0DA6">
        <w:rPr>
          <w:rFonts w:ascii="Cambria" w:hAnsi="Cambria" w:cstheme="minorHAnsi"/>
        </w:rPr>
        <w:tab/>
      </w:r>
      <w:r w:rsidRPr="009A0DA6">
        <w:rPr>
          <w:rFonts w:ascii="Cambria" w:hAnsi="Cambria" w:cstheme="minorHAnsi"/>
        </w:rPr>
        <w:tab/>
        <w:t>5.4.4</w:t>
      </w:r>
      <w:r w:rsidRPr="009A0DA6">
        <w:rPr>
          <w:rFonts w:ascii="Cambria" w:hAnsi="Cambria" w:cstheme="minorHAnsi"/>
        </w:rPr>
        <w:tab/>
        <w:t>ability</w:t>
      </w:r>
      <w:r w:rsidR="002E45F0" w:rsidRPr="009A0DA6">
        <w:rPr>
          <w:rFonts w:ascii="Cambria" w:hAnsi="Cambria" w:cstheme="minorHAnsi"/>
        </w:rPr>
        <w:t xml:space="preserve"> to challenge and be practical;</w:t>
      </w:r>
      <w:r w:rsidRPr="009A0DA6">
        <w:rPr>
          <w:rFonts w:ascii="Cambria" w:hAnsi="Cambria" w:cstheme="minorHAnsi"/>
        </w:rPr>
        <w:t xml:space="preserve"> and </w:t>
      </w:r>
    </w:p>
    <w:p w14:paraId="41F5013B" w14:textId="77777777" w:rsidR="00E0197D" w:rsidRPr="009A0DA6" w:rsidRDefault="00E0197D" w:rsidP="00E0197D">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9A0DA6">
        <w:rPr>
          <w:rFonts w:ascii="Cambria" w:hAnsi="Cambria" w:cstheme="minorHAnsi"/>
        </w:rPr>
        <w:tab/>
      </w:r>
      <w:r w:rsidRPr="009A0DA6">
        <w:rPr>
          <w:rFonts w:ascii="Cambria" w:hAnsi="Cambria" w:cstheme="minorHAnsi"/>
        </w:rPr>
        <w:tab/>
        <w:t>5.4.5</w:t>
      </w:r>
      <w:r w:rsidRPr="009A0DA6">
        <w:rPr>
          <w:rFonts w:ascii="Cambria" w:hAnsi="Cambria" w:cstheme="minorHAnsi"/>
        </w:rPr>
        <w:tab/>
        <w:t xml:space="preserve">listening and decision-making skills. </w:t>
      </w:r>
    </w:p>
    <w:p w14:paraId="6F3D008F" w14:textId="77777777" w:rsidR="00E0197D" w:rsidRPr="009A0DA6" w:rsidRDefault="00E0197D" w:rsidP="00E0197D">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9A0DA6">
        <w:rPr>
          <w:rFonts w:ascii="Cambria" w:hAnsi="Cambria" w:cstheme="minorHAnsi"/>
        </w:rPr>
        <w:tab/>
        <w:t>5.5</w:t>
      </w:r>
      <w:r w:rsidRPr="009A0DA6">
        <w:rPr>
          <w:rFonts w:ascii="Cambria" w:hAnsi="Cambria" w:cstheme="minorHAnsi"/>
        </w:rPr>
        <w:tab/>
        <w:t>The membership of the Board shall aim to include a mix of background and perspectives which, together with the relevant skills, qualifications and experience, will enable it to fulfil its role effectively.</w:t>
      </w:r>
    </w:p>
    <w:p w14:paraId="124B5CC5" w14:textId="77777777" w:rsidR="00E0197D" w:rsidRPr="009A0DA6" w:rsidRDefault="00E0197D" w:rsidP="00E0197D">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9A0DA6">
        <w:rPr>
          <w:rFonts w:ascii="Cambria" w:hAnsi="Cambria" w:cstheme="minorHAnsi"/>
        </w:rPr>
        <w:tab/>
        <w:t>5.6</w:t>
      </w:r>
      <w:r w:rsidRPr="009A0DA6">
        <w:rPr>
          <w:rFonts w:ascii="Cambria" w:hAnsi="Cambria" w:cstheme="minorHAnsi"/>
        </w:rPr>
        <w:tab/>
        <w:t>A wide range of other persons involved in or interested in the organisation, its program and clients may be invited as consultants to bring their knowledge and experience to the meeting to assist in the deliberations of the Board.</w:t>
      </w:r>
    </w:p>
    <w:p w14:paraId="7032BDEA" w14:textId="77777777" w:rsidR="00E0197D" w:rsidRPr="009A0DA6" w:rsidRDefault="00E0197D" w:rsidP="00E0197D">
      <w:pPr>
        <w:tabs>
          <w:tab w:val="left" w:pos="567"/>
          <w:tab w:val="left" w:pos="1418"/>
          <w:tab w:val="left" w:pos="2268"/>
          <w:tab w:val="left" w:pos="3119"/>
          <w:tab w:val="left" w:pos="3969"/>
        </w:tabs>
        <w:spacing w:after="0" w:line="240" w:lineRule="auto"/>
        <w:ind w:left="567" w:hanging="567"/>
        <w:rPr>
          <w:rFonts w:ascii="Cambria" w:hAnsi="Cambria" w:cstheme="minorHAnsi"/>
          <w:b/>
        </w:rPr>
      </w:pPr>
    </w:p>
    <w:p w14:paraId="65ACBDBB" w14:textId="77777777" w:rsidR="00E0197D" w:rsidRPr="009A0DA6" w:rsidRDefault="00E0197D" w:rsidP="00E0197D">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9A0DA6">
        <w:rPr>
          <w:rFonts w:ascii="Cambria" w:hAnsi="Cambria" w:cstheme="minorHAnsi"/>
          <w:b/>
        </w:rPr>
        <w:t>6.</w:t>
      </w:r>
      <w:r w:rsidRPr="009A0DA6">
        <w:rPr>
          <w:rFonts w:ascii="Cambria" w:hAnsi="Cambria" w:cstheme="minorHAnsi"/>
          <w:b/>
        </w:rPr>
        <w:tab/>
        <w:t>MEETING ARRANGEMENTS AND REPORTING</w:t>
      </w:r>
    </w:p>
    <w:p w14:paraId="2EF7955D" w14:textId="0B4CD3D7" w:rsidR="00E0197D" w:rsidRPr="009A0DA6" w:rsidRDefault="00E0197D" w:rsidP="00E0197D">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9A0DA6">
        <w:rPr>
          <w:rFonts w:ascii="Cambria" w:hAnsi="Cambria" w:cstheme="minorHAnsi"/>
        </w:rPr>
        <w:tab/>
        <w:t>6.1</w:t>
      </w:r>
      <w:r w:rsidRPr="009A0DA6">
        <w:rPr>
          <w:rFonts w:ascii="Cambria" w:hAnsi="Cambria" w:cstheme="minorHAnsi"/>
        </w:rPr>
        <w:tab/>
        <w:t>Regular meetings of the Board shall be held at least once a year</w:t>
      </w:r>
      <w:r w:rsidR="0027799A" w:rsidRPr="009A0DA6">
        <w:rPr>
          <w:rFonts w:ascii="Cambria" w:hAnsi="Cambria" w:cstheme="minorHAnsi"/>
        </w:rPr>
        <w:t xml:space="preserve">. </w:t>
      </w:r>
    </w:p>
    <w:p w14:paraId="6B29CFDF" w14:textId="28471D20" w:rsidR="00E0197D" w:rsidRPr="009A0DA6" w:rsidRDefault="00E0197D" w:rsidP="00E0197D">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9A0DA6">
        <w:rPr>
          <w:rFonts w:ascii="Cambria" w:hAnsi="Cambria" w:cstheme="minorHAnsi"/>
        </w:rPr>
        <w:tab/>
        <w:t>6.2</w:t>
      </w:r>
      <w:r w:rsidRPr="009A0DA6">
        <w:rPr>
          <w:rFonts w:ascii="Cambria" w:hAnsi="Cambria" w:cstheme="minorHAnsi"/>
        </w:rPr>
        <w:tab/>
        <w:t>Meetings shall be convened by the Chairperson</w:t>
      </w:r>
      <w:r w:rsidR="0027799A" w:rsidRPr="009A0DA6">
        <w:rPr>
          <w:rFonts w:ascii="Cambria" w:hAnsi="Cambria" w:cstheme="minorHAnsi"/>
        </w:rPr>
        <w:t xml:space="preserve">. </w:t>
      </w:r>
    </w:p>
    <w:p w14:paraId="3E189BF7" w14:textId="77777777" w:rsidR="00E0197D" w:rsidRPr="009A0DA6" w:rsidRDefault="00E0197D" w:rsidP="00E0197D">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9A0DA6">
        <w:rPr>
          <w:rFonts w:ascii="Cambria" w:hAnsi="Cambria" w:cstheme="minorHAnsi"/>
        </w:rPr>
        <w:tab/>
        <w:t>6.3</w:t>
      </w:r>
      <w:r w:rsidRPr="009A0DA6">
        <w:rPr>
          <w:rFonts w:ascii="Cambria" w:hAnsi="Cambria" w:cstheme="minorHAnsi"/>
        </w:rPr>
        <w:tab/>
        <w:t>It is at the discretion of the Board to meet face-to-face, by electronic means, or by other means of communication.</w:t>
      </w:r>
    </w:p>
    <w:p w14:paraId="5124399B" w14:textId="77777777" w:rsidR="00E0197D" w:rsidRPr="009A0DA6" w:rsidRDefault="00E0197D" w:rsidP="00E0197D">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9A0DA6">
        <w:rPr>
          <w:rFonts w:ascii="Cambria" w:hAnsi="Cambria" w:cstheme="minorHAnsi"/>
        </w:rPr>
        <w:tab/>
        <w:t>6.4</w:t>
      </w:r>
      <w:r w:rsidRPr="009A0DA6">
        <w:rPr>
          <w:rFonts w:ascii="Cambria" w:hAnsi="Cambria" w:cstheme="minorHAnsi"/>
        </w:rPr>
        <w:tab/>
        <w:t>Email correspondence may be used for the distribution of minutes, advisory information or approval of documentation.</w:t>
      </w:r>
    </w:p>
    <w:p w14:paraId="75C2D835" w14:textId="77777777" w:rsidR="00E0197D" w:rsidRPr="009A0DA6" w:rsidRDefault="00E0197D" w:rsidP="00E0197D">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9A0DA6">
        <w:rPr>
          <w:rFonts w:ascii="Cambria" w:hAnsi="Cambria" w:cstheme="minorHAnsi"/>
        </w:rPr>
        <w:tab/>
        <w:t>6.5</w:t>
      </w:r>
      <w:r w:rsidRPr="009A0DA6">
        <w:rPr>
          <w:rFonts w:ascii="Cambria" w:hAnsi="Cambria" w:cstheme="minorHAnsi"/>
        </w:rPr>
        <w:tab/>
        <w:t>The minutes of the meetings of the Board shall be submitted to the General Church Board.</w:t>
      </w:r>
    </w:p>
    <w:p w14:paraId="4EED4E7B" w14:textId="77777777" w:rsidR="00E0197D" w:rsidRPr="009A0DA6" w:rsidRDefault="00E0197D" w:rsidP="00E0197D">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9A0DA6">
        <w:rPr>
          <w:rFonts w:ascii="Cambria" w:hAnsi="Cambria" w:cstheme="minorHAnsi"/>
        </w:rPr>
        <w:tab/>
        <w:t>6.6</w:t>
      </w:r>
      <w:r w:rsidRPr="009A0DA6">
        <w:rPr>
          <w:rFonts w:ascii="Cambria" w:hAnsi="Cambria" w:cstheme="minorHAnsi"/>
        </w:rPr>
        <w:tab/>
        <w:t>An annual report of the activities of the Board and any subsidiary bodies shall be submitted to the General Church Board.</w:t>
      </w:r>
      <w:r w:rsidRPr="009A0DA6">
        <w:rPr>
          <w:rFonts w:ascii="Cambria" w:hAnsi="Cambria" w:cstheme="minorHAnsi"/>
        </w:rPr>
        <w:tab/>
      </w:r>
      <w:r w:rsidRPr="009A0DA6">
        <w:rPr>
          <w:rFonts w:ascii="Cambria" w:hAnsi="Cambria" w:cstheme="minorHAnsi"/>
        </w:rPr>
        <w:tab/>
      </w:r>
    </w:p>
    <w:p w14:paraId="00E8ADD0" w14:textId="77777777" w:rsidR="00E0197D" w:rsidRPr="009A0DA6" w:rsidRDefault="00E0197D" w:rsidP="00E0197D">
      <w:pPr>
        <w:tabs>
          <w:tab w:val="left" w:pos="567"/>
          <w:tab w:val="left" w:pos="1418"/>
          <w:tab w:val="left" w:pos="2268"/>
          <w:tab w:val="left" w:pos="3119"/>
          <w:tab w:val="left" w:pos="3969"/>
        </w:tabs>
        <w:spacing w:after="0" w:line="240" w:lineRule="auto"/>
        <w:ind w:left="567" w:hanging="567"/>
        <w:rPr>
          <w:rFonts w:ascii="Cambria" w:hAnsi="Cambria" w:cstheme="minorHAnsi"/>
        </w:rPr>
      </w:pPr>
    </w:p>
    <w:p w14:paraId="7960B1F7" w14:textId="77777777" w:rsidR="00E0197D" w:rsidRPr="009A0DA6" w:rsidRDefault="00E0197D" w:rsidP="00E0197D">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9A0DA6">
        <w:rPr>
          <w:rFonts w:ascii="Cambria" w:hAnsi="Cambria" w:cstheme="minorHAnsi"/>
          <w:b/>
        </w:rPr>
        <w:t>7.</w:t>
      </w:r>
      <w:r w:rsidRPr="009A0DA6">
        <w:rPr>
          <w:rFonts w:ascii="Cambria" w:hAnsi="Cambria" w:cstheme="minorHAnsi"/>
          <w:b/>
        </w:rPr>
        <w:tab/>
        <w:t>RESPONSIBILITIES</w:t>
      </w:r>
    </w:p>
    <w:p w14:paraId="0D9853C9" w14:textId="77777777" w:rsidR="00E0197D" w:rsidRPr="009A0DA6" w:rsidRDefault="00E0197D" w:rsidP="00E0197D">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9A0DA6">
        <w:rPr>
          <w:rFonts w:ascii="Cambria" w:hAnsi="Cambria" w:cstheme="minorHAnsi"/>
        </w:rPr>
        <w:tab/>
        <w:t>7.1</w:t>
      </w:r>
      <w:r w:rsidRPr="009A0DA6">
        <w:rPr>
          <w:rFonts w:ascii="Cambria" w:hAnsi="Cambria" w:cstheme="minorHAnsi"/>
        </w:rPr>
        <w:tab/>
        <w:t xml:space="preserve">The Board shall </w:t>
      </w:r>
    </w:p>
    <w:p w14:paraId="27D2F933" w14:textId="77777777" w:rsidR="00E0197D" w:rsidRPr="009A0DA6" w:rsidRDefault="00E0197D" w:rsidP="00E0197D">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9A0DA6">
        <w:rPr>
          <w:rFonts w:ascii="Cambria" w:hAnsi="Cambria" w:cstheme="minorHAnsi"/>
        </w:rPr>
        <w:tab/>
      </w:r>
      <w:r w:rsidRPr="009A0DA6">
        <w:rPr>
          <w:rFonts w:ascii="Cambria" w:hAnsi="Cambria" w:cstheme="minorHAnsi"/>
        </w:rPr>
        <w:tab/>
        <w:t>7.1.1</w:t>
      </w:r>
      <w:r w:rsidRPr="009A0DA6">
        <w:rPr>
          <w:rFonts w:ascii="Cambria" w:hAnsi="Cambria" w:cstheme="minorHAnsi"/>
        </w:rPr>
        <w:tab/>
        <w:t>administer the affairs of Aboriginal mission in central Australia in accordance with the policies of the Church;</w:t>
      </w:r>
    </w:p>
    <w:p w14:paraId="63AECF53" w14:textId="77777777" w:rsidR="00E0197D" w:rsidRPr="009A0DA6" w:rsidRDefault="00E0197D" w:rsidP="00E0197D">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9A0DA6">
        <w:rPr>
          <w:rFonts w:ascii="Cambria" w:hAnsi="Cambria" w:cstheme="minorHAnsi"/>
        </w:rPr>
        <w:tab/>
      </w:r>
      <w:r w:rsidRPr="009A0DA6">
        <w:rPr>
          <w:rFonts w:ascii="Cambria" w:hAnsi="Cambria" w:cstheme="minorHAnsi"/>
        </w:rPr>
        <w:tab/>
        <w:t>7.1.2</w:t>
      </w:r>
      <w:r w:rsidRPr="009A0DA6">
        <w:rPr>
          <w:rFonts w:ascii="Cambria" w:hAnsi="Cambria" w:cstheme="minorHAnsi"/>
        </w:rPr>
        <w:tab/>
        <w:t xml:space="preserve">call and appoint pastors in consultation with the Bishop of the Church;  </w:t>
      </w:r>
    </w:p>
    <w:p w14:paraId="44548D07" w14:textId="77777777" w:rsidR="00E0197D" w:rsidRPr="009A0DA6" w:rsidRDefault="00E0197D" w:rsidP="00E0197D">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9A0DA6">
        <w:rPr>
          <w:rFonts w:ascii="Cambria" w:hAnsi="Cambria" w:cstheme="minorHAnsi"/>
        </w:rPr>
        <w:tab/>
      </w:r>
      <w:r w:rsidRPr="009A0DA6">
        <w:rPr>
          <w:rFonts w:ascii="Cambria" w:hAnsi="Cambria" w:cstheme="minorHAnsi"/>
        </w:rPr>
        <w:tab/>
        <w:t>7.1.3</w:t>
      </w:r>
      <w:r w:rsidRPr="009A0DA6">
        <w:rPr>
          <w:rFonts w:ascii="Cambria" w:hAnsi="Cambria" w:cstheme="minorHAnsi"/>
        </w:rPr>
        <w:tab/>
        <w:t xml:space="preserve">appoint church workers and other staff members as required, in consultation with any relevant board of the Church;  </w:t>
      </w:r>
    </w:p>
    <w:p w14:paraId="7AB31244" w14:textId="77777777" w:rsidR="00E0197D" w:rsidRPr="009A0DA6" w:rsidRDefault="00E0197D" w:rsidP="00E0197D">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9A0DA6">
        <w:rPr>
          <w:rFonts w:ascii="Cambria" w:hAnsi="Cambria" w:cstheme="minorHAnsi"/>
        </w:rPr>
        <w:tab/>
      </w:r>
      <w:r w:rsidRPr="009A0DA6">
        <w:rPr>
          <w:rFonts w:ascii="Cambria" w:hAnsi="Cambria" w:cstheme="minorHAnsi"/>
        </w:rPr>
        <w:tab/>
        <w:t>7.1.4</w:t>
      </w:r>
      <w:r w:rsidRPr="009A0DA6">
        <w:rPr>
          <w:rFonts w:ascii="Cambria" w:hAnsi="Cambria" w:cstheme="minorHAnsi"/>
        </w:rPr>
        <w:tab/>
        <w:t>engage casual or contract labour;</w:t>
      </w:r>
    </w:p>
    <w:p w14:paraId="42D0BAE8" w14:textId="77777777" w:rsidR="00E0197D" w:rsidRPr="009A0DA6" w:rsidRDefault="00E0197D" w:rsidP="00E0197D">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9A0DA6">
        <w:rPr>
          <w:rFonts w:ascii="Cambria" w:hAnsi="Cambria" w:cstheme="minorHAnsi"/>
        </w:rPr>
        <w:tab/>
      </w:r>
      <w:r w:rsidRPr="009A0DA6">
        <w:rPr>
          <w:rFonts w:ascii="Cambria" w:hAnsi="Cambria" w:cstheme="minorHAnsi"/>
        </w:rPr>
        <w:tab/>
        <w:t>7.1.3</w:t>
      </w:r>
      <w:r w:rsidRPr="009A0DA6">
        <w:rPr>
          <w:rFonts w:ascii="Cambria" w:hAnsi="Cambria" w:cstheme="minorHAnsi"/>
        </w:rPr>
        <w:tab/>
        <w:t>ensure the provision of spiritual support to the pastors under the spiritual oversight of the Bishop of the South Australia and Northern Territory District;</w:t>
      </w:r>
    </w:p>
    <w:p w14:paraId="5C9F2807" w14:textId="77777777" w:rsidR="00E0197D" w:rsidRPr="009A0DA6" w:rsidRDefault="00E0197D" w:rsidP="00E0197D">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9A0DA6">
        <w:rPr>
          <w:rFonts w:ascii="Cambria" w:hAnsi="Cambria" w:cstheme="minorHAnsi"/>
        </w:rPr>
        <w:tab/>
      </w:r>
      <w:r w:rsidRPr="009A0DA6">
        <w:rPr>
          <w:rFonts w:ascii="Cambria" w:hAnsi="Cambria" w:cstheme="minorHAnsi"/>
        </w:rPr>
        <w:tab/>
        <w:t>7.1.4</w:t>
      </w:r>
      <w:r w:rsidRPr="009A0DA6">
        <w:rPr>
          <w:rFonts w:ascii="Cambria" w:hAnsi="Cambria" w:cstheme="minorHAnsi"/>
        </w:rPr>
        <w:tab/>
        <w:t>arrange for regular field visits;</w:t>
      </w:r>
    </w:p>
    <w:p w14:paraId="60CF74E6" w14:textId="77777777" w:rsidR="00E0197D" w:rsidRPr="009A0DA6" w:rsidRDefault="00E0197D" w:rsidP="00E0197D">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9A0DA6">
        <w:rPr>
          <w:rFonts w:ascii="Cambria" w:hAnsi="Cambria" w:cstheme="minorHAnsi"/>
        </w:rPr>
        <w:tab/>
      </w:r>
      <w:r w:rsidRPr="009A0DA6">
        <w:rPr>
          <w:rFonts w:ascii="Cambria" w:hAnsi="Cambria" w:cstheme="minorHAnsi"/>
        </w:rPr>
        <w:tab/>
        <w:t>7.1.5</w:t>
      </w:r>
      <w:r w:rsidRPr="009A0DA6">
        <w:rPr>
          <w:rFonts w:ascii="Cambria" w:hAnsi="Cambria" w:cstheme="minorHAnsi"/>
        </w:rPr>
        <w:tab/>
        <w:t>supervise and administer property entrusted to its care;</w:t>
      </w:r>
    </w:p>
    <w:p w14:paraId="11C48C06" w14:textId="77777777" w:rsidR="00E0197D" w:rsidRPr="009A0DA6" w:rsidRDefault="00E0197D" w:rsidP="00E0197D">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9A0DA6">
        <w:rPr>
          <w:rFonts w:ascii="Cambria" w:hAnsi="Cambria" w:cstheme="minorHAnsi"/>
        </w:rPr>
        <w:lastRenderedPageBreak/>
        <w:tab/>
      </w:r>
      <w:r w:rsidRPr="009A0DA6">
        <w:rPr>
          <w:rFonts w:ascii="Cambria" w:hAnsi="Cambria" w:cstheme="minorHAnsi"/>
        </w:rPr>
        <w:tab/>
        <w:t>7.1.6</w:t>
      </w:r>
      <w:r w:rsidRPr="009A0DA6">
        <w:rPr>
          <w:rFonts w:ascii="Cambria" w:hAnsi="Cambria" w:cstheme="minorHAnsi"/>
        </w:rPr>
        <w:tab/>
        <w:t>encourage pastors and congregations within the geographical area of Central Australia to take an interest in the spiritual and general welfare of Aboriginals living in their area;</w:t>
      </w:r>
    </w:p>
    <w:p w14:paraId="3C3C8E4F" w14:textId="77777777" w:rsidR="00E0197D" w:rsidRPr="009A0DA6" w:rsidRDefault="00E0197D" w:rsidP="00E0197D">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9A0DA6">
        <w:rPr>
          <w:rFonts w:ascii="Cambria" w:hAnsi="Cambria" w:cstheme="minorHAnsi"/>
        </w:rPr>
        <w:tab/>
      </w:r>
      <w:r w:rsidRPr="009A0DA6">
        <w:rPr>
          <w:rFonts w:ascii="Cambria" w:hAnsi="Cambria" w:cstheme="minorHAnsi"/>
        </w:rPr>
        <w:tab/>
        <w:t>7.1.7</w:t>
      </w:r>
      <w:r w:rsidRPr="009A0DA6">
        <w:rPr>
          <w:rFonts w:ascii="Cambria" w:hAnsi="Cambria" w:cstheme="minorHAnsi"/>
        </w:rPr>
        <w:tab/>
        <w:t>maintain liaison with other boards engaged in Aboriginal mission in matters of common concern;</w:t>
      </w:r>
    </w:p>
    <w:p w14:paraId="7A2C3527" w14:textId="77777777" w:rsidR="00E0197D" w:rsidRPr="009A0DA6" w:rsidRDefault="00E0197D" w:rsidP="00E0197D">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9A0DA6">
        <w:rPr>
          <w:rFonts w:ascii="Cambria" w:hAnsi="Cambria" w:cstheme="minorHAnsi"/>
        </w:rPr>
        <w:tab/>
      </w:r>
      <w:r w:rsidRPr="009A0DA6">
        <w:rPr>
          <w:rFonts w:ascii="Cambria" w:hAnsi="Cambria" w:cstheme="minorHAnsi"/>
        </w:rPr>
        <w:tab/>
        <w:t>7.1.8</w:t>
      </w:r>
      <w:r w:rsidRPr="009A0DA6">
        <w:rPr>
          <w:rFonts w:ascii="Cambria" w:hAnsi="Cambria" w:cstheme="minorHAnsi"/>
        </w:rPr>
        <w:tab/>
        <w:t>negotiate with the Government in matters of Aboriginal welfare in consultation with the Bishop of the District and of the Church according to the policies of the Church;</w:t>
      </w:r>
    </w:p>
    <w:p w14:paraId="0D000BD0" w14:textId="6E49F4C9" w:rsidR="00E0197D" w:rsidRPr="009A0DA6" w:rsidRDefault="00E0197D" w:rsidP="00E0197D">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9A0DA6">
        <w:rPr>
          <w:rFonts w:ascii="Cambria" w:hAnsi="Cambria" w:cstheme="minorHAnsi"/>
        </w:rPr>
        <w:tab/>
      </w:r>
      <w:r w:rsidRPr="009A0DA6">
        <w:rPr>
          <w:rFonts w:ascii="Cambria" w:hAnsi="Cambria" w:cstheme="minorHAnsi"/>
        </w:rPr>
        <w:tab/>
        <w:t>7.1.7</w:t>
      </w:r>
      <w:r w:rsidRPr="009A0DA6">
        <w:rPr>
          <w:rFonts w:ascii="Cambria" w:hAnsi="Cambria" w:cstheme="minorHAnsi"/>
        </w:rPr>
        <w:tab/>
        <w:t>negotiate directly with and work cooperatively with Australian Lutheran College in carrying out the educational ministry program, theological translations, literacy and theological training of prosp</w:t>
      </w:r>
      <w:r w:rsidR="002E45F0" w:rsidRPr="009A0DA6">
        <w:rPr>
          <w:rFonts w:ascii="Cambria" w:hAnsi="Cambria" w:cstheme="minorHAnsi"/>
        </w:rPr>
        <w:t>ective pastors and evangelists;</w:t>
      </w:r>
      <w:r w:rsidRPr="009A0DA6">
        <w:rPr>
          <w:rFonts w:ascii="Cambria" w:hAnsi="Cambria" w:cstheme="minorHAnsi"/>
        </w:rPr>
        <w:t xml:space="preserve"> and</w:t>
      </w:r>
    </w:p>
    <w:p w14:paraId="55D1DABE" w14:textId="77777777" w:rsidR="00E0197D" w:rsidRPr="009A0DA6" w:rsidRDefault="00E0197D" w:rsidP="00E0197D">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9A0DA6">
        <w:rPr>
          <w:rFonts w:ascii="Cambria" w:hAnsi="Cambria" w:cstheme="minorHAnsi"/>
        </w:rPr>
        <w:tab/>
      </w:r>
      <w:r w:rsidRPr="009A0DA6">
        <w:rPr>
          <w:rFonts w:ascii="Cambria" w:hAnsi="Cambria" w:cstheme="minorHAnsi"/>
        </w:rPr>
        <w:tab/>
        <w:t>7.1.8</w:t>
      </w:r>
      <w:r w:rsidRPr="009A0DA6">
        <w:rPr>
          <w:rFonts w:ascii="Cambria" w:hAnsi="Cambria" w:cstheme="minorHAnsi"/>
        </w:rPr>
        <w:tab/>
        <w:t>promote the work of the Mission in, and seek the support of, the Districts as appropriate.</w:t>
      </w:r>
    </w:p>
    <w:p w14:paraId="6EC17CFE" w14:textId="77777777" w:rsidR="00E0197D" w:rsidRPr="009A0DA6" w:rsidRDefault="00E0197D" w:rsidP="00E0197D">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9A0DA6">
        <w:rPr>
          <w:rFonts w:ascii="Cambria" w:hAnsi="Cambria" w:cstheme="minorHAnsi"/>
        </w:rPr>
        <w:tab/>
        <w:t>7.2</w:t>
      </w:r>
      <w:r w:rsidRPr="009A0DA6">
        <w:rPr>
          <w:rFonts w:ascii="Cambria" w:hAnsi="Cambria" w:cstheme="minorHAnsi"/>
        </w:rPr>
        <w:tab/>
        <w:t>The duties of the Board are in addition to responsibilities prescribed in Section 8.7 of the By-laws of the Church.</w:t>
      </w:r>
    </w:p>
    <w:p w14:paraId="0FE5118A" w14:textId="77777777" w:rsidR="00E0197D" w:rsidRPr="009A0DA6" w:rsidRDefault="00E0197D" w:rsidP="00E0197D">
      <w:pPr>
        <w:tabs>
          <w:tab w:val="left" w:pos="567"/>
          <w:tab w:val="left" w:pos="1418"/>
          <w:tab w:val="left" w:pos="2268"/>
          <w:tab w:val="left" w:pos="3119"/>
          <w:tab w:val="left" w:pos="3969"/>
        </w:tabs>
        <w:spacing w:after="0" w:line="240" w:lineRule="auto"/>
        <w:ind w:left="567" w:hanging="567"/>
        <w:rPr>
          <w:rFonts w:ascii="Cambria" w:hAnsi="Cambria" w:cstheme="minorHAnsi"/>
        </w:rPr>
      </w:pPr>
    </w:p>
    <w:p w14:paraId="61DE98F2" w14:textId="77777777" w:rsidR="00E0197D" w:rsidRPr="009A0DA6" w:rsidRDefault="00E0197D" w:rsidP="00E0197D">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9A0DA6">
        <w:rPr>
          <w:rFonts w:ascii="Cambria" w:hAnsi="Cambria" w:cstheme="minorHAnsi"/>
          <w:b/>
        </w:rPr>
        <w:t>8.</w:t>
      </w:r>
      <w:r w:rsidRPr="009A0DA6">
        <w:rPr>
          <w:rFonts w:ascii="Cambria" w:hAnsi="Cambria" w:cstheme="minorHAnsi"/>
          <w:b/>
        </w:rPr>
        <w:tab/>
        <w:t>REVIEW</w:t>
      </w:r>
    </w:p>
    <w:p w14:paraId="339E767F" w14:textId="75987589" w:rsidR="00E0197D" w:rsidRPr="009A0DA6" w:rsidRDefault="00E0197D" w:rsidP="00E0197D">
      <w:pPr>
        <w:tabs>
          <w:tab w:val="left" w:pos="540"/>
          <w:tab w:val="left" w:pos="567"/>
          <w:tab w:val="left" w:pos="1418"/>
          <w:tab w:val="left" w:pos="2268"/>
          <w:tab w:val="left" w:pos="3119"/>
          <w:tab w:val="left" w:pos="3969"/>
        </w:tabs>
        <w:spacing w:after="0" w:line="240" w:lineRule="auto"/>
        <w:ind w:left="1418" w:hanging="1418"/>
        <w:rPr>
          <w:rFonts w:ascii="Cambria" w:hAnsi="Cambria" w:cstheme="minorHAnsi"/>
        </w:rPr>
      </w:pPr>
      <w:r w:rsidRPr="009A0DA6">
        <w:rPr>
          <w:rFonts w:ascii="Cambria" w:hAnsi="Cambria" w:cstheme="minorHAnsi"/>
        </w:rPr>
        <w:tab/>
        <w:t>8.1</w:t>
      </w:r>
      <w:r w:rsidRPr="009A0DA6">
        <w:rPr>
          <w:rFonts w:ascii="Cambria" w:hAnsi="Cambria" w:cstheme="minorHAnsi"/>
        </w:rPr>
        <w:tab/>
        <w:t xml:space="preserve">The Terms of Reference for the Board shall be reviewed during each </w:t>
      </w:r>
      <w:r w:rsidR="00712620" w:rsidRPr="009A0DA6">
        <w:rPr>
          <w:rFonts w:ascii="Cambria" w:hAnsi="Cambria" w:cstheme="minorHAnsi"/>
        </w:rPr>
        <w:t>Synodical</w:t>
      </w:r>
      <w:r w:rsidRPr="009A0DA6">
        <w:rPr>
          <w:rFonts w:ascii="Cambria" w:hAnsi="Cambria" w:cstheme="minorHAnsi"/>
        </w:rPr>
        <w:t xml:space="preserve"> term. </w:t>
      </w:r>
    </w:p>
    <w:p w14:paraId="6134C645" w14:textId="77777777" w:rsidR="00E0197D" w:rsidRPr="009A0DA6" w:rsidRDefault="00E0197D" w:rsidP="00E0197D">
      <w:pPr>
        <w:tabs>
          <w:tab w:val="left" w:pos="540"/>
          <w:tab w:val="left" w:pos="567"/>
          <w:tab w:val="left" w:pos="1418"/>
          <w:tab w:val="left" w:pos="2268"/>
          <w:tab w:val="left" w:pos="3119"/>
          <w:tab w:val="left" w:pos="3969"/>
        </w:tabs>
        <w:spacing w:after="0" w:line="240" w:lineRule="auto"/>
        <w:ind w:left="1418" w:hanging="1418"/>
        <w:rPr>
          <w:rFonts w:ascii="Cambria" w:hAnsi="Cambria" w:cstheme="minorHAnsi"/>
        </w:rPr>
      </w:pPr>
      <w:r w:rsidRPr="009A0DA6">
        <w:rPr>
          <w:rFonts w:ascii="Cambria" w:hAnsi="Cambria" w:cstheme="minorHAnsi"/>
        </w:rPr>
        <w:tab/>
        <w:t>8.2</w:t>
      </w:r>
      <w:r w:rsidRPr="009A0DA6">
        <w:rPr>
          <w:rFonts w:ascii="Cambria" w:hAnsi="Cambria" w:cstheme="minorHAnsi"/>
        </w:rPr>
        <w:tab/>
        <w:t>Any changes to the Terms of Reference shall be approved by the General Church Board, upon review by the Standing Committee on Constitutions.</w:t>
      </w:r>
    </w:p>
    <w:p w14:paraId="40A720A1" w14:textId="77777777" w:rsidR="00E0197D" w:rsidRPr="009A0DA6" w:rsidRDefault="00E0197D" w:rsidP="00E0197D">
      <w:pPr>
        <w:shd w:val="clear" w:color="auto" w:fill="FFFFFF"/>
        <w:spacing w:after="0" w:line="240" w:lineRule="auto"/>
        <w:rPr>
          <w:rFonts w:ascii="Cambria" w:eastAsia="Times New Roman" w:hAnsi="Cambria" w:cs="Times New Roman"/>
          <w:b/>
          <w:bCs/>
          <w:color w:val="222222"/>
          <w:lang w:eastAsia="en-AU"/>
        </w:rPr>
      </w:pPr>
    </w:p>
    <w:p w14:paraId="669B98FA" w14:textId="057B5862" w:rsidR="00E0197D" w:rsidRPr="009A0DA6" w:rsidRDefault="00757ACA" w:rsidP="00E0197D">
      <w:pPr>
        <w:tabs>
          <w:tab w:val="left" w:pos="851"/>
          <w:tab w:val="left" w:pos="1985"/>
          <w:tab w:val="left" w:pos="3119"/>
          <w:tab w:val="left" w:pos="4536"/>
          <w:tab w:val="left" w:pos="5670"/>
        </w:tabs>
        <w:spacing w:after="0" w:line="240" w:lineRule="auto"/>
        <w:rPr>
          <w:rFonts w:ascii="Cambria" w:eastAsia="Times New Roman" w:hAnsi="Cambria" w:cs="Times New Roman"/>
          <w:lang w:eastAsia="en-AU"/>
        </w:rPr>
      </w:pPr>
      <w:r w:rsidRPr="009A0DA6">
        <w:rPr>
          <w:rFonts w:ascii="Cambria" w:eastAsia="Times New Roman" w:hAnsi="Cambria" w:cs="Times New Roman"/>
          <w:b/>
          <w:bCs/>
          <w:color w:val="222222"/>
          <w:lang w:eastAsia="en-AU"/>
        </w:rPr>
        <w:t>BE IT FURTHER RESOLVED</w:t>
      </w:r>
      <w:r w:rsidRPr="009A0DA6">
        <w:rPr>
          <w:rFonts w:ascii="Cambria" w:eastAsia="Times New Roman" w:hAnsi="Cambria" w:cs="Times New Roman"/>
          <w:bCs/>
          <w:color w:val="222222"/>
          <w:lang w:eastAsia="en-AU"/>
        </w:rPr>
        <w:t xml:space="preserve"> that </w:t>
      </w:r>
      <w:r w:rsidR="00E0197D" w:rsidRPr="009A0DA6">
        <w:rPr>
          <w:rFonts w:ascii="Cambria" w:eastAsia="Times New Roman" w:hAnsi="Cambria" w:cs="Times New Roman"/>
          <w:bCs/>
          <w:color w:val="222222"/>
          <w:lang w:eastAsia="en-AU"/>
        </w:rPr>
        <w:t>the new Terms of Reference for the Council for Local Mission be adopted, as follows:</w:t>
      </w:r>
    </w:p>
    <w:p w14:paraId="7A489C83" w14:textId="77777777" w:rsidR="00E0197D" w:rsidRPr="009A0DA6" w:rsidRDefault="00E0197D" w:rsidP="00E0197D">
      <w:pPr>
        <w:shd w:val="clear" w:color="auto" w:fill="FFFFFF"/>
        <w:spacing w:after="0" w:line="240" w:lineRule="auto"/>
        <w:rPr>
          <w:rFonts w:ascii="Cambria" w:eastAsia="Times New Roman" w:hAnsi="Cambria" w:cs="Times New Roman"/>
          <w:b/>
          <w:bCs/>
          <w:color w:val="222222"/>
          <w:sz w:val="10"/>
          <w:lang w:eastAsia="en-AU"/>
        </w:rPr>
      </w:pPr>
    </w:p>
    <w:p w14:paraId="4EA94ACB" w14:textId="41328411" w:rsidR="00E0197D" w:rsidRPr="009A0DA6" w:rsidRDefault="00757ACA" w:rsidP="00E0197D">
      <w:pPr>
        <w:tabs>
          <w:tab w:val="left" w:pos="567"/>
          <w:tab w:val="left" w:pos="1418"/>
          <w:tab w:val="left" w:pos="2268"/>
          <w:tab w:val="left" w:pos="3119"/>
          <w:tab w:val="left" w:pos="3969"/>
        </w:tabs>
        <w:spacing w:after="0" w:line="240" w:lineRule="auto"/>
        <w:ind w:left="1440" w:right="306" w:hanging="1440"/>
        <w:jc w:val="center"/>
        <w:rPr>
          <w:rFonts w:ascii="Cambria" w:hAnsi="Cambria" w:cstheme="minorHAnsi"/>
          <w:b/>
        </w:rPr>
      </w:pPr>
      <w:r w:rsidRPr="009A0DA6">
        <w:rPr>
          <w:rFonts w:ascii="Cambria" w:hAnsi="Cambria" w:cstheme="minorHAnsi"/>
          <w:b/>
        </w:rPr>
        <w:t xml:space="preserve">COUNCIL </w:t>
      </w:r>
      <w:r w:rsidR="002E45F0" w:rsidRPr="009A0DA6">
        <w:rPr>
          <w:rFonts w:ascii="Cambria" w:hAnsi="Cambria" w:cstheme="minorHAnsi"/>
          <w:b/>
        </w:rPr>
        <w:t xml:space="preserve">FOR </w:t>
      </w:r>
      <w:r w:rsidR="00E0197D" w:rsidRPr="009A0DA6">
        <w:rPr>
          <w:rFonts w:ascii="Cambria" w:hAnsi="Cambria" w:cstheme="minorHAnsi"/>
          <w:b/>
        </w:rPr>
        <w:t>LOCAL MISSION</w:t>
      </w:r>
    </w:p>
    <w:p w14:paraId="5DA8D481" w14:textId="77777777" w:rsidR="00E0197D" w:rsidRPr="009A0DA6" w:rsidRDefault="00E0197D" w:rsidP="00E0197D">
      <w:pPr>
        <w:tabs>
          <w:tab w:val="left" w:pos="567"/>
          <w:tab w:val="left" w:pos="1418"/>
          <w:tab w:val="left" w:pos="2268"/>
          <w:tab w:val="left" w:pos="3119"/>
          <w:tab w:val="left" w:pos="3969"/>
        </w:tabs>
        <w:spacing w:after="0" w:line="240" w:lineRule="auto"/>
        <w:ind w:left="1440" w:right="306" w:hanging="1440"/>
        <w:jc w:val="center"/>
        <w:rPr>
          <w:rFonts w:ascii="Cambria" w:hAnsi="Cambria" w:cstheme="minorHAnsi"/>
          <w:b/>
        </w:rPr>
      </w:pPr>
      <w:r w:rsidRPr="009A0DA6">
        <w:rPr>
          <w:rFonts w:ascii="Cambria" w:hAnsi="Cambria" w:cstheme="minorHAnsi"/>
          <w:b/>
        </w:rPr>
        <w:t>Terms of Reference</w:t>
      </w:r>
    </w:p>
    <w:p w14:paraId="30ED3A59" w14:textId="77777777" w:rsidR="00E0197D" w:rsidRPr="009A0DA6" w:rsidRDefault="00E0197D" w:rsidP="00E0197D">
      <w:pPr>
        <w:tabs>
          <w:tab w:val="left" w:pos="567"/>
          <w:tab w:val="left" w:pos="1418"/>
          <w:tab w:val="left" w:pos="2268"/>
          <w:tab w:val="left" w:pos="3119"/>
          <w:tab w:val="left" w:pos="3969"/>
        </w:tabs>
        <w:spacing w:after="0" w:line="240" w:lineRule="auto"/>
        <w:ind w:left="1440" w:right="306" w:hanging="1440"/>
        <w:jc w:val="center"/>
        <w:rPr>
          <w:rFonts w:ascii="Cambria" w:hAnsi="Cambria" w:cstheme="minorHAnsi"/>
          <w:b/>
          <w:sz w:val="10"/>
        </w:rPr>
      </w:pPr>
    </w:p>
    <w:p w14:paraId="17E427E0" w14:textId="77777777" w:rsidR="00E0197D" w:rsidRPr="009A0DA6" w:rsidRDefault="00E0197D" w:rsidP="00E0197D">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9A0DA6">
        <w:rPr>
          <w:rFonts w:ascii="Cambria" w:hAnsi="Cambria" w:cstheme="minorHAnsi"/>
          <w:b/>
        </w:rPr>
        <w:t>1.</w:t>
      </w:r>
      <w:r w:rsidRPr="009A0DA6">
        <w:rPr>
          <w:rFonts w:ascii="Cambria" w:hAnsi="Cambria" w:cstheme="minorHAnsi"/>
          <w:b/>
        </w:rPr>
        <w:tab/>
        <w:t xml:space="preserve">NAME </w:t>
      </w:r>
    </w:p>
    <w:p w14:paraId="26DA710D" w14:textId="77777777" w:rsidR="00E0197D" w:rsidRPr="009A0DA6" w:rsidRDefault="00E0197D" w:rsidP="00E0197D">
      <w:pPr>
        <w:tabs>
          <w:tab w:val="left" w:pos="567"/>
          <w:tab w:val="left" w:pos="1418"/>
          <w:tab w:val="left" w:pos="2268"/>
          <w:tab w:val="left" w:pos="3119"/>
          <w:tab w:val="left" w:pos="3969"/>
        </w:tabs>
        <w:spacing w:after="0" w:line="240" w:lineRule="auto"/>
        <w:ind w:left="567" w:hanging="567"/>
        <w:rPr>
          <w:rFonts w:ascii="Cambria" w:hAnsi="Cambria" w:cstheme="minorHAnsi"/>
        </w:rPr>
      </w:pPr>
      <w:r w:rsidRPr="009A0DA6">
        <w:rPr>
          <w:rFonts w:ascii="Cambria" w:hAnsi="Cambria" w:cstheme="minorHAnsi"/>
        </w:rPr>
        <w:tab/>
        <w:t>The Council for Local Mission, referred to as “the Council”.</w:t>
      </w:r>
    </w:p>
    <w:p w14:paraId="252FCDCD" w14:textId="77777777" w:rsidR="00E0197D" w:rsidRPr="009A0DA6" w:rsidRDefault="00E0197D" w:rsidP="00E0197D">
      <w:pPr>
        <w:tabs>
          <w:tab w:val="left" w:pos="567"/>
          <w:tab w:val="left" w:pos="1418"/>
          <w:tab w:val="left" w:pos="2268"/>
          <w:tab w:val="left" w:pos="3119"/>
          <w:tab w:val="left" w:pos="3969"/>
        </w:tabs>
        <w:spacing w:after="0" w:line="240" w:lineRule="auto"/>
        <w:ind w:left="567" w:hanging="567"/>
        <w:rPr>
          <w:rFonts w:ascii="Cambria" w:hAnsi="Cambria" w:cstheme="minorHAnsi"/>
        </w:rPr>
      </w:pPr>
    </w:p>
    <w:p w14:paraId="35F6EF4A" w14:textId="4CD23BA0" w:rsidR="00E0197D" w:rsidRPr="009A0DA6" w:rsidRDefault="00757ACA" w:rsidP="00E0197D">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9A0DA6">
        <w:rPr>
          <w:rFonts w:ascii="Cambria" w:hAnsi="Cambria" w:cstheme="minorHAnsi"/>
          <w:b/>
        </w:rPr>
        <w:t>2</w:t>
      </w:r>
      <w:r w:rsidR="0027799A" w:rsidRPr="009A0DA6">
        <w:rPr>
          <w:rFonts w:ascii="Cambria" w:hAnsi="Cambria" w:cstheme="minorHAnsi"/>
          <w:b/>
        </w:rPr>
        <w:t xml:space="preserve">. </w:t>
      </w:r>
      <w:r w:rsidRPr="009A0DA6">
        <w:rPr>
          <w:rFonts w:ascii="Cambria" w:hAnsi="Cambria" w:cstheme="minorHAnsi"/>
          <w:b/>
        </w:rPr>
        <w:t xml:space="preserve">    </w:t>
      </w:r>
      <w:r w:rsidRPr="009A0DA6">
        <w:rPr>
          <w:rFonts w:ascii="Cambria" w:hAnsi="Cambria" w:cstheme="minorHAnsi"/>
          <w:b/>
        </w:rPr>
        <w:tab/>
        <w:t xml:space="preserve">RELATIONSHIP </w:t>
      </w:r>
      <w:r w:rsidR="00E0197D" w:rsidRPr="009A0DA6">
        <w:rPr>
          <w:rFonts w:ascii="Cambria" w:hAnsi="Cambria" w:cstheme="minorHAnsi"/>
          <w:b/>
        </w:rPr>
        <w:t>TO</w:t>
      </w:r>
      <w:r w:rsidR="002E45F0" w:rsidRPr="009A0DA6">
        <w:rPr>
          <w:rFonts w:ascii="Cambria" w:hAnsi="Cambria" w:cstheme="minorHAnsi"/>
          <w:b/>
        </w:rPr>
        <w:t xml:space="preserve"> THE</w:t>
      </w:r>
      <w:r w:rsidR="00E0197D" w:rsidRPr="009A0DA6">
        <w:rPr>
          <w:rFonts w:ascii="Cambria" w:hAnsi="Cambria" w:cstheme="minorHAnsi"/>
          <w:b/>
        </w:rPr>
        <w:t xml:space="preserve"> CHURCH</w:t>
      </w:r>
    </w:p>
    <w:p w14:paraId="5D46BE1A" w14:textId="77777777" w:rsidR="00E0197D" w:rsidRPr="009A0DA6" w:rsidRDefault="00E0197D" w:rsidP="00E0197D">
      <w:pPr>
        <w:tabs>
          <w:tab w:val="left" w:pos="567"/>
          <w:tab w:val="left" w:pos="1418"/>
          <w:tab w:val="left" w:pos="2268"/>
          <w:tab w:val="left" w:pos="3119"/>
          <w:tab w:val="left" w:pos="3969"/>
        </w:tabs>
        <w:spacing w:after="0" w:line="240" w:lineRule="auto"/>
        <w:ind w:left="567" w:hanging="567"/>
        <w:rPr>
          <w:rFonts w:ascii="Cambria" w:hAnsi="Cambria" w:cstheme="minorHAnsi"/>
        </w:rPr>
      </w:pPr>
      <w:r w:rsidRPr="009A0DA6">
        <w:rPr>
          <w:rFonts w:ascii="Cambria" w:hAnsi="Cambria" w:cstheme="minorHAnsi"/>
        </w:rPr>
        <w:tab/>
        <w:t>The Council is accountable to the General Church Board</w:t>
      </w:r>
      <w:r w:rsidRPr="009A0DA6">
        <w:rPr>
          <w:rFonts w:ascii="Cambria" w:hAnsi="Cambria"/>
        </w:rPr>
        <w:t xml:space="preserve"> </w:t>
      </w:r>
      <w:r w:rsidRPr="009A0DA6">
        <w:rPr>
          <w:rFonts w:ascii="Cambria" w:hAnsi="Cambria" w:cstheme="minorHAnsi"/>
        </w:rPr>
        <w:t>and shall fulfil its responsibilities in keeping with the Constitution and the policies of the Church.</w:t>
      </w:r>
    </w:p>
    <w:p w14:paraId="7DF7CB93" w14:textId="77777777" w:rsidR="00E0197D" w:rsidRPr="009A0DA6" w:rsidRDefault="00E0197D" w:rsidP="00E0197D">
      <w:pPr>
        <w:tabs>
          <w:tab w:val="left" w:pos="567"/>
          <w:tab w:val="left" w:pos="1418"/>
          <w:tab w:val="left" w:pos="2268"/>
          <w:tab w:val="left" w:pos="3119"/>
          <w:tab w:val="left" w:pos="3969"/>
        </w:tabs>
        <w:spacing w:after="0" w:line="240" w:lineRule="auto"/>
        <w:ind w:left="567" w:hanging="567"/>
        <w:rPr>
          <w:rFonts w:ascii="Cambria" w:hAnsi="Cambria" w:cstheme="minorHAnsi"/>
        </w:rPr>
      </w:pPr>
    </w:p>
    <w:p w14:paraId="2649C854" w14:textId="77777777" w:rsidR="00E0197D" w:rsidRPr="009A0DA6" w:rsidRDefault="00E0197D" w:rsidP="00E0197D">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9A0DA6">
        <w:rPr>
          <w:rFonts w:ascii="Cambria" w:hAnsi="Cambria" w:cstheme="minorHAnsi"/>
          <w:b/>
        </w:rPr>
        <w:t>3.</w:t>
      </w:r>
      <w:r w:rsidRPr="009A0DA6">
        <w:rPr>
          <w:rFonts w:ascii="Cambria" w:hAnsi="Cambria" w:cstheme="minorHAnsi"/>
          <w:b/>
        </w:rPr>
        <w:tab/>
        <w:t>PURPOSE</w:t>
      </w:r>
    </w:p>
    <w:p w14:paraId="77971727" w14:textId="77777777" w:rsidR="00E0197D" w:rsidRPr="009A0DA6" w:rsidRDefault="00E0197D" w:rsidP="00E0197D">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9A0DA6">
        <w:rPr>
          <w:rFonts w:ascii="Cambria" w:hAnsi="Cambria" w:cstheme="minorHAnsi"/>
        </w:rPr>
        <w:tab/>
        <w:t>3.1</w:t>
      </w:r>
      <w:r w:rsidRPr="009A0DA6">
        <w:rPr>
          <w:rFonts w:ascii="Cambria" w:hAnsi="Cambria" w:cstheme="minorHAnsi"/>
        </w:rPr>
        <w:tab/>
        <w:t>The Council shall</w:t>
      </w:r>
    </w:p>
    <w:p w14:paraId="7A602ECC" w14:textId="77777777" w:rsidR="00E0197D" w:rsidRPr="009A0DA6" w:rsidRDefault="00E0197D" w:rsidP="00E0197D">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9A0DA6">
        <w:rPr>
          <w:rFonts w:ascii="Cambria" w:hAnsi="Cambria" w:cstheme="minorHAnsi"/>
        </w:rPr>
        <w:tab/>
      </w:r>
      <w:r w:rsidRPr="009A0DA6">
        <w:rPr>
          <w:rFonts w:ascii="Cambria" w:hAnsi="Cambria" w:cstheme="minorHAnsi"/>
        </w:rPr>
        <w:tab/>
        <w:t>3.1.1</w:t>
      </w:r>
      <w:r w:rsidRPr="009A0DA6">
        <w:rPr>
          <w:rFonts w:ascii="Cambria" w:hAnsi="Cambria" w:cstheme="minorHAnsi"/>
        </w:rPr>
        <w:tab/>
        <w:t>provide strategic leadership and support to nurture a growing missional culture in the Church;</w:t>
      </w:r>
    </w:p>
    <w:p w14:paraId="56F03D39" w14:textId="77777777" w:rsidR="00E0197D" w:rsidRPr="009A0DA6" w:rsidRDefault="00E0197D" w:rsidP="00E0197D">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9A0DA6">
        <w:rPr>
          <w:rFonts w:ascii="Cambria" w:hAnsi="Cambria" w:cstheme="minorHAnsi"/>
        </w:rPr>
        <w:tab/>
      </w:r>
      <w:r w:rsidRPr="009A0DA6">
        <w:rPr>
          <w:rFonts w:ascii="Cambria" w:hAnsi="Cambria" w:cstheme="minorHAnsi"/>
        </w:rPr>
        <w:tab/>
        <w:t>3.1.2</w:t>
      </w:r>
      <w:r w:rsidRPr="009A0DA6">
        <w:rPr>
          <w:rFonts w:ascii="Cambria" w:hAnsi="Cambria" w:cstheme="minorHAnsi"/>
        </w:rPr>
        <w:tab/>
        <w:t>develop strategic mission direction and establish the overall policy environment of the Church;</w:t>
      </w:r>
    </w:p>
    <w:p w14:paraId="596989F3" w14:textId="43767BE9" w:rsidR="00E0197D" w:rsidRPr="009A0DA6" w:rsidRDefault="00E0197D" w:rsidP="00E0197D">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9A0DA6">
        <w:rPr>
          <w:rFonts w:ascii="Cambria" w:hAnsi="Cambria" w:cstheme="minorHAnsi"/>
        </w:rPr>
        <w:tab/>
      </w:r>
      <w:r w:rsidRPr="009A0DA6">
        <w:rPr>
          <w:rFonts w:ascii="Cambria" w:hAnsi="Cambria" w:cstheme="minorHAnsi"/>
        </w:rPr>
        <w:tab/>
        <w:t>3.1.3</w:t>
      </w:r>
      <w:r w:rsidRPr="009A0DA6">
        <w:rPr>
          <w:rFonts w:ascii="Cambria" w:hAnsi="Cambria" w:cstheme="minorHAnsi"/>
        </w:rPr>
        <w:tab/>
        <w:t xml:space="preserve">promote and coordinate congregational </w:t>
      </w:r>
      <w:r w:rsidR="002E45F0" w:rsidRPr="009A0DA6">
        <w:rPr>
          <w:rFonts w:ascii="Cambria" w:hAnsi="Cambria" w:cstheme="minorHAnsi"/>
        </w:rPr>
        <w:t>participation in local mission;</w:t>
      </w:r>
      <w:r w:rsidRPr="009A0DA6">
        <w:rPr>
          <w:rFonts w:ascii="Cambria" w:hAnsi="Cambria" w:cstheme="minorHAnsi"/>
        </w:rPr>
        <w:t xml:space="preserve"> and</w:t>
      </w:r>
    </w:p>
    <w:p w14:paraId="40DE0BBD" w14:textId="77777777" w:rsidR="00E0197D" w:rsidRPr="009A0DA6" w:rsidRDefault="00E0197D" w:rsidP="00E0197D">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9A0DA6">
        <w:rPr>
          <w:rFonts w:ascii="Cambria" w:hAnsi="Cambria" w:cstheme="minorHAnsi"/>
        </w:rPr>
        <w:tab/>
      </w:r>
      <w:r w:rsidRPr="009A0DA6">
        <w:rPr>
          <w:rFonts w:ascii="Cambria" w:hAnsi="Cambria" w:cstheme="minorHAnsi"/>
        </w:rPr>
        <w:tab/>
        <w:t>3.1.4</w:t>
      </w:r>
      <w:r w:rsidRPr="009A0DA6">
        <w:rPr>
          <w:rFonts w:ascii="Cambria" w:hAnsi="Cambria" w:cstheme="minorHAnsi"/>
        </w:rPr>
        <w:tab/>
        <w:t>oversee and monitor the resourcing of the mission of the Church to Australia and New Zealand.</w:t>
      </w:r>
    </w:p>
    <w:p w14:paraId="27E7559B" w14:textId="77777777" w:rsidR="00E0197D" w:rsidRPr="009A0DA6" w:rsidRDefault="00E0197D" w:rsidP="00E0197D">
      <w:pPr>
        <w:tabs>
          <w:tab w:val="left" w:pos="567"/>
          <w:tab w:val="left" w:pos="1418"/>
          <w:tab w:val="left" w:pos="3119"/>
          <w:tab w:val="left" w:pos="3969"/>
        </w:tabs>
        <w:spacing w:after="0" w:line="240" w:lineRule="auto"/>
        <w:ind w:left="1418" w:hanging="1418"/>
        <w:rPr>
          <w:rFonts w:ascii="Cambria" w:hAnsi="Cambria" w:cstheme="minorHAnsi"/>
        </w:rPr>
      </w:pPr>
      <w:r w:rsidRPr="009A0DA6">
        <w:rPr>
          <w:rFonts w:ascii="Cambria" w:hAnsi="Cambria" w:cstheme="minorHAnsi"/>
        </w:rPr>
        <w:tab/>
        <w:t>3.2</w:t>
      </w:r>
      <w:r w:rsidRPr="009A0DA6">
        <w:rPr>
          <w:rFonts w:ascii="Cambria" w:hAnsi="Cambria" w:cstheme="minorHAnsi"/>
        </w:rPr>
        <w:tab/>
        <w:t>The work of the Council is underpinned by the foremost Object of the Church, namely to fulfil the mission of God.</w:t>
      </w:r>
    </w:p>
    <w:p w14:paraId="70CBD048" w14:textId="77777777" w:rsidR="00E0197D" w:rsidRPr="009A0DA6" w:rsidRDefault="00E0197D" w:rsidP="00E0197D">
      <w:pPr>
        <w:tabs>
          <w:tab w:val="left" w:pos="567"/>
          <w:tab w:val="left" w:pos="1418"/>
          <w:tab w:val="left" w:pos="2268"/>
          <w:tab w:val="left" w:pos="3119"/>
          <w:tab w:val="left" w:pos="3969"/>
        </w:tabs>
        <w:spacing w:after="0" w:line="240" w:lineRule="auto"/>
        <w:ind w:left="567" w:hanging="567"/>
        <w:rPr>
          <w:rFonts w:ascii="Cambria" w:hAnsi="Cambria" w:cstheme="minorHAnsi"/>
        </w:rPr>
      </w:pPr>
    </w:p>
    <w:p w14:paraId="5602441B" w14:textId="77777777" w:rsidR="00E0197D" w:rsidRPr="009A0DA6" w:rsidRDefault="00E0197D" w:rsidP="00E0197D">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9A0DA6">
        <w:rPr>
          <w:rFonts w:ascii="Cambria" w:hAnsi="Cambria" w:cstheme="minorHAnsi"/>
          <w:b/>
        </w:rPr>
        <w:t>4.</w:t>
      </w:r>
      <w:r w:rsidRPr="009A0DA6">
        <w:rPr>
          <w:rFonts w:ascii="Cambria" w:hAnsi="Cambria" w:cstheme="minorHAnsi"/>
          <w:b/>
        </w:rPr>
        <w:tab/>
        <w:t>AUTHORITY</w:t>
      </w:r>
    </w:p>
    <w:p w14:paraId="2FFB93A8" w14:textId="6E9455E0" w:rsidR="00E0197D" w:rsidRPr="009A0DA6" w:rsidRDefault="00E0197D" w:rsidP="00E0197D">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9A0DA6">
        <w:rPr>
          <w:rFonts w:ascii="Cambria" w:hAnsi="Cambria" w:cstheme="minorHAnsi"/>
        </w:rPr>
        <w:tab/>
        <w:t>4.1</w:t>
      </w:r>
      <w:r w:rsidRPr="009A0DA6">
        <w:rPr>
          <w:rFonts w:ascii="Cambria" w:hAnsi="Cambria" w:cstheme="minorHAnsi"/>
        </w:rPr>
        <w:tab/>
        <w:t>The General Church Board may delegate decision-making authority</w:t>
      </w:r>
      <w:r w:rsidR="002E45F0" w:rsidRPr="009A0DA6">
        <w:rPr>
          <w:rFonts w:ascii="Cambria" w:hAnsi="Cambria" w:cstheme="minorHAnsi"/>
        </w:rPr>
        <w:t xml:space="preserve"> to the Council under a written </w:t>
      </w:r>
      <w:r w:rsidRPr="009A0DA6">
        <w:rPr>
          <w:rFonts w:ascii="Cambria" w:hAnsi="Cambria" w:cstheme="minorHAnsi"/>
        </w:rPr>
        <w:t>delegations policy.</w:t>
      </w:r>
    </w:p>
    <w:p w14:paraId="615C5152" w14:textId="77777777" w:rsidR="00E0197D" w:rsidRPr="009A0DA6" w:rsidRDefault="00E0197D" w:rsidP="00E0197D">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9A0DA6">
        <w:rPr>
          <w:rFonts w:ascii="Cambria" w:hAnsi="Cambria" w:cstheme="minorHAnsi"/>
        </w:rPr>
        <w:tab/>
        <w:t>4.2</w:t>
      </w:r>
      <w:r w:rsidRPr="009A0DA6">
        <w:rPr>
          <w:rFonts w:ascii="Cambria" w:hAnsi="Cambria" w:cstheme="minorHAnsi"/>
        </w:rPr>
        <w:tab/>
        <w:t>The policies of the Church shall guide the work of the Council in regard to</w:t>
      </w:r>
    </w:p>
    <w:p w14:paraId="2DA8A6F5" w14:textId="77777777" w:rsidR="00E0197D" w:rsidRPr="009A0DA6" w:rsidRDefault="00E0197D" w:rsidP="00E0197D">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9A0DA6">
        <w:rPr>
          <w:rFonts w:ascii="Cambria" w:hAnsi="Cambria" w:cstheme="minorHAnsi"/>
        </w:rPr>
        <w:tab/>
      </w:r>
      <w:r w:rsidRPr="009A0DA6">
        <w:rPr>
          <w:rFonts w:ascii="Cambria" w:hAnsi="Cambria" w:cstheme="minorHAnsi"/>
        </w:rPr>
        <w:tab/>
        <w:t>4.2.1</w:t>
      </w:r>
      <w:r w:rsidRPr="009A0DA6">
        <w:rPr>
          <w:rFonts w:ascii="Cambria" w:hAnsi="Cambria" w:cstheme="minorHAnsi"/>
        </w:rPr>
        <w:tab/>
        <w:t>governance responsibilities, including compliance with the policies of the Church on Conflict of Interest and Review Processes;</w:t>
      </w:r>
    </w:p>
    <w:p w14:paraId="3A19DB9F" w14:textId="2FEEE8B2" w:rsidR="00E0197D" w:rsidRPr="009A0DA6" w:rsidRDefault="00E0197D" w:rsidP="00E0197D">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9A0DA6">
        <w:rPr>
          <w:rFonts w:ascii="Cambria" w:hAnsi="Cambria" w:cstheme="minorHAnsi"/>
        </w:rPr>
        <w:tab/>
      </w:r>
      <w:r w:rsidRPr="009A0DA6">
        <w:rPr>
          <w:rFonts w:ascii="Cambria" w:hAnsi="Cambria" w:cstheme="minorHAnsi"/>
        </w:rPr>
        <w:tab/>
        <w:t>4.2.2</w:t>
      </w:r>
      <w:r w:rsidRPr="009A0DA6">
        <w:rPr>
          <w:rFonts w:ascii="Cambria" w:hAnsi="Cambria" w:cstheme="minorHAnsi"/>
        </w:rPr>
        <w:tab/>
        <w:t>f</w:t>
      </w:r>
      <w:r w:rsidR="002E45F0" w:rsidRPr="009A0DA6">
        <w:rPr>
          <w:rFonts w:ascii="Cambria" w:hAnsi="Cambria" w:cstheme="minorHAnsi"/>
        </w:rPr>
        <w:t>unctioning and decision-making;</w:t>
      </w:r>
      <w:r w:rsidRPr="009A0DA6">
        <w:rPr>
          <w:rFonts w:ascii="Cambria" w:hAnsi="Cambria" w:cstheme="minorHAnsi"/>
        </w:rPr>
        <w:t xml:space="preserve"> and</w:t>
      </w:r>
    </w:p>
    <w:p w14:paraId="0D0B3BB4" w14:textId="0567205F" w:rsidR="00E0197D" w:rsidRDefault="00E0197D" w:rsidP="00E0197D">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9A0DA6">
        <w:rPr>
          <w:rFonts w:ascii="Cambria" w:hAnsi="Cambria" w:cstheme="minorHAnsi"/>
        </w:rPr>
        <w:tab/>
      </w:r>
      <w:r w:rsidRPr="009A0DA6">
        <w:rPr>
          <w:rFonts w:ascii="Cambria" w:hAnsi="Cambria" w:cstheme="minorHAnsi"/>
        </w:rPr>
        <w:tab/>
        <w:t>4.2.3</w:t>
      </w:r>
      <w:r w:rsidRPr="009A0DA6">
        <w:rPr>
          <w:rFonts w:ascii="Cambria" w:hAnsi="Cambria" w:cstheme="minorHAnsi"/>
        </w:rPr>
        <w:tab/>
        <w:t>reviewing the terms of reference of committees that report to it.</w:t>
      </w:r>
    </w:p>
    <w:p w14:paraId="60519DC6" w14:textId="74271511" w:rsidR="007A0FE8" w:rsidRDefault="007A0FE8" w:rsidP="00E0197D">
      <w:pPr>
        <w:tabs>
          <w:tab w:val="left" w:pos="567"/>
          <w:tab w:val="left" w:pos="1418"/>
          <w:tab w:val="left" w:pos="2268"/>
          <w:tab w:val="left" w:pos="3119"/>
          <w:tab w:val="left" w:pos="3969"/>
        </w:tabs>
        <w:spacing w:after="0" w:line="240" w:lineRule="auto"/>
        <w:ind w:left="2268" w:hanging="2268"/>
        <w:rPr>
          <w:rFonts w:ascii="Cambria" w:hAnsi="Cambria" w:cstheme="minorHAnsi"/>
        </w:rPr>
      </w:pPr>
    </w:p>
    <w:p w14:paraId="1A602B95" w14:textId="77777777" w:rsidR="007A0FE8" w:rsidRPr="009A0DA6" w:rsidRDefault="007A0FE8" w:rsidP="00E0197D">
      <w:pPr>
        <w:tabs>
          <w:tab w:val="left" w:pos="567"/>
          <w:tab w:val="left" w:pos="1418"/>
          <w:tab w:val="left" w:pos="2268"/>
          <w:tab w:val="left" w:pos="3119"/>
          <w:tab w:val="left" w:pos="3969"/>
        </w:tabs>
        <w:spacing w:after="0" w:line="240" w:lineRule="auto"/>
        <w:ind w:left="2268" w:hanging="2268"/>
        <w:rPr>
          <w:rFonts w:ascii="Cambria" w:hAnsi="Cambria" w:cstheme="minorHAnsi"/>
        </w:rPr>
      </w:pPr>
    </w:p>
    <w:p w14:paraId="02FE332C" w14:textId="77777777" w:rsidR="00E0197D" w:rsidRPr="009A0DA6" w:rsidRDefault="00E0197D" w:rsidP="00E0197D">
      <w:pPr>
        <w:tabs>
          <w:tab w:val="left" w:pos="567"/>
          <w:tab w:val="left" w:pos="1418"/>
          <w:tab w:val="left" w:pos="2268"/>
          <w:tab w:val="left" w:pos="3119"/>
          <w:tab w:val="left" w:pos="3969"/>
        </w:tabs>
        <w:spacing w:after="0" w:line="240" w:lineRule="auto"/>
        <w:ind w:left="567" w:hanging="567"/>
        <w:rPr>
          <w:rFonts w:ascii="Cambria" w:hAnsi="Cambria" w:cstheme="minorHAnsi"/>
          <w:b/>
        </w:rPr>
      </w:pPr>
    </w:p>
    <w:p w14:paraId="6CFDDD19" w14:textId="77777777" w:rsidR="00E0197D" w:rsidRPr="009A0DA6" w:rsidRDefault="00E0197D" w:rsidP="00E0197D">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9A0DA6">
        <w:rPr>
          <w:rFonts w:ascii="Cambria" w:hAnsi="Cambria" w:cstheme="minorHAnsi"/>
          <w:b/>
        </w:rPr>
        <w:t>5.</w:t>
      </w:r>
      <w:r w:rsidRPr="009A0DA6">
        <w:rPr>
          <w:rFonts w:ascii="Cambria" w:hAnsi="Cambria" w:cstheme="minorHAnsi"/>
          <w:b/>
        </w:rPr>
        <w:tab/>
        <w:t>MEMBERSHIP</w:t>
      </w:r>
    </w:p>
    <w:p w14:paraId="6217F82D" w14:textId="77777777" w:rsidR="00E0197D" w:rsidRPr="009A0DA6" w:rsidRDefault="00E0197D" w:rsidP="00E0197D">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9A0DA6">
        <w:rPr>
          <w:rFonts w:ascii="Cambria" w:hAnsi="Cambria" w:cstheme="minorHAnsi"/>
        </w:rPr>
        <w:tab/>
        <w:t>5.1</w:t>
      </w:r>
      <w:r w:rsidRPr="009A0DA6">
        <w:rPr>
          <w:rFonts w:ascii="Cambria" w:hAnsi="Cambria" w:cstheme="minorHAnsi"/>
        </w:rPr>
        <w:tab/>
        <w:t xml:space="preserve">The Council shall consist of seven [7] members appointed by the General Church Board on recommendations from the Standing Committee on Nominations. </w:t>
      </w:r>
    </w:p>
    <w:p w14:paraId="4C98BD13" w14:textId="77777777" w:rsidR="00E0197D" w:rsidRPr="009A0DA6" w:rsidRDefault="00E0197D" w:rsidP="00E0197D">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9A0DA6">
        <w:rPr>
          <w:rFonts w:ascii="Cambria" w:hAnsi="Cambria" w:cstheme="minorHAnsi"/>
        </w:rPr>
        <w:tab/>
        <w:t>5.2</w:t>
      </w:r>
      <w:r w:rsidRPr="009A0DA6">
        <w:rPr>
          <w:rFonts w:ascii="Cambria" w:hAnsi="Cambria" w:cstheme="minorHAnsi"/>
        </w:rPr>
        <w:tab/>
        <w:t xml:space="preserve">The Council membership shall consist of people with a passion for mission and ministry and the following relevant skills, qualifications and experience: </w:t>
      </w:r>
    </w:p>
    <w:p w14:paraId="1A9A5CDE" w14:textId="77777777" w:rsidR="00E0197D" w:rsidRPr="009A0DA6" w:rsidRDefault="00E0197D" w:rsidP="00E0197D">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9A0DA6">
        <w:rPr>
          <w:rFonts w:ascii="Cambria" w:hAnsi="Cambria" w:cstheme="minorHAnsi"/>
        </w:rPr>
        <w:tab/>
        <w:t xml:space="preserve">     </w:t>
      </w:r>
      <w:r w:rsidRPr="009A0DA6">
        <w:rPr>
          <w:rFonts w:ascii="Cambria" w:hAnsi="Cambria" w:cstheme="minorHAnsi"/>
        </w:rPr>
        <w:tab/>
        <w:t>5.2.1</w:t>
      </w:r>
      <w:r w:rsidRPr="009A0DA6">
        <w:rPr>
          <w:rFonts w:ascii="Cambria" w:hAnsi="Cambria" w:cstheme="minorHAnsi"/>
        </w:rPr>
        <w:tab/>
        <w:t>a chairperson appointed by the General Church Board;</w:t>
      </w:r>
    </w:p>
    <w:p w14:paraId="2EE977C2" w14:textId="77777777" w:rsidR="00E0197D" w:rsidRPr="009A0DA6" w:rsidRDefault="00E0197D" w:rsidP="00E0197D">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9A0DA6">
        <w:rPr>
          <w:rFonts w:ascii="Cambria" w:hAnsi="Cambria" w:cstheme="minorHAnsi"/>
        </w:rPr>
        <w:tab/>
      </w:r>
      <w:r w:rsidRPr="009A0DA6">
        <w:rPr>
          <w:rFonts w:ascii="Cambria" w:hAnsi="Cambria" w:cstheme="minorHAnsi"/>
        </w:rPr>
        <w:tab/>
        <w:t>5.2.2</w:t>
      </w:r>
      <w:r w:rsidRPr="009A0DA6">
        <w:rPr>
          <w:rFonts w:ascii="Cambria" w:hAnsi="Cambria" w:cstheme="minorHAnsi"/>
        </w:rPr>
        <w:tab/>
        <w:t>one pastor serving in a local church-related community;</w:t>
      </w:r>
    </w:p>
    <w:p w14:paraId="4DA40F6A" w14:textId="4BAF7247" w:rsidR="00E0197D" w:rsidRPr="009A0DA6" w:rsidRDefault="00E0197D" w:rsidP="00E0197D">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9A0DA6">
        <w:rPr>
          <w:rFonts w:ascii="Cambria" w:hAnsi="Cambria" w:cstheme="minorHAnsi"/>
        </w:rPr>
        <w:tab/>
      </w:r>
      <w:r w:rsidRPr="009A0DA6">
        <w:rPr>
          <w:rFonts w:ascii="Cambria" w:hAnsi="Cambria" w:cstheme="minorHAnsi"/>
        </w:rPr>
        <w:tab/>
        <w:t>5.2.3</w:t>
      </w:r>
      <w:r w:rsidRPr="009A0DA6">
        <w:rPr>
          <w:rFonts w:ascii="Cambria" w:hAnsi="Cambria" w:cstheme="minorHAnsi"/>
        </w:rPr>
        <w:tab/>
        <w:t>three [3] members with current experience and competence in leading or working in mission in a local context; and</w:t>
      </w:r>
    </w:p>
    <w:p w14:paraId="7D6F4559" w14:textId="4A4A77DD" w:rsidR="00E0197D" w:rsidRPr="009A0DA6" w:rsidRDefault="00E0197D" w:rsidP="00E31E45">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9A0DA6">
        <w:rPr>
          <w:rFonts w:ascii="Cambria" w:hAnsi="Cambria" w:cstheme="minorHAnsi"/>
        </w:rPr>
        <w:tab/>
      </w:r>
      <w:r w:rsidRPr="009A0DA6">
        <w:rPr>
          <w:rFonts w:ascii="Cambria" w:hAnsi="Cambria" w:cstheme="minorHAnsi"/>
        </w:rPr>
        <w:tab/>
        <w:t>5.2.4</w:t>
      </w:r>
      <w:r w:rsidRPr="009A0DA6">
        <w:rPr>
          <w:rFonts w:ascii="Cambria" w:hAnsi="Cambria" w:cstheme="minorHAnsi"/>
        </w:rPr>
        <w:tab/>
        <w:t>two [2] members with experience in strategic planning and/or organisational management.</w:t>
      </w:r>
    </w:p>
    <w:p w14:paraId="30C45780" w14:textId="77777777" w:rsidR="00E0197D" w:rsidRPr="009A0DA6" w:rsidRDefault="00E0197D" w:rsidP="00E0197D">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9A0DA6">
        <w:rPr>
          <w:rFonts w:ascii="Cambria" w:hAnsi="Cambria" w:cstheme="minorHAnsi"/>
        </w:rPr>
        <w:tab/>
        <w:t>5.3</w:t>
      </w:r>
      <w:r w:rsidRPr="009A0DA6">
        <w:rPr>
          <w:rFonts w:ascii="Cambria" w:hAnsi="Cambria" w:cstheme="minorHAnsi"/>
        </w:rPr>
        <w:tab/>
        <w:t>The membership shall include a mix of backgrounds and perspectives which, together with the relevant skills, qualifications and experience, will enable the Council to fulfil its role.</w:t>
      </w:r>
    </w:p>
    <w:p w14:paraId="775DA030" w14:textId="77777777" w:rsidR="00E0197D" w:rsidRPr="009A0DA6" w:rsidRDefault="00E0197D" w:rsidP="00E0197D">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9A0DA6">
        <w:rPr>
          <w:rFonts w:ascii="Cambria" w:hAnsi="Cambria" w:cstheme="minorHAnsi"/>
        </w:rPr>
        <w:tab/>
        <w:t>5.4</w:t>
      </w:r>
      <w:r w:rsidRPr="009A0DA6">
        <w:rPr>
          <w:rFonts w:ascii="Cambria" w:hAnsi="Cambria" w:cstheme="minorHAnsi"/>
        </w:rPr>
        <w:tab/>
        <w:t>The Bishop of the Church is an ex-officio member of the Council.</w:t>
      </w:r>
    </w:p>
    <w:p w14:paraId="5DD757B5" w14:textId="3697A17D" w:rsidR="00E0197D" w:rsidRPr="009A0DA6" w:rsidRDefault="00E0197D" w:rsidP="00E0197D">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9A0DA6">
        <w:rPr>
          <w:rFonts w:ascii="Cambria" w:hAnsi="Cambria" w:cstheme="minorHAnsi"/>
        </w:rPr>
        <w:tab/>
        <w:t>5.5</w:t>
      </w:r>
      <w:r w:rsidRPr="009A0DA6">
        <w:rPr>
          <w:rFonts w:ascii="Cambria" w:hAnsi="Cambria" w:cstheme="minorHAnsi"/>
        </w:rPr>
        <w:tab/>
        <w:t>The Executiv</w:t>
      </w:r>
      <w:r w:rsidR="00E31E45" w:rsidRPr="009A0DA6">
        <w:rPr>
          <w:rFonts w:ascii="Cambria" w:hAnsi="Cambria" w:cstheme="minorHAnsi"/>
        </w:rPr>
        <w:t>e Officer –</w:t>
      </w:r>
      <w:r w:rsidRPr="009A0DA6">
        <w:rPr>
          <w:rFonts w:ascii="Cambria" w:hAnsi="Cambria" w:cstheme="minorHAnsi"/>
        </w:rPr>
        <w:t xml:space="preserve"> Local Mission (EO-LM) shall attend meetings of the Council</w:t>
      </w:r>
      <w:r w:rsidR="0027799A" w:rsidRPr="009A0DA6">
        <w:rPr>
          <w:rFonts w:ascii="Cambria" w:hAnsi="Cambria" w:cstheme="minorHAnsi"/>
        </w:rPr>
        <w:t xml:space="preserve">. </w:t>
      </w:r>
    </w:p>
    <w:p w14:paraId="294CA7C7" w14:textId="77777777" w:rsidR="00E0197D" w:rsidRPr="009A0DA6" w:rsidRDefault="00E0197D" w:rsidP="00E0197D">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9A0DA6">
        <w:rPr>
          <w:rFonts w:ascii="Cambria" w:hAnsi="Cambria" w:cstheme="minorHAnsi"/>
        </w:rPr>
        <w:tab/>
        <w:t>5.6</w:t>
      </w:r>
      <w:r w:rsidRPr="009A0DA6">
        <w:rPr>
          <w:rFonts w:ascii="Cambria" w:hAnsi="Cambria" w:cstheme="minorHAnsi"/>
        </w:rPr>
        <w:tab/>
        <w:t>The Council may from time to time meet in the absence of the EO-LM.</w:t>
      </w:r>
    </w:p>
    <w:p w14:paraId="7CCD3BC8" w14:textId="77777777" w:rsidR="00E0197D" w:rsidRPr="009A0DA6" w:rsidRDefault="00E0197D" w:rsidP="00E0197D">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9A0DA6">
        <w:rPr>
          <w:rFonts w:ascii="Cambria" w:hAnsi="Cambria" w:cstheme="minorHAnsi"/>
        </w:rPr>
        <w:tab/>
        <w:t>5.7</w:t>
      </w:r>
      <w:r w:rsidRPr="009A0DA6">
        <w:rPr>
          <w:rFonts w:ascii="Cambria" w:hAnsi="Cambria" w:cstheme="minorHAnsi"/>
        </w:rPr>
        <w:tab/>
        <w:t>The Council, in consultation with the EO-LM, may invite other guests to attend meetings.</w:t>
      </w:r>
    </w:p>
    <w:p w14:paraId="687B543A" w14:textId="77777777" w:rsidR="00E0197D" w:rsidRPr="009A0DA6" w:rsidRDefault="00E0197D" w:rsidP="00E0197D">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9A0DA6">
        <w:rPr>
          <w:rFonts w:ascii="Cambria" w:hAnsi="Cambria" w:cstheme="minorHAnsi"/>
        </w:rPr>
        <w:tab/>
        <w:t>5.8</w:t>
      </w:r>
      <w:r w:rsidRPr="009A0DA6">
        <w:rPr>
          <w:rFonts w:ascii="Cambria" w:hAnsi="Cambria" w:cstheme="minorHAnsi"/>
        </w:rPr>
        <w:tab/>
        <w:t>Up to two [2] consultants may be appointed by the General Church Board on the recommendation of the Council to advise on specific issues.</w:t>
      </w:r>
    </w:p>
    <w:p w14:paraId="5E5B168D" w14:textId="77777777" w:rsidR="00E0197D" w:rsidRPr="009A0DA6" w:rsidRDefault="00E0197D" w:rsidP="00E0197D">
      <w:pPr>
        <w:tabs>
          <w:tab w:val="left" w:pos="567"/>
          <w:tab w:val="left" w:pos="1418"/>
          <w:tab w:val="left" w:pos="2268"/>
          <w:tab w:val="left" w:pos="3119"/>
          <w:tab w:val="left" w:pos="3969"/>
        </w:tabs>
        <w:spacing w:after="0" w:line="240" w:lineRule="auto"/>
        <w:ind w:left="567" w:hanging="567"/>
        <w:rPr>
          <w:rFonts w:ascii="Cambria" w:hAnsi="Cambria" w:cstheme="minorHAnsi"/>
        </w:rPr>
      </w:pPr>
    </w:p>
    <w:p w14:paraId="677D0520" w14:textId="77777777" w:rsidR="00E0197D" w:rsidRPr="009A0DA6" w:rsidRDefault="00E0197D" w:rsidP="00E0197D">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9A0DA6">
        <w:rPr>
          <w:rFonts w:ascii="Cambria" w:hAnsi="Cambria" w:cstheme="minorHAnsi"/>
          <w:b/>
        </w:rPr>
        <w:t>6.</w:t>
      </w:r>
      <w:r w:rsidRPr="009A0DA6">
        <w:rPr>
          <w:rFonts w:ascii="Cambria" w:hAnsi="Cambria" w:cstheme="minorHAnsi"/>
          <w:b/>
        </w:rPr>
        <w:tab/>
        <w:t>MEETING ARRANGMENTS AND REPORTING</w:t>
      </w:r>
    </w:p>
    <w:p w14:paraId="423A77AA" w14:textId="2DDC9BB3" w:rsidR="00E0197D" w:rsidRPr="009A0DA6" w:rsidRDefault="00E0197D" w:rsidP="00E0197D">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9A0DA6">
        <w:rPr>
          <w:rFonts w:ascii="Cambria" w:hAnsi="Cambria" w:cstheme="minorHAnsi"/>
        </w:rPr>
        <w:tab/>
        <w:t>6.1</w:t>
      </w:r>
      <w:r w:rsidRPr="009A0DA6">
        <w:rPr>
          <w:rFonts w:ascii="Cambria" w:hAnsi="Cambria" w:cstheme="minorHAnsi"/>
        </w:rPr>
        <w:tab/>
        <w:t>Meetings shall be convened by the Chairperson</w:t>
      </w:r>
      <w:r w:rsidR="0027799A" w:rsidRPr="009A0DA6">
        <w:rPr>
          <w:rFonts w:ascii="Cambria" w:hAnsi="Cambria" w:cstheme="minorHAnsi"/>
        </w:rPr>
        <w:t xml:space="preserve">. </w:t>
      </w:r>
    </w:p>
    <w:p w14:paraId="580D82D5" w14:textId="77777777" w:rsidR="00E0197D" w:rsidRPr="009A0DA6" w:rsidRDefault="00E0197D" w:rsidP="00E0197D">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9A0DA6">
        <w:rPr>
          <w:rFonts w:ascii="Cambria" w:hAnsi="Cambria" w:cstheme="minorHAnsi"/>
        </w:rPr>
        <w:tab/>
        <w:t>6.2</w:t>
      </w:r>
      <w:r w:rsidRPr="009A0DA6">
        <w:rPr>
          <w:rFonts w:ascii="Cambria" w:hAnsi="Cambria" w:cstheme="minorHAnsi"/>
        </w:rPr>
        <w:tab/>
        <w:t>It is at the discretion of the Council to meet face-to-face, by electronic means, or by other means of communication.</w:t>
      </w:r>
    </w:p>
    <w:p w14:paraId="19610990" w14:textId="77777777" w:rsidR="00E0197D" w:rsidRPr="009A0DA6" w:rsidRDefault="00E0197D" w:rsidP="00E0197D">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9A0DA6">
        <w:rPr>
          <w:rFonts w:ascii="Cambria" w:hAnsi="Cambria" w:cstheme="minorHAnsi"/>
        </w:rPr>
        <w:tab/>
        <w:t>6.3</w:t>
      </w:r>
      <w:r w:rsidRPr="009A0DA6">
        <w:rPr>
          <w:rFonts w:ascii="Cambria" w:hAnsi="Cambria" w:cstheme="minorHAnsi"/>
        </w:rPr>
        <w:tab/>
        <w:t>Email correspondence may be used for the distribution of minutes, advisory information or approval of documentation.</w:t>
      </w:r>
    </w:p>
    <w:p w14:paraId="3AB8872B" w14:textId="77777777" w:rsidR="00E0197D" w:rsidRPr="009A0DA6" w:rsidRDefault="00E0197D" w:rsidP="00E0197D">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9A0DA6">
        <w:rPr>
          <w:rFonts w:ascii="Cambria" w:hAnsi="Cambria" w:cstheme="minorHAnsi"/>
        </w:rPr>
        <w:tab/>
        <w:t>6.4</w:t>
      </w:r>
      <w:r w:rsidRPr="009A0DA6">
        <w:rPr>
          <w:rFonts w:ascii="Cambria" w:hAnsi="Cambria" w:cstheme="minorHAnsi"/>
        </w:rPr>
        <w:tab/>
        <w:t xml:space="preserve">The minutes of the Council meetings shall be submitted to the General Church Board. </w:t>
      </w:r>
    </w:p>
    <w:p w14:paraId="54265CC1" w14:textId="77777777" w:rsidR="00E0197D" w:rsidRPr="009A0DA6" w:rsidRDefault="00E0197D" w:rsidP="00E0197D">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9A0DA6">
        <w:rPr>
          <w:rFonts w:ascii="Cambria" w:hAnsi="Cambria" w:cstheme="minorHAnsi"/>
        </w:rPr>
        <w:tab/>
        <w:t>6.5</w:t>
      </w:r>
      <w:r w:rsidRPr="009A0DA6">
        <w:rPr>
          <w:rFonts w:ascii="Cambria" w:hAnsi="Cambria" w:cstheme="minorHAnsi"/>
        </w:rPr>
        <w:tab/>
        <w:t xml:space="preserve">An annual report is submitted to the General Church Board. </w:t>
      </w:r>
    </w:p>
    <w:p w14:paraId="5EC133AD" w14:textId="77777777" w:rsidR="00E0197D" w:rsidRPr="009A0DA6" w:rsidRDefault="00E0197D" w:rsidP="00E0197D">
      <w:pPr>
        <w:tabs>
          <w:tab w:val="left" w:pos="567"/>
          <w:tab w:val="left" w:pos="1418"/>
          <w:tab w:val="left" w:pos="2268"/>
          <w:tab w:val="left" w:pos="3119"/>
          <w:tab w:val="left" w:pos="3969"/>
        </w:tabs>
        <w:spacing w:after="0" w:line="240" w:lineRule="auto"/>
        <w:ind w:left="567" w:hanging="567"/>
        <w:rPr>
          <w:rFonts w:ascii="Cambria" w:hAnsi="Cambria" w:cstheme="minorHAnsi"/>
        </w:rPr>
      </w:pPr>
    </w:p>
    <w:p w14:paraId="34E84C57" w14:textId="77777777" w:rsidR="00E0197D" w:rsidRPr="009A0DA6" w:rsidRDefault="00E0197D" w:rsidP="00E0197D">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9A0DA6">
        <w:rPr>
          <w:rFonts w:ascii="Cambria" w:hAnsi="Cambria" w:cstheme="minorHAnsi"/>
          <w:b/>
        </w:rPr>
        <w:t>7.</w:t>
      </w:r>
      <w:r w:rsidRPr="009A0DA6">
        <w:rPr>
          <w:rFonts w:ascii="Cambria" w:hAnsi="Cambria" w:cstheme="minorHAnsi"/>
          <w:b/>
        </w:rPr>
        <w:tab/>
        <w:t>RESPONSIBILITIES</w:t>
      </w:r>
    </w:p>
    <w:p w14:paraId="4EC56CF0" w14:textId="77777777" w:rsidR="00E0197D" w:rsidRPr="009A0DA6" w:rsidRDefault="00E0197D" w:rsidP="00E0197D">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9A0DA6">
        <w:rPr>
          <w:rFonts w:ascii="Cambria" w:hAnsi="Cambria" w:cstheme="minorHAnsi"/>
        </w:rPr>
        <w:tab/>
        <w:t>7.1</w:t>
      </w:r>
      <w:r w:rsidRPr="009A0DA6">
        <w:rPr>
          <w:rFonts w:ascii="Cambria" w:hAnsi="Cambria" w:cstheme="minorHAnsi"/>
        </w:rPr>
        <w:tab/>
        <w:t>The Council develops mission policy and practice which</w:t>
      </w:r>
    </w:p>
    <w:p w14:paraId="06F10A08" w14:textId="77777777" w:rsidR="00E0197D" w:rsidRPr="009A0DA6" w:rsidRDefault="00E0197D" w:rsidP="00E0197D">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9A0DA6">
        <w:rPr>
          <w:rFonts w:ascii="Cambria" w:hAnsi="Cambria" w:cstheme="minorHAnsi"/>
        </w:rPr>
        <w:tab/>
      </w:r>
      <w:r w:rsidRPr="009A0DA6">
        <w:rPr>
          <w:rFonts w:ascii="Cambria" w:hAnsi="Cambria" w:cstheme="minorHAnsi"/>
        </w:rPr>
        <w:tab/>
        <w:t>7.1.1</w:t>
      </w:r>
      <w:r w:rsidRPr="009A0DA6">
        <w:rPr>
          <w:rFonts w:ascii="Cambria" w:hAnsi="Cambria" w:cstheme="minorHAnsi"/>
        </w:rPr>
        <w:tab/>
        <w:t xml:space="preserve">is based on the study of missiology and society and culture;  </w:t>
      </w:r>
    </w:p>
    <w:p w14:paraId="681A9C63" w14:textId="77777777" w:rsidR="00E0197D" w:rsidRPr="009A0DA6" w:rsidRDefault="00E0197D" w:rsidP="00E0197D">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9A0DA6">
        <w:rPr>
          <w:rFonts w:ascii="Cambria" w:hAnsi="Cambria" w:cstheme="minorHAnsi"/>
        </w:rPr>
        <w:tab/>
      </w:r>
      <w:r w:rsidRPr="009A0DA6">
        <w:rPr>
          <w:rFonts w:ascii="Cambria" w:hAnsi="Cambria" w:cstheme="minorHAnsi"/>
        </w:rPr>
        <w:tab/>
        <w:t>7.1.2</w:t>
      </w:r>
      <w:r w:rsidRPr="009A0DA6">
        <w:rPr>
          <w:rFonts w:ascii="Cambria" w:hAnsi="Cambria" w:cstheme="minorHAnsi"/>
        </w:rPr>
        <w:tab/>
        <w:t xml:space="preserve">identifies, assesses and shares lessons from practical experience of mission in the Church; </w:t>
      </w:r>
    </w:p>
    <w:p w14:paraId="5FEE66BE" w14:textId="7B6D8FA3" w:rsidR="00E0197D" w:rsidRPr="009A0DA6" w:rsidRDefault="00E0197D" w:rsidP="00E0197D">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9A0DA6">
        <w:rPr>
          <w:rFonts w:ascii="Cambria" w:hAnsi="Cambria" w:cstheme="minorHAnsi"/>
        </w:rPr>
        <w:tab/>
      </w:r>
      <w:r w:rsidRPr="009A0DA6">
        <w:rPr>
          <w:rFonts w:ascii="Cambria" w:hAnsi="Cambria" w:cstheme="minorHAnsi"/>
        </w:rPr>
        <w:tab/>
        <w:t>7.1.3</w:t>
      </w:r>
      <w:r w:rsidRPr="009A0DA6">
        <w:rPr>
          <w:rFonts w:ascii="Cambria" w:hAnsi="Cambria" w:cstheme="minorHAnsi"/>
        </w:rPr>
        <w:tab/>
        <w:t>monitors the development and provision of missional resources to congregations and o</w:t>
      </w:r>
      <w:r w:rsidR="002E45F0" w:rsidRPr="009A0DA6">
        <w:rPr>
          <w:rFonts w:ascii="Cambria" w:hAnsi="Cambria" w:cstheme="minorHAnsi"/>
        </w:rPr>
        <w:t xml:space="preserve">ther ministries of the Church; </w:t>
      </w:r>
      <w:r w:rsidRPr="009A0DA6">
        <w:rPr>
          <w:rFonts w:ascii="Cambria" w:hAnsi="Cambria" w:cstheme="minorHAnsi"/>
        </w:rPr>
        <w:t>and</w:t>
      </w:r>
    </w:p>
    <w:p w14:paraId="57E86CA0" w14:textId="6027D2EC" w:rsidR="00E0197D" w:rsidRPr="009A0DA6" w:rsidRDefault="00E0197D" w:rsidP="00E0197D">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9A0DA6">
        <w:rPr>
          <w:rFonts w:ascii="Cambria" w:hAnsi="Cambria" w:cstheme="minorHAnsi"/>
        </w:rPr>
        <w:tab/>
      </w:r>
      <w:r w:rsidRPr="009A0DA6">
        <w:rPr>
          <w:rFonts w:ascii="Cambria" w:hAnsi="Cambria" w:cstheme="minorHAnsi"/>
        </w:rPr>
        <w:tab/>
        <w:t>7.1.4</w:t>
      </w:r>
      <w:r w:rsidRPr="009A0DA6">
        <w:rPr>
          <w:rFonts w:ascii="Cambria" w:hAnsi="Cambria" w:cstheme="minorHAnsi"/>
        </w:rPr>
        <w:tab/>
        <w:t>partners with Australian Lutheran College in establishing training programs that build mission capacity within the Church.</w:t>
      </w:r>
      <w:r w:rsidR="002E45F0" w:rsidRPr="009A0DA6">
        <w:rPr>
          <w:rFonts w:ascii="Cambria" w:hAnsi="Cambria" w:cstheme="minorHAnsi"/>
        </w:rPr>
        <w:br/>
      </w:r>
    </w:p>
    <w:p w14:paraId="0A9C1BA8" w14:textId="77777777" w:rsidR="00E0197D" w:rsidRPr="009A0DA6" w:rsidRDefault="00E0197D" w:rsidP="00E0197D">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9A0DA6">
        <w:rPr>
          <w:rFonts w:ascii="Cambria" w:hAnsi="Cambria" w:cstheme="minorHAnsi"/>
        </w:rPr>
        <w:tab/>
        <w:t>7.2</w:t>
      </w:r>
      <w:r w:rsidRPr="009A0DA6">
        <w:rPr>
          <w:rFonts w:ascii="Cambria" w:hAnsi="Cambria" w:cstheme="minorHAnsi"/>
        </w:rPr>
        <w:tab/>
        <w:t>In addition to responsibilities prescribed in Section 8.7 of the By-laws, the Council shall</w:t>
      </w:r>
    </w:p>
    <w:p w14:paraId="21DDB43B" w14:textId="77777777" w:rsidR="00E0197D" w:rsidRPr="009A0DA6" w:rsidRDefault="00E0197D" w:rsidP="00E0197D">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9A0DA6">
        <w:rPr>
          <w:rFonts w:ascii="Cambria" w:hAnsi="Cambria" w:cstheme="minorHAnsi"/>
        </w:rPr>
        <w:tab/>
      </w:r>
      <w:r w:rsidRPr="009A0DA6">
        <w:rPr>
          <w:rFonts w:ascii="Cambria" w:hAnsi="Cambria" w:cstheme="minorHAnsi"/>
        </w:rPr>
        <w:tab/>
        <w:t>7.2.1</w:t>
      </w:r>
      <w:r w:rsidRPr="009A0DA6">
        <w:rPr>
          <w:rFonts w:ascii="Cambria" w:hAnsi="Cambria" w:cstheme="minorHAnsi"/>
        </w:rPr>
        <w:tab/>
        <w:t>facilitate an integrated and consistent approach to local mission activity within the Church;</w:t>
      </w:r>
    </w:p>
    <w:p w14:paraId="5157F7C0" w14:textId="77777777" w:rsidR="00E0197D" w:rsidRPr="009A0DA6" w:rsidRDefault="00E0197D" w:rsidP="00E0197D">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9A0DA6">
        <w:rPr>
          <w:rFonts w:ascii="Cambria" w:hAnsi="Cambria" w:cstheme="minorHAnsi"/>
        </w:rPr>
        <w:tab/>
      </w:r>
      <w:r w:rsidRPr="009A0DA6">
        <w:rPr>
          <w:rFonts w:ascii="Cambria" w:hAnsi="Cambria" w:cstheme="minorHAnsi"/>
        </w:rPr>
        <w:tab/>
        <w:t>7.2.2</w:t>
      </w:r>
      <w:r w:rsidRPr="009A0DA6">
        <w:rPr>
          <w:rFonts w:ascii="Cambria" w:hAnsi="Cambria" w:cstheme="minorHAnsi"/>
        </w:rPr>
        <w:tab/>
        <w:t>develop strategic plans and ministry priorities, including the financial and resources support required, for approval by the General Church Board;</w:t>
      </w:r>
    </w:p>
    <w:p w14:paraId="36C8630F" w14:textId="77777777" w:rsidR="00E0197D" w:rsidRPr="009A0DA6" w:rsidRDefault="00E0197D" w:rsidP="00E0197D">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9A0DA6">
        <w:rPr>
          <w:rFonts w:ascii="Cambria" w:hAnsi="Cambria" w:cstheme="minorHAnsi"/>
        </w:rPr>
        <w:tab/>
      </w:r>
      <w:r w:rsidRPr="009A0DA6">
        <w:rPr>
          <w:rFonts w:ascii="Cambria" w:hAnsi="Cambria" w:cstheme="minorHAnsi"/>
        </w:rPr>
        <w:tab/>
        <w:t>7.2.3</w:t>
      </w:r>
      <w:r w:rsidRPr="009A0DA6">
        <w:rPr>
          <w:rFonts w:ascii="Cambria" w:hAnsi="Cambria" w:cstheme="minorHAnsi"/>
        </w:rPr>
        <w:tab/>
        <w:t>oversee the finances of the Local Mission Department;</w:t>
      </w:r>
    </w:p>
    <w:p w14:paraId="408CF5EA" w14:textId="77777777" w:rsidR="00E0197D" w:rsidRPr="009A0DA6" w:rsidRDefault="00E0197D" w:rsidP="00E0197D">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9A0DA6">
        <w:rPr>
          <w:rFonts w:ascii="Cambria" w:hAnsi="Cambria" w:cstheme="minorHAnsi"/>
        </w:rPr>
        <w:lastRenderedPageBreak/>
        <w:tab/>
      </w:r>
      <w:r w:rsidRPr="009A0DA6">
        <w:rPr>
          <w:rFonts w:ascii="Cambria" w:hAnsi="Cambria" w:cstheme="minorHAnsi"/>
        </w:rPr>
        <w:tab/>
        <w:t>7.2.4</w:t>
      </w:r>
      <w:r w:rsidRPr="009A0DA6">
        <w:rPr>
          <w:rFonts w:ascii="Cambria" w:hAnsi="Cambria" w:cstheme="minorHAnsi"/>
        </w:rPr>
        <w:tab/>
        <w:t>provide strategic leadership in collaboration with the Districts to support and encourage mission in local communities;</w:t>
      </w:r>
    </w:p>
    <w:p w14:paraId="7AC2E613" w14:textId="77777777" w:rsidR="00E0197D" w:rsidRPr="009A0DA6" w:rsidRDefault="00E0197D" w:rsidP="00E0197D">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9A0DA6">
        <w:rPr>
          <w:rFonts w:ascii="Cambria" w:hAnsi="Cambria" w:cstheme="minorHAnsi"/>
        </w:rPr>
        <w:tab/>
      </w:r>
      <w:r w:rsidRPr="009A0DA6">
        <w:rPr>
          <w:rFonts w:ascii="Cambria" w:hAnsi="Cambria" w:cstheme="minorHAnsi"/>
        </w:rPr>
        <w:tab/>
        <w:t>7.2.5</w:t>
      </w:r>
      <w:r w:rsidRPr="009A0DA6">
        <w:rPr>
          <w:rFonts w:ascii="Cambria" w:hAnsi="Cambria" w:cstheme="minorHAnsi"/>
        </w:rPr>
        <w:tab/>
        <w:t>identify risks associated with local mission and develop and monitor a risk management plan;</w:t>
      </w:r>
    </w:p>
    <w:p w14:paraId="22015F77" w14:textId="77777777" w:rsidR="00E0197D" w:rsidRPr="009A0DA6" w:rsidRDefault="00E0197D" w:rsidP="00E0197D">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9A0DA6">
        <w:rPr>
          <w:rFonts w:ascii="Cambria" w:hAnsi="Cambria" w:cstheme="minorHAnsi"/>
        </w:rPr>
        <w:tab/>
      </w:r>
      <w:r w:rsidRPr="009A0DA6">
        <w:rPr>
          <w:rFonts w:ascii="Cambria" w:hAnsi="Cambria" w:cstheme="minorHAnsi"/>
        </w:rPr>
        <w:tab/>
        <w:t>7.2.6</w:t>
      </w:r>
      <w:r w:rsidRPr="009A0DA6">
        <w:rPr>
          <w:rFonts w:ascii="Cambria" w:hAnsi="Cambria" w:cstheme="minorHAnsi"/>
        </w:rPr>
        <w:tab/>
        <w:t>review and monitor the work and well-being of the EO-LM;</w:t>
      </w:r>
    </w:p>
    <w:p w14:paraId="29B815C0" w14:textId="77777777" w:rsidR="00E0197D" w:rsidRPr="009A0DA6" w:rsidRDefault="00E0197D" w:rsidP="00E0197D">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9A0DA6">
        <w:rPr>
          <w:rFonts w:ascii="Cambria" w:hAnsi="Cambria" w:cstheme="minorHAnsi"/>
        </w:rPr>
        <w:tab/>
      </w:r>
      <w:r w:rsidRPr="009A0DA6">
        <w:rPr>
          <w:rFonts w:ascii="Cambria" w:hAnsi="Cambria" w:cstheme="minorHAnsi"/>
        </w:rPr>
        <w:tab/>
        <w:t>7.2.7</w:t>
      </w:r>
      <w:r w:rsidRPr="009A0DA6">
        <w:rPr>
          <w:rFonts w:ascii="Cambria" w:hAnsi="Cambria" w:cstheme="minorHAnsi"/>
        </w:rPr>
        <w:tab/>
        <w:t>oversee the work of committees of the Council by</w:t>
      </w:r>
    </w:p>
    <w:p w14:paraId="16271F19" w14:textId="77777777" w:rsidR="00E0197D" w:rsidRPr="009A0DA6" w:rsidRDefault="00E0197D" w:rsidP="00E0197D">
      <w:pPr>
        <w:tabs>
          <w:tab w:val="left" w:pos="567"/>
          <w:tab w:val="left" w:pos="1418"/>
          <w:tab w:val="left" w:pos="2268"/>
          <w:tab w:val="left" w:pos="3119"/>
          <w:tab w:val="left" w:pos="3969"/>
        </w:tabs>
        <w:spacing w:after="0" w:line="240" w:lineRule="auto"/>
        <w:ind w:left="567" w:hanging="567"/>
        <w:rPr>
          <w:rFonts w:ascii="Cambria" w:hAnsi="Cambria" w:cstheme="minorHAnsi"/>
        </w:rPr>
      </w:pPr>
      <w:r w:rsidRPr="009A0DA6">
        <w:rPr>
          <w:rFonts w:ascii="Cambria" w:hAnsi="Cambria" w:cstheme="minorHAnsi"/>
        </w:rPr>
        <w:tab/>
        <w:t xml:space="preserve">  </w:t>
      </w:r>
      <w:r w:rsidRPr="009A0DA6">
        <w:rPr>
          <w:rFonts w:ascii="Cambria" w:hAnsi="Cambria" w:cstheme="minorHAnsi"/>
        </w:rPr>
        <w:tab/>
      </w:r>
      <w:r w:rsidRPr="009A0DA6">
        <w:rPr>
          <w:rFonts w:ascii="Cambria" w:hAnsi="Cambria" w:cstheme="minorHAnsi"/>
        </w:rPr>
        <w:tab/>
        <w:t>7.2.7.1</w:t>
      </w:r>
      <w:r w:rsidRPr="009A0DA6">
        <w:rPr>
          <w:rFonts w:ascii="Cambria" w:hAnsi="Cambria" w:cstheme="minorHAnsi"/>
        </w:rPr>
        <w:tab/>
        <w:t>appointing the membership;</w:t>
      </w:r>
    </w:p>
    <w:p w14:paraId="75E0CC55" w14:textId="77777777" w:rsidR="00E0197D" w:rsidRPr="009A0DA6" w:rsidRDefault="00E0197D" w:rsidP="00E0197D">
      <w:pPr>
        <w:tabs>
          <w:tab w:val="left" w:pos="567"/>
          <w:tab w:val="left" w:pos="1418"/>
          <w:tab w:val="left" w:pos="2268"/>
          <w:tab w:val="left" w:pos="3119"/>
          <w:tab w:val="left" w:pos="3969"/>
        </w:tabs>
        <w:spacing w:after="0" w:line="240" w:lineRule="auto"/>
        <w:ind w:left="567" w:hanging="567"/>
        <w:rPr>
          <w:rFonts w:ascii="Cambria" w:hAnsi="Cambria" w:cstheme="minorHAnsi"/>
        </w:rPr>
      </w:pPr>
      <w:r w:rsidRPr="009A0DA6">
        <w:rPr>
          <w:rFonts w:ascii="Cambria" w:hAnsi="Cambria" w:cstheme="minorHAnsi"/>
        </w:rPr>
        <w:tab/>
        <w:t xml:space="preserve"> </w:t>
      </w:r>
      <w:r w:rsidRPr="009A0DA6">
        <w:rPr>
          <w:rFonts w:ascii="Cambria" w:hAnsi="Cambria" w:cstheme="minorHAnsi"/>
        </w:rPr>
        <w:tab/>
      </w:r>
      <w:r w:rsidRPr="009A0DA6">
        <w:rPr>
          <w:rFonts w:ascii="Cambria" w:hAnsi="Cambria" w:cstheme="minorHAnsi"/>
        </w:rPr>
        <w:tab/>
        <w:t>7.2.7.2</w:t>
      </w:r>
      <w:r w:rsidRPr="009A0DA6">
        <w:rPr>
          <w:rFonts w:ascii="Cambria" w:hAnsi="Cambria" w:cstheme="minorHAnsi"/>
        </w:rPr>
        <w:tab/>
        <w:t>reviewing and confirming their terms of reference;</w:t>
      </w:r>
    </w:p>
    <w:p w14:paraId="4C0BD94E" w14:textId="77777777" w:rsidR="00E0197D" w:rsidRPr="009A0DA6" w:rsidRDefault="00E0197D" w:rsidP="00E0197D">
      <w:pPr>
        <w:tabs>
          <w:tab w:val="left" w:pos="567"/>
          <w:tab w:val="left" w:pos="1418"/>
          <w:tab w:val="left" w:pos="2268"/>
          <w:tab w:val="left" w:pos="3119"/>
          <w:tab w:val="left" w:pos="3969"/>
        </w:tabs>
        <w:spacing w:after="0" w:line="240" w:lineRule="auto"/>
        <w:ind w:left="567" w:hanging="567"/>
        <w:rPr>
          <w:rFonts w:ascii="Cambria" w:hAnsi="Cambria" w:cstheme="minorHAnsi"/>
        </w:rPr>
      </w:pPr>
      <w:r w:rsidRPr="009A0DA6">
        <w:rPr>
          <w:rFonts w:ascii="Cambria" w:hAnsi="Cambria" w:cstheme="minorHAnsi"/>
        </w:rPr>
        <w:tab/>
        <w:t xml:space="preserve">  </w:t>
      </w:r>
      <w:r w:rsidRPr="009A0DA6">
        <w:rPr>
          <w:rFonts w:ascii="Cambria" w:hAnsi="Cambria" w:cstheme="minorHAnsi"/>
        </w:rPr>
        <w:tab/>
      </w:r>
      <w:r w:rsidRPr="009A0DA6">
        <w:rPr>
          <w:rFonts w:ascii="Cambria" w:hAnsi="Cambria" w:cstheme="minorHAnsi"/>
        </w:rPr>
        <w:tab/>
        <w:t>7.2.7.3</w:t>
      </w:r>
      <w:r w:rsidRPr="009A0DA6">
        <w:rPr>
          <w:rFonts w:ascii="Cambria" w:hAnsi="Cambria" w:cstheme="minorHAnsi"/>
        </w:rPr>
        <w:tab/>
        <w:t>receiving the minutes of committee meetings;</w:t>
      </w:r>
    </w:p>
    <w:p w14:paraId="7D9C6C0F" w14:textId="00E0AD0A" w:rsidR="00E0197D" w:rsidRPr="009A0DA6" w:rsidRDefault="00E0197D" w:rsidP="00E0197D">
      <w:pPr>
        <w:tabs>
          <w:tab w:val="left" w:pos="567"/>
          <w:tab w:val="left" w:pos="1418"/>
          <w:tab w:val="left" w:pos="2268"/>
          <w:tab w:val="left" w:pos="3119"/>
          <w:tab w:val="left" w:pos="3969"/>
        </w:tabs>
        <w:spacing w:after="0" w:line="240" w:lineRule="auto"/>
        <w:ind w:left="3119" w:hanging="3119"/>
        <w:rPr>
          <w:rFonts w:ascii="Cambria" w:hAnsi="Cambria" w:cstheme="minorHAnsi"/>
        </w:rPr>
      </w:pPr>
      <w:r w:rsidRPr="009A0DA6">
        <w:rPr>
          <w:rFonts w:ascii="Cambria" w:hAnsi="Cambria" w:cstheme="minorHAnsi"/>
        </w:rPr>
        <w:tab/>
      </w:r>
      <w:r w:rsidRPr="009A0DA6">
        <w:rPr>
          <w:rFonts w:ascii="Cambria" w:hAnsi="Cambria" w:cstheme="minorHAnsi"/>
        </w:rPr>
        <w:tab/>
      </w:r>
      <w:r w:rsidRPr="009A0DA6">
        <w:rPr>
          <w:rFonts w:ascii="Cambria" w:hAnsi="Cambria" w:cstheme="minorHAnsi"/>
        </w:rPr>
        <w:tab/>
        <w:t>7.2.7.4</w:t>
      </w:r>
      <w:r w:rsidRPr="009A0DA6">
        <w:rPr>
          <w:rFonts w:ascii="Cambria" w:hAnsi="Cambria" w:cstheme="minorHAnsi"/>
        </w:rPr>
        <w:tab/>
        <w:t>undertake regular performance review of the Directors a</w:t>
      </w:r>
      <w:r w:rsidR="002E45F0" w:rsidRPr="009A0DA6">
        <w:rPr>
          <w:rFonts w:ascii="Cambria" w:hAnsi="Cambria" w:cstheme="minorHAnsi"/>
        </w:rPr>
        <w:t>nd Managers of the departments;</w:t>
      </w:r>
      <w:r w:rsidRPr="009A0DA6">
        <w:rPr>
          <w:rFonts w:ascii="Cambria" w:hAnsi="Cambria" w:cstheme="minorHAnsi"/>
        </w:rPr>
        <w:t xml:space="preserve"> and</w:t>
      </w:r>
    </w:p>
    <w:p w14:paraId="74EA7CC6" w14:textId="77777777" w:rsidR="00E0197D" w:rsidRPr="009A0DA6" w:rsidRDefault="00E0197D" w:rsidP="00E0197D">
      <w:pPr>
        <w:tabs>
          <w:tab w:val="left" w:pos="567"/>
          <w:tab w:val="left" w:pos="1418"/>
          <w:tab w:val="left" w:pos="2268"/>
          <w:tab w:val="left" w:pos="3119"/>
          <w:tab w:val="left" w:pos="3969"/>
        </w:tabs>
        <w:spacing w:after="0" w:line="240" w:lineRule="auto"/>
        <w:ind w:left="567" w:hanging="567"/>
        <w:rPr>
          <w:rFonts w:ascii="Cambria" w:hAnsi="Cambria" w:cstheme="minorHAnsi"/>
        </w:rPr>
      </w:pPr>
      <w:r w:rsidRPr="009A0DA6">
        <w:rPr>
          <w:rFonts w:ascii="Cambria" w:hAnsi="Cambria" w:cstheme="minorHAnsi"/>
        </w:rPr>
        <w:tab/>
      </w:r>
      <w:r w:rsidRPr="009A0DA6">
        <w:rPr>
          <w:rFonts w:ascii="Cambria" w:hAnsi="Cambria" w:cstheme="minorHAnsi"/>
        </w:rPr>
        <w:tab/>
      </w:r>
      <w:r w:rsidRPr="009A0DA6">
        <w:rPr>
          <w:rFonts w:ascii="Cambria" w:hAnsi="Cambria" w:cstheme="minorHAnsi"/>
        </w:rPr>
        <w:tab/>
        <w:t>7.2.7.5</w:t>
      </w:r>
      <w:r w:rsidRPr="009A0DA6">
        <w:rPr>
          <w:rFonts w:ascii="Cambria" w:hAnsi="Cambria" w:cstheme="minorHAnsi"/>
        </w:rPr>
        <w:tab/>
        <w:t>providing regular feedback to these committees;</w:t>
      </w:r>
    </w:p>
    <w:p w14:paraId="62C1A58C" w14:textId="24BFEA08" w:rsidR="00E0197D" w:rsidRPr="009A0DA6" w:rsidRDefault="00E0197D" w:rsidP="00E0197D">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9A0DA6">
        <w:rPr>
          <w:rFonts w:ascii="Cambria" w:hAnsi="Cambria" w:cstheme="minorHAnsi"/>
        </w:rPr>
        <w:tab/>
      </w:r>
      <w:r w:rsidRPr="009A0DA6">
        <w:rPr>
          <w:rFonts w:ascii="Cambria" w:hAnsi="Cambria" w:cstheme="minorHAnsi"/>
        </w:rPr>
        <w:tab/>
        <w:t>7.2.8</w:t>
      </w:r>
      <w:r w:rsidRPr="009A0DA6">
        <w:rPr>
          <w:rFonts w:ascii="Cambria" w:hAnsi="Cambria" w:cstheme="minorHAnsi"/>
        </w:rPr>
        <w:tab/>
        <w:t>work with the Communications Department of the Church to convey accounts of local mission activities to the wider Church; and</w:t>
      </w:r>
    </w:p>
    <w:p w14:paraId="39F8E22C" w14:textId="4CC69031" w:rsidR="00E0197D" w:rsidRPr="009A0DA6" w:rsidRDefault="00E0197D" w:rsidP="00E0197D">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9A0DA6">
        <w:rPr>
          <w:rFonts w:ascii="Cambria" w:hAnsi="Cambria" w:cstheme="minorHAnsi"/>
        </w:rPr>
        <w:tab/>
      </w:r>
      <w:r w:rsidRPr="009A0DA6">
        <w:rPr>
          <w:rFonts w:ascii="Cambria" w:hAnsi="Cambria" w:cstheme="minorHAnsi"/>
        </w:rPr>
        <w:tab/>
        <w:t>7.2.9</w:t>
      </w:r>
      <w:r w:rsidRPr="009A0DA6">
        <w:rPr>
          <w:rFonts w:ascii="Cambria" w:hAnsi="Cambria" w:cstheme="minorHAnsi"/>
        </w:rPr>
        <w:tab/>
        <w:t xml:space="preserve">support the recruitment and performance management of the </w:t>
      </w:r>
      <w:r w:rsidR="00ED1C4A" w:rsidRPr="009A0DA6">
        <w:rPr>
          <w:rFonts w:ascii="Cambria" w:hAnsi="Cambria" w:cstheme="minorHAnsi"/>
        </w:rPr>
        <w:br/>
      </w:r>
      <w:r w:rsidRPr="009A0DA6">
        <w:rPr>
          <w:rFonts w:ascii="Cambria" w:hAnsi="Cambria" w:cstheme="minorHAnsi"/>
        </w:rPr>
        <w:t>EO-LM.</w:t>
      </w:r>
    </w:p>
    <w:p w14:paraId="1C09848F" w14:textId="77777777" w:rsidR="00E0197D" w:rsidRPr="00A971D9" w:rsidRDefault="00E0197D" w:rsidP="00E0197D">
      <w:pPr>
        <w:tabs>
          <w:tab w:val="left" w:pos="567"/>
          <w:tab w:val="left" w:pos="1418"/>
          <w:tab w:val="left" w:pos="2268"/>
          <w:tab w:val="left" w:pos="3119"/>
          <w:tab w:val="left" w:pos="3969"/>
        </w:tabs>
        <w:spacing w:after="0" w:line="240" w:lineRule="auto"/>
        <w:ind w:left="567" w:hanging="567"/>
        <w:rPr>
          <w:rFonts w:ascii="Cambria" w:hAnsi="Cambria" w:cstheme="minorHAnsi"/>
          <w:sz w:val="6"/>
        </w:rPr>
      </w:pPr>
    </w:p>
    <w:p w14:paraId="342F1BDF" w14:textId="77777777" w:rsidR="00E0197D" w:rsidRPr="009A0DA6" w:rsidRDefault="00E0197D" w:rsidP="00E0197D">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9A0DA6">
        <w:rPr>
          <w:rFonts w:ascii="Cambria" w:hAnsi="Cambria" w:cstheme="minorHAnsi"/>
          <w:b/>
        </w:rPr>
        <w:t>8.</w:t>
      </w:r>
      <w:r w:rsidRPr="009A0DA6">
        <w:rPr>
          <w:rFonts w:ascii="Cambria" w:hAnsi="Cambria" w:cstheme="minorHAnsi"/>
          <w:b/>
        </w:rPr>
        <w:tab/>
        <w:t>REVIEW</w:t>
      </w:r>
    </w:p>
    <w:p w14:paraId="0E4CFD27" w14:textId="73F8684E" w:rsidR="00E0197D" w:rsidRPr="009A0DA6" w:rsidRDefault="00E0197D" w:rsidP="00E0197D">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9A0DA6">
        <w:rPr>
          <w:rFonts w:ascii="Cambria" w:hAnsi="Cambria" w:cstheme="minorHAnsi"/>
        </w:rPr>
        <w:tab/>
        <w:t>8.1</w:t>
      </w:r>
      <w:r w:rsidRPr="009A0DA6">
        <w:rPr>
          <w:rFonts w:ascii="Cambria" w:hAnsi="Cambria" w:cstheme="minorHAnsi"/>
        </w:rPr>
        <w:tab/>
        <w:t xml:space="preserve">The Terms of Reference for the Council shall be reviewed during each </w:t>
      </w:r>
      <w:r w:rsidR="00712620" w:rsidRPr="009A0DA6">
        <w:rPr>
          <w:rFonts w:ascii="Cambria" w:hAnsi="Cambria" w:cstheme="minorHAnsi"/>
        </w:rPr>
        <w:t>Synodical</w:t>
      </w:r>
      <w:r w:rsidRPr="009A0DA6">
        <w:rPr>
          <w:rFonts w:ascii="Cambria" w:hAnsi="Cambria" w:cstheme="minorHAnsi"/>
        </w:rPr>
        <w:t xml:space="preserve"> term. </w:t>
      </w:r>
    </w:p>
    <w:p w14:paraId="3A986B0E" w14:textId="77777777" w:rsidR="00E0197D" w:rsidRPr="009A0DA6" w:rsidRDefault="00E0197D" w:rsidP="00E0197D">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9A0DA6">
        <w:rPr>
          <w:rFonts w:ascii="Cambria" w:hAnsi="Cambria" w:cstheme="minorHAnsi"/>
        </w:rPr>
        <w:tab/>
        <w:t>8.2</w:t>
      </w:r>
      <w:r w:rsidRPr="009A0DA6">
        <w:rPr>
          <w:rFonts w:ascii="Cambria" w:hAnsi="Cambria" w:cstheme="minorHAnsi"/>
        </w:rPr>
        <w:tab/>
        <w:t>Any changes to the Terms of Reference shall be approved by the General Church Board, upon review by the Standing Committee on Constitutions.</w:t>
      </w:r>
    </w:p>
    <w:p w14:paraId="044FC02C" w14:textId="77777777" w:rsidR="00E0197D" w:rsidRPr="00A971D9" w:rsidRDefault="00E0197D" w:rsidP="00E0197D">
      <w:pPr>
        <w:shd w:val="clear" w:color="auto" w:fill="FFFFFF"/>
        <w:spacing w:after="0" w:line="240" w:lineRule="auto"/>
        <w:rPr>
          <w:rFonts w:ascii="Cambria" w:eastAsia="Times New Roman" w:hAnsi="Cambria" w:cs="Times New Roman"/>
          <w:b/>
          <w:bCs/>
          <w:color w:val="222222"/>
          <w:sz w:val="14"/>
          <w:lang w:eastAsia="en-AU"/>
        </w:rPr>
      </w:pPr>
    </w:p>
    <w:p w14:paraId="028C016C" w14:textId="3C6C8D86" w:rsidR="00E0197D" w:rsidRPr="009A0DA6" w:rsidRDefault="00FB59B1" w:rsidP="002E45F0">
      <w:pPr>
        <w:pStyle w:val="Heading3"/>
        <w:rPr>
          <w:rFonts w:eastAsia="Times New Roman"/>
          <w:lang w:eastAsia="en-AU"/>
        </w:rPr>
      </w:pPr>
      <w:r w:rsidRPr="009A0DA6">
        <w:rPr>
          <w:rFonts w:eastAsia="Times New Roman"/>
          <w:lang w:eastAsia="en-AU"/>
        </w:rPr>
        <w:t>REASONS FOR THE MOTION</w:t>
      </w:r>
    </w:p>
    <w:p w14:paraId="501F50DE" w14:textId="25D00C03" w:rsidR="00E0197D" w:rsidRPr="009A0DA6" w:rsidRDefault="00C64B1F" w:rsidP="00E0197D">
      <w:pPr>
        <w:shd w:val="clear" w:color="auto" w:fill="FFFFFF"/>
        <w:spacing w:line="240" w:lineRule="auto"/>
        <w:rPr>
          <w:rFonts w:ascii="Cambria" w:hAnsi="Cambria" w:cs="Arial"/>
          <w:color w:val="222222"/>
        </w:rPr>
      </w:pPr>
      <w:r w:rsidRPr="009A0DA6">
        <w:rPr>
          <w:rFonts w:ascii="Cambria" w:hAnsi="Cambria" w:cs="Arial"/>
          <w:color w:val="222222"/>
        </w:rPr>
        <w:t>In 2015</w:t>
      </w:r>
      <w:r w:rsidR="00E0197D" w:rsidRPr="009A0DA6">
        <w:rPr>
          <w:rFonts w:ascii="Cambria" w:hAnsi="Cambria" w:cs="Arial"/>
          <w:color w:val="222222"/>
        </w:rPr>
        <w:t xml:space="preserve"> the General Synod authorised the trial of a restructure of the National functions of the </w:t>
      </w:r>
      <w:r w:rsidR="00DB2C41" w:rsidRPr="009A0DA6">
        <w:rPr>
          <w:rFonts w:ascii="Cambria" w:hAnsi="Cambria" w:cs="Arial"/>
          <w:color w:val="222222"/>
        </w:rPr>
        <w:t>church</w:t>
      </w:r>
      <w:r w:rsidR="00E0197D" w:rsidRPr="009A0DA6">
        <w:rPr>
          <w:rFonts w:ascii="Cambria" w:hAnsi="Cambria" w:cs="Arial"/>
          <w:color w:val="222222"/>
        </w:rPr>
        <w:t xml:space="preserve"> in a phased approach to provide more effective leadership, governance and other resources that are </w:t>
      </w:r>
      <w:r w:rsidR="00C2017B" w:rsidRPr="009A0DA6">
        <w:rPr>
          <w:rFonts w:ascii="Cambria" w:hAnsi="Cambria" w:cs="Arial"/>
          <w:color w:val="222222"/>
        </w:rPr>
        <w:t>churchwide</w:t>
      </w:r>
      <w:r w:rsidR="00E0197D" w:rsidRPr="009A0DA6">
        <w:rPr>
          <w:rFonts w:ascii="Cambria" w:hAnsi="Cambria" w:cs="Arial"/>
          <w:color w:val="222222"/>
        </w:rPr>
        <w:t xml:space="preserve">, mission focused, service oriented, efficiently delivered and effective in enacting the decisions and directions of General Synod. </w:t>
      </w:r>
    </w:p>
    <w:p w14:paraId="5C6E3D2D" w14:textId="77777777" w:rsidR="00E0197D" w:rsidRPr="009A0DA6" w:rsidRDefault="00E0197D" w:rsidP="00E0197D">
      <w:pPr>
        <w:shd w:val="clear" w:color="auto" w:fill="FFFFFF"/>
        <w:spacing w:line="240" w:lineRule="auto"/>
        <w:rPr>
          <w:rFonts w:ascii="Cambria" w:hAnsi="Cambria" w:cs="Arial"/>
          <w:color w:val="222222"/>
        </w:rPr>
      </w:pPr>
      <w:r w:rsidRPr="009A0DA6">
        <w:rPr>
          <w:rFonts w:ascii="Cambria" w:hAnsi="Cambria" w:cs="Arial"/>
          <w:color w:val="222222"/>
        </w:rPr>
        <w:t>The General Synod further resolved that GCC report back to General Synod in 2018 on the results of the trial restructure and submit proposals for changes to the Constitution and By-laws to formalise those structural changes that have been demonstrated to achieve the outcomes summarised above.</w:t>
      </w:r>
    </w:p>
    <w:p w14:paraId="0C2DC0BE" w14:textId="77777777" w:rsidR="00E0197D" w:rsidRPr="009A0DA6" w:rsidRDefault="00E0197D" w:rsidP="00E0197D">
      <w:pPr>
        <w:shd w:val="clear" w:color="auto" w:fill="FFFFFF"/>
        <w:spacing w:line="240" w:lineRule="auto"/>
        <w:rPr>
          <w:rFonts w:ascii="Cambria" w:hAnsi="Cambria" w:cs="Arial"/>
          <w:color w:val="222222"/>
        </w:rPr>
      </w:pPr>
      <w:r w:rsidRPr="009A0DA6">
        <w:rPr>
          <w:rFonts w:ascii="Cambria" w:hAnsi="Cambria" w:cs="Arial"/>
          <w:color w:val="222222"/>
        </w:rPr>
        <w:t>This work has been trialled in the context of and complementary to the implementation of the governing bodies resolution also adopted in 2015, which approved ‘in principle’ support for competency-based and the trialling of appropriately structured LCA boards, councils, commissions and committees.</w:t>
      </w:r>
    </w:p>
    <w:p w14:paraId="5247E0E2" w14:textId="79D43EDC" w:rsidR="00E0197D" w:rsidRPr="009A0DA6" w:rsidRDefault="00C64B1F" w:rsidP="00E0197D">
      <w:pPr>
        <w:shd w:val="clear" w:color="auto" w:fill="FFFFFF"/>
        <w:spacing w:line="240" w:lineRule="auto"/>
        <w:rPr>
          <w:rFonts w:ascii="Cambria" w:hAnsi="Cambria" w:cs="Arial"/>
          <w:color w:val="222222"/>
        </w:rPr>
      </w:pPr>
      <w:r w:rsidRPr="009A0DA6">
        <w:rPr>
          <w:rFonts w:ascii="Cambria" w:hAnsi="Cambria" w:cs="Arial"/>
          <w:color w:val="222222"/>
        </w:rPr>
        <w:t xml:space="preserve">In late 2017 </w:t>
      </w:r>
      <w:r w:rsidR="00E0197D" w:rsidRPr="009A0DA6">
        <w:rPr>
          <w:rFonts w:ascii="Cambria" w:hAnsi="Cambria" w:cs="Arial"/>
          <w:color w:val="222222"/>
        </w:rPr>
        <w:t>GCC commissioned an independent evaluation of the trial restructure, which included a wide consultation process involving individuals and groups directly impacted by the changes, as well as those who were expected to benefit from the changes (districts and congregational level).</w:t>
      </w:r>
    </w:p>
    <w:p w14:paraId="2A8B3038" w14:textId="77777777" w:rsidR="00E0197D" w:rsidRPr="009A0DA6" w:rsidRDefault="00E0197D" w:rsidP="00E0197D">
      <w:pPr>
        <w:shd w:val="clear" w:color="auto" w:fill="FFFFFF"/>
        <w:spacing w:line="240" w:lineRule="auto"/>
        <w:rPr>
          <w:rFonts w:ascii="Cambria" w:hAnsi="Cambria" w:cs="Arial"/>
          <w:color w:val="222222"/>
        </w:rPr>
      </w:pPr>
      <w:r w:rsidRPr="009A0DA6">
        <w:rPr>
          <w:rFonts w:ascii="Cambria" w:hAnsi="Cambria" w:cs="Arial"/>
          <w:color w:val="222222"/>
        </w:rPr>
        <w:t xml:space="preserve">The following provides the context and rationale for GCC’s recommendation that the trial changes be formalised. </w:t>
      </w:r>
    </w:p>
    <w:p w14:paraId="38C5A052" w14:textId="6016A0AD" w:rsidR="00E0197D" w:rsidRPr="009A0DA6" w:rsidRDefault="00E0197D" w:rsidP="002E45F0">
      <w:pPr>
        <w:shd w:val="clear" w:color="auto" w:fill="FFFFFF"/>
        <w:spacing w:after="0" w:line="240" w:lineRule="auto"/>
        <w:rPr>
          <w:rFonts w:ascii="Cambria" w:hAnsi="Cambria" w:cs="Arial"/>
          <w:b/>
          <w:color w:val="222222"/>
          <w:sz w:val="10"/>
        </w:rPr>
      </w:pPr>
      <w:r w:rsidRPr="009A0DA6">
        <w:rPr>
          <w:rFonts w:ascii="Cambria" w:hAnsi="Cambria" w:cs="Arial"/>
          <w:b/>
          <w:color w:val="222222"/>
        </w:rPr>
        <w:t>Implementation of the trial National Functions structure</w:t>
      </w:r>
      <w:r w:rsidR="002E45F0" w:rsidRPr="009A0DA6">
        <w:rPr>
          <w:rFonts w:ascii="Cambria" w:hAnsi="Cambria" w:cs="Arial"/>
          <w:b/>
          <w:color w:val="222222"/>
        </w:rPr>
        <w:br/>
      </w:r>
    </w:p>
    <w:p w14:paraId="10A44AAD" w14:textId="77777777" w:rsidR="00E0197D" w:rsidRPr="009A0DA6" w:rsidRDefault="00E0197D" w:rsidP="002E45F0">
      <w:pPr>
        <w:shd w:val="clear" w:color="auto" w:fill="FFFFFF"/>
        <w:spacing w:after="0" w:line="240" w:lineRule="auto"/>
        <w:rPr>
          <w:rFonts w:ascii="Cambria" w:eastAsia="Times New Roman" w:hAnsi="Cambria" w:cs="Times New Roman"/>
          <w:bCs/>
          <w:color w:val="222222"/>
          <w:lang w:eastAsia="en-AU"/>
        </w:rPr>
      </w:pPr>
      <w:r w:rsidRPr="009A0DA6">
        <w:rPr>
          <w:rFonts w:ascii="Cambria" w:hAnsi="Cambria" w:cs="Arial"/>
          <w:color w:val="222222"/>
        </w:rPr>
        <w:t>The re-structure was implemented as outlined in the ‘reason for the proposal’ presented to the 2015 General Convention of Synod. The main changes were as follows:</w:t>
      </w:r>
    </w:p>
    <w:p w14:paraId="09D17D02" w14:textId="4C4A47C0" w:rsidR="00E0197D" w:rsidRPr="009A0DA6" w:rsidRDefault="00E0197D" w:rsidP="00F55252">
      <w:pPr>
        <w:pStyle w:val="ListParagraph"/>
        <w:numPr>
          <w:ilvl w:val="0"/>
          <w:numId w:val="86"/>
        </w:numPr>
        <w:shd w:val="clear" w:color="auto" w:fill="FFFFFF"/>
        <w:spacing w:after="200" w:line="240" w:lineRule="auto"/>
        <w:ind w:left="567" w:hanging="567"/>
        <w:rPr>
          <w:rFonts w:ascii="Cambria" w:hAnsi="Cambria" w:cs="Arial"/>
          <w:color w:val="222222"/>
          <w:sz w:val="12"/>
          <w:shd w:val="clear" w:color="auto" w:fill="FFFFFF"/>
        </w:rPr>
      </w:pPr>
      <w:r w:rsidRPr="009A0DA6">
        <w:rPr>
          <w:rFonts w:ascii="Cambria" w:hAnsi="Cambria" w:cs="Arial"/>
          <w:color w:val="222222"/>
          <w:shd w:val="clear" w:color="auto" w:fill="FFFFFF"/>
        </w:rPr>
        <w:t>Conclusion of the interim Board for Local Mission (the 2013 Convention of Synod only approved the Board for Local Mission on an interim basis, pending the Governance and Administration Review also approved at that Synod) and establishment of a new Board for Local Mission</w:t>
      </w:r>
      <w:r w:rsidR="00757ACA" w:rsidRPr="009A0DA6">
        <w:rPr>
          <w:rFonts w:ascii="Cambria" w:hAnsi="Cambria" w:cs="Arial"/>
          <w:color w:val="222222"/>
          <w:shd w:val="clear" w:color="auto" w:fill="FFFFFF"/>
        </w:rPr>
        <w:br/>
      </w:r>
    </w:p>
    <w:p w14:paraId="44B56502" w14:textId="77777777" w:rsidR="00E0197D" w:rsidRPr="009A0DA6" w:rsidRDefault="00E0197D" w:rsidP="00F55252">
      <w:pPr>
        <w:pStyle w:val="ListParagraph"/>
        <w:numPr>
          <w:ilvl w:val="0"/>
          <w:numId w:val="86"/>
        </w:numPr>
        <w:shd w:val="clear" w:color="auto" w:fill="FFFFFF"/>
        <w:spacing w:after="200" w:line="240" w:lineRule="auto"/>
        <w:ind w:left="567" w:hanging="567"/>
        <w:rPr>
          <w:rFonts w:ascii="Cambria" w:hAnsi="Cambria" w:cs="Arial"/>
          <w:color w:val="222222"/>
          <w:shd w:val="clear" w:color="auto" w:fill="FFFFFF"/>
        </w:rPr>
      </w:pPr>
      <w:r w:rsidRPr="009A0DA6">
        <w:rPr>
          <w:rFonts w:ascii="Cambria" w:hAnsi="Cambria" w:cs="Arial"/>
          <w:color w:val="222222"/>
          <w:shd w:val="clear" w:color="auto" w:fill="FFFFFF"/>
        </w:rPr>
        <w:t xml:space="preserve">Transition of the </w:t>
      </w:r>
    </w:p>
    <w:p w14:paraId="7DF0C8CD" w14:textId="77777777" w:rsidR="00E0197D" w:rsidRPr="009A0DA6" w:rsidRDefault="00E0197D" w:rsidP="00F55252">
      <w:pPr>
        <w:pStyle w:val="ListParagraph"/>
        <w:numPr>
          <w:ilvl w:val="1"/>
          <w:numId w:val="86"/>
        </w:numPr>
        <w:shd w:val="clear" w:color="auto" w:fill="FFFFFF"/>
        <w:spacing w:after="200" w:line="240" w:lineRule="auto"/>
        <w:ind w:left="1134" w:hanging="567"/>
        <w:rPr>
          <w:rFonts w:ascii="Cambria" w:hAnsi="Cambria" w:cs="Arial"/>
          <w:color w:val="222222"/>
          <w:shd w:val="clear" w:color="auto" w:fill="FFFFFF"/>
        </w:rPr>
      </w:pPr>
      <w:r w:rsidRPr="009A0DA6">
        <w:rPr>
          <w:rFonts w:ascii="Cambria" w:hAnsi="Cambria" w:cs="Arial"/>
          <w:color w:val="222222"/>
          <w:shd w:val="clear" w:color="auto" w:fill="FFFFFF"/>
        </w:rPr>
        <w:t>Board of Child, Youth and Family Ministry,</w:t>
      </w:r>
    </w:p>
    <w:p w14:paraId="195460D4" w14:textId="77777777" w:rsidR="00E0197D" w:rsidRPr="009A0DA6" w:rsidRDefault="00E0197D" w:rsidP="00F55252">
      <w:pPr>
        <w:pStyle w:val="ListParagraph"/>
        <w:numPr>
          <w:ilvl w:val="1"/>
          <w:numId w:val="86"/>
        </w:numPr>
        <w:shd w:val="clear" w:color="auto" w:fill="FFFFFF"/>
        <w:spacing w:after="200" w:line="240" w:lineRule="auto"/>
        <w:ind w:left="1134" w:hanging="567"/>
        <w:rPr>
          <w:rFonts w:ascii="Cambria" w:hAnsi="Cambria" w:cs="Arial"/>
          <w:color w:val="222222"/>
          <w:shd w:val="clear" w:color="auto" w:fill="FFFFFF"/>
        </w:rPr>
      </w:pPr>
      <w:r w:rsidRPr="009A0DA6">
        <w:rPr>
          <w:rFonts w:ascii="Cambria" w:hAnsi="Cambria" w:cs="Arial"/>
          <w:color w:val="222222"/>
          <w:shd w:val="clear" w:color="auto" w:fill="FFFFFF"/>
        </w:rPr>
        <w:t xml:space="preserve">Board for Lutheran Media and </w:t>
      </w:r>
    </w:p>
    <w:p w14:paraId="55135E56" w14:textId="77777777" w:rsidR="00E0197D" w:rsidRPr="009A0DA6" w:rsidRDefault="00E0197D" w:rsidP="00F55252">
      <w:pPr>
        <w:pStyle w:val="ListParagraph"/>
        <w:numPr>
          <w:ilvl w:val="1"/>
          <w:numId w:val="86"/>
        </w:numPr>
        <w:shd w:val="clear" w:color="auto" w:fill="FFFFFF"/>
        <w:spacing w:after="0" w:line="240" w:lineRule="auto"/>
        <w:ind w:left="1134" w:hanging="567"/>
        <w:rPr>
          <w:rFonts w:ascii="Cambria" w:hAnsi="Cambria" w:cs="Arial"/>
          <w:color w:val="222222"/>
          <w:shd w:val="clear" w:color="auto" w:fill="FFFFFF"/>
        </w:rPr>
      </w:pPr>
      <w:r w:rsidRPr="009A0DA6">
        <w:rPr>
          <w:rFonts w:ascii="Cambria" w:hAnsi="Cambria" w:cs="Arial"/>
          <w:color w:val="222222"/>
          <w:shd w:val="clear" w:color="auto" w:fill="FFFFFF"/>
        </w:rPr>
        <w:lastRenderedPageBreak/>
        <w:t xml:space="preserve">Board for Lutheran Aged Care Australia </w:t>
      </w:r>
    </w:p>
    <w:p w14:paraId="7FD05146" w14:textId="60DBB8D4" w:rsidR="00E0197D" w:rsidRPr="009A0DA6" w:rsidRDefault="00E0197D" w:rsidP="002E45F0">
      <w:pPr>
        <w:shd w:val="clear" w:color="auto" w:fill="FFFFFF"/>
        <w:spacing w:after="0" w:line="240" w:lineRule="auto"/>
        <w:ind w:left="360" w:firstLine="207"/>
        <w:rPr>
          <w:rFonts w:ascii="Cambria" w:hAnsi="Cambria" w:cs="Arial"/>
          <w:color w:val="222222"/>
          <w:shd w:val="clear" w:color="auto" w:fill="FFFFFF"/>
        </w:rPr>
      </w:pPr>
      <w:r w:rsidRPr="009A0DA6">
        <w:rPr>
          <w:rFonts w:ascii="Cambria" w:hAnsi="Cambria" w:cs="Arial"/>
          <w:color w:val="222222"/>
          <w:shd w:val="clear" w:color="auto" w:fill="FFFFFF"/>
        </w:rPr>
        <w:t xml:space="preserve">into </w:t>
      </w:r>
      <w:r w:rsidR="006862AD" w:rsidRPr="009A0DA6">
        <w:rPr>
          <w:rFonts w:ascii="Cambria" w:hAnsi="Cambria" w:cs="Arial"/>
          <w:color w:val="222222"/>
          <w:shd w:val="clear" w:color="auto" w:fill="FFFFFF"/>
        </w:rPr>
        <w:t>committees</w:t>
      </w:r>
      <w:r w:rsidRPr="009A0DA6">
        <w:rPr>
          <w:rFonts w:ascii="Cambria" w:hAnsi="Cambria" w:cs="Arial"/>
          <w:color w:val="222222"/>
          <w:shd w:val="clear" w:color="auto" w:fill="FFFFFF"/>
        </w:rPr>
        <w:t xml:space="preserve"> of the Board for Local Mission, and creation of</w:t>
      </w:r>
    </w:p>
    <w:p w14:paraId="350D9A34" w14:textId="5B29753B" w:rsidR="00757ACA" w:rsidRPr="009A0DA6" w:rsidRDefault="00E0197D" w:rsidP="002E45F0">
      <w:pPr>
        <w:pStyle w:val="NoSpacing"/>
        <w:ind w:left="1134" w:hanging="567"/>
        <w:rPr>
          <w:shd w:val="clear" w:color="auto" w:fill="FFFFFF"/>
        </w:rPr>
      </w:pPr>
      <w:r w:rsidRPr="009A0DA6">
        <w:rPr>
          <w:shd w:val="clear" w:color="auto" w:fill="FFFFFF"/>
        </w:rPr>
        <w:t xml:space="preserve">d. </w:t>
      </w:r>
      <w:r w:rsidR="00757ACA" w:rsidRPr="009A0DA6">
        <w:rPr>
          <w:shd w:val="clear" w:color="auto" w:fill="FFFFFF"/>
        </w:rPr>
        <w:tab/>
      </w:r>
      <w:r w:rsidRPr="009A0DA6">
        <w:rPr>
          <w:shd w:val="clear" w:color="auto" w:fill="FFFFFF"/>
        </w:rPr>
        <w:t xml:space="preserve">New and Renewing Churches Committee and </w:t>
      </w:r>
    </w:p>
    <w:p w14:paraId="724B28FB" w14:textId="60FDEE3E" w:rsidR="002E45F0" w:rsidRPr="009A0DA6" w:rsidRDefault="00E0197D" w:rsidP="002E45F0">
      <w:pPr>
        <w:pStyle w:val="NoSpacing"/>
        <w:ind w:left="1134" w:hanging="567"/>
        <w:rPr>
          <w:shd w:val="clear" w:color="auto" w:fill="FFFFFF"/>
        </w:rPr>
      </w:pPr>
      <w:r w:rsidRPr="009A0DA6">
        <w:rPr>
          <w:shd w:val="clear" w:color="auto" w:fill="FFFFFF"/>
        </w:rPr>
        <w:t>e</w:t>
      </w:r>
      <w:r w:rsidR="0027799A" w:rsidRPr="009A0DA6">
        <w:rPr>
          <w:shd w:val="clear" w:color="auto" w:fill="FFFFFF"/>
        </w:rPr>
        <w:t xml:space="preserve">. </w:t>
      </w:r>
      <w:r w:rsidR="00757ACA" w:rsidRPr="009A0DA6">
        <w:rPr>
          <w:shd w:val="clear" w:color="auto" w:fill="FFFFFF"/>
        </w:rPr>
        <w:tab/>
      </w:r>
      <w:r w:rsidRPr="009A0DA6">
        <w:rPr>
          <w:shd w:val="clear" w:color="auto" w:fill="FFFFFF"/>
        </w:rPr>
        <w:t xml:space="preserve">Cross-Cultural Committee </w:t>
      </w:r>
    </w:p>
    <w:p w14:paraId="08138C2D" w14:textId="48701A12" w:rsidR="00E0197D" w:rsidRPr="009A0DA6" w:rsidRDefault="00E0197D" w:rsidP="002E45F0">
      <w:pPr>
        <w:pStyle w:val="NoSpacing"/>
        <w:ind w:left="567"/>
        <w:rPr>
          <w:rFonts w:cs="Arial"/>
          <w:color w:val="222222"/>
          <w:shd w:val="clear" w:color="auto" w:fill="FFFFFF"/>
        </w:rPr>
      </w:pPr>
      <w:r w:rsidRPr="009A0DA6">
        <w:rPr>
          <w:rFonts w:cs="Arial"/>
          <w:color w:val="222222"/>
          <w:shd w:val="clear" w:color="auto" w:fill="FFFFFF"/>
        </w:rPr>
        <w:t>under the Board for Local Mission to support the growing activity in these two mission areas.</w:t>
      </w:r>
    </w:p>
    <w:p w14:paraId="0FA50C2B" w14:textId="77777777" w:rsidR="002E45F0" w:rsidRPr="009A0DA6" w:rsidRDefault="002E45F0" w:rsidP="002E45F0">
      <w:pPr>
        <w:pStyle w:val="NoSpacing"/>
        <w:ind w:left="1134" w:hanging="567"/>
        <w:rPr>
          <w:rFonts w:cs="Arial"/>
          <w:color w:val="222222"/>
          <w:sz w:val="10"/>
          <w:shd w:val="clear" w:color="auto" w:fill="FFFFFF"/>
        </w:rPr>
      </w:pPr>
    </w:p>
    <w:p w14:paraId="0D7B178C" w14:textId="3A94AE55" w:rsidR="00E0197D" w:rsidRPr="00A971D9" w:rsidRDefault="00E0197D" w:rsidP="00F55252">
      <w:pPr>
        <w:pStyle w:val="ListParagraph"/>
        <w:numPr>
          <w:ilvl w:val="0"/>
          <w:numId w:val="86"/>
        </w:numPr>
        <w:shd w:val="clear" w:color="auto" w:fill="FFFFFF"/>
        <w:spacing w:after="200" w:line="240" w:lineRule="auto"/>
        <w:ind w:left="567" w:hanging="567"/>
        <w:rPr>
          <w:rFonts w:ascii="Cambria" w:hAnsi="Cambria" w:cs="Arial"/>
          <w:color w:val="222222"/>
          <w:sz w:val="10"/>
          <w:szCs w:val="10"/>
          <w:shd w:val="clear" w:color="auto" w:fill="FFFFFF"/>
        </w:rPr>
      </w:pPr>
      <w:r w:rsidRPr="00A971D9">
        <w:rPr>
          <w:rFonts w:ascii="Cambria" w:hAnsi="Cambria" w:cs="Arial"/>
          <w:color w:val="222222"/>
          <w:shd w:val="clear" w:color="auto" w:fill="FFFFFF"/>
        </w:rPr>
        <w:t>Transition of the Board for Lay Ministry into an Advisory Committee supporting the Church Worker Support Department, established prior to the 2015 Convention of Synod.</w:t>
      </w:r>
      <w:r w:rsidR="00757ACA" w:rsidRPr="00A971D9">
        <w:rPr>
          <w:rFonts w:ascii="Cambria" w:hAnsi="Cambria" w:cs="Arial"/>
          <w:color w:val="222222"/>
          <w:shd w:val="clear" w:color="auto" w:fill="FFFFFF"/>
        </w:rPr>
        <w:br/>
      </w:r>
      <w:r w:rsidRPr="00A971D9">
        <w:rPr>
          <w:rFonts w:ascii="Cambria" w:hAnsi="Cambria" w:cs="Arial"/>
          <w:color w:val="222222"/>
          <w:shd w:val="clear" w:color="auto" w:fill="FFFFFF"/>
        </w:rPr>
        <w:t>Transition of the Board for Lutheran Archiv</w:t>
      </w:r>
      <w:r w:rsidR="00265A2C" w:rsidRPr="00A971D9">
        <w:rPr>
          <w:rFonts w:ascii="Cambria" w:hAnsi="Cambria" w:cs="Arial"/>
          <w:color w:val="222222"/>
          <w:shd w:val="clear" w:color="auto" w:fill="FFFFFF"/>
        </w:rPr>
        <w:t>es to a c</w:t>
      </w:r>
      <w:r w:rsidRPr="00A971D9">
        <w:rPr>
          <w:rFonts w:ascii="Cambria" w:hAnsi="Cambria" w:cs="Arial"/>
          <w:color w:val="222222"/>
          <w:shd w:val="clear" w:color="auto" w:fill="FFFFFF"/>
        </w:rPr>
        <w:t>ommittee, providing advice to the Director of Lutheran Archives, operating under the Executive Officer of the Church.</w:t>
      </w:r>
      <w:r w:rsidR="00757ACA" w:rsidRPr="00A971D9">
        <w:rPr>
          <w:rFonts w:ascii="Cambria" w:hAnsi="Cambria" w:cs="Arial"/>
          <w:color w:val="222222"/>
          <w:shd w:val="clear" w:color="auto" w:fill="FFFFFF"/>
        </w:rPr>
        <w:br/>
      </w:r>
    </w:p>
    <w:p w14:paraId="4642FB19" w14:textId="4BECA4D9" w:rsidR="00E0197D" w:rsidRPr="009A0DA6" w:rsidRDefault="00E0197D" w:rsidP="00F55252">
      <w:pPr>
        <w:pStyle w:val="ListParagraph"/>
        <w:numPr>
          <w:ilvl w:val="0"/>
          <w:numId w:val="86"/>
        </w:numPr>
        <w:shd w:val="clear" w:color="auto" w:fill="FFFFFF"/>
        <w:spacing w:after="200" w:line="240" w:lineRule="auto"/>
        <w:ind w:left="567" w:hanging="567"/>
        <w:rPr>
          <w:rFonts w:ascii="Cambria" w:hAnsi="Cambria" w:cs="Arial"/>
          <w:color w:val="222222"/>
          <w:sz w:val="10"/>
          <w:szCs w:val="10"/>
          <w:shd w:val="clear" w:color="auto" w:fill="FFFFFF"/>
        </w:rPr>
      </w:pPr>
      <w:r w:rsidRPr="009A0DA6">
        <w:rPr>
          <w:rFonts w:ascii="Cambria" w:hAnsi="Cambria" w:cs="Arial"/>
          <w:color w:val="222222"/>
          <w:shd w:val="clear" w:color="auto" w:fill="FFFFFF"/>
        </w:rPr>
        <w:t xml:space="preserve">Transition of the Board for Mission to a Committee for International Mission, providing advice to the Assistant to the Bishop, International Mission and the LCA Bishop. </w:t>
      </w:r>
      <w:r w:rsidR="00757ACA" w:rsidRPr="009A0DA6">
        <w:rPr>
          <w:rFonts w:ascii="Cambria" w:hAnsi="Cambria" w:cs="Arial"/>
          <w:color w:val="222222"/>
          <w:shd w:val="clear" w:color="auto" w:fill="FFFFFF"/>
        </w:rPr>
        <w:br/>
      </w:r>
    </w:p>
    <w:p w14:paraId="12A7D27D" w14:textId="77777777" w:rsidR="00E0197D" w:rsidRPr="009A0DA6" w:rsidRDefault="00E0197D" w:rsidP="00F55252">
      <w:pPr>
        <w:pStyle w:val="ListParagraph"/>
        <w:numPr>
          <w:ilvl w:val="0"/>
          <w:numId w:val="86"/>
        </w:numPr>
        <w:shd w:val="clear" w:color="auto" w:fill="FFFFFF"/>
        <w:spacing w:after="200" w:line="240" w:lineRule="auto"/>
        <w:ind w:left="567" w:hanging="567"/>
        <w:rPr>
          <w:rFonts w:ascii="Cambria" w:hAnsi="Cambria" w:cs="Arial"/>
          <w:color w:val="222222"/>
          <w:shd w:val="clear" w:color="auto" w:fill="FFFFFF"/>
        </w:rPr>
      </w:pPr>
      <w:r w:rsidRPr="009A0DA6">
        <w:rPr>
          <w:rFonts w:ascii="Cambria" w:hAnsi="Cambria" w:cs="Arial"/>
          <w:color w:val="222222"/>
          <w:shd w:val="clear" w:color="auto" w:fill="FFFFFF"/>
        </w:rPr>
        <w:t xml:space="preserve">Appointment of an Executive Officer – Local Mission to provide leadership in Local Mission. </w:t>
      </w:r>
    </w:p>
    <w:p w14:paraId="4B42C82C" w14:textId="77777777" w:rsidR="00E0197D" w:rsidRPr="009A0DA6" w:rsidRDefault="00E0197D" w:rsidP="00E0197D">
      <w:pPr>
        <w:shd w:val="clear" w:color="auto" w:fill="FFFFFF"/>
        <w:spacing w:line="240" w:lineRule="auto"/>
        <w:rPr>
          <w:rFonts w:ascii="Cambria" w:hAnsi="Cambria" w:cs="Arial"/>
          <w:color w:val="222222"/>
          <w:shd w:val="clear" w:color="auto" w:fill="FFFFFF"/>
        </w:rPr>
      </w:pPr>
      <w:r w:rsidRPr="009A0DA6">
        <w:rPr>
          <w:rFonts w:ascii="Cambria" w:hAnsi="Cambria" w:cs="Arial"/>
          <w:color w:val="222222"/>
          <w:shd w:val="clear" w:color="auto" w:fill="FFFFFF"/>
        </w:rPr>
        <w:t>The following points need to be noted:</w:t>
      </w:r>
    </w:p>
    <w:p w14:paraId="5C0613C1" w14:textId="54E43F4E" w:rsidR="00E0197D" w:rsidRPr="009A0DA6" w:rsidRDefault="00E0197D" w:rsidP="00F55252">
      <w:pPr>
        <w:pStyle w:val="ListParagraph"/>
        <w:numPr>
          <w:ilvl w:val="0"/>
          <w:numId w:val="88"/>
        </w:numPr>
        <w:shd w:val="clear" w:color="auto" w:fill="FFFFFF"/>
        <w:spacing w:after="200" w:line="240" w:lineRule="auto"/>
        <w:ind w:left="567" w:hanging="567"/>
        <w:rPr>
          <w:rFonts w:ascii="Cambria" w:hAnsi="Cambria" w:cs="Arial"/>
          <w:color w:val="222222"/>
          <w:shd w:val="clear" w:color="auto" w:fill="FFFFFF"/>
        </w:rPr>
      </w:pPr>
      <w:r w:rsidRPr="009A0DA6">
        <w:rPr>
          <w:rFonts w:ascii="Cambria" w:hAnsi="Cambria" w:cs="Arial"/>
          <w:color w:val="222222"/>
          <w:shd w:val="clear" w:color="auto" w:fill="FFFFFF"/>
        </w:rPr>
        <w:t xml:space="preserve">The Board for Support for Pastoral Ministry continued to operate as </w:t>
      </w:r>
      <w:r w:rsidR="00F2518B" w:rsidRPr="009A0DA6">
        <w:rPr>
          <w:rFonts w:ascii="Cambria" w:hAnsi="Cambria" w:cs="Arial"/>
          <w:color w:val="222222"/>
          <w:shd w:val="clear" w:color="auto" w:fill="FFFFFF"/>
        </w:rPr>
        <w:t>a board</w:t>
      </w:r>
      <w:r w:rsidRPr="009A0DA6">
        <w:rPr>
          <w:rFonts w:ascii="Cambria" w:hAnsi="Cambria" w:cs="Arial"/>
          <w:color w:val="222222"/>
          <w:shd w:val="clear" w:color="auto" w:fill="FFFFFF"/>
        </w:rPr>
        <w:t xml:space="preserve"> during the </w:t>
      </w:r>
      <w:r w:rsidR="00C67D2A" w:rsidRPr="009A0DA6">
        <w:rPr>
          <w:rFonts w:ascii="Cambria" w:hAnsi="Cambria" w:cs="Arial"/>
          <w:color w:val="222222"/>
          <w:shd w:val="clear" w:color="auto" w:fill="FFFFFF"/>
        </w:rPr>
        <w:t>synodical</w:t>
      </w:r>
      <w:r w:rsidRPr="009A0DA6">
        <w:rPr>
          <w:rFonts w:ascii="Cambria" w:hAnsi="Cambria" w:cs="Arial"/>
          <w:color w:val="222222"/>
          <w:shd w:val="clear" w:color="auto" w:fill="FFFFFF"/>
        </w:rPr>
        <w:t xml:space="preserve"> term. However, following discussions with the Board and College of Bishops, there is a proposal to transition the Board to a </w:t>
      </w:r>
      <w:r w:rsidR="00265A2C" w:rsidRPr="009A0DA6">
        <w:rPr>
          <w:rFonts w:ascii="Cambria" w:hAnsi="Cambria" w:cs="Arial"/>
          <w:color w:val="222222"/>
          <w:shd w:val="clear" w:color="auto" w:fill="FFFFFF"/>
        </w:rPr>
        <w:t>committee</w:t>
      </w:r>
      <w:r w:rsidRPr="009A0DA6">
        <w:rPr>
          <w:rFonts w:ascii="Cambria" w:hAnsi="Cambria" w:cs="Arial"/>
          <w:color w:val="222222"/>
          <w:shd w:val="clear" w:color="auto" w:fill="FFFFFF"/>
        </w:rPr>
        <w:t>, providing support and advice to the College of Bishops through the Church Worker Support Department.</w:t>
      </w:r>
      <w:r w:rsidR="00757ACA" w:rsidRPr="009A0DA6">
        <w:rPr>
          <w:rFonts w:ascii="Cambria" w:hAnsi="Cambria" w:cs="Arial"/>
          <w:color w:val="222222"/>
          <w:shd w:val="clear" w:color="auto" w:fill="FFFFFF"/>
        </w:rPr>
        <w:br/>
      </w:r>
    </w:p>
    <w:p w14:paraId="4207A5EC" w14:textId="722E8259" w:rsidR="00E0197D" w:rsidRPr="009A0DA6" w:rsidRDefault="00E0197D" w:rsidP="00F55252">
      <w:pPr>
        <w:pStyle w:val="ListParagraph"/>
        <w:numPr>
          <w:ilvl w:val="0"/>
          <w:numId w:val="88"/>
        </w:numPr>
        <w:shd w:val="clear" w:color="auto" w:fill="FFFFFF"/>
        <w:spacing w:after="200" w:line="240" w:lineRule="auto"/>
        <w:ind w:left="567" w:hanging="567"/>
        <w:rPr>
          <w:rFonts w:ascii="Cambria" w:hAnsi="Cambria" w:cs="Arial"/>
          <w:color w:val="222222"/>
          <w:shd w:val="clear" w:color="auto" w:fill="FFFFFF"/>
        </w:rPr>
      </w:pPr>
      <w:r w:rsidRPr="009A0DA6">
        <w:rPr>
          <w:rFonts w:ascii="Cambria" w:hAnsi="Cambria" w:cs="Arial"/>
          <w:color w:val="222222"/>
          <w:shd w:val="clear" w:color="auto" w:fill="FFFFFF"/>
        </w:rPr>
        <w:t xml:space="preserve">The </w:t>
      </w:r>
      <w:r w:rsidR="00712620" w:rsidRPr="009A0DA6">
        <w:rPr>
          <w:rFonts w:ascii="Cambria" w:hAnsi="Cambria" w:cs="Arial"/>
          <w:color w:val="222222"/>
          <w:shd w:val="clear" w:color="auto" w:fill="FFFFFF"/>
        </w:rPr>
        <w:t>National Functions</w:t>
      </w:r>
      <w:r w:rsidRPr="009A0DA6">
        <w:rPr>
          <w:rFonts w:ascii="Cambria" w:hAnsi="Cambria" w:cs="Arial"/>
          <w:color w:val="222222"/>
          <w:shd w:val="clear" w:color="auto" w:fill="FFFFFF"/>
        </w:rPr>
        <w:t xml:space="preserve"> re-structure did not involve any functional changes to the</w:t>
      </w:r>
      <w:r w:rsidR="00757ACA" w:rsidRPr="009A0DA6">
        <w:rPr>
          <w:rFonts w:ascii="Cambria" w:hAnsi="Cambria" w:cs="Arial"/>
          <w:color w:val="222222"/>
          <w:shd w:val="clear" w:color="auto" w:fill="FFFFFF"/>
        </w:rPr>
        <w:br/>
      </w:r>
      <w:r w:rsidRPr="009A0DA6">
        <w:rPr>
          <w:rFonts w:ascii="Cambria" w:hAnsi="Cambria"/>
          <w:shd w:val="clear" w:color="auto" w:fill="FFFFFF"/>
        </w:rPr>
        <w:t xml:space="preserve">Commissions of Worship, </w:t>
      </w:r>
      <w:r w:rsidR="00C64B1F" w:rsidRPr="009A0DA6">
        <w:rPr>
          <w:rFonts w:ascii="Cambria" w:hAnsi="Cambria"/>
          <w:shd w:val="clear" w:color="auto" w:fill="FFFFFF"/>
        </w:rPr>
        <w:t>Commission on Theology and Inter-C</w:t>
      </w:r>
      <w:r w:rsidRPr="009A0DA6">
        <w:rPr>
          <w:rFonts w:ascii="Cambria" w:hAnsi="Cambria"/>
          <w:shd w:val="clear" w:color="auto" w:fill="FFFFFF"/>
        </w:rPr>
        <w:t xml:space="preserve">hurch relations or </w:t>
      </w:r>
      <w:r w:rsidR="00757ACA" w:rsidRPr="009A0DA6">
        <w:rPr>
          <w:rFonts w:ascii="Cambria" w:hAnsi="Cambria"/>
          <w:shd w:val="clear" w:color="auto" w:fill="FFFFFF"/>
        </w:rPr>
        <w:br/>
      </w:r>
      <w:r w:rsidRPr="009A0DA6">
        <w:rPr>
          <w:rFonts w:ascii="Cambria" w:hAnsi="Cambria"/>
          <w:shd w:val="clear" w:color="auto" w:fill="FFFFFF"/>
        </w:rPr>
        <w:t xml:space="preserve">Commission on Social and Bioethical Questions </w:t>
      </w:r>
      <w:r w:rsidRPr="009A0DA6">
        <w:rPr>
          <w:rFonts w:ascii="Cambria" w:hAnsi="Cambria" w:cs="Arial"/>
          <w:color w:val="222222"/>
          <w:shd w:val="clear" w:color="auto" w:fill="FFFFFF"/>
        </w:rPr>
        <w:t>as they continue to report to the College of Bishops, and through the College of Bishops to the General Convention of Synod.</w:t>
      </w:r>
    </w:p>
    <w:p w14:paraId="3A753157" w14:textId="77777777" w:rsidR="00E0197D" w:rsidRPr="009A0DA6" w:rsidRDefault="00E0197D" w:rsidP="00E0197D">
      <w:pPr>
        <w:shd w:val="clear" w:color="auto" w:fill="FFFFFF"/>
        <w:spacing w:line="240" w:lineRule="auto"/>
        <w:rPr>
          <w:rFonts w:ascii="Cambria" w:hAnsi="Cambria" w:cs="Arial"/>
          <w:b/>
          <w:color w:val="222222"/>
          <w:shd w:val="clear" w:color="auto" w:fill="FFFFFF"/>
        </w:rPr>
      </w:pPr>
      <w:r w:rsidRPr="009A0DA6">
        <w:rPr>
          <w:rFonts w:ascii="Cambria" w:hAnsi="Cambria" w:cs="Arial"/>
          <w:b/>
          <w:color w:val="222222"/>
          <w:shd w:val="clear" w:color="auto" w:fill="FFFFFF"/>
        </w:rPr>
        <w:t>Outcomes of the trial</w:t>
      </w:r>
    </w:p>
    <w:p w14:paraId="3CF2B1F2" w14:textId="77777777" w:rsidR="00E0197D" w:rsidRPr="009A0DA6" w:rsidRDefault="00E0197D" w:rsidP="00E0197D">
      <w:pPr>
        <w:shd w:val="clear" w:color="auto" w:fill="FFFFFF"/>
        <w:spacing w:line="240" w:lineRule="auto"/>
        <w:rPr>
          <w:rFonts w:ascii="Cambria" w:hAnsi="Cambria" w:cs="Arial"/>
          <w:color w:val="222222"/>
          <w:shd w:val="clear" w:color="auto" w:fill="FFFFFF"/>
        </w:rPr>
      </w:pPr>
      <w:r w:rsidRPr="009A0DA6">
        <w:rPr>
          <w:rFonts w:ascii="Cambria" w:hAnsi="Cambria" w:cs="Arial"/>
          <w:color w:val="222222"/>
          <w:shd w:val="clear" w:color="auto" w:fill="FFFFFF"/>
        </w:rPr>
        <w:t>Though not universal, the majority of entities and persons who participated in the evaluation of trial structures for governing bodies and National functions indicated the moves as positive, with a further grouping indicating no effect as yet. Perceptions of negative impact are in the minority, with some of these seen as transitory.</w:t>
      </w:r>
    </w:p>
    <w:p w14:paraId="45A15480" w14:textId="36ECE978" w:rsidR="00E0197D" w:rsidRPr="009A0DA6" w:rsidRDefault="00E0197D" w:rsidP="00E0197D">
      <w:pPr>
        <w:shd w:val="clear" w:color="auto" w:fill="FFFFFF"/>
        <w:spacing w:line="240" w:lineRule="auto"/>
        <w:rPr>
          <w:rFonts w:ascii="Cambria" w:hAnsi="Cambria" w:cs="Arial"/>
          <w:color w:val="222222"/>
          <w:shd w:val="clear" w:color="auto" w:fill="FFFFFF"/>
        </w:rPr>
      </w:pPr>
      <w:r w:rsidRPr="009A0DA6">
        <w:rPr>
          <w:rFonts w:ascii="Cambria" w:hAnsi="Cambria" w:cs="Arial"/>
          <w:color w:val="222222"/>
          <w:shd w:val="clear" w:color="auto" w:fill="FFFFFF"/>
        </w:rPr>
        <w:t xml:space="preserve">The GCC particularly noted the following positive findings (the full report of the evaluation is available </w:t>
      </w:r>
      <w:r w:rsidRPr="00D4753A">
        <w:rPr>
          <w:rFonts w:ascii="Cambria" w:hAnsi="Cambria" w:cs="Arial"/>
          <w:color w:val="222222"/>
          <w:shd w:val="clear" w:color="auto" w:fill="FFFFFF"/>
        </w:rPr>
        <w:t xml:space="preserve">on </w:t>
      </w:r>
      <w:r w:rsidR="00D4753A" w:rsidRPr="00D4753A">
        <w:rPr>
          <w:rFonts w:ascii="Cambria" w:hAnsi="Cambria" w:cs="Arial"/>
          <w:color w:val="222222"/>
          <w:shd w:val="clear" w:color="auto" w:fill="FFFFFF"/>
        </w:rPr>
        <w:t>page 37</w:t>
      </w:r>
      <w:r w:rsidR="00A029DA">
        <w:rPr>
          <w:rFonts w:ascii="Cambria" w:hAnsi="Cambria" w:cs="Arial"/>
          <w:color w:val="222222"/>
          <w:shd w:val="clear" w:color="auto" w:fill="FFFFFF"/>
        </w:rPr>
        <w:t>3</w:t>
      </w:r>
      <w:r w:rsidRPr="00D4753A">
        <w:rPr>
          <w:rFonts w:ascii="Cambria" w:hAnsi="Cambria" w:cs="Arial"/>
          <w:color w:val="222222"/>
          <w:shd w:val="clear" w:color="auto" w:fill="FFFFFF"/>
        </w:rPr>
        <w:t xml:space="preserve"> </w:t>
      </w:r>
      <w:r w:rsidR="006156DC" w:rsidRPr="00D4753A">
        <w:rPr>
          <w:rFonts w:ascii="Cambria" w:hAnsi="Cambria" w:cs="Arial"/>
          <w:color w:val="222222"/>
          <w:shd w:val="clear" w:color="auto" w:fill="FFFFFF"/>
        </w:rPr>
        <w:t xml:space="preserve">of </w:t>
      </w:r>
      <w:r w:rsidRPr="00D4753A">
        <w:rPr>
          <w:rFonts w:ascii="Cambria" w:hAnsi="Cambria" w:cs="Arial"/>
          <w:color w:val="222222"/>
          <w:shd w:val="clear" w:color="auto" w:fill="FFFFFF"/>
        </w:rPr>
        <w:t>the</w:t>
      </w:r>
      <w:r w:rsidRPr="009A0DA6">
        <w:rPr>
          <w:rFonts w:ascii="Cambria" w:hAnsi="Cambria" w:cs="Arial"/>
          <w:color w:val="222222"/>
          <w:shd w:val="clear" w:color="auto" w:fill="FFFFFF"/>
        </w:rPr>
        <w:t xml:space="preserve"> Book of Reports):</w:t>
      </w:r>
    </w:p>
    <w:p w14:paraId="59338632" w14:textId="7E9FD79E" w:rsidR="00E0197D" w:rsidRPr="00D4753A" w:rsidRDefault="00E0197D" w:rsidP="00D4753A">
      <w:pPr>
        <w:pStyle w:val="ListParagraph"/>
        <w:numPr>
          <w:ilvl w:val="3"/>
          <w:numId w:val="87"/>
        </w:numPr>
        <w:shd w:val="clear" w:color="auto" w:fill="FFFFFF"/>
        <w:spacing w:after="200" w:line="240" w:lineRule="auto"/>
        <w:ind w:left="567" w:hanging="567"/>
        <w:rPr>
          <w:rFonts w:ascii="Cambria" w:hAnsi="Cambria" w:cs="Arial"/>
          <w:color w:val="222222"/>
          <w:shd w:val="clear" w:color="auto" w:fill="FFFFFF"/>
        </w:rPr>
      </w:pPr>
      <w:r w:rsidRPr="00D4753A">
        <w:rPr>
          <w:rFonts w:ascii="Cambria" w:hAnsi="Cambria" w:cs="Arial"/>
          <w:color w:val="222222"/>
          <w:shd w:val="clear" w:color="auto" w:fill="FFFFFF"/>
        </w:rPr>
        <w:t xml:space="preserve">Key leaders of the </w:t>
      </w:r>
      <w:r w:rsidR="00DB2C41" w:rsidRPr="00D4753A">
        <w:rPr>
          <w:rFonts w:ascii="Cambria" w:hAnsi="Cambria" w:cs="Arial"/>
          <w:color w:val="222222"/>
          <w:shd w:val="clear" w:color="auto" w:fill="FFFFFF"/>
        </w:rPr>
        <w:t>church</w:t>
      </w:r>
      <w:r w:rsidRPr="00D4753A">
        <w:rPr>
          <w:rFonts w:ascii="Cambria" w:hAnsi="Cambria" w:cs="Arial"/>
          <w:color w:val="222222"/>
          <w:shd w:val="clear" w:color="auto" w:fill="FFFFFF"/>
        </w:rPr>
        <w:t xml:space="preserve"> (GCC, LCA Bishop, District Bishops) report time efficiencies, which has enabled them to have a greater focus on mission-related work.</w:t>
      </w:r>
    </w:p>
    <w:p w14:paraId="64EC4467" w14:textId="77777777" w:rsidR="00D4753A" w:rsidRDefault="00E0197D" w:rsidP="00D4753A">
      <w:pPr>
        <w:pStyle w:val="ListParagraph"/>
        <w:numPr>
          <w:ilvl w:val="3"/>
          <w:numId w:val="87"/>
        </w:numPr>
        <w:shd w:val="clear" w:color="auto" w:fill="FFFFFF"/>
        <w:spacing w:after="200" w:line="240" w:lineRule="auto"/>
        <w:ind w:left="567" w:hanging="567"/>
        <w:rPr>
          <w:rFonts w:ascii="Cambria" w:hAnsi="Cambria" w:cs="Arial"/>
          <w:color w:val="222222"/>
          <w:shd w:val="clear" w:color="auto" w:fill="FFFFFF"/>
        </w:rPr>
      </w:pPr>
      <w:r w:rsidRPr="00D4753A">
        <w:rPr>
          <w:rFonts w:ascii="Cambria" w:hAnsi="Cambria" w:cs="Arial"/>
          <w:color w:val="222222"/>
          <w:shd w:val="clear" w:color="auto" w:fill="FFFFFF"/>
        </w:rPr>
        <w:t xml:space="preserve">The profile of Local Mission has been substantially developed within the </w:t>
      </w:r>
      <w:r w:rsidR="00DB2C41" w:rsidRPr="00D4753A">
        <w:rPr>
          <w:rFonts w:ascii="Cambria" w:hAnsi="Cambria" w:cs="Arial"/>
          <w:color w:val="222222"/>
          <w:shd w:val="clear" w:color="auto" w:fill="FFFFFF"/>
        </w:rPr>
        <w:t>church</w:t>
      </w:r>
      <w:r w:rsidRPr="00D4753A">
        <w:rPr>
          <w:rFonts w:ascii="Cambria" w:hAnsi="Cambria" w:cs="Arial"/>
          <w:color w:val="222222"/>
          <w:shd w:val="clear" w:color="auto" w:fill="FFFFFF"/>
        </w:rPr>
        <w:t>, with increased linkages across the many entities and programs that deal with this at National levels.</w:t>
      </w:r>
    </w:p>
    <w:p w14:paraId="3927B42A" w14:textId="6E419489" w:rsidR="00D4753A" w:rsidRPr="00D4753A" w:rsidRDefault="00E0197D" w:rsidP="00D4753A">
      <w:pPr>
        <w:pStyle w:val="ListParagraph"/>
        <w:numPr>
          <w:ilvl w:val="3"/>
          <w:numId w:val="87"/>
        </w:numPr>
        <w:shd w:val="clear" w:color="auto" w:fill="FFFFFF"/>
        <w:spacing w:after="200" w:line="240" w:lineRule="auto"/>
        <w:ind w:left="567" w:hanging="567"/>
        <w:rPr>
          <w:rFonts w:ascii="Cambria" w:hAnsi="Cambria" w:cs="Arial"/>
          <w:color w:val="222222"/>
          <w:shd w:val="clear" w:color="auto" w:fill="FFFFFF"/>
        </w:rPr>
      </w:pPr>
      <w:r w:rsidRPr="00D4753A">
        <w:rPr>
          <w:rFonts w:ascii="Cambria" w:hAnsi="Cambria" w:cs="Arial"/>
          <w:color w:val="222222"/>
          <w:shd w:val="clear" w:color="auto" w:fill="FFFFFF"/>
        </w:rPr>
        <w:t>The amount of ti</w:t>
      </w:r>
      <w:r w:rsidR="006156DC" w:rsidRPr="00D4753A">
        <w:rPr>
          <w:rFonts w:ascii="Cambria" w:hAnsi="Cambria" w:cs="Arial"/>
          <w:color w:val="222222"/>
          <w:shd w:val="clear" w:color="auto" w:fill="FFFFFF"/>
        </w:rPr>
        <w:t>me spent with a focus on Cross-C</w:t>
      </w:r>
      <w:r w:rsidRPr="00D4753A">
        <w:rPr>
          <w:rFonts w:ascii="Cambria" w:hAnsi="Cambria" w:cs="Arial"/>
          <w:color w:val="222222"/>
          <w:shd w:val="clear" w:color="auto" w:fill="FFFFFF"/>
        </w:rPr>
        <w:t xml:space="preserve">ultural Ministry and Ministry with the Ageing has increased, as has their profile within the </w:t>
      </w:r>
      <w:r w:rsidR="00DB2C41" w:rsidRPr="00D4753A">
        <w:rPr>
          <w:rFonts w:ascii="Cambria" w:hAnsi="Cambria" w:cs="Arial"/>
          <w:color w:val="222222"/>
          <w:shd w:val="clear" w:color="auto" w:fill="FFFFFF"/>
        </w:rPr>
        <w:t>church</w:t>
      </w:r>
      <w:r w:rsidRPr="00D4753A">
        <w:rPr>
          <w:rFonts w:ascii="Cambria" w:hAnsi="Cambria" w:cs="Arial"/>
          <w:color w:val="222222"/>
          <w:shd w:val="clear" w:color="auto" w:fill="FFFFFF"/>
        </w:rPr>
        <w:t>.</w:t>
      </w:r>
    </w:p>
    <w:p w14:paraId="0B1640AD" w14:textId="64F8D59C" w:rsidR="00E0197D" w:rsidRPr="00D4753A" w:rsidRDefault="00E0197D" w:rsidP="00D4753A">
      <w:pPr>
        <w:pStyle w:val="ListParagraph"/>
        <w:numPr>
          <w:ilvl w:val="0"/>
          <w:numId w:val="87"/>
        </w:numPr>
        <w:shd w:val="clear" w:color="auto" w:fill="FFFFFF"/>
        <w:spacing w:after="200" w:line="240" w:lineRule="auto"/>
        <w:ind w:left="567" w:hanging="567"/>
        <w:rPr>
          <w:rFonts w:ascii="Cambria" w:hAnsi="Cambria" w:cs="Arial"/>
          <w:color w:val="222222"/>
          <w:shd w:val="clear" w:color="auto" w:fill="FFFFFF"/>
        </w:rPr>
      </w:pPr>
      <w:r w:rsidRPr="00D4753A">
        <w:rPr>
          <w:rFonts w:ascii="Cambria" w:hAnsi="Cambria" w:cs="Arial"/>
          <w:color w:val="222222"/>
          <w:shd w:val="clear" w:color="auto" w:fill="FFFFFF"/>
        </w:rPr>
        <w:t>The effectiveness of half the number of boards, committees and commissions has been positively impacted by the changes to governing bodies.</w:t>
      </w:r>
    </w:p>
    <w:p w14:paraId="6FBBE678" w14:textId="75689CB5" w:rsidR="00E0197D" w:rsidRPr="009A0DA6" w:rsidRDefault="00E0197D" w:rsidP="00D4753A">
      <w:pPr>
        <w:pStyle w:val="ListParagraph"/>
        <w:numPr>
          <w:ilvl w:val="0"/>
          <w:numId w:val="87"/>
        </w:numPr>
        <w:shd w:val="clear" w:color="auto" w:fill="FFFFFF"/>
        <w:spacing w:after="200" w:line="240" w:lineRule="auto"/>
        <w:ind w:left="567" w:hanging="567"/>
        <w:rPr>
          <w:rFonts w:ascii="Cambria" w:hAnsi="Cambria" w:cs="Arial"/>
          <w:color w:val="222222"/>
          <w:shd w:val="clear" w:color="auto" w:fill="FFFFFF"/>
        </w:rPr>
      </w:pPr>
      <w:r w:rsidRPr="009A0DA6">
        <w:rPr>
          <w:rFonts w:ascii="Cambria" w:hAnsi="Cambria" w:cs="Arial"/>
          <w:color w:val="222222"/>
          <w:shd w:val="clear" w:color="auto" w:fill="FFFFFF"/>
        </w:rPr>
        <w:t xml:space="preserve">Efficiencies have been made by those boards, committees and commissions that now receive some administration support and the </w:t>
      </w:r>
      <w:r w:rsidR="006156DC" w:rsidRPr="009A0DA6">
        <w:rPr>
          <w:rFonts w:ascii="Cambria" w:hAnsi="Cambria" w:cs="Arial"/>
          <w:color w:val="222222"/>
          <w:shd w:val="clear" w:color="auto" w:fill="FFFFFF"/>
        </w:rPr>
        <w:t>increased participation of the executive o</w:t>
      </w:r>
      <w:r w:rsidRPr="009A0DA6">
        <w:rPr>
          <w:rFonts w:ascii="Cambria" w:hAnsi="Cambria" w:cs="Arial"/>
          <w:color w:val="222222"/>
          <w:shd w:val="clear" w:color="auto" w:fill="FFFFFF"/>
        </w:rPr>
        <w:t>fficers is adding value to the focus, decision-making and actions taken by these groups.</w:t>
      </w:r>
    </w:p>
    <w:p w14:paraId="16856E37" w14:textId="77777777" w:rsidR="00E0197D" w:rsidRPr="009A0DA6" w:rsidRDefault="00E0197D" w:rsidP="00D4753A">
      <w:pPr>
        <w:pStyle w:val="ListParagraph"/>
        <w:numPr>
          <w:ilvl w:val="0"/>
          <w:numId w:val="87"/>
        </w:numPr>
        <w:shd w:val="clear" w:color="auto" w:fill="FFFFFF"/>
        <w:spacing w:after="200" w:line="240" w:lineRule="auto"/>
        <w:ind w:left="567" w:hanging="567"/>
        <w:rPr>
          <w:rFonts w:ascii="Cambria" w:hAnsi="Cambria" w:cs="Arial"/>
          <w:color w:val="222222"/>
          <w:shd w:val="clear" w:color="auto" w:fill="FFFFFF"/>
        </w:rPr>
      </w:pPr>
      <w:r w:rsidRPr="009A0DA6">
        <w:rPr>
          <w:rFonts w:ascii="Cambria" w:hAnsi="Cambria" w:cs="Arial"/>
          <w:color w:val="222222"/>
          <w:shd w:val="clear" w:color="auto" w:fill="FFFFFF"/>
        </w:rPr>
        <w:t>Administration in Districts and congregations is gradually being standardised and streamlined and this is creating efficiencies at the District level.</w:t>
      </w:r>
    </w:p>
    <w:p w14:paraId="17E1FC70" w14:textId="77777777" w:rsidR="00E0197D" w:rsidRPr="009A0DA6" w:rsidRDefault="00E0197D" w:rsidP="00E0197D">
      <w:pPr>
        <w:shd w:val="clear" w:color="auto" w:fill="FFFFFF"/>
        <w:spacing w:line="240" w:lineRule="auto"/>
        <w:rPr>
          <w:rFonts w:ascii="Cambria" w:hAnsi="Cambria" w:cs="Arial"/>
          <w:color w:val="222222"/>
          <w:shd w:val="clear" w:color="auto" w:fill="FFFFFF"/>
        </w:rPr>
      </w:pPr>
      <w:r w:rsidRPr="009A0DA6">
        <w:rPr>
          <w:rFonts w:ascii="Cambria" w:hAnsi="Cambria" w:cs="Arial"/>
          <w:color w:val="222222"/>
          <w:shd w:val="clear" w:color="auto" w:fill="FFFFFF"/>
        </w:rPr>
        <w:t>The GCC has also noted the evaluator’s findings and recommendations that identified areas for further development to ensure the full benefits of the restructure are realised, including:</w:t>
      </w:r>
    </w:p>
    <w:p w14:paraId="539E20F7" w14:textId="110A6D33" w:rsidR="00E0197D" w:rsidRPr="009A0DA6" w:rsidRDefault="006156DC" w:rsidP="00F55252">
      <w:pPr>
        <w:pStyle w:val="ListParagraph"/>
        <w:numPr>
          <w:ilvl w:val="0"/>
          <w:numId w:val="89"/>
        </w:numPr>
        <w:shd w:val="clear" w:color="auto" w:fill="FFFFFF"/>
        <w:spacing w:after="200" w:line="240" w:lineRule="auto"/>
        <w:ind w:left="567" w:hanging="567"/>
        <w:rPr>
          <w:rFonts w:ascii="Cambria" w:hAnsi="Cambria" w:cs="Arial"/>
          <w:color w:val="222222"/>
          <w:shd w:val="clear" w:color="auto" w:fill="FFFFFF"/>
        </w:rPr>
      </w:pPr>
      <w:r w:rsidRPr="009A0DA6">
        <w:rPr>
          <w:rFonts w:ascii="Cambria" w:hAnsi="Cambria" w:cs="Arial"/>
          <w:color w:val="222222"/>
          <w:shd w:val="clear" w:color="auto" w:fill="FFFFFF"/>
        </w:rPr>
        <w:lastRenderedPageBreak/>
        <w:t>E</w:t>
      </w:r>
      <w:r w:rsidR="00E0197D" w:rsidRPr="009A0DA6">
        <w:rPr>
          <w:rFonts w:ascii="Cambria" w:hAnsi="Cambria" w:cs="Arial"/>
          <w:color w:val="222222"/>
          <w:shd w:val="clear" w:color="auto" w:fill="FFFFFF"/>
        </w:rPr>
        <w:t xml:space="preserve">stablishment of mechanisms to further increase the connections between boards, councils, commissions and committees, which ultimately will benefit the local level. This includes clear conduits of information flow and exchange to support joined up thinking. </w:t>
      </w:r>
    </w:p>
    <w:p w14:paraId="74637A1F" w14:textId="638612C2" w:rsidR="00E0197D" w:rsidRPr="009A0DA6" w:rsidRDefault="006156DC" w:rsidP="00F55252">
      <w:pPr>
        <w:pStyle w:val="ListParagraph"/>
        <w:numPr>
          <w:ilvl w:val="0"/>
          <w:numId w:val="89"/>
        </w:numPr>
        <w:shd w:val="clear" w:color="auto" w:fill="FFFFFF"/>
        <w:spacing w:after="200" w:line="240" w:lineRule="auto"/>
        <w:ind w:left="567" w:hanging="567"/>
        <w:rPr>
          <w:rFonts w:ascii="Cambria" w:hAnsi="Cambria" w:cs="Arial"/>
          <w:color w:val="222222"/>
          <w:shd w:val="clear" w:color="auto" w:fill="FFFFFF"/>
        </w:rPr>
      </w:pPr>
      <w:r w:rsidRPr="009A0DA6">
        <w:rPr>
          <w:rFonts w:ascii="Cambria" w:hAnsi="Cambria" w:cs="Arial"/>
          <w:color w:val="222222"/>
          <w:shd w:val="clear" w:color="auto" w:fill="FFFFFF"/>
        </w:rPr>
        <w:t>G</w:t>
      </w:r>
      <w:r w:rsidR="00E0197D" w:rsidRPr="009A0DA6">
        <w:rPr>
          <w:rFonts w:ascii="Cambria" w:hAnsi="Cambria" w:cs="Arial"/>
          <w:color w:val="222222"/>
          <w:shd w:val="clear" w:color="auto" w:fill="FFFFFF"/>
        </w:rPr>
        <w:t>reater integration and alignment of goals and activities within the LCA’s “Our Direction” framework to develop board to board engagement for those with common goals (</w:t>
      </w:r>
      <w:r w:rsidR="00C3381F" w:rsidRPr="009A0DA6">
        <w:rPr>
          <w:rFonts w:ascii="Cambria" w:hAnsi="Cambria" w:cs="Arial"/>
          <w:color w:val="222222"/>
          <w:shd w:val="clear" w:color="auto" w:fill="FFFFFF"/>
        </w:rPr>
        <w:t>eg</w:t>
      </w:r>
      <w:r w:rsidR="00E0197D" w:rsidRPr="009A0DA6">
        <w:rPr>
          <w:rFonts w:ascii="Cambria" w:hAnsi="Cambria" w:cs="Arial"/>
          <w:color w:val="222222"/>
          <w:shd w:val="clear" w:color="auto" w:fill="FFFFFF"/>
        </w:rPr>
        <w:t xml:space="preserve"> local mission at </w:t>
      </w:r>
      <w:r w:rsidR="009B2534" w:rsidRPr="009A0DA6">
        <w:rPr>
          <w:rFonts w:ascii="Cambria" w:hAnsi="Cambria" w:cs="Arial"/>
          <w:color w:val="222222"/>
          <w:shd w:val="clear" w:color="auto" w:fill="FFFFFF"/>
        </w:rPr>
        <w:t>Churchwide</w:t>
      </w:r>
      <w:r w:rsidRPr="009A0DA6">
        <w:rPr>
          <w:rFonts w:ascii="Cambria" w:hAnsi="Cambria" w:cs="Arial"/>
          <w:color w:val="222222"/>
          <w:shd w:val="clear" w:color="auto" w:fill="FFFFFF"/>
        </w:rPr>
        <w:t xml:space="preserve"> and D</w:t>
      </w:r>
      <w:r w:rsidR="00E0197D" w:rsidRPr="009A0DA6">
        <w:rPr>
          <w:rFonts w:ascii="Cambria" w:hAnsi="Cambria" w:cs="Arial"/>
          <w:color w:val="222222"/>
          <w:shd w:val="clear" w:color="auto" w:fill="FFFFFF"/>
        </w:rPr>
        <w:t>istrict levels; Lutheran education and Australian Lutheran College)</w:t>
      </w:r>
    </w:p>
    <w:p w14:paraId="2750E1A9" w14:textId="346471C9" w:rsidR="00E0197D" w:rsidRPr="009A0DA6" w:rsidRDefault="006156DC" w:rsidP="00F55252">
      <w:pPr>
        <w:pStyle w:val="ListParagraph"/>
        <w:numPr>
          <w:ilvl w:val="0"/>
          <w:numId w:val="89"/>
        </w:numPr>
        <w:shd w:val="clear" w:color="auto" w:fill="FFFFFF"/>
        <w:spacing w:after="200" w:line="240" w:lineRule="auto"/>
        <w:ind w:left="567" w:hanging="567"/>
        <w:rPr>
          <w:rFonts w:ascii="Cambria" w:hAnsi="Cambria" w:cs="Arial"/>
          <w:color w:val="222222"/>
          <w:shd w:val="clear" w:color="auto" w:fill="FFFFFF"/>
        </w:rPr>
      </w:pPr>
      <w:r w:rsidRPr="009A0DA6">
        <w:rPr>
          <w:rFonts w:ascii="Cambria" w:hAnsi="Cambria" w:cs="Arial"/>
          <w:color w:val="222222"/>
          <w:shd w:val="clear" w:color="auto" w:fill="FFFFFF"/>
        </w:rPr>
        <w:t>I</w:t>
      </w:r>
      <w:r w:rsidR="00E0197D" w:rsidRPr="009A0DA6">
        <w:rPr>
          <w:rFonts w:ascii="Cambria" w:hAnsi="Cambria" w:cs="Arial"/>
          <w:color w:val="222222"/>
          <w:shd w:val="clear" w:color="auto" w:fill="FFFFFF"/>
        </w:rPr>
        <w:t>mplementation of avenues for continued discussion and engagement on ‘mission’, including at congregational level to facilitate integrated and partnered thinking that se</w:t>
      </w:r>
      <w:r w:rsidRPr="009A0DA6">
        <w:rPr>
          <w:rFonts w:ascii="Cambria" w:hAnsi="Cambria" w:cs="Arial"/>
          <w:color w:val="222222"/>
          <w:shd w:val="clear" w:color="auto" w:fill="FFFFFF"/>
        </w:rPr>
        <w:t>rves ministry at the grassroots</w:t>
      </w:r>
    </w:p>
    <w:p w14:paraId="64EDE789" w14:textId="2428D72D" w:rsidR="00E0197D" w:rsidRPr="009A0DA6" w:rsidRDefault="006156DC" w:rsidP="00F55252">
      <w:pPr>
        <w:pStyle w:val="ListParagraph"/>
        <w:numPr>
          <w:ilvl w:val="0"/>
          <w:numId w:val="89"/>
        </w:numPr>
        <w:shd w:val="clear" w:color="auto" w:fill="FFFFFF"/>
        <w:spacing w:after="200" w:line="240" w:lineRule="auto"/>
        <w:ind w:left="567" w:hanging="567"/>
        <w:rPr>
          <w:rFonts w:ascii="Cambria" w:hAnsi="Cambria" w:cs="Arial"/>
          <w:color w:val="222222"/>
          <w:shd w:val="clear" w:color="auto" w:fill="FFFFFF"/>
        </w:rPr>
      </w:pPr>
      <w:r w:rsidRPr="009A0DA6">
        <w:rPr>
          <w:rFonts w:ascii="Cambria" w:hAnsi="Cambria" w:cs="Arial"/>
          <w:color w:val="222222"/>
          <w:shd w:val="clear" w:color="auto" w:fill="FFFFFF"/>
        </w:rPr>
        <w:t>R</w:t>
      </w:r>
      <w:r w:rsidR="00E0197D" w:rsidRPr="009A0DA6">
        <w:rPr>
          <w:rFonts w:ascii="Cambria" w:hAnsi="Cambria" w:cs="Arial"/>
          <w:color w:val="222222"/>
          <w:shd w:val="clear" w:color="auto" w:fill="FFFFFF"/>
        </w:rPr>
        <w:t>esolution of service issues that have been identified in the evaluation process, and continue to improve the support offered to congregations. This will include obtaining regular feedback from congregations and districts about the effectiveness and efficiency of the services provided to them, and identifying other needs, particularly at the local level, which should be prioritised.</w:t>
      </w:r>
    </w:p>
    <w:p w14:paraId="15D85621" w14:textId="77777777" w:rsidR="00E0197D" w:rsidRPr="009A0DA6" w:rsidRDefault="00E0197D" w:rsidP="00E0197D">
      <w:pPr>
        <w:shd w:val="clear" w:color="auto" w:fill="FFFFFF"/>
        <w:spacing w:line="240" w:lineRule="auto"/>
        <w:rPr>
          <w:rFonts w:ascii="Cambria" w:hAnsi="Cambria" w:cs="Arial"/>
          <w:color w:val="222222"/>
          <w:shd w:val="clear" w:color="auto" w:fill="FFFFFF"/>
        </w:rPr>
      </w:pPr>
      <w:r w:rsidRPr="009A0DA6">
        <w:rPr>
          <w:rFonts w:ascii="Cambria" w:hAnsi="Cambria" w:cs="Arial"/>
          <w:color w:val="222222"/>
          <w:shd w:val="clear" w:color="auto" w:fill="FFFFFF"/>
        </w:rPr>
        <w:t>As noted in the evaluation report, some of the planned changes took time to put in place and therefore it hasn’t been possible to fully assess their impact. In particular, a number of the planned changes towards more integrated mission work, and efficient administrative working, will take longer to demonstrate their impact. In some cases, a five-year timeline is more likely needed for assessment.</w:t>
      </w:r>
    </w:p>
    <w:p w14:paraId="276CDDEC" w14:textId="01EA78CB" w:rsidR="00E0197D" w:rsidRPr="009A0DA6" w:rsidRDefault="00E0197D" w:rsidP="00E0197D">
      <w:pPr>
        <w:shd w:val="clear" w:color="auto" w:fill="FFFFFF"/>
        <w:spacing w:line="240" w:lineRule="auto"/>
        <w:rPr>
          <w:rFonts w:ascii="Cambria" w:hAnsi="Cambria" w:cs="Arial"/>
          <w:color w:val="222222"/>
          <w:shd w:val="clear" w:color="auto" w:fill="FFFFFF"/>
        </w:rPr>
      </w:pPr>
      <w:r w:rsidRPr="009A0DA6">
        <w:rPr>
          <w:rFonts w:ascii="Cambria" w:hAnsi="Cambria" w:cs="Arial"/>
          <w:color w:val="222222"/>
          <w:shd w:val="clear" w:color="auto" w:fill="FFFFFF"/>
        </w:rPr>
        <w:t xml:space="preserve">Overall, GCC is satisfied that the evaluation has demonstrated sufficient success to move beyond the trial status to implementation. If Synod approves the changes, GCC will continue to focus on pursuing further improvements in the effectiveness and efficiency of the national functions towards achieving </w:t>
      </w:r>
      <w:r w:rsidR="00C2017B" w:rsidRPr="009A0DA6">
        <w:rPr>
          <w:rFonts w:ascii="Cambria" w:hAnsi="Cambria" w:cs="Arial"/>
          <w:color w:val="222222"/>
          <w:shd w:val="clear" w:color="auto" w:fill="FFFFFF"/>
        </w:rPr>
        <w:t>churchwide</w:t>
      </w:r>
      <w:r w:rsidRPr="009A0DA6">
        <w:rPr>
          <w:rFonts w:ascii="Cambria" w:hAnsi="Cambria" w:cs="Arial"/>
          <w:color w:val="222222"/>
          <w:shd w:val="clear" w:color="auto" w:fill="FFFFFF"/>
        </w:rPr>
        <w:t xml:space="preserve">, service-oriented functions that support the ministries of the </w:t>
      </w:r>
      <w:r w:rsidR="00DB2C41" w:rsidRPr="009A0DA6">
        <w:rPr>
          <w:rFonts w:ascii="Cambria" w:hAnsi="Cambria" w:cs="Arial"/>
          <w:color w:val="222222"/>
          <w:shd w:val="clear" w:color="auto" w:fill="FFFFFF"/>
        </w:rPr>
        <w:t>church</w:t>
      </w:r>
      <w:r w:rsidRPr="009A0DA6">
        <w:rPr>
          <w:rFonts w:ascii="Cambria" w:hAnsi="Cambria" w:cs="Arial"/>
          <w:color w:val="222222"/>
          <w:shd w:val="clear" w:color="auto" w:fill="FFFFFF"/>
        </w:rPr>
        <w:t>, including districts and congregations, to use their time and effort in carrying out God’s mission in their communities</w:t>
      </w:r>
      <w:r w:rsidR="0027799A" w:rsidRPr="009A0DA6">
        <w:rPr>
          <w:rFonts w:ascii="Cambria" w:hAnsi="Cambria" w:cs="Arial"/>
          <w:color w:val="222222"/>
          <w:shd w:val="clear" w:color="auto" w:fill="FFFFFF"/>
        </w:rPr>
        <w:t xml:space="preserve">. </w:t>
      </w:r>
    </w:p>
    <w:p w14:paraId="168A677A" w14:textId="3BF86CE4" w:rsidR="00E0197D" w:rsidRPr="009A0DA6" w:rsidRDefault="00E0197D" w:rsidP="00E0197D">
      <w:pPr>
        <w:shd w:val="clear" w:color="auto" w:fill="FFFFFF"/>
        <w:spacing w:line="240" w:lineRule="auto"/>
        <w:rPr>
          <w:rFonts w:ascii="Cambria" w:hAnsi="Cambria" w:cs="Arial"/>
          <w:color w:val="222222"/>
          <w:shd w:val="clear" w:color="auto" w:fill="FFFFFF"/>
        </w:rPr>
      </w:pPr>
      <w:r w:rsidRPr="009A0DA6">
        <w:rPr>
          <w:rFonts w:ascii="Cambria" w:hAnsi="Cambria" w:cs="Arial"/>
          <w:color w:val="222222"/>
          <w:shd w:val="clear" w:color="auto" w:fill="FFFFFF"/>
        </w:rPr>
        <w:t>On this basis, the General Church Council recommends to Synod that the changes are implemented by adopting the new terms of reference for the boards and councils that are provided for in the By-laws, as well as relevant changes to Constitution and By-laws. The terms of reference for commissions and committees are included for information</w:t>
      </w:r>
      <w:r w:rsidR="00EC5001">
        <w:rPr>
          <w:rFonts w:ascii="Cambria" w:hAnsi="Cambria" w:cs="Arial"/>
          <w:color w:val="222222"/>
          <w:shd w:val="clear" w:color="auto" w:fill="FFFFFF"/>
        </w:rPr>
        <w:t xml:space="preserve"> at Agenda Document 2 (p407)</w:t>
      </w:r>
      <w:r w:rsidRPr="009A0DA6">
        <w:rPr>
          <w:rFonts w:ascii="Cambria" w:hAnsi="Cambria" w:cs="Arial"/>
          <w:color w:val="222222"/>
          <w:shd w:val="clear" w:color="auto" w:fill="FFFFFF"/>
        </w:rPr>
        <w:t xml:space="preserve">. It is to be noted that there may be further changes to governing arrangements of some bodies, subject to further review, (and, in the case of Lutheran Education Australia, the current membership and duties remain the same in its terms of reference pending the outcome of the review process as presented in Synod </w:t>
      </w:r>
      <w:r w:rsidR="00995084" w:rsidRPr="00AD32D2">
        <w:rPr>
          <w:rFonts w:ascii="Cambria" w:hAnsi="Cambria" w:cs="Arial"/>
          <w:color w:val="222222"/>
          <w:shd w:val="clear" w:color="auto" w:fill="FFFFFF"/>
        </w:rPr>
        <w:t>Agenda</w:t>
      </w:r>
      <w:r w:rsidRPr="00AD32D2">
        <w:rPr>
          <w:rFonts w:ascii="Cambria" w:hAnsi="Cambria" w:cs="Arial"/>
          <w:color w:val="222222"/>
          <w:shd w:val="clear" w:color="auto" w:fill="FFFFFF"/>
        </w:rPr>
        <w:t xml:space="preserve"> </w:t>
      </w:r>
      <w:r w:rsidR="00AD32D2" w:rsidRPr="00AD32D2">
        <w:rPr>
          <w:rFonts w:ascii="Cambria" w:hAnsi="Cambria" w:cs="Arial"/>
          <w:color w:val="222222"/>
          <w:shd w:val="clear" w:color="auto" w:fill="FFFFFF"/>
        </w:rPr>
        <w:t>2.2.7</w:t>
      </w:r>
      <w:r w:rsidRPr="00AD32D2">
        <w:rPr>
          <w:rFonts w:ascii="Cambria" w:hAnsi="Cambria" w:cs="Arial"/>
          <w:color w:val="222222"/>
          <w:shd w:val="clear" w:color="auto" w:fill="FFFFFF"/>
        </w:rPr>
        <w:t>), in the next</w:t>
      </w:r>
      <w:r w:rsidRPr="009A0DA6">
        <w:rPr>
          <w:rFonts w:ascii="Cambria" w:hAnsi="Cambria" w:cs="Arial"/>
          <w:color w:val="222222"/>
          <w:shd w:val="clear" w:color="auto" w:fill="FFFFFF"/>
        </w:rPr>
        <w:t xml:space="preserve"> </w:t>
      </w:r>
      <w:r w:rsidR="00C67D2A" w:rsidRPr="009A0DA6">
        <w:rPr>
          <w:rFonts w:ascii="Cambria" w:hAnsi="Cambria" w:cs="Arial"/>
          <w:color w:val="222222"/>
          <w:shd w:val="clear" w:color="auto" w:fill="FFFFFF"/>
        </w:rPr>
        <w:t>synodical</w:t>
      </w:r>
      <w:r w:rsidRPr="009A0DA6">
        <w:rPr>
          <w:rFonts w:ascii="Cambria" w:hAnsi="Cambria" w:cs="Arial"/>
          <w:color w:val="222222"/>
          <w:shd w:val="clear" w:color="auto" w:fill="FFFFFF"/>
        </w:rPr>
        <w:t xml:space="preserve"> term and these will be submitted to General Synod in 2021.</w:t>
      </w:r>
    </w:p>
    <w:bookmarkEnd w:id="40"/>
    <w:p w14:paraId="07A5F7B3" w14:textId="051C41BB" w:rsidR="00A971D9" w:rsidRDefault="00A971D9" w:rsidP="00964A90">
      <w:pPr>
        <w:pStyle w:val="Heading3"/>
      </w:pPr>
    </w:p>
    <w:p w14:paraId="28126326" w14:textId="77777777" w:rsidR="00A971D9" w:rsidRPr="00A971D9" w:rsidRDefault="00A971D9" w:rsidP="00A971D9">
      <w:pPr>
        <w:pStyle w:val="NoSpacing"/>
      </w:pPr>
    </w:p>
    <w:p w14:paraId="78801E26" w14:textId="77777777" w:rsidR="00A971D9" w:rsidRDefault="00A971D9">
      <w:pPr>
        <w:rPr>
          <w:rFonts w:ascii="Cambria" w:eastAsiaTheme="majorEastAsia" w:hAnsi="Cambria" w:cstheme="majorBidi"/>
          <w:b/>
          <w:caps/>
          <w:sz w:val="28"/>
          <w:szCs w:val="24"/>
        </w:rPr>
      </w:pPr>
      <w:r>
        <w:br w:type="page"/>
      </w:r>
    </w:p>
    <w:p w14:paraId="3645A5FC" w14:textId="4743361F" w:rsidR="0001243B" w:rsidRPr="009A0DA6" w:rsidRDefault="002E45F0" w:rsidP="00964A90">
      <w:pPr>
        <w:pStyle w:val="Heading3"/>
      </w:pPr>
      <w:r w:rsidRPr="009A0DA6">
        <w:lastRenderedPageBreak/>
        <w:t>A</w:t>
      </w:r>
      <w:r w:rsidR="0001243B" w:rsidRPr="009A0DA6">
        <w:t>genda 2.2.3</w:t>
      </w:r>
    </w:p>
    <w:p w14:paraId="28FD8E8A" w14:textId="53913F9C" w:rsidR="0001243B" w:rsidRPr="009A0DA6" w:rsidRDefault="0001243B" w:rsidP="005D571C">
      <w:pPr>
        <w:pStyle w:val="Heading2"/>
      </w:pPr>
      <w:bookmarkStart w:id="45" w:name="_Toc521954600"/>
      <w:bookmarkStart w:id="46" w:name="_Toc522394965"/>
      <w:r w:rsidRPr="009A0DA6">
        <w:t xml:space="preserve">Ordination of </w:t>
      </w:r>
      <w:r w:rsidR="00174A5E" w:rsidRPr="009A0DA6">
        <w:t>w</w:t>
      </w:r>
      <w:r w:rsidRPr="009A0DA6">
        <w:t xml:space="preserve">omen and </w:t>
      </w:r>
      <w:r w:rsidR="00174A5E" w:rsidRPr="009A0DA6">
        <w:t>m</w:t>
      </w:r>
      <w:r w:rsidRPr="009A0DA6">
        <w:t>en</w:t>
      </w:r>
      <w:bookmarkEnd w:id="45"/>
      <w:bookmarkEnd w:id="46"/>
      <w:r w:rsidRPr="009A0DA6">
        <w:t xml:space="preserve"> </w:t>
      </w:r>
    </w:p>
    <w:p w14:paraId="4336B1F8" w14:textId="77777777" w:rsidR="00AD32D2" w:rsidRPr="00D07614" w:rsidRDefault="00AD32D2" w:rsidP="00AD32D2">
      <w:pPr>
        <w:pStyle w:val="NoSpacing"/>
        <w:rPr>
          <w:sz w:val="12"/>
        </w:rPr>
      </w:pPr>
    </w:p>
    <w:p w14:paraId="2456502F" w14:textId="7CEF51B4" w:rsidR="00AD32D2" w:rsidRDefault="00AD32D2" w:rsidP="00AD32D2">
      <w:pPr>
        <w:pStyle w:val="NoSpacing"/>
        <w:rPr>
          <w:lang w:eastAsia="en-AU"/>
        </w:rPr>
      </w:pPr>
      <w:r>
        <w:rPr>
          <w:lang w:eastAsia="en-AU"/>
        </w:rPr>
        <w:t>(See also Agenda 2.3.1</w:t>
      </w:r>
      <w:r w:rsidR="000A5F86">
        <w:rPr>
          <w:lang w:eastAsia="en-AU"/>
        </w:rPr>
        <w:t>, 2.3.2, 2.3.3, 2.3.4 and 2.3.5)</w:t>
      </w:r>
    </w:p>
    <w:p w14:paraId="1E4EF3CB" w14:textId="77777777" w:rsidR="00AD32D2" w:rsidRPr="00D07614" w:rsidRDefault="00AD32D2" w:rsidP="00AD32D2">
      <w:pPr>
        <w:pStyle w:val="NoSpacing"/>
        <w:rPr>
          <w:sz w:val="12"/>
          <w:lang w:eastAsia="en-AU"/>
        </w:rPr>
      </w:pPr>
    </w:p>
    <w:p w14:paraId="70830F82" w14:textId="77777777" w:rsidR="00757ACA" w:rsidRPr="009A0DA6" w:rsidRDefault="00757ACA" w:rsidP="00757ACA">
      <w:pPr>
        <w:pStyle w:val="Heading3"/>
        <w:rPr>
          <w:rFonts w:eastAsia="Times New Roman"/>
          <w:lang w:eastAsia="en-AU"/>
        </w:rPr>
      </w:pPr>
      <w:r w:rsidRPr="009A0DA6">
        <w:rPr>
          <w:rFonts w:eastAsia="Times New Roman"/>
          <w:lang w:eastAsia="en-AU"/>
        </w:rPr>
        <w:t>PROPOSED MOTION</w:t>
      </w:r>
    </w:p>
    <w:p w14:paraId="6EF6CECE" w14:textId="77777777" w:rsidR="00757ACA" w:rsidRPr="009A0DA6" w:rsidRDefault="00757ACA" w:rsidP="00757ACA">
      <w:pPr>
        <w:shd w:val="clear" w:color="auto" w:fill="FFFFFF"/>
        <w:spacing w:after="120" w:line="22" w:lineRule="atLeast"/>
        <w:rPr>
          <w:rFonts w:ascii="Cambria" w:hAnsi="Cambria" w:cs="Arial"/>
          <w:i/>
          <w:shd w:val="clear" w:color="auto" w:fill="FFFFFF"/>
        </w:rPr>
      </w:pPr>
      <w:r w:rsidRPr="009A0DA6">
        <w:rPr>
          <w:rFonts w:ascii="Cambria" w:eastAsia="Times New Roman" w:hAnsi="Cambria" w:cs="Times New Roman"/>
          <w:bCs/>
          <w:i/>
          <w:lang w:eastAsia="en-AU"/>
        </w:rPr>
        <w:t>Submitted by General Church Council</w:t>
      </w:r>
    </w:p>
    <w:p w14:paraId="0D68BA49" w14:textId="77777777" w:rsidR="00757ACA" w:rsidRPr="009A0DA6" w:rsidRDefault="00757ACA" w:rsidP="00757ACA">
      <w:pPr>
        <w:shd w:val="clear" w:color="auto" w:fill="FFFFFF"/>
        <w:tabs>
          <w:tab w:val="left" w:pos="3596"/>
        </w:tabs>
        <w:spacing w:line="240" w:lineRule="auto"/>
        <w:rPr>
          <w:rFonts w:ascii="Cambria" w:eastAsia="Times New Roman" w:hAnsi="Cambria" w:cs="Times New Roman"/>
          <w:b/>
          <w:bCs/>
          <w:color w:val="222222"/>
          <w:lang w:eastAsia="en-AU"/>
        </w:rPr>
      </w:pPr>
      <w:r w:rsidRPr="009A0DA6">
        <w:rPr>
          <w:rFonts w:ascii="Cambria" w:eastAsia="Times New Roman" w:hAnsi="Cambria" w:cs="Times New Roman"/>
          <w:b/>
          <w:bCs/>
          <w:color w:val="222222"/>
          <w:lang w:eastAsia="en-AU"/>
        </w:rPr>
        <w:t xml:space="preserve">BE IT RESOLVED </w:t>
      </w:r>
    </w:p>
    <w:p w14:paraId="05BF4955" w14:textId="14E8F3FB" w:rsidR="00757ACA" w:rsidRPr="000A5F86" w:rsidRDefault="002B6AF4" w:rsidP="00F55252">
      <w:pPr>
        <w:pStyle w:val="ListParagraph"/>
        <w:numPr>
          <w:ilvl w:val="0"/>
          <w:numId w:val="90"/>
        </w:numPr>
        <w:shd w:val="clear" w:color="auto" w:fill="FFFFFF"/>
        <w:tabs>
          <w:tab w:val="left" w:pos="3596"/>
        </w:tabs>
        <w:spacing w:after="200" w:line="240" w:lineRule="auto"/>
        <w:ind w:left="567" w:hanging="567"/>
        <w:rPr>
          <w:rFonts w:ascii="Cambria" w:eastAsia="Times New Roman" w:hAnsi="Cambria" w:cs="Times New Roman"/>
          <w:bCs/>
          <w:color w:val="222222"/>
          <w:lang w:eastAsia="en-AU"/>
        </w:rPr>
      </w:pPr>
      <w:r w:rsidRPr="000A5F86">
        <w:rPr>
          <w:rFonts w:ascii="Cambria" w:eastAsia="Times New Roman" w:hAnsi="Cambria" w:cs="Times New Roman"/>
          <w:bCs/>
          <w:color w:val="222222"/>
          <w:lang w:eastAsia="en-AU"/>
        </w:rPr>
        <w:t>t</w:t>
      </w:r>
      <w:r w:rsidR="00757ACA" w:rsidRPr="000A5F86">
        <w:rPr>
          <w:rFonts w:ascii="Cambria" w:eastAsia="Times New Roman" w:hAnsi="Cambria" w:cs="Times New Roman"/>
          <w:bCs/>
          <w:color w:val="222222"/>
          <w:lang w:eastAsia="en-AU"/>
        </w:rPr>
        <w:t>hat the Lutheran Church of Australia amend its public teaching to accept</w:t>
      </w:r>
      <w:r w:rsidR="00B27191" w:rsidRPr="000A5F86">
        <w:rPr>
          <w:rFonts w:ascii="Cambria" w:eastAsia="Times New Roman" w:hAnsi="Cambria" w:cs="Times New Roman"/>
          <w:bCs/>
          <w:color w:val="222222"/>
          <w:lang w:eastAsia="en-AU"/>
        </w:rPr>
        <w:t xml:space="preserve"> the ordination of both </w:t>
      </w:r>
      <w:r w:rsidR="00757ACA" w:rsidRPr="000A5F86">
        <w:rPr>
          <w:rFonts w:ascii="Cambria" w:eastAsia="Times New Roman" w:hAnsi="Cambria" w:cs="Times New Roman"/>
          <w:bCs/>
          <w:color w:val="222222"/>
          <w:lang w:eastAsia="en-AU"/>
        </w:rPr>
        <w:t>women</w:t>
      </w:r>
      <w:r w:rsidR="00B27191" w:rsidRPr="000A5F86">
        <w:rPr>
          <w:rFonts w:ascii="Cambria" w:eastAsia="Times New Roman" w:hAnsi="Cambria" w:cs="Times New Roman"/>
          <w:bCs/>
          <w:color w:val="222222"/>
          <w:lang w:eastAsia="en-AU"/>
        </w:rPr>
        <w:t xml:space="preserve"> and men</w:t>
      </w:r>
      <w:r w:rsidR="00757ACA" w:rsidRPr="000A5F86">
        <w:rPr>
          <w:rFonts w:ascii="Cambria" w:eastAsia="Times New Roman" w:hAnsi="Cambria" w:cs="Times New Roman"/>
          <w:bCs/>
          <w:color w:val="222222"/>
          <w:lang w:eastAsia="en-AU"/>
        </w:rPr>
        <w:t xml:space="preserve">; </w:t>
      </w:r>
    </w:p>
    <w:p w14:paraId="166CE7F2" w14:textId="31FECA55" w:rsidR="00757ACA" w:rsidRPr="000A5F86" w:rsidRDefault="002B6AF4" w:rsidP="00F55252">
      <w:pPr>
        <w:pStyle w:val="ListParagraph"/>
        <w:numPr>
          <w:ilvl w:val="0"/>
          <w:numId w:val="90"/>
        </w:numPr>
        <w:shd w:val="clear" w:color="auto" w:fill="FFFFFF"/>
        <w:tabs>
          <w:tab w:val="left" w:pos="3596"/>
        </w:tabs>
        <w:spacing w:after="200" w:line="240" w:lineRule="auto"/>
        <w:ind w:left="567" w:hanging="567"/>
        <w:rPr>
          <w:rFonts w:ascii="Cambria" w:eastAsia="Times New Roman" w:hAnsi="Cambria" w:cs="Times New Roman"/>
          <w:bCs/>
          <w:color w:val="222222"/>
          <w:lang w:eastAsia="en-AU"/>
        </w:rPr>
      </w:pPr>
      <w:r w:rsidRPr="000A5F86">
        <w:rPr>
          <w:rFonts w:ascii="Cambria" w:eastAsia="Times New Roman" w:hAnsi="Cambria" w:cs="Times New Roman"/>
          <w:bCs/>
          <w:color w:val="222222"/>
          <w:lang w:eastAsia="en-AU"/>
        </w:rPr>
        <w:t>t</w:t>
      </w:r>
      <w:r w:rsidR="00757ACA" w:rsidRPr="000A5F86">
        <w:rPr>
          <w:rFonts w:ascii="Cambria" w:eastAsia="Times New Roman" w:hAnsi="Cambria" w:cs="Times New Roman"/>
          <w:bCs/>
          <w:color w:val="222222"/>
          <w:lang w:eastAsia="en-AU"/>
        </w:rPr>
        <w:t xml:space="preserve">hat Synod affirms the </w:t>
      </w:r>
      <w:r w:rsidR="00DB2C41" w:rsidRPr="000A5F86">
        <w:rPr>
          <w:rFonts w:ascii="Cambria" w:eastAsia="Times New Roman" w:hAnsi="Cambria" w:cs="Times New Roman"/>
          <w:bCs/>
          <w:color w:val="222222"/>
          <w:lang w:eastAsia="en-AU"/>
        </w:rPr>
        <w:t>church</w:t>
      </w:r>
      <w:r w:rsidR="00757ACA" w:rsidRPr="000A5F86">
        <w:rPr>
          <w:rFonts w:ascii="Cambria" w:eastAsia="Times New Roman" w:hAnsi="Cambria" w:cs="Times New Roman"/>
          <w:bCs/>
          <w:color w:val="222222"/>
          <w:lang w:eastAsia="en-AU"/>
        </w:rPr>
        <w:t>’s teaching on the ministry contained in paragraphs one to ten of Theses of Agreement VI: Theses on the office of the ministry;</w:t>
      </w:r>
    </w:p>
    <w:p w14:paraId="6B0AECE1" w14:textId="0BD68950" w:rsidR="00757ACA" w:rsidRPr="000A5F86" w:rsidRDefault="002B6AF4" w:rsidP="00F55252">
      <w:pPr>
        <w:pStyle w:val="ListParagraph"/>
        <w:numPr>
          <w:ilvl w:val="0"/>
          <w:numId w:val="90"/>
        </w:numPr>
        <w:shd w:val="clear" w:color="auto" w:fill="FFFFFF"/>
        <w:tabs>
          <w:tab w:val="left" w:pos="3596"/>
        </w:tabs>
        <w:spacing w:after="200" w:line="240" w:lineRule="auto"/>
        <w:ind w:left="567" w:hanging="567"/>
        <w:rPr>
          <w:rFonts w:ascii="Cambria" w:eastAsia="Times New Roman" w:hAnsi="Cambria" w:cs="Times New Roman"/>
          <w:bCs/>
          <w:color w:val="222222"/>
          <w:lang w:eastAsia="en-AU"/>
        </w:rPr>
      </w:pPr>
      <w:r w:rsidRPr="000A5F86">
        <w:rPr>
          <w:rFonts w:ascii="Cambria" w:eastAsia="Times New Roman" w:hAnsi="Cambria" w:cs="Times New Roman"/>
          <w:bCs/>
          <w:color w:val="222222"/>
          <w:lang w:eastAsia="en-AU"/>
        </w:rPr>
        <w:t>t</w:t>
      </w:r>
      <w:r w:rsidR="00757ACA" w:rsidRPr="000A5F86">
        <w:rPr>
          <w:rFonts w:ascii="Cambria" w:eastAsia="Times New Roman" w:hAnsi="Cambria" w:cs="Times New Roman"/>
          <w:bCs/>
          <w:color w:val="222222"/>
          <w:lang w:eastAsia="en-AU"/>
        </w:rPr>
        <w:t>hat Synod adopts ‘</w:t>
      </w:r>
      <w:r w:rsidR="00757ACA" w:rsidRPr="000A5F86">
        <w:rPr>
          <w:rFonts w:ascii="Cambria" w:eastAsia="Times New Roman" w:hAnsi="Cambria" w:cs="Times New Roman"/>
          <w:bCs/>
          <w:i/>
          <w:color w:val="222222"/>
          <w:lang w:eastAsia="en-AU"/>
        </w:rPr>
        <w:t>A theological basis for the ordination of women and men’</w:t>
      </w:r>
      <w:r w:rsidR="00757ACA" w:rsidRPr="000A5F86">
        <w:rPr>
          <w:rFonts w:ascii="Cambria" w:eastAsia="Times New Roman" w:hAnsi="Cambria" w:cs="Times New Roman"/>
          <w:bCs/>
          <w:color w:val="222222"/>
          <w:lang w:eastAsia="en-AU"/>
        </w:rPr>
        <w:t xml:space="preserve"> as the teaching of the </w:t>
      </w:r>
      <w:r w:rsidR="00DB2C41" w:rsidRPr="000A5F86">
        <w:rPr>
          <w:rFonts w:ascii="Cambria" w:eastAsia="Times New Roman" w:hAnsi="Cambria" w:cs="Times New Roman"/>
          <w:bCs/>
          <w:color w:val="222222"/>
          <w:lang w:eastAsia="en-AU"/>
        </w:rPr>
        <w:t>church</w:t>
      </w:r>
      <w:r w:rsidR="00757ACA" w:rsidRPr="000A5F86">
        <w:rPr>
          <w:rFonts w:ascii="Cambria" w:eastAsia="Times New Roman" w:hAnsi="Cambria" w:cs="Times New Roman"/>
          <w:bCs/>
          <w:color w:val="222222"/>
          <w:lang w:eastAsia="en-AU"/>
        </w:rPr>
        <w:t xml:space="preserve">, replacing the teaching contained in TA VI.11; </w:t>
      </w:r>
    </w:p>
    <w:p w14:paraId="1D2E55E6" w14:textId="204D802A" w:rsidR="00757ACA" w:rsidRPr="000A5F86" w:rsidRDefault="002B6AF4" w:rsidP="00F55252">
      <w:pPr>
        <w:pStyle w:val="ListParagraph"/>
        <w:numPr>
          <w:ilvl w:val="0"/>
          <w:numId w:val="90"/>
        </w:numPr>
        <w:shd w:val="clear" w:color="auto" w:fill="FFFFFF"/>
        <w:tabs>
          <w:tab w:val="left" w:pos="3596"/>
        </w:tabs>
        <w:spacing w:after="200" w:line="240" w:lineRule="auto"/>
        <w:ind w:left="567" w:hanging="567"/>
        <w:rPr>
          <w:rFonts w:ascii="Cambria" w:eastAsia="Times New Roman" w:hAnsi="Cambria" w:cs="Times New Roman"/>
          <w:bCs/>
          <w:color w:val="222222"/>
          <w:lang w:eastAsia="en-AU"/>
        </w:rPr>
      </w:pPr>
      <w:r w:rsidRPr="000A5F86">
        <w:rPr>
          <w:rFonts w:ascii="Cambria" w:eastAsia="Times New Roman" w:hAnsi="Cambria" w:cs="Times New Roman"/>
          <w:bCs/>
          <w:color w:val="222222"/>
          <w:lang w:eastAsia="en-AU"/>
        </w:rPr>
        <w:t>t</w:t>
      </w:r>
      <w:r w:rsidR="00757ACA" w:rsidRPr="000A5F86">
        <w:rPr>
          <w:rFonts w:ascii="Cambria" w:eastAsia="Times New Roman" w:hAnsi="Cambria" w:cs="Times New Roman"/>
          <w:bCs/>
          <w:color w:val="222222"/>
          <w:lang w:eastAsia="en-AU"/>
        </w:rPr>
        <w:t>hat Synod directs the General Church Council to attend to the necessary administrative arrangements required to facilitate the entry of women into the office of the public ministry.</w:t>
      </w:r>
    </w:p>
    <w:p w14:paraId="15A20A3C" w14:textId="21BEEAFE" w:rsidR="00757ACA" w:rsidRPr="009A0DA6" w:rsidRDefault="00FB59B1" w:rsidP="002E45F0">
      <w:pPr>
        <w:pStyle w:val="Heading3"/>
        <w:spacing w:after="0"/>
        <w:rPr>
          <w:rFonts w:eastAsia="Times New Roman"/>
        </w:rPr>
      </w:pPr>
      <w:r w:rsidRPr="009A0DA6">
        <w:rPr>
          <w:rFonts w:eastAsia="Times New Roman"/>
        </w:rPr>
        <w:t>REASONS FOR THE MOTION</w:t>
      </w:r>
    </w:p>
    <w:p w14:paraId="046F63B0" w14:textId="5F885237" w:rsidR="00757ACA" w:rsidRPr="009A0DA6" w:rsidRDefault="00757ACA" w:rsidP="00F55252">
      <w:pPr>
        <w:pStyle w:val="ListParagraph"/>
        <w:numPr>
          <w:ilvl w:val="0"/>
          <w:numId w:val="93"/>
        </w:numPr>
        <w:shd w:val="clear" w:color="auto" w:fill="FFFFFF"/>
        <w:spacing w:after="0" w:line="240" w:lineRule="auto"/>
        <w:ind w:left="567" w:hanging="567"/>
        <w:rPr>
          <w:rFonts w:ascii="Cambria" w:hAnsi="Cambria" w:cs="Arial"/>
          <w:color w:val="222222"/>
          <w:shd w:val="clear" w:color="auto" w:fill="FFFFFF"/>
        </w:rPr>
      </w:pPr>
      <w:r w:rsidRPr="009A0DA6">
        <w:rPr>
          <w:rFonts w:ascii="Cambria" w:hAnsi="Cambria" w:cs="Arial"/>
          <w:color w:val="222222"/>
          <w:shd w:val="clear" w:color="auto" w:fill="FFFFFF"/>
        </w:rPr>
        <w:t>The 18</w:t>
      </w:r>
      <w:r w:rsidRPr="009A0DA6">
        <w:rPr>
          <w:rFonts w:ascii="Cambria" w:hAnsi="Cambria" w:cs="Arial"/>
          <w:color w:val="222222"/>
          <w:shd w:val="clear" w:color="auto" w:fill="FFFFFF"/>
          <w:vertAlign w:val="superscript"/>
        </w:rPr>
        <w:t>th</w:t>
      </w:r>
      <w:r w:rsidRPr="009A0DA6">
        <w:rPr>
          <w:rFonts w:ascii="Cambria" w:hAnsi="Cambria" w:cs="Arial"/>
          <w:color w:val="222222"/>
          <w:shd w:val="clear" w:color="auto" w:fill="FFFFFF"/>
        </w:rPr>
        <w:t xml:space="preserve"> LCA Convention of Synod (2015) resolved that Synod requests the </w:t>
      </w:r>
      <w:r w:rsidR="00B1099D" w:rsidRPr="009A0DA6">
        <w:rPr>
          <w:rFonts w:ascii="Cambria" w:hAnsi="Cambria" w:cs="Arial"/>
          <w:color w:val="222222"/>
          <w:shd w:val="clear" w:color="auto" w:fill="FFFFFF"/>
        </w:rPr>
        <w:t>CTICR</w:t>
      </w:r>
      <w:r w:rsidRPr="009A0DA6">
        <w:rPr>
          <w:rFonts w:ascii="Cambria" w:hAnsi="Cambria" w:cs="Arial"/>
          <w:color w:val="222222"/>
          <w:shd w:val="clear" w:color="auto" w:fill="FFFFFF"/>
        </w:rPr>
        <w:t xml:space="preserve"> to build on its earlier work regarding the ordination of women and men to develop a draft doctrinal statement for </w:t>
      </w:r>
      <w:r w:rsidR="00B1099D" w:rsidRPr="009A0DA6">
        <w:rPr>
          <w:rFonts w:ascii="Cambria" w:hAnsi="Cambria" w:cs="Arial"/>
          <w:color w:val="222222"/>
          <w:shd w:val="clear" w:color="auto" w:fill="FFFFFF"/>
        </w:rPr>
        <w:t xml:space="preserve">GPC </w:t>
      </w:r>
      <w:r w:rsidRPr="009A0DA6">
        <w:rPr>
          <w:rFonts w:ascii="Cambria" w:hAnsi="Cambria" w:cs="Arial"/>
          <w:color w:val="222222"/>
          <w:shd w:val="clear" w:color="auto" w:fill="FFFFFF"/>
        </w:rPr>
        <w:t>and the 19th Convention of Synod that presents:</w:t>
      </w:r>
    </w:p>
    <w:p w14:paraId="404FF9C8" w14:textId="10CB3422" w:rsidR="00757ACA" w:rsidRPr="009A0DA6" w:rsidRDefault="00757ACA" w:rsidP="00F55252">
      <w:pPr>
        <w:pStyle w:val="ListParagraph"/>
        <w:numPr>
          <w:ilvl w:val="0"/>
          <w:numId w:val="91"/>
        </w:numPr>
        <w:shd w:val="clear" w:color="auto" w:fill="FFFFFF"/>
        <w:spacing w:after="200" w:line="240" w:lineRule="auto"/>
        <w:ind w:left="1134" w:hanging="567"/>
        <w:rPr>
          <w:rFonts w:ascii="Cambria" w:hAnsi="Cambria" w:cs="Arial"/>
          <w:color w:val="222222"/>
          <w:shd w:val="clear" w:color="auto" w:fill="FFFFFF"/>
        </w:rPr>
      </w:pPr>
      <w:r w:rsidRPr="009A0DA6">
        <w:rPr>
          <w:rFonts w:ascii="Cambria" w:hAnsi="Cambria" w:cs="Arial"/>
          <w:color w:val="222222"/>
          <w:shd w:val="clear" w:color="auto" w:fill="FFFFFF"/>
        </w:rPr>
        <w:t>A theological basis for the ordination of wom</w:t>
      </w:r>
      <w:r w:rsidR="00F82E00" w:rsidRPr="009A0DA6">
        <w:rPr>
          <w:rFonts w:ascii="Cambria" w:hAnsi="Cambria" w:cs="Arial"/>
          <w:color w:val="222222"/>
          <w:shd w:val="clear" w:color="auto" w:fill="FFFFFF"/>
        </w:rPr>
        <w:t>en and men</w:t>
      </w:r>
    </w:p>
    <w:p w14:paraId="572E32E4" w14:textId="6B70C5A3" w:rsidR="00757ACA" w:rsidRPr="009A0DA6" w:rsidRDefault="00757ACA" w:rsidP="00F55252">
      <w:pPr>
        <w:pStyle w:val="ListParagraph"/>
        <w:numPr>
          <w:ilvl w:val="0"/>
          <w:numId w:val="91"/>
        </w:numPr>
        <w:shd w:val="clear" w:color="auto" w:fill="FFFFFF"/>
        <w:spacing w:after="200" w:line="240" w:lineRule="auto"/>
        <w:ind w:left="1134" w:hanging="567"/>
        <w:rPr>
          <w:rFonts w:ascii="Cambria" w:hAnsi="Cambria" w:cs="Arial"/>
          <w:color w:val="222222"/>
          <w:shd w:val="clear" w:color="auto" w:fill="FFFFFF"/>
        </w:rPr>
      </w:pPr>
      <w:r w:rsidRPr="009A0DA6">
        <w:rPr>
          <w:rFonts w:ascii="Cambria" w:hAnsi="Cambria" w:cs="Arial"/>
          <w:color w:val="222222"/>
          <w:shd w:val="clear" w:color="auto" w:fill="FFFFFF"/>
        </w:rPr>
        <w:t xml:space="preserve">A theological basis for why the ordination of women and </w:t>
      </w:r>
      <w:r w:rsidR="00F82E00" w:rsidRPr="009A0DA6">
        <w:rPr>
          <w:rFonts w:ascii="Cambria" w:hAnsi="Cambria" w:cs="Arial"/>
          <w:color w:val="222222"/>
          <w:shd w:val="clear" w:color="auto" w:fill="FFFFFF"/>
        </w:rPr>
        <w:t>men need not be church divisive</w:t>
      </w:r>
    </w:p>
    <w:p w14:paraId="22632860" w14:textId="365D3661" w:rsidR="00757ACA" w:rsidRPr="009A0DA6" w:rsidRDefault="00757ACA" w:rsidP="00F55252">
      <w:pPr>
        <w:pStyle w:val="ListParagraph"/>
        <w:numPr>
          <w:ilvl w:val="0"/>
          <w:numId w:val="91"/>
        </w:numPr>
        <w:shd w:val="clear" w:color="auto" w:fill="FFFFFF"/>
        <w:spacing w:after="200" w:line="240" w:lineRule="auto"/>
        <w:ind w:left="1134" w:hanging="567"/>
        <w:rPr>
          <w:rFonts w:ascii="Cambria" w:hAnsi="Cambria" w:cs="Arial"/>
          <w:color w:val="222222"/>
          <w:shd w:val="clear" w:color="auto" w:fill="FFFFFF"/>
        </w:rPr>
      </w:pPr>
      <w:r w:rsidRPr="009A0DA6">
        <w:rPr>
          <w:rFonts w:ascii="Cambria" w:hAnsi="Cambria" w:cs="Arial"/>
          <w:color w:val="222222"/>
          <w:shd w:val="clear" w:color="auto" w:fill="FFFFFF"/>
        </w:rPr>
        <w:t>And that GCC resource it.</w:t>
      </w:r>
      <w:r w:rsidR="002E45F0" w:rsidRPr="009A0DA6">
        <w:rPr>
          <w:rFonts w:ascii="Cambria" w:hAnsi="Cambria" w:cs="Arial"/>
          <w:color w:val="222222"/>
          <w:shd w:val="clear" w:color="auto" w:fill="FFFFFF"/>
        </w:rPr>
        <w:tab/>
      </w:r>
      <w:r w:rsidR="002E45F0" w:rsidRPr="009A0DA6">
        <w:rPr>
          <w:rFonts w:ascii="Cambria" w:hAnsi="Cambria" w:cs="Arial"/>
          <w:color w:val="222222"/>
          <w:shd w:val="clear" w:color="auto" w:fill="FFFFFF"/>
        </w:rPr>
        <w:tab/>
      </w:r>
      <w:r w:rsidR="002E45F0" w:rsidRPr="009A0DA6">
        <w:rPr>
          <w:rFonts w:ascii="Cambria" w:hAnsi="Cambria" w:cs="Arial"/>
          <w:color w:val="222222"/>
          <w:shd w:val="clear" w:color="auto" w:fill="FFFFFF"/>
        </w:rPr>
        <w:tab/>
      </w:r>
      <w:r w:rsidR="002E45F0" w:rsidRPr="009A0DA6">
        <w:rPr>
          <w:rFonts w:ascii="Cambria" w:hAnsi="Cambria" w:cs="Arial"/>
          <w:color w:val="222222"/>
          <w:shd w:val="clear" w:color="auto" w:fill="FFFFFF"/>
        </w:rPr>
        <w:tab/>
        <w:t xml:space="preserve"> (Resolution </w:t>
      </w:r>
      <w:r w:rsidR="004113A1">
        <w:rPr>
          <w:rFonts w:ascii="Cambria" w:hAnsi="Cambria" w:cs="Arial"/>
          <w:color w:val="222222"/>
          <w:shd w:val="clear" w:color="auto" w:fill="FFFFFF"/>
        </w:rPr>
        <w:t>2015:0</w:t>
      </w:r>
      <w:r w:rsidR="002E45F0" w:rsidRPr="009A0DA6">
        <w:rPr>
          <w:rFonts w:ascii="Cambria" w:hAnsi="Cambria" w:cs="Arial"/>
          <w:color w:val="222222"/>
          <w:shd w:val="clear" w:color="auto" w:fill="FFFFFF"/>
        </w:rPr>
        <w:t xml:space="preserve">216) </w:t>
      </w:r>
    </w:p>
    <w:p w14:paraId="5110B2A8" w14:textId="19C3F808" w:rsidR="00757ACA" w:rsidRPr="009A0DA6" w:rsidRDefault="00757ACA" w:rsidP="00757ACA">
      <w:pPr>
        <w:pStyle w:val="ListParagraph"/>
        <w:shd w:val="clear" w:color="auto" w:fill="FFFFFF"/>
        <w:spacing w:line="240" w:lineRule="auto"/>
        <w:ind w:left="567"/>
        <w:rPr>
          <w:rFonts w:ascii="Cambria" w:hAnsi="Cambria" w:cs="Arial"/>
          <w:color w:val="222222"/>
          <w:sz w:val="10"/>
          <w:shd w:val="clear" w:color="auto" w:fill="FFFFFF"/>
        </w:rPr>
      </w:pPr>
    </w:p>
    <w:p w14:paraId="08A2B153" w14:textId="2649C2BD" w:rsidR="00757ACA" w:rsidRPr="009A0DA6" w:rsidRDefault="00757ACA" w:rsidP="00F55252">
      <w:pPr>
        <w:pStyle w:val="ListParagraph"/>
        <w:numPr>
          <w:ilvl w:val="0"/>
          <w:numId w:val="93"/>
        </w:numPr>
        <w:shd w:val="clear" w:color="auto" w:fill="FFFFFF"/>
        <w:spacing w:after="200" w:line="240" w:lineRule="auto"/>
        <w:ind w:left="567" w:hanging="567"/>
        <w:rPr>
          <w:rFonts w:ascii="Cambria" w:hAnsi="Cambria" w:cs="Arial"/>
          <w:color w:val="222222"/>
          <w:shd w:val="clear" w:color="auto" w:fill="FFFFFF"/>
        </w:rPr>
      </w:pPr>
      <w:r w:rsidRPr="009A0DA6">
        <w:rPr>
          <w:rFonts w:ascii="Cambria" w:hAnsi="Cambria" w:cs="Arial"/>
          <w:color w:val="222222"/>
          <w:shd w:val="clear" w:color="auto" w:fill="FFFFFF"/>
        </w:rPr>
        <w:t xml:space="preserve">The </w:t>
      </w:r>
      <w:r w:rsidR="00B1099D" w:rsidRPr="009A0DA6">
        <w:rPr>
          <w:rFonts w:ascii="Cambria" w:hAnsi="Cambria" w:cs="Arial"/>
          <w:color w:val="222222"/>
          <w:shd w:val="clear" w:color="auto" w:fill="FFFFFF"/>
        </w:rPr>
        <w:t>Commission on Theology and Inter-Church Relations (</w:t>
      </w:r>
      <w:r w:rsidR="00426F4F" w:rsidRPr="009A0DA6">
        <w:rPr>
          <w:rFonts w:ascii="Cambria" w:hAnsi="Cambria" w:cs="Arial"/>
          <w:color w:val="222222"/>
          <w:shd w:val="clear" w:color="auto" w:fill="FFFFFF"/>
        </w:rPr>
        <w:t>CTICR</w:t>
      </w:r>
      <w:r w:rsidR="00B1099D" w:rsidRPr="009A0DA6">
        <w:rPr>
          <w:rFonts w:ascii="Cambria" w:hAnsi="Cambria" w:cs="Arial"/>
          <w:color w:val="222222"/>
          <w:shd w:val="clear" w:color="auto" w:fill="FFFFFF"/>
        </w:rPr>
        <w:t>)</w:t>
      </w:r>
      <w:r w:rsidR="00426F4F" w:rsidRPr="009A0DA6">
        <w:rPr>
          <w:rFonts w:ascii="Cambria" w:hAnsi="Cambria" w:cs="Arial"/>
          <w:color w:val="222222"/>
          <w:shd w:val="clear" w:color="auto" w:fill="FFFFFF"/>
        </w:rPr>
        <w:t xml:space="preserve"> h</w:t>
      </w:r>
      <w:r w:rsidRPr="009A0DA6">
        <w:rPr>
          <w:rFonts w:ascii="Cambria" w:hAnsi="Cambria" w:cs="Arial"/>
          <w:color w:val="222222"/>
          <w:shd w:val="clear" w:color="auto" w:fill="FFFFFF"/>
        </w:rPr>
        <w:t>as prepared two draft doctrinal statements in response to the Synod resolution, namely:</w:t>
      </w:r>
    </w:p>
    <w:p w14:paraId="64796BE8" w14:textId="77777777" w:rsidR="00757ACA" w:rsidRPr="009A0DA6" w:rsidRDefault="00757ACA" w:rsidP="00F55252">
      <w:pPr>
        <w:pStyle w:val="ListParagraph"/>
        <w:numPr>
          <w:ilvl w:val="0"/>
          <w:numId w:val="92"/>
        </w:numPr>
        <w:shd w:val="clear" w:color="auto" w:fill="FFFFFF"/>
        <w:spacing w:after="200" w:line="240" w:lineRule="auto"/>
        <w:ind w:left="1134" w:hanging="567"/>
        <w:rPr>
          <w:rFonts w:ascii="Cambria" w:hAnsi="Cambria" w:cs="Arial"/>
          <w:color w:val="222222"/>
          <w:shd w:val="clear" w:color="auto" w:fill="FFFFFF"/>
        </w:rPr>
      </w:pPr>
      <w:r w:rsidRPr="009A0DA6">
        <w:rPr>
          <w:rFonts w:ascii="Cambria" w:hAnsi="Cambria" w:cs="Arial"/>
          <w:color w:val="222222"/>
          <w:shd w:val="clear" w:color="auto" w:fill="FFFFFF"/>
        </w:rPr>
        <w:t>‘A Theological Basis for the Ordination of Women and Men’ and</w:t>
      </w:r>
    </w:p>
    <w:p w14:paraId="212D8A4F" w14:textId="094AF620" w:rsidR="00757ACA" w:rsidRPr="009A0DA6" w:rsidRDefault="00757ACA" w:rsidP="00F55252">
      <w:pPr>
        <w:pStyle w:val="ListParagraph"/>
        <w:numPr>
          <w:ilvl w:val="0"/>
          <w:numId w:val="92"/>
        </w:numPr>
        <w:shd w:val="clear" w:color="auto" w:fill="FFFFFF"/>
        <w:spacing w:after="200" w:line="240" w:lineRule="auto"/>
        <w:ind w:left="1134" w:hanging="567"/>
        <w:rPr>
          <w:rFonts w:ascii="Cambria" w:hAnsi="Cambria" w:cs="Arial"/>
          <w:color w:val="222222"/>
          <w:sz w:val="10"/>
          <w:shd w:val="clear" w:color="auto" w:fill="FFFFFF"/>
        </w:rPr>
      </w:pPr>
      <w:r w:rsidRPr="009A0DA6">
        <w:rPr>
          <w:rFonts w:ascii="Cambria" w:hAnsi="Cambria" w:cs="Arial"/>
          <w:color w:val="222222"/>
          <w:shd w:val="clear" w:color="auto" w:fill="FFFFFF"/>
        </w:rPr>
        <w:t>‘A Theological Basis for why the Ordination of Women and Men Need Not be Church Divisive’</w:t>
      </w:r>
      <w:r w:rsidR="00426F4F" w:rsidRPr="009A0DA6">
        <w:rPr>
          <w:rFonts w:ascii="Cambria" w:hAnsi="Cambria" w:cs="Arial"/>
          <w:color w:val="222222"/>
          <w:shd w:val="clear" w:color="auto" w:fill="FFFFFF"/>
        </w:rPr>
        <w:t>.</w:t>
      </w:r>
      <w:r w:rsidRPr="009A0DA6">
        <w:rPr>
          <w:rFonts w:ascii="Cambria" w:hAnsi="Cambria" w:cs="Arial"/>
          <w:color w:val="222222"/>
          <w:shd w:val="clear" w:color="auto" w:fill="FFFFFF"/>
        </w:rPr>
        <w:br/>
      </w:r>
    </w:p>
    <w:p w14:paraId="6B1FC92B" w14:textId="7B4A1D7D" w:rsidR="00757ACA" w:rsidRPr="009A0DA6" w:rsidRDefault="00757ACA" w:rsidP="00F55252">
      <w:pPr>
        <w:pStyle w:val="ListParagraph"/>
        <w:numPr>
          <w:ilvl w:val="0"/>
          <w:numId w:val="93"/>
        </w:numPr>
        <w:shd w:val="clear" w:color="auto" w:fill="FFFFFF"/>
        <w:spacing w:after="200" w:line="240" w:lineRule="auto"/>
        <w:ind w:left="567" w:hanging="567"/>
        <w:rPr>
          <w:rFonts w:ascii="Cambria" w:hAnsi="Cambria" w:cs="Arial"/>
          <w:color w:val="222222"/>
          <w:sz w:val="10"/>
          <w:shd w:val="clear" w:color="auto" w:fill="FFFFFF"/>
        </w:rPr>
      </w:pPr>
      <w:r w:rsidRPr="009A0DA6">
        <w:rPr>
          <w:rFonts w:ascii="Cambria" w:hAnsi="Cambria" w:cs="Arial"/>
          <w:color w:val="222222"/>
          <w:shd w:val="clear" w:color="auto" w:fill="FFFFFF"/>
        </w:rPr>
        <w:t>Twenty congregations have submitted identical proposals that the Lutheran Church of Australia amend its public teaching to accept the ordination of both men and women</w:t>
      </w:r>
      <w:r w:rsidR="0027799A" w:rsidRPr="009A0DA6">
        <w:rPr>
          <w:rFonts w:ascii="Cambria" w:hAnsi="Cambria" w:cs="Arial"/>
          <w:color w:val="222222"/>
          <w:shd w:val="clear" w:color="auto" w:fill="FFFFFF"/>
        </w:rPr>
        <w:t xml:space="preserve">. </w:t>
      </w:r>
      <w:r w:rsidRPr="009A0DA6">
        <w:rPr>
          <w:rFonts w:ascii="Cambria" w:hAnsi="Cambria" w:cs="Arial"/>
          <w:color w:val="222222"/>
          <w:shd w:val="clear" w:color="auto" w:fill="FFFFFF"/>
        </w:rPr>
        <w:t>These proposals do not directly address the Draft Doctrinal Statement since it was not available at the time these congregations prepared and submitted their proposals.</w:t>
      </w:r>
      <w:r w:rsidRPr="009A0DA6">
        <w:rPr>
          <w:rFonts w:ascii="Cambria" w:hAnsi="Cambria" w:cs="Arial"/>
          <w:color w:val="222222"/>
          <w:shd w:val="clear" w:color="auto" w:fill="FFFFFF"/>
        </w:rPr>
        <w:br/>
      </w:r>
    </w:p>
    <w:p w14:paraId="3D7579F9" w14:textId="2D9BBA6E" w:rsidR="00757ACA" w:rsidRPr="009A0DA6" w:rsidRDefault="00757ACA" w:rsidP="00F55252">
      <w:pPr>
        <w:pStyle w:val="ListParagraph"/>
        <w:numPr>
          <w:ilvl w:val="0"/>
          <w:numId w:val="93"/>
        </w:numPr>
        <w:shd w:val="clear" w:color="auto" w:fill="FFFFFF"/>
        <w:spacing w:after="200" w:line="240" w:lineRule="auto"/>
        <w:ind w:left="567" w:hanging="567"/>
        <w:rPr>
          <w:rFonts w:ascii="Cambria" w:hAnsi="Cambria" w:cs="Arial"/>
          <w:color w:val="222222"/>
          <w:sz w:val="10"/>
          <w:shd w:val="clear" w:color="auto" w:fill="FFFFFF"/>
        </w:rPr>
      </w:pPr>
      <w:r w:rsidRPr="009A0DA6">
        <w:rPr>
          <w:rFonts w:ascii="Cambria" w:hAnsi="Cambria" w:cs="Arial"/>
          <w:color w:val="222222"/>
          <w:shd w:val="clear" w:color="auto" w:fill="FFFFFF"/>
        </w:rPr>
        <w:t xml:space="preserve">General Church Council (GCC) referred these proposals to </w:t>
      </w:r>
      <w:r w:rsidR="00F82E00" w:rsidRPr="009A0DA6">
        <w:rPr>
          <w:rFonts w:ascii="Cambria" w:hAnsi="Cambria" w:cs="Arial"/>
          <w:color w:val="222222"/>
          <w:shd w:val="clear" w:color="auto" w:fill="FFFFFF"/>
        </w:rPr>
        <w:t>the GPC</w:t>
      </w:r>
      <w:r w:rsidRPr="009A0DA6">
        <w:rPr>
          <w:rFonts w:ascii="Cambria" w:hAnsi="Cambria" w:cs="Arial"/>
          <w:color w:val="222222"/>
          <w:shd w:val="clear" w:color="auto" w:fill="FFFFFF"/>
        </w:rPr>
        <w:t xml:space="preserve"> for advice and recommendation in accordance with the LCA Constitution and By-Laws.</w:t>
      </w:r>
      <w:r w:rsidRPr="009A0DA6">
        <w:rPr>
          <w:rFonts w:ascii="Cambria" w:hAnsi="Cambria" w:cs="Arial"/>
          <w:color w:val="222222"/>
          <w:shd w:val="clear" w:color="auto" w:fill="FFFFFF"/>
        </w:rPr>
        <w:br/>
      </w:r>
    </w:p>
    <w:p w14:paraId="5ED508F7" w14:textId="61A03B46" w:rsidR="00757ACA" w:rsidRPr="009A0DA6" w:rsidRDefault="00757ACA" w:rsidP="00F55252">
      <w:pPr>
        <w:pStyle w:val="ListParagraph"/>
        <w:numPr>
          <w:ilvl w:val="0"/>
          <w:numId w:val="93"/>
        </w:numPr>
        <w:shd w:val="clear" w:color="auto" w:fill="FFFFFF"/>
        <w:spacing w:after="200" w:line="240" w:lineRule="auto"/>
        <w:ind w:left="567" w:hanging="567"/>
        <w:rPr>
          <w:rFonts w:ascii="Cambria" w:hAnsi="Cambria" w:cs="Arial"/>
          <w:color w:val="222222"/>
          <w:sz w:val="10"/>
          <w:shd w:val="clear" w:color="auto" w:fill="FFFFFF"/>
        </w:rPr>
      </w:pPr>
      <w:r w:rsidRPr="009A0DA6">
        <w:rPr>
          <w:rFonts w:ascii="Cambria" w:hAnsi="Cambria" w:cs="Arial"/>
          <w:color w:val="222222"/>
          <w:shd w:val="clear" w:color="auto" w:fill="FFFFFF"/>
        </w:rPr>
        <w:t xml:space="preserve">The GPC has recommended to the Convention of Synod that any proposal to change the teaching of the </w:t>
      </w:r>
      <w:r w:rsidR="00F82E00" w:rsidRPr="009A0DA6">
        <w:rPr>
          <w:rFonts w:ascii="Cambria" w:hAnsi="Cambria" w:cs="Arial"/>
          <w:color w:val="222222"/>
          <w:shd w:val="clear" w:color="auto" w:fill="FFFFFF"/>
        </w:rPr>
        <w:t>C</w:t>
      </w:r>
      <w:r w:rsidR="00DB2C41" w:rsidRPr="009A0DA6">
        <w:rPr>
          <w:rFonts w:ascii="Cambria" w:hAnsi="Cambria" w:cs="Arial"/>
          <w:color w:val="222222"/>
          <w:shd w:val="clear" w:color="auto" w:fill="FFFFFF"/>
        </w:rPr>
        <w:t>hurch</w:t>
      </w:r>
      <w:r w:rsidRPr="009A0DA6">
        <w:rPr>
          <w:rFonts w:ascii="Cambria" w:hAnsi="Cambria" w:cs="Arial"/>
          <w:color w:val="222222"/>
          <w:shd w:val="clear" w:color="auto" w:fill="FFFFFF"/>
        </w:rPr>
        <w:t xml:space="preserve"> in relation to the question of the ordination of women be done in the form of a proposal to adopt the Draft Doctrinal Statement prepared by the Commission on Theology and Inter-Church Relations called ‘A Theological Basis for the Ordination of Women and Men’.</w:t>
      </w:r>
      <w:r w:rsidRPr="009A0DA6">
        <w:rPr>
          <w:rFonts w:ascii="Cambria" w:hAnsi="Cambria" w:cs="Arial"/>
          <w:color w:val="222222"/>
          <w:shd w:val="clear" w:color="auto" w:fill="FFFFFF"/>
        </w:rPr>
        <w:br/>
      </w:r>
    </w:p>
    <w:p w14:paraId="2DC5DED2" w14:textId="62CD2BDC" w:rsidR="00757ACA" w:rsidRPr="009A0DA6" w:rsidRDefault="00757ACA" w:rsidP="00F55252">
      <w:pPr>
        <w:pStyle w:val="ListParagraph"/>
        <w:numPr>
          <w:ilvl w:val="0"/>
          <w:numId w:val="93"/>
        </w:numPr>
        <w:shd w:val="clear" w:color="auto" w:fill="FFFFFF"/>
        <w:spacing w:after="200" w:line="240" w:lineRule="auto"/>
        <w:ind w:left="567" w:hanging="567"/>
        <w:rPr>
          <w:rFonts w:ascii="Cambria" w:hAnsi="Cambria" w:cs="Arial"/>
          <w:color w:val="222222"/>
          <w:sz w:val="10"/>
          <w:shd w:val="clear" w:color="auto" w:fill="FFFFFF"/>
        </w:rPr>
      </w:pPr>
      <w:r w:rsidRPr="009A0DA6">
        <w:rPr>
          <w:rFonts w:ascii="Cambria" w:hAnsi="Cambria" w:cs="Arial"/>
          <w:color w:val="222222"/>
          <w:shd w:val="clear" w:color="auto" w:fill="FFFFFF"/>
        </w:rPr>
        <w:t>The GCC subsequently resolved to submit a proposal to the General Convention of Synod that respects the proposed motions from the congregations on this matter and accepts the recommendation from the GPC.</w:t>
      </w:r>
      <w:r w:rsidRPr="009A0DA6">
        <w:rPr>
          <w:rFonts w:ascii="Cambria" w:hAnsi="Cambria" w:cs="Arial"/>
          <w:color w:val="222222"/>
          <w:shd w:val="clear" w:color="auto" w:fill="FFFFFF"/>
        </w:rPr>
        <w:br/>
      </w:r>
    </w:p>
    <w:p w14:paraId="1B01F821" w14:textId="07A7C37F" w:rsidR="00757ACA" w:rsidRPr="009A0DA6" w:rsidRDefault="00757ACA" w:rsidP="00F55252">
      <w:pPr>
        <w:pStyle w:val="ListParagraph"/>
        <w:numPr>
          <w:ilvl w:val="0"/>
          <w:numId w:val="93"/>
        </w:numPr>
        <w:shd w:val="clear" w:color="auto" w:fill="FFFFFF"/>
        <w:spacing w:after="200" w:line="240" w:lineRule="auto"/>
        <w:ind w:left="567" w:hanging="567"/>
        <w:rPr>
          <w:rFonts w:ascii="Cambria" w:hAnsi="Cambria" w:cs="Arial"/>
          <w:color w:val="222222"/>
          <w:shd w:val="clear" w:color="auto" w:fill="FFFFFF"/>
        </w:rPr>
      </w:pPr>
      <w:r w:rsidRPr="009A0DA6">
        <w:rPr>
          <w:rFonts w:ascii="Cambria" w:hAnsi="Cambria" w:cs="Arial"/>
          <w:color w:val="222222"/>
          <w:shd w:val="clear" w:color="auto" w:fill="FFFFFF"/>
        </w:rPr>
        <w:t xml:space="preserve">The GCC has taken this action on the basis of the </w:t>
      </w:r>
      <w:r w:rsidR="00F82E00" w:rsidRPr="009A0DA6">
        <w:rPr>
          <w:rFonts w:ascii="Cambria" w:hAnsi="Cambria" w:cs="Arial"/>
          <w:color w:val="222222"/>
          <w:shd w:val="clear" w:color="auto" w:fill="FFFFFF"/>
        </w:rPr>
        <w:t>GPC Advice for the sake of the C</w:t>
      </w:r>
      <w:r w:rsidRPr="009A0DA6">
        <w:rPr>
          <w:rFonts w:ascii="Cambria" w:hAnsi="Cambria" w:cs="Arial"/>
          <w:color w:val="222222"/>
          <w:shd w:val="clear" w:color="auto" w:fill="FFFFFF"/>
        </w:rPr>
        <w:t>hurch as it considers the issue of the ordination of women and men and ‘A theological basis for the ordination of women and men’ at this General Convention. The proposal submitted does not represent the position of the GCC, or that of its individual members, on the congregational proposals themselves.</w:t>
      </w:r>
    </w:p>
    <w:p w14:paraId="184CC273" w14:textId="647275D4" w:rsidR="0001243B" w:rsidRPr="009A0DA6" w:rsidRDefault="00F82E00" w:rsidP="00964A90">
      <w:pPr>
        <w:pStyle w:val="Heading3"/>
      </w:pPr>
      <w:r w:rsidRPr="009A0DA6">
        <w:lastRenderedPageBreak/>
        <w:t>Agenda 2.2.</w:t>
      </w:r>
      <w:r w:rsidR="00EB6C06">
        <w:t>4</w:t>
      </w:r>
    </w:p>
    <w:p w14:paraId="53CC8427" w14:textId="151444E1" w:rsidR="0001243B" w:rsidRPr="009A0DA6" w:rsidRDefault="0038338F" w:rsidP="005D571C">
      <w:pPr>
        <w:pStyle w:val="Heading2"/>
      </w:pPr>
      <w:bookmarkStart w:id="47" w:name="_Toc521954601"/>
      <w:bookmarkStart w:id="48" w:name="_Toc522394966"/>
      <w:r w:rsidRPr="009A0DA6">
        <w:t>The practice of holy communion and infants</w:t>
      </w:r>
      <w:bookmarkEnd w:id="47"/>
      <w:bookmarkEnd w:id="48"/>
    </w:p>
    <w:p w14:paraId="71057304" w14:textId="77777777" w:rsidR="00AD32D2" w:rsidRPr="00D07614" w:rsidRDefault="00AD32D2" w:rsidP="00AD32D2">
      <w:pPr>
        <w:pStyle w:val="NoSpacing"/>
        <w:rPr>
          <w:sz w:val="12"/>
        </w:rPr>
      </w:pPr>
    </w:p>
    <w:p w14:paraId="791A6406" w14:textId="3B83B36B" w:rsidR="00AD32D2" w:rsidRPr="00D07614" w:rsidRDefault="00AD32D2" w:rsidP="00AD32D2">
      <w:pPr>
        <w:pStyle w:val="NoSpacing"/>
        <w:rPr>
          <w:sz w:val="12"/>
          <w:lang w:eastAsia="en-AU"/>
        </w:rPr>
      </w:pPr>
      <w:r>
        <w:rPr>
          <w:lang w:eastAsia="en-AU"/>
        </w:rPr>
        <w:t>(See also Agenda 2.3.6)</w:t>
      </w:r>
      <w:r w:rsidR="00D07614">
        <w:rPr>
          <w:lang w:eastAsia="en-AU"/>
        </w:rPr>
        <w:br/>
      </w:r>
    </w:p>
    <w:p w14:paraId="634C7E96" w14:textId="5E08A36B" w:rsidR="0038338F" w:rsidRPr="00D07614" w:rsidRDefault="0038338F" w:rsidP="00D07614">
      <w:pPr>
        <w:pStyle w:val="Heading3"/>
        <w:spacing w:after="0"/>
        <w:rPr>
          <w:rFonts w:eastAsia="Times New Roman"/>
          <w:sz w:val="6"/>
          <w:lang w:eastAsia="en-AU"/>
        </w:rPr>
      </w:pPr>
      <w:r w:rsidRPr="009A0DA6">
        <w:rPr>
          <w:rFonts w:eastAsia="Times New Roman"/>
          <w:lang w:eastAsia="en-AU"/>
        </w:rPr>
        <w:t>PROPOSED MOTION</w:t>
      </w:r>
      <w:r w:rsidR="00D07614">
        <w:rPr>
          <w:rFonts w:eastAsia="Times New Roman"/>
          <w:lang w:eastAsia="en-AU"/>
        </w:rPr>
        <w:br/>
      </w:r>
    </w:p>
    <w:p w14:paraId="08A12606" w14:textId="33C314FB" w:rsidR="0038338F" w:rsidRPr="00D07614" w:rsidRDefault="0038338F" w:rsidP="00D07614">
      <w:pPr>
        <w:shd w:val="clear" w:color="auto" w:fill="FFFFFF"/>
        <w:spacing w:after="0" w:line="240" w:lineRule="auto"/>
        <w:rPr>
          <w:rFonts w:ascii="Cambria" w:hAnsi="Cambria" w:cs="Arial"/>
          <w:i/>
          <w:sz w:val="12"/>
          <w:shd w:val="clear" w:color="auto" w:fill="FFFFFF"/>
        </w:rPr>
      </w:pPr>
      <w:r w:rsidRPr="009A0DA6">
        <w:rPr>
          <w:rFonts w:ascii="Cambria" w:eastAsia="Times New Roman" w:hAnsi="Cambria" w:cs="Times New Roman"/>
          <w:bCs/>
          <w:i/>
          <w:lang w:eastAsia="en-AU"/>
        </w:rPr>
        <w:t>Submitted by General Church Council</w:t>
      </w:r>
      <w:r w:rsidR="00D07614">
        <w:rPr>
          <w:rFonts w:ascii="Cambria" w:eastAsia="Times New Roman" w:hAnsi="Cambria" w:cs="Times New Roman"/>
          <w:bCs/>
          <w:i/>
          <w:lang w:eastAsia="en-AU"/>
        </w:rPr>
        <w:br/>
      </w:r>
    </w:p>
    <w:p w14:paraId="293C6C61" w14:textId="37B3AAEA" w:rsidR="0038338F" w:rsidRPr="009A0DA6" w:rsidRDefault="0038338F" w:rsidP="0038338F">
      <w:pPr>
        <w:shd w:val="clear" w:color="auto" w:fill="FFFFFF"/>
        <w:tabs>
          <w:tab w:val="left" w:pos="3596"/>
        </w:tabs>
        <w:spacing w:line="240" w:lineRule="auto"/>
        <w:rPr>
          <w:rFonts w:ascii="Cambria" w:eastAsia="Times New Roman" w:hAnsi="Cambria" w:cs="Times New Roman"/>
          <w:b/>
          <w:bCs/>
          <w:color w:val="222222"/>
          <w:lang w:eastAsia="en-AU"/>
        </w:rPr>
      </w:pPr>
      <w:r w:rsidRPr="009A0DA6">
        <w:rPr>
          <w:rFonts w:ascii="Cambria" w:eastAsia="Times New Roman" w:hAnsi="Cambria" w:cs="Times New Roman"/>
          <w:b/>
          <w:bCs/>
          <w:color w:val="222222"/>
          <w:lang w:eastAsia="en-AU"/>
        </w:rPr>
        <w:t xml:space="preserve">BE IT RESOLVED </w:t>
      </w:r>
      <w:r w:rsidR="002B6AF4" w:rsidRPr="009A0DA6">
        <w:rPr>
          <w:rFonts w:ascii="Cambria" w:eastAsia="Times New Roman" w:hAnsi="Cambria" w:cs="Times New Roman"/>
          <w:bCs/>
          <w:color w:val="222222"/>
          <w:lang w:eastAsia="en-AU"/>
        </w:rPr>
        <w:t>t</w:t>
      </w:r>
      <w:r w:rsidRPr="009A0DA6">
        <w:rPr>
          <w:rFonts w:ascii="Cambria" w:eastAsia="Times New Roman" w:hAnsi="Cambria" w:cs="Times New Roman"/>
          <w:bCs/>
          <w:color w:val="222222"/>
          <w:lang w:eastAsia="en-AU"/>
        </w:rPr>
        <w:t>hat Synod affirms the conclusions contained in ‘</w:t>
      </w:r>
      <w:r w:rsidRPr="009A0DA6">
        <w:rPr>
          <w:rFonts w:ascii="Cambria" w:eastAsia="Times New Roman" w:hAnsi="Cambria" w:cs="Times New Roman"/>
          <w:bCs/>
          <w:i/>
          <w:color w:val="222222"/>
          <w:lang w:eastAsia="en-AU"/>
        </w:rPr>
        <w:t>Infant Communion: a reappraisal’</w:t>
      </w:r>
      <w:r w:rsidRPr="009A0DA6">
        <w:rPr>
          <w:rFonts w:ascii="Cambria" w:eastAsia="Times New Roman" w:hAnsi="Cambria" w:cs="Times New Roman"/>
          <w:bCs/>
          <w:color w:val="222222"/>
          <w:lang w:eastAsia="en-AU"/>
        </w:rPr>
        <w:t xml:space="preserve"> (CTICR 2012), see also DSTO Vol 1 E ‘</w:t>
      </w:r>
      <w:r w:rsidRPr="009A0DA6">
        <w:rPr>
          <w:rFonts w:ascii="Cambria" w:eastAsia="Times New Roman" w:hAnsi="Cambria" w:cs="Times New Roman"/>
          <w:bCs/>
          <w:i/>
          <w:color w:val="222222"/>
          <w:lang w:eastAsia="en-AU"/>
        </w:rPr>
        <w:t>Infant Communion’</w:t>
      </w:r>
      <w:r w:rsidRPr="009A0DA6">
        <w:rPr>
          <w:rFonts w:ascii="Cambria" w:eastAsia="Times New Roman" w:hAnsi="Cambria" w:cs="Times New Roman"/>
          <w:bCs/>
          <w:color w:val="222222"/>
          <w:lang w:eastAsia="en-AU"/>
        </w:rPr>
        <w:t xml:space="preserve">, 1986), namely, </w:t>
      </w:r>
      <w:r w:rsidR="00E45DE8" w:rsidRPr="009A0DA6">
        <w:rPr>
          <w:rFonts w:ascii="Cambria" w:eastAsia="Times New Roman" w:hAnsi="Cambria" w:cs="Times New Roman"/>
          <w:bCs/>
          <w:color w:val="222222"/>
          <w:lang w:eastAsia="en-AU"/>
        </w:rPr>
        <w:t>“</w:t>
      </w:r>
      <w:r w:rsidRPr="009A0DA6">
        <w:rPr>
          <w:rFonts w:ascii="Cambria" w:eastAsia="Times New Roman" w:hAnsi="Cambria" w:cs="Times New Roman"/>
          <w:bCs/>
          <w:color w:val="222222"/>
          <w:lang w:eastAsia="en-AU"/>
        </w:rPr>
        <w:t xml:space="preserve">that the </w:t>
      </w:r>
      <w:r w:rsidR="00AF5A42" w:rsidRPr="009A0DA6">
        <w:rPr>
          <w:rFonts w:ascii="Cambria" w:eastAsia="Times New Roman" w:hAnsi="Cambria" w:cs="Times New Roman"/>
          <w:bCs/>
          <w:color w:val="222222"/>
          <w:lang w:eastAsia="en-AU"/>
        </w:rPr>
        <w:t>C</w:t>
      </w:r>
      <w:r w:rsidR="00DB2C41" w:rsidRPr="009A0DA6">
        <w:rPr>
          <w:rFonts w:ascii="Cambria" w:eastAsia="Times New Roman" w:hAnsi="Cambria" w:cs="Times New Roman"/>
          <w:bCs/>
          <w:color w:val="222222"/>
          <w:lang w:eastAsia="en-AU"/>
        </w:rPr>
        <w:t>hurch</w:t>
      </w:r>
      <w:r w:rsidRPr="009A0DA6">
        <w:rPr>
          <w:rFonts w:ascii="Cambria" w:eastAsia="Times New Roman" w:hAnsi="Cambria" w:cs="Times New Roman"/>
          <w:bCs/>
          <w:color w:val="222222"/>
          <w:lang w:eastAsia="en-AU"/>
        </w:rPr>
        <w:t xml:space="preserve"> not introduce the practice of admitting infants to holy communion, but that the </w:t>
      </w:r>
      <w:r w:rsidR="00AF5A42" w:rsidRPr="009A0DA6">
        <w:rPr>
          <w:rFonts w:ascii="Cambria" w:eastAsia="Times New Roman" w:hAnsi="Cambria" w:cs="Times New Roman"/>
          <w:bCs/>
          <w:color w:val="222222"/>
          <w:lang w:eastAsia="en-AU"/>
        </w:rPr>
        <w:t>C</w:t>
      </w:r>
      <w:r w:rsidR="00DB2C41" w:rsidRPr="009A0DA6">
        <w:rPr>
          <w:rFonts w:ascii="Cambria" w:eastAsia="Times New Roman" w:hAnsi="Cambria" w:cs="Times New Roman"/>
          <w:bCs/>
          <w:color w:val="222222"/>
          <w:lang w:eastAsia="en-AU"/>
        </w:rPr>
        <w:t>hurch</w:t>
      </w:r>
      <w:r w:rsidRPr="009A0DA6">
        <w:rPr>
          <w:rFonts w:ascii="Cambria" w:eastAsia="Times New Roman" w:hAnsi="Cambria" w:cs="Times New Roman"/>
          <w:bCs/>
          <w:color w:val="222222"/>
          <w:lang w:eastAsia="en-AU"/>
        </w:rPr>
        <w:t xml:space="preserve"> offer to families the preparation and admission of children to communion at the earliest appropriate age, paying due attention to the connection between communion and life-long formation”</w:t>
      </w:r>
      <w:r w:rsidR="00E45DE8" w:rsidRPr="009A0DA6">
        <w:rPr>
          <w:rFonts w:ascii="Cambria" w:eastAsia="Times New Roman" w:hAnsi="Cambria" w:cs="Times New Roman"/>
          <w:bCs/>
          <w:color w:val="222222"/>
          <w:lang w:eastAsia="en-AU"/>
        </w:rPr>
        <w:t>.</w:t>
      </w:r>
    </w:p>
    <w:p w14:paraId="0E16818F" w14:textId="0D22E934" w:rsidR="0038338F" w:rsidRPr="009A0DA6" w:rsidRDefault="00FB59B1" w:rsidP="000759D1">
      <w:pPr>
        <w:pStyle w:val="Heading3"/>
        <w:spacing w:after="0"/>
        <w:rPr>
          <w:rFonts w:eastAsia="Times New Roman"/>
          <w:lang w:eastAsia="en-AU"/>
        </w:rPr>
      </w:pPr>
      <w:r w:rsidRPr="009A0DA6">
        <w:rPr>
          <w:rFonts w:eastAsia="Times New Roman"/>
          <w:lang w:eastAsia="en-AU"/>
        </w:rPr>
        <w:t>REASONS FOR THE MOTION</w:t>
      </w:r>
    </w:p>
    <w:p w14:paraId="107506E5" w14:textId="54D37F83" w:rsidR="0038338F" w:rsidRPr="00D07614" w:rsidRDefault="0038338F" w:rsidP="00F55252">
      <w:pPr>
        <w:pStyle w:val="ListParagraph"/>
        <w:numPr>
          <w:ilvl w:val="0"/>
          <w:numId w:val="94"/>
        </w:numPr>
        <w:shd w:val="clear" w:color="auto" w:fill="FFFFFF"/>
        <w:spacing w:after="0" w:line="240" w:lineRule="auto"/>
        <w:ind w:left="567" w:hanging="567"/>
        <w:rPr>
          <w:rFonts w:ascii="Cambria" w:hAnsi="Cambria" w:cs="Arial"/>
          <w:color w:val="222222"/>
          <w:sz w:val="8"/>
          <w:shd w:val="clear" w:color="auto" w:fill="FFFFFF"/>
        </w:rPr>
      </w:pPr>
      <w:r w:rsidRPr="009A0DA6">
        <w:rPr>
          <w:rFonts w:ascii="Cambria" w:hAnsi="Cambria" w:cs="Arial"/>
          <w:color w:val="222222"/>
          <w:shd w:val="clear" w:color="auto" w:fill="FFFFFF"/>
        </w:rPr>
        <w:t>At its 1981 General Convention the LCA recognised the practice of the separation of first communion and confirmation as an acceptable form of confirmation ministry. As a result many congregations now admit younger children to the sacrament of the altar. In 1986 the CTICR prepared a statement on Infant Communion which was adopted by the General Church Council. That statement was of the opinion that the practice of infant communion was unacceptable for the LCA.</w:t>
      </w:r>
      <w:r w:rsidRPr="009A0DA6">
        <w:rPr>
          <w:rFonts w:ascii="Cambria" w:hAnsi="Cambria" w:cs="Arial"/>
          <w:color w:val="222222"/>
          <w:shd w:val="clear" w:color="auto" w:fill="FFFFFF"/>
        </w:rPr>
        <w:br/>
      </w:r>
    </w:p>
    <w:p w14:paraId="74963EA7" w14:textId="5D5ACE21" w:rsidR="0038338F" w:rsidRPr="00D07614" w:rsidRDefault="0038338F" w:rsidP="00F55252">
      <w:pPr>
        <w:pStyle w:val="ListParagraph"/>
        <w:numPr>
          <w:ilvl w:val="0"/>
          <w:numId w:val="94"/>
        </w:numPr>
        <w:shd w:val="clear" w:color="auto" w:fill="FFFFFF"/>
        <w:spacing w:after="200" w:line="240" w:lineRule="auto"/>
        <w:ind w:left="567" w:hanging="567"/>
        <w:rPr>
          <w:rFonts w:ascii="Cambria" w:hAnsi="Cambria" w:cs="Arial"/>
          <w:color w:val="222222"/>
          <w:sz w:val="8"/>
          <w:shd w:val="clear" w:color="auto" w:fill="FFFFFF"/>
        </w:rPr>
      </w:pPr>
      <w:r w:rsidRPr="009A0DA6">
        <w:rPr>
          <w:rFonts w:ascii="Cambria" w:hAnsi="Cambria" w:cs="Arial"/>
          <w:color w:val="222222"/>
          <w:shd w:val="clear" w:color="auto" w:fill="FFFFFF"/>
        </w:rPr>
        <w:t>A South Australia</w:t>
      </w:r>
      <w:r w:rsidR="00D51701" w:rsidRPr="009A0DA6">
        <w:rPr>
          <w:rFonts w:ascii="Cambria" w:hAnsi="Cambria" w:cs="Arial"/>
          <w:color w:val="222222"/>
          <w:shd w:val="clear" w:color="auto" w:fill="FFFFFF"/>
        </w:rPr>
        <w:t xml:space="preserve">–Northern Territory Pastors </w:t>
      </w:r>
      <w:r w:rsidRPr="009A0DA6">
        <w:rPr>
          <w:rFonts w:ascii="Cambria" w:hAnsi="Cambria" w:cs="Arial"/>
          <w:color w:val="222222"/>
          <w:shd w:val="clear" w:color="auto" w:fill="FFFFFF"/>
        </w:rPr>
        <w:t xml:space="preserve">Conference in 2003 asked the CTICR to reopen the topic of infant communion, with a view to a widespread discussion throughout the LCA and a review of the </w:t>
      </w:r>
      <w:r w:rsidR="00D51701" w:rsidRPr="009A0DA6">
        <w:rPr>
          <w:rFonts w:ascii="Cambria" w:hAnsi="Cambria" w:cs="Arial"/>
          <w:color w:val="222222"/>
          <w:shd w:val="clear" w:color="auto" w:fill="FFFFFF"/>
        </w:rPr>
        <w:t>C</w:t>
      </w:r>
      <w:r w:rsidR="00DB2C41" w:rsidRPr="009A0DA6">
        <w:rPr>
          <w:rFonts w:ascii="Cambria" w:hAnsi="Cambria" w:cs="Arial"/>
          <w:color w:val="222222"/>
          <w:shd w:val="clear" w:color="auto" w:fill="FFFFFF"/>
        </w:rPr>
        <w:t>hurch</w:t>
      </w:r>
      <w:r w:rsidRPr="009A0DA6">
        <w:rPr>
          <w:rFonts w:ascii="Cambria" w:hAnsi="Cambria" w:cs="Arial"/>
          <w:color w:val="222222"/>
          <w:shd w:val="clear" w:color="auto" w:fill="FFFFFF"/>
        </w:rPr>
        <w:t xml:space="preserve">’s practice. The CTICR commissioned people to write papers for discussion at meetings: a paper supporting the CTICR’s original 1986 document on infant communion, a paper critiquing the 1986 document,  and papers that reflected on infant communion in the light of biblical, historical and pastoral perspectives. These papers provided the basis for a comprehensive discussion at the 2009 </w:t>
      </w:r>
      <w:r w:rsidR="0027799A" w:rsidRPr="009A0DA6">
        <w:rPr>
          <w:rFonts w:ascii="Cambria" w:hAnsi="Cambria" w:cs="Arial"/>
          <w:color w:val="222222"/>
          <w:shd w:val="clear" w:color="auto" w:fill="FFFFFF"/>
        </w:rPr>
        <w:t>General Pastors Conference</w:t>
      </w:r>
      <w:r w:rsidR="00B720B6" w:rsidRPr="009A0DA6">
        <w:rPr>
          <w:rFonts w:ascii="Cambria" w:hAnsi="Cambria" w:cs="Arial"/>
          <w:color w:val="222222"/>
          <w:shd w:val="clear" w:color="auto" w:fill="FFFFFF"/>
        </w:rPr>
        <w:t xml:space="preserve"> (GPC)</w:t>
      </w:r>
      <w:r w:rsidR="0027799A" w:rsidRPr="009A0DA6">
        <w:rPr>
          <w:rFonts w:ascii="Cambria" w:hAnsi="Cambria" w:cs="Arial"/>
          <w:color w:val="222222"/>
          <w:shd w:val="clear" w:color="auto" w:fill="FFFFFF"/>
        </w:rPr>
        <w:t xml:space="preserve">. </w:t>
      </w:r>
      <w:r w:rsidR="00D51701" w:rsidRPr="009A0DA6">
        <w:rPr>
          <w:rFonts w:ascii="Cambria" w:hAnsi="Cambria" w:cs="Arial"/>
          <w:color w:val="222222"/>
          <w:shd w:val="clear" w:color="auto" w:fill="FFFFFF"/>
        </w:rPr>
        <w:t xml:space="preserve">Two District Pastors </w:t>
      </w:r>
      <w:r w:rsidRPr="009A0DA6">
        <w:rPr>
          <w:rFonts w:ascii="Cambria" w:hAnsi="Cambria" w:cs="Arial"/>
          <w:color w:val="222222"/>
          <w:shd w:val="clear" w:color="auto" w:fill="FFFFFF"/>
        </w:rPr>
        <w:t>Conferences in 2010 discussed the issue once more and offered further feedback to the CTICR.</w:t>
      </w:r>
      <w:r w:rsidRPr="009A0DA6">
        <w:rPr>
          <w:rFonts w:ascii="Cambria" w:hAnsi="Cambria" w:cs="Arial"/>
          <w:color w:val="222222"/>
          <w:shd w:val="clear" w:color="auto" w:fill="FFFFFF"/>
        </w:rPr>
        <w:br/>
      </w:r>
    </w:p>
    <w:p w14:paraId="42EE871A" w14:textId="2115329C" w:rsidR="0038338F" w:rsidRPr="00D07614" w:rsidRDefault="0038338F" w:rsidP="00F55252">
      <w:pPr>
        <w:pStyle w:val="ListParagraph"/>
        <w:numPr>
          <w:ilvl w:val="0"/>
          <w:numId w:val="94"/>
        </w:numPr>
        <w:shd w:val="clear" w:color="auto" w:fill="FFFFFF"/>
        <w:spacing w:after="200" w:line="240" w:lineRule="auto"/>
        <w:ind w:left="567" w:hanging="567"/>
        <w:rPr>
          <w:rFonts w:ascii="Cambria" w:hAnsi="Cambria" w:cs="Arial"/>
          <w:color w:val="222222"/>
          <w:sz w:val="8"/>
          <w:shd w:val="clear" w:color="auto" w:fill="FFFFFF"/>
        </w:rPr>
      </w:pPr>
      <w:r w:rsidRPr="009A0DA6">
        <w:rPr>
          <w:rFonts w:ascii="Cambria" w:hAnsi="Cambria" w:cs="Arial"/>
          <w:color w:val="222222"/>
          <w:shd w:val="clear" w:color="auto" w:fill="FFFFFF"/>
        </w:rPr>
        <w:t>The CTICR then prepared the document ‘Infant Communion: a reappraisal’</w:t>
      </w:r>
      <w:r w:rsidR="00B720B6" w:rsidRPr="009A0DA6">
        <w:rPr>
          <w:rFonts w:ascii="Cambria" w:hAnsi="Cambria" w:cs="Arial"/>
          <w:color w:val="222222"/>
          <w:shd w:val="clear" w:color="auto" w:fill="FFFFFF"/>
        </w:rPr>
        <w:t xml:space="preserve">, </w:t>
      </w:r>
      <w:r w:rsidRPr="009A0DA6">
        <w:rPr>
          <w:rFonts w:ascii="Cambria" w:hAnsi="Cambria" w:cs="Arial"/>
          <w:color w:val="222222"/>
          <w:shd w:val="clear" w:color="auto" w:fill="FFFFFF"/>
        </w:rPr>
        <w:t>completed in 2012 and presen</w:t>
      </w:r>
      <w:r w:rsidR="00B720B6" w:rsidRPr="009A0DA6">
        <w:rPr>
          <w:rFonts w:ascii="Cambria" w:hAnsi="Cambria" w:cs="Arial"/>
          <w:color w:val="222222"/>
          <w:shd w:val="clear" w:color="auto" w:fill="FFFFFF"/>
        </w:rPr>
        <w:t xml:space="preserve">ted </w:t>
      </w:r>
      <w:r w:rsidRPr="009A0DA6">
        <w:rPr>
          <w:rFonts w:ascii="Cambria" w:hAnsi="Cambria" w:cs="Arial"/>
          <w:color w:val="222222"/>
          <w:shd w:val="clear" w:color="auto" w:fill="FFFFFF"/>
        </w:rPr>
        <w:t>as part of its report to the 2013 LCA Convention of Synod</w:t>
      </w:r>
      <w:r w:rsidR="0027799A" w:rsidRPr="009A0DA6">
        <w:rPr>
          <w:rFonts w:ascii="Cambria" w:hAnsi="Cambria" w:cs="Arial"/>
          <w:color w:val="222222"/>
          <w:shd w:val="clear" w:color="auto" w:fill="FFFFFF"/>
        </w:rPr>
        <w:t xml:space="preserve">. </w:t>
      </w:r>
      <w:r w:rsidRPr="009A0DA6">
        <w:rPr>
          <w:rFonts w:ascii="Cambria" w:hAnsi="Cambria" w:cs="Arial"/>
          <w:color w:val="222222"/>
          <w:shd w:val="clear" w:color="auto" w:fill="FFFFFF"/>
        </w:rPr>
        <w:br/>
      </w:r>
    </w:p>
    <w:p w14:paraId="53C1C2CA" w14:textId="782B023E" w:rsidR="0038338F" w:rsidRPr="00D07614" w:rsidRDefault="00B720B6" w:rsidP="00F55252">
      <w:pPr>
        <w:pStyle w:val="ListParagraph"/>
        <w:numPr>
          <w:ilvl w:val="0"/>
          <w:numId w:val="94"/>
        </w:numPr>
        <w:shd w:val="clear" w:color="auto" w:fill="FFFFFF"/>
        <w:spacing w:after="200" w:line="240" w:lineRule="auto"/>
        <w:ind w:left="567" w:hanging="567"/>
        <w:rPr>
          <w:rFonts w:ascii="Cambria" w:hAnsi="Cambria" w:cs="Arial"/>
          <w:color w:val="222222"/>
          <w:sz w:val="8"/>
          <w:shd w:val="clear" w:color="auto" w:fill="FFFFFF"/>
        </w:rPr>
      </w:pPr>
      <w:r w:rsidRPr="009A0DA6">
        <w:rPr>
          <w:rFonts w:ascii="Cambria" w:hAnsi="Cambria" w:cs="Arial"/>
          <w:color w:val="222222"/>
          <w:shd w:val="clear" w:color="auto" w:fill="FFFFFF"/>
        </w:rPr>
        <w:t>The CTICR r</w:t>
      </w:r>
      <w:r w:rsidR="0038338F" w:rsidRPr="009A0DA6">
        <w:rPr>
          <w:rFonts w:ascii="Cambria" w:hAnsi="Cambria" w:cs="Arial"/>
          <w:color w:val="222222"/>
          <w:shd w:val="clear" w:color="auto" w:fill="FFFFFF"/>
        </w:rPr>
        <w:t>eport to the 2013 Synod stated that “it does recommend that the age of first communion be significantly lowered</w:t>
      </w:r>
      <w:r w:rsidR="0027799A" w:rsidRPr="009A0DA6">
        <w:rPr>
          <w:rFonts w:ascii="Cambria" w:hAnsi="Cambria" w:cs="Arial"/>
          <w:color w:val="222222"/>
          <w:shd w:val="clear" w:color="auto" w:fill="FFFFFF"/>
        </w:rPr>
        <w:t xml:space="preserve">. </w:t>
      </w:r>
      <w:r w:rsidR="0038338F" w:rsidRPr="009A0DA6">
        <w:rPr>
          <w:rFonts w:ascii="Cambria" w:hAnsi="Cambria" w:cs="Arial"/>
          <w:color w:val="222222"/>
          <w:shd w:val="clear" w:color="auto" w:fill="FFFFFF"/>
        </w:rPr>
        <w:t>But no age has been specified since the decision as to the earliest appropriate age should be made by the pastor in</w:t>
      </w:r>
      <w:r w:rsidR="00D51701" w:rsidRPr="009A0DA6">
        <w:rPr>
          <w:rFonts w:ascii="Cambria" w:hAnsi="Cambria" w:cs="Arial"/>
          <w:color w:val="222222"/>
          <w:shd w:val="clear" w:color="auto" w:fill="FFFFFF"/>
        </w:rPr>
        <w:t xml:space="preserve"> consultation with the parents.”</w:t>
      </w:r>
      <w:r w:rsidR="0038338F" w:rsidRPr="009A0DA6">
        <w:rPr>
          <w:rFonts w:ascii="Cambria" w:hAnsi="Cambria" w:cs="Arial"/>
          <w:color w:val="222222"/>
          <w:shd w:val="clear" w:color="auto" w:fill="FFFFFF"/>
        </w:rPr>
        <w:br/>
      </w:r>
    </w:p>
    <w:p w14:paraId="4B5AB120" w14:textId="355C8F30" w:rsidR="0038338F" w:rsidRPr="00D07614" w:rsidRDefault="0038338F" w:rsidP="00F55252">
      <w:pPr>
        <w:pStyle w:val="ListParagraph"/>
        <w:numPr>
          <w:ilvl w:val="0"/>
          <w:numId w:val="94"/>
        </w:numPr>
        <w:shd w:val="clear" w:color="auto" w:fill="FFFFFF"/>
        <w:spacing w:after="200" w:line="240" w:lineRule="auto"/>
        <w:ind w:left="567" w:hanging="567"/>
        <w:rPr>
          <w:rFonts w:ascii="Cambria" w:hAnsi="Cambria" w:cs="Arial"/>
          <w:color w:val="222222"/>
          <w:sz w:val="8"/>
          <w:shd w:val="clear" w:color="auto" w:fill="FFFFFF"/>
        </w:rPr>
      </w:pPr>
      <w:r w:rsidRPr="009A0DA6">
        <w:rPr>
          <w:rFonts w:ascii="Cambria" w:hAnsi="Cambria" w:cs="Arial"/>
          <w:color w:val="222222"/>
          <w:shd w:val="clear" w:color="auto" w:fill="FFFFFF"/>
        </w:rPr>
        <w:t xml:space="preserve">Neither the 2013 General Convention of Synod nor </w:t>
      </w:r>
      <w:r w:rsidR="00B720B6" w:rsidRPr="009A0DA6">
        <w:rPr>
          <w:rFonts w:ascii="Cambria" w:hAnsi="Cambria" w:cs="Arial"/>
          <w:color w:val="222222"/>
          <w:shd w:val="clear" w:color="auto" w:fill="FFFFFF"/>
        </w:rPr>
        <w:t xml:space="preserve">GPC </w:t>
      </w:r>
      <w:r w:rsidRPr="009A0DA6">
        <w:rPr>
          <w:rFonts w:ascii="Cambria" w:hAnsi="Cambria" w:cs="Arial"/>
          <w:color w:val="222222"/>
          <w:shd w:val="clear" w:color="auto" w:fill="FFFFFF"/>
        </w:rPr>
        <w:t>discussed the 2012 ‘Infant Communion: a reappraisal’ document.</w:t>
      </w:r>
      <w:r w:rsidRPr="009A0DA6">
        <w:rPr>
          <w:rFonts w:ascii="Cambria" w:hAnsi="Cambria" w:cs="Arial"/>
          <w:color w:val="222222"/>
          <w:shd w:val="clear" w:color="auto" w:fill="FFFFFF"/>
        </w:rPr>
        <w:br/>
      </w:r>
    </w:p>
    <w:p w14:paraId="7149E81F" w14:textId="09FF0FEF" w:rsidR="0038338F" w:rsidRPr="00D07614" w:rsidRDefault="0038338F" w:rsidP="00F55252">
      <w:pPr>
        <w:pStyle w:val="ListParagraph"/>
        <w:numPr>
          <w:ilvl w:val="0"/>
          <w:numId w:val="94"/>
        </w:numPr>
        <w:shd w:val="clear" w:color="auto" w:fill="FFFFFF"/>
        <w:spacing w:after="200" w:line="240" w:lineRule="auto"/>
        <w:ind w:left="567" w:hanging="567"/>
        <w:rPr>
          <w:rFonts w:ascii="Cambria" w:hAnsi="Cambria" w:cs="Arial"/>
          <w:color w:val="222222"/>
          <w:sz w:val="8"/>
          <w:shd w:val="clear" w:color="auto" w:fill="FFFFFF"/>
        </w:rPr>
      </w:pPr>
      <w:r w:rsidRPr="009A0DA6">
        <w:rPr>
          <w:rFonts w:ascii="Cambria" w:hAnsi="Cambria" w:cs="Arial"/>
          <w:color w:val="222222"/>
          <w:shd w:val="clear" w:color="auto" w:fill="FFFFFF"/>
        </w:rPr>
        <w:t>St John’s Unley congregation has submitted a proposal to the 2018 Synod “that the LCA encourage the practice of admitting very young children, includ</w:t>
      </w:r>
      <w:r w:rsidR="00B720B6" w:rsidRPr="009A0DA6">
        <w:rPr>
          <w:rFonts w:ascii="Cambria" w:hAnsi="Cambria" w:cs="Arial"/>
          <w:color w:val="222222"/>
          <w:shd w:val="clear" w:color="auto" w:fill="FFFFFF"/>
        </w:rPr>
        <w:t>ing infants, to Holy Communion”.</w:t>
      </w:r>
      <w:r w:rsidRPr="009A0DA6">
        <w:rPr>
          <w:rFonts w:ascii="Cambria" w:hAnsi="Cambria" w:cs="Arial"/>
          <w:color w:val="222222"/>
          <w:shd w:val="clear" w:color="auto" w:fill="FFFFFF"/>
        </w:rPr>
        <w:br/>
      </w:r>
    </w:p>
    <w:p w14:paraId="3B5AE2C0" w14:textId="7D640E37" w:rsidR="0038338F" w:rsidRPr="00D07614" w:rsidRDefault="0038338F" w:rsidP="00F55252">
      <w:pPr>
        <w:pStyle w:val="ListParagraph"/>
        <w:numPr>
          <w:ilvl w:val="0"/>
          <w:numId w:val="94"/>
        </w:numPr>
        <w:shd w:val="clear" w:color="auto" w:fill="FFFFFF"/>
        <w:spacing w:after="200" w:line="240" w:lineRule="auto"/>
        <w:ind w:left="567" w:hanging="567"/>
        <w:rPr>
          <w:rFonts w:ascii="Cambria" w:hAnsi="Cambria" w:cs="Arial"/>
          <w:color w:val="222222"/>
          <w:sz w:val="8"/>
          <w:shd w:val="clear" w:color="auto" w:fill="FFFFFF"/>
        </w:rPr>
      </w:pPr>
      <w:r w:rsidRPr="009A0DA6">
        <w:rPr>
          <w:rFonts w:ascii="Cambria" w:hAnsi="Cambria" w:cs="Arial"/>
          <w:color w:val="222222"/>
          <w:shd w:val="clear" w:color="auto" w:fill="FFFFFF"/>
        </w:rPr>
        <w:t>This proposal was referred to the 2018 GPC for advice and recommendation to Synod.</w:t>
      </w:r>
      <w:r w:rsidRPr="009A0DA6">
        <w:rPr>
          <w:rFonts w:ascii="Cambria" w:hAnsi="Cambria" w:cs="Arial"/>
          <w:color w:val="222222"/>
          <w:shd w:val="clear" w:color="auto" w:fill="FFFFFF"/>
        </w:rPr>
        <w:br/>
      </w:r>
    </w:p>
    <w:p w14:paraId="37A693D1" w14:textId="77777777" w:rsidR="005C750C" w:rsidRPr="009A0DA6" w:rsidRDefault="0038338F" w:rsidP="00F55252">
      <w:pPr>
        <w:pStyle w:val="ListParagraph"/>
        <w:numPr>
          <w:ilvl w:val="0"/>
          <w:numId w:val="94"/>
        </w:numPr>
        <w:shd w:val="clear" w:color="auto" w:fill="FFFFFF"/>
        <w:spacing w:after="200" w:line="240" w:lineRule="auto"/>
        <w:ind w:left="567" w:hanging="567"/>
        <w:rPr>
          <w:rFonts w:ascii="Cambria" w:hAnsi="Cambria" w:cs="Arial"/>
          <w:color w:val="222222"/>
          <w:sz w:val="10"/>
          <w:shd w:val="clear" w:color="auto" w:fill="FFFFFF"/>
        </w:rPr>
      </w:pPr>
      <w:r w:rsidRPr="009A0DA6">
        <w:rPr>
          <w:rFonts w:ascii="Cambria" w:hAnsi="Cambria" w:cs="Arial"/>
          <w:color w:val="222222"/>
          <w:shd w:val="clear" w:color="auto" w:fill="FFFFFF"/>
        </w:rPr>
        <w:t xml:space="preserve">The GPC resolved to affirm the conclusions of the 2012 CTICR statement on Infant Communion, namely, that there is no change to the </w:t>
      </w:r>
      <w:r w:rsidR="00DB2C41" w:rsidRPr="009A0DA6">
        <w:rPr>
          <w:rFonts w:ascii="Cambria" w:hAnsi="Cambria" w:cs="Arial"/>
          <w:color w:val="222222"/>
          <w:shd w:val="clear" w:color="auto" w:fill="FFFFFF"/>
        </w:rPr>
        <w:t>church</w:t>
      </w:r>
      <w:r w:rsidRPr="009A0DA6">
        <w:rPr>
          <w:rFonts w:ascii="Cambria" w:hAnsi="Cambria" w:cs="Arial"/>
          <w:color w:val="222222"/>
          <w:shd w:val="clear" w:color="auto" w:fill="FFFFFF"/>
        </w:rPr>
        <w:t xml:space="preserve">’s position as stated in the 1986 Doctrinal Statement and Theological Opinion (DSTO) document ‘Infant Communion’ but that the </w:t>
      </w:r>
      <w:r w:rsidR="00DB2C41" w:rsidRPr="009A0DA6">
        <w:rPr>
          <w:rFonts w:ascii="Cambria" w:hAnsi="Cambria" w:cs="Arial"/>
          <w:color w:val="222222"/>
          <w:shd w:val="clear" w:color="auto" w:fill="FFFFFF"/>
        </w:rPr>
        <w:t>church</w:t>
      </w:r>
      <w:r w:rsidRPr="009A0DA6">
        <w:rPr>
          <w:rFonts w:ascii="Cambria" w:hAnsi="Cambria" w:cs="Arial"/>
          <w:color w:val="222222"/>
          <w:shd w:val="clear" w:color="auto" w:fill="FFFFFF"/>
        </w:rPr>
        <w:t xml:space="preserve"> offer to families the preparation and admission of children to communion at the earliest possible age, paying due attention to the connection between communion and life-long catechesis. </w:t>
      </w:r>
    </w:p>
    <w:p w14:paraId="28B9B266" w14:textId="0284B1D3" w:rsidR="0038338F" w:rsidRPr="00A971D9" w:rsidRDefault="0038338F" w:rsidP="005C750C">
      <w:pPr>
        <w:pStyle w:val="ListParagraph"/>
        <w:shd w:val="clear" w:color="auto" w:fill="FFFFFF"/>
        <w:spacing w:after="200" w:line="240" w:lineRule="auto"/>
        <w:ind w:left="567"/>
        <w:rPr>
          <w:rFonts w:ascii="Cambria" w:hAnsi="Cambria" w:cs="Arial"/>
          <w:color w:val="222222"/>
          <w:sz w:val="2"/>
          <w:shd w:val="clear" w:color="auto" w:fill="FFFFFF"/>
        </w:rPr>
      </w:pPr>
      <w:r w:rsidRPr="00D07614">
        <w:rPr>
          <w:rFonts w:ascii="Cambria" w:hAnsi="Cambria" w:cs="Arial"/>
          <w:color w:val="222222"/>
          <w:sz w:val="6"/>
          <w:shd w:val="clear" w:color="auto" w:fill="FFFFFF"/>
        </w:rPr>
        <w:br/>
      </w:r>
    </w:p>
    <w:p w14:paraId="5EFD6828" w14:textId="482762C2" w:rsidR="000759D1" w:rsidRDefault="0038338F" w:rsidP="00F55252">
      <w:pPr>
        <w:pStyle w:val="ListParagraph"/>
        <w:numPr>
          <w:ilvl w:val="0"/>
          <w:numId w:val="94"/>
        </w:numPr>
        <w:shd w:val="clear" w:color="auto" w:fill="FFFFFF"/>
        <w:spacing w:after="200" w:line="240" w:lineRule="auto"/>
        <w:ind w:left="567" w:hanging="567"/>
        <w:rPr>
          <w:rFonts w:ascii="Cambria" w:hAnsi="Cambria" w:cs="Arial"/>
          <w:color w:val="222222"/>
          <w:shd w:val="clear" w:color="auto" w:fill="FFFFFF"/>
        </w:rPr>
      </w:pPr>
      <w:r w:rsidRPr="009A0DA6">
        <w:rPr>
          <w:rFonts w:ascii="Cambria" w:hAnsi="Cambria" w:cs="Arial"/>
          <w:color w:val="222222"/>
          <w:shd w:val="clear" w:color="auto" w:fill="FFFFFF"/>
        </w:rPr>
        <w:t xml:space="preserve">The GCC has noted GPC’s resolution and </w:t>
      </w:r>
      <w:r w:rsidR="00D51701" w:rsidRPr="009A0DA6">
        <w:rPr>
          <w:rFonts w:ascii="Cambria" w:hAnsi="Cambria" w:cs="Arial"/>
          <w:color w:val="222222"/>
          <w:shd w:val="clear" w:color="auto" w:fill="FFFFFF"/>
        </w:rPr>
        <w:t>College of Bishops’</w:t>
      </w:r>
      <w:r w:rsidRPr="009A0DA6">
        <w:rPr>
          <w:rFonts w:ascii="Cambria" w:hAnsi="Cambria" w:cs="Arial"/>
          <w:color w:val="222222"/>
          <w:shd w:val="clear" w:color="auto" w:fill="FFFFFF"/>
        </w:rPr>
        <w:t xml:space="preserve"> advice that this constitutes a recommendation from GPC to General Synod. GCC therefore has resolved to submit this proposed motion to </w:t>
      </w:r>
      <w:r w:rsidR="00B720B6" w:rsidRPr="009A0DA6">
        <w:rPr>
          <w:rFonts w:ascii="Cambria" w:hAnsi="Cambria" w:cs="Arial"/>
          <w:color w:val="222222"/>
          <w:shd w:val="clear" w:color="auto" w:fill="FFFFFF"/>
        </w:rPr>
        <w:t xml:space="preserve">General </w:t>
      </w:r>
      <w:r w:rsidRPr="009A0DA6">
        <w:rPr>
          <w:rFonts w:ascii="Cambria" w:hAnsi="Cambria" w:cs="Arial"/>
          <w:color w:val="222222"/>
          <w:shd w:val="clear" w:color="auto" w:fill="FFFFFF"/>
        </w:rPr>
        <w:t>Synod in view of the clear recommendation from GPC</w:t>
      </w:r>
      <w:r w:rsidR="00E61D18" w:rsidRPr="009A0DA6">
        <w:rPr>
          <w:rFonts w:ascii="Cambria" w:hAnsi="Cambria" w:cs="Arial"/>
          <w:color w:val="222222"/>
          <w:shd w:val="clear" w:color="auto" w:fill="FFFFFF"/>
        </w:rPr>
        <w:t xml:space="preserve"> on this matter.</w:t>
      </w:r>
    </w:p>
    <w:p w14:paraId="73730115" w14:textId="77777777" w:rsidR="0001243B" w:rsidRPr="009A0DA6" w:rsidRDefault="0001243B" w:rsidP="00964A90">
      <w:pPr>
        <w:pStyle w:val="Heading3"/>
      </w:pPr>
      <w:r w:rsidRPr="009A0DA6">
        <w:lastRenderedPageBreak/>
        <w:t>Agenda 2.2.5</w:t>
      </w:r>
    </w:p>
    <w:p w14:paraId="1DFD6E14" w14:textId="77777777" w:rsidR="0001243B" w:rsidRPr="009A0DA6" w:rsidRDefault="0001243B" w:rsidP="005D571C">
      <w:pPr>
        <w:pStyle w:val="Heading2"/>
      </w:pPr>
      <w:bookmarkStart w:id="49" w:name="_Toc521954602"/>
      <w:bookmarkStart w:id="50" w:name="_Toc522394967"/>
      <w:r w:rsidRPr="009A0DA6">
        <w:t xml:space="preserve">Membership of both International Lutheran Council </w:t>
      </w:r>
      <w:r w:rsidR="0037789C" w:rsidRPr="009A0DA6">
        <w:t>and Lutheran World Federation</w:t>
      </w:r>
      <w:bookmarkEnd w:id="49"/>
      <w:bookmarkEnd w:id="50"/>
    </w:p>
    <w:p w14:paraId="2E8076D8" w14:textId="77777777" w:rsidR="00AD32D2" w:rsidRPr="009A0DA6" w:rsidRDefault="00AD32D2" w:rsidP="00AD32D2">
      <w:pPr>
        <w:pStyle w:val="NoSpacing"/>
      </w:pPr>
    </w:p>
    <w:p w14:paraId="115C0587" w14:textId="707A25A4" w:rsidR="00AD32D2" w:rsidRDefault="00AD32D2" w:rsidP="00AD32D2">
      <w:pPr>
        <w:pStyle w:val="NoSpacing"/>
        <w:rPr>
          <w:lang w:eastAsia="en-AU"/>
        </w:rPr>
      </w:pPr>
      <w:r>
        <w:rPr>
          <w:lang w:eastAsia="en-AU"/>
        </w:rPr>
        <w:t>(See also Agenda 2.3.7 and 2.3.8)</w:t>
      </w:r>
    </w:p>
    <w:p w14:paraId="124CC358" w14:textId="77777777" w:rsidR="00AD32D2" w:rsidRDefault="00AD32D2" w:rsidP="00AD32D2">
      <w:pPr>
        <w:pStyle w:val="NoSpacing"/>
        <w:rPr>
          <w:lang w:eastAsia="en-AU"/>
        </w:rPr>
      </w:pPr>
    </w:p>
    <w:p w14:paraId="2E6FAC5F" w14:textId="77777777" w:rsidR="0038338F" w:rsidRPr="009A0DA6" w:rsidRDefault="0038338F" w:rsidP="0038338F">
      <w:pPr>
        <w:pStyle w:val="Heading3"/>
        <w:rPr>
          <w:rFonts w:eastAsia="Times New Roman"/>
          <w:vertAlign w:val="subscript"/>
          <w:lang w:eastAsia="en-AU"/>
        </w:rPr>
      </w:pPr>
      <w:r w:rsidRPr="009A0DA6">
        <w:rPr>
          <w:rFonts w:eastAsia="Times New Roman"/>
          <w:lang w:eastAsia="en-AU"/>
        </w:rPr>
        <w:t>PROPOSED MOTION</w:t>
      </w:r>
    </w:p>
    <w:p w14:paraId="0D348BB0" w14:textId="77777777" w:rsidR="0038338F" w:rsidRPr="009A0DA6" w:rsidRDefault="0038338F" w:rsidP="0038338F">
      <w:pPr>
        <w:shd w:val="clear" w:color="auto" w:fill="FFFFFF"/>
        <w:spacing w:after="120" w:line="22" w:lineRule="atLeast"/>
        <w:rPr>
          <w:rFonts w:ascii="Cambria" w:hAnsi="Cambria" w:cs="Arial"/>
          <w:i/>
          <w:shd w:val="clear" w:color="auto" w:fill="FFFFFF"/>
        </w:rPr>
      </w:pPr>
      <w:r w:rsidRPr="009A0DA6">
        <w:rPr>
          <w:rFonts w:ascii="Cambria" w:eastAsia="Times New Roman" w:hAnsi="Cambria" w:cs="Times New Roman"/>
          <w:bCs/>
          <w:i/>
          <w:lang w:eastAsia="en-AU"/>
        </w:rPr>
        <w:t>Submitted by General Church Council</w:t>
      </w:r>
    </w:p>
    <w:p w14:paraId="33DF83E1" w14:textId="70E12770" w:rsidR="0038338F" w:rsidRPr="009A0DA6" w:rsidRDefault="00516DCF" w:rsidP="0038338F">
      <w:pPr>
        <w:shd w:val="clear" w:color="auto" w:fill="FFFFFF"/>
        <w:tabs>
          <w:tab w:val="left" w:pos="3596"/>
        </w:tabs>
        <w:spacing w:line="240" w:lineRule="auto"/>
        <w:rPr>
          <w:rFonts w:ascii="Cambria" w:eastAsia="Times New Roman" w:hAnsi="Cambria" w:cs="Times New Roman"/>
          <w:b/>
          <w:bCs/>
          <w:color w:val="222222"/>
          <w:lang w:eastAsia="en-AU"/>
        </w:rPr>
      </w:pPr>
      <w:r w:rsidRPr="009A0DA6">
        <w:rPr>
          <w:rFonts w:ascii="Cambria" w:eastAsia="Times New Roman" w:hAnsi="Cambria" w:cs="Times New Roman"/>
          <w:b/>
          <w:bCs/>
          <w:color w:val="222222"/>
          <w:lang w:eastAsia="en-AU"/>
        </w:rPr>
        <w:t xml:space="preserve">BE IT RESOLVED </w:t>
      </w:r>
      <w:r w:rsidR="002B6AF4" w:rsidRPr="009A0DA6">
        <w:rPr>
          <w:rFonts w:ascii="Cambria" w:eastAsia="Times New Roman" w:hAnsi="Cambria" w:cs="Times New Roman"/>
          <w:b/>
          <w:bCs/>
          <w:color w:val="222222"/>
          <w:lang w:eastAsia="en-AU"/>
        </w:rPr>
        <w:t>t</w:t>
      </w:r>
      <w:r w:rsidR="0038338F" w:rsidRPr="009A0DA6">
        <w:rPr>
          <w:rFonts w:ascii="Cambria" w:eastAsia="Times New Roman" w:hAnsi="Cambria" w:cs="Times New Roman"/>
          <w:bCs/>
          <w:color w:val="222222"/>
          <w:lang w:eastAsia="en-AU"/>
        </w:rPr>
        <w:t>hat that the General Church Council conduct a thorough investigation of the theological and church fellowship implications of full membership in the Lutheran World Federation (LWF) and the International Lutheran Council (ILC), and report on that investigation to the 20th General Convention in 2021.</w:t>
      </w:r>
    </w:p>
    <w:p w14:paraId="20D31745" w14:textId="245DF0A1" w:rsidR="0038338F" w:rsidRPr="009A0DA6" w:rsidRDefault="002B6AF4" w:rsidP="0038338F">
      <w:pPr>
        <w:shd w:val="clear" w:color="auto" w:fill="FFFFFF"/>
        <w:tabs>
          <w:tab w:val="left" w:pos="3596"/>
        </w:tabs>
        <w:spacing w:line="240" w:lineRule="auto"/>
        <w:rPr>
          <w:rFonts w:ascii="Cambria" w:eastAsia="Times New Roman" w:hAnsi="Cambria" w:cs="Times New Roman"/>
          <w:bCs/>
          <w:color w:val="222222"/>
          <w:lang w:eastAsia="en-AU"/>
        </w:rPr>
      </w:pPr>
      <w:r w:rsidRPr="009A0DA6">
        <w:rPr>
          <w:rFonts w:ascii="Cambria" w:eastAsia="Times New Roman" w:hAnsi="Cambria" w:cs="Times New Roman"/>
          <w:b/>
          <w:bCs/>
          <w:color w:val="222222"/>
          <w:lang w:eastAsia="en-AU"/>
        </w:rPr>
        <w:t>FURTHER BE IT RESOLVED</w:t>
      </w:r>
      <w:r w:rsidR="0038338F" w:rsidRPr="009A0DA6">
        <w:rPr>
          <w:rFonts w:ascii="Cambria" w:eastAsia="Times New Roman" w:hAnsi="Cambria" w:cs="Times New Roman"/>
          <w:bCs/>
          <w:color w:val="222222"/>
          <w:lang w:eastAsia="en-AU"/>
        </w:rPr>
        <w:t xml:space="preserve"> that the General Church Council, on the basis of the report, submit a proposal to the 2021 General Convention on the possibility and advisability of the LCA applying for full membership in the LWF and the ILC</w:t>
      </w:r>
      <w:r w:rsidRPr="009A0DA6">
        <w:rPr>
          <w:rFonts w:ascii="Cambria" w:eastAsia="Times New Roman" w:hAnsi="Cambria" w:cs="Times New Roman"/>
          <w:bCs/>
          <w:color w:val="222222"/>
          <w:lang w:eastAsia="en-AU"/>
        </w:rPr>
        <w:t>.</w:t>
      </w:r>
    </w:p>
    <w:p w14:paraId="5D30854F" w14:textId="67923722" w:rsidR="0038338F" w:rsidRPr="009A0DA6" w:rsidRDefault="00FB59B1" w:rsidP="000759D1">
      <w:pPr>
        <w:pStyle w:val="Heading3"/>
        <w:rPr>
          <w:rFonts w:eastAsia="Times New Roman"/>
          <w:lang w:eastAsia="en-AU"/>
        </w:rPr>
      </w:pPr>
      <w:r w:rsidRPr="009A0DA6">
        <w:rPr>
          <w:rFonts w:eastAsia="Times New Roman"/>
          <w:lang w:eastAsia="en-AU"/>
        </w:rPr>
        <w:t>REASONS FOR THE MOTION</w:t>
      </w:r>
    </w:p>
    <w:p w14:paraId="5A2047A7" w14:textId="354F61CB" w:rsidR="0038338F" w:rsidRPr="009A0DA6" w:rsidRDefault="0038338F" w:rsidP="00F55252">
      <w:pPr>
        <w:pStyle w:val="ListParagraph"/>
        <w:numPr>
          <w:ilvl w:val="0"/>
          <w:numId w:val="95"/>
        </w:numPr>
        <w:shd w:val="clear" w:color="auto" w:fill="FFFFFF"/>
        <w:spacing w:after="200" w:line="240" w:lineRule="auto"/>
        <w:ind w:left="567" w:hanging="567"/>
        <w:rPr>
          <w:rFonts w:ascii="Cambria" w:hAnsi="Cambria" w:cs="Arial"/>
          <w:color w:val="222222"/>
          <w:shd w:val="clear" w:color="auto" w:fill="FFFFFF"/>
        </w:rPr>
      </w:pPr>
      <w:r w:rsidRPr="009A0DA6">
        <w:rPr>
          <w:rFonts w:ascii="Cambria" w:hAnsi="Cambria" w:cs="Arial"/>
          <w:color w:val="222222"/>
          <w:shd w:val="clear" w:color="auto" w:fill="FFFFFF"/>
        </w:rPr>
        <w:t>A number of congregations have submitted proposals to the 19</w:t>
      </w:r>
      <w:r w:rsidRPr="009A0DA6">
        <w:rPr>
          <w:rFonts w:ascii="Cambria" w:hAnsi="Cambria" w:cs="Arial"/>
          <w:color w:val="222222"/>
          <w:shd w:val="clear" w:color="auto" w:fill="FFFFFF"/>
          <w:vertAlign w:val="superscript"/>
        </w:rPr>
        <w:t>th</w:t>
      </w:r>
      <w:r w:rsidRPr="009A0DA6">
        <w:rPr>
          <w:rFonts w:ascii="Cambria" w:hAnsi="Cambria" w:cs="Arial"/>
          <w:color w:val="222222"/>
          <w:shd w:val="clear" w:color="auto" w:fill="FFFFFF"/>
        </w:rPr>
        <w:t xml:space="preserve"> LCA Convention of Synod (2018) in relation to the LCA applying for full membership in the Lutheran World Federation (LWF) and the International Lutheran Council (ILC)</w:t>
      </w:r>
      <w:r w:rsidR="0027799A" w:rsidRPr="009A0DA6">
        <w:rPr>
          <w:rFonts w:ascii="Cambria" w:hAnsi="Cambria" w:cs="Arial"/>
          <w:color w:val="222222"/>
          <w:shd w:val="clear" w:color="auto" w:fill="FFFFFF"/>
        </w:rPr>
        <w:t xml:space="preserve">. </w:t>
      </w:r>
      <w:r w:rsidRPr="00EB6C06">
        <w:rPr>
          <w:rFonts w:ascii="Cambria" w:hAnsi="Cambria" w:cs="Arial"/>
          <w:color w:val="222222"/>
          <w:shd w:val="clear" w:color="auto" w:fill="FFFFFF"/>
        </w:rPr>
        <w:t xml:space="preserve">These proposals are </w:t>
      </w:r>
      <w:r w:rsidR="00EB6C06" w:rsidRPr="00EB6C06">
        <w:rPr>
          <w:rFonts w:ascii="Cambria" w:hAnsi="Cambria" w:cs="Arial"/>
          <w:color w:val="222222"/>
          <w:shd w:val="clear" w:color="auto" w:fill="FFFFFF"/>
        </w:rPr>
        <w:t>found at 2.3.7 and 2.3.8</w:t>
      </w:r>
      <w:r w:rsidRPr="00EB6C06">
        <w:rPr>
          <w:rFonts w:ascii="Cambria" w:hAnsi="Cambria" w:cs="Arial"/>
          <w:color w:val="222222"/>
          <w:shd w:val="clear" w:color="auto" w:fill="FFFFFF"/>
        </w:rPr>
        <w:t>.</w:t>
      </w:r>
      <w:r w:rsidRPr="009A0DA6">
        <w:rPr>
          <w:rFonts w:ascii="Cambria" w:hAnsi="Cambria" w:cs="Arial"/>
          <w:color w:val="222222"/>
          <w:shd w:val="clear" w:color="auto" w:fill="FFFFFF"/>
        </w:rPr>
        <w:br/>
      </w:r>
    </w:p>
    <w:p w14:paraId="2369A54A" w14:textId="07712723" w:rsidR="0038338F" w:rsidRPr="009A0DA6" w:rsidRDefault="0038338F" w:rsidP="00F55252">
      <w:pPr>
        <w:pStyle w:val="ListParagraph"/>
        <w:numPr>
          <w:ilvl w:val="0"/>
          <w:numId w:val="95"/>
        </w:numPr>
        <w:shd w:val="clear" w:color="auto" w:fill="FFFFFF"/>
        <w:spacing w:after="200" w:line="240" w:lineRule="auto"/>
        <w:ind w:left="567" w:hanging="567"/>
        <w:rPr>
          <w:rFonts w:ascii="Cambria" w:hAnsi="Cambria" w:cs="Arial"/>
          <w:color w:val="222222"/>
          <w:shd w:val="clear" w:color="auto" w:fill="FFFFFF"/>
        </w:rPr>
      </w:pPr>
      <w:r w:rsidRPr="009A0DA6">
        <w:rPr>
          <w:rFonts w:ascii="Cambria" w:hAnsi="Cambria" w:cs="Arial"/>
          <w:color w:val="222222"/>
          <w:shd w:val="clear" w:color="auto" w:fill="FFFFFF"/>
        </w:rPr>
        <w:t xml:space="preserve">The General Church Council (GCC) referred these proposals to the </w:t>
      </w:r>
      <w:r w:rsidR="0027799A" w:rsidRPr="009A0DA6">
        <w:rPr>
          <w:rFonts w:ascii="Cambria" w:hAnsi="Cambria" w:cs="Arial"/>
          <w:color w:val="222222"/>
          <w:shd w:val="clear" w:color="auto" w:fill="FFFFFF"/>
        </w:rPr>
        <w:t>General Pastors Conference</w:t>
      </w:r>
      <w:r w:rsidRPr="009A0DA6">
        <w:rPr>
          <w:rFonts w:ascii="Cambria" w:hAnsi="Cambria" w:cs="Arial"/>
          <w:color w:val="222222"/>
          <w:shd w:val="clear" w:color="auto" w:fill="FFFFFF"/>
        </w:rPr>
        <w:t xml:space="preserve"> (GPC) for advice and recommendation.</w:t>
      </w:r>
      <w:r w:rsidRPr="009A0DA6">
        <w:rPr>
          <w:rFonts w:ascii="Cambria" w:hAnsi="Cambria" w:cs="Arial"/>
          <w:color w:val="222222"/>
          <w:shd w:val="clear" w:color="auto" w:fill="FFFFFF"/>
        </w:rPr>
        <w:br/>
      </w:r>
    </w:p>
    <w:p w14:paraId="26F6D6A2" w14:textId="2A658260" w:rsidR="0038338F" w:rsidRPr="009A0DA6" w:rsidRDefault="0038338F" w:rsidP="00F55252">
      <w:pPr>
        <w:pStyle w:val="ListParagraph"/>
        <w:numPr>
          <w:ilvl w:val="0"/>
          <w:numId w:val="95"/>
        </w:numPr>
        <w:shd w:val="clear" w:color="auto" w:fill="FFFFFF"/>
        <w:spacing w:after="200" w:line="240" w:lineRule="auto"/>
        <w:ind w:left="567" w:hanging="567"/>
        <w:rPr>
          <w:rFonts w:ascii="Cambria" w:hAnsi="Cambria" w:cs="Arial"/>
          <w:color w:val="222222"/>
          <w:shd w:val="clear" w:color="auto" w:fill="FFFFFF"/>
        </w:rPr>
      </w:pPr>
      <w:r w:rsidRPr="009A0DA6">
        <w:rPr>
          <w:rFonts w:ascii="Cambria" w:hAnsi="Cambria" w:cs="Arial"/>
          <w:color w:val="222222"/>
          <w:shd w:val="clear" w:color="auto" w:fill="FFFFFF"/>
        </w:rPr>
        <w:t>Membership in the LWF has been regarded as a theological matter for some years, particularly since the LWF member churches voted to become a ‘communion’ of churches in 1990. Membership in the</w:t>
      </w:r>
      <w:r w:rsidR="000338FE" w:rsidRPr="009A0DA6">
        <w:rPr>
          <w:rFonts w:ascii="Cambria" w:hAnsi="Cambria" w:cs="Arial"/>
          <w:color w:val="222222"/>
          <w:shd w:val="clear" w:color="auto" w:fill="FFFFFF"/>
        </w:rPr>
        <w:t xml:space="preserve"> ILC </w:t>
      </w:r>
      <w:r w:rsidRPr="009A0DA6">
        <w:rPr>
          <w:rFonts w:ascii="Cambria" w:hAnsi="Cambria" w:cs="Arial"/>
          <w:color w:val="222222"/>
          <w:shd w:val="clear" w:color="auto" w:fill="FFFFFF"/>
        </w:rPr>
        <w:t>has not been regarded as a theological matter as it has a different self-understanding to the LWF. We have a practice, however, of ‘pairing’ these relationships, so what we do in respect to the one we also do in respect to the other.</w:t>
      </w:r>
      <w:r w:rsidRPr="009A0DA6">
        <w:rPr>
          <w:rFonts w:ascii="Cambria" w:hAnsi="Cambria" w:cs="Arial"/>
          <w:color w:val="222222"/>
          <w:shd w:val="clear" w:color="auto" w:fill="FFFFFF"/>
        </w:rPr>
        <w:br/>
      </w:r>
    </w:p>
    <w:p w14:paraId="6694DB04" w14:textId="4363AB92" w:rsidR="0038338F" w:rsidRPr="009A0DA6" w:rsidRDefault="0038338F" w:rsidP="00F55252">
      <w:pPr>
        <w:pStyle w:val="ListParagraph"/>
        <w:numPr>
          <w:ilvl w:val="0"/>
          <w:numId w:val="95"/>
        </w:numPr>
        <w:shd w:val="clear" w:color="auto" w:fill="FFFFFF"/>
        <w:spacing w:after="200" w:line="240" w:lineRule="auto"/>
        <w:ind w:left="567" w:hanging="567"/>
        <w:rPr>
          <w:rFonts w:ascii="Cambria" w:hAnsi="Cambria" w:cs="Arial"/>
          <w:color w:val="222222"/>
          <w:shd w:val="clear" w:color="auto" w:fill="FFFFFF"/>
        </w:rPr>
      </w:pPr>
      <w:r w:rsidRPr="009A0DA6">
        <w:rPr>
          <w:rFonts w:ascii="Cambria" w:hAnsi="Cambria" w:cs="Arial"/>
          <w:color w:val="222222"/>
          <w:shd w:val="clear" w:color="auto" w:fill="FFFFFF"/>
        </w:rPr>
        <w:t>In his report to the GPC, Bishop John Henderson drew the pastors’ attention to this and suggested that GPC consider putting a motion that Synod asks that a study be commissioned to look at the implications and advisability of full membership in both LWF and ILC, and arrange for the presentation of a report with recommendations to the 2021 GPC and Synod.</w:t>
      </w:r>
      <w:r w:rsidRPr="009A0DA6">
        <w:rPr>
          <w:rFonts w:ascii="Cambria" w:hAnsi="Cambria" w:cs="Arial"/>
          <w:color w:val="222222"/>
          <w:shd w:val="clear" w:color="auto" w:fill="FFFFFF"/>
        </w:rPr>
        <w:br/>
      </w:r>
    </w:p>
    <w:p w14:paraId="77A3244E" w14:textId="61B9C57F" w:rsidR="0038338F" w:rsidRPr="009A0DA6" w:rsidRDefault="0038338F" w:rsidP="00F55252">
      <w:pPr>
        <w:pStyle w:val="ListParagraph"/>
        <w:numPr>
          <w:ilvl w:val="0"/>
          <w:numId w:val="95"/>
        </w:numPr>
        <w:shd w:val="clear" w:color="auto" w:fill="FFFFFF"/>
        <w:spacing w:after="200" w:line="240" w:lineRule="auto"/>
        <w:ind w:left="567" w:hanging="567"/>
        <w:rPr>
          <w:rFonts w:ascii="Cambria" w:hAnsi="Cambria" w:cs="Arial"/>
          <w:color w:val="222222"/>
          <w:shd w:val="clear" w:color="auto" w:fill="FFFFFF"/>
        </w:rPr>
      </w:pPr>
      <w:r w:rsidRPr="009A0DA6">
        <w:rPr>
          <w:rFonts w:ascii="Cambria" w:hAnsi="Cambria" w:cs="Arial"/>
          <w:color w:val="222222"/>
          <w:shd w:val="clear" w:color="auto" w:fill="FFFFFF"/>
        </w:rPr>
        <w:t>The GPC discussed the matter and resolved to recommend to Convention of Synod that the LCA commission a study of the implications and advisability of full membership in both the LWF and the ILC and arrange for the presentation of a report with recommendations to the 2021 GPC and Convention of Synod.</w:t>
      </w:r>
      <w:r w:rsidRPr="009A0DA6">
        <w:rPr>
          <w:rFonts w:ascii="Cambria" w:hAnsi="Cambria" w:cs="Arial"/>
          <w:color w:val="222222"/>
          <w:shd w:val="clear" w:color="auto" w:fill="FFFFFF"/>
        </w:rPr>
        <w:br/>
      </w:r>
    </w:p>
    <w:p w14:paraId="48B4CE34" w14:textId="77777777" w:rsidR="0038338F" w:rsidRPr="009A0DA6" w:rsidRDefault="0038338F" w:rsidP="00F55252">
      <w:pPr>
        <w:pStyle w:val="ListParagraph"/>
        <w:numPr>
          <w:ilvl w:val="0"/>
          <w:numId w:val="95"/>
        </w:numPr>
        <w:shd w:val="clear" w:color="auto" w:fill="FFFFFF"/>
        <w:spacing w:after="200" w:line="240" w:lineRule="auto"/>
        <w:ind w:left="567" w:hanging="567"/>
        <w:rPr>
          <w:rFonts w:ascii="Cambria" w:hAnsi="Cambria" w:cs="Arial"/>
          <w:color w:val="222222"/>
          <w:shd w:val="clear" w:color="auto" w:fill="FFFFFF"/>
        </w:rPr>
      </w:pPr>
      <w:r w:rsidRPr="009A0DA6">
        <w:rPr>
          <w:rFonts w:ascii="Cambria" w:hAnsi="Cambria" w:cs="Arial"/>
          <w:color w:val="222222"/>
          <w:shd w:val="clear" w:color="auto" w:fill="FFFFFF"/>
        </w:rPr>
        <w:t>The GCC submits this proposal to Synod in view of the recommendation from the GPC.</w:t>
      </w:r>
    </w:p>
    <w:p w14:paraId="09AD4E18" w14:textId="77777777" w:rsidR="00A971D9" w:rsidRDefault="00A971D9">
      <w:pPr>
        <w:rPr>
          <w:rFonts w:ascii="Cambria" w:eastAsiaTheme="majorEastAsia" w:hAnsi="Cambria" w:cstheme="majorBidi"/>
          <w:b/>
          <w:caps/>
          <w:sz w:val="28"/>
          <w:szCs w:val="24"/>
        </w:rPr>
      </w:pPr>
      <w:r>
        <w:br w:type="page"/>
      </w:r>
    </w:p>
    <w:p w14:paraId="541B58B1" w14:textId="2A047FF3" w:rsidR="0001243B" w:rsidRPr="009A0DA6" w:rsidRDefault="0001243B" w:rsidP="00964A90">
      <w:pPr>
        <w:pStyle w:val="Heading3"/>
      </w:pPr>
      <w:r w:rsidRPr="009A0DA6">
        <w:lastRenderedPageBreak/>
        <w:t>agenda 2.2.6</w:t>
      </w:r>
    </w:p>
    <w:p w14:paraId="38264F99" w14:textId="77777777" w:rsidR="0001243B" w:rsidRPr="009A0DA6" w:rsidRDefault="0001243B" w:rsidP="005D571C">
      <w:pPr>
        <w:pStyle w:val="Heading2"/>
      </w:pPr>
      <w:bookmarkStart w:id="51" w:name="_Toc521954603"/>
      <w:bookmarkStart w:id="52" w:name="_Toc522394968"/>
      <w:r w:rsidRPr="009A0DA6">
        <w:t>Review of Professional Standards Department</w:t>
      </w:r>
      <w:bookmarkEnd w:id="51"/>
      <w:bookmarkEnd w:id="52"/>
      <w:r w:rsidRPr="009A0DA6">
        <w:t xml:space="preserve"> </w:t>
      </w:r>
    </w:p>
    <w:p w14:paraId="1903072E" w14:textId="77777777" w:rsidR="00AD32D2" w:rsidRPr="009A0DA6" w:rsidRDefault="00AD32D2" w:rsidP="00AD32D2">
      <w:pPr>
        <w:pStyle w:val="NoSpacing"/>
      </w:pPr>
    </w:p>
    <w:p w14:paraId="24373A44" w14:textId="79F29C72" w:rsidR="00AD32D2" w:rsidRDefault="00AD32D2" w:rsidP="00AD32D2">
      <w:pPr>
        <w:pStyle w:val="NoSpacing"/>
        <w:rPr>
          <w:lang w:eastAsia="en-AU"/>
        </w:rPr>
      </w:pPr>
      <w:r>
        <w:rPr>
          <w:lang w:eastAsia="en-AU"/>
        </w:rPr>
        <w:t>(See also Agenda 2.3.10)</w:t>
      </w:r>
    </w:p>
    <w:p w14:paraId="30C87D7F" w14:textId="57A103E2" w:rsidR="0037789C" w:rsidRPr="009A0DA6" w:rsidRDefault="0037789C" w:rsidP="0037789C">
      <w:pPr>
        <w:pStyle w:val="NoSpacing"/>
      </w:pPr>
    </w:p>
    <w:p w14:paraId="4F4779EB" w14:textId="77777777" w:rsidR="0038338F" w:rsidRPr="009A0DA6" w:rsidRDefault="0038338F" w:rsidP="0038338F">
      <w:pPr>
        <w:pStyle w:val="Heading3"/>
        <w:rPr>
          <w:rFonts w:eastAsia="Times New Roman"/>
          <w:lang w:eastAsia="en-AU"/>
        </w:rPr>
      </w:pPr>
      <w:r w:rsidRPr="009A0DA6">
        <w:rPr>
          <w:rFonts w:eastAsia="Times New Roman"/>
          <w:lang w:eastAsia="en-AU"/>
        </w:rPr>
        <w:t>PROPOSED MOTION</w:t>
      </w:r>
    </w:p>
    <w:p w14:paraId="041D0E4E" w14:textId="77777777" w:rsidR="0038338F" w:rsidRPr="009A0DA6" w:rsidRDefault="0038338F" w:rsidP="0038338F">
      <w:pPr>
        <w:shd w:val="clear" w:color="auto" w:fill="FFFFFF"/>
        <w:spacing w:after="120" w:line="22" w:lineRule="atLeast"/>
        <w:rPr>
          <w:rFonts w:ascii="Cambria" w:hAnsi="Cambria" w:cs="Arial"/>
          <w:i/>
          <w:shd w:val="clear" w:color="auto" w:fill="FFFFFF"/>
        </w:rPr>
      </w:pPr>
      <w:r w:rsidRPr="009A0DA6">
        <w:rPr>
          <w:rFonts w:ascii="Cambria" w:eastAsia="Times New Roman" w:hAnsi="Cambria" w:cs="Times New Roman"/>
          <w:bCs/>
          <w:i/>
          <w:lang w:eastAsia="en-AU"/>
        </w:rPr>
        <w:t>Submitted by General Church Council</w:t>
      </w:r>
    </w:p>
    <w:p w14:paraId="69BA8952" w14:textId="28D32082" w:rsidR="0038338F" w:rsidRPr="009A0DA6" w:rsidRDefault="0038338F" w:rsidP="0038338F">
      <w:pPr>
        <w:autoSpaceDE w:val="0"/>
        <w:autoSpaceDN w:val="0"/>
        <w:adjustRightInd w:val="0"/>
        <w:spacing w:after="120" w:line="240" w:lineRule="auto"/>
        <w:rPr>
          <w:rFonts w:ascii="Cambria" w:eastAsia="Times New Roman" w:hAnsi="Cambria" w:cs="Times New Roman"/>
          <w:b/>
          <w:bCs/>
          <w:color w:val="222222"/>
          <w:lang w:eastAsia="en-AU"/>
        </w:rPr>
      </w:pPr>
      <w:r w:rsidRPr="009A0DA6">
        <w:rPr>
          <w:rFonts w:ascii="Cambria" w:eastAsia="Times New Roman" w:hAnsi="Cambria" w:cs="Times New Roman"/>
          <w:b/>
          <w:bCs/>
          <w:color w:val="222222"/>
          <w:lang w:eastAsia="en-AU"/>
        </w:rPr>
        <w:t>BE IT RESOLVED</w:t>
      </w:r>
      <w:r w:rsidRPr="009A0DA6">
        <w:rPr>
          <w:rFonts w:ascii="Cambria" w:eastAsia="Times New Roman" w:hAnsi="Cambria" w:cs="Times New Roman"/>
          <w:bCs/>
          <w:color w:val="222222"/>
          <w:lang w:eastAsia="en-AU"/>
        </w:rPr>
        <w:t xml:space="preserve"> that the General Synod</w:t>
      </w:r>
      <w:r w:rsidRPr="009A0DA6">
        <w:rPr>
          <w:rFonts w:ascii="Cambria" w:eastAsia="Times New Roman" w:hAnsi="Cambria" w:cs="Times New Roman"/>
          <w:b/>
          <w:bCs/>
          <w:color w:val="222222"/>
          <w:lang w:eastAsia="en-AU"/>
        </w:rPr>
        <w:t xml:space="preserve"> </w:t>
      </w:r>
      <w:r w:rsidRPr="009A0DA6">
        <w:rPr>
          <w:rFonts w:ascii="Cambria" w:eastAsia="Times New Roman" w:hAnsi="Cambria" w:cs="Times New Roman"/>
          <w:bCs/>
          <w:color w:val="222222"/>
          <w:lang w:eastAsia="en-AU"/>
        </w:rPr>
        <w:t xml:space="preserve">requests the </w:t>
      </w:r>
      <w:r w:rsidR="00951CFA" w:rsidRPr="009A0DA6">
        <w:rPr>
          <w:rFonts w:ascii="Cambria" w:eastAsia="Times New Roman" w:hAnsi="Cambria" w:cs="Times New Roman"/>
          <w:bCs/>
          <w:color w:val="222222"/>
          <w:lang w:eastAsia="en-AU"/>
        </w:rPr>
        <w:t>General Church Council</w:t>
      </w:r>
      <w:r w:rsidRPr="009A0DA6">
        <w:rPr>
          <w:rFonts w:ascii="Cambria" w:eastAsia="Times New Roman" w:hAnsi="Cambria" w:cs="Times New Roman"/>
          <w:bCs/>
          <w:color w:val="222222"/>
          <w:lang w:eastAsia="en-AU"/>
        </w:rPr>
        <w:t xml:space="preserve"> to undertake a review the Professional Standards Department</w:t>
      </w:r>
      <w:r w:rsidR="000338FE" w:rsidRPr="009A0DA6">
        <w:rPr>
          <w:rFonts w:ascii="Cambria" w:eastAsia="Times New Roman" w:hAnsi="Cambria" w:cs="Times New Roman"/>
          <w:bCs/>
          <w:color w:val="222222"/>
          <w:lang w:eastAsia="en-AU"/>
        </w:rPr>
        <w:t xml:space="preserve"> (PSD)</w:t>
      </w:r>
      <w:r w:rsidRPr="009A0DA6">
        <w:rPr>
          <w:rFonts w:ascii="Cambria" w:eastAsia="Times New Roman" w:hAnsi="Cambria" w:cs="Times New Roman"/>
          <w:bCs/>
          <w:color w:val="222222"/>
          <w:lang w:eastAsia="en-AU"/>
        </w:rPr>
        <w:t xml:space="preserve"> in response to concerns raised about PSD matters in proposals submitted to this Synod. </w:t>
      </w:r>
    </w:p>
    <w:p w14:paraId="3432F777" w14:textId="68FB7650" w:rsidR="0038338F" w:rsidRPr="009A0DA6" w:rsidRDefault="00FB59B1" w:rsidP="000759D1">
      <w:pPr>
        <w:pStyle w:val="Heading3"/>
        <w:rPr>
          <w:rFonts w:eastAsia="Times New Roman"/>
          <w:lang w:eastAsia="en-AU"/>
        </w:rPr>
      </w:pPr>
      <w:r w:rsidRPr="009A0DA6">
        <w:rPr>
          <w:rFonts w:eastAsia="Times New Roman"/>
          <w:lang w:eastAsia="en-AU"/>
        </w:rPr>
        <w:t>REASONS FOR THE MOTION</w:t>
      </w:r>
    </w:p>
    <w:p w14:paraId="224C608E" w14:textId="66FD6B01" w:rsidR="0038338F" w:rsidRPr="009A0DA6" w:rsidRDefault="0038338F" w:rsidP="0038338F">
      <w:pPr>
        <w:spacing w:after="0" w:line="240" w:lineRule="auto"/>
        <w:rPr>
          <w:rFonts w:ascii="Cambria" w:hAnsi="Cambria"/>
          <w:sz w:val="12"/>
        </w:rPr>
      </w:pPr>
      <w:r w:rsidRPr="009A0DA6">
        <w:rPr>
          <w:rFonts w:ascii="Cambria" w:hAnsi="Cambria"/>
        </w:rPr>
        <w:t xml:space="preserve">The </w:t>
      </w:r>
      <w:r w:rsidR="00951CFA" w:rsidRPr="009A0DA6">
        <w:rPr>
          <w:rFonts w:ascii="Cambria" w:hAnsi="Cambria"/>
        </w:rPr>
        <w:t>General Church Council (</w:t>
      </w:r>
      <w:r w:rsidRPr="009A0DA6">
        <w:rPr>
          <w:rFonts w:ascii="Cambria" w:hAnsi="Cambria"/>
        </w:rPr>
        <w:t>GCC</w:t>
      </w:r>
      <w:r w:rsidR="00951CFA" w:rsidRPr="009A0DA6">
        <w:rPr>
          <w:rFonts w:ascii="Cambria" w:hAnsi="Cambria"/>
        </w:rPr>
        <w:t>)</w:t>
      </w:r>
      <w:r w:rsidRPr="009A0DA6">
        <w:rPr>
          <w:rFonts w:ascii="Cambria" w:hAnsi="Cambria"/>
        </w:rPr>
        <w:t xml:space="preserve"> has governance oversight of the Professional Standards Department and therefore is the appropriate body to undertake the review and oversee the implementation of any necessary changes</w:t>
      </w:r>
      <w:r w:rsidR="0027799A" w:rsidRPr="009A0DA6">
        <w:rPr>
          <w:rFonts w:ascii="Cambria" w:hAnsi="Cambria"/>
        </w:rPr>
        <w:t xml:space="preserve">. </w:t>
      </w:r>
      <w:r w:rsidRPr="009A0DA6">
        <w:rPr>
          <w:rFonts w:ascii="Cambria" w:hAnsi="Cambria"/>
        </w:rPr>
        <w:br/>
      </w:r>
    </w:p>
    <w:p w14:paraId="6720F6A2" w14:textId="3950F227" w:rsidR="0038338F" w:rsidRPr="009A0DA6" w:rsidRDefault="00B36F23" w:rsidP="0038338F">
      <w:pPr>
        <w:spacing w:after="0" w:line="240" w:lineRule="auto"/>
        <w:rPr>
          <w:rFonts w:ascii="Cambria" w:hAnsi="Cambria"/>
        </w:rPr>
      </w:pPr>
      <w:r w:rsidRPr="009A0DA6">
        <w:rPr>
          <w:rFonts w:ascii="Cambria" w:hAnsi="Cambria"/>
        </w:rPr>
        <w:t>The GCC (and the b</w:t>
      </w:r>
      <w:r w:rsidR="0038338F" w:rsidRPr="009A0DA6">
        <w:rPr>
          <w:rFonts w:ascii="Cambria" w:hAnsi="Cambria"/>
        </w:rPr>
        <w:t xml:space="preserve">ishops) do not consider the College of Bishops </w:t>
      </w:r>
      <w:r w:rsidRPr="009A0DA6">
        <w:rPr>
          <w:rFonts w:ascii="Cambria" w:hAnsi="Cambria"/>
        </w:rPr>
        <w:t>to be</w:t>
      </w:r>
      <w:r w:rsidR="0038338F" w:rsidRPr="009A0DA6">
        <w:rPr>
          <w:rFonts w:ascii="Cambria" w:hAnsi="Cambria"/>
        </w:rPr>
        <w:t xml:space="preserve"> the appropriate</w:t>
      </w:r>
      <w:r w:rsidR="00F34402" w:rsidRPr="009A0DA6">
        <w:rPr>
          <w:rFonts w:ascii="Cambria" w:hAnsi="Cambria"/>
        </w:rPr>
        <w:t xml:space="preserve"> body, nor has it the capacity, </w:t>
      </w:r>
      <w:r w:rsidR="0038338F" w:rsidRPr="009A0DA6">
        <w:rPr>
          <w:rFonts w:ascii="Cambria" w:hAnsi="Cambria"/>
        </w:rPr>
        <w:t>to lead a review of</w:t>
      </w:r>
      <w:r w:rsidR="00F34402" w:rsidRPr="009A0DA6">
        <w:rPr>
          <w:rFonts w:ascii="Cambria" w:hAnsi="Cambria"/>
        </w:rPr>
        <w:t xml:space="preserve"> this nature. Furthermore, the b</w:t>
      </w:r>
      <w:r w:rsidR="0038338F" w:rsidRPr="009A0DA6">
        <w:rPr>
          <w:rFonts w:ascii="Cambria" w:hAnsi="Cambria"/>
        </w:rPr>
        <w:t xml:space="preserve">ishops are often involved in PSD-related matters and therefore have a potential conflict of interest that will likely be under consideration as part of the proposed review. </w:t>
      </w:r>
    </w:p>
    <w:p w14:paraId="7B830E6B" w14:textId="77777777" w:rsidR="0038338F" w:rsidRPr="009A0DA6" w:rsidRDefault="0038338F" w:rsidP="0038338F">
      <w:pPr>
        <w:spacing w:after="0" w:line="240" w:lineRule="auto"/>
        <w:rPr>
          <w:rFonts w:ascii="Cambria" w:hAnsi="Cambria"/>
          <w:sz w:val="12"/>
        </w:rPr>
      </w:pPr>
    </w:p>
    <w:p w14:paraId="76A296E4" w14:textId="271B1845" w:rsidR="0038338F" w:rsidRPr="009A0DA6" w:rsidRDefault="0038338F" w:rsidP="0038338F">
      <w:pPr>
        <w:spacing w:after="0" w:line="240" w:lineRule="auto"/>
        <w:rPr>
          <w:rFonts w:ascii="Cambria" w:hAnsi="Cambria"/>
        </w:rPr>
      </w:pPr>
      <w:r w:rsidRPr="009A0DA6">
        <w:rPr>
          <w:rFonts w:ascii="Cambria" w:hAnsi="Cambria"/>
        </w:rPr>
        <w:t>The GCC has also noted other Synod resolutions which, either directly or indirectly, refer to PSD. The GCC considers it will be more effective to consolidate all the PSD-related issues raised in one process rather than requiring separate actions for each resolution.</w:t>
      </w:r>
    </w:p>
    <w:p w14:paraId="557EDB1E" w14:textId="7EA8F5BF" w:rsidR="000759D1" w:rsidRPr="009A0DA6" w:rsidRDefault="000759D1" w:rsidP="0038338F">
      <w:pPr>
        <w:spacing w:after="0" w:line="240" w:lineRule="auto"/>
        <w:rPr>
          <w:rFonts w:ascii="Cambria" w:hAnsi="Cambria"/>
        </w:rPr>
      </w:pPr>
    </w:p>
    <w:p w14:paraId="32E89726" w14:textId="0C722F98" w:rsidR="000759D1" w:rsidRDefault="000759D1" w:rsidP="0038338F">
      <w:pPr>
        <w:spacing w:after="0" w:line="240" w:lineRule="auto"/>
        <w:rPr>
          <w:rFonts w:ascii="Cambria" w:hAnsi="Cambria"/>
        </w:rPr>
      </w:pPr>
    </w:p>
    <w:p w14:paraId="13988707" w14:textId="77777777" w:rsidR="00D07614" w:rsidRPr="00D07614" w:rsidRDefault="00D07614" w:rsidP="0038338F">
      <w:pPr>
        <w:spacing w:after="0" w:line="240" w:lineRule="auto"/>
        <w:rPr>
          <w:rFonts w:ascii="Cambria" w:hAnsi="Cambria"/>
          <w:sz w:val="14"/>
        </w:rPr>
      </w:pPr>
    </w:p>
    <w:p w14:paraId="0A0DE015" w14:textId="77777777" w:rsidR="000759D1" w:rsidRPr="009A0DA6" w:rsidRDefault="000759D1" w:rsidP="0038338F">
      <w:pPr>
        <w:spacing w:after="0" w:line="240" w:lineRule="auto"/>
        <w:rPr>
          <w:rFonts w:ascii="Cambria" w:hAnsi="Cambria"/>
        </w:rPr>
      </w:pPr>
    </w:p>
    <w:p w14:paraId="334D8320" w14:textId="77777777" w:rsidR="0001243B" w:rsidRPr="009A0DA6" w:rsidRDefault="0001243B" w:rsidP="00964A90">
      <w:pPr>
        <w:pStyle w:val="Heading3"/>
      </w:pPr>
      <w:r w:rsidRPr="009A0DA6">
        <w:t>agenda 2.2.7</w:t>
      </w:r>
    </w:p>
    <w:p w14:paraId="3FAC3E43" w14:textId="77777777" w:rsidR="0001243B" w:rsidRPr="009A0DA6" w:rsidRDefault="0001243B" w:rsidP="005D571C">
      <w:pPr>
        <w:pStyle w:val="Heading2"/>
      </w:pPr>
      <w:bookmarkStart w:id="53" w:name="_Toc521954604"/>
      <w:bookmarkStart w:id="54" w:name="_Toc522394969"/>
      <w:r w:rsidRPr="009A0DA6">
        <w:t>Lutheran Education Australia review</w:t>
      </w:r>
      <w:bookmarkEnd w:id="53"/>
      <w:bookmarkEnd w:id="54"/>
      <w:r w:rsidRPr="009A0DA6">
        <w:t xml:space="preserve"> </w:t>
      </w:r>
    </w:p>
    <w:p w14:paraId="6B68CAE8" w14:textId="77777777" w:rsidR="00AD32D2" w:rsidRPr="009A0DA6" w:rsidRDefault="00AD32D2" w:rsidP="00AD32D2">
      <w:pPr>
        <w:pStyle w:val="NoSpacing"/>
      </w:pPr>
    </w:p>
    <w:p w14:paraId="2E3D0C1C" w14:textId="16CB7337" w:rsidR="00AD32D2" w:rsidRDefault="00AD32D2" w:rsidP="00AD32D2">
      <w:pPr>
        <w:pStyle w:val="NoSpacing"/>
        <w:rPr>
          <w:lang w:eastAsia="en-AU"/>
        </w:rPr>
      </w:pPr>
      <w:r>
        <w:rPr>
          <w:lang w:eastAsia="en-AU"/>
        </w:rPr>
        <w:t>(See also Agenda 11.4)</w:t>
      </w:r>
    </w:p>
    <w:p w14:paraId="4DDD6FCC" w14:textId="4AF69697" w:rsidR="0037789C" w:rsidRPr="009A0DA6" w:rsidRDefault="0037789C" w:rsidP="0037789C">
      <w:pPr>
        <w:pStyle w:val="NoSpacing"/>
      </w:pPr>
    </w:p>
    <w:p w14:paraId="2532955B" w14:textId="77777777" w:rsidR="004C6612" w:rsidRPr="009A0DA6" w:rsidRDefault="004C6612" w:rsidP="004C6612">
      <w:pPr>
        <w:pStyle w:val="Heading3"/>
        <w:rPr>
          <w:rFonts w:eastAsia="Times New Roman"/>
          <w:lang w:eastAsia="en-AU"/>
        </w:rPr>
      </w:pPr>
      <w:r w:rsidRPr="009A0DA6">
        <w:rPr>
          <w:rFonts w:eastAsia="Times New Roman"/>
          <w:lang w:eastAsia="en-AU"/>
        </w:rPr>
        <w:t>PROPOSED MOTION</w:t>
      </w:r>
    </w:p>
    <w:p w14:paraId="20988459" w14:textId="77777777" w:rsidR="004C6612" w:rsidRPr="009A0DA6" w:rsidRDefault="004C6612" w:rsidP="004C6612">
      <w:pPr>
        <w:shd w:val="clear" w:color="auto" w:fill="FFFFFF"/>
        <w:spacing w:after="120" w:line="22" w:lineRule="atLeast"/>
        <w:rPr>
          <w:rFonts w:ascii="Cambria" w:hAnsi="Cambria" w:cs="Arial"/>
          <w:i/>
          <w:shd w:val="clear" w:color="auto" w:fill="FFFFFF"/>
        </w:rPr>
      </w:pPr>
      <w:r w:rsidRPr="009A0DA6">
        <w:rPr>
          <w:rFonts w:ascii="Cambria" w:eastAsia="Times New Roman" w:hAnsi="Cambria" w:cs="Times New Roman"/>
          <w:bCs/>
          <w:i/>
          <w:lang w:eastAsia="en-AU"/>
        </w:rPr>
        <w:t>Submitted by General Church Council</w:t>
      </w:r>
    </w:p>
    <w:p w14:paraId="161A1E54" w14:textId="260B0D5B" w:rsidR="004C6612" w:rsidRPr="009A0DA6" w:rsidRDefault="004C6612" w:rsidP="004C6612">
      <w:pPr>
        <w:autoSpaceDE w:val="0"/>
        <w:autoSpaceDN w:val="0"/>
        <w:adjustRightInd w:val="0"/>
        <w:spacing w:after="0" w:line="240" w:lineRule="auto"/>
        <w:rPr>
          <w:rFonts w:ascii="Cambria" w:eastAsia="Times New Roman" w:hAnsi="Cambria" w:cs="Times New Roman"/>
          <w:bCs/>
          <w:color w:val="222222"/>
          <w:lang w:eastAsia="en-AU"/>
        </w:rPr>
      </w:pPr>
      <w:r w:rsidRPr="009A0DA6">
        <w:rPr>
          <w:rFonts w:ascii="Cambria" w:eastAsia="Times New Roman" w:hAnsi="Cambria" w:cs="Times New Roman"/>
          <w:b/>
          <w:bCs/>
          <w:color w:val="222222"/>
          <w:lang w:eastAsia="en-AU"/>
        </w:rPr>
        <w:t>BE IT RESOLVED</w:t>
      </w:r>
      <w:r w:rsidRPr="009A0DA6">
        <w:rPr>
          <w:rFonts w:ascii="Cambria" w:eastAsia="Times New Roman" w:hAnsi="Cambria" w:cs="Times New Roman"/>
          <w:bCs/>
          <w:color w:val="222222"/>
          <w:lang w:eastAsia="en-AU"/>
        </w:rPr>
        <w:t xml:space="preserve"> that the General Synod:</w:t>
      </w:r>
      <w:r w:rsidR="00516DCF" w:rsidRPr="009A0DA6">
        <w:rPr>
          <w:rFonts w:ascii="Cambria" w:eastAsia="Times New Roman" w:hAnsi="Cambria" w:cs="Times New Roman"/>
          <w:bCs/>
          <w:color w:val="222222"/>
          <w:lang w:eastAsia="en-AU"/>
        </w:rPr>
        <w:br/>
      </w:r>
    </w:p>
    <w:p w14:paraId="030A47BF" w14:textId="0BF2096F" w:rsidR="004C6612" w:rsidRPr="009A0DA6" w:rsidRDefault="004C6612" w:rsidP="00F55252">
      <w:pPr>
        <w:pStyle w:val="ListParagraph"/>
        <w:numPr>
          <w:ilvl w:val="0"/>
          <w:numId w:val="96"/>
        </w:numPr>
        <w:autoSpaceDE w:val="0"/>
        <w:autoSpaceDN w:val="0"/>
        <w:adjustRightInd w:val="0"/>
        <w:spacing w:after="0" w:line="240" w:lineRule="auto"/>
        <w:ind w:left="567" w:hanging="567"/>
        <w:rPr>
          <w:rFonts w:ascii="Cambria" w:eastAsia="Times New Roman" w:hAnsi="Cambria" w:cs="Times New Roman"/>
          <w:bCs/>
          <w:color w:val="222222"/>
          <w:lang w:eastAsia="en-AU"/>
        </w:rPr>
      </w:pPr>
      <w:r w:rsidRPr="009A0DA6">
        <w:rPr>
          <w:rFonts w:ascii="Cambria" w:eastAsia="Times New Roman" w:hAnsi="Cambria" w:cs="Times New Roman"/>
          <w:bCs/>
          <w:color w:val="222222"/>
          <w:lang w:eastAsia="en-AU"/>
        </w:rPr>
        <w:t xml:space="preserve">celebrates Lutheran education in its many forms across Australia, welcomes the mission and ministry opportunities that the LCA’s schools and early childhood centres provide, and commits the church to supporting on-going improvements in collaborative ministry, governance and relevant administration. </w:t>
      </w:r>
      <w:r w:rsidRPr="009A0DA6">
        <w:rPr>
          <w:rFonts w:ascii="Cambria" w:eastAsia="Times New Roman" w:hAnsi="Cambria" w:cs="Times New Roman"/>
          <w:bCs/>
          <w:color w:val="222222"/>
          <w:lang w:eastAsia="en-AU"/>
        </w:rPr>
        <w:br/>
      </w:r>
    </w:p>
    <w:p w14:paraId="3C6F2BF3" w14:textId="77777777" w:rsidR="004C6612" w:rsidRPr="009A0DA6" w:rsidRDefault="004C6612" w:rsidP="00F55252">
      <w:pPr>
        <w:pStyle w:val="ListParagraph"/>
        <w:numPr>
          <w:ilvl w:val="0"/>
          <w:numId w:val="96"/>
        </w:numPr>
        <w:autoSpaceDE w:val="0"/>
        <w:autoSpaceDN w:val="0"/>
        <w:adjustRightInd w:val="0"/>
        <w:spacing w:after="0" w:line="240" w:lineRule="auto"/>
        <w:ind w:left="567" w:hanging="567"/>
        <w:rPr>
          <w:rFonts w:ascii="Cambria" w:eastAsia="Times New Roman" w:hAnsi="Cambria" w:cs="Times New Roman"/>
          <w:bCs/>
          <w:color w:val="222222"/>
          <w:lang w:eastAsia="en-AU"/>
        </w:rPr>
      </w:pPr>
      <w:r w:rsidRPr="009A0DA6">
        <w:rPr>
          <w:rFonts w:ascii="Cambria" w:eastAsia="Times New Roman" w:hAnsi="Cambria" w:cs="Times New Roman"/>
          <w:bCs/>
          <w:color w:val="222222"/>
          <w:lang w:eastAsia="en-AU"/>
        </w:rPr>
        <w:t>acknowledges and affirms:</w:t>
      </w:r>
    </w:p>
    <w:p w14:paraId="0FF5E0A6" w14:textId="77777777" w:rsidR="004C6612" w:rsidRPr="009A0DA6" w:rsidRDefault="004C6612" w:rsidP="00F55252">
      <w:pPr>
        <w:numPr>
          <w:ilvl w:val="0"/>
          <w:numId w:val="97"/>
        </w:numPr>
        <w:tabs>
          <w:tab w:val="clear" w:pos="1440"/>
          <w:tab w:val="num" w:pos="1134"/>
        </w:tabs>
        <w:autoSpaceDE w:val="0"/>
        <w:autoSpaceDN w:val="0"/>
        <w:adjustRightInd w:val="0"/>
        <w:spacing w:after="0" w:line="240" w:lineRule="auto"/>
        <w:ind w:left="1134" w:hanging="567"/>
        <w:rPr>
          <w:rFonts w:ascii="Cambria" w:eastAsia="Times New Roman" w:hAnsi="Cambria" w:cs="Times New Roman"/>
          <w:bCs/>
          <w:color w:val="222222"/>
          <w:lang w:eastAsia="en-AU"/>
        </w:rPr>
      </w:pPr>
      <w:r w:rsidRPr="009A0DA6">
        <w:rPr>
          <w:rFonts w:ascii="Cambria" w:eastAsia="Times New Roman" w:hAnsi="Cambria" w:cs="Times New Roman"/>
          <w:bCs/>
          <w:color w:val="222222"/>
          <w:lang w:eastAsia="en-AU"/>
        </w:rPr>
        <w:t>the strong commitment of the Lutheran education sector as a whole to mission and ministry through the LCA’s schools, teachers, staff and leaders;</w:t>
      </w:r>
    </w:p>
    <w:p w14:paraId="66B802D7" w14:textId="77777777" w:rsidR="004C6612" w:rsidRPr="009A0DA6" w:rsidRDefault="004C6612" w:rsidP="00F55252">
      <w:pPr>
        <w:numPr>
          <w:ilvl w:val="0"/>
          <w:numId w:val="97"/>
        </w:numPr>
        <w:tabs>
          <w:tab w:val="clear" w:pos="1440"/>
          <w:tab w:val="num" w:pos="1134"/>
        </w:tabs>
        <w:autoSpaceDE w:val="0"/>
        <w:autoSpaceDN w:val="0"/>
        <w:adjustRightInd w:val="0"/>
        <w:spacing w:after="0" w:line="240" w:lineRule="auto"/>
        <w:ind w:left="1134" w:hanging="567"/>
        <w:rPr>
          <w:rFonts w:ascii="Cambria" w:eastAsia="Times New Roman" w:hAnsi="Cambria" w:cs="Times New Roman"/>
          <w:bCs/>
          <w:color w:val="222222"/>
          <w:lang w:eastAsia="en-AU"/>
        </w:rPr>
      </w:pPr>
      <w:r w:rsidRPr="009A0DA6">
        <w:rPr>
          <w:rFonts w:ascii="Cambria" w:eastAsia="Times New Roman" w:hAnsi="Cambria" w:cs="Times New Roman"/>
          <w:bCs/>
          <w:color w:val="222222"/>
          <w:lang w:eastAsia="en-AU"/>
        </w:rPr>
        <w:t>the strong commitment of the Lutheran education sector as a whole to upholding and growing Lutheran identity and culture through a Gospel-centred focus on the education and development of young people;</w:t>
      </w:r>
    </w:p>
    <w:p w14:paraId="3C51D756" w14:textId="40D28866" w:rsidR="004C6612" w:rsidRPr="009A0DA6" w:rsidRDefault="004C6612" w:rsidP="00F55252">
      <w:pPr>
        <w:numPr>
          <w:ilvl w:val="0"/>
          <w:numId w:val="97"/>
        </w:numPr>
        <w:tabs>
          <w:tab w:val="clear" w:pos="1440"/>
          <w:tab w:val="num" w:pos="1134"/>
        </w:tabs>
        <w:autoSpaceDE w:val="0"/>
        <w:autoSpaceDN w:val="0"/>
        <w:adjustRightInd w:val="0"/>
        <w:spacing w:after="0" w:line="240" w:lineRule="auto"/>
        <w:ind w:left="1134" w:hanging="567"/>
        <w:rPr>
          <w:rFonts w:ascii="Cambria" w:eastAsia="Times New Roman" w:hAnsi="Cambria" w:cs="Times New Roman"/>
          <w:bCs/>
          <w:color w:val="222222"/>
          <w:lang w:eastAsia="en-AU"/>
        </w:rPr>
      </w:pPr>
      <w:r w:rsidRPr="009A0DA6">
        <w:rPr>
          <w:rFonts w:ascii="Cambria" w:eastAsia="Times New Roman" w:hAnsi="Cambria" w:cs="Times New Roman"/>
          <w:bCs/>
          <w:color w:val="222222"/>
          <w:lang w:eastAsia="en-AU"/>
        </w:rPr>
        <w:t xml:space="preserve">the commitment of the Lutheran education sector as a whole to a vibrant, sustainable Lutheran education sector into the future, underpinned by strong relationships and a desire to work together for shared goals and outcomes. </w:t>
      </w:r>
      <w:r w:rsidRPr="009A0DA6">
        <w:rPr>
          <w:rFonts w:ascii="Cambria" w:eastAsia="Times New Roman" w:hAnsi="Cambria" w:cs="Times New Roman"/>
          <w:bCs/>
          <w:color w:val="222222"/>
          <w:lang w:eastAsia="en-AU"/>
        </w:rPr>
        <w:br/>
      </w:r>
    </w:p>
    <w:p w14:paraId="2ABEC0EE" w14:textId="67C789B1" w:rsidR="004C6612" w:rsidRPr="009A0DA6" w:rsidRDefault="004C6612" w:rsidP="00F55252">
      <w:pPr>
        <w:pStyle w:val="ListParagraph"/>
        <w:numPr>
          <w:ilvl w:val="0"/>
          <w:numId w:val="96"/>
        </w:numPr>
        <w:autoSpaceDE w:val="0"/>
        <w:autoSpaceDN w:val="0"/>
        <w:adjustRightInd w:val="0"/>
        <w:spacing w:after="0" w:line="240" w:lineRule="auto"/>
        <w:ind w:left="567" w:hanging="567"/>
        <w:rPr>
          <w:rFonts w:ascii="Cambria" w:eastAsia="Times New Roman" w:hAnsi="Cambria" w:cs="Times New Roman"/>
          <w:bCs/>
          <w:color w:val="222222"/>
          <w:lang w:eastAsia="en-AU"/>
        </w:rPr>
      </w:pPr>
      <w:r w:rsidRPr="009A0DA6">
        <w:rPr>
          <w:rFonts w:ascii="Cambria" w:eastAsia="Times New Roman" w:hAnsi="Cambria" w:cs="Times New Roman"/>
          <w:bCs/>
          <w:color w:val="222222"/>
          <w:lang w:eastAsia="en-AU"/>
        </w:rPr>
        <w:lastRenderedPageBreak/>
        <w:t xml:space="preserve">directs GCC and BLEA to develop and resource action plans to support the collaborative engagement of schools, congregations, districts and the LCA in mission and ministry. </w:t>
      </w:r>
      <w:r w:rsidRPr="009A0DA6">
        <w:rPr>
          <w:rFonts w:ascii="Cambria" w:eastAsia="Times New Roman" w:hAnsi="Cambria" w:cs="Times New Roman"/>
          <w:bCs/>
          <w:color w:val="222222"/>
          <w:lang w:eastAsia="en-AU"/>
        </w:rPr>
        <w:br/>
      </w:r>
    </w:p>
    <w:p w14:paraId="72FC3742" w14:textId="6838EB00" w:rsidR="004C6612" w:rsidRPr="009A0DA6" w:rsidRDefault="004C6612" w:rsidP="00F55252">
      <w:pPr>
        <w:pStyle w:val="ListParagraph"/>
        <w:numPr>
          <w:ilvl w:val="0"/>
          <w:numId w:val="96"/>
        </w:numPr>
        <w:autoSpaceDE w:val="0"/>
        <w:autoSpaceDN w:val="0"/>
        <w:adjustRightInd w:val="0"/>
        <w:spacing w:after="0" w:line="240" w:lineRule="auto"/>
        <w:ind w:left="567" w:hanging="567"/>
        <w:rPr>
          <w:rFonts w:ascii="Cambria" w:eastAsia="Times New Roman" w:hAnsi="Cambria" w:cs="Times New Roman"/>
          <w:bCs/>
          <w:color w:val="222222"/>
          <w:lang w:eastAsia="en-AU"/>
        </w:rPr>
      </w:pPr>
      <w:r w:rsidRPr="009A0DA6">
        <w:rPr>
          <w:rFonts w:ascii="Cambria" w:eastAsia="Times New Roman" w:hAnsi="Cambria" w:cs="Times New Roman"/>
          <w:bCs/>
          <w:color w:val="222222"/>
          <w:lang w:eastAsia="en-AU"/>
        </w:rPr>
        <w:t xml:space="preserve">affirms that Lutheran Education Australia (LEA) becomes the system authority for Commonwealth government funding, as the authorised body for the distribution of Commonwealth funds in collaboration with the three regions, within the </w:t>
      </w:r>
      <w:r w:rsidR="00C67D2A" w:rsidRPr="009A0DA6">
        <w:rPr>
          <w:rFonts w:ascii="Cambria" w:eastAsia="Times New Roman" w:hAnsi="Cambria" w:cs="Times New Roman"/>
          <w:bCs/>
          <w:color w:val="222222"/>
          <w:lang w:eastAsia="en-AU"/>
        </w:rPr>
        <w:t>synodical</w:t>
      </w:r>
      <w:r w:rsidRPr="009A0DA6">
        <w:rPr>
          <w:rFonts w:ascii="Cambria" w:eastAsia="Times New Roman" w:hAnsi="Cambria" w:cs="Times New Roman"/>
          <w:bCs/>
          <w:color w:val="222222"/>
          <w:lang w:eastAsia="en-AU"/>
        </w:rPr>
        <w:t xml:space="preserve"> period ending 2021. </w:t>
      </w:r>
      <w:r w:rsidR="000759D1" w:rsidRPr="009A0DA6">
        <w:rPr>
          <w:rFonts w:ascii="Cambria" w:eastAsia="Times New Roman" w:hAnsi="Cambria" w:cs="Times New Roman"/>
          <w:bCs/>
          <w:color w:val="222222"/>
          <w:lang w:eastAsia="en-AU"/>
        </w:rPr>
        <w:br/>
      </w:r>
    </w:p>
    <w:p w14:paraId="50E0E626" w14:textId="58800D6C" w:rsidR="004C6612" w:rsidRPr="009A0DA6" w:rsidRDefault="004C6612" w:rsidP="00F55252">
      <w:pPr>
        <w:pStyle w:val="ListParagraph"/>
        <w:numPr>
          <w:ilvl w:val="0"/>
          <w:numId w:val="96"/>
        </w:numPr>
        <w:autoSpaceDE w:val="0"/>
        <w:autoSpaceDN w:val="0"/>
        <w:adjustRightInd w:val="0"/>
        <w:spacing w:after="0" w:line="240" w:lineRule="auto"/>
        <w:ind w:left="567" w:hanging="567"/>
        <w:rPr>
          <w:rFonts w:ascii="Cambria" w:eastAsia="Times New Roman" w:hAnsi="Cambria" w:cs="Times New Roman"/>
          <w:bCs/>
          <w:color w:val="222222"/>
          <w:lang w:eastAsia="en-AU"/>
        </w:rPr>
      </w:pPr>
      <w:r w:rsidRPr="009A0DA6">
        <w:rPr>
          <w:rFonts w:ascii="Cambria" w:eastAsia="Times New Roman" w:hAnsi="Cambria" w:cs="Times New Roman"/>
          <w:bCs/>
          <w:color w:val="222222"/>
          <w:lang w:eastAsia="en-AU"/>
        </w:rPr>
        <w:t>affirms the governance authority of the BLEA in the following five key areas of responsibility, and commits to enabling the BLEA to enact its authority and develop strategic direction for the whole Lutheran education body by working collaboratively with each of the education regions:</w:t>
      </w:r>
    </w:p>
    <w:p w14:paraId="5EEA0D5B" w14:textId="77777777" w:rsidR="004C6612" w:rsidRPr="009A0DA6" w:rsidRDefault="004C6612" w:rsidP="00F55252">
      <w:pPr>
        <w:numPr>
          <w:ilvl w:val="0"/>
          <w:numId w:val="98"/>
        </w:numPr>
        <w:tabs>
          <w:tab w:val="clear" w:pos="1440"/>
          <w:tab w:val="num" w:pos="1134"/>
        </w:tabs>
        <w:autoSpaceDE w:val="0"/>
        <w:autoSpaceDN w:val="0"/>
        <w:adjustRightInd w:val="0"/>
        <w:spacing w:after="0" w:line="240" w:lineRule="auto"/>
        <w:ind w:left="1134" w:hanging="567"/>
        <w:rPr>
          <w:rFonts w:ascii="Cambria" w:eastAsia="Times New Roman" w:hAnsi="Cambria" w:cs="Times New Roman"/>
          <w:bCs/>
          <w:color w:val="222222"/>
          <w:lang w:eastAsia="en-AU"/>
        </w:rPr>
      </w:pPr>
      <w:r w:rsidRPr="009A0DA6">
        <w:rPr>
          <w:rFonts w:ascii="Cambria" w:eastAsia="Times New Roman" w:hAnsi="Cambria" w:cs="Times New Roman"/>
          <w:bCs/>
          <w:color w:val="222222"/>
          <w:lang w:eastAsia="en-AU"/>
        </w:rPr>
        <w:t>setting strategic direction and policy for Lutheran education;</w:t>
      </w:r>
    </w:p>
    <w:p w14:paraId="540F35D2" w14:textId="77777777" w:rsidR="004C6612" w:rsidRPr="009A0DA6" w:rsidRDefault="004C6612" w:rsidP="00F55252">
      <w:pPr>
        <w:numPr>
          <w:ilvl w:val="0"/>
          <w:numId w:val="98"/>
        </w:numPr>
        <w:tabs>
          <w:tab w:val="clear" w:pos="1440"/>
          <w:tab w:val="num" w:pos="1134"/>
        </w:tabs>
        <w:autoSpaceDE w:val="0"/>
        <w:autoSpaceDN w:val="0"/>
        <w:adjustRightInd w:val="0"/>
        <w:spacing w:after="0" w:line="240" w:lineRule="auto"/>
        <w:ind w:left="1134" w:hanging="567"/>
        <w:rPr>
          <w:rFonts w:ascii="Cambria" w:eastAsia="Times New Roman" w:hAnsi="Cambria" w:cs="Times New Roman"/>
          <w:bCs/>
          <w:color w:val="222222"/>
          <w:lang w:eastAsia="en-AU"/>
        </w:rPr>
      </w:pPr>
      <w:r w:rsidRPr="009A0DA6">
        <w:rPr>
          <w:rFonts w:ascii="Cambria" w:eastAsia="Times New Roman" w:hAnsi="Cambria" w:cs="Times New Roman"/>
          <w:bCs/>
          <w:color w:val="222222"/>
          <w:lang w:eastAsia="en-AU"/>
        </w:rPr>
        <w:t>strengthening Lutheran identity;</w:t>
      </w:r>
    </w:p>
    <w:p w14:paraId="6690AA5B" w14:textId="77777777" w:rsidR="004C6612" w:rsidRPr="009A0DA6" w:rsidRDefault="004C6612" w:rsidP="00F55252">
      <w:pPr>
        <w:numPr>
          <w:ilvl w:val="0"/>
          <w:numId w:val="98"/>
        </w:numPr>
        <w:tabs>
          <w:tab w:val="clear" w:pos="1440"/>
          <w:tab w:val="num" w:pos="1134"/>
        </w:tabs>
        <w:autoSpaceDE w:val="0"/>
        <w:autoSpaceDN w:val="0"/>
        <w:adjustRightInd w:val="0"/>
        <w:spacing w:after="0" w:line="240" w:lineRule="auto"/>
        <w:ind w:left="1134" w:hanging="567"/>
        <w:rPr>
          <w:rFonts w:ascii="Cambria" w:eastAsia="Times New Roman" w:hAnsi="Cambria" w:cs="Times New Roman"/>
          <w:bCs/>
          <w:color w:val="222222"/>
          <w:lang w:eastAsia="en-AU"/>
        </w:rPr>
      </w:pPr>
      <w:r w:rsidRPr="009A0DA6">
        <w:rPr>
          <w:rFonts w:ascii="Cambria" w:eastAsia="Times New Roman" w:hAnsi="Cambria" w:cs="Times New Roman"/>
          <w:bCs/>
          <w:color w:val="222222"/>
          <w:lang w:eastAsia="en-AU"/>
        </w:rPr>
        <w:t>risk oversight (legal, financial and reputational, including engaging with the Commonwealth government and, in collaboration with the districts, approval of school opening and closure);</w:t>
      </w:r>
    </w:p>
    <w:p w14:paraId="56E44291" w14:textId="77777777" w:rsidR="004C6612" w:rsidRPr="009A0DA6" w:rsidRDefault="004C6612" w:rsidP="00F55252">
      <w:pPr>
        <w:numPr>
          <w:ilvl w:val="0"/>
          <w:numId w:val="98"/>
        </w:numPr>
        <w:tabs>
          <w:tab w:val="clear" w:pos="1440"/>
          <w:tab w:val="num" w:pos="1134"/>
        </w:tabs>
        <w:autoSpaceDE w:val="0"/>
        <w:autoSpaceDN w:val="0"/>
        <w:adjustRightInd w:val="0"/>
        <w:spacing w:after="0" w:line="240" w:lineRule="auto"/>
        <w:ind w:left="1134" w:hanging="567"/>
        <w:rPr>
          <w:rFonts w:ascii="Cambria" w:eastAsia="Times New Roman" w:hAnsi="Cambria" w:cs="Times New Roman"/>
          <w:bCs/>
          <w:color w:val="222222"/>
          <w:lang w:eastAsia="en-AU"/>
        </w:rPr>
      </w:pPr>
      <w:r w:rsidRPr="009A0DA6">
        <w:rPr>
          <w:rFonts w:ascii="Cambria" w:eastAsia="Times New Roman" w:hAnsi="Cambria" w:cs="Times New Roman"/>
          <w:bCs/>
          <w:color w:val="222222"/>
          <w:lang w:eastAsia="en-AU"/>
        </w:rPr>
        <w:t>formation, leadership succession and development;</w:t>
      </w:r>
    </w:p>
    <w:p w14:paraId="0DDAA8E5" w14:textId="02B4CA4A" w:rsidR="004C6612" w:rsidRPr="009A0DA6" w:rsidRDefault="004C6612" w:rsidP="00F55252">
      <w:pPr>
        <w:numPr>
          <w:ilvl w:val="0"/>
          <w:numId w:val="98"/>
        </w:numPr>
        <w:tabs>
          <w:tab w:val="clear" w:pos="1440"/>
          <w:tab w:val="num" w:pos="1134"/>
        </w:tabs>
        <w:autoSpaceDE w:val="0"/>
        <w:autoSpaceDN w:val="0"/>
        <w:adjustRightInd w:val="0"/>
        <w:spacing w:after="0" w:line="240" w:lineRule="auto"/>
        <w:ind w:left="1134" w:hanging="567"/>
        <w:rPr>
          <w:rFonts w:ascii="Cambria" w:eastAsia="Times New Roman" w:hAnsi="Cambria" w:cs="Times New Roman"/>
          <w:bCs/>
          <w:color w:val="222222"/>
          <w:lang w:eastAsia="en-AU"/>
        </w:rPr>
      </w:pPr>
      <w:r w:rsidRPr="009A0DA6">
        <w:rPr>
          <w:rFonts w:ascii="Cambria" w:eastAsia="Times New Roman" w:hAnsi="Cambria" w:cs="Times New Roman"/>
          <w:bCs/>
          <w:color w:val="222222"/>
          <w:lang w:eastAsia="en-AU"/>
        </w:rPr>
        <w:t>culture (including facilitating and driving greater collaboration across the Lutheran education body)</w:t>
      </w:r>
      <w:r w:rsidRPr="009A0DA6">
        <w:rPr>
          <w:rFonts w:ascii="Cambria" w:eastAsia="Times New Roman" w:hAnsi="Cambria" w:cs="Times New Roman"/>
          <w:bCs/>
          <w:color w:val="222222"/>
          <w:lang w:eastAsia="en-AU"/>
        </w:rPr>
        <w:br/>
      </w:r>
    </w:p>
    <w:p w14:paraId="188E021B" w14:textId="6CC133B3" w:rsidR="004C6612" w:rsidRPr="009A0DA6" w:rsidRDefault="004C6612" w:rsidP="00F55252">
      <w:pPr>
        <w:pStyle w:val="ListParagraph"/>
        <w:numPr>
          <w:ilvl w:val="0"/>
          <w:numId w:val="96"/>
        </w:numPr>
        <w:autoSpaceDE w:val="0"/>
        <w:autoSpaceDN w:val="0"/>
        <w:adjustRightInd w:val="0"/>
        <w:spacing w:after="0" w:line="240" w:lineRule="auto"/>
        <w:ind w:left="567" w:hanging="567"/>
        <w:rPr>
          <w:rFonts w:ascii="Cambria" w:eastAsia="Times New Roman" w:hAnsi="Cambria" w:cs="Times New Roman"/>
          <w:bCs/>
          <w:color w:val="222222"/>
          <w:lang w:eastAsia="en-AU"/>
        </w:rPr>
      </w:pPr>
      <w:r w:rsidRPr="009A0DA6">
        <w:rPr>
          <w:rFonts w:ascii="Cambria" w:eastAsia="Times New Roman" w:hAnsi="Cambria" w:cs="Times New Roman"/>
          <w:bCs/>
          <w:color w:val="222222"/>
          <w:lang w:eastAsia="en-AU"/>
        </w:rPr>
        <w:t>affirms the role of education regions as part of the national Lutheran education body and requests GCC and BLEA to work with the districts and the education regions to define the scope of the entities within the Lutheran education body and set the relevant boundaries by clarifying governance and management accountabilities and responsibilities at regional and local levels. This includes developing relevant reporting arrangements and enabling a greater governance focus on mission and ministry through schools and ECC’s.</w:t>
      </w:r>
      <w:r w:rsidRPr="009A0DA6">
        <w:rPr>
          <w:rFonts w:ascii="Cambria" w:eastAsia="Times New Roman" w:hAnsi="Cambria" w:cs="Times New Roman"/>
          <w:bCs/>
          <w:color w:val="222222"/>
          <w:lang w:eastAsia="en-AU"/>
        </w:rPr>
        <w:br/>
      </w:r>
    </w:p>
    <w:p w14:paraId="1AF38008" w14:textId="410149C9" w:rsidR="004C6612" w:rsidRPr="009A0DA6" w:rsidRDefault="004C6612" w:rsidP="00F55252">
      <w:pPr>
        <w:pStyle w:val="ListParagraph"/>
        <w:numPr>
          <w:ilvl w:val="0"/>
          <w:numId w:val="96"/>
        </w:numPr>
        <w:autoSpaceDE w:val="0"/>
        <w:autoSpaceDN w:val="0"/>
        <w:adjustRightInd w:val="0"/>
        <w:spacing w:after="0" w:line="240" w:lineRule="auto"/>
        <w:ind w:left="567" w:hanging="567"/>
        <w:rPr>
          <w:rFonts w:ascii="Cambria" w:eastAsia="Times New Roman" w:hAnsi="Cambria" w:cs="Times New Roman"/>
          <w:bCs/>
          <w:color w:val="222222"/>
          <w:lang w:eastAsia="en-AU"/>
        </w:rPr>
      </w:pPr>
      <w:r w:rsidRPr="009A0DA6">
        <w:rPr>
          <w:rFonts w:ascii="Cambria" w:eastAsia="Times New Roman" w:hAnsi="Cambria" w:cs="Times New Roman"/>
          <w:bCs/>
          <w:color w:val="222222"/>
          <w:lang w:eastAsia="en-AU"/>
        </w:rPr>
        <w:t>requires regional and national governing boards to be aligned to comply with LCA policy about being skills-based and to ensure appropriate separation between governance and management (</w:t>
      </w:r>
      <w:r w:rsidR="00C3381F" w:rsidRPr="009A0DA6">
        <w:rPr>
          <w:rFonts w:ascii="Cambria" w:eastAsia="Times New Roman" w:hAnsi="Cambria" w:cs="Times New Roman"/>
          <w:bCs/>
          <w:color w:val="222222"/>
          <w:lang w:eastAsia="en-AU"/>
        </w:rPr>
        <w:t>eg</w:t>
      </w:r>
      <w:r w:rsidRPr="009A0DA6">
        <w:rPr>
          <w:rFonts w:ascii="Cambria" w:eastAsia="Times New Roman" w:hAnsi="Cambria" w:cs="Times New Roman"/>
          <w:bCs/>
          <w:color w:val="222222"/>
          <w:lang w:eastAsia="en-AU"/>
        </w:rPr>
        <w:t xml:space="preserve"> employees of the system are not board members but may be consultants)</w:t>
      </w:r>
      <w:r w:rsidR="0027799A" w:rsidRPr="009A0DA6">
        <w:rPr>
          <w:rFonts w:ascii="Cambria" w:eastAsia="Times New Roman" w:hAnsi="Cambria" w:cs="Times New Roman"/>
          <w:bCs/>
          <w:color w:val="222222"/>
          <w:lang w:eastAsia="en-AU"/>
        </w:rPr>
        <w:t xml:space="preserve">. </w:t>
      </w:r>
      <w:r w:rsidRPr="009A0DA6">
        <w:rPr>
          <w:rFonts w:ascii="Cambria" w:eastAsia="Times New Roman" w:hAnsi="Cambria" w:cs="Times New Roman"/>
          <w:bCs/>
          <w:i/>
          <w:color w:val="222222"/>
          <w:lang w:eastAsia="en-AU"/>
        </w:rPr>
        <w:br/>
      </w:r>
    </w:p>
    <w:p w14:paraId="0A836B8E" w14:textId="72D8ED78" w:rsidR="004C6612" w:rsidRPr="009A0DA6" w:rsidRDefault="004C6612" w:rsidP="00F55252">
      <w:pPr>
        <w:pStyle w:val="ListParagraph"/>
        <w:numPr>
          <w:ilvl w:val="0"/>
          <w:numId w:val="96"/>
        </w:numPr>
        <w:autoSpaceDE w:val="0"/>
        <w:autoSpaceDN w:val="0"/>
        <w:adjustRightInd w:val="0"/>
        <w:spacing w:after="0" w:line="240" w:lineRule="auto"/>
        <w:ind w:left="567" w:hanging="567"/>
        <w:rPr>
          <w:rFonts w:ascii="Cambria" w:eastAsia="Times New Roman" w:hAnsi="Cambria" w:cs="Times New Roman"/>
          <w:bCs/>
          <w:color w:val="222222"/>
          <w:lang w:eastAsia="en-AU"/>
        </w:rPr>
      </w:pPr>
      <w:r w:rsidRPr="009A0DA6">
        <w:rPr>
          <w:rFonts w:ascii="Cambria" w:eastAsia="Times New Roman" w:hAnsi="Cambria" w:cs="Times New Roman"/>
          <w:bCs/>
          <w:color w:val="222222"/>
          <w:lang w:eastAsia="en-AU"/>
        </w:rPr>
        <w:t xml:space="preserve">affirms that flexibility be provided for local school governing bodies to allow for increased participation by non-Lutheran members, whilst maintaining a majority of Lutheran members, and allowing for a model where a governing body may have oversight over more than one school. </w:t>
      </w:r>
      <w:r w:rsidRPr="009A0DA6">
        <w:rPr>
          <w:rFonts w:ascii="Cambria" w:eastAsia="Times New Roman" w:hAnsi="Cambria" w:cs="Times New Roman"/>
          <w:bCs/>
          <w:color w:val="222222"/>
          <w:lang w:eastAsia="en-AU"/>
        </w:rPr>
        <w:br/>
      </w:r>
    </w:p>
    <w:p w14:paraId="6EC1E659" w14:textId="071B0571" w:rsidR="004C6612" w:rsidRPr="009A0DA6" w:rsidRDefault="004C6612" w:rsidP="00F55252">
      <w:pPr>
        <w:pStyle w:val="ListParagraph"/>
        <w:numPr>
          <w:ilvl w:val="0"/>
          <w:numId w:val="96"/>
        </w:numPr>
        <w:autoSpaceDE w:val="0"/>
        <w:autoSpaceDN w:val="0"/>
        <w:adjustRightInd w:val="0"/>
        <w:spacing w:after="0" w:line="240" w:lineRule="auto"/>
        <w:ind w:left="567" w:hanging="567"/>
        <w:rPr>
          <w:rFonts w:ascii="Cambria" w:eastAsia="Times New Roman" w:hAnsi="Cambria" w:cs="Times New Roman"/>
          <w:bCs/>
          <w:color w:val="222222"/>
          <w:lang w:eastAsia="en-AU"/>
        </w:rPr>
      </w:pPr>
      <w:r w:rsidRPr="009A0DA6">
        <w:rPr>
          <w:rFonts w:ascii="Cambria" w:eastAsia="Times New Roman" w:hAnsi="Cambria" w:cs="Times New Roman"/>
          <w:bCs/>
          <w:color w:val="222222"/>
          <w:lang w:eastAsia="en-AU"/>
        </w:rPr>
        <w:t xml:space="preserve">directs GCC and other relevant bodies to determine a streamlined loans approval and guarantee process. </w:t>
      </w:r>
      <w:r w:rsidRPr="009A0DA6">
        <w:rPr>
          <w:rFonts w:ascii="Cambria" w:eastAsia="Times New Roman" w:hAnsi="Cambria" w:cs="Times New Roman"/>
          <w:bCs/>
          <w:color w:val="222222"/>
          <w:lang w:eastAsia="en-AU"/>
        </w:rPr>
        <w:br/>
      </w:r>
      <w:r w:rsidRPr="009A0DA6">
        <w:rPr>
          <w:rFonts w:ascii="Cambria" w:eastAsia="Times New Roman" w:hAnsi="Cambria" w:cs="Times New Roman"/>
          <w:bCs/>
          <w:i/>
          <w:color w:val="222222"/>
          <w:lang w:eastAsia="en-AU"/>
        </w:rPr>
        <w:t xml:space="preserve"> </w:t>
      </w:r>
    </w:p>
    <w:p w14:paraId="1FAED447" w14:textId="06866D78" w:rsidR="004C6612" w:rsidRPr="009A0DA6" w:rsidRDefault="004C6612" w:rsidP="00F55252">
      <w:pPr>
        <w:pStyle w:val="ListParagraph"/>
        <w:numPr>
          <w:ilvl w:val="0"/>
          <w:numId w:val="96"/>
        </w:numPr>
        <w:autoSpaceDE w:val="0"/>
        <w:autoSpaceDN w:val="0"/>
        <w:adjustRightInd w:val="0"/>
        <w:spacing w:after="0" w:line="240" w:lineRule="auto"/>
        <w:ind w:left="567" w:hanging="567"/>
        <w:rPr>
          <w:rFonts w:ascii="Cambria" w:eastAsia="Times New Roman" w:hAnsi="Cambria" w:cs="Times New Roman"/>
          <w:bCs/>
          <w:color w:val="222222"/>
          <w:lang w:eastAsia="en-AU"/>
        </w:rPr>
      </w:pPr>
      <w:r w:rsidRPr="009A0DA6">
        <w:rPr>
          <w:rFonts w:ascii="Cambria" w:eastAsia="Times New Roman" w:hAnsi="Cambria" w:cs="Times New Roman"/>
          <w:bCs/>
          <w:color w:val="222222"/>
          <w:lang w:eastAsia="en-AU"/>
        </w:rPr>
        <w:t>directs the GCC to ensure all relevant LCA Constitutions are re-written to enable the agreed changes in structure to be addressed</w:t>
      </w:r>
      <w:r w:rsidR="0027799A" w:rsidRPr="009A0DA6">
        <w:rPr>
          <w:rFonts w:ascii="Cambria" w:eastAsia="Times New Roman" w:hAnsi="Cambria" w:cs="Times New Roman"/>
          <w:bCs/>
          <w:color w:val="222222"/>
          <w:lang w:eastAsia="en-AU"/>
        </w:rPr>
        <w:t xml:space="preserve">. </w:t>
      </w:r>
      <w:r w:rsidRPr="009A0DA6">
        <w:rPr>
          <w:rFonts w:ascii="Cambria" w:eastAsia="Times New Roman" w:hAnsi="Cambria" w:cs="Times New Roman"/>
          <w:bCs/>
          <w:color w:val="222222"/>
          <w:lang w:eastAsia="en-AU"/>
        </w:rPr>
        <w:br/>
      </w:r>
    </w:p>
    <w:p w14:paraId="111269A8" w14:textId="48DA49BD" w:rsidR="004C6612" w:rsidRPr="009A0DA6" w:rsidRDefault="004C6612" w:rsidP="00F55252">
      <w:pPr>
        <w:pStyle w:val="ListParagraph"/>
        <w:numPr>
          <w:ilvl w:val="0"/>
          <w:numId w:val="96"/>
        </w:numPr>
        <w:autoSpaceDE w:val="0"/>
        <w:autoSpaceDN w:val="0"/>
        <w:adjustRightInd w:val="0"/>
        <w:spacing w:after="0" w:line="240" w:lineRule="auto"/>
        <w:ind w:left="567" w:hanging="567"/>
        <w:rPr>
          <w:rFonts w:ascii="Cambria" w:eastAsia="Times New Roman" w:hAnsi="Cambria" w:cs="Times New Roman"/>
          <w:bCs/>
          <w:color w:val="222222"/>
          <w:lang w:eastAsia="en-AU"/>
        </w:rPr>
      </w:pPr>
      <w:r w:rsidRPr="009A0DA6">
        <w:rPr>
          <w:rFonts w:ascii="Cambria" w:eastAsia="Times New Roman" w:hAnsi="Cambria" w:cs="Times New Roman"/>
          <w:bCs/>
          <w:color w:val="222222"/>
          <w:lang w:eastAsia="en-AU"/>
        </w:rPr>
        <w:t>requires that regular reports on progress of the above recommended actions be submitted to GCC</w:t>
      </w:r>
      <w:r w:rsidR="000A5F86">
        <w:rPr>
          <w:rFonts w:ascii="Cambria" w:eastAsia="Times New Roman" w:hAnsi="Cambria" w:cs="Times New Roman"/>
          <w:bCs/>
          <w:color w:val="222222"/>
          <w:lang w:eastAsia="en-AU"/>
        </w:rPr>
        <w:t xml:space="preserve"> by all relevant stakeholders/</w:t>
      </w:r>
      <w:r w:rsidRPr="009A0DA6">
        <w:rPr>
          <w:rFonts w:ascii="Cambria" w:eastAsia="Times New Roman" w:hAnsi="Cambria" w:cs="Times New Roman"/>
          <w:bCs/>
          <w:color w:val="222222"/>
          <w:lang w:eastAsia="en-AU"/>
        </w:rPr>
        <w:t xml:space="preserve">parties. </w:t>
      </w:r>
      <w:r w:rsidRPr="009A0DA6">
        <w:rPr>
          <w:rFonts w:ascii="Cambria" w:eastAsia="Times New Roman" w:hAnsi="Cambria" w:cs="Times New Roman"/>
          <w:bCs/>
          <w:color w:val="222222"/>
          <w:lang w:eastAsia="en-AU"/>
        </w:rPr>
        <w:br/>
      </w:r>
    </w:p>
    <w:p w14:paraId="341CB0F5" w14:textId="77777777" w:rsidR="00D07614" w:rsidRDefault="00D07614">
      <w:pPr>
        <w:rPr>
          <w:rFonts w:ascii="Cambria" w:eastAsia="Times New Roman" w:hAnsi="Cambria" w:cstheme="majorBidi"/>
          <w:b/>
          <w:caps/>
          <w:sz w:val="28"/>
          <w:szCs w:val="24"/>
          <w:lang w:eastAsia="en-AU"/>
        </w:rPr>
      </w:pPr>
      <w:r>
        <w:rPr>
          <w:rFonts w:eastAsia="Times New Roman"/>
          <w:lang w:eastAsia="en-AU"/>
        </w:rPr>
        <w:br w:type="page"/>
      </w:r>
    </w:p>
    <w:p w14:paraId="0A6C1EE9" w14:textId="5F14981E" w:rsidR="004C6612" w:rsidRPr="009A0DA6" w:rsidRDefault="00FB59B1" w:rsidP="000759D1">
      <w:pPr>
        <w:pStyle w:val="Heading3"/>
      </w:pPr>
      <w:r w:rsidRPr="009A0DA6">
        <w:rPr>
          <w:rFonts w:eastAsia="Times New Roman"/>
          <w:lang w:eastAsia="en-AU"/>
        </w:rPr>
        <w:lastRenderedPageBreak/>
        <w:t>REASONS FOR THE MOTION</w:t>
      </w:r>
    </w:p>
    <w:p w14:paraId="70EA920E" w14:textId="2B70DC58" w:rsidR="004C6612" w:rsidRPr="009A0DA6" w:rsidRDefault="004C6612" w:rsidP="004C6612">
      <w:pPr>
        <w:spacing w:after="0" w:line="240" w:lineRule="auto"/>
        <w:rPr>
          <w:rFonts w:ascii="Cambria" w:hAnsi="Cambria"/>
        </w:rPr>
      </w:pPr>
      <w:r w:rsidRPr="009A0DA6">
        <w:rPr>
          <w:rFonts w:ascii="Cambria" w:hAnsi="Cambria"/>
        </w:rPr>
        <w:t>The 18</w:t>
      </w:r>
      <w:r w:rsidRPr="009A0DA6">
        <w:rPr>
          <w:rFonts w:ascii="Cambria" w:hAnsi="Cambria"/>
          <w:vertAlign w:val="superscript"/>
        </w:rPr>
        <w:t>th</w:t>
      </w:r>
      <w:r w:rsidRPr="009A0DA6">
        <w:rPr>
          <w:rFonts w:ascii="Cambria" w:hAnsi="Cambria"/>
        </w:rPr>
        <w:t xml:space="preserve"> General Convention of Synod, held in October 2015, authorised GCC to trial a restructure of the National </w:t>
      </w:r>
      <w:r w:rsidR="00DB2C41" w:rsidRPr="009A0DA6">
        <w:rPr>
          <w:rFonts w:ascii="Cambria" w:hAnsi="Cambria"/>
        </w:rPr>
        <w:t>church</w:t>
      </w:r>
      <w:r w:rsidRPr="009A0DA6">
        <w:rPr>
          <w:rFonts w:ascii="Cambria" w:hAnsi="Cambria"/>
        </w:rPr>
        <w:t xml:space="preserve"> functions in a phased approach to provide more effective leadership, governance and other resources that are </w:t>
      </w:r>
      <w:r w:rsidR="00C2017B" w:rsidRPr="009A0DA6">
        <w:rPr>
          <w:rFonts w:ascii="Cambria" w:hAnsi="Cambria"/>
        </w:rPr>
        <w:t>churchwide</w:t>
      </w:r>
      <w:r w:rsidRPr="009A0DA6">
        <w:rPr>
          <w:rFonts w:ascii="Cambria" w:hAnsi="Cambria"/>
        </w:rPr>
        <w:t xml:space="preserve">, mission-focused, service oriented, efficiently delivered and effective in enacting the decisions of General Synod. </w:t>
      </w:r>
    </w:p>
    <w:p w14:paraId="71F212E0" w14:textId="7E114C92" w:rsidR="004C6612" w:rsidRPr="009A0DA6" w:rsidRDefault="004C6612" w:rsidP="004C6612">
      <w:pPr>
        <w:spacing w:after="0" w:line="240" w:lineRule="auto"/>
        <w:rPr>
          <w:rFonts w:ascii="Cambria" w:hAnsi="Cambria"/>
        </w:rPr>
      </w:pPr>
      <w:r w:rsidRPr="009A0DA6">
        <w:rPr>
          <w:rFonts w:ascii="Cambria" w:hAnsi="Cambria"/>
        </w:rPr>
        <w:t>The resolution provided a context</w:t>
      </w:r>
      <w:r w:rsidR="00516DCF" w:rsidRPr="009A0DA6">
        <w:rPr>
          <w:rFonts w:ascii="Cambria" w:hAnsi="Cambria"/>
        </w:rPr>
        <w:t xml:space="preserve"> and way forward for a GCC-LEA (Lutheran Education Australia)</w:t>
      </w:r>
      <w:r w:rsidRPr="009A0DA6">
        <w:rPr>
          <w:rFonts w:ascii="Cambria" w:hAnsi="Cambria"/>
        </w:rPr>
        <w:t xml:space="preserve"> governance dialogue process</w:t>
      </w:r>
      <w:r w:rsidRPr="009A0DA6">
        <w:rPr>
          <w:rFonts w:ascii="Cambria" w:hAnsi="Cambria"/>
          <w:vertAlign w:val="superscript"/>
        </w:rPr>
        <w:footnoteReference w:id="9"/>
      </w:r>
      <w:r w:rsidRPr="009A0DA6">
        <w:rPr>
          <w:rFonts w:ascii="Cambria" w:hAnsi="Cambria"/>
        </w:rPr>
        <w:t xml:space="preserve"> culminating in the presentation of the report to GCC in August 2017, </w:t>
      </w:r>
      <w:r w:rsidRPr="009A0DA6">
        <w:rPr>
          <w:rFonts w:ascii="Cambria" w:hAnsi="Cambria"/>
          <w:i/>
        </w:rPr>
        <w:t>Lutheran Education Governance and Administration Review</w:t>
      </w:r>
      <w:r w:rsidRPr="009A0DA6">
        <w:rPr>
          <w:rFonts w:ascii="Cambria" w:hAnsi="Cambria"/>
        </w:rPr>
        <w:t xml:space="preserve">. </w:t>
      </w:r>
    </w:p>
    <w:p w14:paraId="023C2FBE" w14:textId="77777777" w:rsidR="004C6612" w:rsidRPr="009A0DA6" w:rsidRDefault="004C6612" w:rsidP="004C6612">
      <w:pPr>
        <w:spacing w:after="0" w:line="240" w:lineRule="auto"/>
        <w:rPr>
          <w:rFonts w:ascii="Cambria" w:hAnsi="Cambria"/>
        </w:rPr>
      </w:pPr>
    </w:p>
    <w:p w14:paraId="6ECB1BE0" w14:textId="66EBE1A4" w:rsidR="004C6612" w:rsidRPr="009A0DA6" w:rsidRDefault="004C6612" w:rsidP="004C6612">
      <w:pPr>
        <w:spacing w:after="0" w:line="240" w:lineRule="auto"/>
        <w:rPr>
          <w:rFonts w:ascii="Cambria" w:hAnsi="Cambria"/>
        </w:rPr>
      </w:pPr>
      <w:r w:rsidRPr="009A0DA6">
        <w:rPr>
          <w:rFonts w:ascii="Cambria" w:hAnsi="Cambria"/>
        </w:rPr>
        <w:t>As a consequence, GCC resolved to affirm the governance authority of the Board for Lutheran Education Australia (BLEA) for Lutheran education in Australia, for five key, focus areas:</w:t>
      </w:r>
    </w:p>
    <w:p w14:paraId="00F94E00" w14:textId="194C9FD9" w:rsidR="004C6612" w:rsidRPr="009A0DA6" w:rsidRDefault="00516DCF" w:rsidP="00F55252">
      <w:pPr>
        <w:pStyle w:val="ListParagraph"/>
        <w:numPr>
          <w:ilvl w:val="0"/>
          <w:numId w:val="99"/>
        </w:numPr>
        <w:spacing w:after="0" w:line="240" w:lineRule="auto"/>
        <w:ind w:left="567" w:hanging="567"/>
        <w:rPr>
          <w:rFonts w:ascii="Cambria" w:hAnsi="Cambria"/>
        </w:rPr>
      </w:pPr>
      <w:r w:rsidRPr="009A0DA6">
        <w:rPr>
          <w:rFonts w:ascii="Cambria" w:hAnsi="Cambria"/>
        </w:rPr>
        <w:t>s</w:t>
      </w:r>
      <w:r w:rsidR="004C6612" w:rsidRPr="009A0DA6">
        <w:rPr>
          <w:rFonts w:ascii="Cambria" w:hAnsi="Cambria"/>
        </w:rPr>
        <w:t>etting strategic directions and policy for Lutheran schools</w:t>
      </w:r>
    </w:p>
    <w:p w14:paraId="7731FF95" w14:textId="113247A2" w:rsidR="004C6612" w:rsidRPr="009A0DA6" w:rsidRDefault="00516DCF" w:rsidP="00F55252">
      <w:pPr>
        <w:pStyle w:val="ListParagraph"/>
        <w:numPr>
          <w:ilvl w:val="0"/>
          <w:numId w:val="99"/>
        </w:numPr>
        <w:spacing w:after="0" w:line="240" w:lineRule="auto"/>
        <w:ind w:left="567" w:hanging="567"/>
        <w:rPr>
          <w:rFonts w:ascii="Cambria" w:hAnsi="Cambria"/>
        </w:rPr>
      </w:pPr>
      <w:r w:rsidRPr="009A0DA6">
        <w:rPr>
          <w:rFonts w:ascii="Cambria" w:hAnsi="Cambria"/>
        </w:rPr>
        <w:t>s</w:t>
      </w:r>
      <w:r w:rsidR="004C6612" w:rsidRPr="009A0DA6">
        <w:rPr>
          <w:rFonts w:ascii="Cambria" w:hAnsi="Cambria"/>
        </w:rPr>
        <w:t>trengthening Lutheran identity</w:t>
      </w:r>
    </w:p>
    <w:p w14:paraId="5426F010" w14:textId="035701E1" w:rsidR="004C6612" w:rsidRPr="009A0DA6" w:rsidRDefault="00516DCF" w:rsidP="00F55252">
      <w:pPr>
        <w:pStyle w:val="ListParagraph"/>
        <w:numPr>
          <w:ilvl w:val="0"/>
          <w:numId w:val="99"/>
        </w:numPr>
        <w:spacing w:after="0" w:line="240" w:lineRule="auto"/>
        <w:ind w:left="567" w:hanging="567"/>
        <w:rPr>
          <w:rFonts w:ascii="Cambria" w:hAnsi="Cambria"/>
        </w:rPr>
      </w:pPr>
      <w:r w:rsidRPr="009A0DA6">
        <w:rPr>
          <w:rFonts w:ascii="Cambria" w:hAnsi="Cambria"/>
        </w:rPr>
        <w:t>r</w:t>
      </w:r>
      <w:r w:rsidR="004C6612" w:rsidRPr="009A0DA6">
        <w:rPr>
          <w:rFonts w:ascii="Cambria" w:hAnsi="Cambria"/>
        </w:rPr>
        <w:t>isk oversight (legal, financial and reputational)</w:t>
      </w:r>
    </w:p>
    <w:p w14:paraId="74D481A2" w14:textId="446D3752" w:rsidR="004C6612" w:rsidRPr="009A0DA6" w:rsidRDefault="00516DCF" w:rsidP="00F55252">
      <w:pPr>
        <w:pStyle w:val="ListParagraph"/>
        <w:numPr>
          <w:ilvl w:val="0"/>
          <w:numId w:val="99"/>
        </w:numPr>
        <w:spacing w:after="0" w:line="240" w:lineRule="auto"/>
        <w:ind w:left="567" w:hanging="567"/>
        <w:rPr>
          <w:rFonts w:ascii="Cambria" w:hAnsi="Cambria"/>
        </w:rPr>
      </w:pPr>
      <w:r w:rsidRPr="009A0DA6">
        <w:rPr>
          <w:rFonts w:ascii="Cambria" w:hAnsi="Cambria"/>
        </w:rPr>
        <w:t>f</w:t>
      </w:r>
      <w:r w:rsidR="004C6612" w:rsidRPr="009A0DA6">
        <w:rPr>
          <w:rFonts w:ascii="Cambria" w:hAnsi="Cambria"/>
        </w:rPr>
        <w:t>ormation, leadership succession and development</w:t>
      </w:r>
    </w:p>
    <w:p w14:paraId="177E0C4E" w14:textId="0734C6C5" w:rsidR="004C6612" w:rsidRPr="009A0DA6" w:rsidRDefault="00516DCF" w:rsidP="00F55252">
      <w:pPr>
        <w:pStyle w:val="ListParagraph"/>
        <w:numPr>
          <w:ilvl w:val="0"/>
          <w:numId w:val="99"/>
        </w:numPr>
        <w:spacing w:after="0" w:line="240" w:lineRule="auto"/>
        <w:ind w:left="567" w:hanging="567"/>
        <w:rPr>
          <w:rFonts w:ascii="Cambria" w:hAnsi="Cambria"/>
        </w:rPr>
      </w:pPr>
      <w:r w:rsidRPr="009A0DA6">
        <w:rPr>
          <w:rFonts w:ascii="Cambria" w:hAnsi="Cambria"/>
        </w:rPr>
        <w:t>c</w:t>
      </w:r>
      <w:r w:rsidR="004C6612" w:rsidRPr="009A0DA6">
        <w:rPr>
          <w:rFonts w:ascii="Cambria" w:hAnsi="Cambria"/>
        </w:rPr>
        <w:t>ulture</w:t>
      </w:r>
      <w:r w:rsidRPr="009A0DA6">
        <w:rPr>
          <w:rFonts w:ascii="Cambria" w:hAnsi="Cambria"/>
        </w:rPr>
        <w:t>.</w:t>
      </w:r>
      <w:r w:rsidR="004C6612" w:rsidRPr="009A0DA6">
        <w:rPr>
          <w:rFonts w:ascii="Cambria" w:hAnsi="Cambria"/>
        </w:rPr>
        <w:br/>
      </w:r>
    </w:p>
    <w:p w14:paraId="59AAC7E7" w14:textId="7A963533" w:rsidR="004C6612" w:rsidRPr="009A0DA6" w:rsidRDefault="004C6612" w:rsidP="004C6612">
      <w:pPr>
        <w:spacing w:after="0" w:line="240" w:lineRule="auto"/>
        <w:rPr>
          <w:rFonts w:ascii="Cambria" w:hAnsi="Cambria"/>
        </w:rPr>
      </w:pPr>
      <w:r w:rsidRPr="009A0DA6">
        <w:rPr>
          <w:rFonts w:ascii="Cambria" w:hAnsi="Cambria"/>
        </w:rPr>
        <w:t>GCC also reso</w:t>
      </w:r>
      <w:r w:rsidR="00516DCF" w:rsidRPr="009A0DA6">
        <w:rPr>
          <w:rFonts w:ascii="Cambria" w:hAnsi="Cambria"/>
        </w:rPr>
        <w:t>lved to establish a joint</w:t>
      </w:r>
      <w:r w:rsidR="000A5F86">
        <w:rPr>
          <w:rFonts w:ascii="Cambria" w:hAnsi="Cambria"/>
        </w:rPr>
        <w:t xml:space="preserve"> BLEA/GCC</w:t>
      </w:r>
      <w:r w:rsidRPr="009A0DA6">
        <w:rPr>
          <w:rFonts w:ascii="Cambria" w:hAnsi="Cambria"/>
        </w:rPr>
        <w:t xml:space="preserve"> working group, led by BLEA, to continue the dialogue process and finalise the review, with an emphasis on governance rather than the administration and management of Lutheran education in Australia. The working group was asked by GCC to make recommendations on any changes, including associated transition or phasing, necessary to the Lutheran education governance structure for presentation to the General</w:t>
      </w:r>
      <w:r w:rsidR="00516DCF" w:rsidRPr="009A0DA6">
        <w:rPr>
          <w:rFonts w:ascii="Cambria" w:hAnsi="Cambria"/>
        </w:rPr>
        <w:t xml:space="preserve"> Convention of Synod in October</w:t>
      </w:r>
      <w:r w:rsidRPr="009A0DA6">
        <w:rPr>
          <w:rFonts w:ascii="Cambria" w:hAnsi="Cambria"/>
        </w:rPr>
        <w:t xml:space="preserve"> 2018.</w:t>
      </w:r>
    </w:p>
    <w:p w14:paraId="31D8D839" w14:textId="77777777" w:rsidR="004C6612" w:rsidRPr="009A0DA6" w:rsidRDefault="004C6612" w:rsidP="004C6612">
      <w:pPr>
        <w:spacing w:after="0" w:line="240" w:lineRule="auto"/>
        <w:rPr>
          <w:rFonts w:ascii="Cambria" w:hAnsi="Cambria"/>
        </w:rPr>
      </w:pPr>
    </w:p>
    <w:p w14:paraId="07C3D245" w14:textId="125E78E9" w:rsidR="004C6612" w:rsidRPr="009A0DA6" w:rsidRDefault="004C6612" w:rsidP="004C6612">
      <w:pPr>
        <w:spacing w:after="0" w:line="240" w:lineRule="auto"/>
        <w:rPr>
          <w:rFonts w:ascii="Cambria" w:hAnsi="Cambria"/>
        </w:rPr>
      </w:pPr>
      <w:r w:rsidRPr="009A0DA6">
        <w:rPr>
          <w:rFonts w:ascii="Cambria" w:hAnsi="Cambria"/>
        </w:rPr>
        <w:t>From December 2</w:t>
      </w:r>
      <w:r w:rsidR="00516DCF" w:rsidRPr="009A0DA6">
        <w:rPr>
          <w:rFonts w:ascii="Cambria" w:hAnsi="Cambria"/>
        </w:rPr>
        <w:t>017 – March 2018 the joint BLEA/</w:t>
      </w:r>
      <w:r w:rsidRPr="009A0DA6">
        <w:rPr>
          <w:rFonts w:ascii="Cambria" w:hAnsi="Cambria"/>
        </w:rPr>
        <w:t>GCC working group met with key stakeholder groups as part of a consultation process designed to focus on the five key areas identified by GCC as areas of governance responsibility of BLEA.</w:t>
      </w:r>
    </w:p>
    <w:p w14:paraId="546C3D64" w14:textId="77777777" w:rsidR="00516DCF" w:rsidRPr="009A0DA6" w:rsidRDefault="00516DCF" w:rsidP="004C6612">
      <w:pPr>
        <w:spacing w:after="0" w:line="240" w:lineRule="auto"/>
        <w:rPr>
          <w:rFonts w:ascii="Cambria" w:hAnsi="Cambria"/>
        </w:rPr>
      </w:pPr>
    </w:p>
    <w:p w14:paraId="7E666360" w14:textId="4710391F" w:rsidR="004C6612" w:rsidRPr="009A0DA6" w:rsidRDefault="004C6612" w:rsidP="004C6612">
      <w:pPr>
        <w:spacing w:after="0" w:line="240" w:lineRule="auto"/>
        <w:rPr>
          <w:rFonts w:ascii="Cambria" w:hAnsi="Cambria"/>
        </w:rPr>
      </w:pPr>
      <w:r w:rsidRPr="009A0DA6">
        <w:rPr>
          <w:rFonts w:ascii="Cambria" w:hAnsi="Cambria"/>
        </w:rPr>
        <w:t>The stakeholder groups were broadly representative of the whole Lutheran education system, including district church councils, regional education councils, school governing bodies and congregational chairs, principals, the National Leadership Team, the Australian Lutheran College (ALC) Board, Lutheran Laypeople’s League (LLL) Board and Lutheran Education Australia (LEA) and regional office staff.</w:t>
      </w:r>
    </w:p>
    <w:p w14:paraId="54BF3820" w14:textId="77777777" w:rsidR="004C6612" w:rsidRPr="009A0DA6" w:rsidRDefault="004C6612" w:rsidP="004C6612">
      <w:pPr>
        <w:spacing w:after="0" w:line="240" w:lineRule="auto"/>
        <w:rPr>
          <w:rFonts w:ascii="Cambria" w:hAnsi="Cambria"/>
        </w:rPr>
      </w:pPr>
    </w:p>
    <w:p w14:paraId="35C2735D" w14:textId="5E132EAF" w:rsidR="004C6612" w:rsidRPr="009A0DA6" w:rsidRDefault="004C6612" w:rsidP="004C6612">
      <w:pPr>
        <w:spacing w:after="0" w:line="240" w:lineRule="auto"/>
        <w:rPr>
          <w:rFonts w:ascii="Cambria" w:hAnsi="Cambria"/>
        </w:rPr>
      </w:pPr>
      <w:r w:rsidRPr="009A0DA6">
        <w:rPr>
          <w:rFonts w:ascii="Cambria" w:hAnsi="Cambria"/>
        </w:rPr>
        <w:t>The BLEA/GCC Working Group presented its report and recommend</w:t>
      </w:r>
      <w:r w:rsidR="00516DCF" w:rsidRPr="009A0DA6">
        <w:rPr>
          <w:rFonts w:ascii="Cambria" w:hAnsi="Cambria"/>
        </w:rPr>
        <w:t xml:space="preserve">ations to the GCC in June 2018. </w:t>
      </w:r>
      <w:r w:rsidRPr="009A0DA6">
        <w:rPr>
          <w:rFonts w:ascii="Cambria" w:hAnsi="Cambria"/>
        </w:rPr>
        <w:t>The GCC discussed the recommendations and provided feedback for the joint Working Group to consider. It also requested the Working Group to seek feedback from District Church Councils and Education Councils about the recommendations and report back in July 2018.</w:t>
      </w:r>
    </w:p>
    <w:p w14:paraId="2B0695EA" w14:textId="77777777" w:rsidR="004C6612" w:rsidRPr="009A0DA6" w:rsidRDefault="004C6612" w:rsidP="004C6612">
      <w:pPr>
        <w:spacing w:after="0" w:line="240" w:lineRule="auto"/>
        <w:rPr>
          <w:rFonts w:ascii="Cambria" w:hAnsi="Cambria"/>
        </w:rPr>
      </w:pPr>
    </w:p>
    <w:p w14:paraId="7FD08276" w14:textId="70BD58DA" w:rsidR="004C6612" w:rsidRPr="009A0DA6" w:rsidRDefault="004C6612" w:rsidP="004C6612">
      <w:pPr>
        <w:spacing w:after="0" w:line="240" w:lineRule="auto"/>
        <w:rPr>
          <w:rFonts w:ascii="Cambria" w:hAnsi="Cambria"/>
        </w:rPr>
      </w:pPr>
      <w:r w:rsidRPr="009A0DA6">
        <w:rPr>
          <w:rFonts w:ascii="Cambria" w:hAnsi="Cambria"/>
        </w:rPr>
        <w:t>This work was completed by the Working Group and a report with revised recommendations, based on feedback received from the June 2018 meeting of GCC and District Church Councils and Education Councils, was submitted to GCC’s meeting in July 2018.</w:t>
      </w:r>
    </w:p>
    <w:p w14:paraId="62479182" w14:textId="77777777" w:rsidR="004C6612" w:rsidRPr="009A0DA6" w:rsidRDefault="004C6612" w:rsidP="004C6612">
      <w:pPr>
        <w:spacing w:after="0" w:line="240" w:lineRule="auto"/>
        <w:rPr>
          <w:rFonts w:ascii="Cambria" w:hAnsi="Cambria"/>
        </w:rPr>
      </w:pPr>
    </w:p>
    <w:p w14:paraId="7D29D43C" w14:textId="36B1E915" w:rsidR="004C6612" w:rsidRPr="009A0DA6" w:rsidRDefault="004C6612" w:rsidP="004C6612">
      <w:pPr>
        <w:spacing w:after="0" w:line="240" w:lineRule="auto"/>
        <w:rPr>
          <w:rFonts w:ascii="Cambria" w:hAnsi="Cambria"/>
        </w:rPr>
      </w:pPr>
      <w:r w:rsidRPr="009A0DA6">
        <w:rPr>
          <w:rFonts w:ascii="Cambria" w:hAnsi="Cambria"/>
        </w:rPr>
        <w:t xml:space="preserve">The GCC received the report. It then considered the recommendations and resolved to accept most of them and amend others. </w:t>
      </w:r>
    </w:p>
    <w:p w14:paraId="7672A0C0" w14:textId="77777777" w:rsidR="004C6612" w:rsidRPr="009A0DA6" w:rsidRDefault="004C6612" w:rsidP="004C6612">
      <w:pPr>
        <w:spacing w:after="0" w:line="240" w:lineRule="auto"/>
        <w:rPr>
          <w:rFonts w:ascii="Cambria" w:hAnsi="Cambria"/>
        </w:rPr>
      </w:pPr>
    </w:p>
    <w:p w14:paraId="48C00D3D" w14:textId="6EA621FC" w:rsidR="004C6612" w:rsidRPr="009A0DA6" w:rsidRDefault="004C6612" w:rsidP="004C6612">
      <w:pPr>
        <w:spacing w:after="0" w:line="240" w:lineRule="auto"/>
        <w:rPr>
          <w:rFonts w:ascii="Cambria" w:hAnsi="Cambria"/>
        </w:rPr>
      </w:pPr>
      <w:r w:rsidRPr="009A0DA6">
        <w:rPr>
          <w:rFonts w:ascii="Cambria" w:hAnsi="Cambria"/>
        </w:rPr>
        <w:t xml:space="preserve">The proposed motion to the General Convention of Synod reflects the report’s recommendations, as amended by the GCC. The findings and observations contained in the report provide the rationale for the proposed motion. </w:t>
      </w:r>
    </w:p>
    <w:p w14:paraId="2E090463" w14:textId="77777777" w:rsidR="004C6612" w:rsidRPr="009A0DA6" w:rsidRDefault="004C6612" w:rsidP="004C6612">
      <w:pPr>
        <w:spacing w:after="0" w:line="240" w:lineRule="auto"/>
        <w:rPr>
          <w:rFonts w:ascii="Cambria" w:hAnsi="Cambria"/>
        </w:rPr>
      </w:pPr>
    </w:p>
    <w:p w14:paraId="0AC8B85A" w14:textId="268DEEA5" w:rsidR="004C6612" w:rsidRPr="009A0DA6" w:rsidRDefault="004C6612" w:rsidP="004C6612">
      <w:pPr>
        <w:spacing w:after="0" w:line="240" w:lineRule="auto"/>
        <w:rPr>
          <w:rFonts w:ascii="Cambria" w:hAnsi="Cambria"/>
        </w:rPr>
      </w:pPr>
      <w:r w:rsidRPr="009A0DA6">
        <w:rPr>
          <w:rFonts w:ascii="Cambria" w:hAnsi="Cambria"/>
        </w:rPr>
        <w:t xml:space="preserve">In summary, the proposed motion seeks to address the key themes and issues that emerged during the review in a way that will ensure a sustainable, healthy and vibrant Lutheran education sector for the future. </w:t>
      </w:r>
    </w:p>
    <w:p w14:paraId="57901AC7" w14:textId="77777777" w:rsidR="004C6612" w:rsidRPr="009A0DA6" w:rsidRDefault="004C6612" w:rsidP="004C6612">
      <w:pPr>
        <w:spacing w:after="0" w:line="240" w:lineRule="auto"/>
        <w:rPr>
          <w:rFonts w:ascii="Cambria" w:hAnsi="Cambria"/>
        </w:rPr>
      </w:pPr>
    </w:p>
    <w:p w14:paraId="51550A58" w14:textId="2AFA18A4" w:rsidR="004C6612" w:rsidRPr="009A0DA6" w:rsidRDefault="004C6612" w:rsidP="004C6612">
      <w:pPr>
        <w:spacing w:after="0" w:line="240" w:lineRule="auto"/>
        <w:rPr>
          <w:rFonts w:ascii="Cambria" w:hAnsi="Cambria"/>
        </w:rPr>
      </w:pPr>
      <w:r w:rsidRPr="009A0DA6">
        <w:rPr>
          <w:rFonts w:ascii="Cambria" w:hAnsi="Cambria"/>
        </w:rPr>
        <w:t xml:space="preserve">Key to the achievement of this outcome will be establishing ongoing collaboration and connection between all areas and bodies of the LCA. The education and spiritual development of young people in our Lutheran schools is a critical area of the church’s mission and ministry and as such requires the commitment of all, united in common purpose. </w:t>
      </w:r>
    </w:p>
    <w:p w14:paraId="58683069" w14:textId="77777777" w:rsidR="004C6612" w:rsidRPr="009A0DA6" w:rsidRDefault="004C6612" w:rsidP="004C6612">
      <w:pPr>
        <w:spacing w:after="0" w:line="240" w:lineRule="auto"/>
        <w:rPr>
          <w:rFonts w:ascii="Cambria" w:hAnsi="Cambria"/>
        </w:rPr>
      </w:pPr>
    </w:p>
    <w:p w14:paraId="467AADE8" w14:textId="4E601DE8" w:rsidR="004C6612" w:rsidRPr="009A0DA6" w:rsidRDefault="004C6612" w:rsidP="004C6612">
      <w:pPr>
        <w:spacing w:after="0" w:line="240" w:lineRule="auto"/>
        <w:rPr>
          <w:rFonts w:ascii="Cambria" w:hAnsi="Cambria"/>
        </w:rPr>
      </w:pPr>
      <w:r w:rsidRPr="009A0DA6">
        <w:rPr>
          <w:rFonts w:ascii="Cambria" w:hAnsi="Cambria"/>
        </w:rPr>
        <w:t>The GCC therefore stresses that the motion to the General Convention of Synod, if adopted, is a starting point and framework to enable further and ongoing dialogue and collaboration between all entities that make up the Lutheran education community, including the LEA and its board, the education regions and DCCs, schools and school governing bodies, and ALC and its board.</w:t>
      </w:r>
    </w:p>
    <w:p w14:paraId="59B971A8" w14:textId="77777777" w:rsidR="004C6612" w:rsidRPr="009A0DA6" w:rsidRDefault="004C6612" w:rsidP="004C6612">
      <w:pPr>
        <w:spacing w:after="0" w:line="240" w:lineRule="auto"/>
        <w:rPr>
          <w:rFonts w:ascii="Cambria" w:hAnsi="Cambria"/>
        </w:rPr>
      </w:pPr>
    </w:p>
    <w:p w14:paraId="6B6E723F" w14:textId="5463FE46" w:rsidR="004C6612" w:rsidRPr="009A0DA6" w:rsidRDefault="00B613C1" w:rsidP="004C6612">
      <w:pPr>
        <w:spacing w:after="0" w:line="240" w:lineRule="auto"/>
        <w:rPr>
          <w:rFonts w:ascii="Cambria" w:hAnsi="Cambria"/>
        </w:rPr>
      </w:pPr>
      <w:r w:rsidRPr="009A0DA6">
        <w:rPr>
          <w:rFonts w:ascii="Cambria" w:hAnsi="Cambria"/>
        </w:rPr>
        <w:t>The final r</w:t>
      </w:r>
      <w:r w:rsidR="004C6612" w:rsidRPr="009A0DA6">
        <w:rPr>
          <w:rFonts w:ascii="Cambria" w:hAnsi="Cambria"/>
        </w:rPr>
        <w:t>eport (July 2018)</w:t>
      </w:r>
      <w:r w:rsidRPr="009A0DA6">
        <w:rPr>
          <w:rFonts w:ascii="Cambria" w:hAnsi="Cambria"/>
        </w:rPr>
        <w:t xml:space="preserve"> can be found at</w:t>
      </w:r>
      <w:r w:rsidR="004C6612" w:rsidRPr="009A0DA6">
        <w:rPr>
          <w:rFonts w:ascii="Cambria" w:hAnsi="Cambria"/>
        </w:rPr>
        <w:t xml:space="preserve"> </w:t>
      </w:r>
      <w:r w:rsidR="00995084">
        <w:rPr>
          <w:rFonts w:ascii="Cambria" w:hAnsi="Cambria"/>
        </w:rPr>
        <w:t>Agenda</w:t>
      </w:r>
      <w:r w:rsidR="004A6CF9">
        <w:rPr>
          <w:rFonts w:ascii="Cambria" w:hAnsi="Cambria"/>
        </w:rPr>
        <w:t xml:space="preserve"> </w:t>
      </w:r>
      <w:r w:rsidR="009C3A51">
        <w:rPr>
          <w:rFonts w:ascii="Cambria" w:hAnsi="Cambria"/>
        </w:rPr>
        <w:t>11.4.</w:t>
      </w:r>
      <w:r w:rsidR="00A971D9">
        <w:rPr>
          <w:rFonts w:ascii="Cambria" w:hAnsi="Cambria"/>
        </w:rPr>
        <w:t xml:space="preserve"> </w:t>
      </w:r>
    </w:p>
    <w:p w14:paraId="798B45E1" w14:textId="6F04D2D4" w:rsidR="000759D1" w:rsidRPr="009A0DA6" w:rsidRDefault="000759D1" w:rsidP="004C6612">
      <w:pPr>
        <w:spacing w:after="0" w:line="240" w:lineRule="auto"/>
        <w:rPr>
          <w:rFonts w:ascii="Cambria" w:hAnsi="Cambria"/>
        </w:rPr>
      </w:pPr>
    </w:p>
    <w:p w14:paraId="2719063A" w14:textId="77777777" w:rsidR="000759D1" w:rsidRPr="009A0DA6" w:rsidRDefault="000759D1" w:rsidP="004C6612">
      <w:pPr>
        <w:spacing w:after="0" w:line="240" w:lineRule="auto"/>
        <w:rPr>
          <w:rFonts w:ascii="Cambria" w:hAnsi="Cambria"/>
        </w:rPr>
      </w:pPr>
    </w:p>
    <w:p w14:paraId="0721DA58" w14:textId="4BBD7CB9" w:rsidR="004C6612" w:rsidRDefault="004C6612" w:rsidP="004C6612">
      <w:pPr>
        <w:spacing w:after="0" w:line="240" w:lineRule="auto"/>
        <w:rPr>
          <w:rFonts w:ascii="Cambria" w:hAnsi="Cambria"/>
        </w:rPr>
      </w:pPr>
    </w:p>
    <w:p w14:paraId="3F669741" w14:textId="77777777" w:rsidR="00D07614" w:rsidRPr="009A0DA6" w:rsidRDefault="00D07614" w:rsidP="004C6612">
      <w:pPr>
        <w:spacing w:after="0" w:line="240" w:lineRule="auto"/>
        <w:rPr>
          <w:rFonts w:ascii="Cambria" w:hAnsi="Cambria"/>
        </w:rPr>
      </w:pPr>
    </w:p>
    <w:p w14:paraId="0DB7D211" w14:textId="77777777" w:rsidR="0001243B" w:rsidRPr="009A0DA6" w:rsidRDefault="0001243B" w:rsidP="00964A90">
      <w:pPr>
        <w:pStyle w:val="Heading3"/>
      </w:pPr>
      <w:r w:rsidRPr="009A0DA6">
        <w:t>agenda 2.2.8</w:t>
      </w:r>
    </w:p>
    <w:p w14:paraId="60029231" w14:textId="3323679E" w:rsidR="0001243B" w:rsidRPr="009A0DA6" w:rsidRDefault="0001243B" w:rsidP="005D571C">
      <w:pPr>
        <w:pStyle w:val="Heading2"/>
      </w:pPr>
      <w:bookmarkStart w:id="55" w:name="_Toc521954605"/>
      <w:bookmarkStart w:id="56" w:name="_Toc522394970"/>
      <w:r w:rsidRPr="009A0DA6">
        <w:t xml:space="preserve">Reconciliation </w:t>
      </w:r>
      <w:r w:rsidR="004C6612" w:rsidRPr="009A0DA6">
        <w:t>A</w:t>
      </w:r>
      <w:r w:rsidRPr="009A0DA6">
        <w:t xml:space="preserve">ction </w:t>
      </w:r>
      <w:r w:rsidR="004C6612" w:rsidRPr="009A0DA6">
        <w:t>P</w:t>
      </w:r>
      <w:r w:rsidRPr="009A0DA6">
        <w:t>lan</w:t>
      </w:r>
      <w:bookmarkEnd w:id="55"/>
      <w:bookmarkEnd w:id="56"/>
      <w:r w:rsidRPr="009A0DA6">
        <w:t xml:space="preserve"> </w:t>
      </w:r>
    </w:p>
    <w:p w14:paraId="704AF9E1" w14:textId="77777777" w:rsidR="004C6612" w:rsidRPr="009A0DA6" w:rsidRDefault="004C6612" w:rsidP="004C6612">
      <w:pPr>
        <w:pStyle w:val="NoSpacing"/>
      </w:pPr>
    </w:p>
    <w:p w14:paraId="52F7845B" w14:textId="77777777" w:rsidR="004C6612" w:rsidRPr="009A0DA6" w:rsidRDefault="004C6612" w:rsidP="004C6612">
      <w:pPr>
        <w:pStyle w:val="Heading3"/>
        <w:rPr>
          <w:rFonts w:eastAsia="Calibri"/>
          <w:lang w:eastAsia="en-AU"/>
        </w:rPr>
      </w:pPr>
      <w:r w:rsidRPr="009A0DA6">
        <w:rPr>
          <w:rFonts w:eastAsia="Calibri"/>
          <w:lang w:eastAsia="en-AU"/>
        </w:rPr>
        <w:t>PROPOSED MOTION</w:t>
      </w:r>
    </w:p>
    <w:p w14:paraId="7C9D6D4C" w14:textId="77777777" w:rsidR="004C6612" w:rsidRPr="009A0DA6" w:rsidRDefault="004C6612" w:rsidP="004C6612">
      <w:pPr>
        <w:shd w:val="clear" w:color="auto" w:fill="FFFFFF"/>
        <w:spacing w:after="120" w:line="22" w:lineRule="atLeast"/>
        <w:rPr>
          <w:rFonts w:ascii="Cambria" w:hAnsi="Cambria" w:cs="Arial"/>
          <w:i/>
          <w:shd w:val="clear" w:color="auto" w:fill="FFFFFF"/>
        </w:rPr>
      </w:pPr>
      <w:r w:rsidRPr="009A0DA6">
        <w:rPr>
          <w:rFonts w:ascii="Cambria" w:eastAsia="Times New Roman" w:hAnsi="Cambria" w:cs="Times New Roman"/>
          <w:bCs/>
          <w:i/>
          <w:lang w:eastAsia="en-AU"/>
        </w:rPr>
        <w:t>Submitted by General Church Council</w:t>
      </w:r>
    </w:p>
    <w:p w14:paraId="3E76FF6F" w14:textId="0B364FB4" w:rsidR="004C6612" w:rsidRPr="009A0DA6" w:rsidRDefault="00516DCF" w:rsidP="004C6612">
      <w:pPr>
        <w:shd w:val="clear" w:color="auto" w:fill="FFFFFF"/>
        <w:spacing w:before="120" w:after="120" w:line="240" w:lineRule="auto"/>
        <w:rPr>
          <w:rFonts w:ascii="Cambria" w:eastAsia="Calibri" w:hAnsi="Cambria" w:cs="Calibri"/>
          <w:bCs/>
          <w:lang w:eastAsia="en-AU"/>
        </w:rPr>
      </w:pPr>
      <w:r w:rsidRPr="009A0DA6">
        <w:rPr>
          <w:rFonts w:ascii="Cambria" w:eastAsia="Calibri" w:hAnsi="Cambria" w:cs="Calibri"/>
          <w:b/>
          <w:bCs/>
          <w:lang w:eastAsia="en-AU"/>
        </w:rPr>
        <w:t xml:space="preserve">BE IT RESOLVED </w:t>
      </w:r>
      <w:r w:rsidRPr="009A0DA6">
        <w:rPr>
          <w:rFonts w:ascii="Cambria" w:eastAsia="Calibri" w:hAnsi="Cambria" w:cs="Calibri"/>
          <w:bCs/>
          <w:lang w:eastAsia="en-AU"/>
        </w:rPr>
        <w:t>that</w:t>
      </w:r>
      <w:r w:rsidR="004C6612" w:rsidRPr="009A0DA6">
        <w:rPr>
          <w:rFonts w:ascii="Cambria" w:eastAsia="Calibri" w:hAnsi="Cambria" w:cs="Calibri"/>
          <w:bCs/>
          <w:lang w:eastAsia="en-AU"/>
        </w:rPr>
        <w:t xml:space="preserve"> the General Convention of Synod requests General Church Council</w:t>
      </w:r>
      <w:r w:rsidRPr="009A0DA6">
        <w:rPr>
          <w:rFonts w:ascii="Cambria" w:eastAsia="Calibri" w:hAnsi="Cambria" w:cs="Calibri"/>
          <w:bCs/>
          <w:lang w:eastAsia="en-AU"/>
        </w:rPr>
        <w:t xml:space="preserve"> (GCC)</w:t>
      </w:r>
      <w:r w:rsidR="004C6612" w:rsidRPr="009A0DA6">
        <w:rPr>
          <w:rFonts w:ascii="Cambria" w:eastAsia="Calibri" w:hAnsi="Cambria" w:cs="Calibri"/>
          <w:bCs/>
          <w:lang w:eastAsia="en-AU"/>
        </w:rPr>
        <w:t xml:space="preserve"> to develop and implement a Reconciliation Action Plan that will:</w:t>
      </w:r>
    </w:p>
    <w:p w14:paraId="763224DB" w14:textId="46462884" w:rsidR="004C6612" w:rsidRPr="009A0DA6" w:rsidRDefault="004C6612" w:rsidP="00F55252">
      <w:pPr>
        <w:pStyle w:val="ListParagraph"/>
        <w:numPr>
          <w:ilvl w:val="0"/>
          <w:numId w:val="101"/>
        </w:numPr>
        <w:shd w:val="clear" w:color="auto" w:fill="FFFFFF"/>
        <w:spacing w:before="120" w:after="120" w:line="240" w:lineRule="auto"/>
        <w:ind w:left="567" w:hanging="567"/>
        <w:contextualSpacing w:val="0"/>
        <w:rPr>
          <w:rFonts w:ascii="Cambria" w:eastAsia="Calibri" w:hAnsi="Cambria" w:cs="Calibri"/>
          <w:bCs/>
          <w:lang w:eastAsia="en-AU"/>
        </w:rPr>
      </w:pPr>
      <w:r w:rsidRPr="009A0DA6">
        <w:rPr>
          <w:rFonts w:ascii="Cambria" w:eastAsia="Calibri" w:hAnsi="Cambria" w:cs="Calibri"/>
          <w:bCs/>
          <w:lang w:eastAsia="en-AU"/>
        </w:rPr>
        <w:t>assist ongoing relationship building through listening t</w:t>
      </w:r>
      <w:r w:rsidR="00516DCF" w:rsidRPr="009A0DA6">
        <w:rPr>
          <w:rFonts w:ascii="Cambria" w:eastAsia="Calibri" w:hAnsi="Cambria" w:cs="Calibri"/>
          <w:bCs/>
          <w:lang w:eastAsia="en-AU"/>
        </w:rPr>
        <w:t>o Aboriginal people in the LCA</w:t>
      </w:r>
    </w:p>
    <w:p w14:paraId="7CBCD619" w14:textId="2BACE975" w:rsidR="004C6612" w:rsidRPr="009A0DA6" w:rsidRDefault="004C6612" w:rsidP="00F55252">
      <w:pPr>
        <w:pStyle w:val="ListParagraph"/>
        <w:numPr>
          <w:ilvl w:val="0"/>
          <w:numId w:val="101"/>
        </w:numPr>
        <w:shd w:val="clear" w:color="auto" w:fill="FFFFFF"/>
        <w:spacing w:before="120" w:after="120" w:line="240" w:lineRule="auto"/>
        <w:ind w:left="567" w:hanging="567"/>
        <w:contextualSpacing w:val="0"/>
        <w:rPr>
          <w:rFonts w:ascii="Cambria" w:eastAsia="Calibri" w:hAnsi="Cambria" w:cs="Calibri"/>
          <w:bCs/>
          <w:lang w:eastAsia="en-AU"/>
        </w:rPr>
      </w:pPr>
      <w:r w:rsidRPr="009A0DA6">
        <w:rPr>
          <w:rFonts w:ascii="Cambria" w:eastAsia="Calibri" w:hAnsi="Cambria" w:cs="Calibri"/>
          <w:bCs/>
          <w:lang w:eastAsia="en-AU"/>
        </w:rPr>
        <w:t xml:space="preserve">support non-Aboriginal people in the LCA to gain insight into what is </w:t>
      </w:r>
      <w:r w:rsidR="00516DCF" w:rsidRPr="009A0DA6">
        <w:rPr>
          <w:rFonts w:ascii="Cambria" w:eastAsia="Calibri" w:hAnsi="Cambria" w:cs="Calibri"/>
          <w:bCs/>
          <w:lang w:eastAsia="en-AU"/>
        </w:rPr>
        <w:t>important to Aboriginal people</w:t>
      </w:r>
    </w:p>
    <w:p w14:paraId="736E76B0" w14:textId="42488C62" w:rsidR="004C6612" w:rsidRPr="009A0DA6" w:rsidRDefault="004C6612" w:rsidP="00F55252">
      <w:pPr>
        <w:pStyle w:val="ListParagraph"/>
        <w:numPr>
          <w:ilvl w:val="0"/>
          <w:numId w:val="101"/>
        </w:numPr>
        <w:shd w:val="clear" w:color="auto" w:fill="FFFFFF"/>
        <w:spacing w:before="120" w:after="120" w:line="240" w:lineRule="auto"/>
        <w:ind w:left="567" w:hanging="567"/>
        <w:contextualSpacing w:val="0"/>
        <w:rPr>
          <w:rFonts w:ascii="Cambria" w:eastAsia="Calibri" w:hAnsi="Cambria" w:cs="Calibri"/>
          <w:bCs/>
          <w:lang w:eastAsia="en-AU"/>
        </w:rPr>
      </w:pPr>
      <w:r w:rsidRPr="009A0DA6">
        <w:rPr>
          <w:rFonts w:ascii="Cambria" w:eastAsia="Calibri" w:hAnsi="Cambria" w:cs="Calibri"/>
          <w:bCs/>
          <w:lang w:eastAsia="en-AU"/>
        </w:rPr>
        <w:t xml:space="preserve">provide a culturally appropriate mechanism by which our </w:t>
      </w:r>
      <w:r w:rsidR="00DB2C41" w:rsidRPr="009A0DA6">
        <w:rPr>
          <w:rFonts w:ascii="Cambria" w:eastAsia="Calibri" w:hAnsi="Cambria" w:cs="Calibri"/>
          <w:bCs/>
          <w:lang w:eastAsia="en-AU"/>
        </w:rPr>
        <w:t>church</w:t>
      </w:r>
      <w:r w:rsidRPr="009A0DA6">
        <w:rPr>
          <w:rFonts w:ascii="Cambria" w:eastAsia="Calibri" w:hAnsi="Cambria" w:cs="Calibri"/>
          <w:bCs/>
          <w:lang w:eastAsia="en-AU"/>
        </w:rPr>
        <w:t xml:space="preserve"> together with (inclusive of) Aboriginal people and communities within the LCA can address questions of</w:t>
      </w:r>
      <w:r w:rsidR="00516DCF" w:rsidRPr="009A0DA6">
        <w:rPr>
          <w:rFonts w:ascii="Cambria" w:eastAsia="Calibri" w:hAnsi="Cambria" w:cs="Calibri"/>
          <w:bCs/>
          <w:lang w:eastAsia="en-AU"/>
        </w:rPr>
        <w:t xml:space="preserve"> recognition and representation,</w:t>
      </w:r>
      <w:r w:rsidRPr="009A0DA6">
        <w:rPr>
          <w:rFonts w:ascii="Cambria" w:eastAsia="Calibri" w:hAnsi="Cambria" w:cs="Calibri"/>
          <w:bCs/>
          <w:lang w:eastAsia="en-AU"/>
        </w:rPr>
        <w:t xml:space="preserve"> and </w:t>
      </w:r>
    </w:p>
    <w:p w14:paraId="6FCC36A5" w14:textId="5C5E0402" w:rsidR="004C6612" w:rsidRPr="009A0DA6" w:rsidRDefault="004C6612" w:rsidP="00F55252">
      <w:pPr>
        <w:pStyle w:val="ListParagraph"/>
        <w:numPr>
          <w:ilvl w:val="0"/>
          <w:numId w:val="101"/>
        </w:numPr>
        <w:shd w:val="clear" w:color="auto" w:fill="FFFFFF"/>
        <w:spacing w:before="120" w:after="120" w:line="240" w:lineRule="auto"/>
        <w:ind w:left="567" w:hanging="567"/>
        <w:contextualSpacing w:val="0"/>
        <w:rPr>
          <w:rFonts w:ascii="Cambria" w:eastAsia="Calibri" w:hAnsi="Cambria" w:cs="Calibri"/>
          <w:bCs/>
          <w:lang w:eastAsia="en-AU"/>
        </w:rPr>
      </w:pPr>
      <w:r w:rsidRPr="009A0DA6">
        <w:rPr>
          <w:rFonts w:ascii="Cambria" w:eastAsia="Calibri" w:hAnsi="Cambria" w:cs="Calibri"/>
          <w:bCs/>
          <w:lang w:eastAsia="en-AU"/>
        </w:rPr>
        <w:t xml:space="preserve">develop appropriate ways to encourage and enable Aboriginal people to serve and lead in all aspects of </w:t>
      </w:r>
      <w:r w:rsidR="00DB2C41" w:rsidRPr="009A0DA6">
        <w:rPr>
          <w:rFonts w:ascii="Cambria" w:eastAsia="Calibri" w:hAnsi="Cambria" w:cs="Calibri"/>
          <w:bCs/>
          <w:lang w:eastAsia="en-AU"/>
        </w:rPr>
        <w:t>church</w:t>
      </w:r>
      <w:r w:rsidRPr="009A0DA6">
        <w:rPr>
          <w:rFonts w:ascii="Cambria" w:eastAsia="Calibri" w:hAnsi="Cambria" w:cs="Calibri"/>
          <w:bCs/>
          <w:lang w:eastAsia="en-AU"/>
        </w:rPr>
        <w:t xml:space="preserve"> life in the LCA. </w:t>
      </w:r>
    </w:p>
    <w:p w14:paraId="085949C3" w14:textId="0C47AA1A" w:rsidR="004C6612" w:rsidRPr="009A0DA6" w:rsidRDefault="004C6612" w:rsidP="004C6612">
      <w:pPr>
        <w:shd w:val="clear" w:color="auto" w:fill="FFFFFF"/>
        <w:spacing w:before="120" w:after="120" w:line="240" w:lineRule="auto"/>
        <w:rPr>
          <w:rFonts w:ascii="Cambria" w:eastAsia="Calibri" w:hAnsi="Cambria" w:cs="Calibri"/>
          <w:bCs/>
          <w:lang w:eastAsia="en-AU"/>
        </w:rPr>
      </w:pPr>
      <w:r w:rsidRPr="009A0DA6">
        <w:rPr>
          <w:rFonts w:ascii="Cambria" w:eastAsia="Calibri" w:hAnsi="Cambria" w:cs="Calibri"/>
          <w:bCs/>
          <w:lang w:eastAsia="en-AU"/>
        </w:rPr>
        <w:t xml:space="preserve">The General Convention of Synod authorises </w:t>
      </w:r>
      <w:r w:rsidR="00516DCF" w:rsidRPr="009A0DA6">
        <w:rPr>
          <w:rFonts w:ascii="Cambria" w:eastAsia="Calibri" w:hAnsi="Cambria" w:cs="Calibri"/>
          <w:bCs/>
          <w:lang w:eastAsia="en-AU"/>
        </w:rPr>
        <w:t>GCC</w:t>
      </w:r>
      <w:r w:rsidRPr="009A0DA6">
        <w:rPr>
          <w:rFonts w:ascii="Cambria" w:eastAsia="Calibri" w:hAnsi="Cambria" w:cs="Calibri"/>
          <w:bCs/>
          <w:lang w:eastAsia="en-AU"/>
        </w:rPr>
        <w:t xml:space="preserve"> to commit resources to facilitate the work required to prepare and deliver the plan.</w:t>
      </w:r>
    </w:p>
    <w:p w14:paraId="646F6E04" w14:textId="48942F5D" w:rsidR="004C6612" w:rsidRPr="009A0DA6" w:rsidRDefault="004C6612" w:rsidP="004C6612">
      <w:pPr>
        <w:shd w:val="clear" w:color="auto" w:fill="FFFFFF"/>
        <w:spacing w:before="120" w:after="120" w:line="240" w:lineRule="auto"/>
        <w:rPr>
          <w:rFonts w:ascii="Cambria" w:eastAsia="Calibri" w:hAnsi="Cambria" w:cs="Calibri"/>
          <w:bCs/>
          <w:sz w:val="12"/>
          <w:lang w:eastAsia="en-AU"/>
        </w:rPr>
      </w:pPr>
      <w:r w:rsidRPr="009A0DA6">
        <w:rPr>
          <w:rFonts w:ascii="Cambria" w:eastAsia="Calibri" w:hAnsi="Cambria" w:cs="Calibri"/>
          <w:bCs/>
          <w:lang w:eastAsia="en-AU"/>
        </w:rPr>
        <w:t xml:space="preserve">The General Convention of Synod requests </w:t>
      </w:r>
      <w:r w:rsidR="00516DCF" w:rsidRPr="009A0DA6">
        <w:rPr>
          <w:rFonts w:ascii="Cambria" w:eastAsia="Calibri" w:hAnsi="Cambria" w:cs="Calibri"/>
          <w:bCs/>
          <w:lang w:eastAsia="en-AU"/>
        </w:rPr>
        <w:t>GCC</w:t>
      </w:r>
      <w:r w:rsidRPr="009A0DA6">
        <w:rPr>
          <w:rFonts w:ascii="Cambria" w:eastAsia="Calibri" w:hAnsi="Cambria" w:cs="Calibri"/>
          <w:bCs/>
          <w:lang w:eastAsia="en-AU"/>
        </w:rPr>
        <w:t xml:space="preserve"> to provide a report on the implementation of the plan to the 2021 Convention of Synod.</w:t>
      </w:r>
      <w:r w:rsidR="000759D1" w:rsidRPr="009A0DA6">
        <w:rPr>
          <w:rFonts w:ascii="Cambria" w:eastAsia="Calibri" w:hAnsi="Cambria" w:cs="Calibri"/>
          <w:bCs/>
          <w:lang w:eastAsia="en-AU"/>
        </w:rPr>
        <w:br/>
      </w:r>
    </w:p>
    <w:p w14:paraId="21DC87CA" w14:textId="3BA71893" w:rsidR="004C6612" w:rsidRPr="009A0DA6" w:rsidRDefault="00FB59B1" w:rsidP="000759D1">
      <w:pPr>
        <w:pStyle w:val="Heading3"/>
        <w:rPr>
          <w:rFonts w:eastAsia="Calibri"/>
          <w:lang w:eastAsia="en-AU"/>
        </w:rPr>
      </w:pPr>
      <w:r w:rsidRPr="009A0DA6">
        <w:rPr>
          <w:rFonts w:eastAsia="Calibri"/>
          <w:lang w:eastAsia="en-AU"/>
        </w:rPr>
        <w:t>REASONS FOR THE MOTION</w:t>
      </w:r>
    </w:p>
    <w:p w14:paraId="7D86F142" w14:textId="77777777" w:rsidR="004C6612" w:rsidRPr="009A0DA6" w:rsidRDefault="004C6612" w:rsidP="00F55252">
      <w:pPr>
        <w:pStyle w:val="ListParagraph"/>
        <w:numPr>
          <w:ilvl w:val="0"/>
          <w:numId w:val="100"/>
        </w:numPr>
        <w:spacing w:after="0" w:line="288" w:lineRule="auto"/>
        <w:ind w:left="284" w:hanging="284"/>
        <w:contextualSpacing w:val="0"/>
        <w:rPr>
          <w:rFonts w:ascii="Cambria" w:hAnsi="Cambria" w:cs="Arial"/>
          <w:b/>
        </w:rPr>
      </w:pPr>
      <w:r w:rsidRPr="009A0DA6">
        <w:rPr>
          <w:rFonts w:ascii="Cambria" w:hAnsi="Cambria" w:cs="Arial"/>
          <w:b/>
        </w:rPr>
        <w:t>Background and Biblical Foundation</w:t>
      </w:r>
    </w:p>
    <w:p w14:paraId="3B473A1D" w14:textId="77777777" w:rsidR="000759D1" w:rsidRPr="009A0DA6" w:rsidRDefault="004C6612" w:rsidP="000759D1">
      <w:pPr>
        <w:pStyle w:val="ListParagraph"/>
        <w:spacing w:after="0" w:line="288" w:lineRule="auto"/>
        <w:ind w:left="0"/>
        <w:contextualSpacing w:val="0"/>
        <w:jc w:val="center"/>
        <w:rPr>
          <w:rFonts w:ascii="Cambria" w:hAnsi="Cambria" w:cs="Arial"/>
          <w:i/>
          <w:sz w:val="6"/>
        </w:rPr>
      </w:pPr>
      <w:r w:rsidRPr="009A0DA6">
        <w:rPr>
          <w:rFonts w:ascii="Cambria" w:hAnsi="Cambria" w:cs="Arial"/>
          <w:i/>
        </w:rPr>
        <w:t>‘Living out the reconciled life’</w:t>
      </w:r>
      <w:r w:rsidR="000759D1" w:rsidRPr="009A0DA6">
        <w:rPr>
          <w:rFonts w:ascii="Cambria" w:hAnsi="Cambria" w:cs="Arial"/>
          <w:i/>
        </w:rPr>
        <w:br/>
      </w:r>
    </w:p>
    <w:p w14:paraId="5439D92F" w14:textId="33703502" w:rsidR="004C6612" w:rsidRPr="009A0DA6" w:rsidRDefault="004C6612" w:rsidP="000759D1">
      <w:pPr>
        <w:pStyle w:val="ListParagraph"/>
        <w:spacing w:after="0" w:line="288" w:lineRule="auto"/>
        <w:ind w:left="0"/>
        <w:contextualSpacing w:val="0"/>
        <w:rPr>
          <w:rFonts w:ascii="Cambria" w:hAnsi="Cambria"/>
          <w:lang w:val="en-NZ"/>
        </w:rPr>
      </w:pPr>
      <w:r w:rsidRPr="009A0DA6">
        <w:rPr>
          <w:rFonts w:ascii="Cambria" w:hAnsi="Cambria"/>
          <w:lang w:val="en-NZ"/>
        </w:rPr>
        <w:t>Reconciliation is at the heart of the Christian faith. It is a gift of God in which we are invited and privileged to participate</w:t>
      </w:r>
      <w:r w:rsidR="0027799A" w:rsidRPr="009A0DA6">
        <w:rPr>
          <w:rFonts w:ascii="Cambria" w:hAnsi="Cambria"/>
          <w:lang w:val="en-NZ"/>
        </w:rPr>
        <w:t xml:space="preserve">. </w:t>
      </w:r>
    </w:p>
    <w:p w14:paraId="309FAA4F" w14:textId="77777777" w:rsidR="006D20AF" w:rsidRPr="009A0DA6" w:rsidRDefault="006D20AF" w:rsidP="006D20AF">
      <w:pPr>
        <w:pStyle w:val="NoSpacing"/>
        <w:rPr>
          <w:lang w:val="en-NZ"/>
        </w:rPr>
      </w:pPr>
    </w:p>
    <w:p w14:paraId="4A4DC23B" w14:textId="23BD25E8" w:rsidR="004C6612" w:rsidRPr="009A0DA6" w:rsidRDefault="004C6612" w:rsidP="006D20AF">
      <w:pPr>
        <w:pStyle w:val="NoSpacing"/>
        <w:rPr>
          <w:lang w:val="en-NZ"/>
        </w:rPr>
      </w:pPr>
      <w:r w:rsidRPr="009A0DA6">
        <w:rPr>
          <w:lang w:val="en-NZ"/>
        </w:rPr>
        <w:lastRenderedPageBreak/>
        <w:t>We Christians believe that God has reconciled the world to himself through the life, death and resurrection of Jesus Christ. We are no longer enemies of God. By the work of the Holy Spirit in Word and Sacrament, God gives people the faith in Christ and nurtures new life in them. Through faith in Christ, we are now his friends. We also believe that God has given us the ministry of reconciliation (2</w:t>
      </w:r>
      <w:r w:rsidR="006D20AF" w:rsidRPr="009A0DA6">
        <w:rPr>
          <w:lang w:val="en-NZ"/>
        </w:rPr>
        <w:t xml:space="preserve"> </w:t>
      </w:r>
      <w:r w:rsidRPr="009A0DA6">
        <w:rPr>
          <w:lang w:val="en-NZ"/>
        </w:rPr>
        <w:t>Cor 5:18, 19). As a church we carry out this ministry by proclaiming Christ’s reconciling work to all people and pleading with them to receive the friendship of God (2</w:t>
      </w:r>
      <w:r w:rsidR="006D20AF" w:rsidRPr="009A0DA6">
        <w:rPr>
          <w:lang w:val="en-NZ"/>
        </w:rPr>
        <w:t xml:space="preserve"> </w:t>
      </w:r>
      <w:r w:rsidRPr="009A0DA6">
        <w:rPr>
          <w:lang w:val="en-NZ"/>
        </w:rPr>
        <w:t>Cor 5:20). As church we further witness to reconciliation by living in unity and peace with fellow Christians from various cultures and classes (Eph 4:3), and by promoting justice and peace among all people (Matt 5:9)</w:t>
      </w:r>
      <w:r w:rsidR="0027799A" w:rsidRPr="009A0DA6">
        <w:rPr>
          <w:lang w:val="en-NZ"/>
        </w:rPr>
        <w:t xml:space="preserve">. </w:t>
      </w:r>
    </w:p>
    <w:p w14:paraId="516E7970" w14:textId="77777777" w:rsidR="006D20AF" w:rsidRPr="009A0DA6" w:rsidRDefault="006D20AF" w:rsidP="006D20AF">
      <w:pPr>
        <w:pStyle w:val="NoSpacing"/>
        <w:rPr>
          <w:rFonts w:cs="Arial"/>
        </w:rPr>
      </w:pPr>
    </w:p>
    <w:p w14:paraId="24212954" w14:textId="59B6802D" w:rsidR="004C6612" w:rsidRPr="009A0DA6" w:rsidRDefault="004C6612" w:rsidP="006D20AF">
      <w:pPr>
        <w:pStyle w:val="NoSpacing"/>
        <w:rPr>
          <w:rFonts w:cs="Arial"/>
        </w:rPr>
      </w:pPr>
      <w:r w:rsidRPr="009A0DA6">
        <w:rPr>
          <w:rFonts w:cs="Arial"/>
        </w:rPr>
        <w:t>A Reconciliation Action Plan (RAP) for the LCA will give us all a valuable tool to guide us as we continue to learn, to grow in awareness, to document specific aspects and actions of living out and walking the journey of reconciled life together</w:t>
      </w:r>
      <w:r w:rsidR="0027799A" w:rsidRPr="009A0DA6">
        <w:rPr>
          <w:rFonts w:cs="Arial"/>
        </w:rPr>
        <w:t xml:space="preserve">. </w:t>
      </w:r>
    </w:p>
    <w:p w14:paraId="2241F95D" w14:textId="77777777" w:rsidR="006D20AF" w:rsidRPr="009A0DA6" w:rsidRDefault="006D20AF" w:rsidP="006D20AF">
      <w:pPr>
        <w:pStyle w:val="NoSpacing"/>
        <w:rPr>
          <w:rFonts w:cs="Arial"/>
        </w:rPr>
      </w:pPr>
    </w:p>
    <w:p w14:paraId="273B3177" w14:textId="16359FD9" w:rsidR="004C6612" w:rsidRPr="009A0DA6" w:rsidRDefault="004C6612" w:rsidP="006D20AF">
      <w:pPr>
        <w:pStyle w:val="NoSpacing"/>
        <w:rPr>
          <w:rFonts w:cs="Arial"/>
        </w:rPr>
      </w:pPr>
      <w:r w:rsidRPr="009A0DA6">
        <w:rPr>
          <w:rFonts w:cs="Arial"/>
        </w:rPr>
        <w:t>The LCA has a long ministry history with Aboriginal people and communities in a number of places across Australia. Strong relationships and communities of faith have been established in a number of areas. We thank God for this story and the people who are part of it. An LCA RAP will aim to build on this story. Over time the LCA has sought</w:t>
      </w:r>
    </w:p>
    <w:p w14:paraId="24E573AE" w14:textId="7A55A609" w:rsidR="004C6612" w:rsidRPr="009A0DA6" w:rsidRDefault="004C6612" w:rsidP="00F55252">
      <w:pPr>
        <w:pStyle w:val="NoSpacing"/>
        <w:numPr>
          <w:ilvl w:val="0"/>
          <w:numId w:val="102"/>
        </w:numPr>
        <w:ind w:left="567" w:hanging="567"/>
        <w:rPr>
          <w:rFonts w:cs="Arial"/>
        </w:rPr>
      </w:pPr>
      <w:r w:rsidRPr="009A0DA6">
        <w:rPr>
          <w:rFonts w:cs="Arial"/>
        </w:rPr>
        <w:t xml:space="preserve">to discern the best ways to ensure Aboriginal people are heard and have a voice in the </w:t>
      </w:r>
      <w:r w:rsidR="00DB2C41" w:rsidRPr="009A0DA6">
        <w:rPr>
          <w:rFonts w:cs="Arial"/>
        </w:rPr>
        <w:t>church</w:t>
      </w:r>
      <w:r w:rsidRPr="009A0DA6">
        <w:rPr>
          <w:rFonts w:cs="Arial"/>
        </w:rPr>
        <w:t xml:space="preserve"> </w:t>
      </w:r>
    </w:p>
    <w:p w14:paraId="11939EB3" w14:textId="77777777" w:rsidR="004C6612" w:rsidRPr="009A0DA6" w:rsidRDefault="004C6612" w:rsidP="00F55252">
      <w:pPr>
        <w:pStyle w:val="NoSpacing"/>
        <w:numPr>
          <w:ilvl w:val="0"/>
          <w:numId w:val="102"/>
        </w:numPr>
        <w:ind w:left="567" w:hanging="567"/>
        <w:rPr>
          <w:rFonts w:cs="Arial"/>
        </w:rPr>
      </w:pPr>
      <w:r w:rsidRPr="009A0DA6">
        <w:rPr>
          <w:rFonts w:cs="Arial"/>
        </w:rPr>
        <w:t>to assist non-Aboriginal people gain awareness into matters important to Aboriginal people</w:t>
      </w:r>
    </w:p>
    <w:p w14:paraId="673BED40" w14:textId="578F01D2" w:rsidR="004C6612" w:rsidRPr="009A0DA6" w:rsidRDefault="004C6612" w:rsidP="00F55252">
      <w:pPr>
        <w:pStyle w:val="NoSpacing"/>
        <w:numPr>
          <w:ilvl w:val="0"/>
          <w:numId w:val="102"/>
        </w:numPr>
        <w:ind w:left="567" w:hanging="567"/>
        <w:rPr>
          <w:rFonts w:cs="Arial"/>
        </w:rPr>
      </w:pPr>
      <w:r w:rsidRPr="009A0DA6">
        <w:rPr>
          <w:rFonts w:cs="Arial"/>
        </w:rPr>
        <w:t xml:space="preserve">to encourage and enable appropriate opportunities for Aboriginal people to serve and lead in the </w:t>
      </w:r>
      <w:r w:rsidR="00DB2C41" w:rsidRPr="009A0DA6">
        <w:rPr>
          <w:rFonts w:cs="Arial"/>
        </w:rPr>
        <w:t>church</w:t>
      </w:r>
    </w:p>
    <w:p w14:paraId="0109A13F" w14:textId="77777777" w:rsidR="004C6612" w:rsidRPr="009A0DA6" w:rsidRDefault="004C6612" w:rsidP="00F55252">
      <w:pPr>
        <w:pStyle w:val="NoSpacing"/>
        <w:numPr>
          <w:ilvl w:val="0"/>
          <w:numId w:val="102"/>
        </w:numPr>
        <w:ind w:left="567" w:hanging="567"/>
        <w:rPr>
          <w:rFonts w:cs="Arial"/>
        </w:rPr>
      </w:pPr>
      <w:r w:rsidRPr="009A0DA6">
        <w:rPr>
          <w:rFonts w:cs="Arial"/>
        </w:rPr>
        <w:t>to provide ways for appropriate representation and recognition of Aboriginal people and communities in the LCA and</w:t>
      </w:r>
    </w:p>
    <w:p w14:paraId="697B9E10" w14:textId="46B54D44" w:rsidR="004C6612" w:rsidRPr="009A0DA6" w:rsidRDefault="004C6612" w:rsidP="00F55252">
      <w:pPr>
        <w:pStyle w:val="NoSpacing"/>
        <w:numPr>
          <w:ilvl w:val="0"/>
          <w:numId w:val="102"/>
        </w:numPr>
        <w:ind w:left="567" w:hanging="567"/>
        <w:rPr>
          <w:rFonts w:cs="Arial"/>
        </w:rPr>
      </w:pPr>
      <w:r w:rsidRPr="009A0DA6">
        <w:rPr>
          <w:rFonts w:cs="Arial"/>
        </w:rPr>
        <w:t>to speak out against racism in Australia.</w:t>
      </w:r>
      <w:r w:rsidR="006D20AF" w:rsidRPr="009A0DA6">
        <w:rPr>
          <w:rFonts w:cs="Arial"/>
        </w:rPr>
        <w:br/>
      </w:r>
    </w:p>
    <w:p w14:paraId="466BC426" w14:textId="77777777" w:rsidR="004C6612" w:rsidRPr="009A0DA6" w:rsidRDefault="004C6612" w:rsidP="006D20AF">
      <w:pPr>
        <w:pStyle w:val="NoSpacing"/>
        <w:rPr>
          <w:rFonts w:cs="Arial"/>
        </w:rPr>
      </w:pPr>
      <w:r w:rsidRPr="009A0DA6">
        <w:rPr>
          <w:rFonts w:cs="Arial"/>
        </w:rPr>
        <w:t>The commitment of the LCA was very evident in the 1990s for example when the LCA produced the video ‘Out of the Shadows’ and the report ‘We’re All People’. The General Synods of 1997 and 2000 featured significant resolutions concerning reconciliation and a rite of reconciliation in 2000. At these General Synods the LCA spoke strongly of a commitment to reconciliation and a strong voice against racism.</w:t>
      </w:r>
    </w:p>
    <w:p w14:paraId="31DADE64" w14:textId="77777777" w:rsidR="006D20AF" w:rsidRPr="009A0DA6" w:rsidRDefault="006D20AF" w:rsidP="006D20AF">
      <w:pPr>
        <w:pStyle w:val="NoSpacing"/>
        <w:rPr>
          <w:rFonts w:cs="Arial"/>
        </w:rPr>
      </w:pPr>
    </w:p>
    <w:p w14:paraId="2F50C02B" w14:textId="34621560" w:rsidR="004C6612" w:rsidRPr="009A0DA6" w:rsidRDefault="004C6612" w:rsidP="006D20AF">
      <w:pPr>
        <w:pStyle w:val="NoSpacing"/>
        <w:rPr>
          <w:rFonts w:cs="Arial"/>
        </w:rPr>
      </w:pPr>
      <w:r w:rsidRPr="009A0DA6">
        <w:rPr>
          <w:rFonts w:cs="Arial"/>
        </w:rPr>
        <w:t>At this present time in the life of the LCA we continue to seek to build upon the previous and current ministry and work being done in these areas.</w:t>
      </w:r>
    </w:p>
    <w:p w14:paraId="6F5F7592" w14:textId="77777777" w:rsidR="006D20AF" w:rsidRPr="009A0DA6" w:rsidRDefault="006D20AF" w:rsidP="006D20AF">
      <w:pPr>
        <w:pStyle w:val="NoSpacing"/>
        <w:rPr>
          <w:rFonts w:cs="Arial"/>
        </w:rPr>
      </w:pPr>
    </w:p>
    <w:p w14:paraId="47E90DB5" w14:textId="2E7F9D98" w:rsidR="004C6612" w:rsidRPr="009A0DA6" w:rsidRDefault="004C6612" w:rsidP="006D20AF">
      <w:pPr>
        <w:pStyle w:val="NoSpacing"/>
        <w:rPr>
          <w:rFonts w:cs="Arial"/>
        </w:rPr>
      </w:pPr>
      <w:r w:rsidRPr="009A0DA6">
        <w:rPr>
          <w:rFonts w:cs="Arial"/>
        </w:rPr>
        <w:t>At the 2015 General Convention of Synod, the LCA launched 50.500 as a mechanism to celebrate and commemorate the significant anniversaries of the LCA (50</w:t>
      </w:r>
      <w:r w:rsidRPr="009A0DA6">
        <w:rPr>
          <w:rFonts w:cs="Arial"/>
          <w:vertAlign w:val="superscript"/>
        </w:rPr>
        <w:t>th</w:t>
      </w:r>
      <w:r w:rsidRPr="009A0DA6">
        <w:rPr>
          <w:rFonts w:cs="Arial"/>
        </w:rPr>
        <w:t xml:space="preserve"> in 2016 and the 500</w:t>
      </w:r>
      <w:r w:rsidRPr="009A0DA6">
        <w:rPr>
          <w:rFonts w:cs="Arial"/>
          <w:vertAlign w:val="superscript"/>
        </w:rPr>
        <w:t>th</w:t>
      </w:r>
      <w:r w:rsidRPr="009A0DA6">
        <w:rPr>
          <w:rFonts w:cs="Arial"/>
        </w:rPr>
        <w:t xml:space="preserve"> anniversary of the Reformation in 2017) and to undertake some seed projects to go into the future. One such seed project identified by Bishop John Henderson was “Hearing the Indigenous Voice”</w:t>
      </w:r>
      <w:r w:rsidR="0027799A" w:rsidRPr="009A0DA6">
        <w:rPr>
          <w:rFonts w:cs="Arial"/>
        </w:rPr>
        <w:t xml:space="preserve">. </w:t>
      </w:r>
      <w:r w:rsidRPr="009A0DA6">
        <w:rPr>
          <w:rFonts w:cs="Arial"/>
        </w:rPr>
        <w:t xml:space="preserve">You can read about 50.500 more fully in the General Church Council report to Synod. “Hearing the Indigenous Voice” is a key 50.500 initiative both in the lead up to the 2018 Synod and into the future. Through these recent years the 50.500 committee became aware of organisations such as businesses, schools, communities and health care providers who have worked with Reconciliation Australia to craft what is known as a Reconciliation Action Plans for their organisation. The development of an LCA Reconciliation Action Plan (RAP) has been identified as an opportunity to explore in </w:t>
      </w:r>
      <w:r w:rsidR="00E357A7" w:rsidRPr="009A0DA6">
        <w:rPr>
          <w:rFonts w:cs="Arial"/>
        </w:rPr>
        <w:br/>
        <w:t>2017–</w:t>
      </w:r>
      <w:r w:rsidRPr="009A0DA6">
        <w:rPr>
          <w:rFonts w:cs="Arial"/>
        </w:rPr>
        <w:t xml:space="preserve">20. </w:t>
      </w:r>
    </w:p>
    <w:p w14:paraId="593F847F" w14:textId="77777777" w:rsidR="006D20AF" w:rsidRPr="009A0DA6" w:rsidRDefault="006D20AF" w:rsidP="006D20AF">
      <w:pPr>
        <w:pStyle w:val="NoSpacing"/>
        <w:rPr>
          <w:rFonts w:cs="Arial"/>
          <w:i/>
          <w:sz w:val="2"/>
        </w:rPr>
      </w:pPr>
    </w:p>
    <w:p w14:paraId="52BFBBA9" w14:textId="3C2E5A00" w:rsidR="004C6612" w:rsidRPr="009A0DA6" w:rsidRDefault="004C6612" w:rsidP="006D20AF">
      <w:pPr>
        <w:pStyle w:val="NoSpacing"/>
        <w:jc w:val="center"/>
        <w:rPr>
          <w:rFonts w:cs="Arial"/>
          <w:i/>
        </w:rPr>
      </w:pPr>
      <w:r w:rsidRPr="009A0DA6">
        <w:rPr>
          <w:rFonts w:cs="Arial"/>
          <w:i/>
        </w:rPr>
        <w:t>A RAP will provide a framework for the LCA to realise its vision for</w:t>
      </w:r>
      <w:r w:rsidRPr="009A0DA6">
        <w:rPr>
          <w:rFonts w:cs="Arial"/>
          <w:i/>
        </w:rPr>
        <w:br/>
        <w:t xml:space="preserve"> hearing, recognising and supporting Aboriginal people.</w:t>
      </w:r>
    </w:p>
    <w:p w14:paraId="246B8A66" w14:textId="77777777" w:rsidR="006D20AF" w:rsidRPr="009A0DA6" w:rsidRDefault="006D20AF" w:rsidP="006D20AF">
      <w:pPr>
        <w:pStyle w:val="NoSpacing"/>
        <w:rPr>
          <w:rFonts w:cs="Arial"/>
          <w:sz w:val="8"/>
        </w:rPr>
      </w:pPr>
    </w:p>
    <w:p w14:paraId="208F133F" w14:textId="74CAD573" w:rsidR="004C6612" w:rsidRPr="009A0DA6" w:rsidRDefault="004C6612" w:rsidP="006D20AF">
      <w:pPr>
        <w:pStyle w:val="NoSpacing"/>
        <w:rPr>
          <w:rFonts w:cs="Arial"/>
        </w:rPr>
      </w:pPr>
      <w:r w:rsidRPr="009A0DA6">
        <w:rPr>
          <w:rFonts w:cs="Arial"/>
        </w:rPr>
        <w:t>We believe a RAP will provide an excellent framework and structure to ensure that our commitment to listening, learning and actioning reconciliation within the LCA is undertaken, accountable and sustainable into the future, achieving real outcomes for a reconciled church.</w:t>
      </w:r>
    </w:p>
    <w:p w14:paraId="2BE20AFD" w14:textId="1DC4764C" w:rsidR="004C6612" w:rsidRDefault="004C6612" w:rsidP="006D20AF">
      <w:pPr>
        <w:pStyle w:val="NoSpacing"/>
      </w:pPr>
      <w:r w:rsidRPr="009A0DA6">
        <w:rPr>
          <w:rFonts w:cs="Arial"/>
        </w:rPr>
        <w:lastRenderedPageBreak/>
        <w:t xml:space="preserve">Through the 50.500 initiative, a small team of people formed to ask how best the LCA could hear the voices of Aboriginal and Torres Strait Islander people at this time in the life of our </w:t>
      </w:r>
      <w:r w:rsidR="00DB2C41" w:rsidRPr="009A0DA6">
        <w:rPr>
          <w:rFonts w:cs="Arial"/>
        </w:rPr>
        <w:t>church</w:t>
      </w:r>
      <w:r w:rsidRPr="009A0DA6">
        <w:rPr>
          <w:rFonts w:cs="Arial"/>
        </w:rPr>
        <w:t xml:space="preserve"> and Australian society. The New Zealand context was considered as a separate question for the people of the LCNZ. </w:t>
      </w:r>
      <w:r w:rsidR="00AD32D2">
        <w:t>An initial project team was formed: Rev Neville Otto (50.500 Committee Chair and Secretary of the LCA), Patricia Davis (Director of Marketing and Communications, Lutheran Services) and Kerry Stains (Director of Community Services, Lutheran Services).</w:t>
      </w:r>
    </w:p>
    <w:p w14:paraId="14FAF71C" w14:textId="77777777" w:rsidR="00AD32D2" w:rsidRPr="009A0DA6" w:rsidRDefault="00AD32D2" w:rsidP="006D20AF">
      <w:pPr>
        <w:pStyle w:val="NoSpacing"/>
        <w:rPr>
          <w:rFonts w:cs="Arial"/>
        </w:rPr>
      </w:pPr>
    </w:p>
    <w:p w14:paraId="19CC611B" w14:textId="4CC7CD2D" w:rsidR="004C6612" w:rsidRPr="009A0DA6" w:rsidRDefault="004C6612" w:rsidP="006D20AF">
      <w:pPr>
        <w:pStyle w:val="NoSpacing"/>
        <w:rPr>
          <w:rFonts w:cs="Arial"/>
        </w:rPr>
      </w:pPr>
      <w:r w:rsidRPr="009A0DA6">
        <w:rPr>
          <w:rFonts w:cs="Arial"/>
        </w:rPr>
        <w:t>In 2016/2017 initial research and consultation was undertaken to understand the best approach to developing a way forward, most particularly in relation to considering whether a RAP may be helpful</w:t>
      </w:r>
      <w:r w:rsidR="0027799A" w:rsidRPr="009A0DA6">
        <w:rPr>
          <w:rFonts w:cs="Arial"/>
        </w:rPr>
        <w:t xml:space="preserve">. </w:t>
      </w:r>
      <w:r w:rsidRPr="009A0DA6">
        <w:rPr>
          <w:rFonts w:cs="Arial"/>
        </w:rPr>
        <w:t>The following people were consulted with during this initial time:</w:t>
      </w:r>
    </w:p>
    <w:p w14:paraId="50B61070" w14:textId="2A88F6A0" w:rsidR="004C6612" w:rsidRPr="009A0DA6" w:rsidRDefault="00AD32D2" w:rsidP="00F55252">
      <w:pPr>
        <w:pStyle w:val="NoSpacing"/>
        <w:numPr>
          <w:ilvl w:val="0"/>
          <w:numId w:val="103"/>
        </w:numPr>
        <w:ind w:left="567" w:hanging="567"/>
        <w:rPr>
          <w:rFonts w:cs="Arial"/>
        </w:rPr>
      </w:pPr>
      <w:r>
        <w:rPr>
          <w:rFonts w:cs="Arial"/>
        </w:rPr>
        <w:t xml:space="preserve">Rev </w:t>
      </w:r>
      <w:r w:rsidR="004C6612" w:rsidRPr="009A0DA6">
        <w:rPr>
          <w:rFonts w:cs="Arial"/>
        </w:rPr>
        <w:t xml:space="preserve">John Henderson, Bishop of the Lutheran Church of Australia </w:t>
      </w:r>
    </w:p>
    <w:p w14:paraId="73A18B66" w14:textId="77777777" w:rsidR="004C6612" w:rsidRPr="009A0DA6" w:rsidRDefault="004C6612" w:rsidP="00F55252">
      <w:pPr>
        <w:pStyle w:val="NoSpacing"/>
        <w:numPr>
          <w:ilvl w:val="0"/>
          <w:numId w:val="103"/>
        </w:numPr>
        <w:ind w:left="567" w:hanging="567"/>
        <w:rPr>
          <w:rFonts w:cs="Arial"/>
        </w:rPr>
      </w:pPr>
      <w:r w:rsidRPr="009A0DA6">
        <w:rPr>
          <w:rFonts w:cs="Arial"/>
        </w:rPr>
        <w:t>Andrea Mason, Chief Executive of the Ngaanyatjarra Pitjantjatjara Yankunytjatjara (NPY) Women's Council, Northern Territory Australian of the Year 2016 and Australian Business Woman of the Year 2017 and Co-Chair of the Prime Minister’s Indigenous Advisory Council</w:t>
      </w:r>
    </w:p>
    <w:p w14:paraId="176DCBC8" w14:textId="77777777" w:rsidR="004C6612" w:rsidRPr="009A0DA6" w:rsidRDefault="004C6612" w:rsidP="00F55252">
      <w:pPr>
        <w:pStyle w:val="NoSpacing"/>
        <w:numPr>
          <w:ilvl w:val="0"/>
          <w:numId w:val="103"/>
        </w:numPr>
        <w:ind w:left="567" w:hanging="567"/>
        <w:rPr>
          <w:rFonts w:cs="Arial"/>
        </w:rPr>
      </w:pPr>
      <w:r w:rsidRPr="009A0DA6">
        <w:rPr>
          <w:rFonts w:cs="Arial"/>
        </w:rPr>
        <w:t xml:space="preserve">Jackie Huggins, Co-Chair of the National Congress of Australia’s First Peoples </w:t>
      </w:r>
      <w:r w:rsidRPr="009A0DA6">
        <w:rPr>
          <w:rFonts w:cs="Arial"/>
        </w:rPr>
        <w:tab/>
      </w:r>
    </w:p>
    <w:p w14:paraId="6A2F77B8" w14:textId="77777777" w:rsidR="004C6612" w:rsidRPr="009A0DA6" w:rsidRDefault="004C6612" w:rsidP="00F55252">
      <w:pPr>
        <w:pStyle w:val="NoSpacing"/>
        <w:numPr>
          <w:ilvl w:val="0"/>
          <w:numId w:val="103"/>
        </w:numPr>
        <w:ind w:left="567" w:hanging="567"/>
        <w:rPr>
          <w:rFonts w:cs="Arial"/>
        </w:rPr>
      </w:pPr>
      <w:r w:rsidRPr="009A0DA6">
        <w:rPr>
          <w:rFonts w:cs="Arial"/>
        </w:rPr>
        <w:t>Gary Oliver, CEO of the National Congress of Australia’s First Peoples</w:t>
      </w:r>
    </w:p>
    <w:p w14:paraId="3A10B34C" w14:textId="77777777" w:rsidR="004C6612" w:rsidRPr="009A0DA6" w:rsidRDefault="004C6612" w:rsidP="00F55252">
      <w:pPr>
        <w:pStyle w:val="NoSpacing"/>
        <w:numPr>
          <w:ilvl w:val="0"/>
          <w:numId w:val="103"/>
        </w:numPr>
        <w:ind w:left="567" w:hanging="567"/>
        <w:rPr>
          <w:rFonts w:cs="Arial"/>
        </w:rPr>
      </w:pPr>
      <w:r w:rsidRPr="009A0DA6">
        <w:rPr>
          <w:rFonts w:cs="Arial"/>
        </w:rPr>
        <w:t>Caitlin Maxwell, Program Officer of Reconciliation Australia</w:t>
      </w:r>
    </w:p>
    <w:p w14:paraId="2DBB4234" w14:textId="77777777" w:rsidR="004C6612" w:rsidRPr="009A0DA6" w:rsidRDefault="004C6612" w:rsidP="00F55252">
      <w:pPr>
        <w:pStyle w:val="NoSpacing"/>
        <w:numPr>
          <w:ilvl w:val="0"/>
          <w:numId w:val="103"/>
        </w:numPr>
        <w:ind w:left="567" w:hanging="567"/>
        <w:rPr>
          <w:rFonts w:cs="Arial"/>
        </w:rPr>
      </w:pPr>
      <w:r w:rsidRPr="009A0DA6">
        <w:rPr>
          <w:rFonts w:cs="Arial"/>
        </w:rPr>
        <w:t>Tim Stollznow, Chair of Finke River Mission Board</w:t>
      </w:r>
    </w:p>
    <w:p w14:paraId="03E78555" w14:textId="77777777" w:rsidR="004C6612" w:rsidRPr="009A0DA6" w:rsidRDefault="004C6612" w:rsidP="00F55252">
      <w:pPr>
        <w:pStyle w:val="NoSpacing"/>
        <w:numPr>
          <w:ilvl w:val="0"/>
          <w:numId w:val="103"/>
        </w:numPr>
        <w:ind w:left="567" w:hanging="567"/>
        <w:rPr>
          <w:rFonts w:cs="Arial"/>
        </w:rPr>
      </w:pPr>
      <w:r w:rsidRPr="009A0DA6">
        <w:rPr>
          <w:rFonts w:cs="Arial"/>
        </w:rPr>
        <w:t xml:space="preserve">Wayne Denning, CEO of Carbon Creative </w:t>
      </w:r>
    </w:p>
    <w:p w14:paraId="63F2C972" w14:textId="77777777" w:rsidR="004C6612" w:rsidRPr="009A0DA6" w:rsidRDefault="004C6612" w:rsidP="00F55252">
      <w:pPr>
        <w:pStyle w:val="NoSpacing"/>
        <w:numPr>
          <w:ilvl w:val="0"/>
          <w:numId w:val="103"/>
        </w:numPr>
        <w:ind w:left="567" w:hanging="567"/>
        <w:rPr>
          <w:rFonts w:cs="Arial"/>
        </w:rPr>
      </w:pPr>
      <w:r w:rsidRPr="009A0DA6">
        <w:rPr>
          <w:rFonts w:cs="Arial"/>
        </w:rPr>
        <w:t>Patricia Davis, Director – Marketing and Communication of Lutheran Services</w:t>
      </w:r>
    </w:p>
    <w:p w14:paraId="742703C3" w14:textId="77777777" w:rsidR="004C6612" w:rsidRPr="009A0DA6" w:rsidRDefault="004C6612" w:rsidP="00F55252">
      <w:pPr>
        <w:pStyle w:val="NoSpacing"/>
        <w:numPr>
          <w:ilvl w:val="0"/>
          <w:numId w:val="103"/>
        </w:numPr>
        <w:ind w:left="567" w:hanging="567"/>
        <w:rPr>
          <w:rFonts w:cs="Arial"/>
        </w:rPr>
      </w:pPr>
      <w:r w:rsidRPr="009A0DA6">
        <w:rPr>
          <w:rFonts w:cs="Arial"/>
        </w:rPr>
        <w:t>Shona Reid, Aboriginal Lands Parliamentary Standing Committee, Legislative Council, Parliament of South Australia, LCC Board Member, Aboriginal Ministries of SA Board Member, and member of Ferryden Park Aboriginal congregation</w:t>
      </w:r>
    </w:p>
    <w:p w14:paraId="17C83884" w14:textId="77777777" w:rsidR="004C6612" w:rsidRPr="009A0DA6" w:rsidRDefault="004C6612" w:rsidP="00F55252">
      <w:pPr>
        <w:pStyle w:val="NoSpacing"/>
        <w:numPr>
          <w:ilvl w:val="0"/>
          <w:numId w:val="103"/>
        </w:numPr>
        <w:ind w:left="567" w:hanging="567"/>
        <w:rPr>
          <w:rFonts w:cs="Arial"/>
        </w:rPr>
      </w:pPr>
      <w:r w:rsidRPr="009A0DA6">
        <w:rPr>
          <w:rFonts w:cs="Arial"/>
        </w:rPr>
        <w:t>Marilyn Wall, National Training Coordinator for LCA Professional Standards and Ferryden Park Aboriginal congregation member</w:t>
      </w:r>
    </w:p>
    <w:p w14:paraId="772CF059" w14:textId="77777777" w:rsidR="004C6612" w:rsidRPr="009A0DA6" w:rsidRDefault="004C6612" w:rsidP="00F55252">
      <w:pPr>
        <w:pStyle w:val="NoSpacing"/>
        <w:numPr>
          <w:ilvl w:val="0"/>
          <w:numId w:val="103"/>
        </w:numPr>
        <w:ind w:left="567" w:hanging="567"/>
        <w:rPr>
          <w:rFonts w:cs="Arial"/>
        </w:rPr>
      </w:pPr>
      <w:r w:rsidRPr="009A0DA6">
        <w:rPr>
          <w:rFonts w:cs="Arial"/>
        </w:rPr>
        <w:t>Helen Lockwood, Director of Lutheran Community Care SA/NT</w:t>
      </w:r>
    </w:p>
    <w:p w14:paraId="120D82B7" w14:textId="77777777" w:rsidR="004C6612" w:rsidRPr="009A0DA6" w:rsidRDefault="004C6612" w:rsidP="00F55252">
      <w:pPr>
        <w:pStyle w:val="NoSpacing"/>
        <w:numPr>
          <w:ilvl w:val="0"/>
          <w:numId w:val="103"/>
        </w:numPr>
        <w:ind w:left="567" w:hanging="567"/>
        <w:rPr>
          <w:rFonts w:cs="Arial"/>
        </w:rPr>
      </w:pPr>
      <w:r w:rsidRPr="009A0DA6">
        <w:rPr>
          <w:rFonts w:cs="Arial"/>
        </w:rPr>
        <w:t>Nick Heyne, Lutheran Community Care SA/NT</w:t>
      </w:r>
    </w:p>
    <w:p w14:paraId="2B5C6E0A" w14:textId="095C5AFF" w:rsidR="004C6612" w:rsidRPr="009A0DA6" w:rsidRDefault="004C6612" w:rsidP="00F55252">
      <w:pPr>
        <w:pStyle w:val="NoSpacing"/>
        <w:numPr>
          <w:ilvl w:val="0"/>
          <w:numId w:val="103"/>
        </w:numPr>
        <w:ind w:left="567" w:hanging="567"/>
        <w:rPr>
          <w:rFonts w:cs="Arial"/>
        </w:rPr>
      </w:pPr>
      <w:r w:rsidRPr="009A0DA6">
        <w:rPr>
          <w:rFonts w:cs="Arial"/>
        </w:rPr>
        <w:t>LCA Office of the Bishop Executive Team (</w:t>
      </w:r>
      <w:r w:rsidR="00AD32D2">
        <w:rPr>
          <w:rFonts w:cs="Arial"/>
        </w:rPr>
        <w:t xml:space="preserve">Rev </w:t>
      </w:r>
      <w:r w:rsidRPr="009A0DA6">
        <w:rPr>
          <w:rFonts w:cs="Arial"/>
        </w:rPr>
        <w:t>John Henderson, Peter Schirmer, Tania Nelson) and</w:t>
      </w:r>
    </w:p>
    <w:p w14:paraId="13F63B05" w14:textId="371B8F73" w:rsidR="004C6612" w:rsidRPr="009A0DA6" w:rsidRDefault="004C6612" w:rsidP="00F55252">
      <w:pPr>
        <w:pStyle w:val="NoSpacing"/>
        <w:numPr>
          <w:ilvl w:val="0"/>
          <w:numId w:val="103"/>
        </w:numPr>
        <w:ind w:left="567" w:hanging="567"/>
        <w:rPr>
          <w:rFonts w:cs="Arial"/>
        </w:rPr>
      </w:pPr>
      <w:r w:rsidRPr="009A0DA6">
        <w:rPr>
          <w:rFonts w:cs="Arial"/>
        </w:rPr>
        <w:t>LCA 50.500 Committee</w:t>
      </w:r>
      <w:r w:rsidR="00AD32D2">
        <w:rPr>
          <w:rFonts w:cs="Arial"/>
        </w:rPr>
        <w:t>.</w:t>
      </w:r>
      <w:r w:rsidR="006D20AF" w:rsidRPr="009A0DA6">
        <w:rPr>
          <w:rFonts w:cs="Arial"/>
        </w:rPr>
        <w:br/>
      </w:r>
    </w:p>
    <w:p w14:paraId="6842E9EF" w14:textId="77777777" w:rsidR="004C6612" w:rsidRPr="009A0DA6" w:rsidRDefault="004C6612" w:rsidP="006D20AF">
      <w:pPr>
        <w:pStyle w:val="NoSpacing"/>
        <w:rPr>
          <w:rFonts w:cs="Arial"/>
        </w:rPr>
      </w:pPr>
      <w:r w:rsidRPr="009A0DA6">
        <w:rPr>
          <w:rFonts w:cs="Arial"/>
        </w:rPr>
        <w:t>These initial discussions provided us with a combination of LCA leaders and Aboriginal voices. People expressed different views and questions including the strong encouragement to recognise the many different cultural aspects in communities.</w:t>
      </w:r>
    </w:p>
    <w:p w14:paraId="4C6339A0" w14:textId="77777777" w:rsidR="006D20AF" w:rsidRPr="009A0DA6" w:rsidRDefault="006D20AF" w:rsidP="006D20AF">
      <w:pPr>
        <w:pStyle w:val="NoSpacing"/>
        <w:rPr>
          <w:rFonts w:cs="Arial"/>
        </w:rPr>
      </w:pPr>
    </w:p>
    <w:p w14:paraId="6A155BB9" w14:textId="60C04D52" w:rsidR="004C6612" w:rsidRPr="009A0DA6" w:rsidRDefault="004C6612" w:rsidP="006D20AF">
      <w:pPr>
        <w:pStyle w:val="NoSpacing"/>
        <w:rPr>
          <w:rFonts w:cs="Arial"/>
        </w:rPr>
      </w:pPr>
      <w:r w:rsidRPr="009A0DA6">
        <w:rPr>
          <w:rFonts w:cs="Arial"/>
        </w:rPr>
        <w:t>These initial consultations played a pivotal role in informing the approach to developing the LCA plan and most specifically working with the RAP process. A RAP will provide an excellent framework for a national church long term commitment.</w:t>
      </w:r>
    </w:p>
    <w:p w14:paraId="3159F7F9" w14:textId="77777777" w:rsidR="006D20AF" w:rsidRPr="009A0DA6" w:rsidRDefault="006D20AF" w:rsidP="006D20AF">
      <w:pPr>
        <w:pStyle w:val="NoSpacing"/>
        <w:rPr>
          <w:rFonts w:cs="Arial"/>
        </w:rPr>
      </w:pPr>
    </w:p>
    <w:p w14:paraId="787F33BE" w14:textId="3AEAA11F" w:rsidR="004C6612" w:rsidRPr="009A0DA6" w:rsidRDefault="004C6612" w:rsidP="006D20AF">
      <w:pPr>
        <w:pStyle w:val="NoSpacing"/>
        <w:rPr>
          <w:rFonts w:cs="Arial"/>
        </w:rPr>
      </w:pPr>
      <w:r w:rsidRPr="009A0DA6">
        <w:rPr>
          <w:rFonts w:cs="Arial"/>
        </w:rPr>
        <w:t>Following these initial consultations, the RAP Project Team expanded to include two members of the above list, Marilyn Wall and Shona Reid</w:t>
      </w:r>
      <w:r w:rsidR="0027799A" w:rsidRPr="009A0DA6">
        <w:rPr>
          <w:rFonts w:cs="Arial"/>
        </w:rPr>
        <w:t xml:space="preserve">. </w:t>
      </w:r>
      <w:r w:rsidRPr="009A0DA6">
        <w:rPr>
          <w:rFonts w:cs="Arial"/>
        </w:rPr>
        <w:t>Due to her resignation, Kerry Stains is no longer on the Project Team.</w:t>
      </w:r>
    </w:p>
    <w:p w14:paraId="64C71FBE" w14:textId="77777777" w:rsidR="006D20AF" w:rsidRPr="009A0DA6" w:rsidRDefault="006D20AF" w:rsidP="006D20AF">
      <w:pPr>
        <w:pStyle w:val="NoSpacing"/>
        <w:rPr>
          <w:rFonts w:cs="Arial"/>
          <w:b/>
        </w:rPr>
      </w:pPr>
    </w:p>
    <w:p w14:paraId="1EAE6940" w14:textId="3BF2FD05" w:rsidR="006D20AF" w:rsidRPr="009A0DA6" w:rsidRDefault="004C6612" w:rsidP="00F55252">
      <w:pPr>
        <w:pStyle w:val="NoSpacing"/>
        <w:numPr>
          <w:ilvl w:val="0"/>
          <w:numId w:val="100"/>
        </w:numPr>
        <w:ind w:left="567" w:hanging="567"/>
        <w:rPr>
          <w:rFonts w:cs="Arial"/>
        </w:rPr>
      </w:pPr>
      <w:r w:rsidRPr="009A0DA6">
        <w:rPr>
          <w:rFonts w:cs="Arial"/>
          <w:b/>
        </w:rPr>
        <w:t xml:space="preserve">What is a RAP? </w:t>
      </w:r>
      <w:r w:rsidR="00B5659D" w:rsidRPr="009A0DA6">
        <w:rPr>
          <w:rFonts w:cs="Arial"/>
          <w:b/>
        </w:rPr>
        <w:br/>
      </w:r>
    </w:p>
    <w:p w14:paraId="11768133" w14:textId="777B9FD4" w:rsidR="004C6612" w:rsidRPr="009A0DA6" w:rsidRDefault="004C6612" w:rsidP="00AD32D2">
      <w:pPr>
        <w:pStyle w:val="NoSpacing"/>
        <w:rPr>
          <w:rFonts w:cs="Arial"/>
        </w:rPr>
      </w:pPr>
      <w:r w:rsidRPr="009A0DA6">
        <w:rPr>
          <w:rFonts w:cs="Arial"/>
        </w:rPr>
        <w:t>A RAP program is a framework for organisations to realise their vision for engaging well with Aboriginal people and creating good pathways and processes for people. Through the program, organisations develop a RAP—a plan that documents what an organisation commits to do.</w:t>
      </w:r>
      <w:r w:rsidR="00B5659D" w:rsidRPr="009A0DA6">
        <w:rPr>
          <w:rFonts w:cs="Arial"/>
        </w:rPr>
        <w:t xml:space="preserve"> (For a fuller explanation of Reconciliation Action Plans, visit the Business page of the Synod website </w:t>
      </w:r>
      <w:hyperlink r:id="rId28" w:history="1">
        <w:r w:rsidR="00B5659D" w:rsidRPr="00995084">
          <w:rPr>
            <w:rStyle w:val="Hyperlink"/>
            <w:rFonts w:cs="Arial"/>
            <w:color w:val="auto"/>
            <w:u w:val="none"/>
          </w:rPr>
          <w:t>www.convention2018.lca.org.au</w:t>
        </w:r>
      </w:hyperlink>
      <w:r w:rsidR="00B5659D" w:rsidRPr="009A0DA6">
        <w:rPr>
          <w:rFonts w:cs="Arial"/>
        </w:rPr>
        <w:t xml:space="preserve"> </w:t>
      </w:r>
      <w:r w:rsidR="00AD32D2">
        <w:rPr>
          <w:rFonts w:cs="Arial"/>
        </w:rPr>
        <w:br/>
      </w:r>
      <w:r w:rsidR="00B5659D" w:rsidRPr="009A0DA6">
        <w:rPr>
          <w:rFonts w:eastAsia="Times New Roman" w:cs="Arial"/>
          <w:i/>
          <w:lang w:val="en" w:eastAsia="en-AU"/>
        </w:rPr>
        <w:t xml:space="preserve">(Source: </w:t>
      </w:r>
      <w:r w:rsidR="00AD32D2">
        <w:rPr>
          <w:rFonts w:eastAsia="Times New Roman" w:cs="Arial"/>
          <w:i/>
          <w:lang w:val="en" w:eastAsia="en-AU"/>
        </w:rPr>
        <w:t>w</w:t>
      </w:r>
      <w:r w:rsidR="00B5659D" w:rsidRPr="009A0DA6">
        <w:rPr>
          <w:rFonts w:eastAsia="Times New Roman" w:cs="Arial"/>
          <w:i/>
          <w:lang w:val="en" w:eastAsia="en-AU"/>
        </w:rPr>
        <w:t>ww.reconciliation.org.au/reconciliation-action-plans/)</w:t>
      </w:r>
    </w:p>
    <w:p w14:paraId="763F5B5F" w14:textId="77777777" w:rsidR="006D20AF" w:rsidRPr="009A0DA6" w:rsidRDefault="006D20AF" w:rsidP="006D20AF">
      <w:pPr>
        <w:pStyle w:val="NoSpacing"/>
        <w:rPr>
          <w:rFonts w:cs="Arial"/>
        </w:rPr>
      </w:pPr>
    </w:p>
    <w:p w14:paraId="0A47329C" w14:textId="24088768" w:rsidR="004C6612" w:rsidRPr="009A0DA6" w:rsidRDefault="004C6612" w:rsidP="006D20AF">
      <w:pPr>
        <w:pStyle w:val="NoSpacing"/>
        <w:rPr>
          <w:rFonts w:cs="Arial"/>
        </w:rPr>
      </w:pPr>
      <w:r w:rsidRPr="009A0DA6">
        <w:rPr>
          <w:rFonts w:cs="Arial"/>
        </w:rPr>
        <w:lastRenderedPageBreak/>
        <w:t>A RAP will enable the LCA to commit to implementing and measuring practical actions that build respectful relationships and create opportunities for Aboriginal and Torres Strait Islander peoples. There are four different RAPs within the Reconciliation Australia Program:</w:t>
      </w:r>
    </w:p>
    <w:p w14:paraId="686D3D2C" w14:textId="77777777" w:rsidR="004C6612" w:rsidRPr="009A0DA6" w:rsidRDefault="004C6612" w:rsidP="00F55252">
      <w:pPr>
        <w:pStyle w:val="NoSpacing"/>
        <w:numPr>
          <w:ilvl w:val="0"/>
          <w:numId w:val="104"/>
        </w:numPr>
        <w:ind w:left="567" w:hanging="567"/>
        <w:rPr>
          <w:rFonts w:cs="Arial"/>
        </w:rPr>
      </w:pPr>
      <w:r w:rsidRPr="009A0DA6">
        <w:rPr>
          <w:rFonts w:cs="Arial"/>
        </w:rPr>
        <w:t>Reflect</w:t>
      </w:r>
    </w:p>
    <w:p w14:paraId="41D0AB28" w14:textId="77777777" w:rsidR="004C6612" w:rsidRPr="009A0DA6" w:rsidRDefault="004C6612" w:rsidP="00F55252">
      <w:pPr>
        <w:pStyle w:val="NoSpacing"/>
        <w:numPr>
          <w:ilvl w:val="0"/>
          <w:numId w:val="104"/>
        </w:numPr>
        <w:ind w:left="567" w:hanging="567"/>
        <w:rPr>
          <w:rFonts w:eastAsia="Times New Roman" w:cs="Arial"/>
          <w:lang w:val="en" w:eastAsia="en-AU"/>
        </w:rPr>
      </w:pPr>
      <w:r w:rsidRPr="009A0DA6">
        <w:rPr>
          <w:rFonts w:cs="Arial"/>
        </w:rPr>
        <w:t>Innovate</w:t>
      </w:r>
    </w:p>
    <w:p w14:paraId="7D430621" w14:textId="77777777" w:rsidR="004C6612" w:rsidRPr="009A0DA6" w:rsidRDefault="004C6612" w:rsidP="00F55252">
      <w:pPr>
        <w:pStyle w:val="NoSpacing"/>
        <w:numPr>
          <w:ilvl w:val="0"/>
          <w:numId w:val="104"/>
        </w:numPr>
        <w:ind w:left="567" w:hanging="567"/>
        <w:rPr>
          <w:rFonts w:cs="Arial"/>
        </w:rPr>
      </w:pPr>
      <w:r w:rsidRPr="009A0DA6">
        <w:rPr>
          <w:rFonts w:cs="Arial"/>
        </w:rPr>
        <w:t>Stretch</w:t>
      </w:r>
    </w:p>
    <w:p w14:paraId="0F4F0FB6" w14:textId="1E43A04F" w:rsidR="004C6612" w:rsidRPr="009A0DA6" w:rsidRDefault="004C6612" w:rsidP="00F55252">
      <w:pPr>
        <w:pStyle w:val="NoSpacing"/>
        <w:numPr>
          <w:ilvl w:val="0"/>
          <w:numId w:val="104"/>
        </w:numPr>
        <w:ind w:left="567" w:hanging="567"/>
        <w:rPr>
          <w:rFonts w:cs="Arial"/>
        </w:rPr>
      </w:pPr>
      <w:r w:rsidRPr="009A0DA6">
        <w:rPr>
          <w:rFonts w:cs="Arial"/>
        </w:rPr>
        <w:t>Elevate</w:t>
      </w:r>
      <w:r w:rsidR="005B39C4" w:rsidRPr="009A0DA6">
        <w:rPr>
          <w:rFonts w:cs="Arial"/>
        </w:rPr>
        <w:t>.</w:t>
      </w:r>
    </w:p>
    <w:p w14:paraId="0221BA63" w14:textId="77777777" w:rsidR="006D20AF" w:rsidRPr="009A0DA6" w:rsidRDefault="006D20AF" w:rsidP="006D20AF">
      <w:pPr>
        <w:pStyle w:val="NoSpacing"/>
        <w:rPr>
          <w:rFonts w:cs="Arial"/>
        </w:rPr>
      </w:pPr>
    </w:p>
    <w:p w14:paraId="671A65FF" w14:textId="77A14D5C" w:rsidR="004C6612" w:rsidRPr="009A0DA6" w:rsidRDefault="004C6612" w:rsidP="006D20AF">
      <w:pPr>
        <w:pStyle w:val="NoSpacing"/>
        <w:rPr>
          <w:rFonts w:cs="Arial"/>
        </w:rPr>
      </w:pPr>
      <w:r w:rsidRPr="009A0DA6">
        <w:rPr>
          <w:rFonts w:cs="Arial"/>
        </w:rPr>
        <w:t>The RAP Program is trademarked by Reconciliation Australia and the LCA cannot call the LCA reconciliation plan a ‘RAP’ unless it is formally endorsed by Reconciliation Australia. At the same time, we will also be able to ensure the RAP focuses on who we are as church in Christ.</w:t>
      </w:r>
    </w:p>
    <w:p w14:paraId="171EAB1C" w14:textId="77777777" w:rsidR="006D20AF" w:rsidRPr="009A0DA6" w:rsidRDefault="006D20AF" w:rsidP="006D20AF">
      <w:pPr>
        <w:pStyle w:val="NoSpacing"/>
        <w:rPr>
          <w:rFonts w:cs="Arial"/>
        </w:rPr>
      </w:pPr>
    </w:p>
    <w:p w14:paraId="7AC7E045" w14:textId="44CEBD43" w:rsidR="004C6612" w:rsidRPr="009A0DA6" w:rsidRDefault="004C6612" w:rsidP="006D20AF">
      <w:pPr>
        <w:pStyle w:val="NoSpacing"/>
        <w:rPr>
          <w:rFonts w:cs="Arial"/>
        </w:rPr>
      </w:pPr>
      <w:r w:rsidRPr="009A0DA6">
        <w:rPr>
          <w:rFonts w:cs="Arial"/>
        </w:rPr>
        <w:t>The term ‘RAP’ is recognised as the benchmark approach. Endorsement by Reconciliation Australia is critical to credibility among Aboriginal and Torres Strait Islander people. It will also reflect our listening to communities in the consultation process. Input and endorsement by Reconciliation Australia also provides the LCA with professional and culturally appropriate guidance and quality assurance</w:t>
      </w:r>
      <w:r w:rsidR="0027799A" w:rsidRPr="009A0DA6">
        <w:rPr>
          <w:rFonts w:cs="Arial"/>
        </w:rPr>
        <w:t xml:space="preserve">. </w:t>
      </w:r>
    </w:p>
    <w:p w14:paraId="2C0B4751" w14:textId="77777777" w:rsidR="006D20AF" w:rsidRPr="009A0DA6" w:rsidRDefault="006D20AF" w:rsidP="006D20AF">
      <w:pPr>
        <w:pStyle w:val="NoSpacing"/>
        <w:rPr>
          <w:rFonts w:cs="Arial"/>
          <w:b/>
          <w:i/>
        </w:rPr>
      </w:pPr>
    </w:p>
    <w:p w14:paraId="60F3A1D6" w14:textId="6C0F8FC4" w:rsidR="004C6612" w:rsidRPr="009A0DA6" w:rsidRDefault="004C6612" w:rsidP="006D20AF">
      <w:pPr>
        <w:pStyle w:val="NoSpacing"/>
        <w:rPr>
          <w:rFonts w:cs="Arial"/>
          <w:b/>
        </w:rPr>
      </w:pPr>
      <w:r w:rsidRPr="009A0DA6">
        <w:rPr>
          <w:rFonts w:cs="Arial"/>
          <w:b/>
        </w:rPr>
        <w:t>Benefits for LCA</w:t>
      </w:r>
    </w:p>
    <w:p w14:paraId="7D9488CC" w14:textId="77777777" w:rsidR="004C6612" w:rsidRPr="009A0DA6" w:rsidRDefault="004C6612" w:rsidP="006D20AF">
      <w:pPr>
        <w:pStyle w:val="NoSpacing"/>
        <w:rPr>
          <w:rFonts w:cs="Arial"/>
        </w:rPr>
      </w:pPr>
      <w:r w:rsidRPr="009A0DA6">
        <w:rPr>
          <w:rFonts w:cs="Arial"/>
        </w:rPr>
        <w:t xml:space="preserve">Joining the Reconciliation Australia RAP Program offers the LCA: </w:t>
      </w:r>
    </w:p>
    <w:p w14:paraId="4650F631" w14:textId="77777777" w:rsidR="004C6612" w:rsidRPr="009A0DA6" w:rsidRDefault="004C6612" w:rsidP="00F55252">
      <w:pPr>
        <w:pStyle w:val="NoSpacing"/>
        <w:numPr>
          <w:ilvl w:val="0"/>
          <w:numId w:val="105"/>
        </w:numPr>
        <w:ind w:left="567" w:hanging="567"/>
        <w:rPr>
          <w:rFonts w:cs="Arial"/>
        </w:rPr>
      </w:pPr>
      <w:r w:rsidRPr="009A0DA6">
        <w:rPr>
          <w:rFonts w:cs="Arial"/>
        </w:rPr>
        <w:t>access to a tried and tested program based on evidence</w:t>
      </w:r>
    </w:p>
    <w:p w14:paraId="2B0187D9" w14:textId="5A01DEF3" w:rsidR="004C6612" w:rsidRPr="009A0DA6" w:rsidRDefault="004C6612" w:rsidP="00F55252">
      <w:pPr>
        <w:pStyle w:val="NoSpacing"/>
        <w:numPr>
          <w:ilvl w:val="0"/>
          <w:numId w:val="105"/>
        </w:numPr>
        <w:ind w:left="567" w:hanging="567"/>
        <w:rPr>
          <w:rFonts w:cs="Arial"/>
        </w:rPr>
      </w:pPr>
      <w:r w:rsidRPr="009A0DA6">
        <w:rPr>
          <w:rFonts w:cs="Arial"/>
        </w:rPr>
        <w:t>a framework for action, developed in consultation with Aboriginal and Torres Strait Islander communities and organisations as well as government and corporate Australia</w:t>
      </w:r>
      <w:r w:rsidR="0047297B" w:rsidRPr="009A0DA6">
        <w:rPr>
          <w:rFonts w:cs="Arial"/>
        </w:rPr>
        <w:t>,</w:t>
      </w:r>
      <w:r w:rsidRPr="009A0DA6">
        <w:rPr>
          <w:rFonts w:cs="Arial"/>
        </w:rPr>
        <w:t xml:space="preserve"> and</w:t>
      </w:r>
    </w:p>
    <w:p w14:paraId="74C565B2" w14:textId="06DE5086" w:rsidR="004C6612" w:rsidRPr="009A0DA6" w:rsidRDefault="004C6612" w:rsidP="00F55252">
      <w:pPr>
        <w:pStyle w:val="NoSpacing"/>
        <w:numPr>
          <w:ilvl w:val="0"/>
          <w:numId w:val="105"/>
        </w:numPr>
        <w:ind w:left="567" w:hanging="567"/>
        <w:rPr>
          <w:rFonts w:cs="Arial"/>
        </w:rPr>
      </w:pPr>
      <w:r w:rsidRPr="009A0DA6">
        <w:rPr>
          <w:rFonts w:cs="Arial"/>
        </w:rPr>
        <w:t>membership to</w:t>
      </w:r>
      <w:r w:rsidR="0047297B" w:rsidRPr="009A0DA6">
        <w:rPr>
          <w:rFonts w:cs="Arial"/>
        </w:rPr>
        <w:t xml:space="preserve"> a dynamic, supportive and fast-</w:t>
      </w:r>
      <w:r w:rsidRPr="009A0DA6">
        <w:rPr>
          <w:rFonts w:cs="Arial"/>
        </w:rPr>
        <w:t>growing community of RAP organisations who are paving the way.</w:t>
      </w:r>
      <w:r w:rsidR="006D20AF" w:rsidRPr="009A0DA6">
        <w:rPr>
          <w:rFonts w:cs="Arial"/>
        </w:rPr>
        <w:br/>
      </w:r>
    </w:p>
    <w:p w14:paraId="53DB6402" w14:textId="77777777" w:rsidR="004C6612" w:rsidRPr="009A0DA6" w:rsidRDefault="004C6612" w:rsidP="006D20AF">
      <w:pPr>
        <w:pStyle w:val="NoSpacing"/>
        <w:rPr>
          <w:rFonts w:cs="Arial"/>
        </w:rPr>
      </w:pPr>
      <w:r w:rsidRPr="009A0DA6">
        <w:rPr>
          <w:rFonts w:cs="Arial"/>
        </w:rPr>
        <w:t>A RAP gives the LCA the best chance of achieving Aboriginal and Torres Strait Islander engagement objectives and delivering broader outcomes including:</w:t>
      </w:r>
    </w:p>
    <w:p w14:paraId="229894CB" w14:textId="7F5A7E4A" w:rsidR="004C6612" w:rsidRPr="009A0DA6" w:rsidRDefault="004C6612" w:rsidP="00F55252">
      <w:pPr>
        <w:pStyle w:val="NoSpacing"/>
        <w:numPr>
          <w:ilvl w:val="0"/>
          <w:numId w:val="106"/>
        </w:numPr>
        <w:ind w:left="567" w:hanging="567"/>
        <w:rPr>
          <w:rFonts w:cs="Arial"/>
        </w:rPr>
      </w:pPr>
      <w:r w:rsidRPr="009A0DA6">
        <w:rPr>
          <w:rFonts w:cs="Arial"/>
        </w:rPr>
        <w:t>Growing awareness in the LCA of ministry and issues relating to Aboriginal people throughout the LCA in Australia</w:t>
      </w:r>
    </w:p>
    <w:p w14:paraId="5290F115" w14:textId="77777777" w:rsidR="004C6612" w:rsidRPr="009A0DA6" w:rsidRDefault="004C6612" w:rsidP="00F55252">
      <w:pPr>
        <w:pStyle w:val="NoSpacing"/>
        <w:numPr>
          <w:ilvl w:val="0"/>
          <w:numId w:val="106"/>
        </w:numPr>
        <w:ind w:left="567" w:hanging="567"/>
        <w:rPr>
          <w:rFonts w:cs="Arial"/>
        </w:rPr>
      </w:pPr>
      <w:r w:rsidRPr="009A0DA6">
        <w:rPr>
          <w:rFonts w:cs="Arial"/>
        </w:rPr>
        <w:t>Providing opportunity for more Aboriginal and Torres Strait Islander people to give leadership and contribute to decisions concerning mission and ministry in the LCA</w:t>
      </w:r>
    </w:p>
    <w:p w14:paraId="1D7D9B75" w14:textId="283DAFDE" w:rsidR="004C6612" w:rsidRPr="009A0DA6" w:rsidRDefault="004C6612" w:rsidP="00F55252">
      <w:pPr>
        <w:pStyle w:val="NoSpacing"/>
        <w:numPr>
          <w:ilvl w:val="0"/>
          <w:numId w:val="106"/>
        </w:numPr>
        <w:ind w:left="567" w:hanging="567"/>
        <w:rPr>
          <w:rFonts w:cs="Arial"/>
        </w:rPr>
      </w:pPr>
      <w:r w:rsidRPr="009A0DA6">
        <w:rPr>
          <w:rFonts w:cs="Arial"/>
        </w:rPr>
        <w:t xml:space="preserve">Ensuring appropriate representation in </w:t>
      </w:r>
      <w:r w:rsidR="00C2017B" w:rsidRPr="009A0DA6">
        <w:rPr>
          <w:rFonts w:cs="Arial"/>
        </w:rPr>
        <w:t>Churchwide</w:t>
      </w:r>
      <w:r w:rsidRPr="009A0DA6">
        <w:rPr>
          <w:rFonts w:cs="Arial"/>
        </w:rPr>
        <w:t xml:space="preserve"> and local decision-making bodies such as the Conventions of Synod</w:t>
      </w:r>
    </w:p>
    <w:p w14:paraId="76C18F66" w14:textId="77777777" w:rsidR="004C6612" w:rsidRPr="009A0DA6" w:rsidRDefault="004C6612" w:rsidP="00F55252">
      <w:pPr>
        <w:pStyle w:val="NoSpacing"/>
        <w:numPr>
          <w:ilvl w:val="0"/>
          <w:numId w:val="106"/>
        </w:numPr>
        <w:ind w:left="567" w:hanging="567"/>
        <w:rPr>
          <w:rFonts w:cs="Arial"/>
        </w:rPr>
      </w:pPr>
      <w:r w:rsidRPr="009A0DA6">
        <w:rPr>
          <w:rFonts w:cs="Arial"/>
        </w:rPr>
        <w:t xml:space="preserve">Growing the career ministry paths for Aboriginal and Torres Strait Islanders </w:t>
      </w:r>
    </w:p>
    <w:p w14:paraId="7AA72939" w14:textId="77777777" w:rsidR="004C6612" w:rsidRPr="009A0DA6" w:rsidRDefault="004C6612" w:rsidP="00F55252">
      <w:pPr>
        <w:pStyle w:val="NoSpacing"/>
        <w:numPr>
          <w:ilvl w:val="0"/>
          <w:numId w:val="106"/>
        </w:numPr>
        <w:ind w:left="567" w:hanging="567"/>
        <w:rPr>
          <w:rFonts w:cs="Arial"/>
        </w:rPr>
      </w:pPr>
      <w:r w:rsidRPr="009A0DA6">
        <w:rPr>
          <w:rFonts w:cs="Arial"/>
        </w:rPr>
        <w:t>The opportunity to become an employer of choice for Aboriginal and Torres Strait Islander peoples</w:t>
      </w:r>
    </w:p>
    <w:p w14:paraId="79E56292" w14:textId="77777777" w:rsidR="004C6612" w:rsidRPr="009A0DA6" w:rsidRDefault="004C6612" w:rsidP="00F55252">
      <w:pPr>
        <w:pStyle w:val="NoSpacing"/>
        <w:numPr>
          <w:ilvl w:val="0"/>
          <w:numId w:val="106"/>
        </w:numPr>
        <w:ind w:left="567" w:hanging="567"/>
        <w:rPr>
          <w:rFonts w:cs="Arial"/>
        </w:rPr>
      </w:pPr>
      <w:r w:rsidRPr="009A0DA6">
        <w:rPr>
          <w:rFonts w:cs="Arial"/>
        </w:rPr>
        <w:t>A more dynamic, innovative and diverse workforce</w:t>
      </w:r>
    </w:p>
    <w:p w14:paraId="70036669" w14:textId="38655461" w:rsidR="004C6612" w:rsidRPr="009A0DA6" w:rsidRDefault="004C6612" w:rsidP="00F55252">
      <w:pPr>
        <w:pStyle w:val="NoSpacing"/>
        <w:numPr>
          <w:ilvl w:val="0"/>
          <w:numId w:val="106"/>
        </w:numPr>
        <w:ind w:left="567" w:hanging="567"/>
        <w:rPr>
          <w:rFonts w:cs="Arial"/>
        </w:rPr>
      </w:pPr>
      <w:r w:rsidRPr="009A0DA6">
        <w:rPr>
          <w:rFonts w:cs="Arial"/>
        </w:rPr>
        <w:t>A more culturally safe and tolerant workplace</w:t>
      </w:r>
      <w:r w:rsidR="0047297B" w:rsidRPr="009A0DA6">
        <w:rPr>
          <w:rFonts w:cs="Arial"/>
        </w:rPr>
        <w:t>,</w:t>
      </w:r>
      <w:r w:rsidRPr="009A0DA6">
        <w:rPr>
          <w:rFonts w:cs="Arial"/>
        </w:rPr>
        <w:t xml:space="preserve"> and</w:t>
      </w:r>
    </w:p>
    <w:p w14:paraId="4D7CAF39" w14:textId="77777777" w:rsidR="004C6612" w:rsidRPr="009A0DA6" w:rsidRDefault="004C6612" w:rsidP="00F55252">
      <w:pPr>
        <w:pStyle w:val="NoSpacing"/>
        <w:numPr>
          <w:ilvl w:val="0"/>
          <w:numId w:val="106"/>
        </w:numPr>
        <w:ind w:left="567" w:hanging="567"/>
        <w:rPr>
          <w:rFonts w:cs="Arial"/>
        </w:rPr>
      </w:pPr>
      <w:r w:rsidRPr="009A0DA6">
        <w:rPr>
          <w:rFonts w:cs="Arial"/>
        </w:rPr>
        <w:t>Enhanced service delivery to Aboriginal and Torres Strait Islander peoples and communities.</w:t>
      </w:r>
    </w:p>
    <w:p w14:paraId="297A368D" w14:textId="77777777" w:rsidR="006D20AF" w:rsidRPr="009A0DA6" w:rsidRDefault="006D20AF" w:rsidP="006D20AF">
      <w:pPr>
        <w:pStyle w:val="NoSpacing"/>
        <w:rPr>
          <w:rFonts w:cs="Arial"/>
          <w:b/>
          <w:i/>
        </w:rPr>
      </w:pPr>
    </w:p>
    <w:p w14:paraId="15ACD5CC" w14:textId="73352A50" w:rsidR="006D20AF" w:rsidRPr="009A0DA6" w:rsidRDefault="004C6612" w:rsidP="006D20AF">
      <w:pPr>
        <w:pStyle w:val="NoSpacing"/>
        <w:rPr>
          <w:rFonts w:cs="Arial"/>
          <w:b/>
        </w:rPr>
      </w:pPr>
      <w:r w:rsidRPr="009A0DA6">
        <w:rPr>
          <w:rFonts w:cs="Arial"/>
          <w:b/>
        </w:rPr>
        <w:t>Our RAP Project Plan</w:t>
      </w:r>
    </w:p>
    <w:p w14:paraId="140B4535" w14:textId="77777777" w:rsidR="004C6612" w:rsidRPr="009A0DA6" w:rsidRDefault="004C6612" w:rsidP="006D20AF">
      <w:pPr>
        <w:pStyle w:val="NoSpacing"/>
        <w:rPr>
          <w:rFonts w:cs="Arial"/>
        </w:rPr>
      </w:pPr>
      <w:r w:rsidRPr="009A0DA6">
        <w:rPr>
          <w:rFonts w:cs="Arial"/>
        </w:rPr>
        <w:t>After the initial consultations a RAP Project Plan was drafted which outlined the following Project objectives:</w:t>
      </w:r>
    </w:p>
    <w:p w14:paraId="0F6AB7D5" w14:textId="77777777" w:rsidR="004C6612" w:rsidRPr="009A0DA6" w:rsidRDefault="004C6612" w:rsidP="00F55252">
      <w:pPr>
        <w:pStyle w:val="NoSpacing"/>
        <w:numPr>
          <w:ilvl w:val="0"/>
          <w:numId w:val="107"/>
        </w:numPr>
        <w:ind w:left="567" w:hanging="567"/>
        <w:rPr>
          <w:rFonts w:cs="Arial"/>
        </w:rPr>
      </w:pPr>
      <w:r w:rsidRPr="009A0DA6">
        <w:rPr>
          <w:rFonts w:cs="Arial"/>
        </w:rPr>
        <w:t>Aboriginal and Torres Strait Islander people are an integral part of the development and implementation of the RAP</w:t>
      </w:r>
    </w:p>
    <w:p w14:paraId="0C1B14FD" w14:textId="77777777" w:rsidR="004C6612" w:rsidRPr="009A0DA6" w:rsidRDefault="004C6612" w:rsidP="00F55252">
      <w:pPr>
        <w:pStyle w:val="NoSpacing"/>
        <w:numPr>
          <w:ilvl w:val="0"/>
          <w:numId w:val="107"/>
        </w:numPr>
        <w:ind w:left="567" w:hanging="567"/>
        <w:rPr>
          <w:rFonts w:cs="Arial"/>
        </w:rPr>
      </w:pPr>
      <w:r w:rsidRPr="009A0DA6">
        <w:rPr>
          <w:rFonts w:cs="Arial"/>
        </w:rPr>
        <w:t>The LCA hears and listens to the voices of Aboriginal and Torres Strait Islander people through quality, purposeful and meaningful community engagement</w:t>
      </w:r>
    </w:p>
    <w:p w14:paraId="0600E0A4" w14:textId="77777777" w:rsidR="004C6612" w:rsidRPr="009A0DA6" w:rsidRDefault="004C6612" w:rsidP="00F55252">
      <w:pPr>
        <w:pStyle w:val="NoSpacing"/>
        <w:numPr>
          <w:ilvl w:val="0"/>
          <w:numId w:val="107"/>
        </w:numPr>
        <w:ind w:left="567" w:hanging="567"/>
        <w:rPr>
          <w:rFonts w:cs="Arial"/>
        </w:rPr>
      </w:pPr>
      <w:r w:rsidRPr="009A0DA6">
        <w:rPr>
          <w:rFonts w:cs="Arial"/>
        </w:rPr>
        <w:t xml:space="preserve">LCA’s communities and agencies achieve contextual insight into the key matters concerning Aboriginal and Torres Strait Islander people </w:t>
      </w:r>
    </w:p>
    <w:p w14:paraId="6AB6A5ED" w14:textId="77777777" w:rsidR="004C6612" w:rsidRPr="009A0DA6" w:rsidRDefault="004C6612" w:rsidP="00F55252">
      <w:pPr>
        <w:pStyle w:val="NoSpacing"/>
        <w:numPr>
          <w:ilvl w:val="0"/>
          <w:numId w:val="107"/>
        </w:numPr>
        <w:ind w:left="567" w:hanging="567"/>
        <w:rPr>
          <w:rFonts w:cs="Arial"/>
        </w:rPr>
      </w:pPr>
      <w:r w:rsidRPr="009A0DA6">
        <w:rPr>
          <w:rFonts w:cs="Arial"/>
        </w:rPr>
        <w:t xml:space="preserve">The LCA develops insights and understanding of how it can best serve and engage with Aboriginal and Torres Strait Islander People in its mission and ministry, and  </w:t>
      </w:r>
    </w:p>
    <w:p w14:paraId="7C0877B2" w14:textId="0203FBCD" w:rsidR="004C6612" w:rsidRPr="009A0DA6" w:rsidRDefault="004C6612" w:rsidP="00F55252">
      <w:pPr>
        <w:pStyle w:val="NoSpacing"/>
        <w:numPr>
          <w:ilvl w:val="0"/>
          <w:numId w:val="107"/>
        </w:numPr>
        <w:ind w:left="567" w:hanging="567"/>
        <w:rPr>
          <w:rFonts w:cs="Arial"/>
        </w:rPr>
      </w:pPr>
      <w:r w:rsidRPr="009A0DA6">
        <w:rPr>
          <w:rFonts w:cs="Arial"/>
        </w:rPr>
        <w:lastRenderedPageBreak/>
        <w:t>The LCA uses this insight and understanding to develop a Reconciliation Australia-endorsed RAP that provides a road map for positive action</w:t>
      </w:r>
      <w:r w:rsidR="0027799A" w:rsidRPr="009A0DA6">
        <w:rPr>
          <w:rFonts w:cs="Arial"/>
        </w:rPr>
        <w:t xml:space="preserve">. </w:t>
      </w:r>
      <w:r w:rsidRPr="009A0DA6">
        <w:rPr>
          <w:rFonts w:cs="Arial"/>
        </w:rPr>
        <w:t xml:space="preserve"> </w:t>
      </w:r>
    </w:p>
    <w:p w14:paraId="48B50D3F" w14:textId="77777777" w:rsidR="006D20AF" w:rsidRPr="009A0DA6" w:rsidRDefault="006D20AF" w:rsidP="006D20AF">
      <w:pPr>
        <w:pStyle w:val="NoSpacing"/>
        <w:rPr>
          <w:rFonts w:cs="Arial"/>
        </w:rPr>
      </w:pPr>
    </w:p>
    <w:p w14:paraId="6BE4D881" w14:textId="7B46B0CE" w:rsidR="004C6612" w:rsidRPr="009A0DA6" w:rsidRDefault="004C6612" w:rsidP="006D20AF">
      <w:pPr>
        <w:pStyle w:val="NoSpacing"/>
      </w:pPr>
      <w:r w:rsidRPr="009A0DA6">
        <w:rPr>
          <w:rFonts w:cs="Arial"/>
        </w:rPr>
        <w:t xml:space="preserve">It is our understanding that no other national </w:t>
      </w:r>
      <w:r w:rsidR="00DB2C41" w:rsidRPr="009A0DA6">
        <w:rPr>
          <w:rFonts w:cs="Arial"/>
        </w:rPr>
        <w:t>church</w:t>
      </w:r>
      <w:r w:rsidRPr="009A0DA6">
        <w:rPr>
          <w:rFonts w:cs="Arial"/>
        </w:rPr>
        <w:t xml:space="preserve"> has such a plan in place and so we have endeavoured to ensure that there is a process or framework to assist us to prepare a sustainable long-term plan. We are not aware of any other mechanism which provides the process support and healthy accountability that the Reconciliation Action Plan Process provides.</w:t>
      </w:r>
    </w:p>
    <w:p w14:paraId="34235212" w14:textId="77777777" w:rsidR="006D20AF" w:rsidRPr="009A0DA6" w:rsidRDefault="006D20AF" w:rsidP="006D20AF">
      <w:pPr>
        <w:pStyle w:val="NoSpacing"/>
        <w:rPr>
          <w:rFonts w:cs="Arial"/>
          <w:b/>
        </w:rPr>
      </w:pPr>
    </w:p>
    <w:p w14:paraId="4552BBFB" w14:textId="25FED85F" w:rsidR="004C6612" w:rsidRPr="009A0DA6" w:rsidRDefault="004C6612" w:rsidP="00F55252">
      <w:pPr>
        <w:pStyle w:val="NoSpacing"/>
        <w:numPr>
          <w:ilvl w:val="0"/>
          <w:numId w:val="100"/>
        </w:numPr>
        <w:ind w:left="567" w:hanging="567"/>
        <w:rPr>
          <w:rFonts w:cs="Arial"/>
          <w:b/>
        </w:rPr>
      </w:pPr>
      <w:r w:rsidRPr="009A0DA6">
        <w:rPr>
          <w:rFonts w:cs="Arial"/>
          <w:b/>
        </w:rPr>
        <w:t>Listening in communities</w:t>
      </w:r>
    </w:p>
    <w:p w14:paraId="12027469" w14:textId="6D4C9A13" w:rsidR="004C6612" w:rsidRPr="009A0DA6" w:rsidRDefault="004C6612" w:rsidP="006D20AF">
      <w:pPr>
        <w:pStyle w:val="NoSpacing"/>
        <w:rPr>
          <w:rFonts w:cs="Arial"/>
        </w:rPr>
      </w:pPr>
      <w:r w:rsidRPr="009A0DA6">
        <w:rPr>
          <w:rFonts w:cs="Arial"/>
        </w:rPr>
        <w:t>In late 2017, the members of the RAP Project team commenced a period of meeting and listening with Lutheran Aboriginal and non-Aboriginal persons in traditional Lutheran ar</w:t>
      </w:r>
      <w:r w:rsidR="0047297B" w:rsidRPr="009A0DA6">
        <w:rPr>
          <w:rFonts w:cs="Arial"/>
        </w:rPr>
        <w:t>eas such as the West Coast of South Australia</w:t>
      </w:r>
      <w:r w:rsidRPr="009A0DA6">
        <w:rPr>
          <w:rFonts w:cs="Arial"/>
        </w:rPr>
        <w:t>, Central Australia and Far North Queensland. In doing so, we set out to hear people’s stories in the church. We believe the people and their stories are important to inform RAP process. This is Phase 1 of the Project Plan and was funded by the initial pool of funds allocated by Synod for the 50.500 project. Phase 2 is the report of the Project Team which is part of the 50.500 report to Synod.</w:t>
      </w:r>
    </w:p>
    <w:p w14:paraId="6EEFBA69" w14:textId="77777777" w:rsidR="006D20AF" w:rsidRPr="009A0DA6" w:rsidRDefault="006D20AF" w:rsidP="006D20AF">
      <w:pPr>
        <w:pStyle w:val="NoSpacing"/>
        <w:rPr>
          <w:rFonts w:cs="Arial"/>
          <w:b/>
        </w:rPr>
      </w:pPr>
    </w:p>
    <w:p w14:paraId="0338AD06" w14:textId="10A12D8E" w:rsidR="004C6612" w:rsidRPr="009A0DA6" w:rsidRDefault="004C6612" w:rsidP="00F55252">
      <w:pPr>
        <w:pStyle w:val="NoSpacing"/>
        <w:numPr>
          <w:ilvl w:val="0"/>
          <w:numId w:val="100"/>
        </w:numPr>
        <w:ind w:left="567" w:hanging="567"/>
        <w:rPr>
          <w:rFonts w:cs="Arial"/>
          <w:b/>
        </w:rPr>
      </w:pPr>
      <w:r w:rsidRPr="009A0DA6">
        <w:rPr>
          <w:rFonts w:cs="Arial"/>
          <w:b/>
        </w:rPr>
        <w:t>Next steps</w:t>
      </w:r>
    </w:p>
    <w:p w14:paraId="30528098" w14:textId="68094C87" w:rsidR="004C6612" w:rsidRPr="009A0DA6" w:rsidRDefault="004C6612" w:rsidP="006D20AF">
      <w:pPr>
        <w:pStyle w:val="NoSpacing"/>
        <w:rPr>
          <w:rFonts w:cs="Arial"/>
        </w:rPr>
      </w:pPr>
      <w:r w:rsidRPr="009A0DA6">
        <w:rPr>
          <w:rFonts w:cs="Arial"/>
        </w:rPr>
        <w:t>With the support of Synod the RAP Project team will undertake Phase 3, which will curate a R</w:t>
      </w:r>
      <w:r w:rsidR="0047297B" w:rsidRPr="009A0DA6">
        <w:rPr>
          <w:rFonts w:cs="Arial"/>
        </w:rPr>
        <w:t>AP Working Group comprising 8 to 10</w:t>
      </w:r>
      <w:r w:rsidRPr="009A0DA6">
        <w:rPr>
          <w:rFonts w:cs="Arial"/>
        </w:rPr>
        <w:t xml:space="preserve"> people most or all of whom will be Aboriginal people. We will work with Reconciliation Australia in process whilst also paying close to attention to the fact that we are </w:t>
      </w:r>
      <w:r w:rsidR="00DB2C41" w:rsidRPr="009A0DA6">
        <w:rPr>
          <w:rFonts w:cs="Arial"/>
        </w:rPr>
        <w:t>church</w:t>
      </w:r>
      <w:r w:rsidRPr="009A0DA6">
        <w:rPr>
          <w:rFonts w:cs="Arial"/>
        </w:rPr>
        <w:t xml:space="preserve"> and this RAP will be the first national church RAP (as far as we understand)</w:t>
      </w:r>
      <w:r w:rsidR="0027799A" w:rsidRPr="009A0DA6">
        <w:rPr>
          <w:rFonts w:cs="Arial"/>
        </w:rPr>
        <w:t xml:space="preserve">. </w:t>
      </w:r>
    </w:p>
    <w:p w14:paraId="01706506" w14:textId="77777777" w:rsidR="006D20AF" w:rsidRPr="009A0DA6" w:rsidRDefault="006D20AF" w:rsidP="006D20AF">
      <w:pPr>
        <w:pStyle w:val="NoSpacing"/>
        <w:rPr>
          <w:rFonts w:cs="Arial"/>
        </w:rPr>
      </w:pPr>
    </w:p>
    <w:p w14:paraId="681C10A6" w14:textId="3E5C660D" w:rsidR="004C6612" w:rsidRPr="009A0DA6" w:rsidRDefault="004C6612" w:rsidP="006D20AF">
      <w:pPr>
        <w:pStyle w:val="NoSpacing"/>
        <w:rPr>
          <w:rFonts w:cs="Arial"/>
        </w:rPr>
      </w:pPr>
      <w:r w:rsidRPr="009A0DA6">
        <w:rPr>
          <w:rFonts w:cs="Arial"/>
        </w:rPr>
        <w:t>Phase 3 is crucial, as this involves the formation and meetings of the Working Group. It is envisaged that this group will meet up to four times over a six-month period and will be supported by a p</w:t>
      </w:r>
      <w:r w:rsidR="0047297B" w:rsidRPr="009A0DA6">
        <w:rPr>
          <w:rFonts w:cs="Arial"/>
        </w:rPr>
        <w:t>art-time Project Officer. While</w:t>
      </w:r>
      <w:r w:rsidRPr="009A0DA6">
        <w:rPr>
          <w:rFonts w:cs="Arial"/>
        </w:rPr>
        <w:t xml:space="preserve"> the initial work in Phases 1 and 2 has been carried out by a volunteer project team we believe the final phases requ</w:t>
      </w:r>
      <w:r w:rsidR="0047297B" w:rsidRPr="009A0DA6">
        <w:rPr>
          <w:rFonts w:cs="Arial"/>
        </w:rPr>
        <w:t>ire the support of a part-time project o</w:t>
      </w:r>
      <w:r w:rsidRPr="009A0DA6">
        <w:rPr>
          <w:rFonts w:cs="Arial"/>
        </w:rPr>
        <w:t>fficer.</w:t>
      </w:r>
    </w:p>
    <w:p w14:paraId="687D9925" w14:textId="77777777" w:rsidR="006D20AF" w:rsidRPr="009A0DA6" w:rsidRDefault="006D20AF" w:rsidP="006D20AF">
      <w:pPr>
        <w:pStyle w:val="NoSpacing"/>
        <w:rPr>
          <w:rFonts w:cs="Arial"/>
        </w:rPr>
      </w:pPr>
    </w:p>
    <w:p w14:paraId="17B7A173" w14:textId="7FF3BC55" w:rsidR="004C6612" w:rsidRPr="009A0DA6" w:rsidRDefault="005B39C4" w:rsidP="006D20AF">
      <w:pPr>
        <w:pStyle w:val="NoSpacing"/>
        <w:rPr>
          <w:rFonts w:cs="Arial"/>
        </w:rPr>
      </w:pPr>
      <w:r w:rsidRPr="009A0DA6">
        <w:rPr>
          <w:rFonts w:cs="Arial"/>
        </w:rPr>
        <w:t>The summary of stages 3</w:t>
      </w:r>
      <w:r w:rsidRPr="009A0DA6">
        <w:rPr>
          <w:rFonts w:cs="Arial"/>
        </w:rPr>
        <w:softHyphen/>
        <w:t>–</w:t>
      </w:r>
      <w:r w:rsidR="004C6612" w:rsidRPr="009A0DA6">
        <w:rPr>
          <w:rFonts w:cs="Arial"/>
        </w:rPr>
        <w:t>5 is in the Project Plan on pages 5 and 6 along with associated considerations</w:t>
      </w:r>
      <w:r w:rsidR="0027799A" w:rsidRPr="009A0DA6">
        <w:rPr>
          <w:rFonts w:cs="Arial"/>
        </w:rPr>
        <w:t xml:space="preserve">. </w:t>
      </w:r>
    </w:p>
    <w:p w14:paraId="1ABA86C6" w14:textId="77777777" w:rsidR="006D20AF" w:rsidRPr="009A0DA6" w:rsidRDefault="006D20AF" w:rsidP="006D20AF">
      <w:pPr>
        <w:pStyle w:val="NoSpacing"/>
        <w:rPr>
          <w:rFonts w:cs="Arial"/>
        </w:rPr>
      </w:pPr>
    </w:p>
    <w:p w14:paraId="2BC8C91B" w14:textId="7E537C78" w:rsidR="0001243B" w:rsidRPr="009A0DA6" w:rsidRDefault="004C6612" w:rsidP="006D20AF">
      <w:pPr>
        <w:pStyle w:val="NoSpacing"/>
      </w:pPr>
      <w:r w:rsidRPr="009A0DA6">
        <w:rPr>
          <w:rFonts w:cs="Arial"/>
        </w:rPr>
        <w:t>We believe this work will provide a genuine tool to hear the voices of Aboriginal people, to engage in sensitive and appropriate dialogue, and to encourage and facilitate Aboriginal people in leading, guiding and serving in the LCA and in the wider Australian community into the long term</w:t>
      </w:r>
      <w:r w:rsidR="00031E04" w:rsidRPr="009A0DA6">
        <w:rPr>
          <w:rFonts w:cs="Arial"/>
        </w:rPr>
        <w:t>.</w:t>
      </w:r>
    </w:p>
    <w:p w14:paraId="68D264DF" w14:textId="59588968" w:rsidR="000759D1" w:rsidRPr="009A0DA6" w:rsidRDefault="000759D1">
      <w:pPr>
        <w:rPr>
          <w:rFonts w:ascii="Cambria" w:eastAsiaTheme="majorEastAsia" w:hAnsi="Cambria" w:cstheme="majorBidi"/>
          <w:b/>
          <w:caps/>
          <w:sz w:val="28"/>
          <w:szCs w:val="24"/>
        </w:rPr>
      </w:pPr>
    </w:p>
    <w:p w14:paraId="199F81F3" w14:textId="77777777" w:rsidR="00A971D9" w:rsidRDefault="00A971D9">
      <w:pPr>
        <w:rPr>
          <w:rFonts w:ascii="Cambria" w:eastAsiaTheme="majorEastAsia" w:hAnsi="Cambria" w:cstheme="majorBidi"/>
          <w:b/>
          <w:caps/>
          <w:sz w:val="28"/>
          <w:szCs w:val="24"/>
        </w:rPr>
      </w:pPr>
      <w:r>
        <w:br w:type="page"/>
      </w:r>
    </w:p>
    <w:p w14:paraId="4AE248E8" w14:textId="5899A6C4" w:rsidR="00174A5E" w:rsidRPr="009A0DA6" w:rsidRDefault="00174A5E" w:rsidP="00174A5E">
      <w:pPr>
        <w:pStyle w:val="Heading3"/>
      </w:pPr>
      <w:r w:rsidRPr="009A0DA6">
        <w:lastRenderedPageBreak/>
        <w:t>agenda 2.2.9</w:t>
      </w:r>
    </w:p>
    <w:p w14:paraId="65F26BE2" w14:textId="57BC2C44" w:rsidR="00174A5E" w:rsidRPr="009A0DA6" w:rsidRDefault="00174A5E" w:rsidP="00174A5E">
      <w:pPr>
        <w:pStyle w:val="Heading2"/>
      </w:pPr>
      <w:bookmarkStart w:id="57" w:name="_Toc521954606"/>
      <w:bookmarkStart w:id="58" w:name="_Toc522394971"/>
      <w:r w:rsidRPr="009A0DA6">
        <w:t xml:space="preserve">Our </w:t>
      </w:r>
      <w:r w:rsidR="006D20AF" w:rsidRPr="009A0DA6">
        <w:t>D</w:t>
      </w:r>
      <w:r w:rsidRPr="009A0DA6">
        <w:t xml:space="preserve">irection </w:t>
      </w:r>
      <w:r w:rsidR="00031E04" w:rsidRPr="009A0DA6">
        <w:t>2018–2024</w:t>
      </w:r>
      <w:bookmarkEnd w:id="57"/>
      <w:bookmarkEnd w:id="58"/>
    </w:p>
    <w:p w14:paraId="45635DC7" w14:textId="10117A75" w:rsidR="00174A5E" w:rsidRPr="009A0DA6" w:rsidRDefault="00174A5E" w:rsidP="00174A5E">
      <w:pPr>
        <w:pStyle w:val="NoSpacing"/>
      </w:pPr>
    </w:p>
    <w:p w14:paraId="12E43CCF" w14:textId="77777777" w:rsidR="006D20AF" w:rsidRPr="009A0DA6" w:rsidRDefault="006D20AF" w:rsidP="006D20AF">
      <w:pPr>
        <w:pStyle w:val="Heading3"/>
        <w:rPr>
          <w:rFonts w:eastAsia="Times New Roman" w:cs="Times New Roman"/>
          <w:bCs/>
          <w:color w:val="222222"/>
          <w:vertAlign w:val="subscript"/>
          <w:lang w:eastAsia="en-AU"/>
        </w:rPr>
      </w:pPr>
      <w:r w:rsidRPr="009A0DA6">
        <w:rPr>
          <w:noProof/>
        </w:rPr>
        <w:t>PROPOSED MOTION</w:t>
      </w:r>
    </w:p>
    <w:p w14:paraId="58FD7C6F" w14:textId="77777777" w:rsidR="006D20AF" w:rsidRPr="009A0DA6" w:rsidRDefault="006D20AF" w:rsidP="006D20AF">
      <w:pPr>
        <w:shd w:val="clear" w:color="auto" w:fill="FFFFFF"/>
        <w:spacing w:after="120" w:line="22" w:lineRule="atLeast"/>
        <w:rPr>
          <w:rFonts w:ascii="Cambria" w:hAnsi="Cambria" w:cs="Arial"/>
          <w:i/>
          <w:shd w:val="clear" w:color="auto" w:fill="FFFFFF"/>
        </w:rPr>
      </w:pPr>
      <w:r w:rsidRPr="009A0DA6">
        <w:rPr>
          <w:rFonts w:ascii="Cambria" w:eastAsia="Times New Roman" w:hAnsi="Cambria" w:cs="Times New Roman"/>
          <w:bCs/>
          <w:i/>
          <w:lang w:eastAsia="en-AU"/>
        </w:rPr>
        <w:t>Submitted by General Church Council</w:t>
      </w:r>
    </w:p>
    <w:p w14:paraId="0F9B80C0" w14:textId="5475645D" w:rsidR="006D20AF" w:rsidRPr="009A0DA6" w:rsidRDefault="006D20AF" w:rsidP="006D20AF">
      <w:pPr>
        <w:shd w:val="clear" w:color="auto" w:fill="FFFFFF"/>
        <w:tabs>
          <w:tab w:val="left" w:pos="3596"/>
        </w:tabs>
        <w:spacing w:line="240" w:lineRule="auto"/>
        <w:rPr>
          <w:rFonts w:ascii="Cambria" w:eastAsia="Times New Roman" w:hAnsi="Cambria" w:cs="Times New Roman"/>
          <w:bCs/>
          <w:color w:val="222222"/>
          <w:lang w:eastAsia="en-AU"/>
        </w:rPr>
      </w:pPr>
      <w:r w:rsidRPr="009A0DA6">
        <w:rPr>
          <w:rFonts w:ascii="Cambria" w:eastAsia="Times New Roman" w:hAnsi="Cambria" w:cs="Times New Roman"/>
          <w:b/>
          <w:bCs/>
          <w:color w:val="222222"/>
          <w:lang w:eastAsia="en-AU"/>
        </w:rPr>
        <w:t xml:space="preserve">BE IT RESOLVED </w:t>
      </w:r>
      <w:r w:rsidRPr="009A0DA6">
        <w:rPr>
          <w:rFonts w:ascii="Cambria" w:eastAsia="Times New Roman" w:hAnsi="Cambria" w:cs="Times New Roman"/>
          <w:bCs/>
          <w:color w:val="222222"/>
          <w:lang w:eastAsia="en-AU"/>
        </w:rPr>
        <w:t xml:space="preserve">that </w:t>
      </w:r>
      <w:r w:rsidR="00031E04" w:rsidRPr="009A0DA6">
        <w:rPr>
          <w:rFonts w:ascii="Cambria" w:eastAsia="Times New Roman" w:hAnsi="Cambria" w:cs="Times New Roman"/>
          <w:bCs/>
          <w:color w:val="222222"/>
          <w:lang w:eastAsia="en-AU"/>
        </w:rPr>
        <w:t>Synod</w:t>
      </w:r>
      <w:r w:rsidRPr="009A0DA6">
        <w:rPr>
          <w:rFonts w:ascii="Cambria" w:eastAsia="Times New Roman" w:hAnsi="Cambria" w:cs="Times New Roman"/>
          <w:bCs/>
          <w:color w:val="222222"/>
          <w:lang w:eastAsia="en-AU"/>
        </w:rPr>
        <w:t xml:space="preserve"> a</w:t>
      </w:r>
      <w:r w:rsidR="00031E04" w:rsidRPr="009A0DA6">
        <w:rPr>
          <w:rFonts w:ascii="Cambria" w:eastAsia="Times New Roman" w:hAnsi="Cambria" w:cs="Times New Roman"/>
          <w:bCs/>
          <w:color w:val="222222"/>
          <w:lang w:eastAsia="en-AU"/>
        </w:rPr>
        <w:t>pprove the document ‘Our Direction 2018–</w:t>
      </w:r>
      <w:r w:rsidRPr="009A0DA6">
        <w:rPr>
          <w:rFonts w:ascii="Cambria" w:eastAsia="Times New Roman" w:hAnsi="Cambria" w:cs="Times New Roman"/>
          <w:bCs/>
          <w:color w:val="222222"/>
          <w:lang w:eastAsia="en-AU"/>
        </w:rPr>
        <w:t>2024</w:t>
      </w:r>
      <w:r w:rsidR="00031E04" w:rsidRPr="009A0DA6">
        <w:rPr>
          <w:rFonts w:ascii="Cambria" w:eastAsia="Times New Roman" w:hAnsi="Cambria" w:cs="Times New Roman"/>
          <w:bCs/>
          <w:color w:val="222222"/>
          <w:lang w:eastAsia="en-AU"/>
        </w:rPr>
        <w:t>’</w:t>
      </w:r>
      <w:r w:rsidRPr="009A0DA6">
        <w:rPr>
          <w:rFonts w:ascii="Cambria" w:eastAsia="Times New Roman" w:hAnsi="Cambria" w:cs="Times New Roman"/>
          <w:bCs/>
          <w:color w:val="222222"/>
          <w:lang w:eastAsia="en-AU"/>
        </w:rPr>
        <w:t xml:space="preserve"> as a catalyst for action.</w:t>
      </w:r>
    </w:p>
    <w:p w14:paraId="5BA6F1BB" w14:textId="3DC44033" w:rsidR="006D20AF" w:rsidRPr="009A0DA6" w:rsidRDefault="00FB59B1" w:rsidP="000759D1">
      <w:pPr>
        <w:pStyle w:val="Heading3"/>
        <w:rPr>
          <w:rFonts w:eastAsia="Times New Roman"/>
          <w:lang w:eastAsia="en-AU"/>
        </w:rPr>
      </w:pPr>
      <w:r w:rsidRPr="009A0DA6">
        <w:rPr>
          <w:rFonts w:eastAsia="Times New Roman"/>
          <w:lang w:eastAsia="en-AU"/>
        </w:rPr>
        <w:t>REASONS FOR THE MOTION</w:t>
      </w:r>
    </w:p>
    <w:p w14:paraId="2E9484AD" w14:textId="597FA47E" w:rsidR="006D20AF" w:rsidRPr="009A0DA6" w:rsidRDefault="00031E04" w:rsidP="006D20AF">
      <w:pPr>
        <w:shd w:val="clear" w:color="auto" w:fill="FFFFFF"/>
        <w:spacing w:line="240" w:lineRule="auto"/>
        <w:rPr>
          <w:rFonts w:ascii="Cambria" w:hAnsi="Cambria" w:cs="Arial"/>
          <w:color w:val="222222"/>
        </w:rPr>
      </w:pPr>
      <w:r w:rsidRPr="009A0DA6">
        <w:rPr>
          <w:rFonts w:ascii="Cambria" w:hAnsi="Cambria" w:cs="Arial"/>
          <w:color w:val="222222"/>
        </w:rPr>
        <w:t>In 2013</w:t>
      </w:r>
      <w:r w:rsidR="006D20AF" w:rsidRPr="009A0DA6">
        <w:rPr>
          <w:rFonts w:ascii="Cambria" w:hAnsi="Cambria" w:cs="Arial"/>
          <w:color w:val="222222"/>
        </w:rPr>
        <w:t xml:space="preserve"> the General Convention of Synod adopt</w:t>
      </w:r>
      <w:r w:rsidRPr="009A0DA6">
        <w:rPr>
          <w:rFonts w:ascii="Cambria" w:hAnsi="Cambria" w:cs="Arial"/>
          <w:color w:val="222222"/>
        </w:rPr>
        <w:t>ed a Strategic Direction 2013–</w:t>
      </w:r>
      <w:r w:rsidR="006D20AF" w:rsidRPr="009A0DA6">
        <w:rPr>
          <w:rFonts w:ascii="Cambria" w:hAnsi="Cambria" w:cs="Arial"/>
          <w:color w:val="222222"/>
        </w:rPr>
        <w:t>2018.</w:t>
      </w:r>
    </w:p>
    <w:p w14:paraId="12B2B05A" w14:textId="3B279D88" w:rsidR="006D20AF" w:rsidRPr="009A0DA6" w:rsidRDefault="00031E04" w:rsidP="006D20AF">
      <w:pPr>
        <w:shd w:val="clear" w:color="auto" w:fill="FFFFFF"/>
        <w:spacing w:line="240" w:lineRule="auto"/>
        <w:rPr>
          <w:rFonts w:ascii="Cambria" w:hAnsi="Cambria" w:cs="Arial"/>
          <w:color w:val="222222"/>
        </w:rPr>
      </w:pPr>
      <w:r w:rsidRPr="009A0DA6">
        <w:rPr>
          <w:rFonts w:ascii="Cambria" w:hAnsi="Cambria" w:cs="Arial"/>
          <w:color w:val="222222"/>
        </w:rPr>
        <w:t>The ‘</w:t>
      </w:r>
      <w:r w:rsidR="006D20AF" w:rsidRPr="009A0DA6">
        <w:rPr>
          <w:rFonts w:ascii="Cambria" w:hAnsi="Cambria" w:cs="Arial"/>
          <w:color w:val="222222"/>
        </w:rPr>
        <w:t xml:space="preserve">Report </w:t>
      </w:r>
      <w:r w:rsidRPr="009A0DA6">
        <w:rPr>
          <w:rFonts w:ascii="Cambria" w:hAnsi="Cambria" w:cs="Arial"/>
          <w:color w:val="222222"/>
        </w:rPr>
        <w:t>of the Strategic Direction 2013–2018’</w:t>
      </w:r>
      <w:r w:rsidR="006D20AF" w:rsidRPr="009A0DA6">
        <w:rPr>
          <w:rFonts w:ascii="Cambria" w:hAnsi="Cambria" w:cs="Arial"/>
          <w:color w:val="222222"/>
        </w:rPr>
        <w:t xml:space="preserve"> (refer GCC Report - </w:t>
      </w:r>
      <w:r w:rsidR="006D20AF" w:rsidRPr="00EB6C06">
        <w:rPr>
          <w:rFonts w:ascii="Cambria" w:hAnsi="Cambria" w:cs="Arial"/>
          <w:color w:val="222222"/>
        </w:rPr>
        <w:t>Attachment G)</w:t>
      </w:r>
      <w:r w:rsidR="006D20AF" w:rsidRPr="009A0DA6">
        <w:rPr>
          <w:rFonts w:ascii="Cambria" w:hAnsi="Cambria" w:cs="Arial"/>
          <w:color w:val="222222"/>
        </w:rPr>
        <w:t xml:space="preserve"> provides a summary of what has been achieved over the past six years. </w:t>
      </w:r>
    </w:p>
    <w:p w14:paraId="6C241574" w14:textId="638DB081" w:rsidR="006D20AF" w:rsidRPr="009A0DA6" w:rsidRDefault="006D20AF" w:rsidP="006D20AF">
      <w:pPr>
        <w:shd w:val="clear" w:color="auto" w:fill="FFFFFF"/>
        <w:spacing w:line="240" w:lineRule="auto"/>
        <w:rPr>
          <w:rFonts w:ascii="Cambria" w:hAnsi="Cambria" w:cs="Arial"/>
          <w:color w:val="222222"/>
        </w:rPr>
      </w:pPr>
      <w:r w:rsidRPr="009A0DA6">
        <w:rPr>
          <w:rFonts w:ascii="Cambria" w:hAnsi="Cambria" w:cs="Arial"/>
          <w:color w:val="222222"/>
        </w:rPr>
        <w:t xml:space="preserve">The GCC has reviewed the strategic direction and, as stated in the report, it believes the current priorities are still relevant and therefore no major changes are necessary for the period </w:t>
      </w:r>
      <w:r w:rsidR="00031E04" w:rsidRPr="009A0DA6">
        <w:rPr>
          <w:rFonts w:ascii="Cambria" w:hAnsi="Cambria" w:cs="Arial"/>
          <w:color w:val="222222"/>
        </w:rPr>
        <w:t>2018–2024</w:t>
      </w:r>
      <w:r w:rsidRPr="009A0DA6">
        <w:rPr>
          <w:rFonts w:ascii="Cambria" w:hAnsi="Cambria" w:cs="Arial"/>
          <w:color w:val="222222"/>
        </w:rPr>
        <w:t xml:space="preserve">. </w:t>
      </w:r>
    </w:p>
    <w:p w14:paraId="3F57FC26" w14:textId="77777777" w:rsidR="006D20AF" w:rsidRPr="009A0DA6" w:rsidRDefault="006D20AF" w:rsidP="006D20AF">
      <w:pPr>
        <w:spacing w:after="120" w:line="240" w:lineRule="auto"/>
        <w:rPr>
          <w:rFonts w:ascii="Cambria" w:hAnsi="Cambria" w:cs="Arial"/>
          <w:color w:val="222222"/>
        </w:rPr>
      </w:pPr>
      <w:r w:rsidRPr="009A0DA6">
        <w:rPr>
          <w:rFonts w:ascii="Cambria" w:hAnsi="Cambria" w:cs="Arial"/>
          <w:color w:val="222222"/>
        </w:rPr>
        <w:t>However, it is proposed that there are some changes in emphasis, with particular attention to:</w:t>
      </w:r>
    </w:p>
    <w:p w14:paraId="2D712522" w14:textId="0B0164D0" w:rsidR="006D20AF" w:rsidRPr="009A0DA6" w:rsidRDefault="00031E04" w:rsidP="00F55252">
      <w:pPr>
        <w:pStyle w:val="ListParagraph"/>
        <w:numPr>
          <w:ilvl w:val="0"/>
          <w:numId w:val="108"/>
        </w:numPr>
        <w:spacing w:after="120" w:line="240" w:lineRule="auto"/>
        <w:ind w:left="567" w:hanging="567"/>
        <w:rPr>
          <w:rFonts w:ascii="Cambria" w:hAnsi="Cambria" w:cs="Arial"/>
          <w:color w:val="222222"/>
        </w:rPr>
      </w:pPr>
      <w:r w:rsidRPr="009A0DA6">
        <w:rPr>
          <w:rFonts w:ascii="Cambria" w:hAnsi="Cambria" w:cs="Arial"/>
          <w:color w:val="222222"/>
        </w:rPr>
        <w:t>e</w:t>
      </w:r>
      <w:r w:rsidR="006D20AF" w:rsidRPr="009A0DA6">
        <w:rPr>
          <w:rFonts w:ascii="Cambria" w:hAnsi="Cambria" w:cs="Arial"/>
          <w:color w:val="222222"/>
        </w:rPr>
        <w:t>quipping people for mission and ministry in the church, local communities and the wider world;</w:t>
      </w:r>
    </w:p>
    <w:p w14:paraId="68AA4F55" w14:textId="71834FD7" w:rsidR="006D20AF" w:rsidRPr="009A0DA6" w:rsidRDefault="00031E04" w:rsidP="00F55252">
      <w:pPr>
        <w:pStyle w:val="ListParagraph"/>
        <w:numPr>
          <w:ilvl w:val="0"/>
          <w:numId w:val="108"/>
        </w:numPr>
        <w:spacing w:after="120" w:line="240" w:lineRule="auto"/>
        <w:ind w:left="567" w:hanging="567"/>
        <w:rPr>
          <w:rFonts w:ascii="Cambria" w:hAnsi="Cambria" w:cs="Arial"/>
          <w:color w:val="222222"/>
        </w:rPr>
      </w:pPr>
      <w:r w:rsidRPr="009A0DA6">
        <w:rPr>
          <w:rFonts w:ascii="Cambria" w:hAnsi="Cambria" w:cs="Arial"/>
          <w:color w:val="222222"/>
        </w:rPr>
        <w:t>pr</w:t>
      </w:r>
      <w:r w:rsidR="006D20AF" w:rsidRPr="009A0DA6">
        <w:rPr>
          <w:rFonts w:ascii="Cambria" w:hAnsi="Cambria" w:cs="Arial"/>
          <w:color w:val="222222"/>
        </w:rPr>
        <w:t xml:space="preserve">omoting and encouraging a greater participation by Lutherans of Aboriginal and Torres Strait Islander background in the life of the </w:t>
      </w:r>
      <w:r w:rsidR="00DB2C41" w:rsidRPr="009A0DA6">
        <w:rPr>
          <w:rFonts w:ascii="Cambria" w:hAnsi="Cambria" w:cs="Arial"/>
          <w:color w:val="222222"/>
        </w:rPr>
        <w:t>church</w:t>
      </w:r>
      <w:r w:rsidR="006D20AF" w:rsidRPr="009A0DA6">
        <w:rPr>
          <w:rFonts w:ascii="Cambria" w:hAnsi="Cambria" w:cs="Arial"/>
          <w:color w:val="222222"/>
        </w:rPr>
        <w:t xml:space="preserve">. A major proposed initiative is the development of a Reconciliation Action Plan; </w:t>
      </w:r>
    </w:p>
    <w:p w14:paraId="68B262BE" w14:textId="2B11B1AA" w:rsidR="006D20AF" w:rsidRPr="009A0DA6" w:rsidRDefault="00031E04" w:rsidP="00F55252">
      <w:pPr>
        <w:pStyle w:val="ListParagraph"/>
        <w:numPr>
          <w:ilvl w:val="0"/>
          <w:numId w:val="108"/>
        </w:numPr>
        <w:spacing w:after="120" w:line="240" w:lineRule="auto"/>
        <w:ind w:left="567" w:hanging="567"/>
        <w:rPr>
          <w:rFonts w:ascii="Cambria" w:hAnsi="Cambria" w:cs="Arial"/>
          <w:color w:val="222222"/>
        </w:rPr>
      </w:pPr>
      <w:r w:rsidRPr="009A0DA6">
        <w:rPr>
          <w:rFonts w:ascii="Cambria" w:hAnsi="Cambria" w:cs="Arial"/>
          <w:color w:val="222222"/>
        </w:rPr>
        <w:t>a</w:t>
      </w:r>
      <w:r w:rsidR="006D20AF" w:rsidRPr="009A0DA6">
        <w:rPr>
          <w:rFonts w:ascii="Cambria" w:hAnsi="Cambria" w:cs="Arial"/>
          <w:color w:val="222222"/>
        </w:rPr>
        <w:t xml:space="preserve"> strong commitment to the protection of people, especially children and the vulnerable; and</w:t>
      </w:r>
    </w:p>
    <w:p w14:paraId="1E82FE53" w14:textId="3B55C4D0" w:rsidR="006D20AF" w:rsidRPr="009A0DA6" w:rsidRDefault="00031E04" w:rsidP="00F55252">
      <w:pPr>
        <w:pStyle w:val="ListParagraph"/>
        <w:numPr>
          <w:ilvl w:val="0"/>
          <w:numId w:val="108"/>
        </w:numPr>
        <w:spacing w:after="120" w:line="240" w:lineRule="auto"/>
        <w:ind w:left="567" w:hanging="567"/>
        <w:rPr>
          <w:rFonts w:ascii="Cambria" w:hAnsi="Cambria" w:cs="Arial"/>
          <w:color w:val="222222"/>
        </w:rPr>
      </w:pPr>
      <w:r w:rsidRPr="009A0DA6">
        <w:rPr>
          <w:rFonts w:ascii="Cambria" w:hAnsi="Cambria" w:cs="Arial"/>
          <w:color w:val="222222"/>
        </w:rPr>
        <w:t>d</w:t>
      </w:r>
      <w:r w:rsidR="006D20AF" w:rsidRPr="009A0DA6">
        <w:rPr>
          <w:rFonts w:ascii="Cambria" w:hAnsi="Cambria" w:cs="Arial"/>
          <w:color w:val="222222"/>
        </w:rPr>
        <w:t xml:space="preserve">eveloping stronger collaboration and relationships between all parts of the </w:t>
      </w:r>
      <w:r w:rsidR="00DB2C41" w:rsidRPr="009A0DA6">
        <w:rPr>
          <w:rFonts w:ascii="Cambria" w:hAnsi="Cambria" w:cs="Arial"/>
          <w:color w:val="222222"/>
        </w:rPr>
        <w:t>church</w:t>
      </w:r>
      <w:r w:rsidR="006D20AF" w:rsidRPr="009A0DA6">
        <w:rPr>
          <w:rFonts w:ascii="Cambria" w:hAnsi="Cambria" w:cs="Arial"/>
          <w:color w:val="222222"/>
        </w:rPr>
        <w:t xml:space="preserve"> to support mission, including districts, schools, aged care and community service organisations.</w:t>
      </w:r>
    </w:p>
    <w:p w14:paraId="22636DD4" w14:textId="474D819A" w:rsidR="006D20AF" w:rsidRPr="009A0DA6" w:rsidRDefault="006D20AF" w:rsidP="006D20AF">
      <w:pPr>
        <w:spacing w:after="120" w:line="240" w:lineRule="auto"/>
        <w:rPr>
          <w:rFonts w:ascii="Cambria" w:hAnsi="Cambria" w:cs="Arial"/>
          <w:color w:val="222222"/>
        </w:rPr>
      </w:pPr>
      <w:r w:rsidRPr="009A0DA6">
        <w:rPr>
          <w:rFonts w:ascii="Cambria" w:hAnsi="Cambria" w:cs="Arial"/>
          <w:color w:val="222222"/>
        </w:rPr>
        <w:t xml:space="preserve">We recommend to the General </w:t>
      </w:r>
      <w:r w:rsidR="00031E04" w:rsidRPr="009A0DA6">
        <w:rPr>
          <w:rFonts w:ascii="Cambria" w:hAnsi="Cambria" w:cs="Arial"/>
          <w:color w:val="222222"/>
        </w:rPr>
        <w:t>Synod that it adopts the document ‘</w:t>
      </w:r>
      <w:r w:rsidRPr="009A0DA6">
        <w:rPr>
          <w:rFonts w:ascii="Cambria" w:hAnsi="Cambria" w:cs="Arial"/>
          <w:color w:val="222222"/>
        </w:rPr>
        <w:t xml:space="preserve">Our Direction </w:t>
      </w:r>
      <w:r w:rsidR="00031E04" w:rsidRPr="009A0DA6">
        <w:rPr>
          <w:rFonts w:ascii="Cambria" w:hAnsi="Cambria" w:cs="Arial"/>
          <w:color w:val="222222"/>
        </w:rPr>
        <w:br/>
        <w:t>2018–2024’</w:t>
      </w:r>
      <w:r w:rsidRPr="009A0DA6">
        <w:rPr>
          <w:rFonts w:ascii="Cambria" w:hAnsi="Cambria" w:cs="Arial"/>
          <w:color w:val="222222"/>
        </w:rPr>
        <w:t>.</w:t>
      </w:r>
    </w:p>
    <w:p w14:paraId="02ED9B09" w14:textId="0D34162A" w:rsidR="00DA16F1" w:rsidRPr="009A0DA6" w:rsidRDefault="00DA16F1">
      <w:pPr>
        <w:rPr>
          <w:rFonts w:ascii="Cambria" w:hAnsi="Cambria"/>
        </w:rPr>
      </w:pPr>
      <w:r w:rsidRPr="009A0DA6">
        <w:rPr>
          <w:rFonts w:ascii="Cambria" w:hAnsi="Cambria"/>
        </w:rPr>
        <w:br w:type="page"/>
      </w:r>
    </w:p>
    <w:p w14:paraId="2674D2EA" w14:textId="77777777" w:rsidR="00296DD9" w:rsidRDefault="00296DD9" w:rsidP="0001243B">
      <w:pPr>
        <w:pStyle w:val="NoSpacing"/>
      </w:pPr>
    </w:p>
    <w:p w14:paraId="349BE498" w14:textId="77777777" w:rsidR="00296DD9" w:rsidRDefault="00296DD9" w:rsidP="0001243B">
      <w:pPr>
        <w:pStyle w:val="NoSpacing"/>
      </w:pPr>
    </w:p>
    <w:p w14:paraId="40C92755" w14:textId="77777777" w:rsidR="00296DD9" w:rsidRDefault="00296DD9" w:rsidP="0001243B">
      <w:pPr>
        <w:pStyle w:val="NoSpacing"/>
      </w:pPr>
    </w:p>
    <w:p w14:paraId="2242FC5D" w14:textId="60139B38" w:rsidR="0001243B" w:rsidRPr="009A0DA6" w:rsidRDefault="001836A4" w:rsidP="0001243B">
      <w:pPr>
        <w:pStyle w:val="NoSpacing"/>
      </w:pPr>
      <w:r>
        <w:rPr>
          <w:noProof/>
          <w:lang w:eastAsia="en-AU"/>
        </w:rPr>
        <w:drawing>
          <wp:inline distT="0" distB="0" distL="0" distR="0" wp14:anchorId="6B369C9E" wp14:editId="4EFAA1A7">
            <wp:extent cx="5594985" cy="7914005"/>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0 00 General Synod Proposal Our Direction Summary Document 2018 - 2024 (002).jpg"/>
                    <pic:cNvPicPr/>
                  </pic:nvPicPr>
                  <pic:blipFill>
                    <a:blip r:embed="rId29">
                      <a:extLst>
                        <a:ext uri="{28A0092B-C50C-407E-A947-70E740481C1C}">
                          <a14:useLocalDpi xmlns:a14="http://schemas.microsoft.com/office/drawing/2010/main" val="0"/>
                        </a:ext>
                      </a:extLst>
                    </a:blip>
                    <a:stretch>
                      <a:fillRect/>
                    </a:stretch>
                  </pic:blipFill>
                  <pic:spPr>
                    <a:xfrm>
                      <a:off x="0" y="0"/>
                      <a:ext cx="5594985" cy="7914005"/>
                    </a:xfrm>
                    <a:prstGeom prst="rect">
                      <a:avLst/>
                    </a:prstGeom>
                  </pic:spPr>
                </pic:pic>
              </a:graphicData>
            </a:graphic>
          </wp:inline>
        </w:drawing>
      </w:r>
    </w:p>
    <w:p w14:paraId="1151871F" w14:textId="77777777" w:rsidR="00DA16F1" w:rsidRPr="009A0DA6" w:rsidRDefault="00DA16F1">
      <w:pPr>
        <w:rPr>
          <w:rFonts w:ascii="Cambria" w:eastAsiaTheme="majorEastAsia" w:hAnsi="Cambria" w:cstheme="majorBidi"/>
          <w:b/>
          <w:caps/>
          <w:sz w:val="28"/>
          <w:szCs w:val="24"/>
        </w:rPr>
      </w:pPr>
      <w:r w:rsidRPr="009A0DA6">
        <w:rPr>
          <w:rFonts w:ascii="Cambria" w:hAnsi="Cambria"/>
        </w:rPr>
        <w:br w:type="page"/>
      </w:r>
    </w:p>
    <w:p w14:paraId="70616C3A" w14:textId="51F078A7" w:rsidR="0001243B" w:rsidRPr="009A0DA6" w:rsidRDefault="0001243B" w:rsidP="00964A90">
      <w:pPr>
        <w:pStyle w:val="Heading3"/>
      </w:pPr>
      <w:r w:rsidRPr="009A0DA6">
        <w:lastRenderedPageBreak/>
        <w:t>Agenda 2.2.</w:t>
      </w:r>
      <w:r w:rsidR="00174A5E" w:rsidRPr="009A0DA6">
        <w:t>10</w:t>
      </w:r>
    </w:p>
    <w:p w14:paraId="6481E39B" w14:textId="77777777" w:rsidR="0001243B" w:rsidRPr="009A0DA6" w:rsidRDefault="0001243B" w:rsidP="005D571C">
      <w:pPr>
        <w:pStyle w:val="Heading2"/>
      </w:pPr>
      <w:bookmarkStart w:id="59" w:name="_Toc521954607"/>
      <w:bookmarkStart w:id="60" w:name="_Toc522394972"/>
      <w:r w:rsidRPr="009A0DA6">
        <w:t>Establishment of Lutheran Earth Care Australia and New Zealand</w:t>
      </w:r>
      <w:bookmarkEnd w:id="59"/>
      <w:bookmarkEnd w:id="60"/>
      <w:r w:rsidRPr="009A0DA6">
        <w:t xml:space="preserve"> </w:t>
      </w:r>
    </w:p>
    <w:p w14:paraId="6605AFDC" w14:textId="77777777" w:rsidR="0037789C" w:rsidRPr="009A0DA6" w:rsidRDefault="0037789C" w:rsidP="0037789C">
      <w:pPr>
        <w:pStyle w:val="NoSpacing"/>
      </w:pPr>
    </w:p>
    <w:p w14:paraId="4D6B48C4" w14:textId="77777777" w:rsidR="006D20AF" w:rsidRPr="009A0DA6" w:rsidRDefault="006D20AF" w:rsidP="006D20AF">
      <w:pPr>
        <w:pStyle w:val="Heading3"/>
        <w:rPr>
          <w:rFonts w:eastAsia="Times New Roman"/>
          <w:vertAlign w:val="subscript"/>
          <w:lang w:eastAsia="en-AU"/>
        </w:rPr>
      </w:pPr>
      <w:r w:rsidRPr="009A0DA6">
        <w:rPr>
          <w:rFonts w:eastAsia="Times New Roman"/>
          <w:lang w:eastAsia="en-AU"/>
        </w:rPr>
        <w:t>PROPOSED MOTION</w:t>
      </w:r>
    </w:p>
    <w:p w14:paraId="27D37473" w14:textId="77777777" w:rsidR="006D20AF" w:rsidRPr="009A0DA6" w:rsidRDefault="006D20AF" w:rsidP="006D20AF">
      <w:pPr>
        <w:shd w:val="clear" w:color="auto" w:fill="FFFFFF"/>
        <w:spacing w:after="120" w:line="22" w:lineRule="atLeast"/>
        <w:rPr>
          <w:rFonts w:ascii="Cambria" w:hAnsi="Cambria" w:cs="Arial"/>
          <w:i/>
          <w:shd w:val="clear" w:color="auto" w:fill="FFFFFF"/>
        </w:rPr>
      </w:pPr>
      <w:r w:rsidRPr="009A0DA6">
        <w:rPr>
          <w:rFonts w:ascii="Cambria" w:eastAsia="Times New Roman" w:hAnsi="Cambria" w:cs="Times New Roman"/>
          <w:bCs/>
          <w:i/>
          <w:lang w:eastAsia="en-AU"/>
        </w:rPr>
        <w:t xml:space="preserve">Submitted by </w:t>
      </w:r>
      <w:r w:rsidRPr="009A0DA6">
        <w:rPr>
          <w:rFonts w:ascii="Cambria" w:hAnsi="Cambria"/>
          <w:i/>
        </w:rPr>
        <w:t>Commission on Social and Bioethical Questions, Lutheran Education Australia and Australian Lutheran World Service</w:t>
      </w:r>
    </w:p>
    <w:p w14:paraId="7627332B" w14:textId="1AE48910" w:rsidR="006D20AF" w:rsidRPr="009A0DA6" w:rsidRDefault="006D20AF" w:rsidP="00013152">
      <w:pPr>
        <w:shd w:val="clear" w:color="auto" w:fill="FFFFFF"/>
        <w:tabs>
          <w:tab w:val="left" w:pos="3596"/>
        </w:tabs>
        <w:spacing w:after="120" w:line="240" w:lineRule="auto"/>
        <w:rPr>
          <w:rFonts w:ascii="Cambria" w:hAnsi="Cambria"/>
        </w:rPr>
      </w:pPr>
      <w:r w:rsidRPr="009A0DA6">
        <w:rPr>
          <w:rFonts w:ascii="Cambria" w:eastAsia="Times New Roman" w:hAnsi="Cambria" w:cs="Times New Roman"/>
          <w:b/>
          <w:bCs/>
          <w:color w:val="222222"/>
          <w:lang w:eastAsia="en-AU"/>
        </w:rPr>
        <w:t xml:space="preserve">BE IT RESOLVED </w:t>
      </w:r>
      <w:r w:rsidR="0073799A" w:rsidRPr="009A0DA6">
        <w:rPr>
          <w:rFonts w:ascii="Cambria" w:hAnsi="Cambria"/>
        </w:rPr>
        <w:t>that t</w:t>
      </w:r>
      <w:r w:rsidRPr="009A0DA6">
        <w:rPr>
          <w:rFonts w:ascii="Cambria" w:hAnsi="Cambria"/>
        </w:rPr>
        <w:t>he LCA establish a group, tentatively called Lutheran Earth Care Australia and New Zealand (LECANZ), with the following roles:</w:t>
      </w:r>
    </w:p>
    <w:p w14:paraId="58E2FF31" w14:textId="77777777" w:rsidR="006D20AF" w:rsidRPr="009A0DA6" w:rsidRDefault="006D20AF" w:rsidP="00F55252">
      <w:pPr>
        <w:pStyle w:val="ListParagraph"/>
        <w:numPr>
          <w:ilvl w:val="0"/>
          <w:numId w:val="109"/>
        </w:numPr>
        <w:spacing w:after="120" w:line="254" w:lineRule="auto"/>
        <w:ind w:left="567" w:hanging="567"/>
        <w:rPr>
          <w:rFonts w:ascii="Cambria" w:hAnsi="Cambria"/>
        </w:rPr>
      </w:pPr>
      <w:r w:rsidRPr="009A0DA6">
        <w:rPr>
          <w:rFonts w:ascii="Cambria" w:hAnsi="Cambria"/>
        </w:rPr>
        <w:t>To provide an electronic repository of Earth Care resources through a national website.</w:t>
      </w:r>
    </w:p>
    <w:p w14:paraId="1764DD56" w14:textId="0F2B386A" w:rsidR="006D20AF" w:rsidRPr="009A0DA6" w:rsidRDefault="006D20AF" w:rsidP="00F55252">
      <w:pPr>
        <w:pStyle w:val="ListParagraph"/>
        <w:numPr>
          <w:ilvl w:val="0"/>
          <w:numId w:val="109"/>
        </w:numPr>
        <w:spacing w:line="254" w:lineRule="auto"/>
        <w:ind w:left="567" w:hanging="567"/>
        <w:rPr>
          <w:rFonts w:ascii="Cambria" w:hAnsi="Cambria"/>
        </w:rPr>
      </w:pPr>
      <w:r w:rsidRPr="009A0DA6">
        <w:rPr>
          <w:rFonts w:ascii="Cambria" w:hAnsi="Cambria"/>
        </w:rPr>
        <w:t>To develop new resources and provide access to existing worship resources, study resources and devotional materials in the area of Earth Care, and to encourage their use by individu</w:t>
      </w:r>
      <w:r w:rsidR="0073799A" w:rsidRPr="009A0DA6">
        <w:rPr>
          <w:rFonts w:ascii="Cambria" w:hAnsi="Cambria"/>
        </w:rPr>
        <w:t>als, congregations and agencies</w:t>
      </w:r>
    </w:p>
    <w:p w14:paraId="138BDA40" w14:textId="732DAAB6" w:rsidR="006D20AF" w:rsidRPr="009A0DA6" w:rsidRDefault="006D20AF" w:rsidP="00F55252">
      <w:pPr>
        <w:pStyle w:val="ListParagraph"/>
        <w:numPr>
          <w:ilvl w:val="0"/>
          <w:numId w:val="109"/>
        </w:numPr>
        <w:spacing w:line="254" w:lineRule="auto"/>
        <w:ind w:left="567" w:hanging="567"/>
        <w:rPr>
          <w:rFonts w:ascii="Cambria" w:hAnsi="Cambria"/>
        </w:rPr>
      </w:pPr>
      <w:r w:rsidRPr="009A0DA6">
        <w:rPr>
          <w:rFonts w:ascii="Cambria" w:hAnsi="Cambria"/>
        </w:rPr>
        <w:t>To provide resources and support for congregations and agencies to reduce their negative impacts on G</w:t>
      </w:r>
      <w:r w:rsidR="0073799A" w:rsidRPr="009A0DA6">
        <w:rPr>
          <w:rFonts w:ascii="Cambria" w:hAnsi="Cambria"/>
        </w:rPr>
        <w:t>od’s creation</w:t>
      </w:r>
    </w:p>
    <w:p w14:paraId="774090F4" w14:textId="5BCB65CF" w:rsidR="006D20AF" w:rsidRPr="009A0DA6" w:rsidRDefault="006D20AF" w:rsidP="00F55252">
      <w:pPr>
        <w:pStyle w:val="ListParagraph"/>
        <w:numPr>
          <w:ilvl w:val="0"/>
          <w:numId w:val="109"/>
        </w:numPr>
        <w:spacing w:line="254" w:lineRule="auto"/>
        <w:ind w:left="567" w:hanging="567"/>
        <w:rPr>
          <w:rFonts w:ascii="Cambria" w:hAnsi="Cambria"/>
        </w:rPr>
      </w:pPr>
      <w:r w:rsidRPr="009A0DA6">
        <w:rPr>
          <w:rFonts w:ascii="Cambria" w:hAnsi="Cambria"/>
        </w:rPr>
        <w:t>To provide advice to the LCA on issues related to care of God’s creation, and encourage the development and adoption of poli</w:t>
      </w:r>
      <w:r w:rsidR="0073799A" w:rsidRPr="009A0DA6">
        <w:rPr>
          <w:rFonts w:ascii="Cambria" w:hAnsi="Cambria"/>
        </w:rPr>
        <w:t>cies consistent with Earth Care</w:t>
      </w:r>
    </w:p>
    <w:p w14:paraId="0305DA54" w14:textId="790786B2" w:rsidR="006D20AF" w:rsidRPr="009A0DA6" w:rsidRDefault="006D20AF" w:rsidP="00F55252">
      <w:pPr>
        <w:pStyle w:val="ListParagraph"/>
        <w:numPr>
          <w:ilvl w:val="0"/>
          <w:numId w:val="109"/>
        </w:numPr>
        <w:spacing w:line="254" w:lineRule="auto"/>
        <w:ind w:left="567" w:hanging="567"/>
        <w:rPr>
          <w:rFonts w:ascii="Cambria" w:hAnsi="Cambria"/>
        </w:rPr>
      </w:pPr>
      <w:r w:rsidRPr="009A0DA6">
        <w:rPr>
          <w:rFonts w:ascii="Cambria" w:hAnsi="Cambria"/>
        </w:rPr>
        <w:t>To encourage, support and coordinate with the existing and future Earth Care initiatives of</w:t>
      </w:r>
      <w:r w:rsidR="0073799A" w:rsidRPr="009A0DA6">
        <w:rPr>
          <w:rFonts w:ascii="Cambria" w:hAnsi="Cambria"/>
        </w:rPr>
        <w:t xml:space="preserve"> LCA congregations and agencies</w:t>
      </w:r>
    </w:p>
    <w:p w14:paraId="12957B65" w14:textId="6F0D7CF7" w:rsidR="006D20AF" w:rsidRPr="009A0DA6" w:rsidRDefault="006D20AF" w:rsidP="00F55252">
      <w:pPr>
        <w:pStyle w:val="ListParagraph"/>
        <w:numPr>
          <w:ilvl w:val="0"/>
          <w:numId w:val="109"/>
        </w:numPr>
        <w:spacing w:line="254" w:lineRule="auto"/>
        <w:ind w:left="567" w:hanging="567"/>
        <w:rPr>
          <w:rFonts w:ascii="Cambria" w:hAnsi="Cambria"/>
        </w:rPr>
      </w:pPr>
      <w:r w:rsidRPr="009A0DA6">
        <w:rPr>
          <w:rFonts w:ascii="Cambria" w:hAnsi="Cambria"/>
        </w:rPr>
        <w:t>To liaise and coordinate with the many other faith-based and secular groups who are</w:t>
      </w:r>
      <w:r w:rsidR="0073799A" w:rsidRPr="009A0DA6">
        <w:rPr>
          <w:rFonts w:ascii="Cambria" w:hAnsi="Cambria"/>
        </w:rPr>
        <w:t xml:space="preserve"> also concerned with Earth Care</w:t>
      </w:r>
    </w:p>
    <w:p w14:paraId="0BAB91FC" w14:textId="0BEBF75B" w:rsidR="006D20AF" w:rsidRPr="009A0DA6" w:rsidRDefault="0073799A" w:rsidP="00F55252">
      <w:pPr>
        <w:pStyle w:val="ListParagraph"/>
        <w:numPr>
          <w:ilvl w:val="0"/>
          <w:numId w:val="109"/>
        </w:numPr>
        <w:spacing w:line="254" w:lineRule="auto"/>
        <w:ind w:left="567" w:hanging="567"/>
        <w:rPr>
          <w:rFonts w:ascii="Cambria" w:hAnsi="Cambria"/>
        </w:rPr>
      </w:pPr>
      <w:r w:rsidRPr="009A0DA6">
        <w:rPr>
          <w:rFonts w:ascii="Cambria" w:hAnsi="Cambria"/>
        </w:rPr>
        <w:t>To report regularly to District and General Conventions of S</w:t>
      </w:r>
      <w:r w:rsidR="006D20AF" w:rsidRPr="009A0DA6">
        <w:rPr>
          <w:rFonts w:ascii="Cambria" w:hAnsi="Cambria"/>
        </w:rPr>
        <w:t>ynod.</w:t>
      </w:r>
    </w:p>
    <w:p w14:paraId="500C352E" w14:textId="1B6C524B" w:rsidR="006D20AF" w:rsidRPr="009A0DA6" w:rsidRDefault="00FB59B1" w:rsidP="00013152">
      <w:pPr>
        <w:pStyle w:val="Heading3"/>
        <w:rPr>
          <w:rFonts w:eastAsia="Times New Roman"/>
          <w:lang w:eastAsia="en-AU"/>
        </w:rPr>
      </w:pPr>
      <w:r w:rsidRPr="009A0DA6">
        <w:rPr>
          <w:rFonts w:eastAsia="Times New Roman"/>
          <w:lang w:eastAsia="en-AU"/>
        </w:rPr>
        <w:t>REASONS FOR THE MOTION</w:t>
      </w:r>
    </w:p>
    <w:p w14:paraId="496BFC8C" w14:textId="77777777" w:rsidR="006D20AF" w:rsidRPr="009A0DA6" w:rsidRDefault="006D20AF" w:rsidP="00013152">
      <w:pPr>
        <w:pStyle w:val="ListParagraph"/>
        <w:numPr>
          <w:ilvl w:val="0"/>
          <w:numId w:val="2"/>
        </w:numPr>
        <w:shd w:val="clear" w:color="auto" w:fill="FFFFFF"/>
        <w:spacing w:after="0" w:line="240" w:lineRule="auto"/>
        <w:ind w:left="567" w:hanging="567"/>
        <w:rPr>
          <w:rFonts w:ascii="Cambria" w:eastAsiaTheme="minorHAnsi" w:hAnsi="Cambria"/>
          <w:lang w:eastAsia="en-US"/>
        </w:rPr>
      </w:pPr>
      <w:r w:rsidRPr="009A0DA6">
        <w:rPr>
          <w:rFonts w:ascii="Cambria" w:hAnsi="Cambria"/>
        </w:rPr>
        <w:t>At the National Convention of Synod 2015, the following resolution was passed:</w:t>
      </w:r>
    </w:p>
    <w:p w14:paraId="4EC45E4D" w14:textId="77777777" w:rsidR="006D20AF" w:rsidRPr="009A0DA6" w:rsidRDefault="006D20AF" w:rsidP="00013152">
      <w:pPr>
        <w:spacing w:after="0"/>
        <w:ind w:left="567"/>
        <w:rPr>
          <w:rFonts w:ascii="Cambria" w:hAnsi="Cambria"/>
        </w:rPr>
      </w:pPr>
      <w:r w:rsidRPr="009A0DA6">
        <w:rPr>
          <w:rFonts w:ascii="Cambria" w:hAnsi="Cambria"/>
        </w:rPr>
        <w:t>Be it resolved that: “the LCA affirms that a prime responsibility of Christians is to be responsible stewards of creation and all life on the planet and encourages LCA members, congregations, groups and agencies to:</w:t>
      </w:r>
    </w:p>
    <w:p w14:paraId="5E6288D6" w14:textId="62DE883A" w:rsidR="006D20AF" w:rsidRPr="009A0DA6" w:rsidRDefault="006D20AF" w:rsidP="00F55252">
      <w:pPr>
        <w:pStyle w:val="ListParagraph"/>
        <w:numPr>
          <w:ilvl w:val="0"/>
          <w:numId w:val="110"/>
        </w:numPr>
        <w:spacing w:after="0" w:line="240" w:lineRule="auto"/>
        <w:ind w:left="1134" w:hanging="567"/>
        <w:rPr>
          <w:rFonts w:ascii="Cambria" w:hAnsi="Cambria"/>
        </w:rPr>
      </w:pPr>
      <w:r w:rsidRPr="009A0DA6">
        <w:rPr>
          <w:rFonts w:ascii="Cambria" w:hAnsi="Cambria"/>
        </w:rPr>
        <w:t>Intentionally and regularly include God’s gift of creation and our stewardship and care in prayer and worship, individual and group s</w:t>
      </w:r>
      <w:r w:rsidR="0073799A" w:rsidRPr="009A0DA6">
        <w:rPr>
          <w:rFonts w:ascii="Cambria" w:hAnsi="Cambria"/>
        </w:rPr>
        <w:t>tudy and church decision making</w:t>
      </w:r>
    </w:p>
    <w:p w14:paraId="052863EB" w14:textId="779B9C21" w:rsidR="006D20AF" w:rsidRPr="009A0DA6" w:rsidRDefault="006D20AF" w:rsidP="00F55252">
      <w:pPr>
        <w:pStyle w:val="ListParagraph"/>
        <w:numPr>
          <w:ilvl w:val="0"/>
          <w:numId w:val="110"/>
        </w:numPr>
        <w:spacing w:after="0" w:line="240" w:lineRule="auto"/>
        <w:ind w:left="1134" w:hanging="567"/>
        <w:rPr>
          <w:rFonts w:ascii="Cambria" w:hAnsi="Cambria"/>
        </w:rPr>
      </w:pPr>
      <w:r w:rsidRPr="009A0DA6">
        <w:rPr>
          <w:rFonts w:ascii="Cambria" w:hAnsi="Cambria"/>
        </w:rPr>
        <w:t>Encourage, implement and model ways of living and working that minimize the product</w:t>
      </w:r>
      <w:r w:rsidR="0073799A" w:rsidRPr="009A0DA6">
        <w:rPr>
          <w:rFonts w:ascii="Cambria" w:hAnsi="Cambria"/>
        </w:rPr>
        <w:t>ion of greenhouse gas emissions</w:t>
      </w:r>
    </w:p>
    <w:p w14:paraId="798DF09B" w14:textId="21F5B629" w:rsidR="006D20AF" w:rsidRPr="009A0DA6" w:rsidRDefault="006D20AF" w:rsidP="00F55252">
      <w:pPr>
        <w:pStyle w:val="ListParagraph"/>
        <w:numPr>
          <w:ilvl w:val="0"/>
          <w:numId w:val="110"/>
        </w:numPr>
        <w:spacing w:after="0" w:line="240" w:lineRule="auto"/>
        <w:ind w:left="1134" w:hanging="567"/>
        <w:rPr>
          <w:rFonts w:ascii="Cambria" w:hAnsi="Cambria"/>
        </w:rPr>
      </w:pPr>
      <w:r w:rsidRPr="009A0DA6">
        <w:rPr>
          <w:rFonts w:ascii="Cambria" w:hAnsi="Cambria"/>
        </w:rPr>
        <w:t>Examine the long term implications of an economy which r</w:t>
      </w:r>
      <w:r w:rsidR="0073799A" w:rsidRPr="009A0DA6">
        <w:rPr>
          <w:rFonts w:ascii="Cambria" w:hAnsi="Cambria"/>
        </w:rPr>
        <w:t>eadily consumes and throws away</w:t>
      </w:r>
    </w:p>
    <w:p w14:paraId="55545A07" w14:textId="3EF83682" w:rsidR="006D20AF" w:rsidRPr="009A0DA6" w:rsidRDefault="006D20AF" w:rsidP="00F55252">
      <w:pPr>
        <w:pStyle w:val="ListParagraph"/>
        <w:numPr>
          <w:ilvl w:val="0"/>
          <w:numId w:val="110"/>
        </w:numPr>
        <w:spacing w:after="0" w:line="240" w:lineRule="auto"/>
        <w:ind w:left="1134" w:hanging="567"/>
        <w:rPr>
          <w:rFonts w:ascii="Cambria" w:hAnsi="Cambria"/>
        </w:rPr>
      </w:pPr>
      <w:r w:rsidRPr="009A0DA6">
        <w:rPr>
          <w:rFonts w:ascii="Cambria" w:hAnsi="Cambria"/>
        </w:rPr>
        <w:t>Act to reduce waste and implement the sustainable use and</w:t>
      </w:r>
      <w:r w:rsidR="0073799A" w:rsidRPr="009A0DA6">
        <w:rPr>
          <w:rFonts w:ascii="Cambria" w:hAnsi="Cambria"/>
        </w:rPr>
        <w:t xml:space="preserve"> recycling of earth’s resources</w:t>
      </w:r>
    </w:p>
    <w:p w14:paraId="200E91CA" w14:textId="5B049C0E" w:rsidR="006D20AF" w:rsidRPr="009A0DA6" w:rsidRDefault="006D20AF" w:rsidP="00F55252">
      <w:pPr>
        <w:pStyle w:val="ListParagraph"/>
        <w:numPr>
          <w:ilvl w:val="0"/>
          <w:numId w:val="110"/>
        </w:numPr>
        <w:spacing w:after="0" w:line="240" w:lineRule="auto"/>
        <w:ind w:left="1134" w:hanging="567"/>
        <w:rPr>
          <w:rFonts w:ascii="Cambria" w:hAnsi="Cambria"/>
        </w:rPr>
      </w:pPr>
      <w:r w:rsidRPr="009A0DA6">
        <w:rPr>
          <w:rFonts w:ascii="Cambria" w:hAnsi="Cambria"/>
        </w:rPr>
        <w:t>Wrestle with issues of resource and environmental justice for poor communities</w:t>
      </w:r>
      <w:r w:rsidR="0073799A" w:rsidRPr="009A0DA6">
        <w:rPr>
          <w:rFonts w:ascii="Cambria" w:hAnsi="Cambria"/>
        </w:rPr>
        <w:t xml:space="preserve"> nations and future generations</w:t>
      </w:r>
    </w:p>
    <w:p w14:paraId="69FBC4A7" w14:textId="0753891F" w:rsidR="006D20AF" w:rsidRPr="009A0DA6" w:rsidRDefault="006D20AF" w:rsidP="00F55252">
      <w:pPr>
        <w:pStyle w:val="ListParagraph"/>
        <w:numPr>
          <w:ilvl w:val="0"/>
          <w:numId w:val="110"/>
        </w:numPr>
        <w:spacing w:after="0" w:line="240" w:lineRule="auto"/>
        <w:ind w:left="1134" w:hanging="567"/>
        <w:rPr>
          <w:rFonts w:ascii="Cambria" w:hAnsi="Cambria"/>
          <w:sz w:val="12"/>
        </w:rPr>
      </w:pPr>
      <w:r w:rsidRPr="009A0DA6">
        <w:rPr>
          <w:rFonts w:ascii="Cambria" w:hAnsi="Cambria"/>
        </w:rPr>
        <w:t>Engage in dialogue, discussion, shared learning and action with decision makers and environmental groups in the wider community.”</w:t>
      </w:r>
      <w:r w:rsidR="001B46FC" w:rsidRPr="009A0DA6">
        <w:rPr>
          <w:rFonts w:ascii="Cambria" w:hAnsi="Cambria"/>
        </w:rPr>
        <w:br/>
      </w:r>
    </w:p>
    <w:p w14:paraId="7AB42570" w14:textId="54A79A03" w:rsidR="006D20AF" w:rsidRPr="009A0DA6" w:rsidRDefault="006D20AF" w:rsidP="00F93F61">
      <w:pPr>
        <w:pStyle w:val="ListParagraph"/>
        <w:numPr>
          <w:ilvl w:val="0"/>
          <w:numId w:val="2"/>
        </w:numPr>
        <w:spacing w:after="200" w:line="276" w:lineRule="auto"/>
        <w:ind w:left="567" w:hanging="567"/>
        <w:rPr>
          <w:rFonts w:ascii="Cambria" w:hAnsi="Cambria"/>
        </w:rPr>
      </w:pPr>
      <w:r w:rsidRPr="009A0DA6">
        <w:rPr>
          <w:rFonts w:ascii="Cambria" w:hAnsi="Cambria"/>
        </w:rPr>
        <w:t>The enactment of this resolution since 2015 has primarily been through the establishment of the Environmental Action Working Group (EAWG) as part of the Commission on Social and Bioethical Questions (CSBQ), whose primary role has been to provide advice to GCC on environmental issues</w:t>
      </w:r>
      <w:r w:rsidR="0027799A" w:rsidRPr="009A0DA6">
        <w:rPr>
          <w:rFonts w:ascii="Cambria" w:hAnsi="Cambria"/>
        </w:rPr>
        <w:t xml:space="preserve">. </w:t>
      </w:r>
      <w:r w:rsidRPr="009A0DA6">
        <w:rPr>
          <w:rFonts w:ascii="Cambria" w:hAnsi="Cambria"/>
        </w:rPr>
        <w:t>In parallel with the work of EAWG, Lutheran Education has developed its LEA Earthcare Charter, and LLL has sponsored 55 LLL Earthcare grants for school projects totalling $105,000.</w:t>
      </w:r>
      <w:r w:rsidR="001B46FC" w:rsidRPr="009A0DA6">
        <w:rPr>
          <w:rFonts w:ascii="Cambria" w:hAnsi="Cambria"/>
        </w:rPr>
        <w:br/>
      </w:r>
    </w:p>
    <w:p w14:paraId="6C0D33AB" w14:textId="104E7ED6" w:rsidR="006D20AF" w:rsidRPr="001817EA" w:rsidRDefault="006D20AF" w:rsidP="00F93F61">
      <w:pPr>
        <w:pStyle w:val="ListParagraph"/>
        <w:numPr>
          <w:ilvl w:val="0"/>
          <w:numId w:val="2"/>
        </w:numPr>
        <w:spacing w:after="200" w:line="276" w:lineRule="auto"/>
        <w:ind w:left="567" w:hanging="567"/>
        <w:rPr>
          <w:rFonts w:ascii="Cambria" w:hAnsi="Cambria"/>
          <w:sz w:val="14"/>
        </w:rPr>
      </w:pPr>
      <w:r w:rsidRPr="009A0DA6">
        <w:rPr>
          <w:rFonts w:ascii="Cambria" w:hAnsi="Cambria"/>
        </w:rPr>
        <w:lastRenderedPageBreak/>
        <w:t>The EAWG has been largely working behind the scenes in a policy capacity, consistent with the role of the CSBQ</w:t>
      </w:r>
      <w:r w:rsidR="0027799A" w:rsidRPr="009A0DA6">
        <w:rPr>
          <w:rFonts w:ascii="Cambria" w:hAnsi="Cambria"/>
        </w:rPr>
        <w:t xml:space="preserve">. </w:t>
      </w:r>
      <w:r w:rsidRPr="009A0DA6">
        <w:rPr>
          <w:rFonts w:ascii="Cambria" w:hAnsi="Cambria"/>
        </w:rPr>
        <w:t>After several years of operation, CSBQ believe that a more prominent role for Earth Care within the LCA would be beneficial, and recommends the establishment of a more prominent “shopfront” for Earth Care across the LCA</w:t>
      </w:r>
      <w:r w:rsidR="0027799A" w:rsidRPr="009A0DA6">
        <w:rPr>
          <w:rFonts w:ascii="Cambria" w:hAnsi="Cambria"/>
        </w:rPr>
        <w:t xml:space="preserve">. </w:t>
      </w:r>
      <w:r w:rsidRPr="009A0DA6">
        <w:rPr>
          <w:rFonts w:ascii="Cambria" w:hAnsi="Cambria"/>
        </w:rPr>
        <w:t>This would tentatively be called “Lutheran Earth Care Australia and New Zealand” (LECANZ).</w:t>
      </w:r>
      <w:r w:rsidR="001B46FC" w:rsidRPr="009A0DA6">
        <w:rPr>
          <w:rFonts w:ascii="Cambria" w:hAnsi="Cambria"/>
        </w:rPr>
        <w:br/>
      </w:r>
      <w:r w:rsidRPr="009A0DA6">
        <w:rPr>
          <w:rFonts w:ascii="Cambria" w:hAnsi="Cambria"/>
        </w:rPr>
        <w:t xml:space="preserve"> </w:t>
      </w:r>
      <w:r w:rsidRPr="009A0DA6">
        <w:rPr>
          <w:rFonts w:ascii="Cambria" w:hAnsi="Cambria"/>
        </w:rPr>
        <w:br/>
        <w:t>Similar groups within other mainline churches here and overseas include Catholic EarthCare Australia (http://catholicearthcare.org.au/), Angligreen in the Anglican diocese of Southern Queensland (http://angligreen.org.au/), and the USA’s “Lutherans Restoring Creation” (http://www.lutheransrestoringcreation.org/)</w:t>
      </w:r>
      <w:r w:rsidR="0027799A" w:rsidRPr="009A0DA6">
        <w:rPr>
          <w:rFonts w:ascii="Cambria" w:hAnsi="Cambria"/>
        </w:rPr>
        <w:t xml:space="preserve">. </w:t>
      </w:r>
      <w:r w:rsidR="001B46FC" w:rsidRPr="009A0DA6">
        <w:rPr>
          <w:rFonts w:ascii="Cambria" w:hAnsi="Cambria"/>
        </w:rPr>
        <w:br/>
      </w:r>
    </w:p>
    <w:p w14:paraId="51841C3C" w14:textId="62DBCDE7" w:rsidR="006D20AF" w:rsidRPr="001817EA" w:rsidRDefault="006D20AF" w:rsidP="00F93F61">
      <w:pPr>
        <w:pStyle w:val="ListParagraph"/>
        <w:numPr>
          <w:ilvl w:val="0"/>
          <w:numId w:val="2"/>
        </w:numPr>
        <w:spacing w:after="200" w:line="276" w:lineRule="auto"/>
        <w:ind w:left="567" w:hanging="567"/>
        <w:rPr>
          <w:rFonts w:ascii="Cambria" w:hAnsi="Cambria"/>
          <w:sz w:val="14"/>
        </w:rPr>
      </w:pPr>
      <w:r w:rsidRPr="009A0DA6">
        <w:rPr>
          <w:rFonts w:ascii="Cambria" w:hAnsi="Cambria"/>
        </w:rPr>
        <w:t>At this stage, the only financial resources that would be required would be access to suitable web-hosting and electronic communications infrastructure, which would leverage off the existing capabilities of the national office</w:t>
      </w:r>
      <w:r w:rsidR="0027799A" w:rsidRPr="009A0DA6">
        <w:rPr>
          <w:rFonts w:ascii="Cambria" w:hAnsi="Cambria"/>
        </w:rPr>
        <w:t xml:space="preserve">. </w:t>
      </w:r>
      <w:r w:rsidRPr="009A0DA6">
        <w:rPr>
          <w:rFonts w:ascii="Cambria" w:hAnsi="Cambria"/>
        </w:rPr>
        <w:t xml:space="preserve">Staffing would be through volunteers in the first instance. </w:t>
      </w:r>
      <w:r w:rsidR="001B46FC" w:rsidRPr="009A0DA6">
        <w:rPr>
          <w:rFonts w:ascii="Cambria" w:hAnsi="Cambria"/>
        </w:rPr>
        <w:br/>
      </w:r>
    </w:p>
    <w:p w14:paraId="543C000A" w14:textId="06CBD89D" w:rsidR="006D20AF" w:rsidRPr="009A0DA6" w:rsidRDefault="006D20AF" w:rsidP="00F93F61">
      <w:pPr>
        <w:pStyle w:val="ListParagraph"/>
        <w:numPr>
          <w:ilvl w:val="0"/>
          <w:numId w:val="2"/>
        </w:numPr>
        <w:spacing w:after="200" w:line="276" w:lineRule="auto"/>
        <w:ind w:left="567" w:hanging="567"/>
        <w:rPr>
          <w:rFonts w:ascii="Cambria" w:hAnsi="Cambria"/>
        </w:rPr>
      </w:pPr>
      <w:r w:rsidRPr="009A0DA6">
        <w:rPr>
          <w:rFonts w:ascii="Cambria" w:hAnsi="Cambria"/>
        </w:rPr>
        <w:t>The reporting path for LECANZ could be the same as for the current EAWG, and the current membership of EAWG, which includes representatives from Lutheran Education Australia (LEA) and Australian Lutheran World Service (ALWS), could form the initial executive of LECANZ.</w:t>
      </w:r>
    </w:p>
    <w:p w14:paraId="5541A399" w14:textId="40B73455" w:rsidR="00013152" w:rsidRDefault="00013152" w:rsidP="00013152">
      <w:pPr>
        <w:spacing w:after="200" w:line="276" w:lineRule="auto"/>
        <w:rPr>
          <w:rFonts w:ascii="Cambria" w:hAnsi="Cambria"/>
        </w:rPr>
      </w:pPr>
    </w:p>
    <w:p w14:paraId="4F5F6F7A" w14:textId="1B4489EB" w:rsidR="00D07614" w:rsidRDefault="00D07614" w:rsidP="00013152">
      <w:pPr>
        <w:spacing w:after="200" w:line="276" w:lineRule="auto"/>
        <w:rPr>
          <w:rFonts w:ascii="Cambria" w:hAnsi="Cambria"/>
        </w:rPr>
      </w:pPr>
    </w:p>
    <w:p w14:paraId="2F6BB3BF" w14:textId="77777777" w:rsidR="00D07614" w:rsidRPr="009A0DA6" w:rsidRDefault="00D07614" w:rsidP="00013152">
      <w:pPr>
        <w:spacing w:after="200" w:line="276" w:lineRule="auto"/>
        <w:rPr>
          <w:rFonts w:ascii="Cambria" w:hAnsi="Cambria"/>
        </w:rPr>
      </w:pPr>
    </w:p>
    <w:p w14:paraId="0A534714" w14:textId="7A9AD814" w:rsidR="0001243B" w:rsidRPr="009A0DA6" w:rsidRDefault="00174A5E" w:rsidP="00964A90">
      <w:pPr>
        <w:pStyle w:val="Heading3"/>
      </w:pPr>
      <w:r w:rsidRPr="009A0DA6">
        <w:t>Agenda 2.2.11</w:t>
      </w:r>
    </w:p>
    <w:p w14:paraId="37DA7C18" w14:textId="6801986F" w:rsidR="0001243B" w:rsidRPr="009A0DA6" w:rsidRDefault="0001243B" w:rsidP="005D571C">
      <w:pPr>
        <w:pStyle w:val="Heading2"/>
      </w:pPr>
      <w:bookmarkStart w:id="61" w:name="_Toc521954608"/>
      <w:bookmarkStart w:id="62" w:name="_Toc522394973"/>
      <w:r w:rsidRPr="009A0DA6">
        <w:t xml:space="preserve">LCA </w:t>
      </w:r>
      <w:r w:rsidR="00174A5E" w:rsidRPr="009A0DA6">
        <w:t>c</w:t>
      </w:r>
      <w:r w:rsidRPr="009A0DA6">
        <w:t xml:space="preserve">ommittees and commissions to have </w:t>
      </w:r>
      <w:r w:rsidR="0073799A" w:rsidRPr="009A0DA6">
        <w:t xml:space="preserve">at least </w:t>
      </w:r>
      <w:r w:rsidRPr="009A0DA6">
        <w:t>one member under 30 by 2022</w:t>
      </w:r>
      <w:bookmarkEnd w:id="61"/>
      <w:bookmarkEnd w:id="62"/>
      <w:r w:rsidRPr="009A0DA6">
        <w:t xml:space="preserve"> </w:t>
      </w:r>
    </w:p>
    <w:p w14:paraId="53D7768A" w14:textId="77777777" w:rsidR="0037789C" w:rsidRPr="009A0DA6" w:rsidRDefault="0037789C" w:rsidP="0037789C">
      <w:pPr>
        <w:pStyle w:val="NoSpacing"/>
      </w:pPr>
    </w:p>
    <w:p w14:paraId="3326D3DE" w14:textId="77777777" w:rsidR="001B46FC" w:rsidRPr="009A0DA6" w:rsidRDefault="001B46FC" w:rsidP="001B46FC">
      <w:pPr>
        <w:pStyle w:val="Heading3"/>
        <w:rPr>
          <w:lang w:eastAsia="en-AU"/>
        </w:rPr>
      </w:pPr>
      <w:r w:rsidRPr="009A0DA6">
        <w:rPr>
          <w:lang w:eastAsia="en-AU"/>
        </w:rPr>
        <w:t>PROPOSED MOTION</w:t>
      </w:r>
    </w:p>
    <w:p w14:paraId="739ABC1E" w14:textId="051B74F9" w:rsidR="001B46FC" w:rsidRPr="009A0DA6" w:rsidRDefault="001B46FC" w:rsidP="001B46FC">
      <w:pPr>
        <w:shd w:val="clear" w:color="auto" w:fill="FFFFFF"/>
        <w:spacing w:after="120" w:line="22" w:lineRule="atLeast"/>
        <w:rPr>
          <w:rFonts w:ascii="Cambria" w:hAnsi="Cambria" w:cs="Arial"/>
          <w:i/>
          <w:shd w:val="clear" w:color="auto" w:fill="FFFFFF"/>
        </w:rPr>
      </w:pPr>
      <w:r w:rsidRPr="00AD32D2">
        <w:rPr>
          <w:rFonts w:ascii="Cambria" w:eastAsia="Times New Roman" w:hAnsi="Cambria" w:cs="Times New Roman"/>
          <w:bCs/>
          <w:i/>
          <w:lang w:eastAsia="en-AU"/>
        </w:rPr>
        <w:t xml:space="preserve">Submitted by </w:t>
      </w:r>
      <w:r w:rsidRPr="00AD32D2">
        <w:rPr>
          <w:rFonts w:ascii="Cambria" w:hAnsi="Cambria"/>
          <w:i/>
        </w:rPr>
        <w:t>Committee for Child Youth and Family</w:t>
      </w:r>
      <w:r w:rsidR="00AD32D2" w:rsidRPr="00AD32D2">
        <w:rPr>
          <w:rFonts w:ascii="Cambria" w:hAnsi="Cambria"/>
          <w:i/>
        </w:rPr>
        <w:t xml:space="preserve"> Ministry</w:t>
      </w:r>
      <w:r w:rsidR="0073799A" w:rsidRPr="00AD32D2">
        <w:rPr>
          <w:rFonts w:ascii="Cambria" w:hAnsi="Cambria"/>
          <w:i/>
        </w:rPr>
        <w:t>,</w:t>
      </w:r>
      <w:r w:rsidRPr="009A0DA6">
        <w:rPr>
          <w:rFonts w:ascii="Cambria" w:hAnsi="Cambria"/>
          <w:i/>
        </w:rPr>
        <w:t xml:space="preserve"> and Standing Committee on Nominations</w:t>
      </w:r>
    </w:p>
    <w:p w14:paraId="122FCE40" w14:textId="77777777" w:rsidR="001B46FC" w:rsidRPr="009A0DA6" w:rsidRDefault="001B46FC" w:rsidP="001B46FC">
      <w:pPr>
        <w:shd w:val="clear" w:color="auto" w:fill="FFFFFF"/>
        <w:tabs>
          <w:tab w:val="left" w:pos="3596"/>
        </w:tabs>
        <w:spacing w:line="240" w:lineRule="auto"/>
        <w:rPr>
          <w:rFonts w:ascii="Cambria" w:hAnsi="Cambria"/>
        </w:rPr>
      </w:pPr>
      <w:r w:rsidRPr="009A0DA6">
        <w:rPr>
          <w:rFonts w:ascii="Cambria" w:hAnsi="Cambria"/>
          <w:b/>
          <w:bCs/>
          <w:color w:val="222222"/>
          <w:lang w:eastAsia="en-AU"/>
        </w:rPr>
        <w:t xml:space="preserve">BE IT RESOLVED </w:t>
      </w:r>
      <w:r w:rsidRPr="009A0DA6">
        <w:rPr>
          <w:rFonts w:ascii="Cambria" w:hAnsi="Cambria"/>
        </w:rPr>
        <w:t xml:space="preserve">that by 2022 all committees and commissions of the LCA will have at least one member aged 30 or under, and that by 2025 all boards, councils, committees, and commissions of the LCA will have at least one member aged 30 or under, who has a demonstrated ability, heart for God and capacity to make a contribution to the relevant board, council, committee or commission of the LCA. </w:t>
      </w:r>
    </w:p>
    <w:p w14:paraId="4F0830C3" w14:textId="30AF0A42" w:rsidR="001B46FC" w:rsidRPr="009A0DA6" w:rsidRDefault="00FB59B1" w:rsidP="00013152">
      <w:pPr>
        <w:pStyle w:val="Heading3"/>
        <w:rPr>
          <w:lang w:eastAsia="en-AU"/>
        </w:rPr>
      </w:pPr>
      <w:r w:rsidRPr="009A0DA6">
        <w:rPr>
          <w:lang w:eastAsia="en-AU"/>
        </w:rPr>
        <w:t>REASONS FOR THE MOTION</w:t>
      </w:r>
    </w:p>
    <w:p w14:paraId="08437592" w14:textId="728CE5E1" w:rsidR="001B46FC" w:rsidRPr="001817EA" w:rsidRDefault="001B46FC" w:rsidP="00F55252">
      <w:pPr>
        <w:pStyle w:val="ListParagraph"/>
        <w:numPr>
          <w:ilvl w:val="0"/>
          <w:numId w:val="111"/>
        </w:numPr>
        <w:spacing w:after="0" w:line="240" w:lineRule="auto"/>
        <w:ind w:left="567" w:hanging="567"/>
        <w:rPr>
          <w:rFonts w:ascii="Cambria" w:hAnsi="Cambria"/>
          <w:sz w:val="10"/>
          <w:lang w:eastAsia="en-US"/>
        </w:rPr>
      </w:pPr>
      <w:r w:rsidRPr="009A0DA6">
        <w:rPr>
          <w:rFonts w:ascii="Cambria" w:hAnsi="Cambria"/>
        </w:rPr>
        <w:t xml:space="preserve">There are many young people throughout various LCA congregations with several years of experience and qualifications in their chosen field, who could provide a valuable contribution to a board, council, commission or committee, however, may not be inclined to put their name forward without some active encouragement to do so. </w:t>
      </w:r>
      <w:r w:rsidRPr="009A0DA6">
        <w:rPr>
          <w:rFonts w:ascii="Cambria" w:hAnsi="Cambria"/>
        </w:rPr>
        <w:br/>
      </w:r>
    </w:p>
    <w:p w14:paraId="1F021584" w14:textId="225BCD4B" w:rsidR="001B46FC" w:rsidRPr="001817EA" w:rsidRDefault="001B46FC" w:rsidP="00F55252">
      <w:pPr>
        <w:pStyle w:val="ListParagraph"/>
        <w:numPr>
          <w:ilvl w:val="0"/>
          <w:numId w:val="111"/>
        </w:numPr>
        <w:spacing w:after="0" w:line="240" w:lineRule="auto"/>
        <w:ind w:left="567" w:hanging="567"/>
        <w:rPr>
          <w:rFonts w:ascii="Cambria" w:hAnsi="Cambria"/>
          <w:sz w:val="10"/>
        </w:rPr>
      </w:pPr>
      <w:r w:rsidRPr="009A0DA6">
        <w:rPr>
          <w:rFonts w:ascii="Cambria" w:hAnsi="Cambria"/>
        </w:rPr>
        <w:t>Leadership training has been provided to young people at District and National level. This resolution aims to harness this energy and training for the sustainability of the LCA.</w:t>
      </w:r>
      <w:r w:rsidRPr="009A0DA6">
        <w:rPr>
          <w:rFonts w:ascii="Cambria" w:hAnsi="Cambria"/>
        </w:rPr>
        <w:br/>
      </w:r>
    </w:p>
    <w:p w14:paraId="2E003AA0" w14:textId="36DF8718" w:rsidR="001B46FC" w:rsidRPr="009A0DA6" w:rsidRDefault="001B46FC" w:rsidP="00F55252">
      <w:pPr>
        <w:pStyle w:val="ListParagraph"/>
        <w:numPr>
          <w:ilvl w:val="0"/>
          <w:numId w:val="111"/>
        </w:numPr>
        <w:spacing w:after="0" w:line="240" w:lineRule="auto"/>
        <w:ind w:left="567" w:hanging="567"/>
        <w:rPr>
          <w:rFonts w:ascii="Cambria" w:hAnsi="Cambria"/>
        </w:rPr>
      </w:pPr>
      <w:r w:rsidRPr="009A0DA6">
        <w:rPr>
          <w:rFonts w:ascii="Cambria" w:hAnsi="Cambria"/>
        </w:rPr>
        <w:lastRenderedPageBreak/>
        <w:t>We recognise that many young people have not had the opportunity to serve in governance bodies and therefore it is proposed that the introduction of at least one member aged 30 or under to all boards and committees, be in two stages.</w:t>
      </w:r>
      <w:r w:rsidRPr="009A0DA6">
        <w:rPr>
          <w:rFonts w:ascii="Cambria" w:hAnsi="Cambria"/>
        </w:rPr>
        <w:br/>
      </w:r>
    </w:p>
    <w:p w14:paraId="59D5E583" w14:textId="384E7D2F" w:rsidR="001B46FC" w:rsidRPr="009A0DA6" w:rsidRDefault="001B46FC" w:rsidP="00F55252">
      <w:pPr>
        <w:pStyle w:val="ListParagraph"/>
        <w:numPr>
          <w:ilvl w:val="0"/>
          <w:numId w:val="111"/>
        </w:numPr>
        <w:spacing w:after="0" w:line="240" w:lineRule="auto"/>
        <w:ind w:left="567" w:hanging="567"/>
        <w:rPr>
          <w:rFonts w:ascii="Cambria" w:hAnsi="Cambria"/>
        </w:rPr>
      </w:pPr>
      <w:r w:rsidRPr="009A0DA6">
        <w:rPr>
          <w:rFonts w:ascii="Cambria" w:hAnsi="Cambria"/>
        </w:rPr>
        <w:t>Young people are an important part of who we are and who God wants us to be as a church.</w:t>
      </w:r>
      <w:r w:rsidRPr="009A0DA6">
        <w:rPr>
          <w:rFonts w:ascii="Cambria" w:hAnsi="Cambria"/>
        </w:rPr>
        <w:br/>
      </w:r>
    </w:p>
    <w:p w14:paraId="7DD2C72D" w14:textId="36254945" w:rsidR="001B46FC" w:rsidRPr="009A0DA6" w:rsidRDefault="001B46FC" w:rsidP="00F55252">
      <w:pPr>
        <w:pStyle w:val="ListParagraph"/>
        <w:numPr>
          <w:ilvl w:val="0"/>
          <w:numId w:val="111"/>
        </w:numPr>
        <w:spacing w:after="0" w:line="240" w:lineRule="auto"/>
        <w:ind w:left="567" w:hanging="567"/>
        <w:rPr>
          <w:rFonts w:ascii="Cambria" w:hAnsi="Cambria"/>
        </w:rPr>
      </w:pPr>
      <w:r w:rsidRPr="009A0DA6">
        <w:rPr>
          <w:rFonts w:ascii="Cambria" w:hAnsi="Cambria"/>
        </w:rPr>
        <w:t>For the LCA to be a vibrant, growing community, young people need to have a place and a voice in all aspects of church life.</w:t>
      </w:r>
      <w:r w:rsidRPr="009A0DA6">
        <w:rPr>
          <w:rFonts w:ascii="Cambria" w:hAnsi="Cambria"/>
        </w:rPr>
        <w:br/>
      </w:r>
    </w:p>
    <w:p w14:paraId="1A2FFB77" w14:textId="4F78A3B2" w:rsidR="001B46FC" w:rsidRPr="009A0DA6" w:rsidRDefault="001B46FC" w:rsidP="00F55252">
      <w:pPr>
        <w:pStyle w:val="ListParagraph"/>
        <w:numPr>
          <w:ilvl w:val="0"/>
          <w:numId w:val="111"/>
        </w:numPr>
        <w:spacing w:after="0" w:line="240" w:lineRule="auto"/>
        <w:ind w:left="567" w:hanging="567"/>
        <w:rPr>
          <w:rFonts w:ascii="Cambria" w:hAnsi="Cambria"/>
        </w:rPr>
      </w:pPr>
      <w:r w:rsidRPr="009A0DA6">
        <w:rPr>
          <w:rFonts w:ascii="Cambria" w:hAnsi="Cambria"/>
        </w:rPr>
        <w:t>We need to be engaging with young people and we need young people engaging with the church in leadership roles to sustain the church into the future.</w:t>
      </w:r>
      <w:r w:rsidRPr="009A0DA6">
        <w:rPr>
          <w:rFonts w:ascii="Cambria" w:hAnsi="Cambria"/>
        </w:rPr>
        <w:br/>
      </w:r>
    </w:p>
    <w:p w14:paraId="3DCED048" w14:textId="5535884D" w:rsidR="001B46FC" w:rsidRPr="009A0DA6" w:rsidRDefault="001B46FC" w:rsidP="00F55252">
      <w:pPr>
        <w:pStyle w:val="ListParagraph"/>
        <w:numPr>
          <w:ilvl w:val="0"/>
          <w:numId w:val="111"/>
        </w:numPr>
        <w:spacing w:after="0" w:line="240" w:lineRule="auto"/>
        <w:ind w:left="567" w:hanging="567"/>
        <w:rPr>
          <w:rFonts w:ascii="Cambria" w:hAnsi="Cambria"/>
        </w:rPr>
      </w:pPr>
      <w:r w:rsidRPr="009A0DA6">
        <w:rPr>
          <w:rFonts w:ascii="Cambria" w:hAnsi="Cambria"/>
        </w:rPr>
        <w:t>It is not intended that this resolution preclude the election or appointment of suitable young people to any board or committee in the interim.</w:t>
      </w:r>
    </w:p>
    <w:p w14:paraId="01BAD375" w14:textId="6654C59B" w:rsidR="00013152" w:rsidRDefault="00013152" w:rsidP="00013152">
      <w:pPr>
        <w:spacing w:after="0" w:line="240" w:lineRule="auto"/>
        <w:rPr>
          <w:rFonts w:ascii="Cambria" w:hAnsi="Cambria"/>
        </w:rPr>
      </w:pPr>
    </w:p>
    <w:p w14:paraId="5D2DCA50" w14:textId="77777777" w:rsidR="00D07614" w:rsidRPr="009A0DA6" w:rsidRDefault="00D07614" w:rsidP="00013152">
      <w:pPr>
        <w:spacing w:after="0" w:line="240" w:lineRule="auto"/>
        <w:rPr>
          <w:rFonts w:ascii="Cambria" w:hAnsi="Cambria"/>
        </w:rPr>
      </w:pPr>
    </w:p>
    <w:p w14:paraId="364941E8" w14:textId="096D5A6C" w:rsidR="00013152" w:rsidRDefault="00013152" w:rsidP="00013152">
      <w:pPr>
        <w:spacing w:after="0" w:line="240" w:lineRule="auto"/>
        <w:rPr>
          <w:rFonts w:ascii="Cambria" w:hAnsi="Cambria"/>
        </w:rPr>
      </w:pPr>
    </w:p>
    <w:p w14:paraId="43328427" w14:textId="51DB62C7" w:rsidR="001817EA" w:rsidRDefault="001817EA" w:rsidP="00013152">
      <w:pPr>
        <w:spacing w:after="0" w:line="240" w:lineRule="auto"/>
        <w:rPr>
          <w:rFonts w:ascii="Cambria" w:hAnsi="Cambria"/>
        </w:rPr>
      </w:pPr>
    </w:p>
    <w:p w14:paraId="68695591" w14:textId="77777777" w:rsidR="00D07614" w:rsidRPr="009A0DA6" w:rsidRDefault="00D07614" w:rsidP="00013152">
      <w:pPr>
        <w:spacing w:after="0" w:line="240" w:lineRule="auto"/>
        <w:rPr>
          <w:rFonts w:ascii="Cambria" w:hAnsi="Cambria"/>
        </w:rPr>
      </w:pPr>
    </w:p>
    <w:p w14:paraId="4E412C67" w14:textId="77777777" w:rsidR="0001243B" w:rsidRPr="009A0DA6" w:rsidRDefault="0001243B" w:rsidP="0001243B">
      <w:pPr>
        <w:pStyle w:val="NoSpacing"/>
      </w:pPr>
    </w:p>
    <w:p w14:paraId="355143B0" w14:textId="09F42974" w:rsidR="0001243B" w:rsidRPr="009A0DA6" w:rsidRDefault="0001243B" w:rsidP="00964A90">
      <w:pPr>
        <w:pStyle w:val="Heading3"/>
      </w:pPr>
      <w:r w:rsidRPr="009A0DA6">
        <w:t>Agenda 2.2.1</w:t>
      </w:r>
      <w:r w:rsidR="00174A5E" w:rsidRPr="009A0DA6">
        <w:t>2</w:t>
      </w:r>
    </w:p>
    <w:p w14:paraId="099E805F" w14:textId="6F084B9F" w:rsidR="0001243B" w:rsidRPr="009A0DA6" w:rsidRDefault="0001243B" w:rsidP="005D571C">
      <w:pPr>
        <w:pStyle w:val="Heading2"/>
      </w:pPr>
      <w:bookmarkStart w:id="63" w:name="_Toc521954609"/>
      <w:bookmarkStart w:id="64" w:name="_Toc522394974"/>
      <w:r w:rsidRPr="009A0DA6">
        <w:t xml:space="preserve">Australian Lutheran World Service: </w:t>
      </w:r>
      <w:r w:rsidR="00013152" w:rsidRPr="009A0DA6">
        <w:br/>
      </w:r>
      <w:r w:rsidR="0073799A" w:rsidRPr="009A0DA6">
        <w:t>a</w:t>
      </w:r>
      <w:r w:rsidRPr="009A0DA6">
        <w:t xml:space="preserve">ppointment of </w:t>
      </w:r>
      <w:r w:rsidR="00174A5E" w:rsidRPr="009A0DA6">
        <w:t>a</w:t>
      </w:r>
      <w:r w:rsidRPr="009A0DA6">
        <w:t>uditor</w:t>
      </w:r>
      <w:bookmarkEnd w:id="63"/>
      <w:bookmarkEnd w:id="64"/>
    </w:p>
    <w:p w14:paraId="20AF704A" w14:textId="77777777" w:rsidR="0037789C" w:rsidRPr="009A0DA6" w:rsidRDefault="0037789C" w:rsidP="0037789C">
      <w:pPr>
        <w:pStyle w:val="NoSpacing"/>
      </w:pPr>
    </w:p>
    <w:p w14:paraId="05781663" w14:textId="77777777" w:rsidR="001B46FC" w:rsidRPr="009A0DA6" w:rsidRDefault="001B46FC" w:rsidP="001B46FC">
      <w:pPr>
        <w:pStyle w:val="Heading3"/>
        <w:rPr>
          <w:rFonts w:eastAsia="Times New Roman"/>
          <w:lang w:eastAsia="en-AU"/>
        </w:rPr>
      </w:pPr>
      <w:r w:rsidRPr="009A0DA6">
        <w:rPr>
          <w:rFonts w:eastAsia="Times New Roman"/>
          <w:lang w:eastAsia="en-AU"/>
        </w:rPr>
        <w:t>PROPOSED MOTION</w:t>
      </w:r>
    </w:p>
    <w:p w14:paraId="6AFF7CE0" w14:textId="77777777" w:rsidR="001B46FC" w:rsidRPr="009A0DA6" w:rsidRDefault="001B46FC" w:rsidP="001B46FC">
      <w:pPr>
        <w:shd w:val="clear" w:color="auto" w:fill="FFFFFF"/>
        <w:spacing w:after="120" w:line="22" w:lineRule="atLeast"/>
        <w:rPr>
          <w:rFonts w:ascii="Cambria" w:hAnsi="Cambria" w:cs="Arial"/>
          <w:i/>
          <w:shd w:val="clear" w:color="auto" w:fill="FFFFFF"/>
        </w:rPr>
      </w:pPr>
      <w:r w:rsidRPr="009A0DA6">
        <w:rPr>
          <w:rFonts w:ascii="Cambria" w:eastAsia="Times New Roman" w:hAnsi="Cambria" w:cs="Times New Roman"/>
          <w:bCs/>
          <w:i/>
          <w:lang w:eastAsia="en-AU"/>
        </w:rPr>
        <w:t xml:space="preserve">Submitted by </w:t>
      </w:r>
      <w:r w:rsidRPr="009A0DA6">
        <w:rPr>
          <w:rFonts w:ascii="Cambria" w:hAnsi="Cambria"/>
          <w:i/>
        </w:rPr>
        <w:t>Australian Lutheran World Service</w:t>
      </w:r>
    </w:p>
    <w:p w14:paraId="66667DF5" w14:textId="623879F8" w:rsidR="001B46FC" w:rsidRPr="009A0DA6" w:rsidRDefault="001B46FC" w:rsidP="001B46FC">
      <w:pPr>
        <w:spacing w:before="120" w:after="120" w:line="240" w:lineRule="auto"/>
        <w:ind w:right="-23"/>
        <w:rPr>
          <w:rFonts w:ascii="Cambria" w:eastAsia="Century Gothic" w:hAnsi="Cambria" w:cs="Century Gothic"/>
          <w:bCs/>
          <w:color w:val="212121"/>
          <w:sz w:val="14"/>
        </w:rPr>
      </w:pPr>
      <w:r w:rsidRPr="009A0DA6">
        <w:rPr>
          <w:rFonts w:ascii="Cambria" w:eastAsia="Century Gothic" w:hAnsi="Cambria" w:cs="Century Gothic"/>
          <w:b/>
          <w:bCs/>
          <w:color w:val="212121"/>
        </w:rPr>
        <w:t>B</w:t>
      </w:r>
      <w:r w:rsidR="005925B7" w:rsidRPr="009A0DA6">
        <w:rPr>
          <w:rFonts w:ascii="Cambria" w:eastAsia="Century Gothic" w:hAnsi="Cambria" w:cs="Century Gothic"/>
          <w:b/>
          <w:bCs/>
          <w:color w:val="212121"/>
        </w:rPr>
        <w:t>E IT RESOLVED</w:t>
      </w:r>
      <w:r w:rsidRPr="009A0DA6">
        <w:rPr>
          <w:rFonts w:ascii="Cambria" w:eastAsia="Century Gothic" w:hAnsi="Cambria" w:cs="Century Gothic"/>
          <w:bCs/>
          <w:color w:val="212121"/>
        </w:rPr>
        <w:t xml:space="preserve"> that MRL </w:t>
      </w:r>
      <w:r w:rsidRPr="009A0DA6">
        <w:rPr>
          <w:rFonts w:ascii="Cambria" w:eastAsia="Century Gothic" w:hAnsi="Cambria" w:cs="Century Gothic"/>
          <w:bCs/>
          <w:color w:val="212121"/>
          <w:spacing w:val="-1"/>
        </w:rPr>
        <w:t>G</w:t>
      </w:r>
      <w:r w:rsidRPr="009A0DA6">
        <w:rPr>
          <w:rFonts w:ascii="Cambria" w:eastAsia="Century Gothic" w:hAnsi="Cambria" w:cs="Century Gothic"/>
          <w:bCs/>
          <w:color w:val="212121"/>
        </w:rPr>
        <w:t xml:space="preserve">roup </w:t>
      </w:r>
      <w:r w:rsidR="005925B7" w:rsidRPr="009A0DA6">
        <w:rPr>
          <w:rFonts w:ascii="Cambria" w:eastAsia="Century Gothic" w:hAnsi="Cambria" w:cs="Century Gothic"/>
          <w:bCs/>
          <w:color w:val="212121"/>
        </w:rPr>
        <w:t>be</w:t>
      </w:r>
      <w:r w:rsidRPr="009A0DA6">
        <w:rPr>
          <w:rFonts w:ascii="Cambria" w:eastAsia="Century Gothic" w:hAnsi="Cambria" w:cs="Century Gothic"/>
          <w:bCs/>
          <w:color w:val="212121"/>
        </w:rPr>
        <w:t xml:space="preserve"> a</w:t>
      </w:r>
      <w:r w:rsidRPr="009A0DA6">
        <w:rPr>
          <w:rFonts w:ascii="Cambria" w:eastAsia="Century Gothic" w:hAnsi="Cambria" w:cs="Century Gothic"/>
          <w:bCs/>
          <w:color w:val="212121"/>
          <w:spacing w:val="-1"/>
        </w:rPr>
        <w:t>p</w:t>
      </w:r>
      <w:r w:rsidRPr="009A0DA6">
        <w:rPr>
          <w:rFonts w:ascii="Cambria" w:eastAsia="Century Gothic" w:hAnsi="Cambria" w:cs="Century Gothic"/>
          <w:bCs/>
          <w:color w:val="212121"/>
        </w:rPr>
        <w:t xml:space="preserve">pointed as </w:t>
      </w:r>
      <w:r w:rsidRPr="009A0DA6">
        <w:rPr>
          <w:rFonts w:ascii="Cambria" w:eastAsia="Century Gothic" w:hAnsi="Cambria" w:cs="Century Gothic"/>
          <w:bCs/>
          <w:color w:val="212121"/>
          <w:spacing w:val="-1"/>
        </w:rPr>
        <w:t>a</w:t>
      </w:r>
      <w:r w:rsidRPr="009A0DA6">
        <w:rPr>
          <w:rFonts w:ascii="Cambria" w:eastAsia="Century Gothic" w:hAnsi="Cambria" w:cs="Century Gothic"/>
          <w:bCs/>
          <w:color w:val="212121"/>
        </w:rPr>
        <w:t>ud</w:t>
      </w:r>
      <w:r w:rsidRPr="009A0DA6">
        <w:rPr>
          <w:rFonts w:ascii="Cambria" w:eastAsia="Century Gothic" w:hAnsi="Cambria" w:cs="Century Gothic"/>
          <w:bCs/>
          <w:color w:val="212121"/>
          <w:spacing w:val="-2"/>
        </w:rPr>
        <w:t>i</w:t>
      </w:r>
      <w:r w:rsidRPr="009A0DA6">
        <w:rPr>
          <w:rFonts w:ascii="Cambria" w:eastAsia="Century Gothic" w:hAnsi="Cambria" w:cs="Century Gothic"/>
          <w:bCs/>
          <w:color w:val="212121"/>
        </w:rPr>
        <w:t>tor of</w:t>
      </w:r>
      <w:r w:rsidRPr="009A0DA6">
        <w:rPr>
          <w:rFonts w:ascii="Cambria" w:eastAsia="Century Gothic" w:hAnsi="Cambria" w:cs="Century Gothic"/>
          <w:bCs/>
          <w:color w:val="212121"/>
          <w:spacing w:val="-1"/>
        </w:rPr>
        <w:t xml:space="preserve"> </w:t>
      </w:r>
      <w:r w:rsidRPr="009A0DA6">
        <w:rPr>
          <w:rFonts w:ascii="Cambria" w:eastAsia="Century Gothic" w:hAnsi="Cambria" w:cs="Century Gothic"/>
          <w:bCs/>
          <w:color w:val="212121"/>
          <w:spacing w:val="1"/>
        </w:rPr>
        <w:t>A</w:t>
      </w:r>
      <w:r w:rsidRPr="009A0DA6">
        <w:rPr>
          <w:rFonts w:ascii="Cambria" w:eastAsia="Century Gothic" w:hAnsi="Cambria" w:cs="Century Gothic"/>
          <w:bCs/>
          <w:color w:val="212121"/>
        </w:rPr>
        <w:t>u</w:t>
      </w:r>
      <w:r w:rsidRPr="009A0DA6">
        <w:rPr>
          <w:rFonts w:ascii="Cambria" w:eastAsia="Century Gothic" w:hAnsi="Cambria" w:cs="Century Gothic"/>
          <w:bCs/>
          <w:color w:val="212121"/>
          <w:spacing w:val="-2"/>
        </w:rPr>
        <w:t>s</w:t>
      </w:r>
      <w:r w:rsidRPr="009A0DA6">
        <w:rPr>
          <w:rFonts w:ascii="Cambria" w:eastAsia="Century Gothic" w:hAnsi="Cambria" w:cs="Century Gothic"/>
          <w:bCs/>
          <w:color w:val="212121"/>
        </w:rPr>
        <w:t>tralian Lutheran World Ser</w:t>
      </w:r>
      <w:r w:rsidRPr="009A0DA6">
        <w:rPr>
          <w:rFonts w:ascii="Cambria" w:eastAsia="Century Gothic" w:hAnsi="Cambria" w:cs="Century Gothic"/>
          <w:bCs/>
          <w:color w:val="212121"/>
          <w:spacing w:val="1"/>
        </w:rPr>
        <w:t>v</w:t>
      </w:r>
      <w:r w:rsidRPr="009A0DA6">
        <w:rPr>
          <w:rFonts w:ascii="Cambria" w:eastAsia="Century Gothic" w:hAnsi="Cambria" w:cs="Century Gothic"/>
          <w:bCs/>
          <w:color w:val="212121"/>
        </w:rPr>
        <w:t xml:space="preserve">ice </w:t>
      </w:r>
      <w:r w:rsidRPr="009A0DA6">
        <w:rPr>
          <w:rFonts w:ascii="Cambria" w:eastAsia="Century Gothic" w:hAnsi="Cambria" w:cs="Century Gothic"/>
          <w:bCs/>
          <w:color w:val="212121"/>
          <w:spacing w:val="-2"/>
        </w:rPr>
        <w:t>(</w:t>
      </w:r>
      <w:r w:rsidRPr="009A0DA6">
        <w:rPr>
          <w:rFonts w:ascii="Cambria" w:eastAsia="Century Gothic" w:hAnsi="Cambria" w:cs="Century Gothic"/>
          <w:bCs/>
          <w:color w:val="212121"/>
          <w:spacing w:val="1"/>
        </w:rPr>
        <w:t>A</w:t>
      </w:r>
      <w:r w:rsidRPr="009A0DA6">
        <w:rPr>
          <w:rFonts w:ascii="Cambria" w:eastAsia="Century Gothic" w:hAnsi="Cambria" w:cs="Century Gothic"/>
          <w:bCs/>
          <w:color w:val="212121"/>
        </w:rPr>
        <w:t>LWS)</w:t>
      </w:r>
      <w:r w:rsidRPr="009A0DA6">
        <w:rPr>
          <w:rFonts w:ascii="Cambria" w:eastAsia="Century Gothic" w:hAnsi="Cambria" w:cs="Century Gothic"/>
          <w:bCs/>
          <w:color w:val="212121"/>
          <w:spacing w:val="-1"/>
        </w:rPr>
        <w:t xml:space="preserve"> </w:t>
      </w:r>
      <w:r w:rsidRPr="009A0DA6">
        <w:rPr>
          <w:rFonts w:ascii="Cambria" w:eastAsia="Century Gothic" w:hAnsi="Cambria" w:cs="Century Gothic"/>
          <w:bCs/>
          <w:color w:val="212121"/>
        </w:rPr>
        <w:t xml:space="preserve">until </w:t>
      </w:r>
      <w:r w:rsidRPr="009A0DA6">
        <w:rPr>
          <w:rFonts w:ascii="Cambria" w:eastAsia="Century Gothic" w:hAnsi="Cambria" w:cs="Century Gothic"/>
          <w:bCs/>
          <w:color w:val="212121"/>
          <w:spacing w:val="1"/>
        </w:rPr>
        <w:t>3</w:t>
      </w:r>
      <w:r w:rsidRPr="009A0DA6">
        <w:rPr>
          <w:rFonts w:ascii="Cambria" w:eastAsia="Century Gothic" w:hAnsi="Cambria" w:cs="Century Gothic"/>
          <w:bCs/>
          <w:color w:val="212121"/>
        </w:rPr>
        <w:t xml:space="preserve">0 </w:t>
      </w:r>
      <w:r w:rsidRPr="009A0DA6">
        <w:rPr>
          <w:rFonts w:ascii="Cambria" w:eastAsia="Century Gothic" w:hAnsi="Cambria" w:cs="Century Gothic"/>
          <w:bCs/>
          <w:color w:val="212121"/>
          <w:spacing w:val="1"/>
        </w:rPr>
        <w:t>A</w:t>
      </w:r>
      <w:r w:rsidRPr="009A0DA6">
        <w:rPr>
          <w:rFonts w:ascii="Cambria" w:eastAsia="Century Gothic" w:hAnsi="Cambria" w:cs="Century Gothic"/>
          <w:bCs/>
          <w:color w:val="212121"/>
        </w:rPr>
        <w:t>pril 20</w:t>
      </w:r>
      <w:r w:rsidRPr="009A0DA6">
        <w:rPr>
          <w:rFonts w:ascii="Cambria" w:eastAsia="Century Gothic" w:hAnsi="Cambria" w:cs="Century Gothic"/>
          <w:bCs/>
          <w:color w:val="212121"/>
          <w:spacing w:val="1"/>
        </w:rPr>
        <w:t>2</w:t>
      </w:r>
      <w:r w:rsidRPr="009A0DA6">
        <w:rPr>
          <w:rFonts w:ascii="Cambria" w:eastAsia="Century Gothic" w:hAnsi="Cambria" w:cs="Century Gothic"/>
          <w:bCs/>
          <w:color w:val="212121"/>
        </w:rPr>
        <w:t>2 (</w:t>
      </w:r>
      <w:r w:rsidR="00C3381F" w:rsidRPr="009A0DA6">
        <w:rPr>
          <w:rFonts w:ascii="Cambria" w:eastAsia="Century Gothic" w:hAnsi="Cambria" w:cs="Century Gothic"/>
          <w:bCs/>
          <w:color w:val="212121"/>
        </w:rPr>
        <w:t>ie</w:t>
      </w:r>
      <w:r w:rsidRPr="009A0DA6">
        <w:rPr>
          <w:rFonts w:ascii="Cambria" w:eastAsia="Century Gothic" w:hAnsi="Cambria" w:cs="Century Gothic"/>
          <w:bCs/>
          <w:color w:val="212121"/>
          <w:spacing w:val="-1"/>
        </w:rPr>
        <w:t xml:space="preserve"> </w:t>
      </w:r>
      <w:r w:rsidRPr="009A0DA6">
        <w:rPr>
          <w:rFonts w:ascii="Cambria" w:eastAsia="Century Gothic" w:hAnsi="Cambria" w:cs="Century Gothic"/>
          <w:bCs/>
          <w:color w:val="212121"/>
        </w:rPr>
        <w:t>for the 2</w:t>
      </w:r>
      <w:r w:rsidRPr="009A0DA6">
        <w:rPr>
          <w:rFonts w:ascii="Cambria" w:eastAsia="Century Gothic" w:hAnsi="Cambria" w:cs="Century Gothic"/>
          <w:bCs/>
          <w:color w:val="212121"/>
          <w:spacing w:val="1"/>
        </w:rPr>
        <w:t>0</w:t>
      </w:r>
      <w:r w:rsidRPr="009A0DA6">
        <w:rPr>
          <w:rFonts w:ascii="Cambria" w:eastAsia="Century Gothic" w:hAnsi="Cambria" w:cs="Century Gothic"/>
          <w:bCs/>
          <w:color w:val="212121"/>
        </w:rPr>
        <w:t>1</w:t>
      </w:r>
      <w:r w:rsidRPr="009A0DA6">
        <w:rPr>
          <w:rFonts w:ascii="Cambria" w:eastAsia="Century Gothic" w:hAnsi="Cambria" w:cs="Century Gothic"/>
          <w:bCs/>
          <w:color w:val="212121"/>
          <w:spacing w:val="2"/>
        </w:rPr>
        <w:t>9</w:t>
      </w:r>
      <w:r w:rsidRPr="009A0DA6">
        <w:rPr>
          <w:rFonts w:ascii="Cambria" w:eastAsia="Century Gothic" w:hAnsi="Cambria" w:cs="Century Gothic"/>
          <w:bCs/>
          <w:color w:val="212121"/>
        </w:rPr>
        <w:t xml:space="preserve">, </w:t>
      </w:r>
      <w:r w:rsidRPr="009A0DA6">
        <w:rPr>
          <w:rFonts w:ascii="Cambria" w:eastAsia="Century Gothic" w:hAnsi="Cambria" w:cs="Century Gothic"/>
          <w:bCs/>
          <w:color w:val="212121"/>
          <w:spacing w:val="-1"/>
        </w:rPr>
        <w:t>20</w:t>
      </w:r>
      <w:r w:rsidRPr="009A0DA6">
        <w:rPr>
          <w:rFonts w:ascii="Cambria" w:eastAsia="Century Gothic" w:hAnsi="Cambria" w:cs="Century Gothic"/>
          <w:bCs/>
          <w:color w:val="212121"/>
          <w:spacing w:val="1"/>
        </w:rPr>
        <w:t>2</w:t>
      </w:r>
      <w:r w:rsidRPr="009A0DA6">
        <w:rPr>
          <w:rFonts w:ascii="Cambria" w:eastAsia="Century Gothic" w:hAnsi="Cambria" w:cs="Century Gothic"/>
          <w:bCs/>
          <w:color w:val="212121"/>
        </w:rPr>
        <w:t xml:space="preserve">0 </w:t>
      </w:r>
      <w:r w:rsidRPr="009A0DA6">
        <w:rPr>
          <w:rFonts w:ascii="Cambria" w:eastAsia="Century Gothic" w:hAnsi="Cambria" w:cs="Century Gothic"/>
          <w:bCs/>
          <w:color w:val="212121"/>
          <w:spacing w:val="-1"/>
        </w:rPr>
        <w:t>an</w:t>
      </w:r>
      <w:r w:rsidRPr="009A0DA6">
        <w:rPr>
          <w:rFonts w:ascii="Cambria" w:eastAsia="Century Gothic" w:hAnsi="Cambria" w:cs="Century Gothic"/>
          <w:bCs/>
          <w:color w:val="212121"/>
        </w:rPr>
        <w:t xml:space="preserve">d </w:t>
      </w:r>
      <w:r w:rsidRPr="009A0DA6">
        <w:rPr>
          <w:rFonts w:ascii="Cambria" w:eastAsia="Century Gothic" w:hAnsi="Cambria" w:cs="Century Gothic"/>
          <w:bCs/>
          <w:color w:val="212121"/>
          <w:spacing w:val="-1"/>
        </w:rPr>
        <w:t>2</w:t>
      </w:r>
      <w:r w:rsidRPr="009A0DA6">
        <w:rPr>
          <w:rFonts w:ascii="Cambria" w:eastAsia="Century Gothic" w:hAnsi="Cambria" w:cs="Century Gothic"/>
          <w:bCs/>
          <w:color w:val="212121"/>
          <w:spacing w:val="1"/>
        </w:rPr>
        <w:t>0</w:t>
      </w:r>
      <w:r w:rsidRPr="009A0DA6">
        <w:rPr>
          <w:rFonts w:ascii="Cambria" w:eastAsia="Century Gothic" w:hAnsi="Cambria" w:cs="Century Gothic"/>
          <w:bCs/>
          <w:color w:val="212121"/>
          <w:spacing w:val="-1"/>
        </w:rPr>
        <w:t>2</w:t>
      </w:r>
      <w:r w:rsidRPr="009A0DA6">
        <w:rPr>
          <w:rFonts w:ascii="Cambria" w:eastAsia="Century Gothic" w:hAnsi="Cambria" w:cs="Century Gothic"/>
          <w:bCs/>
          <w:color w:val="212121"/>
        </w:rPr>
        <w:t>1 year</w:t>
      </w:r>
      <w:r w:rsidRPr="009A0DA6">
        <w:rPr>
          <w:rFonts w:ascii="Cambria" w:eastAsia="Century Gothic" w:hAnsi="Cambria" w:cs="Century Gothic"/>
          <w:bCs/>
          <w:color w:val="212121"/>
          <w:spacing w:val="-1"/>
        </w:rPr>
        <w:t xml:space="preserve"> </w:t>
      </w:r>
      <w:r w:rsidRPr="009A0DA6">
        <w:rPr>
          <w:rFonts w:ascii="Cambria" w:eastAsia="Century Gothic" w:hAnsi="Cambria" w:cs="Century Gothic"/>
          <w:bCs/>
          <w:color w:val="212121"/>
        </w:rPr>
        <w:t xml:space="preserve">audits). </w:t>
      </w:r>
      <w:r w:rsidR="00013152" w:rsidRPr="009A0DA6">
        <w:rPr>
          <w:rFonts w:ascii="Cambria" w:eastAsia="Century Gothic" w:hAnsi="Cambria" w:cs="Century Gothic"/>
          <w:bCs/>
          <w:color w:val="212121"/>
        </w:rPr>
        <w:br/>
      </w:r>
    </w:p>
    <w:p w14:paraId="04FAFF18" w14:textId="398A866A" w:rsidR="001B46FC" w:rsidRPr="009A0DA6" w:rsidRDefault="00FB59B1" w:rsidP="00013152">
      <w:pPr>
        <w:pStyle w:val="Heading3"/>
        <w:rPr>
          <w:noProof/>
        </w:rPr>
      </w:pPr>
      <w:r w:rsidRPr="009A0DA6">
        <w:rPr>
          <w:rFonts w:eastAsia="Century Gothic"/>
        </w:rPr>
        <w:t>REASONS FOR THE MOTION</w:t>
      </w:r>
    </w:p>
    <w:p w14:paraId="2C18DC17" w14:textId="79DFA95E" w:rsidR="001B46FC" w:rsidRPr="001817EA" w:rsidRDefault="001B46FC" w:rsidP="00F55252">
      <w:pPr>
        <w:pStyle w:val="ListParagraph"/>
        <w:numPr>
          <w:ilvl w:val="3"/>
          <w:numId w:val="110"/>
        </w:numPr>
        <w:spacing w:after="0" w:line="240" w:lineRule="auto"/>
        <w:ind w:left="567" w:right="391" w:hanging="567"/>
        <w:rPr>
          <w:rFonts w:ascii="Cambria" w:eastAsia="Century Gothic" w:hAnsi="Cambria" w:cs="Century Gothic"/>
        </w:rPr>
      </w:pPr>
      <w:r w:rsidRPr="009A0DA6">
        <w:rPr>
          <w:rFonts w:ascii="Cambria" w:eastAsia="Century Gothic" w:hAnsi="Cambria" w:cs="Century Gothic"/>
          <w:color w:val="212121"/>
        </w:rPr>
        <w:t>Audit tende</w:t>
      </w:r>
      <w:r w:rsidRPr="009A0DA6">
        <w:rPr>
          <w:rFonts w:ascii="Cambria" w:eastAsia="Century Gothic" w:hAnsi="Cambria" w:cs="Century Gothic"/>
          <w:color w:val="212121"/>
          <w:spacing w:val="-1"/>
        </w:rPr>
        <w:t>r</w:t>
      </w:r>
      <w:r w:rsidRPr="009A0DA6">
        <w:rPr>
          <w:rFonts w:ascii="Cambria" w:eastAsia="Century Gothic" w:hAnsi="Cambria" w:cs="Century Gothic"/>
          <w:color w:val="212121"/>
        </w:rPr>
        <w:t>s are s</w:t>
      </w:r>
      <w:r w:rsidRPr="009A0DA6">
        <w:rPr>
          <w:rFonts w:ascii="Cambria" w:eastAsia="Century Gothic" w:hAnsi="Cambria" w:cs="Century Gothic"/>
          <w:color w:val="212121"/>
          <w:spacing w:val="-2"/>
        </w:rPr>
        <w:t>o</w:t>
      </w:r>
      <w:r w:rsidRPr="009A0DA6">
        <w:rPr>
          <w:rFonts w:ascii="Cambria" w:eastAsia="Century Gothic" w:hAnsi="Cambria" w:cs="Century Gothic"/>
          <w:color w:val="212121"/>
        </w:rPr>
        <w:t>ug</w:t>
      </w:r>
      <w:r w:rsidRPr="009A0DA6">
        <w:rPr>
          <w:rFonts w:ascii="Cambria" w:eastAsia="Century Gothic" w:hAnsi="Cambria" w:cs="Century Gothic"/>
          <w:color w:val="212121"/>
          <w:spacing w:val="-1"/>
        </w:rPr>
        <w:t>h</w:t>
      </w:r>
      <w:r w:rsidRPr="009A0DA6">
        <w:rPr>
          <w:rFonts w:ascii="Cambria" w:eastAsia="Century Gothic" w:hAnsi="Cambria" w:cs="Century Gothic"/>
          <w:color w:val="212121"/>
        </w:rPr>
        <w:t>t for Au</w:t>
      </w:r>
      <w:r w:rsidRPr="009A0DA6">
        <w:rPr>
          <w:rFonts w:ascii="Cambria" w:eastAsia="Century Gothic" w:hAnsi="Cambria" w:cs="Century Gothic"/>
          <w:color w:val="212121"/>
          <w:spacing w:val="-1"/>
        </w:rPr>
        <w:t>s</w:t>
      </w:r>
      <w:r w:rsidRPr="009A0DA6">
        <w:rPr>
          <w:rFonts w:ascii="Cambria" w:eastAsia="Century Gothic" w:hAnsi="Cambria" w:cs="Century Gothic"/>
          <w:color w:val="212121"/>
          <w:spacing w:val="2"/>
        </w:rPr>
        <w:t>t</w:t>
      </w:r>
      <w:r w:rsidRPr="009A0DA6">
        <w:rPr>
          <w:rFonts w:ascii="Cambria" w:eastAsia="Century Gothic" w:hAnsi="Cambria" w:cs="Century Gothic"/>
          <w:color w:val="212121"/>
        </w:rPr>
        <w:t>ral</w:t>
      </w:r>
      <w:r w:rsidRPr="009A0DA6">
        <w:rPr>
          <w:rFonts w:ascii="Cambria" w:eastAsia="Century Gothic" w:hAnsi="Cambria" w:cs="Century Gothic"/>
          <w:color w:val="212121"/>
          <w:spacing w:val="-3"/>
        </w:rPr>
        <w:t>i</w:t>
      </w:r>
      <w:r w:rsidRPr="009A0DA6">
        <w:rPr>
          <w:rFonts w:ascii="Cambria" w:eastAsia="Century Gothic" w:hAnsi="Cambria" w:cs="Century Gothic"/>
          <w:color w:val="212121"/>
          <w:spacing w:val="-1"/>
        </w:rPr>
        <w:t>a</w:t>
      </w:r>
      <w:r w:rsidRPr="009A0DA6">
        <w:rPr>
          <w:rFonts w:ascii="Cambria" w:eastAsia="Century Gothic" w:hAnsi="Cambria" w:cs="Century Gothic"/>
          <w:color w:val="212121"/>
        </w:rPr>
        <w:t>n Luthe</w:t>
      </w:r>
      <w:r w:rsidRPr="009A0DA6">
        <w:rPr>
          <w:rFonts w:ascii="Cambria" w:eastAsia="Century Gothic" w:hAnsi="Cambria" w:cs="Century Gothic"/>
          <w:color w:val="212121"/>
          <w:spacing w:val="-1"/>
        </w:rPr>
        <w:t>r</w:t>
      </w:r>
      <w:r w:rsidRPr="009A0DA6">
        <w:rPr>
          <w:rFonts w:ascii="Cambria" w:eastAsia="Century Gothic" w:hAnsi="Cambria" w:cs="Century Gothic"/>
          <w:color w:val="212121"/>
        </w:rPr>
        <w:t>an</w:t>
      </w:r>
      <w:r w:rsidRPr="009A0DA6">
        <w:rPr>
          <w:rFonts w:ascii="Cambria" w:eastAsia="Century Gothic" w:hAnsi="Cambria" w:cs="Century Gothic"/>
          <w:color w:val="212121"/>
          <w:spacing w:val="-1"/>
        </w:rPr>
        <w:t xml:space="preserve"> </w:t>
      </w:r>
      <w:r w:rsidRPr="009A0DA6">
        <w:rPr>
          <w:rFonts w:ascii="Cambria" w:eastAsia="Century Gothic" w:hAnsi="Cambria" w:cs="Century Gothic"/>
          <w:color w:val="212121"/>
          <w:spacing w:val="-4"/>
        </w:rPr>
        <w:t>W</w:t>
      </w:r>
      <w:r w:rsidRPr="009A0DA6">
        <w:rPr>
          <w:rFonts w:ascii="Cambria" w:eastAsia="Century Gothic" w:hAnsi="Cambria" w:cs="Century Gothic"/>
          <w:color w:val="212121"/>
          <w:spacing w:val="1"/>
        </w:rPr>
        <w:t>o</w:t>
      </w:r>
      <w:r w:rsidRPr="009A0DA6">
        <w:rPr>
          <w:rFonts w:ascii="Cambria" w:eastAsia="Century Gothic" w:hAnsi="Cambria" w:cs="Century Gothic"/>
          <w:color w:val="212121"/>
        </w:rPr>
        <w:t>rld Ser</w:t>
      </w:r>
      <w:r w:rsidRPr="009A0DA6">
        <w:rPr>
          <w:rFonts w:ascii="Cambria" w:eastAsia="Century Gothic" w:hAnsi="Cambria" w:cs="Century Gothic"/>
          <w:color w:val="212121"/>
          <w:spacing w:val="2"/>
        </w:rPr>
        <w:t>v</w:t>
      </w:r>
      <w:r w:rsidRPr="009A0DA6">
        <w:rPr>
          <w:rFonts w:ascii="Cambria" w:eastAsia="Century Gothic" w:hAnsi="Cambria" w:cs="Century Gothic"/>
          <w:color w:val="212121"/>
        </w:rPr>
        <w:t>i</w:t>
      </w:r>
      <w:r w:rsidRPr="009A0DA6">
        <w:rPr>
          <w:rFonts w:ascii="Cambria" w:eastAsia="Century Gothic" w:hAnsi="Cambria" w:cs="Century Gothic"/>
          <w:color w:val="212121"/>
          <w:spacing w:val="-1"/>
        </w:rPr>
        <w:t>c</w:t>
      </w:r>
      <w:r w:rsidRPr="009A0DA6">
        <w:rPr>
          <w:rFonts w:ascii="Cambria" w:eastAsia="Century Gothic" w:hAnsi="Cambria" w:cs="Century Gothic"/>
          <w:color w:val="212121"/>
        </w:rPr>
        <w:t>e</w:t>
      </w:r>
      <w:r w:rsidRPr="009A0DA6">
        <w:rPr>
          <w:rFonts w:ascii="Cambria" w:eastAsia="Century Gothic" w:hAnsi="Cambria" w:cs="Century Gothic"/>
          <w:color w:val="212121"/>
          <w:spacing w:val="1"/>
        </w:rPr>
        <w:t xml:space="preserve"> </w:t>
      </w:r>
      <w:r w:rsidRPr="009A0DA6">
        <w:rPr>
          <w:rFonts w:ascii="Cambria" w:eastAsia="Century Gothic" w:hAnsi="Cambria" w:cs="Century Gothic"/>
          <w:color w:val="212121"/>
          <w:spacing w:val="-3"/>
        </w:rPr>
        <w:t>(</w:t>
      </w:r>
      <w:r w:rsidRPr="009A0DA6">
        <w:rPr>
          <w:rFonts w:ascii="Cambria" w:eastAsia="Century Gothic" w:hAnsi="Cambria" w:cs="Century Gothic"/>
          <w:color w:val="212121"/>
          <w:spacing w:val="-1"/>
        </w:rPr>
        <w:t>A</w:t>
      </w:r>
      <w:r w:rsidRPr="009A0DA6">
        <w:rPr>
          <w:rFonts w:ascii="Cambria" w:eastAsia="Century Gothic" w:hAnsi="Cambria" w:cs="Century Gothic"/>
          <w:color w:val="212121"/>
          <w:spacing w:val="3"/>
        </w:rPr>
        <w:t>L</w:t>
      </w:r>
      <w:r w:rsidRPr="009A0DA6">
        <w:rPr>
          <w:rFonts w:ascii="Cambria" w:eastAsia="Century Gothic" w:hAnsi="Cambria" w:cs="Century Gothic"/>
          <w:color w:val="212121"/>
          <w:spacing w:val="-5"/>
        </w:rPr>
        <w:t>W</w:t>
      </w:r>
      <w:r w:rsidRPr="009A0DA6">
        <w:rPr>
          <w:rFonts w:ascii="Cambria" w:eastAsia="Century Gothic" w:hAnsi="Cambria" w:cs="Century Gothic"/>
          <w:color w:val="212121"/>
          <w:spacing w:val="1"/>
        </w:rPr>
        <w:t>S</w:t>
      </w:r>
      <w:r w:rsidRPr="009A0DA6">
        <w:rPr>
          <w:rFonts w:ascii="Cambria" w:eastAsia="Century Gothic" w:hAnsi="Cambria" w:cs="Century Gothic"/>
          <w:color w:val="212121"/>
        </w:rPr>
        <w:t>) on</w:t>
      </w:r>
      <w:r w:rsidRPr="009A0DA6">
        <w:rPr>
          <w:rFonts w:ascii="Cambria" w:eastAsia="Century Gothic" w:hAnsi="Cambria" w:cs="Century Gothic"/>
          <w:color w:val="212121"/>
          <w:spacing w:val="1"/>
        </w:rPr>
        <w:t xml:space="preserve"> </w:t>
      </w:r>
      <w:r w:rsidR="0073799A" w:rsidRPr="009A0DA6">
        <w:rPr>
          <w:rFonts w:ascii="Cambria" w:eastAsia="Century Gothic" w:hAnsi="Cambria" w:cs="Century Gothic"/>
          <w:color w:val="212121"/>
        </w:rPr>
        <w:t>a three-</w:t>
      </w:r>
      <w:r w:rsidRPr="009A0DA6">
        <w:rPr>
          <w:rFonts w:ascii="Cambria" w:eastAsia="Century Gothic" w:hAnsi="Cambria" w:cs="Century Gothic"/>
          <w:color w:val="212121"/>
        </w:rPr>
        <w:t>year cycle</w:t>
      </w:r>
      <w:r w:rsidRPr="009A0DA6">
        <w:rPr>
          <w:rFonts w:ascii="Cambria" w:eastAsia="Century Gothic" w:hAnsi="Cambria" w:cs="Century Gothic"/>
          <w:color w:val="212121"/>
          <w:spacing w:val="-1"/>
        </w:rPr>
        <w:t xml:space="preserve"> </w:t>
      </w:r>
      <w:r w:rsidRPr="009A0DA6">
        <w:rPr>
          <w:rFonts w:ascii="Cambria" w:eastAsia="Century Gothic" w:hAnsi="Cambria" w:cs="Century Gothic"/>
          <w:color w:val="212121"/>
        </w:rPr>
        <w:t>to align</w:t>
      </w:r>
      <w:r w:rsidRPr="009A0DA6">
        <w:rPr>
          <w:rFonts w:ascii="Cambria" w:eastAsia="Century Gothic" w:hAnsi="Cambria" w:cs="Century Gothic"/>
          <w:color w:val="212121"/>
          <w:spacing w:val="-1"/>
        </w:rPr>
        <w:t xml:space="preserve"> </w:t>
      </w:r>
      <w:r w:rsidRPr="009A0DA6">
        <w:rPr>
          <w:rFonts w:ascii="Cambria" w:eastAsia="Century Gothic" w:hAnsi="Cambria" w:cs="Century Gothic"/>
          <w:color w:val="212121"/>
        </w:rPr>
        <w:t>w</w:t>
      </w:r>
      <w:r w:rsidRPr="009A0DA6">
        <w:rPr>
          <w:rFonts w:ascii="Cambria" w:eastAsia="Century Gothic" w:hAnsi="Cambria" w:cs="Century Gothic"/>
          <w:color w:val="212121"/>
          <w:spacing w:val="-2"/>
        </w:rPr>
        <w:t>i</w:t>
      </w:r>
      <w:r w:rsidRPr="009A0DA6">
        <w:rPr>
          <w:rFonts w:ascii="Cambria" w:eastAsia="Century Gothic" w:hAnsi="Cambria" w:cs="Century Gothic"/>
          <w:color w:val="212121"/>
          <w:spacing w:val="2"/>
        </w:rPr>
        <w:t>t</w:t>
      </w:r>
      <w:r w:rsidRPr="009A0DA6">
        <w:rPr>
          <w:rFonts w:ascii="Cambria" w:eastAsia="Century Gothic" w:hAnsi="Cambria" w:cs="Century Gothic"/>
          <w:color w:val="212121"/>
        </w:rPr>
        <w:t>h the LCA Gener</w:t>
      </w:r>
      <w:r w:rsidRPr="009A0DA6">
        <w:rPr>
          <w:rFonts w:ascii="Cambria" w:eastAsia="Century Gothic" w:hAnsi="Cambria" w:cs="Century Gothic"/>
          <w:color w:val="212121"/>
          <w:spacing w:val="-1"/>
        </w:rPr>
        <w:t>a</w:t>
      </w:r>
      <w:r w:rsidRPr="009A0DA6">
        <w:rPr>
          <w:rFonts w:ascii="Cambria" w:eastAsia="Century Gothic" w:hAnsi="Cambria" w:cs="Century Gothic"/>
          <w:color w:val="212121"/>
        </w:rPr>
        <w:t>l Synod cycle.</w:t>
      </w:r>
      <w:r w:rsidRPr="009A0DA6">
        <w:rPr>
          <w:rFonts w:ascii="Cambria" w:eastAsia="Century Gothic" w:hAnsi="Cambria" w:cs="Century Gothic"/>
          <w:color w:val="212121"/>
        </w:rPr>
        <w:br/>
      </w:r>
    </w:p>
    <w:p w14:paraId="50C023D0" w14:textId="78AEE4E4" w:rsidR="001B46FC" w:rsidRPr="009A0DA6" w:rsidRDefault="0073799A" w:rsidP="00F55252">
      <w:pPr>
        <w:pStyle w:val="ListParagraph"/>
        <w:numPr>
          <w:ilvl w:val="3"/>
          <w:numId w:val="110"/>
        </w:numPr>
        <w:spacing w:before="120" w:after="120" w:line="240" w:lineRule="auto"/>
        <w:ind w:left="567" w:right="391" w:hanging="567"/>
        <w:rPr>
          <w:rFonts w:ascii="Cambria" w:eastAsia="Century Gothic" w:hAnsi="Cambria" w:cs="Century Gothic"/>
        </w:rPr>
      </w:pPr>
      <w:r w:rsidRPr="001817EA">
        <w:rPr>
          <w:rFonts w:ascii="Cambria" w:hAnsi="Cambria"/>
        </w:rPr>
        <w:t>General Synod is to approve the auditor for ALWS</w:t>
      </w:r>
      <w:r w:rsidR="005925B7" w:rsidRPr="001817EA">
        <w:rPr>
          <w:rFonts w:ascii="Cambria" w:hAnsi="Cambria"/>
        </w:rPr>
        <w:t>.</w:t>
      </w:r>
      <w:r w:rsidR="001B46FC" w:rsidRPr="009A0DA6">
        <w:rPr>
          <w:rFonts w:ascii="Cambria" w:eastAsia="Century Gothic" w:hAnsi="Cambria" w:cs="Century Gothic"/>
          <w:color w:val="212121"/>
        </w:rPr>
        <w:br/>
      </w:r>
    </w:p>
    <w:p w14:paraId="762ACB02" w14:textId="23A4ECD8" w:rsidR="001B46FC" w:rsidRPr="009A0DA6" w:rsidRDefault="001B46FC" w:rsidP="00F55252">
      <w:pPr>
        <w:pStyle w:val="ListParagraph"/>
        <w:numPr>
          <w:ilvl w:val="3"/>
          <w:numId w:val="110"/>
        </w:numPr>
        <w:spacing w:before="120" w:after="120" w:line="240" w:lineRule="auto"/>
        <w:ind w:left="567" w:right="391" w:hanging="567"/>
        <w:rPr>
          <w:rFonts w:ascii="Cambria" w:eastAsia="Century Gothic" w:hAnsi="Cambria" w:cs="Century Gothic"/>
        </w:rPr>
      </w:pPr>
      <w:r w:rsidRPr="009A0DA6">
        <w:rPr>
          <w:rFonts w:ascii="Cambria" w:eastAsia="Century Gothic" w:hAnsi="Cambria" w:cs="Century Gothic"/>
          <w:color w:val="212121"/>
        </w:rPr>
        <w:t>A</w:t>
      </w:r>
      <w:r w:rsidRPr="009A0DA6">
        <w:rPr>
          <w:rFonts w:ascii="Cambria" w:eastAsia="Century Gothic" w:hAnsi="Cambria" w:cs="Century Gothic"/>
          <w:color w:val="212121"/>
          <w:spacing w:val="2"/>
        </w:rPr>
        <w:t>L</w:t>
      </w:r>
      <w:r w:rsidRPr="009A0DA6">
        <w:rPr>
          <w:rFonts w:ascii="Cambria" w:eastAsia="Century Gothic" w:hAnsi="Cambria" w:cs="Century Gothic"/>
          <w:color w:val="212121"/>
          <w:spacing w:val="-5"/>
        </w:rPr>
        <w:t>W</w:t>
      </w:r>
      <w:r w:rsidRPr="009A0DA6">
        <w:rPr>
          <w:rFonts w:ascii="Cambria" w:eastAsia="Century Gothic" w:hAnsi="Cambria" w:cs="Century Gothic"/>
          <w:color w:val="212121"/>
        </w:rPr>
        <w:t>S</w:t>
      </w:r>
      <w:r w:rsidRPr="009A0DA6">
        <w:rPr>
          <w:rFonts w:ascii="Cambria" w:eastAsia="Century Gothic" w:hAnsi="Cambria" w:cs="Century Gothic"/>
          <w:color w:val="212121"/>
          <w:spacing w:val="1"/>
        </w:rPr>
        <w:t xml:space="preserve"> </w:t>
      </w:r>
      <w:r w:rsidRPr="009A0DA6">
        <w:rPr>
          <w:rFonts w:ascii="Cambria" w:eastAsia="Century Gothic" w:hAnsi="Cambria" w:cs="Century Gothic"/>
          <w:color w:val="212121"/>
        </w:rPr>
        <w:t>condu</w:t>
      </w:r>
      <w:r w:rsidRPr="009A0DA6">
        <w:rPr>
          <w:rFonts w:ascii="Cambria" w:eastAsia="Century Gothic" w:hAnsi="Cambria" w:cs="Century Gothic"/>
          <w:color w:val="212121"/>
          <w:spacing w:val="-1"/>
        </w:rPr>
        <w:t>c</w:t>
      </w:r>
      <w:r w:rsidRPr="009A0DA6">
        <w:rPr>
          <w:rFonts w:ascii="Cambria" w:eastAsia="Century Gothic" w:hAnsi="Cambria" w:cs="Century Gothic"/>
          <w:color w:val="212121"/>
          <w:spacing w:val="2"/>
        </w:rPr>
        <w:t>t</w:t>
      </w:r>
      <w:r w:rsidRPr="009A0DA6">
        <w:rPr>
          <w:rFonts w:ascii="Cambria" w:eastAsia="Century Gothic" w:hAnsi="Cambria" w:cs="Century Gothic"/>
          <w:color w:val="212121"/>
        </w:rPr>
        <w:t>s</w:t>
      </w:r>
      <w:r w:rsidRPr="009A0DA6">
        <w:rPr>
          <w:rFonts w:ascii="Cambria" w:eastAsia="Century Gothic" w:hAnsi="Cambria" w:cs="Century Gothic"/>
          <w:color w:val="212121"/>
          <w:spacing w:val="-1"/>
        </w:rPr>
        <w:t xml:space="preserve"> </w:t>
      </w:r>
      <w:r w:rsidRPr="009A0DA6">
        <w:rPr>
          <w:rFonts w:ascii="Cambria" w:eastAsia="Century Gothic" w:hAnsi="Cambria" w:cs="Century Gothic"/>
          <w:color w:val="212121"/>
        </w:rPr>
        <w:t xml:space="preserve">the </w:t>
      </w:r>
      <w:r w:rsidRPr="009A0DA6">
        <w:rPr>
          <w:rFonts w:ascii="Cambria" w:eastAsia="Century Gothic" w:hAnsi="Cambria" w:cs="Century Gothic"/>
          <w:color w:val="212121"/>
          <w:spacing w:val="-1"/>
        </w:rPr>
        <w:t>a</w:t>
      </w:r>
      <w:r w:rsidRPr="009A0DA6">
        <w:rPr>
          <w:rFonts w:ascii="Cambria" w:eastAsia="Century Gothic" w:hAnsi="Cambria" w:cs="Century Gothic"/>
          <w:color w:val="212121"/>
          <w:spacing w:val="1"/>
        </w:rPr>
        <w:t>u</w:t>
      </w:r>
      <w:r w:rsidRPr="009A0DA6">
        <w:rPr>
          <w:rFonts w:ascii="Cambria" w:eastAsia="Century Gothic" w:hAnsi="Cambria" w:cs="Century Gothic"/>
          <w:color w:val="212121"/>
        </w:rPr>
        <w:t>d</w:t>
      </w:r>
      <w:r w:rsidRPr="009A0DA6">
        <w:rPr>
          <w:rFonts w:ascii="Cambria" w:eastAsia="Century Gothic" w:hAnsi="Cambria" w:cs="Century Gothic"/>
          <w:color w:val="212121"/>
          <w:spacing w:val="-2"/>
        </w:rPr>
        <w:t>i</w:t>
      </w:r>
      <w:r w:rsidRPr="009A0DA6">
        <w:rPr>
          <w:rFonts w:ascii="Cambria" w:eastAsia="Century Gothic" w:hAnsi="Cambria" w:cs="Century Gothic"/>
          <w:color w:val="212121"/>
        </w:rPr>
        <w:t>t ten</w:t>
      </w:r>
      <w:r w:rsidRPr="009A0DA6">
        <w:rPr>
          <w:rFonts w:ascii="Cambria" w:eastAsia="Century Gothic" w:hAnsi="Cambria" w:cs="Century Gothic"/>
          <w:color w:val="212121"/>
          <w:spacing w:val="-2"/>
        </w:rPr>
        <w:t>d</w:t>
      </w:r>
      <w:r w:rsidRPr="009A0DA6">
        <w:rPr>
          <w:rFonts w:ascii="Cambria" w:eastAsia="Century Gothic" w:hAnsi="Cambria" w:cs="Century Gothic"/>
          <w:color w:val="212121"/>
        </w:rPr>
        <w:t>er pro</w:t>
      </w:r>
      <w:r w:rsidRPr="009A0DA6">
        <w:rPr>
          <w:rFonts w:ascii="Cambria" w:eastAsia="Century Gothic" w:hAnsi="Cambria" w:cs="Century Gothic"/>
          <w:color w:val="212121"/>
          <w:spacing w:val="-1"/>
        </w:rPr>
        <w:t>c</w:t>
      </w:r>
      <w:r w:rsidRPr="009A0DA6">
        <w:rPr>
          <w:rFonts w:ascii="Cambria" w:eastAsia="Century Gothic" w:hAnsi="Cambria" w:cs="Century Gothic"/>
          <w:color w:val="212121"/>
        </w:rPr>
        <w:t xml:space="preserve">ess </w:t>
      </w:r>
      <w:r w:rsidRPr="009A0DA6">
        <w:rPr>
          <w:rFonts w:ascii="Cambria" w:eastAsia="Century Gothic" w:hAnsi="Cambria" w:cs="Century Gothic"/>
          <w:color w:val="212121"/>
          <w:spacing w:val="-1"/>
        </w:rPr>
        <w:t>a</w:t>
      </w:r>
      <w:r w:rsidRPr="009A0DA6">
        <w:rPr>
          <w:rFonts w:ascii="Cambria" w:eastAsia="Century Gothic" w:hAnsi="Cambria" w:cs="Century Gothic"/>
          <w:color w:val="212121"/>
        </w:rPr>
        <w:t>nd pro</w:t>
      </w:r>
      <w:r w:rsidRPr="009A0DA6">
        <w:rPr>
          <w:rFonts w:ascii="Cambria" w:eastAsia="Century Gothic" w:hAnsi="Cambria" w:cs="Century Gothic"/>
          <w:color w:val="212121"/>
          <w:spacing w:val="2"/>
        </w:rPr>
        <w:t>v</w:t>
      </w:r>
      <w:r w:rsidRPr="009A0DA6">
        <w:rPr>
          <w:rFonts w:ascii="Cambria" w:eastAsia="Century Gothic" w:hAnsi="Cambria" w:cs="Century Gothic"/>
          <w:color w:val="212121"/>
        </w:rPr>
        <w:t>i</w:t>
      </w:r>
      <w:r w:rsidRPr="009A0DA6">
        <w:rPr>
          <w:rFonts w:ascii="Cambria" w:eastAsia="Century Gothic" w:hAnsi="Cambria" w:cs="Century Gothic"/>
          <w:color w:val="212121"/>
          <w:spacing w:val="-2"/>
        </w:rPr>
        <w:t>d</w:t>
      </w:r>
      <w:r w:rsidRPr="009A0DA6">
        <w:rPr>
          <w:rFonts w:ascii="Cambria" w:eastAsia="Century Gothic" w:hAnsi="Cambria" w:cs="Century Gothic"/>
          <w:color w:val="212121"/>
        </w:rPr>
        <w:t>es an audi</w:t>
      </w:r>
      <w:r w:rsidRPr="009A0DA6">
        <w:rPr>
          <w:rFonts w:ascii="Cambria" w:eastAsia="Century Gothic" w:hAnsi="Cambria" w:cs="Century Gothic"/>
          <w:color w:val="212121"/>
          <w:spacing w:val="2"/>
        </w:rPr>
        <w:t>t</w:t>
      </w:r>
      <w:r w:rsidRPr="009A0DA6">
        <w:rPr>
          <w:rFonts w:ascii="Cambria" w:eastAsia="Century Gothic" w:hAnsi="Cambria" w:cs="Century Gothic"/>
          <w:color w:val="212121"/>
        </w:rPr>
        <w:t>or rec</w:t>
      </w:r>
      <w:r w:rsidRPr="009A0DA6">
        <w:rPr>
          <w:rFonts w:ascii="Cambria" w:eastAsia="Century Gothic" w:hAnsi="Cambria" w:cs="Century Gothic"/>
          <w:color w:val="212121"/>
          <w:spacing w:val="-2"/>
        </w:rPr>
        <w:t>o</w:t>
      </w:r>
      <w:r w:rsidRPr="009A0DA6">
        <w:rPr>
          <w:rFonts w:ascii="Cambria" w:eastAsia="Century Gothic" w:hAnsi="Cambria" w:cs="Century Gothic"/>
          <w:color w:val="212121"/>
        </w:rPr>
        <w:t>mmenda</w:t>
      </w:r>
      <w:r w:rsidRPr="009A0DA6">
        <w:rPr>
          <w:rFonts w:ascii="Cambria" w:eastAsia="Century Gothic" w:hAnsi="Cambria" w:cs="Century Gothic"/>
          <w:color w:val="212121"/>
          <w:spacing w:val="2"/>
        </w:rPr>
        <w:t>t</w:t>
      </w:r>
      <w:r w:rsidRPr="009A0DA6">
        <w:rPr>
          <w:rFonts w:ascii="Cambria" w:eastAsia="Century Gothic" w:hAnsi="Cambria" w:cs="Century Gothic"/>
          <w:color w:val="212121"/>
          <w:spacing w:val="-1"/>
        </w:rPr>
        <w:t>i</w:t>
      </w:r>
      <w:r w:rsidRPr="009A0DA6">
        <w:rPr>
          <w:rFonts w:ascii="Cambria" w:eastAsia="Century Gothic" w:hAnsi="Cambria" w:cs="Century Gothic"/>
          <w:color w:val="212121"/>
        </w:rPr>
        <w:t>on</w:t>
      </w:r>
      <w:r w:rsidRPr="009A0DA6">
        <w:rPr>
          <w:rFonts w:ascii="Cambria" w:eastAsia="Century Gothic" w:hAnsi="Cambria" w:cs="Century Gothic"/>
          <w:color w:val="212121"/>
          <w:spacing w:val="-2"/>
        </w:rPr>
        <w:t xml:space="preserve"> </w:t>
      </w:r>
      <w:r w:rsidRPr="009A0DA6">
        <w:rPr>
          <w:rFonts w:ascii="Cambria" w:eastAsia="Century Gothic" w:hAnsi="Cambria" w:cs="Century Gothic"/>
          <w:color w:val="212121"/>
        </w:rPr>
        <w:t xml:space="preserve">to </w:t>
      </w:r>
      <w:r w:rsidR="005925B7" w:rsidRPr="009A0DA6">
        <w:rPr>
          <w:rFonts w:ascii="Cambria" w:eastAsia="Century Gothic" w:hAnsi="Cambria" w:cs="Century Gothic"/>
          <w:color w:val="212121"/>
        </w:rPr>
        <w:t>General Synod</w:t>
      </w:r>
      <w:r w:rsidRPr="009A0DA6">
        <w:rPr>
          <w:rFonts w:ascii="Cambria" w:eastAsia="Century Gothic" w:hAnsi="Cambria" w:cs="Century Gothic"/>
          <w:color w:val="212121"/>
        </w:rPr>
        <w:t>.</w:t>
      </w:r>
      <w:r w:rsidRPr="009A0DA6">
        <w:rPr>
          <w:rFonts w:ascii="Cambria" w:eastAsia="Century Gothic" w:hAnsi="Cambria" w:cs="Century Gothic"/>
          <w:color w:val="212121"/>
        </w:rPr>
        <w:br/>
      </w:r>
    </w:p>
    <w:p w14:paraId="3D1DEB15" w14:textId="276032E2" w:rsidR="0001243B" w:rsidRPr="00180211" w:rsidRDefault="001B46FC" w:rsidP="00F55252">
      <w:pPr>
        <w:pStyle w:val="ListParagraph"/>
        <w:numPr>
          <w:ilvl w:val="3"/>
          <w:numId w:val="110"/>
        </w:numPr>
        <w:spacing w:before="120" w:after="120" w:line="240" w:lineRule="auto"/>
        <w:ind w:left="567" w:right="391" w:hanging="567"/>
        <w:rPr>
          <w:rFonts w:ascii="Cambria" w:eastAsia="Century Gothic" w:hAnsi="Cambria" w:cs="Century Gothic"/>
        </w:rPr>
      </w:pPr>
      <w:r w:rsidRPr="009A0DA6">
        <w:rPr>
          <w:rFonts w:ascii="Cambria" w:eastAsia="Century Gothic" w:hAnsi="Cambria" w:cs="Century Gothic"/>
          <w:color w:val="212121"/>
        </w:rPr>
        <w:t xml:space="preserve">Each </w:t>
      </w:r>
      <w:r w:rsidRPr="009A0DA6">
        <w:rPr>
          <w:rFonts w:ascii="Cambria" w:eastAsia="Century Gothic" w:hAnsi="Cambria" w:cs="Century Gothic"/>
          <w:color w:val="212121"/>
          <w:spacing w:val="-1"/>
        </w:rPr>
        <w:t>a</w:t>
      </w:r>
      <w:r w:rsidRPr="009A0DA6">
        <w:rPr>
          <w:rFonts w:ascii="Cambria" w:eastAsia="Century Gothic" w:hAnsi="Cambria" w:cs="Century Gothic"/>
          <w:color w:val="212121"/>
          <w:spacing w:val="1"/>
        </w:rPr>
        <w:t>u</w:t>
      </w:r>
      <w:r w:rsidRPr="009A0DA6">
        <w:rPr>
          <w:rFonts w:ascii="Cambria" w:eastAsia="Century Gothic" w:hAnsi="Cambria" w:cs="Century Gothic"/>
          <w:color w:val="212121"/>
        </w:rPr>
        <w:t>d</w:t>
      </w:r>
      <w:r w:rsidRPr="009A0DA6">
        <w:rPr>
          <w:rFonts w:ascii="Cambria" w:eastAsia="Century Gothic" w:hAnsi="Cambria" w:cs="Century Gothic"/>
          <w:color w:val="212121"/>
          <w:spacing w:val="-2"/>
        </w:rPr>
        <w:t>i</w:t>
      </w:r>
      <w:r w:rsidRPr="009A0DA6">
        <w:rPr>
          <w:rFonts w:ascii="Cambria" w:eastAsia="Century Gothic" w:hAnsi="Cambria" w:cs="Century Gothic"/>
          <w:color w:val="212121"/>
        </w:rPr>
        <w:t>t ten</w:t>
      </w:r>
      <w:r w:rsidRPr="009A0DA6">
        <w:rPr>
          <w:rFonts w:ascii="Cambria" w:eastAsia="Century Gothic" w:hAnsi="Cambria" w:cs="Century Gothic"/>
          <w:color w:val="212121"/>
          <w:spacing w:val="-2"/>
        </w:rPr>
        <w:t>d</w:t>
      </w:r>
      <w:r w:rsidRPr="009A0DA6">
        <w:rPr>
          <w:rFonts w:ascii="Cambria" w:eastAsia="Century Gothic" w:hAnsi="Cambria" w:cs="Century Gothic"/>
          <w:color w:val="212121"/>
        </w:rPr>
        <w:t>er subm</w:t>
      </w:r>
      <w:r w:rsidRPr="009A0DA6">
        <w:rPr>
          <w:rFonts w:ascii="Cambria" w:eastAsia="Century Gothic" w:hAnsi="Cambria" w:cs="Century Gothic"/>
          <w:color w:val="212121"/>
          <w:spacing w:val="-2"/>
        </w:rPr>
        <w:t>i</w:t>
      </w:r>
      <w:r w:rsidRPr="009A0DA6">
        <w:rPr>
          <w:rFonts w:ascii="Cambria" w:eastAsia="Century Gothic" w:hAnsi="Cambria" w:cs="Century Gothic"/>
          <w:color w:val="212121"/>
        </w:rPr>
        <w:t>ssion re</w:t>
      </w:r>
      <w:r w:rsidRPr="009A0DA6">
        <w:rPr>
          <w:rFonts w:ascii="Cambria" w:eastAsia="Century Gothic" w:hAnsi="Cambria" w:cs="Century Gothic"/>
          <w:color w:val="212121"/>
          <w:spacing w:val="-1"/>
        </w:rPr>
        <w:t>c</w:t>
      </w:r>
      <w:r w:rsidRPr="009A0DA6">
        <w:rPr>
          <w:rFonts w:ascii="Cambria" w:eastAsia="Century Gothic" w:hAnsi="Cambria" w:cs="Century Gothic"/>
          <w:color w:val="212121"/>
          <w:spacing w:val="1"/>
        </w:rPr>
        <w:t>e</w:t>
      </w:r>
      <w:r w:rsidRPr="009A0DA6">
        <w:rPr>
          <w:rFonts w:ascii="Cambria" w:eastAsia="Century Gothic" w:hAnsi="Cambria" w:cs="Century Gothic"/>
          <w:color w:val="212121"/>
          <w:spacing w:val="-2"/>
        </w:rPr>
        <w:t>i</w:t>
      </w:r>
      <w:r w:rsidRPr="009A0DA6">
        <w:rPr>
          <w:rFonts w:ascii="Cambria" w:eastAsia="Century Gothic" w:hAnsi="Cambria" w:cs="Century Gothic"/>
          <w:color w:val="212121"/>
          <w:spacing w:val="1"/>
        </w:rPr>
        <w:t>v</w:t>
      </w:r>
      <w:r w:rsidRPr="009A0DA6">
        <w:rPr>
          <w:rFonts w:ascii="Cambria" w:eastAsia="Century Gothic" w:hAnsi="Cambria" w:cs="Century Gothic"/>
          <w:color w:val="212121"/>
        </w:rPr>
        <w:t xml:space="preserve">ed was </w:t>
      </w:r>
      <w:r w:rsidRPr="009A0DA6">
        <w:rPr>
          <w:rFonts w:ascii="Cambria" w:eastAsia="Century Gothic" w:hAnsi="Cambria" w:cs="Century Gothic"/>
          <w:color w:val="212121"/>
          <w:spacing w:val="-1"/>
        </w:rPr>
        <w:t>re</w:t>
      </w:r>
      <w:r w:rsidRPr="009A0DA6">
        <w:rPr>
          <w:rFonts w:ascii="Cambria" w:eastAsia="Century Gothic" w:hAnsi="Cambria" w:cs="Century Gothic"/>
          <w:color w:val="212121"/>
          <w:spacing w:val="2"/>
        </w:rPr>
        <w:t>v</w:t>
      </w:r>
      <w:r w:rsidRPr="009A0DA6">
        <w:rPr>
          <w:rFonts w:ascii="Cambria" w:eastAsia="Century Gothic" w:hAnsi="Cambria" w:cs="Century Gothic"/>
          <w:color w:val="212121"/>
          <w:spacing w:val="-2"/>
        </w:rPr>
        <w:t>i</w:t>
      </w:r>
      <w:r w:rsidRPr="009A0DA6">
        <w:rPr>
          <w:rFonts w:ascii="Cambria" w:eastAsia="Century Gothic" w:hAnsi="Cambria" w:cs="Century Gothic"/>
          <w:color w:val="212121"/>
        </w:rPr>
        <w:t xml:space="preserve">ewed on </w:t>
      </w:r>
      <w:r w:rsidRPr="009A0DA6">
        <w:rPr>
          <w:rFonts w:ascii="Cambria" w:eastAsia="Century Gothic" w:hAnsi="Cambria" w:cs="Century Gothic"/>
          <w:color w:val="212121"/>
          <w:spacing w:val="-2"/>
        </w:rPr>
        <w:t>i</w:t>
      </w:r>
      <w:r w:rsidRPr="009A0DA6">
        <w:rPr>
          <w:rFonts w:ascii="Cambria" w:eastAsia="Century Gothic" w:hAnsi="Cambria" w:cs="Century Gothic"/>
          <w:color w:val="212121"/>
          <w:spacing w:val="2"/>
        </w:rPr>
        <w:t>t</w:t>
      </w:r>
      <w:r w:rsidRPr="009A0DA6">
        <w:rPr>
          <w:rFonts w:ascii="Cambria" w:eastAsia="Century Gothic" w:hAnsi="Cambria" w:cs="Century Gothic"/>
          <w:color w:val="212121"/>
        </w:rPr>
        <w:t>s</w:t>
      </w:r>
      <w:r w:rsidRPr="009A0DA6">
        <w:rPr>
          <w:rFonts w:ascii="Cambria" w:eastAsia="Century Gothic" w:hAnsi="Cambria" w:cs="Century Gothic"/>
          <w:color w:val="212121"/>
          <w:spacing w:val="-1"/>
        </w:rPr>
        <w:t xml:space="preserve"> </w:t>
      </w:r>
      <w:r w:rsidRPr="009A0DA6">
        <w:rPr>
          <w:rFonts w:ascii="Cambria" w:eastAsia="Century Gothic" w:hAnsi="Cambria" w:cs="Century Gothic"/>
          <w:color w:val="212121"/>
        </w:rPr>
        <w:t>own mer</w:t>
      </w:r>
      <w:r w:rsidRPr="009A0DA6">
        <w:rPr>
          <w:rFonts w:ascii="Cambria" w:eastAsia="Century Gothic" w:hAnsi="Cambria" w:cs="Century Gothic"/>
          <w:color w:val="212121"/>
          <w:spacing w:val="-2"/>
        </w:rPr>
        <w:t>i</w:t>
      </w:r>
      <w:r w:rsidRPr="009A0DA6">
        <w:rPr>
          <w:rFonts w:ascii="Cambria" w:eastAsia="Century Gothic" w:hAnsi="Cambria" w:cs="Century Gothic"/>
          <w:color w:val="212121"/>
          <w:spacing w:val="2"/>
        </w:rPr>
        <w:t>t</w:t>
      </w:r>
      <w:r w:rsidRPr="009A0DA6">
        <w:rPr>
          <w:rFonts w:ascii="Cambria" w:eastAsia="Century Gothic" w:hAnsi="Cambria" w:cs="Century Gothic"/>
          <w:color w:val="212121"/>
        </w:rPr>
        <w:t>:</w:t>
      </w:r>
      <w:r w:rsidRPr="009A0DA6">
        <w:rPr>
          <w:rFonts w:ascii="Cambria" w:eastAsia="Century Gothic" w:hAnsi="Cambria" w:cs="Century Gothic"/>
          <w:color w:val="212121"/>
          <w:spacing w:val="-2"/>
        </w:rPr>
        <w:t xml:space="preserve"> </w:t>
      </w:r>
      <w:r w:rsidRPr="009A0DA6">
        <w:rPr>
          <w:rFonts w:ascii="Cambria" w:eastAsia="Century Gothic" w:hAnsi="Cambria" w:cs="Century Gothic"/>
          <w:color w:val="212121"/>
        </w:rPr>
        <w:t>its un</w:t>
      </w:r>
      <w:r w:rsidRPr="009A0DA6">
        <w:rPr>
          <w:rFonts w:ascii="Cambria" w:eastAsia="Century Gothic" w:hAnsi="Cambria" w:cs="Century Gothic"/>
          <w:color w:val="212121"/>
          <w:spacing w:val="-2"/>
        </w:rPr>
        <w:t>d</w:t>
      </w:r>
      <w:r w:rsidRPr="009A0DA6">
        <w:rPr>
          <w:rFonts w:ascii="Cambria" w:eastAsia="Century Gothic" w:hAnsi="Cambria" w:cs="Century Gothic"/>
          <w:color w:val="212121"/>
          <w:spacing w:val="1"/>
        </w:rPr>
        <w:t>e</w:t>
      </w:r>
      <w:r w:rsidRPr="009A0DA6">
        <w:rPr>
          <w:rFonts w:ascii="Cambria" w:eastAsia="Century Gothic" w:hAnsi="Cambria" w:cs="Century Gothic"/>
          <w:color w:val="212121"/>
        </w:rPr>
        <w:t>rstanding of,</w:t>
      </w:r>
      <w:r w:rsidRPr="009A0DA6">
        <w:rPr>
          <w:rFonts w:ascii="Cambria" w:eastAsia="Century Gothic" w:hAnsi="Cambria" w:cs="Century Gothic"/>
          <w:color w:val="212121"/>
          <w:spacing w:val="-2"/>
        </w:rPr>
        <w:t xml:space="preserve"> </w:t>
      </w:r>
      <w:r w:rsidRPr="009A0DA6">
        <w:rPr>
          <w:rFonts w:ascii="Cambria" w:eastAsia="Century Gothic" w:hAnsi="Cambria" w:cs="Century Gothic"/>
          <w:color w:val="212121"/>
        </w:rPr>
        <w:t>and capac</w:t>
      </w:r>
      <w:r w:rsidRPr="009A0DA6">
        <w:rPr>
          <w:rFonts w:ascii="Cambria" w:eastAsia="Century Gothic" w:hAnsi="Cambria" w:cs="Century Gothic"/>
          <w:color w:val="212121"/>
          <w:spacing w:val="-2"/>
        </w:rPr>
        <w:t>i</w:t>
      </w:r>
      <w:r w:rsidRPr="009A0DA6">
        <w:rPr>
          <w:rFonts w:ascii="Cambria" w:eastAsia="Century Gothic" w:hAnsi="Cambria" w:cs="Century Gothic"/>
          <w:color w:val="212121"/>
          <w:spacing w:val="2"/>
        </w:rPr>
        <w:t>t</w:t>
      </w:r>
      <w:r w:rsidRPr="009A0DA6">
        <w:rPr>
          <w:rFonts w:ascii="Cambria" w:eastAsia="Century Gothic" w:hAnsi="Cambria" w:cs="Century Gothic"/>
          <w:color w:val="212121"/>
        </w:rPr>
        <w:t>y</w:t>
      </w:r>
      <w:r w:rsidRPr="009A0DA6">
        <w:rPr>
          <w:rFonts w:ascii="Cambria" w:eastAsia="Century Gothic" w:hAnsi="Cambria" w:cs="Century Gothic"/>
          <w:color w:val="212121"/>
          <w:spacing w:val="-2"/>
        </w:rPr>
        <w:t xml:space="preserve"> </w:t>
      </w:r>
      <w:r w:rsidRPr="009A0DA6">
        <w:rPr>
          <w:rFonts w:ascii="Cambria" w:eastAsia="Century Gothic" w:hAnsi="Cambria" w:cs="Century Gothic"/>
          <w:color w:val="212121"/>
          <w:spacing w:val="2"/>
        </w:rPr>
        <w:t>t</w:t>
      </w:r>
      <w:r w:rsidRPr="009A0DA6">
        <w:rPr>
          <w:rFonts w:ascii="Cambria" w:eastAsia="Century Gothic" w:hAnsi="Cambria" w:cs="Century Gothic"/>
          <w:color w:val="212121"/>
        </w:rPr>
        <w:t>o</w:t>
      </w:r>
      <w:r w:rsidRPr="009A0DA6">
        <w:rPr>
          <w:rFonts w:ascii="Cambria" w:eastAsia="Century Gothic" w:hAnsi="Cambria" w:cs="Century Gothic"/>
          <w:color w:val="212121"/>
          <w:spacing w:val="-2"/>
        </w:rPr>
        <w:t xml:space="preserve"> </w:t>
      </w:r>
      <w:r w:rsidRPr="009A0DA6">
        <w:rPr>
          <w:rFonts w:ascii="Cambria" w:eastAsia="Century Gothic" w:hAnsi="Cambria" w:cs="Century Gothic"/>
          <w:color w:val="212121"/>
        </w:rPr>
        <w:t>co</w:t>
      </w:r>
      <w:r w:rsidRPr="009A0DA6">
        <w:rPr>
          <w:rFonts w:ascii="Cambria" w:eastAsia="Century Gothic" w:hAnsi="Cambria" w:cs="Century Gothic"/>
          <w:color w:val="212121"/>
          <w:spacing w:val="1"/>
        </w:rPr>
        <w:t>m</w:t>
      </w:r>
      <w:r w:rsidRPr="009A0DA6">
        <w:rPr>
          <w:rFonts w:ascii="Cambria" w:eastAsia="Century Gothic" w:hAnsi="Cambria" w:cs="Century Gothic"/>
          <w:color w:val="212121"/>
          <w:spacing w:val="-1"/>
        </w:rPr>
        <w:t>p</w:t>
      </w:r>
      <w:r w:rsidRPr="009A0DA6">
        <w:rPr>
          <w:rFonts w:ascii="Cambria" w:eastAsia="Century Gothic" w:hAnsi="Cambria" w:cs="Century Gothic"/>
          <w:color w:val="212121"/>
          <w:spacing w:val="1"/>
        </w:rPr>
        <w:t>l</w:t>
      </w:r>
      <w:r w:rsidRPr="009A0DA6">
        <w:rPr>
          <w:rFonts w:ascii="Cambria" w:eastAsia="Century Gothic" w:hAnsi="Cambria" w:cs="Century Gothic"/>
          <w:color w:val="212121"/>
          <w:spacing w:val="-1"/>
        </w:rPr>
        <w:t>e</w:t>
      </w:r>
      <w:r w:rsidRPr="009A0DA6">
        <w:rPr>
          <w:rFonts w:ascii="Cambria" w:eastAsia="Century Gothic" w:hAnsi="Cambria" w:cs="Century Gothic"/>
          <w:color w:val="212121"/>
          <w:spacing w:val="1"/>
        </w:rPr>
        <w:t>te</w:t>
      </w:r>
      <w:r w:rsidRPr="009A0DA6">
        <w:rPr>
          <w:rFonts w:ascii="Cambria" w:eastAsia="Century Gothic" w:hAnsi="Cambria" w:cs="Century Gothic"/>
          <w:color w:val="212121"/>
        </w:rPr>
        <w:t>,</w:t>
      </w:r>
      <w:r w:rsidRPr="009A0DA6">
        <w:rPr>
          <w:rFonts w:ascii="Cambria" w:eastAsia="Century Gothic" w:hAnsi="Cambria" w:cs="Century Gothic"/>
          <w:color w:val="212121"/>
          <w:spacing w:val="-3"/>
        </w:rPr>
        <w:t xml:space="preserve"> </w:t>
      </w:r>
      <w:r w:rsidRPr="009A0DA6">
        <w:rPr>
          <w:rFonts w:ascii="Cambria" w:eastAsia="Century Gothic" w:hAnsi="Cambria" w:cs="Century Gothic"/>
          <w:color w:val="212121"/>
          <w:spacing w:val="1"/>
        </w:rPr>
        <w:t>t</w:t>
      </w:r>
      <w:r w:rsidRPr="009A0DA6">
        <w:rPr>
          <w:rFonts w:ascii="Cambria" w:eastAsia="Century Gothic" w:hAnsi="Cambria" w:cs="Century Gothic"/>
          <w:color w:val="212121"/>
        </w:rPr>
        <w:t xml:space="preserve">he </w:t>
      </w:r>
      <w:r w:rsidRPr="009A0DA6">
        <w:rPr>
          <w:rFonts w:ascii="Cambria" w:eastAsia="Century Gothic" w:hAnsi="Cambria" w:cs="Century Gothic"/>
          <w:color w:val="212121"/>
          <w:spacing w:val="-1"/>
        </w:rPr>
        <w:t>a</w:t>
      </w:r>
      <w:r w:rsidRPr="009A0DA6">
        <w:rPr>
          <w:rFonts w:ascii="Cambria" w:eastAsia="Century Gothic" w:hAnsi="Cambria" w:cs="Century Gothic"/>
          <w:color w:val="212121"/>
          <w:spacing w:val="1"/>
        </w:rPr>
        <w:t>u</w:t>
      </w:r>
      <w:r w:rsidRPr="009A0DA6">
        <w:rPr>
          <w:rFonts w:ascii="Cambria" w:eastAsia="Century Gothic" w:hAnsi="Cambria" w:cs="Century Gothic"/>
          <w:color w:val="212121"/>
        </w:rPr>
        <w:t>d</w:t>
      </w:r>
      <w:r w:rsidRPr="009A0DA6">
        <w:rPr>
          <w:rFonts w:ascii="Cambria" w:eastAsia="Century Gothic" w:hAnsi="Cambria" w:cs="Century Gothic"/>
          <w:color w:val="212121"/>
          <w:spacing w:val="-2"/>
        </w:rPr>
        <w:t>i</w:t>
      </w:r>
      <w:r w:rsidRPr="009A0DA6">
        <w:rPr>
          <w:rFonts w:ascii="Cambria" w:eastAsia="Century Gothic" w:hAnsi="Cambria" w:cs="Century Gothic"/>
          <w:color w:val="212121"/>
        </w:rPr>
        <w:t>t</w:t>
      </w:r>
      <w:r w:rsidRPr="009A0DA6">
        <w:rPr>
          <w:rFonts w:ascii="Cambria" w:eastAsia="Century Gothic" w:hAnsi="Cambria" w:cs="Century Gothic"/>
          <w:color w:val="212121"/>
          <w:spacing w:val="1"/>
        </w:rPr>
        <w:t xml:space="preserve"> </w:t>
      </w:r>
      <w:r w:rsidRPr="009A0DA6">
        <w:rPr>
          <w:rFonts w:ascii="Cambria" w:eastAsia="Century Gothic" w:hAnsi="Cambria" w:cs="Century Gothic"/>
          <w:color w:val="212121"/>
        </w:rPr>
        <w:t>sc</w:t>
      </w:r>
      <w:r w:rsidRPr="009A0DA6">
        <w:rPr>
          <w:rFonts w:ascii="Cambria" w:eastAsia="Century Gothic" w:hAnsi="Cambria" w:cs="Century Gothic"/>
          <w:color w:val="212121"/>
          <w:spacing w:val="-2"/>
        </w:rPr>
        <w:t>o</w:t>
      </w:r>
      <w:r w:rsidRPr="009A0DA6">
        <w:rPr>
          <w:rFonts w:ascii="Cambria" w:eastAsia="Century Gothic" w:hAnsi="Cambria" w:cs="Century Gothic"/>
          <w:color w:val="212121"/>
        </w:rPr>
        <w:t>p</w:t>
      </w:r>
      <w:r w:rsidRPr="009A0DA6">
        <w:rPr>
          <w:rFonts w:ascii="Cambria" w:eastAsia="Century Gothic" w:hAnsi="Cambria" w:cs="Century Gothic"/>
          <w:color w:val="212121"/>
          <w:spacing w:val="1"/>
        </w:rPr>
        <w:t>e</w:t>
      </w:r>
      <w:r w:rsidRPr="009A0DA6">
        <w:rPr>
          <w:rFonts w:ascii="Cambria" w:eastAsia="Century Gothic" w:hAnsi="Cambria" w:cs="Century Gothic"/>
          <w:color w:val="212121"/>
        </w:rPr>
        <w:t>;</w:t>
      </w:r>
      <w:r w:rsidRPr="009A0DA6">
        <w:rPr>
          <w:rFonts w:ascii="Cambria" w:eastAsia="Century Gothic" w:hAnsi="Cambria" w:cs="Century Gothic"/>
          <w:color w:val="212121"/>
          <w:spacing w:val="-2"/>
        </w:rPr>
        <w:t xml:space="preserve"> </w:t>
      </w:r>
      <w:r w:rsidRPr="009A0DA6">
        <w:rPr>
          <w:rFonts w:ascii="Cambria" w:eastAsia="Century Gothic" w:hAnsi="Cambria" w:cs="Century Gothic"/>
          <w:color w:val="212121"/>
          <w:spacing w:val="-1"/>
        </w:rPr>
        <w:t>i</w:t>
      </w:r>
      <w:r w:rsidRPr="009A0DA6">
        <w:rPr>
          <w:rFonts w:ascii="Cambria" w:eastAsia="Century Gothic" w:hAnsi="Cambria" w:cs="Century Gothic"/>
          <w:color w:val="212121"/>
          <w:spacing w:val="2"/>
        </w:rPr>
        <w:t>t</w:t>
      </w:r>
      <w:r w:rsidRPr="009A0DA6">
        <w:rPr>
          <w:rFonts w:ascii="Cambria" w:eastAsia="Century Gothic" w:hAnsi="Cambria" w:cs="Century Gothic"/>
          <w:color w:val="212121"/>
        </w:rPr>
        <w:t>s</w:t>
      </w:r>
      <w:r w:rsidRPr="009A0DA6">
        <w:rPr>
          <w:rFonts w:ascii="Cambria" w:eastAsia="Century Gothic" w:hAnsi="Cambria" w:cs="Century Gothic"/>
          <w:color w:val="212121"/>
          <w:spacing w:val="-1"/>
        </w:rPr>
        <w:t xml:space="preserve"> </w:t>
      </w:r>
      <w:r w:rsidRPr="009A0DA6">
        <w:rPr>
          <w:rFonts w:ascii="Cambria" w:eastAsia="Century Gothic" w:hAnsi="Cambria" w:cs="Century Gothic"/>
          <w:color w:val="212121"/>
          <w:spacing w:val="1"/>
        </w:rPr>
        <w:t>u</w:t>
      </w:r>
      <w:r w:rsidRPr="009A0DA6">
        <w:rPr>
          <w:rFonts w:ascii="Cambria" w:eastAsia="Century Gothic" w:hAnsi="Cambria" w:cs="Century Gothic"/>
          <w:color w:val="212121"/>
        </w:rPr>
        <w:t>n</w:t>
      </w:r>
      <w:r w:rsidRPr="009A0DA6">
        <w:rPr>
          <w:rFonts w:ascii="Cambria" w:eastAsia="Century Gothic" w:hAnsi="Cambria" w:cs="Century Gothic"/>
          <w:color w:val="212121"/>
          <w:spacing w:val="-2"/>
        </w:rPr>
        <w:t>d</w:t>
      </w:r>
      <w:r w:rsidRPr="009A0DA6">
        <w:rPr>
          <w:rFonts w:ascii="Cambria" w:eastAsia="Century Gothic" w:hAnsi="Cambria" w:cs="Century Gothic"/>
          <w:color w:val="212121"/>
          <w:spacing w:val="1"/>
        </w:rPr>
        <w:t>e</w:t>
      </w:r>
      <w:r w:rsidRPr="009A0DA6">
        <w:rPr>
          <w:rFonts w:ascii="Cambria" w:eastAsia="Century Gothic" w:hAnsi="Cambria" w:cs="Century Gothic"/>
          <w:color w:val="212121"/>
        </w:rPr>
        <w:t>r</w:t>
      </w:r>
      <w:r w:rsidRPr="009A0DA6">
        <w:rPr>
          <w:rFonts w:ascii="Cambria" w:eastAsia="Century Gothic" w:hAnsi="Cambria" w:cs="Century Gothic"/>
          <w:color w:val="212121"/>
          <w:spacing w:val="-1"/>
        </w:rPr>
        <w:t>s</w:t>
      </w:r>
      <w:r w:rsidRPr="009A0DA6">
        <w:rPr>
          <w:rFonts w:ascii="Cambria" w:eastAsia="Century Gothic" w:hAnsi="Cambria" w:cs="Century Gothic"/>
          <w:color w:val="212121"/>
          <w:spacing w:val="2"/>
        </w:rPr>
        <w:t>t</w:t>
      </w:r>
      <w:r w:rsidRPr="009A0DA6">
        <w:rPr>
          <w:rFonts w:ascii="Cambria" w:eastAsia="Century Gothic" w:hAnsi="Cambria" w:cs="Century Gothic"/>
          <w:color w:val="212121"/>
        </w:rPr>
        <w:t>anding of</w:t>
      </w:r>
      <w:r w:rsidRPr="009A0DA6">
        <w:rPr>
          <w:rFonts w:ascii="Cambria" w:eastAsia="Century Gothic" w:hAnsi="Cambria" w:cs="Century Gothic"/>
          <w:color w:val="212121"/>
          <w:spacing w:val="-1"/>
        </w:rPr>
        <w:t xml:space="preserve"> </w:t>
      </w:r>
      <w:r w:rsidRPr="009A0DA6">
        <w:rPr>
          <w:rFonts w:ascii="Cambria" w:eastAsia="Century Gothic" w:hAnsi="Cambria" w:cs="Century Gothic"/>
          <w:color w:val="212121"/>
        </w:rPr>
        <w:t xml:space="preserve">the </w:t>
      </w:r>
      <w:r w:rsidRPr="009A0DA6">
        <w:rPr>
          <w:rFonts w:ascii="Cambria" w:eastAsia="Century Gothic" w:hAnsi="Cambria" w:cs="Century Gothic"/>
          <w:color w:val="212121"/>
          <w:spacing w:val="-1"/>
        </w:rPr>
        <w:t>s</w:t>
      </w:r>
      <w:r w:rsidRPr="009A0DA6">
        <w:rPr>
          <w:rFonts w:ascii="Cambria" w:eastAsia="Century Gothic" w:hAnsi="Cambria" w:cs="Century Gothic"/>
          <w:color w:val="212121"/>
          <w:spacing w:val="1"/>
        </w:rPr>
        <w:t>e</w:t>
      </w:r>
      <w:r w:rsidRPr="009A0DA6">
        <w:rPr>
          <w:rFonts w:ascii="Cambria" w:eastAsia="Century Gothic" w:hAnsi="Cambria" w:cs="Century Gothic"/>
          <w:color w:val="212121"/>
          <w:spacing w:val="-1"/>
        </w:rPr>
        <w:t>c</w:t>
      </w:r>
      <w:r w:rsidRPr="009A0DA6">
        <w:rPr>
          <w:rFonts w:ascii="Cambria" w:eastAsia="Century Gothic" w:hAnsi="Cambria" w:cs="Century Gothic"/>
          <w:color w:val="212121"/>
          <w:spacing w:val="2"/>
        </w:rPr>
        <w:t>t</w:t>
      </w:r>
      <w:r w:rsidRPr="009A0DA6">
        <w:rPr>
          <w:rFonts w:ascii="Cambria" w:eastAsia="Century Gothic" w:hAnsi="Cambria" w:cs="Century Gothic"/>
          <w:color w:val="212121"/>
        </w:rPr>
        <w:t xml:space="preserve">or </w:t>
      </w:r>
      <w:r w:rsidRPr="009A0DA6">
        <w:rPr>
          <w:rFonts w:ascii="Cambria" w:eastAsia="Century Gothic" w:hAnsi="Cambria" w:cs="Century Gothic"/>
          <w:color w:val="212121"/>
          <w:spacing w:val="-1"/>
        </w:rPr>
        <w:t>an</w:t>
      </w:r>
      <w:r w:rsidRPr="009A0DA6">
        <w:rPr>
          <w:rFonts w:ascii="Cambria" w:eastAsia="Century Gothic" w:hAnsi="Cambria" w:cs="Century Gothic"/>
          <w:color w:val="212121"/>
        </w:rPr>
        <w:t>d ‘chur</w:t>
      </w:r>
      <w:r w:rsidRPr="009A0DA6">
        <w:rPr>
          <w:rFonts w:ascii="Cambria" w:eastAsia="Century Gothic" w:hAnsi="Cambria" w:cs="Century Gothic"/>
          <w:color w:val="212121"/>
          <w:spacing w:val="-1"/>
        </w:rPr>
        <w:t>c</w:t>
      </w:r>
      <w:r w:rsidRPr="009A0DA6">
        <w:rPr>
          <w:rFonts w:ascii="Cambria" w:eastAsia="Century Gothic" w:hAnsi="Cambria" w:cs="Century Gothic"/>
          <w:color w:val="212121"/>
        </w:rPr>
        <w:t>h’;</w:t>
      </w:r>
      <w:r w:rsidRPr="009A0DA6">
        <w:rPr>
          <w:rFonts w:ascii="Cambria" w:eastAsia="Century Gothic" w:hAnsi="Cambria" w:cs="Century Gothic"/>
          <w:color w:val="212121"/>
          <w:spacing w:val="-3"/>
        </w:rPr>
        <w:t xml:space="preserve"> </w:t>
      </w:r>
      <w:r w:rsidRPr="009A0DA6">
        <w:rPr>
          <w:rFonts w:ascii="Cambria" w:eastAsia="Century Gothic" w:hAnsi="Cambria" w:cs="Century Gothic"/>
          <w:color w:val="212121"/>
        </w:rPr>
        <w:t>its willing</w:t>
      </w:r>
      <w:r w:rsidRPr="009A0DA6">
        <w:rPr>
          <w:rFonts w:ascii="Cambria" w:eastAsia="Century Gothic" w:hAnsi="Cambria" w:cs="Century Gothic"/>
          <w:color w:val="212121"/>
          <w:spacing w:val="-1"/>
        </w:rPr>
        <w:t>n</w:t>
      </w:r>
      <w:r w:rsidRPr="009A0DA6">
        <w:rPr>
          <w:rFonts w:ascii="Cambria" w:eastAsia="Century Gothic" w:hAnsi="Cambria" w:cs="Century Gothic"/>
          <w:color w:val="212121"/>
        </w:rPr>
        <w:t>e</w:t>
      </w:r>
      <w:r w:rsidRPr="009A0DA6">
        <w:rPr>
          <w:rFonts w:ascii="Cambria" w:eastAsia="Century Gothic" w:hAnsi="Cambria" w:cs="Century Gothic"/>
          <w:color w:val="212121"/>
          <w:spacing w:val="-1"/>
        </w:rPr>
        <w:t>s</w:t>
      </w:r>
      <w:r w:rsidRPr="009A0DA6">
        <w:rPr>
          <w:rFonts w:ascii="Cambria" w:eastAsia="Century Gothic" w:hAnsi="Cambria" w:cs="Century Gothic"/>
          <w:color w:val="212121"/>
        </w:rPr>
        <w:t xml:space="preserve">s </w:t>
      </w:r>
      <w:r w:rsidRPr="009A0DA6">
        <w:rPr>
          <w:rFonts w:ascii="Cambria" w:eastAsia="Century Gothic" w:hAnsi="Cambria" w:cs="Century Gothic"/>
          <w:color w:val="212121"/>
          <w:spacing w:val="2"/>
        </w:rPr>
        <w:t>t</w:t>
      </w:r>
      <w:r w:rsidRPr="009A0DA6">
        <w:rPr>
          <w:rFonts w:ascii="Cambria" w:eastAsia="Century Gothic" w:hAnsi="Cambria" w:cs="Century Gothic"/>
          <w:color w:val="212121"/>
        </w:rPr>
        <w:t>o c</w:t>
      </w:r>
      <w:r w:rsidRPr="009A0DA6">
        <w:rPr>
          <w:rFonts w:ascii="Cambria" w:eastAsia="Century Gothic" w:hAnsi="Cambria" w:cs="Century Gothic"/>
          <w:color w:val="212121"/>
          <w:spacing w:val="-2"/>
        </w:rPr>
        <w:t>o</w:t>
      </w:r>
      <w:r w:rsidRPr="009A0DA6">
        <w:rPr>
          <w:rFonts w:ascii="Cambria" w:eastAsia="Century Gothic" w:hAnsi="Cambria" w:cs="Century Gothic"/>
          <w:color w:val="212121"/>
        </w:rPr>
        <w:t>ndu</w:t>
      </w:r>
      <w:r w:rsidRPr="009A0DA6">
        <w:rPr>
          <w:rFonts w:ascii="Cambria" w:eastAsia="Century Gothic" w:hAnsi="Cambria" w:cs="Century Gothic"/>
          <w:color w:val="212121"/>
          <w:spacing w:val="-1"/>
        </w:rPr>
        <w:t>c</w:t>
      </w:r>
      <w:r w:rsidRPr="009A0DA6">
        <w:rPr>
          <w:rFonts w:ascii="Cambria" w:eastAsia="Century Gothic" w:hAnsi="Cambria" w:cs="Century Gothic"/>
          <w:color w:val="212121"/>
        </w:rPr>
        <w:t>t</w:t>
      </w:r>
      <w:r w:rsidRPr="009A0DA6">
        <w:rPr>
          <w:rFonts w:ascii="Cambria" w:eastAsia="Century Gothic" w:hAnsi="Cambria" w:cs="Century Gothic"/>
          <w:color w:val="212121"/>
          <w:spacing w:val="-1"/>
        </w:rPr>
        <w:t xml:space="preserve"> </w:t>
      </w:r>
      <w:r w:rsidRPr="009A0DA6">
        <w:rPr>
          <w:rFonts w:ascii="Cambria" w:eastAsia="Century Gothic" w:hAnsi="Cambria" w:cs="Century Gothic"/>
          <w:color w:val="212121"/>
        </w:rPr>
        <w:t>a site</w:t>
      </w:r>
      <w:r w:rsidRPr="009A0DA6">
        <w:rPr>
          <w:rFonts w:ascii="Cambria" w:eastAsia="Century Gothic" w:hAnsi="Cambria" w:cs="Century Gothic"/>
          <w:color w:val="212121"/>
          <w:spacing w:val="-1"/>
        </w:rPr>
        <w:t xml:space="preserve"> </w:t>
      </w:r>
      <w:r w:rsidRPr="009A0DA6">
        <w:rPr>
          <w:rFonts w:ascii="Cambria" w:eastAsia="Century Gothic" w:hAnsi="Cambria" w:cs="Century Gothic"/>
          <w:color w:val="212121"/>
          <w:spacing w:val="2"/>
        </w:rPr>
        <w:t>v</w:t>
      </w:r>
      <w:r w:rsidRPr="009A0DA6">
        <w:rPr>
          <w:rFonts w:ascii="Cambria" w:eastAsia="Century Gothic" w:hAnsi="Cambria" w:cs="Century Gothic"/>
          <w:color w:val="212121"/>
          <w:spacing w:val="-2"/>
        </w:rPr>
        <w:t>i</w:t>
      </w:r>
      <w:r w:rsidRPr="009A0DA6">
        <w:rPr>
          <w:rFonts w:ascii="Cambria" w:eastAsia="Century Gothic" w:hAnsi="Cambria" w:cs="Century Gothic"/>
          <w:color w:val="212121"/>
        </w:rPr>
        <w:t>s</w:t>
      </w:r>
      <w:r w:rsidRPr="009A0DA6">
        <w:rPr>
          <w:rFonts w:ascii="Cambria" w:eastAsia="Century Gothic" w:hAnsi="Cambria" w:cs="Century Gothic"/>
          <w:color w:val="212121"/>
          <w:spacing w:val="-2"/>
        </w:rPr>
        <w:t>i</w:t>
      </w:r>
      <w:r w:rsidRPr="009A0DA6">
        <w:rPr>
          <w:rFonts w:ascii="Cambria" w:eastAsia="Century Gothic" w:hAnsi="Cambria" w:cs="Century Gothic"/>
          <w:color w:val="212121"/>
          <w:spacing w:val="2"/>
        </w:rPr>
        <w:t>t</w:t>
      </w:r>
      <w:r w:rsidRPr="009A0DA6">
        <w:rPr>
          <w:rFonts w:ascii="Cambria" w:eastAsia="Century Gothic" w:hAnsi="Cambria" w:cs="Century Gothic"/>
          <w:color w:val="212121"/>
        </w:rPr>
        <w:t>,</w:t>
      </w:r>
      <w:r w:rsidRPr="009A0DA6">
        <w:rPr>
          <w:rFonts w:ascii="Cambria" w:eastAsia="Century Gothic" w:hAnsi="Cambria" w:cs="Century Gothic"/>
          <w:color w:val="212121"/>
          <w:spacing w:val="-2"/>
        </w:rPr>
        <w:t xml:space="preserve"> </w:t>
      </w:r>
      <w:r w:rsidRPr="009A0DA6">
        <w:rPr>
          <w:rFonts w:ascii="Cambria" w:eastAsia="Century Gothic" w:hAnsi="Cambria" w:cs="Century Gothic"/>
          <w:color w:val="212121"/>
        </w:rPr>
        <w:t>i</w:t>
      </w:r>
      <w:r w:rsidRPr="009A0DA6">
        <w:rPr>
          <w:rFonts w:ascii="Cambria" w:eastAsia="Century Gothic" w:hAnsi="Cambria" w:cs="Century Gothic"/>
          <w:color w:val="212121"/>
          <w:spacing w:val="2"/>
        </w:rPr>
        <w:t>t</w:t>
      </w:r>
      <w:r w:rsidRPr="009A0DA6">
        <w:rPr>
          <w:rFonts w:ascii="Cambria" w:eastAsia="Century Gothic" w:hAnsi="Cambria" w:cs="Century Gothic"/>
          <w:color w:val="212121"/>
        </w:rPr>
        <w:t>s</w:t>
      </w:r>
      <w:r w:rsidRPr="009A0DA6">
        <w:rPr>
          <w:rFonts w:ascii="Cambria" w:eastAsia="Century Gothic" w:hAnsi="Cambria" w:cs="Century Gothic"/>
          <w:color w:val="212121"/>
          <w:spacing w:val="-1"/>
        </w:rPr>
        <w:t xml:space="preserve"> </w:t>
      </w:r>
      <w:r w:rsidRPr="009A0DA6">
        <w:rPr>
          <w:rFonts w:ascii="Cambria" w:eastAsia="Century Gothic" w:hAnsi="Cambria" w:cs="Century Gothic"/>
          <w:color w:val="212121"/>
        </w:rPr>
        <w:t>profession</w:t>
      </w:r>
      <w:r w:rsidRPr="009A0DA6">
        <w:rPr>
          <w:rFonts w:ascii="Cambria" w:eastAsia="Century Gothic" w:hAnsi="Cambria" w:cs="Century Gothic"/>
          <w:color w:val="212121"/>
          <w:spacing w:val="-1"/>
        </w:rPr>
        <w:t>a</w:t>
      </w:r>
      <w:r w:rsidRPr="009A0DA6">
        <w:rPr>
          <w:rFonts w:ascii="Cambria" w:eastAsia="Century Gothic" w:hAnsi="Cambria" w:cs="Century Gothic"/>
          <w:color w:val="212121"/>
        </w:rPr>
        <w:t>lis</w:t>
      </w:r>
      <w:r w:rsidRPr="009A0DA6">
        <w:rPr>
          <w:rFonts w:ascii="Cambria" w:eastAsia="Century Gothic" w:hAnsi="Cambria" w:cs="Century Gothic"/>
          <w:color w:val="212121"/>
          <w:spacing w:val="2"/>
        </w:rPr>
        <w:t>m</w:t>
      </w:r>
      <w:r w:rsidRPr="009A0DA6">
        <w:rPr>
          <w:rFonts w:ascii="Cambria" w:eastAsia="Century Gothic" w:hAnsi="Cambria" w:cs="Century Gothic"/>
          <w:color w:val="212121"/>
        </w:rPr>
        <w:t>,</w:t>
      </w:r>
      <w:r w:rsidRPr="009A0DA6">
        <w:rPr>
          <w:rFonts w:ascii="Cambria" w:eastAsia="Century Gothic" w:hAnsi="Cambria" w:cs="Century Gothic"/>
          <w:color w:val="212121"/>
          <w:spacing w:val="-3"/>
        </w:rPr>
        <w:t xml:space="preserve"> </w:t>
      </w:r>
      <w:r w:rsidRPr="009A0DA6">
        <w:rPr>
          <w:rFonts w:ascii="Cambria" w:eastAsia="Century Gothic" w:hAnsi="Cambria" w:cs="Century Gothic"/>
          <w:color w:val="212121"/>
        </w:rPr>
        <w:t>and i</w:t>
      </w:r>
      <w:r w:rsidRPr="009A0DA6">
        <w:rPr>
          <w:rFonts w:ascii="Cambria" w:eastAsia="Century Gothic" w:hAnsi="Cambria" w:cs="Century Gothic"/>
          <w:color w:val="212121"/>
          <w:spacing w:val="2"/>
        </w:rPr>
        <w:t>t</w:t>
      </w:r>
      <w:r w:rsidRPr="009A0DA6">
        <w:rPr>
          <w:rFonts w:ascii="Cambria" w:eastAsia="Century Gothic" w:hAnsi="Cambria" w:cs="Century Gothic"/>
          <w:color w:val="212121"/>
        </w:rPr>
        <w:t xml:space="preserve">s </w:t>
      </w:r>
      <w:r w:rsidRPr="009A0DA6">
        <w:rPr>
          <w:rFonts w:ascii="Cambria" w:eastAsia="Century Gothic" w:hAnsi="Cambria" w:cs="Century Gothic"/>
          <w:color w:val="212121"/>
          <w:spacing w:val="-2"/>
        </w:rPr>
        <w:t>f</w:t>
      </w:r>
      <w:r w:rsidRPr="009A0DA6">
        <w:rPr>
          <w:rFonts w:ascii="Cambria" w:eastAsia="Century Gothic" w:hAnsi="Cambria" w:cs="Century Gothic"/>
          <w:color w:val="212121"/>
          <w:spacing w:val="1"/>
        </w:rPr>
        <w:t>e</w:t>
      </w:r>
      <w:r w:rsidRPr="009A0DA6">
        <w:rPr>
          <w:rFonts w:ascii="Cambria" w:eastAsia="Century Gothic" w:hAnsi="Cambria" w:cs="Century Gothic"/>
          <w:color w:val="212121"/>
        </w:rPr>
        <w:t>e</w:t>
      </w:r>
      <w:r w:rsidRPr="009A0DA6">
        <w:rPr>
          <w:rFonts w:ascii="Cambria" w:eastAsia="Century Gothic" w:hAnsi="Cambria" w:cs="Century Gothic"/>
          <w:color w:val="212121"/>
          <w:spacing w:val="-1"/>
        </w:rPr>
        <w:t xml:space="preserve"> s</w:t>
      </w:r>
      <w:r w:rsidRPr="009A0DA6">
        <w:rPr>
          <w:rFonts w:ascii="Cambria" w:eastAsia="Century Gothic" w:hAnsi="Cambria" w:cs="Century Gothic"/>
          <w:color w:val="212121"/>
          <w:spacing w:val="2"/>
        </w:rPr>
        <w:t>t</w:t>
      </w:r>
      <w:r w:rsidRPr="009A0DA6">
        <w:rPr>
          <w:rFonts w:ascii="Cambria" w:eastAsia="Century Gothic" w:hAnsi="Cambria" w:cs="Century Gothic"/>
          <w:color w:val="212121"/>
          <w:spacing w:val="-1"/>
        </w:rPr>
        <w:t>r</w:t>
      </w:r>
      <w:r w:rsidRPr="009A0DA6">
        <w:rPr>
          <w:rFonts w:ascii="Cambria" w:eastAsia="Century Gothic" w:hAnsi="Cambria" w:cs="Century Gothic"/>
          <w:color w:val="212121"/>
          <w:spacing w:val="1"/>
        </w:rPr>
        <w:t>u</w:t>
      </w:r>
      <w:r w:rsidRPr="009A0DA6">
        <w:rPr>
          <w:rFonts w:ascii="Cambria" w:eastAsia="Century Gothic" w:hAnsi="Cambria" w:cs="Century Gothic"/>
          <w:color w:val="212121"/>
          <w:spacing w:val="-1"/>
        </w:rPr>
        <w:t>c</w:t>
      </w:r>
      <w:r w:rsidRPr="009A0DA6">
        <w:rPr>
          <w:rFonts w:ascii="Cambria" w:eastAsia="Century Gothic" w:hAnsi="Cambria" w:cs="Century Gothic"/>
          <w:color w:val="212121"/>
          <w:spacing w:val="1"/>
        </w:rPr>
        <w:t>t</w:t>
      </w:r>
      <w:r w:rsidRPr="009A0DA6">
        <w:rPr>
          <w:rFonts w:ascii="Cambria" w:eastAsia="Century Gothic" w:hAnsi="Cambria" w:cs="Century Gothic"/>
          <w:color w:val="212121"/>
        </w:rPr>
        <w:t>u</w:t>
      </w:r>
      <w:r w:rsidRPr="009A0DA6">
        <w:rPr>
          <w:rFonts w:ascii="Cambria" w:eastAsia="Century Gothic" w:hAnsi="Cambria" w:cs="Century Gothic"/>
          <w:color w:val="212121"/>
          <w:spacing w:val="-1"/>
        </w:rPr>
        <w:t>r</w:t>
      </w:r>
      <w:r w:rsidR="00180211">
        <w:rPr>
          <w:rFonts w:ascii="Cambria" w:eastAsia="Century Gothic" w:hAnsi="Cambria" w:cs="Century Gothic"/>
          <w:color w:val="212121"/>
        </w:rPr>
        <w:t>e.</w:t>
      </w:r>
    </w:p>
    <w:p w14:paraId="40BD4126" w14:textId="77777777" w:rsidR="00013152" w:rsidRPr="009A0DA6" w:rsidRDefault="00013152">
      <w:pPr>
        <w:rPr>
          <w:rFonts w:ascii="Cambria" w:eastAsiaTheme="majorEastAsia" w:hAnsi="Cambria" w:cstheme="majorBidi"/>
          <w:b/>
          <w:caps/>
          <w:sz w:val="28"/>
          <w:szCs w:val="24"/>
        </w:rPr>
      </w:pPr>
      <w:r w:rsidRPr="009A0DA6">
        <w:rPr>
          <w:rFonts w:ascii="Cambria" w:hAnsi="Cambria"/>
        </w:rPr>
        <w:br w:type="page"/>
      </w:r>
    </w:p>
    <w:p w14:paraId="3640E4BA" w14:textId="33723DE5" w:rsidR="0001243B" w:rsidRPr="009A0DA6" w:rsidRDefault="0001243B" w:rsidP="00964A90">
      <w:pPr>
        <w:pStyle w:val="Heading3"/>
      </w:pPr>
      <w:r w:rsidRPr="009A0DA6">
        <w:lastRenderedPageBreak/>
        <w:t>agenda 2.2.1</w:t>
      </w:r>
      <w:r w:rsidR="00174A5E" w:rsidRPr="009A0DA6">
        <w:t>3</w:t>
      </w:r>
    </w:p>
    <w:p w14:paraId="729379DA" w14:textId="77777777" w:rsidR="0001243B" w:rsidRPr="009A0DA6" w:rsidRDefault="0001243B" w:rsidP="005D571C">
      <w:pPr>
        <w:pStyle w:val="Heading2"/>
      </w:pPr>
      <w:bookmarkStart w:id="65" w:name="_Toc521954610"/>
      <w:bookmarkStart w:id="66" w:name="_Toc522394975"/>
      <w:r w:rsidRPr="009A0DA6">
        <w:t>Introduction of Christian Care Sunday</w:t>
      </w:r>
      <w:bookmarkEnd w:id="65"/>
      <w:bookmarkEnd w:id="66"/>
      <w:r w:rsidRPr="009A0DA6">
        <w:t xml:space="preserve"> </w:t>
      </w:r>
    </w:p>
    <w:p w14:paraId="1EB68893" w14:textId="77777777" w:rsidR="0037789C" w:rsidRPr="009A0DA6" w:rsidRDefault="0037789C" w:rsidP="0037789C">
      <w:pPr>
        <w:pStyle w:val="NoSpacing"/>
      </w:pPr>
    </w:p>
    <w:p w14:paraId="37E7ADD0" w14:textId="77777777" w:rsidR="001B46FC" w:rsidRPr="009A0DA6" w:rsidRDefault="001B46FC" w:rsidP="001B46FC">
      <w:pPr>
        <w:pStyle w:val="Heading3"/>
        <w:rPr>
          <w:rFonts w:eastAsia="Times New Roman"/>
          <w:lang w:eastAsia="en-AU"/>
        </w:rPr>
      </w:pPr>
      <w:r w:rsidRPr="009A0DA6">
        <w:rPr>
          <w:rFonts w:eastAsia="Times New Roman"/>
          <w:lang w:eastAsia="en-AU"/>
        </w:rPr>
        <w:t>PROPOSED MOTION</w:t>
      </w:r>
    </w:p>
    <w:p w14:paraId="4E03DF9A" w14:textId="77777777" w:rsidR="001B46FC" w:rsidRPr="009A0DA6" w:rsidRDefault="001B46FC" w:rsidP="001B46FC">
      <w:pPr>
        <w:shd w:val="clear" w:color="auto" w:fill="FFFFFF"/>
        <w:spacing w:after="120" w:line="22" w:lineRule="atLeast"/>
        <w:rPr>
          <w:rFonts w:ascii="Cambria" w:hAnsi="Cambria" w:cs="Arial"/>
          <w:i/>
          <w:shd w:val="clear" w:color="auto" w:fill="FFFFFF"/>
        </w:rPr>
      </w:pPr>
      <w:r w:rsidRPr="009A0DA6">
        <w:rPr>
          <w:rFonts w:ascii="Cambria" w:eastAsia="Times New Roman" w:hAnsi="Cambria" w:cs="Times New Roman"/>
          <w:bCs/>
          <w:i/>
          <w:lang w:eastAsia="en-AU"/>
        </w:rPr>
        <w:t xml:space="preserve">Submitted by </w:t>
      </w:r>
      <w:r w:rsidRPr="009A0DA6">
        <w:rPr>
          <w:rFonts w:ascii="Cambria" w:hAnsi="Cambria"/>
          <w:i/>
        </w:rPr>
        <w:t>Board for Local Mission</w:t>
      </w:r>
    </w:p>
    <w:p w14:paraId="05A5E506" w14:textId="52821919" w:rsidR="001B46FC" w:rsidRPr="009A0DA6" w:rsidRDefault="00516DCF" w:rsidP="001B46FC">
      <w:pPr>
        <w:shd w:val="clear" w:color="auto" w:fill="FFFFFF"/>
        <w:tabs>
          <w:tab w:val="left" w:pos="3596"/>
        </w:tabs>
        <w:spacing w:line="240" w:lineRule="auto"/>
        <w:rPr>
          <w:rFonts w:ascii="Cambria" w:eastAsia="Times New Roman" w:hAnsi="Cambria" w:cs="Times New Roman"/>
          <w:bCs/>
          <w:color w:val="222222"/>
          <w:lang w:eastAsia="en-AU"/>
        </w:rPr>
      </w:pPr>
      <w:r w:rsidRPr="009A0DA6">
        <w:rPr>
          <w:rFonts w:ascii="Cambria" w:eastAsia="Times New Roman" w:hAnsi="Cambria" w:cs="Times New Roman"/>
          <w:b/>
          <w:bCs/>
          <w:color w:val="222222"/>
          <w:lang w:eastAsia="en-AU"/>
        </w:rPr>
        <w:t xml:space="preserve">BE IT RESOLVED </w:t>
      </w:r>
      <w:r w:rsidRPr="009A0DA6">
        <w:rPr>
          <w:rFonts w:ascii="Cambria" w:eastAsia="Times New Roman" w:hAnsi="Cambria" w:cs="Times New Roman"/>
          <w:bCs/>
          <w:color w:val="222222"/>
          <w:lang w:eastAsia="en-AU"/>
        </w:rPr>
        <w:t>that</w:t>
      </w:r>
      <w:r w:rsidR="001B46FC" w:rsidRPr="009A0DA6">
        <w:rPr>
          <w:rFonts w:ascii="Cambria" w:eastAsia="Times New Roman" w:hAnsi="Cambria" w:cs="Times New Roman"/>
          <w:bCs/>
          <w:color w:val="222222"/>
          <w:lang w:eastAsia="en-AU"/>
        </w:rPr>
        <w:t xml:space="preserve"> General Convention support the development, resourcing and promotion of an annual Christian Care Sunday whose aim is to</w:t>
      </w:r>
    </w:p>
    <w:p w14:paraId="484FD4FF" w14:textId="77777777" w:rsidR="001B46FC" w:rsidRPr="009A0DA6" w:rsidRDefault="001B46FC" w:rsidP="00F55252">
      <w:pPr>
        <w:pStyle w:val="ListParagraph"/>
        <w:numPr>
          <w:ilvl w:val="0"/>
          <w:numId w:val="112"/>
        </w:numPr>
        <w:shd w:val="clear" w:color="auto" w:fill="FFFFFF"/>
        <w:spacing w:after="200" w:line="240" w:lineRule="auto"/>
        <w:rPr>
          <w:rFonts w:ascii="Cambria" w:eastAsia="Times New Roman" w:hAnsi="Cambria" w:cs="Times New Roman"/>
          <w:bCs/>
          <w:color w:val="222222"/>
          <w:lang w:eastAsia="en-AU"/>
        </w:rPr>
      </w:pPr>
      <w:r w:rsidRPr="009A0DA6">
        <w:rPr>
          <w:rFonts w:ascii="Cambria" w:eastAsia="Times New Roman" w:hAnsi="Cambria" w:cs="Times New Roman"/>
          <w:bCs/>
          <w:color w:val="222222"/>
          <w:lang w:eastAsia="en-AU"/>
        </w:rPr>
        <w:t>Provide a focus on the ministry of care provided by congregational members</w:t>
      </w:r>
    </w:p>
    <w:p w14:paraId="39AB0EDB" w14:textId="77777777" w:rsidR="001B46FC" w:rsidRPr="009A0DA6" w:rsidRDefault="001B46FC" w:rsidP="00F55252">
      <w:pPr>
        <w:pStyle w:val="ListParagraph"/>
        <w:numPr>
          <w:ilvl w:val="0"/>
          <w:numId w:val="112"/>
        </w:numPr>
        <w:shd w:val="clear" w:color="auto" w:fill="FFFFFF"/>
        <w:spacing w:after="200" w:line="240" w:lineRule="auto"/>
        <w:rPr>
          <w:rFonts w:ascii="Cambria" w:eastAsia="Times New Roman" w:hAnsi="Cambria" w:cs="Times New Roman"/>
          <w:bCs/>
          <w:color w:val="222222"/>
          <w:lang w:eastAsia="en-AU"/>
        </w:rPr>
      </w:pPr>
      <w:r w:rsidRPr="009A0DA6">
        <w:rPr>
          <w:rFonts w:ascii="Cambria" w:eastAsia="Times New Roman" w:hAnsi="Cambria" w:cs="Times New Roman"/>
          <w:bCs/>
          <w:color w:val="222222"/>
          <w:lang w:eastAsia="en-AU"/>
        </w:rPr>
        <w:t>Provide an opportunity to connect Lutheran aged care facilities with local congregations and local congregations with Lutheran aged care facilities</w:t>
      </w:r>
    </w:p>
    <w:p w14:paraId="7265C7B0" w14:textId="77777777" w:rsidR="001B46FC" w:rsidRPr="009A0DA6" w:rsidRDefault="001B46FC" w:rsidP="00F55252">
      <w:pPr>
        <w:pStyle w:val="ListParagraph"/>
        <w:numPr>
          <w:ilvl w:val="0"/>
          <w:numId w:val="112"/>
        </w:numPr>
        <w:shd w:val="clear" w:color="auto" w:fill="FFFFFF"/>
        <w:spacing w:after="200" w:line="240" w:lineRule="auto"/>
        <w:rPr>
          <w:rFonts w:ascii="Cambria" w:eastAsia="Times New Roman" w:hAnsi="Cambria" w:cs="Times New Roman"/>
          <w:bCs/>
          <w:color w:val="222222"/>
          <w:lang w:eastAsia="en-AU"/>
        </w:rPr>
      </w:pPr>
      <w:r w:rsidRPr="009A0DA6">
        <w:rPr>
          <w:rFonts w:ascii="Cambria" w:eastAsia="Times New Roman" w:hAnsi="Cambria" w:cs="Times New Roman"/>
          <w:bCs/>
          <w:color w:val="222222"/>
          <w:lang w:eastAsia="en-AU"/>
        </w:rPr>
        <w:t>Provide an opportunity to connect Lutheran community services with local congregations and local congregations with Lutheran community services</w:t>
      </w:r>
    </w:p>
    <w:p w14:paraId="45AAACDD" w14:textId="77777777" w:rsidR="001B46FC" w:rsidRPr="009A0DA6" w:rsidRDefault="001B46FC" w:rsidP="00F55252">
      <w:pPr>
        <w:pStyle w:val="ListParagraph"/>
        <w:numPr>
          <w:ilvl w:val="0"/>
          <w:numId w:val="112"/>
        </w:numPr>
        <w:shd w:val="clear" w:color="auto" w:fill="FFFFFF"/>
        <w:spacing w:after="200" w:line="240" w:lineRule="auto"/>
        <w:rPr>
          <w:rFonts w:ascii="Cambria" w:eastAsia="Times New Roman" w:hAnsi="Cambria" w:cs="Times New Roman"/>
          <w:bCs/>
          <w:color w:val="222222"/>
          <w:lang w:eastAsia="en-AU"/>
        </w:rPr>
      </w:pPr>
      <w:r w:rsidRPr="009A0DA6">
        <w:rPr>
          <w:rFonts w:ascii="Cambria" w:eastAsia="Times New Roman" w:hAnsi="Cambria" w:cs="Times New Roman"/>
          <w:bCs/>
          <w:color w:val="222222"/>
          <w:lang w:eastAsia="en-AU"/>
        </w:rPr>
        <w:t>Promote the ministry of care that is conducted through Lutheran aged and community services</w:t>
      </w:r>
    </w:p>
    <w:p w14:paraId="3FB672ED" w14:textId="5CDB287D" w:rsidR="001B46FC" w:rsidRPr="009A0DA6" w:rsidRDefault="001B46FC" w:rsidP="00F55252">
      <w:pPr>
        <w:pStyle w:val="ListParagraph"/>
        <w:numPr>
          <w:ilvl w:val="0"/>
          <w:numId w:val="112"/>
        </w:numPr>
        <w:shd w:val="clear" w:color="auto" w:fill="FFFFFF"/>
        <w:spacing w:after="200" w:line="240" w:lineRule="auto"/>
        <w:rPr>
          <w:rFonts w:ascii="Cambria" w:eastAsia="Times New Roman" w:hAnsi="Cambria" w:cs="Times New Roman"/>
          <w:bCs/>
          <w:color w:val="222222"/>
          <w:lang w:eastAsia="en-AU"/>
        </w:rPr>
      </w:pPr>
      <w:r w:rsidRPr="009A0DA6">
        <w:rPr>
          <w:rFonts w:ascii="Cambria" w:eastAsia="Times New Roman" w:hAnsi="Cambria" w:cs="Times New Roman"/>
          <w:bCs/>
          <w:color w:val="222222"/>
          <w:lang w:eastAsia="en-AU"/>
        </w:rPr>
        <w:t xml:space="preserve">Remind us of the many vulnerable people within our communities and of the work that is done by government and </w:t>
      </w:r>
      <w:r w:rsidR="00365833" w:rsidRPr="009A0DA6">
        <w:rPr>
          <w:rFonts w:ascii="Cambria" w:eastAsia="Times New Roman" w:hAnsi="Cambria" w:cs="Times New Roman"/>
          <w:bCs/>
          <w:color w:val="222222"/>
          <w:lang w:eastAsia="en-AU"/>
        </w:rPr>
        <w:t>non-government (including faith-</w:t>
      </w:r>
      <w:r w:rsidRPr="009A0DA6">
        <w:rPr>
          <w:rFonts w:ascii="Cambria" w:eastAsia="Times New Roman" w:hAnsi="Cambria" w:cs="Times New Roman"/>
          <w:bCs/>
          <w:color w:val="222222"/>
          <w:lang w:eastAsia="en-AU"/>
        </w:rPr>
        <w:t>based) organisations.</w:t>
      </w:r>
    </w:p>
    <w:p w14:paraId="5563C35D" w14:textId="21C550CE" w:rsidR="001B46FC" w:rsidRPr="009A0DA6" w:rsidRDefault="00FB59B1" w:rsidP="00013152">
      <w:pPr>
        <w:pStyle w:val="Heading3"/>
        <w:rPr>
          <w:rFonts w:eastAsia="Times New Roman"/>
          <w:lang w:eastAsia="en-AU"/>
        </w:rPr>
      </w:pPr>
      <w:r w:rsidRPr="009A0DA6">
        <w:rPr>
          <w:rFonts w:eastAsia="Times New Roman"/>
          <w:lang w:eastAsia="en-AU"/>
        </w:rPr>
        <w:t>REASONS FOR THE MOTION</w:t>
      </w:r>
    </w:p>
    <w:p w14:paraId="6F4ABBBF" w14:textId="215159E9" w:rsidR="001B46FC" w:rsidRPr="009A0DA6" w:rsidRDefault="001B46FC" w:rsidP="00F55252">
      <w:pPr>
        <w:pStyle w:val="ListParagraph"/>
        <w:numPr>
          <w:ilvl w:val="0"/>
          <w:numId w:val="113"/>
        </w:numPr>
        <w:shd w:val="clear" w:color="auto" w:fill="FFFFFF"/>
        <w:spacing w:after="200" w:line="240" w:lineRule="auto"/>
        <w:ind w:left="567" w:hanging="567"/>
        <w:rPr>
          <w:rFonts w:ascii="Cambria" w:hAnsi="Cambria" w:cs="Arial"/>
          <w:color w:val="222222"/>
          <w:shd w:val="clear" w:color="auto" w:fill="FFFFFF"/>
        </w:rPr>
      </w:pPr>
      <w:r w:rsidRPr="009A0DA6">
        <w:rPr>
          <w:rFonts w:ascii="Cambria" w:hAnsi="Cambria" w:cs="Arial"/>
          <w:color w:val="222222"/>
          <w:shd w:val="clear" w:color="auto" w:fill="FFFFFF"/>
        </w:rPr>
        <w:t>The LCA is blessed to have many capable volunteers who provide care in their communities in a myriad of ways. A Christian Care Sunday is an opportunity to acknowledge the care provided by volunteers and give thanks for God’s bounty and goodness.</w:t>
      </w:r>
      <w:r w:rsidRPr="009A0DA6">
        <w:rPr>
          <w:rFonts w:ascii="Cambria" w:hAnsi="Cambria" w:cs="Arial"/>
          <w:color w:val="222222"/>
          <w:shd w:val="clear" w:color="auto" w:fill="FFFFFF"/>
        </w:rPr>
        <w:br/>
      </w:r>
    </w:p>
    <w:p w14:paraId="21117CFC" w14:textId="2ACAD21C" w:rsidR="001B46FC" w:rsidRPr="009A0DA6" w:rsidRDefault="001B46FC" w:rsidP="00F55252">
      <w:pPr>
        <w:pStyle w:val="ListParagraph"/>
        <w:numPr>
          <w:ilvl w:val="0"/>
          <w:numId w:val="113"/>
        </w:numPr>
        <w:shd w:val="clear" w:color="auto" w:fill="FFFFFF"/>
        <w:spacing w:after="200" w:line="240" w:lineRule="auto"/>
        <w:ind w:left="567" w:hanging="567"/>
        <w:rPr>
          <w:rFonts w:ascii="Cambria" w:hAnsi="Cambria" w:cs="Arial"/>
          <w:color w:val="222222"/>
          <w:shd w:val="clear" w:color="auto" w:fill="FFFFFF"/>
        </w:rPr>
      </w:pPr>
      <w:r w:rsidRPr="009A0DA6">
        <w:rPr>
          <w:rFonts w:ascii="Cambria" w:hAnsi="Cambria" w:cs="Arial"/>
          <w:color w:val="222222"/>
          <w:shd w:val="clear" w:color="auto" w:fill="FFFFFF"/>
        </w:rPr>
        <w:t xml:space="preserve">The Lutheran Church of Australia has a variety of agencies through which it carries out its ministry and mission to the people of Australia and New Zealand. Lutheran aged care services and Lutheran community services are agencies that provide diaconal ministry on behalf of the </w:t>
      </w:r>
      <w:r w:rsidR="00DB2C41" w:rsidRPr="009A0DA6">
        <w:rPr>
          <w:rFonts w:ascii="Cambria" w:hAnsi="Cambria" w:cs="Arial"/>
          <w:color w:val="222222"/>
          <w:shd w:val="clear" w:color="auto" w:fill="FFFFFF"/>
        </w:rPr>
        <w:t>church</w:t>
      </w:r>
      <w:r w:rsidRPr="009A0DA6">
        <w:rPr>
          <w:rFonts w:ascii="Cambria" w:hAnsi="Cambria" w:cs="Arial"/>
          <w:color w:val="222222"/>
          <w:shd w:val="clear" w:color="auto" w:fill="FFFFFF"/>
        </w:rPr>
        <w:t>. A Christian Care Sunday is a time to thank God for these agencies and give thanks for God’s bounty and goodness.</w:t>
      </w:r>
      <w:r w:rsidRPr="009A0DA6">
        <w:rPr>
          <w:rFonts w:ascii="Cambria" w:hAnsi="Cambria" w:cs="Arial"/>
          <w:color w:val="222222"/>
          <w:shd w:val="clear" w:color="auto" w:fill="FFFFFF"/>
        </w:rPr>
        <w:br/>
      </w:r>
    </w:p>
    <w:p w14:paraId="36F486EB" w14:textId="1C8B1BC4" w:rsidR="001B46FC" w:rsidRPr="009A0DA6" w:rsidRDefault="001B46FC" w:rsidP="00F55252">
      <w:pPr>
        <w:pStyle w:val="ListParagraph"/>
        <w:numPr>
          <w:ilvl w:val="0"/>
          <w:numId w:val="113"/>
        </w:numPr>
        <w:shd w:val="clear" w:color="auto" w:fill="FFFFFF"/>
        <w:spacing w:after="200" w:line="240" w:lineRule="auto"/>
        <w:ind w:left="567" w:hanging="567"/>
        <w:rPr>
          <w:rFonts w:ascii="Cambria" w:hAnsi="Cambria" w:cs="Arial"/>
          <w:color w:val="222222"/>
          <w:shd w:val="clear" w:color="auto" w:fill="FFFFFF"/>
        </w:rPr>
      </w:pPr>
      <w:r w:rsidRPr="009A0DA6">
        <w:rPr>
          <w:rFonts w:ascii="Cambria" w:hAnsi="Cambria" w:cs="Arial"/>
          <w:color w:val="222222"/>
          <w:shd w:val="clear" w:color="auto" w:fill="FFFFFF"/>
        </w:rPr>
        <w:t xml:space="preserve">In the past, some Lutheran congregations celebrated Christian Community Care Sunday on the last Sunday in September, which coincides with Social Justice Sunday in Catholic </w:t>
      </w:r>
      <w:r w:rsidR="00DB2C41" w:rsidRPr="009A0DA6">
        <w:rPr>
          <w:rFonts w:ascii="Cambria" w:hAnsi="Cambria" w:cs="Arial"/>
          <w:color w:val="222222"/>
          <w:shd w:val="clear" w:color="auto" w:fill="FFFFFF"/>
        </w:rPr>
        <w:t>church</w:t>
      </w:r>
      <w:r w:rsidRPr="009A0DA6">
        <w:rPr>
          <w:rFonts w:ascii="Cambria" w:hAnsi="Cambria" w:cs="Arial"/>
          <w:color w:val="222222"/>
          <w:shd w:val="clear" w:color="auto" w:fill="FFFFFF"/>
        </w:rPr>
        <w:t xml:space="preserve">es. The Committee for Ministry with the Ageing, together with the One Loving God project steering committee, believe that reclaiming a celebration of Christian Care will have a positive and motivating effect on the provision of care that occurs in congregational ministry and on the provision of care that occurs through Lutheran aged and community care services. </w:t>
      </w:r>
      <w:r w:rsidRPr="009A0DA6">
        <w:rPr>
          <w:rFonts w:ascii="Cambria" w:hAnsi="Cambria" w:cs="Arial"/>
          <w:color w:val="222222"/>
          <w:shd w:val="clear" w:color="auto" w:fill="FFFFFF"/>
        </w:rPr>
        <w:br/>
      </w:r>
    </w:p>
    <w:p w14:paraId="5DE8C820" w14:textId="77777777" w:rsidR="001B46FC" w:rsidRPr="009A0DA6" w:rsidRDefault="001B46FC" w:rsidP="00F55252">
      <w:pPr>
        <w:pStyle w:val="ListParagraph"/>
        <w:numPr>
          <w:ilvl w:val="0"/>
          <w:numId w:val="113"/>
        </w:numPr>
        <w:shd w:val="clear" w:color="auto" w:fill="FFFFFF"/>
        <w:spacing w:after="200" w:line="240" w:lineRule="auto"/>
        <w:ind w:left="567" w:hanging="567"/>
        <w:rPr>
          <w:rFonts w:ascii="Cambria" w:hAnsi="Cambria" w:cs="Arial"/>
          <w:color w:val="222222"/>
          <w:shd w:val="clear" w:color="auto" w:fill="FFFFFF"/>
        </w:rPr>
      </w:pPr>
      <w:r w:rsidRPr="009A0DA6">
        <w:rPr>
          <w:rFonts w:ascii="Cambria" w:hAnsi="Cambria" w:cs="Arial"/>
          <w:color w:val="222222"/>
          <w:shd w:val="clear" w:color="auto" w:fill="FFFFFF"/>
        </w:rPr>
        <w:t>There are many vulnerable people in our communities who suffer from physical, mental, emotional and social problems. Some of these needs are met by government and non-government agencies. Many needs are not met because of a lack of resources or an inability to access resources. Just as Christ cared for the sick and the vulnerable, so we too should consider their needs, respond as and when we are able, and give thanks for those who provide care on a regular basis.</w:t>
      </w:r>
    </w:p>
    <w:p w14:paraId="6661203D" w14:textId="77777777" w:rsidR="00013152" w:rsidRPr="009A0DA6" w:rsidRDefault="00013152">
      <w:pPr>
        <w:rPr>
          <w:rFonts w:ascii="Cambria" w:eastAsiaTheme="majorEastAsia" w:hAnsi="Cambria" w:cstheme="majorBidi"/>
          <w:b/>
          <w:caps/>
          <w:sz w:val="28"/>
          <w:szCs w:val="24"/>
        </w:rPr>
      </w:pPr>
      <w:r w:rsidRPr="009A0DA6">
        <w:rPr>
          <w:rFonts w:ascii="Cambria" w:hAnsi="Cambria"/>
        </w:rPr>
        <w:br w:type="page"/>
      </w:r>
    </w:p>
    <w:p w14:paraId="7DE26DC1" w14:textId="66FF2CA8" w:rsidR="0001243B" w:rsidRPr="009A0DA6" w:rsidRDefault="0001243B" w:rsidP="00964A90">
      <w:pPr>
        <w:pStyle w:val="Heading3"/>
      </w:pPr>
      <w:r w:rsidRPr="009A0DA6">
        <w:lastRenderedPageBreak/>
        <w:t>agenda 2.2.1</w:t>
      </w:r>
      <w:r w:rsidR="00174A5E" w:rsidRPr="009A0DA6">
        <w:t>4</w:t>
      </w:r>
    </w:p>
    <w:p w14:paraId="72997C9F" w14:textId="5C9AF782" w:rsidR="0001243B" w:rsidRPr="009A0DA6" w:rsidRDefault="0001243B" w:rsidP="005D571C">
      <w:pPr>
        <w:pStyle w:val="Heading2"/>
      </w:pPr>
      <w:bookmarkStart w:id="67" w:name="_Toc521954611"/>
      <w:bookmarkStart w:id="68" w:name="_Toc522394976"/>
      <w:r w:rsidRPr="009A0DA6">
        <w:t xml:space="preserve">Recognising and continuing the </w:t>
      </w:r>
      <w:r w:rsidR="00013152" w:rsidRPr="009A0DA6">
        <w:br/>
      </w:r>
      <w:r w:rsidR="0053046D" w:rsidRPr="009A0DA6">
        <w:t>‘</w:t>
      </w:r>
      <w:r w:rsidRPr="009A0DA6">
        <w:t>Hidde</w:t>
      </w:r>
      <w:r w:rsidR="0037789C" w:rsidRPr="009A0DA6">
        <w:t>n Hurts Healing Hearts</w:t>
      </w:r>
      <w:r w:rsidR="0053046D" w:rsidRPr="009A0DA6">
        <w:t>’</w:t>
      </w:r>
      <w:r w:rsidR="0037789C" w:rsidRPr="009A0DA6">
        <w:t xml:space="preserve"> </w:t>
      </w:r>
      <w:r w:rsidR="00174A5E" w:rsidRPr="009A0DA6">
        <w:t>c</w:t>
      </w:r>
      <w:r w:rsidR="0037789C" w:rsidRPr="009A0DA6">
        <w:t>ampaign</w:t>
      </w:r>
      <w:bookmarkEnd w:id="67"/>
      <w:bookmarkEnd w:id="68"/>
    </w:p>
    <w:p w14:paraId="054ED52E" w14:textId="77777777" w:rsidR="0037789C" w:rsidRPr="009A0DA6" w:rsidRDefault="0037789C" w:rsidP="0037789C">
      <w:pPr>
        <w:pStyle w:val="NoSpacing"/>
      </w:pPr>
    </w:p>
    <w:p w14:paraId="120DE8D7" w14:textId="77777777" w:rsidR="001B46FC" w:rsidRPr="009A0DA6" w:rsidRDefault="001B46FC" w:rsidP="001B46FC">
      <w:pPr>
        <w:pStyle w:val="Heading3"/>
        <w:rPr>
          <w:rFonts w:eastAsia="Times New Roman"/>
          <w:lang w:eastAsia="en-AU"/>
        </w:rPr>
      </w:pPr>
      <w:r w:rsidRPr="009A0DA6">
        <w:rPr>
          <w:rFonts w:eastAsia="Times New Roman"/>
          <w:lang w:eastAsia="en-AU"/>
        </w:rPr>
        <w:t>PROPOSED MOTION</w:t>
      </w:r>
    </w:p>
    <w:p w14:paraId="3AAA342E" w14:textId="40E6EC62" w:rsidR="001B46FC" w:rsidRPr="009A0DA6" w:rsidRDefault="001B46FC" w:rsidP="001B46FC">
      <w:pPr>
        <w:shd w:val="clear" w:color="auto" w:fill="FFFFFF"/>
        <w:spacing w:after="120" w:line="22" w:lineRule="atLeast"/>
        <w:rPr>
          <w:rFonts w:ascii="Cambria" w:hAnsi="Cambria" w:cs="Arial"/>
          <w:i/>
          <w:shd w:val="clear" w:color="auto" w:fill="FFFFFF"/>
        </w:rPr>
      </w:pPr>
      <w:r w:rsidRPr="009A0DA6">
        <w:rPr>
          <w:rFonts w:ascii="Cambria" w:eastAsia="Times New Roman" w:hAnsi="Cambria" w:cs="Times New Roman"/>
          <w:bCs/>
          <w:i/>
          <w:lang w:eastAsia="en-AU"/>
        </w:rPr>
        <w:t xml:space="preserve">Submitted by </w:t>
      </w:r>
      <w:r w:rsidR="00DE0B7B">
        <w:rPr>
          <w:rFonts w:ascii="Cambria" w:hAnsi="Cambria"/>
          <w:i/>
        </w:rPr>
        <w:t>Commission on</w:t>
      </w:r>
      <w:r w:rsidRPr="009A0DA6">
        <w:rPr>
          <w:rFonts w:ascii="Cambria" w:hAnsi="Cambria"/>
          <w:i/>
        </w:rPr>
        <w:t xml:space="preserve"> Social and Bioethical Questions</w:t>
      </w:r>
    </w:p>
    <w:p w14:paraId="2EA0ABC4" w14:textId="2E6080D5" w:rsidR="001B46FC" w:rsidRPr="009A0DA6" w:rsidRDefault="001B46FC" w:rsidP="00013152">
      <w:pPr>
        <w:shd w:val="clear" w:color="auto" w:fill="FFFFFF"/>
        <w:tabs>
          <w:tab w:val="left" w:pos="3596"/>
        </w:tabs>
        <w:spacing w:after="0" w:line="240" w:lineRule="auto"/>
        <w:rPr>
          <w:rFonts w:ascii="Cambria" w:hAnsi="Cambria" w:cs="Arial"/>
        </w:rPr>
      </w:pPr>
      <w:r w:rsidRPr="009A0DA6">
        <w:rPr>
          <w:rFonts w:ascii="Cambria" w:eastAsia="Times New Roman" w:hAnsi="Cambria" w:cs="Times New Roman"/>
          <w:b/>
          <w:bCs/>
          <w:color w:val="222222"/>
          <w:lang w:eastAsia="en-AU"/>
        </w:rPr>
        <w:t xml:space="preserve">BE IT RESOLVED </w:t>
      </w:r>
      <w:r w:rsidRPr="009A0DA6">
        <w:rPr>
          <w:rFonts w:ascii="Cambria" w:hAnsi="Cambria" w:cs="Arial"/>
        </w:rPr>
        <w:t xml:space="preserve">that General Synod notes the work carried out by the </w:t>
      </w:r>
      <w:r w:rsidR="00365833" w:rsidRPr="009A0DA6">
        <w:rPr>
          <w:rFonts w:ascii="Cambria" w:hAnsi="Cambria" w:cs="Arial"/>
        </w:rPr>
        <w:t xml:space="preserve">‘Hidden Hurts </w:t>
      </w:r>
      <w:r w:rsidRPr="009A0DA6">
        <w:rPr>
          <w:rFonts w:ascii="Cambria" w:hAnsi="Cambria" w:cs="Arial"/>
        </w:rPr>
        <w:t>Healing Hearts</w:t>
      </w:r>
      <w:r w:rsidR="00365833" w:rsidRPr="009A0DA6">
        <w:rPr>
          <w:rFonts w:ascii="Cambria" w:hAnsi="Cambria" w:cs="Arial"/>
        </w:rPr>
        <w:t>’</w:t>
      </w:r>
      <w:r w:rsidRPr="009A0DA6">
        <w:rPr>
          <w:rFonts w:ascii="Cambria" w:hAnsi="Cambria" w:cs="Arial"/>
        </w:rPr>
        <w:t xml:space="preserve"> Campaign, and requests that the GCC oversees and provides adequate resources to support its continuation in the next </w:t>
      </w:r>
      <w:r w:rsidR="00C67D2A" w:rsidRPr="009A0DA6">
        <w:rPr>
          <w:rFonts w:ascii="Cambria" w:hAnsi="Cambria" w:cs="Arial"/>
        </w:rPr>
        <w:t>synodical</w:t>
      </w:r>
      <w:r w:rsidRPr="009A0DA6">
        <w:rPr>
          <w:rFonts w:ascii="Cambria" w:hAnsi="Cambria" w:cs="Arial"/>
        </w:rPr>
        <w:t xml:space="preserve"> term with particular attention to the following areas:</w:t>
      </w:r>
    </w:p>
    <w:p w14:paraId="64EA5CFC" w14:textId="16B74827" w:rsidR="001B46FC" w:rsidRPr="009A0DA6" w:rsidRDefault="00365833" w:rsidP="00F55252">
      <w:pPr>
        <w:pStyle w:val="ListParagraph"/>
        <w:numPr>
          <w:ilvl w:val="0"/>
          <w:numId w:val="115"/>
        </w:numPr>
        <w:spacing w:after="0" w:line="276" w:lineRule="auto"/>
        <w:ind w:left="567" w:hanging="567"/>
        <w:rPr>
          <w:rFonts w:ascii="Cambria" w:hAnsi="Cambria" w:cs="Arial"/>
        </w:rPr>
      </w:pPr>
      <w:r w:rsidRPr="009A0DA6">
        <w:rPr>
          <w:rFonts w:ascii="Cambria" w:hAnsi="Cambria" w:cs="Arial"/>
        </w:rPr>
        <w:t>r</w:t>
      </w:r>
      <w:r w:rsidR="001B46FC" w:rsidRPr="009A0DA6">
        <w:rPr>
          <w:rFonts w:ascii="Cambria" w:hAnsi="Cambria" w:cs="Arial"/>
        </w:rPr>
        <w:t>esource development and community engagement</w:t>
      </w:r>
    </w:p>
    <w:p w14:paraId="0DFE2723" w14:textId="6103D278" w:rsidR="001B46FC" w:rsidRPr="009A0DA6" w:rsidRDefault="00365833" w:rsidP="00F55252">
      <w:pPr>
        <w:pStyle w:val="ListParagraph"/>
        <w:numPr>
          <w:ilvl w:val="0"/>
          <w:numId w:val="115"/>
        </w:numPr>
        <w:spacing w:after="0" w:line="276" w:lineRule="auto"/>
        <w:ind w:left="567" w:hanging="567"/>
        <w:rPr>
          <w:rFonts w:ascii="Cambria" w:hAnsi="Cambria" w:cs="Arial"/>
        </w:rPr>
      </w:pPr>
      <w:r w:rsidRPr="009A0DA6">
        <w:rPr>
          <w:rFonts w:ascii="Cambria" w:hAnsi="Cambria" w:cs="Arial"/>
        </w:rPr>
        <w:t>a</w:t>
      </w:r>
      <w:r w:rsidR="001B46FC" w:rsidRPr="009A0DA6">
        <w:rPr>
          <w:rFonts w:ascii="Cambria" w:hAnsi="Cambria" w:cs="Arial"/>
        </w:rPr>
        <w:t>wareness training and on-going professional education</w:t>
      </w:r>
      <w:r w:rsidRPr="009A0DA6">
        <w:rPr>
          <w:rFonts w:ascii="Cambria" w:hAnsi="Cambria" w:cs="Arial"/>
        </w:rPr>
        <w:t>, and</w:t>
      </w:r>
    </w:p>
    <w:p w14:paraId="6A30194B" w14:textId="1999EDFE" w:rsidR="001B46FC" w:rsidRPr="009A0DA6" w:rsidRDefault="00365833" w:rsidP="00F55252">
      <w:pPr>
        <w:pStyle w:val="ListParagraph"/>
        <w:numPr>
          <w:ilvl w:val="0"/>
          <w:numId w:val="115"/>
        </w:numPr>
        <w:spacing w:after="0" w:line="276" w:lineRule="auto"/>
        <w:ind w:left="567" w:hanging="567"/>
        <w:rPr>
          <w:rFonts w:ascii="Cambria" w:hAnsi="Cambria" w:cs="Arial"/>
          <w:sz w:val="6"/>
        </w:rPr>
      </w:pPr>
      <w:r w:rsidRPr="009A0DA6">
        <w:rPr>
          <w:rFonts w:ascii="Cambria" w:hAnsi="Cambria" w:cs="Arial"/>
        </w:rPr>
        <w:t>r</w:t>
      </w:r>
      <w:r w:rsidR="001B46FC" w:rsidRPr="009A0DA6">
        <w:rPr>
          <w:rFonts w:ascii="Cambria" w:hAnsi="Cambria" w:cs="Arial"/>
        </w:rPr>
        <w:t>esearch and evaluation.</w:t>
      </w:r>
      <w:r w:rsidR="00013152" w:rsidRPr="009A0DA6">
        <w:rPr>
          <w:rFonts w:ascii="Cambria" w:hAnsi="Cambria" w:cs="Arial"/>
        </w:rPr>
        <w:br/>
      </w:r>
      <w:r w:rsidR="001B46FC" w:rsidRPr="009A0DA6">
        <w:rPr>
          <w:rFonts w:ascii="Cambria" w:hAnsi="Cambria" w:cs="Arial"/>
          <w:sz w:val="6"/>
        </w:rPr>
        <w:t xml:space="preserve">  </w:t>
      </w:r>
    </w:p>
    <w:p w14:paraId="52473932" w14:textId="52D0DA82" w:rsidR="001B46FC" w:rsidRPr="009A0DA6" w:rsidRDefault="00FB59B1" w:rsidP="00013152">
      <w:pPr>
        <w:pStyle w:val="Heading3"/>
        <w:rPr>
          <w:rFonts w:eastAsia="Times New Roman"/>
          <w:lang w:eastAsia="en-AU"/>
        </w:rPr>
      </w:pPr>
      <w:r w:rsidRPr="009A0DA6">
        <w:rPr>
          <w:rFonts w:eastAsia="Times New Roman"/>
          <w:lang w:eastAsia="en-AU"/>
        </w:rPr>
        <w:t>REASONS FOR THE MOTION</w:t>
      </w:r>
    </w:p>
    <w:p w14:paraId="116A2309" w14:textId="77777777" w:rsidR="001B46FC" w:rsidRPr="009A0DA6" w:rsidRDefault="001B46FC" w:rsidP="001B46FC">
      <w:pPr>
        <w:autoSpaceDE w:val="0"/>
        <w:autoSpaceDN w:val="0"/>
        <w:adjustRightInd w:val="0"/>
        <w:spacing w:after="0" w:line="240" w:lineRule="auto"/>
        <w:rPr>
          <w:rFonts w:ascii="Cambria" w:eastAsia="Times New Roman" w:hAnsi="Cambria" w:cs="Times New Roman"/>
          <w:bCs/>
          <w:color w:val="222222"/>
          <w:lang w:eastAsia="en-AU"/>
        </w:rPr>
      </w:pPr>
      <w:r w:rsidRPr="009A0DA6">
        <w:rPr>
          <w:rFonts w:ascii="Cambria" w:eastAsia="Times New Roman" w:hAnsi="Cambria" w:cs="Times New Roman"/>
          <w:bCs/>
          <w:color w:val="222222"/>
          <w:lang w:eastAsia="en-AU"/>
        </w:rPr>
        <w:t>In 2015 the Convention of General Synod resolved the following:</w:t>
      </w:r>
    </w:p>
    <w:p w14:paraId="2FCECB04" w14:textId="52157818" w:rsidR="001B46FC" w:rsidRPr="009A0DA6" w:rsidRDefault="001B46FC" w:rsidP="001B46FC">
      <w:pPr>
        <w:autoSpaceDE w:val="0"/>
        <w:autoSpaceDN w:val="0"/>
        <w:adjustRightInd w:val="0"/>
        <w:spacing w:after="0" w:line="240" w:lineRule="auto"/>
        <w:rPr>
          <w:rFonts w:ascii="Cambria" w:hAnsi="Cambria" w:cs="Arial"/>
          <w:i/>
        </w:rPr>
      </w:pPr>
      <w:r w:rsidRPr="009A0DA6">
        <w:rPr>
          <w:rFonts w:ascii="Cambria" w:hAnsi="Cambria" w:cs="Arial"/>
          <w:i/>
        </w:rPr>
        <w:t xml:space="preserve">The Convention of Synod reaffirms its condemnation of all forms of violence in the family and authorises GCC to commit resources for a </w:t>
      </w:r>
      <w:r w:rsidR="00C2017B" w:rsidRPr="009A0DA6">
        <w:rPr>
          <w:rFonts w:ascii="Cambria" w:hAnsi="Cambria" w:cs="Arial"/>
          <w:i/>
        </w:rPr>
        <w:t>churchwide</w:t>
      </w:r>
      <w:r w:rsidRPr="009A0DA6">
        <w:rPr>
          <w:rFonts w:ascii="Cambria" w:hAnsi="Cambria" w:cs="Arial"/>
          <w:i/>
        </w:rPr>
        <w:t xml:space="preserve"> campaign to address the prevalence of Family Violence amongst us, which may include sharing of resources, education initiatives and the provision of pastoral care to the survivors of violence.</w:t>
      </w:r>
    </w:p>
    <w:p w14:paraId="10C99969" w14:textId="77777777" w:rsidR="001B46FC" w:rsidRPr="009A0DA6" w:rsidRDefault="001B46FC" w:rsidP="001B46FC">
      <w:pPr>
        <w:autoSpaceDE w:val="0"/>
        <w:autoSpaceDN w:val="0"/>
        <w:adjustRightInd w:val="0"/>
        <w:spacing w:after="0" w:line="240" w:lineRule="auto"/>
        <w:rPr>
          <w:rFonts w:ascii="Cambria" w:hAnsi="Cambria" w:cs="Arial"/>
          <w:sz w:val="10"/>
        </w:rPr>
      </w:pPr>
    </w:p>
    <w:p w14:paraId="2B4F1B84" w14:textId="532A1738" w:rsidR="001B46FC" w:rsidRPr="009A0DA6" w:rsidRDefault="001B46FC" w:rsidP="001B46FC">
      <w:pPr>
        <w:autoSpaceDE w:val="0"/>
        <w:autoSpaceDN w:val="0"/>
        <w:adjustRightInd w:val="0"/>
        <w:spacing w:after="0" w:line="240" w:lineRule="auto"/>
        <w:rPr>
          <w:rFonts w:ascii="Cambria" w:hAnsi="Cambria" w:cs="Arial"/>
        </w:rPr>
      </w:pPr>
      <w:r w:rsidRPr="009A0DA6">
        <w:rPr>
          <w:rFonts w:ascii="Cambria" w:hAnsi="Cambria" w:cs="Arial"/>
        </w:rPr>
        <w:t xml:space="preserve">The reference to the Synod’s ‘reaffirmation’ of its condemnation of all forms of violence was a reminder of resolutions at two previous Synods in 1993 and 2003 that expressed its collective will to condemn all forms of violence in the family. </w:t>
      </w:r>
    </w:p>
    <w:p w14:paraId="5A19C372" w14:textId="77777777" w:rsidR="001B46FC" w:rsidRPr="009A0DA6" w:rsidRDefault="001B46FC" w:rsidP="001B46FC">
      <w:pPr>
        <w:shd w:val="clear" w:color="auto" w:fill="FFFFFF"/>
        <w:spacing w:line="240" w:lineRule="auto"/>
        <w:rPr>
          <w:rFonts w:ascii="Cambria" w:hAnsi="Cambria" w:cs="Arial"/>
          <w:color w:val="222222"/>
          <w:sz w:val="2"/>
        </w:rPr>
      </w:pPr>
    </w:p>
    <w:p w14:paraId="14DF603C" w14:textId="3236DCCE" w:rsidR="001B46FC" w:rsidRPr="009A0DA6" w:rsidRDefault="001B46FC" w:rsidP="001B46FC">
      <w:pPr>
        <w:shd w:val="clear" w:color="auto" w:fill="FFFFFF"/>
        <w:spacing w:line="240" w:lineRule="auto"/>
        <w:rPr>
          <w:rFonts w:ascii="Cambria" w:hAnsi="Cambria" w:cs="Arial"/>
          <w:color w:val="222222"/>
        </w:rPr>
      </w:pPr>
      <w:r w:rsidRPr="009A0DA6">
        <w:rPr>
          <w:rFonts w:ascii="Cambria" w:hAnsi="Cambria" w:cs="Arial"/>
          <w:color w:val="222222"/>
        </w:rPr>
        <w:t xml:space="preserve">The 2015 “Reason for Proposal” noted how the Royal Commission into Institutional Responses to Child Sexual Abuse placed the focus on the horrific treatment of vulnerable children in institutional care. While this focus was essential and welcomed by the </w:t>
      </w:r>
      <w:r w:rsidR="00DB2C41" w:rsidRPr="009A0DA6">
        <w:rPr>
          <w:rFonts w:ascii="Cambria" w:hAnsi="Cambria" w:cs="Arial"/>
          <w:color w:val="222222"/>
        </w:rPr>
        <w:t>church</w:t>
      </w:r>
      <w:r w:rsidR="00C2017B" w:rsidRPr="009A0DA6">
        <w:rPr>
          <w:rFonts w:ascii="Cambria" w:hAnsi="Cambria" w:cs="Arial"/>
          <w:color w:val="222222"/>
        </w:rPr>
        <w:t>, the c</w:t>
      </w:r>
      <w:r w:rsidRPr="009A0DA6">
        <w:rPr>
          <w:rFonts w:ascii="Cambria" w:hAnsi="Cambria" w:cs="Arial"/>
          <w:color w:val="222222"/>
        </w:rPr>
        <w:t xml:space="preserve">ommission was unable to listen or respond to the terrible pain caused by violence, including sexual violence, within families. </w:t>
      </w:r>
    </w:p>
    <w:p w14:paraId="587BA9FF" w14:textId="5B30920A" w:rsidR="001B46FC" w:rsidRPr="009A0DA6" w:rsidRDefault="001B46FC" w:rsidP="001B46FC">
      <w:pPr>
        <w:shd w:val="clear" w:color="auto" w:fill="FFFFFF"/>
        <w:spacing w:after="0" w:line="240" w:lineRule="auto"/>
        <w:rPr>
          <w:rFonts w:ascii="Cambria" w:hAnsi="Cambria" w:cs="Arial"/>
          <w:color w:val="222222"/>
        </w:rPr>
      </w:pPr>
      <w:r w:rsidRPr="009A0DA6">
        <w:rPr>
          <w:rFonts w:ascii="Cambria" w:hAnsi="Cambria" w:cs="Arial"/>
          <w:color w:val="222222"/>
        </w:rPr>
        <w:t>It went on to highlight that the extent of family violence in our society led the Victorian government to establish a Royal Commission. In the terms of reference it noted:</w:t>
      </w:r>
    </w:p>
    <w:p w14:paraId="1B35916D" w14:textId="17E58BB0" w:rsidR="001B46FC" w:rsidRPr="009A0DA6" w:rsidRDefault="001B46FC" w:rsidP="00F55252">
      <w:pPr>
        <w:pStyle w:val="ListParagraph"/>
        <w:numPr>
          <w:ilvl w:val="0"/>
          <w:numId w:val="114"/>
        </w:numPr>
        <w:shd w:val="clear" w:color="auto" w:fill="FFFFFF"/>
        <w:spacing w:after="0" w:line="240" w:lineRule="auto"/>
        <w:ind w:left="567" w:hanging="567"/>
        <w:rPr>
          <w:rFonts w:ascii="Cambria" w:hAnsi="Cambria" w:cs="Arial"/>
          <w:color w:val="222222"/>
        </w:rPr>
      </w:pPr>
      <w:r w:rsidRPr="009A0DA6">
        <w:rPr>
          <w:rFonts w:ascii="Cambria" w:hAnsi="Cambria" w:cs="Arial"/>
          <w:color w:val="222222"/>
        </w:rPr>
        <w:t>In 2013</w:t>
      </w:r>
      <w:r w:rsidR="00365833" w:rsidRPr="009A0DA6">
        <w:rPr>
          <w:rFonts w:ascii="Cambria" w:hAnsi="Cambria" w:cs="Arial"/>
          <w:color w:val="222222"/>
        </w:rPr>
        <w:t xml:space="preserve">, </w:t>
      </w:r>
      <w:r w:rsidRPr="009A0DA6">
        <w:rPr>
          <w:rFonts w:ascii="Cambria" w:hAnsi="Cambria" w:cs="Arial"/>
          <w:color w:val="222222"/>
        </w:rPr>
        <w:t>14 65,393 family violence incidents were reported to Victorian police;</w:t>
      </w:r>
    </w:p>
    <w:p w14:paraId="7118CAC0" w14:textId="77777777" w:rsidR="001B46FC" w:rsidRPr="009A0DA6" w:rsidRDefault="001B46FC" w:rsidP="00F55252">
      <w:pPr>
        <w:pStyle w:val="ListParagraph"/>
        <w:numPr>
          <w:ilvl w:val="0"/>
          <w:numId w:val="114"/>
        </w:numPr>
        <w:shd w:val="clear" w:color="auto" w:fill="FFFFFF"/>
        <w:spacing w:after="0" w:line="240" w:lineRule="auto"/>
        <w:ind w:left="567" w:hanging="567"/>
        <w:rPr>
          <w:rFonts w:ascii="Cambria" w:hAnsi="Cambria" w:cs="Arial"/>
          <w:color w:val="222222"/>
        </w:rPr>
      </w:pPr>
      <w:r w:rsidRPr="009A0DA6">
        <w:rPr>
          <w:rFonts w:ascii="Cambria" w:hAnsi="Cambria" w:cs="Arial"/>
          <w:color w:val="222222"/>
        </w:rPr>
        <w:t>In 2013, 44 deaths were attributed to family violence;</w:t>
      </w:r>
    </w:p>
    <w:p w14:paraId="5F2724E1" w14:textId="77777777" w:rsidR="001B46FC" w:rsidRPr="009A0DA6" w:rsidRDefault="001B46FC" w:rsidP="00F55252">
      <w:pPr>
        <w:pStyle w:val="ListParagraph"/>
        <w:numPr>
          <w:ilvl w:val="0"/>
          <w:numId w:val="114"/>
        </w:numPr>
        <w:shd w:val="clear" w:color="auto" w:fill="FFFFFF"/>
        <w:spacing w:after="0" w:line="240" w:lineRule="auto"/>
        <w:ind w:left="567" w:hanging="567"/>
        <w:rPr>
          <w:rFonts w:ascii="Cambria" w:hAnsi="Cambria" w:cs="Arial"/>
          <w:color w:val="222222"/>
        </w:rPr>
      </w:pPr>
      <w:r w:rsidRPr="009A0DA6">
        <w:rPr>
          <w:rFonts w:ascii="Cambria" w:hAnsi="Cambria" w:cs="Arial"/>
          <w:color w:val="222222"/>
        </w:rPr>
        <w:t>In economic terms, the cost to the Victorian government in economic terms is over $3b terms;</w:t>
      </w:r>
    </w:p>
    <w:p w14:paraId="237518CE" w14:textId="77777777" w:rsidR="00013152" w:rsidRPr="009A0DA6" w:rsidRDefault="001B46FC" w:rsidP="00F55252">
      <w:pPr>
        <w:pStyle w:val="ListParagraph"/>
        <w:numPr>
          <w:ilvl w:val="0"/>
          <w:numId w:val="114"/>
        </w:numPr>
        <w:shd w:val="clear" w:color="auto" w:fill="FFFFFF"/>
        <w:spacing w:after="0" w:line="240" w:lineRule="auto"/>
        <w:ind w:left="567" w:hanging="567"/>
        <w:rPr>
          <w:rFonts w:ascii="Cambria" w:hAnsi="Cambria" w:cs="Arial"/>
          <w:color w:val="222222"/>
        </w:rPr>
      </w:pPr>
      <w:r w:rsidRPr="009A0DA6">
        <w:rPr>
          <w:rFonts w:ascii="Cambria" w:hAnsi="Cambria" w:cs="Arial"/>
          <w:color w:val="222222"/>
        </w:rPr>
        <w:t>In personal terms, the cost of economic and social dislocation is severe, and has a long term psychological, emotional and physical impact.</w:t>
      </w:r>
    </w:p>
    <w:p w14:paraId="5DDCD9AD" w14:textId="5C74C4EE" w:rsidR="001B46FC" w:rsidRPr="009A0DA6" w:rsidRDefault="001B46FC" w:rsidP="00013152">
      <w:pPr>
        <w:shd w:val="clear" w:color="auto" w:fill="FFFFFF"/>
        <w:spacing w:after="0" w:line="240" w:lineRule="auto"/>
        <w:rPr>
          <w:rFonts w:ascii="Cambria" w:hAnsi="Cambria" w:cs="Arial"/>
          <w:color w:val="222222"/>
          <w:sz w:val="8"/>
        </w:rPr>
      </w:pPr>
      <w:r w:rsidRPr="009A0DA6">
        <w:rPr>
          <w:rFonts w:ascii="Cambria" w:hAnsi="Cambria" w:cs="Arial"/>
          <w:color w:val="222222"/>
        </w:rPr>
        <w:t xml:space="preserve">The situation in Victoria reflects the reality across all states and territories of Australia, and New Zealand. </w:t>
      </w:r>
      <w:r w:rsidRPr="009A0DA6">
        <w:rPr>
          <w:rFonts w:ascii="Cambria" w:hAnsi="Cambria" w:cs="Arial"/>
          <w:color w:val="222222"/>
        </w:rPr>
        <w:br/>
      </w:r>
    </w:p>
    <w:p w14:paraId="7C979EFB" w14:textId="77777777" w:rsidR="001B46FC" w:rsidRPr="009A0DA6" w:rsidRDefault="001B46FC" w:rsidP="001B46FC">
      <w:pPr>
        <w:shd w:val="clear" w:color="auto" w:fill="FFFFFF"/>
        <w:spacing w:after="0" w:line="240" w:lineRule="auto"/>
        <w:rPr>
          <w:rFonts w:ascii="Cambria" w:hAnsi="Cambria" w:cs="Arial"/>
          <w:color w:val="222222"/>
        </w:rPr>
      </w:pPr>
      <w:r w:rsidRPr="009A0DA6">
        <w:rPr>
          <w:rFonts w:ascii="Cambria" w:hAnsi="Cambria" w:cs="Arial"/>
          <w:color w:val="222222"/>
        </w:rPr>
        <w:t>In passing the resolution, General Synod was sharing the community’s deep concern about the scourge of family violence and the scandal of sexual abuse against children.</w:t>
      </w:r>
    </w:p>
    <w:p w14:paraId="793D0C06" w14:textId="77777777" w:rsidR="001B46FC" w:rsidRPr="009A0DA6" w:rsidRDefault="001B46FC" w:rsidP="001B46FC">
      <w:pPr>
        <w:shd w:val="clear" w:color="auto" w:fill="FFFFFF"/>
        <w:spacing w:after="0" w:line="240" w:lineRule="auto"/>
        <w:rPr>
          <w:rFonts w:ascii="Cambria" w:hAnsi="Cambria" w:cs="Arial"/>
          <w:color w:val="222222"/>
          <w:sz w:val="8"/>
        </w:rPr>
      </w:pPr>
    </w:p>
    <w:p w14:paraId="5FBAFAEB" w14:textId="3302A5B9" w:rsidR="001B46FC" w:rsidRPr="009A0DA6" w:rsidRDefault="00365833" w:rsidP="001B46FC">
      <w:pPr>
        <w:shd w:val="clear" w:color="auto" w:fill="FFFFFF"/>
        <w:spacing w:after="0" w:line="240" w:lineRule="auto"/>
        <w:rPr>
          <w:rFonts w:ascii="Cambria" w:hAnsi="Cambria" w:cs="Arial"/>
          <w:color w:val="222222"/>
          <w:shd w:val="clear" w:color="auto" w:fill="FFFFFF"/>
        </w:rPr>
      </w:pPr>
      <w:r w:rsidRPr="009A0DA6">
        <w:rPr>
          <w:rFonts w:ascii="Cambria" w:hAnsi="Cambria" w:cs="Arial"/>
          <w:color w:val="222222"/>
        </w:rPr>
        <w:t>The ‘Hidden Hurts Healing Hearts’</w:t>
      </w:r>
      <w:r w:rsidR="001B46FC" w:rsidRPr="009A0DA6">
        <w:rPr>
          <w:rFonts w:ascii="Cambria" w:hAnsi="Cambria" w:cs="Arial"/>
          <w:color w:val="222222"/>
        </w:rPr>
        <w:t xml:space="preserve"> campaign has made a start, but</w:t>
      </w:r>
      <w:r w:rsidR="001B46FC" w:rsidRPr="009A0DA6">
        <w:rPr>
          <w:rFonts w:ascii="Cambria" w:hAnsi="Cambria" w:cs="Arial"/>
          <w:color w:val="222222"/>
          <w:shd w:val="clear" w:color="auto" w:fill="FFFFFF"/>
        </w:rPr>
        <w:t xml:space="preserve"> needs time to fully implement training and engagement across the church</w:t>
      </w:r>
      <w:r w:rsidR="0027799A" w:rsidRPr="009A0DA6">
        <w:rPr>
          <w:rFonts w:ascii="Cambria" w:hAnsi="Cambria" w:cs="Arial"/>
          <w:color w:val="222222"/>
          <w:shd w:val="clear" w:color="auto" w:fill="FFFFFF"/>
        </w:rPr>
        <w:t xml:space="preserve">. </w:t>
      </w:r>
      <w:r w:rsidR="001B46FC" w:rsidRPr="009A0DA6">
        <w:rPr>
          <w:rFonts w:ascii="Cambria" w:hAnsi="Cambria" w:cs="Arial"/>
          <w:color w:val="222222"/>
          <w:shd w:val="clear" w:color="auto" w:fill="FFFFFF"/>
        </w:rPr>
        <w:t>There is also a need for the development of resources for lay people and varying age groups.</w:t>
      </w:r>
      <w:r w:rsidR="001B46FC" w:rsidRPr="009A0DA6">
        <w:rPr>
          <w:rFonts w:ascii="Cambria" w:hAnsi="Cambria" w:cs="Arial"/>
          <w:color w:val="222222"/>
        </w:rPr>
        <w:t xml:space="preserve"> </w:t>
      </w:r>
      <w:r w:rsidR="001B46FC" w:rsidRPr="009A0DA6">
        <w:rPr>
          <w:rFonts w:ascii="Cambria" w:hAnsi="Cambria"/>
          <w:shd w:val="clear" w:color="auto" w:fill="FFFFFF"/>
        </w:rPr>
        <w:t xml:space="preserve">The </w:t>
      </w:r>
      <w:r w:rsidR="001B46FC" w:rsidRPr="009A0DA6">
        <w:rPr>
          <w:rFonts w:ascii="Cambria" w:hAnsi="Cambria" w:cs="Arial"/>
          <w:color w:val="222222"/>
          <w:shd w:val="clear" w:color="auto" w:fill="FFFFFF"/>
        </w:rPr>
        <w:t>training, beginning with pastors and other church leaders, has commenced in 2018</w:t>
      </w:r>
      <w:r w:rsidR="0027799A" w:rsidRPr="009A0DA6">
        <w:rPr>
          <w:rFonts w:ascii="Cambria" w:hAnsi="Cambria" w:cs="Arial"/>
          <w:color w:val="222222"/>
          <w:shd w:val="clear" w:color="auto" w:fill="FFFFFF"/>
        </w:rPr>
        <w:t xml:space="preserve">. </w:t>
      </w:r>
      <w:r w:rsidR="001B46FC" w:rsidRPr="009A0DA6">
        <w:rPr>
          <w:rFonts w:ascii="Cambria" w:hAnsi="Cambria" w:cs="Arial"/>
          <w:color w:val="222222"/>
          <w:shd w:val="clear" w:color="auto" w:fill="FFFFFF"/>
        </w:rPr>
        <w:t>It will take much of 2019 to begin the roll out of training across the church.</w:t>
      </w:r>
    </w:p>
    <w:p w14:paraId="2338ED67" w14:textId="77777777" w:rsidR="001B46FC" w:rsidRPr="009A0DA6" w:rsidRDefault="001B46FC" w:rsidP="001B46FC">
      <w:pPr>
        <w:shd w:val="clear" w:color="auto" w:fill="FFFFFF"/>
        <w:spacing w:after="0" w:line="240" w:lineRule="auto"/>
        <w:rPr>
          <w:rFonts w:ascii="Cambria" w:hAnsi="Cambria" w:cs="Arial"/>
          <w:color w:val="222222"/>
          <w:sz w:val="10"/>
          <w:shd w:val="clear" w:color="auto" w:fill="FFFFFF"/>
        </w:rPr>
      </w:pPr>
    </w:p>
    <w:p w14:paraId="59F84EB3" w14:textId="7AB2B2D0" w:rsidR="001B46FC" w:rsidRPr="009A0DA6" w:rsidRDefault="001B46FC" w:rsidP="001B46FC">
      <w:pPr>
        <w:shd w:val="clear" w:color="auto" w:fill="FFFFFF"/>
        <w:spacing w:line="240" w:lineRule="auto"/>
        <w:rPr>
          <w:rFonts w:ascii="Cambria" w:hAnsi="Cambria" w:cs="Arial"/>
          <w:color w:val="222222"/>
          <w:shd w:val="clear" w:color="auto" w:fill="FFFFFF"/>
        </w:rPr>
      </w:pPr>
      <w:r w:rsidRPr="009A0DA6">
        <w:rPr>
          <w:rFonts w:ascii="Cambria" w:hAnsi="Cambria" w:cs="Arial"/>
          <w:color w:val="222222"/>
          <w:shd w:val="clear" w:color="auto" w:fill="FFFFFF"/>
        </w:rPr>
        <w:t xml:space="preserve">In addition, the campaign has only begun to develop a research strategy that may increase the </w:t>
      </w:r>
      <w:r w:rsidR="00DB2C41" w:rsidRPr="009A0DA6">
        <w:rPr>
          <w:rFonts w:ascii="Cambria" w:hAnsi="Cambria" w:cs="Arial"/>
          <w:color w:val="222222"/>
          <w:shd w:val="clear" w:color="auto" w:fill="FFFFFF"/>
        </w:rPr>
        <w:t>church</w:t>
      </w:r>
      <w:r w:rsidRPr="009A0DA6">
        <w:rPr>
          <w:rFonts w:ascii="Cambria" w:hAnsi="Cambria" w:cs="Arial"/>
          <w:color w:val="222222"/>
          <w:shd w:val="clear" w:color="auto" w:fill="FFFFFF"/>
        </w:rPr>
        <w:t>’s own understanding and knowledge of the extent of domestic and family violence in its midst. A better understanding of ourselves will help inform means of curbing its impact on partners, children and church communities.</w:t>
      </w:r>
    </w:p>
    <w:p w14:paraId="028CC409" w14:textId="69F43467" w:rsidR="0001243B" w:rsidRPr="009A0DA6" w:rsidRDefault="0001243B" w:rsidP="00964A90">
      <w:pPr>
        <w:pStyle w:val="Heading3"/>
      </w:pPr>
      <w:r w:rsidRPr="009A0DA6">
        <w:lastRenderedPageBreak/>
        <w:t>agenda 2.2.1</w:t>
      </w:r>
      <w:r w:rsidR="00174A5E" w:rsidRPr="009A0DA6">
        <w:t>5</w:t>
      </w:r>
    </w:p>
    <w:p w14:paraId="6D49410B" w14:textId="4B99E988" w:rsidR="0001243B" w:rsidRPr="009A0DA6" w:rsidRDefault="0001243B" w:rsidP="005D571C">
      <w:pPr>
        <w:pStyle w:val="Heading2"/>
      </w:pPr>
      <w:bookmarkStart w:id="69" w:name="_Toc521954612"/>
      <w:bookmarkStart w:id="70" w:name="_Toc522394977"/>
      <w:r w:rsidRPr="009A0DA6">
        <w:t xml:space="preserve">Expansion of </w:t>
      </w:r>
      <w:r w:rsidR="002F429B" w:rsidRPr="009A0DA6">
        <w:t xml:space="preserve">‘New Home New Community </w:t>
      </w:r>
      <w:r w:rsidR="00D04794" w:rsidRPr="009A0DA6">
        <w:br/>
      </w:r>
      <w:r w:rsidR="002F429B" w:rsidRPr="009A0DA6">
        <w:t xml:space="preserve">New Hope’ </w:t>
      </w:r>
      <w:r w:rsidRPr="009A0DA6">
        <w:t>training project</w:t>
      </w:r>
      <w:bookmarkEnd w:id="69"/>
      <w:bookmarkEnd w:id="70"/>
      <w:r w:rsidRPr="009A0DA6">
        <w:t xml:space="preserve"> </w:t>
      </w:r>
    </w:p>
    <w:p w14:paraId="2E51308C" w14:textId="77777777" w:rsidR="0037789C" w:rsidRPr="009A0DA6" w:rsidRDefault="0037789C" w:rsidP="0037789C">
      <w:pPr>
        <w:pStyle w:val="NoSpacing"/>
      </w:pPr>
    </w:p>
    <w:p w14:paraId="1B2D8EF1" w14:textId="77777777" w:rsidR="001B46FC" w:rsidRPr="009A0DA6" w:rsidRDefault="001B46FC" w:rsidP="001B46FC">
      <w:pPr>
        <w:pStyle w:val="Heading3"/>
        <w:rPr>
          <w:rFonts w:eastAsia="Times New Roman"/>
          <w:lang w:eastAsia="en-AU"/>
        </w:rPr>
      </w:pPr>
      <w:r w:rsidRPr="009A0DA6">
        <w:rPr>
          <w:rFonts w:eastAsia="Times New Roman"/>
          <w:lang w:eastAsia="en-AU"/>
        </w:rPr>
        <w:t>PROPOSED MOTION</w:t>
      </w:r>
    </w:p>
    <w:p w14:paraId="3DD16F32" w14:textId="77777777" w:rsidR="001B46FC" w:rsidRPr="009A0DA6" w:rsidRDefault="001B46FC" w:rsidP="001B46FC">
      <w:pPr>
        <w:shd w:val="clear" w:color="auto" w:fill="FFFFFF"/>
        <w:spacing w:after="120" w:line="22" w:lineRule="atLeast"/>
        <w:rPr>
          <w:rFonts w:ascii="Cambria" w:hAnsi="Cambria" w:cs="Arial"/>
          <w:i/>
          <w:shd w:val="clear" w:color="auto" w:fill="FFFFFF"/>
        </w:rPr>
      </w:pPr>
      <w:r w:rsidRPr="009A0DA6">
        <w:rPr>
          <w:rFonts w:ascii="Cambria" w:eastAsia="Times New Roman" w:hAnsi="Cambria" w:cs="Times New Roman"/>
          <w:bCs/>
          <w:i/>
          <w:lang w:eastAsia="en-AU"/>
        </w:rPr>
        <w:t xml:space="preserve">Submitted by </w:t>
      </w:r>
      <w:r w:rsidRPr="009A0DA6">
        <w:rPr>
          <w:rFonts w:ascii="Cambria" w:hAnsi="Cambria"/>
          <w:i/>
        </w:rPr>
        <w:t>Commission for Social and Bioethical Questions</w:t>
      </w:r>
    </w:p>
    <w:p w14:paraId="26A39B1F" w14:textId="77777777" w:rsidR="001B46FC" w:rsidRPr="009A0DA6" w:rsidRDefault="001B46FC" w:rsidP="001B46FC">
      <w:pPr>
        <w:shd w:val="clear" w:color="auto" w:fill="FFFFFF"/>
        <w:tabs>
          <w:tab w:val="left" w:pos="3596"/>
        </w:tabs>
        <w:spacing w:line="240" w:lineRule="auto"/>
        <w:rPr>
          <w:rFonts w:ascii="Cambria" w:eastAsia="Arial Unicode MS" w:hAnsi="Cambria" w:cs="Arial Unicode MS"/>
          <w:bCs/>
          <w:color w:val="000000"/>
          <w:lang w:eastAsia="en-AU"/>
        </w:rPr>
      </w:pPr>
      <w:r w:rsidRPr="009A0DA6">
        <w:rPr>
          <w:rFonts w:ascii="Cambria" w:eastAsia="Times New Roman" w:hAnsi="Cambria" w:cs="Times New Roman"/>
          <w:b/>
          <w:bCs/>
          <w:color w:val="222222"/>
          <w:lang w:eastAsia="en-AU"/>
        </w:rPr>
        <w:t xml:space="preserve">BE IT RESOLVED </w:t>
      </w:r>
      <w:r w:rsidRPr="009A0DA6">
        <w:rPr>
          <w:rFonts w:ascii="Cambria" w:eastAsia="Times New Roman" w:hAnsi="Cambria" w:cs="Times New Roman"/>
          <w:bCs/>
          <w:color w:val="222222"/>
          <w:lang w:eastAsia="en-AU"/>
        </w:rPr>
        <w:t>t</w:t>
      </w:r>
      <w:r w:rsidRPr="009A0DA6">
        <w:rPr>
          <w:rFonts w:ascii="Cambria" w:hAnsi="Cambria"/>
          <w:bCs/>
        </w:rPr>
        <w:t xml:space="preserve">hat Synod encourage the expansion of the ‘New Home New Community New Hope’ training project into congregations of the LCA, in order to foster a culture of welcome to new arrivals from a refugee background and that the LCA provide the needed resources to do so. </w:t>
      </w:r>
    </w:p>
    <w:p w14:paraId="6D82B273" w14:textId="20565D78" w:rsidR="001B46FC" w:rsidRPr="009A0DA6" w:rsidRDefault="00FB59B1" w:rsidP="00D04794">
      <w:pPr>
        <w:pStyle w:val="Heading3"/>
        <w:rPr>
          <w:rFonts w:eastAsia="Times New Roman"/>
          <w:lang w:eastAsia="en-AU"/>
        </w:rPr>
      </w:pPr>
      <w:r w:rsidRPr="009A0DA6">
        <w:rPr>
          <w:rFonts w:eastAsia="Times New Roman"/>
          <w:lang w:eastAsia="en-AU"/>
        </w:rPr>
        <w:t>REASONS FOR THE MOTION</w:t>
      </w:r>
    </w:p>
    <w:p w14:paraId="4A04DCD7" w14:textId="77777777" w:rsidR="001B46FC" w:rsidRPr="009A0DA6" w:rsidRDefault="001B46FC" w:rsidP="00F55252">
      <w:pPr>
        <w:pStyle w:val="ListParagraph"/>
        <w:numPr>
          <w:ilvl w:val="0"/>
          <w:numId w:val="116"/>
        </w:numPr>
        <w:spacing w:after="0" w:line="276" w:lineRule="auto"/>
        <w:ind w:left="567" w:hanging="567"/>
        <w:rPr>
          <w:rFonts w:ascii="Cambria" w:eastAsiaTheme="minorHAnsi" w:hAnsi="Cambria" w:cs="Arial"/>
          <w:lang w:eastAsia="en-US"/>
        </w:rPr>
      </w:pPr>
      <w:r w:rsidRPr="009A0DA6">
        <w:rPr>
          <w:rFonts w:ascii="Cambria" w:hAnsi="Cambria" w:cs="Arial"/>
        </w:rPr>
        <w:t>At the 2015 General convention of Synod the following proposal was passed unanimously.</w:t>
      </w:r>
    </w:p>
    <w:p w14:paraId="3798EFB5" w14:textId="2334412D" w:rsidR="001B46FC" w:rsidRPr="009A0DA6" w:rsidRDefault="001B46FC" w:rsidP="001B46FC">
      <w:pPr>
        <w:pStyle w:val="ListParagraph"/>
        <w:spacing w:after="0"/>
        <w:ind w:left="567"/>
        <w:rPr>
          <w:rFonts w:ascii="Cambria" w:hAnsi="Cambria" w:cs="Arial"/>
          <w:b/>
        </w:rPr>
      </w:pPr>
      <w:r w:rsidRPr="009A0DA6">
        <w:rPr>
          <w:rFonts w:ascii="Cambria" w:hAnsi="Cambria" w:cs="Arial"/>
          <w:i/>
        </w:rPr>
        <w:t>That Synod encourages congregations and individuals, and affirms those who are already active in their support, to welcome new arrivals from refugee backgrounds to their communities and that they work to understand their specific needs and actively support them in their resettlement</w:t>
      </w:r>
      <w:r w:rsidRPr="009A0DA6">
        <w:rPr>
          <w:rFonts w:ascii="Cambria" w:hAnsi="Cambria" w:cs="Arial"/>
          <w:b/>
        </w:rPr>
        <w:t>.</w:t>
      </w:r>
      <w:r w:rsidRPr="009A0DA6">
        <w:rPr>
          <w:rFonts w:ascii="Cambria" w:hAnsi="Cambria" w:cs="Arial"/>
          <w:b/>
        </w:rPr>
        <w:br/>
      </w:r>
    </w:p>
    <w:p w14:paraId="0130D729" w14:textId="26B51B27" w:rsidR="001B46FC" w:rsidRPr="009A0DA6" w:rsidRDefault="001B46FC" w:rsidP="00F55252">
      <w:pPr>
        <w:pStyle w:val="ListParagraph"/>
        <w:numPr>
          <w:ilvl w:val="0"/>
          <w:numId w:val="116"/>
        </w:numPr>
        <w:spacing w:after="0" w:line="276" w:lineRule="auto"/>
        <w:ind w:left="567" w:hanging="567"/>
        <w:rPr>
          <w:rFonts w:ascii="Cambria" w:hAnsi="Cambria" w:cs="Arial"/>
        </w:rPr>
      </w:pPr>
      <w:r w:rsidRPr="009A0DA6">
        <w:rPr>
          <w:rFonts w:ascii="Cambria" w:hAnsi="Cambria" w:cs="Arial"/>
        </w:rPr>
        <w:t>This proposal encouraged all church members to advocate for the vulnerable and to speak out against injustice, as well as providing hospitality and community support.</w:t>
      </w:r>
      <w:r w:rsidRPr="009A0DA6">
        <w:rPr>
          <w:rFonts w:ascii="Cambria" w:hAnsi="Cambria" w:cs="Arial"/>
        </w:rPr>
        <w:br/>
      </w:r>
    </w:p>
    <w:p w14:paraId="49BB02A8" w14:textId="17024739" w:rsidR="001B46FC" w:rsidRPr="009A0DA6" w:rsidRDefault="001B46FC" w:rsidP="00F55252">
      <w:pPr>
        <w:pStyle w:val="ListParagraph"/>
        <w:numPr>
          <w:ilvl w:val="0"/>
          <w:numId w:val="116"/>
        </w:numPr>
        <w:spacing w:after="0" w:line="276" w:lineRule="auto"/>
        <w:ind w:left="567" w:hanging="567"/>
        <w:rPr>
          <w:rFonts w:ascii="Cambria" w:hAnsi="Cambria" w:cs="Arial"/>
        </w:rPr>
      </w:pPr>
      <w:r w:rsidRPr="009A0DA6">
        <w:rPr>
          <w:rFonts w:ascii="Cambria" w:hAnsi="Cambria" w:cs="Arial"/>
        </w:rPr>
        <w:t xml:space="preserve">During the past synodical term, Lutheran Community Care SA/NT obtained funding from Act for Peace to develop and run cultural awareness training for </w:t>
      </w:r>
      <w:r w:rsidR="00365833" w:rsidRPr="009A0DA6">
        <w:rPr>
          <w:rFonts w:ascii="Cambria" w:hAnsi="Cambria" w:cs="Arial"/>
        </w:rPr>
        <w:t>ten Lutheran c</w:t>
      </w:r>
      <w:r w:rsidRPr="009A0DA6">
        <w:rPr>
          <w:rFonts w:ascii="Cambria" w:hAnsi="Cambria" w:cs="Arial"/>
        </w:rPr>
        <w:t xml:space="preserve">ongregations across the LCA. The sessions were called </w:t>
      </w:r>
      <w:r w:rsidR="00365833" w:rsidRPr="009A0DA6">
        <w:rPr>
          <w:rFonts w:ascii="Cambria" w:hAnsi="Cambria" w:cs="Arial"/>
        </w:rPr>
        <w:t>‘</w:t>
      </w:r>
      <w:r w:rsidRPr="009A0DA6">
        <w:rPr>
          <w:rFonts w:ascii="Cambria" w:hAnsi="Cambria" w:cs="Arial"/>
        </w:rPr>
        <w:t>New Home, New Community, New Hope</w:t>
      </w:r>
      <w:r w:rsidR="00365833" w:rsidRPr="009A0DA6">
        <w:rPr>
          <w:rFonts w:ascii="Cambria" w:hAnsi="Cambria" w:cs="Arial"/>
        </w:rPr>
        <w:t>’</w:t>
      </w:r>
      <w:r w:rsidRPr="009A0DA6">
        <w:rPr>
          <w:rFonts w:ascii="Cambria" w:hAnsi="Cambria" w:cs="Arial"/>
        </w:rPr>
        <w:t xml:space="preserve"> and were designed to encourage a culture of welcome in our church communities, with a focus on Syrian and Iraqi refugees, in order to support new arrivals from a refugee background.</w:t>
      </w:r>
      <w:r w:rsidRPr="009A0DA6">
        <w:rPr>
          <w:rFonts w:ascii="Cambria" w:hAnsi="Cambria" w:cs="Arial"/>
        </w:rPr>
        <w:br/>
      </w:r>
    </w:p>
    <w:p w14:paraId="2661BACE" w14:textId="324546DE" w:rsidR="001B46FC" w:rsidRPr="009A0DA6" w:rsidRDefault="001B46FC" w:rsidP="00F55252">
      <w:pPr>
        <w:pStyle w:val="ListParagraph"/>
        <w:numPr>
          <w:ilvl w:val="0"/>
          <w:numId w:val="116"/>
        </w:numPr>
        <w:spacing w:after="0" w:line="276" w:lineRule="auto"/>
        <w:ind w:left="567" w:hanging="567"/>
        <w:rPr>
          <w:rFonts w:ascii="Cambria" w:hAnsi="Cambria" w:cs="Arial"/>
        </w:rPr>
      </w:pPr>
      <w:r w:rsidRPr="009A0DA6">
        <w:rPr>
          <w:rFonts w:ascii="Cambria" w:hAnsi="Cambria" w:cs="Arial"/>
        </w:rPr>
        <w:t>The</w:t>
      </w:r>
      <w:r w:rsidR="00365833" w:rsidRPr="009A0DA6">
        <w:rPr>
          <w:rFonts w:ascii="Cambria" w:hAnsi="Cambria" w:cs="Arial"/>
        </w:rPr>
        <w:t xml:space="preserve"> Commission on Social and Bioethical Questions</w:t>
      </w:r>
      <w:r w:rsidRPr="009A0DA6">
        <w:rPr>
          <w:rFonts w:ascii="Cambria" w:hAnsi="Cambria" w:cs="Arial"/>
        </w:rPr>
        <w:t xml:space="preserve"> </w:t>
      </w:r>
      <w:r w:rsidR="00365833" w:rsidRPr="009A0DA6">
        <w:rPr>
          <w:rFonts w:ascii="Cambria" w:hAnsi="Cambria" w:cs="Arial"/>
        </w:rPr>
        <w:t>(</w:t>
      </w:r>
      <w:r w:rsidRPr="009A0DA6">
        <w:rPr>
          <w:rFonts w:ascii="Cambria" w:hAnsi="Cambria" w:cs="Arial"/>
        </w:rPr>
        <w:t>CSBQ</w:t>
      </w:r>
      <w:r w:rsidR="00365833" w:rsidRPr="009A0DA6">
        <w:rPr>
          <w:rFonts w:ascii="Cambria" w:hAnsi="Cambria" w:cs="Arial"/>
        </w:rPr>
        <w:t>)</w:t>
      </w:r>
      <w:r w:rsidRPr="009A0DA6">
        <w:rPr>
          <w:rFonts w:ascii="Cambria" w:hAnsi="Cambria" w:cs="Arial"/>
        </w:rPr>
        <w:t xml:space="preserve"> is proposing that this project should expand to reach more congregations and to be inclusive of groups beyond Syrian and Iraqi refugees.</w:t>
      </w:r>
      <w:r w:rsidRPr="009A0DA6">
        <w:rPr>
          <w:rFonts w:ascii="Cambria" w:hAnsi="Cambria" w:cs="Arial"/>
        </w:rPr>
        <w:br/>
      </w:r>
    </w:p>
    <w:p w14:paraId="0E4832A0" w14:textId="66DF3558" w:rsidR="001B46FC" w:rsidRPr="009A0DA6" w:rsidRDefault="001B46FC" w:rsidP="00F55252">
      <w:pPr>
        <w:pStyle w:val="ListParagraph"/>
        <w:numPr>
          <w:ilvl w:val="0"/>
          <w:numId w:val="116"/>
        </w:numPr>
        <w:spacing w:after="0" w:line="276" w:lineRule="auto"/>
        <w:ind w:left="567" w:hanging="567"/>
        <w:rPr>
          <w:rFonts w:ascii="Cambria" w:hAnsi="Cambria" w:cs="Arial"/>
        </w:rPr>
      </w:pPr>
      <w:r w:rsidRPr="009A0DA6">
        <w:rPr>
          <w:rFonts w:ascii="Cambria" w:hAnsi="Cambria" w:cs="Arial"/>
        </w:rPr>
        <w:t xml:space="preserve">In order to do this it will need the encouragement of General </w:t>
      </w:r>
      <w:r w:rsidR="00365833" w:rsidRPr="009A0DA6">
        <w:rPr>
          <w:rFonts w:ascii="Cambria" w:hAnsi="Cambria" w:cs="Arial"/>
        </w:rPr>
        <w:t>Synod</w:t>
      </w:r>
      <w:r w:rsidRPr="009A0DA6">
        <w:rPr>
          <w:rFonts w:ascii="Cambria" w:hAnsi="Cambria" w:cs="Arial"/>
        </w:rPr>
        <w:t xml:space="preserve"> and resourcing.</w:t>
      </w:r>
    </w:p>
    <w:p w14:paraId="29BA60C5" w14:textId="77777777" w:rsidR="0001243B" w:rsidRPr="009A0DA6" w:rsidRDefault="0001243B" w:rsidP="0001243B">
      <w:pPr>
        <w:pStyle w:val="NoSpacing"/>
      </w:pPr>
    </w:p>
    <w:p w14:paraId="3BA1C1B6" w14:textId="77777777" w:rsidR="00D04794" w:rsidRPr="009A0DA6" w:rsidRDefault="00D04794">
      <w:pPr>
        <w:rPr>
          <w:rFonts w:ascii="Cambria" w:eastAsiaTheme="majorEastAsia" w:hAnsi="Cambria" w:cstheme="majorBidi"/>
          <w:b/>
          <w:caps/>
          <w:sz w:val="28"/>
          <w:szCs w:val="24"/>
        </w:rPr>
      </w:pPr>
      <w:r w:rsidRPr="009A0DA6">
        <w:rPr>
          <w:rFonts w:ascii="Cambria" w:hAnsi="Cambria"/>
        </w:rPr>
        <w:br w:type="page"/>
      </w:r>
    </w:p>
    <w:p w14:paraId="6E1F1EF6" w14:textId="6AA0F346" w:rsidR="0001243B" w:rsidRPr="009A0DA6" w:rsidRDefault="0001243B" w:rsidP="00964A90">
      <w:pPr>
        <w:pStyle w:val="Heading3"/>
      </w:pPr>
      <w:r w:rsidRPr="009A0DA6">
        <w:lastRenderedPageBreak/>
        <w:t>agenda 2.2.1</w:t>
      </w:r>
      <w:r w:rsidR="00174A5E" w:rsidRPr="009A0DA6">
        <w:t>6</w:t>
      </w:r>
    </w:p>
    <w:p w14:paraId="3AF3A274" w14:textId="29012FD5" w:rsidR="0001243B" w:rsidRPr="009A0DA6" w:rsidRDefault="0001243B" w:rsidP="005D571C">
      <w:pPr>
        <w:pStyle w:val="Heading2"/>
      </w:pPr>
      <w:bookmarkStart w:id="71" w:name="_Toc521954613"/>
      <w:bookmarkStart w:id="72" w:name="_Toc522394978"/>
      <w:r w:rsidRPr="009A0DA6">
        <w:t xml:space="preserve">Australian Lutheran </w:t>
      </w:r>
      <w:r w:rsidR="0037789C" w:rsidRPr="009A0DA6">
        <w:t xml:space="preserve">College </w:t>
      </w:r>
      <w:r w:rsidR="00174A5E" w:rsidRPr="009A0DA6">
        <w:t>c</w:t>
      </w:r>
      <w:r w:rsidR="0037789C" w:rsidRPr="009A0DA6">
        <w:t>onstitution</w:t>
      </w:r>
      <w:bookmarkEnd w:id="71"/>
      <w:bookmarkEnd w:id="72"/>
      <w:r w:rsidR="0037789C" w:rsidRPr="009A0DA6">
        <w:t xml:space="preserve"> </w:t>
      </w:r>
    </w:p>
    <w:p w14:paraId="2FAC02F3" w14:textId="77777777" w:rsidR="0037789C" w:rsidRPr="009A0DA6" w:rsidRDefault="0037789C" w:rsidP="0037789C">
      <w:pPr>
        <w:pStyle w:val="NoSpacing"/>
      </w:pPr>
    </w:p>
    <w:p w14:paraId="214D0D54" w14:textId="77777777" w:rsidR="001B46FC" w:rsidRPr="009A0DA6" w:rsidRDefault="001B46FC" w:rsidP="001B46FC">
      <w:pPr>
        <w:pStyle w:val="Heading3"/>
        <w:rPr>
          <w:rFonts w:eastAsia="Times New Roman"/>
          <w:lang w:eastAsia="en-AU"/>
        </w:rPr>
      </w:pPr>
      <w:r w:rsidRPr="009A0DA6">
        <w:rPr>
          <w:rFonts w:eastAsia="Times New Roman"/>
          <w:lang w:eastAsia="en-AU"/>
        </w:rPr>
        <w:t>PROPOSED MOTION</w:t>
      </w:r>
    </w:p>
    <w:p w14:paraId="24050D7C" w14:textId="77777777" w:rsidR="001B46FC" w:rsidRPr="009A0DA6" w:rsidRDefault="001B46FC" w:rsidP="001B46FC">
      <w:pPr>
        <w:shd w:val="clear" w:color="auto" w:fill="FFFFFF"/>
        <w:spacing w:after="120" w:line="22" w:lineRule="atLeast"/>
        <w:rPr>
          <w:rFonts w:ascii="Cambria" w:hAnsi="Cambria"/>
          <w:b/>
          <w:i/>
        </w:rPr>
      </w:pPr>
      <w:r w:rsidRPr="009A0DA6">
        <w:rPr>
          <w:rFonts w:ascii="Cambria" w:eastAsia="Times New Roman" w:hAnsi="Cambria" w:cs="Times New Roman"/>
          <w:bCs/>
          <w:i/>
          <w:lang w:eastAsia="en-AU"/>
        </w:rPr>
        <w:t xml:space="preserve">Submitted by Board of Directors of </w:t>
      </w:r>
      <w:r w:rsidRPr="009A0DA6">
        <w:rPr>
          <w:rFonts w:ascii="Cambria" w:hAnsi="Cambria"/>
          <w:i/>
        </w:rPr>
        <w:t>Australian Lutheran College</w:t>
      </w:r>
    </w:p>
    <w:p w14:paraId="70E309D6" w14:textId="625A8AB1" w:rsidR="001B46FC" w:rsidRPr="009A0DA6" w:rsidRDefault="00365833" w:rsidP="001B46FC">
      <w:pPr>
        <w:spacing w:after="0" w:line="22" w:lineRule="atLeast"/>
        <w:rPr>
          <w:rFonts w:ascii="Cambria" w:eastAsia="Times New Roman" w:hAnsi="Cambria" w:cs="Times New Roman"/>
          <w:bCs/>
          <w:color w:val="222222"/>
          <w:lang w:eastAsia="en-AU"/>
        </w:rPr>
      </w:pPr>
      <w:r w:rsidRPr="009A0DA6">
        <w:rPr>
          <w:rFonts w:ascii="Cambria" w:eastAsia="Times New Roman" w:hAnsi="Cambria" w:cs="Times New Roman"/>
          <w:b/>
          <w:bCs/>
          <w:color w:val="222222"/>
          <w:lang w:eastAsia="en-AU"/>
        </w:rPr>
        <w:t>BE  IT</w:t>
      </w:r>
      <w:r w:rsidR="001B46FC" w:rsidRPr="009A0DA6">
        <w:rPr>
          <w:rFonts w:ascii="Cambria" w:eastAsia="Times New Roman" w:hAnsi="Cambria" w:cs="Times New Roman"/>
          <w:b/>
          <w:bCs/>
          <w:color w:val="222222"/>
          <w:lang w:eastAsia="en-AU"/>
        </w:rPr>
        <w:t xml:space="preserve"> RESOLVED  </w:t>
      </w:r>
      <w:r w:rsidR="001B46FC" w:rsidRPr="009A0DA6">
        <w:rPr>
          <w:rFonts w:ascii="Cambria" w:eastAsia="Times New Roman" w:hAnsi="Cambria" w:cs="Times New Roman"/>
          <w:bCs/>
          <w:color w:val="222222"/>
          <w:lang w:eastAsia="en-AU"/>
        </w:rPr>
        <w:t>that General Convention approves the new ALC Constitution</w:t>
      </w:r>
    </w:p>
    <w:p w14:paraId="50FD54FF" w14:textId="77777777" w:rsidR="001B46FC" w:rsidRPr="009A0DA6" w:rsidRDefault="001B46FC" w:rsidP="001B46FC">
      <w:pPr>
        <w:shd w:val="clear" w:color="auto" w:fill="FFFFFF"/>
        <w:spacing w:after="0" w:line="240" w:lineRule="auto"/>
        <w:rPr>
          <w:rFonts w:ascii="Cambria" w:eastAsia="Times New Roman" w:hAnsi="Cambria" w:cs="Times New Roman"/>
          <w:bCs/>
          <w:color w:val="222222"/>
          <w:lang w:eastAsia="en-AU"/>
        </w:rPr>
      </w:pPr>
    </w:p>
    <w:p w14:paraId="21B29707" w14:textId="0FBAB8C7" w:rsidR="001B46FC" w:rsidRPr="009A0DA6" w:rsidRDefault="00FB59B1" w:rsidP="00D04794">
      <w:pPr>
        <w:pStyle w:val="Heading3"/>
        <w:rPr>
          <w:rFonts w:eastAsia="Times New Roman"/>
          <w:lang w:eastAsia="en-AU"/>
        </w:rPr>
      </w:pPr>
      <w:r w:rsidRPr="009A0DA6">
        <w:rPr>
          <w:rFonts w:eastAsia="Times New Roman"/>
          <w:lang w:eastAsia="en-AU"/>
        </w:rPr>
        <w:t>REASONS FOR THE MOTION</w:t>
      </w:r>
    </w:p>
    <w:p w14:paraId="710942F1" w14:textId="77777777" w:rsidR="001B46FC" w:rsidRPr="009A0DA6" w:rsidRDefault="001B46FC" w:rsidP="001B46FC">
      <w:pPr>
        <w:shd w:val="clear" w:color="auto" w:fill="FFFFFF"/>
        <w:spacing w:after="0" w:line="240" w:lineRule="auto"/>
        <w:rPr>
          <w:rFonts w:ascii="Cambria" w:hAnsi="Cambria" w:cs="Arial"/>
          <w:color w:val="222222"/>
          <w:shd w:val="clear" w:color="auto" w:fill="FFFFFF"/>
        </w:rPr>
      </w:pPr>
      <w:r w:rsidRPr="009A0DA6">
        <w:rPr>
          <w:rFonts w:ascii="Cambria" w:hAnsi="Cambria" w:cs="Arial"/>
          <w:color w:val="222222"/>
          <w:shd w:val="clear" w:color="auto" w:fill="FFFFFF"/>
        </w:rPr>
        <w:t xml:space="preserve">The Board of Australian Lutheran College (ALC) has prepared a new Constitution in order to bring ALC’s governing structures into alignment with the Strategic Direction that has been set by the Board and approved by GCC. </w:t>
      </w:r>
    </w:p>
    <w:p w14:paraId="0B5A18E1" w14:textId="77777777" w:rsidR="001B46FC" w:rsidRPr="009A0DA6" w:rsidRDefault="001B46FC" w:rsidP="001B46FC">
      <w:pPr>
        <w:shd w:val="clear" w:color="auto" w:fill="FFFFFF"/>
        <w:spacing w:after="0" w:line="240" w:lineRule="auto"/>
        <w:rPr>
          <w:rFonts w:ascii="Cambria" w:hAnsi="Cambria" w:cs="Arial"/>
          <w:color w:val="222222"/>
          <w:shd w:val="clear" w:color="auto" w:fill="FFFFFF"/>
        </w:rPr>
      </w:pPr>
    </w:p>
    <w:p w14:paraId="1A7936FF" w14:textId="77777777" w:rsidR="001B46FC" w:rsidRPr="009A0DA6" w:rsidRDefault="001B46FC" w:rsidP="001B46FC">
      <w:pPr>
        <w:shd w:val="clear" w:color="auto" w:fill="FFFFFF"/>
        <w:spacing w:after="0" w:line="240" w:lineRule="auto"/>
        <w:rPr>
          <w:rFonts w:ascii="Cambria" w:hAnsi="Cambria" w:cs="Arial"/>
          <w:color w:val="222222"/>
          <w:shd w:val="clear" w:color="auto" w:fill="FFFFFF"/>
        </w:rPr>
      </w:pPr>
      <w:r w:rsidRPr="009A0DA6">
        <w:rPr>
          <w:rFonts w:ascii="Cambria" w:hAnsi="Cambria" w:cs="Arial"/>
          <w:color w:val="222222"/>
          <w:shd w:val="clear" w:color="auto" w:fill="FFFFFF"/>
        </w:rPr>
        <w:t>The new Constitution has also been prepared to be compliant with the Australian Charities and Not-for-profits Commission (ACNC), which is the independent national regulator of charities, with whom ALC is a registered member.</w:t>
      </w:r>
    </w:p>
    <w:p w14:paraId="3862339D" w14:textId="53AE954F" w:rsidR="001B46FC" w:rsidRPr="009A0DA6" w:rsidRDefault="001B46FC" w:rsidP="001B46FC">
      <w:pPr>
        <w:spacing w:before="120"/>
        <w:jc w:val="center"/>
        <w:rPr>
          <w:rFonts w:ascii="Cambria" w:hAnsi="Cambria" w:cstheme="majorHAnsi"/>
          <w:b/>
        </w:rPr>
      </w:pPr>
      <w:r w:rsidRPr="009A0DA6">
        <w:rPr>
          <w:rFonts w:ascii="Cambria" w:hAnsi="Cambria"/>
          <w:b/>
        </w:rPr>
        <w:t>CONSTITUTION</w:t>
      </w:r>
      <w:r w:rsidRPr="009A0DA6">
        <w:rPr>
          <w:rFonts w:ascii="Cambria" w:hAnsi="Cambria"/>
          <w:b/>
        </w:rPr>
        <w:br/>
      </w:r>
      <w:r w:rsidRPr="009A0DA6">
        <w:rPr>
          <w:rFonts w:ascii="Cambria" w:hAnsi="Cambria" w:cstheme="majorHAnsi"/>
          <w:b/>
        </w:rPr>
        <w:t>of</w:t>
      </w:r>
      <w:r w:rsidRPr="009A0DA6">
        <w:rPr>
          <w:rFonts w:ascii="Cambria" w:hAnsi="Cambria" w:cstheme="majorHAnsi"/>
          <w:b/>
        </w:rPr>
        <w:br/>
        <w:t>Australian Lutheran College</w:t>
      </w:r>
    </w:p>
    <w:p w14:paraId="2E9666DE" w14:textId="77777777" w:rsidR="001B46FC" w:rsidRPr="009A0DA6" w:rsidRDefault="001B46FC" w:rsidP="001B46FC">
      <w:pPr>
        <w:tabs>
          <w:tab w:val="left" w:pos="709"/>
          <w:tab w:val="left" w:pos="1559"/>
          <w:tab w:val="left" w:pos="2552"/>
          <w:tab w:val="left" w:pos="3544"/>
          <w:tab w:val="left" w:pos="4820"/>
        </w:tabs>
        <w:spacing w:after="0" w:line="240" w:lineRule="auto"/>
        <w:jc w:val="center"/>
        <w:rPr>
          <w:rFonts w:ascii="Cambria" w:hAnsi="Cambria" w:cstheme="majorHAnsi"/>
        </w:rPr>
      </w:pPr>
      <w:r w:rsidRPr="009A0DA6">
        <w:rPr>
          <w:rFonts w:ascii="Cambria" w:hAnsi="Cambria" w:cstheme="majorHAnsi"/>
        </w:rPr>
        <w:t>Australian Company Number (ACN) 108602151</w:t>
      </w:r>
    </w:p>
    <w:p w14:paraId="73FD0FDC" w14:textId="77777777" w:rsidR="001B46FC" w:rsidRPr="009A0DA6" w:rsidRDefault="001B46FC" w:rsidP="001B46FC">
      <w:pPr>
        <w:tabs>
          <w:tab w:val="left" w:pos="709"/>
          <w:tab w:val="left" w:pos="1559"/>
          <w:tab w:val="left" w:pos="2552"/>
          <w:tab w:val="left" w:pos="3544"/>
          <w:tab w:val="left" w:pos="4820"/>
        </w:tabs>
        <w:spacing w:after="0" w:line="240" w:lineRule="auto"/>
        <w:jc w:val="center"/>
        <w:rPr>
          <w:rFonts w:ascii="Cambria" w:hAnsi="Cambria" w:cstheme="majorHAnsi"/>
        </w:rPr>
      </w:pPr>
      <w:r w:rsidRPr="009A0DA6">
        <w:rPr>
          <w:rFonts w:ascii="Cambria" w:hAnsi="Cambria" w:cstheme="majorHAnsi"/>
        </w:rPr>
        <w:t>Australian Business Number (ABN) 19108602151</w:t>
      </w:r>
    </w:p>
    <w:p w14:paraId="2CD35FB4" w14:textId="77777777" w:rsidR="001817EA" w:rsidRDefault="001B46FC" w:rsidP="001817EA">
      <w:pPr>
        <w:tabs>
          <w:tab w:val="left" w:pos="709"/>
          <w:tab w:val="left" w:pos="1559"/>
          <w:tab w:val="left" w:pos="2552"/>
          <w:tab w:val="left" w:pos="3544"/>
          <w:tab w:val="left" w:pos="4820"/>
        </w:tabs>
        <w:spacing w:after="0" w:line="240" w:lineRule="auto"/>
        <w:jc w:val="center"/>
        <w:rPr>
          <w:rFonts w:ascii="Cambria" w:hAnsi="Cambria" w:cstheme="majorHAnsi"/>
        </w:rPr>
      </w:pPr>
      <w:r w:rsidRPr="009A0DA6">
        <w:rPr>
          <w:rFonts w:ascii="Cambria" w:hAnsi="Cambria" w:cstheme="majorHAnsi"/>
          <w:sz w:val="14"/>
        </w:rPr>
        <w:br/>
      </w:r>
      <w:r w:rsidRPr="009A0DA6">
        <w:rPr>
          <w:rFonts w:ascii="Cambria" w:hAnsi="Cambria" w:cstheme="majorHAnsi"/>
        </w:rPr>
        <w:t>A company limited by guarantee</w:t>
      </w:r>
    </w:p>
    <w:p w14:paraId="672786D0" w14:textId="73B2C8EF" w:rsidR="001B46FC" w:rsidRPr="009A0DA6" w:rsidRDefault="001B46FC" w:rsidP="001817EA">
      <w:pPr>
        <w:tabs>
          <w:tab w:val="left" w:pos="709"/>
          <w:tab w:val="left" w:pos="1559"/>
          <w:tab w:val="left" w:pos="2552"/>
          <w:tab w:val="left" w:pos="3544"/>
          <w:tab w:val="left" w:pos="4820"/>
        </w:tabs>
        <w:spacing w:after="0" w:line="240" w:lineRule="auto"/>
        <w:rPr>
          <w:b/>
        </w:rPr>
      </w:pPr>
      <w:r w:rsidRPr="009A0DA6">
        <w:rPr>
          <w:b/>
        </w:rPr>
        <w:t>Table of contents</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394"/>
      </w:tblGrid>
      <w:tr w:rsidR="001817EA" w:rsidRPr="001817EA" w14:paraId="08B98286" w14:textId="4C7E361D" w:rsidTr="001817EA">
        <w:trPr>
          <w:trHeight w:val="6793"/>
        </w:trPr>
        <w:tc>
          <w:tcPr>
            <w:tcW w:w="4390" w:type="dxa"/>
          </w:tcPr>
          <w:p w14:paraId="06B7FB58" w14:textId="77777777" w:rsidR="001817EA" w:rsidRPr="001817EA" w:rsidRDefault="001817EA" w:rsidP="00AD09CB">
            <w:pPr>
              <w:pStyle w:val="NoSpacing"/>
              <w:rPr>
                <w:sz w:val="21"/>
                <w:szCs w:val="21"/>
              </w:rPr>
            </w:pPr>
            <w:r w:rsidRPr="001817EA">
              <w:rPr>
                <w:sz w:val="21"/>
                <w:szCs w:val="21"/>
              </w:rPr>
              <w:t>Article 1</w:t>
            </w:r>
            <w:r w:rsidRPr="001817EA">
              <w:rPr>
                <w:sz w:val="21"/>
                <w:szCs w:val="21"/>
              </w:rPr>
              <w:tab/>
              <w:t>The Company</w:t>
            </w:r>
          </w:p>
          <w:p w14:paraId="5B320A0D" w14:textId="77777777" w:rsidR="001817EA" w:rsidRPr="001817EA" w:rsidRDefault="001817EA" w:rsidP="00AD09CB">
            <w:pPr>
              <w:pStyle w:val="NoSpacing"/>
              <w:rPr>
                <w:sz w:val="21"/>
                <w:szCs w:val="21"/>
              </w:rPr>
            </w:pPr>
            <w:r w:rsidRPr="001817EA">
              <w:rPr>
                <w:sz w:val="21"/>
                <w:szCs w:val="21"/>
              </w:rPr>
              <w:tab/>
              <w:t>1.1</w:t>
            </w:r>
            <w:r w:rsidRPr="001817EA">
              <w:rPr>
                <w:sz w:val="21"/>
                <w:szCs w:val="21"/>
              </w:rPr>
              <w:tab/>
              <w:t>Name of the Company</w:t>
            </w:r>
          </w:p>
          <w:p w14:paraId="29B87F92" w14:textId="77777777" w:rsidR="001817EA" w:rsidRPr="001817EA" w:rsidRDefault="001817EA" w:rsidP="00AD09CB">
            <w:pPr>
              <w:pStyle w:val="NoSpacing"/>
              <w:rPr>
                <w:sz w:val="21"/>
                <w:szCs w:val="21"/>
              </w:rPr>
            </w:pPr>
            <w:r w:rsidRPr="001817EA">
              <w:rPr>
                <w:sz w:val="21"/>
                <w:szCs w:val="21"/>
              </w:rPr>
              <w:tab/>
              <w:t>1.2</w:t>
            </w:r>
            <w:r w:rsidRPr="001817EA">
              <w:rPr>
                <w:sz w:val="21"/>
                <w:szCs w:val="21"/>
              </w:rPr>
              <w:tab/>
              <w:t>Type of Company</w:t>
            </w:r>
          </w:p>
          <w:p w14:paraId="2602DEA1" w14:textId="77777777" w:rsidR="001817EA" w:rsidRPr="001817EA" w:rsidRDefault="001817EA" w:rsidP="00AD09CB">
            <w:pPr>
              <w:pStyle w:val="NoSpacing"/>
              <w:rPr>
                <w:sz w:val="21"/>
                <w:szCs w:val="21"/>
              </w:rPr>
            </w:pPr>
            <w:r w:rsidRPr="001817EA">
              <w:rPr>
                <w:sz w:val="21"/>
                <w:szCs w:val="21"/>
              </w:rPr>
              <w:tab/>
              <w:t>1.3</w:t>
            </w:r>
            <w:r w:rsidRPr="001817EA">
              <w:rPr>
                <w:sz w:val="21"/>
                <w:szCs w:val="21"/>
              </w:rPr>
              <w:tab/>
              <w:t xml:space="preserve">Limited Liability of    </w:t>
            </w:r>
            <w:r w:rsidRPr="001817EA">
              <w:rPr>
                <w:sz w:val="21"/>
                <w:szCs w:val="21"/>
              </w:rPr>
              <w:br/>
              <w:t xml:space="preserve">                               Members</w:t>
            </w:r>
          </w:p>
          <w:p w14:paraId="5723911E" w14:textId="77777777" w:rsidR="001817EA" w:rsidRPr="001817EA" w:rsidRDefault="001817EA" w:rsidP="00AD09CB">
            <w:pPr>
              <w:pStyle w:val="NoSpacing"/>
              <w:rPr>
                <w:sz w:val="21"/>
                <w:szCs w:val="21"/>
              </w:rPr>
            </w:pPr>
            <w:r w:rsidRPr="001817EA">
              <w:rPr>
                <w:sz w:val="21"/>
                <w:szCs w:val="21"/>
              </w:rPr>
              <w:tab/>
              <w:t>1.4</w:t>
            </w:r>
            <w:r w:rsidRPr="001817EA">
              <w:rPr>
                <w:sz w:val="21"/>
                <w:szCs w:val="21"/>
              </w:rPr>
              <w:tab/>
              <w:t xml:space="preserve">The Guarantee </w:t>
            </w:r>
          </w:p>
          <w:p w14:paraId="0A830272" w14:textId="77777777" w:rsidR="001817EA" w:rsidRPr="001817EA" w:rsidRDefault="001817EA" w:rsidP="00AD09CB">
            <w:pPr>
              <w:pStyle w:val="NoSpacing"/>
              <w:rPr>
                <w:sz w:val="21"/>
                <w:szCs w:val="21"/>
              </w:rPr>
            </w:pPr>
            <w:r w:rsidRPr="001817EA">
              <w:rPr>
                <w:sz w:val="21"/>
                <w:szCs w:val="21"/>
              </w:rPr>
              <w:tab/>
              <w:t>1.5</w:t>
            </w:r>
            <w:r w:rsidRPr="001817EA">
              <w:rPr>
                <w:sz w:val="21"/>
                <w:szCs w:val="21"/>
              </w:rPr>
              <w:tab/>
              <w:t>Definitions</w:t>
            </w:r>
          </w:p>
          <w:p w14:paraId="5F017B05" w14:textId="77777777" w:rsidR="001817EA" w:rsidRPr="001817EA" w:rsidRDefault="001817EA" w:rsidP="00AD09CB">
            <w:pPr>
              <w:pStyle w:val="NoSpacing"/>
              <w:rPr>
                <w:sz w:val="21"/>
                <w:szCs w:val="21"/>
              </w:rPr>
            </w:pPr>
            <w:r w:rsidRPr="001817EA">
              <w:rPr>
                <w:sz w:val="21"/>
                <w:szCs w:val="21"/>
              </w:rPr>
              <w:t>Article 2</w:t>
            </w:r>
            <w:r w:rsidRPr="001817EA">
              <w:rPr>
                <w:sz w:val="21"/>
                <w:szCs w:val="21"/>
              </w:rPr>
              <w:tab/>
              <w:t>Confessional Basis</w:t>
            </w:r>
          </w:p>
          <w:p w14:paraId="56D96414" w14:textId="77777777" w:rsidR="001817EA" w:rsidRPr="001817EA" w:rsidRDefault="001817EA" w:rsidP="00AD09CB">
            <w:pPr>
              <w:pStyle w:val="NoSpacing"/>
              <w:rPr>
                <w:sz w:val="21"/>
                <w:szCs w:val="21"/>
              </w:rPr>
            </w:pPr>
            <w:r w:rsidRPr="001817EA">
              <w:rPr>
                <w:sz w:val="21"/>
                <w:szCs w:val="21"/>
              </w:rPr>
              <w:t>Article 3</w:t>
            </w:r>
            <w:r w:rsidRPr="001817EA">
              <w:rPr>
                <w:sz w:val="21"/>
                <w:szCs w:val="21"/>
              </w:rPr>
              <w:tab/>
              <w:t xml:space="preserve">Amending the </w:t>
            </w:r>
            <w:r w:rsidRPr="001817EA">
              <w:rPr>
                <w:sz w:val="21"/>
                <w:szCs w:val="21"/>
              </w:rPr>
              <w:br/>
              <w:t xml:space="preserve">                              Constitution </w:t>
            </w:r>
          </w:p>
          <w:p w14:paraId="6CE1375E" w14:textId="77777777" w:rsidR="001817EA" w:rsidRPr="001817EA" w:rsidRDefault="001817EA" w:rsidP="00AD09CB">
            <w:pPr>
              <w:pStyle w:val="NoSpacing"/>
              <w:rPr>
                <w:sz w:val="21"/>
                <w:szCs w:val="21"/>
              </w:rPr>
            </w:pPr>
            <w:r w:rsidRPr="001817EA">
              <w:rPr>
                <w:sz w:val="21"/>
                <w:szCs w:val="21"/>
              </w:rPr>
              <w:t>Article 4</w:t>
            </w:r>
            <w:r w:rsidRPr="001817EA">
              <w:rPr>
                <w:sz w:val="21"/>
                <w:szCs w:val="21"/>
              </w:rPr>
              <w:tab/>
              <w:t>Relationships</w:t>
            </w:r>
          </w:p>
          <w:p w14:paraId="171604C4" w14:textId="77777777" w:rsidR="001817EA" w:rsidRPr="001817EA" w:rsidRDefault="001817EA" w:rsidP="00AD09CB">
            <w:pPr>
              <w:pStyle w:val="NoSpacing"/>
              <w:rPr>
                <w:sz w:val="21"/>
                <w:szCs w:val="21"/>
              </w:rPr>
            </w:pPr>
            <w:bookmarkStart w:id="73" w:name="_Ref405299235"/>
            <w:r w:rsidRPr="001817EA">
              <w:rPr>
                <w:sz w:val="21"/>
                <w:szCs w:val="21"/>
              </w:rPr>
              <w:t>Article 5</w:t>
            </w:r>
            <w:r w:rsidRPr="001817EA">
              <w:rPr>
                <w:sz w:val="21"/>
                <w:szCs w:val="21"/>
              </w:rPr>
              <w:tab/>
              <w:t>Object</w:t>
            </w:r>
            <w:bookmarkEnd w:id="73"/>
            <w:r w:rsidRPr="001817EA">
              <w:rPr>
                <w:sz w:val="21"/>
                <w:szCs w:val="21"/>
              </w:rPr>
              <w:t xml:space="preserve"> </w:t>
            </w:r>
          </w:p>
          <w:p w14:paraId="42C1912B" w14:textId="77777777" w:rsidR="001817EA" w:rsidRPr="001817EA" w:rsidRDefault="001817EA" w:rsidP="00AD09CB">
            <w:pPr>
              <w:pStyle w:val="NoSpacing"/>
              <w:rPr>
                <w:sz w:val="21"/>
                <w:szCs w:val="21"/>
              </w:rPr>
            </w:pPr>
            <w:r w:rsidRPr="001817EA">
              <w:rPr>
                <w:sz w:val="21"/>
                <w:szCs w:val="21"/>
              </w:rPr>
              <w:t>Article 6</w:t>
            </w:r>
            <w:r w:rsidRPr="001817EA">
              <w:rPr>
                <w:sz w:val="21"/>
                <w:szCs w:val="21"/>
              </w:rPr>
              <w:tab/>
              <w:t>Powers and Authority</w:t>
            </w:r>
          </w:p>
          <w:p w14:paraId="16EB00C8" w14:textId="77777777" w:rsidR="001817EA" w:rsidRPr="001817EA" w:rsidRDefault="001817EA" w:rsidP="00AD09CB">
            <w:pPr>
              <w:pStyle w:val="NoSpacing"/>
              <w:rPr>
                <w:sz w:val="21"/>
                <w:szCs w:val="21"/>
              </w:rPr>
            </w:pPr>
            <w:r w:rsidRPr="001817EA">
              <w:rPr>
                <w:sz w:val="21"/>
                <w:szCs w:val="21"/>
              </w:rPr>
              <w:t>Article 7</w:t>
            </w:r>
            <w:r w:rsidRPr="001817EA">
              <w:rPr>
                <w:sz w:val="21"/>
                <w:szCs w:val="21"/>
              </w:rPr>
              <w:tab/>
              <w:t>Not-for-profit</w:t>
            </w:r>
          </w:p>
          <w:p w14:paraId="5089AA2F" w14:textId="77777777" w:rsidR="001817EA" w:rsidRPr="001817EA" w:rsidRDefault="001817EA" w:rsidP="00AD09CB">
            <w:pPr>
              <w:pStyle w:val="NoSpacing"/>
              <w:rPr>
                <w:sz w:val="21"/>
                <w:szCs w:val="21"/>
              </w:rPr>
            </w:pPr>
            <w:r w:rsidRPr="001817EA">
              <w:rPr>
                <w:sz w:val="21"/>
                <w:szCs w:val="21"/>
              </w:rPr>
              <w:t>Article 8</w:t>
            </w:r>
            <w:r w:rsidRPr="001817EA">
              <w:rPr>
                <w:sz w:val="21"/>
                <w:szCs w:val="21"/>
              </w:rPr>
              <w:tab/>
              <w:t>Members and Membership</w:t>
            </w:r>
          </w:p>
          <w:p w14:paraId="4C52A963" w14:textId="77777777" w:rsidR="001817EA" w:rsidRPr="001817EA" w:rsidRDefault="001817EA" w:rsidP="00AD09CB">
            <w:pPr>
              <w:pStyle w:val="NoSpacing"/>
              <w:rPr>
                <w:sz w:val="21"/>
                <w:szCs w:val="21"/>
              </w:rPr>
            </w:pPr>
            <w:r w:rsidRPr="001817EA">
              <w:rPr>
                <w:sz w:val="21"/>
                <w:szCs w:val="21"/>
              </w:rPr>
              <w:t>Article 9</w:t>
            </w:r>
            <w:r w:rsidRPr="001817EA">
              <w:rPr>
                <w:sz w:val="21"/>
                <w:szCs w:val="21"/>
              </w:rPr>
              <w:tab/>
            </w:r>
            <w:bookmarkStart w:id="74" w:name="_Ref405298889"/>
            <w:r w:rsidRPr="001817EA">
              <w:rPr>
                <w:sz w:val="21"/>
                <w:szCs w:val="21"/>
              </w:rPr>
              <w:t xml:space="preserve">Dispute Resolution and </w:t>
            </w:r>
            <w:r w:rsidRPr="001817EA">
              <w:rPr>
                <w:sz w:val="21"/>
                <w:szCs w:val="21"/>
              </w:rPr>
              <w:br/>
              <w:t xml:space="preserve">                              Discipline</w:t>
            </w:r>
          </w:p>
          <w:bookmarkEnd w:id="74"/>
          <w:p w14:paraId="1A390C6A" w14:textId="77777777" w:rsidR="001817EA" w:rsidRPr="001817EA" w:rsidRDefault="001817EA" w:rsidP="00AD09CB">
            <w:pPr>
              <w:pStyle w:val="NoSpacing"/>
              <w:rPr>
                <w:sz w:val="21"/>
                <w:szCs w:val="21"/>
              </w:rPr>
            </w:pPr>
            <w:r w:rsidRPr="001817EA">
              <w:rPr>
                <w:sz w:val="21"/>
                <w:szCs w:val="21"/>
              </w:rPr>
              <w:t>Article 10</w:t>
            </w:r>
            <w:r w:rsidRPr="001817EA">
              <w:rPr>
                <w:sz w:val="21"/>
                <w:szCs w:val="21"/>
              </w:rPr>
              <w:tab/>
              <w:t>Meetings</w:t>
            </w:r>
          </w:p>
          <w:p w14:paraId="199E02FF" w14:textId="77777777" w:rsidR="001817EA" w:rsidRPr="001817EA" w:rsidRDefault="001817EA" w:rsidP="00AD09CB">
            <w:pPr>
              <w:pStyle w:val="NoSpacing"/>
              <w:rPr>
                <w:sz w:val="21"/>
                <w:szCs w:val="21"/>
              </w:rPr>
            </w:pPr>
            <w:r w:rsidRPr="001817EA">
              <w:rPr>
                <w:sz w:val="21"/>
                <w:szCs w:val="21"/>
              </w:rPr>
              <w:tab/>
              <w:t>10.1</w:t>
            </w:r>
            <w:r w:rsidRPr="001817EA">
              <w:rPr>
                <w:sz w:val="21"/>
                <w:szCs w:val="21"/>
              </w:rPr>
              <w:tab/>
              <w:t xml:space="preserve">General Meetings </w:t>
            </w:r>
          </w:p>
          <w:p w14:paraId="5DE5A4DC" w14:textId="77777777" w:rsidR="001817EA" w:rsidRPr="001817EA" w:rsidRDefault="001817EA" w:rsidP="00AD09CB">
            <w:pPr>
              <w:pStyle w:val="NoSpacing"/>
              <w:rPr>
                <w:sz w:val="21"/>
                <w:szCs w:val="21"/>
              </w:rPr>
            </w:pPr>
            <w:r w:rsidRPr="001817EA">
              <w:rPr>
                <w:sz w:val="21"/>
                <w:szCs w:val="21"/>
              </w:rPr>
              <w:tab/>
              <w:t>10.2</w:t>
            </w:r>
            <w:r w:rsidRPr="001817EA">
              <w:rPr>
                <w:sz w:val="21"/>
                <w:szCs w:val="21"/>
              </w:rPr>
              <w:tab/>
              <w:t>Annual General Meeting</w:t>
            </w:r>
          </w:p>
          <w:p w14:paraId="4DF27CEA" w14:textId="77777777" w:rsidR="001817EA" w:rsidRPr="001817EA" w:rsidRDefault="001817EA" w:rsidP="00AD09CB">
            <w:pPr>
              <w:pStyle w:val="NoSpacing"/>
              <w:rPr>
                <w:sz w:val="21"/>
                <w:szCs w:val="21"/>
              </w:rPr>
            </w:pPr>
            <w:r w:rsidRPr="001817EA">
              <w:rPr>
                <w:sz w:val="21"/>
                <w:szCs w:val="21"/>
              </w:rPr>
              <w:tab/>
              <w:t>10.3</w:t>
            </w:r>
            <w:r w:rsidRPr="001817EA">
              <w:rPr>
                <w:sz w:val="21"/>
                <w:szCs w:val="21"/>
              </w:rPr>
              <w:tab/>
              <w:t>Notice of General Meetings</w:t>
            </w:r>
          </w:p>
          <w:p w14:paraId="6AAEF38C" w14:textId="77777777" w:rsidR="001817EA" w:rsidRPr="001817EA" w:rsidRDefault="001817EA" w:rsidP="00AD09CB">
            <w:pPr>
              <w:pStyle w:val="NoSpacing"/>
              <w:rPr>
                <w:sz w:val="21"/>
                <w:szCs w:val="21"/>
              </w:rPr>
            </w:pPr>
            <w:r w:rsidRPr="001817EA">
              <w:rPr>
                <w:sz w:val="21"/>
                <w:szCs w:val="21"/>
              </w:rPr>
              <w:tab/>
              <w:t>10.4</w:t>
            </w:r>
            <w:r w:rsidRPr="001817EA">
              <w:rPr>
                <w:sz w:val="21"/>
                <w:szCs w:val="21"/>
              </w:rPr>
              <w:tab/>
              <w:t xml:space="preserve">Quorum at General </w:t>
            </w:r>
            <w:r w:rsidRPr="001817EA">
              <w:rPr>
                <w:sz w:val="21"/>
                <w:szCs w:val="21"/>
              </w:rPr>
              <w:br/>
              <w:t xml:space="preserve">                              Meetings </w:t>
            </w:r>
          </w:p>
          <w:p w14:paraId="54C23A31" w14:textId="77777777" w:rsidR="001817EA" w:rsidRPr="001817EA" w:rsidRDefault="001817EA" w:rsidP="00AD09CB">
            <w:pPr>
              <w:pStyle w:val="NoSpacing"/>
              <w:rPr>
                <w:sz w:val="21"/>
                <w:szCs w:val="21"/>
              </w:rPr>
            </w:pPr>
            <w:r w:rsidRPr="001817EA">
              <w:rPr>
                <w:sz w:val="21"/>
                <w:szCs w:val="21"/>
              </w:rPr>
              <w:tab/>
              <w:t>10.5</w:t>
            </w:r>
            <w:r w:rsidRPr="001817EA">
              <w:rPr>
                <w:sz w:val="21"/>
                <w:szCs w:val="21"/>
              </w:rPr>
              <w:tab/>
              <w:t xml:space="preserve">Auditor's right to attend                               </w:t>
            </w:r>
            <w:r w:rsidRPr="001817EA">
              <w:rPr>
                <w:sz w:val="21"/>
                <w:szCs w:val="21"/>
              </w:rPr>
              <w:br/>
              <w:t xml:space="preserve">                              Meetings</w:t>
            </w:r>
          </w:p>
          <w:p w14:paraId="3A3F5F10" w14:textId="77777777" w:rsidR="001817EA" w:rsidRPr="001817EA" w:rsidRDefault="001817EA" w:rsidP="00AD09CB">
            <w:pPr>
              <w:pStyle w:val="NoSpacing"/>
              <w:rPr>
                <w:sz w:val="21"/>
                <w:szCs w:val="21"/>
              </w:rPr>
            </w:pPr>
            <w:r w:rsidRPr="001817EA">
              <w:rPr>
                <w:sz w:val="21"/>
                <w:szCs w:val="21"/>
              </w:rPr>
              <w:tab/>
              <w:t>10.6</w:t>
            </w:r>
            <w:r w:rsidRPr="001817EA">
              <w:rPr>
                <w:sz w:val="21"/>
                <w:szCs w:val="21"/>
              </w:rPr>
              <w:tab/>
              <w:t xml:space="preserve">Using Technology to hold </w:t>
            </w:r>
            <w:r w:rsidRPr="001817EA">
              <w:rPr>
                <w:sz w:val="21"/>
                <w:szCs w:val="21"/>
              </w:rPr>
              <w:br/>
              <w:t xml:space="preserve">                              Meetings</w:t>
            </w:r>
          </w:p>
          <w:p w14:paraId="2C2ECCEB" w14:textId="77777777" w:rsidR="001817EA" w:rsidRPr="001817EA" w:rsidRDefault="001817EA" w:rsidP="00AD09CB">
            <w:pPr>
              <w:pStyle w:val="NoSpacing"/>
              <w:rPr>
                <w:sz w:val="21"/>
                <w:szCs w:val="21"/>
              </w:rPr>
            </w:pPr>
            <w:r w:rsidRPr="001817EA">
              <w:rPr>
                <w:sz w:val="21"/>
                <w:szCs w:val="21"/>
              </w:rPr>
              <w:tab/>
              <w:t>10.7</w:t>
            </w:r>
            <w:r w:rsidRPr="001817EA">
              <w:rPr>
                <w:sz w:val="21"/>
                <w:szCs w:val="21"/>
              </w:rPr>
              <w:tab/>
              <w:t xml:space="preserve">Chair for General Meetings </w:t>
            </w:r>
          </w:p>
          <w:p w14:paraId="2365855A" w14:textId="1A7820A0" w:rsidR="001817EA" w:rsidRPr="001817EA" w:rsidRDefault="001817EA" w:rsidP="00AD09CB">
            <w:pPr>
              <w:pStyle w:val="NoSpacing"/>
              <w:rPr>
                <w:sz w:val="21"/>
                <w:szCs w:val="21"/>
              </w:rPr>
            </w:pPr>
            <w:r w:rsidRPr="001817EA">
              <w:rPr>
                <w:sz w:val="21"/>
                <w:szCs w:val="21"/>
              </w:rPr>
              <w:tab/>
              <w:t>10.8</w:t>
            </w:r>
            <w:r w:rsidRPr="001817EA">
              <w:rPr>
                <w:sz w:val="21"/>
                <w:szCs w:val="21"/>
              </w:rPr>
              <w:tab/>
              <w:t>Role of Chair</w:t>
            </w:r>
          </w:p>
        </w:tc>
        <w:tc>
          <w:tcPr>
            <w:tcW w:w="4394" w:type="dxa"/>
          </w:tcPr>
          <w:p w14:paraId="744793C5" w14:textId="77777777" w:rsidR="001817EA" w:rsidRPr="001817EA" w:rsidRDefault="001817EA" w:rsidP="001817EA">
            <w:pPr>
              <w:pStyle w:val="NoSpacing"/>
              <w:rPr>
                <w:sz w:val="21"/>
                <w:szCs w:val="21"/>
              </w:rPr>
            </w:pPr>
            <w:r w:rsidRPr="001817EA">
              <w:rPr>
                <w:sz w:val="21"/>
                <w:szCs w:val="21"/>
              </w:rPr>
              <w:tab/>
              <w:t>10.9</w:t>
            </w:r>
            <w:r w:rsidRPr="001817EA">
              <w:rPr>
                <w:sz w:val="21"/>
                <w:szCs w:val="21"/>
              </w:rPr>
              <w:tab/>
              <w:t>Adjournment of Meetings</w:t>
            </w:r>
          </w:p>
          <w:p w14:paraId="78FCE413" w14:textId="77777777" w:rsidR="001817EA" w:rsidRPr="001817EA" w:rsidRDefault="001817EA" w:rsidP="001817EA">
            <w:pPr>
              <w:pStyle w:val="NoSpacing"/>
              <w:rPr>
                <w:sz w:val="21"/>
                <w:szCs w:val="21"/>
              </w:rPr>
            </w:pPr>
            <w:r w:rsidRPr="001817EA">
              <w:rPr>
                <w:sz w:val="21"/>
                <w:szCs w:val="21"/>
              </w:rPr>
              <w:t>Article 11</w:t>
            </w:r>
            <w:r w:rsidRPr="001817EA">
              <w:rPr>
                <w:sz w:val="21"/>
                <w:szCs w:val="21"/>
              </w:rPr>
              <w:tab/>
              <w:t>Voting at Meetings</w:t>
            </w:r>
          </w:p>
          <w:p w14:paraId="18C6A251" w14:textId="77777777" w:rsidR="001817EA" w:rsidRPr="001817EA" w:rsidRDefault="001817EA" w:rsidP="001817EA">
            <w:pPr>
              <w:pStyle w:val="NoSpacing"/>
              <w:rPr>
                <w:sz w:val="21"/>
                <w:szCs w:val="21"/>
              </w:rPr>
            </w:pPr>
            <w:bookmarkStart w:id="75" w:name="_Ref405274201"/>
            <w:r w:rsidRPr="001817EA">
              <w:rPr>
                <w:sz w:val="21"/>
                <w:szCs w:val="21"/>
              </w:rPr>
              <w:t>Article 12</w:t>
            </w:r>
            <w:r w:rsidRPr="001817EA">
              <w:rPr>
                <w:sz w:val="21"/>
                <w:szCs w:val="21"/>
              </w:rPr>
              <w:tab/>
              <w:t>Directors</w:t>
            </w:r>
          </w:p>
          <w:p w14:paraId="174DC92E" w14:textId="77777777" w:rsidR="001817EA" w:rsidRPr="001817EA" w:rsidRDefault="001817EA" w:rsidP="001817EA">
            <w:pPr>
              <w:pStyle w:val="NoSpacing"/>
              <w:rPr>
                <w:sz w:val="21"/>
                <w:szCs w:val="21"/>
              </w:rPr>
            </w:pPr>
            <w:r w:rsidRPr="001817EA">
              <w:rPr>
                <w:sz w:val="21"/>
                <w:szCs w:val="21"/>
              </w:rPr>
              <w:tab/>
              <w:t>12.1</w:t>
            </w:r>
            <w:r w:rsidRPr="001817EA">
              <w:rPr>
                <w:sz w:val="21"/>
                <w:szCs w:val="21"/>
              </w:rPr>
              <w:tab/>
              <w:t>Appointment of Directors</w:t>
            </w:r>
            <w:bookmarkEnd w:id="75"/>
            <w:r w:rsidRPr="001817EA">
              <w:rPr>
                <w:sz w:val="21"/>
                <w:szCs w:val="21"/>
              </w:rPr>
              <w:t xml:space="preserve"> </w:t>
            </w:r>
          </w:p>
          <w:p w14:paraId="1E2BB5B1" w14:textId="77777777" w:rsidR="001817EA" w:rsidRPr="001817EA" w:rsidRDefault="001817EA" w:rsidP="001817EA">
            <w:pPr>
              <w:pStyle w:val="NoSpacing"/>
              <w:rPr>
                <w:sz w:val="21"/>
                <w:szCs w:val="21"/>
              </w:rPr>
            </w:pPr>
            <w:r w:rsidRPr="001817EA">
              <w:rPr>
                <w:sz w:val="21"/>
                <w:szCs w:val="21"/>
              </w:rPr>
              <w:tab/>
              <w:t>12.2</w:t>
            </w:r>
            <w:r w:rsidRPr="001817EA">
              <w:rPr>
                <w:sz w:val="21"/>
                <w:szCs w:val="21"/>
              </w:rPr>
              <w:tab/>
              <w:t>Advice to the Directors</w:t>
            </w:r>
          </w:p>
          <w:p w14:paraId="0DE601D3" w14:textId="77777777" w:rsidR="001817EA" w:rsidRPr="001817EA" w:rsidRDefault="001817EA" w:rsidP="001817EA">
            <w:pPr>
              <w:pStyle w:val="NoSpacing"/>
              <w:rPr>
                <w:sz w:val="21"/>
                <w:szCs w:val="21"/>
              </w:rPr>
            </w:pPr>
            <w:r w:rsidRPr="001817EA">
              <w:rPr>
                <w:sz w:val="21"/>
                <w:szCs w:val="21"/>
              </w:rPr>
              <w:tab/>
              <w:t>12.3</w:t>
            </w:r>
            <w:r w:rsidRPr="001817EA">
              <w:rPr>
                <w:sz w:val="21"/>
                <w:szCs w:val="21"/>
              </w:rPr>
              <w:tab/>
              <w:t xml:space="preserve">Election of Officers </w:t>
            </w:r>
          </w:p>
          <w:p w14:paraId="4BE0A9CF" w14:textId="77777777" w:rsidR="001817EA" w:rsidRPr="001817EA" w:rsidRDefault="001817EA" w:rsidP="001817EA">
            <w:pPr>
              <w:pStyle w:val="NoSpacing"/>
              <w:rPr>
                <w:sz w:val="21"/>
                <w:szCs w:val="21"/>
              </w:rPr>
            </w:pPr>
            <w:r w:rsidRPr="001817EA">
              <w:rPr>
                <w:sz w:val="21"/>
                <w:szCs w:val="21"/>
              </w:rPr>
              <w:tab/>
              <w:t>12.4</w:t>
            </w:r>
            <w:r w:rsidRPr="001817EA">
              <w:rPr>
                <w:sz w:val="21"/>
                <w:szCs w:val="21"/>
              </w:rPr>
              <w:tab/>
              <w:t>Term of Office</w:t>
            </w:r>
          </w:p>
          <w:p w14:paraId="04DF3FD9" w14:textId="77777777" w:rsidR="001817EA" w:rsidRPr="001817EA" w:rsidRDefault="001817EA" w:rsidP="001817EA">
            <w:pPr>
              <w:pStyle w:val="NoSpacing"/>
              <w:rPr>
                <w:sz w:val="21"/>
                <w:szCs w:val="21"/>
              </w:rPr>
            </w:pPr>
            <w:r w:rsidRPr="001817EA">
              <w:rPr>
                <w:sz w:val="21"/>
                <w:szCs w:val="21"/>
              </w:rPr>
              <w:tab/>
              <w:t>12.5</w:t>
            </w:r>
            <w:r w:rsidRPr="001817EA">
              <w:rPr>
                <w:sz w:val="21"/>
                <w:szCs w:val="21"/>
              </w:rPr>
              <w:tab/>
              <w:t>Removal of a Director</w:t>
            </w:r>
          </w:p>
          <w:p w14:paraId="03A10C8D" w14:textId="77777777" w:rsidR="001817EA" w:rsidRPr="001817EA" w:rsidRDefault="001817EA" w:rsidP="001817EA">
            <w:pPr>
              <w:pStyle w:val="NoSpacing"/>
              <w:rPr>
                <w:sz w:val="21"/>
                <w:szCs w:val="21"/>
              </w:rPr>
            </w:pPr>
            <w:r w:rsidRPr="001817EA">
              <w:rPr>
                <w:sz w:val="21"/>
                <w:szCs w:val="21"/>
              </w:rPr>
              <w:t>Article 13</w:t>
            </w:r>
            <w:r w:rsidRPr="001817EA">
              <w:rPr>
                <w:sz w:val="21"/>
                <w:szCs w:val="21"/>
              </w:rPr>
              <w:tab/>
              <w:t xml:space="preserve">Powers and Duties of </w:t>
            </w:r>
            <w:r w:rsidRPr="001817EA">
              <w:rPr>
                <w:sz w:val="21"/>
                <w:szCs w:val="21"/>
              </w:rPr>
              <w:br/>
              <w:t xml:space="preserve">                              Directors</w:t>
            </w:r>
          </w:p>
          <w:p w14:paraId="546B30D9" w14:textId="77777777" w:rsidR="001817EA" w:rsidRPr="001817EA" w:rsidRDefault="001817EA" w:rsidP="001817EA">
            <w:pPr>
              <w:pStyle w:val="NoSpacing"/>
              <w:rPr>
                <w:sz w:val="21"/>
                <w:szCs w:val="21"/>
              </w:rPr>
            </w:pPr>
            <w:r w:rsidRPr="001817EA">
              <w:rPr>
                <w:sz w:val="21"/>
                <w:szCs w:val="21"/>
              </w:rPr>
              <w:tab/>
              <w:t>13.1</w:t>
            </w:r>
            <w:r w:rsidRPr="001817EA">
              <w:rPr>
                <w:sz w:val="21"/>
                <w:szCs w:val="21"/>
              </w:rPr>
              <w:tab/>
              <w:t xml:space="preserve">Powers of Directors </w:t>
            </w:r>
          </w:p>
          <w:p w14:paraId="2F3DD471" w14:textId="77777777" w:rsidR="001817EA" w:rsidRPr="001817EA" w:rsidRDefault="001817EA" w:rsidP="001817EA">
            <w:pPr>
              <w:pStyle w:val="NoSpacing"/>
              <w:rPr>
                <w:sz w:val="21"/>
                <w:szCs w:val="21"/>
              </w:rPr>
            </w:pPr>
            <w:bookmarkStart w:id="76" w:name="_Ref405274826"/>
            <w:r w:rsidRPr="001817EA">
              <w:rPr>
                <w:sz w:val="21"/>
                <w:szCs w:val="21"/>
              </w:rPr>
              <w:tab/>
              <w:t>13.2</w:t>
            </w:r>
            <w:r w:rsidRPr="001817EA">
              <w:rPr>
                <w:sz w:val="21"/>
                <w:szCs w:val="21"/>
              </w:rPr>
              <w:tab/>
              <w:t xml:space="preserve">Delegation of Directors’ </w:t>
            </w:r>
            <w:r w:rsidRPr="001817EA">
              <w:rPr>
                <w:sz w:val="21"/>
                <w:szCs w:val="21"/>
              </w:rPr>
              <w:br/>
              <w:t xml:space="preserve">                              Powers</w:t>
            </w:r>
            <w:bookmarkEnd w:id="76"/>
          </w:p>
          <w:p w14:paraId="720BC432" w14:textId="77777777" w:rsidR="001817EA" w:rsidRPr="001817EA" w:rsidRDefault="001817EA" w:rsidP="001817EA">
            <w:pPr>
              <w:pStyle w:val="NoSpacing"/>
              <w:rPr>
                <w:sz w:val="21"/>
                <w:szCs w:val="21"/>
              </w:rPr>
            </w:pPr>
            <w:r w:rsidRPr="001817EA">
              <w:rPr>
                <w:sz w:val="21"/>
                <w:szCs w:val="21"/>
              </w:rPr>
              <w:tab/>
              <w:t>13.3</w:t>
            </w:r>
            <w:r w:rsidRPr="001817EA">
              <w:rPr>
                <w:sz w:val="21"/>
                <w:szCs w:val="21"/>
              </w:rPr>
              <w:tab/>
              <w:t>Payments to Directors</w:t>
            </w:r>
          </w:p>
          <w:p w14:paraId="4872A780" w14:textId="77777777" w:rsidR="001817EA" w:rsidRPr="001817EA" w:rsidRDefault="001817EA" w:rsidP="001817EA">
            <w:pPr>
              <w:pStyle w:val="NoSpacing"/>
              <w:rPr>
                <w:sz w:val="21"/>
                <w:szCs w:val="21"/>
              </w:rPr>
            </w:pPr>
            <w:r w:rsidRPr="001817EA">
              <w:rPr>
                <w:sz w:val="21"/>
                <w:szCs w:val="21"/>
              </w:rPr>
              <w:tab/>
              <w:t>13.4</w:t>
            </w:r>
            <w:r w:rsidRPr="001817EA">
              <w:rPr>
                <w:sz w:val="21"/>
                <w:szCs w:val="21"/>
              </w:rPr>
              <w:tab/>
              <w:t>Execution of Documents</w:t>
            </w:r>
          </w:p>
          <w:p w14:paraId="7190C4B8" w14:textId="77777777" w:rsidR="001817EA" w:rsidRPr="001817EA" w:rsidRDefault="001817EA" w:rsidP="001817EA">
            <w:pPr>
              <w:pStyle w:val="NoSpacing"/>
              <w:rPr>
                <w:sz w:val="21"/>
                <w:szCs w:val="21"/>
              </w:rPr>
            </w:pPr>
            <w:r w:rsidRPr="001817EA">
              <w:rPr>
                <w:sz w:val="21"/>
                <w:szCs w:val="21"/>
              </w:rPr>
              <w:tab/>
              <w:t>13.5</w:t>
            </w:r>
            <w:r w:rsidRPr="001817EA">
              <w:rPr>
                <w:sz w:val="21"/>
                <w:szCs w:val="21"/>
              </w:rPr>
              <w:tab/>
              <w:t xml:space="preserve">Conflict of Interest and </w:t>
            </w:r>
            <w:r w:rsidRPr="001817EA">
              <w:rPr>
                <w:sz w:val="21"/>
                <w:szCs w:val="21"/>
              </w:rPr>
              <w:br/>
              <w:t xml:space="preserve">                              Duty</w:t>
            </w:r>
          </w:p>
          <w:p w14:paraId="59D7C446" w14:textId="77777777" w:rsidR="001817EA" w:rsidRPr="001817EA" w:rsidRDefault="001817EA" w:rsidP="001817EA">
            <w:pPr>
              <w:pStyle w:val="NoSpacing"/>
              <w:rPr>
                <w:sz w:val="21"/>
                <w:szCs w:val="21"/>
              </w:rPr>
            </w:pPr>
            <w:r w:rsidRPr="001817EA">
              <w:rPr>
                <w:sz w:val="21"/>
                <w:szCs w:val="21"/>
              </w:rPr>
              <w:t xml:space="preserve">Article 14 </w:t>
            </w:r>
            <w:r w:rsidRPr="001817EA">
              <w:rPr>
                <w:sz w:val="21"/>
                <w:szCs w:val="21"/>
              </w:rPr>
              <w:tab/>
              <w:t>Directors’ Meetings</w:t>
            </w:r>
          </w:p>
          <w:p w14:paraId="45918DF7" w14:textId="77777777" w:rsidR="001817EA" w:rsidRPr="001817EA" w:rsidRDefault="001817EA" w:rsidP="001817EA">
            <w:pPr>
              <w:pStyle w:val="NoSpacing"/>
              <w:rPr>
                <w:sz w:val="21"/>
                <w:szCs w:val="21"/>
              </w:rPr>
            </w:pPr>
            <w:r w:rsidRPr="001817EA">
              <w:rPr>
                <w:sz w:val="21"/>
                <w:szCs w:val="21"/>
              </w:rPr>
              <w:tab/>
              <w:t>14.1</w:t>
            </w:r>
            <w:r w:rsidRPr="001817EA">
              <w:rPr>
                <w:sz w:val="21"/>
                <w:szCs w:val="21"/>
              </w:rPr>
              <w:tab/>
              <w:t>Directors’ Meetings</w:t>
            </w:r>
          </w:p>
          <w:p w14:paraId="7C002314" w14:textId="77777777" w:rsidR="001817EA" w:rsidRPr="001817EA" w:rsidRDefault="001817EA" w:rsidP="001817EA">
            <w:pPr>
              <w:pStyle w:val="NoSpacing"/>
              <w:rPr>
                <w:sz w:val="21"/>
                <w:szCs w:val="21"/>
              </w:rPr>
            </w:pPr>
            <w:r w:rsidRPr="001817EA">
              <w:rPr>
                <w:sz w:val="21"/>
                <w:szCs w:val="21"/>
              </w:rPr>
              <w:tab/>
              <w:t>14.2</w:t>
            </w:r>
            <w:r w:rsidRPr="001817EA">
              <w:rPr>
                <w:sz w:val="21"/>
                <w:szCs w:val="21"/>
              </w:rPr>
              <w:tab/>
              <w:t>Calling Directors’ Meetings</w:t>
            </w:r>
          </w:p>
          <w:p w14:paraId="2C4EBB1D" w14:textId="77777777" w:rsidR="001817EA" w:rsidRPr="001817EA" w:rsidRDefault="001817EA" w:rsidP="001817EA">
            <w:pPr>
              <w:pStyle w:val="NoSpacing"/>
              <w:rPr>
                <w:sz w:val="21"/>
                <w:szCs w:val="21"/>
              </w:rPr>
            </w:pPr>
            <w:r w:rsidRPr="001817EA">
              <w:rPr>
                <w:sz w:val="21"/>
                <w:szCs w:val="21"/>
              </w:rPr>
              <w:tab/>
              <w:t>14.3</w:t>
            </w:r>
            <w:r w:rsidRPr="001817EA">
              <w:rPr>
                <w:sz w:val="21"/>
                <w:szCs w:val="21"/>
              </w:rPr>
              <w:tab/>
              <w:t xml:space="preserve">Chair for Directors </w:t>
            </w:r>
            <w:r w:rsidRPr="001817EA">
              <w:rPr>
                <w:sz w:val="21"/>
                <w:szCs w:val="21"/>
              </w:rPr>
              <w:br/>
              <w:t xml:space="preserve">                              Meetings </w:t>
            </w:r>
          </w:p>
          <w:p w14:paraId="636D2352" w14:textId="77777777" w:rsidR="001817EA" w:rsidRPr="001817EA" w:rsidRDefault="001817EA" w:rsidP="001817EA">
            <w:pPr>
              <w:pStyle w:val="NoSpacing"/>
              <w:rPr>
                <w:sz w:val="21"/>
                <w:szCs w:val="21"/>
              </w:rPr>
            </w:pPr>
            <w:r w:rsidRPr="001817EA">
              <w:rPr>
                <w:sz w:val="21"/>
                <w:szCs w:val="21"/>
              </w:rPr>
              <w:tab/>
              <w:t>14.4</w:t>
            </w:r>
            <w:r w:rsidRPr="001817EA">
              <w:rPr>
                <w:sz w:val="21"/>
                <w:szCs w:val="21"/>
              </w:rPr>
              <w:tab/>
              <w:t xml:space="preserve">Quorum at Directors' </w:t>
            </w:r>
            <w:r w:rsidRPr="001817EA">
              <w:rPr>
                <w:sz w:val="21"/>
                <w:szCs w:val="21"/>
              </w:rPr>
              <w:br/>
              <w:t xml:space="preserve">                              Meetings </w:t>
            </w:r>
          </w:p>
          <w:p w14:paraId="6CF0EE2F" w14:textId="77777777" w:rsidR="001817EA" w:rsidRPr="001817EA" w:rsidRDefault="001817EA" w:rsidP="001817EA">
            <w:pPr>
              <w:pStyle w:val="NoSpacing"/>
              <w:rPr>
                <w:sz w:val="21"/>
                <w:szCs w:val="21"/>
              </w:rPr>
            </w:pPr>
            <w:r w:rsidRPr="001817EA">
              <w:rPr>
                <w:bCs/>
                <w:sz w:val="21"/>
                <w:szCs w:val="21"/>
              </w:rPr>
              <w:tab/>
              <w:t>14.5</w:t>
            </w:r>
            <w:r w:rsidRPr="001817EA">
              <w:rPr>
                <w:sz w:val="21"/>
                <w:szCs w:val="21"/>
              </w:rPr>
              <w:tab/>
              <w:t xml:space="preserve">Using technology to hold </w:t>
            </w:r>
            <w:r w:rsidRPr="001817EA">
              <w:rPr>
                <w:sz w:val="21"/>
                <w:szCs w:val="21"/>
              </w:rPr>
              <w:br/>
              <w:t xml:space="preserve">                              Directors’ Meetings</w:t>
            </w:r>
          </w:p>
          <w:p w14:paraId="71EE6267" w14:textId="77777777" w:rsidR="001817EA" w:rsidRPr="001817EA" w:rsidRDefault="001817EA" w:rsidP="001817EA">
            <w:pPr>
              <w:pStyle w:val="NoSpacing"/>
              <w:rPr>
                <w:sz w:val="21"/>
                <w:szCs w:val="21"/>
              </w:rPr>
            </w:pPr>
            <w:r w:rsidRPr="001817EA">
              <w:rPr>
                <w:sz w:val="21"/>
                <w:szCs w:val="21"/>
              </w:rPr>
              <w:tab/>
              <w:t>14.6</w:t>
            </w:r>
            <w:r w:rsidRPr="001817EA">
              <w:rPr>
                <w:sz w:val="21"/>
                <w:szCs w:val="21"/>
              </w:rPr>
              <w:tab/>
              <w:t xml:space="preserve">Directors' Resolutions </w:t>
            </w:r>
          </w:p>
          <w:p w14:paraId="20EECE6E" w14:textId="4AC55DC4" w:rsidR="001817EA" w:rsidRPr="001817EA" w:rsidRDefault="001817EA" w:rsidP="00AD09CB">
            <w:pPr>
              <w:pStyle w:val="NoSpacing"/>
              <w:rPr>
                <w:sz w:val="21"/>
                <w:szCs w:val="21"/>
              </w:rPr>
            </w:pPr>
            <w:r w:rsidRPr="001817EA">
              <w:rPr>
                <w:sz w:val="21"/>
                <w:szCs w:val="21"/>
              </w:rPr>
              <w:t xml:space="preserve">                14.7</w:t>
            </w:r>
            <w:r w:rsidRPr="001817EA">
              <w:rPr>
                <w:sz w:val="21"/>
                <w:szCs w:val="21"/>
              </w:rPr>
              <w:tab/>
              <w:t xml:space="preserve">Circular Resolutions of </w:t>
            </w:r>
            <w:r w:rsidRPr="001817EA">
              <w:rPr>
                <w:sz w:val="21"/>
                <w:szCs w:val="21"/>
              </w:rPr>
              <w:br/>
              <w:t xml:space="preserve">                              Directors</w:t>
            </w:r>
          </w:p>
        </w:tc>
      </w:tr>
    </w:tbl>
    <w:p w14:paraId="32323880" w14:textId="211A943A" w:rsidR="001B46FC" w:rsidRPr="009A0DA6" w:rsidRDefault="001B46FC" w:rsidP="00A26F67">
      <w:pPr>
        <w:pStyle w:val="NoSpacing"/>
      </w:pPr>
      <w:r w:rsidRPr="009A0DA6">
        <w:tab/>
      </w:r>
    </w:p>
    <w:p w14:paraId="4BAE6330" w14:textId="4C6DA075" w:rsidR="001B46FC" w:rsidRPr="009A0DA6" w:rsidRDefault="001B46FC" w:rsidP="00A26F67">
      <w:pPr>
        <w:pStyle w:val="NoSpacing"/>
      </w:pPr>
      <w:r w:rsidRPr="009A0DA6">
        <w:rPr>
          <w:bCs/>
        </w:rPr>
        <w:lastRenderedPageBreak/>
        <w:tab/>
        <w:t>14.8</w:t>
      </w:r>
      <w:r w:rsidRPr="009A0DA6">
        <w:tab/>
        <w:t xml:space="preserve">Directors’ Access to </w:t>
      </w:r>
      <w:r w:rsidR="00A26F67" w:rsidRPr="009A0DA6">
        <w:br/>
        <w:t xml:space="preserve">                              </w:t>
      </w:r>
      <w:r w:rsidRPr="009A0DA6">
        <w:t>Documents</w:t>
      </w:r>
    </w:p>
    <w:p w14:paraId="7C1FF65C" w14:textId="489D3EBF" w:rsidR="001B46FC" w:rsidRPr="009A0DA6" w:rsidRDefault="001B46FC" w:rsidP="00A26F67">
      <w:pPr>
        <w:pStyle w:val="NoSpacing"/>
      </w:pPr>
      <w:r w:rsidRPr="009A0DA6">
        <w:t>Article 15</w:t>
      </w:r>
      <w:r w:rsidRPr="009A0DA6">
        <w:tab/>
        <w:t xml:space="preserve">Appointment and Role of </w:t>
      </w:r>
      <w:r w:rsidR="00A26F67" w:rsidRPr="009A0DA6">
        <w:br/>
        <w:t xml:space="preserve">                              </w:t>
      </w:r>
      <w:r w:rsidRPr="009A0DA6">
        <w:t>Secretary</w:t>
      </w:r>
    </w:p>
    <w:p w14:paraId="713B2406" w14:textId="77777777" w:rsidR="001B46FC" w:rsidRPr="009A0DA6" w:rsidRDefault="001B46FC" w:rsidP="00A26F67">
      <w:pPr>
        <w:pStyle w:val="NoSpacing"/>
      </w:pPr>
      <w:r w:rsidRPr="009A0DA6">
        <w:t>Article 16</w:t>
      </w:r>
      <w:r w:rsidRPr="009A0DA6">
        <w:tab/>
        <w:t>Minutes and Records</w:t>
      </w:r>
    </w:p>
    <w:p w14:paraId="04E1FD15" w14:textId="7ADA0273" w:rsidR="001B46FC" w:rsidRPr="009A0DA6" w:rsidRDefault="001B46FC" w:rsidP="00A26F67">
      <w:pPr>
        <w:pStyle w:val="NoSpacing"/>
      </w:pPr>
      <w:r w:rsidRPr="009A0DA6">
        <w:t>Article 17</w:t>
      </w:r>
      <w:r w:rsidRPr="009A0DA6">
        <w:tab/>
        <w:t xml:space="preserve">Financial and Related </w:t>
      </w:r>
      <w:r w:rsidR="00A26F67" w:rsidRPr="009A0DA6">
        <w:br/>
        <w:t xml:space="preserve">                              </w:t>
      </w:r>
      <w:r w:rsidRPr="009A0DA6">
        <w:t>Records</w:t>
      </w:r>
    </w:p>
    <w:p w14:paraId="6CB6CEB1" w14:textId="77777777" w:rsidR="001B46FC" w:rsidRPr="009A0DA6" w:rsidRDefault="001B46FC" w:rsidP="00A26F67">
      <w:pPr>
        <w:pStyle w:val="NoSpacing"/>
      </w:pPr>
      <w:r w:rsidRPr="009A0DA6">
        <w:t>Article 18</w:t>
      </w:r>
      <w:r w:rsidRPr="009A0DA6">
        <w:tab/>
        <w:t xml:space="preserve"> Governance Policies</w:t>
      </w:r>
    </w:p>
    <w:p w14:paraId="3C2441C1" w14:textId="77777777" w:rsidR="001B46FC" w:rsidRPr="009A0DA6" w:rsidRDefault="001B46FC" w:rsidP="00A26F67">
      <w:pPr>
        <w:pStyle w:val="NoSpacing"/>
      </w:pPr>
      <w:r w:rsidRPr="009A0DA6">
        <w:t>Article 19</w:t>
      </w:r>
      <w:r w:rsidRPr="009A0DA6">
        <w:tab/>
        <w:t xml:space="preserve">Notice </w:t>
      </w:r>
    </w:p>
    <w:p w14:paraId="55FB60DA" w14:textId="77777777" w:rsidR="001B46FC" w:rsidRPr="009A0DA6" w:rsidRDefault="001B46FC" w:rsidP="00A26F67">
      <w:pPr>
        <w:pStyle w:val="NoSpacing"/>
      </w:pPr>
      <w:r w:rsidRPr="009A0DA6">
        <w:tab/>
        <w:t>19.1</w:t>
      </w:r>
      <w:r w:rsidRPr="009A0DA6">
        <w:tab/>
        <w:t>Notice to the College</w:t>
      </w:r>
    </w:p>
    <w:p w14:paraId="27BF7FEF" w14:textId="77777777" w:rsidR="001B46FC" w:rsidRPr="009A0DA6" w:rsidRDefault="001B46FC" w:rsidP="00A26F67">
      <w:pPr>
        <w:pStyle w:val="NoSpacing"/>
      </w:pPr>
      <w:r w:rsidRPr="009A0DA6">
        <w:tab/>
        <w:t>19.2</w:t>
      </w:r>
      <w:r w:rsidRPr="009A0DA6">
        <w:tab/>
        <w:t>Notice to Members</w:t>
      </w:r>
    </w:p>
    <w:p w14:paraId="789BCD83" w14:textId="77777777" w:rsidR="001B46FC" w:rsidRPr="009A0DA6" w:rsidRDefault="001B46FC" w:rsidP="00A26F67">
      <w:pPr>
        <w:pStyle w:val="NoSpacing"/>
      </w:pPr>
      <w:r w:rsidRPr="009A0DA6">
        <w:tab/>
        <w:t>19.3</w:t>
      </w:r>
      <w:r w:rsidRPr="009A0DA6">
        <w:tab/>
        <w:t>Notice given</w:t>
      </w:r>
    </w:p>
    <w:p w14:paraId="0C2804B1" w14:textId="77777777" w:rsidR="001B46FC" w:rsidRPr="009A0DA6" w:rsidRDefault="001B46FC" w:rsidP="00A26F67">
      <w:pPr>
        <w:pStyle w:val="NoSpacing"/>
      </w:pPr>
      <w:r w:rsidRPr="009A0DA6">
        <w:t>Article 20</w:t>
      </w:r>
      <w:r w:rsidRPr="009A0DA6">
        <w:tab/>
        <w:t>College's Financial Year</w:t>
      </w:r>
    </w:p>
    <w:p w14:paraId="7648B591" w14:textId="77777777" w:rsidR="001B46FC" w:rsidRPr="009A0DA6" w:rsidRDefault="001B46FC" w:rsidP="00A26F67">
      <w:pPr>
        <w:pStyle w:val="NoSpacing"/>
      </w:pPr>
      <w:r w:rsidRPr="009A0DA6">
        <w:t>Article 21</w:t>
      </w:r>
      <w:r w:rsidRPr="009A0DA6">
        <w:tab/>
        <w:t>Indemnity</w:t>
      </w:r>
    </w:p>
    <w:p w14:paraId="5E6A6F83" w14:textId="77777777" w:rsidR="001B46FC" w:rsidRPr="009A0DA6" w:rsidRDefault="001B46FC" w:rsidP="00A26F67">
      <w:pPr>
        <w:pStyle w:val="NoSpacing"/>
      </w:pPr>
      <w:r w:rsidRPr="009A0DA6">
        <w:t>Article 22</w:t>
      </w:r>
      <w:r w:rsidRPr="009A0DA6">
        <w:tab/>
        <w:t>Insurance</w:t>
      </w:r>
    </w:p>
    <w:p w14:paraId="3444EDE6" w14:textId="77777777" w:rsidR="001B46FC" w:rsidRPr="009A0DA6" w:rsidRDefault="001B46FC" w:rsidP="00A26F67">
      <w:pPr>
        <w:pStyle w:val="NoSpacing"/>
      </w:pPr>
      <w:r w:rsidRPr="009A0DA6">
        <w:t>Article 23</w:t>
      </w:r>
      <w:r w:rsidRPr="009A0DA6">
        <w:tab/>
        <w:t>Gift Fund and Foundation</w:t>
      </w:r>
    </w:p>
    <w:p w14:paraId="53676D51" w14:textId="57A3FACB" w:rsidR="001B46FC" w:rsidRPr="009A0DA6" w:rsidRDefault="001B46FC" w:rsidP="00A26F67">
      <w:pPr>
        <w:pStyle w:val="NoSpacing"/>
      </w:pPr>
      <w:r w:rsidRPr="009A0DA6">
        <w:t>Article 24</w:t>
      </w:r>
      <w:r w:rsidRPr="009A0DA6">
        <w:tab/>
        <w:t xml:space="preserve">Winding Up and Surplus </w:t>
      </w:r>
      <w:r w:rsidR="00A26F67" w:rsidRPr="009A0DA6">
        <w:br/>
        <w:t xml:space="preserve">                              </w:t>
      </w:r>
      <w:r w:rsidRPr="009A0DA6">
        <w:t xml:space="preserve">Assets </w:t>
      </w:r>
    </w:p>
    <w:p w14:paraId="32FC7916" w14:textId="1CDEDC0A" w:rsidR="001817EA" w:rsidRDefault="001817EA" w:rsidP="001B46FC">
      <w:pPr>
        <w:tabs>
          <w:tab w:val="left" w:pos="709"/>
          <w:tab w:val="left" w:pos="1559"/>
          <w:tab w:val="left" w:pos="2552"/>
          <w:tab w:val="left" w:pos="3544"/>
          <w:tab w:val="left" w:pos="4820"/>
        </w:tabs>
        <w:spacing w:before="240" w:after="0" w:line="240" w:lineRule="auto"/>
        <w:rPr>
          <w:rFonts w:ascii="Cambria" w:hAnsi="Cambria" w:cstheme="majorHAnsi"/>
          <w:bCs/>
        </w:rPr>
      </w:pPr>
    </w:p>
    <w:p w14:paraId="4B54782F" w14:textId="77777777" w:rsidR="001817EA" w:rsidRDefault="001817EA" w:rsidP="001B46FC">
      <w:pPr>
        <w:spacing w:before="120"/>
        <w:rPr>
          <w:rFonts w:ascii="Cambria" w:hAnsi="Cambria"/>
          <w:b/>
        </w:rPr>
        <w:sectPr w:rsidR="001817EA" w:rsidSect="002E1492">
          <w:footerReference w:type="default" r:id="rId30"/>
          <w:pgSz w:w="11906" w:h="16838"/>
          <w:pgMar w:top="1134" w:right="991" w:bottom="1134" w:left="2104" w:header="709" w:footer="709" w:gutter="0"/>
          <w:pgNumType w:start="1"/>
          <w:cols w:space="708"/>
          <w:docGrid w:linePitch="360"/>
        </w:sectPr>
      </w:pPr>
      <w:bookmarkStart w:id="77" w:name="_Ref393966095"/>
    </w:p>
    <w:p w14:paraId="30306F7B" w14:textId="04585228" w:rsidR="001B46FC" w:rsidRPr="009A0DA6" w:rsidRDefault="001B46FC" w:rsidP="001B46FC">
      <w:pPr>
        <w:spacing w:before="120"/>
        <w:rPr>
          <w:rFonts w:ascii="Cambria" w:hAnsi="Cambria"/>
          <w:b/>
        </w:rPr>
      </w:pPr>
      <w:r w:rsidRPr="009A0DA6">
        <w:rPr>
          <w:rFonts w:ascii="Cambria" w:hAnsi="Cambria"/>
          <w:b/>
        </w:rPr>
        <w:t>Article 1</w:t>
      </w:r>
      <w:r w:rsidRPr="009A0DA6">
        <w:rPr>
          <w:rFonts w:ascii="Cambria" w:hAnsi="Cambria"/>
          <w:b/>
        </w:rPr>
        <w:tab/>
        <w:t>The Company</w:t>
      </w:r>
    </w:p>
    <w:p w14:paraId="4D319D8C"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rPr>
          <w:rFonts w:ascii="Cambria" w:hAnsi="Cambria" w:cstheme="majorHAnsi"/>
          <w:bCs/>
        </w:rPr>
      </w:pPr>
      <w:r w:rsidRPr="009A0DA6">
        <w:rPr>
          <w:rFonts w:ascii="Cambria" w:hAnsi="Cambria" w:cstheme="majorHAnsi"/>
          <w:bCs/>
        </w:rPr>
        <w:t>1.1</w:t>
      </w:r>
      <w:r w:rsidRPr="009A0DA6">
        <w:rPr>
          <w:rFonts w:ascii="Cambria" w:hAnsi="Cambria" w:cstheme="majorHAnsi"/>
          <w:bCs/>
        </w:rPr>
        <w:tab/>
      </w:r>
      <w:r w:rsidRPr="009A0DA6">
        <w:rPr>
          <w:rFonts w:ascii="Cambria" w:hAnsi="Cambria" w:cstheme="majorHAnsi"/>
          <w:bCs/>
          <w:u w:val="single"/>
        </w:rPr>
        <w:t>The Name</w:t>
      </w:r>
      <w:r w:rsidRPr="009A0DA6">
        <w:rPr>
          <w:rFonts w:ascii="Cambria" w:hAnsi="Cambria" w:cstheme="majorHAnsi"/>
          <w:bCs/>
        </w:rPr>
        <w:t xml:space="preserve"> </w:t>
      </w:r>
    </w:p>
    <w:p w14:paraId="0375D1DD" w14:textId="77777777" w:rsidR="001B46FC" w:rsidRPr="009A0DA6" w:rsidRDefault="001B46FC" w:rsidP="001B46FC">
      <w:pPr>
        <w:tabs>
          <w:tab w:val="left" w:pos="709"/>
          <w:tab w:val="left" w:pos="1559"/>
          <w:tab w:val="left" w:pos="2552"/>
          <w:tab w:val="left" w:pos="3544"/>
          <w:tab w:val="left" w:pos="4820"/>
        </w:tabs>
        <w:spacing w:after="0" w:line="240" w:lineRule="auto"/>
        <w:rPr>
          <w:rFonts w:ascii="Cambria" w:hAnsi="Cambria" w:cstheme="majorHAnsi"/>
        </w:rPr>
      </w:pPr>
      <w:r w:rsidRPr="009A0DA6">
        <w:rPr>
          <w:rFonts w:ascii="Cambria" w:hAnsi="Cambria" w:cstheme="majorHAnsi"/>
          <w:bCs/>
        </w:rPr>
        <w:tab/>
        <w:t>1.1.1</w:t>
      </w:r>
      <w:r w:rsidRPr="009A0DA6">
        <w:rPr>
          <w:rFonts w:ascii="Cambria" w:hAnsi="Cambria" w:cstheme="majorHAnsi"/>
          <w:bCs/>
        </w:rPr>
        <w:tab/>
        <w:t xml:space="preserve">Name of the </w:t>
      </w:r>
      <w:bookmarkEnd w:id="77"/>
      <w:r w:rsidRPr="009A0DA6">
        <w:rPr>
          <w:rFonts w:ascii="Cambria" w:hAnsi="Cambria" w:cstheme="majorHAnsi"/>
          <w:bCs/>
        </w:rPr>
        <w:t xml:space="preserve">company </w:t>
      </w:r>
      <w:r w:rsidRPr="009A0DA6">
        <w:rPr>
          <w:rFonts w:ascii="Cambria" w:hAnsi="Cambria" w:cstheme="majorHAnsi"/>
        </w:rPr>
        <w:t>is AUSTRALIAN LUTHERAN COLLEGE.</w:t>
      </w:r>
    </w:p>
    <w:p w14:paraId="5A00C222" w14:textId="77777777" w:rsidR="001B46FC" w:rsidRPr="009A0DA6" w:rsidRDefault="001B46FC" w:rsidP="001B46FC">
      <w:pPr>
        <w:tabs>
          <w:tab w:val="left" w:pos="709"/>
          <w:tab w:val="left" w:pos="1559"/>
          <w:tab w:val="left" w:pos="2552"/>
          <w:tab w:val="left" w:pos="3544"/>
          <w:tab w:val="left" w:pos="4820"/>
        </w:tabs>
        <w:spacing w:after="0" w:line="240" w:lineRule="auto"/>
        <w:rPr>
          <w:rFonts w:ascii="Cambria" w:hAnsi="Cambria" w:cstheme="majorHAnsi"/>
        </w:rPr>
      </w:pPr>
      <w:r w:rsidRPr="009A0DA6">
        <w:rPr>
          <w:rFonts w:ascii="Cambria" w:hAnsi="Cambria" w:cstheme="majorHAnsi"/>
        </w:rPr>
        <w:t xml:space="preserve">1.2 </w:t>
      </w:r>
      <w:r w:rsidRPr="009A0DA6">
        <w:rPr>
          <w:rFonts w:ascii="Cambria" w:hAnsi="Cambria" w:cstheme="majorHAnsi"/>
        </w:rPr>
        <w:tab/>
      </w:r>
      <w:r w:rsidRPr="009A0DA6">
        <w:rPr>
          <w:rFonts w:ascii="Cambria" w:hAnsi="Cambria" w:cstheme="majorHAnsi"/>
          <w:u w:val="single"/>
        </w:rPr>
        <w:t>Type of company</w:t>
      </w:r>
    </w:p>
    <w:p w14:paraId="6A246AB1" w14:textId="77777777" w:rsidR="001B46FC" w:rsidRPr="009A0DA6" w:rsidRDefault="001B46FC" w:rsidP="001B46FC">
      <w:pPr>
        <w:pStyle w:val="ListParagraph"/>
        <w:tabs>
          <w:tab w:val="left" w:pos="709"/>
          <w:tab w:val="left" w:pos="1559"/>
          <w:tab w:val="left" w:pos="2552"/>
          <w:tab w:val="left" w:pos="3544"/>
          <w:tab w:val="left" w:pos="4820"/>
        </w:tabs>
        <w:spacing w:after="0" w:line="240" w:lineRule="auto"/>
        <w:ind w:left="1559" w:hanging="1559"/>
        <w:rPr>
          <w:rFonts w:ascii="Cambria" w:hAnsi="Cambria" w:cstheme="majorHAnsi"/>
          <w:bCs/>
        </w:rPr>
      </w:pPr>
      <w:r w:rsidRPr="009A0DA6">
        <w:rPr>
          <w:rFonts w:ascii="Cambria" w:hAnsi="Cambria" w:cstheme="majorHAnsi"/>
          <w:bCs/>
        </w:rPr>
        <w:tab/>
        <w:t>1.2.1</w:t>
      </w:r>
      <w:r w:rsidRPr="009A0DA6">
        <w:rPr>
          <w:rFonts w:ascii="Cambria" w:hAnsi="Cambria" w:cstheme="majorHAnsi"/>
          <w:bCs/>
        </w:rPr>
        <w:tab/>
        <w:t xml:space="preserve">The company is a not-for-profit public company limited by guarantee which has been established as the educational and research institution of the Church. </w:t>
      </w:r>
    </w:p>
    <w:p w14:paraId="121DE810"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rPr>
          <w:rFonts w:ascii="Cambria" w:hAnsi="Cambria" w:cstheme="majorHAnsi"/>
          <w:bCs/>
        </w:rPr>
      </w:pPr>
      <w:r w:rsidRPr="009A0DA6">
        <w:rPr>
          <w:rFonts w:ascii="Cambria" w:hAnsi="Cambria" w:cstheme="majorHAnsi"/>
          <w:bCs/>
        </w:rPr>
        <w:t>1.3</w:t>
      </w:r>
      <w:r w:rsidRPr="009A0DA6">
        <w:rPr>
          <w:rFonts w:ascii="Cambria" w:hAnsi="Cambria" w:cstheme="majorHAnsi"/>
          <w:bCs/>
        </w:rPr>
        <w:tab/>
      </w:r>
      <w:r w:rsidRPr="009A0DA6">
        <w:rPr>
          <w:rFonts w:ascii="Cambria" w:hAnsi="Cambria" w:cstheme="majorHAnsi"/>
          <w:bCs/>
          <w:u w:val="single"/>
        </w:rPr>
        <w:t>Limited liability of Members</w:t>
      </w:r>
    </w:p>
    <w:p w14:paraId="205C6689"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ind w:left="1559" w:hanging="1559"/>
        <w:rPr>
          <w:rFonts w:ascii="Cambria" w:hAnsi="Cambria" w:cstheme="majorHAnsi"/>
          <w:bCs/>
        </w:rPr>
      </w:pPr>
      <w:r w:rsidRPr="009A0DA6">
        <w:rPr>
          <w:rFonts w:ascii="Cambria" w:hAnsi="Cambria" w:cstheme="majorHAnsi"/>
          <w:bCs/>
        </w:rPr>
        <w:tab/>
        <w:t>1.3.1</w:t>
      </w:r>
      <w:r w:rsidRPr="009A0DA6">
        <w:rPr>
          <w:rFonts w:ascii="Cambria" w:hAnsi="Cambria" w:cstheme="majorHAnsi"/>
          <w:bCs/>
        </w:rPr>
        <w:tab/>
        <w:t>The liability of Members is limited to the amount of the guarantee in Clause 1.4.</w:t>
      </w:r>
      <w:bookmarkStart w:id="78" w:name="__RefNumPara__99_1692396360"/>
      <w:bookmarkStart w:id="79" w:name="_Ref389038639"/>
      <w:bookmarkStart w:id="80" w:name="_Ref392160545"/>
      <w:bookmarkEnd w:id="78"/>
    </w:p>
    <w:p w14:paraId="13D65C81"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rPr>
          <w:rFonts w:ascii="Cambria" w:hAnsi="Cambria" w:cstheme="majorHAnsi"/>
        </w:rPr>
      </w:pPr>
      <w:bookmarkStart w:id="81" w:name="_Ref395708706"/>
      <w:r w:rsidRPr="009A0DA6">
        <w:rPr>
          <w:rFonts w:ascii="Cambria" w:hAnsi="Cambria" w:cstheme="majorHAnsi"/>
          <w:bCs/>
        </w:rPr>
        <w:t>1.4</w:t>
      </w:r>
      <w:r w:rsidRPr="009A0DA6">
        <w:rPr>
          <w:rFonts w:ascii="Cambria" w:hAnsi="Cambria" w:cstheme="majorHAnsi"/>
          <w:bCs/>
        </w:rPr>
        <w:tab/>
      </w:r>
      <w:r w:rsidRPr="009A0DA6">
        <w:rPr>
          <w:rFonts w:ascii="Cambria" w:hAnsi="Cambria" w:cstheme="majorHAnsi"/>
          <w:bCs/>
          <w:u w:val="single"/>
        </w:rPr>
        <w:t>The guarantee</w:t>
      </w:r>
      <w:r w:rsidRPr="009A0DA6">
        <w:rPr>
          <w:rFonts w:ascii="Cambria" w:hAnsi="Cambria" w:cstheme="majorHAnsi"/>
        </w:rPr>
        <w:t xml:space="preserve"> </w:t>
      </w:r>
    </w:p>
    <w:p w14:paraId="21A78653"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ind w:left="1559" w:hanging="1559"/>
        <w:rPr>
          <w:rFonts w:ascii="Cambria" w:hAnsi="Cambria" w:cstheme="majorHAnsi"/>
        </w:rPr>
      </w:pPr>
      <w:r w:rsidRPr="009A0DA6">
        <w:rPr>
          <w:rFonts w:ascii="Cambria" w:hAnsi="Cambria" w:cstheme="majorHAnsi"/>
        </w:rPr>
        <w:tab/>
        <w:t>1.4.1</w:t>
      </w:r>
      <w:r w:rsidRPr="009A0DA6">
        <w:rPr>
          <w:rFonts w:ascii="Cambria" w:hAnsi="Cambria" w:cstheme="majorHAnsi"/>
        </w:rPr>
        <w:tab/>
        <w:t xml:space="preserve">Each Member must contribute an amount not more than </w:t>
      </w:r>
      <w:r w:rsidRPr="009A0DA6">
        <w:rPr>
          <w:rFonts w:ascii="Cambria" w:hAnsi="Cambria" w:cstheme="majorHAnsi"/>
          <w:bCs/>
        </w:rPr>
        <w:t>$50 to the property of the company if</w:t>
      </w:r>
      <w:bookmarkStart w:id="82" w:name="_Ref389038644"/>
      <w:bookmarkEnd w:id="79"/>
      <w:r w:rsidRPr="009A0DA6">
        <w:rPr>
          <w:rFonts w:ascii="Cambria" w:hAnsi="Cambria" w:cstheme="majorHAnsi"/>
          <w:bCs/>
        </w:rPr>
        <w:t xml:space="preserve"> </w:t>
      </w:r>
      <w:r w:rsidRPr="009A0DA6">
        <w:rPr>
          <w:rFonts w:ascii="Cambria" w:hAnsi="Cambria" w:cstheme="majorHAnsi"/>
        </w:rPr>
        <w:t>the company is wound up while the Member is a Member, or within 12 months after they stop being a Member, and</w:t>
      </w:r>
      <w:bookmarkEnd w:id="82"/>
      <w:r w:rsidRPr="009A0DA6">
        <w:rPr>
          <w:rFonts w:ascii="Cambria" w:hAnsi="Cambria" w:cstheme="majorHAnsi"/>
        </w:rPr>
        <w:t xml:space="preserve"> this contribution is required to pay for the</w:t>
      </w:r>
      <w:bookmarkEnd w:id="80"/>
      <w:bookmarkEnd w:id="81"/>
    </w:p>
    <w:p w14:paraId="32D8E03D" w14:textId="77777777" w:rsidR="001B46FC" w:rsidRPr="009A0DA6" w:rsidRDefault="001B46FC" w:rsidP="001B46FC">
      <w:pPr>
        <w:pStyle w:val="ACNCproformasublist"/>
        <w:numPr>
          <w:ilvl w:val="0"/>
          <w:numId w:val="0"/>
        </w:numPr>
        <w:tabs>
          <w:tab w:val="left" w:pos="709"/>
          <w:tab w:val="left" w:pos="1559"/>
          <w:tab w:val="left" w:pos="2552"/>
          <w:tab w:val="left" w:pos="3544"/>
          <w:tab w:val="left" w:pos="4820"/>
        </w:tabs>
        <w:ind w:left="2552" w:hanging="2552"/>
        <w:outlineLvl w:val="3"/>
        <w:rPr>
          <w:rFonts w:ascii="Cambria" w:hAnsi="Cambria" w:cstheme="majorHAnsi"/>
        </w:rPr>
      </w:pPr>
      <w:r w:rsidRPr="009A0DA6">
        <w:rPr>
          <w:rFonts w:ascii="Cambria" w:hAnsi="Cambria" w:cstheme="majorHAnsi"/>
        </w:rPr>
        <w:tab/>
      </w:r>
      <w:r w:rsidRPr="009A0DA6">
        <w:rPr>
          <w:rFonts w:ascii="Cambria" w:hAnsi="Cambria" w:cstheme="majorHAnsi"/>
        </w:rPr>
        <w:tab/>
      </w:r>
      <w:bookmarkStart w:id="83" w:name="_Toc521575109"/>
      <w:bookmarkStart w:id="84" w:name="_Toc521692659"/>
      <w:bookmarkStart w:id="85" w:name="_Toc521954614"/>
      <w:bookmarkStart w:id="86" w:name="_Toc522394979"/>
      <w:r w:rsidRPr="009A0DA6">
        <w:rPr>
          <w:rFonts w:ascii="Cambria" w:hAnsi="Cambria" w:cstheme="majorHAnsi"/>
        </w:rPr>
        <w:t>1.4.1</w:t>
      </w:r>
      <w:r w:rsidRPr="009A0DA6">
        <w:rPr>
          <w:rFonts w:ascii="Cambria" w:hAnsi="Cambria" w:cstheme="majorHAnsi"/>
        </w:rPr>
        <w:tab/>
        <w:t>debts and liabilities of the company incurred before the Member stopped being a Member;  or</w:t>
      </w:r>
      <w:bookmarkEnd w:id="83"/>
      <w:bookmarkEnd w:id="84"/>
      <w:bookmarkEnd w:id="85"/>
      <w:bookmarkEnd w:id="86"/>
    </w:p>
    <w:p w14:paraId="451F65F1" w14:textId="77777777" w:rsidR="001B46FC" w:rsidRPr="009A0DA6" w:rsidRDefault="001B46FC" w:rsidP="001B46FC">
      <w:pPr>
        <w:pStyle w:val="ACNCproformasublist"/>
        <w:numPr>
          <w:ilvl w:val="0"/>
          <w:numId w:val="0"/>
        </w:numPr>
        <w:tabs>
          <w:tab w:val="left" w:pos="709"/>
          <w:tab w:val="left" w:pos="1559"/>
          <w:tab w:val="left" w:pos="2552"/>
          <w:tab w:val="left" w:pos="3544"/>
          <w:tab w:val="left" w:pos="4820"/>
        </w:tabs>
        <w:ind w:left="2552" w:hanging="2552"/>
        <w:rPr>
          <w:rFonts w:ascii="Cambria" w:hAnsi="Cambria" w:cstheme="majorHAnsi"/>
        </w:rPr>
      </w:pPr>
      <w:r w:rsidRPr="009A0DA6">
        <w:rPr>
          <w:rFonts w:ascii="Cambria" w:hAnsi="Cambria" w:cstheme="majorHAnsi"/>
        </w:rPr>
        <w:tab/>
      </w:r>
      <w:r w:rsidRPr="009A0DA6">
        <w:rPr>
          <w:rFonts w:ascii="Cambria" w:hAnsi="Cambria" w:cstheme="majorHAnsi"/>
        </w:rPr>
        <w:tab/>
      </w:r>
      <w:bookmarkStart w:id="87" w:name="_Toc521575110"/>
      <w:bookmarkStart w:id="88" w:name="_Toc521692660"/>
      <w:bookmarkStart w:id="89" w:name="_Toc521954615"/>
      <w:bookmarkStart w:id="90" w:name="_Toc522394980"/>
      <w:r w:rsidRPr="009A0DA6">
        <w:rPr>
          <w:rFonts w:ascii="Cambria" w:hAnsi="Cambria" w:cstheme="majorHAnsi"/>
        </w:rPr>
        <w:t>1.4.2</w:t>
      </w:r>
      <w:r w:rsidRPr="009A0DA6">
        <w:rPr>
          <w:rFonts w:ascii="Cambria" w:hAnsi="Cambria" w:cstheme="majorHAnsi"/>
        </w:rPr>
        <w:tab/>
        <w:t>costs of winding up.</w:t>
      </w:r>
      <w:bookmarkEnd w:id="87"/>
      <w:bookmarkEnd w:id="88"/>
      <w:bookmarkEnd w:id="89"/>
      <w:bookmarkEnd w:id="90"/>
    </w:p>
    <w:p w14:paraId="6096A9F6"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rPr>
          <w:rFonts w:ascii="Cambria" w:hAnsi="Cambria" w:cstheme="majorHAnsi"/>
          <w:bCs/>
        </w:rPr>
      </w:pPr>
      <w:bookmarkStart w:id="91" w:name="_Toc390209802"/>
      <w:r w:rsidRPr="009A0DA6">
        <w:rPr>
          <w:rFonts w:ascii="Cambria" w:hAnsi="Cambria" w:cstheme="majorHAnsi"/>
          <w:bCs/>
        </w:rPr>
        <w:t>1.5</w:t>
      </w:r>
      <w:r w:rsidRPr="009A0DA6">
        <w:rPr>
          <w:rFonts w:ascii="Cambria" w:hAnsi="Cambria" w:cstheme="majorHAnsi"/>
          <w:bCs/>
        </w:rPr>
        <w:tab/>
      </w:r>
      <w:r w:rsidRPr="009A0DA6">
        <w:rPr>
          <w:rFonts w:ascii="Cambria" w:hAnsi="Cambria" w:cstheme="majorHAnsi"/>
          <w:bCs/>
          <w:u w:val="single"/>
        </w:rPr>
        <w:t>Definitions and Interpretation</w:t>
      </w:r>
      <w:bookmarkEnd w:id="91"/>
    </w:p>
    <w:p w14:paraId="0F03334A" w14:textId="77777777" w:rsidR="001B46FC" w:rsidRPr="009A0DA6" w:rsidRDefault="001B46FC" w:rsidP="001B46FC">
      <w:pPr>
        <w:pStyle w:val="Level1"/>
        <w:tabs>
          <w:tab w:val="left" w:pos="709"/>
          <w:tab w:val="left" w:pos="1559"/>
          <w:tab w:val="left" w:pos="2552"/>
          <w:tab w:val="left" w:pos="3544"/>
          <w:tab w:val="left" w:pos="4820"/>
        </w:tabs>
        <w:spacing w:after="0"/>
        <w:ind w:left="0" w:firstLine="0"/>
        <w:jc w:val="left"/>
        <w:rPr>
          <w:rFonts w:ascii="Cambria" w:hAnsi="Cambria" w:cstheme="majorHAnsi"/>
          <w:sz w:val="22"/>
          <w:szCs w:val="22"/>
        </w:rPr>
      </w:pPr>
      <w:r w:rsidRPr="009A0DA6">
        <w:rPr>
          <w:rFonts w:ascii="Cambria" w:hAnsi="Cambria" w:cstheme="majorHAnsi"/>
          <w:sz w:val="22"/>
          <w:szCs w:val="22"/>
        </w:rPr>
        <w:tab/>
        <w:t>In this Constitution of this company, unless the contrary intention appears:</w:t>
      </w:r>
    </w:p>
    <w:p w14:paraId="08D34719" w14:textId="77777777" w:rsidR="001B46FC" w:rsidRPr="009A0DA6" w:rsidRDefault="001B46FC" w:rsidP="001B46FC">
      <w:pPr>
        <w:pStyle w:val="Number2"/>
        <w:tabs>
          <w:tab w:val="left" w:pos="709"/>
          <w:tab w:val="left" w:pos="1559"/>
          <w:tab w:val="left" w:pos="2552"/>
          <w:tab w:val="left" w:pos="3544"/>
          <w:tab w:val="left" w:pos="4820"/>
        </w:tabs>
        <w:spacing w:after="0"/>
        <w:ind w:left="0" w:firstLine="0"/>
        <w:jc w:val="left"/>
        <w:rPr>
          <w:rFonts w:ascii="Cambria" w:hAnsi="Cambria" w:cstheme="majorHAnsi"/>
          <w:sz w:val="22"/>
          <w:szCs w:val="22"/>
        </w:rPr>
      </w:pPr>
      <w:r w:rsidRPr="009A0DA6">
        <w:rPr>
          <w:rFonts w:ascii="Cambria" w:hAnsi="Cambria" w:cstheme="majorHAnsi"/>
          <w:sz w:val="22"/>
          <w:szCs w:val="22"/>
        </w:rPr>
        <w:tab/>
      </w:r>
      <w:bookmarkStart w:id="92" w:name="_Toc521575111"/>
      <w:bookmarkStart w:id="93" w:name="_Toc521692661"/>
      <w:bookmarkStart w:id="94" w:name="_Toc521954616"/>
      <w:bookmarkStart w:id="95" w:name="_Toc522394981"/>
      <w:r w:rsidRPr="009A0DA6">
        <w:rPr>
          <w:rFonts w:ascii="Cambria" w:hAnsi="Cambria" w:cstheme="majorHAnsi"/>
          <w:sz w:val="22"/>
          <w:szCs w:val="22"/>
        </w:rPr>
        <w:t>1.5.1</w:t>
      </w:r>
      <w:r w:rsidRPr="009A0DA6">
        <w:rPr>
          <w:rFonts w:ascii="Cambria" w:hAnsi="Cambria" w:cstheme="majorHAnsi"/>
          <w:sz w:val="22"/>
          <w:szCs w:val="22"/>
        </w:rPr>
        <w:tab/>
      </w:r>
      <w:r w:rsidRPr="009A0DA6">
        <w:rPr>
          <w:rFonts w:ascii="Cambria" w:hAnsi="Cambria" w:cstheme="majorHAnsi"/>
          <w:b/>
          <w:sz w:val="22"/>
          <w:szCs w:val="22"/>
        </w:rPr>
        <w:t>‘the Act’</w:t>
      </w:r>
      <w:r w:rsidRPr="009A0DA6">
        <w:rPr>
          <w:rFonts w:ascii="Cambria" w:hAnsi="Cambria" w:cstheme="majorHAnsi"/>
          <w:sz w:val="22"/>
          <w:szCs w:val="22"/>
        </w:rPr>
        <w:t xml:space="preserve"> means the</w:t>
      </w:r>
      <w:bookmarkEnd w:id="92"/>
      <w:bookmarkEnd w:id="93"/>
      <w:bookmarkEnd w:id="94"/>
      <w:bookmarkEnd w:id="95"/>
    </w:p>
    <w:p w14:paraId="2C5B39D0" w14:textId="77777777" w:rsidR="001B46FC" w:rsidRPr="009A0DA6" w:rsidRDefault="001B46FC" w:rsidP="001B46FC">
      <w:pPr>
        <w:pStyle w:val="Number2"/>
        <w:tabs>
          <w:tab w:val="left" w:pos="709"/>
          <w:tab w:val="left" w:pos="1559"/>
          <w:tab w:val="left" w:pos="2552"/>
          <w:tab w:val="left" w:pos="3544"/>
          <w:tab w:val="left" w:pos="4820"/>
        </w:tabs>
        <w:spacing w:after="0"/>
        <w:ind w:left="0" w:firstLine="0"/>
        <w:jc w:val="left"/>
        <w:rPr>
          <w:rFonts w:ascii="Cambria" w:hAnsi="Cambria" w:cstheme="majorHAnsi"/>
          <w:sz w:val="22"/>
          <w:szCs w:val="22"/>
        </w:rPr>
      </w:pPr>
      <w:r w:rsidRPr="009A0DA6">
        <w:rPr>
          <w:rFonts w:ascii="Cambria" w:hAnsi="Cambria" w:cstheme="majorHAnsi"/>
          <w:sz w:val="22"/>
          <w:szCs w:val="22"/>
        </w:rPr>
        <w:tab/>
      </w:r>
      <w:r w:rsidRPr="009A0DA6">
        <w:rPr>
          <w:rFonts w:ascii="Cambria" w:hAnsi="Cambria" w:cstheme="majorHAnsi"/>
          <w:sz w:val="22"/>
          <w:szCs w:val="22"/>
        </w:rPr>
        <w:tab/>
      </w:r>
      <w:bookmarkStart w:id="96" w:name="_Toc521575112"/>
      <w:bookmarkStart w:id="97" w:name="_Toc521692662"/>
      <w:bookmarkStart w:id="98" w:name="_Toc521954617"/>
      <w:bookmarkStart w:id="99" w:name="_Toc522394982"/>
      <w:r w:rsidRPr="009A0DA6">
        <w:rPr>
          <w:rFonts w:ascii="Cambria" w:hAnsi="Cambria" w:cstheme="majorHAnsi"/>
          <w:sz w:val="22"/>
          <w:szCs w:val="22"/>
        </w:rPr>
        <w:t>1.5.1.1</w:t>
      </w:r>
      <w:r w:rsidRPr="009A0DA6">
        <w:rPr>
          <w:rFonts w:ascii="Cambria" w:hAnsi="Cambria" w:cstheme="majorHAnsi"/>
          <w:sz w:val="22"/>
          <w:szCs w:val="22"/>
        </w:rPr>
        <w:tab/>
      </w:r>
      <w:r w:rsidRPr="009A0DA6">
        <w:rPr>
          <w:rFonts w:ascii="Cambria" w:hAnsi="Cambria" w:cstheme="majorHAnsi"/>
          <w:b/>
          <w:sz w:val="22"/>
          <w:szCs w:val="22"/>
        </w:rPr>
        <w:t>‘</w:t>
      </w:r>
      <w:r w:rsidRPr="009A0DA6">
        <w:rPr>
          <w:rFonts w:ascii="Cambria" w:hAnsi="Cambria" w:cstheme="majorHAnsi"/>
          <w:b/>
          <w:spacing w:val="-1"/>
          <w:sz w:val="22"/>
          <w:szCs w:val="22"/>
        </w:rPr>
        <w:t>Corporations Act 2001’;</w:t>
      </w:r>
      <w:r w:rsidRPr="009A0DA6">
        <w:rPr>
          <w:rFonts w:ascii="Cambria" w:hAnsi="Cambria" w:cstheme="majorHAnsi"/>
          <w:spacing w:val="-1"/>
          <w:sz w:val="22"/>
          <w:szCs w:val="22"/>
        </w:rPr>
        <w:t xml:space="preserve">  and the</w:t>
      </w:r>
      <w:bookmarkEnd w:id="96"/>
      <w:bookmarkEnd w:id="97"/>
      <w:bookmarkEnd w:id="98"/>
      <w:bookmarkEnd w:id="99"/>
    </w:p>
    <w:p w14:paraId="42C5AF16" w14:textId="77777777" w:rsidR="001B46FC" w:rsidRPr="009A0DA6" w:rsidRDefault="001B46FC" w:rsidP="001B46FC">
      <w:pPr>
        <w:pStyle w:val="Number2"/>
        <w:tabs>
          <w:tab w:val="left" w:pos="709"/>
          <w:tab w:val="left" w:pos="1559"/>
          <w:tab w:val="left" w:pos="2552"/>
          <w:tab w:val="left" w:pos="3544"/>
          <w:tab w:val="left" w:pos="4820"/>
        </w:tabs>
        <w:spacing w:after="0"/>
        <w:ind w:left="2552" w:hanging="2552"/>
        <w:jc w:val="left"/>
        <w:rPr>
          <w:rFonts w:ascii="Cambria" w:hAnsi="Cambria" w:cstheme="majorHAnsi"/>
          <w:sz w:val="22"/>
          <w:szCs w:val="22"/>
        </w:rPr>
      </w:pPr>
      <w:r w:rsidRPr="009A0DA6">
        <w:rPr>
          <w:rFonts w:ascii="Cambria" w:hAnsi="Cambria" w:cstheme="majorHAnsi"/>
          <w:sz w:val="22"/>
          <w:szCs w:val="22"/>
        </w:rPr>
        <w:tab/>
      </w:r>
      <w:r w:rsidRPr="009A0DA6">
        <w:rPr>
          <w:rFonts w:ascii="Cambria" w:hAnsi="Cambria" w:cstheme="majorHAnsi"/>
          <w:sz w:val="22"/>
          <w:szCs w:val="22"/>
        </w:rPr>
        <w:tab/>
      </w:r>
      <w:bookmarkStart w:id="100" w:name="_Toc521575113"/>
      <w:bookmarkStart w:id="101" w:name="_Toc521692663"/>
      <w:bookmarkStart w:id="102" w:name="_Toc521954618"/>
      <w:bookmarkStart w:id="103" w:name="_Toc522394983"/>
      <w:r w:rsidRPr="009A0DA6">
        <w:rPr>
          <w:rFonts w:ascii="Cambria" w:hAnsi="Cambria" w:cstheme="majorHAnsi"/>
          <w:sz w:val="22"/>
          <w:szCs w:val="22"/>
        </w:rPr>
        <w:t>1.5.1.2</w:t>
      </w:r>
      <w:r w:rsidRPr="009A0DA6">
        <w:rPr>
          <w:rFonts w:ascii="Cambria" w:hAnsi="Cambria" w:cstheme="majorHAnsi"/>
          <w:sz w:val="22"/>
          <w:szCs w:val="22"/>
        </w:rPr>
        <w:tab/>
        <w:t>‘</w:t>
      </w:r>
      <w:r w:rsidRPr="009A0DA6">
        <w:rPr>
          <w:rFonts w:ascii="Cambria" w:hAnsi="Cambria" w:cstheme="majorHAnsi"/>
          <w:b/>
          <w:sz w:val="22"/>
          <w:szCs w:val="22"/>
        </w:rPr>
        <w:t>ACNC Act’</w:t>
      </w:r>
      <w:r w:rsidRPr="009A0DA6">
        <w:rPr>
          <w:rFonts w:ascii="Cambria" w:hAnsi="Cambria" w:cstheme="majorHAnsi"/>
          <w:sz w:val="22"/>
          <w:szCs w:val="22"/>
        </w:rPr>
        <w:t xml:space="preserve"> means the Australian Charities and Not-for-Profits Commission Act 2012</w:t>
      </w:r>
      <w:r w:rsidRPr="009A0DA6">
        <w:rPr>
          <w:rFonts w:ascii="Cambria" w:hAnsi="Cambria" w:cstheme="majorHAnsi"/>
          <w:spacing w:val="-1"/>
          <w:sz w:val="22"/>
          <w:szCs w:val="22"/>
        </w:rPr>
        <w:t>;</w:t>
      </w:r>
      <w:bookmarkEnd w:id="100"/>
      <w:bookmarkEnd w:id="101"/>
      <w:bookmarkEnd w:id="102"/>
      <w:bookmarkEnd w:id="103"/>
    </w:p>
    <w:p w14:paraId="34DAC69E" w14:textId="77777777" w:rsidR="001B46FC" w:rsidRPr="009A0DA6" w:rsidRDefault="001B46FC" w:rsidP="001B46FC">
      <w:pPr>
        <w:pStyle w:val="Number2"/>
        <w:tabs>
          <w:tab w:val="left" w:pos="709"/>
          <w:tab w:val="left" w:pos="1559"/>
          <w:tab w:val="left" w:pos="2552"/>
          <w:tab w:val="left" w:pos="3544"/>
          <w:tab w:val="left" w:pos="4820"/>
        </w:tabs>
        <w:spacing w:after="0"/>
        <w:ind w:left="2552" w:hanging="2552"/>
        <w:jc w:val="left"/>
        <w:rPr>
          <w:rFonts w:ascii="Cambria" w:hAnsi="Cambria" w:cstheme="majorHAnsi"/>
          <w:sz w:val="22"/>
          <w:szCs w:val="22"/>
        </w:rPr>
      </w:pPr>
      <w:r w:rsidRPr="009A0DA6">
        <w:rPr>
          <w:rFonts w:ascii="Cambria" w:hAnsi="Cambria" w:cstheme="majorHAnsi"/>
          <w:sz w:val="22"/>
          <w:szCs w:val="22"/>
        </w:rPr>
        <w:tab/>
      </w:r>
      <w:r w:rsidRPr="009A0DA6">
        <w:rPr>
          <w:rFonts w:ascii="Cambria" w:hAnsi="Cambria" w:cstheme="majorHAnsi"/>
          <w:sz w:val="22"/>
          <w:szCs w:val="22"/>
        </w:rPr>
        <w:tab/>
      </w:r>
      <w:bookmarkStart w:id="104" w:name="_Toc521575114"/>
      <w:bookmarkStart w:id="105" w:name="_Toc521692664"/>
      <w:bookmarkStart w:id="106" w:name="_Toc521954619"/>
      <w:bookmarkStart w:id="107" w:name="_Toc522394984"/>
      <w:r w:rsidRPr="009A0DA6">
        <w:rPr>
          <w:rFonts w:ascii="Cambria" w:hAnsi="Cambria" w:cstheme="majorHAnsi"/>
          <w:sz w:val="22"/>
          <w:szCs w:val="22"/>
        </w:rPr>
        <w:t>1.5.1.3</w:t>
      </w:r>
      <w:r w:rsidRPr="009A0DA6">
        <w:rPr>
          <w:rFonts w:ascii="Cambria" w:hAnsi="Cambria" w:cstheme="majorHAnsi"/>
          <w:sz w:val="22"/>
          <w:szCs w:val="22"/>
        </w:rPr>
        <w:tab/>
        <w:t>reference to an Act includes every amendment, re-enactment, or replacement of that Act and any subordinate legislation and regulations made under that Act;</w:t>
      </w:r>
      <w:bookmarkEnd w:id="104"/>
      <w:bookmarkEnd w:id="105"/>
      <w:bookmarkEnd w:id="106"/>
      <w:bookmarkEnd w:id="107"/>
    </w:p>
    <w:p w14:paraId="48027D41" w14:textId="77777777" w:rsidR="001B46FC" w:rsidRPr="009A0DA6" w:rsidRDefault="001B46FC" w:rsidP="001B46FC">
      <w:pPr>
        <w:pStyle w:val="Number2"/>
        <w:tabs>
          <w:tab w:val="left" w:pos="709"/>
          <w:tab w:val="left" w:pos="1559"/>
          <w:tab w:val="left" w:pos="2552"/>
          <w:tab w:val="left" w:pos="3544"/>
          <w:tab w:val="left" w:pos="4820"/>
        </w:tabs>
        <w:spacing w:after="0"/>
        <w:ind w:left="0" w:firstLine="0"/>
        <w:jc w:val="left"/>
        <w:rPr>
          <w:rFonts w:ascii="Cambria" w:hAnsi="Cambria" w:cstheme="majorHAnsi"/>
          <w:sz w:val="22"/>
          <w:szCs w:val="22"/>
        </w:rPr>
      </w:pPr>
      <w:r w:rsidRPr="009A0DA6">
        <w:rPr>
          <w:rFonts w:ascii="Cambria" w:hAnsi="Cambria" w:cstheme="majorHAnsi"/>
          <w:sz w:val="22"/>
          <w:szCs w:val="22"/>
        </w:rPr>
        <w:tab/>
      </w:r>
      <w:bookmarkStart w:id="108" w:name="_Toc521575115"/>
      <w:bookmarkStart w:id="109" w:name="_Toc521692665"/>
      <w:bookmarkStart w:id="110" w:name="_Toc521954620"/>
      <w:bookmarkStart w:id="111" w:name="_Toc522394985"/>
      <w:r w:rsidRPr="009A0DA6">
        <w:rPr>
          <w:rFonts w:ascii="Cambria" w:hAnsi="Cambria" w:cstheme="majorHAnsi"/>
          <w:sz w:val="22"/>
          <w:szCs w:val="22"/>
        </w:rPr>
        <w:t>1.5.2</w:t>
      </w:r>
      <w:r w:rsidRPr="009A0DA6">
        <w:rPr>
          <w:rFonts w:ascii="Cambria" w:hAnsi="Cambria" w:cstheme="majorHAnsi"/>
          <w:sz w:val="22"/>
          <w:szCs w:val="22"/>
        </w:rPr>
        <w:tab/>
      </w:r>
      <w:r w:rsidRPr="009A0DA6">
        <w:rPr>
          <w:rFonts w:ascii="Cambria" w:hAnsi="Cambria" w:cstheme="majorHAnsi"/>
          <w:b/>
          <w:sz w:val="22"/>
          <w:szCs w:val="22"/>
        </w:rPr>
        <w:t>‘Auditor’</w:t>
      </w:r>
      <w:r w:rsidRPr="009A0DA6">
        <w:rPr>
          <w:rFonts w:ascii="Cambria" w:hAnsi="Cambria" w:cstheme="majorHAnsi"/>
          <w:sz w:val="22"/>
          <w:szCs w:val="22"/>
        </w:rPr>
        <w:t xml:space="preserve"> means the auditor of the Company;</w:t>
      </w:r>
      <w:bookmarkEnd w:id="108"/>
      <w:bookmarkEnd w:id="109"/>
      <w:bookmarkEnd w:id="110"/>
      <w:bookmarkEnd w:id="111"/>
    </w:p>
    <w:p w14:paraId="228C08FF" w14:textId="77777777" w:rsidR="001B46FC" w:rsidRPr="009A0DA6" w:rsidRDefault="001B46FC" w:rsidP="001B46FC">
      <w:pPr>
        <w:pStyle w:val="Number2"/>
        <w:tabs>
          <w:tab w:val="left" w:pos="709"/>
          <w:tab w:val="left" w:pos="1559"/>
          <w:tab w:val="left" w:pos="2552"/>
          <w:tab w:val="left" w:pos="3544"/>
          <w:tab w:val="left" w:pos="4820"/>
        </w:tabs>
        <w:spacing w:after="0"/>
        <w:ind w:left="0" w:firstLine="0"/>
        <w:jc w:val="left"/>
        <w:rPr>
          <w:rFonts w:ascii="Cambria" w:hAnsi="Cambria" w:cstheme="majorHAnsi"/>
          <w:sz w:val="22"/>
          <w:szCs w:val="22"/>
        </w:rPr>
      </w:pPr>
      <w:r w:rsidRPr="009A0DA6">
        <w:rPr>
          <w:rFonts w:ascii="Cambria" w:hAnsi="Cambria" w:cstheme="majorHAnsi"/>
          <w:spacing w:val="-1"/>
          <w:sz w:val="22"/>
          <w:szCs w:val="22"/>
        </w:rPr>
        <w:tab/>
      </w:r>
      <w:bookmarkStart w:id="112" w:name="_Toc521575116"/>
      <w:bookmarkStart w:id="113" w:name="_Toc521692666"/>
      <w:bookmarkStart w:id="114" w:name="_Toc521954621"/>
      <w:bookmarkStart w:id="115" w:name="_Toc522394986"/>
      <w:r w:rsidRPr="009A0DA6">
        <w:rPr>
          <w:rFonts w:ascii="Cambria" w:hAnsi="Cambria" w:cstheme="majorHAnsi"/>
          <w:spacing w:val="-1"/>
          <w:sz w:val="22"/>
          <w:szCs w:val="22"/>
        </w:rPr>
        <w:t xml:space="preserve">1.5.3 </w:t>
      </w:r>
      <w:r w:rsidRPr="009A0DA6">
        <w:rPr>
          <w:rFonts w:ascii="Cambria" w:hAnsi="Cambria" w:cstheme="majorHAnsi"/>
          <w:spacing w:val="-1"/>
          <w:sz w:val="22"/>
          <w:szCs w:val="22"/>
        </w:rPr>
        <w:tab/>
      </w:r>
      <w:r w:rsidRPr="009A0DA6">
        <w:rPr>
          <w:rFonts w:ascii="Cambria" w:hAnsi="Cambria" w:cstheme="majorHAnsi"/>
          <w:b/>
          <w:spacing w:val="-1"/>
          <w:sz w:val="22"/>
          <w:szCs w:val="22"/>
        </w:rPr>
        <w:t>‘Board’</w:t>
      </w:r>
      <w:r w:rsidRPr="009A0DA6">
        <w:rPr>
          <w:rFonts w:ascii="Cambria" w:hAnsi="Cambria" w:cstheme="majorHAnsi"/>
          <w:spacing w:val="-1"/>
          <w:sz w:val="22"/>
          <w:szCs w:val="22"/>
        </w:rPr>
        <w:t xml:space="preserve"> means the Board of Directors of the Company;</w:t>
      </w:r>
      <w:bookmarkEnd w:id="112"/>
      <w:bookmarkEnd w:id="113"/>
      <w:bookmarkEnd w:id="114"/>
      <w:bookmarkEnd w:id="115"/>
    </w:p>
    <w:p w14:paraId="7141E511" w14:textId="77777777" w:rsidR="001B46FC" w:rsidRPr="009A0DA6" w:rsidRDefault="001B46FC" w:rsidP="001B46FC">
      <w:pPr>
        <w:pStyle w:val="Number2"/>
        <w:tabs>
          <w:tab w:val="left" w:pos="709"/>
          <w:tab w:val="left" w:pos="1559"/>
          <w:tab w:val="left" w:pos="2552"/>
          <w:tab w:val="left" w:pos="3544"/>
          <w:tab w:val="left" w:pos="4820"/>
        </w:tabs>
        <w:spacing w:after="0"/>
        <w:ind w:hanging="1559"/>
        <w:jc w:val="left"/>
        <w:rPr>
          <w:rFonts w:ascii="Cambria" w:hAnsi="Cambria" w:cstheme="majorHAnsi"/>
          <w:sz w:val="22"/>
          <w:szCs w:val="22"/>
        </w:rPr>
      </w:pPr>
      <w:r w:rsidRPr="009A0DA6">
        <w:rPr>
          <w:rFonts w:ascii="Cambria" w:hAnsi="Cambria" w:cstheme="majorHAnsi"/>
          <w:sz w:val="22"/>
          <w:szCs w:val="22"/>
        </w:rPr>
        <w:tab/>
      </w:r>
      <w:bookmarkStart w:id="116" w:name="_Toc521575117"/>
      <w:bookmarkStart w:id="117" w:name="_Toc521692667"/>
      <w:bookmarkStart w:id="118" w:name="_Toc521954622"/>
      <w:bookmarkStart w:id="119" w:name="_Toc522394987"/>
      <w:r w:rsidRPr="009A0DA6">
        <w:rPr>
          <w:rFonts w:ascii="Cambria" w:hAnsi="Cambria" w:cstheme="majorHAnsi"/>
          <w:sz w:val="22"/>
          <w:szCs w:val="22"/>
        </w:rPr>
        <w:t>1.5.4</w:t>
      </w:r>
      <w:r w:rsidRPr="009A0DA6">
        <w:rPr>
          <w:rFonts w:ascii="Cambria" w:hAnsi="Cambria" w:cstheme="majorHAnsi"/>
          <w:sz w:val="22"/>
          <w:szCs w:val="22"/>
        </w:rPr>
        <w:tab/>
      </w:r>
      <w:r w:rsidRPr="009A0DA6">
        <w:rPr>
          <w:rFonts w:ascii="Cambria" w:hAnsi="Cambria" w:cstheme="majorHAnsi"/>
          <w:b/>
          <w:sz w:val="22"/>
          <w:szCs w:val="22"/>
        </w:rPr>
        <w:t>‘Church’</w:t>
      </w:r>
      <w:r w:rsidRPr="009A0DA6">
        <w:rPr>
          <w:rFonts w:ascii="Cambria" w:hAnsi="Cambria" w:cstheme="majorHAnsi"/>
          <w:sz w:val="22"/>
          <w:szCs w:val="22"/>
        </w:rPr>
        <w:t xml:space="preserve"> means the Lutheran Church of Australia Inc or its successor provided that if the Lutheran Church of Australia Inc or its successor becomes an externally administered body corporate within the meaning of the </w:t>
      </w:r>
      <w:r w:rsidRPr="009A0DA6">
        <w:rPr>
          <w:rFonts w:ascii="Cambria" w:hAnsi="Cambria" w:cstheme="majorHAnsi"/>
          <w:i/>
          <w:sz w:val="22"/>
          <w:szCs w:val="22"/>
        </w:rPr>
        <w:t xml:space="preserve">Corporations Act </w:t>
      </w:r>
      <w:r w:rsidRPr="009A0DA6">
        <w:rPr>
          <w:rFonts w:ascii="Cambria" w:hAnsi="Cambria" w:cstheme="majorHAnsi"/>
          <w:sz w:val="22"/>
          <w:szCs w:val="22"/>
        </w:rPr>
        <w:t xml:space="preserve">2001 pursuant to the provisions of part 5 of the </w:t>
      </w:r>
      <w:r w:rsidRPr="009A0DA6">
        <w:rPr>
          <w:rFonts w:ascii="Cambria" w:hAnsi="Cambria" w:cstheme="majorHAnsi"/>
          <w:i/>
          <w:sz w:val="22"/>
          <w:szCs w:val="22"/>
        </w:rPr>
        <w:t>Associations and Corporations Act</w:t>
      </w:r>
      <w:r w:rsidRPr="009A0DA6">
        <w:rPr>
          <w:rFonts w:ascii="Cambria" w:hAnsi="Cambria" w:cstheme="majorHAnsi"/>
          <w:sz w:val="22"/>
          <w:szCs w:val="22"/>
        </w:rPr>
        <w:t xml:space="preserve"> 1985 </w:t>
      </w:r>
      <w:r w:rsidRPr="009A0DA6">
        <w:rPr>
          <w:rFonts w:ascii="Cambria" w:hAnsi="Cambria" w:cstheme="majorHAnsi"/>
          <w:b/>
          <w:sz w:val="22"/>
          <w:szCs w:val="22"/>
        </w:rPr>
        <w:t>‘Church’</w:t>
      </w:r>
      <w:r w:rsidRPr="009A0DA6">
        <w:rPr>
          <w:rFonts w:ascii="Cambria" w:hAnsi="Cambria" w:cstheme="majorHAnsi"/>
          <w:sz w:val="22"/>
          <w:szCs w:val="22"/>
        </w:rPr>
        <w:t xml:space="preserve"> shall mean the association (whether incorporated or otherwise) established in substitution for the </w:t>
      </w:r>
      <w:r w:rsidRPr="009A0DA6">
        <w:rPr>
          <w:rFonts w:ascii="Cambria" w:hAnsi="Cambria" w:cstheme="majorHAnsi"/>
          <w:sz w:val="22"/>
          <w:szCs w:val="22"/>
        </w:rPr>
        <w:lastRenderedPageBreak/>
        <w:t>Lutheran Church of Australia Inc with a Confession and Objects and a constitution substantially the same as the Lutheran Church of Australia Inc;</w:t>
      </w:r>
      <w:bookmarkEnd w:id="116"/>
      <w:bookmarkEnd w:id="117"/>
      <w:bookmarkEnd w:id="118"/>
      <w:bookmarkEnd w:id="119"/>
    </w:p>
    <w:p w14:paraId="07FDB37E" w14:textId="77777777" w:rsidR="001B46FC" w:rsidRPr="009A0DA6" w:rsidRDefault="001B46FC" w:rsidP="001B46FC">
      <w:pPr>
        <w:pStyle w:val="Number2"/>
        <w:tabs>
          <w:tab w:val="left" w:pos="709"/>
          <w:tab w:val="left" w:pos="1559"/>
          <w:tab w:val="left" w:pos="2552"/>
          <w:tab w:val="left" w:pos="3544"/>
          <w:tab w:val="left" w:pos="4820"/>
        </w:tabs>
        <w:spacing w:after="0"/>
        <w:ind w:hanging="1559"/>
        <w:jc w:val="left"/>
        <w:rPr>
          <w:rFonts w:ascii="Cambria" w:hAnsi="Cambria" w:cstheme="majorHAnsi"/>
          <w:sz w:val="22"/>
          <w:szCs w:val="22"/>
        </w:rPr>
      </w:pPr>
      <w:r w:rsidRPr="009A0DA6">
        <w:rPr>
          <w:rFonts w:ascii="Cambria" w:hAnsi="Cambria" w:cstheme="majorHAnsi"/>
          <w:sz w:val="22"/>
          <w:szCs w:val="22"/>
        </w:rPr>
        <w:tab/>
      </w:r>
      <w:bookmarkStart w:id="120" w:name="_Toc521575118"/>
      <w:bookmarkStart w:id="121" w:name="_Toc521692668"/>
      <w:bookmarkStart w:id="122" w:name="_Toc521954623"/>
      <w:bookmarkStart w:id="123" w:name="_Toc522394988"/>
      <w:r w:rsidRPr="009A0DA6">
        <w:rPr>
          <w:rFonts w:ascii="Cambria" w:hAnsi="Cambria" w:cstheme="majorHAnsi"/>
          <w:sz w:val="22"/>
          <w:szCs w:val="22"/>
        </w:rPr>
        <w:t>1.5.5</w:t>
      </w:r>
      <w:r w:rsidRPr="009A0DA6">
        <w:rPr>
          <w:rFonts w:ascii="Cambria" w:hAnsi="Cambria" w:cstheme="majorHAnsi"/>
          <w:sz w:val="22"/>
          <w:szCs w:val="22"/>
        </w:rPr>
        <w:tab/>
        <w:t>‘</w:t>
      </w:r>
      <w:r w:rsidRPr="009A0DA6">
        <w:rPr>
          <w:rFonts w:ascii="Cambria" w:hAnsi="Cambria" w:cstheme="majorHAnsi"/>
          <w:b/>
          <w:sz w:val="22"/>
          <w:szCs w:val="22"/>
        </w:rPr>
        <w:t xml:space="preserve">circular resolution’ </w:t>
      </w:r>
      <w:r w:rsidRPr="009A0DA6">
        <w:rPr>
          <w:rFonts w:ascii="Cambria" w:hAnsi="Cambria" w:cstheme="majorHAnsi"/>
          <w:sz w:val="22"/>
          <w:szCs w:val="22"/>
        </w:rPr>
        <w:t>means a resolution and voting managed electronically or by a manner other than at a face to face meeting;</w:t>
      </w:r>
      <w:bookmarkEnd w:id="120"/>
      <w:bookmarkEnd w:id="121"/>
      <w:bookmarkEnd w:id="122"/>
      <w:bookmarkEnd w:id="123"/>
    </w:p>
    <w:p w14:paraId="2ADB950F" w14:textId="77777777" w:rsidR="001B46FC" w:rsidRPr="009A0DA6" w:rsidRDefault="001B46FC" w:rsidP="001B46FC">
      <w:pPr>
        <w:pStyle w:val="Number2"/>
        <w:tabs>
          <w:tab w:val="left" w:pos="709"/>
          <w:tab w:val="left" w:pos="1559"/>
          <w:tab w:val="left" w:pos="2552"/>
          <w:tab w:val="left" w:pos="3544"/>
          <w:tab w:val="left" w:pos="4820"/>
        </w:tabs>
        <w:spacing w:after="0"/>
        <w:ind w:hanging="1559"/>
        <w:jc w:val="left"/>
        <w:rPr>
          <w:rFonts w:ascii="Cambria" w:hAnsi="Cambria" w:cstheme="majorHAnsi"/>
          <w:sz w:val="22"/>
          <w:szCs w:val="22"/>
        </w:rPr>
      </w:pPr>
      <w:r w:rsidRPr="009A0DA6">
        <w:rPr>
          <w:rFonts w:ascii="Cambria" w:hAnsi="Cambria" w:cstheme="majorHAnsi"/>
          <w:sz w:val="22"/>
          <w:szCs w:val="22"/>
        </w:rPr>
        <w:tab/>
      </w:r>
      <w:bookmarkStart w:id="124" w:name="_Toc521575119"/>
      <w:bookmarkStart w:id="125" w:name="_Toc521692669"/>
      <w:bookmarkStart w:id="126" w:name="_Toc521954624"/>
      <w:bookmarkStart w:id="127" w:name="_Toc522394989"/>
      <w:r w:rsidRPr="009A0DA6">
        <w:rPr>
          <w:rFonts w:ascii="Cambria" w:hAnsi="Cambria" w:cstheme="majorHAnsi"/>
          <w:sz w:val="22"/>
          <w:szCs w:val="22"/>
        </w:rPr>
        <w:t>1.5.6</w:t>
      </w:r>
      <w:r w:rsidRPr="009A0DA6">
        <w:rPr>
          <w:rFonts w:ascii="Cambria" w:hAnsi="Cambria" w:cstheme="majorHAnsi"/>
          <w:sz w:val="22"/>
          <w:szCs w:val="22"/>
        </w:rPr>
        <w:tab/>
        <w:t>‘</w:t>
      </w:r>
      <w:r w:rsidRPr="009A0DA6">
        <w:rPr>
          <w:rFonts w:ascii="Cambria" w:hAnsi="Cambria" w:cstheme="majorHAnsi"/>
          <w:b/>
          <w:sz w:val="22"/>
          <w:szCs w:val="22"/>
        </w:rPr>
        <w:t>College’</w:t>
      </w:r>
      <w:r w:rsidRPr="009A0DA6">
        <w:rPr>
          <w:rFonts w:ascii="Cambria" w:hAnsi="Cambria" w:cstheme="majorHAnsi"/>
          <w:sz w:val="22"/>
          <w:szCs w:val="22"/>
        </w:rPr>
        <w:t xml:space="preserve"> means the company called Australian Lutheran College, the educational and research facility of the Church;</w:t>
      </w:r>
      <w:bookmarkEnd w:id="124"/>
      <w:bookmarkEnd w:id="125"/>
      <w:bookmarkEnd w:id="126"/>
      <w:bookmarkEnd w:id="127"/>
    </w:p>
    <w:p w14:paraId="44F22156" w14:textId="77777777" w:rsidR="001B46FC" w:rsidRPr="009A0DA6" w:rsidRDefault="001B46FC" w:rsidP="001B46FC">
      <w:pPr>
        <w:pStyle w:val="Number2"/>
        <w:tabs>
          <w:tab w:val="left" w:pos="709"/>
          <w:tab w:val="left" w:pos="1559"/>
          <w:tab w:val="left" w:pos="2552"/>
          <w:tab w:val="left" w:pos="3544"/>
          <w:tab w:val="left" w:pos="4820"/>
        </w:tabs>
        <w:spacing w:after="0"/>
        <w:ind w:hanging="1559"/>
        <w:jc w:val="left"/>
        <w:rPr>
          <w:rFonts w:ascii="Cambria" w:hAnsi="Cambria" w:cstheme="majorHAnsi"/>
          <w:sz w:val="22"/>
          <w:szCs w:val="22"/>
        </w:rPr>
      </w:pPr>
      <w:r w:rsidRPr="009A0DA6">
        <w:rPr>
          <w:rFonts w:ascii="Cambria" w:hAnsi="Cambria" w:cstheme="majorHAnsi"/>
          <w:sz w:val="22"/>
          <w:szCs w:val="22"/>
        </w:rPr>
        <w:tab/>
      </w:r>
      <w:bookmarkStart w:id="128" w:name="_Toc521575120"/>
      <w:bookmarkStart w:id="129" w:name="_Toc521692670"/>
      <w:bookmarkStart w:id="130" w:name="_Toc521954625"/>
      <w:bookmarkStart w:id="131" w:name="_Toc522394990"/>
      <w:r w:rsidRPr="009A0DA6">
        <w:rPr>
          <w:rFonts w:ascii="Cambria" w:hAnsi="Cambria" w:cstheme="majorHAnsi"/>
          <w:sz w:val="22"/>
          <w:szCs w:val="22"/>
        </w:rPr>
        <w:t>1.5.7</w:t>
      </w:r>
      <w:r w:rsidRPr="009A0DA6">
        <w:rPr>
          <w:rFonts w:ascii="Cambria" w:hAnsi="Cambria" w:cstheme="majorHAnsi"/>
          <w:sz w:val="22"/>
          <w:szCs w:val="22"/>
        </w:rPr>
        <w:tab/>
      </w:r>
      <w:r w:rsidRPr="009A0DA6">
        <w:rPr>
          <w:rFonts w:ascii="Cambria" w:hAnsi="Cambria" w:cstheme="majorHAnsi"/>
          <w:b/>
          <w:sz w:val="22"/>
          <w:szCs w:val="22"/>
        </w:rPr>
        <w:t xml:space="preserve">‘conflict of duty’ </w:t>
      </w:r>
      <w:r w:rsidRPr="009A0DA6">
        <w:rPr>
          <w:rFonts w:ascii="Cambria" w:hAnsi="Cambria" w:cstheme="majorHAnsi"/>
          <w:sz w:val="22"/>
          <w:szCs w:val="22"/>
        </w:rPr>
        <w:t>means those who have other duties or responsibilities that may be in conflict with their duties and responsibilities to the College;</w:t>
      </w:r>
      <w:bookmarkEnd w:id="128"/>
      <w:bookmarkEnd w:id="129"/>
      <w:bookmarkEnd w:id="130"/>
      <w:bookmarkEnd w:id="131"/>
    </w:p>
    <w:p w14:paraId="17F5C59F" w14:textId="77777777" w:rsidR="001B46FC" w:rsidRPr="009A0DA6" w:rsidRDefault="001B46FC" w:rsidP="001B46FC">
      <w:pPr>
        <w:pStyle w:val="Number2"/>
        <w:tabs>
          <w:tab w:val="left" w:pos="709"/>
          <w:tab w:val="left" w:pos="1559"/>
          <w:tab w:val="left" w:pos="2552"/>
          <w:tab w:val="left" w:pos="3544"/>
          <w:tab w:val="left" w:pos="4820"/>
        </w:tabs>
        <w:spacing w:after="0"/>
        <w:ind w:hanging="1559"/>
        <w:jc w:val="left"/>
        <w:rPr>
          <w:rFonts w:ascii="Cambria" w:hAnsi="Cambria" w:cstheme="majorHAnsi"/>
          <w:sz w:val="22"/>
          <w:szCs w:val="22"/>
        </w:rPr>
      </w:pPr>
      <w:r w:rsidRPr="009A0DA6">
        <w:rPr>
          <w:rFonts w:ascii="Cambria" w:hAnsi="Cambria" w:cstheme="majorHAnsi"/>
          <w:sz w:val="22"/>
          <w:szCs w:val="22"/>
        </w:rPr>
        <w:tab/>
      </w:r>
      <w:bookmarkStart w:id="132" w:name="_Toc521575121"/>
      <w:bookmarkStart w:id="133" w:name="_Toc521692671"/>
      <w:bookmarkStart w:id="134" w:name="_Toc521954626"/>
      <w:bookmarkStart w:id="135" w:name="_Toc522394991"/>
      <w:r w:rsidRPr="009A0DA6">
        <w:rPr>
          <w:rFonts w:ascii="Cambria" w:hAnsi="Cambria" w:cstheme="majorHAnsi"/>
          <w:sz w:val="22"/>
          <w:szCs w:val="22"/>
        </w:rPr>
        <w:t>1.5.8</w:t>
      </w:r>
      <w:r w:rsidRPr="009A0DA6">
        <w:rPr>
          <w:rFonts w:ascii="Cambria" w:hAnsi="Cambria" w:cstheme="majorHAnsi"/>
          <w:sz w:val="22"/>
          <w:szCs w:val="22"/>
        </w:rPr>
        <w:tab/>
      </w:r>
      <w:r w:rsidRPr="009A0DA6">
        <w:rPr>
          <w:rFonts w:ascii="Cambria" w:hAnsi="Cambria" w:cstheme="majorHAnsi"/>
          <w:b/>
          <w:sz w:val="22"/>
          <w:szCs w:val="22"/>
        </w:rPr>
        <w:t>‘constitution’</w:t>
      </w:r>
      <w:r w:rsidRPr="009A0DA6">
        <w:rPr>
          <w:rFonts w:ascii="Cambria" w:hAnsi="Cambria" w:cstheme="majorHAnsi"/>
          <w:sz w:val="22"/>
          <w:szCs w:val="22"/>
        </w:rPr>
        <w:t xml:space="preserve"> means the constitution of the College as amended from time to time;</w:t>
      </w:r>
      <w:bookmarkEnd w:id="132"/>
      <w:bookmarkEnd w:id="133"/>
      <w:bookmarkEnd w:id="134"/>
      <w:bookmarkEnd w:id="135"/>
    </w:p>
    <w:p w14:paraId="4AAB3562" w14:textId="77777777" w:rsidR="001B46FC" w:rsidRPr="009A0DA6" w:rsidRDefault="001B46FC" w:rsidP="001B46FC">
      <w:pPr>
        <w:pStyle w:val="Number2"/>
        <w:tabs>
          <w:tab w:val="left" w:pos="709"/>
          <w:tab w:val="left" w:pos="1559"/>
          <w:tab w:val="left" w:pos="2552"/>
          <w:tab w:val="left" w:pos="3544"/>
          <w:tab w:val="left" w:pos="4820"/>
        </w:tabs>
        <w:spacing w:after="0"/>
        <w:ind w:hanging="1559"/>
        <w:jc w:val="left"/>
        <w:rPr>
          <w:rFonts w:ascii="Cambria" w:hAnsi="Cambria" w:cstheme="majorHAnsi"/>
          <w:sz w:val="22"/>
          <w:szCs w:val="22"/>
        </w:rPr>
      </w:pPr>
      <w:r w:rsidRPr="009A0DA6">
        <w:rPr>
          <w:rFonts w:ascii="Cambria" w:hAnsi="Cambria" w:cstheme="majorHAnsi"/>
          <w:sz w:val="22"/>
          <w:szCs w:val="22"/>
        </w:rPr>
        <w:tab/>
      </w:r>
      <w:bookmarkStart w:id="136" w:name="_Toc521575122"/>
      <w:bookmarkStart w:id="137" w:name="_Toc521692672"/>
      <w:bookmarkStart w:id="138" w:name="_Toc521954627"/>
      <w:bookmarkStart w:id="139" w:name="_Toc522394992"/>
      <w:r w:rsidRPr="009A0DA6">
        <w:rPr>
          <w:rFonts w:ascii="Cambria" w:hAnsi="Cambria" w:cstheme="majorHAnsi"/>
          <w:sz w:val="22"/>
          <w:szCs w:val="22"/>
        </w:rPr>
        <w:t>1.5.9</w:t>
      </w:r>
      <w:r w:rsidRPr="009A0DA6">
        <w:rPr>
          <w:rFonts w:ascii="Cambria" w:hAnsi="Cambria" w:cstheme="majorHAnsi"/>
          <w:sz w:val="22"/>
          <w:szCs w:val="22"/>
        </w:rPr>
        <w:tab/>
      </w:r>
      <w:r w:rsidRPr="009A0DA6">
        <w:rPr>
          <w:rFonts w:ascii="Cambria" w:hAnsi="Cambria" w:cstheme="majorHAnsi"/>
          <w:b/>
          <w:sz w:val="22"/>
          <w:szCs w:val="22"/>
        </w:rPr>
        <w:t>‘Director’</w:t>
      </w:r>
      <w:r w:rsidRPr="009A0DA6">
        <w:rPr>
          <w:rFonts w:ascii="Cambria" w:hAnsi="Cambria" w:cstheme="majorHAnsi"/>
          <w:sz w:val="22"/>
          <w:szCs w:val="22"/>
        </w:rPr>
        <w:t xml:space="preserve"> includes any person occupying the position of Director of the College;</w:t>
      </w:r>
      <w:bookmarkEnd w:id="136"/>
      <w:bookmarkEnd w:id="137"/>
      <w:bookmarkEnd w:id="138"/>
      <w:bookmarkEnd w:id="139"/>
    </w:p>
    <w:p w14:paraId="252BDB87" w14:textId="77777777" w:rsidR="001B46FC" w:rsidRPr="009A0DA6" w:rsidRDefault="001B46FC" w:rsidP="001B46FC">
      <w:pPr>
        <w:pStyle w:val="Number2"/>
        <w:tabs>
          <w:tab w:val="left" w:pos="709"/>
          <w:tab w:val="left" w:pos="1559"/>
          <w:tab w:val="left" w:pos="2552"/>
          <w:tab w:val="left" w:pos="3544"/>
          <w:tab w:val="left" w:pos="4820"/>
        </w:tabs>
        <w:spacing w:after="0"/>
        <w:ind w:hanging="1559"/>
        <w:jc w:val="left"/>
        <w:rPr>
          <w:rFonts w:ascii="Cambria" w:hAnsi="Cambria" w:cstheme="majorHAnsi"/>
          <w:sz w:val="22"/>
          <w:szCs w:val="22"/>
        </w:rPr>
      </w:pPr>
      <w:r w:rsidRPr="009A0DA6">
        <w:rPr>
          <w:rFonts w:ascii="Cambria" w:hAnsi="Cambria" w:cstheme="majorHAnsi"/>
          <w:sz w:val="22"/>
          <w:szCs w:val="22"/>
        </w:rPr>
        <w:tab/>
      </w:r>
      <w:bookmarkStart w:id="140" w:name="_Toc521575123"/>
      <w:bookmarkStart w:id="141" w:name="_Toc521692673"/>
      <w:bookmarkStart w:id="142" w:name="_Toc521954628"/>
      <w:bookmarkStart w:id="143" w:name="_Toc522394993"/>
      <w:r w:rsidRPr="009A0DA6">
        <w:rPr>
          <w:rFonts w:ascii="Cambria" w:hAnsi="Cambria" w:cstheme="majorHAnsi"/>
          <w:sz w:val="22"/>
          <w:szCs w:val="22"/>
        </w:rPr>
        <w:t>1.5.10</w:t>
      </w:r>
      <w:r w:rsidRPr="009A0DA6">
        <w:rPr>
          <w:rFonts w:ascii="Cambria" w:hAnsi="Cambria" w:cstheme="majorHAnsi"/>
          <w:sz w:val="22"/>
          <w:szCs w:val="22"/>
        </w:rPr>
        <w:tab/>
      </w:r>
      <w:r w:rsidRPr="009A0DA6">
        <w:rPr>
          <w:rFonts w:ascii="Cambria" w:hAnsi="Cambria" w:cstheme="majorHAnsi"/>
          <w:b/>
          <w:sz w:val="22"/>
          <w:szCs w:val="22"/>
        </w:rPr>
        <w:t>‘elected Chair’</w:t>
      </w:r>
      <w:r w:rsidRPr="009A0DA6">
        <w:rPr>
          <w:rFonts w:ascii="Cambria" w:hAnsi="Cambria" w:cstheme="majorHAnsi"/>
          <w:sz w:val="22"/>
          <w:szCs w:val="22"/>
        </w:rPr>
        <w:t xml:space="preserve"> means a person elected by the Directors to be the College’s Chair under Article 10;</w:t>
      </w:r>
      <w:bookmarkEnd w:id="140"/>
      <w:bookmarkEnd w:id="141"/>
      <w:bookmarkEnd w:id="142"/>
      <w:bookmarkEnd w:id="143"/>
    </w:p>
    <w:p w14:paraId="1E91853D" w14:textId="77777777" w:rsidR="001B46FC" w:rsidRPr="009A0DA6" w:rsidRDefault="001B46FC" w:rsidP="001B46FC">
      <w:pPr>
        <w:pStyle w:val="Number2"/>
        <w:tabs>
          <w:tab w:val="left" w:pos="709"/>
          <w:tab w:val="left" w:pos="1559"/>
          <w:tab w:val="left" w:pos="2552"/>
          <w:tab w:val="left" w:pos="3544"/>
          <w:tab w:val="left" w:pos="4820"/>
        </w:tabs>
        <w:spacing w:after="0"/>
        <w:ind w:hanging="1559"/>
        <w:jc w:val="left"/>
        <w:rPr>
          <w:rFonts w:ascii="Cambria" w:hAnsi="Cambria" w:cstheme="majorHAnsi"/>
          <w:sz w:val="22"/>
          <w:szCs w:val="22"/>
        </w:rPr>
      </w:pPr>
      <w:r w:rsidRPr="009A0DA6">
        <w:rPr>
          <w:rFonts w:ascii="Cambria" w:hAnsi="Cambria" w:cstheme="majorHAnsi"/>
          <w:sz w:val="22"/>
          <w:szCs w:val="22"/>
        </w:rPr>
        <w:tab/>
      </w:r>
      <w:bookmarkStart w:id="144" w:name="_Toc521575124"/>
      <w:bookmarkStart w:id="145" w:name="_Toc521692674"/>
      <w:bookmarkStart w:id="146" w:name="_Toc521954629"/>
      <w:bookmarkStart w:id="147" w:name="_Toc522394994"/>
      <w:r w:rsidRPr="009A0DA6">
        <w:rPr>
          <w:rFonts w:ascii="Cambria" w:hAnsi="Cambria" w:cstheme="majorHAnsi"/>
          <w:sz w:val="22"/>
          <w:szCs w:val="22"/>
        </w:rPr>
        <w:t>1.5.11</w:t>
      </w:r>
      <w:r w:rsidRPr="009A0DA6">
        <w:rPr>
          <w:rFonts w:ascii="Cambria" w:hAnsi="Cambria" w:cstheme="majorHAnsi"/>
          <w:sz w:val="22"/>
          <w:szCs w:val="22"/>
        </w:rPr>
        <w:tab/>
      </w:r>
      <w:r w:rsidRPr="009A0DA6">
        <w:rPr>
          <w:rFonts w:ascii="Cambria" w:hAnsi="Cambria" w:cstheme="majorHAnsi"/>
          <w:b/>
          <w:sz w:val="22"/>
          <w:szCs w:val="22"/>
        </w:rPr>
        <w:t>‘General Church Council’</w:t>
      </w:r>
      <w:r w:rsidRPr="009A0DA6">
        <w:rPr>
          <w:rFonts w:ascii="Cambria" w:hAnsi="Cambria" w:cstheme="majorHAnsi"/>
          <w:sz w:val="22"/>
          <w:szCs w:val="22"/>
        </w:rPr>
        <w:t xml:space="preserve"> means the General Church Council established under the constitution of the Church;</w:t>
      </w:r>
      <w:bookmarkEnd w:id="144"/>
      <w:bookmarkEnd w:id="145"/>
      <w:bookmarkEnd w:id="146"/>
      <w:bookmarkEnd w:id="147"/>
    </w:p>
    <w:p w14:paraId="4FB13BAB" w14:textId="77777777" w:rsidR="001B46FC" w:rsidRPr="009A0DA6" w:rsidRDefault="001B46FC" w:rsidP="001B46FC">
      <w:pPr>
        <w:pStyle w:val="Number2"/>
        <w:tabs>
          <w:tab w:val="left" w:pos="709"/>
          <w:tab w:val="left" w:pos="1559"/>
          <w:tab w:val="left" w:pos="2552"/>
          <w:tab w:val="left" w:pos="3544"/>
          <w:tab w:val="left" w:pos="4820"/>
        </w:tabs>
        <w:spacing w:after="0"/>
        <w:ind w:hanging="1559"/>
        <w:jc w:val="left"/>
        <w:rPr>
          <w:rFonts w:ascii="Cambria" w:hAnsi="Cambria" w:cstheme="majorHAnsi"/>
          <w:sz w:val="22"/>
          <w:szCs w:val="22"/>
        </w:rPr>
      </w:pPr>
      <w:r w:rsidRPr="009A0DA6">
        <w:rPr>
          <w:rFonts w:ascii="Cambria" w:hAnsi="Cambria" w:cstheme="majorHAnsi"/>
          <w:sz w:val="22"/>
          <w:szCs w:val="22"/>
        </w:rPr>
        <w:tab/>
      </w:r>
      <w:bookmarkStart w:id="148" w:name="_Toc521575125"/>
      <w:bookmarkStart w:id="149" w:name="_Toc521692675"/>
      <w:bookmarkStart w:id="150" w:name="_Toc521954630"/>
      <w:bookmarkStart w:id="151" w:name="_Toc522394995"/>
      <w:r w:rsidRPr="009A0DA6">
        <w:rPr>
          <w:rFonts w:ascii="Cambria" w:hAnsi="Cambria" w:cstheme="majorHAnsi"/>
          <w:sz w:val="22"/>
          <w:szCs w:val="22"/>
        </w:rPr>
        <w:t xml:space="preserve">1.5.12 </w:t>
      </w:r>
      <w:r w:rsidRPr="009A0DA6">
        <w:rPr>
          <w:rFonts w:ascii="Cambria" w:hAnsi="Cambria" w:cstheme="majorHAnsi"/>
          <w:sz w:val="22"/>
          <w:szCs w:val="22"/>
        </w:rPr>
        <w:tab/>
      </w:r>
      <w:r w:rsidRPr="009A0DA6">
        <w:rPr>
          <w:rFonts w:ascii="Cambria" w:hAnsi="Cambria" w:cstheme="majorHAnsi"/>
          <w:b/>
          <w:sz w:val="22"/>
          <w:szCs w:val="22"/>
        </w:rPr>
        <w:t>‘general meeting’</w:t>
      </w:r>
      <w:r w:rsidRPr="009A0DA6">
        <w:rPr>
          <w:rFonts w:ascii="Cambria" w:hAnsi="Cambria" w:cstheme="majorHAnsi"/>
          <w:sz w:val="22"/>
          <w:szCs w:val="22"/>
        </w:rPr>
        <w:t xml:space="preserve"> means a meeting of Members and includes the annual general meeting, under Article 10;</w:t>
      </w:r>
      <w:bookmarkEnd w:id="148"/>
      <w:bookmarkEnd w:id="149"/>
      <w:bookmarkEnd w:id="150"/>
      <w:bookmarkEnd w:id="151"/>
    </w:p>
    <w:p w14:paraId="5D4AE609" w14:textId="77777777" w:rsidR="001B46FC" w:rsidRPr="009A0DA6" w:rsidRDefault="001B46FC" w:rsidP="001B46FC">
      <w:pPr>
        <w:pStyle w:val="Number2"/>
        <w:tabs>
          <w:tab w:val="left" w:pos="709"/>
          <w:tab w:val="left" w:pos="1559"/>
          <w:tab w:val="left" w:pos="2552"/>
          <w:tab w:val="left" w:pos="3544"/>
          <w:tab w:val="left" w:pos="4820"/>
        </w:tabs>
        <w:spacing w:after="0"/>
        <w:ind w:hanging="1559"/>
        <w:jc w:val="left"/>
        <w:rPr>
          <w:rFonts w:ascii="Cambria" w:hAnsi="Cambria" w:cstheme="majorHAnsi"/>
          <w:sz w:val="22"/>
          <w:szCs w:val="22"/>
        </w:rPr>
      </w:pPr>
      <w:r w:rsidRPr="009A0DA6">
        <w:rPr>
          <w:rFonts w:ascii="Cambria" w:hAnsi="Cambria" w:cstheme="majorHAnsi"/>
          <w:sz w:val="22"/>
          <w:szCs w:val="22"/>
        </w:rPr>
        <w:tab/>
      </w:r>
      <w:bookmarkStart w:id="152" w:name="_Toc521575126"/>
      <w:bookmarkStart w:id="153" w:name="_Toc521692676"/>
      <w:bookmarkStart w:id="154" w:name="_Toc521954631"/>
      <w:bookmarkStart w:id="155" w:name="_Toc522394996"/>
      <w:r w:rsidRPr="009A0DA6">
        <w:rPr>
          <w:rFonts w:ascii="Cambria" w:hAnsi="Cambria" w:cstheme="majorHAnsi"/>
          <w:sz w:val="22"/>
          <w:szCs w:val="22"/>
        </w:rPr>
        <w:t>1.5.13</w:t>
      </w:r>
      <w:r w:rsidRPr="009A0DA6">
        <w:rPr>
          <w:rFonts w:ascii="Cambria" w:hAnsi="Cambria" w:cstheme="majorHAnsi"/>
          <w:sz w:val="22"/>
          <w:szCs w:val="22"/>
        </w:rPr>
        <w:tab/>
      </w:r>
      <w:r w:rsidRPr="009A0DA6">
        <w:rPr>
          <w:rFonts w:ascii="Cambria" w:hAnsi="Cambria" w:cstheme="majorHAnsi"/>
          <w:b/>
          <w:sz w:val="22"/>
          <w:szCs w:val="22"/>
        </w:rPr>
        <w:t>General Synod’</w:t>
      </w:r>
      <w:r w:rsidRPr="009A0DA6">
        <w:rPr>
          <w:rFonts w:ascii="Cambria" w:hAnsi="Cambria" w:cstheme="majorHAnsi"/>
          <w:sz w:val="22"/>
          <w:szCs w:val="22"/>
        </w:rPr>
        <w:t xml:space="preserve"> means the Convention of General Synod in accordance with the constitution of the Church;</w:t>
      </w:r>
      <w:bookmarkEnd w:id="152"/>
      <w:bookmarkEnd w:id="153"/>
      <w:bookmarkEnd w:id="154"/>
      <w:bookmarkEnd w:id="155"/>
    </w:p>
    <w:p w14:paraId="1D67DC16" w14:textId="77777777" w:rsidR="001B46FC" w:rsidRPr="009A0DA6" w:rsidRDefault="001B46FC" w:rsidP="001B46FC">
      <w:pPr>
        <w:pStyle w:val="Number2"/>
        <w:tabs>
          <w:tab w:val="left" w:pos="709"/>
          <w:tab w:val="left" w:pos="1559"/>
          <w:tab w:val="left" w:pos="2552"/>
          <w:tab w:val="left" w:pos="3544"/>
          <w:tab w:val="left" w:pos="4820"/>
        </w:tabs>
        <w:spacing w:after="0"/>
        <w:ind w:hanging="1559"/>
        <w:jc w:val="left"/>
        <w:rPr>
          <w:rFonts w:ascii="Cambria" w:hAnsi="Cambria" w:cstheme="majorHAnsi"/>
          <w:sz w:val="22"/>
          <w:szCs w:val="22"/>
        </w:rPr>
      </w:pPr>
      <w:r w:rsidRPr="009A0DA6">
        <w:rPr>
          <w:rFonts w:ascii="Cambria" w:hAnsi="Cambria" w:cstheme="majorHAnsi"/>
          <w:sz w:val="22"/>
          <w:szCs w:val="22"/>
        </w:rPr>
        <w:tab/>
      </w:r>
      <w:bookmarkStart w:id="156" w:name="_Toc521575127"/>
      <w:bookmarkStart w:id="157" w:name="_Toc521692677"/>
      <w:bookmarkStart w:id="158" w:name="_Toc521954632"/>
      <w:bookmarkStart w:id="159" w:name="_Toc522394997"/>
      <w:r w:rsidRPr="009A0DA6">
        <w:rPr>
          <w:rFonts w:ascii="Cambria" w:hAnsi="Cambria" w:cstheme="majorHAnsi"/>
          <w:sz w:val="22"/>
          <w:szCs w:val="22"/>
        </w:rPr>
        <w:t>1.5.14</w:t>
      </w:r>
      <w:r w:rsidRPr="009A0DA6">
        <w:rPr>
          <w:rFonts w:ascii="Cambria" w:hAnsi="Cambria" w:cstheme="majorHAnsi"/>
          <w:sz w:val="22"/>
          <w:szCs w:val="22"/>
        </w:rPr>
        <w:tab/>
      </w:r>
      <w:r w:rsidRPr="009A0DA6">
        <w:rPr>
          <w:rFonts w:ascii="Cambria" w:hAnsi="Cambria" w:cstheme="majorHAnsi"/>
          <w:b/>
          <w:sz w:val="22"/>
          <w:szCs w:val="22"/>
        </w:rPr>
        <w:t xml:space="preserve">’governance policies’ </w:t>
      </w:r>
      <w:r w:rsidRPr="009A0DA6">
        <w:rPr>
          <w:rFonts w:ascii="Cambria" w:hAnsi="Cambria" w:cstheme="majorHAnsi"/>
          <w:sz w:val="22"/>
          <w:szCs w:val="22"/>
        </w:rPr>
        <w:t>means documents adopted by Directors to the good governance of the College;</w:t>
      </w:r>
      <w:bookmarkEnd w:id="156"/>
      <w:bookmarkEnd w:id="157"/>
      <w:bookmarkEnd w:id="158"/>
      <w:bookmarkEnd w:id="159"/>
    </w:p>
    <w:p w14:paraId="3472F24A" w14:textId="77777777" w:rsidR="001B46FC" w:rsidRPr="009A0DA6" w:rsidRDefault="001B46FC" w:rsidP="001B46FC">
      <w:pPr>
        <w:pStyle w:val="Number2"/>
        <w:tabs>
          <w:tab w:val="left" w:pos="709"/>
          <w:tab w:val="left" w:pos="1559"/>
          <w:tab w:val="left" w:pos="2552"/>
          <w:tab w:val="left" w:pos="3544"/>
          <w:tab w:val="left" w:pos="4820"/>
        </w:tabs>
        <w:spacing w:after="0"/>
        <w:ind w:left="0" w:firstLine="0"/>
        <w:jc w:val="left"/>
        <w:rPr>
          <w:rFonts w:ascii="Cambria" w:hAnsi="Cambria" w:cstheme="majorHAnsi"/>
          <w:sz w:val="22"/>
          <w:szCs w:val="22"/>
        </w:rPr>
      </w:pPr>
      <w:r w:rsidRPr="009A0DA6">
        <w:rPr>
          <w:rFonts w:ascii="Cambria" w:hAnsi="Cambria" w:cstheme="majorHAnsi"/>
          <w:sz w:val="22"/>
          <w:szCs w:val="22"/>
        </w:rPr>
        <w:tab/>
      </w:r>
      <w:bookmarkStart w:id="160" w:name="_Toc521575128"/>
      <w:bookmarkStart w:id="161" w:name="_Toc521692678"/>
      <w:bookmarkStart w:id="162" w:name="_Toc521954633"/>
      <w:bookmarkStart w:id="163" w:name="_Toc522394998"/>
      <w:r w:rsidRPr="009A0DA6">
        <w:rPr>
          <w:rFonts w:ascii="Cambria" w:hAnsi="Cambria" w:cstheme="majorHAnsi"/>
          <w:sz w:val="22"/>
          <w:szCs w:val="22"/>
        </w:rPr>
        <w:t>1.5.15</w:t>
      </w:r>
      <w:r w:rsidRPr="009A0DA6">
        <w:rPr>
          <w:rFonts w:ascii="Cambria" w:hAnsi="Cambria" w:cstheme="majorHAnsi"/>
          <w:sz w:val="22"/>
          <w:szCs w:val="22"/>
        </w:rPr>
        <w:tab/>
      </w:r>
      <w:r w:rsidRPr="009A0DA6">
        <w:rPr>
          <w:rFonts w:ascii="Cambria" w:hAnsi="Cambria" w:cstheme="majorHAnsi"/>
          <w:b/>
          <w:sz w:val="22"/>
          <w:szCs w:val="22"/>
        </w:rPr>
        <w:t>‘Member’</w:t>
      </w:r>
      <w:r w:rsidRPr="009A0DA6">
        <w:rPr>
          <w:rFonts w:ascii="Cambria" w:hAnsi="Cambria" w:cstheme="majorHAnsi"/>
          <w:sz w:val="22"/>
          <w:szCs w:val="22"/>
        </w:rPr>
        <w:t xml:space="preserve"> means a Member under Article 8;</w:t>
      </w:r>
      <w:bookmarkEnd w:id="160"/>
      <w:bookmarkEnd w:id="161"/>
      <w:bookmarkEnd w:id="162"/>
      <w:bookmarkEnd w:id="163"/>
    </w:p>
    <w:p w14:paraId="38C5C07F" w14:textId="77777777" w:rsidR="001B46FC" w:rsidRPr="009A0DA6" w:rsidRDefault="001B46FC" w:rsidP="001B46FC">
      <w:pPr>
        <w:pStyle w:val="Number2"/>
        <w:tabs>
          <w:tab w:val="left" w:pos="709"/>
          <w:tab w:val="left" w:pos="1559"/>
          <w:tab w:val="left" w:pos="2552"/>
          <w:tab w:val="left" w:pos="3544"/>
          <w:tab w:val="left" w:pos="4820"/>
        </w:tabs>
        <w:spacing w:after="0"/>
        <w:ind w:left="0" w:firstLine="0"/>
        <w:jc w:val="left"/>
        <w:rPr>
          <w:rFonts w:ascii="Cambria" w:hAnsi="Cambria" w:cstheme="majorHAnsi"/>
          <w:sz w:val="22"/>
          <w:szCs w:val="22"/>
        </w:rPr>
      </w:pPr>
      <w:r w:rsidRPr="009A0DA6">
        <w:rPr>
          <w:rFonts w:ascii="Cambria" w:hAnsi="Cambria" w:cstheme="majorHAnsi"/>
          <w:sz w:val="22"/>
          <w:szCs w:val="22"/>
        </w:rPr>
        <w:tab/>
      </w:r>
      <w:bookmarkStart w:id="164" w:name="_Toc521575129"/>
      <w:bookmarkStart w:id="165" w:name="_Toc521692679"/>
      <w:bookmarkStart w:id="166" w:name="_Toc521954634"/>
      <w:bookmarkStart w:id="167" w:name="_Toc522394999"/>
      <w:r w:rsidRPr="009A0DA6">
        <w:rPr>
          <w:rFonts w:ascii="Cambria" w:hAnsi="Cambria" w:cstheme="majorHAnsi"/>
          <w:sz w:val="22"/>
          <w:szCs w:val="22"/>
        </w:rPr>
        <w:t>1.5.16</w:t>
      </w:r>
      <w:r w:rsidRPr="009A0DA6">
        <w:rPr>
          <w:rFonts w:ascii="Cambria" w:hAnsi="Cambria" w:cstheme="majorHAnsi"/>
          <w:sz w:val="22"/>
          <w:szCs w:val="22"/>
        </w:rPr>
        <w:tab/>
      </w:r>
      <w:r w:rsidRPr="009A0DA6">
        <w:rPr>
          <w:rFonts w:ascii="Cambria" w:hAnsi="Cambria" w:cstheme="majorHAnsi"/>
          <w:b/>
          <w:sz w:val="22"/>
          <w:szCs w:val="22"/>
        </w:rPr>
        <w:t>‘office’</w:t>
      </w:r>
      <w:r w:rsidRPr="009A0DA6">
        <w:rPr>
          <w:rFonts w:ascii="Cambria" w:hAnsi="Cambria" w:cstheme="majorHAnsi"/>
          <w:sz w:val="22"/>
          <w:szCs w:val="22"/>
        </w:rPr>
        <w:t xml:space="preserve"> means the registered office of the College;</w:t>
      </w:r>
      <w:bookmarkEnd w:id="164"/>
      <w:bookmarkEnd w:id="165"/>
      <w:bookmarkEnd w:id="166"/>
      <w:bookmarkEnd w:id="167"/>
    </w:p>
    <w:p w14:paraId="1576AA25" w14:textId="77777777" w:rsidR="001B46FC" w:rsidRPr="009A0DA6" w:rsidRDefault="001B46FC" w:rsidP="001B46FC">
      <w:pPr>
        <w:pStyle w:val="Number2"/>
        <w:tabs>
          <w:tab w:val="left" w:pos="709"/>
          <w:tab w:val="left" w:pos="1559"/>
          <w:tab w:val="left" w:pos="2552"/>
          <w:tab w:val="left" w:pos="3544"/>
          <w:tab w:val="left" w:pos="4820"/>
        </w:tabs>
        <w:spacing w:after="0"/>
        <w:ind w:left="0" w:firstLine="0"/>
        <w:jc w:val="left"/>
        <w:rPr>
          <w:rFonts w:ascii="Cambria" w:hAnsi="Cambria" w:cstheme="majorHAnsi"/>
          <w:sz w:val="22"/>
          <w:szCs w:val="22"/>
        </w:rPr>
      </w:pPr>
      <w:r w:rsidRPr="009A0DA6">
        <w:rPr>
          <w:rFonts w:ascii="Cambria" w:hAnsi="Cambria" w:cstheme="majorHAnsi"/>
          <w:sz w:val="22"/>
          <w:szCs w:val="22"/>
        </w:rPr>
        <w:tab/>
      </w:r>
      <w:bookmarkStart w:id="168" w:name="_Toc521575130"/>
      <w:bookmarkStart w:id="169" w:name="_Toc521692680"/>
      <w:bookmarkStart w:id="170" w:name="_Toc521954635"/>
      <w:bookmarkStart w:id="171" w:name="_Toc522395000"/>
      <w:r w:rsidRPr="009A0DA6">
        <w:rPr>
          <w:rFonts w:ascii="Cambria" w:hAnsi="Cambria" w:cstheme="majorHAnsi"/>
          <w:sz w:val="22"/>
          <w:szCs w:val="22"/>
        </w:rPr>
        <w:t>1.5.17</w:t>
      </w:r>
      <w:r w:rsidRPr="009A0DA6">
        <w:rPr>
          <w:rFonts w:ascii="Cambria" w:hAnsi="Cambria" w:cstheme="majorHAnsi"/>
          <w:sz w:val="22"/>
          <w:szCs w:val="22"/>
        </w:rPr>
        <w:tab/>
      </w:r>
      <w:r w:rsidRPr="009A0DA6">
        <w:rPr>
          <w:rFonts w:ascii="Cambria" w:hAnsi="Cambria" w:cstheme="majorHAnsi"/>
          <w:b/>
          <w:sz w:val="22"/>
          <w:szCs w:val="22"/>
        </w:rPr>
        <w:t xml:space="preserve">’officer’ </w:t>
      </w:r>
      <w:r w:rsidRPr="009A0DA6">
        <w:rPr>
          <w:rFonts w:ascii="Cambria" w:hAnsi="Cambria" w:cstheme="majorHAnsi"/>
          <w:sz w:val="22"/>
          <w:szCs w:val="22"/>
        </w:rPr>
        <w:t>means College Director;</w:t>
      </w:r>
      <w:bookmarkEnd w:id="168"/>
      <w:bookmarkEnd w:id="169"/>
      <w:bookmarkEnd w:id="170"/>
      <w:bookmarkEnd w:id="171"/>
    </w:p>
    <w:p w14:paraId="046A1766" w14:textId="77777777" w:rsidR="001B46FC" w:rsidRPr="009A0DA6" w:rsidRDefault="001B46FC" w:rsidP="001B46FC">
      <w:pPr>
        <w:pStyle w:val="Number2"/>
        <w:tabs>
          <w:tab w:val="left" w:pos="709"/>
          <w:tab w:val="left" w:pos="1559"/>
          <w:tab w:val="left" w:pos="2552"/>
          <w:tab w:val="left" w:pos="3544"/>
          <w:tab w:val="left" w:pos="4820"/>
        </w:tabs>
        <w:spacing w:after="0"/>
        <w:ind w:left="0" w:firstLine="0"/>
        <w:jc w:val="left"/>
        <w:rPr>
          <w:rFonts w:ascii="Cambria" w:hAnsi="Cambria" w:cstheme="majorHAnsi"/>
          <w:sz w:val="22"/>
          <w:szCs w:val="22"/>
        </w:rPr>
      </w:pPr>
      <w:r w:rsidRPr="009A0DA6">
        <w:rPr>
          <w:rFonts w:ascii="Cambria" w:hAnsi="Cambria" w:cstheme="majorHAnsi"/>
          <w:sz w:val="22"/>
          <w:szCs w:val="22"/>
        </w:rPr>
        <w:tab/>
      </w:r>
      <w:bookmarkStart w:id="172" w:name="_Toc521575131"/>
      <w:bookmarkStart w:id="173" w:name="_Toc521692681"/>
      <w:bookmarkStart w:id="174" w:name="_Toc521954636"/>
      <w:bookmarkStart w:id="175" w:name="_Toc522395001"/>
      <w:r w:rsidRPr="009A0DA6">
        <w:rPr>
          <w:rFonts w:ascii="Cambria" w:hAnsi="Cambria" w:cstheme="majorHAnsi"/>
          <w:sz w:val="22"/>
          <w:szCs w:val="22"/>
        </w:rPr>
        <w:t>1.5.18</w:t>
      </w:r>
      <w:r w:rsidRPr="009A0DA6">
        <w:rPr>
          <w:rFonts w:ascii="Cambria" w:hAnsi="Cambria" w:cstheme="majorHAnsi"/>
          <w:sz w:val="22"/>
          <w:szCs w:val="22"/>
        </w:rPr>
        <w:tab/>
      </w:r>
      <w:r w:rsidRPr="009A0DA6">
        <w:rPr>
          <w:rFonts w:ascii="Cambria" w:hAnsi="Cambria" w:cstheme="majorHAnsi"/>
          <w:b/>
          <w:sz w:val="22"/>
          <w:szCs w:val="22"/>
        </w:rPr>
        <w:t>‘register’</w:t>
      </w:r>
      <w:r w:rsidRPr="009A0DA6">
        <w:rPr>
          <w:rFonts w:ascii="Cambria" w:hAnsi="Cambria" w:cstheme="majorHAnsi"/>
          <w:sz w:val="22"/>
          <w:szCs w:val="22"/>
        </w:rPr>
        <w:t xml:space="preserve"> means the register of Members of the College;</w:t>
      </w:r>
      <w:bookmarkEnd w:id="172"/>
      <w:bookmarkEnd w:id="173"/>
      <w:bookmarkEnd w:id="174"/>
      <w:bookmarkEnd w:id="175"/>
    </w:p>
    <w:p w14:paraId="7510623E" w14:textId="77777777" w:rsidR="001B46FC" w:rsidRPr="009A0DA6" w:rsidRDefault="001B46FC" w:rsidP="001B46FC">
      <w:pPr>
        <w:pStyle w:val="Number2"/>
        <w:tabs>
          <w:tab w:val="left" w:pos="709"/>
          <w:tab w:val="left" w:pos="1559"/>
          <w:tab w:val="left" w:pos="2552"/>
          <w:tab w:val="left" w:pos="3544"/>
          <w:tab w:val="left" w:pos="4820"/>
        </w:tabs>
        <w:spacing w:after="0"/>
        <w:ind w:hanging="1559"/>
        <w:jc w:val="left"/>
        <w:rPr>
          <w:rFonts w:ascii="Cambria" w:hAnsi="Cambria" w:cstheme="majorHAnsi"/>
          <w:sz w:val="22"/>
          <w:szCs w:val="22"/>
        </w:rPr>
      </w:pPr>
      <w:r w:rsidRPr="009A0DA6">
        <w:rPr>
          <w:rFonts w:ascii="Cambria" w:hAnsi="Cambria" w:cstheme="majorHAnsi"/>
          <w:sz w:val="22"/>
          <w:szCs w:val="22"/>
        </w:rPr>
        <w:tab/>
      </w:r>
      <w:bookmarkStart w:id="176" w:name="_Toc521575132"/>
      <w:bookmarkStart w:id="177" w:name="_Toc521692682"/>
      <w:bookmarkStart w:id="178" w:name="_Toc521954637"/>
      <w:bookmarkStart w:id="179" w:name="_Toc522395002"/>
      <w:r w:rsidRPr="009A0DA6">
        <w:rPr>
          <w:rFonts w:ascii="Cambria" w:hAnsi="Cambria" w:cstheme="majorHAnsi"/>
          <w:sz w:val="22"/>
          <w:szCs w:val="22"/>
        </w:rPr>
        <w:t>1.5.19</w:t>
      </w:r>
      <w:r w:rsidRPr="009A0DA6">
        <w:rPr>
          <w:rFonts w:ascii="Cambria" w:hAnsi="Cambria" w:cstheme="majorHAnsi"/>
          <w:sz w:val="22"/>
          <w:szCs w:val="22"/>
        </w:rPr>
        <w:tab/>
      </w:r>
      <w:r w:rsidRPr="009A0DA6">
        <w:rPr>
          <w:rFonts w:ascii="Cambria" w:hAnsi="Cambria" w:cstheme="majorHAnsi"/>
          <w:b/>
          <w:sz w:val="22"/>
          <w:szCs w:val="22"/>
        </w:rPr>
        <w:t>‘registered address’</w:t>
      </w:r>
      <w:r w:rsidRPr="009A0DA6">
        <w:rPr>
          <w:rFonts w:ascii="Cambria" w:hAnsi="Cambria" w:cstheme="majorHAnsi"/>
          <w:sz w:val="22"/>
          <w:szCs w:val="22"/>
        </w:rPr>
        <w:t xml:space="preserve"> means the last known address of a Member as noted in the Register;</w:t>
      </w:r>
      <w:bookmarkEnd w:id="176"/>
      <w:bookmarkEnd w:id="177"/>
      <w:bookmarkEnd w:id="178"/>
      <w:bookmarkEnd w:id="179"/>
      <w:r w:rsidRPr="009A0DA6">
        <w:rPr>
          <w:rFonts w:ascii="Cambria" w:hAnsi="Cambria" w:cstheme="majorHAnsi"/>
          <w:sz w:val="22"/>
          <w:szCs w:val="22"/>
        </w:rPr>
        <w:t xml:space="preserve"> </w:t>
      </w:r>
    </w:p>
    <w:p w14:paraId="1095DB96" w14:textId="77777777" w:rsidR="001B46FC" w:rsidRPr="009A0DA6" w:rsidRDefault="001B46FC" w:rsidP="001B46FC">
      <w:pPr>
        <w:pStyle w:val="Number2"/>
        <w:tabs>
          <w:tab w:val="left" w:pos="709"/>
          <w:tab w:val="left" w:pos="1559"/>
          <w:tab w:val="left" w:pos="2552"/>
          <w:tab w:val="left" w:pos="3544"/>
          <w:tab w:val="left" w:pos="4820"/>
        </w:tabs>
        <w:spacing w:after="0"/>
        <w:ind w:hanging="1559"/>
        <w:jc w:val="left"/>
        <w:rPr>
          <w:rFonts w:ascii="Cambria" w:hAnsi="Cambria" w:cstheme="majorHAnsi"/>
          <w:sz w:val="22"/>
          <w:szCs w:val="22"/>
        </w:rPr>
      </w:pPr>
      <w:r w:rsidRPr="009A0DA6">
        <w:rPr>
          <w:rFonts w:ascii="Cambria" w:hAnsi="Cambria" w:cstheme="majorHAnsi"/>
          <w:sz w:val="22"/>
          <w:szCs w:val="22"/>
        </w:rPr>
        <w:tab/>
      </w:r>
      <w:bookmarkStart w:id="180" w:name="_Toc521575133"/>
      <w:bookmarkStart w:id="181" w:name="_Toc521692683"/>
      <w:bookmarkStart w:id="182" w:name="_Toc521954638"/>
      <w:bookmarkStart w:id="183" w:name="_Toc522395003"/>
      <w:r w:rsidRPr="009A0DA6">
        <w:rPr>
          <w:rFonts w:ascii="Cambria" w:hAnsi="Cambria" w:cstheme="majorHAnsi"/>
          <w:sz w:val="22"/>
          <w:szCs w:val="22"/>
        </w:rPr>
        <w:t>1.5.20</w:t>
      </w:r>
      <w:r w:rsidRPr="009A0DA6">
        <w:rPr>
          <w:rFonts w:ascii="Cambria" w:hAnsi="Cambria" w:cstheme="majorHAnsi"/>
          <w:sz w:val="22"/>
          <w:szCs w:val="22"/>
        </w:rPr>
        <w:tab/>
      </w:r>
      <w:r w:rsidRPr="009A0DA6">
        <w:rPr>
          <w:rFonts w:ascii="Cambria" w:hAnsi="Cambria" w:cstheme="majorHAnsi"/>
          <w:b/>
          <w:sz w:val="22"/>
          <w:szCs w:val="22"/>
        </w:rPr>
        <w:t xml:space="preserve">‘seal’ </w:t>
      </w:r>
      <w:r w:rsidRPr="009A0DA6">
        <w:rPr>
          <w:rFonts w:ascii="Cambria" w:hAnsi="Cambria" w:cstheme="majorHAnsi"/>
          <w:sz w:val="22"/>
          <w:szCs w:val="22"/>
        </w:rPr>
        <w:t>means the College’s common seal;</w:t>
      </w:r>
      <w:bookmarkEnd w:id="180"/>
      <w:bookmarkEnd w:id="181"/>
      <w:bookmarkEnd w:id="182"/>
      <w:bookmarkEnd w:id="183"/>
      <w:r w:rsidRPr="009A0DA6">
        <w:rPr>
          <w:rFonts w:ascii="Cambria" w:hAnsi="Cambria" w:cstheme="majorHAnsi"/>
          <w:sz w:val="22"/>
          <w:szCs w:val="22"/>
        </w:rPr>
        <w:t xml:space="preserve">  </w:t>
      </w:r>
    </w:p>
    <w:p w14:paraId="6015D518" w14:textId="77777777" w:rsidR="001B46FC" w:rsidRPr="009A0DA6" w:rsidRDefault="001B46FC" w:rsidP="001B46FC">
      <w:pPr>
        <w:pStyle w:val="Number2"/>
        <w:tabs>
          <w:tab w:val="left" w:pos="709"/>
          <w:tab w:val="left" w:pos="1559"/>
          <w:tab w:val="left" w:pos="2552"/>
          <w:tab w:val="left" w:pos="3544"/>
          <w:tab w:val="left" w:pos="4820"/>
        </w:tabs>
        <w:spacing w:after="0"/>
        <w:ind w:hanging="1559"/>
        <w:jc w:val="left"/>
        <w:rPr>
          <w:rFonts w:ascii="Cambria" w:hAnsi="Cambria" w:cstheme="majorHAnsi"/>
          <w:sz w:val="22"/>
          <w:szCs w:val="22"/>
        </w:rPr>
      </w:pPr>
      <w:r w:rsidRPr="009A0DA6">
        <w:rPr>
          <w:rFonts w:ascii="Cambria" w:hAnsi="Cambria" w:cstheme="majorHAnsi"/>
          <w:sz w:val="22"/>
          <w:szCs w:val="22"/>
        </w:rPr>
        <w:tab/>
      </w:r>
      <w:bookmarkStart w:id="184" w:name="_Toc521575134"/>
      <w:bookmarkStart w:id="185" w:name="_Toc521692684"/>
      <w:bookmarkStart w:id="186" w:name="_Toc521954639"/>
      <w:bookmarkStart w:id="187" w:name="_Toc522395004"/>
      <w:r w:rsidRPr="009A0DA6">
        <w:rPr>
          <w:rFonts w:ascii="Cambria" w:hAnsi="Cambria" w:cstheme="majorHAnsi"/>
          <w:sz w:val="22"/>
          <w:szCs w:val="22"/>
        </w:rPr>
        <w:t>1.5.21</w:t>
      </w:r>
      <w:r w:rsidRPr="009A0DA6">
        <w:rPr>
          <w:rFonts w:ascii="Cambria" w:hAnsi="Cambria" w:cstheme="majorHAnsi"/>
          <w:sz w:val="22"/>
          <w:szCs w:val="22"/>
        </w:rPr>
        <w:tab/>
      </w:r>
      <w:r w:rsidRPr="009A0DA6">
        <w:rPr>
          <w:rFonts w:ascii="Cambria" w:hAnsi="Cambria" w:cstheme="majorHAnsi"/>
          <w:b/>
          <w:sz w:val="22"/>
          <w:szCs w:val="22"/>
        </w:rPr>
        <w:t xml:space="preserve">‘secretary’ </w:t>
      </w:r>
      <w:r w:rsidRPr="009A0DA6">
        <w:rPr>
          <w:rFonts w:ascii="Cambria" w:hAnsi="Cambria" w:cstheme="majorHAnsi"/>
          <w:sz w:val="22"/>
          <w:szCs w:val="22"/>
        </w:rPr>
        <w:t>means any person appointed by the Directors to perform any of the duties of the secretary of the College;</w:t>
      </w:r>
      <w:bookmarkEnd w:id="184"/>
      <w:bookmarkEnd w:id="185"/>
      <w:bookmarkEnd w:id="186"/>
      <w:bookmarkEnd w:id="187"/>
    </w:p>
    <w:p w14:paraId="409CDE1F" w14:textId="77777777" w:rsidR="001B46FC" w:rsidRPr="009A0DA6" w:rsidRDefault="001B46FC" w:rsidP="001B46FC">
      <w:pPr>
        <w:pStyle w:val="Number2"/>
        <w:tabs>
          <w:tab w:val="left" w:pos="709"/>
          <w:tab w:val="left" w:pos="1559"/>
          <w:tab w:val="left" w:pos="2552"/>
          <w:tab w:val="left" w:pos="3544"/>
          <w:tab w:val="left" w:pos="4820"/>
        </w:tabs>
        <w:spacing w:after="0"/>
        <w:ind w:hanging="1559"/>
        <w:jc w:val="left"/>
        <w:rPr>
          <w:rFonts w:ascii="Cambria" w:hAnsi="Cambria" w:cstheme="majorHAnsi"/>
          <w:sz w:val="22"/>
          <w:szCs w:val="22"/>
        </w:rPr>
      </w:pPr>
      <w:r w:rsidRPr="009A0DA6">
        <w:rPr>
          <w:rFonts w:ascii="Cambria" w:hAnsi="Cambria" w:cstheme="majorHAnsi"/>
          <w:sz w:val="22"/>
          <w:szCs w:val="22"/>
        </w:rPr>
        <w:tab/>
      </w:r>
      <w:bookmarkStart w:id="188" w:name="_Toc521575135"/>
      <w:bookmarkStart w:id="189" w:name="_Toc521692685"/>
      <w:bookmarkStart w:id="190" w:name="_Toc521954640"/>
      <w:bookmarkStart w:id="191" w:name="_Toc522395005"/>
      <w:r w:rsidRPr="009A0DA6">
        <w:rPr>
          <w:rFonts w:ascii="Cambria" w:hAnsi="Cambria" w:cstheme="majorHAnsi"/>
          <w:sz w:val="22"/>
          <w:szCs w:val="22"/>
        </w:rPr>
        <w:t>1.5.22</w:t>
      </w:r>
      <w:r w:rsidRPr="009A0DA6">
        <w:rPr>
          <w:rFonts w:ascii="Cambria" w:hAnsi="Cambria" w:cstheme="majorHAnsi"/>
          <w:sz w:val="22"/>
          <w:szCs w:val="22"/>
        </w:rPr>
        <w:tab/>
      </w:r>
      <w:r w:rsidRPr="009A0DA6">
        <w:rPr>
          <w:rFonts w:ascii="Cambria" w:hAnsi="Cambria" w:cstheme="majorHAnsi"/>
          <w:b/>
          <w:sz w:val="22"/>
          <w:szCs w:val="22"/>
        </w:rPr>
        <w:t>‘Member present’</w:t>
      </w:r>
      <w:r w:rsidRPr="009A0DA6">
        <w:rPr>
          <w:rFonts w:ascii="Cambria" w:hAnsi="Cambria" w:cstheme="majorHAnsi"/>
          <w:sz w:val="22"/>
          <w:szCs w:val="22"/>
        </w:rPr>
        <w:t xml:space="preserve"> means, in connection with a general meeting, a Member present in person, at the venue or venues for the meeting;</w:t>
      </w:r>
      <w:bookmarkEnd w:id="188"/>
      <w:bookmarkEnd w:id="189"/>
      <w:bookmarkEnd w:id="190"/>
      <w:bookmarkEnd w:id="191"/>
    </w:p>
    <w:p w14:paraId="5D023462" w14:textId="77777777" w:rsidR="001B46FC" w:rsidRPr="009A0DA6" w:rsidRDefault="001B46FC" w:rsidP="001B46FC">
      <w:pPr>
        <w:pStyle w:val="Number2"/>
        <w:tabs>
          <w:tab w:val="left" w:pos="709"/>
          <w:tab w:val="left" w:pos="1559"/>
          <w:tab w:val="left" w:pos="2552"/>
          <w:tab w:val="left" w:pos="3544"/>
          <w:tab w:val="left" w:pos="4820"/>
        </w:tabs>
        <w:spacing w:after="0"/>
        <w:ind w:hanging="1559"/>
        <w:jc w:val="left"/>
        <w:rPr>
          <w:rFonts w:ascii="Cambria" w:hAnsi="Cambria" w:cstheme="majorHAnsi"/>
          <w:sz w:val="22"/>
          <w:szCs w:val="22"/>
        </w:rPr>
      </w:pPr>
      <w:r w:rsidRPr="009A0DA6">
        <w:rPr>
          <w:rFonts w:ascii="Cambria" w:hAnsi="Cambria" w:cstheme="majorHAnsi"/>
          <w:sz w:val="22"/>
          <w:szCs w:val="22"/>
        </w:rPr>
        <w:tab/>
      </w:r>
      <w:bookmarkStart w:id="192" w:name="_Toc521575136"/>
      <w:bookmarkStart w:id="193" w:name="_Toc521692686"/>
      <w:bookmarkStart w:id="194" w:name="_Toc521954641"/>
      <w:bookmarkStart w:id="195" w:name="_Toc522395006"/>
      <w:r w:rsidRPr="009A0DA6">
        <w:rPr>
          <w:rFonts w:ascii="Cambria" w:hAnsi="Cambria" w:cstheme="majorHAnsi"/>
          <w:sz w:val="22"/>
          <w:szCs w:val="22"/>
        </w:rPr>
        <w:t>1.5.23</w:t>
      </w:r>
      <w:r w:rsidRPr="009A0DA6">
        <w:rPr>
          <w:rFonts w:ascii="Cambria" w:hAnsi="Cambria" w:cstheme="majorHAnsi"/>
          <w:sz w:val="22"/>
          <w:szCs w:val="22"/>
        </w:rPr>
        <w:tab/>
      </w:r>
      <w:r w:rsidRPr="009A0DA6">
        <w:rPr>
          <w:rFonts w:ascii="Cambria" w:hAnsi="Cambria" w:cstheme="majorHAnsi"/>
          <w:b/>
          <w:sz w:val="22"/>
          <w:szCs w:val="22"/>
        </w:rPr>
        <w:t>‘registered charity’</w:t>
      </w:r>
      <w:r w:rsidRPr="009A0DA6">
        <w:rPr>
          <w:rFonts w:ascii="Cambria" w:hAnsi="Cambria" w:cstheme="majorHAnsi"/>
          <w:sz w:val="22"/>
          <w:szCs w:val="22"/>
        </w:rPr>
        <w:t xml:space="preserve"> means a charity that is registered under the ACNC Act;</w:t>
      </w:r>
      <w:bookmarkEnd w:id="192"/>
      <w:bookmarkEnd w:id="193"/>
      <w:bookmarkEnd w:id="194"/>
      <w:bookmarkEnd w:id="195"/>
    </w:p>
    <w:p w14:paraId="38A08DBC" w14:textId="77777777" w:rsidR="001B46FC" w:rsidRPr="009A0DA6" w:rsidRDefault="001B46FC" w:rsidP="001B46FC">
      <w:pPr>
        <w:pStyle w:val="Number2"/>
        <w:tabs>
          <w:tab w:val="left" w:pos="709"/>
          <w:tab w:val="left" w:pos="1559"/>
          <w:tab w:val="left" w:pos="2552"/>
          <w:tab w:val="left" w:pos="3544"/>
          <w:tab w:val="left" w:pos="4820"/>
        </w:tabs>
        <w:spacing w:after="0"/>
        <w:ind w:hanging="1559"/>
        <w:jc w:val="left"/>
        <w:rPr>
          <w:rFonts w:ascii="Cambria" w:hAnsi="Cambria" w:cstheme="majorHAnsi"/>
          <w:sz w:val="22"/>
          <w:szCs w:val="22"/>
        </w:rPr>
      </w:pPr>
      <w:r w:rsidRPr="009A0DA6">
        <w:rPr>
          <w:rFonts w:ascii="Cambria" w:hAnsi="Cambria" w:cstheme="majorHAnsi"/>
          <w:sz w:val="22"/>
          <w:szCs w:val="22"/>
        </w:rPr>
        <w:tab/>
      </w:r>
      <w:bookmarkStart w:id="196" w:name="_Toc521575137"/>
      <w:bookmarkStart w:id="197" w:name="_Toc521692687"/>
      <w:bookmarkStart w:id="198" w:name="_Toc521954642"/>
      <w:bookmarkStart w:id="199" w:name="_Toc522395007"/>
      <w:r w:rsidRPr="009A0DA6">
        <w:rPr>
          <w:rFonts w:ascii="Cambria" w:hAnsi="Cambria" w:cstheme="majorHAnsi"/>
          <w:sz w:val="22"/>
          <w:szCs w:val="22"/>
        </w:rPr>
        <w:t>1.5.24</w:t>
      </w:r>
      <w:r w:rsidRPr="009A0DA6">
        <w:rPr>
          <w:rFonts w:ascii="Cambria" w:hAnsi="Cambria" w:cstheme="majorHAnsi"/>
          <w:sz w:val="22"/>
          <w:szCs w:val="22"/>
        </w:rPr>
        <w:tab/>
      </w:r>
      <w:r w:rsidRPr="009A0DA6">
        <w:rPr>
          <w:rFonts w:ascii="Cambria" w:hAnsi="Cambria" w:cstheme="majorHAnsi"/>
          <w:b/>
          <w:sz w:val="22"/>
          <w:szCs w:val="22"/>
        </w:rPr>
        <w:t>‘special resolution’</w:t>
      </w:r>
      <w:r w:rsidRPr="009A0DA6">
        <w:rPr>
          <w:rFonts w:ascii="Cambria" w:hAnsi="Cambria" w:cstheme="majorHAnsi"/>
          <w:sz w:val="22"/>
          <w:szCs w:val="22"/>
        </w:rPr>
        <w:t xml:space="preserve"> means a resolution</w:t>
      </w:r>
      <w:bookmarkEnd w:id="196"/>
      <w:bookmarkEnd w:id="197"/>
      <w:bookmarkEnd w:id="198"/>
      <w:bookmarkEnd w:id="199"/>
    </w:p>
    <w:p w14:paraId="026A41FD" w14:textId="77777777" w:rsidR="001B46FC" w:rsidRPr="009A0DA6" w:rsidRDefault="001B46FC" w:rsidP="001B46FC">
      <w:pPr>
        <w:pStyle w:val="Number2"/>
        <w:tabs>
          <w:tab w:val="left" w:pos="709"/>
          <w:tab w:val="left" w:pos="1559"/>
          <w:tab w:val="left" w:pos="2552"/>
          <w:tab w:val="left" w:pos="3544"/>
          <w:tab w:val="left" w:pos="4820"/>
        </w:tabs>
        <w:spacing w:after="0"/>
        <w:ind w:left="2552" w:hanging="2552"/>
        <w:jc w:val="left"/>
        <w:rPr>
          <w:rFonts w:ascii="Cambria" w:hAnsi="Cambria" w:cstheme="majorHAnsi"/>
          <w:sz w:val="22"/>
          <w:szCs w:val="22"/>
        </w:rPr>
      </w:pPr>
      <w:r w:rsidRPr="009A0DA6">
        <w:rPr>
          <w:rFonts w:ascii="Cambria" w:hAnsi="Cambria" w:cstheme="majorHAnsi"/>
          <w:sz w:val="22"/>
          <w:szCs w:val="22"/>
        </w:rPr>
        <w:tab/>
      </w:r>
      <w:r w:rsidRPr="009A0DA6">
        <w:rPr>
          <w:rFonts w:ascii="Cambria" w:hAnsi="Cambria" w:cstheme="majorHAnsi"/>
          <w:sz w:val="22"/>
          <w:szCs w:val="22"/>
        </w:rPr>
        <w:tab/>
      </w:r>
      <w:bookmarkStart w:id="200" w:name="_Toc521575138"/>
      <w:bookmarkStart w:id="201" w:name="_Toc521692688"/>
      <w:bookmarkStart w:id="202" w:name="_Toc521954643"/>
      <w:bookmarkStart w:id="203" w:name="_Toc522395008"/>
      <w:r w:rsidRPr="009A0DA6">
        <w:rPr>
          <w:rFonts w:ascii="Cambria" w:hAnsi="Cambria" w:cstheme="majorHAnsi"/>
          <w:sz w:val="22"/>
          <w:szCs w:val="22"/>
        </w:rPr>
        <w:t>1.5.24.1</w:t>
      </w:r>
      <w:r w:rsidRPr="009A0DA6">
        <w:rPr>
          <w:rFonts w:ascii="Cambria" w:hAnsi="Cambria" w:cstheme="majorHAnsi"/>
          <w:sz w:val="22"/>
          <w:szCs w:val="22"/>
        </w:rPr>
        <w:tab/>
        <w:t>of which notice has been given under Article 20; and</w:t>
      </w:r>
      <w:bookmarkEnd w:id="200"/>
      <w:bookmarkEnd w:id="201"/>
      <w:bookmarkEnd w:id="202"/>
      <w:bookmarkEnd w:id="203"/>
    </w:p>
    <w:p w14:paraId="41722E79" w14:textId="77777777" w:rsidR="001B46FC" w:rsidRPr="009A0DA6" w:rsidRDefault="001B46FC" w:rsidP="001B46FC">
      <w:pPr>
        <w:pStyle w:val="Number2"/>
        <w:tabs>
          <w:tab w:val="left" w:pos="709"/>
          <w:tab w:val="left" w:pos="1559"/>
          <w:tab w:val="left" w:pos="2552"/>
          <w:tab w:val="left" w:pos="3544"/>
          <w:tab w:val="left" w:pos="4820"/>
        </w:tabs>
        <w:spacing w:after="0"/>
        <w:ind w:left="2552" w:hanging="2552"/>
        <w:jc w:val="left"/>
        <w:rPr>
          <w:rFonts w:ascii="Cambria" w:hAnsi="Cambria" w:cstheme="majorHAnsi"/>
          <w:sz w:val="22"/>
          <w:szCs w:val="22"/>
        </w:rPr>
      </w:pPr>
      <w:r w:rsidRPr="009A0DA6">
        <w:rPr>
          <w:rFonts w:ascii="Cambria" w:hAnsi="Cambria" w:cstheme="majorHAnsi"/>
          <w:sz w:val="22"/>
          <w:szCs w:val="22"/>
        </w:rPr>
        <w:tab/>
      </w:r>
      <w:r w:rsidRPr="009A0DA6">
        <w:rPr>
          <w:rFonts w:ascii="Cambria" w:hAnsi="Cambria" w:cstheme="majorHAnsi"/>
          <w:sz w:val="22"/>
          <w:szCs w:val="22"/>
        </w:rPr>
        <w:tab/>
      </w:r>
      <w:bookmarkStart w:id="204" w:name="_Toc521575139"/>
      <w:bookmarkStart w:id="205" w:name="_Toc521692689"/>
      <w:bookmarkStart w:id="206" w:name="_Toc521954644"/>
      <w:bookmarkStart w:id="207" w:name="_Toc522395009"/>
      <w:r w:rsidRPr="009A0DA6">
        <w:rPr>
          <w:rFonts w:ascii="Cambria" w:hAnsi="Cambria" w:cstheme="majorHAnsi"/>
          <w:sz w:val="22"/>
          <w:szCs w:val="22"/>
        </w:rPr>
        <w:t xml:space="preserve">1.5.24.2 </w:t>
      </w:r>
      <w:r w:rsidRPr="009A0DA6">
        <w:rPr>
          <w:rFonts w:ascii="Cambria" w:hAnsi="Cambria" w:cstheme="majorHAnsi"/>
          <w:sz w:val="22"/>
          <w:szCs w:val="22"/>
        </w:rPr>
        <w:tab/>
        <w:t>that has been passed by at least 75% of the votes cast by Members present and entitled to vote on the resolution;</w:t>
      </w:r>
      <w:bookmarkEnd w:id="204"/>
      <w:bookmarkEnd w:id="205"/>
      <w:bookmarkEnd w:id="206"/>
      <w:bookmarkEnd w:id="207"/>
    </w:p>
    <w:p w14:paraId="546DAE33" w14:textId="77777777" w:rsidR="001B46FC" w:rsidRPr="009A0DA6" w:rsidRDefault="001B46FC" w:rsidP="001B46FC">
      <w:pPr>
        <w:pStyle w:val="Number2"/>
        <w:tabs>
          <w:tab w:val="left" w:pos="709"/>
          <w:tab w:val="left" w:pos="1559"/>
          <w:tab w:val="left" w:pos="2552"/>
          <w:tab w:val="left" w:pos="3544"/>
          <w:tab w:val="left" w:pos="4820"/>
        </w:tabs>
        <w:spacing w:after="0"/>
        <w:ind w:hanging="1559"/>
        <w:jc w:val="left"/>
        <w:rPr>
          <w:rFonts w:ascii="Cambria" w:hAnsi="Cambria" w:cstheme="majorHAnsi"/>
          <w:sz w:val="22"/>
          <w:szCs w:val="22"/>
        </w:rPr>
      </w:pPr>
      <w:r w:rsidRPr="009A0DA6">
        <w:rPr>
          <w:rFonts w:ascii="Cambria" w:hAnsi="Cambria" w:cstheme="majorHAnsi"/>
          <w:sz w:val="22"/>
          <w:szCs w:val="22"/>
        </w:rPr>
        <w:tab/>
      </w:r>
      <w:bookmarkStart w:id="208" w:name="_Toc521575140"/>
      <w:bookmarkStart w:id="209" w:name="_Toc521692690"/>
      <w:bookmarkStart w:id="210" w:name="_Toc521954645"/>
      <w:bookmarkStart w:id="211" w:name="_Toc522395010"/>
      <w:r w:rsidRPr="009A0DA6">
        <w:rPr>
          <w:rFonts w:ascii="Cambria" w:hAnsi="Cambria" w:cstheme="majorHAnsi"/>
          <w:sz w:val="22"/>
          <w:szCs w:val="22"/>
        </w:rPr>
        <w:t>1.5.25</w:t>
      </w:r>
      <w:r w:rsidRPr="009A0DA6">
        <w:rPr>
          <w:rFonts w:ascii="Cambria" w:hAnsi="Cambria" w:cstheme="majorHAnsi"/>
          <w:sz w:val="22"/>
          <w:szCs w:val="22"/>
        </w:rPr>
        <w:tab/>
      </w:r>
      <w:r w:rsidRPr="009A0DA6">
        <w:rPr>
          <w:rFonts w:ascii="Cambria" w:hAnsi="Cambria" w:cstheme="majorHAnsi"/>
          <w:b/>
          <w:sz w:val="22"/>
          <w:szCs w:val="22"/>
        </w:rPr>
        <w:t>‘surplus assets’</w:t>
      </w:r>
      <w:r w:rsidRPr="009A0DA6">
        <w:rPr>
          <w:rFonts w:ascii="Cambria" w:hAnsi="Cambria" w:cstheme="majorHAnsi"/>
          <w:sz w:val="22"/>
          <w:szCs w:val="22"/>
        </w:rPr>
        <w:t xml:space="preserve"> means any assets of the College that remain after paying all debts and other liabilities of the College, inc</w:t>
      </w:r>
      <w:bookmarkStart w:id="212" w:name="_Ref382914275"/>
      <w:r w:rsidRPr="009A0DA6">
        <w:rPr>
          <w:rFonts w:ascii="Cambria" w:hAnsi="Cambria" w:cstheme="majorHAnsi"/>
          <w:sz w:val="22"/>
          <w:szCs w:val="22"/>
        </w:rPr>
        <w:t>luding the costs of winding up;</w:t>
      </w:r>
      <w:bookmarkEnd w:id="208"/>
      <w:bookmarkEnd w:id="209"/>
      <w:bookmarkEnd w:id="210"/>
      <w:bookmarkEnd w:id="211"/>
    </w:p>
    <w:p w14:paraId="0EC0CDFF" w14:textId="77777777" w:rsidR="001B46FC" w:rsidRPr="009A0DA6" w:rsidRDefault="001B46FC" w:rsidP="001B46FC">
      <w:pPr>
        <w:pStyle w:val="Number2"/>
        <w:tabs>
          <w:tab w:val="left" w:pos="709"/>
          <w:tab w:val="left" w:pos="1559"/>
          <w:tab w:val="left" w:pos="2552"/>
          <w:tab w:val="left" w:pos="3544"/>
          <w:tab w:val="left" w:pos="4820"/>
        </w:tabs>
        <w:spacing w:after="0"/>
        <w:ind w:hanging="1559"/>
        <w:jc w:val="left"/>
        <w:rPr>
          <w:rFonts w:ascii="Cambria" w:hAnsi="Cambria" w:cstheme="majorHAnsi"/>
          <w:sz w:val="22"/>
          <w:szCs w:val="22"/>
        </w:rPr>
      </w:pPr>
      <w:r w:rsidRPr="009A0DA6">
        <w:rPr>
          <w:rFonts w:ascii="Cambria" w:hAnsi="Cambria" w:cstheme="majorHAnsi"/>
          <w:sz w:val="22"/>
          <w:szCs w:val="22"/>
        </w:rPr>
        <w:tab/>
      </w:r>
      <w:bookmarkStart w:id="213" w:name="_Toc521575141"/>
      <w:bookmarkStart w:id="214" w:name="_Toc521692691"/>
      <w:bookmarkStart w:id="215" w:name="_Toc521954646"/>
      <w:bookmarkStart w:id="216" w:name="_Toc522395011"/>
      <w:r w:rsidRPr="009A0DA6">
        <w:rPr>
          <w:rFonts w:ascii="Cambria" w:hAnsi="Cambria" w:cstheme="majorHAnsi"/>
          <w:sz w:val="22"/>
          <w:szCs w:val="22"/>
        </w:rPr>
        <w:t>1.5.26</w:t>
      </w:r>
      <w:r w:rsidRPr="009A0DA6">
        <w:rPr>
          <w:rFonts w:ascii="Cambria" w:hAnsi="Cambria" w:cstheme="majorHAnsi"/>
          <w:sz w:val="22"/>
          <w:szCs w:val="22"/>
        </w:rPr>
        <w:tab/>
        <w:t>In reading this constitution with the Corporations Act</w:t>
      </w:r>
      <w:bookmarkEnd w:id="212"/>
      <w:bookmarkEnd w:id="213"/>
      <w:bookmarkEnd w:id="214"/>
      <w:bookmarkEnd w:id="215"/>
      <w:bookmarkEnd w:id="216"/>
      <w:r w:rsidRPr="009A0DA6">
        <w:rPr>
          <w:rFonts w:ascii="Cambria" w:hAnsi="Cambria" w:cstheme="majorHAnsi"/>
          <w:sz w:val="22"/>
          <w:szCs w:val="22"/>
        </w:rPr>
        <w:t xml:space="preserve"> </w:t>
      </w:r>
    </w:p>
    <w:p w14:paraId="15AB5F98" w14:textId="77777777" w:rsidR="001B46FC" w:rsidRPr="009A0DA6" w:rsidRDefault="001B46FC" w:rsidP="001B46FC">
      <w:pPr>
        <w:pStyle w:val="Number2"/>
        <w:tabs>
          <w:tab w:val="left" w:pos="709"/>
          <w:tab w:val="left" w:pos="1559"/>
          <w:tab w:val="left" w:pos="2552"/>
          <w:tab w:val="left" w:pos="3544"/>
          <w:tab w:val="left" w:pos="4820"/>
        </w:tabs>
        <w:spacing w:after="0"/>
        <w:ind w:left="2552" w:hanging="2552"/>
        <w:jc w:val="left"/>
        <w:rPr>
          <w:rFonts w:ascii="Cambria" w:hAnsi="Cambria" w:cstheme="majorHAnsi"/>
          <w:sz w:val="22"/>
          <w:szCs w:val="22"/>
        </w:rPr>
      </w:pPr>
      <w:r w:rsidRPr="009A0DA6">
        <w:rPr>
          <w:rFonts w:ascii="Cambria" w:hAnsi="Cambria" w:cstheme="majorHAnsi"/>
          <w:sz w:val="22"/>
          <w:szCs w:val="22"/>
        </w:rPr>
        <w:tab/>
      </w:r>
      <w:r w:rsidRPr="009A0DA6">
        <w:rPr>
          <w:rFonts w:ascii="Cambria" w:hAnsi="Cambria" w:cstheme="majorHAnsi"/>
          <w:sz w:val="22"/>
          <w:szCs w:val="22"/>
        </w:rPr>
        <w:tab/>
      </w:r>
      <w:bookmarkStart w:id="217" w:name="_Toc521575142"/>
      <w:bookmarkStart w:id="218" w:name="_Toc521692692"/>
      <w:bookmarkStart w:id="219" w:name="_Toc521954647"/>
      <w:bookmarkStart w:id="220" w:name="_Toc522395012"/>
      <w:r w:rsidRPr="009A0DA6">
        <w:rPr>
          <w:rFonts w:ascii="Cambria" w:hAnsi="Cambria" w:cstheme="majorHAnsi"/>
          <w:sz w:val="22"/>
          <w:szCs w:val="22"/>
        </w:rPr>
        <w:t>1.5.26.1</w:t>
      </w:r>
      <w:r w:rsidRPr="009A0DA6">
        <w:rPr>
          <w:rFonts w:ascii="Cambria" w:hAnsi="Cambria" w:cstheme="majorHAnsi"/>
          <w:sz w:val="22"/>
          <w:szCs w:val="22"/>
        </w:rPr>
        <w:tab/>
        <w:t>the replaceable rules set out in the Corporations Act do not apply to the College;</w:t>
      </w:r>
      <w:bookmarkEnd w:id="217"/>
      <w:bookmarkEnd w:id="218"/>
      <w:bookmarkEnd w:id="219"/>
      <w:bookmarkEnd w:id="220"/>
    </w:p>
    <w:p w14:paraId="6A7F0748" w14:textId="77777777" w:rsidR="001B46FC" w:rsidRPr="009A0DA6" w:rsidRDefault="001B46FC" w:rsidP="001B46FC">
      <w:pPr>
        <w:pStyle w:val="Number2"/>
        <w:tabs>
          <w:tab w:val="left" w:pos="709"/>
          <w:tab w:val="left" w:pos="1559"/>
          <w:tab w:val="left" w:pos="2552"/>
          <w:tab w:val="left" w:pos="3544"/>
          <w:tab w:val="left" w:pos="4820"/>
        </w:tabs>
        <w:spacing w:after="0"/>
        <w:ind w:left="2552" w:hanging="2552"/>
        <w:jc w:val="left"/>
        <w:rPr>
          <w:rFonts w:ascii="Cambria" w:hAnsi="Cambria" w:cstheme="majorHAnsi"/>
          <w:sz w:val="22"/>
          <w:szCs w:val="22"/>
        </w:rPr>
      </w:pPr>
      <w:r w:rsidRPr="009A0DA6">
        <w:rPr>
          <w:rFonts w:ascii="Cambria" w:hAnsi="Cambria" w:cstheme="majorHAnsi"/>
          <w:sz w:val="22"/>
          <w:szCs w:val="22"/>
        </w:rPr>
        <w:tab/>
      </w:r>
      <w:r w:rsidRPr="009A0DA6">
        <w:rPr>
          <w:rFonts w:ascii="Cambria" w:hAnsi="Cambria" w:cstheme="majorHAnsi"/>
          <w:sz w:val="22"/>
          <w:szCs w:val="22"/>
        </w:rPr>
        <w:tab/>
      </w:r>
      <w:bookmarkStart w:id="221" w:name="_Toc521575143"/>
      <w:bookmarkStart w:id="222" w:name="_Toc521692693"/>
      <w:bookmarkStart w:id="223" w:name="_Toc521954648"/>
      <w:bookmarkStart w:id="224" w:name="_Toc522395013"/>
      <w:r w:rsidRPr="009A0DA6">
        <w:rPr>
          <w:rFonts w:ascii="Cambria" w:hAnsi="Cambria" w:cstheme="majorHAnsi"/>
          <w:sz w:val="22"/>
          <w:szCs w:val="22"/>
        </w:rPr>
        <w:t>1.5.26.2</w:t>
      </w:r>
      <w:r w:rsidRPr="009A0DA6">
        <w:rPr>
          <w:rFonts w:ascii="Cambria" w:hAnsi="Cambria" w:cstheme="majorHAnsi"/>
          <w:sz w:val="22"/>
          <w:szCs w:val="22"/>
        </w:rPr>
        <w:tab/>
        <w:t>while the College is a registered charity, the ACNC Act and the Corporations Act override any Clauses in this constitution which are inconsistent with those Acts;</w:t>
      </w:r>
      <w:bookmarkEnd w:id="221"/>
      <w:bookmarkEnd w:id="222"/>
      <w:bookmarkEnd w:id="223"/>
      <w:bookmarkEnd w:id="224"/>
    </w:p>
    <w:p w14:paraId="264756C9" w14:textId="77777777" w:rsidR="001B46FC" w:rsidRPr="009A0DA6" w:rsidRDefault="001B46FC" w:rsidP="001B46FC">
      <w:pPr>
        <w:pStyle w:val="Number2"/>
        <w:tabs>
          <w:tab w:val="left" w:pos="709"/>
          <w:tab w:val="left" w:pos="1559"/>
          <w:tab w:val="left" w:pos="2552"/>
          <w:tab w:val="left" w:pos="3544"/>
          <w:tab w:val="left" w:pos="4820"/>
        </w:tabs>
        <w:spacing w:after="0"/>
        <w:ind w:left="2552" w:hanging="2552"/>
        <w:jc w:val="left"/>
        <w:rPr>
          <w:rFonts w:ascii="Cambria" w:hAnsi="Cambria" w:cstheme="majorHAnsi"/>
          <w:sz w:val="22"/>
          <w:szCs w:val="22"/>
        </w:rPr>
      </w:pPr>
      <w:r w:rsidRPr="009A0DA6">
        <w:rPr>
          <w:rFonts w:ascii="Cambria" w:hAnsi="Cambria" w:cstheme="majorHAnsi"/>
          <w:sz w:val="22"/>
          <w:szCs w:val="22"/>
        </w:rPr>
        <w:tab/>
      </w:r>
      <w:r w:rsidRPr="009A0DA6">
        <w:rPr>
          <w:rFonts w:ascii="Cambria" w:hAnsi="Cambria" w:cstheme="majorHAnsi"/>
          <w:sz w:val="22"/>
          <w:szCs w:val="22"/>
        </w:rPr>
        <w:tab/>
      </w:r>
      <w:bookmarkStart w:id="225" w:name="_Toc521575144"/>
      <w:bookmarkStart w:id="226" w:name="_Toc521692694"/>
      <w:bookmarkStart w:id="227" w:name="_Toc521954649"/>
      <w:bookmarkStart w:id="228" w:name="_Toc522395014"/>
      <w:r w:rsidRPr="009A0DA6">
        <w:rPr>
          <w:rFonts w:ascii="Cambria" w:hAnsi="Cambria" w:cstheme="majorHAnsi"/>
          <w:sz w:val="22"/>
          <w:szCs w:val="22"/>
        </w:rPr>
        <w:t>1.5.26.3</w:t>
      </w:r>
      <w:r w:rsidRPr="009A0DA6">
        <w:rPr>
          <w:rFonts w:ascii="Cambria" w:hAnsi="Cambria" w:cstheme="majorHAnsi"/>
          <w:sz w:val="22"/>
          <w:szCs w:val="22"/>
        </w:rPr>
        <w:tab/>
        <w:t>if the College is not a registered charity, even if it remains a charity, the Corporations Act overrides any Article or in this constitution which is inconsistent with that Act;</w:t>
      </w:r>
      <w:bookmarkEnd w:id="225"/>
      <w:bookmarkEnd w:id="226"/>
      <w:bookmarkEnd w:id="227"/>
      <w:bookmarkEnd w:id="228"/>
    </w:p>
    <w:p w14:paraId="19D919A4" w14:textId="77777777" w:rsidR="001B46FC" w:rsidRPr="009A0DA6" w:rsidRDefault="001B46FC" w:rsidP="001B46FC">
      <w:pPr>
        <w:pStyle w:val="Number2"/>
        <w:tabs>
          <w:tab w:val="left" w:pos="709"/>
          <w:tab w:val="left" w:pos="1559"/>
          <w:tab w:val="left" w:pos="2552"/>
          <w:tab w:val="left" w:pos="3544"/>
          <w:tab w:val="left" w:pos="4820"/>
        </w:tabs>
        <w:spacing w:after="0"/>
        <w:ind w:left="2552" w:hanging="2552"/>
        <w:jc w:val="left"/>
        <w:rPr>
          <w:rFonts w:ascii="Cambria" w:hAnsi="Cambria" w:cstheme="majorHAnsi"/>
          <w:sz w:val="22"/>
          <w:szCs w:val="22"/>
        </w:rPr>
      </w:pPr>
      <w:r w:rsidRPr="009A0DA6">
        <w:rPr>
          <w:rFonts w:ascii="Cambria" w:hAnsi="Cambria" w:cstheme="majorHAnsi"/>
          <w:sz w:val="22"/>
          <w:szCs w:val="22"/>
        </w:rPr>
        <w:tab/>
      </w:r>
      <w:r w:rsidRPr="009A0DA6">
        <w:rPr>
          <w:rFonts w:ascii="Cambria" w:hAnsi="Cambria" w:cstheme="majorHAnsi"/>
          <w:sz w:val="22"/>
          <w:szCs w:val="22"/>
        </w:rPr>
        <w:tab/>
      </w:r>
      <w:bookmarkStart w:id="229" w:name="_Toc521575145"/>
      <w:bookmarkStart w:id="230" w:name="_Toc521692695"/>
      <w:bookmarkStart w:id="231" w:name="_Toc521954650"/>
      <w:bookmarkStart w:id="232" w:name="_Toc522395015"/>
      <w:r w:rsidRPr="009A0DA6">
        <w:rPr>
          <w:rFonts w:ascii="Cambria" w:hAnsi="Cambria" w:cstheme="majorHAnsi"/>
          <w:sz w:val="22"/>
          <w:szCs w:val="22"/>
        </w:rPr>
        <w:t>1.5.26.4</w:t>
      </w:r>
      <w:r w:rsidRPr="009A0DA6">
        <w:rPr>
          <w:rFonts w:ascii="Cambria" w:hAnsi="Cambria" w:cstheme="majorHAnsi"/>
          <w:sz w:val="22"/>
          <w:szCs w:val="22"/>
        </w:rPr>
        <w:tab/>
        <w:t>words and expressions defined in the Act have the same meaning in this Constitution;</w:t>
      </w:r>
      <w:bookmarkEnd w:id="229"/>
      <w:bookmarkEnd w:id="230"/>
      <w:bookmarkEnd w:id="231"/>
      <w:bookmarkEnd w:id="232"/>
    </w:p>
    <w:p w14:paraId="38B95A08" w14:textId="77777777" w:rsidR="001B46FC" w:rsidRPr="009A0DA6" w:rsidRDefault="001B46FC" w:rsidP="001B46FC">
      <w:pPr>
        <w:pStyle w:val="Number2"/>
        <w:tabs>
          <w:tab w:val="left" w:pos="709"/>
          <w:tab w:val="left" w:pos="1559"/>
          <w:tab w:val="left" w:pos="2552"/>
          <w:tab w:val="left" w:pos="3544"/>
          <w:tab w:val="left" w:pos="4820"/>
        </w:tabs>
        <w:spacing w:after="0"/>
        <w:ind w:left="2552" w:hanging="2552"/>
        <w:jc w:val="left"/>
        <w:rPr>
          <w:rFonts w:ascii="Cambria" w:hAnsi="Cambria" w:cstheme="majorHAnsi"/>
          <w:sz w:val="22"/>
          <w:szCs w:val="22"/>
        </w:rPr>
      </w:pPr>
      <w:r w:rsidRPr="009A0DA6">
        <w:rPr>
          <w:rFonts w:ascii="Cambria" w:hAnsi="Cambria" w:cstheme="majorHAnsi"/>
          <w:sz w:val="22"/>
          <w:szCs w:val="22"/>
        </w:rPr>
        <w:tab/>
      </w:r>
      <w:r w:rsidRPr="009A0DA6">
        <w:rPr>
          <w:rFonts w:ascii="Cambria" w:hAnsi="Cambria" w:cstheme="majorHAnsi"/>
          <w:sz w:val="22"/>
          <w:szCs w:val="22"/>
        </w:rPr>
        <w:tab/>
      </w:r>
      <w:bookmarkStart w:id="233" w:name="_Toc521575146"/>
      <w:bookmarkStart w:id="234" w:name="_Toc521692696"/>
      <w:bookmarkStart w:id="235" w:name="_Toc521954651"/>
      <w:bookmarkStart w:id="236" w:name="_Toc522395016"/>
      <w:r w:rsidRPr="009A0DA6">
        <w:rPr>
          <w:rFonts w:ascii="Cambria" w:hAnsi="Cambria" w:cstheme="majorHAnsi"/>
          <w:sz w:val="22"/>
          <w:szCs w:val="22"/>
        </w:rPr>
        <w:t>1.5.26.5</w:t>
      </w:r>
      <w:r w:rsidRPr="009A0DA6">
        <w:rPr>
          <w:rFonts w:ascii="Cambria" w:hAnsi="Cambria" w:cstheme="majorHAnsi"/>
          <w:sz w:val="22"/>
          <w:szCs w:val="22"/>
        </w:rPr>
        <w:tab/>
        <w:t>a reference to the Corporations Law is a reference to the Act as modified or amended from time to time;</w:t>
      </w:r>
      <w:bookmarkEnd w:id="233"/>
      <w:bookmarkEnd w:id="234"/>
      <w:bookmarkEnd w:id="235"/>
      <w:bookmarkEnd w:id="236"/>
    </w:p>
    <w:p w14:paraId="39BFBA40" w14:textId="77777777" w:rsidR="001B46FC" w:rsidRPr="009A0DA6" w:rsidRDefault="001B46FC" w:rsidP="001B46FC">
      <w:pPr>
        <w:pStyle w:val="Number2"/>
        <w:tabs>
          <w:tab w:val="left" w:pos="709"/>
          <w:tab w:val="left" w:pos="1559"/>
          <w:tab w:val="left" w:pos="2552"/>
          <w:tab w:val="left" w:pos="3544"/>
          <w:tab w:val="left" w:pos="4820"/>
        </w:tabs>
        <w:spacing w:after="0"/>
        <w:ind w:left="2552" w:hanging="2552"/>
        <w:jc w:val="left"/>
        <w:rPr>
          <w:rFonts w:ascii="Cambria" w:hAnsi="Cambria" w:cstheme="majorHAnsi"/>
          <w:sz w:val="22"/>
          <w:szCs w:val="22"/>
        </w:rPr>
      </w:pPr>
      <w:r w:rsidRPr="009A0DA6">
        <w:rPr>
          <w:rFonts w:ascii="Cambria" w:hAnsi="Cambria" w:cstheme="majorHAnsi"/>
          <w:sz w:val="22"/>
          <w:szCs w:val="22"/>
        </w:rPr>
        <w:tab/>
      </w:r>
      <w:r w:rsidRPr="009A0DA6">
        <w:rPr>
          <w:rFonts w:ascii="Cambria" w:hAnsi="Cambria" w:cstheme="majorHAnsi"/>
          <w:sz w:val="22"/>
          <w:szCs w:val="22"/>
        </w:rPr>
        <w:tab/>
      </w:r>
      <w:bookmarkStart w:id="237" w:name="_Toc521575147"/>
      <w:bookmarkStart w:id="238" w:name="_Toc521692697"/>
      <w:bookmarkStart w:id="239" w:name="_Toc521954652"/>
      <w:bookmarkStart w:id="240" w:name="_Toc522395017"/>
      <w:r w:rsidRPr="009A0DA6">
        <w:rPr>
          <w:rFonts w:ascii="Cambria" w:hAnsi="Cambria" w:cstheme="majorHAnsi"/>
          <w:sz w:val="22"/>
          <w:szCs w:val="22"/>
        </w:rPr>
        <w:t>1.5.26.6</w:t>
      </w:r>
      <w:r w:rsidRPr="009A0DA6">
        <w:rPr>
          <w:rFonts w:ascii="Cambria" w:hAnsi="Cambria" w:cstheme="majorHAnsi"/>
          <w:sz w:val="22"/>
          <w:szCs w:val="22"/>
        </w:rPr>
        <w:tab/>
        <w:t>an expression in a Clause of this Constitution has the same meaning as in a provision of the Act;  and</w:t>
      </w:r>
      <w:bookmarkEnd w:id="237"/>
      <w:bookmarkEnd w:id="238"/>
      <w:bookmarkEnd w:id="239"/>
      <w:bookmarkEnd w:id="240"/>
    </w:p>
    <w:p w14:paraId="0B58FED2" w14:textId="77777777" w:rsidR="001B46FC" w:rsidRPr="009A0DA6" w:rsidRDefault="001B46FC" w:rsidP="001B46FC">
      <w:pPr>
        <w:pStyle w:val="Number2"/>
        <w:tabs>
          <w:tab w:val="left" w:pos="709"/>
          <w:tab w:val="left" w:pos="1559"/>
          <w:tab w:val="left" w:pos="2552"/>
          <w:tab w:val="left" w:pos="3544"/>
          <w:tab w:val="left" w:pos="4820"/>
        </w:tabs>
        <w:spacing w:after="0"/>
        <w:ind w:left="2552" w:hanging="2552"/>
        <w:jc w:val="left"/>
        <w:rPr>
          <w:rFonts w:ascii="Cambria" w:hAnsi="Cambria" w:cstheme="majorHAnsi"/>
          <w:sz w:val="22"/>
          <w:szCs w:val="22"/>
        </w:rPr>
      </w:pPr>
      <w:r w:rsidRPr="009A0DA6">
        <w:rPr>
          <w:rFonts w:ascii="Cambria" w:hAnsi="Cambria" w:cstheme="majorHAnsi"/>
          <w:sz w:val="22"/>
          <w:szCs w:val="22"/>
        </w:rPr>
        <w:lastRenderedPageBreak/>
        <w:tab/>
      </w:r>
      <w:r w:rsidRPr="009A0DA6">
        <w:rPr>
          <w:rFonts w:ascii="Cambria" w:hAnsi="Cambria" w:cstheme="majorHAnsi"/>
          <w:sz w:val="22"/>
          <w:szCs w:val="22"/>
        </w:rPr>
        <w:tab/>
      </w:r>
      <w:bookmarkStart w:id="241" w:name="_Toc521575148"/>
      <w:bookmarkStart w:id="242" w:name="_Toc521692698"/>
      <w:bookmarkStart w:id="243" w:name="_Toc521954653"/>
      <w:bookmarkStart w:id="244" w:name="_Toc522395018"/>
      <w:r w:rsidRPr="009A0DA6">
        <w:rPr>
          <w:rFonts w:ascii="Cambria" w:hAnsi="Cambria" w:cstheme="majorHAnsi"/>
          <w:sz w:val="22"/>
          <w:szCs w:val="22"/>
        </w:rPr>
        <w:t>1.5.26.7</w:t>
      </w:r>
      <w:r w:rsidRPr="009A0DA6">
        <w:rPr>
          <w:rFonts w:ascii="Cambria" w:hAnsi="Cambria" w:cstheme="majorHAnsi"/>
          <w:sz w:val="22"/>
          <w:szCs w:val="22"/>
        </w:rPr>
        <w:tab/>
        <w:t>a word or expression that is defined in the Corporations Act, or used in that Act and covering the same subject, has the same meaning as in this constitution.</w:t>
      </w:r>
      <w:bookmarkEnd w:id="241"/>
      <w:bookmarkEnd w:id="242"/>
      <w:bookmarkEnd w:id="243"/>
      <w:bookmarkEnd w:id="244"/>
    </w:p>
    <w:p w14:paraId="70348265" w14:textId="77777777" w:rsidR="001B46FC" w:rsidRPr="009A0DA6" w:rsidRDefault="001B46FC" w:rsidP="001B46FC">
      <w:pPr>
        <w:spacing w:before="120"/>
        <w:rPr>
          <w:rFonts w:ascii="Cambria" w:hAnsi="Cambria"/>
          <w:b/>
        </w:rPr>
      </w:pPr>
      <w:bookmarkStart w:id="245" w:name="_Toc390209804"/>
      <w:bookmarkStart w:id="246" w:name="_Toc326166534"/>
      <w:r w:rsidRPr="009A0DA6">
        <w:rPr>
          <w:rFonts w:ascii="Cambria" w:hAnsi="Cambria"/>
          <w:b/>
        </w:rPr>
        <w:t>Article 2</w:t>
      </w:r>
      <w:r w:rsidRPr="009A0DA6">
        <w:rPr>
          <w:rFonts w:ascii="Cambria" w:hAnsi="Cambria"/>
          <w:b/>
        </w:rPr>
        <w:tab/>
        <w:t>Confessional Basis</w:t>
      </w:r>
      <w:bookmarkEnd w:id="245"/>
    </w:p>
    <w:p w14:paraId="297B612B" w14:textId="77777777" w:rsidR="001B46FC" w:rsidRPr="009A0DA6" w:rsidRDefault="001B46FC" w:rsidP="001B46FC">
      <w:pPr>
        <w:pStyle w:val="Number2Arial"/>
        <w:tabs>
          <w:tab w:val="clear" w:pos="851"/>
          <w:tab w:val="clear" w:pos="1701"/>
          <w:tab w:val="clear" w:pos="3402"/>
          <w:tab w:val="clear" w:pos="4253"/>
          <w:tab w:val="left" w:pos="709"/>
          <w:tab w:val="left" w:pos="1559"/>
          <w:tab w:val="left" w:pos="3544"/>
          <w:tab w:val="left" w:pos="4820"/>
        </w:tabs>
        <w:spacing w:after="0"/>
        <w:ind w:left="0" w:firstLine="0"/>
        <w:rPr>
          <w:rFonts w:ascii="Cambria" w:eastAsia="Calibri" w:hAnsi="Cambria" w:cstheme="majorHAnsi"/>
          <w:sz w:val="22"/>
          <w:szCs w:val="22"/>
          <w:lang w:eastAsia="zh-CN"/>
        </w:rPr>
      </w:pPr>
      <w:bookmarkStart w:id="247" w:name="_Toc56242957"/>
      <w:bookmarkStart w:id="248" w:name="_Toc521575149"/>
      <w:bookmarkStart w:id="249" w:name="_Toc521692699"/>
      <w:bookmarkStart w:id="250" w:name="_Toc521954654"/>
      <w:bookmarkStart w:id="251" w:name="_Toc522395019"/>
      <w:r w:rsidRPr="009A0DA6">
        <w:rPr>
          <w:rFonts w:ascii="Cambria" w:eastAsia="Calibri" w:hAnsi="Cambria" w:cstheme="majorHAnsi"/>
          <w:sz w:val="22"/>
          <w:szCs w:val="22"/>
          <w:lang w:eastAsia="zh-CN"/>
        </w:rPr>
        <w:t>2.1</w:t>
      </w:r>
      <w:r w:rsidRPr="009A0DA6">
        <w:rPr>
          <w:rFonts w:ascii="Cambria" w:eastAsia="Calibri" w:hAnsi="Cambria" w:cstheme="majorHAnsi"/>
          <w:sz w:val="22"/>
          <w:szCs w:val="22"/>
          <w:lang w:eastAsia="zh-CN"/>
        </w:rPr>
        <w:tab/>
        <w:t>The College holds to the Confession of the Church and declare that it</w:t>
      </w:r>
      <w:bookmarkEnd w:id="247"/>
      <w:bookmarkEnd w:id="248"/>
      <w:bookmarkEnd w:id="249"/>
      <w:bookmarkEnd w:id="250"/>
      <w:bookmarkEnd w:id="251"/>
    </w:p>
    <w:p w14:paraId="7D4B677D" w14:textId="77777777" w:rsidR="001B46FC" w:rsidRPr="009A0DA6" w:rsidRDefault="001B46FC" w:rsidP="001B46FC">
      <w:pPr>
        <w:pStyle w:val="Number3"/>
        <w:tabs>
          <w:tab w:val="clear" w:pos="3829"/>
          <w:tab w:val="left" w:pos="709"/>
          <w:tab w:val="left" w:pos="1559"/>
          <w:tab w:val="left" w:pos="2552"/>
          <w:tab w:val="left" w:pos="3544"/>
          <w:tab w:val="left" w:pos="4820"/>
        </w:tabs>
        <w:spacing w:after="0"/>
        <w:ind w:left="1559" w:hanging="1559"/>
        <w:jc w:val="left"/>
        <w:rPr>
          <w:rFonts w:ascii="Cambria" w:eastAsia="Calibri" w:hAnsi="Cambria" w:cstheme="majorHAnsi"/>
          <w:sz w:val="22"/>
          <w:szCs w:val="22"/>
          <w:lang w:eastAsia="zh-CN"/>
        </w:rPr>
      </w:pPr>
      <w:r w:rsidRPr="009A0DA6">
        <w:rPr>
          <w:rFonts w:ascii="Cambria" w:eastAsia="Calibri" w:hAnsi="Cambria" w:cstheme="majorHAnsi"/>
          <w:sz w:val="22"/>
          <w:szCs w:val="22"/>
          <w:lang w:eastAsia="zh-CN"/>
        </w:rPr>
        <w:tab/>
        <w:t>2.1.1</w:t>
      </w:r>
      <w:r w:rsidRPr="009A0DA6">
        <w:rPr>
          <w:rFonts w:ascii="Cambria" w:eastAsia="Calibri" w:hAnsi="Cambria" w:cstheme="majorHAnsi"/>
          <w:sz w:val="22"/>
          <w:szCs w:val="22"/>
          <w:lang w:eastAsia="zh-CN"/>
        </w:rPr>
        <w:tab/>
        <w:t>accepts without reservation the Holy Scriptures of the Old and New Testaments, as a whole and in all their parts, as the divinely inspired, written, and inerrant Word of God, and as the only infallible source and norm for all matters of faith, doctrine and life;  and</w:t>
      </w:r>
    </w:p>
    <w:p w14:paraId="50CE2171" w14:textId="77777777" w:rsidR="001B46FC" w:rsidRPr="009A0DA6" w:rsidRDefault="001B46FC" w:rsidP="001B46FC">
      <w:pPr>
        <w:pStyle w:val="Number3"/>
        <w:tabs>
          <w:tab w:val="clear" w:pos="3829"/>
          <w:tab w:val="left" w:pos="709"/>
          <w:tab w:val="left" w:pos="1559"/>
          <w:tab w:val="left" w:pos="2552"/>
          <w:tab w:val="left" w:pos="3544"/>
          <w:tab w:val="left" w:pos="4820"/>
        </w:tabs>
        <w:spacing w:after="0"/>
        <w:ind w:left="1559" w:hanging="1559"/>
        <w:jc w:val="left"/>
        <w:rPr>
          <w:rFonts w:ascii="Cambria" w:eastAsia="Calibri" w:hAnsi="Cambria" w:cstheme="majorHAnsi"/>
          <w:sz w:val="22"/>
          <w:szCs w:val="22"/>
          <w:lang w:eastAsia="zh-CN"/>
        </w:rPr>
      </w:pPr>
      <w:r w:rsidRPr="009A0DA6">
        <w:rPr>
          <w:rFonts w:ascii="Cambria" w:eastAsia="Calibri" w:hAnsi="Cambria" w:cstheme="majorHAnsi"/>
          <w:sz w:val="22"/>
          <w:szCs w:val="22"/>
          <w:lang w:eastAsia="zh-CN"/>
        </w:rPr>
        <w:tab/>
        <w:t>2.1.2</w:t>
      </w:r>
      <w:r w:rsidRPr="009A0DA6">
        <w:rPr>
          <w:rFonts w:ascii="Cambria" w:eastAsia="Calibri" w:hAnsi="Cambria" w:cstheme="majorHAnsi"/>
          <w:sz w:val="22"/>
          <w:szCs w:val="22"/>
          <w:lang w:eastAsia="zh-CN"/>
        </w:rPr>
        <w:tab/>
        <w:t>acknowledges and accepts as true expositions of the Word of God and as its own confession all the Symbolical Books of the Evangelical Lutheran Church contained in the Book of Concord of 1580, namely, the three Ecumenical Creeds:  the Apostles’ Creed, the Nicene Creed, and the Athanasian Creed;  the Unaltered Augsburg Confession;  the Apology of the Augsburg Confession;  the Smalcald Articles;  the Small Catechism of Luther;  the Large Catechism of Luther;  and the Formula of Concord.</w:t>
      </w:r>
    </w:p>
    <w:p w14:paraId="0EE5CFC9" w14:textId="77777777" w:rsidR="001B46FC" w:rsidRPr="009A0DA6" w:rsidRDefault="001B46FC" w:rsidP="001B46FC">
      <w:pPr>
        <w:pStyle w:val="Number3"/>
        <w:tabs>
          <w:tab w:val="clear" w:pos="3829"/>
          <w:tab w:val="left" w:pos="709"/>
          <w:tab w:val="left" w:pos="1559"/>
          <w:tab w:val="left" w:pos="2552"/>
          <w:tab w:val="left" w:pos="3544"/>
          <w:tab w:val="left" w:pos="4820"/>
        </w:tabs>
        <w:spacing w:after="0"/>
        <w:ind w:left="1559" w:hanging="1559"/>
        <w:jc w:val="left"/>
        <w:rPr>
          <w:rFonts w:ascii="Cambria" w:eastAsia="Calibri" w:hAnsi="Cambria" w:cstheme="majorHAnsi"/>
          <w:sz w:val="22"/>
          <w:szCs w:val="22"/>
          <w:lang w:eastAsia="zh-CN"/>
        </w:rPr>
      </w:pPr>
    </w:p>
    <w:p w14:paraId="2160FC6E" w14:textId="77777777" w:rsidR="001B46FC" w:rsidRPr="009A0DA6" w:rsidRDefault="001B46FC" w:rsidP="001B46FC">
      <w:pPr>
        <w:pStyle w:val="Number2Arial"/>
        <w:tabs>
          <w:tab w:val="clear" w:pos="851"/>
          <w:tab w:val="clear" w:pos="1701"/>
          <w:tab w:val="clear" w:pos="3402"/>
          <w:tab w:val="clear" w:pos="4253"/>
          <w:tab w:val="left" w:pos="709"/>
          <w:tab w:val="left" w:pos="1559"/>
          <w:tab w:val="left" w:pos="3544"/>
          <w:tab w:val="left" w:pos="4820"/>
        </w:tabs>
        <w:spacing w:after="0"/>
        <w:ind w:left="709" w:hanging="709"/>
        <w:rPr>
          <w:rFonts w:ascii="Cambria" w:eastAsia="Calibri" w:hAnsi="Cambria" w:cstheme="majorHAnsi"/>
          <w:sz w:val="22"/>
          <w:szCs w:val="22"/>
          <w:lang w:eastAsia="zh-CN"/>
        </w:rPr>
      </w:pPr>
      <w:bookmarkStart w:id="252" w:name="_Toc521575150"/>
      <w:bookmarkStart w:id="253" w:name="_Toc521692700"/>
      <w:bookmarkStart w:id="254" w:name="_Toc521954655"/>
      <w:bookmarkStart w:id="255" w:name="_Toc522395020"/>
      <w:r w:rsidRPr="009A0DA6">
        <w:rPr>
          <w:rFonts w:ascii="Cambria" w:eastAsia="Calibri" w:hAnsi="Cambria" w:cstheme="majorHAnsi"/>
          <w:sz w:val="22"/>
          <w:szCs w:val="22"/>
          <w:lang w:eastAsia="zh-CN"/>
        </w:rPr>
        <w:t>2.2</w:t>
      </w:r>
      <w:r w:rsidRPr="009A0DA6">
        <w:rPr>
          <w:rFonts w:ascii="Cambria" w:eastAsia="Calibri" w:hAnsi="Cambria" w:cstheme="majorHAnsi"/>
          <w:sz w:val="22"/>
          <w:szCs w:val="22"/>
          <w:lang w:eastAsia="zh-CN"/>
        </w:rPr>
        <w:tab/>
        <w:t>All who teach in and administer the affairs of the College shall be bound to carry out their duties in accordance with this confession.</w:t>
      </w:r>
      <w:bookmarkEnd w:id="252"/>
      <w:bookmarkEnd w:id="253"/>
      <w:bookmarkEnd w:id="254"/>
      <w:bookmarkEnd w:id="255"/>
    </w:p>
    <w:p w14:paraId="20C0DA76" w14:textId="77777777" w:rsidR="001B46FC" w:rsidRPr="009A0DA6" w:rsidRDefault="001B46FC" w:rsidP="001B46FC">
      <w:pPr>
        <w:spacing w:before="120"/>
        <w:rPr>
          <w:rFonts w:ascii="Cambria" w:hAnsi="Cambria"/>
          <w:b/>
        </w:rPr>
      </w:pPr>
      <w:r w:rsidRPr="009A0DA6">
        <w:rPr>
          <w:rFonts w:ascii="Cambria" w:hAnsi="Cambria"/>
          <w:b/>
        </w:rPr>
        <w:t>Article 3</w:t>
      </w:r>
      <w:r w:rsidRPr="009A0DA6">
        <w:rPr>
          <w:rFonts w:ascii="Cambria" w:hAnsi="Cambria"/>
          <w:b/>
        </w:rPr>
        <w:tab/>
        <w:t>Amending this Constitution</w:t>
      </w:r>
      <w:bookmarkEnd w:id="246"/>
    </w:p>
    <w:p w14:paraId="218993D2" w14:textId="77777777" w:rsidR="001B46FC" w:rsidRPr="009A0DA6" w:rsidRDefault="001B46FC" w:rsidP="001B46FC">
      <w:pPr>
        <w:tabs>
          <w:tab w:val="left" w:pos="709"/>
          <w:tab w:val="left" w:pos="1559"/>
          <w:tab w:val="left" w:pos="2552"/>
          <w:tab w:val="left" w:pos="3544"/>
          <w:tab w:val="left" w:pos="4820"/>
        </w:tabs>
        <w:spacing w:after="0" w:line="240" w:lineRule="auto"/>
        <w:ind w:left="709" w:hanging="709"/>
        <w:rPr>
          <w:rFonts w:ascii="Cambria" w:hAnsi="Cambria" w:cstheme="majorHAnsi"/>
        </w:rPr>
      </w:pPr>
      <w:bookmarkStart w:id="256" w:name="_Toc56242953"/>
      <w:r w:rsidRPr="009A0DA6">
        <w:rPr>
          <w:rFonts w:ascii="Cambria" w:hAnsi="Cambria" w:cstheme="majorHAnsi"/>
        </w:rPr>
        <w:t>3.1</w:t>
      </w:r>
      <w:r w:rsidRPr="009A0DA6">
        <w:rPr>
          <w:rFonts w:ascii="Cambria" w:hAnsi="Cambria" w:cstheme="majorHAnsi"/>
        </w:rPr>
        <w:tab/>
        <w:t>Notwithstanding any provision of the Act, this constitution can only be amended in accordance with the provisions of this clause.</w:t>
      </w:r>
      <w:bookmarkEnd w:id="256"/>
    </w:p>
    <w:p w14:paraId="35F8A68C" w14:textId="77777777" w:rsidR="001B46FC" w:rsidRPr="009A0DA6" w:rsidRDefault="001B46FC" w:rsidP="001B46FC">
      <w:pPr>
        <w:spacing w:after="0" w:line="240" w:lineRule="auto"/>
        <w:ind w:left="567" w:hanging="567"/>
        <w:rPr>
          <w:rFonts w:ascii="Cambria" w:hAnsi="Cambria" w:cstheme="majorHAnsi"/>
          <w:strike/>
        </w:rPr>
      </w:pPr>
      <w:bookmarkStart w:id="257" w:name="_Toc56242954"/>
      <w:r w:rsidRPr="009A0DA6">
        <w:rPr>
          <w:rFonts w:ascii="Cambria" w:hAnsi="Cambria" w:cstheme="majorHAnsi"/>
          <w:strike/>
        </w:rPr>
        <w:t>3.2</w:t>
      </w:r>
      <w:r w:rsidRPr="009A0DA6">
        <w:rPr>
          <w:rFonts w:ascii="Cambria" w:hAnsi="Cambria" w:cstheme="majorHAnsi"/>
          <w:strike/>
        </w:rPr>
        <w:tab/>
        <w:t>No amendments shall be made to all of Clause 3.2. which shall be considered fundamental and unalterable in intent and meaning.</w:t>
      </w:r>
    </w:p>
    <w:p w14:paraId="1F1A18BC" w14:textId="77777777" w:rsidR="001B46FC" w:rsidRPr="009A0DA6" w:rsidRDefault="001B46FC" w:rsidP="001B46FC">
      <w:pPr>
        <w:tabs>
          <w:tab w:val="left" w:pos="993"/>
        </w:tabs>
        <w:spacing w:after="0" w:line="240" w:lineRule="auto"/>
        <w:ind w:firstLine="567"/>
        <w:rPr>
          <w:rFonts w:ascii="Cambria" w:hAnsi="Cambria" w:cstheme="majorHAnsi"/>
          <w:strike/>
        </w:rPr>
      </w:pPr>
      <w:r w:rsidRPr="009A0DA6">
        <w:rPr>
          <w:rFonts w:ascii="Cambria" w:hAnsi="Cambria" w:cstheme="majorHAnsi"/>
          <w:strike/>
        </w:rPr>
        <w:t>3.2.1</w:t>
      </w:r>
      <w:r w:rsidRPr="009A0DA6">
        <w:rPr>
          <w:rFonts w:ascii="Cambria" w:hAnsi="Cambria" w:cstheme="majorHAnsi"/>
          <w:strike/>
        </w:rPr>
        <w:tab/>
        <w:t>Article 2. The Confessional Basis; and</w:t>
      </w:r>
    </w:p>
    <w:p w14:paraId="4733AFE6" w14:textId="77777777" w:rsidR="001B46FC" w:rsidRPr="009A0DA6" w:rsidRDefault="001B46FC" w:rsidP="001B46FC">
      <w:pPr>
        <w:tabs>
          <w:tab w:val="left" w:pos="1134"/>
        </w:tabs>
        <w:spacing w:after="0" w:line="240" w:lineRule="auto"/>
        <w:ind w:firstLine="567"/>
        <w:rPr>
          <w:rFonts w:ascii="Cambria" w:hAnsi="Cambria" w:cstheme="majorHAnsi"/>
          <w:strike/>
        </w:rPr>
      </w:pPr>
      <w:r w:rsidRPr="009A0DA6">
        <w:rPr>
          <w:rFonts w:ascii="Cambria" w:hAnsi="Cambria" w:cstheme="majorHAnsi"/>
          <w:strike/>
        </w:rPr>
        <w:t>3.2.2</w:t>
      </w:r>
      <w:r w:rsidRPr="009A0DA6">
        <w:rPr>
          <w:rFonts w:ascii="Cambria" w:hAnsi="Cambria" w:cstheme="majorHAnsi"/>
          <w:strike/>
        </w:rPr>
        <w:tab/>
      </w:r>
      <w:r w:rsidRPr="009A0DA6">
        <w:rPr>
          <w:rFonts w:ascii="Cambria" w:hAnsi="Cambria" w:cstheme="majorHAnsi"/>
          <w:strike/>
        </w:rPr>
        <w:tab/>
        <w:t xml:space="preserve">Article 7. Not-for-profit, to cause the College to no longer be ‘not for profit’: </w:t>
      </w:r>
    </w:p>
    <w:p w14:paraId="24EFEEF6" w14:textId="77777777" w:rsidR="001B46FC" w:rsidRPr="009A0DA6" w:rsidRDefault="001B46FC" w:rsidP="001B46FC">
      <w:pPr>
        <w:tabs>
          <w:tab w:val="left" w:pos="709"/>
          <w:tab w:val="left" w:pos="1559"/>
          <w:tab w:val="left" w:pos="2552"/>
          <w:tab w:val="left" w:pos="3544"/>
          <w:tab w:val="left" w:pos="4820"/>
        </w:tabs>
        <w:spacing w:after="0" w:line="240" w:lineRule="auto"/>
        <w:ind w:left="709" w:hanging="709"/>
        <w:rPr>
          <w:rFonts w:ascii="Cambria" w:hAnsi="Cambria" w:cstheme="majorHAnsi"/>
          <w:b/>
        </w:rPr>
      </w:pPr>
      <w:r w:rsidRPr="009A0DA6">
        <w:rPr>
          <w:rFonts w:ascii="Cambria" w:hAnsi="Cambria" w:cstheme="majorHAnsi"/>
          <w:b/>
        </w:rPr>
        <w:t>3.2</w:t>
      </w:r>
      <w:r w:rsidRPr="009A0DA6">
        <w:rPr>
          <w:rFonts w:ascii="Cambria" w:hAnsi="Cambria" w:cstheme="majorHAnsi"/>
          <w:b/>
        </w:rPr>
        <w:tab/>
        <w:t>No amendments shall be made to this Clause 3.2 and Articles 2 and 7 which shall be considered fundamental and unalterable in intent and meaning.</w:t>
      </w:r>
    </w:p>
    <w:p w14:paraId="23AF1621" w14:textId="638407C5" w:rsidR="001B46FC" w:rsidRPr="009A0DA6" w:rsidRDefault="001B46FC" w:rsidP="001B46FC">
      <w:pPr>
        <w:tabs>
          <w:tab w:val="left" w:pos="709"/>
          <w:tab w:val="left" w:pos="1559"/>
          <w:tab w:val="left" w:pos="2552"/>
          <w:tab w:val="left" w:pos="3544"/>
          <w:tab w:val="left" w:pos="4820"/>
        </w:tabs>
        <w:spacing w:after="0" w:line="240" w:lineRule="auto"/>
        <w:ind w:left="709" w:hanging="709"/>
        <w:rPr>
          <w:rFonts w:ascii="Cambria" w:hAnsi="Cambria" w:cstheme="majorHAnsi"/>
        </w:rPr>
      </w:pPr>
      <w:r w:rsidRPr="009A0DA6">
        <w:rPr>
          <w:rFonts w:ascii="Cambria" w:hAnsi="Cambria" w:cstheme="majorHAnsi"/>
        </w:rPr>
        <w:t>3.3</w:t>
      </w:r>
      <w:r w:rsidRPr="009A0DA6">
        <w:rPr>
          <w:rFonts w:ascii="Cambria" w:hAnsi="Cambria" w:cstheme="majorHAnsi"/>
        </w:rPr>
        <w:tab/>
        <w:t>The General Church Council may by ordinary resolution amend, alter, add to, or repeal any of the other clauses</w:t>
      </w:r>
      <w:bookmarkEnd w:id="257"/>
      <w:r w:rsidR="0027799A" w:rsidRPr="009A0DA6">
        <w:rPr>
          <w:rFonts w:ascii="Cambria" w:hAnsi="Cambria" w:cstheme="majorHAnsi"/>
        </w:rPr>
        <w:t xml:space="preserve">. </w:t>
      </w:r>
      <w:r w:rsidRPr="009A0DA6">
        <w:rPr>
          <w:rFonts w:ascii="Cambria" w:hAnsi="Cambria" w:cstheme="majorHAnsi"/>
        </w:rPr>
        <w:t>Any amendment, alteration, addition, or repeal must be ratified by an ordinary resolution of the next Convention of General Synod</w:t>
      </w:r>
      <w:bookmarkStart w:id="258" w:name="_Toc56242955"/>
      <w:r w:rsidRPr="009A0DA6">
        <w:rPr>
          <w:rFonts w:ascii="Cambria" w:hAnsi="Cambria" w:cstheme="majorHAnsi"/>
        </w:rPr>
        <w:t>.</w:t>
      </w:r>
    </w:p>
    <w:p w14:paraId="0EF0C3C3" w14:textId="77777777" w:rsidR="001B46FC" w:rsidRPr="009A0DA6" w:rsidRDefault="001B46FC" w:rsidP="001B46FC">
      <w:pPr>
        <w:tabs>
          <w:tab w:val="left" w:pos="709"/>
          <w:tab w:val="left" w:pos="1559"/>
          <w:tab w:val="left" w:pos="2552"/>
          <w:tab w:val="left" w:pos="3544"/>
          <w:tab w:val="left" w:pos="4820"/>
        </w:tabs>
        <w:spacing w:after="0" w:line="240" w:lineRule="auto"/>
        <w:ind w:left="709" w:hanging="709"/>
        <w:rPr>
          <w:rFonts w:ascii="Cambria" w:hAnsi="Cambria" w:cstheme="majorHAnsi"/>
        </w:rPr>
      </w:pPr>
      <w:r w:rsidRPr="009A0DA6">
        <w:rPr>
          <w:rFonts w:ascii="Cambria" w:hAnsi="Cambria" w:cstheme="majorHAnsi"/>
        </w:rPr>
        <w:t>3.4</w:t>
      </w:r>
      <w:r w:rsidRPr="009A0DA6">
        <w:rPr>
          <w:rFonts w:ascii="Cambria" w:hAnsi="Cambria" w:cstheme="majorHAnsi"/>
        </w:rPr>
        <w:tab/>
        <w:t>Notwithstanding Clause 3.3 any amendment of this Constitution by the General Church Council should be of full force and effect until the time of the next Convention of General Synod.</w:t>
      </w:r>
    </w:p>
    <w:p w14:paraId="4592C62A" w14:textId="77777777" w:rsidR="001B46FC" w:rsidRPr="009A0DA6" w:rsidRDefault="001B46FC" w:rsidP="001B46FC">
      <w:pPr>
        <w:tabs>
          <w:tab w:val="left" w:pos="709"/>
          <w:tab w:val="left" w:pos="1559"/>
          <w:tab w:val="left" w:pos="2552"/>
          <w:tab w:val="left" w:pos="3544"/>
          <w:tab w:val="left" w:pos="4820"/>
        </w:tabs>
        <w:spacing w:after="0" w:line="240" w:lineRule="auto"/>
        <w:ind w:left="709" w:hanging="709"/>
        <w:rPr>
          <w:rFonts w:ascii="Cambria" w:hAnsi="Cambria" w:cstheme="majorHAnsi"/>
        </w:rPr>
      </w:pPr>
      <w:r w:rsidRPr="009A0DA6">
        <w:rPr>
          <w:rFonts w:ascii="Cambria" w:hAnsi="Cambria" w:cstheme="majorHAnsi"/>
        </w:rPr>
        <w:t>3.5</w:t>
      </w:r>
      <w:r w:rsidRPr="009A0DA6">
        <w:rPr>
          <w:rFonts w:ascii="Cambria" w:hAnsi="Cambria" w:cstheme="majorHAnsi"/>
        </w:rPr>
        <w:tab/>
        <w:t xml:space="preserve">The subsequent resolution of the Convention of General Synod not to approve an amendment to the Constitution </w:t>
      </w:r>
      <w:bookmarkEnd w:id="258"/>
      <w:r w:rsidRPr="009A0DA6">
        <w:rPr>
          <w:rFonts w:ascii="Cambria" w:hAnsi="Cambria" w:cstheme="majorHAnsi"/>
        </w:rPr>
        <w:t>will not affect the validity of any acts by the College in the meantime.</w:t>
      </w:r>
    </w:p>
    <w:p w14:paraId="2AC9072F" w14:textId="77777777" w:rsidR="001B46FC" w:rsidRPr="009A0DA6" w:rsidRDefault="001B46FC" w:rsidP="001B46FC">
      <w:pPr>
        <w:spacing w:before="120"/>
        <w:rPr>
          <w:rFonts w:ascii="Cambria" w:hAnsi="Cambria"/>
          <w:b/>
        </w:rPr>
      </w:pPr>
      <w:r w:rsidRPr="009A0DA6">
        <w:rPr>
          <w:rFonts w:ascii="Cambria" w:hAnsi="Cambria"/>
          <w:b/>
        </w:rPr>
        <w:t>Article 4</w:t>
      </w:r>
      <w:r w:rsidRPr="009A0DA6">
        <w:rPr>
          <w:rFonts w:ascii="Cambria" w:hAnsi="Cambria"/>
          <w:b/>
        </w:rPr>
        <w:tab/>
        <w:t xml:space="preserve"> Relationships</w:t>
      </w:r>
    </w:p>
    <w:p w14:paraId="7D256C50" w14:textId="77777777" w:rsidR="001B46FC" w:rsidRPr="009A0DA6" w:rsidRDefault="001B46FC" w:rsidP="001B46FC">
      <w:pPr>
        <w:pStyle w:val="ACNCproformalist"/>
        <w:widowControl w:val="0"/>
        <w:numPr>
          <w:ilvl w:val="0"/>
          <w:numId w:val="0"/>
        </w:numPr>
        <w:tabs>
          <w:tab w:val="left" w:pos="709"/>
          <w:tab w:val="left" w:pos="1559"/>
          <w:tab w:val="left" w:pos="2552"/>
          <w:tab w:val="left" w:pos="3544"/>
          <w:tab w:val="left" w:pos="4820"/>
        </w:tabs>
        <w:spacing w:before="0"/>
        <w:ind w:left="709" w:hanging="709"/>
        <w:rPr>
          <w:rFonts w:ascii="Cambria" w:hAnsi="Cambria" w:cstheme="majorHAnsi"/>
        </w:rPr>
      </w:pPr>
      <w:r w:rsidRPr="009A0DA6">
        <w:rPr>
          <w:rFonts w:ascii="Cambria" w:hAnsi="Cambria" w:cstheme="majorHAnsi"/>
        </w:rPr>
        <w:t>4.1</w:t>
      </w:r>
      <w:r w:rsidRPr="009A0DA6">
        <w:rPr>
          <w:rFonts w:ascii="Cambria" w:hAnsi="Cambria" w:cstheme="majorHAnsi"/>
        </w:rPr>
        <w:tab/>
        <w:t>The College declares that all its activities and programs shall always be consistent with and in conformity to the Constitution of the Church.</w:t>
      </w:r>
    </w:p>
    <w:p w14:paraId="1FB93BE4" w14:textId="77777777" w:rsidR="001B46FC" w:rsidRPr="009A0DA6" w:rsidRDefault="001B46FC" w:rsidP="001B46FC">
      <w:pPr>
        <w:pStyle w:val="ACNCproformalist"/>
        <w:widowControl w:val="0"/>
        <w:numPr>
          <w:ilvl w:val="0"/>
          <w:numId w:val="0"/>
        </w:numPr>
        <w:tabs>
          <w:tab w:val="left" w:pos="709"/>
          <w:tab w:val="left" w:pos="1559"/>
          <w:tab w:val="left" w:pos="2552"/>
          <w:tab w:val="left" w:pos="3544"/>
          <w:tab w:val="left" w:pos="4820"/>
        </w:tabs>
        <w:spacing w:before="0"/>
        <w:ind w:left="709" w:hanging="709"/>
        <w:rPr>
          <w:rFonts w:ascii="Cambria" w:hAnsi="Cambria" w:cstheme="majorHAnsi"/>
        </w:rPr>
      </w:pPr>
      <w:r w:rsidRPr="009A0DA6">
        <w:rPr>
          <w:rFonts w:ascii="Cambria" w:hAnsi="Cambria" w:cstheme="majorHAnsi"/>
        </w:rPr>
        <w:t>4.2</w:t>
      </w:r>
      <w:r w:rsidRPr="009A0DA6">
        <w:rPr>
          <w:rFonts w:ascii="Cambria" w:hAnsi="Cambria" w:cstheme="majorHAnsi"/>
        </w:rPr>
        <w:tab/>
        <w:t xml:space="preserve">The College is the tertiary education and research institution of the Church. </w:t>
      </w:r>
    </w:p>
    <w:p w14:paraId="203B5300" w14:textId="77777777" w:rsidR="001B46FC" w:rsidRPr="009A0DA6" w:rsidRDefault="001B46FC" w:rsidP="001B46FC">
      <w:pPr>
        <w:pStyle w:val="ACNCproformalist"/>
        <w:widowControl w:val="0"/>
        <w:numPr>
          <w:ilvl w:val="0"/>
          <w:numId w:val="0"/>
        </w:numPr>
        <w:tabs>
          <w:tab w:val="left" w:pos="709"/>
          <w:tab w:val="left" w:pos="1559"/>
          <w:tab w:val="left" w:pos="2552"/>
          <w:tab w:val="left" w:pos="3544"/>
          <w:tab w:val="left" w:pos="4820"/>
        </w:tabs>
        <w:spacing w:before="0"/>
        <w:ind w:left="709" w:hanging="709"/>
        <w:rPr>
          <w:rFonts w:ascii="Cambria" w:hAnsi="Cambria" w:cstheme="majorHAnsi"/>
          <w:b/>
          <w:bCs/>
        </w:rPr>
      </w:pPr>
      <w:r w:rsidRPr="009A0DA6">
        <w:rPr>
          <w:rFonts w:ascii="Cambria" w:hAnsi="Cambria" w:cstheme="majorHAnsi"/>
        </w:rPr>
        <w:t>4.3</w:t>
      </w:r>
      <w:r w:rsidRPr="009A0DA6">
        <w:rPr>
          <w:rFonts w:ascii="Cambria" w:hAnsi="Cambria" w:cstheme="majorHAnsi"/>
        </w:rPr>
        <w:tab/>
        <w:t>The College has relationships with other institutions for the purposes of granting degrees and awards. Relationships shall always be consistent with and in conformity to the Constitution of this College and the Church.</w:t>
      </w:r>
      <w:r w:rsidRPr="009A0DA6">
        <w:rPr>
          <w:rFonts w:ascii="Cambria" w:hAnsi="Cambria" w:cstheme="majorHAnsi"/>
          <w:b/>
          <w:bCs/>
        </w:rPr>
        <w:t xml:space="preserve"> </w:t>
      </w:r>
    </w:p>
    <w:p w14:paraId="1EEBF12E" w14:textId="77777777" w:rsidR="001B46FC" w:rsidRPr="009A0DA6" w:rsidRDefault="001B46FC" w:rsidP="001B46FC">
      <w:pPr>
        <w:spacing w:before="120"/>
        <w:rPr>
          <w:rFonts w:ascii="Cambria" w:hAnsi="Cambria"/>
          <w:b/>
        </w:rPr>
      </w:pPr>
      <w:r w:rsidRPr="009A0DA6">
        <w:rPr>
          <w:rFonts w:ascii="Cambria" w:hAnsi="Cambria"/>
          <w:b/>
        </w:rPr>
        <w:t>Article 5</w:t>
      </w:r>
      <w:r w:rsidRPr="009A0DA6">
        <w:rPr>
          <w:rFonts w:ascii="Cambria" w:hAnsi="Cambria"/>
          <w:b/>
        </w:rPr>
        <w:tab/>
        <w:t xml:space="preserve">Objects </w:t>
      </w:r>
      <w:bookmarkStart w:id="259" w:name="_Toc56242958"/>
    </w:p>
    <w:p w14:paraId="5C9044CE" w14:textId="77777777" w:rsidR="001B46FC" w:rsidRPr="009A0DA6" w:rsidRDefault="001B46FC" w:rsidP="001B46FC">
      <w:pPr>
        <w:pStyle w:val="ACNCproformalist"/>
        <w:widowControl w:val="0"/>
        <w:numPr>
          <w:ilvl w:val="0"/>
          <w:numId w:val="0"/>
        </w:numPr>
        <w:tabs>
          <w:tab w:val="left" w:pos="709"/>
          <w:tab w:val="left" w:pos="1559"/>
          <w:tab w:val="left" w:pos="2552"/>
          <w:tab w:val="left" w:pos="3544"/>
          <w:tab w:val="left" w:pos="4820"/>
        </w:tabs>
        <w:spacing w:before="0"/>
        <w:rPr>
          <w:rFonts w:ascii="Cambria" w:hAnsi="Cambria" w:cstheme="majorHAnsi"/>
          <w:b/>
          <w:bCs/>
        </w:rPr>
      </w:pPr>
      <w:r w:rsidRPr="009A0DA6">
        <w:rPr>
          <w:rFonts w:ascii="Cambria" w:hAnsi="Cambria" w:cstheme="majorHAnsi"/>
        </w:rPr>
        <w:t>5.1</w:t>
      </w:r>
      <w:r w:rsidRPr="009A0DA6">
        <w:rPr>
          <w:rFonts w:ascii="Cambria" w:hAnsi="Cambria" w:cstheme="majorHAnsi"/>
        </w:rPr>
        <w:tab/>
        <w:t>The College shall pursue the following objects for charitable purposes</w:t>
      </w:r>
      <w:bookmarkEnd w:id="259"/>
      <w:r w:rsidRPr="009A0DA6">
        <w:rPr>
          <w:rFonts w:ascii="Cambria" w:hAnsi="Cambria" w:cstheme="majorHAnsi"/>
        </w:rPr>
        <w:t>:</w:t>
      </w:r>
    </w:p>
    <w:p w14:paraId="25AC7D89" w14:textId="77777777" w:rsidR="001B46FC" w:rsidRPr="009A0DA6" w:rsidRDefault="001B46FC" w:rsidP="001B46FC">
      <w:pPr>
        <w:pStyle w:val="Number3"/>
        <w:numPr>
          <w:ilvl w:val="0"/>
          <w:numId w:val="0"/>
        </w:numPr>
        <w:tabs>
          <w:tab w:val="left" w:pos="709"/>
          <w:tab w:val="left" w:pos="1559"/>
          <w:tab w:val="left" w:pos="2552"/>
          <w:tab w:val="left" w:pos="3544"/>
          <w:tab w:val="left" w:pos="4820"/>
        </w:tabs>
        <w:spacing w:after="0"/>
        <w:ind w:left="1559" w:hanging="1559"/>
        <w:jc w:val="left"/>
        <w:rPr>
          <w:rFonts w:ascii="Cambria" w:hAnsi="Cambria" w:cstheme="majorHAnsi"/>
          <w:spacing w:val="-1"/>
          <w:sz w:val="22"/>
          <w:szCs w:val="22"/>
        </w:rPr>
      </w:pPr>
      <w:r w:rsidRPr="009A0DA6">
        <w:rPr>
          <w:rFonts w:ascii="Cambria" w:hAnsi="Cambria" w:cstheme="majorHAnsi"/>
          <w:spacing w:val="-1"/>
          <w:sz w:val="22"/>
          <w:szCs w:val="22"/>
        </w:rPr>
        <w:tab/>
        <w:t>5.1.1</w:t>
      </w:r>
      <w:r w:rsidRPr="009A0DA6">
        <w:rPr>
          <w:rFonts w:ascii="Cambria" w:hAnsi="Cambria" w:cstheme="majorHAnsi"/>
          <w:spacing w:val="-1"/>
          <w:sz w:val="22"/>
          <w:szCs w:val="22"/>
        </w:rPr>
        <w:tab/>
        <w:t>prepare candidates to be pastors of the Churc</w:t>
      </w:r>
      <w:r w:rsidRPr="009A0DA6">
        <w:rPr>
          <w:rFonts w:ascii="Cambria" w:hAnsi="Cambria" w:cstheme="majorHAnsi"/>
          <w:sz w:val="22"/>
          <w:szCs w:val="22"/>
        </w:rPr>
        <w:t>h</w:t>
      </w:r>
      <w:r w:rsidRPr="009A0DA6">
        <w:rPr>
          <w:rFonts w:ascii="Cambria" w:hAnsi="Cambria" w:cstheme="majorHAnsi"/>
          <w:spacing w:val="-1"/>
          <w:sz w:val="22"/>
          <w:szCs w:val="22"/>
        </w:rPr>
        <w:t>;</w:t>
      </w:r>
    </w:p>
    <w:p w14:paraId="6558BD6B" w14:textId="77777777" w:rsidR="001B46FC" w:rsidRPr="009A0DA6" w:rsidRDefault="001B46FC" w:rsidP="001B46FC">
      <w:pPr>
        <w:pStyle w:val="Number3"/>
        <w:numPr>
          <w:ilvl w:val="0"/>
          <w:numId w:val="0"/>
        </w:numPr>
        <w:tabs>
          <w:tab w:val="left" w:pos="709"/>
          <w:tab w:val="left" w:pos="1559"/>
          <w:tab w:val="left" w:pos="2552"/>
          <w:tab w:val="left" w:pos="3544"/>
          <w:tab w:val="left" w:pos="4820"/>
        </w:tabs>
        <w:spacing w:after="0"/>
        <w:ind w:left="1559" w:hanging="1559"/>
        <w:jc w:val="left"/>
        <w:rPr>
          <w:rFonts w:ascii="Cambria" w:hAnsi="Cambria" w:cstheme="majorHAnsi"/>
          <w:sz w:val="22"/>
          <w:szCs w:val="22"/>
        </w:rPr>
      </w:pPr>
      <w:r w:rsidRPr="009A0DA6">
        <w:rPr>
          <w:rFonts w:ascii="Cambria" w:hAnsi="Cambria" w:cstheme="majorHAnsi"/>
          <w:spacing w:val="-1"/>
          <w:sz w:val="22"/>
          <w:szCs w:val="22"/>
        </w:rPr>
        <w:tab/>
        <w:t>5.1.2</w:t>
      </w:r>
      <w:r w:rsidRPr="009A0DA6">
        <w:rPr>
          <w:rFonts w:ascii="Cambria" w:hAnsi="Cambria" w:cstheme="majorHAnsi"/>
          <w:spacing w:val="-1"/>
          <w:sz w:val="22"/>
          <w:szCs w:val="22"/>
        </w:rPr>
        <w:tab/>
        <w:t>prepare candidates to be</w:t>
      </w:r>
      <w:r w:rsidRPr="009A0DA6">
        <w:rPr>
          <w:rFonts w:ascii="Cambria" w:hAnsi="Cambria" w:cstheme="majorHAnsi"/>
          <w:sz w:val="22"/>
          <w:szCs w:val="22"/>
        </w:rPr>
        <w:t xml:space="preserve"> teachers in the schools of the Church;</w:t>
      </w:r>
    </w:p>
    <w:p w14:paraId="1867AB1C" w14:textId="77777777" w:rsidR="001B46FC" w:rsidRPr="009A0DA6" w:rsidRDefault="001B46FC" w:rsidP="001B46FC">
      <w:pPr>
        <w:pStyle w:val="Number3"/>
        <w:numPr>
          <w:ilvl w:val="0"/>
          <w:numId w:val="0"/>
        </w:numPr>
        <w:tabs>
          <w:tab w:val="left" w:pos="709"/>
          <w:tab w:val="left" w:pos="1559"/>
          <w:tab w:val="left" w:pos="2552"/>
          <w:tab w:val="left" w:pos="3544"/>
          <w:tab w:val="left" w:pos="4820"/>
        </w:tabs>
        <w:spacing w:after="0"/>
        <w:ind w:left="1559" w:hanging="1559"/>
        <w:jc w:val="left"/>
        <w:rPr>
          <w:rFonts w:ascii="Cambria" w:hAnsi="Cambria" w:cstheme="majorHAnsi"/>
          <w:sz w:val="22"/>
          <w:szCs w:val="22"/>
        </w:rPr>
      </w:pPr>
      <w:r w:rsidRPr="009A0DA6">
        <w:rPr>
          <w:rFonts w:ascii="Cambria" w:hAnsi="Cambria" w:cstheme="majorHAnsi"/>
          <w:sz w:val="22"/>
          <w:szCs w:val="22"/>
        </w:rPr>
        <w:tab/>
        <w:t>5.1.3</w:t>
      </w:r>
      <w:r w:rsidRPr="009A0DA6">
        <w:rPr>
          <w:rFonts w:ascii="Cambria" w:hAnsi="Cambria" w:cstheme="majorHAnsi"/>
          <w:sz w:val="22"/>
          <w:szCs w:val="22"/>
        </w:rPr>
        <w:tab/>
        <w:t>prepare candidates to be lay workers of the Church;</w:t>
      </w:r>
    </w:p>
    <w:p w14:paraId="5C1C009A" w14:textId="77777777" w:rsidR="001B46FC" w:rsidRPr="009A0DA6" w:rsidRDefault="001B46FC" w:rsidP="001B46FC">
      <w:pPr>
        <w:pStyle w:val="Number3"/>
        <w:numPr>
          <w:ilvl w:val="0"/>
          <w:numId w:val="0"/>
        </w:numPr>
        <w:tabs>
          <w:tab w:val="left" w:pos="709"/>
          <w:tab w:val="left" w:pos="1559"/>
          <w:tab w:val="left" w:pos="2552"/>
          <w:tab w:val="left" w:pos="3544"/>
          <w:tab w:val="left" w:pos="4820"/>
        </w:tabs>
        <w:spacing w:after="0"/>
        <w:ind w:left="1559" w:hanging="1559"/>
        <w:jc w:val="left"/>
        <w:rPr>
          <w:rFonts w:ascii="Cambria" w:hAnsi="Cambria" w:cstheme="majorHAnsi"/>
          <w:sz w:val="22"/>
          <w:szCs w:val="22"/>
        </w:rPr>
      </w:pPr>
      <w:r w:rsidRPr="009A0DA6">
        <w:rPr>
          <w:rFonts w:ascii="Cambria" w:hAnsi="Cambria" w:cstheme="majorHAnsi"/>
          <w:sz w:val="22"/>
          <w:szCs w:val="22"/>
        </w:rPr>
        <w:tab/>
        <w:t>5.1.4</w:t>
      </w:r>
      <w:r w:rsidRPr="009A0DA6">
        <w:rPr>
          <w:rFonts w:ascii="Cambria" w:hAnsi="Cambria" w:cstheme="majorHAnsi"/>
          <w:sz w:val="22"/>
          <w:szCs w:val="22"/>
        </w:rPr>
        <w:tab/>
        <w:t>provide continuing and postgraduate studies in theology and education;</w:t>
      </w:r>
    </w:p>
    <w:p w14:paraId="394FECF6" w14:textId="77777777" w:rsidR="001B46FC" w:rsidRPr="009A0DA6" w:rsidRDefault="001B46FC" w:rsidP="001B46FC">
      <w:pPr>
        <w:pStyle w:val="Number3"/>
        <w:numPr>
          <w:ilvl w:val="0"/>
          <w:numId w:val="0"/>
        </w:numPr>
        <w:tabs>
          <w:tab w:val="left" w:pos="709"/>
          <w:tab w:val="left" w:pos="1559"/>
          <w:tab w:val="left" w:pos="2552"/>
          <w:tab w:val="left" w:pos="3544"/>
          <w:tab w:val="left" w:pos="4820"/>
        </w:tabs>
        <w:spacing w:after="0"/>
        <w:ind w:left="1559" w:hanging="1559"/>
        <w:jc w:val="left"/>
        <w:rPr>
          <w:rFonts w:ascii="Cambria" w:hAnsi="Cambria" w:cstheme="majorHAnsi"/>
          <w:sz w:val="22"/>
          <w:szCs w:val="22"/>
        </w:rPr>
      </w:pPr>
      <w:r w:rsidRPr="009A0DA6">
        <w:rPr>
          <w:rFonts w:ascii="Cambria" w:hAnsi="Cambria" w:cstheme="majorHAnsi"/>
          <w:sz w:val="22"/>
          <w:szCs w:val="22"/>
        </w:rPr>
        <w:lastRenderedPageBreak/>
        <w:tab/>
        <w:t>5.1.5</w:t>
      </w:r>
      <w:r w:rsidRPr="009A0DA6">
        <w:rPr>
          <w:rFonts w:ascii="Cambria" w:hAnsi="Cambria" w:cstheme="majorHAnsi"/>
          <w:sz w:val="22"/>
          <w:szCs w:val="22"/>
        </w:rPr>
        <w:tab/>
        <w:t xml:space="preserve">provide education leading to degrees, awards and qualifications in theology and Christian service; </w:t>
      </w:r>
    </w:p>
    <w:p w14:paraId="4A426B1D" w14:textId="77777777" w:rsidR="001B46FC" w:rsidRPr="009A0DA6" w:rsidRDefault="001B46FC" w:rsidP="001B46FC">
      <w:pPr>
        <w:pStyle w:val="Number3"/>
        <w:numPr>
          <w:ilvl w:val="0"/>
          <w:numId w:val="0"/>
        </w:numPr>
        <w:tabs>
          <w:tab w:val="left" w:pos="709"/>
          <w:tab w:val="left" w:pos="1559"/>
          <w:tab w:val="left" w:pos="2552"/>
          <w:tab w:val="left" w:pos="3544"/>
          <w:tab w:val="left" w:pos="4820"/>
        </w:tabs>
        <w:spacing w:after="0"/>
        <w:ind w:left="1559" w:hanging="1559"/>
        <w:jc w:val="left"/>
        <w:rPr>
          <w:rFonts w:ascii="Cambria" w:hAnsi="Cambria" w:cstheme="majorHAnsi"/>
          <w:sz w:val="22"/>
          <w:szCs w:val="22"/>
        </w:rPr>
      </w:pPr>
      <w:r w:rsidRPr="009A0DA6">
        <w:rPr>
          <w:rFonts w:ascii="Cambria" w:hAnsi="Cambria" w:cstheme="majorHAnsi"/>
          <w:sz w:val="22"/>
          <w:szCs w:val="22"/>
        </w:rPr>
        <w:tab/>
        <w:t>5.1.6</w:t>
      </w:r>
      <w:r w:rsidRPr="009A0DA6">
        <w:rPr>
          <w:rFonts w:ascii="Cambria" w:hAnsi="Cambria" w:cstheme="majorHAnsi"/>
          <w:sz w:val="22"/>
          <w:szCs w:val="22"/>
        </w:rPr>
        <w:tab/>
        <w:t>provide training for members, congregations and organisations of the Church and the community;</w:t>
      </w:r>
    </w:p>
    <w:p w14:paraId="711417E4" w14:textId="77777777" w:rsidR="001B46FC" w:rsidRPr="009A0DA6" w:rsidRDefault="001B46FC" w:rsidP="001B46FC">
      <w:pPr>
        <w:pStyle w:val="ListParagraph"/>
        <w:tabs>
          <w:tab w:val="left" w:pos="709"/>
          <w:tab w:val="left" w:pos="1559"/>
          <w:tab w:val="left" w:pos="2552"/>
          <w:tab w:val="left" w:pos="3544"/>
          <w:tab w:val="left" w:pos="4820"/>
        </w:tabs>
        <w:spacing w:after="0" w:line="240" w:lineRule="auto"/>
        <w:ind w:left="1559" w:hanging="1559"/>
        <w:rPr>
          <w:rFonts w:ascii="Cambria" w:hAnsi="Cambria" w:cstheme="majorHAnsi"/>
        </w:rPr>
      </w:pPr>
      <w:r w:rsidRPr="009A0DA6">
        <w:rPr>
          <w:rFonts w:ascii="Cambria" w:hAnsi="Cambria" w:cstheme="majorHAnsi"/>
        </w:rPr>
        <w:tab/>
        <w:t>5.1.7</w:t>
      </w:r>
      <w:r w:rsidRPr="009A0DA6">
        <w:rPr>
          <w:rFonts w:ascii="Cambria" w:hAnsi="Cambria" w:cstheme="majorHAnsi"/>
        </w:rPr>
        <w:tab/>
        <w:t>undertake research to assist in the promotion of the mission of the Church;</w:t>
      </w:r>
    </w:p>
    <w:p w14:paraId="2AE5764C" w14:textId="77777777" w:rsidR="001B46FC" w:rsidRPr="009A0DA6" w:rsidRDefault="001B46FC" w:rsidP="001B46FC">
      <w:pPr>
        <w:pStyle w:val="Number3"/>
        <w:numPr>
          <w:ilvl w:val="0"/>
          <w:numId w:val="0"/>
        </w:numPr>
        <w:tabs>
          <w:tab w:val="left" w:pos="709"/>
          <w:tab w:val="left" w:pos="1559"/>
          <w:tab w:val="left" w:pos="2552"/>
          <w:tab w:val="left" w:pos="3544"/>
          <w:tab w:val="left" w:pos="4820"/>
        </w:tabs>
        <w:spacing w:after="0"/>
        <w:ind w:left="1559" w:hanging="1559"/>
        <w:jc w:val="left"/>
        <w:rPr>
          <w:rFonts w:ascii="Cambria" w:hAnsi="Cambria" w:cstheme="majorHAnsi"/>
          <w:sz w:val="22"/>
          <w:szCs w:val="22"/>
        </w:rPr>
      </w:pPr>
      <w:r w:rsidRPr="009A0DA6">
        <w:rPr>
          <w:rFonts w:ascii="Cambria" w:hAnsi="Cambria" w:cstheme="majorHAnsi"/>
          <w:sz w:val="22"/>
          <w:szCs w:val="22"/>
        </w:rPr>
        <w:tab/>
        <w:t>5.1.8</w:t>
      </w:r>
      <w:r w:rsidRPr="009A0DA6">
        <w:rPr>
          <w:rFonts w:ascii="Cambria" w:hAnsi="Cambria" w:cstheme="majorHAnsi"/>
          <w:sz w:val="22"/>
          <w:szCs w:val="22"/>
        </w:rPr>
        <w:tab/>
        <w:t>establish and maintain relations with any relevant Board, committee or institution of the Church and with Lutheran education bodies overseas;  and</w:t>
      </w:r>
    </w:p>
    <w:p w14:paraId="3FF80DD0" w14:textId="77777777" w:rsidR="001B46FC" w:rsidRPr="009A0DA6" w:rsidRDefault="001B46FC" w:rsidP="001B46FC">
      <w:pPr>
        <w:pStyle w:val="Number3"/>
        <w:numPr>
          <w:ilvl w:val="0"/>
          <w:numId w:val="0"/>
        </w:numPr>
        <w:tabs>
          <w:tab w:val="left" w:pos="709"/>
          <w:tab w:val="left" w:pos="1559"/>
          <w:tab w:val="left" w:pos="2552"/>
          <w:tab w:val="left" w:pos="3544"/>
          <w:tab w:val="left" w:pos="4820"/>
        </w:tabs>
        <w:spacing w:after="0"/>
        <w:ind w:left="1559" w:hanging="1559"/>
        <w:jc w:val="left"/>
        <w:rPr>
          <w:rFonts w:ascii="Cambria" w:hAnsi="Cambria" w:cstheme="majorHAnsi"/>
          <w:sz w:val="22"/>
          <w:szCs w:val="22"/>
        </w:rPr>
      </w:pPr>
      <w:r w:rsidRPr="009A0DA6">
        <w:rPr>
          <w:rFonts w:ascii="Cambria" w:hAnsi="Cambria" w:cstheme="majorHAnsi"/>
          <w:sz w:val="22"/>
          <w:szCs w:val="22"/>
        </w:rPr>
        <w:tab/>
        <w:t>5.1.9</w:t>
      </w:r>
      <w:r w:rsidRPr="009A0DA6">
        <w:rPr>
          <w:rFonts w:ascii="Cambria" w:hAnsi="Cambria" w:cstheme="majorHAnsi"/>
          <w:sz w:val="22"/>
          <w:szCs w:val="22"/>
        </w:rPr>
        <w:tab/>
        <w:t>undertake such other activities which promote the mission of the Church.</w:t>
      </w:r>
    </w:p>
    <w:p w14:paraId="2A36B3FD" w14:textId="77777777" w:rsidR="001B46FC" w:rsidRPr="009A0DA6" w:rsidRDefault="001B46FC" w:rsidP="001B46FC">
      <w:pPr>
        <w:spacing w:before="120"/>
        <w:rPr>
          <w:rFonts w:ascii="Cambria" w:hAnsi="Cambria"/>
          <w:b/>
        </w:rPr>
      </w:pPr>
      <w:r w:rsidRPr="009A0DA6">
        <w:rPr>
          <w:rFonts w:ascii="Cambria" w:hAnsi="Cambria"/>
          <w:b/>
        </w:rPr>
        <w:t>Article 6</w:t>
      </w:r>
      <w:r w:rsidRPr="009A0DA6">
        <w:rPr>
          <w:rFonts w:ascii="Cambria" w:hAnsi="Cambria"/>
          <w:b/>
        </w:rPr>
        <w:tab/>
      </w:r>
      <w:bookmarkStart w:id="260" w:name="_Ref355859344"/>
      <w:r w:rsidRPr="009A0DA6">
        <w:rPr>
          <w:rFonts w:ascii="Cambria" w:hAnsi="Cambria"/>
          <w:b/>
        </w:rPr>
        <w:t>Powers</w:t>
      </w:r>
      <w:bookmarkEnd w:id="260"/>
      <w:r w:rsidRPr="009A0DA6">
        <w:rPr>
          <w:rFonts w:ascii="Cambria" w:hAnsi="Cambria"/>
          <w:b/>
        </w:rPr>
        <w:t xml:space="preserve"> and Authority</w:t>
      </w:r>
    </w:p>
    <w:p w14:paraId="0FA3B912" w14:textId="77777777" w:rsidR="001B46FC" w:rsidRPr="009A0DA6" w:rsidRDefault="001B46FC" w:rsidP="001B46FC">
      <w:pPr>
        <w:pStyle w:val="ListParagraph"/>
        <w:tabs>
          <w:tab w:val="left" w:pos="709"/>
          <w:tab w:val="left" w:pos="1559"/>
          <w:tab w:val="left" w:pos="2552"/>
          <w:tab w:val="left" w:pos="3544"/>
          <w:tab w:val="left" w:pos="4820"/>
        </w:tabs>
        <w:spacing w:after="0" w:line="240" w:lineRule="auto"/>
        <w:ind w:left="709" w:hanging="709"/>
        <w:rPr>
          <w:rFonts w:ascii="Cambria" w:hAnsi="Cambria" w:cstheme="majorHAnsi"/>
        </w:rPr>
      </w:pPr>
      <w:bookmarkStart w:id="261" w:name="_Ref355857450"/>
      <w:bookmarkStart w:id="262" w:name="_Ref356288823"/>
      <w:r w:rsidRPr="009A0DA6">
        <w:rPr>
          <w:rFonts w:ascii="Cambria" w:hAnsi="Cambria" w:cstheme="majorHAnsi"/>
        </w:rPr>
        <w:t>6.1</w:t>
      </w:r>
      <w:r w:rsidRPr="009A0DA6">
        <w:rPr>
          <w:rFonts w:ascii="Cambria" w:hAnsi="Cambria" w:cstheme="majorHAnsi"/>
        </w:rPr>
        <w:tab/>
        <w:t>Subject to Article 7, the College</w:t>
      </w:r>
      <w:r w:rsidRPr="009A0DA6">
        <w:rPr>
          <w:rFonts w:ascii="Cambria" w:hAnsi="Cambria" w:cstheme="majorHAnsi"/>
          <w:b/>
        </w:rPr>
        <w:t xml:space="preserve"> </w:t>
      </w:r>
      <w:r w:rsidRPr="009A0DA6">
        <w:rPr>
          <w:rFonts w:ascii="Cambria" w:hAnsi="Cambria" w:cstheme="majorHAnsi"/>
        </w:rPr>
        <w:t>has the following powers, which may only be used to carry out its purposes set out in Article 5 and shall be exercised consistently with the constitution and by-laws of the Church:</w:t>
      </w:r>
    </w:p>
    <w:p w14:paraId="16FF97F2" w14:textId="77777777" w:rsidR="001B46FC" w:rsidRPr="009A0DA6" w:rsidRDefault="001B46FC" w:rsidP="001B46FC">
      <w:pPr>
        <w:pStyle w:val="ACNCproformasublist"/>
        <w:numPr>
          <w:ilvl w:val="0"/>
          <w:numId w:val="0"/>
        </w:numPr>
        <w:tabs>
          <w:tab w:val="left" w:pos="709"/>
          <w:tab w:val="left" w:pos="1559"/>
          <w:tab w:val="left" w:pos="2552"/>
          <w:tab w:val="left" w:pos="3544"/>
          <w:tab w:val="left" w:pos="4820"/>
        </w:tabs>
        <w:rPr>
          <w:rFonts w:ascii="Cambria" w:hAnsi="Cambria" w:cstheme="majorHAnsi"/>
        </w:rPr>
      </w:pPr>
      <w:r w:rsidRPr="009A0DA6">
        <w:rPr>
          <w:rFonts w:ascii="Cambria" w:hAnsi="Cambria" w:cstheme="majorHAnsi"/>
        </w:rPr>
        <w:tab/>
      </w:r>
      <w:bookmarkStart w:id="263" w:name="_Toc521575151"/>
      <w:bookmarkStart w:id="264" w:name="_Toc521692701"/>
      <w:bookmarkStart w:id="265" w:name="_Toc521954656"/>
      <w:bookmarkStart w:id="266" w:name="_Toc522395021"/>
      <w:r w:rsidRPr="009A0DA6">
        <w:rPr>
          <w:rFonts w:ascii="Cambria" w:hAnsi="Cambria" w:cstheme="majorHAnsi"/>
        </w:rPr>
        <w:t>6.1.1</w:t>
      </w:r>
      <w:r w:rsidRPr="009A0DA6">
        <w:rPr>
          <w:rFonts w:ascii="Cambria" w:hAnsi="Cambria" w:cstheme="majorHAnsi"/>
        </w:rPr>
        <w:tab/>
        <w:t>the powers of an individual;  and</w:t>
      </w:r>
      <w:bookmarkEnd w:id="263"/>
      <w:bookmarkEnd w:id="264"/>
      <w:bookmarkEnd w:id="265"/>
      <w:bookmarkEnd w:id="266"/>
    </w:p>
    <w:p w14:paraId="6674DF6D" w14:textId="77777777" w:rsidR="001B46FC" w:rsidRPr="009A0DA6" w:rsidRDefault="001B46FC" w:rsidP="001B46FC">
      <w:pPr>
        <w:pStyle w:val="ACNCproformasublist"/>
        <w:numPr>
          <w:ilvl w:val="0"/>
          <w:numId w:val="0"/>
        </w:numPr>
        <w:tabs>
          <w:tab w:val="left" w:pos="709"/>
          <w:tab w:val="left" w:pos="1559"/>
          <w:tab w:val="left" w:pos="2552"/>
          <w:tab w:val="left" w:pos="3544"/>
          <w:tab w:val="left" w:pos="4820"/>
        </w:tabs>
        <w:rPr>
          <w:rFonts w:ascii="Cambria" w:hAnsi="Cambria" w:cstheme="majorHAnsi"/>
        </w:rPr>
      </w:pPr>
      <w:r w:rsidRPr="009A0DA6">
        <w:rPr>
          <w:rFonts w:ascii="Cambria" w:hAnsi="Cambria" w:cstheme="majorHAnsi"/>
        </w:rPr>
        <w:tab/>
      </w:r>
      <w:bookmarkStart w:id="267" w:name="_Toc521575152"/>
      <w:bookmarkStart w:id="268" w:name="_Toc521692702"/>
      <w:bookmarkStart w:id="269" w:name="_Toc521954657"/>
      <w:bookmarkStart w:id="270" w:name="_Toc522395022"/>
      <w:r w:rsidRPr="009A0DA6">
        <w:rPr>
          <w:rFonts w:ascii="Cambria" w:hAnsi="Cambria" w:cstheme="majorHAnsi"/>
        </w:rPr>
        <w:t>6.1.2</w:t>
      </w:r>
      <w:r w:rsidRPr="009A0DA6">
        <w:rPr>
          <w:rFonts w:ascii="Cambria" w:hAnsi="Cambria" w:cstheme="majorHAnsi"/>
        </w:rPr>
        <w:tab/>
        <w:t>all the powers of a College limited by guarantee under the Corporations Act</w:t>
      </w:r>
      <w:bookmarkEnd w:id="261"/>
      <w:bookmarkEnd w:id="262"/>
      <w:r w:rsidRPr="009A0DA6">
        <w:rPr>
          <w:rFonts w:ascii="Cambria" w:hAnsi="Cambria" w:cstheme="majorHAnsi"/>
        </w:rPr>
        <w:t>.</w:t>
      </w:r>
      <w:bookmarkEnd w:id="267"/>
      <w:bookmarkEnd w:id="268"/>
      <w:bookmarkEnd w:id="269"/>
      <w:bookmarkEnd w:id="270"/>
      <w:r w:rsidRPr="009A0DA6">
        <w:rPr>
          <w:rFonts w:ascii="Cambria" w:hAnsi="Cambria" w:cstheme="majorHAnsi"/>
        </w:rPr>
        <w:t xml:space="preserve"> </w:t>
      </w:r>
    </w:p>
    <w:p w14:paraId="2CAC4180" w14:textId="77777777" w:rsidR="001B46FC" w:rsidRPr="009A0DA6" w:rsidRDefault="001B46FC" w:rsidP="001B46FC">
      <w:pPr>
        <w:spacing w:before="120"/>
        <w:rPr>
          <w:rFonts w:ascii="Cambria" w:hAnsi="Cambria"/>
          <w:b/>
        </w:rPr>
      </w:pPr>
      <w:bookmarkStart w:id="271" w:name="_Ref382913491"/>
      <w:bookmarkStart w:id="272" w:name="_Ref356289185"/>
      <w:r w:rsidRPr="009A0DA6">
        <w:rPr>
          <w:rFonts w:ascii="Cambria" w:hAnsi="Cambria"/>
          <w:b/>
        </w:rPr>
        <w:t>Article 7</w:t>
      </w:r>
      <w:r w:rsidRPr="009A0DA6">
        <w:rPr>
          <w:rFonts w:ascii="Cambria" w:hAnsi="Cambria"/>
          <w:b/>
        </w:rPr>
        <w:tab/>
        <w:t>Not-for-profit</w:t>
      </w:r>
      <w:bookmarkStart w:id="273" w:name="_Ref355858965"/>
      <w:bookmarkEnd w:id="271"/>
      <w:bookmarkEnd w:id="272"/>
    </w:p>
    <w:p w14:paraId="67598A5D" w14:textId="77777777" w:rsidR="001B46FC" w:rsidRPr="009A0DA6" w:rsidRDefault="001B46FC" w:rsidP="001B46FC">
      <w:pPr>
        <w:pStyle w:val="Number2"/>
        <w:numPr>
          <w:ilvl w:val="0"/>
          <w:numId w:val="0"/>
        </w:numPr>
        <w:tabs>
          <w:tab w:val="left" w:pos="709"/>
          <w:tab w:val="left" w:pos="1559"/>
          <w:tab w:val="left" w:pos="2552"/>
          <w:tab w:val="left" w:pos="3544"/>
          <w:tab w:val="left" w:pos="4820"/>
        </w:tabs>
        <w:spacing w:after="0"/>
        <w:ind w:left="709" w:hanging="709"/>
        <w:jc w:val="left"/>
        <w:rPr>
          <w:rFonts w:ascii="Cambria" w:hAnsi="Cambria" w:cstheme="majorHAnsi"/>
          <w:sz w:val="22"/>
          <w:szCs w:val="22"/>
        </w:rPr>
      </w:pPr>
      <w:bookmarkStart w:id="274" w:name="_Toc521575153"/>
      <w:bookmarkStart w:id="275" w:name="_Toc521692703"/>
      <w:bookmarkStart w:id="276" w:name="_Toc521954658"/>
      <w:bookmarkStart w:id="277" w:name="_Toc522395023"/>
      <w:bookmarkStart w:id="278" w:name="_Ref392157980"/>
      <w:r w:rsidRPr="009A0DA6">
        <w:rPr>
          <w:rFonts w:ascii="Cambria" w:hAnsi="Cambria" w:cstheme="majorHAnsi"/>
          <w:sz w:val="22"/>
          <w:szCs w:val="22"/>
        </w:rPr>
        <w:t>7.1</w:t>
      </w:r>
      <w:r w:rsidRPr="009A0DA6">
        <w:rPr>
          <w:rFonts w:ascii="Cambria" w:hAnsi="Cambria" w:cstheme="majorHAnsi"/>
          <w:sz w:val="22"/>
          <w:szCs w:val="22"/>
        </w:rPr>
        <w:tab/>
        <w:t>The income and property of the College shall only be used for the objects of the College set out in Article 5.</w:t>
      </w:r>
      <w:bookmarkEnd w:id="274"/>
      <w:bookmarkEnd w:id="275"/>
      <w:bookmarkEnd w:id="276"/>
      <w:bookmarkEnd w:id="277"/>
    </w:p>
    <w:p w14:paraId="711DFAD5" w14:textId="77777777" w:rsidR="001B46FC" w:rsidRPr="009A0DA6" w:rsidRDefault="001B46FC" w:rsidP="001B46FC">
      <w:pPr>
        <w:pStyle w:val="ACNCproformasublist"/>
        <w:numPr>
          <w:ilvl w:val="0"/>
          <w:numId w:val="0"/>
        </w:numPr>
        <w:tabs>
          <w:tab w:val="left" w:pos="709"/>
          <w:tab w:val="left" w:pos="1559"/>
          <w:tab w:val="left" w:pos="2552"/>
          <w:tab w:val="left" w:pos="3544"/>
          <w:tab w:val="left" w:pos="4820"/>
        </w:tabs>
        <w:ind w:left="1559" w:hanging="1559"/>
        <w:rPr>
          <w:rFonts w:ascii="Cambria" w:hAnsi="Cambria" w:cstheme="majorHAnsi"/>
        </w:rPr>
      </w:pPr>
      <w:r w:rsidRPr="009A0DA6">
        <w:rPr>
          <w:rFonts w:ascii="Cambria" w:hAnsi="Cambria" w:cstheme="majorHAnsi"/>
        </w:rPr>
        <w:tab/>
      </w:r>
      <w:bookmarkStart w:id="279" w:name="_Toc521575154"/>
      <w:bookmarkStart w:id="280" w:name="_Toc521692704"/>
      <w:bookmarkStart w:id="281" w:name="_Toc521954659"/>
      <w:bookmarkStart w:id="282" w:name="_Toc522395024"/>
      <w:r w:rsidRPr="009A0DA6">
        <w:rPr>
          <w:rFonts w:ascii="Cambria" w:hAnsi="Cambria" w:cstheme="majorHAnsi"/>
        </w:rPr>
        <w:t>7.1.1</w:t>
      </w:r>
      <w:r w:rsidRPr="009A0DA6">
        <w:rPr>
          <w:rFonts w:ascii="Cambria" w:hAnsi="Cambria" w:cstheme="majorHAnsi"/>
        </w:rPr>
        <w:tab/>
        <w:t>The</w:t>
      </w:r>
      <w:r w:rsidRPr="009A0DA6">
        <w:rPr>
          <w:rFonts w:ascii="Cambria" w:hAnsi="Cambria" w:cstheme="majorHAnsi"/>
          <w:b/>
        </w:rPr>
        <w:t xml:space="preserve"> </w:t>
      </w:r>
      <w:r w:rsidRPr="009A0DA6">
        <w:rPr>
          <w:rFonts w:ascii="Cambria" w:hAnsi="Cambria" w:cstheme="majorHAnsi"/>
        </w:rPr>
        <w:t xml:space="preserve">College must </w:t>
      </w:r>
      <w:bookmarkStart w:id="283" w:name="_Ref356560555"/>
      <w:r w:rsidRPr="009A0DA6">
        <w:rPr>
          <w:rFonts w:ascii="Cambria" w:hAnsi="Cambria" w:cstheme="majorHAnsi"/>
        </w:rPr>
        <w:t>not distribute any income or assets directly or indirectly to its Directors and Members, except as provided in Clauses 7.1.2</w:t>
      </w:r>
      <w:bookmarkEnd w:id="273"/>
      <w:bookmarkEnd w:id="278"/>
      <w:bookmarkEnd w:id="283"/>
      <w:r w:rsidRPr="009A0DA6">
        <w:rPr>
          <w:rFonts w:ascii="Cambria" w:hAnsi="Cambria" w:cstheme="majorHAnsi"/>
        </w:rPr>
        <w:t>.</w:t>
      </w:r>
      <w:bookmarkEnd w:id="279"/>
      <w:bookmarkEnd w:id="280"/>
      <w:bookmarkEnd w:id="281"/>
      <w:bookmarkEnd w:id="282"/>
    </w:p>
    <w:p w14:paraId="262CB08C" w14:textId="77777777" w:rsidR="001B46FC" w:rsidRPr="009A0DA6" w:rsidRDefault="001B46FC" w:rsidP="001B46FC">
      <w:pPr>
        <w:tabs>
          <w:tab w:val="left" w:pos="709"/>
          <w:tab w:val="left" w:pos="1559"/>
          <w:tab w:val="left" w:pos="2552"/>
          <w:tab w:val="left" w:pos="3544"/>
          <w:tab w:val="left" w:pos="4820"/>
        </w:tabs>
        <w:spacing w:after="0" w:line="240" w:lineRule="auto"/>
        <w:ind w:left="1559" w:hanging="1559"/>
        <w:rPr>
          <w:rFonts w:ascii="Cambria" w:hAnsi="Cambria" w:cstheme="majorHAnsi"/>
        </w:rPr>
      </w:pPr>
      <w:bookmarkStart w:id="284" w:name="_Ref392151843"/>
      <w:bookmarkStart w:id="285" w:name="_Ref382913587"/>
      <w:r w:rsidRPr="009A0DA6">
        <w:rPr>
          <w:rFonts w:ascii="Cambria" w:hAnsi="Cambria" w:cstheme="majorHAnsi"/>
        </w:rPr>
        <w:tab/>
        <w:t>7.1.2</w:t>
      </w:r>
      <w:r w:rsidRPr="009A0DA6">
        <w:rPr>
          <w:rFonts w:ascii="Cambria" w:hAnsi="Cambria" w:cstheme="majorHAnsi"/>
        </w:rPr>
        <w:tab/>
        <w:t>Clause 7.1.1 does not stop the College from doing the following things, provided they are done in good faith:</w:t>
      </w:r>
      <w:bookmarkEnd w:id="284"/>
    </w:p>
    <w:p w14:paraId="1B7DA562" w14:textId="77777777" w:rsidR="001B46FC" w:rsidRPr="009A0DA6" w:rsidRDefault="001B46FC" w:rsidP="001B46FC">
      <w:pPr>
        <w:tabs>
          <w:tab w:val="left" w:pos="709"/>
          <w:tab w:val="left" w:pos="1559"/>
          <w:tab w:val="left" w:pos="2552"/>
          <w:tab w:val="left" w:pos="3544"/>
          <w:tab w:val="left" w:pos="4820"/>
        </w:tabs>
        <w:spacing w:after="0" w:line="240" w:lineRule="auto"/>
        <w:ind w:left="2552" w:hanging="2552"/>
        <w:rPr>
          <w:rFonts w:ascii="Cambria" w:hAnsi="Cambria" w:cstheme="majorHAnsi"/>
        </w:rPr>
      </w:pPr>
      <w:r w:rsidRPr="009A0DA6">
        <w:rPr>
          <w:rFonts w:ascii="Cambria" w:hAnsi="Cambria" w:cstheme="majorHAnsi"/>
        </w:rPr>
        <w:tab/>
      </w:r>
      <w:r w:rsidRPr="009A0DA6">
        <w:rPr>
          <w:rFonts w:ascii="Cambria" w:hAnsi="Cambria" w:cstheme="majorHAnsi"/>
        </w:rPr>
        <w:tab/>
        <w:t>7.1.2.1</w:t>
      </w:r>
      <w:r w:rsidRPr="009A0DA6">
        <w:rPr>
          <w:rFonts w:ascii="Cambria" w:hAnsi="Cambria" w:cstheme="majorHAnsi"/>
        </w:rPr>
        <w:tab/>
        <w:t xml:space="preserve">paying a Member for goods or services they have provided or expenses they have properly incurred at fair and reasonable rates or rates more favourable to the </w:t>
      </w:r>
      <w:r w:rsidRPr="009A0DA6">
        <w:rPr>
          <w:rFonts w:ascii="Cambria" w:hAnsi="Cambria" w:cstheme="majorHAnsi"/>
          <w:bCs/>
        </w:rPr>
        <w:t>College</w:t>
      </w:r>
      <w:r w:rsidRPr="009A0DA6">
        <w:rPr>
          <w:rFonts w:ascii="Cambria" w:hAnsi="Cambria" w:cstheme="majorHAnsi"/>
        </w:rPr>
        <w:t>;  or</w:t>
      </w:r>
    </w:p>
    <w:p w14:paraId="3E3E4EC2" w14:textId="77777777" w:rsidR="001B46FC" w:rsidRPr="009A0DA6" w:rsidRDefault="001B46FC" w:rsidP="001B46FC">
      <w:pPr>
        <w:tabs>
          <w:tab w:val="left" w:pos="709"/>
          <w:tab w:val="left" w:pos="1559"/>
          <w:tab w:val="left" w:pos="2552"/>
          <w:tab w:val="left" w:pos="3544"/>
          <w:tab w:val="left" w:pos="4820"/>
        </w:tabs>
        <w:spacing w:after="0" w:line="240" w:lineRule="auto"/>
        <w:ind w:left="2552" w:hanging="2552"/>
        <w:rPr>
          <w:rFonts w:ascii="Cambria" w:hAnsi="Cambria" w:cstheme="majorHAnsi"/>
        </w:rPr>
      </w:pPr>
      <w:r w:rsidRPr="009A0DA6">
        <w:rPr>
          <w:rFonts w:ascii="Cambria" w:hAnsi="Cambria" w:cstheme="majorHAnsi"/>
        </w:rPr>
        <w:tab/>
      </w:r>
      <w:r w:rsidRPr="009A0DA6">
        <w:rPr>
          <w:rFonts w:ascii="Cambria" w:hAnsi="Cambria" w:cstheme="majorHAnsi"/>
        </w:rPr>
        <w:tab/>
        <w:t>7.1.2.3</w:t>
      </w:r>
      <w:r w:rsidRPr="009A0DA6">
        <w:rPr>
          <w:rFonts w:ascii="Cambria" w:hAnsi="Cambria" w:cstheme="majorHAnsi"/>
        </w:rPr>
        <w:tab/>
        <w:t>making a payment to a Member in carrying out the College’s charitable purposes.</w:t>
      </w:r>
      <w:bookmarkEnd w:id="285"/>
    </w:p>
    <w:p w14:paraId="77603E1E" w14:textId="77777777" w:rsidR="001B46FC" w:rsidRPr="009A0DA6" w:rsidRDefault="001B46FC" w:rsidP="001B46FC">
      <w:pPr>
        <w:spacing w:before="120"/>
        <w:rPr>
          <w:rFonts w:ascii="Cambria" w:hAnsi="Cambria"/>
          <w:b/>
        </w:rPr>
      </w:pPr>
      <w:r w:rsidRPr="009A0DA6">
        <w:rPr>
          <w:rFonts w:ascii="Cambria" w:hAnsi="Cambria"/>
          <w:b/>
        </w:rPr>
        <w:t>Article 8</w:t>
      </w:r>
      <w:r w:rsidRPr="009A0DA6">
        <w:rPr>
          <w:rFonts w:ascii="Cambria" w:hAnsi="Cambria"/>
          <w:b/>
        </w:rPr>
        <w:tab/>
        <w:t>The Members and Membership</w:t>
      </w:r>
    </w:p>
    <w:p w14:paraId="423BF657"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rPr>
          <w:rFonts w:ascii="Cambria" w:hAnsi="Cambria" w:cstheme="majorHAnsi"/>
        </w:rPr>
      </w:pPr>
      <w:r w:rsidRPr="009A0DA6">
        <w:rPr>
          <w:rFonts w:ascii="Cambria" w:hAnsi="Cambria" w:cstheme="majorHAnsi"/>
          <w:bCs/>
        </w:rPr>
        <w:t>8.1</w:t>
      </w:r>
      <w:r w:rsidRPr="009A0DA6">
        <w:rPr>
          <w:rFonts w:ascii="Cambria" w:hAnsi="Cambria" w:cstheme="majorHAnsi"/>
          <w:bCs/>
        </w:rPr>
        <w:tab/>
        <w:t>The Members of the College</w:t>
      </w:r>
      <w:r w:rsidRPr="009A0DA6">
        <w:rPr>
          <w:rFonts w:ascii="Cambria" w:hAnsi="Cambria" w:cstheme="majorHAnsi"/>
          <w:b/>
          <w:bCs/>
        </w:rPr>
        <w:t xml:space="preserve"> </w:t>
      </w:r>
      <w:r w:rsidRPr="009A0DA6">
        <w:rPr>
          <w:rFonts w:ascii="Cambria" w:hAnsi="Cambria" w:cstheme="majorHAnsi"/>
          <w:bCs/>
        </w:rPr>
        <w:t xml:space="preserve">are </w:t>
      </w:r>
      <w:r w:rsidRPr="009A0DA6">
        <w:rPr>
          <w:rFonts w:ascii="Cambria" w:hAnsi="Cambria" w:cstheme="majorHAnsi"/>
        </w:rPr>
        <w:t>the Directors.</w:t>
      </w:r>
    </w:p>
    <w:p w14:paraId="116641BF"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rPr>
          <w:rFonts w:ascii="Cambria" w:hAnsi="Cambria" w:cstheme="majorHAnsi"/>
          <w:bCs/>
        </w:rPr>
      </w:pPr>
      <w:r w:rsidRPr="009A0DA6">
        <w:rPr>
          <w:rFonts w:ascii="Cambria" w:hAnsi="Cambria" w:cstheme="majorHAnsi"/>
          <w:bCs/>
        </w:rPr>
        <w:t>8.2</w:t>
      </w:r>
      <w:r w:rsidRPr="009A0DA6">
        <w:rPr>
          <w:rFonts w:ascii="Cambria" w:hAnsi="Cambria" w:cstheme="majorHAnsi"/>
          <w:bCs/>
        </w:rPr>
        <w:tab/>
        <w:t>Membership of the College will cease</w:t>
      </w:r>
    </w:p>
    <w:p w14:paraId="1AF50392"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rPr>
          <w:rFonts w:ascii="Cambria" w:hAnsi="Cambria" w:cstheme="majorHAnsi"/>
          <w:bCs/>
        </w:rPr>
      </w:pPr>
      <w:r w:rsidRPr="009A0DA6">
        <w:rPr>
          <w:rFonts w:ascii="Cambria" w:hAnsi="Cambria" w:cstheme="majorHAnsi"/>
          <w:bCs/>
        </w:rPr>
        <w:tab/>
        <w:t xml:space="preserve">8.2.1 </w:t>
      </w:r>
      <w:r w:rsidRPr="009A0DA6">
        <w:rPr>
          <w:rFonts w:ascii="Cambria" w:hAnsi="Cambria" w:cstheme="majorHAnsi"/>
          <w:bCs/>
        </w:rPr>
        <w:tab/>
        <w:t>on the date that the Secretary receives written notice of resignation;</w:t>
      </w:r>
    </w:p>
    <w:p w14:paraId="4496C0F2"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rPr>
          <w:rFonts w:ascii="Cambria" w:hAnsi="Cambria" w:cstheme="majorHAnsi"/>
          <w:bCs/>
        </w:rPr>
      </w:pPr>
      <w:r w:rsidRPr="009A0DA6">
        <w:rPr>
          <w:rFonts w:ascii="Cambria" w:hAnsi="Cambria" w:cstheme="majorHAnsi"/>
          <w:bCs/>
        </w:rPr>
        <w:tab/>
        <w:t>8.2.2</w:t>
      </w:r>
      <w:r w:rsidRPr="009A0DA6">
        <w:rPr>
          <w:rFonts w:ascii="Cambria" w:hAnsi="Cambria" w:cstheme="majorHAnsi"/>
          <w:bCs/>
        </w:rPr>
        <w:tab/>
        <w:t>when the appointment of the Member as a Director ends or is terminated;</w:t>
      </w:r>
    </w:p>
    <w:p w14:paraId="6674D3A3"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rPr>
          <w:rFonts w:ascii="Cambria" w:hAnsi="Cambria" w:cstheme="majorHAnsi"/>
          <w:bCs/>
        </w:rPr>
      </w:pPr>
      <w:r w:rsidRPr="009A0DA6">
        <w:rPr>
          <w:rFonts w:ascii="Cambria" w:hAnsi="Cambria" w:cstheme="majorHAnsi"/>
          <w:bCs/>
        </w:rPr>
        <w:tab/>
        <w:t>8.2.3</w:t>
      </w:r>
      <w:r w:rsidRPr="009A0DA6">
        <w:rPr>
          <w:rFonts w:ascii="Cambria" w:hAnsi="Cambria" w:cstheme="majorHAnsi"/>
          <w:bCs/>
        </w:rPr>
        <w:tab/>
        <w:t>where the Member</w:t>
      </w:r>
    </w:p>
    <w:p w14:paraId="2AE7F83F"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ind w:left="2552" w:hanging="2552"/>
        <w:rPr>
          <w:rFonts w:ascii="Cambria" w:hAnsi="Cambria" w:cstheme="majorHAnsi"/>
          <w:bCs/>
        </w:rPr>
      </w:pPr>
      <w:r w:rsidRPr="009A0DA6">
        <w:rPr>
          <w:rFonts w:ascii="Cambria" w:hAnsi="Cambria" w:cstheme="majorHAnsi"/>
          <w:bCs/>
        </w:rPr>
        <w:tab/>
      </w:r>
      <w:r w:rsidRPr="009A0DA6">
        <w:rPr>
          <w:rFonts w:ascii="Cambria" w:hAnsi="Cambria" w:cstheme="majorHAnsi"/>
          <w:bCs/>
        </w:rPr>
        <w:tab/>
        <w:t>8.2.3.1</w:t>
      </w:r>
      <w:r w:rsidRPr="009A0DA6">
        <w:rPr>
          <w:rFonts w:ascii="Cambria" w:hAnsi="Cambria" w:cstheme="majorHAnsi"/>
          <w:bCs/>
        </w:rPr>
        <w:tab/>
        <w:t>dies;  or</w:t>
      </w:r>
    </w:p>
    <w:p w14:paraId="202B4F2C"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ind w:left="2552" w:hanging="2552"/>
        <w:rPr>
          <w:rFonts w:ascii="Cambria" w:hAnsi="Cambria" w:cstheme="majorHAnsi"/>
          <w:bCs/>
        </w:rPr>
      </w:pPr>
      <w:r w:rsidRPr="009A0DA6">
        <w:rPr>
          <w:rFonts w:ascii="Cambria" w:hAnsi="Cambria" w:cstheme="majorHAnsi"/>
          <w:bCs/>
        </w:rPr>
        <w:tab/>
      </w:r>
      <w:r w:rsidRPr="009A0DA6">
        <w:rPr>
          <w:rFonts w:ascii="Cambria" w:hAnsi="Cambria" w:cstheme="majorHAnsi"/>
          <w:bCs/>
        </w:rPr>
        <w:tab/>
        <w:t>8.2.3.2</w:t>
      </w:r>
      <w:r w:rsidRPr="009A0DA6">
        <w:rPr>
          <w:rFonts w:ascii="Cambria" w:hAnsi="Cambria" w:cstheme="majorHAnsi"/>
          <w:bCs/>
        </w:rPr>
        <w:tab/>
        <w:t>becomes mentally incapacitated or whose person or estate is liable to be dealt with in any way under the laws relating to mental health;  or</w:t>
      </w:r>
    </w:p>
    <w:p w14:paraId="38890CFF"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ind w:left="2552" w:hanging="2552"/>
        <w:rPr>
          <w:rFonts w:ascii="Cambria" w:hAnsi="Cambria" w:cstheme="majorHAnsi"/>
          <w:bCs/>
        </w:rPr>
      </w:pPr>
      <w:r w:rsidRPr="009A0DA6">
        <w:rPr>
          <w:rFonts w:ascii="Cambria" w:hAnsi="Cambria" w:cstheme="majorHAnsi"/>
          <w:bCs/>
        </w:rPr>
        <w:tab/>
      </w:r>
      <w:r w:rsidRPr="009A0DA6">
        <w:rPr>
          <w:rFonts w:ascii="Cambria" w:hAnsi="Cambria" w:cstheme="majorHAnsi"/>
          <w:bCs/>
        </w:rPr>
        <w:tab/>
        <w:t>8.2.3.3</w:t>
      </w:r>
      <w:r w:rsidRPr="009A0DA6">
        <w:rPr>
          <w:rFonts w:ascii="Cambria" w:hAnsi="Cambria" w:cstheme="majorHAnsi"/>
          <w:bCs/>
        </w:rPr>
        <w:tab/>
        <w:t>is convicted of a serious criminal offence;  or</w:t>
      </w:r>
    </w:p>
    <w:p w14:paraId="7CC46D72"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ind w:left="2552" w:hanging="2552"/>
        <w:rPr>
          <w:rFonts w:ascii="Cambria" w:hAnsi="Cambria" w:cstheme="majorHAnsi"/>
          <w:bCs/>
        </w:rPr>
      </w:pPr>
      <w:r w:rsidRPr="009A0DA6">
        <w:rPr>
          <w:rFonts w:ascii="Cambria" w:hAnsi="Cambria" w:cstheme="majorHAnsi"/>
          <w:bCs/>
        </w:rPr>
        <w:tab/>
      </w:r>
      <w:r w:rsidRPr="009A0DA6">
        <w:rPr>
          <w:rFonts w:ascii="Cambria" w:hAnsi="Cambria" w:cstheme="majorHAnsi"/>
          <w:bCs/>
        </w:rPr>
        <w:tab/>
        <w:t>8.2.3.4</w:t>
      </w:r>
      <w:r w:rsidRPr="009A0DA6">
        <w:rPr>
          <w:rFonts w:ascii="Cambria" w:hAnsi="Cambria" w:cstheme="majorHAnsi"/>
          <w:bCs/>
        </w:rPr>
        <w:tab/>
        <w:t>is declared bankrupt.</w:t>
      </w:r>
    </w:p>
    <w:p w14:paraId="16A7B450" w14:textId="77777777" w:rsidR="001B46FC" w:rsidRPr="009A0DA6" w:rsidRDefault="001B46FC" w:rsidP="001B46FC">
      <w:pPr>
        <w:spacing w:before="120"/>
        <w:rPr>
          <w:rFonts w:ascii="Cambria" w:hAnsi="Cambria"/>
          <w:b/>
        </w:rPr>
      </w:pPr>
      <w:r w:rsidRPr="009A0DA6">
        <w:rPr>
          <w:rFonts w:ascii="Cambria" w:hAnsi="Cambria"/>
          <w:b/>
        </w:rPr>
        <w:t>Article 9</w:t>
      </w:r>
      <w:r w:rsidRPr="009A0DA6">
        <w:rPr>
          <w:rFonts w:ascii="Cambria" w:hAnsi="Cambria"/>
          <w:b/>
        </w:rPr>
        <w:tab/>
        <w:t>Dispute resolution and discipline</w:t>
      </w:r>
    </w:p>
    <w:p w14:paraId="3ABD2B51"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ind w:left="709" w:hanging="709"/>
        <w:rPr>
          <w:rFonts w:ascii="Cambria" w:hAnsi="Cambria" w:cstheme="majorHAnsi"/>
          <w:bCs/>
        </w:rPr>
      </w:pPr>
      <w:r w:rsidRPr="009A0DA6">
        <w:rPr>
          <w:rFonts w:ascii="Cambria" w:hAnsi="Cambria" w:cstheme="majorHAnsi"/>
          <w:bCs/>
        </w:rPr>
        <w:t>9.1</w:t>
      </w:r>
      <w:r w:rsidRPr="009A0DA6">
        <w:rPr>
          <w:rFonts w:ascii="Cambria" w:hAnsi="Cambria" w:cstheme="majorHAnsi"/>
          <w:bCs/>
        </w:rPr>
        <w:tab/>
        <w:t xml:space="preserve">Dispute resolution and discipline shall be in accordance with Scriptural principles. </w:t>
      </w:r>
    </w:p>
    <w:p w14:paraId="06339C7E"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ind w:left="1559" w:hanging="1559"/>
        <w:rPr>
          <w:rFonts w:ascii="Cambria" w:hAnsi="Cambria" w:cstheme="majorHAnsi"/>
        </w:rPr>
      </w:pPr>
      <w:r w:rsidRPr="009A0DA6">
        <w:rPr>
          <w:rFonts w:ascii="Cambria" w:hAnsi="Cambria" w:cstheme="majorHAnsi"/>
        </w:rPr>
        <w:tab/>
        <w:t>9.1.1</w:t>
      </w:r>
      <w:r w:rsidRPr="009A0DA6">
        <w:rPr>
          <w:rFonts w:ascii="Cambria" w:hAnsi="Cambria" w:cstheme="majorHAnsi"/>
        </w:rPr>
        <w:tab/>
        <w:t>The dispute resolution procedure in this clause applies to disputes and disagreements under this constitution between a Member or Director and</w:t>
      </w:r>
    </w:p>
    <w:p w14:paraId="05074DFE"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ind w:left="2552" w:hanging="2552"/>
        <w:rPr>
          <w:rFonts w:ascii="Cambria" w:hAnsi="Cambria" w:cstheme="majorHAnsi"/>
        </w:rPr>
      </w:pPr>
      <w:r w:rsidRPr="009A0DA6">
        <w:rPr>
          <w:rFonts w:ascii="Cambria" w:hAnsi="Cambria" w:cstheme="majorHAnsi"/>
        </w:rPr>
        <w:tab/>
      </w:r>
      <w:r w:rsidRPr="009A0DA6">
        <w:rPr>
          <w:rFonts w:ascii="Cambria" w:hAnsi="Cambria" w:cstheme="majorHAnsi"/>
        </w:rPr>
        <w:tab/>
        <w:t>9.1.1.1</w:t>
      </w:r>
      <w:r w:rsidRPr="009A0DA6">
        <w:rPr>
          <w:rFonts w:ascii="Cambria" w:hAnsi="Cambria" w:cstheme="majorHAnsi"/>
        </w:rPr>
        <w:tab/>
        <w:t>one or more Members;  or</w:t>
      </w:r>
    </w:p>
    <w:p w14:paraId="0447AFF1"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ind w:left="2552" w:hanging="2552"/>
        <w:rPr>
          <w:rFonts w:ascii="Cambria" w:hAnsi="Cambria" w:cstheme="majorHAnsi"/>
        </w:rPr>
      </w:pPr>
      <w:r w:rsidRPr="009A0DA6">
        <w:rPr>
          <w:rFonts w:ascii="Cambria" w:hAnsi="Cambria" w:cstheme="majorHAnsi"/>
        </w:rPr>
        <w:tab/>
      </w:r>
      <w:r w:rsidRPr="009A0DA6">
        <w:rPr>
          <w:rFonts w:ascii="Cambria" w:hAnsi="Cambria" w:cstheme="majorHAnsi"/>
        </w:rPr>
        <w:tab/>
        <w:t>9.1.1.2</w:t>
      </w:r>
      <w:r w:rsidRPr="009A0DA6">
        <w:rPr>
          <w:rFonts w:ascii="Cambria" w:hAnsi="Cambria" w:cstheme="majorHAnsi"/>
        </w:rPr>
        <w:tab/>
        <w:t>one or more Directors;  or</w:t>
      </w:r>
    </w:p>
    <w:p w14:paraId="4D355989"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ind w:left="2552" w:hanging="2552"/>
        <w:rPr>
          <w:rFonts w:ascii="Cambria" w:hAnsi="Cambria" w:cstheme="majorHAnsi"/>
        </w:rPr>
      </w:pPr>
      <w:r w:rsidRPr="009A0DA6">
        <w:rPr>
          <w:rFonts w:ascii="Cambria" w:hAnsi="Cambria" w:cstheme="majorHAnsi"/>
        </w:rPr>
        <w:tab/>
      </w:r>
      <w:r w:rsidRPr="009A0DA6">
        <w:rPr>
          <w:rFonts w:ascii="Cambria" w:hAnsi="Cambria" w:cstheme="majorHAnsi"/>
        </w:rPr>
        <w:tab/>
        <w:t>9.1.1.3</w:t>
      </w:r>
      <w:r w:rsidRPr="009A0DA6">
        <w:rPr>
          <w:rFonts w:ascii="Cambria" w:hAnsi="Cambria" w:cstheme="majorHAnsi"/>
        </w:rPr>
        <w:tab/>
        <w:t>the College.</w:t>
      </w:r>
    </w:p>
    <w:p w14:paraId="12B8C453"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ind w:left="1559" w:hanging="1559"/>
        <w:rPr>
          <w:rFonts w:ascii="Cambria" w:hAnsi="Cambria" w:cstheme="majorHAnsi"/>
        </w:rPr>
      </w:pPr>
      <w:bookmarkStart w:id="286" w:name="_Ref381868249"/>
      <w:r w:rsidRPr="009A0DA6">
        <w:rPr>
          <w:rFonts w:ascii="Cambria" w:hAnsi="Cambria" w:cstheme="majorHAnsi"/>
        </w:rPr>
        <w:tab/>
        <w:t>9.1.2</w:t>
      </w:r>
      <w:r w:rsidRPr="009A0DA6">
        <w:rPr>
          <w:rFonts w:ascii="Cambria" w:hAnsi="Cambria" w:cstheme="majorHAnsi"/>
        </w:rPr>
        <w:tab/>
        <w:t>A Member must not start a dispute resolution procedure in relation to a matter which is the subject of a disciplinary procedure under Article 9 until the disciplinary procedure is completed.</w:t>
      </w:r>
    </w:p>
    <w:p w14:paraId="555058AD"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ind w:left="1559" w:hanging="1559"/>
        <w:rPr>
          <w:rFonts w:ascii="Cambria" w:hAnsi="Cambria" w:cstheme="majorHAnsi"/>
        </w:rPr>
      </w:pPr>
      <w:bookmarkStart w:id="287" w:name="_Ref392161046"/>
      <w:r w:rsidRPr="009A0DA6">
        <w:rPr>
          <w:rFonts w:ascii="Cambria" w:hAnsi="Cambria" w:cstheme="majorHAnsi"/>
        </w:rPr>
        <w:tab/>
        <w:t>9.1.3</w:t>
      </w:r>
      <w:r w:rsidRPr="009A0DA6">
        <w:rPr>
          <w:rFonts w:ascii="Cambria" w:hAnsi="Cambria" w:cstheme="majorHAnsi"/>
        </w:rPr>
        <w:tab/>
        <w:t>Those involved in the dispute must try to resolve it between themselves within 14 days of knowing about it.</w:t>
      </w:r>
      <w:bookmarkEnd w:id="286"/>
      <w:bookmarkEnd w:id="287"/>
    </w:p>
    <w:p w14:paraId="0666CB5A"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ind w:left="1559" w:hanging="1559"/>
        <w:rPr>
          <w:rFonts w:ascii="Cambria" w:hAnsi="Cambria" w:cstheme="majorHAnsi"/>
        </w:rPr>
      </w:pPr>
      <w:r w:rsidRPr="009A0DA6">
        <w:rPr>
          <w:rFonts w:ascii="Cambria" w:hAnsi="Cambria" w:cstheme="majorHAnsi"/>
        </w:rPr>
        <w:lastRenderedPageBreak/>
        <w:tab/>
        <w:t>9.1.4</w:t>
      </w:r>
      <w:r w:rsidRPr="009A0DA6">
        <w:rPr>
          <w:rFonts w:ascii="Cambria" w:hAnsi="Cambria" w:cstheme="majorHAnsi"/>
        </w:rPr>
        <w:tab/>
        <w:t>If those involved in the dispute do not resolve it under Clause 9.1.3 they must within 10 days</w:t>
      </w:r>
    </w:p>
    <w:p w14:paraId="309401C1"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ind w:left="2552" w:hanging="2552"/>
        <w:rPr>
          <w:rFonts w:ascii="Cambria" w:hAnsi="Cambria" w:cstheme="majorHAnsi"/>
        </w:rPr>
      </w:pPr>
      <w:r w:rsidRPr="009A0DA6">
        <w:rPr>
          <w:rFonts w:ascii="Cambria" w:hAnsi="Cambria" w:cstheme="majorHAnsi"/>
        </w:rPr>
        <w:tab/>
      </w:r>
      <w:r w:rsidRPr="009A0DA6">
        <w:rPr>
          <w:rFonts w:ascii="Cambria" w:hAnsi="Cambria" w:cstheme="majorHAnsi"/>
        </w:rPr>
        <w:tab/>
        <w:t>9.1.5.1</w:t>
      </w:r>
      <w:r w:rsidRPr="009A0DA6">
        <w:rPr>
          <w:rFonts w:ascii="Cambria" w:hAnsi="Cambria" w:cstheme="majorHAnsi"/>
        </w:rPr>
        <w:tab/>
        <w:t>tell the Directors about the dispute in writing;</w:t>
      </w:r>
    </w:p>
    <w:p w14:paraId="39141C96"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ind w:left="2552" w:hanging="2552"/>
        <w:rPr>
          <w:rFonts w:ascii="Cambria" w:hAnsi="Cambria" w:cstheme="majorHAnsi"/>
        </w:rPr>
      </w:pPr>
      <w:r w:rsidRPr="009A0DA6">
        <w:rPr>
          <w:rFonts w:ascii="Cambria" w:hAnsi="Cambria" w:cstheme="majorHAnsi"/>
        </w:rPr>
        <w:tab/>
      </w:r>
      <w:r w:rsidRPr="009A0DA6">
        <w:rPr>
          <w:rFonts w:ascii="Cambria" w:hAnsi="Cambria" w:cstheme="majorHAnsi"/>
        </w:rPr>
        <w:tab/>
        <w:t>9.1.5.2</w:t>
      </w:r>
      <w:r w:rsidRPr="009A0DA6">
        <w:rPr>
          <w:rFonts w:ascii="Cambria" w:hAnsi="Cambria" w:cstheme="majorHAnsi"/>
        </w:rPr>
        <w:tab/>
        <w:t>agree or request that a mediator be appointed;  and</w:t>
      </w:r>
    </w:p>
    <w:p w14:paraId="5399674E"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ind w:left="2552" w:hanging="2552"/>
        <w:rPr>
          <w:rFonts w:ascii="Cambria" w:hAnsi="Cambria" w:cstheme="majorHAnsi"/>
        </w:rPr>
      </w:pPr>
      <w:r w:rsidRPr="009A0DA6">
        <w:rPr>
          <w:rFonts w:ascii="Cambria" w:hAnsi="Cambria" w:cstheme="majorHAnsi"/>
        </w:rPr>
        <w:tab/>
      </w:r>
      <w:r w:rsidRPr="009A0DA6">
        <w:rPr>
          <w:rFonts w:ascii="Cambria" w:hAnsi="Cambria" w:cstheme="majorHAnsi"/>
        </w:rPr>
        <w:tab/>
        <w:t>9.1.5.3</w:t>
      </w:r>
      <w:r w:rsidRPr="009A0DA6">
        <w:rPr>
          <w:rFonts w:ascii="Cambria" w:hAnsi="Cambria" w:cstheme="majorHAnsi"/>
        </w:rPr>
        <w:tab/>
        <w:t>attempt in good faith to settle the dispute by mediation.</w:t>
      </w:r>
    </w:p>
    <w:p w14:paraId="3F1CF9BF"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ind w:left="1559" w:hanging="1559"/>
        <w:rPr>
          <w:rFonts w:ascii="Cambria" w:hAnsi="Cambria" w:cstheme="majorHAnsi"/>
        </w:rPr>
      </w:pPr>
      <w:bookmarkStart w:id="288" w:name="_Ref381868206"/>
      <w:r w:rsidRPr="009A0DA6">
        <w:rPr>
          <w:rFonts w:ascii="Cambria" w:hAnsi="Cambria" w:cstheme="majorHAnsi"/>
        </w:rPr>
        <w:tab/>
        <w:t xml:space="preserve">9.1.5  </w:t>
      </w:r>
      <w:r w:rsidRPr="009A0DA6">
        <w:rPr>
          <w:rFonts w:ascii="Cambria" w:hAnsi="Cambria" w:cstheme="majorHAnsi"/>
        </w:rPr>
        <w:tab/>
        <w:t>The mediator must</w:t>
      </w:r>
      <w:bookmarkEnd w:id="288"/>
    </w:p>
    <w:p w14:paraId="55A5E921"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ind w:left="2552" w:hanging="2552"/>
        <w:rPr>
          <w:rFonts w:ascii="Cambria" w:hAnsi="Cambria" w:cstheme="majorHAnsi"/>
        </w:rPr>
      </w:pPr>
      <w:r w:rsidRPr="009A0DA6">
        <w:rPr>
          <w:rFonts w:ascii="Cambria" w:hAnsi="Cambria" w:cstheme="majorHAnsi"/>
        </w:rPr>
        <w:tab/>
      </w:r>
      <w:r w:rsidRPr="009A0DA6">
        <w:rPr>
          <w:rFonts w:ascii="Cambria" w:hAnsi="Cambria" w:cstheme="majorHAnsi"/>
        </w:rPr>
        <w:tab/>
        <w:t>9.1.5.1</w:t>
      </w:r>
      <w:r w:rsidRPr="009A0DA6">
        <w:rPr>
          <w:rFonts w:ascii="Cambria" w:hAnsi="Cambria" w:cstheme="majorHAnsi"/>
        </w:rPr>
        <w:tab/>
        <w:t>be chosen by agreement of those involved;  or</w:t>
      </w:r>
    </w:p>
    <w:p w14:paraId="58ED8189"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ind w:left="2552" w:hanging="2552"/>
        <w:rPr>
          <w:rFonts w:ascii="Cambria" w:hAnsi="Cambria" w:cstheme="majorHAnsi"/>
        </w:rPr>
      </w:pPr>
      <w:bookmarkStart w:id="289" w:name="_Ref381868212"/>
      <w:r w:rsidRPr="009A0DA6">
        <w:rPr>
          <w:rFonts w:ascii="Cambria" w:hAnsi="Cambria" w:cstheme="majorHAnsi"/>
        </w:rPr>
        <w:tab/>
      </w:r>
      <w:r w:rsidRPr="009A0DA6">
        <w:rPr>
          <w:rFonts w:ascii="Cambria" w:hAnsi="Cambria" w:cstheme="majorHAnsi"/>
        </w:rPr>
        <w:tab/>
        <w:t>9.1.5.2</w:t>
      </w:r>
      <w:r w:rsidRPr="009A0DA6">
        <w:rPr>
          <w:rFonts w:ascii="Cambria" w:hAnsi="Cambria" w:cstheme="majorHAnsi"/>
        </w:rPr>
        <w:tab/>
        <w:t>where those involved do not agree</w:t>
      </w:r>
      <w:bookmarkEnd w:id="289"/>
    </w:p>
    <w:p w14:paraId="2A8F49D9"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ind w:left="3544" w:hanging="3544"/>
        <w:rPr>
          <w:rFonts w:ascii="Cambria" w:hAnsi="Cambria" w:cstheme="majorHAnsi"/>
        </w:rPr>
      </w:pPr>
      <w:bookmarkStart w:id="290" w:name="_Ref381868216"/>
      <w:r w:rsidRPr="009A0DA6">
        <w:rPr>
          <w:rFonts w:ascii="Cambria" w:hAnsi="Cambria" w:cstheme="majorHAnsi"/>
        </w:rPr>
        <w:tab/>
      </w:r>
      <w:r w:rsidRPr="009A0DA6">
        <w:rPr>
          <w:rFonts w:ascii="Cambria" w:hAnsi="Cambria" w:cstheme="majorHAnsi"/>
        </w:rPr>
        <w:tab/>
      </w:r>
      <w:r w:rsidRPr="009A0DA6">
        <w:rPr>
          <w:rFonts w:ascii="Cambria" w:hAnsi="Cambria" w:cstheme="majorHAnsi"/>
        </w:rPr>
        <w:tab/>
        <w:t>9.1.5.2.1</w:t>
      </w:r>
      <w:r w:rsidRPr="009A0DA6">
        <w:rPr>
          <w:rFonts w:ascii="Cambria" w:hAnsi="Cambria" w:cstheme="majorHAnsi"/>
        </w:rPr>
        <w:tab/>
        <w:t xml:space="preserve">for disputes between Members, the Directors shall choose a person; </w:t>
      </w:r>
      <w:bookmarkEnd w:id="290"/>
      <w:r w:rsidRPr="009A0DA6">
        <w:rPr>
          <w:rFonts w:ascii="Cambria" w:hAnsi="Cambria" w:cstheme="majorHAnsi"/>
        </w:rPr>
        <w:t xml:space="preserve"> or</w:t>
      </w:r>
    </w:p>
    <w:p w14:paraId="5610E4F2"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ind w:left="3544" w:hanging="3544"/>
        <w:rPr>
          <w:rFonts w:ascii="Cambria" w:hAnsi="Cambria" w:cstheme="majorHAnsi"/>
        </w:rPr>
      </w:pPr>
      <w:r w:rsidRPr="009A0DA6">
        <w:rPr>
          <w:rFonts w:ascii="Cambria" w:hAnsi="Cambria" w:cstheme="majorHAnsi"/>
        </w:rPr>
        <w:tab/>
      </w:r>
      <w:r w:rsidRPr="009A0DA6">
        <w:rPr>
          <w:rFonts w:ascii="Cambria" w:hAnsi="Cambria" w:cstheme="majorHAnsi"/>
        </w:rPr>
        <w:tab/>
      </w:r>
      <w:r w:rsidRPr="009A0DA6">
        <w:rPr>
          <w:rFonts w:ascii="Cambria" w:hAnsi="Cambria" w:cstheme="majorHAnsi"/>
        </w:rPr>
        <w:tab/>
        <w:t>9.1.5.2.2</w:t>
      </w:r>
      <w:r w:rsidRPr="009A0DA6">
        <w:rPr>
          <w:rFonts w:ascii="Cambria" w:hAnsi="Cambria" w:cstheme="majorHAnsi"/>
        </w:rPr>
        <w:tab/>
        <w:t xml:space="preserve">for other disputes, the Commissioner of the Australian Charities and Not-for-profits Commission or the president of the law institute or society in the state or territory in which the College has its registered office shall choose a person. </w:t>
      </w:r>
    </w:p>
    <w:p w14:paraId="612BECF5"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ind w:left="1559" w:hanging="1559"/>
        <w:rPr>
          <w:rFonts w:ascii="Cambria" w:hAnsi="Cambria" w:cstheme="majorHAnsi"/>
        </w:rPr>
      </w:pPr>
      <w:r w:rsidRPr="009A0DA6">
        <w:rPr>
          <w:rFonts w:ascii="Cambria" w:hAnsi="Cambria" w:cstheme="majorHAnsi"/>
        </w:rPr>
        <w:tab/>
        <w:t>9.1.6</w:t>
      </w:r>
      <w:r w:rsidRPr="009A0DA6">
        <w:rPr>
          <w:rFonts w:ascii="Cambria" w:hAnsi="Cambria" w:cstheme="majorHAnsi"/>
        </w:rPr>
        <w:tab/>
        <w:t xml:space="preserve">A mediator chosen by the Directors under Clause 9.1.5.2.1 </w:t>
      </w:r>
    </w:p>
    <w:p w14:paraId="6D2E530F"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ind w:left="2552" w:hanging="2552"/>
        <w:rPr>
          <w:rFonts w:ascii="Cambria" w:hAnsi="Cambria" w:cstheme="majorHAnsi"/>
        </w:rPr>
      </w:pPr>
      <w:r w:rsidRPr="009A0DA6">
        <w:rPr>
          <w:rFonts w:ascii="Cambria" w:hAnsi="Cambria" w:cstheme="majorHAnsi"/>
        </w:rPr>
        <w:tab/>
      </w:r>
      <w:r w:rsidRPr="009A0DA6">
        <w:rPr>
          <w:rFonts w:ascii="Cambria" w:hAnsi="Cambria" w:cstheme="majorHAnsi"/>
        </w:rPr>
        <w:tab/>
        <w:t>9.1.6.1</w:t>
      </w:r>
      <w:r w:rsidRPr="009A0DA6">
        <w:rPr>
          <w:rFonts w:ascii="Cambria" w:hAnsi="Cambria" w:cstheme="majorHAnsi"/>
        </w:rPr>
        <w:tab/>
        <w:t>may be a Member or former Member of the College;</w:t>
      </w:r>
    </w:p>
    <w:p w14:paraId="25356169"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ind w:left="2552" w:hanging="2552"/>
        <w:rPr>
          <w:rFonts w:ascii="Cambria" w:hAnsi="Cambria" w:cstheme="majorHAnsi"/>
        </w:rPr>
      </w:pPr>
      <w:r w:rsidRPr="009A0DA6">
        <w:rPr>
          <w:rFonts w:ascii="Cambria" w:hAnsi="Cambria" w:cstheme="majorHAnsi"/>
        </w:rPr>
        <w:tab/>
      </w:r>
      <w:r w:rsidRPr="009A0DA6">
        <w:rPr>
          <w:rFonts w:ascii="Cambria" w:hAnsi="Cambria" w:cstheme="majorHAnsi"/>
        </w:rPr>
        <w:tab/>
        <w:t>9.1.6.2</w:t>
      </w:r>
      <w:r w:rsidRPr="009A0DA6">
        <w:rPr>
          <w:rFonts w:ascii="Cambria" w:hAnsi="Cambria" w:cstheme="majorHAnsi"/>
        </w:rPr>
        <w:tab/>
        <w:t>must not have a personal interest in the dispute; and</w:t>
      </w:r>
    </w:p>
    <w:p w14:paraId="0BE6AF79"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ind w:left="2552" w:hanging="2552"/>
        <w:rPr>
          <w:rFonts w:ascii="Cambria" w:hAnsi="Cambria" w:cstheme="majorHAnsi"/>
        </w:rPr>
      </w:pPr>
      <w:r w:rsidRPr="009A0DA6">
        <w:rPr>
          <w:rFonts w:ascii="Cambria" w:hAnsi="Cambria" w:cstheme="majorHAnsi"/>
        </w:rPr>
        <w:tab/>
      </w:r>
      <w:r w:rsidRPr="009A0DA6">
        <w:rPr>
          <w:rFonts w:ascii="Cambria" w:hAnsi="Cambria" w:cstheme="majorHAnsi"/>
        </w:rPr>
        <w:tab/>
        <w:t>9.1.6.3</w:t>
      </w:r>
      <w:r w:rsidRPr="009A0DA6">
        <w:rPr>
          <w:rFonts w:ascii="Cambria" w:hAnsi="Cambria" w:cstheme="majorHAnsi"/>
        </w:rPr>
        <w:tab/>
        <w:t>must not be biased towards or against anyone involved in the dispute.</w:t>
      </w:r>
    </w:p>
    <w:p w14:paraId="2BE65C85"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ind w:left="1559" w:hanging="1559"/>
        <w:rPr>
          <w:rFonts w:ascii="Cambria" w:hAnsi="Cambria" w:cstheme="majorHAnsi"/>
        </w:rPr>
      </w:pPr>
      <w:r w:rsidRPr="009A0DA6">
        <w:rPr>
          <w:rFonts w:ascii="Cambria" w:hAnsi="Cambria" w:cstheme="majorHAnsi"/>
        </w:rPr>
        <w:tab/>
        <w:t>9.1.7</w:t>
      </w:r>
      <w:r w:rsidRPr="009A0DA6">
        <w:rPr>
          <w:rFonts w:ascii="Cambria" w:hAnsi="Cambria" w:cstheme="majorHAnsi"/>
        </w:rPr>
        <w:tab/>
        <w:t>When conducting the mediation, the mediator must</w:t>
      </w:r>
    </w:p>
    <w:p w14:paraId="3F78308F"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ind w:left="2552" w:hanging="2552"/>
        <w:rPr>
          <w:rFonts w:ascii="Cambria" w:hAnsi="Cambria" w:cstheme="majorHAnsi"/>
        </w:rPr>
      </w:pPr>
      <w:r w:rsidRPr="009A0DA6">
        <w:rPr>
          <w:rFonts w:ascii="Cambria" w:hAnsi="Cambria" w:cstheme="majorHAnsi"/>
        </w:rPr>
        <w:tab/>
      </w:r>
      <w:r w:rsidRPr="009A0DA6">
        <w:rPr>
          <w:rFonts w:ascii="Cambria" w:hAnsi="Cambria" w:cstheme="majorHAnsi"/>
        </w:rPr>
        <w:tab/>
        <w:t>9.1.7.1</w:t>
      </w:r>
      <w:r w:rsidRPr="009A0DA6">
        <w:rPr>
          <w:rFonts w:ascii="Cambria" w:hAnsi="Cambria" w:cstheme="majorHAnsi"/>
        </w:rPr>
        <w:tab/>
        <w:t>allow those involved a reasonable chance to be heard;</w:t>
      </w:r>
    </w:p>
    <w:p w14:paraId="00EBBA6A"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ind w:left="2552" w:hanging="2552"/>
        <w:rPr>
          <w:rFonts w:ascii="Cambria" w:hAnsi="Cambria" w:cstheme="majorHAnsi"/>
        </w:rPr>
      </w:pPr>
      <w:r w:rsidRPr="009A0DA6">
        <w:rPr>
          <w:rFonts w:ascii="Cambria" w:hAnsi="Cambria" w:cstheme="majorHAnsi"/>
        </w:rPr>
        <w:tab/>
      </w:r>
      <w:r w:rsidRPr="009A0DA6">
        <w:rPr>
          <w:rFonts w:ascii="Cambria" w:hAnsi="Cambria" w:cstheme="majorHAnsi"/>
        </w:rPr>
        <w:tab/>
        <w:t>9.1.7.2</w:t>
      </w:r>
      <w:r w:rsidRPr="009A0DA6">
        <w:rPr>
          <w:rFonts w:ascii="Cambria" w:hAnsi="Cambria" w:cstheme="majorHAnsi"/>
        </w:rPr>
        <w:tab/>
        <w:t>allow those involved a reasonable chance to review any written statements;</w:t>
      </w:r>
    </w:p>
    <w:p w14:paraId="6E5B2D87"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ind w:left="2552" w:hanging="2552"/>
        <w:rPr>
          <w:rFonts w:ascii="Cambria" w:hAnsi="Cambria" w:cstheme="majorHAnsi"/>
        </w:rPr>
      </w:pPr>
      <w:r w:rsidRPr="009A0DA6">
        <w:rPr>
          <w:rFonts w:ascii="Cambria" w:hAnsi="Cambria" w:cstheme="majorHAnsi"/>
        </w:rPr>
        <w:tab/>
      </w:r>
      <w:r w:rsidRPr="009A0DA6">
        <w:rPr>
          <w:rFonts w:ascii="Cambria" w:hAnsi="Cambria" w:cstheme="majorHAnsi"/>
        </w:rPr>
        <w:tab/>
        <w:t>9.1.7.3</w:t>
      </w:r>
      <w:r w:rsidRPr="009A0DA6">
        <w:rPr>
          <w:rFonts w:ascii="Cambria" w:hAnsi="Cambria" w:cstheme="majorHAnsi"/>
        </w:rPr>
        <w:tab/>
        <w:t>ensure that those involved are given natural justice;  and</w:t>
      </w:r>
    </w:p>
    <w:p w14:paraId="3AEE76A7"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ind w:left="2552" w:hanging="2552"/>
        <w:rPr>
          <w:rFonts w:ascii="Cambria" w:hAnsi="Cambria" w:cstheme="majorHAnsi"/>
        </w:rPr>
      </w:pPr>
      <w:r w:rsidRPr="009A0DA6">
        <w:rPr>
          <w:rFonts w:ascii="Cambria" w:hAnsi="Cambria" w:cstheme="majorHAnsi"/>
        </w:rPr>
        <w:tab/>
      </w:r>
      <w:r w:rsidRPr="009A0DA6">
        <w:rPr>
          <w:rFonts w:ascii="Cambria" w:hAnsi="Cambria" w:cstheme="majorHAnsi"/>
        </w:rPr>
        <w:tab/>
        <w:t>9.1.7.4</w:t>
      </w:r>
      <w:r w:rsidRPr="009A0DA6">
        <w:rPr>
          <w:rFonts w:ascii="Cambria" w:hAnsi="Cambria" w:cstheme="majorHAnsi"/>
        </w:rPr>
        <w:tab/>
        <w:t>not make a decision on the dispute.</w:t>
      </w:r>
      <w:bookmarkStart w:id="291" w:name="_Ref361315300"/>
      <w:r w:rsidRPr="009A0DA6">
        <w:rPr>
          <w:rFonts w:ascii="Cambria" w:hAnsi="Cambria" w:cstheme="majorHAnsi"/>
          <w:b/>
        </w:rPr>
        <w:t xml:space="preserve"> </w:t>
      </w:r>
    </w:p>
    <w:p w14:paraId="694AA52E"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rPr>
          <w:rFonts w:ascii="Cambria" w:hAnsi="Cambria" w:cstheme="majorHAnsi"/>
        </w:rPr>
      </w:pPr>
      <w:r w:rsidRPr="009A0DA6">
        <w:rPr>
          <w:rFonts w:ascii="Cambria" w:hAnsi="Cambria" w:cstheme="majorHAnsi"/>
        </w:rPr>
        <w:tab/>
        <w:t>9.1.8</w:t>
      </w:r>
      <w:r w:rsidRPr="009A0DA6">
        <w:rPr>
          <w:rFonts w:ascii="Cambria" w:hAnsi="Cambria" w:cstheme="majorHAnsi"/>
        </w:rPr>
        <w:tab/>
      </w:r>
      <w:r w:rsidRPr="009A0DA6">
        <w:rPr>
          <w:rFonts w:ascii="Cambria" w:hAnsi="Cambria" w:cstheme="majorHAnsi"/>
          <w:u w:val="single"/>
        </w:rPr>
        <w:t>Disciplining Members</w:t>
      </w:r>
      <w:bookmarkEnd w:id="291"/>
    </w:p>
    <w:p w14:paraId="6FAFBE9C" w14:textId="77777777" w:rsidR="001B46FC" w:rsidRPr="009A0DA6" w:rsidRDefault="001B46FC" w:rsidP="001B46FC">
      <w:pPr>
        <w:pStyle w:val="ListParagraph"/>
        <w:tabs>
          <w:tab w:val="left" w:pos="709"/>
          <w:tab w:val="left" w:pos="1559"/>
          <w:tab w:val="left" w:pos="2552"/>
          <w:tab w:val="left" w:pos="3544"/>
          <w:tab w:val="left" w:pos="4820"/>
        </w:tabs>
        <w:spacing w:after="0" w:line="240" w:lineRule="auto"/>
        <w:ind w:left="2552" w:hanging="2552"/>
        <w:rPr>
          <w:rFonts w:ascii="Cambria" w:hAnsi="Cambria" w:cstheme="majorHAnsi"/>
        </w:rPr>
      </w:pPr>
      <w:bookmarkStart w:id="292" w:name="_Ref381865322"/>
      <w:r w:rsidRPr="009A0DA6">
        <w:rPr>
          <w:rFonts w:ascii="Cambria" w:hAnsi="Cambria" w:cstheme="majorHAnsi"/>
        </w:rPr>
        <w:tab/>
      </w:r>
      <w:r w:rsidRPr="009A0DA6">
        <w:rPr>
          <w:rFonts w:ascii="Cambria" w:hAnsi="Cambria" w:cstheme="majorHAnsi"/>
        </w:rPr>
        <w:tab/>
        <w:t>9.1.8.1</w:t>
      </w:r>
      <w:r w:rsidRPr="009A0DA6">
        <w:rPr>
          <w:rFonts w:ascii="Cambria" w:hAnsi="Cambria" w:cstheme="majorHAnsi"/>
        </w:rPr>
        <w:tab/>
        <w:t>In accordance with this clause, the Directors may resolve to warn, suspend or recommend General Church Council expel a Member from the College if the Directors consider that</w:t>
      </w:r>
      <w:bookmarkEnd w:id="292"/>
    </w:p>
    <w:p w14:paraId="44304BE6"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ind w:left="3544" w:hanging="3544"/>
        <w:rPr>
          <w:rFonts w:ascii="Cambria" w:hAnsi="Cambria" w:cstheme="majorHAnsi"/>
        </w:rPr>
      </w:pPr>
      <w:r w:rsidRPr="009A0DA6">
        <w:rPr>
          <w:rFonts w:ascii="Cambria" w:hAnsi="Cambria" w:cstheme="majorHAnsi"/>
        </w:rPr>
        <w:tab/>
      </w:r>
      <w:r w:rsidRPr="009A0DA6">
        <w:rPr>
          <w:rFonts w:ascii="Cambria" w:hAnsi="Cambria" w:cstheme="majorHAnsi"/>
        </w:rPr>
        <w:tab/>
      </w:r>
      <w:r w:rsidRPr="009A0DA6">
        <w:rPr>
          <w:rFonts w:ascii="Cambria" w:hAnsi="Cambria" w:cstheme="majorHAnsi"/>
        </w:rPr>
        <w:tab/>
        <w:t>9.1.8.1.1</w:t>
      </w:r>
      <w:r w:rsidRPr="009A0DA6">
        <w:rPr>
          <w:rFonts w:ascii="Cambria" w:hAnsi="Cambria" w:cstheme="majorHAnsi"/>
        </w:rPr>
        <w:tab/>
        <w:t xml:space="preserve">the Member has breached this constitution;  or </w:t>
      </w:r>
    </w:p>
    <w:p w14:paraId="0BDC9FAF"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ind w:left="3544" w:hanging="3544"/>
        <w:rPr>
          <w:rFonts w:ascii="Cambria" w:hAnsi="Cambria" w:cstheme="majorHAnsi"/>
        </w:rPr>
      </w:pPr>
      <w:r w:rsidRPr="009A0DA6">
        <w:rPr>
          <w:rFonts w:ascii="Cambria" w:hAnsi="Cambria" w:cstheme="majorHAnsi"/>
        </w:rPr>
        <w:tab/>
      </w:r>
      <w:r w:rsidRPr="009A0DA6">
        <w:rPr>
          <w:rFonts w:ascii="Cambria" w:hAnsi="Cambria" w:cstheme="majorHAnsi"/>
        </w:rPr>
        <w:tab/>
      </w:r>
      <w:r w:rsidRPr="009A0DA6">
        <w:rPr>
          <w:rFonts w:ascii="Cambria" w:hAnsi="Cambria" w:cstheme="majorHAnsi"/>
        </w:rPr>
        <w:tab/>
        <w:t>9.1.8.1.2</w:t>
      </w:r>
      <w:r w:rsidRPr="009A0DA6">
        <w:rPr>
          <w:rFonts w:ascii="Cambria" w:hAnsi="Cambria" w:cstheme="majorHAnsi"/>
        </w:rPr>
        <w:tab/>
        <w:t xml:space="preserve">the Member’s behaviour is causing, has caused, or is likely to cause harm to the College. </w:t>
      </w:r>
    </w:p>
    <w:p w14:paraId="29E6A9FC" w14:textId="77777777" w:rsidR="001B46FC" w:rsidRPr="009A0DA6" w:rsidRDefault="001B46FC" w:rsidP="001B46FC">
      <w:pPr>
        <w:tabs>
          <w:tab w:val="left" w:pos="709"/>
          <w:tab w:val="left" w:pos="1559"/>
          <w:tab w:val="left" w:pos="2552"/>
          <w:tab w:val="left" w:pos="3544"/>
          <w:tab w:val="left" w:pos="4820"/>
        </w:tabs>
        <w:spacing w:after="0" w:line="240" w:lineRule="auto"/>
        <w:ind w:left="1559" w:hanging="1559"/>
        <w:rPr>
          <w:rFonts w:ascii="Cambria" w:hAnsi="Cambria" w:cstheme="majorHAnsi"/>
        </w:rPr>
      </w:pPr>
      <w:r w:rsidRPr="009A0DA6">
        <w:rPr>
          <w:rFonts w:ascii="Cambria" w:hAnsi="Cambria" w:cstheme="majorHAnsi"/>
        </w:rPr>
        <w:tab/>
        <w:t>9.1.9</w:t>
      </w:r>
      <w:r w:rsidRPr="009A0DA6">
        <w:rPr>
          <w:rFonts w:ascii="Cambria" w:hAnsi="Cambria" w:cstheme="majorHAnsi"/>
        </w:rPr>
        <w:tab/>
        <w:t>At least 14 days before the Directors’ meeting at which a resolution under Clause 9.1.8.1 will be considered, the secretary must notify the Member in writing</w:t>
      </w:r>
    </w:p>
    <w:p w14:paraId="1113DEE0"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ind w:left="2552" w:hanging="2552"/>
        <w:rPr>
          <w:rFonts w:ascii="Cambria" w:hAnsi="Cambria" w:cstheme="majorHAnsi"/>
        </w:rPr>
      </w:pPr>
      <w:r w:rsidRPr="009A0DA6">
        <w:rPr>
          <w:rFonts w:ascii="Cambria" w:hAnsi="Cambria" w:cstheme="majorHAnsi"/>
        </w:rPr>
        <w:tab/>
      </w:r>
      <w:r w:rsidRPr="009A0DA6">
        <w:rPr>
          <w:rFonts w:ascii="Cambria" w:hAnsi="Cambria" w:cstheme="majorHAnsi"/>
        </w:rPr>
        <w:tab/>
        <w:t>9.1.9.1</w:t>
      </w:r>
      <w:r w:rsidRPr="009A0DA6">
        <w:rPr>
          <w:rFonts w:ascii="Cambria" w:hAnsi="Cambria" w:cstheme="majorHAnsi"/>
        </w:rPr>
        <w:tab/>
        <w:t>that the Directors are considering a resolution to warn, suspend or expel the Member;</w:t>
      </w:r>
    </w:p>
    <w:p w14:paraId="4259DEF0"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ind w:left="2552" w:hanging="2552"/>
        <w:rPr>
          <w:rFonts w:ascii="Cambria" w:hAnsi="Cambria" w:cstheme="majorHAnsi"/>
        </w:rPr>
      </w:pPr>
      <w:r w:rsidRPr="009A0DA6">
        <w:rPr>
          <w:rFonts w:ascii="Cambria" w:hAnsi="Cambria" w:cstheme="majorHAnsi"/>
        </w:rPr>
        <w:tab/>
      </w:r>
      <w:r w:rsidRPr="009A0DA6">
        <w:rPr>
          <w:rFonts w:ascii="Cambria" w:hAnsi="Cambria" w:cstheme="majorHAnsi"/>
        </w:rPr>
        <w:tab/>
        <w:t>9.1.9.2</w:t>
      </w:r>
      <w:r w:rsidRPr="009A0DA6">
        <w:rPr>
          <w:rFonts w:ascii="Cambria" w:hAnsi="Cambria" w:cstheme="majorHAnsi"/>
        </w:rPr>
        <w:tab/>
        <w:t>that this resolution will be considered at a Directors’ meeting and the date of that meeting;</w:t>
      </w:r>
    </w:p>
    <w:p w14:paraId="0CCA736F"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ind w:left="2552" w:hanging="2552"/>
        <w:rPr>
          <w:rFonts w:ascii="Cambria" w:hAnsi="Cambria" w:cstheme="majorHAnsi"/>
        </w:rPr>
      </w:pPr>
      <w:r w:rsidRPr="009A0DA6">
        <w:rPr>
          <w:rFonts w:ascii="Cambria" w:hAnsi="Cambria" w:cstheme="majorHAnsi"/>
        </w:rPr>
        <w:tab/>
      </w:r>
      <w:r w:rsidRPr="009A0DA6">
        <w:rPr>
          <w:rFonts w:ascii="Cambria" w:hAnsi="Cambria" w:cstheme="majorHAnsi"/>
        </w:rPr>
        <w:tab/>
        <w:t>9.1.9.3</w:t>
      </w:r>
      <w:r w:rsidRPr="009A0DA6">
        <w:rPr>
          <w:rFonts w:ascii="Cambria" w:hAnsi="Cambria" w:cstheme="majorHAnsi"/>
        </w:rPr>
        <w:tab/>
        <w:t xml:space="preserve">what the Member is said to have done or not done; </w:t>
      </w:r>
    </w:p>
    <w:p w14:paraId="4DBB1F6C"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ind w:left="2552" w:hanging="2552"/>
        <w:rPr>
          <w:rFonts w:ascii="Cambria" w:hAnsi="Cambria" w:cstheme="majorHAnsi"/>
        </w:rPr>
      </w:pPr>
      <w:r w:rsidRPr="009A0DA6">
        <w:rPr>
          <w:rFonts w:ascii="Cambria" w:hAnsi="Cambria" w:cstheme="majorHAnsi"/>
        </w:rPr>
        <w:tab/>
      </w:r>
      <w:r w:rsidRPr="009A0DA6">
        <w:rPr>
          <w:rFonts w:ascii="Cambria" w:hAnsi="Cambria" w:cstheme="majorHAnsi"/>
        </w:rPr>
        <w:tab/>
        <w:t>9.1.9.4</w:t>
      </w:r>
      <w:r w:rsidRPr="009A0DA6">
        <w:rPr>
          <w:rFonts w:ascii="Cambria" w:hAnsi="Cambria" w:cstheme="majorHAnsi"/>
        </w:rPr>
        <w:tab/>
        <w:t>the nature of the resolution that has been proposed;  and</w:t>
      </w:r>
    </w:p>
    <w:p w14:paraId="1EB1519F"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ind w:left="2552" w:hanging="2552"/>
        <w:rPr>
          <w:rFonts w:ascii="Cambria" w:hAnsi="Cambria" w:cstheme="majorHAnsi"/>
        </w:rPr>
      </w:pPr>
      <w:r w:rsidRPr="009A0DA6">
        <w:rPr>
          <w:rFonts w:ascii="Cambria" w:hAnsi="Cambria" w:cstheme="majorHAnsi"/>
        </w:rPr>
        <w:tab/>
      </w:r>
      <w:r w:rsidRPr="009A0DA6">
        <w:rPr>
          <w:rFonts w:ascii="Cambria" w:hAnsi="Cambria" w:cstheme="majorHAnsi"/>
        </w:rPr>
        <w:tab/>
        <w:t>9.1.9.5</w:t>
      </w:r>
      <w:r w:rsidRPr="009A0DA6">
        <w:rPr>
          <w:rFonts w:ascii="Cambria" w:hAnsi="Cambria" w:cstheme="majorHAnsi"/>
        </w:rPr>
        <w:tab/>
        <w:t>that the Member may provide an explanation to the Directors, and details of how to do so.</w:t>
      </w:r>
    </w:p>
    <w:p w14:paraId="1394FD02" w14:textId="77777777" w:rsidR="001B46FC" w:rsidRPr="009A0DA6" w:rsidRDefault="001B46FC" w:rsidP="001B46FC">
      <w:pPr>
        <w:tabs>
          <w:tab w:val="left" w:pos="709"/>
          <w:tab w:val="left" w:pos="1559"/>
          <w:tab w:val="left" w:pos="2552"/>
          <w:tab w:val="left" w:pos="3544"/>
          <w:tab w:val="left" w:pos="4820"/>
        </w:tabs>
        <w:spacing w:after="0" w:line="240" w:lineRule="auto"/>
        <w:ind w:left="1559" w:hanging="1559"/>
        <w:rPr>
          <w:rFonts w:ascii="Cambria" w:hAnsi="Cambria" w:cstheme="majorHAnsi"/>
        </w:rPr>
      </w:pPr>
      <w:bookmarkStart w:id="293" w:name="_Ref382913817"/>
      <w:r w:rsidRPr="009A0DA6">
        <w:rPr>
          <w:rFonts w:ascii="Cambria" w:hAnsi="Cambria" w:cstheme="majorHAnsi"/>
        </w:rPr>
        <w:tab/>
        <w:t>9.1.10</w:t>
      </w:r>
      <w:r w:rsidRPr="009A0DA6">
        <w:rPr>
          <w:rFonts w:ascii="Cambria" w:hAnsi="Cambria" w:cstheme="majorHAnsi"/>
        </w:rPr>
        <w:tab/>
        <w:t>Before the Directors pass any resolution under Clause 9.1.9.1, the Member must be given a chance to explain or defend themselves by</w:t>
      </w:r>
      <w:bookmarkEnd w:id="293"/>
    </w:p>
    <w:p w14:paraId="55BAEAB3"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ind w:left="2552" w:hanging="2552"/>
        <w:rPr>
          <w:rFonts w:ascii="Cambria" w:hAnsi="Cambria" w:cstheme="majorHAnsi"/>
        </w:rPr>
      </w:pPr>
      <w:r w:rsidRPr="009A0DA6">
        <w:rPr>
          <w:rFonts w:ascii="Cambria" w:hAnsi="Cambria" w:cstheme="majorHAnsi"/>
        </w:rPr>
        <w:tab/>
      </w:r>
      <w:r w:rsidRPr="009A0DA6">
        <w:rPr>
          <w:rFonts w:ascii="Cambria" w:hAnsi="Cambria" w:cstheme="majorHAnsi"/>
        </w:rPr>
        <w:tab/>
        <w:t>9.1.10.1</w:t>
      </w:r>
      <w:r w:rsidRPr="009A0DA6">
        <w:rPr>
          <w:rFonts w:ascii="Cambria" w:hAnsi="Cambria" w:cstheme="majorHAnsi"/>
        </w:rPr>
        <w:tab/>
        <w:t>sending the Directors a written explanation before that Directors’ meeting;  and/or</w:t>
      </w:r>
    </w:p>
    <w:p w14:paraId="7ECABEF9"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ind w:left="2552" w:hanging="2552"/>
        <w:rPr>
          <w:rFonts w:ascii="Cambria" w:hAnsi="Cambria" w:cstheme="majorHAnsi"/>
        </w:rPr>
      </w:pPr>
      <w:r w:rsidRPr="009A0DA6">
        <w:rPr>
          <w:rFonts w:ascii="Cambria" w:hAnsi="Cambria" w:cstheme="majorHAnsi"/>
        </w:rPr>
        <w:tab/>
      </w:r>
      <w:r w:rsidRPr="009A0DA6">
        <w:rPr>
          <w:rFonts w:ascii="Cambria" w:hAnsi="Cambria" w:cstheme="majorHAnsi"/>
        </w:rPr>
        <w:tab/>
        <w:t>9.1.10.2</w:t>
      </w:r>
      <w:r w:rsidRPr="009A0DA6">
        <w:rPr>
          <w:rFonts w:ascii="Cambria" w:hAnsi="Cambria" w:cstheme="majorHAnsi"/>
        </w:rPr>
        <w:tab/>
        <w:t>speaking at the meeting.</w:t>
      </w:r>
    </w:p>
    <w:p w14:paraId="430D5084" w14:textId="77777777" w:rsidR="001B46FC" w:rsidRPr="009A0DA6" w:rsidRDefault="001B46FC" w:rsidP="001B46FC">
      <w:pPr>
        <w:pStyle w:val="ACNCproformasublist"/>
        <w:numPr>
          <w:ilvl w:val="0"/>
          <w:numId w:val="0"/>
        </w:numPr>
        <w:tabs>
          <w:tab w:val="left" w:pos="709"/>
          <w:tab w:val="left" w:pos="1559"/>
          <w:tab w:val="left" w:pos="2552"/>
          <w:tab w:val="left" w:pos="3544"/>
          <w:tab w:val="left" w:pos="4820"/>
        </w:tabs>
        <w:ind w:left="1559" w:hanging="1559"/>
        <w:contextualSpacing w:val="0"/>
        <w:outlineLvl w:val="9"/>
        <w:rPr>
          <w:rFonts w:ascii="Cambria" w:hAnsi="Cambria" w:cstheme="majorHAnsi"/>
        </w:rPr>
      </w:pPr>
      <w:bookmarkStart w:id="294" w:name="_Ref388973200"/>
      <w:r w:rsidRPr="009A0DA6">
        <w:rPr>
          <w:rFonts w:ascii="Cambria" w:hAnsi="Cambria" w:cstheme="majorHAnsi"/>
        </w:rPr>
        <w:tab/>
        <w:t>9.1.11</w:t>
      </w:r>
      <w:r w:rsidRPr="009A0DA6">
        <w:rPr>
          <w:rFonts w:ascii="Cambria" w:hAnsi="Cambria" w:cstheme="majorHAnsi"/>
        </w:rPr>
        <w:tab/>
        <w:t>After considering any explanation under Clause 9.1.10, the Directors may</w:t>
      </w:r>
      <w:bookmarkEnd w:id="294"/>
    </w:p>
    <w:p w14:paraId="70D6ADBE"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ind w:left="2552" w:hanging="2552"/>
        <w:rPr>
          <w:rFonts w:ascii="Cambria" w:hAnsi="Cambria" w:cstheme="majorHAnsi"/>
        </w:rPr>
      </w:pPr>
      <w:r w:rsidRPr="009A0DA6">
        <w:rPr>
          <w:rFonts w:ascii="Cambria" w:hAnsi="Cambria" w:cstheme="majorHAnsi"/>
        </w:rPr>
        <w:tab/>
      </w:r>
      <w:r w:rsidRPr="009A0DA6">
        <w:rPr>
          <w:rFonts w:ascii="Cambria" w:hAnsi="Cambria" w:cstheme="majorHAnsi"/>
        </w:rPr>
        <w:tab/>
        <w:t>9.1.11.1</w:t>
      </w:r>
      <w:r w:rsidRPr="009A0DA6">
        <w:rPr>
          <w:rFonts w:ascii="Cambria" w:hAnsi="Cambria" w:cstheme="majorHAnsi"/>
        </w:rPr>
        <w:tab/>
        <w:t>take no further action;</w:t>
      </w:r>
    </w:p>
    <w:p w14:paraId="76D45166"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ind w:left="2552" w:hanging="2552"/>
        <w:rPr>
          <w:rFonts w:ascii="Cambria" w:hAnsi="Cambria" w:cstheme="majorHAnsi"/>
        </w:rPr>
      </w:pPr>
      <w:r w:rsidRPr="009A0DA6">
        <w:rPr>
          <w:rFonts w:ascii="Cambria" w:hAnsi="Cambria" w:cstheme="majorHAnsi"/>
        </w:rPr>
        <w:tab/>
      </w:r>
      <w:r w:rsidRPr="009A0DA6">
        <w:rPr>
          <w:rFonts w:ascii="Cambria" w:hAnsi="Cambria" w:cstheme="majorHAnsi"/>
        </w:rPr>
        <w:tab/>
        <w:t>9.1.11.2</w:t>
      </w:r>
      <w:r w:rsidRPr="009A0DA6">
        <w:rPr>
          <w:rFonts w:ascii="Cambria" w:hAnsi="Cambria" w:cstheme="majorHAnsi"/>
        </w:rPr>
        <w:tab/>
        <w:t>warn the Member;</w:t>
      </w:r>
    </w:p>
    <w:p w14:paraId="4A43AE2A"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ind w:left="2552" w:hanging="2552"/>
        <w:rPr>
          <w:rFonts w:ascii="Cambria" w:hAnsi="Cambria" w:cstheme="majorHAnsi"/>
        </w:rPr>
      </w:pPr>
      <w:r w:rsidRPr="009A0DA6">
        <w:rPr>
          <w:rFonts w:ascii="Cambria" w:hAnsi="Cambria" w:cstheme="majorHAnsi"/>
        </w:rPr>
        <w:tab/>
      </w:r>
      <w:r w:rsidRPr="009A0DA6">
        <w:rPr>
          <w:rFonts w:ascii="Cambria" w:hAnsi="Cambria" w:cstheme="majorHAnsi"/>
        </w:rPr>
        <w:tab/>
        <w:t>9.1.11.3</w:t>
      </w:r>
      <w:r w:rsidRPr="009A0DA6">
        <w:rPr>
          <w:rFonts w:ascii="Cambria" w:hAnsi="Cambria" w:cstheme="majorHAnsi"/>
        </w:rPr>
        <w:tab/>
        <w:t>suspend the Member’s rights as a Member for a period of no more than 12 months;</w:t>
      </w:r>
    </w:p>
    <w:p w14:paraId="217D61B1"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ind w:left="2552" w:hanging="2552"/>
        <w:rPr>
          <w:rFonts w:ascii="Cambria" w:hAnsi="Cambria" w:cstheme="majorHAnsi"/>
        </w:rPr>
      </w:pPr>
      <w:r w:rsidRPr="009A0DA6">
        <w:rPr>
          <w:rFonts w:ascii="Cambria" w:hAnsi="Cambria" w:cstheme="majorHAnsi"/>
        </w:rPr>
        <w:tab/>
      </w:r>
      <w:r w:rsidRPr="009A0DA6">
        <w:rPr>
          <w:rFonts w:ascii="Cambria" w:hAnsi="Cambria" w:cstheme="majorHAnsi"/>
        </w:rPr>
        <w:tab/>
        <w:t>9.1.11.4</w:t>
      </w:r>
      <w:r w:rsidRPr="009A0DA6">
        <w:rPr>
          <w:rFonts w:ascii="Cambria" w:hAnsi="Cambria" w:cstheme="majorHAnsi"/>
        </w:rPr>
        <w:tab/>
        <w:t xml:space="preserve">recommend that the General Church Council expel the Member; </w:t>
      </w:r>
    </w:p>
    <w:p w14:paraId="6219945F"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ind w:left="2552" w:hanging="2552"/>
        <w:rPr>
          <w:rFonts w:ascii="Cambria" w:hAnsi="Cambria" w:cstheme="majorHAnsi"/>
        </w:rPr>
      </w:pPr>
      <w:r w:rsidRPr="009A0DA6">
        <w:rPr>
          <w:rFonts w:ascii="Cambria" w:hAnsi="Cambria" w:cstheme="majorHAnsi"/>
        </w:rPr>
        <w:lastRenderedPageBreak/>
        <w:tab/>
      </w:r>
      <w:r w:rsidRPr="009A0DA6">
        <w:rPr>
          <w:rFonts w:ascii="Cambria" w:hAnsi="Cambria" w:cstheme="majorHAnsi"/>
        </w:rPr>
        <w:tab/>
        <w:t>9.1.11.5</w:t>
      </w:r>
      <w:r w:rsidRPr="009A0DA6">
        <w:rPr>
          <w:rFonts w:ascii="Cambria" w:hAnsi="Cambria" w:cstheme="majorHAnsi"/>
        </w:rPr>
        <w:tab/>
        <w:t>refer the decision to an unbiased, independent person on conditions that the Directors consider appropriate, however, the person can only make a decision that the Directors could have made under this clause;  or</w:t>
      </w:r>
    </w:p>
    <w:p w14:paraId="0A5DEEE2"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ind w:left="2552" w:hanging="2552"/>
        <w:rPr>
          <w:rFonts w:ascii="Cambria" w:hAnsi="Cambria" w:cstheme="majorHAnsi"/>
        </w:rPr>
      </w:pPr>
      <w:r w:rsidRPr="009A0DA6">
        <w:rPr>
          <w:rFonts w:ascii="Cambria" w:hAnsi="Cambria" w:cstheme="majorHAnsi"/>
        </w:rPr>
        <w:tab/>
      </w:r>
      <w:r w:rsidRPr="009A0DA6">
        <w:rPr>
          <w:rFonts w:ascii="Cambria" w:hAnsi="Cambria" w:cstheme="majorHAnsi"/>
        </w:rPr>
        <w:tab/>
        <w:t>9.1.11.6</w:t>
      </w:r>
      <w:r w:rsidRPr="009A0DA6">
        <w:rPr>
          <w:rFonts w:ascii="Cambria" w:hAnsi="Cambria" w:cstheme="majorHAnsi"/>
        </w:rPr>
        <w:tab/>
        <w:t>require the matter to be determined at a general</w:t>
      </w:r>
      <w:r w:rsidRPr="009A0DA6">
        <w:rPr>
          <w:rFonts w:ascii="Cambria" w:hAnsi="Cambria" w:cstheme="majorHAnsi"/>
          <w:b/>
        </w:rPr>
        <w:t xml:space="preserve"> </w:t>
      </w:r>
      <w:r w:rsidRPr="009A0DA6">
        <w:rPr>
          <w:rFonts w:ascii="Cambria" w:hAnsi="Cambria" w:cstheme="majorHAnsi"/>
        </w:rPr>
        <w:t>meeting.</w:t>
      </w:r>
    </w:p>
    <w:p w14:paraId="50A21CEE" w14:textId="77777777" w:rsidR="001B46FC" w:rsidRPr="009A0DA6" w:rsidRDefault="001B46FC" w:rsidP="001B46FC">
      <w:pPr>
        <w:pStyle w:val="ACNCproformasublist"/>
        <w:numPr>
          <w:ilvl w:val="0"/>
          <w:numId w:val="0"/>
        </w:numPr>
        <w:tabs>
          <w:tab w:val="left" w:pos="709"/>
          <w:tab w:val="left" w:pos="1559"/>
          <w:tab w:val="left" w:pos="2552"/>
          <w:tab w:val="left" w:pos="3544"/>
          <w:tab w:val="left" w:pos="4820"/>
        </w:tabs>
        <w:ind w:left="1559" w:hanging="1559"/>
        <w:contextualSpacing w:val="0"/>
        <w:outlineLvl w:val="9"/>
        <w:rPr>
          <w:rFonts w:ascii="Cambria" w:hAnsi="Cambria" w:cstheme="majorHAnsi"/>
        </w:rPr>
      </w:pPr>
      <w:r w:rsidRPr="009A0DA6">
        <w:rPr>
          <w:rFonts w:ascii="Cambria" w:hAnsi="Cambria" w:cstheme="majorHAnsi"/>
        </w:rPr>
        <w:tab/>
        <w:t>9.1.12</w:t>
      </w:r>
      <w:r w:rsidRPr="009A0DA6">
        <w:rPr>
          <w:rFonts w:ascii="Cambria" w:hAnsi="Cambria" w:cstheme="majorHAnsi"/>
        </w:rPr>
        <w:tab/>
        <w:t>The Directors cannot fine a Member.</w:t>
      </w:r>
    </w:p>
    <w:p w14:paraId="763CC594" w14:textId="77777777" w:rsidR="001B46FC" w:rsidRPr="009A0DA6" w:rsidRDefault="001B46FC" w:rsidP="001B46FC">
      <w:pPr>
        <w:pStyle w:val="ACNCproformasublist"/>
        <w:numPr>
          <w:ilvl w:val="0"/>
          <w:numId w:val="0"/>
        </w:numPr>
        <w:tabs>
          <w:tab w:val="left" w:pos="709"/>
          <w:tab w:val="left" w:pos="1559"/>
          <w:tab w:val="left" w:pos="2552"/>
          <w:tab w:val="left" w:pos="3544"/>
          <w:tab w:val="left" w:pos="4820"/>
        </w:tabs>
        <w:ind w:left="1559" w:hanging="1559"/>
        <w:contextualSpacing w:val="0"/>
        <w:outlineLvl w:val="9"/>
        <w:rPr>
          <w:rFonts w:ascii="Cambria" w:hAnsi="Cambria" w:cstheme="majorHAnsi"/>
        </w:rPr>
      </w:pPr>
      <w:r w:rsidRPr="009A0DA6">
        <w:rPr>
          <w:rFonts w:ascii="Cambria" w:hAnsi="Cambria" w:cstheme="majorHAnsi"/>
        </w:rPr>
        <w:tab/>
        <w:t>9.1.13</w:t>
      </w:r>
      <w:r w:rsidRPr="009A0DA6">
        <w:rPr>
          <w:rFonts w:ascii="Cambria" w:hAnsi="Cambria" w:cstheme="majorHAnsi"/>
        </w:rPr>
        <w:tab/>
        <w:t>The Secretary must give written notice to the Member of the decision under Clause 9.1.11 as soon as possible.</w:t>
      </w:r>
    </w:p>
    <w:p w14:paraId="1474A6EB" w14:textId="77777777" w:rsidR="001B46FC" w:rsidRPr="009A0DA6" w:rsidRDefault="001B46FC" w:rsidP="001B46FC">
      <w:pPr>
        <w:pStyle w:val="ACNCproformasublist"/>
        <w:numPr>
          <w:ilvl w:val="0"/>
          <w:numId w:val="0"/>
        </w:numPr>
        <w:tabs>
          <w:tab w:val="left" w:pos="709"/>
          <w:tab w:val="left" w:pos="1559"/>
          <w:tab w:val="left" w:pos="2552"/>
          <w:tab w:val="left" w:pos="3544"/>
          <w:tab w:val="left" w:pos="4820"/>
        </w:tabs>
        <w:ind w:left="1559" w:hanging="1559"/>
        <w:rPr>
          <w:rFonts w:ascii="Cambria" w:hAnsi="Cambria" w:cstheme="majorHAnsi"/>
        </w:rPr>
      </w:pPr>
      <w:r w:rsidRPr="009A0DA6">
        <w:rPr>
          <w:rFonts w:ascii="Cambria" w:hAnsi="Cambria" w:cstheme="majorHAnsi"/>
        </w:rPr>
        <w:tab/>
      </w:r>
      <w:bookmarkStart w:id="295" w:name="_Toc521575155"/>
      <w:bookmarkStart w:id="296" w:name="_Toc521692705"/>
      <w:bookmarkStart w:id="297" w:name="_Toc521954660"/>
      <w:bookmarkStart w:id="298" w:name="_Toc522395025"/>
      <w:r w:rsidRPr="009A0DA6">
        <w:rPr>
          <w:rFonts w:ascii="Cambria" w:hAnsi="Cambria" w:cstheme="majorHAnsi"/>
        </w:rPr>
        <w:t>9.1.14</w:t>
      </w:r>
      <w:r w:rsidRPr="009A0DA6">
        <w:rPr>
          <w:rFonts w:ascii="Cambria" w:hAnsi="Cambria" w:cstheme="majorHAnsi"/>
        </w:rPr>
        <w:tab/>
        <w:t>Disciplinary procedures must be completed as soon as reasonably practical.</w:t>
      </w:r>
      <w:bookmarkEnd w:id="295"/>
      <w:bookmarkEnd w:id="296"/>
      <w:bookmarkEnd w:id="297"/>
      <w:bookmarkEnd w:id="298"/>
    </w:p>
    <w:p w14:paraId="5A344B6E" w14:textId="77777777" w:rsidR="001B46FC" w:rsidRPr="009A0DA6" w:rsidRDefault="001B46FC" w:rsidP="001B46FC">
      <w:pPr>
        <w:pStyle w:val="ACNCproformasublist"/>
        <w:numPr>
          <w:ilvl w:val="0"/>
          <w:numId w:val="0"/>
        </w:numPr>
        <w:tabs>
          <w:tab w:val="left" w:pos="709"/>
          <w:tab w:val="left" w:pos="1559"/>
          <w:tab w:val="left" w:pos="2552"/>
          <w:tab w:val="left" w:pos="3544"/>
          <w:tab w:val="left" w:pos="4820"/>
        </w:tabs>
        <w:suppressAutoHyphens w:val="0"/>
        <w:ind w:left="1559" w:hanging="1559"/>
        <w:outlineLvl w:val="9"/>
        <w:rPr>
          <w:rFonts w:ascii="Cambria" w:hAnsi="Cambria" w:cstheme="majorHAnsi"/>
        </w:rPr>
      </w:pPr>
      <w:bookmarkStart w:id="299" w:name="_Ref392595874"/>
      <w:r w:rsidRPr="009A0DA6">
        <w:rPr>
          <w:rFonts w:ascii="Cambria" w:hAnsi="Cambria" w:cstheme="majorHAnsi"/>
        </w:rPr>
        <w:tab/>
        <w:t>9.1.15</w:t>
      </w:r>
      <w:r w:rsidRPr="009A0DA6">
        <w:rPr>
          <w:rFonts w:ascii="Cambria" w:hAnsi="Cambria" w:cstheme="majorHAnsi"/>
        </w:rPr>
        <w:tab/>
        <w:t>There will be no liability for any loss or injury suffered by the Member as a result of any decision made in good faith under this clause.</w:t>
      </w:r>
      <w:bookmarkEnd w:id="299"/>
    </w:p>
    <w:p w14:paraId="233E8E6F" w14:textId="77777777" w:rsidR="001B46FC" w:rsidRPr="009A0DA6" w:rsidRDefault="001B46FC" w:rsidP="001B46FC">
      <w:pPr>
        <w:spacing w:before="120"/>
        <w:rPr>
          <w:rFonts w:ascii="Cambria" w:hAnsi="Cambria"/>
          <w:b/>
        </w:rPr>
      </w:pPr>
      <w:r w:rsidRPr="009A0DA6">
        <w:rPr>
          <w:rFonts w:ascii="Cambria" w:hAnsi="Cambria"/>
          <w:b/>
        </w:rPr>
        <w:t>Article 10</w:t>
      </w:r>
      <w:r w:rsidRPr="009A0DA6">
        <w:rPr>
          <w:rFonts w:ascii="Cambria" w:hAnsi="Cambria"/>
          <w:b/>
        </w:rPr>
        <w:tab/>
        <w:t>Meetings</w:t>
      </w:r>
    </w:p>
    <w:p w14:paraId="31EAF923"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rPr>
          <w:rFonts w:ascii="Cambria" w:hAnsi="Cambria" w:cstheme="majorHAnsi"/>
        </w:rPr>
      </w:pPr>
      <w:r w:rsidRPr="009A0DA6">
        <w:rPr>
          <w:rFonts w:ascii="Cambria" w:hAnsi="Cambria" w:cstheme="majorHAnsi"/>
        </w:rPr>
        <w:t>10.1</w:t>
      </w:r>
      <w:r w:rsidRPr="009A0DA6">
        <w:rPr>
          <w:rFonts w:ascii="Cambria" w:hAnsi="Cambria" w:cstheme="majorHAnsi"/>
        </w:rPr>
        <w:tab/>
      </w:r>
      <w:r w:rsidRPr="009A0DA6">
        <w:rPr>
          <w:rFonts w:ascii="Cambria" w:hAnsi="Cambria" w:cstheme="majorHAnsi"/>
          <w:u w:val="single"/>
        </w:rPr>
        <w:t>General meetings of the College</w:t>
      </w:r>
    </w:p>
    <w:p w14:paraId="1E649220"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ind w:left="1559" w:hanging="1559"/>
        <w:rPr>
          <w:rFonts w:ascii="Cambria" w:hAnsi="Cambria" w:cstheme="majorHAnsi"/>
        </w:rPr>
      </w:pPr>
      <w:r w:rsidRPr="009A0DA6">
        <w:rPr>
          <w:rFonts w:ascii="Cambria" w:hAnsi="Cambria" w:cstheme="majorHAnsi"/>
        </w:rPr>
        <w:tab/>
        <w:t>10.1.1</w:t>
      </w:r>
      <w:r w:rsidRPr="009A0DA6">
        <w:rPr>
          <w:rFonts w:ascii="Cambria" w:hAnsi="Cambria" w:cstheme="majorHAnsi"/>
        </w:rPr>
        <w:tab/>
        <w:t>General meetings may be called by</w:t>
      </w:r>
    </w:p>
    <w:p w14:paraId="1346AA5F"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ind w:left="2552" w:hanging="2552"/>
        <w:rPr>
          <w:rFonts w:ascii="Cambria" w:hAnsi="Cambria" w:cstheme="majorHAnsi"/>
        </w:rPr>
      </w:pPr>
      <w:r w:rsidRPr="009A0DA6">
        <w:rPr>
          <w:rFonts w:ascii="Cambria" w:hAnsi="Cambria" w:cstheme="majorHAnsi"/>
        </w:rPr>
        <w:tab/>
      </w:r>
      <w:r w:rsidRPr="009A0DA6">
        <w:rPr>
          <w:rFonts w:ascii="Cambria" w:hAnsi="Cambria" w:cstheme="majorHAnsi"/>
        </w:rPr>
        <w:tab/>
        <w:t>10.1.1.1</w:t>
      </w:r>
      <w:r w:rsidRPr="009A0DA6">
        <w:rPr>
          <w:rFonts w:ascii="Cambria" w:hAnsi="Cambria" w:cstheme="majorHAnsi"/>
        </w:rPr>
        <w:tab/>
        <w:t>the Chair;  or</w:t>
      </w:r>
    </w:p>
    <w:p w14:paraId="1902C2B3"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ind w:left="2552" w:hanging="2552"/>
        <w:rPr>
          <w:rFonts w:ascii="Cambria" w:hAnsi="Cambria" w:cstheme="majorHAnsi"/>
        </w:rPr>
      </w:pPr>
      <w:r w:rsidRPr="009A0DA6">
        <w:rPr>
          <w:rFonts w:ascii="Cambria" w:hAnsi="Cambria" w:cstheme="majorHAnsi"/>
        </w:rPr>
        <w:tab/>
      </w:r>
      <w:r w:rsidRPr="009A0DA6">
        <w:rPr>
          <w:rFonts w:ascii="Cambria" w:hAnsi="Cambria" w:cstheme="majorHAnsi"/>
        </w:rPr>
        <w:tab/>
        <w:t>10.1.1.2</w:t>
      </w:r>
      <w:r w:rsidRPr="009A0DA6">
        <w:rPr>
          <w:rFonts w:ascii="Cambria" w:hAnsi="Cambria" w:cstheme="majorHAnsi"/>
        </w:rPr>
        <w:tab/>
        <w:t>two [2] Directors.</w:t>
      </w:r>
    </w:p>
    <w:p w14:paraId="19F40BBF" w14:textId="77777777" w:rsidR="001B46FC" w:rsidRPr="009A0DA6" w:rsidRDefault="001B46FC" w:rsidP="001B46FC">
      <w:pPr>
        <w:pStyle w:val="ACNCproformasublist"/>
        <w:numPr>
          <w:ilvl w:val="0"/>
          <w:numId w:val="0"/>
        </w:numPr>
        <w:tabs>
          <w:tab w:val="left" w:pos="709"/>
          <w:tab w:val="left" w:pos="1559"/>
          <w:tab w:val="left" w:pos="2552"/>
          <w:tab w:val="left" w:pos="3544"/>
          <w:tab w:val="left" w:pos="4820"/>
        </w:tabs>
        <w:ind w:left="1559" w:hanging="1559"/>
        <w:rPr>
          <w:rFonts w:ascii="Cambria" w:hAnsi="Cambria" w:cstheme="majorHAnsi"/>
        </w:rPr>
      </w:pPr>
      <w:r w:rsidRPr="009A0DA6">
        <w:rPr>
          <w:rFonts w:ascii="Cambria" w:hAnsi="Cambria" w:cstheme="majorHAnsi"/>
        </w:rPr>
        <w:tab/>
      </w:r>
      <w:bookmarkStart w:id="300" w:name="_Toc521575156"/>
      <w:bookmarkStart w:id="301" w:name="_Toc521692706"/>
      <w:bookmarkStart w:id="302" w:name="_Toc521954661"/>
      <w:bookmarkStart w:id="303" w:name="_Toc522395026"/>
      <w:r w:rsidRPr="009A0DA6">
        <w:rPr>
          <w:rFonts w:ascii="Cambria" w:hAnsi="Cambria" w:cstheme="majorHAnsi"/>
        </w:rPr>
        <w:t>10.1.2</w:t>
      </w:r>
      <w:bookmarkStart w:id="304" w:name="_Ref391974405"/>
      <w:r w:rsidRPr="009A0DA6">
        <w:rPr>
          <w:rFonts w:ascii="Cambria" w:hAnsi="Cambria" w:cstheme="majorHAnsi"/>
        </w:rPr>
        <w:tab/>
        <w:t>For a general meeting</w:t>
      </w:r>
      <w:r w:rsidRPr="009A0DA6">
        <w:rPr>
          <w:rFonts w:ascii="Cambria" w:hAnsi="Cambria" w:cstheme="majorHAnsi"/>
          <w:b/>
        </w:rPr>
        <w:t xml:space="preserve"> </w:t>
      </w:r>
      <w:r w:rsidRPr="009A0DA6">
        <w:rPr>
          <w:rFonts w:ascii="Cambria" w:hAnsi="Cambria" w:cstheme="majorHAnsi"/>
        </w:rPr>
        <w:t>to be held,</w:t>
      </w:r>
      <w:bookmarkEnd w:id="300"/>
      <w:bookmarkEnd w:id="301"/>
      <w:bookmarkEnd w:id="302"/>
      <w:bookmarkEnd w:id="303"/>
    </w:p>
    <w:p w14:paraId="42735323" w14:textId="77777777" w:rsidR="001B46FC" w:rsidRPr="009A0DA6" w:rsidRDefault="001B46FC" w:rsidP="001B46FC">
      <w:pPr>
        <w:pStyle w:val="ACNCproformasublist"/>
        <w:numPr>
          <w:ilvl w:val="0"/>
          <w:numId w:val="0"/>
        </w:numPr>
        <w:tabs>
          <w:tab w:val="left" w:pos="709"/>
          <w:tab w:val="left" w:pos="1559"/>
          <w:tab w:val="left" w:pos="2552"/>
          <w:tab w:val="left" w:pos="3544"/>
          <w:tab w:val="left" w:pos="4820"/>
        </w:tabs>
        <w:ind w:left="2552" w:hanging="2552"/>
        <w:rPr>
          <w:rFonts w:ascii="Cambria" w:hAnsi="Cambria" w:cstheme="majorHAnsi"/>
        </w:rPr>
      </w:pPr>
      <w:r w:rsidRPr="009A0DA6">
        <w:rPr>
          <w:rFonts w:ascii="Cambria" w:hAnsi="Cambria" w:cstheme="majorHAnsi"/>
        </w:rPr>
        <w:tab/>
      </w:r>
      <w:r w:rsidRPr="009A0DA6">
        <w:rPr>
          <w:rFonts w:ascii="Cambria" w:hAnsi="Cambria" w:cstheme="majorHAnsi"/>
        </w:rPr>
        <w:tab/>
      </w:r>
      <w:bookmarkStart w:id="305" w:name="_Toc521575157"/>
      <w:bookmarkStart w:id="306" w:name="_Toc521692707"/>
      <w:bookmarkStart w:id="307" w:name="_Toc521954662"/>
      <w:bookmarkStart w:id="308" w:name="_Toc522395027"/>
      <w:r w:rsidRPr="009A0DA6">
        <w:rPr>
          <w:rFonts w:ascii="Cambria" w:hAnsi="Cambria" w:cstheme="majorHAnsi"/>
        </w:rPr>
        <w:t>10.1.2.1</w:t>
      </w:r>
      <w:r w:rsidRPr="009A0DA6">
        <w:rPr>
          <w:rFonts w:ascii="Cambria" w:hAnsi="Cambria" w:cstheme="majorHAnsi"/>
        </w:rPr>
        <w:tab/>
        <w:t>a written request must be submitted to the College;</w:t>
      </w:r>
      <w:bookmarkEnd w:id="305"/>
      <w:bookmarkEnd w:id="306"/>
      <w:bookmarkEnd w:id="307"/>
      <w:bookmarkEnd w:id="308"/>
    </w:p>
    <w:p w14:paraId="5D493AC2" w14:textId="77777777" w:rsidR="001B46FC" w:rsidRPr="009A0DA6" w:rsidRDefault="001B46FC" w:rsidP="001B46FC">
      <w:pPr>
        <w:pStyle w:val="ACNCproformasublist"/>
        <w:numPr>
          <w:ilvl w:val="0"/>
          <w:numId w:val="0"/>
        </w:numPr>
        <w:tabs>
          <w:tab w:val="left" w:pos="709"/>
          <w:tab w:val="left" w:pos="1559"/>
          <w:tab w:val="left" w:pos="2552"/>
          <w:tab w:val="left" w:pos="3544"/>
          <w:tab w:val="left" w:pos="4820"/>
        </w:tabs>
        <w:ind w:left="2552" w:hanging="2552"/>
        <w:rPr>
          <w:rFonts w:ascii="Cambria" w:hAnsi="Cambria" w:cstheme="majorHAnsi"/>
        </w:rPr>
      </w:pPr>
      <w:r w:rsidRPr="009A0DA6">
        <w:rPr>
          <w:rFonts w:ascii="Cambria" w:hAnsi="Cambria" w:cstheme="majorHAnsi"/>
        </w:rPr>
        <w:tab/>
      </w:r>
      <w:r w:rsidRPr="009A0DA6">
        <w:rPr>
          <w:rFonts w:ascii="Cambria" w:hAnsi="Cambria" w:cstheme="majorHAnsi"/>
        </w:rPr>
        <w:tab/>
      </w:r>
      <w:bookmarkStart w:id="309" w:name="_Toc521575158"/>
      <w:bookmarkStart w:id="310" w:name="_Toc521692708"/>
      <w:bookmarkStart w:id="311" w:name="_Toc521954663"/>
      <w:bookmarkStart w:id="312" w:name="_Toc522395028"/>
      <w:r w:rsidRPr="009A0DA6">
        <w:rPr>
          <w:rFonts w:ascii="Cambria" w:hAnsi="Cambria" w:cstheme="majorHAnsi"/>
        </w:rPr>
        <w:t>10.1.2.2</w:t>
      </w:r>
      <w:bookmarkEnd w:id="304"/>
      <w:r w:rsidRPr="009A0DA6">
        <w:rPr>
          <w:rFonts w:ascii="Cambria" w:hAnsi="Cambria" w:cstheme="majorHAnsi"/>
        </w:rPr>
        <w:t xml:space="preserve"> </w:t>
      </w:r>
      <w:r w:rsidRPr="009A0DA6">
        <w:rPr>
          <w:rFonts w:ascii="Cambria" w:hAnsi="Cambria" w:cstheme="majorHAnsi"/>
        </w:rPr>
        <w:tab/>
        <w:t>within 21 days of the request, give all Directors notice of the request for a general meeting;  and</w:t>
      </w:r>
      <w:bookmarkEnd w:id="309"/>
      <w:bookmarkEnd w:id="310"/>
      <w:bookmarkEnd w:id="311"/>
      <w:bookmarkEnd w:id="312"/>
    </w:p>
    <w:p w14:paraId="5D600488" w14:textId="77777777" w:rsidR="001B46FC" w:rsidRPr="009A0DA6" w:rsidRDefault="001B46FC" w:rsidP="001B46FC">
      <w:pPr>
        <w:pStyle w:val="ACNCproformasublist"/>
        <w:numPr>
          <w:ilvl w:val="0"/>
          <w:numId w:val="0"/>
        </w:numPr>
        <w:tabs>
          <w:tab w:val="left" w:pos="709"/>
          <w:tab w:val="left" w:pos="1559"/>
          <w:tab w:val="left" w:pos="2552"/>
          <w:tab w:val="left" w:pos="3544"/>
          <w:tab w:val="left" w:pos="4820"/>
        </w:tabs>
        <w:ind w:left="2552" w:hanging="2552"/>
        <w:rPr>
          <w:rFonts w:ascii="Cambria" w:hAnsi="Cambria" w:cstheme="majorHAnsi"/>
        </w:rPr>
      </w:pPr>
      <w:r w:rsidRPr="009A0DA6">
        <w:rPr>
          <w:rFonts w:ascii="Cambria" w:hAnsi="Cambria" w:cstheme="majorHAnsi"/>
        </w:rPr>
        <w:tab/>
      </w:r>
      <w:r w:rsidRPr="009A0DA6">
        <w:rPr>
          <w:rFonts w:ascii="Cambria" w:hAnsi="Cambria" w:cstheme="majorHAnsi"/>
        </w:rPr>
        <w:tab/>
      </w:r>
      <w:bookmarkStart w:id="313" w:name="_Toc521575159"/>
      <w:bookmarkStart w:id="314" w:name="_Toc521692709"/>
      <w:bookmarkStart w:id="315" w:name="_Toc521954664"/>
      <w:bookmarkStart w:id="316" w:name="_Toc522395029"/>
      <w:r w:rsidRPr="009A0DA6">
        <w:rPr>
          <w:rFonts w:ascii="Cambria" w:hAnsi="Cambria" w:cstheme="majorHAnsi"/>
        </w:rPr>
        <w:t>10.1.2.3</w:t>
      </w:r>
      <w:r w:rsidRPr="009A0DA6">
        <w:rPr>
          <w:rFonts w:ascii="Cambria" w:hAnsi="Cambria" w:cstheme="majorHAnsi"/>
        </w:rPr>
        <w:tab/>
        <w:t>hold the general meeting within 2 months of the request.</w:t>
      </w:r>
      <w:bookmarkEnd w:id="313"/>
      <w:bookmarkEnd w:id="314"/>
      <w:bookmarkEnd w:id="315"/>
      <w:bookmarkEnd w:id="316"/>
    </w:p>
    <w:p w14:paraId="479AD05D" w14:textId="77777777" w:rsidR="001B46FC" w:rsidRPr="009A0DA6" w:rsidRDefault="001B46FC" w:rsidP="001B46FC">
      <w:pPr>
        <w:tabs>
          <w:tab w:val="left" w:pos="709"/>
          <w:tab w:val="left" w:pos="1559"/>
          <w:tab w:val="left" w:pos="2552"/>
          <w:tab w:val="left" w:pos="3544"/>
          <w:tab w:val="left" w:pos="4820"/>
        </w:tabs>
        <w:spacing w:after="0" w:line="240" w:lineRule="auto"/>
        <w:ind w:left="1559" w:hanging="1559"/>
        <w:rPr>
          <w:rFonts w:ascii="Cambria" w:hAnsi="Cambria" w:cstheme="majorHAnsi"/>
        </w:rPr>
      </w:pPr>
      <w:r w:rsidRPr="009A0DA6">
        <w:rPr>
          <w:rFonts w:ascii="Cambria" w:hAnsi="Cambria" w:cstheme="majorHAnsi"/>
        </w:rPr>
        <w:tab/>
        <w:t>10.1.3</w:t>
      </w:r>
      <w:r w:rsidRPr="009A0DA6">
        <w:rPr>
          <w:rFonts w:ascii="Cambria" w:hAnsi="Cambria" w:cstheme="majorHAnsi"/>
        </w:rPr>
        <w:tab/>
        <w:t>The Directors who make the request for a general meeting must</w:t>
      </w:r>
    </w:p>
    <w:p w14:paraId="19385C66"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ind w:left="2552" w:hanging="2552"/>
        <w:rPr>
          <w:rFonts w:ascii="Cambria" w:hAnsi="Cambria" w:cstheme="majorHAnsi"/>
        </w:rPr>
      </w:pPr>
      <w:r w:rsidRPr="009A0DA6">
        <w:rPr>
          <w:rFonts w:ascii="Cambria" w:hAnsi="Cambria" w:cstheme="majorHAnsi"/>
        </w:rPr>
        <w:tab/>
      </w:r>
      <w:r w:rsidRPr="009A0DA6">
        <w:rPr>
          <w:rFonts w:ascii="Cambria" w:hAnsi="Cambria" w:cstheme="majorHAnsi"/>
        </w:rPr>
        <w:tab/>
        <w:t>10.1.3.1</w:t>
      </w:r>
      <w:r w:rsidRPr="009A0DA6">
        <w:rPr>
          <w:rFonts w:ascii="Cambria" w:hAnsi="Cambria" w:cstheme="majorHAnsi"/>
        </w:rPr>
        <w:tab/>
        <w:t xml:space="preserve">state in the request any motion to be proposed at the meeting; </w:t>
      </w:r>
    </w:p>
    <w:p w14:paraId="223D7C04"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ind w:left="2552" w:hanging="2552"/>
        <w:rPr>
          <w:rFonts w:ascii="Cambria" w:hAnsi="Cambria" w:cstheme="majorHAnsi"/>
        </w:rPr>
      </w:pPr>
      <w:r w:rsidRPr="009A0DA6">
        <w:rPr>
          <w:rFonts w:ascii="Cambria" w:hAnsi="Cambria" w:cstheme="majorHAnsi"/>
        </w:rPr>
        <w:tab/>
      </w:r>
      <w:r w:rsidRPr="009A0DA6">
        <w:rPr>
          <w:rFonts w:ascii="Cambria" w:hAnsi="Cambria" w:cstheme="majorHAnsi"/>
        </w:rPr>
        <w:tab/>
        <w:t>10.1.3.2</w:t>
      </w:r>
      <w:r w:rsidRPr="009A0DA6">
        <w:rPr>
          <w:rFonts w:ascii="Cambria" w:hAnsi="Cambria" w:cstheme="majorHAnsi"/>
        </w:rPr>
        <w:tab/>
        <w:t xml:space="preserve">sign the request;  and </w:t>
      </w:r>
    </w:p>
    <w:p w14:paraId="2BCB5974"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ind w:left="2552" w:hanging="2552"/>
        <w:rPr>
          <w:rFonts w:ascii="Cambria" w:hAnsi="Cambria" w:cstheme="majorHAnsi"/>
        </w:rPr>
      </w:pPr>
      <w:r w:rsidRPr="009A0DA6">
        <w:rPr>
          <w:rFonts w:ascii="Cambria" w:hAnsi="Cambria" w:cstheme="majorHAnsi"/>
        </w:rPr>
        <w:tab/>
      </w:r>
      <w:r w:rsidRPr="009A0DA6">
        <w:rPr>
          <w:rFonts w:ascii="Cambria" w:hAnsi="Cambria" w:cstheme="majorHAnsi"/>
        </w:rPr>
        <w:tab/>
        <w:t>10.1.3.3</w:t>
      </w:r>
      <w:r w:rsidRPr="009A0DA6">
        <w:rPr>
          <w:rFonts w:ascii="Cambria" w:hAnsi="Cambria" w:cstheme="majorHAnsi"/>
        </w:rPr>
        <w:tab/>
        <w:t>give the request to the Secretary.</w:t>
      </w:r>
    </w:p>
    <w:p w14:paraId="3333933B" w14:textId="77777777" w:rsidR="001B46FC" w:rsidRPr="009A0DA6" w:rsidRDefault="001B46FC" w:rsidP="001B46FC">
      <w:pPr>
        <w:tabs>
          <w:tab w:val="left" w:pos="709"/>
          <w:tab w:val="left" w:pos="1559"/>
          <w:tab w:val="left" w:pos="2552"/>
          <w:tab w:val="left" w:pos="3544"/>
          <w:tab w:val="left" w:pos="4820"/>
        </w:tabs>
        <w:spacing w:after="0" w:line="240" w:lineRule="auto"/>
        <w:rPr>
          <w:rFonts w:ascii="Cambria" w:hAnsi="Cambria" w:cstheme="majorHAnsi"/>
        </w:rPr>
      </w:pPr>
      <w:bookmarkStart w:id="317" w:name="_Ref382913911"/>
      <w:r w:rsidRPr="009A0DA6">
        <w:rPr>
          <w:rFonts w:ascii="Cambria" w:hAnsi="Cambria" w:cstheme="majorHAnsi"/>
          <w:bCs/>
        </w:rPr>
        <w:t>10.2</w:t>
      </w:r>
      <w:r w:rsidRPr="009A0DA6">
        <w:rPr>
          <w:rFonts w:ascii="Cambria" w:hAnsi="Cambria" w:cstheme="majorHAnsi"/>
        </w:rPr>
        <w:tab/>
      </w:r>
      <w:bookmarkEnd w:id="317"/>
      <w:r w:rsidRPr="009A0DA6">
        <w:rPr>
          <w:rFonts w:ascii="Cambria" w:hAnsi="Cambria" w:cstheme="majorHAnsi"/>
          <w:u w:val="single"/>
        </w:rPr>
        <w:t>Annual general meeting</w:t>
      </w:r>
      <w:r w:rsidRPr="009A0DA6">
        <w:rPr>
          <w:rFonts w:ascii="Cambria" w:hAnsi="Cambria" w:cstheme="majorHAnsi"/>
        </w:rPr>
        <w:t xml:space="preserve"> </w:t>
      </w:r>
    </w:p>
    <w:p w14:paraId="5CA3FAF9" w14:textId="77777777" w:rsidR="001B46FC" w:rsidRPr="009A0DA6" w:rsidRDefault="001B46FC" w:rsidP="001B46FC">
      <w:pPr>
        <w:tabs>
          <w:tab w:val="left" w:pos="709"/>
          <w:tab w:val="left" w:pos="1559"/>
          <w:tab w:val="left" w:pos="2552"/>
          <w:tab w:val="left" w:pos="3544"/>
          <w:tab w:val="left" w:pos="4820"/>
        </w:tabs>
        <w:spacing w:after="0" w:line="240" w:lineRule="auto"/>
        <w:ind w:left="1559" w:hanging="1559"/>
        <w:rPr>
          <w:rFonts w:ascii="Cambria" w:hAnsi="Cambria" w:cstheme="majorHAnsi"/>
        </w:rPr>
      </w:pPr>
      <w:r w:rsidRPr="009A0DA6">
        <w:rPr>
          <w:rFonts w:ascii="Cambria" w:hAnsi="Cambria" w:cstheme="majorHAnsi"/>
        </w:rPr>
        <w:tab/>
        <w:t>10.2.1</w:t>
      </w:r>
      <w:r w:rsidRPr="009A0DA6">
        <w:rPr>
          <w:rFonts w:ascii="Cambria" w:hAnsi="Cambria" w:cstheme="majorHAnsi"/>
        </w:rPr>
        <w:tab/>
        <w:t>Even if these items are not set out in the notice of meeting, the business of an annual general meeting may include the</w:t>
      </w:r>
    </w:p>
    <w:p w14:paraId="19E019AC"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ind w:left="2552" w:hanging="2552"/>
        <w:rPr>
          <w:rFonts w:ascii="Cambria" w:hAnsi="Cambria" w:cstheme="majorHAnsi"/>
        </w:rPr>
      </w:pPr>
      <w:r w:rsidRPr="009A0DA6">
        <w:rPr>
          <w:rFonts w:ascii="Cambria" w:hAnsi="Cambria" w:cstheme="majorHAnsi"/>
        </w:rPr>
        <w:tab/>
      </w:r>
      <w:r w:rsidRPr="009A0DA6">
        <w:rPr>
          <w:rFonts w:ascii="Cambria" w:hAnsi="Cambria" w:cstheme="majorHAnsi"/>
        </w:rPr>
        <w:tab/>
        <w:t>10.2.1.1</w:t>
      </w:r>
      <w:r w:rsidRPr="009A0DA6">
        <w:rPr>
          <w:rFonts w:ascii="Cambria" w:hAnsi="Cambria" w:cstheme="majorHAnsi"/>
        </w:rPr>
        <w:tab/>
        <w:t>review of the College’s activities;</w:t>
      </w:r>
    </w:p>
    <w:p w14:paraId="45458E96"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ind w:left="2552" w:hanging="2552"/>
        <w:rPr>
          <w:rFonts w:ascii="Cambria" w:hAnsi="Cambria" w:cstheme="majorHAnsi"/>
        </w:rPr>
      </w:pPr>
      <w:r w:rsidRPr="009A0DA6">
        <w:rPr>
          <w:rFonts w:ascii="Cambria" w:hAnsi="Cambria" w:cstheme="majorHAnsi"/>
        </w:rPr>
        <w:tab/>
      </w:r>
      <w:r w:rsidRPr="009A0DA6">
        <w:rPr>
          <w:rFonts w:ascii="Cambria" w:hAnsi="Cambria" w:cstheme="majorHAnsi"/>
        </w:rPr>
        <w:tab/>
        <w:t>10.2.1.2</w:t>
      </w:r>
      <w:r w:rsidRPr="009A0DA6">
        <w:rPr>
          <w:rFonts w:ascii="Cambria" w:hAnsi="Cambria" w:cstheme="majorHAnsi"/>
        </w:rPr>
        <w:tab/>
        <w:t>review of the College’s finances;</w:t>
      </w:r>
    </w:p>
    <w:p w14:paraId="187BE5B0"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ind w:left="2552" w:hanging="2552"/>
        <w:rPr>
          <w:rFonts w:ascii="Cambria" w:hAnsi="Cambria" w:cstheme="majorHAnsi"/>
        </w:rPr>
      </w:pPr>
      <w:r w:rsidRPr="009A0DA6">
        <w:rPr>
          <w:rFonts w:ascii="Cambria" w:hAnsi="Cambria" w:cstheme="majorHAnsi"/>
        </w:rPr>
        <w:tab/>
      </w:r>
      <w:r w:rsidRPr="009A0DA6">
        <w:rPr>
          <w:rFonts w:ascii="Cambria" w:hAnsi="Cambria" w:cstheme="majorHAnsi"/>
        </w:rPr>
        <w:tab/>
        <w:t>10.2.1.3</w:t>
      </w:r>
      <w:r w:rsidRPr="009A0DA6">
        <w:rPr>
          <w:rFonts w:ascii="Cambria" w:hAnsi="Cambria" w:cstheme="majorHAnsi"/>
        </w:rPr>
        <w:tab/>
        <w:t>auditor’s report;</w:t>
      </w:r>
    </w:p>
    <w:p w14:paraId="64275891"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ind w:left="2552" w:hanging="2552"/>
        <w:rPr>
          <w:rFonts w:ascii="Cambria" w:hAnsi="Cambria" w:cstheme="majorHAnsi"/>
        </w:rPr>
      </w:pPr>
      <w:r w:rsidRPr="009A0DA6">
        <w:rPr>
          <w:rFonts w:ascii="Cambria" w:hAnsi="Cambria" w:cstheme="majorHAnsi"/>
        </w:rPr>
        <w:tab/>
      </w:r>
      <w:r w:rsidRPr="009A0DA6">
        <w:rPr>
          <w:rFonts w:ascii="Cambria" w:hAnsi="Cambria" w:cstheme="majorHAnsi"/>
        </w:rPr>
        <w:tab/>
        <w:t>10.2.1.4</w:t>
      </w:r>
      <w:r w:rsidRPr="009A0DA6">
        <w:rPr>
          <w:rFonts w:ascii="Cambria" w:hAnsi="Cambria" w:cstheme="majorHAnsi"/>
        </w:rPr>
        <w:tab/>
        <w:t>election of officers:</w:t>
      </w:r>
    </w:p>
    <w:p w14:paraId="547DA564"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ind w:left="3544" w:hanging="3544"/>
        <w:rPr>
          <w:rFonts w:ascii="Cambria" w:hAnsi="Cambria" w:cstheme="majorHAnsi"/>
        </w:rPr>
      </w:pPr>
      <w:r w:rsidRPr="009A0DA6">
        <w:rPr>
          <w:rFonts w:ascii="Cambria" w:hAnsi="Cambria" w:cstheme="majorHAnsi"/>
        </w:rPr>
        <w:tab/>
      </w:r>
      <w:r w:rsidRPr="009A0DA6">
        <w:rPr>
          <w:rFonts w:ascii="Cambria" w:hAnsi="Cambria" w:cstheme="majorHAnsi"/>
        </w:rPr>
        <w:tab/>
      </w:r>
      <w:r w:rsidRPr="009A0DA6">
        <w:rPr>
          <w:rFonts w:ascii="Cambria" w:hAnsi="Cambria" w:cstheme="majorHAnsi"/>
        </w:rPr>
        <w:tab/>
        <w:t>10.2.1.4.1</w:t>
      </w:r>
      <w:r w:rsidRPr="009A0DA6">
        <w:rPr>
          <w:rFonts w:ascii="Cambria" w:hAnsi="Cambria" w:cstheme="majorHAnsi"/>
        </w:rPr>
        <w:tab/>
        <w:t>Chair;</w:t>
      </w:r>
    </w:p>
    <w:p w14:paraId="733ECAB0"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ind w:left="3544" w:hanging="3544"/>
        <w:rPr>
          <w:rFonts w:ascii="Cambria" w:hAnsi="Cambria" w:cstheme="majorHAnsi"/>
        </w:rPr>
      </w:pPr>
      <w:r w:rsidRPr="009A0DA6">
        <w:rPr>
          <w:rFonts w:ascii="Cambria" w:hAnsi="Cambria" w:cstheme="majorHAnsi"/>
        </w:rPr>
        <w:tab/>
      </w:r>
      <w:r w:rsidRPr="009A0DA6">
        <w:rPr>
          <w:rFonts w:ascii="Cambria" w:hAnsi="Cambria" w:cstheme="majorHAnsi"/>
        </w:rPr>
        <w:tab/>
      </w:r>
      <w:r w:rsidRPr="009A0DA6">
        <w:rPr>
          <w:rFonts w:ascii="Cambria" w:hAnsi="Cambria" w:cstheme="majorHAnsi"/>
        </w:rPr>
        <w:tab/>
        <w:t>10.2.1.4.2</w:t>
      </w:r>
      <w:r w:rsidRPr="009A0DA6">
        <w:rPr>
          <w:rFonts w:ascii="Cambria" w:hAnsi="Cambria" w:cstheme="majorHAnsi"/>
        </w:rPr>
        <w:tab/>
        <w:t>Vice-Chair;</w:t>
      </w:r>
    </w:p>
    <w:p w14:paraId="4AF2A837"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ind w:left="3544" w:hanging="3544"/>
        <w:rPr>
          <w:rFonts w:ascii="Cambria" w:hAnsi="Cambria" w:cstheme="majorHAnsi"/>
        </w:rPr>
      </w:pPr>
      <w:r w:rsidRPr="009A0DA6">
        <w:rPr>
          <w:rFonts w:ascii="Cambria" w:hAnsi="Cambria" w:cstheme="majorHAnsi"/>
        </w:rPr>
        <w:tab/>
      </w:r>
      <w:r w:rsidRPr="009A0DA6">
        <w:rPr>
          <w:rFonts w:ascii="Cambria" w:hAnsi="Cambria" w:cstheme="majorHAnsi"/>
        </w:rPr>
        <w:tab/>
      </w:r>
      <w:r w:rsidRPr="009A0DA6">
        <w:rPr>
          <w:rFonts w:ascii="Cambria" w:hAnsi="Cambria" w:cstheme="majorHAnsi"/>
        </w:rPr>
        <w:tab/>
        <w:t>10.2.1.4.3</w:t>
      </w:r>
      <w:r w:rsidRPr="009A0DA6">
        <w:rPr>
          <w:rFonts w:ascii="Cambria" w:hAnsi="Cambria" w:cstheme="majorHAnsi"/>
        </w:rPr>
        <w:tab/>
        <w:t>Secretary;  and</w:t>
      </w:r>
    </w:p>
    <w:p w14:paraId="5A2C1D92"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ind w:left="2552" w:hanging="2552"/>
        <w:rPr>
          <w:rFonts w:ascii="Cambria" w:hAnsi="Cambria" w:cstheme="majorHAnsi"/>
        </w:rPr>
      </w:pPr>
      <w:r w:rsidRPr="009A0DA6">
        <w:rPr>
          <w:rFonts w:ascii="Cambria" w:hAnsi="Cambria" w:cstheme="majorHAnsi"/>
        </w:rPr>
        <w:tab/>
      </w:r>
      <w:r w:rsidRPr="009A0DA6">
        <w:rPr>
          <w:rFonts w:ascii="Cambria" w:hAnsi="Cambria" w:cstheme="majorHAnsi"/>
        </w:rPr>
        <w:tab/>
        <w:t>10.2.1.5</w:t>
      </w:r>
      <w:r w:rsidRPr="009A0DA6">
        <w:rPr>
          <w:rFonts w:ascii="Cambria" w:hAnsi="Cambria" w:cstheme="majorHAnsi"/>
        </w:rPr>
        <w:tab/>
        <w:t>appointment and remuneration of the auditor.</w:t>
      </w:r>
    </w:p>
    <w:p w14:paraId="697750D7" w14:textId="77777777" w:rsidR="001B46FC" w:rsidRPr="009A0DA6" w:rsidRDefault="001B46FC" w:rsidP="001B46FC">
      <w:pPr>
        <w:tabs>
          <w:tab w:val="left" w:pos="709"/>
          <w:tab w:val="left" w:pos="1559"/>
          <w:tab w:val="left" w:pos="2552"/>
          <w:tab w:val="left" w:pos="3544"/>
          <w:tab w:val="left" w:pos="4820"/>
        </w:tabs>
        <w:spacing w:after="0" w:line="240" w:lineRule="auto"/>
        <w:ind w:left="1559" w:hanging="1559"/>
        <w:rPr>
          <w:rFonts w:ascii="Cambria" w:hAnsi="Cambria" w:cstheme="majorHAnsi"/>
        </w:rPr>
      </w:pPr>
      <w:bookmarkStart w:id="318" w:name="_Ref382914004"/>
      <w:r w:rsidRPr="009A0DA6">
        <w:rPr>
          <w:rFonts w:ascii="Cambria" w:hAnsi="Cambria" w:cstheme="majorHAnsi"/>
        </w:rPr>
        <w:tab/>
        <w:t>10.2.3</w:t>
      </w:r>
      <w:r w:rsidRPr="009A0DA6">
        <w:rPr>
          <w:rFonts w:ascii="Cambria" w:hAnsi="Cambria" w:cstheme="majorHAnsi"/>
        </w:rPr>
        <w:tab/>
        <w:t>Before or at the annual general meeting, the Members must be given information on the College’s activities and finances during the period since the last annual general meeting</w:t>
      </w:r>
      <w:bookmarkStart w:id="319" w:name="_Ref391988482"/>
      <w:r w:rsidRPr="009A0DA6">
        <w:rPr>
          <w:rFonts w:ascii="Cambria" w:hAnsi="Cambria" w:cstheme="majorHAnsi"/>
        </w:rPr>
        <w:t>.</w:t>
      </w:r>
    </w:p>
    <w:p w14:paraId="21652A0A" w14:textId="77777777" w:rsidR="001B46FC" w:rsidRPr="009A0DA6" w:rsidRDefault="001B46FC" w:rsidP="001B46FC">
      <w:pPr>
        <w:tabs>
          <w:tab w:val="left" w:pos="709"/>
          <w:tab w:val="left" w:pos="1559"/>
          <w:tab w:val="left" w:pos="2552"/>
          <w:tab w:val="left" w:pos="3544"/>
          <w:tab w:val="left" w:pos="4820"/>
        </w:tabs>
        <w:spacing w:after="0" w:line="240" w:lineRule="auto"/>
        <w:ind w:left="1559" w:hanging="1559"/>
        <w:rPr>
          <w:rFonts w:ascii="Cambria" w:hAnsi="Cambria" w:cstheme="majorHAnsi"/>
        </w:rPr>
      </w:pPr>
      <w:r w:rsidRPr="009A0DA6">
        <w:rPr>
          <w:rFonts w:ascii="Cambria" w:hAnsi="Cambria" w:cstheme="majorHAnsi"/>
        </w:rPr>
        <w:tab/>
        <w:t>10.2.4</w:t>
      </w:r>
      <w:r w:rsidRPr="009A0DA6">
        <w:rPr>
          <w:rFonts w:ascii="Cambria" w:hAnsi="Cambria" w:cstheme="majorHAnsi"/>
        </w:rPr>
        <w:tab/>
        <w:t xml:space="preserve">The Chair of the annual general meeting must give Members as a whole a reasonable opportunity at the meeting to ask questions or make comments about the management of the </w:t>
      </w:r>
      <w:bookmarkEnd w:id="318"/>
      <w:bookmarkEnd w:id="319"/>
      <w:r w:rsidRPr="009A0DA6">
        <w:rPr>
          <w:rFonts w:ascii="Cambria" w:hAnsi="Cambria" w:cstheme="majorHAnsi"/>
        </w:rPr>
        <w:t>College.</w:t>
      </w:r>
    </w:p>
    <w:p w14:paraId="410A849E" w14:textId="77777777" w:rsidR="001B46FC" w:rsidRPr="009A0DA6" w:rsidRDefault="001B46FC" w:rsidP="001B46FC">
      <w:pPr>
        <w:tabs>
          <w:tab w:val="left" w:pos="709"/>
          <w:tab w:val="left" w:pos="1559"/>
          <w:tab w:val="left" w:pos="2552"/>
          <w:tab w:val="left" w:pos="3544"/>
          <w:tab w:val="left" w:pos="4820"/>
        </w:tabs>
        <w:spacing w:after="0" w:line="240" w:lineRule="auto"/>
        <w:rPr>
          <w:rFonts w:ascii="Cambria" w:hAnsi="Cambria" w:cstheme="majorHAnsi"/>
        </w:rPr>
      </w:pPr>
      <w:bookmarkStart w:id="320" w:name="_Ref362951326"/>
      <w:r w:rsidRPr="009A0DA6">
        <w:rPr>
          <w:rFonts w:ascii="Cambria" w:hAnsi="Cambria" w:cstheme="majorHAnsi"/>
          <w:bCs/>
        </w:rPr>
        <w:t>10.3</w:t>
      </w:r>
      <w:r w:rsidRPr="009A0DA6">
        <w:rPr>
          <w:rFonts w:ascii="Cambria" w:hAnsi="Cambria" w:cstheme="majorHAnsi"/>
        </w:rPr>
        <w:tab/>
      </w:r>
      <w:r w:rsidRPr="009A0DA6">
        <w:rPr>
          <w:rFonts w:ascii="Cambria" w:hAnsi="Cambria" w:cstheme="majorHAnsi"/>
          <w:u w:val="single"/>
        </w:rPr>
        <w:t>Notice of general meetings</w:t>
      </w:r>
      <w:bookmarkEnd w:id="320"/>
    </w:p>
    <w:p w14:paraId="4B8E8A13" w14:textId="77777777" w:rsidR="001B46FC" w:rsidRPr="009A0DA6" w:rsidRDefault="001B46FC" w:rsidP="001B46FC">
      <w:pPr>
        <w:tabs>
          <w:tab w:val="left" w:pos="709"/>
          <w:tab w:val="left" w:pos="1559"/>
          <w:tab w:val="left" w:pos="2552"/>
          <w:tab w:val="left" w:pos="3544"/>
          <w:tab w:val="left" w:pos="4820"/>
        </w:tabs>
        <w:spacing w:after="0" w:line="240" w:lineRule="auto"/>
        <w:rPr>
          <w:rFonts w:ascii="Cambria" w:hAnsi="Cambria" w:cstheme="majorHAnsi"/>
          <w:bCs/>
        </w:rPr>
      </w:pPr>
      <w:r w:rsidRPr="009A0DA6">
        <w:rPr>
          <w:rFonts w:ascii="Cambria" w:hAnsi="Cambria" w:cstheme="majorHAnsi"/>
          <w:bCs/>
        </w:rPr>
        <w:tab/>
        <w:t>10.3.1</w:t>
      </w:r>
      <w:r w:rsidRPr="009A0DA6">
        <w:rPr>
          <w:rFonts w:ascii="Cambria" w:hAnsi="Cambria" w:cstheme="majorHAnsi"/>
          <w:bCs/>
        </w:rPr>
        <w:tab/>
        <w:t>Notice of a general meeting must be given to</w:t>
      </w:r>
    </w:p>
    <w:p w14:paraId="3653CB3A" w14:textId="77777777" w:rsidR="001B46FC" w:rsidRPr="009A0DA6" w:rsidRDefault="001B46FC" w:rsidP="001B46FC">
      <w:pPr>
        <w:tabs>
          <w:tab w:val="left" w:pos="709"/>
          <w:tab w:val="left" w:pos="1559"/>
          <w:tab w:val="left" w:pos="2552"/>
          <w:tab w:val="left" w:pos="3544"/>
          <w:tab w:val="left" w:pos="4820"/>
        </w:tabs>
        <w:spacing w:after="0" w:line="240" w:lineRule="auto"/>
        <w:rPr>
          <w:rFonts w:ascii="Cambria" w:hAnsi="Cambria" w:cstheme="majorHAnsi"/>
          <w:bCs/>
        </w:rPr>
      </w:pPr>
      <w:r w:rsidRPr="009A0DA6">
        <w:rPr>
          <w:rFonts w:ascii="Cambria" w:hAnsi="Cambria" w:cstheme="majorHAnsi"/>
          <w:bCs/>
        </w:rPr>
        <w:tab/>
      </w:r>
      <w:r w:rsidRPr="009A0DA6">
        <w:rPr>
          <w:rFonts w:ascii="Cambria" w:hAnsi="Cambria" w:cstheme="majorHAnsi"/>
          <w:bCs/>
        </w:rPr>
        <w:tab/>
        <w:t>10.3.1.1</w:t>
      </w:r>
      <w:r w:rsidRPr="009A0DA6">
        <w:rPr>
          <w:rFonts w:ascii="Cambria" w:hAnsi="Cambria" w:cstheme="majorHAnsi"/>
          <w:bCs/>
        </w:rPr>
        <w:tab/>
        <w:t>each Member entitled to vote at the meeting;</w:t>
      </w:r>
    </w:p>
    <w:p w14:paraId="47A83F1F" w14:textId="77777777" w:rsidR="001B46FC" w:rsidRPr="009A0DA6" w:rsidRDefault="001B46FC" w:rsidP="001B46FC">
      <w:pPr>
        <w:tabs>
          <w:tab w:val="left" w:pos="709"/>
          <w:tab w:val="left" w:pos="1559"/>
          <w:tab w:val="left" w:pos="2552"/>
          <w:tab w:val="left" w:pos="3544"/>
          <w:tab w:val="left" w:pos="4820"/>
        </w:tabs>
        <w:spacing w:after="0" w:line="240" w:lineRule="auto"/>
        <w:rPr>
          <w:rFonts w:ascii="Cambria" w:hAnsi="Cambria" w:cstheme="majorHAnsi"/>
          <w:bCs/>
        </w:rPr>
      </w:pPr>
      <w:r w:rsidRPr="009A0DA6">
        <w:rPr>
          <w:rFonts w:ascii="Cambria" w:hAnsi="Cambria" w:cstheme="majorHAnsi"/>
          <w:bCs/>
        </w:rPr>
        <w:tab/>
      </w:r>
      <w:r w:rsidRPr="009A0DA6">
        <w:rPr>
          <w:rFonts w:ascii="Cambria" w:hAnsi="Cambria" w:cstheme="majorHAnsi"/>
          <w:bCs/>
        </w:rPr>
        <w:tab/>
        <w:t>10.3.1.2</w:t>
      </w:r>
      <w:r w:rsidRPr="009A0DA6">
        <w:rPr>
          <w:rFonts w:ascii="Cambria" w:hAnsi="Cambria" w:cstheme="majorHAnsi"/>
          <w:bCs/>
        </w:rPr>
        <w:tab/>
        <w:t xml:space="preserve">each Director;  and </w:t>
      </w:r>
    </w:p>
    <w:p w14:paraId="1C8A53F1" w14:textId="77777777" w:rsidR="001B46FC" w:rsidRPr="009A0DA6" w:rsidRDefault="001B46FC" w:rsidP="001B46FC">
      <w:pPr>
        <w:tabs>
          <w:tab w:val="left" w:pos="709"/>
          <w:tab w:val="left" w:pos="1559"/>
          <w:tab w:val="left" w:pos="2552"/>
          <w:tab w:val="left" w:pos="3544"/>
          <w:tab w:val="left" w:pos="4820"/>
        </w:tabs>
        <w:spacing w:after="0" w:line="240" w:lineRule="auto"/>
        <w:rPr>
          <w:rFonts w:ascii="Cambria" w:hAnsi="Cambria" w:cstheme="majorHAnsi"/>
          <w:bCs/>
        </w:rPr>
      </w:pPr>
      <w:r w:rsidRPr="009A0DA6">
        <w:rPr>
          <w:rFonts w:ascii="Cambria" w:hAnsi="Cambria" w:cstheme="majorHAnsi"/>
          <w:bCs/>
        </w:rPr>
        <w:tab/>
      </w:r>
      <w:r w:rsidRPr="009A0DA6">
        <w:rPr>
          <w:rFonts w:ascii="Cambria" w:hAnsi="Cambria" w:cstheme="majorHAnsi"/>
          <w:bCs/>
        </w:rPr>
        <w:tab/>
        <w:t>10.3.1.3</w:t>
      </w:r>
      <w:r w:rsidRPr="009A0DA6">
        <w:rPr>
          <w:rFonts w:ascii="Cambria" w:hAnsi="Cambria" w:cstheme="majorHAnsi"/>
          <w:bCs/>
        </w:rPr>
        <w:tab/>
        <w:t>the auditor.</w:t>
      </w:r>
    </w:p>
    <w:p w14:paraId="01C30990" w14:textId="77777777" w:rsidR="001B46FC" w:rsidRPr="009A0DA6" w:rsidRDefault="001B46FC" w:rsidP="001B46FC">
      <w:pPr>
        <w:tabs>
          <w:tab w:val="left" w:pos="709"/>
          <w:tab w:val="left" w:pos="1559"/>
          <w:tab w:val="left" w:pos="2552"/>
          <w:tab w:val="left" w:pos="3544"/>
          <w:tab w:val="left" w:pos="4820"/>
        </w:tabs>
        <w:spacing w:after="0" w:line="240" w:lineRule="auto"/>
        <w:ind w:left="1559" w:hanging="1559"/>
        <w:rPr>
          <w:rFonts w:ascii="Cambria" w:hAnsi="Cambria" w:cstheme="majorHAnsi"/>
        </w:rPr>
      </w:pPr>
      <w:r w:rsidRPr="009A0DA6">
        <w:rPr>
          <w:rFonts w:ascii="Cambria" w:hAnsi="Cambria" w:cstheme="majorHAnsi"/>
          <w:bCs/>
        </w:rPr>
        <w:tab/>
        <w:t>10.3.2</w:t>
      </w:r>
      <w:r w:rsidRPr="009A0DA6">
        <w:rPr>
          <w:rFonts w:ascii="Cambria" w:hAnsi="Cambria" w:cstheme="majorHAnsi"/>
          <w:bCs/>
        </w:rPr>
        <w:tab/>
        <w:t>Notice of a general meeting must be provided in writing at least 21 days before the meeting.</w:t>
      </w:r>
    </w:p>
    <w:p w14:paraId="325297F4" w14:textId="77777777" w:rsidR="001B46FC" w:rsidRPr="009A0DA6" w:rsidRDefault="001B46FC" w:rsidP="001B46FC">
      <w:pPr>
        <w:tabs>
          <w:tab w:val="left" w:pos="709"/>
          <w:tab w:val="left" w:pos="1559"/>
          <w:tab w:val="left" w:pos="2552"/>
          <w:tab w:val="left" w:pos="3544"/>
          <w:tab w:val="left" w:pos="4820"/>
        </w:tabs>
        <w:spacing w:after="0" w:line="240" w:lineRule="auto"/>
        <w:rPr>
          <w:rFonts w:ascii="Cambria" w:hAnsi="Cambria" w:cstheme="majorHAnsi"/>
          <w:bCs/>
        </w:rPr>
      </w:pPr>
      <w:r w:rsidRPr="009A0DA6">
        <w:rPr>
          <w:rFonts w:ascii="Cambria" w:hAnsi="Cambria" w:cstheme="majorHAnsi"/>
        </w:rPr>
        <w:tab/>
        <w:t>10.3.3</w:t>
      </w:r>
      <w:r w:rsidRPr="009A0DA6">
        <w:rPr>
          <w:rFonts w:ascii="Cambria" w:hAnsi="Cambria" w:cstheme="majorHAnsi"/>
        </w:rPr>
        <w:tab/>
        <w:t>Notice of a meeting may be provided less than 21 days before the meeting if</w:t>
      </w:r>
    </w:p>
    <w:p w14:paraId="259C3FCA" w14:textId="77777777" w:rsidR="001B46FC" w:rsidRPr="009A0DA6" w:rsidRDefault="001B46FC" w:rsidP="001B46FC">
      <w:pPr>
        <w:tabs>
          <w:tab w:val="left" w:pos="709"/>
          <w:tab w:val="left" w:pos="1559"/>
          <w:tab w:val="left" w:pos="2552"/>
          <w:tab w:val="left" w:pos="3544"/>
          <w:tab w:val="left" w:pos="4820"/>
        </w:tabs>
        <w:spacing w:after="0" w:line="240" w:lineRule="auto"/>
        <w:ind w:left="2552" w:hanging="2552"/>
        <w:rPr>
          <w:rFonts w:ascii="Cambria" w:hAnsi="Cambria" w:cstheme="majorHAnsi"/>
          <w:bCs/>
        </w:rPr>
      </w:pPr>
      <w:r w:rsidRPr="009A0DA6">
        <w:rPr>
          <w:rFonts w:ascii="Cambria" w:hAnsi="Cambria" w:cstheme="majorHAnsi"/>
          <w:bCs/>
        </w:rPr>
        <w:tab/>
      </w:r>
      <w:r w:rsidRPr="009A0DA6">
        <w:rPr>
          <w:rFonts w:ascii="Cambria" w:hAnsi="Cambria" w:cstheme="majorHAnsi"/>
          <w:bCs/>
        </w:rPr>
        <w:tab/>
        <w:t>10.3.3.1</w:t>
      </w:r>
      <w:r w:rsidRPr="009A0DA6">
        <w:rPr>
          <w:rFonts w:ascii="Cambria" w:hAnsi="Cambria" w:cstheme="majorHAnsi"/>
          <w:bCs/>
        </w:rPr>
        <w:tab/>
        <w:t>for an annual general meeting, all the Members entitled to attend and vote at the annual general meeting agree beforehand;  or</w:t>
      </w:r>
    </w:p>
    <w:p w14:paraId="7647F22F" w14:textId="77777777" w:rsidR="001B46FC" w:rsidRPr="009A0DA6" w:rsidRDefault="001B46FC" w:rsidP="001B46FC">
      <w:pPr>
        <w:tabs>
          <w:tab w:val="left" w:pos="709"/>
          <w:tab w:val="left" w:pos="1559"/>
          <w:tab w:val="left" w:pos="2552"/>
          <w:tab w:val="left" w:pos="3544"/>
          <w:tab w:val="left" w:pos="4820"/>
        </w:tabs>
        <w:spacing w:after="0" w:line="240" w:lineRule="auto"/>
        <w:ind w:left="2552" w:hanging="2552"/>
        <w:rPr>
          <w:rFonts w:ascii="Cambria" w:hAnsi="Cambria" w:cstheme="majorHAnsi"/>
          <w:bCs/>
        </w:rPr>
      </w:pPr>
      <w:r w:rsidRPr="009A0DA6">
        <w:rPr>
          <w:rFonts w:ascii="Cambria" w:hAnsi="Cambria" w:cstheme="majorHAnsi"/>
          <w:bCs/>
        </w:rPr>
        <w:tab/>
      </w:r>
      <w:r w:rsidRPr="009A0DA6">
        <w:rPr>
          <w:rFonts w:ascii="Cambria" w:hAnsi="Cambria" w:cstheme="majorHAnsi"/>
          <w:bCs/>
        </w:rPr>
        <w:tab/>
        <w:t>10.3.3.2</w:t>
      </w:r>
      <w:r w:rsidRPr="009A0DA6">
        <w:rPr>
          <w:rFonts w:ascii="Cambria" w:hAnsi="Cambria" w:cstheme="majorHAnsi"/>
          <w:bCs/>
        </w:rPr>
        <w:tab/>
        <w:t>for</w:t>
      </w:r>
      <w:r w:rsidRPr="009A0DA6">
        <w:rPr>
          <w:rFonts w:ascii="Cambria" w:hAnsi="Cambria" w:cstheme="majorHAnsi"/>
        </w:rPr>
        <w:t xml:space="preserve"> any other </w:t>
      </w:r>
      <w:r w:rsidRPr="009A0DA6">
        <w:rPr>
          <w:rFonts w:ascii="Cambria" w:hAnsi="Cambria" w:cstheme="majorHAnsi"/>
          <w:bCs/>
        </w:rPr>
        <w:t>general meeting</w:t>
      </w:r>
      <w:r w:rsidRPr="009A0DA6">
        <w:rPr>
          <w:rFonts w:ascii="Cambria" w:hAnsi="Cambria" w:cstheme="majorHAnsi"/>
        </w:rPr>
        <w:t>, Members with at least 95% agree beforehand.</w:t>
      </w:r>
    </w:p>
    <w:p w14:paraId="4122F20E" w14:textId="77777777" w:rsidR="001B46FC" w:rsidRPr="009A0DA6" w:rsidRDefault="001B46FC" w:rsidP="001B46FC">
      <w:pPr>
        <w:tabs>
          <w:tab w:val="left" w:pos="709"/>
          <w:tab w:val="left" w:pos="1559"/>
          <w:tab w:val="left" w:pos="2552"/>
          <w:tab w:val="left" w:pos="3544"/>
          <w:tab w:val="left" w:pos="4820"/>
        </w:tabs>
        <w:spacing w:after="0" w:line="240" w:lineRule="auto"/>
        <w:rPr>
          <w:rFonts w:ascii="Cambria" w:hAnsi="Cambria" w:cstheme="majorHAnsi"/>
          <w:bCs/>
        </w:rPr>
      </w:pPr>
      <w:r w:rsidRPr="009A0DA6">
        <w:rPr>
          <w:rFonts w:ascii="Cambria" w:hAnsi="Cambria" w:cstheme="majorHAnsi"/>
          <w:bCs/>
        </w:rPr>
        <w:tab/>
        <w:t>10.3.4</w:t>
      </w:r>
      <w:bookmarkStart w:id="321" w:name="__RefNumPara__102_1692396360"/>
      <w:bookmarkEnd w:id="321"/>
      <w:r w:rsidRPr="009A0DA6">
        <w:rPr>
          <w:rFonts w:ascii="Cambria" w:hAnsi="Cambria" w:cstheme="majorHAnsi"/>
          <w:bCs/>
        </w:rPr>
        <w:tab/>
        <w:t>Notice of a general meeting must include</w:t>
      </w:r>
    </w:p>
    <w:p w14:paraId="74ACDC06" w14:textId="77777777" w:rsidR="001B46FC" w:rsidRPr="009A0DA6" w:rsidRDefault="001B46FC" w:rsidP="001B46FC">
      <w:pPr>
        <w:tabs>
          <w:tab w:val="left" w:pos="709"/>
          <w:tab w:val="left" w:pos="1559"/>
          <w:tab w:val="left" w:pos="2552"/>
          <w:tab w:val="left" w:pos="3544"/>
          <w:tab w:val="left" w:pos="4820"/>
        </w:tabs>
        <w:spacing w:after="0" w:line="240" w:lineRule="auto"/>
        <w:ind w:left="2552" w:hanging="2552"/>
        <w:rPr>
          <w:rFonts w:ascii="Cambria" w:hAnsi="Cambria" w:cstheme="majorHAnsi"/>
        </w:rPr>
      </w:pPr>
      <w:r w:rsidRPr="009A0DA6">
        <w:rPr>
          <w:rFonts w:ascii="Cambria" w:hAnsi="Cambria" w:cstheme="majorHAnsi"/>
          <w:bCs/>
        </w:rPr>
        <w:lastRenderedPageBreak/>
        <w:tab/>
      </w:r>
      <w:r w:rsidRPr="009A0DA6">
        <w:rPr>
          <w:rFonts w:ascii="Cambria" w:hAnsi="Cambria" w:cstheme="majorHAnsi"/>
          <w:bCs/>
        </w:rPr>
        <w:tab/>
        <w:t>10.3.4.1</w:t>
      </w:r>
      <w:r w:rsidRPr="009A0DA6">
        <w:rPr>
          <w:rFonts w:ascii="Cambria" w:hAnsi="Cambria" w:cstheme="majorHAnsi"/>
          <w:bCs/>
        </w:rPr>
        <w:tab/>
        <w:t xml:space="preserve">the </w:t>
      </w:r>
      <w:r w:rsidRPr="009A0DA6">
        <w:rPr>
          <w:rFonts w:ascii="Cambria" w:hAnsi="Cambria" w:cstheme="majorHAnsi"/>
        </w:rPr>
        <w:t>place, date and time for the meeting, and if the meeting is to be held in two or more places, the technology that will be used to facilitate this;</w:t>
      </w:r>
    </w:p>
    <w:p w14:paraId="2681C353" w14:textId="77777777" w:rsidR="001B46FC" w:rsidRPr="009A0DA6" w:rsidRDefault="001B46FC" w:rsidP="001B46FC">
      <w:pPr>
        <w:tabs>
          <w:tab w:val="left" w:pos="709"/>
          <w:tab w:val="left" w:pos="1559"/>
          <w:tab w:val="left" w:pos="2552"/>
          <w:tab w:val="left" w:pos="3544"/>
          <w:tab w:val="left" w:pos="4820"/>
        </w:tabs>
        <w:spacing w:after="0" w:line="240" w:lineRule="auto"/>
        <w:ind w:left="2552" w:hanging="2552"/>
        <w:rPr>
          <w:rFonts w:ascii="Cambria" w:hAnsi="Cambria" w:cstheme="majorHAnsi"/>
        </w:rPr>
      </w:pPr>
      <w:r w:rsidRPr="009A0DA6">
        <w:rPr>
          <w:rFonts w:ascii="Cambria" w:hAnsi="Cambria" w:cstheme="majorHAnsi"/>
        </w:rPr>
        <w:tab/>
      </w:r>
      <w:r w:rsidRPr="009A0DA6">
        <w:rPr>
          <w:rFonts w:ascii="Cambria" w:hAnsi="Cambria" w:cstheme="majorHAnsi"/>
        </w:rPr>
        <w:tab/>
        <w:t>10.3.4.2</w:t>
      </w:r>
      <w:r w:rsidRPr="009A0DA6">
        <w:rPr>
          <w:rFonts w:ascii="Cambria" w:hAnsi="Cambria" w:cstheme="majorHAnsi"/>
        </w:rPr>
        <w:tab/>
        <w:t>the general nature of the meeting’s business;  and</w:t>
      </w:r>
    </w:p>
    <w:p w14:paraId="5B2F056B" w14:textId="77777777" w:rsidR="001B46FC" w:rsidRPr="009A0DA6" w:rsidRDefault="001B46FC" w:rsidP="001B46FC">
      <w:pPr>
        <w:tabs>
          <w:tab w:val="left" w:pos="709"/>
          <w:tab w:val="left" w:pos="1559"/>
          <w:tab w:val="left" w:pos="2552"/>
          <w:tab w:val="left" w:pos="3544"/>
          <w:tab w:val="left" w:pos="4820"/>
        </w:tabs>
        <w:spacing w:after="0" w:line="240" w:lineRule="auto"/>
        <w:ind w:left="2552" w:hanging="2552"/>
        <w:rPr>
          <w:rFonts w:ascii="Cambria" w:hAnsi="Cambria" w:cstheme="majorHAnsi"/>
        </w:rPr>
      </w:pPr>
      <w:bookmarkStart w:id="322" w:name="_Ref393965753"/>
      <w:r w:rsidRPr="009A0DA6">
        <w:rPr>
          <w:rFonts w:ascii="Cambria" w:hAnsi="Cambria" w:cstheme="majorHAnsi"/>
        </w:rPr>
        <w:tab/>
      </w:r>
      <w:r w:rsidRPr="009A0DA6">
        <w:rPr>
          <w:rFonts w:ascii="Cambria" w:hAnsi="Cambria" w:cstheme="majorHAnsi"/>
        </w:rPr>
        <w:tab/>
        <w:t>10.3.4.3</w:t>
      </w:r>
      <w:r w:rsidRPr="009A0DA6">
        <w:rPr>
          <w:rFonts w:ascii="Cambria" w:hAnsi="Cambria" w:cstheme="majorHAnsi"/>
        </w:rPr>
        <w:tab/>
        <w:t>if applicable</w:t>
      </w:r>
      <w:r w:rsidRPr="009A0DA6">
        <w:rPr>
          <w:rFonts w:ascii="Cambria" w:hAnsi="Cambria" w:cstheme="majorHAnsi"/>
          <w:bCs/>
        </w:rPr>
        <w:t xml:space="preserve">, that a special resolution is to be proposed and the </w:t>
      </w:r>
      <w:r w:rsidRPr="009A0DA6">
        <w:rPr>
          <w:rFonts w:ascii="Cambria" w:hAnsi="Cambria" w:cstheme="majorHAnsi"/>
        </w:rPr>
        <w:t>words of the proposed resolution</w:t>
      </w:r>
      <w:bookmarkEnd w:id="322"/>
      <w:r w:rsidRPr="009A0DA6">
        <w:rPr>
          <w:rFonts w:ascii="Cambria" w:hAnsi="Cambria" w:cstheme="majorHAnsi"/>
        </w:rPr>
        <w:t>.</w:t>
      </w:r>
    </w:p>
    <w:p w14:paraId="35EFB18A"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ind w:left="1559" w:hanging="1559"/>
        <w:rPr>
          <w:rFonts w:ascii="Cambria" w:hAnsi="Cambria" w:cstheme="majorHAnsi"/>
        </w:rPr>
      </w:pPr>
      <w:r w:rsidRPr="009A0DA6">
        <w:rPr>
          <w:rFonts w:ascii="Cambria" w:hAnsi="Cambria" w:cstheme="majorHAnsi"/>
        </w:rPr>
        <w:tab/>
        <w:t>10.3.5</w:t>
      </w:r>
      <w:r w:rsidRPr="009A0DA6">
        <w:rPr>
          <w:rFonts w:ascii="Cambria" w:hAnsi="Cambria" w:cstheme="majorHAnsi"/>
        </w:rPr>
        <w:tab/>
        <w:t>If a general meeting is adjourned for one month or more, the Members must be given new notice of the resumed meeting.</w:t>
      </w:r>
    </w:p>
    <w:p w14:paraId="477AC28A"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rPr>
          <w:rFonts w:ascii="Cambria" w:hAnsi="Cambria" w:cstheme="majorHAnsi"/>
        </w:rPr>
      </w:pPr>
      <w:r w:rsidRPr="009A0DA6">
        <w:rPr>
          <w:rFonts w:ascii="Cambria" w:hAnsi="Cambria" w:cstheme="majorHAnsi"/>
          <w:bCs/>
        </w:rPr>
        <w:t>10.4</w:t>
      </w:r>
      <w:r w:rsidRPr="009A0DA6">
        <w:rPr>
          <w:rFonts w:ascii="Cambria" w:hAnsi="Cambria" w:cstheme="majorHAnsi"/>
          <w:bCs/>
        </w:rPr>
        <w:tab/>
      </w:r>
      <w:r w:rsidRPr="009A0DA6">
        <w:rPr>
          <w:rFonts w:ascii="Cambria" w:hAnsi="Cambria" w:cstheme="majorHAnsi"/>
        </w:rPr>
        <w:t xml:space="preserve"> </w:t>
      </w:r>
      <w:r w:rsidRPr="009A0DA6">
        <w:rPr>
          <w:rFonts w:ascii="Cambria" w:hAnsi="Cambria" w:cstheme="majorHAnsi"/>
          <w:u w:val="single"/>
        </w:rPr>
        <w:t>Quorum at general meetings</w:t>
      </w:r>
      <w:r w:rsidRPr="009A0DA6">
        <w:rPr>
          <w:rFonts w:ascii="Cambria" w:hAnsi="Cambria" w:cstheme="majorHAnsi"/>
        </w:rPr>
        <w:t xml:space="preserve"> </w:t>
      </w:r>
    </w:p>
    <w:p w14:paraId="4B8605F1" w14:textId="19807D2B" w:rsidR="001B46FC" w:rsidRPr="009A0DA6" w:rsidRDefault="001B46FC" w:rsidP="001B46FC">
      <w:pPr>
        <w:tabs>
          <w:tab w:val="left" w:pos="709"/>
          <w:tab w:val="left" w:pos="1559"/>
          <w:tab w:val="left" w:pos="2552"/>
          <w:tab w:val="left" w:pos="3544"/>
          <w:tab w:val="left" w:pos="4820"/>
        </w:tabs>
        <w:spacing w:after="0" w:line="240" w:lineRule="auto"/>
        <w:ind w:left="1559" w:hanging="1559"/>
        <w:rPr>
          <w:rFonts w:ascii="Cambria" w:hAnsi="Cambria" w:cstheme="majorHAnsi"/>
        </w:rPr>
      </w:pPr>
      <w:bookmarkStart w:id="323" w:name="_Ref363027468"/>
      <w:r w:rsidRPr="009A0DA6">
        <w:rPr>
          <w:rFonts w:ascii="Cambria" w:hAnsi="Cambria" w:cstheme="majorHAnsi"/>
        </w:rPr>
        <w:tab/>
        <w:t>10.4.1</w:t>
      </w:r>
      <w:r w:rsidRPr="009A0DA6">
        <w:rPr>
          <w:rFonts w:ascii="Cambria" w:hAnsi="Cambria" w:cstheme="majorHAnsi"/>
        </w:rPr>
        <w:tab/>
        <w:t>For a general meeting to be held, a quorum must be present for the whole meeting</w:t>
      </w:r>
      <w:bookmarkEnd w:id="323"/>
      <w:r w:rsidR="0027799A" w:rsidRPr="009A0DA6">
        <w:rPr>
          <w:rFonts w:ascii="Cambria" w:hAnsi="Cambria" w:cstheme="majorHAnsi"/>
        </w:rPr>
        <w:t xml:space="preserve">. </w:t>
      </w:r>
      <w:r w:rsidRPr="009A0DA6">
        <w:rPr>
          <w:rFonts w:ascii="Cambria" w:hAnsi="Cambria" w:cstheme="majorHAnsi"/>
        </w:rPr>
        <w:t>A quorum is a majority of the Members at the time appointed for the meeting.</w:t>
      </w:r>
    </w:p>
    <w:p w14:paraId="6F9ED846"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ind w:left="1559" w:hanging="1559"/>
        <w:rPr>
          <w:rFonts w:ascii="Cambria" w:hAnsi="Cambria" w:cstheme="majorHAnsi"/>
        </w:rPr>
      </w:pPr>
      <w:r w:rsidRPr="009A0DA6">
        <w:rPr>
          <w:rFonts w:ascii="Cambria" w:hAnsi="Cambria" w:cstheme="majorHAnsi"/>
        </w:rPr>
        <w:tab/>
        <w:t>10.4.2</w:t>
      </w:r>
      <w:r w:rsidRPr="009A0DA6">
        <w:rPr>
          <w:rFonts w:ascii="Cambria" w:hAnsi="Cambria" w:cstheme="majorHAnsi"/>
        </w:rPr>
        <w:tab/>
        <w:t>No business may be conducted at a general meeting if a quorum is not present.</w:t>
      </w:r>
    </w:p>
    <w:p w14:paraId="3BDBDA95" w14:textId="722ED2E4" w:rsidR="001B46FC" w:rsidRPr="009A0DA6" w:rsidRDefault="001B46FC" w:rsidP="001B46FC">
      <w:pPr>
        <w:tabs>
          <w:tab w:val="left" w:pos="709"/>
          <w:tab w:val="left" w:pos="1559"/>
          <w:tab w:val="left" w:pos="2552"/>
          <w:tab w:val="left" w:pos="3544"/>
          <w:tab w:val="left" w:pos="4820"/>
        </w:tabs>
        <w:spacing w:after="0" w:line="240" w:lineRule="auto"/>
        <w:ind w:left="1559" w:hanging="1559"/>
        <w:rPr>
          <w:rFonts w:ascii="Cambria" w:hAnsi="Cambria" w:cstheme="majorHAnsi"/>
        </w:rPr>
      </w:pPr>
      <w:bookmarkStart w:id="324" w:name="_Ref393893785"/>
      <w:r w:rsidRPr="009A0DA6">
        <w:rPr>
          <w:rFonts w:ascii="Cambria" w:hAnsi="Cambria" w:cstheme="majorHAnsi"/>
        </w:rPr>
        <w:tab/>
        <w:t>10.4.3</w:t>
      </w:r>
      <w:r w:rsidRPr="009A0DA6">
        <w:rPr>
          <w:rFonts w:ascii="Cambria" w:hAnsi="Cambria" w:cstheme="majorHAnsi"/>
        </w:rPr>
        <w:tab/>
        <w:t>If there is no quorum present within 30 minutes after the starting time stated in the notice of general meeting, the general meeting is adjourned to the date, time and place that the Chair specifies</w:t>
      </w:r>
      <w:r w:rsidR="0027799A" w:rsidRPr="009A0DA6">
        <w:rPr>
          <w:rFonts w:ascii="Cambria" w:hAnsi="Cambria" w:cstheme="majorHAnsi"/>
        </w:rPr>
        <w:t xml:space="preserve">. </w:t>
      </w:r>
      <w:r w:rsidRPr="009A0DA6">
        <w:rPr>
          <w:rFonts w:ascii="Cambria" w:hAnsi="Cambria" w:cstheme="majorHAnsi"/>
        </w:rPr>
        <w:t>If the Chair does not specify one or more of those things, the meeting is adjourned to</w:t>
      </w:r>
      <w:bookmarkEnd w:id="324"/>
    </w:p>
    <w:p w14:paraId="7C5D685B"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ind w:left="2552" w:hanging="2552"/>
        <w:rPr>
          <w:rFonts w:ascii="Cambria" w:hAnsi="Cambria" w:cstheme="majorHAnsi"/>
        </w:rPr>
      </w:pPr>
      <w:r w:rsidRPr="009A0DA6">
        <w:rPr>
          <w:rFonts w:ascii="Cambria" w:hAnsi="Cambria" w:cstheme="majorHAnsi"/>
          <w:bCs/>
        </w:rPr>
        <w:tab/>
      </w:r>
      <w:r w:rsidRPr="009A0DA6">
        <w:rPr>
          <w:rFonts w:ascii="Cambria" w:hAnsi="Cambria" w:cstheme="majorHAnsi"/>
          <w:bCs/>
        </w:rPr>
        <w:tab/>
        <w:t>10.4.3.1</w:t>
      </w:r>
      <w:r w:rsidRPr="009A0DA6">
        <w:rPr>
          <w:rFonts w:ascii="Cambria" w:hAnsi="Cambria" w:cstheme="majorHAnsi"/>
          <w:bCs/>
        </w:rPr>
        <w:tab/>
        <w:t xml:space="preserve">if the </w:t>
      </w:r>
      <w:r w:rsidRPr="009A0DA6">
        <w:rPr>
          <w:rFonts w:ascii="Cambria" w:hAnsi="Cambria" w:cstheme="majorHAnsi"/>
        </w:rPr>
        <w:t>date is not specified – the same day in the next week;</w:t>
      </w:r>
    </w:p>
    <w:p w14:paraId="26797048"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ind w:left="2552" w:hanging="2552"/>
        <w:rPr>
          <w:rFonts w:ascii="Cambria" w:hAnsi="Cambria" w:cstheme="majorHAnsi"/>
        </w:rPr>
      </w:pPr>
      <w:r w:rsidRPr="009A0DA6">
        <w:rPr>
          <w:rFonts w:ascii="Cambria" w:hAnsi="Cambria" w:cstheme="majorHAnsi"/>
        </w:rPr>
        <w:tab/>
      </w:r>
      <w:r w:rsidRPr="009A0DA6">
        <w:rPr>
          <w:rFonts w:ascii="Cambria" w:hAnsi="Cambria" w:cstheme="majorHAnsi"/>
        </w:rPr>
        <w:tab/>
        <w:t>10.4.3.2</w:t>
      </w:r>
      <w:r w:rsidRPr="009A0DA6">
        <w:rPr>
          <w:rFonts w:ascii="Cambria" w:hAnsi="Cambria" w:cstheme="majorHAnsi"/>
        </w:rPr>
        <w:tab/>
        <w:t>if the time is not specified – the same time;  and</w:t>
      </w:r>
    </w:p>
    <w:p w14:paraId="1BD55280"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ind w:left="2552" w:hanging="2552"/>
        <w:rPr>
          <w:rFonts w:ascii="Cambria" w:hAnsi="Cambria" w:cstheme="majorHAnsi"/>
          <w:bCs/>
        </w:rPr>
      </w:pPr>
      <w:r w:rsidRPr="009A0DA6">
        <w:rPr>
          <w:rFonts w:ascii="Cambria" w:hAnsi="Cambria" w:cstheme="majorHAnsi"/>
        </w:rPr>
        <w:tab/>
      </w:r>
      <w:r w:rsidRPr="009A0DA6">
        <w:rPr>
          <w:rFonts w:ascii="Cambria" w:hAnsi="Cambria" w:cstheme="majorHAnsi"/>
        </w:rPr>
        <w:tab/>
        <w:t>10.4.3.3</w:t>
      </w:r>
      <w:r w:rsidRPr="009A0DA6">
        <w:rPr>
          <w:rFonts w:ascii="Cambria" w:hAnsi="Cambria" w:cstheme="majorHAnsi"/>
        </w:rPr>
        <w:tab/>
        <w:t>if the</w:t>
      </w:r>
      <w:r w:rsidRPr="009A0DA6">
        <w:rPr>
          <w:rFonts w:ascii="Cambria" w:hAnsi="Cambria" w:cstheme="majorHAnsi"/>
          <w:bCs/>
        </w:rPr>
        <w:t xml:space="preserve"> place is not specified – the same place. </w:t>
      </w:r>
    </w:p>
    <w:p w14:paraId="61CAB1E5" w14:textId="77777777" w:rsidR="001B46FC" w:rsidRPr="009A0DA6" w:rsidRDefault="001B46FC" w:rsidP="001B46FC">
      <w:pPr>
        <w:tabs>
          <w:tab w:val="left" w:pos="709"/>
          <w:tab w:val="left" w:pos="1559"/>
          <w:tab w:val="left" w:pos="2552"/>
          <w:tab w:val="left" w:pos="3544"/>
          <w:tab w:val="left" w:pos="4820"/>
        </w:tabs>
        <w:spacing w:after="0" w:line="240" w:lineRule="auto"/>
        <w:ind w:left="1559" w:hanging="1559"/>
        <w:rPr>
          <w:rFonts w:ascii="Cambria" w:hAnsi="Cambria" w:cstheme="majorHAnsi"/>
          <w:bCs/>
        </w:rPr>
      </w:pPr>
      <w:r w:rsidRPr="009A0DA6">
        <w:rPr>
          <w:rFonts w:ascii="Cambria" w:hAnsi="Cambria" w:cstheme="majorHAnsi"/>
          <w:bCs/>
        </w:rPr>
        <w:tab/>
        <w:t>10.4.4</w:t>
      </w:r>
      <w:r w:rsidRPr="009A0DA6">
        <w:rPr>
          <w:rFonts w:ascii="Cambria" w:hAnsi="Cambria" w:cstheme="majorHAnsi"/>
          <w:bCs/>
        </w:rPr>
        <w:tab/>
        <w:t>If no quorum is present at the resumed meeting within 30 minutes after the starting time set for that meeting, the meeting is cancelled.</w:t>
      </w:r>
    </w:p>
    <w:p w14:paraId="38177D47"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rPr>
          <w:rFonts w:ascii="Cambria" w:hAnsi="Cambria" w:cstheme="majorHAnsi"/>
          <w:b/>
        </w:rPr>
      </w:pPr>
      <w:bookmarkStart w:id="325" w:name="_Ref388285265"/>
      <w:r w:rsidRPr="009A0DA6">
        <w:rPr>
          <w:rFonts w:ascii="Cambria" w:hAnsi="Cambria" w:cstheme="majorHAnsi"/>
          <w:bCs/>
        </w:rPr>
        <w:t>10.5</w:t>
      </w:r>
      <w:r w:rsidRPr="009A0DA6">
        <w:rPr>
          <w:rFonts w:ascii="Cambria" w:hAnsi="Cambria" w:cstheme="majorHAnsi"/>
        </w:rPr>
        <w:tab/>
      </w:r>
      <w:r w:rsidRPr="009A0DA6">
        <w:rPr>
          <w:rFonts w:ascii="Cambria" w:hAnsi="Cambria" w:cstheme="majorHAnsi"/>
          <w:u w:val="single"/>
        </w:rPr>
        <w:t>Auditor's right to attend meetings</w:t>
      </w:r>
      <w:bookmarkEnd w:id="325"/>
    </w:p>
    <w:p w14:paraId="782DD386"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ind w:left="1559" w:hanging="1559"/>
        <w:rPr>
          <w:rFonts w:ascii="Cambria" w:hAnsi="Cambria" w:cstheme="majorHAnsi"/>
        </w:rPr>
      </w:pPr>
      <w:r w:rsidRPr="009A0DA6">
        <w:rPr>
          <w:rFonts w:ascii="Cambria" w:hAnsi="Cambria" w:cstheme="majorHAnsi"/>
        </w:rPr>
        <w:tab/>
        <w:t>10.5.1</w:t>
      </w:r>
      <w:r w:rsidRPr="009A0DA6">
        <w:rPr>
          <w:rFonts w:ascii="Cambria" w:hAnsi="Cambria" w:cstheme="majorHAnsi"/>
        </w:rPr>
        <w:tab/>
        <w:t>The auditor is entitled to attend any general meeting and to be heard by the Members on any part of the business of the meeting that concerns the auditor in the capacity of auditor.</w:t>
      </w:r>
    </w:p>
    <w:p w14:paraId="1118A781" w14:textId="60E10B5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ind w:left="1559" w:hanging="1559"/>
        <w:contextualSpacing/>
        <w:rPr>
          <w:rFonts w:ascii="Cambria" w:hAnsi="Cambria" w:cstheme="majorHAnsi"/>
        </w:rPr>
      </w:pPr>
      <w:r w:rsidRPr="009A0DA6">
        <w:rPr>
          <w:rFonts w:ascii="Cambria" w:hAnsi="Cambria" w:cstheme="majorHAnsi"/>
        </w:rPr>
        <w:tab/>
        <w:t>10.5.2</w:t>
      </w:r>
      <w:r w:rsidRPr="009A0DA6">
        <w:rPr>
          <w:rFonts w:ascii="Cambria" w:hAnsi="Cambria" w:cstheme="majorHAnsi"/>
        </w:rPr>
        <w:tab/>
        <w:t>The College must give the auditor any communications relating to the general</w:t>
      </w:r>
      <w:r w:rsidRPr="009A0DA6">
        <w:rPr>
          <w:rFonts w:ascii="Cambria" w:hAnsi="Cambria" w:cstheme="majorHAnsi"/>
          <w:b/>
        </w:rPr>
        <w:t xml:space="preserve"> </w:t>
      </w:r>
      <w:r w:rsidRPr="009A0DA6">
        <w:rPr>
          <w:rFonts w:ascii="Cambria" w:hAnsi="Cambria" w:cstheme="majorHAnsi"/>
        </w:rPr>
        <w:t>meeting that a Member of the College is entitled to receive</w:t>
      </w:r>
      <w:r w:rsidR="0027799A" w:rsidRPr="009A0DA6">
        <w:rPr>
          <w:rFonts w:ascii="Cambria" w:hAnsi="Cambria" w:cstheme="majorHAnsi"/>
        </w:rPr>
        <w:t xml:space="preserve">. </w:t>
      </w:r>
    </w:p>
    <w:p w14:paraId="79DEC206"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contextualSpacing/>
        <w:rPr>
          <w:rFonts w:ascii="Cambria" w:hAnsi="Cambria" w:cstheme="majorHAnsi"/>
        </w:rPr>
      </w:pPr>
      <w:r w:rsidRPr="009A0DA6">
        <w:rPr>
          <w:rFonts w:ascii="Cambria" w:hAnsi="Cambria" w:cstheme="majorHAnsi"/>
        </w:rPr>
        <w:t>10.6</w:t>
      </w:r>
      <w:r w:rsidRPr="009A0DA6">
        <w:rPr>
          <w:rFonts w:ascii="Cambria" w:hAnsi="Cambria" w:cstheme="majorHAnsi"/>
        </w:rPr>
        <w:tab/>
      </w:r>
      <w:r w:rsidRPr="009A0DA6">
        <w:rPr>
          <w:rFonts w:ascii="Cambria" w:hAnsi="Cambria" w:cstheme="majorHAnsi"/>
          <w:u w:val="single"/>
        </w:rPr>
        <w:t>Using technology to hold meetings</w:t>
      </w:r>
    </w:p>
    <w:p w14:paraId="71C648ED" w14:textId="3B2F65BA"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ind w:left="1559" w:hanging="1559"/>
        <w:rPr>
          <w:rFonts w:ascii="Cambria" w:hAnsi="Cambria" w:cstheme="majorHAnsi"/>
          <w:bCs/>
        </w:rPr>
      </w:pPr>
      <w:r w:rsidRPr="009A0DA6">
        <w:rPr>
          <w:rFonts w:ascii="Cambria" w:hAnsi="Cambria" w:cstheme="majorHAnsi"/>
          <w:bCs/>
        </w:rPr>
        <w:tab/>
        <w:t>10.6.1</w:t>
      </w:r>
      <w:r w:rsidRPr="009A0DA6">
        <w:rPr>
          <w:rFonts w:ascii="Cambria" w:hAnsi="Cambria" w:cstheme="majorHAnsi"/>
          <w:bCs/>
        </w:rPr>
        <w:tab/>
        <w:t>The College may hold a general meeting at two or more venues using any technology that gives the Members as a whole a reasonable opportunity to participate, including access to documentation, to hear and be heard</w:t>
      </w:r>
      <w:r w:rsidR="0027799A" w:rsidRPr="009A0DA6">
        <w:rPr>
          <w:rFonts w:ascii="Cambria" w:hAnsi="Cambria" w:cstheme="majorHAnsi"/>
          <w:bCs/>
        </w:rPr>
        <w:t xml:space="preserve">. </w:t>
      </w:r>
    </w:p>
    <w:p w14:paraId="5EE8A9E7"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ind w:left="1559" w:hanging="1559"/>
        <w:rPr>
          <w:rFonts w:ascii="Cambria" w:hAnsi="Cambria" w:cstheme="majorHAnsi"/>
          <w:bCs/>
        </w:rPr>
      </w:pPr>
      <w:r w:rsidRPr="009A0DA6">
        <w:rPr>
          <w:rFonts w:ascii="Cambria" w:hAnsi="Cambria" w:cstheme="majorHAnsi"/>
          <w:bCs/>
        </w:rPr>
        <w:tab/>
        <w:t>10.6.2</w:t>
      </w:r>
      <w:r w:rsidRPr="009A0DA6">
        <w:rPr>
          <w:rFonts w:ascii="Cambria" w:hAnsi="Cambria" w:cstheme="majorHAnsi"/>
          <w:bCs/>
        </w:rPr>
        <w:tab/>
        <w:t xml:space="preserve">Anyone using this technology is taken to be present in person at the meeting. </w:t>
      </w:r>
    </w:p>
    <w:p w14:paraId="1ECADBDC"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rPr>
          <w:rFonts w:ascii="Cambria" w:hAnsi="Cambria" w:cstheme="majorHAnsi"/>
        </w:rPr>
      </w:pPr>
      <w:r w:rsidRPr="009A0DA6">
        <w:rPr>
          <w:rFonts w:ascii="Cambria" w:hAnsi="Cambria" w:cstheme="majorHAnsi"/>
        </w:rPr>
        <w:t>10.7</w:t>
      </w:r>
      <w:r w:rsidRPr="009A0DA6">
        <w:rPr>
          <w:rFonts w:ascii="Cambria" w:hAnsi="Cambria" w:cstheme="majorHAnsi"/>
        </w:rPr>
        <w:tab/>
      </w:r>
      <w:r w:rsidRPr="009A0DA6">
        <w:rPr>
          <w:rFonts w:ascii="Cambria" w:hAnsi="Cambria" w:cstheme="majorHAnsi"/>
          <w:u w:val="single"/>
        </w:rPr>
        <w:t>Chair for general meetings</w:t>
      </w:r>
    </w:p>
    <w:p w14:paraId="676151B3" w14:textId="77777777" w:rsidR="001B46FC" w:rsidRPr="009A0DA6" w:rsidRDefault="001B46FC" w:rsidP="001B46FC">
      <w:pPr>
        <w:tabs>
          <w:tab w:val="left" w:pos="709"/>
          <w:tab w:val="left" w:pos="1559"/>
          <w:tab w:val="left" w:pos="2552"/>
          <w:tab w:val="left" w:pos="3544"/>
          <w:tab w:val="left" w:pos="4820"/>
        </w:tabs>
        <w:spacing w:after="0" w:line="240" w:lineRule="auto"/>
        <w:ind w:left="1559" w:hanging="1559"/>
        <w:rPr>
          <w:rFonts w:ascii="Cambria" w:hAnsi="Cambria" w:cstheme="majorHAnsi"/>
        </w:rPr>
      </w:pPr>
      <w:r w:rsidRPr="009A0DA6">
        <w:rPr>
          <w:rFonts w:ascii="Cambria" w:hAnsi="Cambria" w:cstheme="majorHAnsi"/>
          <w:bCs/>
        </w:rPr>
        <w:tab/>
        <w:t>10.7.1</w:t>
      </w:r>
      <w:r w:rsidRPr="009A0DA6">
        <w:rPr>
          <w:rFonts w:ascii="Cambria" w:hAnsi="Cambria" w:cstheme="majorHAnsi"/>
          <w:bCs/>
        </w:rPr>
        <w:tab/>
        <w:t>The elected Chair shall chair general meetings.</w:t>
      </w:r>
    </w:p>
    <w:p w14:paraId="1B882482" w14:textId="77777777" w:rsidR="001B46FC" w:rsidRPr="009A0DA6" w:rsidRDefault="001B46FC" w:rsidP="001B46FC">
      <w:pPr>
        <w:tabs>
          <w:tab w:val="left" w:pos="709"/>
          <w:tab w:val="left" w:pos="1559"/>
          <w:tab w:val="left" w:pos="2552"/>
          <w:tab w:val="left" w:pos="3544"/>
          <w:tab w:val="left" w:pos="4820"/>
        </w:tabs>
        <w:spacing w:after="0" w:line="240" w:lineRule="auto"/>
        <w:ind w:left="1559" w:hanging="1559"/>
        <w:rPr>
          <w:rFonts w:ascii="Cambria" w:hAnsi="Cambria" w:cstheme="majorHAnsi"/>
        </w:rPr>
      </w:pPr>
      <w:bookmarkStart w:id="326" w:name="_Ref389488400"/>
      <w:r w:rsidRPr="009A0DA6">
        <w:rPr>
          <w:rFonts w:ascii="Cambria" w:hAnsi="Cambria" w:cstheme="majorHAnsi"/>
        </w:rPr>
        <w:tab/>
        <w:t>10.7.2</w:t>
      </w:r>
      <w:r w:rsidRPr="009A0DA6">
        <w:rPr>
          <w:rFonts w:ascii="Cambria" w:hAnsi="Cambria" w:cstheme="majorHAnsi"/>
        </w:rPr>
        <w:tab/>
        <w:t>The Members present and entitled to vote at a general meeting may choose a Director or Member to be the Chair for that meeting if</w:t>
      </w:r>
      <w:bookmarkEnd w:id="326"/>
    </w:p>
    <w:p w14:paraId="50ED58F5" w14:textId="77777777" w:rsidR="001B46FC" w:rsidRPr="009A0DA6" w:rsidRDefault="001B46FC" w:rsidP="001B46FC">
      <w:pPr>
        <w:tabs>
          <w:tab w:val="left" w:pos="709"/>
          <w:tab w:val="left" w:pos="1559"/>
          <w:tab w:val="left" w:pos="2552"/>
          <w:tab w:val="left" w:pos="3544"/>
          <w:tab w:val="left" w:pos="4820"/>
        </w:tabs>
        <w:spacing w:after="0" w:line="240" w:lineRule="auto"/>
        <w:ind w:left="2552" w:hanging="2552"/>
        <w:rPr>
          <w:rFonts w:ascii="Cambria" w:hAnsi="Cambria" w:cstheme="majorHAnsi"/>
        </w:rPr>
      </w:pPr>
      <w:r w:rsidRPr="009A0DA6">
        <w:rPr>
          <w:rFonts w:ascii="Cambria" w:hAnsi="Cambria" w:cstheme="majorHAnsi"/>
        </w:rPr>
        <w:tab/>
      </w:r>
      <w:r w:rsidRPr="009A0DA6">
        <w:rPr>
          <w:rFonts w:ascii="Cambria" w:hAnsi="Cambria" w:cstheme="majorHAnsi"/>
        </w:rPr>
        <w:tab/>
        <w:t>10.7.2.1</w:t>
      </w:r>
      <w:r w:rsidRPr="009A0DA6">
        <w:rPr>
          <w:rFonts w:ascii="Cambria" w:hAnsi="Cambria" w:cstheme="majorHAnsi"/>
        </w:rPr>
        <w:tab/>
        <w:t xml:space="preserve">there is no elected Chair;  or </w:t>
      </w:r>
    </w:p>
    <w:p w14:paraId="3C7A7EA7" w14:textId="77777777" w:rsidR="001B46FC" w:rsidRPr="009A0DA6" w:rsidRDefault="001B46FC" w:rsidP="001B46FC">
      <w:pPr>
        <w:tabs>
          <w:tab w:val="left" w:pos="709"/>
          <w:tab w:val="left" w:pos="1559"/>
          <w:tab w:val="left" w:pos="2552"/>
          <w:tab w:val="left" w:pos="3544"/>
          <w:tab w:val="left" w:pos="4820"/>
        </w:tabs>
        <w:spacing w:after="0" w:line="240" w:lineRule="auto"/>
        <w:ind w:left="2552" w:hanging="2552"/>
        <w:rPr>
          <w:rFonts w:ascii="Cambria" w:hAnsi="Cambria" w:cstheme="majorHAnsi"/>
        </w:rPr>
      </w:pPr>
      <w:r w:rsidRPr="009A0DA6">
        <w:rPr>
          <w:rFonts w:ascii="Cambria" w:hAnsi="Cambria" w:cstheme="majorHAnsi"/>
        </w:rPr>
        <w:tab/>
      </w:r>
      <w:r w:rsidRPr="009A0DA6">
        <w:rPr>
          <w:rFonts w:ascii="Cambria" w:hAnsi="Cambria" w:cstheme="majorHAnsi"/>
        </w:rPr>
        <w:tab/>
        <w:t>10.7.2.2</w:t>
      </w:r>
      <w:r w:rsidRPr="009A0DA6">
        <w:rPr>
          <w:rFonts w:ascii="Cambria" w:hAnsi="Cambria" w:cstheme="majorHAnsi"/>
        </w:rPr>
        <w:tab/>
        <w:t>the elected chair is not present within 30 minutes after the starting time set for the meeting;  or</w:t>
      </w:r>
    </w:p>
    <w:p w14:paraId="4259A9BB" w14:textId="77777777" w:rsidR="001B46FC" w:rsidRPr="009A0DA6" w:rsidRDefault="001B46FC" w:rsidP="001B46FC">
      <w:pPr>
        <w:tabs>
          <w:tab w:val="left" w:pos="709"/>
          <w:tab w:val="left" w:pos="1559"/>
          <w:tab w:val="left" w:pos="2552"/>
          <w:tab w:val="left" w:pos="3544"/>
          <w:tab w:val="left" w:pos="4820"/>
        </w:tabs>
        <w:spacing w:after="0" w:line="240" w:lineRule="auto"/>
        <w:ind w:left="2552" w:hanging="2552"/>
        <w:rPr>
          <w:rFonts w:ascii="Cambria" w:hAnsi="Cambria" w:cstheme="majorHAnsi"/>
        </w:rPr>
      </w:pPr>
      <w:r w:rsidRPr="009A0DA6">
        <w:rPr>
          <w:rFonts w:ascii="Cambria" w:hAnsi="Cambria" w:cstheme="majorHAnsi"/>
        </w:rPr>
        <w:tab/>
      </w:r>
      <w:r w:rsidRPr="009A0DA6">
        <w:rPr>
          <w:rFonts w:ascii="Cambria" w:hAnsi="Cambria" w:cstheme="majorHAnsi"/>
        </w:rPr>
        <w:tab/>
        <w:t>10.7.2.3</w:t>
      </w:r>
      <w:r w:rsidRPr="009A0DA6">
        <w:rPr>
          <w:rFonts w:ascii="Cambria" w:hAnsi="Cambria" w:cstheme="majorHAnsi"/>
        </w:rPr>
        <w:tab/>
        <w:t xml:space="preserve">the elected Chair is present but says they do not wish to act as chair of the meeting. </w:t>
      </w:r>
      <w:bookmarkStart w:id="327" w:name="_Ref389489037"/>
    </w:p>
    <w:bookmarkEnd w:id="327"/>
    <w:p w14:paraId="04D13557" w14:textId="77777777" w:rsidR="001B46FC" w:rsidRPr="009A0DA6" w:rsidRDefault="001B46FC" w:rsidP="001B46FC">
      <w:pPr>
        <w:tabs>
          <w:tab w:val="left" w:pos="709"/>
          <w:tab w:val="left" w:pos="1559"/>
          <w:tab w:val="left" w:pos="2552"/>
          <w:tab w:val="left" w:pos="3544"/>
          <w:tab w:val="left" w:pos="4820"/>
        </w:tabs>
        <w:spacing w:after="0" w:line="240" w:lineRule="auto"/>
        <w:ind w:left="1559" w:hanging="1559"/>
        <w:rPr>
          <w:rFonts w:ascii="Cambria" w:hAnsi="Cambria" w:cstheme="majorHAnsi"/>
          <w:bCs/>
        </w:rPr>
      </w:pPr>
      <w:r w:rsidRPr="009A0DA6">
        <w:rPr>
          <w:rFonts w:ascii="Cambria" w:hAnsi="Cambria" w:cstheme="majorHAnsi"/>
          <w:bCs/>
        </w:rPr>
        <w:tab/>
        <w:t>10.7.3</w:t>
      </w:r>
      <w:r w:rsidRPr="009A0DA6">
        <w:rPr>
          <w:rFonts w:ascii="Cambria" w:hAnsi="Cambria" w:cstheme="majorHAnsi"/>
          <w:bCs/>
        </w:rPr>
        <w:tab/>
        <w:t xml:space="preserve">The Chair is responsible for the conduct of the general meeting, and for this purpose must give Members, or the auditor, a reasonable opportunity to make comments and ask questions. </w:t>
      </w:r>
    </w:p>
    <w:p w14:paraId="68F80C3E"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rPr>
          <w:rFonts w:ascii="Cambria" w:hAnsi="Cambria" w:cstheme="majorHAnsi"/>
        </w:rPr>
      </w:pPr>
      <w:bookmarkStart w:id="328" w:name="_Ref361320149"/>
      <w:r w:rsidRPr="009A0DA6">
        <w:rPr>
          <w:rFonts w:ascii="Cambria" w:hAnsi="Cambria" w:cstheme="majorHAnsi"/>
          <w:bCs/>
        </w:rPr>
        <w:t>10.8</w:t>
      </w:r>
      <w:r w:rsidRPr="009A0DA6">
        <w:rPr>
          <w:rFonts w:ascii="Cambria" w:hAnsi="Cambria" w:cstheme="majorHAnsi"/>
          <w:bCs/>
        </w:rPr>
        <w:tab/>
      </w:r>
      <w:r w:rsidRPr="009A0DA6">
        <w:rPr>
          <w:rFonts w:ascii="Cambria" w:hAnsi="Cambria" w:cstheme="majorHAnsi"/>
        </w:rPr>
        <w:t xml:space="preserve"> </w:t>
      </w:r>
      <w:r w:rsidRPr="009A0DA6">
        <w:rPr>
          <w:rFonts w:ascii="Cambria" w:hAnsi="Cambria" w:cstheme="majorHAnsi"/>
          <w:u w:val="single"/>
        </w:rPr>
        <w:t>Role of the Chair</w:t>
      </w:r>
    </w:p>
    <w:p w14:paraId="0EFA84DD" w14:textId="77777777" w:rsidR="001B46FC" w:rsidRPr="009A0DA6" w:rsidRDefault="001B46FC" w:rsidP="001B46FC">
      <w:pPr>
        <w:tabs>
          <w:tab w:val="left" w:pos="709"/>
          <w:tab w:val="left" w:pos="1559"/>
          <w:tab w:val="left" w:pos="2552"/>
          <w:tab w:val="left" w:pos="3544"/>
          <w:tab w:val="left" w:pos="4820"/>
        </w:tabs>
        <w:spacing w:after="0" w:line="240" w:lineRule="auto"/>
        <w:ind w:left="1559" w:hanging="1559"/>
        <w:rPr>
          <w:rFonts w:ascii="Cambria" w:hAnsi="Cambria" w:cstheme="majorHAnsi"/>
          <w:bCs/>
        </w:rPr>
      </w:pPr>
      <w:r w:rsidRPr="009A0DA6">
        <w:rPr>
          <w:rFonts w:ascii="Cambria" w:hAnsi="Cambria" w:cstheme="majorHAnsi"/>
          <w:bCs/>
        </w:rPr>
        <w:tab/>
        <w:t>10.8.1</w:t>
      </w:r>
      <w:r w:rsidRPr="009A0DA6">
        <w:rPr>
          <w:rFonts w:ascii="Cambria" w:hAnsi="Cambria" w:cstheme="majorHAnsi"/>
          <w:bCs/>
        </w:rPr>
        <w:tab/>
        <w:t xml:space="preserve">The Chair is responsible for the conduct of the general meeting, and for this purpose must give Members and the auditor a reasonable opportunity to make comments and ask questions. </w:t>
      </w:r>
    </w:p>
    <w:p w14:paraId="3BC7B9B3" w14:textId="77777777" w:rsidR="001B46FC" w:rsidRPr="009A0DA6" w:rsidRDefault="001B46FC" w:rsidP="001B46FC">
      <w:pPr>
        <w:tabs>
          <w:tab w:val="left" w:pos="709"/>
          <w:tab w:val="left" w:pos="1559"/>
          <w:tab w:val="left" w:pos="2552"/>
          <w:tab w:val="left" w:pos="3544"/>
          <w:tab w:val="left" w:pos="4820"/>
        </w:tabs>
        <w:spacing w:after="0" w:line="240" w:lineRule="auto"/>
        <w:ind w:left="1559" w:hanging="1559"/>
        <w:rPr>
          <w:rFonts w:ascii="Cambria" w:hAnsi="Cambria" w:cstheme="majorHAnsi"/>
          <w:bCs/>
        </w:rPr>
      </w:pPr>
      <w:r w:rsidRPr="009A0DA6">
        <w:rPr>
          <w:rFonts w:ascii="Cambria" w:hAnsi="Cambria" w:cstheme="majorHAnsi"/>
          <w:bCs/>
        </w:rPr>
        <w:tab/>
        <w:t>10.8.2</w:t>
      </w:r>
      <w:r w:rsidRPr="009A0DA6">
        <w:rPr>
          <w:rFonts w:ascii="Cambria" w:hAnsi="Cambria" w:cstheme="majorHAnsi"/>
          <w:bCs/>
        </w:rPr>
        <w:tab/>
        <w:t xml:space="preserve">The Chair does not have a casting vote. </w:t>
      </w:r>
    </w:p>
    <w:p w14:paraId="782BD054"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rPr>
          <w:rFonts w:ascii="Cambria" w:hAnsi="Cambria" w:cstheme="majorHAnsi"/>
        </w:rPr>
      </w:pPr>
      <w:r w:rsidRPr="009A0DA6">
        <w:rPr>
          <w:rFonts w:ascii="Cambria" w:hAnsi="Cambria" w:cstheme="majorHAnsi"/>
          <w:bCs/>
        </w:rPr>
        <w:t>10.9</w:t>
      </w:r>
      <w:r w:rsidRPr="009A0DA6">
        <w:rPr>
          <w:rFonts w:ascii="Cambria" w:hAnsi="Cambria" w:cstheme="majorHAnsi"/>
          <w:bCs/>
        </w:rPr>
        <w:tab/>
      </w:r>
      <w:r w:rsidRPr="009A0DA6">
        <w:rPr>
          <w:rFonts w:ascii="Cambria" w:hAnsi="Cambria" w:cstheme="majorHAnsi"/>
        </w:rPr>
        <w:t xml:space="preserve"> </w:t>
      </w:r>
      <w:r w:rsidRPr="009A0DA6">
        <w:rPr>
          <w:rFonts w:ascii="Cambria" w:hAnsi="Cambria" w:cstheme="majorHAnsi"/>
          <w:u w:val="single"/>
        </w:rPr>
        <w:t>Adjournment of meetings</w:t>
      </w:r>
      <w:bookmarkEnd w:id="328"/>
    </w:p>
    <w:p w14:paraId="43E43195" w14:textId="77777777" w:rsidR="001B46FC" w:rsidRPr="009A0DA6" w:rsidRDefault="001B46FC" w:rsidP="001B46FC">
      <w:pPr>
        <w:tabs>
          <w:tab w:val="left" w:pos="709"/>
          <w:tab w:val="left" w:pos="1559"/>
          <w:tab w:val="left" w:pos="2552"/>
          <w:tab w:val="left" w:pos="3544"/>
          <w:tab w:val="left" w:pos="4820"/>
        </w:tabs>
        <w:spacing w:after="0" w:line="240" w:lineRule="auto"/>
        <w:ind w:left="1559" w:hanging="1559"/>
        <w:rPr>
          <w:rFonts w:ascii="Cambria" w:hAnsi="Cambria" w:cstheme="majorHAnsi"/>
          <w:bCs/>
        </w:rPr>
      </w:pPr>
      <w:r w:rsidRPr="009A0DA6">
        <w:rPr>
          <w:rFonts w:ascii="Cambria" w:hAnsi="Cambria" w:cstheme="majorHAnsi"/>
          <w:bCs/>
        </w:rPr>
        <w:tab/>
        <w:t>10.9.1</w:t>
      </w:r>
      <w:r w:rsidRPr="009A0DA6">
        <w:rPr>
          <w:rFonts w:ascii="Cambria" w:hAnsi="Cambria" w:cstheme="majorHAnsi"/>
          <w:bCs/>
        </w:rPr>
        <w:tab/>
        <w:t xml:space="preserve">If a quorum is present, a general meeting must be adjourned if a majority of Members present direct the Chair to adjourn it. </w:t>
      </w:r>
    </w:p>
    <w:p w14:paraId="244EFFC4" w14:textId="77777777" w:rsidR="001B46FC" w:rsidRPr="009A0DA6" w:rsidRDefault="001B46FC" w:rsidP="001B46FC">
      <w:pPr>
        <w:tabs>
          <w:tab w:val="left" w:pos="709"/>
          <w:tab w:val="left" w:pos="1559"/>
          <w:tab w:val="left" w:pos="2552"/>
          <w:tab w:val="left" w:pos="3544"/>
          <w:tab w:val="left" w:pos="4820"/>
        </w:tabs>
        <w:spacing w:after="0" w:line="240" w:lineRule="auto"/>
        <w:ind w:left="1559" w:hanging="1559"/>
        <w:rPr>
          <w:rFonts w:ascii="Cambria" w:hAnsi="Cambria" w:cstheme="majorHAnsi"/>
          <w:bCs/>
        </w:rPr>
      </w:pPr>
      <w:r w:rsidRPr="009A0DA6">
        <w:rPr>
          <w:rFonts w:ascii="Cambria" w:hAnsi="Cambria" w:cstheme="majorHAnsi"/>
          <w:bCs/>
        </w:rPr>
        <w:lastRenderedPageBreak/>
        <w:tab/>
        <w:t>10.9.2</w:t>
      </w:r>
      <w:r w:rsidRPr="009A0DA6">
        <w:rPr>
          <w:rFonts w:ascii="Cambria" w:hAnsi="Cambria" w:cstheme="majorHAnsi"/>
          <w:bCs/>
        </w:rPr>
        <w:tab/>
        <w:t xml:space="preserve">Only unfinished business may be dealt with at a meeting resumed after an adjournment. </w:t>
      </w:r>
    </w:p>
    <w:p w14:paraId="05B6C57E" w14:textId="77777777" w:rsidR="001B46FC" w:rsidRPr="009A0DA6" w:rsidRDefault="001B46FC" w:rsidP="001B46FC">
      <w:pPr>
        <w:pStyle w:val="Number2"/>
        <w:tabs>
          <w:tab w:val="left" w:pos="709"/>
          <w:tab w:val="left" w:pos="1559"/>
          <w:tab w:val="left" w:pos="2552"/>
          <w:tab w:val="left" w:pos="3544"/>
          <w:tab w:val="left" w:pos="4820"/>
        </w:tabs>
        <w:spacing w:after="0"/>
        <w:ind w:hanging="1559"/>
        <w:rPr>
          <w:rFonts w:ascii="Cambria" w:eastAsia="Calibri" w:hAnsi="Cambria" w:cstheme="majorHAnsi"/>
          <w:bCs/>
          <w:sz w:val="22"/>
          <w:szCs w:val="22"/>
          <w:lang w:eastAsia="zh-CN"/>
        </w:rPr>
      </w:pPr>
      <w:r w:rsidRPr="009A0DA6">
        <w:rPr>
          <w:rFonts w:ascii="Cambria" w:eastAsia="Calibri" w:hAnsi="Cambria" w:cstheme="majorHAnsi"/>
          <w:bCs/>
          <w:sz w:val="22"/>
          <w:szCs w:val="22"/>
          <w:lang w:eastAsia="zh-CN"/>
        </w:rPr>
        <w:t xml:space="preserve"> </w:t>
      </w:r>
      <w:r w:rsidRPr="009A0DA6">
        <w:rPr>
          <w:rFonts w:ascii="Cambria" w:eastAsia="Calibri" w:hAnsi="Cambria" w:cstheme="majorHAnsi"/>
          <w:bCs/>
          <w:sz w:val="22"/>
          <w:szCs w:val="22"/>
          <w:lang w:eastAsia="zh-CN"/>
        </w:rPr>
        <w:tab/>
        <w:t xml:space="preserve"> </w:t>
      </w:r>
      <w:bookmarkStart w:id="329" w:name="_Toc521575160"/>
      <w:bookmarkStart w:id="330" w:name="_Toc521692710"/>
      <w:bookmarkStart w:id="331" w:name="_Toc521954665"/>
      <w:bookmarkStart w:id="332" w:name="_Toc522395030"/>
      <w:r w:rsidRPr="009A0DA6">
        <w:rPr>
          <w:rFonts w:ascii="Cambria" w:eastAsia="Calibri" w:hAnsi="Cambria" w:cstheme="majorHAnsi"/>
          <w:bCs/>
          <w:sz w:val="22"/>
          <w:szCs w:val="22"/>
          <w:lang w:eastAsia="zh-CN"/>
        </w:rPr>
        <w:t>10.9.3</w:t>
      </w:r>
      <w:r w:rsidRPr="009A0DA6">
        <w:rPr>
          <w:rFonts w:ascii="Cambria" w:eastAsia="Calibri" w:hAnsi="Cambria" w:cstheme="majorHAnsi"/>
          <w:bCs/>
          <w:sz w:val="22"/>
          <w:szCs w:val="22"/>
          <w:lang w:eastAsia="zh-CN"/>
        </w:rPr>
        <w:tab/>
        <w:t>An adjourned general meeting may resume at a different venue to the initial general meeting.</w:t>
      </w:r>
      <w:bookmarkEnd w:id="329"/>
      <w:bookmarkEnd w:id="330"/>
      <w:bookmarkEnd w:id="331"/>
      <w:bookmarkEnd w:id="332"/>
    </w:p>
    <w:p w14:paraId="4FC32A98" w14:textId="77777777" w:rsidR="001B46FC" w:rsidRPr="009A0DA6" w:rsidRDefault="001B46FC" w:rsidP="001B46FC">
      <w:pPr>
        <w:spacing w:before="120"/>
        <w:rPr>
          <w:rFonts w:ascii="Cambria" w:hAnsi="Cambria"/>
          <w:b/>
        </w:rPr>
      </w:pPr>
      <w:r w:rsidRPr="009A0DA6">
        <w:rPr>
          <w:rFonts w:ascii="Cambria" w:hAnsi="Cambria"/>
          <w:b/>
        </w:rPr>
        <w:t>Article 11</w:t>
      </w:r>
      <w:r w:rsidRPr="009A0DA6">
        <w:rPr>
          <w:rFonts w:ascii="Cambria" w:hAnsi="Cambria"/>
          <w:b/>
        </w:rPr>
        <w:tab/>
        <w:t>Voting at meetings</w:t>
      </w:r>
    </w:p>
    <w:p w14:paraId="0D45EF6D"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ind w:left="1559" w:hanging="1559"/>
        <w:rPr>
          <w:rFonts w:ascii="Cambria" w:hAnsi="Cambria" w:cstheme="majorHAnsi"/>
        </w:rPr>
      </w:pPr>
      <w:r w:rsidRPr="009A0DA6">
        <w:rPr>
          <w:rFonts w:ascii="Cambria" w:hAnsi="Cambria" w:cstheme="majorHAnsi"/>
        </w:rPr>
        <w:t>11.1</w:t>
      </w:r>
      <w:r w:rsidRPr="009A0DA6">
        <w:rPr>
          <w:rFonts w:ascii="Cambria" w:hAnsi="Cambria" w:cstheme="majorHAnsi"/>
        </w:rPr>
        <w:tab/>
        <w:t>Each Member has one vote.</w:t>
      </w:r>
    </w:p>
    <w:p w14:paraId="4EFED2C8" w14:textId="77777777" w:rsidR="001B46FC" w:rsidRPr="009A0DA6" w:rsidRDefault="001B46FC" w:rsidP="001B46FC">
      <w:pPr>
        <w:tabs>
          <w:tab w:val="left" w:pos="709"/>
          <w:tab w:val="left" w:pos="1559"/>
          <w:tab w:val="left" w:pos="2552"/>
          <w:tab w:val="left" w:pos="3544"/>
          <w:tab w:val="left" w:pos="4820"/>
        </w:tabs>
        <w:spacing w:after="0" w:line="240" w:lineRule="auto"/>
        <w:ind w:left="1559" w:hanging="1559"/>
        <w:rPr>
          <w:rFonts w:ascii="Cambria" w:hAnsi="Cambria" w:cstheme="majorHAnsi"/>
        </w:rPr>
      </w:pPr>
      <w:bookmarkStart w:id="333" w:name="_Ref362370585"/>
      <w:r w:rsidRPr="009A0DA6">
        <w:rPr>
          <w:rFonts w:ascii="Cambria" w:hAnsi="Cambria" w:cstheme="majorHAnsi"/>
        </w:rPr>
        <w:t>11.2</w:t>
      </w:r>
      <w:r w:rsidRPr="009A0DA6">
        <w:rPr>
          <w:rFonts w:ascii="Cambria" w:hAnsi="Cambria" w:cstheme="majorHAnsi"/>
        </w:rPr>
        <w:tab/>
        <w:t>There shall be no proxy voting.</w:t>
      </w:r>
    </w:p>
    <w:p w14:paraId="20E9269D" w14:textId="77777777" w:rsidR="001B46FC" w:rsidRPr="009A0DA6" w:rsidRDefault="001B46FC" w:rsidP="001B46FC">
      <w:pPr>
        <w:tabs>
          <w:tab w:val="left" w:pos="709"/>
          <w:tab w:val="left" w:pos="1559"/>
          <w:tab w:val="left" w:pos="2552"/>
          <w:tab w:val="left" w:pos="3544"/>
          <w:tab w:val="left" w:pos="4820"/>
        </w:tabs>
        <w:spacing w:after="0" w:line="240" w:lineRule="auto"/>
        <w:ind w:left="709" w:hanging="709"/>
        <w:rPr>
          <w:rFonts w:ascii="Cambria" w:hAnsi="Cambria" w:cstheme="majorHAnsi"/>
          <w:bCs/>
        </w:rPr>
      </w:pPr>
      <w:r w:rsidRPr="009A0DA6">
        <w:rPr>
          <w:rFonts w:ascii="Cambria" w:hAnsi="Cambria" w:cstheme="majorHAnsi"/>
          <w:bCs/>
        </w:rPr>
        <w:t>11.3</w:t>
      </w:r>
      <w:r w:rsidRPr="009A0DA6">
        <w:rPr>
          <w:rFonts w:ascii="Cambria" w:hAnsi="Cambria" w:cstheme="majorHAnsi"/>
          <w:bCs/>
        </w:rPr>
        <w:tab/>
        <w:t xml:space="preserve">The Chair does not have a casting vote in addition to the normal vote as a Director. </w:t>
      </w:r>
    </w:p>
    <w:p w14:paraId="2B7B145A" w14:textId="77777777" w:rsidR="001B46FC" w:rsidRPr="009A0DA6" w:rsidRDefault="001B46FC" w:rsidP="001B46FC">
      <w:pPr>
        <w:tabs>
          <w:tab w:val="left" w:pos="709"/>
          <w:tab w:val="left" w:pos="1559"/>
          <w:tab w:val="left" w:pos="2552"/>
          <w:tab w:val="left" w:pos="3544"/>
          <w:tab w:val="left" w:pos="4820"/>
        </w:tabs>
        <w:spacing w:after="0" w:line="240" w:lineRule="auto"/>
        <w:ind w:left="709" w:hanging="709"/>
        <w:rPr>
          <w:rFonts w:ascii="Cambria" w:hAnsi="Cambria" w:cstheme="majorHAnsi"/>
        </w:rPr>
      </w:pPr>
      <w:r w:rsidRPr="009A0DA6">
        <w:rPr>
          <w:rFonts w:ascii="Cambria" w:hAnsi="Cambria" w:cstheme="majorHAnsi"/>
        </w:rPr>
        <w:t>11.4</w:t>
      </w:r>
      <w:r w:rsidRPr="009A0DA6">
        <w:rPr>
          <w:rFonts w:ascii="Cambria" w:hAnsi="Cambria" w:cstheme="majorHAnsi"/>
        </w:rPr>
        <w:tab/>
        <w:t>Voting must be conducted and decided by</w:t>
      </w:r>
    </w:p>
    <w:p w14:paraId="2BC886D4" w14:textId="77777777" w:rsidR="001B46FC" w:rsidRPr="009A0DA6" w:rsidRDefault="001B46FC" w:rsidP="001B46FC">
      <w:pPr>
        <w:tabs>
          <w:tab w:val="left" w:pos="709"/>
          <w:tab w:val="left" w:pos="1559"/>
          <w:tab w:val="left" w:pos="2552"/>
          <w:tab w:val="left" w:pos="3544"/>
          <w:tab w:val="left" w:pos="4820"/>
        </w:tabs>
        <w:spacing w:after="0" w:line="240" w:lineRule="auto"/>
        <w:ind w:left="1559" w:hanging="1559"/>
        <w:rPr>
          <w:rFonts w:ascii="Cambria" w:hAnsi="Cambria" w:cstheme="majorHAnsi"/>
        </w:rPr>
      </w:pPr>
      <w:r w:rsidRPr="009A0DA6">
        <w:rPr>
          <w:rFonts w:ascii="Cambria" w:hAnsi="Cambria" w:cstheme="majorHAnsi"/>
        </w:rPr>
        <w:tab/>
        <w:t>11.4.1</w:t>
      </w:r>
      <w:r w:rsidRPr="009A0DA6">
        <w:rPr>
          <w:rFonts w:ascii="Cambria" w:hAnsi="Cambria" w:cstheme="majorHAnsi"/>
        </w:rPr>
        <w:tab/>
        <w:t>a show of hands;  or</w:t>
      </w:r>
    </w:p>
    <w:p w14:paraId="46E94D74" w14:textId="77777777" w:rsidR="001B46FC" w:rsidRPr="009A0DA6" w:rsidRDefault="001B46FC" w:rsidP="001B46FC">
      <w:pPr>
        <w:tabs>
          <w:tab w:val="left" w:pos="709"/>
          <w:tab w:val="left" w:pos="1559"/>
          <w:tab w:val="left" w:pos="2552"/>
          <w:tab w:val="left" w:pos="3544"/>
          <w:tab w:val="left" w:pos="4820"/>
        </w:tabs>
        <w:spacing w:after="0" w:line="240" w:lineRule="auto"/>
        <w:ind w:left="1559" w:hanging="1559"/>
        <w:rPr>
          <w:rFonts w:ascii="Cambria" w:hAnsi="Cambria" w:cstheme="majorHAnsi"/>
        </w:rPr>
      </w:pPr>
      <w:r w:rsidRPr="009A0DA6">
        <w:rPr>
          <w:rFonts w:ascii="Cambria" w:hAnsi="Cambria" w:cstheme="majorHAnsi"/>
        </w:rPr>
        <w:tab/>
        <w:t>11.4.2</w:t>
      </w:r>
      <w:r w:rsidRPr="009A0DA6">
        <w:rPr>
          <w:rFonts w:ascii="Cambria" w:hAnsi="Cambria" w:cstheme="majorHAnsi"/>
        </w:rPr>
        <w:tab/>
        <w:t>a vote in writing;  or</w:t>
      </w:r>
    </w:p>
    <w:p w14:paraId="7F4D3E31" w14:textId="77777777" w:rsidR="001B46FC" w:rsidRPr="009A0DA6" w:rsidRDefault="001B46FC" w:rsidP="001B46FC">
      <w:pPr>
        <w:pStyle w:val="ListParagraph"/>
        <w:tabs>
          <w:tab w:val="left" w:pos="709"/>
          <w:tab w:val="left" w:pos="1559"/>
          <w:tab w:val="left" w:pos="2552"/>
          <w:tab w:val="left" w:pos="3544"/>
          <w:tab w:val="left" w:pos="4820"/>
        </w:tabs>
        <w:spacing w:after="0" w:line="240" w:lineRule="auto"/>
        <w:ind w:left="1559" w:hanging="1559"/>
        <w:rPr>
          <w:rFonts w:ascii="Cambria" w:hAnsi="Cambria" w:cstheme="majorHAnsi"/>
        </w:rPr>
      </w:pPr>
      <w:r w:rsidRPr="009A0DA6">
        <w:rPr>
          <w:rFonts w:ascii="Cambria" w:hAnsi="Cambria" w:cstheme="majorHAnsi"/>
        </w:rPr>
        <w:tab/>
        <w:t>11.4.3</w:t>
      </w:r>
      <w:r w:rsidRPr="009A0DA6">
        <w:rPr>
          <w:rFonts w:ascii="Cambria" w:hAnsi="Cambria" w:cstheme="majorHAnsi"/>
        </w:rPr>
        <w:tab/>
        <w:t>another method chosen by the Chair that is fair and reasonable in the circumstances.</w:t>
      </w:r>
      <w:bookmarkEnd w:id="333"/>
    </w:p>
    <w:p w14:paraId="5157E2F3" w14:textId="77777777" w:rsidR="001B46FC" w:rsidRPr="009A0DA6" w:rsidRDefault="001B46FC" w:rsidP="001B46FC">
      <w:pPr>
        <w:tabs>
          <w:tab w:val="left" w:pos="709"/>
          <w:tab w:val="left" w:pos="1559"/>
          <w:tab w:val="left" w:pos="2552"/>
          <w:tab w:val="left" w:pos="3544"/>
          <w:tab w:val="left" w:pos="4820"/>
        </w:tabs>
        <w:spacing w:after="0" w:line="240" w:lineRule="auto"/>
        <w:ind w:left="709" w:hanging="709"/>
        <w:rPr>
          <w:rFonts w:ascii="Cambria" w:hAnsi="Cambria" w:cstheme="majorHAnsi"/>
        </w:rPr>
      </w:pPr>
      <w:r w:rsidRPr="009A0DA6">
        <w:rPr>
          <w:rFonts w:ascii="Cambria" w:hAnsi="Cambria" w:cstheme="majorHAnsi"/>
        </w:rPr>
        <w:t xml:space="preserve">11.5 </w:t>
      </w:r>
      <w:r w:rsidRPr="009A0DA6">
        <w:rPr>
          <w:rFonts w:ascii="Cambria" w:hAnsi="Cambria" w:cstheme="majorHAnsi"/>
        </w:rPr>
        <w:tab/>
        <w:t>On a show of hands the</w:t>
      </w:r>
    </w:p>
    <w:p w14:paraId="33AA5593" w14:textId="77777777" w:rsidR="001B46FC" w:rsidRPr="009A0DA6" w:rsidRDefault="001B46FC" w:rsidP="001B46FC">
      <w:pPr>
        <w:tabs>
          <w:tab w:val="left" w:pos="709"/>
          <w:tab w:val="left" w:pos="1559"/>
          <w:tab w:val="left" w:pos="2552"/>
          <w:tab w:val="left" w:pos="3544"/>
          <w:tab w:val="left" w:pos="4820"/>
        </w:tabs>
        <w:spacing w:after="0" w:line="240" w:lineRule="auto"/>
        <w:ind w:left="1559" w:hanging="1559"/>
        <w:rPr>
          <w:rFonts w:ascii="Cambria" w:hAnsi="Cambria" w:cstheme="majorHAnsi"/>
        </w:rPr>
      </w:pPr>
      <w:r w:rsidRPr="009A0DA6">
        <w:rPr>
          <w:rFonts w:ascii="Cambria" w:hAnsi="Cambria" w:cstheme="majorHAnsi"/>
        </w:rPr>
        <w:tab/>
        <w:t>11.5.1</w:t>
      </w:r>
      <w:r w:rsidRPr="009A0DA6">
        <w:rPr>
          <w:rFonts w:ascii="Cambria" w:hAnsi="Cambria" w:cstheme="majorHAnsi"/>
        </w:rPr>
        <w:tab/>
        <w:t>Chair’s decision is conclusive evidence of the result of the vote;  and</w:t>
      </w:r>
    </w:p>
    <w:p w14:paraId="28A1C551" w14:textId="77777777" w:rsidR="001B46FC" w:rsidRPr="009A0DA6" w:rsidRDefault="001B46FC" w:rsidP="001B46FC">
      <w:pPr>
        <w:tabs>
          <w:tab w:val="left" w:pos="709"/>
          <w:tab w:val="left" w:pos="1559"/>
          <w:tab w:val="left" w:pos="2552"/>
          <w:tab w:val="left" w:pos="3544"/>
          <w:tab w:val="left" w:pos="4820"/>
        </w:tabs>
        <w:spacing w:after="0" w:line="240" w:lineRule="auto"/>
        <w:ind w:left="1559" w:hanging="1559"/>
        <w:rPr>
          <w:rFonts w:ascii="Cambria" w:hAnsi="Cambria" w:cstheme="majorHAnsi"/>
        </w:rPr>
      </w:pPr>
      <w:r w:rsidRPr="009A0DA6">
        <w:rPr>
          <w:rFonts w:ascii="Cambria" w:hAnsi="Cambria" w:cstheme="majorHAnsi"/>
        </w:rPr>
        <w:tab/>
        <w:t>11.5.2</w:t>
      </w:r>
      <w:r w:rsidRPr="009A0DA6">
        <w:rPr>
          <w:rFonts w:ascii="Cambria" w:hAnsi="Cambria" w:cstheme="majorHAnsi"/>
        </w:rPr>
        <w:tab/>
        <w:t xml:space="preserve">Chair and the meeting minutes do not need to state the number or proportion of the votes recorded in favour or against on a show of hands. </w:t>
      </w:r>
    </w:p>
    <w:p w14:paraId="611B70E4" w14:textId="77777777" w:rsidR="001B46FC" w:rsidRPr="009A0DA6" w:rsidRDefault="001B46FC" w:rsidP="001B46FC">
      <w:pPr>
        <w:tabs>
          <w:tab w:val="left" w:pos="709"/>
          <w:tab w:val="left" w:pos="1559"/>
          <w:tab w:val="left" w:pos="2552"/>
          <w:tab w:val="left" w:pos="3544"/>
          <w:tab w:val="left" w:pos="4820"/>
        </w:tabs>
        <w:spacing w:after="0" w:line="240" w:lineRule="auto"/>
        <w:ind w:left="709" w:hanging="709"/>
        <w:rPr>
          <w:rFonts w:ascii="Cambria" w:hAnsi="Cambria" w:cstheme="majorHAnsi"/>
        </w:rPr>
      </w:pPr>
      <w:bookmarkStart w:id="334" w:name="_Ref382914364"/>
      <w:r w:rsidRPr="009A0DA6">
        <w:rPr>
          <w:rFonts w:ascii="Cambria" w:hAnsi="Cambria" w:cstheme="majorHAnsi"/>
        </w:rPr>
        <w:t>11.6</w:t>
      </w:r>
      <w:r w:rsidRPr="009A0DA6">
        <w:rPr>
          <w:rFonts w:ascii="Cambria" w:hAnsi="Cambria" w:cstheme="majorHAnsi"/>
        </w:rPr>
        <w:tab/>
        <w:t>A vote in writing may be demanded on any motion instead of or after a vote by a show of hands by</w:t>
      </w:r>
      <w:bookmarkEnd w:id="334"/>
    </w:p>
    <w:p w14:paraId="74C6CB11" w14:textId="77777777" w:rsidR="001B46FC" w:rsidRPr="009A0DA6" w:rsidRDefault="001B46FC" w:rsidP="001B46FC">
      <w:pPr>
        <w:tabs>
          <w:tab w:val="left" w:pos="709"/>
          <w:tab w:val="left" w:pos="1559"/>
          <w:tab w:val="left" w:pos="2552"/>
          <w:tab w:val="left" w:pos="3544"/>
          <w:tab w:val="left" w:pos="4820"/>
        </w:tabs>
        <w:spacing w:after="0" w:line="240" w:lineRule="auto"/>
        <w:ind w:left="1559" w:hanging="1559"/>
        <w:rPr>
          <w:rFonts w:ascii="Cambria" w:hAnsi="Cambria" w:cstheme="majorHAnsi"/>
        </w:rPr>
      </w:pPr>
      <w:r w:rsidRPr="009A0DA6">
        <w:rPr>
          <w:rFonts w:ascii="Cambria" w:hAnsi="Cambria" w:cstheme="majorHAnsi"/>
        </w:rPr>
        <w:tab/>
        <w:t>11.6.1</w:t>
      </w:r>
      <w:r w:rsidRPr="009A0DA6">
        <w:rPr>
          <w:rFonts w:ascii="Cambria" w:hAnsi="Cambria" w:cstheme="majorHAnsi"/>
        </w:rPr>
        <w:tab/>
        <w:t>at least five Members present;  or</w:t>
      </w:r>
    </w:p>
    <w:p w14:paraId="09694F21" w14:textId="77777777" w:rsidR="001B46FC" w:rsidRPr="009A0DA6" w:rsidRDefault="001B46FC" w:rsidP="001B46FC">
      <w:pPr>
        <w:tabs>
          <w:tab w:val="left" w:pos="709"/>
          <w:tab w:val="left" w:pos="1559"/>
          <w:tab w:val="left" w:pos="2552"/>
          <w:tab w:val="left" w:pos="3544"/>
          <w:tab w:val="left" w:pos="4820"/>
        </w:tabs>
        <w:spacing w:after="0" w:line="240" w:lineRule="auto"/>
        <w:ind w:left="1559" w:hanging="1559"/>
        <w:rPr>
          <w:rFonts w:ascii="Cambria" w:hAnsi="Cambria" w:cstheme="majorHAnsi"/>
        </w:rPr>
      </w:pPr>
      <w:r w:rsidRPr="009A0DA6">
        <w:rPr>
          <w:rFonts w:ascii="Cambria" w:hAnsi="Cambria" w:cstheme="majorHAnsi"/>
        </w:rPr>
        <w:tab/>
        <w:t>11.6.2</w:t>
      </w:r>
      <w:r w:rsidRPr="009A0DA6">
        <w:rPr>
          <w:rFonts w:ascii="Cambria" w:hAnsi="Cambria" w:cstheme="majorHAnsi"/>
        </w:rPr>
        <w:tab/>
        <w:t>the Chair.</w:t>
      </w:r>
    </w:p>
    <w:p w14:paraId="280D5385" w14:textId="77777777" w:rsidR="001B46FC" w:rsidRPr="009A0DA6" w:rsidRDefault="001B46FC" w:rsidP="001B46FC">
      <w:pPr>
        <w:pStyle w:val="ACNCproformasublist"/>
        <w:numPr>
          <w:ilvl w:val="0"/>
          <w:numId w:val="0"/>
        </w:numPr>
        <w:tabs>
          <w:tab w:val="left" w:pos="709"/>
          <w:tab w:val="left" w:pos="1559"/>
          <w:tab w:val="left" w:pos="2552"/>
          <w:tab w:val="left" w:pos="3544"/>
          <w:tab w:val="left" w:pos="4820"/>
        </w:tabs>
        <w:ind w:left="709" w:hanging="709"/>
        <w:rPr>
          <w:rFonts w:ascii="Cambria" w:hAnsi="Cambria" w:cstheme="majorHAnsi"/>
        </w:rPr>
      </w:pPr>
      <w:bookmarkStart w:id="335" w:name="_Ref382914356"/>
      <w:bookmarkStart w:id="336" w:name="_Toc521575161"/>
      <w:bookmarkStart w:id="337" w:name="_Toc521692711"/>
      <w:bookmarkStart w:id="338" w:name="_Toc521954666"/>
      <w:bookmarkStart w:id="339" w:name="_Toc522395031"/>
      <w:r w:rsidRPr="009A0DA6">
        <w:rPr>
          <w:rFonts w:ascii="Cambria" w:hAnsi="Cambria" w:cstheme="majorHAnsi"/>
        </w:rPr>
        <w:t>11.7</w:t>
      </w:r>
      <w:r w:rsidRPr="009A0DA6">
        <w:rPr>
          <w:rFonts w:ascii="Cambria" w:hAnsi="Cambria" w:cstheme="majorHAnsi"/>
        </w:rPr>
        <w:tab/>
        <w:t>A vote in writing must be taken when and how the chair directs, unless Clause 11.8 applies.</w:t>
      </w:r>
      <w:bookmarkEnd w:id="335"/>
      <w:bookmarkEnd w:id="336"/>
      <w:bookmarkEnd w:id="337"/>
      <w:bookmarkEnd w:id="338"/>
      <w:bookmarkEnd w:id="339"/>
    </w:p>
    <w:p w14:paraId="2249E771" w14:textId="77777777" w:rsidR="001B46FC" w:rsidRPr="009A0DA6" w:rsidRDefault="001B46FC" w:rsidP="001B46FC">
      <w:pPr>
        <w:pStyle w:val="ACNCproformasublist"/>
        <w:numPr>
          <w:ilvl w:val="0"/>
          <w:numId w:val="0"/>
        </w:numPr>
        <w:tabs>
          <w:tab w:val="left" w:pos="709"/>
          <w:tab w:val="left" w:pos="1559"/>
          <w:tab w:val="left" w:pos="2552"/>
          <w:tab w:val="left" w:pos="3544"/>
          <w:tab w:val="left" w:pos="4820"/>
        </w:tabs>
        <w:ind w:left="709" w:hanging="709"/>
        <w:rPr>
          <w:rFonts w:ascii="Cambria" w:hAnsi="Cambria" w:cstheme="majorHAnsi"/>
        </w:rPr>
      </w:pPr>
      <w:bookmarkStart w:id="340" w:name="_Ref385409248"/>
      <w:bookmarkStart w:id="341" w:name="_Toc521575162"/>
      <w:bookmarkStart w:id="342" w:name="_Toc521692712"/>
      <w:bookmarkStart w:id="343" w:name="_Toc521954667"/>
      <w:bookmarkStart w:id="344" w:name="_Toc522395032"/>
      <w:r w:rsidRPr="009A0DA6">
        <w:rPr>
          <w:rFonts w:ascii="Cambria" w:hAnsi="Cambria" w:cstheme="majorHAnsi"/>
        </w:rPr>
        <w:t>11.8</w:t>
      </w:r>
      <w:r w:rsidRPr="009A0DA6">
        <w:rPr>
          <w:rFonts w:ascii="Cambria" w:hAnsi="Cambria" w:cstheme="majorHAnsi"/>
        </w:rPr>
        <w:tab/>
        <w:t>A vote in writing must be held immediately if it is demanded</w:t>
      </w:r>
      <w:bookmarkEnd w:id="340"/>
      <w:bookmarkEnd w:id="341"/>
      <w:bookmarkEnd w:id="342"/>
      <w:bookmarkEnd w:id="343"/>
      <w:bookmarkEnd w:id="344"/>
    </w:p>
    <w:p w14:paraId="08409087" w14:textId="77777777" w:rsidR="001B46FC" w:rsidRPr="009A0DA6" w:rsidRDefault="001B46FC" w:rsidP="001B46FC">
      <w:pPr>
        <w:tabs>
          <w:tab w:val="left" w:pos="709"/>
          <w:tab w:val="left" w:pos="1559"/>
          <w:tab w:val="left" w:pos="2552"/>
          <w:tab w:val="left" w:pos="3544"/>
          <w:tab w:val="left" w:pos="4820"/>
        </w:tabs>
        <w:spacing w:after="0" w:line="240" w:lineRule="auto"/>
        <w:ind w:left="1559" w:hanging="1559"/>
        <w:rPr>
          <w:rFonts w:ascii="Cambria" w:hAnsi="Cambria" w:cstheme="majorHAnsi"/>
        </w:rPr>
      </w:pPr>
      <w:r w:rsidRPr="009A0DA6">
        <w:rPr>
          <w:rFonts w:ascii="Cambria" w:hAnsi="Cambria" w:cstheme="majorHAnsi"/>
        </w:rPr>
        <w:tab/>
        <w:t>11.8.1</w:t>
      </w:r>
      <w:r w:rsidRPr="009A0DA6">
        <w:rPr>
          <w:rFonts w:ascii="Cambria" w:hAnsi="Cambria" w:cstheme="majorHAnsi"/>
        </w:rPr>
        <w:tab/>
        <w:t>for the election of a chair under Clause 12.3;  or</w:t>
      </w:r>
    </w:p>
    <w:p w14:paraId="2FF5408B" w14:textId="77777777" w:rsidR="001B46FC" w:rsidRPr="009A0DA6" w:rsidRDefault="001B46FC" w:rsidP="001B46FC">
      <w:pPr>
        <w:tabs>
          <w:tab w:val="left" w:pos="709"/>
          <w:tab w:val="left" w:pos="1559"/>
          <w:tab w:val="left" w:pos="2552"/>
          <w:tab w:val="left" w:pos="3544"/>
          <w:tab w:val="left" w:pos="4820"/>
        </w:tabs>
        <w:spacing w:after="0" w:line="240" w:lineRule="auto"/>
        <w:ind w:left="1559" w:hanging="1559"/>
        <w:rPr>
          <w:rFonts w:ascii="Cambria" w:hAnsi="Cambria" w:cstheme="majorHAnsi"/>
        </w:rPr>
      </w:pPr>
      <w:r w:rsidRPr="009A0DA6">
        <w:rPr>
          <w:rFonts w:ascii="Cambria" w:hAnsi="Cambria" w:cstheme="majorHAnsi"/>
        </w:rPr>
        <w:tab/>
        <w:t>11.8.2</w:t>
      </w:r>
      <w:r w:rsidRPr="009A0DA6">
        <w:rPr>
          <w:rFonts w:ascii="Cambria" w:hAnsi="Cambria" w:cstheme="majorHAnsi"/>
        </w:rPr>
        <w:tab/>
        <w:t>to decide whether to adjourn the meeting.</w:t>
      </w:r>
    </w:p>
    <w:p w14:paraId="6EB9E27E"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ind w:left="709" w:hanging="709"/>
        <w:rPr>
          <w:rFonts w:ascii="Cambria" w:hAnsi="Cambria" w:cstheme="majorHAnsi"/>
        </w:rPr>
      </w:pPr>
      <w:r w:rsidRPr="009A0DA6">
        <w:rPr>
          <w:rFonts w:ascii="Cambria" w:hAnsi="Cambria" w:cstheme="majorHAnsi"/>
        </w:rPr>
        <w:t>11.9</w:t>
      </w:r>
      <w:r w:rsidRPr="009A0DA6">
        <w:rPr>
          <w:rFonts w:ascii="Cambria" w:hAnsi="Cambria" w:cstheme="majorHAnsi"/>
        </w:rPr>
        <w:tab/>
        <w:t xml:space="preserve">A demand for a vote in writing may be withdrawn. </w:t>
      </w:r>
      <w:bookmarkStart w:id="345" w:name="_Ref363039033"/>
    </w:p>
    <w:p w14:paraId="6C32FF58" w14:textId="77777777" w:rsidR="001B46FC" w:rsidRPr="009A0DA6" w:rsidRDefault="001B46FC" w:rsidP="001B46FC">
      <w:pPr>
        <w:spacing w:before="120"/>
        <w:rPr>
          <w:rFonts w:ascii="Cambria" w:hAnsi="Cambria"/>
          <w:b/>
        </w:rPr>
      </w:pPr>
      <w:r w:rsidRPr="009A0DA6">
        <w:rPr>
          <w:rFonts w:ascii="Cambria" w:hAnsi="Cambria"/>
          <w:b/>
        </w:rPr>
        <w:t>Article 12</w:t>
      </w:r>
      <w:r w:rsidRPr="009A0DA6">
        <w:rPr>
          <w:rFonts w:ascii="Cambria" w:hAnsi="Cambria"/>
          <w:b/>
        </w:rPr>
        <w:tab/>
        <w:t>Directors</w:t>
      </w:r>
    </w:p>
    <w:p w14:paraId="7B7AD1AB"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rPr>
          <w:rFonts w:ascii="Cambria" w:hAnsi="Cambria" w:cstheme="majorHAnsi"/>
        </w:rPr>
      </w:pPr>
      <w:r w:rsidRPr="009A0DA6">
        <w:rPr>
          <w:rFonts w:ascii="Cambria" w:hAnsi="Cambria" w:cstheme="majorHAnsi"/>
        </w:rPr>
        <w:t>12.1</w:t>
      </w:r>
      <w:r w:rsidRPr="009A0DA6">
        <w:rPr>
          <w:rFonts w:ascii="Cambria" w:hAnsi="Cambria" w:cstheme="majorHAnsi"/>
        </w:rPr>
        <w:tab/>
      </w:r>
      <w:r w:rsidRPr="009A0DA6">
        <w:rPr>
          <w:rFonts w:ascii="Cambria" w:hAnsi="Cambria" w:cstheme="majorHAnsi"/>
          <w:u w:val="single"/>
        </w:rPr>
        <w:t>Appointment of Directors</w:t>
      </w:r>
      <w:r w:rsidRPr="009A0DA6">
        <w:rPr>
          <w:rFonts w:ascii="Cambria" w:hAnsi="Cambria" w:cstheme="majorHAnsi"/>
        </w:rPr>
        <w:t xml:space="preserve"> </w:t>
      </w:r>
    </w:p>
    <w:p w14:paraId="31CA9352" w14:textId="77777777" w:rsidR="001B46FC" w:rsidRPr="009A0DA6" w:rsidRDefault="001B46FC" w:rsidP="001B46FC">
      <w:pPr>
        <w:pStyle w:val="ListParagraph"/>
        <w:tabs>
          <w:tab w:val="left" w:pos="709"/>
          <w:tab w:val="left" w:pos="1559"/>
          <w:tab w:val="left" w:pos="2552"/>
          <w:tab w:val="left" w:pos="3544"/>
          <w:tab w:val="left" w:pos="4820"/>
        </w:tabs>
        <w:spacing w:after="0" w:line="240" w:lineRule="auto"/>
        <w:ind w:left="0"/>
        <w:contextualSpacing w:val="0"/>
        <w:rPr>
          <w:rFonts w:ascii="Cambria" w:hAnsi="Cambria" w:cstheme="majorHAnsi"/>
        </w:rPr>
      </w:pPr>
      <w:r w:rsidRPr="009A0DA6">
        <w:rPr>
          <w:rFonts w:ascii="Cambria" w:hAnsi="Cambria" w:cstheme="majorHAnsi"/>
        </w:rPr>
        <w:tab/>
        <w:t>12.1.1</w:t>
      </w:r>
      <w:r w:rsidRPr="009A0DA6">
        <w:rPr>
          <w:rFonts w:ascii="Cambria" w:hAnsi="Cambria" w:cstheme="majorHAnsi"/>
        </w:rPr>
        <w:tab/>
        <w:t>The College shall have a Board which shall consist of eight [8] Directors:</w:t>
      </w:r>
    </w:p>
    <w:p w14:paraId="4382708E" w14:textId="77777777" w:rsidR="001B46FC" w:rsidRPr="009A0DA6" w:rsidRDefault="001B46FC" w:rsidP="001B46FC">
      <w:pPr>
        <w:spacing w:after="0"/>
        <w:contextualSpacing/>
        <w:rPr>
          <w:rFonts w:ascii="Cambria" w:hAnsi="Cambria"/>
          <w:b/>
        </w:rPr>
      </w:pPr>
      <w:r w:rsidRPr="009A0DA6">
        <w:rPr>
          <w:rFonts w:ascii="Cambria" w:hAnsi="Cambria"/>
        </w:rPr>
        <w:tab/>
      </w:r>
      <w:r w:rsidRPr="009A0DA6">
        <w:rPr>
          <w:rFonts w:ascii="Cambria" w:hAnsi="Cambria"/>
        </w:rPr>
        <w:tab/>
        <w:t>12.1.1.1</w:t>
      </w:r>
      <w:r w:rsidRPr="009A0DA6">
        <w:rPr>
          <w:rFonts w:ascii="Cambria" w:hAnsi="Cambria"/>
        </w:rPr>
        <w:tab/>
        <w:t>the Bishop of the Church;</w:t>
      </w:r>
    </w:p>
    <w:p w14:paraId="7E24C129" w14:textId="77777777" w:rsidR="001B46FC" w:rsidRPr="009A0DA6" w:rsidRDefault="001B46FC" w:rsidP="001B46FC">
      <w:pPr>
        <w:spacing w:after="0"/>
        <w:contextualSpacing/>
        <w:rPr>
          <w:rFonts w:ascii="Cambria" w:hAnsi="Cambria"/>
          <w:b/>
        </w:rPr>
      </w:pPr>
      <w:r w:rsidRPr="009A0DA6">
        <w:rPr>
          <w:rFonts w:ascii="Cambria" w:hAnsi="Cambria"/>
        </w:rPr>
        <w:tab/>
        <w:t>12.1.1.2</w:t>
      </w:r>
      <w:r w:rsidRPr="009A0DA6">
        <w:rPr>
          <w:rFonts w:ascii="Cambria" w:hAnsi="Cambria"/>
        </w:rPr>
        <w:tab/>
        <w:t xml:space="preserve">two [2] pastors of the Church appointed by the General Church Council;  </w:t>
      </w:r>
      <w:r w:rsidRPr="009A0DA6">
        <w:rPr>
          <w:rFonts w:ascii="Cambria" w:hAnsi="Cambria"/>
        </w:rPr>
        <w:tab/>
      </w:r>
      <w:r w:rsidRPr="009A0DA6">
        <w:rPr>
          <w:rFonts w:ascii="Cambria" w:hAnsi="Cambria"/>
        </w:rPr>
        <w:tab/>
      </w:r>
      <w:r w:rsidRPr="009A0DA6">
        <w:rPr>
          <w:rFonts w:ascii="Cambria" w:hAnsi="Cambria"/>
        </w:rPr>
        <w:tab/>
        <w:t>and</w:t>
      </w:r>
    </w:p>
    <w:p w14:paraId="63135055" w14:textId="77777777" w:rsidR="001B46FC" w:rsidRPr="009A0DA6" w:rsidRDefault="001B46FC" w:rsidP="001B46FC">
      <w:pPr>
        <w:spacing w:after="0"/>
        <w:contextualSpacing/>
        <w:rPr>
          <w:rFonts w:ascii="Cambria" w:hAnsi="Cambria"/>
          <w:b/>
        </w:rPr>
      </w:pPr>
      <w:r w:rsidRPr="009A0DA6">
        <w:rPr>
          <w:rFonts w:ascii="Cambria" w:hAnsi="Cambria"/>
        </w:rPr>
        <w:tab/>
        <w:t>12.1.1.3</w:t>
      </w:r>
      <w:r w:rsidRPr="009A0DA6">
        <w:rPr>
          <w:rFonts w:ascii="Cambria" w:hAnsi="Cambria"/>
        </w:rPr>
        <w:tab/>
        <w:t>five [5] lay people who are voting members of congregations of the Church appointed by the General Church Council.</w:t>
      </w:r>
    </w:p>
    <w:p w14:paraId="76FDB241" w14:textId="77777777" w:rsidR="001B46FC" w:rsidRPr="009A0DA6" w:rsidRDefault="001B46FC" w:rsidP="001B46FC">
      <w:pPr>
        <w:tabs>
          <w:tab w:val="left" w:pos="709"/>
          <w:tab w:val="left" w:pos="1559"/>
          <w:tab w:val="left" w:pos="2552"/>
          <w:tab w:val="left" w:pos="3544"/>
          <w:tab w:val="left" w:pos="4820"/>
        </w:tabs>
        <w:spacing w:after="0"/>
        <w:rPr>
          <w:rFonts w:ascii="Cambria" w:hAnsi="Cambria" w:cstheme="majorHAnsi"/>
        </w:rPr>
      </w:pPr>
      <w:r w:rsidRPr="009A0DA6">
        <w:rPr>
          <w:rFonts w:ascii="Cambria" w:hAnsi="Cambria" w:cstheme="majorHAnsi"/>
        </w:rPr>
        <w:tab/>
        <w:t>12.1.2</w:t>
      </w:r>
      <w:r w:rsidRPr="009A0DA6">
        <w:rPr>
          <w:rFonts w:ascii="Cambria" w:hAnsi="Cambria" w:cstheme="majorHAnsi"/>
        </w:rPr>
        <w:tab/>
        <w:t>The Board may continue to operate with up to two casual vacancies.</w:t>
      </w:r>
    </w:p>
    <w:p w14:paraId="7DAC5E99" w14:textId="77777777" w:rsidR="001B46FC" w:rsidRPr="009A0DA6" w:rsidRDefault="001B46FC" w:rsidP="001B46FC">
      <w:pPr>
        <w:tabs>
          <w:tab w:val="left" w:pos="709"/>
          <w:tab w:val="left" w:pos="1559"/>
          <w:tab w:val="left" w:pos="2552"/>
          <w:tab w:val="left" w:pos="3544"/>
          <w:tab w:val="left" w:pos="4820"/>
        </w:tabs>
        <w:spacing w:after="0"/>
        <w:rPr>
          <w:rFonts w:ascii="Cambria" w:hAnsi="Cambria" w:cstheme="majorHAnsi"/>
        </w:rPr>
      </w:pPr>
      <w:r w:rsidRPr="009A0DA6">
        <w:rPr>
          <w:rFonts w:ascii="Cambria" w:hAnsi="Cambria" w:cstheme="majorHAnsi"/>
        </w:rPr>
        <w:t>12.2</w:t>
      </w:r>
      <w:r w:rsidRPr="009A0DA6">
        <w:rPr>
          <w:rFonts w:ascii="Cambria" w:hAnsi="Cambria" w:cstheme="majorHAnsi"/>
        </w:rPr>
        <w:tab/>
      </w:r>
      <w:r w:rsidRPr="009A0DA6">
        <w:rPr>
          <w:rFonts w:ascii="Cambria" w:hAnsi="Cambria" w:cstheme="majorHAnsi"/>
          <w:u w:val="single"/>
        </w:rPr>
        <w:t>Advice to the Directors</w:t>
      </w:r>
      <w:r w:rsidRPr="009A0DA6">
        <w:rPr>
          <w:rFonts w:ascii="Cambria" w:hAnsi="Cambria" w:cstheme="majorHAnsi"/>
        </w:rPr>
        <w:t xml:space="preserve"> </w:t>
      </w:r>
    </w:p>
    <w:p w14:paraId="58B5FE81" w14:textId="535084E5" w:rsidR="001B46FC" w:rsidRPr="009A0DA6" w:rsidRDefault="001B46FC" w:rsidP="001B46FC">
      <w:pPr>
        <w:tabs>
          <w:tab w:val="left" w:pos="709"/>
          <w:tab w:val="left" w:pos="1559"/>
          <w:tab w:val="left" w:pos="2552"/>
          <w:tab w:val="left" w:pos="3544"/>
          <w:tab w:val="left" w:pos="4820"/>
        </w:tabs>
        <w:spacing w:after="0" w:line="240" w:lineRule="auto"/>
        <w:ind w:left="1559" w:hanging="1559"/>
        <w:rPr>
          <w:rFonts w:ascii="Cambria" w:hAnsi="Cambria" w:cstheme="majorHAnsi"/>
        </w:rPr>
      </w:pPr>
      <w:r w:rsidRPr="009A0DA6">
        <w:rPr>
          <w:rFonts w:ascii="Cambria" w:hAnsi="Cambria" w:cstheme="majorHAnsi"/>
        </w:rPr>
        <w:tab/>
        <w:t>12.2.1</w:t>
      </w:r>
      <w:r w:rsidRPr="009A0DA6">
        <w:rPr>
          <w:rFonts w:ascii="Cambria" w:hAnsi="Cambria" w:cstheme="majorHAnsi"/>
        </w:rPr>
        <w:tab/>
        <w:t>By invitation of the Directors, consultants and others shall attend board meetings to provide advice which the Directors shall use as they see fit</w:t>
      </w:r>
      <w:r w:rsidR="0027799A" w:rsidRPr="009A0DA6">
        <w:rPr>
          <w:rFonts w:ascii="Cambria" w:hAnsi="Cambria" w:cstheme="majorHAnsi"/>
        </w:rPr>
        <w:t xml:space="preserve">. </w:t>
      </w:r>
      <w:r w:rsidRPr="009A0DA6">
        <w:rPr>
          <w:rFonts w:ascii="Cambria" w:hAnsi="Cambria" w:cstheme="majorHAnsi"/>
        </w:rPr>
        <w:t>These include but are not limited to</w:t>
      </w:r>
    </w:p>
    <w:p w14:paraId="58F17C7E" w14:textId="77777777" w:rsidR="001B46FC" w:rsidRPr="009A0DA6" w:rsidRDefault="001B46FC" w:rsidP="001B46FC">
      <w:pPr>
        <w:tabs>
          <w:tab w:val="left" w:pos="709"/>
          <w:tab w:val="left" w:pos="1559"/>
          <w:tab w:val="left" w:pos="2552"/>
          <w:tab w:val="left" w:pos="3544"/>
          <w:tab w:val="left" w:pos="4820"/>
        </w:tabs>
        <w:spacing w:after="0" w:line="240" w:lineRule="auto"/>
        <w:rPr>
          <w:rFonts w:ascii="Cambria" w:hAnsi="Cambria" w:cstheme="majorHAnsi"/>
        </w:rPr>
      </w:pPr>
      <w:r w:rsidRPr="009A0DA6">
        <w:rPr>
          <w:rFonts w:ascii="Cambria" w:hAnsi="Cambria" w:cstheme="majorHAnsi"/>
        </w:rPr>
        <w:tab/>
      </w:r>
      <w:r w:rsidRPr="009A0DA6">
        <w:rPr>
          <w:rFonts w:ascii="Cambria" w:hAnsi="Cambria" w:cstheme="majorHAnsi"/>
        </w:rPr>
        <w:tab/>
        <w:t xml:space="preserve">12.2.2.1 </w:t>
      </w:r>
      <w:r w:rsidRPr="009A0DA6">
        <w:rPr>
          <w:rFonts w:ascii="Cambria" w:hAnsi="Cambria" w:cstheme="majorHAnsi"/>
        </w:rPr>
        <w:tab/>
        <w:t xml:space="preserve">Principal of the College; </w:t>
      </w:r>
    </w:p>
    <w:p w14:paraId="4341E19D" w14:textId="77777777" w:rsidR="001B46FC" w:rsidRPr="009A0DA6" w:rsidRDefault="001B46FC" w:rsidP="001B46FC">
      <w:pPr>
        <w:tabs>
          <w:tab w:val="left" w:pos="709"/>
          <w:tab w:val="left" w:pos="1559"/>
          <w:tab w:val="left" w:pos="2552"/>
          <w:tab w:val="left" w:pos="3544"/>
          <w:tab w:val="left" w:pos="4820"/>
        </w:tabs>
        <w:spacing w:after="0" w:line="240" w:lineRule="auto"/>
        <w:rPr>
          <w:rFonts w:ascii="Cambria" w:hAnsi="Cambria" w:cstheme="majorHAnsi"/>
        </w:rPr>
      </w:pPr>
      <w:r w:rsidRPr="009A0DA6">
        <w:rPr>
          <w:rFonts w:ascii="Cambria" w:hAnsi="Cambria" w:cstheme="majorHAnsi"/>
        </w:rPr>
        <w:tab/>
      </w:r>
      <w:r w:rsidRPr="009A0DA6">
        <w:rPr>
          <w:rFonts w:ascii="Cambria" w:hAnsi="Cambria" w:cstheme="majorHAnsi"/>
        </w:rPr>
        <w:tab/>
        <w:t xml:space="preserve">12.2.2.2 </w:t>
      </w:r>
      <w:r w:rsidRPr="009A0DA6">
        <w:rPr>
          <w:rFonts w:ascii="Cambria" w:hAnsi="Cambria" w:cstheme="majorHAnsi"/>
        </w:rPr>
        <w:tab/>
        <w:t>Dean;</w:t>
      </w:r>
    </w:p>
    <w:p w14:paraId="517916D5" w14:textId="77777777" w:rsidR="001B46FC" w:rsidRPr="009A0DA6" w:rsidRDefault="001B46FC" w:rsidP="001B46FC">
      <w:pPr>
        <w:tabs>
          <w:tab w:val="left" w:pos="709"/>
          <w:tab w:val="left" w:pos="1559"/>
          <w:tab w:val="left" w:pos="2552"/>
          <w:tab w:val="left" w:pos="3544"/>
          <w:tab w:val="left" w:pos="4820"/>
        </w:tabs>
        <w:spacing w:after="0" w:line="240" w:lineRule="auto"/>
        <w:rPr>
          <w:rFonts w:ascii="Cambria" w:hAnsi="Cambria" w:cstheme="majorHAnsi"/>
        </w:rPr>
      </w:pPr>
      <w:r w:rsidRPr="009A0DA6">
        <w:rPr>
          <w:rFonts w:ascii="Cambria" w:hAnsi="Cambria" w:cstheme="majorHAnsi"/>
        </w:rPr>
        <w:tab/>
      </w:r>
      <w:r w:rsidRPr="009A0DA6">
        <w:rPr>
          <w:rFonts w:ascii="Cambria" w:hAnsi="Cambria" w:cstheme="majorHAnsi"/>
        </w:rPr>
        <w:tab/>
        <w:t xml:space="preserve">12.2.2.3 </w:t>
      </w:r>
      <w:r w:rsidRPr="009A0DA6">
        <w:rPr>
          <w:rFonts w:ascii="Cambria" w:hAnsi="Cambria" w:cstheme="majorHAnsi"/>
        </w:rPr>
        <w:tab/>
        <w:t>Business Manager;</w:t>
      </w:r>
    </w:p>
    <w:p w14:paraId="2D6DB834" w14:textId="77777777" w:rsidR="001B46FC" w:rsidRPr="009A0DA6" w:rsidRDefault="001B46FC" w:rsidP="001B46FC">
      <w:pPr>
        <w:tabs>
          <w:tab w:val="left" w:pos="709"/>
          <w:tab w:val="left" w:pos="1559"/>
          <w:tab w:val="left" w:pos="2552"/>
          <w:tab w:val="left" w:pos="3544"/>
          <w:tab w:val="left" w:pos="4820"/>
        </w:tabs>
        <w:spacing w:after="0" w:line="240" w:lineRule="auto"/>
        <w:rPr>
          <w:rFonts w:ascii="Cambria" w:hAnsi="Cambria" w:cstheme="majorHAnsi"/>
        </w:rPr>
      </w:pPr>
      <w:r w:rsidRPr="009A0DA6">
        <w:rPr>
          <w:rFonts w:ascii="Cambria" w:hAnsi="Cambria" w:cstheme="majorHAnsi"/>
        </w:rPr>
        <w:tab/>
      </w:r>
      <w:r w:rsidRPr="009A0DA6">
        <w:rPr>
          <w:rFonts w:ascii="Cambria" w:hAnsi="Cambria" w:cstheme="majorHAnsi"/>
        </w:rPr>
        <w:tab/>
        <w:t xml:space="preserve">12.2.2.4 </w:t>
      </w:r>
      <w:r w:rsidRPr="009A0DA6">
        <w:rPr>
          <w:rFonts w:ascii="Cambria" w:hAnsi="Cambria" w:cstheme="majorHAnsi"/>
        </w:rPr>
        <w:tab/>
        <w:t>Auditor;  and</w:t>
      </w:r>
    </w:p>
    <w:p w14:paraId="65408006" w14:textId="77777777" w:rsidR="001B46FC" w:rsidRPr="009A0DA6" w:rsidRDefault="001B46FC" w:rsidP="001B46FC">
      <w:pPr>
        <w:tabs>
          <w:tab w:val="left" w:pos="709"/>
          <w:tab w:val="left" w:pos="1559"/>
          <w:tab w:val="left" w:pos="2552"/>
          <w:tab w:val="left" w:pos="3544"/>
          <w:tab w:val="left" w:pos="4820"/>
        </w:tabs>
        <w:spacing w:after="0" w:line="240" w:lineRule="auto"/>
        <w:rPr>
          <w:rFonts w:ascii="Cambria" w:hAnsi="Cambria" w:cstheme="majorHAnsi"/>
        </w:rPr>
      </w:pPr>
      <w:r w:rsidRPr="009A0DA6">
        <w:rPr>
          <w:rFonts w:ascii="Cambria" w:hAnsi="Cambria" w:cstheme="majorHAnsi"/>
        </w:rPr>
        <w:tab/>
      </w:r>
      <w:r w:rsidRPr="009A0DA6">
        <w:rPr>
          <w:rFonts w:ascii="Cambria" w:hAnsi="Cambria" w:cstheme="majorHAnsi"/>
        </w:rPr>
        <w:tab/>
        <w:t xml:space="preserve">12.2.2.5 </w:t>
      </w:r>
      <w:r w:rsidRPr="009A0DA6">
        <w:rPr>
          <w:rFonts w:ascii="Cambria" w:hAnsi="Cambria" w:cstheme="majorHAnsi"/>
        </w:rPr>
        <w:tab/>
        <w:t xml:space="preserve">others that the Directors decide provide specific expertise. </w:t>
      </w:r>
    </w:p>
    <w:p w14:paraId="767C5DE9" w14:textId="77777777" w:rsidR="001B46FC" w:rsidRPr="009A0DA6" w:rsidRDefault="001B46FC" w:rsidP="001B46FC">
      <w:pPr>
        <w:tabs>
          <w:tab w:val="left" w:pos="709"/>
          <w:tab w:val="left" w:pos="1559"/>
          <w:tab w:val="left" w:pos="2552"/>
          <w:tab w:val="left" w:pos="3544"/>
          <w:tab w:val="left" w:pos="4820"/>
        </w:tabs>
        <w:spacing w:after="0" w:line="240" w:lineRule="auto"/>
        <w:rPr>
          <w:rFonts w:ascii="Cambria" w:hAnsi="Cambria" w:cstheme="majorHAnsi"/>
        </w:rPr>
      </w:pPr>
      <w:r w:rsidRPr="009A0DA6">
        <w:rPr>
          <w:rFonts w:ascii="Cambria" w:hAnsi="Cambria" w:cstheme="majorHAnsi"/>
        </w:rPr>
        <w:tab/>
        <w:t>12.2.2</w:t>
      </w:r>
      <w:r w:rsidRPr="009A0DA6">
        <w:rPr>
          <w:rFonts w:ascii="Cambria" w:hAnsi="Cambria" w:cstheme="majorHAnsi"/>
        </w:rPr>
        <w:tab/>
        <w:t>These shall have no voting rights.</w:t>
      </w:r>
    </w:p>
    <w:p w14:paraId="1C2BBDE4" w14:textId="77777777" w:rsidR="001B46FC" w:rsidRPr="009A0DA6" w:rsidRDefault="001B46FC" w:rsidP="001B46FC">
      <w:pPr>
        <w:tabs>
          <w:tab w:val="left" w:pos="709"/>
          <w:tab w:val="left" w:pos="1559"/>
          <w:tab w:val="left" w:pos="2552"/>
          <w:tab w:val="left" w:pos="3544"/>
          <w:tab w:val="left" w:pos="4820"/>
        </w:tabs>
        <w:spacing w:after="0" w:line="240" w:lineRule="auto"/>
        <w:rPr>
          <w:rFonts w:ascii="Cambria" w:hAnsi="Cambria" w:cstheme="majorHAnsi"/>
        </w:rPr>
      </w:pPr>
      <w:bookmarkStart w:id="346" w:name="_Ref393795392"/>
      <w:r w:rsidRPr="009A0DA6">
        <w:rPr>
          <w:rFonts w:ascii="Cambria" w:hAnsi="Cambria" w:cstheme="majorHAnsi"/>
          <w:bCs/>
        </w:rPr>
        <w:t>12.3</w:t>
      </w:r>
      <w:r w:rsidRPr="009A0DA6">
        <w:rPr>
          <w:rFonts w:ascii="Cambria" w:hAnsi="Cambria" w:cstheme="majorHAnsi"/>
        </w:rPr>
        <w:tab/>
      </w:r>
      <w:r w:rsidRPr="009A0DA6">
        <w:rPr>
          <w:rFonts w:ascii="Cambria" w:hAnsi="Cambria" w:cstheme="majorHAnsi"/>
          <w:u w:val="single"/>
        </w:rPr>
        <w:t xml:space="preserve">Election of </w:t>
      </w:r>
      <w:bookmarkEnd w:id="346"/>
      <w:r w:rsidRPr="009A0DA6">
        <w:rPr>
          <w:rFonts w:ascii="Cambria" w:hAnsi="Cambria" w:cstheme="majorHAnsi"/>
          <w:u w:val="single"/>
        </w:rPr>
        <w:t>Officers</w:t>
      </w:r>
      <w:r w:rsidRPr="009A0DA6">
        <w:rPr>
          <w:rFonts w:ascii="Cambria" w:hAnsi="Cambria" w:cstheme="majorHAnsi"/>
        </w:rPr>
        <w:t xml:space="preserve"> </w:t>
      </w:r>
    </w:p>
    <w:p w14:paraId="55208C40"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ind w:left="1559" w:hanging="1559"/>
        <w:rPr>
          <w:rFonts w:ascii="Cambria" w:hAnsi="Cambria" w:cstheme="majorHAnsi"/>
        </w:rPr>
      </w:pPr>
      <w:r w:rsidRPr="009A0DA6">
        <w:rPr>
          <w:rFonts w:ascii="Cambria" w:hAnsi="Cambria" w:cstheme="majorHAnsi"/>
        </w:rPr>
        <w:tab/>
        <w:t>12.3.1</w:t>
      </w:r>
      <w:r w:rsidRPr="009A0DA6">
        <w:rPr>
          <w:rFonts w:ascii="Cambria" w:hAnsi="Cambria" w:cstheme="majorHAnsi"/>
        </w:rPr>
        <w:tab/>
        <w:t>At the annual general meeting the Directors shall elect a Director as the College’s</w:t>
      </w:r>
    </w:p>
    <w:p w14:paraId="5CB14479"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rPr>
          <w:rFonts w:ascii="Cambria" w:hAnsi="Cambria" w:cstheme="majorHAnsi"/>
        </w:rPr>
      </w:pPr>
      <w:r w:rsidRPr="009A0DA6">
        <w:rPr>
          <w:rFonts w:ascii="Cambria" w:hAnsi="Cambria" w:cstheme="majorHAnsi"/>
        </w:rPr>
        <w:tab/>
      </w:r>
      <w:r w:rsidRPr="009A0DA6">
        <w:rPr>
          <w:rFonts w:ascii="Cambria" w:hAnsi="Cambria" w:cstheme="majorHAnsi"/>
        </w:rPr>
        <w:tab/>
        <w:t>12.3.3.1</w:t>
      </w:r>
      <w:r w:rsidRPr="009A0DA6">
        <w:rPr>
          <w:rFonts w:ascii="Cambria" w:hAnsi="Cambria" w:cstheme="majorHAnsi"/>
        </w:rPr>
        <w:tab/>
        <w:t>Chair, on nomination of the General Church Council;</w:t>
      </w:r>
    </w:p>
    <w:p w14:paraId="179CABE7"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rPr>
          <w:rFonts w:ascii="Cambria" w:hAnsi="Cambria" w:cstheme="majorHAnsi"/>
        </w:rPr>
      </w:pPr>
      <w:r w:rsidRPr="009A0DA6">
        <w:rPr>
          <w:rFonts w:ascii="Cambria" w:hAnsi="Cambria" w:cstheme="majorHAnsi"/>
        </w:rPr>
        <w:tab/>
      </w:r>
      <w:r w:rsidRPr="009A0DA6">
        <w:rPr>
          <w:rFonts w:ascii="Cambria" w:hAnsi="Cambria" w:cstheme="majorHAnsi"/>
        </w:rPr>
        <w:tab/>
        <w:t xml:space="preserve">12.3.3.2 </w:t>
      </w:r>
      <w:r w:rsidRPr="009A0DA6">
        <w:rPr>
          <w:rFonts w:ascii="Cambria" w:hAnsi="Cambria" w:cstheme="majorHAnsi"/>
        </w:rPr>
        <w:tab/>
        <w:t>Vice-Chair;  and</w:t>
      </w:r>
    </w:p>
    <w:p w14:paraId="707B7D81"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rPr>
          <w:rFonts w:ascii="Cambria" w:hAnsi="Cambria" w:cstheme="majorHAnsi"/>
        </w:rPr>
      </w:pPr>
      <w:r w:rsidRPr="009A0DA6">
        <w:rPr>
          <w:rFonts w:ascii="Cambria" w:hAnsi="Cambria" w:cstheme="majorHAnsi"/>
        </w:rPr>
        <w:tab/>
      </w:r>
      <w:r w:rsidRPr="009A0DA6">
        <w:rPr>
          <w:rFonts w:ascii="Cambria" w:hAnsi="Cambria" w:cstheme="majorHAnsi"/>
        </w:rPr>
        <w:tab/>
        <w:t xml:space="preserve">12.3.3.3 </w:t>
      </w:r>
      <w:r w:rsidRPr="009A0DA6">
        <w:rPr>
          <w:rFonts w:ascii="Cambria" w:hAnsi="Cambria" w:cstheme="majorHAnsi"/>
        </w:rPr>
        <w:tab/>
        <w:t>Secretary</w:t>
      </w:r>
      <w:bookmarkEnd w:id="345"/>
      <w:r w:rsidRPr="009A0DA6">
        <w:rPr>
          <w:rFonts w:ascii="Cambria" w:hAnsi="Cambria" w:cstheme="majorHAnsi"/>
        </w:rPr>
        <w:t>.</w:t>
      </w:r>
    </w:p>
    <w:p w14:paraId="4C8AADBB"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rPr>
          <w:rFonts w:ascii="Cambria" w:hAnsi="Cambria" w:cstheme="majorHAnsi"/>
        </w:rPr>
      </w:pPr>
      <w:r w:rsidRPr="009A0DA6">
        <w:rPr>
          <w:rFonts w:ascii="Cambria" w:hAnsi="Cambria" w:cstheme="majorHAnsi"/>
          <w:bCs/>
        </w:rPr>
        <w:t>12.4</w:t>
      </w:r>
      <w:r w:rsidRPr="009A0DA6">
        <w:rPr>
          <w:rFonts w:ascii="Cambria" w:hAnsi="Cambria" w:cstheme="majorHAnsi"/>
        </w:rPr>
        <w:tab/>
      </w:r>
      <w:r w:rsidRPr="009A0DA6">
        <w:rPr>
          <w:rFonts w:ascii="Cambria" w:hAnsi="Cambria" w:cstheme="majorHAnsi"/>
          <w:u w:val="single"/>
        </w:rPr>
        <w:t>Term of office</w:t>
      </w:r>
    </w:p>
    <w:p w14:paraId="7F37C01D" w14:textId="77777777" w:rsidR="001B46FC" w:rsidRPr="009A0DA6" w:rsidRDefault="001B46FC" w:rsidP="001B46FC">
      <w:pPr>
        <w:pStyle w:val="Number2"/>
        <w:numPr>
          <w:ilvl w:val="0"/>
          <w:numId w:val="0"/>
        </w:numPr>
        <w:tabs>
          <w:tab w:val="left" w:pos="709"/>
          <w:tab w:val="left" w:pos="1559"/>
          <w:tab w:val="left" w:pos="2552"/>
          <w:tab w:val="left" w:pos="3544"/>
          <w:tab w:val="left" w:pos="4820"/>
        </w:tabs>
        <w:spacing w:after="0"/>
        <w:ind w:left="1559" w:hanging="1559"/>
        <w:jc w:val="left"/>
        <w:rPr>
          <w:rFonts w:ascii="Cambria" w:hAnsi="Cambria" w:cstheme="majorHAnsi"/>
          <w:sz w:val="22"/>
          <w:szCs w:val="22"/>
        </w:rPr>
      </w:pPr>
      <w:r w:rsidRPr="009A0DA6">
        <w:rPr>
          <w:rFonts w:ascii="Cambria" w:hAnsi="Cambria" w:cstheme="majorHAnsi"/>
          <w:sz w:val="22"/>
          <w:szCs w:val="22"/>
        </w:rPr>
        <w:lastRenderedPageBreak/>
        <w:tab/>
      </w:r>
      <w:bookmarkStart w:id="347" w:name="_Toc521575163"/>
      <w:bookmarkStart w:id="348" w:name="_Toc521692713"/>
      <w:bookmarkStart w:id="349" w:name="_Toc521954668"/>
      <w:bookmarkStart w:id="350" w:name="_Toc522395033"/>
      <w:r w:rsidRPr="009A0DA6">
        <w:rPr>
          <w:rFonts w:ascii="Cambria" w:hAnsi="Cambria" w:cstheme="majorHAnsi"/>
          <w:sz w:val="22"/>
          <w:szCs w:val="22"/>
        </w:rPr>
        <w:t>12.4.1</w:t>
      </w:r>
      <w:r w:rsidRPr="009A0DA6">
        <w:rPr>
          <w:rFonts w:ascii="Cambria" w:hAnsi="Cambria" w:cstheme="majorHAnsi"/>
          <w:sz w:val="22"/>
          <w:szCs w:val="22"/>
        </w:rPr>
        <w:tab/>
        <w:t>A Director appointed by the General Church Council will commence the term of appointment three [3] months after the Convention of General Synod and will hold office until three [3] months after the next Convention of General Synod.</w:t>
      </w:r>
      <w:bookmarkEnd w:id="347"/>
      <w:bookmarkEnd w:id="348"/>
      <w:bookmarkEnd w:id="349"/>
      <w:bookmarkEnd w:id="350"/>
    </w:p>
    <w:p w14:paraId="18D208EE" w14:textId="77777777" w:rsidR="001B46FC" w:rsidRPr="009A0DA6" w:rsidRDefault="001B46FC" w:rsidP="001B46FC">
      <w:pPr>
        <w:tabs>
          <w:tab w:val="left" w:pos="709"/>
          <w:tab w:val="left" w:pos="1559"/>
          <w:tab w:val="left" w:pos="2552"/>
          <w:tab w:val="left" w:pos="3544"/>
          <w:tab w:val="left" w:pos="4820"/>
        </w:tabs>
        <w:spacing w:after="0" w:line="240" w:lineRule="auto"/>
        <w:ind w:left="1559" w:hanging="1559"/>
        <w:rPr>
          <w:rFonts w:ascii="Cambria" w:hAnsi="Cambria" w:cstheme="majorHAnsi"/>
        </w:rPr>
      </w:pPr>
      <w:r w:rsidRPr="009A0DA6">
        <w:rPr>
          <w:rFonts w:ascii="Cambria" w:hAnsi="Cambria" w:cstheme="majorHAnsi"/>
        </w:rPr>
        <w:tab/>
        <w:t>12.4.2</w:t>
      </w:r>
      <w:r w:rsidRPr="009A0DA6">
        <w:rPr>
          <w:rFonts w:ascii="Cambria" w:hAnsi="Cambria" w:cstheme="majorHAnsi"/>
        </w:rPr>
        <w:tab/>
        <w:t>At the end of the term of appointment a Director may be reappointed.</w:t>
      </w:r>
    </w:p>
    <w:p w14:paraId="4CAD579F" w14:textId="77777777" w:rsidR="001B46FC" w:rsidRPr="009A0DA6" w:rsidRDefault="001B46FC" w:rsidP="001B46FC">
      <w:pPr>
        <w:tabs>
          <w:tab w:val="left" w:pos="709"/>
          <w:tab w:val="left" w:pos="1559"/>
          <w:tab w:val="left" w:pos="2552"/>
          <w:tab w:val="left" w:pos="3544"/>
          <w:tab w:val="left" w:pos="4820"/>
        </w:tabs>
        <w:spacing w:after="0" w:line="240" w:lineRule="auto"/>
        <w:ind w:left="1559" w:hanging="1559"/>
        <w:rPr>
          <w:rFonts w:ascii="Cambria" w:hAnsi="Cambria" w:cstheme="majorHAnsi"/>
        </w:rPr>
      </w:pPr>
      <w:r w:rsidRPr="009A0DA6">
        <w:rPr>
          <w:rFonts w:ascii="Cambria" w:hAnsi="Cambria" w:cstheme="majorHAnsi"/>
        </w:rPr>
        <w:tab/>
        <w:t>12.4.3</w:t>
      </w:r>
      <w:r w:rsidRPr="009A0DA6">
        <w:rPr>
          <w:rFonts w:ascii="Cambria" w:hAnsi="Cambria" w:cstheme="majorHAnsi"/>
        </w:rPr>
        <w:tab/>
        <w:t xml:space="preserve">All Directors </w:t>
      </w:r>
      <w:r w:rsidRPr="009A0DA6">
        <w:rPr>
          <w:rFonts w:ascii="Cambria" w:hAnsi="Cambria" w:cstheme="majorHAnsi"/>
          <w:bCs/>
        </w:rPr>
        <w:t>shall be eligible to stand subject to the requirements of the Corporations Act and the ACNC Act.</w:t>
      </w:r>
    </w:p>
    <w:p w14:paraId="31073B57" w14:textId="77777777" w:rsidR="001B46FC" w:rsidRPr="009A0DA6" w:rsidRDefault="001B46FC" w:rsidP="001B46FC">
      <w:pPr>
        <w:tabs>
          <w:tab w:val="left" w:pos="709"/>
          <w:tab w:val="left" w:pos="1559"/>
          <w:tab w:val="left" w:pos="2552"/>
          <w:tab w:val="left" w:pos="3544"/>
          <w:tab w:val="left" w:pos="4820"/>
        </w:tabs>
        <w:spacing w:after="0" w:line="240" w:lineRule="auto"/>
        <w:ind w:left="1559" w:hanging="1559"/>
        <w:rPr>
          <w:rFonts w:ascii="Cambria" w:hAnsi="Cambria" w:cstheme="majorHAnsi"/>
        </w:rPr>
      </w:pPr>
      <w:r w:rsidRPr="009A0DA6">
        <w:rPr>
          <w:rFonts w:ascii="Cambria" w:hAnsi="Cambria" w:cstheme="majorHAnsi"/>
        </w:rPr>
        <w:tab/>
        <w:t>12.4.4</w:t>
      </w:r>
      <w:r w:rsidRPr="009A0DA6">
        <w:rPr>
          <w:rFonts w:ascii="Cambria" w:hAnsi="Cambria" w:cstheme="majorHAnsi"/>
        </w:rPr>
        <w:tab/>
        <w:t>Casual vacancies may be filled by the General Church Council at the next meeting of the General Church Council provided that a casual vacancy of</w:t>
      </w:r>
    </w:p>
    <w:p w14:paraId="7D7C4481" w14:textId="77777777" w:rsidR="001B46FC" w:rsidRPr="009A0DA6" w:rsidRDefault="001B46FC" w:rsidP="001B46FC">
      <w:pPr>
        <w:pStyle w:val="Number3"/>
        <w:tabs>
          <w:tab w:val="clear" w:pos="3829"/>
          <w:tab w:val="left" w:pos="709"/>
          <w:tab w:val="left" w:pos="1559"/>
          <w:tab w:val="left" w:pos="2552"/>
          <w:tab w:val="left" w:pos="3544"/>
          <w:tab w:val="left" w:pos="4820"/>
        </w:tabs>
        <w:spacing w:after="0"/>
        <w:ind w:left="2552" w:hanging="2552"/>
        <w:jc w:val="left"/>
        <w:rPr>
          <w:rFonts w:ascii="Cambria" w:hAnsi="Cambria" w:cstheme="majorHAnsi"/>
          <w:sz w:val="22"/>
          <w:szCs w:val="22"/>
        </w:rPr>
      </w:pPr>
      <w:r w:rsidRPr="009A0DA6">
        <w:rPr>
          <w:rFonts w:ascii="Cambria" w:hAnsi="Cambria" w:cstheme="majorHAnsi"/>
          <w:sz w:val="22"/>
          <w:szCs w:val="22"/>
        </w:rPr>
        <w:tab/>
      </w:r>
      <w:r w:rsidRPr="009A0DA6">
        <w:rPr>
          <w:rFonts w:ascii="Cambria" w:hAnsi="Cambria" w:cstheme="majorHAnsi"/>
          <w:sz w:val="22"/>
          <w:szCs w:val="22"/>
        </w:rPr>
        <w:tab/>
        <w:t>12.4.4.1</w:t>
      </w:r>
      <w:r w:rsidRPr="009A0DA6">
        <w:rPr>
          <w:rFonts w:ascii="Cambria" w:hAnsi="Cambria" w:cstheme="majorHAnsi"/>
          <w:sz w:val="22"/>
          <w:szCs w:val="22"/>
        </w:rPr>
        <w:tab/>
        <w:t>a lay Director will be filled by a lay person;  and</w:t>
      </w:r>
    </w:p>
    <w:p w14:paraId="235D0925" w14:textId="77777777" w:rsidR="001B46FC" w:rsidRPr="009A0DA6" w:rsidRDefault="001B46FC" w:rsidP="001B46FC">
      <w:pPr>
        <w:pStyle w:val="Number3"/>
        <w:tabs>
          <w:tab w:val="clear" w:pos="3829"/>
          <w:tab w:val="left" w:pos="709"/>
          <w:tab w:val="left" w:pos="1559"/>
          <w:tab w:val="left" w:pos="2552"/>
          <w:tab w:val="left" w:pos="3544"/>
          <w:tab w:val="left" w:pos="4820"/>
        </w:tabs>
        <w:spacing w:after="0"/>
        <w:ind w:left="2552" w:hanging="2552"/>
        <w:jc w:val="left"/>
        <w:rPr>
          <w:rFonts w:ascii="Cambria" w:hAnsi="Cambria" w:cstheme="majorHAnsi"/>
          <w:b/>
          <w:sz w:val="22"/>
          <w:szCs w:val="22"/>
        </w:rPr>
      </w:pPr>
      <w:r w:rsidRPr="009A0DA6">
        <w:rPr>
          <w:rFonts w:ascii="Cambria" w:hAnsi="Cambria" w:cstheme="majorHAnsi"/>
          <w:sz w:val="22"/>
          <w:szCs w:val="22"/>
        </w:rPr>
        <w:tab/>
      </w:r>
      <w:r w:rsidRPr="009A0DA6">
        <w:rPr>
          <w:rFonts w:ascii="Cambria" w:hAnsi="Cambria" w:cstheme="majorHAnsi"/>
          <w:sz w:val="22"/>
          <w:szCs w:val="22"/>
        </w:rPr>
        <w:tab/>
        <w:t>12.4.4.2</w:t>
      </w:r>
      <w:r w:rsidRPr="009A0DA6">
        <w:rPr>
          <w:rFonts w:ascii="Cambria" w:hAnsi="Cambria" w:cstheme="majorHAnsi"/>
          <w:sz w:val="22"/>
          <w:szCs w:val="22"/>
        </w:rPr>
        <w:tab/>
        <w:t>a pastor Director will be filled by a pastor</w:t>
      </w:r>
      <w:r w:rsidRPr="009A0DA6">
        <w:rPr>
          <w:rFonts w:ascii="Cambria" w:hAnsi="Cambria" w:cstheme="majorHAnsi"/>
          <w:b/>
          <w:sz w:val="22"/>
          <w:szCs w:val="22"/>
        </w:rPr>
        <w:t>.</w:t>
      </w:r>
    </w:p>
    <w:p w14:paraId="433482B8" w14:textId="77777777" w:rsidR="001B46FC" w:rsidRPr="009A0DA6" w:rsidRDefault="001B46FC" w:rsidP="001B46FC">
      <w:pPr>
        <w:tabs>
          <w:tab w:val="left" w:pos="709"/>
          <w:tab w:val="left" w:pos="1559"/>
          <w:tab w:val="left" w:pos="2552"/>
          <w:tab w:val="left" w:pos="3544"/>
          <w:tab w:val="left" w:pos="4820"/>
        </w:tabs>
        <w:spacing w:after="0" w:line="240" w:lineRule="auto"/>
        <w:ind w:left="1559" w:hanging="1559"/>
        <w:rPr>
          <w:rFonts w:ascii="Cambria" w:hAnsi="Cambria" w:cstheme="majorHAnsi"/>
        </w:rPr>
      </w:pPr>
      <w:r w:rsidRPr="009A0DA6">
        <w:rPr>
          <w:rFonts w:ascii="Cambria" w:hAnsi="Cambria" w:cstheme="majorHAnsi"/>
        </w:rPr>
        <w:tab/>
        <w:t>12.4.5</w:t>
      </w:r>
      <w:r w:rsidRPr="009A0DA6">
        <w:rPr>
          <w:rFonts w:ascii="Cambria" w:hAnsi="Cambria" w:cstheme="majorHAnsi"/>
        </w:rPr>
        <w:tab/>
        <w:t>The term of a Director filling a casual vacancy will expire three [3] months after the next Convention of General Synod.</w:t>
      </w:r>
    </w:p>
    <w:p w14:paraId="5087A21D" w14:textId="77777777" w:rsidR="001B46FC" w:rsidRPr="009A0DA6" w:rsidRDefault="001B46FC" w:rsidP="001B46FC">
      <w:pPr>
        <w:pStyle w:val="ListParagraph"/>
        <w:tabs>
          <w:tab w:val="left" w:pos="709"/>
          <w:tab w:val="left" w:pos="1559"/>
          <w:tab w:val="left" w:pos="2552"/>
          <w:tab w:val="left" w:pos="3544"/>
          <w:tab w:val="left" w:pos="4820"/>
        </w:tabs>
        <w:spacing w:after="0" w:line="240" w:lineRule="auto"/>
        <w:ind w:left="1559" w:hanging="1559"/>
        <w:contextualSpacing w:val="0"/>
        <w:rPr>
          <w:rFonts w:ascii="Cambria" w:eastAsia="Times New Roman" w:hAnsi="Cambria" w:cstheme="majorHAnsi"/>
          <w:lang w:eastAsia="en-US"/>
        </w:rPr>
      </w:pPr>
      <w:r w:rsidRPr="009A0DA6">
        <w:rPr>
          <w:rFonts w:ascii="Cambria" w:hAnsi="Cambria" w:cstheme="majorHAnsi"/>
        </w:rPr>
        <w:tab/>
        <w:t>12.4.6</w:t>
      </w:r>
      <w:r w:rsidRPr="009A0DA6">
        <w:rPr>
          <w:rFonts w:ascii="Cambria" w:hAnsi="Cambria" w:cstheme="majorHAnsi"/>
        </w:rPr>
        <w:tab/>
        <w:t xml:space="preserve">A Director who has held office for a continuous period of nine years or more may </w:t>
      </w:r>
      <w:r w:rsidRPr="009A0DA6">
        <w:rPr>
          <w:rFonts w:ascii="Cambria" w:eastAsia="Times New Roman" w:hAnsi="Cambria" w:cstheme="majorHAnsi"/>
          <w:lang w:eastAsia="en-US"/>
        </w:rPr>
        <w:t>only be re-appointed by a special resolution of General Church Council.</w:t>
      </w:r>
    </w:p>
    <w:p w14:paraId="7E630122" w14:textId="561B4699" w:rsidR="001B46FC" w:rsidRPr="009A0DA6" w:rsidRDefault="001B46FC" w:rsidP="001B46FC">
      <w:pPr>
        <w:pStyle w:val="ListParagraph"/>
        <w:tabs>
          <w:tab w:val="left" w:pos="709"/>
          <w:tab w:val="left" w:pos="1559"/>
          <w:tab w:val="left" w:pos="2552"/>
          <w:tab w:val="left" w:pos="3544"/>
          <w:tab w:val="left" w:pos="4820"/>
        </w:tabs>
        <w:spacing w:after="0" w:line="240" w:lineRule="auto"/>
        <w:ind w:left="0"/>
        <w:contextualSpacing w:val="0"/>
        <w:rPr>
          <w:rFonts w:ascii="Cambria" w:hAnsi="Cambria" w:cstheme="majorHAnsi"/>
        </w:rPr>
      </w:pPr>
      <w:r w:rsidRPr="009A0DA6">
        <w:rPr>
          <w:rFonts w:ascii="Cambria" w:hAnsi="Cambria" w:cstheme="majorHAnsi"/>
        </w:rPr>
        <w:tab/>
        <w:t>12.4.7</w:t>
      </w:r>
      <w:r w:rsidRPr="009A0DA6">
        <w:rPr>
          <w:rFonts w:ascii="Cambria" w:hAnsi="Cambria" w:cstheme="majorHAnsi"/>
        </w:rPr>
        <w:tab/>
        <w:t>The term of Office Bearers is one year</w:t>
      </w:r>
      <w:r w:rsidR="0027799A" w:rsidRPr="009A0DA6">
        <w:rPr>
          <w:rFonts w:ascii="Cambria" w:hAnsi="Cambria" w:cstheme="majorHAnsi"/>
        </w:rPr>
        <w:t xml:space="preserve">. </w:t>
      </w:r>
    </w:p>
    <w:p w14:paraId="372F63F2" w14:textId="77777777" w:rsidR="001B46FC" w:rsidRPr="009A0DA6" w:rsidRDefault="001B46FC" w:rsidP="001B46FC">
      <w:pPr>
        <w:pStyle w:val="ListParagraph"/>
        <w:tabs>
          <w:tab w:val="left" w:pos="709"/>
          <w:tab w:val="left" w:pos="1559"/>
          <w:tab w:val="left" w:pos="2552"/>
          <w:tab w:val="left" w:pos="3544"/>
          <w:tab w:val="left" w:pos="4820"/>
        </w:tabs>
        <w:spacing w:after="0" w:line="240" w:lineRule="auto"/>
        <w:ind w:left="1559" w:hanging="1559"/>
        <w:contextualSpacing w:val="0"/>
        <w:rPr>
          <w:rFonts w:ascii="Cambria" w:eastAsia="Times New Roman" w:hAnsi="Cambria" w:cstheme="majorHAnsi"/>
          <w:lang w:eastAsia="en-US"/>
        </w:rPr>
      </w:pPr>
      <w:r w:rsidRPr="009A0DA6">
        <w:rPr>
          <w:rFonts w:ascii="Cambria" w:hAnsi="Cambria" w:cstheme="majorHAnsi"/>
        </w:rPr>
        <w:tab/>
        <w:t>12.4.8</w:t>
      </w:r>
      <w:r w:rsidRPr="009A0DA6">
        <w:rPr>
          <w:rFonts w:ascii="Cambria" w:hAnsi="Cambria" w:cstheme="majorHAnsi"/>
        </w:rPr>
        <w:tab/>
        <w:t>If the Director is unable to hold the position for the full term the General Church Council must elect another of the Directors to the office.</w:t>
      </w:r>
    </w:p>
    <w:p w14:paraId="301A18A7"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rPr>
          <w:rFonts w:ascii="Cambria" w:hAnsi="Cambria" w:cstheme="majorHAnsi"/>
        </w:rPr>
      </w:pPr>
      <w:r w:rsidRPr="009A0DA6">
        <w:rPr>
          <w:rFonts w:ascii="Cambria" w:hAnsi="Cambria" w:cstheme="majorHAnsi"/>
          <w:bCs/>
        </w:rPr>
        <w:t>12.5</w:t>
      </w:r>
      <w:r w:rsidRPr="009A0DA6">
        <w:rPr>
          <w:rFonts w:ascii="Cambria" w:hAnsi="Cambria" w:cstheme="majorHAnsi"/>
          <w:bCs/>
        </w:rPr>
        <w:tab/>
      </w:r>
      <w:r w:rsidRPr="009A0DA6">
        <w:rPr>
          <w:rFonts w:ascii="Cambria" w:hAnsi="Cambria" w:cstheme="majorHAnsi"/>
          <w:u w:val="single"/>
        </w:rPr>
        <w:t>Removal of a Director</w:t>
      </w:r>
    </w:p>
    <w:p w14:paraId="74307B0F"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rPr>
          <w:rFonts w:ascii="Cambria" w:hAnsi="Cambria" w:cstheme="majorHAnsi"/>
        </w:rPr>
      </w:pPr>
      <w:r w:rsidRPr="009A0DA6">
        <w:rPr>
          <w:rFonts w:ascii="Cambria" w:hAnsi="Cambria" w:cstheme="majorHAnsi"/>
        </w:rPr>
        <w:tab/>
        <w:t>12.5.1</w:t>
      </w:r>
      <w:r w:rsidRPr="009A0DA6">
        <w:rPr>
          <w:rFonts w:ascii="Cambria" w:hAnsi="Cambria" w:cstheme="majorHAnsi"/>
        </w:rPr>
        <w:tab/>
        <w:t>A Director stops being a Director for any of the following reasons:</w:t>
      </w:r>
    </w:p>
    <w:p w14:paraId="02EDD7BA" w14:textId="77777777" w:rsidR="001B46FC" w:rsidRPr="009A0DA6" w:rsidRDefault="001B46FC" w:rsidP="001B46FC">
      <w:pPr>
        <w:tabs>
          <w:tab w:val="left" w:pos="709"/>
          <w:tab w:val="left" w:pos="1559"/>
          <w:tab w:val="left" w:pos="2552"/>
          <w:tab w:val="left" w:pos="3544"/>
          <w:tab w:val="left" w:pos="4820"/>
        </w:tabs>
        <w:spacing w:after="0" w:line="240" w:lineRule="auto"/>
        <w:ind w:left="2552" w:hanging="2552"/>
        <w:rPr>
          <w:rFonts w:ascii="Cambria" w:hAnsi="Cambria" w:cstheme="majorHAnsi"/>
        </w:rPr>
      </w:pPr>
      <w:r w:rsidRPr="009A0DA6">
        <w:rPr>
          <w:rFonts w:ascii="Cambria" w:hAnsi="Cambria" w:cstheme="majorHAnsi"/>
        </w:rPr>
        <w:tab/>
      </w:r>
      <w:r w:rsidRPr="009A0DA6">
        <w:rPr>
          <w:rFonts w:ascii="Cambria" w:hAnsi="Cambria" w:cstheme="majorHAnsi"/>
        </w:rPr>
        <w:tab/>
        <w:t>12.5.1.1</w:t>
      </w:r>
      <w:r w:rsidRPr="009A0DA6">
        <w:rPr>
          <w:rFonts w:ascii="Cambria" w:hAnsi="Cambria" w:cstheme="majorHAnsi"/>
        </w:rPr>
        <w:tab/>
        <w:t>gives written notice of resignation as a Director to the College;</w:t>
      </w:r>
    </w:p>
    <w:p w14:paraId="7979B5FC" w14:textId="77777777" w:rsidR="001B46FC" w:rsidRPr="009A0DA6" w:rsidRDefault="001B46FC" w:rsidP="001B46FC">
      <w:pPr>
        <w:tabs>
          <w:tab w:val="left" w:pos="709"/>
          <w:tab w:val="left" w:pos="1559"/>
          <w:tab w:val="left" w:pos="2552"/>
          <w:tab w:val="left" w:pos="3544"/>
          <w:tab w:val="left" w:pos="4820"/>
        </w:tabs>
        <w:spacing w:after="0" w:line="240" w:lineRule="auto"/>
        <w:ind w:left="2552" w:hanging="2552"/>
        <w:rPr>
          <w:rFonts w:ascii="Cambria" w:hAnsi="Cambria" w:cstheme="majorHAnsi"/>
        </w:rPr>
      </w:pPr>
      <w:r w:rsidRPr="009A0DA6">
        <w:rPr>
          <w:rFonts w:ascii="Cambria" w:hAnsi="Cambria" w:cstheme="majorHAnsi"/>
        </w:rPr>
        <w:tab/>
      </w:r>
      <w:r w:rsidRPr="009A0DA6">
        <w:rPr>
          <w:rFonts w:ascii="Cambria" w:hAnsi="Cambria" w:cstheme="majorHAnsi"/>
        </w:rPr>
        <w:tab/>
        <w:t>12.5.1.2</w:t>
      </w:r>
      <w:r w:rsidRPr="009A0DA6">
        <w:rPr>
          <w:rFonts w:ascii="Cambria" w:hAnsi="Cambria" w:cstheme="majorHAnsi"/>
        </w:rPr>
        <w:tab/>
        <w:t xml:space="preserve">dies; </w:t>
      </w:r>
    </w:p>
    <w:p w14:paraId="4D478653" w14:textId="77777777" w:rsidR="001B46FC" w:rsidRPr="009A0DA6" w:rsidRDefault="001B46FC" w:rsidP="001B46FC">
      <w:pPr>
        <w:tabs>
          <w:tab w:val="left" w:pos="709"/>
          <w:tab w:val="left" w:pos="1559"/>
          <w:tab w:val="left" w:pos="2552"/>
          <w:tab w:val="left" w:pos="3544"/>
          <w:tab w:val="left" w:pos="4820"/>
        </w:tabs>
        <w:spacing w:after="0" w:line="240" w:lineRule="auto"/>
        <w:ind w:left="2552" w:hanging="2552"/>
        <w:rPr>
          <w:rFonts w:ascii="Cambria" w:hAnsi="Cambria" w:cstheme="majorHAnsi"/>
        </w:rPr>
      </w:pPr>
      <w:r w:rsidRPr="009A0DA6">
        <w:rPr>
          <w:rFonts w:ascii="Cambria" w:hAnsi="Cambria" w:cstheme="majorHAnsi"/>
        </w:rPr>
        <w:tab/>
      </w:r>
      <w:r w:rsidRPr="009A0DA6">
        <w:rPr>
          <w:rFonts w:ascii="Cambria" w:hAnsi="Cambria" w:cstheme="majorHAnsi"/>
        </w:rPr>
        <w:tab/>
        <w:t>12.5.1.3</w:t>
      </w:r>
      <w:r w:rsidRPr="009A0DA6">
        <w:rPr>
          <w:rFonts w:ascii="Cambria" w:hAnsi="Cambria" w:cstheme="majorHAnsi"/>
        </w:rPr>
        <w:tab/>
        <w:t>is removed by General Church Council by special resolution if appointed by the General Church Council;</w:t>
      </w:r>
    </w:p>
    <w:p w14:paraId="4BF8FFC9" w14:textId="77777777" w:rsidR="001B46FC" w:rsidRPr="009A0DA6" w:rsidRDefault="001B46FC" w:rsidP="001B46FC">
      <w:pPr>
        <w:tabs>
          <w:tab w:val="left" w:pos="709"/>
          <w:tab w:val="left" w:pos="1559"/>
          <w:tab w:val="left" w:pos="2552"/>
          <w:tab w:val="left" w:pos="3544"/>
          <w:tab w:val="left" w:pos="4820"/>
        </w:tabs>
        <w:spacing w:after="0" w:line="240" w:lineRule="auto"/>
        <w:ind w:left="2552" w:hanging="2552"/>
        <w:rPr>
          <w:rFonts w:ascii="Cambria" w:hAnsi="Cambria" w:cstheme="majorHAnsi"/>
        </w:rPr>
      </w:pPr>
      <w:bookmarkStart w:id="351" w:name="_Ref393794311"/>
      <w:r w:rsidRPr="009A0DA6">
        <w:rPr>
          <w:rFonts w:ascii="Cambria" w:hAnsi="Cambria" w:cstheme="majorHAnsi"/>
        </w:rPr>
        <w:tab/>
      </w:r>
      <w:r w:rsidRPr="009A0DA6">
        <w:rPr>
          <w:rFonts w:ascii="Cambria" w:hAnsi="Cambria" w:cstheme="majorHAnsi"/>
        </w:rPr>
        <w:tab/>
        <w:t>12.5.1.4</w:t>
      </w:r>
      <w:r w:rsidRPr="009A0DA6">
        <w:rPr>
          <w:rFonts w:ascii="Cambria" w:hAnsi="Cambria" w:cstheme="majorHAnsi"/>
        </w:rPr>
        <w:tab/>
      </w:r>
      <w:bookmarkEnd w:id="351"/>
      <w:r w:rsidRPr="009A0DA6">
        <w:rPr>
          <w:rFonts w:ascii="Cambria" w:hAnsi="Cambria" w:cstheme="majorHAnsi"/>
        </w:rPr>
        <w:t xml:space="preserve">is absent for three [3] consecutive Directors’ meetings without approval from the Directors; </w:t>
      </w:r>
    </w:p>
    <w:p w14:paraId="2A798F7F" w14:textId="77777777" w:rsidR="001B46FC" w:rsidRPr="009A0DA6" w:rsidRDefault="001B46FC" w:rsidP="001B46FC">
      <w:pPr>
        <w:tabs>
          <w:tab w:val="left" w:pos="709"/>
          <w:tab w:val="left" w:pos="1559"/>
          <w:tab w:val="left" w:pos="2552"/>
          <w:tab w:val="left" w:pos="3544"/>
          <w:tab w:val="left" w:pos="4820"/>
        </w:tabs>
        <w:spacing w:after="0" w:line="240" w:lineRule="auto"/>
        <w:ind w:left="2552" w:hanging="2552"/>
        <w:rPr>
          <w:rFonts w:ascii="Cambria" w:hAnsi="Cambria" w:cstheme="majorHAnsi"/>
        </w:rPr>
      </w:pPr>
      <w:r w:rsidRPr="009A0DA6">
        <w:rPr>
          <w:rFonts w:ascii="Cambria" w:hAnsi="Cambria" w:cstheme="majorHAnsi"/>
        </w:rPr>
        <w:tab/>
      </w:r>
      <w:r w:rsidRPr="009A0DA6">
        <w:rPr>
          <w:rFonts w:ascii="Cambria" w:hAnsi="Cambria" w:cstheme="majorHAnsi"/>
        </w:rPr>
        <w:tab/>
        <w:t xml:space="preserve">12.5.1.5 </w:t>
      </w:r>
      <w:r w:rsidRPr="009A0DA6">
        <w:rPr>
          <w:rFonts w:ascii="Cambria" w:hAnsi="Cambria" w:cstheme="majorHAnsi"/>
        </w:rPr>
        <w:tab/>
        <w:t>is directly or indirectly interested in any contract or proposed contract with the College and fail to declare the nature of the interest as required by the Act;</w:t>
      </w:r>
    </w:p>
    <w:p w14:paraId="1482CDEF" w14:textId="77777777" w:rsidR="001B46FC" w:rsidRPr="009A0DA6" w:rsidRDefault="001B46FC" w:rsidP="001B46FC">
      <w:pPr>
        <w:tabs>
          <w:tab w:val="left" w:pos="709"/>
          <w:tab w:val="left" w:pos="1559"/>
          <w:tab w:val="left" w:pos="2552"/>
          <w:tab w:val="left" w:pos="3544"/>
          <w:tab w:val="left" w:pos="4820"/>
        </w:tabs>
        <w:spacing w:after="0" w:line="240" w:lineRule="auto"/>
        <w:ind w:left="2552" w:hanging="2552"/>
        <w:rPr>
          <w:rFonts w:ascii="Cambria" w:hAnsi="Cambria" w:cstheme="majorHAnsi"/>
        </w:rPr>
      </w:pPr>
      <w:r w:rsidRPr="009A0DA6">
        <w:rPr>
          <w:rFonts w:ascii="Cambria" w:hAnsi="Cambria" w:cstheme="majorHAnsi"/>
        </w:rPr>
        <w:tab/>
      </w:r>
      <w:r w:rsidRPr="009A0DA6">
        <w:rPr>
          <w:rFonts w:ascii="Cambria" w:hAnsi="Cambria" w:cstheme="majorHAnsi"/>
        </w:rPr>
        <w:tab/>
        <w:t>12.5.1.6</w:t>
      </w:r>
      <w:r w:rsidRPr="009A0DA6">
        <w:rPr>
          <w:rFonts w:ascii="Cambria" w:hAnsi="Cambria" w:cstheme="majorHAnsi"/>
        </w:rPr>
        <w:tab/>
        <w:t>is liable to have a person appointed, under a law relating to the administration of estates of persons who through mental or physical incapacity are incapable of managing their affairs, to administer it, or becomes in the opinion of the Board incapable of performing his or her duties;  or</w:t>
      </w:r>
    </w:p>
    <w:p w14:paraId="792318A5" w14:textId="77777777" w:rsidR="001B46FC" w:rsidRPr="009A0DA6" w:rsidRDefault="001B46FC" w:rsidP="001B46FC">
      <w:pPr>
        <w:tabs>
          <w:tab w:val="left" w:pos="709"/>
          <w:tab w:val="left" w:pos="1559"/>
          <w:tab w:val="left" w:pos="2552"/>
          <w:tab w:val="left" w:pos="3544"/>
          <w:tab w:val="left" w:pos="4820"/>
        </w:tabs>
        <w:spacing w:after="0" w:line="240" w:lineRule="auto"/>
        <w:ind w:left="2552" w:hanging="2552"/>
        <w:rPr>
          <w:rFonts w:ascii="Cambria" w:hAnsi="Cambria" w:cstheme="majorHAnsi"/>
          <w:bCs/>
        </w:rPr>
      </w:pPr>
      <w:r w:rsidRPr="009A0DA6">
        <w:rPr>
          <w:rFonts w:ascii="Cambria" w:hAnsi="Cambria" w:cstheme="majorHAnsi"/>
        </w:rPr>
        <w:tab/>
      </w:r>
      <w:r w:rsidRPr="009A0DA6">
        <w:rPr>
          <w:rFonts w:ascii="Cambria" w:hAnsi="Cambria" w:cstheme="majorHAnsi"/>
        </w:rPr>
        <w:tab/>
        <w:t>12.5.1.7</w:t>
      </w:r>
      <w:r w:rsidRPr="009A0DA6">
        <w:rPr>
          <w:rFonts w:ascii="Cambria" w:hAnsi="Cambria" w:cstheme="majorHAnsi"/>
        </w:rPr>
        <w:tab/>
        <w:t>becomes ineligible to be a Director of the College under the Corporations Act or the ACNC Act</w:t>
      </w:r>
      <w:r w:rsidRPr="009A0DA6">
        <w:rPr>
          <w:rFonts w:ascii="Cambria" w:hAnsi="Cambria" w:cstheme="majorHAnsi"/>
          <w:bCs/>
        </w:rPr>
        <w:t xml:space="preserve">. </w:t>
      </w:r>
    </w:p>
    <w:p w14:paraId="52757571" w14:textId="77777777" w:rsidR="001B46FC" w:rsidRPr="009A0DA6" w:rsidRDefault="001B46FC" w:rsidP="001B46FC">
      <w:pPr>
        <w:spacing w:before="120"/>
        <w:rPr>
          <w:rFonts w:ascii="Cambria" w:hAnsi="Cambria"/>
          <w:b/>
        </w:rPr>
      </w:pPr>
      <w:bookmarkStart w:id="352" w:name="_Toc390209826"/>
      <w:r w:rsidRPr="009A0DA6">
        <w:rPr>
          <w:rFonts w:ascii="Cambria" w:hAnsi="Cambria"/>
          <w:b/>
        </w:rPr>
        <w:t>Article 13</w:t>
      </w:r>
      <w:r w:rsidRPr="009A0DA6">
        <w:rPr>
          <w:rFonts w:ascii="Cambria" w:hAnsi="Cambria"/>
          <w:b/>
        </w:rPr>
        <w:tab/>
        <w:t>Powers and Duties of Directors</w:t>
      </w:r>
      <w:bookmarkEnd w:id="352"/>
    </w:p>
    <w:p w14:paraId="7F27417F" w14:textId="77777777" w:rsidR="001B46FC" w:rsidRPr="009A0DA6" w:rsidRDefault="001B46FC" w:rsidP="001B46FC">
      <w:pPr>
        <w:tabs>
          <w:tab w:val="left" w:pos="709"/>
          <w:tab w:val="left" w:pos="1559"/>
          <w:tab w:val="left" w:pos="2552"/>
          <w:tab w:val="left" w:pos="3544"/>
          <w:tab w:val="left" w:pos="4820"/>
        </w:tabs>
        <w:spacing w:after="0" w:line="240" w:lineRule="auto"/>
        <w:rPr>
          <w:rFonts w:ascii="Cambria" w:hAnsi="Cambria" w:cstheme="majorHAnsi"/>
          <w:bCs/>
        </w:rPr>
      </w:pPr>
      <w:r w:rsidRPr="009A0DA6">
        <w:rPr>
          <w:rFonts w:ascii="Cambria" w:hAnsi="Cambria" w:cstheme="majorHAnsi"/>
          <w:bCs/>
        </w:rPr>
        <w:t>13.1</w:t>
      </w:r>
      <w:r w:rsidRPr="009A0DA6">
        <w:rPr>
          <w:rFonts w:ascii="Cambria" w:hAnsi="Cambria" w:cstheme="majorHAnsi"/>
          <w:bCs/>
        </w:rPr>
        <w:tab/>
      </w:r>
      <w:r w:rsidRPr="009A0DA6">
        <w:rPr>
          <w:rFonts w:ascii="Cambria" w:hAnsi="Cambria" w:cstheme="majorHAnsi"/>
          <w:bCs/>
          <w:u w:val="single"/>
        </w:rPr>
        <w:t>Powers of Directors</w:t>
      </w:r>
      <w:r w:rsidRPr="009A0DA6">
        <w:rPr>
          <w:rFonts w:ascii="Cambria" w:hAnsi="Cambria" w:cstheme="majorHAnsi"/>
          <w:bCs/>
        </w:rPr>
        <w:tab/>
      </w:r>
    </w:p>
    <w:p w14:paraId="20088FFD" w14:textId="77777777" w:rsidR="001B46FC" w:rsidRPr="009A0DA6" w:rsidRDefault="001B46FC" w:rsidP="001B46FC">
      <w:pPr>
        <w:tabs>
          <w:tab w:val="left" w:pos="709"/>
          <w:tab w:val="left" w:pos="1559"/>
          <w:tab w:val="left" w:pos="2552"/>
          <w:tab w:val="left" w:pos="3544"/>
          <w:tab w:val="left" w:pos="4820"/>
        </w:tabs>
        <w:spacing w:after="0" w:line="240" w:lineRule="auto"/>
        <w:ind w:left="1559" w:hanging="1559"/>
        <w:rPr>
          <w:rFonts w:ascii="Cambria" w:hAnsi="Cambria" w:cstheme="majorHAnsi"/>
          <w:bCs/>
        </w:rPr>
      </w:pPr>
      <w:r w:rsidRPr="009A0DA6">
        <w:rPr>
          <w:rFonts w:ascii="Cambria" w:hAnsi="Cambria" w:cstheme="majorHAnsi"/>
          <w:bCs/>
        </w:rPr>
        <w:tab/>
        <w:t>13.1.1</w:t>
      </w:r>
      <w:r w:rsidRPr="009A0DA6">
        <w:rPr>
          <w:rFonts w:ascii="Cambria" w:hAnsi="Cambria" w:cstheme="majorHAnsi"/>
          <w:bCs/>
        </w:rPr>
        <w:tab/>
        <w:t xml:space="preserve">The Directors are responsible for managing and directing the activities of the College to achieve the Objects as set out in Article 5. </w:t>
      </w:r>
    </w:p>
    <w:p w14:paraId="0388914A" w14:textId="77777777" w:rsidR="001B46FC" w:rsidRPr="009A0DA6" w:rsidRDefault="001B46FC" w:rsidP="001B46FC">
      <w:pPr>
        <w:tabs>
          <w:tab w:val="left" w:pos="709"/>
          <w:tab w:val="left" w:pos="1559"/>
          <w:tab w:val="left" w:pos="2552"/>
          <w:tab w:val="left" w:pos="3544"/>
          <w:tab w:val="left" w:pos="4820"/>
        </w:tabs>
        <w:spacing w:after="0" w:line="240" w:lineRule="auto"/>
        <w:ind w:left="1559" w:hanging="1559"/>
        <w:rPr>
          <w:rFonts w:ascii="Cambria" w:hAnsi="Cambria" w:cstheme="majorHAnsi"/>
          <w:bCs/>
        </w:rPr>
      </w:pPr>
      <w:r w:rsidRPr="009A0DA6">
        <w:rPr>
          <w:rFonts w:ascii="Cambria" w:hAnsi="Cambria" w:cstheme="majorHAnsi"/>
          <w:bCs/>
        </w:rPr>
        <w:tab/>
        <w:t>13.1.2</w:t>
      </w:r>
      <w:r w:rsidRPr="009A0DA6">
        <w:rPr>
          <w:rFonts w:ascii="Cambria" w:hAnsi="Cambria" w:cstheme="majorHAnsi"/>
          <w:bCs/>
        </w:rPr>
        <w:tab/>
        <w:t>The Directors may use all the powers of the College except for powers that may be used under the Corporations Act or this constitution.</w:t>
      </w:r>
    </w:p>
    <w:p w14:paraId="293A7616" w14:textId="77777777" w:rsidR="001B46FC" w:rsidRPr="009A0DA6" w:rsidRDefault="001B46FC" w:rsidP="001B46FC">
      <w:pPr>
        <w:tabs>
          <w:tab w:val="left" w:pos="709"/>
          <w:tab w:val="left" w:pos="1559"/>
          <w:tab w:val="left" w:pos="2552"/>
          <w:tab w:val="left" w:pos="3544"/>
          <w:tab w:val="left" w:pos="4820"/>
        </w:tabs>
        <w:spacing w:after="0" w:line="240" w:lineRule="auto"/>
        <w:rPr>
          <w:rFonts w:ascii="Cambria" w:hAnsi="Cambria" w:cstheme="majorHAnsi"/>
        </w:rPr>
      </w:pPr>
      <w:r w:rsidRPr="009A0DA6">
        <w:rPr>
          <w:rFonts w:ascii="Cambria" w:hAnsi="Cambria" w:cstheme="majorHAnsi"/>
        </w:rPr>
        <w:tab/>
        <w:t>13.1.3</w:t>
      </w:r>
      <w:r w:rsidRPr="009A0DA6">
        <w:rPr>
          <w:rFonts w:ascii="Cambria" w:hAnsi="Cambria" w:cstheme="majorHAnsi"/>
        </w:rPr>
        <w:tab/>
        <w:t>The Board of Directors shall provide to General Church Council</w:t>
      </w:r>
    </w:p>
    <w:p w14:paraId="42D0F84B" w14:textId="77777777" w:rsidR="001B46FC" w:rsidRPr="009A0DA6" w:rsidRDefault="001B46FC" w:rsidP="001B46FC">
      <w:pPr>
        <w:tabs>
          <w:tab w:val="left" w:pos="709"/>
          <w:tab w:val="left" w:pos="1559"/>
          <w:tab w:val="left" w:pos="2552"/>
          <w:tab w:val="left" w:pos="3544"/>
          <w:tab w:val="left" w:pos="4820"/>
        </w:tabs>
        <w:spacing w:after="0" w:line="240" w:lineRule="auto"/>
        <w:ind w:left="2552" w:hanging="2552"/>
        <w:rPr>
          <w:rFonts w:ascii="Cambria" w:hAnsi="Cambria" w:cstheme="majorHAnsi"/>
        </w:rPr>
      </w:pPr>
      <w:r w:rsidRPr="009A0DA6">
        <w:rPr>
          <w:rFonts w:ascii="Cambria" w:hAnsi="Cambria" w:cstheme="majorHAnsi"/>
        </w:rPr>
        <w:tab/>
      </w:r>
      <w:r w:rsidRPr="009A0DA6">
        <w:rPr>
          <w:rFonts w:ascii="Cambria" w:hAnsi="Cambria" w:cstheme="majorHAnsi"/>
        </w:rPr>
        <w:tab/>
        <w:t>13.1.3.1</w:t>
      </w:r>
      <w:r w:rsidRPr="009A0DA6">
        <w:rPr>
          <w:rFonts w:ascii="Cambria" w:hAnsi="Cambria" w:cstheme="majorHAnsi"/>
        </w:rPr>
        <w:tab/>
        <w:t>an annual report to the General Church Council which includes</w:t>
      </w:r>
    </w:p>
    <w:p w14:paraId="65D227F7" w14:textId="77777777" w:rsidR="001B46FC" w:rsidRPr="009A0DA6" w:rsidRDefault="001B46FC" w:rsidP="001B46FC">
      <w:pPr>
        <w:tabs>
          <w:tab w:val="left" w:pos="709"/>
          <w:tab w:val="left" w:pos="1559"/>
          <w:tab w:val="left" w:pos="2552"/>
          <w:tab w:val="left" w:pos="3544"/>
          <w:tab w:val="left" w:pos="4820"/>
        </w:tabs>
        <w:spacing w:after="0" w:line="240" w:lineRule="auto"/>
        <w:ind w:left="3544" w:hanging="3544"/>
        <w:rPr>
          <w:rFonts w:ascii="Cambria" w:hAnsi="Cambria" w:cstheme="majorHAnsi"/>
        </w:rPr>
      </w:pPr>
      <w:r w:rsidRPr="009A0DA6">
        <w:rPr>
          <w:rFonts w:ascii="Cambria" w:hAnsi="Cambria" w:cstheme="majorHAnsi"/>
        </w:rPr>
        <w:tab/>
      </w:r>
      <w:r w:rsidRPr="009A0DA6">
        <w:rPr>
          <w:rFonts w:ascii="Cambria" w:hAnsi="Cambria" w:cstheme="majorHAnsi"/>
        </w:rPr>
        <w:tab/>
      </w:r>
      <w:r w:rsidRPr="009A0DA6">
        <w:rPr>
          <w:rFonts w:ascii="Cambria" w:hAnsi="Cambria" w:cstheme="majorHAnsi"/>
        </w:rPr>
        <w:tab/>
        <w:t>13.1.3.1.1</w:t>
      </w:r>
      <w:r w:rsidRPr="009A0DA6">
        <w:rPr>
          <w:rFonts w:ascii="Cambria" w:hAnsi="Cambria" w:cstheme="majorHAnsi"/>
        </w:rPr>
        <w:tab/>
        <w:t>a record of the past year’s activities in relation to planned objectives;</w:t>
      </w:r>
    </w:p>
    <w:p w14:paraId="4A541CF3" w14:textId="77777777" w:rsidR="001B46FC" w:rsidRPr="009A0DA6" w:rsidRDefault="001B46FC" w:rsidP="001B46FC">
      <w:pPr>
        <w:tabs>
          <w:tab w:val="left" w:pos="709"/>
          <w:tab w:val="left" w:pos="1559"/>
          <w:tab w:val="left" w:pos="2552"/>
          <w:tab w:val="left" w:pos="3544"/>
          <w:tab w:val="left" w:pos="4820"/>
        </w:tabs>
        <w:spacing w:after="0" w:line="240" w:lineRule="auto"/>
        <w:ind w:left="3544" w:hanging="3544"/>
        <w:rPr>
          <w:rFonts w:ascii="Cambria" w:hAnsi="Cambria" w:cstheme="majorHAnsi"/>
        </w:rPr>
      </w:pPr>
      <w:r w:rsidRPr="009A0DA6">
        <w:rPr>
          <w:rFonts w:ascii="Cambria" w:hAnsi="Cambria" w:cstheme="majorHAnsi"/>
        </w:rPr>
        <w:tab/>
      </w:r>
      <w:r w:rsidRPr="009A0DA6">
        <w:rPr>
          <w:rFonts w:ascii="Cambria" w:hAnsi="Cambria" w:cstheme="majorHAnsi"/>
        </w:rPr>
        <w:tab/>
      </w:r>
      <w:r w:rsidRPr="009A0DA6">
        <w:rPr>
          <w:rFonts w:ascii="Cambria" w:hAnsi="Cambria" w:cstheme="majorHAnsi"/>
        </w:rPr>
        <w:tab/>
        <w:t>13.1.3.1.2</w:t>
      </w:r>
      <w:r w:rsidRPr="009A0DA6">
        <w:rPr>
          <w:rFonts w:ascii="Cambria" w:hAnsi="Cambria" w:cstheme="majorHAnsi"/>
        </w:rPr>
        <w:tab/>
        <w:t>audited financial statements and balance sheet;</w:t>
      </w:r>
    </w:p>
    <w:p w14:paraId="17E77789" w14:textId="77777777" w:rsidR="001B46FC" w:rsidRPr="009A0DA6" w:rsidRDefault="001B46FC" w:rsidP="001B46FC">
      <w:pPr>
        <w:tabs>
          <w:tab w:val="left" w:pos="709"/>
          <w:tab w:val="left" w:pos="1559"/>
          <w:tab w:val="left" w:pos="2552"/>
          <w:tab w:val="left" w:pos="3544"/>
          <w:tab w:val="left" w:pos="4820"/>
        </w:tabs>
        <w:spacing w:after="0" w:line="240" w:lineRule="auto"/>
        <w:ind w:left="3544" w:hanging="3544"/>
        <w:rPr>
          <w:rFonts w:ascii="Cambria" w:hAnsi="Cambria" w:cstheme="majorHAnsi"/>
        </w:rPr>
      </w:pPr>
      <w:r w:rsidRPr="009A0DA6">
        <w:rPr>
          <w:rFonts w:ascii="Cambria" w:hAnsi="Cambria" w:cstheme="majorHAnsi"/>
        </w:rPr>
        <w:tab/>
      </w:r>
      <w:r w:rsidRPr="009A0DA6">
        <w:rPr>
          <w:rFonts w:ascii="Cambria" w:hAnsi="Cambria" w:cstheme="majorHAnsi"/>
        </w:rPr>
        <w:tab/>
      </w:r>
      <w:r w:rsidRPr="009A0DA6">
        <w:rPr>
          <w:rFonts w:ascii="Cambria" w:hAnsi="Cambria" w:cstheme="majorHAnsi"/>
        </w:rPr>
        <w:tab/>
        <w:t>13.1.3.1.3</w:t>
      </w:r>
      <w:r w:rsidRPr="009A0DA6">
        <w:rPr>
          <w:rFonts w:ascii="Cambria" w:hAnsi="Cambria" w:cstheme="majorHAnsi"/>
        </w:rPr>
        <w:tab/>
        <w:t xml:space="preserve">details for the ensuing two [2] years of its </w:t>
      </w:r>
    </w:p>
    <w:p w14:paraId="25E193C5" w14:textId="77777777" w:rsidR="001B46FC" w:rsidRPr="009A0DA6" w:rsidRDefault="001B46FC" w:rsidP="001B46FC">
      <w:pPr>
        <w:tabs>
          <w:tab w:val="left" w:pos="709"/>
          <w:tab w:val="left" w:pos="1559"/>
          <w:tab w:val="left" w:pos="2552"/>
          <w:tab w:val="left" w:pos="3544"/>
          <w:tab w:val="left" w:pos="4820"/>
        </w:tabs>
        <w:spacing w:after="0" w:line="240" w:lineRule="auto"/>
        <w:ind w:left="5103" w:hanging="5103"/>
        <w:rPr>
          <w:rFonts w:ascii="Cambria" w:hAnsi="Cambria" w:cstheme="majorHAnsi"/>
        </w:rPr>
      </w:pPr>
      <w:r w:rsidRPr="009A0DA6">
        <w:rPr>
          <w:rFonts w:ascii="Cambria" w:hAnsi="Cambria" w:cstheme="majorHAnsi"/>
        </w:rPr>
        <w:tab/>
      </w:r>
      <w:r w:rsidRPr="009A0DA6">
        <w:rPr>
          <w:rFonts w:ascii="Cambria" w:hAnsi="Cambria" w:cstheme="majorHAnsi"/>
        </w:rPr>
        <w:tab/>
      </w:r>
      <w:r w:rsidRPr="009A0DA6">
        <w:rPr>
          <w:rFonts w:ascii="Cambria" w:hAnsi="Cambria" w:cstheme="majorHAnsi"/>
        </w:rPr>
        <w:tab/>
      </w:r>
      <w:r w:rsidRPr="009A0DA6">
        <w:rPr>
          <w:rFonts w:ascii="Cambria" w:hAnsi="Cambria" w:cstheme="majorHAnsi"/>
        </w:rPr>
        <w:tab/>
        <w:t>13.1.3.1.3.1</w:t>
      </w:r>
      <w:r w:rsidRPr="009A0DA6">
        <w:rPr>
          <w:rFonts w:ascii="Cambria" w:hAnsi="Cambria" w:cstheme="majorHAnsi"/>
        </w:rPr>
        <w:tab/>
        <w:t>proposed work program;</w:t>
      </w:r>
    </w:p>
    <w:p w14:paraId="59EEAD9A" w14:textId="77777777" w:rsidR="001B46FC" w:rsidRPr="009A0DA6" w:rsidRDefault="001B46FC" w:rsidP="001B46FC">
      <w:pPr>
        <w:tabs>
          <w:tab w:val="left" w:pos="709"/>
          <w:tab w:val="left" w:pos="1559"/>
          <w:tab w:val="left" w:pos="2552"/>
          <w:tab w:val="left" w:pos="3544"/>
          <w:tab w:val="left" w:pos="4820"/>
        </w:tabs>
        <w:spacing w:after="0" w:line="240" w:lineRule="auto"/>
        <w:ind w:left="5103" w:hanging="5103"/>
        <w:rPr>
          <w:rFonts w:ascii="Cambria" w:hAnsi="Cambria" w:cstheme="majorHAnsi"/>
        </w:rPr>
      </w:pPr>
      <w:r w:rsidRPr="009A0DA6">
        <w:rPr>
          <w:rFonts w:ascii="Cambria" w:hAnsi="Cambria" w:cstheme="majorHAnsi"/>
        </w:rPr>
        <w:tab/>
      </w:r>
      <w:r w:rsidRPr="009A0DA6">
        <w:rPr>
          <w:rFonts w:ascii="Cambria" w:hAnsi="Cambria" w:cstheme="majorHAnsi"/>
        </w:rPr>
        <w:tab/>
      </w:r>
      <w:r w:rsidRPr="009A0DA6">
        <w:rPr>
          <w:rFonts w:ascii="Cambria" w:hAnsi="Cambria" w:cstheme="majorHAnsi"/>
        </w:rPr>
        <w:tab/>
      </w:r>
      <w:r w:rsidRPr="009A0DA6">
        <w:rPr>
          <w:rFonts w:ascii="Cambria" w:hAnsi="Cambria" w:cstheme="majorHAnsi"/>
        </w:rPr>
        <w:tab/>
        <w:t>13.1.3.1.3.2</w:t>
      </w:r>
      <w:r w:rsidRPr="009A0DA6">
        <w:rPr>
          <w:rFonts w:ascii="Cambria" w:hAnsi="Cambria" w:cstheme="majorHAnsi"/>
        </w:rPr>
        <w:tab/>
        <w:t xml:space="preserve">estimates of capital; </w:t>
      </w:r>
    </w:p>
    <w:p w14:paraId="3486E043" w14:textId="77777777" w:rsidR="001B46FC" w:rsidRPr="009A0DA6" w:rsidRDefault="001B46FC" w:rsidP="001B46FC">
      <w:pPr>
        <w:tabs>
          <w:tab w:val="left" w:pos="709"/>
          <w:tab w:val="left" w:pos="1559"/>
          <w:tab w:val="left" w:pos="2552"/>
          <w:tab w:val="left" w:pos="3544"/>
          <w:tab w:val="left" w:pos="4820"/>
        </w:tabs>
        <w:spacing w:after="0" w:line="240" w:lineRule="auto"/>
        <w:ind w:left="5103" w:hanging="5103"/>
        <w:rPr>
          <w:rFonts w:ascii="Cambria" w:hAnsi="Cambria" w:cstheme="majorHAnsi"/>
        </w:rPr>
      </w:pPr>
      <w:r w:rsidRPr="009A0DA6">
        <w:rPr>
          <w:rFonts w:ascii="Cambria" w:hAnsi="Cambria" w:cstheme="majorHAnsi"/>
        </w:rPr>
        <w:tab/>
      </w:r>
      <w:r w:rsidRPr="009A0DA6">
        <w:rPr>
          <w:rFonts w:ascii="Cambria" w:hAnsi="Cambria" w:cstheme="majorHAnsi"/>
        </w:rPr>
        <w:tab/>
      </w:r>
      <w:r w:rsidRPr="009A0DA6">
        <w:rPr>
          <w:rFonts w:ascii="Cambria" w:hAnsi="Cambria" w:cstheme="majorHAnsi"/>
        </w:rPr>
        <w:tab/>
      </w:r>
      <w:r w:rsidRPr="009A0DA6">
        <w:rPr>
          <w:rFonts w:ascii="Cambria" w:hAnsi="Cambria" w:cstheme="majorHAnsi"/>
        </w:rPr>
        <w:tab/>
        <w:t>13.1.3.1.3.3</w:t>
      </w:r>
      <w:r w:rsidRPr="009A0DA6">
        <w:rPr>
          <w:rFonts w:ascii="Cambria" w:hAnsi="Cambria" w:cstheme="majorHAnsi"/>
        </w:rPr>
        <w:tab/>
        <w:t>operating costs;  and</w:t>
      </w:r>
    </w:p>
    <w:p w14:paraId="355632B9" w14:textId="77777777" w:rsidR="001B46FC" w:rsidRPr="009A0DA6" w:rsidRDefault="001B46FC" w:rsidP="001B46FC">
      <w:pPr>
        <w:tabs>
          <w:tab w:val="left" w:pos="709"/>
          <w:tab w:val="left" w:pos="1559"/>
          <w:tab w:val="left" w:pos="2552"/>
          <w:tab w:val="left" w:pos="3544"/>
          <w:tab w:val="left" w:pos="4820"/>
        </w:tabs>
        <w:spacing w:after="0" w:line="240" w:lineRule="auto"/>
        <w:ind w:left="5103" w:hanging="5103"/>
        <w:rPr>
          <w:rFonts w:ascii="Cambria" w:hAnsi="Cambria" w:cstheme="majorHAnsi"/>
        </w:rPr>
      </w:pPr>
      <w:r w:rsidRPr="009A0DA6">
        <w:rPr>
          <w:rFonts w:ascii="Cambria" w:hAnsi="Cambria" w:cstheme="majorHAnsi"/>
        </w:rPr>
        <w:tab/>
      </w:r>
      <w:r w:rsidRPr="009A0DA6">
        <w:rPr>
          <w:rFonts w:ascii="Cambria" w:hAnsi="Cambria" w:cstheme="majorHAnsi"/>
        </w:rPr>
        <w:tab/>
      </w:r>
      <w:r w:rsidRPr="009A0DA6">
        <w:rPr>
          <w:rFonts w:ascii="Cambria" w:hAnsi="Cambria" w:cstheme="majorHAnsi"/>
        </w:rPr>
        <w:tab/>
      </w:r>
      <w:r w:rsidRPr="009A0DA6">
        <w:rPr>
          <w:rFonts w:ascii="Cambria" w:hAnsi="Cambria" w:cstheme="majorHAnsi"/>
        </w:rPr>
        <w:tab/>
        <w:t>13.1.3.1.3.4</w:t>
      </w:r>
      <w:r w:rsidRPr="009A0DA6">
        <w:rPr>
          <w:rFonts w:ascii="Cambria" w:hAnsi="Cambria" w:cstheme="majorHAnsi"/>
        </w:rPr>
        <w:tab/>
        <w:t>income.</w:t>
      </w:r>
    </w:p>
    <w:p w14:paraId="46E4A884" w14:textId="77777777" w:rsidR="001B46FC" w:rsidRPr="009A0DA6" w:rsidRDefault="001B46FC" w:rsidP="001B46FC">
      <w:pPr>
        <w:tabs>
          <w:tab w:val="left" w:pos="709"/>
          <w:tab w:val="left" w:pos="1559"/>
          <w:tab w:val="left" w:pos="2552"/>
          <w:tab w:val="left" w:pos="3544"/>
          <w:tab w:val="left" w:pos="4820"/>
        </w:tabs>
        <w:spacing w:after="0" w:line="240" w:lineRule="auto"/>
        <w:ind w:left="1559" w:hanging="1559"/>
        <w:rPr>
          <w:rFonts w:ascii="Cambria" w:hAnsi="Cambria" w:cstheme="majorHAnsi"/>
        </w:rPr>
      </w:pPr>
      <w:r w:rsidRPr="009A0DA6">
        <w:rPr>
          <w:rFonts w:ascii="Cambria" w:hAnsi="Cambria" w:cstheme="majorHAnsi"/>
        </w:rPr>
        <w:tab/>
        <w:t>13.1.4</w:t>
      </w:r>
      <w:r w:rsidRPr="009A0DA6">
        <w:rPr>
          <w:rFonts w:ascii="Cambria" w:hAnsi="Cambria" w:cstheme="majorHAnsi"/>
        </w:rPr>
        <w:tab/>
        <w:t>The Board of Directors provide to the Convention of General Synod a report covering the synodical term which includes</w:t>
      </w:r>
    </w:p>
    <w:p w14:paraId="4D21AA77" w14:textId="77777777" w:rsidR="001B46FC" w:rsidRPr="009A0DA6" w:rsidRDefault="001B46FC" w:rsidP="001B46FC">
      <w:pPr>
        <w:tabs>
          <w:tab w:val="left" w:pos="709"/>
          <w:tab w:val="left" w:pos="1559"/>
          <w:tab w:val="left" w:pos="2552"/>
          <w:tab w:val="left" w:pos="3544"/>
          <w:tab w:val="left" w:pos="4820"/>
        </w:tabs>
        <w:spacing w:after="0" w:line="240" w:lineRule="auto"/>
        <w:ind w:left="2552" w:hanging="2552"/>
        <w:rPr>
          <w:rFonts w:ascii="Cambria" w:hAnsi="Cambria" w:cstheme="majorHAnsi"/>
        </w:rPr>
      </w:pPr>
      <w:r w:rsidRPr="009A0DA6">
        <w:rPr>
          <w:rFonts w:ascii="Cambria" w:hAnsi="Cambria" w:cstheme="majorHAnsi"/>
        </w:rPr>
        <w:lastRenderedPageBreak/>
        <w:tab/>
      </w:r>
      <w:r w:rsidRPr="009A0DA6">
        <w:rPr>
          <w:rFonts w:ascii="Cambria" w:hAnsi="Cambria" w:cstheme="majorHAnsi"/>
        </w:rPr>
        <w:tab/>
        <w:t>13.1.4.1</w:t>
      </w:r>
      <w:r w:rsidRPr="009A0DA6">
        <w:rPr>
          <w:rFonts w:ascii="Cambria" w:hAnsi="Cambria" w:cstheme="majorHAnsi"/>
        </w:rPr>
        <w:tab/>
        <w:t>general activity;  and</w:t>
      </w:r>
    </w:p>
    <w:p w14:paraId="1F958142" w14:textId="77777777" w:rsidR="001B46FC" w:rsidRPr="009A0DA6" w:rsidRDefault="001B46FC" w:rsidP="001B46FC">
      <w:pPr>
        <w:tabs>
          <w:tab w:val="left" w:pos="709"/>
          <w:tab w:val="left" w:pos="1559"/>
          <w:tab w:val="left" w:pos="2552"/>
          <w:tab w:val="left" w:pos="3544"/>
          <w:tab w:val="left" w:pos="4820"/>
        </w:tabs>
        <w:spacing w:after="0" w:line="240" w:lineRule="auto"/>
        <w:ind w:left="2552" w:hanging="2552"/>
        <w:rPr>
          <w:rFonts w:ascii="Cambria" w:hAnsi="Cambria" w:cstheme="majorHAnsi"/>
        </w:rPr>
      </w:pPr>
      <w:r w:rsidRPr="009A0DA6">
        <w:rPr>
          <w:rFonts w:ascii="Cambria" w:hAnsi="Cambria" w:cstheme="majorHAnsi"/>
        </w:rPr>
        <w:tab/>
      </w:r>
      <w:r w:rsidRPr="009A0DA6">
        <w:rPr>
          <w:rFonts w:ascii="Cambria" w:hAnsi="Cambria" w:cstheme="majorHAnsi"/>
        </w:rPr>
        <w:tab/>
        <w:t>13.1.4.2</w:t>
      </w:r>
      <w:r w:rsidRPr="009A0DA6">
        <w:rPr>
          <w:rFonts w:ascii="Cambria" w:hAnsi="Cambria" w:cstheme="majorHAnsi"/>
        </w:rPr>
        <w:tab/>
        <w:t>a financial statement.</w:t>
      </w:r>
    </w:p>
    <w:p w14:paraId="458C7547" w14:textId="77777777" w:rsidR="001B46FC" w:rsidRPr="009A0DA6" w:rsidRDefault="001B46FC" w:rsidP="001B46FC">
      <w:pPr>
        <w:tabs>
          <w:tab w:val="left" w:pos="709"/>
          <w:tab w:val="left" w:pos="1559"/>
          <w:tab w:val="left" w:pos="2552"/>
          <w:tab w:val="left" w:pos="3544"/>
          <w:tab w:val="left" w:pos="4820"/>
        </w:tabs>
        <w:spacing w:after="0" w:line="240" w:lineRule="auto"/>
        <w:ind w:left="1559" w:hanging="1559"/>
        <w:rPr>
          <w:rFonts w:ascii="Cambria" w:hAnsi="Cambria" w:cstheme="majorHAnsi"/>
        </w:rPr>
      </w:pPr>
      <w:r w:rsidRPr="009A0DA6">
        <w:rPr>
          <w:rFonts w:ascii="Cambria" w:hAnsi="Cambria" w:cstheme="majorHAnsi"/>
        </w:rPr>
        <w:tab/>
        <w:t>13.1.5</w:t>
      </w:r>
      <w:r w:rsidRPr="009A0DA6">
        <w:rPr>
          <w:rFonts w:ascii="Cambria" w:hAnsi="Cambria" w:cstheme="majorHAnsi"/>
        </w:rPr>
        <w:tab/>
        <w:t xml:space="preserve">The Board of Directors shall recommend to the General Church Council ordained candidates to be called as Principal and teaching staff. </w:t>
      </w:r>
    </w:p>
    <w:p w14:paraId="387BF664" w14:textId="422AFA76" w:rsidR="001B46FC" w:rsidRPr="009A0DA6" w:rsidRDefault="001B46FC" w:rsidP="001B46FC">
      <w:pPr>
        <w:tabs>
          <w:tab w:val="left" w:pos="709"/>
          <w:tab w:val="left" w:pos="1559"/>
          <w:tab w:val="left" w:pos="2552"/>
          <w:tab w:val="left" w:pos="3544"/>
          <w:tab w:val="left" w:pos="4820"/>
        </w:tabs>
        <w:spacing w:after="0" w:line="240" w:lineRule="auto"/>
        <w:ind w:left="1559" w:hanging="1559"/>
        <w:rPr>
          <w:rFonts w:ascii="Cambria" w:hAnsi="Cambria" w:cstheme="majorHAnsi"/>
        </w:rPr>
      </w:pPr>
      <w:r w:rsidRPr="009A0DA6">
        <w:rPr>
          <w:rFonts w:ascii="Cambria" w:hAnsi="Cambria" w:cstheme="majorHAnsi"/>
        </w:rPr>
        <w:tab/>
        <w:t>13.1.6</w:t>
      </w:r>
      <w:r w:rsidRPr="009A0DA6">
        <w:rPr>
          <w:rFonts w:ascii="Cambria" w:hAnsi="Cambria" w:cstheme="majorHAnsi"/>
        </w:rPr>
        <w:tab/>
        <w:t>Calls shall be for a specific period of time</w:t>
      </w:r>
      <w:r w:rsidR="0027799A" w:rsidRPr="009A0DA6">
        <w:rPr>
          <w:rFonts w:ascii="Cambria" w:hAnsi="Cambria" w:cstheme="majorHAnsi"/>
        </w:rPr>
        <w:t xml:space="preserve">. </w:t>
      </w:r>
    </w:p>
    <w:p w14:paraId="06A82CC1" w14:textId="77777777" w:rsidR="001B46FC" w:rsidRPr="009A0DA6" w:rsidRDefault="001B46FC" w:rsidP="001B46FC">
      <w:pPr>
        <w:tabs>
          <w:tab w:val="left" w:pos="709"/>
          <w:tab w:val="left" w:pos="1559"/>
          <w:tab w:val="left" w:pos="2552"/>
          <w:tab w:val="left" w:pos="3544"/>
          <w:tab w:val="left" w:pos="4820"/>
        </w:tabs>
        <w:spacing w:after="0" w:line="240" w:lineRule="auto"/>
        <w:rPr>
          <w:rFonts w:ascii="Cambria" w:hAnsi="Cambria" w:cstheme="majorHAnsi"/>
        </w:rPr>
      </w:pPr>
      <w:r w:rsidRPr="009A0DA6">
        <w:rPr>
          <w:rFonts w:ascii="Cambria" w:hAnsi="Cambria" w:cstheme="majorHAnsi"/>
        </w:rPr>
        <w:tab/>
        <w:t>13.1.7</w:t>
      </w:r>
      <w:r w:rsidRPr="009A0DA6">
        <w:rPr>
          <w:rFonts w:ascii="Cambria" w:hAnsi="Cambria" w:cstheme="majorHAnsi"/>
        </w:rPr>
        <w:tab/>
        <w:t>The Board of Directors shall adopt policies for</w:t>
      </w:r>
    </w:p>
    <w:p w14:paraId="7CC99418" w14:textId="77777777" w:rsidR="001B46FC" w:rsidRPr="009A0DA6" w:rsidRDefault="001B46FC" w:rsidP="001B46FC">
      <w:pPr>
        <w:tabs>
          <w:tab w:val="left" w:pos="709"/>
          <w:tab w:val="left" w:pos="1559"/>
          <w:tab w:val="left" w:pos="2552"/>
          <w:tab w:val="left" w:pos="3544"/>
          <w:tab w:val="left" w:pos="4820"/>
        </w:tabs>
        <w:spacing w:after="0" w:line="240" w:lineRule="auto"/>
        <w:ind w:left="2552" w:hanging="2552"/>
        <w:rPr>
          <w:rFonts w:ascii="Cambria" w:hAnsi="Cambria" w:cstheme="majorHAnsi"/>
        </w:rPr>
      </w:pPr>
      <w:r w:rsidRPr="009A0DA6">
        <w:rPr>
          <w:rFonts w:ascii="Cambria" w:hAnsi="Cambria" w:cstheme="majorHAnsi"/>
        </w:rPr>
        <w:tab/>
      </w:r>
      <w:r w:rsidRPr="009A0DA6">
        <w:rPr>
          <w:rFonts w:ascii="Cambria" w:hAnsi="Cambria" w:cstheme="majorHAnsi"/>
        </w:rPr>
        <w:tab/>
        <w:t>13.1.7.1</w:t>
      </w:r>
      <w:r w:rsidRPr="009A0DA6">
        <w:rPr>
          <w:rFonts w:ascii="Cambria" w:hAnsi="Cambria" w:cstheme="majorHAnsi"/>
        </w:rPr>
        <w:tab/>
        <w:t xml:space="preserve"> the Principal to employ staff.</w:t>
      </w:r>
    </w:p>
    <w:p w14:paraId="5C434E75" w14:textId="77777777" w:rsidR="001B46FC" w:rsidRPr="009A0DA6" w:rsidRDefault="001B46FC" w:rsidP="001B46FC">
      <w:pPr>
        <w:tabs>
          <w:tab w:val="left" w:pos="709"/>
          <w:tab w:val="left" w:pos="1559"/>
          <w:tab w:val="left" w:pos="2552"/>
          <w:tab w:val="left" w:pos="3544"/>
          <w:tab w:val="left" w:pos="4820"/>
        </w:tabs>
        <w:spacing w:after="0" w:line="240" w:lineRule="auto"/>
        <w:ind w:left="1559" w:hanging="1559"/>
        <w:rPr>
          <w:rFonts w:ascii="Cambria" w:hAnsi="Cambria" w:cstheme="majorHAnsi"/>
        </w:rPr>
      </w:pPr>
      <w:r w:rsidRPr="009A0DA6">
        <w:rPr>
          <w:rFonts w:ascii="Cambria" w:hAnsi="Cambria" w:cstheme="majorHAnsi"/>
        </w:rPr>
        <w:tab/>
        <w:t>13.1.8</w:t>
      </w:r>
      <w:r w:rsidRPr="009A0DA6">
        <w:rPr>
          <w:rFonts w:ascii="Cambria" w:hAnsi="Cambria" w:cstheme="majorHAnsi"/>
        </w:rPr>
        <w:tab/>
        <w:t>The Board of Directors shall</w:t>
      </w:r>
    </w:p>
    <w:p w14:paraId="1D25D485" w14:textId="77777777" w:rsidR="001B46FC" w:rsidRPr="009A0DA6" w:rsidRDefault="001B46FC" w:rsidP="001B46FC">
      <w:pPr>
        <w:tabs>
          <w:tab w:val="left" w:pos="709"/>
          <w:tab w:val="left" w:pos="1559"/>
          <w:tab w:val="left" w:pos="2552"/>
          <w:tab w:val="left" w:pos="3544"/>
          <w:tab w:val="left" w:pos="4820"/>
        </w:tabs>
        <w:spacing w:after="0" w:line="240" w:lineRule="auto"/>
        <w:ind w:left="2552" w:hanging="2552"/>
        <w:rPr>
          <w:rFonts w:ascii="Cambria" w:hAnsi="Cambria" w:cstheme="majorHAnsi"/>
        </w:rPr>
      </w:pPr>
      <w:r w:rsidRPr="009A0DA6">
        <w:rPr>
          <w:rFonts w:ascii="Cambria" w:hAnsi="Cambria" w:cstheme="majorHAnsi"/>
        </w:rPr>
        <w:tab/>
      </w:r>
      <w:r w:rsidRPr="009A0DA6">
        <w:rPr>
          <w:rFonts w:ascii="Cambria" w:hAnsi="Cambria" w:cstheme="majorHAnsi"/>
        </w:rPr>
        <w:tab/>
        <w:t>13.1.8.1</w:t>
      </w:r>
      <w:r w:rsidRPr="009A0DA6">
        <w:rPr>
          <w:rFonts w:ascii="Cambria" w:hAnsi="Cambria" w:cstheme="majorHAnsi"/>
        </w:rPr>
        <w:tab/>
        <w:t>appoint  sub-committees, which may include personnel who are not Directors, and define the terms of reference;</w:t>
      </w:r>
    </w:p>
    <w:p w14:paraId="4F56A903" w14:textId="77777777" w:rsidR="001B46FC" w:rsidRPr="009A0DA6" w:rsidRDefault="001B46FC" w:rsidP="001B46FC">
      <w:pPr>
        <w:tabs>
          <w:tab w:val="left" w:pos="709"/>
          <w:tab w:val="left" w:pos="1559"/>
          <w:tab w:val="left" w:pos="2552"/>
          <w:tab w:val="left" w:pos="3544"/>
          <w:tab w:val="left" w:pos="4820"/>
        </w:tabs>
        <w:spacing w:after="0" w:line="240" w:lineRule="auto"/>
        <w:ind w:left="2552" w:hanging="2552"/>
        <w:rPr>
          <w:rFonts w:ascii="Cambria" w:hAnsi="Cambria" w:cstheme="majorHAnsi"/>
        </w:rPr>
      </w:pPr>
      <w:r w:rsidRPr="009A0DA6">
        <w:rPr>
          <w:rFonts w:ascii="Cambria" w:hAnsi="Cambria" w:cstheme="majorHAnsi"/>
        </w:rPr>
        <w:tab/>
      </w:r>
      <w:r w:rsidRPr="009A0DA6">
        <w:rPr>
          <w:rFonts w:ascii="Cambria" w:hAnsi="Cambria" w:cstheme="majorHAnsi"/>
        </w:rPr>
        <w:tab/>
        <w:t xml:space="preserve">13.1.8.2 </w:t>
      </w:r>
      <w:r w:rsidRPr="009A0DA6">
        <w:rPr>
          <w:rFonts w:ascii="Cambria" w:hAnsi="Cambria" w:cstheme="majorHAnsi"/>
        </w:rPr>
        <w:tab/>
        <w:t>endorse programs of study leading to graduation as pastors, teachers, and lay workers in accordance with the graduate attributes required by key stakeholders;</w:t>
      </w:r>
    </w:p>
    <w:p w14:paraId="4A9EC8DB" w14:textId="77777777" w:rsidR="001B46FC" w:rsidRPr="009A0DA6" w:rsidRDefault="001B46FC" w:rsidP="001B46FC">
      <w:pPr>
        <w:tabs>
          <w:tab w:val="left" w:pos="709"/>
          <w:tab w:val="left" w:pos="1559"/>
          <w:tab w:val="left" w:pos="2552"/>
          <w:tab w:val="left" w:pos="3544"/>
          <w:tab w:val="left" w:pos="4820"/>
        </w:tabs>
        <w:spacing w:after="0" w:line="240" w:lineRule="auto"/>
        <w:ind w:left="2552" w:hanging="2552"/>
        <w:rPr>
          <w:rFonts w:ascii="Cambria" w:hAnsi="Cambria" w:cstheme="majorHAnsi"/>
        </w:rPr>
      </w:pPr>
      <w:r w:rsidRPr="009A0DA6">
        <w:rPr>
          <w:rFonts w:ascii="Cambria" w:hAnsi="Cambria" w:cstheme="majorHAnsi"/>
        </w:rPr>
        <w:tab/>
      </w:r>
      <w:r w:rsidRPr="009A0DA6">
        <w:rPr>
          <w:rFonts w:ascii="Cambria" w:hAnsi="Cambria" w:cstheme="majorHAnsi"/>
        </w:rPr>
        <w:tab/>
        <w:t>13.1.8.3</w:t>
      </w:r>
      <w:r w:rsidRPr="009A0DA6">
        <w:rPr>
          <w:rFonts w:ascii="Cambria" w:hAnsi="Cambria" w:cstheme="majorHAnsi"/>
        </w:rPr>
        <w:tab/>
        <w:t>endorse courses of study leading to degrees and awards;</w:t>
      </w:r>
    </w:p>
    <w:p w14:paraId="488C618F" w14:textId="77777777" w:rsidR="001B46FC" w:rsidRPr="009A0DA6" w:rsidRDefault="001B46FC" w:rsidP="001B46FC">
      <w:pPr>
        <w:tabs>
          <w:tab w:val="left" w:pos="709"/>
          <w:tab w:val="left" w:pos="1559"/>
          <w:tab w:val="left" w:pos="2552"/>
          <w:tab w:val="left" w:pos="3544"/>
          <w:tab w:val="left" w:pos="4820"/>
        </w:tabs>
        <w:spacing w:after="0" w:line="240" w:lineRule="auto"/>
        <w:ind w:left="2552" w:hanging="2552"/>
        <w:rPr>
          <w:rFonts w:ascii="Cambria" w:hAnsi="Cambria" w:cstheme="majorHAnsi"/>
        </w:rPr>
      </w:pPr>
      <w:r w:rsidRPr="009A0DA6">
        <w:rPr>
          <w:rFonts w:ascii="Cambria" w:hAnsi="Cambria" w:cstheme="majorHAnsi"/>
        </w:rPr>
        <w:tab/>
      </w:r>
      <w:r w:rsidRPr="009A0DA6">
        <w:rPr>
          <w:rFonts w:ascii="Cambria" w:hAnsi="Cambria" w:cstheme="majorHAnsi"/>
        </w:rPr>
        <w:tab/>
        <w:t>13.1.8.4</w:t>
      </w:r>
      <w:r w:rsidRPr="009A0DA6">
        <w:rPr>
          <w:rFonts w:ascii="Cambria" w:hAnsi="Cambria" w:cstheme="majorHAnsi"/>
        </w:rPr>
        <w:tab/>
        <w:t>administer the financial affairs of the College and manage the real and personal estate under its care;</w:t>
      </w:r>
    </w:p>
    <w:p w14:paraId="4C878949" w14:textId="77777777" w:rsidR="001B46FC" w:rsidRPr="009A0DA6" w:rsidRDefault="001B46FC" w:rsidP="001B46FC">
      <w:pPr>
        <w:tabs>
          <w:tab w:val="left" w:pos="709"/>
          <w:tab w:val="left" w:pos="1559"/>
          <w:tab w:val="left" w:pos="2552"/>
          <w:tab w:val="left" w:pos="3544"/>
          <w:tab w:val="left" w:pos="4820"/>
        </w:tabs>
        <w:spacing w:after="0" w:line="240" w:lineRule="auto"/>
        <w:ind w:left="2552" w:hanging="2552"/>
        <w:rPr>
          <w:rFonts w:ascii="Cambria" w:hAnsi="Cambria" w:cstheme="majorHAnsi"/>
        </w:rPr>
      </w:pPr>
      <w:r w:rsidRPr="009A0DA6">
        <w:rPr>
          <w:rFonts w:ascii="Cambria" w:hAnsi="Cambria" w:cstheme="majorHAnsi"/>
        </w:rPr>
        <w:tab/>
      </w:r>
      <w:r w:rsidRPr="009A0DA6">
        <w:rPr>
          <w:rFonts w:ascii="Cambria" w:hAnsi="Cambria" w:cstheme="majorHAnsi"/>
        </w:rPr>
        <w:tab/>
        <w:t>13.1.8.5</w:t>
      </w:r>
      <w:r w:rsidRPr="009A0DA6">
        <w:rPr>
          <w:rFonts w:ascii="Cambria" w:hAnsi="Cambria" w:cstheme="majorHAnsi"/>
        </w:rPr>
        <w:tab/>
        <w:t>review tuition fees;</w:t>
      </w:r>
    </w:p>
    <w:p w14:paraId="06AA834D" w14:textId="77777777" w:rsidR="001B46FC" w:rsidRPr="009A0DA6" w:rsidRDefault="001B46FC" w:rsidP="001B46FC">
      <w:pPr>
        <w:tabs>
          <w:tab w:val="left" w:pos="709"/>
          <w:tab w:val="left" w:pos="1559"/>
          <w:tab w:val="left" w:pos="2552"/>
          <w:tab w:val="left" w:pos="3544"/>
          <w:tab w:val="left" w:pos="4820"/>
        </w:tabs>
        <w:spacing w:after="0" w:line="240" w:lineRule="auto"/>
        <w:ind w:left="2552" w:hanging="2552"/>
        <w:rPr>
          <w:rFonts w:ascii="Cambria" w:hAnsi="Cambria" w:cstheme="majorHAnsi"/>
        </w:rPr>
      </w:pPr>
      <w:r w:rsidRPr="009A0DA6">
        <w:rPr>
          <w:rFonts w:ascii="Cambria" w:hAnsi="Cambria" w:cstheme="majorHAnsi"/>
        </w:rPr>
        <w:tab/>
      </w:r>
      <w:r w:rsidRPr="009A0DA6">
        <w:rPr>
          <w:rFonts w:ascii="Cambria" w:hAnsi="Cambria" w:cstheme="majorHAnsi"/>
        </w:rPr>
        <w:tab/>
        <w:t>13.1.8.6</w:t>
      </w:r>
      <w:r w:rsidRPr="009A0DA6">
        <w:rPr>
          <w:rFonts w:ascii="Cambria" w:hAnsi="Cambria" w:cstheme="majorHAnsi"/>
        </w:rPr>
        <w:tab/>
        <w:t xml:space="preserve">adopt a budget;  </w:t>
      </w:r>
    </w:p>
    <w:p w14:paraId="567BC2EA" w14:textId="77777777" w:rsidR="001B46FC" w:rsidRPr="009A0DA6" w:rsidRDefault="001B46FC" w:rsidP="001B46FC">
      <w:pPr>
        <w:tabs>
          <w:tab w:val="left" w:pos="709"/>
          <w:tab w:val="left" w:pos="1559"/>
          <w:tab w:val="left" w:pos="2552"/>
          <w:tab w:val="left" w:pos="3544"/>
          <w:tab w:val="left" w:pos="4820"/>
        </w:tabs>
        <w:spacing w:after="0" w:line="240" w:lineRule="auto"/>
        <w:ind w:left="2552" w:hanging="2552"/>
        <w:rPr>
          <w:rFonts w:ascii="Cambria" w:hAnsi="Cambria" w:cstheme="majorHAnsi"/>
        </w:rPr>
      </w:pPr>
      <w:r w:rsidRPr="009A0DA6">
        <w:rPr>
          <w:rFonts w:ascii="Cambria" w:hAnsi="Cambria" w:cstheme="majorHAnsi"/>
        </w:rPr>
        <w:tab/>
      </w:r>
      <w:r w:rsidRPr="009A0DA6">
        <w:rPr>
          <w:rFonts w:ascii="Cambria" w:hAnsi="Cambria" w:cstheme="majorHAnsi"/>
        </w:rPr>
        <w:tab/>
        <w:t>13.1.8.7</w:t>
      </w:r>
      <w:r w:rsidRPr="009A0DA6">
        <w:rPr>
          <w:rFonts w:ascii="Cambria" w:hAnsi="Cambria" w:cstheme="majorHAnsi"/>
        </w:rPr>
        <w:tab/>
        <w:t>receive regular reports from the Principal;  and</w:t>
      </w:r>
    </w:p>
    <w:p w14:paraId="64F16FB6" w14:textId="77777777" w:rsidR="001B46FC" w:rsidRPr="009A0DA6" w:rsidRDefault="001B46FC" w:rsidP="001B46FC">
      <w:pPr>
        <w:tabs>
          <w:tab w:val="left" w:pos="709"/>
          <w:tab w:val="left" w:pos="1559"/>
          <w:tab w:val="left" w:pos="2552"/>
          <w:tab w:val="left" w:pos="3544"/>
          <w:tab w:val="left" w:pos="4820"/>
        </w:tabs>
        <w:spacing w:after="0" w:line="240" w:lineRule="auto"/>
        <w:ind w:left="2552" w:hanging="2552"/>
        <w:rPr>
          <w:rFonts w:ascii="Cambria" w:hAnsi="Cambria" w:cstheme="majorHAnsi"/>
          <w:bCs/>
        </w:rPr>
      </w:pPr>
      <w:r w:rsidRPr="009A0DA6">
        <w:rPr>
          <w:rFonts w:ascii="Cambria" w:hAnsi="Cambria" w:cstheme="majorHAnsi"/>
          <w:bCs/>
        </w:rPr>
        <w:tab/>
      </w:r>
      <w:r w:rsidRPr="009A0DA6">
        <w:rPr>
          <w:rFonts w:ascii="Cambria" w:hAnsi="Cambria" w:cstheme="majorHAnsi"/>
          <w:bCs/>
        </w:rPr>
        <w:tab/>
        <w:t xml:space="preserve">13.1.8.8 </w:t>
      </w:r>
      <w:r w:rsidRPr="009A0DA6">
        <w:rPr>
          <w:rFonts w:ascii="Cambria" w:hAnsi="Cambria" w:cstheme="majorHAnsi"/>
          <w:bCs/>
        </w:rPr>
        <w:tab/>
        <w:t xml:space="preserve">decide on the responsible financial management of the </w:t>
      </w:r>
      <w:r w:rsidRPr="009A0DA6">
        <w:rPr>
          <w:rFonts w:ascii="Cambria" w:hAnsi="Cambria" w:cstheme="majorHAnsi"/>
        </w:rPr>
        <w:t>College.</w:t>
      </w:r>
      <w:r w:rsidRPr="009A0DA6">
        <w:rPr>
          <w:rFonts w:ascii="Cambria" w:hAnsi="Cambria" w:cstheme="majorHAnsi"/>
          <w:bCs/>
        </w:rPr>
        <w:t xml:space="preserve"> </w:t>
      </w:r>
    </w:p>
    <w:p w14:paraId="1D5777C1" w14:textId="77777777" w:rsidR="001B46FC" w:rsidRPr="009A0DA6" w:rsidRDefault="001B46FC" w:rsidP="001B46FC">
      <w:pPr>
        <w:tabs>
          <w:tab w:val="left" w:pos="709"/>
          <w:tab w:val="left" w:pos="1559"/>
          <w:tab w:val="left" w:pos="2552"/>
          <w:tab w:val="left" w:pos="3544"/>
          <w:tab w:val="left" w:pos="4820"/>
        </w:tabs>
        <w:spacing w:after="0" w:line="240" w:lineRule="auto"/>
        <w:ind w:left="1559" w:hanging="1559"/>
        <w:rPr>
          <w:rFonts w:ascii="Cambria" w:hAnsi="Cambria" w:cstheme="majorHAnsi"/>
        </w:rPr>
      </w:pPr>
      <w:r w:rsidRPr="009A0DA6">
        <w:rPr>
          <w:rFonts w:ascii="Cambria" w:hAnsi="Cambria" w:cstheme="majorHAnsi"/>
        </w:rPr>
        <w:tab/>
        <w:t>13.1.9</w:t>
      </w:r>
      <w:r w:rsidRPr="009A0DA6">
        <w:rPr>
          <w:rFonts w:ascii="Cambria" w:hAnsi="Cambria" w:cstheme="majorHAnsi"/>
        </w:rPr>
        <w:tab/>
        <w:t>The Directors must comply with their duties as Directors under legislation and common law, and with the duties described in governance standard 5 of the regulations made under the ACNC Act which are</w:t>
      </w:r>
    </w:p>
    <w:p w14:paraId="3F99EA66" w14:textId="77777777" w:rsidR="001B46FC" w:rsidRPr="009A0DA6" w:rsidRDefault="001B46FC" w:rsidP="001B46FC">
      <w:pPr>
        <w:tabs>
          <w:tab w:val="left" w:pos="709"/>
          <w:tab w:val="left" w:pos="1559"/>
          <w:tab w:val="left" w:pos="2552"/>
          <w:tab w:val="left" w:pos="3544"/>
          <w:tab w:val="left" w:pos="4820"/>
        </w:tabs>
        <w:spacing w:after="0" w:line="240" w:lineRule="auto"/>
        <w:ind w:left="2552" w:hanging="2552"/>
        <w:rPr>
          <w:rFonts w:ascii="Cambria" w:hAnsi="Cambria" w:cstheme="majorHAnsi"/>
        </w:rPr>
      </w:pPr>
      <w:r w:rsidRPr="009A0DA6">
        <w:rPr>
          <w:rFonts w:ascii="Cambria" w:hAnsi="Cambria" w:cstheme="majorHAnsi"/>
        </w:rPr>
        <w:tab/>
      </w:r>
      <w:r w:rsidRPr="009A0DA6">
        <w:rPr>
          <w:rFonts w:ascii="Cambria" w:hAnsi="Cambria" w:cstheme="majorHAnsi"/>
        </w:rPr>
        <w:tab/>
        <w:t>13.1.9.1</w:t>
      </w:r>
      <w:r w:rsidRPr="009A0DA6">
        <w:rPr>
          <w:rFonts w:ascii="Cambria" w:hAnsi="Cambria" w:cstheme="majorHAnsi"/>
        </w:rPr>
        <w:tab/>
        <w:t>to exercise their powers and discharge their duties with the degree of care and diligence that a reasonable individual would exercise if they were a Director of the College;</w:t>
      </w:r>
    </w:p>
    <w:p w14:paraId="0EC2293E" w14:textId="77777777" w:rsidR="001B46FC" w:rsidRPr="009A0DA6" w:rsidRDefault="001B46FC" w:rsidP="001B46FC">
      <w:pPr>
        <w:tabs>
          <w:tab w:val="left" w:pos="709"/>
          <w:tab w:val="left" w:pos="1559"/>
          <w:tab w:val="left" w:pos="2552"/>
          <w:tab w:val="left" w:pos="3544"/>
          <w:tab w:val="left" w:pos="4820"/>
        </w:tabs>
        <w:spacing w:after="0" w:line="240" w:lineRule="auto"/>
        <w:ind w:left="2552" w:hanging="2552"/>
        <w:rPr>
          <w:rFonts w:ascii="Cambria" w:hAnsi="Cambria" w:cstheme="majorHAnsi"/>
        </w:rPr>
      </w:pPr>
      <w:r w:rsidRPr="009A0DA6">
        <w:rPr>
          <w:rFonts w:ascii="Cambria" w:hAnsi="Cambria" w:cstheme="majorHAnsi"/>
        </w:rPr>
        <w:tab/>
      </w:r>
      <w:r w:rsidRPr="009A0DA6">
        <w:rPr>
          <w:rFonts w:ascii="Cambria" w:hAnsi="Cambria" w:cstheme="majorHAnsi"/>
        </w:rPr>
        <w:tab/>
        <w:t>13.1.9.2</w:t>
      </w:r>
      <w:r w:rsidRPr="009A0DA6">
        <w:rPr>
          <w:rFonts w:ascii="Cambria" w:hAnsi="Cambria" w:cstheme="majorHAnsi"/>
        </w:rPr>
        <w:tab/>
        <w:t>to act in good faith in the best interests of the College and to further the not for profit purposes of the College set out in Article 7;</w:t>
      </w:r>
    </w:p>
    <w:p w14:paraId="49B4EF5D" w14:textId="77777777" w:rsidR="001B46FC" w:rsidRPr="009A0DA6" w:rsidRDefault="001B46FC" w:rsidP="001B46FC">
      <w:pPr>
        <w:tabs>
          <w:tab w:val="left" w:pos="709"/>
          <w:tab w:val="left" w:pos="1559"/>
          <w:tab w:val="left" w:pos="2552"/>
          <w:tab w:val="left" w:pos="3544"/>
          <w:tab w:val="left" w:pos="4820"/>
        </w:tabs>
        <w:spacing w:after="0" w:line="240" w:lineRule="auto"/>
        <w:ind w:left="2552" w:hanging="2552"/>
        <w:rPr>
          <w:rFonts w:ascii="Cambria" w:hAnsi="Cambria" w:cstheme="majorHAnsi"/>
        </w:rPr>
      </w:pPr>
      <w:r w:rsidRPr="009A0DA6">
        <w:rPr>
          <w:rFonts w:ascii="Cambria" w:hAnsi="Cambria" w:cstheme="majorHAnsi"/>
        </w:rPr>
        <w:tab/>
      </w:r>
      <w:r w:rsidRPr="009A0DA6">
        <w:rPr>
          <w:rFonts w:ascii="Cambria" w:hAnsi="Cambria" w:cstheme="majorHAnsi"/>
        </w:rPr>
        <w:tab/>
        <w:t>13.1.9.3</w:t>
      </w:r>
      <w:r w:rsidRPr="009A0DA6">
        <w:rPr>
          <w:rFonts w:ascii="Cambria" w:hAnsi="Cambria" w:cstheme="majorHAnsi"/>
        </w:rPr>
        <w:tab/>
        <w:t>to disclose any perceived or actual material conflicts of interest in the manner set out in Clause 13.5;</w:t>
      </w:r>
    </w:p>
    <w:p w14:paraId="3D4F9355" w14:textId="77777777" w:rsidR="001B46FC" w:rsidRPr="009A0DA6" w:rsidRDefault="001B46FC" w:rsidP="001B46FC">
      <w:pPr>
        <w:tabs>
          <w:tab w:val="left" w:pos="709"/>
          <w:tab w:val="left" w:pos="1559"/>
          <w:tab w:val="left" w:pos="2552"/>
          <w:tab w:val="left" w:pos="3544"/>
          <w:tab w:val="left" w:pos="4820"/>
        </w:tabs>
        <w:spacing w:after="0" w:line="240" w:lineRule="auto"/>
        <w:ind w:left="2552" w:hanging="2552"/>
        <w:rPr>
          <w:rFonts w:ascii="Cambria" w:hAnsi="Cambria" w:cstheme="majorHAnsi"/>
        </w:rPr>
      </w:pPr>
      <w:r w:rsidRPr="009A0DA6">
        <w:rPr>
          <w:rFonts w:ascii="Cambria" w:hAnsi="Cambria" w:cstheme="majorHAnsi"/>
        </w:rPr>
        <w:tab/>
      </w:r>
      <w:r w:rsidRPr="009A0DA6">
        <w:rPr>
          <w:rFonts w:ascii="Cambria" w:hAnsi="Cambria" w:cstheme="majorHAnsi"/>
        </w:rPr>
        <w:tab/>
        <w:t>13.1.9.4</w:t>
      </w:r>
      <w:r w:rsidRPr="009A0DA6">
        <w:rPr>
          <w:rFonts w:ascii="Cambria" w:hAnsi="Cambria" w:cstheme="majorHAnsi"/>
        </w:rPr>
        <w:tab/>
        <w:t xml:space="preserve">to ensure that the financial affairs of the College are managed responsibly; </w:t>
      </w:r>
    </w:p>
    <w:p w14:paraId="30D407D6" w14:textId="77777777" w:rsidR="001B46FC" w:rsidRPr="009A0DA6" w:rsidRDefault="001B46FC" w:rsidP="001B46FC">
      <w:pPr>
        <w:tabs>
          <w:tab w:val="left" w:pos="709"/>
          <w:tab w:val="left" w:pos="1559"/>
          <w:tab w:val="left" w:pos="2552"/>
          <w:tab w:val="left" w:pos="3544"/>
          <w:tab w:val="left" w:pos="4820"/>
        </w:tabs>
        <w:spacing w:after="0" w:line="240" w:lineRule="auto"/>
        <w:ind w:left="2552" w:hanging="2552"/>
        <w:rPr>
          <w:rFonts w:ascii="Cambria" w:hAnsi="Cambria" w:cstheme="majorHAnsi"/>
        </w:rPr>
      </w:pPr>
      <w:r w:rsidRPr="009A0DA6">
        <w:rPr>
          <w:rFonts w:ascii="Cambria" w:hAnsi="Cambria" w:cstheme="majorHAnsi"/>
        </w:rPr>
        <w:tab/>
      </w:r>
      <w:r w:rsidRPr="009A0DA6">
        <w:rPr>
          <w:rFonts w:ascii="Cambria" w:hAnsi="Cambria" w:cstheme="majorHAnsi"/>
        </w:rPr>
        <w:tab/>
        <w:t>13.1.9.5</w:t>
      </w:r>
      <w:r w:rsidRPr="009A0DA6">
        <w:rPr>
          <w:rFonts w:ascii="Cambria" w:hAnsi="Cambria" w:cstheme="majorHAnsi"/>
        </w:rPr>
        <w:tab/>
        <w:t>not to misuse their position as a Director;</w:t>
      </w:r>
    </w:p>
    <w:p w14:paraId="513D5C0E" w14:textId="77777777" w:rsidR="001B46FC" w:rsidRPr="009A0DA6" w:rsidRDefault="001B46FC" w:rsidP="001B46FC">
      <w:pPr>
        <w:tabs>
          <w:tab w:val="left" w:pos="709"/>
          <w:tab w:val="left" w:pos="1559"/>
          <w:tab w:val="left" w:pos="2552"/>
          <w:tab w:val="left" w:pos="3544"/>
          <w:tab w:val="left" w:pos="4820"/>
        </w:tabs>
        <w:spacing w:after="0" w:line="240" w:lineRule="auto"/>
        <w:ind w:left="2552" w:hanging="2552"/>
        <w:rPr>
          <w:rFonts w:ascii="Cambria" w:hAnsi="Cambria" w:cstheme="majorHAnsi"/>
        </w:rPr>
      </w:pPr>
      <w:r w:rsidRPr="009A0DA6">
        <w:rPr>
          <w:rFonts w:ascii="Cambria" w:hAnsi="Cambria" w:cstheme="majorHAnsi"/>
        </w:rPr>
        <w:tab/>
      </w:r>
      <w:r w:rsidRPr="009A0DA6">
        <w:rPr>
          <w:rFonts w:ascii="Cambria" w:hAnsi="Cambria" w:cstheme="majorHAnsi"/>
        </w:rPr>
        <w:tab/>
        <w:t>13.1.9.6</w:t>
      </w:r>
      <w:r w:rsidRPr="009A0DA6">
        <w:rPr>
          <w:rFonts w:ascii="Cambria" w:hAnsi="Cambria" w:cstheme="majorHAnsi"/>
        </w:rPr>
        <w:tab/>
        <w:t>not to misuse information they gain in their role as a Director;  and</w:t>
      </w:r>
    </w:p>
    <w:p w14:paraId="3A017195" w14:textId="77777777" w:rsidR="001B46FC" w:rsidRPr="009A0DA6" w:rsidRDefault="001B46FC" w:rsidP="001B46FC">
      <w:pPr>
        <w:tabs>
          <w:tab w:val="left" w:pos="709"/>
          <w:tab w:val="left" w:pos="1559"/>
          <w:tab w:val="left" w:pos="2552"/>
          <w:tab w:val="left" w:pos="3544"/>
          <w:tab w:val="left" w:pos="4820"/>
        </w:tabs>
        <w:spacing w:after="0" w:line="240" w:lineRule="auto"/>
        <w:ind w:left="2552" w:hanging="2552"/>
        <w:rPr>
          <w:rFonts w:ascii="Cambria" w:hAnsi="Cambria" w:cstheme="majorHAnsi"/>
        </w:rPr>
      </w:pPr>
      <w:r w:rsidRPr="009A0DA6">
        <w:rPr>
          <w:rFonts w:ascii="Cambria" w:hAnsi="Cambria" w:cstheme="majorHAnsi"/>
        </w:rPr>
        <w:tab/>
      </w:r>
      <w:r w:rsidRPr="009A0DA6">
        <w:rPr>
          <w:rFonts w:ascii="Cambria" w:hAnsi="Cambria" w:cstheme="majorHAnsi"/>
        </w:rPr>
        <w:tab/>
        <w:t>13.1.9.7</w:t>
      </w:r>
      <w:r w:rsidRPr="009A0DA6">
        <w:rPr>
          <w:rFonts w:ascii="Cambria" w:hAnsi="Cambria" w:cstheme="majorHAnsi"/>
        </w:rPr>
        <w:tab/>
        <w:t>not to allow the College to operate while it is insolvent.</w:t>
      </w:r>
    </w:p>
    <w:p w14:paraId="646F3B91" w14:textId="77777777" w:rsidR="001B46FC" w:rsidRPr="009A0DA6" w:rsidRDefault="001B46FC" w:rsidP="001B46FC">
      <w:pPr>
        <w:tabs>
          <w:tab w:val="left" w:pos="709"/>
          <w:tab w:val="left" w:pos="1559"/>
          <w:tab w:val="left" w:pos="2552"/>
          <w:tab w:val="left" w:pos="3544"/>
          <w:tab w:val="left" w:pos="4820"/>
        </w:tabs>
        <w:spacing w:after="0" w:line="240" w:lineRule="auto"/>
        <w:rPr>
          <w:rFonts w:ascii="Cambria" w:hAnsi="Cambria" w:cstheme="majorHAnsi"/>
          <w:bCs/>
        </w:rPr>
      </w:pPr>
      <w:r w:rsidRPr="009A0DA6">
        <w:rPr>
          <w:rFonts w:ascii="Cambria" w:hAnsi="Cambria" w:cstheme="majorHAnsi"/>
          <w:bCs/>
        </w:rPr>
        <w:t>13.2</w:t>
      </w:r>
      <w:r w:rsidRPr="009A0DA6">
        <w:rPr>
          <w:rFonts w:ascii="Cambria" w:hAnsi="Cambria" w:cstheme="majorHAnsi"/>
          <w:bCs/>
        </w:rPr>
        <w:tab/>
      </w:r>
      <w:r w:rsidRPr="009A0DA6">
        <w:rPr>
          <w:rFonts w:ascii="Cambria" w:hAnsi="Cambria" w:cstheme="majorHAnsi"/>
          <w:bCs/>
          <w:u w:val="single"/>
        </w:rPr>
        <w:t>Delegation of Directors’ Powers</w:t>
      </w:r>
    </w:p>
    <w:p w14:paraId="1A4D0CBC" w14:textId="77777777" w:rsidR="001B46FC" w:rsidRPr="009A0DA6" w:rsidRDefault="001B46FC" w:rsidP="001B46FC">
      <w:pPr>
        <w:tabs>
          <w:tab w:val="left" w:pos="709"/>
          <w:tab w:val="left" w:pos="1559"/>
          <w:tab w:val="left" w:pos="2552"/>
          <w:tab w:val="left" w:pos="3544"/>
          <w:tab w:val="left" w:pos="4820"/>
        </w:tabs>
        <w:spacing w:after="0" w:line="240" w:lineRule="auto"/>
        <w:ind w:left="1559" w:hanging="1559"/>
        <w:rPr>
          <w:rFonts w:ascii="Cambria" w:hAnsi="Cambria" w:cstheme="majorHAnsi"/>
        </w:rPr>
      </w:pPr>
      <w:r w:rsidRPr="009A0DA6">
        <w:rPr>
          <w:rFonts w:ascii="Cambria" w:hAnsi="Cambria" w:cstheme="majorHAnsi"/>
        </w:rPr>
        <w:tab/>
        <w:t>13.2.1</w:t>
      </w:r>
      <w:r w:rsidRPr="009A0DA6">
        <w:rPr>
          <w:rFonts w:ascii="Cambria" w:hAnsi="Cambria" w:cstheme="majorHAnsi"/>
        </w:rPr>
        <w:tab/>
        <w:t>The Directors may delegate any of their powers and functions to a committee, a Director, an employee of the College or any other person, as they consider appropriate and define the terms of reference.</w:t>
      </w:r>
    </w:p>
    <w:p w14:paraId="18EE40B8"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ind w:left="1559" w:hanging="1559"/>
        <w:rPr>
          <w:rFonts w:ascii="Cambria" w:hAnsi="Cambria" w:cstheme="majorHAnsi"/>
        </w:rPr>
      </w:pPr>
      <w:r w:rsidRPr="009A0DA6">
        <w:rPr>
          <w:rFonts w:ascii="Cambria" w:hAnsi="Cambria" w:cstheme="majorHAnsi"/>
        </w:rPr>
        <w:tab/>
        <w:t>13.2.2</w:t>
      </w:r>
      <w:r w:rsidRPr="009A0DA6">
        <w:rPr>
          <w:rFonts w:ascii="Cambria" w:hAnsi="Cambria" w:cstheme="majorHAnsi"/>
        </w:rPr>
        <w:tab/>
        <w:t xml:space="preserve">The delegation must be recorded in the minutes. </w:t>
      </w:r>
    </w:p>
    <w:p w14:paraId="0735A412" w14:textId="77777777" w:rsidR="001B46FC" w:rsidRPr="009A0DA6" w:rsidRDefault="001B46FC" w:rsidP="001B46FC">
      <w:pPr>
        <w:tabs>
          <w:tab w:val="left" w:pos="709"/>
          <w:tab w:val="left" w:pos="1559"/>
          <w:tab w:val="left" w:pos="2552"/>
          <w:tab w:val="left" w:pos="3544"/>
          <w:tab w:val="left" w:pos="4820"/>
        </w:tabs>
        <w:spacing w:after="0" w:line="240" w:lineRule="auto"/>
        <w:rPr>
          <w:rFonts w:ascii="Cambria" w:hAnsi="Cambria" w:cstheme="majorHAnsi"/>
          <w:bCs/>
        </w:rPr>
      </w:pPr>
      <w:r w:rsidRPr="009A0DA6">
        <w:rPr>
          <w:rFonts w:ascii="Cambria" w:hAnsi="Cambria" w:cstheme="majorHAnsi"/>
          <w:bCs/>
        </w:rPr>
        <w:t>13.3</w:t>
      </w:r>
      <w:r w:rsidRPr="009A0DA6">
        <w:rPr>
          <w:rFonts w:ascii="Cambria" w:hAnsi="Cambria" w:cstheme="majorHAnsi"/>
          <w:bCs/>
        </w:rPr>
        <w:tab/>
      </w:r>
      <w:r w:rsidRPr="009A0DA6">
        <w:rPr>
          <w:rFonts w:ascii="Cambria" w:hAnsi="Cambria" w:cstheme="majorHAnsi"/>
          <w:bCs/>
          <w:u w:val="single"/>
        </w:rPr>
        <w:t>Payments to Directors</w:t>
      </w:r>
    </w:p>
    <w:p w14:paraId="2FE3F61F" w14:textId="77777777" w:rsidR="001B46FC" w:rsidRPr="009A0DA6" w:rsidRDefault="001B46FC" w:rsidP="001B46FC">
      <w:pPr>
        <w:tabs>
          <w:tab w:val="left" w:pos="709"/>
          <w:tab w:val="left" w:pos="1559"/>
          <w:tab w:val="left" w:pos="2552"/>
          <w:tab w:val="left" w:pos="3544"/>
          <w:tab w:val="left" w:pos="4820"/>
        </w:tabs>
        <w:spacing w:after="0" w:line="240" w:lineRule="auto"/>
        <w:rPr>
          <w:rFonts w:ascii="Cambria" w:hAnsi="Cambria" w:cstheme="majorHAnsi"/>
        </w:rPr>
      </w:pPr>
      <w:bookmarkStart w:id="353" w:name="_Ref361291732"/>
      <w:r w:rsidRPr="009A0DA6">
        <w:rPr>
          <w:rFonts w:ascii="Cambria" w:hAnsi="Cambria" w:cstheme="majorHAnsi"/>
        </w:rPr>
        <w:tab/>
        <w:t>13.3.1</w:t>
      </w:r>
      <w:r w:rsidRPr="009A0DA6">
        <w:rPr>
          <w:rFonts w:ascii="Cambria" w:hAnsi="Cambria" w:cstheme="majorHAnsi"/>
        </w:rPr>
        <w:tab/>
        <w:t>The College</w:t>
      </w:r>
      <w:r w:rsidRPr="009A0DA6">
        <w:rPr>
          <w:rFonts w:ascii="Cambria" w:hAnsi="Cambria" w:cstheme="majorHAnsi"/>
          <w:b/>
        </w:rPr>
        <w:t xml:space="preserve"> </w:t>
      </w:r>
      <w:r w:rsidRPr="009A0DA6">
        <w:rPr>
          <w:rFonts w:ascii="Cambria" w:hAnsi="Cambria" w:cstheme="majorHAnsi"/>
        </w:rPr>
        <w:t>must not pay fees to a Director for acting as a Director.</w:t>
      </w:r>
    </w:p>
    <w:p w14:paraId="5765C3D9" w14:textId="77777777" w:rsidR="001B46FC" w:rsidRPr="009A0DA6" w:rsidRDefault="001B46FC" w:rsidP="001B46FC">
      <w:pPr>
        <w:tabs>
          <w:tab w:val="left" w:pos="709"/>
          <w:tab w:val="left" w:pos="1559"/>
          <w:tab w:val="left" w:pos="2552"/>
          <w:tab w:val="left" w:pos="3544"/>
          <w:tab w:val="left" w:pos="4820"/>
        </w:tabs>
        <w:spacing w:after="0" w:line="240" w:lineRule="auto"/>
        <w:rPr>
          <w:rFonts w:ascii="Cambria" w:hAnsi="Cambria" w:cstheme="majorHAnsi"/>
        </w:rPr>
      </w:pPr>
      <w:bookmarkStart w:id="354" w:name="_Ref385409480"/>
      <w:r w:rsidRPr="009A0DA6">
        <w:rPr>
          <w:rFonts w:ascii="Cambria" w:hAnsi="Cambria" w:cstheme="majorHAnsi"/>
        </w:rPr>
        <w:tab/>
        <w:t>13.3.2</w:t>
      </w:r>
      <w:r w:rsidRPr="009A0DA6">
        <w:rPr>
          <w:rFonts w:ascii="Cambria" w:hAnsi="Cambria" w:cstheme="majorHAnsi"/>
        </w:rPr>
        <w:tab/>
        <w:t>The College</w:t>
      </w:r>
      <w:r w:rsidRPr="009A0DA6">
        <w:rPr>
          <w:rFonts w:ascii="Cambria" w:hAnsi="Cambria" w:cstheme="majorHAnsi"/>
          <w:b/>
        </w:rPr>
        <w:t xml:space="preserve"> </w:t>
      </w:r>
      <w:r w:rsidRPr="009A0DA6">
        <w:rPr>
          <w:rFonts w:ascii="Cambria" w:hAnsi="Cambria" w:cstheme="majorHAnsi"/>
        </w:rPr>
        <w:t>may</w:t>
      </w:r>
      <w:bookmarkEnd w:id="354"/>
    </w:p>
    <w:p w14:paraId="76174BB2" w14:textId="77777777" w:rsidR="001B46FC" w:rsidRPr="009A0DA6" w:rsidRDefault="001B46FC" w:rsidP="001B46FC">
      <w:pPr>
        <w:tabs>
          <w:tab w:val="left" w:pos="709"/>
          <w:tab w:val="left" w:pos="1559"/>
          <w:tab w:val="left" w:pos="2552"/>
          <w:tab w:val="left" w:pos="3544"/>
          <w:tab w:val="left" w:pos="4820"/>
        </w:tabs>
        <w:spacing w:after="0" w:line="240" w:lineRule="auto"/>
        <w:ind w:left="2552" w:hanging="2552"/>
        <w:rPr>
          <w:rFonts w:ascii="Cambria" w:hAnsi="Cambria" w:cstheme="majorHAnsi"/>
        </w:rPr>
      </w:pPr>
      <w:r w:rsidRPr="009A0DA6">
        <w:rPr>
          <w:rFonts w:ascii="Cambria" w:hAnsi="Cambria" w:cstheme="majorHAnsi"/>
        </w:rPr>
        <w:tab/>
      </w:r>
      <w:r w:rsidRPr="009A0DA6">
        <w:rPr>
          <w:rFonts w:ascii="Cambria" w:hAnsi="Cambria" w:cstheme="majorHAnsi"/>
        </w:rPr>
        <w:tab/>
        <w:t>13.3.2.1</w:t>
      </w:r>
      <w:r w:rsidRPr="009A0DA6">
        <w:rPr>
          <w:rFonts w:ascii="Cambria" w:hAnsi="Cambria" w:cstheme="majorHAnsi"/>
        </w:rPr>
        <w:tab/>
        <w:t>pay a Director for work they do for the College, other than as a Director, if the amount is no more than a reasonable fee for the work done;  or</w:t>
      </w:r>
    </w:p>
    <w:p w14:paraId="76BFF322" w14:textId="77777777" w:rsidR="001B46FC" w:rsidRPr="009A0DA6" w:rsidRDefault="001B46FC" w:rsidP="001B46FC">
      <w:pPr>
        <w:tabs>
          <w:tab w:val="left" w:pos="709"/>
          <w:tab w:val="left" w:pos="1559"/>
          <w:tab w:val="left" w:pos="2552"/>
          <w:tab w:val="left" w:pos="3544"/>
          <w:tab w:val="left" w:pos="4820"/>
        </w:tabs>
        <w:spacing w:after="0" w:line="240" w:lineRule="auto"/>
        <w:ind w:left="2552" w:hanging="2552"/>
        <w:rPr>
          <w:rFonts w:ascii="Cambria" w:hAnsi="Cambria" w:cstheme="majorHAnsi"/>
        </w:rPr>
      </w:pPr>
      <w:r w:rsidRPr="009A0DA6">
        <w:rPr>
          <w:rFonts w:ascii="Cambria" w:hAnsi="Cambria" w:cstheme="majorHAnsi"/>
        </w:rPr>
        <w:tab/>
      </w:r>
      <w:r w:rsidRPr="009A0DA6">
        <w:rPr>
          <w:rFonts w:ascii="Cambria" w:hAnsi="Cambria" w:cstheme="majorHAnsi"/>
        </w:rPr>
        <w:tab/>
        <w:t>13.3.2.2</w:t>
      </w:r>
      <w:r w:rsidRPr="009A0DA6">
        <w:rPr>
          <w:rFonts w:ascii="Cambria" w:hAnsi="Cambria" w:cstheme="majorHAnsi"/>
        </w:rPr>
        <w:tab/>
        <w:t>reimburse a Director for expenses properly incurred by the Director in connection with the affairs of the College</w:t>
      </w:r>
      <w:r w:rsidRPr="009A0DA6">
        <w:rPr>
          <w:rFonts w:ascii="Cambria" w:hAnsi="Cambria" w:cstheme="majorHAnsi"/>
          <w:b/>
        </w:rPr>
        <w:t>.</w:t>
      </w:r>
    </w:p>
    <w:p w14:paraId="3CDF48C7" w14:textId="77777777" w:rsidR="001B46FC" w:rsidRPr="009A0DA6" w:rsidRDefault="001B46FC" w:rsidP="001B46FC">
      <w:pPr>
        <w:tabs>
          <w:tab w:val="left" w:pos="709"/>
          <w:tab w:val="left" w:pos="1559"/>
          <w:tab w:val="left" w:pos="2552"/>
          <w:tab w:val="left" w:pos="3544"/>
          <w:tab w:val="left" w:pos="4820"/>
        </w:tabs>
        <w:spacing w:after="0" w:line="240" w:lineRule="auto"/>
        <w:ind w:left="1559" w:hanging="1559"/>
        <w:rPr>
          <w:rFonts w:ascii="Cambria" w:hAnsi="Cambria" w:cstheme="majorHAnsi"/>
        </w:rPr>
      </w:pPr>
      <w:r w:rsidRPr="009A0DA6">
        <w:rPr>
          <w:rFonts w:ascii="Cambria" w:hAnsi="Cambria" w:cstheme="majorHAnsi"/>
        </w:rPr>
        <w:tab/>
        <w:t>13.3.3</w:t>
      </w:r>
      <w:r w:rsidRPr="009A0DA6">
        <w:rPr>
          <w:rFonts w:ascii="Cambria" w:hAnsi="Cambria" w:cstheme="majorHAnsi"/>
        </w:rPr>
        <w:tab/>
        <w:t>The College may pay premiums for insurance indemnifying Directors, as allowed for by law and this constitution.</w:t>
      </w:r>
      <w:bookmarkEnd w:id="353"/>
      <w:r w:rsidRPr="009A0DA6">
        <w:rPr>
          <w:rFonts w:ascii="Cambria" w:hAnsi="Cambria" w:cstheme="majorHAnsi"/>
        </w:rPr>
        <w:t xml:space="preserve"> </w:t>
      </w:r>
      <w:bookmarkStart w:id="355" w:name="_Ref393868658"/>
    </w:p>
    <w:p w14:paraId="5CF7C3A5"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rPr>
          <w:rFonts w:ascii="Cambria" w:hAnsi="Cambria" w:cstheme="majorHAnsi"/>
        </w:rPr>
      </w:pPr>
      <w:r w:rsidRPr="009A0DA6">
        <w:rPr>
          <w:rFonts w:ascii="Cambria" w:hAnsi="Cambria" w:cstheme="majorHAnsi"/>
          <w:bCs/>
        </w:rPr>
        <w:t>13.4</w:t>
      </w:r>
      <w:r w:rsidRPr="009A0DA6">
        <w:rPr>
          <w:rFonts w:ascii="Cambria" w:hAnsi="Cambria" w:cstheme="majorHAnsi"/>
        </w:rPr>
        <w:tab/>
      </w:r>
      <w:r w:rsidRPr="009A0DA6">
        <w:rPr>
          <w:rFonts w:ascii="Cambria" w:hAnsi="Cambria" w:cstheme="majorHAnsi"/>
          <w:u w:val="single"/>
        </w:rPr>
        <w:t>Execution of documents</w:t>
      </w:r>
      <w:bookmarkEnd w:id="355"/>
    </w:p>
    <w:p w14:paraId="28198A7A" w14:textId="77777777" w:rsidR="001B46FC" w:rsidRPr="009A0DA6" w:rsidRDefault="001B46FC" w:rsidP="001B46FC">
      <w:pPr>
        <w:pStyle w:val="ListParagraph"/>
        <w:tabs>
          <w:tab w:val="left" w:pos="709"/>
          <w:tab w:val="left" w:pos="1559"/>
          <w:tab w:val="left" w:pos="2552"/>
          <w:tab w:val="left" w:pos="3544"/>
          <w:tab w:val="left" w:pos="4820"/>
        </w:tabs>
        <w:spacing w:after="0" w:line="240" w:lineRule="auto"/>
        <w:ind w:left="1559" w:hanging="1559"/>
        <w:rPr>
          <w:rFonts w:ascii="Cambria" w:hAnsi="Cambria" w:cstheme="majorHAnsi"/>
        </w:rPr>
      </w:pPr>
      <w:r w:rsidRPr="009A0DA6">
        <w:rPr>
          <w:rFonts w:ascii="Cambria" w:hAnsi="Cambria" w:cstheme="majorHAnsi"/>
        </w:rPr>
        <w:tab/>
        <w:t>13.4.1</w:t>
      </w:r>
      <w:r w:rsidRPr="009A0DA6">
        <w:rPr>
          <w:rFonts w:ascii="Cambria" w:hAnsi="Cambria" w:cstheme="majorHAnsi"/>
        </w:rPr>
        <w:tab/>
        <w:t>If authorisation is not required by General Church Council, the College may execute a document without using a common seal if the document is signed by two Directors of the College.</w:t>
      </w:r>
    </w:p>
    <w:p w14:paraId="76E2359F"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rPr>
          <w:rFonts w:ascii="Cambria" w:hAnsi="Cambria" w:cstheme="majorHAnsi"/>
          <w:u w:val="single"/>
        </w:rPr>
      </w:pPr>
      <w:bookmarkStart w:id="356" w:name="_Ref394039332"/>
      <w:bookmarkStart w:id="357" w:name="_Ref405274882"/>
      <w:r w:rsidRPr="009A0DA6">
        <w:rPr>
          <w:rFonts w:ascii="Cambria" w:hAnsi="Cambria" w:cstheme="majorHAnsi"/>
          <w:bCs/>
        </w:rPr>
        <w:lastRenderedPageBreak/>
        <w:t>13.5</w:t>
      </w:r>
      <w:r w:rsidRPr="009A0DA6">
        <w:rPr>
          <w:rFonts w:ascii="Cambria" w:hAnsi="Cambria" w:cstheme="majorHAnsi"/>
        </w:rPr>
        <w:tab/>
      </w:r>
      <w:r w:rsidRPr="009A0DA6">
        <w:rPr>
          <w:rFonts w:ascii="Cambria" w:hAnsi="Cambria" w:cstheme="majorHAnsi"/>
          <w:u w:val="single"/>
        </w:rPr>
        <w:t>Conflicts of interest</w:t>
      </w:r>
      <w:bookmarkEnd w:id="356"/>
      <w:bookmarkEnd w:id="357"/>
      <w:r w:rsidRPr="009A0DA6">
        <w:rPr>
          <w:rFonts w:ascii="Cambria" w:hAnsi="Cambria" w:cstheme="majorHAnsi"/>
          <w:u w:val="single"/>
        </w:rPr>
        <w:t xml:space="preserve"> and Duty</w:t>
      </w:r>
    </w:p>
    <w:p w14:paraId="5F3003A7" w14:textId="77777777" w:rsidR="001B46FC" w:rsidRPr="009A0DA6" w:rsidRDefault="001B46FC" w:rsidP="001B46FC">
      <w:pPr>
        <w:tabs>
          <w:tab w:val="left" w:pos="709"/>
          <w:tab w:val="left" w:pos="1559"/>
          <w:tab w:val="left" w:pos="2552"/>
          <w:tab w:val="left" w:pos="3544"/>
          <w:tab w:val="left" w:pos="4820"/>
        </w:tabs>
        <w:spacing w:after="0" w:line="240" w:lineRule="auto"/>
        <w:ind w:left="1559" w:hanging="1559"/>
        <w:rPr>
          <w:rFonts w:ascii="Cambria" w:hAnsi="Cambria" w:cstheme="majorHAnsi"/>
        </w:rPr>
      </w:pPr>
      <w:r w:rsidRPr="009A0DA6">
        <w:rPr>
          <w:rFonts w:ascii="Cambria" w:hAnsi="Cambria" w:cstheme="majorHAnsi"/>
        </w:rPr>
        <w:tab/>
        <w:t>13.5.1</w:t>
      </w:r>
      <w:r w:rsidRPr="009A0DA6">
        <w:rPr>
          <w:rFonts w:ascii="Cambria" w:hAnsi="Cambria" w:cstheme="majorHAnsi"/>
        </w:rPr>
        <w:tab/>
        <w:t>A Director must disclose the nature and extent of any actual or perceived conflict of interest and duty in a matter that is being considered at a meeting of Directors or that is proposed in a circular resolution</w:t>
      </w:r>
    </w:p>
    <w:p w14:paraId="50091747" w14:textId="77777777" w:rsidR="001B46FC" w:rsidRPr="009A0DA6" w:rsidRDefault="001B46FC" w:rsidP="001B46FC">
      <w:pPr>
        <w:tabs>
          <w:tab w:val="left" w:pos="709"/>
          <w:tab w:val="left" w:pos="1559"/>
          <w:tab w:val="left" w:pos="2552"/>
          <w:tab w:val="left" w:pos="3544"/>
          <w:tab w:val="left" w:pos="4820"/>
        </w:tabs>
        <w:spacing w:after="0" w:line="240" w:lineRule="auto"/>
        <w:ind w:left="1559" w:hanging="1559"/>
        <w:rPr>
          <w:rFonts w:ascii="Cambria" w:hAnsi="Cambria" w:cstheme="majorHAnsi"/>
        </w:rPr>
      </w:pPr>
      <w:r w:rsidRPr="009A0DA6">
        <w:rPr>
          <w:rFonts w:ascii="Cambria" w:hAnsi="Cambria" w:cstheme="majorHAnsi"/>
        </w:rPr>
        <w:tab/>
      </w:r>
      <w:r w:rsidRPr="009A0DA6">
        <w:rPr>
          <w:rFonts w:ascii="Cambria" w:hAnsi="Cambria" w:cstheme="majorHAnsi"/>
        </w:rPr>
        <w:tab/>
        <w:t>13.5.1.1</w:t>
      </w:r>
      <w:r w:rsidRPr="009A0DA6">
        <w:rPr>
          <w:rFonts w:ascii="Cambria" w:hAnsi="Cambria" w:cstheme="majorHAnsi"/>
        </w:rPr>
        <w:tab/>
        <w:t>to the other Directors;  or</w:t>
      </w:r>
    </w:p>
    <w:p w14:paraId="07CED111" w14:textId="77777777" w:rsidR="001B46FC" w:rsidRPr="009A0DA6" w:rsidRDefault="001B46FC" w:rsidP="001B46FC">
      <w:pPr>
        <w:tabs>
          <w:tab w:val="left" w:pos="709"/>
          <w:tab w:val="left" w:pos="1559"/>
          <w:tab w:val="left" w:pos="2552"/>
          <w:tab w:val="left" w:pos="3544"/>
          <w:tab w:val="left" w:pos="4820"/>
        </w:tabs>
        <w:spacing w:after="0" w:line="240" w:lineRule="auto"/>
        <w:ind w:left="2552" w:hanging="2552"/>
        <w:rPr>
          <w:rFonts w:ascii="Cambria" w:hAnsi="Cambria" w:cstheme="majorHAnsi"/>
        </w:rPr>
      </w:pPr>
      <w:r w:rsidRPr="009A0DA6">
        <w:rPr>
          <w:rFonts w:ascii="Cambria" w:hAnsi="Cambria" w:cstheme="majorHAnsi"/>
        </w:rPr>
        <w:tab/>
      </w:r>
      <w:r w:rsidRPr="009A0DA6">
        <w:rPr>
          <w:rFonts w:ascii="Cambria" w:hAnsi="Cambria" w:cstheme="majorHAnsi"/>
        </w:rPr>
        <w:tab/>
        <w:t>13.5.1.2</w:t>
      </w:r>
      <w:r w:rsidRPr="009A0DA6">
        <w:rPr>
          <w:rFonts w:ascii="Cambria" w:hAnsi="Cambria" w:cstheme="majorHAnsi"/>
        </w:rPr>
        <w:tab/>
        <w:t>to the General Church Council, if all of the Directors have the same conflict of interest.</w:t>
      </w:r>
    </w:p>
    <w:p w14:paraId="24373D96" w14:textId="77777777" w:rsidR="001B46FC" w:rsidRPr="009A0DA6" w:rsidRDefault="001B46FC" w:rsidP="001B46FC">
      <w:pPr>
        <w:tabs>
          <w:tab w:val="left" w:pos="709"/>
          <w:tab w:val="left" w:pos="1559"/>
          <w:tab w:val="left" w:pos="2552"/>
          <w:tab w:val="left" w:pos="3544"/>
          <w:tab w:val="left" w:pos="4820"/>
        </w:tabs>
        <w:spacing w:after="0" w:line="240" w:lineRule="auto"/>
        <w:ind w:left="1559" w:hanging="1559"/>
        <w:rPr>
          <w:rFonts w:ascii="Cambria" w:hAnsi="Cambria" w:cstheme="majorHAnsi"/>
        </w:rPr>
      </w:pPr>
      <w:r w:rsidRPr="009A0DA6">
        <w:rPr>
          <w:rFonts w:ascii="Cambria" w:hAnsi="Cambria" w:cstheme="majorHAnsi"/>
        </w:rPr>
        <w:tab/>
        <w:t>13.5.2</w:t>
      </w:r>
      <w:r w:rsidRPr="009A0DA6">
        <w:rPr>
          <w:rFonts w:ascii="Cambria" w:hAnsi="Cambria" w:cstheme="majorHAnsi"/>
        </w:rPr>
        <w:tab/>
        <w:t>The disclosure of a conflict of interest by a Director must be recorded in the minutes of the meeting.</w:t>
      </w:r>
    </w:p>
    <w:p w14:paraId="7642771C" w14:textId="77777777" w:rsidR="001B46FC" w:rsidRPr="009A0DA6" w:rsidRDefault="001B46FC" w:rsidP="001B46FC">
      <w:pPr>
        <w:tabs>
          <w:tab w:val="left" w:pos="709"/>
          <w:tab w:val="left" w:pos="1559"/>
          <w:tab w:val="left" w:pos="2552"/>
          <w:tab w:val="left" w:pos="3544"/>
          <w:tab w:val="left" w:pos="4820"/>
        </w:tabs>
        <w:spacing w:after="0" w:line="240" w:lineRule="auto"/>
        <w:ind w:left="1559" w:hanging="1559"/>
        <w:rPr>
          <w:rFonts w:ascii="Cambria" w:hAnsi="Cambria" w:cstheme="majorHAnsi"/>
        </w:rPr>
      </w:pPr>
      <w:bookmarkStart w:id="358" w:name="_Ref398534203"/>
      <w:r w:rsidRPr="009A0DA6">
        <w:rPr>
          <w:rFonts w:ascii="Cambria" w:hAnsi="Cambria" w:cstheme="majorHAnsi"/>
        </w:rPr>
        <w:tab/>
        <w:t>13.5.3</w:t>
      </w:r>
      <w:r w:rsidRPr="009A0DA6">
        <w:rPr>
          <w:rFonts w:ascii="Cambria" w:hAnsi="Cambria" w:cstheme="majorHAnsi"/>
        </w:rPr>
        <w:tab/>
        <w:t xml:space="preserve">Each Director who has a material personal interest in a matter that is being considered at a meeting of Directors or that is proposed in a circular resolution, must not, except as provided under Clauses </w:t>
      </w:r>
      <w:bookmarkEnd w:id="358"/>
      <w:r w:rsidRPr="009A0DA6">
        <w:rPr>
          <w:rFonts w:ascii="Cambria" w:hAnsi="Cambria" w:cstheme="majorHAnsi"/>
        </w:rPr>
        <w:t xml:space="preserve">15.4 </w:t>
      </w:r>
    </w:p>
    <w:p w14:paraId="6EE06248" w14:textId="77777777" w:rsidR="001B46FC" w:rsidRPr="009A0DA6" w:rsidRDefault="001B46FC" w:rsidP="001B46FC">
      <w:pPr>
        <w:tabs>
          <w:tab w:val="left" w:pos="709"/>
          <w:tab w:val="left" w:pos="1559"/>
          <w:tab w:val="left" w:pos="2552"/>
          <w:tab w:val="left" w:pos="3544"/>
          <w:tab w:val="left" w:pos="4820"/>
        </w:tabs>
        <w:spacing w:after="0" w:line="240" w:lineRule="auto"/>
        <w:ind w:left="2552" w:hanging="2552"/>
        <w:rPr>
          <w:rFonts w:ascii="Cambria" w:hAnsi="Cambria" w:cstheme="majorHAnsi"/>
        </w:rPr>
      </w:pPr>
      <w:r w:rsidRPr="009A0DA6">
        <w:rPr>
          <w:rFonts w:ascii="Cambria" w:hAnsi="Cambria" w:cstheme="majorHAnsi"/>
        </w:rPr>
        <w:tab/>
      </w:r>
      <w:r w:rsidRPr="009A0DA6">
        <w:rPr>
          <w:rFonts w:ascii="Cambria" w:hAnsi="Cambria" w:cstheme="majorHAnsi"/>
        </w:rPr>
        <w:tab/>
        <w:t>13.5.3.1</w:t>
      </w:r>
      <w:r w:rsidRPr="009A0DA6">
        <w:rPr>
          <w:rFonts w:ascii="Cambria" w:hAnsi="Cambria" w:cstheme="majorHAnsi"/>
        </w:rPr>
        <w:tab/>
        <w:t xml:space="preserve">be present at the meeting while the matter is being discussed;  or </w:t>
      </w:r>
    </w:p>
    <w:p w14:paraId="312760C3" w14:textId="77777777" w:rsidR="001B46FC" w:rsidRPr="009A0DA6" w:rsidRDefault="001B46FC" w:rsidP="001B46FC">
      <w:pPr>
        <w:tabs>
          <w:tab w:val="left" w:pos="709"/>
          <w:tab w:val="left" w:pos="1559"/>
          <w:tab w:val="left" w:pos="2552"/>
          <w:tab w:val="left" w:pos="3544"/>
          <w:tab w:val="left" w:pos="4820"/>
        </w:tabs>
        <w:spacing w:after="0" w:line="240" w:lineRule="auto"/>
        <w:ind w:left="2552" w:hanging="2552"/>
        <w:rPr>
          <w:rFonts w:ascii="Cambria" w:hAnsi="Cambria" w:cstheme="majorHAnsi"/>
          <w:b/>
        </w:rPr>
      </w:pPr>
      <w:r w:rsidRPr="009A0DA6">
        <w:rPr>
          <w:rFonts w:ascii="Cambria" w:hAnsi="Cambria" w:cstheme="majorHAnsi"/>
        </w:rPr>
        <w:tab/>
      </w:r>
      <w:r w:rsidRPr="009A0DA6">
        <w:rPr>
          <w:rFonts w:ascii="Cambria" w:hAnsi="Cambria" w:cstheme="majorHAnsi"/>
        </w:rPr>
        <w:tab/>
        <w:t>13.5.3.2</w:t>
      </w:r>
      <w:r w:rsidRPr="009A0DA6">
        <w:rPr>
          <w:rFonts w:ascii="Cambria" w:hAnsi="Cambria" w:cstheme="majorHAnsi"/>
        </w:rPr>
        <w:tab/>
        <w:t>vote on the matter.</w:t>
      </w:r>
    </w:p>
    <w:p w14:paraId="4EB7F560"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ind w:left="1559" w:hanging="1559"/>
        <w:rPr>
          <w:rFonts w:ascii="Cambria" w:hAnsi="Cambria" w:cstheme="majorHAnsi"/>
        </w:rPr>
      </w:pPr>
      <w:bookmarkStart w:id="359" w:name="_Ref398534223"/>
      <w:r w:rsidRPr="009A0DA6">
        <w:rPr>
          <w:rFonts w:ascii="Cambria" w:hAnsi="Cambria" w:cstheme="majorHAnsi"/>
        </w:rPr>
        <w:tab/>
        <w:t>13.5.4</w:t>
      </w:r>
      <w:r w:rsidRPr="009A0DA6">
        <w:rPr>
          <w:rFonts w:ascii="Cambria" w:hAnsi="Cambria" w:cstheme="majorHAnsi"/>
        </w:rPr>
        <w:tab/>
        <w:t>A Director may still be present and vote if</w:t>
      </w:r>
      <w:bookmarkEnd w:id="359"/>
    </w:p>
    <w:p w14:paraId="024D4A3B" w14:textId="77777777" w:rsidR="001B46FC" w:rsidRPr="009A0DA6" w:rsidRDefault="001B46FC" w:rsidP="001B46FC">
      <w:pPr>
        <w:tabs>
          <w:tab w:val="left" w:pos="709"/>
          <w:tab w:val="left" w:pos="1559"/>
          <w:tab w:val="left" w:pos="2552"/>
          <w:tab w:val="left" w:pos="3544"/>
          <w:tab w:val="left" w:pos="4820"/>
        </w:tabs>
        <w:spacing w:after="0" w:line="240" w:lineRule="auto"/>
        <w:ind w:left="2552" w:hanging="2552"/>
        <w:rPr>
          <w:rFonts w:ascii="Cambria" w:hAnsi="Cambria" w:cstheme="majorHAnsi"/>
        </w:rPr>
      </w:pPr>
      <w:r w:rsidRPr="009A0DA6">
        <w:rPr>
          <w:rFonts w:ascii="Cambria" w:hAnsi="Cambria" w:cstheme="majorHAnsi"/>
        </w:rPr>
        <w:tab/>
      </w:r>
      <w:r w:rsidRPr="009A0DA6">
        <w:rPr>
          <w:rFonts w:ascii="Cambria" w:hAnsi="Cambria" w:cstheme="majorHAnsi"/>
        </w:rPr>
        <w:tab/>
        <w:t>13.5.4.1</w:t>
      </w:r>
      <w:r w:rsidRPr="009A0DA6">
        <w:rPr>
          <w:rFonts w:ascii="Cambria" w:hAnsi="Cambria" w:cstheme="majorHAnsi"/>
        </w:rPr>
        <w:tab/>
        <w:t>their interest arises because they are a Member of the College, and the other Members have the same interest;</w:t>
      </w:r>
    </w:p>
    <w:p w14:paraId="6A25718D" w14:textId="77777777" w:rsidR="001B46FC" w:rsidRPr="009A0DA6" w:rsidRDefault="001B46FC" w:rsidP="001B46FC">
      <w:pPr>
        <w:tabs>
          <w:tab w:val="left" w:pos="709"/>
          <w:tab w:val="left" w:pos="1559"/>
          <w:tab w:val="left" w:pos="2552"/>
          <w:tab w:val="left" w:pos="3544"/>
          <w:tab w:val="left" w:pos="4820"/>
        </w:tabs>
        <w:spacing w:after="0" w:line="240" w:lineRule="auto"/>
        <w:ind w:left="2552" w:hanging="2552"/>
        <w:rPr>
          <w:rFonts w:ascii="Cambria" w:hAnsi="Cambria" w:cstheme="majorHAnsi"/>
        </w:rPr>
      </w:pPr>
      <w:r w:rsidRPr="009A0DA6">
        <w:rPr>
          <w:rFonts w:ascii="Cambria" w:hAnsi="Cambria" w:cstheme="majorHAnsi"/>
        </w:rPr>
        <w:tab/>
      </w:r>
      <w:r w:rsidRPr="009A0DA6">
        <w:rPr>
          <w:rFonts w:ascii="Cambria" w:hAnsi="Cambria" w:cstheme="majorHAnsi"/>
        </w:rPr>
        <w:tab/>
        <w:t>13.5.4.2</w:t>
      </w:r>
      <w:r w:rsidRPr="009A0DA6">
        <w:rPr>
          <w:rFonts w:ascii="Cambria" w:hAnsi="Cambria" w:cstheme="majorHAnsi"/>
        </w:rPr>
        <w:tab/>
        <w:t>their interest relates to an insurance contract that insures, or would insure, the Director against liabilities that the Director incurs as a Director of the College as referred to in Article 22. Insurance;</w:t>
      </w:r>
    </w:p>
    <w:p w14:paraId="3982304D" w14:textId="77777777" w:rsidR="001B46FC" w:rsidRPr="009A0DA6" w:rsidRDefault="001B46FC" w:rsidP="001B46FC">
      <w:pPr>
        <w:tabs>
          <w:tab w:val="left" w:pos="709"/>
          <w:tab w:val="left" w:pos="1559"/>
          <w:tab w:val="left" w:pos="2552"/>
          <w:tab w:val="left" w:pos="3544"/>
          <w:tab w:val="left" w:pos="4820"/>
        </w:tabs>
        <w:spacing w:after="0" w:line="240" w:lineRule="auto"/>
        <w:ind w:left="2552" w:hanging="2552"/>
        <w:rPr>
          <w:rFonts w:ascii="Cambria" w:hAnsi="Cambria" w:cstheme="majorHAnsi"/>
        </w:rPr>
      </w:pPr>
      <w:r w:rsidRPr="009A0DA6">
        <w:rPr>
          <w:rFonts w:ascii="Cambria" w:hAnsi="Cambria" w:cstheme="majorHAnsi"/>
        </w:rPr>
        <w:tab/>
      </w:r>
      <w:r w:rsidRPr="009A0DA6">
        <w:rPr>
          <w:rFonts w:ascii="Cambria" w:hAnsi="Cambria" w:cstheme="majorHAnsi"/>
        </w:rPr>
        <w:tab/>
        <w:t>13.5.4.3</w:t>
      </w:r>
      <w:r w:rsidRPr="009A0DA6">
        <w:rPr>
          <w:rFonts w:ascii="Cambria" w:hAnsi="Cambria" w:cstheme="majorHAnsi"/>
        </w:rPr>
        <w:tab/>
        <w:t>their interest relates to a payment by the College under Article 21. Indemnity, or any contract relating to an indemnity that is allowed under the Corporations Act;</w:t>
      </w:r>
    </w:p>
    <w:p w14:paraId="5283D10A" w14:textId="77777777" w:rsidR="001B46FC" w:rsidRPr="009A0DA6" w:rsidRDefault="001B46FC" w:rsidP="001B46FC">
      <w:pPr>
        <w:tabs>
          <w:tab w:val="left" w:pos="709"/>
          <w:tab w:val="left" w:pos="1559"/>
          <w:tab w:val="left" w:pos="2552"/>
          <w:tab w:val="left" w:pos="3544"/>
          <w:tab w:val="left" w:pos="4820"/>
        </w:tabs>
        <w:spacing w:after="0" w:line="240" w:lineRule="auto"/>
        <w:ind w:left="2552" w:hanging="2552"/>
        <w:rPr>
          <w:rFonts w:ascii="Cambria" w:hAnsi="Cambria" w:cstheme="majorHAnsi"/>
        </w:rPr>
      </w:pPr>
      <w:r w:rsidRPr="009A0DA6">
        <w:rPr>
          <w:rFonts w:ascii="Cambria" w:hAnsi="Cambria" w:cstheme="majorHAnsi"/>
        </w:rPr>
        <w:tab/>
      </w:r>
      <w:r w:rsidRPr="009A0DA6">
        <w:rPr>
          <w:rFonts w:ascii="Cambria" w:hAnsi="Cambria" w:cstheme="majorHAnsi"/>
        </w:rPr>
        <w:tab/>
        <w:t>13.5.4.4</w:t>
      </w:r>
      <w:r w:rsidRPr="009A0DA6">
        <w:rPr>
          <w:rFonts w:ascii="Cambria" w:hAnsi="Cambria" w:cstheme="majorHAnsi"/>
        </w:rPr>
        <w:tab/>
        <w:t>the Australian Securities and Investments Commission (ASIC) makes an order allowing the Director to vote on the matter; or</w:t>
      </w:r>
    </w:p>
    <w:p w14:paraId="25F74905" w14:textId="77777777" w:rsidR="001B46FC" w:rsidRPr="009A0DA6" w:rsidRDefault="001B46FC" w:rsidP="001B46FC">
      <w:pPr>
        <w:tabs>
          <w:tab w:val="left" w:pos="709"/>
          <w:tab w:val="left" w:pos="1559"/>
          <w:tab w:val="left" w:pos="2552"/>
          <w:tab w:val="left" w:pos="3544"/>
          <w:tab w:val="left" w:pos="4820"/>
        </w:tabs>
        <w:spacing w:after="0" w:line="240" w:lineRule="auto"/>
        <w:ind w:left="2552" w:hanging="2552"/>
        <w:rPr>
          <w:rFonts w:ascii="Cambria" w:hAnsi="Cambria" w:cstheme="majorHAnsi"/>
        </w:rPr>
      </w:pPr>
      <w:r w:rsidRPr="009A0DA6">
        <w:rPr>
          <w:rFonts w:ascii="Cambria" w:hAnsi="Cambria" w:cstheme="majorHAnsi"/>
        </w:rPr>
        <w:tab/>
      </w:r>
      <w:r w:rsidRPr="009A0DA6">
        <w:rPr>
          <w:rFonts w:ascii="Cambria" w:hAnsi="Cambria" w:cstheme="majorHAnsi"/>
        </w:rPr>
        <w:tab/>
        <w:t>13.5.4.5</w:t>
      </w:r>
      <w:r w:rsidRPr="009A0DA6">
        <w:rPr>
          <w:rFonts w:ascii="Cambria" w:hAnsi="Cambria" w:cstheme="majorHAnsi"/>
        </w:rPr>
        <w:tab/>
        <w:t>the Directors who do not have a material personal interest in the matter pass a resolution that</w:t>
      </w:r>
    </w:p>
    <w:p w14:paraId="1AB91D3C"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ind w:left="3544" w:hanging="3544"/>
        <w:rPr>
          <w:rFonts w:ascii="Cambria" w:hAnsi="Cambria" w:cstheme="majorHAnsi"/>
        </w:rPr>
      </w:pPr>
      <w:r w:rsidRPr="009A0DA6">
        <w:rPr>
          <w:rFonts w:ascii="Cambria" w:hAnsi="Cambria" w:cstheme="majorHAnsi"/>
        </w:rPr>
        <w:tab/>
      </w:r>
      <w:r w:rsidRPr="009A0DA6">
        <w:rPr>
          <w:rFonts w:ascii="Cambria" w:hAnsi="Cambria" w:cstheme="majorHAnsi"/>
        </w:rPr>
        <w:tab/>
      </w:r>
      <w:r w:rsidRPr="009A0DA6">
        <w:rPr>
          <w:rFonts w:ascii="Cambria" w:hAnsi="Cambria" w:cstheme="majorHAnsi"/>
        </w:rPr>
        <w:tab/>
        <w:t>13.5.4.5.1</w:t>
      </w:r>
      <w:r w:rsidRPr="009A0DA6">
        <w:rPr>
          <w:rFonts w:ascii="Cambria" w:hAnsi="Cambria" w:cstheme="majorHAnsi"/>
        </w:rPr>
        <w:tab/>
        <w:t>identifies the Director, the nature and extent of the Director’s interest in the matter and how it relates to the affairs of the College;  and</w:t>
      </w:r>
    </w:p>
    <w:p w14:paraId="4AA34729"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ind w:left="3544" w:hanging="3544"/>
        <w:rPr>
          <w:rFonts w:ascii="Cambria" w:hAnsi="Cambria" w:cstheme="majorHAnsi"/>
        </w:rPr>
      </w:pPr>
      <w:r w:rsidRPr="009A0DA6">
        <w:rPr>
          <w:rFonts w:ascii="Cambria" w:hAnsi="Cambria" w:cstheme="majorHAnsi"/>
        </w:rPr>
        <w:tab/>
      </w:r>
      <w:r w:rsidRPr="009A0DA6">
        <w:rPr>
          <w:rFonts w:ascii="Cambria" w:hAnsi="Cambria" w:cstheme="majorHAnsi"/>
        </w:rPr>
        <w:tab/>
      </w:r>
      <w:r w:rsidRPr="009A0DA6">
        <w:rPr>
          <w:rFonts w:ascii="Cambria" w:hAnsi="Cambria" w:cstheme="majorHAnsi"/>
        </w:rPr>
        <w:tab/>
        <w:t>13.5.4.5.2</w:t>
      </w:r>
      <w:r w:rsidRPr="009A0DA6">
        <w:rPr>
          <w:rFonts w:ascii="Cambria" w:hAnsi="Cambria" w:cstheme="majorHAnsi"/>
        </w:rPr>
        <w:tab/>
        <w:t>says that those Directors are satisfied that the interest should not stop the Director from voting or being present.</w:t>
      </w:r>
    </w:p>
    <w:p w14:paraId="74EDCADB" w14:textId="77777777" w:rsidR="001B46FC" w:rsidRPr="009A0DA6" w:rsidRDefault="001B46FC" w:rsidP="001B46FC">
      <w:pPr>
        <w:spacing w:before="120"/>
        <w:rPr>
          <w:rFonts w:ascii="Cambria" w:hAnsi="Cambria"/>
          <w:b/>
        </w:rPr>
      </w:pPr>
      <w:r w:rsidRPr="009A0DA6">
        <w:rPr>
          <w:rFonts w:ascii="Cambria" w:hAnsi="Cambria"/>
          <w:b/>
        </w:rPr>
        <w:t>Article 14</w:t>
      </w:r>
      <w:r w:rsidRPr="009A0DA6">
        <w:rPr>
          <w:rFonts w:ascii="Cambria" w:hAnsi="Cambria"/>
          <w:b/>
        </w:rPr>
        <w:tab/>
        <w:t>Directors’ meetings</w:t>
      </w:r>
    </w:p>
    <w:p w14:paraId="618C2107"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rPr>
          <w:rFonts w:ascii="Cambria" w:hAnsi="Cambria" w:cstheme="majorHAnsi"/>
        </w:rPr>
      </w:pPr>
      <w:r w:rsidRPr="009A0DA6">
        <w:rPr>
          <w:rFonts w:ascii="Cambria" w:hAnsi="Cambria" w:cstheme="majorHAnsi"/>
        </w:rPr>
        <w:t>14.1</w:t>
      </w:r>
      <w:r w:rsidRPr="009A0DA6">
        <w:rPr>
          <w:rFonts w:ascii="Cambria" w:hAnsi="Cambria" w:cstheme="majorHAnsi"/>
        </w:rPr>
        <w:tab/>
      </w:r>
      <w:r w:rsidRPr="009A0DA6">
        <w:rPr>
          <w:rFonts w:ascii="Cambria" w:hAnsi="Cambria" w:cstheme="majorHAnsi"/>
          <w:u w:val="single"/>
        </w:rPr>
        <w:t>Directors’ meetings</w:t>
      </w:r>
    </w:p>
    <w:p w14:paraId="57DBF1EB"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rPr>
          <w:rFonts w:ascii="Cambria" w:hAnsi="Cambria" w:cstheme="majorHAnsi"/>
          <w:b/>
        </w:rPr>
      </w:pPr>
      <w:r w:rsidRPr="009A0DA6">
        <w:rPr>
          <w:rFonts w:ascii="Cambria" w:hAnsi="Cambria" w:cstheme="majorHAnsi"/>
        </w:rPr>
        <w:tab/>
        <w:t>14.1.1</w:t>
      </w:r>
      <w:r w:rsidRPr="009A0DA6">
        <w:rPr>
          <w:rFonts w:ascii="Cambria" w:hAnsi="Cambria" w:cstheme="majorHAnsi"/>
        </w:rPr>
        <w:tab/>
        <w:t xml:space="preserve">The Directors may decide how often, where and when they meet. </w:t>
      </w:r>
    </w:p>
    <w:p w14:paraId="2BDC9F30"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rPr>
          <w:rFonts w:ascii="Cambria" w:hAnsi="Cambria" w:cstheme="majorHAnsi"/>
        </w:rPr>
      </w:pPr>
      <w:r w:rsidRPr="009A0DA6">
        <w:rPr>
          <w:rFonts w:ascii="Cambria" w:hAnsi="Cambria" w:cstheme="majorHAnsi"/>
        </w:rPr>
        <w:t>14.2</w:t>
      </w:r>
      <w:r w:rsidRPr="009A0DA6">
        <w:rPr>
          <w:rFonts w:ascii="Cambria" w:hAnsi="Cambria" w:cstheme="majorHAnsi"/>
        </w:rPr>
        <w:tab/>
      </w:r>
      <w:r w:rsidRPr="009A0DA6">
        <w:rPr>
          <w:rFonts w:ascii="Cambria" w:hAnsi="Cambria" w:cstheme="majorHAnsi"/>
          <w:u w:val="single"/>
        </w:rPr>
        <w:t>Calling Directors’ meetings</w:t>
      </w:r>
      <w:r w:rsidRPr="009A0DA6">
        <w:rPr>
          <w:rFonts w:ascii="Cambria" w:hAnsi="Cambria" w:cstheme="majorHAnsi"/>
        </w:rPr>
        <w:t xml:space="preserve"> </w:t>
      </w:r>
    </w:p>
    <w:p w14:paraId="49D3AD9C" w14:textId="77777777" w:rsidR="001B46FC" w:rsidRPr="009A0DA6" w:rsidRDefault="001B46FC" w:rsidP="001B46FC">
      <w:pPr>
        <w:tabs>
          <w:tab w:val="left" w:pos="709"/>
          <w:tab w:val="left" w:pos="1559"/>
          <w:tab w:val="left" w:pos="2552"/>
          <w:tab w:val="left" w:pos="3544"/>
          <w:tab w:val="left" w:pos="4820"/>
        </w:tabs>
        <w:spacing w:after="0" w:line="240" w:lineRule="auto"/>
        <w:ind w:left="1559" w:hanging="1559"/>
        <w:rPr>
          <w:rFonts w:ascii="Cambria" w:hAnsi="Cambria" w:cstheme="majorHAnsi"/>
        </w:rPr>
      </w:pPr>
      <w:r w:rsidRPr="009A0DA6">
        <w:rPr>
          <w:rFonts w:ascii="Cambria" w:hAnsi="Cambria" w:cstheme="majorHAnsi"/>
        </w:rPr>
        <w:tab/>
        <w:t>14.2.1</w:t>
      </w:r>
      <w:r w:rsidRPr="009A0DA6">
        <w:rPr>
          <w:rFonts w:ascii="Cambria" w:hAnsi="Cambria" w:cstheme="majorHAnsi"/>
        </w:rPr>
        <w:tab/>
        <w:t xml:space="preserve">A Director may call a Directors’ meeting by giving reasonable notice to all of the other Directors in writing or by any other means of communication that has previously been agreed to by all of the Directors. </w:t>
      </w:r>
    </w:p>
    <w:p w14:paraId="58B803DA" w14:textId="77777777" w:rsidR="001B46FC" w:rsidRPr="009A0DA6" w:rsidRDefault="001B46FC" w:rsidP="001B46FC">
      <w:pPr>
        <w:tabs>
          <w:tab w:val="left" w:pos="709"/>
          <w:tab w:val="left" w:pos="1559"/>
          <w:tab w:val="left" w:pos="2552"/>
          <w:tab w:val="left" w:pos="3544"/>
          <w:tab w:val="left" w:pos="4820"/>
        </w:tabs>
        <w:spacing w:after="0" w:line="240" w:lineRule="auto"/>
        <w:rPr>
          <w:rFonts w:ascii="Cambria" w:hAnsi="Cambria" w:cstheme="majorHAnsi"/>
        </w:rPr>
      </w:pPr>
      <w:r w:rsidRPr="009A0DA6">
        <w:rPr>
          <w:rFonts w:ascii="Cambria" w:hAnsi="Cambria" w:cstheme="majorHAnsi"/>
          <w:bCs/>
        </w:rPr>
        <w:t>14.3</w:t>
      </w:r>
      <w:r w:rsidRPr="009A0DA6">
        <w:rPr>
          <w:rFonts w:ascii="Cambria" w:hAnsi="Cambria" w:cstheme="majorHAnsi"/>
        </w:rPr>
        <w:tab/>
      </w:r>
      <w:r w:rsidRPr="009A0DA6">
        <w:rPr>
          <w:rFonts w:ascii="Cambria" w:hAnsi="Cambria" w:cstheme="majorHAnsi"/>
          <w:u w:val="single"/>
        </w:rPr>
        <w:t>Chair for Directors’ meetings</w:t>
      </w:r>
      <w:r w:rsidRPr="009A0DA6">
        <w:rPr>
          <w:rFonts w:ascii="Cambria" w:hAnsi="Cambria" w:cstheme="majorHAnsi"/>
        </w:rPr>
        <w:t xml:space="preserve"> </w:t>
      </w:r>
    </w:p>
    <w:p w14:paraId="2678954B" w14:textId="77777777" w:rsidR="001B46FC" w:rsidRPr="009A0DA6" w:rsidRDefault="001B46FC" w:rsidP="001B46FC">
      <w:pPr>
        <w:tabs>
          <w:tab w:val="left" w:pos="709"/>
          <w:tab w:val="left" w:pos="1559"/>
          <w:tab w:val="left" w:pos="2552"/>
          <w:tab w:val="left" w:pos="3544"/>
          <w:tab w:val="left" w:pos="4820"/>
        </w:tabs>
        <w:spacing w:after="0" w:line="240" w:lineRule="auto"/>
        <w:ind w:left="1559" w:hanging="1559"/>
        <w:rPr>
          <w:rFonts w:ascii="Cambria" w:hAnsi="Cambria" w:cstheme="majorHAnsi"/>
        </w:rPr>
      </w:pPr>
      <w:r w:rsidRPr="009A0DA6">
        <w:rPr>
          <w:rFonts w:ascii="Cambria" w:hAnsi="Cambria" w:cstheme="majorHAnsi"/>
          <w:bCs/>
        </w:rPr>
        <w:tab/>
        <w:t>14.3.1</w:t>
      </w:r>
      <w:r w:rsidRPr="009A0DA6">
        <w:rPr>
          <w:rFonts w:ascii="Cambria" w:hAnsi="Cambria" w:cstheme="majorHAnsi"/>
          <w:bCs/>
        </w:rPr>
        <w:tab/>
        <w:t>The elected Chair is entitled to chair Directors’ meetings.</w:t>
      </w:r>
    </w:p>
    <w:p w14:paraId="7B042294" w14:textId="77777777" w:rsidR="001B46FC" w:rsidRPr="009A0DA6" w:rsidRDefault="001B46FC" w:rsidP="001B46FC">
      <w:pPr>
        <w:tabs>
          <w:tab w:val="left" w:pos="709"/>
          <w:tab w:val="left" w:pos="1559"/>
          <w:tab w:val="left" w:pos="2552"/>
          <w:tab w:val="left" w:pos="3544"/>
          <w:tab w:val="left" w:pos="4820"/>
        </w:tabs>
        <w:spacing w:after="0" w:line="240" w:lineRule="auto"/>
        <w:ind w:left="1559" w:hanging="1559"/>
        <w:rPr>
          <w:rFonts w:ascii="Cambria" w:hAnsi="Cambria" w:cstheme="majorHAnsi"/>
        </w:rPr>
      </w:pPr>
      <w:r w:rsidRPr="009A0DA6">
        <w:rPr>
          <w:rFonts w:ascii="Cambria" w:hAnsi="Cambria" w:cstheme="majorHAnsi"/>
        </w:rPr>
        <w:tab/>
        <w:t>14.3.2</w:t>
      </w:r>
      <w:r w:rsidRPr="009A0DA6">
        <w:rPr>
          <w:rFonts w:ascii="Cambria" w:hAnsi="Cambria" w:cstheme="majorHAnsi"/>
        </w:rPr>
        <w:tab/>
        <w:t xml:space="preserve">The Directors at a </w:t>
      </w:r>
      <w:r w:rsidRPr="009A0DA6">
        <w:rPr>
          <w:rFonts w:ascii="Cambria" w:hAnsi="Cambria" w:cstheme="majorHAnsi"/>
          <w:bCs/>
        </w:rPr>
        <w:t xml:space="preserve">Directors’ </w:t>
      </w:r>
      <w:r w:rsidRPr="009A0DA6">
        <w:rPr>
          <w:rFonts w:ascii="Cambria" w:hAnsi="Cambria" w:cstheme="majorHAnsi"/>
        </w:rPr>
        <w:t>meeting may choose a Director to be the Chair for that meeting if the elected Chair is</w:t>
      </w:r>
    </w:p>
    <w:p w14:paraId="68AF7AC7" w14:textId="77777777" w:rsidR="001B46FC" w:rsidRPr="009A0DA6" w:rsidRDefault="001B46FC" w:rsidP="001B46FC">
      <w:pPr>
        <w:tabs>
          <w:tab w:val="left" w:pos="709"/>
          <w:tab w:val="left" w:pos="1559"/>
          <w:tab w:val="left" w:pos="2552"/>
          <w:tab w:val="left" w:pos="3544"/>
          <w:tab w:val="left" w:pos="4820"/>
        </w:tabs>
        <w:spacing w:after="0" w:line="240" w:lineRule="auto"/>
        <w:ind w:left="2552" w:hanging="2552"/>
        <w:rPr>
          <w:rFonts w:ascii="Cambria" w:hAnsi="Cambria" w:cstheme="majorHAnsi"/>
        </w:rPr>
      </w:pPr>
      <w:r w:rsidRPr="009A0DA6">
        <w:rPr>
          <w:rFonts w:ascii="Cambria" w:hAnsi="Cambria" w:cstheme="majorHAnsi"/>
        </w:rPr>
        <w:tab/>
      </w:r>
      <w:r w:rsidRPr="009A0DA6">
        <w:rPr>
          <w:rFonts w:ascii="Cambria" w:hAnsi="Cambria" w:cstheme="majorHAnsi"/>
        </w:rPr>
        <w:tab/>
        <w:t>14.3.2.1</w:t>
      </w:r>
      <w:r w:rsidRPr="009A0DA6">
        <w:rPr>
          <w:rFonts w:ascii="Cambria" w:hAnsi="Cambria" w:cstheme="majorHAnsi"/>
        </w:rPr>
        <w:tab/>
        <w:t>not present within 30 minutes after the starting time set for the meeting;  or</w:t>
      </w:r>
    </w:p>
    <w:p w14:paraId="2F061D9A" w14:textId="77777777" w:rsidR="001B46FC" w:rsidRPr="009A0DA6" w:rsidRDefault="001B46FC" w:rsidP="001B46FC">
      <w:pPr>
        <w:tabs>
          <w:tab w:val="left" w:pos="709"/>
          <w:tab w:val="left" w:pos="1559"/>
          <w:tab w:val="left" w:pos="2552"/>
          <w:tab w:val="left" w:pos="3544"/>
          <w:tab w:val="left" w:pos="4820"/>
        </w:tabs>
        <w:spacing w:after="0" w:line="240" w:lineRule="auto"/>
        <w:ind w:left="2552" w:hanging="2552"/>
        <w:rPr>
          <w:rFonts w:ascii="Cambria" w:hAnsi="Cambria" w:cstheme="majorHAnsi"/>
        </w:rPr>
      </w:pPr>
      <w:r w:rsidRPr="009A0DA6">
        <w:rPr>
          <w:rFonts w:ascii="Cambria" w:hAnsi="Cambria" w:cstheme="majorHAnsi"/>
        </w:rPr>
        <w:tab/>
      </w:r>
      <w:r w:rsidRPr="009A0DA6">
        <w:rPr>
          <w:rFonts w:ascii="Cambria" w:hAnsi="Cambria" w:cstheme="majorHAnsi"/>
        </w:rPr>
        <w:tab/>
        <w:t>14.3.2.2</w:t>
      </w:r>
      <w:r w:rsidRPr="009A0DA6">
        <w:rPr>
          <w:rFonts w:ascii="Cambria" w:hAnsi="Cambria" w:cstheme="majorHAnsi"/>
        </w:rPr>
        <w:tab/>
        <w:t>present but does not want to act as Chair of the meeting.</w:t>
      </w:r>
    </w:p>
    <w:p w14:paraId="18AA79B6"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rPr>
          <w:rFonts w:ascii="Cambria" w:hAnsi="Cambria" w:cstheme="majorHAnsi"/>
          <w:u w:val="single"/>
        </w:rPr>
      </w:pPr>
      <w:r w:rsidRPr="009A0DA6">
        <w:rPr>
          <w:rFonts w:ascii="Cambria" w:hAnsi="Cambria" w:cstheme="majorHAnsi"/>
          <w:bCs/>
        </w:rPr>
        <w:t>14.4</w:t>
      </w:r>
      <w:r w:rsidRPr="009A0DA6">
        <w:rPr>
          <w:rFonts w:ascii="Cambria" w:hAnsi="Cambria" w:cstheme="majorHAnsi"/>
        </w:rPr>
        <w:t xml:space="preserve"> </w:t>
      </w:r>
      <w:r w:rsidRPr="009A0DA6">
        <w:rPr>
          <w:rFonts w:ascii="Cambria" w:hAnsi="Cambria" w:cstheme="majorHAnsi"/>
        </w:rPr>
        <w:tab/>
      </w:r>
      <w:r w:rsidRPr="009A0DA6">
        <w:rPr>
          <w:rFonts w:ascii="Cambria" w:hAnsi="Cambria" w:cstheme="majorHAnsi"/>
          <w:u w:val="single"/>
        </w:rPr>
        <w:t>Quorum at Directors’ meetings</w:t>
      </w:r>
      <w:r w:rsidRPr="009A0DA6">
        <w:rPr>
          <w:rFonts w:ascii="Cambria" w:hAnsi="Cambria" w:cstheme="majorHAnsi"/>
          <w:bCs/>
          <w:u w:val="single"/>
        </w:rPr>
        <w:t xml:space="preserve"> </w:t>
      </w:r>
    </w:p>
    <w:p w14:paraId="5F0BE9A5" w14:textId="77777777" w:rsidR="001B46FC" w:rsidRPr="009A0DA6" w:rsidRDefault="001B46FC" w:rsidP="001B46FC">
      <w:pPr>
        <w:tabs>
          <w:tab w:val="left" w:pos="709"/>
          <w:tab w:val="left" w:pos="1559"/>
          <w:tab w:val="left" w:pos="2552"/>
          <w:tab w:val="left" w:pos="3544"/>
          <w:tab w:val="left" w:pos="4820"/>
        </w:tabs>
        <w:spacing w:after="0" w:line="240" w:lineRule="auto"/>
        <w:ind w:left="1559" w:hanging="1559"/>
        <w:rPr>
          <w:rFonts w:ascii="Cambria" w:hAnsi="Cambria" w:cstheme="majorHAnsi"/>
        </w:rPr>
      </w:pPr>
      <w:r w:rsidRPr="009A0DA6">
        <w:rPr>
          <w:rFonts w:ascii="Cambria" w:hAnsi="Cambria" w:cstheme="majorHAnsi"/>
        </w:rPr>
        <w:tab/>
        <w:t>14.4.1</w:t>
      </w:r>
      <w:r w:rsidRPr="009A0DA6">
        <w:rPr>
          <w:rFonts w:ascii="Cambria" w:hAnsi="Cambria" w:cstheme="majorHAnsi"/>
        </w:rPr>
        <w:tab/>
        <w:t xml:space="preserve">The quorum for a Directors’ meeting is a majority of the Directors. </w:t>
      </w:r>
    </w:p>
    <w:p w14:paraId="670F576D" w14:textId="77777777" w:rsidR="001B46FC" w:rsidRPr="009A0DA6" w:rsidRDefault="001B46FC" w:rsidP="001B46FC">
      <w:pPr>
        <w:tabs>
          <w:tab w:val="left" w:pos="709"/>
          <w:tab w:val="left" w:pos="1559"/>
          <w:tab w:val="left" w:pos="2552"/>
          <w:tab w:val="left" w:pos="3544"/>
          <w:tab w:val="left" w:pos="4820"/>
        </w:tabs>
        <w:spacing w:after="0" w:line="240" w:lineRule="auto"/>
        <w:ind w:left="1559" w:hanging="1559"/>
        <w:rPr>
          <w:rFonts w:ascii="Cambria" w:hAnsi="Cambria" w:cstheme="majorHAnsi"/>
        </w:rPr>
      </w:pPr>
      <w:r w:rsidRPr="009A0DA6">
        <w:rPr>
          <w:rFonts w:ascii="Cambria" w:hAnsi="Cambria" w:cstheme="majorHAnsi"/>
        </w:rPr>
        <w:tab/>
        <w:t>14.4.2</w:t>
      </w:r>
      <w:r w:rsidRPr="009A0DA6">
        <w:rPr>
          <w:rFonts w:ascii="Cambria" w:hAnsi="Cambria" w:cstheme="majorHAnsi"/>
        </w:rPr>
        <w:tab/>
        <w:t xml:space="preserve">A quorum must be present for the whole Directors’ meeting. </w:t>
      </w:r>
    </w:p>
    <w:p w14:paraId="5299CD6F" w14:textId="77777777" w:rsidR="001B46FC" w:rsidRPr="009A0DA6" w:rsidRDefault="001B46FC" w:rsidP="001B46FC">
      <w:pPr>
        <w:tabs>
          <w:tab w:val="left" w:pos="709"/>
          <w:tab w:val="left" w:pos="1559"/>
          <w:tab w:val="left" w:pos="2552"/>
          <w:tab w:val="left" w:pos="3544"/>
          <w:tab w:val="left" w:pos="4820"/>
        </w:tabs>
        <w:spacing w:after="0" w:line="240" w:lineRule="auto"/>
        <w:ind w:left="1559" w:hanging="1559"/>
        <w:rPr>
          <w:rFonts w:ascii="Cambria" w:hAnsi="Cambria" w:cstheme="majorHAnsi"/>
        </w:rPr>
      </w:pPr>
      <w:r w:rsidRPr="009A0DA6">
        <w:rPr>
          <w:rFonts w:ascii="Cambria" w:hAnsi="Cambria" w:cstheme="majorHAnsi"/>
        </w:rPr>
        <w:tab/>
        <w:t>14.4.3</w:t>
      </w:r>
      <w:r w:rsidRPr="009A0DA6">
        <w:rPr>
          <w:rFonts w:ascii="Cambria" w:hAnsi="Cambria" w:cstheme="majorHAnsi"/>
        </w:rPr>
        <w:tab/>
        <w:t>In case of an emergency resulting in several casual vacancies and a quorum not possible, the remaining Directors are able to pass critical resolutions until vacancies have been filled.</w:t>
      </w:r>
    </w:p>
    <w:p w14:paraId="716AF72F"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rPr>
          <w:rFonts w:ascii="Cambria" w:hAnsi="Cambria" w:cstheme="majorHAnsi"/>
        </w:rPr>
      </w:pPr>
      <w:r w:rsidRPr="009A0DA6">
        <w:rPr>
          <w:rFonts w:ascii="Cambria" w:hAnsi="Cambria" w:cstheme="majorHAnsi"/>
          <w:bCs/>
        </w:rPr>
        <w:t>14.5</w:t>
      </w:r>
      <w:r w:rsidRPr="009A0DA6">
        <w:rPr>
          <w:rFonts w:ascii="Cambria" w:hAnsi="Cambria" w:cstheme="majorHAnsi"/>
        </w:rPr>
        <w:tab/>
      </w:r>
      <w:r w:rsidRPr="009A0DA6">
        <w:rPr>
          <w:rFonts w:ascii="Cambria" w:hAnsi="Cambria" w:cstheme="majorHAnsi"/>
          <w:u w:val="single"/>
        </w:rPr>
        <w:t>Using technology to hold Directors’ meetings</w:t>
      </w:r>
    </w:p>
    <w:p w14:paraId="2F99BA70" w14:textId="330D146D" w:rsidR="001B46FC" w:rsidRPr="009A0DA6" w:rsidRDefault="001B46FC" w:rsidP="001B46FC">
      <w:pPr>
        <w:tabs>
          <w:tab w:val="left" w:pos="709"/>
          <w:tab w:val="left" w:pos="1559"/>
          <w:tab w:val="left" w:pos="2552"/>
          <w:tab w:val="left" w:pos="3544"/>
          <w:tab w:val="left" w:pos="4820"/>
        </w:tabs>
        <w:spacing w:after="0" w:line="240" w:lineRule="auto"/>
        <w:ind w:left="1559" w:hanging="1559"/>
        <w:rPr>
          <w:rFonts w:ascii="Cambria" w:hAnsi="Cambria" w:cstheme="majorHAnsi"/>
        </w:rPr>
      </w:pPr>
      <w:r w:rsidRPr="009A0DA6">
        <w:rPr>
          <w:rFonts w:ascii="Cambria" w:hAnsi="Cambria" w:cstheme="majorHAnsi"/>
        </w:rPr>
        <w:lastRenderedPageBreak/>
        <w:tab/>
        <w:t>14.5.1</w:t>
      </w:r>
      <w:r w:rsidRPr="009A0DA6">
        <w:rPr>
          <w:rFonts w:ascii="Cambria" w:hAnsi="Cambria" w:cstheme="majorHAnsi"/>
        </w:rPr>
        <w:tab/>
        <w:t>The Directors may hold their meetings by using any technology such as video or teleconferencing or that is agreed to by all of the Directors</w:t>
      </w:r>
      <w:r w:rsidR="0027799A" w:rsidRPr="009A0DA6">
        <w:rPr>
          <w:rFonts w:ascii="Cambria" w:hAnsi="Cambria" w:cstheme="majorHAnsi"/>
        </w:rPr>
        <w:t xml:space="preserve">. </w:t>
      </w:r>
    </w:p>
    <w:p w14:paraId="379237F9" w14:textId="77777777" w:rsidR="001B46FC" w:rsidRPr="009A0DA6" w:rsidRDefault="001B46FC" w:rsidP="001B46FC">
      <w:pPr>
        <w:tabs>
          <w:tab w:val="left" w:pos="709"/>
          <w:tab w:val="left" w:pos="1559"/>
          <w:tab w:val="left" w:pos="2552"/>
          <w:tab w:val="left" w:pos="3544"/>
          <w:tab w:val="left" w:pos="4820"/>
        </w:tabs>
        <w:spacing w:after="0" w:line="240" w:lineRule="auto"/>
        <w:ind w:left="1559" w:hanging="1559"/>
        <w:rPr>
          <w:rFonts w:ascii="Cambria" w:hAnsi="Cambria" w:cstheme="majorHAnsi"/>
        </w:rPr>
      </w:pPr>
      <w:r w:rsidRPr="009A0DA6">
        <w:rPr>
          <w:rFonts w:ascii="Cambria" w:hAnsi="Cambria" w:cstheme="majorHAnsi"/>
        </w:rPr>
        <w:tab/>
        <w:t>14.5.2</w:t>
      </w:r>
      <w:r w:rsidRPr="009A0DA6">
        <w:rPr>
          <w:rFonts w:ascii="Cambria" w:hAnsi="Cambria" w:cstheme="majorHAnsi"/>
        </w:rPr>
        <w:tab/>
        <w:t>A Director may only withdraw their consent to hold meeting using</w:t>
      </w:r>
      <w:r w:rsidRPr="009A0DA6">
        <w:rPr>
          <w:rFonts w:ascii="Cambria" w:hAnsi="Cambria" w:cstheme="majorHAnsi"/>
        </w:rPr>
        <w:tab/>
        <w:t xml:space="preserve"> technology within a reasonable period before the meeting. </w:t>
      </w:r>
    </w:p>
    <w:p w14:paraId="7F7A2AC3"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rPr>
          <w:rFonts w:ascii="Cambria" w:hAnsi="Cambria" w:cstheme="majorHAnsi"/>
        </w:rPr>
      </w:pPr>
      <w:r w:rsidRPr="009A0DA6">
        <w:rPr>
          <w:rFonts w:ascii="Cambria" w:hAnsi="Cambria" w:cstheme="majorHAnsi"/>
          <w:bCs/>
        </w:rPr>
        <w:t>14.6</w:t>
      </w:r>
      <w:r w:rsidRPr="009A0DA6">
        <w:rPr>
          <w:rFonts w:ascii="Cambria" w:hAnsi="Cambria" w:cstheme="majorHAnsi"/>
        </w:rPr>
        <w:tab/>
      </w:r>
      <w:r w:rsidRPr="009A0DA6">
        <w:rPr>
          <w:rFonts w:ascii="Cambria" w:hAnsi="Cambria" w:cstheme="majorHAnsi"/>
          <w:u w:val="single"/>
        </w:rPr>
        <w:t>Directors’ Resolutions</w:t>
      </w:r>
    </w:p>
    <w:p w14:paraId="0CC77CD8"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ind w:left="1559" w:hanging="1559"/>
        <w:rPr>
          <w:rFonts w:ascii="Cambria" w:hAnsi="Cambria" w:cstheme="majorHAnsi"/>
        </w:rPr>
      </w:pPr>
      <w:r w:rsidRPr="009A0DA6">
        <w:rPr>
          <w:rFonts w:ascii="Cambria" w:hAnsi="Cambria" w:cstheme="majorHAnsi"/>
        </w:rPr>
        <w:tab/>
        <w:t>14.6.1</w:t>
      </w:r>
      <w:r w:rsidRPr="009A0DA6">
        <w:rPr>
          <w:rFonts w:ascii="Cambria" w:hAnsi="Cambria" w:cstheme="majorHAnsi"/>
        </w:rPr>
        <w:tab/>
        <w:t xml:space="preserve">A Directors’ resolution must be passed by a majority of the votes cast by Directors present and entitled to vote on the motion. </w:t>
      </w:r>
    </w:p>
    <w:p w14:paraId="5C0D23A3"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rPr>
          <w:rFonts w:ascii="Cambria" w:hAnsi="Cambria" w:cstheme="majorHAnsi"/>
          <w:u w:val="single"/>
        </w:rPr>
      </w:pPr>
      <w:r w:rsidRPr="009A0DA6">
        <w:rPr>
          <w:rFonts w:ascii="Cambria" w:hAnsi="Cambria" w:cstheme="majorHAnsi"/>
          <w:bCs/>
        </w:rPr>
        <w:t>14.7</w:t>
      </w:r>
      <w:r w:rsidRPr="009A0DA6">
        <w:rPr>
          <w:rFonts w:ascii="Cambria" w:hAnsi="Cambria" w:cstheme="majorHAnsi"/>
        </w:rPr>
        <w:tab/>
      </w:r>
      <w:r w:rsidRPr="009A0DA6">
        <w:rPr>
          <w:rFonts w:ascii="Cambria" w:hAnsi="Cambria" w:cstheme="majorHAnsi"/>
          <w:u w:val="single"/>
        </w:rPr>
        <w:t>Circular resolutions of Directors</w:t>
      </w:r>
    </w:p>
    <w:p w14:paraId="7F1D14C1" w14:textId="77777777" w:rsidR="001B46FC" w:rsidRPr="009A0DA6" w:rsidRDefault="001B46FC" w:rsidP="001B46FC">
      <w:pPr>
        <w:tabs>
          <w:tab w:val="left" w:pos="709"/>
          <w:tab w:val="left" w:pos="1559"/>
          <w:tab w:val="left" w:pos="2552"/>
          <w:tab w:val="left" w:pos="3544"/>
          <w:tab w:val="left" w:pos="4820"/>
        </w:tabs>
        <w:spacing w:after="0" w:line="240" w:lineRule="auto"/>
        <w:ind w:left="1559" w:hanging="1559"/>
        <w:rPr>
          <w:rFonts w:ascii="Cambria" w:hAnsi="Cambria" w:cstheme="majorHAnsi"/>
        </w:rPr>
      </w:pPr>
      <w:r w:rsidRPr="009A0DA6">
        <w:rPr>
          <w:rFonts w:ascii="Cambria" w:hAnsi="Cambria" w:cstheme="majorHAnsi"/>
        </w:rPr>
        <w:tab/>
        <w:t>14.7.1</w:t>
      </w:r>
      <w:r w:rsidRPr="009A0DA6">
        <w:rPr>
          <w:rFonts w:ascii="Cambria" w:hAnsi="Cambria" w:cstheme="majorHAnsi"/>
        </w:rPr>
        <w:tab/>
        <w:t>The Directors may pass a circular resolution without a Directors’ meeting being held.</w:t>
      </w:r>
    </w:p>
    <w:p w14:paraId="19B22993" w14:textId="77777777" w:rsidR="001B46FC" w:rsidRPr="009A0DA6" w:rsidRDefault="001B46FC" w:rsidP="001B46FC">
      <w:pPr>
        <w:tabs>
          <w:tab w:val="left" w:pos="709"/>
          <w:tab w:val="left" w:pos="1559"/>
          <w:tab w:val="left" w:pos="2552"/>
          <w:tab w:val="left" w:pos="3544"/>
          <w:tab w:val="left" w:pos="4820"/>
        </w:tabs>
        <w:spacing w:after="0" w:line="240" w:lineRule="auto"/>
        <w:ind w:left="1559" w:hanging="1559"/>
        <w:rPr>
          <w:rFonts w:ascii="Cambria" w:hAnsi="Cambria" w:cstheme="majorHAnsi"/>
        </w:rPr>
      </w:pPr>
      <w:r w:rsidRPr="009A0DA6">
        <w:rPr>
          <w:rFonts w:ascii="Cambria" w:hAnsi="Cambria" w:cstheme="majorHAnsi"/>
        </w:rPr>
        <w:tab/>
        <w:t>14.7.2</w:t>
      </w:r>
      <w:r w:rsidRPr="009A0DA6">
        <w:rPr>
          <w:rFonts w:ascii="Cambria" w:hAnsi="Cambria" w:cstheme="majorHAnsi"/>
        </w:rPr>
        <w:tab/>
        <w:t xml:space="preserve">A circular resolution is passed if all the Directors entitled to vote on the resolution sign or otherwise agree to the resolution in the manner set out in Clause 14.7. </w:t>
      </w:r>
    </w:p>
    <w:p w14:paraId="62F1B0CF" w14:textId="77777777" w:rsidR="001B46FC" w:rsidRPr="009A0DA6" w:rsidRDefault="001B46FC" w:rsidP="001B46FC">
      <w:pPr>
        <w:tabs>
          <w:tab w:val="left" w:pos="709"/>
          <w:tab w:val="left" w:pos="1559"/>
          <w:tab w:val="left" w:pos="2552"/>
          <w:tab w:val="left" w:pos="3544"/>
          <w:tab w:val="left" w:pos="4820"/>
        </w:tabs>
        <w:spacing w:after="0" w:line="240" w:lineRule="auto"/>
        <w:rPr>
          <w:rFonts w:ascii="Cambria" w:hAnsi="Cambria" w:cstheme="majorHAnsi"/>
        </w:rPr>
      </w:pPr>
      <w:bookmarkStart w:id="360" w:name="_Ref362960334"/>
      <w:bookmarkStart w:id="361" w:name="_Ref385409551"/>
      <w:r w:rsidRPr="009A0DA6">
        <w:rPr>
          <w:rFonts w:ascii="Cambria" w:hAnsi="Cambria" w:cstheme="majorHAnsi"/>
        </w:rPr>
        <w:tab/>
        <w:t>14.7.3</w:t>
      </w:r>
      <w:r w:rsidRPr="009A0DA6">
        <w:rPr>
          <w:rFonts w:ascii="Cambria" w:hAnsi="Cambria" w:cstheme="majorHAnsi"/>
        </w:rPr>
        <w:tab/>
        <w:t>Each Director may sign</w:t>
      </w:r>
    </w:p>
    <w:p w14:paraId="6D18EF2E" w14:textId="77777777" w:rsidR="001B46FC" w:rsidRPr="009A0DA6" w:rsidRDefault="001B46FC" w:rsidP="001B46FC">
      <w:pPr>
        <w:tabs>
          <w:tab w:val="left" w:pos="709"/>
          <w:tab w:val="left" w:pos="1559"/>
          <w:tab w:val="left" w:pos="2552"/>
          <w:tab w:val="left" w:pos="3544"/>
          <w:tab w:val="left" w:pos="4820"/>
        </w:tabs>
        <w:spacing w:after="0" w:line="240" w:lineRule="auto"/>
        <w:ind w:left="2552" w:hanging="2552"/>
        <w:rPr>
          <w:rFonts w:ascii="Cambria" w:hAnsi="Cambria" w:cstheme="majorHAnsi"/>
        </w:rPr>
      </w:pPr>
      <w:r w:rsidRPr="009A0DA6">
        <w:rPr>
          <w:rFonts w:ascii="Cambria" w:hAnsi="Cambria" w:cstheme="majorHAnsi"/>
        </w:rPr>
        <w:tab/>
      </w:r>
      <w:r w:rsidRPr="009A0DA6">
        <w:rPr>
          <w:rFonts w:ascii="Cambria" w:hAnsi="Cambria" w:cstheme="majorHAnsi"/>
        </w:rPr>
        <w:tab/>
        <w:t>14.7.3.1</w:t>
      </w:r>
      <w:r w:rsidRPr="009A0DA6">
        <w:rPr>
          <w:rFonts w:ascii="Cambria" w:hAnsi="Cambria" w:cstheme="majorHAnsi"/>
        </w:rPr>
        <w:tab/>
        <w:t>a single document setting out the motion and containing a statement that they agree to the motion be resolved resolution;  or</w:t>
      </w:r>
    </w:p>
    <w:p w14:paraId="709CACD2" w14:textId="77777777" w:rsidR="001B46FC" w:rsidRPr="009A0DA6" w:rsidRDefault="001B46FC" w:rsidP="001B46FC">
      <w:pPr>
        <w:tabs>
          <w:tab w:val="left" w:pos="709"/>
          <w:tab w:val="left" w:pos="1559"/>
          <w:tab w:val="left" w:pos="2552"/>
          <w:tab w:val="left" w:pos="3544"/>
          <w:tab w:val="left" w:pos="4820"/>
        </w:tabs>
        <w:spacing w:after="0" w:line="240" w:lineRule="auto"/>
        <w:ind w:left="2552" w:hanging="2552"/>
        <w:rPr>
          <w:rFonts w:ascii="Cambria" w:hAnsi="Cambria" w:cstheme="majorHAnsi"/>
        </w:rPr>
      </w:pPr>
      <w:r w:rsidRPr="009A0DA6">
        <w:rPr>
          <w:rFonts w:ascii="Cambria" w:hAnsi="Cambria" w:cstheme="majorHAnsi"/>
        </w:rPr>
        <w:tab/>
      </w:r>
      <w:r w:rsidRPr="009A0DA6">
        <w:rPr>
          <w:rFonts w:ascii="Cambria" w:hAnsi="Cambria" w:cstheme="majorHAnsi"/>
        </w:rPr>
        <w:tab/>
        <w:t>14.7.3.2</w:t>
      </w:r>
      <w:r w:rsidRPr="009A0DA6">
        <w:rPr>
          <w:rFonts w:ascii="Cambria" w:hAnsi="Cambria" w:cstheme="majorHAnsi"/>
        </w:rPr>
        <w:tab/>
        <w:t>separate copies of that document, as long as the wording of the resolution is the same in each copy.</w:t>
      </w:r>
      <w:bookmarkEnd w:id="360"/>
      <w:bookmarkEnd w:id="361"/>
    </w:p>
    <w:p w14:paraId="459EF0E5" w14:textId="77777777" w:rsidR="001B46FC" w:rsidRPr="009A0DA6" w:rsidRDefault="001B46FC" w:rsidP="001B46FC">
      <w:pPr>
        <w:tabs>
          <w:tab w:val="left" w:pos="709"/>
          <w:tab w:val="left" w:pos="1559"/>
          <w:tab w:val="left" w:pos="2552"/>
          <w:tab w:val="left" w:pos="3544"/>
          <w:tab w:val="left" w:pos="4820"/>
        </w:tabs>
        <w:spacing w:after="0" w:line="240" w:lineRule="auto"/>
        <w:ind w:left="1559" w:hanging="1559"/>
        <w:rPr>
          <w:rFonts w:ascii="Cambria" w:hAnsi="Cambria" w:cstheme="majorHAnsi"/>
        </w:rPr>
      </w:pPr>
      <w:bookmarkStart w:id="362" w:name="_Ref385249108"/>
      <w:r w:rsidRPr="009A0DA6">
        <w:rPr>
          <w:rFonts w:ascii="Cambria" w:hAnsi="Cambria" w:cstheme="majorHAnsi"/>
        </w:rPr>
        <w:tab/>
        <w:t>14.7.4</w:t>
      </w:r>
      <w:r w:rsidRPr="009A0DA6">
        <w:rPr>
          <w:rFonts w:ascii="Cambria" w:hAnsi="Cambria" w:cstheme="majorHAnsi"/>
        </w:rPr>
        <w:tab/>
        <w:t>The College may send a circular resolution by email to the Directors and the Directors may agree to the resolution by sending a reply email to that effect, including the text of the resolution in their reply.</w:t>
      </w:r>
      <w:bookmarkEnd w:id="362"/>
    </w:p>
    <w:p w14:paraId="7D8C5DB9" w14:textId="77777777" w:rsidR="001B46FC" w:rsidRPr="009A0DA6" w:rsidRDefault="001B46FC" w:rsidP="001B46FC">
      <w:pPr>
        <w:tabs>
          <w:tab w:val="left" w:pos="709"/>
          <w:tab w:val="left" w:pos="1559"/>
          <w:tab w:val="left" w:pos="2552"/>
          <w:tab w:val="left" w:pos="3544"/>
          <w:tab w:val="left" w:pos="4820"/>
        </w:tabs>
        <w:spacing w:after="0" w:line="240" w:lineRule="auto"/>
        <w:ind w:left="1559" w:hanging="1559"/>
        <w:rPr>
          <w:rFonts w:ascii="Cambria" w:hAnsi="Cambria" w:cstheme="majorHAnsi"/>
        </w:rPr>
      </w:pPr>
      <w:r w:rsidRPr="009A0DA6">
        <w:rPr>
          <w:rFonts w:ascii="Cambria" w:hAnsi="Cambria" w:cstheme="majorHAnsi"/>
        </w:rPr>
        <w:tab/>
        <w:t xml:space="preserve">14.7.5 </w:t>
      </w:r>
      <w:r w:rsidRPr="009A0DA6">
        <w:rPr>
          <w:rFonts w:ascii="Cambria" w:hAnsi="Cambria" w:cstheme="majorHAnsi"/>
        </w:rPr>
        <w:tab/>
        <w:t>A circular resolution is passed when the last Director signs; or otherwise agrees to the resolution in the manner set out in Clause 14.7.2.</w:t>
      </w:r>
    </w:p>
    <w:p w14:paraId="0CF48EED" w14:textId="44DB1562" w:rsidR="001B46FC" w:rsidRPr="009A0DA6" w:rsidRDefault="00D04794" w:rsidP="001B46FC">
      <w:pPr>
        <w:pStyle w:val="ACNCproformalist"/>
        <w:numPr>
          <w:ilvl w:val="0"/>
          <w:numId w:val="0"/>
        </w:numPr>
        <w:tabs>
          <w:tab w:val="left" w:pos="709"/>
          <w:tab w:val="left" w:pos="1559"/>
          <w:tab w:val="left" w:pos="2552"/>
          <w:tab w:val="left" w:pos="3544"/>
          <w:tab w:val="left" w:pos="4820"/>
        </w:tabs>
        <w:spacing w:before="0"/>
        <w:rPr>
          <w:rFonts w:ascii="Cambria" w:hAnsi="Cambria" w:cstheme="majorHAnsi"/>
        </w:rPr>
      </w:pPr>
      <w:r w:rsidRPr="009A0DA6">
        <w:rPr>
          <w:rFonts w:ascii="Cambria" w:hAnsi="Cambria" w:cstheme="majorHAnsi"/>
          <w:bCs/>
        </w:rPr>
        <w:br/>
      </w:r>
      <w:r w:rsidR="001B46FC" w:rsidRPr="009A0DA6">
        <w:rPr>
          <w:rFonts w:ascii="Cambria" w:hAnsi="Cambria" w:cstheme="majorHAnsi"/>
          <w:bCs/>
        </w:rPr>
        <w:t>14.8</w:t>
      </w:r>
      <w:r w:rsidR="001B46FC" w:rsidRPr="009A0DA6">
        <w:rPr>
          <w:rFonts w:ascii="Cambria" w:hAnsi="Cambria" w:cstheme="majorHAnsi"/>
        </w:rPr>
        <w:tab/>
      </w:r>
      <w:r w:rsidR="001B46FC" w:rsidRPr="009A0DA6">
        <w:rPr>
          <w:rFonts w:ascii="Cambria" w:hAnsi="Cambria" w:cstheme="majorHAnsi"/>
          <w:u w:val="single"/>
        </w:rPr>
        <w:t>Directors’ access to documents</w:t>
      </w:r>
    </w:p>
    <w:p w14:paraId="1D1BD25F" w14:textId="77777777" w:rsidR="001B46FC" w:rsidRPr="009A0DA6" w:rsidRDefault="001B46FC" w:rsidP="001B46FC">
      <w:pPr>
        <w:tabs>
          <w:tab w:val="left" w:pos="709"/>
          <w:tab w:val="left" w:pos="1559"/>
          <w:tab w:val="left" w:pos="2552"/>
          <w:tab w:val="left" w:pos="3544"/>
          <w:tab w:val="left" w:pos="4820"/>
        </w:tabs>
        <w:spacing w:after="0" w:line="240" w:lineRule="auto"/>
        <w:ind w:left="1559" w:hanging="1559"/>
        <w:rPr>
          <w:rFonts w:ascii="Cambria" w:hAnsi="Cambria" w:cstheme="majorHAnsi"/>
        </w:rPr>
      </w:pPr>
      <w:r w:rsidRPr="009A0DA6">
        <w:rPr>
          <w:rFonts w:ascii="Cambria" w:hAnsi="Cambria" w:cstheme="majorHAnsi"/>
        </w:rPr>
        <w:tab/>
        <w:t>14.8.1</w:t>
      </w:r>
      <w:r w:rsidRPr="009A0DA6">
        <w:rPr>
          <w:rFonts w:ascii="Cambria" w:hAnsi="Cambria" w:cstheme="majorHAnsi"/>
        </w:rPr>
        <w:tab/>
        <w:t>A Director has a right of access to the financial records of the College at all reasonable times.</w:t>
      </w:r>
    </w:p>
    <w:p w14:paraId="4F6249CC" w14:textId="77777777" w:rsidR="001B46FC" w:rsidRPr="009A0DA6" w:rsidRDefault="001B46FC" w:rsidP="001B46FC">
      <w:pPr>
        <w:tabs>
          <w:tab w:val="left" w:pos="709"/>
          <w:tab w:val="left" w:pos="1559"/>
          <w:tab w:val="left" w:pos="2552"/>
          <w:tab w:val="left" w:pos="3544"/>
          <w:tab w:val="left" w:pos="4820"/>
        </w:tabs>
        <w:spacing w:after="0" w:line="240" w:lineRule="auto"/>
        <w:ind w:left="1559" w:hanging="1559"/>
        <w:rPr>
          <w:rFonts w:ascii="Cambria" w:hAnsi="Cambria" w:cstheme="majorHAnsi"/>
        </w:rPr>
      </w:pPr>
      <w:r w:rsidRPr="009A0DA6">
        <w:rPr>
          <w:rFonts w:ascii="Cambria" w:hAnsi="Cambria" w:cstheme="majorHAnsi"/>
        </w:rPr>
        <w:tab/>
        <w:t>14.8.2</w:t>
      </w:r>
      <w:r w:rsidRPr="009A0DA6">
        <w:rPr>
          <w:rFonts w:ascii="Cambria" w:hAnsi="Cambria" w:cstheme="majorHAnsi"/>
        </w:rPr>
        <w:tab/>
        <w:t>If the Directors agree, the College must give a Director or former Director access to</w:t>
      </w:r>
    </w:p>
    <w:p w14:paraId="08B5F54C" w14:textId="77777777" w:rsidR="001B46FC" w:rsidRPr="009A0DA6" w:rsidRDefault="001B46FC" w:rsidP="001B46FC">
      <w:pPr>
        <w:tabs>
          <w:tab w:val="left" w:pos="709"/>
          <w:tab w:val="left" w:pos="1559"/>
          <w:tab w:val="left" w:pos="2552"/>
          <w:tab w:val="left" w:pos="3544"/>
          <w:tab w:val="left" w:pos="4820"/>
        </w:tabs>
        <w:spacing w:after="0" w:line="240" w:lineRule="auto"/>
        <w:ind w:left="2552" w:hanging="2552"/>
        <w:rPr>
          <w:rFonts w:ascii="Cambria" w:hAnsi="Cambria" w:cstheme="majorHAnsi"/>
          <w:b/>
        </w:rPr>
      </w:pPr>
      <w:bookmarkStart w:id="363" w:name="_Ref396898974"/>
      <w:r w:rsidRPr="009A0DA6">
        <w:rPr>
          <w:rFonts w:ascii="Cambria" w:hAnsi="Cambria" w:cstheme="majorHAnsi"/>
        </w:rPr>
        <w:tab/>
      </w:r>
      <w:r w:rsidRPr="009A0DA6">
        <w:rPr>
          <w:rFonts w:ascii="Cambria" w:hAnsi="Cambria" w:cstheme="majorHAnsi"/>
        </w:rPr>
        <w:tab/>
        <w:t>14.8.2.1</w:t>
      </w:r>
      <w:r w:rsidRPr="009A0DA6">
        <w:rPr>
          <w:rFonts w:ascii="Cambria" w:hAnsi="Cambria" w:cstheme="majorHAnsi"/>
        </w:rPr>
        <w:tab/>
        <w:t>documents, including documents provided for or available to the Directors;  and</w:t>
      </w:r>
      <w:bookmarkEnd w:id="363"/>
    </w:p>
    <w:p w14:paraId="47902473" w14:textId="77777777" w:rsidR="001B46FC" w:rsidRPr="009A0DA6" w:rsidRDefault="001B46FC" w:rsidP="001B46FC">
      <w:pPr>
        <w:tabs>
          <w:tab w:val="left" w:pos="709"/>
          <w:tab w:val="left" w:pos="1559"/>
          <w:tab w:val="left" w:pos="2552"/>
          <w:tab w:val="left" w:pos="3544"/>
          <w:tab w:val="left" w:pos="4820"/>
        </w:tabs>
        <w:spacing w:after="0" w:line="240" w:lineRule="auto"/>
        <w:ind w:left="2552" w:hanging="2552"/>
        <w:rPr>
          <w:rFonts w:ascii="Cambria" w:hAnsi="Cambria" w:cstheme="majorHAnsi"/>
        </w:rPr>
      </w:pPr>
      <w:r w:rsidRPr="009A0DA6">
        <w:rPr>
          <w:rFonts w:ascii="Cambria" w:hAnsi="Cambria" w:cstheme="majorHAnsi"/>
        </w:rPr>
        <w:tab/>
      </w:r>
      <w:r w:rsidRPr="009A0DA6">
        <w:rPr>
          <w:rFonts w:ascii="Cambria" w:hAnsi="Cambria" w:cstheme="majorHAnsi"/>
        </w:rPr>
        <w:tab/>
        <w:t>14.8.2.2</w:t>
      </w:r>
      <w:r w:rsidRPr="009A0DA6">
        <w:rPr>
          <w:rFonts w:ascii="Cambria" w:hAnsi="Cambria" w:cstheme="majorHAnsi"/>
        </w:rPr>
        <w:tab/>
        <w:t xml:space="preserve">any other documents referred to in those documents. </w:t>
      </w:r>
    </w:p>
    <w:p w14:paraId="7FD32052" w14:textId="77777777" w:rsidR="001B46FC" w:rsidRPr="009A0DA6" w:rsidRDefault="001B46FC" w:rsidP="001B46FC">
      <w:pPr>
        <w:spacing w:before="120"/>
        <w:rPr>
          <w:rFonts w:ascii="Cambria" w:hAnsi="Cambria"/>
          <w:b/>
        </w:rPr>
      </w:pPr>
      <w:r w:rsidRPr="009A0DA6">
        <w:rPr>
          <w:rFonts w:ascii="Cambria" w:hAnsi="Cambria"/>
          <w:b/>
        </w:rPr>
        <w:t>Article  15</w:t>
      </w:r>
      <w:r w:rsidRPr="009A0DA6">
        <w:rPr>
          <w:rFonts w:ascii="Cambria" w:hAnsi="Cambria"/>
          <w:b/>
        </w:rPr>
        <w:tab/>
        <w:t>Appointment and role of secretary</w:t>
      </w:r>
    </w:p>
    <w:p w14:paraId="618BF41B" w14:textId="77777777" w:rsidR="001B46FC" w:rsidRPr="009A0DA6" w:rsidRDefault="001B46FC" w:rsidP="001B46FC">
      <w:pPr>
        <w:pStyle w:val="ACNCproformasublist"/>
        <w:numPr>
          <w:ilvl w:val="0"/>
          <w:numId w:val="0"/>
        </w:numPr>
        <w:tabs>
          <w:tab w:val="left" w:pos="709"/>
          <w:tab w:val="left" w:pos="1559"/>
          <w:tab w:val="left" w:pos="2552"/>
          <w:tab w:val="left" w:pos="3544"/>
          <w:tab w:val="left" w:pos="4820"/>
        </w:tabs>
        <w:ind w:left="709" w:hanging="709"/>
        <w:rPr>
          <w:rFonts w:ascii="Cambria" w:hAnsi="Cambria" w:cstheme="majorHAnsi"/>
        </w:rPr>
      </w:pPr>
      <w:bookmarkStart w:id="364" w:name="_Toc521575164"/>
      <w:bookmarkStart w:id="365" w:name="_Toc521692714"/>
      <w:bookmarkStart w:id="366" w:name="_Toc521954669"/>
      <w:bookmarkStart w:id="367" w:name="_Toc522395034"/>
      <w:r w:rsidRPr="009A0DA6">
        <w:rPr>
          <w:rFonts w:ascii="Cambria" w:hAnsi="Cambria" w:cstheme="majorHAnsi"/>
        </w:rPr>
        <w:t>15.1</w:t>
      </w:r>
      <w:r w:rsidRPr="009A0DA6">
        <w:rPr>
          <w:rFonts w:ascii="Cambria" w:hAnsi="Cambria" w:cstheme="majorHAnsi"/>
        </w:rPr>
        <w:tab/>
        <w:t>The College must have at least one secretary, who shall be a Director.</w:t>
      </w:r>
      <w:bookmarkEnd w:id="364"/>
      <w:bookmarkEnd w:id="365"/>
      <w:bookmarkEnd w:id="366"/>
      <w:bookmarkEnd w:id="367"/>
    </w:p>
    <w:p w14:paraId="512095A3" w14:textId="7002C0A7" w:rsidR="001B46FC" w:rsidRPr="009A0DA6" w:rsidRDefault="001B46FC" w:rsidP="001B46FC">
      <w:pPr>
        <w:pStyle w:val="ACNCproformasublist"/>
        <w:numPr>
          <w:ilvl w:val="0"/>
          <w:numId w:val="0"/>
        </w:numPr>
        <w:tabs>
          <w:tab w:val="left" w:pos="709"/>
          <w:tab w:val="left" w:pos="1559"/>
          <w:tab w:val="left" w:pos="2552"/>
          <w:tab w:val="left" w:pos="3544"/>
          <w:tab w:val="left" w:pos="4820"/>
        </w:tabs>
        <w:ind w:left="709" w:hanging="709"/>
        <w:rPr>
          <w:rFonts w:ascii="Cambria" w:hAnsi="Cambria" w:cstheme="majorHAnsi"/>
        </w:rPr>
      </w:pPr>
      <w:bookmarkStart w:id="368" w:name="_Toc521575165"/>
      <w:bookmarkStart w:id="369" w:name="_Toc521692715"/>
      <w:bookmarkStart w:id="370" w:name="_Toc521954670"/>
      <w:bookmarkStart w:id="371" w:name="_Toc522395035"/>
      <w:r w:rsidRPr="009A0DA6">
        <w:rPr>
          <w:rFonts w:ascii="Cambria" w:hAnsi="Cambria" w:cstheme="majorHAnsi"/>
        </w:rPr>
        <w:t>15.2</w:t>
      </w:r>
      <w:r w:rsidRPr="009A0DA6">
        <w:rPr>
          <w:rFonts w:ascii="Cambria" w:hAnsi="Cambria" w:cstheme="majorHAnsi"/>
        </w:rPr>
        <w:tab/>
        <w:t>A secretary must be appointed by the Directors and may be removed by the Directors</w:t>
      </w:r>
      <w:bookmarkEnd w:id="368"/>
      <w:r w:rsidR="0027799A" w:rsidRPr="009A0DA6">
        <w:rPr>
          <w:rFonts w:ascii="Cambria" w:hAnsi="Cambria" w:cstheme="majorHAnsi"/>
        </w:rPr>
        <w:t>.</w:t>
      </w:r>
      <w:bookmarkEnd w:id="369"/>
      <w:bookmarkEnd w:id="370"/>
      <w:bookmarkEnd w:id="371"/>
      <w:r w:rsidR="0027799A" w:rsidRPr="009A0DA6">
        <w:rPr>
          <w:rFonts w:ascii="Cambria" w:hAnsi="Cambria" w:cstheme="majorHAnsi"/>
        </w:rPr>
        <w:t xml:space="preserve"> </w:t>
      </w:r>
    </w:p>
    <w:p w14:paraId="6A196248" w14:textId="77777777" w:rsidR="001B46FC" w:rsidRPr="009A0DA6" w:rsidRDefault="001B46FC" w:rsidP="001B46FC">
      <w:pPr>
        <w:pStyle w:val="ACNCproformasublist"/>
        <w:numPr>
          <w:ilvl w:val="0"/>
          <w:numId w:val="0"/>
        </w:numPr>
        <w:tabs>
          <w:tab w:val="left" w:pos="709"/>
          <w:tab w:val="left" w:pos="1559"/>
          <w:tab w:val="left" w:pos="2552"/>
          <w:tab w:val="left" w:pos="3544"/>
          <w:tab w:val="left" w:pos="4820"/>
        </w:tabs>
        <w:ind w:left="709" w:hanging="709"/>
        <w:rPr>
          <w:rFonts w:ascii="Cambria" w:hAnsi="Cambria" w:cstheme="majorHAnsi"/>
        </w:rPr>
      </w:pPr>
      <w:bookmarkStart w:id="372" w:name="_Toc521575166"/>
      <w:bookmarkStart w:id="373" w:name="_Toc521692716"/>
      <w:bookmarkStart w:id="374" w:name="_Toc521954671"/>
      <w:bookmarkStart w:id="375" w:name="_Toc522395036"/>
      <w:r w:rsidRPr="009A0DA6">
        <w:rPr>
          <w:rFonts w:ascii="Cambria" w:hAnsi="Cambria" w:cstheme="majorHAnsi"/>
        </w:rPr>
        <w:t>15.3</w:t>
      </w:r>
      <w:r w:rsidRPr="009A0DA6">
        <w:rPr>
          <w:rFonts w:ascii="Cambria" w:hAnsi="Cambria" w:cstheme="majorHAnsi"/>
        </w:rPr>
        <w:tab/>
        <w:t>The role of the secretary includes dealing with correspondence as directed by the board, maintaining the minutes and other records of general</w:t>
      </w:r>
      <w:r w:rsidRPr="009A0DA6">
        <w:rPr>
          <w:rFonts w:ascii="Cambria" w:hAnsi="Cambria" w:cstheme="majorHAnsi"/>
          <w:b/>
        </w:rPr>
        <w:t xml:space="preserve"> </w:t>
      </w:r>
      <w:r w:rsidRPr="009A0DA6">
        <w:rPr>
          <w:rFonts w:ascii="Cambria" w:hAnsi="Cambria" w:cstheme="majorHAnsi"/>
        </w:rPr>
        <w:t>meetings, notices of meetings, Directors’ meetings and circular resolutions. Some duties of the secretary may be delegated to others under the direction of the board.</w:t>
      </w:r>
      <w:bookmarkEnd w:id="372"/>
      <w:bookmarkEnd w:id="373"/>
      <w:bookmarkEnd w:id="374"/>
      <w:bookmarkEnd w:id="375"/>
    </w:p>
    <w:p w14:paraId="6ADC5CB7" w14:textId="77777777" w:rsidR="001B46FC" w:rsidRPr="009A0DA6" w:rsidRDefault="001B46FC" w:rsidP="001B46FC">
      <w:pPr>
        <w:spacing w:before="120"/>
        <w:rPr>
          <w:rFonts w:ascii="Cambria" w:hAnsi="Cambria"/>
          <w:b/>
        </w:rPr>
      </w:pPr>
      <w:r w:rsidRPr="009A0DA6">
        <w:rPr>
          <w:rFonts w:ascii="Cambria" w:hAnsi="Cambria"/>
          <w:b/>
        </w:rPr>
        <w:t>Article  16</w:t>
      </w:r>
      <w:r w:rsidRPr="009A0DA6">
        <w:rPr>
          <w:rFonts w:ascii="Cambria" w:hAnsi="Cambria"/>
          <w:b/>
        </w:rPr>
        <w:tab/>
        <w:t>Minutes and records</w:t>
      </w:r>
    </w:p>
    <w:p w14:paraId="22DDBC49" w14:textId="77777777" w:rsidR="001B46FC" w:rsidRPr="009A0DA6" w:rsidRDefault="001B46FC" w:rsidP="001B46FC">
      <w:pPr>
        <w:tabs>
          <w:tab w:val="left" w:pos="709"/>
          <w:tab w:val="left" w:pos="1559"/>
          <w:tab w:val="left" w:pos="2552"/>
          <w:tab w:val="left" w:pos="3544"/>
          <w:tab w:val="left" w:pos="4820"/>
        </w:tabs>
        <w:spacing w:after="0" w:line="240" w:lineRule="auto"/>
        <w:ind w:left="709" w:hanging="709"/>
        <w:rPr>
          <w:rFonts w:ascii="Cambria" w:hAnsi="Cambria" w:cstheme="majorHAnsi"/>
        </w:rPr>
      </w:pPr>
      <w:bookmarkStart w:id="376" w:name="_Ref392016907"/>
      <w:r w:rsidRPr="009A0DA6">
        <w:rPr>
          <w:rFonts w:ascii="Cambria" w:hAnsi="Cambria" w:cstheme="majorHAnsi"/>
        </w:rPr>
        <w:t>16.1</w:t>
      </w:r>
      <w:r w:rsidRPr="009A0DA6">
        <w:rPr>
          <w:rFonts w:ascii="Cambria" w:hAnsi="Cambria" w:cstheme="majorHAnsi"/>
        </w:rPr>
        <w:tab/>
        <w:t>The College must, within one month, make and keep the following records of general meetings</w:t>
      </w:r>
      <w:bookmarkEnd w:id="376"/>
    </w:p>
    <w:p w14:paraId="2F8D1443" w14:textId="77777777" w:rsidR="001B46FC" w:rsidRPr="009A0DA6" w:rsidRDefault="001B46FC" w:rsidP="001B46FC">
      <w:pPr>
        <w:tabs>
          <w:tab w:val="left" w:pos="709"/>
          <w:tab w:val="left" w:pos="1559"/>
          <w:tab w:val="left" w:pos="2552"/>
          <w:tab w:val="left" w:pos="3544"/>
          <w:tab w:val="left" w:pos="4820"/>
        </w:tabs>
        <w:spacing w:after="0" w:line="240" w:lineRule="auto"/>
        <w:ind w:left="1559" w:hanging="1559"/>
        <w:rPr>
          <w:rFonts w:ascii="Cambria" w:hAnsi="Cambria" w:cstheme="majorHAnsi"/>
        </w:rPr>
      </w:pPr>
      <w:bookmarkStart w:id="377" w:name="__RefNumPara__339_687944692"/>
      <w:bookmarkEnd w:id="377"/>
      <w:r w:rsidRPr="009A0DA6">
        <w:rPr>
          <w:rFonts w:ascii="Cambria" w:hAnsi="Cambria" w:cstheme="majorHAnsi"/>
        </w:rPr>
        <w:tab/>
        <w:t>16.1.1</w:t>
      </w:r>
      <w:r w:rsidRPr="009A0DA6">
        <w:rPr>
          <w:rFonts w:ascii="Cambria" w:hAnsi="Cambria" w:cstheme="majorHAnsi"/>
        </w:rPr>
        <w:tab/>
        <w:t xml:space="preserve">minutes of proceedings and resolutions; </w:t>
      </w:r>
      <w:bookmarkStart w:id="378" w:name="_Ref392016912"/>
    </w:p>
    <w:bookmarkEnd w:id="378"/>
    <w:p w14:paraId="524F1CB7" w14:textId="77777777" w:rsidR="001B46FC" w:rsidRPr="009A0DA6" w:rsidRDefault="001B46FC" w:rsidP="001B46FC">
      <w:pPr>
        <w:tabs>
          <w:tab w:val="left" w:pos="709"/>
          <w:tab w:val="left" w:pos="1559"/>
          <w:tab w:val="left" w:pos="2552"/>
          <w:tab w:val="left" w:pos="3544"/>
          <w:tab w:val="left" w:pos="4820"/>
        </w:tabs>
        <w:spacing w:after="0" w:line="240" w:lineRule="auto"/>
        <w:ind w:left="1559" w:hanging="1559"/>
        <w:rPr>
          <w:rFonts w:ascii="Cambria" w:hAnsi="Cambria" w:cstheme="majorHAnsi"/>
        </w:rPr>
      </w:pPr>
      <w:r w:rsidRPr="009A0DA6">
        <w:rPr>
          <w:rFonts w:ascii="Cambria" w:hAnsi="Cambria" w:cstheme="majorHAnsi"/>
        </w:rPr>
        <w:tab/>
        <w:t>16.1.2</w:t>
      </w:r>
      <w:r w:rsidRPr="009A0DA6">
        <w:rPr>
          <w:rFonts w:ascii="Cambria" w:hAnsi="Cambria" w:cstheme="majorHAnsi"/>
        </w:rPr>
        <w:tab/>
        <w:t>minutes of circular resolutions of Members;  and</w:t>
      </w:r>
    </w:p>
    <w:p w14:paraId="400D722C" w14:textId="77777777" w:rsidR="001B46FC" w:rsidRPr="009A0DA6" w:rsidRDefault="001B46FC" w:rsidP="001B46FC">
      <w:pPr>
        <w:tabs>
          <w:tab w:val="left" w:pos="709"/>
          <w:tab w:val="left" w:pos="1559"/>
          <w:tab w:val="left" w:pos="2552"/>
          <w:tab w:val="left" w:pos="3544"/>
          <w:tab w:val="left" w:pos="4820"/>
        </w:tabs>
        <w:spacing w:after="0" w:line="240" w:lineRule="auto"/>
        <w:ind w:left="1559" w:hanging="1559"/>
        <w:rPr>
          <w:rFonts w:ascii="Cambria" w:hAnsi="Cambria" w:cstheme="majorHAnsi"/>
        </w:rPr>
      </w:pPr>
      <w:r w:rsidRPr="009A0DA6">
        <w:rPr>
          <w:rFonts w:ascii="Cambria" w:hAnsi="Cambria" w:cstheme="majorHAnsi"/>
        </w:rPr>
        <w:tab/>
        <w:t>16.1.3</w:t>
      </w:r>
      <w:r w:rsidRPr="009A0DA6">
        <w:rPr>
          <w:rFonts w:ascii="Cambria" w:hAnsi="Cambria" w:cstheme="majorHAnsi"/>
        </w:rPr>
        <w:tab/>
        <w:t>a copy of a notice of each general</w:t>
      </w:r>
      <w:r w:rsidRPr="009A0DA6">
        <w:rPr>
          <w:rFonts w:ascii="Cambria" w:hAnsi="Cambria" w:cstheme="majorHAnsi"/>
          <w:b/>
        </w:rPr>
        <w:t xml:space="preserve"> </w:t>
      </w:r>
      <w:r w:rsidRPr="009A0DA6">
        <w:rPr>
          <w:rFonts w:ascii="Cambria" w:hAnsi="Cambria" w:cstheme="majorHAnsi"/>
        </w:rPr>
        <w:t>meeting.</w:t>
      </w:r>
    </w:p>
    <w:p w14:paraId="5EE1C5B8" w14:textId="77777777" w:rsidR="001B46FC" w:rsidRPr="009A0DA6" w:rsidRDefault="001B46FC" w:rsidP="001B46FC">
      <w:pPr>
        <w:tabs>
          <w:tab w:val="left" w:pos="709"/>
          <w:tab w:val="left" w:pos="1559"/>
          <w:tab w:val="left" w:pos="2552"/>
          <w:tab w:val="left" w:pos="3544"/>
          <w:tab w:val="left" w:pos="4820"/>
        </w:tabs>
        <w:spacing w:after="0" w:line="240" w:lineRule="auto"/>
        <w:ind w:left="709" w:hanging="709"/>
        <w:rPr>
          <w:rFonts w:ascii="Cambria" w:hAnsi="Cambria" w:cstheme="majorHAnsi"/>
        </w:rPr>
      </w:pPr>
      <w:bookmarkStart w:id="379" w:name="_Ref396898501"/>
      <w:r w:rsidRPr="009A0DA6">
        <w:rPr>
          <w:rFonts w:ascii="Cambria" w:hAnsi="Cambria" w:cstheme="majorHAnsi"/>
        </w:rPr>
        <w:t>16.2</w:t>
      </w:r>
      <w:r w:rsidRPr="009A0DA6">
        <w:rPr>
          <w:rFonts w:ascii="Cambria" w:hAnsi="Cambria" w:cstheme="majorHAnsi"/>
        </w:rPr>
        <w:tab/>
        <w:t>The College must, within one month, make and keep the following records Directors meetings</w:t>
      </w:r>
      <w:bookmarkEnd w:id="379"/>
    </w:p>
    <w:p w14:paraId="166B057A" w14:textId="77777777" w:rsidR="001B46FC" w:rsidRPr="009A0DA6" w:rsidRDefault="001B46FC" w:rsidP="001B46FC">
      <w:pPr>
        <w:tabs>
          <w:tab w:val="left" w:pos="709"/>
          <w:tab w:val="left" w:pos="1559"/>
          <w:tab w:val="left" w:pos="2552"/>
          <w:tab w:val="left" w:pos="3544"/>
          <w:tab w:val="left" w:pos="4820"/>
        </w:tabs>
        <w:spacing w:after="0" w:line="240" w:lineRule="auto"/>
        <w:ind w:left="1559" w:hanging="1559"/>
        <w:rPr>
          <w:rFonts w:ascii="Cambria" w:hAnsi="Cambria" w:cstheme="majorHAnsi"/>
        </w:rPr>
      </w:pPr>
      <w:r w:rsidRPr="009A0DA6">
        <w:rPr>
          <w:rFonts w:ascii="Cambria" w:hAnsi="Cambria" w:cstheme="majorHAnsi"/>
        </w:rPr>
        <w:tab/>
        <w:t>16.2.1</w:t>
      </w:r>
      <w:r w:rsidRPr="009A0DA6">
        <w:rPr>
          <w:rFonts w:ascii="Cambria" w:hAnsi="Cambria" w:cstheme="majorHAnsi"/>
        </w:rPr>
        <w:tab/>
        <w:t xml:space="preserve">minutes of proceedings and resolutions; </w:t>
      </w:r>
    </w:p>
    <w:p w14:paraId="22BDE6CC" w14:textId="77777777" w:rsidR="001B46FC" w:rsidRPr="009A0DA6" w:rsidRDefault="001B46FC" w:rsidP="001B46FC">
      <w:pPr>
        <w:tabs>
          <w:tab w:val="left" w:pos="709"/>
          <w:tab w:val="left" w:pos="1559"/>
          <w:tab w:val="left" w:pos="2552"/>
          <w:tab w:val="left" w:pos="3544"/>
          <w:tab w:val="left" w:pos="4820"/>
        </w:tabs>
        <w:spacing w:after="0" w:line="240" w:lineRule="auto"/>
        <w:ind w:left="1559" w:hanging="1559"/>
        <w:rPr>
          <w:rFonts w:ascii="Cambria" w:hAnsi="Cambria" w:cstheme="majorHAnsi"/>
        </w:rPr>
      </w:pPr>
      <w:r w:rsidRPr="009A0DA6">
        <w:rPr>
          <w:rFonts w:ascii="Cambria" w:hAnsi="Cambria" w:cstheme="majorHAnsi"/>
        </w:rPr>
        <w:tab/>
        <w:t>16.2.2</w:t>
      </w:r>
      <w:r w:rsidRPr="009A0DA6">
        <w:rPr>
          <w:rFonts w:ascii="Cambria" w:hAnsi="Cambria" w:cstheme="majorHAnsi"/>
        </w:rPr>
        <w:tab/>
        <w:t>minutes of meetings of any committees;  and</w:t>
      </w:r>
    </w:p>
    <w:p w14:paraId="6A4BF2E7" w14:textId="77777777" w:rsidR="001B46FC" w:rsidRPr="009A0DA6" w:rsidRDefault="001B46FC" w:rsidP="001B46FC">
      <w:pPr>
        <w:tabs>
          <w:tab w:val="left" w:pos="709"/>
          <w:tab w:val="left" w:pos="1559"/>
          <w:tab w:val="left" w:pos="2552"/>
          <w:tab w:val="left" w:pos="3544"/>
          <w:tab w:val="left" w:pos="4820"/>
        </w:tabs>
        <w:spacing w:after="0" w:line="240" w:lineRule="auto"/>
        <w:ind w:left="1559" w:hanging="1559"/>
        <w:rPr>
          <w:rFonts w:ascii="Cambria" w:hAnsi="Cambria" w:cstheme="majorHAnsi"/>
        </w:rPr>
      </w:pPr>
      <w:r w:rsidRPr="009A0DA6">
        <w:rPr>
          <w:rFonts w:ascii="Cambria" w:hAnsi="Cambria" w:cstheme="majorHAnsi"/>
        </w:rPr>
        <w:tab/>
        <w:t>16.2.3</w:t>
      </w:r>
      <w:r w:rsidRPr="009A0DA6">
        <w:rPr>
          <w:rFonts w:ascii="Cambria" w:hAnsi="Cambria" w:cstheme="majorHAnsi"/>
        </w:rPr>
        <w:tab/>
        <w:t>minutes of circular resolutions of Directors.</w:t>
      </w:r>
    </w:p>
    <w:p w14:paraId="7EB27D1A" w14:textId="77777777" w:rsidR="001B46FC" w:rsidRPr="009A0DA6" w:rsidRDefault="001B46FC" w:rsidP="001B46FC">
      <w:pPr>
        <w:tabs>
          <w:tab w:val="left" w:pos="709"/>
          <w:tab w:val="left" w:pos="1559"/>
          <w:tab w:val="left" w:pos="2552"/>
          <w:tab w:val="left" w:pos="3544"/>
          <w:tab w:val="left" w:pos="4820"/>
        </w:tabs>
        <w:spacing w:after="0" w:line="240" w:lineRule="auto"/>
        <w:rPr>
          <w:rFonts w:ascii="Cambria" w:hAnsi="Cambria" w:cstheme="majorHAnsi"/>
        </w:rPr>
      </w:pPr>
      <w:bookmarkStart w:id="380" w:name="_Ref392223554"/>
      <w:r w:rsidRPr="009A0DA6">
        <w:rPr>
          <w:rFonts w:ascii="Cambria" w:hAnsi="Cambria" w:cstheme="majorHAnsi"/>
        </w:rPr>
        <w:t>16.3</w:t>
      </w:r>
      <w:r w:rsidRPr="009A0DA6">
        <w:rPr>
          <w:rFonts w:ascii="Cambria" w:hAnsi="Cambria" w:cstheme="majorHAnsi"/>
        </w:rPr>
        <w:tab/>
        <w:t>To allow Members to inspect the College’s records the</w:t>
      </w:r>
    </w:p>
    <w:p w14:paraId="207651F2" w14:textId="77777777" w:rsidR="001B46FC" w:rsidRPr="009A0DA6" w:rsidRDefault="001B46FC" w:rsidP="001B46FC">
      <w:pPr>
        <w:tabs>
          <w:tab w:val="left" w:pos="709"/>
          <w:tab w:val="left" w:pos="1559"/>
          <w:tab w:val="left" w:pos="2552"/>
          <w:tab w:val="left" w:pos="3544"/>
          <w:tab w:val="left" w:pos="4820"/>
        </w:tabs>
        <w:spacing w:after="0" w:line="240" w:lineRule="auto"/>
        <w:ind w:left="1559" w:hanging="1559"/>
        <w:rPr>
          <w:rFonts w:ascii="Cambria" w:hAnsi="Cambria" w:cstheme="majorHAnsi"/>
        </w:rPr>
      </w:pPr>
      <w:r w:rsidRPr="009A0DA6">
        <w:rPr>
          <w:rFonts w:ascii="Cambria" w:hAnsi="Cambria" w:cstheme="majorHAnsi"/>
        </w:rPr>
        <w:lastRenderedPageBreak/>
        <w:tab/>
        <w:t>16.3.1</w:t>
      </w:r>
      <w:r w:rsidRPr="009A0DA6">
        <w:rPr>
          <w:rFonts w:ascii="Cambria" w:hAnsi="Cambria" w:cstheme="majorHAnsi"/>
        </w:rPr>
        <w:tab/>
        <w:t>College must give a Member access to the records set out in Clause 16.2;  and</w:t>
      </w:r>
    </w:p>
    <w:p w14:paraId="7632825C" w14:textId="77777777" w:rsidR="001B46FC" w:rsidRPr="009A0DA6" w:rsidRDefault="001B46FC" w:rsidP="001B46FC">
      <w:pPr>
        <w:tabs>
          <w:tab w:val="left" w:pos="709"/>
          <w:tab w:val="left" w:pos="1559"/>
          <w:tab w:val="left" w:pos="2552"/>
          <w:tab w:val="left" w:pos="3544"/>
          <w:tab w:val="left" w:pos="4820"/>
        </w:tabs>
        <w:spacing w:after="0" w:line="240" w:lineRule="auto"/>
        <w:ind w:left="1559" w:hanging="1559"/>
        <w:rPr>
          <w:rFonts w:ascii="Cambria" w:hAnsi="Cambria" w:cstheme="majorHAnsi"/>
        </w:rPr>
      </w:pPr>
      <w:r w:rsidRPr="009A0DA6">
        <w:rPr>
          <w:rFonts w:ascii="Cambria" w:hAnsi="Cambria" w:cstheme="majorHAnsi"/>
        </w:rPr>
        <w:tab/>
        <w:t>16.3.2</w:t>
      </w:r>
      <w:r w:rsidRPr="009A0DA6">
        <w:rPr>
          <w:rFonts w:ascii="Cambria" w:hAnsi="Cambria" w:cstheme="majorHAnsi"/>
        </w:rPr>
        <w:tab/>
        <w:t>Directors may authorise a Member to inspect other records of the College, including records</w:t>
      </w:r>
      <w:r w:rsidRPr="009A0DA6">
        <w:rPr>
          <w:rFonts w:ascii="Cambria" w:hAnsi="Cambria" w:cstheme="majorHAnsi"/>
          <w:b/>
        </w:rPr>
        <w:t xml:space="preserve"> </w:t>
      </w:r>
      <w:r w:rsidRPr="009A0DA6">
        <w:rPr>
          <w:rFonts w:ascii="Cambria" w:hAnsi="Cambria" w:cstheme="majorHAnsi"/>
        </w:rPr>
        <w:t xml:space="preserve">referred to in Clause 16.1 and Clause 16.3.1. </w:t>
      </w:r>
      <w:bookmarkEnd w:id="380"/>
    </w:p>
    <w:p w14:paraId="0ABFEE46" w14:textId="77777777" w:rsidR="001B46FC" w:rsidRPr="009A0DA6" w:rsidRDefault="001B46FC" w:rsidP="001B46FC">
      <w:pPr>
        <w:tabs>
          <w:tab w:val="left" w:pos="709"/>
          <w:tab w:val="left" w:pos="1559"/>
          <w:tab w:val="left" w:pos="2552"/>
          <w:tab w:val="left" w:pos="3544"/>
          <w:tab w:val="left" w:pos="4820"/>
        </w:tabs>
        <w:spacing w:after="0" w:line="240" w:lineRule="auto"/>
        <w:ind w:left="709" w:hanging="709"/>
        <w:rPr>
          <w:rFonts w:ascii="Cambria" w:hAnsi="Cambria" w:cstheme="majorHAnsi"/>
        </w:rPr>
      </w:pPr>
      <w:r w:rsidRPr="009A0DA6">
        <w:rPr>
          <w:rFonts w:ascii="Cambria" w:hAnsi="Cambria" w:cstheme="majorHAnsi"/>
        </w:rPr>
        <w:t>16.4</w:t>
      </w:r>
      <w:r w:rsidRPr="009A0DA6">
        <w:rPr>
          <w:rFonts w:ascii="Cambria" w:hAnsi="Cambria" w:cstheme="majorHAnsi"/>
        </w:rPr>
        <w:tab/>
        <w:t>The Directors must ensure that minutes of a general</w:t>
      </w:r>
      <w:r w:rsidRPr="009A0DA6">
        <w:rPr>
          <w:rFonts w:ascii="Cambria" w:hAnsi="Cambria" w:cstheme="majorHAnsi"/>
          <w:b/>
        </w:rPr>
        <w:t xml:space="preserve"> </w:t>
      </w:r>
      <w:r w:rsidRPr="009A0DA6">
        <w:rPr>
          <w:rFonts w:ascii="Cambria" w:hAnsi="Cambria" w:cstheme="majorHAnsi"/>
        </w:rPr>
        <w:t>meeting or a Directors’ meeting are signed within a reasonable time after the meeting by the</w:t>
      </w:r>
    </w:p>
    <w:p w14:paraId="0024A7CF" w14:textId="77777777" w:rsidR="001B46FC" w:rsidRPr="009A0DA6" w:rsidRDefault="001B46FC" w:rsidP="001B46FC">
      <w:pPr>
        <w:tabs>
          <w:tab w:val="left" w:pos="709"/>
          <w:tab w:val="left" w:pos="1559"/>
          <w:tab w:val="left" w:pos="2552"/>
          <w:tab w:val="left" w:pos="3544"/>
          <w:tab w:val="left" w:pos="4820"/>
        </w:tabs>
        <w:spacing w:after="0" w:line="240" w:lineRule="auto"/>
        <w:ind w:left="1559" w:hanging="1559"/>
        <w:rPr>
          <w:rFonts w:ascii="Cambria" w:hAnsi="Cambria" w:cstheme="majorHAnsi"/>
        </w:rPr>
      </w:pPr>
      <w:r w:rsidRPr="009A0DA6">
        <w:rPr>
          <w:rFonts w:ascii="Cambria" w:hAnsi="Cambria" w:cstheme="majorHAnsi"/>
        </w:rPr>
        <w:tab/>
        <w:t>16.4.1</w:t>
      </w:r>
      <w:r w:rsidRPr="009A0DA6">
        <w:rPr>
          <w:rFonts w:ascii="Cambria" w:hAnsi="Cambria" w:cstheme="majorHAnsi"/>
        </w:rPr>
        <w:tab/>
        <w:t>Chair of the meeting;  or</w:t>
      </w:r>
    </w:p>
    <w:p w14:paraId="19466267" w14:textId="77777777" w:rsidR="001B46FC" w:rsidRPr="009A0DA6" w:rsidRDefault="001B46FC" w:rsidP="001B46FC">
      <w:pPr>
        <w:tabs>
          <w:tab w:val="left" w:pos="709"/>
          <w:tab w:val="left" w:pos="1559"/>
          <w:tab w:val="left" w:pos="2552"/>
          <w:tab w:val="left" w:pos="3544"/>
          <w:tab w:val="left" w:pos="4820"/>
        </w:tabs>
        <w:spacing w:after="0" w:line="240" w:lineRule="auto"/>
        <w:ind w:left="1559" w:hanging="1559"/>
        <w:rPr>
          <w:rFonts w:ascii="Cambria" w:hAnsi="Cambria" w:cstheme="majorHAnsi"/>
        </w:rPr>
      </w:pPr>
      <w:r w:rsidRPr="009A0DA6">
        <w:rPr>
          <w:rFonts w:ascii="Cambria" w:hAnsi="Cambria" w:cstheme="majorHAnsi"/>
        </w:rPr>
        <w:tab/>
        <w:t>16.4.2</w:t>
      </w:r>
      <w:r w:rsidRPr="009A0DA6">
        <w:rPr>
          <w:rFonts w:ascii="Cambria" w:hAnsi="Cambria" w:cstheme="majorHAnsi"/>
        </w:rPr>
        <w:tab/>
        <w:t>Chair of the next meeting.</w:t>
      </w:r>
    </w:p>
    <w:p w14:paraId="3C39D7B8" w14:textId="77777777" w:rsidR="001B46FC" w:rsidRPr="009A0DA6" w:rsidRDefault="001B46FC" w:rsidP="001B46FC">
      <w:pPr>
        <w:tabs>
          <w:tab w:val="left" w:pos="709"/>
          <w:tab w:val="left" w:pos="1559"/>
          <w:tab w:val="left" w:pos="2552"/>
          <w:tab w:val="left" w:pos="3544"/>
          <w:tab w:val="left" w:pos="4820"/>
        </w:tabs>
        <w:spacing w:after="0" w:line="240" w:lineRule="auto"/>
        <w:ind w:left="709" w:hanging="709"/>
        <w:rPr>
          <w:rFonts w:ascii="Cambria" w:hAnsi="Cambria" w:cstheme="majorHAnsi"/>
        </w:rPr>
      </w:pPr>
      <w:r w:rsidRPr="009A0DA6">
        <w:rPr>
          <w:rFonts w:ascii="Cambria" w:hAnsi="Cambria" w:cstheme="majorHAnsi"/>
        </w:rPr>
        <w:t>16.5</w:t>
      </w:r>
      <w:r w:rsidRPr="009A0DA6">
        <w:rPr>
          <w:rFonts w:ascii="Cambria" w:hAnsi="Cambria" w:cstheme="majorHAnsi"/>
        </w:rPr>
        <w:tab/>
        <w:t>The Directors must ensure that minutes of the passing of a circular resolution, of Members or Directors, are signed by a Director within a reasonable time after the resolution is passed.</w:t>
      </w:r>
    </w:p>
    <w:p w14:paraId="12158EEF" w14:textId="77777777" w:rsidR="001B46FC" w:rsidRPr="009A0DA6" w:rsidRDefault="001B46FC" w:rsidP="001B46FC">
      <w:pPr>
        <w:spacing w:before="120"/>
        <w:rPr>
          <w:rFonts w:ascii="Cambria" w:hAnsi="Cambria"/>
          <w:b/>
        </w:rPr>
      </w:pPr>
      <w:r w:rsidRPr="009A0DA6">
        <w:rPr>
          <w:rFonts w:ascii="Cambria" w:hAnsi="Cambria"/>
          <w:b/>
        </w:rPr>
        <w:t>Article  17</w:t>
      </w:r>
      <w:r w:rsidRPr="009A0DA6">
        <w:rPr>
          <w:rFonts w:ascii="Cambria" w:hAnsi="Cambria"/>
          <w:b/>
        </w:rPr>
        <w:tab/>
        <w:t>Financial and related records</w:t>
      </w:r>
    </w:p>
    <w:p w14:paraId="601931C0" w14:textId="77777777" w:rsidR="001B46FC" w:rsidRPr="009A0DA6" w:rsidRDefault="001B46FC" w:rsidP="001B46FC">
      <w:pPr>
        <w:tabs>
          <w:tab w:val="left" w:pos="709"/>
          <w:tab w:val="left" w:pos="1559"/>
          <w:tab w:val="left" w:pos="2552"/>
          <w:tab w:val="left" w:pos="3544"/>
          <w:tab w:val="left" w:pos="4820"/>
        </w:tabs>
        <w:spacing w:after="0" w:line="240" w:lineRule="auto"/>
        <w:ind w:left="709" w:hanging="709"/>
        <w:rPr>
          <w:rFonts w:ascii="Cambria" w:hAnsi="Cambria" w:cstheme="majorHAnsi"/>
        </w:rPr>
      </w:pPr>
      <w:bookmarkStart w:id="381" w:name="_Ref396898556"/>
      <w:r w:rsidRPr="009A0DA6">
        <w:rPr>
          <w:rFonts w:ascii="Cambria" w:hAnsi="Cambria" w:cstheme="majorHAnsi"/>
        </w:rPr>
        <w:t>17.1</w:t>
      </w:r>
      <w:r w:rsidRPr="009A0DA6">
        <w:rPr>
          <w:rFonts w:ascii="Cambria" w:hAnsi="Cambria" w:cstheme="majorHAnsi"/>
        </w:rPr>
        <w:tab/>
        <w:t>The College must make and keep written financial records that</w:t>
      </w:r>
      <w:bookmarkEnd w:id="381"/>
    </w:p>
    <w:p w14:paraId="4196852A" w14:textId="77777777" w:rsidR="001B46FC" w:rsidRPr="009A0DA6" w:rsidRDefault="001B46FC" w:rsidP="001B46FC">
      <w:pPr>
        <w:tabs>
          <w:tab w:val="left" w:pos="709"/>
          <w:tab w:val="left" w:pos="1559"/>
          <w:tab w:val="left" w:pos="2552"/>
          <w:tab w:val="left" w:pos="3544"/>
          <w:tab w:val="left" w:pos="4820"/>
        </w:tabs>
        <w:spacing w:after="0" w:line="240" w:lineRule="auto"/>
        <w:ind w:left="1559" w:hanging="1559"/>
        <w:rPr>
          <w:rFonts w:ascii="Cambria" w:hAnsi="Cambria" w:cstheme="majorHAnsi"/>
          <w:shd w:val="clear" w:color="auto" w:fill="FFFF00"/>
        </w:rPr>
      </w:pPr>
      <w:r w:rsidRPr="009A0DA6">
        <w:rPr>
          <w:rFonts w:ascii="Cambria" w:hAnsi="Cambria" w:cstheme="majorHAnsi"/>
        </w:rPr>
        <w:tab/>
        <w:t>17.1.1</w:t>
      </w:r>
      <w:r w:rsidRPr="009A0DA6">
        <w:rPr>
          <w:rFonts w:ascii="Cambria" w:hAnsi="Cambria" w:cstheme="majorHAnsi"/>
        </w:rPr>
        <w:tab/>
        <w:t>correctly record and explain its transactions and financial position and performance;  and</w:t>
      </w:r>
    </w:p>
    <w:p w14:paraId="467F841C" w14:textId="77777777" w:rsidR="001B46FC" w:rsidRPr="009A0DA6" w:rsidRDefault="001B46FC" w:rsidP="001B46FC">
      <w:pPr>
        <w:tabs>
          <w:tab w:val="left" w:pos="709"/>
          <w:tab w:val="left" w:pos="1559"/>
          <w:tab w:val="left" w:pos="2552"/>
          <w:tab w:val="left" w:pos="3544"/>
          <w:tab w:val="left" w:pos="4820"/>
        </w:tabs>
        <w:spacing w:after="0" w:line="240" w:lineRule="auto"/>
        <w:ind w:left="1559" w:hanging="1559"/>
        <w:rPr>
          <w:rFonts w:ascii="Cambria" w:hAnsi="Cambria" w:cstheme="majorHAnsi"/>
          <w:shd w:val="clear" w:color="auto" w:fill="FFFF00"/>
        </w:rPr>
      </w:pPr>
      <w:r w:rsidRPr="009A0DA6">
        <w:rPr>
          <w:rFonts w:ascii="Cambria" w:hAnsi="Cambria" w:cstheme="majorHAnsi"/>
        </w:rPr>
        <w:tab/>
        <w:t>17.1.2</w:t>
      </w:r>
      <w:r w:rsidRPr="009A0DA6">
        <w:rPr>
          <w:rFonts w:ascii="Cambria" w:hAnsi="Cambria" w:cstheme="majorHAnsi"/>
        </w:rPr>
        <w:tab/>
        <w:t>enable true and fair financial statements to be prepared and to be audited.</w:t>
      </w:r>
    </w:p>
    <w:p w14:paraId="24FBF692" w14:textId="77777777" w:rsidR="001B46FC" w:rsidRPr="009A0DA6" w:rsidRDefault="001B46FC" w:rsidP="001B46FC">
      <w:pPr>
        <w:tabs>
          <w:tab w:val="left" w:pos="709"/>
          <w:tab w:val="left" w:pos="1559"/>
          <w:tab w:val="left" w:pos="2552"/>
          <w:tab w:val="left" w:pos="3544"/>
          <w:tab w:val="left" w:pos="4820"/>
        </w:tabs>
        <w:spacing w:after="0" w:line="240" w:lineRule="auto"/>
        <w:ind w:left="709" w:hanging="709"/>
        <w:rPr>
          <w:rFonts w:ascii="Cambria" w:hAnsi="Cambria" w:cstheme="majorHAnsi"/>
        </w:rPr>
      </w:pPr>
      <w:r w:rsidRPr="009A0DA6">
        <w:rPr>
          <w:rFonts w:ascii="Cambria" w:hAnsi="Cambria" w:cstheme="majorHAnsi"/>
        </w:rPr>
        <w:t>17.2</w:t>
      </w:r>
      <w:r w:rsidRPr="009A0DA6">
        <w:rPr>
          <w:rFonts w:ascii="Cambria" w:hAnsi="Cambria" w:cstheme="majorHAnsi"/>
        </w:rPr>
        <w:tab/>
        <w:t>The College must also keep written records that correctly record its operations.</w:t>
      </w:r>
    </w:p>
    <w:p w14:paraId="712F150E" w14:textId="77777777" w:rsidR="001B46FC" w:rsidRPr="009A0DA6" w:rsidRDefault="001B46FC" w:rsidP="001B46FC">
      <w:pPr>
        <w:tabs>
          <w:tab w:val="left" w:pos="709"/>
          <w:tab w:val="left" w:pos="1559"/>
          <w:tab w:val="left" w:pos="2552"/>
          <w:tab w:val="left" w:pos="3544"/>
          <w:tab w:val="left" w:pos="4820"/>
        </w:tabs>
        <w:spacing w:after="0" w:line="240" w:lineRule="auto"/>
        <w:ind w:left="709" w:hanging="709"/>
        <w:rPr>
          <w:rFonts w:ascii="Cambria" w:hAnsi="Cambria" w:cstheme="majorHAnsi"/>
        </w:rPr>
      </w:pPr>
      <w:r w:rsidRPr="009A0DA6">
        <w:rPr>
          <w:rFonts w:ascii="Cambria" w:hAnsi="Cambria" w:cstheme="majorHAnsi"/>
        </w:rPr>
        <w:t>17.3</w:t>
      </w:r>
      <w:r w:rsidRPr="009A0DA6">
        <w:rPr>
          <w:rFonts w:ascii="Cambria" w:hAnsi="Cambria" w:cstheme="majorHAnsi"/>
        </w:rPr>
        <w:tab/>
        <w:t>The College must retain its records for at least seven [7] years.</w:t>
      </w:r>
    </w:p>
    <w:p w14:paraId="3647A802" w14:textId="77777777" w:rsidR="001B46FC" w:rsidRPr="009A0DA6" w:rsidRDefault="001B46FC" w:rsidP="001B46FC">
      <w:pPr>
        <w:tabs>
          <w:tab w:val="left" w:pos="709"/>
          <w:tab w:val="left" w:pos="1559"/>
          <w:tab w:val="left" w:pos="2552"/>
          <w:tab w:val="left" w:pos="3544"/>
          <w:tab w:val="left" w:pos="4820"/>
        </w:tabs>
        <w:spacing w:after="0" w:line="240" w:lineRule="auto"/>
        <w:ind w:left="709" w:hanging="709"/>
        <w:rPr>
          <w:rFonts w:ascii="Cambria" w:hAnsi="Cambria" w:cstheme="majorHAnsi"/>
        </w:rPr>
      </w:pPr>
      <w:r w:rsidRPr="009A0DA6">
        <w:rPr>
          <w:rFonts w:ascii="Cambria" w:hAnsi="Cambria" w:cstheme="majorHAnsi"/>
        </w:rPr>
        <w:t>17.4</w:t>
      </w:r>
      <w:r w:rsidRPr="009A0DA6">
        <w:rPr>
          <w:rFonts w:ascii="Cambria" w:hAnsi="Cambria" w:cstheme="majorHAnsi"/>
        </w:rPr>
        <w:tab/>
        <w:t>The Directors must take reasonable steps to ensure that the College's records are kept safe.</w:t>
      </w:r>
    </w:p>
    <w:p w14:paraId="76051A2F" w14:textId="77777777" w:rsidR="001B46FC" w:rsidRPr="009A0DA6" w:rsidRDefault="001B46FC" w:rsidP="001B46FC">
      <w:pPr>
        <w:spacing w:before="120"/>
        <w:rPr>
          <w:rFonts w:ascii="Cambria" w:hAnsi="Cambria"/>
          <w:b/>
        </w:rPr>
      </w:pPr>
      <w:r w:rsidRPr="009A0DA6">
        <w:rPr>
          <w:rFonts w:ascii="Cambria" w:hAnsi="Cambria"/>
          <w:b/>
        </w:rPr>
        <w:t>Article 18</w:t>
      </w:r>
      <w:r w:rsidRPr="009A0DA6">
        <w:rPr>
          <w:rFonts w:ascii="Cambria" w:hAnsi="Cambria"/>
          <w:b/>
        </w:rPr>
        <w:tab/>
        <w:t>Governance Policies</w:t>
      </w:r>
    </w:p>
    <w:p w14:paraId="3CCA6586" w14:textId="77777777" w:rsidR="001B46FC" w:rsidRPr="009A0DA6" w:rsidRDefault="001B46FC" w:rsidP="001B46FC">
      <w:pPr>
        <w:tabs>
          <w:tab w:val="left" w:pos="709"/>
          <w:tab w:val="left" w:pos="1559"/>
          <w:tab w:val="left" w:pos="2552"/>
          <w:tab w:val="left" w:pos="3544"/>
          <w:tab w:val="left" w:pos="4820"/>
        </w:tabs>
        <w:spacing w:after="0" w:line="240" w:lineRule="auto"/>
        <w:ind w:left="709" w:hanging="709"/>
        <w:rPr>
          <w:rFonts w:ascii="Cambria" w:hAnsi="Cambria" w:cstheme="majorHAnsi"/>
        </w:rPr>
      </w:pPr>
      <w:r w:rsidRPr="009A0DA6">
        <w:rPr>
          <w:rFonts w:ascii="Cambria" w:hAnsi="Cambria" w:cstheme="majorHAnsi"/>
        </w:rPr>
        <w:t>18.1</w:t>
      </w:r>
      <w:r w:rsidRPr="009A0DA6">
        <w:rPr>
          <w:rFonts w:ascii="Cambria" w:hAnsi="Cambria" w:cstheme="majorHAnsi"/>
        </w:rPr>
        <w:tab/>
        <w:t>The Directors may pass a resolution to adopt Governance Policies to give effect to this constitution.</w:t>
      </w:r>
    </w:p>
    <w:p w14:paraId="3BA5A79D" w14:textId="23D031DC" w:rsidR="001B46FC" w:rsidRPr="009A0DA6" w:rsidRDefault="00D04794" w:rsidP="001B46FC">
      <w:pPr>
        <w:spacing w:before="120"/>
        <w:rPr>
          <w:rFonts w:ascii="Cambria" w:hAnsi="Cambria"/>
          <w:b/>
        </w:rPr>
      </w:pPr>
      <w:bookmarkStart w:id="382" w:name="_Ref382914285"/>
      <w:bookmarkStart w:id="383" w:name="_Ref392225405"/>
      <w:bookmarkStart w:id="384" w:name="_Ref388973786"/>
      <w:r w:rsidRPr="009A0DA6">
        <w:rPr>
          <w:rFonts w:ascii="Cambria" w:hAnsi="Cambria"/>
          <w:b/>
        </w:rPr>
        <w:br/>
      </w:r>
      <w:r w:rsidR="001B46FC" w:rsidRPr="009A0DA6">
        <w:rPr>
          <w:rFonts w:ascii="Cambria" w:hAnsi="Cambria"/>
          <w:b/>
        </w:rPr>
        <w:t>Article 19</w:t>
      </w:r>
      <w:r w:rsidR="001B46FC" w:rsidRPr="009A0DA6">
        <w:rPr>
          <w:rFonts w:ascii="Cambria" w:hAnsi="Cambria"/>
          <w:b/>
        </w:rPr>
        <w:tab/>
        <w:t xml:space="preserve">Notices </w:t>
      </w:r>
    </w:p>
    <w:p w14:paraId="5D1BF505"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rPr>
          <w:rFonts w:ascii="Cambria" w:hAnsi="Cambria" w:cstheme="majorHAnsi"/>
        </w:rPr>
      </w:pPr>
      <w:r w:rsidRPr="009A0DA6">
        <w:rPr>
          <w:rFonts w:ascii="Cambria" w:hAnsi="Cambria" w:cstheme="majorHAnsi"/>
        </w:rPr>
        <w:t>19.1</w:t>
      </w:r>
      <w:r w:rsidRPr="009A0DA6">
        <w:rPr>
          <w:rFonts w:ascii="Cambria" w:hAnsi="Cambria" w:cstheme="majorHAnsi"/>
        </w:rPr>
        <w:tab/>
      </w:r>
      <w:r w:rsidRPr="009A0DA6">
        <w:rPr>
          <w:rFonts w:ascii="Cambria" w:hAnsi="Cambria" w:cstheme="majorHAnsi"/>
          <w:u w:val="single"/>
        </w:rPr>
        <w:t xml:space="preserve">Notice to the </w:t>
      </w:r>
      <w:bookmarkEnd w:id="382"/>
      <w:bookmarkEnd w:id="383"/>
      <w:bookmarkEnd w:id="384"/>
      <w:r w:rsidRPr="009A0DA6">
        <w:rPr>
          <w:rFonts w:ascii="Cambria" w:hAnsi="Cambria" w:cstheme="majorHAnsi"/>
          <w:u w:val="single"/>
        </w:rPr>
        <w:t>College</w:t>
      </w:r>
    </w:p>
    <w:p w14:paraId="1493A97F"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ind w:left="1559" w:hanging="1559"/>
        <w:rPr>
          <w:rFonts w:ascii="Cambria" w:hAnsi="Cambria" w:cstheme="majorHAnsi"/>
        </w:rPr>
      </w:pPr>
      <w:r w:rsidRPr="009A0DA6">
        <w:rPr>
          <w:rFonts w:ascii="Cambria" w:hAnsi="Cambria" w:cstheme="majorHAnsi"/>
        </w:rPr>
        <w:tab/>
        <w:t>19.1.1</w:t>
      </w:r>
      <w:r w:rsidRPr="009A0DA6">
        <w:rPr>
          <w:rFonts w:ascii="Cambria" w:hAnsi="Cambria" w:cstheme="majorHAnsi"/>
        </w:rPr>
        <w:tab/>
        <w:t>Written notice or any communication under this constitution may be given to the College</w:t>
      </w:r>
      <w:r w:rsidRPr="009A0DA6">
        <w:rPr>
          <w:rFonts w:ascii="Cambria" w:hAnsi="Cambria" w:cstheme="majorHAnsi"/>
          <w:b/>
        </w:rPr>
        <w:t>,</w:t>
      </w:r>
      <w:r w:rsidRPr="009A0DA6">
        <w:rPr>
          <w:rFonts w:ascii="Cambria" w:hAnsi="Cambria" w:cstheme="majorHAnsi"/>
        </w:rPr>
        <w:t xml:space="preserve"> the Directors or the secretary by</w:t>
      </w:r>
    </w:p>
    <w:p w14:paraId="7FDA1718" w14:textId="77777777" w:rsidR="001B46FC" w:rsidRPr="009A0DA6" w:rsidRDefault="001B46FC" w:rsidP="001B46FC">
      <w:pPr>
        <w:tabs>
          <w:tab w:val="left" w:pos="709"/>
          <w:tab w:val="left" w:pos="1559"/>
          <w:tab w:val="left" w:pos="2552"/>
          <w:tab w:val="left" w:pos="3544"/>
          <w:tab w:val="left" w:pos="4820"/>
        </w:tabs>
        <w:spacing w:after="0" w:line="240" w:lineRule="auto"/>
        <w:ind w:left="2552" w:hanging="2552"/>
        <w:rPr>
          <w:rFonts w:ascii="Cambria" w:hAnsi="Cambria" w:cstheme="majorHAnsi"/>
        </w:rPr>
      </w:pPr>
      <w:r w:rsidRPr="009A0DA6">
        <w:rPr>
          <w:rFonts w:ascii="Cambria" w:hAnsi="Cambria" w:cstheme="majorHAnsi"/>
        </w:rPr>
        <w:tab/>
      </w:r>
      <w:r w:rsidRPr="009A0DA6">
        <w:rPr>
          <w:rFonts w:ascii="Cambria" w:hAnsi="Cambria" w:cstheme="majorHAnsi"/>
        </w:rPr>
        <w:tab/>
        <w:t>19.1.1.1</w:t>
      </w:r>
      <w:r w:rsidRPr="009A0DA6">
        <w:rPr>
          <w:rFonts w:ascii="Cambria" w:hAnsi="Cambria" w:cstheme="majorHAnsi"/>
        </w:rPr>
        <w:tab/>
        <w:t>delivering it to the College’s registered office;</w:t>
      </w:r>
    </w:p>
    <w:p w14:paraId="6CB4E921" w14:textId="77777777" w:rsidR="001B46FC" w:rsidRPr="009A0DA6" w:rsidRDefault="001B46FC" w:rsidP="001B46FC">
      <w:pPr>
        <w:tabs>
          <w:tab w:val="left" w:pos="709"/>
          <w:tab w:val="left" w:pos="1559"/>
          <w:tab w:val="left" w:pos="2552"/>
          <w:tab w:val="left" w:pos="3544"/>
          <w:tab w:val="left" w:pos="4820"/>
        </w:tabs>
        <w:spacing w:after="0" w:line="240" w:lineRule="auto"/>
        <w:ind w:left="2552" w:hanging="2552"/>
        <w:rPr>
          <w:rFonts w:ascii="Cambria" w:hAnsi="Cambria" w:cstheme="majorHAnsi"/>
        </w:rPr>
      </w:pPr>
      <w:bookmarkStart w:id="385" w:name="_Ref391995818"/>
      <w:r w:rsidRPr="009A0DA6">
        <w:rPr>
          <w:rFonts w:ascii="Cambria" w:hAnsi="Cambria" w:cstheme="majorHAnsi"/>
        </w:rPr>
        <w:tab/>
      </w:r>
      <w:r w:rsidRPr="009A0DA6">
        <w:rPr>
          <w:rFonts w:ascii="Cambria" w:hAnsi="Cambria" w:cstheme="majorHAnsi"/>
        </w:rPr>
        <w:tab/>
        <w:t>19.1.1.2</w:t>
      </w:r>
      <w:r w:rsidRPr="009A0DA6">
        <w:rPr>
          <w:rFonts w:ascii="Cambria" w:hAnsi="Cambria" w:cstheme="majorHAnsi"/>
        </w:rPr>
        <w:tab/>
        <w:t>posting it to the College’s registered office or to another address chosen by the College for notice to be provided</w:t>
      </w:r>
      <w:bookmarkEnd w:id="385"/>
      <w:r w:rsidRPr="009A0DA6">
        <w:rPr>
          <w:rFonts w:ascii="Cambria" w:hAnsi="Cambria" w:cstheme="majorHAnsi"/>
        </w:rPr>
        <w:t>;</w:t>
      </w:r>
    </w:p>
    <w:p w14:paraId="7360891A" w14:textId="77777777" w:rsidR="001B46FC" w:rsidRPr="009A0DA6" w:rsidRDefault="001B46FC" w:rsidP="001B46FC">
      <w:pPr>
        <w:tabs>
          <w:tab w:val="left" w:pos="709"/>
          <w:tab w:val="left" w:pos="1559"/>
          <w:tab w:val="left" w:pos="2552"/>
          <w:tab w:val="left" w:pos="3544"/>
          <w:tab w:val="left" w:pos="4820"/>
        </w:tabs>
        <w:spacing w:after="0" w:line="240" w:lineRule="auto"/>
        <w:ind w:left="2552" w:hanging="2552"/>
        <w:rPr>
          <w:rFonts w:ascii="Cambria" w:hAnsi="Cambria" w:cstheme="majorHAnsi"/>
        </w:rPr>
      </w:pPr>
      <w:r w:rsidRPr="009A0DA6">
        <w:rPr>
          <w:rFonts w:ascii="Cambria" w:hAnsi="Cambria" w:cstheme="majorHAnsi"/>
        </w:rPr>
        <w:tab/>
      </w:r>
      <w:r w:rsidRPr="009A0DA6">
        <w:rPr>
          <w:rFonts w:ascii="Cambria" w:hAnsi="Cambria" w:cstheme="majorHAnsi"/>
        </w:rPr>
        <w:tab/>
        <w:t>19.1.1.3</w:t>
      </w:r>
      <w:r w:rsidRPr="009A0DA6">
        <w:rPr>
          <w:rFonts w:ascii="Cambria" w:hAnsi="Cambria" w:cstheme="majorHAnsi"/>
        </w:rPr>
        <w:tab/>
        <w:t>sending it to an email address or other electronic address notified by the College to the Members as the College’s email address or other electronic address;  or</w:t>
      </w:r>
    </w:p>
    <w:p w14:paraId="59789CDC" w14:textId="77777777" w:rsidR="001B46FC" w:rsidRPr="009A0DA6" w:rsidRDefault="001B46FC" w:rsidP="001B46FC">
      <w:pPr>
        <w:tabs>
          <w:tab w:val="left" w:pos="709"/>
          <w:tab w:val="left" w:pos="1559"/>
          <w:tab w:val="left" w:pos="2552"/>
          <w:tab w:val="left" w:pos="3544"/>
          <w:tab w:val="left" w:pos="4820"/>
        </w:tabs>
        <w:spacing w:after="0" w:line="240" w:lineRule="auto"/>
        <w:ind w:left="2552" w:hanging="2552"/>
        <w:rPr>
          <w:rFonts w:ascii="Cambria" w:hAnsi="Cambria" w:cstheme="majorHAnsi"/>
          <w:b/>
        </w:rPr>
      </w:pPr>
      <w:r w:rsidRPr="009A0DA6">
        <w:rPr>
          <w:rFonts w:ascii="Cambria" w:hAnsi="Cambria" w:cstheme="majorHAnsi"/>
        </w:rPr>
        <w:tab/>
      </w:r>
      <w:r w:rsidRPr="009A0DA6">
        <w:rPr>
          <w:rFonts w:ascii="Cambria" w:hAnsi="Cambria" w:cstheme="majorHAnsi"/>
        </w:rPr>
        <w:tab/>
        <w:t>19.1.1.4</w:t>
      </w:r>
      <w:r w:rsidRPr="009A0DA6">
        <w:rPr>
          <w:rFonts w:ascii="Cambria" w:hAnsi="Cambria" w:cstheme="majorHAnsi"/>
        </w:rPr>
        <w:tab/>
        <w:t>sending it to the fax number notified by the College</w:t>
      </w:r>
      <w:r w:rsidRPr="009A0DA6">
        <w:rPr>
          <w:rFonts w:ascii="Cambria" w:hAnsi="Cambria" w:cstheme="majorHAnsi"/>
          <w:b/>
        </w:rPr>
        <w:t xml:space="preserve"> </w:t>
      </w:r>
      <w:r w:rsidRPr="009A0DA6">
        <w:rPr>
          <w:rFonts w:ascii="Cambria" w:hAnsi="Cambria" w:cstheme="majorHAnsi"/>
        </w:rPr>
        <w:t>to the Members as the College’s fax number.</w:t>
      </w:r>
    </w:p>
    <w:p w14:paraId="03268BDA"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rPr>
          <w:rFonts w:ascii="Cambria" w:hAnsi="Cambria" w:cstheme="majorHAnsi"/>
        </w:rPr>
      </w:pPr>
      <w:r w:rsidRPr="009A0DA6">
        <w:rPr>
          <w:rFonts w:ascii="Cambria" w:hAnsi="Cambria" w:cstheme="majorHAnsi"/>
        </w:rPr>
        <w:t>19.2</w:t>
      </w:r>
      <w:r w:rsidRPr="009A0DA6">
        <w:rPr>
          <w:rFonts w:ascii="Cambria" w:hAnsi="Cambria" w:cstheme="majorHAnsi"/>
        </w:rPr>
        <w:tab/>
      </w:r>
      <w:r w:rsidRPr="009A0DA6">
        <w:rPr>
          <w:rFonts w:ascii="Cambria" w:hAnsi="Cambria" w:cstheme="majorHAnsi"/>
          <w:u w:val="single"/>
        </w:rPr>
        <w:t>Notice to Members</w:t>
      </w:r>
    </w:p>
    <w:p w14:paraId="78CFDB32" w14:textId="77777777" w:rsidR="001B46FC" w:rsidRPr="009A0DA6" w:rsidRDefault="001B46FC" w:rsidP="001B46FC">
      <w:pPr>
        <w:tabs>
          <w:tab w:val="left" w:pos="709"/>
          <w:tab w:val="left" w:pos="1559"/>
          <w:tab w:val="left" w:pos="2552"/>
          <w:tab w:val="left" w:pos="3544"/>
          <w:tab w:val="left" w:pos="4820"/>
        </w:tabs>
        <w:spacing w:after="0" w:line="240" w:lineRule="auto"/>
        <w:ind w:left="1559" w:hanging="1559"/>
        <w:rPr>
          <w:rFonts w:ascii="Cambria" w:hAnsi="Cambria" w:cstheme="majorHAnsi"/>
        </w:rPr>
      </w:pPr>
      <w:r w:rsidRPr="009A0DA6">
        <w:rPr>
          <w:rFonts w:ascii="Cambria" w:hAnsi="Cambria" w:cstheme="majorHAnsi"/>
          <w:bCs/>
        </w:rPr>
        <w:tab/>
        <w:t>19.2.1</w:t>
      </w:r>
      <w:r w:rsidRPr="009A0DA6">
        <w:rPr>
          <w:rFonts w:ascii="Cambria" w:hAnsi="Cambria" w:cstheme="majorHAnsi"/>
          <w:bCs/>
        </w:rPr>
        <w:tab/>
        <w:t>Written notice or any communication under this constitution may be given to a Member</w:t>
      </w:r>
    </w:p>
    <w:p w14:paraId="5919056D"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ind w:left="2552" w:hanging="2552"/>
        <w:rPr>
          <w:rFonts w:ascii="Cambria" w:hAnsi="Cambria" w:cstheme="majorHAnsi"/>
          <w:bCs/>
        </w:rPr>
      </w:pPr>
      <w:bookmarkStart w:id="386" w:name="_Ref393808036"/>
      <w:r w:rsidRPr="009A0DA6">
        <w:rPr>
          <w:rFonts w:ascii="Cambria" w:hAnsi="Cambria" w:cstheme="majorHAnsi"/>
        </w:rPr>
        <w:tab/>
      </w:r>
      <w:r w:rsidRPr="009A0DA6">
        <w:rPr>
          <w:rFonts w:ascii="Cambria" w:hAnsi="Cambria" w:cstheme="majorHAnsi"/>
        </w:rPr>
        <w:tab/>
        <w:t>19.2.1.1</w:t>
      </w:r>
      <w:r w:rsidRPr="009A0DA6">
        <w:rPr>
          <w:rFonts w:ascii="Cambria" w:hAnsi="Cambria" w:cstheme="majorHAnsi"/>
        </w:rPr>
        <w:tab/>
        <w:t>in person</w:t>
      </w:r>
      <w:bookmarkEnd w:id="386"/>
      <w:r w:rsidRPr="009A0DA6">
        <w:rPr>
          <w:rFonts w:ascii="Cambria" w:hAnsi="Cambria" w:cstheme="majorHAnsi"/>
        </w:rPr>
        <w:t>;</w:t>
      </w:r>
    </w:p>
    <w:p w14:paraId="2FF20588"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ind w:left="2552" w:hanging="2552"/>
        <w:rPr>
          <w:rFonts w:ascii="Cambria" w:hAnsi="Cambria" w:cstheme="majorHAnsi"/>
          <w:bCs/>
        </w:rPr>
      </w:pPr>
      <w:bookmarkStart w:id="387" w:name="_Ref393807997"/>
      <w:r w:rsidRPr="009A0DA6">
        <w:rPr>
          <w:rFonts w:ascii="Cambria" w:hAnsi="Cambria" w:cstheme="majorHAnsi"/>
          <w:bCs/>
        </w:rPr>
        <w:tab/>
      </w:r>
      <w:r w:rsidRPr="009A0DA6">
        <w:rPr>
          <w:rFonts w:ascii="Cambria" w:hAnsi="Cambria" w:cstheme="majorHAnsi"/>
          <w:bCs/>
        </w:rPr>
        <w:tab/>
        <w:t>19.2.1.2</w:t>
      </w:r>
      <w:r w:rsidRPr="009A0DA6">
        <w:rPr>
          <w:rFonts w:ascii="Cambria" w:hAnsi="Cambria" w:cstheme="majorHAnsi"/>
          <w:bCs/>
        </w:rPr>
        <w:tab/>
        <w:t>by posting it to, or leaving it at the address of the Member in the register of Members or an alternative address (if any) nominated by the Member for service of notices</w:t>
      </w:r>
      <w:bookmarkEnd w:id="387"/>
      <w:r w:rsidRPr="009A0DA6">
        <w:rPr>
          <w:rFonts w:ascii="Cambria" w:hAnsi="Cambria" w:cstheme="majorHAnsi"/>
          <w:bCs/>
        </w:rPr>
        <w:t>;</w:t>
      </w:r>
    </w:p>
    <w:p w14:paraId="72CB1190"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ind w:left="2552" w:hanging="2552"/>
        <w:rPr>
          <w:rFonts w:ascii="Cambria" w:hAnsi="Cambria" w:cstheme="majorHAnsi"/>
          <w:b/>
        </w:rPr>
      </w:pPr>
      <w:bookmarkStart w:id="388" w:name="_Ref393808018"/>
      <w:r w:rsidRPr="009A0DA6">
        <w:rPr>
          <w:rFonts w:ascii="Cambria" w:hAnsi="Cambria" w:cstheme="majorHAnsi"/>
          <w:bCs/>
        </w:rPr>
        <w:tab/>
      </w:r>
      <w:r w:rsidRPr="009A0DA6">
        <w:rPr>
          <w:rFonts w:ascii="Cambria" w:hAnsi="Cambria" w:cstheme="majorHAnsi"/>
          <w:bCs/>
        </w:rPr>
        <w:tab/>
        <w:t>19.2.1.3</w:t>
      </w:r>
      <w:r w:rsidRPr="009A0DA6">
        <w:rPr>
          <w:rFonts w:ascii="Cambria" w:hAnsi="Cambria" w:cstheme="majorHAnsi"/>
          <w:bCs/>
        </w:rPr>
        <w:tab/>
        <w:t>sending it to the email or other electronic address nominated by the Member as an alternative address for service of notices (if any)</w:t>
      </w:r>
      <w:bookmarkEnd w:id="388"/>
      <w:r w:rsidRPr="009A0DA6">
        <w:rPr>
          <w:rFonts w:ascii="Cambria" w:hAnsi="Cambria" w:cstheme="majorHAnsi"/>
          <w:bCs/>
        </w:rPr>
        <w:t>;</w:t>
      </w:r>
    </w:p>
    <w:p w14:paraId="736DB560"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ind w:left="2552" w:hanging="2552"/>
        <w:rPr>
          <w:rFonts w:ascii="Cambria" w:hAnsi="Cambria" w:cstheme="majorHAnsi"/>
          <w:b/>
        </w:rPr>
      </w:pPr>
      <w:bookmarkStart w:id="389" w:name="_Ref393808026"/>
      <w:r w:rsidRPr="009A0DA6">
        <w:rPr>
          <w:rFonts w:ascii="Cambria" w:hAnsi="Cambria" w:cstheme="majorHAnsi"/>
          <w:bCs/>
        </w:rPr>
        <w:tab/>
      </w:r>
      <w:r w:rsidRPr="009A0DA6">
        <w:rPr>
          <w:rFonts w:ascii="Cambria" w:hAnsi="Cambria" w:cstheme="majorHAnsi"/>
          <w:bCs/>
        </w:rPr>
        <w:tab/>
        <w:t>19.2.1.4</w:t>
      </w:r>
      <w:r w:rsidRPr="009A0DA6">
        <w:rPr>
          <w:rFonts w:ascii="Cambria" w:hAnsi="Cambria" w:cstheme="majorHAnsi"/>
          <w:bCs/>
        </w:rPr>
        <w:tab/>
        <w:t>sending it to the fax number nominated by the Member as an alternative address for service of notices (if any)</w:t>
      </w:r>
      <w:bookmarkEnd w:id="389"/>
      <w:r w:rsidRPr="009A0DA6">
        <w:rPr>
          <w:rFonts w:ascii="Cambria" w:hAnsi="Cambria" w:cstheme="majorHAnsi"/>
          <w:bCs/>
        </w:rPr>
        <w:t>;  or</w:t>
      </w:r>
    </w:p>
    <w:p w14:paraId="52D40BA6"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ind w:left="2552" w:hanging="2552"/>
        <w:rPr>
          <w:rFonts w:ascii="Cambria" w:hAnsi="Cambria" w:cstheme="majorHAnsi"/>
        </w:rPr>
      </w:pPr>
      <w:r w:rsidRPr="009A0DA6">
        <w:rPr>
          <w:rFonts w:ascii="Cambria" w:hAnsi="Cambria" w:cstheme="majorHAnsi"/>
        </w:rPr>
        <w:tab/>
      </w:r>
      <w:r w:rsidRPr="009A0DA6">
        <w:rPr>
          <w:rFonts w:ascii="Cambria" w:hAnsi="Cambria" w:cstheme="majorHAnsi"/>
        </w:rPr>
        <w:tab/>
        <w:t>19.2.1.5</w:t>
      </w:r>
      <w:r w:rsidRPr="009A0DA6">
        <w:rPr>
          <w:rFonts w:ascii="Cambria" w:hAnsi="Cambria" w:cstheme="majorHAnsi"/>
        </w:rPr>
        <w:tab/>
        <w:t>if agreed to by the Member, by notifying the Member at an email or other electronic address nominated by the Member, that the notice is available at a specified place or address (including an electronic address).</w:t>
      </w:r>
    </w:p>
    <w:p w14:paraId="2BCFCF2D"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ind w:left="1559" w:hanging="1559"/>
        <w:rPr>
          <w:rFonts w:ascii="Cambria" w:hAnsi="Cambria" w:cstheme="majorHAnsi"/>
          <w:b/>
        </w:rPr>
      </w:pPr>
      <w:r w:rsidRPr="009A0DA6">
        <w:rPr>
          <w:rFonts w:ascii="Cambria" w:hAnsi="Cambria" w:cstheme="majorHAnsi"/>
        </w:rPr>
        <w:lastRenderedPageBreak/>
        <w:tab/>
        <w:t>19.2.2</w:t>
      </w:r>
      <w:r w:rsidRPr="009A0DA6">
        <w:rPr>
          <w:rFonts w:ascii="Cambria" w:hAnsi="Cambria" w:cstheme="majorHAnsi"/>
        </w:rPr>
        <w:tab/>
        <w:t>If the College does not have an address for the Member, the College is not required to give notice in person.</w:t>
      </w:r>
    </w:p>
    <w:p w14:paraId="5E4BAC17"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rPr>
          <w:rFonts w:ascii="Cambria" w:hAnsi="Cambria" w:cstheme="majorHAnsi"/>
        </w:rPr>
      </w:pPr>
      <w:bookmarkStart w:id="390" w:name="_Ref388973791"/>
      <w:r w:rsidRPr="009A0DA6">
        <w:rPr>
          <w:rFonts w:ascii="Cambria" w:hAnsi="Cambria" w:cstheme="majorHAnsi"/>
          <w:bCs/>
        </w:rPr>
        <w:t>19.3</w:t>
      </w:r>
      <w:r w:rsidRPr="009A0DA6">
        <w:rPr>
          <w:rFonts w:ascii="Cambria" w:hAnsi="Cambria" w:cstheme="majorHAnsi"/>
          <w:bCs/>
        </w:rPr>
        <w:tab/>
      </w:r>
      <w:r w:rsidRPr="009A0DA6">
        <w:rPr>
          <w:rFonts w:ascii="Cambria" w:hAnsi="Cambria" w:cstheme="majorHAnsi"/>
          <w:u w:val="single"/>
        </w:rPr>
        <w:t>When notice is taken to be given</w:t>
      </w:r>
      <w:bookmarkEnd w:id="390"/>
    </w:p>
    <w:p w14:paraId="1815D7C8" w14:textId="77777777" w:rsidR="001B46FC" w:rsidRPr="009A0DA6" w:rsidRDefault="001B46FC" w:rsidP="001B46FC">
      <w:pPr>
        <w:tabs>
          <w:tab w:val="left" w:pos="709"/>
          <w:tab w:val="left" w:pos="1559"/>
          <w:tab w:val="left" w:pos="2552"/>
          <w:tab w:val="left" w:pos="3544"/>
          <w:tab w:val="left" w:pos="4820"/>
        </w:tabs>
        <w:spacing w:after="0" w:line="240" w:lineRule="auto"/>
        <w:ind w:left="1559" w:hanging="1559"/>
        <w:rPr>
          <w:rFonts w:ascii="Cambria" w:hAnsi="Cambria" w:cstheme="majorHAnsi"/>
          <w:bCs/>
        </w:rPr>
      </w:pPr>
      <w:r w:rsidRPr="009A0DA6">
        <w:rPr>
          <w:rFonts w:ascii="Cambria" w:hAnsi="Cambria" w:cstheme="majorHAnsi"/>
          <w:bCs/>
        </w:rPr>
        <w:tab/>
        <w:t>19.3.1</w:t>
      </w:r>
      <w:r w:rsidRPr="009A0DA6">
        <w:rPr>
          <w:rFonts w:ascii="Cambria" w:hAnsi="Cambria" w:cstheme="majorHAnsi"/>
          <w:bCs/>
        </w:rPr>
        <w:tab/>
        <w:t>A notice</w:t>
      </w:r>
    </w:p>
    <w:p w14:paraId="1903DCF0"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ind w:left="2552" w:hanging="2552"/>
        <w:rPr>
          <w:rFonts w:ascii="Cambria" w:hAnsi="Cambria" w:cstheme="majorHAnsi"/>
          <w:bCs/>
        </w:rPr>
      </w:pPr>
      <w:r w:rsidRPr="009A0DA6">
        <w:rPr>
          <w:rFonts w:ascii="Cambria" w:hAnsi="Cambria" w:cstheme="majorHAnsi"/>
          <w:bCs/>
        </w:rPr>
        <w:tab/>
      </w:r>
      <w:r w:rsidRPr="009A0DA6">
        <w:rPr>
          <w:rFonts w:ascii="Cambria" w:hAnsi="Cambria" w:cstheme="majorHAnsi"/>
          <w:bCs/>
        </w:rPr>
        <w:tab/>
        <w:t>19.3.1.1</w:t>
      </w:r>
      <w:r w:rsidRPr="009A0DA6">
        <w:rPr>
          <w:rFonts w:ascii="Cambria" w:hAnsi="Cambria" w:cstheme="majorHAnsi"/>
          <w:bCs/>
        </w:rPr>
        <w:tab/>
        <w:t>delivered in person, or left at a the recipient’s address, is taken to be given on the day it is delivered;</w:t>
      </w:r>
    </w:p>
    <w:p w14:paraId="443FAF64"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ind w:left="2552" w:hanging="2552"/>
        <w:rPr>
          <w:rFonts w:ascii="Cambria" w:hAnsi="Cambria" w:cstheme="majorHAnsi"/>
          <w:bCs/>
        </w:rPr>
      </w:pPr>
      <w:r w:rsidRPr="009A0DA6">
        <w:rPr>
          <w:rFonts w:ascii="Cambria" w:hAnsi="Cambria" w:cstheme="majorHAnsi"/>
          <w:bCs/>
        </w:rPr>
        <w:tab/>
      </w:r>
      <w:r w:rsidRPr="009A0DA6">
        <w:rPr>
          <w:rFonts w:ascii="Cambria" w:hAnsi="Cambria" w:cstheme="majorHAnsi"/>
          <w:bCs/>
        </w:rPr>
        <w:tab/>
        <w:t>19.3.1.2</w:t>
      </w:r>
      <w:r w:rsidRPr="009A0DA6">
        <w:rPr>
          <w:rFonts w:ascii="Cambria" w:hAnsi="Cambria" w:cstheme="majorHAnsi"/>
          <w:bCs/>
        </w:rPr>
        <w:tab/>
        <w:t>sent by post, is taken to be given on the fifth day after it is posted with the correct payment of postage costs;</w:t>
      </w:r>
    </w:p>
    <w:p w14:paraId="5A385EC0"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ind w:left="2552" w:hanging="2552"/>
        <w:rPr>
          <w:rFonts w:ascii="Cambria" w:hAnsi="Cambria" w:cstheme="majorHAnsi"/>
          <w:bCs/>
        </w:rPr>
      </w:pPr>
      <w:r w:rsidRPr="009A0DA6">
        <w:rPr>
          <w:rFonts w:ascii="Cambria" w:hAnsi="Cambria" w:cstheme="majorHAnsi"/>
          <w:bCs/>
        </w:rPr>
        <w:tab/>
      </w:r>
      <w:r w:rsidRPr="009A0DA6">
        <w:rPr>
          <w:rFonts w:ascii="Cambria" w:hAnsi="Cambria" w:cstheme="majorHAnsi"/>
          <w:bCs/>
        </w:rPr>
        <w:tab/>
        <w:t>19.3.1.3</w:t>
      </w:r>
      <w:r w:rsidRPr="009A0DA6">
        <w:rPr>
          <w:rFonts w:ascii="Cambria" w:hAnsi="Cambria" w:cstheme="majorHAnsi"/>
          <w:bCs/>
        </w:rPr>
        <w:tab/>
        <w:t>sent by email, fax or other electronic method, is taken to be given on the business day after it is sent;  and</w:t>
      </w:r>
    </w:p>
    <w:p w14:paraId="3F97DA45"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ind w:left="2552" w:hanging="2552"/>
        <w:rPr>
          <w:rFonts w:ascii="Cambria" w:hAnsi="Cambria" w:cstheme="majorHAnsi"/>
          <w:bCs/>
        </w:rPr>
      </w:pPr>
      <w:r w:rsidRPr="009A0DA6">
        <w:rPr>
          <w:rFonts w:ascii="Cambria" w:hAnsi="Cambria" w:cstheme="majorHAnsi"/>
          <w:bCs/>
        </w:rPr>
        <w:tab/>
      </w:r>
      <w:r w:rsidRPr="009A0DA6">
        <w:rPr>
          <w:rFonts w:ascii="Cambria" w:hAnsi="Cambria" w:cstheme="majorHAnsi"/>
          <w:bCs/>
        </w:rPr>
        <w:tab/>
        <w:t>19.3.1.4</w:t>
      </w:r>
      <w:r w:rsidRPr="009A0DA6">
        <w:rPr>
          <w:rFonts w:ascii="Cambria" w:hAnsi="Cambria" w:cstheme="majorHAnsi"/>
          <w:bCs/>
        </w:rPr>
        <w:tab/>
        <w:t>under Clause 19.1 ‘given’ is taken to be on the business day after the notice that was sent is available to the recipient .</w:t>
      </w:r>
    </w:p>
    <w:p w14:paraId="3F9D5FD5" w14:textId="77777777" w:rsidR="001B46FC" w:rsidRPr="009A0DA6" w:rsidRDefault="001B46FC" w:rsidP="001B46FC">
      <w:pPr>
        <w:spacing w:before="120"/>
        <w:rPr>
          <w:rFonts w:ascii="Cambria" w:hAnsi="Cambria"/>
          <w:b/>
        </w:rPr>
      </w:pPr>
      <w:bookmarkStart w:id="391" w:name="_Ref3829170121"/>
      <w:r w:rsidRPr="009A0DA6">
        <w:rPr>
          <w:rFonts w:ascii="Cambria" w:hAnsi="Cambria"/>
          <w:b/>
        </w:rPr>
        <w:t>Article  20</w:t>
      </w:r>
      <w:r w:rsidRPr="009A0DA6">
        <w:rPr>
          <w:rFonts w:ascii="Cambria" w:hAnsi="Cambria"/>
          <w:b/>
        </w:rPr>
        <w:tab/>
      </w:r>
      <w:bookmarkEnd w:id="391"/>
      <w:r w:rsidRPr="009A0DA6">
        <w:rPr>
          <w:rFonts w:ascii="Cambria" w:hAnsi="Cambria"/>
          <w:b/>
        </w:rPr>
        <w:t>College's financial year</w:t>
      </w:r>
    </w:p>
    <w:p w14:paraId="13725542" w14:textId="77777777" w:rsidR="001B46FC" w:rsidRPr="009A0DA6" w:rsidRDefault="001B46FC" w:rsidP="001B46FC">
      <w:pPr>
        <w:tabs>
          <w:tab w:val="left" w:pos="709"/>
          <w:tab w:val="left" w:pos="1559"/>
          <w:tab w:val="left" w:pos="2552"/>
          <w:tab w:val="left" w:pos="3544"/>
          <w:tab w:val="left" w:pos="4820"/>
        </w:tabs>
        <w:spacing w:before="80" w:after="0" w:line="240" w:lineRule="auto"/>
        <w:ind w:left="709" w:hanging="709"/>
        <w:rPr>
          <w:rFonts w:ascii="Cambria" w:hAnsi="Cambria" w:cstheme="majorHAnsi"/>
          <w:b/>
        </w:rPr>
      </w:pPr>
      <w:r w:rsidRPr="009A0DA6">
        <w:rPr>
          <w:rFonts w:ascii="Cambria" w:hAnsi="Cambria" w:cstheme="majorHAnsi"/>
        </w:rPr>
        <w:t>20.1</w:t>
      </w:r>
      <w:r w:rsidRPr="009A0DA6">
        <w:rPr>
          <w:rFonts w:ascii="Cambria" w:hAnsi="Cambria" w:cstheme="majorHAnsi"/>
        </w:rPr>
        <w:tab/>
        <w:t>The College's financial year is from I Jan to 31 Dec, unless the Directors pass a resolution to change the financial year.</w:t>
      </w:r>
    </w:p>
    <w:p w14:paraId="243D8784" w14:textId="77777777" w:rsidR="001B46FC" w:rsidRPr="009A0DA6" w:rsidRDefault="001B46FC" w:rsidP="001B46FC">
      <w:pPr>
        <w:spacing w:before="120"/>
        <w:rPr>
          <w:rFonts w:ascii="Cambria" w:hAnsi="Cambria"/>
          <w:b/>
        </w:rPr>
      </w:pPr>
      <w:bookmarkStart w:id="392" w:name="_Ref393810684"/>
      <w:r w:rsidRPr="009A0DA6">
        <w:rPr>
          <w:rFonts w:ascii="Cambria" w:hAnsi="Cambria"/>
          <w:b/>
        </w:rPr>
        <w:t>Article  21</w:t>
      </w:r>
      <w:r w:rsidRPr="009A0DA6">
        <w:rPr>
          <w:rFonts w:ascii="Cambria" w:hAnsi="Cambria"/>
          <w:b/>
        </w:rPr>
        <w:tab/>
        <w:t>Indemnity</w:t>
      </w:r>
      <w:bookmarkEnd w:id="392"/>
    </w:p>
    <w:p w14:paraId="678491D1" w14:textId="77777777" w:rsidR="001B46FC" w:rsidRPr="009A0DA6" w:rsidRDefault="001B46FC" w:rsidP="001B46FC">
      <w:pPr>
        <w:pStyle w:val="Heading2"/>
        <w:numPr>
          <w:ilvl w:val="1"/>
          <w:numId w:val="0"/>
        </w:numPr>
        <w:pBdr>
          <w:bottom w:val="none" w:sz="0" w:space="0" w:color="auto"/>
        </w:pBdr>
        <w:tabs>
          <w:tab w:val="left" w:pos="709"/>
          <w:tab w:val="left" w:pos="1559"/>
          <w:tab w:val="left" w:pos="2552"/>
          <w:tab w:val="left" w:pos="3544"/>
          <w:tab w:val="left" w:pos="4820"/>
        </w:tabs>
        <w:spacing w:line="260" w:lineRule="atLeast"/>
        <w:ind w:left="709" w:hanging="709"/>
        <w:rPr>
          <w:rFonts w:cstheme="majorHAnsi"/>
          <w:b w:val="0"/>
          <w:sz w:val="22"/>
          <w:szCs w:val="22"/>
        </w:rPr>
      </w:pPr>
      <w:bookmarkStart w:id="393" w:name="_Toc521575167"/>
      <w:bookmarkStart w:id="394" w:name="_Toc521692717"/>
      <w:bookmarkStart w:id="395" w:name="_Toc521954672"/>
      <w:bookmarkStart w:id="396" w:name="_Toc522395037"/>
      <w:r w:rsidRPr="009A0DA6">
        <w:rPr>
          <w:rFonts w:cstheme="majorHAnsi"/>
          <w:b w:val="0"/>
          <w:sz w:val="22"/>
          <w:szCs w:val="22"/>
        </w:rPr>
        <w:t>21.1</w:t>
      </w:r>
      <w:r w:rsidRPr="009A0DA6">
        <w:rPr>
          <w:rFonts w:cstheme="majorHAnsi"/>
          <w:b w:val="0"/>
          <w:sz w:val="22"/>
          <w:szCs w:val="22"/>
        </w:rPr>
        <w:tab/>
        <w:t>To the extent permitted by the Act, the Company</w:t>
      </w:r>
      <w:bookmarkEnd w:id="393"/>
      <w:bookmarkEnd w:id="394"/>
      <w:bookmarkEnd w:id="395"/>
      <w:bookmarkEnd w:id="396"/>
    </w:p>
    <w:p w14:paraId="63DAE7F9" w14:textId="77777777" w:rsidR="001B46FC" w:rsidRPr="009A0DA6" w:rsidRDefault="001B46FC" w:rsidP="001B46FC">
      <w:pPr>
        <w:pStyle w:val="ACNCproformalist"/>
        <w:numPr>
          <w:ilvl w:val="0"/>
          <w:numId w:val="0"/>
        </w:numPr>
        <w:tabs>
          <w:tab w:val="left" w:pos="709"/>
          <w:tab w:val="left" w:pos="1559"/>
          <w:tab w:val="left" w:pos="2552"/>
          <w:tab w:val="left" w:pos="3544"/>
          <w:tab w:val="left" w:pos="4820"/>
        </w:tabs>
        <w:spacing w:before="0"/>
        <w:ind w:left="1559" w:hanging="1559"/>
        <w:rPr>
          <w:rFonts w:ascii="Cambria" w:hAnsi="Cambria" w:cstheme="majorHAnsi"/>
        </w:rPr>
      </w:pPr>
      <w:r w:rsidRPr="009A0DA6">
        <w:rPr>
          <w:rFonts w:ascii="Cambria" w:hAnsi="Cambria" w:cstheme="majorHAnsi"/>
        </w:rPr>
        <w:tab/>
        <w:t>21.1.1</w:t>
      </w:r>
      <w:r w:rsidRPr="009A0DA6">
        <w:rPr>
          <w:rFonts w:ascii="Cambria" w:hAnsi="Cambria" w:cstheme="majorHAnsi"/>
        </w:rPr>
        <w:tab/>
        <w:t xml:space="preserve">must </w:t>
      </w:r>
      <w:r w:rsidRPr="009A0DA6">
        <w:rPr>
          <w:rFonts w:ascii="Cambria" w:hAnsi="Cambria" w:cstheme="majorHAnsi"/>
          <w:bCs/>
        </w:rPr>
        <w:t>indemnify</w:t>
      </w:r>
      <w:r w:rsidRPr="009A0DA6">
        <w:rPr>
          <w:rFonts w:ascii="Cambria" w:hAnsi="Cambria" w:cstheme="majorHAnsi"/>
        </w:rPr>
        <w:t xml:space="preserve"> each person who is or has been an Officer of the Company against any liability incurred by the person as an Officer of the Company;  and</w:t>
      </w:r>
    </w:p>
    <w:p w14:paraId="60022E9F" w14:textId="64587C5F" w:rsidR="001B46FC" w:rsidRPr="009A0DA6" w:rsidRDefault="001B46FC" w:rsidP="001B46FC">
      <w:pPr>
        <w:pStyle w:val="NoSpacing"/>
        <w:ind w:left="1440" w:hanging="720"/>
        <w:rPr>
          <w:b/>
        </w:rPr>
      </w:pPr>
      <w:r w:rsidRPr="009A0DA6">
        <w:t>21.1.2</w:t>
      </w:r>
      <w:r w:rsidRPr="009A0DA6">
        <w:tab/>
        <w:t>may pay a premium for a contract insuring an Officer of the Company against that liability.</w:t>
      </w:r>
    </w:p>
    <w:p w14:paraId="4EC36A92" w14:textId="31A828DF" w:rsidR="001B46FC" w:rsidRPr="009A0DA6" w:rsidRDefault="001B46FC" w:rsidP="001B46FC">
      <w:pPr>
        <w:pStyle w:val="NoSpacing"/>
        <w:ind w:left="1440" w:hanging="720"/>
        <w:rPr>
          <w:b/>
        </w:rPr>
      </w:pPr>
      <w:r w:rsidRPr="009A0DA6">
        <w:t>21.2</w:t>
      </w:r>
      <w:r w:rsidRPr="009A0DA6">
        <w:tab/>
        <w:t>Subject to the Act, the Company may enter into an agreement or deed with an Officer of the Company under which the Company must do all or any of the following:</w:t>
      </w:r>
    </w:p>
    <w:p w14:paraId="39DC3097" w14:textId="1B34BD1E" w:rsidR="001B46FC" w:rsidRPr="009A0DA6" w:rsidRDefault="001B46FC" w:rsidP="001B46FC">
      <w:pPr>
        <w:pStyle w:val="NoSpacing"/>
        <w:ind w:left="1440" w:hanging="720"/>
        <w:rPr>
          <w:b/>
        </w:rPr>
      </w:pPr>
      <w:r w:rsidRPr="009A0DA6">
        <w:t>21.2.1</w:t>
      </w:r>
      <w:r w:rsidRPr="009A0DA6">
        <w:tab/>
        <w:t>keep a set of the Company’s books (including minute books) and allow the Officer and the Officer’s advisers access to the books for any period agreed;</w:t>
      </w:r>
    </w:p>
    <w:p w14:paraId="4F40EA9E" w14:textId="5147F406" w:rsidR="001B46FC" w:rsidRPr="009A0DA6" w:rsidRDefault="001B46FC" w:rsidP="001B46FC">
      <w:pPr>
        <w:pStyle w:val="NoSpacing"/>
        <w:ind w:left="1440" w:hanging="720"/>
        <w:rPr>
          <w:b/>
        </w:rPr>
      </w:pPr>
      <w:r w:rsidRPr="009A0DA6">
        <w:t>21.2.2</w:t>
      </w:r>
      <w:r w:rsidRPr="009A0DA6">
        <w:tab/>
        <w:t>indemnify the Officer against any liability incurred by the Officer as an Officer;  and</w:t>
      </w:r>
    </w:p>
    <w:p w14:paraId="0875A078" w14:textId="506978FF" w:rsidR="001B46FC" w:rsidRPr="009A0DA6" w:rsidRDefault="001B46FC" w:rsidP="001B46FC">
      <w:pPr>
        <w:pStyle w:val="NoSpacing"/>
        <w:ind w:left="1440" w:hanging="720"/>
        <w:rPr>
          <w:b/>
        </w:rPr>
      </w:pPr>
      <w:r w:rsidRPr="009A0DA6">
        <w:t>21.2.3</w:t>
      </w:r>
      <w:r w:rsidRPr="009A0DA6">
        <w:tab/>
        <w:t>keep the Officer insured for any period agreed in respect of any act or omission by the Officer while an Officer.</w:t>
      </w:r>
    </w:p>
    <w:p w14:paraId="2399D2BE" w14:textId="77777777" w:rsidR="001B46FC" w:rsidRPr="009A0DA6" w:rsidRDefault="001B46FC" w:rsidP="001B46FC">
      <w:pPr>
        <w:pStyle w:val="Heading2"/>
        <w:numPr>
          <w:ilvl w:val="1"/>
          <w:numId w:val="0"/>
        </w:numPr>
        <w:pBdr>
          <w:bottom w:val="none" w:sz="0" w:space="0" w:color="auto"/>
        </w:pBdr>
        <w:tabs>
          <w:tab w:val="left" w:pos="709"/>
          <w:tab w:val="left" w:pos="1559"/>
          <w:tab w:val="left" w:pos="2552"/>
          <w:tab w:val="left" w:pos="3544"/>
          <w:tab w:val="left" w:pos="4820"/>
        </w:tabs>
        <w:spacing w:line="260" w:lineRule="atLeast"/>
        <w:ind w:left="709" w:hanging="709"/>
        <w:rPr>
          <w:rFonts w:cstheme="majorHAnsi"/>
          <w:b w:val="0"/>
          <w:sz w:val="22"/>
          <w:szCs w:val="22"/>
        </w:rPr>
      </w:pPr>
      <w:bookmarkStart w:id="397" w:name="_Toc521575168"/>
      <w:bookmarkStart w:id="398" w:name="_Toc521692718"/>
      <w:bookmarkStart w:id="399" w:name="_Toc521954673"/>
      <w:bookmarkStart w:id="400" w:name="_Toc522395038"/>
      <w:r w:rsidRPr="009A0DA6">
        <w:rPr>
          <w:rFonts w:cstheme="majorHAnsi"/>
          <w:b w:val="0"/>
          <w:sz w:val="22"/>
          <w:szCs w:val="22"/>
        </w:rPr>
        <w:t>21.3</w:t>
      </w:r>
      <w:r w:rsidRPr="009A0DA6">
        <w:rPr>
          <w:rFonts w:cstheme="majorHAnsi"/>
          <w:b w:val="0"/>
          <w:sz w:val="22"/>
          <w:szCs w:val="22"/>
        </w:rPr>
        <w:tab/>
        <w:t>In this Clause, Officer has the meaning given to it in respect of a corporation in the Act.</w:t>
      </w:r>
      <w:bookmarkStart w:id="401" w:name="_Ref398534238"/>
      <w:bookmarkEnd w:id="397"/>
      <w:bookmarkEnd w:id="398"/>
      <w:bookmarkEnd w:id="399"/>
      <w:bookmarkEnd w:id="400"/>
    </w:p>
    <w:p w14:paraId="5F3690DF" w14:textId="77777777" w:rsidR="001B46FC" w:rsidRPr="009A0DA6" w:rsidRDefault="001B46FC" w:rsidP="001B46FC">
      <w:pPr>
        <w:pStyle w:val="Heading2"/>
        <w:numPr>
          <w:ilvl w:val="1"/>
          <w:numId w:val="0"/>
        </w:numPr>
        <w:pBdr>
          <w:bottom w:val="none" w:sz="0" w:space="0" w:color="auto"/>
        </w:pBdr>
        <w:tabs>
          <w:tab w:val="left" w:pos="709"/>
          <w:tab w:val="left" w:pos="1559"/>
          <w:tab w:val="left" w:pos="2552"/>
          <w:tab w:val="left" w:pos="3544"/>
          <w:tab w:val="left" w:pos="4820"/>
        </w:tabs>
        <w:suppressAutoHyphens/>
        <w:spacing w:before="120" w:after="200" w:line="276" w:lineRule="auto"/>
        <w:rPr>
          <w:rFonts w:cstheme="majorHAnsi"/>
          <w:b w:val="0"/>
          <w:sz w:val="22"/>
          <w:szCs w:val="22"/>
        </w:rPr>
      </w:pPr>
      <w:bookmarkStart w:id="402" w:name="_Toc521575169"/>
      <w:bookmarkStart w:id="403" w:name="_Toc521692719"/>
      <w:bookmarkStart w:id="404" w:name="_Toc521954674"/>
      <w:bookmarkStart w:id="405" w:name="_Toc522395039"/>
      <w:r w:rsidRPr="009A0DA6">
        <w:rPr>
          <w:rFonts w:cstheme="majorHAnsi"/>
          <w:sz w:val="22"/>
          <w:szCs w:val="22"/>
        </w:rPr>
        <w:t>Article  22</w:t>
      </w:r>
      <w:r w:rsidRPr="009A0DA6">
        <w:rPr>
          <w:rFonts w:cstheme="majorHAnsi"/>
          <w:sz w:val="22"/>
          <w:szCs w:val="22"/>
        </w:rPr>
        <w:tab/>
        <w:t>Insurance</w:t>
      </w:r>
      <w:bookmarkEnd w:id="401"/>
      <w:bookmarkEnd w:id="402"/>
      <w:bookmarkEnd w:id="403"/>
      <w:bookmarkEnd w:id="404"/>
      <w:bookmarkEnd w:id="405"/>
    </w:p>
    <w:p w14:paraId="4B60B0A6" w14:textId="77777777" w:rsidR="001B46FC" w:rsidRPr="009A0DA6" w:rsidRDefault="001B46FC" w:rsidP="001B46FC">
      <w:pPr>
        <w:tabs>
          <w:tab w:val="left" w:pos="709"/>
          <w:tab w:val="left" w:pos="1559"/>
          <w:tab w:val="left" w:pos="2552"/>
          <w:tab w:val="left" w:pos="3544"/>
          <w:tab w:val="left" w:pos="4820"/>
        </w:tabs>
        <w:spacing w:before="80" w:after="0" w:line="240" w:lineRule="auto"/>
        <w:ind w:left="709" w:hanging="709"/>
        <w:rPr>
          <w:rFonts w:ascii="Cambria" w:hAnsi="Cambria" w:cstheme="majorHAnsi"/>
        </w:rPr>
      </w:pPr>
      <w:r w:rsidRPr="009A0DA6">
        <w:rPr>
          <w:rFonts w:ascii="Cambria" w:hAnsi="Cambria" w:cstheme="majorHAnsi"/>
        </w:rPr>
        <w:t>22.1</w:t>
      </w:r>
      <w:r w:rsidRPr="009A0DA6">
        <w:rPr>
          <w:rFonts w:ascii="Cambria" w:hAnsi="Cambria" w:cstheme="majorHAnsi"/>
        </w:rPr>
        <w:tab/>
        <w:t xml:space="preserve">To the extent permitted by law, and if the Directors consider it appropriate, the College may pay or agree to pay a premium for a contract insuring a person who is or has been an officer of the College against any liability incurred by the person as an officer of the College. </w:t>
      </w:r>
      <w:bookmarkStart w:id="406" w:name="_Toc134323241"/>
      <w:bookmarkStart w:id="407" w:name="_Toc390209842"/>
      <w:bookmarkStart w:id="408" w:name="_Ref363046814"/>
    </w:p>
    <w:p w14:paraId="5765B0E3" w14:textId="77777777" w:rsidR="001B46FC" w:rsidRPr="009A0DA6" w:rsidRDefault="001B46FC" w:rsidP="001B46FC">
      <w:pPr>
        <w:tabs>
          <w:tab w:val="left" w:pos="709"/>
          <w:tab w:val="left" w:pos="1559"/>
          <w:tab w:val="left" w:pos="2552"/>
          <w:tab w:val="left" w:pos="3544"/>
          <w:tab w:val="left" w:pos="4820"/>
        </w:tabs>
        <w:spacing w:before="120" w:after="200" w:line="276" w:lineRule="auto"/>
        <w:rPr>
          <w:rFonts w:ascii="Cambria" w:hAnsi="Cambria" w:cstheme="majorHAnsi"/>
          <w:b/>
        </w:rPr>
      </w:pPr>
      <w:r w:rsidRPr="009A0DA6">
        <w:rPr>
          <w:rFonts w:ascii="Cambria" w:hAnsi="Cambria" w:cstheme="majorHAnsi"/>
          <w:b/>
        </w:rPr>
        <w:t>Article 23</w:t>
      </w:r>
      <w:r w:rsidRPr="009A0DA6">
        <w:rPr>
          <w:rFonts w:ascii="Cambria" w:hAnsi="Cambria" w:cstheme="majorHAnsi"/>
          <w:b/>
        </w:rPr>
        <w:tab/>
      </w:r>
      <w:bookmarkEnd w:id="406"/>
      <w:bookmarkEnd w:id="407"/>
      <w:r w:rsidRPr="009A0DA6">
        <w:rPr>
          <w:rFonts w:ascii="Cambria" w:hAnsi="Cambria" w:cstheme="majorHAnsi"/>
          <w:b/>
        </w:rPr>
        <w:t xml:space="preserve">Gift Fund and Foundation </w:t>
      </w:r>
    </w:p>
    <w:p w14:paraId="733FD379" w14:textId="77777777" w:rsidR="001B46FC" w:rsidRPr="009A0DA6" w:rsidRDefault="001B46FC" w:rsidP="001B46FC">
      <w:pPr>
        <w:tabs>
          <w:tab w:val="left" w:pos="709"/>
          <w:tab w:val="left" w:pos="1559"/>
          <w:tab w:val="left" w:pos="2552"/>
          <w:tab w:val="left" w:pos="3544"/>
          <w:tab w:val="left" w:pos="4820"/>
        </w:tabs>
        <w:spacing w:after="0" w:line="240" w:lineRule="auto"/>
        <w:rPr>
          <w:rFonts w:ascii="Cambria" w:hAnsi="Cambria" w:cstheme="majorHAnsi"/>
        </w:rPr>
      </w:pPr>
      <w:r w:rsidRPr="009A0DA6">
        <w:rPr>
          <w:rFonts w:ascii="Cambria" w:hAnsi="Cambria" w:cstheme="majorHAnsi"/>
        </w:rPr>
        <w:t xml:space="preserve">23.1 </w:t>
      </w:r>
      <w:r w:rsidRPr="009A0DA6">
        <w:rPr>
          <w:rFonts w:ascii="Cambria" w:hAnsi="Cambria" w:cstheme="majorHAnsi"/>
        </w:rPr>
        <w:tab/>
      </w:r>
      <w:r w:rsidRPr="009A0DA6">
        <w:rPr>
          <w:rFonts w:ascii="Cambria" w:hAnsi="Cambria" w:cstheme="majorHAnsi"/>
          <w:u w:val="single"/>
        </w:rPr>
        <w:t>Gift Fund</w:t>
      </w:r>
    </w:p>
    <w:p w14:paraId="72A0AF15" w14:textId="77777777" w:rsidR="001B46FC" w:rsidRPr="009A0DA6" w:rsidRDefault="001B46FC" w:rsidP="001B46FC">
      <w:pPr>
        <w:tabs>
          <w:tab w:val="left" w:pos="709"/>
          <w:tab w:val="left" w:pos="1559"/>
          <w:tab w:val="left" w:pos="2552"/>
          <w:tab w:val="left" w:pos="3544"/>
          <w:tab w:val="left" w:pos="4820"/>
        </w:tabs>
        <w:spacing w:after="0" w:line="240" w:lineRule="auto"/>
        <w:ind w:left="1559" w:hanging="1559"/>
        <w:rPr>
          <w:rFonts w:ascii="Cambria" w:hAnsi="Cambria" w:cstheme="majorHAnsi"/>
        </w:rPr>
      </w:pPr>
      <w:r w:rsidRPr="009A0DA6">
        <w:rPr>
          <w:rFonts w:ascii="Cambria" w:hAnsi="Cambria" w:cstheme="majorHAnsi"/>
        </w:rPr>
        <w:tab/>
        <w:t>23.1.1</w:t>
      </w:r>
      <w:r w:rsidRPr="009A0DA6">
        <w:rPr>
          <w:rFonts w:ascii="Cambria" w:hAnsi="Cambria" w:cstheme="majorHAnsi"/>
        </w:rPr>
        <w:tab/>
        <w:t>The Company may maintain for the objects of the Company a Gift Fund as prescribed in TR 2000/12 and Section 30.125 of the ITAA97 in which it may deposit any</w:t>
      </w:r>
    </w:p>
    <w:p w14:paraId="1969A8A6" w14:textId="77777777" w:rsidR="001B46FC" w:rsidRPr="009A0DA6" w:rsidRDefault="001B46FC" w:rsidP="001B46FC">
      <w:pPr>
        <w:pStyle w:val="Number3"/>
        <w:tabs>
          <w:tab w:val="clear" w:pos="3829"/>
          <w:tab w:val="left" w:pos="709"/>
          <w:tab w:val="left" w:pos="1559"/>
          <w:tab w:val="left" w:pos="2552"/>
          <w:tab w:val="left" w:pos="3544"/>
          <w:tab w:val="left" w:pos="4820"/>
        </w:tabs>
        <w:spacing w:after="0"/>
        <w:ind w:left="2552" w:hanging="2552"/>
        <w:jc w:val="left"/>
        <w:rPr>
          <w:rFonts w:ascii="Cambria" w:hAnsi="Cambria" w:cstheme="majorHAnsi"/>
          <w:sz w:val="22"/>
          <w:szCs w:val="22"/>
        </w:rPr>
      </w:pPr>
      <w:r w:rsidRPr="009A0DA6">
        <w:rPr>
          <w:rFonts w:ascii="Cambria" w:hAnsi="Cambria" w:cstheme="majorHAnsi"/>
          <w:sz w:val="22"/>
          <w:szCs w:val="22"/>
        </w:rPr>
        <w:tab/>
      </w:r>
      <w:r w:rsidRPr="009A0DA6">
        <w:rPr>
          <w:rFonts w:ascii="Cambria" w:hAnsi="Cambria" w:cstheme="majorHAnsi"/>
          <w:sz w:val="22"/>
          <w:szCs w:val="22"/>
        </w:rPr>
        <w:tab/>
        <w:t>23.1.1.1</w:t>
      </w:r>
      <w:r w:rsidRPr="009A0DA6">
        <w:rPr>
          <w:rFonts w:ascii="Cambria" w:hAnsi="Cambria" w:cstheme="majorHAnsi"/>
          <w:sz w:val="22"/>
          <w:szCs w:val="22"/>
        </w:rPr>
        <w:tab/>
        <w:t>money, investments and assets paid or transferred to and accepted by the Company as additions to the Gift Fund;</w:t>
      </w:r>
    </w:p>
    <w:p w14:paraId="0577B110" w14:textId="77777777" w:rsidR="001B46FC" w:rsidRPr="009A0DA6" w:rsidRDefault="001B46FC" w:rsidP="001B46FC">
      <w:pPr>
        <w:pStyle w:val="Number3"/>
        <w:tabs>
          <w:tab w:val="clear" w:pos="3829"/>
          <w:tab w:val="left" w:pos="709"/>
          <w:tab w:val="left" w:pos="1559"/>
          <w:tab w:val="left" w:pos="2552"/>
          <w:tab w:val="left" w:pos="3544"/>
          <w:tab w:val="left" w:pos="4820"/>
        </w:tabs>
        <w:spacing w:after="0"/>
        <w:ind w:left="2552" w:hanging="2552"/>
        <w:jc w:val="left"/>
        <w:rPr>
          <w:rFonts w:ascii="Cambria" w:hAnsi="Cambria" w:cstheme="majorHAnsi"/>
          <w:sz w:val="22"/>
          <w:szCs w:val="22"/>
        </w:rPr>
      </w:pPr>
      <w:r w:rsidRPr="009A0DA6">
        <w:rPr>
          <w:rFonts w:ascii="Cambria" w:hAnsi="Cambria" w:cstheme="majorHAnsi"/>
          <w:sz w:val="22"/>
          <w:szCs w:val="22"/>
        </w:rPr>
        <w:tab/>
      </w:r>
      <w:r w:rsidRPr="009A0DA6">
        <w:rPr>
          <w:rFonts w:ascii="Cambria" w:hAnsi="Cambria" w:cstheme="majorHAnsi"/>
          <w:sz w:val="22"/>
          <w:szCs w:val="22"/>
        </w:rPr>
        <w:tab/>
        <w:t>23.1.1.2</w:t>
      </w:r>
      <w:r w:rsidRPr="009A0DA6">
        <w:rPr>
          <w:rFonts w:ascii="Cambria" w:hAnsi="Cambria" w:cstheme="majorHAnsi"/>
          <w:sz w:val="22"/>
          <w:szCs w:val="22"/>
        </w:rPr>
        <w:tab/>
        <w:t>accretions to the Gift Fund;</w:t>
      </w:r>
    </w:p>
    <w:p w14:paraId="5BD07499" w14:textId="77777777" w:rsidR="001B46FC" w:rsidRPr="009A0DA6" w:rsidRDefault="001B46FC" w:rsidP="001B46FC">
      <w:pPr>
        <w:pStyle w:val="Number3"/>
        <w:tabs>
          <w:tab w:val="clear" w:pos="3829"/>
          <w:tab w:val="left" w:pos="709"/>
          <w:tab w:val="left" w:pos="1559"/>
          <w:tab w:val="left" w:pos="2552"/>
          <w:tab w:val="left" w:pos="3544"/>
          <w:tab w:val="left" w:pos="4820"/>
        </w:tabs>
        <w:spacing w:after="0"/>
        <w:ind w:left="2552" w:hanging="2552"/>
        <w:jc w:val="left"/>
        <w:rPr>
          <w:rFonts w:ascii="Cambria" w:hAnsi="Cambria" w:cstheme="majorHAnsi"/>
          <w:sz w:val="22"/>
          <w:szCs w:val="22"/>
        </w:rPr>
      </w:pPr>
      <w:r w:rsidRPr="009A0DA6">
        <w:rPr>
          <w:rFonts w:ascii="Cambria" w:hAnsi="Cambria" w:cstheme="majorHAnsi"/>
          <w:sz w:val="22"/>
          <w:szCs w:val="22"/>
        </w:rPr>
        <w:tab/>
      </w:r>
      <w:r w:rsidRPr="009A0DA6">
        <w:rPr>
          <w:rFonts w:ascii="Cambria" w:hAnsi="Cambria" w:cstheme="majorHAnsi"/>
          <w:sz w:val="22"/>
          <w:szCs w:val="22"/>
        </w:rPr>
        <w:tab/>
        <w:t>23.1.1.3</w:t>
      </w:r>
      <w:r w:rsidRPr="009A0DA6">
        <w:rPr>
          <w:rFonts w:ascii="Cambria" w:hAnsi="Cambria" w:cstheme="majorHAnsi"/>
          <w:sz w:val="22"/>
          <w:szCs w:val="22"/>
        </w:rPr>
        <w:tab/>
        <w:t>accumulations of income;  and</w:t>
      </w:r>
    </w:p>
    <w:p w14:paraId="6715FDDA" w14:textId="77777777" w:rsidR="001B46FC" w:rsidRPr="009A0DA6" w:rsidRDefault="001B46FC" w:rsidP="001B46FC">
      <w:pPr>
        <w:pStyle w:val="Number3"/>
        <w:tabs>
          <w:tab w:val="clear" w:pos="3829"/>
          <w:tab w:val="left" w:pos="709"/>
          <w:tab w:val="left" w:pos="1559"/>
          <w:tab w:val="left" w:pos="2552"/>
          <w:tab w:val="left" w:pos="3544"/>
          <w:tab w:val="left" w:pos="4820"/>
        </w:tabs>
        <w:spacing w:after="0"/>
        <w:ind w:left="2552" w:hanging="2552"/>
        <w:jc w:val="left"/>
        <w:rPr>
          <w:rFonts w:ascii="Cambria" w:hAnsi="Cambria" w:cstheme="majorHAnsi"/>
          <w:sz w:val="22"/>
          <w:szCs w:val="22"/>
        </w:rPr>
      </w:pPr>
      <w:r w:rsidRPr="009A0DA6">
        <w:rPr>
          <w:rFonts w:ascii="Cambria" w:hAnsi="Cambria" w:cstheme="majorHAnsi"/>
          <w:sz w:val="22"/>
          <w:szCs w:val="22"/>
        </w:rPr>
        <w:tab/>
      </w:r>
      <w:r w:rsidRPr="009A0DA6">
        <w:rPr>
          <w:rFonts w:ascii="Cambria" w:hAnsi="Cambria" w:cstheme="majorHAnsi"/>
          <w:sz w:val="22"/>
          <w:szCs w:val="22"/>
        </w:rPr>
        <w:tab/>
        <w:t>23.1.1.3</w:t>
      </w:r>
      <w:r w:rsidRPr="009A0DA6">
        <w:rPr>
          <w:rFonts w:ascii="Cambria" w:hAnsi="Cambria" w:cstheme="majorHAnsi"/>
          <w:sz w:val="22"/>
          <w:szCs w:val="22"/>
        </w:rPr>
        <w:tab/>
        <w:t>money, investments and property from time to time representing the above or into which they are converted, and includes any part of the Gift Fund.</w:t>
      </w:r>
    </w:p>
    <w:p w14:paraId="51B88017" w14:textId="77777777" w:rsidR="001B46FC" w:rsidRPr="009A0DA6" w:rsidRDefault="001B46FC" w:rsidP="001B46FC">
      <w:pPr>
        <w:pStyle w:val="Number2"/>
        <w:tabs>
          <w:tab w:val="left" w:pos="709"/>
          <w:tab w:val="left" w:pos="1559"/>
          <w:tab w:val="left" w:pos="2552"/>
          <w:tab w:val="left" w:pos="3544"/>
          <w:tab w:val="left" w:pos="4820"/>
        </w:tabs>
        <w:spacing w:after="0"/>
        <w:ind w:hanging="1559"/>
        <w:jc w:val="left"/>
        <w:rPr>
          <w:rFonts w:ascii="Cambria" w:hAnsi="Cambria" w:cstheme="majorHAnsi"/>
          <w:sz w:val="22"/>
          <w:szCs w:val="22"/>
        </w:rPr>
      </w:pPr>
      <w:r w:rsidRPr="009A0DA6">
        <w:rPr>
          <w:rFonts w:ascii="Cambria" w:hAnsi="Cambria" w:cstheme="majorHAnsi"/>
          <w:sz w:val="22"/>
          <w:szCs w:val="22"/>
        </w:rPr>
        <w:lastRenderedPageBreak/>
        <w:tab/>
      </w:r>
      <w:bookmarkStart w:id="409" w:name="_Toc521575170"/>
      <w:bookmarkStart w:id="410" w:name="_Toc521692720"/>
      <w:bookmarkStart w:id="411" w:name="_Toc521954675"/>
      <w:bookmarkStart w:id="412" w:name="_Toc522395040"/>
      <w:r w:rsidRPr="009A0DA6">
        <w:rPr>
          <w:rFonts w:ascii="Cambria" w:hAnsi="Cambria" w:cstheme="majorHAnsi"/>
          <w:sz w:val="22"/>
          <w:szCs w:val="22"/>
        </w:rPr>
        <w:t>23.1.2</w:t>
      </w:r>
      <w:r w:rsidRPr="009A0DA6">
        <w:rPr>
          <w:rFonts w:ascii="Cambria" w:hAnsi="Cambria" w:cstheme="majorHAnsi"/>
          <w:sz w:val="22"/>
          <w:szCs w:val="22"/>
        </w:rPr>
        <w:tab/>
        <w:t>The Company must use the property described in Clause 23.1.1.1 above only for the objects of the Company as described in Article 5 of this Constitution.</w:t>
      </w:r>
      <w:bookmarkEnd w:id="409"/>
      <w:bookmarkEnd w:id="410"/>
      <w:bookmarkEnd w:id="411"/>
      <w:bookmarkEnd w:id="412"/>
    </w:p>
    <w:p w14:paraId="2E16E1C6" w14:textId="77777777" w:rsidR="001B46FC" w:rsidRPr="009A0DA6" w:rsidRDefault="001B46FC" w:rsidP="001B46FC">
      <w:pPr>
        <w:spacing w:after="0" w:line="240" w:lineRule="auto"/>
        <w:rPr>
          <w:rFonts w:ascii="Cambria" w:hAnsi="Cambria"/>
        </w:rPr>
      </w:pPr>
      <w:r w:rsidRPr="009A0DA6">
        <w:rPr>
          <w:rFonts w:ascii="Cambria" w:hAnsi="Cambria"/>
        </w:rPr>
        <w:t xml:space="preserve">23.2  </w:t>
      </w:r>
      <w:r w:rsidRPr="009A0DA6">
        <w:rPr>
          <w:rFonts w:ascii="Cambria" w:hAnsi="Cambria"/>
        </w:rPr>
        <w:tab/>
        <w:t xml:space="preserve">Foundation </w:t>
      </w:r>
    </w:p>
    <w:p w14:paraId="3EE04697" w14:textId="77777777" w:rsidR="001B46FC" w:rsidRPr="009A0DA6" w:rsidRDefault="001B46FC" w:rsidP="001B46FC">
      <w:pPr>
        <w:spacing w:after="0" w:line="240" w:lineRule="auto"/>
        <w:rPr>
          <w:rFonts w:ascii="Cambria" w:hAnsi="Cambria"/>
        </w:rPr>
      </w:pPr>
      <w:r w:rsidRPr="009A0DA6">
        <w:rPr>
          <w:rFonts w:ascii="Cambria" w:hAnsi="Cambria"/>
        </w:rPr>
        <w:tab/>
        <w:t>23.2.1</w:t>
      </w:r>
      <w:r w:rsidRPr="009A0DA6">
        <w:rPr>
          <w:rFonts w:ascii="Cambria" w:hAnsi="Cambria"/>
        </w:rPr>
        <w:tab/>
        <w:t>The Company may maintain for the objects of the Company a Foundation.</w:t>
      </w:r>
    </w:p>
    <w:p w14:paraId="3D00EAA5" w14:textId="56B42BCB" w:rsidR="001B46FC" w:rsidRPr="009A0DA6" w:rsidRDefault="001B46FC" w:rsidP="001B46FC">
      <w:pPr>
        <w:spacing w:after="0" w:line="240" w:lineRule="auto"/>
        <w:rPr>
          <w:rFonts w:ascii="Cambria" w:hAnsi="Cambria"/>
        </w:rPr>
      </w:pPr>
      <w:r w:rsidRPr="009A0DA6">
        <w:rPr>
          <w:rFonts w:ascii="Cambria" w:hAnsi="Cambria"/>
        </w:rPr>
        <w:t>23.3</w:t>
      </w:r>
      <w:r w:rsidRPr="009A0DA6">
        <w:rPr>
          <w:rFonts w:ascii="Cambria" w:hAnsi="Cambria"/>
        </w:rPr>
        <w:tab/>
        <w:t>The College shall upon receiving a gift, issue a receipt to the donor</w:t>
      </w:r>
      <w:r w:rsidR="0027799A" w:rsidRPr="009A0DA6">
        <w:rPr>
          <w:rFonts w:ascii="Cambria" w:hAnsi="Cambria"/>
        </w:rPr>
        <w:t xml:space="preserve">. </w:t>
      </w:r>
    </w:p>
    <w:p w14:paraId="673682F9" w14:textId="77777777" w:rsidR="001B46FC" w:rsidRPr="009A0DA6" w:rsidRDefault="001B46FC" w:rsidP="001B46FC">
      <w:pPr>
        <w:spacing w:after="0" w:line="240" w:lineRule="auto"/>
        <w:rPr>
          <w:rFonts w:ascii="Cambria" w:hAnsi="Cambria"/>
        </w:rPr>
      </w:pPr>
      <w:r w:rsidRPr="009A0DA6">
        <w:rPr>
          <w:rFonts w:ascii="Cambria" w:hAnsi="Cambria"/>
        </w:rPr>
        <w:tab/>
        <w:t>Receipts issued for gifts must state the</w:t>
      </w:r>
    </w:p>
    <w:p w14:paraId="314B6BCA" w14:textId="77777777" w:rsidR="001B46FC" w:rsidRPr="009A0DA6" w:rsidRDefault="001B46FC" w:rsidP="001B46FC">
      <w:pPr>
        <w:spacing w:after="0" w:line="240" w:lineRule="auto"/>
        <w:rPr>
          <w:rFonts w:ascii="Cambria" w:hAnsi="Cambria"/>
        </w:rPr>
      </w:pPr>
      <w:r w:rsidRPr="009A0DA6">
        <w:rPr>
          <w:rFonts w:ascii="Cambria" w:hAnsi="Cambria"/>
        </w:rPr>
        <w:tab/>
        <w:t>23.3.1</w:t>
      </w:r>
      <w:r w:rsidRPr="009A0DA6">
        <w:rPr>
          <w:rFonts w:ascii="Cambria" w:hAnsi="Cambria"/>
        </w:rPr>
        <w:tab/>
        <w:t>name of the Gift Fund or Foundation;</w:t>
      </w:r>
    </w:p>
    <w:p w14:paraId="3572FC59" w14:textId="77777777" w:rsidR="001B46FC" w:rsidRPr="009A0DA6" w:rsidRDefault="001B46FC" w:rsidP="001B46FC">
      <w:pPr>
        <w:spacing w:after="0" w:line="240" w:lineRule="auto"/>
        <w:rPr>
          <w:rFonts w:ascii="Cambria" w:hAnsi="Cambria"/>
        </w:rPr>
      </w:pPr>
      <w:r w:rsidRPr="009A0DA6">
        <w:rPr>
          <w:rFonts w:ascii="Cambria" w:hAnsi="Cambria"/>
        </w:rPr>
        <w:tab/>
        <w:t>23.3.2</w:t>
      </w:r>
      <w:r w:rsidRPr="009A0DA6">
        <w:rPr>
          <w:rFonts w:ascii="Cambria" w:hAnsi="Cambria"/>
        </w:rPr>
        <w:tab/>
        <w:t>Australian Business Number of the College;</w:t>
      </w:r>
    </w:p>
    <w:p w14:paraId="1747C59D" w14:textId="77777777" w:rsidR="001B46FC" w:rsidRPr="009A0DA6" w:rsidRDefault="001B46FC" w:rsidP="001B46FC">
      <w:pPr>
        <w:spacing w:after="0" w:line="240" w:lineRule="auto"/>
        <w:rPr>
          <w:rFonts w:ascii="Cambria" w:hAnsi="Cambria"/>
        </w:rPr>
      </w:pPr>
      <w:r w:rsidRPr="009A0DA6">
        <w:rPr>
          <w:rFonts w:ascii="Cambria" w:hAnsi="Cambria"/>
        </w:rPr>
        <w:tab/>
        <w:t>23.3.3</w:t>
      </w:r>
      <w:r w:rsidRPr="009A0DA6">
        <w:rPr>
          <w:rFonts w:ascii="Cambria" w:hAnsi="Cambria"/>
        </w:rPr>
        <w:tab/>
        <w:t>date of the gift;</w:t>
      </w:r>
    </w:p>
    <w:p w14:paraId="3774E55D" w14:textId="77777777" w:rsidR="001B46FC" w:rsidRPr="009A0DA6" w:rsidRDefault="001B46FC" w:rsidP="001B46FC">
      <w:pPr>
        <w:spacing w:after="0" w:line="240" w:lineRule="auto"/>
        <w:rPr>
          <w:rFonts w:ascii="Cambria" w:hAnsi="Cambria"/>
        </w:rPr>
      </w:pPr>
      <w:r w:rsidRPr="009A0DA6">
        <w:rPr>
          <w:rFonts w:ascii="Cambria" w:hAnsi="Cambria"/>
        </w:rPr>
        <w:tab/>
        <w:t>23.3.4</w:t>
      </w:r>
      <w:r w:rsidRPr="009A0DA6">
        <w:rPr>
          <w:rFonts w:ascii="Cambria" w:hAnsi="Cambria"/>
        </w:rPr>
        <w:tab/>
        <w:t>description of the contributed property;  and</w:t>
      </w:r>
    </w:p>
    <w:p w14:paraId="1A8FE5A6" w14:textId="77777777" w:rsidR="001B46FC" w:rsidRPr="009A0DA6" w:rsidRDefault="001B46FC" w:rsidP="001B46FC">
      <w:pPr>
        <w:spacing w:after="0" w:line="240" w:lineRule="auto"/>
        <w:rPr>
          <w:rFonts w:ascii="Cambria" w:hAnsi="Cambria"/>
        </w:rPr>
      </w:pPr>
      <w:r w:rsidRPr="009A0DA6">
        <w:rPr>
          <w:rFonts w:ascii="Cambria" w:hAnsi="Cambria"/>
        </w:rPr>
        <w:tab/>
        <w:t>23.3.5</w:t>
      </w:r>
      <w:r w:rsidRPr="009A0DA6">
        <w:rPr>
          <w:rFonts w:ascii="Cambria" w:hAnsi="Cambria"/>
        </w:rPr>
        <w:tab/>
        <w:t>the fact that the receipt is for a gift.</w:t>
      </w:r>
      <w:bookmarkStart w:id="413" w:name="__RefNumPara__85_687944692"/>
      <w:bookmarkStart w:id="414" w:name="_Ref392151885"/>
      <w:bookmarkEnd w:id="408"/>
      <w:bookmarkEnd w:id="413"/>
    </w:p>
    <w:p w14:paraId="1D69C203" w14:textId="77777777" w:rsidR="001B46FC" w:rsidRPr="009A0DA6" w:rsidRDefault="001B46FC" w:rsidP="001B46FC">
      <w:pPr>
        <w:spacing w:before="120"/>
        <w:rPr>
          <w:rFonts w:ascii="Cambria" w:hAnsi="Cambria"/>
          <w:b/>
        </w:rPr>
      </w:pPr>
      <w:r w:rsidRPr="009A0DA6">
        <w:rPr>
          <w:rFonts w:ascii="Cambria" w:hAnsi="Cambria"/>
          <w:b/>
        </w:rPr>
        <w:t>Article  24</w:t>
      </w:r>
      <w:r w:rsidRPr="009A0DA6">
        <w:rPr>
          <w:rFonts w:ascii="Cambria" w:hAnsi="Cambria"/>
          <w:b/>
        </w:rPr>
        <w:tab/>
        <w:t>Winding up and Surplus assets</w:t>
      </w:r>
      <w:bookmarkEnd w:id="414"/>
      <w:r w:rsidRPr="009A0DA6">
        <w:rPr>
          <w:rFonts w:ascii="Cambria" w:hAnsi="Cambria"/>
          <w:b/>
        </w:rPr>
        <w:t xml:space="preserve"> </w:t>
      </w:r>
    </w:p>
    <w:p w14:paraId="7D44A31C" w14:textId="77777777" w:rsidR="001B46FC" w:rsidRPr="009A0DA6" w:rsidRDefault="001B46FC" w:rsidP="001B46FC">
      <w:pPr>
        <w:pStyle w:val="Number2"/>
        <w:tabs>
          <w:tab w:val="left" w:pos="709"/>
          <w:tab w:val="left" w:pos="1559"/>
          <w:tab w:val="left" w:pos="2552"/>
          <w:tab w:val="left" w:pos="3544"/>
          <w:tab w:val="left" w:pos="4820"/>
        </w:tabs>
        <w:spacing w:after="0"/>
        <w:ind w:left="709" w:hanging="709"/>
        <w:jc w:val="left"/>
        <w:rPr>
          <w:rFonts w:ascii="Cambria" w:hAnsi="Cambria" w:cs="Calibri"/>
          <w:sz w:val="22"/>
          <w:szCs w:val="22"/>
        </w:rPr>
      </w:pPr>
      <w:bookmarkStart w:id="415" w:name="__RefNumPara__87_687944692"/>
      <w:bookmarkStart w:id="416" w:name="_Toc521575171"/>
      <w:bookmarkStart w:id="417" w:name="_Toc521692721"/>
      <w:bookmarkStart w:id="418" w:name="_Toc521954676"/>
      <w:bookmarkStart w:id="419" w:name="_Toc522395041"/>
      <w:bookmarkStart w:id="420" w:name="_Ref393808653"/>
      <w:bookmarkStart w:id="421" w:name="_Ref382915916"/>
      <w:bookmarkEnd w:id="415"/>
      <w:r w:rsidRPr="009A0DA6">
        <w:rPr>
          <w:rFonts w:ascii="Cambria" w:hAnsi="Cambria" w:cs="Calibri"/>
          <w:sz w:val="22"/>
          <w:szCs w:val="22"/>
        </w:rPr>
        <w:t>24.1</w:t>
      </w:r>
      <w:r w:rsidRPr="009A0DA6">
        <w:rPr>
          <w:rFonts w:ascii="Cambria" w:hAnsi="Cambria" w:cs="Calibri"/>
          <w:sz w:val="22"/>
          <w:szCs w:val="22"/>
        </w:rPr>
        <w:tab/>
        <w:t>If the College is wound up, any surplus remains following the winding up of the College, shall not be paid to or distributed amongst Members.</w:t>
      </w:r>
      <w:bookmarkEnd w:id="416"/>
      <w:bookmarkEnd w:id="417"/>
      <w:bookmarkEnd w:id="418"/>
      <w:bookmarkEnd w:id="419"/>
    </w:p>
    <w:p w14:paraId="4D3267F3" w14:textId="77777777" w:rsidR="001B46FC" w:rsidRPr="009A0DA6" w:rsidRDefault="001B46FC" w:rsidP="001B46FC">
      <w:pPr>
        <w:pStyle w:val="Number2"/>
        <w:tabs>
          <w:tab w:val="left" w:pos="709"/>
          <w:tab w:val="left" w:pos="1559"/>
          <w:tab w:val="left" w:pos="2552"/>
          <w:tab w:val="left" w:pos="3544"/>
          <w:tab w:val="left" w:pos="4820"/>
        </w:tabs>
        <w:spacing w:after="0"/>
        <w:ind w:left="709" w:hanging="709"/>
        <w:jc w:val="left"/>
        <w:rPr>
          <w:rFonts w:ascii="Cambria" w:hAnsi="Cambria" w:cs="Calibri"/>
          <w:sz w:val="22"/>
          <w:szCs w:val="22"/>
        </w:rPr>
      </w:pPr>
      <w:bookmarkStart w:id="422" w:name="_Toc521575172"/>
      <w:bookmarkStart w:id="423" w:name="_Toc521692722"/>
      <w:bookmarkStart w:id="424" w:name="_Toc521954677"/>
      <w:bookmarkStart w:id="425" w:name="_Toc522395042"/>
      <w:r w:rsidRPr="009A0DA6">
        <w:rPr>
          <w:rFonts w:ascii="Cambria" w:hAnsi="Cambria" w:cs="Calibri"/>
          <w:sz w:val="22"/>
          <w:szCs w:val="22"/>
        </w:rPr>
        <w:t>24.2</w:t>
      </w:r>
      <w:r w:rsidRPr="009A0DA6">
        <w:rPr>
          <w:rFonts w:ascii="Cambria" w:hAnsi="Cambria" w:cs="Calibri"/>
          <w:sz w:val="22"/>
          <w:szCs w:val="22"/>
        </w:rPr>
        <w:tab/>
        <w:t>Subject to the Corporations Act and any other applicable Act, and any court order, any surplus assets that remain after the College is wound up must be distributed or transferred to another corporation or organisation of the Church which, by its constitution, is</w:t>
      </w:r>
      <w:bookmarkEnd w:id="422"/>
      <w:bookmarkEnd w:id="423"/>
      <w:bookmarkEnd w:id="424"/>
      <w:bookmarkEnd w:id="425"/>
    </w:p>
    <w:p w14:paraId="21CABC02" w14:textId="77777777" w:rsidR="001B46FC" w:rsidRPr="009A0DA6" w:rsidRDefault="001B46FC" w:rsidP="001B46FC">
      <w:pPr>
        <w:pStyle w:val="Number2"/>
        <w:tabs>
          <w:tab w:val="left" w:pos="709"/>
          <w:tab w:val="left" w:pos="1559"/>
          <w:tab w:val="left" w:pos="2552"/>
          <w:tab w:val="left" w:pos="3544"/>
          <w:tab w:val="left" w:pos="4820"/>
        </w:tabs>
        <w:spacing w:after="0"/>
        <w:ind w:hanging="1559"/>
        <w:jc w:val="left"/>
        <w:rPr>
          <w:rFonts w:ascii="Cambria" w:hAnsi="Cambria" w:cs="Calibri"/>
          <w:sz w:val="22"/>
          <w:szCs w:val="22"/>
        </w:rPr>
      </w:pPr>
      <w:r w:rsidRPr="009A0DA6">
        <w:rPr>
          <w:rFonts w:ascii="Cambria" w:hAnsi="Cambria" w:cstheme="majorHAnsi"/>
          <w:sz w:val="22"/>
          <w:szCs w:val="22"/>
        </w:rPr>
        <w:tab/>
      </w:r>
      <w:bookmarkStart w:id="426" w:name="_Toc521575173"/>
      <w:bookmarkStart w:id="427" w:name="_Toc521692723"/>
      <w:bookmarkStart w:id="428" w:name="_Toc521954678"/>
      <w:bookmarkStart w:id="429" w:name="_Toc522395043"/>
      <w:r w:rsidRPr="009A0DA6">
        <w:rPr>
          <w:rFonts w:ascii="Cambria" w:hAnsi="Cambria" w:cstheme="majorHAnsi"/>
          <w:sz w:val="22"/>
          <w:szCs w:val="22"/>
        </w:rPr>
        <w:t>24.2.1</w:t>
      </w:r>
      <w:r w:rsidRPr="009A0DA6">
        <w:rPr>
          <w:rFonts w:ascii="Cambria" w:hAnsi="Cambria" w:cstheme="majorHAnsi"/>
          <w:sz w:val="22"/>
          <w:szCs w:val="22"/>
        </w:rPr>
        <w:tab/>
        <w:t>required by its Objects to use its assets for the support of the Church or its</w:t>
      </w:r>
      <w:r w:rsidRPr="009A0DA6">
        <w:rPr>
          <w:rFonts w:ascii="Cambria" w:hAnsi="Cambria" w:cs="Calibri"/>
          <w:sz w:val="22"/>
          <w:szCs w:val="22"/>
        </w:rPr>
        <w:t xml:space="preserve"> successor or any body whether incorporated or otherwise under the umbrella of the Church or the Members of the Church;</w:t>
      </w:r>
      <w:bookmarkEnd w:id="426"/>
      <w:bookmarkEnd w:id="427"/>
      <w:bookmarkEnd w:id="428"/>
      <w:bookmarkEnd w:id="429"/>
    </w:p>
    <w:p w14:paraId="799B4D53" w14:textId="77777777" w:rsidR="001B46FC" w:rsidRPr="009A0DA6" w:rsidRDefault="001B46FC" w:rsidP="001B46FC">
      <w:pPr>
        <w:pStyle w:val="Number3"/>
        <w:tabs>
          <w:tab w:val="clear" w:pos="3829"/>
          <w:tab w:val="left" w:pos="709"/>
          <w:tab w:val="left" w:pos="1559"/>
          <w:tab w:val="left" w:pos="2552"/>
          <w:tab w:val="left" w:pos="3544"/>
          <w:tab w:val="left" w:pos="4820"/>
        </w:tabs>
        <w:spacing w:after="0"/>
        <w:ind w:left="1559" w:hanging="1559"/>
        <w:jc w:val="left"/>
        <w:rPr>
          <w:rFonts w:ascii="Cambria" w:hAnsi="Cambria" w:cs="Calibri"/>
          <w:sz w:val="22"/>
          <w:szCs w:val="22"/>
        </w:rPr>
      </w:pPr>
      <w:r w:rsidRPr="009A0DA6">
        <w:rPr>
          <w:rFonts w:ascii="Cambria" w:hAnsi="Cambria" w:cs="Calibri"/>
          <w:sz w:val="22"/>
          <w:szCs w:val="22"/>
        </w:rPr>
        <w:tab/>
        <w:t>24.2.2</w:t>
      </w:r>
      <w:r w:rsidRPr="009A0DA6">
        <w:rPr>
          <w:rFonts w:ascii="Cambria" w:hAnsi="Cambria" w:cs="Calibri"/>
          <w:sz w:val="22"/>
          <w:szCs w:val="22"/>
        </w:rPr>
        <w:tab/>
        <w:t>required to apply its surplus (if any) or other income in promoting its objects;  and</w:t>
      </w:r>
    </w:p>
    <w:p w14:paraId="55F2569F" w14:textId="77777777" w:rsidR="001B46FC" w:rsidRPr="009A0DA6" w:rsidRDefault="001B46FC" w:rsidP="001B46FC">
      <w:pPr>
        <w:pStyle w:val="Number3"/>
        <w:tabs>
          <w:tab w:val="clear" w:pos="3829"/>
          <w:tab w:val="left" w:pos="709"/>
          <w:tab w:val="left" w:pos="1559"/>
          <w:tab w:val="left" w:pos="2552"/>
          <w:tab w:val="left" w:pos="3544"/>
          <w:tab w:val="left" w:pos="4820"/>
        </w:tabs>
        <w:spacing w:after="0"/>
        <w:ind w:left="1559" w:hanging="1559"/>
        <w:jc w:val="left"/>
        <w:rPr>
          <w:rFonts w:ascii="Cambria" w:hAnsi="Cambria" w:cs="Calibri"/>
          <w:sz w:val="22"/>
          <w:szCs w:val="22"/>
        </w:rPr>
      </w:pPr>
      <w:r w:rsidRPr="009A0DA6">
        <w:rPr>
          <w:rFonts w:ascii="Cambria" w:hAnsi="Cambria" w:cs="Calibri"/>
          <w:sz w:val="22"/>
          <w:szCs w:val="22"/>
        </w:rPr>
        <w:tab/>
        <w:t>24.2.3</w:t>
      </w:r>
      <w:r w:rsidRPr="009A0DA6">
        <w:rPr>
          <w:rFonts w:ascii="Cambria" w:hAnsi="Cambria" w:cs="Calibri"/>
          <w:sz w:val="22"/>
          <w:szCs w:val="22"/>
        </w:rPr>
        <w:tab/>
        <w:t>prohibited from making any distribution to its Members.</w:t>
      </w:r>
    </w:p>
    <w:p w14:paraId="4CF1FA23" w14:textId="77777777" w:rsidR="001B46FC" w:rsidRPr="009A0DA6" w:rsidRDefault="001B46FC" w:rsidP="001B46FC">
      <w:pPr>
        <w:tabs>
          <w:tab w:val="left" w:pos="709"/>
          <w:tab w:val="left" w:pos="1559"/>
          <w:tab w:val="left" w:pos="2552"/>
          <w:tab w:val="left" w:pos="3544"/>
          <w:tab w:val="left" w:pos="4820"/>
        </w:tabs>
        <w:spacing w:after="0" w:line="240" w:lineRule="auto"/>
        <w:ind w:left="709" w:hanging="709"/>
        <w:rPr>
          <w:rFonts w:ascii="Cambria" w:hAnsi="Cambria" w:cs="Calibri"/>
        </w:rPr>
      </w:pPr>
      <w:r w:rsidRPr="009A0DA6">
        <w:rPr>
          <w:rFonts w:ascii="Cambria" w:hAnsi="Cambria" w:cs="Calibri"/>
        </w:rPr>
        <w:t>24.3</w:t>
      </w:r>
      <w:r w:rsidRPr="009A0DA6">
        <w:rPr>
          <w:rFonts w:ascii="Cambria" w:hAnsi="Cambria" w:cs="Calibri"/>
        </w:rPr>
        <w:tab/>
        <w:t>Such corporation or organisation shall be determined by the General Church Council at or before the winding up and in default, by application to the Supreme Court for determination.</w:t>
      </w:r>
    </w:p>
    <w:bookmarkEnd w:id="420"/>
    <w:bookmarkEnd w:id="421"/>
    <w:p w14:paraId="7A15EB86" w14:textId="77777777" w:rsidR="001B46FC" w:rsidRPr="009A0DA6" w:rsidRDefault="001B46FC" w:rsidP="001B46FC">
      <w:pPr>
        <w:tabs>
          <w:tab w:val="left" w:pos="709"/>
          <w:tab w:val="left" w:pos="1559"/>
          <w:tab w:val="left" w:pos="2552"/>
          <w:tab w:val="left" w:pos="3544"/>
          <w:tab w:val="left" w:pos="4820"/>
        </w:tabs>
        <w:spacing w:line="276" w:lineRule="exact"/>
        <w:rPr>
          <w:rFonts w:ascii="Cambria" w:hAnsi="Cambria" w:cs="Calibri"/>
        </w:rPr>
      </w:pPr>
      <w:r w:rsidRPr="009A0DA6">
        <w:rPr>
          <w:rFonts w:ascii="Cambria" w:hAnsi="Cambria" w:cs="Calibri"/>
        </w:rPr>
        <w:t>We, the undersigned, being each person specified in the application for the College’s registration as a person who consents to become a Member, hereby agree to the terms of this Constitution:</w:t>
      </w:r>
    </w:p>
    <w:p w14:paraId="35F97994" w14:textId="77777777" w:rsidR="001B46FC" w:rsidRPr="009A0DA6" w:rsidRDefault="001B46FC" w:rsidP="001B46FC">
      <w:pPr>
        <w:tabs>
          <w:tab w:val="left" w:pos="709"/>
          <w:tab w:val="left" w:pos="1559"/>
          <w:tab w:val="left" w:pos="2552"/>
          <w:tab w:val="left" w:pos="3544"/>
          <w:tab w:val="left" w:pos="4820"/>
        </w:tabs>
        <w:rPr>
          <w:rFonts w:ascii="Cambria" w:hAnsi="Cambria" w:cs="Calibri"/>
          <w:b/>
        </w:rPr>
      </w:pPr>
      <w:r w:rsidRPr="009A0DA6">
        <w:rPr>
          <w:rFonts w:ascii="Cambria" w:hAnsi="Cambria" w:cs="Calibri"/>
          <w:b/>
        </w:rPr>
        <w:t xml:space="preserve">Dated:    ___________________________________   </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2722"/>
        <w:gridCol w:w="3402"/>
      </w:tblGrid>
      <w:tr w:rsidR="001B46FC" w:rsidRPr="009A0DA6" w14:paraId="26E81887" w14:textId="77777777" w:rsidTr="00D04794">
        <w:trPr>
          <w:cantSplit/>
        </w:trPr>
        <w:tc>
          <w:tcPr>
            <w:tcW w:w="2518" w:type="dxa"/>
            <w:vAlign w:val="center"/>
          </w:tcPr>
          <w:p w14:paraId="3EB9ED05" w14:textId="77777777" w:rsidR="001B46FC" w:rsidRPr="009A0DA6" w:rsidRDefault="001B46FC" w:rsidP="001B46FC">
            <w:pPr>
              <w:pStyle w:val="ccpnormal"/>
              <w:tabs>
                <w:tab w:val="left" w:pos="709"/>
                <w:tab w:val="left" w:pos="1559"/>
                <w:tab w:val="left" w:pos="2552"/>
                <w:tab w:val="left" w:pos="3544"/>
                <w:tab w:val="left" w:pos="4820"/>
              </w:tabs>
              <w:spacing w:before="120" w:after="120"/>
              <w:ind w:left="0" w:firstLine="0"/>
              <w:jc w:val="center"/>
              <w:rPr>
                <w:rFonts w:ascii="Cambria" w:hAnsi="Cambria" w:cs="Calibri"/>
                <w:b/>
                <w:sz w:val="22"/>
                <w:szCs w:val="22"/>
              </w:rPr>
            </w:pPr>
            <w:r w:rsidRPr="009A0DA6">
              <w:rPr>
                <w:rFonts w:ascii="Cambria" w:hAnsi="Cambria" w:cs="Calibri"/>
                <w:b/>
                <w:sz w:val="22"/>
                <w:szCs w:val="22"/>
              </w:rPr>
              <w:br w:type="page"/>
              <w:t>Name of Director</w:t>
            </w:r>
          </w:p>
        </w:tc>
        <w:tc>
          <w:tcPr>
            <w:tcW w:w="2722" w:type="dxa"/>
            <w:vAlign w:val="center"/>
          </w:tcPr>
          <w:p w14:paraId="7DC6B2E0" w14:textId="77777777" w:rsidR="001B46FC" w:rsidRPr="009A0DA6" w:rsidRDefault="001B46FC" w:rsidP="001B46FC">
            <w:pPr>
              <w:pStyle w:val="ccpnormal"/>
              <w:tabs>
                <w:tab w:val="left" w:pos="709"/>
                <w:tab w:val="left" w:pos="1559"/>
                <w:tab w:val="left" w:pos="2552"/>
                <w:tab w:val="left" w:pos="3544"/>
                <w:tab w:val="left" w:pos="4820"/>
              </w:tabs>
              <w:spacing w:before="120" w:after="120"/>
              <w:ind w:left="0" w:firstLine="0"/>
              <w:jc w:val="center"/>
              <w:rPr>
                <w:rFonts w:ascii="Cambria" w:hAnsi="Cambria" w:cs="Calibri"/>
                <w:b/>
                <w:sz w:val="22"/>
                <w:szCs w:val="22"/>
              </w:rPr>
            </w:pPr>
            <w:r w:rsidRPr="009A0DA6">
              <w:rPr>
                <w:rFonts w:ascii="Cambria" w:hAnsi="Cambria" w:cs="Calibri"/>
                <w:b/>
                <w:sz w:val="22"/>
                <w:szCs w:val="22"/>
              </w:rPr>
              <w:t>Address</w:t>
            </w:r>
          </w:p>
        </w:tc>
        <w:tc>
          <w:tcPr>
            <w:tcW w:w="3402" w:type="dxa"/>
            <w:vAlign w:val="center"/>
          </w:tcPr>
          <w:p w14:paraId="4AC94851" w14:textId="77777777" w:rsidR="001B46FC" w:rsidRPr="009A0DA6" w:rsidRDefault="001B46FC" w:rsidP="001B46FC">
            <w:pPr>
              <w:pStyle w:val="ccpnormal"/>
              <w:tabs>
                <w:tab w:val="left" w:pos="709"/>
                <w:tab w:val="left" w:pos="1559"/>
                <w:tab w:val="left" w:pos="2552"/>
                <w:tab w:val="left" w:pos="3544"/>
                <w:tab w:val="left" w:pos="4820"/>
              </w:tabs>
              <w:spacing w:before="120" w:after="120"/>
              <w:ind w:left="0" w:firstLine="0"/>
              <w:jc w:val="center"/>
              <w:rPr>
                <w:rFonts w:ascii="Cambria" w:hAnsi="Cambria" w:cs="Calibri"/>
                <w:b/>
                <w:sz w:val="22"/>
                <w:szCs w:val="22"/>
              </w:rPr>
            </w:pPr>
            <w:r w:rsidRPr="009A0DA6">
              <w:rPr>
                <w:rFonts w:ascii="Cambria" w:hAnsi="Cambria" w:cs="Calibri"/>
                <w:b/>
                <w:sz w:val="22"/>
                <w:szCs w:val="22"/>
              </w:rPr>
              <w:t>Signature</w:t>
            </w:r>
          </w:p>
        </w:tc>
      </w:tr>
      <w:tr w:rsidR="001B46FC" w:rsidRPr="009A0DA6" w14:paraId="13E99D2B" w14:textId="77777777" w:rsidTr="00D04794">
        <w:trPr>
          <w:cantSplit/>
          <w:trHeight w:val="2438"/>
        </w:trPr>
        <w:tc>
          <w:tcPr>
            <w:tcW w:w="2518" w:type="dxa"/>
            <w:vAlign w:val="center"/>
          </w:tcPr>
          <w:p w14:paraId="3101C95D" w14:textId="77777777" w:rsidR="001B46FC" w:rsidRPr="009A0DA6" w:rsidRDefault="001B46FC" w:rsidP="001B46FC">
            <w:pPr>
              <w:tabs>
                <w:tab w:val="left" w:pos="709"/>
                <w:tab w:val="left" w:pos="1559"/>
                <w:tab w:val="left" w:pos="2552"/>
                <w:tab w:val="left" w:pos="3544"/>
                <w:tab w:val="left" w:pos="4820"/>
              </w:tabs>
              <w:spacing w:after="0"/>
              <w:jc w:val="center"/>
              <w:rPr>
                <w:rFonts w:ascii="Cambria" w:hAnsi="Cambria" w:cs="Calibri"/>
              </w:rPr>
            </w:pPr>
            <w:r w:rsidRPr="009A0DA6">
              <w:rPr>
                <w:rFonts w:ascii="Cambria" w:hAnsi="Cambria" w:cs="Calibri"/>
              </w:rPr>
              <w:t>Bishop of the Church</w:t>
            </w:r>
          </w:p>
          <w:p w14:paraId="2C31D376" w14:textId="77777777" w:rsidR="001B46FC" w:rsidRPr="009A0DA6" w:rsidRDefault="001B46FC" w:rsidP="001B46FC">
            <w:pPr>
              <w:tabs>
                <w:tab w:val="left" w:pos="709"/>
                <w:tab w:val="left" w:pos="1559"/>
                <w:tab w:val="left" w:pos="2552"/>
                <w:tab w:val="left" w:pos="3544"/>
                <w:tab w:val="left" w:pos="4820"/>
              </w:tabs>
              <w:spacing w:after="0"/>
              <w:jc w:val="center"/>
              <w:rPr>
                <w:rFonts w:ascii="Cambria" w:hAnsi="Cambria" w:cs="Calibri"/>
              </w:rPr>
            </w:pPr>
          </w:p>
          <w:p w14:paraId="0E8A127D" w14:textId="77777777" w:rsidR="001B46FC" w:rsidRPr="009A0DA6" w:rsidRDefault="001B46FC" w:rsidP="001B46FC">
            <w:pPr>
              <w:tabs>
                <w:tab w:val="left" w:pos="709"/>
                <w:tab w:val="left" w:pos="1559"/>
                <w:tab w:val="left" w:pos="2552"/>
                <w:tab w:val="left" w:pos="3544"/>
                <w:tab w:val="left" w:pos="4820"/>
              </w:tabs>
              <w:spacing w:after="0"/>
              <w:jc w:val="center"/>
              <w:rPr>
                <w:rFonts w:ascii="Cambria" w:hAnsi="Cambria" w:cs="Calibri"/>
              </w:rPr>
            </w:pPr>
          </w:p>
          <w:p w14:paraId="61F3F6DC" w14:textId="77777777" w:rsidR="001B46FC" w:rsidRPr="009A0DA6" w:rsidRDefault="001B46FC" w:rsidP="001B46FC">
            <w:pPr>
              <w:tabs>
                <w:tab w:val="left" w:pos="709"/>
                <w:tab w:val="left" w:pos="1559"/>
                <w:tab w:val="left" w:pos="2552"/>
                <w:tab w:val="left" w:pos="3544"/>
                <w:tab w:val="left" w:pos="4820"/>
              </w:tabs>
              <w:spacing w:after="0"/>
              <w:jc w:val="center"/>
              <w:rPr>
                <w:rFonts w:ascii="Cambria" w:hAnsi="Cambria" w:cs="Calibri"/>
              </w:rPr>
            </w:pPr>
            <w:r w:rsidRPr="009A0DA6">
              <w:rPr>
                <w:rFonts w:ascii="Cambria" w:hAnsi="Cambria" w:cs="Calibri"/>
              </w:rPr>
              <w:t>Chair</w:t>
            </w:r>
          </w:p>
          <w:p w14:paraId="5C12630E" w14:textId="77777777" w:rsidR="001B46FC" w:rsidRPr="009A0DA6" w:rsidRDefault="001B46FC" w:rsidP="001B46FC">
            <w:pPr>
              <w:tabs>
                <w:tab w:val="left" w:pos="709"/>
                <w:tab w:val="left" w:pos="1559"/>
                <w:tab w:val="left" w:pos="2552"/>
                <w:tab w:val="left" w:pos="3544"/>
                <w:tab w:val="left" w:pos="4820"/>
              </w:tabs>
              <w:spacing w:after="0"/>
              <w:jc w:val="center"/>
              <w:rPr>
                <w:rFonts w:ascii="Cambria" w:hAnsi="Cambria" w:cs="Calibri"/>
              </w:rPr>
            </w:pPr>
          </w:p>
          <w:p w14:paraId="486EFA8F" w14:textId="77777777" w:rsidR="001B46FC" w:rsidRPr="009A0DA6" w:rsidRDefault="001B46FC" w:rsidP="001B46FC">
            <w:pPr>
              <w:tabs>
                <w:tab w:val="left" w:pos="709"/>
                <w:tab w:val="left" w:pos="1559"/>
                <w:tab w:val="left" w:pos="2552"/>
                <w:tab w:val="left" w:pos="3544"/>
                <w:tab w:val="left" w:pos="4820"/>
              </w:tabs>
              <w:spacing w:after="0"/>
              <w:jc w:val="center"/>
              <w:rPr>
                <w:rFonts w:ascii="Cambria" w:hAnsi="Cambria" w:cs="Calibri"/>
              </w:rPr>
            </w:pPr>
          </w:p>
          <w:p w14:paraId="648F1E0F" w14:textId="77777777" w:rsidR="001B46FC" w:rsidRPr="009A0DA6" w:rsidRDefault="001B46FC" w:rsidP="001B46FC">
            <w:pPr>
              <w:tabs>
                <w:tab w:val="left" w:pos="709"/>
                <w:tab w:val="left" w:pos="1559"/>
                <w:tab w:val="left" w:pos="2552"/>
                <w:tab w:val="left" w:pos="3544"/>
                <w:tab w:val="left" w:pos="4820"/>
              </w:tabs>
              <w:spacing w:after="0"/>
              <w:jc w:val="center"/>
              <w:rPr>
                <w:rFonts w:ascii="Cambria" w:hAnsi="Cambria" w:cs="Calibri"/>
              </w:rPr>
            </w:pPr>
            <w:r w:rsidRPr="009A0DA6">
              <w:rPr>
                <w:rFonts w:ascii="Cambria" w:hAnsi="Cambria" w:cs="Calibri"/>
              </w:rPr>
              <w:t>Secretary</w:t>
            </w:r>
          </w:p>
        </w:tc>
        <w:tc>
          <w:tcPr>
            <w:tcW w:w="2722" w:type="dxa"/>
            <w:vAlign w:val="center"/>
          </w:tcPr>
          <w:p w14:paraId="618104AE" w14:textId="77777777" w:rsidR="001B46FC" w:rsidRPr="009A0DA6" w:rsidRDefault="001B46FC" w:rsidP="001B46FC">
            <w:pPr>
              <w:tabs>
                <w:tab w:val="left" w:pos="709"/>
                <w:tab w:val="left" w:pos="1559"/>
                <w:tab w:val="left" w:pos="2552"/>
                <w:tab w:val="left" w:pos="3544"/>
                <w:tab w:val="left" w:pos="4820"/>
              </w:tabs>
              <w:spacing w:after="0"/>
              <w:jc w:val="center"/>
              <w:rPr>
                <w:rFonts w:ascii="Cambria" w:hAnsi="Cambria" w:cs="Calibri"/>
              </w:rPr>
            </w:pPr>
          </w:p>
          <w:p w14:paraId="549896A5" w14:textId="77777777" w:rsidR="001B46FC" w:rsidRPr="009A0DA6" w:rsidRDefault="001B46FC" w:rsidP="001B46FC">
            <w:pPr>
              <w:pStyle w:val="CCPoutline"/>
              <w:widowControl/>
              <w:numPr>
                <w:ilvl w:val="0"/>
                <w:numId w:val="0"/>
              </w:numPr>
              <w:tabs>
                <w:tab w:val="clear" w:pos="1418"/>
                <w:tab w:val="clear" w:pos="2126"/>
                <w:tab w:val="clear" w:pos="2835"/>
                <w:tab w:val="clear" w:pos="4253"/>
                <w:tab w:val="clear" w:pos="4961"/>
                <w:tab w:val="clear" w:pos="5670"/>
                <w:tab w:val="left" w:pos="709"/>
                <w:tab w:val="left" w:pos="1559"/>
                <w:tab w:val="left" w:pos="2552"/>
                <w:tab w:val="left" w:pos="4820"/>
              </w:tabs>
              <w:spacing w:after="0"/>
              <w:jc w:val="center"/>
              <w:rPr>
                <w:rFonts w:ascii="Cambria" w:hAnsi="Cambria" w:cs="Calibri"/>
                <w:snapToGrid/>
                <w:sz w:val="22"/>
                <w:szCs w:val="22"/>
              </w:rPr>
            </w:pPr>
          </w:p>
          <w:p w14:paraId="7CD812AD" w14:textId="77777777" w:rsidR="001B46FC" w:rsidRPr="009A0DA6" w:rsidRDefault="001B46FC" w:rsidP="001B46FC">
            <w:pPr>
              <w:tabs>
                <w:tab w:val="left" w:pos="709"/>
                <w:tab w:val="left" w:pos="1559"/>
                <w:tab w:val="left" w:pos="2552"/>
                <w:tab w:val="left" w:pos="3544"/>
                <w:tab w:val="left" w:pos="4820"/>
              </w:tabs>
              <w:spacing w:after="0"/>
              <w:jc w:val="center"/>
              <w:rPr>
                <w:rFonts w:ascii="Cambria" w:hAnsi="Cambria" w:cs="Calibri"/>
              </w:rPr>
            </w:pPr>
          </w:p>
          <w:p w14:paraId="085175C8" w14:textId="77777777" w:rsidR="001B46FC" w:rsidRPr="009A0DA6" w:rsidRDefault="001B46FC" w:rsidP="001B46FC">
            <w:pPr>
              <w:tabs>
                <w:tab w:val="left" w:pos="709"/>
                <w:tab w:val="left" w:pos="1559"/>
                <w:tab w:val="left" w:pos="2552"/>
                <w:tab w:val="left" w:pos="3544"/>
                <w:tab w:val="left" w:pos="4820"/>
              </w:tabs>
              <w:spacing w:after="0"/>
              <w:jc w:val="center"/>
              <w:rPr>
                <w:rFonts w:ascii="Cambria" w:hAnsi="Cambria" w:cs="Calibri"/>
              </w:rPr>
            </w:pPr>
          </w:p>
          <w:p w14:paraId="382021BE" w14:textId="77777777" w:rsidR="001B46FC" w:rsidRPr="009A0DA6" w:rsidRDefault="001B46FC" w:rsidP="001B46FC">
            <w:pPr>
              <w:tabs>
                <w:tab w:val="left" w:pos="709"/>
                <w:tab w:val="left" w:pos="1559"/>
                <w:tab w:val="left" w:pos="2552"/>
                <w:tab w:val="left" w:pos="3544"/>
                <w:tab w:val="left" w:pos="4820"/>
              </w:tabs>
              <w:spacing w:after="0"/>
              <w:jc w:val="center"/>
              <w:rPr>
                <w:rFonts w:ascii="Cambria" w:hAnsi="Cambria" w:cs="Calibri"/>
              </w:rPr>
            </w:pPr>
          </w:p>
          <w:p w14:paraId="43BB56AE" w14:textId="77777777" w:rsidR="001B46FC" w:rsidRPr="009A0DA6" w:rsidRDefault="001B46FC" w:rsidP="001B46FC">
            <w:pPr>
              <w:pStyle w:val="CCPoutline"/>
              <w:widowControl/>
              <w:numPr>
                <w:ilvl w:val="0"/>
                <w:numId w:val="0"/>
              </w:numPr>
              <w:tabs>
                <w:tab w:val="clear" w:pos="1418"/>
                <w:tab w:val="clear" w:pos="2126"/>
                <w:tab w:val="clear" w:pos="2835"/>
                <w:tab w:val="clear" w:pos="4253"/>
                <w:tab w:val="clear" w:pos="4961"/>
                <w:tab w:val="clear" w:pos="5670"/>
                <w:tab w:val="left" w:pos="709"/>
                <w:tab w:val="left" w:pos="1559"/>
                <w:tab w:val="left" w:pos="2552"/>
                <w:tab w:val="left" w:pos="4820"/>
              </w:tabs>
              <w:spacing w:after="0"/>
              <w:jc w:val="center"/>
              <w:rPr>
                <w:rFonts w:ascii="Cambria" w:hAnsi="Cambria" w:cs="Calibri"/>
                <w:snapToGrid/>
                <w:sz w:val="22"/>
                <w:szCs w:val="22"/>
              </w:rPr>
            </w:pPr>
          </w:p>
          <w:p w14:paraId="04F93731" w14:textId="77777777" w:rsidR="001B46FC" w:rsidRPr="009A0DA6" w:rsidRDefault="001B46FC" w:rsidP="001B46FC">
            <w:pPr>
              <w:tabs>
                <w:tab w:val="left" w:pos="709"/>
                <w:tab w:val="left" w:pos="1559"/>
                <w:tab w:val="left" w:pos="2552"/>
                <w:tab w:val="left" w:pos="3544"/>
                <w:tab w:val="left" w:pos="4820"/>
              </w:tabs>
              <w:spacing w:after="0"/>
              <w:jc w:val="center"/>
              <w:rPr>
                <w:rFonts w:ascii="Cambria" w:hAnsi="Cambria" w:cs="Calibri"/>
              </w:rPr>
            </w:pPr>
          </w:p>
        </w:tc>
        <w:tc>
          <w:tcPr>
            <w:tcW w:w="3402" w:type="dxa"/>
            <w:vAlign w:val="center"/>
          </w:tcPr>
          <w:p w14:paraId="67C70E71" w14:textId="77777777" w:rsidR="001B46FC" w:rsidRPr="009A0DA6" w:rsidRDefault="001B46FC" w:rsidP="001B46FC">
            <w:pPr>
              <w:tabs>
                <w:tab w:val="left" w:pos="709"/>
                <w:tab w:val="left" w:pos="1559"/>
                <w:tab w:val="left" w:pos="2552"/>
                <w:tab w:val="left" w:pos="3544"/>
                <w:tab w:val="left" w:pos="4820"/>
              </w:tabs>
              <w:spacing w:after="0"/>
              <w:jc w:val="center"/>
              <w:rPr>
                <w:rFonts w:ascii="Cambria" w:hAnsi="Cambria" w:cs="Calibri"/>
              </w:rPr>
            </w:pPr>
            <w:r w:rsidRPr="009A0DA6">
              <w:rPr>
                <w:rFonts w:ascii="Cambria" w:hAnsi="Cambria" w:cs="Calibri"/>
              </w:rPr>
              <w:t>………………………….</w:t>
            </w:r>
          </w:p>
          <w:p w14:paraId="46AEFBB4" w14:textId="77777777" w:rsidR="001B46FC" w:rsidRPr="009A0DA6" w:rsidRDefault="001B46FC" w:rsidP="001B46FC">
            <w:pPr>
              <w:tabs>
                <w:tab w:val="left" w:pos="709"/>
                <w:tab w:val="left" w:pos="1559"/>
                <w:tab w:val="left" w:pos="2552"/>
                <w:tab w:val="left" w:pos="3544"/>
                <w:tab w:val="left" w:pos="4820"/>
              </w:tabs>
              <w:spacing w:after="0"/>
              <w:jc w:val="center"/>
              <w:rPr>
                <w:rFonts w:ascii="Cambria" w:hAnsi="Cambria" w:cs="Calibri"/>
              </w:rPr>
            </w:pPr>
          </w:p>
          <w:p w14:paraId="41FAF917" w14:textId="77777777" w:rsidR="001B46FC" w:rsidRPr="009A0DA6" w:rsidRDefault="001B46FC" w:rsidP="001B46FC">
            <w:pPr>
              <w:tabs>
                <w:tab w:val="left" w:pos="709"/>
                <w:tab w:val="left" w:pos="1559"/>
                <w:tab w:val="left" w:pos="2552"/>
                <w:tab w:val="left" w:pos="3544"/>
                <w:tab w:val="left" w:pos="4820"/>
              </w:tabs>
              <w:spacing w:after="0"/>
              <w:jc w:val="center"/>
              <w:rPr>
                <w:rFonts w:ascii="Cambria" w:hAnsi="Cambria" w:cs="Calibri"/>
              </w:rPr>
            </w:pPr>
          </w:p>
          <w:p w14:paraId="5432B2E2" w14:textId="77777777" w:rsidR="001B46FC" w:rsidRPr="009A0DA6" w:rsidRDefault="001B46FC" w:rsidP="001B46FC">
            <w:pPr>
              <w:tabs>
                <w:tab w:val="left" w:pos="709"/>
                <w:tab w:val="left" w:pos="1559"/>
                <w:tab w:val="left" w:pos="2552"/>
                <w:tab w:val="left" w:pos="3544"/>
                <w:tab w:val="left" w:pos="4820"/>
              </w:tabs>
              <w:spacing w:after="0"/>
              <w:jc w:val="center"/>
              <w:rPr>
                <w:rFonts w:ascii="Cambria" w:hAnsi="Cambria" w:cs="Calibri"/>
              </w:rPr>
            </w:pPr>
            <w:r w:rsidRPr="009A0DA6">
              <w:rPr>
                <w:rFonts w:ascii="Cambria" w:hAnsi="Cambria" w:cs="Calibri"/>
              </w:rPr>
              <w:t>………………………….</w:t>
            </w:r>
          </w:p>
          <w:p w14:paraId="3805658A" w14:textId="77777777" w:rsidR="001B46FC" w:rsidRPr="009A0DA6" w:rsidRDefault="001B46FC" w:rsidP="001B46FC">
            <w:pPr>
              <w:tabs>
                <w:tab w:val="left" w:pos="709"/>
                <w:tab w:val="left" w:pos="1559"/>
                <w:tab w:val="left" w:pos="2552"/>
                <w:tab w:val="left" w:pos="3544"/>
                <w:tab w:val="left" w:pos="4820"/>
              </w:tabs>
              <w:spacing w:after="0"/>
              <w:jc w:val="center"/>
              <w:rPr>
                <w:rFonts w:ascii="Cambria" w:hAnsi="Cambria" w:cs="Calibri"/>
              </w:rPr>
            </w:pPr>
          </w:p>
          <w:p w14:paraId="40603AD9" w14:textId="77777777" w:rsidR="001B46FC" w:rsidRPr="009A0DA6" w:rsidRDefault="001B46FC" w:rsidP="001B46FC">
            <w:pPr>
              <w:tabs>
                <w:tab w:val="left" w:pos="709"/>
                <w:tab w:val="left" w:pos="1559"/>
                <w:tab w:val="left" w:pos="2552"/>
                <w:tab w:val="left" w:pos="3544"/>
                <w:tab w:val="left" w:pos="4820"/>
              </w:tabs>
              <w:spacing w:after="0"/>
              <w:jc w:val="center"/>
              <w:rPr>
                <w:rFonts w:ascii="Cambria" w:hAnsi="Cambria" w:cs="Calibri"/>
              </w:rPr>
            </w:pPr>
          </w:p>
          <w:p w14:paraId="46BE770A" w14:textId="77777777" w:rsidR="001B46FC" w:rsidRPr="009A0DA6" w:rsidRDefault="001B46FC" w:rsidP="001B46FC">
            <w:pPr>
              <w:tabs>
                <w:tab w:val="left" w:pos="709"/>
                <w:tab w:val="left" w:pos="1559"/>
                <w:tab w:val="left" w:pos="2552"/>
                <w:tab w:val="left" w:pos="3544"/>
                <w:tab w:val="left" w:pos="4820"/>
              </w:tabs>
              <w:spacing w:after="0"/>
              <w:jc w:val="center"/>
              <w:rPr>
                <w:rFonts w:ascii="Cambria" w:hAnsi="Cambria" w:cs="Calibri"/>
              </w:rPr>
            </w:pPr>
            <w:r w:rsidRPr="009A0DA6">
              <w:rPr>
                <w:rFonts w:ascii="Cambria" w:hAnsi="Cambria" w:cs="Calibri"/>
              </w:rPr>
              <w:t>………………………….</w:t>
            </w:r>
          </w:p>
        </w:tc>
      </w:tr>
    </w:tbl>
    <w:p w14:paraId="043F28A2" w14:textId="77777777" w:rsidR="001B46FC" w:rsidRPr="009A0DA6" w:rsidRDefault="001B46FC" w:rsidP="001B46FC">
      <w:pPr>
        <w:spacing w:after="0" w:line="22" w:lineRule="atLeast"/>
        <w:rPr>
          <w:rFonts w:ascii="Cambria" w:hAnsi="Cambria"/>
          <w:noProof/>
        </w:rPr>
      </w:pPr>
    </w:p>
    <w:p w14:paraId="7999C6CD" w14:textId="5E26FF94" w:rsidR="0001243B" w:rsidRPr="009A0DA6" w:rsidRDefault="0001243B" w:rsidP="0001243B">
      <w:pPr>
        <w:pStyle w:val="NoSpacing"/>
      </w:pPr>
    </w:p>
    <w:p w14:paraId="1927B9E5" w14:textId="2413339A" w:rsidR="00D04794" w:rsidRPr="009A0DA6" w:rsidRDefault="00D04794" w:rsidP="0001243B">
      <w:pPr>
        <w:pStyle w:val="NoSpacing"/>
      </w:pPr>
    </w:p>
    <w:p w14:paraId="0FAF5146" w14:textId="77777777" w:rsidR="00D04794" w:rsidRPr="009A0DA6" w:rsidRDefault="00D04794" w:rsidP="0001243B">
      <w:pPr>
        <w:pStyle w:val="NoSpacing"/>
      </w:pPr>
    </w:p>
    <w:p w14:paraId="7C858898" w14:textId="77777777" w:rsidR="00D04794" w:rsidRPr="009A0DA6" w:rsidRDefault="00D04794">
      <w:pPr>
        <w:rPr>
          <w:rFonts w:ascii="Cambria" w:eastAsiaTheme="majorEastAsia" w:hAnsi="Cambria" w:cstheme="majorBidi"/>
          <w:b/>
          <w:caps/>
          <w:sz w:val="28"/>
          <w:szCs w:val="24"/>
        </w:rPr>
      </w:pPr>
      <w:r w:rsidRPr="009A0DA6">
        <w:rPr>
          <w:rFonts w:ascii="Cambria" w:hAnsi="Cambria"/>
        </w:rPr>
        <w:br w:type="page"/>
      </w:r>
    </w:p>
    <w:p w14:paraId="1930DC29" w14:textId="7D9DB6C3" w:rsidR="00D04794" w:rsidRPr="009A0DA6" w:rsidRDefault="00D04794" w:rsidP="00D04794">
      <w:pPr>
        <w:pStyle w:val="Heading1"/>
      </w:pPr>
      <w:bookmarkStart w:id="430" w:name="_Toc521954679"/>
      <w:r w:rsidRPr="009A0DA6">
        <w:lastRenderedPageBreak/>
        <w:t>Proposals from districts and congregations</w:t>
      </w:r>
      <w:bookmarkEnd w:id="430"/>
    </w:p>
    <w:p w14:paraId="26795B17" w14:textId="77777777" w:rsidR="00D04794" w:rsidRPr="009A0DA6" w:rsidRDefault="00D04794" w:rsidP="00D04794">
      <w:pPr>
        <w:pStyle w:val="NoSpacing"/>
      </w:pPr>
    </w:p>
    <w:p w14:paraId="1B6C94C5" w14:textId="29D6315F" w:rsidR="0001243B" w:rsidRPr="009A0DA6" w:rsidRDefault="0001243B" w:rsidP="00964A90">
      <w:pPr>
        <w:pStyle w:val="Heading3"/>
      </w:pPr>
      <w:r w:rsidRPr="009A0DA6">
        <w:t>agenda 2.3.1</w:t>
      </w:r>
    </w:p>
    <w:p w14:paraId="2F940B6E" w14:textId="5B4F53E1" w:rsidR="0001243B" w:rsidRPr="009A0DA6" w:rsidRDefault="0001243B" w:rsidP="005D571C">
      <w:pPr>
        <w:pStyle w:val="Heading2"/>
      </w:pPr>
      <w:bookmarkStart w:id="431" w:name="_Toc521954680"/>
      <w:r w:rsidRPr="009A0DA6">
        <w:t>O</w:t>
      </w:r>
      <w:r w:rsidR="0037789C" w:rsidRPr="009A0DA6">
        <w:t xml:space="preserve">rdination of </w:t>
      </w:r>
      <w:r w:rsidR="008B50D1" w:rsidRPr="009A0DA6">
        <w:t>b</w:t>
      </w:r>
      <w:r w:rsidR="0037789C" w:rsidRPr="009A0DA6">
        <w:t xml:space="preserve">oth </w:t>
      </w:r>
      <w:r w:rsidR="008B50D1" w:rsidRPr="009A0DA6">
        <w:t>m</w:t>
      </w:r>
      <w:r w:rsidR="0037789C" w:rsidRPr="009A0DA6">
        <w:t xml:space="preserve">en and </w:t>
      </w:r>
      <w:r w:rsidR="008B50D1" w:rsidRPr="009A0DA6">
        <w:t>w</w:t>
      </w:r>
      <w:r w:rsidR="0037789C" w:rsidRPr="009A0DA6">
        <w:t>omen</w:t>
      </w:r>
      <w:bookmarkEnd w:id="431"/>
    </w:p>
    <w:p w14:paraId="5D8747D6" w14:textId="4B957692" w:rsidR="0037789C" w:rsidRPr="00D07614" w:rsidRDefault="0037789C" w:rsidP="0037789C">
      <w:pPr>
        <w:pStyle w:val="NoSpacing"/>
        <w:rPr>
          <w:sz w:val="16"/>
        </w:rPr>
      </w:pPr>
    </w:p>
    <w:p w14:paraId="3FF29E46" w14:textId="5349BEF1" w:rsidR="00507840" w:rsidRDefault="00507840" w:rsidP="0037789C">
      <w:pPr>
        <w:pStyle w:val="NoSpacing"/>
      </w:pPr>
      <w:r>
        <w:t>(See also Agenda 2.2.3, 2.3.2, 2.3.3, 2.3.4 and 2.3.5)</w:t>
      </w:r>
    </w:p>
    <w:p w14:paraId="4F2EFD17" w14:textId="77777777" w:rsidR="00507840" w:rsidRPr="00D07614" w:rsidRDefault="00507840" w:rsidP="0037789C">
      <w:pPr>
        <w:pStyle w:val="NoSpacing"/>
        <w:rPr>
          <w:sz w:val="16"/>
        </w:rPr>
      </w:pPr>
    </w:p>
    <w:p w14:paraId="29DBC485" w14:textId="73BAB6B9" w:rsidR="0037789C" w:rsidRPr="009A0DA6" w:rsidRDefault="008B50D1" w:rsidP="00964A90">
      <w:pPr>
        <w:pStyle w:val="Heading3"/>
      </w:pPr>
      <w:r w:rsidRPr="009A0DA6">
        <w:t>proposed motion</w:t>
      </w:r>
    </w:p>
    <w:p w14:paraId="6F0EEBBE" w14:textId="25B15CEE" w:rsidR="0037789C" w:rsidRPr="009A0DA6" w:rsidRDefault="008B50D1" w:rsidP="0037789C">
      <w:pPr>
        <w:pStyle w:val="NoSpacing"/>
        <w:rPr>
          <w:i/>
        </w:rPr>
      </w:pPr>
      <w:r w:rsidRPr="009A0DA6">
        <w:rPr>
          <w:i/>
        </w:rPr>
        <w:t>Submitted by St Luke’s Lutheran Church, Palmerston North NZ</w:t>
      </w:r>
    </w:p>
    <w:p w14:paraId="2A76D887" w14:textId="77777777" w:rsidR="0037789C" w:rsidRPr="00D07614" w:rsidRDefault="0037789C" w:rsidP="0037789C">
      <w:pPr>
        <w:pStyle w:val="NoSpacing"/>
        <w:rPr>
          <w:sz w:val="16"/>
        </w:rPr>
      </w:pPr>
    </w:p>
    <w:p w14:paraId="1634F66C" w14:textId="77777777" w:rsidR="008B50D1" w:rsidRPr="009A0DA6" w:rsidRDefault="008B50D1" w:rsidP="008B50D1">
      <w:pPr>
        <w:spacing w:line="240" w:lineRule="auto"/>
        <w:rPr>
          <w:rFonts w:ascii="Cambria" w:eastAsia="Times New Roman" w:hAnsi="Cambria" w:cs="Times New Roman"/>
          <w:b/>
          <w:bCs/>
          <w:lang w:eastAsia="en-AU"/>
        </w:rPr>
      </w:pPr>
      <w:r w:rsidRPr="009A0DA6">
        <w:rPr>
          <w:rFonts w:ascii="Cambria" w:eastAsia="Times New Roman" w:hAnsi="Cambria" w:cs="Times New Roman"/>
          <w:b/>
          <w:bCs/>
          <w:sz w:val="24"/>
          <w:szCs w:val="24"/>
          <w:lang w:eastAsia="en-AU"/>
        </w:rPr>
        <w:t>BE IT RESOLVED</w:t>
      </w:r>
      <w:r w:rsidRPr="009A0DA6">
        <w:rPr>
          <w:rFonts w:ascii="Cambria" w:eastAsia="Times New Roman" w:hAnsi="Cambria" w:cs="Times New Roman"/>
          <w:b/>
          <w:bCs/>
          <w:lang w:eastAsia="en-AU"/>
        </w:rPr>
        <w:t xml:space="preserve"> </w:t>
      </w:r>
      <w:r w:rsidRPr="009A0DA6">
        <w:rPr>
          <w:rFonts w:ascii="Cambria" w:eastAsia="Times New Roman" w:hAnsi="Cambria" w:cs="Times New Roman"/>
          <w:bCs/>
          <w:lang w:eastAsia="en-AU"/>
        </w:rPr>
        <w:t>that</w:t>
      </w:r>
      <w:r w:rsidRPr="009A0DA6">
        <w:rPr>
          <w:rFonts w:ascii="Cambria" w:eastAsia="Times New Roman" w:hAnsi="Cambria" w:cs="Times New Roman"/>
          <w:b/>
          <w:bCs/>
          <w:lang w:eastAsia="en-AU"/>
        </w:rPr>
        <w:t xml:space="preserve"> </w:t>
      </w:r>
    </w:p>
    <w:p w14:paraId="08DE51F3" w14:textId="77777777" w:rsidR="008B50D1" w:rsidRPr="009A0DA6" w:rsidRDefault="008B50D1" w:rsidP="00F55252">
      <w:pPr>
        <w:pStyle w:val="ListParagraph"/>
        <w:numPr>
          <w:ilvl w:val="0"/>
          <w:numId w:val="120"/>
        </w:numPr>
        <w:ind w:left="567" w:hanging="567"/>
        <w:rPr>
          <w:rFonts w:ascii="Cambria" w:hAnsi="Cambria"/>
        </w:rPr>
      </w:pPr>
      <w:r w:rsidRPr="009A0DA6">
        <w:rPr>
          <w:rFonts w:ascii="Cambria" w:hAnsi="Cambria"/>
        </w:rPr>
        <w:t xml:space="preserve">the Lutheran Church of Australia/New Zealand amend its public teaching to accept the ordination of both men and women; and </w:t>
      </w:r>
    </w:p>
    <w:p w14:paraId="53FA7A0B" w14:textId="77777777" w:rsidR="008B50D1" w:rsidRPr="009A0DA6" w:rsidRDefault="008B50D1" w:rsidP="00F55252">
      <w:pPr>
        <w:pStyle w:val="ListParagraph"/>
        <w:numPr>
          <w:ilvl w:val="0"/>
          <w:numId w:val="120"/>
        </w:numPr>
        <w:ind w:left="567" w:hanging="567"/>
        <w:rPr>
          <w:rFonts w:ascii="Cambria" w:hAnsi="Cambria"/>
        </w:rPr>
      </w:pPr>
      <w:r w:rsidRPr="009A0DA6">
        <w:rPr>
          <w:rFonts w:ascii="Cambria" w:hAnsi="Cambria"/>
        </w:rPr>
        <w:t>the LCA/NZ invite properly gifted, trained, prepared and called women to serve as ordained pastors alongside the male pastors of this church, exercising the office of the keys by proclaiming the gospel, pronouncing the absolution, and administering the sacraments, to the glory of God and for the extension of his Kingdom.</w:t>
      </w:r>
    </w:p>
    <w:p w14:paraId="4B28DCA0" w14:textId="77777777" w:rsidR="008B50D1" w:rsidRPr="009A0DA6" w:rsidRDefault="008B50D1" w:rsidP="00D04794">
      <w:pPr>
        <w:pStyle w:val="Heading3"/>
      </w:pPr>
      <w:r w:rsidRPr="009A0DA6">
        <w:t>REASONS FOR THE MOTION</w:t>
      </w:r>
    </w:p>
    <w:p w14:paraId="79A4BDCA" w14:textId="00A6C6AD" w:rsidR="008B50D1" w:rsidRPr="00D07614" w:rsidRDefault="008B50D1" w:rsidP="00507840">
      <w:pPr>
        <w:pStyle w:val="ListParagraph"/>
        <w:numPr>
          <w:ilvl w:val="0"/>
          <w:numId w:val="121"/>
        </w:numPr>
        <w:spacing w:after="0" w:line="240" w:lineRule="auto"/>
        <w:ind w:left="567" w:hanging="567"/>
        <w:rPr>
          <w:rFonts w:ascii="Cambria" w:hAnsi="Cambria"/>
          <w:sz w:val="10"/>
        </w:rPr>
      </w:pPr>
      <w:r w:rsidRPr="009A0DA6">
        <w:rPr>
          <w:rFonts w:ascii="Cambria" w:hAnsi="Cambria"/>
        </w:rPr>
        <w:t>In response to the 2015 LCA General Synod resolution the Commission on Theology and Inter-Church Relations (CTICR) has prepared a Draft Doctrinal Statement on the ordination of both women and men, and a statement giving the theological basis for why the ordination of women and men need not divide the church. The CTICR has consulted widely with the church concerning these documents.</w:t>
      </w:r>
      <w:r w:rsidRPr="009A0DA6">
        <w:rPr>
          <w:rFonts w:ascii="Cambria" w:hAnsi="Cambria"/>
        </w:rPr>
        <w:br/>
      </w:r>
    </w:p>
    <w:p w14:paraId="4011DC27" w14:textId="4EAF6426" w:rsidR="008B50D1" w:rsidRPr="00D07614" w:rsidRDefault="008B50D1" w:rsidP="00507840">
      <w:pPr>
        <w:pStyle w:val="ListParagraph"/>
        <w:numPr>
          <w:ilvl w:val="0"/>
          <w:numId w:val="121"/>
        </w:numPr>
        <w:spacing w:after="0" w:line="240" w:lineRule="auto"/>
        <w:ind w:left="567" w:hanging="567"/>
        <w:rPr>
          <w:rFonts w:ascii="Cambria" w:hAnsi="Cambria"/>
          <w:sz w:val="10"/>
        </w:rPr>
      </w:pPr>
      <w:r w:rsidRPr="009A0DA6">
        <w:rPr>
          <w:rFonts w:ascii="Cambria" w:hAnsi="Cambria"/>
        </w:rPr>
        <w:t>The Draft Doctrinal Statement shows that the ordination of both women and men is consistent with the Lutheran Church’s confessional statements on the ordained ministry (AC 5 and 14) which focuses on making the gospel of Jesus Christ widely available through the means of grace, and which contains nothing that excludes women from entering the ordained ministry.</w:t>
      </w:r>
      <w:r w:rsidRPr="009A0DA6">
        <w:rPr>
          <w:rFonts w:ascii="Cambria" w:hAnsi="Cambria"/>
        </w:rPr>
        <w:br/>
      </w:r>
    </w:p>
    <w:p w14:paraId="0837A20F" w14:textId="77777777" w:rsidR="008B50D1" w:rsidRPr="009A0DA6" w:rsidRDefault="008B50D1" w:rsidP="00507840">
      <w:pPr>
        <w:pStyle w:val="ListParagraph"/>
        <w:numPr>
          <w:ilvl w:val="0"/>
          <w:numId w:val="121"/>
        </w:numPr>
        <w:shd w:val="clear" w:color="auto" w:fill="FFFFFF"/>
        <w:tabs>
          <w:tab w:val="left" w:pos="567"/>
          <w:tab w:val="left" w:pos="3596"/>
          <w:tab w:val="right" w:pos="10206"/>
        </w:tabs>
        <w:spacing w:after="0" w:line="240" w:lineRule="auto"/>
        <w:ind w:left="567" w:hanging="567"/>
        <w:rPr>
          <w:rFonts w:ascii="Cambria" w:hAnsi="Cambria" w:cs="Arial"/>
          <w:i/>
          <w:sz w:val="24"/>
          <w:szCs w:val="24"/>
          <w:shd w:val="clear" w:color="auto" w:fill="FFFFFF"/>
        </w:rPr>
      </w:pPr>
      <w:r w:rsidRPr="009A0DA6">
        <w:rPr>
          <w:rFonts w:ascii="Cambria" w:hAnsi="Cambria"/>
        </w:rPr>
        <w:t>‘The Permanent Status of Theses of Agreement’ (A26) states that “the Theses of Agreement are always under the authority of the Word of God, and therefore there must always be a readiness to submit them to the critical scrutiny of God’s Word and accordingly confirm them, or amend or repudiate them when further study of God’s Word shows them to be inadequate or in error.” This change of public teaching regarding the ordination of women reflects a more comprehensive reading of the Scriptures regarding the eligibility of called and trained women for the pastoral office.</w:t>
      </w:r>
    </w:p>
    <w:p w14:paraId="5950BD6A" w14:textId="77777777" w:rsidR="008B50D1" w:rsidRPr="00D07614" w:rsidRDefault="008B50D1" w:rsidP="008B50D1">
      <w:pPr>
        <w:pStyle w:val="ListParagraph"/>
        <w:shd w:val="clear" w:color="auto" w:fill="FFFFFF"/>
        <w:tabs>
          <w:tab w:val="left" w:pos="426"/>
          <w:tab w:val="left" w:pos="3596"/>
          <w:tab w:val="right" w:pos="10206"/>
        </w:tabs>
        <w:spacing w:after="0" w:line="22" w:lineRule="atLeast"/>
        <w:ind w:left="360"/>
        <w:rPr>
          <w:rFonts w:ascii="Cambria" w:hAnsi="Cambria" w:cs="Arial"/>
          <w:i/>
          <w:sz w:val="12"/>
          <w:szCs w:val="24"/>
          <w:shd w:val="clear" w:color="auto" w:fill="FFFFFF"/>
        </w:rPr>
      </w:pPr>
    </w:p>
    <w:p w14:paraId="097F6C8B" w14:textId="77777777" w:rsidR="008B50D1" w:rsidRPr="009A0DA6" w:rsidRDefault="008B50D1" w:rsidP="008B50D1">
      <w:pPr>
        <w:shd w:val="clear" w:color="auto" w:fill="FFFFFF"/>
        <w:tabs>
          <w:tab w:val="left" w:pos="426"/>
          <w:tab w:val="left" w:pos="3596"/>
          <w:tab w:val="right" w:pos="10206"/>
        </w:tabs>
        <w:spacing w:after="0" w:line="22" w:lineRule="atLeast"/>
        <w:rPr>
          <w:rFonts w:ascii="Cambria" w:hAnsi="Cambria" w:cs="Arial"/>
          <w:b/>
          <w:i/>
          <w:shd w:val="clear" w:color="auto" w:fill="FFFFFF"/>
        </w:rPr>
      </w:pPr>
      <w:r w:rsidRPr="009A0DA6">
        <w:rPr>
          <w:rFonts w:ascii="Cambria" w:eastAsia="Times New Roman" w:hAnsi="Cambria" w:cs="Times New Roman"/>
          <w:b/>
          <w:bCs/>
          <w:i/>
          <w:lang w:eastAsia="en-AU"/>
        </w:rPr>
        <w:t xml:space="preserve">Also submitted by </w:t>
      </w:r>
      <w:r w:rsidRPr="009A0DA6">
        <w:rPr>
          <w:rFonts w:ascii="Cambria" w:hAnsi="Cambria" w:cs="Arial"/>
          <w:b/>
          <w:i/>
          <w:shd w:val="clear" w:color="auto" w:fill="FFFFFF"/>
        </w:rPr>
        <w:t>the following congregations, using identical text:</w:t>
      </w:r>
    </w:p>
    <w:p w14:paraId="7873CC96" w14:textId="77777777" w:rsidR="008B50D1" w:rsidRPr="009A0DA6" w:rsidRDefault="008B50D1" w:rsidP="00F55252">
      <w:pPr>
        <w:pStyle w:val="ListParagraph"/>
        <w:numPr>
          <w:ilvl w:val="0"/>
          <w:numId w:val="122"/>
        </w:numPr>
        <w:shd w:val="clear" w:color="auto" w:fill="FFFFFF"/>
        <w:spacing w:after="0" w:line="22" w:lineRule="atLeast"/>
        <w:ind w:left="567" w:hanging="567"/>
        <w:rPr>
          <w:rFonts w:ascii="Cambria" w:hAnsi="Cambria" w:cs="Arial"/>
          <w:i/>
          <w:shd w:val="clear" w:color="auto" w:fill="FFFFFF"/>
        </w:rPr>
      </w:pPr>
      <w:r w:rsidRPr="009A0DA6">
        <w:rPr>
          <w:rFonts w:ascii="Cambria" w:hAnsi="Cambria" w:cs="Arial"/>
          <w:i/>
          <w:shd w:val="clear" w:color="auto" w:fill="FFFFFF"/>
        </w:rPr>
        <w:t>St Stephen’s Lutheran Congregation, Adelaide SA</w:t>
      </w:r>
    </w:p>
    <w:p w14:paraId="0D7C8A43" w14:textId="77777777" w:rsidR="008B50D1" w:rsidRPr="009A0DA6" w:rsidRDefault="008B50D1" w:rsidP="00F55252">
      <w:pPr>
        <w:pStyle w:val="ListParagraph"/>
        <w:numPr>
          <w:ilvl w:val="0"/>
          <w:numId w:val="122"/>
        </w:numPr>
        <w:shd w:val="clear" w:color="auto" w:fill="FFFFFF"/>
        <w:spacing w:after="0" w:line="22" w:lineRule="atLeast"/>
        <w:ind w:left="567" w:hanging="567"/>
        <w:rPr>
          <w:rFonts w:ascii="Cambria" w:hAnsi="Cambria" w:cs="Arial"/>
          <w:i/>
          <w:shd w:val="clear" w:color="auto" w:fill="FFFFFF"/>
        </w:rPr>
      </w:pPr>
      <w:r w:rsidRPr="009A0DA6">
        <w:rPr>
          <w:rFonts w:ascii="Cambria" w:hAnsi="Cambria" w:cs="Arial"/>
          <w:i/>
          <w:shd w:val="clear" w:color="auto" w:fill="FFFFFF"/>
        </w:rPr>
        <w:t>Holy Cross Lutheran Congregation, Belconnen ACT</w:t>
      </w:r>
    </w:p>
    <w:p w14:paraId="7DD0D1E0" w14:textId="77777777" w:rsidR="008B50D1" w:rsidRPr="009A0DA6" w:rsidRDefault="008B50D1" w:rsidP="00F55252">
      <w:pPr>
        <w:pStyle w:val="ListParagraph"/>
        <w:numPr>
          <w:ilvl w:val="0"/>
          <w:numId w:val="122"/>
        </w:numPr>
        <w:shd w:val="clear" w:color="auto" w:fill="FFFFFF"/>
        <w:spacing w:after="0" w:line="22" w:lineRule="atLeast"/>
        <w:ind w:left="567" w:hanging="567"/>
        <w:rPr>
          <w:rFonts w:ascii="Cambria" w:hAnsi="Cambria" w:cs="Arial"/>
          <w:i/>
          <w:shd w:val="clear" w:color="auto" w:fill="FFFFFF"/>
        </w:rPr>
      </w:pPr>
      <w:r w:rsidRPr="009A0DA6">
        <w:rPr>
          <w:rFonts w:ascii="Cambria" w:hAnsi="Cambria" w:cs="Arial"/>
          <w:i/>
          <w:shd w:val="clear" w:color="auto" w:fill="FFFFFF"/>
        </w:rPr>
        <w:t>St Paul Lutheran Congregation, Blair Athol SA</w:t>
      </w:r>
    </w:p>
    <w:p w14:paraId="4F107EA7" w14:textId="77777777" w:rsidR="008B50D1" w:rsidRPr="009A0DA6" w:rsidRDefault="008B50D1" w:rsidP="00F55252">
      <w:pPr>
        <w:pStyle w:val="ListParagraph"/>
        <w:numPr>
          <w:ilvl w:val="0"/>
          <w:numId w:val="122"/>
        </w:numPr>
        <w:shd w:val="clear" w:color="auto" w:fill="FFFFFF"/>
        <w:spacing w:after="0" w:line="22" w:lineRule="atLeast"/>
        <w:ind w:left="567" w:hanging="567"/>
        <w:rPr>
          <w:rFonts w:ascii="Cambria" w:hAnsi="Cambria" w:cs="Arial"/>
          <w:i/>
          <w:shd w:val="clear" w:color="auto" w:fill="FFFFFF"/>
        </w:rPr>
      </w:pPr>
      <w:r w:rsidRPr="009A0DA6">
        <w:rPr>
          <w:rFonts w:ascii="Cambria" w:hAnsi="Cambria" w:cs="Arial"/>
          <w:i/>
          <w:shd w:val="clear" w:color="auto" w:fill="FFFFFF"/>
        </w:rPr>
        <w:t>St Andrew’s Lutheran Congregation, Brisbane Qld</w:t>
      </w:r>
    </w:p>
    <w:p w14:paraId="46D7A54F" w14:textId="77777777" w:rsidR="008B50D1" w:rsidRPr="009A0DA6" w:rsidRDefault="008B50D1" w:rsidP="00F55252">
      <w:pPr>
        <w:pStyle w:val="ListParagraph"/>
        <w:numPr>
          <w:ilvl w:val="0"/>
          <w:numId w:val="122"/>
        </w:numPr>
        <w:shd w:val="clear" w:color="auto" w:fill="FFFFFF"/>
        <w:spacing w:after="0" w:line="22" w:lineRule="atLeast"/>
        <w:ind w:left="567" w:hanging="567"/>
        <w:rPr>
          <w:rFonts w:ascii="Cambria" w:hAnsi="Cambria" w:cs="Arial"/>
          <w:i/>
          <w:shd w:val="clear" w:color="auto" w:fill="FFFFFF"/>
        </w:rPr>
      </w:pPr>
      <w:r w:rsidRPr="009A0DA6">
        <w:rPr>
          <w:rFonts w:ascii="Cambria" w:hAnsi="Cambria" w:cs="Arial"/>
          <w:i/>
          <w:shd w:val="clear" w:color="auto" w:fill="FFFFFF"/>
        </w:rPr>
        <w:t>Golden Grove Lutheran Church SA</w:t>
      </w:r>
    </w:p>
    <w:p w14:paraId="59ED9CF7" w14:textId="3A5545D1" w:rsidR="008B50D1" w:rsidRPr="009A0DA6" w:rsidRDefault="008B50D1" w:rsidP="00F55252">
      <w:pPr>
        <w:pStyle w:val="ListParagraph"/>
        <w:numPr>
          <w:ilvl w:val="0"/>
          <w:numId w:val="122"/>
        </w:numPr>
        <w:shd w:val="clear" w:color="auto" w:fill="FFFFFF"/>
        <w:spacing w:after="0" w:line="22" w:lineRule="atLeast"/>
        <w:ind w:left="567" w:hanging="567"/>
        <w:rPr>
          <w:rFonts w:ascii="Cambria" w:hAnsi="Cambria" w:cs="Arial"/>
          <w:i/>
          <w:shd w:val="clear" w:color="auto" w:fill="FFFFFF"/>
        </w:rPr>
      </w:pPr>
      <w:r w:rsidRPr="009A0DA6">
        <w:rPr>
          <w:rFonts w:ascii="Cambria" w:hAnsi="Cambria" w:cs="Arial"/>
          <w:i/>
          <w:shd w:val="clear" w:color="auto" w:fill="FFFFFF"/>
        </w:rPr>
        <w:t>St Peter’s Lutheran Congregation, Indooroopilly Qld</w:t>
      </w:r>
    </w:p>
    <w:p w14:paraId="0BABA4B2" w14:textId="77777777" w:rsidR="008B50D1" w:rsidRPr="009A0DA6" w:rsidRDefault="008B50D1" w:rsidP="00F55252">
      <w:pPr>
        <w:pStyle w:val="ListParagraph"/>
        <w:numPr>
          <w:ilvl w:val="0"/>
          <w:numId w:val="122"/>
        </w:numPr>
        <w:shd w:val="clear" w:color="auto" w:fill="FFFFFF"/>
        <w:spacing w:after="0" w:line="22" w:lineRule="atLeast"/>
        <w:ind w:left="567" w:hanging="567"/>
        <w:rPr>
          <w:rFonts w:ascii="Cambria" w:hAnsi="Cambria" w:cs="Arial"/>
          <w:i/>
          <w:shd w:val="clear" w:color="auto" w:fill="FFFFFF"/>
        </w:rPr>
      </w:pPr>
      <w:r w:rsidRPr="009A0DA6">
        <w:rPr>
          <w:rFonts w:ascii="Cambria" w:hAnsi="Cambria" w:cs="Arial"/>
          <w:i/>
          <w:shd w:val="clear" w:color="auto" w:fill="FFFFFF"/>
        </w:rPr>
        <w:t>Ipswich Lutheran Parish Qld</w:t>
      </w:r>
    </w:p>
    <w:p w14:paraId="52DA08E5" w14:textId="77777777" w:rsidR="008B50D1" w:rsidRPr="009A0DA6" w:rsidRDefault="008B50D1" w:rsidP="00F55252">
      <w:pPr>
        <w:pStyle w:val="ListParagraph"/>
        <w:numPr>
          <w:ilvl w:val="0"/>
          <w:numId w:val="122"/>
        </w:numPr>
        <w:shd w:val="clear" w:color="auto" w:fill="FFFFFF"/>
        <w:spacing w:after="0" w:line="22" w:lineRule="atLeast"/>
        <w:ind w:left="567" w:hanging="567"/>
        <w:rPr>
          <w:rFonts w:ascii="Cambria" w:hAnsi="Cambria" w:cs="Arial"/>
          <w:i/>
          <w:shd w:val="clear" w:color="auto" w:fill="FFFFFF"/>
        </w:rPr>
      </w:pPr>
      <w:r w:rsidRPr="009A0DA6">
        <w:rPr>
          <w:rFonts w:ascii="Cambria" w:hAnsi="Cambria" w:cs="Arial"/>
          <w:i/>
          <w:shd w:val="clear" w:color="auto" w:fill="FFFFFF"/>
        </w:rPr>
        <w:t>Mawson Lakes Community Church SA</w:t>
      </w:r>
    </w:p>
    <w:p w14:paraId="119416EE" w14:textId="77777777" w:rsidR="008B50D1" w:rsidRPr="009A0DA6" w:rsidRDefault="008B50D1" w:rsidP="00F55252">
      <w:pPr>
        <w:pStyle w:val="ListParagraph"/>
        <w:numPr>
          <w:ilvl w:val="0"/>
          <w:numId w:val="122"/>
        </w:numPr>
        <w:shd w:val="clear" w:color="auto" w:fill="FFFFFF"/>
        <w:spacing w:after="0" w:line="22" w:lineRule="atLeast"/>
        <w:ind w:left="567" w:hanging="567"/>
        <w:rPr>
          <w:rFonts w:ascii="Cambria" w:hAnsi="Cambria" w:cs="Arial"/>
          <w:i/>
          <w:shd w:val="clear" w:color="auto" w:fill="FFFFFF"/>
        </w:rPr>
      </w:pPr>
      <w:r w:rsidRPr="009A0DA6">
        <w:rPr>
          <w:rFonts w:ascii="Cambria" w:hAnsi="Cambria" w:cs="Arial"/>
          <w:i/>
          <w:shd w:val="clear" w:color="auto" w:fill="FFFFFF"/>
        </w:rPr>
        <w:t>Good News Lutheran Congregation, Middle Park Qld</w:t>
      </w:r>
    </w:p>
    <w:p w14:paraId="794064DA" w14:textId="77777777" w:rsidR="008B50D1" w:rsidRPr="009A0DA6" w:rsidRDefault="008B50D1" w:rsidP="00F55252">
      <w:pPr>
        <w:pStyle w:val="ListParagraph"/>
        <w:numPr>
          <w:ilvl w:val="0"/>
          <w:numId w:val="122"/>
        </w:numPr>
        <w:shd w:val="clear" w:color="auto" w:fill="FFFFFF"/>
        <w:spacing w:after="0" w:line="22" w:lineRule="atLeast"/>
        <w:ind w:left="567" w:hanging="567"/>
        <w:rPr>
          <w:rFonts w:ascii="Cambria" w:hAnsi="Cambria" w:cs="Arial"/>
          <w:i/>
          <w:shd w:val="clear" w:color="auto" w:fill="FFFFFF"/>
        </w:rPr>
      </w:pPr>
      <w:r w:rsidRPr="009A0DA6">
        <w:rPr>
          <w:rFonts w:ascii="Cambria" w:hAnsi="Cambria" w:cs="Arial"/>
          <w:i/>
          <w:shd w:val="clear" w:color="auto" w:fill="FFFFFF"/>
        </w:rPr>
        <w:t>The Finnish Lutheran Church of Brisbane, Mt Gravatt Qld</w:t>
      </w:r>
    </w:p>
    <w:p w14:paraId="3669E878" w14:textId="77777777" w:rsidR="008B50D1" w:rsidRPr="009A0DA6" w:rsidRDefault="008B50D1" w:rsidP="00F55252">
      <w:pPr>
        <w:pStyle w:val="ListParagraph"/>
        <w:numPr>
          <w:ilvl w:val="0"/>
          <w:numId w:val="122"/>
        </w:numPr>
        <w:shd w:val="clear" w:color="auto" w:fill="FFFFFF"/>
        <w:spacing w:after="0" w:line="22" w:lineRule="atLeast"/>
        <w:ind w:left="567" w:hanging="567"/>
        <w:rPr>
          <w:rFonts w:ascii="Cambria" w:hAnsi="Cambria" w:cs="Arial"/>
          <w:i/>
          <w:shd w:val="clear" w:color="auto" w:fill="FFFFFF"/>
        </w:rPr>
      </w:pPr>
      <w:r w:rsidRPr="009A0DA6">
        <w:rPr>
          <w:rFonts w:ascii="Cambria" w:hAnsi="Cambria" w:cs="Arial"/>
          <w:i/>
          <w:shd w:val="clear" w:color="auto" w:fill="FFFFFF"/>
        </w:rPr>
        <w:t>Nunawading/Waverley Parish, Vic</w:t>
      </w:r>
    </w:p>
    <w:p w14:paraId="18082561" w14:textId="77777777" w:rsidR="008B50D1" w:rsidRPr="009A0DA6" w:rsidRDefault="008B50D1" w:rsidP="00F55252">
      <w:pPr>
        <w:pStyle w:val="ListParagraph"/>
        <w:numPr>
          <w:ilvl w:val="0"/>
          <w:numId w:val="122"/>
        </w:numPr>
        <w:shd w:val="clear" w:color="auto" w:fill="FFFFFF"/>
        <w:spacing w:after="0" w:line="22" w:lineRule="atLeast"/>
        <w:ind w:left="567" w:hanging="567"/>
        <w:rPr>
          <w:rFonts w:ascii="Cambria" w:hAnsi="Cambria" w:cs="Arial"/>
          <w:i/>
          <w:shd w:val="clear" w:color="auto" w:fill="FFFFFF"/>
        </w:rPr>
      </w:pPr>
      <w:r w:rsidRPr="009A0DA6">
        <w:rPr>
          <w:rFonts w:ascii="Cambria" w:hAnsi="Cambria" w:cs="Arial"/>
          <w:i/>
          <w:shd w:val="clear" w:color="auto" w:fill="FFFFFF"/>
        </w:rPr>
        <w:t>Our Saviour Lutheran Congregation, Rochedale Qld</w:t>
      </w:r>
    </w:p>
    <w:p w14:paraId="0B8EAF4B" w14:textId="77777777" w:rsidR="008B50D1" w:rsidRPr="009A0DA6" w:rsidRDefault="008B50D1" w:rsidP="00F55252">
      <w:pPr>
        <w:pStyle w:val="ListParagraph"/>
        <w:numPr>
          <w:ilvl w:val="0"/>
          <w:numId w:val="122"/>
        </w:numPr>
        <w:shd w:val="clear" w:color="auto" w:fill="FFFFFF"/>
        <w:spacing w:after="0" w:line="22" w:lineRule="atLeast"/>
        <w:ind w:left="567" w:hanging="567"/>
        <w:rPr>
          <w:rFonts w:ascii="Cambria" w:hAnsi="Cambria" w:cs="Arial"/>
          <w:i/>
          <w:shd w:val="clear" w:color="auto" w:fill="FFFFFF"/>
        </w:rPr>
      </w:pPr>
      <w:r w:rsidRPr="009A0DA6">
        <w:rPr>
          <w:rFonts w:ascii="Cambria" w:hAnsi="Cambria" w:cs="Arial"/>
          <w:i/>
          <w:shd w:val="clear" w:color="auto" w:fill="FFFFFF"/>
        </w:rPr>
        <w:lastRenderedPageBreak/>
        <w:t>Bethany Lutheran Congregation Sunbury Vic</w:t>
      </w:r>
    </w:p>
    <w:p w14:paraId="7BE7746F" w14:textId="77777777" w:rsidR="008B50D1" w:rsidRPr="009A0DA6" w:rsidRDefault="008B50D1" w:rsidP="00F55252">
      <w:pPr>
        <w:pStyle w:val="ListParagraph"/>
        <w:numPr>
          <w:ilvl w:val="0"/>
          <w:numId w:val="122"/>
        </w:numPr>
        <w:shd w:val="clear" w:color="auto" w:fill="FFFFFF"/>
        <w:spacing w:after="0" w:line="22" w:lineRule="atLeast"/>
        <w:ind w:left="567" w:hanging="567"/>
        <w:rPr>
          <w:rFonts w:ascii="Cambria" w:hAnsi="Cambria" w:cs="Arial"/>
          <w:i/>
          <w:shd w:val="clear" w:color="auto" w:fill="FFFFFF"/>
        </w:rPr>
      </w:pPr>
      <w:r w:rsidRPr="009A0DA6">
        <w:rPr>
          <w:rFonts w:ascii="Cambria" w:hAnsi="Cambria" w:cs="Arial"/>
          <w:i/>
          <w:shd w:val="clear" w:color="auto" w:fill="FFFFFF"/>
        </w:rPr>
        <w:t>St Paul’s Lutheran Congregation, Sydney NSW</w:t>
      </w:r>
    </w:p>
    <w:p w14:paraId="796ABC42" w14:textId="77777777" w:rsidR="008B50D1" w:rsidRPr="009A0DA6" w:rsidRDefault="008B50D1" w:rsidP="00F55252">
      <w:pPr>
        <w:pStyle w:val="ListParagraph"/>
        <w:numPr>
          <w:ilvl w:val="0"/>
          <w:numId w:val="122"/>
        </w:numPr>
        <w:shd w:val="clear" w:color="auto" w:fill="FFFFFF"/>
        <w:spacing w:after="0" w:line="22" w:lineRule="atLeast"/>
        <w:ind w:left="567" w:hanging="567"/>
        <w:rPr>
          <w:rFonts w:ascii="Cambria" w:hAnsi="Cambria" w:cs="Arial"/>
          <w:i/>
          <w:shd w:val="clear" w:color="auto" w:fill="FFFFFF"/>
        </w:rPr>
      </w:pPr>
      <w:r w:rsidRPr="009A0DA6">
        <w:rPr>
          <w:rFonts w:ascii="Cambria" w:hAnsi="Cambria" w:cs="Arial"/>
          <w:i/>
          <w:shd w:val="clear" w:color="auto" w:fill="FFFFFF"/>
        </w:rPr>
        <w:t>Emmanuel Lutheran Fellowship, Toowoomba Qld</w:t>
      </w:r>
    </w:p>
    <w:p w14:paraId="0EC52C96" w14:textId="77777777" w:rsidR="008B50D1" w:rsidRPr="009A0DA6" w:rsidRDefault="008B50D1" w:rsidP="00F55252">
      <w:pPr>
        <w:pStyle w:val="ListParagraph"/>
        <w:numPr>
          <w:ilvl w:val="0"/>
          <w:numId w:val="122"/>
        </w:numPr>
        <w:shd w:val="clear" w:color="auto" w:fill="FFFFFF"/>
        <w:spacing w:after="0" w:line="22" w:lineRule="atLeast"/>
        <w:ind w:left="567" w:hanging="567"/>
        <w:rPr>
          <w:rFonts w:ascii="Cambria" w:hAnsi="Cambria" w:cs="Arial"/>
          <w:i/>
          <w:shd w:val="clear" w:color="auto" w:fill="FFFFFF"/>
        </w:rPr>
      </w:pPr>
      <w:r w:rsidRPr="009A0DA6">
        <w:rPr>
          <w:rFonts w:ascii="Cambria" w:hAnsi="Cambria" w:cs="Arial"/>
          <w:i/>
          <w:shd w:val="clear" w:color="auto" w:fill="FFFFFF"/>
        </w:rPr>
        <w:t>Church of the Good Shepherd Tuggeranong Lutheran Parish, ACT</w:t>
      </w:r>
    </w:p>
    <w:p w14:paraId="3D4C2CAA" w14:textId="77777777" w:rsidR="008B50D1" w:rsidRPr="009A0DA6" w:rsidRDefault="008B50D1" w:rsidP="00F55252">
      <w:pPr>
        <w:pStyle w:val="ListParagraph"/>
        <w:numPr>
          <w:ilvl w:val="0"/>
          <w:numId w:val="122"/>
        </w:numPr>
        <w:shd w:val="clear" w:color="auto" w:fill="FFFFFF"/>
        <w:spacing w:after="0" w:line="22" w:lineRule="atLeast"/>
        <w:ind w:left="567" w:hanging="567"/>
        <w:rPr>
          <w:rFonts w:ascii="Cambria" w:hAnsi="Cambria" w:cs="Arial"/>
          <w:i/>
          <w:shd w:val="clear" w:color="auto" w:fill="FFFFFF"/>
        </w:rPr>
      </w:pPr>
      <w:r w:rsidRPr="009A0DA6">
        <w:rPr>
          <w:rFonts w:ascii="Cambria" w:hAnsi="Cambria" w:cs="Arial"/>
          <w:i/>
          <w:color w:val="222222"/>
          <w:shd w:val="clear" w:color="auto" w:fill="FFFFFF"/>
        </w:rPr>
        <w:t>Victor Harbor Lutheran Church, SA</w:t>
      </w:r>
    </w:p>
    <w:p w14:paraId="2E5A5C1C" w14:textId="77777777" w:rsidR="008B50D1" w:rsidRPr="009A0DA6" w:rsidRDefault="008B50D1" w:rsidP="00F55252">
      <w:pPr>
        <w:pStyle w:val="ListParagraph"/>
        <w:numPr>
          <w:ilvl w:val="0"/>
          <w:numId w:val="122"/>
        </w:numPr>
        <w:shd w:val="clear" w:color="auto" w:fill="FFFFFF"/>
        <w:spacing w:after="0" w:line="22" w:lineRule="atLeast"/>
        <w:ind w:left="567" w:hanging="567"/>
        <w:rPr>
          <w:rFonts w:ascii="Cambria" w:hAnsi="Cambria" w:cs="Arial"/>
          <w:i/>
          <w:shd w:val="clear" w:color="auto" w:fill="FFFFFF"/>
        </w:rPr>
      </w:pPr>
      <w:r w:rsidRPr="009A0DA6">
        <w:rPr>
          <w:rFonts w:ascii="Cambria" w:hAnsi="Cambria" w:cs="Arial"/>
          <w:i/>
          <w:color w:val="222222"/>
          <w:shd w:val="clear" w:color="auto" w:fill="FFFFFF"/>
        </w:rPr>
        <w:t>St Paul’s Lutheran Congregation, Wellington NZ</w:t>
      </w:r>
    </w:p>
    <w:p w14:paraId="5B8C7CA8" w14:textId="7C24C60B" w:rsidR="008B50D1" w:rsidRPr="009A0DA6" w:rsidRDefault="008B50D1" w:rsidP="00F55252">
      <w:pPr>
        <w:pStyle w:val="ListParagraph"/>
        <w:numPr>
          <w:ilvl w:val="0"/>
          <w:numId w:val="122"/>
        </w:numPr>
        <w:shd w:val="clear" w:color="auto" w:fill="FFFFFF"/>
        <w:spacing w:after="0" w:line="22" w:lineRule="atLeast"/>
        <w:ind w:left="567" w:hanging="567"/>
        <w:rPr>
          <w:rFonts w:ascii="Cambria" w:hAnsi="Cambria" w:cs="Arial"/>
          <w:i/>
          <w:shd w:val="clear" w:color="auto" w:fill="FFFFFF"/>
        </w:rPr>
      </w:pPr>
      <w:r w:rsidRPr="009A0DA6">
        <w:rPr>
          <w:rFonts w:ascii="Cambria" w:hAnsi="Cambria" w:cs="Arial"/>
          <w:i/>
          <w:color w:val="222222"/>
          <w:shd w:val="clear" w:color="auto" w:fill="FFFFFF"/>
        </w:rPr>
        <w:t>Immanuel Woden Valley Lutheran Church, Lyons ACT</w:t>
      </w:r>
    </w:p>
    <w:p w14:paraId="338389CF" w14:textId="6C01C841" w:rsidR="00D04794" w:rsidRDefault="00D04794" w:rsidP="008B50D1">
      <w:pPr>
        <w:shd w:val="clear" w:color="auto" w:fill="FFFFFF"/>
        <w:spacing w:after="0" w:line="22" w:lineRule="atLeast"/>
        <w:rPr>
          <w:rFonts w:ascii="Cambria" w:hAnsi="Cambria" w:cs="Arial"/>
          <w:color w:val="222222"/>
          <w:shd w:val="clear" w:color="auto" w:fill="FFFFFF"/>
        </w:rPr>
      </w:pPr>
    </w:p>
    <w:p w14:paraId="434AED0C" w14:textId="77777777" w:rsidR="00D07614" w:rsidRPr="00D07614" w:rsidRDefault="00D07614" w:rsidP="008B50D1">
      <w:pPr>
        <w:shd w:val="clear" w:color="auto" w:fill="FFFFFF"/>
        <w:spacing w:after="0" w:line="22" w:lineRule="atLeast"/>
        <w:rPr>
          <w:rFonts w:ascii="Cambria" w:hAnsi="Cambria" w:cs="Arial"/>
          <w:color w:val="222222"/>
          <w:sz w:val="2"/>
          <w:shd w:val="clear" w:color="auto" w:fill="FFFFFF"/>
        </w:rPr>
      </w:pPr>
    </w:p>
    <w:p w14:paraId="2C5D7A4D" w14:textId="77777777" w:rsidR="0001243B" w:rsidRPr="009A0DA6" w:rsidRDefault="0001243B" w:rsidP="0001243B">
      <w:pPr>
        <w:pStyle w:val="NoSpacing"/>
        <w:rPr>
          <w:sz w:val="12"/>
        </w:rPr>
      </w:pPr>
    </w:p>
    <w:p w14:paraId="4E69D9BA" w14:textId="77777777" w:rsidR="0001243B" w:rsidRPr="009A0DA6" w:rsidRDefault="0001243B" w:rsidP="00964A90">
      <w:pPr>
        <w:pStyle w:val="Heading3"/>
      </w:pPr>
      <w:r w:rsidRPr="009A0DA6">
        <w:t>agenda 2.3.2</w:t>
      </w:r>
    </w:p>
    <w:p w14:paraId="4DD29DB2" w14:textId="7463F0CD" w:rsidR="0001243B" w:rsidRPr="009A0DA6" w:rsidRDefault="00201F24" w:rsidP="005D571C">
      <w:pPr>
        <w:pStyle w:val="Heading2"/>
      </w:pPr>
      <w:r>
        <w:t>The theological basis for the ordination of women and men</w:t>
      </w:r>
    </w:p>
    <w:p w14:paraId="51A10BDD" w14:textId="77777777" w:rsidR="00507840" w:rsidRDefault="00507840" w:rsidP="00507840">
      <w:pPr>
        <w:pStyle w:val="NoSpacing"/>
      </w:pPr>
    </w:p>
    <w:p w14:paraId="5CEA78EF" w14:textId="593E7E08" w:rsidR="00CF5733" w:rsidRDefault="00507840" w:rsidP="00507840">
      <w:pPr>
        <w:pStyle w:val="NoSpacing"/>
      </w:pPr>
      <w:r>
        <w:t>(See also Agenda 2.2.3</w:t>
      </w:r>
      <w:r w:rsidR="00CF5733">
        <w:t>, 2.3.1, 2.3.3, 2.3.4 and 2.3.5</w:t>
      </w:r>
      <w:r w:rsidR="00CF5733" w:rsidRPr="00CF5733">
        <w:t>)</w:t>
      </w:r>
    </w:p>
    <w:p w14:paraId="23F88970" w14:textId="77777777" w:rsidR="0037789C" w:rsidRPr="00D07614" w:rsidRDefault="0037789C" w:rsidP="0037789C">
      <w:pPr>
        <w:pStyle w:val="NoSpacing"/>
        <w:rPr>
          <w:sz w:val="14"/>
        </w:rPr>
      </w:pPr>
    </w:p>
    <w:p w14:paraId="10BD4404" w14:textId="13514200" w:rsidR="0037789C" w:rsidRPr="009A0DA6" w:rsidRDefault="0042579D" w:rsidP="00964A90">
      <w:pPr>
        <w:pStyle w:val="Heading3"/>
      </w:pPr>
      <w:r w:rsidRPr="009A0DA6">
        <w:t>proposED MOTION</w:t>
      </w:r>
    </w:p>
    <w:p w14:paraId="47E6F504" w14:textId="11F8AA31" w:rsidR="0037789C" w:rsidRPr="009A0DA6" w:rsidRDefault="0037789C" w:rsidP="0037789C">
      <w:pPr>
        <w:pStyle w:val="NoSpacing"/>
        <w:rPr>
          <w:i/>
        </w:rPr>
      </w:pPr>
      <w:r w:rsidRPr="009A0DA6">
        <w:rPr>
          <w:i/>
        </w:rPr>
        <w:t>Submitted by Redeemer Lutheran Congregation, Toowoomba</w:t>
      </w:r>
      <w:r w:rsidR="00BB5587" w:rsidRPr="009A0DA6">
        <w:rPr>
          <w:i/>
        </w:rPr>
        <w:t xml:space="preserve"> Qld</w:t>
      </w:r>
    </w:p>
    <w:p w14:paraId="025270B3" w14:textId="77777777" w:rsidR="0037789C" w:rsidRPr="009A0DA6" w:rsidRDefault="0037789C" w:rsidP="0037789C">
      <w:pPr>
        <w:pStyle w:val="NoSpacing"/>
        <w:rPr>
          <w:sz w:val="10"/>
        </w:rPr>
      </w:pPr>
    </w:p>
    <w:p w14:paraId="62308FD5" w14:textId="77777777" w:rsidR="0042579D" w:rsidRPr="009A0DA6" w:rsidRDefault="0042579D" w:rsidP="0042579D">
      <w:pPr>
        <w:spacing w:after="120" w:line="240" w:lineRule="auto"/>
        <w:rPr>
          <w:rFonts w:ascii="Cambria" w:hAnsi="Cambria"/>
        </w:rPr>
      </w:pPr>
      <w:r w:rsidRPr="009A0DA6">
        <w:rPr>
          <w:rFonts w:ascii="Cambria" w:hAnsi="Cambria"/>
          <w:b/>
          <w:bCs/>
          <w:lang w:eastAsia="en-AU"/>
        </w:rPr>
        <w:t xml:space="preserve">BE IT RESOLVED </w:t>
      </w:r>
      <w:r w:rsidRPr="009A0DA6">
        <w:rPr>
          <w:rFonts w:ascii="Cambria" w:hAnsi="Cambria"/>
        </w:rPr>
        <w:t xml:space="preserve">that </w:t>
      </w:r>
      <w:r w:rsidRPr="009A0DA6">
        <w:rPr>
          <w:rFonts w:ascii="Cambria" w:hAnsi="Cambria" w:cs="Calibri"/>
          <w:color w:val="000000"/>
        </w:rPr>
        <w:t xml:space="preserve">the Synod not endorse </w:t>
      </w:r>
      <w:r w:rsidRPr="009A0DA6">
        <w:rPr>
          <w:rFonts w:ascii="Cambria" w:hAnsi="Cambria" w:cs="Calibri"/>
          <w:i/>
          <w:iCs/>
          <w:color w:val="000000"/>
        </w:rPr>
        <w:t>A Theological Basis for the Ordination of Women and Men: Draft Doctrinal Statement</w:t>
      </w:r>
      <w:r w:rsidRPr="009A0DA6">
        <w:rPr>
          <w:rFonts w:ascii="Cambria" w:hAnsi="Cambria" w:cs="Calibri"/>
          <w:color w:val="000000"/>
        </w:rPr>
        <w:t>, since it is inconsistent with biblical teaching.</w:t>
      </w:r>
    </w:p>
    <w:p w14:paraId="7C0AC3C1" w14:textId="77777777" w:rsidR="0042579D" w:rsidRPr="009A0DA6" w:rsidRDefault="0042579D" w:rsidP="00D04794">
      <w:pPr>
        <w:pStyle w:val="Heading3"/>
      </w:pPr>
      <w:r w:rsidRPr="009A0DA6">
        <w:t>REASONS FOR THE MOTION</w:t>
      </w:r>
    </w:p>
    <w:p w14:paraId="4404BA19" w14:textId="6F86A019" w:rsidR="0042579D" w:rsidRPr="009A0DA6" w:rsidRDefault="0042579D" w:rsidP="0042579D">
      <w:pPr>
        <w:spacing w:after="0" w:line="254" w:lineRule="auto"/>
        <w:ind w:left="567" w:right="337" w:hanging="567"/>
        <w:rPr>
          <w:rFonts w:ascii="Cambria" w:eastAsia="Calibri" w:hAnsi="Cambria" w:cs="Calibri"/>
          <w:sz w:val="10"/>
        </w:rPr>
      </w:pPr>
      <w:r w:rsidRPr="009A0DA6">
        <w:rPr>
          <w:rFonts w:ascii="Cambria" w:eastAsia="Calibri" w:hAnsi="Cambria" w:cs="Calibri"/>
          <w:spacing w:val="-1"/>
        </w:rPr>
        <w:t xml:space="preserve"> A</w:t>
      </w:r>
      <w:r w:rsidRPr="009A0DA6">
        <w:rPr>
          <w:rFonts w:ascii="Cambria" w:eastAsia="Calibri" w:hAnsi="Cambria" w:cs="Calibri"/>
        </w:rPr>
        <w:t>.</w:t>
      </w:r>
      <w:r w:rsidRPr="009A0DA6">
        <w:rPr>
          <w:rFonts w:ascii="Cambria" w:eastAsia="Calibri" w:hAnsi="Cambria" w:cs="Calibri"/>
        </w:rPr>
        <w:tab/>
        <w:t>Scr</w:t>
      </w:r>
      <w:r w:rsidRPr="009A0DA6">
        <w:rPr>
          <w:rFonts w:ascii="Cambria" w:eastAsia="Calibri" w:hAnsi="Cambria" w:cs="Calibri"/>
          <w:spacing w:val="-1"/>
        </w:rPr>
        <w:t>ip</w:t>
      </w:r>
      <w:r w:rsidRPr="009A0DA6">
        <w:rPr>
          <w:rFonts w:ascii="Cambria" w:eastAsia="Calibri" w:hAnsi="Cambria" w:cs="Calibri"/>
        </w:rPr>
        <w:t>ture</w:t>
      </w:r>
      <w:r w:rsidRPr="009A0DA6">
        <w:rPr>
          <w:rFonts w:ascii="Cambria" w:eastAsia="Calibri" w:hAnsi="Cambria" w:cs="Calibri"/>
          <w:spacing w:val="8"/>
        </w:rPr>
        <w:t xml:space="preserve"> </w:t>
      </w:r>
      <w:r w:rsidRPr="009A0DA6">
        <w:rPr>
          <w:rFonts w:ascii="Cambria" w:eastAsia="Calibri" w:hAnsi="Cambria" w:cs="Calibri"/>
          <w:spacing w:val="-2"/>
        </w:rPr>
        <w:t>t</w:t>
      </w:r>
      <w:r w:rsidRPr="009A0DA6">
        <w:rPr>
          <w:rFonts w:ascii="Cambria" w:eastAsia="Calibri" w:hAnsi="Cambria" w:cs="Calibri"/>
        </w:rPr>
        <w:t>eaches</w:t>
      </w:r>
      <w:r w:rsidRPr="009A0DA6">
        <w:rPr>
          <w:rFonts w:ascii="Cambria" w:eastAsia="Calibri" w:hAnsi="Cambria" w:cs="Calibri"/>
          <w:spacing w:val="6"/>
        </w:rPr>
        <w:t xml:space="preserve"> </w:t>
      </w:r>
      <w:r w:rsidRPr="009A0DA6">
        <w:rPr>
          <w:rFonts w:ascii="Cambria" w:eastAsia="Calibri" w:hAnsi="Cambria" w:cs="Calibri"/>
          <w:spacing w:val="-1"/>
        </w:rPr>
        <w:t>u</w:t>
      </w:r>
      <w:r w:rsidRPr="009A0DA6">
        <w:rPr>
          <w:rFonts w:ascii="Cambria" w:eastAsia="Calibri" w:hAnsi="Cambria" w:cs="Calibri"/>
        </w:rPr>
        <w:t>s</w:t>
      </w:r>
      <w:r w:rsidRPr="009A0DA6">
        <w:rPr>
          <w:rFonts w:ascii="Cambria" w:eastAsia="Calibri" w:hAnsi="Cambria" w:cs="Calibri"/>
          <w:spacing w:val="5"/>
        </w:rPr>
        <w:t xml:space="preserve"> </w:t>
      </w:r>
      <w:r w:rsidRPr="009A0DA6">
        <w:rPr>
          <w:rFonts w:ascii="Cambria" w:eastAsia="Calibri" w:hAnsi="Cambria" w:cs="Calibri"/>
        </w:rPr>
        <w:t>the</w:t>
      </w:r>
      <w:r w:rsidRPr="009A0DA6">
        <w:rPr>
          <w:rFonts w:ascii="Cambria" w:eastAsia="Calibri" w:hAnsi="Cambria" w:cs="Calibri"/>
          <w:spacing w:val="5"/>
        </w:rPr>
        <w:t xml:space="preserve"> </w:t>
      </w:r>
      <w:r w:rsidRPr="009A0DA6">
        <w:rPr>
          <w:rFonts w:ascii="Cambria" w:eastAsia="Calibri" w:hAnsi="Cambria" w:cs="Calibri"/>
        </w:rPr>
        <w:t>f</w:t>
      </w:r>
      <w:r w:rsidRPr="009A0DA6">
        <w:rPr>
          <w:rFonts w:ascii="Cambria" w:eastAsia="Calibri" w:hAnsi="Cambria" w:cs="Calibri"/>
          <w:spacing w:val="-1"/>
        </w:rPr>
        <w:t>o</w:t>
      </w:r>
      <w:r w:rsidRPr="009A0DA6">
        <w:rPr>
          <w:rFonts w:ascii="Cambria" w:eastAsia="Calibri" w:hAnsi="Cambria" w:cs="Calibri"/>
        </w:rPr>
        <w:t>ll</w:t>
      </w:r>
      <w:r w:rsidRPr="009A0DA6">
        <w:rPr>
          <w:rFonts w:ascii="Cambria" w:eastAsia="Calibri" w:hAnsi="Cambria" w:cs="Calibri"/>
          <w:spacing w:val="1"/>
        </w:rPr>
        <w:t>o</w:t>
      </w:r>
      <w:r w:rsidRPr="009A0DA6">
        <w:rPr>
          <w:rFonts w:ascii="Cambria" w:eastAsia="Calibri" w:hAnsi="Cambria" w:cs="Calibri"/>
        </w:rPr>
        <w:t>wing</w:t>
      </w:r>
      <w:r w:rsidRPr="009A0DA6">
        <w:rPr>
          <w:rFonts w:ascii="Cambria" w:eastAsia="Calibri" w:hAnsi="Cambria" w:cs="Calibri"/>
          <w:spacing w:val="6"/>
        </w:rPr>
        <w:t xml:space="preserve"> </w:t>
      </w:r>
      <w:r w:rsidRPr="009A0DA6">
        <w:rPr>
          <w:rFonts w:ascii="Cambria" w:eastAsia="Calibri" w:hAnsi="Cambria" w:cs="Calibri"/>
        </w:rPr>
        <w:t>a</w:t>
      </w:r>
      <w:r w:rsidRPr="009A0DA6">
        <w:rPr>
          <w:rFonts w:ascii="Cambria" w:eastAsia="Calibri" w:hAnsi="Cambria" w:cs="Calibri"/>
          <w:spacing w:val="-3"/>
        </w:rPr>
        <w:t>b</w:t>
      </w:r>
      <w:r w:rsidRPr="009A0DA6">
        <w:rPr>
          <w:rFonts w:ascii="Cambria" w:eastAsia="Calibri" w:hAnsi="Cambria" w:cs="Calibri"/>
          <w:spacing w:val="1"/>
        </w:rPr>
        <w:t>o</w:t>
      </w:r>
      <w:r w:rsidRPr="009A0DA6">
        <w:rPr>
          <w:rFonts w:ascii="Cambria" w:eastAsia="Calibri" w:hAnsi="Cambria" w:cs="Calibri"/>
          <w:spacing w:val="-1"/>
        </w:rPr>
        <w:t>u</w:t>
      </w:r>
      <w:r w:rsidRPr="009A0DA6">
        <w:rPr>
          <w:rFonts w:ascii="Cambria" w:eastAsia="Calibri" w:hAnsi="Cambria" w:cs="Calibri"/>
        </w:rPr>
        <w:t>t</w:t>
      </w:r>
      <w:r w:rsidRPr="009A0DA6">
        <w:rPr>
          <w:rFonts w:ascii="Cambria" w:eastAsia="Calibri" w:hAnsi="Cambria" w:cs="Calibri"/>
          <w:spacing w:val="6"/>
        </w:rPr>
        <w:t xml:space="preserve"> </w:t>
      </w:r>
      <w:r w:rsidRPr="009A0DA6">
        <w:rPr>
          <w:rFonts w:ascii="Cambria" w:eastAsia="Calibri" w:hAnsi="Cambria" w:cs="Calibri"/>
        </w:rPr>
        <w:t>the</w:t>
      </w:r>
      <w:r w:rsidRPr="009A0DA6">
        <w:rPr>
          <w:rFonts w:ascii="Cambria" w:eastAsia="Calibri" w:hAnsi="Cambria" w:cs="Calibri"/>
          <w:spacing w:val="5"/>
        </w:rPr>
        <w:t xml:space="preserve"> </w:t>
      </w:r>
      <w:r w:rsidRPr="009A0DA6">
        <w:rPr>
          <w:rFonts w:ascii="Cambria" w:eastAsia="Calibri" w:hAnsi="Cambria" w:cs="Calibri"/>
          <w:spacing w:val="1"/>
        </w:rPr>
        <w:t>o</w:t>
      </w:r>
      <w:r w:rsidRPr="009A0DA6">
        <w:rPr>
          <w:rFonts w:ascii="Cambria" w:eastAsia="Calibri" w:hAnsi="Cambria" w:cs="Calibri"/>
          <w:spacing w:val="2"/>
        </w:rPr>
        <w:t>f</w:t>
      </w:r>
      <w:r w:rsidRPr="009A0DA6">
        <w:rPr>
          <w:rFonts w:ascii="Cambria" w:eastAsia="Calibri" w:hAnsi="Cambria" w:cs="Calibri"/>
        </w:rPr>
        <w:t>f</w:t>
      </w:r>
      <w:r w:rsidRPr="009A0DA6">
        <w:rPr>
          <w:rFonts w:ascii="Cambria" w:eastAsia="Calibri" w:hAnsi="Cambria" w:cs="Calibri"/>
          <w:spacing w:val="-3"/>
        </w:rPr>
        <w:t>i</w:t>
      </w:r>
      <w:r w:rsidRPr="009A0DA6">
        <w:rPr>
          <w:rFonts w:ascii="Cambria" w:eastAsia="Calibri" w:hAnsi="Cambria" w:cs="Calibri"/>
        </w:rPr>
        <w:t>ce</w:t>
      </w:r>
      <w:r w:rsidRPr="009A0DA6">
        <w:rPr>
          <w:rFonts w:ascii="Cambria" w:eastAsia="Calibri" w:hAnsi="Cambria" w:cs="Calibri"/>
          <w:spacing w:val="6"/>
        </w:rPr>
        <w:t xml:space="preserve"> </w:t>
      </w:r>
      <w:r w:rsidRPr="009A0DA6">
        <w:rPr>
          <w:rFonts w:ascii="Cambria" w:eastAsia="Calibri" w:hAnsi="Cambria" w:cs="Calibri"/>
          <w:spacing w:val="1"/>
        </w:rPr>
        <w:t>o</w:t>
      </w:r>
      <w:r w:rsidRPr="009A0DA6">
        <w:rPr>
          <w:rFonts w:ascii="Cambria" w:eastAsia="Calibri" w:hAnsi="Cambria" w:cs="Calibri"/>
        </w:rPr>
        <w:t>f</w:t>
      </w:r>
      <w:r w:rsidRPr="009A0DA6">
        <w:rPr>
          <w:rFonts w:ascii="Cambria" w:eastAsia="Calibri" w:hAnsi="Cambria" w:cs="Calibri"/>
          <w:spacing w:val="3"/>
        </w:rPr>
        <w:t xml:space="preserve"> </w:t>
      </w:r>
      <w:r w:rsidRPr="009A0DA6">
        <w:rPr>
          <w:rFonts w:ascii="Cambria" w:eastAsia="Calibri" w:hAnsi="Cambria" w:cs="Calibri"/>
        </w:rPr>
        <w:t>the</w:t>
      </w:r>
      <w:r w:rsidRPr="009A0DA6">
        <w:rPr>
          <w:rFonts w:ascii="Cambria" w:eastAsia="Calibri" w:hAnsi="Cambria" w:cs="Calibri"/>
          <w:spacing w:val="5"/>
        </w:rPr>
        <w:t xml:space="preserve"> </w:t>
      </w:r>
      <w:r w:rsidRPr="009A0DA6">
        <w:rPr>
          <w:rFonts w:ascii="Cambria" w:eastAsia="Calibri" w:hAnsi="Cambria" w:cs="Calibri"/>
          <w:spacing w:val="1"/>
        </w:rPr>
        <w:t>m</w:t>
      </w:r>
      <w:r w:rsidRPr="009A0DA6">
        <w:rPr>
          <w:rFonts w:ascii="Cambria" w:eastAsia="Calibri" w:hAnsi="Cambria" w:cs="Calibri"/>
        </w:rPr>
        <w:t>i</w:t>
      </w:r>
      <w:r w:rsidRPr="009A0DA6">
        <w:rPr>
          <w:rFonts w:ascii="Cambria" w:eastAsia="Calibri" w:hAnsi="Cambria" w:cs="Calibri"/>
          <w:spacing w:val="-1"/>
        </w:rPr>
        <w:t>n</w:t>
      </w:r>
      <w:r w:rsidRPr="009A0DA6">
        <w:rPr>
          <w:rFonts w:ascii="Cambria" w:eastAsia="Calibri" w:hAnsi="Cambria" w:cs="Calibri"/>
        </w:rPr>
        <w:t>ist</w:t>
      </w:r>
      <w:r w:rsidRPr="009A0DA6">
        <w:rPr>
          <w:rFonts w:ascii="Cambria" w:eastAsia="Calibri" w:hAnsi="Cambria" w:cs="Calibri"/>
          <w:spacing w:val="-2"/>
        </w:rPr>
        <w:t>r</w:t>
      </w:r>
      <w:r w:rsidRPr="009A0DA6">
        <w:rPr>
          <w:rFonts w:ascii="Cambria" w:eastAsia="Calibri" w:hAnsi="Cambria" w:cs="Calibri"/>
          <w:spacing w:val="1"/>
        </w:rPr>
        <w:t>y</w:t>
      </w:r>
      <w:r w:rsidRPr="009A0DA6">
        <w:rPr>
          <w:rFonts w:ascii="Cambria" w:eastAsia="Calibri" w:hAnsi="Cambria" w:cs="Calibri"/>
        </w:rPr>
        <w:t>:</w:t>
      </w:r>
      <w:r w:rsidRPr="009A0DA6">
        <w:rPr>
          <w:rFonts w:ascii="Cambria" w:eastAsia="Calibri" w:hAnsi="Cambria" w:cs="Calibri"/>
          <w:spacing w:val="8"/>
        </w:rPr>
        <w:t xml:space="preserve"> </w:t>
      </w:r>
      <w:r w:rsidRPr="009A0DA6">
        <w:rPr>
          <w:rFonts w:ascii="Cambria" w:eastAsia="Calibri" w:hAnsi="Cambria" w:cs="Calibri"/>
        </w:rPr>
        <w:t>(</w:t>
      </w:r>
      <w:r w:rsidRPr="009A0DA6">
        <w:rPr>
          <w:rFonts w:ascii="Cambria" w:eastAsia="Calibri" w:hAnsi="Cambria" w:cs="Calibri"/>
          <w:spacing w:val="-1"/>
        </w:rPr>
        <w:t>1</w:t>
      </w:r>
      <w:r w:rsidRPr="009A0DA6">
        <w:rPr>
          <w:rFonts w:ascii="Cambria" w:eastAsia="Calibri" w:hAnsi="Cambria" w:cs="Calibri"/>
        </w:rPr>
        <w:t>)</w:t>
      </w:r>
      <w:r w:rsidRPr="009A0DA6">
        <w:rPr>
          <w:rFonts w:ascii="Cambria" w:eastAsia="Calibri" w:hAnsi="Cambria" w:cs="Calibri"/>
          <w:spacing w:val="8"/>
        </w:rPr>
        <w:t xml:space="preserve"> </w:t>
      </w:r>
      <w:r w:rsidRPr="009A0DA6">
        <w:rPr>
          <w:rFonts w:ascii="Cambria" w:eastAsia="Calibri" w:hAnsi="Cambria" w:cs="Calibri"/>
        </w:rPr>
        <w:t>C</w:t>
      </w:r>
      <w:r w:rsidRPr="009A0DA6">
        <w:rPr>
          <w:rFonts w:ascii="Cambria" w:eastAsia="Calibri" w:hAnsi="Cambria" w:cs="Calibri"/>
          <w:spacing w:val="-1"/>
        </w:rPr>
        <w:t>h</w:t>
      </w:r>
      <w:r w:rsidRPr="009A0DA6">
        <w:rPr>
          <w:rFonts w:ascii="Cambria" w:eastAsia="Calibri" w:hAnsi="Cambria" w:cs="Calibri"/>
        </w:rPr>
        <w:t>ri</w:t>
      </w:r>
      <w:r w:rsidRPr="009A0DA6">
        <w:rPr>
          <w:rFonts w:ascii="Cambria" w:eastAsia="Calibri" w:hAnsi="Cambria" w:cs="Calibri"/>
          <w:spacing w:val="-3"/>
        </w:rPr>
        <w:t>s</w:t>
      </w:r>
      <w:r w:rsidRPr="009A0DA6">
        <w:rPr>
          <w:rFonts w:ascii="Cambria" w:eastAsia="Calibri" w:hAnsi="Cambria" w:cs="Calibri"/>
        </w:rPr>
        <w:t>t</w:t>
      </w:r>
      <w:r w:rsidRPr="009A0DA6">
        <w:rPr>
          <w:rFonts w:ascii="Cambria" w:eastAsia="Calibri" w:hAnsi="Cambria" w:cs="Calibri"/>
          <w:spacing w:val="8"/>
        </w:rPr>
        <w:t xml:space="preserve"> </w:t>
      </w:r>
      <w:r w:rsidRPr="009A0DA6">
        <w:rPr>
          <w:rFonts w:ascii="Cambria" w:eastAsia="Calibri" w:hAnsi="Cambria" w:cs="Calibri"/>
        </w:rPr>
        <w:t>c</w:t>
      </w:r>
      <w:r w:rsidRPr="009A0DA6">
        <w:rPr>
          <w:rFonts w:ascii="Cambria" w:eastAsia="Calibri" w:hAnsi="Cambria" w:cs="Calibri"/>
          <w:spacing w:val="-3"/>
        </w:rPr>
        <w:t>h</w:t>
      </w:r>
      <w:r w:rsidRPr="009A0DA6">
        <w:rPr>
          <w:rFonts w:ascii="Cambria" w:eastAsia="Calibri" w:hAnsi="Cambria" w:cs="Calibri"/>
          <w:spacing w:val="-1"/>
        </w:rPr>
        <w:t>o</w:t>
      </w:r>
      <w:r w:rsidRPr="009A0DA6">
        <w:rPr>
          <w:rFonts w:ascii="Cambria" w:eastAsia="Calibri" w:hAnsi="Cambria" w:cs="Calibri"/>
        </w:rPr>
        <w:t>se</w:t>
      </w:r>
      <w:r w:rsidRPr="009A0DA6">
        <w:rPr>
          <w:rFonts w:ascii="Cambria" w:eastAsia="Calibri" w:hAnsi="Cambria" w:cs="Calibri"/>
          <w:spacing w:val="8"/>
        </w:rPr>
        <w:t xml:space="preserve"> </w:t>
      </w:r>
      <w:r w:rsidRPr="009A0DA6">
        <w:rPr>
          <w:rFonts w:ascii="Cambria" w:eastAsia="Calibri" w:hAnsi="Cambria" w:cs="Calibri"/>
        </w:rPr>
        <w:t>t</w:t>
      </w:r>
      <w:r w:rsidRPr="009A0DA6">
        <w:rPr>
          <w:rFonts w:ascii="Cambria" w:eastAsia="Calibri" w:hAnsi="Cambria" w:cs="Calibri"/>
          <w:spacing w:val="-3"/>
        </w:rPr>
        <w:t>h</w:t>
      </w:r>
      <w:r w:rsidRPr="009A0DA6">
        <w:rPr>
          <w:rFonts w:ascii="Cambria" w:eastAsia="Calibri" w:hAnsi="Cambria" w:cs="Calibri"/>
        </w:rPr>
        <w:t>e</w:t>
      </w:r>
      <w:r w:rsidRPr="009A0DA6">
        <w:rPr>
          <w:rFonts w:ascii="Cambria" w:eastAsia="Calibri" w:hAnsi="Cambria" w:cs="Calibri"/>
          <w:spacing w:val="6"/>
        </w:rPr>
        <w:t xml:space="preserve"> </w:t>
      </w:r>
      <w:r w:rsidRPr="009A0DA6">
        <w:rPr>
          <w:rFonts w:ascii="Cambria" w:eastAsia="Calibri" w:hAnsi="Cambria" w:cs="Calibri"/>
        </w:rPr>
        <w:t>T</w:t>
      </w:r>
      <w:r w:rsidRPr="009A0DA6">
        <w:rPr>
          <w:rFonts w:ascii="Cambria" w:eastAsia="Calibri" w:hAnsi="Cambria" w:cs="Calibri"/>
          <w:spacing w:val="1"/>
        </w:rPr>
        <w:t>w</w:t>
      </w:r>
      <w:r w:rsidRPr="009A0DA6">
        <w:rPr>
          <w:rFonts w:ascii="Cambria" w:eastAsia="Calibri" w:hAnsi="Cambria" w:cs="Calibri"/>
        </w:rPr>
        <w:t>e</w:t>
      </w:r>
      <w:r w:rsidRPr="009A0DA6">
        <w:rPr>
          <w:rFonts w:ascii="Cambria" w:eastAsia="Calibri" w:hAnsi="Cambria" w:cs="Calibri"/>
          <w:spacing w:val="-2"/>
        </w:rPr>
        <w:t>l</w:t>
      </w:r>
      <w:r w:rsidRPr="009A0DA6">
        <w:rPr>
          <w:rFonts w:ascii="Cambria" w:eastAsia="Calibri" w:hAnsi="Cambria" w:cs="Calibri"/>
          <w:spacing w:val="1"/>
        </w:rPr>
        <w:t>v</w:t>
      </w:r>
      <w:r w:rsidRPr="009A0DA6">
        <w:rPr>
          <w:rFonts w:ascii="Cambria" w:eastAsia="Calibri" w:hAnsi="Cambria" w:cs="Calibri"/>
        </w:rPr>
        <w:t>e</w:t>
      </w:r>
      <w:r w:rsidRPr="009A0DA6">
        <w:rPr>
          <w:rFonts w:ascii="Cambria" w:eastAsia="Calibri" w:hAnsi="Cambria" w:cs="Calibri"/>
          <w:spacing w:val="6"/>
        </w:rPr>
        <w:t xml:space="preserve"> </w:t>
      </w:r>
      <w:r w:rsidRPr="009A0DA6">
        <w:rPr>
          <w:rFonts w:ascii="Cambria" w:eastAsia="Calibri" w:hAnsi="Cambria" w:cs="Calibri"/>
        </w:rPr>
        <w:t>a</w:t>
      </w:r>
      <w:r w:rsidRPr="009A0DA6">
        <w:rPr>
          <w:rFonts w:ascii="Cambria" w:eastAsia="Calibri" w:hAnsi="Cambria" w:cs="Calibri"/>
          <w:spacing w:val="-1"/>
        </w:rPr>
        <w:t>n</w:t>
      </w:r>
      <w:r w:rsidRPr="009A0DA6">
        <w:rPr>
          <w:rFonts w:ascii="Cambria" w:eastAsia="Calibri" w:hAnsi="Cambria" w:cs="Calibri"/>
        </w:rPr>
        <w:t>d</w:t>
      </w:r>
      <w:r w:rsidRPr="009A0DA6">
        <w:rPr>
          <w:rFonts w:ascii="Cambria" w:eastAsia="Calibri" w:hAnsi="Cambria" w:cs="Calibri"/>
          <w:spacing w:val="5"/>
        </w:rPr>
        <w:t xml:space="preserve"> </w:t>
      </w:r>
      <w:r w:rsidRPr="009A0DA6">
        <w:rPr>
          <w:rFonts w:ascii="Cambria" w:eastAsia="Calibri" w:hAnsi="Cambria" w:cs="Calibri"/>
          <w:spacing w:val="1"/>
        </w:rPr>
        <w:t>P</w:t>
      </w:r>
      <w:r w:rsidRPr="009A0DA6">
        <w:rPr>
          <w:rFonts w:ascii="Cambria" w:eastAsia="Calibri" w:hAnsi="Cambria" w:cs="Calibri"/>
        </w:rPr>
        <w:t>a</w:t>
      </w:r>
      <w:r w:rsidRPr="009A0DA6">
        <w:rPr>
          <w:rFonts w:ascii="Cambria" w:eastAsia="Calibri" w:hAnsi="Cambria" w:cs="Calibri"/>
          <w:spacing w:val="-1"/>
        </w:rPr>
        <w:t>u</w:t>
      </w:r>
      <w:r w:rsidRPr="009A0DA6">
        <w:rPr>
          <w:rFonts w:ascii="Cambria" w:eastAsia="Calibri" w:hAnsi="Cambria" w:cs="Calibri"/>
        </w:rPr>
        <w:t>l</w:t>
      </w:r>
      <w:r w:rsidRPr="009A0DA6">
        <w:rPr>
          <w:rFonts w:ascii="Cambria" w:eastAsia="Calibri" w:hAnsi="Cambria" w:cs="Calibri"/>
          <w:spacing w:val="5"/>
        </w:rPr>
        <w:t xml:space="preserve"> </w:t>
      </w:r>
      <w:r w:rsidRPr="009A0DA6">
        <w:rPr>
          <w:rFonts w:ascii="Cambria" w:eastAsia="Calibri" w:hAnsi="Cambria" w:cs="Calibri"/>
        </w:rPr>
        <w:t>to</w:t>
      </w:r>
      <w:r w:rsidRPr="009A0DA6">
        <w:rPr>
          <w:rFonts w:ascii="Cambria" w:eastAsia="Calibri" w:hAnsi="Cambria" w:cs="Calibri"/>
          <w:spacing w:val="5"/>
        </w:rPr>
        <w:t xml:space="preserve"> </w:t>
      </w:r>
      <w:r w:rsidRPr="009A0DA6">
        <w:rPr>
          <w:rFonts w:ascii="Cambria" w:eastAsia="Calibri" w:hAnsi="Cambria" w:cs="Calibri"/>
        </w:rPr>
        <w:t>ser</w:t>
      </w:r>
      <w:r w:rsidRPr="009A0DA6">
        <w:rPr>
          <w:rFonts w:ascii="Cambria" w:eastAsia="Calibri" w:hAnsi="Cambria" w:cs="Calibri"/>
          <w:spacing w:val="-1"/>
        </w:rPr>
        <w:t>v</w:t>
      </w:r>
      <w:r w:rsidRPr="009A0DA6">
        <w:rPr>
          <w:rFonts w:ascii="Cambria" w:eastAsia="Calibri" w:hAnsi="Cambria" w:cs="Calibri"/>
        </w:rPr>
        <w:t>e as</w:t>
      </w:r>
      <w:r w:rsidRPr="009A0DA6">
        <w:rPr>
          <w:rFonts w:ascii="Cambria" w:eastAsia="Calibri" w:hAnsi="Cambria" w:cs="Calibri"/>
          <w:spacing w:val="3"/>
        </w:rPr>
        <w:t xml:space="preserve"> </w:t>
      </w:r>
      <w:r w:rsidRPr="009A0DA6">
        <w:rPr>
          <w:rFonts w:ascii="Cambria" w:eastAsia="Calibri" w:hAnsi="Cambria" w:cs="Calibri"/>
          <w:spacing w:val="-1"/>
        </w:rPr>
        <w:t>h</w:t>
      </w:r>
      <w:r w:rsidRPr="009A0DA6">
        <w:rPr>
          <w:rFonts w:ascii="Cambria" w:eastAsia="Calibri" w:hAnsi="Cambria" w:cs="Calibri"/>
        </w:rPr>
        <w:t>is</w:t>
      </w:r>
      <w:r w:rsidRPr="009A0DA6">
        <w:rPr>
          <w:rFonts w:ascii="Cambria" w:eastAsia="Calibri" w:hAnsi="Cambria" w:cs="Calibri"/>
          <w:spacing w:val="3"/>
        </w:rPr>
        <w:t xml:space="preserve"> </w:t>
      </w:r>
      <w:r w:rsidRPr="009A0DA6">
        <w:rPr>
          <w:rFonts w:ascii="Cambria" w:eastAsia="Calibri" w:hAnsi="Cambria" w:cs="Calibri"/>
        </w:rPr>
        <w:t>A</w:t>
      </w:r>
      <w:r w:rsidRPr="009A0DA6">
        <w:rPr>
          <w:rFonts w:ascii="Cambria" w:eastAsia="Calibri" w:hAnsi="Cambria" w:cs="Calibri"/>
          <w:spacing w:val="-4"/>
        </w:rPr>
        <w:t>p</w:t>
      </w:r>
      <w:r w:rsidRPr="009A0DA6">
        <w:rPr>
          <w:rFonts w:ascii="Cambria" w:eastAsia="Calibri" w:hAnsi="Cambria" w:cs="Calibri"/>
          <w:spacing w:val="1"/>
        </w:rPr>
        <w:t>o</w:t>
      </w:r>
      <w:r w:rsidRPr="009A0DA6">
        <w:rPr>
          <w:rFonts w:ascii="Cambria" w:eastAsia="Calibri" w:hAnsi="Cambria" w:cs="Calibri"/>
        </w:rPr>
        <w:t>st</w:t>
      </w:r>
      <w:r w:rsidRPr="009A0DA6">
        <w:rPr>
          <w:rFonts w:ascii="Cambria" w:eastAsia="Calibri" w:hAnsi="Cambria" w:cs="Calibri"/>
          <w:spacing w:val="-2"/>
        </w:rPr>
        <w:t>l</w:t>
      </w:r>
      <w:r w:rsidRPr="009A0DA6">
        <w:rPr>
          <w:rFonts w:ascii="Cambria" w:eastAsia="Calibri" w:hAnsi="Cambria" w:cs="Calibri"/>
        </w:rPr>
        <w:t>es,</w:t>
      </w:r>
      <w:r w:rsidRPr="009A0DA6">
        <w:rPr>
          <w:rFonts w:ascii="Cambria" w:eastAsia="Calibri" w:hAnsi="Cambria" w:cs="Calibri"/>
          <w:spacing w:val="1"/>
        </w:rPr>
        <w:t xml:space="preserve"> </w:t>
      </w:r>
      <w:r w:rsidRPr="009A0DA6">
        <w:rPr>
          <w:rFonts w:ascii="Cambria" w:eastAsia="Calibri" w:hAnsi="Cambria" w:cs="Calibri"/>
        </w:rPr>
        <w:t xml:space="preserve">all </w:t>
      </w:r>
      <w:r w:rsidRPr="009A0DA6">
        <w:rPr>
          <w:rFonts w:ascii="Cambria" w:eastAsia="Calibri" w:hAnsi="Cambria" w:cs="Calibri"/>
          <w:spacing w:val="1"/>
        </w:rPr>
        <w:t>o</w:t>
      </w:r>
      <w:r w:rsidRPr="009A0DA6">
        <w:rPr>
          <w:rFonts w:ascii="Cambria" w:eastAsia="Calibri" w:hAnsi="Cambria" w:cs="Calibri"/>
        </w:rPr>
        <w:t>f wh</w:t>
      </w:r>
      <w:r w:rsidRPr="009A0DA6">
        <w:rPr>
          <w:rFonts w:ascii="Cambria" w:eastAsia="Calibri" w:hAnsi="Cambria" w:cs="Calibri"/>
          <w:spacing w:val="-1"/>
        </w:rPr>
        <w:t>o</w:t>
      </w:r>
      <w:r w:rsidRPr="009A0DA6">
        <w:rPr>
          <w:rFonts w:ascii="Cambria" w:eastAsia="Calibri" w:hAnsi="Cambria" w:cs="Calibri"/>
        </w:rPr>
        <w:t>m</w:t>
      </w:r>
      <w:r w:rsidRPr="009A0DA6">
        <w:rPr>
          <w:rFonts w:ascii="Cambria" w:eastAsia="Calibri" w:hAnsi="Cambria" w:cs="Calibri"/>
          <w:spacing w:val="2"/>
        </w:rPr>
        <w:t xml:space="preserve"> </w:t>
      </w:r>
      <w:r w:rsidRPr="009A0DA6">
        <w:rPr>
          <w:rFonts w:ascii="Cambria" w:eastAsia="Calibri" w:hAnsi="Cambria" w:cs="Calibri"/>
        </w:rPr>
        <w:t>w</w:t>
      </w:r>
      <w:r w:rsidRPr="009A0DA6">
        <w:rPr>
          <w:rFonts w:ascii="Cambria" w:eastAsia="Calibri" w:hAnsi="Cambria" w:cs="Calibri"/>
          <w:spacing w:val="1"/>
        </w:rPr>
        <w:t>e</w:t>
      </w:r>
      <w:r w:rsidRPr="009A0DA6">
        <w:rPr>
          <w:rFonts w:ascii="Cambria" w:eastAsia="Calibri" w:hAnsi="Cambria" w:cs="Calibri"/>
          <w:spacing w:val="-3"/>
        </w:rPr>
        <w:t>r</w:t>
      </w:r>
      <w:r w:rsidRPr="009A0DA6">
        <w:rPr>
          <w:rFonts w:ascii="Cambria" w:eastAsia="Calibri" w:hAnsi="Cambria" w:cs="Calibri"/>
        </w:rPr>
        <w:t>e</w:t>
      </w:r>
      <w:r w:rsidRPr="009A0DA6">
        <w:rPr>
          <w:rFonts w:ascii="Cambria" w:eastAsia="Calibri" w:hAnsi="Cambria" w:cs="Calibri"/>
          <w:spacing w:val="1"/>
        </w:rPr>
        <w:t xml:space="preserve"> m</w:t>
      </w:r>
      <w:r w:rsidRPr="009A0DA6">
        <w:rPr>
          <w:rFonts w:ascii="Cambria" w:eastAsia="Calibri" w:hAnsi="Cambria" w:cs="Calibri"/>
        </w:rPr>
        <w:t>e</w:t>
      </w:r>
      <w:r w:rsidRPr="009A0DA6">
        <w:rPr>
          <w:rFonts w:ascii="Cambria" w:eastAsia="Calibri" w:hAnsi="Cambria" w:cs="Calibri"/>
          <w:spacing w:val="-3"/>
        </w:rPr>
        <w:t>n</w:t>
      </w:r>
      <w:r w:rsidRPr="009A0DA6">
        <w:rPr>
          <w:rFonts w:ascii="Cambria" w:eastAsia="Calibri" w:hAnsi="Cambria" w:cs="Calibri"/>
        </w:rPr>
        <w:t>;</w:t>
      </w:r>
      <w:r w:rsidRPr="009A0DA6">
        <w:rPr>
          <w:rFonts w:ascii="Cambria" w:eastAsia="Calibri" w:hAnsi="Cambria" w:cs="Calibri"/>
          <w:spacing w:val="1"/>
        </w:rPr>
        <w:t xml:space="preserve"> </w:t>
      </w:r>
      <w:r w:rsidRPr="009A0DA6">
        <w:rPr>
          <w:rFonts w:ascii="Cambria" w:eastAsia="Calibri" w:hAnsi="Cambria" w:cs="Calibri"/>
        </w:rPr>
        <w:t>(</w:t>
      </w:r>
      <w:r w:rsidRPr="009A0DA6">
        <w:rPr>
          <w:rFonts w:ascii="Cambria" w:eastAsia="Calibri" w:hAnsi="Cambria" w:cs="Calibri"/>
          <w:spacing w:val="1"/>
        </w:rPr>
        <w:t>2</w:t>
      </w:r>
      <w:r w:rsidRPr="009A0DA6">
        <w:rPr>
          <w:rFonts w:ascii="Cambria" w:eastAsia="Calibri" w:hAnsi="Cambria" w:cs="Calibri"/>
        </w:rPr>
        <w:t>)</w:t>
      </w:r>
      <w:r w:rsidRPr="009A0DA6">
        <w:rPr>
          <w:rFonts w:ascii="Cambria" w:eastAsia="Calibri" w:hAnsi="Cambria" w:cs="Calibri"/>
          <w:spacing w:val="1"/>
        </w:rPr>
        <w:t xml:space="preserve"> </w:t>
      </w:r>
      <w:r w:rsidRPr="009A0DA6">
        <w:rPr>
          <w:rFonts w:ascii="Cambria" w:eastAsia="Calibri" w:hAnsi="Cambria" w:cs="Calibri"/>
        </w:rPr>
        <w:t>w</w:t>
      </w:r>
      <w:r w:rsidRPr="009A0DA6">
        <w:rPr>
          <w:rFonts w:ascii="Cambria" w:eastAsia="Calibri" w:hAnsi="Cambria" w:cs="Calibri"/>
          <w:spacing w:val="-3"/>
        </w:rPr>
        <w:t>h</w:t>
      </w:r>
      <w:r w:rsidRPr="009A0DA6">
        <w:rPr>
          <w:rFonts w:ascii="Cambria" w:eastAsia="Calibri" w:hAnsi="Cambria" w:cs="Calibri"/>
        </w:rPr>
        <w:t>en</w:t>
      </w:r>
      <w:r w:rsidRPr="009A0DA6">
        <w:rPr>
          <w:rFonts w:ascii="Cambria" w:eastAsia="Calibri" w:hAnsi="Cambria" w:cs="Calibri"/>
          <w:spacing w:val="3"/>
        </w:rPr>
        <w:t xml:space="preserve"> </w:t>
      </w:r>
      <w:r w:rsidRPr="009A0DA6">
        <w:rPr>
          <w:rFonts w:ascii="Cambria" w:eastAsia="Calibri" w:hAnsi="Cambria" w:cs="Calibri"/>
        </w:rPr>
        <w:t>t</w:t>
      </w:r>
      <w:r w:rsidRPr="009A0DA6">
        <w:rPr>
          <w:rFonts w:ascii="Cambria" w:eastAsia="Calibri" w:hAnsi="Cambria" w:cs="Calibri"/>
          <w:spacing w:val="-3"/>
        </w:rPr>
        <w:t>h</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rPr>
        <w:t>ear</w:t>
      </w:r>
      <w:r w:rsidRPr="009A0DA6">
        <w:rPr>
          <w:rFonts w:ascii="Cambria" w:eastAsia="Calibri" w:hAnsi="Cambria" w:cs="Calibri"/>
          <w:spacing w:val="-3"/>
        </w:rPr>
        <w:t>l</w:t>
      </w:r>
      <w:r w:rsidRPr="009A0DA6">
        <w:rPr>
          <w:rFonts w:ascii="Cambria" w:eastAsia="Calibri" w:hAnsi="Cambria" w:cs="Calibri"/>
        </w:rPr>
        <w:t>y</w:t>
      </w:r>
      <w:r w:rsidRPr="009A0DA6">
        <w:rPr>
          <w:rFonts w:ascii="Cambria" w:eastAsia="Calibri" w:hAnsi="Cambria" w:cs="Calibri"/>
          <w:spacing w:val="4"/>
        </w:rPr>
        <w:t xml:space="preserve"> </w:t>
      </w:r>
      <w:r w:rsidRPr="009A0DA6">
        <w:rPr>
          <w:rFonts w:ascii="Cambria" w:eastAsia="Calibri" w:hAnsi="Cambria" w:cs="Calibri"/>
        </w:rPr>
        <w:t>ch</w:t>
      </w:r>
      <w:r w:rsidRPr="009A0DA6">
        <w:rPr>
          <w:rFonts w:ascii="Cambria" w:eastAsia="Calibri" w:hAnsi="Cambria" w:cs="Calibri"/>
          <w:spacing w:val="-1"/>
        </w:rPr>
        <w:t>u</w:t>
      </w:r>
      <w:r w:rsidRPr="009A0DA6">
        <w:rPr>
          <w:rFonts w:ascii="Cambria" w:eastAsia="Calibri" w:hAnsi="Cambria" w:cs="Calibri"/>
        </w:rPr>
        <w:t>rch se</w:t>
      </w:r>
      <w:r w:rsidRPr="009A0DA6">
        <w:rPr>
          <w:rFonts w:ascii="Cambria" w:eastAsia="Calibri" w:hAnsi="Cambria" w:cs="Calibri"/>
          <w:spacing w:val="-2"/>
        </w:rPr>
        <w:t>l</w:t>
      </w:r>
      <w:r w:rsidRPr="009A0DA6">
        <w:rPr>
          <w:rFonts w:ascii="Cambria" w:eastAsia="Calibri" w:hAnsi="Cambria" w:cs="Calibri"/>
        </w:rPr>
        <w:t>ec</w:t>
      </w:r>
      <w:r w:rsidRPr="009A0DA6">
        <w:rPr>
          <w:rFonts w:ascii="Cambria" w:eastAsia="Calibri" w:hAnsi="Cambria" w:cs="Calibri"/>
          <w:spacing w:val="-1"/>
        </w:rPr>
        <w:t>t</w:t>
      </w:r>
      <w:r w:rsidRPr="009A0DA6">
        <w:rPr>
          <w:rFonts w:ascii="Cambria" w:eastAsia="Calibri" w:hAnsi="Cambria" w:cs="Calibri"/>
        </w:rPr>
        <w:t>ed</w:t>
      </w:r>
      <w:r w:rsidRPr="009A0DA6">
        <w:rPr>
          <w:rFonts w:ascii="Cambria" w:eastAsia="Calibri" w:hAnsi="Cambria" w:cs="Calibri"/>
          <w:spacing w:val="3"/>
        </w:rPr>
        <w:t xml:space="preserve"> </w:t>
      </w:r>
      <w:r w:rsidRPr="009A0DA6">
        <w:rPr>
          <w:rFonts w:ascii="Cambria" w:eastAsia="Calibri" w:hAnsi="Cambria" w:cs="Calibri"/>
        </w:rPr>
        <w:t>a r</w:t>
      </w:r>
      <w:r w:rsidRPr="009A0DA6">
        <w:rPr>
          <w:rFonts w:ascii="Cambria" w:eastAsia="Calibri" w:hAnsi="Cambria" w:cs="Calibri"/>
          <w:spacing w:val="-2"/>
        </w:rPr>
        <w:t>e</w:t>
      </w:r>
      <w:r w:rsidRPr="009A0DA6">
        <w:rPr>
          <w:rFonts w:ascii="Cambria" w:eastAsia="Calibri" w:hAnsi="Cambria" w:cs="Calibri"/>
          <w:spacing w:val="-1"/>
        </w:rPr>
        <w:t>p</w:t>
      </w:r>
      <w:r w:rsidRPr="009A0DA6">
        <w:rPr>
          <w:rFonts w:ascii="Cambria" w:eastAsia="Calibri" w:hAnsi="Cambria" w:cs="Calibri"/>
        </w:rPr>
        <w:t>lace</w:t>
      </w:r>
      <w:r w:rsidRPr="009A0DA6">
        <w:rPr>
          <w:rFonts w:ascii="Cambria" w:eastAsia="Calibri" w:hAnsi="Cambria" w:cs="Calibri"/>
          <w:spacing w:val="-1"/>
        </w:rPr>
        <w:t>m</w:t>
      </w:r>
      <w:r w:rsidRPr="009A0DA6">
        <w:rPr>
          <w:rFonts w:ascii="Cambria" w:eastAsia="Calibri" w:hAnsi="Cambria" w:cs="Calibri"/>
        </w:rPr>
        <w:t>ent</w:t>
      </w:r>
      <w:r w:rsidRPr="009A0DA6">
        <w:rPr>
          <w:rFonts w:ascii="Cambria" w:eastAsia="Calibri" w:hAnsi="Cambria" w:cs="Calibri"/>
          <w:spacing w:val="3"/>
        </w:rPr>
        <w:t xml:space="preserve"> </w:t>
      </w:r>
      <w:r w:rsidRPr="009A0DA6">
        <w:rPr>
          <w:rFonts w:ascii="Cambria" w:eastAsia="Calibri" w:hAnsi="Cambria" w:cs="Calibri"/>
          <w:spacing w:val="-3"/>
        </w:rPr>
        <w:t>f</w:t>
      </w:r>
      <w:r w:rsidRPr="009A0DA6">
        <w:rPr>
          <w:rFonts w:ascii="Cambria" w:eastAsia="Calibri" w:hAnsi="Cambria" w:cs="Calibri"/>
          <w:spacing w:val="1"/>
        </w:rPr>
        <w:t>o</w:t>
      </w:r>
      <w:r w:rsidRPr="009A0DA6">
        <w:rPr>
          <w:rFonts w:ascii="Cambria" w:eastAsia="Calibri" w:hAnsi="Cambria" w:cs="Calibri"/>
        </w:rPr>
        <w:t>r</w:t>
      </w:r>
      <w:r w:rsidRPr="009A0DA6">
        <w:rPr>
          <w:rFonts w:ascii="Cambria" w:eastAsia="Calibri" w:hAnsi="Cambria" w:cs="Calibri"/>
          <w:spacing w:val="1"/>
        </w:rPr>
        <w:t xml:space="preserve"> </w:t>
      </w:r>
      <w:r w:rsidRPr="009A0DA6">
        <w:rPr>
          <w:rFonts w:ascii="Cambria" w:eastAsia="Calibri" w:hAnsi="Cambria" w:cs="Calibri"/>
          <w:spacing w:val="-1"/>
        </w:rPr>
        <w:t>Jud</w:t>
      </w:r>
      <w:r w:rsidRPr="009A0DA6">
        <w:rPr>
          <w:rFonts w:ascii="Cambria" w:eastAsia="Calibri" w:hAnsi="Cambria" w:cs="Calibri"/>
        </w:rPr>
        <w:t>as,</w:t>
      </w:r>
      <w:r w:rsidRPr="009A0DA6">
        <w:rPr>
          <w:rFonts w:ascii="Cambria" w:eastAsia="Calibri" w:hAnsi="Cambria" w:cs="Calibri"/>
          <w:spacing w:val="3"/>
        </w:rPr>
        <w:t xml:space="preserve"> </w:t>
      </w:r>
      <w:r w:rsidRPr="009A0DA6">
        <w:rPr>
          <w:rFonts w:ascii="Cambria" w:eastAsia="Calibri" w:hAnsi="Cambria" w:cs="Calibri"/>
        </w:rPr>
        <w:t>t</w:t>
      </w:r>
      <w:r w:rsidRPr="009A0DA6">
        <w:rPr>
          <w:rFonts w:ascii="Cambria" w:eastAsia="Calibri" w:hAnsi="Cambria" w:cs="Calibri"/>
          <w:spacing w:val="-3"/>
        </w:rPr>
        <w:t>h</w:t>
      </w:r>
      <w:r w:rsidRPr="009A0DA6">
        <w:rPr>
          <w:rFonts w:ascii="Cambria" w:eastAsia="Calibri" w:hAnsi="Cambria" w:cs="Calibri"/>
        </w:rPr>
        <w:t>e</w:t>
      </w:r>
      <w:r w:rsidRPr="009A0DA6">
        <w:rPr>
          <w:rFonts w:ascii="Cambria" w:eastAsia="Calibri" w:hAnsi="Cambria" w:cs="Calibri"/>
          <w:spacing w:val="4"/>
        </w:rPr>
        <w:t xml:space="preserve"> </w:t>
      </w:r>
      <w:r w:rsidRPr="009A0DA6">
        <w:rPr>
          <w:rFonts w:ascii="Cambria" w:eastAsia="Calibri" w:hAnsi="Cambria" w:cs="Calibri"/>
          <w:spacing w:val="-3"/>
        </w:rPr>
        <w:t>A</w:t>
      </w:r>
      <w:r w:rsidRPr="009A0DA6">
        <w:rPr>
          <w:rFonts w:ascii="Cambria" w:eastAsia="Calibri" w:hAnsi="Cambria" w:cs="Calibri"/>
          <w:spacing w:val="-1"/>
        </w:rPr>
        <w:t>p</w:t>
      </w:r>
      <w:r w:rsidRPr="009A0DA6">
        <w:rPr>
          <w:rFonts w:ascii="Cambria" w:eastAsia="Calibri" w:hAnsi="Cambria" w:cs="Calibri"/>
          <w:spacing w:val="1"/>
        </w:rPr>
        <w:t>o</w:t>
      </w:r>
      <w:r w:rsidRPr="009A0DA6">
        <w:rPr>
          <w:rFonts w:ascii="Cambria" w:eastAsia="Calibri" w:hAnsi="Cambria" w:cs="Calibri"/>
        </w:rPr>
        <w:t>st</w:t>
      </w:r>
      <w:r w:rsidRPr="009A0DA6">
        <w:rPr>
          <w:rFonts w:ascii="Cambria" w:eastAsia="Calibri" w:hAnsi="Cambria" w:cs="Calibri"/>
          <w:spacing w:val="-2"/>
        </w:rPr>
        <w:t>l</w:t>
      </w:r>
      <w:r w:rsidRPr="009A0DA6">
        <w:rPr>
          <w:rFonts w:ascii="Cambria" w:eastAsia="Calibri" w:hAnsi="Cambria" w:cs="Calibri"/>
        </w:rPr>
        <w:t xml:space="preserve">e </w:t>
      </w:r>
      <w:r w:rsidRPr="009A0DA6">
        <w:rPr>
          <w:rFonts w:ascii="Cambria" w:eastAsia="Calibri" w:hAnsi="Cambria" w:cs="Calibri"/>
          <w:spacing w:val="1"/>
        </w:rPr>
        <w:t>P</w:t>
      </w:r>
      <w:r w:rsidRPr="009A0DA6">
        <w:rPr>
          <w:rFonts w:ascii="Cambria" w:eastAsia="Calibri" w:hAnsi="Cambria" w:cs="Calibri"/>
        </w:rPr>
        <w:t>e</w:t>
      </w:r>
      <w:r w:rsidRPr="009A0DA6">
        <w:rPr>
          <w:rFonts w:ascii="Cambria" w:eastAsia="Calibri" w:hAnsi="Cambria" w:cs="Calibri"/>
          <w:spacing w:val="-1"/>
        </w:rPr>
        <w:t>t</w:t>
      </w:r>
      <w:r w:rsidRPr="009A0DA6">
        <w:rPr>
          <w:rFonts w:ascii="Cambria" w:eastAsia="Calibri" w:hAnsi="Cambria" w:cs="Calibri"/>
        </w:rPr>
        <w:t>er</w:t>
      </w:r>
      <w:r w:rsidRPr="009A0DA6">
        <w:rPr>
          <w:rFonts w:ascii="Cambria" w:eastAsia="Calibri" w:hAnsi="Cambria" w:cs="Calibri"/>
          <w:spacing w:val="4"/>
        </w:rPr>
        <w:t xml:space="preserve"> </w:t>
      </w:r>
      <w:r w:rsidRPr="009A0DA6">
        <w:rPr>
          <w:rFonts w:ascii="Cambria" w:eastAsia="Calibri" w:hAnsi="Cambria" w:cs="Calibri"/>
        </w:rPr>
        <w:t>i</w:t>
      </w:r>
      <w:r w:rsidRPr="009A0DA6">
        <w:rPr>
          <w:rFonts w:ascii="Cambria" w:eastAsia="Calibri" w:hAnsi="Cambria" w:cs="Calibri"/>
          <w:spacing w:val="-1"/>
        </w:rPr>
        <w:t>n</w:t>
      </w:r>
      <w:r w:rsidRPr="009A0DA6">
        <w:rPr>
          <w:rFonts w:ascii="Cambria" w:eastAsia="Calibri" w:hAnsi="Cambria" w:cs="Calibri"/>
        </w:rPr>
        <w:t>sis</w:t>
      </w:r>
      <w:r w:rsidRPr="009A0DA6">
        <w:rPr>
          <w:rFonts w:ascii="Cambria" w:eastAsia="Calibri" w:hAnsi="Cambria" w:cs="Calibri"/>
          <w:spacing w:val="-2"/>
        </w:rPr>
        <w:t>t</w:t>
      </w:r>
      <w:r w:rsidRPr="009A0DA6">
        <w:rPr>
          <w:rFonts w:ascii="Cambria" w:eastAsia="Calibri" w:hAnsi="Cambria" w:cs="Calibri"/>
        </w:rPr>
        <w:t>ed</w:t>
      </w:r>
      <w:r w:rsidRPr="009A0DA6">
        <w:rPr>
          <w:rFonts w:ascii="Cambria" w:eastAsia="Calibri" w:hAnsi="Cambria" w:cs="Calibri"/>
          <w:spacing w:val="4"/>
        </w:rPr>
        <w:t xml:space="preserve"> </w:t>
      </w:r>
      <w:r w:rsidRPr="009A0DA6">
        <w:rPr>
          <w:rFonts w:ascii="Cambria" w:eastAsia="Calibri" w:hAnsi="Cambria" w:cs="Calibri"/>
        </w:rPr>
        <w:t>th</w:t>
      </w:r>
      <w:r w:rsidRPr="009A0DA6">
        <w:rPr>
          <w:rFonts w:ascii="Cambria" w:eastAsia="Calibri" w:hAnsi="Cambria" w:cs="Calibri"/>
          <w:spacing w:val="-3"/>
        </w:rPr>
        <w:t>a</w:t>
      </w:r>
      <w:r w:rsidRPr="009A0DA6">
        <w:rPr>
          <w:rFonts w:ascii="Cambria" w:eastAsia="Calibri" w:hAnsi="Cambria" w:cs="Calibri"/>
        </w:rPr>
        <w:t>t</w:t>
      </w:r>
      <w:r w:rsidRPr="009A0DA6">
        <w:rPr>
          <w:rFonts w:ascii="Cambria" w:eastAsia="Calibri" w:hAnsi="Cambria" w:cs="Calibri"/>
          <w:spacing w:val="4"/>
        </w:rPr>
        <w:t xml:space="preserve"> </w:t>
      </w:r>
      <w:r w:rsidRPr="009A0DA6">
        <w:rPr>
          <w:rFonts w:ascii="Cambria" w:eastAsia="Calibri" w:hAnsi="Cambria" w:cs="Calibri"/>
        </w:rPr>
        <w:t>th</w:t>
      </w:r>
      <w:r w:rsidRPr="009A0DA6">
        <w:rPr>
          <w:rFonts w:ascii="Cambria" w:eastAsia="Calibri" w:hAnsi="Cambria" w:cs="Calibri"/>
          <w:spacing w:val="-1"/>
        </w:rPr>
        <w:t>i</w:t>
      </w:r>
      <w:r w:rsidRPr="009A0DA6">
        <w:rPr>
          <w:rFonts w:ascii="Cambria" w:eastAsia="Calibri" w:hAnsi="Cambria" w:cs="Calibri"/>
        </w:rPr>
        <w:t>s</w:t>
      </w:r>
      <w:r w:rsidRPr="009A0DA6">
        <w:rPr>
          <w:rFonts w:ascii="Cambria" w:eastAsia="Calibri" w:hAnsi="Cambria" w:cs="Calibri"/>
          <w:spacing w:val="2"/>
        </w:rPr>
        <w:t xml:space="preserve"> </w:t>
      </w:r>
      <w:r w:rsidRPr="009A0DA6">
        <w:rPr>
          <w:rFonts w:ascii="Cambria" w:eastAsia="Calibri" w:hAnsi="Cambria" w:cs="Calibri"/>
        </w:rPr>
        <w:t>r</w:t>
      </w:r>
      <w:r w:rsidRPr="009A0DA6">
        <w:rPr>
          <w:rFonts w:ascii="Cambria" w:eastAsia="Calibri" w:hAnsi="Cambria" w:cs="Calibri"/>
          <w:spacing w:val="-2"/>
        </w:rPr>
        <w:t>e</w:t>
      </w:r>
      <w:r w:rsidRPr="009A0DA6">
        <w:rPr>
          <w:rFonts w:ascii="Cambria" w:eastAsia="Calibri" w:hAnsi="Cambria" w:cs="Calibri"/>
          <w:spacing w:val="-1"/>
        </w:rPr>
        <w:t>p</w:t>
      </w:r>
      <w:r w:rsidRPr="009A0DA6">
        <w:rPr>
          <w:rFonts w:ascii="Cambria" w:eastAsia="Calibri" w:hAnsi="Cambria" w:cs="Calibri"/>
        </w:rPr>
        <w:t>lace</w:t>
      </w:r>
      <w:r w:rsidRPr="009A0DA6">
        <w:rPr>
          <w:rFonts w:ascii="Cambria" w:eastAsia="Calibri" w:hAnsi="Cambria" w:cs="Calibri"/>
          <w:spacing w:val="-1"/>
        </w:rPr>
        <w:t>m</w:t>
      </w:r>
      <w:r w:rsidRPr="009A0DA6">
        <w:rPr>
          <w:rFonts w:ascii="Cambria" w:eastAsia="Calibri" w:hAnsi="Cambria" w:cs="Calibri"/>
        </w:rPr>
        <w:t>ent</w:t>
      </w:r>
      <w:r w:rsidRPr="009A0DA6">
        <w:rPr>
          <w:rFonts w:ascii="Cambria" w:eastAsia="Calibri" w:hAnsi="Cambria" w:cs="Calibri"/>
          <w:spacing w:val="4"/>
        </w:rPr>
        <w:t xml:space="preserve"> </w:t>
      </w:r>
      <w:r w:rsidRPr="009A0DA6">
        <w:rPr>
          <w:rFonts w:ascii="Cambria" w:eastAsia="Calibri" w:hAnsi="Cambria" w:cs="Calibri"/>
          <w:spacing w:val="-2"/>
        </w:rPr>
        <w:t>c</w:t>
      </w:r>
      <w:r w:rsidRPr="009A0DA6">
        <w:rPr>
          <w:rFonts w:ascii="Cambria" w:eastAsia="Calibri" w:hAnsi="Cambria" w:cs="Calibri"/>
          <w:spacing w:val="1"/>
        </w:rPr>
        <w:t>o</w:t>
      </w:r>
      <w:r w:rsidRPr="009A0DA6">
        <w:rPr>
          <w:rFonts w:ascii="Cambria" w:eastAsia="Calibri" w:hAnsi="Cambria" w:cs="Calibri"/>
          <w:spacing w:val="-1"/>
        </w:rPr>
        <w:t>u</w:t>
      </w:r>
      <w:r w:rsidRPr="009A0DA6">
        <w:rPr>
          <w:rFonts w:ascii="Cambria" w:eastAsia="Calibri" w:hAnsi="Cambria" w:cs="Calibri"/>
        </w:rPr>
        <w:t>ld</w:t>
      </w:r>
      <w:r w:rsidRPr="009A0DA6">
        <w:rPr>
          <w:rFonts w:ascii="Cambria" w:eastAsia="Calibri" w:hAnsi="Cambria" w:cs="Calibri"/>
          <w:spacing w:val="3"/>
        </w:rPr>
        <w:t xml:space="preserve"> </w:t>
      </w:r>
      <w:r w:rsidRPr="009A0DA6">
        <w:rPr>
          <w:rFonts w:ascii="Cambria" w:eastAsia="Calibri" w:hAnsi="Cambria" w:cs="Calibri"/>
          <w:spacing w:val="-3"/>
        </w:rPr>
        <w:t>n</w:t>
      </w:r>
      <w:r w:rsidRPr="009A0DA6">
        <w:rPr>
          <w:rFonts w:ascii="Cambria" w:eastAsia="Calibri" w:hAnsi="Cambria" w:cs="Calibri"/>
          <w:spacing w:val="1"/>
        </w:rPr>
        <w:t>o</w:t>
      </w:r>
      <w:r w:rsidRPr="009A0DA6">
        <w:rPr>
          <w:rFonts w:ascii="Cambria" w:eastAsia="Calibri" w:hAnsi="Cambria" w:cs="Calibri"/>
        </w:rPr>
        <w:t>t</w:t>
      </w:r>
      <w:r w:rsidRPr="009A0DA6">
        <w:rPr>
          <w:rFonts w:ascii="Cambria" w:eastAsia="Calibri" w:hAnsi="Cambria" w:cs="Calibri"/>
          <w:spacing w:val="4"/>
        </w:rPr>
        <w:t xml:space="preserve"> </w:t>
      </w:r>
      <w:r w:rsidRPr="009A0DA6">
        <w:rPr>
          <w:rFonts w:ascii="Cambria" w:eastAsia="Calibri" w:hAnsi="Cambria" w:cs="Calibri"/>
        </w:rPr>
        <w:t>s</w:t>
      </w:r>
      <w:r w:rsidRPr="009A0DA6">
        <w:rPr>
          <w:rFonts w:ascii="Cambria" w:eastAsia="Calibri" w:hAnsi="Cambria" w:cs="Calibri"/>
          <w:spacing w:val="-3"/>
        </w:rPr>
        <w:t>i</w:t>
      </w:r>
      <w:r w:rsidRPr="009A0DA6">
        <w:rPr>
          <w:rFonts w:ascii="Cambria" w:eastAsia="Calibri" w:hAnsi="Cambria" w:cs="Calibri"/>
          <w:spacing w:val="1"/>
        </w:rPr>
        <w:t>m</w:t>
      </w:r>
      <w:r w:rsidRPr="009A0DA6">
        <w:rPr>
          <w:rFonts w:ascii="Cambria" w:eastAsia="Calibri" w:hAnsi="Cambria" w:cs="Calibri"/>
          <w:spacing w:val="-3"/>
        </w:rPr>
        <w:t>p</w:t>
      </w:r>
      <w:r w:rsidRPr="009A0DA6">
        <w:rPr>
          <w:rFonts w:ascii="Cambria" w:eastAsia="Calibri" w:hAnsi="Cambria" w:cs="Calibri"/>
        </w:rPr>
        <w:t>ly</w:t>
      </w:r>
      <w:r w:rsidRPr="009A0DA6">
        <w:rPr>
          <w:rFonts w:ascii="Cambria" w:eastAsia="Calibri" w:hAnsi="Cambria" w:cs="Calibri"/>
          <w:spacing w:val="5"/>
        </w:rPr>
        <w:t xml:space="preserve"> </w:t>
      </w:r>
      <w:r w:rsidRPr="009A0DA6">
        <w:rPr>
          <w:rFonts w:ascii="Cambria" w:eastAsia="Calibri" w:hAnsi="Cambria" w:cs="Calibri"/>
          <w:spacing w:val="-1"/>
        </w:rPr>
        <w:t>b</w:t>
      </w:r>
      <w:r w:rsidRPr="009A0DA6">
        <w:rPr>
          <w:rFonts w:ascii="Cambria" w:eastAsia="Calibri" w:hAnsi="Cambria" w:cs="Calibri"/>
        </w:rPr>
        <w:t>e</w:t>
      </w:r>
      <w:r w:rsidRPr="009A0DA6">
        <w:rPr>
          <w:rFonts w:ascii="Cambria" w:eastAsia="Calibri" w:hAnsi="Cambria" w:cs="Calibri"/>
          <w:spacing w:val="2"/>
        </w:rPr>
        <w:t xml:space="preserve"> </w:t>
      </w:r>
      <w:r w:rsidRPr="009A0DA6">
        <w:rPr>
          <w:rFonts w:ascii="Cambria" w:eastAsia="Calibri" w:hAnsi="Cambria" w:cs="Calibri"/>
        </w:rPr>
        <w:t>a</w:t>
      </w:r>
      <w:r w:rsidRPr="009A0DA6">
        <w:rPr>
          <w:rFonts w:ascii="Cambria" w:eastAsia="Calibri" w:hAnsi="Cambria" w:cs="Calibri"/>
          <w:spacing w:val="-1"/>
        </w:rPr>
        <w:t>n</w:t>
      </w:r>
      <w:r w:rsidRPr="009A0DA6">
        <w:rPr>
          <w:rFonts w:ascii="Cambria" w:eastAsia="Calibri" w:hAnsi="Cambria" w:cs="Calibri"/>
        </w:rPr>
        <w:t>y</w:t>
      </w:r>
      <w:r w:rsidRPr="009A0DA6">
        <w:rPr>
          <w:rFonts w:ascii="Cambria" w:eastAsia="Calibri" w:hAnsi="Cambria" w:cs="Calibri"/>
          <w:spacing w:val="2"/>
        </w:rPr>
        <w:t xml:space="preserve"> </w:t>
      </w:r>
      <w:r w:rsidRPr="009A0DA6">
        <w:rPr>
          <w:rFonts w:ascii="Cambria" w:eastAsia="Calibri" w:hAnsi="Cambria" w:cs="Calibri"/>
        </w:rPr>
        <w:t>e</w:t>
      </w:r>
      <w:r w:rsidRPr="009A0DA6">
        <w:rPr>
          <w:rFonts w:ascii="Cambria" w:eastAsia="Calibri" w:hAnsi="Cambria" w:cs="Calibri"/>
          <w:spacing w:val="-1"/>
        </w:rPr>
        <w:t>y</w:t>
      </w:r>
      <w:r w:rsidRPr="009A0DA6">
        <w:rPr>
          <w:rFonts w:ascii="Cambria" w:eastAsia="Calibri" w:hAnsi="Cambria" w:cs="Calibri"/>
        </w:rPr>
        <w:t>e</w:t>
      </w:r>
      <w:r w:rsidRPr="009A0DA6">
        <w:rPr>
          <w:rFonts w:ascii="Cambria" w:eastAsia="Calibri" w:hAnsi="Cambria" w:cs="Calibri"/>
          <w:spacing w:val="1"/>
        </w:rPr>
        <w:t>w</w:t>
      </w:r>
      <w:r w:rsidRPr="009A0DA6">
        <w:rPr>
          <w:rFonts w:ascii="Cambria" w:eastAsia="Calibri" w:hAnsi="Cambria" w:cs="Calibri"/>
        </w:rPr>
        <w:t>it</w:t>
      </w:r>
      <w:r w:rsidRPr="009A0DA6">
        <w:rPr>
          <w:rFonts w:ascii="Cambria" w:eastAsia="Calibri" w:hAnsi="Cambria" w:cs="Calibri"/>
          <w:spacing w:val="-3"/>
        </w:rPr>
        <w:t>n</w:t>
      </w:r>
      <w:r w:rsidRPr="009A0DA6">
        <w:rPr>
          <w:rFonts w:ascii="Cambria" w:eastAsia="Calibri" w:hAnsi="Cambria" w:cs="Calibri"/>
        </w:rPr>
        <w:t>ess</w:t>
      </w:r>
      <w:r w:rsidRPr="009A0DA6">
        <w:rPr>
          <w:rFonts w:ascii="Cambria" w:eastAsia="Calibri" w:hAnsi="Cambria" w:cs="Calibri"/>
          <w:spacing w:val="2"/>
        </w:rPr>
        <w:t xml:space="preserve"> </w:t>
      </w:r>
      <w:r w:rsidRPr="009A0DA6">
        <w:rPr>
          <w:rFonts w:ascii="Cambria" w:eastAsia="Calibri" w:hAnsi="Cambria" w:cs="Calibri"/>
          <w:spacing w:val="1"/>
        </w:rPr>
        <w:t>o</w:t>
      </w:r>
      <w:r w:rsidRPr="009A0DA6">
        <w:rPr>
          <w:rFonts w:ascii="Cambria" w:eastAsia="Calibri" w:hAnsi="Cambria" w:cs="Calibri"/>
        </w:rPr>
        <w:t>f</w:t>
      </w:r>
      <w:r w:rsidRPr="009A0DA6">
        <w:rPr>
          <w:rFonts w:ascii="Cambria" w:eastAsia="Calibri" w:hAnsi="Cambria" w:cs="Calibri"/>
          <w:spacing w:val="1"/>
        </w:rPr>
        <w:t xml:space="preserve"> </w:t>
      </w:r>
      <w:r w:rsidRPr="009A0DA6">
        <w:rPr>
          <w:rFonts w:ascii="Cambria" w:eastAsia="Calibri" w:hAnsi="Cambria" w:cs="Calibri"/>
          <w:spacing w:val="-2"/>
        </w:rPr>
        <w:t>t</w:t>
      </w:r>
      <w:r w:rsidRPr="009A0DA6">
        <w:rPr>
          <w:rFonts w:ascii="Cambria" w:eastAsia="Calibri" w:hAnsi="Cambria" w:cs="Calibri"/>
          <w:spacing w:val="4"/>
        </w:rPr>
        <w:t>h</w:t>
      </w:r>
      <w:r w:rsidRPr="009A0DA6">
        <w:rPr>
          <w:rFonts w:ascii="Cambria" w:eastAsia="Calibri" w:hAnsi="Cambria" w:cs="Calibri"/>
        </w:rPr>
        <w:t>e</w:t>
      </w:r>
      <w:r w:rsidRPr="009A0DA6">
        <w:rPr>
          <w:rFonts w:ascii="Cambria" w:eastAsia="Calibri" w:hAnsi="Cambria" w:cs="Calibri"/>
          <w:spacing w:val="4"/>
        </w:rPr>
        <w:t xml:space="preserve"> </w:t>
      </w:r>
      <w:r w:rsidRPr="009A0DA6">
        <w:rPr>
          <w:rFonts w:ascii="Cambria" w:eastAsia="Calibri" w:hAnsi="Cambria" w:cs="Calibri"/>
        </w:rPr>
        <w:t>resu</w:t>
      </w:r>
      <w:r w:rsidRPr="009A0DA6">
        <w:rPr>
          <w:rFonts w:ascii="Cambria" w:eastAsia="Calibri" w:hAnsi="Cambria" w:cs="Calibri"/>
          <w:spacing w:val="-1"/>
        </w:rPr>
        <w:t>r</w:t>
      </w:r>
      <w:r w:rsidRPr="009A0DA6">
        <w:rPr>
          <w:rFonts w:ascii="Cambria" w:eastAsia="Calibri" w:hAnsi="Cambria" w:cs="Calibri"/>
        </w:rPr>
        <w:t>r</w:t>
      </w:r>
      <w:r w:rsidRPr="009A0DA6">
        <w:rPr>
          <w:rFonts w:ascii="Cambria" w:eastAsia="Calibri" w:hAnsi="Cambria" w:cs="Calibri"/>
          <w:spacing w:val="-2"/>
        </w:rPr>
        <w:t>e</w:t>
      </w:r>
      <w:r w:rsidRPr="009A0DA6">
        <w:rPr>
          <w:rFonts w:ascii="Cambria" w:eastAsia="Calibri" w:hAnsi="Cambria" w:cs="Calibri"/>
        </w:rPr>
        <w:t>ct</w:t>
      </w:r>
      <w:r w:rsidRPr="009A0DA6">
        <w:rPr>
          <w:rFonts w:ascii="Cambria" w:eastAsia="Calibri" w:hAnsi="Cambria" w:cs="Calibri"/>
          <w:spacing w:val="-2"/>
        </w:rPr>
        <w:t>i</w:t>
      </w:r>
      <w:r w:rsidRPr="009A0DA6">
        <w:rPr>
          <w:rFonts w:ascii="Cambria" w:eastAsia="Calibri" w:hAnsi="Cambria" w:cs="Calibri"/>
          <w:spacing w:val="1"/>
        </w:rPr>
        <w:t>o</w:t>
      </w:r>
      <w:r w:rsidRPr="009A0DA6">
        <w:rPr>
          <w:rFonts w:ascii="Cambria" w:eastAsia="Calibri" w:hAnsi="Cambria" w:cs="Calibri"/>
          <w:spacing w:val="-1"/>
        </w:rPr>
        <w:t>n</w:t>
      </w:r>
      <w:r w:rsidRPr="009A0DA6">
        <w:rPr>
          <w:rFonts w:ascii="Cambria" w:eastAsia="Calibri" w:hAnsi="Cambria" w:cs="Calibri"/>
        </w:rPr>
        <w:t>,</w:t>
      </w:r>
      <w:r w:rsidRPr="009A0DA6">
        <w:rPr>
          <w:rFonts w:ascii="Cambria" w:eastAsia="Calibri" w:hAnsi="Cambria" w:cs="Calibri"/>
          <w:spacing w:val="4"/>
        </w:rPr>
        <w:t xml:space="preserve"> </w:t>
      </w:r>
      <w:r w:rsidRPr="009A0DA6">
        <w:rPr>
          <w:rFonts w:ascii="Cambria" w:eastAsia="Calibri" w:hAnsi="Cambria" w:cs="Calibri"/>
        </w:rPr>
        <w:t>such as</w:t>
      </w:r>
      <w:r w:rsidRPr="009A0DA6">
        <w:rPr>
          <w:rFonts w:ascii="Cambria" w:eastAsia="Calibri" w:hAnsi="Cambria" w:cs="Calibri"/>
          <w:spacing w:val="2"/>
        </w:rPr>
        <w:t xml:space="preserve"> </w:t>
      </w:r>
      <w:r w:rsidRPr="009A0DA6">
        <w:rPr>
          <w:rFonts w:ascii="Cambria" w:eastAsia="Calibri" w:hAnsi="Cambria" w:cs="Calibri"/>
          <w:spacing w:val="1"/>
        </w:rPr>
        <w:t>M</w:t>
      </w:r>
      <w:r w:rsidRPr="009A0DA6">
        <w:rPr>
          <w:rFonts w:ascii="Cambria" w:eastAsia="Calibri" w:hAnsi="Cambria" w:cs="Calibri"/>
        </w:rPr>
        <w:t xml:space="preserve">ary </w:t>
      </w:r>
      <w:r w:rsidRPr="009A0DA6">
        <w:rPr>
          <w:rFonts w:ascii="Cambria" w:eastAsia="Calibri" w:hAnsi="Cambria" w:cs="Calibri"/>
          <w:spacing w:val="1"/>
        </w:rPr>
        <w:t>M</w:t>
      </w:r>
      <w:r w:rsidRPr="009A0DA6">
        <w:rPr>
          <w:rFonts w:ascii="Cambria" w:eastAsia="Calibri" w:hAnsi="Cambria" w:cs="Calibri"/>
        </w:rPr>
        <w:t>a</w:t>
      </w:r>
      <w:r w:rsidRPr="009A0DA6">
        <w:rPr>
          <w:rFonts w:ascii="Cambria" w:eastAsia="Calibri" w:hAnsi="Cambria" w:cs="Calibri"/>
          <w:spacing w:val="-1"/>
        </w:rPr>
        <w:t>gd</w:t>
      </w:r>
      <w:r w:rsidRPr="009A0DA6">
        <w:rPr>
          <w:rFonts w:ascii="Cambria" w:eastAsia="Calibri" w:hAnsi="Cambria" w:cs="Calibri"/>
        </w:rPr>
        <w:t>ale</w:t>
      </w:r>
      <w:r w:rsidRPr="009A0DA6">
        <w:rPr>
          <w:rFonts w:ascii="Cambria" w:eastAsia="Calibri" w:hAnsi="Cambria" w:cs="Calibri"/>
          <w:spacing w:val="-1"/>
        </w:rPr>
        <w:t>n</w:t>
      </w:r>
      <w:r w:rsidRPr="009A0DA6">
        <w:rPr>
          <w:rFonts w:ascii="Cambria" w:eastAsia="Calibri" w:hAnsi="Cambria" w:cs="Calibri"/>
        </w:rPr>
        <w:t>e,</w:t>
      </w:r>
      <w:r w:rsidRPr="009A0DA6">
        <w:rPr>
          <w:rFonts w:ascii="Cambria" w:eastAsia="Calibri" w:hAnsi="Cambria" w:cs="Calibri"/>
          <w:spacing w:val="16"/>
        </w:rPr>
        <w:t xml:space="preserve"> </w:t>
      </w:r>
      <w:r w:rsidRPr="009A0DA6">
        <w:rPr>
          <w:rFonts w:ascii="Cambria" w:eastAsia="Calibri" w:hAnsi="Cambria" w:cs="Calibri"/>
          <w:spacing w:val="-1"/>
        </w:rPr>
        <w:t>bu</w:t>
      </w:r>
      <w:r w:rsidRPr="009A0DA6">
        <w:rPr>
          <w:rFonts w:ascii="Cambria" w:eastAsia="Calibri" w:hAnsi="Cambria" w:cs="Calibri"/>
        </w:rPr>
        <w:t>t</w:t>
      </w:r>
      <w:r w:rsidRPr="009A0DA6">
        <w:rPr>
          <w:rFonts w:ascii="Cambria" w:eastAsia="Calibri" w:hAnsi="Cambria" w:cs="Calibri"/>
          <w:spacing w:val="18"/>
        </w:rPr>
        <w:t xml:space="preserve"> </w:t>
      </w:r>
      <w:r w:rsidRPr="009A0DA6">
        <w:rPr>
          <w:rFonts w:ascii="Cambria" w:eastAsia="Calibri" w:hAnsi="Cambria" w:cs="Calibri"/>
          <w:spacing w:val="-1"/>
        </w:rPr>
        <w:t>n</w:t>
      </w:r>
      <w:r w:rsidRPr="009A0DA6">
        <w:rPr>
          <w:rFonts w:ascii="Cambria" w:eastAsia="Calibri" w:hAnsi="Cambria" w:cs="Calibri"/>
          <w:spacing w:val="-2"/>
        </w:rPr>
        <w:t>e</w:t>
      </w:r>
      <w:r w:rsidRPr="009A0DA6">
        <w:rPr>
          <w:rFonts w:ascii="Cambria" w:eastAsia="Calibri" w:hAnsi="Cambria" w:cs="Calibri"/>
        </w:rPr>
        <w:t>eded</w:t>
      </w:r>
      <w:r w:rsidRPr="009A0DA6">
        <w:rPr>
          <w:rFonts w:ascii="Cambria" w:eastAsia="Calibri" w:hAnsi="Cambria" w:cs="Calibri"/>
          <w:spacing w:val="18"/>
        </w:rPr>
        <w:t xml:space="preserve"> </w:t>
      </w:r>
      <w:r w:rsidRPr="009A0DA6">
        <w:rPr>
          <w:rFonts w:ascii="Cambria" w:eastAsia="Calibri" w:hAnsi="Cambria" w:cs="Calibri"/>
          <w:spacing w:val="-2"/>
        </w:rPr>
        <w:t>t</w:t>
      </w:r>
      <w:r w:rsidRPr="009A0DA6">
        <w:rPr>
          <w:rFonts w:ascii="Cambria" w:eastAsia="Calibri" w:hAnsi="Cambria" w:cs="Calibri"/>
        </w:rPr>
        <w:t>o</w:t>
      </w:r>
      <w:r w:rsidRPr="009A0DA6">
        <w:rPr>
          <w:rFonts w:ascii="Cambria" w:eastAsia="Calibri" w:hAnsi="Cambria" w:cs="Calibri"/>
          <w:spacing w:val="17"/>
        </w:rPr>
        <w:t xml:space="preserve"> </w:t>
      </w:r>
      <w:r w:rsidRPr="009A0DA6">
        <w:rPr>
          <w:rFonts w:ascii="Cambria" w:eastAsia="Calibri" w:hAnsi="Cambria" w:cs="Calibri"/>
          <w:spacing w:val="-1"/>
        </w:rPr>
        <w:t>b</w:t>
      </w:r>
      <w:r w:rsidRPr="009A0DA6">
        <w:rPr>
          <w:rFonts w:ascii="Cambria" w:eastAsia="Calibri" w:hAnsi="Cambria" w:cs="Calibri"/>
        </w:rPr>
        <w:t>e</w:t>
      </w:r>
      <w:r w:rsidRPr="009A0DA6">
        <w:rPr>
          <w:rFonts w:ascii="Cambria" w:eastAsia="Calibri" w:hAnsi="Cambria" w:cs="Calibri"/>
          <w:spacing w:val="19"/>
        </w:rPr>
        <w:t xml:space="preserve"> </w:t>
      </w:r>
      <w:r w:rsidRPr="009A0DA6">
        <w:rPr>
          <w:rFonts w:ascii="Cambria" w:eastAsia="Calibri" w:hAnsi="Cambria" w:cs="Calibri"/>
        </w:rPr>
        <w:t>a</w:t>
      </w:r>
      <w:r w:rsidRPr="009A0DA6">
        <w:rPr>
          <w:rFonts w:ascii="Cambria" w:eastAsia="Calibri" w:hAnsi="Cambria" w:cs="Calibri"/>
          <w:spacing w:val="15"/>
        </w:rPr>
        <w:t xml:space="preserve"> </w:t>
      </w:r>
      <w:r w:rsidRPr="009A0DA6">
        <w:rPr>
          <w:rFonts w:ascii="Cambria" w:eastAsia="Calibri" w:hAnsi="Cambria" w:cs="Calibri"/>
          <w:spacing w:val="-1"/>
        </w:rPr>
        <w:t>m</w:t>
      </w:r>
      <w:r w:rsidRPr="009A0DA6">
        <w:rPr>
          <w:rFonts w:ascii="Cambria" w:eastAsia="Calibri" w:hAnsi="Cambria" w:cs="Calibri"/>
        </w:rPr>
        <w:t>an</w:t>
      </w:r>
      <w:r w:rsidRPr="009A0DA6">
        <w:rPr>
          <w:rFonts w:ascii="Cambria" w:eastAsia="Calibri" w:hAnsi="Cambria" w:cs="Calibri"/>
          <w:spacing w:val="17"/>
        </w:rPr>
        <w:t xml:space="preserve"> </w:t>
      </w:r>
      <w:r w:rsidRPr="009A0DA6">
        <w:rPr>
          <w:rFonts w:ascii="Cambria" w:eastAsia="Calibri" w:hAnsi="Cambria" w:cs="Calibri"/>
        </w:rPr>
        <w:t>(A</w:t>
      </w:r>
      <w:r w:rsidRPr="009A0DA6">
        <w:rPr>
          <w:rFonts w:ascii="Cambria" w:eastAsia="Calibri" w:hAnsi="Cambria" w:cs="Calibri"/>
          <w:spacing w:val="-3"/>
        </w:rPr>
        <w:t>c</w:t>
      </w:r>
      <w:r w:rsidRPr="009A0DA6">
        <w:rPr>
          <w:rFonts w:ascii="Cambria" w:eastAsia="Calibri" w:hAnsi="Cambria" w:cs="Calibri"/>
        </w:rPr>
        <w:t>ts</w:t>
      </w:r>
      <w:r w:rsidRPr="009A0DA6">
        <w:rPr>
          <w:rFonts w:ascii="Cambria" w:eastAsia="Calibri" w:hAnsi="Cambria" w:cs="Calibri"/>
          <w:spacing w:val="16"/>
        </w:rPr>
        <w:t xml:space="preserve"> </w:t>
      </w:r>
      <w:r w:rsidRPr="009A0DA6">
        <w:rPr>
          <w:rFonts w:ascii="Cambria" w:eastAsia="Calibri" w:hAnsi="Cambria" w:cs="Calibri"/>
          <w:spacing w:val="1"/>
        </w:rPr>
        <w:t>1</w:t>
      </w:r>
      <w:r w:rsidRPr="009A0DA6">
        <w:rPr>
          <w:rFonts w:ascii="Cambria" w:eastAsia="Calibri" w:hAnsi="Cambria" w:cs="Calibri"/>
          <w:spacing w:val="-1"/>
        </w:rPr>
        <w:t>:</w:t>
      </w:r>
      <w:r w:rsidRPr="009A0DA6">
        <w:rPr>
          <w:rFonts w:ascii="Cambria" w:eastAsia="Calibri" w:hAnsi="Cambria" w:cs="Calibri"/>
          <w:spacing w:val="1"/>
        </w:rPr>
        <w:t>2</w:t>
      </w:r>
      <w:r w:rsidRPr="009A0DA6">
        <w:rPr>
          <w:rFonts w:ascii="Cambria" w:eastAsia="Calibri" w:hAnsi="Cambria" w:cs="Calibri"/>
          <w:spacing w:val="2"/>
        </w:rPr>
        <w:t>1</w:t>
      </w:r>
      <w:r w:rsidRPr="009A0DA6">
        <w:rPr>
          <w:rFonts w:ascii="Cambria" w:eastAsia="Calibri" w:hAnsi="Cambria" w:cs="Calibri"/>
        </w:rPr>
        <w:sym w:font="Symbol" w:char="F02D"/>
      </w:r>
      <w:r w:rsidRPr="009A0DA6">
        <w:rPr>
          <w:rFonts w:ascii="Cambria" w:eastAsia="Calibri" w:hAnsi="Cambria" w:cs="Calibri"/>
          <w:spacing w:val="-2"/>
        </w:rPr>
        <w:t>2</w:t>
      </w:r>
      <w:r w:rsidRPr="009A0DA6">
        <w:rPr>
          <w:rFonts w:ascii="Cambria" w:eastAsia="Calibri" w:hAnsi="Cambria" w:cs="Calibri"/>
          <w:spacing w:val="1"/>
        </w:rPr>
        <w:t>2</w:t>
      </w:r>
      <w:r w:rsidRPr="009A0DA6">
        <w:rPr>
          <w:rFonts w:ascii="Cambria" w:eastAsia="Calibri" w:hAnsi="Cambria" w:cs="Calibri"/>
        </w:rPr>
        <w:t>)</w:t>
      </w:r>
      <w:r w:rsidRPr="009A0DA6">
        <w:rPr>
          <w:rFonts w:ascii="Cambria" w:eastAsia="Calibri" w:hAnsi="Cambria" w:cs="Calibri"/>
          <w:spacing w:val="-1"/>
        </w:rPr>
        <w:t>;</w:t>
      </w:r>
      <w:r w:rsidRPr="009A0DA6">
        <w:rPr>
          <w:rStyle w:val="FootnoteReference"/>
          <w:rFonts w:ascii="Cambria" w:eastAsia="Calibri" w:hAnsi="Cambria" w:cs="Calibri"/>
          <w:spacing w:val="-1"/>
        </w:rPr>
        <w:footnoteReference w:id="10"/>
      </w:r>
      <w:r w:rsidRPr="009A0DA6">
        <w:rPr>
          <w:rFonts w:ascii="Cambria" w:eastAsia="Calibri" w:hAnsi="Cambria" w:cs="Calibri"/>
          <w:position w:val="8"/>
          <w:sz w:val="14"/>
          <w:szCs w:val="14"/>
        </w:rPr>
        <w:t xml:space="preserve"> </w:t>
      </w:r>
      <w:r w:rsidRPr="009A0DA6">
        <w:rPr>
          <w:rFonts w:ascii="Cambria" w:eastAsia="Calibri" w:hAnsi="Cambria" w:cs="Calibri"/>
        </w:rPr>
        <w:t>(</w:t>
      </w:r>
      <w:r w:rsidRPr="009A0DA6">
        <w:rPr>
          <w:rFonts w:ascii="Cambria" w:eastAsia="Calibri" w:hAnsi="Cambria" w:cs="Calibri"/>
          <w:spacing w:val="1"/>
        </w:rPr>
        <w:t>3</w:t>
      </w:r>
      <w:r w:rsidRPr="009A0DA6">
        <w:rPr>
          <w:rFonts w:ascii="Cambria" w:eastAsia="Calibri" w:hAnsi="Cambria" w:cs="Calibri"/>
        </w:rPr>
        <w:t>)</w:t>
      </w:r>
      <w:r w:rsidRPr="009A0DA6">
        <w:rPr>
          <w:rFonts w:ascii="Cambria" w:eastAsia="Calibri" w:hAnsi="Cambria" w:cs="Calibri"/>
          <w:spacing w:val="16"/>
        </w:rPr>
        <w:t xml:space="preserve"> </w:t>
      </w:r>
      <w:r w:rsidRPr="009A0DA6">
        <w:rPr>
          <w:rFonts w:ascii="Cambria" w:eastAsia="Calibri" w:hAnsi="Cambria" w:cs="Calibri"/>
        </w:rPr>
        <w:t>C</w:t>
      </w:r>
      <w:r w:rsidRPr="009A0DA6">
        <w:rPr>
          <w:rFonts w:ascii="Cambria" w:eastAsia="Calibri" w:hAnsi="Cambria" w:cs="Calibri"/>
          <w:spacing w:val="-1"/>
        </w:rPr>
        <w:t>h</w:t>
      </w:r>
      <w:r w:rsidRPr="009A0DA6">
        <w:rPr>
          <w:rFonts w:ascii="Cambria" w:eastAsia="Calibri" w:hAnsi="Cambria" w:cs="Calibri"/>
        </w:rPr>
        <w:t>rist,</w:t>
      </w:r>
      <w:r w:rsidRPr="009A0DA6">
        <w:rPr>
          <w:rFonts w:ascii="Cambria" w:eastAsia="Calibri" w:hAnsi="Cambria" w:cs="Calibri"/>
          <w:spacing w:val="16"/>
        </w:rPr>
        <w:t xml:space="preserve"> </w:t>
      </w:r>
      <w:r w:rsidRPr="009A0DA6">
        <w:rPr>
          <w:rFonts w:ascii="Cambria" w:eastAsia="Calibri" w:hAnsi="Cambria" w:cs="Calibri"/>
        </w:rPr>
        <w:t>thro</w:t>
      </w:r>
      <w:r w:rsidRPr="009A0DA6">
        <w:rPr>
          <w:rFonts w:ascii="Cambria" w:eastAsia="Calibri" w:hAnsi="Cambria" w:cs="Calibri"/>
          <w:spacing w:val="-1"/>
        </w:rPr>
        <w:t>ug</w:t>
      </w:r>
      <w:r w:rsidRPr="009A0DA6">
        <w:rPr>
          <w:rFonts w:ascii="Cambria" w:eastAsia="Calibri" w:hAnsi="Cambria" w:cs="Calibri"/>
        </w:rPr>
        <w:t>h</w:t>
      </w:r>
      <w:r w:rsidRPr="009A0DA6">
        <w:rPr>
          <w:rFonts w:ascii="Cambria" w:eastAsia="Calibri" w:hAnsi="Cambria" w:cs="Calibri"/>
          <w:spacing w:val="17"/>
        </w:rPr>
        <w:t xml:space="preserve"> </w:t>
      </w:r>
      <w:r w:rsidRPr="009A0DA6">
        <w:rPr>
          <w:rFonts w:ascii="Cambria" w:eastAsia="Calibri" w:hAnsi="Cambria" w:cs="Calibri"/>
        </w:rPr>
        <w:t>t</w:t>
      </w:r>
      <w:r w:rsidRPr="009A0DA6">
        <w:rPr>
          <w:rFonts w:ascii="Cambria" w:eastAsia="Calibri" w:hAnsi="Cambria" w:cs="Calibri"/>
          <w:spacing w:val="-3"/>
        </w:rPr>
        <w:t>h</w:t>
      </w:r>
      <w:r w:rsidRPr="009A0DA6">
        <w:rPr>
          <w:rFonts w:ascii="Cambria" w:eastAsia="Calibri" w:hAnsi="Cambria" w:cs="Calibri"/>
        </w:rPr>
        <w:t>e</w:t>
      </w:r>
      <w:r w:rsidRPr="009A0DA6">
        <w:rPr>
          <w:rFonts w:ascii="Cambria" w:eastAsia="Calibri" w:hAnsi="Cambria" w:cs="Calibri"/>
          <w:spacing w:val="19"/>
        </w:rPr>
        <w:t xml:space="preserve"> </w:t>
      </w:r>
      <w:r w:rsidRPr="009A0DA6">
        <w:rPr>
          <w:rFonts w:ascii="Cambria" w:eastAsia="Calibri" w:hAnsi="Cambria" w:cs="Calibri"/>
        </w:rPr>
        <w:t>A</w:t>
      </w:r>
      <w:r w:rsidRPr="009A0DA6">
        <w:rPr>
          <w:rFonts w:ascii="Cambria" w:eastAsia="Calibri" w:hAnsi="Cambria" w:cs="Calibri"/>
          <w:spacing w:val="-4"/>
        </w:rPr>
        <w:t>p</w:t>
      </w:r>
      <w:r w:rsidRPr="009A0DA6">
        <w:rPr>
          <w:rFonts w:ascii="Cambria" w:eastAsia="Calibri" w:hAnsi="Cambria" w:cs="Calibri"/>
          <w:spacing w:val="1"/>
        </w:rPr>
        <w:t>o</w:t>
      </w:r>
      <w:r w:rsidRPr="009A0DA6">
        <w:rPr>
          <w:rFonts w:ascii="Cambria" w:eastAsia="Calibri" w:hAnsi="Cambria" w:cs="Calibri"/>
        </w:rPr>
        <w:t>stle</w:t>
      </w:r>
      <w:r w:rsidRPr="009A0DA6">
        <w:rPr>
          <w:rFonts w:ascii="Cambria" w:eastAsia="Calibri" w:hAnsi="Cambria" w:cs="Calibri"/>
          <w:spacing w:val="14"/>
        </w:rPr>
        <w:t xml:space="preserve"> </w:t>
      </w:r>
      <w:r w:rsidRPr="009A0DA6">
        <w:rPr>
          <w:rFonts w:ascii="Cambria" w:eastAsia="Calibri" w:hAnsi="Cambria" w:cs="Calibri"/>
          <w:spacing w:val="1"/>
        </w:rPr>
        <w:t>P</w:t>
      </w:r>
      <w:r w:rsidRPr="009A0DA6">
        <w:rPr>
          <w:rFonts w:ascii="Cambria" w:eastAsia="Calibri" w:hAnsi="Cambria" w:cs="Calibri"/>
        </w:rPr>
        <w:t>a</w:t>
      </w:r>
      <w:r w:rsidRPr="009A0DA6">
        <w:rPr>
          <w:rFonts w:ascii="Cambria" w:eastAsia="Calibri" w:hAnsi="Cambria" w:cs="Calibri"/>
          <w:spacing w:val="-1"/>
        </w:rPr>
        <w:t>u</w:t>
      </w:r>
      <w:r w:rsidRPr="009A0DA6">
        <w:rPr>
          <w:rFonts w:ascii="Cambria" w:eastAsia="Calibri" w:hAnsi="Cambria" w:cs="Calibri"/>
        </w:rPr>
        <w:t>l,</w:t>
      </w:r>
      <w:r w:rsidRPr="009A0DA6">
        <w:rPr>
          <w:rFonts w:ascii="Cambria" w:eastAsia="Calibri" w:hAnsi="Cambria" w:cs="Calibri"/>
          <w:spacing w:val="18"/>
        </w:rPr>
        <w:t xml:space="preserve"> </w:t>
      </w:r>
      <w:r w:rsidRPr="009A0DA6">
        <w:rPr>
          <w:rFonts w:ascii="Cambria" w:eastAsia="Calibri" w:hAnsi="Cambria" w:cs="Calibri"/>
        </w:rPr>
        <w:t>t</w:t>
      </w:r>
      <w:r w:rsidRPr="009A0DA6">
        <w:rPr>
          <w:rFonts w:ascii="Cambria" w:eastAsia="Calibri" w:hAnsi="Cambria" w:cs="Calibri"/>
          <w:spacing w:val="-3"/>
        </w:rPr>
        <w:t>h</w:t>
      </w:r>
      <w:r w:rsidRPr="009A0DA6">
        <w:rPr>
          <w:rFonts w:ascii="Cambria" w:eastAsia="Calibri" w:hAnsi="Cambria" w:cs="Calibri"/>
        </w:rPr>
        <w:t>en</w:t>
      </w:r>
      <w:r w:rsidRPr="009A0DA6">
        <w:rPr>
          <w:rFonts w:ascii="Cambria" w:eastAsia="Calibri" w:hAnsi="Cambria" w:cs="Calibri"/>
          <w:spacing w:val="18"/>
        </w:rPr>
        <w:t xml:space="preserve"> </w:t>
      </w:r>
      <w:r w:rsidRPr="009A0DA6">
        <w:rPr>
          <w:rFonts w:ascii="Cambria" w:eastAsia="Calibri" w:hAnsi="Cambria" w:cs="Calibri"/>
        </w:rPr>
        <w:t>i</w:t>
      </w:r>
      <w:r w:rsidRPr="009A0DA6">
        <w:rPr>
          <w:rFonts w:ascii="Cambria" w:eastAsia="Calibri" w:hAnsi="Cambria" w:cs="Calibri"/>
          <w:spacing w:val="-1"/>
        </w:rPr>
        <w:t>n</w:t>
      </w:r>
      <w:r w:rsidRPr="009A0DA6">
        <w:rPr>
          <w:rFonts w:ascii="Cambria" w:eastAsia="Calibri" w:hAnsi="Cambria" w:cs="Calibri"/>
        </w:rPr>
        <w:t>struc</w:t>
      </w:r>
      <w:r w:rsidRPr="009A0DA6">
        <w:rPr>
          <w:rFonts w:ascii="Cambria" w:eastAsia="Calibri" w:hAnsi="Cambria" w:cs="Calibri"/>
          <w:spacing w:val="-2"/>
        </w:rPr>
        <w:t>t</w:t>
      </w:r>
      <w:r w:rsidRPr="009A0DA6">
        <w:rPr>
          <w:rFonts w:ascii="Cambria" w:eastAsia="Calibri" w:hAnsi="Cambria" w:cs="Calibri"/>
        </w:rPr>
        <w:t>ed</w:t>
      </w:r>
      <w:r w:rsidRPr="009A0DA6">
        <w:rPr>
          <w:rFonts w:ascii="Cambria" w:eastAsia="Calibri" w:hAnsi="Cambria" w:cs="Calibri"/>
          <w:spacing w:val="15"/>
        </w:rPr>
        <w:t xml:space="preserve"> </w:t>
      </w:r>
      <w:r w:rsidRPr="009A0DA6">
        <w:rPr>
          <w:rFonts w:ascii="Cambria" w:eastAsia="Calibri" w:hAnsi="Cambria" w:cs="Calibri"/>
        </w:rPr>
        <w:t>the ch</w:t>
      </w:r>
      <w:r w:rsidRPr="009A0DA6">
        <w:rPr>
          <w:rFonts w:ascii="Cambria" w:eastAsia="Calibri" w:hAnsi="Cambria" w:cs="Calibri"/>
          <w:spacing w:val="-1"/>
        </w:rPr>
        <w:t>u</w:t>
      </w:r>
      <w:r w:rsidRPr="009A0DA6">
        <w:rPr>
          <w:rFonts w:ascii="Cambria" w:eastAsia="Calibri" w:hAnsi="Cambria" w:cs="Calibri"/>
        </w:rPr>
        <w:t>rch</w:t>
      </w:r>
      <w:r w:rsidRPr="009A0DA6">
        <w:rPr>
          <w:rFonts w:ascii="Cambria" w:eastAsia="Calibri" w:hAnsi="Cambria" w:cs="Calibri"/>
          <w:spacing w:val="-10"/>
        </w:rPr>
        <w:t xml:space="preserve"> </w:t>
      </w:r>
      <w:r w:rsidRPr="009A0DA6">
        <w:rPr>
          <w:rFonts w:ascii="Cambria" w:eastAsia="Calibri" w:hAnsi="Cambria" w:cs="Calibri"/>
          <w:spacing w:val="-2"/>
        </w:rPr>
        <w:t>t</w:t>
      </w:r>
      <w:r w:rsidRPr="009A0DA6">
        <w:rPr>
          <w:rFonts w:ascii="Cambria" w:eastAsia="Calibri" w:hAnsi="Cambria" w:cs="Calibri"/>
        </w:rPr>
        <w:t>o</w:t>
      </w:r>
      <w:r w:rsidRPr="009A0DA6">
        <w:rPr>
          <w:rFonts w:ascii="Cambria" w:eastAsia="Calibri" w:hAnsi="Cambria" w:cs="Calibri"/>
          <w:spacing w:val="-10"/>
        </w:rPr>
        <w:t xml:space="preserve"> </w:t>
      </w:r>
      <w:r w:rsidRPr="009A0DA6">
        <w:rPr>
          <w:rFonts w:ascii="Cambria" w:eastAsia="Calibri" w:hAnsi="Cambria" w:cs="Calibri"/>
          <w:spacing w:val="1"/>
        </w:rPr>
        <w:t>o</w:t>
      </w:r>
      <w:r w:rsidRPr="009A0DA6">
        <w:rPr>
          <w:rFonts w:ascii="Cambria" w:eastAsia="Calibri" w:hAnsi="Cambria" w:cs="Calibri"/>
        </w:rPr>
        <w:t>r</w:t>
      </w:r>
      <w:r w:rsidRPr="009A0DA6">
        <w:rPr>
          <w:rFonts w:ascii="Cambria" w:eastAsia="Calibri" w:hAnsi="Cambria" w:cs="Calibri"/>
          <w:spacing w:val="-1"/>
        </w:rPr>
        <w:t>d</w:t>
      </w:r>
      <w:r w:rsidRPr="009A0DA6">
        <w:rPr>
          <w:rFonts w:ascii="Cambria" w:eastAsia="Calibri" w:hAnsi="Cambria" w:cs="Calibri"/>
        </w:rPr>
        <w:t>ain</w:t>
      </w:r>
      <w:r w:rsidRPr="009A0DA6">
        <w:rPr>
          <w:rFonts w:ascii="Cambria" w:eastAsia="Calibri" w:hAnsi="Cambria" w:cs="Calibri"/>
          <w:spacing w:val="-13"/>
        </w:rPr>
        <w:t xml:space="preserve"> </w:t>
      </w:r>
      <w:r w:rsidRPr="009A0DA6">
        <w:rPr>
          <w:rFonts w:ascii="Cambria" w:eastAsia="Calibri" w:hAnsi="Cambria" w:cs="Calibri"/>
          <w:spacing w:val="1"/>
        </w:rPr>
        <w:t>m</w:t>
      </w:r>
      <w:r w:rsidRPr="009A0DA6">
        <w:rPr>
          <w:rFonts w:ascii="Cambria" w:eastAsia="Calibri" w:hAnsi="Cambria" w:cs="Calibri"/>
        </w:rPr>
        <w:t>en</w:t>
      </w:r>
      <w:r w:rsidRPr="009A0DA6">
        <w:rPr>
          <w:rFonts w:ascii="Cambria" w:eastAsia="Calibri" w:hAnsi="Cambria" w:cs="Calibri"/>
          <w:spacing w:val="-12"/>
        </w:rPr>
        <w:t xml:space="preserve"> </w:t>
      </w:r>
      <w:r w:rsidRPr="009A0DA6">
        <w:rPr>
          <w:rFonts w:ascii="Cambria" w:eastAsia="Calibri" w:hAnsi="Cambria" w:cs="Calibri"/>
        </w:rPr>
        <w:t>w</w:t>
      </w:r>
      <w:r w:rsidRPr="009A0DA6">
        <w:rPr>
          <w:rFonts w:ascii="Cambria" w:eastAsia="Calibri" w:hAnsi="Cambria" w:cs="Calibri"/>
          <w:spacing w:val="-3"/>
        </w:rPr>
        <w:t>h</w:t>
      </w:r>
      <w:r w:rsidRPr="009A0DA6">
        <w:rPr>
          <w:rFonts w:ascii="Cambria" w:eastAsia="Calibri" w:hAnsi="Cambria" w:cs="Calibri"/>
        </w:rPr>
        <w:t>o</w:t>
      </w:r>
      <w:r w:rsidRPr="009A0DA6">
        <w:rPr>
          <w:rFonts w:ascii="Cambria" w:eastAsia="Calibri" w:hAnsi="Cambria" w:cs="Calibri"/>
          <w:spacing w:val="-10"/>
        </w:rPr>
        <w:t xml:space="preserve"> </w:t>
      </w:r>
      <w:r w:rsidRPr="009A0DA6">
        <w:rPr>
          <w:rFonts w:ascii="Cambria" w:eastAsia="Calibri" w:hAnsi="Cambria" w:cs="Calibri"/>
          <w:spacing w:val="-3"/>
        </w:rPr>
        <w:t>f</w:t>
      </w:r>
      <w:r w:rsidRPr="009A0DA6">
        <w:rPr>
          <w:rFonts w:ascii="Cambria" w:eastAsia="Calibri" w:hAnsi="Cambria" w:cs="Calibri"/>
        </w:rPr>
        <w:t>it</w:t>
      </w:r>
      <w:r w:rsidRPr="009A0DA6">
        <w:rPr>
          <w:rFonts w:ascii="Cambria" w:eastAsia="Calibri" w:hAnsi="Cambria" w:cs="Calibri"/>
          <w:spacing w:val="-9"/>
        </w:rPr>
        <w:t xml:space="preserve"> </w:t>
      </w:r>
      <w:r w:rsidRPr="009A0DA6">
        <w:rPr>
          <w:rFonts w:ascii="Cambria" w:eastAsia="Calibri" w:hAnsi="Cambria" w:cs="Calibri"/>
          <w:spacing w:val="-2"/>
        </w:rPr>
        <w:t>c</w:t>
      </w:r>
      <w:r w:rsidRPr="009A0DA6">
        <w:rPr>
          <w:rFonts w:ascii="Cambria" w:eastAsia="Calibri" w:hAnsi="Cambria" w:cs="Calibri"/>
        </w:rPr>
        <w:t>ertain</w:t>
      </w:r>
      <w:r w:rsidRPr="009A0DA6">
        <w:rPr>
          <w:rFonts w:ascii="Cambria" w:eastAsia="Calibri" w:hAnsi="Cambria" w:cs="Calibri"/>
          <w:spacing w:val="-12"/>
        </w:rPr>
        <w:t xml:space="preserve"> </w:t>
      </w:r>
      <w:r w:rsidRPr="009A0DA6">
        <w:rPr>
          <w:rFonts w:ascii="Cambria" w:eastAsia="Calibri" w:hAnsi="Cambria" w:cs="Calibri"/>
        </w:rPr>
        <w:t>G</w:t>
      </w:r>
      <w:r w:rsidRPr="009A0DA6">
        <w:rPr>
          <w:rFonts w:ascii="Cambria" w:eastAsia="Calibri" w:hAnsi="Cambria" w:cs="Calibri"/>
          <w:spacing w:val="1"/>
        </w:rPr>
        <w:t>od</w:t>
      </w:r>
      <w:r w:rsidRPr="009A0DA6">
        <w:rPr>
          <w:rFonts w:ascii="Cambria" w:eastAsia="Calibri" w:hAnsi="Cambria" w:cs="Calibri"/>
        </w:rPr>
        <w:t>-</w:t>
      </w:r>
      <w:r w:rsidRPr="009A0DA6">
        <w:rPr>
          <w:rFonts w:ascii="Cambria" w:eastAsia="Calibri" w:hAnsi="Cambria" w:cs="Calibri"/>
          <w:spacing w:val="-1"/>
        </w:rPr>
        <w:t>g</w:t>
      </w:r>
      <w:r w:rsidRPr="009A0DA6">
        <w:rPr>
          <w:rFonts w:ascii="Cambria" w:eastAsia="Calibri" w:hAnsi="Cambria" w:cs="Calibri"/>
        </w:rPr>
        <w:t>i</w:t>
      </w:r>
      <w:r w:rsidRPr="009A0DA6">
        <w:rPr>
          <w:rFonts w:ascii="Cambria" w:eastAsia="Calibri" w:hAnsi="Cambria" w:cs="Calibri"/>
          <w:spacing w:val="-2"/>
        </w:rPr>
        <w:t>v</w:t>
      </w:r>
      <w:r w:rsidRPr="009A0DA6">
        <w:rPr>
          <w:rFonts w:ascii="Cambria" w:eastAsia="Calibri" w:hAnsi="Cambria" w:cs="Calibri"/>
        </w:rPr>
        <w:t>en</w:t>
      </w:r>
      <w:r w:rsidRPr="009A0DA6">
        <w:rPr>
          <w:rFonts w:ascii="Cambria" w:eastAsia="Calibri" w:hAnsi="Cambria" w:cs="Calibri"/>
          <w:spacing w:val="-12"/>
        </w:rPr>
        <w:t xml:space="preserve"> </w:t>
      </w:r>
      <w:r w:rsidRPr="009A0DA6">
        <w:rPr>
          <w:rFonts w:ascii="Cambria" w:eastAsia="Calibri" w:hAnsi="Cambria" w:cs="Calibri"/>
        </w:rPr>
        <w:t>criteria</w:t>
      </w:r>
      <w:r w:rsidRPr="009A0DA6">
        <w:rPr>
          <w:rFonts w:ascii="Cambria" w:eastAsia="Calibri" w:hAnsi="Cambria" w:cs="Calibri"/>
          <w:spacing w:val="-12"/>
        </w:rPr>
        <w:t xml:space="preserve"> </w:t>
      </w:r>
      <w:r w:rsidRPr="009A0DA6">
        <w:rPr>
          <w:rFonts w:ascii="Cambria" w:eastAsia="Calibri" w:hAnsi="Cambria" w:cs="Calibri"/>
          <w:spacing w:val="-2"/>
        </w:rPr>
        <w:t>t</w:t>
      </w:r>
      <w:r w:rsidRPr="009A0DA6">
        <w:rPr>
          <w:rFonts w:ascii="Cambria" w:eastAsia="Calibri" w:hAnsi="Cambria" w:cs="Calibri"/>
        </w:rPr>
        <w:t>o</w:t>
      </w:r>
      <w:r w:rsidRPr="009A0DA6">
        <w:rPr>
          <w:rFonts w:ascii="Cambria" w:eastAsia="Calibri" w:hAnsi="Cambria" w:cs="Calibri"/>
          <w:spacing w:val="-8"/>
        </w:rPr>
        <w:t xml:space="preserve"> </w:t>
      </w:r>
      <w:r w:rsidRPr="009A0DA6">
        <w:rPr>
          <w:rFonts w:ascii="Cambria" w:eastAsia="Calibri" w:hAnsi="Cambria" w:cs="Calibri"/>
          <w:spacing w:val="-2"/>
        </w:rPr>
        <w:t>c</w:t>
      </w:r>
      <w:r w:rsidRPr="009A0DA6">
        <w:rPr>
          <w:rFonts w:ascii="Cambria" w:eastAsia="Calibri" w:hAnsi="Cambria" w:cs="Calibri"/>
          <w:spacing w:val="1"/>
        </w:rPr>
        <w:t>o</w:t>
      </w:r>
      <w:r w:rsidRPr="009A0DA6">
        <w:rPr>
          <w:rFonts w:ascii="Cambria" w:eastAsia="Calibri" w:hAnsi="Cambria" w:cs="Calibri"/>
          <w:spacing w:val="-1"/>
        </w:rPr>
        <w:t>n</w:t>
      </w:r>
      <w:r w:rsidRPr="009A0DA6">
        <w:rPr>
          <w:rFonts w:ascii="Cambria" w:eastAsia="Calibri" w:hAnsi="Cambria" w:cs="Calibri"/>
        </w:rPr>
        <w:t>ti</w:t>
      </w:r>
      <w:r w:rsidRPr="009A0DA6">
        <w:rPr>
          <w:rFonts w:ascii="Cambria" w:eastAsia="Calibri" w:hAnsi="Cambria" w:cs="Calibri"/>
          <w:spacing w:val="-1"/>
        </w:rPr>
        <w:t>nu</w:t>
      </w:r>
      <w:r w:rsidRPr="009A0DA6">
        <w:rPr>
          <w:rFonts w:ascii="Cambria" w:eastAsia="Calibri" w:hAnsi="Cambria" w:cs="Calibri"/>
        </w:rPr>
        <w:t>e</w:t>
      </w:r>
      <w:r w:rsidRPr="009A0DA6">
        <w:rPr>
          <w:rFonts w:ascii="Cambria" w:eastAsia="Calibri" w:hAnsi="Cambria" w:cs="Calibri"/>
          <w:spacing w:val="-13"/>
        </w:rPr>
        <w:t xml:space="preserve"> </w:t>
      </w:r>
      <w:r w:rsidRPr="009A0DA6">
        <w:rPr>
          <w:rFonts w:ascii="Cambria" w:eastAsia="Calibri" w:hAnsi="Cambria" w:cs="Calibri"/>
          <w:spacing w:val="1"/>
        </w:rPr>
        <w:t>o</w:t>
      </w:r>
      <w:r w:rsidRPr="009A0DA6">
        <w:rPr>
          <w:rFonts w:ascii="Cambria" w:eastAsia="Calibri" w:hAnsi="Cambria" w:cs="Calibri"/>
        </w:rPr>
        <w:t>n</w:t>
      </w:r>
      <w:r w:rsidRPr="009A0DA6">
        <w:rPr>
          <w:rFonts w:ascii="Cambria" w:eastAsia="Calibri" w:hAnsi="Cambria" w:cs="Calibri"/>
          <w:spacing w:val="-10"/>
        </w:rPr>
        <w:t xml:space="preserve"> </w:t>
      </w:r>
      <w:r w:rsidRPr="009A0DA6">
        <w:rPr>
          <w:rFonts w:ascii="Cambria" w:eastAsia="Calibri" w:hAnsi="Cambria" w:cs="Calibri"/>
        </w:rPr>
        <w:t>t</w:t>
      </w:r>
      <w:r w:rsidRPr="009A0DA6">
        <w:rPr>
          <w:rFonts w:ascii="Cambria" w:eastAsia="Calibri" w:hAnsi="Cambria" w:cs="Calibri"/>
          <w:spacing w:val="-3"/>
        </w:rPr>
        <w:t>h</w:t>
      </w:r>
      <w:r w:rsidRPr="009A0DA6">
        <w:rPr>
          <w:rFonts w:ascii="Cambria" w:eastAsia="Calibri" w:hAnsi="Cambria" w:cs="Calibri"/>
        </w:rPr>
        <w:t>e</w:t>
      </w:r>
      <w:r w:rsidRPr="009A0DA6">
        <w:rPr>
          <w:rFonts w:ascii="Cambria" w:eastAsia="Calibri" w:hAnsi="Cambria" w:cs="Calibri"/>
          <w:spacing w:val="-11"/>
        </w:rPr>
        <w:t xml:space="preserve"> </w:t>
      </w:r>
      <w:r w:rsidRPr="009A0DA6">
        <w:rPr>
          <w:rFonts w:ascii="Cambria" w:eastAsia="Calibri" w:hAnsi="Cambria" w:cs="Calibri"/>
          <w:spacing w:val="1"/>
        </w:rPr>
        <w:t>m</w:t>
      </w:r>
      <w:r w:rsidRPr="009A0DA6">
        <w:rPr>
          <w:rFonts w:ascii="Cambria" w:eastAsia="Calibri" w:hAnsi="Cambria" w:cs="Calibri"/>
        </w:rPr>
        <w:t>i</w:t>
      </w:r>
      <w:r w:rsidRPr="009A0DA6">
        <w:rPr>
          <w:rFonts w:ascii="Cambria" w:eastAsia="Calibri" w:hAnsi="Cambria" w:cs="Calibri"/>
          <w:spacing w:val="-1"/>
        </w:rPr>
        <w:t>n</w:t>
      </w:r>
      <w:r w:rsidRPr="009A0DA6">
        <w:rPr>
          <w:rFonts w:ascii="Cambria" w:eastAsia="Calibri" w:hAnsi="Cambria" w:cs="Calibri"/>
        </w:rPr>
        <w:t>ist</w:t>
      </w:r>
      <w:r w:rsidRPr="009A0DA6">
        <w:rPr>
          <w:rFonts w:ascii="Cambria" w:eastAsia="Calibri" w:hAnsi="Cambria" w:cs="Calibri"/>
          <w:spacing w:val="-3"/>
        </w:rPr>
        <w:t>r</w:t>
      </w:r>
      <w:r w:rsidRPr="009A0DA6">
        <w:rPr>
          <w:rFonts w:ascii="Cambria" w:eastAsia="Calibri" w:hAnsi="Cambria" w:cs="Calibri"/>
        </w:rPr>
        <w:t>y</w:t>
      </w:r>
      <w:r w:rsidRPr="009A0DA6">
        <w:rPr>
          <w:rFonts w:ascii="Cambria" w:eastAsia="Calibri" w:hAnsi="Cambria" w:cs="Calibri"/>
          <w:spacing w:val="-10"/>
        </w:rPr>
        <w:t xml:space="preserve"> </w:t>
      </w:r>
      <w:r w:rsidRPr="009A0DA6">
        <w:rPr>
          <w:rFonts w:ascii="Cambria" w:eastAsia="Calibri" w:hAnsi="Cambria" w:cs="Calibri"/>
          <w:spacing w:val="1"/>
        </w:rPr>
        <w:t>o</w:t>
      </w:r>
      <w:r w:rsidRPr="009A0DA6">
        <w:rPr>
          <w:rFonts w:ascii="Cambria" w:eastAsia="Calibri" w:hAnsi="Cambria" w:cs="Calibri"/>
        </w:rPr>
        <w:t>f</w:t>
      </w:r>
      <w:r w:rsidRPr="009A0DA6">
        <w:rPr>
          <w:rFonts w:ascii="Cambria" w:eastAsia="Calibri" w:hAnsi="Cambria" w:cs="Calibri"/>
          <w:spacing w:val="-12"/>
        </w:rPr>
        <w:t xml:space="preserve"> </w:t>
      </w:r>
      <w:r w:rsidRPr="009A0DA6">
        <w:rPr>
          <w:rFonts w:ascii="Cambria" w:eastAsia="Calibri" w:hAnsi="Cambria" w:cs="Calibri"/>
        </w:rPr>
        <w:t>C</w:t>
      </w:r>
      <w:r w:rsidRPr="009A0DA6">
        <w:rPr>
          <w:rFonts w:ascii="Cambria" w:eastAsia="Calibri" w:hAnsi="Cambria" w:cs="Calibri"/>
          <w:spacing w:val="-1"/>
        </w:rPr>
        <w:t>h</w:t>
      </w:r>
      <w:r w:rsidRPr="009A0DA6">
        <w:rPr>
          <w:rFonts w:ascii="Cambria" w:eastAsia="Calibri" w:hAnsi="Cambria" w:cs="Calibri"/>
        </w:rPr>
        <w:t>ris</w:t>
      </w:r>
      <w:r w:rsidRPr="009A0DA6">
        <w:rPr>
          <w:rFonts w:ascii="Cambria" w:eastAsia="Calibri" w:hAnsi="Cambria" w:cs="Calibri"/>
          <w:spacing w:val="-3"/>
        </w:rPr>
        <w:t>t</w:t>
      </w:r>
      <w:r w:rsidRPr="009A0DA6">
        <w:rPr>
          <w:rFonts w:ascii="Cambria" w:eastAsia="Calibri" w:hAnsi="Cambria" w:cs="Calibri"/>
        </w:rPr>
        <w:t>’s</w:t>
      </w:r>
      <w:r w:rsidRPr="009A0DA6">
        <w:rPr>
          <w:rFonts w:ascii="Cambria" w:eastAsia="Calibri" w:hAnsi="Cambria" w:cs="Calibri"/>
          <w:spacing w:val="-11"/>
        </w:rPr>
        <w:t xml:space="preserve"> </w:t>
      </w:r>
      <w:r w:rsidRPr="009A0DA6">
        <w:rPr>
          <w:rFonts w:ascii="Cambria" w:eastAsia="Calibri" w:hAnsi="Cambria" w:cs="Calibri"/>
        </w:rPr>
        <w:t>w</w:t>
      </w:r>
      <w:r w:rsidRPr="009A0DA6">
        <w:rPr>
          <w:rFonts w:ascii="Cambria" w:eastAsia="Calibri" w:hAnsi="Cambria" w:cs="Calibri"/>
          <w:spacing w:val="2"/>
        </w:rPr>
        <w:t>o</w:t>
      </w:r>
      <w:r w:rsidRPr="009A0DA6">
        <w:rPr>
          <w:rFonts w:ascii="Cambria" w:eastAsia="Calibri" w:hAnsi="Cambria" w:cs="Calibri"/>
        </w:rPr>
        <w:t>rd</w:t>
      </w:r>
      <w:r w:rsidRPr="009A0DA6">
        <w:rPr>
          <w:rFonts w:ascii="Cambria" w:eastAsia="Calibri" w:hAnsi="Cambria" w:cs="Calibri"/>
          <w:spacing w:val="-12"/>
        </w:rPr>
        <w:t xml:space="preserve"> </w:t>
      </w:r>
      <w:r w:rsidRPr="009A0DA6">
        <w:rPr>
          <w:rFonts w:ascii="Cambria" w:eastAsia="Calibri" w:hAnsi="Cambria" w:cs="Calibri"/>
        </w:rPr>
        <w:t>that</w:t>
      </w:r>
      <w:r w:rsidRPr="009A0DA6">
        <w:rPr>
          <w:rFonts w:ascii="Cambria" w:eastAsia="Calibri" w:hAnsi="Cambria" w:cs="Calibri"/>
          <w:spacing w:val="-14"/>
        </w:rPr>
        <w:t xml:space="preserve"> </w:t>
      </w:r>
      <w:r w:rsidRPr="009A0DA6">
        <w:rPr>
          <w:rFonts w:ascii="Cambria" w:eastAsia="Calibri" w:hAnsi="Cambria" w:cs="Calibri"/>
        </w:rPr>
        <w:t>was</w:t>
      </w:r>
      <w:r w:rsidRPr="009A0DA6">
        <w:rPr>
          <w:rFonts w:ascii="Cambria" w:eastAsia="Calibri" w:hAnsi="Cambria" w:cs="Calibri"/>
          <w:spacing w:val="-8"/>
        </w:rPr>
        <w:t xml:space="preserve"> </w:t>
      </w:r>
      <w:r w:rsidRPr="009A0DA6">
        <w:rPr>
          <w:rFonts w:ascii="Cambria" w:eastAsia="Calibri" w:hAnsi="Cambria" w:cs="Calibri"/>
          <w:spacing w:val="-3"/>
        </w:rPr>
        <w:t>b</w:t>
      </w:r>
      <w:r w:rsidRPr="009A0DA6">
        <w:rPr>
          <w:rFonts w:ascii="Cambria" w:eastAsia="Calibri" w:hAnsi="Cambria" w:cs="Calibri"/>
        </w:rPr>
        <w:t>eg</w:t>
      </w:r>
      <w:r w:rsidRPr="009A0DA6">
        <w:rPr>
          <w:rFonts w:ascii="Cambria" w:eastAsia="Calibri" w:hAnsi="Cambria" w:cs="Calibri"/>
          <w:spacing w:val="-1"/>
        </w:rPr>
        <w:t>u</w:t>
      </w:r>
      <w:r w:rsidRPr="009A0DA6">
        <w:rPr>
          <w:rFonts w:ascii="Cambria" w:eastAsia="Calibri" w:hAnsi="Cambria" w:cs="Calibri"/>
        </w:rPr>
        <w:t xml:space="preserve">n </w:t>
      </w:r>
      <w:r w:rsidRPr="009A0DA6">
        <w:rPr>
          <w:rFonts w:ascii="Cambria" w:eastAsia="Calibri" w:hAnsi="Cambria" w:cs="Calibri"/>
          <w:spacing w:val="-1"/>
        </w:rPr>
        <w:t>b</w:t>
      </w:r>
      <w:r w:rsidRPr="009A0DA6">
        <w:rPr>
          <w:rFonts w:ascii="Cambria" w:eastAsia="Calibri" w:hAnsi="Cambria" w:cs="Calibri"/>
        </w:rPr>
        <w:t>y</w:t>
      </w:r>
      <w:r w:rsidRPr="009A0DA6">
        <w:rPr>
          <w:rFonts w:ascii="Cambria" w:eastAsia="Calibri" w:hAnsi="Cambria" w:cs="Calibri"/>
          <w:spacing w:val="1"/>
        </w:rPr>
        <w:t xml:space="preserve"> 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rPr>
        <w:t>A</w:t>
      </w:r>
      <w:r w:rsidRPr="009A0DA6">
        <w:rPr>
          <w:rFonts w:ascii="Cambria" w:eastAsia="Calibri" w:hAnsi="Cambria" w:cs="Calibri"/>
          <w:spacing w:val="-1"/>
        </w:rPr>
        <w:t>p</w:t>
      </w:r>
      <w:r w:rsidRPr="009A0DA6">
        <w:rPr>
          <w:rFonts w:ascii="Cambria" w:eastAsia="Calibri" w:hAnsi="Cambria" w:cs="Calibri"/>
          <w:spacing w:val="1"/>
        </w:rPr>
        <w:t>o</w:t>
      </w:r>
      <w:r w:rsidRPr="009A0DA6">
        <w:rPr>
          <w:rFonts w:ascii="Cambria" w:eastAsia="Calibri" w:hAnsi="Cambria" w:cs="Calibri"/>
          <w:spacing w:val="-2"/>
        </w:rPr>
        <w:t>s</w:t>
      </w:r>
      <w:r w:rsidRPr="009A0DA6">
        <w:rPr>
          <w:rFonts w:ascii="Cambria" w:eastAsia="Calibri" w:hAnsi="Cambria" w:cs="Calibri"/>
        </w:rPr>
        <w:t>tles</w:t>
      </w:r>
      <w:r w:rsidRPr="009A0DA6">
        <w:rPr>
          <w:rFonts w:ascii="Cambria" w:eastAsia="Calibri" w:hAnsi="Cambria" w:cs="Calibri"/>
          <w:spacing w:val="1"/>
        </w:rPr>
        <w:t xml:space="preserve"> </w:t>
      </w:r>
      <w:r w:rsidRPr="009A0DA6">
        <w:rPr>
          <w:rFonts w:ascii="Cambria" w:eastAsia="Calibri" w:hAnsi="Cambria" w:cs="Calibri"/>
          <w:spacing w:val="-2"/>
        </w:rPr>
        <w:t>(</w:t>
      </w:r>
      <w:r w:rsidRPr="009A0DA6">
        <w:rPr>
          <w:rFonts w:ascii="Cambria" w:eastAsia="Calibri" w:hAnsi="Cambria" w:cs="Calibri"/>
        </w:rPr>
        <w:t>1</w:t>
      </w:r>
      <w:r w:rsidRPr="009A0DA6">
        <w:rPr>
          <w:rFonts w:ascii="Cambria" w:eastAsia="Calibri" w:hAnsi="Cambria" w:cs="Calibri"/>
          <w:spacing w:val="1"/>
        </w:rPr>
        <w:t xml:space="preserve"> T</w:t>
      </w:r>
      <w:r w:rsidRPr="009A0DA6">
        <w:rPr>
          <w:rFonts w:ascii="Cambria" w:eastAsia="Calibri" w:hAnsi="Cambria" w:cs="Calibri"/>
          <w:spacing w:val="-3"/>
        </w:rPr>
        <w:t>i</w:t>
      </w:r>
      <w:r w:rsidRPr="009A0DA6">
        <w:rPr>
          <w:rFonts w:ascii="Cambria" w:eastAsia="Calibri" w:hAnsi="Cambria" w:cs="Calibri"/>
        </w:rPr>
        <w:t>m</w:t>
      </w:r>
      <w:r w:rsidRPr="009A0DA6">
        <w:rPr>
          <w:rFonts w:ascii="Cambria" w:eastAsia="Calibri" w:hAnsi="Cambria" w:cs="Calibri"/>
          <w:spacing w:val="-1"/>
        </w:rPr>
        <w:t xml:space="preserve"> </w:t>
      </w:r>
      <w:r w:rsidRPr="009A0DA6">
        <w:rPr>
          <w:rFonts w:ascii="Cambria" w:eastAsia="Calibri" w:hAnsi="Cambria" w:cs="Calibri"/>
          <w:spacing w:val="1"/>
        </w:rPr>
        <w:t>3</w:t>
      </w:r>
      <w:r w:rsidRPr="009A0DA6">
        <w:rPr>
          <w:rFonts w:ascii="Cambria" w:eastAsia="Calibri" w:hAnsi="Cambria" w:cs="Calibri"/>
          <w:spacing w:val="-1"/>
        </w:rPr>
        <w:t>:</w:t>
      </w:r>
      <w:r w:rsidRPr="009A0DA6">
        <w:rPr>
          <w:rFonts w:ascii="Cambria" w:eastAsia="Calibri" w:hAnsi="Cambria" w:cs="Calibri"/>
          <w:spacing w:val="3"/>
        </w:rPr>
        <w:t>1</w:t>
      </w:r>
      <w:r w:rsidRPr="009A0DA6">
        <w:rPr>
          <w:rFonts w:ascii="Cambria" w:eastAsia="Calibri" w:hAnsi="Cambria" w:cs="Calibri"/>
        </w:rPr>
        <w:sym w:font="Symbol" w:char="F02D"/>
      </w:r>
      <w:r w:rsidRPr="009A0DA6">
        <w:rPr>
          <w:rFonts w:ascii="Cambria" w:eastAsia="Calibri" w:hAnsi="Cambria" w:cs="Calibri"/>
          <w:spacing w:val="1"/>
        </w:rPr>
        <w:t>7</w:t>
      </w:r>
      <w:r w:rsidRPr="009A0DA6">
        <w:rPr>
          <w:rFonts w:ascii="Cambria" w:eastAsia="Calibri" w:hAnsi="Cambria" w:cs="Calibri"/>
        </w:rPr>
        <w:t>;</w:t>
      </w:r>
      <w:r w:rsidRPr="009A0DA6">
        <w:rPr>
          <w:rFonts w:ascii="Cambria" w:eastAsia="Calibri" w:hAnsi="Cambria" w:cs="Calibri"/>
          <w:spacing w:val="1"/>
        </w:rPr>
        <w:t xml:space="preserve"> T</w:t>
      </w:r>
      <w:r w:rsidRPr="009A0DA6">
        <w:rPr>
          <w:rFonts w:ascii="Cambria" w:eastAsia="Calibri" w:hAnsi="Cambria" w:cs="Calibri"/>
          <w:spacing w:val="-3"/>
        </w:rPr>
        <w:t>i</w:t>
      </w:r>
      <w:r w:rsidRPr="009A0DA6">
        <w:rPr>
          <w:rFonts w:ascii="Cambria" w:eastAsia="Calibri" w:hAnsi="Cambria" w:cs="Calibri"/>
        </w:rPr>
        <w:t xml:space="preserve">tus </w:t>
      </w:r>
      <w:r w:rsidRPr="009A0DA6">
        <w:rPr>
          <w:rFonts w:ascii="Cambria" w:eastAsia="Calibri" w:hAnsi="Cambria" w:cs="Calibri"/>
          <w:spacing w:val="-1"/>
        </w:rPr>
        <w:t>1</w:t>
      </w:r>
      <w:r w:rsidRPr="009A0DA6">
        <w:rPr>
          <w:rFonts w:ascii="Cambria" w:eastAsia="Calibri" w:hAnsi="Cambria" w:cs="Calibri"/>
          <w:spacing w:val="1"/>
        </w:rPr>
        <w:t>:</w:t>
      </w:r>
      <w:r w:rsidRPr="009A0DA6">
        <w:rPr>
          <w:rFonts w:ascii="Cambria" w:eastAsia="Calibri" w:hAnsi="Cambria" w:cs="Calibri"/>
          <w:spacing w:val="2"/>
        </w:rPr>
        <w:t>5</w:t>
      </w:r>
      <w:r w:rsidRPr="009A0DA6">
        <w:rPr>
          <w:rFonts w:ascii="Cambria" w:eastAsia="Calibri" w:hAnsi="Cambria" w:cs="Calibri"/>
        </w:rPr>
        <w:sym w:font="Symbol" w:char="F02D"/>
      </w:r>
      <w:r w:rsidRPr="009A0DA6">
        <w:rPr>
          <w:rFonts w:ascii="Cambria" w:eastAsia="Calibri" w:hAnsi="Cambria" w:cs="Calibri"/>
          <w:spacing w:val="1"/>
        </w:rPr>
        <w:t>9</w:t>
      </w:r>
      <w:r w:rsidRPr="009A0DA6">
        <w:rPr>
          <w:rFonts w:ascii="Cambria" w:eastAsia="Calibri" w:hAnsi="Cambria" w:cs="Calibri"/>
          <w:spacing w:val="-2"/>
        </w:rPr>
        <w:t>)</w:t>
      </w:r>
      <w:r w:rsidRPr="009A0DA6">
        <w:rPr>
          <w:rFonts w:ascii="Cambria" w:eastAsia="Calibri" w:hAnsi="Cambria" w:cs="Calibri"/>
        </w:rPr>
        <w:t>;</w:t>
      </w:r>
      <w:r w:rsidRPr="009A0DA6">
        <w:rPr>
          <w:rFonts w:ascii="Cambria" w:eastAsia="Calibri" w:hAnsi="Cambria" w:cs="Calibri"/>
          <w:spacing w:val="1"/>
        </w:rPr>
        <w:t xml:space="preserve"> </w:t>
      </w:r>
      <w:r w:rsidRPr="009A0DA6">
        <w:rPr>
          <w:rFonts w:ascii="Cambria" w:eastAsia="Calibri" w:hAnsi="Cambria" w:cs="Calibri"/>
        </w:rPr>
        <w:t>and</w:t>
      </w:r>
      <w:r w:rsidRPr="009A0DA6">
        <w:rPr>
          <w:rFonts w:ascii="Cambria" w:eastAsia="Calibri" w:hAnsi="Cambria" w:cs="Calibri"/>
          <w:spacing w:val="-1"/>
        </w:rPr>
        <w:t xml:space="preserve"> </w:t>
      </w:r>
      <w:r w:rsidRPr="009A0DA6">
        <w:rPr>
          <w:rFonts w:ascii="Cambria" w:eastAsia="Calibri" w:hAnsi="Cambria" w:cs="Calibri"/>
          <w:spacing w:val="1"/>
        </w:rPr>
        <w:t>(4</w:t>
      </w:r>
      <w:r w:rsidRPr="009A0DA6">
        <w:rPr>
          <w:rFonts w:ascii="Cambria" w:eastAsia="Calibri" w:hAnsi="Cambria" w:cs="Calibri"/>
        </w:rPr>
        <w:t>)</w:t>
      </w:r>
      <w:r w:rsidRPr="009A0DA6">
        <w:rPr>
          <w:rFonts w:ascii="Cambria" w:eastAsia="Calibri" w:hAnsi="Cambria" w:cs="Calibri"/>
          <w:spacing w:val="1"/>
        </w:rPr>
        <w:t xml:space="preserve"> </w:t>
      </w:r>
      <w:r w:rsidRPr="009A0DA6">
        <w:rPr>
          <w:rFonts w:ascii="Cambria" w:eastAsia="Calibri" w:hAnsi="Cambria" w:cs="Calibri"/>
          <w:spacing w:val="-3"/>
        </w:rPr>
        <w:t>h</w:t>
      </w:r>
      <w:r w:rsidRPr="009A0DA6">
        <w:rPr>
          <w:rFonts w:ascii="Cambria" w:eastAsia="Calibri" w:hAnsi="Cambria" w:cs="Calibri"/>
        </w:rPr>
        <w:t>e</w:t>
      </w:r>
      <w:r w:rsidRPr="009A0DA6">
        <w:rPr>
          <w:rFonts w:ascii="Cambria" w:eastAsia="Calibri" w:hAnsi="Cambria" w:cs="Calibri"/>
          <w:spacing w:val="-1"/>
        </w:rPr>
        <w:t xml:space="preserve"> p</w:t>
      </w:r>
      <w:r w:rsidRPr="009A0DA6">
        <w:rPr>
          <w:rFonts w:ascii="Cambria" w:eastAsia="Calibri" w:hAnsi="Cambria" w:cs="Calibri"/>
        </w:rPr>
        <w:t>r</w:t>
      </w:r>
      <w:r w:rsidRPr="009A0DA6">
        <w:rPr>
          <w:rFonts w:ascii="Cambria" w:eastAsia="Calibri" w:hAnsi="Cambria" w:cs="Calibri"/>
          <w:spacing w:val="1"/>
        </w:rPr>
        <w:t>o</w:t>
      </w:r>
      <w:r w:rsidRPr="009A0DA6">
        <w:rPr>
          <w:rFonts w:ascii="Cambria" w:eastAsia="Calibri" w:hAnsi="Cambria" w:cs="Calibri"/>
          <w:spacing w:val="-1"/>
        </w:rPr>
        <w:t>h</w:t>
      </w:r>
      <w:r w:rsidRPr="009A0DA6">
        <w:rPr>
          <w:rFonts w:ascii="Cambria" w:eastAsia="Calibri" w:hAnsi="Cambria" w:cs="Calibri"/>
        </w:rPr>
        <w:t>i</w:t>
      </w:r>
      <w:r w:rsidRPr="009A0DA6">
        <w:rPr>
          <w:rFonts w:ascii="Cambria" w:eastAsia="Calibri" w:hAnsi="Cambria" w:cs="Calibri"/>
          <w:spacing w:val="-1"/>
        </w:rPr>
        <w:t>b</w:t>
      </w:r>
      <w:r w:rsidRPr="009A0DA6">
        <w:rPr>
          <w:rFonts w:ascii="Cambria" w:eastAsia="Calibri" w:hAnsi="Cambria" w:cs="Calibri"/>
        </w:rPr>
        <w:t>ited</w:t>
      </w:r>
      <w:r w:rsidRPr="009A0DA6">
        <w:rPr>
          <w:rFonts w:ascii="Cambria" w:eastAsia="Calibri" w:hAnsi="Cambria" w:cs="Calibri"/>
          <w:spacing w:val="2"/>
        </w:rPr>
        <w:t xml:space="preserve"> </w:t>
      </w:r>
      <w:r w:rsidRPr="009A0DA6">
        <w:rPr>
          <w:rFonts w:ascii="Cambria" w:eastAsia="Calibri" w:hAnsi="Cambria" w:cs="Calibri"/>
          <w:spacing w:val="-2"/>
        </w:rPr>
        <w:t>w</w:t>
      </w:r>
      <w:r w:rsidRPr="009A0DA6">
        <w:rPr>
          <w:rFonts w:ascii="Cambria" w:eastAsia="Calibri" w:hAnsi="Cambria" w:cs="Calibri"/>
          <w:spacing w:val="-1"/>
        </w:rPr>
        <w:t>o</w:t>
      </w:r>
      <w:r w:rsidRPr="009A0DA6">
        <w:rPr>
          <w:rFonts w:ascii="Cambria" w:eastAsia="Calibri" w:hAnsi="Cambria" w:cs="Calibri"/>
          <w:spacing w:val="1"/>
        </w:rPr>
        <w:t>m</w:t>
      </w:r>
      <w:r w:rsidRPr="009A0DA6">
        <w:rPr>
          <w:rFonts w:ascii="Cambria" w:eastAsia="Calibri" w:hAnsi="Cambria" w:cs="Calibri"/>
        </w:rPr>
        <w:t>en fr</w:t>
      </w:r>
      <w:r w:rsidRPr="009A0DA6">
        <w:rPr>
          <w:rFonts w:ascii="Cambria" w:eastAsia="Calibri" w:hAnsi="Cambria" w:cs="Calibri"/>
          <w:spacing w:val="-1"/>
        </w:rPr>
        <w:t>o</w:t>
      </w:r>
      <w:r w:rsidRPr="009A0DA6">
        <w:rPr>
          <w:rFonts w:ascii="Cambria" w:eastAsia="Calibri" w:hAnsi="Cambria" w:cs="Calibri"/>
        </w:rPr>
        <w:t>m</w:t>
      </w:r>
      <w:r w:rsidRPr="009A0DA6">
        <w:rPr>
          <w:rFonts w:ascii="Cambria" w:eastAsia="Calibri" w:hAnsi="Cambria" w:cs="Calibri"/>
          <w:spacing w:val="1"/>
        </w:rPr>
        <w:t xml:space="preserve"> </w:t>
      </w:r>
      <w:r w:rsidRPr="009A0DA6">
        <w:rPr>
          <w:rFonts w:ascii="Cambria" w:eastAsia="Calibri" w:hAnsi="Cambria" w:cs="Calibri"/>
          <w:spacing w:val="-2"/>
        </w:rPr>
        <w:t>c</w:t>
      </w:r>
      <w:r w:rsidRPr="009A0DA6">
        <w:rPr>
          <w:rFonts w:ascii="Cambria" w:eastAsia="Calibri" w:hAnsi="Cambria" w:cs="Calibri"/>
          <w:spacing w:val="-3"/>
        </w:rPr>
        <w:t>a</w:t>
      </w:r>
      <w:r w:rsidRPr="009A0DA6">
        <w:rPr>
          <w:rFonts w:ascii="Cambria" w:eastAsia="Calibri" w:hAnsi="Cambria" w:cs="Calibri"/>
        </w:rPr>
        <w:t>rr</w:t>
      </w:r>
      <w:r w:rsidRPr="009A0DA6">
        <w:rPr>
          <w:rFonts w:ascii="Cambria" w:eastAsia="Calibri" w:hAnsi="Cambria" w:cs="Calibri"/>
          <w:spacing w:val="1"/>
        </w:rPr>
        <w:t>y</w:t>
      </w:r>
      <w:r w:rsidRPr="009A0DA6">
        <w:rPr>
          <w:rFonts w:ascii="Cambria" w:eastAsia="Calibri" w:hAnsi="Cambria" w:cs="Calibri"/>
        </w:rPr>
        <w:t>i</w:t>
      </w:r>
      <w:r w:rsidRPr="009A0DA6">
        <w:rPr>
          <w:rFonts w:ascii="Cambria" w:eastAsia="Calibri" w:hAnsi="Cambria" w:cs="Calibri"/>
          <w:spacing w:val="-1"/>
        </w:rPr>
        <w:t>n</w:t>
      </w:r>
      <w:r w:rsidRPr="009A0DA6">
        <w:rPr>
          <w:rFonts w:ascii="Cambria" w:eastAsia="Calibri" w:hAnsi="Cambria" w:cs="Calibri"/>
        </w:rPr>
        <w:t>g</w:t>
      </w:r>
      <w:r w:rsidRPr="009A0DA6">
        <w:rPr>
          <w:rFonts w:ascii="Cambria" w:eastAsia="Calibri" w:hAnsi="Cambria" w:cs="Calibri"/>
          <w:spacing w:val="-1"/>
        </w:rPr>
        <w:t xml:space="preserve"> </w:t>
      </w:r>
      <w:r w:rsidRPr="009A0DA6">
        <w:rPr>
          <w:rFonts w:ascii="Cambria" w:eastAsia="Calibri" w:hAnsi="Cambria" w:cs="Calibri"/>
          <w:spacing w:val="1"/>
        </w:rPr>
        <w:t>o</w:t>
      </w:r>
      <w:r w:rsidRPr="009A0DA6">
        <w:rPr>
          <w:rFonts w:ascii="Cambria" w:eastAsia="Calibri" w:hAnsi="Cambria" w:cs="Calibri"/>
          <w:spacing w:val="-1"/>
        </w:rPr>
        <w:t>u</w:t>
      </w:r>
      <w:r w:rsidRPr="009A0DA6">
        <w:rPr>
          <w:rFonts w:ascii="Cambria" w:eastAsia="Calibri" w:hAnsi="Cambria" w:cs="Calibri"/>
        </w:rPr>
        <w:t>t</w:t>
      </w:r>
      <w:r w:rsidRPr="009A0DA6">
        <w:rPr>
          <w:rFonts w:ascii="Cambria" w:eastAsia="Calibri" w:hAnsi="Cambria" w:cs="Calibri"/>
          <w:spacing w:val="1"/>
        </w:rPr>
        <w:t xml:space="preserve"> </w:t>
      </w:r>
      <w:r w:rsidRPr="009A0DA6">
        <w:rPr>
          <w:rFonts w:ascii="Cambria" w:eastAsia="Calibri" w:hAnsi="Cambria" w:cs="Calibri"/>
        </w:rPr>
        <w:t>t</w:t>
      </w:r>
      <w:r w:rsidRPr="009A0DA6">
        <w:rPr>
          <w:rFonts w:ascii="Cambria" w:eastAsia="Calibri" w:hAnsi="Cambria" w:cs="Calibri"/>
          <w:spacing w:val="-3"/>
        </w:rPr>
        <w:t>h</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rPr>
        <w:t>central f</w:t>
      </w:r>
      <w:r w:rsidRPr="009A0DA6">
        <w:rPr>
          <w:rFonts w:ascii="Cambria" w:eastAsia="Calibri" w:hAnsi="Cambria" w:cs="Calibri"/>
          <w:spacing w:val="-1"/>
        </w:rPr>
        <w:t>un</w:t>
      </w:r>
      <w:r w:rsidRPr="009A0DA6">
        <w:rPr>
          <w:rFonts w:ascii="Cambria" w:eastAsia="Calibri" w:hAnsi="Cambria" w:cs="Calibri"/>
          <w:spacing w:val="-2"/>
        </w:rPr>
        <w:t>ct</w:t>
      </w:r>
      <w:r w:rsidRPr="009A0DA6">
        <w:rPr>
          <w:rFonts w:ascii="Cambria" w:eastAsia="Calibri" w:hAnsi="Cambria" w:cs="Calibri"/>
        </w:rPr>
        <w:t>i</w:t>
      </w:r>
      <w:r w:rsidRPr="009A0DA6">
        <w:rPr>
          <w:rFonts w:ascii="Cambria" w:eastAsia="Calibri" w:hAnsi="Cambria" w:cs="Calibri"/>
          <w:spacing w:val="1"/>
        </w:rPr>
        <w:t>o</w:t>
      </w:r>
      <w:r w:rsidRPr="009A0DA6">
        <w:rPr>
          <w:rFonts w:ascii="Cambria" w:eastAsia="Calibri" w:hAnsi="Cambria" w:cs="Calibri"/>
        </w:rPr>
        <w:t>n</w:t>
      </w:r>
      <w:r w:rsidRPr="009A0DA6">
        <w:rPr>
          <w:rFonts w:ascii="Cambria" w:eastAsia="Calibri" w:hAnsi="Cambria" w:cs="Calibri"/>
          <w:spacing w:val="-1"/>
        </w:rPr>
        <w:t xml:space="preserve"> </w:t>
      </w:r>
      <w:r w:rsidRPr="009A0DA6">
        <w:rPr>
          <w:rFonts w:ascii="Cambria" w:eastAsia="Calibri" w:hAnsi="Cambria" w:cs="Calibri"/>
          <w:spacing w:val="1"/>
        </w:rPr>
        <w:t>o</w:t>
      </w:r>
      <w:r w:rsidRPr="009A0DA6">
        <w:rPr>
          <w:rFonts w:ascii="Cambria" w:eastAsia="Calibri" w:hAnsi="Cambria" w:cs="Calibri"/>
        </w:rPr>
        <w:t>f the</w:t>
      </w:r>
      <w:r w:rsidRPr="009A0DA6">
        <w:rPr>
          <w:rFonts w:ascii="Cambria" w:eastAsia="Calibri" w:hAnsi="Cambria" w:cs="Calibri"/>
          <w:spacing w:val="27"/>
        </w:rPr>
        <w:t xml:space="preserve"> </w:t>
      </w:r>
      <w:r w:rsidRPr="009A0DA6">
        <w:rPr>
          <w:rFonts w:ascii="Cambria" w:eastAsia="Calibri" w:hAnsi="Cambria" w:cs="Calibri"/>
          <w:spacing w:val="-1"/>
        </w:rPr>
        <w:t>p</w:t>
      </w:r>
      <w:r w:rsidRPr="009A0DA6">
        <w:rPr>
          <w:rFonts w:ascii="Cambria" w:eastAsia="Calibri" w:hAnsi="Cambria" w:cs="Calibri"/>
        </w:rPr>
        <w:t>as</w:t>
      </w:r>
      <w:r w:rsidRPr="009A0DA6">
        <w:rPr>
          <w:rFonts w:ascii="Cambria" w:eastAsia="Calibri" w:hAnsi="Cambria" w:cs="Calibri"/>
          <w:spacing w:val="-2"/>
        </w:rPr>
        <w:t>t</w:t>
      </w:r>
      <w:r w:rsidRPr="009A0DA6">
        <w:rPr>
          <w:rFonts w:ascii="Cambria" w:eastAsia="Calibri" w:hAnsi="Cambria" w:cs="Calibri"/>
          <w:spacing w:val="1"/>
        </w:rPr>
        <w:t>o</w:t>
      </w:r>
      <w:r w:rsidRPr="009A0DA6">
        <w:rPr>
          <w:rFonts w:ascii="Cambria" w:eastAsia="Calibri" w:hAnsi="Cambria" w:cs="Calibri"/>
        </w:rPr>
        <w:t>ral</w:t>
      </w:r>
      <w:r w:rsidRPr="009A0DA6">
        <w:rPr>
          <w:rFonts w:ascii="Cambria" w:eastAsia="Calibri" w:hAnsi="Cambria" w:cs="Calibri"/>
          <w:spacing w:val="26"/>
        </w:rPr>
        <w:t xml:space="preserve"> </w:t>
      </w:r>
      <w:r w:rsidRPr="009A0DA6">
        <w:rPr>
          <w:rFonts w:ascii="Cambria" w:eastAsia="Calibri" w:hAnsi="Cambria" w:cs="Calibri"/>
          <w:spacing w:val="1"/>
        </w:rPr>
        <w:t>o</w:t>
      </w:r>
      <w:r w:rsidRPr="009A0DA6">
        <w:rPr>
          <w:rFonts w:ascii="Cambria" w:eastAsia="Calibri" w:hAnsi="Cambria" w:cs="Calibri"/>
          <w:spacing w:val="-3"/>
        </w:rPr>
        <w:t>f</w:t>
      </w:r>
      <w:r w:rsidRPr="009A0DA6">
        <w:rPr>
          <w:rFonts w:ascii="Cambria" w:eastAsia="Calibri" w:hAnsi="Cambria" w:cs="Calibri"/>
        </w:rPr>
        <w:t>fice,</w:t>
      </w:r>
      <w:r w:rsidRPr="009A0DA6">
        <w:rPr>
          <w:rFonts w:ascii="Cambria" w:eastAsia="Calibri" w:hAnsi="Cambria" w:cs="Calibri"/>
          <w:spacing w:val="24"/>
        </w:rPr>
        <w:t xml:space="preserve"> </w:t>
      </w:r>
      <w:r w:rsidRPr="009A0DA6">
        <w:rPr>
          <w:rFonts w:ascii="Cambria" w:eastAsia="Calibri" w:hAnsi="Cambria" w:cs="Calibri"/>
        </w:rPr>
        <w:t>which</w:t>
      </w:r>
      <w:r w:rsidRPr="009A0DA6">
        <w:rPr>
          <w:rFonts w:ascii="Cambria" w:eastAsia="Calibri" w:hAnsi="Cambria" w:cs="Calibri"/>
          <w:spacing w:val="23"/>
        </w:rPr>
        <w:t xml:space="preserve"> </w:t>
      </w:r>
      <w:r w:rsidRPr="009A0DA6">
        <w:rPr>
          <w:rFonts w:ascii="Cambria" w:eastAsia="Calibri" w:hAnsi="Cambria" w:cs="Calibri"/>
        </w:rPr>
        <w:t>is</w:t>
      </w:r>
      <w:r w:rsidRPr="009A0DA6">
        <w:rPr>
          <w:rFonts w:ascii="Cambria" w:eastAsia="Calibri" w:hAnsi="Cambria" w:cs="Calibri"/>
          <w:spacing w:val="27"/>
        </w:rPr>
        <w:t xml:space="preserve"> </w:t>
      </w:r>
      <w:r w:rsidRPr="009A0DA6">
        <w:rPr>
          <w:rFonts w:ascii="Cambria" w:eastAsia="Calibri" w:hAnsi="Cambria" w:cs="Calibri"/>
        </w:rPr>
        <w:t>the</w:t>
      </w:r>
      <w:r w:rsidRPr="009A0DA6">
        <w:rPr>
          <w:rFonts w:ascii="Cambria" w:eastAsia="Calibri" w:hAnsi="Cambria" w:cs="Calibri"/>
          <w:spacing w:val="27"/>
        </w:rPr>
        <w:t xml:space="preserve"> </w:t>
      </w:r>
      <w:r w:rsidRPr="009A0DA6">
        <w:rPr>
          <w:rFonts w:ascii="Cambria" w:eastAsia="Calibri" w:hAnsi="Cambria" w:cs="Calibri"/>
        </w:rPr>
        <w:t>a</w:t>
      </w:r>
      <w:r w:rsidRPr="009A0DA6">
        <w:rPr>
          <w:rFonts w:ascii="Cambria" w:eastAsia="Calibri" w:hAnsi="Cambria" w:cs="Calibri"/>
          <w:spacing w:val="-1"/>
        </w:rPr>
        <w:t>u</w:t>
      </w:r>
      <w:r w:rsidRPr="009A0DA6">
        <w:rPr>
          <w:rFonts w:ascii="Cambria" w:eastAsia="Calibri" w:hAnsi="Cambria" w:cs="Calibri"/>
        </w:rPr>
        <w:t>t</w:t>
      </w:r>
      <w:r w:rsidRPr="009A0DA6">
        <w:rPr>
          <w:rFonts w:ascii="Cambria" w:eastAsia="Calibri" w:hAnsi="Cambria" w:cs="Calibri"/>
          <w:spacing w:val="-3"/>
        </w:rPr>
        <w:t>h</w:t>
      </w:r>
      <w:r w:rsidRPr="009A0DA6">
        <w:rPr>
          <w:rFonts w:ascii="Cambria" w:eastAsia="Calibri" w:hAnsi="Cambria" w:cs="Calibri"/>
          <w:spacing w:val="1"/>
        </w:rPr>
        <w:t>o</w:t>
      </w:r>
      <w:r w:rsidRPr="009A0DA6">
        <w:rPr>
          <w:rFonts w:ascii="Cambria" w:eastAsia="Calibri" w:hAnsi="Cambria" w:cs="Calibri"/>
        </w:rPr>
        <w:t>ritat</w:t>
      </w:r>
      <w:r w:rsidRPr="009A0DA6">
        <w:rPr>
          <w:rFonts w:ascii="Cambria" w:eastAsia="Calibri" w:hAnsi="Cambria" w:cs="Calibri"/>
          <w:spacing w:val="-3"/>
        </w:rPr>
        <w:t>i</w:t>
      </w:r>
      <w:r w:rsidRPr="009A0DA6">
        <w:rPr>
          <w:rFonts w:ascii="Cambria" w:eastAsia="Calibri" w:hAnsi="Cambria" w:cs="Calibri"/>
          <w:spacing w:val="1"/>
        </w:rPr>
        <w:t>v</w:t>
      </w:r>
      <w:r w:rsidRPr="009A0DA6">
        <w:rPr>
          <w:rFonts w:ascii="Cambria" w:eastAsia="Calibri" w:hAnsi="Cambria" w:cs="Calibri"/>
        </w:rPr>
        <w:t>e</w:t>
      </w:r>
      <w:r w:rsidRPr="009A0DA6">
        <w:rPr>
          <w:rFonts w:ascii="Cambria" w:eastAsia="Calibri" w:hAnsi="Cambria" w:cs="Calibri"/>
          <w:spacing w:val="28"/>
        </w:rPr>
        <w:t xml:space="preserve"> </w:t>
      </w:r>
      <w:r w:rsidRPr="009A0DA6">
        <w:rPr>
          <w:rFonts w:ascii="Cambria" w:eastAsia="Calibri" w:hAnsi="Cambria" w:cs="Calibri"/>
          <w:spacing w:val="-1"/>
        </w:rPr>
        <w:t>p</w:t>
      </w:r>
      <w:r w:rsidRPr="009A0DA6">
        <w:rPr>
          <w:rFonts w:ascii="Cambria" w:eastAsia="Calibri" w:hAnsi="Cambria" w:cs="Calibri"/>
        </w:rPr>
        <w:t>r</w:t>
      </w:r>
      <w:r w:rsidRPr="009A0DA6">
        <w:rPr>
          <w:rFonts w:ascii="Cambria" w:eastAsia="Calibri" w:hAnsi="Cambria" w:cs="Calibri"/>
          <w:spacing w:val="-2"/>
        </w:rPr>
        <w:t>e</w:t>
      </w:r>
      <w:r w:rsidRPr="009A0DA6">
        <w:rPr>
          <w:rFonts w:ascii="Cambria" w:eastAsia="Calibri" w:hAnsi="Cambria" w:cs="Calibri"/>
        </w:rPr>
        <w:t>ac</w:t>
      </w:r>
      <w:r w:rsidRPr="009A0DA6">
        <w:rPr>
          <w:rFonts w:ascii="Cambria" w:eastAsia="Calibri" w:hAnsi="Cambria" w:cs="Calibri"/>
          <w:spacing w:val="-3"/>
        </w:rPr>
        <w:t>h</w:t>
      </w:r>
      <w:r w:rsidRPr="009A0DA6">
        <w:rPr>
          <w:rFonts w:ascii="Cambria" w:eastAsia="Calibri" w:hAnsi="Cambria" w:cs="Calibri"/>
        </w:rPr>
        <w:t>i</w:t>
      </w:r>
      <w:r w:rsidRPr="009A0DA6">
        <w:rPr>
          <w:rFonts w:ascii="Cambria" w:eastAsia="Calibri" w:hAnsi="Cambria" w:cs="Calibri"/>
          <w:spacing w:val="-1"/>
        </w:rPr>
        <w:t>n</w:t>
      </w:r>
      <w:r w:rsidRPr="009A0DA6">
        <w:rPr>
          <w:rFonts w:ascii="Cambria" w:eastAsia="Calibri" w:hAnsi="Cambria" w:cs="Calibri"/>
        </w:rPr>
        <w:t>g</w:t>
      </w:r>
      <w:r w:rsidRPr="009A0DA6">
        <w:rPr>
          <w:rFonts w:ascii="Cambria" w:eastAsia="Calibri" w:hAnsi="Cambria" w:cs="Calibri"/>
          <w:spacing w:val="26"/>
        </w:rPr>
        <w:t xml:space="preserve"> </w:t>
      </w:r>
      <w:r w:rsidRPr="009A0DA6">
        <w:rPr>
          <w:rFonts w:ascii="Cambria" w:eastAsia="Calibri" w:hAnsi="Cambria" w:cs="Calibri"/>
        </w:rPr>
        <w:t>a</w:t>
      </w:r>
      <w:r w:rsidRPr="009A0DA6">
        <w:rPr>
          <w:rFonts w:ascii="Cambria" w:eastAsia="Calibri" w:hAnsi="Cambria" w:cs="Calibri"/>
          <w:spacing w:val="-1"/>
        </w:rPr>
        <w:t>n</w:t>
      </w:r>
      <w:r w:rsidRPr="009A0DA6">
        <w:rPr>
          <w:rFonts w:ascii="Cambria" w:eastAsia="Calibri" w:hAnsi="Cambria" w:cs="Calibri"/>
        </w:rPr>
        <w:t>d</w:t>
      </w:r>
      <w:r w:rsidRPr="009A0DA6">
        <w:rPr>
          <w:rFonts w:ascii="Cambria" w:eastAsia="Calibri" w:hAnsi="Cambria" w:cs="Calibri"/>
          <w:spacing w:val="27"/>
        </w:rPr>
        <w:t xml:space="preserve"> </w:t>
      </w:r>
      <w:r w:rsidRPr="009A0DA6">
        <w:rPr>
          <w:rFonts w:ascii="Cambria" w:eastAsia="Calibri" w:hAnsi="Cambria" w:cs="Calibri"/>
        </w:rPr>
        <w:t>t</w:t>
      </w:r>
      <w:r w:rsidRPr="009A0DA6">
        <w:rPr>
          <w:rFonts w:ascii="Cambria" w:eastAsia="Calibri" w:hAnsi="Cambria" w:cs="Calibri"/>
          <w:spacing w:val="1"/>
        </w:rPr>
        <w:t>e</w:t>
      </w:r>
      <w:r w:rsidRPr="009A0DA6">
        <w:rPr>
          <w:rFonts w:ascii="Cambria" w:eastAsia="Calibri" w:hAnsi="Cambria" w:cs="Calibri"/>
        </w:rPr>
        <w:t>ac</w:t>
      </w:r>
      <w:r w:rsidRPr="009A0DA6">
        <w:rPr>
          <w:rFonts w:ascii="Cambria" w:eastAsia="Calibri" w:hAnsi="Cambria" w:cs="Calibri"/>
          <w:spacing w:val="-1"/>
        </w:rPr>
        <w:t>h</w:t>
      </w:r>
      <w:r w:rsidRPr="009A0DA6">
        <w:rPr>
          <w:rFonts w:ascii="Cambria" w:eastAsia="Calibri" w:hAnsi="Cambria" w:cs="Calibri"/>
        </w:rPr>
        <w:t>i</w:t>
      </w:r>
      <w:r w:rsidRPr="009A0DA6">
        <w:rPr>
          <w:rFonts w:ascii="Cambria" w:eastAsia="Calibri" w:hAnsi="Cambria" w:cs="Calibri"/>
          <w:spacing w:val="-1"/>
        </w:rPr>
        <w:t>n</w:t>
      </w:r>
      <w:r w:rsidRPr="009A0DA6">
        <w:rPr>
          <w:rFonts w:ascii="Cambria" w:eastAsia="Calibri" w:hAnsi="Cambria" w:cs="Calibri"/>
        </w:rPr>
        <w:t>g</w:t>
      </w:r>
      <w:r w:rsidRPr="009A0DA6">
        <w:rPr>
          <w:rFonts w:ascii="Cambria" w:eastAsia="Calibri" w:hAnsi="Cambria" w:cs="Calibri"/>
          <w:spacing w:val="26"/>
        </w:rPr>
        <w:t xml:space="preserve"> </w:t>
      </w:r>
      <w:r w:rsidRPr="009A0DA6">
        <w:rPr>
          <w:rFonts w:ascii="Cambria" w:eastAsia="Calibri" w:hAnsi="Cambria" w:cs="Calibri"/>
          <w:spacing w:val="1"/>
        </w:rPr>
        <w:t>o</w:t>
      </w:r>
      <w:r w:rsidRPr="009A0DA6">
        <w:rPr>
          <w:rFonts w:ascii="Cambria" w:eastAsia="Calibri" w:hAnsi="Cambria" w:cs="Calibri"/>
        </w:rPr>
        <w:t>f</w:t>
      </w:r>
      <w:r w:rsidRPr="009A0DA6">
        <w:rPr>
          <w:rFonts w:ascii="Cambria" w:eastAsia="Calibri" w:hAnsi="Cambria" w:cs="Calibri"/>
          <w:spacing w:val="27"/>
        </w:rPr>
        <w:t xml:space="preserve"> </w:t>
      </w:r>
      <w:r w:rsidRPr="009A0DA6">
        <w:rPr>
          <w:rFonts w:ascii="Cambria" w:eastAsia="Calibri" w:hAnsi="Cambria" w:cs="Calibri"/>
        </w:rPr>
        <w:t>C</w:t>
      </w:r>
      <w:r w:rsidRPr="009A0DA6">
        <w:rPr>
          <w:rFonts w:ascii="Cambria" w:eastAsia="Calibri" w:hAnsi="Cambria" w:cs="Calibri"/>
          <w:spacing w:val="-1"/>
        </w:rPr>
        <w:t>h</w:t>
      </w:r>
      <w:r w:rsidRPr="009A0DA6">
        <w:rPr>
          <w:rFonts w:ascii="Cambria" w:eastAsia="Calibri" w:hAnsi="Cambria" w:cs="Calibri"/>
        </w:rPr>
        <w:t>rist</w:t>
      </w:r>
      <w:r w:rsidRPr="009A0DA6">
        <w:rPr>
          <w:rFonts w:ascii="Cambria" w:eastAsia="Calibri" w:hAnsi="Cambria" w:cs="Calibri"/>
          <w:spacing w:val="-3"/>
        </w:rPr>
        <w:t>’</w:t>
      </w:r>
      <w:r w:rsidRPr="009A0DA6">
        <w:rPr>
          <w:rFonts w:ascii="Cambria" w:eastAsia="Calibri" w:hAnsi="Cambria" w:cs="Calibri"/>
        </w:rPr>
        <w:t>s</w:t>
      </w:r>
      <w:r w:rsidRPr="009A0DA6">
        <w:rPr>
          <w:rFonts w:ascii="Cambria" w:eastAsia="Calibri" w:hAnsi="Cambria" w:cs="Calibri"/>
          <w:spacing w:val="27"/>
        </w:rPr>
        <w:t xml:space="preserve"> </w:t>
      </w:r>
      <w:r w:rsidRPr="009A0DA6">
        <w:rPr>
          <w:rFonts w:ascii="Cambria" w:eastAsia="Calibri" w:hAnsi="Cambria" w:cs="Calibri"/>
        </w:rPr>
        <w:t>w</w:t>
      </w:r>
      <w:r w:rsidRPr="009A0DA6">
        <w:rPr>
          <w:rFonts w:ascii="Cambria" w:eastAsia="Calibri" w:hAnsi="Cambria" w:cs="Calibri"/>
          <w:spacing w:val="2"/>
        </w:rPr>
        <w:t>o</w:t>
      </w:r>
      <w:r w:rsidRPr="009A0DA6">
        <w:rPr>
          <w:rFonts w:ascii="Cambria" w:eastAsia="Calibri" w:hAnsi="Cambria" w:cs="Calibri"/>
        </w:rPr>
        <w:t>rd</w:t>
      </w:r>
      <w:r w:rsidRPr="009A0DA6">
        <w:rPr>
          <w:rFonts w:ascii="Cambria" w:eastAsia="Calibri" w:hAnsi="Cambria" w:cs="Calibri"/>
          <w:spacing w:val="24"/>
        </w:rPr>
        <w:t xml:space="preserve"> </w:t>
      </w:r>
      <w:r w:rsidRPr="009A0DA6">
        <w:rPr>
          <w:rFonts w:ascii="Cambria" w:eastAsia="Calibri" w:hAnsi="Cambria" w:cs="Calibri"/>
        </w:rPr>
        <w:t>within</w:t>
      </w:r>
      <w:r w:rsidRPr="009A0DA6">
        <w:rPr>
          <w:rFonts w:ascii="Cambria" w:eastAsia="Calibri" w:hAnsi="Cambria" w:cs="Calibri"/>
          <w:spacing w:val="26"/>
        </w:rPr>
        <w:t xml:space="preserve"> </w:t>
      </w:r>
      <w:r w:rsidRPr="009A0DA6">
        <w:rPr>
          <w:rFonts w:ascii="Cambria" w:eastAsia="Calibri" w:hAnsi="Cambria" w:cs="Calibri"/>
        </w:rPr>
        <w:t>the</w:t>
      </w:r>
      <w:r w:rsidRPr="009A0DA6">
        <w:rPr>
          <w:rFonts w:ascii="Cambria" w:eastAsia="Calibri" w:hAnsi="Cambria" w:cs="Calibri"/>
          <w:spacing w:val="25"/>
        </w:rPr>
        <w:t xml:space="preserve"> </w:t>
      </w:r>
      <w:r w:rsidRPr="009A0DA6">
        <w:rPr>
          <w:rFonts w:ascii="Cambria" w:eastAsia="Calibri" w:hAnsi="Cambria" w:cs="Calibri"/>
        </w:rPr>
        <w:t>ch</w:t>
      </w:r>
      <w:r w:rsidRPr="009A0DA6">
        <w:rPr>
          <w:rFonts w:ascii="Cambria" w:eastAsia="Calibri" w:hAnsi="Cambria" w:cs="Calibri"/>
          <w:spacing w:val="-1"/>
        </w:rPr>
        <w:t>u</w:t>
      </w:r>
      <w:r w:rsidRPr="009A0DA6">
        <w:rPr>
          <w:rFonts w:ascii="Cambria" w:eastAsia="Calibri" w:hAnsi="Cambria" w:cs="Calibri"/>
        </w:rPr>
        <w:t>rch</w:t>
      </w:r>
      <w:r w:rsidRPr="009A0DA6">
        <w:rPr>
          <w:rFonts w:ascii="Cambria" w:eastAsia="Calibri" w:hAnsi="Cambria" w:cs="Calibri"/>
          <w:spacing w:val="26"/>
        </w:rPr>
        <w:t xml:space="preserve"> </w:t>
      </w:r>
      <w:r w:rsidRPr="009A0DA6">
        <w:rPr>
          <w:rFonts w:ascii="Cambria" w:eastAsia="Calibri" w:hAnsi="Cambria" w:cs="Calibri"/>
        </w:rPr>
        <w:t>as</w:t>
      </w:r>
      <w:r w:rsidRPr="009A0DA6">
        <w:rPr>
          <w:rFonts w:ascii="Cambria" w:eastAsia="Calibri" w:hAnsi="Cambria" w:cs="Calibri"/>
          <w:spacing w:val="27"/>
        </w:rPr>
        <w:t xml:space="preserve"> </w:t>
      </w:r>
      <w:r w:rsidRPr="009A0DA6">
        <w:rPr>
          <w:rFonts w:ascii="Cambria" w:eastAsia="Calibri" w:hAnsi="Cambria" w:cs="Calibri"/>
        </w:rPr>
        <w:t xml:space="preserve">it </w:t>
      </w:r>
      <w:r w:rsidRPr="009A0DA6">
        <w:rPr>
          <w:rFonts w:ascii="Cambria" w:eastAsia="Calibri" w:hAnsi="Cambria" w:cs="Calibri"/>
          <w:spacing w:val="-1"/>
        </w:rPr>
        <w:t>g</w:t>
      </w:r>
      <w:r w:rsidRPr="009A0DA6">
        <w:rPr>
          <w:rFonts w:ascii="Cambria" w:eastAsia="Calibri" w:hAnsi="Cambria" w:cs="Calibri"/>
        </w:rPr>
        <w:t>athers</w:t>
      </w:r>
      <w:r w:rsidRPr="009A0DA6">
        <w:rPr>
          <w:rFonts w:ascii="Cambria" w:eastAsia="Calibri" w:hAnsi="Cambria" w:cs="Calibri"/>
          <w:spacing w:val="3"/>
        </w:rPr>
        <w:t xml:space="preserve"> </w:t>
      </w:r>
      <w:r w:rsidRPr="009A0DA6">
        <w:rPr>
          <w:rFonts w:ascii="Cambria" w:eastAsia="Calibri" w:hAnsi="Cambria" w:cs="Calibri"/>
          <w:spacing w:val="-3"/>
        </w:rPr>
        <w:t>f</w:t>
      </w:r>
      <w:r w:rsidRPr="009A0DA6">
        <w:rPr>
          <w:rFonts w:ascii="Cambria" w:eastAsia="Calibri" w:hAnsi="Cambria" w:cs="Calibri"/>
          <w:spacing w:val="1"/>
        </w:rPr>
        <w:t>o</w:t>
      </w:r>
      <w:r w:rsidRPr="009A0DA6">
        <w:rPr>
          <w:rFonts w:ascii="Cambria" w:eastAsia="Calibri" w:hAnsi="Cambria" w:cs="Calibri"/>
        </w:rPr>
        <w:t>r</w:t>
      </w:r>
      <w:r w:rsidRPr="009A0DA6">
        <w:rPr>
          <w:rFonts w:ascii="Cambria" w:eastAsia="Calibri" w:hAnsi="Cambria" w:cs="Calibri"/>
          <w:spacing w:val="3"/>
        </w:rPr>
        <w:t xml:space="preserve"> </w:t>
      </w:r>
      <w:r w:rsidRPr="009A0DA6">
        <w:rPr>
          <w:rFonts w:ascii="Cambria" w:eastAsia="Calibri" w:hAnsi="Cambria" w:cs="Calibri"/>
          <w:spacing w:val="-1"/>
        </w:rPr>
        <w:t>d</w:t>
      </w:r>
      <w:r w:rsidRPr="009A0DA6">
        <w:rPr>
          <w:rFonts w:ascii="Cambria" w:eastAsia="Calibri" w:hAnsi="Cambria" w:cs="Calibri"/>
          <w:spacing w:val="-3"/>
        </w:rPr>
        <w:t>i</w:t>
      </w:r>
      <w:r w:rsidRPr="009A0DA6">
        <w:rPr>
          <w:rFonts w:ascii="Cambria" w:eastAsia="Calibri" w:hAnsi="Cambria" w:cs="Calibri"/>
          <w:spacing w:val="1"/>
        </w:rPr>
        <w:t>v</w:t>
      </w:r>
      <w:r w:rsidRPr="009A0DA6">
        <w:rPr>
          <w:rFonts w:ascii="Cambria" w:eastAsia="Calibri" w:hAnsi="Cambria" w:cs="Calibri"/>
        </w:rPr>
        <w:t>i</w:t>
      </w:r>
      <w:r w:rsidRPr="009A0DA6">
        <w:rPr>
          <w:rFonts w:ascii="Cambria" w:eastAsia="Calibri" w:hAnsi="Cambria" w:cs="Calibri"/>
          <w:spacing w:val="-1"/>
        </w:rPr>
        <w:t>n</w:t>
      </w:r>
      <w:r w:rsidRPr="009A0DA6">
        <w:rPr>
          <w:rFonts w:ascii="Cambria" w:eastAsia="Calibri" w:hAnsi="Cambria" w:cs="Calibri"/>
        </w:rPr>
        <w:t>e</w:t>
      </w:r>
      <w:r w:rsidRPr="009A0DA6">
        <w:rPr>
          <w:rFonts w:ascii="Cambria" w:eastAsia="Calibri" w:hAnsi="Cambria" w:cs="Calibri"/>
          <w:spacing w:val="4"/>
        </w:rPr>
        <w:t xml:space="preserve"> </w:t>
      </w:r>
      <w:r w:rsidRPr="009A0DA6">
        <w:rPr>
          <w:rFonts w:ascii="Cambria" w:eastAsia="Calibri" w:hAnsi="Cambria" w:cs="Calibri"/>
          <w:spacing w:val="-2"/>
        </w:rPr>
        <w:t>s</w:t>
      </w:r>
      <w:r w:rsidRPr="009A0DA6">
        <w:rPr>
          <w:rFonts w:ascii="Cambria" w:eastAsia="Calibri" w:hAnsi="Cambria" w:cs="Calibri"/>
        </w:rPr>
        <w:t>er</w:t>
      </w:r>
      <w:r w:rsidRPr="009A0DA6">
        <w:rPr>
          <w:rFonts w:ascii="Cambria" w:eastAsia="Calibri" w:hAnsi="Cambria" w:cs="Calibri"/>
          <w:spacing w:val="1"/>
        </w:rPr>
        <w:t>v</w:t>
      </w:r>
      <w:r w:rsidRPr="009A0DA6">
        <w:rPr>
          <w:rFonts w:ascii="Cambria" w:eastAsia="Calibri" w:hAnsi="Cambria" w:cs="Calibri"/>
        </w:rPr>
        <w:t>i</w:t>
      </w:r>
      <w:r w:rsidRPr="009A0DA6">
        <w:rPr>
          <w:rFonts w:ascii="Cambria" w:eastAsia="Calibri" w:hAnsi="Cambria" w:cs="Calibri"/>
          <w:spacing w:val="-3"/>
        </w:rPr>
        <w:t>c</w:t>
      </w:r>
      <w:r w:rsidRPr="009A0DA6">
        <w:rPr>
          <w:rFonts w:ascii="Cambria" w:eastAsia="Calibri" w:hAnsi="Cambria" w:cs="Calibri"/>
        </w:rPr>
        <w:t>e</w:t>
      </w:r>
      <w:r w:rsidRPr="009A0DA6">
        <w:rPr>
          <w:rFonts w:ascii="Cambria" w:eastAsia="Calibri" w:hAnsi="Cambria" w:cs="Calibri"/>
          <w:spacing w:val="4"/>
        </w:rPr>
        <w:t xml:space="preserve"> </w:t>
      </w:r>
      <w:r w:rsidRPr="009A0DA6">
        <w:rPr>
          <w:rFonts w:ascii="Cambria" w:eastAsia="Calibri" w:hAnsi="Cambria" w:cs="Calibri"/>
          <w:spacing w:val="-2"/>
        </w:rPr>
        <w:t>(</w:t>
      </w:r>
      <w:r w:rsidRPr="009A0DA6">
        <w:rPr>
          <w:rFonts w:ascii="Cambria" w:eastAsia="Calibri" w:hAnsi="Cambria" w:cs="Calibri"/>
        </w:rPr>
        <w:t>1</w:t>
      </w:r>
      <w:r w:rsidRPr="009A0DA6">
        <w:rPr>
          <w:rFonts w:ascii="Cambria" w:eastAsia="Calibri" w:hAnsi="Cambria" w:cs="Calibri"/>
          <w:spacing w:val="4"/>
        </w:rPr>
        <w:t xml:space="preserve"> </w:t>
      </w:r>
      <w:r w:rsidRPr="009A0DA6">
        <w:rPr>
          <w:rFonts w:ascii="Cambria" w:eastAsia="Calibri" w:hAnsi="Cambria" w:cs="Calibri"/>
          <w:spacing w:val="-2"/>
        </w:rPr>
        <w:t>C</w:t>
      </w:r>
      <w:r w:rsidRPr="009A0DA6">
        <w:rPr>
          <w:rFonts w:ascii="Cambria" w:eastAsia="Calibri" w:hAnsi="Cambria" w:cs="Calibri"/>
          <w:spacing w:val="1"/>
        </w:rPr>
        <w:t>o</w:t>
      </w:r>
      <w:r w:rsidRPr="009A0DA6">
        <w:rPr>
          <w:rFonts w:ascii="Cambria" w:eastAsia="Calibri" w:hAnsi="Cambria" w:cs="Calibri"/>
        </w:rPr>
        <w:t>r</w:t>
      </w:r>
      <w:r w:rsidRPr="009A0DA6">
        <w:rPr>
          <w:rFonts w:ascii="Cambria" w:eastAsia="Calibri" w:hAnsi="Cambria" w:cs="Calibri"/>
          <w:spacing w:val="1"/>
        </w:rPr>
        <w:t xml:space="preserve"> 1</w:t>
      </w:r>
      <w:r w:rsidRPr="009A0DA6">
        <w:rPr>
          <w:rFonts w:ascii="Cambria" w:eastAsia="Calibri" w:hAnsi="Cambria" w:cs="Calibri"/>
          <w:spacing w:val="-2"/>
        </w:rPr>
        <w:t>4</w:t>
      </w:r>
      <w:r w:rsidRPr="009A0DA6">
        <w:rPr>
          <w:rFonts w:ascii="Cambria" w:eastAsia="Calibri" w:hAnsi="Cambria" w:cs="Calibri"/>
          <w:spacing w:val="1"/>
        </w:rPr>
        <w:t>:</w:t>
      </w:r>
      <w:r w:rsidRPr="009A0DA6">
        <w:rPr>
          <w:rFonts w:ascii="Cambria" w:eastAsia="Calibri" w:hAnsi="Cambria" w:cs="Calibri"/>
          <w:spacing w:val="-2"/>
        </w:rPr>
        <w:t>3</w:t>
      </w:r>
      <w:r w:rsidRPr="009A0DA6">
        <w:rPr>
          <w:rFonts w:ascii="Cambria" w:eastAsia="Calibri" w:hAnsi="Cambria" w:cs="Calibri"/>
          <w:spacing w:val="1"/>
        </w:rPr>
        <w:t>3</w:t>
      </w:r>
      <w:r w:rsidRPr="009A0DA6">
        <w:rPr>
          <w:rFonts w:ascii="Cambria" w:eastAsia="Calibri" w:hAnsi="Cambria" w:cs="Calibri"/>
          <w:spacing w:val="3"/>
        </w:rPr>
        <w:t>b</w:t>
      </w:r>
      <w:r w:rsidRPr="009A0DA6">
        <w:rPr>
          <w:rFonts w:ascii="Cambria" w:eastAsia="Calibri" w:hAnsi="Cambria" w:cs="Calibri"/>
        </w:rPr>
        <w:sym w:font="Symbol" w:char="F02D"/>
      </w:r>
      <w:r w:rsidRPr="009A0DA6">
        <w:rPr>
          <w:rFonts w:ascii="Cambria" w:eastAsia="Calibri" w:hAnsi="Cambria" w:cs="Calibri"/>
          <w:spacing w:val="-2"/>
        </w:rPr>
        <w:t>3</w:t>
      </w:r>
      <w:r w:rsidRPr="009A0DA6">
        <w:rPr>
          <w:rFonts w:ascii="Cambria" w:eastAsia="Calibri" w:hAnsi="Cambria" w:cs="Calibri"/>
          <w:spacing w:val="1"/>
        </w:rPr>
        <w:t>8</w:t>
      </w:r>
      <w:r w:rsidRPr="009A0DA6">
        <w:rPr>
          <w:rFonts w:ascii="Cambria" w:eastAsia="Calibri" w:hAnsi="Cambria" w:cs="Calibri"/>
        </w:rPr>
        <w:t>;</w:t>
      </w:r>
      <w:r w:rsidRPr="009A0DA6">
        <w:rPr>
          <w:rFonts w:ascii="Cambria" w:eastAsia="Calibri" w:hAnsi="Cambria" w:cs="Calibri"/>
          <w:spacing w:val="2"/>
        </w:rPr>
        <w:t xml:space="preserve"> </w:t>
      </w:r>
      <w:r w:rsidRPr="009A0DA6">
        <w:rPr>
          <w:rFonts w:ascii="Cambria" w:eastAsia="Calibri" w:hAnsi="Cambria" w:cs="Calibri"/>
        </w:rPr>
        <w:t>1</w:t>
      </w:r>
      <w:r w:rsidRPr="009A0DA6">
        <w:rPr>
          <w:rFonts w:ascii="Cambria" w:eastAsia="Calibri" w:hAnsi="Cambria" w:cs="Calibri"/>
          <w:spacing w:val="2"/>
        </w:rPr>
        <w:t xml:space="preserve"> </w:t>
      </w:r>
      <w:r w:rsidRPr="009A0DA6">
        <w:rPr>
          <w:rFonts w:ascii="Cambria" w:eastAsia="Calibri" w:hAnsi="Cambria" w:cs="Calibri"/>
        </w:rPr>
        <w:t>T</w:t>
      </w:r>
      <w:r w:rsidRPr="009A0DA6">
        <w:rPr>
          <w:rFonts w:ascii="Cambria" w:eastAsia="Calibri" w:hAnsi="Cambria" w:cs="Calibri"/>
          <w:spacing w:val="-2"/>
        </w:rPr>
        <w:t>i</w:t>
      </w:r>
      <w:r w:rsidRPr="009A0DA6">
        <w:rPr>
          <w:rFonts w:ascii="Cambria" w:eastAsia="Calibri" w:hAnsi="Cambria" w:cs="Calibri"/>
        </w:rPr>
        <w:t>m</w:t>
      </w:r>
      <w:r w:rsidRPr="009A0DA6">
        <w:rPr>
          <w:rFonts w:ascii="Cambria" w:eastAsia="Calibri" w:hAnsi="Cambria" w:cs="Calibri"/>
          <w:spacing w:val="2"/>
        </w:rPr>
        <w:t xml:space="preserve"> </w:t>
      </w:r>
      <w:r w:rsidRPr="009A0DA6">
        <w:rPr>
          <w:rFonts w:ascii="Cambria" w:eastAsia="Calibri" w:hAnsi="Cambria" w:cs="Calibri"/>
          <w:spacing w:val="1"/>
        </w:rPr>
        <w:t>2</w:t>
      </w:r>
      <w:r w:rsidRPr="009A0DA6">
        <w:rPr>
          <w:rFonts w:ascii="Cambria" w:eastAsia="Calibri" w:hAnsi="Cambria" w:cs="Calibri"/>
          <w:spacing w:val="-1"/>
        </w:rPr>
        <w:t>:</w:t>
      </w:r>
      <w:r w:rsidRPr="009A0DA6">
        <w:rPr>
          <w:rFonts w:ascii="Cambria" w:eastAsia="Calibri" w:hAnsi="Cambria" w:cs="Calibri"/>
          <w:spacing w:val="-2"/>
        </w:rPr>
        <w:t>1</w:t>
      </w:r>
      <w:r w:rsidRPr="009A0DA6">
        <w:rPr>
          <w:rFonts w:ascii="Cambria" w:eastAsia="Calibri" w:hAnsi="Cambria" w:cs="Calibri"/>
          <w:spacing w:val="2"/>
        </w:rPr>
        <w:t>1</w:t>
      </w:r>
      <w:r w:rsidRPr="009A0DA6">
        <w:rPr>
          <w:rFonts w:ascii="Cambria" w:eastAsia="Calibri" w:hAnsi="Cambria" w:cs="Calibri"/>
        </w:rPr>
        <w:sym w:font="Symbol" w:char="F02D"/>
      </w:r>
      <w:r w:rsidRPr="009A0DA6">
        <w:rPr>
          <w:rFonts w:ascii="Cambria" w:eastAsia="Calibri" w:hAnsi="Cambria" w:cs="Calibri"/>
          <w:spacing w:val="-2"/>
        </w:rPr>
        <w:t>1</w:t>
      </w:r>
      <w:r w:rsidRPr="009A0DA6">
        <w:rPr>
          <w:rFonts w:ascii="Cambria" w:eastAsia="Calibri" w:hAnsi="Cambria" w:cs="Calibri"/>
          <w:spacing w:val="1"/>
        </w:rPr>
        <w:t>5</w:t>
      </w:r>
      <w:r w:rsidRPr="009A0DA6">
        <w:rPr>
          <w:rFonts w:ascii="Cambria" w:eastAsia="Calibri" w:hAnsi="Cambria" w:cs="Calibri"/>
        </w:rPr>
        <w:t>).</w:t>
      </w:r>
      <w:r w:rsidRPr="009A0DA6">
        <w:rPr>
          <w:rFonts w:ascii="Cambria" w:eastAsia="Calibri" w:hAnsi="Cambria" w:cs="Calibri"/>
          <w:spacing w:val="4"/>
        </w:rPr>
        <w:t xml:space="preserve"> </w:t>
      </w:r>
      <w:r w:rsidRPr="009A0DA6">
        <w:rPr>
          <w:rFonts w:ascii="Cambria" w:eastAsia="Calibri" w:hAnsi="Cambria" w:cs="Calibri"/>
        </w:rPr>
        <w:t>In th</w:t>
      </w:r>
      <w:r w:rsidRPr="009A0DA6">
        <w:rPr>
          <w:rFonts w:ascii="Cambria" w:eastAsia="Calibri" w:hAnsi="Cambria" w:cs="Calibri"/>
          <w:spacing w:val="-1"/>
        </w:rPr>
        <w:t>i</w:t>
      </w:r>
      <w:r w:rsidRPr="009A0DA6">
        <w:rPr>
          <w:rFonts w:ascii="Cambria" w:eastAsia="Calibri" w:hAnsi="Cambria" w:cs="Calibri"/>
        </w:rPr>
        <w:t>s</w:t>
      </w:r>
      <w:r w:rsidRPr="009A0DA6">
        <w:rPr>
          <w:rFonts w:ascii="Cambria" w:eastAsia="Calibri" w:hAnsi="Cambria" w:cs="Calibri"/>
          <w:spacing w:val="1"/>
        </w:rPr>
        <w:t xml:space="preserve"> </w:t>
      </w:r>
      <w:r w:rsidRPr="009A0DA6">
        <w:rPr>
          <w:rFonts w:ascii="Cambria" w:eastAsia="Calibri" w:hAnsi="Cambria" w:cs="Calibri"/>
        </w:rPr>
        <w:t>way</w:t>
      </w:r>
      <w:r w:rsidRPr="009A0DA6">
        <w:rPr>
          <w:rFonts w:ascii="Cambria" w:eastAsia="Calibri" w:hAnsi="Cambria" w:cs="Calibri"/>
          <w:spacing w:val="2"/>
        </w:rPr>
        <w:t xml:space="preserve"> </w:t>
      </w:r>
      <w:r w:rsidRPr="009A0DA6">
        <w:rPr>
          <w:rFonts w:ascii="Cambria" w:eastAsia="Calibri" w:hAnsi="Cambria" w:cs="Calibri"/>
        </w:rPr>
        <w:t>the</w:t>
      </w:r>
      <w:r w:rsidRPr="009A0DA6">
        <w:rPr>
          <w:rFonts w:ascii="Cambria" w:eastAsia="Calibri" w:hAnsi="Cambria" w:cs="Calibri"/>
          <w:spacing w:val="3"/>
        </w:rPr>
        <w:t xml:space="preserve"> </w:t>
      </w:r>
      <w:r w:rsidRPr="009A0DA6">
        <w:rPr>
          <w:rFonts w:ascii="Cambria" w:eastAsia="Calibri" w:hAnsi="Cambria" w:cs="Calibri"/>
          <w:spacing w:val="-3"/>
        </w:rPr>
        <w:t>N</w:t>
      </w:r>
      <w:r w:rsidRPr="009A0DA6">
        <w:rPr>
          <w:rFonts w:ascii="Cambria" w:eastAsia="Calibri" w:hAnsi="Cambria" w:cs="Calibri"/>
        </w:rPr>
        <w:t>ew</w:t>
      </w:r>
      <w:r w:rsidRPr="009A0DA6">
        <w:rPr>
          <w:rFonts w:ascii="Cambria" w:eastAsia="Calibri" w:hAnsi="Cambria" w:cs="Calibri"/>
          <w:spacing w:val="2"/>
        </w:rPr>
        <w:t xml:space="preserve"> </w:t>
      </w:r>
      <w:r w:rsidRPr="009A0DA6">
        <w:rPr>
          <w:rFonts w:ascii="Cambria" w:eastAsia="Calibri" w:hAnsi="Cambria" w:cs="Calibri"/>
        </w:rPr>
        <w:t>T</w:t>
      </w:r>
      <w:r w:rsidRPr="009A0DA6">
        <w:rPr>
          <w:rFonts w:ascii="Cambria" w:eastAsia="Calibri" w:hAnsi="Cambria" w:cs="Calibri"/>
          <w:spacing w:val="1"/>
        </w:rPr>
        <w:t>e</w:t>
      </w:r>
      <w:r w:rsidRPr="009A0DA6">
        <w:rPr>
          <w:rFonts w:ascii="Cambria" w:eastAsia="Calibri" w:hAnsi="Cambria" w:cs="Calibri"/>
          <w:spacing w:val="-2"/>
        </w:rPr>
        <w:t>s</w:t>
      </w:r>
      <w:r w:rsidRPr="009A0DA6">
        <w:rPr>
          <w:rFonts w:ascii="Cambria" w:eastAsia="Calibri" w:hAnsi="Cambria" w:cs="Calibri"/>
        </w:rPr>
        <w:t>ta</w:t>
      </w:r>
      <w:r w:rsidRPr="009A0DA6">
        <w:rPr>
          <w:rFonts w:ascii="Cambria" w:eastAsia="Calibri" w:hAnsi="Cambria" w:cs="Calibri"/>
          <w:spacing w:val="-1"/>
        </w:rPr>
        <w:t>m</w:t>
      </w:r>
      <w:r w:rsidRPr="009A0DA6">
        <w:rPr>
          <w:rFonts w:ascii="Cambria" w:eastAsia="Calibri" w:hAnsi="Cambria" w:cs="Calibri"/>
        </w:rPr>
        <w:t>ent,</w:t>
      </w:r>
      <w:r w:rsidRPr="009A0DA6">
        <w:rPr>
          <w:rFonts w:ascii="Cambria" w:eastAsia="Calibri" w:hAnsi="Cambria" w:cs="Calibri"/>
          <w:spacing w:val="4"/>
        </w:rPr>
        <w:t xml:space="preserve"> </w:t>
      </w:r>
      <w:r w:rsidRPr="009A0DA6">
        <w:rPr>
          <w:rFonts w:ascii="Cambria" w:eastAsia="Calibri" w:hAnsi="Cambria" w:cs="Calibri"/>
          <w:spacing w:val="-3"/>
        </w:rPr>
        <w:t>b</w:t>
      </w:r>
      <w:r w:rsidRPr="009A0DA6">
        <w:rPr>
          <w:rFonts w:ascii="Cambria" w:eastAsia="Calibri" w:hAnsi="Cambria" w:cs="Calibri"/>
          <w:spacing w:val="1"/>
        </w:rPr>
        <w:t>o</w:t>
      </w:r>
      <w:r w:rsidRPr="009A0DA6">
        <w:rPr>
          <w:rFonts w:ascii="Cambria" w:eastAsia="Calibri" w:hAnsi="Cambria" w:cs="Calibri"/>
        </w:rPr>
        <w:t>th</w:t>
      </w:r>
      <w:r w:rsidRPr="009A0DA6">
        <w:rPr>
          <w:rFonts w:ascii="Cambria" w:eastAsia="Calibri" w:hAnsi="Cambria" w:cs="Calibri"/>
          <w:spacing w:val="3"/>
        </w:rPr>
        <w:t xml:space="preserve"> </w:t>
      </w:r>
      <w:r w:rsidRPr="009A0DA6">
        <w:rPr>
          <w:rFonts w:ascii="Cambria" w:eastAsia="Calibri" w:hAnsi="Cambria" w:cs="Calibri"/>
          <w:spacing w:val="-3"/>
        </w:rPr>
        <w:t>b</w:t>
      </w:r>
      <w:r w:rsidRPr="009A0DA6">
        <w:rPr>
          <w:rFonts w:ascii="Cambria" w:eastAsia="Calibri" w:hAnsi="Cambria" w:cs="Calibri"/>
        </w:rPr>
        <w:t>y</w:t>
      </w:r>
      <w:r w:rsidRPr="009A0DA6">
        <w:rPr>
          <w:rFonts w:ascii="Cambria" w:eastAsia="Calibri" w:hAnsi="Cambria" w:cs="Calibri"/>
          <w:spacing w:val="4"/>
        </w:rPr>
        <w:t xml:space="preserve"> </w:t>
      </w:r>
      <w:r w:rsidRPr="009A0DA6">
        <w:rPr>
          <w:rFonts w:ascii="Cambria" w:eastAsia="Calibri" w:hAnsi="Cambria" w:cs="Calibri"/>
        </w:rPr>
        <w:t>i</w:t>
      </w:r>
      <w:r w:rsidRPr="009A0DA6">
        <w:rPr>
          <w:rFonts w:ascii="Cambria" w:eastAsia="Calibri" w:hAnsi="Cambria" w:cs="Calibri"/>
          <w:spacing w:val="-2"/>
        </w:rPr>
        <w:t>t</w:t>
      </w:r>
      <w:r w:rsidRPr="009A0DA6">
        <w:rPr>
          <w:rFonts w:ascii="Cambria" w:eastAsia="Calibri" w:hAnsi="Cambria" w:cs="Calibri"/>
        </w:rPr>
        <w:t>s</w:t>
      </w:r>
      <w:r w:rsidRPr="009A0DA6">
        <w:rPr>
          <w:rFonts w:ascii="Cambria" w:eastAsia="Calibri" w:hAnsi="Cambria" w:cs="Calibri"/>
          <w:spacing w:val="3"/>
        </w:rPr>
        <w:t xml:space="preserve"> </w:t>
      </w:r>
      <w:r w:rsidRPr="009A0DA6">
        <w:rPr>
          <w:rFonts w:ascii="Cambria" w:eastAsia="Calibri" w:hAnsi="Cambria" w:cs="Calibri"/>
          <w:spacing w:val="-2"/>
        </w:rPr>
        <w:t>e</w:t>
      </w:r>
      <w:r w:rsidRPr="009A0DA6">
        <w:rPr>
          <w:rFonts w:ascii="Cambria" w:eastAsia="Calibri" w:hAnsi="Cambria" w:cs="Calibri"/>
        </w:rPr>
        <w:t>x</w:t>
      </w:r>
      <w:r w:rsidRPr="009A0DA6">
        <w:rPr>
          <w:rFonts w:ascii="Cambria" w:eastAsia="Calibri" w:hAnsi="Cambria" w:cs="Calibri"/>
          <w:spacing w:val="-2"/>
        </w:rPr>
        <w:t>a</w:t>
      </w:r>
      <w:r w:rsidRPr="009A0DA6">
        <w:rPr>
          <w:rFonts w:ascii="Cambria" w:eastAsia="Calibri" w:hAnsi="Cambria" w:cs="Calibri"/>
          <w:spacing w:val="1"/>
        </w:rPr>
        <w:t>m</w:t>
      </w:r>
      <w:r w:rsidRPr="009A0DA6">
        <w:rPr>
          <w:rFonts w:ascii="Cambria" w:eastAsia="Calibri" w:hAnsi="Cambria" w:cs="Calibri"/>
          <w:spacing w:val="-1"/>
        </w:rPr>
        <w:t>p</w:t>
      </w:r>
      <w:r w:rsidRPr="009A0DA6">
        <w:rPr>
          <w:rFonts w:ascii="Cambria" w:eastAsia="Calibri" w:hAnsi="Cambria" w:cs="Calibri"/>
        </w:rPr>
        <w:t>le a</w:t>
      </w:r>
      <w:r w:rsidRPr="009A0DA6">
        <w:rPr>
          <w:rFonts w:ascii="Cambria" w:eastAsia="Calibri" w:hAnsi="Cambria" w:cs="Calibri"/>
          <w:spacing w:val="-1"/>
        </w:rPr>
        <w:t>n</w:t>
      </w:r>
      <w:r w:rsidRPr="009A0DA6">
        <w:rPr>
          <w:rFonts w:ascii="Cambria" w:eastAsia="Calibri" w:hAnsi="Cambria" w:cs="Calibri"/>
        </w:rPr>
        <w:t>d</w:t>
      </w:r>
      <w:r w:rsidRPr="009A0DA6">
        <w:rPr>
          <w:rFonts w:ascii="Cambria" w:eastAsia="Calibri" w:hAnsi="Cambria" w:cs="Calibri"/>
          <w:spacing w:val="-1"/>
        </w:rPr>
        <w:t xml:space="preserve"> </w:t>
      </w:r>
      <w:r w:rsidRPr="009A0DA6">
        <w:rPr>
          <w:rFonts w:ascii="Cambria" w:eastAsia="Calibri" w:hAnsi="Cambria" w:cs="Calibri"/>
        </w:rPr>
        <w:t>by</w:t>
      </w:r>
      <w:r w:rsidRPr="009A0DA6">
        <w:rPr>
          <w:rFonts w:ascii="Cambria" w:eastAsia="Calibri" w:hAnsi="Cambria" w:cs="Calibri"/>
          <w:spacing w:val="1"/>
        </w:rPr>
        <w:t xml:space="preserve"> </w:t>
      </w:r>
      <w:r w:rsidRPr="009A0DA6">
        <w:rPr>
          <w:rFonts w:ascii="Cambria" w:eastAsia="Calibri" w:hAnsi="Cambria" w:cs="Calibri"/>
        </w:rPr>
        <w:t xml:space="preserve">a </w:t>
      </w:r>
      <w:r w:rsidRPr="009A0DA6">
        <w:rPr>
          <w:rFonts w:ascii="Cambria" w:eastAsia="Calibri" w:hAnsi="Cambria" w:cs="Calibri"/>
          <w:spacing w:val="-2"/>
        </w:rPr>
        <w:t>c</w:t>
      </w:r>
      <w:r w:rsidRPr="009A0DA6">
        <w:rPr>
          <w:rFonts w:ascii="Cambria" w:eastAsia="Calibri" w:hAnsi="Cambria" w:cs="Calibri"/>
          <w:spacing w:val="-1"/>
        </w:rPr>
        <w:t>o</w:t>
      </w:r>
      <w:r w:rsidRPr="009A0DA6">
        <w:rPr>
          <w:rFonts w:ascii="Cambria" w:eastAsia="Calibri" w:hAnsi="Cambria" w:cs="Calibri"/>
          <w:spacing w:val="1"/>
        </w:rPr>
        <w:t>m</w:t>
      </w:r>
      <w:r w:rsidRPr="009A0DA6">
        <w:rPr>
          <w:rFonts w:ascii="Cambria" w:eastAsia="Calibri" w:hAnsi="Cambria" w:cs="Calibri"/>
          <w:spacing w:val="-1"/>
        </w:rPr>
        <w:t>m</w:t>
      </w:r>
      <w:r w:rsidRPr="009A0DA6">
        <w:rPr>
          <w:rFonts w:ascii="Cambria" w:eastAsia="Calibri" w:hAnsi="Cambria" w:cs="Calibri"/>
        </w:rPr>
        <w:t>a</w:t>
      </w:r>
      <w:r w:rsidRPr="009A0DA6">
        <w:rPr>
          <w:rFonts w:ascii="Cambria" w:eastAsia="Calibri" w:hAnsi="Cambria" w:cs="Calibri"/>
          <w:spacing w:val="-1"/>
        </w:rPr>
        <w:t>n</w:t>
      </w:r>
      <w:r w:rsidRPr="009A0DA6">
        <w:rPr>
          <w:rFonts w:ascii="Cambria" w:eastAsia="Calibri" w:hAnsi="Cambria" w:cs="Calibri"/>
        </w:rPr>
        <w:t>d</w:t>
      </w:r>
      <w:r w:rsidRPr="009A0DA6">
        <w:rPr>
          <w:rFonts w:ascii="Cambria" w:eastAsia="Calibri" w:hAnsi="Cambria" w:cs="Calibri"/>
          <w:spacing w:val="-1"/>
        </w:rPr>
        <w:t xml:space="preserve"> </w:t>
      </w:r>
      <w:r w:rsidRPr="009A0DA6">
        <w:rPr>
          <w:rFonts w:ascii="Cambria" w:eastAsia="Calibri" w:hAnsi="Cambria" w:cs="Calibri"/>
        </w:rPr>
        <w:t>gi</w:t>
      </w:r>
      <w:r w:rsidRPr="009A0DA6">
        <w:rPr>
          <w:rFonts w:ascii="Cambria" w:eastAsia="Calibri" w:hAnsi="Cambria" w:cs="Calibri"/>
          <w:spacing w:val="1"/>
        </w:rPr>
        <w:t>v</w:t>
      </w:r>
      <w:r w:rsidRPr="009A0DA6">
        <w:rPr>
          <w:rFonts w:ascii="Cambria" w:eastAsia="Calibri" w:hAnsi="Cambria" w:cs="Calibri"/>
        </w:rPr>
        <w:t xml:space="preserve">en </w:t>
      </w:r>
      <w:r w:rsidRPr="009A0DA6">
        <w:rPr>
          <w:rFonts w:ascii="Cambria" w:eastAsia="Calibri" w:hAnsi="Cambria" w:cs="Calibri"/>
          <w:spacing w:val="-3"/>
        </w:rPr>
        <w:t>n</w:t>
      </w:r>
      <w:r w:rsidRPr="009A0DA6">
        <w:rPr>
          <w:rFonts w:ascii="Cambria" w:eastAsia="Calibri" w:hAnsi="Cambria" w:cs="Calibri"/>
          <w:spacing w:val="1"/>
        </w:rPr>
        <w:t>o</w:t>
      </w:r>
      <w:r w:rsidRPr="009A0DA6">
        <w:rPr>
          <w:rFonts w:ascii="Cambria" w:eastAsia="Calibri" w:hAnsi="Cambria" w:cs="Calibri"/>
        </w:rPr>
        <w:t>t</w:t>
      </w:r>
      <w:r w:rsidRPr="009A0DA6">
        <w:rPr>
          <w:rFonts w:ascii="Cambria" w:eastAsia="Calibri" w:hAnsi="Cambria" w:cs="Calibri"/>
          <w:spacing w:val="-1"/>
        </w:rPr>
        <w:t xml:space="preserve"> </w:t>
      </w:r>
      <w:r w:rsidRPr="009A0DA6">
        <w:rPr>
          <w:rFonts w:ascii="Cambria" w:eastAsia="Calibri" w:hAnsi="Cambria" w:cs="Calibri"/>
          <w:spacing w:val="1"/>
        </w:rPr>
        <w:t>o</w:t>
      </w:r>
      <w:r w:rsidRPr="009A0DA6">
        <w:rPr>
          <w:rFonts w:ascii="Cambria" w:eastAsia="Calibri" w:hAnsi="Cambria" w:cs="Calibri"/>
          <w:spacing w:val="-1"/>
        </w:rPr>
        <w:t>n</w:t>
      </w:r>
      <w:r w:rsidRPr="009A0DA6">
        <w:rPr>
          <w:rFonts w:ascii="Cambria" w:eastAsia="Calibri" w:hAnsi="Cambria" w:cs="Calibri"/>
        </w:rPr>
        <w:t>ce</w:t>
      </w:r>
      <w:r w:rsidRPr="009A0DA6">
        <w:rPr>
          <w:rFonts w:ascii="Cambria" w:eastAsia="Calibri" w:hAnsi="Cambria" w:cs="Calibri"/>
          <w:spacing w:val="-1"/>
        </w:rPr>
        <w:t xml:space="preserve"> </w:t>
      </w:r>
      <w:r w:rsidRPr="009A0DA6">
        <w:rPr>
          <w:rFonts w:ascii="Cambria" w:eastAsia="Calibri" w:hAnsi="Cambria" w:cs="Calibri"/>
        </w:rPr>
        <w:t>b</w:t>
      </w:r>
      <w:r w:rsidRPr="009A0DA6">
        <w:rPr>
          <w:rFonts w:ascii="Cambria" w:eastAsia="Calibri" w:hAnsi="Cambria" w:cs="Calibri"/>
          <w:spacing w:val="-1"/>
        </w:rPr>
        <w:t>u</w:t>
      </w:r>
      <w:r w:rsidRPr="009A0DA6">
        <w:rPr>
          <w:rFonts w:ascii="Cambria" w:eastAsia="Calibri" w:hAnsi="Cambria" w:cs="Calibri"/>
        </w:rPr>
        <w:t>t</w:t>
      </w:r>
      <w:r w:rsidRPr="009A0DA6">
        <w:rPr>
          <w:rFonts w:ascii="Cambria" w:eastAsia="Calibri" w:hAnsi="Cambria" w:cs="Calibri"/>
          <w:spacing w:val="1"/>
        </w:rPr>
        <w:t xml:space="preserve"> </w:t>
      </w:r>
      <w:r w:rsidRPr="009A0DA6">
        <w:rPr>
          <w:rFonts w:ascii="Cambria" w:eastAsia="Calibri" w:hAnsi="Cambria" w:cs="Calibri"/>
          <w:spacing w:val="-2"/>
        </w:rPr>
        <w:t>t</w:t>
      </w:r>
      <w:r w:rsidRPr="009A0DA6">
        <w:rPr>
          <w:rFonts w:ascii="Cambria" w:eastAsia="Calibri" w:hAnsi="Cambria" w:cs="Calibri"/>
        </w:rPr>
        <w:t>wic</w:t>
      </w:r>
      <w:r w:rsidRPr="009A0DA6">
        <w:rPr>
          <w:rFonts w:ascii="Cambria" w:eastAsia="Calibri" w:hAnsi="Cambria" w:cs="Calibri"/>
          <w:spacing w:val="1"/>
        </w:rPr>
        <w:t>e</w:t>
      </w:r>
      <w:r w:rsidRPr="009A0DA6">
        <w:rPr>
          <w:rFonts w:ascii="Cambria" w:eastAsia="Calibri" w:hAnsi="Cambria" w:cs="Calibri"/>
        </w:rPr>
        <w:t>,</w:t>
      </w:r>
      <w:r w:rsidRPr="009A0DA6">
        <w:rPr>
          <w:rFonts w:ascii="Cambria" w:eastAsia="Calibri" w:hAnsi="Cambria" w:cs="Calibri"/>
          <w:spacing w:val="-2"/>
        </w:rPr>
        <w:t xml:space="preserve"> </w:t>
      </w:r>
      <w:r w:rsidRPr="009A0DA6">
        <w:rPr>
          <w:rFonts w:ascii="Cambria" w:eastAsia="Calibri" w:hAnsi="Cambria" w:cs="Calibri"/>
          <w:spacing w:val="1"/>
        </w:rPr>
        <w:t>t</w:t>
      </w:r>
      <w:r w:rsidRPr="009A0DA6">
        <w:rPr>
          <w:rFonts w:ascii="Cambria" w:eastAsia="Calibri" w:hAnsi="Cambria" w:cs="Calibri"/>
        </w:rPr>
        <w:t>e</w:t>
      </w:r>
      <w:r w:rsidRPr="009A0DA6">
        <w:rPr>
          <w:rFonts w:ascii="Cambria" w:eastAsia="Calibri" w:hAnsi="Cambria" w:cs="Calibri"/>
          <w:spacing w:val="-2"/>
        </w:rPr>
        <w:t>a</w:t>
      </w:r>
      <w:r w:rsidRPr="009A0DA6">
        <w:rPr>
          <w:rFonts w:ascii="Cambria" w:eastAsia="Calibri" w:hAnsi="Cambria" w:cs="Calibri"/>
        </w:rPr>
        <w:t>ches</w:t>
      </w:r>
      <w:r w:rsidRPr="009A0DA6">
        <w:rPr>
          <w:rFonts w:ascii="Cambria" w:eastAsia="Calibri" w:hAnsi="Cambria" w:cs="Calibri"/>
          <w:spacing w:val="-2"/>
        </w:rPr>
        <w:t xml:space="preserve"> </w:t>
      </w:r>
      <w:r w:rsidRPr="009A0DA6">
        <w:rPr>
          <w:rFonts w:ascii="Cambria" w:eastAsia="Calibri" w:hAnsi="Cambria" w:cs="Calibri"/>
          <w:spacing w:val="-1"/>
        </w:rPr>
        <w:t>u</w:t>
      </w:r>
      <w:r w:rsidRPr="009A0DA6">
        <w:rPr>
          <w:rFonts w:ascii="Cambria" w:eastAsia="Calibri" w:hAnsi="Cambria" w:cs="Calibri"/>
        </w:rPr>
        <w:t xml:space="preserve">s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at</w:t>
      </w:r>
      <w:r w:rsidRPr="009A0DA6">
        <w:rPr>
          <w:rFonts w:ascii="Cambria" w:eastAsia="Calibri" w:hAnsi="Cambria" w:cs="Calibri"/>
          <w:spacing w:val="-1"/>
        </w:rPr>
        <w:t xml:space="preserve"> </w:t>
      </w:r>
      <w:r w:rsidRPr="009A0DA6">
        <w:rPr>
          <w:rFonts w:ascii="Cambria" w:eastAsia="Calibri" w:hAnsi="Cambria" w:cs="Calibri"/>
        </w:rPr>
        <w:t>wom</w:t>
      </w:r>
      <w:r w:rsidRPr="009A0DA6">
        <w:rPr>
          <w:rFonts w:ascii="Cambria" w:eastAsia="Calibri" w:hAnsi="Cambria" w:cs="Calibri"/>
          <w:spacing w:val="1"/>
        </w:rPr>
        <w:t>e</w:t>
      </w:r>
      <w:r w:rsidRPr="009A0DA6">
        <w:rPr>
          <w:rFonts w:ascii="Cambria" w:eastAsia="Calibri" w:hAnsi="Cambria" w:cs="Calibri"/>
        </w:rPr>
        <w:t>n</w:t>
      </w:r>
      <w:r w:rsidRPr="009A0DA6">
        <w:rPr>
          <w:rFonts w:ascii="Cambria" w:eastAsia="Calibri" w:hAnsi="Cambria" w:cs="Calibri"/>
          <w:spacing w:val="-3"/>
        </w:rPr>
        <w:t xml:space="preserve"> </w:t>
      </w:r>
      <w:r w:rsidRPr="009A0DA6">
        <w:rPr>
          <w:rFonts w:ascii="Cambria" w:eastAsia="Calibri" w:hAnsi="Cambria" w:cs="Calibri"/>
        </w:rPr>
        <w:t>should</w:t>
      </w:r>
      <w:r w:rsidRPr="009A0DA6">
        <w:rPr>
          <w:rFonts w:ascii="Cambria" w:eastAsia="Calibri" w:hAnsi="Cambria" w:cs="Calibri"/>
          <w:spacing w:val="-1"/>
        </w:rPr>
        <w:t xml:space="preserve"> </w:t>
      </w:r>
      <w:r w:rsidRPr="009A0DA6">
        <w:rPr>
          <w:rFonts w:ascii="Cambria" w:eastAsia="Calibri" w:hAnsi="Cambria" w:cs="Calibri"/>
        </w:rPr>
        <w:t>n</w:t>
      </w:r>
      <w:r w:rsidRPr="009A0DA6">
        <w:rPr>
          <w:rFonts w:ascii="Cambria" w:eastAsia="Calibri" w:hAnsi="Cambria" w:cs="Calibri"/>
          <w:spacing w:val="-1"/>
        </w:rPr>
        <w:t>o</w:t>
      </w:r>
      <w:r w:rsidRPr="009A0DA6">
        <w:rPr>
          <w:rFonts w:ascii="Cambria" w:eastAsia="Calibri" w:hAnsi="Cambria" w:cs="Calibri"/>
        </w:rPr>
        <w:t>t</w:t>
      </w:r>
      <w:r w:rsidRPr="009A0DA6">
        <w:rPr>
          <w:rFonts w:ascii="Cambria" w:eastAsia="Calibri" w:hAnsi="Cambria" w:cs="Calibri"/>
          <w:spacing w:val="-1"/>
        </w:rPr>
        <w:t xml:space="preserve"> b</w:t>
      </w:r>
      <w:r w:rsidRPr="009A0DA6">
        <w:rPr>
          <w:rFonts w:ascii="Cambria" w:eastAsia="Calibri" w:hAnsi="Cambria" w:cs="Calibri"/>
        </w:rPr>
        <w:t>e</w:t>
      </w:r>
      <w:r w:rsidRPr="009A0DA6">
        <w:rPr>
          <w:rFonts w:ascii="Cambria" w:eastAsia="Calibri" w:hAnsi="Cambria" w:cs="Calibri"/>
          <w:spacing w:val="1"/>
        </w:rPr>
        <w:t xml:space="preserve"> o</w:t>
      </w:r>
      <w:r w:rsidRPr="009A0DA6">
        <w:rPr>
          <w:rFonts w:ascii="Cambria" w:eastAsia="Calibri" w:hAnsi="Cambria" w:cs="Calibri"/>
        </w:rPr>
        <w:t>r</w:t>
      </w:r>
      <w:r w:rsidRPr="009A0DA6">
        <w:rPr>
          <w:rFonts w:ascii="Cambria" w:eastAsia="Calibri" w:hAnsi="Cambria" w:cs="Calibri"/>
          <w:spacing w:val="-1"/>
        </w:rPr>
        <w:t>d</w:t>
      </w:r>
      <w:r w:rsidRPr="009A0DA6">
        <w:rPr>
          <w:rFonts w:ascii="Cambria" w:eastAsia="Calibri" w:hAnsi="Cambria" w:cs="Calibri"/>
        </w:rPr>
        <w:t>ai</w:t>
      </w:r>
      <w:r w:rsidRPr="009A0DA6">
        <w:rPr>
          <w:rFonts w:ascii="Cambria" w:eastAsia="Calibri" w:hAnsi="Cambria" w:cs="Calibri"/>
          <w:spacing w:val="-1"/>
        </w:rPr>
        <w:t>n</w:t>
      </w:r>
      <w:r w:rsidRPr="009A0DA6">
        <w:rPr>
          <w:rFonts w:ascii="Cambria" w:eastAsia="Calibri" w:hAnsi="Cambria" w:cs="Calibri"/>
        </w:rPr>
        <w:t>ed.</w:t>
      </w:r>
      <w:r w:rsidRPr="009A0DA6">
        <w:rPr>
          <w:rFonts w:ascii="Cambria" w:eastAsia="Calibri" w:hAnsi="Cambria" w:cs="Calibri"/>
        </w:rPr>
        <w:br/>
      </w:r>
    </w:p>
    <w:p w14:paraId="04643C02" w14:textId="12793E3A" w:rsidR="0042579D" w:rsidRPr="009A0DA6" w:rsidRDefault="0042579D" w:rsidP="0042579D">
      <w:pPr>
        <w:spacing w:after="0"/>
        <w:ind w:left="567" w:right="340" w:hanging="567"/>
        <w:rPr>
          <w:rFonts w:ascii="Cambria" w:eastAsia="Calibri" w:hAnsi="Cambria" w:cs="Calibri"/>
        </w:rPr>
      </w:pPr>
      <w:r w:rsidRPr="009A0DA6">
        <w:rPr>
          <w:rFonts w:ascii="Cambria" w:eastAsia="Calibri" w:hAnsi="Cambria" w:cs="Calibri"/>
        </w:rPr>
        <w:t>B</w:t>
      </w:r>
      <w:r w:rsidR="0027799A" w:rsidRPr="009A0DA6">
        <w:rPr>
          <w:rFonts w:ascii="Cambria" w:eastAsia="Calibri" w:hAnsi="Cambria" w:cs="Calibri"/>
        </w:rPr>
        <w:t xml:space="preserve">. </w:t>
      </w:r>
      <w:r w:rsidRPr="009A0DA6">
        <w:rPr>
          <w:rFonts w:ascii="Cambria" w:eastAsia="Calibri" w:hAnsi="Cambria" w:cs="Calibri"/>
          <w:spacing w:val="35"/>
        </w:rPr>
        <w:tab/>
      </w:r>
      <w:r w:rsidRPr="009A0DA6">
        <w:rPr>
          <w:rFonts w:ascii="Cambria" w:eastAsia="Calibri" w:hAnsi="Cambria" w:cs="Calibri"/>
        </w:rPr>
        <w:t>The</w:t>
      </w:r>
      <w:r w:rsidRPr="009A0DA6">
        <w:rPr>
          <w:rFonts w:ascii="Cambria" w:eastAsia="Calibri" w:hAnsi="Cambria" w:cs="Calibri"/>
          <w:spacing w:val="22"/>
        </w:rPr>
        <w:t xml:space="preserve"> </w:t>
      </w:r>
      <w:r w:rsidRPr="009A0DA6">
        <w:rPr>
          <w:rFonts w:ascii="Cambria" w:eastAsia="Calibri" w:hAnsi="Cambria" w:cs="Calibri"/>
          <w:spacing w:val="1"/>
        </w:rPr>
        <w:t>D</w:t>
      </w:r>
      <w:r w:rsidRPr="009A0DA6">
        <w:rPr>
          <w:rFonts w:ascii="Cambria" w:eastAsia="Calibri" w:hAnsi="Cambria" w:cs="Calibri"/>
        </w:rPr>
        <w:t>raft</w:t>
      </w:r>
      <w:r w:rsidRPr="009A0DA6">
        <w:rPr>
          <w:rFonts w:ascii="Cambria" w:eastAsia="Calibri" w:hAnsi="Cambria" w:cs="Calibri"/>
          <w:spacing w:val="22"/>
        </w:rPr>
        <w:t xml:space="preserve"> </w:t>
      </w:r>
      <w:r w:rsidRPr="009A0DA6">
        <w:rPr>
          <w:rFonts w:ascii="Cambria" w:eastAsia="Calibri" w:hAnsi="Cambria" w:cs="Calibri"/>
          <w:spacing w:val="-1"/>
        </w:rPr>
        <w:t>D</w:t>
      </w:r>
      <w:r w:rsidRPr="009A0DA6">
        <w:rPr>
          <w:rFonts w:ascii="Cambria" w:eastAsia="Calibri" w:hAnsi="Cambria" w:cs="Calibri"/>
          <w:spacing w:val="1"/>
        </w:rPr>
        <w:t>o</w:t>
      </w:r>
      <w:r w:rsidRPr="009A0DA6">
        <w:rPr>
          <w:rFonts w:ascii="Cambria" w:eastAsia="Calibri" w:hAnsi="Cambria" w:cs="Calibri"/>
        </w:rPr>
        <w:t>ctri</w:t>
      </w:r>
      <w:r w:rsidRPr="009A0DA6">
        <w:rPr>
          <w:rFonts w:ascii="Cambria" w:eastAsia="Calibri" w:hAnsi="Cambria" w:cs="Calibri"/>
          <w:spacing w:val="-1"/>
        </w:rPr>
        <w:t>n</w:t>
      </w:r>
      <w:r w:rsidRPr="009A0DA6">
        <w:rPr>
          <w:rFonts w:ascii="Cambria" w:eastAsia="Calibri" w:hAnsi="Cambria" w:cs="Calibri"/>
        </w:rPr>
        <w:t>al</w:t>
      </w:r>
      <w:r w:rsidRPr="009A0DA6">
        <w:rPr>
          <w:rFonts w:ascii="Cambria" w:eastAsia="Calibri" w:hAnsi="Cambria" w:cs="Calibri"/>
          <w:spacing w:val="24"/>
        </w:rPr>
        <w:t xml:space="preserve"> </w:t>
      </w:r>
      <w:r w:rsidRPr="009A0DA6">
        <w:rPr>
          <w:rFonts w:ascii="Cambria" w:eastAsia="Calibri" w:hAnsi="Cambria" w:cs="Calibri"/>
          <w:spacing w:val="-3"/>
        </w:rPr>
        <w:t>S</w:t>
      </w:r>
      <w:r w:rsidRPr="009A0DA6">
        <w:rPr>
          <w:rFonts w:ascii="Cambria" w:eastAsia="Calibri" w:hAnsi="Cambria" w:cs="Calibri"/>
        </w:rPr>
        <w:t>tat</w:t>
      </w:r>
      <w:r w:rsidRPr="009A0DA6">
        <w:rPr>
          <w:rFonts w:ascii="Cambria" w:eastAsia="Calibri" w:hAnsi="Cambria" w:cs="Calibri"/>
          <w:spacing w:val="-2"/>
        </w:rPr>
        <w:t>e</w:t>
      </w:r>
      <w:r w:rsidRPr="009A0DA6">
        <w:rPr>
          <w:rFonts w:ascii="Cambria" w:eastAsia="Calibri" w:hAnsi="Cambria" w:cs="Calibri"/>
          <w:spacing w:val="1"/>
        </w:rPr>
        <w:t>m</w:t>
      </w:r>
      <w:r w:rsidRPr="009A0DA6">
        <w:rPr>
          <w:rFonts w:ascii="Cambria" w:eastAsia="Calibri" w:hAnsi="Cambria" w:cs="Calibri"/>
        </w:rPr>
        <w:t>ent</w:t>
      </w:r>
      <w:r w:rsidRPr="009A0DA6">
        <w:rPr>
          <w:rFonts w:ascii="Cambria" w:eastAsia="Calibri" w:hAnsi="Cambria" w:cs="Calibri"/>
          <w:spacing w:val="22"/>
        </w:rPr>
        <w:t xml:space="preserve"> </w:t>
      </w:r>
      <w:r w:rsidRPr="009A0DA6">
        <w:rPr>
          <w:rFonts w:ascii="Cambria" w:eastAsia="Calibri" w:hAnsi="Cambria" w:cs="Calibri"/>
        </w:rPr>
        <w:t>(</w:t>
      </w:r>
      <w:r w:rsidRPr="009A0DA6">
        <w:rPr>
          <w:rFonts w:ascii="Cambria" w:eastAsia="Calibri" w:hAnsi="Cambria" w:cs="Calibri"/>
          <w:spacing w:val="-1"/>
        </w:rPr>
        <w:t>D</w:t>
      </w:r>
      <w:r w:rsidRPr="009A0DA6">
        <w:rPr>
          <w:rFonts w:ascii="Cambria" w:eastAsia="Calibri" w:hAnsi="Cambria" w:cs="Calibri"/>
          <w:spacing w:val="1"/>
        </w:rPr>
        <w:t>D</w:t>
      </w:r>
      <w:r w:rsidRPr="009A0DA6">
        <w:rPr>
          <w:rFonts w:ascii="Cambria" w:eastAsia="Calibri" w:hAnsi="Cambria" w:cs="Calibri"/>
        </w:rPr>
        <w:t>S)</w:t>
      </w:r>
      <w:r w:rsidRPr="009A0DA6">
        <w:rPr>
          <w:rFonts w:ascii="Cambria" w:eastAsia="Calibri" w:hAnsi="Cambria" w:cs="Calibri"/>
          <w:spacing w:val="22"/>
        </w:rPr>
        <w:t xml:space="preserve"> </w:t>
      </w:r>
      <w:r w:rsidRPr="009A0DA6">
        <w:rPr>
          <w:rFonts w:ascii="Cambria" w:eastAsia="Calibri" w:hAnsi="Cambria" w:cs="Calibri"/>
        </w:rPr>
        <w:t>tries</w:t>
      </w:r>
      <w:r w:rsidRPr="009A0DA6">
        <w:rPr>
          <w:rFonts w:ascii="Cambria" w:eastAsia="Calibri" w:hAnsi="Cambria" w:cs="Calibri"/>
          <w:spacing w:val="23"/>
        </w:rPr>
        <w:t xml:space="preserve"> </w:t>
      </w:r>
      <w:r w:rsidRPr="009A0DA6">
        <w:rPr>
          <w:rFonts w:ascii="Cambria" w:eastAsia="Calibri" w:hAnsi="Cambria" w:cs="Calibri"/>
          <w:spacing w:val="-2"/>
        </w:rPr>
        <w:t>t</w:t>
      </w:r>
      <w:r w:rsidRPr="009A0DA6">
        <w:rPr>
          <w:rFonts w:ascii="Cambria" w:eastAsia="Calibri" w:hAnsi="Cambria" w:cs="Calibri"/>
        </w:rPr>
        <w:t>o</w:t>
      </w:r>
      <w:r w:rsidRPr="009A0DA6">
        <w:rPr>
          <w:rFonts w:ascii="Cambria" w:eastAsia="Calibri" w:hAnsi="Cambria" w:cs="Calibri"/>
          <w:spacing w:val="23"/>
        </w:rPr>
        <w:t xml:space="preserve"> </w:t>
      </w:r>
      <w:r w:rsidRPr="009A0DA6">
        <w:rPr>
          <w:rFonts w:ascii="Cambria" w:eastAsia="Calibri" w:hAnsi="Cambria" w:cs="Calibri"/>
          <w:spacing w:val="1"/>
        </w:rPr>
        <w:t>o</w:t>
      </w:r>
      <w:r w:rsidRPr="009A0DA6">
        <w:rPr>
          <w:rFonts w:ascii="Cambria" w:eastAsia="Calibri" w:hAnsi="Cambria" w:cs="Calibri"/>
          <w:spacing w:val="-1"/>
        </w:rPr>
        <w:t>v</w:t>
      </w:r>
      <w:r w:rsidRPr="009A0DA6">
        <w:rPr>
          <w:rFonts w:ascii="Cambria" w:eastAsia="Calibri" w:hAnsi="Cambria" w:cs="Calibri"/>
        </w:rPr>
        <w:t>ert</w:t>
      </w:r>
      <w:r w:rsidRPr="009A0DA6">
        <w:rPr>
          <w:rFonts w:ascii="Cambria" w:eastAsia="Calibri" w:hAnsi="Cambria" w:cs="Calibri"/>
          <w:spacing w:val="-2"/>
        </w:rPr>
        <w:t>u</w:t>
      </w:r>
      <w:r w:rsidRPr="009A0DA6">
        <w:rPr>
          <w:rFonts w:ascii="Cambria" w:eastAsia="Calibri" w:hAnsi="Cambria" w:cs="Calibri"/>
        </w:rPr>
        <w:t>rn</w:t>
      </w:r>
      <w:r w:rsidRPr="009A0DA6">
        <w:rPr>
          <w:rFonts w:ascii="Cambria" w:eastAsia="Calibri" w:hAnsi="Cambria" w:cs="Calibri"/>
          <w:spacing w:val="24"/>
        </w:rPr>
        <w:t xml:space="preserve"> </w:t>
      </w:r>
      <w:r w:rsidRPr="009A0DA6">
        <w:rPr>
          <w:rFonts w:ascii="Cambria" w:eastAsia="Calibri" w:hAnsi="Cambria" w:cs="Calibri"/>
        </w:rPr>
        <w:t>th</w:t>
      </w:r>
      <w:r w:rsidRPr="009A0DA6">
        <w:rPr>
          <w:rFonts w:ascii="Cambria" w:eastAsia="Calibri" w:hAnsi="Cambria" w:cs="Calibri"/>
          <w:spacing w:val="-1"/>
        </w:rPr>
        <w:t>i</w:t>
      </w:r>
      <w:r w:rsidRPr="009A0DA6">
        <w:rPr>
          <w:rFonts w:ascii="Cambria" w:eastAsia="Calibri" w:hAnsi="Cambria" w:cs="Calibri"/>
        </w:rPr>
        <w:t>s</w:t>
      </w:r>
      <w:r w:rsidRPr="009A0DA6">
        <w:rPr>
          <w:rFonts w:ascii="Cambria" w:eastAsia="Calibri" w:hAnsi="Cambria" w:cs="Calibri"/>
          <w:spacing w:val="24"/>
        </w:rPr>
        <w:t xml:space="preserve"> </w:t>
      </w:r>
      <w:r w:rsidRPr="009A0DA6">
        <w:rPr>
          <w:rFonts w:ascii="Cambria" w:eastAsia="Calibri" w:hAnsi="Cambria" w:cs="Calibri"/>
          <w:spacing w:val="-2"/>
        </w:rPr>
        <w:t>t</w:t>
      </w:r>
      <w:r w:rsidRPr="009A0DA6">
        <w:rPr>
          <w:rFonts w:ascii="Cambria" w:eastAsia="Calibri" w:hAnsi="Cambria" w:cs="Calibri"/>
        </w:rPr>
        <w:t>eachi</w:t>
      </w:r>
      <w:r w:rsidRPr="009A0DA6">
        <w:rPr>
          <w:rFonts w:ascii="Cambria" w:eastAsia="Calibri" w:hAnsi="Cambria" w:cs="Calibri"/>
          <w:spacing w:val="-1"/>
        </w:rPr>
        <w:t>n</w:t>
      </w:r>
      <w:r w:rsidRPr="009A0DA6">
        <w:rPr>
          <w:rFonts w:ascii="Cambria" w:eastAsia="Calibri" w:hAnsi="Cambria" w:cs="Calibri"/>
        </w:rPr>
        <w:t>g</w:t>
      </w:r>
      <w:r w:rsidRPr="009A0DA6">
        <w:rPr>
          <w:rFonts w:ascii="Cambria" w:eastAsia="Calibri" w:hAnsi="Cambria" w:cs="Calibri"/>
          <w:spacing w:val="24"/>
        </w:rPr>
        <w:t xml:space="preserve"> </w:t>
      </w:r>
      <w:r w:rsidRPr="009A0DA6">
        <w:rPr>
          <w:rFonts w:ascii="Cambria" w:eastAsia="Calibri" w:hAnsi="Cambria" w:cs="Calibri"/>
        </w:rPr>
        <w:t>with</w:t>
      </w:r>
      <w:r w:rsidRPr="009A0DA6">
        <w:rPr>
          <w:rFonts w:ascii="Cambria" w:eastAsia="Calibri" w:hAnsi="Cambria" w:cs="Calibri"/>
          <w:spacing w:val="22"/>
        </w:rPr>
        <w:t xml:space="preserve"> </w:t>
      </w:r>
      <w:r w:rsidRPr="009A0DA6">
        <w:rPr>
          <w:rFonts w:ascii="Cambria" w:eastAsia="Calibri" w:hAnsi="Cambria" w:cs="Calibri"/>
        </w:rPr>
        <w:t>a</w:t>
      </w:r>
      <w:r w:rsidRPr="009A0DA6">
        <w:rPr>
          <w:rFonts w:ascii="Cambria" w:eastAsia="Calibri" w:hAnsi="Cambria" w:cs="Calibri"/>
          <w:spacing w:val="24"/>
        </w:rPr>
        <w:t xml:space="preserve"> </w:t>
      </w:r>
      <w:r w:rsidRPr="009A0DA6">
        <w:rPr>
          <w:rFonts w:ascii="Cambria" w:eastAsia="Calibri" w:hAnsi="Cambria" w:cs="Calibri"/>
          <w:spacing w:val="-2"/>
        </w:rPr>
        <w:t>s</w:t>
      </w:r>
      <w:r w:rsidRPr="009A0DA6">
        <w:rPr>
          <w:rFonts w:ascii="Cambria" w:eastAsia="Calibri" w:hAnsi="Cambria" w:cs="Calibri"/>
        </w:rPr>
        <w:t>e</w:t>
      </w:r>
      <w:r w:rsidRPr="009A0DA6">
        <w:rPr>
          <w:rFonts w:ascii="Cambria" w:eastAsia="Calibri" w:hAnsi="Cambria" w:cs="Calibri"/>
          <w:spacing w:val="-2"/>
        </w:rPr>
        <w:t>r</w:t>
      </w:r>
      <w:r w:rsidRPr="009A0DA6">
        <w:rPr>
          <w:rFonts w:ascii="Cambria" w:eastAsia="Calibri" w:hAnsi="Cambria" w:cs="Calibri"/>
        </w:rPr>
        <w:t>ies</w:t>
      </w:r>
      <w:r w:rsidRPr="009A0DA6">
        <w:rPr>
          <w:rFonts w:ascii="Cambria" w:eastAsia="Calibri" w:hAnsi="Cambria" w:cs="Calibri"/>
          <w:spacing w:val="22"/>
        </w:rPr>
        <w:t xml:space="preserve"> </w:t>
      </w:r>
      <w:r w:rsidRPr="009A0DA6">
        <w:rPr>
          <w:rFonts w:ascii="Cambria" w:eastAsia="Calibri" w:hAnsi="Cambria" w:cs="Calibri"/>
          <w:spacing w:val="1"/>
        </w:rPr>
        <w:t>o</w:t>
      </w:r>
      <w:r w:rsidRPr="009A0DA6">
        <w:rPr>
          <w:rFonts w:ascii="Cambria" w:eastAsia="Calibri" w:hAnsi="Cambria" w:cs="Calibri"/>
        </w:rPr>
        <w:t>f</w:t>
      </w:r>
      <w:r w:rsidRPr="009A0DA6">
        <w:rPr>
          <w:rFonts w:ascii="Cambria" w:eastAsia="Calibri" w:hAnsi="Cambria" w:cs="Calibri"/>
          <w:spacing w:val="24"/>
        </w:rPr>
        <w:t xml:space="preserve"> </w:t>
      </w:r>
      <w:r w:rsidRPr="009A0DA6">
        <w:rPr>
          <w:rFonts w:ascii="Cambria" w:eastAsia="Calibri" w:hAnsi="Cambria" w:cs="Calibri"/>
        </w:rPr>
        <w:t>six</w:t>
      </w:r>
      <w:r w:rsidRPr="009A0DA6">
        <w:rPr>
          <w:rFonts w:ascii="Cambria" w:eastAsia="Calibri" w:hAnsi="Cambria" w:cs="Calibri"/>
          <w:spacing w:val="22"/>
        </w:rPr>
        <w:t xml:space="preserve"> </w:t>
      </w:r>
      <w:r w:rsidRPr="009A0DA6">
        <w:rPr>
          <w:rFonts w:ascii="Cambria" w:eastAsia="Calibri" w:hAnsi="Cambria" w:cs="Calibri"/>
          <w:spacing w:val="-1"/>
        </w:rPr>
        <w:t>p</w:t>
      </w:r>
      <w:r w:rsidRPr="009A0DA6">
        <w:rPr>
          <w:rFonts w:ascii="Cambria" w:eastAsia="Calibri" w:hAnsi="Cambria" w:cs="Calibri"/>
        </w:rPr>
        <w:t>ara</w:t>
      </w:r>
      <w:r w:rsidRPr="009A0DA6">
        <w:rPr>
          <w:rFonts w:ascii="Cambria" w:eastAsia="Calibri" w:hAnsi="Cambria" w:cs="Calibri"/>
          <w:spacing w:val="-1"/>
        </w:rPr>
        <w:t>g</w:t>
      </w:r>
      <w:r w:rsidRPr="009A0DA6">
        <w:rPr>
          <w:rFonts w:ascii="Cambria" w:eastAsia="Calibri" w:hAnsi="Cambria" w:cs="Calibri"/>
        </w:rPr>
        <w:t>ra</w:t>
      </w:r>
      <w:r w:rsidRPr="009A0DA6">
        <w:rPr>
          <w:rFonts w:ascii="Cambria" w:eastAsia="Calibri" w:hAnsi="Cambria" w:cs="Calibri"/>
          <w:spacing w:val="-1"/>
        </w:rPr>
        <w:t>ph</w:t>
      </w:r>
      <w:r w:rsidRPr="009A0DA6">
        <w:rPr>
          <w:rFonts w:ascii="Cambria" w:eastAsia="Calibri" w:hAnsi="Cambria" w:cs="Calibri"/>
        </w:rPr>
        <w:t>s</w:t>
      </w:r>
      <w:r w:rsidRPr="009A0DA6">
        <w:rPr>
          <w:rFonts w:ascii="Cambria" w:eastAsia="Calibri" w:hAnsi="Cambria" w:cs="Calibri"/>
          <w:spacing w:val="24"/>
        </w:rPr>
        <w:t xml:space="preserve"> </w:t>
      </w:r>
      <w:r w:rsidRPr="009A0DA6">
        <w:rPr>
          <w:rFonts w:ascii="Cambria" w:eastAsia="Calibri" w:hAnsi="Cambria" w:cs="Calibri"/>
        </w:rPr>
        <w:t>that</w:t>
      </w:r>
      <w:r w:rsidRPr="009A0DA6">
        <w:rPr>
          <w:rFonts w:ascii="Cambria" w:eastAsia="Calibri" w:hAnsi="Cambria" w:cs="Calibri"/>
          <w:spacing w:val="20"/>
        </w:rPr>
        <w:t xml:space="preserve"> </w:t>
      </w:r>
      <w:r w:rsidRPr="009A0DA6">
        <w:rPr>
          <w:rFonts w:ascii="Cambria" w:eastAsia="Calibri" w:hAnsi="Cambria" w:cs="Calibri"/>
        </w:rPr>
        <w:t xml:space="preserve">either </w:t>
      </w:r>
      <w:r w:rsidRPr="009A0DA6">
        <w:rPr>
          <w:rFonts w:ascii="Cambria" w:eastAsia="Calibri" w:hAnsi="Cambria" w:cs="Calibri"/>
          <w:spacing w:val="1"/>
        </w:rPr>
        <w:t>m</w:t>
      </w:r>
      <w:r w:rsidRPr="009A0DA6">
        <w:rPr>
          <w:rFonts w:ascii="Cambria" w:eastAsia="Calibri" w:hAnsi="Cambria" w:cs="Calibri"/>
        </w:rPr>
        <w:t>isre</w:t>
      </w:r>
      <w:r w:rsidRPr="009A0DA6">
        <w:rPr>
          <w:rFonts w:ascii="Cambria" w:eastAsia="Calibri" w:hAnsi="Cambria" w:cs="Calibri"/>
          <w:spacing w:val="-1"/>
        </w:rPr>
        <w:t>p</w:t>
      </w:r>
      <w:r w:rsidRPr="009A0DA6">
        <w:rPr>
          <w:rFonts w:ascii="Cambria" w:eastAsia="Calibri" w:hAnsi="Cambria" w:cs="Calibri"/>
          <w:spacing w:val="-3"/>
        </w:rPr>
        <w:t>r</w:t>
      </w:r>
      <w:r w:rsidRPr="009A0DA6">
        <w:rPr>
          <w:rFonts w:ascii="Cambria" w:eastAsia="Calibri" w:hAnsi="Cambria" w:cs="Calibri"/>
        </w:rPr>
        <w:t>es</w:t>
      </w:r>
      <w:r w:rsidRPr="009A0DA6">
        <w:rPr>
          <w:rFonts w:ascii="Cambria" w:eastAsia="Calibri" w:hAnsi="Cambria" w:cs="Calibri"/>
          <w:spacing w:val="1"/>
        </w:rPr>
        <w:t>e</w:t>
      </w:r>
      <w:r w:rsidRPr="009A0DA6">
        <w:rPr>
          <w:rFonts w:ascii="Cambria" w:eastAsia="Calibri" w:hAnsi="Cambria" w:cs="Calibri"/>
          <w:spacing w:val="-1"/>
        </w:rPr>
        <w:t>n</w:t>
      </w:r>
      <w:r w:rsidRPr="009A0DA6">
        <w:rPr>
          <w:rFonts w:ascii="Cambria" w:eastAsia="Calibri" w:hAnsi="Cambria" w:cs="Calibri"/>
        </w:rPr>
        <w:t>t</w:t>
      </w:r>
      <w:r w:rsidRPr="009A0DA6">
        <w:rPr>
          <w:rFonts w:ascii="Cambria" w:eastAsia="Calibri" w:hAnsi="Cambria" w:cs="Calibri"/>
          <w:spacing w:val="1"/>
        </w:rPr>
        <w:t xml:space="preserve"> </w:t>
      </w:r>
      <w:r w:rsidRPr="009A0DA6">
        <w:rPr>
          <w:rFonts w:ascii="Cambria" w:eastAsia="Calibri" w:hAnsi="Cambria" w:cs="Calibri"/>
          <w:spacing w:val="-1"/>
        </w:rPr>
        <w:t>b</w:t>
      </w:r>
      <w:r w:rsidRPr="009A0DA6">
        <w:rPr>
          <w:rFonts w:ascii="Cambria" w:eastAsia="Calibri" w:hAnsi="Cambria" w:cs="Calibri"/>
        </w:rPr>
        <w:t>i</w:t>
      </w:r>
      <w:r w:rsidRPr="009A0DA6">
        <w:rPr>
          <w:rFonts w:ascii="Cambria" w:eastAsia="Calibri" w:hAnsi="Cambria" w:cs="Calibri"/>
          <w:spacing w:val="-1"/>
        </w:rPr>
        <w:t>b</w:t>
      </w:r>
      <w:r w:rsidRPr="009A0DA6">
        <w:rPr>
          <w:rFonts w:ascii="Cambria" w:eastAsia="Calibri" w:hAnsi="Cambria" w:cs="Calibri"/>
        </w:rPr>
        <w:t>lical</w:t>
      </w:r>
      <w:r w:rsidRPr="009A0DA6">
        <w:rPr>
          <w:rFonts w:ascii="Cambria" w:eastAsia="Calibri" w:hAnsi="Cambria" w:cs="Calibri"/>
          <w:spacing w:val="3"/>
        </w:rPr>
        <w:t xml:space="preserve"> </w:t>
      </w:r>
      <w:r w:rsidRPr="009A0DA6">
        <w:rPr>
          <w:rFonts w:ascii="Cambria" w:eastAsia="Calibri" w:hAnsi="Cambria" w:cs="Calibri"/>
          <w:spacing w:val="-2"/>
        </w:rPr>
        <w:t>t</w:t>
      </w:r>
      <w:r w:rsidRPr="009A0DA6">
        <w:rPr>
          <w:rFonts w:ascii="Cambria" w:eastAsia="Calibri" w:hAnsi="Cambria" w:cs="Calibri"/>
        </w:rPr>
        <w:t>ea</w:t>
      </w:r>
      <w:r w:rsidRPr="009A0DA6">
        <w:rPr>
          <w:rFonts w:ascii="Cambria" w:eastAsia="Calibri" w:hAnsi="Cambria" w:cs="Calibri"/>
          <w:spacing w:val="-2"/>
        </w:rPr>
        <w:t>c</w:t>
      </w:r>
      <w:r w:rsidRPr="009A0DA6">
        <w:rPr>
          <w:rFonts w:ascii="Cambria" w:eastAsia="Calibri" w:hAnsi="Cambria" w:cs="Calibri"/>
          <w:spacing w:val="-1"/>
        </w:rPr>
        <w:t>h</w:t>
      </w:r>
      <w:r w:rsidRPr="009A0DA6">
        <w:rPr>
          <w:rFonts w:ascii="Cambria" w:eastAsia="Calibri" w:hAnsi="Cambria" w:cs="Calibri"/>
        </w:rPr>
        <w:t>i</w:t>
      </w:r>
      <w:r w:rsidRPr="009A0DA6">
        <w:rPr>
          <w:rFonts w:ascii="Cambria" w:eastAsia="Calibri" w:hAnsi="Cambria" w:cs="Calibri"/>
          <w:spacing w:val="-1"/>
        </w:rPr>
        <w:t>n</w:t>
      </w:r>
      <w:r w:rsidRPr="009A0DA6">
        <w:rPr>
          <w:rFonts w:ascii="Cambria" w:eastAsia="Calibri" w:hAnsi="Cambria" w:cs="Calibri"/>
        </w:rPr>
        <w:t>g</w:t>
      </w:r>
      <w:r w:rsidRPr="009A0DA6">
        <w:rPr>
          <w:rFonts w:ascii="Cambria" w:eastAsia="Calibri" w:hAnsi="Cambria" w:cs="Calibri"/>
          <w:spacing w:val="3"/>
        </w:rPr>
        <w:t xml:space="preserve"> </w:t>
      </w:r>
      <w:r w:rsidRPr="009A0DA6">
        <w:rPr>
          <w:rFonts w:ascii="Cambria" w:eastAsia="Calibri" w:hAnsi="Cambria" w:cs="Calibri"/>
          <w:spacing w:val="1"/>
        </w:rPr>
        <w:t>o</w:t>
      </w:r>
      <w:r w:rsidRPr="009A0DA6">
        <w:rPr>
          <w:rFonts w:ascii="Cambria" w:eastAsia="Calibri" w:hAnsi="Cambria" w:cs="Calibri"/>
        </w:rPr>
        <w:t>r</w:t>
      </w:r>
      <w:r w:rsidRPr="009A0DA6">
        <w:rPr>
          <w:rFonts w:ascii="Cambria" w:eastAsia="Calibri" w:hAnsi="Cambria" w:cs="Calibri"/>
          <w:spacing w:val="1"/>
        </w:rPr>
        <w:t xml:space="preserve"> </w:t>
      </w:r>
      <w:r w:rsidRPr="009A0DA6">
        <w:rPr>
          <w:rFonts w:ascii="Cambria" w:eastAsia="Calibri" w:hAnsi="Cambria" w:cs="Calibri"/>
        </w:rPr>
        <w:t>else</w:t>
      </w:r>
      <w:r w:rsidRPr="009A0DA6">
        <w:rPr>
          <w:rFonts w:ascii="Cambria" w:eastAsia="Calibri" w:hAnsi="Cambria" w:cs="Calibri"/>
          <w:spacing w:val="2"/>
        </w:rPr>
        <w:t xml:space="preserve"> </w:t>
      </w:r>
      <w:r w:rsidRPr="009A0DA6">
        <w:rPr>
          <w:rFonts w:ascii="Cambria" w:eastAsia="Calibri" w:hAnsi="Cambria" w:cs="Calibri"/>
        </w:rPr>
        <w:t>fa</w:t>
      </w:r>
      <w:r w:rsidRPr="009A0DA6">
        <w:rPr>
          <w:rFonts w:ascii="Cambria" w:eastAsia="Calibri" w:hAnsi="Cambria" w:cs="Calibri"/>
          <w:spacing w:val="-1"/>
        </w:rPr>
        <w:t>i</w:t>
      </w:r>
      <w:r w:rsidRPr="009A0DA6">
        <w:rPr>
          <w:rFonts w:ascii="Cambria" w:eastAsia="Calibri" w:hAnsi="Cambria" w:cs="Calibri"/>
        </w:rPr>
        <w:t>l</w:t>
      </w:r>
      <w:r w:rsidRPr="009A0DA6">
        <w:rPr>
          <w:rFonts w:ascii="Cambria" w:eastAsia="Calibri" w:hAnsi="Cambria" w:cs="Calibri"/>
          <w:spacing w:val="3"/>
        </w:rPr>
        <w:t xml:space="preserve"> </w:t>
      </w:r>
      <w:r w:rsidRPr="009A0DA6">
        <w:rPr>
          <w:rFonts w:ascii="Cambria" w:eastAsia="Calibri" w:hAnsi="Cambria" w:cs="Calibri"/>
          <w:spacing w:val="-2"/>
        </w:rPr>
        <w:t>t</w:t>
      </w:r>
      <w:r w:rsidRPr="009A0DA6">
        <w:rPr>
          <w:rFonts w:ascii="Cambria" w:eastAsia="Calibri" w:hAnsi="Cambria" w:cs="Calibri"/>
        </w:rPr>
        <w:t>o</w:t>
      </w:r>
      <w:r w:rsidRPr="009A0DA6">
        <w:rPr>
          <w:rFonts w:ascii="Cambria" w:eastAsia="Calibri" w:hAnsi="Cambria" w:cs="Calibri"/>
          <w:spacing w:val="2"/>
        </w:rPr>
        <w:t xml:space="preserve"> </w:t>
      </w:r>
      <w:r w:rsidRPr="009A0DA6">
        <w:rPr>
          <w:rFonts w:ascii="Cambria" w:eastAsia="Calibri" w:hAnsi="Cambria" w:cs="Calibri"/>
        </w:rPr>
        <w:t>warr</w:t>
      </w:r>
      <w:r w:rsidRPr="009A0DA6">
        <w:rPr>
          <w:rFonts w:ascii="Cambria" w:eastAsia="Calibri" w:hAnsi="Cambria" w:cs="Calibri"/>
          <w:spacing w:val="-2"/>
        </w:rPr>
        <w:t>a</w:t>
      </w:r>
      <w:r w:rsidRPr="009A0DA6">
        <w:rPr>
          <w:rFonts w:ascii="Cambria" w:eastAsia="Calibri" w:hAnsi="Cambria" w:cs="Calibri"/>
          <w:spacing w:val="2"/>
        </w:rPr>
        <w:t>n</w:t>
      </w:r>
      <w:r w:rsidRPr="009A0DA6">
        <w:rPr>
          <w:rFonts w:ascii="Cambria" w:eastAsia="Calibri" w:hAnsi="Cambria" w:cs="Calibri"/>
        </w:rPr>
        <w:t>t</w:t>
      </w:r>
      <w:r w:rsidRPr="009A0DA6">
        <w:rPr>
          <w:rFonts w:ascii="Cambria" w:eastAsia="Calibri" w:hAnsi="Cambria" w:cs="Calibri"/>
          <w:spacing w:val="4"/>
        </w:rPr>
        <w:t xml:space="preserve"> </w:t>
      </w:r>
      <w:r w:rsidRPr="009A0DA6">
        <w:rPr>
          <w:rFonts w:ascii="Cambria" w:eastAsia="Calibri" w:hAnsi="Cambria" w:cs="Calibri"/>
        </w:rPr>
        <w:t>the</w:t>
      </w:r>
      <w:r w:rsidRPr="009A0DA6">
        <w:rPr>
          <w:rFonts w:ascii="Cambria" w:eastAsia="Calibri" w:hAnsi="Cambria" w:cs="Calibri"/>
          <w:spacing w:val="1"/>
        </w:rPr>
        <w:t xml:space="preserve"> </w:t>
      </w:r>
      <w:r w:rsidRPr="009A0DA6">
        <w:rPr>
          <w:rFonts w:ascii="Cambria" w:eastAsia="Calibri" w:hAnsi="Cambria" w:cs="Calibri"/>
          <w:spacing w:val="-2"/>
        </w:rPr>
        <w:t>c</w:t>
      </w:r>
      <w:r w:rsidRPr="009A0DA6">
        <w:rPr>
          <w:rFonts w:ascii="Cambria" w:eastAsia="Calibri" w:hAnsi="Cambria" w:cs="Calibri"/>
          <w:spacing w:val="1"/>
        </w:rPr>
        <w:t>o</w:t>
      </w:r>
      <w:r w:rsidRPr="009A0DA6">
        <w:rPr>
          <w:rFonts w:ascii="Cambria" w:eastAsia="Calibri" w:hAnsi="Cambria" w:cs="Calibri"/>
          <w:spacing w:val="-1"/>
        </w:rPr>
        <w:t>n</w:t>
      </w:r>
      <w:r w:rsidRPr="009A0DA6">
        <w:rPr>
          <w:rFonts w:ascii="Cambria" w:eastAsia="Calibri" w:hAnsi="Cambria" w:cs="Calibri"/>
        </w:rPr>
        <w:t>cl</w:t>
      </w:r>
      <w:r w:rsidRPr="009A0DA6">
        <w:rPr>
          <w:rFonts w:ascii="Cambria" w:eastAsia="Calibri" w:hAnsi="Cambria" w:cs="Calibri"/>
          <w:spacing w:val="-1"/>
        </w:rPr>
        <w:t>u</w:t>
      </w:r>
      <w:r w:rsidRPr="009A0DA6">
        <w:rPr>
          <w:rFonts w:ascii="Cambria" w:eastAsia="Calibri" w:hAnsi="Cambria" w:cs="Calibri"/>
        </w:rPr>
        <w:t>si</w:t>
      </w:r>
      <w:r w:rsidRPr="009A0DA6">
        <w:rPr>
          <w:rFonts w:ascii="Cambria" w:eastAsia="Calibri" w:hAnsi="Cambria" w:cs="Calibri"/>
          <w:spacing w:val="1"/>
        </w:rPr>
        <w:t>o</w:t>
      </w:r>
      <w:r w:rsidRPr="009A0DA6">
        <w:rPr>
          <w:rFonts w:ascii="Cambria" w:eastAsia="Calibri" w:hAnsi="Cambria" w:cs="Calibri"/>
        </w:rPr>
        <w:t>n that</w:t>
      </w:r>
      <w:r w:rsidRPr="009A0DA6">
        <w:rPr>
          <w:rFonts w:ascii="Cambria" w:eastAsia="Calibri" w:hAnsi="Cambria" w:cs="Calibri"/>
          <w:spacing w:val="1"/>
        </w:rPr>
        <w:t xml:space="preserve"> </w:t>
      </w:r>
      <w:r w:rsidRPr="009A0DA6">
        <w:rPr>
          <w:rFonts w:ascii="Cambria" w:eastAsia="Calibri" w:hAnsi="Cambria" w:cs="Calibri"/>
        </w:rPr>
        <w:t>is</w:t>
      </w:r>
      <w:r w:rsidRPr="009A0DA6">
        <w:rPr>
          <w:rFonts w:ascii="Cambria" w:eastAsia="Calibri" w:hAnsi="Cambria" w:cs="Calibri"/>
          <w:spacing w:val="1"/>
        </w:rPr>
        <w:t xml:space="preserve"> </w:t>
      </w:r>
      <w:r w:rsidRPr="009A0DA6">
        <w:rPr>
          <w:rFonts w:ascii="Cambria" w:eastAsia="Calibri" w:hAnsi="Cambria" w:cs="Calibri"/>
          <w:spacing w:val="-1"/>
        </w:rPr>
        <w:t>d</w:t>
      </w:r>
      <w:r w:rsidRPr="009A0DA6">
        <w:rPr>
          <w:rFonts w:ascii="Cambria" w:eastAsia="Calibri" w:hAnsi="Cambria" w:cs="Calibri"/>
        </w:rPr>
        <w:t>rawn</w:t>
      </w:r>
      <w:r w:rsidRPr="009A0DA6">
        <w:rPr>
          <w:rFonts w:ascii="Cambria" w:eastAsia="Calibri" w:hAnsi="Cambria" w:cs="Calibri"/>
          <w:spacing w:val="3"/>
        </w:rPr>
        <w:t xml:space="preserve"> </w:t>
      </w:r>
      <w:r w:rsidRPr="009A0DA6">
        <w:rPr>
          <w:rFonts w:ascii="Cambria" w:eastAsia="Calibri" w:hAnsi="Cambria" w:cs="Calibri"/>
        </w:rPr>
        <w:t>f</w:t>
      </w:r>
      <w:r w:rsidRPr="009A0DA6">
        <w:rPr>
          <w:rFonts w:ascii="Cambria" w:eastAsia="Calibri" w:hAnsi="Cambria" w:cs="Calibri"/>
          <w:spacing w:val="-3"/>
        </w:rPr>
        <w:t>r</w:t>
      </w:r>
      <w:r w:rsidRPr="009A0DA6">
        <w:rPr>
          <w:rFonts w:ascii="Cambria" w:eastAsia="Calibri" w:hAnsi="Cambria" w:cs="Calibri"/>
          <w:spacing w:val="1"/>
        </w:rPr>
        <w:t>o</w:t>
      </w:r>
      <w:r w:rsidRPr="009A0DA6">
        <w:rPr>
          <w:rFonts w:ascii="Cambria" w:eastAsia="Calibri" w:hAnsi="Cambria" w:cs="Calibri"/>
        </w:rPr>
        <w:t>m</w:t>
      </w:r>
      <w:r w:rsidRPr="009A0DA6">
        <w:rPr>
          <w:rFonts w:ascii="Cambria" w:eastAsia="Calibri" w:hAnsi="Cambria" w:cs="Calibri"/>
          <w:spacing w:val="2"/>
        </w:rPr>
        <w:t xml:space="preserve"> </w:t>
      </w:r>
      <w:r w:rsidRPr="009A0DA6">
        <w:rPr>
          <w:rFonts w:ascii="Cambria" w:eastAsia="Calibri" w:hAnsi="Cambria" w:cs="Calibri"/>
        </w:rPr>
        <w:t>th</w:t>
      </w:r>
      <w:r w:rsidRPr="009A0DA6">
        <w:rPr>
          <w:rFonts w:ascii="Cambria" w:eastAsia="Calibri" w:hAnsi="Cambria" w:cs="Calibri"/>
          <w:spacing w:val="-2"/>
        </w:rPr>
        <w:t>e</w:t>
      </w:r>
      <w:r w:rsidRPr="009A0DA6">
        <w:rPr>
          <w:rFonts w:ascii="Cambria" w:eastAsia="Calibri" w:hAnsi="Cambria" w:cs="Calibri"/>
          <w:spacing w:val="1"/>
        </w:rPr>
        <w:t>m</w:t>
      </w:r>
      <w:r w:rsidRPr="009A0DA6">
        <w:rPr>
          <w:rFonts w:ascii="Cambria" w:eastAsia="Calibri" w:hAnsi="Cambria" w:cs="Calibri"/>
        </w:rPr>
        <w:t>. This</w:t>
      </w:r>
      <w:r w:rsidRPr="009A0DA6">
        <w:rPr>
          <w:rFonts w:ascii="Cambria" w:eastAsia="Calibri" w:hAnsi="Cambria" w:cs="Calibri"/>
          <w:spacing w:val="3"/>
        </w:rPr>
        <w:t xml:space="preserve"> </w:t>
      </w:r>
      <w:r w:rsidRPr="009A0DA6">
        <w:rPr>
          <w:rFonts w:ascii="Cambria" w:eastAsia="Calibri" w:hAnsi="Cambria" w:cs="Calibri"/>
          <w:spacing w:val="-2"/>
        </w:rPr>
        <w:t>c</w:t>
      </w:r>
      <w:r w:rsidRPr="009A0DA6">
        <w:rPr>
          <w:rFonts w:ascii="Cambria" w:eastAsia="Calibri" w:hAnsi="Cambria" w:cs="Calibri"/>
        </w:rPr>
        <w:t>an</w:t>
      </w:r>
      <w:r w:rsidRPr="009A0DA6">
        <w:rPr>
          <w:rFonts w:ascii="Cambria" w:eastAsia="Calibri" w:hAnsi="Cambria" w:cs="Calibri"/>
          <w:spacing w:val="2"/>
        </w:rPr>
        <w:t xml:space="preserve"> </w:t>
      </w:r>
      <w:r w:rsidRPr="009A0DA6">
        <w:rPr>
          <w:rFonts w:ascii="Cambria" w:eastAsia="Calibri" w:hAnsi="Cambria" w:cs="Calibri"/>
          <w:spacing w:val="-3"/>
        </w:rPr>
        <w:t>b</w:t>
      </w:r>
      <w:r w:rsidRPr="009A0DA6">
        <w:rPr>
          <w:rFonts w:ascii="Cambria" w:eastAsia="Calibri" w:hAnsi="Cambria" w:cs="Calibri"/>
        </w:rPr>
        <w:t xml:space="preserve">e </w:t>
      </w:r>
      <w:r w:rsidRPr="009A0DA6">
        <w:rPr>
          <w:rFonts w:ascii="Cambria" w:eastAsia="Calibri" w:hAnsi="Cambria" w:cs="Calibri"/>
          <w:spacing w:val="-1"/>
        </w:rPr>
        <w:t>d</w:t>
      </w:r>
      <w:r w:rsidRPr="009A0DA6">
        <w:rPr>
          <w:rFonts w:ascii="Cambria" w:eastAsia="Calibri" w:hAnsi="Cambria" w:cs="Calibri"/>
        </w:rPr>
        <w:t>e</w:t>
      </w:r>
      <w:r w:rsidRPr="009A0DA6">
        <w:rPr>
          <w:rFonts w:ascii="Cambria" w:eastAsia="Calibri" w:hAnsi="Cambria" w:cs="Calibri"/>
          <w:spacing w:val="-1"/>
        </w:rPr>
        <w:t>m</w:t>
      </w:r>
      <w:r w:rsidRPr="009A0DA6">
        <w:rPr>
          <w:rFonts w:ascii="Cambria" w:eastAsia="Calibri" w:hAnsi="Cambria" w:cs="Calibri"/>
          <w:spacing w:val="1"/>
        </w:rPr>
        <w:t>o</w:t>
      </w:r>
      <w:r w:rsidRPr="009A0DA6">
        <w:rPr>
          <w:rFonts w:ascii="Cambria" w:eastAsia="Calibri" w:hAnsi="Cambria" w:cs="Calibri"/>
          <w:spacing w:val="-1"/>
        </w:rPr>
        <w:t>n</w:t>
      </w:r>
      <w:r w:rsidRPr="009A0DA6">
        <w:rPr>
          <w:rFonts w:ascii="Cambria" w:eastAsia="Calibri" w:hAnsi="Cambria" w:cs="Calibri"/>
        </w:rPr>
        <w:t>stra</w:t>
      </w:r>
      <w:r w:rsidRPr="009A0DA6">
        <w:rPr>
          <w:rFonts w:ascii="Cambria" w:eastAsia="Calibri" w:hAnsi="Cambria" w:cs="Calibri"/>
          <w:spacing w:val="-2"/>
        </w:rPr>
        <w:t>t</w:t>
      </w:r>
      <w:r w:rsidRPr="009A0DA6">
        <w:rPr>
          <w:rFonts w:ascii="Cambria" w:eastAsia="Calibri" w:hAnsi="Cambria" w:cs="Calibri"/>
        </w:rPr>
        <w:t xml:space="preserve">ed as </w:t>
      </w:r>
      <w:r w:rsidRPr="009A0DA6">
        <w:rPr>
          <w:rFonts w:ascii="Cambria" w:eastAsia="Calibri" w:hAnsi="Cambria" w:cs="Calibri"/>
          <w:spacing w:val="-2"/>
        </w:rPr>
        <w:t>f</w:t>
      </w:r>
      <w:r w:rsidRPr="009A0DA6">
        <w:rPr>
          <w:rFonts w:ascii="Cambria" w:eastAsia="Calibri" w:hAnsi="Cambria" w:cs="Calibri"/>
          <w:spacing w:val="1"/>
        </w:rPr>
        <w:t>o</w:t>
      </w:r>
      <w:r w:rsidRPr="009A0DA6">
        <w:rPr>
          <w:rFonts w:ascii="Cambria" w:eastAsia="Calibri" w:hAnsi="Cambria" w:cs="Calibri"/>
        </w:rPr>
        <w:t>l</w:t>
      </w:r>
      <w:r w:rsidRPr="009A0DA6">
        <w:rPr>
          <w:rFonts w:ascii="Cambria" w:eastAsia="Calibri" w:hAnsi="Cambria" w:cs="Calibri"/>
          <w:spacing w:val="-3"/>
        </w:rPr>
        <w:t>l</w:t>
      </w:r>
      <w:r w:rsidRPr="009A0DA6">
        <w:rPr>
          <w:rFonts w:ascii="Cambria" w:eastAsia="Calibri" w:hAnsi="Cambria" w:cs="Calibri"/>
          <w:spacing w:val="1"/>
        </w:rPr>
        <w:t>o</w:t>
      </w:r>
      <w:r w:rsidRPr="009A0DA6">
        <w:rPr>
          <w:rFonts w:ascii="Cambria" w:eastAsia="Calibri" w:hAnsi="Cambria" w:cs="Calibri"/>
        </w:rPr>
        <w:t>w</w:t>
      </w:r>
      <w:r w:rsidRPr="009A0DA6">
        <w:rPr>
          <w:rFonts w:ascii="Cambria" w:eastAsia="Calibri" w:hAnsi="Cambria" w:cs="Calibri"/>
          <w:spacing w:val="-2"/>
        </w:rPr>
        <w:t>s</w:t>
      </w:r>
      <w:r w:rsidRPr="009A0DA6">
        <w:rPr>
          <w:rFonts w:ascii="Cambria" w:eastAsia="Calibri" w:hAnsi="Cambria" w:cs="Calibri"/>
        </w:rPr>
        <w:t>:</w:t>
      </w:r>
    </w:p>
    <w:p w14:paraId="145ED3EC" w14:textId="060EF01B" w:rsidR="0042579D" w:rsidRPr="009A0DA6" w:rsidRDefault="0042579D" w:rsidP="00F55252">
      <w:pPr>
        <w:pStyle w:val="ListParagraph"/>
        <w:numPr>
          <w:ilvl w:val="0"/>
          <w:numId w:val="125"/>
        </w:numPr>
        <w:tabs>
          <w:tab w:val="clear" w:pos="643"/>
          <w:tab w:val="num" w:pos="1134"/>
        </w:tabs>
        <w:spacing w:after="0"/>
        <w:ind w:left="1134" w:right="338" w:hanging="567"/>
        <w:rPr>
          <w:rFonts w:ascii="Cambria" w:eastAsia="Calibri" w:hAnsi="Cambria" w:cs="Calibri"/>
          <w:sz w:val="10"/>
        </w:rPr>
      </w:pPr>
      <w:r w:rsidRPr="009A0DA6">
        <w:rPr>
          <w:rFonts w:ascii="Cambria" w:eastAsia="Calibri" w:hAnsi="Cambria" w:cs="Calibri"/>
        </w:rPr>
        <w:t>The</w:t>
      </w:r>
      <w:r w:rsidRPr="009A0DA6">
        <w:rPr>
          <w:rFonts w:ascii="Cambria" w:eastAsia="Calibri" w:hAnsi="Cambria" w:cs="Calibri"/>
          <w:spacing w:val="-9"/>
        </w:rPr>
        <w:t xml:space="preserve"> </w:t>
      </w:r>
      <w:r w:rsidRPr="009A0DA6">
        <w:rPr>
          <w:rFonts w:ascii="Cambria" w:eastAsia="Calibri" w:hAnsi="Cambria" w:cs="Calibri"/>
          <w:spacing w:val="1"/>
        </w:rPr>
        <w:t>DD</w:t>
      </w:r>
      <w:r w:rsidRPr="009A0DA6">
        <w:rPr>
          <w:rFonts w:ascii="Cambria" w:eastAsia="Calibri" w:hAnsi="Cambria" w:cs="Calibri"/>
        </w:rPr>
        <w:t>S</w:t>
      </w:r>
      <w:r w:rsidRPr="009A0DA6">
        <w:rPr>
          <w:rFonts w:ascii="Cambria" w:eastAsia="Calibri" w:hAnsi="Cambria" w:cs="Calibri"/>
          <w:spacing w:val="-9"/>
        </w:rPr>
        <w:t xml:space="preserve"> </w:t>
      </w:r>
      <w:r w:rsidRPr="009A0DA6">
        <w:rPr>
          <w:rFonts w:ascii="Cambria" w:eastAsia="Calibri" w:hAnsi="Cambria" w:cs="Calibri"/>
        </w:rPr>
        <w:t>asse</w:t>
      </w:r>
      <w:r w:rsidRPr="009A0DA6">
        <w:rPr>
          <w:rFonts w:ascii="Cambria" w:eastAsia="Calibri" w:hAnsi="Cambria" w:cs="Calibri"/>
          <w:spacing w:val="-2"/>
        </w:rPr>
        <w:t>r</w:t>
      </w:r>
      <w:r w:rsidRPr="009A0DA6">
        <w:rPr>
          <w:rFonts w:ascii="Cambria" w:eastAsia="Calibri" w:hAnsi="Cambria" w:cs="Calibri"/>
        </w:rPr>
        <w:t>ts</w:t>
      </w:r>
      <w:r w:rsidRPr="009A0DA6">
        <w:rPr>
          <w:rFonts w:ascii="Cambria" w:eastAsia="Calibri" w:hAnsi="Cambria" w:cs="Calibri"/>
          <w:spacing w:val="-8"/>
        </w:rPr>
        <w:t xml:space="preserve"> </w:t>
      </w:r>
      <w:r w:rsidRPr="009A0DA6">
        <w:rPr>
          <w:rFonts w:ascii="Cambria" w:eastAsia="Calibri" w:hAnsi="Cambria" w:cs="Calibri"/>
        </w:rPr>
        <w:t>that</w:t>
      </w:r>
      <w:r w:rsidRPr="009A0DA6">
        <w:rPr>
          <w:rFonts w:ascii="Cambria" w:eastAsia="Calibri" w:hAnsi="Cambria" w:cs="Calibri"/>
          <w:spacing w:val="-9"/>
        </w:rPr>
        <w:t xml:space="preserve"> </w:t>
      </w:r>
      <w:r w:rsidRPr="009A0DA6">
        <w:rPr>
          <w:rFonts w:ascii="Cambria" w:eastAsia="Calibri" w:hAnsi="Cambria" w:cs="Calibri"/>
          <w:spacing w:val="1"/>
        </w:rPr>
        <w:t>“</w:t>
      </w:r>
      <w:r w:rsidRPr="009A0DA6">
        <w:rPr>
          <w:rFonts w:ascii="Cambria" w:eastAsia="Calibri" w:hAnsi="Cambria" w:cs="Calibri"/>
        </w:rPr>
        <w:t>the</w:t>
      </w:r>
      <w:r w:rsidRPr="009A0DA6">
        <w:rPr>
          <w:rFonts w:ascii="Cambria" w:eastAsia="Calibri" w:hAnsi="Cambria" w:cs="Calibri"/>
          <w:spacing w:val="-9"/>
        </w:rPr>
        <w:t xml:space="preserve"> </w:t>
      </w:r>
      <w:r w:rsidRPr="009A0DA6">
        <w:rPr>
          <w:rFonts w:ascii="Cambria" w:eastAsia="Calibri" w:hAnsi="Cambria" w:cs="Calibri"/>
          <w:spacing w:val="-3"/>
        </w:rPr>
        <w:t>p</w:t>
      </w:r>
      <w:r w:rsidRPr="009A0DA6">
        <w:rPr>
          <w:rFonts w:ascii="Cambria" w:eastAsia="Calibri" w:hAnsi="Cambria" w:cs="Calibri"/>
        </w:rPr>
        <w:t>rec</w:t>
      </w:r>
      <w:r w:rsidRPr="009A0DA6">
        <w:rPr>
          <w:rFonts w:ascii="Cambria" w:eastAsia="Calibri" w:hAnsi="Cambria" w:cs="Calibri"/>
          <w:spacing w:val="1"/>
        </w:rPr>
        <w:t>e</w:t>
      </w:r>
      <w:r w:rsidRPr="009A0DA6">
        <w:rPr>
          <w:rFonts w:ascii="Cambria" w:eastAsia="Calibri" w:hAnsi="Cambria" w:cs="Calibri"/>
          <w:spacing w:val="-1"/>
        </w:rPr>
        <w:t>d</w:t>
      </w:r>
      <w:r w:rsidRPr="009A0DA6">
        <w:rPr>
          <w:rFonts w:ascii="Cambria" w:eastAsia="Calibri" w:hAnsi="Cambria" w:cs="Calibri"/>
        </w:rPr>
        <w:t>ent</w:t>
      </w:r>
      <w:r w:rsidRPr="009A0DA6">
        <w:rPr>
          <w:rFonts w:ascii="Cambria" w:eastAsia="Calibri" w:hAnsi="Cambria" w:cs="Calibri"/>
          <w:spacing w:val="-11"/>
        </w:rPr>
        <w:t xml:space="preserve"> </w:t>
      </w:r>
      <w:r w:rsidRPr="009A0DA6">
        <w:rPr>
          <w:rFonts w:ascii="Cambria" w:eastAsia="Calibri" w:hAnsi="Cambria" w:cs="Calibri"/>
          <w:spacing w:val="1"/>
        </w:rPr>
        <w:t>o</w:t>
      </w:r>
      <w:r w:rsidRPr="009A0DA6">
        <w:rPr>
          <w:rFonts w:ascii="Cambria" w:eastAsia="Calibri" w:hAnsi="Cambria" w:cs="Calibri"/>
        </w:rPr>
        <w:t>f</w:t>
      </w:r>
      <w:r w:rsidRPr="009A0DA6">
        <w:rPr>
          <w:rFonts w:ascii="Cambria" w:eastAsia="Calibri" w:hAnsi="Cambria" w:cs="Calibri"/>
          <w:spacing w:val="-9"/>
        </w:rPr>
        <w:t xml:space="preserve"> </w:t>
      </w:r>
      <w:r w:rsidRPr="009A0DA6">
        <w:rPr>
          <w:rFonts w:ascii="Cambria" w:eastAsia="Calibri" w:hAnsi="Cambria" w:cs="Calibri"/>
          <w:spacing w:val="1"/>
        </w:rPr>
        <w:t>m</w:t>
      </w:r>
      <w:r w:rsidRPr="009A0DA6">
        <w:rPr>
          <w:rFonts w:ascii="Cambria" w:eastAsia="Calibri" w:hAnsi="Cambria" w:cs="Calibri"/>
        </w:rPr>
        <w:t>ale</w:t>
      </w:r>
      <w:r w:rsidRPr="009A0DA6">
        <w:rPr>
          <w:rFonts w:ascii="Cambria" w:eastAsia="Calibri" w:hAnsi="Cambria" w:cs="Calibri"/>
          <w:spacing w:val="-9"/>
        </w:rPr>
        <w:t xml:space="preserve"> </w:t>
      </w:r>
      <w:r w:rsidRPr="009A0DA6">
        <w:rPr>
          <w:rFonts w:ascii="Cambria" w:eastAsia="Calibri" w:hAnsi="Cambria" w:cs="Calibri"/>
        </w:rPr>
        <w:t>a</w:t>
      </w:r>
      <w:r w:rsidRPr="009A0DA6">
        <w:rPr>
          <w:rFonts w:ascii="Cambria" w:eastAsia="Calibri" w:hAnsi="Cambria" w:cs="Calibri"/>
          <w:spacing w:val="-1"/>
        </w:rPr>
        <w:t>p</w:t>
      </w:r>
      <w:r w:rsidRPr="009A0DA6">
        <w:rPr>
          <w:rFonts w:ascii="Cambria" w:eastAsia="Calibri" w:hAnsi="Cambria" w:cs="Calibri"/>
          <w:spacing w:val="1"/>
        </w:rPr>
        <w:t>o</w:t>
      </w:r>
      <w:r w:rsidRPr="009A0DA6">
        <w:rPr>
          <w:rFonts w:ascii="Cambria" w:eastAsia="Calibri" w:hAnsi="Cambria" w:cs="Calibri"/>
          <w:spacing w:val="-2"/>
        </w:rPr>
        <w:t>s</w:t>
      </w:r>
      <w:r w:rsidRPr="009A0DA6">
        <w:rPr>
          <w:rFonts w:ascii="Cambria" w:eastAsia="Calibri" w:hAnsi="Cambria" w:cs="Calibri"/>
        </w:rPr>
        <w:t>tles</w:t>
      </w:r>
      <w:r w:rsidRPr="009A0DA6">
        <w:rPr>
          <w:rFonts w:ascii="Cambria" w:eastAsia="Calibri" w:hAnsi="Cambria" w:cs="Calibri"/>
          <w:spacing w:val="-8"/>
        </w:rPr>
        <w:t xml:space="preserve"> </w:t>
      </w:r>
      <w:r w:rsidRPr="009A0DA6">
        <w:rPr>
          <w:rFonts w:ascii="Cambria" w:eastAsia="Calibri" w:hAnsi="Cambria" w:cs="Calibri"/>
          <w:spacing w:val="-1"/>
        </w:rPr>
        <w:t>d</w:t>
      </w:r>
      <w:r w:rsidRPr="009A0DA6">
        <w:rPr>
          <w:rFonts w:ascii="Cambria" w:eastAsia="Calibri" w:hAnsi="Cambria" w:cs="Calibri"/>
          <w:spacing w:val="1"/>
        </w:rPr>
        <w:t>o</w:t>
      </w:r>
      <w:r w:rsidRPr="009A0DA6">
        <w:rPr>
          <w:rFonts w:ascii="Cambria" w:eastAsia="Calibri" w:hAnsi="Cambria" w:cs="Calibri"/>
        </w:rPr>
        <w:t>es</w:t>
      </w:r>
      <w:r w:rsidRPr="009A0DA6">
        <w:rPr>
          <w:rFonts w:ascii="Cambria" w:eastAsia="Calibri" w:hAnsi="Cambria" w:cs="Calibri"/>
          <w:spacing w:val="-8"/>
        </w:rPr>
        <w:t xml:space="preserve"> </w:t>
      </w:r>
      <w:r w:rsidRPr="009A0DA6">
        <w:rPr>
          <w:rFonts w:ascii="Cambria" w:eastAsia="Calibri" w:hAnsi="Cambria" w:cs="Calibri"/>
          <w:spacing w:val="-1"/>
        </w:rPr>
        <w:t>n</w:t>
      </w:r>
      <w:r w:rsidRPr="009A0DA6">
        <w:rPr>
          <w:rFonts w:ascii="Cambria" w:eastAsia="Calibri" w:hAnsi="Cambria" w:cs="Calibri"/>
          <w:spacing w:val="1"/>
        </w:rPr>
        <w:t>o</w:t>
      </w:r>
      <w:r w:rsidRPr="009A0DA6">
        <w:rPr>
          <w:rFonts w:ascii="Cambria" w:eastAsia="Calibri" w:hAnsi="Cambria" w:cs="Calibri"/>
        </w:rPr>
        <w:t>t</w:t>
      </w:r>
      <w:r w:rsidRPr="009A0DA6">
        <w:rPr>
          <w:rFonts w:ascii="Cambria" w:eastAsia="Calibri" w:hAnsi="Cambria" w:cs="Calibri"/>
          <w:spacing w:val="-8"/>
        </w:rPr>
        <w:t xml:space="preserve"> </w:t>
      </w:r>
      <w:r w:rsidRPr="009A0DA6">
        <w:rPr>
          <w:rFonts w:ascii="Cambria" w:eastAsia="Calibri" w:hAnsi="Cambria" w:cs="Calibri"/>
        </w:rPr>
        <w:t>req</w:t>
      </w:r>
      <w:r w:rsidRPr="009A0DA6">
        <w:rPr>
          <w:rFonts w:ascii="Cambria" w:eastAsia="Calibri" w:hAnsi="Cambria" w:cs="Calibri"/>
          <w:spacing w:val="-1"/>
        </w:rPr>
        <w:t>u</w:t>
      </w:r>
      <w:r w:rsidRPr="009A0DA6">
        <w:rPr>
          <w:rFonts w:ascii="Cambria" w:eastAsia="Calibri" w:hAnsi="Cambria" w:cs="Calibri"/>
        </w:rPr>
        <w:t>ire</w:t>
      </w:r>
      <w:r w:rsidRPr="009A0DA6">
        <w:rPr>
          <w:rFonts w:ascii="Cambria" w:eastAsia="Calibri" w:hAnsi="Cambria" w:cs="Calibri"/>
          <w:spacing w:val="-9"/>
        </w:rPr>
        <w:t xml:space="preserve"> </w:t>
      </w:r>
      <w:r w:rsidRPr="009A0DA6">
        <w:rPr>
          <w:rFonts w:ascii="Cambria" w:eastAsia="Calibri" w:hAnsi="Cambria" w:cs="Calibri"/>
        </w:rPr>
        <w:t>that</w:t>
      </w:r>
      <w:r w:rsidRPr="009A0DA6">
        <w:rPr>
          <w:rFonts w:ascii="Cambria" w:eastAsia="Calibri" w:hAnsi="Cambria" w:cs="Calibri"/>
          <w:spacing w:val="-9"/>
        </w:rPr>
        <w:t xml:space="preserve"> </w:t>
      </w:r>
      <w:r w:rsidRPr="009A0DA6">
        <w:rPr>
          <w:rFonts w:ascii="Cambria" w:eastAsia="Calibri" w:hAnsi="Cambria" w:cs="Calibri"/>
          <w:spacing w:val="-1"/>
        </w:rPr>
        <w:t>p</w:t>
      </w:r>
      <w:r w:rsidRPr="009A0DA6">
        <w:rPr>
          <w:rFonts w:ascii="Cambria" w:eastAsia="Calibri" w:hAnsi="Cambria" w:cs="Calibri"/>
        </w:rPr>
        <w:t>as</w:t>
      </w:r>
      <w:r w:rsidRPr="009A0DA6">
        <w:rPr>
          <w:rFonts w:ascii="Cambria" w:eastAsia="Calibri" w:hAnsi="Cambria" w:cs="Calibri"/>
          <w:spacing w:val="-2"/>
        </w:rPr>
        <w:t>t</w:t>
      </w:r>
      <w:r w:rsidRPr="009A0DA6">
        <w:rPr>
          <w:rFonts w:ascii="Cambria" w:eastAsia="Calibri" w:hAnsi="Cambria" w:cs="Calibri"/>
          <w:spacing w:val="1"/>
        </w:rPr>
        <w:t>o</w:t>
      </w:r>
      <w:r w:rsidRPr="009A0DA6">
        <w:rPr>
          <w:rFonts w:ascii="Cambria" w:eastAsia="Calibri" w:hAnsi="Cambria" w:cs="Calibri"/>
          <w:spacing w:val="-3"/>
        </w:rPr>
        <w:t>r</w:t>
      </w:r>
      <w:r w:rsidRPr="009A0DA6">
        <w:rPr>
          <w:rFonts w:ascii="Cambria" w:eastAsia="Calibri" w:hAnsi="Cambria" w:cs="Calibri"/>
        </w:rPr>
        <w:t>s</w:t>
      </w:r>
      <w:r w:rsidRPr="009A0DA6">
        <w:rPr>
          <w:rFonts w:ascii="Cambria" w:eastAsia="Calibri" w:hAnsi="Cambria" w:cs="Calibri"/>
          <w:spacing w:val="-6"/>
        </w:rPr>
        <w:t xml:space="preserve"> </w:t>
      </w:r>
      <w:r w:rsidRPr="009A0DA6">
        <w:rPr>
          <w:rFonts w:ascii="Cambria" w:eastAsia="Calibri" w:hAnsi="Cambria" w:cs="Calibri"/>
          <w:spacing w:val="-1"/>
        </w:rPr>
        <w:t>b</w:t>
      </w:r>
      <w:r w:rsidRPr="009A0DA6">
        <w:rPr>
          <w:rFonts w:ascii="Cambria" w:eastAsia="Calibri" w:hAnsi="Cambria" w:cs="Calibri"/>
        </w:rPr>
        <w:t>e</w:t>
      </w:r>
      <w:r w:rsidRPr="009A0DA6">
        <w:rPr>
          <w:rFonts w:ascii="Cambria" w:eastAsia="Calibri" w:hAnsi="Cambria" w:cs="Calibri"/>
          <w:spacing w:val="-8"/>
        </w:rPr>
        <w:t xml:space="preserve"> </w:t>
      </w:r>
      <w:r w:rsidRPr="009A0DA6">
        <w:rPr>
          <w:rFonts w:ascii="Cambria" w:eastAsia="Calibri" w:hAnsi="Cambria" w:cs="Calibri"/>
          <w:spacing w:val="1"/>
        </w:rPr>
        <w:t>m</w:t>
      </w:r>
      <w:r w:rsidRPr="009A0DA6">
        <w:rPr>
          <w:rFonts w:ascii="Cambria" w:eastAsia="Calibri" w:hAnsi="Cambria" w:cs="Calibri"/>
        </w:rPr>
        <w:t>a</w:t>
      </w:r>
      <w:r w:rsidRPr="009A0DA6">
        <w:rPr>
          <w:rFonts w:ascii="Cambria" w:eastAsia="Calibri" w:hAnsi="Cambria" w:cs="Calibri"/>
          <w:spacing w:val="-3"/>
        </w:rPr>
        <w:t>l</w:t>
      </w:r>
      <w:r w:rsidRPr="009A0DA6">
        <w:rPr>
          <w:rFonts w:ascii="Cambria" w:eastAsia="Calibri" w:hAnsi="Cambria" w:cs="Calibri"/>
        </w:rPr>
        <w:t>e</w:t>
      </w:r>
      <w:r w:rsidRPr="009A0DA6">
        <w:rPr>
          <w:rFonts w:ascii="Cambria" w:eastAsia="Calibri" w:hAnsi="Cambria" w:cs="Calibri"/>
          <w:spacing w:val="-6"/>
        </w:rPr>
        <w:t xml:space="preserve"> </w:t>
      </w:r>
      <w:r w:rsidRPr="009A0DA6">
        <w:rPr>
          <w:rFonts w:ascii="Cambria" w:eastAsia="Calibri" w:hAnsi="Cambria" w:cs="Calibri"/>
          <w:spacing w:val="-2"/>
        </w:rPr>
        <w:t>t</w:t>
      </w:r>
      <w:r w:rsidRPr="009A0DA6">
        <w:rPr>
          <w:rFonts w:ascii="Cambria" w:eastAsia="Calibri" w:hAnsi="Cambria" w:cs="Calibri"/>
          <w:spacing w:val="1"/>
        </w:rPr>
        <w:t>o</w:t>
      </w:r>
      <w:r w:rsidRPr="009A0DA6">
        <w:rPr>
          <w:rFonts w:ascii="Cambria" w:eastAsia="Calibri" w:hAnsi="Cambria" w:cs="Calibri"/>
          <w:spacing w:val="-1"/>
        </w:rPr>
        <w:t>d</w:t>
      </w:r>
      <w:r w:rsidRPr="009A0DA6">
        <w:rPr>
          <w:rFonts w:ascii="Cambria" w:eastAsia="Calibri" w:hAnsi="Cambria" w:cs="Calibri"/>
        </w:rPr>
        <w:t>ay</w:t>
      </w:r>
      <w:r w:rsidRPr="009A0DA6">
        <w:rPr>
          <w:rFonts w:ascii="Cambria" w:eastAsia="Calibri" w:hAnsi="Cambria" w:cs="Calibri"/>
          <w:spacing w:val="-2"/>
        </w:rPr>
        <w:t>.</w:t>
      </w:r>
      <w:r w:rsidRPr="009A0DA6">
        <w:rPr>
          <w:rFonts w:ascii="Cambria" w:eastAsia="Calibri" w:hAnsi="Cambria" w:cs="Calibri"/>
        </w:rPr>
        <w:t>”</w:t>
      </w:r>
      <w:r w:rsidRPr="009A0DA6">
        <w:rPr>
          <w:rFonts w:ascii="Cambria" w:eastAsia="Calibri" w:hAnsi="Cambria" w:cs="Calibri"/>
          <w:spacing w:val="-8"/>
        </w:rPr>
        <w:t xml:space="preserve"> </w:t>
      </w:r>
      <w:r w:rsidRPr="009A0DA6">
        <w:rPr>
          <w:rFonts w:ascii="Cambria" w:eastAsia="Calibri" w:hAnsi="Cambria" w:cs="Calibri"/>
        </w:rPr>
        <w:t>This</w:t>
      </w:r>
      <w:r w:rsidRPr="009A0DA6">
        <w:rPr>
          <w:rFonts w:ascii="Cambria" w:eastAsia="Calibri" w:hAnsi="Cambria" w:cs="Calibri"/>
          <w:spacing w:val="-10"/>
        </w:rPr>
        <w:t xml:space="preserve"> </w:t>
      </w:r>
      <w:r w:rsidRPr="009A0DA6">
        <w:rPr>
          <w:rFonts w:ascii="Cambria" w:eastAsia="Calibri" w:hAnsi="Cambria" w:cs="Calibri"/>
          <w:spacing w:val="1"/>
        </w:rPr>
        <w:t>m</w:t>
      </w:r>
      <w:r w:rsidRPr="009A0DA6">
        <w:rPr>
          <w:rFonts w:ascii="Cambria" w:eastAsia="Calibri" w:hAnsi="Cambria" w:cs="Calibri"/>
        </w:rPr>
        <w:t>i</w:t>
      </w:r>
      <w:r w:rsidRPr="009A0DA6">
        <w:rPr>
          <w:rFonts w:ascii="Cambria" w:eastAsia="Calibri" w:hAnsi="Cambria" w:cs="Calibri"/>
          <w:spacing w:val="-1"/>
        </w:rPr>
        <w:t>gh</w:t>
      </w:r>
      <w:r w:rsidRPr="009A0DA6">
        <w:rPr>
          <w:rFonts w:ascii="Cambria" w:eastAsia="Calibri" w:hAnsi="Cambria" w:cs="Calibri"/>
        </w:rPr>
        <w:t xml:space="preserve">t </w:t>
      </w:r>
      <w:r w:rsidRPr="009A0DA6">
        <w:rPr>
          <w:rFonts w:ascii="Cambria" w:eastAsia="Calibri" w:hAnsi="Cambria" w:cs="Calibri"/>
          <w:spacing w:val="-1"/>
        </w:rPr>
        <w:t>b</w:t>
      </w:r>
      <w:r w:rsidRPr="009A0DA6">
        <w:rPr>
          <w:rFonts w:ascii="Cambria" w:eastAsia="Calibri" w:hAnsi="Cambria" w:cs="Calibri"/>
        </w:rPr>
        <w:t>e</w:t>
      </w:r>
      <w:r w:rsidRPr="009A0DA6">
        <w:rPr>
          <w:rFonts w:ascii="Cambria" w:eastAsia="Calibri" w:hAnsi="Cambria" w:cs="Calibri"/>
          <w:spacing w:val="-3"/>
        </w:rPr>
        <w:t xml:space="preserve"> </w:t>
      </w:r>
      <w:r w:rsidRPr="009A0DA6">
        <w:rPr>
          <w:rFonts w:ascii="Cambria" w:eastAsia="Calibri" w:hAnsi="Cambria" w:cs="Calibri"/>
        </w:rPr>
        <w:t>true</w:t>
      </w:r>
      <w:r w:rsidRPr="009A0DA6">
        <w:rPr>
          <w:rFonts w:ascii="Cambria" w:eastAsia="Calibri" w:hAnsi="Cambria" w:cs="Calibri"/>
          <w:spacing w:val="-4"/>
        </w:rPr>
        <w:t xml:space="preserve"> </w:t>
      </w:r>
      <w:r w:rsidRPr="009A0DA6">
        <w:rPr>
          <w:rFonts w:ascii="Cambria" w:eastAsia="Calibri" w:hAnsi="Cambria" w:cs="Calibri"/>
        </w:rPr>
        <w:t>if</w:t>
      </w:r>
      <w:r w:rsidRPr="009A0DA6">
        <w:rPr>
          <w:rFonts w:ascii="Cambria" w:eastAsia="Calibri" w:hAnsi="Cambria" w:cs="Calibri"/>
          <w:spacing w:val="-5"/>
        </w:rPr>
        <w:t xml:space="preserve"> </w:t>
      </w:r>
      <w:r w:rsidRPr="009A0DA6">
        <w:rPr>
          <w:rFonts w:ascii="Cambria" w:eastAsia="Calibri" w:hAnsi="Cambria" w:cs="Calibri"/>
        </w:rPr>
        <w:t>t</w:t>
      </w:r>
      <w:r w:rsidRPr="009A0DA6">
        <w:rPr>
          <w:rFonts w:ascii="Cambria" w:eastAsia="Calibri" w:hAnsi="Cambria" w:cs="Calibri"/>
          <w:spacing w:val="-3"/>
        </w:rPr>
        <w:t>h</w:t>
      </w:r>
      <w:r w:rsidRPr="009A0DA6">
        <w:rPr>
          <w:rFonts w:ascii="Cambria" w:eastAsia="Calibri" w:hAnsi="Cambria" w:cs="Calibri"/>
        </w:rPr>
        <w:t>e</w:t>
      </w:r>
      <w:r w:rsidRPr="009A0DA6">
        <w:rPr>
          <w:rFonts w:ascii="Cambria" w:eastAsia="Calibri" w:hAnsi="Cambria" w:cs="Calibri"/>
          <w:spacing w:val="-3"/>
        </w:rPr>
        <w:t xml:space="preserve"> </w:t>
      </w:r>
      <w:r w:rsidRPr="009A0DA6">
        <w:rPr>
          <w:rFonts w:ascii="Cambria" w:eastAsia="Calibri" w:hAnsi="Cambria" w:cs="Calibri"/>
          <w:spacing w:val="-1"/>
        </w:rPr>
        <w:t>p</w:t>
      </w:r>
      <w:r w:rsidRPr="009A0DA6">
        <w:rPr>
          <w:rFonts w:ascii="Cambria" w:eastAsia="Calibri" w:hAnsi="Cambria" w:cs="Calibri"/>
        </w:rPr>
        <w:t>re</w:t>
      </w:r>
      <w:r w:rsidRPr="009A0DA6">
        <w:rPr>
          <w:rFonts w:ascii="Cambria" w:eastAsia="Calibri" w:hAnsi="Cambria" w:cs="Calibri"/>
          <w:spacing w:val="-2"/>
        </w:rPr>
        <w:t>c</w:t>
      </w:r>
      <w:r w:rsidRPr="009A0DA6">
        <w:rPr>
          <w:rFonts w:ascii="Cambria" w:eastAsia="Calibri" w:hAnsi="Cambria" w:cs="Calibri"/>
        </w:rPr>
        <w:t>edent</w:t>
      </w:r>
      <w:r w:rsidRPr="009A0DA6">
        <w:rPr>
          <w:rFonts w:ascii="Cambria" w:eastAsia="Calibri" w:hAnsi="Cambria" w:cs="Calibri"/>
          <w:spacing w:val="-4"/>
        </w:rPr>
        <w:t xml:space="preserve"> </w:t>
      </w:r>
      <w:r w:rsidRPr="009A0DA6">
        <w:rPr>
          <w:rFonts w:ascii="Cambria" w:eastAsia="Calibri" w:hAnsi="Cambria" w:cs="Calibri"/>
          <w:spacing w:val="-2"/>
        </w:rPr>
        <w:t>s</w:t>
      </w:r>
      <w:r w:rsidRPr="009A0DA6">
        <w:rPr>
          <w:rFonts w:ascii="Cambria" w:eastAsia="Calibri" w:hAnsi="Cambria" w:cs="Calibri"/>
        </w:rPr>
        <w:t>t</w:t>
      </w:r>
      <w:r w:rsidRPr="009A0DA6">
        <w:rPr>
          <w:rFonts w:ascii="Cambria" w:eastAsia="Calibri" w:hAnsi="Cambria" w:cs="Calibri"/>
          <w:spacing w:val="-1"/>
        </w:rPr>
        <w:t>o</w:t>
      </w:r>
      <w:r w:rsidRPr="009A0DA6">
        <w:rPr>
          <w:rFonts w:ascii="Cambria" w:eastAsia="Calibri" w:hAnsi="Cambria" w:cs="Calibri"/>
          <w:spacing w:val="1"/>
        </w:rPr>
        <w:t>o</w:t>
      </w:r>
      <w:r w:rsidRPr="009A0DA6">
        <w:rPr>
          <w:rFonts w:ascii="Cambria" w:eastAsia="Calibri" w:hAnsi="Cambria" w:cs="Calibri"/>
        </w:rPr>
        <w:t>d</w:t>
      </w:r>
      <w:r w:rsidRPr="009A0DA6">
        <w:rPr>
          <w:rFonts w:ascii="Cambria" w:eastAsia="Calibri" w:hAnsi="Cambria" w:cs="Calibri"/>
          <w:spacing w:val="-5"/>
        </w:rPr>
        <w:t xml:space="preserve"> </w:t>
      </w:r>
      <w:r w:rsidRPr="009A0DA6">
        <w:rPr>
          <w:rFonts w:ascii="Cambria" w:eastAsia="Calibri" w:hAnsi="Cambria" w:cs="Calibri"/>
        </w:rPr>
        <w:t>all</w:t>
      </w:r>
      <w:r w:rsidRPr="009A0DA6">
        <w:rPr>
          <w:rFonts w:ascii="Cambria" w:eastAsia="Calibri" w:hAnsi="Cambria" w:cs="Calibri"/>
          <w:spacing w:val="-5"/>
        </w:rPr>
        <w:t xml:space="preserve"> </w:t>
      </w:r>
      <w:r w:rsidRPr="009A0DA6">
        <w:rPr>
          <w:rFonts w:ascii="Cambria" w:eastAsia="Calibri" w:hAnsi="Cambria" w:cs="Calibri"/>
          <w:spacing w:val="-1"/>
        </w:rPr>
        <w:t>b</w:t>
      </w:r>
      <w:r w:rsidRPr="009A0DA6">
        <w:rPr>
          <w:rFonts w:ascii="Cambria" w:eastAsia="Calibri" w:hAnsi="Cambria" w:cs="Calibri"/>
        </w:rPr>
        <w:t>y</w:t>
      </w:r>
      <w:r w:rsidRPr="009A0DA6">
        <w:rPr>
          <w:rFonts w:ascii="Cambria" w:eastAsia="Calibri" w:hAnsi="Cambria" w:cs="Calibri"/>
          <w:spacing w:val="-3"/>
        </w:rPr>
        <w:t xml:space="preserve"> </w:t>
      </w:r>
      <w:r w:rsidRPr="009A0DA6">
        <w:rPr>
          <w:rFonts w:ascii="Cambria" w:eastAsia="Calibri" w:hAnsi="Cambria" w:cs="Calibri"/>
        </w:rPr>
        <w:t>i</w:t>
      </w:r>
      <w:r w:rsidRPr="009A0DA6">
        <w:rPr>
          <w:rFonts w:ascii="Cambria" w:eastAsia="Calibri" w:hAnsi="Cambria" w:cs="Calibri"/>
          <w:spacing w:val="-2"/>
        </w:rPr>
        <w:t>t</w:t>
      </w:r>
      <w:r w:rsidRPr="009A0DA6">
        <w:rPr>
          <w:rFonts w:ascii="Cambria" w:eastAsia="Calibri" w:hAnsi="Cambria" w:cs="Calibri"/>
        </w:rPr>
        <w:t>self</w:t>
      </w:r>
      <w:r w:rsidRPr="009A0DA6">
        <w:rPr>
          <w:rFonts w:ascii="Cambria" w:eastAsia="Calibri" w:hAnsi="Cambria" w:cs="Calibri"/>
          <w:spacing w:val="-4"/>
        </w:rPr>
        <w:t xml:space="preserve"> </w:t>
      </w:r>
      <w:r w:rsidRPr="009A0DA6">
        <w:rPr>
          <w:rFonts w:ascii="Cambria" w:eastAsia="Calibri" w:hAnsi="Cambria" w:cs="Calibri"/>
        </w:rPr>
        <w:t>a</w:t>
      </w:r>
      <w:r w:rsidRPr="009A0DA6">
        <w:rPr>
          <w:rFonts w:ascii="Cambria" w:eastAsia="Calibri" w:hAnsi="Cambria" w:cs="Calibri"/>
          <w:spacing w:val="-1"/>
        </w:rPr>
        <w:t>n</w:t>
      </w:r>
      <w:r w:rsidRPr="009A0DA6">
        <w:rPr>
          <w:rFonts w:ascii="Cambria" w:eastAsia="Calibri" w:hAnsi="Cambria" w:cs="Calibri"/>
        </w:rPr>
        <w:t>d</w:t>
      </w:r>
      <w:r w:rsidRPr="009A0DA6">
        <w:rPr>
          <w:rFonts w:ascii="Cambria" w:eastAsia="Calibri" w:hAnsi="Cambria" w:cs="Calibri"/>
          <w:spacing w:val="-5"/>
        </w:rPr>
        <w:t xml:space="preserve"> </w:t>
      </w:r>
      <w:r w:rsidRPr="009A0DA6">
        <w:rPr>
          <w:rFonts w:ascii="Cambria" w:eastAsia="Calibri" w:hAnsi="Cambria" w:cs="Calibri"/>
        </w:rPr>
        <w:t>w</w:t>
      </w:r>
      <w:r w:rsidRPr="009A0DA6">
        <w:rPr>
          <w:rFonts w:ascii="Cambria" w:eastAsia="Calibri" w:hAnsi="Cambria" w:cs="Calibri"/>
          <w:spacing w:val="-2"/>
        </w:rPr>
        <w:t>a</w:t>
      </w:r>
      <w:r w:rsidRPr="009A0DA6">
        <w:rPr>
          <w:rFonts w:ascii="Cambria" w:eastAsia="Calibri" w:hAnsi="Cambria" w:cs="Calibri"/>
        </w:rPr>
        <w:t>s</w:t>
      </w:r>
      <w:r w:rsidRPr="009A0DA6">
        <w:rPr>
          <w:rFonts w:ascii="Cambria" w:eastAsia="Calibri" w:hAnsi="Cambria" w:cs="Calibri"/>
          <w:spacing w:val="-4"/>
        </w:rPr>
        <w:t xml:space="preserve"> </w:t>
      </w:r>
      <w:r w:rsidRPr="009A0DA6">
        <w:rPr>
          <w:rFonts w:ascii="Cambria" w:eastAsia="Calibri" w:hAnsi="Cambria" w:cs="Calibri"/>
          <w:spacing w:val="-1"/>
        </w:rPr>
        <w:t>no</w:t>
      </w:r>
      <w:r w:rsidRPr="009A0DA6">
        <w:rPr>
          <w:rFonts w:ascii="Cambria" w:eastAsia="Calibri" w:hAnsi="Cambria" w:cs="Calibri"/>
        </w:rPr>
        <w:t>t</w:t>
      </w:r>
      <w:r w:rsidRPr="009A0DA6">
        <w:rPr>
          <w:rFonts w:ascii="Cambria" w:eastAsia="Calibri" w:hAnsi="Cambria" w:cs="Calibri"/>
          <w:spacing w:val="-6"/>
        </w:rPr>
        <w:t xml:space="preserve"> </w:t>
      </w:r>
      <w:r w:rsidRPr="009A0DA6">
        <w:rPr>
          <w:rFonts w:ascii="Cambria" w:eastAsia="Calibri" w:hAnsi="Cambria" w:cs="Calibri"/>
        </w:rPr>
        <w:t>su</w:t>
      </w:r>
      <w:r w:rsidRPr="009A0DA6">
        <w:rPr>
          <w:rFonts w:ascii="Cambria" w:eastAsia="Calibri" w:hAnsi="Cambria" w:cs="Calibri"/>
          <w:spacing w:val="-2"/>
        </w:rPr>
        <w:t>p</w:t>
      </w:r>
      <w:r w:rsidRPr="009A0DA6">
        <w:rPr>
          <w:rFonts w:ascii="Cambria" w:eastAsia="Calibri" w:hAnsi="Cambria" w:cs="Calibri"/>
          <w:spacing w:val="-1"/>
        </w:rPr>
        <w:t>p</w:t>
      </w:r>
      <w:r w:rsidRPr="009A0DA6">
        <w:rPr>
          <w:rFonts w:ascii="Cambria" w:eastAsia="Calibri" w:hAnsi="Cambria" w:cs="Calibri"/>
          <w:spacing w:val="1"/>
        </w:rPr>
        <w:t>o</w:t>
      </w:r>
      <w:r w:rsidRPr="009A0DA6">
        <w:rPr>
          <w:rFonts w:ascii="Cambria" w:eastAsia="Calibri" w:hAnsi="Cambria" w:cs="Calibri"/>
        </w:rPr>
        <w:t>rted</w:t>
      </w:r>
      <w:r w:rsidRPr="009A0DA6">
        <w:rPr>
          <w:rFonts w:ascii="Cambria" w:eastAsia="Calibri" w:hAnsi="Cambria" w:cs="Calibri"/>
          <w:spacing w:val="-4"/>
        </w:rPr>
        <w:t xml:space="preserve"> </w:t>
      </w:r>
      <w:r w:rsidRPr="009A0DA6">
        <w:rPr>
          <w:rFonts w:ascii="Cambria" w:eastAsia="Calibri" w:hAnsi="Cambria" w:cs="Calibri"/>
          <w:spacing w:val="-1"/>
        </w:rPr>
        <w:t>b</w:t>
      </w:r>
      <w:r w:rsidRPr="009A0DA6">
        <w:rPr>
          <w:rFonts w:ascii="Cambria" w:eastAsia="Calibri" w:hAnsi="Cambria" w:cs="Calibri"/>
        </w:rPr>
        <w:t>y</w:t>
      </w:r>
      <w:r w:rsidRPr="009A0DA6">
        <w:rPr>
          <w:rFonts w:ascii="Cambria" w:eastAsia="Calibri" w:hAnsi="Cambria" w:cs="Calibri"/>
          <w:spacing w:val="-6"/>
        </w:rPr>
        <w:t xml:space="preserve"> </w:t>
      </w:r>
      <w:r w:rsidRPr="009A0DA6">
        <w:rPr>
          <w:rFonts w:ascii="Cambria" w:eastAsia="Calibri" w:hAnsi="Cambria" w:cs="Calibri"/>
        </w:rPr>
        <w:t>wider</w:t>
      </w:r>
      <w:r w:rsidRPr="009A0DA6">
        <w:rPr>
          <w:rFonts w:ascii="Cambria" w:eastAsia="Calibri" w:hAnsi="Cambria" w:cs="Calibri"/>
          <w:spacing w:val="-4"/>
        </w:rPr>
        <w:t xml:space="preserve"> </w:t>
      </w:r>
      <w:r w:rsidRPr="009A0DA6">
        <w:rPr>
          <w:rFonts w:ascii="Cambria" w:eastAsia="Calibri" w:hAnsi="Cambria" w:cs="Calibri"/>
          <w:spacing w:val="-1"/>
        </w:rPr>
        <w:t>b</w:t>
      </w:r>
      <w:r w:rsidRPr="009A0DA6">
        <w:rPr>
          <w:rFonts w:ascii="Cambria" w:eastAsia="Calibri" w:hAnsi="Cambria" w:cs="Calibri"/>
        </w:rPr>
        <w:t>i</w:t>
      </w:r>
      <w:r w:rsidRPr="009A0DA6">
        <w:rPr>
          <w:rFonts w:ascii="Cambria" w:eastAsia="Calibri" w:hAnsi="Cambria" w:cs="Calibri"/>
          <w:spacing w:val="-1"/>
        </w:rPr>
        <w:t>b</w:t>
      </w:r>
      <w:r w:rsidRPr="009A0DA6">
        <w:rPr>
          <w:rFonts w:ascii="Cambria" w:eastAsia="Calibri" w:hAnsi="Cambria" w:cs="Calibri"/>
        </w:rPr>
        <w:t>lical</w:t>
      </w:r>
      <w:r w:rsidRPr="009A0DA6">
        <w:rPr>
          <w:rFonts w:ascii="Cambria" w:eastAsia="Calibri" w:hAnsi="Cambria" w:cs="Calibri"/>
          <w:spacing w:val="-7"/>
        </w:rPr>
        <w:t xml:space="preserve"> </w:t>
      </w:r>
      <w:r w:rsidRPr="009A0DA6">
        <w:rPr>
          <w:rFonts w:ascii="Cambria" w:eastAsia="Calibri" w:hAnsi="Cambria" w:cs="Calibri"/>
        </w:rPr>
        <w:t>t</w:t>
      </w:r>
      <w:r w:rsidRPr="009A0DA6">
        <w:rPr>
          <w:rFonts w:ascii="Cambria" w:eastAsia="Calibri" w:hAnsi="Cambria" w:cs="Calibri"/>
          <w:spacing w:val="1"/>
        </w:rPr>
        <w:t>e</w:t>
      </w:r>
      <w:r w:rsidRPr="009A0DA6">
        <w:rPr>
          <w:rFonts w:ascii="Cambria" w:eastAsia="Calibri" w:hAnsi="Cambria" w:cs="Calibri"/>
        </w:rPr>
        <w:t>ac</w:t>
      </w:r>
      <w:r w:rsidRPr="009A0DA6">
        <w:rPr>
          <w:rFonts w:ascii="Cambria" w:eastAsia="Calibri" w:hAnsi="Cambria" w:cs="Calibri"/>
          <w:spacing w:val="-1"/>
        </w:rPr>
        <w:t>h</w:t>
      </w:r>
      <w:r w:rsidRPr="009A0DA6">
        <w:rPr>
          <w:rFonts w:ascii="Cambria" w:eastAsia="Calibri" w:hAnsi="Cambria" w:cs="Calibri"/>
        </w:rPr>
        <w:t>i</w:t>
      </w:r>
      <w:r w:rsidRPr="009A0DA6">
        <w:rPr>
          <w:rFonts w:ascii="Cambria" w:eastAsia="Calibri" w:hAnsi="Cambria" w:cs="Calibri"/>
          <w:spacing w:val="-1"/>
        </w:rPr>
        <w:t>ng</w:t>
      </w:r>
      <w:r w:rsidRPr="009A0DA6">
        <w:rPr>
          <w:rFonts w:ascii="Cambria" w:eastAsia="Calibri" w:hAnsi="Cambria" w:cs="Calibri"/>
        </w:rPr>
        <w:t>.</w:t>
      </w:r>
      <w:r w:rsidRPr="009A0DA6">
        <w:rPr>
          <w:rFonts w:ascii="Cambria" w:eastAsia="Calibri" w:hAnsi="Cambria" w:cs="Calibri"/>
          <w:spacing w:val="-5"/>
        </w:rPr>
        <w:t xml:space="preserve"> </w:t>
      </w:r>
      <w:r w:rsidRPr="009A0DA6">
        <w:rPr>
          <w:rFonts w:ascii="Cambria" w:eastAsia="Calibri" w:hAnsi="Cambria" w:cs="Calibri"/>
        </w:rPr>
        <w:t>Y</w:t>
      </w:r>
      <w:r w:rsidRPr="009A0DA6">
        <w:rPr>
          <w:rFonts w:ascii="Cambria" w:eastAsia="Calibri" w:hAnsi="Cambria" w:cs="Calibri"/>
          <w:spacing w:val="-2"/>
        </w:rPr>
        <w:t>e</w:t>
      </w:r>
      <w:r w:rsidRPr="009A0DA6">
        <w:rPr>
          <w:rFonts w:ascii="Cambria" w:eastAsia="Calibri" w:hAnsi="Cambria" w:cs="Calibri"/>
        </w:rPr>
        <w:t>t</w:t>
      </w:r>
      <w:r w:rsidRPr="009A0DA6">
        <w:rPr>
          <w:rFonts w:ascii="Cambria" w:eastAsia="Calibri" w:hAnsi="Cambria" w:cs="Calibri"/>
          <w:spacing w:val="-4"/>
        </w:rPr>
        <w:t xml:space="preserve"> </w:t>
      </w:r>
      <w:r w:rsidRPr="009A0DA6">
        <w:rPr>
          <w:rFonts w:ascii="Cambria" w:eastAsia="Calibri" w:hAnsi="Cambria" w:cs="Calibri"/>
        </w:rPr>
        <w:t>that</w:t>
      </w:r>
      <w:r w:rsidRPr="009A0DA6">
        <w:rPr>
          <w:rFonts w:ascii="Cambria" w:eastAsia="Calibri" w:hAnsi="Cambria" w:cs="Calibri"/>
          <w:spacing w:val="-4"/>
        </w:rPr>
        <w:t xml:space="preserve"> </w:t>
      </w:r>
      <w:r w:rsidRPr="009A0DA6">
        <w:rPr>
          <w:rFonts w:ascii="Cambria" w:eastAsia="Calibri" w:hAnsi="Cambria" w:cs="Calibri"/>
        </w:rPr>
        <w:t>is</w:t>
      </w:r>
      <w:r w:rsidRPr="009A0DA6">
        <w:rPr>
          <w:rFonts w:ascii="Cambria" w:eastAsia="Calibri" w:hAnsi="Cambria" w:cs="Calibri"/>
          <w:spacing w:val="-7"/>
        </w:rPr>
        <w:t xml:space="preserve"> </w:t>
      </w:r>
      <w:r w:rsidRPr="009A0DA6">
        <w:rPr>
          <w:rFonts w:ascii="Cambria" w:eastAsia="Calibri" w:hAnsi="Cambria" w:cs="Calibri"/>
          <w:spacing w:val="-1"/>
        </w:rPr>
        <w:t>n</w:t>
      </w:r>
      <w:r w:rsidRPr="009A0DA6">
        <w:rPr>
          <w:rFonts w:ascii="Cambria" w:eastAsia="Calibri" w:hAnsi="Cambria" w:cs="Calibri"/>
          <w:spacing w:val="1"/>
        </w:rPr>
        <w:t>o</w:t>
      </w:r>
      <w:r w:rsidRPr="009A0DA6">
        <w:rPr>
          <w:rFonts w:ascii="Cambria" w:eastAsia="Calibri" w:hAnsi="Cambria" w:cs="Calibri"/>
        </w:rPr>
        <w:t>t</w:t>
      </w:r>
      <w:r w:rsidRPr="009A0DA6">
        <w:rPr>
          <w:rFonts w:ascii="Cambria" w:eastAsia="Calibri" w:hAnsi="Cambria" w:cs="Calibri"/>
          <w:spacing w:val="-6"/>
        </w:rPr>
        <w:t xml:space="preserve"> </w:t>
      </w:r>
      <w:r w:rsidRPr="009A0DA6">
        <w:rPr>
          <w:rFonts w:ascii="Cambria" w:eastAsia="Calibri" w:hAnsi="Cambria" w:cs="Calibri"/>
        </w:rPr>
        <w:t>t</w:t>
      </w:r>
      <w:r w:rsidRPr="009A0DA6">
        <w:rPr>
          <w:rFonts w:ascii="Cambria" w:eastAsia="Calibri" w:hAnsi="Cambria" w:cs="Calibri"/>
          <w:spacing w:val="-3"/>
        </w:rPr>
        <w:t>h</w:t>
      </w:r>
      <w:r w:rsidRPr="009A0DA6">
        <w:rPr>
          <w:rFonts w:ascii="Cambria" w:eastAsia="Calibri" w:hAnsi="Cambria" w:cs="Calibri"/>
        </w:rPr>
        <w:t xml:space="preserve">e case. </w:t>
      </w:r>
      <w:r w:rsidRPr="009A0DA6">
        <w:rPr>
          <w:rFonts w:ascii="Cambria" w:eastAsia="Calibri" w:hAnsi="Cambria" w:cs="Calibri"/>
        </w:rPr>
        <w:br/>
      </w:r>
    </w:p>
    <w:p w14:paraId="14F4CB3F" w14:textId="3CA63B98" w:rsidR="0042579D" w:rsidRPr="00507840" w:rsidRDefault="0042579D" w:rsidP="00F55252">
      <w:pPr>
        <w:pStyle w:val="ListParagraph"/>
        <w:numPr>
          <w:ilvl w:val="0"/>
          <w:numId w:val="125"/>
        </w:numPr>
        <w:tabs>
          <w:tab w:val="clear" w:pos="643"/>
          <w:tab w:val="left" w:pos="1134"/>
        </w:tabs>
        <w:spacing w:before="58" w:after="0" w:line="254" w:lineRule="auto"/>
        <w:ind w:left="1134" w:right="58" w:hanging="567"/>
        <w:rPr>
          <w:rFonts w:ascii="Cambria" w:eastAsia="Calibri" w:hAnsi="Cambria" w:cs="Calibri"/>
          <w:sz w:val="20"/>
          <w:szCs w:val="20"/>
        </w:rPr>
      </w:pPr>
      <w:r w:rsidRPr="009A0DA6">
        <w:rPr>
          <w:rFonts w:ascii="Cambria" w:eastAsia="Calibri" w:hAnsi="Cambria" w:cs="Calibri"/>
        </w:rPr>
        <w:t>The</w:t>
      </w:r>
      <w:r w:rsidRPr="009A0DA6">
        <w:rPr>
          <w:rFonts w:ascii="Cambria" w:eastAsia="Calibri" w:hAnsi="Cambria" w:cs="Calibri"/>
          <w:spacing w:val="22"/>
        </w:rPr>
        <w:t xml:space="preserve"> </w:t>
      </w:r>
      <w:r w:rsidRPr="009A0DA6">
        <w:rPr>
          <w:rFonts w:ascii="Cambria" w:eastAsia="Calibri" w:hAnsi="Cambria" w:cs="Calibri"/>
          <w:spacing w:val="1"/>
        </w:rPr>
        <w:t>DD</w:t>
      </w:r>
      <w:r w:rsidRPr="009A0DA6">
        <w:rPr>
          <w:rFonts w:ascii="Cambria" w:eastAsia="Calibri" w:hAnsi="Cambria" w:cs="Calibri"/>
        </w:rPr>
        <w:t>S</w:t>
      </w:r>
      <w:r w:rsidRPr="009A0DA6">
        <w:rPr>
          <w:rFonts w:ascii="Cambria" w:eastAsia="Calibri" w:hAnsi="Cambria" w:cs="Calibri"/>
          <w:spacing w:val="22"/>
        </w:rPr>
        <w:t xml:space="preserve"> </w:t>
      </w:r>
      <w:r w:rsidRPr="009A0DA6">
        <w:rPr>
          <w:rFonts w:ascii="Cambria" w:eastAsia="Calibri" w:hAnsi="Cambria" w:cs="Calibri"/>
        </w:rPr>
        <w:t>r</w:t>
      </w:r>
      <w:r w:rsidRPr="009A0DA6">
        <w:rPr>
          <w:rFonts w:ascii="Cambria" w:eastAsia="Calibri" w:hAnsi="Cambria" w:cs="Calibri"/>
          <w:spacing w:val="-2"/>
        </w:rPr>
        <w:t>e</w:t>
      </w:r>
      <w:r w:rsidRPr="009A0DA6">
        <w:rPr>
          <w:rFonts w:ascii="Cambria" w:eastAsia="Calibri" w:hAnsi="Cambria" w:cs="Calibri"/>
          <w:spacing w:val="1"/>
        </w:rPr>
        <w:t>m</w:t>
      </w:r>
      <w:r w:rsidRPr="009A0DA6">
        <w:rPr>
          <w:rFonts w:ascii="Cambria" w:eastAsia="Calibri" w:hAnsi="Cambria" w:cs="Calibri"/>
        </w:rPr>
        <w:t>i</w:t>
      </w:r>
      <w:r w:rsidRPr="009A0DA6">
        <w:rPr>
          <w:rFonts w:ascii="Cambria" w:eastAsia="Calibri" w:hAnsi="Cambria" w:cs="Calibri"/>
          <w:spacing w:val="-1"/>
        </w:rPr>
        <w:t>nd</w:t>
      </w:r>
      <w:r w:rsidRPr="009A0DA6">
        <w:rPr>
          <w:rFonts w:ascii="Cambria" w:eastAsia="Calibri" w:hAnsi="Cambria" w:cs="Calibri"/>
        </w:rPr>
        <w:t>s</w:t>
      </w:r>
      <w:r w:rsidRPr="009A0DA6">
        <w:rPr>
          <w:rFonts w:ascii="Cambria" w:eastAsia="Calibri" w:hAnsi="Cambria" w:cs="Calibri"/>
          <w:spacing w:val="22"/>
        </w:rPr>
        <w:t xml:space="preserve"> </w:t>
      </w:r>
      <w:r w:rsidRPr="009A0DA6">
        <w:rPr>
          <w:rFonts w:ascii="Cambria" w:eastAsia="Calibri" w:hAnsi="Cambria" w:cs="Calibri"/>
          <w:spacing w:val="-1"/>
        </w:rPr>
        <w:t>u</w:t>
      </w:r>
      <w:r w:rsidRPr="009A0DA6">
        <w:rPr>
          <w:rFonts w:ascii="Cambria" w:eastAsia="Calibri" w:hAnsi="Cambria" w:cs="Calibri"/>
        </w:rPr>
        <w:t>s</w:t>
      </w:r>
      <w:r w:rsidRPr="009A0DA6">
        <w:rPr>
          <w:rFonts w:ascii="Cambria" w:eastAsia="Calibri" w:hAnsi="Cambria" w:cs="Calibri"/>
          <w:spacing w:val="22"/>
        </w:rPr>
        <w:t xml:space="preserve"> </w:t>
      </w:r>
      <w:r w:rsidRPr="009A0DA6">
        <w:rPr>
          <w:rFonts w:ascii="Cambria" w:eastAsia="Calibri" w:hAnsi="Cambria" w:cs="Calibri"/>
        </w:rPr>
        <w:t>that</w:t>
      </w:r>
      <w:r w:rsidRPr="009A0DA6">
        <w:rPr>
          <w:rFonts w:ascii="Cambria" w:eastAsia="Calibri" w:hAnsi="Cambria" w:cs="Calibri"/>
          <w:spacing w:val="24"/>
        </w:rPr>
        <w:t xml:space="preserve"> </w:t>
      </w:r>
      <w:r w:rsidRPr="009A0DA6">
        <w:rPr>
          <w:rFonts w:ascii="Cambria" w:eastAsia="Calibri" w:hAnsi="Cambria" w:cs="Calibri"/>
          <w:spacing w:val="-3"/>
        </w:rPr>
        <w:t>J</w:t>
      </w:r>
      <w:r w:rsidRPr="009A0DA6">
        <w:rPr>
          <w:rFonts w:ascii="Cambria" w:eastAsia="Calibri" w:hAnsi="Cambria" w:cs="Calibri"/>
        </w:rPr>
        <w:t>esus</w:t>
      </w:r>
      <w:r w:rsidRPr="009A0DA6">
        <w:rPr>
          <w:rFonts w:ascii="Cambria" w:eastAsia="Calibri" w:hAnsi="Cambria" w:cs="Calibri"/>
          <w:spacing w:val="24"/>
        </w:rPr>
        <w:t xml:space="preserve"> </w:t>
      </w:r>
      <w:r w:rsidRPr="009A0DA6">
        <w:rPr>
          <w:rFonts w:ascii="Cambria" w:eastAsia="Calibri" w:hAnsi="Cambria" w:cs="Calibri"/>
        </w:rPr>
        <w:t>i</w:t>
      </w:r>
      <w:r w:rsidRPr="009A0DA6">
        <w:rPr>
          <w:rFonts w:ascii="Cambria" w:eastAsia="Calibri" w:hAnsi="Cambria" w:cs="Calibri"/>
          <w:spacing w:val="-1"/>
        </w:rPr>
        <w:t>n</w:t>
      </w:r>
      <w:r w:rsidRPr="009A0DA6">
        <w:rPr>
          <w:rFonts w:ascii="Cambria" w:eastAsia="Calibri" w:hAnsi="Cambria" w:cs="Calibri"/>
        </w:rPr>
        <w:t>cl</w:t>
      </w:r>
      <w:r w:rsidRPr="009A0DA6">
        <w:rPr>
          <w:rFonts w:ascii="Cambria" w:eastAsia="Calibri" w:hAnsi="Cambria" w:cs="Calibri"/>
          <w:spacing w:val="-1"/>
        </w:rPr>
        <w:t>ud</w:t>
      </w:r>
      <w:r w:rsidRPr="009A0DA6">
        <w:rPr>
          <w:rFonts w:ascii="Cambria" w:eastAsia="Calibri" w:hAnsi="Cambria" w:cs="Calibri"/>
        </w:rPr>
        <w:t>ed</w:t>
      </w:r>
      <w:r w:rsidRPr="009A0DA6">
        <w:rPr>
          <w:rFonts w:ascii="Cambria" w:eastAsia="Calibri" w:hAnsi="Cambria" w:cs="Calibri"/>
          <w:spacing w:val="22"/>
        </w:rPr>
        <w:t xml:space="preserve"> </w:t>
      </w:r>
      <w:r w:rsidRPr="009A0DA6">
        <w:rPr>
          <w:rFonts w:ascii="Cambria" w:eastAsia="Calibri" w:hAnsi="Cambria" w:cs="Calibri"/>
          <w:spacing w:val="-2"/>
        </w:rPr>
        <w:t>w</w:t>
      </w:r>
      <w:r w:rsidRPr="009A0DA6">
        <w:rPr>
          <w:rFonts w:ascii="Cambria" w:eastAsia="Calibri" w:hAnsi="Cambria" w:cs="Calibri"/>
          <w:spacing w:val="-1"/>
        </w:rPr>
        <w:t>o</w:t>
      </w:r>
      <w:r w:rsidRPr="009A0DA6">
        <w:rPr>
          <w:rFonts w:ascii="Cambria" w:eastAsia="Calibri" w:hAnsi="Cambria" w:cs="Calibri"/>
          <w:spacing w:val="1"/>
        </w:rPr>
        <w:t>m</w:t>
      </w:r>
      <w:r w:rsidRPr="009A0DA6">
        <w:rPr>
          <w:rFonts w:ascii="Cambria" w:eastAsia="Calibri" w:hAnsi="Cambria" w:cs="Calibri"/>
        </w:rPr>
        <w:t>en</w:t>
      </w:r>
      <w:r w:rsidRPr="009A0DA6">
        <w:rPr>
          <w:rFonts w:ascii="Cambria" w:eastAsia="Calibri" w:hAnsi="Cambria" w:cs="Calibri"/>
          <w:spacing w:val="22"/>
        </w:rPr>
        <w:t xml:space="preserve"> </w:t>
      </w:r>
      <w:r w:rsidRPr="009A0DA6">
        <w:rPr>
          <w:rFonts w:ascii="Cambria" w:eastAsia="Calibri" w:hAnsi="Cambria" w:cs="Calibri"/>
        </w:rPr>
        <w:t>in</w:t>
      </w:r>
      <w:r w:rsidRPr="009A0DA6">
        <w:rPr>
          <w:rFonts w:ascii="Cambria" w:eastAsia="Calibri" w:hAnsi="Cambria" w:cs="Calibri"/>
          <w:spacing w:val="23"/>
        </w:rPr>
        <w:t xml:space="preserve"> </w:t>
      </w:r>
      <w:r w:rsidRPr="009A0DA6">
        <w:rPr>
          <w:rFonts w:ascii="Cambria" w:eastAsia="Calibri" w:hAnsi="Cambria" w:cs="Calibri"/>
          <w:spacing w:val="-3"/>
        </w:rPr>
        <w:t>h</w:t>
      </w:r>
      <w:r w:rsidRPr="009A0DA6">
        <w:rPr>
          <w:rFonts w:ascii="Cambria" w:eastAsia="Calibri" w:hAnsi="Cambria" w:cs="Calibri"/>
        </w:rPr>
        <w:t>is</w:t>
      </w:r>
      <w:r w:rsidRPr="009A0DA6">
        <w:rPr>
          <w:rFonts w:ascii="Cambria" w:eastAsia="Calibri" w:hAnsi="Cambria" w:cs="Calibri"/>
          <w:spacing w:val="24"/>
        </w:rPr>
        <w:t xml:space="preserve"> </w:t>
      </w:r>
      <w:r w:rsidRPr="009A0DA6">
        <w:rPr>
          <w:rFonts w:ascii="Cambria" w:eastAsia="Calibri" w:hAnsi="Cambria" w:cs="Calibri"/>
        </w:rPr>
        <w:t>wider</w:t>
      </w:r>
      <w:r w:rsidRPr="009A0DA6">
        <w:rPr>
          <w:rFonts w:ascii="Cambria" w:eastAsia="Calibri" w:hAnsi="Cambria" w:cs="Calibri"/>
          <w:spacing w:val="22"/>
        </w:rPr>
        <w:t xml:space="preserve"> </w:t>
      </w:r>
      <w:r w:rsidRPr="009A0DA6">
        <w:rPr>
          <w:rFonts w:ascii="Cambria" w:eastAsia="Calibri" w:hAnsi="Cambria" w:cs="Calibri"/>
        </w:rPr>
        <w:t>ci</w:t>
      </w:r>
      <w:r w:rsidRPr="009A0DA6">
        <w:rPr>
          <w:rFonts w:ascii="Cambria" w:eastAsia="Calibri" w:hAnsi="Cambria" w:cs="Calibri"/>
          <w:spacing w:val="-3"/>
        </w:rPr>
        <w:t>r</w:t>
      </w:r>
      <w:r w:rsidRPr="009A0DA6">
        <w:rPr>
          <w:rFonts w:ascii="Cambria" w:eastAsia="Calibri" w:hAnsi="Cambria" w:cs="Calibri"/>
        </w:rPr>
        <w:t>cle</w:t>
      </w:r>
      <w:r w:rsidRPr="009A0DA6">
        <w:rPr>
          <w:rFonts w:ascii="Cambria" w:eastAsia="Calibri" w:hAnsi="Cambria" w:cs="Calibri"/>
          <w:spacing w:val="22"/>
        </w:rPr>
        <w:t xml:space="preserve"> </w:t>
      </w:r>
      <w:r w:rsidRPr="009A0DA6">
        <w:rPr>
          <w:rFonts w:ascii="Cambria" w:eastAsia="Calibri" w:hAnsi="Cambria" w:cs="Calibri"/>
          <w:spacing w:val="1"/>
        </w:rPr>
        <w:t>o</w:t>
      </w:r>
      <w:r w:rsidRPr="009A0DA6">
        <w:rPr>
          <w:rFonts w:ascii="Cambria" w:eastAsia="Calibri" w:hAnsi="Cambria" w:cs="Calibri"/>
        </w:rPr>
        <w:t>f</w:t>
      </w:r>
      <w:r w:rsidRPr="009A0DA6">
        <w:rPr>
          <w:rFonts w:ascii="Cambria" w:eastAsia="Calibri" w:hAnsi="Cambria" w:cs="Calibri"/>
          <w:spacing w:val="22"/>
        </w:rPr>
        <w:t xml:space="preserve"> </w:t>
      </w:r>
      <w:r w:rsidRPr="009A0DA6">
        <w:rPr>
          <w:rFonts w:ascii="Cambria" w:eastAsia="Calibri" w:hAnsi="Cambria" w:cs="Calibri"/>
          <w:spacing w:val="-1"/>
        </w:rPr>
        <w:t>d</w:t>
      </w:r>
      <w:r w:rsidRPr="009A0DA6">
        <w:rPr>
          <w:rFonts w:ascii="Cambria" w:eastAsia="Calibri" w:hAnsi="Cambria" w:cs="Calibri"/>
        </w:rPr>
        <w:t>isci</w:t>
      </w:r>
      <w:r w:rsidRPr="009A0DA6">
        <w:rPr>
          <w:rFonts w:ascii="Cambria" w:eastAsia="Calibri" w:hAnsi="Cambria" w:cs="Calibri"/>
          <w:spacing w:val="-1"/>
        </w:rPr>
        <w:t>p</w:t>
      </w:r>
      <w:r w:rsidRPr="009A0DA6">
        <w:rPr>
          <w:rFonts w:ascii="Cambria" w:eastAsia="Calibri" w:hAnsi="Cambria" w:cs="Calibri"/>
        </w:rPr>
        <w:t>les.</w:t>
      </w:r>
      <w:r w:rsidRPr="009A0DA6">
        <w:rPr>
          <w:rFonts w:ascii="Cambria" w:eastAsia="Calibri" w:hAnsi="Cambria" w:cs="Calibri"/>
          <w:spacing w:val="22"/>
        </w:rPr>
        <w:t xml:space="preserve"> </w:t>
      </w:r>
      <w:r w:rsidRPr="009A0DA6">
        <w:rPr>
          <w:rFonts w:ascii="Cambria" w:eastAsia="Calibri" w:hAnsi="Cambria" w:cs="Calibri"/>
        </w:rPr>
        <w:t>This</w:t>
      </w:r>
      <w:r w:rsidRPr="009A0DA6">
        <w:rPr>
          <w:rFonts w:ascii="Cambria" w:eastAsia="Calibri" w:hAnsi="Cambria" w:cs="Calibri"/>
          <w:spacing w:val="22"/>
        </w:rPr>
        <w:t xml:space="preserve"> </w:t>
      </w:r>
      <w:r w:rsidRPr="009A0DA6">
        <w:rPr>
          <w:rFonts w:ascii="Cambria" w:eastAsia="Calibri" w:hAnsi="Cambria" w:cs="Calibri"/>
        </w:rPr>
        <w:t>is</w:t>
      </w:r>
      <w:r w:rsidRPr="009A0DA6">
        <w:rPr>
          <w:rFonts w:ascii="Cambria" w:eastAsia="Calibri" w:hAnsi="Cambria" w:cs="Calibri"/>
          <w:spacing w:val="22"/>
        </w:rPr>
        <w:t xml:space="preserve"> </w:t>
      </w:r>
      <w:r w:rsidRPr="009A0DA6">
        <w:rPr>
          <w:rFonts w:ascii="Cambria" w:eastAsia="Calibri" w:hAnsi="Cambria" w:cs="Calibri"/>
        </w:rPr>
        <w:t>true.</w:t>
      </w:r>
      <w:r w:rsidRPr="009A0DA6">
        <w:rPr>
          <w:rFonts w:ascii="Cambria" w:eastAsia="Calibri" w:hAnsi="Cambria" w:cs="Calibri"/>
          <w:spacing w:val="24"/>
        </w:rPr>
        <w:t xml:space="preserve"> </w:t>
      </w:r>
      <w:r w:rsidRPr="009A0DA6">
        <w:rPr>
          <w:rFonts w:ascii="Cambria" w:eastAsia="Calibri" w:hAnsi="Cambria" w:cs="Calibri"/>
          <w:spacing w:val="-3"/>
        </w:rPr>
        <w:t>I</w:t>
      </w:r>
      <w:r w:rsidRPr="009A0DA6">
        <w:rPr>
          <w:rFonts w:ascii="Cambria" w:eastAsia="Calibri" w:hAnsi="Cambria" w:cs="Calibri"/>
        </w:rPr>
        <w:t>t</w:t>
      </w:r>
      <w:r w:rsidRPr="009A0DA6">
        <w:rPr>
          <w:rFonts w:ascii="Cambria" w:eastAsia="Calibri" w:hAnsi="Cambria" w:cs="Calibri"/>
          <w:spacing w:val="25"/>
        </w:rPr>
        <w:t xml:space="preserve"> </w:t>
      </w:r>
      <w:r w:rsidRPr="009A0DA6">
        <w:rPr>
          <w:rFonts w:ascii="Cambria" w:eastAsia="Calibri" w:hAnsi="Cambria" w:cs="Calibri"/>
        </w:rPr>
        <w:t>j</w:t>
      </w:r>
      <w:r w:rsidRPr="009A0DA6">
        <w:rPr>
          <w:rFonts w:ascii="Cambria" w:eastAsia="Calibri" w:hAnsi="Cambria" w:cs="Calibri"/>
          <w:spacing w:val="-1"/>
        </w:rPr>
        <w:t>u</w:t>
      </w:r>
      <w:r w:rsidRPr="009A0DA6">
        <w:rPr>
          <w:rFonts w:ascii="Cambria" w:eastAsia="Calibri" w:hAnsi="Cambria" w:cs="Calibri"/>
          <w:spacing w:val="-2"/>
        </w:rPr>
        <w:t>s</w:t>
      </w:r>
      <w:r w:rsidRPr="009A0DA6">
        <w:rPr>
          <w:rFonts w:ascii="Cambria" w:eastAsia="Calibri" w:hAnsi="Cambria" w:cs="Calibri"/>
        </w:rPr>
        <w:t>t</w:t>
      </w:r>
      <w:r w:rsidRPr="009A0DA6">
        <w:rPr>
          <w:rFonts w:ascii="Cambria" w:eastAsia="Calibri" w:hAnsi="Cambria" w:cs="Calibri"/>
          <w:spacing w:val="25"/>
        </w:rPr>
        <w:t xml:space="preserve"> </w:t>
      </w:r>
      <w:r w:rsidRPr="009A0DA6">
        <w:rPr>
          <w:rFonts w:ascii="Cambria" w:eastAsia="Calibri" w:hAnsi="Cambria" w:cs="Calibri"/>
          <w:spacing w:val="-3"/>
        </w:rPr>
        <w:t>d</w:t>
      </w:r>
      <w:r w:rsidRPr="009A0DA6">
        <w:rPr>
          <w:rFonts w:ascii="Cambria" w:eastAsia="Calibri" w:hAnsi="Cambria" w:cs="Calibri"/>
          <w:spacing w:val="1"/>
        </w:rPr>
        <w:t>o</w:t>
      </w:r>
      <w:r w:rsidRPr="009A0DA6">
        <w:rPr>
          <w:rFonts w:ascii="Cambria" w:eastAsia="Calibri" w:hAnsi="Cambria" w:cs="Calibri"/>
        </w:rPr>
        <w:t>esn</w:t>
      </w:r>
      <w:r w:rsidRPr="009A0DA6">
        <w:rPr>
          <w:rFonts w:ascii="Cambria" w:eastAsia="Calibri" w:hAnsi="Cambria" w:cs="Calibri"/>
          <w:spacing w:val="-3"/>
        </w:rPr>
        <w:t>’</w:t>
      </w:r>
      <w:r w:rsidRPr="009A0DA6">
        <w:rPr>
          <w:rFonts w:ascii="Cambria" w:eastAsia="Calibri" w:hAnsi="Cambria" w:cs="Calibri"/>
        </w:rPr>
        <w:t>t warra</w:t>
      </w:r>
      <w:r w:rsidRPr="009A0DA6">
        <w:rPr>
          <w:rFonts w:ascii="Cambria" w:eastAsia="Calibri" w:hAnsi="Cambria" w:cs="Calibri"/>
          <w:spacing w:val="-1"/>
        </w:rPr>
        <w:t>n</w:t>
      </w:r>
      <w:r w:rsidRPr="009A0DA6">
        <w:rPr>
          <w:rFonts w:ascii="Cambria" w:eastAsia="Calibri" w:hAnsi="Cambria" w:cs="Calibri"/>
        </w:rPr>
        <w:t>t</w:t>
      </w:r>
      <w:r w:rsidRPr="009A0DA6">
        <w:rPr>
          <w:rFonts w:ascii="Cambria" w:eastAsia="Calibri" w:hAnsi="Cambria" w:cs="Calibri"/>
          <w:spacing w:val="2"/>
        </w:rPr>
        <w:t xml:space="preserve"> </w:t>
      </w:r>
      <w:r w:rsidRPr="009A0DA6">
        <w:rPr>
          <w:rFonts w:ascii="Cambria" w:eastAsia="Calibri" w:hAnsi="Cambria" w:cs="Calibri"/>
        </w:rPr>
        <w:t>the</w:t>
      </w:r>
      <w:r w:rsidRPr="009A0DA6">
        <w:rPr>
          <w:rFonts w:ascii="Cambria" w:eastAsia="Calibri" w:hAnsi="Cambria" w:cs="Calibri"/>
          <w:spacing w:val="1"/>
        </w:rPr>
        <w:t xml:space="preserve"> </w:t>
      </w:r>
      <w:r w:rsidRPr="009A0DA6">
        <w:rPr>
          <w:rFonts w:ascii="Cambria" w:eastAsia="Calibri" w:hAnsi="Cambria" w:cs="Calibri"/>
        </w:rPr>
        <w:t>c</w:t>
      </w:r>
      <w:r w:rsidRPr="009A0DA6">
        <w:rPr>
          <w:rFonts w:ascii="Cambria" w:eastAsia="Calibri" w:hAnsi="Cambria" w:cs="Calibri"/>
          <w:spacing w:val="1"/>
        </w:rPr>
        <w:t>o</w:t>
      </w:r>
      <w:r w:rsidRPr="009A0DA6">
        <w:rPr>
          <w:rFonts w:ascii="Cambria" w:eastAsia="Calibri" w:hAnsi="Cambria" w:cs="Calibri"/>
          <w:spacing w:val="-3"/>
        </w:rPr>
        <w:t>n</w:t>
      </w:r>
      <w:r w:rsidRPr="009A0DA6">
        <w:rPr>
          <w:rFonts w:ascii="Cambria" w:eastAsia="Calibri" w:hAnsi="Cambria" w:cs="Calibri"/>
        </w:rPr>
        <w:t>cl</w:t>
      </w:r>
      <w:r w:rsidRPr="009A0DA6">
        <w:rPr>
          <w:rFonts w:ascii="Cambria" w:eastAsia="Calibri" w:hAnsi="Cambria" w:cs="Calibri"/>
          <w:spacing w:val="-1"/>
        </w:rPr>
        <w:t>u</w:t>
      </w:r>
      <w:r w:rsidRPr="009A0DA6">
        <w:rPr>
          <w:rFonts w:ascii="Cambria" w:eastAsia="Calibri" w:hAnsi="Cambria" w:cs="Calibri"/>
        </w:rPr>
        <w:t>si</w:t>
      </w:r>
      <w:r w:rsidRPr="009A0DA6">
        <w:rPr>
          <w:rFonts w:ascii="Cambria" w:eastAsia="Calibri" w:hAnsi="Cambria" w:cs="Calibri"/>
          <w:spacing w:val="1"/>
        </w:rPr>
        <w:t>o</w:t>
      </w:r>
      <w:r w:rsidRPr="009A0DA6">
        <w:rPr>
          <w:rFonts w:ascii="Cambria" w:eastAsia="Calibri" w:hAnsi="Cambria" w:cs="Calibri"/>
        </w:rPr>
        <w:t>n t</w:t>
      </w:r>
      <w:r w:rsidRPr="009A0DA6">
        <w:rPr>
          <w:rFonts w:ascii="Cambria" w:eastAsia="Calibri" w:hAnsi="Cambria" w:cs="Calibri"/>
          <w:spacing w:val="-3"/>
        </w:rPr>
        <w:t>h</w:t>
      </w:r>
      <w:r w:rsidRPr="009A0DA6">
        <w:rPr>
          <w:rFonts w:ascii="Cambria" w:eastAsia="Calibri" w:hAnsi="Cambria" w:cs="Calibri"/>
        </w:rPr>
        <w:t>at</w:t>
      </w:r>
      <w:r w:rsidRPr="009A0DA6">
        <w:rPr>
          <w:rFonts w:ascii="Cambria" w:eastAsia="Calibri" w:hAnsi="Cambria" w:cs="Calibri"/>
          <w:spacing w:val="4"/>
        </w:rPr>
        <w:t xml:space="preserve"> </w:t>
      </w:r>
      <w:r w:rsidRPr="009A0DA6">
        <w:rPr>
          <w:rFonts w:ascii="Cambria" w:eastAsia="Calibri" w:hAnsi="Cambria" w:cs="Calibri"/>
          <w:spacing w:val="-2"/>
        </w:rPr>
        <w:t>w</w:t>
      </w:r>
      <w:r w:rsidRPr="009A0DA6">
        <w:rPr>
          <w:rFonts w:ascii="Cambria" w:eastAsia="Calibri" w:hAnsi="Cambria" w:cs="Calibri"/>
          <w:spacing w:val="-1"/>
        </w:rPr>
        <w:t>o</w:t>
      </w:r>
      <w:r w:rsidRPr="009A0DA6">
        <w:rPr>
          <w:rFonts w:ascii="Cambria" w:eastAsia="Calibri" w:hAnsi="Cambria" w:cs="Calibri"/>
          <w:spacing w:val="1"/>
        </w:rPr>
        <w:t>m</w:t>
      </w:r>
      <w:r w:rsidRPr="009A0DA6">
        <w:rPr>
          <w:rFonts w:ascii="Cambria" w:eastAsia="Calibri" w:hAnsi="Cambria" w:cs="Calibri"/>
        </w:rPr>
        <w:t>en</w:t>
      </w:r>
      <w:r w:rsidRPr="009A0DA6">
        <w:rPr>
          <w:rFonts w:ascii="Cambria" w:eastAsia="Calibri" w:hAnsi="Cambria" w:cs="Calibri"/>
          <w:spacing w:val="1"/>
        </w:rPr>
        <w:t xml:space="preserve"> </w:t>
      </w:r>
      <w:r w:rsidRPr="009A0DA6">
        <w:rPr>
          <w:rFonts w:ascii="Cambria" w:eastAsia="Calibri" w:hAnsi="Cambria" w:cs="Calibri"/>
        </w:rPr>
        <w:t xml:space="preserve">should </w:t>
      </w:r>
      <w:r w:rsidRPr="009A0DA6">
        <w:rPr>
          <w:rFonts w:ascii="Cambria" w:eastAsia="Calibri" w:hAnsi="Cambria" w:cs="Calibri"/>
          <w:spacing w:val="-1"/>
        </w:rPr>
        <w:t>b</w:t>
      </w:r>
      <w:r w:rsidRPr="009A0DA6">
        <w:rPr>
          <w:rFonts w:ascii="Cambria" w:eastAsia="Calibri" w:hAnsi="Cambria" w:cs="Calibri"/>
        </w:rPr>
        <w:t>e</w:t>
      </w:r>
      <w:r w:rsidRPr="009A0DA6">
        <w:rPr>
          <w:rFonts w:ascii="Cambria" w:eastAsia="Calibri" w:hAnsi="Cambria" w:cs="Calibri"/>
          <w:spacing w:val="2"/>
        </w:rPr>
        <w:t xml:space="preserve"> </w:t>
      </w:r>
      <w:r w:rsidRPr="009A0DA6">
        <w:rPr>
          <w:rFonts w:ascii="Cambria" w:eastAsia="Calibri" w:hAnsi="Cambria" w:cs="Calibri"/>
          <w:spacing w:val="1"/>
        </w:rPr>
        <w:t>o</w:t>
      </w:r>
      <w:r w:rsidRPr="009A0DA6">
        <w:rPr>
          <w:rFonts w:ascii="Cambria" w:eastAsia="Calibri" w:hAnsi="Cambria" w:cs="Calibri"/>
        </w:rPr>
        <w:t>r</w:t>
      </w:r>
      <w:r w:rsidRPr="009A0DA6">
        <w:rPr>
          <w:rFonts w:ascii="Cambria" w:eastAsia="Calibri" w:hAnsi="Cambria" w:cs="Calibri"/>
          <w:spacing w:val="-1"/>
        </w:rPr>
        <w:t>d</w:t>
      </w:r>
      <w:r w:rsidRPr="009A0DA6">
        <w:rPr>
          <w:rFonts w:ascii="Cambria" w:eastAsia="Calibri" w:hAnsi="Cambria" w:cs="Calibri"/>
          <w:spacing w:val="-3"/>
        </w:rPr>
        <w:t>a</w:t>
      </w:r>
      <w:r w:rsidRPr="009A0DA6">
        <w:rPr>
          <w:rFonts w:ascii="Cambria" w:eastAsia="Calibri" w:hAnsi="Cambria" w:cs="Calibri"/>
        </w:rPr>
        <w:t>i</w:t>
      </w:r>
      <w:r w:rsidRPr="009A0DA6">
        <w:rPr>
          <w:rFonts w:ascii="Cambria" w:eastAsia="Calibri" w:hAnsi="Cambria" w:cs="Calibri"/>
          <w:spacing w:val="-1"/>
        </w:rPr>
        <w:t>n</w:t>
      </w:r>
      <w:r w:rsidRPr="009A0DA6">
        <w:rPr>
          <w:rFonts w:ascii="Cambria" w:eastAsia="Calibri" w:hAnsi="Cambria" w:cs="Calibri"/>
        </w:rPr>
        <w:t>ed.</w:t>
      </w:r>
      <w:r w:rsidRPr="009A0DA6">
        <w:rPr>
          <w:rFonts w:ascii="Cambria" w:eastAsia="Calibri" w:hAnsi="Cambria" w:cs="Calibri"/>
          <w:spacing w:val="3"/>
        </w:rPr>
        <w:t xml:space="preserve"> </w:t>
      </w:r>
      <w:r w:rsidRPr="009A0DA6">
        <w:rPr>
          <w:rFonts w:ascii="Cambria" w:eastAsia="Calibri" w:hAnsi="Cambria" w:cs="Calibri"/>
        </w:rPr>
        <w:t>Ac</w:t>
      </w:r>
      <w:r w:rsidRPr="009A0DA6">
        <w:rPr>
          <w:rFonts w:ascii="Cambria" w:eastAsia="Calibri" w:hAnsi="Cambria" w:cs="Calibri"/>
          <w:spacing w:val="-2"/>
        </w:rPr>
        <w:t>c</w:t>
      </w:r>
      <w:r w:rsidRPr="009A0DA6">
        <w:rPr>
          <w:rFonts w:ascii="Cambria" w:eastAsia="Calibri" w:hAnsi="Cambria" w:cs="Calibri"/>
          <w:spacing w:val="1"/>
        </w:rPr>
        <w:t>o</w:t>
      </w:r>
      <w:r w:rsidRPr="009A0DA6">
        <w:rPr>
          <w:rFonts w:ascii="Cambria" w:eastAsia="Calibri" w:hAnsi="Cambria" w:cs="Calibri"/>
        </w:rPr>
        <w:t>r</w:t>
      </w:r>
      <w:r w:rsidRPr="009A0DA6">
        <w:rPr>
          <w:rFonts w:ascii="Cambria" w:eastAsia="Calibri" w:hAnsi="Cambria" w:cs="Calibri"/>
          <w:spacing w:val="-1"/>
        </w:rPr>
        <w:t>d</w:t>
      </w:r>
      <w:r w:rsidRPr="009A0DA6">
        <w:rPr>
          <w:rFonts w:ascii="Cambria" w:eastAsia="Calibri" w:hAnsi="Cambria" w:cs="Calibri"/>
        </w:rPr>
        <w:t>i</w:t>
      </w:r>
      <w:r w:rsidRPr="009A0DA6">
        <w:rPr>
          <w:rFonts w:ascii="Cambria" w:eastAsia="Calibri" w:hAnsi="Cambria" w:cs="Calibri"/>
          <w:spacing w:val="-1"/>
        </w:rPr>
        <w:t>n</w:t>
      </w:r>
      <w:r w:rsidRPr="009A0DA6">
        <w:rPr>
          <w:rFonts w:ascii="Cambria" w:eastAsia="Calibri" w:hAnsi="Cambria" w:cs="Calibri"/>
        </w:rPr>
        <w:t>g</w:t>
      </w:r>
      <w:r w:rsidRPr="009A0DA6">
        <w:rPr>
          <w:rFonts w:ascii="Cambria" w:eastAsia="Calibri" w:hAnsi="Cambria" w:cs="Calibri"/>
          <w:spacing w:val="3"/>
        </w:rPr>
        <w:t xml:space="preserve"> </w:t>
      </w:r>
      <w:r w:rsidRPr="009A0DA6">
        <w:rPr>
          <w:rFonts w:ascii="Cambria" w:eastAsia="Calibri" w:hAnsi="Cambria" w:cs="Calibri"/>
          <w:spacing w:val="-2"/>
        </w:rPr>
        <w:t>t</w:t>
      </w:r>
      <w:r w:rsidRPr="009A0DA6">
        <w:rPr>
          <w:rFonts w:ascii="Cambria" w:eastAsia="Calibri" w:hAnsi="Cambria" w:cs="Calibri"/>
        </w:rPr>
        <w:t>o</w:t>
      </w:r>
      <w:r w:rsidRPr="009A0DA6">
        <w:rPr>
          <w:rFonts w:ascii="Cambria" w:eastAsia="Calibri" w:hAnsi="Cambria" w:cs="Calibri"/>
          <w:spacing w:val="5"/>
        </w:rPr>
        <w:t xml:space="preserve"> </w:t>
      </w:r>
      <w:r w:rsidRPr="009A0DA6">
        <w:rPr>
          <w:rFonts w:ascii="Cambria" w:eastAsia="Calibri" w:hAnsi="Cambria" w:cs="Calibri"/>
          <w:spacing w:val="-1"/>
        </w:rPr>
        <w:t>N</w:t>
      </w:r>
      <w:r w:rsidRPr="009A0DA6">
        <w:rPr>
          <w:rFonts w:ascii="Cambria" w:eastAsia="Calibri" w:hAnsi="Cambria" w:cs="Calibri"/>
          <w:spacing w:val="-2"/>
        </w:rPr>
        <w:t>e</w:t>
      </w:r>
      <w:r w:rsidRPr="009A0DA6">
        <w:rPr>
          <w:rFonts w:ascii="Cambria" w:eastAsia="Calibri" w:hAnsi="Cambria" w:cs="Calibri"/>
        </w:rPr>
        <w:t>w</w:t>
      </w:r>
      <w:r w:rsidRPr="009A0DA6">
        <w:rPr>
          <w:rFonts w:ascii="Cambria" w:eastAsia="Calibri" w:hAnsi="Cambria" w:cs="Calibri"/>
          <w:spacing w:val="2"/>
        </w:rPr>
        <w:t xml:space="preserve"> </w:t>
      </w:r>
      <w:r w:rsidRPr="009A0DA6">
        <w:rPr>
          <w:rFonts w:ascii="Cambria" w:eastAsia="Calibri" w:hAnsi="Cambria" w:cs="Calibri"/>
          <w:spacing w:val="-2"/>
        </w:rPr>
        <w:t>T</w:t>
      </w:r>
      <w:r w:rsidRPr="009A0DA6">
        <w:rPr>
          <w:rFonts w:ascii="Cambria" w:eastAsia="Calibri" w:hAnsi="Cambria" w:cs="Calibri"/>
        </w:rPr>
        <w:t>es</w:t>
      </w:r>
      <w:r w:rsidRPr="009A0DA6">
        <w:rPr>
          <w:rFonts w:ascii="Cambria" w:eastAsia="Calibri" w:hAnsi="Cambria" w:cs="Calibri"/>
          <w:spacing w:val="1"/>
        </w:rPr>
        <w:t>t</w:t>
      </w:r>
      <w:r w:rsidRPr="009A0DA6">
        <w:rPr>
          <w:rFonts w:ascii="Cambria" w:eastAsia="Calibri" w:hAnsi="Cambria" w:cs="Calibri"/>
          <w:spacing w:val="-3"/>
        </w:rPr>
        <w:t>a</w:t>
      </w:r>
      <w:r w:rsidRPr="009A0DA6">
        <w:rPr>
          <w:rFonts w:ascii="Cambria" w:eastAsia="Calibri" w:hAnsi="Cambria" w:cs="Calibri"/>
          <w:spacing w:val="1"/>
        </w:rPr>
        <w:t>m</w:t>
      </w:r>
      <w:r w:rsidRPr="009A0DA6">
        <w:rPr>
          <w:rFonts w:ascii="Cambria" w:eastAsia="Calibri" w:hAnsi="Cambria" w:cs="Calibri"/>
        </w:rPr>
        <w:t>ent</w:t>
      </w:r>
      <w:r w:rsidRPr="009A0DA6">
        <w:rPr>
          <w:rFonts w:ascii="Cambria" w:eastAsia="Calibri" w:hAnsi="Cambria" w:cs="Calibri"/>
          <w:spacing w:val="1"/>
        </w:rPr>
        <w:t xml:space="preserve"> </w:t>
      </w:r>
      <w:r w:rsidRPr="009A0DA6">
        <w:rPr>
          <w:rFonts w:ascii="Cambria" w:eastAsia="Calibri" w:hAnsi="Cambria" w:cs="Calibri"/>
        </w:rPr>
        <w:t>t</w:t>
      </w:r>
      <w:r w:rsidRPr="009A0DA6">
        <w:rPr>
          <w:rFonts w:ascii="Cambria" w:eastAsia="Calibri" w:hAnsi="Cambria" w:cs="Calibri"/>
          <w:spacing w:val="-1"/>
        </w:rPr>
        <w:t>e</w:t>
      </w:r>
      <w:r w:rsidRPr="009A0DA6">
        <w:rPr>
          <w:rFonts w:ascii="Cambria" w:eastAsia="Calibri" w:hAnsi="Cambria" w:cs="Calibri"/>
        </w:rPr>
        <w:t>ac</w:t>
      </w:r>
      <w:r w:rsidRPr="009A0DA6">
        <w:rPr>
          <w:rFonts w:ascii="Cambria" w:eastAsia="Calibri" w:hAnsi="Cambria" w:cs="Calibri"/>
          <w:spacing w:val="-1"/>
        </w:rPr>
        <w:t>h</w:t>
      </w:r>
      <w:r w:rsidRPr="009A0DA6">
        <w:rPr>
          <w:rFonts w:ascii="Cambria" w:eastAsia="Calibri" w:hAnsi="Cambria" w:cs="Calibri"/>
        </w:rPr>
        <w:t>i</w:t>
      </w:r>
      <w:r w:rsidRPr="009A0DA6">
        <w:rPr>
          <w:rFonts w:ascii="Cambria" w:eastAsia="Calibri" w:hAnsi="Cambria" w:cs="Calibri"/>
          <w:spacing w:val="-1"/>
        </w:rPr>
        <w:t>ng</w:t>
      </w:r>
      <w:r w:rsidRPr="009A0DA6">
        <w:rPr>
          <w:rFonts w:ascii="Cambria" w:eastAsia="Calibri" w:hAnsi="Cambria" w:cs="Calibri"/>
        </w:rPr>
        <w:t>,</w:t>
      </w:r>
      <w:r w:rsidRPr="009A0DA6">
        <w:rPr>
          <w:rFonts w:ascii="Cambria" w:eastAsia="Calibri" w:hAnsi="Cambria" w:cs="Calibri"/>
          <w:spacing w:val="10"/>
        </w:rPr>
        <w:t xml:space="preserve"> </w:t>
      </w:r>
      <w:r w:rsidRPr="009A0DA6">
        <w:rPr>
          <w:rFonts w:ascii="Cambria" w:eastAsia="Calibri" w:hAnsi="Cambria" w:cs="Calibri"/>
          <w:spacing w:val="-1"/>
        </w:rPr>
        <w:t>b</w:t>
      </w:r>
      <w:r w:rsidRPr="009A0DA6">
        <w:rPr>
          <w:rFonts w:ascii="Cambria" w:eastAsia="Calibri" w:hAnsi="Cambria" w:cs="Calibri"/>
        </w:rPr>
        <w:t>ei</w:t>
      </w:r>
      <w:r w:rsidRPr="009A0DA6">
        <w:rPr>
          <w:rFonts w:ascii="Cambria" w:eastAsia="Calibri" w:hAnsi="Cambria" w:cs="Calibri"/>
          <w:spacing w:val="-1"/>
        </w:rPr>
        <w:t>n</w:t>
      </w:r>
      <w:r w:rsidRPr="009A0DA6">
        <w:rPr>
          <w:rFonts w:ascii="Cambria" w:eastAsia="Calibri" w:hAnsi="Cambria" w:cs="Calibri"/>
        </w:rPr>
        <w:t xml:space="preserve">g a </w:t>
      </w:r>
      <w:r w:rsidRPr="009A0DA6">
        <w:rPr>
          <w:rFonts w:ascii="Cambria" w:eastAsia="Calibri" w:hAnsi="Cambria" w:cs="Calibri"/>
          <w:spacing w:val="-1"/>
        </w:rPr>
        <w:t>d</w:t>
      </w:r>
      <w:r w:rsidRPr="009A0DA6">
        <w:rPr>
          <w:rFonts w:ascii="Cambria" w:eastAsia="Calibri" w:hAnsi="Cambria" w:cs="Calibri"/>
        </w:rPr>
        <w:t>isci</w:t>
      </w:r>
      <w:r w:rsidRPr="009A0DA6">
        <w:rPr>
          <w:rFonts w:ascii="Cambria" w:eastAsia="Calibri" w:hAnsi="Cambria" w:cs="Calibri"/>
          <w:spacing w:val="-1"/>
        </w:rPr>
        <w:t>p</w:t>
      </w:r>
      <w:r w:rsidRPr="009A0DA6">
        <w:rPr>
          <w:rFonts w:ascii="Cambria" w:eastAsia="Calibri" w:hAnsi="Cambria" w:cs="Calibri"/>
        </w:rPr>
        <w:t>le</w:t>
      </w:r>
      <w:r w:rsidRPr="009A0DA6">
        <w:rPr>
          <w:rFonts w:ascii="Cambria" w:eastAsia="Calibri" w:hAnsi="Cambria" w:cs="Calibri"/>
          <w:spacing w:val="3"/>
        </w:rPr>
        <w:t xml:space="preserve"> </w:t>
      </w:r>
      <w:r w:rsidRPr="009A0DA6">
        <w:rPr>
          <w:rFonts w:ascii="Cambria" w:eastAsia="Calibri" w:hAnsi="Cambria" w:cs="Calibri"/>
          <w:spacing w:val="1"/>
        </w:rPr>
        <w:t>o</w:t>
      </w:r>
      <w:r w:rsidRPr="009A0DA6">
        <w:rPr>
          <w:rFonts w:ascii="Cambria" w:eastAsia="Calibri" w:hAnsi="Cambria" w:cs="Calibri"/>
        </w:rPr>
        <w:t>f</w:t>
      </w:r>
      <w:r w:rsidRPr="009A0DA6">
        <w:rPr>
          <w:rFonts w:ascii="Cambria" w:eastAsia="Calibri" w:hAnsi="Cambria" w:cs="Calibri"/>
          <w:spacing w:val="3"/>
        </w:rPr>
        <w:t xml:space="preserve"> </w:t>
      </w:r>
      <w:r w:rsidRPr="009A0DA6">
        <w:rPr>
          <w:rFonts w:ascii="Cambria" w:eastAsia="Calibri" w:hAnsi="Cambria" w:cs="Calibri"/>
          <w:spacing w:val="-1"/>
        </w:rPr>
        <w:t>J</w:t>
      </w:r>
      <w:r w:rsidRPr="009A0DA6">
        <w:rPr>
          <w:rFonts w:ascii="Cambria" w:eastAsia="Calibri" w:hAnsi="Cambria" w:cs="Calibri"/>
          <w:spacing w:val="-2"/>
        </w:rPr>
        <w:t>e</w:t>
      </w:r>
      <w:r w:rsidRPr="009A0DA6">
        <w:rPr>
          <w:rFonts w:ascii="Cambria" w:eastAsia="Calibri" w:hAnsi="Cambria" w:cs="Calibri"/>
        </w:rPr>
        <w:t>sus</w:t>
      </w:r>
      <w:r w:rsidRPr="009A0DA6">
        <w:rPr>
          <w:rFonts w:ascii="Cambria" w:eastAsia="Calibri" w:hAnsi="Cambria" w:cs="Calibri"/>
          <w:spacing w:val="2"/>
        </w:rPr>
        <w:t xml:space="preserve"> </w:t>
      </w:r>
      <w:r w:rsidRPr="009A0DA6">
        <w:rPr>
          <w:rFonts w:ascii="Cambria" w:eastAsia="Calibri" w:hAnsi="Cambria" w:cs="Calibri"/>
        </w:rPr>
        <w:t>C</w:t>
      </w:r>
      <w:r w:rsidRPr="009A0DA6">
        <w:rPr>
          <w:rFonts w:ascii="Cambria" w:eastAsia="Calibri" w:hAnsi="Cambria" w:cs="Calibri"/>
          <w:spacing w:val="-1"/>
        </w:rPr>
        <w:t>h</w:t>
      </w:r>
      <w:r w:rsidRPr="009A0DA6">
        <w:rPr>
          <w:rFonts w:ascii="Cambria" w:eastAsia="Calibri" w:hAnsi="Cambria" w:cs="Calibri"/>
        </w:rPr>
        <w:t>rist</w:t>
      </w:r>
      <w:r w:rsidRPr="009A0DA6">
        <w:rPr>
          <w:rFonts w:ascii="Cambria" w:eastAsia="Calibri" w:hAnsi="Cambria" w:cs="Calibri"/>
          <w:spacing w:val="3"/>
        </w:rPr>
        <w:t xml:space="preserve"> </w:t>
      </w:r>
      <w:r w:rsidRPr="009A0DA6">
        <w:rPr>
          <w:rFonts w:ascii="Cambria" w:eastAsia="Calibri" w:hAnsi="Cambria" w:cs="Calibri"/>
        </w:rPr>
        <w:t xml:space="preserve">is a </w:t>
      </w:r>
      <w:r w:rsidRPr="009A0DA6">
        <w:rPr>
          <w:rFonts w:ascii="Cambria" w:eastAsia="Calibri" w:hAnsi="Cambria" w:cs="Calibri"/>
          <w:spacing w:val="-1"/>
        </w:rPr>
        <w:t>n</w:t>
      </w:r>
      <w:r w:rsidRPr="009A0DA6">
        <w:rPr>
          <w:rFonts w:ascii="Cambria" w:eastAsia="Calibri" w:hAnsi="Cambria" w:cs="Calibri"/>
        </w:rPr>
        <w:t>ec</w:t>
      </w:r>
      <w:r w:rsidRPr="009A0DA6">
        <w:rPr>
          <w:rFonts w:ascii="Cambria" w:eastAsia="Calibri" w:hAnsi="Cambria" w:cs="Calibri"/>
          <w:spacing w:val="1"/>
        </w:rPr>
        <w:t>e</w:t>
      </w:r>
      <w:r w:rsidRPr="009A0DA6">
        <w:rPr>
          <w:rFonts w:ascii="Cambria" w:eastAsia="Calibri" w:hAnsi="Cambria" w:cs="Calibri"/>
        </w:rPr>
        <w:t>ssa</w:t>
      </w:r>
      <w:r w:rsidRPr="009A0DA6">
        <w:rPr>
          <w:rFonts w:ascii="Cambria" w:eastAsia="Calibri" w:hAnsi="Cambria" w:cs="Calibri"/>
          <w:spacing w:val="-3"/>
        </w:rPr>
        <w:t>r</w:t>
      </w:r>
      <w:r w:rsidRPr="009A0DA6">
        <w:rPr>
          <w:rFonts w:ascii="Cambria" w:eastAsia="Calibri" w:hAnsi="Cambria" w:cs="Calibri"/>
        </w:rPr>
        <w:t>y</w:t>
      </w:r>
      <w:r w:rsidRPr="009A0DA6">
        <w:rPr>
          <w:rFonts w:ascii="Cambria" w:eastAsia="Calibri" w:hAnsi="Cambria" w:cs="Calibri"/>
          <w:spacing w:val="3"/>
        </w:rPr>
        <w:t xml:space="preserve"> </w:t>
      </w:r>
      <w:r w:rsidRPr="009A0DA6">
        <w:rPr>
          <w:rFonts w:ascii="Cambria" w:eastAsia="Calibri" w:hAnsi="Cambria" w:cs="Calibri"/>
          <w:spacing w:val="-1"/>
        </w:rPr>
        <w:t>qu</w:t>
      </w:r>
      <w:r w:rsidRPr="009A0DA6">
        <w:rPr>
          <w:rFonts w:ascii="Cambria" w:eastAsia="Calibri" w:hAnsi="Cambria" w:cs="Calibri"/>
        </w:rPr>
        <w:t>al</w:t>
      </w:r>
      <w:r w:rsidRPr="009A0DA6">
        <w:rPr>
          <w:rFonts w:ascii="Cambria" w:eastAsia="Calibri" w:hAnsi="Cambria" w:cs="Calibri"/>
          <w:spacing w:val="-1"/>
        </w:rPr>
        <w:t>i</w:t>
      </w:r>
      <w:r w:rsidRPr="009A0DA6">
        <w:rPr>
          <w:rFonts w:ascii="Cambria" w:eastAsia="Calibri" w:hAnsi="Cambria" w:cs="Calibri"/>
        </w:rPr>
        <w:t>ficat</w:t>
      </w:r>
      <w:r w:rsidRPr="009A0DA6">
        <w:rPr>
          <w:rFonts w:ascii="Cambria" w:eastAsia="Calibri" w:hAnsi="Cambria" w:cs="Calibri"/>
          <w:spacing w:val="-3"/>
        </w:rPr>
        <w:t>i</w:t>
      </w:r>
      <w:r w:rsidRPr="009A0DA6">
        <w:rPr>
          <w:rFonts w:ascii="Cambria" w:eastAsia="Calibri" w:hAnsi="Cambria" w:cs="Calibri"/>
          <w:spacing w:val="1"/>
        </w:rPr>
        <w:t>o</w:t>
      </w:r>
      <w:r w:rsidRPr="009A0DA6">
        <w:rPr>
          <w:rFonts w:ascii="Cambria" w:eastAsia="Calibri" w:hAnsi="Cambria" w:cs="Calibri"/>
        </w:rPr>
        <w:t>n</w:t>
      </w:r>
      <w:r w:rsidRPr="009A0DA6">
        <w:rPr>
          <w:rFonts w:ascii="Cambria" w:eastAsia="Calibri" w:hAnsi="Cambria" w:cs="Calibri"/>
          <w:spacing w:val="2"/>
        </w:rPr>
        <w:t xml:space="preserve"> </w:t>
      </w:r>
      <w:r w:rsidRPr="009A0DA6">
        <w:rPr>
          <w:rFonts w:ascii="Cambria" w:eastAsia="Calibri" w:hAnsi="Cambria" w:cs="Calibri"/>
          <w:spacing w:val="-3"/>
        </w:rPr>
        <w:t>f</w:t>
      </w:r>
      <w:r w:rsidRPr="009A0DA6">
        <w:rPr>
          <w:rFonts w:ascii="Cambria" w:eastAsia="Calibri" w:hAnsi="Cambria" w:cs="Calibri"/>
          <w:spacing w:val="1"/>
        </w:rPr>
        <w:t>o</w:t>
      </w:r>
      <w:r w:rsidRPr="009A0DA6">
        <w:rPr>
          <w:rFonts w:ascii="Cambria" w:eastAsia="Calibri" w:hAnsi="Cambria" w:cs="Calibri"/>
        </w:rPr>
        <w:t xml:space="preserve">r </w:t>
      </w:r>
      <w:r w:rsidRPr="009A0DA6">
        <w:rPr>
          <w:rFonts w:ascii="Cambria" w:eastAsia="Calibri" w:hAnsi="Cambria" w:cs="Calibri"/>
          <w:spacing w:val="-1"/>
        </w:rPr>
        <w:t>b</w:t>
      </w:r>
      <w:r w:rsidRPr="009A0DA6">
        <w:rPr>
          <w:rFonts w:ascii="Cambria" w:eastAsia="Calibri" w:hAnsi="Cambria" w:cs="Calibri"/>
        </w:rPr>
        <w:t>ei</w:t>
      </w:r>
      <w:r w:rsidRPr="009A0DA6">
        <w:rPr>
          <w:rFonts w:ascii="Cambria" w:eastAsia="Calibri" w:hAnsi="Cambria" w:cs="Calibri"/>
          <w:spacing w:val="-1"/>
        </w:rPr>
        <w:t>n</w:t>
      </w:r>
      <w:r w:rsidRPr="009A0DA6">
        <w:rPr>
          <w:rFonts w:ascii="Cambria" w:eastAsia="Calibri" w:hAnsi="Cambria" w:cs="Calibri"/>
        </w:rPr>
        <w:t>g</w:t>
      </w:r>
      <w:r w:rsidRPr="009A0DA6">
        <w:rPr>
          <w:rFonts w:ascii="Cambria" w:eastAsia="Calibri" w:hAnsi="Cambria" w:cs="Calibri"/>
          <w:spacing w:val="2"/>
        </w:rPr>
        <w:t xml:space="preserve"> </w:t>
      </w:r>
      <w:r w:rsidRPr="009A0DA6">
        <w:rPr>
          <w:rFonts w:ascii="Cambria" w:eastAsia="Calibri" w:hAnsi="Cambria" w:cs="Calibri"/>
        </w:rPr>
        <w:t>a</w:t>
      </w:r>
      <w:r w:rsidRPr="009A0DA6">
        <w:rPr>
          <w:rFonts w:ascii="Cambria" w:eastAsia="Calibri" w:hAnsi="Cambria" w:cs="Calibri"/>
          <w:spacing w:val="3"/>
        </w:rPr>
        <w:t xml:space="preserve"> </w:t>
      </w:r>
      <w:r w:rsidRPr="009A0DA6">
        <w:rPr>
          <w:rFonts w:ascii="Cambria" w:eastAsia="Calibri" w:hAnsi="Cambria" w:cs="Calibri"/>
          <w:spacing w:val="-1"/>
        </w:rPr>
        <w:t>p</w:t>
      </w:r>
      <w:r w:rsidRPr="009A0DA6">
        <w:rPr>
          <w:rFonts w:ascii="Cambria" w:eastAsia="Calibri" w:hAnsi="Cambria" w:cs="Calibri"/>
        </w:rPr>
        <w:t>ast</w:t>
      </w:r>
      <w:r w:rsidRPr="009A0DA6">
        <w:rPr>
          <w:rFonts w:ascii="Cambria" w:eastAsia="Calibri" w:hAnsi="Cambria" w:cs="Calibri"/>
          <w:spacing w:val="1"/>
        </w:rPr>
        <w:t>o</w:t>
      </w:r>
      <w:r w:rsidRPr="009A0DA6">
        <w:rPr>
          <w:rFonts w:ascii="Cambria" w:eastAsia="Calibri" w:hAnsi="Cambria" w:cs="Calibri"/>
          <w:spacing w:val="-3"/>
        </w:rPr>
        <w:t>r</w:t>
      </w:r>
      <w:r w:rsidRPr="009A0DA6">
        <w:rPr>
          <w:rFonts w:ascii="Cambria" w:eastAsia="Calibri" w:hAnsi="Cambria" w:cs="Calibri"/>
        </w:rPr>
        <w:t>,</w:t>
      </w:r>
      <w:r w:rsidRPr="009A0DA6">
        <w:rPr>
          <w:rFonts w:ascii="Cambria" w:eastAsia="Calibri" w:hAnsi="Cambria" w:cs="Calibri"/>
          <w:spacing w:val="3"/>
        </w:rPr>
        <w:t xml:space="preserve"> </w:t>
      </w:r>
      <w:r w:rsidRPr="009A0DA6">
        <w:rPr>
          <w:rFonts w:ascii="Cambria" w:eastAsia="Calibri" w:hAnsi="Cambria" w:cs="Calibri"/>
          <w:spacing w:val="-1"/>
        </w:rPr>
        <w:t>bu</w:t>
      </w:r>
      <w:r w:rsidRPr="009A0DA6">
        <w:rPr>
          <w:rFonts w:ascii="Cambria" w:eastAsia="Calibri" w:hAnsi="Cambria" w:cs="Calibri"/>
        </w:rPr>
        <w:t>t</w:t>
      </w:r>
      <w:r w:rsidRPr="009A0DA6">
        <w:rPr>
          <w:rFonts w:ascii="Cambria" w:eastAsia="Calibri" w:hAnsi="Cambria" w:cs="Calibri"/>
          <w:spacing w:val="3"/>
        </w:rPr>
        <w:t xml:space="preserve"> </w:t>
      </w:r>
      <w:r w:rsidRPr="009A0DA6">
        <w:rPr>
          <w:rFonts w:ascii="Cambria" w:eastAsia="Calibri" w:hAnsi="Cambria" w:cs="Calibri"/>
          <w:spacing w:val="-1"/>
        </w:rPr>
        <w:t>no</w:t>
      </w:r>
      <w:r w:rsidRPr="009A0DA6">
        <w:rPr>
          <w:rFonts w:ascii="Cambria" w:eastAsia="Calibri" w:hAnsi="Cambria" w:cs="Calibri"/>
        </w:rPr>
        <w:t>t</w:t>
      </w:r>
      <w:r w:rsidRPr="009A0DA6">
        <w:rPr>
          <w:rFonts w:ascii="Cambria" w:eastAsia="Calibri" w:hAnsi="Cambria" w:cs="Calibri"/>
          <w:spacing w:val="3"/>
        </w:rPr>
        <w:t xml:space="preserve"> </w:t>
      </w:r>
      <w:r w:rsidRPr="009A0DA6">
        <w:rPr>
          <w:rFonts w:ascii="Cambria" w:eastAsia="Calibri" w:hAnsi="Cambria" w:cs="Calibri"/>
        </w:rPr>
        <w:t>a su</w:t>
      </w:r>
      <w:r w:rsidRPr="009A0DA6">
        <w:rPr>
          <w:rFonts w:ascii="Cambria" w:eastAsia="Calibri" w:hAnsi="Cambria" w:cs="Calibri"/>
          <w:spacing w:val="-1"/>
        </w:rPr>
        <w:t>f</w:t>
      </w:r>
      <w:r w:rsidRPr="009A0DA6">
        <w:rPr>
          <w:rFonts w:ascii="Cambria" w:eastAsia="Calibri" w:hAnsi="Cambria" w:cs="Calibri"/>
        </w:rPr>
        <w:t>ficient</w:t>
      </w:r>
      <w:r w:rsidRPr="009A0DA6">
        <w:rPr>
          <w:rFonts w:ascii="Cambria" w:eastAsia="Calibri" w:hAnsi="Cambria" w:cs="Calibri"/>
          <w:spacing w:val="3"/>
        </w:rPr>
        <w:t xml:space="preserve"> </w:t>
      </w:r>
      <w:r w:rsidRPr="009A0DA6">
        <w:rPr>
          <w:rFonts w:ascii="Cambria" w:eastAsia="Calibri" w:hAnsi="Cambria" w:cs="Calibri"/>
          <w:spacing w:val="1"/>
        </w:rPr>
        <w:t>o</w:t>
      </w:r>
      <w:r w:rsidRPr="009A0DA6">
        <w:rPr>
          <w:rFonts w:ascii="Cambria" w:eastAsia="Calibri" w:hAnsi="Cambria" w:cs="Calibri"/>
          <w:spacing w:val="-3"/>
        </w:rPr>
        <w:t>n</w:t>
      </w:r>
      <w:r w:rsidRPr="009A0DA6">
        <w:rPr>
          <w:rFonts w:ascii="Cambria" w:eastAsia="Calibri" w:hAnsi="Cambria" w:cs="Calibri"/>
        </w:rPr>
        <w:t>e</w:t>
      </w:r>
      <w:r w:rsidRPr="009A0DA6">
        <w:rPr>
          <w:rFonts w:ascii="Cambria" w:eastAsia="Calibri" w:hAnsi="Cambria" w:cs="Calibri"/>
          <w:spacing w:val="3"/>
        </w:rPr>
        <w:t xml:space="preserve"> </w:t>
      </w:r>
      <w:r w:rsidRPr="009A0DA6">
        <w:rPr>
          <w:rFonts w:ascii="Cambria" w:eastAsia="Calibri" w:hAnsi="Cambria" w:cs="Calibri"/>
          <w:spacing w:val="5"/>
        </w:rPr>
        <w:t>(</w:t>
      </w:r>
      <w:r w:rsidRPr="009A0DA6">
        <w:rPr>
          <w:rFonts w:ascii="Cambria" w:eastAsia="Calibri" w:hAnsi="Cambria" w:cs="Calibri"/>
        </w:rPr>
        <w:t>1</w:t>
      </w:r>
      <w:r w:rsidRPr="009A0DA6">
        <w:rPr>
          <w:rFonts w:ascii="Cambria" w:eastAsia="Calibri" w:hAnsi="Cambria" w:cs="Calibri"/>
          <w:spacing w:val="3"/>
        </w:rPr>
        <w:t xml:space="preserve"> </w:t>
      </w:r>
      <w:r w:rsidRPr="009A0DA6">
        <w:rPr>
          <w:rFonts w:ascii="Cambria" w:eastAsia="Calibri" w:hAnsi="Cambria" w:cs="Calibri"/>
        </w:rPr>
        <w:t>T</w:t>
      </w:r>
      <w:r w:rsidRPr="009A0DA6">
        <w:rPr>
          <w:rFonts w:ascii="Cambria" w:eastAsia="Calibri" w:hAnsi="Cambria" w:cs="Calibri"/>
          <w:spacing w:val="-2"/>
        </w:rPr>
        <w:t>i</w:t>
      </w:r>
      <w:r w:rsidRPr="009A0DA6">
        <w:rPr>
          <w:rFonts w:ascii="Cambria" w:eastAsia="Calibri" w:hAnsi="Cambria" w:cs="Calibri"/>
        </w:rPr>
        <w:t>m</w:t>
      </w:r>
      <w:r w:rsidRPr="009A0DA6">
        <w:rPr>
          <w:rFonts w:ascii="Cambria" w:eastAsia="Calibri" w:hAnsi="Cambria" w:cs="Calibri"/>
          <w:spacing w:val="4"/>
        </w:rPr>
        <w:t xml:space="preserve"> </w:t>
      </w:r>
      <w:r w:rsidRPr="009A0DA6">
        <w:rPr>
          <w:rFonts w:ascii="Cambria" w:eastAsia="Calibri" w:hAnsi="Cambria" w:cs="Calibri"/>
          <w:spacing w:val="-2"/>
        </w:rPr>
        <w:t>3</w:t>
      </w:r>
      <w:r w:rsidRPr="009A0DA6">
        <w:rPr>
          <w:rFonts w:ascii="Cambria" w:eastAsia="Calibri" w:hAnsi="Cambria" w:cs="Calibri"/>
          <w:spacing w:val="1"/>
        </w:rPr>
        <w:t>:</w:t>
      </w:r>
      <w:r w:rsidRPr="009A0DA6">
        <w:rPr>
          <w:rFonts w:ascii="Cambria" w:eastAsia="Calibri" w:hAnsi="Cambria" w:cs="Calibri"/>
        </w:rPr>
        <w:t>1</w:t>
      </w:r>
      <w:r w:rsidRPr="009A0DA6">
        <w:rPr>
          <w:rFonts w:ascii="Cambria" w:eastAsia="Calibri" w:hAnsi="Cambria" w:cs="Calibri"/>
        </w:rPr>
        <w:sym w:font="Symbol" w:char="F02D"/>
      </w:r>
      <w:r w:rsidRPr="009A0DA6">
        <w:rPr>
          <w:rFonts w:ascii="Cambria" w:eastAsia="Calibri" w:hAnsi="Cambria" w:cs="Calibri"/>
          <w:spacing w:val="-2"/>
        </w:rPr>
        <w:t>7</w:t>
      </w:r>
      <w:r w:rsidRPr="009A0DA6">
        <w:rPr>
          <w:rFonts w:ascii="Cambria" w:eastAsia="Calibri" w:hAnsi="Cambria" w:cs="Calibri"/>
        </w:rPr>
        <w:t xml:space="preserve">; Titus </w:t>
      </w:r>
      <w:r w:rsidRPr="009A0DA6">
        <w:rPr>
          <w:rFonts w:ascii="Cambria" w:eastAsia="Calibri" w:hAnsi="Cambria" w:cs="Calibri"/>
          <w:spacing w:val="-1"/>
        </w:rPr>
        <w:t>1</w:t>
      </w:r>
      <w:r w:rsidRPr="009A0DA6">
        <w:rPr>
          <w:rFonts w:ascii="Cambria" w:eastAsia="Calibri" w:hAnsi="Cambria" w:cs="Calibri"/>
          <w:spacing w:val="1"/>
        </w:rPr>
        <w:t>:</w:t>
      </w:r>
      <w:r w:rsidRPr="009A0DA6">
        <w:rPr>
          <w:rFonts w:ascii="Cambria" w:eastAsia="Calibri" w:hAnsi="Cambria" w:cs="Calibri"/>
          <w:spacing w:val="-2"/>
        </w:rPr>
        <w:t>5</w:t>
      </w:r>
      <w:r w:rsidRPr="009A0DA6">
        <w:rPr>
          <w:rFonts w:ascii="Cambria" w:eastAsia="Calibri" w:hAnsi="Cambria" w:cs="Calibri"/>
        </w:rPr>
        <w:sym w:font="Symbol" w:char="F02D"/>
      </w:r>
      <w:r w:rsidRPr="009A0DA6">
        <w:rPr>
          <w:rFonts w:ascii="Cambria" w:eastAsia="Calibri" w:hAnsi="Cambria" w:cs="Calibri"/>
          <w:spacing w:val="1"/>
        </w:rPr>
        <w:t>9</w:t>
      </w:r>
      <w:r w:rsidR="00507840">
        <w:rPr>
          <w:rFonts w:ascii="Cambria" w:eastAsia="Calibri" w:hAnsi="Cambria" w:cs="Calibri"/>
        </w:rPr>
        <w:t>).</w:t>
      </w:r>
      <w:r w:rsidR="00507840">
        <w:rPr>
          <w:rFonts w:ascii="Cambria" w:eastAsia="Calibri" w:hAnsi="Cambria" w:cs="Calibri"/>
        </w:rPr>
        <w:br/>
      </w:r>
    </w:p>
    <w:p w14:paraId="0E25E072" w14:textId="689D225E" w:rsidR="0042579D" w:rsidRPr="009A0DA6" w:rsidRDefault="0042579D" w:rsidP="00F55252">
      <w:pPr>
        <w:pStyle w:val="ListParagraph"/>
        <w:numPr>
          <w:ilvl w:val="0"/>
          <w:numId w:val="125"/>
        </w:numPr>
        <w:tabs>
          <w:tab w:val="clear" w:pos="643"/>
          <w:tab w:val="left" w:pos="1134"/>
        </w:tabs>
        <w:spacing w:before="62" w:after="0" w:line="254" w:lineRule="auto"/>
        <w:ind w:left="1134" w:right="62" w:hanging="567"/>
        <w:rPr>
          <w:rFonts w:ascii="Cambria" w:eastAsia="Calibri" w:hAnsi="Cambria" w:cs="Calibri"/>
        </w:rPr>
      </w:pPr>
      <w:r w:rsidRPr="009A0DA6">
        <w:rPr>
          <w:rFonts w:ascii="Cambria" w:eastAsia="Calibri" w:hAnsi="Cambria" w:cs="Calibri"/>
        </w:rPr>
        <w:lastRenderedPageBreak/>
        <w:t>The</w:t>
      </w:r>
      <w:r w:rsidRPr="009A0DA6">
        <w:rPr>
          <w:rFonts w:ascii="Cambria" w:eastAsia="Calibri" w:hAnsi="Cambria" w:cs="Calibri"/>
          <w:spacing w:val="3"/>
        </w:rPr>
        <w:t xml:space="preserve"> </w:t>
      </w:r>
      <w:r w:rsidRPr="009A0DA6">
        <w:rPr>
          <w:rFonts w:ascii="Cambria" w:eastAsia="Calibri" w:hAnsi="Cambria" w:cs="Calibri"/>
          <w:spacing w:val="1"/>
        </w:rPr>
        <w:t>DD</w:t>
      </w:r>
      <w:r w:rsidRPr="009A0DA6">
        <w:rPr>
          <w:rFonts w:ascii="Cambria" w:eastAsia="Calibri" w:hAnsi="Cambria" w:cs="Calibri"/>
        </w:rPr>
        <w:t>S</w:t>
      </w:r>
      <w:r w:rsidRPr="009A0DA6">
        <w:rPr>
          <w:rFonts w:ascii="Cambria" w:eastAsia="Calibri" w:hAnsi="Cambria" w:cs="Calibri"/>
          <w:spacing w:val="2"/>
        </w:rPr>
        <w:t xml:space="preserve"> </w:t>
      </w:r>
      <w:r w:rsidRPr="009A0DA6">
        <w:rPr>
          <w:rFonts w:ascii="Cambria" w:eastAsia="Calibri" w:hAnsi="Cambria" w:cs="Calibri"/>
        </w:rPr>
        <w:t>then</w:t>
      </w:r>
      <w:r w:rsidRPr="009A0DA6">
        <w:rPr>
          <w:rFonts w:ascii="Cambria" w:eastAsia="Calibri" w:hAnsi="Cambria" w:cs="Calibri"/>
          <w:spacing w:val="5"/>
        </w:rPr>
        <w:t xml:space="preserve"> </w:t>
      </w:r>
      <w:r w:rsidRPr="009A0DA6">
        <w:rPr>
          <w:rFonts w:ascii="Cambria" w:eastAsia="Calibri" w:hAnsi="Cambria" w:cs="Calibri"/>
          <w:spacing w:val="-3"/>
        </w:rPr>
        <w:t>p</w:t>
      </w:r>
      <w:r w:rsidRPr="009A0DA6">
        <w:rPr>
          <w:rFonts w:ascii="Cambria" w:eastAsia="Calibri" w:hAnsi="Cambria" w:cs="Calibri"/>
          <w:spacing w:val="1"/>
        </w:rPr>
        <w:t>o</w:t>
      </w:r>
      <w:r w:rsidRPr="009A0DA6">
        <w:rPr>
          <w:rFonts w:ascii="Cambria" w:eastAsia="Calibri" w:hAnsi="Cambria" w:cs="Calibri"/>
        </w:rPr>
        <w:t>i</w:t>
      </w:r>
      <w:r w:rsidRPr="009A0DA6">
        <w:rPr>
          <w:rFonts w:ascii="Cambria" w:eastAsia="Calibri" w:hAnsi="Cambria" w:cs="Calibri"/>
          <w:spacing w:val="-1"/>
        </w:rPr>
        <w:t>n</w:t>
      </w:r>
      <w:r w:rsidRPr="009A0DA6">
        <w:rPr>
          <w:rFonts w:ascii="Cambria" w:eastAsia="Calibri" w:hAnsi="Cambria" w:cs="Calibri"/>
        </w:rPr>
        <w:t>ts</w:t>
      </w:r>
      <w:r w:rsidRPr="009A0DA6">
        <w:rPr>
          <w:rFonts w:ascii="Cambria" w:eastAsia="Calibri" w:hAnsi="Cambria" w:cs="Calibri"/>
          <w:spacing w:val="3"/>
        </w:rPr>
        <w:t xml:space="preserve"> </w:t>
      </w:r>
      <w:r w:rsidRPr="009A0DA6">
        <w:rPr>
          <w:rFonts w:ascii="Cambria" w:eastAsia="Calibri" w:hAnsi="Cambria" w:cs="Calibri"/>
          <w:spacing w:val="-1"/>
        </w:rPr>
        <w:t>u</w:t>
      </w:r>
      <w:r w:rsidRPr="009A0DA6">
        <w:rPr>
          <w:rFonts w:ascii="Cambria" w:eastAsia="Calibri" w:hAnsi="Cambria" w:cs="Calibri"/>
        </w:rPr>
        <w:t>s</w:t>
      </w:r>
      <w:r w:rsidRPr="009A0DA6">
        <w:rPr>
          <w:rFonts w:ascii="Cambria" w:eastAsia="Calibri" w:hAnsi="Cambria" w:cs="Calibri"/>
          <w:spacing w:val="5"/>
        </w:rPr>
        <w:t xml:space="preserve"> </w:t>
      </w:r>
      <w:r w:rsidRPr="009A0DA6">
        <w:rPr>
          <w:rFonts w:ascii="Cambria" w:eastAsia="Calibri" w:hAnsi="Cambria" w:cs="Calibri"/>
          <w:spacing w:val="-2"/>
        </w:rPr>
        <w:t>t</w:t>
      </w:r>
      <w:r w:rsidRPr="009A0DA6">
        <w:rPr>
          <w:rFonts w:ascii="Cambria" w:eastAsia="Calibri" w:hAnsi="Cambria" w:cs="Calibri"/>
        </w:rPr>
        <w:t>o</w:t>
      </w:r>
      <w:r w:rsidRPr="009A0DA6">
        <w:rPr>
          <w:rFonts w:ascii="Cambria" w:eastAsia="Calibri" w:hAnsi="Cambria" w:cs="Calibri"/>
          <w:spacing w:val="2"/>
        </w:rPr>
        <w:t xml:space="preserve"> </w:t>
      </w:r>
      <w:r w:rsidRPr="009A0DA6">
        <w:rPr>
          <w:rFonts w:ascii="Cambria" w:eastAsia="Calibri" w:hAnsi="Cambria" w:cs="Calibri"/>
        </w:rPr>
        <w:t>e</w:t>
      </w:r>
      <w:r w:rsidRPr="009A0DA6">
        <w:rPr>
          <w:rFonts w:ascii="Cambria" w:eastAsia="Calibri" w:hAnsi="Cambria" w:cs="Calibri"/>
          <w:spacing w:val="1"/>
        </w:rPr>
        <w:t>x</w:t>
      </w:r>
      <w:r w:rsidRPr="009A0DA6">
        <w:rPr>
          <w:rFonts w:ascii="Cambria" w:eastAsia="Calibri" w:hAnsi="Cambria" w:cs="Calibri"/>
          <w:spacing w:val="-3"/>
        </w:rPr>
        <w:t>a</w:t>
      </w:r>
      <w:r w:rsidRPr="009A0DA6">
        <w:rPr>
          <w:rFonts w:ascii="Cambria" w:eastAsia="Calibri" w:hAnsi="Cambria" w:cs="Calibri"/>
          <w:spacing w:val="1"/>
        </w:rPr>
        <w:t>m</w:t>
      </w:r>
      <w:r w:rsidRPr="009A0DA6">
        <w:rPr>
          <w:rFonts w:ascii="Cambria" w:eastAsia="Calibri" w:hAnsi="Cambria" w:cs="Calibri"/>
          <w:spacing w:val="-1"/>
        </w:rPr>
        <w:t>p</w:t>
      </w:r>
      <w:r w:rsidRPr="009A0DA6">
        <w:rPr>
          <w:rFonts w:ascii="Cambria" w:eastAsia="Calibri" w:hAnsi="Cambria" w:cs="Calibri"/>
        </w:rPr>
        <w:t>les</w:t>
      </w:r>
      <w:r w:rsidRPr="009A0DA6">
        <w:rPr>
          <w:rFonts w:ascii="Cambria" w:eastAsia="Calibri" w:hAnsi="Cambria" w:cs="Calibri"/>
          <w:spacing w:val="3"/>
        </w:rPr>
        <w:t xml:space="preserve"> </w:t>
      </w:r>
      <w:r w:rsidRPr="009A0DA6">
        <w:rPr>
          <w:rFonts w:ascii="Cambria" w:eastAsia="Calibri" w:hAnsi="Cambria" w:cs="Calibri"/>
          <w:spacing w:val="1"/>
        </w:rPr>
        <w:t>o</w:t>
      </w:r>
      <w:r w:rsidRPr="009A0DA6">
        <w:rPr>
          <w:rFonts w:ascii="Cambria" w:eastAsia="Calibri" w:hAnsi="Cambria" w:cs="Calibri"/>
        </w:rPr>
        <w:t>f</w:t>
      </w:r>
      <w:r w:rsidRPr="009A0DA6">
        <w:rPr>
          <w:rFonts w:ascii="Cambria" w:eastAsia="Calibri" w:hAnsi="Cambria" w:cs="Calibri"/>
          <w:spacing w:val="3"/>
        </w:rPr>
        <w:t xml:space="preserve"> </w:t>
      </w:r>
      <w:r w:rsidRPr="009A0DA6">
        <w:rPr>
          <w:rFonts w:ascii="Cambria" w:eastAsia="Calibri" w:hAnsi="Cambria" w:cs="Calibri"/>
          <w:spacing w:val="-2"/>
        </w:rPr>
        <w:t>w</w:t>
      </w:r>
      <w:r w:rsidRPr="009A0DA6">
        <w:rPr>
          <w:rFonts w:ascii="Cambria" w:eastAsia="Calibri" w:hAnsi="Cambria" w:cs="Calibri"/>
          <w:spacing w:val="1"/>
        </w:rPr>
        <w:t>o</w:t>
      </w:r>
      <w:r w:rsidRPr="009A0DA6">
        <w:rPr>
          <w:rFonts w:ascii="Cambria" w:eastAsia="Calibri" w:hAnsi="Cambria" w:cs="Calibri"/>
          <w:spacing w:val="-1"/>
        </w:rPr>
        <w:t>m</w:t>
      </w:r>
      <w:r w:rsidRPr="009A0DA6">
        <w:rPr>
          <w:rFonts w:ascii="Cambria" w:eastAsia="Calibri" w:hAnsi="Cambria" w:cs="Calibri"/>
        </w:rPr>
        <w:t>en</w:t>
      </w:r>
      <w:r w:rsidRPr="009A0DA6">
        <w:rPr>
          <w:rFonts w:ascii="Cambria" w:eastAsia="Calibri" w:hAnsi="Cambria" w:cs="Calibri"/>
          <w:spacing w:val="5"/>
        </w:rPr>
        <w:t xml:space="preserve"> </w:t>
      </w:r>
      <w:r w:rsidRPr="009A0DA6">
        <w:rPr>
          <w:rFonts w:ascii="Cambria" w:eastAsia="Calibri" w:hAnsi="Cambria" w:cs="Calibri"/>
        </w:rPr>
        <w:t>in</w:t>
      </w:r>
      <w:r w:rsidRPr="009A0DA6">
        <w:rPr>
          <w:rFonts w:ascii="Cambria" w:eastAsia="Calibri" w:hAnsi="Cambria" w:cs="Calibri"/>
          <w:spacing w:val="2"/>
        </w:rPr>
        <w:t xml:space="preserve"> </w:t>
      </w:r>
      <w:r w:rsidRPr="009A0DA6">
        <w:rPr>
          <w:rFonts w:ascii="Cambria" w:eastAsia="Calibri" w:hAnsi="Cambria" w:cs="Calibri"/>
        </w:rPr>
        <w:t>the</w:t>
      </w:r>
      <w:r w:rsidRPr="009A0DA6">
        <w:rPr>
          <w:rFonts w:ascii="Cambria" w:eastAsia="Calibri" w:hAnsi="Cambria" w:cs="Calibri"/>
          <w:spacing w:val="3"/>
        </w:rPr>
        <w:t xml:space="preserve"> </w:t>
      </w:r>
      <w:r w:rsidRPr="009A0DA6">
        <w:rPr>
          <w:rFonts w:ascii="Cambria" w:eastAsia="Calibri" w:hAnsi="Cambria" w:cs="Calibri"/>
          <w:spacing w:val="-1"/>
        </w:rPr>
        <w:t>N</w:t>
      </w:r>
      <w:r w:rsidRPr="009A0DA6">
        <w:rPr>
          <w:rFonts w:ascii="Cambria" w:eastAsia="Calibri" w:hAnsi="Cambria" w:cs="Calibri"/>
        </w:rPr>
        <w:t>ew</w:t>
      </w:r>
      <w:r w:rsidRPr="009A0DA6">
        <w:rPr>
          <w:rFonts w:ascii="Cambria" w:eastAsia="Calibri" w:hAnsi="Cambria" w:cs="Calibri"/>
          <w:spacing w:val="4"/>
        </w:rPr>
        <w:t xml:space="preserve"> </w:t>
      </w:r>
      <w:r w:rsidRPr="009A0DA6">
        <w:rPr>
          <w:rFonts w:ascii="Cambria" w:eastAsia="Calibri" w:hAnsi="Cambria" w:cs="Calibri"/>
        </w:rPr>
        <w:t>T</w:t>
      </w:r>
      <w:r w:rsidRPr="009A0DA6">
        <w:rPr>
          <w:rFonts w:ascii="Cambria" w:eastAsia="Calibri" w:hAnsi="Cambria" w:cs="Calibri"/>
          <w:spacing w:val="1"/>
        </w:rPr>
        <w:t>e</w:t>
      </w:r>
      <w:r w:rsidRPr="009A0DA6">
        <w:rPr>
          <w:rFonts w:ascii="Cambria" w:eastAsia="Calibri" w:hAnsi="Cambria" w:cs="Calibri"/>
        </w:rPr>
        <w:t>st</w:t>
      </w:r>
      <w:r w:rsidRPr="009A0DA6">
        <w:rPr>
          <w:rFonts w:ascii="Cambria" w:eastAsia="Calibri" w:hAnsi="Cambria" w:cs="Calibri"/>
          <w:spacing w:val="-2"/>
        </w:rPr>
        <w:t>a</w:t>
      </w:r>
      <w:r w:rsidRPr="009A0DA6">
        <w:rPr>
          <w:rFonts w:ascii="Cambria" w:eastAsia="Calibri" w:hAnsi="Cambria" w:cs="Calibri"/>
          <w:spacing w:val="-1"/>
        </w:rPr>
        <w:t>m</w:t>
      </w:r>
      <w:r w:rsidRPr="009A0DA6">
        <w:rPr>
          <w:rFonts w:ascii="Cambria" w:eastAsia="Calibri" w:hAnsi="Cambria" w:cs="Calibri"/>
        </w:rPr>
        <w:t>ent</w:t>
      </w:r>
      <w:r w:rsidRPr="009A0DA6">
        <w:rPr>
          <w:rFonts w:ascii="Cambria" w:eastAsia="Calibri" w:hAnsi="Cambria" w:cs="Calibri"/>
          <w:spacing w:val="3"/>
        </w:rPr>
        <w:t xml:space="preserve"> </w:t>
      </w:r>
      <w:r w:rsidRPr="009A0DA6">
        <w:rPr>
          <w:rFonts w:ascii="Cambria" w:eastAsia="Calibri" w:hAnsi="Cambria" w:cs="Calibri"/>
        </w:rPr>
        <w:t>who</w:t>
      </w:r>
      <w:r w:rsidRPr="009A0DA6">
        <w:rPr>
          <w:rFonts w:ascii="Cambria" w:eastAsia="Calibri" w:hAnsi="Cambria" w:cs="Calibri"/>
          <w:spacing w:val="4"/>
        </w:rPr>
        <w:t xml:space="preserve"> </w:t>
      </w:r>
      <w:r w:rsidRPr="009A0DA6">
        <w:rPr>
          <w:rFonts w:ascii="Cambria" w:eastAsia="Calibri" w:hAnsi="Cambria" w:cs="Calibri"/>
          <w:spacing w:val="-2"/>
        </w:rPr>
        <w:t>w</w:t>
      </w:r>
      <w:r w:rsidRPr="009A0DA6">
        <w:rPr>
          <w:rFonts w:ascii="Cambria" w:eastAsia="Calibri" w:hAnsi="Cambria" w:cs="Calibri"/>
        </w:rPr>
        <w:t>ere</w:t>
      </w:r>
      <w:r w:rsidRPr="009A0DA6">
        <w:rPr>
          <w:rFonts w:ascii="Cambria" w:eastAsia="Calibri" w:hAnsi="Cambria" w:cs="Calibri"/>
          <w:spacing w:val="4"/>
        </w:rPr>
        <w:t xml:space="preserve"> </w:t>
      </w:r>
      <w:r w:rsidRPr="009A0DA6">
        <w:rPr>
          <w:rFonts w:ascii="Cambria" w:eastAsia="Calibri" w:hAnsi="Cambria" w:cs="Calibri"/>
        </w:rPr>
        <w:t>i</w:t>
      </w:r>
      <w:r w:rsidRPr="009A0DA6">
        <w:rPr>
          <w:rFonts w:ascii="Cambria" w:eastAsia="Calibri" w:hAnsi="Cambria" w:cs="Calibri"/>
          <w:spacing w:val="-1"/>
        </w:rPr>
        <w:t>n</w:t>
      </w:r>
      <w:r w:rsidRPr="009A0DA6">
        <w:rPr>
          <w:rFonts w:ascii="Cambria" w:eastAsia="Calibri" w:hAnsi="Cambria" w:cs="Calibri"/>
          <w:spacing w:val="1"/>
        </w:rPr>
        <w:t>vo</w:t>
      </w:r>
      <w:r w:rsidRPr="009A0DA6">
        <w:rPr>
          <w:rFonts w:ascii="Cambria" w:eastAsia="Calibri" w:hAnsi="Cambria" w:cs="Calibri"/>
          <w:spacing w:val="-3"/>
        </w:rPr>
        <w:t>l</w:t>
      </w:r>
      <w:r w:rsidRPr="009A0DA6">
        <w:rPr>
          <w:rFonts w:ascii="Cambria" w:eastAsia="Calibri" w:hAnsi="Cambria" w:cs="Calibri"/>
          <w:spacing w:val="1"/>
        </w:rPr>
        <w:t>v</w:t>
      </w:r>
      <w:r w:rsidRPr="009A0DA6">
        <w:rPr>
          <w:rFonts w:ascii="Cambria" w:eastAsia="Calibri" w:hAnsi="Cambria" w:cs="Calibri"/>
        </w:rPr>
        <w:t>ed</w:t>
      </w:r>
      <w:r w:rsidRPr="009A0DA6">
        <w:rPr>
          <w:rFonts w:ascii="Cambria" w:eastAsia="Calibri" w:hAnsi="Cambria" w:cs="Calibri"/>
          <w:spacing w:val="5"/>
        </w:rPr>
        <w:t xml:space="preserve"> </w:t>
      </w:r>
      <w:r w:rsidRPr="009A0DA6">
        <w:rPr>
          <w:rFonts w:ascii="Cambria" w:eastAsia="Calibri" w:hAnsi="Cambria" w:cs="Calibri"/>
        </w:rPr>
        <w:t>in</w:t>
      </w:r>
      <w:r w:rsidRPr="009A0DA6">
        <w:rPr>
          <w:rFonts w:ascii="Cambria" w:eastAsia="Calibri" w:hAnsi="Cambria" w:cs="Calibri"/>
          <w:spacing w:val="2"/>
        </w:rPr>
        <w:t xml:space="preserve"> </w:t>
      </w:r>
      <w:r w:rsidRPr="009A0DA6">
        <w:rPr>
          <w:rFonts w:ascii="Cambria" w:eastAsia="Calibri" w:hAnsi="Cambria" w:cs="Calibri"/>
          <w:spacing w:val="1"/>
        </w:rPr>
        <w:t>v</w:t>
      </w:r>
      <w:r w:rsidRPr="009A0DA6">
        <w:rPr>
          <w:rFonts w:ascii="Cambria" w:eastAsia="Calibri" w:hAnsi="Cambria" w:cs="Calibri"/>
        </w:rPr>
        <w:t>ar</w:t>
      </w:r>
      <w:r w:rsidRPr="009A0DA6">
        <w:rPr>
          <w:rFonts w:ascii="Cambria" w:eastAsia="Calibri" w:hAnsi="Cambria" w:cs="Calibri"/>
          <w:spacing w:val="-3"/>
        </w:rPr>
        <w:t>i</w:t>
      </w:r>
      <w:r w:rsidRPr="009A0DA6">
        <w:rPr>
          <w:rFonts w:ascii="Cambria" w:eastAsia="Calibri" w:hAnsi="Cambria" w:cs="Calibri"/>
          <w:spacing w:val="1"/>
        </w:rPr>
        <w:t>o</w:t>
      </w:r>
      <w:r w:rsidRPr="009A0DA6">
        <w:rPr>
          <w:rFonts w:ascii="Cambria" w:eastAsia="Calibri" w:hAnsi="Cambria" w:cs="Calibri"/>
          <w:spacing w:val="-1"/>
        </w:rPr>
        <w:t>u</w:t>
      </w:r>
      <w:r w:rsidRPr="009A0DA6">
        <w:rPr>
          <w:rFonts w:ascii="Cambria" w:eastAsia="Calibri" w:hAnsi="Cambria" w:cs="Calibri"/>
        </w:rPr>
        <w:t>s</w:t>
      </w:r>
      <w:r w:rsidRPr="009A0DA6">
        <w:rPr>
          <w:rFonts w:ascii="Cambria" w:eastAsia="Calibri" w:hAnsi="Cambria" w:cs="Calibri"/>
          <w:spacing w:val="5"/>
        </w:rPr>
        <w:t xml:space="preserve"> </w:t>
      </w:r>
      <w:r w:rsidRPr="009A0DA6">
        <w:rPr>
          <w:rFonts w:ascii="Cambria" w:eastAsia="Calibri" w:hAnsi="Cambria" w:cs="Calibri"/>
          <w:spacing w:val="-3"/>
        </w:rPr>
        <w:t>f</w:t>
      </w:r>
      <w:r w:rsidRPr="009A0DA6">
        <w:rPr>
          <w:rFonts w:ascii="Cambria" w:eastAsia="Calibri" w:hAnsi="Cambria" w:cs="Calibri"/>
          <w:spacing w:val="1"/>
        </w:rPr>
        <w:t>o</w:t>
      </w:r>
      <w:r w:rsidRPr="009A0DA6">
        <w:rPr>
          <w:rFonts w:ascii="Cambria" w:eastAsia="Calibri" w:hAnsi="Cambria" w:cs="Calibri"/>
          <w:spacing w:val="-3"/>
        </w:rPr>
        <w:t>r</w:t>
      </w:r>
      <w:r w:rsidRPr="009A0DA6">
        <w:rPr>
          <w:rFonts w:ascii="Cambria" w:eastAsia="Calibri" w:hAnsi="Cambria" w:cs="Calibri"/>
          <w:spacing w:val="1"/>
        </w:rPr>
        <w:t>m</w:t>
      </w:r>
      <w:r w:rsidRPr="009A0DA6">
        <w:rPr>
          <w:rFonts w:ascii="Cambria" w:eastAsia="Calibri" w:hAnsi="Cambria" w:cs="Calibri"/>
        </w:rPr>
        <w:t>s</w:t>
      </w:r>
      <w:r w:rsidRPr="009A0DA6">
        <w:rPr>
          <w:rFonts w:ascii="Cambria" w:eastAsia="Calibri" w:hAnsi="Cambria" w:cs="Calibri"/>
          <w:spacing w:val="3"/>
        </w:rPr>
        <w:t xml:space="preserve"> </w:t>
      </w:r>
      <w:r w:rsidRPr="009A0DA6">
        <w:rPr>
          <w:rFonts w:ascii="Cambria" w:eastAsia="Calibri" w:hAnsi="Cambria" w:cs="Calibri"/>
          <w:spacing w:val="-1"/>
        </w:rPr>
        <w:t>o</w:t>
      </w:r>
      <w:r w:rsidRPr="009A0DA6">
        <w:rPr>
          <w:rFonts w:ascii="Cambria" w:eastAsia="Calibri" w:hAnsi="Cambria" w:cs="Calibri"/>
        </w:rPr>
        <w:t xml:space="preserve">f </w:t>
      </w:r>
      <w:r w:rsidRPr="009A0DA6">
        <w:rPr>
          <w:rFonts w:ascii="Cambria" w:eastAsia="Calibri" w:hAnsi="Cambria" w:cs="Calibri"/>
          <w:spacing w:val="1"/>
        </w:rPr>
        <w:t>m</w:t>
      </w:r>
      <w:r w:rsidRPr="009A0DA6">
        <w:rPr>
          <w:rFonts w:ascii="Cambria" w:eastAsia="Calibri" w:hAnsi="Cambria" w:cs="Calibri"/>
        </w:rPr>
        <w:t>i</w:t>
      </w:r>
      <w:r w:rsidRPr="009A0DA6">
        <w:rPr>
          <w:rFonts w:ascii="Cambria" w:eastAsia="Calibri" w:hAnsi="Cambria" w:cs="Calibri"/>
          <w:spacing w:val="-1"/>
        </w:rPr>
        <w:t>n</w:t>
      </w:r>
      <w:r w:rsidRPr="009A0DA6">
        <w:rPr>
          <w:rFonts w:ascii="Cambria" w:eastAsia="Calibri" w:hAnsi="Cambria" w:cs="Calibri"/>
        </w:rPr>
        <w:t>ist</w:t>
      </w:r>
      <w:r w:rsidRPr="009A0DA6">
        <w:rPr>
          <w:rFonts w:ascii="Cambria" w:eastAsia="Calibri" w:hAnsi="Cambria" w:cs="Calibri"/>
          <w:spacing w:val="-2"/>
        </w:rPr>
        <w:t>r</w:t>
      </w:r>
      <w:r w:rsidRPr="009A0DA6">
        <w:rPr>
          <w:rFonts w:ascii="Cambria" w:eastAsia="Calibri" w:hAnsi="Cambria" w:cs="Calibri"/>
          <w:spacing w:val="1"/>
        </w:rPr>
        <w:t>y</w:t>
      </w:r>
      <w:r w:rsidRPr="009A0DA6">
        <w:rPr>
          <w:rFonts w:ascii="Cambria" w:eastAsia="Calibri" w:hAnsi="Cambria" w:cs="Calibri"/>
        </w:rPr>
        <w:t>.</w:t>
      </w:r>
      <w:r w:rsidRPr="009A0DA6">
        <w:rPr>
          <w:rFonts w:ascii="Cambria" w:eastAsia="Calibri" w:hAnsi="Cambria" w:cs="Calibri"/>
          <w:spacing w:val="-9"/>
        </w:rPr>
        <w:t xml:space="preserve"> </w:t>
      </w:r>
      <w:r w:rsidRPr="009A0DA6">
        <w:rPr>
          <w:rFonts w:ascii="Cambria" w:eastAsia="Calibri" w:hAnsi="Cambria" w:cs="Calibri"/>
        </w:rPr>
        <w:t>So</w:t>
      </w:r>
      <w:r w:rsidRPr="009A0DA6">
        <w:rPr>
          <w:rFonts w:ascii="Cambria" w:eastAsia="Calibri" w:hAnsi="Cambria" w:cs="Calibri"/>
          <w:spacing w:val="-1"/>
        </w:rPr>
        <w:t>m</w:t>
      </w:r>
      <w:r w:rsidRPr="009A0DA6">
        <w:rPr>
          <w:rFonts w:ascii="Cambria" w:eastAsia="Calibri" w:hAnsi="Cambria" w:cs="Calibri"/>
        </w:rPr>
        <w:t>e</w:t>
      </w:r>
      <w:r w:rsidRPr="009A0DA6">
        <w:rPr>
          <w:rFonts w:ascii="Cambria" w:eastAsia="Calibri" w:hAnsi="Cambria" w:cs="Calibri"/>
          <w:spacing w:val="-8"/>
        </w:rPr>
        <w:t xml:space="preserve"> </w:t>
      </w:r>
      <w:r w:rsidRPr="009A0DA6">
        <w:rPr>
          <w:rFonts w:ascii="Cambria" w:eastAsia="Calibri" w:hAnsi="Cambria" w:cs="Calibri"/>
          <w:spacing w:val="1"/>
        </w:rPr>
        <w:t>o</w:t>
      </w:r>
      <w:r w:rsidRPr="009A0DA6">
        <w:rPr>
          <w:rFonts w:ascii="Cambria" w:eastAsia="Calibri" w:hAnsi="Cambria" w:cs="Calibri"/>
        </w:rPr>
        <w:t>f</w:t>
      </w:r>
      <w:r w:rsidRPr="009A0DA6">
        <w:rPr>
          <w:rFonts w:ascii="Cambria" w:eastAsia="Calibri" w:hAnsi="Cambria" w:cs="Calibri"/>
          <w:spacing w:val="-8"/>
        </w:rPr>
        <w:t xml:space="preserve"> </w:t>
      </w:r>
      <w:r w:rsidRPr="009A0DA6">
        <w:rPr>
          <w:rFonts w:ascii="Cambria" w:eastAsia="Calibri" w:hAnsi="Cambria" w:cs="Calibri"/>
        </w:rPr>
        <w:t>th</w:t>
      </w:r>
      <w:r w:rsidRPr="009A0DA6">
        <w:rPr>
          <w:rFonts w:ascii="Cambria" w:eastAsia="Calibri" w:hAnsi="Cambria" w:cs="Calibri"/>
          <w:spacing w:val="-1"/>
        </w:rPr>
        <w:t>i</w:t>
      </w:r>
      <w:r w:rsidRPr="009A0DA6">
        <w:rPr>
          <w:rFonts w:ascii="Cambria" w:eastAsia="Calibri" w:hAnsi="Cambria" w:cs="Calibri"/>
        </w:rPr>
        <w:t>s</w:t>
      </w:r>
      <w:r w:rsidRPr="009A0DA6">
        <w:rPr>
          <w:rFonts w:ascii="Cambria" w:eastAsia="Calibri" w:hAnsi="Cambria" w:cs="Calibri"/>
          <w:spacing w:val="-9"/>
        </w:rPr>
        <w:t xml:space="preserve"> </w:t>
      </w:r>
      <w:r w:rsidRPr="009A0DA6">
        <w:rPr>
          <w:rFonts w:ascii="Cambria" w:eastAsia="Calibri" w:hAnsi="Cambria" w:cs="Calibri"/>
          <w:spacing w:val="-1"/>
        </w:rPr>
        <w:t>d</w:t>
      </w:r>
      <w:r w:rsidRPr="009A0DA6">
        <w:rPr>
          <w:rFonts w:ascii="Cambria" w:eastAsia="Calibri" w:hAnsi="Cambria" w:cs="Calibri"/>
        </w:rPr>
        <w:t>a</w:t>
      </w:r>
      <w:r w:rsidRPr="009A0DA6">
        <w:rPr>
          <w:rFonts w:ascii="Cambria" w:eastAsia="Calibri" w:hAnsi="Cambria" w:cs="Calibri"/>
          <w:spacing w:val="-2"/>
        </w:rPr>
        <w:t>t</w:t>
      </w:r>
      <w:r w:rsidRPr="009A0DA6">
        <w:rPr>
          <w:rFonts w:ascii="Cambria" w:eastAsia="Calibri" w:hAnsi="Cambria" w:cs="Calibri"/>
        </w:rPr>
        <w:t>a</w:t>
      </w:r>
      <w:r w:rsidRPr="009A0DA6">
        <w:rPr>
          <w:rFonts w:ascii="Cambria" w:eastAsia="Calibri" w:hAnsi="Cambria" w:cs="Calibri"/>
          <w:spacing w:val="-9"/>
        </w:rPr>
        <w:t xml:space="preserve"> </w:t>
      </w:r>
      <w:r w:rsidRPr="009A0DA6">
        <w:rPr>
          <w:rFonts w:ascii="Cambria" w:eastAsia="Calibri" w:hAnsi="Cambria" w:cs="Calibri"/>
        </w:rPr>
        <w:t>it</w:t>
      </w:r>
      <w:r w:rsidRPr="009A0DA6">
        <w:rPr>
          <w:rFonts w:ascii="Cambria" w:eastAsia="Calibri" w:hAnsi="Cambria" w:cs="Calibri"/>
          <w:spacing w:val="-9"/>
        </w:rPr>
        <w:t xml:space="preserve"> </w:t>
      </w:r>
      <w:r w:rsidRPr="009A0DA6">
        <w:rPr>
          <w:rFonts w:ascii="Cambria" w:eastAsia="Calibri" w:hAnsi="Cambria" w:cs="Calibri"/>
          <w:spacing w:val="-1"/>
        </w:rPr>
        <w:t>p</w:t>
      </w:r>
      <w:r w:rsidRPr="009A0DA6">
        <w:rPr>
          <w:rFonts w:ascii="Cambria" w:eastAsia="Calibri" w:hAnsi="Cambria" w:cs="Calibri"/>
        </w:rPr>
        <w:t>res</w:t>
      </w:r>
      <w:r w:rsidRPr="009A0DA6">
        <w:rPr>
          <w:rFonts w:ascii="Cambria" w:eastAsia="Calibri" w:hAnsi="Cambria" w:cs="Calibri"/>
          <w:spacing w:val="1"/>
        </w:rPr>
        <w:t>e</w:t>
      </w:r>
      <w:r w:rsidRPr="009A0DA6">
        <w:rPr>
          <w:rFonts w:ascii="Cambria" w:eastAsia="Calibri" w:hAnsi="Cambria" w:cs="Calibri"/>
          <w:spacing w:val="-1"/>
        </w:rPr>
        <w:t>n</w:t>
      </w:r>
      <w:r w:rsidRPr="009A0DA6">
        <w:rPr>
          <w:rFonts w:ascii="Cambria" w:eastAsia="Calibri" w:hAnsi="Cambria" w:cs="Calibri"/>
        </w:rPr>
        <w:t>ts</w:t>
      </w:r>
      <w:r w:rsidRPr="009A0DA6">
        <w:rPr>
          <w:rFonts w:ascii="Cambria" w:eastAsia="Calibri" w:hAnsi="Cambria" w:cs="Calibri"/>
          <w:spacing w:val="-8"/>
        </w:rPr>
        <w:t xml:space="preserve"> </w:t>
      </w:r>
      <w:r w:rsidRPr="009A0DA6">
        <w:rPr>
          <w:rFonts w:ascii="Cambria" w:eastAsia="Calibri" w:hAnsi="Cambria" w:cs="Calibri"/>
        </w:rPr>
        <w:t>a</w:t>
      </w:r>
      <w:r w:rsidRPr="009A0DA6">
        <w:rPr>
          <w:rFonts w:ascii="Cambria" w:eastAsia="Calibri" w:hAnsi="Cambria" w:cs="Calibri"/>
          <w:spacing w:val="-2"/>
        </w:rPr>
        <w:t>c</w:t>
      </w:r>
      <w:r w:rsidRPr="009A0DA6">
        <w:rPr>
          <w:rFonts w:ascii="Cambria" w:eastAsia="Calibri" w:hAnsi="Cambria" w:cs="Calibri"/>
        </w:rPr>
        <w:t>cu</w:t>
      </w:r>
      <w:r w:rsidRPr="009A0DA6">
        <w:rPr>
          <w:rFonts w:ascii="Cambria" w:eastAsia="Calibri" w:hAnsi="Cambria" w:cs="Calibri"/>
          <w:spacing w:val="-1"/>
        </w:rPr>
        <w:t>r</w:t>
      </w:r>
      <w:r w:rsidRPr="009A0DA6">
        <w:rPr>
          <w:rFonts w:ascii="Cambria" w:eastAsia="Calibri" w:hAnsi="Cambria" w:cs="Calibri"/>
        </w:rPr>
        <w:t>at</w:t>
      </w:r>
      <w:r w:rsidRPr="009A0DA6">
        <w:rPr>
          <w:rFonts w:ascii="Cambria" w:eastAsia="Calibri" w:hAnsi="Cambria" w:cs="Calibri"/>
          <w:spacing w:val="1"/>
        </w:rPr>
        <w:t>e</w:t>
      </w:r>
      <w:r w:rsidRPr="009A0DA6">
        <w:rPr>
          <w:rFonts w:ascii="Cambria" w:eastAsia="Calibri" w:hAnsi="Cambria" w:cs="Calibri"/>
          <w:spacing w:val="-3"/>
        </w:rPr>
        <w:t>l</w:t>
      </w:r>
      <w:r w:rsidRPr="009A0DA6">
        <w:rPr>
          <w:rFonts w:ascii="Cambria" w:eastAsia="Calibri" w:hAnsi="Cambria" w:cs="Calibri"/>
          <w:spacing w:val="1"/>
        </w:rPr>
        <w:t>y</w:t>
      </w:r>
      <w:r w:rsidRPr="009A0DA6">
        <w:rPr>
          <w:rFonts w:ascii="Cambria" w:eastAsia="Calibri" w:hAnsi="Cambria" w:cs="Calibri"/>
        </w:rPr>
        <w:t>.</w:t>
      </w:r>
      <w:r w:rsidRPr="009A0DA6">
        <w:rPr>
          <w:rFonts w:ascii="Cambria" w:eastAsia="Calibri" w:hAnsi="Cambria" w:cs="Calibri"/>
          <w:spacing w:val="-9"/>
        </w:rPr>
        <w:t xml:space="preserve"> </w:t>
      </w:r>
      <w:r w:rsidRPr="009A0DA6">
        <w:rPr>
          <w:rFonts w:ascii="Cambria" w:eastAsia="Calibri" w:hAnsi="Cambria" w:cs="Calibri"/>
        </w:rPr>
        <w:t>At</w:t>
      </w:r>
      <w:r w:rsidRPr="009A0DA6">
        <w:rPr>
          <w:rFonts w:ascii="Cambria" w:eastAsia="Calibri" w:hAnsi="Cambria" w:cs="Calibri"/>
          <w:spacing w:val="-9"/>
        </w:rPr>
        <w:t xml:space="preserve"> </w:t>
      </w:r>
      <w:r w:rsidRPr="009A0DA6">
        <w:rPr>
          <w:rFonts w:ascii="Cambria" w:eastAsia="Calibri" w:hAnsi="Cambria" w:cs="Calibri"/>
          <w:spacing w:val="1"/>
        </w:rPr>
        <w:t>o</w:t>
      </w:r>
      <w:r w:rsidRPr="009A0DA6">
        <w:rPr>
          <w:rFonts w:ascii="Cambria" w:eastAsia="Calibri" w:hAnsi="Cambria" w:cs="Calibri"/>
          <w:spacing w:val="-2"/>
        </w:rPr>
        <w:t>t</w:t>
      </w:r>
      <w:r w:rsidRPr="009A0DA6">
        <w:rPr>
          <w:rFonts w:ascii="Cambria" w:eastAsia="Calibri" w:hAnsi="Cambria" w:cs="Calibri"/>
          <w:spacing w:val="-1"/>
        </w:rPr>
        <w:t>h</w:t>
      </w:r>
      <w:r w:rsidRPr="009A0DA6">
        <w:rPr>
          <w:rFonts w:ascii="Cambria" w:eastAsia="Calibri" w:hAnsi="Cambria" w:cs="Calibri"/>
        </w:rPr>
        <w:t>er</w:t>
      </w:r>
      <w:r w:rsidRPr="009A0DA6">
        <w:rPr>
          <w:rFonts w:ascii="Cambria" w:eastAsia="Calibri" w:hAnsi="Cambria" w:cs="Calibri"/>
          <w:spacing w:val="-8"/>
        </w:rPr>
        <w:t xml:space="preserve"> </w:t>
      </w:r>
      <w:r w:rsidRPr="009A0DA6">
        <w:rPr>
          <w:rFonts w:ascii="Cambria" w:eastAsia="Calibri" w:hAnsi="Cambria" w:cs="Calibri"/>
          <w:spacing w:val="-1"/>
        </w:rPr>
        <w:t>p</w:t>
      </w:r>
      <w:r w:rsidRPr="009A0DA6">
        <w:rPr>
          <w:rFonts w:ascii="Cambria" w:eastAsia="Calibri" w:hAnsi="Cambria" w:cs="Calibri"/>
          <w:spacing w:val="1"/>
        </w:rPr>
        <w:t>o</w:t>
      </w:r>
      <w:r w:rsidRPr="009A0DA6">
        <w:rPr>
          <w:rFonts w:ascii="Cambria" w:eastAsia="Calibri" w:hAnsi="Cambria" w:cs="Calibri"/>
        </w:rPr>
        <w:t>i</w:t>
      </w:r>
      <w:r w:rsidRPr="009A0DA6">
        <w:rPr>
          <w:rFonts w:ascii="Cambria" w:eastAsia="Calibri" w:hAnsi="Cambria" w:cs="Calibri"/>
          <w:spacing w:val="-1"/>
        </w:rPr>
        <w:t>n</w:t>
      </w:r>
      <w:r w:rsidRPr="009A0DA6">
        <w:rPr>
          <w:rFonts w:ascii="Cambria" w:eastAsia="Calibri" w:hAnsi="Cambria" w:cs="Calibri"/>
        </w:rPr>
        <w:t>ts</w:t>
      </w:r>
      <w:r w:rsidRPr="009A0DA6">
        <w:rPr>
          <w:rFonts w:ascii="Cambria" w:eastAsia="Calibri" w:hAnsi="Cambria" w:cs="Calibri"/>
          <w:spacing w:val="-8"/>
        </w:rPr>
        <w:t xml:space="preserve"> </w:t>
      </w:r>
      <w:r w:rsidRPr="009A0DA6">
        <w:rPr>
          <w:rFonts w:ascii="Cambria" w:eastAsia="Calibri" w:hAnsi="Cambria" w:cs="Calibri"/>
        </w:rPr>
        <w:t>it</w:t>
      </w:r>
      <w:r w:rsidRPr="009A0DA6">
        <w:rPr>
          <w:rFonts w:ascii="Cambria" w:eastAsia="Calibri" w:hAnsi="Cambria" w:cs="Calibri"/>
          <w:spacing w:val="-9"/>
        </w:rPr>
        <w:t xml:space="preserve"> </w:t>
      </w:r>
      <w:r w:rsidRPr="009A0DA6">
        <w:rPr>
          <w:rFonts w:ascii="Cambria" w:eastAsia="Calibri" w:hAnsi="Cambria" w:cs="Calibri"/>
          <w:spacing w:val="-1"/>
        </w:rPr>
        <w:t>m</w:t>
      </w:r>
      <w:r w:rsidRPr="009A0DA6">
        <w:rPr>
          <w:rFonts w:ascii="Cambria" w:eastAsia="Calibri" w:hAnsi="Cambria" w:cs="Calibri"/>
        </w:rPr>
        <w:t>akes</w:t>
      </w:r>
      <w:r w:rsidRPr="009A0DA6">
        <w:rPr>
          <w:rFonts w:ascii="Cambria" w:eastAsia="Calibri" w:hAnsi="Cambria" w:cs="Calibri"/>
          <w:spacing w:val="-8"/>
        </w:rPr>
        <w:t xml:space="preserve"> </w:t>
      </w:r>
      <w:r w:rsidRPr="009A0DA6">
        <w:rPr>
          <w:rFonts w:ascii="Cambria" w:eastAsia="Calibri" w:hAnsi="Cambria" w:cs="Calibri"/>
        </w:rPr>
        <w:t>c</w:t>
      </w:r>
      <w:r w:rsidRPr="009A0DA6">
        <w:rPr>
          <w:rFonts w:ascii="Cambria" w:eastAsia="Calibri" w:hAnsi="Cambria" w:cs="Calibri"/>
          <w:spacing w:val="-3"/>
        </w:rPr>
        <w:t>l</w:t>
      </w:r>
      <w:r w:rsidRPr="009A0DA6">
        <w:rPr>
          <w:rFonts w:ascii="Cambria" w:eastAsia="Calibri" w:hAnsi="Cambria" w:cs="Calibri"/>
        </w:rPr>
        <w:t>aims</w:t>
      </w:r>
      <w:r w:rsidRPr="009A0DA6">
        <w:rPr>
          <w:rFonts w:ascii="Cambria" w:eastAsia="Calibri" w:hAnsi="Cambria" w:cs="Calibri"/>
          <w:spacing w:val="-11"/>
        </w:rPr>
        <w:t xml:space="preserve"> </w:t>
      </w:r>
      <w:r w:rsidRPr="009A0DA6">
        <w:rPr>
          <w:rFonts w:ascii="Cambria" w:eastAsia="Calibri" w:hAnsi="Cambria" w:cs="Calibri"/>
          <w:spacing w:val="-2"/>
        </w:rPr>
        <w:t>t</w:t>
      </w:r>
      <w:r w:rsidRPr="009A0DA6">
        <w:rPr>
          <w:rFonts w:ascii="Cambria" w:eastAsia="Calibri" w:hAnsi="Cambria" w:cs="Calibri"/>
          <w:spacing w:val="-1"/>
        </w:rPr>
        <w:t>h</w:t>
      </w:r>
      <w:r w:rsidRPr="009A0DA6">
        <w:rPr>
          <w:rFonts w:ascii="Cambria" w:eastAsia="Calibri" w:hAnsi="Cambria" w:cs="Calibri"/>
        </w:rPr>
        <w:t>at</w:t>
      </w:r>
      <w:r w:rsidRPr="009A0DA6">
        <w:rPr>
          <w:rFonts w:ascii="Cambria" w:eastAsia="Calibri" w:hAnsi="Cambria" w:cs="Calibri"/>
          <w:spacing w:val="-9"/>
        </w:rPr>
        <w:t xml:space="preserve"> </w:t>
      </w:r>
      <w:r w:rsidRPr="009A0DA6">
        <w:rPr>
          <w:rFonts w:ascii="Cambria" w:eastAsia="Calibri" w:hAnsi="Cambria" w:cs="Calibri"/>
          <w:spacing w:val="-1"/>
        </w:rPr>
        <w:t>g</w:t>
      </w:r>
      <w:r w:rsidRPr="009A0DA6">
        <w:rPr>
          <w:rFonts w:ascii="Cambria" w:eastAsia="Calibri" w:hAnsi="Cambria" w:cs="Calibri"/>
        </w:rPr>
        <w:t>o</w:t>
      </w:r>
      <w:r w:rsidRPr="009A0DA6">
        <w:rPr>
          <w:rFonts w:ascii="Cambria" w:eastAsia="Calibri" w:hAnsi="Cambria" w:cs="Calibri"/>
          <w:spacing w:val="-8"/>
        </w:rPr>
        <w:t xml:space="preserve"> </w:t>
      </w:r>
      <w:r w:rsidRPr="009A0DA6">
        <w:rPr>
          <w:rFonts w:ascii="Cambria" w:eastAsia="Calibri" w:hAnsi="Cambria" w:cs="Calibri"/>
        </w:rPr>
        <w:t>w</w:t>
      </w:r>
      <w:r w:rsidRPr="009A0DA6">
        <w:rPr>
          <w:rFonts w:ascii="Cambria" w:eastAsia="Calibri" w:hAnsi="Cambria" w:cs="Calibri"/>
          <w:spacing w:val="1"/>
        </w:rPr>
        <w:t>e</w:t>
      </w:r>
      <w:r w:rsidRPr="009A0DA6">
        <w:rPr>
          <w:rFonts w:ascii="Cambria" w:eastAsia="Calibri" w:hAnsi="Cambria" w:cs="Calibri"/>
        </w:rPr>
        <w:t>ll</w:t>
      </w:r>
      <w:r w:rsidRPr="009A0DA6">
        <w:rPr>
          <w:rFonts w:ascii="Cambria" w:eastAsia="Calibri" w:hAnsi="Cambria" w:cs="Calibri"/>
          <w:spacing w:val="-9"/>
        </w:rPr>
        <w:t xml:space="preserve"> </w:t>
      </w:r>
      <w:r w:rsidRPr="009A0DA6">
        <w:rPr>
          <w:rFonts w:ascii="Cambria" w:eastAsia="Calibri" w:hAnsi="Cambria" w:cs="Calibri"/>
          <w:spacing w:val="-1"/>
        </w:rPr>
        <w:t>b</w:t>
      </w:r>
      <w:r w:rsidRPr="009A0DA6">
        <w:rPr>
          <w:rFonts w:ascii="Cambria" w:eastAsia="Calibri" w:hAnsi="Cambria" w:cs="Calibri"/>
          <w:spacing w:val="-2"/>
        </w:rPr>
        <w:t>e</w:t>
      </w:r>
      <w:r w:rsidRPr="009A0DA6">
        <w:rPr>
          <w:rFonts w:ascii="Cambria" w:eastAsia="Calibri" w:hAnsi="Cambria" w:cs="Calibri"/>
          <w:spacing w:val="1"/>
        </w:rPr>
        <w:t>yo</w:t>
      </w:r>
      <w:r w:rsidRPr="009A0DA6">
        <w:rPr>
          <w:rFonts w:ascii="Cambria" w:eastAsia="Calibri" w:hAnsi="Cambria" w:cs="Calibri"/>
          <w:spacing w:val="-1"/>
        </w:rPr>
        <w:t>n</w:t>
      </w:r>
      <w:r w:rsidRPr="009A0DA6">
        <w:rPr>
          <w:rFonts w:ascii="Cambria" w:eastAsia="Calibri" w:hAnsi="Cambria" w:cs="Calibri"/>
        </w:rPr>
        <w:t>d</w:t>
      </w:r>
      <w:r w:rsidRPr="009A0DA6">
        <w:rPr>
          <w:rFonts w:ascii="Cambria" w:eastAsia="Calibri" w:hAnsi="Cambria" w:cs="Calibri"/>
          <w:spacing w:val="-10"/>
        </w:rPr>
        <w:t xml:space="preserve"> </w:t>
      </w:r>
      <w:r w:rsidRPr="009A0DA6">
        <w:rPr>
          <w:rFonts w:ascii="Cambria" w:eastAsia="Calibri" w:hAnsi="Cambria" w:cs="Calibri"/>
        </w:rPr>
        <w:t>the</w:t>
      </w:r>
      <w:r w:rsidRPr="009A0DA6">
        <w:rPr>
          <w:rFonts w:ascii="Cambria" w:eastAsia="Calibri" w:hAnsi="Cambria" w:cs="Calibri"/>
          <w:spacing w:val="-9"/>
        </w:rPr>
        <w:t xml:space="preserve"> </w:t>
      </w:r>
      <w:r w:rsidRPr="009A0DA6">
        <w:rPr>
          <w:rFonts w:ascii="Cambria" w:eastAsia="Calibri" w:hAnsi="Cambria" w:cs="Calibri"/>
          <w:spacing w:val="-1"/>
        </w:rPr>
        <w:t>d</w:t>
      </w:r>
      <w:r w:rsidRPr="009A0DA6">
        <w:rPr>
          <w:rFonts w:ascii="Cambria" w:eastAsia="Calibri" w:hAnsi="Cambria" w:cs="Calibri"/>
        </w:rPr>
        <w:t>a</w:t>
      </w:r>
      <w:r w:rsidRPr="009A0DA6">
        <w:rPr>
          <w:rFonts w:ascii="Cambria" w:eastAsia="Calibri" w:hAnsi="Cambria" w:cs="Calibri"/>
          <w:spacing w:val="-2"/>
        </w:rPr>
        <w:t>t</w:t>
      </w:r>
      <w:r w:rsidRPr="009A0DA6">
        <w:rPr>
          <w:rFonts w:ascii="Cambria" w:eastAsia="Calibri" w:hAnsi="Cambria" w:cs="Calibri"/>
        </w:rPr>
        <w:t>a, such</w:t>
      </w:r>
      <w:r w:rsidRPr="009A0DA6">
        <w:rPr>
          <w:rFonts w:ascii="Cambria" w:eastAsia="Calibri" w:hAnsi="Cambria" w:cs="Calibri"/>
          <w:spacing w:val="-3"/>
        </w:rPr>
        <w:t xml:space="preserve"> </w:t>
      </w:r>
      <w:r w:rsidRPr="009A0DA6">
        <w:rPr>
          <w:rFonts w:ascii="Cambria" w:eastAsia="Calibri" w:hAnsi="Cambria" w:cs="Calibri"/>
        </w:rPr>
        <w:t>as</w:t>
      </w:r>
      <w:r w:rsidRPr="009A0DA6">
        <w:rPr>
          <w:rFonts w:ascii="Cambria" w:eastAsia="Calibri" w:hAnsi="Cambria" w:cs="Calibri"/>
          <w:spacing w:val="-4"/>
        </w:rPr>
        <w:t xml:space="preserve"> </w:t>
      </w:r>
      <w:r w:rsidRPr="009A0DA6">
        <w:rPr>
          <w:rFonts w:ascii="Cambria" w:eastAsia="Calibri" w:hAnsi="Cambria" w:cs="Calibri"/>
        </w:rPr>
        <w:t>when</w:t>
      </w:r>
      <w:r w:rsidRPr="009A0DA6">
        <w:rPr>
          <w:rFonts w:ascii="Cambria" w:eastAsia="Calibri" w:hAnsi="Cambria" w:cs="Calibri"/>
          <w:spacing w:val="-5"/>
        </w:rPr>
        <w:t xml:space="preserve"> </w:t>
      </w:r>
      <w:r w:rsidRPr="009A0DA6">
        <w:rPr>
          <w:rFonts w:ascii="Cambria" w:eastAsia="Calibri" w:hAnsi="Cambria" w:cs="Calibri"/>
        </w:rPr>
        <w:t>it</w:t>
      </w:r>
      <w:r w:rsidRPr="009A0DA6">
        <w:rPr>
          <w:rFonts w:ascii="Cambria" w:eastAsia="Calibri" w:hAnsi="Cambria" w:cs="Calibri"/>
          <w:spacing w:val="-4"/>
        </w:rPr>
        <w:t xml:space="preserve"> </w:t>
      </w:r>
      <w:r w:rsidRPr="009A0DA6">
        <w:rPr>
          <w:rFonts w:ascii="Cambria" w:eastAsia="Calibri" w:hAnsi="Cambria" w:cs="Calibri"/>
        </w:rPr>
        <w:t>ass</w:t>
      </w:r>
      <w:r w:rsidRPr="009A0DA6">
        <w:rPr>
          <w:rFonts w:ascii="Cambria" w:eastAsia="Calibri" w:hAnsi="Cambria" w:cs="Calibri"/>
          <w:spacing w:val="-2"/>
        </w:rPr>
        <w:t>e</w:t>
      </w:r>
      <w:r w:rsidRPr="009A0DA6">
        <w:rPr>
          <w:rFonts w:ascii="Cambria" w:eastAsia="Calibri" w:hAnsi="Cambria" w:cs="Calibri"/>
        </w:rPr>
        <w:t>rts</w:t>
      </w:r>
      <w:r w:rsidRPr="009A0DA6">
        <w:rPr>
          <w:rFonts w:ascii="Cambria" w:eastAsia="Calibri" w:hAnsi="Cambria" w:cs="Calibri"/>
          <w:spacing w:val="-4"/>
        </w:rPr>
        <w:t xml:space="preserve"> </w:t>
      </w:r>
      <w:r w:rsidRPr="009A0DA6">
        <w:rPr>
          <w:rFonts w:ascii="Cambria" w:eastAsia="Calibri" w:hAnsi="Cambria" w:cs="Calibri"/>
        </w:rPr>
        <w:t>that</w:t>
      </w:r>
      <w:r w:rsidRPr="009A0DA6">
        <w:rPr>
          <w:rFonts w:ascii="Cambria" w:eastAsia="Calibri" w:hAnsi="Cambria" w:cs="Calibri"/>
          <w:spacing w:val="-4"/>
        </w:rPr>
        <w:t xml:space="preserve"> </w:t>
      </w:r>
      <w:r w:rsidRPr="009A0DA6">
        <w:rPr>
          <w:rFonts w:ascii="Cambria" w:eastAsia="Calibri" w:hAnsi="Cambria" w:cs="Calibri"/>
        </w:rPr>
        <w:t>the</w:t>
      </w:r>
      <w:r w:rsidRPr="009A0DA6">
        <w:rPr>
          <w:rFonts w:ascii="Cambria" w:eastAsia="Calibri" w:hAnsi="Cambria" w:cs="Calibri"/>
          <w:spacing w:val="-2"/>
        </w:rPr>
        <w:t>r</w:t>
      </w:r>
      <w:r w:rsidRPr="009A0DA6">
        <w:rPr>
          <w:rFonts w:ascii="Cambria" w:eastAsia="Calibri" w:hAnsi="Cambria" w:cs="Calibri"/>
        </w:rPr>
        <w:t>e</w:t>
      </w:r>
      <w:r w:rsidRPr="009A0DA6">
        <w:rPr>
          <w:rFonts w:ascii="Cambria" w:eastAsia="Calibri" w:hAnsi="Cambria" w:cs="Calibri"/>
          <w:spacing w:val="-3"/>
        </w:rPr>
        <w:t xml:space="preserve"> </w:t>
      </w:r>
      <w:r w:rsidRPr="009A0DA6">
        <w:rPr>
          <w:rFonts w:ascii="Cambria" w:eastAsia="Calibri" w:hAnsi="Cambria" w:cs="Calibri"/>
        </w:rPr>
        <w:t>was</w:t>
      </w:r>
      <w:r w:rsidRPr="009A0DA6">
        <w:rPr>
          <w:rFonts w:ascii="Cambria" w:eastAsia="Calibri" w:hAnsi="Cambria" w:cs="Calibri"/>
          <w:spacing w:val="-4"/>
        </w:rPr>
        <w:t xml:space="preserve"> </w:t>
      </w:r>
      <w:r w:rsidRPr="009A0DA6">
        <w:rPr>
          <w:rFonts w:ascii="Cambria" w:eastAsia="Calibri" w:hAnsi="Cambria" w:cs="Calibri"/>
        </w:rPr>
        <w:t>a</w:t>
      </w:r>
      <w:r w:rsidRPr="009A0DA6">
        <w:rPr>
          <w:rFonts w:ascii="Cambria" w:eastAsia="Calibri" w:hAnsi="Cambria" w:cs="Calibri"/>
          <w:spacing w:val="-2"/>
        </w:rPr>
        <w:t xml:space="preserve"> </w:t>
      </w:r>
      <w:r w:rsidRPr="009A0DA6">
        <w:rPr>
          <w:rFonts w:ascii="Cambria" w:eastAsia="Calibri" w:hAnsi="Cambria" w:cs="Calibri"/>
          <w:spacing w:val="-3"/>
        </w:rPr>
        <w:t>f</w:t>
      </w:r>
      <w:r w:rsidRPr="009A0DA6">
        <w:rPr>
          <w:rFonts w:ascii="Cambria" w:eastAsia="Calibri" w:hAnsi="Cambria" w:cs="Calibri"/>
          <w:spacing w:val="-2"/>
        </w:rPr>
        <w:t>e</w:t>
      </w:r>
      <w:r w:rsidRPr="009A0DA6">
        <w:rPr>
          <w:rFonts w:ascii="Cambria" w:eastAsia="Calibri" w:hAnsi="Cambria" w:cs="Calibri"/>
          <w:spacing w:val="1"/>
        </w:rPr>
        <w:t>m</w:t>
      </w:r>
      <w:r w:rsidRPr="009A0DA6">
        <w:rPr>
          <w:rFonts w:ascii="Cambria" w:eastAsia="Calibri" w:hAnsi="Cambria" w:cs="Calibri"/>
        </w:rPr>
        <w:t>ale</w:t>
      </w:r>
      <w:r w:rsidRPr="009A0DA6">
        <w:rPr>
          <w:rFonts w:ascii="Cambria" w:eastAsia="Calibri" w:hAnsi="Cambria" w:cs="Calibri"/>
          <w:spacing w:val="-4"/>
        </w:rPr>
        <w:t xml:space="preserve"> </w:t>
      </w:r>
      <w:r w:rsidRPr="009A0DA6">
        <w:rPr>
          <w:rFonts w:ascii="Cambria" w:eastAsia="Calibri" w:hAnsi="Cambria" w:cs="Calibri"/>
        </w:rPr>
        <w:t>A</w:t>
      </w:r>
      <w:r w:rsidRPr="009A0DA6">
        <w:rPr>
          <w:rFonts w:ascii="Cambria" w:eastAsia="Calibri" w:hAnsi="Cambria" w:cs="Calibri"/>
          <w:spacing w:val="-1"/>
        </w:rPr>
        <w:t>p</w:t>
      </w:r>
      <w:r w:rsidRPr="009A0DA6">
        <w:rPr>
          <w:rFonts w:ascii="Cambria" w:eastAsia="Calibri" w:hAnsi="Cambria" w:cs="Calibri"/>
          <w:spacing w:val="1"/>
        </w:rPr>
        <w:t>o</w:t>
      </w:r>
      <w:r w:rsidRPr="009A0DA6">
        <w:rPr>
          <w:rFonts w:ascii="Cambria" w:eastAsia="Calibri" w:hAnsi="Cambria" w:cs="Calibri"/>
          <w:spacing w:val="-2"/>
        </w:rPr>
        <w:t>s</w:t>
      </w:r>
      <w:r w:rsidRPr="009A0DA6">
        <w:rPr>
          <w:rFonts w:ascii="Cambria" w:eastAsia="Calibri" w:hAnsi="Cambria" w:cs="Calibri"/>
        </w:rPr>
        <w:t>t</w:t>
      </w:r>
      <w:r w:rsidRPr="009A0DA6">
        <w:rPr>
          <w:rFonts w:ascii="Cambria" w:eastAsia="Calibri" w:hAnsi="Cambria" w:cs="Calibri"/>
          <w:spacing w:val="-2"/>
        </w:rPr>
        <w:t>l</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rPr>
        <w:t>cal</w:t>
      </w:r>
      <w:r w:rsidRPr="009A0DA6">
        <w:rPr>
          <w:rFonts w:ascii="Cambria" w:eastAsia="Calibri" w:hAnsi="Cambria" w:cs="Calibri"/>
          <w:spacing w:val="-3"/>
        </w:rPr>
        <w:t>l</w:t>
      </w:r>
      <w:r w:rsidRPr="009A0DA6">
        <w:rPr>
          <w:rFonts w:ascii="Cambria" w:eastAsia="Calibri" w:hAnsi="Cambria" w:cs="Calibri"/>
        </w:rPr>
        <w:t>ed</w:t>
      </w:r>
      <w:r w:rsidRPr="009A0DA6">
        <w:rPr>
          <w:rFonts w:ascii="Cambria" w:eastAsia="Calibri" w:hAnsi="Cambria" w:cs="Calibri"/>
          <w:spacing w:val="-2"/>
        </w:rPr>
        <w:t xml:space="preserve"> </w:t>
      </w:r>
      <w:r w:rsidRPr="009A0DA6">
        <w:rPr>
          <w:rFonts w:ascii="Cambria" w:eastAsia="Calibri" w:hAnsi="Cambria" w:cs="Calibri"/>
          <w:spacing w:val="-1"/>
        </w:rPr>
        <w:t>Jun</w:t>
      </w:r>
      <w:r w:rsidRPr="009A0DA6">
        <w:rPr>
          <w:rFonts w:ascii="Cambria" w:eastAsia="Calibri" w:hAnsi="Cambria" w:cs="Calibri"/>
        </w:rPr>
        <w:t>ia</w:t>
      </w:r>
      <w:r w:rsidRPr="009A0DA6">
        <w:rPr>
          <w:rFonts w:ascii="Cambria" w:eastAsia="Calibri" w:hAnsi="Cambria" w:cs="Calibri"/>
          <w:spacing w:val="-1"/>
        </w:rPr>
        <w:t>,</w:t>
      </w:r>
      <w:r w:rsidRPr="009A0DA6">
        <w:rPr>
          <w:rStyle w:val="FootnoteReference"/>
          <w:rFonts w:ascii="Cambria" w:eastAsia="Calibri" w:hAnsi="Cambria" w:cs="Calibri"/>
          <w:spacing w:val="-1"/>
        </w:rPr>
        <w:footnoteReference w:id="11"/>
      </w:r>
      <w:r w:rsidRPr="009A0DA6">
        <w:rPr>
          <w:rFonts w:ascii="Cambria" w:eastAsia="Calibri" w:hAnsi="Cambria" w:cs="Calibri"/>
          <w:spacing w:val="14"/>
          <w:position w:val="8"/>
          <w:sz w:val="14"/>
          <w:szCs w:val="14"/>
        </w:rPr>
        <w:t xml:space="preserve"> </w:t>
      </w:r>
      <w:r w:rsidRPr="009A0DA6">
        <w:rPr>
          <w:rFonts w:ascii="Cambria" w:eastAsia="Calibri" w:hAnsi="Cambria" w:cs="Calibri"/>
        </w:rPr>
        <w:t>that</w:t>
      </w:r>
      <w:r w:rsidRPr="009A0DA6">
        <w:rPr>
          <w:rFonts w:ascii="Cambria" w:eastAsia="Calibri" w:hAnsi="Cambria" w:cs="Calibri"/>
          <w:spacing w:val="-4"/>
        </w:rPr>
        <w:t xml:space="preserve"> </w:t>
      </w:r>
      <w:r w:rsidRPr="009A0DA6">
        <w:rPr>
          <w:rFonts w:ascii="Cambria" w:eastAsia="Calibri" w:hAnsi="Cambria" w:cs="Calibri"/>
          <w:spacing w:val="1"/>
        </w:rPr>
        <w:t>P</w:t>
      </w:r>
      <w:r w:rsidRPr="009A0DA6">
        <w:rPr>
          <w:rFonts w:ascii="Cambria" w:eastAsia="Calibri" w:hAnsi="Cambria" w:cs="Calibri"/>
          <w:spacing w:val="-3"/>
        </w:rPr>
        <w:t>h</w:t>
      </w:r>
      <w:r w:rsidRPr="009A0DA6">
        <w:rPr>
          <w:rFonts w:ascii="Cambria" w:eastAsia="Calibri" w:hAnsi="Cambria" w:cs="Calibri"/>
          <w:spacing w:val="1"/>
        </w:rPr>
        <w:t>o</w:t>
      </w:r>
      <w:r w:rsidRPr="009A0DA6">
        <w:rPr>
          <w:rFonts w:ascii="Cambria" w:eastAsia="Calibri" w:hAnsi="Cambria" w:cs="Calibri"/>
        </w:rPr>
        <w:t>ebe</w:t>
      </w:r>
      <w:r w:rsidRPr="009A0DA6">
        <w:rPr>
          <w:rFonts w:ascii="Cambria" w:eastAsia="Calibri" w:hAnsi="Cambria" w:cs="Calibri"/>
          <w:spacing w:val="-6"/>
        </w:rPr>
        <w:t xml:space="preserve"> </w:t>
      </w:r>
      <w:r w:rsidRPr="009A0DA6">
        <w:rPr>
          <w:rFonts w:ascii="Cambria" w:eastAsia="Calibri" w:hAnsi="Cambria" w:cs="Calibri"/>
        </w:rPr>
        <w:t>a</w:t>
      </w:r>
      <w:r w:rsidRPr="009A0DA6">
        <w:rPr>
          <w:rFonts w:ascii="Cambria" w:eastAsia="Calibri" w:hAnsi="Cambria" w:cs="Calibri"/>
          <w:spacing w:val="-1"/>
        </w:rPr>
        <w:t>n</w:t>
      </w:r>
      <w:r w:rsidRPr="009A0DA6">
        <w:rPr>
          <w:rFonts w:ascii="Cambria" w:eastAsia="Calibri" w:hAnsi="Cambria" w:cs="Calibri"/>
        </w:rPr>
        <w:t>d</w:t>
      </w:r>
      <w:r w:rsidRPr="009A0DA6">
        <w:rPr>
          <w:rFonts w:ascii="Cambria" w:eastAsia="Calibri" w:hAnsi="Cambria" w:cs="Calibri"/>
          <w:spacing w:val="-3"/>
        </w:rPr>
        <w:t xml:space="preserve"> </w:t>
      </w:r>
      <w:r w:rsidRPr="009A0DA6">
        <w:rPr>
          <w:rFonts w:ascii="Cambria" w:eastAsia="Calibri" w:hAnsi="Cambria" w:cs="Calibri"/>
        </w:rPr>
        <w:t>Ti</w:t>
      </w:r>
      <w:r w:rsidRPr="009A0DA6">
        <w:rPr>
          <w:rFonts w:ascii="Cambria" w:eastAsia="Calibri" w:hAnsi="Cambria" w:cs="Calibri"/>
          <w:spacing w:val="-1"/>
        </w:rPr>
        <w:t>m</w:t>
      </w:r>
      <w:r w:rsidRPr="009A0DA6">
        <w:rPr>
          <w:rFonts w:ascii="Cambria" w:eastAsia="Calibri" w:hAnsi="Cambria" w:cs="Calibri"/>
          <w:spacing w:val="1"/>
        </w:rPr>
        <w:t>o</w:t>
      </w:r>
      <w:r w:rsidRPr="009A0DA6">
        <w:rPr>
          <w:rFonts w:ascii="Cambria" w:eastAsia="Calibri" w:hAnsi="Cambria" w:cs="Calibri"/>
        </w:rPr>
        <w:t>t</w:t>
      </w:r>
      <w:r w:rsidRPr="009A0DA6">
        <w:rPr>
          <w:rFonts w:ascii="Cambria" w:eastAsia="Calibri" w:hAnsi="Cambria" w:cs="Calibri"/>
          <w:spacing w:val="-3"/>
        </w:rPr>
        <w:t>h</w:t>
      </w:r>
      <w:r w:rsidRPr="009A0DA6">
        <w:rPr>
          <w:rFonts w:ascii="Cambria" w:eastAsia="Calibri" w:hAnsi="Cambria" w:cs="Calibri"/>
        </w:rPr>
        <w:t>y</w:t>
      </w:r>
      <w:r w:rsidRPr="009A0DA6">
        <w:rPr>
          <w:rFonts w:ascii="Cambria" w:eastAsia="Calibri" w:hAnsi="Cambria" w:cs="Calibri"/>
          <w:spacing w:val="-1"/>
        </w:rPr>
        <w:t xml:space="preserve"> </w:t>
      </w:r>
      <w:r w:rsidRPr="009A0DA6">
        <w:rPr>
          <w:rFonts w:ascii="Cambria" w:eastAsia="Calibri" w:hAnsi="Cambria" w:cs="Calibri"/>
          <w:spacing w:val="-3"/>
        </w:rPr>
        <w:t>b</w:t>
      </w:r>
      <w:r w:rsidRPr="009A0DA6">
        <w:rPr>
          <w:rFonts w:ascii="Cambria" w:eastAsia="Calibri" w:hAnsi="Cambria" w:cs="Calibri"/>
          <w:spacing w:val="1"/>
        </w:rPr>
        <w:t>o</w:t>
      </w:r>
      <w:r w:rsidRPr="009A0DA6">
        <w:rPr>
          <w:rFonts w:ascii="Cambria" w:eastAsia="Calibri" w:hAnsi="Cambria" w:cs="Calibri"/>
        </w:rPr>
        <w:t>th</w:t>
      </w:r>
      <w:r w:rsidRPr="009A0DA6">
        <w:rPr>
          <w:rFonts w:ascii="Cambria" w:eastAsia="Calibri" w:hAnsi="Cambria" w:cs="Calibri"/>
          <w:spacing w:val="-5"/>
        </w:rPr>
        <w:t xml:space="preserve"> </w:t>
      </w:r>
      <w:r w:rsidRPr="009A0DA6">
        <w:rPr>
          <w:rFonts w:ascii="Cambria" w:eastAsia="Calibri" w:hAnsi="Cambria" w:cs="Calibri"/>
          <w:spacing w:val="-1"/>
        </w:rPr>
        <w:t>o</w:t>
      </w:r>
      <w:r w:rsidRPr="009A0DA6">
        <w:rPr>
          <w:rFonts w:ascii="Cambria" w:eastAsia="Calibri" w:hAnsi="Cambria" w:cs="Calibri"/>
        </w:rPr>
        <w:t>ccu</w:t>
      </w:r>
      <w:r w:rsidRPr="009A0DA6">
        <w:rPr>
          <w:rFonts w:ascii="Cambria" w:eastAsia="Calibri" w:hAnsi="Cambria" w:cs="Calibri"/>
          <w:spacing w:val="-1"/>
        </w:rPr>
        <w:t>p</w:t>
      </w:r>
      <w:r w:rsidRPr="009A0DA6">
        <w:rPr>
          <w:rFonts w:ascii="Cambria" w:eastAsia="Calibri" w:hAnsi="Cambria" w:cs="Calibri"/>
        </w:rPr>
        <w:t>ied the</w:t>
      </w:r>
      <w:r w:rsidRPr="009A0DA6">
        <w:rPr>
          <w:rFonts w:ascii="Cambria" w:eastAsia="Calibri" w:hAnsi="Cambria" w:cs="Calibri"/>
          <w:spacing w:val="13"/>
        </w:rPr>
        <w:t xml:space="preserve"> </w:t>
      </w:r>
      <w:r w:rsidRPr="009A0DA6">
        <w:rPr>
          <w:rFonts w:ascii="Cambria" w:eastAsia="Calibri" w:hAnsi="Cambria" w:cs="Calibri"/>
        </w:rPr>
        <w:t>s</w:t>
      </w:r>
      <w:r w:rsidRPr="009A0DA6">
        <w:rPr>
          <w:rFonts w:ascii="Cambria" w:eastAsia="Calibri" w:hAnsi="Cambria" w:cs="Calibri"/>
          <w:spacing w:val="-2"/>
        </w:rPr>
        <w:t>a</w:t>
      </w:r>
      <w:r w:rsidRPr="009A0DA6">
        <w:rPr>
          <w:rFonts w:ascii="Cambria" w:eastAsia="Calibri" w:hAnsi="Cambria" w:cs="Calibri"/>
          <w:spacing w:val="1"/>
        </w:rPr>
        <w:t>m</w:t>
      </w:r>
      <w:r w:rsidRPr="009A0DA6">
        <w:rPr>
          <w:rFonts w:ascii="Cambria" w:eastAsia="Calibri" w:hAnsi="Cambria" w:cs="Calibri"/>
        </w:rPr>
        <w:t>e</w:t>
      </w:r>
      <w:r w:rsidRPr="009A0DA6">
        <w:rPr>
          <w:rFonts w:ascii="Cambria" w:eastAsia="Calibri" w:hAnsi="Cambria" w:cs="Calibri"/>
          <w:spacing w:val="11"/>
        </w:rPr>
        <w:t xml:space="preserve"> </w:t>
      </w:r>
      <w:r w:rsidRPr="009A0DA6">
        <w:rPr>
          <w:rFonts w:ascii="Cambria" w:eastAsia="Calibri" w:hAnsi="Cambria" w:cs="Calibri"/>
          <w:spacing w:val="1"/>
        </w:rPr>
        <w:t>o</w:t>
      </w:r>
      <w:r w:rsidRPr="009A0DA6">
        <w:rPr>
          <w:rFonts w:ascii="Cambria" w:eastAsia="Calibri" w:hAnsi="Cambria" w:cs="Calibri"/>
        </w:rPr>
        <w:t>ff</w:t>
      </w:r>
      <w:r w:rsidRPr="009A0DA6">
        <w:rPr>
          <w:rFonts w:ascii="Cambria" w:eastAsia="Calibri" w:hAnsi="Cambria" w:cs="Calibri"/>
          <w:spacing w:val="-1"/>
        </w:rPr>
        <w:t>i</w:t>
      </w:r>
      <w:r w:rsidRPr="009A0DA6">
        <w:rPr>
          <w:rFonts w:ascii="Cambria" w:eastAsia="Calibri" w:hAnsi="Cambria" w:cs="Calibri"/>
          <w:spacing w:val="-2"/>
        </w:rPr>
        <w:t>c</w:t>
      </w:r>
      <w:r w:rsidRPr="009A0DA6">
        <w:rPr>
          <w:rFonts w:ascii="Cambria" w:eastAsia="Calibri" w:hAnsi="Cambria" w:cs="Calibri"/>
        </w:rPr>
        <w:t>e</w:t>
      </w:r>
      <w:r w:rsidRPr="009A0DA6">
        <w:rPr>
          <w:rFonts w:ascii="Cambria" w:eastAsia="Calibri" w:hAnsi="Cambria" w:cs="Calibri"/>
          <w:spacing w:val="-1"/>
        </w:rPr>
        <w:t>,</w:t>
      </w:r>
      <w:r w:rsidRPr="009A0DA6">
        <w:rPr>
          <w:rStyle w:val="FootnoteReference"/>
          <w:rFonts w:ascii="Cambria" w:eastAsia="Calibri" w:hAnsi="Cambria" w:cs="Calibri"/>
          <w:spacing w:val="-1"/>
        </w:rPr>
        <w:footnoteReference w:id="12"/>
      </w:r>
      <w:r w:rsidRPr="009A0DA6">
        <w:rPr>
          <w:rFonts w:ascii="Cambria" w:eastAsia="Calibri" w:hAnsi="Cambria" w:cs="Calibri"/>
          <w:spacing w:val="29"/>
          <w:position w:val="8"/>
          <w:sz w:val="14"/>
          <w:szCs w:val="14"/>
        </w:rPr>
        <w:t xml:space="preserve"> </w:t>
      </w:r>
      <w:r w:rsidRPr="009A0DA6">
        <w:rPr>
          <w:rFonts w:ascii="Cambria" w:eastAsia="Calibri" w:hAnsi="Cambria" w:cs="Calibri"/>
        </w:rPr>
        <w:t>a</w:t>
      </w:r>
      <w:r w:rsidRPr="009A0DA6">
        <w:rPr>
          <w:rFonts w:ascii="Cambria" w:eastAsia="Calibri" w:hAnsi="Cambria" w:cs="Calibri"/>
          <w:spacing w:val="-1"/>
        </w:rPr>
        <w:t>n</w:t>
      </w:r>
      <w:r w:rsidRPr="009A0DA6">
        <w:rPr>
          <w:rFonts w:ascii="Cambria" w:eastAsia="Calibri" w:hAnsi="Cambria" w:cs="Calibri"/>
        </w:rPr>
        <w:t>d</w:t>
      </w:r>
      <w:r w:rsidRPr="009A0DA6">
        <w:rPr>
          <w:rFonts w:ascii="Cambria" w:eastAsia="Calibri" w:hAnsi="Cambria" w:cs="Calibri"/>
          <w:spacing w:val="12"/>
        </w:rPr>
        <w:t xml:space="preserve"> </w:t>
      </w:r>
      <w:r w:rsidRPr="009A0DA6">
        <w:rPr>
          <w:rFonts w:ascii="Cambria" w:eastAsia="Calibri" w:hAnsi="Cambria" w:cs="Calibri"/>
        </w:rPr>
        <w:t>that</w:t>
      </w:r>
      <w:r w:rsidRPr="009A0DA6">
        <w:rPr>
          <w:rFonts w:ascii="Cambria" w:eastAsia="Calibri" w:hAnsi="Cambria" w:cs="Calibri"/>
          <w:spacing w:val="10"/>
        </w:rPr>
        <w:t xml:space="preserve"> </w:t>
      </w:r>
      <w:r w:rsidRPr="009A0DA6">
        <w:rPr>
          <w:rFonts w:ascii="Cambria" w:eastAsia="Calibri" w:hAnsi="Cambria" w:cs="Calibri"/>
          <w:spacing w:val="1"/>
        </w:rPr>
        <w:t>P</w:t>
      </w:r>
      <w:r w:rsidRPr="009A0DA6">
        <w:rPr>
          <w:rFonts w:ascii="Cambria" w:eastAsia="Calibri" w:hAnsi="Cambria" w:cs="Calibri"/>
        </w:rPr>
        <w:t>risc</w:t>
      </w:r>
      <w:r w:rsidRPr="009A0DA6">
        <w:rPr>
          <w:rFonts w:ascii="Cambria" w:eastAsia="Calibri" w:hAnsi="Cambria" w:cs="Calibri"/>
          <w:spacing w:val="-1"/>
        </w:rPr>
        <w:t>i</w:t>
      </w:r>
      <w:r w:rsidRPr="009A0DA6">
        <w:rPr>
          <w:rFonts w:ascii="Cambria" w:eastAsia="Calibri" w:hAnsi="Cambria" w:cs="Calibri"/>
        </w:rPr>
        <w:t>l</w:t>
      </w:r>
      <w:r w:rsidRPr="009A0DA6">
        <w:rPr>
          <w:rFonts w:ascii="Cambria" w:eastAsia="Calibri" w:hAnsi="Cambria" w:cs="Calibri"/>
          <w:spacing w:val="-1"/>
        </w:rPr>
        <w:t>l</w:t>
      </w:r>
      <w:r w:rsidRPr="009A0DA6">
        <w:rPr>
          <w:rFonts w:ascii="Cambria" w:eastAsia="Calibri" w:hAnsi="Cambria" w:cs="Calibri"/>
        </w:rPr>
        <w:t>a</w:t>
      </w:r>
      <w:r w:rsidRPr="009A0DA6">
        <w:rPr>
          <w:rFonts w:ascii="Cambria" w:eastAsia="Calibri" w:hAnsi="Cambria" w:cs="Calibri"/>
          <w:spacing w:val="10"/>
        </w:rPr>
        <w:t xml:space="preserve"> </w:t>
      </w:r>
      <w:r w:rsidRPr="009A0DA6">
        <w:rPr>
          <w:rFonts w:ascii="Cambria" w:eastAsia="Calibri" w:hAnsi="Cambria" w:cs="Calibri"/>
        </w:rPr>
        <w:t>was</w:t>
      </w:r>
      <w:r w:rsidRPr="009A0DA6">
        <w:rPr>
          <w:rFonts w:ascii="Cambria" w:eastAsia="Calibri" w:hAnsi="Cambria" w:cs="Calibri"/>
          <w:spacing w:val="13"/>
        </w:rPr>
        <w:t xml:space="preserve"> </w:t>
      </w:r>
      <w:r w:rsidRPr="009A0DA6">
        <w:rPr>
          <w:rFonts w:ascii="Cambria" w:eastAsia="Calibri" w:hAnsi="Cambria" w:cs="Calibri"/>
        </w:rPr>
        <w:t>a</w:t>
      </w:r>
      <w:r w:rsidRPr="009A0DA6">
        <w:rPr>
          <w:rFonts w:ascii="Cambria" w:eastAsia="Calibri" w:hAnsi="Cambria" w:cs="Calibri"/>
          <w:spacing w:val="10"/>
        </w:rPr>
        <w:t xml:space="preserve"> </w:t>
      </w:r>
      <w:r w:rsidRPr="009A0DA6">
        <w:rPr>
          <w:rFonts w:ascii="Cambria" w:eastAsia="Calibri" w:hAnsi="Cambria" w:cs="Calibri"/>
          <w:spacing w:val="-1"/>
        </w:rPr>
        <w:t>“</w:t>
      </w:r>
      <w:r w:rsidRPr="009A0DA6">
        <w:rPr>
          <w:rFonts w:ascii="Cambria" w:eastAsia="Calibri" w:hAnsi="Cambria" w:cs="Calibri"/>
        </w:rPr>
        <w:t>t</w:t>
      </w:r>
      <w:r w:rsidRPr="009A0DA6">
        <w:rPr>
          <w:rFonts w:ascii="Cambria" w:eastAsia="Calibri" w:hAnsi="Cambria" w:cs="Calibri"/>
          <w:spacing w:val="1"/>
        </w:rPr>
        <w:t>e</w:t>
      </w:r>
      <w:r w:rsidRPr="009A0DA6">
        <w:rPr>
          <w:rFonts w:ascii="Cambria" w:eastAsia="Calibri" w:hAnsi="Cambria" w:cs="Calibri"/>
        </w:rPr>
        <w:t>ac</w:t>
      </w:r>
      <w:r w:rsidRPr="009A0DA6">
        <w:rPr>
          <w:rFonts w:ascii="Cambria" w:eastAsia="Calibri" w:hAnsi="Cambria" w:cs="Calibri"/>
          <w:spacing w:val="-3"/>
        </w:rPr>
        <w:t>h</w:t>
      </w:r>
      <w:r w:rsidRPr="009A0DA6">
        <w:rPr>
          <w:rFonts w:ascii="Cambria" w:eastAsia="Calibri" w:hAnsi="Cambria" w:cs="Calibri"/>
          <w:spacing w:val="2"/>
        </w:rPr>
        <w:t>e</w:t>
      </w:r>
      <w:r w:rsidRPr="009A0DA6">
        <w:rPr>
          <w:rFonts w:ascii="Cambria" w:eastAsia="Calibri" w:hAnsi="Cambria" w:cs="Calibri"/>
        </w:rPr>
        <w:t>r</w:t>
      </w:r>
      <w:r w:rsidRPr="009A0DA6">
        <w:rPr>
          <w:rFonts w:ascii="Cambria" w:eastAsia="Calibri" w:hAnsi="Cambria" w:cs="Calibri"/>
          <w:spacing w:val="10"/>
        </w:rPr>
        <w:t xml:space="preserve"> </w:t>
      </w:r>
      <w:r w:rsidRPr="009A0DA6">
        <w:rPr>
          <w:rFonts w:ascii="Cambria" w:eastAsia="Calibri" w:hAnsi="Cambria" w:cs="Calibri"/>
          <w:spacing w:val="1"/>
        </w:rPr>
        <w:t>o</w:t>
      </w:r>
      <w:r w:rsidRPr="009A0DA6">
        <w:rPr>
          <w:rFonts w:ascii="Cambria" w:eastAsia="Calibri" w:hAnsi="Cambria" w:cs="Calibri"/>
        </w:rPr>
        <w:t>f</w:t>
      </w:r>
      <w:r w:rsidRPr="009A0DA6">
        <w:rPr>
          <w:rFonts w:ascii="Cambria" w:eastAsia="Calibri" w:hAnsi="Cambria" w:cs="Calibri"/>
          <w:spacing w:val="10"/>
        </w:rPr>
        <w:t xml:space="preserve"> </w:t>
      </w:r>
      <w:r w:rsidRPr="009A0DA6">
        <w:rPr>
          <w:rFonts w:ascii="Cambria" w:eastAsia="Calibri" w:hAnsi="Cambria" w:cs="Calibri"/>
        </w:rPr>
        <w:t>the</w:t>
      </w:r>
      <w:r w:rsidRPr="009A0DA6">
        <w:rPr>
          <w:rFonts w:ascii="Cambria" w:eastAsia="Calibri" w:hAnsi="Cambria" w:cs="Calibri"/>
          <w:spacing w:val="13"/>
        </w:rPr>
        <w:t xml:space="preserve"> </w:t>
      </w:r>
      <w:r w:rsidRPr="009A0DA6">
        <w:rPr>
          <w:rFonts w:ascii="Cambria" w:eastAsia="Calibri" w:hAnsi="Cambria" w:cs="Calibri"/>
        </w:rPr>
        <w:t>ch</w:t>
      </w:r>
      <w:r w:rsidRPr="009A0DA6">
        <w:rPr>
          <w:rFonts w:ascii="Cambria" w:eastAsia="Calibri" w:hAnsi="Cambria" w:cs="Calibri"/>
          <w:spacing w:val="-1"/>
        </w:rPr>
        <w:t>u</w:t>
      </w:r>
      <w:r w:rsidRPr="009A0DA6">
        <w:rPr>
          <w:rFonts w:ascii="Cambria" w:eastAsia="Calibri" w:hAnsi="Cambria" w:cs="Calibri"/>
        </w:rPr>
        <w:t>rc</w:t>
      </w:r>
      <w:r w:rsidRPr="009A0DA6">
        <w:rPr>
          <w:rFonts w:ascii="Cambria" w:eastAsia="Calibri" w:hAnsi="Cambria" w:cs="Calibri"/>
          <w:spacing w:val="-1"/>
        </w:rPr>
        <w:t>h</w:t>
      </w:r>
      <w:r w:rsidRPr="009A0DA6">
        <w:rPr>
          <w:rFonts w:ascii="Cambria" w:eastAsia="Calibri" w:hAnsi="Cambria" w:cs="Calibri"/>
        </w:rPr>
        <w:t>.”</w:t>
      </w:r>
      <w:r w:rsidRPr="009A0DA6">
        <w:rPr>
          <w:rStyle w:val="FootnoteReference"/>
          <w:rFonts w:ascii="Cambria" w:eastAsia="Calibri" w:hAnsi="Cambria" w:cs="Calibri"/>
        </w:rPr>
        <w:footnoteReference w:id="13"/>
      </w:r>
      <w:r w:rsidRPr="009A0DA6">
        <w:rPr>
          <w:rFonts w:ascii="Cambria" w:eastAsia="Calibri" w:hAnsi="Cambria" w:cs="Calibri"/>
          <w:spacing w:val="29"/>
          <w:position w:val="8"/>
          <w:sz w:val="14"/>
          <w:szCs w:val="14"/>
        </w:rPr>
        <w:t xml:space="preserve"> </w:t>
      </w:r>
      <w:r w:rsidRPr="009A0DA6">
        <w:rPr>
          <w:rFonts w:ascii="Cambria" w:eastAsia="Calibri" w:hAnsi="Cambria" w:cs="Calibri"/>
        </w:rPr>
        <w:t>U</w:t>
      </w:r>
      <w:r w:rsidRPr="009A0DA6">
        <w:rPr>
          <w:rFonts w:ascii="Cambria" w:eastAsia="Calibri" w:hAnsi="Cambria" w:cs="Calibri"/>
          <w:spacing w:val="-1"/>
        </w:rPr>
        <w:t>n</w:t>
      </w:r>
      <w:r w:rsidRPr="009A0DA6">
        <w:rPr>
          <w:rFonts w:ascii="Cambria" w:eastAsia="Calibri" w:hAnsi="Cambria" w:cs="Calibri"/>
        </w:rPr>
        <w:t>less</w:t>
      </w:r>
      <w:r w:rsidRPr="009A0DA6">
        <w:rPr>
          <w:rFonts w:ascii="Cambria" w:eastAsia="Calibri" w:hAnsi="Cambria" w:cs="Calibri"/>
          <w:spacing w:val="10"/>
        </w:rPr>
        <w:t xml:space="preserve"> </w:t>
      </w:r>
      <w:r w:rsidRPr="009A0DA6">
        <w:rPr>
          <w:rFonts w:ascii="Cambria" w:eastAsia="Calibri" w:hAnsi="Cambria" w:cs="Calibri"/>
        </w:rPr>
        <w:t>the</w:t>
      </w:r>
      <w:r w:rsidRPr="009A0DA6">
        <w:rPr>
          <w:rFonts w:ascii="Cambria" w:eastAsia="Calibri" w:hAnsi="Cambria" w:cs="Calibri"/>
          <w:spacing w:val="13"/>
        </w:rPr>
        <w:t xml:space="preserve"> </w:t>
      </w:r>
      <w:r w:rsidRPr="009A0DA6">
        <w:rPr>
          <w:rFonts w:ascii="Cambria" w:eastAsia="Calibri" w:hAnsi="Cambria" w:cs="Calibri"/>
          <w:spacing w:val="-1"/>
        </w:rPr>
        <w:t>d</w:t>
      </w:r>
      <w:r w:rsidRPr="009A0DA6">
        <w:rPr>
          <w:rFonts w:ascii="Cambria" w:eastAsia="Calibri" w:hAnsi="Cambria" w:cs="Calibri"/>
          <w:spacing w:val="-3"/>
        </w:rPr>
        <w:t>a</w:t>
      </w:r>
      <w:r w:rsidRPr="009A0DA6">
        <w:rPr>
          <w:rFonts w:ascii="Cambria" w:eastAsia="Calibri" w:hAnsi="Cambria" w:cs="Calibri"/>
        </w:rPr>
        <w:t>ta</w:t>
      </w:r>
      <w:r w:rsidRPr="009A0DA6">
        <w:rPr>
          <w:rFonts w:ascii="Cambria" w:eastAsia="Calibri" w:hAnsi="Cambria" w:cs="Calibri"/>
          <w:spacing w:val="13"/>
        </w:rPr>
        <w:t xml:space="preserve"> </w:t>
      </w:r>
      <w:r w:rsidRPr="009A0DA6">
        <w:rPr>
          <w:rFonts w:ascii="Cambria" w:eastAsia="Calibri" w:hAnsi="Cambria" w:cs="Calibri"/>
        </w:rPr>
        <w:t>is</w:t>
      </w:r>
      <w:r w:rsidRPr="009A0DA6">
        <w:rPr>
          <w:rFonts w:ascii="Cambria" w:eastAsia="Calibri" w:hAnsi="Cambria" w:cs="Calibri"/>
          <w:spacing w:val="12"/>
        </w:rPr>
        <w:t xml:space="preserve"> </w:t>
      </w:r>
      <w:r w:rsidRPr="009A0DA6">
        <w:rPr>
          <w:rFonts w:ascii="Cambria" w:eastAsia="Calibri" w:hAnsi="Cambria" w:cs="Calibri"/>
        </w:rPr>
        <w:t>c</w:t>
      </w:r>
      <w:r w:rsidRPr="009A0DA6">
        <w:rPr>
          <w:rFonts w:ascii="Cambria" w:eastAsia="Calibri" w:hAnsi="Cambria" w:cs="Calibri"/>
          <w:spacing w:val="-2"/>
        </w:rPr>
        <w:t>r</w:t>
      </w:r>
      <w:r w:rsidRPr="009A0DA6">
        <w:rPr>
          <w:rFonts w:ascii="Cambria" w:eastAsia="Calibri" w:hAnsi="Cambria" w:cs="Calibri"/>
        </w:rPr>
        <w:t>ea</w:t>
      </w:r>
      <w:r w:rsidRPr="009A0DA6">
        <w:rPr>
          <w:rFonts w:ascii="Cambria" w:eastAsia="Calibri" w:hAnsi="Cambria" w:cs="Calibri"/>
          <w:spacing w:val="1"/>
        </w:rPr>
        <w:t>t</w:t>
      </w:r>
      <w:r w:rsidRPr="009A0DA6">
        <w:rPr>
          <w:rFonts w:ascii="Cambria" w:eastAsia="Calibri" w:hAnsi="Cambria" w:cs="Calibri"/>
          <w:spacing w:val="-3"/>
        </w:rPr>
        <w:t>i</w:t>
      </w:r>
      <w:r w:rsidRPr="009A0DA6">
        <w:rPr>
          <w:rFonts w:ascii="Cambria" w:eastAsia="Calibri" w:hAnsi="Cambria" w:cs="Calibri"/>
          <w:spacing w:val="1"/>
        </w:rPr>
        <w:t>v</w:t>
      </w:r>
      <w:r w:rsidRPr="009A0DA6">
        <w:rPr>
          <w:rFonts w:ascii="Cambria" w:eastAsia="Calibri" w:hAnsi="Cambria" w:cs="Calibri"/>
        </w:rPr>
        <w:t>e</w:t>
      </w:r>
      <w:r w:rsidRPr="009A0DA6">
        <w:rPr>
          <w:rFonts w:ascii="Cambria" w:eastAsia="Calibri" w:hAnsi="Cambria" w:cs="Calibri"/>
          <w:spacing w:val="-2"/>
        </w:rPr>
        <w:t>l</w:t>
      </w:r>
      <w:r w:rsidRPr="009A0DA6">
        <w:rPr>
          <w:rFonts w:ascii="Cambria" w:eastAsia="Calibri" w:hAnsi="Cambria" w:cs="Calibri"/>
        </w:rPr>
        <w:t>y</w:t>
      </w:r>
      <w:r w:rsidRPr="009A0DA6">
        <w:rPr>
          <w:rFonts w:ascii="Cambria" w:eastAsia="Calibri" w:hAnsi="Cambria" w:cs="Calibri"/>
          <w:spacing w:val="13"/>
        </w:rPr>
        <w:t xml:space="preserve"> </w:t>
      </w:r>
      <w:r w:rsidRPr="009A0DA6">
        <w:rPr>
          <w:rFonts w:ascii="Cambria" w:eastAsia="Calibri" w:hAnsi="Cambria" w:cs="Calibri"/>
        </w:rPr>
        <w:t>st</w:t>
      </w:r>
      <w:r w:rsidRPr="009A0DA6">
        <w:rPr>
          <w:rFonts w:ascii="Cambria" w:eastAsia="Calibri" w:hAnsi="Cambria" w:cs="Calibri"/>
          <w:spacing w:val="-2"/>
        </w:rPr>
        <w:t>r</w:t>
      </w:r>
      <w:r w:rsidRPr="009A0DA6">
        <w:rPr>
          <w:rFonts w:ascii="Cambria" w:eastAsia="Calibri" w:hAnsi="Cambria" w:cs="Calibri"/>
        </w:rPr>
        <w:t>e</w:t>
      </w:r>
      <w:r w:rsidRPr="009A0DA6">
        <w:rPr>
          <w:rFonts w:ascii="Cambria" w:eastAsia="Calibri" w:hAnsi="Cambria" w:cs="Calibri"/>
          <w:spacing w:val="1"/>
        </w:rPr>
        <w:t>t</w:t>
      </w:r>
      <w:r w:rsidRPr="009A0DA6">
        <w:rPr>
          <w:rFonts w:ascii="Cambria" w:eastAsia="Calibri" w:hAnsi="Cambria" w:cs="Calibri"/>
        </w:rPr>
        <w:t>c</w:t>
      </w:r>
      <w:r w:rsidRPr="009A0DA6">
        <w:rPr>
          <w:rFonts w:ascii="Cambria" w:eastAsia="Calibri" w:hAnsi="Cambria" w:cs="Calibri"/>
          <w:spacing w:val="-3"/>
        </w:rPr>
        <w:t>h</w:t>
      </w:r>
      <w:r w:rsidRPr="009A0DA6">
        <w:rPr>
          <w:rFonts w:ascii="Cambria" w:eastAsia="Calibri" w:hAnsi="Cambria" w:cs="Calibri"/>
        </w:rPr>
        <w:t>ed</w:t>
      </w:r>
      <w:r w:rsidRPr="009A0DA6">
        <w:rPr>
          <w:rFonts w:ascii="Cambria" w:eastAsia="Calibri" w:hAnsi="Cambria" w:cs="Calibri"/>
          <w:spacing w:val="12"/>
        </w:rPr>
        <w:t xml:space="preserve"> </w:t>
      </w:r>
      <w:r w:rsidRPr="009A0DA6">
        <w:rPr>
          <w:rFonts w:ascii="Cambria" w:eastAsia="Calibri" w:hAnsi="Cambria" w:cs="Calibri"/>
        </w:rPr>
        <w:t>in th</w:t>
      </w:r>
      <w:r w:rsidRPr="009A0DA6">
        <w:rPr>
          <w:rFonts w:ascii="Cambria" w:eastAsia="Calibri" w:hAnsi="Cambria" w:cs="Calibri"/>
          <w:spacing w:val="-1"/>
        </w:rPr>
        <w:t>i</w:t>
      </w:r>
      <w:r w:rsidRPr="009A0DA6">
        <w:rPr>
          <w:rFonts w:ascii="Cambria" w:eastAsia="Calibri" w:hAnsi="Cambria" w:cs="Calibri"/>
        </w:rPr>
        <w:t>s</w:t>
      </w:r>
      <w:r w:rsidRPr="009A0DA6">
        <w:rPr>
          <w:rFonts w:ascii="Cambria" w:eastAsia="Calibri" w:hAnsi="Cambria" w:cs="Calibri"/>
          <w:spacing w:val="3"/>
        </w:rPr>
        <w:t xml:space="preserve"> </w:t>
      </w:r>
      <w:r w:rsidRPr="009A0DA6">
        <w:rPr>
          <w:rFonts w:ascii="Cambria" w:eastAsia="Calibri" w:hAnsi="Cambria" w:cs="Calibri"/>
        </w:rPr>
        <w:t>w</w:t>
      </w:r>
      <w:r w:rsidRPr="009A0DA6">
        <w:rPr>
          <w:rFonts w:ascii="Cambria" w:eastAsia="Calibri" w:hAnsi="Cambria" w:cs="Calibri"/>
          <w:spacing w:val="-2"/>
        </w:rPr>
        <w:t>a</w:t>
      </w:r>
      <w:r w:rsidRPr="009A0DA6">
        <w:rPr>
          <w:rFonts w:ascii="Cambria" w:eastAsia="Calibri" w:hAnsi="Cambria" w:cs="Calibri"/>
          <w:spacing w:val="1"/>
        </w:rPr>
        <w:t>y</w:t>
      </w:r>
      <w:r w:rsidRPr="009A0DA6">
        <w:rPr>
          <w:rFonts w:ascii="Cambria" w:eastAsia="Calibri" w:hAnsi="Cambria" w:cs="Calibri"/>
        </w:rPr>
        <w:t>,</w:t>
      </w:r>
      <w:r w:rsidRPr="009A0DA6">
        <w:rPr>
          <w:rFonts w:ascii="Cambria" w:eastAsia="Calibri" w:hAnsi="Cambria" w:cs="Calibri"/>
          <w:spacing w:val="1"/>
        </w:rPr>
        <w:t xml:space="preserve"> </w:t>
      </w:r>
      <w:r w:rsidRPr="009A0DA6">
        <w:rPr>
          <w:rFonts w:ascii="Cambria" w:eastAsia="Calibri" w:hAnsi="Cambria" w:cs="Calibri"/>
        </w:rPr>
        <w:t>it</w:t>
      </w:r>
      <w:r w:rsidRPr="009A0DA6">
        <w:rPr>
          <w:rFonts w:ascii="Cambria" w:eastAsia="Calibri" w:hAnsi="Cambria" w:cs="Calibri"/>
          <w:spacing w:val="3"/>
        </w:rPr>
        <w:t xml:space="preserve"> </w:t>
      </w:r>
      <w:r w:rsidRPr="009A0DA6">
        <w:rPr>
          <w:rFonts w:ascii="Cambria" w:eastAsia="Calibri" w:hAnsi="Cambria" w:cs="Calibri"/>
          <w:spacing w:val="-3"/>
        </w:rPr>
        <w:t>i</w:t>
      </w:r>
      <w:r w:rsidRPr="009A0DA6">
        <w:rPr>
          <w:rFonts w:ascii="Cambria" w:eastAsia="Calibri" w:hAnsi="Cambria" w:cs="Calibri"/>
        </w:rPr>
        <w:t>s</w:t>
      </w:r>
      <w:r w:rsidRPr="009A0DA6">
        <w:rPr>
          <w:rFonts w:ascii="Cambria" w:eastAsia="Calibri" w:hAnsi="Cambria" w:cs="Calibri"/>
          <w:spacing w:val="3"/>
        </w:rPr>
        <w:t xml:space="preserve"> </w:t>
      </w:r>
      <w:r w:rsidRPr="009A0DA6">
        <w:rPr>
          <w:rFonts w:ascii="Cambria" w:eastAsia="Calibri" w:hAnsi="Cambria" w:cs="Calibri"/>
          <w:spacing w:val="-3"/>
        </w:rPr>
        <w:t>i</w:t>
      </w:r>
      <w:r w:rsidRPr="009A0DA6">
        <w:rPr>
          <w:rFonts w:ascii="Cambria" w:eastAsia="Calibri" w:hAnsi="Cambria" w:cs="Calibri"/>
          <w:spacing w:val="1"/>
        </w:rPr>
        <w:t>m</w:t>
      </w:r>
      <w:r w:rsidRPr="009A0DA6">
        <w:rPr>
          <w:rFonts w:ascii="Cambria" w:eastAsia="Calibri" w:hAnsi="Cambria" w:cs="Calibri"/>
          <w:spacing w:val="-1"/>
        </w:rPr>
        <w:t>po</w:t>
      </w:r>
      <w:r w:rsidRPr="009A0DA6">
        <w:rPr>
          <w:rFonts w:ascii="Cambria" w:eastAsia="Calibri" w:hAnsi="Cambria" w:cs="Calibri"/>
        </w:rPr>
        <w:t>ssi</w:t>
      </w:r>
      <w:r w:rsidRPr="009A0DA6">
        <w:rPr>
          <w:rFonts w:ascii="Cambria" w:eastAsia="Calibri" w:hAnsi="Cambria" w:cs="Calibri"/>
          <w:spacing w:val="-1"/>
        </w:rPr>
        <w:t>b</w:t>
      </w:r>
      <w:r w:rsidRPr="009A0DA6">
        <w:rPr>
          <w:rFonts w:ascii="Cambria" w:eastAsia="Calibri" w:hAnsi="Cambria" w:cs="Calibri"/>
        </w:rPr>
        <w:t xml:space="preserve">le </w:t>
      </w:r>
      <w:r w:rsidRPr="009A0DA6">
        <w:rPr>
          <w:rFonts w:ascii="Cambria" w:eastAsia="Calibri" w:hAnsi="Cambria" w:cs="Calibri"/>
          <w:spacing w:val="1"/>
        </w:rPr>
        <w:t>t</w:t>
      </w:r>
      <w:r w:rsidRPr="009A0DA6">
        <w:rPr>
          <w:rFonts w:ascii="Cambria" w:eastAsia="Calibri" w:hAnsi="Cambria" w:cs="Calibri"/>
        </w:rPr>
        <w:t>o</w:t>
      </w:r>
      <w:r w:rsidRPr="009A0DA6">
        <w:rPr>
          <w:rFonts w:ascii="Cambria" w:eastAsia="Calibri" w:hAnsi="Cambria" w:cs="Calibri"/>
          <w:spacing w:val="2"/>
        </w:rPr>
        <w:t xml:space="preserve"> </w:t>
      </w:r>
      <w:r w:rsidRPr="009A0DA6">
        <w:rPr>
          <w:rFonts w:ascii="Cambria" w:eastAsia="Calibri" w:hAnsi="Cambria" w:cs="Calibri"/>
          <w:spacing w:val="1"/>
        </w:rPr>
        <w:t>m</w:t>
      </w:r>
      <w:r w:rsidRPr="009A0DA6">
        <w:rPr>
          <w:rFonts w:ascii="Cambria" w:eastAsia="Calibri" w:hAnsi="Cambria" w:cs="Calibri"/>
          <w:spacing w:val="-3"/>
        </w:rPr>
        <w:t>a</w:t>
      </w:r>
      <w:r w:rsidRPr="009A0DA6">
        <w:rPr>
          <w:rFonts w:ascii="Cambria" w:eastAsia="Calibri" w:hAnsi="Cambria" w:cs="Calibri"/>
        </w:rPr>
        <w:t>ke</w:t>
      </w:r>
      <w:r w:rsidRPr="009A0DA6">
        <w:rPr>
          <w:rFonts w:ascii="Cambria" w:eastAsia="Calibri" w:hAnsi="Cambria" w:cs="Calibri"/>
          <w:spacing w:val="1"/>
        </w:rPr>
        <w:t xml:space="preserve"> </w:t>
      </w:r>
      <w:r w:rsidRPr="009A0DA6">
        <w:rPr>
          <w:rFonts w:ascii="Cambria" w:eastAsia="Calibri" w:hAnsi="Cambria" w:cs="Calibri"/>
        </w:rPr>
        <w:t>the</w:t>
      </w:r>
      <w:r w:rsidRPr="009A0DA6">
        <w:rPr>
          <w:rFonts w:ascii="Cambria" w:eastAsia="Calibri" w:hAnsi="Cambria" w:cs="Calibri"/>
          <w:spacing w:val="1"/>
        </w:rPr>
        <w:t xml:space="preserve"> </w:t>
      </w:r>
      <w:r w:rsidRPr="009A0DA6">
        <w:rPr>
          <w:rFonts w:ascii="Cambria" w:eastAsia="Calibri" w:hAnsi="Cambria" w:cs="Calibri"/>
        </w:rPr>
        <w:t>ca</w:t>
      </w:r>
      <w:r w:rsidRPr="009A0DA6">
        <w:rPr>
          <w:rFonts w:ascii="Cambria" w:eastAsia="Calibri" w:hAnsi="Cambria" w:cs="Calibri"/>
          <w:spacing w:val="-2"/>
        </w:rPr>
        <w:t>s</w:t>
      </w:r>
      <w:r w:rsidRPr="009A0DA6">
        <w:rPr>
          <w:rFonts w:ascii="Cambria" w:eastAsia="Calibri" w:hAnsi="Cambria" w:cs="Calibri"/>
        </w:rPr>
        <w:t>e</w:t>
      </w:r>
      <w:r w:rsidRPr="009A0DA6">
        <w:rPr>
          <w:rFonts w:ascii="Cambria" w:eastAsia="Calibri" w:hAnsi="Cambria" w:cs="Calibri"/>
          <w:spacing w:val="3"/>
        </w:rPr>
        <w:t xml:space="preserve"> </w:t>
      </w:r>
      <w:r w:rsidRPr="009A0DA6">
        <w:rPr>
          <w:rFonts w:ascii="Cambria" w:eastAsia="Calibri" w:hAnsi="Cambria" w:cs="Calibri"/>
        </w:rPr>
        <w:t>f</w:t>
      </w:r>
      <w:r w:rsidRPr="009A0DA6">
        <w:rPr>
          <w:rFonts w:ascii="Cambria" w:eastAsia="Calibri" w:hAnsi="Cambria" w:cs="Calibri"/>
          <w:spacing w:val="-3"/>
        </w:rPr>
        <w:t>r</w:t>
      </w:r>
      <w:r w:rsidRPr="009A0DA6">
        <w:rPr>
          <w:rFonts w:ascii="Cambria" w:eastAsia="Calibri" w:hAnsi="Cambria" w:cs="Calibri"/>
          <w:spacing w:val="-1"/>
        </w:rPr>
        <w:t>o</w:t>
      </w:r>
      <w:r w:rsidRPr="009A0DA6">
        <w:rPr>
          <w:rFonts w:ascii="Cambria" w:eastAsia="Calibri" w:hAnsi="Cambria" w:cs="Calibri"/>
        </w:rPr>
        <w:t>m</w:t>
      </w:r>
      <w:r w:rsidRPr="009A0DA6">
        <w:rPr>
          <w:rFonts w:ascii="Cambria" w:eastAsia="Calibri" w:hAnsi="Cambria" w:cs="Calibri"/>
          <w:spacing w:val="4"/>
        </w:rPr>
        <w:t xml:space="preserve"> </w:t>
      </w:r>
      <w:r w:rsidRPr="009A0DA6">
        <w:rPr>
          <w:rFonts w:ascii="Cambria" w:eastAsia="Calibri" w:hAnsi="Cambria" w:cs="Calibri"/>
          <w:spacing w:val="-3"/>
        </w:rPr>
        <w:t>i</w:t>
      </w:r>
      <w:r w:rsidRPr="009A0DA6">
        <w:rPr>
          <w:rFonts w:ascii="Cambria" w:eastAsia="Calibri" w:hAnsi="Cambria" w:cs="Calibri"/>
        </w:rPr>
        <w:t>t</w:t>
      </w:r>
      <w:r w:rsidRPr="009A0DA6">
        <w:rPr>
          <w:rFonts w:ascii="Cambria" w:eastAsia="Calibri" w:hAnsi="Cambria" w:cs="Calibri"/>
          <w:spacing w:val="1"/>
        </w:rPr>
        <w:t xml:space="preserve"> </w:t>
      </w:r>
      <w:r w:rsidRPr="009A0DA6">
        <w:rPr>
          <w:rFonts w:ascii="Cambria" w:eastAsia="Calibri" w:hAnsi="Cambria" w:cs="Calibri"/>
        </w:rPr>
        <w:t xml:space="preserve">that </w:t>
      </w:r>
      <w:r w:rsidRPr="009A0DA6">
        <w:rPr>
          <w:rFonts w:ascii="Cambria" w:eastAsia="Calibri" w:hAnsi="Cambria" w:cs="Calibri"/>
          <w:spacing w:val="-2"/>
        </w:rPr>
        <w:t>w</w:t>
      </w:r>
      <w:r w:rsidRPr="009A0DA6">
        <w:rPr>
          <w:rFonts w:ascii="Cambria" w:eastAsia="Calibri" w:hAnsi="Cambria" w:cs="Calibri"/>
          <w:spacing w:val="1"/>
        </w:rPr>
        <w:t>o</w:t>
      </w:r>
      <w:r w:rsidRPr="009A0DA6">
        <w:rPr>
          <w:rFonts w:ascii="Cambria" w:eastAsia="Calibri" w:hAnsi="Cambria" w:cs="Calibri"/>
          <w:spacing w:val="-1"/>
        </w:rPr>
        <w:t>m</w:t>
      </w:r>
      <w:r w:rsidRPr="009A0DA6">
        <w:rPr>
          <w:rFonts w:ascii="Cambria" w:eastAsia="Calibri" w:hAnsi="Cambria" w:cs="Calibri"/>
        </w:rPr>
        <w:t>en</w:t>
      </w:r>
      <w:r w:rsidRPr="009A0DA6">
        <w:rPr>
          <w:rFonts w:ascii="Cambria" w:eastAsia="Calibri" w:hAnsi="Cambria" w:cs="Calibri"/>
          <w:spacing w:val="3"/>
        </w:rPr>
        <w:t xml:space="preserve"> </w:t>
      </w:r>
      <w:r w:rsidRPr="009A0DA6">
        <w:rPr>
          <w:rFonts w:ascii="Cambria" w:eastAsia="Calibri" w:hAnsi="Cambria" w:cs="Calibri"/>
        </w:rPr>
        <w:t>s</w:t>
      </w:r>
      <w:r w:rsidRPr="009A0DA6">
        <w:rPr>
          <w:rFonts w:ascii="Cambria" w:eastAsia="Calibri" w:hAnsi="Cambria" w:cs="Calibri"/>
          <w:spacing w:val="-3"/>
        </w:rPr>
        <w:t>h</w:t>
      </w:r>
      <w:r w:rsidRPr="009A0DA6">
        <w:rPr>
          <w:rFonts w:ascii="Cambria" w:eastAsia="Calibri" w:hAnsi="Cambria" w:cs="Calibri"/>
          <w:spacing w:val="1"/>
        </w:rPr>
        <w:t>o</w:t>
      </w:r>
      <w:r w:rsidRPr="009A0DA6">
        <w:rPr>
          <w:rFonts w:ascii="Cambria" w:eastAsia="Calibri" w:hAnsi="Cambria" w:cs="Calibri"/>
          <w:spacing w:val="-1"/>
        </w:rPr>
        <w:t>u</w:t>
      </w:r>
      <w:r w:rsidRPr="009A0DA6">
        <w:rPr>
          <w:rFonts w:ascii="Cambria" w:eastAsia="Calibri" w:hAnsi="Cambria" w:cs="Calibri"/>
        </w:rPr>
        <w:t>ld</w:t>
      </w:r>
      <w:r w:rsidRPr="009A0DA6">
        <w:rPr>
          <w:rFonts w:ascii="Cambria" w:eastAsia="Calibri" w:hAnsi="Cambria" w:cs="Calibri"/>
          <w:spacing w:val="2"/>
        </w:rPr>
        <w:t xml:space="preserve"> </w:t>
      </w:r>
      <w:r w:rsidRPr="009A0DA6">
        <w:rPr>
          <w:rFonts w:ascii="Cambria" w:eastAsia="Calibri" w:hAnsi="Cambria" w:cs="Calibri"/>
          <w:spacing w:val="-1"/>
        </w:rPr>
        <w:t>b</w:t>
      </w:r>
      <w:r w:rsidRPr="009A0DA6">
        <w:rPr>
          <w:rFonts w:ascii="Cambria" w:eastAsia="Calibri" w:hAnsi="Cambria" w:cs="Calibri"/>
        </w:rPr>
        <w:t>e</w:t>
      </w:r>
      <w:r w:rsidRPr="009A0DA6">
        <w:rPr>
          <w:rFonts w:ascii="Cambria" w:eastAsia="Calibri" w:hAnsi="Cambria" w:cs="Calibri"/>
          <w:spacing w:val="-2"/>
        </w:rPr>
        <w:t xml:space="preserve"> </w:t>
      </w:r>
      <w:r w:rsidRPr="009A0DA6">
        <w:rPr>
          <w:rFonts w:ascii="Cambria" w:eastAsia="Calibri" w:hAnsi="Cambria" w:cs="Calibri"/>
          <w:spacing w:val="1"/>
        </w:rPr>
        <w:t>o</w:t>
      </w:r>
      <w:r w:rsidRPr="009A0DA6">
        <w:rPr>
          <w:rFonts w:ascii="Cambria" w:eastAsia="Calibri" w:hAnsi="Cambria" w:cs="Calibri"/>
        </w:rPr>
        <w:t>r</w:t>
      </w:r>
      <w:r w:rsidRPr="009A0DA6">
        <w:rPr>
          <w:rFonts w:ascii="Cambria" w:eastAsia="Calibri" w:hAnsi="Cambria" w:cs="Calibri"/>
          <w:spacing w:val="-1"/>
        </w:rPr>
        <w:t>d</w:t>
      </w:r>
      <w:r w:rsidRPr="009A0DA6">
        <w:rPr>
          <w:rFonts w:ascii="Cambria" w:eastAsia="Calibri" w:hAnsi="Cambria" w:cs="Calibri"/>
        </w:rPr>
        <w:t>ai</w:t>
      </w:r>
      <w:r w:rsidRPr="009A0DA6">
        <w:rPr>
          <w:rFonts w:ascii="Cambria" w:eastAsia="Calibri" w:hAnsi="Cambria" w:cs="Calibri"/>
          <w:spacing w:val="-1"/>
        </w:rPr>
        <w:t>n</w:t>
      </w:r>
      <w:r w:rsidRPr="009A0DA6">
        <w:rPr>
          <w:rFonts w:ascii="Cambria" w:eastAsia="Calibri" w:hAnsi="Cambria" w:cs="Calibri"/>
          <w:spacing w:val="-2"/>
        </w:rPr>
        <w:t>e</w:t>
      </w:r>
      <w:r w:rsidRPr="009A0DA6">
        <w:rPr>
          <w:rFonts w:ascii="Cambria" w:eastAsia="Calibri" w:hAnsi="Cambria" w:cs="Calibri"/>
          <w:spacing w:val="-1"/>
        </w:rPr>
        <w:t>d</w:t>
      </w:r>
      <w:r w:rsidRPr="009A0DA6">
        <w:rPr>
          <w:rFonts w:ascii="Cambria" w:eastAsia="Calibri" w:hAnsi="Cambria" w:cs="Calibri"/>
        </w:rPr>
        <w:t>.</w:t>
      </w:r>
      <w:r w:rsidRPr="009A0DA6">
        <w:rPr>
          <w:rFonts w:ascii="Cambria" w:eastAsia="Calibri" w:hAnsi="Cambria" w:cs="Calibri"/>
          <w:spacing w:val="2"/>
        </w:rPr>
        <w:t xml:space="preserve"> </w:t>
      </w:r>
      <w:r w:rsidRPr="009A0DA6">
        <w:rPr>
          <w:rFonts w:ascii="Cambria" w:eastAsia="Calibri" w:hAnsi="Cambria" w:cs="Calibri"/>
        </w:rPr>
        <w:t>This</w:t>
      </w:r>
      <w:r w:rsidRPr="009A0DA6">
        <w:rPr>
          <w:rFonts w:ascii="Cambria" w:eastAsia="Calibri" w:hAnsi="Cambria" w:cs="Calibri"/>
          <w:spacing w:val="2"/>
        </w:rPr>
        <w:t xml:space="preserve"> </w:t>
      </w:r>
      <w:r w:rsidRPr="009A0DA6">
        <w:rPr>
          <w:rFonts w:ascii="Cambria" w:eastAsia="Calibri" w:hAnsi="Cambria" w:cs="Calibri"/>
        </w:rPr>
        <w:t xml:space="preserve">is </w:t>
      </w:r>
      <w:r w:rsidRPr="009A0DA6">
        <w:rPr>
          <w:rFonts w:ascii="Cambria" w:eastAsia="Calibri" w:hAnsi="Cambria" w:cs="Calibri"/>
          <w:spacing w:val="-1"/>
        </w:rPr>
        <w:t>b</w:t>
      </w:r>
      <w:r w:rsidRPr="009A0DA6">
        <w:rPr>
          <w:rFonts w:ascii="Cambria" w:eastAsia="Calibri" w:hAnsi="Cambria" w:cs="Calibri"/>
        </w:rPr>
        <w:t>ecau</w:t>
      </w:r>
      <w:r w:rsidRPr="009A0DA6">
        <w:rPr>
          <w:rFonts w:ascii="Cambria" w:eastAsia="Calibri" w:hAnsi="Cambria" w:cs="Calibri"/>
          <w:spacing w:val="-3"/>
        </w:rPr>
        <w:t>s</w:t>
      </w:r>
      <w:r w:rsidRPr="009A0DA6">
        <w:rPr>
          <w:rFonts w:ascii="Cambria" w:eastAsia="Calibri" w:hAnsi="Cambria" w:cs="Calibri"/>
        </w:rPr>
        <w:t>e</w:t>
      </w:r>
      <w:r w:rsidRPr="009A0DA6">
        <w:rPr>
          <w:rFonts w:ascii="Cambria" w:eastAsia="Calibri" w:hAnsi="Cambria" w:cs="Calibri"/>
          <w:spacing w:val="3"/>
        </w:rPr>
        <w:t xml:space="preserve"> </w:t>
      </w:r>
      <w:r w:rsidRPr="009A0DA6">
        <w:rPr>
          <w:rFonts w:ascii="Cambria" w:eastAsia="Calibri" w:hAnsi="Cambria" w:cs="Calibri"/>
          <w:spacing w:val="-3"/>
        </w:rPr>
        <w:t>b</w:t>
      </w:r>
      <w:r w:rsidRPr="009A0DA6">
        <w:rPr>
          <w:rFonts w:ascii="Cambria" w:eastAsia="Calibri" w:hAnsi="Cambria" w:cs="Calibri"/>
          <w:spacing w:val="1"/>
        </w:rPr>
        <w:t>o</w:t>
      </w:r>
      <w:r w:rsidRPr="009A0DA6">
        <w:rPr>
          <w:rFonts w:ascii="Cambria" w:eastAsia="Calibri" w:hAnsi="Cambria" w:cs="Calibri"/>
        </w:rPr>
        <w:t>th si</w:t>
      </w:r>
      <w:r w:rsidRPr="009A0DA6">
        <w:rPr>
          <w:rFonts w:ascii="Cambria" w:eastAsia="Calibri" w:hAnsi="Cambria" w:cs="Calibri"/>
          <w:spacing w:val="-1"/>
        </w:rPr>
        <w:t>d</w:t>
      </w:r>
      <w:r w:rsidRPr="009A0DA6">
        <w:rPr>
          <w:rFonts w:ascii="Cambria" w:eastAsia="Calibri" w:hAnsi="Cambria" w:cs="Calibri"/>
          <w:spacing w:val="-2"/>
        </w:rPr>
        <w:t>e</w:t>
      </w:r>
      <w:r w:rsidRPr="009A0DA6">
        <w:rPr>
          <w:rFonts w:ascii="Cambria" w:eastAsia="Calibri" w:hAnsi="Cambria" w:cs="Calibri"/>
        </w:rPr>
        <w:t>s in</w:t>
      </w:r>
      <w:r w:rsidRPr="009A0DA6">
        <w:rPr>
          <w:rFonts w:ascii="Cambria" w:eastAsia="Calibri" w:hAnsi="Cambria" w:cs="Calibri"/>
          <w:spacing w:val="1"/>
        </w:rPr>
        <w:t xml:space="preserve"> </w:t>
      </w:r>
      <w:r w:rsidRPr="009A0DA6">
        <w:rPr>
          <w:rFonts w:ascii="Cambria" w:eastAsia="Calibri" w:hAnsi="Cambria" w:cs="Calibri"/>
        </w:rPr>
        <w:t>th</w:t>
      </w:r>
      <w:r w:rsidRPr="009A0DA6">
        <w:rPr>
          <w:rFonts w:ascii="Cambria" w:eastAsia="Calibri" w:hAnsi="Cambria" w:cs="Calibri"/>
          <w:spacing w:val="-1"/>
        </w:rPr>
        <w:t>i</w:t>
      </w:r>
      <w:r w:rsidRPr="009A0DA6">
        <w:rPr>
          <w:rFonts w:ascii="Cambria" w:eastAsia="Calibri" w:hAnsi="Cambria" w:cs="Calibri"/>
        </w:rPr>
        <w:t>s</w:t>
      </w:r>
      <w:r w:rsidRPr="009A0DA6">
        <w:rPr>
          <w:rFonts w:ascii="Cambria" w:eastAsia="Calibri" w:hAnsi="Cambria" w:cs="Calibri"/>
          <w:spacing w:val="2"/>
        </w:rPr>
        <w:t xml:space="preserve"> </w:t>
      </w:r>
      <w:r w:rsidRPr="009A0DA6">
        <w:rPr>
          <w:rFonts w:ascii="Cambria" w:eastAsia="Calibri" w:hAnsi="Cambria" w:cs="Calibri"/>
          <w:spacing w:val="-1"/>
        </w:rPr>
        <w:t>d</w:t>
      </w:r>
      <w:r w:rsidRPr="009A0DA6">
        <w:rPr>
          <w:rFonts w:ascii="Cambria" w:eastAsia="Calibri" w:hAnsi="Cambria" w:cs="Calibri"/>
        </w:rPr>
        <w:t>ebate</w:t>
      </w:r>
      <w:r w:rsidRPr="009A0DA6">
        <w:rPr>
          <w:rFonts w:ascii="Cambria" w:eastAsia="Calibri" w:hAnsi="Cambria" w:cs="Calibri"/>
          <w:spacing w:val="3"/>
        </w:rPr>
        <w:t xml:space="preserve"> </w:t>
      </w:r>
      <w:r w:rsidRPr="009A0DA6">
        <w:rPr>
          <w:rFonts w:ascii="Cambria" w:eastAsia="Calibri" w:hAnsi="Cambria" w:cs="Calibri"/>
        </w:rPr>
        <w:t>a</w:t>
      </w:r>
      <w:r w:rsidRPr="009A0DA6">
        <w:rPr>
          <w:rFonts w:ascii="Cambria" w:eastAsia="Calibri" w:hAnsi="Cambria" w:cs="Calibri"/>
          <w:spacing w:val="-1"/>
        </w:rPr>
        <w:t>g</w:t>
      </w:r>
      <w:r w:rsidRPr="009A0DA6">
        <w:rPr>
          <w:rFonts w:ascii="Cambria" w:eastAsia="Calibri" w:hAnsi="Cambria" w:cs="Calibri"/>
        </w:rPr>
        <w:t>r</w:t>
      </w:r>
      <w:r w:rsidRPr="009A0DA6">
        <w:rPr>
          <w:rFonts w:ascii="Cambria" w:eastAsia="Calibri" w:hAnsi="Cambria" w:cs="Calibri"/>
          <w:spacing w:val="-2"/>
        </w:rPr>
        <w:t>e</w:t>
      </w:r>
      <w:r w:rsidRPr="009A0DA6">
        <w:rPr>
          <w:rFonts w:ascii="Cambria" w:eastAsia="Calibri" w:hAnsi="Cambria" w:cs="Calibri"/>
        </w:rPr>
        <w:t>e</w:t>
      </w:r>
      <w:r w:rsidRPr="009A0DA6">
        <w:rPr>
          <w:rFonts w:ascii="Cambria" w:eastAsia="Calibri" w:hAnsi="Cambria" w:cs="Calibri"/>
          <w:spacing w:val="3"/>
        </w:rPr>
        <w:t xml:space="preserve"> </w:t>
      </w:r>
      <w:r w:rsidRPr="009A0DA6">
        <w:rPr>
          <w:rFonts w:ascii="Cambria" w:eastAsia="Calibri" w:hAnsi="Cambria" w:cs="Calibri"/>
        </w:rPr>
        <w:t>that</w:t>
      </w:r>
      <w:r w:rsidRPr="009A0DA6">
        <w:rPr>
          <w:rFonts w:ascii="Cambria" w:eastAsia="Calibri" w:hAnsi="Cambria" w:cs="Calibri"/>
          <w:spacing w:val="2"/>
        </w:rPr>
        <w:t xml:space="preserve"> </w:t>
      </w:r>
      <w:r w:rsidRPr="009A0DA6">
        <w:rPr>
          <w:rFonts w:ascii="Cambria" w:eastAsia="Calibri" w:hAnsi="Cambria" w:cs="Calibri"/>
          <w:spacing w:val="-3"/>
        </w:rPr>
        <w:t>b</w:t>
      </w:r>
      <w:r w:rsidRPr="009A0DA6">
        <w:rPr>
          <w:rFonts w:ascii="Cambria" w:eastAsia="Calibri" w:hAnsi="Cambria" w:cs="Calibri"/>
          <w:spacing w:val="1"/>
        </w:rPr>
        <w:t>o</w:t>
      </w:r>
      <w:r w:rsidRPr="009A0DA6">
        <w:rPr>
          <w:rFonts w:ascii="Cambria" w:eastAsia="Calibri" w:hAnsi="Cambria" w:cs="Calibri"/>
        </w:rPr>
        <w:t>th</w:t>
      </w:r>
      <w:r w:rsidRPr="009A0DA6">
        <w:rPr>
          <w:rFonts w:ascii="Cambria" w:eastAsia="Calibri" w:hAnsi="Cambria" w:cs="Calibri"/>
          <w:spacing w:val="2"/>
        </w:rPr>
        <w:t xml:space="preserve"> </w:t>
      </w:r>
      <w:r w:rsidRPr="009A0DA6">
        <w:rPr>
          <w:rFonts w:ascii="Cambria" w:eastAsia="Calibri" w:hAnsi="Cambria" w:cs="Calibri"/>
        </w:rPr>
        <w:t>la</w:t>
      </w:r>
      <w:r w:rsidRPr="009A0DA6">
        <w:rPr>
          <w:rFonts w:ascii="Cambria" w:eastAsia="Calibri" w:hAnsi="Cambria" w:cs="Calibri"/>
          <w:spacing w:val="-2"/>
        </w:rPr>
        <w:t>y</w:t>
      </w:r>
      <w:r w:rsidRPr="009A0DA6">
        <w:rPr>
          <w:rFonts w:ascii="Cambria" w:eastAsia="Calibri" w:hAnsi="Cambria" w:cs="Calibri"/>
          <w:spacing w:val="-1"/>
        </w:rPr>
        <w:t>m</w:t>
      </w:r>
      <w:r w:rsidRPr="009A0DA6">
        <w:rPr>
          <w:rFonts w:ascii="Cambria" w:eastAsia="Calibri" w:hAnsi="Cambria" w:cs="Calibri"/>
        </w:rPr>
        <w:t>en</w:t>
      </w:r>
      <w:r w:rsidRPr="009A0DA6">
        <w:rPr>
          <w:rFonts w:ascii="Cambria" w:eastAsia="Calibri" w:hAnsi="Cambria" w:cs="Calibri"/>
          <w:spacing w:val="2"/>
        </w:rPr>
        <w:t xml:space="preserve"> </w:t>
      </w:r>
      <w:r w:rsidRPr="009A0DA6">
        <w:rPr>
          <w:rFonts w:ascii="Cambria" w:eastAsia="Calibri" w:hAnsi="Cambria" w:cs="Calibri"/>
        </w:rPr>
        <w:t>a</w:t>
      </w:r>
      <w:r w:rsidRPr="009A0DA6">
        <w:rPr>
          <w:rFonts w:ascii="Cambria" w:eastAsia="Calibri" w:hAnsi="Cambria" w:cs="Calibri"/>
          <w:spacing w:val="-1"/>
        </w:rPr>
        <w:t>n</w:t>
      </w:r>
      <w:r w:rsidRPr="009A0DA6">
        <w:rPr>
          <w:rFonts w:ascii="Cambria" w:eastAsia="Calibri" w:hAnsi="Cambria" w:cs="Calibri"/>
        </w:rPr>
        <w:t>d</w:t>
      </w:r>
      <w:r w:rsidRPr="009A0DA6">
        <w:rPr>
          <w:rFonts w:ascii="Cambria" w:eastAsia="Calibri" w:hAnsi="Cambria" w:cs="Calibri"/>
          <w:spacing w:val="2"/>
        </w:rPr>
        <w:t xml:space="preserve"> </w:t>
      </w:r>
      <w:r w:rsidRPr="009A0DA6">
        <w:rPr>
          <w:rFonts w:ascii="Cambria" w:eastAsia="Calibri" w:hAnsi="Cambria" w:cs="Calibri"/>
        </w:rPr>
        <w:t>lay</w:t>
      </w:r>
      <w:r w:rsidRPr="009A0DA6">
        <w:rPr>
          <w:rFonts w:ascii="Cambria" w:eastAsia="Calibri" w:hAnsi="Cambria" w:cs="Calibri"/>
          <w:spacing w:val="-1"/>
        </w:rPr>
        <w:t>wo</w:t>
      </w:r>
      <w:r w:rsidRPr="009A0DA6">
        <w:rPr>
          <w:rFonts w:ascii="Cambria" w:eastAsia="Calibri" w:hAnsi="Cambria" w:cs="Calibri"/>
          <w:spacing w:val="1"/>
        </w:rPr>
        <w:t>m</w:t>
      </w:r>
      <w:r w:rsidRPr="009A0DA6">
        <w:rPr>
          <w:rFonts w:ascii="Cambria" w:eastAsia="Calibri" w:hAnsi="Cambria" w:cs="Calibri"/>
        </w:rPr>
        <w:t>en can</w:t>
      </w:r>
      <w:r w:rsidRPr="009A0DA6">
        <w:rPr>
          <w:rFonts w:ascii="Cambria" w:eastAsia="Calibri" w:hAnsi="Cambria" w:cs="Calibri"/>
          <w:spacing w:val="2"/>
        </w:rPr>
        <w:t xml:space="preserve"> </w:t>
      </w:r>
      <w:r w:rsidRPr="009A0DA6">
        <w:rPr>
          <w:rFonts w:ascii="Cambria" w:eastAsia="Calibri" w:hAnsi="Cambria" w:cs="Calibri"/>
        </w:rPr>
        <w:t>sh</w:t>
      </w:r>
      <w:r w:rsidRPr="009A0DA6">
        <w:rPr>
          <w:rFonts w:ascii="Cambria" w:eastAsia="Calibri" w:hAnsi="Cambria" w:cs="Calibri"/>
          <w:spacing w:val="-1"/>
        </w:rPr>
        <w:t>a</w:t>
      </w:r>
      <w:r w:rsidRPr="009A0DA6">
        <w:rPr>
          <w:rFonts w:ascii="Cambria" w:eastAsia="Calibri" w:hAnsi="Cambria" w:cs="Calibri"/>
        </w:rPr>
        <w:t>re</w:t>
      </w:r>
      <w:r w:rsidRPr="009A0DA6">
        <w:rPr>
          <w:rFonts w:ascii="Cambria" w:eastAsia="Calibri" w:hAnsi="Cambria" w:cs="Calibri"/>
          <w:spacing w:val="3"/>
        </w:rPr>
        <w:t xml:space="preserve"> </w:t>
      </w:r>
      <w:r w:rsidRPr="009A0DA6">
        <w:rPr>
          <w:rFonts w:ascii="Cambria" w:eastAsia="Calibri" w:hAnsi="Cambria" w:cs="Calibri"/>
        </w:rPr>
        <w:t>the</w:t>
      </w:r>
      <w:r w:rsidRPr="009A0DA6">
        <w:rPr>
          <w:rFonts w:ascii="Cambria" w:eastAsia="Calibri" w:hAnsi="Cambria" w:cs="Calibri"/>
          <w:spacing w:val="2"/>
        </w:rPr>
        <w:t xml:space="preserve"> </w:t>
      </w:r>
      <w:r w:rsidRPr="009A0DA6">
        <w:rPr>
          <w:rFonts w:ascii="Cambria" w:eastAsia="Calibri" w:hAnsi="Cambria" w:cs="Calibri"/>
          <w:spacing w:val="-2"/>
        </w:rPr>
        <w:t>G</w:t>
      </w:r>
      <w:r w:rsidRPr="009A0DA6">
        <w:rPr>
          <w:rFonts w:ascii="Cambria" w:eastAsia="Calibri" w:hAnsi="Cambria" w:cs="Calibri"/>
          <w:spacing w:val="1"/>
        </w:rPr>
        <w:t>o</w:t>
      </w:r>
      <w:r w:rsidRPr="009A0DA6">
        <w:rPr>
          <w:rFonts w:ascii="Cambria" w:eastAsia="Calibri" w:hAnsi="Cambria" w:cs="Calibri"/>
        </w:rPr>
        <w:t>s</w:t>
      </w:r>
      <w:r w:rsidRPr="009A0DA6">
        <w:rPr>
          <w:rFonts w:ascii="Cambria" w:eastAsia="Calibri" w:hAnsi="Cambria" w:cs="Calibri"/>
          <w:spacing w:val="-3"/>
        </w:rPr>
        <w:t>p</w:t>
      </w:r>
      <w:r w:rsidRPr="009A0DA6">
        <w:rPr>
          <w:rFonts w:ascii="Cambria" w:eastAsia="Calibri" w:hAnsi="Cambria" w:cs="Calibri"/>
        </w:rPr>
        <w:t>el,</w:t>
      </w:r>
      <w:r w:rsidRPr="009A0DA6">
        <w:rPr>
          <w:rFonts w:ascii="Cambria" w:eastAsia="Calibri" w:hAnsi="Cambria" w:cs="Calibri"/>
          <w:spacing w:val="3"/>
        </w:rPr>
        <w:t xml:space="preserve"> </w:t>
      </w:r>
      <w:r w:rsidRPr="009A0DA6">
        <w:rPr>
          <w:rFonts w:ascii="Cambria" w:eastAsia="Calibri" w:hAnsi="Cambria" w:cs="Calibri"/>
        </w:rPr>
        <w:t>en</w:t>
      </w:r>
      <w:r w:rsidRPr="009A0DA6">
        <w:rPr>
          <w:rFonts w:ascii="Cambria" w:eastAsia="Calibri" w:hAnsi="Cambria" w:cs="Calibri"/>
          <w:spacing w:val="-2"/>
        </w:rPr>
        <w:t>c</w:t>
      </w:r>
      <w:r w:rsidRPr="009A0DA6">
        <w:rPr>
          <w:rFonts w:ascii="Cambria" w:eastAsia="Calibri" w:hAnsi="Cambria" w:cs="Calibri"/>
          <w:spacing w:val="-1"/>
        </w:rPr>
        <w:t>ou</w:t>
      </w:r>
      <w:r w:rsidRPr="009A0DA6">
        <w:rPr>
          <w:rFonts w:ascii="Cambria" w:eastAsia="Calibri" w:hAnsi="Cambria" w:cs="Calibri"/>
        </w:rPr>
        <w:t>ra</w:t>
      </w:r>
      <w:r w:rsidRPr="009A0DA6">
        <w:rPr>
          <w:rFonts w:ascii="Cambria" w:eastAsia="Calibri" w:hAnsi="Cambria" w:cs="Calibri"/>
          <w:spacing w:val="-1"/>
        </w:rPr>
        <w:t>g</w:t>
      </w:r>
      <w:r w:rsidRPr="009A0DA6">
        <w:rPr>
          <w:rFonts w:ascii="Cambria" w:eastAsia="Calibri" w:hAnsi="Cambria" w:cs="Calibri"/>
        </w:rPr>
        <w:t>e</w:t>
      </w:r>
      <w:r w:rsidRPr="009A0DA6">
        <w:rPr>
          <w:rFonts w:ascii="Cambria" w:eastAsia="Calibri" w:hAnsi="Cambria" w:cs="Calibri"/>
          <w:spacing w:val="3"/>
        </w:rPr>
        <w:t xml:space="preserve"> </w:t>
      </w:r>
      <w:r w:rsidRPr="009A0DA6">
        <w:rPr>
          <w:rFonts w:ascii="Cambria" w:eastAsia="Calibri" w:hAnsi="Cambria" w:cs="Calibri"/>
          <w:spacing w:val="6"/>
        </w:rPr>
        <w:t>o</w:t>
      </w:r>
      <w:r w:rsidRPr="009A0DA6">
        <w:rPr>
          <w:rFonts w:ascii="Cambria" w:eastAsia="Calibri" w:hAnsi="Cambria" w:cs="Calibri"/>
        </w:rPr>
        <w:t>the</w:t>
      </w:r>
      <w:r w:rsidRPr="009A0DA6">
        <w:rPr>
          <w:rFonts w:ascii="Cambria" w:eastAsia="Calibri" w:hAnsi="Cambria" w:cs="Calibri"/>
          <w:spacing w:val="-2"/>
        </w:rPr>
        <w:t>r</w:t>
      </w:r>
      <w:r w:rsidRPr="009A0DA6">
        <w:rPr>
          <w:rFonts w:ascii="Cambria" w:eastAsia="Calibri" w:hAnsi="Cambria" w:cs="Calibri"/>
        </w:rPr>
        <w:t>s</w:t>
      </w:r>
      <w:r w:rsidRPr="009A0DA6">
        <w:rPr>
          <w:rFonts w:ascii="Cambria" w:eastAsia="Calibri" w:hAnsi="Cambria" w:cs="Calibri"/>
          <w:spacing w:val="2"/>
        </w:rPr>
        <w:t xml:space="preserve"> </w:t>
      </w:r>
      <w:r w:rsidRPr="009A0DA6">
        <w:rPr>
          <w:rFonts w:ascii="Cambria" w:eastAsia="Calibri" w:hAnsi="Cambria" w:cs="Calibri"/>
        </w:rPr>
        <w:t>thro</w:t>
      </w:r>
      <w:r w:rsidRPr="009A0DA6">
        <w:rPr>
          <w:rFonts w:ascii="Cambria" w:eastAsia="Calibri" w:hAnsi="Cambria" w:cs="Calibri"/>
          <w:spacing w:val="-1"/>
        </w:rPr>
        <w:t>ug</w:t>
      </w:r>
      <w:r w:rsidRPr="009A0DA6">
        <w:rPr>
          <w:rFonts w:ascii="Cambria" w:eastAsia="Calibri" w:hAnsi="Cambria" w:cs="Calibri"/>
        </w:rPr>
        <w:t>h</w:t>
      </w:r>
      <w:r w:rsidRPr="009A0DA6">
        <w:rPr>
          <w:rFonts w:ascii="Cambria" w:eastAsia="Calibri" w:hAnsi="Cambria" w:cs="Calibri"/>
          <w:spacing w:val="2"/>
        </w:rPr>
        <w:t xml:space="preserve"> </w:t>
      </w:r>
      <w:r w:rsidRPr="009A0DA6">
        <w:rPr>
          <w:rFonts w:ascii="Cambria" w:eastAsia="Calibri" w:hAnsi="Cambria" w:cs="Calibri"/>
          <w:spacing w:val="-2"/>
        </w:rPr>
        <w:t>G</w:t>
      </w:r>
      <w:r w:rsidRPr="009A0DA6">
        <w:rPr>
          <w:rFonts w:ascii="Cambria" w:eastAsia="Calibri" w:hAnsi="Cambria" w:cs="Calibri"/>
          <w:spacing w:val="1"/>
        </w:rPr>
        <w:t>o</w:t>
      </w:r>
      <w:r w:rsidRPr="009A0DA6">
        <w:rPr>
          <w:rFonts w:ascii="Cambria" w:eastAsia="Calibri" w:hAnsi="Cambria" w:cs="Calibri"/>
          <w:spacing w:val="-1"/>
        </w:rPr>
        <w:t>d</w:t>
      </w:r>
      <w:r w:rsidRPr="009A0DA6">
        <w:rPr>
          <w:rFonts w:ascii="Cambria" w:eastAsia="Calibri" w:hAnsi="Cambria" w:cs="Calibri"/>
          <w:spacing w:val="-2"/>
        </w:rPr>
        <w:t>’</w:t>
      </w:r>
      <w:r w:rsidRPr="009A0DA6">
        <w:rPr>
          <w:rFonts w:ascii="Cambria" w:eastAsia="Calibri" w:hAnsi="Cambria" w:cs="Calibri"/>
        </w:rPr>
        <w:t>s w</w:t>
      </w:r>
      <w:r w:rsidRPr="009A0DA6">
        <w:rPr>
          <w:rFonts w:ascii="Cambria" w:eastAsia="Calibri" w:hAnsi="Cambria" w:cs="Calibri"/>
          <w:spacing w:val="2"/>
        </w:rPr>
        <w:t>o</w:t>
      </w:r>
      <w:r w:rsidRPr="009A0DA6">
        <w:rPr>
          <w:rFonts w:ascii="Cambria" w:eastAsia="Calibri" w:hAnsi="Cambria" w:cs="Calibri"/>
        </w:rPr>
        <w:t>r</w:t>
      </w:r>
      <w:r w:rsidRPr="009A0DA6">
        <w:rPr>
          <w:rFonts w:ascii="Cambria" w:eastAsia="Calibri" w:hAnsi="Cambria" w:cs="Calibri"/>
          <w:spacing w:val="-1"/>
        </w:rPr>
        <w:t>d</w:t>
      </w:r>
      <w:r w:rsidRPr="009A0DA6">
        <w:rPr>
          <w:rFonts w:ascii="Cambria" w:eastAsia="Calibri" w:hAnsi="Cambria" w:cs="Calibri"/>
        </w:rPr>
        <w:t>,</w:t>
      </w:r>
      <w:r w:rsidRPr="009A0DA6">
        <w:rPr>
          <w:rFonts w:ascii="Cambria" w:eastAsia="Calibri" w:hAnsi="Cambria" w:cs="Calibri"/>
          <w:spacing w:val="7"/>
        </w:rPr>
        <w:t xml:space="preserve"> </w:t>
      </w:r>
      <w:r w:rsidRPr="009A0DA6">
        <w:rPr>
          <w:rFonts w:ascii="Cambria" w:eastAsia="Calibri" w:hAnsi="Cambria" w:cs="Calibri"/>
        </w:rPr>
        <w:t>a</w:t>
      </w:r>
      <w:r w:rsidRPr="009A0DA6">
        <w:rPr>
          <w:rFonts w:ascii="Cambria" w:eastAsia="Calibri" w:hAnsi="Cambria" w:cs="Calibri"/>
          <w:spacing w:val="-1"/>
        </w:rPr>
        <w:t>n</w:t>
      </w:r>
      <w:r w:rsidRPr="009A0DA6">
        <w:rPr>
          <w:rFonts w:ascii="Cambria" w:eastAsia="Calibri" w:hAnsi="Cambria" w:cs="Calibri"/>
        </w:rPr>
        <w:t>d</w:t>
      </w:r>
      <w:r w:rsidRPr="009A0DA6">
        <w:rPr>
          <w:rFonts w:ascii="Cambria" w:eastAsia="Calibri" w:hAnsi="Cambria" w:cs="Calibri"/>
          <w:spacing w:val="8"/>
        </w:rPr>
        <w:t xml:space="preserve"> </w:t>
      </w:r>
      <w:r w:rsidRPr="009A0DA6">
        <w:rPr>
          <w:rFonts w:ascii="Cambria" w:eastAsia="Calibri" w:hAnsi="Cambria" w:cs="Calibri"/>
        </w:rPr>
        <w:t>en</w:t>
      </w:r>
      <w:r w:rsidRPr="009A0DA6">
        <w:rPr>
          <w:rFonts w:ascii="Cambria" w:eastAsia="Calibri" w:hAnsi="Cambria" w:cs="Calibri"/>
          <w:spacing w:val="-1"/>
        </w:rPr>
        <w:t>g</w:t>
      </w:r>
      <w:r w:rsidRPr="009A0DA6">
        <w:rPr>
          <w:rFonts w:ascii="Cambria" w:eastAsia="Calibri" w:hAnsi="Cambria" w:cs="Calibri"/>
        </w:rPr>
        <w:t>a</w:t>
      </w:r>
      <w:r w:rsidRPr="009A0DA6">
        <w:rPr>
          <w:rFonts w:ascii="Cambria" w:eastAsia="Calibri" w:hAnsi="Cambria" w:cs="Calibri"/>
          <w:spacing w:val="-1"/>
        </w:rPr>
        <w:t>g</w:t>
      </w:r>
      <w:r w:rsidRPr="009A0DA6">
        <w:rPr>
          <w:rFonts w:ascii="Cambria" w:eastAsia="Calibri" w:hAnsi="Cambria" w:cs="Calibri"/>
        </w:rPr>
        <w:t>e</w:t>
      </w:r>
      <w:r w:rsidRPr="009A0DA6">
        <w:rPr>
          <w:rFonts w:ascii="Cambria" w:eastAsia="Calibri" w:hAnsi="Cambria" w:cs="Calibri"/>
          <w:spacing w:val="10"/>
        </w:rPr>
        <w:t xml:space="preserve"> </w:t>
      </w:r>
      <w:r w:rsidRPr="009A0DA6">
        <w:rPr>
          <w:rFonts w:ascii="Cambria" w:eastAsia="Calibri" w:hAnsi="Cambria" w:cs="Calibri"/>
        </w:rPr>
        <w:t>in</w:t>
      </w:r>
      <w:r w:rsidRPr="009A0DA6">
        <w:rPr>
          <w:rFonts w:ascii="Cambria" w:eastAsia="Calibri" w:hAnsi="Cambria" w:cs="Calibri"/>
          <w:spacing w:val="6"/>
        </w:rPr>
        <w:t xml:space="preserve"> </w:t>
      </w:r>
      <w:r w:rsidRPr="009A0DA6">
        <w:rPr>
          <w:rFonts w:ascii="Cambria" w:eastAsia="Calibri" w:hAnsi="Cambria" w:cs="Calibri"/>
          <w:spacing w:val="1"/>
        </w:rPr>
        <w:t>m</w:t>
      </w:r>
      <w:r w:rsidRPr="009A0DA6">
        <w:rPr>
          <w:rFonts w:ascii="Cambria" w:eastAsia="Calibri" w:hAnsi="Cambria" w:cs="Calibri"/>
        </w:rPr>
        <w:t>i</w:t>
      </w:r>
      <w:r w:rsidRPr="009A0DA6">
        <w:rPr>
          <w:rFonts w:ascii="Cambria" w:eastAsia="Calibri" w:hAnsi="Cambria" w:cs="Calibri"/>
          <w:spacing w:val="-1"/>
        </w:rPr>
        <w:t>n</w:t>
      </w:r>
      <w:r w:rsidRPr="009A0DA6">
        <w:rPr>
          <w:rFonts w:ascii="Cambria" w:eastAsia="Calibri" w:hAnsi="Cambria" w:cs="Calibri"/>
        </w:rPr>
        <w:t>i</w:t>
      </w:r>
      <w:r w:rsidRPr="009A0DA6">
        <w:rPr>
          <w:rFonts w:ascii="Cambria" w:eastAsia="Calibri" w:hAnsi="Cambria" w:cs="Calibri"/>
          <w:spacing w:val="-3"/>
        </w:rPr>
        <w:t>s</w:t>
      </w:r>
      <w:r w:rsidRPr="009A0DA6">
        <w:rPr>
          <w:rFonts w:ascii="Cambria" w:eastAsia="Calibri" w:hAnsi="Cambria" w:cs="Calibri"/>
        </w:rPr>
        <w:t>tries</w:t>
      </w:r>
      <w:r w:rsidRPr="009A0DA6">
        <w:rPr>
          <w:rFonts w:ascii="Cambria" w:eastAsia="Calibri" w:hAnsi="Cambria" w:cs="Calibri"/>
          <w:spacing w:val="10"/>
        </w:rPr>
        <w:t xml:space="preserve"> </w:t>
      </w:r>
      <w:r w:rsidRPr="009A0DA6">
        <w:rPr>
          <w:rFonts w:ascii="Cambria" w:eastAsia="Calibri" w:hAnsi="Cambria" w:cs="Calibri"/>
        </w:rPr>
        <w:t>th</w:t>
      </w:r>
      <w:r w:rsidRPr="009A0DA6">
        <w:rPr>
          <w:rFonts w:ascii="Cambria" w:eastAsia="Calibri" w:hAnsi="Cambria" w:cs="Calibri"/>
          <w:spacing w:val="-3"/>
        </w:rPr>
        <w:t>a</w:t>
      </w:r>
      <w:r w:rsidRPr="009A0DA6">
        <w:rPr>
          <w:rFonts w:ascii="Cambria" w:eastAsia="Calibri" w:hAnsi="Cambria" w:cs="Calibri"/>
        </w:rPr>
        <w:t>t</w:t>
      </w:r>
      <w:r w:rsidRPr="009A0DA6">
        <w:rPr>
          <w:rFonts w:ascii="Cambria" w:eastAsia="Calibri" w:hAnsi="Cambria" w:cs="Calibri"/>
          <w:spacing w:val="10"/>
        </w:rPr>
        <w:t xml:space="preserve"> </w:t>
      </w:r>
      <w:r w:rsidRPr="009A0DA6">
        <w:rPr>
          <w:rFonts w:ascii="Cambria" w:eastAsia="Calibri" w:hAnsi="Cambria" w:cs="Calibri"/>
        </w:rPr>
        <w:t>a</w:t>
      </w:r>
      <w:r w:rsidRPr="009A0DA6">
        <w:rPr>
          <w:rFonts w:ascii="Cambria" w:eastAsia="Calibri" w:hAnsi="Cambria" w:cs="Calibri"/>
          <w:spacing w:val="-3"/>
        </w:rPr>
        <w:t>r</w:t>
      </w:r>
      <w:r w:rsidRPr="009A0DA6">
        <w:rPr>
          <w:rFonts w:ascii="Cambria" w:eastAsia="Calibri" w:hAnsi="Cambria" w:cs="Calibri"/>
        </w:rPr>
        <w:t>e</w:t>
      </w:r>
      <w:r w:rsidRPr="009A0DA6">
        <w:rPr>
          <w:rFonts w:ascii="Cambria" w:eastAsia="Calibri" w:hAnsi="Cambria" w:cs="Calibri"/>
          <w:spacing w:val="10"/>
        </w:rPr>
        <w:t xml:space="preserve"> </w:t>
      </w:r>
      <w:r w:rsidRPr="009A0DA6">
        <w:rPr>
          <w:rFonts w:ascii="Cambria" w:eastAsia="Calibri" w:hAnsi="Cambria" w:cs="Calibri"/>
        </w:rPr>
        <w:t>a</w:t>
      </w:r>
      <w:r w:rsidRPr="009A0DA6">
        <w:rPr>
          <w:rFonts w:ascii="Cambria" w:eastAsia="Calibri" w:hAnsi="Cambria" w:cs="Calibri"/>
          <w:spacing w:val="-1"/>
        </w:rPr>
        <w:t>u</w:t>
      </w:r>
      <w:r w:rsidRPr="009A0DA6">
        <w:rPr>
          <w:rFonts w:ascii="Cambria" w:eastAsia="Calibri" w:hAnsi="Cambria" w:cs="Calibri"/>
        </w:rPr>
        <w:t>xilia</w:t>
      </w:r>
      <w:r w:rsidRPr="009A0DA6">
        <w:rPr>
          <w:rFonts w:ascii="Cambria" w:eastAsia="Calibri" w:hAnsi="Cambria" w:cs="Calibri"/>
          <w:spacing w:val="-3"/>
        </w:rPr>
        <w:t>r</w:t>
      </w:r>
      <w:r w:rsidRPr="009A0DA6">
        <w:rPr>
          <w:rFonts w:ascii="Cambria" w:eastAsia="Calibri" w:hAnsi="Cambria" w:cs="Calibri"/>
        </w:rPr>
        <w:t>y</w:t>
      </w:r>
      <w:r w:rsidRPr="009A0DA6">
        <w:rPr>
          <w:rFonts w:ascii="Cambria" w:eastAsia="Calibri" w:hAnsi="Cambria" w:cs="Calibri"/>
          <w:spacing w:val="10"/>
        </w:rPr>
        <w:t xml:space="preserve"> </w:t>
      </w:r>
      <w:r w:rsidRPr="009A0DA6">
        <w:rPr>
          <w:rFonts w:ascii="Cambria" w:eastAsia="Calibri" w:hAnsi="Cambria" w:cs="Calibri"/>
          <w:spacing w:val="-2"/>
        </w:rPr>
        <w:t>t</w:t>
      </w:r>
      <w:r w:rsidRPr="009A0DA6">
        <w:rPr>
          <w:rFonts w:ascii="Cambria" w:eastAsia="Calibri" w:hAnsi="Cambria" w:cs="Calibri"/>
        </w:rPr>
        <w:t>o</w:t>
      </w:r>
      <w:r w:rsidRPr="009A0DA6">
        <w:rPr>
          <w:rFonts w:ascii="Cambria" w:eastAsia="Calibri" w:hAnsi="Cambria" w:cs="Calibri"/>
          <w:spacing w:val="8"/>
        </w:rPr>
        <w:t xml:space="preserve"> </w:t>
      </w:r>
      <w:r w:rsidRPr="009A0DA6">
        <w:rPr>
          <w:rFonts w:ascii="Cambria" w:eastAsia="Calibri" w:hAnsi="Cambria" w:cs="Calibri"/>
          <w:spacing w:val="-2"/>
        </w:rPr>
        <w:t>t</w:t>
      </w:r>
      <w:r w:rsidRPr="009A0DA6">
        <w:rPr>
          <w:rFonts w:ascii="Cambria" w:eastAsia="Calibri" w:hAnsi="Cambria" w:cs="Calibri"/>
          <w:spacing w:val="-1"/>
        </w:rPr>
        <w:t>h</w:t>
      </w:r>
      <w:r w:rsidRPr="009A0DA6">
        <w:rPr>
          <w:rFonts w:ascii="Cambria" w:eastAsia="Calibri" w:hAnsi="Cambria" w:cs="Calibri"/>
        </w:rPr>
        <w:t>at</w:t>
      </w:r>
      <w:r w:rsidRPr="009A0DA6">
        <w:rPr>
          <w:rFonts w:ascii="Cambria" w:eastAsia="Calibri" w:hAnsi="Cambria" w:cs="Calibri"/>
          <w:spacing w:val="10"/>
        </w:rPr>
        <w:t xml:space="preserve"> </w:t>
      </w:r>
      <w:r w:rsidRPr="009A0DA6">
        <w:rPr>
          <w:rFonts w:ascii="Cambria" w:eastAsia="Calibri" w:hAnsi="Cambria" w:cs="Calibri"/>
          <w:spacing w:val="1"/>
        </w:rPr>
        <w:t>o</w:t>
      </w:r>
      <w:r w:rsidRPr="009A0DA6">
        <w:rPr>
          <w:rFonts w:ascii="Cambria" w:eastAsia="Calibri" w:hAnsi="Cambria" w:cs="Calibri"/>
        </w:rPr>
        <w:t>f</w:t>
      </w:r>
      <w:r w:rsidRPr="009A0DA6">
        <w:rPr>
          <w:rFonts w:ascii="Cambria" w:eastAsia="Calibri" w:hAnsi="Cambria" w:cs="Calibri"/>
          <w:spacing w:val="6"/>
        </w:rPr>
        <w:t xml:space="preserve"> </w:t>
      </w:r>
      <w:r w:rsidRPr="009A0DA6">
        <w:rPr>
          <w:rFonts w:ascii="Cambria" w:eastAsia="Calibri" w:hAnsi="Cambria" w:cs="Calibri"/>
        </w:rPr>
        <w:t>the</w:t>
      </w:r>
      <w:r w:rsidRPr="009A0DA6">
        <w:rPr>
          <w:rFonts w:ascii="Cambria" w:eastAsia="Calibri" w:hAnsi="Cambria" w:cs="Calibri"/>
          <w:spacing w:val="12"/>
        </w:rPr>
        <w:t xml:space="preserve"> </w:t>
      </w:r>
      <w:r w:rsidRPr="009A0DA6">
        <w:rPr>
          <w:rFonts w:ascii="Cambria" w:eastAsia="Calibri" w:hAnsi="Cambria" w:cs="Calibri"/>
          <w:spacing w:val="-1"/>
        </w:rPr>
        <w:t>p</w:t>
      </w:r>
      <w:r w:rsidRPr="009A0DA6">
        <w:rPr>
          <w:rFonts w:ascii="Cambria" w:eastAsia="Calibri" w:hAnsi="Cambria" w:cs="Calibri"/>
        </w:rPr>
        <w:t>as</w:t>
      </w:r>
      <w:r w:rsidRPr="009A0DA6">
        <w:rPr>
          <w:rFonts w:ascii="Cambria" w:eastAsia="Calibri" w:hAnsi="Cambria" w:cs="Calibri"/>
          <w:spacing w:val="-2"/>
        </w:rPr>
        <w:t>t</w:t>
      </w:r>
      <w:r w:rsidRPr="009A0DA6">
        <w:rPr>
          <w:rFonts w:ascii="Cambria" w:eastAsia="Calibri" w:hAnsi="Cambria" w:cs="Calibri"/>
          <w:spacing w:val="1"/>
        </w:rPr>
        <w:t>o</w:t>
      </w:r>
      <w:r w:rsidRPr="009A0DA6">
        <w:rPr>
          <w:rFonts w:ascii="Cambria" w:eastAsia="Calibri" w:hAnsi="Cambria" w:cs="Calibri"/>
        </w:rPr>
        <w:t>ral</w:t>
      </w:r>
      <w:r w:rsidRPr="009A0DA6">
        <w:rPr>
          <w:rFonts w:ascii="Cambria" w:eastAsia="Calibri" w:hAnsi="Cambria" w:cs="Calibri"/>
          <w:spacing w:val="9"/>
        </w:rPr>
        <w:t xml:space="preserve"> </w:t>
      </w:r>
      <w:r w:rsidRPr="009A0DA6">
        <w:rPr>
          <w:rFonts w:ascii="Cambria" w:eastAsia="Calibri" w:hAnsi="Cambria" w:cs="Calibri"/>
        </w:rPr>
        <w:t>o</w:t>
      </w:r>
      <w:r w:rsidRPr="009A0DA6">
        <w:rPr>
          <w:rFonts w:ascii="Cambria" w:eastAsia="Calibri" w:hAnsi="Cambria" w:cs="Calibri"/>
          <w:spacing w:val="-1"/>
        </w:rPr>
        <w:t>ff</w:t>
      </w:r>
      <w:r w:rsidRPr="009A0DA6">
        <w:rPr>
          <w:rFonts w:ascii="Cambria" w:eastAsia="Calibri" w:hAnsi="Cambria" w:cs="Calibri"/>
        </w:rPr>
        <w:t>ice</w:t>
      </w:r>
      <w:r w:rsidRPr="009A0DA6">
        <w:rPr>
          <w:rFonts w:ascii="Cambria" w:eastAsia="Calibri" w:hAnsi="Cambria" w:cs="Calibri"/>
          <w:spacing w:val="1"/>
        </w:rPr>
        <w:t xml:space="preserve"> </w:t>
      </w:r>
      <w:r w:rsidRPr="009A0DA6">
        <w:rPr>
          <w:rFonts w:ascii="Cambria" w:eastAsia="Calibri" w:hAnsi="Cambria" w:cs="Calibri"/>
          <w:spacing w:val="3"/>
        </w:rPr>
        <w:t>(</w:t>
      </w:r>
      <w:r w:rsidRPr="009A0DA6">
        <w:rPr>
          <w:rFonts w:ascii="Cambria" w:eastAsia="Calibri" w:hAnsi="Cambria" w:cs="Calibri"/>
          <w:i/>
          <w:spacing w:val="1"/>
        </w:rPr>
        <w:t>The</w:t>
      </w:r>
      <w:r w:rsidRPr="009A0DA6">
        <w:rPr>
          <w:rFonts w:ascii="Cambria" w:eastAsia="Calibri" w:hAnsi="Cambria" w:cs="Calibri"/>
          <w:i/>
          <w:spacing w:val="-1"/>
        </w:rPr>
        <w:t>s</w:t>
      </w:r>
      <w:r w:rsidRPr="009A0DA6">
        <w:rPr>
          <w:rFonts w:ascii="Cambria" w:eastAsia="Calibri" w:hAnsi="Cambria" w:cs="Calibri"/>
          <w:i/>
          <w:spacing w:val="1"/>
        </w:rPr>
        <w:t>e</w:t>
      </w:r>
      <w:r w:rsidRPr="009A0DA6">
        <w:rPr>
          <w:rFonts w:ascii="Cambria" w:eastAsia="Calibri" w:hAnsi="Cambria" w:cs="Calibri"/>
          <w:i/>
        </w:rPr>
        <w:t xml:space="preserve">s </w:t>
      </w:r>
      <w:r w:rsidRPr="009A0DA6">
        <w:rPr>
          <w:rFonts w:ascii="Cambria" w:eastAsia="Calibri" w:hAnsi="Cambria" w:cs="Calibri"/>
          <w:i/>
          <w:spacing w:val="1"/>
        </w:rPr>
        <w:t>o</w:t>
      </w:r>
      <w:r w:rsidRPr="009A0DA6">
        <w:rPr>
          <w:rFonts w:ascii="Cambria" w:eastAsia="Calibri" w:hAnsi="Cambria" w:cs="Calibri"/>
          <w:i/>
        </w:rPr>
        <w:t>f</w:t>
      </w:r>
      <w:r w:rsidRPr="009A0DA6">
        <w:rPr>
          <w:rFonts w:ascii="Cambria" w:eastAsia="Calibri" w:hAnsi="Cambria" w:cs="Calibri"/>
          <w:i/>
          <w:spacing w:val="4"/>
        </w:rPr>
        <w:t xml:space="preserve"> </w:t>
      </w:r>
      <w:r w:rsidRPr="009A0DA6">
        <w:rPr>
          <w:rFonts w:ascii="Cambria" w:eastAsia="Calibri" w:hAnsi="Cambria" w:cs="Calibri"/>
          <w:i/>
        </w:rPr>
        <w:t>Ag</w:t>
      </w:r>
      <w:r w:rsidRPr="009A0DA6">
        <w:rPr>
          <w:rFonts w:ascii="Cambria" w:eastAsia="Calibri" w:hAnsi="Cambria" w:cs="Calibri"/>
          <w:i/>
          <w:spacing w:val="-1"/>
        </w:rPr>
        <w:t>r</w:t>
      </w:r>
      <w:r w:rsidRPr="009A0DA6">
        <w:rPr>
          <w:rFonts w:ascii="Cambria" w:eastAsia="Calibri" w:hAnsi="Cambria" w:cs="Calibri"/>
          <w:i/>
          <w:spacing w:val="1"/>
        </w:rPr>
        <w:t>eemen</w:t>
      </w:r>
      <w:r w:rsidRPr="009A0DA6">
        <w:rPr>
          <w:rFonts w:ascii="Cambria" w:eastAsia="Calibri" w:hAnsi="Cambria" w:cs="Calibri"/>
          <w:i/>
        </w:rPr>
        <w:t>t</w:t>
      </w:r>
      <w:r w:rsidRPr="009A0DA6">
        <w:rPr>
          <w:rFonts w:ascii="Cambria" w:eastAsia="Calibri" w:hAnsi="Cambria" w:cs="Calibri"/>
          <w:i/>
          <w:spacing w:val="1"/>
        </w:rPr>
        <w:t xml:space="preserve"> </w:t>
      </w:r>
      <w:r w:rsidRPr="009A0DA6">
        <w:rPr>
          <w:rFonts w:ascii="Cambria" w:eastAsia="Calibri" w:hAnsi="Cambria" w:cs="Calibri"/>
        </w:rPr>
        <w:t>VI,</w:t>
      </w:r>
      <w:r w:rsidRPr="009A0DA6">
        <w:rPr>
          <w:rFonts w:ascii="Cambria" w:eastAsia="Calibri" w:hAnsi="Cambria" w:cs="Calibri"/>
          <w:spacing w:val="5"/>
        </w:rPr>
        <w:t xml:space="preserve"> </w:t>
      </w:r>
      <w:r w:rsidRPr="009A0DA6">
        <w:rPr>
          <w:rFonts w:ascii="Cambria" w:eastAsia="Calibri" w:hAnsi="Cambria" w:cs="Calibri"/>
          <w:spacing w:val="3"/>
        </w:rPr>
        <w:t>9</w:t>
      </w:r>
      <w:r w:rsidRPr="009A0DA6">
        <w:rPr>
          <w:rFonts w:ascii="Cambria" w:eastAsia="Calibri" w:hAnsi="Cambria" w:cs="Calibri"/>
        </w:rPr>
        <w:sym w:font="Symbol" w:char="F02D"/>
      </w:r>
      <w:r w:rsidRPr="009A0DA6">
        <w:rPr>
          <w:rFonts w:ascii="Cambria" w:eastAsia="Calibri" w:hAnsi="Cambria" w:cs="Calibri"/>
        </w:rPr>
        <w:t>10</w:t>
      </w:r>
      <w:r w:rsidRPr="009A0DA6">
        <w:rPr>
          <w:rFonts w:ascii="Cambria" w:eastAsia="Calibri" w:hAnsi="Cambria" w:cs="Calibri"/>
          <w:spacing w:val="2"/>
        </w:rPr>
        <w:t>)</w:t>
      </w:r>
      <w:r w:rsidRPr="009A0DA6">
        <w:rPr>
          <w:rFonts w:ascii="Cambria" w:eastAsia="Calibri" w:hAnsi="Cambria" w:cs="Calibri"/>
        </w:rPr>
        <w:t>. Since</w:t>
      </w:r>
      <w:r w:rsidRPr="009A0DA6">
        <w:rPr>
          <w:rFonts w:ascii="Cambria" w:eastAsia="Calibri" w:hAnsi="Cambria" w:cs="Calibri"/>
          <w:spacing w:val="1"/>
        </w:rPr>
        <w:t xml:space="preserve"> </w:t>
      </w:r>
      <w:r w:rsidRPr="009A0DA6">
        <w:rPr>
          <w:rFonts w:ascii="Cambria" w:eastAsia="Calibri" w:hAnsi="Cambria" w:cs="Calibri"/>
        </w:rPr>
        <w:t>it</w:t>
      </w:r>
      <w:r w:rsidRPr="009A0DA6">
        <w:rPr>
          <w:rFonts w:ascii="Cambria" w:eastAsia="Calibri" w:hAnsi="Cambria" w:cs="Calibri"/>
          <w:spacing w:val="5"/>
        </w:rPr>
        <w:t xml:space="preserve"> </w:t>
      </w:r>
      <w:r w:rsidRPr="009A0DA6">
        <w:rPr>
          <w:rFonts w:ascii="Cambria" w:eastAsia="Calibri" w:hAnsi="Cambria" w:cs="Calibri"/>
        </w:rPr>
        <w:t>ca</w:t>
      </w:r>
      <w:r w:rsidRPr="009A0DA6">
        <w:rPr>
          <w:rFonts w:ascii="Cambria" w:eastAsia="Calibri" w:hAnsi="Cambria" w:cs="Calibri"/>
          <w:spacing w:val="1"/>
        </w:rPr>
        <w:t>nn</w:t>
      </w:r>
      <w:r w:rsidRPr="009A0DA6">
        <w:rPr>
          <w:rFonts w:ascii="Cambria" w:eastAsia="Calibri" w:hAnsi="Cambria" w:cs="Calibri"/>
        </w:rPr>
        <w:t>ot</w:t>
      </w:r>
      <w:r w:rsidRPr="009A0DA6">
        <w:rPr>
          <w:rFonts w:ascii="Cambria" w:eastAsia="Calibri" w:hAnsi="Cambria" w:cs="Calibri"/>
          <w:spacing w:val="1"/>
        </w:rPr>
        <w:t xml:space="preserve"> b</w:t>
      </w:r>
      <w:r w:rsidRPr="009A0DA6">
        <w:rPr>
          <w:rFonts w:ascii="Cambria" w:eastAsia="Calibri" w:hAnsi="Cambria" w:cs="Calibri"/>
        </w:rPr>
        <w:t>e</w:t>
      </w:r>
      <w:r w:rsidRPr="009A0DA6">
        <w:rPr>
          <w:rFonts w:ascii="Cambria" w:eastAsia="Calibri" w:hAnsi="Cambria" w:cs="Calibri"/>
          <w:spacing w:val="3"/>
        </w:rPr>
        <w:t xml:space="preserve"> </w:t>
      </w:r>
      <w:r w:rsidRPr="009A0DA6">
        <w:rPr>
          <w:rFonts w:ascii="Cambria" w:eastAsia="Calibri" w:hAnsi="Cambria" w:cs="Calibri"/>
          <w:spacing w:val="1"/>
        </w:rPr>
        <w:t>p</w:t>
      </w:r>
      <w:r w:rsidRPr="009A0DA6">
        <w:rPr>
          <w:rFonts w:ascii="Cambria" w:eastAsia="Calibri" w:hAnsi="Cambria" w:cs="Calibri"/>
        </w:rPr>
        <w:t>r</w:t>
      </w:r>
      <w:r w:rsidRPr="009A0DA6">
        <w:rPr>
          <w:rFonts w:ascii="Cambria" w:eastAsia="Calibri" w:hAnsi="Cambria" w:cs="Calibri"/>
          <w:spacing w:val="1"/>
        </w:rPr>
        <w:t>o</w:t>
      </w:r>
      <w:r w:rsidRPr="009A0DA6">
        <w:rPr>
          <w:rFonts w:ascii="Cambria" w:eastAsia="Calibri" w:hAnsi="Cambria" w:cs="Calibri"/>
          <w:spacing w:val="-1"/>
        </w:rPr>
        <w:t>ve</w:t>
      </w:r>
      <w:r w:rsidRPr="009A0DA6">
        <w:rPr>
          <w:rFonts w:ascii="Cambria" w:eastAsia="Calibri" w:hAnsi="Cambria" w:cs="Calibri"/>
        </w:rPr>
        <w:t>n</w:t>
      </w:r>
      <w:r w:rsidRPr="009A0DA6">
        <w:rPr>
          <w:rFonts w:ascii="Cambria" w:eastAsia="Calibri" w:hAnsi="Cambria" w:cs="Calibri"/>
          <w:spacing w:val="1"/>
        </w:rPr>
        <w:t xml:space="preserve"> </w:t>
      </w:r>
      <w:r w:rsidRPr="009A0DA6">
        <w:rPr>
          <w:rFonts w:ascii="Cambria" w:eastAsia="Calibri" w:hAnsi="Cambria" w:cs="Calibri"/>
        </w:rPr>
        <w:t>t</w:t>
      </w:r>
      <w:r w:rsidRPr="009A0DA6">
        <w:rPr>
          <w:rFonts w:ascii="Cambria" w:eastAsia="Calibri" w:hAnsi="Cambria" w:cs="Calibri"/>
          <w:spacing w:val="1"/>
        </w:rPr>
        <w:t>h</w:t>
      </w:r>
      <w:r w:rsidRPr="009A0DA6">
        <w:rPr>
          <w:rFonts w:ascii="Cambria" w:eastAsia="Calibri" w:hAnsi="Cambria" w:cs="Calibri"/>
          <w:spacing w:val="-2"/>
        </w:rPr>
        <w:t>a</w:t>
      </w:r>
      <w:r w:rsidRPr="009A0DA6">
        <w:rPr>
          <w:rFonts w:ascii="Cambria" w:eastAsia="Calibri" w:hAnsi="Cambria" w:cs="Calibri"/>
        </w:rPr>
        <w:t>t</w:t>
      </w:r>
      <w:r w:rsidRPr="009A0DA6">
        <w:rPr>
          <w:rFonts w:ascii="Cambria" w:eastAsia="Calibri" w:hAnsi="Cambria" w:cs="Calibri"/>
          <w:spacing w:val="3"/>
        </w:rPr>
        <w:t xml:space="preserve"> </w:t>
      </w:r>
      <w:r w:rsidRPr="009A0DA6">
        <w:rPr>
          <w:rFonts w:ascii="Cambria" w:eastAsia="Calibri" w:hAnsi="Cambria" w:cs="Calibri"/>
        </w:rPr>
        <w:t>a</w:t>
      </w:r>
      <w:r w:rsidRPr="009A0DA6">
        <w:rPr>
          <w:rFonts w:ascii="Cambria" w:eastAsia="Calibri" w:hAnsi="Cambria" w:cs="Calibri"/>
          <w:spacing w:val="1"/>
        </w:rPr>
        <w:t>n</w:t>
      </w:r>
      <w:r w:rsidRPr="009A0DA6">
        <w:rPr>
          <w:rFonts w:ascii="Cambria" w:eastAsia="Calibri" w:hAnsi="Cambria" w:cs="Calibri"/>
        </w:rPr>
        <w:t>y</w:t>
      </w:r>
      <w:r w:rsidRPr="009A0DA6">
        <w:rPr>
          <w:rFonts w:ascii="Cambria" w:eastAsia="Calibri" w:hAnsi="Cambria" w:cs="Calibri"/>
          <w:spacing w:val="5"/>
        </w:rPr>
        <w:t xml:space="preserve"> </w:t>
      </w:r>
      <w:r w:rsidRPr="009A0DA6">
        <w:rPr>
          <w:rFonts w:ascii="Cambria" w:eastAsia="Calibri" w:hAnsi="Cambria" w:cs="Calibri"/>
        </w:rPr>
        <w:t>of</w:t>
      </w:r>
      <w:r w:rsidRPr="009A0DA6">
        <w:rPr>
          <w:rFonts w:ascii="Cambria" w:eastAsia="Calibri" w:hAnsi="Cambria" w:cs="Calibri"/>
          <w:spacing w:val="4"/>
        </w:rPr>
        <w:t xml:space="preserve"> </w:t>
      </w:r>
      <w:r w:rsidRPr="009A0DA6">
        <w:rPr>
          <w:rFonts w:ascii="Cambria" w:eastAsia="Calibri" w:hAnsi="Cambria" w:cs="Calibri"/>
          <w:spacing w:val="-2"/>
        </w:rPr>
        <w:t>t</w:t>
      </w:r>
      <w:r w:rsidRPr="009A0DA6">
        <w:rPr>
          <w:rFonts w:ascii="Cambria" w:eastAsia="Calibri" w:hAnsi="Cambria" w:cs="Calibri"/>
          <w:spacing w:val="1"/>
        </w:rPr>
        <w:t>h</w:t>
      </w:r>
      <w:r w:rsidRPr="009A0DA6">
        <w:rPr>
          <w:rFonts w:ascii="Cambria" w:eastAsia="Calibri" w:hAnsi="Cambria" w:cs="Calibri"/>
          <w:spacing w:val="-1"/>
        </w:rPr>
        <w:t>es</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spacing w:val="-1"/>
        </w:rPr>
        <w:t>w</w:t>
      </w:r>
      <w:r w:rsidRPr="009A0DA6">
        <w:rPr>
          <w:rFonts w:ascii="Cambria" w:eastAsia="Calibri" w:hAnsi="Cambria" w:cs="Calibri"/>
          <w:spacing w:val="3"/>
        </w:rPr>
        <w:t>o</w:t>
      </w:r>
      <w:r w:rsidRPr="009A0DA6">
        <w:rPr>
          <w:rFonts w:ascii="Cambria" w:eastAsia="Calibri" w:hAnsi="Cambria" w:cs="Calibri"/>
          <w:spacing w:val="-1"/>
        </w:rPr>
        <w:t>me</w:t>
      </w:r>
      <w:r w:rsidRPr="009A0DA6">
        <w:rPr>
          <w:rFonts w:ascii="Cambria" w:eastAsia="Calibri" w:hAnsi="Cambria" w:cs="Calibri"/>
        </w:rPr>
        <w:t xml:space="preserve">n </w:t>
      </w:r>
      <w:r w:rsidRPr="009A0DA6">
        <w:rPr>
          <w:rFonts w:ascii="Cambria" w:eastAsia="Calibri" w:hAnsi="Cambria" w:cs="Calibri"/>
          <w:spacing w:val="1"/>
        </w:rPr>
        <w:t>w</w:t>
      </w:r>
      <w:r w:rsidRPr="009A0DA6">
        <w:rPr>
          <w:rFonts w:ascii="Cambria" w:eastAsia="Calibri" w:hAnsi="Cambria" w:cs="Calibri"/>
          <w:spacing w:val="-1"/>
        </w:rPr>
        <w:t>e</w:t>
      </w:r>
      <w:r w:rsidRPr="009A0DA6">
        <w:rPr>
          <w:rFonts w:ascii="Cambria" w:eastAsia="Calibri" w:hAnsi="Cambria" w:cs="Calibri"/>
        </w:rPr>
        <w:t>re</w:t>
      </w:r>
      <w:r w:rsidRPr="009A0DA6">
        <w:rPr>
          <w:rFonts w:ascii="Cambria" w:eastAsia="Calibri" w:hAnsi="Cambria" w:cs="Calibri"/>
          <w:spacing w:val="1"/>
        </w:rPr>
        <w:t xml:space="preserve"> </w:t>
      </w:r>
      <w:r w:rsidRPr="009A0DA6">
        <w:rPr>
          <w:rFonts w:ascii="Cambria" w:eastAsia="Calibri" w:hAnsi="Cambria" w:cs="Calibri"/>
          <w:spacing w:val="3"/>
        </w:rPr>
        <w:t>p</w:t>
      </w:r>
      <w:r w:rsidRPr="009A0DA6">
        <w:rPr>
          <w:rFonts w:ascii="Cambria" w:eastAsia="Calibri" w:hAnsi="Cambria" w:cs="Calibri"/>
        </w:rPr>
        <w:t>astor</w:t>
      </w:r>
      <w:r w:rsidRPr="009A0DA6">
        <w:rPr>
          <w:rFonts w:ascii="Cambria" w:eastAsia="Calibri" w:hAnsi="Cambria" w:cs="Calibri"/>
          <w:spacing w:val="-1"/>
        </w:rPr>
        <w:t>s</w:t>
      </w:r>
      <w:r w:rsidRPr="009A0DA6">
        <w:rPr>
          <w:rFonts w:ascii="Cambria" w:eastAsia="Calibri" w:hAnsi="Cambria" w:cs="Calibri"/>
        </w:rPr>
        <w:t>, a</w:t>
      </w:r>
      <w:r w:rsidRPr="009A0DA6">
        <w:rPr>
          <w:rFonts w:ascii="Cambria" w:eastAsia="Calibri" w:hAnsi="Cambria" w:cs="Calibri"/>
          <w:spacing w:val="1"/>
        </w:rPr>
        <w:t>n</w:t>
      </w:r>
      <w:r w:rsidRPr="009A0DA6">
        <w:rPr>
          <w:rFonts w:ascii="Cambria" w:eastAsia="Calibri" w:hAnsi="Cambria" w:cs="Calibri"/>
        </w:rPr>
        <w:t>d</w:t>
      </w:r>
      <w:r w:rsidRPr="009A0DA6">
        <w:rPr>
          <w:rFonts w:ascii="Cambria" w:eastAsia="Calibri" w:hAnsi="Cambria" w:cs="Calibri"/>
          <w:spacing w:val="3"/>
        </w:rPr>
        <w:t xml:space="preserve"> </w:t>
      </w:r>
      <w:r w:rsidRPr="009A0DA6">
        <w:rPr>
          <w:rFonts w:ascii="Cambria" w:eastAsia="Calibri" w:hAnsi="Cambria" w:cs="Calibri"/>
          <w:spacing w:val="-1"/>
        </w:rPr>
        <w:t>we</w:t>
      </w:r>
      <w:r w:rsidRPr="009A0DA6">
        <w:rPr>
          <w:rFonts w:ascii="Cambria" w:eastAsia="Calibri" w:hAnsi="Cambria" w:cs="Calibri"/>
        </w:rPr>
        <w:t>re</w:t>
      </w:r>
      <w:r w:rsidRPr="009A0DA6">
        <w:rPr>
          <w:rFonts w:ascii="Cambria" w:eastAsia="Calibri" w:hAnsi="Cambria" w:cs="Calibri"/>
          <w:spacing w:val="1"/>
        </w:rPr>
        <w:t xml:space="preserve"> n</w:t>
      </w:r>
      <w:r w:rsidRPr="009A0DA6">
        <w:rPr>
          <w:rFonts w:ascii="Cambria" w:eastAsia="Calibri" w:hAnsi="Cambria" w:cs="Calibri"/>
        </w:rPr>
        <w:t>ot</w:t>
      </w:r>
      <w:r w:rsidRPr="009A0DA6">
        <w:rPr>
          <w:rFonts w:ascii="Cambria" w:eastAsia="Calibri" w:hAnsi="Cambria" w:cs="Calibri"/>
          <w:spacing w:val="4"/>
        </w:rPr>
        <w:t xml:space="preserve"> </w:t>
      </w:r>
      <w:r w:rsidRPr="009A0DA6">
        <w:rPr>
          <w:rFonts w:ascii="Cambria" w:eastAsia="Calibri" w:hAnsi="Cambria" w:cs="Calibri"/>
          <w:spacing w:val="-1"/>
        </w:rPr>
        <w:t>se</w:t>
      </w:r>
      <w:r w:rsidRPr="009A0DA6">
        <w:rPr>
          <w:rFonts w:ascii="Cambria" w:eastAsia="Calibri" w:hAnsi="Cambria" w:cs="Calibri"/>
          <w:spacing w:val="2"/>
        </w:rPr>
        <w:t>r</w:t>
      </w:r>
      <w:r w:rsidRPr="009A0DA6">
        <w:rPr>
          <w:rFonts w:ascii="Cambria" w:eastAsia="Calibri" w:hAnsi="Cambria" w:cs="Calibri"/>
          <w:spacing w:val="-1"/>
        </w:rPr>
        <w:t>v</w:t>
      </w:r>
      <w:r w:rsidRPr="009A0DA6">
        <w:rPr>
          <w:rFonts w:ascii="Cambria" w:eastAsia="Calibri" w:hAnsi="Cambria" w:cs="Calibri"/>
        </w:rPr>
        <w:t>i</w:t>
      </w:r>
      <w:r w:rsidRPr="009A0DA6">
        <w:rPr>
          <w:rFonts w:ascii="Cambria" w:eastAsia="Calibri" w:hAnsi="Cambria" w:cs="Calibri"/>
          <w:spacing w:val="1"/>
        </w:rPr>
        <w:t>n</w:t>
      </w:r>
      <w:r w:rsidRPr="009A0DA6">
        <w:rPr>
          <w:rFonts w:ascii="Cambria" w:eastAsia="Calibri" w:hAnsi="Cambria" w:cs="Calibri"/>
        </w:rPr>
        <w:t>g</w:t>
      </w:r>
      <w:r w:rsidRPr="009A0DA6">
        <w:rPr>
          <w:rFonts w:ascii="Cambria" w:eastAsia="Calibri" w:hAnsi="Cambria" w:cs="Calibri"/>
          <w:spacing w:val="1"/>
        </w:rPr>
        <w:t xml:space="preserve"> </w:t>
      </w:r>
      <w:r w:rsidRPr="009A0DA6">
        <w:rPr>
          <w:rFonts w:ascii="Cambria" w:eastAsia="Calibri" w:hAnsi="Cambria" w:cs="Calibri"/>
          <w:spacing w:val="2"/>
        </w:rPr>
        <w:t>i</w:t>
      </w:r>
      <w:r w:rsidRPr="009A0DA6">
        <w:rPr>
          <w:rFonts w:ascii="Cambria" w:eastAsia="Calibri" w:hAnsi="Cambria" w:cs="Calibri"/>
        </w:rPr>
        <w:t>n</w:t>
      </w:r>
      <w:r w:rsidRPr="009A0DA6">
        <w:rPr>
          <w:rFonts w:ascii="Cambria" w:eastAsia="Calibri" w:hAnsi="Cambria" w:cs="Calibri"/>
          <w:spacing w:val="5"/>
        </w:rPr>
        <w:t xml:space="preserve"> </w:t>
      </w:r>
      <w:r w:rsidRPr="009A0DA6">
        <w:rPr>
          <w:rFonts w:ascii="Cambria" w:eastAsia="Calibri" w:hAnsi="Cambria" w:cs="Calibri"/>
          <w:spacing w:val="-1"/>
        </w:rPr>
        <w:t>s</w:t>
      </w:r>
      <w:r w:rsidRPr="009A0DA6">
        <w:rPr>
          <w:rFonts w:ascii="Cambria" w:eastAsia="Calibri" w:hAnsi="Cambria" w:cs="Calibri"/>
        </w:rPr>
        <w:t>o</w:t>
      </w:r>
      <w:r w:rsidRPr="009A0DA6">
        <w:rPr>
          <w:rFonts w:ascii="Cambria" w:eastAsia="Calibri" w:hAnsi="Cambria" w:cs="Calibri"/>
          <w:spacing w:val="-1"/>
        </w:rPr>
        <w:t>m</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rPr>
        <w:t>a</w:t>
      </w:r>
      <w:r w:rsidRPr="009A0DA6">
        <w:rPr>
          <w:rFonts w:ascii="Cambria" w:eastAsia="Calibri" w:hAnsi="Cambria" w:cs="Calibri"/>
          <w:spacing w:val="1"/>
        </w:rPr>
        <w:t>u</w:t>
      </w:r>
      <w:r w:rsidRPr="009A0DA6">
        <w:rPr>
          <w:rFonts w:ascii="Cambria" w:eastAsia="Calibri" w:hAnsi="Cambria" w:cs="Calibri"/>
        </w:rPr>
        <w:t>xiliary</w:t>
      </w:r>
      <w:r w:rsidRPr="009A0DA6">
        <w:rPr>
          <w:rFonts w:ascii="Cambria" w:eastAsia="Calibri" w:hAnsi="Cambria" w:cs="Calibri"/>
          <w:spacing w:val="1"/>
        </w:rPr>
        <w:t xml:space="preserve"> </w:t>
      </w:r>
      <w:r w:rsidRPr="009A0DA6">
        <w:rPr>
          <w:rFonts w:ascii="Cambria" w:eastAsia="Calibri" w:hAnsi="Cambria" w:cs="Calibri"/>
        </w:rPr>
        <w:t>r</w:t>
      </w:r>
      <w:r w:rsidRPr="009A0DA6">
        <w:rPr>
          <w:rFonts w:ascii="Cambria" w:eastAsia="Calibri" w:hAnsi="Cambria" w:cs="Calibri"/>
          <w:spacing w:val="1"/>
        </w:rPr>
        <w:t>o</w:t>
      </w:r>
      <w:r w:rsidRPr="009A0DA6">
        <w:rPr>
          <w:rFonts w:ascii="Cambria" w:eastAsia="Calibri" w:hAnsi="Cambria" w:cs="Calibri"/>
        </w:rPr>
        <w:t>l</w:t>
      </w:r>
      <w:r w:rsidRPr="009A0DA6">
        <w:rPr>
          <w:rFonts w:ascii="Cambria" w:eastAsia="Calibri" w:hAnsi="Cambria" w:cs="Calibri"/>
          <w:spacing w:val="-1"/>
        </w:rPr>
        <w:t>e</w:t>
      </w:r>
      <w:r w:rsidRPr="009A0DA6">
        <w:rPr>
          <w:rFonts w:ascii="Cambria" w:eastAsia="Calibri" w:hAnsi="Cambria" w:cs="Calibri"/>
        </w:rPr>
        <w:t>,</w:t>
      </w:r>
      <w:r w:rsidRPr="009A0DA6">
        <w:rPr>
          <w:rFonts w:ascii="Cambria" w:eastAsia="Calibri" w:hAnsi="Cambria" w:cs="Calibri"/>
          <w:spacing w:val="3"/>
        </w:rPr>
        <w:t xml:space="preserve"> </w:t>
      </w:r>
      <w:r w:rsidRPr="009A0DA6">
        <w:rPr>
          <w:rFonts w:ascii="Cambria" w:eastAsia="Calibri" w:hAnsi="Cambria" w:cs="Calibri"/>
          <w:spacing w:val="1"/>
        </w:rPr>
        <w:t>n</w:t>
      </w:r>
      <w:r w:rsidRPr="009A0DA6">
        <w:rPr>
          <w:rFonts w:ascii="Cambria" w:eastAsia="Calibri" w:hAnsi="Cambria" w:cs="Calibri"/>
        </w:rPr>
        <w:t>o</w:t>
      </w:r>
      <w:r w:rsidRPr="009A0DA6">
        <w:rPr>
          <w:rFonts w:ascii="Cambria" w:eastAsia="Calibri" w:hAnsi="Cambria" w:cs="Calibri"/>
          <w:spacing w:val="1"/>
        </w:rPr>
        <w:t>n</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rPr>
        <w:t>of t</w:t>
      </w:r>
      <w:r w:rsidRPr="009A0DA6">
        <w:rPr>
          <w:rFonts w:ascii="Cambria" w:eastAsia="Calibri" w:hAnsi="Cambria" w:cs="Calibri"/>
          <w:spacing w:val="1"/>
        </w:rPr>
        <w:t>h</w:t>
      </w:r>
      <w:r w:rsidRPr="009A0DA6">
        <w:rPr>
          <w:rFonts w:ascii="Cambria" w:eastAsia="Calibri" w:hAnsi="Cambria" w:cs="Calibri"/>
        </w:rPr>
        <w:t>is</w:t>
      </w:r>
      <w:r w:rsidRPr="009A0DA6">
        <w:rPr>
          <w:rFonts w:ascii="Cambria" w:eastAsia="Calibri" w:hAnsi="Cambria" w:cs="Calibri"/>
          <w:spacing w:val="-4"/>
        </w:rPr>
        <w:t xml:space="preserve"> </w:t>
      </w:r>
      <w:r w:rsidRPr="009A0DA6">
        <w:rPr>
          <w:rFonts w:ascii="Cambria" w:eastAsia="Calibri" w:hAnsi="Cambria" w:cs="Calibri"/>
          <w:spacing w:val="-1"/>
        </w:rPr>
        <w:t>ev</w:t>
      </w:r>
      <w:r w:rsidRPr="009A0DA6">
        <w:rPr>
          <w:rFonts w:ascii="Cambria" w:eastAsia="Calibri" w:hAnsi="Cambria" w:cs="Calibri"/>
        </w:rPr>
        <w:t>i</w:t>
      </w:r>
      <w:r w:rsidRPr="009A0DA6">
        <w:rPr>
          <w:rFonts w:ascii="Cambria" w:eastAsia="Calibri" w:hAnsi="Cambria" w:cs="Calibri"/>
          <w:spacing w:val="3"/>
        </w:rPr>
        <w:t>d</w:t>
      </w:r>
      <w:r w:rsidRPr="009A0DA6">
        <w:rPr>
          <w:rFonts w:ascii="Cambria" w:eastAsia="Calibri" w:hAnsi="Cambria" w:cs="Calibri"/>
          <w:spacing w:val="-1"/>
        </w:rPr>
        <w:t>e</w:t>
      </w:r>
      <w:r w:rsidRPr="009A0DA6">
        <w:rPr>
          <w:rFonts w:ascii="Cambria" w:eastAsia="Calibri" w:hAnsi="Cambria" w:cs="Calibri"/>
          <w:spacing w:val="1"/>
        </w:rPr>
        <w:t>n</w:t>
      </w:r>
      <w:r w:rsidRPr="009A0DA6">
        <w:rPr>
          <w:rFonts w:ascii="Cambria" w:eastAsia="Calibri" w:hAnsi="Cambria" w:cs="Calibri"/>
        </w:rPr>
        <w:t>ce</w:t>
      </w:r>
      <w:r w:rsidRPr="009A0DA6">
        <w:rPr>
          <w:rFonts w:ascii="Cambria" w:eastAsia="Calibri" w:hAnsi="Cambria" w:cs="Calibri"/>
          <w:spacing w:val="-5"/>
        </w:rPr>
        <w:t xml:space="preserve"> </w:t>
      </w:r>
      <w:r w:rsidRPr="009A0DA6">
        <w:rPr>
          <w:rFonts w:ascii="Cambria" w:eastAsia="Calibri" w:hAnsi="Cambria" w:cs="Calibri"/>
          <w:spacing w:val="-1"/>
        </w:rPr>
        <w:t>w</w:t>
      </w:r>
      <w:r w:rsidRPr="009A0DA6">
        <w:rPr>
          <w:rFonts w:ascii="Cambria" w:eastAsia="Calibri" w:hAnsi="Cambria" w:cs="Calibri"/>
        </w:rPr>
        <w:t>arra</w:t>
      </w:r>
      <w:r w:rsidRPr="009A0DA6">
        <w:rPr>
          <w:rFonts w:ascii="Cambria" w:eastAsia="Calibri" w:hAnsi="Cambria" w:cs="Calibri"/>
          <w:spacing w:val="1"/>
        </w:rPr>
        <w:t>n</w:t>
      </w:r>
      <w:r w:rsidRPr="009A0DA6">
        <w:rPr>
          <w:rFonts w:ascii="Cambria" w:eastAsia="Calibri" w:hAnsi="Cambria" w:cs="Calibri"/>
        </w:rPr>
        <w:t>ts</w:t>
      </w:r>
      <w:r w:rsidRPr="009A0DA6">
        <w:rPr>
          <w:rFonts w:ascii="Cambria" w:eastAsia="Calibri" w:hAnsi="Cambria" w:cs="Calibri"/>
          <w:spacing w:val="-8"/>
        </w:rPr>
        <w:t xml:space="preserve"> </w:t>
      </w:r>
      <w:r w:rsidRPr="009A0DA6">
        <w:rPr>
          <w:rFonts w:ascii="Cambria" w:eastAsia="Calibri" w:hAnsi="Cambria" w:cs="Calibri"/>
          <w:spacing w:val="1"/>
        </w:rPr>
        <w:t>th</w:t>
      </w:r>
      <w:r w:rsidRPr="009A0DA6">
        <w:rPr>
          <w:rFonts w:ascii="Cambria" w:eastAsia="Calibri" w:hAnsi="Cambria" w:cs="Calibri"/>
        </w:rPr>
        <w:t>e</w:t>
      </w:r>
      <w:r w:rsidRPr="009A0DA6">
        <w:rPr>
          <w:rFonts w:ascii="Cambria" w:eastAsia="Calibri" w:hAnsi="Cambria" w:cs="Calibri"/>
          <w:spacing w:val="-4"/>
        </w:rPr>
        <w:t xml:space="preserve"> </w:t>
      </w:r>
      <w:r w:rsidRPr="009A0DA6">
        <w:rPr>
          <w:rFonts w:ascii="Cambria" w:eastAsia="Calibri" w:hAnsi="Cambria" w:cs="Calibri"/>
        </w:rPr>
        <w:t>c</w:t>
      </w:r>
      <w:r w:rsidRPr="009A0DA6">
        <w:rPr>
          <w:rFonts w:ascii="Cambria" w:eastAsia="Calibri" w:hAnsi="Cambria" w:cs="Calibri"/>
          <w:spacing w:val="3"/>
        </w:rPr>
        <w:t>o</w:t>
      </w:r>
      <w:r w:rsidRPr="009A0DA6">
        <w:rPr>
          <w:rFonts w:ascii="Cambria" w:eastAsia="Calibri" w:hAnsi="Cambria" w:cs="Calibri"/>
          <w:spacing w:val="1"/>
        </w:rPr>
        <w:t>n</w:t>
      </w:r>
      <w:r w:rsidRPr="009A0DA6">
        <w:rPr>
          <w:rFonts w:ascii="Cambria" w:eastAsia="Calibri" w:hAnsi="Cambria" w:cs="Calibri"/>
        </w:rPr>
        <w:t>clus</w:t>
      </w:r>
      <w:r w:rsidRPr="009A0DA6">
        <w:rPr>
          <w:rFonts w:ascii="Cambria" w:eastAsia="Calibri" w:hAnsi="Cambria" w:cs="Calibri"/>
          <w:spacing w:val="-1"/>
        </w:rPr>
        <w:t>i</w:t>
      </w:r>
      <w:r w:rsidRPr="009A0DA6">
        <w:rPr>
          <w:rFonts w:ascii="Cambria" w:eastAsia="Calibri" w:hAnsi="Cambria" w:cs="Calibri"/>
        </w:rPr>
        <w:t>on</w:t>
      </w:r>
      <w:r w:rsidRPr="009A0DA6">
        <w:rPr>
          <w:rFonts w:ascii="Cambria" w:eastAsia="Calibri" w:hAnsi="Cambria" w:cs="Calibri"/>
          <w:spacing w:val="-8"/>
        </w:rPr>
        <w:t xml:space="preserve"> </w:t>
      </w:r>
      <w:r w:rsidRPr="009A0DA6">
        <w:rPr>
          <w:rFonts w:ascii="Cambria" w:eastAsia="Calibri" w:hAnsi="Cambria" w:cs="Calibri"/>
          <w:spacing w:val="1"/>
        </w:rPr>
        <w:t>th</w:t>
      </w:r>
      <w:r w:rsidRPr="009A0DA6">
        <w:rPr>
          <w:rFonts w:ascii="Cambria" w:eastAsia="Calibri" w:hAnsi="Cambria" w:cs="Calibri"/>
        </w:rPr>
        <w:t>at</w:t>
      </w:r>
      <w:r w:rsidRPr="009A0DA6">
        <w:rPr>
          <w:rFonts w:ascii="Cambria" w:eastAsia="Calibri" w:hAnsi="Cambria" w:cs="Calibri"/>
          <w:spacing w:val="-2"/>
        </w:rPr>
        <w:t xml:space="preserve"> </w:t>
      </w:r>
      <w:r w:rsidRPr="009A0DA6">
        <w:rPr>
          <w:rFonts w:ascii="Cambria" w:eastAsia="Calibri" w:hAnsi="Cambria" w:cs="Calibri"/>
        </w:rPr>
        <w:t>wom</w:t>
      </w:r>
      <w:r w:rsidRPr="009A0DA6">
        <w:rPr>
          <w:rFonts w:ascii="Cambria" w:eastAsia="Calibri" w:hAnsi="Cambria" w:cs="Calibri"/>
          <w:spacing w:val="-1"/>
        </w:rPr>
        <w:t>e</w:t>
      </w:r>
      <w:r w:rsidRPr="009A0DA6">
        <w:rPr>
          <w:rFonts w:ascii="Cambria" w:eastAsia="Calibri" w:hAnsi="Cambria" w:cs="Calibri"/>
        </w:rPr>
        <w:t>n</w:t>
      </w:r>
      <w:r w:rsidRPr="009A0DA6">
        <w:rPr>
          <w:rFonts w:ascii="Cambria" w:eastAsia="Calibri" w:hAnsi="Cambria" w:cs="Calibri"/>
          <w:spacing w:val="-5"/>
        </w:rPr>
        <w:t xml:space="preserve"> </w:t>
      </w:r>
      <w:r w:rsidRPr="009A0DA6">
        <w:rPr>
          <w:rFonts w:ascii="Cambria" w:eastAsia="Calibri" w:hAnsi="Cambria" w:cs="Calibri"/>
        </w:rPr>
        <w:t>c</w:t>
      </w:r>
      <w:r w:rsidRPr="009A0DA6">
        <w:rPr>
          <w:rFonts w:ascii="Cambria" w:eastAsia="Calibri" w:hAnsi="Cambria" w:cs="Calibri"/>
          <w:spacing w:val="1"/>
        </w:rPr>
        <w:t>a</w:t>
      </w:r>
      <w:r w:rsidRPr="009A0DA6">
        <w:rPr>
          <w:rFonts w:ascii="Cambria" w:eastAsia="Calibri" w:hAnsi="Cambria" w:cs="Calibri"/>
        </w:rPr>
        <w:t>n</w:t>
      </w:r>
      <w:r w:rsidRPr="009A0DA6">
        <w:rPr>
          <w:rFonts w:ascii="Cambria" w:eastAsia="Calibri" w:hAnsi="Cambria" w:cs="Calibri"/>
          <w:spacing w:val="-2"/>
        </w:rPr>
        <w:t xml:space="preserve"> </w:t>
      </w:r>
      <w:r w:rsidRPr="009A0DA6">
        <w:rPr>
          <w:rFonts w:ascii="Cambria" w:eastAsia="Calibri" w:hAnsi="Cambria" w:cs="Calibri"/>
          <w:spacing w:val="1"/>
        </w:rPr>
        <w:t>b</w:t>
      </w:r>
      <w:r w:rsidRPr="009A0DA6">
        <w:rPr>
          <w:rFonts w:ascii="Cambria" w:eastAsia="Calibri" w:hAnsi="Cambria" w:cs="Calibri"/>
        </w:rPr>
        <w:t>e</w:t>
      </w:r>
      <w:r w:rsidRPr="009A0DA6">
        <w:rPr>
          <w:rFonts w:ascii="Cambria" w:eastAsia="Calibri" w:hAnsi="Cambria" w:cs="Calibri"/>
          <w:spacing w:val="-3"/>
        </w:rPr>
        <w:t xml:space="preserve"> </w:t>
      </w:r>
      <w:r w:rsidRPr="009A0DA6">
        <w:rPr>
          <w:rFonts w:ascii="Cambria" w:eastAsia="Calibri" w:hAnsi="Cambria" w:cs="Calibri"/>
          <w:spacing w:val="3"/>
        </w:rPr>
        <w:t>o</w:t>
      </w:r>
      <w:r w:rsidRPr="009A0DA6">
        <w:rPr>
          <w:rFonts w:ascii="Cambria" w:eastAsia="Calibri" w:hAnsi="Cambria" w:cs="Calibri"/>
        </w:rPr>
        <w:t>r</w:t>
      </w:r>
      <w:r w:rsidRPr="009A0DA6">
        <w:rPr>
          <w:rFonts w:ascii="Cambria" w:eastAsia="Calibri" w:hAnsi="Cambria" w:cs="Calibri"/>
          <w:spacing w:val="1"/>
        </w:rPr>
        <w:t>d</w:t>
      </w:r>
      <w:r w:rsidRPr="009A0DA6">
        <w:rPr>
          <w:rFonts w:ascii="Cambria" w:eastAsia="Calibri" w:hAnsi="Cambria" w:cs="Calibri"/>
        </w:rPr>
        <w:t>ai</w:t>
      </w:r>
      <w:r w:rsidRPr="009A0DA6">
        <w:rPr>
          <w:rFonts w:ascii="Cambria" w:eastAsia="Calibri" w:hAnsi="Cambria" w:cs="Calibri"/>
          <w:spacing w:val="1"/>
        </w:rPr>
        <w:t>n</w:t>
      </w:r>
      <w:r w:rsidRPr="009A0DA6">
        <w:rPr>
          <w:rFonts w:ascii="Cambria" w:eastAsia="Calibri" w:hAnsi="Cambria" w:cs="Calibri"/>
          <w:spacing w:val="-1"/>
        </w:rPr>
        <w:t>e</w:t>
      </w:r>
      <w:r w:rsidRPr="009A0DA6">
        <w:rPr>
          <w:rFonts w:ascii="Cambria" w:eastAsia="Calibri" w:hAnsi="Cambria" w:cs="Calibri"/>
          <w:spacing w:val="1"/>
        </w:rPr>
        <w:t>d</w:t>
      </w:r>
      <w:r w:rsidRPr="009A0DA6">
        <w:rPr>
          <w:rFonts w:ascii="Cambria" w:eastAsia="Calibri" w:hAnsi="Cambria" w:cs="Calibri"/>
        </w:rPr>
        <w:t>.</w:t>
      </w:r>
      <w:r w:rsidRPr="009A0DA6">
        <w:rPr>
          <w:rFonts w:ascii="Cambria" w:eastAsia="Calibri" w:hAnsi="Cambria" w:cs="Calibri"/>
        </w:rPr>
        <w:br/>
      </w:r>
    </w:p>
    <w:p w14:paraId="5E201D80" w14:textId="21ECDDD8" w:rsidR="0042579D" w:rsidRPr="009A0DA6" w:rsidRDefault="0042579D" w:rsidP="00F55252">
      <w:pPr>
        <w:pStyle w:val="ListParagraph"/>
        <w:numPr>
          <w:ilvl w:val="0"/>
          <w:numId w:val="125"/>
        </w:numPr>
        <w:tabs>
          <w:tab w:val="clear" w:pos="643"/>
          <w:tab w:val="left" w:pos="1134"/>
        </w:tabs>
        <w:spacing w:before="62" w:after="0" w:line="254" w:lineRule="auto"/>
        <w:ind w:left="1134" w:right="62" w:hanging="567"/>
        <w:rPr>
          <w:rFonts w:ascii="Cambria" w:eastAsia="Calibri" w:hAnsi="Cambria" w:cs="Calibri"/>
        </w:rPr>
      </w:pP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rPr>
        <w:t>D</w:t>
      </w:r>
      <w:r w:rsidRPr="009A0DA6">
        <w:rPr>
          <w:rFonts w:ascii="Cambria" w:eastAsia="Calibri" w:hAnsi="Cambria" w:cs="Calibri"/>
          <w:spacing w:val="2"/>
        </w:rPr>
        <w:t>D</w:t>
      </w:r>
      <w:r w:rsidRPr="009A0DA6">
        <w:rPr>
          <w:rFonts w:ascii="Cambria" w:eastAsia="Calibri" w:hAnsi="Cambria" w:cs="Calibri"/>
        </w:rPr>
        <w:t>S</w:t>
      </w:r>
      <w:r w:rsidRPr="009A0DA6">
        <w:rPr>
          <w:rFonts w:ascii="Cambria" w:eastAsia="Calibri" w:hAnsi="Cambria" w:cs="Calibri"/>
          <w:spacing w:val="2"/>
        </w:rPr>
        <w:t xml:space="preserve"> </w:t>
      </w:r>
      <w:r w:rsidRPr="009A0DA6">
        <w:rPr>
          <w:rFonts w:ascii="Cambria" w:eastAsia="Calibri" w:hAnsi="Cambria" w:cs="Calibri"/>
          <w:spacing w:val="1"/>
        </w:rPr>
        <w:t>u</w:t>
      </w:r>
      <w:r w:rsidRPr="009A0DA6">
        <w:rPr>
          <w:rFonts w:ascii="Cambria" w:eastAsia="Calibri" w:hAnsi="Cambria" w:cs="Calibri"/>
          <w:spacing w:val="-1"/>
        </w:rPr>
        <w:t>s</w:t>
      </w:r>
      <w:r w:rsidRPr="009A0DA6">
        <w:rPr>
          <w:rFonts w:ascii="Cambria" w:eastAsia="Calibri" w:hAnsi="Cambria" w:cs="Calibri"/>
          <w:spacing w:val="1"/>
        </w:rPr>
        <w:t>e</w:t>
      </w:r>
      <w:r w:rsidRPr="009A0DA6">
        <w:rPr>
          <w:rFonts w:ascii="Cambria" w:eastAsia="Calibri" w:hAnsi="Cambria" w:cs="Calibri"/>
        </w:rPr>
        <w:t>s</w:t>
      </w:r>
      <w:r w:rsidRPr="009A0DA6">
        <w:rPr>
          <w:rFonts w:ascii="Cambria" w:eastAsia="Calibri" w:hAnsi="Cambria" w:cs="Calibri"/>
          <w:spacing w:val="2"/>
        </w:rPr>
        <w:t xml:space="preserve"> </w:t>
      </w:r>
      <w:r w:rsidRPr="009A0DA6">
        <w:rPr>
          <w:rFonts w:ascii="Cambria" w:eastAsia="Calibri" w:hAnsi="Cambria" w:cs="Calibri"/>
          <w:spacing w:val="-1"/>
        </w:rPr>
        <w:t>m</w:t>
      </w:r>
      <w:r w:rsidRPr="009A0DA6">
        <w:rPr>
          <w:rFonts w:ascii="Cambria" w:eastAsia="Calibri" w:hAnsi="Cambria" w:cs="Calibri"/>
          <w:spacing w:val="1"/>
        </w:rPr>
        <w:t>u</w:t>
      </w:r>
      <w:r w:rsidRPr="009A0DA6">
        <w:rPr>
          <w:rFonts w:ascii="Cambria" w:eastAsia="Calibri" w:hAnsi="Cambria" w:cs="Calibri"/>
        </w:rPr>
        <w:t>ch</w:t>
      </w:r>
      <w:r w:rsidRPr="009A0DA6">
        <w:rPr>
          <w:rFonts w:ascii="Cambria" w:eastAsia="Calibri" w:hAnsi="Cambria" w:cs="Calibri"/>
          <w:spacing w:val="1"/>
        </w:rPr>
        <w:t xml:space="preserve"> </w:t>
      </w:r>
      <w:r w:rsidRPr="009A0DA6">
        <w:rPr>
          <w:rFonts w:ascii="Cambria" w:eastAsia="Calibri" w:hAnsi="Cambria" w:cs="Calibri"/>
          <w:spacing w:val="-1"/>
        </w:rPr>
        <w:t>s</w:t>
      </w:r>
      <w:r w:rsidRPr="009A0DA6">
        <w:rPr>
          <w:rFonts w:ascii="Cambria" w:eastAsia="Calibri" w:hAnsi="Cambria" w:cs="Calibri"/>
          <w:spacing w:val="1"/>
        </w:rPr>
        <w:t>p</w:t>
      </w:r>
      <w:r w:rsidRPr="009A0DA6">
        <w:rPr>
          <w:rFonts w:ascii="Cambria" w:eastAsia="Calibri" w:hAnsi="Cambria" w:cs="Calibri"/>
          <w:spacing w:val="-1"/>
        </w:rPr>
        <w:t>e</w:t>
      </w:r>
      <w:r w:rsidRPr="009A0DA6">
        <w:rPr>
          <w:rFonts w:ascii="Cambria" w:eastAsia="Calibri" w:hAnsi="Cambria" w:cs="Calibri"/>
        </w:rPr>
        <w:t>c</w:t>
      </w:r>
      <w:r w:rsidRPr="009A0DA6">
        <w:rPr>
          <w:rFonts w:ascii="Cambria" w:eastAsia="Calibri" w:hAnsi="Cambria" w:cs="Calibri"/>
          <w:spacing w:val="1"/>
        </w:rPr>
        <w:t>u</w:t>
      </w:r>
      <w:r w:rsidRPr="009A0DA6">
        <w:rPr>
          <w:rFonts w:ascii="Cambria" w:eastAsia="Calibri" w:hAnsi="Cambria" w:cs="Calibri"/>
        </w:rPr>
        <w:t>la</w:t>
      </w:r>
      <w:r w:rsidRPr="009A0DA6">
        <w:rPr>
          <w:rFonts w:ascii="Cambria" w:eastAsia="Calibri" w:hAnsi="Cambria" w:cs="Calibri"/>
          <w:spacing w:val="1"/>
        </w:rPr>
        <w:t>t</w:t>
      </w:r>
      <w:r w:rsidRPr="009A0DA6">
        <w:rPr>
          <w:rFonts w:ascii="Cambria" w:eastAsia="Calibri" w:hAnsi="Cambria" w:cs="Calibri"/>
          <w:spacing w:val="2"/>
        </w:rPr>
        <w:t>i</w:t>
      </w:r>
      <w:r w:rsidRPr="009A0DA6">
        <w:rPr>
          <w:rFonts w:ascii="Cambria" w:eastAsia="Calibri" w:hAnsi="Cambria" w:cs="Calibri"/>
        </w:rPr>
        <w:t>on</w:t>
      </w:r>
      <w:r w:rsidRPr="009A0DA6">
        <w:rPr>
          <w:rFonts w:ascii="Cambria" w:eastAsia="Calibri" w:hAnsi="Cambria" w:cs="Calibri"/>
          <w:spacing w:val="-3"/>
        </w:rPr>
        <w:t xml:space="preserve"> </w:t>
      </w:r>
      <w:r w:rsidRPr="009A0DA6">
        <w:rPr>
          <w:rFonts w:ascii="Cambria" w:eastAsia="Calibri" w:hAnsi="Cambria" w:cs="Calibri"/>
        </w:rPr>
        <w:t>r</w:t>
      </w:r>
      <w:r w:rsidRPr="009A0DA6">
        <w:rPr>
          <w:rFonts w:ascii="Cambria" w:eastAsia="Calibri" w:hAnsi="Cambria" w:cs="Calibri"/>
          <w:spacing w:val="-1"/>
        </w:rPr>
        <w:t>e</w:t>
      </w:r>
      <w:r w:rsidRPr="009A0DA6">
        <w:rPr>
          <w:rFonts w:ascii="Cambria" w:eastAsia="Calibri" w:hAnsi="Cambria" w:cs="Calibri"/>
        </w:rPr>
        <w:t>gar</w:t>
      </w:r>
      <w:r w:rsidRPr="009A0DA6">
        <w:rPr>
          <w:rFonts w:ascii="Cambria" w:eastAsia="Calibri" w:hAnsi="Cambria" w:cs="Calibri"/>
          <w:spacing w:val="1"/>
        </w:rPr>
        <w:t>d</w:t>
      </w:r>
      <w:r w:rsidRPr="009A0DA6">
        <w:rPr>
          <w:rFonts w:ascii="Cambria" w:eastAsia="Calibri" w:hAnsi="Cambria" w:cs="Calibri"/>
        </w:rPr>
        <w:t>i</w:t>
      </w:r>
      <w:r w:rsidRPr="009A0DA6">
        <w:rPr>
          <w:rFonts w:ascii="Cambria" w:eastAsia="Calibri" w:hAnsi="Cambria" w:cs="Calibri"/>
          <w:spacing w:val="1"/>
        </w:rPr>
        <w:t>n</w:t>
      </w:r>
      <w:r w:rsidRPr="009A0DA6">
        <w:rPr>
          <w:rFonts w:ascii="Cambria" w:eastAsia="Calibri" w:hAnsi="Cambria" w:cs="Calibri"/>
        </w:rPr>
        <w:t>g</w:t>
      </w:r>
      <w:r w:rsidRPr="009A0DA6">
        <w:rPr>
          <w:rFonts w:ascii="Cambria" w:eastAsia="Calibri" w:hAnsi="Cambria" w:cs="Calibri"/>
          <w:spacing w:val="-3"/>
        </w:rPr>
        <w:t xml:space="preserve"> </w:t>
      </w:r>
      <w:r w:rsidRPr="009A0DA6">
        <w:rPr>
          <w:rFonts w:ascii="Cambria" w:eastAsia="Calibri" w:hAnsi="Cambria" w:cs="Calibri"/>
        </w:rPr>
        <w:t>P</w:t>
      </w:r>
      <w:r w:rsidRPr="009A0DA6">
        <w:rPr>
          <w:rFonts w:ascii="Cambria" w:eastAsia="Calibri" w:hAnsi="Cambria" w:cs="Calibri"/>
          <w:spacing w:val="1"/>
        </w:rPr>
        <w:t>au</w:t>
      </w:r>
      <w:r w:rsidRPr="009A0DA6">
        <w:rPr>
          <w:rFonts w:ascii="Cambria" w:eastAsia="Calibri" w:hAnsi="Cambria" w:cs="Calibri"/>
        </w:rPr>
        <w:t>l’s</w:t>
      </w:r>
      <w:r w:rsidRPr="009A0DA6">
        <w:rPr>
          <w:rFonts w:ascii="Cambria" w:eastAsia="Calibri" w:hAnsi="Cambria" w:cs="Calibri"/>
          <w:spacing w:val="-1"/>
        </w:rPr>
        <w:t xml:space="preserve"> m</w:t>
      </w:r>
      <w:r w:rsidRPr="009A0DA6">
        <w:rPr>
          <w:rFonts w:ascii="Cambria" w:eastAsia="Calibri" w:hAnsi="Cambria" w:cs="Calibri"/>
        </w:rPr>
        <w:t>ot</w:t>
      </w:r>
      <w:r w:rsidRPr="009A0DA6">
        <w:rPr>
          <w:rFonts w:ascii="Cambria" w:eastAsia="Calibri" w:hAnsi="Cambria" w:cs="Calibri"/>
          <w:spacing w:val="2"/>
        </w:rPr>
        <w:t>i</w:t>
      </w:r>
      <w:r w:rsidRPr="009A0DA6">
        <w:rPr>
          <w:rFonts w:ascii="Cambria" w:eastAsia="Calibri" w:hAnsi="Cambria" w:cs="Calibri"/>
          <w:spacing w:val="-1"/>
        </w:rPr>
        <w:t>v</w:t>
      </w:r>
      <w:r w:rsidRPr="009A0DA6">
        <w:rPr>
          <w:rFonts w:ascii="Cambria" w:eastAsia="Calibri" w:hAnsi="Cambria" w:cs="Calibri"/>
          <w:spacing w:val="1"/>
        </w:rPr>
        <w:t>e</w:t>
      </w:r>
      <w:r w:rsidRPr="009A0DA6">
        <w:rPr>
          <w:rFonts w:ascii="Cambria" w:eastAsia="Calibri" w:hAnsi="Cambria" w:cs="Calibri"/>
        </w:rPr>
        <w:t>s</w:t>
      </w:r>
      <w:r w:rsidRPr="009A0DA6">
        <w:rPr>
          <w:rFonts w:ascii="Cambria" w:eastAsia="Calibri" w:hAnsi="Cambria" w:cs="Calibri"/>
          <w:spacing w:val="-2"/>
        </w:rPr>
        <w:t xml:space="preserve"> </w:t>
      </w:r>
      <w:r w:rsidRPr="009A0DA6">
        <w:rPr>
          <w:rFonts w:ascii="Cambria" w:eastAsia="Calibri" w:hAnsi="Cambria" w:cs="Calibri"/>
          <w:spacing w:val="3"/>
        </w:rPr>
        <w:t>a</w:t>
      </w:r>
      <w:r w:rsidRPr="009A0DA6">
        <w:rPr>
          <w:rFonts w:ascii="Cambria" w:eastAsia="Calibri" w:hAnsi="Cambria" w:cs="Calibri"/>
          <w:spacing w:val="1"/>
        </w:rPr>
        <w:t>n</w:t>
      </w:r>
      <w:r w:rsidRPr="009A0DA6">
        <w:rPr>
          <w:rFonts w:ascii="Cambria" w:eastAsia="Calibri" w:hAnsi="Cambria" w:cs="Calibri"/>
        </w:rPr>
        <w:t>d</w:t>
      </w:r>
      <w:r w:rsidRPr="009A0DA6">
        <w:rPr>
          <w:rFonts w:ascii="Cambria" w:eastAsia="Calibri" w:hAnsi="Cambria" w:cs="Calibri"/>
          <w:spacing w:val="3"/>
        </w:rPr>
        <w:t xml:space="preserve"> </w:t>
      </w:r>
      <w:r w:rsidRPr="009A0DA6">
        <w:rPr>
          <w:rFonts w:ascii="Cambria" w:eastAsia="Calibri" w:hAnsi="Cambria" w:cs="Calibri"/>
        </w:rPr>
        <w:t>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rPr>
        <w:t>c</w:t>
      </w:r>
      <w:r w:rsidRPr="009A0DA6">
        <w:rPr>
          <w:rFonts w:ascii="Cambria" w:eastAsia="Calibri" w:hAnsi="Cambria" w:cs="Calibri"/>
          <w:spacing w:val="1"/>
        </w:rPr>
        <w:t>u</w:t>
      </w:r>
      <w:r w:rsidRPr="009A0DA6">
        <w:rPr>
          <w:rFonts w:ascii="Cambria" w:eastAsia="Calibri" w:hAnsi="Cambria" w:cs="Calibri"/>
        </w:rPr>
        <w:t>lt</w:t>
      </w:r>
      <w:r w:rsidRPr="009A0DA6">
        <w:rPr>
          <w:rFonts w:ascii="Cambria" w:eastAsia="Calibri" w:hAnsi="Cambria" w:cs="Calibri"/>
          <w:spacing w:val="1"/>
        </w:rPr>
        <w:t>u</w:t>
      </w:r>
      <w:r w:rsidRPr="009A0DA6">
        <w:rPr>
          <w:rFonts w:ascii="Cambria" w:eastAsia="Calibri" w:hAnsi="Cambria" w:cs="Calibri"/>
          <w:spacing w:val="8"/>
        </w:rPr>
        <w:t>r</w:t>
      </w:r>
      <w:r w:rsidRPr="009A0DA6">
        <w:rPr>
          <w:rFonts w:ascii="Cambria" w:eastAsia="Calibri" w:hAnsi="Cambria" w:cs="Calibri"/>
        </w:rPr>
        <w:t>al</w:t>
      </w:r>
      <w:r w:rsidRPr="009A0DA6">
        <w:rPr>
          <w:rFonts w:ascii="Cambria" w:eastAsia="Calibri" w:hAnsi="Cambria" w:cs="Calibri"/>
          <w:spacing w:val="-1"/>
        </w:rPr>
        <w:t xml:space="preserve"> </w:t>
      </w:r>
      <w:r w:rsidRPr="009A0DA6">
        <w:rPr>
          <w:rFonts w:ascii="Cambria" w:eastAsia="Calibri" w:hAnsi="Cambria" w:cs="Calibri"/>
        </w:rPr>
        <w:t>co</w:t>
      </w:r>
      <w:r w:rsidRPr="009A0DA6">
        <w:rPr>
          <w:rFonts w:ascii="Cambria" w:eastAsia="Calibri" w:hAnsi="Cambria" w:cs="Calibri"/>
          <w:spacing w:val="1"/>
        </w:rPr>
        <w:t>n</w:t>
      </w:r>
      <w:r w:rsidRPr="009A0DA6">
        <w:rPr>
          <w:rFonts w:ascii="Cambria" w:eastAsia="Calibri" w:hAnsi="Cambria" w:cs="Calibri"/>
        </w:rPr>
        <w:t>text</w:t>
      </w:r>
      <w:r w:rsidRPr="009A0DA6">
        <w:rPr>
          <w:rFonts w:ascii="Cambria" w:eastAsia="Calibri" w:hAnsi="Cambria" w:cs="Calibri"/>
          <w:spacing w:val="-1"/>
        </w:rPr>
        <w:t xml:space="preserve"> </w:t>
      </w:r>
      <w:r w:rsidRPr="009A0DA6">
        <w:rPr>
          <w:rFonts w:ascii="Cambria" w:eastAsia="Calibri" w:hAnsi="Cambria" w:cs="Calibri"/>
        </w:rPr>
        <w:t>of</w:t>
      </w:r>
      <w:r w:rsidRPr="009A0DA6">
        <w:rPr>
          <w:rFonts w:ascii="Cambria" w:eastAsia="Calibri" w:hAnsi="Cambria" w:cs="Calibri"/>
          <w:spacing w:val="2"/>
        </w:rPr>
        <w:t xml:space="preserve"> </w:t>
      </w:r>
      <w:r w:rsidRPr="009A0DA6">
        <w:rPr>
          <w:rFonts w:ascii="Cambria" w:eastAsia="Calibri" w:hAnsi="Cambria" w:cs="Calibri"/>
          <w:spacing w:val="1"/>
        </w:rPr>
        <w:t>h</w:t>
      </w:r>
      <w:r w:rsidRPr="009A0DA6">
        <w:rPr>
          <w:rFonts w:ascii="Cambria" w:eastAsia="Calibri" w:hAnsi="Cambria" w:cs="Calibri"/>
        </w:rPr>
        <w:t>is</w:t>
      </w:r>
      <w:r w:rsidRPr="009A0DA6">
        <w:rPr>
          <w:rFonts w:ascii="Cambria" w:eastAsia="Calibri" w:hAnsi="Cambria" w:cs="Calibri"/>
          <w:spacing w:val="4"/>
        </w:rPr>
        <w:t xml:space="preserve"> </w:t>
      </w:r>
      <w:r w:rsidRPr="009A0DA6">
        <w:rPr>
          <w:rFonts w:ascii="Cambria" w:eastAsia="Calibri" w:hAnsi="Cambria" w:cs="Calibri"/>
          <w:spacing w:val="1"/>
        </w:rPr>
        <w:t>d</w:t>
      </w:r>
      <w:r w:rsidRPr="009A0DA6">
        <w:rPr>
          <w:rFonts w:ascii="Cambria" w:eastAsia="Calibri" w:hAnsi="Cambria" w:cs="Calibri"/>
        </w:rPr>
        <w:t>ay</w:t>
      </w:r>
      <w:r w:rsidRPr="009A0DA6">
        <w:rPr>
          <w:rFonts w:ascii="Cambria" w:eastAsia="Calibri" w:hAnsi="Cambria" w:cs="Calibri"/>
          <w:spacing w:val="3"/>
        </w:rPr>
        <w:t xml:space="preserve"> </w:t>
      </w:r>
      <w:r w:rsidRPr="009A0DA6">
        <w:rPr>
          <w:rFonts w:ascii="Cambria" w:eastAsia="Calibri" w:hAnsi="Cambria" w:cs="Calibri"/>
        </w:rPr>
        <w:t>to</w:t>
      </w:r>
      <w:r w:rsidRPr="009A0DA6">
        <w:rPr>
          <w:rFonts w:ascii="Cambria" w:eastAsia="Calibri" w:hAnsi="Cambria" w:cs="Calibri"/>
          <w:spacing w:val="4"/>
        </w:rPr>
        <w:t xml:space="preserve"> </w:t>
      </w:r>
      <w:r w:rsidRPr="009A0DA6">
        <w:rPr>
          <w:rFonts w:ascii="Cambria" w:eastAsia="Calibri" w:hAnsi="Cambria" w:cs="Calibri"/>
        </w:rPr>
        <w:t>r</w:t>
      </w:r>
      <w:r w:rsidRPr="009A0DA6">
        <w:rPr>
          <w:rFonts w:ascii="Cambria" w:eastAsia="Calibri" w:hAnsi="Cambria" w:cs="Calibri"/>
          <w:spacing w:val="-1"/>
        </w:rPr>
        <w:t>e</w:t>
      </w:r>
      <w:r w:rsidRPr="009A0DA6">
        <w:rPr>
          <w:rFonts w:ascii="Cambria" w:eastAsia="Calibri" w:hAnsi="Cambria" w:cs="Calibri"/>
        </w:rPr>
        <w:t>la</w:t>
      </w:r>
      <w:r w:rsidRPr="009A0DA6">
        <w:rPr>
          <w:rFonts w:ascii="Cambria" w:eastAsia="Calibri" w:hAnsi="Cambria" w:cs="Calibri"/>
          <w:spacing w:val="1"/>
        </w:rPr>
        <w:t>t</w:t>
      </w:r>
      <w:r w:rsidRPr="009A0DA6">
        <w:rPr>
          <w:rFonts w:ascii="Cambria" w:eastAsia="Calibri" w:hAnsi="Cambria" w:cs="Calibri"/>
        </w:rPr>
        <w:t>i</w:t>
      </w:r>
      <w:r w:rsidRPr="009A0DA6">
        <w:rPr>
          <w:rFonts w:ascii="Cambria" w:eastAsia="Calibri" w:hAnsi="Cambria" w:cs="Calibri"/>
          <w:spacing w:val="-1"/>
        </w:rPr>
        <w:t>v</w:t>
      </w:r>
      <w:r w:rsidRPr="009A0DA6">
        <w:rPr>
          <w:rFonts w:ascii="Cambria" w:eastAsia="Calibri" w:hAnsi="Cambria" w:cs="Calibri"/>
        </w:rPr>
        <w:t>i</w:t>
      </w:r>
      <w:r w:rsidRPr="009A0DA6">
        <w:rPr>
          <w:rFonts w:ascii="Cambria" w:eastAsia="Calibri" w:hAnsi="Cambria" w:cs="Calibri"/>
          <w:spacing w:val="1"/>
        </w:rPr>
        <w:t>s</w:t>
      </w:r>
      <w:r w:rsidRPr="009A0DA6">
        <w:rPr>
          <w:rFonts w:ascii="Cambria" w:eastAsia="Calibri" w:hAnsi="Cambria" w:cs="Calibri"/>
        </w:rPr>
        <w:t>e</w:t>
      </w:r>
      <w:r w:rsidRPr="009A0DA6">
        <w:rPr>
          <w:rFonts w:ascii="Cambria" w:eastAsia="Calibri" w:hAnsi="Cambria" w:cs="Calibri"/>
          <w:spacing w:val="-3"/>
        </w:rPr>
        <w:t xml:space="preserve"> </w:t>
      </w:r>
      <w:r w:rsidRPr="009A0DA6">
        <w:rPr>
          <w:rFonts w:ascii="Cambria" w:eastAsia="Calibri" w:hAnsi="Cambria" w:cs="Calibri"/>
          <w:spacing w:val="1"/>
        </w:rPr>
        <w:t>h</w:t>
      </w:r>
      <w:r w:rsidRPr="009A0DA6">
        <w:rPr>
          <w:rFonts w:ascii="Cambria" w:eastAsia="Calibri" w:hAnsi="Cambria" w:cs="Calibri"/>
          <w:spacing w:val="4"/>
        </w:rPr>
        <w:t>i</w:t>
      </w:r>
      <w:r w:rsidRPr="009A0DA6">
        <w:rPr>
          <w:rFonts w:ascii="Cambria" w:eastAsia="Calibri" w:hAnsi="Cambria" w:cs="Calibri"/>
        </w:rPr>
        <w:t>s</w:t>
      </w:r>
      <w:r w:rsidRPr="009A0DA6">
        <w:rPr>
          <w:rFonts w:ascii="Cambria" w:eastAsia="Calibri" w:hAnsi="Cambria" w:cs="Calibri"/>
          <w:spacing w:val="2"/>
        </w:rPr>
        <w:t xml:space="preserve"> </w:t>
      </w:r>
      <w:r w:rsidRPr="009A0DA6">
        <w:rPr>
          <w:rFonts w:ascii="Cambria" w:eastAsia="Calibri" w:hAnsi="Cambria" w:cs="Calibri"/>
          <w:spacing w:val="1"/>
        </w:rPr>
        <w:t>p</w:t>
      </w:r>
      <w:r w:rsidRPr="009A0DA6">
        <w:rPr>
          <w:rFonts w:ascii="Cambria" w:eastAsia="Calibri" w:hAnsi="Cambria" w:cs="Calibri"/>
        </w:rPr>
        <w:t>r</w:t>
      </w:r>
      <w:r w:rsidRPr="009A0DA6">
        <w:rPr>
          <w:rFonts w:ascii="Cambria" w:eastAsia="Calibri" w:hAnsi="Cambria" w:cs="Calibri"/>
          <w:spacing w:val="1"/>
        </w:rPr>
        <w:t>oh</w:t>
      </w:r>
      <w:r w:rsidRPr="009A0DA6">
        <w:rPr>
          <w:rFonts w:ascii="Cambria" w:eastAsia="Calibri" w:hAnsi="Cambria" w:cs="Calibri"/>
        </w:rPr>
        <w:t>i</w:t>
      </w:r>
      <w:r w:rsidRPr="009A0DA6">
        <w:rPr>
          <w:rFonts w:ascii="Cambria" w:eastAsia="Calibri" w:hAnsi="Cambria" w:cs="Calibri"/>
          <w:spacing w:val="1"/>
        </w:rPr>
        <w:t>b</w:t>
      </w:r>
      <w:r w:rsidRPr="009A0DA6">
        <w:rPr>
          <w:rFonts w:ascii="Cambria" w:eastAsia="Calibri" w:hAnsi="Cambria" w:cs="Calibri"/>
        </w:rPr>
        <w:t>iti</w:t>
      </w:r>
      <w:r w:rsidRPr="009A0DA6">
        <w:rPr>
          <w:rFonts w:ascii="Cambria" w:eastAsia="Calibri" w:hAnsi="Cambria" w:cs="Calibri"/>
          <w:spacing w:val="3"/>
        </w:rPr>
        <w:t>o</w:t>
      </w:r>
      <w:r w:rsidRPr="009A0DA6">
        <w:rPr>
          <w:rFonts w:ascii="Cambria" w:eastAsia="Calibri" w:hAnsi="Cambria" w:cs="Calibri"/>
        </w:rPr>
        <w:t>n ag</w:t>
      </w:r>
      <w:r w:rsidRPr="009A0DA6">
        <w:rPr>
          <w:rFonts w:ascii="Cambria" w:eastAsia="Calibri" w:hAnsi="Cambria" w:cs="Calibri"/>
          <w:spacing w:val="1"/>
        </w:rPr>
        <w:t>a</w:t>
      </w:r>
      <w:r w:rsidRPr="009A0DA6">
        <w:rPr>
          <w:rFonts w:ascii="Cambria" w:eastAsia="Calibri" w:hAnsi="Cambria" w:cs="Calibri"/>
        </w:rPr>
        <w:t>i</w:t>
      </w:r>
      <w:r w:rsidRPr="009A0DA6">
        <w:rPr>
          <w:rFonts w:ascii="Cambria" w:eastAsia="Calibri" w:hAnsi="Cambria" w:cs="Calibri"/>
          <w:spacing w:val="1"/>
        </w:rPr>
        <w:t>n</w:t>
      </w:r>
      <w:r w:rsidRPr="009A0DA6">
        <w:rPr>
          <w:rFonts w:ascii="Cambria" w:eastAsia="Calibri" w:hAnsi="Cambria" w:cs="Calibri"/>
          <w:spacing w:val="-1"/>
        </w:rPr>
        <w:t>s</w:t>
      </w:r>
      <w:r w:rsidRPr="009A0DA6">
        <w:rPr>
          <w:rFonts w:ascii="Cambria" w:eastAsia="Calibri" w:hAnsi="Cambria" w:cs="Calibri"/>
        </w:rPr>
        <w:t>t</w:t>
      </w:r>
      <w:r w:rsidRPr="009A0DA6">
        <w:rPr>
          <w:rFonts w:ascii="Cambria" w:eastAsia="Calibri" w:hAnsi="Cambria" w:cs="Calibri"/>
          <w:spacing w:val="-5"/>
        </w:rPr>
        <w:t xml:space="preserve"> </w:t>
      </w:r>
      <w:r w:rsidRPr="009A0DA6">
        <w:rPr>
          <w:rFonts w:ascii="Cambria" w:eastAsia="Calibri" w:hAnsi="Cambria" w:cs="Calibri"/>
          <w:spacing w:val="-1"/>
        </w:rPr>
        <w:t>w</w:t>
      </w:r>
      <w:r w:rsidRPr="009A0DA6">
        <w:rPr>
          <w:rFonts w:ascii="Cambria" w:eastAsia="Calibri" w:hAnsi="Cambria" w:cs="Calibri"/>
          <w:spacing w:val="3"/>
        </w:rPr>
        <w:t>o</w:t>
      </w:r>
      <w:r w:rsidRPr="009A0DA6">
        <w:rPr>
          <w:rFonts w:ascii="Cambria" w:eastAsia="Calibri" w:hAnsi="Cambria" w:cs="Calibri"/>
          <w:spacing w:val="-1"/>
        </w:rPr>
        <w:t>me</w:t>
      </w:r>
      <w:r w:rsidRPr="009A0DA6">
        <w:rPr>
          <w:rFonts w:ascii="Cambria" w:eastAsia="Calibri" w:hAnsi="Cambria" w:cs="Calibri"/>
        </w:rPr>
        <w:t>n</w:t>
      </w:r>
      <w:r w:rsidRPr="009A0DA6">
        <w:rPr>
          <w:rFonts w:ascii="Cambria" w:eastAsia="Calibri" w:hAnsi="Cambria" w:cs="Calibri"/>
          <w:spacing w:val="-5"/>
        </w:rPr>
        <w:t xml:space="preserve"> </w:t>
      </w:r>
      <w:r w:rsidRPr="009A0DA6">
        <w:rPr>
          <w:rFonts w:ascii="Cambria" w:eastAsia="Calibri" w:hAnsi="Cambria" w:cs="Calibri"/>
          <w:spacing w:val="1"/>
        </w:rPr>
        <w:t>p</w:t>
      </w:r>
      <w:r w:rsidRPr="009A0DA6">
        <w:rPr>
          <w:rFonts w:ascii="Cambria" w:eastAsia="Calibri" w:hAnsi="Cambria" w:cs="Calibri"/>
        </w:rPr>
        <w:t>r</w:t>
      </w:r>
      <w:r w:rsidRPr="009A0DA6">
        <w:rPr>
          <w:rFonts w:ascii="Cambria" w:eastAsia="Calibri" w:hAnsi="Cambria" w:cs="Calibri"/>
          <w:spacing w:val="-1"/>
        </w:rPr>
        <w:t>e</w:t>
      </w:r>
      <w:r w:rsidRPr="009A0DA6">
        <w:rPr>
          <w:rFonts w:ascii="Cambria" w:eastAsia="Calibri" w:hAnsi="Cambria" w:cs="Calibri"/>
        </w:rPr>
        <w:t>ac</w:t>
      </w:r>
      <w:r w:rsidRPr="009A0DA6">
        <w:rPr>
          <w:rFonts w:ascii="Cambria" w:eastAsia="Calibri" w:hAnsi="Cambria" w:cs="Calibri"/>
          <w:spacing w:val="1"/>
        </w:rPr>
        <w:t>h</w:t>
      </w:r>
      <w:r w:rsidRPr="009A0DA6">
        <w:rPr>
          <w:rFonts w:ascii="Cambria" w:eastAsia="Calibri" w:hAnsi="Cambria" w:cs="Calibri"/>
        </w:rPr>
        <w:t>i</w:t>
      </w:r>
      <w:r w:rsidRPr="009A0DA6">
        <w:rPr>
          <w:rFonts w:ascii="Cambria" w:eastAsia="Calibri" w:hAnsi="Cambria" w:cs="Calibri"/>
          <w:spacing w:val="2"/>
        </w:rPr>
        <w:t>n</w:t>
      </w:r>
      <w:r w:rsidRPr="009A0DA6">
        <w:rPr>
          <w:rFonts w:ascii="Cambria" w:eastAsia="Calibri" w:hAnsi="Cambria" w:cs="Calibri"/>
        </w:rPr>
        <w:t>g</w:t>
      </w:r>
      <w:r w:rsidRPr="009A0DA6">
        <w:rPr>
          <w:rFonts w:ascii="Cambria" w:eastAsia="Calibri" w:hAnsi="Cambria" w:cs="Calibri"/>
          <w:spacing w:val="-8"/>
        </w:rPr>
        <w:t xml:space="preserve"> </w:t>
      </w:r>
      <w:r w:rsidRPr="009A0DA6">
        <w:rPr>
          <w:rFonts w:ascii="Cambria" w:eastAsia="Calibri" w:hAnsi="Cambria" w:cs="Calibri"/>
          <w:spacing w:val="1"/>
        </w:rPr>
        <w:t>an</w:t>
      </w:r>
      <w:r w:rsidRPr="009A0DA6">
        <w:rPr>
          <w:rFonts w:ascii="Cambria" w:eastAsia="Calibri" w:hAnsi="Cambria" w:cs="Calibri"/>
        </w:rPr>
        <w:t xml:space="preserve">d </w:t>
      </w:r>
      <w:r w:rsidRPr="009A0DA6">
        <w:rPr>
          <w:rFonts w:ascii="Cambria" w:eastAsia="Calibri" w:hAnsi="Cambria" w:cs="Calibri"/>
          <w:spacing w:val="1"/>
        </w:rPr>
        <w:t>t</w:t>
      </w:r>
      <w:r w:rsidRPr="009A0DA6">
        <w:rPr>
          <w:rFonts w:ascii="Cambria" w:eastAsia="Calibri" w:hAnsi="Cambria" w:cs="Calibri"/>
          <w:spacing w:val="-1"/>
        </w:rPr>
        <w:t>e</w:t>
      </w:r>
      <w:r w:rsidRPr="009A0DA6">
        <w:rPr>
          <w:rFonts w:ascii="Cambria" w:eastAsia="Calibri" w:hAnsi="Cambria" w:cs="Calibri"/>
        </w:rPr>
        <w:t>ac</w:t>
      </w:r>
      <w:r w:rsidRPr="009A0DA6">
        <w:rPr>
          <w:rFonts w:ascii="Cambria" w:eastAsia="Calibri" w:hAnsi="Cambria" w:cs="Calibri"/>
          <w:spacing w:val="1"/>
        </w:rPr>
        <w:t>h</w:t>
      </w:r>
      <w:r w:rsidRPr="009A0DA6">
        <w:rPr>
          <w:rFonts w:ascii="Cambria" w:eastAsia="Calibri" w:hAnsi="Cambria" w:cs="Calibri"/>
        </w:rPr>
        <w:t>i</w:t>
      </w:r>
      <w:r w:rsidRPr="009A0DA6">
        <w:rPr>
          <w:rFonts w:ascii="Cambria" w:eastAsia="Calibri" w:hAnsi="Cambria" w:cs="Calibri"/>
          <w:spacing w:val="1"/>
        </w:rPr>
        <w:t>n</w:t>
      </w:r>
      <w:r w:rsidRPr="009A0DA6">
        <w:rPr>
          <w:rFonts w:ascii="Cambria" w:eastAsia="Calibri" w:hAnsi="Cambria" w:cs="Calibri"/>
        </w:rPr>
        <w:t>g</w:t>
      </w:r>
      <w:r w:rsidRPr="009A0DA6">
        <w:rPr>
          <w:rFonts w:ascii="Cambria" w:eastAsia="Calibri" w:hAnsi="Cambria" w:cs="Calibri"/>
          <w:spacing w:val="-7"/>
        </w:rPr>
        <w:t xml:space="preserve"> </w:t>
      </w:r>
      <w:r w:rsidRPr="009A0DA6">
        <w:rPr>
          <w:rFonts w:ascii="Cambria" w:eastAsia="Calibri" w:hAnsi="Cambria" w:cs="Calibri"/>
        </w:rPr>
        <w:t>in</w:t>
      </w:r>
      <w:r w:rsidRPr="009A0DA6">
        <w:rPr>
          <w:rFonts w:ascii="Cambria" w:eastAsia="Calibri" w:hAnsi="Cambria" w:cs="Calibri"/>
          <w:spacing w:val="-1"/>
        </w:rPr>
        <w:t xml:space="preserve"> </w:t>
      </w:r>
      <w:r w:rsidRPr="009A0DA6">
        <w:rPr>
          <w:rFonts w:ascii="Cambria" w:eastAsia="Calibri" w:hAnsi="Cambria" w:cs="Calibri"/>
          <w:spacing w:val="1"/>
        </w:rPr>
        <w:t>th</w:t>
      </w:r>
      <w:r w:rsidRPr="009A0DA6">
        <w:rPr>
          <w:rFonts w:ascii="Cambria" w:eastAsia="Calibri" w:hAnsi="Cambria" w:cs="Calibri"/>
        </w:rPr>
        <w:t>e</w:t>
      </w:r>
      <w:r w:rsidRPr="009A0DA6">
        <w:rPr>
          <w:rFonts w:ascii="Cambria" w:eastAsia="Calibri" w:hAnsi="Cambria" w:cs="Calibri"/>
          <w:spacing w:val="-4"/>
        </w:rPr>
        <w:t xml:space="preserve"> </w:t>
      </w:r>
      <w:r w:rsidRPr="009A0DA6">
        <w:rPr>
          <w:rFonts w:ascii="Cambria" w:eastAsia="Calibri" w:hAnsi="Cambria" w:cs="Calibri"/>
        </w:rPr>
        <w:t>c</w:t>
      </w:r>
      <w:r w:rsidRPr="009A0DA6">
        <w:rPr>
          <w:rFonts w:ascii="Cambria" w:eastAsia="Calibri" w:hAnsi="Cambria" w:cs="Calibri"/>
          <w:spacing w:val="1"/>
        </w:rPr>
        <w:t>hu</w:t>
      </w:r>
      <w:r w:rsidRPr="009A0DA6">
        <w:rPr>
          <w:rFonts w:ascii="Cambria" w:eastAsia="Calibri" w:hAnsi="Cambria" w:cs="Calibri"/>
        </w:rPr>
        <w:t>rc</w:t>
      </w:r>
      <w:r w:rsidRPr="009A0DA6">
        <w:rPr>
          <w:rFonts w:ascii="Cambria" w:eastAsia="Calibri" w:hAnsi="Cambria" w:cs="Calibri"/>
          <w:spacing w:val="1"/>
        </w:rPr>
        <w:t>h</w:t>
      </w:r>
      <w:r w:rsidRPr="009A0DA6">
        <w:rPr>
          <w:rFonts w:ascii="Cambria" w:eastAsia="Calibri" w:hAnsi="Cambria" w:cs="Calibri"/>
        </w:rPr>
        <w:t>,</w:t>
      </w:r>
      <w:r w:rsidRPr="009A0DA6">
        <w:rPr>
          <w:rFonts w:ascii="Cambria" w:eastAsia="Calibri" w:hAnsi="Cambria" w:cs="Calibri"/>
          <w:spacing w:val="-6"/>
        </w:rPr>
        <w:t xml:space="preserve"> </w:t>
      </w:r>
      <w:r w:rsidRPr="009A0DA6">
        <w:rPr>
          <w:rFonts w:ascii="Cambria" w:eastAsia="Calibri" w:hAnsi="Cambria" w:cs="Calibri"/>
          <w:spacing w:val="1"/>
        </w:rPr>
        <w:t>an</w:t>
      </w:r>
      <w:r w:rsidRPr="009A0DA6">
        <w:rPr>
          <w:rFonts w:ascii="Cambria" w:eastAsia="Calibri" w:hAnsi="Cambria" w:cs="Calibri"/>
        </w:rPr>
        <w:t>d</w:t>
      </w:r>
      <w:r w:rsidRPr="009A0DA6">
        <w:rPr>
          <w:rFonts w:ascii="Cambria" w:eastAsia="Calibri" w:hAnsi="Cambria" w:cs="Calibri"/>
          <w:spacing w:val="-2"/>
        </w:rPr>
        <w:t xml:space="preserve"> </w:t>
      </w:r>
      <w:r w:rsidRPr="009A0DA6">
        <w:rPr>
          <w:rFonts w:ascii="Cambria" w:eastAsia="Calibri" w:hAnsi="Cambria" w:cs="Calibri"/>
          <w:spacing w:val="1"/>
        </w:rPr>
        <w:t>t</w:t>
      </w:r>
      <w:r w:rsidRPr="009A0DA6">
        <w:rPr>
          <w:rFonts w:ascii="Cambria" w:eastAsia="Calibri" w:hAnsi="Cambria" w:cs="Calibri"/>
        </w:rPr>
        <w:t>o</w:t>
      </w:r>
      <w:r w:rsidRPr="009A0DA6">
        <w:rPr>
          <w:rFonts w:ascii="Cambria" w:eastAsia="Calibri" w:hAnsi="Cambria" w:cs="Calibri"/>
          <w:spacing w:val="-2"/>
        </w:rPr>
        <w:t xml:space="preserve"> </w:t>
      </w:r>
      <w:r w:rsidRPr="009A0DA6">
        <w:rPr>
          <w:rFonts w:ascii="Cambria" w:eastAsia="Calibri" w:hAnsi="Cambria" w:cs="Calibri"/>
        </w:rPr>
        <w:t>sugg</w:t>
      </w:r>
      <w:r w:rsidRPr="009A0DA6">
        <w:rPr>
          <w:rFonts w:ascii="Cambria" w:eastAsia="Calibri" w:hAnsi="Cambria" w:cs="Calibri"/>
          <w:spacing w:val="2"/>
        </w:rPr>
        <w:t>e</w:t>
      </w:r>
      <w:r w:rsidRPr="009A0DA6">
        <w:rPr>
          <w:rFonts w:ascii="Cambria" w:eastAsia="Calibri" w:hAnsi="Cambria" w:cs="Calibri"/>
          <w:spacing w:val="-1"/>
        </w:rPr>
        <w:t>s</w:t>
      </w:r>
      <w:r w:rsidRPr="009A0DA6">
        <w:rPr>
          <w:rFonts w:ascii="Cambria" w:eastAsia="Calibri" w:hAnsi="Cambria" w:cs="Calibri"/>
        </w:rPr>
        <w:t>t</w:t>
      </w:r>
      <w:r w:rsidRPr="009A0DA6">
        <w:rPr>
          <w:rFonts w:ascii="Cambria" w:eastAsia="Calibri" w:hAnsi="Cambria" w:cs="Calibri"/>
          <w:spacing w:val="-5"/>
        </w:rPr>
        <w:t xml:space="preserve"> </w:t>
      </w:r>
      <w:r w:rsidRPr="009A0DA6">
        <w:rPr>
          <w:rFonts w:ascii="Cambria" w:eastAsia="Calibri" w:hAnsi="Cambria" w:cs="Calibri"/>
        </w:rPr>
        <w:t>t</w:t>
      </w:r>
      <w:r w:rsidRPr="009A0DA6">
        <w:rPr>
          <w:rFonts w:ascii="Cambria" w:eastAsia="Calibri" w:hAnsi="Cambria" w:cs="Calibri"/>
          <w:spacing w:val="1"/>
        </w:rPr>
        <w:t>h</w:t>
      </w:r>
      <w:r w:rsidRPr="009A0DA6">
        <w:rPr>
          <w:rFonts w:ascii="Cambria" w:eastAsia="Calibri" w:hAnsi="Cambria" w:cs="Calibri"/>
        </w:rPr>
        <w:t>at</w:t>
      </w:r>
      <w:r w:rsidRPr="009A0DA6">
        <w:rPr>
          <w:rFonts w:ascii="Cambria" w:eastAsia="Calibri" w:hAnsi="Cambria" w:cs="Calibri"/>
          <w:spacing w:val="-2"/>
        </w:rPr>
        <w:t xml:space="preserve"> </w:t>
      </w:r>
      <w:r w:rsidRPr="009A0DA6">
        <w:rPr>
          <w:rFonts w:ascii="Cambria" w:eastAsia="Calibri" w:hAnsi="Cambria" w:cs="Calibri"/>
          <w:spacing w:val="6"/>
        </w:rPr>
        <w:t>i</w:t>
      </w:r>
      <w:r w:rsidRPr="009A0DA6">
        <w:rPr>
          <w:rFonts w:ascii="Cambria" w:eastAsia="Calibri" w:hAnsi="Cambria" w:cs="Calibri"/>
        </w:rPr>
        <w:t>t o</w:t>
      </w:r>
      <w:r w:rsidRPr="009A0DA6">
        <w:rPr>
          <w:rFonts w:ascii="Cambria" w:eastAsia="Calibri" w:hAnsi="Cambria" w:cs="Calibri"/>
          <w:spacing w:val="1"/>
        </w:rPr>
        <w:t>n</w:t>
      </w:r>
      <w:r w:rsidRPr="009A0DA6">
        <w:rPr>
          <w:rFonts w:ascii="Cambria" w:eastAsia="Calibri" w:hAnsi="Cambria" w:cs="Calibri"/>
        </w:rPr>
        <w:t>ly</w:t>
      </w:r>
      <w:r w:rsidRPr="009A0DA6">
        <w:rPr>
          <w:rFonts w:ascii="Cambria" w:eastAsia="Calibri" w:hAnsi="Cambria" w:cs="Calibri"/>
          <w:spacing w:val="-2"/>
        </w:rPr>
        <w:t xml:space="preserve"> </w:t>
      </w:r>
      <w:r w:rsidRPr="009A0DA6">
        <w:rPr>
          <w:rFonts w:ascii="Cambria" w:eastAsia="Calibri" w:hAnsi="Cambria" w:cs="Calibri"/>
          <w:spacing w:val="1"/>
        </w:rPr>
        <w:t>app</w:t>
      </w:r>
      <w:r w:rsidRPr="009A0DA6">
        <w:rPr>
          <w:rFonts w:ascii="Cambria" w:eastAsia="Calibri" w:hAnsi="Cambria" w:cs="Calibri"/>
        </w:rPr>
        <w:t>li</w:t>
      </w:r>
      <w:r w:rsidRPr="009A0DA6">
        <w:rPr>
          <w:rFonts w:ascii="Cambria" w:eastAsia="Calibri" w:hAnsi="Cambria" w:cs="Calibri"/>
          <w:spacing w:val="-1"/>
        </w:rPr>
        <w:t>e</w:t>
      </w:r>
      <w:r w:rsidRPr="009A0DA6">
        <w:rPr>
          <w:rFonts w:ascii="Cambria" w:eastAsia="Calibri" w:hAnsi="Cambria" w:cs="Calibri"/>
        </w:rPr>
        <w:t>d</w:t>
      </w:r>
      <w:r w:rsidRPr="009A0DA6">
        <w:rPr>
          <w:rFonts w:ascii="Cambria" w:eastAsia="Calibri" w:hAnsi="Cambria" w:cs="Calibri"/>
          <w:spacing w:val="-5"/>
        </w:rPr>
        <w:t xml:space="preserve"> </w:t>
      </w:r>
      <w:r w:rsidRPr="009A0DA6">
        <w:rPr>
          <w:rFonts w:ascii="Cambria" w:eastAsia="Calibri" w:hAnsi="Cambria" w:cs="Calibri"/>
        </w:rPr>
        <w:t>in</w:t>
      </w:r>
      <w:r w:rsidRPr="009A0DA6">
        <w:rPr>
          <w:rFonts w:ascii="Cambria" w:eastAsia="Calibri" w:hAnsi="Cambria" w:cs="Calibri"/>
          <w:spacing w:val="-1"/>
        </w:rPr>
        <w:t xml:space="preserve"> </w:t>
      </w:r>
      <w:r w:rsidRPr="009A0DA6">
        <w:rPr>
          <w:rFonts w:ascii="Cambria" w:eastAsia="Calibri" w:hAnsi="Cambria" w:cs="Calibri"/>
        </w:rPr>
        <w:t>cert</w:t>
      </w:r>
      <w:r w:rsidRPr="009A0DA6">
        <w:rPr>
          <w:rFonts w:ascii="Cambria" w:eastAsia="Calibri" w:hAnsi="Cambria" w:cs="Calibri"/>
          <w:spacing w:val="1"/>
        </w:rPr>
        <w:t>a</w:t>
      </w:r>
      <w:r w:rsidRPr="009A0DA6">
        <w:rPr>
          <w:rFonts w:ascii="Cambria" w:eastAsia="Calibri" w:hAnsi="Cambria" w:cs="Calibri"/>
        </w:rPr>
        <w:t>in</w:t>
      </w:r>
      <w:r w:rsidRPr="009A0DA6">
        <w:rPr>
          <w:rFonts w:ascii="Cambria" w:eastAsia="Calibri" w:hAnsi="Cambria" w:cs="Calibri"/>
          <w:spacing w:val="-2"/>
        </w:rPr>
        <w:t xml:space="preserve"> </w:t>
      </w:r>
      <w:r w:rsidRPr="009A0DA6">
        <w:rPr>
          <w:rFonts w:ascii="Cambria" w:eastAsia="Calibri" w:hAnsi="Cambria" w:cs="Calibri"/>
          <w:spacing w:val="-1"/>
        </w:rPr>
        <w:t>f</w:t>
      </w:r>
      <w:r w:rsidRPr="009A0DA6">
        <w:rPr>
          <w:rFonts w:ascii="Cambria" w:eastAsia="Calibri" w:hAnsi="Cambria" w:cs="Calibri"/>
        </w:rPr>
        <w:t>i</w:t>
      </w:r>
      <w:r w:rsidRPr="009A0DA6">
        <w:rPr>
          <w:rFonts w:ascii="Cambria" w:eastAsia="Calibri" w:hAnsi="Cambria" w:cs="Calibri"/>
          <w:spacing w:val="2"/>
        </w:rPr>
        <w:t>r</w:t>
      </w:r>
      <w:r w:rsidRPr="009A0DA6">
        <w:rPr>
          <w:rFonts w:ascii="Cambria" w:eastAsia="Calibri" w:hAnsi="Cambria" w:cs="Calibri"/>
          <w:spacing w:val="-1"/>
        </w:rPr>
        <w:t>s</w:t>
      </w:r>
      <w:r w:rsidRPr="009A0DA6">
        <w:rPr>
          <w:rFonts w:ascii="Cambria" w:eastAsia="Calibri" w:hAnsi="Cambria" w:cs="Calibri"/>
        </w:rPr>
        <w:t>t</w:t>
      </w:r>
      <w:r w:rsidRPr="009A0DA6">
        <w:rPr>
          <w:rFonts w:ascii="Cambria" w:eastAsia="Calibri" w:hAnsi="Cambria" w:cs="Calibri"/>
          <w:spacing w:val="-2"/>
        </w:rPr>
        <w:t xml:space="preserve"> </w:t>
      </w:r>
      <w:r w:rsidRPr="009A0DA6">
        <w:rPr>
          <w:rFonts w:ascii="Cambria" w:eastAsia="Calibri" w:hAnsi="Cambria" w:cs="Calibri"/>
        </w:rPr>
        <w:t>c</w:t>
      </w:r>
      <w:r w:rsidRPr="009A0DA6">
        <w:rPr>
          <w:rFonts w:ascii="Cambria" w:eastAsia="Calibri" w:hAnsi="Cambria" w:cs="Calibri"/>
          <w:spacing w:val="-1"/>
        </w:rPr>
        <w:t>e</w:t>
      </w:r>
      <w:r w:rsidRPr="009A0DA6">
        <w:rPr>
          <w:rFonts w:ascii="Cambria" w:eastAsia="Calibri" w:hAnsi="Cambria" w:cs="Calibri"/>
          <w:spacing w:val="1"/>
        </w:rPr>
        <w:t>n</w:t>
      </w:r>
      <w:r w:rsidRPr="009A0DA6">
        <w:rPr>
          <w:rFonts w:ascii="Cambria" w:eastAsia="Calibri" w:hAnsi="Cambria" w:cs="Calibri"/>
        </w:rPr>
        <w:t>t</w:t>
      </w:r>
      <w:r w:rsidRPr="009A0DA6">
        <w:rPr>
          <w:rFonts w:ascii="Cambria" w:eastAsia="Calibri" w:hAnsi="Cambria" w:cs="Calibri"/>
          <w:spacing w:val="1"/>
        </w:rPr>
        <w:t>u</w:t>
      </w:r>
      <w:r w:rsidRPr="009A0DA6">
        <w:rPr>
          <w:rFonts w:ascii="Cambria" w:eastAsia="Calibri" w:hAnsi="Cambria" w:cs="Calibri"/>
        </w:rPr>
        <w:t>ry</w:t>
      </w:r>
      <w:r w:rsidRPr="009A0DA6">
        <w:rPr>
          <w:rFonts w:ascii="Cambria" w:eastAsia="Calibri" w:hAnsi="Cambria" w:cs="Calibri"/>
          <w:spacing w:val="-5"/>
        </w:rPr>
        <w:t xml:space="preserve"> </w:t>
      </w:r>
      <w:r w:rsidRPr="009A0DA6">
        <w:rPr>
          <w:rFonts w:ascii="Cambria" w:eastAsia="Calibri" w:hAnsi="Cambria" w:cs="Calibri"/>
        </w:rPr>
        <w:t>c</w:t>
      </w:r>
      <w:r w:rsidRPr="009A0DA6">
        <w:rPr>
          <w:rFonts w:ascii="Cambria" w:eastAsia="Calibri" w:hAnsi="Cambria" w:cs="Calibri"/>
          <w:spacing w:val="1"/>
        </w:rPr>
        <w:t>on</w:t>
      </w:r>
      <w:r w:rsidRPr="009A0DA6">
        <w:rPr>
          <w:rFonts w:ascii="Cambria" w:eastAsia="Calibri" w:hAnsi="Cambria" w:cs="Calibri"/>
        </w:rPr>
        <w:t>tex</w:t>
      </w:r>
      <w:r w:rsidRPr="009A0DA6">
        <w:rPr>
          <w:rFonts w:ascii="Cambria" w:eastAsia="Calibri" w:hAnsi="Cambria" w:cs="Calibri"/>
          <w:spacing w:val="2"/>
        </w:rPr>
        <w:t>t</w:t>
      </w:r>
      <w:r w:rsidRPr="009A0DA6">
        <w:rPr>
          <w:rFonts w:ascii="Cambria" w:eastAsia="Calibri" w:hAnsi="Cambria" w:cs="Calibri"/>
        </w:rPr>
        <w:t>s a</w:t>
      </w:r>
      <w:r w:rsidRPr="009A0DA6">
        <w:rPr>
          <w:rFonts w:ascii="Cambria" w:eastAsia="Calibri" w:hAnsi="Cambria" w:cs="Calibri"/>
          <w:spacing w:val="1"/>
        </w:rPr>
        <w:t>n</w:t>
      </w:r>
      <w:r w:rsidRPr="009A0DA6">
        <w:rPr>
          <w:rFonts w:ascii="Cambria" w:eastAsia="Calibri" w:hAnsi="Cambria" w:cs="Calibri"/>
        </w:rPr>
        <w:t>d</w:t>
      </w:r>
      <w:r w:rsidRPr="009A0DA6">
        <w:rPr>
          <w:rFonts w:ascii="Cambria" w:eastAsia="Calibri" w:hAnsi="Cambria" w:cs="Calibri"/>
          <w:spacing w:val="3"/>
        </w:rPr>
        <w:t xml:space="preserve"> </w:t>
      </w:r>
      <w:r w:rsidRPr="009A0DA6">
        <w:rPr>
          <w:rFonts w:ascii="Cambria" w:eastAsia="Calibri" w:hAnsi="Cambria" w:cs="Calibri"/>
          <w:spacing w:val="1"/>
        </w:rPr>
        <w:t>n</w:t>
      </w:r>
      <w:r w:rsidRPr="009A0DA6">
        <w:rPr>
          <w:rFonts w:ascii="Cambria" w:eastAsia="Calibri" w:hAnsi="Cambria" w:cs="Calibri"/>
        </w:rPr>
        <w:t>ot</w:t>
      </w:r>
      <w:r w:rsidRPr="009A0DA6">
        <w:rPr>
          <w:rFonts w:ascii="Cambria" w:eastAsia="Calibri" w:hAnsi="Cambria" w:cs="Calibri"/>
          <w:spacing w:val="1"/>
        </w:rPr>
        <w:t xml:space="preserve"> </w:t>
      </w:r>
      <w:r w:rsidRPr="009A0DA6">
        <w:rPr>
          <w:rFonts w:ascii="Cambria" w:eastAsia="Calibri" w:hAnsi="Cambria" w:cs="Calibri"/>
        </w:rPr>
        <w:t>t</w:t>
      </w:r>
      <w:r w:rsidRPr="009A0DA6">
        <w:rPr>
          <w:rFonts w:ascii="Cambria" w:eastAsia="Calibri" w:hAnsi="Cambria" w:cs="Calibri"/>
          <w:spacing w:val="1"/>
        </w:rPr>
        <w:t>od</w:t>
      </w:r>
      <w:r w:rsidRPr="009A0DA6">
        <w:rPr>
          <w:rFonts w:ascii="Cambria" w:eastAsia="Calibri" w:hAnsi="Cambria" w:cs="Calibri"/>
        </w:rPr>
        <w:t>a</w:t>
      </w:r>
      <w:r w:rsidRPr="009A0DA6">
        <w:rPr>
          <w:rFonts w:ascii="Cambria" w:eastAsia="Calibri" w:hAnsi="Cambria" w:cs="Calibri"/>
          <w:spacing w:val="1"/>
        </w:rPr>
        <w:t>y</w:t>
      </w:r>
      <w:r w:rsidRPr="009A0DA6">
        <w:rPr>
          <w:rFonts w:ascii="Cambria" w:eastAsia="Calibri" w:hAnsi="Cambria" w:cs="Calibri"/>
        </w:rPr>
        <w:t>.</w:t>
      </w:r>
      <w:r w:rsidRPr="009A0DA6">
        <w:rPr>
          <w:rFonts w:ascii="Cambria" w:eastAsia="Calibri" w:hAnsi="Cambria" w:cs="Calibri"/>
          <w:spacing w:val="-1"/>
        </w:rPr>
        <w:t xml:space="preserve"> </w:t>
      </w:r>
      <w:r w:rsidRPr="009A0DA6">
        <w:rPr>
          <w:rFonts w:ascii="Cambria" w:eastAsia="Calibri" w:hAnsi="Cambria" w:cs="Calibri"/>
        </w:rPr>
        <w:t>Such</w:t>
      </w:r>
      <w:r w:rsidRPr="009A0DA6">
        <w:rPr>
          <w:rFonts w:ascii="Cambria" w:eastAsia="Calibri" w:hAnsi="Cambria" w:cs="Calibri"/>
          <w:spacing w:val="2"/>
        </w:rPr>
        <w:t xml:space="preserve"> </w:t>
      </w:r>
      <w:r w:rsidRPr="009A0DA6">
        <w:rPr>
          <w:rFonts w:ascii="Cambria" w:eastAsia="Calibri" w:hAnsi="Cambria" w:cs="Calibri"/>
          <w:spacing w:val="-1"/>
        </w:rPr>
        <w:t>s</w:t>
      </w:r>
      <w:r w:rsidRPr="009A0DA6">
        <w:rPr>
          <w:rFonts w:ascii="Cambria" w:eastAsia="Calibri" w:hAnsi="Cambria" w:cs="Calibri"/>
          <w:spacing w:val="1"/>
        </w:rPr>
        <w:t>p</w:t>
      </w:r>
      <w:r w:rsidRPr="009A0DA6">
        <w:rPr>
          <w:rFonts w:ascii="Cambria" w:eastAsia="Calibri" w:hAnsi="Cambria" w:cs="Calibri"/>
          <w:spacing w:val="-1"/>
        </w:rPr>
        <w:t>e</w:t>
      </w:r>
      <w:r w:rsidRPr="009A0DA6">
        <w:rPr>
          <w:rFonts w:ascii="Cambria" w:eastAsia="Calibri" w:hAnsi="Cambria" w:cs="Calibri"/>
        </w:rPr>
        <w:t>c</w:t>
      </w:r>
      <w:r w:rsidRPr="009A0DA6">
        <w:rPr>
          <w:rFonts w:ascii="Cambria" w:eastAsia="Calibri" w:hAnsi="Cambria" w:cs="Calibri"/>
          <w:spacing w:val="1"/>
        </w:rPr>
        <w:t>u</w:t>
      </w:r>
      <w:r w:rsidRPr="009A0DA6">
        <w:rPr>
          <w:rFonts w:ascii="Cambria" w:eastAsia="Calibri" w:hAnsi="Cambria" w:cs="Calibri"/>
        </w:rPr>
        <w:t>la</w:t>
      </w:r>
      <w:r w:rsidRPr="009A0DA6">
        <w:rPr>
          <w:rFonts w:ascii="Cambria" w:eastAsia="Calibri" w:hAnsi="Cambria" w:cs="Calibri"/>
          <w:spacing w:val="1"/>
        </w:rPr>
        <w:t>t</w:t>
      </w:r>
      <w:r w:rsidRPr="009A0DA6">
        <w:rPr>
          <w:rFonts w:ascii="Cambria" w:eastAsia="Calibri" w:hAnsi="Cambria" w:cs="Calibri"/>
        </w:rPr>
        <w:t>ion</w:t>
      </w:r>
      <w:r w:rsidRPr="009A0DA6">
        <w:rPr>
          <w:rFonts w:ascii="Cambria" w:eastAsia="Calibri" w:hAnsi="Cambria" w:cs="Calibri"/>
          <w:spacing w:val="-3"/>
        </w:rPr>
        <w:t xml:space="preserve"> </w:t>
      </w:r>
      <w:r w:rsidRPr="009A0DA6">
        <w:rPr>
          <w:rFonts w:ascii="Cambria" w:eastAsia="Calibri" w:hAnsi="Cambria" w:cs="Calibri"/>
        </w:rPr>
        <w:t>is</w:t>
      </w:r>
      <w:r w:rsidRPr="009A0DA6">
        <w:rPr>
          <w:rFonts w:ascii="Cambria" w:eastAsia="Calibri" w:hAnsi="Cambria" w:cs="Calibri"/>
          <w:spacing w:val="3"/>
        </w:rPr>
        <w:t xml:space="preserve"> </w:t>
      </w:r>
      <w:r w:rsidRPr="009A0DA6">
        <w:rPr>
          <w:rFonts w:ascii="Cambria" w:eastAsia="Calibri" w:hAnsi="Cambria" w:cs="Calibri"/>
          <w:spacing w:val="1"/>
        </w:rPr>
        <w:t>unn</w:t>
      </w:r>
      <w:r w:rsidRPr="009A0DA6">
        <w:rPr>
          <w:rFonts w:ascii="Cambria" w:eastAsia="Calibri" w:hAnsi="Cambria" w:cs="Calibri"/>
          <w:spacing w:val="-1"/>
        </w:rPr>
        <w:t>e</w:t>
      </w:r>
      <w:r w:rsidRPr="009A0DA6">
        <w:rPr>
          <w:rFonts w:ascii="Cambria" w:eastAsia="Calibri" w:hAnsi="Cambria" w:cs="Calibri"/>
        </w:rPr>
        <w:t>c</w:t>
      </w:r>
      <w:r w:rsidRPr="009A0DA6">
        <w:rPr>
          <w:rFonts w:ascii="Cambria" w:eastAsia="Calibri" w:hAnsi="Cambria" w:cs="Calibri"/>
          <w:spacing w:val="-1"/>
        </w:rPr>
        <w:t>ess</w:t>
      </w:r>
      <w:r w:rsidRPr="009A0DA6">
        <w:rPr>
          <w:rFonts w:ascii="Cambria" w:eastAsia="Calibri" w:hAnsi="Cambria" w:cs="Calibri"/>
        </w:rPr>
        <w:t>ar</w:t>
      </w:r>
      <w:r w:rsidRPr="009A0DA6">
        <w:rPr>
          <w:rFonts w:ascii="Cambria" w:eastAsia="Calibri" w:hAnsi="Cambria" w:cs="Calibri"/>
          <w:spacing w:val="1"/>
        </w:rPr>
        <w:t>y</w:t>
      </w:r>
      <w:r w:rsidRPr="009A0DA6">
        <w:rPr>
          <w:rFonts w:ascii="Cambria" w:eastAsia="Calibri" w:hAnsi="Cambria" w:cs="Calibri"/>
        </w:rPr>
        <w:t>,</w:t>
      </w:r>
      <w:r w:rsidRPr="009A0DA6">
        <w:rPr>
          <w:rFonts w:ascii="Cambria" w:eastAsia="Calibri" w:hAnsi="Cambria" w:cs="Calibri"/>
          <w:spacing w:val="-6"/>
        </w:rPr>
        <w:t xml:space="preserve"> </w:t>
      </w:r>
      <w:r w:rsidRPr="009A0DA6">
        <w:rPr>
          <w:rFonts w:ascii="Cambria" w:eastAsia="Calibri" w:hAnsi="Cambria" w:cs="Calibri"/>
          <w:spacing w:val="-1"/>
        </w:rPr>
        <w:t>s</w:t>
      </w:r>
      <w:r w:rsidRPr="009A0DA6">
        <w:rPr>
          <w:rFonts w:ascii="Cambria" w:eastAsia="Calibri" w:hAnsi="Cambria" w:cs="Calibri"/>
        </w:rPr>
        <w:t>i</w:t>
      </w:r>
      <w:r w:rsidRPr="009A0DA6">
        <w:rPr>
          <w:rFonts w:ascii="Cambria" w:eastAsia="Calibri" w:hAnsi="Cambria" w:cs="Calibri"/>
          <w:spacing w:val="1"/>
        </w:rPr>
        <w:t>n</w:t>
      </w:r>
      <w:r w:rsidRPr="009A0DA6">
        <w:rPr>
          <w:rFonts w:ascii="Cambria" w:eastAsia="Calibri" w:hAnsi="Cambria" w:cs="Calibri"/>
          <w:spacing w:val="2"/>
        </w:rPr>
        <w:t>c</w:t>
      </w:r>
      <w:r w:rsidRPr="009A0DA6">
        <w:rPr>
          <w:rFonts w:ascii="Cambria" w:eastAsia="Calibri" w:hAnsi="Cambria" w:cs="Calibri"/>
        </w:rPr>
        <w:t>e</w:t>
      </w:r>
      <w:r w:rsidRPr="009A0DA6">
        <w:rPr>
          <w:rFonts w:ascii="Cambria" w:eastAsia="Calibri" w:hAnsi="Cambria" w:cs="Calibri"/>
          <w:spacing w:val="4"/>
        </w:rPr>
        <w:t xml:space="preserve"> </w:t>
      </w:r>
      <w:r w:rsidRPr="009A0DA6">
        <w:rPr>
          <w:rFonts w:ascii="Cambria" w:eastAsia="Calibri" w:hAnsi="Cambria" w:cs="Calibri"/>
        </w:rPr>
        <w:t>P</w:t>
      </w:r>
      <w:r w:rsidRPr="009A0DA6">
        <w:rPr>
          <w:rFonts w:ascii="Cambria" w:eastAsia="Calibri" w:hAnsi="Cambria" w:cs="Calibri"/>
          <w:spacing w:val="1"/>
        </w:rPr>
        <w:t>au</w:t>
      </w:r>
      <w:r w:rsidRPr="009A0DA6">
        <w:rPr>
          <w:rFonts w:ascii="Cambria" w:eastAsia="Calibri" w:hAnsi="Cambria" w:cs="Calibri"/>
        </w:rPr>
        <w:t>l</w:t>
      </w:r>
      <w:r w:rsidRPr="009A0DA6">
        <w:rPr>
          <w:rFonts w:ascii="Cambria" w:eastAsia="Calibri" w:hAnsi="Cambria" w:cs="Calibri"/>
          <w:spacing w:val="-1"/>
        </w:rPr>
        <w:t xml:space="preserve"> </w:t>
      </w:r>
      <w:r w:rsidRPr="009A0DA6">
        <w:rPr>
          <w:rFonts w:ascii="Cambria" w:eastAsia="Calibri" w:hAnsi="Cambria" w:cs="Calibri"/>
        </w:rPr>
        <w:t>tells</w:t>
      </w:r>
      <w:r w:rsidRPr="009A0DA6">
        <w:rPr>
          <w:rFonts w:ascii="Cambria" w:eastAsia="Calibri" w:hAnsi="Cambria" w:cs="Calibri"/>
          <w:spacing w:val="1"/>
        </w:rPr>
        <w:t xml:space="preserve"> u</w:t>
      </w:r>
      <w:r w:rsidRPr="009A0DA6">
        <w:rPr>
          <w:rFonts w:ascii="Cambria" w:eastAsia="Calibri" w:hAnsi="Cambria" w:cs="Calibri"/>
        </w:rPr>
        <w:t>s</w:t>
      </w:r>
      <w:r w:rsidRPr="009A0DA6">
        <w:rPr>
          <w:rFonts w:ascii="Cambria" w:eastAsia="Calibri" w:hAnsi="Cambria" w:cs="Calibri"/>
          <w:spacing w:val="2"/>
        </w:rPr>
        <w:t xml:space="preserve"> </w:t>
      </w:r>
      <w:r w:rsidRPr="009A0DA6">
        <w:rPr>
          <w:rFonts w:ascii="Cambria" w:eastAsia="Calibri" w:hAnsi="Cambria" w:cs="Calibri"/>
        </w:rPr>
        <w:t>in</w:t>
      </w:r>
      <w:r w:rsidRPr="009A0DA6">
        <w:rPr>
          <w:rFonts w:ascii="Cambria" w:eastAsia="Calibri" w:hAnsi="Cambria" w:cs="Calibri"/>
          <w:spacing w:val="4"/>
        </w:rPr>
        <w:t xml:space="preserve"> </w:t>
      </w:r>
      <w:r w:rsidRPr="009A0DA6">
        <w:rPr>
          <w:rFonts w:ascii="Cambria" w:eastAsia="Calibri" w:hAnsi="Cambria" w:cs="Calibri"/>
          <w:spacing w:val="1"/>
        </w:rPr>
        <w:t>H</w:t>
      </w:r>
      <w:r w:rsidRPr="009A0DA6">
        <w:rPr>
          <w:rFonts w:ascii="Cambria" w:eastAsia="Calibri" w:hAnsi="Cambria" w:cs="Calibri"/>
        </w:rPr>
        <w:t>oly</w:t>
      </w:r>
      <w:r w:rsidRPr="009A0DA6">
        <w:rPr>
          <w:rFonts w:ascii="Cambria" w:eastAsia="Calibri" w:hAnsi="Cambria" w:cs="Calibri"/>
          <w:spacing w:val="2"/>
        </w:rPr>
        <w:t xml:space="preserve"> </w:t>
      </w:r>
      <w:r w:rsidRPr="009A0DA6">
        <w:rPr>
          <w:rFonts w:ascii="Cambria" w:eastAsia="Calibri" w:hAnsi="Cambria" w:cs="Calibri"/>
        </w:rPr>
        <w:t>Scri</w:t>
      </w:r>
      <w:r w:rsidRPr="009A0DA6">
        <w:rPr>
          <w:rFonts w:ascii="Cambria" w:eastAsia="Calibri" w:hAnsi="Cambria" w:cs="Calibri"/>
          <w:spacing w:val="1"/>
        </w:rPr>
        <w:t>p</w:t>
      </w:r>
      <w:r w:rsidRPr="009A0DA6">
        <w:rPr>
          <w:rFonts w:ascii="Cambria" w:eastAsia="Calibri" w:hAnsi="Cambria" w:cs="Calibri"/>
        </w:rPr>
        <w:t>t</w:t>
      </w:r>
      <w:r w:rsidRPr="009A0DA6">
        <w:rPr>
          <w:rFonts w:ascii="Cambria" w:eastAsia="Calibri" w:hAnsi="Cambria" w:cs="Calibri"/>
          <w:spacing w:val="1"/>
        </w:rPr>
        <w:t>u</w:t>
      </w:r>
      <w:r w:rsidRPr="009A0DA6">
        <w:rPr>
          <w:rFonts w:ascii="Cambria" w:eastAsia="Calibri" w:hAnsi="Cambria" w:cs="Calibri"/>
        </w:rPr>
        <w:t>re</w:t>
      </w:r>
      <w:r w:rsidRPr="009A0DA6">
        <w:rPr>
          <w:rFonts w:ascii="Cambria" w:eastAsia="Calibri" w:hAnsi="Cambria" w:cs="Calibri"/>
          <w:spacing w:val="-3"/>
        </w:rPr>
        <w:t xml:space="preserve"> </w:t>
      </w:r>
      <w:r w:rsidRPr="009A0DA6">
        <w:rPr>
          <w:rFonts w:ascii="Cambria" w:eastAsia="Calibri" w:hAnsi="Cambria" w:cs="Calibri"/>
          <w:spacing w:val="-1"/>
        </w:rPr>
        <w:t>w</w:t>
      </w:r>
      <w:r w:rsidRPr="009A0DA6">
        <w:rPr>
          <w:rFonts w:ascii="Cambria" w:eastAsia="Calibri" w:hAnsi="Cambria" w:cs="Calibri"/>
          <w:spacing w:val="1"/>
        </w:rPr>
        <w:t>h</w:t>
      </w:r>
      <w:r w:rsidRPr="009A0DA6">
        <w:rPr>
          <w:rFonts w:ascii="Cambria" w:eastAsia="Calibri" w:hAnsi="Cambria" w:cs="Calibri"/>
        </w:rPr>
        <w:t xml:space="preserve">y </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2"/>
        </w:rPr>
        <w:t xml:space="preserve"> </w:t>
      </w:r>
      <w:r w:rsidRPr="009A0DA6">
        <w:rPr>
          <w:rFonts w:ascii="Cambria" w:eastAsia="Calibri" w:hAnsi="Cambria" w:cs="Calibri"/>
        </w:rPr>
        <w:t>ga</w:t>
      </w:r>
      <w:r w:rsidRPr="009A0DA6">
        <w:rPr>
          <w:rFonts w:ascii="Cambria" w:eastAsia="Calibri" w:hAnsi="Cambria" w:cs="Calibri"/>
          <w:spacing w:val="-1"/>
        </w:rPr>
        <w:t>v</w:t>
      </w:r>
      <w:r w:rsidRPr="009A0DA6">
        <w:rPr>
          <w:rFonts w:ascii="Cambria" w:eastAsia="Calibri" w:hAnsi="Cambria" w:cs="Calibri"/>
        </w:rPr>
        <w:t>e t</w:t>
      </w:r>
      <w:r w:rsidRPr="009A0DA6">
        <w:rPr>
          <w:rFonts w:ascii="Cambria" w:eastAsia="Calibri" w:hAnsi="Cambria" w:cs="Calibri"/>
          <w:spacing w:val="1"/>
        </w:rPr>
        <w:t>h</w:t>
      </w:r>
      <w:r w:rsidRPr="009A0DA6">
        <w:rPr>
          <w:rFonts w:ascii="Cambria" w:eastAsia="Calibri" w:hAnsi="Cambria" w:cs="Calibri"/>
        </w:rPr>
        <w:t>is</w:t>
      </w:r>
      <w:r w:rsidRPr="009A0DA6">
        <w:rPr>
          <w:rFonts w:ascii="Cambria" w:eastAsia="Calibri" w:hAnsi="Cambria" w:cs="Calibri"/>
          <w:spacing w:val="1"/>
        </w:rPr>
        <w:t xml:space="preserve"> p</w:t>
      </w:r>
      <w:r w:rsidRPr="009A0DA6">
        <w:rPr>
          <w:rFonts w:ascii="Cambria" w:eastAsia="Calibri" w:hAnsi="Cambria" w:cs="Calibri"/>
        </w:rPr>
        <w:t>r</w:t>
      </w:r>
      <w:r w:rsidRPr="009A0DA6">
        <w:rPr>
          <w:rFonts w:ascii="Cambria" w:eastAsia="Calibri" w:hAnsi="Cambria" w:cs="Calibri"/>
          <w:spacing w:val="1"/>
        </w:rPr>
        <w:t>oh</w:t>
      </w:r>
      <w:r w:rsidRPr="009A0DA6">
        <w:rPr>
          <w:rFonts w:ascii="Cambria" w:eastAsia="Calibri" w:hAnsi="Cambria" w:cs="Calibri"/>
        </w:rPr>
        <w:t>i</w:t>
      </w:r>
      <w:r w:rsidRPr="009A0DA6">
        <w:rPr>
          <w:rFonts w:ascii="Cambria" w:eastAsia="Calibri" w:hAnsi="Cambria" w:cs="Calibri"/>
          <w:spacing w:val="1"/>
        </w:rPr>
        <w:t>b</w:t>
      </w:r>
      <w:r w:rsidRPr="009A0DA6">
        <w:rPr>
          <w:rFonts w:ascii="Cambria" w:eastAsia="Calibri" w:hAnsi="Cambria" w:cs="Calibri"/>
        </w:rPr>
        <w:t>iti</w:t>
      </w:r>
      <w:r w:rsidRPr="009A0DA6">
        <w:rPr>
          <w:rFonts w:ascii="Cambria" w:eastAsia="Calibri" w:hAnsi="Cambria" w:cs="Calibri"/>
          <w:spacing w:val="1"/>
        </w:rPr>
        <w:t>on</w:t>
      </w:r>
      <w:r w:rsidRPr="009A0DA6">
        <w:rPr>
          <w:rFonts w:ascii="Cambria" w:eastAsia="Calibri" w:hAnsi="Cambria" w:cs="Calibri"/>
        </w:rPr>
        <w:t>.</w:t>
      </w:r>
      <w:r w:rsidRPr="009A0DA6">
        <w:rPr>
          <w:rFonts w:ascii="Cambria" w:eastAsia="Calibri" w:hAnsi="Cambria" w:cs="Calibri"/>
          <w:spacing w:val="-5"/>
        </w:rPr>
        <w:t xml:space="preserve"> </w:t>
      </w:r>
      <w:r w:rsidRPr="009A0DA6">
        <w:rPr>
          <w:rFonts w:ascii="Cambria" w:eastAsia="Calibri" w:hAnsi="Cambria" w:cs="Calibri"/>
        </w:rPr>
        <w:t>W</w:t>
      </w:r>
      <w:r w:rsidRPr="009A0DA6">
        <w:rPr>
          <w:rFonts w:ascii="Cambria" w:eastAsia="Calibri" w:hAnsi="Cambria" w:cs="Calibri"/>
          <w:spacing w:val="1"/>
        </w:rPr>
        <w:t>h</w:t>
      </w:r>
      <w:r w:rsidRPr="009A0DA6">
        <w:rPr>
          <w:rFonts w:ascii="Cambria" w:eastAsia="Calibri" w:hAnsi="Cambria" w:cs="Calibri"/>
          <w:spacing w:val="-1"/>
        </w:rPr>
        <w:t>e</w:t>
      </w:r>
      <w:r w:rsidRPr="009A0DA6">
        <w:rPr>
          <w:rFonts w:ascii="Cambria" w:eastAsia="Calibri" w:hAnsi="Cambria" w:cs="Calibri"/>
        </w:rPr>
        <w:t xml:space="preserve">n </w:t>
      </w:r>
      <w:r w:rsidRPr="009A0DA6">
        <w:rPr>
          <w:rFonts w:ascii="Cambria" w:eastAsia="Calibri" w:hAnsi="Cambria" w:cs="Calibri"/>
          <w:spacing w:val="-1"/>
        </w:rPr>
        <w:t>w</w:t>
      </w:r>
      <w:r w:rsidRPr="009A0DA6">
        <w:rPr>
          <w:rFonts w:ascii="Cambria" w:eastAsia="Calibri" w:hAnsi="Cambria" w:cs="Calibri"/>
        </w:rPr>
        <w:t>e</w:t>
      </w:r>
      <w:r w:rsidRPr="009A0DA6">
        <w:rPr>
          <w:rFonts w:ascii="Cambria" w:eastAsia="Calibri" w:hAnsi="Cambria" w:cs="Calibri"/>
          <w:spacing w:val="7"/>
        </w:rPr>
        <w:t xml:space="preserve"> </w:t>
      </w:r>
      <w:r w:rsidRPr="009A0DA6">
        <w:rPr>
          <w:rFonts w:ascii="Cambria" w:eastAsia="Calibri" w:hAnsi="Cambria" w:cs="Calibri"/>
          <w:spacing w:val="-1"/>
        </w:rPr>
        <w:t>e</w:t>
      </w:r>
      <w:r w:rsidRPr="009A0DA6">
        <w:rPr>
          <w:rFonts w:ascii="Cambria" w:eastAsia="Calibri" w:hAnsi="Cambria" w:cs="Calibri"/>
        </w:rPr>
        <w:t>x</w:t>
      </w:r>
      <w:r w:rsidRPr="009A0DA6">
        <w:rPr>
          <w:rFonts w:ascii="Cambria" w:eastAsia="Calibri" w:hAnsi="Cambria" w:cs="Calibri"/>
          <w:spacing w:val="1"/>
        </w:rPr>
        <w:t>a</w:t>
      </w:r>
      <w:r w:rsidRPr="009A0DA6">
        <w:rPr>
          <w:rFonts w:ascii="Cambria" w:eastAsia="Calibri" w:hAnsi="Cambria" w:cs="Calibri"/>
          <w:spacing w:val="-1"/>
        </w:rPr>
        <w:t>m</w:t>
      </w:r>
      <w:r w:rsidRPr="009A0DA6">
        <w:rPr>
          <w:rFonts w:ascii="Cambria" w:eastAsia="Calibri" w:hAnsi="Cambria" w:cs="Calibri"/>
        </w:rPr>
        <w:t>i</w:t>
      </w:r>
      <w:r w:rsidRPr="009A0DA6">
        <w:rPr>
          <w:rFonts w:ascii="Cambria" w:eastAsia="Calibri" w:hAnsi="Cambria" w:cs="Calibri"/>
          <w:spacing w:val="3"/>
        </w:rPr>
        <w:t>n</w:t>
      </w:r>
      <w:r w:rsidRPr="009A0DA6">
        <w:rPr>
          <w:rFonts w:ascii="Cambria" w:eastAsia="Calibri" w:hAnsi="Cambria" w:cs="Calibri"/>
        </w:rPr>
        <w:t xml:space="preserve">e </w:t>
      </w:r>
      <w:r w:rsidRPr="009A0DA6">
        <w:rPr>
          <w:rFonts w:ascii="Cambria" w:eastAsia="Calibri" w:hAnsi="Cambria" w:cs="Calibri"/>
          <w:spacing w:val="1"/>
        </w:rPr>
        <w:t>h</w:t>
      </w:r>
      <w:r w:rsidRPr="009A0DA6">
        <w:rPr>
          <w:rFonts w:ascii="Cambria" w:eastAsia="Calibri" w:hAnsi="Cambria" w:cs="Calibri"/>
        </w:rPr>
        <w:t>is</w:t>
      </w:r>
      <w:r w:rsidRPr="009A0DA6">
        <w:rPr>
          <w:rFonts w:ascii="Cambria" w:eastAsia="Calibri" w:hAnsi="Cambria" w:cs="Calibri"/>
          <w:spacing w:val="7"/>
        </w:rPr>
        <w:t xml:space="preserve"> </w:t>
      </w:r>
      <w:r w:rsidRPr="009A0DA6">
        <w:rPr>
          <w:rFonts w:ascii="Cambria" w:eastAsia="Calibri" w:hAnsi="Cambria" w:cs="Calibri"/>
          <w:spacing w:val="-1"/>
        </w:rPr>
        <w:t>s</w:t>
      </w:r>
      <w:r w:rsidRPr="009A0DA6">
        <w:rPr>
          <w:rFonts w:ascii="Cambria" w:eastAsia="Calibri" w:hAnsi="Cambria" w:cs="Calibri"/>
        </w:rPr>
        <w:t>t</w:t>
      </w:r>
      <w:r w:rsidRPr="009A0DA6">
        <w:rPr>
          <w:rFonts w:ascii="Cambria" w:eastAsia="Calibri" w:hAnsi="Cambria" w:cs="Calibri"/>
          <w:spacing w:val="1"/>
        </w:rPr>
        <w:t>a</w:t>
      </w:r>
      <w:r w:rsidRPr="009A0DA6">
        <w:rPr>
          <w:rFonts w:ascii="Cambria" w:eastAsia="Calibri" w:hAnsi="Cambria" w:cs="Calibri"/>
        </w:rPr>
        <w:t>ted</w:t>
      </w:r>
      <w:r w:rsidRPr="009A0DA6">
        <w:rPr>
          <w:rFonts w:ascii="Cambria" w:eastAsia="Calibri" w:hAnsi="Cambria" w:cs="Calibri"/>
          <w:spacing w:val="3"/>
        </w:rPr>
        <w:t xml:space="preserve"> </w:t>
      </w:r>
      <w:r w:rsidRPr="009A0DA6">
        <w:rPr>
          <w:rFonts w:ascii="Cambria" w:eastAsia="Calibri" w:hAnsi="Cambria" w:cs="Calibri"/>
          <w:spacing w:val="2"/>
        </w:rPr>
        <w:t>r</w:t>
      </w:r>
      <w:r w:rsidRPr="009A0DA6">
        <w:rPr>
          <w:rFonts w:ascii="Cambria" w:eastAsia="Calibri" w:hAnsi="Cambria" w:cs="Calibri"/>
          <w:spacing w:val="-1"/>
        </w:rPr>
        <w:t>e</w:t>
      </w:r>
      <w:r w:rsidRPr="009A0DA6">
        <w:rPr>
          <w:rFonts w:ascii="Cambria" w:eastAsia="Calibri" w:hAnsi="Cambria" w:cs="Calibri"/>
        </w:rPr>
        <w:t>as</w:t>
      </w:r>
      <w:r w:rsidRPr="009A0DA6">
        <w:rPr>
          <w:rFonts w:ascii="Cambria" w:eastAsia="Calibri" w:hAnsi="Cambria" w:cs="Calibri"/>
          <w:spacing w:val="2"/>
        </w:rPr>
        <w:t>o</w:t>
      </w:r>
      <w:r w:rsidRPr="009A0DA6">
        <w:rPr>
          <w:rFonts w:ascii="Cambria" w:eastAsia="Calibri" w:hAnsi="Cambria" w:cs="Calibri"/>
          <w:spacing w:val="1"/>
        </w:rPr>
        <w:t>n</w:t>
      </w:r>
      <w:r w:rsidRPr="009A0DA6">
        <w:rPr>
          <w:rFonts w:ascii="Cambria" w:eastAsia="Calibri" w:hAnsi="Cambria" w:cs="Calibri"/>
        </w:rPr>
        <w:t>s</w:t>
      </w:r>
      <w:r w:rsidRPr="009A0DA6">
        <w:rPr>
          <w:rFonts w:ascii="Cambria" w:eastAsia="Calibri" w:hAnsi="Cambria" w:cs="Calibri"/>
          <w:spacing w:val="1"/>
        </w:rPr>
        <w:t xml:space="preserve"> </w:t>
      </w:r>
      <w:r w:rsidRPr="009A0DA6">
        <w:rPr>
          <w:rFonts w:ascii="Cambria" w:eastAsia="Calibri" w:hAnsi="Cambria" w:cs="Calibri"/>
        </w:rPr>
        <w:t>it</w:t>
      </w:r>
      <w:r w:rsidRPr="009A0DA6">
        <w:rPr>
          <w:rFonts w:ascii="Cambria" w:eastAsia="Calibri" w:hAnsi="Cambria" w:cs="Calibri"/>
          <w:spacing w:val="7"/>
        </w:rPr>
        <w:t xml:space="preserve"> </w:t>
      </w:r>
      <w:r w:rsidRPr="009A0DA6">
        <w:rPr>
          <w:rFonts w:ascii="Cambria" w:eastAsia="Calibri" w:hAnsi="Cambria" w:cs="Calibri"/>
        </w:rPr>
        <w:t>is</w:t>
      </w:r>
      <w:r w:rsidRPr="009A0DA6">
        <w:rPr>
          <w:rFonts w:ascii="Cambria" w:eastAsia="Calibri" w:hAnsi="Cambria" w:cs="Calibri"/>
          <w:spacing w:val="8"/>
        </w:rPr>
        <w:t xml:space="preserve"> </w:t>
      </w:r>
      <w:r w:rsidRPr="009A0DA6">
        <w:rPr>
          <w:rFonts w:ascii="Cambria" w:eastAsia="Calibri" w:hAnsi="Cambria" w:cs="Calibri"/>
          <w:spacing w:val="1"/>
        </w:rPr>
        <w:t>e</w:t>
      </w:r>
      <w:r w:rsidRPr="009A0DA6">
        <w:rPr>
          <w:rFonts w:ascii="Cambria" w:eastAsia="Calibri" w:hAnsi="Cambria" w:cs="Calibri"/>
          <w:spacing w:val="-1"/>
        </w:rPr>
        <w:t>v</w:t>
      </w:r>
      <w:r w:rsidRPr="009A0DA6">
        <w:rPr>
          <w:rFonts w:ascii="Cambria" w:eastAsia="Calibri" w:hAnsi="Cambria" w:cs="Calibri"/>
        </w:rPr>
        <w:t>i</w:t>
      </w:r>
      <w:r w:rsidRPr="009A0DA6">
        <w:rPr>
          <w:rFonts w:ascii="Cambria" w:eastAsia="Calibri" w:hAnsi="Cambria" w:cs="Calibri"/>
          <w:spacing w:val="1"/>
        </w:rPr>
        <w:t>d</w:t>
      </w:r>
      <w:r w:rsidRPr="009A0DA6">
        <w:rPr>
          <w:rFonts w:ascii="Cambria" w:eastAsia="Calibri" w:hAnsi="Cambria" w:cs="Calibri"/>
          <w:spacing w:val="-1"/>
        </w:rPr>
        <w:t>e</w:t>
      </w:r>
      <w:r w:rsidRPr="009A0DA6">
        <w:rPr>
          <w:rFonts w:ascii="Cambria" w:eastAsia="Calibri" w:hAnsi="Cambria" w:cs="Calibri"/>
          <w:spacing w:val="1"/>
        </w:rPr>
        <w:t>n</w:t>
      </w:r>
      <w:r w:rsidRPr="009A0DA6">
        <w:rPr>
          <w:rFonts w:ascii="Cambria" w:eastAsia="Calibri" w:hAnsi="Cambria" w:cs="Calibri"/>
        </w:rPr>
        <w:t>t</w:t>
      </w:r>
      <w:r w:rsidRPr="009A0DA6">
        <w:rPr>
          <w:rFonts w:ascii="Cambria" w:eastAsia="Calibri" w:hAnsi="Cambria" w:cs="Calibri"/>
          <w:spacing w:val="2"/>
        </w:rPr>
        <w:t xml:space="preserve"> </w:t>
      </w:r>
      <w:r w:rsidRPr="009A0DA6">
        <w:rPr>
          <w:rFonts w:ascii="Cambria" w:eastAsia="Calibri" w:hAnsi="Cambria" w:cs="Calibri"/>
        </w:rPr>
        <w:t>t</w:t>
      </w:r>
      <w:r w:rsidRPr="009A0DA6">
        <w:rPr>
          <w:rFonts w:ascii="Cambria" w:eastAsia="Calibri" w:hAnsi="Cambria" w:cs="Calibri"/>
          <w:spacing w:val="1"/>
        </w:rPr>
        <w:t>h</w:t>
      </w:r>
      <w:r w:rsidRPr="009A0DA6">
        <w:rPr>
          <w:rFonts w:ascii="Cambria" w:eastAsia="Calibri" w:hAnsi="Cambria" w:cs="Calibri"/>
        </w:rPr>
        <w:t>at</w:t>
      </w:r>
      <w:r w:rsidRPr="009A0DA6">
        <w:rPr>
          <w:rFonts w:ascii="Cambria" w:eastAsia="Calibri" w:hAnsi="Cambria" w:cs="Calibri"/>
          <w:spacing w:val="5"/>
        </w:rPr>
        <w:t xml:space="preserve"> </w:t>
      </w:r>
      <w:r w:rsidRPr="009A0DA6">
        <w:rPr>
          <w:rFonts w:ascii="Cambria" w:eastAsia="Calibri" w:hAnsi="Cambria" w:cs="Calibri"/>
          <w:spacing w:val="1"/>
        </w:rPr>
        <w:t>b</w:t>
      </w:r>
      <w:r w:rsidRPr="009A0DA6">
        <w:rPr>
          <w:rFonts w:ascii="Cambria" w:eastAsia="Calibri" w:hAnsi="Cambria" w:cs="Calibri"/>
        </w:rPr>
        <w:t>oth</w:t>
      </w:r>
      <w:r w:rsidRPr="009A0DA6">
        <w:rPr>
          <w:rFonts w:ascii="Cambria" w:eastAsia="Calibri" w:hAnsi="Cambria" w:cs="Calibri"/>
          <w:spacing w:val="5"/>
        </w:rPr>
        <w:t xml:space="preserve"> </w:t>
      </w:r>
      <w:r w:rsidRPr="009A0DA6">
        <w:rPr>
          <w:rFonts w:ascii="Cambria" w:eastAsia="Calibri" w:hAnsi="Cambria" w:cs="Calibri"/>
          <w:spacing w:val="1"/>
        </w:rPr>
        <w:t>h</w:t>
      </w:r>
      <w:r w:rsidRPr="009A0DA6">
        <w:rPr>
          <w:rFonts w:ascii="Cambria" w:eastAsia="Calibri" w:hAnsi="Cambria" w:cs="Calibri"/>
        </w:rPr>
        <w:t>is</w:t>
      </w:r>
      <w:r w:rsidRPr="009A0DA6">
        <w:rPr>
          <w:rFonts w:ascii="Cambria" w:eastAsia="Calibri" w:hAnsi="Cambria" w:cs="Calibri"/>
          <w:spacing w:val="7"/>
        </w:rPr>
        <w:t xml:space="preserve"> </w:t>
      </w:r>
      <w:r w:rsidRPr="009A0DA6">
        <w:rPr>
          <w:rFonts w:ascii="Cambria" w:eastAsia="Calibri" w:hAnsi="Cambria" w:cs="Calibri"/>
        </w:rPr>
        <w:t>r</w:t>
      </w:r>
      <w:r w:rsidRPr="009A0DA6">
        <w:rPr>
          <w:rFonts w:ascii="Cambria" w:eastAsia="Calibri" w:hAnsi="Cambria" w:cs="Calibri"/>
          <w:spacing w:val="-1"/>
        </w:rPr>
        <w:t>e</w:t>
      </w:r>
      <w:r w:rsidRPr="009A0DA6">
        <w:rPr>
          <w:rFonts w:ascii="Cambria" w:eastAsia="Calibri" w:hAnsi="Cambria" w:cs="Calibri"/>
        </w:rPr>
        <w:t>aso</w:t>
      </w:r>
      <w:r w:rsidRPr="009A0DA6">
        <w:rPr>
          <w:rFonts w:ascii="Cambria" w:eastAsia="Calibri" w:hAnsi="Cambria" w:cs="Calibri"/>
          <w:spacing w:val="1"/>
        </w:rPr>
        <w:t>n</w:t>
      </w:r>
      <w:r w:rsidRPr="009A0DA6">
        <w:rPr>
          <w:rFonts w:ascii="Cambria" w:eastAsia="Calibri" w:hAnsi="Cambria" w:cs="Calibri"/>
        </w:rPr>
        <w:t>s</w:t>
      </w:r>
      <w:r w:rsidRPr="009A0DA6">
        <w:rPr>
          <w:rFonts w:ascii="Cambria" w:eastAsia="Calibri" w:hAnsi="Cambria" w:cs="Calibri"/>
          <w:spacing w:val="1"/>
        </w:rPr>
        <w:t xml:space="preserve"> </w:t>
      </w:r>
      <w:r w:rsidRPr="009A0DA6">
        <w:rPr>
          <w:rFonts w:ascii="Cambria" w:eastAsia="Calibri" w:hAnsi="Cambria" w:cs="Calibri"/>
        </w:rPr>
        <w:t>a</w:t>
      </w:r>
      <w:r w:rsidRPr="009A0DA6">
        <w:rPr>
          <w:rFonts w:ascii="Cambria" w:eastAsia="Calibri" w:hAnsi="Cambria" w:cs="Calibri"/>
          <w:spacing w:val="1"/>
        </w:rPr>
        <w:t>n</w:t>
      </w:r>
      <w:r w:rsidRPr="009A0DA6">
        <w:rPr>
          <w:rFonts w:ascii="Cambria" w:eastAsia="Calibri" w:hAnsi="Cambria" w:cs="Calibri"/>
        </w:rPr>
        <w:t>d</w:t>
      </w:r>
      <w:r w:rsidRPr="009A0DA6">
        <w:rPr>
          <w:rFonts w:ascii="Cambria" w:eastAsia="Calibri" w:hAnsi="Cambria" w:cs="Calibri"/>
          <w:spacing w:val="5"/>
        </w:rPr>
        <w:t xml:space="preserve"> </w:t>
      </w:r>
      <w:r w:rsidRPr="009A0DA6">
        <w:rPr>
          <w:rFonts w:ascii="Cambria" w:eastAsia="Calibri" w:hAnsi="Cambria" w:cs="Calibri"/>
        </w:rPr>
        <w:t>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4"/>
        </w:rPr>
        <w:t xml:space="preserve"> </w:t>
      </w:r>
      <w:r w:rsidRPr="009A0DA6">
        <w:rPr>
          <w:rFonts w:ascii="Cambria" w:eastAsia="Calibri" w:hAnsi="Cambria" w:cs="Calibri"/>
          <w:spacing w:val="1"/>
        </w:rPr>
        <w:t>p</w:t>
      </w:r>
      <w:r w:rsidRPr="009A0DA6">
        <w:rPr>
          <w:rFonts w:ascii="Cambria" w:eastAsia="Calibri" w:hAnsi="Cambria" w:cs="Calibri"/>
        </w:rPr>
        <w:t>r</w:t>
      </w:r>
      <w:r w:rsidRPr="009A0DA6">
        <w:rPr>
          <w:rFonts w:ascii="Cambria" w:eastAsia="Calibri" w:hAnsi="Cambria" w:cs="Calibri"/>
          <w:spacing w:val="1"/>
        </w:rPr>
        <w:t>oh</w:t>
      </w:r>
      <w:r w:rsidRPr="009A0DA6">
        <w:rPr>
          <w:rFonts w:ascii="Cambria" w:eastAsia="Calibri" w:hAnsi="Cambria" w:cs="Calibri"/>
        </w:rPr>
        <w:t>i</w:t>
      </w:r>
      <w:r w:rsidRPr="009A0DA6">
        <w:rPr>
          <w:rFonts w:ascii="Cambria" w:eastAsia="Calibri" w:hAnsi="Cambria" w:cs="Calibri"/>
          <w:spacing w:val="1"/>
        </w:rPr>
        <w:t>b</w:t>
      </w:r>
      <w:r w:rsidRPr="009A0DA6">
        <w:rPr>
          <w:rFonts w:ascii="Cambria" w:eastAsia="Calibri" w:hAnsi="Cambria" w:cs="Calibri"/>
        </w:rPr>
        <w:t>iti</w:t>
      </w:r>
      <w:r w:rsidRPr="009A0DA6">
        <w:rPr>
          <w:rFonts w:ascii="Cambria" w:eastAsia="Calibri" w:hAnsi="Cambria" w:cs="Calibri"/>
          <w:spacing w:val="1"/>
        </w:rPr>
        <w:t>o</w:t>
      </w:r>
      <w:r w:rsidRPr="009A0DA6">
        <w:rPr>
          <w:rFonts w:ascii="Cambria" w:eastAsia="Calibri" w:hAnsi="Cambria" w:cs="Calibri"/>
        </w:rPr>
        <w:t>n</w:t>
      </w:r>
      <w:r w:rsidRPr="009A0DA6">
        <w:rPr>
          <w:rFonts w:ascii="Cambria" w:eastAsia="Calibri" w:hAnsi="Cambria" w:cs="Calibri"/>
          <w:spacing w:val="10"/>
        </w:rPr>
        <w:t xml:space="preserve"> </w:t>
      </w:r>
      <w:r w:rsidRPr="009A0DA6">
        <w:rPr>
          <w:rFonts w:ascii="Cambria" w:eastAsia="Calibri" w:hAnsi="Cambria" w:cs="Calibri"/>
          <w:spacing w:val="3"/>
        </w:rPr>
        <w:t>t</w:t>
      </w:r>
      <w:r w:rsidRPr="009A0DA6">
        <w:rPr>
          <w:rFonts w:ascii="Cambria" w:eastAsia="Calibri" w:hAnsi="Cambria" w:cs="Calibri"/>
          <w:spacing w:val="1"/>
        </w:rPr>
        <w:t>h</w:t>
      </w:r>
      <w:r w:rsidRPr="009A0DA6">
        <w:rPr>
          <w:rFonts w:ascii="Cambria" w:eastAsia="Calibri" w:hAnsi="Cambria" w:cs="Calibri"/>
        </w:rPr>
        <w:t>at</w:t>
      </w:r>
      <w:r w:rsidRPr="009A0DA6">
        <w:rPr>
          <w:rFonts w:ascii="Cambria" w:eastAsia="Calibri" w:hAnsi="Cambria" w:cs="Calibri"/>
          <w:spacing w:val="5"/>
        </w:rPr>
        <w:t xml:space="preserve"> </w:t>
      </w:r>
      <w:r w:rsidRPr="009A0DA6">
        <w:rPr>
          <w:rFonts w:ascii="Cambria" w:eastAsia="Calibri" w:hAnsi="Cambria" w:cs="Calibri"/>
          <w:spacing w:val="-1"/>
        </w:rPr>
        <w:t>f</w:t>
      </w:r>
      <w:r w:rsidRPr="009A0DA6">
        <w:rPr>
          <w:rFonts w:ascii="Cambria" w:eastAsia="Calibri" w:hAnsi="Cambria" w:cs="Calibri"/>
        </w:rPr>
        <w:t>lows</w:t>
      </w:r>
      <w:r w:rsidRPr="009A0DA6">
        <w:rPr>
          <w:rFonts w:ascii="Cambria" w:eastAsia="Calibri" w:hAnsi="Cambria" w:cs="Calibri"/>
          <w:spacing w:val="4"/>
        </w:rPr>
        <w:t xml:space="preserve"> </w:t>
      </w:r>
      <w:r w:rsidRPr="009A0DA6">
        <w:rPr>
          <w:rFonts w:ascii="Cambria" w:eastAsia="Calibri" w:hAnsi="Cambria" w:cs="Calibri"/>
          <w:spacing w:val="-1"/>
        </w:rPr>
        <w:t>f</w:t>
      </w:r>
      <w:r w:rsidRPr="009A0DA6">
        <w:rPr>
          <w:rFonts w:ascii="Cambria" w:eastAsia="Calibri" w:hAnsi="Cambria" w:cs="Calibri"/>
        </w:rPr>
        <w:t>r</w:t>
      </w:r>
      <w:r w:rsidRPr="009A0DA6">
        <w:rPr>
          <w:rFonts w:ascii="Cambria" w:eastAsia="Calibri" w:hAnsi="Cambria" w:cs="Calibri"/>
          <w:spacing w:val="3"/>
        </w:rPr>
        <w:t>o</w:t>
      </w:r>
      <w:r w:rsidRPr="009A0DA6">
        <w:rPr>
          <w:rFonts w:ascii="Cambria" w:eastAsia="Calibri" w:hAnsi="Cambria" w:cs="Calibri"/>
        </w:rPr>
        <w:t>m</w:t>
      </w:r>
      <w:r w:rsidRPr="009A0DA6">
        <w:rPr>
          <w:rFonts w:ascii="Cambria" w:eastAsia="Calibri" w:hAnsi="Cambria" w:cs="Calibri"/>
          <w:spacing w:val="3"/>
        </w:rPr>
        <w:t xml:space="preserve"> </w:t>
      </w:r>
      <w:r w:rsidRPr="009A0DA6">
        <w:rPr>
          <w:rFonts w:ascii="Cambria" w:eastAsia="Calibri" w:hAnsi="Cambria" w:cs="Calibri"/>
        </w:rPr>
        <w:t>t</w:t>
      </w:r>
      <w:r w:rsidRPr="009A0DA6">
        <w:rPr>
          <w:rFonts w:ascii="Cambria" w:eastAsia="Calibri" w:hAnsi="Cambria" w:cs="Calibri"/>
          <w:spacing w:val="1"/>
        </w:rPr>
        <w:t>h</w:t>
      </w:r>
      <w:r w:rsidRPr="009A0DA6">
        <w:rPr>
          <w:rFonts w:ascii="Cambria" w:eastAsia="Calibri" w:hAnsi="Cambria" w:cs="Calibri"/>
          <w:spacing w:val="-1"/>
        </w:rPr>
        <w:t>e</w:t>
      </w:r>
      <w:r w:rsidRPr="009A0DA6">
        <w:rPr>
          <w:rFonts w:ascii="Cambria" w:eastAsia="Calibri" w:hAnsi="Cambria" w:cs="Calibri"/>
        </w:rPr>
        <w:t>m</w:t>
      </w:r>
      <w:r w:rsidRPr="009A0DA6">
        <w:rPr>
          <w:rFonts w:ascii="Cambria" w:eastAsia="Calibri" w:hAnsi="Cambria" w:cs="Calibri"/>
          <w:spacing w:val="5"/>
        </w:rPr>
        <w:t xml:space="preserve"> </w:t>
      </w:r>
      <w:r w:rsidRPr="009A0DA6">
        <w:rPr>
          <w:rFonts w:ascii="Cambria" w:eastAsia="Calibri" w:hAnsi="Cambria" w:cs="Calibri"/>
          <w:spacing w:val="-1"/>
        </w:rPr>
        <w:t>s</w:t>
      </w:r>
      <w:r w:rsidRPr="009A0DA6">
        <w:rPr>
          <w:rFonts w:ascii="Cambria" w:eastAsia="Calibri" w:hAnsi="Cambria" w:cs="Calibri"/>
        </w:rPr>
        <w:t>till</w:t>
      </w:r>
      <w:r w:rsidRPr="009A0DA6">
        <w:rPr>
          <w:rFonts w:ascii="Cambria" w:eastAsia="Calibri" w:hAnsi="Cambria" w:cs="Calibri"/>
          <w:spacing w:val="5"/>
        </w:rPr>
        <w:t xml:space="preserve"> </w:t>
      </w:r>
      <w:r w:rsidRPr="009A0DA6">
        <w:rPr>
          <w:rFonts w:ascii="Cambria" w:eastAsia="Calibri" w:hAnsi="Cambria" w:cs="Calibri"/>
        </w:rPr>
        <w:t>a</w:t>
      </w:r>
      <w:r w:rsidRPr="009A0DA6">
        <w:rPr>
          <w:rFonts w:ascii="Cambria" w:eastAsia="Calibri" w:hAnsi="Cambria" w:cs="Calibri"/>
          <w:spacing w:val="1"/>
        </w:rPr>
        <w:t>p</w:t>
      </w:r>
      <w:r w:rsidRPr="009A0DA6">
        <w:rPr>
          <w:rFonts w:ascii="Cambria" w:eastAsia="Calibri" w:hAnsi="Cambria" w:cs="Calibri"/>
          <w:spacing w:val="3"/>
        </w:rPr>
        <w:t>p</w:t>
      </w:r>
      <w:r w:rsidRPr="009A0DA6">
        <w:rPr>
          <w:rFonts w:ascii="Cambria" w:eastAsia="Calibri" w:hAnsi="Cambria" w:cs="Calibri"/>
          <w:spacing w:val="4"/>
        </w:rPr>
        <w:t>l</w:t>
      </w:r>
      <w:r w:rsidRPr="009A0DA6">
        <w:rPr>
          <w:rFonts w:ascii="Cambria" w:eastAsia="Calibri" w:hAnsi="Cambria" w:cs="Calibri"/>
        </w:rPr>
        <w:t>y t</w:t>
      </w:r>
      <w:r w:rsidRPr="009A0DA6">
        <w:rPr>
          <w:rFonts w:ascii="Cambria" w:eastAsia="Calibri" w:hAnsi="Cambria" w:cs="Calibri"/>
          <w:spacing w:val="1"/>
        </w:rPr>
        <w:t>od</w:t>
      </w:r>
      <w:r w:rsidRPr="009A0DA6">
        <w:rPr>
          <w:rFonts w:ascii="Cambria" w:eastAsia="Calibri" w:hAnsi="Cambria" w:cs="Calibri"/>
        </w:rPr>
        <w:t>a</w:t>
      </w:r>
      <w:r w:rsidRPr="009A0DA6">
        <w:rPr>
          <w:rFonts w:ascii="Cambria" w:eastAsia="Calibri" w:hAnsi="Cambria" w:cs="Calibri"/>
          <w:spacing w:val="1"/>
        </w:rPr>
        <w:t>y</w:t>
      </w:r>
      <w:r w:rsidRPr="009A0DA6">
        <w:rPr>
          <w:rFonts w:ascii="Cambria" w:eastAsia="Calibri" w:hAnsi="Cambria" w:cs="Calibri"/>
        </w:rPr>
        <w:t>.</w:t>
      </w:r>
      <w:r w:rsidR="00417DA5" w:rsidRPr="009A0DA6">
        <w:rPr>
          <w:rFonts w:ascii="Cambria" w:eastAsia="Calibri" w:hAnsi="Cambria" w:cs="Calibri"/>
        </w:rPr>
        <w:br/>
      </w:r>
      <w:r w:rsidRPr="009A0DA6">
        <w:rPr>
          <w:rFonts w:ascii="Cambria" w:eastAsia="Calibri" w:hAnsi="Cambria" w:cs="Calibri"/>
        </w:rPr>
        <w:br/>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4"/>
        </w:rPr>
        <w:t xml:space="preserve"> </w:t>
      </w:r>
      <w:r w:rsidRPr="009A0DA6">
        <w:rPr>
          <w:rFonts w:ascii="Cambria" w:eastAsia="Calibri" w:hAnsi="Cambria" w:cs="Calibri"/>
        </w:rPr>
        <w:t>c</w:t>
      </w:r>
      <w:r w:rsidRPr="009A0DA6">
        <w:rPr>
          <w:rFonts w:ascii="Cambria" w:eastAsia="Calibri" w:hAnsi="Cambria" w:cs="Calibri"/>
          <w:spacing w:val="1"/>
        </w:rPr>
        <w:t>h</w:t>
      </w:r>
      <w:r w:rsidRPr="009A0DA6">
        <w:rPr>
          <w:rFonts w:ascii="Cambria" w:eastAsia="Calibri" w:hAnsi="Cambria" w:cs="Calibri"/>
        </w:rPr>
        <w:t>i</w:t>
      </w:r>
      <w:r w:rsidRPr="009A0DA6">
        <w:rPr>
          <w:rFonts w:ascii="Cambria" w:eastAsia="Calibri" w:hAnsi="Cambria" w:cs="Calibri"/>
          <w:spacing w:val="-1"/>
        </w:rPr>
        <w:t>e</w:t>
      </w:r>
      <w:r w:rsidRPr="009A0DA6">
        <w:rPr>
          <w:rFonts w:ascii="Cambria" w:eastAsia="Calibri" w:hAnsi="Cambria" w:cs="Calibri"/>
        </w:rPr>
        <w:t>f</w:t>
      </w:r>
      <w:r w:rsidRPr="009A0DA6">
        <w:rPr>
          <w:rFonts w:ascii="Cambria" w:eastAsia="Calibri" w:hAnsi="Cambria" w:cs="Calibri"/>
          <w:spacing w:val="3"/>
        </w:rPr>
        <w:t xml:space="preserve"> </w:t>
      </w:r>
      <w:r w:rsidRPr="009A0DA6">
        <w:rPr>
          <w:rFonts w:ascii="Cambria" w:eastAsia="Calibri" w:hAnsi="Cambria" w:cs="Calibri"/>
        </w:rPr>
        <w:t>line</w:t>
      </w:r>
      <w:r w:rsidRPr="009A0DA6">
        <w:rPr>
          <w:rFonts w:ascii="Cambria" w:eastAsia="Calibri" w:hAnsi="Cambria" w:cs="Calibri"/>
          <w:spacing w:val="4"/>
        </w:rPr>
        <w:t xml:space="preserve"> </w:t>
      </w:r>
      <w:r w:rsidRPr="009A0DA6">
        <w:rPr>
          <w:rFonts w:ascii="Cambria" w:eastAsia="Calibri" w:hAnsi="Cambria" w:cs="Calibri"/>
        </w:rPr>
        <w:t>of</w:t>
      </w:r>
      <w:r w:rsidRPr="009A0DA6">
        <w:rPr>
          <w:rFonts w:ascii="Cambria" w:eastAsia="Calibri" w:hAnsi="Cambria" w:cs="Calibri"/>
          <w:spacing w:val="5"/>
        </w:rPr>
        <w:t xml:space="preserve"> </w:t>
      </w:r>
      <w:r w:rsidRPr="009A0DA6">
        <w:rPr>
          <w:rFonts w:ascii="Cambria" w:eastAsia="Calibri" w:hAnsi="Cambria" w:cs="Calibri"/>
          <w:spacing w:val="-1"/>
        </w:rPr>
        <w:t>s</w:t>
      </w:r>
      <w:r w:rsidRPr="009A0DA6">
        <w:rPr>
          <w:rFonts w:ascii="Cambria" w:eastAsia="Calibri" w:hAnsi="Cambria" w:cs="Calibri"/>
          <w:spacing w:val="3"/>
        </w:rPr>
        <w:t>p</w:t>
      </w:r>
      <w:r w:rsidRPr="009A0DA6">
        <w:rPr>
          <w:rFonts w:ascii="Cambria" w:eastAsia="Calibri" w:hAnsi="Cambria" w:cs="Calibri"/>
          <w:spacing w:val="-1"/>
        </w:rPr>
        <w:t>e</w:t>
      </w:r>
      <w:r w:rsidRPr="009A0DA6">
        <w:rPr>
          <w:rFonts w:ascii="Cambria" w:eastAsia="Calibri" w:hAnsi="Cambria" w:cs="Calibri"/>
        </w:rPr>
        <w:t>c</w:t>
      </w:r>
      <w:r w:rsidRPr="009A0DA6">
        <w:rPr>
          <w:rFonts w:ascii="Cambria" w:eastAsia="Calibri" w:hAnsi="Cambria" w:cs="Calibri"/>
          <w:spacing w:val="1"/>
        </w:rPr>
        <w:t>u</w:t>
      </w:r>
      <w:r w:rsidRPr="009A0DA6">
        <w:rPr>
          <w:rFonts w:ascii="Cambria" w:eastAsia="Calibri" w:hAnsi="Cambria" w:cs="Calibri"/>
        </w:rPr>
        <w:t>la</w:t>
      </w:r>
      <w:r w:rsidRPr="009A0DA6">
        <w:rPr>
          <w:rFonts w:ascii="Cambria" w:eastAsia="Calibri" w:hAnsi="Cambria" w:cs="Calibri"/>
          <w:spacing w:val="1"/>
        </w:rPr>
        <w:t>t</w:t>
      </w:r>
      <w:r w:rsidRPr="009A0DA6">
        <w:rPr>
          <w:rFonts w:ascii="Cambria" w:eastAsia="Calibri" w:hAnsi="Cambria" w:cs="Calibri"/>
        </w:rPr>
        <w:t>ion 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4"/>
        </w:rPr>
        <w:t xml:space="preserve"> </w:t>
      </w:r>
      <w:r w:rsidRPr="009A0DA6">
        <w:rPr>
          <w:rFonts w:ascii="Cambria" w:eastAsia="Calibri" w:hAnsi="Cambria" w:cs="Calibri"/>
        </w:rPr>
        <w:t>DDS</w:t>
      </w:r>
      <w:r w:rsidRPr="009A0DA6">
        <w:rPr>
          <w:rFonts w:ascii="Cambria" w:eastAsia="Calibri" w:hAnsi="Cambria" w:cs="Calibri"/>
          <w:spacing w:val="4"/>
        </w:rPr>
        <w:t xml:space="preserve"> </w:t>
      </w:r>
      <w:r w:rsidRPr="009A0DA6">
        <w:rPr>
          <w:rFonts w:ascii="Cambria" w:eastAsia="Calibri" w:hAnsi="Cambria" w:cs="Calibri"/>
        </w:rPr>
        <w:t>o</w:t>
      </w:r>
      <w:r w:rsidRPr="009A0DA6">
        <w:rPr>
          <w:rFonts w:ascii="Cambria" w:eastAsia="Calibri" w:hAnsi="Cambria" w:cs="Calibri"/>
          <w:spacing w:val="-1"/>
        </w:rPr>
        <w:t>ffe</w:t>
      </w:r>
      <w:r w:rsidRPr="009A0DA6">
        <w:rPr>
          <w:rFonts w:ascii="Cambria" w:eastAsia="Calibri" w:hAnsi="Cambria" w:cs="Calibri"/>
          <w:spacing w:val="2"/>
        </w:rPr>
        <w:t>r</w:t>
      </w:r>
      <w:r w:rsidRPr="009A0DA6">
        <w:rPr>
          <w:rFonts w:ascii="Cambria" w:eastAsia="Calibri" w:hAnsi="Cambria" w:cs="Calibri"/>
        </w:rPr>
        <w:t>s</w:t>
      </w:r>
      <w:r w:rsidRPr="009A0DA6">
        <w:rPr>
          <w:rFonts w:ascii="Cambria" w:eastAsia="Calibri" w:hAnsi="Cambria" w:cs="Calibri"/>
          <w:spacing w:val="1"/>
        </w:rPr>
        <w:t xml:space="preserve"> </w:t>
      </w:r>
      <w:r w:rsidRPr="009A0DA6">
        <w:rPr>
          <w:rFonts w:ascii="Cambria" w:eastAsia="Calibri" w:hAnsi="Cambria" w:cs="Calibri"/>
        </w:rPr>
        <w:t>is</w:t>
      </w:r>
      <w:r w:rsidRPr="009A0DA6">
        <w:rPr>
          <w:rFonts w:ascii="Cambria" w:eastAsia="Calibri" w:hAnsi="Cambria" w:cs="Calibri"/>
          <w:spacing w:val="5"/>
        </w:rPr>
        <w:t xml:space="preserve"> </w:t>
      </w:r>
      <w:r w:rsidRPr="009A0DA6">
        <w:rPr>
          <w:rFonts w:ascii="Cambria" w:eastAsia="Calibri" w:hAnsi="Cambria" w:cs="Calibri"/>
        </w:rPr>
        <w:t>t</w:t>
      </w:r>
      <w:r w:rsidRPr="009A0DA6">
        <w:rPr>
          <w:rFonts w:ascii="Cambria" w:eastAsia="Calibri" w:hAnsi="Cambria" w:cs="Calibri"/>
          <w:spacing w:val="1"/>
        </w:rPr>
        <w:t>h</w:t>
      </w:r>
      <w:r w:rsidRPr="009A0DA6">
        <w:rPr>
          <w:rFonts w:ascii="Cambria" w:eastAsia="Calibri" w:hAnsi="Cambria" w:cs="Calibri"/>
        </w:rPr>
        <w:t>at</w:t>
      </w:r>
      <w:r w:rsidRPr="009A0DA6">
        <w:rPr>
          <w:rFonts w:ascii="Cambria" w:eastAsia="Calibri" w:hAnsi="Cambria" w:cs="Calibri"/>
          <w:spacing w:val="5"/>
        </w:rPr>
        <w:t xml:space="preserve"> </w:t>
      </w:r>
      <w:r w:rsidRPr="009A0DA6">
        <w:rPr>
          <w:rFonts w:ascii="Cambria" w:eastAsia="Calibri" w:hAnsi="Cambria" w:cs="Calibri"/>
        </w:rPr>
        <w:t>P</w:t>
      </w:r>
      <w:r w:rsidRPr="009A0DA6">
        <w:rPr>
          <w:rFonts w:ascii="Cambria" w:eastAsia="Calibri" w:hAnsi="Cambria" w:cs="Calibri"/>
          <w:spacing w:val="1"/>
        </w:rPr>
        <w:t>au</w:t>
      </w:r>
      <w:r w:rsidRPr="009A0DA6">
        <w:rPr>
          <w:rFonts w:ascii="Cambria" w:eastAsia="Calibri" w:hAnsi="Cambria" w:cs="Calibri"/>
        </w:rPr>
        <w:t>l</w:t>
      </w:r>
      <w:r w:rsidRPr="009A0DA6">
        <w:rPr>
          <w:rFonts w:ascii="Cambria" w:eastAsia="Calibri" w:hAnsi="Cambria" w:cs="Calibri"/>
          <w:spacing w:val="3"/>
        </w:rPr>
        <w:t xml:space="preserve"> </w:t>
      </w:r>
      <w:r w:rsidRPr="009A0DA6">
        <w:rPr>
          <w:rFonts w:ascii="Cambria" w:eastAsia="Calibri" w:hAnsi="Cambria" w:cs="Calibri"/>
          <w:spacing w:val="1"/>
        </w:rPr>
        <w:t>p</w:t>
      </w:r>
      <w:r w:rsidRPr="009A0DA6">
        <w:rPr>
          <w:rFonts w:ascii="Cambria" w:eastAsia="Calibri" w:hAnsi="Cambria" w:cs="Calibri"/>
        </w:rPr>
        <w:t>r</w:t>
      </w:r>
      <w:r w:rsidRPr="009A0DA6">
        <w:rPr>
          <w:rFonts w:ascii="Cambria" w:eastAsia="Calibri" w:hAnsi="Cambria" w:cs="Calibri"/>
          <w:spacing w:val="-1"/>
        </w:rPr>
        <w:t>eve</w:t>
      </w:r>
      <w:r w:rsidRPr="009A0DA6">
        <w:rPr>
          <w:rFonts w:ascii="Cambria" w:eastAsia="Calibri" w:hAnsi="Cambria" w:cs="Calibri"/>
          <w:spacing w:val="1"/>
        </w:rPr>
        <w:t>n</w:t>
      </w:r>
      <w:r w:rsidRPr="009A0DA6">
        <w:rPr>
          <w:rFonts w:ascii="Cambria" w:eastAsia="Calibri" w:hAnsi="Cambria" w:cs="Calibri"/>
        </w:rPr>
        <w:t xml:space="preserve">ted </w:t>
      </w:r>
      <w:r w:rsidRPr="009A0DA6">
        <w:rPr>
          <w:rFonts w:ascii="Cambria" w:eastAsia="Calibri" w:hAnsi="Cambria" w:cs="Calibri"/>
          <w:spacing w:val="-1"/>
        </w:rPr>
        <w:t>w</w:t>
      </w:r>
      <w:r w:rsidRPr="009A0DA6">
        <w:rPr>
          <w:rFonts w:ascii="Cambria" w:eastAsia="Calibri" w:hAnsi="Cambria" w:cs="Calibri"/>
          <w:spacing w:val="3"/>
        </w:rPr>
        <w:t>o</w:t>
      </w:r>
      <w:r w:rsidRPr="009A0DA6">
        <w:rPr>
          <w:rFonts w:ascii="Cambria" w:eastAsia="Calibri" w:hAnsi="Cambria" w:cs="Calibri"/>
          <w:spacing w:val="-1"/>
        </w:rPr>
        <w:t>me</w:t>
      </w:r>
      <w:r w:rsidRPr="009A0DA6">
        <w:rPr>
          <w:rFonts w:ascii="Cambria" w:eastAsia="Calibri" w:hAnsi="Cambria" w:cs="Calibri"/>
        </w:rPr>
        <w:t>n</w:t>
      </w:r>
      <w:r w:rsidRPr="009A0DA6">
        <w:rPr>
          <w:rFonts w:ascii="Cambria" w:eastAsia="Calibri" w:hAnsi="Cambria" w:cs="Calibri"/>
          <w:spacing w:val="2"/>
        </w:rPr>
        <w:t xml:space="preserve"> </w:t>
      </w:r>
      <w:r w:rsidRPr="009A0DA6">
        <w:rPr>
          <w:rFonts w:ascii="Cambria" w:eastAsia="Calibri" w:hAnsi="Cambria" w:cs="Calibri"/>
          <w:spacing w:val="-1"/>
        </w:rPr>
        <w:t>f</w:t>
      </w:r>
      <w:r w:rsidRPr="009A0DA6">
        <w:rPr>
          <w:rFonts w:ascii="Cambria" w:eastAsia="Calibri" w:hAnsi="Cambria" w:cs="Calibri"/>
        </w:rPr>
        <w:t>r</w:t>
      </w:r>
      <w:r w:rsidRPr="009A0DA6">
        <w:rPr>
          <w:rFonts w:ascii="Cambria" w:eastAsia="Calibri" w:hAnsi="Cambria" w:cs="Calibri"/>
          <w:spacing w:val="1"/>
        </w:rPr>
        <w:t>o</w:t>
      </w:r>
      <w:r w:rsidRPr="009A0DA6">
        <w:rPr>
          <w:rFonts w:ascii="Cambria" w:eastAsia="Calibri" w:hAnsi="Cambria" w:cs="Calibri"/>
        </w:rPr>
        <w:t>m</w:t>
      </w:r>
      <w:r w:rsidRPr="009A0DA6">
        <w:rPr>
          <w:rFonts w:ascii="Cambria" w:eastAsia="Calibri" w:hAnsi="Cambria" w:cs="Calibri"/>
          <w:spacing w:val="3"/>
        </w:rPr>
        <w:t xml:space="preserve"> </w:t>
      </w:r>
      <w:r w:rsidRPr="009A0DA6">
        <w:rPr>
          <w:rFonts w:ascii="Cambria" w:eastAsia="Calibri" w:hAnsi="Cambria" w:cs="Calibri"/>
        </w:rPr>
        <w:t>teac</w:t>
      </w:r>
      <w:r w:rsidRPr="009A0DA6">
        <w:rPr>
          <w:rFonts w:ascii="Cambria" w:eastAsia="Calibri" w:hAnsi="Cambria" w:cs="Calibri"/>
          <w:spacing w:val="1"/>
        </w:rPr>
        <w:t>h</w:t>
      </w:r>
      <w:r w:rsidRPr="009A0DA6">
        <w:rPr>
          <w:rFonts w:ascii="Cambria" w:eastAsia="Calibri" w:hAnsi="Cambria" w:cs="Calibri"/>
        </w:rPr>
        <w:t>i</w:t>
      </w:r>
      <w:r w:rsidRPr="009A0DA6">
        <w:rPr>
          <w:rFonts w:ascii="Cambria" w:eastAsia="Calibri" w:hAnsi="Cambria" w:cs="Calibri"/>
          <w:spacing w:val="1"/>
        </w:rPr>
        <w:t>n</w:t>
      </w:r>
      <w:r w:rsidRPr="009A0DA6">
        <w:rPr>
          <w:rFonts w:ascii="Cambria" w:eastAsia="Calibri" w:hAnsi="Cambria" w:cs="Calibri"/>
        </w:rPr>
        <w:t>g</w:t>
      </w:r>
      <w:r w:rsidRPr="009A0DA6">
        <w:rPr>
          <w:rFonts w:ascii="Cambria" w:eastAsia="Calibri" w:hAnsi="Cambria" w:cs="Calibri"/>
          <w:spacing w:val="2"/>
        </w:rPr>
        <w:t xml:space="preserve"> </w:t>
      </w:r>
      <w:r w:rsidRPr="009A0DA6">
        <w:rPr>
          <w:rFonts w:ascii="Cambria" w:eastAsia="Calibri" w:hAnsi="Cambria" w:cs="Calibri"/>
        </w:rPr>
        <w:t>in</w:t>
      </w:r>
      <w:r w:rsidRPr="009A0DA6">
        <w:rPr>
          <w:rFonts w:ascii="Cambria" w:eastAsia="Calibri" w:hAnsi="Cambria" w:cs="Calibri"/>
          <w:spacing w:val="6"/>
        </w:rPr>
        <w:t xml:space="preserve"> </w:t>
      </w:r>
      <w:r w:rsidRPr="009A0DA6">
        <w:rPr>
          <w:rFonts w:ascii="Cambria" w:eastAsia="Calibri" w:hAnsi="Cambria" w:cs="Calibri"/>
        </w:rPr>
        <w:t>Cori</w:t>
      </w:r>
      <w:r w:rsidRPr="009A0DA6">
        <w:rPr>
          <w:rFonts w:ascii="Cambria" w:eastAsia="Calibri" w:hAnsi="Cambria" w:cs="Calibri"/>
          <w:spacing w:val="1"/>
        </w:rPr>
        <w:t>n</w:t>
      </w:r>
      <w:r w:rsidRPr="009A0DA6">
        <w:rPr>
          <w:rFonts w:ascii="Cambria" w:eastAsia="Calibri" w:hAnsi="Cambria" w:cs="Calibri"/>
        </w:rPr>
        <w:t>th a</w:t>
      </w:r>
      <w:r w:rsidRPr="009A0DA6">
        <w:rPr>
          <w:rFonts w:ascii="Cambria" w:eastAsia="Calibri" w:hAnsi="Cambria" w:cs="Calibri"/>
          <w:spacing w:val="1"/>
        </w:rPr>
        <w:t>n</w:t>
      </w:r>
      <w:r w:rsidRPr="009A0DA6">
        <w:rPr>
          <w:rFonts w:ascii="Cambria" w:eastAsia="Calibri" w:hAnsi="Cambria" w:cs="Calibri"/>
        </w:rPr>
        <w:t>d</w:t>
      </w:r>
      <w:r w:rsidRPr="009A0DA6">
        <w:rPr>
          <w:rFonts w:ascii="Cambria" w:eastAsia="Calibri" w:hAnsi="Cambria" w:cs="Calibri"/>
          <w:spacing w:val="3"/>
        </w:rPr>
        <w:t xml:space="preserve"> </w:t>
      </w:r>
      <w:r w:rsidRPr="009A0DA6">
        <w:rPr>
          <w:rFonts w:ascii="Cambria" w:eastAsia="Calibri" w:hAnsi="Cambria" w:cs="Calibri"/>
          <w:spacing w:val="1"/>
        </w:rPr>
        <w:t>Eph</w:t>
      </w:r>
      <w:r w:rsidRPr="009A0DA6">
        <w:rPr>
          <w:rFonts w:ascii="Cambria" w:eastAsia="Calibri" w:hAnsi="Cambria" w:cs="Calibri"/>
          <w:spacing w:val="-1"/>
        </w:rPr>
        <w:t>es</w:t>
      </w:r>
      <w:r w:rsidRPr="009A0DA6">
        <w:rPr>
          <w:rFonts w:ascii="Cambria" w:eastAsia="Calibri" w:hAnsi="Cambria" w:cs="Calibri"/>
          <w:spacing w:val="1"/>
        </w:rPr>
        <w:t>u</w:t>
      </w:r>
      <w:r w:rsidRPr="009A0DA6">
        <w:rPr>
          <w:rFonts w:ascii="Cambria" w:eastAsia="Calibri" w:hAnsi="Cambria" w:cs="Calibri"/>
        </w:rPr>
        <w:t>s</w:t>
      </w:r>
      <w:r w:rsidRPr="009A0DA6">
        <w:rPr>
          <w:rFonts w:ascii="Cambria" w:eastAsia="Calibri" w:hAnsi="Cambria" w:cs="Calibri"/>
          <w:spacing w:val="11"/>
        </w:rPr>
        <w:t xml:space="preserve"> </w:t>
      </w:r>
      <w:r w:rsidRPr="009A0DA6">
        <w:rPr>
          <w:rFonts w:ascii="Cambria" w:eastAsia="Calibri" w:hAnsi="Cambria" w:cs="Calibri"/>
        </w:rPr>
        <w:t>o</w:t>
      </w:r>
      <w:r w:rsidRPr="009A0DA6">
        <w:rPr>
          <w:rFonts w:ascii="Cambria" w:eastAsia="Calibri" w:hAnsi="Cambria" w:cs="Calibri"/>
          <w:spacing w:val="1"/>
        </w:rPr>
        <w:t>u</w:t>
      </w:r>
      <w:r w:rsidRPr="009A0DA6">
        <w:rPr>
          <w:rFonts w:ascii="Cambria" w:eastAsia="Calibri" w:hAnsi="Cambria" w:cs="Calibri"/>
        </w:rPr>
        <w:t>t</w:t>
      </w:r>
      <w:r w:rsidRPr="009A0DA6">
        <w:rPr>
          <w:rFonts w:ascii="Cambria" w:eastAsia="Calibri" w:hAnsi="Cambria" w:cs="Calibri"/>
          <w:spacing w:val="6"/>
        </w:rPr>
        <w:t xml:space="preserve"> </w:t>
      </w:r>
      <w:r w:rsidRPr="009A0DA6">
        <w:rPr>
          <w:rFonts w:ascii="Cambria" w:eastAsia="Calibri" w:hAnsi="Cambria" w:cs="Calibri"/>
          <w:spacing w:val="-2"/>
        </w:rPr>
        <w:t>o</w:t>
      </w:r>
      <w:r w:rsidRPr="009A0DA6">
        <w:rPr>
          <w:rFonts w:ascii="Cambria" w:eastAsia="Calibri" w:hAnsi="Cambria" w:cs="Calibri"/>
        </w:rPr>
        <w:t>f c</w:t>
      </w:r>
      <w:r w:rsidRPr="009A0DA6">
        <w:rPr>
          <w:rFonts w:ascii="Cambria" w:eastAsia="Calibri" w:hAnsi="Cambria" w:cs="Calibri"/>
          <w:spacing w:val="1"/>
        </w:rPr>
        <w:t>u</w:t>
      </w:r>
      <w:r w:rsidRPr="009A0DA6">
        <w:rPr>
          <w:rFonts w:ascii="Cambria" w:eastAsia="Calibri" w:hAnsi="Cambria" w:cs="Calibri"/>
        </w:rPr>
        <w:t>lt</w:t>
      </w:r>
      <w:r w:rsidRPr="009A0DA6">
        <w:rPr>
          <w:rFonts w:ascii="Cambria" w:eastAsia="Calibri" w:hAnsi="Cambria" w:cs="Calibri"/>
          <w:spacing w:val="1"/>
        </w:rPr>
        <w:t>u</w:t>
      </w:r>
      <w:r w:rsidRPr="009A0DA6">
        <w:rPr>
          <w:rFonts w:ascii="Cambria" w:eastAsia="Calibri" w:hAnsi="Cambria" w:cs="Calibri"/>
        </w:rPr>
        <w:t>ral</w:t>
      </w:r>
      <w:r w:rsidRPr="009A0DA6">
        <w:rPr>
          <w:rFonts w:ascii="Cambria" w:eastAsia="Calibri" w:hAnsi="Cambria" w:cs="Calibri"/>
          <w:spacing w:val="-6"/>
        </w:rPr>
        <w:t xml:space="preserve"> </w:t>
      </w:r>
      <w:r w:rsidRPr="009A0DA6">
        <w:rPr>
          <w:rFonts w:ascii="Cambria" w:eastAsia="Calibri" w:hAnsi="Cambria" w:cs="Calibri"/>
          <w:spacing w:val="-1"/>
        </w:rPr>
        <w:t>se</w:t>
      </w:r>
      <w:r w:rsidRPr="009A0DA6">
        <w:rPr>
          <w:rFonts w:ascii="Cambria" w:eastAsia="Calibri" w:hAnsi="Cambria" w:cs="Calibri"/>
          <w:spacing w:val="1"/>
        </w:rPr>
        <w:t>ns</w:t>
      </w:r>
      <w:r w:rsidRPr="009A0DA6">
        <w:rPr>
          <w:rFonts w:ascii="Cambria" w:eastAsia="Calibri" w:hAnsi="Cambria" w:cs="Calibri"/>
        </w:rPr>
        <w:t>iti</w:t>
      </w:r>
      <w:r w:rsidRPr="009A0DA6">
        <w:rPr>
          <w:rFonts w:ascii="Cambria" w:eastAsia="Calibri" w:hAnsi="Cambria" w:cs="Calibri"/>
          <w:spacing w:val="-1"/>
        </w:rPr>
        <w:t>v</w:t>
      </w:r>
      <w:r w:rsidRPr="009A0DA6">
        <w:rPr>
          <w:rFonts w:ascii="Cambria" w:eastAsia="Calibri" w:hAnsi="Cambria" w:cs="Calibri"/>
        </w:rPr>
        <w:t>it</w:t>
      </w:r>
      <w:r w:rsidRPr="009A0DA6">
        <w:rPr>
          <w:rFonts w:ascii="Cambria" w:eastAsia="Calibri" w:hAnsi="Cambria" w:cs="Calibri"/>
          <w:spacing w:val="1"/>
        </w:rPr>
        <w:t>y</w:t>
      </w:r>
      <w:r w:rsidRPr="009A0DA6">
        <w:rPr>
          <w:rFonts w:ascii="Cambria" w:eastAsia="Calibri" w:hAnsi="Cambria" w:cs="Calibri"/>
        </w:rPr>
        <w:t>.</w:t>
      </w:r>
      <w:r w:rsidRPr="009A0DA6">
        <w:rPr>
          <w:rFonts w:ascii="Cambria" w:eastAsia="Calibri" w:hAnsi="Cambria" w:cs="Calibri"/>
          <w:spacing w:val="-9"/>
        </w:rPr>
        <w:t xml:space="preserve"> </w:t>
      </w:r>
      <w:r w:rsidRPr="009A0DA6">
        <w:rPr>
          <w:rFonts w:ascii="Cambria" w:eastAsia="Calibri" w:hAnsi="Cambria" w:cs="Calibri"/>
        </w:rPr>
        <w:t>It</w:t>
      </w:r>
      <w:r w:rsidRPr="009A0DA6">
        <w:rPr>
          <w:rFonts w:ascii="Cambria" w:eastAsia="Calibri" w:hAnsi="Cambria" w:cs="Calibri"/>
          <w:spacing w:val="2"/>
        </w:rPr>
        <w:t xml:space="preserve"> </w:t>
      </w:r>
      <w:r w:rsidRPr="009A0DA6">
        <w:rPr>
          <w:rFonts w:ascii="Cambria" w:eastAsia="Calibri" w:hAnsi="Cambria" w:cs="Calibri"/>
          <w:spacing w:val="-1"/>
        </w:rPr>
        <w:t>s</w:t>
      </w:r>
      <w:r w:rsidRPr="009A0DA6">
        <w:rPr>
          <w:rFonts w:ascii="Cambria" w:eastAsia="Calibri" w:hAnsi="Cambria" w:cs="Calibri"/>
          <w:spacing w:val="1"/>
        </w:rPr>
        <w:t>u</w:t>
      </w:r>
      <w:r w:rsidRPr="009A0DA6">
        <w:rPr>
          <w:rFonts w:ascii="Cambria" w:eastAsia="Calibri" w:hAnsi="Cambria" w:cs="Calibri"/>
        </w:rPr>
        <w:t>gg</w:t>
      </w:r>
      <w:r w:rsidRPr="009A0DA6">
        <w:rPr>
          <w:rFonts w:ascii="Cambria" w:eastAsia="Calibri" w:hAnsi="Cambria" w:cs="Calibri"/>
          <w:spacing w:val="1"/>
        </w:rPr>
        <w:t>e</w:t>
      </w:r>
      <w:r w:rsidRPr="009A0DA6">
        <w:rPr>
          <w:rFonts w:ascii="Cambria" w:eastAsia="Calibri" w:hAnsi="Cambria" w:cs="Calibri"/>
          <w:spacing w:val="-1"/>
        </w:rPr>
        <w:t>s</w:t>
      </w:r>
      <w:r w:rsidRPr="009A0DA6">
        <w:rPr>
          <w:rFonts w:ascii="Cambria" w:eastAsia="Calibri" w:hAnsi="Cambria" w:cs="Calibri"/>
        </w:rPr>
        <w:t>ts</w:t>
      </w:r>
      <w:r w:rsidRPr="009A0DA6">
        <w:rPr>
          <w:rFonts w:ascii="Cambria" w:eastAsia="Calibri" w:hAnsi="Cambria" w:cs="Calibri"/>
          <w:spacing w:val="-2"/>
        </w:rPr>
        <w:t xml:space="preserve"> </w:t>
      </w:r>
      <w:r w:rsidRPr="009A0DA6">
        <w:rPr>
          <w:rFonts w:ascii="Cambria" w:eastAsia="Calibri" w:hAnsi="Cambria" w:cs="Calibri"/>
        </w:rPr>
        <w:t>t</w:t>
      </w:r>
      <w:r w:rsidRPr="009A0DA6">
        <w:rPr>
          <w:rFonts w:ascii="Cambria" w:eastAsia="Calibri" w:hAnsi="Cambria" w:cs="Calibri"/>
          <w:spacing w:val="1"/>
        </w:rPr>
        <w:t>h</w:t>
      </w:r>
      <w:r w:rsidRPr="009A0DA6">
        <w:rPr>
          <w:rFonts w:ascii="Cambria" w:eastAsia="Calibri" w:hAnsi="Cambria" w:cs="Calibri"/>
        </w:rPr>
        <w:t>at</w:t>
      </w:r>
      <w:r w:rsidRPr="009A0DA6">
        <w:rPr>
          <w:rFonts w:ascii="Cambria" w:eastAsia="Calibri" w:hAnsi="Cambria" w:cs="Calibri"/>
          <w:spacing w:val="-2"/>
        </w:rPr>
        <w:t xml:space="preserve"> </w:t>
      </w:r>
      <w:r w:rsidRPr="009A0DA6">
        <w:rPr>
          <w:rFonts w:ascii="Cambria" w:eastAsia="Calibri" w:hAnsi="Cambria" w:cs="Calibri"/>
        </w:rPr>
        <w:t>for</w:t>
      </w:r>
      <w:r w:rsidRPr="009A0DA6">
        <w:rPr>
          <w:rFonts w:ascii="Cambria" w:eastAsia="Calibri" w:hAnsi="Cambria" w:cs="Calibri"/>
          <w:spacing w:val="-1"/>
        </w:rPr>
        <w:t xml:space="preserve"> w</w:t>
      </w:r>
      <w:r w:rsidRPr="009A0DA6">
        <w:rPr>
          <w:rFonts w:ascii="Cambria" w:eastAsia="Calibri" w:hAnsi="Cambria" w:cs="Calibri"/>
        </w:rPr>
        <w:t>o</w:t>
      </w:r>
      <w:r w:rsidRPr="009A0DA6">
        <w:rPr>
          <w:rFonts w:ascii="Cambria" w:eastAsia="Calibri" w:hAnsi="Cambria" w:cs="Calibri"/>
          <w:spacing w:val="1"/>
        </w:rPr>
        <w:t>m</w:t>
      </w:r>
      <w:r w:rsidRPr="009A0DA6">
        <w:rPr>
          <w:rFonts w:ascii="Cambria" w:eastAsia="Calibri" w:hAnsi="Cambria" w:cs="Calibri"/>
          <w:spacing w:val="-1"/>
        </w:rPr>
        <w:t>e</w:t>
      </w:r>
      <w:r w:rsidRPr="009A0DA6">
        <w:rPr>
          <w:rFonts w:ascii="Cambria" w:eastAsia="Calibri" w:hAnsi="Cambria" w:cs="Calibri"/>
        </w:rPr>
        <w:t>n</w:t>
      </w:r>
      <w:r w:rsidRPr="009A0DA6">
        <w:rPr>
          <w:rFonts w:ascii="Cambria" w:eastAsia="Calibri" w:hAnsi="Cambria" w:cs="Calibri"/>
          <w:spacing w:val="-5"/>
        </w:rPr>
        <w:t xml:space="preserve"> </w:t>
      </w:r>
      <w:r w:rsidRPr="009A0DA6">
        <w:rPr>
          <w:rFonts w:ascii="Cambria" w:eastAsia="Calibri" w:hAnsi="Cambria" w:cs="Calibri"/>
          <w:spacing w:val="1"/>
        </w:rPr>
        <w:t>t</w:t>
      </w:r>
      <w:r w:rsidRPr="009A0DA6">
        <w:rPr>
          <w:rFonts w:ascii="Cambria" w:eastAsia="Calibri" w:hAnsi="Cambria" w:cs="Calibri"/>
        </w:rPr>
        <w:t>o</w:t>
      </w:r>
      <w:r w:rsidRPr="009A0DA6">
        <w:rPr>
          <w:rFonts w:ascii="Cambria" w:eastAsia="Calibri" w:hAnsi="Cambria" w:cs="Calibri"/>
          <w:spacing w:val="1"/>
        </w:rPr>
        <w:t xml:space="preserve"> h</w:t>
      </w:r>
      <w:r w:rsidRPr="009A0DA6">
        <w:rPr>
          <w:rFonts w:ascii="Cambria" w:eastAsia="Calibri" w:hAnsi="Cambria" w:cs="Calibri"/>
        </w:rPr>
        <w:t>a</w:t>
      </w:r>
      <w:r w:rsidRPr="009A0DA6">
        <w:rPr>
          <w:rFonts w:ascii="Cambria" w:eastAsia="Calibri" w:hAnsi="Cambria" w:cs="Calibri"/>
          <w:spacing w:val="-1"/>
        </w:rPr>
        <w:t>v</w:t>
      </w:r>
      <w:r w:rsidRPr="009A0DA6">
        <w:rPr>
          <w:rFonts w:ascii="Cambria" w:eastAsia="Calibri" w:hAnsi="Cambria" w:cs="Calibri"/>
        </w:rPr>
        <w:t>e</w:t>
      </w:r>
      <w:r w:rsidRPr="009A0DA6">
        <w:rPr>
          <w:rFonts w:ascii="Cambria" w:eastAsia="Calibri" w:hAnsi="Cambria" w:cs="Calibri"/>
          <w:spacing w:val="-4"/>
        </w:rPr>
        <w:t xml:space="preserve"> </w:t>
      </w:r>
      <w:r w:rsidRPr="009A0DA6">
        <w:rPr>
          <w:rFonts w:ascii="Cambria" w:eastAsia="Calibri" w:hAnsi="Cambria" w:cs="Calibri"/>
        </w:rPr>
        <w:t>tak</w:t>
      </w:r>
      <w:r w:rsidRPr="009A0DA6">
        <w:rPr>
          <w:rFonts w:ascii="Cambria" w:eastAsia="Calibri" w:hAnsi="Cambria" w:cs="Calibri"/>
          <w:spacing w:val="2"/>
        </w:rPr>
        <w:t>e</w:t>
      </w:r>
      <w:r w:rsidRPr="009A0DA6">
        <w:rPr>
          <w:rFonts w:ascii="Cambria" w:eastAsia="Calibri" w:hAnsi="Cambria" w:cs="Calibri"/>
        </w:rPr>
        <w:t>n</w:t>
      </w:r>
      <w:r w:rsidRPr="009A0DA6">
        <w:rPr>
          <w:rFonts w:ascii="Cambria" w:eastAsia="Calibri" w:hAnsi="Cambria" w:cs="Calibri"/>
          <w:spacing w:val="-4"/>
        </w:rPr>
        <w:t xml:space="preserve"> </w:t>
      </w:r>
      <w:r w:rsidRPr="009A0DA6">
        <w:rPr>
          <w:rFonts w:ascii="Cambria" w:eastAsia="Calibri" w:hAnsi="Cambria" w:cs="Calibri"/>
        </w:rPr>
        <w:t xml:space="preserve">a </w:t>
      </w:r>
      <w:r w:rsidRPr="009A0DA6">
        <w:rPr>
          <w:rFonts w:ascii="Cambria" w:eastAsia="Calibri" w:hAnsi="Cambria" w:cs="Calibri"/>
          <w:spacing w:val="1"/>
        </w:rPr>
        <w:t>p</w:t>
      </w:r>
      <w:r w:rsidRPr="009A0DA6">
        <w:rPr>
          <w:rFonts w:ascii="Cambria" w:eastAsia="Calibri" w:hAnsi="Cambria" w:cs="Calibri"/>
        </w:rPr>
        <w:t>r</w:t>
      </w:r>
      <w:r w:rsidRPr="009A0DA6">
        <w:rPr>
          <w:rFonts w:ascii="Cambria" w:eastAsia="Calibri" w:hAnsi="Cambria" w:cs="Calibri"/>
          <w:spacing w:val="1"/>
        </w:rPr>
        <w:t>o</w:t>
      </w:r>
      <w:r w:rsidRPr="009A0DA6">
        <w:rPr>
          <w:rFonts w:ascii="Cambria" w:eastAsia="Calibri" w:hAnsi="Cambria" w:cs="Calibri"/>
          <w:spacing w:val="-1"/>
        </w:rPr>
        <w:t>m</w:t>
      </w:r>
      <w:r w:rsidRPr="009A0DA6">
        <w:rPr>
          <w:rFonts w:ascii="Cambria" w:eastAsia="Calibri" w:hAnsi="Cambria" w:cs="Calibri"/>
        </w:rPr>
        <w:t>i</w:t>
      </w:r>
      <w:r w:rsidRPr="009A0DA6">
        <w:rPr>
          <w:rFonts w:ascii="Cambria" w:eastAsia="Calibri" w:hAnsi="Cambria" w:cs="Calibri"/>
          <w:spacing w:val="1"/>
        </w:rPr>
        <w:t>n</w:t>
      </w:r>
      <w:r w:rsidRPr="009A0DA6">
        <w:rPr>
          <w:rFonts w:ascii="Cambria" w:eastAsia="Calibri" w:hAnsi="Cambria" w:cs="Calibri"/>
          <w:spacing w:val="-1"/>
        </w:rPr>
        <w:t>e</w:t>
      </w:r>
      <w:r w:rsidRPr="009A0DA6">
        <w:rPr>
          <w:rFonts w:ascii="Cambria" w:eastAsia="Calibri" w:hAnsi="Cambria" w:cs="Calibri"/>
          <w:spacing w:val="1"/>
        </w:rPr>
        <w:t>n</w:t>
      </w:r>
      <w:r w:rsidRPr="009A0DA6">
        <w:rPr>
          <w:rFonts w:ascii="Cambria" w:eastAsia="Calibri" w:hAnsi="Cambria" w:cs="Calibri"/>
        </w:rPr>
        <w:t>t</w:t>
      </w:r>
      <w:r w:rsidRPr="009A0DA6">
        <w:rPr>
          <w:rFonts w:ascii="Cambria" w:eastAsia="Calibri" w:hAnsi="Cambria" w:cs="Calibri"/>
          <w:spacing w:val="-8"/>
        </w:rPr>
        <w:t xml:space="preserve"> </w:t>
      </w:r>
      <w:r w:rsidRPr="009A0DA6">
        <w:rPr>
          <w:rFonts w:ascii="Cambria" w:eastAsia="Calibri" w:hAnsi="Cambria" w:cs="Calibri"/>
        </w:rPr>
        <w:t>l</w:t>
      </w:r>
      <w:r w:rsidRPr="009A0DA6">
        <w:rPr>
          <w:rFonts w:ascii="Cambria" w:eastAsia="Calibri" w:hAnsi="Cambria" w:cs="Calibri"/>
          <w:spacing w:val="-1"/>
        </w:rPr>
        <w:t>e</w:t>
      </w:r>
      <w:r w:rsidRPr="009A0DA6">
        <w:rPr>
          <w:rFonts w:ascii="Cambria" w:eastAsia="Calibri" w:hAnsi="Cambria" w:cs="Calibri"/>
        </w:rPr>
        <w:t>ad</w:t>
      </w:r>
      <w:r w:rsidRPr="009A0DA6">
        <w:rPr>
          <w:rFonts w:ascii="Cambria" w:eastAsia="Calibri" w:hAnsi="Cambria" w:cs="Calibri"/>
          <w:spacing w:val="-2"/>
        </w:rPr>
        <w:t xml:space="preserve"> </w:t>
      </w:r>
      <w:r w:rsidRPr="009A0DA6">
        <w:rPr>
          <w:rFonts w:ascii="Cambria" w:eastAsia="Calibri" w:hAnsi="Cambria" w:cs="Calibri"/>
        </w:rPr>
        <w:t>in</w:t>
      </w:r>
      <w:r w:rsidRPr="009A0DA6">
        <w:rPr>
          <w:rFonts w:ascii="Cambria" w:eastAsia="Calibri" w:hAnsi="Cambria" w:cs="Calibri"/>
          <w:spacing w:val="-1"/>
        </w:rPr>
        <w:t xml:space="preserve"> </w:t>
      </w:r>
      <w:r w:rsidRPr="009A0DA6">
        <w:rPr>
          <w:rFonts w:ascii="Cambria" w:eastAsia="Calibri" w:hAnsi="Cambria" w:cs="Calibri"/>
          <w:spacing w:val="1"/>
        </w:rPr>
        <w:t>pub</w:t>
      </w:r>
      <w:r w:rsidRPr="009A0DA6">
        <w:rPr>
          <w:rFonts w:ascii="Cambria" w:eastAsia="Calibri" w:hAnsi="Cambria" w:cs="Calibri"/>
        </w:rPr>
        <w:t>lic</w:t>
      </w:r>
      <w:r w:rsidRPr="009A0DA6">
        <w:rPr>
          <w:rFonts w:ascii="Cambria" w:eastAsia="Calibri" w:hAnsi="Cambria" w:cs="Calibri"/>
          <w:spacing w:val="-6"/>
        </w:rPr>
        <w:t xml:space="preserve"> </w:t>
      </w:r>
      <w:r w:rsidRPr="009A0DA6">
        <w:rPr>
          <w:rFonts w:ascii="Cambria" w:eastAsia="Calibri" w:hAnsi="Cambria" w:cs="Calibri"/>
        </w:rPr>
        <w:t>wo</w:t>
      </w:r>
      <w:r w:rsidRPr="009A0DA6">
        <w:rPr>
          <w:rFonts w:ascii="Cambria" w:eastAsia="Calibri" w:hAnsi="Cambria" w:cs="Calibri"/>
          <w:spacing w:val="1"/>
        </w:rPr>
        <w:t>u</w:t>
      </w:r>
      <w:r w:rsidRPr="009A0DA6">
        <w:rPr>
          <w:rFonts w:ascii="Cambria" w:eastAsia="Calibri" w:hAnsi="Cambria" w:cs="Calibri"/>
        </w:rPr>
        <w:t>ld</w:t>
      </w:r>
      <w:r w:rsidRPr="009A0DA6">
        <w:rPr>
          <w:rFonts w:ascii="Cambria" w:eastAsia="Calibri" w:hAnsi="Cambria" w:cs="Calibri"/>
          <w:spacing w:val="-5"/>
        </w:rPr>
        <w:t xml:space="preserve"> </w:t>
      </w:r>
      <w:r w:rsidRPr="009A0DA6">
        <w:rPr>
          <w:rFonts w:ascii="Cambria" w:eastAsia="Calibri" w:hAnsi="Cambria" w:cs="Calibri"/>
          <w:spacing w:val="5"/>
        </w:rPr>
        <w:t>h</w:t>
      </w:r>
      <w:r w:rsidRPr="009A0DA6">
        <w:rPr>
          <w:rFonts w:ascii="Cambria" w:eastAsia="Calibri" w:hAnsi="Cambria" w:cs="Calibri"/>
        </w:rPr>
        <w:t>a</w:t>
      </w:r>
      <w:r w:rsidRPr="009A0DA6">
        <w:rPr>
          <w:rFonts w:ascii="Cambria" w:eastAsia="Calibri" w:hAnsi="Cambria" w:cs="Calibri"/>
          <w:spacing w:val="-1"/>
        </w:rPr>
        <w:t>v</w:t>
      </w:r>
      <w:r w:rsidRPr="009A0DA6">
        <w:rPr>
          <w:rFonts w:ascii="Cambria" w:eastAsia="Calibri" w:hAnsi="Cambria" w:cs="Calibri"/>
        </w:rPr>
        <w:t>e</w:t>
      </w:r>
      <w:r w:rsidRPr="009A0DA6">
        <w:rPr>
          <w:rFonts w:ascii="Cambria" w:eastAsia="Calibri" w:hAnsi="Cambria" w:cs="Calibri"/>
          <w:spacing w:val="-5"/>
        </w:rPr>
        <w:t xml:space="preserve"> </w:t>
      </w:r>
      <w:r w:rsidRPr="009A0DA6">
        <w:rPr>
          <w:rFonts w:ascii="Cambria" w:eastAsia="Calibri" w:hAnsi="Cambria" w:cs="Calibri"/>
          <w:spacing w:val="1"/>
        </w:rPr>
        <w:t>be</w:t>
      </w:r>
      <w:r w:rsidRPr="009A0DA6">
        <w:rPr>
          <w:rFonts w:ascii="Cambria" w:eastAsia="Calibri" w:hAnsi="Cambria" w:cs="Calibri"/>
          <w:spacing w:val="-1"/>
        </w:rPr>
        <w:t>e</w:t>
      </w:r>
      <w:r w:rsidRPr="009A0DA6">
        <w:rPr>
          <w:rFonts w:ascii="Cambria" w:eastAsia="Calibri" w:hAnsi="Cambria" w:cs="Calibri"/>
        </w:rPr>
        <w:t>n</w:t>
      </w:r>
      <w:r w:rsidRPr="009A0DA6">
        <w:rPr>
          <w:rFonts w:ascii="Cambria" w:eastAsia="Calibri" w:hAnsi="Cambria" w:cs="Calibri"/>
          <w:spacing w:val="-3"/>
        </w:rPr>
        <w:t xml:space="preserve"> </w:t>
      </w:r>
      <w:r w:rsidRPr="009A0DA6">
        <w:rPr>
          <w:rFonts w:ascii="Cambria" w:eastAsia="Calibri" w:hAnsi="Cambria" w:cs="Calibri"/>
        </w:rPr>
        <w:t>so</w:t>
      </w:r>
      <w:r w:rsidRPr="009A0DA6">
        <w:rPr>
          <w:rFonts w:ascii="Cambria" w:eastAsia="Calibri" w:hAnsi="Cambria" w:cs="Calibri"/>
          <w:spacing w:val="-2"/>
        </w:rPr>
        <w:t xml:space="preserve"> </w:t>
      </w:r>
      <w:r w:rsidRPr="009A0DA6">
        <w:rPr>
          <w:rFonts w:ascii="Cambria" w:eastAsia="Calibri" w:hAnsi="Cambria" w:cs="Calibri"/>
          <w:spacing w:val="3"/>
        </w:rPr>
        <w:t>o</w:t>
      </w:r>
      <w:r w:rsidRPr="009A0DA6">
        <w:rPr>
          <w:rFonts w:ascii="Cambria" w:eastAsia="Calibri" w:hAnsi="Cambria" w:cs="Calibri"/>
          <w:spacing w:val="-1"/>
        </w:rPr>
        <w:t>ffe</w:t>
      </w:r>
      <w:r w:rsidRPr="009A0DA6">
        <w:rPr>
          <w:rFonts w:ascii="Cambria" w:eastAsia="Calibri" w:hAnsi="Cambria" w:cs="Calibri"/>
          <w:spacing w:val="3"/>
        </w:rPr>
        <w:t>n</w:t>
      </w:r>
      <w:r w:rsidRPr="009A0DA6">
        <w:rPr>
          <w:rFonts w:ascii="Cambria" w:eastAsia="Calibri" w:hAnsi="Cambria" w:cs="Calibri"/>
          <w:spacing w:val="-1"/>
        </w:rPr>
        <w:t>s</w:t>
      </w:r>
      <w:r w:rsidRPr="009A0DA6">
        <w:rPr>
          <w:rFonts w:ascii="Cambria" w:eastAsia="Calibri" w:hAnsi="Cambria" w:cs="Calibri"/>
          <w:spacing w:val="2"/>
        </w:rPr>
        <w:t>i</w:t>
      </w:r>
      <w:r w:rsidRPr="009A0DA6">
        <w:rPr>
          <w:rFonts w:ascii="Cambria" w:eastAsia="Calibri" w:hAnsi="Cambria" w:cs="Calibri"/>
          <w:spacing w:val="-1"/>
        </w:rPr>
        <w:t>v</w:t>
      </w:r>
      <w:r w:rsidRPr="009A0DA6">
        <w:rPr>
          <w:rFonts w:ascii="Cambria" w:eastAsia="Calibri" w:hAnsi="Cambria" w:cs="Calibri"/>
        </w:rPr>
        <w:t>e</w:t>
      </w:r>
      <w:r w:rsidRPr="009A0DA6">
        <w:rPr>
          <w:rFonts w:ascii="Cambria" w:eastAsia="Calibri" w:hAnsi="Cambria" w:cs="Calibri"/>
          <w:spacing w:val="-6"/>
        </w:rPr>
        <w:t xml:space="preserve"> </w:t>
      </w:r>
      <w:r w:rsidRPr="009A0DA6">
        <w:rPr>
          <w:rFonts w:ascii="Cambria" w:eastAsia="Calibri" w:hAnsi="Cambria" w:cs="Calibri"/>
        </w:rPr>
        <w:t xml:space="preserve">in </w:t>
      </w:r>
      <w:r w:rsidRPr="009A0DA6">
        <w:rPr>
          <w:rFonts w:ascii="Cambria" w:eastAsia="Calibri" w:hAnsi="Cambria" w:cs="Calibri"/>
          <w:spacing w:val="-1"/>
        </w:rPr>
        <w:t>f</w:t>
      </w:r>
      <w:r w:rsidRPr="009A0DA6">
        <w:rPr>
          <w:rFonts w:ascii="Cambria" w:eastAsia="Calibri" w:hAnsi="Cambria" w:cs="Calibri"/>
        </w:rPr>
        <w:t>ir</w:t>
      </w:r>
      <w:r w:rsidRPr="009A0DA6">
        <w:rPr>
          <w:rFonts w:ascii="Cambria" w:eastAsia="Calibri" w:hAnsi="Cambria" w:cs="Calibri"/>
          <w:spacing w:val="-1"/>
        </w:rPr>
        <w:t>s</w:t>
      </w:r>
      <w:r w:rsidRPr="009A0DA6">
        <w:rPr>
          <w:rFonts w:ascii="Cambria" w:eastAsia="Calibri" w:hAnsi="Cambria" w:cs="Calibri"/>
          <w:spacing w:val="3"/>
        </w:rPr>
        <w:t>t</w:t>
      </w:r>
      <w:r w:rsidRPr="009A0DA6">
        <w:rPr>
          <w:rFonts w:ascii="Cambria" w:eastAsia="Calibri" w:hAnsi="Cambria" w:cs="Calibri"/>
          <w:spacing w:val="-1"/>
        </w:rPr>
        <w:t>-</w:t>
      </w:r>
      <w:r w:rsidRPr="009A0DA6">
        <w:rPr>
          <w:rFonts w:ascii="Cambria" w:eastAsia="Calibri" w:hAnsi="Cambria" w:cs="Calibri"/>
        </w:rPr>
        <w:t>c</w:t>
      </w:r>
      <w:r w:rsidRPr="009A0DA6">
        <w:rPr>
          <w:rFonts w:ascii="Cambria" w:eastAsia="Calibri" w:hAnsi="Cambria" w:cs="Calibri"/>
          <w:spacing w:val="-1"/>
        </w:rPr>
        <w:t>e</w:t>
      </w:r>
      <w:r w:rsidRPr="009A0DA6">
        <w:rPr>
          <w:rFonts w:ascii="Cambria" w:eastAsia="Calibri" w:hAnsi="Cambria" w:cs="Calibri"/>
          <w:spacing w:val="1"/>
        </w:rPr>
        <w:t>n</w:t>
      </w:r>
      <w:r w:rsidRPr="009A0DA6">
        <w:rPr>
          <w:rFonts w:ascii="Cambria" w:eastAsia="Calibri" w:hAnsi="Cambria" w:cs="Calibri"/>
        </w:rPr>
        <w:t>t</w:t>
      </w:r>
      <w:r w:rsidRPr="009A0DA6">
        <w:rPr>
          <w:rFonts w:ascii="Cambria" w:eastAsia="Calibri" w:hAnsi="Cambria" w:cs="Calibri"/>
          <w:spacing w:val="1"/>
        </w:rPr>
        <w:t>u</w:t>
      </w:r>
      <w:r w:rsidRPr="009A0DA6">
        <w:rPr>
          <w:rFonts w:ascii="Cambria" w:eastAsia="Calibri" w:hAnsi="Cambria" w:cs="Calibri"/>
        </w:rPr>
        <w:t>ry</w:t>
      </w:r>
      <w:r w:rsidRPr="009A0DA6">
        <w:rPr>
          <w:rFonts w:ascii="Cambria" w:eastAsia="Calibri" w:hAnsi="Cambria" w:cs="Calibri"/>
          <w:spacing w:val="8"/>
        </w:rPr>
        <w:t xml:space="preserve"> </w:t>
      </w:r>
      <w:r w:rsidRPr="009A0DA6">
        <w:rPr>
          <w:rFonts w:ascii="Cambria" w:eastAsia="Calibri" w:hAnsi="Cambria" w:cs="Calibri"/>
          <w:spacing w:val="-1"/>
        </w:rPr>
        <w:t>J</w:t>
      </w:r>
      <w:r w:rsidRPr="009A0DA6">
        <w:rPr>
          <w:rFonts w:ascii="Cambria" w:eastAsia="Calibri" w:hAnsi="Cambria" w:cs="Calibri"/>
          <w:spacing w:val="1"/>
        </w:rPr>
        <w:t>e</w:t>
      </w:r>
      <w:r w:rsidRPr="009A0DA6">
        <w:rPr>
          <w:rFonts w:ascii="Cambria" w:eastAsia="Calibri" w:hAnsi="Cambria" w:cs="Calibri"/>
          <w:spacing w:val="-1"/>
        </w:rPr>
        <w:t>w</w:t>
      </w:r>
      <w:r w:rsidRPr="009A0DA6">
        <w:rPr>
          <w:rFonts w:ascii="Cambria" w:eastAsia="Calibri" w:hAnsi="Cambria" w:cs="Calibri"/>
          <w:spacing w:val="2"/>
        </w:rPr>
        <w:t>i</w:t>
      </w:r>
      <w:r w:rsidRPr="009A0DA6">
        <w:rPr>
          <w:rFonts w:ascii="Cambria" w:eastAsia="Calibri" w:hAnsi="Cambria" w:cs="Calibri"/>
          <w:spacing w:val="-1"/>
        </w:rPr>
        <w:t>s</w:t>
      </w:r>
      <w:r w:rsidRPr="009A0DA6">
        <w:rPr>
          <w:rFonts w:ascii="Cambria" w:eastAsia="Calibri" w:hAnsi="Cambria" w:cs="Calibri"/>
        </w:rPr>
        <w:t>h</w:t>
      </w:r>
      <w:r w:rsidRPr="009A0DA6">
        <w:rPr>
          <w:rFonts w:ascii="Cambria" w:eastAsia="Calibri" w:hAnsi="Cambria" w:cs="Calibri"/>
          <w:spacing w:val="13"/>
        </w:rPr>
        <w:t xml:space="preserve"> </w:t>
      </w:r>
      <w:r w:rsidRPr="009A0DA6">
        <w:rPr>
          <w:rFonts w:ascii="Cambria" w:eastAsia="Calibri" w:hAnsi="Cambria" w:cs="Calibri"/>
        </w:rPr>
        <w:t>c</w:t>
      </w:r>
      <w:r w:rsidRPr="009A0DA6">
        <w:rPr>
          <w:rFonts w:ascii="Cambria" w:eastAsia="Calibri" w:hAnsi="Cambria" w:cs="Calibri"/>
          <w:spacing w:val="1"/>
        </w:rPr>
        <w:t>u</w:t>
      </w:r>
      <w:r w:rsidRPr="009A0DA6">
        <w:rPr>
          <w:rFonts w:ascii="Cambria" w:eastAsia="Calibri" w:hAnsi="Cambria" w:cs="Calibri"/>
        </w:rPr>
        <w:t>lt</w:t>
      </w:r>
      <w:r w:rsidRPr="009A0DA6">
        <w:rPr>
          <w:rFonts w:ascii="Cambria" w:eastAsia="Calibri" w:hAnsi="Cambria" w:cs="Calibri"/>
          <w:spacing w:val="1"/>
        </w:rPr>
        <w:t>u</w:t>
      </w:r>
      <w:r w:rsidRPr="009A0DA6">
        <w:rPr>
          <w:rFonts w:ascii="Cambria" w:eastAsia="Calibri" w:hAnsi="Cambria" w:cs="Calibri"/>
        </w:rPr>
        <w:t>re</w:t>
      </w:r>
      <w:r w:rsidRPr="009A0DA6">
        <w:rPr>
          <w:rFonts w:ascii="Cambria" w:eastAsia="Calibri" w:hAnsi="Cambria" w:cs="Calibri"/>
          <w:spacing w:val="10"/>
        </w:rPr>
        <w:t xml:space="preserve"> </w:t>
      </w:r>
      <w:r w:rsidRPr="009A0DA6">
        <w:rPr>
          <w:rFonts w:ascii="Cambria" w:eastAsia="Calibri" w:hAnsi="Cambria" w:cs="Calibri"/>
        </w:rPr>
        <w:t>t</w:t>
      </w:r>
      <w:r w:rsidRPr="009A0DA6">
        <w:rPr>
          <w:rFonts w:ascii="Cambria" w:eastAsia="Calibri" w:hAnsi="Cambria" w:cs="Calibri"/>
          <w:spacing w:val="1"/>
        </w:rPr>
        <w:t>h</w:t>
      </w:r>
      <w:r w:rsidRPr="009A0DA6">
        <w:rPr>
          <w:rFonts w:ascii="Cambria" w:eastAsia="Calibri" w:hAnsi="Cambria" w:cs="Calibri"/>
        </w:rPr>
        <w:t>at</w:t>
      </w:r>
      <w:r w:rsidRPr="009A0DA6">
        <w:rPr>
          <w:rFonts w:ascii="Cambria" w:eastAsia="Calibri" w:hAnsi="Cambria" w:cs="Calibri"/>
          <w:spacing w:val="15"/>
        </w:rPr>
        <w:t xml:space="preserve"> </w:t>
      </w:r>
      <w:r w:rsidRPr="009A0DA6">
        <w:rPr>
          <w:rFonts w:ascii="Cambria" w:eastAsia="Calibri" w:hAnsi="Cambria" w:cs="Calibri"/>
        </w:rPr>
        <w:t>it</w:t>
      </w:r>
      <w:r w:rsidRPr="009A0DA6">
        <w:rPr>
          <w:rFonts w:ascii="Cambria" w:eastAsia="Calibri" w:hAnsi="Cambria" w:cs="Calibri"/>
          <w:spacing w:val="16"/>
        </w:rPr>
        <w:t xml:space="preserve"> </w:t>
      </w:r>
      <w:r w:rsidRPr="009A0DA6">
        <w:rPr>
          <w:rFonts w:ascii="Cambria" w:eastAsia="Calibri" w:hAnsi="Cambria" w:cs="Calibri"/>
          <w:spacing w:val="-1"/>
        </w:rPr>
        <w:t>w</w:t>
      </w:r>
      <w:r w:rsidRPr="009A0DA6">
        <w:rPr>
          <w:rFonts w:ascii="Cambria" w:eastAsia="Calibri" w:hAnsi="Cambria" w:cs="Calibri"/>
        </w:rPr>
        <w:t>o</w:t>
      </w:r>
      <w:r w:rsidRPr="009A0DA6">
        <w:rPr>
          <w:rFonts w:ascii="Cambria" w:eastAsia="Calibri" w:hAnsi="Cambria" w:cs="Calibri"/>
          <w:spacing w:val="1"/>
        </w:rPr>
        <w:t>u</w:t>
      </w:r>
      <w:r w:rsidRPr="009A0DA6">
        <w:rPr>
          <w:rFonts w:ascii="Cambria" w:eastAsia="Calibri" w:hAnsi="Cambria" w:cs="Calibri"/>
        </w:rPr>
        <w:t>ld</w:t>
      </w:r>
      <w:r w:rsidRPr="009A0DA6">
        <w:rPr>
          <w:rFonts w:ascii="Cambria" w:eastAsia="Calibri" w:hAnsi="Cambria" w:cs="Calibri"/>
          <w:spacing w:val="13"/>
        </w:rPr>
        <w:t xml:space="preserve"> </w:t>
      </w:r>
      <w:r w:rsidRPr="009A0DA6">
        <w:rPr>
          <w:rFonts w:ascii="Cambria" w:eastAsia="Calibri" w:hAnsi="Cambria" w:cs="Calibri"/>
          <w:spacing w:val="1"/>
        </w:rPr>
        <w:t>h</w:t>
      </w:r>
      <w:r w:rsidRPr="009A0DA6">
        <w:rPr>
          <w:rFonts w:ascii="Cambria" w:eastAsia="Calibri" w:hAnsi="Cambria" w:cs="Calibri"/>
        </w:rPr>
        <w:t>a</w:t>
      </w:r>
      <w:r w:rsidRPr="009A0DA6">
        <w:rPr>
          <w:rFonts w:ascii="Cambria" w:eastAsia="Calibri" w:hAnsi="Cambria" w:cs="Calibri"/>
          <w:spacing w:val="-1"/>
        </w:rPr>
        <w:t>v</w:t>
      </w:r>
      <w:r w:rsidRPr="009A0DA6">
        <w:rPr>
          <w:rFonts w:ascii="Cambria" w:eastAsia="Calibri" w:hAnsi="Cambria" w:cs="Calibri"/>
        </w:rPr>
        <w:t>e</w:t>
      </w:r>
      <w:r w:rsidRPr="009A0DA6">
        <w:rPr>
          <w:rFonts w:ascii="Cambria" w:eastAsia="Calibri" w:hAnsi="Cambria" w:cs="Calibri"/>
          <w:spacing w:val="12"/>
        </w:rPr>
        <w:t xml:space="preserve"> </w:t>
      </w:r>
      <w:r w:rsidRPr="009A0DA6">
        <w:rPr>
          <w:rFonts w:ascii="Cambria" w:eastAsia="Calibri" w:hAnsi="Cambria" w:cs="Calibri"/>
          <w:spacing w:val="1"/>
        </w:rPr>
        <w:t>h</w:t>
      </w:r>
      <w:r w:rsidRPr="009A0DA6">
        <w:rPr>
          <w:rFonts w:ascii="Cambria" w:eastAsia="Calibri" w:hAnsi="Cambria" w:cs="Calibri"/>
        </w:rPr>
        <w:t>i</w:t>
      </w:r>
      <w:r w:rsidRPr="009A0DA6">
        <w:rPr>
          <w:rFonts w:ascii="Cambria" w:eastAsia="Calibri" w:hAnsi="Cambria" w:cs="Calibri"/>
          <w:spacing w:val="1"/>
        </w:rPr>
        <w:t>nd</w:t>
      </w:r>
      <w:r w:rsidRPr="009A0DA6">
        <w:rPr>
          <w:rFonts w:ascii="Cambria" w:eastAsia="Calibri" w:hAnsi="Cambria" w:cs="Calibri"/>
          <w:spacing w:val="-1"/>
        </w:rPr>
        <w:t>e</w:t>
      </w:r>
      <w:r w:rsidRPr="009A0DA6">
        <w:rPr>
          <w:rFonts w:ascii="Cambria" w:eastAsia="Calibri" w:hAnsi="Cambria" w:cs="Calibri"/>
        </w:rPr>
        <w:t>r</w:t>
      </w:r>
      <w:r w:rsidRPr="009A0DA6">
        <w:rPr>
          <w:rFonts w:ascii="Cambria" w:eastAsia="Calibri" w:hAnsi="Cambria" w:cs="Calibri"/>
          <w:spacing w:val="-1"/>
        </w:rPr>
        <w:t>e</w:t>
      </w:r>
      <w:r w:rsidRPr="009A0DA6">
        <w:rPr>
          <w:rFonts w:ascii="Cambria" w:eastAsia="Calibri" w:hAnsi="Cambria" w:cs="Calibri"/>
        </w:rPr>
        <w:t>d</w:t>
      </w:r>
      <w:r w:rsidRPr="009A0DA6">
        <w:rPr>
          <w:rFonts w:ascii="Cambria" w:eastAsia="Calibri" w:hAnsi="Cambria" w:cs="Calibri"/>
          <w:spacing w:val="11"/>
        </w:rPr>
        <w:t xml:space="preserve"> </w:t>
      </w:r>
      <w:r w:rsidRPr="009A0DA6">
        <w:rPr>
          <w:rFonts w:ascii="Cambria" w:eastAsia="Calibri" w:hAnsi="Cambria" w:cs="Calibri"/>
        </w:rPr>
        <w:t>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13"/>
        </w:rPr>
        <w:t xml:space="preserve"> </w:t>
      </w:r>
      <w:r w:rsidRPr="009A0DA6">
        <w:rPr>
          <w:rFonts w:ascii="Cambria" w:eastAsia="Calibri" w:hAnsi="Cambria" w:cs="Calibri"/>
          <w:spacing w:val="-1"/>
        </w:rPr>
        <w:t>s</w:t>
      </w:r>
      <w:r w:rsidRPr="009A0DA6">
        <w:rPr>
          <w:rFonts w:ascii="Cambria" w:eastAsia="Calibri" w:hAnsi="Cambria" w:cs="Calibri"/>
          <w:spacing w:val="1"/>
        </w:rPr>
        <w:t>p</w:t>
      </w:r>
      <w:r w:rsidRPr="009A0DA6">
        <w:rPr>
          <w:rFonts w:ascii="Cambria" w:eastAsia="Calibri" w:hAnsi="Cambria" w:cs="Calibri"/>
        </w:rPr>
        <w:t>r</w:t>
      </w:r>
      <w:r w:rsidRPr="009A0DA6">
        <w:rPr>
          <w:rFonts w:ascii="Cambria" w:eastAsia="Calibri" w:hAnsi="Cambria" w:cs="Calibri"/>
          <w:spacing w:val="-1"/>
        </w:rPr>
        <w:t>e</w:t>
      </w:r>
      <w:r w:rsidRPr="009A0DA6">
        <w:rPr>
          <w:rFonts w:ascii="Cambria" w:eastAsia="Calibri" w:hAnsi="Cambria" w:cs="Calibri"/>
        </w:rPr>
        <w:t>ad</w:t>
      </w:r>
      <w:r w:rsidRPr="009A0DA6">
        <w:rPr>
          <w:rFonts w:ascii="Cambria" w:eastAsia="Calibri" w:hAnsi="Cambria" w:cs="Calibri"/>
          <w:spacing w:val="12"/>
        </w:rPr>
        <w:t xml:space="preserve"> </w:t>
      </w:r>
      <w:r w:rsidRPr="009A0DA6">
        <w:rPr>
          <w:rFonts w:ascii="Cambria" w:eastAsia="Calibri" w:hAnsi="Cambria" w:cs="Calibri"/>
        </w:rPr>
        <w:t>of</w:t>
      </w:r>
      <w:r w:rsidRPr="009A0DA6">
        <w:rPr>
          <w:rFonts w:ascii="Cambria" w:eastAsia="Calibri" w:hAnsi="Cambria" w:cs="Calibri"/>
          <w:spacing w:val="14"/>
        </w:rPr>
        <w:t xml:space="preserve"> </w:t>
      </w:r>
      <w:r w:rsidRPr="009A0DA6">
        <w:rPr>
          <w:rFonts w:ascii="Cambria" w:eastAsia="Calibri" w:hAnsi="Cambria" w:cs="Calibri"/>
        </w:rPr>
        <w:t>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13"/>
        </w:rPr>
        <w:t xml:space="preserve"> </w:t>
      </w:r>
      <w:r w:rsidRPr="009A0DA6">
        <w:rPr>
          <w:rFonts w:ascii="Cambria" w:eastAsia="Calibri" w:hAnsi="Cambria" w:cs="Calibri"/>
          <w:spacing w:val="-1"/>
          <w:w w:val="99"/>
        </w:rPr>
        <w:t>G</w:t>
      </w:r>
      <w:r w:rsidRPr="009A0DA6">
        <w:rPr>
          <w:rFonts w:ascii="Cambria" w:eastAsia="Calibri" w:hAnsi="Cambria" w:cs="Calibri"/>
          <w:w w:val="99"/>
        </w:rPr>
        <w:t>o</w:t>
      </w:r>
      <w:r w:rsidRPr="009A0DA6">
        <w:rPr>
          <w:rFonts w:ascii="Cambria" w:eastAsia="Calibri" w:hAnsi="Cambria" w:cs="Calibri"/>
          <w:spacing w:val="-1"/>
        </w:rPr>
        <w:t>s</w:t>
      </w:r>
      <w:r w:rsidRPr="009A0DA6">
        <w:rPr>
          <w:rFonts w:ascii="Cambria" w:eastAsia="Calibri" w:hAnsi="Cambria" w:cs="Calibri"/>
          <w:spacing w:val="1"/>
        </w:rPr>
        <w:t>p</w:t>
      </w:r>
      <w:r w:rsidRPr="009A0DA6">
        <w:rPr>
          <w:rFonts w:ascii="Cambria" w:eastAsia="Calibri" w:hAnsi="Cambria" w:cs="Calibri"/>
          <w:spacing w:val="-1"/>
        </w:rPr>
        <w:t>e</w:t>
      </w:r>
      <w:r w:rsidRPr="009A0DA6">
        <w:rPr>
          <w:rFonts w:ascii="Cambria" w:eastAsia="Calibri" w:hAnsi="Cambria" w:cs="Calibri"/>
        </w:rPr>
        <w:t>l,</w:t>
      </w:r>
      <w:r w:rsidRPr="009A0DA6">
        <w:rPr>
          <w:rFonts w:ascii="Cambria" w:eastAsia="Calibri" w:hAnsi="Cambria" w:cs="Calibri"/>
          <w:spacing w:val="14"/>
        </w:rPr>
        <w:t xml:space="preserve"> </w:t>
      </w:r>
      <w:r w:rsidRPr="009A0DA6">
        <w:rPr>
          <w:rFonts w:ascii="Cambria" w:eastAsia="Calibri" w:hAnsi="Cambria" w:cs="Calibri"/>
        </w:rPr>
        <w:t>a</w:t>
      </w:r>
      <w:r w:rsidRPr="009A0DA6">
        <w:rPr>
          <w:rFonts w:ascii="Cambria" w:eastAsia="Calibri" w:hAnsi="Cambria" w:cs="Calibri"/>
          <w:spacing w:val="1"/>
        </w:rPr>
        <w:t>n</w:t>
      </w:r>
      <w:r w:rsidRPr="009A0DA6">
        <w:rPr>
          <w:rFonts w:ascii="Cambria" w:eastAsia="Calibri" w:hAnsi="Cambria" w:cs="Calibri"/>
        </w:rPr>
        <w:t>d</w:t>
      </w:r>
      <w:r w:rsidRPr="009A0DA6">
        <w:rPr>
          <w:rFonts w:ascii="Cambria" w:eastAsia="Calibri" w:hAnsi="Cambria" w:cs="Calibri"/>
          <w:spacing w:val="15"/>
        </w:rPr>
        <w:t xml:space="preserve"> </w:t>
      </w:r>
      <w:r w:rsidRPr="009A0DA6">
        <w:rPr>
          <w:rFonts w:ascii="Cambria" w:eastAsia="Calibri" w:hAnsi="Cambria" w:cs="Calibri"/>
        </w:rPr>
        <w:t>t</w:t>
      </w:r>
      <w:r w:rsidRPr="009A0DA6">
        <w:rPr>
          <w:rFonts w:ascii="Cambria" w:eastAsia="Calibri" w:hAnsi="Cambria" w:cs="Calibri"/>
          <w:spacing w:val="1"/>
        </w:rPr>
        <w:t>h</w:t>
      </w:r>
      <w:r w:rsidRPr="009A0DA6">
        <w:rPr>
          <w:rFonts w:ascii="Cambria" w:eastAsia="Calibri" w:hAnsi="Cambria" w:cs="Calibri"/>
        </w:rPr>
        <w:t>at</w:t>
      </w:r>
      <w:r w:rsidRPr="009A0DA6">
        <w:rPr>
          <w:rFonts w:ascii="Cambria" w:eastAsia="Calibri" w:hAnsi="Cambria" w:cs="Calibri"/>
          <w:spacing w:val="17"/>
        </w:rPr>
        <w:t xml:space="preserve"> </w:t>
      </w:r>
      <w:r w:rsidRPr="009A0DA6">
        <w:rPr>
          <w:rFonts w:ascii="Cambria" w:eastAsia="Calibri" w:hAnsi="Cambria" w:cs="Calibri"/>
        </w:rPr>
        <w:t>t</w:t>
      </w:r>
      <w:r w:rsidRPr="009A0DA6">
        <w:rPr>
          <w:rFonts w:ascii="Cambria" w:eastAsia="Calibri" w:hAnsi="Cambria" w:cs="Calibri"/>
          <w:spacing w:val="1"/>
        </w:rPr>
        <w:t>h</w:t>
      </w:r>
      <w:r w:rsidRPr="009A0DA6">
        <w:rPr>
          <w:rFonts w:ascii="Cambria" w:eastAsia="Calibri" w:hAnsi="Cambria" w:cs="Calibri"/>
        </w:rPr>
        <w:t>is</w:t>
      </w:r>
      <w:r w:rsidRPr="009A0DA6">
        <w:rPr>
          <w:rFonts w:ascii="Cambria" w:eastAsia="Calibri" w:hAnsi="Cambria" w:cs="Calibri"/>
          <w:spacing w:val="13"/>
        </w:rPr>
        <w:t xml:space="preserve"> </w:t>
      </w:r>
      <w:r w:rsidRPr="009A0DA6">
        <w:rPr>
          <w:rFonts w:ascii="Cambria" w:eastAsia="Calibri" w:hAnsi="Cambria" w:cs="Calibri"/>
          <w:spacing w:val="-1"/>
        </w:rPr>
        <w:t>w</w:t>
      </w:r>
      <w:r w:rsidRPr="009A0DA6">
        <w:rPr>
          <w:rFonts w:ascii="Cambria" w:eastAsia="Calibri" w:hAnsi="Cambria" w:cs="Calibri"/>
        </w:rPr>
        <w:t>as</w:t>
      </w:r>
      <w:r w:rsidRPr="009A0DA6">
        <w:rPr>
          <w:rFonts w:ascii="Cambria" w:eastAsia="Calibri" w:hAnsi="Cambria" w:cs="Calibri"/>
          <w:spacing w:val="14"/>
        </w:rPr>
        <w:t xml:space="preserve"> </w:t>
      </w:r>
      <w:r w:rsidRPr="009A0DA6">
        <w:rPr>
          <w:rFonts w:ascii="Cambria" w:eastAsia="Calibri" w:hAnsi="Cambria" w:cs="Calibri"/>
        </w:rPr>
        <w:t>P</w:t>
      </w:r>
      <w:r w:rsidRPr="009A0DA6">
        <w:rPr>
          <w:rFonts w:ascii="Cambria" w:eastAsia="Calibri" w:hAnsi="Cambria" w:cs="Calibri"/>
          <w:spacing w:val="1"/>
        </w:rPr>
        <w:t>au</w:t>
      </w:r>
      <w:r w:rsidRPr="009A0DA6">
        <w:rPr>
          <w:rFonts w:ascii="Cambria" w:eastAsia="Calibri" w:hAnsi="Cambria" w:cs="Calibri"/>
        </w:rPr>
        <w:t>l’s</w:t>
      </w:r>
      <w:r w:rsidRPr="009A0DA6">
        <w:rPr>
          <w:rFonts w:ascii="Cambria" w:eastAsia="Calibri" w:hAnsi="Cambria" w:cs="Calibri"/>
          <w:spacing w:val="11"/>
        </w:rPr>
        <w:t xml:space="preserve"> </w:t>
      </w:r>
      <w:r w:rsidRPr="009A0DA6">
        <w:rPr>
          <w:rFonts w:ascii="Cambria" w:eastAsia="Calibri" w:hAnsi="Cambria" w:cs="Calibri"/>
        </w:rPr>
        <w:t>o</w:t>
      </w:r>
      <w:r w:rsidRPr="009A0DA6">
        <w:rPr>
          <w:rFonts w:ascii="Cambria" w:eastAsia="Calibri" w:hAnsi="Cambria" w:cs="Calibri"/>
          <w:spacing w:val="-1"/>
        </w:rPr>
        <w:t>ve</w:t>
      </w:r>
      <w:r w:rsidRPr="009A0DA6">
        <w:rPr>
          <w:rFonts w:ascii="Cambria" w:eastAsia="Calibri" w:hAnsi="Cambria" w:cs="Calibri"/>
          <w:spacing w:val="2"/>
        </w:rPr>
        <w:t>r</w:t>
      </w:r>
      <w:r w:rsidRPr="009A0DA6">
        <w:rPr>
          <w:rFonts w:ascii="Cambria" w:eastAsia="Calibri" w:hAnsi="Cambria" w:cs="Calibri"/>
        </w:rPr>
        <w:t>ri</w:t>
      </w:r>
      <w:r w:rsidRPr="009A0DA6">
        <w:rPr>
          <w:rFonts w:ascii="Cambria" w:eastAsia="Calibri" w:hAnsi="Cambria" w:cs="Calibri"/>
          <w:spacing w:val="1"/>
        </w:rPr>
        <w:t>d</w:t>
      </w:r>
      <w:r w:rsidRPr="009A0DA6">
        <w:rPr>
          <w:rFonts w:ascii="Cambria" w:eastAsia="Calibri" w:hAnsi="Cambria" w:cs="Calibri"/>
          <w:spacing w:val="2"/>
        </w:rPr>
        <w:t>i</w:t>
      </w:r>
      <w:r w:rsidRPr="009A0DA6">
        <w:rPr>
          <w:rFonts w:ascii="Cambria" w:eastAsia="Calibri" w:hAnsi="Cambria" w:cs="Calibri"/>
          <w:spacing w:val="1"/>
        </w:rPr>
        <w:t>n</w:t>
      </w:r>
      <w:r w:rsidRPr="009A0DA6">
        <w:rPr>
          <w:rFonts w:ascii="Cambria" w:eastAsia="Calibri" w:hAnsi="Cambria" w:cs="Calibri"/>
        </w:rPr>
        <w:t>g co</w:t>
      </w:r>
      <w:r w:rsidRPr="009A0DA6">
        <w:rPr>
          <w:rFonts w:ascii="Cambria" w:eastAsia="Calibri" w:hAnsi="Cambria" w:cs="Calibri"/>
          <w:spacing w:val="1"/>
        </w:rPr>
        <w:t>n</w:t>
      </w:r>
      <w:r w:rsidRPr="009A0DA6">
        <w:rPr>
          <w:rFonts w:ascii="Cambria" w:eastAsia="Calibri" w:hAnsi="Cambria" w:cs="Calibri"/>
        </w:rPr>
        <w:t>c</w:t>
      </w:r>
      <w:r w:rsidRPr="009A0DA6">
        <w:rPr>
          <w:rFonts w:ascii="Cambria" w:eastAsia="Calibri" w:hAnsi="Cambria" w:cs="Calibri"/>
          <w:spacing w:val="-1"/>
        </w:rPr>
        <w:t>e</w:t>
      </w:r>
      <w:r w:rsidRPr="009A0DA6">
        <w:rPr>
          <w:rFonts w:ascii="Cambria" w:eastAsia="Calibri" w:hAnsi="Cambria" w:cs="Calibri"/>
        </w:rPr>
        <w:t>r</w:t>
      </w:r>
      <w:r w:rsidRPr="009A0DA6">
        <w:rPr>
          <w:rFonts w:ascii="Cambria" w:eastAsia="Calibri" w:hAnsi="Cambria" w:cs="Calibri"/>
          <w:spacing w:val="1"/>
        </w:rPr>
        <w:t>n</w:t>
      </w:r>
      <w:r w:rsidRPr="009A0DA6">
        <w:rPr>
          <w:rFonts w:ascii="Cambria" w:eastAsia="Calibri" w:hAnsi="Cambria" w:cs="Calibri"/>
        </w:rPr>
        <w:t>.</w:t>
      </w:r>
      <w:r w:rsidRPr="009A0DA6">
        <w:rPr>
          <w:rFonts w:ascii="Cambria" w:eastAsia="Calibri" w:hAnsi="Cambria" w:cs="Calibri"/>
          <w:spacing w:val="1"/>
        </w:rPr>
        <w:t xml:space="preserve"> </w:t>
      </w:r>
      <w:r w:rsidRPr="009A0DA6">
        <w:rPr>
          <w:rFonts w:ascii="Cambria" w:eastAsia="Calibri" w:hAnsi="Cambria" w:cs="Calibri"/>
          <w:spacing w:val="-1"/>
        </w:rPr>
        <w:t>G</w:t>
      </w:r>
      <w:r w:rsidRPr="009A0DA6">
        <w:rPr>
          <w:rFonts w:ascii="Cambria" w:eastAsia="Calibri" w:hAnsi="Cambria" w:cs="Calibri"/>
          <w:spacing w:val="2"/>
        </w:rPr>
        <w:t>i</w:t>
      </w:r>
      <w:r w:rsidRPr="009A0DA6">
        <w:rPr>
          <w:rFonts w:ascii="Cambria" w:eastAsia="Calibri" w:hAnsi="Cambria" w:cs="Calibri"/>
          <w:spacing w:val="-1"/>
        </w:rPr>
        <w:t>ve</w:t>
      </w:r>
      <w:r w:rsidRPr="009A0DA6">
        <w:rPr>
          <w:rFonts w:ascii="Cambria" w:eastAsia="Calibri" w:hAnsi="Cambria" w:cs="Calibri"/>
        </w:rPr>
        <w:t>n</w:t>
      </w:r>
      <w:r w:rsidRPr="009A0DA6">
        <w:rPr>
          <w:rFonts w:ascii="Cambria" w:eastAsia="Calibri" w:hAnsi="Cambria" w:cs="Calibri"/>
          <w:spacing w:val="3"/>
        </w:rPr>
        <w:t xml:space="preserve"> </w:t>
      </w:r>
      <w:r w:rsidRPr="009A0DA6">
        <w:rPr>
          <w:rFonts w:ascii="Cambria" w:eastAsia="Calibri" w:hAnsi="Cambria" w:cs="Calibri"/>
          <w:spacing w:val="1"/>
        </w:rPr>
        <w:t>h</w:t>
      </w:r>
      <w:r w:rsidRPr="009A0DA6">
        <w:rPr>
          <w:rFonts w:ascii="Cambria" w:eastAsia="Calibri" w:hAnsi="Cambria" w:cs="Calibri"/>
          <w:spacing w:val="3"/>
        </w:rPr>
        <w:t>o</w:t>
      </w:r>
      <w:r w:rsidRPr="009A0DA6">
        <w:rPr>
          <w:rFonts w:ascii="Cambria" w:eastAsia="Calibri" w:hAnsi="Cambria" w:cs="Calibri"/>
        </w:rPr>
        <w:t>w</w:t>
      </w:r>
      <w:r w:rsidRPr="009A0DA6">
        <w:rPr>
          <w:rFonts w:ascii="Cambria" w:eastAsia="Calibri" w:hAnsi="Cambria" w:cs="Calibri"/>
          <w:spacing w:val="3"/>
        </w:rPr>
        <w:t xml:space="preserve"> </w:t>
      </w:r>
      <w:r w:rsidRPr="009A0DA6">
        <w:rPr>
          <w:rFonts w:ascii="Cambria" w:eastAsia="Calibri" w:hAnsi="Cambria" w:cs="Calibri"/>
        </w:rPr>
        <w:t>little</w:t>
      </w:r>
      <w:r w:rsidRPr="009A0DA6">
        <w:rPr>
          <w:rFonts w:ascii="Cambria" w:eastAsia="Calibri" w:hAnsi="Cambria" w:cs="Calibri"/>
          <w:spacing w:val="3"/>
        </w:rPr>
        <w:t xml:space="preserve"> </w:t>
      </w:r>
      <w:r w:rsidRPr="009A0DA6">
        <w:rPr>
          <w:rFonts w:ascii="Cambria" w:eastAsia="Calibri" w:hAnsi="Cambria" w:cs="Calibri"/>
        </w:rPr>
        <w:t>P</w:t>
      </w:r>
      <w:r w:rsidRPr="009A0DA6">
        <w:rPr>
          <w:rFonts w:ascii="Cambria" w:eastAsia="Calibri" w:hAnsi="Cambria" w:cs="Calibri"/>
          <w:spacing w:val="1"/>
        </w:rPr>
        <w:t>a</w:t>
      </w:r>
      <w:r w:rsidRPr="009A0DA6">
        <w:rPr>
          <w:rFonts w:ascii="Cambria" w:eastAsia="Calibri" w:hAnsi="Cambria" w:cs="Calibri"/>
          <w:spacing w:val="3"/>
        </w:rPr>
        <w:t>u</w:t>
      </w:r>
      <w:r w:rsidRPr="009A0DA6">
        <w:rPr>
          <w:rFonts w:ascii="Cambria" w:eastAsia="Calibri" w:hAnsi="Cambria" w:cs="Calibri"/>
        </w:rPr>
        <w:t>l</w:t>
      </w:r>
      <w:r w:rsidRPr="009A0DA6">
        <w:rPr>
          <w:rFonts w:ascii="Cambria" w:eastAsia="Calibri" w:hAnsi="Cambria" w:cs="Calibri"/>
          <w:spacing w:val="3"/>
        </w:rPr>
        <w:t xml:space="preserve"> </w:t>
      </w:r>
      <w:r w:rsidRPr="009A0DA6">
        <w:rPr>
          <w:rFonts w:ascii="Cambria" w:eastAsia="Calibri" w:hAnsi="Cambria" w:cs="Calibri"/>
          <w:spacing w:val="-1"/>
        </w:rPr>
        <w:t>s</w:t>
      </w:r>
      <w:r w:rsidRPr="009A0DA6">
        <w:rPr>
          <w:rFonts w:ascii="Cambria" w:eastAsia="Calibri" w:hAnsi="Cambria" w:cs="Calibri"/>
        </w:rPr>
        <w:t>a</w:t>
      </w:r>
      <w:r w:rsidRPr="009A0DA6">
        <w:rPr>
          <w:rFonts w:ascii="Cambria" w:eastAsia="Calibri" w:hAnsi="Cambria" w:cs="Calibri"/>
          <w:spacing w:val="1"/>
        </w:rPr>
        <w:t>y</w:t>
      </w:r>
      <w:r w:rsidRPr="009A0DA6">
        <w:rPr>
          <w:rFonts w:ascii="Cambria" w:eastAsia="Calibri" w:hAnsi="Cambria" w:cs="Calibri"/>
        </w:rPr>
        <w:t>s</w:t>
      </w:r>
      <w:r w:rsidRPr="009A0DA6">
        <w:rPr>
          <w:rFonts w:ascii="Cambria" w:eastAsia="Calibri" w:hAnsi="Cambria" w:cs="Calibri"/>
          <w:spacing w:val="3"/>
        </w:rPr>
        <w:t xml:space="preserve"> </w:t>
      </w:r>
      <w:r w:rsidRPr="009A0DA6">
        <w:rPr>
          <w:rFonts w:ascii="Cambria" w:eastAsia="Calibri" w:hAnsi="Cambria" w:cs="Calibri"/>
        </w:rPr>
        <w:t>a</w:t>
      </w:r>
      <w:r w:rsidRPr="009A0DA6">
        <w:rPr>
          <w:rFonts w:ascii="Cambria" w:eastAsia="Calibri" w:hAnsi="Cambria" w:cs="Calibri"/>
          <w:spacing w:val="1"/>
        </w:rPr>
        <w:t>b</w:t>
      </w:r>
      <w:r w:rsidRPr="009A0DA6">
        <w:rPr>
          <w:rFonts w:ascii="Cambria" w:eastAsia="Calibri" w:hAnsi="Cambria" w:cs="Calibri"/>
        </w:rPr>
        <w:t>o</w:t>
      </w:r>
      <w:r w:rsidRPr="009A0DA6">
        <w:rPr>
          <w:rFonts w:ascii="Cambria" w:eastAsia="Calibri" w:hAnsi="Cambria" w:cs="Calibri"/>
          <w:spacing w:val="1"/>
        </w:rPr>
        <w:t>u</w:t>
      </w:r>
      <w:r w:rsidRPr="009A0DA6">
        <w:rPr>
          <w:rFonts w:ascii="Cambria" w:eastAsia="Calibri" w:hAnsi="Cambria" w:cs="Calibri"/>
        </w:rPr>
        <w:t>t</w:t>
      </w:r>
      <w:r w:rsidRPr="009A0DA6">
        <w:rPr>
          <w:rFonts w:ascii="Cambria" w:eastAsia="Calibri" w:hAnsi="Cambria" w:cs="Calibri"/>
          <w:spacing w:val="3"/>
        </w:rPr>
        <w:t xml:space="preserve"> </w:t>
      </w:r>
      <w:r w:rsidRPr="009A0DA6">
        <w:rPr>
          <w:rFonts w:ascii="Cambria" w:eastAsia="Calibri" w:hAnsi="Cambria" w:cs="Calibri"/>
        </w:rPr>
        <w:t>a</w:t>
      </w:r>
      <w:r w:rsidRPr="009A0DA6">
        <w:rPr>
          <w:rFonts w:ascii="Cambria" w:eastAsia="Calibri" w:hAnsi="Cambria" w:cs="Calibri"/>
          <w:spacing w:val="1"/>
        </w:rPr>
        <w:t>n</w:t>
      </w:r>
      <w:r w:rsidRPr="009A0DA6">
        <w:rPr>
          <w:rFonts w:ascii="Cambria" w:eastAsia="Calibri" w:hAnsi="Cambria" w:cs="Calibri"/>
        </w:rPr>
        <w:t>y</w:t>
      </w:r>
      <w:r w:rsidRPr="009A0DA6">
        <w:rPr>
          <w:rFonts w:ascii="Cambria" w:eastAsia="Calibri" w:hAnsi="Cambria" w:cs="Calibri"/>
          <w:spacing w:val="5"/>
        </w:rPr>
        <w:t xml:space="preserve"> </w:t>
      </w:r>
      <w:r w:rsidRPr="009A0DA6">
        <w:rPr>
          <w:rFonts w:ascii="Cambria" w:eastAsia="Calibri" w:hAnsi="Cambria" w:cs="Calibri"/>
        </w:rPr>
        <w:t>of</w:t>
      </w:r>
      <w:r w:rsidRPr="009A0DA6">
        <w:rPr>
          <w:rFonts w:ascii="Cambria" w:eastAsia="Calibri" w:hAnsi="Cambria" w:cs="Calibri"/>
          <w:spacing w:val="5"/>
        </w:rPr>
        <w:t xml:space="preserve"> </w:t>
      </w:r>
      <w:r w:rsidRPr="009A0DA6">
        <w:rPr>
          <w:rFonts w:ascii="Cambria" w:eastAsia="Calibri" w:hAnsi="Cambria" w:cs="Calibri"/>
        </w:rPr>
        <w:t>t</w:t>
      </w:r>
      <w:r w:rsidRPr="009A0DA6">
        <w:rPr>
          <w:rFonts w:ascii="Cambria" w:eastAsia="Calibri" w:hAnsi="Cambria" w:cs="Calibri"/>
          <w:spacing w:val="1"/>
        </w:rPr>
        <w:t>h</w:t>
      </w:r>
      <w:r w:rsidRPr="009A0DA6">
        <w:rPr>
          <w:rFonts w:ascii="Cambria" w:eastAsia="Calibri" w:hAnsi="Cambria" w:cs="Calibri"/>
        </w:rPr>
        <w:t>is</w:t>
      </w:r>
      <w:r w:rsidRPr="009A0DA6">
        <w:rPr>
          <w:rFonts w:ascii="Cambria" w:eastAsia="Calibri" w:hAnsi="Cambria" w:cs="Calibri"/>
          <w:spacing w:val="3"/>
        </w:rPr>
        <w:t xml:space="preserve"> </w:t>
      </w:r>
      <w:r w:rsidRPr="009A0DA6">
        <w:rPr>
          <w:rFonts w:ascii="Cambria" w:eastAsia="Calibri" w:hAnsi="Cambria" w:cs="Calibri"/>
        </w:rPr>
        <w:t>in</w:t>
      </w:r>
      <w:r w:rsidRPr="009A0DA6">
        <w:rPr>
          <w:rFonts w:ascii="Cambria" w:eastAsia="Calibri" w:hAnsi="Cambria" w:cs="Calibri"/>
          <w:spacing w:val="6"/>
        </w:rPr>
        <w:t xml:space="preserve"> </w:t>
      </w:r>
      <w:r w:rsidRPr="009A0DA6">
        <w:rPr>
          <w:rFonts w:ascii="Cambria" w:eastAsia="Calibri" w:hAnsi="Cambria" w:cs="Calibri"/>
        </w:rPr>
        <w:t>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6"/>
        </w:rPr>
        <w:t xml:space="preserve"> </w:t>
      </w:r>
      <w:r w:rsidRPr="009A0DA6">
        <w:rPr>
          <w:rFonts w:ascii="Cambria" w:eastAsia="Calibri" w:hAnsi="Cambria" w:cs="Calibri"/>
        </w:rPr>
        <w:t>i</w:t>
      </w:r>
      <w:r w:rsidRPr="009A0DA6">
        <w:rPr>
          <w:rFonts w:ascii="Cambria" w:eastAsia="Calibri" w:hAnsi="Cambria" w:cs="Calibri"/>
          <w:spacing w:val="-1"/>
        </w:rPr>
        <w:t>m</w:t>
      </w:r>
      <w:r w:rsidRPr="009A0DA6">
        <w:rPr>
          <w:rFonts w:ascii="Cambria" w:eastAsia="Calibri" w:hAnsi="Cambria" w:cs="Calibri"/>
          <w:spacing w:val="1"/>
        </w:rPr>
        <w:t>m</w:t>
      </w:r>
      <w:r w:rsidRPr="009A0DA6">
        <w:rPr>
          <w:rFonts w:ascii="Cambria" w:eastAsia="Calibri" w:hAnsi="Cambria" w:cs="Calibri"/>
          <w:spacing w:val="-1"/>
        </w:rPr>
        <w:t>e</w:t>
      </w:r>
      <w:r w:rsidRPr="009A0DA6">
        <w:rPr>
          <w:rFonts w:ascii="Cambria" w:eastAsia="Calibri" w:hAnsi="Cambria" w:cs="Calibri"/>
          <w:spacing w:val="1"/>
        </w:rPr>
        <w:t>d</w:t>
      </w:r>
      <w:r w:rsidRPr="009A0DA6">
        <w:rPr>
          <w:rFonts w:ascii="Cambria" w:eastAsia="Calibri" w:hAnsi="Cambria" w:cs="Calibri"/>
        </w:rPr>
        <w:t>ia</w:t>
      </w:r>
      <w:r w:rsidRPr="009A0DA6">
        <w:rPr>
          <w:rFonts w:ascii="Cambria" w:eastAsia="Calibri" w:hAnsi="Cambria" w:cs="Calibri"/>
          <w:spacing w:val="1"/>
        </w:rPr>
        <w:t>t</w:t>
      </w:r>
      <w:r w:rsidRPr="009A0DA6">
        <w:rPr>
          <w:rFonts w:ascii="Cambria" w:eastAsia="Calibri" w:hAnsi="Cambria" w:cs="Calibri"/>
        </w:rPr>
        <w:t>e</w:t>
      </w:r>
      <w:r w:rsidRPr="009A0DA6">
        <w:rPr>
          <w:rFonts w:ascii="Cambria" w:eastAsia="Calibri" w:hAnsi="Cambria" w:cs="Calibri"/>
          <w:spacing w:val="-2"/>
        </w:rPr>
        <w:t xml:space="preserve"> </w:t>
      </w:r>
      <w:r w:rsidRPr="009A0DA6">
        <w:rPr>
          <w:rFonts w:ascii="Cambria" w:eastAsia="Calibri" w:hAnsi="Cambria" w:cs="Calibri"/>
        </w:rPr>
        <w:t>co</w:t>
      </w:r>
      <w:r w:rsidRPr="009A0DA6">
        <w:rPr>
          <w:rFonts w:ascii="Cambria" w:eastAsia="Calibri" w:hAnsi="Cambria" w:cs="Calibri"/>
          <w:spacing w:val="1"/>
        </w:rPr>
        <w:t>n</w:t>
      </w:r>
      <w:r w:rsidRPr="009A0DA6">
        <w:rPr>
          <w:rFonts w:ascii="Cambria" w:eastAsia="Calibri" w:hAnsi="Cambria" w:cs="Calibri"/>
        </w:rPr>
        <w:t>t</w:t>
      </w:r>
      <w:r w:rsidRPr="009A0DA6">
        <w:rPr>
          <w:rFonts w:ascii="Cambria" w:eastAsia="Calibri" w:hAnsi="Cambria" w:cs="Calibri"/>
          <w:spacing w:val="2"/>
        </w:rPr>
        <w:t>e</w:t>
      </w:r>
      <w:r w:rsidRPr="009A0DA6">
        <w:rPr>
          <w:rFonts w:ascii="Cambria" w:eastAsia="Calibri" w:hAnsi="Cambria" w:cs="Calibri"/>
        </w:rPr>
        <w:t>xt</w:t>
      </w:r>
      <w:r w:rsidRPr="009A0DA6">
        <w:rPr>
          <w:rFonts w:ascii="Cambria" w:eastAsia="Calibri" w:hAnsi="Cambria" w:cs="Calibri"/>
          <w:spacing w:val="9"/>
        </w:rPr>
        <w:t>,</w:t>
      </w:r>
      <w:r w:rsidRPr="009A0DA6">
        <w:rPr>
          <w:rStyle w:val="FootnoteReference"/>
          <w:rFonts w:ascii="Cambria" w:eastAsia="Calibri" w:hAnsi="Cambria" w:cs="Calibri"/>
          <w:spacing w:val="9"/>
        </w:rPr>
        <w:footnoteReference w:id="14"/>
      </w:r>
      <w:r w:rsidRPr="009A0DA6">
        <w:rPr>
          <w:rFonts w:ascii="Cambria" w:eastAsia="Calibri" w:hAnsi="Cambria" w:cs="Calibri"/>
          <w:spacing w:val="15"/>
          <w:position w:val="7"/>
        </w:rPr>
        <w:t xml:space="preserve"> </w:t>
      </w:r>
      <w:r w:rsidRPr="009A0DA6">
        <w:rPr>
          <w:rFonts w:ascii="Cambria" w:eastAsia="Calibri" w:hAnsi="Cambria" w:cs="Calibri"/>
          <w:spacing w:val="1"/>
        </w:rPr>
        <w:t>h</w:t>
      </w:r>
      <w:r w:rsidRPr="009A0DA6">
        <w:rPr>
          <w:rFonts w:ascii="Cambria" w:eastAsia="Calibri" w:hAnsi="Cambria" w:cs="Calibri"/>
        </w:rPr>
        <w:t>ow</w:t>
      </w:r>
      <w:r w:rsidRPr="009A0DA6">
        <w:rPr>
          <w:rFonts w:ascii="Cambria" w:eastAsia="Calibri" w:hAnsi="Cambria" w:cs="Calibri"/>
          <w:spacing w:val="3"/>
        </w:rPr>
        <w:t xml:space="preserve"> </w:t>
      </w:r>
      <w:r w:rsidRPr="009A0DA6">
        <w:rPr>
          <w:rFonts w:ascii="Cambria" w:eastAsia="Calibri" w:hAnsi="Cambria" w:cs="Calibri"/>
        </w:rPr>
        <w:t>litt</w:t>
      </w:r>
      <w:r w:rsidRPr="009A0DA6">
        <w:rPr>
          <w:rFonts w:ascii="Cambria" w:eastAsia="Calibri" w:hAnsi="Cambria" w:cs="Calibri"/>
          <w:spacing w:val="3"/>
        </w:rPr>
        <w:t>l</w:t>
      </w:r>
      <w:r w:rsidRPr="009A0DA6">
        <w:rPr>
          <w:rFonts w:ascii="Cambria" w:eastAsia="Calibri" w:hAnsi="Cambria" w:cs="Calibri"/>
        </w:rPr>
        <w:t>e</w:t>
      </w:r>
      <w:r w:rsidRPr="009A0DA6">
        <w:rPr>
          <w:rFonts w:ascii="Cambria" w:eastAsia="Calibri" w:hAnsi="Cambria" w:cs="Calibri"/>
          <w:spacing w:val="3"/>
        </w:rPr>
        <w:t xml:space="preserve"> </w:t>
      </w:r>
      <w:r w:rsidRPr="009A0DA6">
        <w:rPr>
          <w:rFonts w:ascii="Cambria" w:eastAsia="Calibri" w:hAnsi="Cambria" w:cs="Calibri"/>
          <w:spacing w:val="1"/>
        </w:rPr>
        <w:t>w</w:t>
      </w:r>
      <w:r w:rsidRPr="009A0DA6">
        <w:rPr>
          <w:rFonts w:ascii="Cambria" w:eastAsia="Calibri" w:hAnsi="Cambria" w:cs="Calibri"/>
        </w:rPr>
        <w:t>e</w:t>
      </w:r>
      <w:r w:rsidRPr="009A0DA6">
        <w:rPr>
          <w:rFonts w:ascii="Cambria" w:eastAsia="Calibri" w:hAnsi="Cambria" w:cs="Calibri"/>
          <w:spacing w:val="5"/>
        </w:rPr>
        <w:t xml:space="preserve"> </w:t>
      </w:r>
      <w:r w:rsidRPr="009A0DA6">
        <w:rPr>
          <w:rFonts w:ascii="Cambria" w:eastAsia="Calibri" w:hAnsi="Cambria" w:cs="Calibri"/>
        </w:rPr>
        <w:t>k</w:t>
      </w:r>
      <w:r w:rsidRPr="009A0DA6">
        <w:rPr>
          <w:rFonts w:ascii="Cambria" w:eastAsia="Calibri" w:hAnsi="Cambria" w:cs="Calibri"/>
          <w:spacing w:val="1"/>
        </w:rPr>
        <w:t>n</w:t>
      </w:r>
      <w:r w:rsidRPr="009A0DA6">
        <w:rPr>
          <w:rFonts w:ascii="Cambria" w:eastAsia="Calibri" w:hAnsi="Cambria" w:cs="Calibri"/>
        </w:rPr>
        <w:t>ow</w:t>
      </w:r>
      <w:r w:rsidRPr="009A0DA6">
        <w:rPr>
          <w:rFonts w:ascii="Cambria" w:eastAsia="Calibri" w:hAnsi="Cambria" w:cs="Calibri"/>
          <w:spacing w:val="3"/>
        </w:rPr>
        <w:t xml:space="preserve"> </w:t>
      </w:r>
      <w:r w:rsidRPr="009A0DA6">
        <w:rPr>
          <w:rFonts w:ascii="Cambria" w:eastAsia="Calibri" w:hAnsi="Cambria" w:cs="Calibri"/>
        </w:rPr>
        <w:t>a</w:t>
      </w:r>
      <w:r w:rsidRPr="009A0DA6">
        <w:rPr>
          <w:rFonts w:ascii="Cambria" w:eastAsia="Calibri" w:hAnsi="Cambria" w:cs="Calibri"/>
          <w:spacing w:val="1"/>
        </w:rPr>
        <w:t>b</w:t>
      </w:r>
      <w:r w:rsidRPr="009A0DA6">
        <w:rPr>
          <w:rFonts w:ascii="Cambria" w:eastAsia="Calibri" w:hAnsi="Cambria" w:cs="Calibri"/>
        </w:rPr>
        <w:t>o</w:t>
      </w:r>
      <w:r w:rsidRPr="009A0DA6">
        <w:rPr>
          <w:rFonts w:ascii="Cambria" w:eastAsia="Calibri" w:hAnsi="Cambria" w:cs="Calibri"/>
          <w:spacing w:val="1"/>
        </w:rPr>
        <w:t>u</w:t>
      </w:r>
      <w:r w:rsidRPr="009A0DA6">
        <w:rPr>
          <w:rFonts w:ascii="Cambria" w:eastAsia="Calibri" w:hAnsi="Cambria" w:cs="Calibri"/>
        </w:rPr>
        <w:t>t</w:t>
      </w:r>
      <w:r w:rsidRPr="009A0DA6">
        <w:rPr>
          <w:rFonts w:ascii="Cambria" w:eastAsia="Calibri" w:hAnsi="Cambria" w:cs="Calibri"/>
          <w:spacing w:val="3"/>
        </w:rPr>
        <w:t xml:space="preserve"> </w:t>
      </w:r>
      <w:r w:rsidRPr="009A0DA6">
        <w:rPr>
          <w:rFonts w:ascii="Cambria" w:eastAsia="Calibri" w:hAnsi="Cambria" w:cs="Calibri"/>
          <w:spacing w:val="-1"/>
        </w:rPr>
        <w:t>f</w:t>
      </w:r>
      <w:r w:rsidRPr="009A0DA6">
        <w:rPr>
          <w:rFonts w:ascii="Cambria" w:eastAsia="Calibri" w:hAnsi="Cambria" w:cs="Calibri"/>
        </w:rPr>
        <w:t>i</w:t>
      </w:r>
      <w:r w:rsidRPr="009A0DA6">
        <w:rPr>
          <w:rFonts w:ascii="Cambria" w:eastAsia="Calibri" w:hAnsi="Cambria" w:cs="Calibri"/>
          <w:spacing w:val="2"/>
        </w:rPr>
        <w:t>r</w:t>
      </w:r>
      <w:r w:rsidRPr="009A0DA6">
        <w:rPr>
          <w:rFonts w:ascii="Cambria" w:eastAsia="Calibri" w:hAnsi="Cambria" w:cs="Calibri"/>
          <w:spacing w:val="-1"/>
        </w:rPr>
        <w:t>s</w:t>
      </w:r>
      <w:r w:rsidRPr="009A0DA6">
        <w:rPr>
          <w:rFonts w:ascii="Cambria" w:eastAsia="Calibri" w:hAnsi="Cambria" w:cs="Calibri"/>
        </w:rPr>
        <w:t>t</w:t>
      </w:r>
      <w:r w:rsidRPr="009A0DA6">
        <w:rPr>
          <w:rFonts w:ascii="Cambria" w:eastAsia="Calibri" w:hAnsi="Cambria" w:cs="Calibri"/>
          <w:spacing w:val="9"/>
        </w:rPr>
        <w:t xml:space="preserve"> </w:t>
      </w:r>
      <w:r w:rsidRPr="009A0DA6">
        <w:rPr>
          <w:rFonts w:ascii="Cambria" w:eastAsia="Calibri" w:hAnsi="Cambria" w:cs="Calibri"/>
        </w:rPr>
        <w:t>c</w:t>
      </w:r>
      <w:r w:rsidRPr="009A0DA6">
        <w:rPr>
          <w:rFonts w:ascii="Cambria" w:eastAsia="Calibri" w:hAnsi="Cambria" w:cs="Calibri"/>
          <w:spacing w:val="-1"/>
        </w:rPr>
        <w:t>e</w:t>
      </w:r>
      <w:r w:rsidRPr="009A0DA6">
        <w:rPr>
          <w:rFonts w:ascii="Cambria" w:eastAsia="Calibri" w:hAnsi="Cambria" w:cs="Calibri"/>
          <w:spacing w:val="1"/>
        </w:rPr>
        <w:t>n</w:t>
      </w:r>
      <w:r w:rsidRPr="009A0DA6">
        <w:rPr>
          <w:rFonts w:ascii="Cambria" w:eastAsia="Calibri" w:hAnsi="Cambria" w:cs="Calibri"/>
        </w:rPr>
        <w:t>t</w:t>
      </w:r>
      <w:r w:rsidRPr="009A0DA6">
        <w:rPr>
          <w:rFonts w:ascii="Cambria" w:eastAsia="Calibri" w:hAnsi="Cambria" w:cs="Calibri"/>
          <w:spacing w:val="1"/>
        </w:rPr>
        <w:t>u</w:t>
      </w:r>
      <w:r w:rsidRPr="009A0DA6">
        <w:rPr>
          <w:rFonts w:ascii="Cambria" w:eastAsia="Calibri" w:hAnsi="Cambria" w:cs="Calibri"/>
          <w:spacing w:val="2"/>
        </w:rPr>
        <w:t>r</w:t>
      </w:r>
      <w:r w:rsidRPr="009A0DA6">
        <w:rPr>
          <w:rFonts w:ascii="Cambria" w:eastAsia="Calibri" w:hAnsi="Cambria" w:cs="Calibri"/>
        </w:rPr>
        <w:t>y c</w:t>
      </w:r>
      <w:r w:rsidRPr="009A0DA6">
        <w:rPr>
          <w:rFonts w:ascii="Cambria" w:eastAsia="Calibri" w:hAnsi="Cambria" w:cs="Calibri"/>
          <w:spacing w:val="1"/>
        </w:rPr>
        <w:t>u</w:t>
      </w:r>
      <w:r w:rsidRPr="009A0DA6">
        <w:rPr>
          <w:rFonts w:ascii="Cambria" w:eastAsia="Calibri" w:hAnsi="Cambria" w:cs="Calibri"/>
        </w:rPr>
        <w:t>lt</w:t>
      </w:r>
      <w:r w:rsidRPr="009A0DA6">
        <w:rPr>
          <w:rFonts w:ascii="Cambria" w:eastAsia="Calibri" w:hAnsi="Cambria" w:cs="Calibri"/>
          <w:spacing w:val="1"/>
        </w:rPr>
        <w:t>u</w:t>
      </w:r>
      <w:r w:rsidRPr="009A0DA6">
        <w:rPr>
          <w:rFonts w:ascii="Cambria" w:eastAsia="Calibri" w:hAnsi="Cambria" w:cs="Calibri"/>
        </w:rPr>
        <w:t>r</w:t>
      </w:r>
      <w:r w:rsidRPr="009A0DA6">
        <w:rPr>
          <w:rFonts w:ascii="Cambria" w:eastAsia="Calibri" w:hAnsi="Cambria" w:cs="Calibri"/>
          <w:spacing w:val="-1"/>
        </w:rPr>
        <w:t>e</w:t>
      </w:r>
      <w:r w:rsidRPr="009A0DA6">
        <w:rPr>
          <w:rFonts w:ascii="Cambria" w:eastAsia="Calibri" w:hAnsi="Cambria" w:cs="Calibri"/>
        </w:rPr>
        <w:t>,</w:t>
      </w:r>
      <w:r w:rsidRPr="009A0DA6">
        <w:rPr>
          <w:rFonts w:ascii="Cambria" w:eastAsia="Calibri" w:hAnsi="Cambria" w:cs="Calibri"/>
          <w:spacing w:val="10"/>
        </w:rPr>
        <w:t xml:space="preserve"> </w:t>
      </w:r>
      <w:r w:rsidRPr="009A0DA6">
        <w:rPr>
          <w:rFonts w:ascii="Cambria" w:eastAsia="Calibri" w:hAnsi="Cambria" w:cs="Calibri"/>
          <w:spacing w:val="1"/>
        </w:rPr>
        <w:t>h</w:t>
      </w:r>
      <w:r w:rsidRPr="009A0DA6">
        <w:rPr>
          <w:rFonts w:ascii="Cambria" w:eastAsia="Calibri" w:hAnsi="Cambria" w:cs="Calibri"/>
        </w:rPr>
        <w:t>ow</w:t>
      </w:r>
      <w:r w:rsidRPr="009A0DA6">
        <w:rPr>
          <w:rFonts w:ascii="Cambria" w:eastAsia="Calibri" w:hAnsi="Cambria" w:cs="Calibri"/>
          <w:spacing w:val="10"/>
        </w:rPr>
        <w:t xml:space="preserve"> </w:t>
      </w:r>
      <w:r w:rsidRPr="009A0DA6">
        <w:rPr>
          <w:rFonts w:ascii="Cambria" w:eastAsia="Calibri" w:hAnsi="Cambria" w:cs="Calibri"/>
          <w:spacing w:val="-1"/>
        </w:rPr>
        <w:t>m</w:t>
      </w:r>
      <w:r w:rsidRPr="009A0DA6">
        <w:rPr>
          <w:rFonts w:ascii="Cambria" w:eastAsia="Calibri" w:hAnsi="Cambria" w:cs="Calibri"/>
          <w:spacing w:val="1"/>
        </w:rPr>
        <w:t>u</w:t>
      </w:r>
      <w:r w:rsidRPr="009A0DA6">
        <w:rPr>
          <w:rFonts w:ascii="Cambria" w:eastAsia="Calibri" w:hAnsi="Cambria" w:cs="Calibri"/>
        </w:rPr>
        <w:t>ch</w:t>
      </w:r>
      <w:r w:rsidRPr="009A0DA6">
        <w:rPr>
          <w:rFonts w:ascii="Cambria" w:eastAsia="Calibri" w:hAnsi="Cambria" w:cs="Calibri"/>
          <w:spacing w:val="10"/>
        </w:rPr>
        <w:t xml:space="preserve"> </w:t>
      </w:r>
      <w:r w:rsidRPr="009A0DA6">
        <w:rPr>
          <w:rFonts w:ascii="Cambria" w:eastAsia="Calibri" w:hAnsi="Cambria" w:cs="Calibri"/>
        </w:rPr>
        <w:t>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11"/>
        </w:rPr>
        <w:t xml:space="preserve"> </w:t>
      </w:r>
      <w:r w:rsidRPr="009A0DA6">
        <w:rPr>
          <w:rFonts w:ascii="Cambria" w:eastAsia="Calibri" w:hAnsi="Cambria" w:cs="Calibri"/>
        </w:rPr>
        <w:t>Scri</w:t>
      </w:r>
      <w:r w:rsidRPr="009A0DA6">
        <w:rPr>
          <w:rFonts w:ascii="Cambria" w:eastAsia="Calibri" w:hAnsi="Cambria" w:cs="Calibri"/>
          <w:spacing w:val="1"/>
        </w:rPr>
        <w:t>p</w:t>
      </w:r>
      <w:r w:rsidRPr="009A0DA6">
        <w:rPr>
          <w:rFonts w:ascii="Cambria" w:eastAsia="Calibri" w:hAnsi="Cambria" w:cs="Calibri"/>
        </w:rPr>
        <w:t>t</w:t>
      </w:r>
      <w:r w:rsidRPr="009A0DA6">
        <w:rPr>
          <w:rFonts w:ascii="Cambria" w:eastAsia="Calibri" w:hAnsi="Cambria" w:cs="Calibri"/>
          <w:spacing w:val="1"/>
        </w:rPr>
        <w:t>u</w:t>
      </w:r>
      <w:r w:rsidRPr="009A0DA6">
        <w:rPr>
          <w:rFonts w:ascii="Cambria" w:eastAsia="Calibri" w:hAnsi="Cambria" w:cs="Calibri"/>
        </w:rPr>
        <w:t>r</w:t>
      </w:r>
      <w:r w:rsidRPr="009A0DA6">
        <w:rPr>
          <w:rFonts w:ascii="Cambria" w:eastAsia="Calibri" w:hAnsi="Cambria" w:cs="Calibri"/>
          <w:spacing w:val="-1"/>
        </w:rPr>
        <w:t>e</w:t>
      </w:r>
      <w:r w:rsidRPr="009A0DA6">
        <w:rPr>
          <w:rFonts w:ascii="Cambria" w:eastAsia="Calibri" w:hAnsi="Cambria" w:cs="Calibri"/>
        </w:rPr>
        <w:t>s</w:t>
      </w:r>
      <w:r w:rsidRPr="009A0DA6">
        <w:rPr>
          <w:rFonts w:ascii="Cambria" w:eastAsia="Calibri" w:hAnsi="Cambria" w:cs="Calibri"/>
          <w:spacing w:val="6"/>
        </w:rPr>
        <w:t xml:space="preserve"> </w:t>
      </w:r>
      <w:r w:rsidRPr="009A0DA6">
        <w:rPr>
          <w:rFonts w:ascii="Cambria" w:eastAsia="Calibri" w:hAnsi="Cambria" w:cs="Calibri"/>
        </w:rPr>
        <w:t>tell</w:t>
      </w:r>
      <w:r w:rsidRPr="009A0DA6">
        <w:rPr>
          <w:rFonts w:ascii="Cambria" w:eastAsia="Calibri" w:hAnsi="Cambria" w:cs="Calibri"/>
          <w:spacing w:val="11"/>
        </w:rPr>
        <w:t xml:space="preserve"> </w:t>
      </w:r>
      <w:r w:rsidRPr="009A0DA6">
        <w:rPr>
          <w:rFonts w:ascii="Cambria" w:eastAsia="Calibri" w:hAnsi="Cambria" w:cs="Calibri"/>
          <w:spacing w:val="1"/>
        </w:rPr>
        <w:t>u</w:t>
      </w:r>
      <w:r w:rsidRPr="009A0DA6">
        <w:rPr>
          <w:rFonts w:ascii="Cambria" w:eastAsia="Calibri" w:hAnsi="Cambria" w:cs="Calibri"/>
        </w:rPr>
        <w:t>s</w:t>
      </w:r>
      <w:r w:rsidRPr="009A0DA6">
        <w:rPr>
          <w:rFonts w:ascii="Cambria" w:eastAsia="Calibri" w:hAnsi="Cambria" w:cs="Calibri"/>
          <w:spacing w:val="12"/>
        </w:rPr>
        <w:t xml:space="preserve"> </w:t>
      </w:r>
      <w:r w:rsidRPr="009A0DA6">
        <w:rPr>
          <w:rFonts w:ascii="Cambria" w:eastAsia="Calibri" w:hAnsi="Cambria" w:cs="Calibri"/>
        </w:rPr>
        <w:t>a</w:t>
      </w:r>
      <w:r w:rsidRPr="009A0DA6">
        <w:rPr>
          <w:rFonts w:ascii="Cambria" w:eastAsia="Calibri" w:hAnsi="Cambria" w:cs="Calibri"/>
          <w:spacing w:val="1"/>
        </w:rPr>
        <w:t>b</w:t>
      </w:r>
      <w:r w:rsidRPr="009A0DA6">
        <w:rPr>
          <w:rFonts w:ascii="Cambria" w:eastAsia="Calibri" w:hAnsi="Cambria" w:cs="Calibri"/>
        </w:rPr>
        <w:t>o</w:t>
      </w:r>
      <w:r w:rsidRPr="009A0DA6">
        <w:rPr>
          <w:rFonts w:ascii="Cambria" w:eastAsia="Calibri" w:hAnsi="Cambria" w:cs="Calibri"/>
          <w:spacing w:val="1"/>
        </w:rPr>
        <w:t>u</w:t>
      </w:r>
      <w:r w:rsidRPr="009A0DA6">
        <w:rPr>
          <w:rFonts w:ascii="Cambria" w:eastAsia="Calibri" w:hAnsi="Cambria" w:cs="Calibri"/>
        </w:rPr>
        <w:t>t</w:t>
      </w:r>
      <w:r w:rsidRPr="009A0DA6">
        <w:rPr>
          <w:rFonts w:ascii="Cambria" w:eastAsia="Calibri" w:hAnsi="Cambria" w:cs="Calibri"/>
          <w:spacing w:val="10"/>
        </w:rPr>
        <w:t xml:space="preserve"> </w:t>
      </w:r>
      <w:r w:rsidRPr="009A0DA6">
        <w:rPr>
          <w:rFonts w:ascii="Cambria" w:eastAsia="Calibri" w:hAnsi="Cambria" w:cs="Calibri"/>
        </w:rPr>
        <w:t>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11"/>
        </w:rPr>
        <w:t xml:space="preserve"> </w:t>
      </w:r>
      <w:r w:rsidRPr="009A0DA6">
        <w:rPr>
          <w:rFonts w:ascii="Cambria" w:eastAsia="Calibri" w:hAnsi="Cambria" w:cs="Calibri"/>
        </w:rPr>
        <w:t>co</w:t>
      </w:r>
      <w:r w:rsidRPr="009A0DA6">
        <w:rPr>
          <w:rFonts w:ascii="Cambria" w:eastAsia="Calibri" w:hAnsi="Cambria" w:cs="Calibri"/>
          <w:spacing w:val="-1"/>
        </w:rPr>
        <w:t>sm</w:t>
      </w:r>
      <w:r w:rsidRPr="009A0DA6">
        <w:rPr>
          <w:rFonts w:ascii="Cambria" w:eastAsia="Calibri" w:hAnsi="Cambria" w:cs="Calibri"/>
          <w:spacing w:val="3"/>
        </w:rPr>
        <w:t>o</w:t>
      </w:r>
      <w:r w:rsidRPr="009A0DA6">
        <w:rPr>
          <w:rFonts w:ascii="Cambria" w:eastAsia="Calibri" w:hAnsi="Cambria" w:cs="Calibri"/>
          <w:spacing w:val="1"/>
        </w:rPr>
        <w:t>p</w:t>
      </w:r>
      <w:r w:rsidRPr="009A0DA6">
        <w:rPr>
          <w:rFonts w:ascii="Cambria" w:eastAsia="Calibri" w:hAnsi="Cambria" w:cs="Calibri"/>
        </w:rPr>
        <w:t>olit</w:t>
      </w:r>
      <w:r w:rsidRPr="009A0DA6">
        <w:rPr>
          <w:rFonts w:ascii="Cambria" w:eastAsia="Calibri" w:hAnsi="Cambria" w:cs="Calibri"/>
          <w:spacing w:val="1"/>
        </w:rPr>
        <w:t>a</w:t>
      </w:r>
      <w:r w:rsidRPr="009A0DA6">
        <w:rPr>
          <w:rFonts w:ascii="Cambria" w:eastAsia="Calibri" w:hAnsi="Cambria" w:cs="Calibri"/>
        </w:rPr>
        <w:t>n</w:t>
      </w:r>
      <w:r w:rsidRPr="009A0DA6">
        <w:rPr>
          <w:rFonts w:ascii="Cambria" w:eastAsia="Calibri" w:hAnsi="Cambria" w:cs="Calibri"/>
          <w:spacing w:val="4"/>
        </w:rPr>
        <w:t xml:space="preserve"> </w:t>
      </w:r>
      <w:r w:rsidRPr="009A0DA6">
        <w:rPr>
          <w:rFonts w:ascii="Cambria" w:eastAsia="Calibri" w:hAnsi="Cambria" w:cs="Calibri"/>
          <w:spacing w:val="1"/>
        </w:rPr>
        <w:t>n</w:t>
      </w:r>
      <w:r w:rsidRPr="009A0DA6">
        <w:rPr>
          <w:rFonts w:ascii="Cambria" w:eastAsia="Calibri" w:hAnsi="Cambria" w:cs="Calibri"/>
        </w:rPr>
        <w:t>a</w:t>
      </w:r>
      <w:r w:rsidRPr="009A0DA6">
        <w:rPr>
          <w:rFonts w:ascii="Cambria" w:eastAsia="Calibri" w:hAnsi="Cambria" w:cs="Calibri"/>
          <w:spacing w:val="1"/>
        </w:rPr>
        <w:t>tu</w:t>
      </w:r>
      <w:r w:rsidRPr="009A0DA6">
        <w:rPr>
          <w:rFonts w:ascii="Cambria" w:eastAsia="Calibri" w:hAnsi="Cambria" w:cs="Calibri"/>
        </w:rPr>
        <w:t>re</w:t>
      </w:r>
      <w:r w:rsidRPr="009A0DA6">
        <w:rPr>
          <w:rFonts w:ascii="Cambria" w:eastAsia="Calibri" w:hAnsi="Cambria" w:cs="Calibri"/>
          <w:spacing w:val="9"/>
        </w:rPr>
        <w:t xml:space="preserve"> </w:t>
      </w:r>
      <w:r w:rsidRPr="009A0DA6">
        <w:rPr>
          <w:rFonts w:ascii="Cambria" w:eastAsia="Calibri" w:hAnsi="Cambria" w:cs="Calibri"/>
        </w:rPr>
        <w:t>of</w:t>
      </w:r>
      <w:r w:rsidRPr="009A0DA6">
        <w:rPr>
          <w:rFonts w:ascii="Cambria" w:eastAsia="Calibri" w:hAnsi="Cambria" w:cs="Calibri"/>
          <w:spacing w:val="12"/>
        </w:rPr>
        <w:t xml:space="preserve"> </w:t>
      </w:r>
      <w:r w:rsidRPr="009A0DA6">
        <w:rPr>
          <w:rFonts w:ascii="Cambria" w:eastAsia="Calibri" w:hAnsi="Cambria" w:cs="Calibri"/>
          <w:spacing w:val="-2"/>
        </w:rPr>
        <w:t>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11"/>
        </w:rPr>
        <w:t xml:space="preserve"> </w:t>
      </w:r>
      <w:r w:rsidRPr="009A0DA6">
        <w:rPr>
          <w:rFonts w:ascii="Cambria" w:eastAsia="Calibri" w:hAnsi="Cambria" w:cs="Calibri"/>
        </w:rPr>
        <w:t>c</w:t>
      </w:r>
      <w:r w:rsidRPr="009A0DA6">
        <w:rPr>
          <w:rFonts w:ascii="Cambria" w:eastAsia="Calibri" w:hAnsi="Cambria" w:cs="Calibri"/>
          <w:spacing w:val="1"/>
        </w:rPr>
        <w:t>hu</w:t>
      </w:r>
      <w:r w:rsidRPr="009A0DA6">
        <w:rPr>
          <w:rFonts w:ascii="Cambria" w:eastAsia="Calibri" w:hAnsi="Cambria" w:cs="Calibri"/>
        </w:rPr>
        <w:t>rc</w:t>
      </w:r>
      <w:r w:rsidRPr="009A0DA6">
        <w:rPr>
          <w:rFonts w:ascii="Cambria" w:eastAsia="Calibri" w:hAnsi="Cambria" w:cs="Calibri"/>
          <w:spacing w:val="1"/>
        </w:rPr>
        <w:t>h</w:t>
      </w:r>
      <w:r w:rsidRPr="009A0DA6">
        <w:rPr>
          <w:rFonts w:ascii="Cambria" w:eastAsia="Calibri" w:hAnsi="Cambria" w:cs="Calibri"/>
          <w:spacing w:val="-1"/>
        </w:rPr>
        <w:t>e</w:t>
      </w:r>
      <w:r w:rsidRPr="009A0DA6">
        <w:rPr>
          <w:rFonts w:ascii="Cambria" w:eastAsia="Calibri" w:hAnsi="Cambria" w:cs="Calibri"/>
        </w:rPr>
        <w:t>s</w:t>
      </w:r>
      <w:r w:rsidRPr="009A0DA6">
        <w:rPr>
          <w:rFonts w:ascii="Cambria" w:eastAsia="Calibri" w:hAnsi="Cambria" w:cs="Calibri"/>
          <w:spacing w:val="7"/>
        </w:rPr>
        <w:t xml:space="preserve"> </w:t>
      </w:r>
      <w:r w:rsidRPr="009A0DA6">
        <w:rPr>
          <w:rFonts w:ascii="Cambria" w:eastAsia="Calibri" w:hAnsi="Cambria" w:cs="Calibri"/>
        </w:rPr>
        <w:t>in</w:t>
      </w:r>
      <w:r w:rsidRPr="009A0DA6">
        <w:rPr>
          <w:rFonts w:ascii="Cambria" w:eastAsia="Calibri" w:hAnsi="Cambria" w:cs="Calibri"/>
          <w:spacing w:val="13"/>
        </w:rPr>
        <w:t xml:space="preserve"> </w:t>
      </w:r>
      <w:r w:rsidRPr="009A0DA6">
        <w:rPr>
          <w:rFonts w:ascii="Cambria" w:eastAsia="Calibri" w:hAnsi="Cambria" w:cs="Calibri"/>
        </w:rPr>
        <w:t>Cori</w:t>
      </w:r>
      <w:r w:rsidRPr="009A0DA6">
        <w:rPr>
          <w:rFonts w:ascii="Cambria" w:eastAsia="Calibri" w:hAnsi="Cambria" w:cs="Calibri"/>
          <w:spacing w:val="1"/>
        </w:rPr>
        <w:t>n</w:t>
      </w:r>
      <w:r w:rsidRPr="009A0DA6">
        <w:rPr>
          <w:rFonts w:ascii="Cambria" w:eastAsia="Calibri" w:hAnsi="Cambria" w:cs="Calibri"/>
        </w:rPr>
        <w:t>th</w:t>
      </w:r>
      <w:r w:rsidRPr="009A0DA6">
        <w:rPr>
          <w:rFonts w:ascii="Cambria" w:eastAsia="Calibri" w:hAnsi="Cambria" w:cs="Calibri"/>
          <w:spacing w:val="10"/>
        </w:rPr>
        <w:t xml:space="preserve"> </w:t>
      </w:r>
      <w:r w:rsidRPr="009A0DA6">
        <w:rPr>
          <w:rFonts w:ascii="Cambria" w:eastAsia="Calibri" w:hAnsi="Cambria" w:cs="Calibri"/>
        </w:rPr>
        <w:t>a</w:t>
      </w:r>
      <w:r w:rsidRPr="009A0DA6">
        <w:rPr>
          <w:rFonts w:ascii="Cambria" w:eastAsia="Calibri" w:hAnsi="Cambria" w:cs="Calibri"/>
          <w:spacing w:val="1"/>
        </w:rPr>
        <w:t>n</w:t>
      </w:r>
      <w:r w:rsidRPr="009A0DA6">
        <w:rPr>
          <w:rFonts w:ascii="Cambria" w:eastAsia="Calibri" w:hAnsi="Cambria" w:cs="Calibri"/>
        </w:rPr>
        <w:t>d</w:t>
      </w:r>
      <w:r w:rsidRPr="009A0DA6">
        <w:rPr>
          <w:rFonts w:ascii="Cambria" w:eastAsia="Calibri" w:hAnsi="Cambria" w:cs="Calibri"/>
          <w:spacing w:val="10"/>
        </w:rPr>
        <w:t xml:space="preserve"> </w:t>
      </w:r>
      <w:r w:rsidRPr="009A0DA6">
        <w:rPr>
          <w:rFonts w:ascii="Cambria" w:eastAsia="Calibri" w:hAnsi="Cambria" w:cs="Calibri"/>
          <w:spacing w:val="1"/>
          <w:w w:val="99"/>
        </w:rPr>
        <w:t>Eph</w:t>
      </w:r>
      <w:r w:rsidRPr="009A0DA6">
        <w:rPr>
          <w:rFonts w:ascii="Cambria" w:eastAsia="Calibri" w:hAnsi="Cambria" w:cs="Calibri"/>
          <w:spacing w:val="-1"/>
          <w:w w:val="99"/>
        </w:rPr>
        <w:t>es</w:t>
      </w:r>
      <w:r w:rsidRPr="009A0DA6">
        <w:rPr>
          <w:rFonts w:ascii="Cambria" w:eastAsia="Calibri" w:hAnsi="Cambria" w:cs="Calibri"/>
          <w:spacing w:val="1"/>
          <w:w w:val="99"/>
        </w:rPr>
        <w:t>u</w:t>
      </w:r>
      <w:r w:rsidRPr="009A0DA6">
        <w:rPr>
          <w:rFonts w:ascii="Cambria" w:eastAsia="Calibri" w:hAnsi="Cambria" w:cs="Calibri"/>
          <w:spacing w:val="-1"/>
          <w:w w:val="99"/>
        </w:rPr>
        <w:t>s</w:t>
      </w:r>
      <w:r w:rsidRPr="009A0DA6">
        <w:rPr>
          <w:rFonts w:ascii="Cambria" w:eastAsia="Calibri" w:hAnsi="Cambria" w:cs="Calibri"/>
          <w:w w:val="99"/>
        </w:rPr>
        <w:t>,</w:t>
      </w:r>
      <w:r w:rsidRPr="009A0DA6">
        <w:rPr>
          <w:rStyle w:val="FootnoteReference"/>
          <w:rFonts w:ascii="Cambria" w:eastAsia="Calibri" w:hAnsi="Cambria" w:cs="Calibri"/>
          <w:w w:val="99"/>
        </w:rPr>
        <w:footnoteReference w:id="15"/>
      </w:r>
      <w:r w:rsidRPr="009A0DA6">
        <w:rPr>
          <w:rFonts w:ascii="Cambria" w:eastAsia="Calibri" w:hAnsi="Cambria" w:cs="Calibri"/>
          <w:spacing w:val="29"/>
          <w:position w:val="7"/>
        </w:rPr>
        <w:t xml:space="preserve"> </w:t>
      </w:r>
      <w:r w:rsidRPr="009A0DA6">
        <w:rPr>
          <w:rFonts w:ascii="Cambria" w:eastAsia="Calibri" w:hAnsi="Cambria" w:cs="Calibri"/>
        </w:rPr>
        <w:t>a</w:t>
      </w:r>
      <w:r w:rsidRPr="009A0DA6">
        <w:rPr>
          <w:rFonts w:ascii="Cambria" w:eastAsia="Calibri" w:hAnsi="Cambria" w:cs="Calibri"/>
          <w:spacing w:val="-1"/>
        </w:rPr>
        <w:t>n</w:t>
      </w:r>
      <w:r w:rsidRPr="009A0DA6">
        <w:rPr>
          <w:rFonts w:ascii="Cambria" w:eastAsia="Calibri" w:hAnsi="Cambria" w:cs="Calibri"/>
        </w:rPr>
        <w:t xml:space="preserve">d </w:t>
      </w:r>
      <w:r w:rsidRPr="009A0DA6">
        <w:rPr>
          <w:rFonts w:ascii="Cambria" w:eastAsia="Calibri" w:hAnsi="Cambria" w:cs="Calibri"/>
          <w:spacing w:val="1"/>
        </w:rPr>
        <w:t>h</w:t>
      </w:r>
      <w:r w:rsidRPr="009A0DA6">
        <w:rPr>
          <w:rFonts w:ascii="Cambria" w:eastAsia="Calibri" w:hAnsi="Cambria" w:cs="Calibri"/>
        </w:rPr>
        <w:t>ow</w:t>
      </w:r>
      <w:r w:rsidRPr="009A0DA6">
        <w:rPr>
          <w:rFonts w:ascii="Cambria" w:eastAsia="Calibri" w:hAnsi="Cambria" w:cs="Calibri"/>
          <w:spacing w:val="8"/>
        </w:rPr>
        <w:t xml:space="preserve"> </w:t>
      </w:r>
      <w:r w:rsidRPr="009A0DA6">
        <w:rPr>
          <w:rFonts w:ascii="Cambria" w:eastAsia="Calibri" w:hAnsi="Cambria" w:cs="Calibri"/>
        </w:rPr>
        <w:t>o</w:t>
      </w:r>
      <w:r w:rsidRPr="009A0DA6">
        <w:rPr>
          <w:rFonts w:ascii="Cambria" w:eastAsia="Calibri" w:hAnsi="Cambria" w:cs="Calibri"/>
          <w:spacing w:val="-1"/>
        </w:rPr>
        <w:t>f</w:t>
      </w:r>
      <w:r w:rsidRPr="009A0DA6">
        <w:rPr>
          <w:rFonts w:ascii="Cambria" w:eastAsia="Calibri" w:hAnsi="Cambria" w:cs="Calibri"/>
        </w:rPr>
        <w:t>ten</w:t>
      </w:r>
      <w:r w:rsidRPr="009A0DA6">
        <w:rPr>
          <w:rFonts w:ascii="Cambria" w:eastAsia="Calibri" w:hAnsi="Cambria" w:cs="Calibri"/>
          <w:spacing w:val="8"/>
        </w:rPr>
        <w:t xml:space="preserve"> </w:t>
      </w:r>
      <w:r w:rsidRPr="009A0DA6">
        <w:rPr>
          <w:rFonts w:ascii="Cambria" w:eastAsia="Calibri" w:hAnsi="Cambria" w:cs="Calibri"/>
        </w:rPr>
        <w:t>Chri</w:t>
      </w:r>
      <w:r w:rsidRPr="009A0DA6">
        <w:rPr>
          <w:rFonts w:ascii="Cambria" w:eastAsia="Calibri" w:hAnsi="Cambria" w:cs="Calibri"/>
          <w:spacing w:val="-1"/>
        </w:rPr>
        <w:t>s</w:t>
      </w:r>
      <w:r w:rsidRPr="009A0DA6">
        <w:rPr>
          <w:rFonts w:ascii="Cambria" w:eastAsia="Calibri" w:hAnsi="Cambria" w:cs="Calibri"/>
        </w:rPr>
        <w:t>t</w:t>
      </w:r>
      <w:r w:rsidRPr="009A0DA6">
        <w:rPr>
          <w:rFonts w:ascii="Cambria" w:eastAsia="Calibri" w:hAnsi="Cambria" w:cs="Calibri"/>
          <w:spacing w:val="7"/>
        </w:rPr>
        <w:t xml:space="preserve"> </w:t>
      </w:r>
      <w:r w:rsidRPr="009A0DA6">
        <w:rPr>
          <w:rFonts w:ascii="Cambria" w:eastAsia="Calibri" w:hAnsi="Cambria" w:cs="Calibri"/>
        </w:rPr>
        <w:t>a</w:t>
      </w:r>
      <w:r w:rsidRPr="009A0DA6">
        <w:rPr>
          <w:rFonts w:ascii="Cambria" w:eastAsia="Calibri" w:hAnsi="Cambria" w:cs="Calibri"/>
          <w:spacing w:val="1"/>
        </w:rPr>
        <w:t>n</w:t>
      </w:r>
      <w:r w:rsidRPr="009A0DA6">
        <w:rPr>
          <w:rFonts w:ascii="Cambria" w:eastAsia="Calibri" w:hAnsi="Cambria" w:cs="Calibri"/>
        </w:rPr>
        <w:t>d</w:t>
      </w:r>
      <w:r w:rsidRPr="009A0DA6">
        <w:rPr>
          <w:rFonts w:ascii="Cambria" w:eastAsia="Calibri" w:hAnsi="Cambria" w:cs="Calibri"/>
          <w:spacing w:val="9"/>
        </w:rPr>
        <w:t xml:space="preserve"> </w:t>
      </w:r>
      <w:r w:rsidRPr="009A0DA6">
        <w:rPr>
          <w:rFonts w:ascii="Cambria" w:eastAsia="Calibri" w:hAnsi="Cambria" w:cs="Calibri"/>
          <w:spacing w:val="1"/>
        </w:rPr>
        <w:t>h</w:t>
      </w:r>
      <w:r w:rsidRPr="009A0DA6">
        <w:rPr>
          <w:rFonts w:ascii="Cambria" w:eastAsia="Calibri" w:hAnsi="Cambria" w:cs="Calibri"/>
        </w:rPr>
        <w:t>is</w:t>
      </w:r>
      <w:r w:rsidRPr="009A0DA6">
        <w:rPr>
          <w:rFonts w:ascii="Cambria" w:eastAsia="Calibri" w:hAnsi="Cambria" w:cs="Calibri"/>
          <w:spacing w:val="8"/>
        </w:rPr>
        <w:t xml:space="preserve"> </w:t>
      </w:r>
      <w:r w:rsidRPr="009A0DA6">
        <w:rPr>
          <w:rFonts w:ascii="Cambria" w:eastAsia="Calibri" w:hAnsi="Cambria" w:cs="Calibri"/>
        </w:rPr>
        <w:lastRenderedPageBreak/>
        <w:t>A</w:t>
      </w:r>
      <w:r w:rsidRPr="009A0DA6">
        <w:rPr>
          <w:rFonts w:ascii="Cambria" w:eastAsia="Calibri" w:hAnsi="Cambria" w:cs="Calibri"/>
          <w:spacing w:val="1"/>
        </w:rPr>
        <w:t>p</w:t>
      </w:r>
      <w:r w:rsidRPr="009A0DA6">
        <w:rPr>
          <w:rFonts w:ascii="Cambria" w:eastAsia="Calibri" w:hAnsi="Cambria" w:cs="Calibri"/>
          <w:spacing w:val="3"/>
        </w:rPr>
        <w:t>o</w:t>
      </w:r>
      <w:r w:rsidRPr="009A0DA6">
        <w:rPr>
          <w:rFonts w:ascii="Cambria" w:eastAsia="Calibri" w:hAnsi="Cambria" w:cs="Calibri"/>
          <w:spacing w:val="-1"/>
        </w:rPr>
        <w:t>s</w:t>
      </w:r>
      <w:r w:rsidRPr="009A0DA6">
        <w:rPr>
          <w:rFonts w:ascii="Cambria" w:eastAsia="Calibri" w:hAnsi="Cambria" w:cs="Calibri"/>
        </w:rPr>
        <w:t>tl</w:t>
      </w:r>
      <w:r w:rsidRPr="009A0DA6">
        <w:rPr>
          <w:rFonts w:ascii="Cambria" w:eastAsia="Calibri" w:hAnsi="Cambria" w:cs="Calibri"/>
          <w:spacing w:val="2"/>
        </w:rPr>
        <w:t>e</w:t>
      </w:r>
      <w:r w:rsidRPr="009A0DA6">
        <w:rPr>
          <w:rFonts w:ascii="Cambria" w:eastAsia="Calibri" w:hAnsi="Cambria" w:cs="Calibri"/>
        </w:rPr>
        <w:t>s</w:t>
      </w:r>
      <w:r w:rsidRPr="009A0DA6">
        <w:rPr>
          <w:rFonts w:ascii="Cambria" w:eastAsia="Calibri" w:hAnsi="Cambria" w:cs="Calibri"/>
          <w:spacing w:val="4"/>
        </w:rPr>
        <w:t xml:space="preserve"> </w:t>
      </w:r>
      <w:r w:rsidRPr="009A0DA6">
        <w:rPr>
          <w:rFonts w:ascii="Cambria" w:eastAsia="Calibri" w:hAnsi="Cambria" w:cs="Calibri"/>
          <w:spacing w:val="1"/>
        </w:rPr>
        <w:t>d</w:t>
      </w:r>
      <w:r w:rsidRPr="009A0DA6">
        <w:rPr>
          <w:rFonts w:ascii="Cambria" w:eastAsia="Calibri" w:hAnsi="Cambria" w:cs="Calibri"/>
        </w:rPr>
        <w:t>i</w:t>
      </w:r>
      <w:r w:rsidRPr="009A0DA6">
        <w:rPr>
          <w:rFonts w:ascii="Cambria" w:eastAsia="Calibri" w:hAnsi="Cambria" w:cs="Calibri"/>
          <w:spacing w:val="-1"/>
        </w:rPr>
        <w:t>s</w:t>
      </w:r>
      <w:r w:rsidRPr="009A0DA6">
        <w:rPr>
          <w:rFonts w:ascii="Cambria" w:eastAsia="Calibri" w:hAnsi="Cambria" w:cs="Calibri"/>
          <w:spacing w:val="1"/>
        </w:rPr>
        <w:t>p</w:t>
      </w:r>
      <w:r w:rsidRPr="009A0DA6">
        <w:rPr>
          <w:rFonts w:ascii="Cambria" w:eastAsia="Calibri" w:hAnsi="Cambria" w:cs="Calibri"/>
        </w:rPr>
        <w:t>la</w:t>
      </w:r>
      <w:r w:rsidRPr="009A0DA6">
        <w:rPr>
          <w:rFonts w:ascii="Cambria" w:eastAsia="Calibri" w:hAnsi="Cambria" w:cs="Calibri"/>
          <w:spacing w:val="1"/>
        </w:rPr>
        <w:t>y</w:t>
      </w:r>
      <w:r w:rsidRPr="009A0DA6">
        <w:rPr>
          <w:rFonts w:ascii="Cambria" w:eastAsia="Calibri" w:hAnsi="Cambria" w:cs="Calibri"/>
          <w:spacing w:val="-1"/>
        </w:rPr>
        <w:t>e</w:t>
      </w:r>
      <w:r w:rsidRPr="009A0DA6">
        <w:rPr>
          <w:rFonts w:ascii="Cambria" w:eastAsia="Calibri" w:hAnsi="Cambria" w:cs="Calibri"/>
        </w:rPr>
        <w:t>d</w:t>
      </w:r>
      <w:r w:rsidRPr="009A0DA6">
        <w:rPr>
          <w:rFonts w:ascii="Cambria" w:eastAsia="Calibri" w:hAnsi="Cambria" w:cs="Calibri"/>
          <w:spacing w:val="4"/>
        </w:rPr>
        <w:t xml:space="preserve"> </w:t>
      </w:r>
      <w:r w:rsidRPr="009A0DA6">
        <w:rPr>
          <w:rFonts w:ascii="Cambria" w:eastAsia="Calibri" w:hAnsi="Cambria" w:cs="Calibri"/>
        </w:rPr>
        <w:t>a</w:t>
      </w:r>
      <w:r w:rsidRPr="009A0DA6">
        <w:rPr>
          <w:rFonts w:ascii="Cambria" w:eastAsia="Calibri" w:hAnsi="Cambria" w:cs="Calibri"/>
          <w:spacing w:val="11"/>
        </w:rPr>
        <w:t xml:space="preserve"> </w:t>
      </w:r>
      <w:r w:rsidRPr="009A0DA6">
        <w:rPr>
          <w:rFonts w:ascii="Cambria" w:eastAsia="Calibri" w:hAnsi="Cambria" w:cs="Calibri"/>
          <w:spacing w:val="-1"/>
        </w:rPr>
        <w:t>w</w:t>
      </w:r>
      <w:r w:rsidRPr="009A0DA6">
        <w:rPr>
          <w:rFonts w:ascii="Cambria" w:eastAsia="Calibri" w:hAnsi="Cambria" w:cs="Calibri"/>
        </w:rPr>
        <w:t>il</w:t>
      </w:r>
      <w:r w:rsidRPr="009A0DA6">
        <w:rPr>
          <w:rFonts w:ascii="Cambria" w:eastAsia="Calibri" w:hAnsi="Cambria" w:cs="Calibri"/>
          <w:spacing w:val="-1"/>
        </w:rPr>
        <w:t>l</w:t>
      </w:r>
      <w:r w:rsidRPr="009A0DA6">
        <w:rPr>
          <w:rFonts w:ascii="Cambria" w:eastAsia="Calibri" w:hAnsi="Cambria" w:cs="Calibri"/>
        </w:rPr>
        <w:t>i</w:t>
      </w:r>
      <w:r w:rsidRPr="009A0DA6">
        <w:rPr>
          <w:rFonts w:ascii="Cambria" w:eastAsia="Calibri" w:hAnsi="Cambria" w:cs="Calibri"/>
          <w:spacing w:val="1"/>
        </w:rPr>
        <w:t>n</w:t>
      </w:r>
      <w:r w:rsidRPr="009A0DA6">
        <w:rPr>
          <w:rFonts w:ascii="Cambria" w:eastAsia="Calibri" w:hAnsi="Cambria" w:cs="Calibri"/>
        </w:rPr>
        <w:t>g</w:t>
      </w:r>
      <w:r w:rsidRPr="009A0DA6">
        <w:rPr>
          <w:rFonts w:ascii="Cambria" w:eastAsia="Calibri" w:hAnsi="Cambria" w:cs="Calibri"/>
          <w:spacing w:val="3"/>
        </w:rPr>
        <w:t>n</w:t>
      </w:r>
      <w:r w:rsidRPr="009A0DA6">
        <w:rPr>
          <w:rFonts w:ascii="Cambria" w:eastAsia="Calibri" w:hAnsi="Cambria" w:cs="Calibri"/>
          <w:spacing w:val="-1"/>
        </w:rPr>
        <w:t>e</w:t>
      </w:r>
      <w:r w:rsidRPr="009A0DA6">
        <w:rPr>
          <w:rFonts w:ascii="Cambria" w:eastAsia="Calibri" w:hAnsi="Cambria" w:cs="Calibri"/>
          <w:spacing w:val="1"/>
        </w:rPr>
        <w:t>s</w:t>
      </w:r>
      <w:r w:rsidRPr="009A0DA6">
        <w:rPr>
          <w:rFonts w:ascii="Cambria" w:eastAsia="Calibri" w:hAnsi="Cambria" w:cs="Calibri"/>
        </w:rPr>
        <w:t>s</w:t>
      </w:r>
      <w:r w:rsidRPr="009A0DA6">
        <w:rPr>
          <w:rFonts w:ascii="Cambria" w:eastAsia="Calibri" w:hAnsi="Cambria" w:cs="Calibri"/>
          <w:spacing w:val="4"/>
        </w:rPr>
        <w:t xml:space="preserve"> </w:t>
      </w:r>
      <w:r w:rsidRPr="009A0DA6">
        <w:rPr>
          <w:rFonts w:ascii="Cambria" w:eastAsia="Calibri" w:hAnsi="Cambria" w:cs="Calibri"/>
        </w:rPr>
        <w:t>to</w:t>
      </w:r>
      <w:r w:rsidRPr="009A0DA6">
        <w:rPr>
          <w:rFonts w:ascii="Cambria" w:eastAsia="Calibri" w:hAnsi="Cambria" w:cs="Calibri"/>
          <w:spacing w:val="10"/>
        </w:rPr>
        <w:t xml:space="preserve"> </w:t>
      </w:r>
      <w:r w:rsidRPr="009A0DA6">
        <w:rPr>
          <w:rFonts w:ascii="Cambria" w:eastAsia="Calibri" w:hAnsi="Cambria" w:cs="Calibri"/>
        </w:rPr>
        <w:t>o</w:t>
      </w:r>
      <w:r w:rsidRPr="009A0DA6">
        <w:rPr>
          <w:rFonts w:ascii="Cambria" w:eastAsia="Calibri" w:hAnsi="Cambria" w:cs="Calibri"/>
          <w:spacing w:val="-1"/>
        </w:rPr>
        <w:t>ffe</w:t>
      </w:r>
      <w:r w:rsidRPr="009A0DA6">
        <w:rPr>
          <w:rFonts w:ascii="Cambria" w:eastAsia="Calibri" w:hAnsi="Cambria" w:cs="Calibri"/>
          <w:spacing w:val="1"/>
        </w:rPr>
        <w:t>n</w:t>
      </w:r>
      <w:r w:rsidRPr="009A0DA6">
        <w:rPr>
          <w:rFonts w:ascii="Cambria" w:eastAsia="Calibri" w:hAnsi="Cambria" w:cs="Calibri"/>
        </w:rPr>
        <w:t>d</w:t>
      </w:r>
      <w:r w:rsidRPr="009A0DA6">
        <w:rPr>
          <w:rFonts w:ascii="Cambria" w:eastAsia="Calibri" w:hAnsi="Cambria" w:cs="Calibri"/>
          <w:spacing w:val="7"/>
        </w:rPr>
        <w:t xml:space="preserve"> </w:t>
      </w:r>
      <w:r w:rsidRPr="009A0DA6">
        <w:rPr>
          <w:rFonts w:ascii="Cambria" w:eastAsia="Calibri" w:hAnsi="Cambria" w:cs="Calibri"/>
          <w:spacing w:val="1"/>
        </w:rPr>
        <w:t>p</w:t>
      </w:r>
      <w:r w:rsidRPr="009A0DA6">
        <w:rPr>
          <w:rFonts w:ascii="Cambria" w:eastAsia="Calibri" w:hAnsi="Cambria" w:cs="Calibri"/>
          <w:spacing w:val="-1"/>
        </w:rPr>
        <w:t>e</w:t>
      </w:r>
      <w:r w:rsidRPr="009A0DA6">
        <w:rPr>
          <w:rFonts w:ascii="Cambria" w:eastAsia="Calibri" w:hAnsi="Cambria" w:cs="Calibri"/>
        </w:rPr>
        <w:t>o</w:t>
      </w:r>
      <w:r w:rsidRPr="009A0DA6">
        <w:rPr>
          <w:rFonts w:ascii="Cambria" w:eastAsia="Calibri" w:hAnsi="Cambria" w:cs="Calibri"/>
          <w:spacing w:val="1"/>
        </w:rPr>
        <w:t>p</w:t>
      </w:r>
      <w:r w:rsidRPr="009A0DA6">
        <w:rPr>
          <w:rFonts w:ascii="Cambria" w:eastAsia="Calibri" w:hAnsi="Cambria" w:cs="Calibri"/>
        </w:rPr>
        <w:t>l</w:t>
      </w:r>
      <w:r w:rsidRPr="009A0DA6">
        <w:rPr>
          <w:rFonts w:ascii="Cambria" w:eastAsia="Calibri" w:hAnsi="Cambria" w:cs="Calibri"/>
          <w:spacing w:val="-1"/>
        </w:rPr>
        <w:t>e</w:t>
      </w:r>
      <w:r w:rsidRPr="009A0DA6">
        <w:rPr>
          <w:rFonts w:ascii="Cambria" w:eastAsia="Calibri" w:hAnsi="Cambria" w:cs="Calibri"/>
        </w:rPr>
        <w:t>’s</w:t>
      </w:r>
      <w:r w:rsidRPr="009A0DA6">
        <w:rPr>
          <w:rFonts w:ascii="Cambria" w:eastAsia="Calibri" w:hAnsi="Cambria" w:cs="Calibri"/>
          <w:spacing w:val="6"/>
        </w:rPr>
        <w:t xml:space="preserve"> </w:t>
      </w:r>
      <w:r w:rsidRPr="009A0DA6">
        <w:rPr>
          <w:rFonts w:ascii="Cambria" w:eastAsia="Calibri" w:hAnsi="Cambria" w:cs="Calibri"/>
          <w:spacing w:val="-1"/>
        </w:rPr>
        <w:t>se</w:t>
      </w:r>
      <w:r w:rsidRPr="009A0DA6">
        <w:rPr>
          <w:rFonts w:ascii="Cambria" w:eastAsia="Calibri" w:hAnsi="Cambria" w:cs="Calibri"/>
          <w:spacing w:val="3"/>
        </w:rPr>
        <w:t>n</w:t>
      </w:r>
      <w:r w:rsidRPr="009A0DA6">
        <w:rPr>
          <w:rFonts w:ascii="Cambria" w:eastAsia="Calibri" w:hAnsi="Cambria" w:cs="Calibri"/>
          <w:spacing w:val="-1"/>
        </w:rPr>
        <w:t>s</w:t>
      </w:r>
      <w:r w:rsidRPr="009A0DA6">
        <w:rPr>
          <w:rFonts w:ascii="Cambria" w:eastAsia="Calibri" w:hAnsi="Cambria" w:cs="Calibri"/>
        </w:rPr>
        <w:t>i</w:t>
      </w:r>
      <w:r w:rsidRPr="009A0DA6">
        <w:rPr>
          <w:rFonts w:ascii="Cambria" w:eastAsia="Calibri" w:hAnsi="Cambria" w:cs="Calibri"/>
          <w:spacing w:val="1"/>
        </w:rPr>
        <w:t>b</w:t>
      </w:r>
      <w:r w:rsidRPr="009A0DA6">
        <w:rPr>
          <w:rFonts w:ascii="Cambria" w:eastAsia="Calibri" w:hAnsi="Cambria" w:cs="Calibri"/>
        </w:rPr>
        <w:t>il</w:t>
      </w:r>
      <w:r w:rsidRPr="009A0DA6">
        <w:rPr>
          <w:rFonts w:ascii="Cambria" w:eastAsia="Calibri" w:hAnsi="Cambria" w:cs="Calibri"/>
          <w:spacing w:val="-1"/>
        </w:rPr>
        <w:t>i</w:t>
      </w:r>
      <w:r w:rsidRPr="009A0DA6">
        <w:rPr>
          <w:rFonts w:ascii="Cambria" w:eastAsia="Calibri" w:hAnsi="Cambria" w:cs="Calibri"/>
        </w:rPr>
        <w:t>ti</w:t>
      </w:r>
      <w:r w:rsidRPr="009A0DA6">
        <w:rPr>
          <w:rFonts w:ascii="Cambria" w:eastAsia="Calibri" w:hAnsi="Cambria" w:cs="Calibri"/>
          <w:spacing w:val="2"/>
        </w:rPr>
        <w:t>e</w:t>
      </w:r>
      <w:r w:rsidRPr="009A0DA6">
        <w:rPr>
          <w:rFonts w:ascii="Cambria" w:eastAsia="Calibri" w:hAnsi="Cambria" w:cs="Calibri"/>
          <w:spacing w:val="1"/>
        </w:rPr>
        <w:t>s</w:t>
      </w:r>
      <w:r w:rsidRPr="009A0DA6">
        <w:rPr>
          <w:rFonts w:ascii="Cambria" w:eastAsia="Calibri" w:hAnsi="Cambria" w:cs="Calibri"/>
        </w:rPr>
        <w:t>,</w:t>
      </w:r>
      <w:r w:rsidRPr="009A0DA6">
        <w:rPr>
          <w:rFonts w:ascii="Cambria" w:eastAsia="Calibri" w:hAnsi="Cambria" w:cs="Calibri"/>
          <w:spacing w:val="4"/>
        </w:rPr>
        <w:t xml:space="preserve"> </w:t>
      </w:r>
      <w:r w:rsidRPr="009A0DA6">
        <w:rPr>
          <w:rFonts w:ascii="Cambria" w:eastAsia="Calibri" w:hAnsi="Cambria" w:cs="Calibri"/>
        </w:rPr>
        <w:t>t</w:t>
      </w:r>
      <w:r w:rsidRPr="009A0DA6">
        <w:rPr>
          <w:rFonts w:ascii="Cambria" w:eastAsia="Calibri" w:hAnsi="Cambria" w:cs="Calibri"/>
          <w:spacing w:val="1"/>
        </w:rPr>
        <w:t>h</w:t>
      </w:r>
      <w:r w:rsidRPr="009A0DA6">
        <w:rPr>
          <w:rFonts w:ascii="Cambria" w:eastAsia="Calibri" w:hAnsi="Cambria" w:cs="Calibri"/>
        </w:rPr>
        <w:t>is</w:t>
      </w:r>
      <w:r w:rsidRPr="009A0DA6">
        <w:rPr>
          <w:rFonts w:ascii="Cambria" w:eastAsia="Calibri" w:hAnsi="Cambria" w:cs="Calibri"/>
          <w:spacing w:val="7"/>
        </w:rPr>
        <w:t xml:space="preserve"> </w:t>
      </w:r>
      <w:r w:rsidRPr="009A0DA6">
        <w:rPr>
          <w:rFonts w:ascii="Cambria" w:eastAsia="Calibri" w:hAnsi="Cambria" w:cs="Calibri"/>
        </w:rPr>
        <w:t>line</w:t>
      </w:r>
      <w:r w:rsidRPr="009A0DA6">
        <w:rPr>
          <w:rFonts w:ascii="Cambria" w:eastAsia="Calibri" w:hAnsi="Cambria" w:cs="Calibri"/>
          <w:spacing w:val="8"/>
        </w:rPr>
        <w:t xml:space="preserve"> </w:t>
      </w:r>
      <w:r w:rsidRPr="009A0DA6">
        <w:rPr>
          <w:rFonts w:ascii="Cambria" w:eastAsia="Calibri" w:hAnsi="Cambria" w:cs="Calibri"/>
        </w:rPr>
        <w:t>of</w:t>
      </w:r>
      <w:r w:rsidRPr="009A0DA6">
        <w:rPr>
          <w:rFonts w:ascii="Cambria" w:eastAsia="Calibri" w:hAnsi="Cambria" w:cs="Calibri"/>
          <w:spacing w:val="9"/>
        </w:rPr>
        <w:t xml:space="preserve"> </w:t>
      </w:r>
      <w:r w:rsidRPr="009A0DA6">
        <w:rPr>
          <w:rFonts w:ascii="Cambria" w:eastAsia="Calibri" w:hAnsi="Cambria" w:cs="Calibri"/>
        </w:rPr>
        <w:t>arg</w:t>
      </w:r>
      <w:r w:rsidRPr="009A0DA6">
        <w:rPr>
          <w:rFonts w:ascii="Cambria" w:eastAsia="Calibri" w:hAnsi="Cambria" w:cs="Calibri"/>
          <w:spacing w:val="1"/>
        </w:rPr>
        <w:t>u</w:t>
      </w:r>
      <w:r w:rsidRPr="009A0DA6">
        <w:rPr>
          <w:rFonts w:ascii="Cambria" w:eastAsia="Calibri" w:hAnsi="Cambria" w:cs="Calibri"/>
          <w:spacing w:val="-1"/>
        </w:rPr>
        <w:t>me</w:t>
      </w:r>
      <w:r w:rsidRPr="009A0DA6">
        <w:rPr>
          <w:rFonts w:ascii="Cambria" w:eastAsia="Calibri" w:hAnsi="Cambria" w:cs="Calibri"/>
          <w:spacing w:val="1"/>
        </w:rPr>
        <w:t>n</w:t>
      </w:r>
      <w:r w:rsidRPr="009A0DA6">
        <w:rPr>
          <w:rFonts w:ascii="Cambria" w:eastAsia="Calibri" w:hAnsi="Cambria" w:cs="Calibri"/>
        </w:rPr>
        <w:t>t</w:t>
      </w:r>
      <w:r w:rsidRPr="009A0DA6">
        <w:rPr>
          <w:rFonts w:ascii="Cambria" w:eastAsia="Calibri" w:hAnsi="Cambria" w:cs="Calibri"/>
          <w:spacing w:val="1"/>
        </w:rPr>
        <w:t>a</w:t>
      </w:r>
      <w:r w:rsidRPr="009A0DA6">
        <w:rPr>
          <w:rFonts w:ascii="Cambria" w:eastAsia="Calibri" w:hAnsi="Cambria" w:cs="Calibri"/>
        </w:rPr>
        <w:t>ti</w:t>
      </w:r>
      <w:r w:rsidRPr="009A0DA6">
        <w:rPr>
          <w:rFonts w:ascii="Cambria" w:eastAsia="Calibri" w:hAnsi="Cambria" w:cs="Calibri"/>
          <w:spacing w:val="1"/>
        </w:rPr>
        <w:t>o</w:t>
      </w:r>
      <w:r w:rsidRPr="009A0DA6">
        <w:rPr>
          <w:rFonts w:ascii="Cambria" w:eastAsia="Calibri" w:hAnsi="Cambria" w:cs="Calibri"/>
        </w:rPr>
        <w:t xml:space="preserve">n is </w:t>
      </w:r>
      <w:r w:rsidRPr="009A0DA6">
        <w:rPr>
          <w:rFonts w:ascii="Cambria" w:eastAsia="Calibri" w:hAnsi="Cambria" w:cs="Calibri"/>
          <w:spacing w:val="-1"/>
        </w:rPr>
        <w:t>m</w:t>
      </w:r>
      <w:r w:rsidRPr="009A0DA6">
        <w:rPr>
          <w:rFonts w:ascii="Cambria" w:eastAsia="Calibri" w:hAnsi="Cambria" w:cs="Calibri"/>
        </w:rPr>
        <w:t>o</w:t>
      </w:r>
      <w:r w:rsidRPr="009A0DA6">
        <w:rPr>
          <w:rFonts w:ascii="Cambria" w:eastAsia="Calibri" w:hAnsi="Cambria" w:cs="Calibri"/>
          <w:spacing w:val="-1"/>
        </w:rPr>
        <w:t>s</w:t>
      </w:r>
      <w:r w:rsidRPr="009A0DA6">
        <w:rPr>
          <w:rFonts w:ascii="Cambria" w:eastAsia="Calibri" w:hAnsi="Cambria" w:cs="Calibri"/>
        </w:rPr>
        <w:t>tly</w:t>
      </w:r>
      <w:r w:rsidRPr="009A0DA6">
        <w:rPr>
          <w:rFonts w:ascii="Cambria" w:eastAsia="Calibri" w:hAnsi="Cambria" w:cs="Calibri"/>
          <w:spacing w:val="1"/>
        </w:rPr>
        <w:t xml:space="preserve"> </w:t>
      </w:r>
      <w:r w:rsidRPr="009A0DA6">
        <w:rPr>
          <w:rFonts w:ascii="Cambria" w:eastAsia="Calibri" w:hAnsi="Cambria" w:cs="Calibri"/>
          <w:spacing w:val="-1"/>
        </w:rPr>
        <w:t>s</w:t>
      </w:r>
      <w:r w:rsidRPr="009A0DA6">
        <w:rPr>
          <w:rFonts w:ascii="Cambria" w:eastAsia="Calibri" w:hAnsi="Cambria" w:cs="Calibri"/>
          <w:spacing w:val="1"/>
        </w:rPr>
        <w:t>p</w:t>
      </w:r>
      <w:r w:rsidRPr="009A0DA6">
        <w:rPr>
          <w:rFonts w:ascii="Cambria" w:eastAsia="Calibri" w:hAnsi="Cambria" w:cs="Calibri"/>
        </w:rPr>
        <w:t>ec</w:t>
      </w:r>
      <w:r w:rsidRPr="009A0DA6">
        <w:rPr>
          <w:rFonts w:ascii="Cambria" w:eastAsia="Calibri" w:hAnsi="Cambria" w:cs="Calibri"/>
          <w:spacing w:val="1"/>
        </w:rPr>
        <w:t>u</w:t>
      </w:r>
      <w:r w:rsidRPr="009A0DA6">
        <w:rPr>
          <w:rFonts w:ascii="Cambria" w:eastAsia="Calibri" w:hAnsi="Cambria" w:cs="Calibri"/>
        </w:rPr>
        <w:t>la</w:t>
      </w:r>
      <w:r w:rsidRPr="009A0DA6">
        <w:rPr>
          <w:rFonts w:ascii="Cambria" w:eastAsia="Calibri" w:hAnsi="Cambria" w:cs="Calibri"/>
          <w:spacing w:val="1"/>
        </w:rPr>
        <w:t>t</w:t>
      </w:r>
      <w:r w:rsidRPr="009A0DA6">
        <w:rPr>
          <w:rFonts w:ascii="Cambria" w:eastAsia="Calibri" w:hAnsi="Cambria" w:cs="Calibri"/>
          <w:spacing w:val="2"/>
        </w:rPr>
        <w:t>i</w:t>
      </w:r>
      <w:r w:rsidRPr="009A0DA6">
        <w:rPr>
          <w:rFonts w:ascii="Cambria" w:eastAsia="Calibri" w:hAnsi="Cambria" w:cs="Calibri"/>
          <w:spacing w:val="-1"/>
        </w:rPr>
        <w:t>v</w:t>
      </w:r>
      <w:r w:rsidRPr="009A0DA6">
        <w:rPr>
          <w:rFonts w:ascii="Cambria" w:eastAsia="Calibri" w:hAnsi="Cambria" w:cs="Calibri"/>
        </w:rPr>
        <w:t>e</w:t>
      </w:r>
      <w:r w:rsidRPr="009A0DA6">
        <w:rPr>
          <w:rFonts w:ascii="Cambria" w:eastAsia="Calibri" w:hAnsi="Cambria" w:cs="Calibri"/>
          <w:spacing w:val="-4"/>
        </w:rPr>
        <w:t xml:space="preserve"> </w:t>
      </w:r>
      <w:r w:rsidRPr="009A0DA6">
        <w:rPr>
          <w:rFonts w:ascii="Cambria" w:eastAsia="Calibri" w:hAnsi="Cambria" w:cs="Calibri"/>
        </w:rPr>
        <w:t>a</w:t>
      </w:r>
      <w:r w:rsidRPr="009A0DA6">
        <w:rPr>
          <w:rFonts w:ascii="Cambria" w:eastAsia="Calibri" w:hAnsi="Cambria" w:cs="Calibri"/>
          <w:spacing w:val="1"/>
        </w:rPr>
        <w:t>n</w:t>
      </w:r>
      <w:r w:rsidRPr="009A0DA6">
        <w:rPr>
          <w:rFonts w:ascii="Cambria" w:eastAsia="Calibri" w:hAnsi="Cambria" w:cs="Calibri"/>
        </w:rPr>
        <w:t xml:space="preserve">d </w:t>
      </w:r>
      <w:r w:rsidRPr="009A0DA6">
        <w:rPr>
          <w:rFonts w:ascii="Cambria" w:eastAsia="Calibri" w:hAnsi="Cambria" w:cs="Calibri"/>
          <w:spacing w:val="1"/>
        </w:rPr>
        <w:t>n</w:t>
      </w:r>
      <w:r w:rsidRPr="009A0DA6">
        <w:rPr>
          <w:rFonts w:ascii="Cambria" w:eastAsia="Calibri" w:hAnsi="Cambria" w:cs="Calibri"/>
        </w:rPr>
        <w:t xml:space="preserve">ot </w:t>
      </w:r>
      <w:r w:rsidRPr="009A0DA6">
        <w:rPr>
          <w:rFonts w:ascii="Cambria" w:eastAsia="Calibri" w:hAnsi="Cambria" w:cs="Calibri"/>
          <w:spacing w:val="-1"/>
        </w:rPr>
        <w:t>e</w:t>
      </w:r>
      <w:r w:rsidRPr="009A0DA6">
        <w:rPr>
          <w:rFonts w:ascii="Cambria" w:eastAsia="Calibri" w:hAnsi="Cambria" w:cs="Calibri"/>
          <w:spacing w:val="3"/>
        </w:rPr>
        <w:t>n</w:t>
      </w:r>
      <w:r w:rsidRPr="009A0DA6">
        <w:rPr>
          <w:rFonts w:ascii="Cambria" w:eastAsia="Calibri" w:hAnsi="Cambria" w:cs="Calibri"/>
        </w:rPr>
        <w:t>tirely</w:t>
      </w:r>
      <w:r w:rsidRPr="009A0DA6">
        <w:rPr>
          <w:rFonts w:ascii="Cambria" w:eastAsia="Calibri" w:hAnsi="Cambria" w:cs="Calibri"/>
          <w:spacing w:val="-3"/>
        </w:rPr>
        <w:t xml:space="preserve"> </w:t>
      </w:r>
      <w:r w:rsidRPr="009A0DA6">
        <w:rPr>
          <w:rFonts w:ascii="Cambria" w:eastAsia="Calibri" w:hAnsi="Cambria" w:cs="Calibri"/>
          <w:spacing w:val="1"/>
        </w:rPr>
        <w:t>p</w:t>
      </w:r>
      <w:r w:rsidRPr="009A0DA6">
        <w:rPr>
          <w:rFonts w:ascii="Cambria" w:eastAsia="Calibri" w:hAnsi="Cambria" w:cs="Calibri"/>
        </w:rPr>
        <w:t>la</w:t>
      </w:r>
      <w:r w:rsidRPr="009A0DA6">
        <w:rPr>
          <w:rFonts w:ascii="Cambria" w:eastAsia="Calibri" w:hAnsi="Cambria" w:cs="Calibri"/>
          <w:spacing w:val="1"/>
        </w:rPr>
        <w:t>u</w:t>
      </w:r>
      <w:r w:rsidRPr="009A0DA6">
        <w:rPr>
          <w:rFonts w:ascii="Cambria" w:eastAsia="Calibri" w:hAnsi="Cambria" w:cs="Calibri"/>
          <w:spacing w:val="-1"/>
        </w:rPr>
        <w:t>s</w:t>
      </w:r>
      <w:r w:rsidRPr="009A0DA6">
        <w:rPr>
          <w:rFonts w:ascii="Cambria" w:eastAsia="Calibri" w:hAnsi="Cambria" w:cs="Calibri"/>
        </w:rPr>
        <w:t>i</w:t>
      </w:r>
      <w:r w:rsidRPr="009A0DA6">
        <w:rPr>
          <w:rFonts w:ascii="Cambria" w:eastAsia="Calibri" w:hAnsi="Cambria" w:cs="Calibri"/>
          <w:spacing w:val="1"/>
        </w:rPr>
        <w:t>b</w:t>
      </w:r>
      <w:r w:rsidRPr="009A0DA6">
        <w:rPr>
          <w:rFonts w:ascii="Cambria" w:eastAsia="Calibri" w:hAnsi="Cambria" w:cs="Calibri"/>
        </w:rPr>
        <w:t>l</w:t>
      </w:r>
      <w:r w:rsidRPr="009A0DA6">
        <w:rPr>
          <w:rFonts w:ascii="Cambria" w:eastAsia="Calibri" w:hAnsi="Cambria" w:cs="Calibri"/>
          <w:spacing w:val="2"/>
        </w:rPr>
        <w:t>e</w:t>
      </w:r>
      <w:r w:rsidRPr="009A0DA6">
        <w:rPr>
          <w:rFonts w:ascii="Cambria" w:eastAsia="Calibri" w:hAnsi="Cambria" w:cs="Calibri"/>
        </w:rPr>
        <w:t>.</w:t>
      </w:r>
      <w:r w:rsidRPr="009A0DA6">
        <w:rPr>
          <w:rFonts w:ascii="Cambria" w:eastAsia="Calibri" w:hAnsi="Cambria" w:cs="Calibri"/>
          <w:spacing w:val="-3"/>
        </w:rPr>
        <w:t xml:space="preserve"> </w:t>
      </w:r>
      <w:r w:rsidRPr="009A0DA6">
        <w:rPr>
          <w:rFonts w:ascii="Cambria" w:eastAsia="Calibri" w:hAnsi="Cambria" w:cs="Calibri"/>
          <w:spacing w:val="1"/>
        </w:rPr>
        <w:t>Y</w:t>
      </w:r>
      <w:r w:rsidRPr="009A0DA6">
        <w:rPr>
          <w:rFonts w:ascii="Cambria" w:eastAsia="Calibri" w:hAnsi="Cambria" w:cs="Calibri"/>
          <w:spacing w:val="-1"/>
        </w:rPr>
        <w:t>e</w:t>
      </w:r>
      <w:r w:rsidRPr="009A0DA6">
        <w:rPr>
          <w:rFonts w:ascii="Cambria" w:eastAsia="Calibri" w:hAnsi="Cambria" w:cs="Calibri"/>
        </w:rPr>
        <w:t>t</w:t>
      </w:r>
      <w:r w:rsidRPr="009A0DA6">
        <w:rPr>
          <w:rFonts w:ascii="Cambria" w:eastAsia="Calibri" w:hAnsi="Cambria" w:cs="Calibri"/>
          <w:spacing w:val="2"/>
        </w:rPr>
        <w:t xml:space="preserve"> </w:t>
      </w:r>
      <w:r w:rsidRPr="009A0DA6">
        <w:rPr>
          <w:rFonts w:ascii="Cambria" w:eastAsia="Calibri" w:hAnsi="Cambria" w:cs="Calibri"/>
          <w:spacing w:val="-1"/>
        </w:rPr>
        <w:t>e</w:t>
      </w:r>
      <w:r w:rsidRPr="009A0DA6">
        <w:rPr>
          <w:rFonts w:ascii="Cambria" w:eastAsia="Calibri" w:hAnsi="Cambria" w:cs="Calibri"/>
          <w:spacing w:val="1"/>
        </w:rPr>
        <w:t>v</w:t>
      </w:r>
      <w:r w:rsidRPr="009A0DA6">
        <w:rPr>
          <w:rFonts w:ascii="Cambria" w:eastAsia="Calibri" w:hAnsi="Cambria" w:cs="Calibri"/>
          <w:spacing w:val="-1"/>
        </w:rPr>
        <w:t>e</w:t>
      </w:r>
      <w:r w:rsidRPr="009A0DA6">
        <w:rPr>
          <w:rFonts w:ascii="Cambria" w:eastAsia="Calibri" w:hAnsi="Cambria" w:cs="Calibri"/>
        </w:rPr>
        <w:t>n</w:t>
      </w:r>
      <w:r w:rsidRPr="009A0DA6">
        <w:rPr>
          <w:rFonts w:ascii="Cambria" w:eastAsia="Calibri" w:hAnsi="Cambria" w:cs="Calibri"/>
          <w:spacing w:val="-1"/>
        </w:rPr>
        <w:t xml:space="preserve"> </w:t>
      </w:r>
      <w:r w:rsidRPr="009A0DA6">
        <w:rPr>
          <w:rFonts w:ascii="Cambria" w:eastAsia="Calibri" w:hAnsi="Cambria" w:cs="Calibri"/>
        </w:rPr>
        <w:t>if</w:t>
      </w:r>
      <w:r w:rsidRPr="009A0DA6">
        <w:rPr>
          <w:rFonts w:ascii="Cambria" w:eastAsia="Calibri" w:hAnsi="Cambria" w:cs="Calibri"/>
          <w:spacing w:val="3"/>
        </w:rPr>
        <w:t xml:space="preserve"> </w:t>
      </w:r>
      <w:r w:rsidRPr="009A0DA6">
        <w:rPr>
          <w:rFonts w:ascii="Cambria" w:eastAsia="Calibri" w:hAnsi="Cambria" w:cs="Calibri"/>
        </w:rPr>
        <w:t>t</w:t>
      </w:r>
      <w:r w:rsidRPr="009A0DA6">
        <w:rPr>
          <w:rFonts w:ascii="Cambria" w:eastAsia="Calibri" w:hAnsi="Cambria" w:cs="Calibri"/>
          <w:spacing w:val="1"/>
        </w:rPr>
        <w:t>h</w:t>
      </w:r>
      <w:r w:rsidRPr="009A0DA6">
        <w:rPr>
          <w:rFonts w:ascii="Cambria" w:eastAsia="Calibri" w:hAnsi="Cambria" w:cs="Calibri"/>
          <w:spacing w:val="-1"/>
        </w:rPr>
        <w:t>e</w:t>
      </w:r>
      <w:r w:rsidRPr="009A0DA6">
        <w:rPr>
          <w:rFonts w:ascii="Cambria" w:eastAsia="Calibri" w:hAnsi="Cambria" w:cs="Calibri"/>
        </w:rPr>
        <w:t>re</w:t>
      </w:r>
      <w:r w:rsidRPr="009A0DA6">
        <w:rPr>
          <w:rFonts w:ascii="Cambria" w:eastAsia="Calibri" w:hAnsi="Cambria" w:cs="Calibri"/>
          <w:spacing w:val="-2"/>
        </w:rPr>
        <w:t xml:space="preserve"> </w:t>
      </w:r>
      <w:r w:rsidRPr="009A0DA6">
        <w:rPr>
          <w:rFonts w:ascii="Cambria" w:eastAsia="Calibri" w:hAnsi="Cambria" w:cs="Calibri"/>
          <w:spacing w:val="2"/>
        </w:rPr>
        <w:t>i</w:t>
      </w:r>
      <w:r w:rsidRPr="009A0DA6">
        <w:rPr>
          <w:rFonts w:ascii="Cambria" w:eastAsia="Calibri" w:hAnsi="Cambria" w:cs="Calibri"/>
        </w:rPr>
        <w:t>s</w:t>
      </w:r>
      <w:r w:rsidRPr="009A0DA6">
        <w:rPr>
          <w:rFonts w:ascii="Cambria" w:eastAsia="Calibri" w:hAnsi="Cambria" w:cs="Calibri"/>
          <w:spacing w:val="3"/>
        </w:rPr>
        <w:t xml:space="preserve"> </w:t>
      </w:r>
      <w:r w:rsidRPr="009A0DA6">
        <w:rPr>
          <w:rFonts w:ascii="Cambria" w:eastAsia="Calibri" w:hAnsi="Cambria" w:cs="Calibri"/>
          <w:spacing w:val="-1"/>
        </w:rPr>
        <w:t>s</w:t>
      </w:r>
      <w:r w:rsidRPr="009A0DA6">
        <w:rPr>
          <w:rFonts w:ascii="Cambria" w:eastAsia="Calibri" w:hAnsi="Cambria" w:cs="Calibri"/>
        </w:rPr>
        <w:t>o</w:t>
      </w:r>
      <w:r w:rsidRPr="009A0DA6">
        <w:rPr>
          <w:rFonts w:ascii="Cambria" w:eastAsia="Calibri" w:hAnsi="Cambria" w:cs="Calibri"/>
          <w:spacing w:val="1"/>
        </w:rPr>
        <w:t>m</w:t>
      </w:r>
      <w:r w:rsidRPr="009A0DA6">
        <w:rPr>
          <w:rFonts w:ascii="Cambria" w:eastAsia="Calibri" w:hAnsi="Cambria" w:cs="Calibri"/>
        </w:rPr>
        <w:t>e</w:t>
      </w:r>
      <w:r w:rsidRPr="009A0DA6">
        <w:rPr>
          <w:rFonts w:ascii="Cambria" w:eastAsia="Calibri" w:hAnsi="Cambria" w:cs="Calibri"/>
          <w:spacing w:val="-2"/>
        </w:rPr>
        <w:t xml:space="preserve"> </w:t>
      </w:r>
      <w:r w:rsidRPr="009A0DA6">
        <w:rPr>
          <w:rFonts w:ascii="Cambria" w:eastAsia="Calibri" w:hAnsi="Cambria" w:cs="Calibri"/>
        </w:rPr>
        <w:t>tr</w:t>
      </w:r>
      <w:r w:rsidRPr="009A0DA6">
        <w:rPr>
          <w:rFonts w:ascii="Cambria" w:eastAsia="Calibri" w:hAnsi="Cambria" w:cs="Calibri"/>
          <w:spacing w:val="1"/>
        </w:rPr>
        <w:t>u</w:t>
      </w:r>
      <w:r w:rsidRPr="009A0DA6">
        <w:rPr>
          <w:rFonts w:ascii="Cambria" w:eastAsia="Calibri" w:hAnsi="Cambria" w:cs="Calibri"/>
        </w:rPr>
        <w:t>th to</w:t>
      </w:r>
      <w:r w:rsidRPr="009A0DA6">
        <w:rPr>
          <w:rFonts w:ascii="Cambria" w:eastAsia="Calibri" w:hAnsi="Cambria" w:cs="Calibri"/>
          <w:spacing w:val="1"/>
        </w:rPr>
        <w:t xml:space="preserve"> </w:t>
      </w:r>
      <w:r w:rsidRPr="009A0DA6">
        <w:rPr>
          <w:rFonts w:ascii="Cambria" w:eastAsia="Calibri" w:hAnsi="Cambria" w:cs="Calibri"/>
        </w:rPr>
        <w:t>it,</w:t>
      </w:r>
      <w:r w:rsidRPr="009A0DA6">
        <w:rPr>
          <w:rFonts w:ascii="Cambria" w:eastAsia="Calibri" w:hAnsi="Cambria" w:cs="Calibri"/>
          <w:spacing w:val="1"/>
        </w:rPr>
        <w:t xml:space="preserve"> </w:t>
      </w:r>
      <w:r w:rsidRPr="009A0DA6">
        <w:rPr>
          <w:rFonts w:ascii="Cambria" w:eastAsia="Calibri" w:hAnsi="Cambria" w:cs="Calibri"/>
        </w:rPr>
        <w:t>a</w:t>
      </w:r>
      <w:r w:rsidRPr="009A0DA6">
        <w:rPr>
          <w:rFonts w:ascii="Cambria" w:eastAsia="Calibri" w:hAnsi="Cambria" w:cs="Calibri"/>
          <w:spacing w:val="1"/>
        </w:rPr>
        <w:t>n</w:t>
      </w:r>
      <w:r w:rsidRPr="009A0DA6">
        <w:rPr>
          <w:rFonts w:ascii="Cambria" w:eastAsia="Calibri" w:hAnsi="Cambria" w:cs="Calibri"/>
        </w:rPr>
        <w:t>d P</w:t>
      </w:r>
      <w:r w:rsidRPr="009A0DA6">
        <w:rPr>
          <w:rFonts w:ascii="Cambria" w:eastAsia="Calibri" w:hAnsi="Cambria" w:cs="Calibri"/>
          <w:spacing w:val="3"/>
        </w:rPr>
        <w:t>a</w:t>
      </w:r>
      <w:r w:rsidRPr="009A0DA6">
        <w:rPr>
          <w:rFonts w:ascii="Cambria" w:eastAsia="Calibri" w:hAnsi="Cambria" w:cs="Calibri"/>
          <w:spacing w:val="1"/>
        </w:rPr>
        <w:t>u</w:t>
      </w:r>
      <w:r w:rsidRPr="009A0DA6">
        <w:rPr>
          <w:rFonts w:ascii="Cambria" w:eastAsia="Calibri" w:hAnsi="Cambria" w:cs="Calibri"/>
        </w:rPr>
        <w:t>l</w:t>
      </w:r>
      <w:r w:rsidRPr="009A0DA6">
        <w:rPr>
          <w:rFonts w:ascii="Cambria" w:eastAsia="Calibri" w:hAnsi="Cambria" w:cs="Calibri"/>
          <w:spacing w:val="-1"/>
        </w:rPr>
        <w:t xml:space="preserve"> w</w:t>
      </w:r>
      <w:r w:rsidRPr="009A0DA6">
        <w:rPr>
          <w:rFonts w:ascii="Cambria" w:eastAsia="Calibri" w:hAnsi="Cambria" w:cs="Calibri"/>
        </w:rPr>
        <w:t>as</w:t>
      </w:r>
      <w:r w:rsidRPr="009A0DA6">
        <w:rPr>
          <w:rFonts w:ascii="Cambria" w:eastAsia="Calibri" w:hAnsi="Cambria" w:cs="Calibri"/>
          <w:spacing w:val="1"/>
        </w:rPr>
        <w:t xml:space="preserve"> </w:t>
      </w:r>
      <w:r w:rsidRPr="009A0DA6">
        <w:rPr>
          <w:rFonts w:ascii="Cambria" w:eastAsia="Calibri" w:hAnsi="Cambria" w:cs="Calibri"/>
        </w:rPr>
        <w:t>tr</w:t>
      </w:r>
      <w:r w:rsidRPr="009A0DA6">
        <w:rPr>
          <w:rFonts w:ascii="Cambria" w:eastAsia="Calibri" w:hAnsi="Cambria" w:cs="Calibri"/>
          <w:spacing w:val="2"/>
        </w:rPr>
        <w:t>y</w:t>
      </w:r>
      <w:r w:rsidRPr="009A0DA6">
        <w:rPr>
          <w:rFonts w:ascii="Cambria" w:eastAsia="Calibri" w:hAnsi="Cambria" w:cs="Calibri"/>
        </w:rPr>
        <w:t>i</w:t>
      </w:r>
      <w:r w:rsidRPr="009A0DA6">
        <w:rPr>
          <w:rFonts w:ascii="Cambria" w:eastAsia="Calibri" w:hAnsi="Cambria" w:cs="Calibri"/>
          <w:spacing w:val="1"/>
        </w:rPr>
        <w:t>n</w:t>
      </w:r>
      <w:r w:rsidRPr="009A0DA6">
        <w:rPr>
          <w:rFonts w:ascii="Cambria" w:eastAsia="Calibri" w:hAnsi="Cambria" w:cs="Calibri"/>
        </w:rPr>
        <w:t>g</w:t>
      </w:r>
      <w:r w:rsidRPr="009A0DA6">
        <w:rPr>
          <w:rFonts w:ascii="Cambria" w:eastAsia="Calibri" w:hAnsi="Cambria" w:cs="Calibri"/>
          <w:spacing w:val="-3"/>
        </w:rPr>
        <w:t xml:space="preserve"> </w:t>
      </w:r>
      <w:r w:rsidRPr="009A0DA6">
        <w:rPr>
          <w:rFonts w:ascii="Cambria" w:eastAsia="Calibri" w:hAnsi="Cambria" w:cs="Calibri"/>
        </w:rPr>
        <w:t>to</w:t>
      </w:r>
      <w:r w:rsidRPr="009A0DA6">
        <w:rPr>
          <w:rFonts w:ascii="Cambria" w:eastAsia="Calibri" w:hAnsi="Cambria" w:cs="Calibri"/>
          <w:spacing w:val="1"/>
        </w:rPr>
        <w:t xml:space="preserve"> b</w:t>
      </w:r>
      <w:r w:rsidRPr="009A0DA6">
        <w:rPr>
          <w:rFonts w:ascii="Cambria" w:eastAsia="Calibri" w:hAnsi="Cambria" w:cs="Calibri"/>
        </w:rPr>
        <w:t>e</w:t>
      </w:r>
      <w:r w:rsidRPr="009A0DA6">
        <w:rPr>
          <w:rFonts w:ascii="Cambria" w:eastAsia="Calibri" w:hAnsi="Cambria" w:cs="Calibri"/>
          <w:spacing w:val="2"/>
        </w:rPr>
        <w:t xml:space="preserve"> </w:t>
      </w:r>
      <w:r w:rsidRPr="009A0DA6">
        <w:rPr>
          <w:rFonts w:ascii="Cambria" w:eastAsia="Calibri" w:hAnsi="Cambria" w:cs="Calibri"/>
          <w:spacing w:val="1"/>
        </w:rPr>
        <w:t>s</w:t>
      </w:r>
      <w:r w:rsidRPr="009A0DA6">
        <w:rPr>
          <w:rFonts w:ascii="Cambria" w:eastAsia="Calibri" w:hAnsi="Cambria" w:cs="Calibri"/>
          <w:spacing w:val="-1"/>
        </w:rPr>
        <w:t>e</w:t>
      </w:r>
      <w:r w:rsidRPr="009A0DA6">
        <w:rPr>
          <w:rFonts w:ascii="Cambria" w:eastAsia="Calibri" w:hAnsi="Cambria" w:cs="Calibri"/>
          <w:spacing w:val="1"/>
        </w:rPr>
        <w:t>n</w:t>
      </w:r>
      <w:r w:rsidRPr="009A0DA6">
        <w:rPr>
          <w:rFonts w:ascii="Cambria" w:eastAsia="Calibri" w:hAnsi="Cambria" w:cs="Calibri"/>
          <w:spacing w:val="-1"/>
        </w:rPr>
        <w:t>s</w:t>
      </w:r>
      <w:r w:rsidRPr="009A0DA6">
        <w:rPr>
          <w:rFonts w:ascii="Cambria" w:eastAsia="Calibri" w:hAnsi="Cambria" w:cs="Calibri"/>
        </w:rPr>
        <w:t>it</w:t>
      </w:r>
      <w:r w:rsidRPr="009A0DA6">
        <w:rPr>
          <w:rFonts w:ascii="Cambria" w:eastAsia="Calibri" w:hAnsi="Cambria" w:cs="Calibri"/>
          <w:spacing w:val="2"/>
        </w:rPr>
        <w:t>i</w:t>
      </w:r>
      <w:r w:rsidRPr="009A0DA6">
        <w:rPr>
          <w:rFonts w:ascii="Cambria" w:eastAsia="Calibri" w:hAnsi="Cambria" w:cs="Calibri"/>
          <w:spacing w:val="-1"/>
        </w:rPr>
        <w:t>v</w:t>
      </w:r>
      <w:r w:rsidRPr="009A0DA6">
        <w:rPr>
          <w:rFonts w:ascii="Cambria" w:eastAsia="Calibri" w:hAnsi="Cambria" w:cs="Calibri"/>
        </w:rPr>
        <w:t>e</w:t>
      </w:r>
      <w:r w:rsidRPr="009A0DA6">
        <w:rPr>
          <w:rFonts w:ascii="Cambria" w:eastAsia="Calibri" w:hAnsi="Cambria" w:cs="Calibri"/>
          <w:spacing w:val="-5"/>
        </w:rPr>
        <w:t xml:space="preserve"> </w:t>
      </w:r>
      <w:r w:rsidRPr="009A0DA6">
        <w:rPr>
          <w:rFonts w:ascii="Cambria" w:eastAsia="Calibri" w:hAnsi="Cambria" w:cs="Calibri"/>
          <w:spacing w:val="3"/>
        </w:rPr>
        <w:t>t</w:t>
      </w:r>
      <w:r w:rsidRPr="009A0DA6">
        <w:rPr>
          <w:rFonts w:ascii="Cambria" w:eastAsia="Calibri" w:hAnsi="Cambria" w:cs="Calibri"/>
        </w:rPr>
        <w:t>o c</w:t>
      </w:r>
      <w:r w:rsidRPr="009A0DA6">
        <w:rPr>
          <w:rFonts w:ascii="Cambria" w:eastAsia="Calibri" w:hAnsi="Cambria" w:cs="Calibri"/>
          <w:spacing w:val="1"/>
        </w:rPr>
        <w:t>u</w:t>
      </w:r>
      <w:r w:rsidRPr="009A0DA6">
        <w:rPr>
          <w:rFonts w:ascii="Cambria" w:eastAsia="Calibri" w:hAnsi="Cambria" w:cs="Calibri"/>
        </w:rPr>
        <w:t>lt</w:t>
      </w:r>
      <w:r w:rsidRPr="009A0DA6">
        <w:rPr>
          <w:rFonts w:ascii="Cambria" w:eastAsia="Calibri" w:hAnsi="Cambria" w:cs="Calibri"/>
          <w:spacing w:val="1"/>
        </w:rPr>
        <w:t>u</w:t>
      </w:r>
      <w:r w:rsidRPr="009A0DA6">
        <w:rPr>
          <w:rFonts w:ascii="Cambria" w:eastAsia="Calibri" w:hAnsi="Cambria" w:cs="Calibri"/>
        </w:rPr>
        <w:t>ral</w:t>
      </w:r>
      <w:r w:rsidRPr="009A0DA6">
        <w:rPr>
          <w:rFonts w:ascii="Cambria" w:eastAsia="Calibri" w:hAnsi="Cambria" w:cs="Calibri"/>
          <w:spacing w:val="-6"/>
        </w:rPr>
        <w:t xml:space="preserve"> </w:t>
      </w:r>
      <w:r w:rsidRPr="009A0DA6">
        <w:rPr>
          <w:rFonts w:ascii="Cambria" w:eastAsia="Calibri" w:hAnsi="Cambria" w:cs="Calibri"/>
          <w:spacing w:val="1"/>
        </w:rPr>
        <w:t>n</w:t>
      </w:r>
      <w:r w:rsidRPr="009A0DA6">
        <w:rPr>
          <w:rFonts w:ascii="Cambria" w:eastAsia="Calibri" w:hAnsi="Cambria" w:cs="Calibri"/>
        </w:rPr>
        <w:t>orm</w:t>
      </w:r>
      <w:r w:rsidRPr="009A0DA6">
        <w:rPr>
          <w:rFonts w:ascii="Cambria" w:eastAsia="Calibri" w:hAnsi="Cambria" w:cs="Calibri"/>
          <w:spacing w:val="-1"/>
        </w:rPr>
        <w:t>s</w:t>
      </w:r>
      <w:r w:rsidRPr="009A0DA6">
        <w:rPr>
          <w:rFonts w:ascii="Cambria" w:eastAsia="Calibri" w:hAnsi="Cambria" w:cs="Calibri"/>
        </w:rPr>
        <w:t>,</w:t>
      </w:r>
      <w:r w:rsidRPr="009A0DA6">
        <w:rPr>
          <w:rFonts w:ascii="Cambria" w:eastAsia="Calibri" w:hAnsi="Cambria" w:cs="Calibri"/>
          <w:spacing w:val="-6"/>
        </w:rPr>
        <w:t xml:space="preserve"> </w:t>
      </w:r>
      <w:r w:rsidRPr="009A0DA6">
        <w:rPr>
          <w:rFonts w:ascii="Cambria" w:eastAsia="Calibri" w:hAnsi="Cambria" w:cs="Calibri"/>
          <w:spacing w:val="1"/>
        </w:rPr>
        <w:t>th</w:t>
      </w:r>
      <w:r w:rsidRPr="009A0DA6">
        <w:rPr>
          <w:rFonts w:ascii="Cambria" w:eastAsia="Calibri" w:hAnsi="Cambria" w:cs="Calibri"/>
        </w:rPr>
        <w:t>is</w:t>
      </w:r>
      <w:r w:rsidRPr="009A0DA6">
        <w:rPr>
          <w:rFonts w:ascii="Cambria" w:eastAsia="Calibri" w:hAnsi="Cambria" w:cs="Calibri"/>
          <w:spacing w:val="-4"/>
        </w:rPr>
        <w:t xml:space="preserve"> </w:t>
      </w:r>
      <w:r w:rsidRPr="009A0DA6">
        <w:rPr>
          <w:rFonts w:ascii="Cambria" w:eastAsia="Calibri" w:hAnsi="Cambria" w:cs="Calibri"/>
          <w:spacing w:val="1"/>
        </w:rPr>
        <w:t>d</w:t>
      </w:r>
      <w:r w:rsidRPr="009A0DA6">
        <w:rPr>
          <w:rFonts w:ascii="Cambria" w:eastAsia="Calibri" w:hAnsi="Cambria" w:cs="Calibri"/>
        </w:rPr>
        <w:t>o</w:t>
      </w:r>
      <w:r w:rsidRPr="009A0DA6">
        <w:rPr>
          <w:rFonts w:ascii="Cambria" w:eastAsia="Calibri" w:hAnsi="Cambria" w:cs="Calibri"/>
          <w:spacing w:val="-1"/>
        </w:rPr>
        <w:t>e</w:t>
      </w:r>
      <w:r w:rsidRPr="009A0DA6">
        <w:rPr>
          <w:rFonts w:ascii="Cambria" w:eastAsia="Calibri" w:hAnsi="Cambria" w:cs="Calibri"/>
        </w:rPr>
        <w:t>s</w:t>
      </w:r>
      <w:r w:rsidRPr="009A0DA6">
        <w:rPr>
          <w:rFonts w:ascii="Cambria" w:eastAsia="Calibri" w:hAnsi="Cambria" w:cs="Calibri"/>
          <w:spacing w:val="-5"/>
        </w:rPr>
        <w:t xml:space="preserve"> </w:t>
      </w:r>
      <w:r w:rsidRPr="009A0DA6">
        <w:rPr>
          <w:rFonts w:ascii="Cambria" w:eastAsia="Calibri" w:hAnsi="Cambria" w:cs="Calibri"/>
          <w:spacing w:val="1"/>
        </w:rPr>
        <w:t>n</w:t>
      </w:r>
      <w:r w:rsidRPr="009A0DA6">
        <w:rPr>
          <w:rFonts w:ascii="Cambria" w:eastAsia="Calibri" w:hAnsi="Cambria" w:cs="Calibri"/>
        </w:rPr>
        <w:t xml:space="preserve">ot </w:t>
      </w:r>
      <w:r w:rsidRPr="009A0DA6">
        <w:rPr>
          <w:rFonts w:ascii="Cambria" w:eastAsia="Calibri" w:hAnsi="Cambria" w:cs="Calibri"/>
          <w:spacing w:val="1"/>
        </w:rPr>
        <w:t>nu</w:t>
      </w:r>
      <w:r w:rsidRPr="009A0DA6">
        <w:rPr>
          <w:rFonts w:ascii="Cambria" w:eastAsia="Calibri" w:hAnsi="Cambria" w:cs="Calibri"/>
        </w:rPr>
        <w:t>lli</w:t>
      </w:r>
      <w:r w:rsidRPr="009A0DA6">
        <w:rPr>
          <w:rFonts w:ascii="Cambria" w:eastAsia="Calibri" w:hAnsi="Cambria" w:cs="Calibri"/>
          <w:spacing w:val="-1"/>
        </w:rPr>
        <w:t>f</w:t>
      </w:r>
      <w:r w:rsidRPr="009A0DA6">
        <w:rPr>
          <w:rFonts w:ascii="Cambria" w:eastAsia="Calibri" w:hAnsi="Cambria" w:cs="Calibri"/>
        </w:rPr>
        <w:t>y</w:t>
      </w:r>
      <w:r w:rsidRPr="009A0DA6">
        <w:rPr>
          <w:rFonts w:ascii="Cambria" w:eastAsia="Calibri" w:hAnsi="Cambria" w:cs="Calibri"/>
          <w:spacing w:val="-4"/>
        </w:rPr>
        <w:t xml:space="preserve"> </w:t>
      </w:r>
      <w:r w:rsidRPr="009A0DA6">
        <w:rPr>
          <w:rFonts w:ascii="Cambria" w:eastAsia="Calibri" w:hAnsi="Cambria" w:cs="Calibri"/>
          <w:spacing w:val="1"/>
        </w:rPr>
        <w:t>th</w:t>
      </w:r>
      <w:r w:rsidRPr="009A0DA6">
        <w:rPr>
          <w:rFonts w:ascii="Cambria" w:eastAsia="Calibri" w:hAnsi="Cambria" w:cs="Calibri"/>
        </w:rPr>
        <w:t>e</w:t>
      </w:r>
      <w:r w:rsidRPr="009A0DA6">
        <w:rPr>
          <w:rFonts w:ascii="Cambria" w:eastAsia="Calibri" w:hAnsi="Cambria" w:cs="Calibri"/>
          <w:spacing w:val="-4"/>
        </w:rPr>
        <w:t xml:space="preserve"> </w:t>
      </w:r>
      <w:r w:rsidRPr="009A0DA6">
        <w:rPr>
          <w:rFonts w:ascii="Cambria" w:eastAsia="Calibri" w:hAnsi="Cambria" w:cs="Calibri"/>
          <w:spacing w:val="1"/>
        </w:rPr>
        <w:t>o</w:t>
      </w:r>
      <w:r w:rsidRPr="009A0DA6">
        <w:rPr>
          <w:rFonts w:ascii="Cambria" w:eastAsia="Calibri" w:hAnsi="Cambria" w:cs="Calibri"/>
        </w:rPr>
        <w:t>t</w:t>
      </w:r>
      <w:r w:rsidRPr="009A0DA6">
        <w:rPr>
          <w:rFonts w:ascii="Cambria" w:eastAsia="Calibri" w:hAnsi="Cambria" w:cs="Calibri"/>
          <w:spacing w:val="1"/>
        </w:rPr>
        <w:t>h</w:t>
      </w:r>
      <w:r w:rsidRPr="009A0DA6">
        <w:rPr>
          <w:rFonts w:ascii="Cambria" w:eastAsia="Calibri" w:hAnsi="Cambria" w:cs="Calibri"/>
          <w:spacing w:val="-1"/>
        </w:rPr>
        <w:t>e</w:t>
      </w:r>
      <w:r w:rsidRPr="009A0DA6">
        <w:rPr>
          <w:rFonts w:ascii="Cambria" w:eastAsia="Calibri" w:hAnsi="Cambria" w:cs="Calibri"/>
        </w:rPr>
        <w:t>r</w:t>
      </w:r>
      <w:r w:rsidRPr="009A0DA6">
        <w:rPr>
          <w:rFonts w:ascii="Cambria" w:eastAsia="Calibri" w:hAnsi="Cambria" w:cs="Calibri"/>
          <w:spacing w:val="-4"/>
        </w:rPr>
        <w:t xml:space="preserve"> </w:t>
      </w:r>
      <w:r w:rsidRPr="009A0DA6">
        <w:rPr>
          <w:rFonts w:ascii="Cambria" w:eastAsia="Calibri" w:hAnsi="Cambria" w:cs="Calibri"/>
        </w:rPr>
        <w:t>r</w:t>
      </w:r>
      <w:r w:rsidRPr="009A0DA6">
        <w:rPr>
          <w:rFonts w:ascii="Cambria" w:eastAsia="Calibri" w:hAnsi="Cambria" w:cs="Calibri"/>
          <w:spacing w:val="-1"/>
        </w:rPr>
        <w:t>e</w:t>
      </w:r>
      <w:r w:rsidRPr="009A0DA6">
        <w:rPr>
          <w:rFonts w:ascii="Cambria" w:eastAsia="Calibri" w:hAnsi="Cambria" w:cs="Calibri"/>
        </w:rPr>
        <w:t>aso</w:t>
      </w:r>
      <w:r w:rsidRPr="009A0DA6">
        <w:rPr>
          <w:rFonts w:ascii="Cambria" w:eastAsia="Calibri" w:hAnsi="Cambria" w:cs="Calibri"/>
          <w:spacing w:val="1"/>
        </w:rPr>
        <w:t>n</w:t>
      </w:r>
      <w:r w:rsidRPr="009A0DA6">
        <w:rPr>
          <w:rFonts w:ascii="Cambria" w:eastAsia="Calibri" w:hAnsi="Cambria" w:cs="Calibri"/>
        </w:rPr>
        <w:t>s</w:t>
      </w:r>
      <w:r w:rsidRPr="009A0DA6">
        <w:rPr>
          <w:rFonts w:ascii="Cambria" w:eastAsia="Calibri" w:hAnsi="Cambria" w:cs="Calibri"/>
          <w:spacing w:val="-7"/>
        </w:rPr>
        <w:t xml:space="preserve"> </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3"/>
        </w:rPr>
        <w:t xml:space="preserve"> </w:t>
      </w:r>
      <w:r w:rsidRPr="009A0DA6">
        <w:rPr>
          <w:rFonts w:ascii="Cambria" w:eastAsia="Calibri" w:hAnsi="Cambria" w:cs="Calibri"/>
          <w:spacing w:val="4"/>
        </w:rPr>
        <w:t>h</w:t>
      </w:r>
      <w:r w:rsidRPr="009A0DA6">
        <w:rPr>
          <w:rFonts w:ascii="Cambria" w:eastAsia="Calibri" w:hAnsi="Cambria" w:cs="Calibri"/>
        </w:rPr>
        <w:t>ad</w:t>
      </w:r>
      <w:r w:rsidRPr="009A0DA6">
        <w:rPr>
          <w:rFonts w:ascii="Cambria" w:eastAsia="Calibri" w:hAnsi="Cambria" w:cs="Calibri"/>
          <w:spacing w:val="-2"/>
        </w:rPr>
        <w:t xml:space="preserve"> </w:t>
      </w:r>
      <w:r w:rsidRPr="009A0DA6">
        <w:rPr>
          <w:rFonts w:ascii="Cambria" w:eastAsia="Calibri" w:hAnsi="Cambria" w:cs="Calibri"/>
        </w:rPr>
        <w:t>for</w:t>
      </w:r>
      <w:r w:rsidRPr="009A0DA6">
        <w:rPr>
          <w:rFonts w:ascii="Cambria" w:eastAsia="Calibri" w:hAnsi="Cambria" w:cs="Calibri"/>
          <w:spacing w:val="-1"/>
        </w:rPr>
        <w:t xml:space="preserve"> </w:t>
      </w:r>
      <w:r w:rsidRPr="009A0DA6">
        <w:rPr>
          <w:rFonts w:ascii="Cambria" w:eastAsia="Calibri" w:hAnsi="Cambria" w:cs="Calibri"/>
        </w:rPr>
        <w:t>t</w:t>
      </w:r>
      <w:r w:rsidRPr="009A0DA6">
        <w:rPr>
          <w:rFonts w:ascii="Cambria" w:eastAsia="Calibri" w:hAnsi="Cambria" w:cs="Calibri"/>
          <w:spacing w:val="1"/>
        </w:rPr>
        <w:t>h</w:t>
      </w:r>
      <w:r w:rsidRPr="009A0DA6">
        <w:rPr>
          <w:rFonts w:ascii="Cambria" w:eastAsia="Calibri" w:hAnsi="Cambria" w:cs="Calibri"/>
        </w:rPr>
        <w:t>is</w:t>
      </w:r>
      <w:r w:rsidRPr="009A0DA6">
        <w:rPr>
          <w:rFonts w:ascii="Cambria" w:eastAsia="Calibri" w:hAnsi="Cambria" w:cs="Calibri"/>
          <w:spacing w:val="-4"/>
        </w:rPr>
        <w:t xml:space="preserve"> </w:t>
      </w:r>
      <w:r w:rsidRPr="009A0DA6">
        <w:rPr>
          <w:rFonts w:ascii="Cambria" w:eastAsia="Calibri" w:hAnsi="Cambria" w:cs="Calibri"/>
          <w:spacing w:val="1"/>
        </w:rPr>
        <w:t>p</w:t>
      </w:r>
      <w:r w:rsidRPr="009A0DA6">
        <w:rPr>
          <w:rFonts w:ascii="Cambria" w:eastAsia="Calibri" w:hAnsi="Cambria" w:cs="Calibri"/>
        </w:rPr>
        <w:t>r</w:t>
      </w:r>
      <w:r w:rsidRPr="009A0DA6">
        <w:rPr>
          <w:rFonts w:ascii="Cambria" w:eastAsia="Calibri" w:hAnsi="Cambria" w:cs="Calibri"/>
          <w:spacing w:val="1"/>
        </w:rPr>
        <w:t>oh</w:t>
      </w:r>
      <w:r w:rsidRPr="009A0DA6">
        <w:rPr>
          <w:rFonts w:ascii="Cambria" w:eastAsia="Calibri" w:hAnsi="Cambria" w:cs="Calibri"/>
        </w:rPr>
        <w:t>i</w:t>
      </w:r>
      <w:r w:rsidRPr="009A0DA6">
        <w:rPr>
          <w:rFonts w:ascii="Cambria" w:eastAsia="Calibri" w:hAnsi="Cambria" w:cs="Calibri"/>
          <w:spacing w:val="1"/>
        </w:rPr>
        <w:t>b</w:t>
      </w:r>
      <w:r w:rsidRPr="009A0DA6">
        <w:rPr>
          <w:rFonts w:ascii="Cambria" w:eastAsia="Calibri" w:hAnsi="Cambria" w:cs="Calibri"/>
        </w:rPr>
        <w:t>iti</w:t>
      </w:r>
      <w:r w:rsidRPr="009A0DA6">
        <w:rPr>
          <w:rFonts w:ascii="Cambria" w:eastAsia="Calibri" w:hAnsi="Cambria" w:cs="Calibri"/>
          <w:spacing w:val="1"/>
        </w:rPr>
        <w:t>on</w:t>
      </w:r>
      <w:r w:rsidRPr="009A0DA6">
        <w:rPr>
          <w:rFonts w:ascii="Cambria" w:eastAsia="Calibri" w:hAnsi="Cambria" w:cs="Calibri"/>
        </w:rPr>
        <w:t>,</w:t>
      </w:r>
      <w:r w:rsidRPr="009A0DA6">
        <w:rPr>
          <w:rFonts w:ascii="Cambria" w:eastAsia="Calibri" w:hAnsi="Cambria" w:cs="Calibri"/>
          <w:spacing w:val="-10"/>
        </w:rPr>
        <w:t xml:space="preserve"> </w:t>
      </w:r>
      <w:r w:rsidRPr="009A0DA6">
        <w:rPr>
          <w:rFonts w:ascii="Cambria" w:eastAsia="Calibri" w:hAnsi="Cambria" w:cs="Calibri"/>
        </w:rPr>
        <w:t>w</w:t>
      </w:r>
      <w:r w:rsidRPr="009A0DA6">
        <w:rPr>
          <w:rFonts w:ascii="Cambria" w:eastAsia="Calibri" w:hAnsi="Cambria" w:cs="Calibri"/>
          <w:spacing w:val="1"/>
        </w:rPr>
        <w:t>h</w:t>
      </w:r>
      <w:r w:rsidRPr="009A0DA6">
        <w:rPr>
          <w:rFonts w:ascii="Cambria" w:eastAsia="Calibri" w:hAnsi="Cambria" w:cs="Calibri"/>
        </w:rPr>
        <w:t>ich</w:t>
      </w:r>
      <w:r w:rsidRPr="009A0DA6">
        <w:rPr>
          <w:rFonts w:ascii="Cambria" w:eastAsia="Calibri" w:hAnsi="Cambria" w:cs="Calibri"/>
          <w:spacing w:val="-6"/>
        </w:rPr>
        <w:t xml:space="preserve"> </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3"/>
        </w:rPr>
        <w:t xml:space="preserve"> </w:t>
      </w:r>
      <w:r w:rsidRPr="009A0DA6">
        <w:rPr>
          <w:rFonts w:ascii="Cambria" w:eastAsia="Calibri" w:hAnsi="Cambria" w:cs="Calibri"/>
        </w:rPr>
        <w:t>c</w:t>
      </w:r>
      <w:r w:rsidRPr="009A0DA6">
        <w:rPr>
          <w:rFonts w:ascii="Cambria" w:eastAsia="Calibri" w:hAnsi="Cambria" w:cs="Calibri"/>
          <w:spacing w:val="1"/>
        </w:rPr>
        <w:t>a</w:t>
      </w:r>
      <w:r w:rsidRPr="009A0DA6">
        <w:rPr>
          <w:rFonts w:ascii="Cambria" w:eastAsia="Calibri" w:hAnsi="Cambria" w:cs="Calibri"/>
        </w:rPr>
        <w:t>r</w:t>
      </w:r>
      <w:r w:rsidRPr="009A0DA6">
        <w:rPr>
          <w:rFonts w:ascii="Cambria" w:eastAsia="Calibri" w:hAnsi="Cambria" w:cs="Calibri"/>
          <w:spacing w:val="-1"/>
        </w:rPr>
        <w:t>ef</w:t>
      </w:r>
      <w:r w:rsidRPr="009A0DA6">
        <w:rPr>
          <w:rFonts w:ascii="Cambria" w:eastAsia="Calibri" w:hAnsi="Cambria" w:cs="Calibri"/>
          <w:spacing w:val="1"/>
        </w:rPr>
        <w:t>u</w:t>
      </w:r>
      <w:r w:rsidRPr="009A0DA6">
        <w:rPr>
          <w:rFonts w:ascii="Cambria" w:eastAsia="Calibri" w:hAnsi="Cambria" w:cs="Calibri"/>
        </w:rPr>
        <w:t>lly</w:t>
      </w:r>
      <w:r w:rsidRPr="009A0DA6">
        <w:rPr>
          <w:rFonts w:ascii="Cambria" w:eastAsia="Calibri" w:hAnsi="Cambria" w:cs="Calibri"/>
          <w:spacing w:val="-6"/>
        </w:rPr>
        <w:t xml:space="preserve"> </w:t>
      </w:r>
      <w:r w:rsidRPr="009A0DA6">
        <w:rPr>
          <w:rFonts w:ascii="Cambria" w:eastAsia="Calibri" w:hAnsi="Cambria" w:cs="Calibri"/>
          <w:spacing w:val="-1"/>
        </w:rPr>
        <w:t>s</w:t>
      </w:r>
      <w:r w:rsidRPr="009A0DA6">
        <w:rPr>
          <w:rFonts w:ascii="Cambria" w:eastAsia="Calibri" w:hAnsi="Cambria" w:cs="Calibri"/>
          <w:spacing w:val="3"/>
        </w:rPr>
        <w:t>p</w:t>
      </w:r>
      <w:r w:rsidRPr="009A0DA6">
        <w:rPr>
          <w:rFonts w:ascii="Cambria" w:eastAsia="Calibri" w:hAnsi="Cambria" w:cs="Calibri"/>
          <w:spacing w:val="-1"/>
        </w:rPr>
        <w:t>e</w:t>
      </w:r>
      <w:r w:rsidRPr="009A0DA6">
        <w:rPr>
          <w:rFonts w:ascii="Cambria" w:eastAsia="Calibri" w:hAnsi="Cambria" w:cs="Calibri"/>
        </w:rPr>
        <w:t>l</w:t>
      </w:r>
      <w:r w:rsidRPr="009A0DA6">
        <w:rPr>
          <w:rFonts w:ascii="Cambria" w:eastAsia="Calibri" w:hAnsi="Cambria" w:cs="Calibri"/>
          <w:spacing w:val="2"/>
        </w:rPr>
        <w:t>l</w:t>
      </w:r>
      <w:r w:rsidRPr="009A0DA6">
        <w:rPr>
          <w:rFonts w:ascii="Cambria" w:eastAsia="Calibri" w:hAnsi="Cambria" w:cs="Calibri"/>
        </w:rPr>
        <w:t>s</w:t>
      </w:r>
      <w:r w:rsidRPr="009A0DA6">
        <w:rPr>
          <w:rFonts w:ascii="Cambria" w:eastAsia="Calibri" w:hAnsi="Cambria" w:cs="Calibri"/>
          <w:spacing w:val="-6"/>
        </w:rPr>
        <w:t xml:space="preserve"> </w:t>
      </w:r>
      <w:r w:rsidRPr="009A0DA6">
        <w:rPr>
          <w:rFonts w:ascii="Cambria" w:eastAsia="Calibri" w:hAnsi="Cambria" w:cs="Calibri"/>
          <w:spacing w:val="1"/>
        </w:rPr>
        <w:t>ou</w:t>
      </w:r>
      <w:r w:rsidRPr="009A0DA6">
        <w:rPr>
          <w:rFonts w:ascii="Cambria" w:eastAsia="Calibri" w:hAnsi="Cambria" w:cs="Calibri"/>
        </w:rPr>
        <w:t>t</w:t>
      </w:r>
      <w:r w:rsidRPr="009A0DA6">
        <w:rPr>
          <w:rFonts w:ascii="Cambria" w:eastAsia="Calibri" w:hAnsi="Cambria" w:cs="Calibri"/>
          <w:spacing w:val="-2"/>
        </w:rPr>
        <w:t xml:space="preserve"> </w:t>
      </w:r>
      <w:r w:rsidRPr="009A0DA6">
        <w:rPr>
          <w:rFonts w:ascii="Cambria" w:eastAsia="Calibri" w:hAnsi="Cambria" w:cs="Calibri"/>
          <w:spacing w:val="-1"/>
        </w:rPr>
        <w:t>f</w:t>
      </w:r>
      <w:r w:rsidRPr="009A0DA6">
        <w:rPr>
          <w:rFonts w:ascii="Cambria" w:eastAsia="Calibri" w:hAnsi="Cambria" w:cs="Calibri"/>
        </w:rPr>
        <w:t>or</w:t>
      </w:r>
      <w:r w:rsidRPr="009A0DA6">
        <w:rPr>
          <w:rFonts w:ascii="Cambria" w:eastAsia="Calibri" w:hAnsi="Cambria" w:cs="Calibri"/>
          <w:spacing w:val="-2"/>
        </w:rPr>
        <w:t xml:space="preserve"> </w:t>
      </w:r>
      <w:r w:rsidRPr="009A0DA6">
        <w:rPr>
          <w:rFonts w:ascii="Cambria" w:eastAsia="Calibri" w:hAnsi="Cambria" w:cs="Calibri"/>
          <w:spacing w:val="1"/>
        </w:rPr>
        <w:t>u</w:t>
      </w:r>
      <w:r w:rsidRPr="009A0DA6">
        <w:rPr>
          <w:rFonts w:ascii="Cambria" w:eastAsia="Calibri" w:hAnsi="Cambria" w:cs="Calibri"/>
          <w:spacing w:val="-1"/>
        </w:rPr>
        <w:t>s</w:t>
      </w:r>
      <w:r w:rsidRPr="009A0DA6">
        <w:rPr>
          <w:rFonts w:ascii="Cambria" w:eastAsia="Calibri" w:hAnsi="Cambria" w:cs="Calibri"/>
        </w:rPr>
        <w:t>.</w:t>
      </w:r>
      <w:r w:rsidRPr="009A0DA6">
        <w:rPr>
          <w:rFonts w:ascii="Cambria" w:eastAsia="Calibri" w:hAnsi="Cambria" w:cs="Calibri"/>
        </w:rPr>
        <w:br/>
      </w:r>
      <w:r w:rsidR="00417DA5" w:rsidRPr="009A0DA6">
        <w:rPr>
          <w:rFonts w:ascii="Cambria" w:eastAsia="Calibri" w:hAnsi="Cambria" w:cs="Calibri"/>
        </w:rPr>
        <w:br/>
      </w:r>
      <w:r w:rsidRPr="009A0DA6">
        <w:rPr>
          <w:rFonts w:ascii="Cambria" w:eastAsia="Calibri" w:hAnsi="Cambria" w:cs="Calibri"/>
        </w:rPr>
        <w:t>P</w:t>
      </w:r>
      <w:r w:rsidRPr="009A0DA6">
        <w:rPr>
          <w:rFonts w:ascii="Cambria" w:eastAsia="Calibri" w:hAnsi="Cambria" w:cs="Calibri"/>
          <w:spacing w:val="1"/>
        </w:rPr>
        <w:t>au</w:t>
      </w:r>
      <w:r w:rsidRPr="009A0DA6">
        <w:rPr>
          <w:rFonts w:ascii="Cambria" w:eastAsia="Calibri" w:hAnsi="Cambria" w:cs="Calibri"/>
        </w:rPr>
        <w:t>l</w:t>
      </w:r>
      <w:r w:rsidRPr="009A0DA6">
        <w:rPr>
          <w:rFonts w:ascii="Cambria" w:eastAsia="Calibri" w:hAnsi="Cambria" w:cs="Calibri"/>
          <w:spacing w:val="-1"/>
        </w:rPr>
        <w:t xml:space="preserve"> </w:t>
      </w:r>
      <w:r w:rsidRPr="009A0DA6">
        <w:rPr>
          <w:rFonts w:ascii="Cambria" w:eastAsia="Calibri" w:hAnsi="Cambria" w:cs="Calibri"/>
        </w:rPr>
        <w:t>tells</w:t>
      </w:r>
      <w:r w:rsidRPr="009A0DA6">
        <w:rPr>
          <w:rFonts w:ascii="Cambria" w:eastAsia="Calibri" w:hAnsi="Cambria" w:cs="Calibri"/>
          <w:spacing w:val="-1"/>
        </w:rPr>
        <w:t xml:space="preserve"> </w:t>
      </w:r>
      <w:r w:rsidRPr="009A0DA6">
        <w:rPr>
          <w:rFonts w:ascii="Cambria" w:eastAsia="Calibri" w:hAnsi="Cambria" w:cs="Calibri"/>
          <w:spacing w:val="3"/>
        </w:rPr>
        <w:t>u</w:t>
      </w:r>
      <w:r w:rsidRPr="009A0DA6">
        <w:rPr>
          <w:rFonts w:ascii="Cambria" w:eastAsia="Calibri" w:hAnsi="Cambria" w:cs="Calibri"/>
        </w:rPr>
        <w:t>s t</w:t>
      </w:r>
      <w:r w:rsidRPr="009A0DA6">
        <w:rPr>
          <w:rFonts w:ascii="Cambria" w:eastAsia="Calibri" w:hAnsi="Cambria" w:cs="Calibri"/>
          <w:spacing w:val="1"/>
        </w:rPr>
        <w:t>h</w:t>
      </w:r>
      <w:r w:rsidRPr="009A0DA6">
        <w:rPr>
          <w:rFonts w:ascii="Cambria" w:eastAsia="Calibri" w:hAnsi="Cambria" w:cs="Calibri"/>
          <w:spacing w:val="2"/>
        </w:rPr>
        <w:t>a</w:t>
      </w:r>
      <w:r w:rsidRPr="009A0DA6">
        <w:rPr>
          <w:rFonts w:ascii="Cambria" w:eastAsia="Calibri" w:hAnsi="Cambria" w:cs="Calibri"/>
        </w:rPr>
        <w:t>t t</w:t>
      </w:r>
      <w:r w:rsidRPr="009A0DA6">
        <w:rPr>
          <w:rFonts w:ascii="Cambria" w:eastAsia="Calibri" w:hAnsi="Cambria" w:cs="Calibri"/>
          <w:spacing w:val="1"/>
        </w:rPr>
        <w:t>h</w:t>
      </w:r>
      <w:r w:rsidRPr="009A0DA6">
        <w:rPr>
          <w:rFonts w:ascii="Cambria" w:eastAsia="Calibri" w:hAnsi="Cambria" w:cs="Calibri"/>
        </w:rPr>
        <w:t>is</w:t>
      </w:r>
      <w:r w:rsidRPr="009A0DA6">
        <w:rPr>
          <w:rFonts w:ascii="Cambria" w:eastAsia="Calibri" w:hAnsi="Cambria" w:cs="Calibri"/>
          <w:spacing w:val="-2"/>
        </w:rPr>
        <w:t xml:space="preserve"> </w:t>
      </w:r>
      <w:r w:rsidRPr="009A0DA6">
        <w:rPr>
          <w:rFonts w:ascii="Cambria" w:eastAsia="Calibri" w:hAnsi="Cambria" w:cs="Calibri"/>
          <w:spacing w:val="1"/>
        </w:rPr>
        <w:t>p</w:t>
      </w:r>
      <w:r w:rsidRPr="009A0DA6">
        <w:rPr>
          <w:rFonts w:ascii="Cambria" w:eastAsia="Calibri" w:hAnsi="Cambria" w:cs="Calibri"/>
        </w:rPr>
        <w:t>r</w:t>
      </w:r>
      <w:r w:rsidRPr="009A0DA6">
        <w:rPr>
          <w:rFonts w:ascii="Cambria" w:eastAsia="Calibri" w:hAnsi="Cambria" w:cs="Calibri"/>
          <w:spacing w:val="1"/>
        </w:rPr>
        <w:t>oh</w:t>
      </w:r>
      <w:r w:rsidRPr="009A0DA6">
        <w:rPr>
          <w:rFonts w:ascii="Cambria" w:eastAsia="Calibri" w:hAnsi="Cambria" w:cs="Calibri"/>
        </w:rPr>
        <w:t>i</w:t>
      </w:r>
      <w:r w:rsidRPr="009A0DA6">
        <w:rPr>
          <w:rFonts w:ascii="Cambria" w:eastAsia="Calibri" w:hAnsi="Cambria" w:cs="Calibri"/>
          <w:spacing w:val="1"/>
        </w:rPr>
        <w:t>b</w:t>
      </w:r>
      <w:r w:rsidRPr="009A0DA6">
        <w:rPr>
          <w:rFonts w:ascii="Cambria" w:eastAsia="Calibri" w:hAnsi="Cambria" w:cs="Calibri"/>
        </w:rPr>
        <w:t>it</w:t>
      </w:r>
      <w:r w:rsidRPr="009A0DA6">
        <w:rPr>
          <w:rFonts w:ascii="Cambria" w:eastAsia="Calibri" w:hAnsi="Cambria" w:cs="Calibri"/>
          <w:spacing w:val="2"/>
        </w:rPr>
        <w:t>i</w:t>
      </w:r>
      <w:r w:rsidRPr="009A0DA6">
        <w:rPr>
          <w:rFonts w:ascii="Cambria" w:eastAsia="Calibri" w:hAnsi="Cambria" w:cs="Calibri"/>
        </w:rPr>
        <w:t>on</w:t>
      </w:r>
      <w:r w:rsidRPr="009A0DA6">
        <w:rPr>
          <w:rFonts w:ascii="Cambria" w:eastAsia="Calibri" w:hAnsi="Cambria" w:cs="Calibri"/>
          <w:spacing w:val="-6"/>
        </w:rPr>
        <w:t xml:space="preserve"> </w:t>
      </w:r>
      <w:r w:rsidRPr="009A0DA6">
        <w:rPr>
          <w:rFonts w:ascii="Cambria" w:eastAsia="Calibri" w:hAnsi="Cambria" w:cs="Calibri"/>
        </w:rPr>
        <w:t>is gro</w:t>
      </w:r>
      <w:r w:rsidRPr="009A0DA6">
        <w:rPr>
          <w:rFonts w:ascii="Cambria" w:eastAsia="Calibri" w:hAnsi="Cambria" w:cs="Calibri"/>
          <w:spacing w:val="1"/>
        </w:rPr>
        <w:t>und</w:t>
      </w:r>
      <w:r w:rsidRPr="009A0DA6">
        <w:rPr>
          <w:rFonts w:ascii="Cambria" w:eastAsia="Calibri" w:hAnsi="Cambria" w:cs="Calibri"/>
          <w:spacing w:val="-1"/>
        </w:rPr>
        <w:t>e</w:t>
      </w:r>
      <w:r w:rsidRPr="009A0DA6">
        <w:rPr>
          <w:rFonts w:ascii="Cambria" w:eastAsia="Calibri" w:hAnsi="Cambria" w:cs="Calibri"/>
        </w:rPr>
        <w:t>d</w:t>
      </w:r>
      <w:r w:rsidRPr="009A0DA6">
        <w:rPr>
          <w:rFonts w:ascii="Cambria" w:eastAsia="Calibri" w:hAnsi="Cambria" w:cs="Calibri"/>
          <w:spacing w:val="-5"/>
        </w:rPr>
        <w:t xml:space="preserve"> </w:t>
      </w:r>
      <w:r w:rsidRPr="009A0DA6">
        <w:rPr>
          <w:rFonts w:ascii="Cambria" w:eastAsia="Calibri" w:hAnsi="Cambria" w:cs="Calibri"/>
        </w:rPr>
        <w:t>in</w:t>
      </w:r>
      <w:r w:rsidRPr="009A0DA6">
        <w:rPr>
          <w:rFonts w:ascii="Cambria" w:eastAsia="Calibri" w:hAnsi="Cambria" w:cs="Calibri"/>
          <w:spacing w:val="1"/>
        </w:rPr>
        <w:t xml:space="preserve"> </w:t>
      </w:r>
      <w:r w:rsidRPr="009A0DA6">
        <w:rPr>
          <w:rFonts w:ascii="Cambria" w:eastAsia="Calibri" w:hAnsi="Cambria" w:cs="Calibri"/>
        </w:rPr>
        <w:t>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spacing w:val="1"/>
        </w:rPr>
        <w:t>h</w:t>
      </w:r>
      <w:r w:rsidRPr="009A0DA6">
        <w:rPr>
          <w:rFonts w:ascii="Cambria" w:eastAsia="Calibri" w:hAnsi="Cambria" w:cs="Calibri"/>
          <w:spacing w:val="-1"/>
        </w:rPr>
        <w:t>e</w:t>
      </w:r>
      <w:r w:rsidRPr="009A0DA6">
        <w:rPr>
          <w:rFonts w:ascii="Cambria" w:eastAsia="Calibri" w:hAnsi="Cambria" w:cs="Calibri"/>
        </w:rPr>
        <w:t>a</w:t>
      </w:r>
      <w:r w:rsidRPr="009A0DA6">
        <w:rPr>
          <w:rFonts w:ascii="Cambria" w:eastAsia="Calibri" w:hAnsi="Cambria" w:cs="Calibri"/>
          <w:spacing w:val="4"/>
        </w:rPr>
        <w:t>d</w:t>
      </w:r>
      <w:r w:rsidRPr="009A0DA6">
        <w:rPr>
          <w:rFonts w:ascii="Cambria" w:eastAsia="Calibri" w:hAnsi="Cambria" w:cs="Calibri"/>
          <w:spacing w:val="-1"/>
        </w:rPr>
        <w:t>s</w:t>
      </w:r>
      <w:r w:rsidRPr="009A0DA6">
        <w:rPr>
          <w:rFonts w:ascii="Cambria" w:eastAsia="Calibri" w:hAnsi="Cambria" w:cs="Calibri"/>
          <w:spacing w:val="1"/>
        </w:rPr>
        <w:t>h</w:t>
      </w:r>
      <w:r w:rsidRPr="009A0DA6">
        <w:rPr>
          <w:rFonts w:ascii="Cambria" w:eastAsia="Calibri" w:hAnsi="Cambria" w:cs="Calibri"/>
          <w:spacing w:val="2"/>
        </w:rPr>
        <w:t>i</w:t>
      </w:r>
      <w:r w:rsidRPr="009A0DA6">
        <w:rPr>
          <w:rFonts w:ascii="Cambria" w:eastAsia="Calibri" w:hAnsi="Cambria" w:cs="Calibri"/>
        </w:rPr>
        <w:t>p</w:t>
      </w:r>
      <w:r w:rsidRPr="009A0DA6">
        <w:rPr>
          <w:rFonts w:ascii="Cambria" w:eastAsia="Calibri" w:hAnsi="Cambria" w:cs="Calibri"/>
          <w:spacing w:val="-4"/>
        </w:rPr>
        <w:t xml:space="preserve"> </w:t>
      </w:r>
      <w:r w:rsidRPr="009A0DA6">
        <w:rPr>
          <w:rFonts w:ascii="Cambria" w:eastAsia="Calibri" w:hAnsi="Cambria" w:cs="Calibri"/>
          <w:spacing w:val="-1"/>
        </w:rPr>
        <w:t>G</w:t>
      </w:r>
      <w:r w:rsidRPr="009A0DA6">
        <w:rPr>
          <w:rFonts w:ascii="Cambria" w:eastAsia="Calibri" w:hAnsi="Cambria" w:cs="Calibri"/>
        </w:rPr>
        <w:t>od ga</w:t>
      </w:r>
      <w:r w:rsidRPr="009A0DA6">
        <w:rPr>
          <w:rFonts w:ascii="Cambria" w:eastAsia="Calibri" w:hAnsi="Cambria" w:cs="Calibri"/>
          <w:spacing w:val="2"/>
        </w:rPr>
        <w:t>v</w:t>
      </w:r>
      <w:r w:rsidRPr="009A0DA6">
        <w:rPr>
          <w:rFonts w:ascii="Cambria" w:eastAsia="Calibri" w:hAnsi="Cambria" w:cs="Calibri"/>
        </w:rPr>
        <w:t>e</w:t>
      </w:r>
      <w:r w:rsidRPr="009A0DA6">
        <w:rPr>
          <w:rFonts w:ascii="Cambria" w:eastAsia="Calibri" w:hAnsi="Cambria" w:cs="Calibri"/>
          <w:spacing w:val="-2"/>
        </w:rPr>
        <w:t xml:space="preserve"> </w:t>
      </w:r>
      <w:r w:rsidRPr="009A0DA6">
        <w:rPr>
          <w:rFonts w:ascii="Cambria" w:eastAsia="Calibri" w:hAnsi="Cambria" w:cs="Calibri"/>
        </w:rPr>
        <w:t>to</w:t>
      </w:r>
      <w:r w:rsidRPr="009A0DA6">
        <w:rPr>
          <w:rFonts w:ascii="Cambria" w:eastAsia="Calibri" w:hAnsi="Cambria" w:cs="Calibri"/>
          <w:spacing w:val="1"/>
        </w:rPr>
        <w:t xml:space="preserve"> m</w:t>
      </w:r>
      <w:r w:rsidRPr="009A0DA6">
        <w:rPr>
          <w:rFonts w:ascii="Cambria" w:eastAsia="Calibri" w:hAnsi="Cambria" w:cs="Calibri"/>
          <w:spacing w:val="-1"/>
        </w:rPr>
        <w:t>e</w:t>
      </w:r>
      <w:r w:rsidRPr="009A0DA6">
        <w:rPr>
          <w:rFonts w:ascii="Cambria" w:eastAsia="Calibri" w:hAnsi="Cambria" w:cs="Calibri"/>
        </w:rPr>
        <w:t>n</w:t>
      </w:r>
      <w:r w:rsidRPr="009A0DA6">
        <w:rPr>
          <w:rFonts w:ascii="Cambria" w:eastAsia="Calibri" w:hAnsi="Cambria" w:cs="Calibri"/>
          <w:spacing w:val="-1"/>
        </w:rPr>
        <w:t xml:space="preserve"> </w:t>
      </w:r>
      <w:r w:rsidRPr="009A0DA6">
        <w:rPr>
          <w:rFonts w:ascii="Cambria" w:eastAsia="Calibri" w:hAnsi="Cambria" w:cs="Calibri"/>
        </w:rPr>
        <w:t>at</w:t>
      </w:r>
      <w:r w:rsidRPr="009A0DA6">
        <w:rPr>
          <w:rFonts w:ascii="Cambria" w:eastAsia="Calibri" w:hAnsi="Cambria" w:cs="Calibri"/>
          <w:spacing w:val="1"/>
        </w:rPr>
        <w:t xml:space="preserve"> </w:t>
      </w:r>
      <w:r w:rsidRPr="009A0DA6">
        <w:rPr>
          <w:rFonts w:ascii="Cambria" w:eastAsia="Calibri" w:hAnsi="Cambria" w:cs="Calibri"/>
        </w:rPr>
        <w:t>c</w:t>
      </w:r>
      <w:r w:rsidRPr="009A0DA6">
        <w:rPr>
          <w:rFonts w:ascii="Cambria" w:eastAsia="Calibri" w:hAnsi="Cambria" w:cs="Calibri"/>
          <w:spacing w:val="2"/>
        </w:rPr>
        <w:t>r</w:t>
      </w:r>
      <w:r w:rsidRPr="009A0DA6">
        <w:rPr>
          <w:rFonts w:ascii="Cambria" w:eastAsia="Calibri" w:hAnsi="Cambria" w:cs="Calibri"/>
          <w:spacing w:val="-1"/>
        </w:rPr>
        <w:t>e</w:t>
      </w:r>
      <w:r w:rsidRPr="009A0DA6">
        <w:rPr>
          <w:rFonts w:ascii="Cambria" w:eastAsia="Calibri" w:hAnsi="Cambria" w:cs="Calibri"/>
        </w:rPr>
        <w:t>a</w:t>
      </w:r>
      <w:r w:rsidRPr="009A0DA6">
        <w:rPr>
          <w:rFonts w:ascii="Cambria" w:eastAsia="Calibri" w:hAnsi="Cambria" w:cs="Calibri"/>
          <w:spacing w:val="1"/>
        </w:rPr>
        <w:t>t</w:t>
      </w:r>
      <w:r w:rsidRPr="009A0DA6">
        <w:rPr>
          <w:rFonts w:ascii="Cambria" w:eastAsia="Calibri" w:hAnsi="Cambria" w:cs="Calibri"/>
        </w:rPr>
        <w:t>i</w:t>
      </w:r>
      <w:r w:rsidRPr="009A0DA6">
        <w:rPr>
          <w:rFonts w:ascii="Cambria" w:eastAsia="Calibri" w:hAnsi="Cambria" w:cs="Calibri"/>
          <w:spacing w:val="3"/>
        </w:rPr>
        <w:t>o</w:t>
      </w:r>
      <w:r w:rsidRPr="009A0DA6">
        <w:rPr>
          <w:rFonts w:ascii="Cambria" w:eastAsia="Calibri" w:hAnsi="Cambria" w:cs="Calibri"/>
          <w:spacing w:val="1"/>
        </w:rPr>
        <w:t>n</w:t>
      </w:r>
      <w:r w:rsidRPr="009A0DA6">
        <w:rPr>
          <w:rFonts w:ascii="Cambria" w:eastAsia="Calibri" w:hAnsi="Cambria" w:cs="Calibri"/>
        </w:rPr>
        <w:t>,</w:t>
      </w:r>
      <w:r w:rsidRPr="009A0DA6">
        <w:rPr>
          <w:rFonts w:ascii="Cambria" w:eastAsia="Calibri" w:hAnsi="Cambria" w:cs="Calibri"/>
          <w:spacing w:val="-4"/>
        </w:rPr>
        <w:t xml:space="preserve"> </w:t>
      </w:r>
      <w:r w:rsidRPr="009A0DA6">
        <w:rPr>
          <w:rFonts w:ascii="Cambria" w:eastAsia="Calibri" w:hAnsi="Cambria" w:cs="Calibri"/>
        </w:rPr>
        <w:t>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rPr>
        <w:t>co</w:t>
      </w:r>
      <w:r w:rsidRPr="009A0DA6">
        <w:rPr>
          <w:rFonts w:ascii="Cambria" w:eastAsia="Calibri" w:hAnsi="Cambria" w:cs="Calibri"/>
          <w:spacing w:val="1"/>
        </w:rPr>
        <w:t>n</w:t>
      </w:r>
      <w:r w:rsidRPr="009A0DA6">
        <w:rPr>
          <w:rFonts w:ascii="Cambria" w:eastAsia="Calibri" w:hAnsi="Cambria" w:cs="Calibri"/>
          <w:spacing w:val="-1"/>
        </w:rPr>
        <w:t>se</w:t>
      </w:r>
      <w:r w:rsidRPr="009A0DA6">
        <w:rPr>
          <w:rFonts w:ascii="Cambria" w:eastAsia="Calibri" w:hAnsi="Cambria" w:cs="Calibri"/>
          <w:spacing w:val="1"/>
        </w:rPr>
        <w:t>qu</w:t>
      </w:r>
      <w:r w:rsidRPr="009A0DA6">
        <w:rPr>
          <w:rFonts w:ascii="Cambria" w:eastAsia="Calibri" w:hAnsi="Cambria" w:cs="Calibri"/>
          <w:spacing w:val="-1"/>
        </w:rPr>
        <w:t>e</w:t>
      </w:r>
      <w:r w:rsidRPr="009A0DA6">
        <w:rPr>
          <w:rFonts w:ascii="Cambria" w:eastAsia="Calibri" w:hAnsi="Cambria" w:cs="Calibri"/>
          <w:spacing w:val="1"/>
        </w:rPr>
        <w:t>n</w:t>
      </w:r>
      <w:r w:rsidRPr="009A0DA6">
        <w:rPr>
          <w:rFonts w:ascii="Cambria" w:eastAsia="Calibri" w:hAnsi="Cambria" w:cs="Calibri"/>
          <w:spacing w:val="2"/>
        </w:rPr>
        <w:t>c</w:t>
      </w:r>
      <w:r w:rsidRPr="009A0DA6">
        <w:rPr>
          <w:rFonts w:ascii="Cambria" w:eastAsia="Calibri" w:hAnsi="Cambria" w:cs="Calibri"/>
          <w:spacing w:val="-1"/>
        </w:rPr>
        <w:t>e</w:t>
      </w:r>
      <w:r w:rsidRPr="009A0DA6">
        <w:rPr>
          <w:rFonts w:ascii="Cambria" w:eastAsia="Calibri" w:hAnsi="Cambria" w:cs="Calibri"/>
        </w:rPr>
        <w:t>s</w:t>
      </w:r>
      <w:r w:rsidRPr="009A0DA6">
        <w:rPr>
          <w:rFonts w:ascii="Cambria" w:eastAsia="Calibri" w:hAnsi="Cambria" w:cs="Calibri"/>
          <w:spacing w:val="-9"/>
        </w:rPr>
        <w:t xml:space="preserve"> </w:t>
      </w:r>
      <w:r w:rsidRPr="009A0DA6">
        <w:rPr>
          <w:rFonts w:ascii="Cambria" w:eastAsia="Calibri" w:hAnsi="Cambria" w:cs="Calibri"/>
          <w:spacing w:val="3"/>
        </w:rPr>
        <w:t>o</w:t>
      </w:r>
      <w:r w:rsidRPr="009A0DA6">
        <w:rPr>
          <w:rFonts w:ascii="Cambria" w:eastAsia="Calibri" w:hAnsi="Cambria" w:cs="Calibri"/>
        </w:rPr>
        <w:t>f 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spacing w:val="-1"/>
        </w:rPr>
        <w:t>f</w:t>
      </w:r>
      <w:r w:rsidRPr="009A0DA6">
        <w:rPr>
          <w:rFonts w:ascii="Cambria" w:eastAsia="Calibri" w:hAnsi="Cambria" w:cs="Calibri"/>
          <w:spacing w:val="3"/>
        </w:rPr>
        <w:t>a</w:t>
      </w:r>
      <w:r w:rsidRPr="009A0DA6">
        <w:rPr>
          <w:rFonts w:ascii="Cambria" w:eastAsia="Calibri" w:hAnsi="Cambria" w:cs="Calibri"/>
        </w:rPr>
        <w:t xml:space="preserve">ll </w:t>
      </w:r>
      <w:r w:rsidRPr="009A0DA6">
        <w:rPr>
          <w:rFonts w:ascii="Cambria" w:eastAsia="Calibri" w:hAnsi="Cambria" w:cs="Calibri"/>
          <w:spacing w:val="-1"/>
        </w:rPr>
        <w:t>f</w:t>
      </w:r>
      <w:r w:rsidRPr="009A0DA6">
        <w:rPr>
          <w:rFonts w:ascii="Cambria" w:eastAsia="Calibri" w:hAnsi="Cambria" w:cs="Calibri"/>
        </w:rPr>
        <w:t>or</w:t>
      </w:r>
      <w:r w:rsidRPr="009A0DA6">
        <w:rPr>
          <w:rFonts w:ascii="Cambria" w:eastAsia="Calibri" w:hAnsi="Cambria" w:cs="Calibri"/>
          <w:spacing w:val="-13"/>
        </w:rPr>
        <w:t xml:space="preserve"> </w:t>
      </w:r>
      <w:r w:rsidRPr="009A0DA6">
        <w:rPr>
          <w:rFonts w:ascii="Cambria" w:eastAsia="Calibri" w:hAnsi="Cambria" w:cs="Calibri"/>
          <w:spacing w:val="-1"/>
        </w:rPr>
        <w:t>w</w:t>
      </w:r>
      <w:r w:rsidRPr="009A0DA6">
        <w:rPr>
          <w:rFonts w:ascii="Cambria" w:eastAsia="Calibri" w:hAnsi="Cambria" w:cs="Calibri"/>
          <w:spacing w:val="3"/>
        </w:rPr>
        <w:t>o</w:t>
      </w:r>
      <w:r w:rsidRPr="009A0DA6">
        <w:rPr>
          <w:rFonts w:ascii="Cambria" w:eastAsia="Calibri" w:hAnsi="Cambria" w:cs="Calibri"/>
          <w:spacing w:val="-1"/>
        </w:rPr>
        <w:t>me</w:t>
      </w:r>
      <w:r w:rsidRPr="009A0DA6">
        <w:rPr>
          <w:rFonts w:ascii="Cambria" w:eastAsia="Calibri" w:hAnsi="Cambria" w:cs="Calibri"/>
          <w:spacing w:val="1"/>
        </w:rPr>
        <w:t>n</w:t>
      </w:r>
      <w:r w:rsidRPr="009A0DA6">
        <w:rPr>
          <w:rFonts w:ascii="Cambria" w:eastAsia="Calibri" w:hAnsi="Cambria" w:cs="Calibri"/>
        </w:rPr>
        <w:t>,</w:t>
      </w:r>
      <w:r w:rsidRPr="009A0DA6">
        <w:rPr>
          <w:rFonts w:ascii="Cambria" w:eastAsia="Calibri" w:hAnsi="Cambria" w:cs="Calibri"/>
          <w:spacing w:val="-18"/>
        </w:rPr>
        <w:t xml:space="preserve"> </w:t>
      </w:r>
      <w:r w:rsidRPr="009A0DA6">
        <w:rPr>
          <w:rFonts w:ascii="Cambria" w:eastAsia="Calibri" w:hAnsi="Cambria" w:cs="Calibri"/>
        </w:rPr>
        <w:t>a</w:t>
      </w:r>
      <w:r w:rsidRPr="009A0DA6">
        <w:rPr>
          <w:rFonts w:ascii="Cambria" w:eastAsia="Calibri" w:hAnsi="Cambria" w:cs="Calibri"/>
          <w:spacing w:val="1"/>
        </w:rPr>
        <w:t>n</w:t>
      </w:r>
      <w:r w:rsidRPr="009A0DA6">
        <w:rPr>
          <w:rFonts w:ascii="Cambria" w:eastAsia="Calibri" w:hAnsi="Cambria" w:cs="Calibri"/>
        </w:rPr>
        <w:t>d</w:t>
      </w:r>
      <w:r w:rsidRPr="009A0DA6">
        <w:rPr>
          <w:rFonts w:ascii="Cambria" w:eastAsia="Calibri" w:hAnsi="Cambria" w:cs="Calibri"/>
          <w:spacing w:val="-14"/>
        </w:rPr>
        <w:t xml:space="preserve"> </w:t>
      </w:r>
      <w:r w:rsidRPr="009A0DA6">
        <w:rPr>
          <w:rFonts w:ascii="Cambria" w:eastAsia="Calibri" w:hAnsi="Cambria" w:cs="Calibri"/>
        </w:rPr>
        <w:t>a</w:t>
      </w:r>
      <w:r w:rsidRPr="009A0DA6">
        <w:rPr>
          <w:rFonts w:ascii="Cambria" w:eastAsia="Calibri" w:hAnsi="Cambria" w:cs="Calibri"/>
          <w:spacing w:val="-12"/>
        </w:rPr>
        <w:t xml:space="preserve"> </w:t>
      </w:r>
      <w:r w:rsidRPr="009A0DA6">
        <w:rPr>
          <w:rFonts w:ascii="Cambria" w:eastAsia="Calibri" w:hAnsi="Cambria" w:cs="Calibri"/>
          <w:w w:val="99"/>
        </w:rPr>
        <w:t>c</w:t>
      </w:r>
      <w:r w:rsidRPr="009A0DA6">
        <w:rPr>
          <w:rFonts w:ascii="Cambria" w:eastAsia="Calibri" w:hAnsi="Cambria" w:cs="Calibri"/>
          <w:spacing w:val="3"/>
          <w:w w:val="99"/>
        </w:rPr>
        <w:t>o</w:t>
      </w:r>
      <w:r w:rsidRPr="009A0DA6">
        <w:rPr>
          <w:rFonts w:ascii="Cambria" w:eastAsia="Calibri" w:hAnsi="Cambria" w:cs="Calibri"/>
          <w:spacing w:val="-1"/>
          <w:w w:val="99"/>
        </w:rPr>
        <w:t>mm</w:t>
      </w:r>
      <w:r w:rsidRPr="009A0DA6">
        <w:rPr>
          <w:rFonts w:ascii="Cambria" w:eastAsia="Calibri" w:hAnsi="Cambria" w:cs="Calibri"/>
          <w:w w:val="99"/>
        </w:rPr>
        <w:t>a</w:t>
      </w:r>
      <w:r w:rsidRPr="009A0DA6">
        <w:rPr>
          <w:rFonts w:ascii="Cambria" w:eastAsia="Calibri" w:hAnsi="Cambria" w:cs="Calibri"/>
          <w:spacing w:val="1"/>
          <w:w w:val="99"/>
        </w:rPr>
        <w:t>n</w:t>
      </w:r>
      <w:r w:rsidRPr="009A0DA6">
        <w:rPr>
          <w:rFonts w:ascii="Cambria" w:eastAsia="Calibri" w:hAnsi="Cambria" w:cs="Calibri"/>
          <w:w w:val="99"/>
        </w:rPr>
        <w:t>d</w:t>
      </w:r>
      <w:r w:rsidRPr="009A0DA6">
        <w:rPr>
          <w:rFonts w:ascii="Cambria" w:eastAsia="Calibri" w:hAnsi="Cambria" w:cs="Calibri"/>
          <w:spacing w:val="-11"/>
          <w:w w:val="99"/>
        </w:rPr>
        <w:t xml:space="preserve"> </w:t>
      </w:r>
      <w:r w:rsidRPr="009A0DA6">
        <w:rPr>
          <w:rFonts w:ascii="Cambria" w:eastAsia="Calibri" w:hAnsi="Cambria" w:cs="Calibri"/>
          <w:spacing w:val="3"/>
        </w:rPr>
        <w:t>o</w:t>
      </w:r>
      <w:r w:rsidRPr="009A0DA6">
        <w:rPr>
          <w:rFonts w:ascii="Cambria" w:eastAsia="Calibri" w:hAnsi="Cambria" w:cs="Calibri"/>
        </w:rPr>
        <w:t>f</w:t>
      </w:r>
      <w:r w:rsidRPr="009A0DA6">
        <w:rPr>
          <w:rFonts w:ascii="Cambria" w:eastAsia="Calibri" w:hAnsi="Cambria" w:cs="Calibri"/>
          <w:spacing w:val="-12"/>
        </w:rPr>
        <w:t xml:space="preserve"> </w:t>
      </w:r>
      <w:r w:rsidRPr="009A0DA6">
        <w:rPr>
          <w:rFonts w:ascii="Cambria" w:eastAsia="Calibri" w:hAnsi="Cambria" w:cs="Calibri"/>
        </w:rPr>
        <w:t>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15"/>
        </w:rPr>
        <w:t xml:space="preserve"> </w:t>
      </w:r>
      <w:r w:rsidRPr="009A0DA6">
        <w:rPr>
          <w:rFonts w:ascii="Cambria" w:eastAsia="Calibri" w:hAnsi="Cambria" w:cs="Calibri"/>
        </w:rPr>
        <w:t>L</w:t>
      </w:r>
      <w:r w:rsidRPr="009A0DA6">
        <w:rPr>
          <w:rFonts w:ascii="Cambria" w:eastAsia="Calibri" w:hAnsi="Cambria" w:cs="Calibri"/>
          <w:spacing w:val="1"/>
        </w:rPr>
        <w:t>o</w:t>
      </w:r>
      <w:r w:rsidRPr="009A0DA6">
        <w:rPr>
          <w:rFonts w:ascii="Cambria" w:eastAsia="Calibri" w:hAnsi="Cambria" w:cs="Calibri"/>
        </w:rPr>
        <w:t>r</w:t>
      </w:r>
      <w:r w:rsidRPr="009A0DA6">
        <w:rPr>
          <w:rFonts w:ascii="Cambria" w:eastAsia="Calibri" w:hAnsi="Cambria" w:cs="Calibri"/>
          <w:spacing w:val="1"/>
        </w:rPr>
        <w:t>d</w:t>
      </w:r>
      <w:r w:rsidRPr="009A0DA6">
        <w:rPr>
          <w:rFonts w:ascii="Cambria" w:eastAsia="Calibri" w:hAnsi="Cambria" w:cs="Calibri"/>
        </w:rPr>
        <w:t>.</w:t>
      </w:r>
      <w:r w:rsidRPr="009A0DA6">
        <w:rPr>
          <w:rFonts w:ascii="Cambria" w:eastAsia="Calibri" w:hAnsi="Cambria" w:cs="Calibri"/>
          <w:spacing w:val="-15"/>
        </w:rPr>
        <w:t xml:space="preserve"> </w:t>
      </w:r>
      <w:r w:rsidRPr="009A0DA6">
        <w:rPr>
          <w:rFonts w:ascii="Cambria" w:eastAsia="Calibri" w:hAnsi="Cambria" w:cs="Calibri"/>
          <w:w w:val="99"/>
        </w:rPr>
        <w:t>Furt</w:t>
      </w:r>
      <w:r w:rsidRPr="009A0DA6">
        <w:rPr>
          <w:rFonts w:ascii="Cambria" w:eastAsia="Calibri" w:hAnsi="Cambria" w:cs="Calibri"/>
          <w:spacing w:val="1"/>
          <w:w w:val="99"/>
        </w:rPr>
        <w:t>h</w:t>
      </w:r>
      <w:r w:rsidRPr="009A0DA6">
        <w:rPr>
          <w:rFonts w:ascii="Cambria" w:eastAsia="Calibri" w:hAnsi="Cambria" w:cs="Calibri"/>
          <w:spacing w:val="-1"/>
          <w:w w:val="99"/>
        </w:rPr>
        <w:t>e</w:t>
      </w:r>
      <w:r w:rsidRPr="009A0DA6">
        <w:rPr>
          <w:rFonts w:ascii="Cambria" w:eastAsia="Calibri" w:hAnsi="Cambria" w:cs="Calibri"/>
          <w:spacing w:val="2"/>
          <w:w w:val="99"/>
        </w:rPr>
        <w:t>r</w:t>
      </w:r>
      <w:r w:rsidRPr="009A0DA6">
        <w:rPr>
          <w:rFonts w:ascii="Cambria" w:eastAsia="Calibri" w:hAnsi="Cambria" w:cs="Calibri"/>
          <w:spacing w:val="-1"/>
          <w:w w:val="99"/>
        </w:rPr>
        <w:t>m</w:t>
      </w:r>
      <w:r w:rsidRPr="009A0DA6">
        <w:rPr>
          <w:rFonts w:ascii="Cambria" w:eastAsia="Calibri" w:hAnsi="Cambria" w:cs="Calibri"/>
          <w:w w:val="99"/>
        </w:rPr>
        <w:t>or</w:t>
      </w:r>
      <w:r w:rsidRPr="009A0DA6">
        <w:rPr>
          <w:rFonts w:ascii="Cambria" w:eastAsia="Calibri" w:hAnsi="Cambria" w:cs="Calibri"/>
          <w:spacing w:val="-1"/>
          <w:w w:val="99"/>
        </w:rPr>
        <w:t>e</w:t>
      </w:r>
      <w:r w:rsidRPr="009A0DA6">
        <w:rPr>
          <w:rFonts w:ascii="Cambria" w:eastAsia="Calibri" w:hAnsi="Cambria" w:cs="Calibri"/>
          <w:w w:val="99"/>
        </w:rPr>
        <w:t>,</w:t>
      </w:r>
      <w:r w:rsidRPr="009A0DA6">
        <w:rPr>
          <w:rFonts w:ascii="Cambria" w:eastAsia="Calibri" w:hAnsi="Cambria" w:cs="Calibri"/>
          <w:spacing w:val="-11"/>
          <w:w w:val="99"/>
        </w:rPr>
        <w:t xml:space="preserve"> </w:t>
      </w:r>
      <w:r w:rsidRPr="009A0DA6">
        <w:rPr>
          <w:rFonts w:ascii="Cambria" w:eastAsia="Calibri" w:hAnsi="Cambria" w:cs="Calibri"/>
          <w:spacing w:val="3"/>
        </w:rPr>
        <w:t>h</w:t>
      </w:r>
      <w:r w:rsidRPr="009A0DA6">
        <w:rPr>
          <w:rFonts w:ascii="Cambria" w:eastAsia="Calibri" w:hAnsi="Cambria" w:cs="Calibri"/>
        </w:rPr>
        <w:t>e</w:t>
      </w:r>
      <w:r w:rsidRPr="009A0DA6">
        <w:rPr>
          <w:rFonts w:ascii="Cambria" w:eastAsia="Calibri" w:hAnsi="Cambria" w:cs="Calibri"/>
          <w:spacing w:val="-14"/>
        </w:rPr>
        <w:t xml:space="preserve"> </w:t>
      </w:r>
      <w:r w:rsidRPr="009A0DA6">
        <w:rPr>
          <w:rFonts w:ascii="Cambria" w:eastAsia="Calibri" w:hAnsi="Cambria" w:cs="Calibri"/>
        </w:rPr>
        <w:t>te</w:t>
      </w:r>
      <w:r w:rsidRPr="009A0DA6">
        <w:rPr>
          <w:rFonts w:ascii="Cambria" w:eastAsia="Calibri" w:hAnsi="Cambria" w:cs="Calibri"/>
          <w:spacing w:val="2"/>
        </w:rPr>
        <w:t>ll</w:t>
      </w:r>
      <w:r w:rsidRPr="009A0DA6">
        <w:rPr>
          <w:rFonts w:ascii="Cambria" w:eastAsia="Calibri" w:hAnsi="Cambria" w:cs="Calibri"/>
        </w:rPr>
        <w:t>s</w:t>
      </w:r>
      <w:r w:rsidRPr="009A0DA6">
        <w:rPr>
          <w:rFonts w:ascii="Cambria" w:eastAsia="Calibri" w:hAnsi="Cambria" w:cs="Calibri"/>
          <w:spacing w:val="-16"/>
        </w:rPr>
        <w:t xml:space="preserve"> </w:t>
      </w:r>
      <w:r w:rsidRPr="009A0DA6">
        <w:rPr>
          <w:rFonts w:ascii="Cambria" w:eastAsia="Calibri" w:hAnsi="Cambria" w:cs="Calibri"/>
          <w:spacing w:val="1"/>
        </w:rPr>
        <w:t>u</w:t>
      </w:r>
      <w:r w:rsidRPr="009A0DA6">
        <w:rPr>
          <w:rFonts w:ascii="Cambria" w:eastAsia="Calibri" w:hAnsi="Cambria" w:cs="Calibri"/>
        </w:rPr>
        <w:t>s</w:t>
      </w:r>
      <w:r w:rsidRPr="009A0DA6">
        <w:rPr>
          <w:rFonts w:ascii="Cambria" w:eastAsia="Calibri" w:hAnsi="Cambria" w:cs="Calibri"/>
          <w:spacing w:val="-12"/>
        </w:rPr>
        <w:t xml:space="preserve"> </w:t>
      </w:r>
      <w:r w:rsidRPr="009A0DA6">
        <w:rPr>
          <w:rFonts w:ascii="Cambria" w:eastAsia="Calibri" w:hAnsi="Cambria" w:cs="Calibri"/>
        </w:rPr>
        <w:t>t</w:t>
      </w:r>
      <w:r w:rsidRPr="009A0DA6">
        <w:rPr>
          <w:rFonts w:ascii="Cambria" w:eastAsia="Calibri" w:hAnsi="Cambria" w:cs="Calibri"/>
          <w:spacing w:val="1"/>
        </w:rPr>
        <w:t>h</w:t>
      </w:r>
      <w:r w:rsidRPr="009A0DA6">
        <w:rPr>
          <w:rFonts w:ascii="Cambria" w:eastAsia="Calibri" w:hAnsi="Cambria" w:cs="Calibri"/>
        </w:rPr>
        <w:t>at</w:t>
      </w:r>
      <w:r w:rsidRPr="009A0DA6">
        <w:rPr>
          <w:rFonts w:ascii="Cambria" w:eastAsia="Calibri" w:hAnsi="Cambria" w:cs="Calibri"/>
          <w:spacing w:val="-14"/>
        </w:rPr>
        <w:t xml:space="preserve"> </w:t>
      </w:r>
      <w:r w:rsidRPr="009A0DA6">
        <w:rPr>
          <w:rFonts w:ascii="Cambria" w:eastAsia="Calibri" w:hAnsi="Cambria" w:cs="Calibri"/>
        </w:rPr>
        <w:t>t</w:t>
      </w:r>
      <w:r w:rsidRPr="009A0DA6">
        <w:rPr>
          <w:rFonts w:ascii="Cambria" w:eastAsia="Calibri" w:hAnsi="Cambria" w:cs="Calibri"/>
          <w:spacing w:val="1"/>
        </w:rPr>
        <w:t>h</w:t>
      </w:r>
      <w:r w:rsidRPr="009A0DA6">
        <w:rPr>
          <w:rFonts w:ascii="Cambria" w:eastAsia="Calibri" w:hAnsi="Cambria" w:cs="Calibri"/>
        </w:rPr>
        <w:t>is</w:t>
      </w:r>
      <w:r w:rsidRPr="009A0DA6">
        <w:rPr>
          <w:rFonts w:ascii="Cambria" w:eastAsia="Calibri" w:hAnsi="Cambria" w:cs="Calibri"/>
          <w:spacing w:val="-16"/>
        </w:rPr>
        <w:t xml:space="preserve"> </w:t>
      </w:r>
      <w:r w:rsidRPr="009A0DA6">
        <w:rPr>
          <w:rFonts w:ascii="Cambria" w:eastAsia="Calibri" w:hAnsi="Cambria" w:cs="Calibri"/>
          <w:spacing w:val="1"/>
          <w:w w:val="99"/>
        </w:rPr>
        <w:t>p</w:t>
      </w:r>
      <w:r w:rsidRPr="009A0DA6">
        <w:rPr>
          <w:rFonts w:ascii="Cambria" w:eastAsia="Calibri" w:hAnsi="Cambria" w:cs="Calibri"/>
          <w:w w:val="99"/>
        </w:rPr>
        <w:t>r</w:t>
      </w:r>
      <w:r w:rsidRPr="009A0DA6">
        <w:rPr>
          <w:rFonts w:ascii="Cambria" w:eastAsia="Calibri" w:hAnsi="Cambria" w:cs="Calibri"/>
          <w:spacing w:val="1"/>
          <w:w w:val="99"/>
        </w:rPr>
        <w:t>oh</w:t>
      </w:r>
      <w:r w:rsidRPr="009A0DA6">
        <w:rPr>
          <w:rFonts w:ascii="Cambria" w:eastAsia="Calibri" w:hAnsi="Cambria" w:cs="Calibri"/>
          <w:w w:val="99"/>
        </w:rPr>
        <w:t>i</w:t>
      </w:r>
      <w:r w:rsidRPr="009A0DA6">
        <w:rPr>
          <w:rFonts w:ascii="Cambria" w:eastAsia="Calibri" w:hAnsi="Cambria" w:cs="Calibri"/>
          <w:spacing w:val="1"/>
          <w:w w:val="99"/>
        </w:rPr>
        <w:t>b</w:t>
      </w:r>
      <w:r w:rsidRPr="009A0DA6">
        <w:rPr>
          <w:rFonts w:ascii="Cambria" w:eastAsia="Calibri" w:hAnsi="Cambria" w:cs="Calibri"/>
          <w:w w:val="99"/>
        </w:rPr>
        <w:t>iti</w:t>
      </w:r>
      <w:r w:rsidRPr="009A0DA6">
        <w:rPr>
          <w:rFonts w:ascii="Cambria" w:eastAsia="Calibri" w:hAnsi="Cambria" w:cs="Calibri"/>
          <w:spacing w:val="1"/>
          <w:w w:val="99"/>
        </w:rPr>
        <w:t>o</w:t>
      </w:r>
      <w:r w:rsidRPr="009A0DA6">
        <w:rPr>
          <w:rFonts w:ascii="Cambria" w:eastAsia="Calibri" w:hAnsi="Cambria" w:cs="Calibri"/>
          <w:w w:val="99"/>
        </w:rPr>
        <w:t>n</w:t>
      </w:r>
      <w:r w:rsidRPr="009A0DA6">
        <w:rPr>
          <w:rFonts w:ascii="Cambria" w:eastAsia="Calibri" w:hAnsi="Cambria" w:cs="Calibri"/>
          <w:spacing w:val="-10"/>
          <w:w w:val="99"/>
        </w:rPr>
        <w:t xml:space="preserve"> </w:t>
      </w:r>
      <w:r w:rsidRPr="009A0DA6">
        <w:rPr>
          <w:rFonts w:ascii="Cambria" w:eastAsia="Calibri" w:hAnsi="Cambria" w:cs="Calibri"/>
          <w:w w:val="99"/>
        </w:rPr>
        <w:t>a</w:t>
      </w:r>
      <w:r w:rsidRPr="009A0DA6">
        <w:rPr>
          <w:rFonts w:ascii="Cambria" w:eastAsia="Calibri" w:hAnsi="Cambria" w:cs="Calibri"/>
          <w:spacing w:val="1"/>
          <w:w w:val="99"/>
        </w:rPr>
        <w:t>pp</w:t>
      </w:r>
      <w:r w:rsidRPr="009A0DA6">
        <w:rPr>
          <w:rFonts w:ascii="Cambria" w:eastAsia="Calibri" w:hAnsi="Cambria" w:cs="Calibri"/>
          <w:w w:val="99"/>
        </w:rPr>
        <w:t>li</w:t>
      </w:r>
      <w:r w:rsidRPr="009A0DA6">
        <w:rPr>
          <w:rFonts w:ascii="Cambria" w:eastAsia="Calibri" w:hAnsi="Cambria" w:cs="Calibri"/>
          <w:spacing w:val="-1"/>
          <w:w w:val="99"/>
        </w:rPr>
        <w:t>e</w:t>
      </w:r>
      <w:r w:rsidRPr="009A0DA6">
        <w:rPr>
          <w:rFonts w:ascii="Cambria" w:eastAsia="Calibri" w:hAnsi="Cambria" w:cs="Calibri"/>
          <w:w w:val="99"/>
        </w:rPr>
        <w:t>s</w:t>
      </w:r>
      <w:r w:rsidRPr="009A0DA6">
        <w:rPr>
          <w:rFonts w:ascii="Cambria" w:eastAsia="Calibri" w:hAnsi="Cambria" w:cs="Calibri"/>
          <w:spacing w:val="-13"/>
          <w:w w:val="99"/>
        </w:rPr>
        <w:t xml:space="preserve"> </w:t>
      </w:r>
      <w:r w:rsidRPr="009A0DA6">
        <w:rPr>
          <w:rFonts w:ascii="Cambria" w:eastAsia="Calibri" w:hAnsi="Cambria" w:cs="Calibri"/>
          <w:spacing w:val="1"/>
        </w:rPr>
        <w:t>n</w:t>
      </w:r>
      <w:r w:rsidRPr="009A0DA6">
        <w:rPr>
          <w:rFonts w:ascii="Cambria" w:eastAsia="Calibri" w:hAnsi="Cambria" w:cs="Calibri"/>
        </w:rPr>
        <w:t>ot</w:t>
      </w:r>
      <w:r w:rsidRPr="009A0DA6">
        <w:rPr>
          <w:rFonts w:ascii="Cambria" w:eastAsia="Calibri" w:hAnsi="Cambria" w:cs="Calibri"/>
          <w:spacing w:val="-14"/>
        </w:rPr>
        <w:t xml:space="preserve"> </w:t>
      </w:r>
      <w:r w:rsidRPr="009A0DA6">
        <w:rPr>
          <w:rFonts w:ascii="Cambria" w:eastAsia="Calibri" w:hAnsi="Cambria" w:cs="Calibri"/>
        </w:rPr>
        <w:t>o</w:t>
      </w:r>
      <w:r w:rsidRPr="009A0DA6">
        <w:rPr>
          <w:rFonts w:ascii="Cambria" w:eastAsia="Calibri" w:hAnsi="Cambria" w:cs="Calibri"/>
          <w:spacing w:val="1"/>
        </w:rPr>
        <w:t>n</w:t>
      </w:r>
      <w:r w:rsidRPr="009A0DA6">
        <w:rPr>
          <w:rFonts w:ascii="Cambria" w:eastAsia="Calibri" w:hAnsi="Cambria" w:cs="Calibri"/>
        </w:rPr>
        <w:t>ly</w:t>
      </w:r>
      <w:r w:rsidRPr="009A0DA6">
        <w:rPr>
          <w:rFonts w:ascii="Cambria" w:eastAsia="Calibri" w:hAnsi="Cambria" w:cs="Calibri"/>
          <w:spacing w:val="-14"/>
        </w:rPr>
        <w:t xml:space="preserve"> </w:t>
      </w:r>
      <w:r w:rsidRPr="009A0DA6">
        <w:rPr>
          <w:rFonts w:ascii="Cambria" w:eastAsia="Calibri" w:hAnsi="Cambria" w:cs="Calibri"/>
        </w:rPr>
        <w:t>in</w:t>
      </w:r>
      <w:r w:rsidRPr="009A0DA6">
        <w:rPr>
          <w:rFonts w:ascii="Cambria" w:eastAsia="Calibri" w:hAnsi="Cambria" w:cs="Calibri"/>
          <w:spacing w:val="-13"/>
        </w:rPr>
        <w:t xml:space="preserve"> </w:t>
      </w:r>
      <w:r w:rsidRPr="009A0DA6">
        <w:rPr>
          <w:rFonts w:ascii="Cambria" w:eastAsia="Calibri" w:hAnsi="Cambria" w:cs="Calibri"/>
        </w:rPr>
        <w:t>o</w:t>
      </w:r>
      <w:r w:rsidRPr="009A0DA6">
        <w:rPr>
          <w:rFonts w:ascii="Cambria" w:eastAsia="Calibri" w:hAnsi="Cambria" w:cs="Calibri"/>
          <w:spacing w:val="3"/>
        </w:rPr>
        <w:t>n</w:t>
      </w:r>
      <w:r w:rsidRPr="009A0DA6">
        <w:rPr>
          <w:rFonts w:ascii="Cambria" w:eastAsia="Calibri" w:hAnsi="Cambria" w:cs="Calibri"/>
        </w:rPr>
        <w:t>e</w:t>
      </w:r>
      <w:r w:rsidRPr="009A0DA6">
        <w:rPr>
          <w:rFonts w:ascii="Cambria" w:eastAsia="Calibri" w:hAnsi="Cambria" w:cs="Calibri"/>
          <w:spacing w:val="-15"/>
        </w:rPr>
        <w:t xml:space="preserve"> </w:t>
      </w:r>
      <w:r w:rsidRPr="009A0DA6">
        <w:rPr>
          <w:rFonts w:ascii="Cambria" w:eastAsia="Calibri" w:hAnsi="Cambria" w:cs="Calibri"/>
        </w:rPr>
        <w:t>loc</w:t>
      </w:r>
      <w:r w:rsidRPr="009A0DA6">
        <w:rPr>
          <w:rFonts w:ascii="Cambria" w:eastAsia="Calibri" w:hAnsi="Cambria" w:cs="Calibri"/>
          <w:spacing w:val="1"/>
        </w:rPr>
        <w:t>a</w:t>
      </w:r>
      <w:r w:rsidRPr="009A0DA6">
        <w:rPr>
          <w:rFonts w:ascii="Cambria" w:eastAsia="Calibri" w:hAnsi="Cambria" w:cs="Calibri"/>
        </w:rPr>
        <w:t>l</w:t>
      </w:r>
      <w:r w:rsidRPr="009A0DA6">
        <w:rPr>
          <w:rFonts w:ascii="Cambria" w:eastAsia="Calibri" w:hAnsi="Cambria" w:cs="Calibri"/>
          <w:spacing w:val="-13"/>
        </w:rPr>
        <w:t xml:space="preserve"> </w:t>
      </w:r>
      <w:r w:rsidRPr="009A0DA6">
        <w:rPr>
          <w:rFonts w:ascii="Cambria" w:eastAsia="Calibri" w:hAnsi="Cambria" w:cs="Calibri"/>
        </w:rPr>
        <w:t>co</w:t>
      </w:r>
      <w:r w:rsidRPr="009A0DA6">
        <w:rPr>
          <w:rFonts w:ascii="Cambria" w:eastAsia="Calibri" w:hAnsi="Cambria" w:cs="Calibri"/>
          <w:spacing w:val="1"/>
        </w:rPr>
        <w:t>n</w:t>
      </w:r>
      <w:r w:rsidRPr="009A0DA6">
        <w:rPr>
          <w:rFonts w:ascii="Cambria" w:eastAsia="Calibri" w:hAnsi="Cambria" w:cs="Calibri"/>
        </w:rPr>
        <w:t>te</w:t>
      </w:r>
      <w:r w:rsidRPr="009A0DA6">
        <w:rPr>
          <w:rFonts w:ascii="Cambria" w:eastAsia="Calibri" w:hAnsi="Cambria" w:cs="Calibri"/>
          <w:spacing w:val="2"/>
        </w:rPr>
        <w:t>x</w:t>
      </w:r>
      <w:r w:rsidRPr="009A0DA6">
        <w:rPr>
          <w:rFonts w:ascii="Cambria" w:eastAsia="Calibri" w:hAnsi="Cambria" w:cs="Calibri"/>
        </w:rPr>
        <w:t xml:space="preserve">t, </w:t>
      </w:r>
      <w:r w:rsidRPr="009A0DA6">
        <w:rPr>
          <w:rFonts w:ascii="Cambria" w:eastAsia="Calibri" w:hAnsi="Cambria" w:cs="Calibri"/>
          <w:spacing w:val="1"/>
        </w:rPr>
        <w:t>bu</w:t>
      </w:r>
      <w:r w:rsidRPr="009A0DA6">
        <w:rPr>
          <w:rFonts w:ascii="Cambria" w:eastAsia="Calibri" w:hAnsi="Cambria" w:cs="Calibri"/>
        </w:rPr>
        <w:t>t</w:t>
      </w:r>
      <w:r w:rsidRPr="009A0DA6">
        <w:rPr>
          <w:rFonts w:ascii="Cambria" w:eastAsia="Calibri" w:hAnsi="Cambria" w:cs="Calibri"/>
          <w:spacing w:val="2"/>
        </w:rPr>
        <w:t xml:space="preserve"> </w:t>
      </w:r>
      <w:r w:rsidRPr="009A0DA6">
        <w:rPr>
          <w:rFonts w:ascii="Cambria" w:eastAsia="Calibri" w:hAnsi="Cambria" w:cs="Calibri"/>
          <w:spacing w:val="1"/>
        </w:rPr>
        <w:t>“</w:t>
      </w:r>
      <w:r w:rsidRPr="009A0DA6">
        <w:rPr>
          <w:rFonts w:ascii="Cambria" w:eastAsia="Calibri" w:hAnsi="Cambria" w:cs="Calibri"/>
        </w:rPr>
        <w:t>in</w:t>
      </w:r>
      <w:r w:rsidRPr="009A0DA6">
        <w:rPr>
          <w:rFonts w:ascii="Cambria" w:eastAsia="Calibri" w:hAnsi="Cambria" w:cs="Calibri"/>
          <w:spacing w:val="1"/>
        </w:rPr>
        <w:t xml:space="preserve"> </w:t>
      </w:r>
      <w:r w:rsidRPr="009A0DA6">
        <w:rPr>
          <w:rFonts w:ascii="Cambria" w:eastAsia="Calibri" w:hAnsi="Cambria" w:cs="Calibri"/>
        </w:rPr>
        <w:t>all</w:t>
      </w:r>
      <w:r w:rsidRPr="009A0DA6">
        <w:rPr>
          <w:rFonts w:ascii="Cambria" w:eastAsia="Calibri" w:hAnsi="Cambria" w:cs="Calibri"/>
          <w:spacing w:val="3"/>
        </w:rPr>
        <w:t xml:space="preserve"> </w:t>
      </w:r>
      <w:r w:rsidRPr="009A0DA6">
        <w:rPr>
          <w:rFonts w:ascii="Cambria" w:eastAsia="Calibri" w:hAnsi="Cambria" w:cs="Calibri"/>
        </w:rPr>
        <w:t>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rPr>
        <w:t>c</w:t>
      </w:r>
      <w:r w:rsidRPr="009A0DA6">
        <w:rPr>
          <w:rFonts w:ascii="Cambria" w:eastAsia="Calibri" w:hAnsi="Cambria" w:cs="Calibri"/>
          <w:spacing w:val="1"/>
        </w:rPr>
        <w:t>hu</w:t>
      </w:r>
      <w:r w:rsidRPr="009A0DA6">
        <w:rPr>
          <w:rFonts w:ascii="Cambria" w:eastAsia="Calibri" w:hAnsi="Cambria" w:cs="Calibri"/>
        </w:rPr>
        <w:t>rc</w:t>
      </w:r>
      <w:r w:rsidRPr="009A0DA6">
        <w:rPr>
          <w:rFonts w:ascii="Cambria" w:eastAsia="Calibri" w:hAnsi="Cambria" w:cs="Calibri"/>
          <w:spacing w:val="1"/>
        </w:rPr>
        <w:t>h</w:t>
      </w:r>
      <w:r w:rsidRPr="009A0DA6">
        <w:rPr>
          <w:rFonts w:ascii="Cambria" w:eastAsia="Calibri" w:hAnsi="Cambria" w:cs="Calibri"/>
          <w:spacing w:val="-1"/>
        </w:rPr>
        <w:t>e</w:t>
      </w:r>
      <w:r w:rsidRPr="009A0DA6">
        <w:rPr>
          <w:rFonts w:ascii="Cambria" w:eastAsia="Calibri" w:hAnsi="Cambria" w:cs="Calibri"/>
        </w:rPr>
        <w:t>s</w:t>
      </w:r>
      <w:r w:rsidRPr="009A0DA6">
        <w:rPr>
          <w:rFonts w:ascii="Cambria" w:eastAsia="Calibri" w:hAnsi="Cambria" w:cs="Calibri"/>
          <w:spacing w:val="-3"/>
        </w:rPr>
        <w:t xml:space="preserve"> </w:t>
      </w:r>
      <w:r w:rsidRPr="009A0DA6">
        <w:rPr>
          <w:rFonts w:ascii="Cambria" w:eastAsia="Calibri" w:hAnsi="Cambria" w:cs="Calibri"/>
        </w:rPr>
        <w:t>of</w:t>
      </w:r>
      <w:r w:rsidRPr="009A0DA6">
        <w:rPr>
          <w:rFonts w:ascii="Cambria" w:eastAsia="Calibri" w:hAnsi="Cambria" w:cs="Calibri"/>
          <w:spacing w:val="5"/>
        </w:rPr>
        <w:t xml:space="preserve"> </w:t>
      </w:r>
      <w:r w:rsidRPr="009A0DA6">
        <w:rPr>
          <w:rFonts w:ascii="Cambria" w:eastAsia="Calibri" w:hAnsi="Cambria" w:cs="Calibri"/>
        </w:rPr>
        <w:t>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spacing w:val="-1"/>
        </w:rPr>
        <w:t>s</w:t>
      </w:r>
      <w:r w:rsidRPr="009A0DA6">
        <w:rPr>
          <w:rFonts w:ascii="Cambria" w:eastAsia="Calibri" w:hAnsi="Cambria" w:cs="Calibri"/>
        </w:rPr>
        <w:t>ai</w:t>
      </w:r>
      <w:r w:rsidRPr="009A0DA6">
        <w:rPr>
          <w:rFonts w:ascii="Cambria" w:eastAsia="Calibri" w:hAnsi="Cambria" w:cs="Calibri"/>
          <w:spacing w:val="1"/>
        </w:rPr>
        <w:t>n</w:t>
      </w:r>
      <w:r w:rsidRPr="009A0DA6">
        <w:rPr>
          <w:rFonts w:ascii="Cambria" w:eastAsia="Calibri" w:hAnsi="Cambria" w:cs="Calibri"/>
        </w:rPr>
        <w:t>t</w:t>
      </w:r>
      <w:r w:rsidRPr="009A0DA6">
        <w:rPr>
          <w:rFonts w:ascii="Cambria" w:eastAsia="Calibri" w:hAnsi="Cambria" w:cs="Calibri"/>
          <w:spacing w:val="-1"/>
        </w:rPr>
        <w:t>s</w:t>
      </w:r>
      <w:r w:rsidRPr="009A0DA6">
        <w:rPr>
          <w:rFonts w:ascii="Cambria" w:eastAsia="Calibri" w:hAnsi="Cambria" w:cs="Calibri"/>
        </w:rPr>
        <w:t>.” If</w:t>
      </w:r>
      <w:r w:rsidRPr="009A0DA6">
        <w:rPr>
          <w:rFonts w:ascii="Cambria" w:eastAsia="Calibri" w:hAnsi="Cambria" w:cs="Calibri"/>
          <w:spacing w:val="3"/>
        </w:rPr>
        <w:t xml:space="preserve"> </w:t>
      </w:r>
      <w:r w:rsidRPr="009A0DA6">
        <w:rPr>
          <w:rFonts w:ascii="Cambria" w:eastAsia="Calibri" w:hAnsi="Cambria" w:cs="Calibri"/>
        </w:rPr>
        <w:t>P</w:t>
      </w:r>
      <w:r w:rsidRPr="009A0DA6">
        <w:rPr>
          <w:rFonts w:ascii="Cambria" w:eastAsia="Calibri" w:hAnsi="Cambria" w:cs="Calibri"/>
          <w:spacing w:val="1"/>
        </w:rPr>
        <w:t>au</w:t>
      </w:r>
      <w:r w:rsidRPr="009A0DA6">
        <w:rPr>
          <w:rFonts w:ascii="Cambria" w:eastAsia="Calibri" w:hAnsi="Cambria" w:cs="Calibri"/>
        </w:rPr>
        <w:t>l</w:t>
      </w:r>
      <w:r w:rsidRPr="009A0DA6">
        <w:rPr>
          <w:rFonts w:ascii="Cambria" w:eastAsia="Calibri" w:hAnsi="Cambria" w:cs="Calibri"/>
          <w:spacing w:val="2"/>
        </w:rPr>
        <w:t xml:space="preserve"> </w:t>
      </w:r>
      <w:r w:rsidRPr="009A0DA6">
        <w:rPr>
          <w:rFonts w:ascii="Cambria" w:eastAsia="Calibri" w:hAnsi="Cambria" w:cs="Calibri"/>
          <w:spacing w:val="1"/>
        </w:rPr>
        <w:t>h</w:t>
      </w:r>
      <w:r w:rsidRPr="009A0DA6">
        <w:rPr>
          <w:rFonts w:ascii="Cambria" w:eastAsia="Calibri" w:hAnsi="Cambria" w:cs="Calibri"/>
        </w:rPr>
        <w:t>ad</w:t>
      </w:r>
      <w:r w:rsidRPr="009A0DA6">
        <w:rPr>
          <w:rFonts w:ascii="Cambria" w:eastAsia="Calibri" w:hAnsi="Cambria" w:cs="Calibri"/>
          <w:spacing w:val="3"/>
        </w:rPr>
        <w:t xml:space="preserve"> </w:t>
      </w:r>
      <w:r w:rsidRPr="009A0DA6">
        <w:rPr>
          <w:rFonts w:ascii="Cambria" w:eastAsia="Calibri" w:hAnsi="Cambria" w:cs="Calibri"/>
        </w:rPr>
        <w:t>gi</w:t>
      </w:r>
      <w:r w:rsidRPr="009A0DA6">
        <w:rPr>
          <w:rFonts w:ascii="Cambria" w:eastAsia="Calibri" w:hAnsi="Cambria" w:cs="Calibri"/>
          <w:spacing w:val="-2"/>
        </w:rPr>
        <w:t>v</w:t>
      </w:r>
      <w:r w:rsidRPr="009A0DA6">
        <w:rPr>
          <w:rFonts w:ascii="Cambria" w:eastAsia="Calibri" w:hAnsi="Cambria" w:cs="Calibri"/>
          <w:spacing w:val="-1"/>
        </w:rPr>
        <w:t>e</w:t>
      </w:r>
      <w:r w:rsidRPr="009A0DA6">
        <w:rPr>
          <w:rFonts w:ascii="Cambria" w:eastAsia="Calibri" w:hAnsi="Cambria" w:cs="Calibri"/>
        </w:rPr>
        <w:t>n</w:t>
      </w:r>
      <w:r w:rsidRPr="009A0DA6">
        <w:rPr>
          <w:rFonts w:ascii="Cambria" w:eastAsia="Calibri" w:hAnsi="Cambria" w:cs="Calibri"/>
          <w:spacing w:val="2"/>
        </w:rPr>
        <w:t xml:space="preserve"> </w:t>
      </w:r>
      <w:r w:rsidRPr="009A0DA6">
        <w:rPr>
          <w:rFonts w:ascii="Cambria" w:eastAsia="Calibri" w:hAnsi="Cambria" w:cs="Calibri"/>
          <w:spacing w:val="1"/>
        </w:rPr>
        <w:t>d</w:t>
      </w:r>
      <w:r w:rsidRPr="009A0DA6">
        <w:rPr>
          <w:rFonts w:ascii="Cambria" w:eastAsia="Calibri" w:hAnsi="Cambria" w:cs="Calibri"/>
        </w:rPr>
        <w:t>i</w:t>
      </w:r>
      <w:r w:rsidRPr="009A0DA6">
        <w:rPr>
          <w:rFonts w:ascii="Cambria" w:eastAsia="Calibri" w:hAnsi="Cambria" w:cs="Calibri"/>
          <w:spacing w:val="-1"/>
        </w:rPr>
        <w:t>ffe</w:t>
      </w:r>
      <w:r w:rsidRPr="009A0DA6">
        <w:rPr>
          <w:rFonts w:ascii="Cambria" w:eastAsia="Calibri" w:hAnsi="Cambria" w:cs="Calibri"/>
        </w:rPr>
        <w:t>r</w:t>
      </w:r>
      <w:r w:rsidRPr="009A0DA6">
        <w:rPr>
          <w:rFonts w:ascii="Cambria" w:eastAsia="Calibri" w:hAnsi="Cambria" w:cs="Calibri"/>
          <w:spacing w:val="-1"/>
        </w:rPr>
        <w:t>e</w:t>
      </w:r>
      <w:r w:rsidRPr="009A0DA6">
        <w:rPr>
          <w:rFonts w:ascii="Cambria" w:eastAsia="Calibri" w:hAnsi="Cambria" w:cs="Calibri"/>
          <w:spacing w:val="1"/>
        </w:rPr>
        <w:t>n</w:t>
      </w:r>
      <w:r w:rsidRPr="009A0DA6">
        <w:rPr>
          <w:rFonts w:ascii="Cambria" w:eastAsia="Calibri" w:hAnsi="Cambria" w:cs="Calibri"/>
        </w:rPr>
        <w:t>t</w:t>
      </w:r>
      <w:r w:rsidRPr="009A0DA6">
        <w:rPr>
          <w:rFonts w:ascii="Cambria" w:eastAsia="Calibri" w:hAnsi="Cambria" w:cs="Calibri"/>
          <w:spacing w:val="-2"/>
        </w:rPr>
        <w:t xml:space="preserve"> </w:t>
      </w:r>
      <w:r w:rsidRPr="009A0DA6">
        <w:rPr>
          <w:rFonts w:ascii="Cambria" w:eastAsia="Calibri" w:hAnsi="Cambria" w:cs="Calibri"/>
        </w:rPr>
        <w:t>r</w:t>
      </w:r>
      <w:r w:rsidRPr="009A0DA6">
        <w:rPr>
          <w:rFonts w:ascii="Cambria" w:eastAsia="Calibri" w:hAnsi="Cambria" w:cs="Calibri"/>
          <w:spacing w:val="-1"/>
        </w:rPr>
        <w:t>e</w:t>
      </w:r>
      <w:r w:rsidRPr="009A0DA6">
        <w:rPr>
          <w:rFonts w:ascii="Cambria" w:eastAsia="Calibri" w:hAnsi="Cambria" w:cs="Calibri"/>
        </w:rPr>
        <w:t>aso</w:t>
      </w:r>
      <w:r w:rsidRPr="009A0DA6">
        <w:rPr>
          <w:rFonts w:ascii="Cambria" w:eastAsia="Calibri" w:hAnsi="Cambria" w:cs="Calibri"/>
          <w:spacing w:val="3"/>
        </w:rPr>
        <w:t>n</w:t>
      </w:r>
      <w:r w:rsidRPr="009A0DA6">
        <w:rPr>
          <w:rFonts w:ascii="Cambria" w:eastAsia="Calibri" w:hAnsi="Cambria" w:cs="Calibri"/>
        </w:rPr>
        <w:t>s</w:t>
      </w:r>
      <w:r w:rsidRPr="009A0DA6">
        <w:rPr>
          <w:rFonts w:ascii="Cambria" w:eastAsia="Calibri" w:hAnsi="Cambria" w:cs="Calibri"/>
          <w:spacing w:val="-2"/>
        </w:rPr>
        <w:t xml:space="preserve"> </w:t>
      </w:r>
      <w:r w:rsidRPr="009A0DA6">
        <w:rPr>
          <w:rFonts w:ascii="Cambria" w:eastAsia="Calibri" w:hAnsi="Cambria" w:cs="Calibri"/>
        </w:rPr>
        <w:t>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rPr>
        <w:t>ca</w:t>
      </w:r>
      <w:r w:rsidRPr="009A0DA6">
        <w:rPr>
          <w:rFonts w:ascii="Cambria" w:eastAsia="Calibri" w:hAnsi="Cambria" w:cs="Calibri"/>
          <w:spacing w:val="-1"/>
        </w:rPr>
        <w:t>s</w:t>
      </w:r>
      <w:r w:rsidRPr="009A0DA6">
        <w:rPr>
          <w:rFonts w:ascii="Cambria" w:eastAsia="Calibri" w:hAnsi="Cambria" w:cs="Calibri"/>
        </w:rPr>
        <w:t xml:space="preserve">e </w:t>
      </w:r>
      <w:r w:rsidRPr="009A0DA6">
        <w:rPr>
          <w:rFonts w:ascii="Cambria" w:eastAsia="Calibri" w:hAnsi="Cambria" w:cs="Calibri"/>
          <w:spacing w:val="-1"/>
        </w:rPr>
        <w:t>w</w:t>
      </w:r>
      <w:r w:rsidRPr="009A0DA6">
        <w:rPr>
          <w:rFonts w:ascii="Cambria" w:eastAsia="Calibri" w:hAnsi="Cambria" w:cs="Calibri"/>
        </w:rPr>
        <w:t>o</w:t>
      </w:r>
      <w:r w:rsidRPr="009A0DA6">
        <w:rPr>
          <w:rFonts w:ascii="Cambria" w:eastAsia="Calibri" w:hAnsi="Cambria" w:cs="Calibri"/>
          <w:spacing w:val="1"/>
        </w:rPr>
        <w:t>u</w:t>
      </w:r>
      <w:r w:rsidRPr="009A0DA6">
        <w:rPr>
          <w:rFonts w:ascii="Cambria" w:eastAsia="Calibri" w:hAnsi="Cambria" w:cs="Calibri"/>
        </w:rPr>
        <w:t>ld</w:t>
      </w:r>
      <w:r w:rsidRPr="009A0DA6">
        <w:rPr>
          <w:rFonts w:ascii="Cambria" w:eastAsia="Calibri" w:hAnsi="Cambria" w:cs="Calibri"/>
          <w:spacing w:val="3"/>
        </w:rPr>
        <w:t xml:space="preserve"> </w:t>
      </w:r>
      <w:r w:rsidRPr="009A0DA6">
        <w:rPr>
          <w:rFonts w:ascii="Cambria" w:eastAsia="Calibri" w:hAnsi="Cambria" w:cs="Calibri"/>
          <w:spacing w:val="1"/>
        </w:rPr>
        <w:t>b</w:t>
      </w:r>
      <w:r w:rsidRPr="009A0DA6">
        <w:rPr>
          <w:rFonts w:ascii="Cambria" w:eastAsia="Calibri" w:hAnsi="Cambria" w:cs="Calibri"/>
        </w:rPr>
        <w:t>e</w:t>
      </w:r>
      <w:r w:rsidRPr="009A0DA6">
        <w:rPr>
          <w:rFonts w:ascii="Cambria" w:eastAsia="Calibri" w:hAnsi="Cambria" w:cs="Calibri"/>
          <w:spacing w:val="2"/>
        </w:rPr>
        <w:t xml:space="preserve"> </w:t>
      </w:r>
      <w:r w:rsidRPr="009A0DA6">
        <w:rPr>
          <w:rFonts w:ascii="Cambria" w:eastAsia="Calibri" w:hAnsi="Cambria" w:cs="Calibri"/>
          <w:spacing w:val="1"/>
        </w:rPr>
        <w:t>d</w:t>
      </w:r>
      <w:r w:rsidRPr="009A0DA6">
        <w:rPr>
          <w:rFonts w:ascii="Cambria" w:eastAsia="Calibri" w:hAnsi="Cambria" w:cs="Calibri"/>
        </w:rPr>
        <w:t>i</w:t>
      </w:r>
      <w:r w:rsidRPr="009A0DA6">
        <w:rPr>
          <w:rFonts w:ascii="Cambria" w:eastAsia="Calibri" w:hAnsi="Cambria" w:cs="Calibri"/>
          <w:spacing w:val="-1"/>
        </w:rPr>
        <w:t>ffe</w:t>
      </w:r>
      <w:r w:rsidRPr="009A0DA6">
        <w:rPr>
          <w:rFonts w:ascii="Cambria" w:eastAsia="Calibri" w:hAnsi="Cambria" w:cs="Calibri"/>
          <w:spacing w:val="2"/>
        </w:rPr>
        <w:t>r</w:t>
      </w:r>
      <w:r w:rsidRPr="009A0DA6">
        <w:rPr>
          <w:rFonts w:ascii="Cambria" w:eastAsia="Calibri" w:hAnsi="Cambria" w:cs="Calibri"/>
          <w:spacing w:val="-1"/>
        </w:rPr>
        <w:t>e</w:t>
      </w:r>
      <w:r w:rsidRPr="009A0DA6">
        <w:rPr>
          <w:rFonts w:ascii="Cambria" w:eastAsia="Calibri" w:hAnsi="Cambria" w:cs="Calibri"/>
          <w:spacing w:val="1"/>
        </w:rPr>
        <w:t>n</w:t>
      </w:r>
      <w:r w:rsidRPr="009A0DA6">
        <w:rPr>
          <w:rFonts w:ascii="Cambria" w:eastAsia="Calibri" w:hAnsi="Cambria" w:cs="Calibri"/>
        </w:rPr>
        <w:t>t.</w:t>
      </w:r>
      <w:r w:rsidRPr="009A0DA6">
        <w:rPr>
          <w:rFonts w:ascii="Cambria" w:eastAsia="Calibri" w:hAnsi="Cambria" w:cs="Calibri"/>
          <w:spacing w:val="-3"/>
        </w:rPr>
        <w:t xml:space="preserve"> </w:t>
      </w:r>
      <w:r w:rsidRPr="009A0DA6">
        <w:rPr>
          <w:rFonts w:ascii="Cambria" w:eastAsia="Calibri" w:hAnsi="Cambria" w:cs="Calibri"/>
        </w:rPr>
        <w:t>If</w:t>
      </w:r>
      <w:r w:rsidRPr="009A0DA6">
        <w:rPr>
          <w:rFonts w:ascii="Cambria" w:eastAsia="Calibri" w:hAnsi="Cambria" w:cs="Calibri"/>
          <w:spacing w:val="3"/>
        </w:rPr>
        <w:t xml:space="preserve"> </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2"/>
        </w:rPr>
        <w:t xml:space="preserve"> </w:t>
      </w:r>
      <w:r w:rsidRPr="009A0DA6">
        <w:rPr>
          <w:rFonts w:ascii="Cambria" w:eastAsia="Calibri" w:hAnsi="Cambria" w:cs="Calibri"/>
          <w:spacing w:val="1"/>
        </w:rPr>
        <w:t>h</w:t>
      </w:r>
      <w:r w:rsidRPr="009A0DA6">
        <w:rPr>
          <w:rFonts w:ascii="Cambria" w:eastAsia="Calibri" w:hAnsi="Cambria" w:cs="Calibri"/>
        </w:rPr>
        <w:t>ad</w:t>
      </w:r>
      <w:r w:rsidRPr="009A0DA6">
        <w:rPr>
          <w:rFonts w:ascii="Cambria" w:eastAsia="Calibri" w:hAnsi="Cambria" w:cs="Calibri"/>
          <w:spacing w:val="3"/>
        </w:rPr>
        <w:t xml:space="preserve"> </w:t>
      </w:r>
      <w:r w:rsidRPr="009A0DA6">
        <w:rPr>
          <w:rFonts w:ascii="Cambria" w:eastAsia="Calibri" w:hAnsi="Cambria" w:cs="Calibri"/>
          <w:spacing w:val="-1"/>
        </w:rPr>
        <w:t>f</w:t>
      </w:r>
      <w:r w:rsidRPr="009A0DA6">
        <w:rPr>
          <w:rFonts w:ascii="Cambria" w:eastAsia="Calibri" w:hAnsi="Cambria" w:cs="Calibri"/>
        </w:rPr>
        <w:t>oc</w:t>
      </w:r>
      <w:r w:rsidRPr="009A0DA6">
        <w:rPr>
          <w:rFonts w:ascii="Cambria" w:eastAsia="Calibri" w:hAnsi="Cambria" w:cs="Calibri"/>
          <w:spacing w:val="1"/>
        </w:rPr>
        <w:t>u</w:t>
      </w:r>
      <w:r w:rsidRPr="009A0DA6">
        <w:rPr>
          <w:rFonts w:ascii="Cambria" w:eastAsia="Calibri" w:hAnsi="Cambria" w:cs="Calibri"/>
          <w:spacing w:val="-1"/>
        </w:rPr>
        <w:t>se</w:t>
      </w:r>
      <w:r w:rsidRPr="009A0DA6">
        <w:rPr>
          <w:rFonts w:ascii="Cambria" w:eastAsia="Calibri" w:hAnsi="Cambria" w:cs="Calibri"/>
        </w:rPr>
        <w:t xml:space="preserve">d </w:t>
      </w:r>
      <w:r w:rsidRPr="009A0DA6">
        <w:rPr>
          <w:rFonts w:ascii="Cambria" w:eastAsia="Calibri" w:hAnsi="Cambria" w:cs="Calibri"/>
          <w:spacing w:val="-1"/>
        </w:rPr>
        <w:t>e</w:t>
      </w:r>
      <w:r w:rsidRPr="009A0DA6">
        <w:rPr>
          <w:rFonts w:ascii="Cambria" w:eastAsia="Calibri" w:hAnsi="Cambria" w:cs="Calibri"/>
        </w:rPr>
        <w:t>xclu</w:t>
      </w:r>
      <w:r w:rsidRPr="009A0DA6">
        <w:rPr>
          <w:rFonts w:ascii="Cambria" w:eastAsia="Calibri" w:hAnsi="Cambria" w:cs="Calibri"/>
          <w:spacing w:val="-1"/>
        </w:rPr>
        <w:t>s</w:t>
      </w:r>
      <w:r w:rsidRPr="009A0DA6">
        <w:rPr>
          <w:rFonts w:ascii="Cambria" w:eastAsia="Calibri" w:hAnsi="Cambria" w:cs="Calibri"/>
          <w:spacing w:val="2"/>
        </w:rPr>
        <w:t>i</w:t>
      </w:r>
      <w:r w:rsidRPr="009A0DA6">
        <w:rPr>
          <w:rFonts w:ascii="Cambria" w:eastAsia="Calibri" w:hAnsi="Cambria" w:cs="Calibri"/>
          <w:spacing w:val="1"/>
        </w:rPr>
        <w:t>v</w:t>
      </w:r>
      <w:r w:rsidRPr="009A0DA6">
        <w:rPr>
          <w:rFonts w:ascii="Cambria" w:eastAsia="Calibri" w:hAnsi="Cambria" w:cs="Calibri"/>
          <w:spacing w:val="-1"/>
        </w:rPr>
        <w:t>e</w:t>
      </w:r>
      <w:r w:rsidRPr="009A0DA6">
        <w:rPr>
          <w:rFonts w:ascii="Cambria" w:eastAsia="Calibri" w:hAnsi="Cambria" w:cs="Calibri"/>
        </w:rPr>
        <w:t>ly</w:t>
      </w:r>
      <w:r w:rsidRPr="009A0DA6">
        <w:rPr>
          <w:rFonts w:ascii="Cambria" w:eastAsia="Calibri" w:hAnsi="Cambria" w:cs="Calibri"/>
          <w:spacing w:val="-10"/>
        </w:rPr>
        <w:t xml:space="preserve"> </w:t>
      </w:r>
      <w:r w:rsidRPr="009A0DA6">
        <w:rPr>
          <w:rFonts w:ascii="Cambria" w:eastAsia="Calibri" w:hAnsi="Cambria" w:cs="Calibri"/>
        </w:rPr>
        <w:t>on</w:t>
      </w:r>
      <w:r w:rsidRPr="009A0DA6">
        <w:rPr>
          <w:rFonts w:ascii="Cambria" w:eastAsia="Calibri" w:hAnsi="Cambria" w:cs="Calibri"/>
          <w:spacing w:val="-3"/>
        </w:rPr>
        <w:t xml:space="preserve"> </w:t>
      </w:r>
      <w:r w:rsidRPr="009A0DA6">
        <w:rPr>
          <w:rFonts w:ascii="Cambria" w:eastAsia="Calibri" w:hAnsi="Cambria" w:cs="Calibri"/>
        </w:rPr>
        <w:t>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6"/>
        </w:rPr>
        <w:t xml:space="preserve"> </w:t>
      </w:r>
      <w:r w:rsidRPr="009A0DA6">
        <w:rPr>
          <w:rFonts w:ascii="Cambria" w:eastAsia="Calibri" w:hAnsi="Cambria" w:cs="Calibri"/>
        </w:rPr>
        <w:t>loc</w:t>
      </w:r>
      <w:r w:rsidRPr="009A0DA6">
        <w:rPr>
          <w:rFonts w:ascii="Cambria" w:eastAsia="Calibri" w:hAnsi="Cambria" w:cs="Calibri"/>
          <w:spacing w:val="1"/>
        </w:rPr>
        <w:t>a</w:t>
      </w:r>
      <w:r w:rsidRPr="009A0DA6">
        <w:rPr>
          <w:rFonts w:ascii="Cambria" w:eastAsia="Calibri" w:hAnsi="Cambria" w:cs="Calibri"/>
        </w:rPr>
        <w:t>l</w:t>
      </w:r>
      <w:r w:rsidRPr="009A0DA6">
        <w:rPr>
          <w:rFonts w:ascii="Cambria" w:eastAsia="Calibri" w:hAnsi="Cambria" w:cs="Calibri"/>
          <w:spacing w:val="-6"/>
        </w:rPr>
        <w:t xml:space="preserve"> </w:t>
      </w:r>
      <w:r w:rsidRPr="009A0DA6">
        <w:rPr>
          <w:rFonts w:ascii="Cambria" w:eastAsia="Calibri" w:hAnsi="Cambria" w:cs="Calibri"/>
        </w:rPr>
        <w:t>co</w:t>
      </w:r>
      <w:r w:rsidRPr="009A0DA6">
        <w:rPr>
          <w:rFonts w:ascii="Cambria" w:eastAsia="Calibri" w:hAnsi="Cambria" w:cs="Calibri"/>
          <w:spacing w:val="-1"/>
        </w:rPr>
        <w:t>n</w:t>
      </w:r>
      <w:r w:rsidRPr="009A0DA6">
        <w:rPr>
          <w:rFonts w:ascii="Cambria" w:eastAsia="Calibri" w:hAnsi="Cambria" w:cs="Calibri"/>
        </w:rPr>
        <w:t>text</w:t>
      </w:r>
      <w:r w:rsidRPr="009A0DA6">
        <w:rPr>
          <w:rFonts w:ascii="Cambria" w:eastAsia="Calibri" w:hAnsi="Cambria" w:cs="Calibri"/>
          <w:spacing w:val="-8"/>
        </w:rPr>
        <w:t xml:space="preserve"> </w:t>
      </w:r>
      <w:r w:rsidRPr="009A0DA6">
        <w:rPr>
          <w:rFonts w:ascii="Cambria" w:eastAsia="Calibri" w:hAnsi="Cambria" w:cs="Calibri"/>
        </w:rPr>
        <w:t>or</w:t>
      </w:r>
      <w:r w:rsidRPr="009A0DA6">
        <w:rPr>
          <w:rFonts w:ascii="Cambria" w:eastAsia="Calibri" w:hAnsi="Cambria" w:cs="Calibri"/>
          <w:spacing w:val="-4"/>
        </w:rPr>
        <w:t xml:space="preserve"> </w:t>
      </w:r>
      <w:r w:rsidRPr="009A0DA6">
        <w:rPr>
          <w:rFonts w:ascii="Cambria" w:eastAsia="Calibri" w:hAnsi="Cambria" w:cs="Calibri"/>
        </w:rPr>
        <w:t>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8"/>
        </w:rPr>
        <w:t xml:space="preserve"> </w:t>
      </w:r>
      <w:r w:rsidRPr="009A0DA6">
        <w:rPr>
          <w:rFonts w:ascii="Cambria" w:eastAsia="Calibri" w:hAnsi="Cambria" w:cs="Calibri"/>
          <w:spacing w:val="1"/>
        </w:rPr>
        <w:t>n</w:t>
      </w:r>
      <w:r w:rsidRPr="009A0DA6">
        <w:rPr>
          <w:rFonts w:ascii="Cambria" w:eastAsia="Calibri" w:hAnsi="Cambria" w:cs="Calibri"/>
          <w:spacing w:val="-1"/>
        </w:rPr>
        <w:t>ee</w:t>
      </w:r>
      <w:r w:rsidRPr="009A0DA6">
        <w:rPr>
          <w:rFonts w:ascii="Cambria" w:eastAsia="Calibri" w:hAnsi="Cambria" w:cs="Calibri"/>
        </w:rPr>
        <w:t>d</w:t>
      </w:r>
      <w:r w:rsidRPr="009A0DA6">
        <w:rPr>
          <w:rFonts w:ascii="Cambria" w:eastAsia="Calibri" w:hAnsi="Cambria" w:cs="Calibri"/>
          <w:spacing w:val="-5"/>
        </w:rPr>
        <w:t xml:space="preserve"> </w:t>
      </w:r>
      <w:r w:rsidRPr="009A0DA6">
        <w:rPr>
          <w:rFonts w:ascii="Cambria" w:eastAsia="Calibri" w:hAnsi="Cambria" w:cs="Calibri"/>
          <w:spacing w:val="-1"/>
        </w:rPr>
        <w:t>f</w:t>
      </w:r>
      <w:r w:rsidRPr="009A0DA6">
        <w:rPr>
          <w:rFonts w:ascii="Cambria" w:eastAsia="Calibri" w:hAnsi="Cambria" w:cs="Calibri"/>
        </w:rPr>
        <w:t>or</w:t>
      </w:r>
      <w:r w:rsidRPr="009A0DA6">
        <w:rPr>
          <w:rFonts w:ascii="Cambria" w:eastAsia="Calibri" w:hAnsi="Cambria" w:cs="Calibri"/>
          <w:spacing w:val="-4"/>
        </w:rPr>
        <w:t xml:space="preserve"> </w:t>
      </w:r>
      <w:r w:rsidRPr="009A0DA6">
        <w:rPr>
          <w:rFonts w:ascii="Cambria" w:eastAsia="Calibri" w:hAnsi="Cambria" w:cs="Calibri"/>
        </w:rPr>
        <w:t>c</w:t>
      </w:r>
      <w:r w:rsidRPr="009A0DA6">
        <w:rPr>
          <w:rFonts w:ascii="Cambria" w:eastAsia="Calibri" w:hAnsi="Cambria" w:cs="Calibri"/>
          <w:spacing w:val="1"/>
        </w:rPr>
        <w:t>u</w:t>
      </w:r>
      <w:r w:rsidRPr="009A0DA6">
        <w:rPr>
          <w:rFonts w:ascii="Cambria" w:eastAsia="Calibri" w:hAnsi="Cambria" w:cs="Calibri"/>
        </w:rPr>
        <w:t>lt</w:t>
      </w:r>
      <w:r w:rsidRPr="009A0DA6">
        <w:rPr>
          <w:rFonts w:ascii="Cambria" w:eastAsia="Calibri" w:hAnsi="Cambria" w:cs="Calibri"/>
          <w:spacing w:val="1"/>
        </w:rPr>
        <w:t>u</w:t>
      </w:r>
      <w:r w:rsidRPr="009A0DA6">
        <w:rPr>
          <w:rFonts w:ascii="Cambria" w:eastAsia="Calibri" w:hAnsi="Cambria" w:cs="Calibri"/>
        </w:rPr>
        <w:t>ral</w:t>
      </w:r>
      <w:r w:rsidRPr="009A0DA6">
        <w:rPr>
          <w:rFonts w:ascii="Cambria" w:eastAsia="Calibri" w:hAnsi="Cambria" w:cs="Calibri"/>
          <w:spacing w:val="-8"/>
        </w:rPr>
        <w:t xml:space="preserve"> </w:t>
      </w:r>
      <w:r w:rsidRPr="009A0DA6">
        <w:rPr>
          <w:rFonts w:ascii="Cambria" w:eastAsia="Calibri" w:hAnsi="Cambria" w:cs="Calibri"/>
          <w:spacing w:val="-1"/>
        </w:rPr>
        <w:t>se</w:t>
      </w:r>
      <w:r w:rsidRPr="009A0DA6">
        <w:rPr>
          <w:rFonts w:ascii="Cambria" w:eastAsia="Calibri" w:hAnsi="Cambria" w:cs="Calibri"/>
          <w:spacing w:val="1"/>
        </w:rPr>
        <w:t>n</w:t>
      </w:r>
      <w:r w:rsidRPr="009A0DA6">
        <w:rPr>
          <w:rFonts w:ascii="Cambria" w:eastAsia="Calibri" w:hAnsi="Cambria" w:cs="Calibri"/>
          <w:spacing w:val="-1"/>
        </w:rPr>
        <w:t>s</w:t>
      </w:r>
      <w:r w:rsidRPr="009A0DA6">
        <w:rPr>
          <w:rFonts w:ascii="Cambria" w:eastAsia="Calibri" w:hAnsi="Cambria" w:cs="Calibri"/>
        </w:rPr>
        <w:t>iti</w:t>
      </w:r>
      <w:r w:rsidRPr="009A0DA6">
        <w:rPr>
          <w:rFonts w:ascii="Cambria" w:eastAsia="Calibri" w:hAnsi="Cambria" w:cs="Calibri"/>
          <w:spacing w:val="-1"/>
        </w:rPr>
        <w:t>v</w:t>
      </w:r>
      <w:r w:rsidRPr="009A0DA6">
        <w:rPr>
          <w:rFonts w:ascii="Cambria" w:eastAsia="Calibri" w:hAnsi="Cambria" w:cs="Calibri"/>
        </w:rPr>
        <w:t>ity</w:t>
      </w:r>
      <w:r w:rsidRPr="009A0DA6">
        <w:rPr>
          <w:rFonts w:ascii="Cambria" w:eastAsia="Calibri" w:hAnsi="Cambria" w:cs="Calibri"/>
          <w:spacing w:val="-9"/>
        </w:rPr>
        <w:t xml:space="preserve"> </w:t>
      </w:r>
      <w:r w:rsidRPr="009A0DA6">
        <w:rPr>
          <w:rFonts w:ascii="Cambria" w:eastAsia="Calibri" w:hAnsi="Cambria" w:cs="Calibri"/>
        </w:rPr>
        <w:t>t</w:t>
      </w:r>
      <w:r w:rsidRPr="009A0DA6">
        <w:rPr>
          <w:rFonts w:ascii="Cambria" w:eastAsia="Calibri" w:hAnsi="Cambria" w:cs="Calibri"/>
          <w:spacing w:val="1"/>
        </w:rPr>
        <w:t>h</w:t>
      </w:r>
      <w:r w:rsidRPr="009A0DA6">
        <w:rPr>
          <w:rFonts w:ascii="Cambria" w:eastAsia="Calibri" w:hAnsi="Cambria" w:cs="Calibri"/>
          <w:spacing w:val="-1"/>
        </w:rPr>
        <w:t>e</w:t>
      </w:r>
      <w:r w:rsidRPr="009A0DA6">
        <w:rPr>
          <w:rFonts w:ascii="Cambria" w:eastAsia="Calibri" w:hAnsi="Cambria" w:cs="Calibri"/>
        </w:rPr>
        <w:t>n</w:t>
      </w:r>
      <w:r w:rsidRPr="009A0DA6">
        <w:rPr>
          <w:rFonts w:ascii="Cambria" w:eastAsia="Calibri" w:hAnsi="Cambria" w:cs="Calibri"/>
          <w:spacing w:val="-5"/>
        </w:rPr>
        <w:t xml:space="preserve"> </w:t>
      </w:r>
      <w:r w:rsidRPr="009A0DA6">
        <w:rPr>
          <w:rFonts w:ascii="Cambria" w:eastAsia="Calibri" w:hAnsi="Cambria" w:cs="Calibri"/>
        </w:rPr>
        <w:t>it</w:t>
      </w:r>
      <w:r w:rsidRPr="009A0DA6">
        <w:rPr>
          <w:rFonts w:ascii="Cambria" w:eastAsia="Calibri" w:hAnsi="Cambria" w:cs="Calibri"/>
          <w:spacing w:val="-3"/>
        </w:rPr>
        <w:t xml:space="preserve"> </w:t>
      </w:r>
      <w:r w:rsidRPr="009A0DA6">
        <w:rPr>
          <w:rFonts w:ascii="Cambria" w:eastAsia="Calibri" w:hAnsi="Cambria" w:cs="Calibri"/>
          <w:spacing w:val="-1"/>
        </w:rPr>
        <w:t>w</w:t>
      </w:r>
      <w:r w:rsidRPr="009A0DA6">
        <w:rPr>
          <w:rFonts w:ascii="Cambria" w:eastAsia="Calibri" w:hAnsi="Cambria" w:cs="Calibri"/>
        </w:rPr>
        <w:t>o</w:t>
      </w:r>
      <w:r w:rsidRPr="009A0DA6">
        <w:rPr>
          <w:rFonts w:ascii="Cambria" w:eastAsia="Calibri" w:hAnsi="Cambria" w:cs="Calibri"/>
          <w:spacing w:val="1"/>
        </w:rPr>
        <w:t>u</w:t>
      </w:r>
      <w:r w:rsidRPr="009A0DA6">
        <w:rPr>
          <w:rFonts w:ascii="Cambria" w:eastAsia="Calibri" w:hAnsi="Cambria" w:cs="Calibri"/>
        </w:rPr>
        <w:t>ld</w:t>
      </w:r>
      <w:r w:rsidRPr="009A0DA6">
        <w:rPr>
          <w:rFonts w:ascii="Cambria" w:eastAsia="Calibri" w:hAnsi="Cambria" w:cs="Calibri"/>
          <w:spacing w:val="-9"/>
        </w:rPr>
        <w:t xml:space="preserve"> </w:t>
      </w:r>
      <w:r w:rsidRPr="009A0DA6">
        <w:rPr>
          <w:rFonts w:ascii="Cambria" w:eastAsia="Calibri" w:hAnsi="Cambria" w:cs="Calibri"/>
          <w:spacing w:val="1"/>
        </w:rPr>
        <w:t>b</w:t>
      </w:r>
      <w:r w:rsidRPr="009A0DA6">
        <w:rPr>
          <w:rFonts w:ascii="Cambria" w:eastAsia="Calibri" w:hAnsi="Cambria" w:cs="Calibri"/>
        </w:rPr>
        <w:t>e</w:t>
      </w:r>
      <w:r w:rsidRPr="009A0DA6">
        <w:rPr>
          <w:rFonts w:ascii="Cambria" w:eastAsia="Calibri" w:hAnsi="Cambria" w:cs="Calibri"/>
          <w:spacing w:val="-5"/>
        </w:rPr>
        <w:t xml:space="preserve"> </w:t>
      </w:r>
      <w:r w:rsidRPr="009A0DA6">
        <w:rPr>
          <w:rFonts w:ascii="Cambria" w:eastAsia="Calibri" w:hAnsi="Cambria" w:cs="Calibri"/>
          <w:spacing w:val="1"/>
        </w:rPr>
        <w:t>p</w:t>
      </w:r>
      <w:r w:rsidRPr="009A0DA6">
        <w:rPr>
          <w:rFonts w:ascii="Cambria" w:eastAsia="Calibri" w:hAnsi="Cambria" w:cs="Calibri"/>
        </w:rPr>
        <w:t>o</w:t>
      </w:r>
      <w:r w:rsidRPr="009A0DA6">
        <w:rPr>
          <w:rFonts w:ascii="Cambria" w:eastAsia="Calibri" w:hAnsi="Cambria" w:cs="Calibri"/>
          <w:spacing w:val="-1"/>
        </w:rPr>
        <w:t>ss</w:t>
      </w:r>
      <w:r w:rsidRPr="009A0DA6">
        <w:rPr>
          <w:rFonts w:ascii="Cambria" w:eastAsia="Calibri" w:hAnsi="Cambria" w:cs="Calibri"/>
        </w:rPr>
        <w:t>i</w:t>
      </w:r>
      <w:r w:rsidRPr="009A0DA6">
        <w:rPr>
          <w:rFonts w:ascii="Cambria" w:eastAsia="Calibri" w:hAnsi="Cambria" w:cs="Calibri"/>
          <w:spacing w:val="1"/>
        </w:rPr>
        <w:t>b</w:t>
      </w:r>
      <w:r w:rsidRPr="009A0DA6">
        <w:rPr>
          <w:rFonts w:ascii="Cambria" w:eastAsia="Calibri" w:hAnsi="Cambria" w:cs="Calibri"/>
        </w:rPr>
        <w:t>le</w:t>
      </w:r>
      <w:r w:rsidRPr="009A0DA6">
        <w:rPr>
          <w:rFonts w:ascii="Cambria" w:eastAsia="Calibri" w:hAnsi="Cambria" w:cs="Calibri"/>
          <w:spacing w:val="-10"/>
        </w:rPr>
        <w:t xml:space="preserve"> </w:t>
      </w:r>
      <w:r w:rsidRPr="009A0DA6">
        <w:rPr>
          <w:rFonts w:ascii="Cambria" w:eastAsia="Calibri" w:hAnsi="Cambria" w:cs="Calibri"/>
        </w:rPr>
        <w:t>to</w:t>
      </w:r>
      <w:r w:rsidRPr="009A0DA6">
        <w:rPr>
          <w:rFonts w:ascii="Cambria" w:eastAsia="Calibri" w:hAnsi="Cambria" w:cs="Calibri"/>
          <w:spacing w:val="-3"/>
        </w:rPr>
        <w:t xml:space="preserve"> </w:t>
      </w:r>
      <w:r w:rsidRPr="009A0DA6">
        <w:rPr>
          <w:rFonts w:ascii="Cambria" w:eastAsia="Calibri" w:hAnsi="Cambria" w:cs="Calibri"/>
        </w:rPr>
        <w:t>arg</w:t>
      </w:r>
      <w:r w:rsidRPr="009A0DA6">
        <w:rPr>
          <w:rFonts w:ascii="Cambria" w:eastAsia="Calibri" w:hAnsi="Cambria" w:cs="Calibri"/>
          <w:spacing w:val="1"/>
        </w:rPr>
        <w:t>u</w:t>
      </w:r>
      <w:r w:rsidRPr="009A0DA6">
        <w:rPr>
          <w:rFonts w:ascii="Cambria" w:eastAsia="Calibri" w:hAnsi="Cambria" w:cs="Calibri"/>
        </w:rPr>
        <w:t>e</w:t>
      </w:r>
      <w:r w:rsidRPr="009A0DA6">
        <w:rPr>
          <w:rFonts w:ascii="Cambria" w:eastAsia="Calibri" w:hAnsi="Cambria" w:cs="Calibri"/>
          <w:spacing w:val="-8"/>
        </w:rPr>
        <w:t xml:space="preserve"> </w:t>
      </w:r>
      <w:r w:rsidRPr="009A0DA6">
        <w:rPr>
          <w:rFonts w:ascii="Cambria" w:eastAsia="Calibri" w:hAnsi="Cambria" w:cs="Calibri"/>
        </w:rPr>
        <w:t>t</w:t>
      </w:r>
      <w:r w:rsidRPr="009A0DA6">
        <w:rPr>
          <w:rFonts w:ascii="Cambria" w:eastAsia="Calibri" w:hAnsi="Cambria" w:cs="Calibri"/>
          <w:spacing w:val="1"/>
        </w:rPr>
        <w:t>h</w:t>
      </w:r>
      <w:r w:rsidRPr="009A0DA6">
        <w:rPr>
          <w:rFonts w:ascii="Cambria" w:eastAsia="Calibri" w:hAnsi="Cambria" w:cs="Calibri"/>
        </w:rPr>
        <w:t>at</w:t>
      </w:r>
      <w:r w:rsidRPr="009A0DA6">
        <w:rPr>
          <w:rFonts w:ascii="Cambria" w:eastAsia="Calibri" w:hAnsi="Cambria" w:cs="Calibri"/>
          <w:spacing w:val="-6"/>
        </w:rPr>
        <w:t xml:space="preserve"> </w:t>
      </w:r>
      <w:r w:rsidRPr="009A0DA6">
        <w:rPr>
          <w:rFonts w:ascii="Cambria" w:eastAsia="Calibri" w:hAnsi="Cambria" w:cs="Calibri"/>
        </w:rPr>
        <w:t>t</w:t>
      </w:r>
      <w:r w:rsidRPr="009A0DA6">
        <w:rPr>
          <w:rFonts w:ascii="Cambria" w:eastAsia="Calibri" w:hAnsi="Cambria" w:cs="Calibri"/>
          <w:spacing w:val="1"/>
        </w:rPr>
        <w:t>h</w:t>
      </w:r>
      <w:r w:rsidRPr="009A0DA6">
        <w:rPr>
          <w:rFonts w:ascii="Cambria" w:eastAsia="Calibri" w:hAnsi="Cambria" w:cs="Calibri"/>
        </w:rPr>
        <w:t>is</w:t>
      </w:r>
      <w:r w:rsidRPr="009A0DA6">
        <w:rPr>
          <w:rFonts w:ascii="Cambria" w:eastAsia="Calibri" w:hAnsi="Cambria" w:cs="Calibri"/>
          <w:spacing w:val="-6"/>
        </w:rPr>
        <w:t xml:space="preserve"> </w:t>
      </w:r>
      <w:r w:rsidRPr="009A0DA6">
        <w:rPr>
          <w:rFonts w:ascii="Cambria" w:eastAsia="Calibri" w:hAnsi="Cambria" w:cs="Calibri"/>
          <w:spacing w:val="1"/>
        </w:rPr>
        <w:t>p</w:t>
      </w:r>
      <w:r w:rsidRPr="009A0DA6">
        <w:rPr>
          <w:rFonts w:ascii="Cambria" w:eastAsia="Calibri" w:hAnsi="Cambria" w:cs="Calibri"/>
        </w:rPr>
        <w:t>r</w:t>
      </w:r>
      <w:r w:rsidRPr="009A0DA6">
        <w:rPr>
          <w:rFonts w:ascii="Cambria" w:eastAsia="Calibri" w:hAnsi="Cambria" w:cs="Calibri"/>
          <w:spacing w:val="1"/>
        </w:rPr>
        <w:t>oh</w:t>
      </w:r>
      <w:r w:rsidRPr="009A0DA6">
        <w:rPr>
          <w:rFonts w:ascii="Cambria" w:eastAsia="Calibri" w:hAnsi="Cambria" w:cs="Calibri"/>
        </w:rPr>
        <w:t>i</w:t>
      </w:r>
      <w:r w:rsidRPr="009A0DA6">
        <w:rPr>
          <w:rFonts w:ascii="Cambria" w:eastAsia="Calibri" w:hAnsi="Cambria" w:cs="Calibri"/>
          <w:spacing w:val="1"/>
        </w:rPr>
        <w:t>b</w:t>
      </w:r>
      <w:r w:rsidRPr="009A0DA6">
        <w:rPr>
          <w:rFonts w:ascii="Cambria" w:eastAsia="Calibri" w:hAnsi="Cambria" w:cs="Calibri"/>
        </w:rPr>
        <w:t>iti</w:t>
      </w:r>
      <w:r w:rsidRPr="009A0DA6">
        <w:rPr>
          <w:rFonts w:ascii="Cambria" w:eastAsia="Calibri" w:hAnsi="Cambria" w:cs="Calibri"/>
          <w:spacing w:val="7"/>
        </w:rPr>
        <w:t>o</w:t>
      </w:r>
      <w:r w:rsidRPr="009A0DA6">
        <w:rPr>
          <w:rFonts w:ascii="Cambria" w:eastAsia="Calibri" w:hAnsi="Cambria" w:cs="Calibri"/>
        </w:rPr>
        <w:t xml:space="preserve">n </w:t>
      </w:r>
      <w:r w:rsidRPr="009A0DA6">
        <w:rPr>
          <w:rFonts w:ascii="Cambria" w:eastAsia="Calibri" w:hAnsi="Cambria" w:cs="Calibri"/>
          <w:spacing w:val="1"/>
        </w:rPr>
        <w:t>d</w:t>
      </w:r>
      <w:r w:rsidRPr="009A0DA6">
        <w:rPr>
          <w:rFonts w:ascii="Cambria" w:eastAsia="Calibri" w:hAnsi="Cambria" w:cs="Calibri"/>
        </w:rPr>
        <w:t>o</w:t>
      </w:r>
      <w:r w:rsidRPr="009A0DA6">
        <w:rPr>
          <w:rFonts w:ascii="Cambria" w:eastAsia="Calibri" w:hAnsi="Cambria" w:cs="Calibri"/>
          <w:spacing w:val="-1"/>
        </w:rPr>
        <w:t>e</w:t>
      </w:r>
      <w:r w:rsidRPr="009A0DA6">
        <w:rPr>
          <w:rFonts w:ascii="Cambria" w:eastAsia="Calibri" w:hAnsi="Cambria" w:cs="Calibri"/>
        </w:rPr>
        <w:t>s</w:t>
      </w:r>
      <w:r w:rsidRPr="009A0DA6">
        <w:rPr>
          <w:rFonts w:ascii="Cambria" w:eastAsia="Calibri" w:hAnsi="Cambria" w:cs="Calibri"/>
          <w:spacing w:val="3"/>
        </w:rPr>
        <w:t xml:space="preserve"> </w:t>
      </w:r>
      <w:r w:rsidRPr="009A0DA6">
        <w:rPr>
          <w:rFonts w:ascii="Cambria" w:eastAsia="Calibri" w:hAnsi="Cambria" w:cs="Calibri"/>
          <w:spacing w:val="1"/>
        </w:rPr>
        <w:t>n</w:t>
      </w:r>
      <w:r w:rsidRPr="009A0DA6">
        <w:rPr>
          <w:rFonts w:ascii="Cambria" w:eastAsia="Calibri" w:hAnsi="Cambria" w:cs="Calibri"/>
        </w:rPr>
        <w:t>ot</w:t>
      </w:r>
      <w:r w:rsidRPr="009A0DA6">
        <w:rPr>
          <w:rFonts w:ascii="Cambria" w:eastAsia="Calibri" w:hAnsi="Cambria" w:cs="Calibri"/>
          <w:spacing w:val="5"/>
        </w:rPr>
        <w:t xml:space="preserve"> </w:t>
      </w:r>
      <w:r w:rsidRPr="009A0DA6">
        <w:rPr>
          <w:rFonts w:ascii="Cambria" w:eastAsia="Calibri" w:hAnsi="Cambria" w:cs="Calibri"/>
        </w:rPr>
        <w:t>a</w:t>
      </w:r>
      <w:r w:rsidRPr="009A0DA6">
        <w:rPr>
          <w:rFonts w:ascii="Cambria" w:eastAsia="Calibri" w:hAnsi="Cambria" w:cs="Calibri"/>
          <w:spacing w:val="1"/>
        </w:rPr>
        <w:t>pp</w:t>
      </w:r>
      <w:r w:rsidRPr="009A0DA6">
        <w:rPr>
          <w:rFonts w:ascii="Cambria" w:eastAsia="Calibri" w:hAnsi="Cambria" w:cs="Calibri"/>
        </w:rPr>
        <w:t>ly</w:t>
      </w:r>
      <w:r w:rsidRPr="009A0DA6">
        <w:rPr>
          <w:rFonts w:ascii="Cambria" w:eastAsia="Calibri" w:hAnsi="Cambria" w:cs="Calibri"/>
          <w:spacing w:val="4"/>
        </w:rPr>
        <w:t xml:space="preserve"> </w:t>
      </w:r>
      <w:r w:rsidRPr="009A0DA6">
        <w:rPr>
          <w:rFonts w:ascii="Cambria" w:eastAsia="Calibri" w:hAnsi="Cambria" w:cs="Calibri"/>
        </w:rPr>
        <w:t>to</w:t>
      </w:r>
      <w:r w:rsidRPr="009A0DA6">
        <w:rPr>
          <w:rFonts w:ascii="Cambria" w:eastAsia="Calibri" w:hAnsi="Cambria" w:cs="Calibri"/>
          <w:spacing w:val="4"/>
        </w:rPr>
        <w:t xml:space="preserve"> </w:t>
      </w:r>
      <w:r w:rsidRPr="009A0DA6">
        <w:rPr>
          <w:rFonts w:ascii="Cambria" w:eastAsia="Calibri" w:hAnsi="Cambria" w:cs="Calibri"/>
          <w:spacing w:val="1"/>
        </w:rPr>
        <w:t>u</w:t>
      </w:r>
      <w:r w:rsidRPr="009A0DA6">
        <w:rPr>
          <w:rFonts w:ascii="Cambria" w:eastAsia="Calibri" w:hAnsi="Cambria" w:cs="Calibri"/>
        </w:rPr>
        <w:t>s</w:t>
      </w:r>
      <w:r w:rsidRPr="009A0DA6">
        <w:rPr>
          <w:rFonts w:ascii="Cambria" w:eastAsia="Calibri" w:hAnsi="Cambria" w:cs="Calibri"/>
          <w:spacing w:val="5"/>
        </w:rPr>
        <w:t xml:space="preserve"> </w:t>
      </w:r>
      <w:r w:rsidRPr="009A0DA6">
        <w:rPr>
          <w:rFonts w:ascii="Cambria" w:eastAsia="Calibri" w:hAnsi="Cambria" w:cs="Calibri"/>
        </w:rPr>
        <w:t>t</w:t>
      </w:r>
      <w:r w:rsidRPr="009A0DA6">
        <w:rPr>
          <w:rFonts w:ascii="Cambria" w:eastAsia="Calibri" w:hAnsi="Cambria" w:cs="Calibri"/>
          <w:spacing w:val="1"/>
        </w:rPr>
        <w:t>od</w:t>
      </w:r>
      <w:r w:rsidRPr="009A0DA6">
        <w:rPr>
          <w:rFonts w:ascii="Cambria" w:eastAsia="Calibri" w:hAnsi="Cambria" w:cs="Calibri"/>
        </w:rPr>
        <w:t>ay</w:t>
      </w:r>
      <w:r w:rsidRPr="009A0DA6">
        <w:rPr>
          <w:rFonts w:ascii="Cambria" w:eastAsia="Calibri" w:hAnsi="Cambria" w:cs="Calibri"/>
          <w:spacing w:val="6"/>
        </w:rPr>
        <w:t xml:space="preserve"> </w:t>
      </w:r>
      <w:r w:rsidRPr="009A0DA6">
        <w:rPr>
          <w:rFonts w:ascii="Cambria" w:eastAsia="Calibri" w:hAnsi="Cambria" w:cs="Calibri"/>
          <w:spacing w:val="-1"/>
        </w:rPr>
        <w:t>n</w:t>
      </w:r>
      <w:r w:rsidRPr="009A0DA6">
        <w:rPr>
          <w:rFonts w:ascii="Cambria" w:eastAsia="Calibri" w:hAnsi="Cambria" w:cs="Calibri"/>
        </w:rPr>
        <w:t>ow</w:t>
      </w:r>
      <w:r w:rsidRPr="009A0DA6">
        <w:rPr>
          <w:rFonts w:ascii="Cambria" w:eastAsia="Calibri" w:hAnsi="Cambria" w:cs="Calibri"/>
          <w:spacing w:val="3"/>
        </w:rPr>
        <w:t xml:space="preserve"> </w:t>
      </w:r>
      <w:r w:rsidRPr="009A0DA6">
        <w:rPr>
          <w:rFonts w:ascii="Cambria" w:eastAsia="Calibri" w:hAnsi="Cambria" w:cs="Calibri"/>
          <w:spacing w:val="1"/>
        </w:rPr>
        <w:t>th</w:t>
      </w:r>
      <w:r w:rsidRPr="009A0DA6">
        <w:rPr>
          <w:rFonts w:ascii="Cambria" w:eastAsia="Calibri" w:hAnsi="Cambria" w:cs="Calibri"/>
        </w:rPr>
        <w:t>at</w:t>
      </w:r>
      <w:r w:rsidRPr="009A0DA6">
        <w:rPr>
          <w:rFonts w:ascii="Cambria" w:eastAsia="Calibri" w:hAnsi="Cambria" w:cs="Calibri"/>
          <w:spacing w:val="5"/>
        </w:rPr>
        <w:t xml:space="preserve"> </w:t>
      </w:r>
      <w:r w:rsidRPr="009A0DA6">
        <w:rPr>
          <w:rFonts w:ascii="Cambria" w:eastAsia="Calibri" w:hAnsi="Cambria" w:cs="Calibri"/>
        </w:rPr>
        <w:t>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4"/>
        </w:rPr>
        <w:t xml:space="preserve"> </w:t>
      </w:r>
      <w:r w:rsidRPr="009A0DA6">
        <w:rPr>
          <w:rFonts w:ascii="Cambria" w:eastAsia="Calibri" w:hAnsi="Cambria" w:cs="Calibri"/>
        </w:rPr>
        <w:t>c</w:t>
      </w:r>
      <w:r w:rsidRPr="009A0DA6">
        <w:rPr>
          <w:rFonts w:ascii="Cambria" w:eastAsia="Calibri" w:hAnsi="Cambria" w:cs="Calibri"/>
          <w:spacing w:val="1"/>
        </w:rPr>
        <w:t>u</w:t>
      </w:r>
      <w:r w:rsidRPr="009A0DA6">
        <w:rPr>
          <w:rFonts w:ascii="Cambria" w:eastAsia="Calibri" w:hAnsi="Cambria" w:cs="Calibri"/>
        </w:rPr>
        <w:t>lt</w:t>
      </w:r>
      <w:r w:rsidRPr="009A0DA6">
        <w:rPr>
          <w:rFonts w:ascii="Cambria" w:eastAsia="Calibri" w:hAnsi="Cambria" w:cs="Calibri"/>
          <w:spacing w:val="1"/>
        </w:rPr>
        <w:t>u</w:t>
      </w:r>
      <w:r w:rsidRPr="009A0DA6">
        <w:rPr>
          <w:rFonts w:ascii="Cambria" w:eastAsia="Calibri" w:hAnsi="Cambria" w:cs="Calibri"/>
        </w:rPr>
        <w:t>re</w:t>
      </w:r>
      <w:r w:rsidRPr="009A0DA6">
        <w:rPr>
          <w:rFonts w:ascii="Cambria" w:eastAsia="Calibri" w:hAnsi="Cambria" w:cs="Calibri"/>
          <w:spacing w:val="1"/>
        </w:rPr>
        <w:t xml:space="preserve"> </w:t>
      </w:r>
      <w:r w:rsidRPr="009A0DA6">
        <w:rPr>
          <w:rFonts w:ascii="Cambria" w:eastAsia="Calibri" w:hAnsi="Cambria" w:cs="Calibri"/>
        </w:rPr>
        <w:t>a</w:t>
      </w:r>
      <w:r w:rsidRPr="009A0DA6">
        <w:rPr>
          <w:rFonts w:ascii="Cambria" w:eastAsia="Calibri" w:hAnsi="Cambria" w:cs="Calibri"/>
          <w:spacing w:val="1"/>
        </w:rPr>
        <w:t>n</w:t>
      </w:r>
      <w:r w:rsidRPr="009A0DA6">
        <w:rPr>
          <w:rFonts w:ascii="Cambria" w:eastAsia="Calibri" w:hAnsi="Cambria" w:cs="Calibri"/>
        </w:rPr>
        <w:t>d</w:t>
      </w:r>
      <w:r w:rsidRPr="009A0DA6">
        <w:rPr>
          <w:rFonts w:ascii="Cambria" w:eastAsia="Calibri" w:hAnsi="Cambria" w:cs="Calibri"/>
          <w:spacing w:val="4"/>
        </w:rPr>
        <w:t xml:space="preserve"> </w:t>
      </w:r>
      <w:r w:rsidRPr="009A0DA6">
        <w:rPr>
          <w:rFonts w:ascii="Cambria" w:eastAsia="Calibri" w:hAnsi="Cambria" w:cs="Calibri"/>
        </w:rPr>
        <w:t>co</w:t>
      </w:r>
      <w:r w:rsidRPr="009A0DA6">
        <w:rPr>
          <w:rFonts w:ascii="Cambria" w:eastAsia="Calibri" w:hAnsi="Cambria" w:cs="Calibri"/>
          <w:spacing w:val="-1"/>
        </w:rPr>
        <w:t>n</w:t>
      </w:r>
      <w:r w:rsidRPr="009A0DA6">
        <w:rPr>
          <w:rFonts w:ascii="Cambria" w:eastAsia="Calibri" w:hAnsi="Cambria" w:cs="Calibri"/>
          <w:spacing w:val="-2"/>
        </w:rPr>
        <w:t>t</w:t>
      </w:r>
      <w:r w:rsidRPr="009A0DA6">
        <w:rPr>
          <w:rFonts w:ascii="Cambria" w:eastAsia="Calibri" w:hAnsi="Cambria" w:cs="Calibri"/>
          <w:spacing w:val="-1"/>
        </w:rPr>
        <w:t>e</w:t>
      </w:r>
      <w:r w:rsidRPr="009A0DA6">
        <w:rPr>
          <w:rFonts w:ascii="Cambria" w:eastAsia="Calibri" w:hAnsi="Cambria" w:cs="Calibri"/>
        </w:rPr>
        <w:t>xt</w:t>
      </w:r>
      <w:r w:rsidRPr="009A0DA6">
        <w:rPr>
          <w:rFonts w:ascii="Cambria" w:eastAsia="Calibri" w:hAnsi="Cambria" w:cs="Calibri"/>
          <w:spacing w:val="1"/>
        </w:rPr>
        <w:t xml:space="preserve"> h</w:t>
      </w:r>
      <w:r w:rsidRPr="009A0DA6">
        <w:rPr>
          <w:rFonts w:ascii="Cambria" w:eastAsia="Calibri" w:hAnsi="Cambria" w:cs="Calibri"/>
        </w:rPr>
        <w:t>a</w:t>
      </w:r>
      <w:r w:rsidRPr="009A0DA6">
        <w:rPr>
          <w:rFonts w:ascii="Cambria" w:eastAsia="Calibri" w:hAnsi="Cambria" w:cs="Calibri"/>
          <w:spacing w:val="-1"/>
        </w:rPr>
        <w:t>v</w:t>
      </w:r>
      <w:r w:rsidRPr="009A0DA6">
        <w:rPr>
          <w:rFonts w:ascii="Cambria" w:eastAsia="Calibri" w:hAnsi="Cambria" w:cs="Calibri"/>
        </w:rPr>
        <w:t>e</w:t>
      </w:r>
      <w:r w:rsidRPr="009A0DA6">
        <w:rPr>
          <w:rFonts w:ascii="Cambria" w:eastAsia="Calibri" w:hAnsi="Cambria" w:cs="Calibri"/>
          <w:spacing w:val="2"/>
        </w:rPr>
        <w:t xml:space="preserve"> </w:t>
      </w:r>
      <w:r w:rsidRPr="009A0DA6">
        <w:rPr>
          <w:rFonts w:ascii="Cambria" w:eastAsia="Calibri" w:hAnsi="Cambria" w:cs="Calibri"/>
        </w:rPr>
        <w:t>c</w:t>
      </w:r>
      <w:r w:rsidRPr="009A0DA6">
        <w:rPr>
          <w:rFonts w:ascii="Cambria" w:eastAsia="Calibri" w:hAnsi="Cambria" w:cs="Calibri"/>
          <w:spacing w:val="1"/>
        </w:rPr>
        <w:t>h</w:t>
      </w:r>
      <w:r w:rsidRPr="009A0DA6">
        <w:rPr>
          <w:rFonts w:ascii="Cambria" w:eastAsia="Calibri" w:hAnsi="Cambria" w:cs="Calibri"/>
        </w:rPr>
        <w:t>a</w:t>
      </w:r>
      <w:r w:rsidRPr="009A0DA6">
        <w:rPr>
          <w:rFonts w:ascii="Cambria" w:eastAsia="Calibri" w:hAnsi="Cambria" w:cs="Calibri"/>
          <w:spacing w:val="1"/>
        </w:rPr>
        <w:t>n</w:t>
      </w:r>
      <w:r w:rsidRPr="009A0DA6">
        <w:rPr>
          <w:rFonts w:ascii="Cambria" w:eastAsia="Calibri" w:hAnsi="Cambria" w:cs="Calibri"/>
        </w:rPr>
        <w:t>g</w:t>
      </w:r>
      <w:r w:rsidRPr="009A0DA6">
        <w:rPr>
          <w:rFonts w:ascii="Cambria" w:eastAsia="Calibri" w:hAnsi="Cambria" w:cs="Calibri"/>
          <w:spacing w:val="-1"/>
        </w:rPr>
        <w:t>e</w:t>
      </w:r>
      <w:r w:rsidRPr="009A0DA6">
        <w:rPr>
          <w:rFonts w:ascii="Cambria" w:eastAsia="Calibri" w:hAnsi="Cambria" w:cs="Calibri"/>
          <w:spacing w:val="5"/>
        </w:rPr>
        <w:t>d</w:t>
      </w:r>
      <w:r w:rsidRPr="009A0DA6">
        <w:rPr>
          <w:rFonts w:ascii="Cambria" w:eastAsia="Calibri" w:hAnsi="Cambria" w:cs="Calibri"/>
        </w:rPr>
        <w:t>. But</w:t>
      </w:r>
      <w:r w:rsidRPr="009A0DA6">
        <w:rPr>
          <w:rFonts w:ascii="Cambria" w:eastAsia="Calibri" w:hAnsi="Cambria" w:cs="Calibri"/>
          <w:spacing w:val="5"/>
        </w:rPr>
        <w:t xml:space="preserve"> </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4"/>
        </w:rPr>
        <w:t xml:space="preserve"> </w:t>
      </w:r>
      <w:r w:rsidRPr="009A0DA6">
        <w:rPr>
          <w:rFonts w:ascii="Cambria" w:eastAsia="Calibri" w:hAnsi="Cambria" w:cs="Calibri"/>
          <w:spacing w:val="1"/>
        </w:rPr>
        <w:t>d</w:t>
      </w:r>
      <w:r w:rsidRPr="009A0DA6">
        <w:rPr>
          <w:rFonts w:ascii="Cambria" w:eastAsia="Calibri" w:hAnsi="Cambria" w:cs="Calibri"/>
        </w:rPr>
        <w:t>id</w:t>
      </w:r>
      <w:r w:rsidRPr="009A0DA6">
        <w:rPr>
          <w:rFonts w:ascii="Cambria" w:eastAsia="Calibri" w:hAnsi="Cambria" w:cs="Calibri"/>
          <w:spacing w:val="5"/>
        </w:rPr>
        <w:t xml:space="preserve"> </w:t>
      </w:r>
      <w:r w:rsidRPr="009A0DA6">
        <w:rPr>
          <w:rFonts w:ascii="Cambria" w:eastAsia="Calibri" w:hAnsi="Cambria" w:cs="Calibri"/>
          <w:spacing w:val="1"/>
        </w:rPr>
        <w:t>n</w:t>
      </w:r>
      <w:r w:rsidRPr="009A0DA6">
        <w:rPr>
          <w:rFonts w:ascii="Cambria" w:eastAsia="Calibri" w:hAnsi="Cambria" w:cs="Calibri"/>
        </w:rPr>
        <w:t>ot.</w:t>
      </w:r>
      <w:r w:rsidRPr="009A0DA6">
        <w:rPr>
          <w:rFonts w:ascii="Cambria" w:eastAsia="Calibri" w:hAnsi="Cambria" w:cs="Calibri"/>
          <w:spacing w:val="4"/>
        </w:rPr>
        <w:t xml:space="preserve"> </w:t>
      </w:r>
      <w:r w:rsidRPr="009A0DA6">
        <w:rPr>
          <w:rFonts w:ascii="Cambria" w:eastAsia="Calibri" w:hAnsi="Cambria" w:cs="Calibri"/>
        </w:rPr>
        <w:t>I</w:t>
      </w:r>
      <w:r w:rsidRPr="009A0DA6">
        <w:rPr>
          <w:rFonts w:ascii="Cambria" w:eastAsia="Calibri" w:hAnsi="Cambria" w:cs="Calibri"/>
          <w:spacing w:val="1"/>
        </w:rPr>
        <w:t>n</w:t>
      </w:r>
      <w:r w:rsidRPr="009A0DA6">
        <w:rPr>
          <w:rFonts w:ascii="Cambria" w:eastAsia="Calibri" w:hAnsi="Cambria" w:cs="Calibri"/>
          <w:spacing w:val="-1"/>
        </w:rPr>
        <w:t>s</w:t>
      </w:r>
      <w:r w:rsidRPr="009A0DA6">
        <w:rPr>
          <w:rFonts w:ascii="Cambria" w:eastAsia="Calibri" w:hAnsi="Cambria" w:cs="Calibri"/>
        </w:rPr>
        <w:t>tea</w:t>
      </w:r>
      <w:r w:rsidRPr="009A0DA6">
        <w:rPr>
          <w:rFonts w:ascii="Cambria" w:eastAsia="Calibri" w:hAnsi="Cambria" w:cs="Calibri"/>
          <w:spacing w:val="1"/>
        </w:rPr>
        <w:t>d</w:t>
      </w:r>
      <w:r w:rsidRPr="009A0DA6">
        <w:rPr>
          <w:rFonts w:ascii="Cambria" w:eastAsia="Calibri" w:hAnsi="Cambria" w:cs="Calibri"/>
        </w:rPr>
        <w:t>,</w:t>
      </w:r>
      <w:r w:rsidRPr="009A0DA6">
        <w:rPr>
          <w:rFonts w:ascii="Cambria" w:eastAsia="Calibri" w:hAnsi="Cambria" w:cs="Calibri"/>
          <w:spacing w:val="1"/>
        </w:rPr>
        <w:t xml:space="preserve"> </w:t>
      </w:r>
      <w:r w:rsidRPr="009A0DA6">
        <w:rPr>
          <w:rFonts w:ascii="Cambria" w:eastAsia="Calibri" w:hAnsi="Cambria" w:cs="Calibri"/>
        </w:rPr>
        <w:t>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4"/>
        </w:rPr>
        <w:t xml:space="preserve"> </w:t>
      </w:r>
      <w:r w:rsidRPr="009A0DA6">
        <w:rPr>
          <w:rFonts w:ascii="Cambria" w:eastAsia="Calibri" w:hAnsi="Cambria" w:cs="Calibri"/>
          <w:spacing w:val="1"/>
        </w:rPr>
        <w:t>H</w:t>
      </w:r>
      <w:r w:rsidRPr="009A0DA6">
        <w:rPr>
          <w:rFonts w:ascii="Cambria" w:eastAsia="Calibri" w:hAnsi="Cambria" w:cs="Calibri"/>
        </w:rPr>
        <w:t>o</w:t>
      </w:r>
      <w:r w:rsidRPr="009A0DA6">
        <w:rPr>
          <w:rFonts w:ascii="Cambria" w:eastAsia="Calibri" w:hAnsi="Cambria" w:cs="Calibri"/>
          <w:spacing w:val="-2"/>
        </w:rPr>
        <w:t>l</w:t>
      </w:r>
      <w:r w:rsidRPr="009A0DA6">
        <w:rPr>
          <w:rFonts w:ascii="Cambria" w:eastAsia="Calibri" w:hAnsi="Cambria" w:cs="Calibri"/>
        </w:rPr>
        <w:t>y</w:t>
      </w:r>
      <w:r w:rsidRPr="009A0DA6">
        <w:rPr>
          <w:rFonts w:ascii="Cambria" w:eastAsia="Calibri" w:hAnsi="Cambria" w:cs="Calibri"/>
          <w:spacing w:val="4"/>
        </w:rPr>
        <w:t xml:space="preserve"> </w:t>
      </w:r>
      <w:r w:rsidRPr="009A0DA6">
        <w:rPr>
          <w:rFonts w:ascii="Cambria" w:eastAsia="Calibri" w:hAnsi="Cambria" w:cs="Calibri"/>
        </w:rPr>
        <w:t>Spir</w:t>
      </w:r>
      <w:r w:rsidRPr="009A0DA6">
        <w:rPr>
          <w:rFonts w:ascii="Cambria" w:eastAsia="Calibri" w:hAnsi="Cambria" w:cs="Calibri"/>
          <w:spacing w:val="-3"/>
        </w:rPr>
        <w:t>i</w:t>
      </w:r>
      <w:r w:rsidRPr="009A0DA6">
        <w:rPr>
          <w:rFonts w:ascii="Cambria" w:eastAsia="Calibri" w:hAnsi="Cambria" w:cs="Calibri"/>
        </w:rPr>
        <w:t xml:space="preserve">t, </w:t>
      </w:r>
      <w:r w:rsidRPr="009A0DA6">
        <w:rPr>
          <w:rFonts w:ascii="Cambria" w:eastAsia="Calibri" w:hAnsi="Cambria" w:cs="Calibri"/>
          <w:spacing w:val="-1"/>
        </w:rPr>
        <w:t>s</w:t>
      </w:r>
      <w:r w:rsidRPr="009A0DA6">
        <w:rPr>
          <w:rFonts w:ascii="Cambria" w:eastAsia="Calibri" w:hAnsi="Cambria" w:cs="Calibri"/>
          <w:spacing w:val="1"/>
        </w:rPr>
        <w:t>p</w:t>
      </w:r>
      <w:r w:rsidRPr="009A0DA6">
        <w:rPr>
          <w:rFonts w:ascii="Cambria" w:eastAsia="Calibri" w:hAnsi="Cambria" w:cs="Calibri"/>
          <w:spacing w:val="-1"/>
        </w:rPr>
        <w:t>e</w:t>
      </w:r>
      <w:r w:rsidRPr="009A0DA6">
        <w:rPr>
          <w:rFonts w:ascii="Cambria" w:eastAsia="Calibri" w:hAnsi="Cambria" w:cs="Calibri"/>
        </w:rPr>
        <w:t>a</w:t>
      </w:r>
      <w:r w:rsidRPr="009A0DA6">
        <w:rPr>
          <w:rFonts w:ascii="Cambria" w:eastAsia="Calibri" w:hAnsi="Cambria" w:cs="Calibri"/>
          <w:spacing w:val="1"/>
        </w:rPr>
        <w:t>k</w:t>
      </w:r>
      <w:r w:rsidRPr="009A0DA6">
        <w:rPr>
          <w:rFonts w:ascii="Cambria" w:eastAsia="Calibri" w:hAnsi="Cambria" w:cs="Calibri"/>
        </w:rPr>
        <w:t>i</w:t>
      </w:r>
      <w:r w:rsidRPr="009A0DA6">
        <w:rPr>
          <w:rFonts w:ascii="Cambria" w:eastAsia="Calibri" w:hAnsi="Cambria" w:cs="Calibri"/>
          <w:spacing w:val="1"/>
        </w:rPr>
        <w:t>n</w:t>
      </w:r>
      <w:r w:rsidRPr="009A0DA6">
        <w:rPr>
          <w:rFonts w:ascii="Cambria" w:eastAsia="Calibri" w:hAnsi="Cambria" w:cs="Calibri"/>
        </w:rPr>
        <w:t>g</w:t>
      </w:r>
      <w:r w:rsidRPr="009A0DA6">
        <w:rPr>
          <w:rFonts w:ascii="Cambria" w:eastAsia="Calibri" w:hAnsi="Cambria" w:cs="Calibri"/>
          <w:spacing w:val="-2"/>
        </w:rPr>
        <w:t xml:space="preserve"> </w:t>
      </w:r>
      <w:r w:rsidRPr="009A0DA6">
        <w:rPr>
          <w:rFonts w:ascii="Cambria" w:eastAsia="Calibri" w:hAnsi="Cambria" w:cs="Calibri"/>
        </w:rPr>
        <w:t>t</w:t>
      </w:r>
      <w:r w:rsidRPr="009A0DA6">
        <w:rPr>
          <w:rFonts w:ascii="Cambria" w:eastAsia="Calibri" w:hAnsi="Cambria" w:cs="Calibri"/>
          <w:spacing w:val="1"/>
        </w:rPr>
        <w:t>h</w:t>
      </w:r>
      <w:r w:rsidRPr="009A0DA6">
        <w:rPr>
          <w:rFonts w:ascii="Cambria" w:eastAsia="Calibri" w:hAnsi="Cambria" w:cs="Calibri"/>
        </w:rPr>
        <w:t>r</w:t>
      </w:r>
      <w:r w:rsidRPr="009A0DA6">
        <w:rPr>
          <w:rFonts w:ascii="Cambria" w:eastAsia="Calibri" w:hAnsi="Cambria" w:cs="Calibri"/>
          <w:spacing w:val="1"/>
        </w:rPr>
        <w:t>ou</w:t>
      </w:r>
      <w:r w:rsidRPr="009A0DA6">
        <w:rPr>
          <w:rFonts w:ascii="Cambria" w:eastAsia="Calibri" w:hAnsi="Cambria" w:cs="Calibri"/>
        </w:rPr>
        <w:t>gh</w:t>
      </w:r>
      <w:r w:rsidRPr="009A0DA6">
        <w:rPr>
          <w:rFonts w:ascii="Cambria" w:eastAsia="Calibri" w:hAnsi="Cambria" w:cs="Calibri"/>
          <w:spacing w:val="-1"/>
        </w:rPr>
        <w:t xml:space="preserve"> </w:t>
      </w:r>
      <w:r w:rsidRPr="009A0DA6">
        <w:rPr>
          <w:rFonts w:ascii="Cambria" w:eastAsia="Calibri" w:hAnsi="Cambria" w:cs="Calibri"/>
        </w:rPr>
        <w:t>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rPr>
        <w:t>A</w:t>
      </w:r>
      <w:r w:rsidRPr="009A0DA6">
        <w:rPr>
          <w:rFonts w:ascii="Cambria" w:eastAsia="Calibri" w:hAnsi="Cambria" w:cs="Calibri"/>
          <w:spacing w:val="1"/>
        </w:rPr>
        <w:t>p</w:t>
      </w:r>
      <w:r w:rsidRPr="009A0DA6">
        <w:rPr>
          <w:rFonts w:ascii="Cambria" w:eastAsia="Calibri" w:hAnsi="Cambria" w:cs="Calibri"/>
        </w:rPr>
        <w:t>o</w:t>
      </w:r>
      <w:r w:rsidRPr="009A0DA6">
        <w:rPr>
          <w:rFonts w:ascii="Cambria" w:eastAsia="Calibri" w:hAnsi="Cambria" w:cs="Calibri"/>
          <w:spacing w:val="-1"/>
        </w:rPr>
        <w:t>s</w:t>
      </w:r>
      <w:r w:rsidRPr="009A0DA6">
        <w:rPr>
          <w:rFonts w:ascii="Cambria" w:eastAsia="Calibri" w:hAnsi="Cambria" w:cs="Calibri"/>
        </w:rPr>
        <w:t>tle</w:t>
      </w:r>
      <w:r w:rsidRPr="009A0DA6">
        <w:rPr>
          <w:rFonts w:ascii="Cambria" w:eastAsia="Calibri" w:hAnsi="Cambria" w:cs="Calibri"/>
          <w:spacing w:val="1"/>
        </w:rPr>
        <w:t xml:space="preserve"> </w:t>
      </w:r>
      <w:r w:rsidRPr="009A0DA6">
        <w:rPr>
          <w:rFonts w:ascii="Cambria" w:eastAsia="Calibri" w:hAnsi="Cambria" w:cs="Calibri"/>
        </w:rPr>
        <w:t>P</w:t>
      </w:r>
      <w:r w:rsidRPr="009A0DA6">
        <w:rPr>
          <w:rFonts w:ascii="Cambria" w:eastAsia="Calibri" w:hAnsi="Cambria" w:cs="Calibri"/>
          <w:spacing w:val="1"/>
        </w:rPr>
        <w:t>au</w:t>
      </w:r>
      <w:r w:rsidRPr="009A0DA6">
        <w:rPr>
          <w:rFonts w:ascii="Cambria" w:eastAsia="Calibri" w:hAnsi="Cambria" w:cs="Calibri"/>
        </w:rPr>
        <w:t>l,</w:t>
      </w:r>
      <w:r w:rsidRPr="009A0DA6">
        <w:rPr>
          <w:rFonts w:ascii="Cambria" w:eastAsia="Calibri" w:hAnsi="Cambria" w:cs="Calibri"/>
          <w:spacing w:val="2"/>
        </w:rPr>
        <w:t xml:space="preserve"> </w:t>
      </w:r>
      <w:r w:rsidRPr="009A0DA6">
        <w:rPr>
          <w:rFonts w:ascii="Cambria" w:eastAsia="Calibri" w:hAnsi="Cambria" w:cs="Calibri"/>
          <w:spacing w:val="1"/>
        </w:rPr>
        <w:t>p</w:t>
      </w:r>
      <w:r w:rsidRPr="009A0DA6">
        <w:rPr>
          <w:rFonts w:ascii="Cambria" w:eastAsia="Calibri" w:hAnsi="Cambria" w:cs="Calibri"/>
        </w:rPr>
        <w:t>oi</w:t>
      </w:r>
      <w:r w:rsidRPr="009A0DA6">
        <w:rPr>
          <w:rFonts w:ascii="Cambria" w:eastAsia="Calibri" w:hAnsi="Cambria" w:cs="Calibri"/>
          <w:spacing w:val="1"/>
        </w:rPr>
        <w:t>n</w:t>
      </w:r>
      <w:r w:rsidRPr="009A0DA6">
        <w:rPr>
          <w:rFonts w:ascii="Cambria" w:eastAsia="Calibri" w:hAnsi="Cambria" w:cs="Calibri"/>
        </w:rPr>
        <w:t>ts</w:t>
      </w:r>
      <w:r w:rsidRPr="009A0DA6">
        <w:rPr>
          <w:rFonts w:ascii="Cambria" w:eastAsia="Calibri" w:hAnsi="Cambria" w:cs="Calibri"/>
          <w:spacing w:val="-1"/>
        </w:rPr>
        <w:t xml:space="preserve"> </w:t>
      </w:r>
      <w:r w:rsidRPr="009A0DA6">
        <w:rPr>
          <w:rFonts w:ascii="Cambria" w:eastAsia="Calibri" w:hAnsi="Cambria" w:cs="Calibri"/>
          <w:spacing w:val="1"/>
        </w:rPr>
        <w:t>u</w:t>
      </w:r>
      <w:r w:rsidRPr="009A0DA6">
        <w:rPr>
          <w:rFonts w:ascii="Cambria" w:eastAsia="Calibri" w:hAnsi="Cambria" w:cs="Calibri"/>
        </w:rPr>
        <w:t>s</w:t>
      </w:r>
      <w:r w:rsidRPr="009A0DA6">
        <w:rPr>
          <w:rFonts w:ascii="Cambria" w:eastAsia="Calibri" w:hAnsi="Cambria" w:cs="Calibri"/>
          <w:spacing w:val="2"/>
        </w:rPr>
        <w:t xml:space="preserve"> </w:t>
      </w:r>
      <w:r w:rsidRPr="009A0DA6">
        <w:rPr>
          <w:rFonts w:ascii="Cambria" w:eastAsia="Calibri" w:hAnsi="Cambria" w:cs="Calibri"/>
        </w:rPr>
        <w:t>to</w:t>
      </w:r>
      <w:r w:rsidRPr="009A0DA6">
        <w:rPr>
          <w:rFonts w:ascii="Cambria" w:eastAsia="Calibri" w:hAnsi="Cambria" w:cs="Calibri"/>
          <w:spacing w:val="4"/>
        </w:rPr>
        <w:t xml:space="preserve"> </w:t>
      </w:r>
      <w:r w:rsidRPr="009A0DA6">
        <w:rPr>
          <w:rFonts w:ascii="Cambria" w:eastAsia="Calibri" w:hAnsi="Cambria" w:cs="Calibri"/>
        </w:rPr>
        <w:t>cr</w:t>
      </w:r>
      <w:r w:rsidRPr="009A0DA6">
        <w:rPr>
          <w:rFonts w:ascii="Cambria" w:eastAsia="Calibri" w:hAnsi="Cambria" w:cs="Calibri"/>
          <w:spacing w:val="-1"/>
        </w:rPr>
        <w:t>e</w:t>
      </w:r>
      <w:r w:rsidRPr="009A0DA6">
        <w:rPr>
          <w:rFonts w:ascii="Cambria" w:eastAsia="Calibri" w:hAnsi="Cambria" w:cs="Calibri"/>
        </w:rPr>
        <w:t>a</w:t>
      </w:r>
      <w:r w:rsidRPr="009A0DA6">
        <w:rPr>
          <w:rFonts w:ascii="Cambria" w:eastAsia="Calibri" w:hAnsi="Cambria" w:cs="Calibri"/>
          <w:spacing w:val="1"/>
        </w:rPr>
        <w:t>t</w:t>
      </w:r>
      <w:r w:rsidRPr="009A0DA6">
        <w:rPr>
          <w:rFonts w:ascii="Cambria" w:eastAsia="Calibri" w:hAnsi="Cambria" w:cs="Calibri"/>
        </w:rPr>
        <w:t>ion</w:t>
      </w:r>
      <w:r w:rsidRPr="009A0DA6">
        <w:rPr>
          <w:rFonts w:ascii="Cambria" w:eastAsia="Calibri" w:hAnsi="Cambria" w:cs="Calibri"/>
          <w:spacing w:val="-1"/>
        </w:rPr>
        <w:t xml:space="preserve"> </w:t>
      </w:r>
      <w:r w:rsidRPr="009A0DA6">
        <w:rPr>
          <w:rFonts w:ascii="Cambria" w:eastAsia="Calibri" w:hAnsi="Cambria" w:cs="Calibri"/>
        </w:rPr>
        <w:t>a</w:t>
      </w:r>
      <w:r w:rsidRPr="009A0DA6">
        <w:rPr>
          <w:rFonts w:ascii="Cambria" w:eastAsia="Calibri" w:hAnsi="Cambria" w:cs="Calibri"/>
          <w:spacing w:val="-1"/>
        </w:rPr>
        <w:t>n</w:t>
      </w:r>
      <w:r w:rsidRPr="009A0DA6">
        <w:rPr>
          <w:rFonts w:ascii="Cambria" w:eastAsia="Calibri" w:hAnsi="Cambria" w:cs="Calibri"/>
        </w:rPr>
        <w:t>d</w:t>
      </w:r>
      <w:r w:rsidRPr="009A0DA6">
        <w:rPr>
          <w:rFonts w:ascii="Cambria" w:eastAsia="Calibri" w:hAnsi="Cambria" w:cs="Calibri"/>
          <w:spacing w:val="3"/>
        </w:rPr>
        <w:t xml:space="preserve"> </w:t>
      </w:r>
      <w:r w:rsidRPr="009A0DA6">
        <w:rPr>
          <w:rFonts w:ascii="Cambria" w:eastAsia="Calibri" w:hAnsi="Cambria" w:cs="Calibri"/>
        </w:rPr>
        <w:t>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spacing w:val="-1"/>
        </w:rPr>
        <w:t>f</w:t>
      </w:r>
      <w:r w:rsidRPr="009A0DA6">
        <w:rPr>
          <w:rFonts w:ascii="Cambria" w:eastAsia="Calibri" w:hAnsi="Cambria" w:cs="Calibri"/>
        </w:rPr>
        <w:t>all</w:t>
      </w:r>
      <w:r w:rsidRPr="009A0DA6">
        <w:rPr>
          <w:rFonts w:ascii="Cambria" w:eastAsia="Calibri" w:hAnsi="Cambria" w:cs="Calibri"/>
          <w:spacing w:val="3"/>
        </w:rPr>
        <w:t xml:space="preserve"> </w:t>
      </w:r>
      <w:r w:rsidRPr="009A0DA6">
        <w:rPr>
          <w:rFonts w:ascii="Cambria" w:eastAsia="Calibri" w:hAnsi="Cambria" w:cs="Calibri"/>
        </w:rPr>
        <w:t>a</w:t>
      </w:r>
      <w:r w:rsidRPr="009A0DA6">
        <w:rPr>
          <w:rFonts w:ascii="Cambria" w:eastAsia="Calibri" w:hAnsi="Cambria" w:cs="Calibri"/>
          <w:spacing w:val="1"/>
        </w:rPr>
        <w:t>n</w:t>
      </w:r>
      <w:r w:rsidRPr="009A0DA6">
        <w:rPr>
          <w:rFonts w:ascii="Cambria" w:eastAsia="Calibri" w:hAnsi="Cambria" w:cs="Calibri"/>
        </w:rPr>
        <w:t>d</w:t>
      </w:r>
      <w:r w:rsidRPr="009A0DA6">
        <w:rPr>
          <w:rFonts w:ascii="Cambria" w:eastAsia="Calibri" w:hAnsi="Cambria" w:cs="Calibri"/>
          <w:spacing w:val="3"/>
        </w:rPr>
        <w:t xml:space="preserve"> </w:t>
      </w:r>
      <w:r w:rsidRPr="009A0DA6">
        <w:rPr>
          <w:rFonts w:ascii="Cambria" w:eastAsia="Calibri" w:hAnsi="Cambria" w:cs="Calibri"/>
        </w:rPr>
        <w:t>a</w:t>
      </w:r>
      <w:r w:rsidRPr="009A0DA6">
        <w:rPr>
          <w:rFonts w:ascii="Cambria" w:eastAsia="Calibri" w:hAnsi="Cambria" w:cs="Calibri"/>
          <w:spacing w:val="5"/>
        </w:rPr>
        <w:t xml:space="preserve"> </w:t>
      </w:r>
      <w:r w:rsidRPr="009A0DA6">
        <w:rPr>
          <w:rFonts w:ascii="Cambria" w:eastAsia="Calibri" w:hAnsi="Cambria" w:cs="Calibri"/>
        </w:rPr>
        <w:t>com</w:t>
      </w:r>
      <w:r w:rsidRPr="009A0DA6">
        <w:rPr>
          <w:rFonts w:ascii="Cambria" w:eastAsia="Calibri" w:hAnsi="Cambria" w:cs="Calibri"/>
          <w:spacing w:val="-1"/>
        </w:rPr>
        <w:t>m</w:t>
      </w:r>
      <w:r w:rsidRPr="009A0DA6">
        <w:rPr>
          <w:rFonts w:ascii="Cambria" w:eastAsia="Calibri" w:hAnsi="Cambria" w:cs="Calibri"/>
        </w:rPr>
        <w:t>a</w:t>
      </w:r>
      <w:r w:rsidRPr="009A0DA6">
        <w:rPr>
          <w:rFonts w:ascii="Cambria" w:eastAsia="Calibri" w:hAnsi="Cambria" w:cs="Calibri"/>
          <w:spacing w:val="1"/>
        </w:rPr>
        <w:t>n</w:t>
      </w:r>
      <w:r w:rsidRPr="009A0DA6">
        <w:rPr>
          <w:rFonts w:ascii="Cambria" w:eastAsia="Calibri" w:hAnsi="Cambria" w:cs="Calibri"/>
        </w:rPr>
        <w:t>d</w:t>
      </w:r>
      <w:r w:rsidRPr="009A0DA6">
        <w:rPr>
          <w:rFonts w:ascii="Cambria" w:eastAsia="Calibri" w:hAnsi="Cambria" w:cs="Calibri"/>
          <w:spacing w:val="-2"/>
        </w:rPr>
        <w:t xml:space="preserve"> </w:t>
      </w:r>
      <w:r w:rsidRPr="009A0DA6">
        <w:rPr>
          <w:rFonts w:ascii="Cambria" w:eastAsia="Calibri" w:hAnsi="Cambria" w:cs="Calibri"/>
        </w:rPr>
        <w:t>of</w:t>
      </w:r>
      <w:r w:rsidRPr="009A0DA6">
        <w:rPr>
          <w:rFonts w:ascii="Cambria" w:eastAsia="Calibri" w:hAnsi="Cambria" w:cs="Calibri"/>
          <w:spacing w:val="2"/>
        </w:rPr>
        <w:t xml:space="preserve"> </w:t>
      </w:r>
      <w:r w:rsidRPr="009A0DA6">
        <w:rPr>
          <w:rFonts w:ascii="Cambria" w:eastAsia="Calibri" w:hAnsi="Cambria" w:cs="Calibri"/>
        </w:rPr>
        <w:t>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rPr>
        <w:t>L</w:t>
      </w:r>
      <w:r w:rsidRPr="009A0DA6">
        <w:rPr>
          <w:rFonts w:ascii="Cambria" w:eastAsia="Calibri" w:hAnsi="Cambria" w:cs="Calibri"/>
          <w:spacing w:val="1"/>
        </w:rPr>
        <w:t>o</w:t>
      </w:r>
      <w:r w:rsidRPr="009A0DA6">
        <w:rPr>
          <w:rFonts w:ascii="Cambria" w:eastAsia="Calibri" w:hAnsi="Cambria" w:cs="Calibri"/>
        </w:rPr>
        <w:t>rd</w:t>
      </w:r>
      <w:r w:rsidRPr="009A0DA6">
        <w:rPr>
          <w:rFonts w:ascii="Cambria" w:eastAsia="Calibri" w:hAnsi="Cambria" w:cs="Calibri"/>
          <w:spacing w:val="2"/>
        </w:rPr>
        <w:t xml:space="preserve"> </w:t>
      </w:r>
      <w:r w:rsidRPr="009A0DA6">
        <w:rPr>
          <w:rFonts w:ascii="Cambria" w:eastAsia="Calibri" w:hAnsi="Cambria" w:cs="Calibri"/>
        </w:rPr>
        <w:t>as</w:t>
      </w:r>
      <w:r w:rsidRPr="009A0DA6">
        <w:rPr>
          <w:rFonts w:ascii="Cambria" w:eastAsia="Calibri" w:hAnsi="Cambria" w:cs="Calibri"/>
          <w:spacing w:val="2"/>
        </w:rPr>
        <w:t xml:space="preserve"> </w:t>
      </w:r>
      <w:r w:rsidRPr="009A0DA6">
        <w:rPr>
          <w:rFonts w:ascii="Cambria" w:eastAsia="Calibri" w:hAnsi="Cambria" w:cs="Calibri"/>
        </w:rPr>
        <w:t>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rPr>
        <w:t>r</w:t>
      </w:r>
      <w:r w:rsidRPr="009A0DA6">
        <w:rPr>
          <w:rFonts w:ascii="Cambria" w:eastAsia="Calibri" w:hAnsi="Cambria" w:cs="Calibri"/>
          <w:spacing w:val="-1"/>
        </w:rPr>
        <w:t>e</w:t>
      </w:r>
      <w:r w:rsidRPr="009A0DA6">
        <w:rPr>
          <w:rFonts w:ascii="Cambria" w:eastAsia="Calibri" w:hAnsi="Cambria" w:cs="Calibri"/>
        </w:rPr>
        <w:t>aso</w:t>
      </w:r>
      <w:r w:rsidRPr="009A0DA6">
        <w:rPr>
          <w:rFonts w:ascii="Cambria" w:eastAsia="Calibri" w:hAnsi="Cambria" w:cs="Calibri"/>
          <w:spacing w:val="1"/>
        </w:rPr>
        <w:t>n</w:t>
      </w:r>
      <w:r w:rsidRPr="009A0DA6">
        <w:rPr>
          <w:rFonts w:ascii="Cambria" w:eastAsia="Calibri" w:hAnsi="Cambria" w:cs="Calibri"/>
        </w:rPr>
        <w:t xml:space="preserve">s </w:t>
      </w:r>
      <w:r w:rsidRPr="009A0DA6">
        <w:rPr>
          <w:rFonts w:ascii="Cambria" w:eastAsia="Calibri" w:hAnsi="Cambria" w:cs="Calibri"/>
          <w:spacing w:val="-1"/>
        </w:rPr>
        <w:t>f</w:t>
      </w:r>
      <w:r w:rsidRPr="009A0DA6">
        <w:rPr>
          <w:rFonts w:ascii="Cambria" w:eastAsia="Calibri" w:hAnsi="Cambria" w:cs="Calibri"/>
        </w:rPr>
        <w:t>or</w:t>
      </w:r>
      <w:r w:rsidRPr="009A0DA6">
        <w:rPr>
          <w:rFonts w:ascii="Cambria" w:eastAsia="Calibri" w:hAnsi="Cambria" w:cs="Calibri"/>
          <w:spacing w:val="3"/>
        </w:rPr>
        <w:t xml:space="preserve"> </w:t>
      </w:r>
      <w:r w:rsidRPr="009A0DA6">
        <w:rPr>
          <w:rFonts w:ascii="Cambria" w:eastAsia="Calibri" w:hAnsi="Cambria" w:cs="Calibri"/>
        </w:rPr>
        <w:t>t</w:t>
      </w:r>
      <w:r w:rsidRPr="009A0DA6">
        <w:rPr>
          <w:rFonts w:ascii="Cambria" w:eastAsia="Calibri" w:hAnsi="Cambria" w:cs="Calibri"/>
          <w:spacing w:val="1"/>
        </w:rPr>
        <w:t>h</w:t>
      </w:r>
      <w:r w:rsidRPr="009A0DA6">
        <w:rPr>
          <w:rFonts w:ascii="Cambria" w:eastAsia="Calibri" w:hAnsi="Cambria" w:cs="Calibri"/>
        </w:rPr>
        <w:t xml:space="preserve">is </w:t>
      </w:r>
      <w:r w:rsidRPr="009A0DA6">
        <w:rPr>
          <w:rFonts w:ascii="Cambria" w:eastAsia="Calibri" w:hAnsi="Cambria" w:cs="Calibri"/>
          <w:spacing w:val="1"/>
        </w:rPr>
        <w:t>p</w:t>
      </w:r>
      <w:r w:rsidRPr="009A0DA6">
        <w:rPr>
          <w:rFonts w:ascii="Cambria" w:eastAsia="Calibri" w:hAnsi="Cambria" w:cs="Calibri"/>
        </w:rPr>
        <w:t>r</w:t>
      </w:r>
      <w:r w:rsidRPr="009A0DA6">
        <w:rPr>
          <w:rFonts w:ascii="Cambria" w:eastAsia="Calibri" w:hAnsi="Cambria" w:cs="Calibri"/>
          <w:spacing w:val="1"/>
        </w:rPr>
        <w:t>oh</w:t>
      </w:r>
      <w:r w:rsidRPr="009A0DA6">
        <w:rPr>
          <w:rFonts w:ascii="Cambria" w:eastAsia="Calibri" w:hAnsi="Cambria" w:cs="Calibri"/>
        </w:rPr>
        <w:t>i</w:t>
      </w:r>
      <w:r w:rsidRPr="009A0DA6">
        <w:rPr>
          <w:rFonts w:ascii="Cambria" w:eastAsia="Calibri" w:hAnsi="Cambria" w:cs="Calibri"/>
          <w:spacing w:val="1"/>
        </w:rPr>
        <w:t>b</w:t>
      </w:r>
      <w:r w:rsidRPr="009A0DA6">
        <w:rPr>
          <w:rFonts w:ascii="Cambria" w:eastAsia="Calibri" w:hAnsi="Cambria" w:cs="Calibri"/>
        </w:rPr>
        <w:t>iti</w:t>
      </w:r>
      <w:r w:rsidRPr="009A0DA6">
        <w:rPr>
          <w:rFonts w:ascii="Cambria" w:eastAsia="Calibri" w:hAnsi="Cambria" w:cs="Calibri"/>
          <w:spacing w:val="1"/>
        </w:rPr>
        <w:t>on</w:t>
      </w:r>
      <w:r w:rsidRPr="009A0DA6">
        <w:rPr>
          <w:rFonts w:ascii="Cambria" w:eastAsia="Calibri" w:hAnsi="Cambria" w:cs="Calibri"/>
          <w:spacing w:val="-1"/>
        </w:rPr>
        <w:t>.</w:t>
      </w:r>
      <w:r w:rsidRPr="009A0DA6">
        <w:rPr>
          <w:rStyle w:val="FootnoteReference"/>
          <w:rFonts w:ascii="Cambria" w:eastAsia="Calibri" w:hAnsi="Cambria" w:cs="Calibri"/>
          <w:spacing w:val="-1"/>
        </w:rPr>
        <w:footnoteReference w:id="16"/>
      </w:r>
      <w:r w:rsidRPr="009A0DA6">
        <w:rPr>
          <w:rFonts w:ascii="Cambria" w:eastAsia="Calibri" w:hAnsi="Cambria" w:cs="Calibri"/>
          <w:spacing w:val="14"/>
          <w:position w:val="7"/>
        </w:rPr>
        <w:t xml:space="preserve"> </w:t>
      </w:r>
      <w:r w:rsidRPr="009A0DA6">
        <w:rPr>
          <w:rFonts w:ascii="Cambria" w:eastAsia="Calibri" w:hAnsi="Cambria" w:cs="Calibri"/>
          <w:spacing w:val="-1"/>
        </w:rPr>
        <w:t>T</w:t>
      </w:r>
      <w:r w:rsidRPr="009A0DA6">
        <w:rPr>
          <w:rFonts w:ascii="Cambria" w:eastAsia="Calibri" w:hAnsi="Cambria" w:cs="Calibri"/>
          <w:spacing w:val="3"/>
        </w:rPr>
        <w:t>h</w:t>
      </w:r>
      <w:r w:rsidRPr="009A0DA6">
        <w:rPr>
          <w:rFonts w:ascii="Cambria" w:eastAsia="Calibri" w:hAnsi="Cambria" w:cs="Calibri"/>
          <w:spacing w:val="-1"/>
        </w:rPr>
        <w:t>e</w:t>
      </w:r>
      <w:r w:rsidRPr="009A0DA6">
        <w:rPr>
          <w:rFonts w:ascii="Cambria" w:eastAsia="Calibri" w:hAnsi="Cambria" w:cs="Calibri"/>
          <w:spacing w:val="1"/>
        </w:rPr>
        <w:t>s</w:t>
      </w:r>
      <w:r w:rsidRPr="009A0DA6">
        <w:rPr>
          <w:rFonts w:ascii="Cambria" w:eastAsia="Calibri" w:hAnsi="Cambria" w:cs="Calibri"/>
        </w:rPr>
        <w:t>e</w:t>
      </w:r>
      <w:r w:rsidRPr="009A0DA6">
        <w:rPr>
          <w:rFonts w:ascii="Cambria" w:eastAsia="Calibri" w:hAnsi="Cambria" w:cs="Calibri"/>
          <w:spacing w:val="3"/>
        </w:rPr>
        <w:t xml:space="preserve"> </w:t>
      </w:r>
      <w:r w:rsidRPr="009A0DA6">
        <w:rPr>
          <w:rFonts w:ascii="Cambria" w:eastAsia="Calibri" w:hAnsi="Cambria" w:cs="Calibri"/>
          <w:spacing w:val="2"/>
        </w:rPr>
        <w:t>r</w:t>
      </w:r>
      <w:r w:rsidRPr="009A0DA6">
        <w:rPr>
          <w:rFonts w:ascii="Cambria" w:eastAsia="Calibri" w:hAnsi="Cambria" w:cs="Calibri"/>
          <w:spacing w:val="-1"/>
        </w:rPr>
        <w:t>e</w:t>
      </w:r>
      <w:r w:rsidRPr="009A0DA6">
        <w:rPr>
          <w:rFonts w:ascii="Cambria" w:eastAsia="Calibri" w:hAnsi="Cambria" w:cs="Calibri"/>
        </w:rPr>
        <w:t>aso</w:t>
      </w:r>
      <w:r w:rsidRPr="009A0DA6">
        <w:rPr>
          <w:rFonts w:ascii="Cambria" w:eastAsia="Calibri" w:hAnsi="Cambria" w:cs="Calibri"/>
          <w:spacing w:val="1"/>
        </w:rPr>
        <w:t>n</w:t>
      </w:r>
      <w:r w:rsidRPr="009A0DA6">
        <w:rPr>
          <w:rFonts w:ascii="Cambria" w:eastAsia="Calibri" w:hAnsi="Cambria" w:cs="Calibri"/>
        </w:rPr>
        <w:t>s</w:t>
      </w:r>
      <w:r w:rsidRPr="009A0DA6">
        <w:rPr>
          <w:rFonts w:ascii="Cambria" w:eastAsia="Calibri" w:hAnsi="Cambria" w:cs="Calibri"/>
          <w:spacing w:val="3"/>
        </w:rPr>
        <w:t xml:space="preserve"> a</w:t>
      </w:r>
      <w:r w:rsidRPr="009A0DA6">
        <w:rPr>
          <w:rFonts w:ascii="Cambria" w:eastAsia="Calibri" w:hAnsi="Cambria" w:cs="Calibri"/>
        </w:rPr>
        <w:t>re</w:t>
      </w:r>
      <w:r w:rsidRPr="009A0DA6">
        <w:rPr>
          <w:rFonts w:ascii="Cambria" w:eastAsia="Calibri" w:hAnsi="Cambria" w:cs="Calibri"/>
          <w:spacing w:val="5"/>
        </w:rPr>
        <w:t xml:space="preserve"> </w:t>
      </w:r>
      <w:r w:rsidRPr="009A0DA6">
        <w:rPr>
          <w:rFonts w:ascii="Cambria" w:eastAsia="Calibri" w:hAnsi="Cambria" w:cs="Calibri"/>
          <w:spacing w:val="1"/>
        </w:rPr>
        <w:t>n</w:t>
      </w:r>
      <w:r w:rsidRPr="009A0DA6">
        <w:rPr>
          <w:rFonts w:ascii="Cambria" w:eastAsia="Calibri" w:hAnsi="Cambria" w:cs="Calibri"/>
          <w:spacing w:val="-1"/>
        </w:rPr>
        <w:t>e</w:t>
      </w:r>
      <w:r w:rsidRPr="009A0DA6">
        <w:rPr>
          <w:rFonts w:ascii="Cambria" w:eastAsia="Calibri" w:hAnsi="Cambria" w:cs="Calibri"/>
        </w:rPr>
        <w:t>it</w:t>
      </w:r>
      <w:r w:rsidRPr="009A0DA6">
        <w:rPr>
          <w:rFonts w:ascii="Cambria" w:eastAsia="Calibri" w:hAnsi="Cambria" w:cs="Calibri"/>
          <w:spacing w:val="1"/>
        </w:rPr>
        <w:t>h</w:t>
      </w:r>
      <w:r w:rsidRPr="009A0DA6">
        <w:rPr>
          <w:rFonts w:ascii="Cambria" w:eastAsia="Calibri" w:hAnsi="Cambria" w:cs="Calibri"/>
          <w:spacing w:val="-1"/>
        </w:rPr>
        <w:t>e</w:t>
      </w:r>
      <w:r w:rsidRPr="009A0DA6">
        <w:rPr>
          <w:rFonts w:ascii="Cambria" w:eastAsia="Calibri" w:hAnsi="Cambria" w:cs="Calibri"/>
        </w:rPr>
        <w:t>r</w:t>
      </w:r>
      <w:r w:rsidRPr="009A0DA6">
        <w:rPr>
          <w:rFonts w:ascii="Cambria" w:eastAsia="Calibri" w:hAnsi="Cambria" w:cs="Calibri"/>
          <w:spacing w:val="5"/>
        </w:rPr>
        <w:t xml:space="preserve"> </w:t>
      </w:r>
      <w:r w:rsidRPr="009A0DA6">
        <w:rPr>
          <w:rFonts w:ascii="Cambria" w:eastAsia="Calibri" w:hAnsi="Cambria" w:cs="Calibri"/>
        </w:rPr>
        <w:t>ti</w:t>
      </w:r>
      <w:r w:rsidRPr="009A0DA6">
        <w:rPr>
          <w:rFonts w:ascii="Cambria" w:eastAsia="Calibri" w:hAnsi="Cambria" w:cs="Calibri"/>
          <w:spacing w:val="2"/>
        </w:rPr>
        <w:t>m</w:t>
      </w:r>
      <w:r w:rsidRPr="009A0DA6">
        <w:rPr>
          <w:rFonts w:ascii="Cambria" w:eastAsia="Calibri" w:hAnsi="Cambria" w:cs="Calibri"/>
          <w:spacing w:val="3"/>
        </w:rPr>
        <w:t>e</w:t>
      </w:r>
      <w:r w:rsidRPr="009A0DA6">
        <w:rPr>
          <w:rFonts w:ascii="Cambria" w:eastAsia="Calibri" w:hAnsi="Cambria" w:cs="Calibri"/>
          <w:spacing w:val="-1"/>
        </w:rPr>
        <w:t>-</w:t>
      </w:r>
      <w:r w:rsidRPr="009A0DA6">
        <w:rPr>
          <w:rFonts w:ascii="Cambria" w:eastAsia="Calibri" w:hAnsi="Cambria" w:cs="Calibri"/>
          <w:spacing w:val="1"/>
        </w:rPr>
        <w:t>b</w:t>
      </w:r>
      <w:r w:rsidRPr="009A0DA6">
        <w:rPr>
          <w:rFonts w:ascii="Cambria" w:eastAsia="Calibri" w:hAnsi="Cambria" w:cs="Calibri"/>
        </w:rPr>
        <w:t>o</w:t>
      </w:r>
      <w:r w:rsidRPr="009A0DA6">
        <w:rPr>
          <w:rFonts w:ascii="Cambria" w:eastAsia="Calibri" w:hAnsi="Cambria" w:cs="Calibri"/>
          <w:spacing w:val="1"/>
        </w:rPr>
        <w:t>un</w:t>
      </w:r>
      <w:r w:rsidRPr="009A0DA6">
        <w:rPr>
          <w:rFonts w:ascii="Cambria" w:eastAsia="Calibri" w:hAnsi="Cambria" w:cs="Calibri"/>
        </w:rPr>
        <w:t xml:space="preserve">d </w:t>
      </w:r>
      <w:r w:rsidRPr="009A0DA6">
        <w:rPr>
          <w:rFonts w:ascii="Cambria" w:eastAsia="Calibri" w:hAnsi="Cambria" w:cs="Calibri"/>
          <w:spacing w:val="2"/>
        </w:rPr>
        <w:t>n</w:t>
      </w:r>
      <w:r w:rsidRPr="009A0DA6">
        <w:rPr>
          <w:rFonts w:ascii="Cambria" w:eastAsia="Calibri" w:hAnsi="Cambria" w:cs="Calibri"/>
        </w:rPr>
        <w:t>or</w:t>
      </w:r>
      <w:r w:rsidRPr="009A0DA6">
        <w:rPr>
          <w:rFonts w:ascii="Cambria" w:eastAsia="Calibri" w:hAnsi="Cambria" w:cs="Calibri"/>
          <w:spacing w:val="8"/>
        </w:rPr>
        <w:t xml:space="preserve"> </w:t>
      </w:r>
      <w:r w:rsidRPr="009A0DA6">
        <w:rPr>
          <w:rFonts w:ascii="Cambria" w:eastAsia="Calibri" w:hAnsi="Cambria" w:cs="Calibri"/>
        </w:rPr>
        <w:t>c</w:t>
      </w:r>
      <w:r w:rsidRPr="009A0DA6">
        <w:rPr>
          <w:rFonts w:ascii="Cambria" w:eastAsia="Calibri" w:hAnsi="Cambria" w:cs="Calibri"/>
          <w:spacing w:val="1"/>
        </w:rPr>
        <w:t>u</w:t>
      </w:r>
      <w:r w:rsidRPr="009A0DA6">
        <w:rPr>
          <w:rFonts w:ascii="Cambria" w:eastAsia="Calibri" w:hAnsi="Cambria" w:cs="Calibri"/>
        </w:rPr>
        <w:t>lt</w:t>
      </w:r>
      <w:r w:rsidRPr="009A0DA6">
        <w:rPr>
          <w:rFonts w:ascii="Cambria" w:eastAsia="Calibri" w:hAnsi="Cambria" w:cs="Calibri"/>
          <w:spacing w:val="1"/>
        </w:rPr>
        <w:t>u</w:t>
      </w:r>
      <w:r w:rsidRPr="009A0DA6">
        <w:rPr>
          <w:rFonts w:ascii="Cambria" w:eastAsia="Calibri" w:hAnsi="Cambria" w:cs="Calibri"/>
        </w:rPr>
        <w:t>rally</w:t>
      </w:r>
      <w:r w:rsidRPr="009A0DA6">
        <w:rPr>
          <w:rFonts w:ascii="Cambria" w:eastAsia="Calibri" w:hAnsi="Cambria" w:cs="Calibri"/>
          <w:spacing w:val="2"/>
        </w:rPr>
        <w:t xml:space="preserve"> </w:t>
      </w:r>
      <w:r w:rsidRPr="009A0DA6">
        <w:rPr>
          <w:rFonts w:ascii="Cambria" w:eastAsia="Calibri" w:hAnsi="Cambria" w:cs="Calibri"/>
        </w:rPr>
        <w:t>r</w:t>
      </w:r>
      <w:r w:rsidRPr="009A0DA6">
        <w:rPr>
          <w:rFonts w:ascii="Cambria" w:eastAsia="Calibri" w:hAnsi="Cambria" w:cs="Calibri"/>
          <w:spacing w:val="-1"/>
        </w:rPr>
        <w:t>e</w:t>
      </w:r>
      <w:r w:rsidRPr="009A0DA6">
        <w:rPr>
          <w:rFonts w:ascii="Cambria" w:eastAsia="Calibri" w:hAnsi="Cambria" w:cs="Calibri"/>
        </w:rPr>
        <w:t>la</w:t>
      </w:r>
      <w:r w:rsidRPr="009A0DA6">
        <w:rPr>
          <w:rFonts w:ascii="Cambria" w:eastAsia="Calibri" w:hAnsi="Cambria" w:cs="Calibri"/>
          <w:spacing w:val="1"/>
        </w:rPr>
        <w:t>t</w:t>
      </w:r>
      <w:r w:rsidRPr="009A0DA6">
        <w:rPr>
          <w:rFonts w:ascii="Cambria" w:eastAsia="Calibri" w:hAnsi="Cambria" w:cs="Calibri"/>
        </w:rPr>
        <w:t>i</w:t>
      </w:r>
      <w:r w:rsidRPr="009A0DA6">
        <w:rPr>
          <w:rFonts w:ascii="Cambria" w:eastAsia="Calibri" w:hAnsi="Cambria" w:cs="Calibri"/>
          <w:spacing w:val="1"/>
        </w:rPr>
        <w:t>v</w:t>
      </w:r>
      <w:r w:rsidRPr="009A0DA6">
        <w:rPr>
          <w:rFonts w:ascii="Cambria" w:eastAsia="Calibri" w:hAnsi="Cambria" w:cs="Calibri"/>
          <w:spacing w:val="-1"/>
        </w:rPr>
        <w:t>e</w:t>
      </w:r>
      <w:r w:rsidRPr="009A0DA6">
        <w:rPr>
          <w:rFonts w:ascii="Cambria" w:eastAsia="Calibri" w:hAnsi="Cambria" w:cs="Calibri"/>
        </w:rPr>
        <w:t>.</w:t>
      </w:r>
      <w:r w:rsidRPr="009A0DA6">
        <w:rPr>
          <w:rFonts w:ascii="Cambria" w:eastAsia="Calibri" w:hAnsi="Cambria" w:cs="Calibri"/>
          <w:spacing w:val="5"/>
        </w:rPr>
        <w:t xml:space="preserve">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spacing w:val="-1"/>
        </w:rPr>
        <w:t>e</w:t>
      </w:r>
      <w:r w:rsidRPr="009A0DA6">
        <w:rPr>
          <w:rFonts w:ascii="Cambria" w:eastAsia="Calibri" w:hAnsi="Cambria" w:cs="Calibri"/>
          <w:spacing w:val="2"/>
        </w:rPr>
        <w:t>r</w:t>
      </w:r>
      <w:r w:rsidRPr="009A0DA6">
        <w:rPr>
          <w:rFonts w:ascii="Cambria" w:eastAsia="Calibri" w:hAnsi="Cambria" w:cs="Calibri"/>
          <w:spacing w:val="-1"/>
        </w:rPr>
        <w:t>ef</w:t>
      </w:r>
      <w:r w:rsidRPr="009A0DA6">
        <w:rPr>
          <w:rFonts w:ascii="Cambria" w:eastAsia="Calibri" w:hAnsi="Cambria" w:cs="Calibri"/>
        </w:rPr>
        <w:t>ore</w:t>
      </w:r>
      <w:r w:rsidRPr="009A0DA6">
        <w:rPr>
          <w:rFonts w:ascii="Cambria" w:eastAsia="Calibri" w:hAnsi="Cambria" w:cs="Calibri"/>
          <w:spacing w:val="3"/>
        </w:rPr>
        <w:t xml:space="preserve"> </w:t>
      </w:r>
      <w:r w:rsidRPr="009A0DA6">
        <w:rPr>
          <w:rFonts w:ascii="Cambria" w:eastAsia="Calibri" w:hAnsi="Cambria" w:cs="Calibri"/>
        </w:rPr>
        <w:t>o</w:t>
      </w:r>
      <w:r w:rsidRPr="009A0DA6">
        <w:rPr>
          <w:rFonts w:ascii="Cambria" w:eastAsia="Calibri" w:hAnsi="Cambria" w:cs="Calibri"/>
          <w:spacing w:val="1"/>
        </w:rPr>
        <w:t>n</w:t>
      </w:r>
      <w:r w:rsidRPr="009A0DA6">
        <w:rPr>
          <w:rFonts w:ascii="Cambria" w:eastAsia="Calibri" w:hAnsi="Cambria" w:cs="Calibri"/>
        </w:rPr>
        <w:t>e</w:t>
      </w:r>
      <w:r w:rsidRPr="009A0DA6">
        <w:rPr>
          <w:rFonts w:ascii="Cambria" w:eastAsia="Calibri" w:hAnsi="Cambria" w:cs="Calibri"/>
          <w:spacing w:val="4"/>
        </w:rPr>
        <w:t xml:space="preserve"> </w:t>
      </w:r>
      <w:r w:rsidRPr="009A0DA6">
        <w:rPr>
          <w:rFonts w:ascii="Cambria" w:eastAsia="Calibri" w:hAnsi="Cambria" w:cs="Calibri"/>
        </w:rPr>
        <w:t>ca</w:t>
      </w:r>
      <w:r w:rsidRPr="009A0DA6">
        <w:rPr>
          <w:rFonts w:ascii="Cambria" w:eastAsia="Calibri" w:hAnsi="Cambria" w:cs="Calibri"/>
          <w:spacing w:val="1"/>
        </w:rPr>
        <w:t>nn</w:t>
      </w:r>
      <w:r w:rsidRPr="009A0DA6">
        <w:rPr>
          <w:rFonts w:ascii="Cambria" w:eastAsia="Calibri" w:hAnsi="Cambria" w:cs="Calibri"/>
        </w:rPr>
        <w:t>ot</w:t>
      </w:r>
      <w:r w:rsidRPr="009A0DA6">
        <w:rPr>
          <w:rFonts w:ascii="Cambria" w:eastAsia="Calibri" w:hAnsi="Cambria" w:cs="Calibri"/>
          <w:spacing w:val="3"/>
        </w:rPr>
        <w:t xml:space="preserve"> </w:t>
      </w:r>
      <w:r w:rsidRPr="009A0DA6">
        <w:rPr>
          <w:rFonts w:ascii="Cambria" w:eastAsia="Calibri" w:hAnsi="Cambria" w:cs="Calibri"/>
        </w:rPr>
        <w:t>arg</w:t>
      </w:r>
      <w:r w:rsidRPr="009A0DA6">
        <w:rPr>
          <w:rFonts w:ascii="Cambria" w:eastAsia="Calibri" w:hAnsi="Cambria" w:cs="Calibri"/>
          <w:spacing w:val="1"/>
        </w:rPr>
        <w:t>u</w:t>
      </w:r>
      <w:r w:rsidRPr="009A0DA6">
        <w:rPr>
          <w:rFonts w:ascii="Cambria" w:eastAsia="Calibri" w:hAnsi="Cambria" w:cs="Calibri"/>
        </w:rPr>
        <w:t>e</w:t>
      </w:r>
      <w:r w:rsidRPr="009A0DA6">
        <w:rPr>
          <w:rFonts w:ascii="Cambria" w:eastAsia="Calibri" w:hAnsi="Cambria" w:cs="Calibri"/>
          <w:spacing w:val="6"/>
        </w:rPr>
        <w:t xml:space="preserve"> </w:t>
      </w:r>
      <w:r w:rsidRPr="009A0DA6">
        <w:rPr>
          <w:rFonts w:ascii="Cambria" w:eastAsia="Calibri" w:hAnsi="Cambria" w:cs="Calibri"/>
        </w:rPr>
        <w:t>t</w:t>
      </w:r>
      <w:r w:rsidRPr="009A0DA6">
        <w:rPr>
          <w:rFonts w:ascii="Cambria" w:eastAsia="Calibri" w:hAnsi="Cambria" w:cs="Calibri"/>
          <w:spacing w:val="1"/>
        </w:rPr>
        <w:t>h</w:t>
      </w:r>
      <w:r w:rsidRPr="009A0DA6">
        <w:rPr>
          <w:rFonts w:ascii="Cambria" w:eastAsia="Calibri" w:hAnsi="Cambria" w:cs="Calibri"/>
        </w:rPr>
        <w:t>at</w:t>
      </w:r>
      <w:r w:rsidRPr="009A0DA6">
        <w:rPr>
          <w:rFonts w:ascii="Cambria" w:eastAsia="Calibri" w:hAnsi="Cambria" w:cs="Calibri"/>
          <w:spacing w:val="6"/>
        </w:rPr>
        <w:t xml:space="preserve"> </w:t>
      </w:r>
      <w:r w:rsidRPr="009A0DA6">
        <w:rPr>
          <w:rFonts w:ascii="Cambria" w:eastAsia="Calibri" w:hAnsi="Cambria" w:cs="Calibri"/>
        </w:rPr>
        <w:t>t</w:t>
      </w:r>
      <w:r w:rsidRPr="009A0DA6">
        <w:rPr>
          <w:rFonts w:ascii="Cambria" w:eastAsia="Calibri" w:hAnsi="Cambria" w:cs="Calibri"/>
          <w:spacing w:val="1"/>
        </w:rPr>
        <w:t>h</w:t>
      </w:r>
      <w:r w:rsidRPr="009A0DA6">
        <w:rPr>
          <w:rFonts w:ascii="Cambria" w:eastAsia="Calibri" w:hAnsi="Cambria" w:cs="Calibri"/>
        </w:rPr>
        <w:t xml:space="preserve">is </w:t>
      </w:r>
      <w:r w:rsidRPr="009A0DA6">
        <w:rPr>
          <w:rFonts w:ascii="Cambria" w:eastAsia="Calibri" w:hAnsi="Cambria" w:cs="Calibri"/>
          <w:spacing w:val="1"/>
        </w:rPr>
        <w:t>p</w:t>
      </w:r>
      <w:r w:rsidRPr="009A0DA6">
        <w:rPr>
          <w:rFonts w:ascii="Cambria" w:eastAsia="Calibri" w:hAnsi="Cambria" w:cs="Calibri"/>
        </w:rPr>
        <w:t>r</w:t>
      </w:r>
      <w:r w:rsidRPr="009A0DA6">
        <w:rPr>
          <w:rFonts w:ascii="Cambria" w:eastAsia="Calibri" w:hAnsi="Cambria" w:cs="Calibri"/>
          <w:spacing w:val="1"/>
        </w:rPr>
        <w:t>oh</w:t>
      </w:r>
      <w:r w:rsidRPr="009A0DA6">
        <w:rPr>
          <w:rFonts w:ascii="Cambria" w:eastAsia="Calibri" w:hAnsi="Cambria" w:cs="Calibri"/>
        </w:rPr>
        <w:t>i</w:t>
      </w:r>
      <w:r w:rsidRPr="009A0DA6">
        <w:rPr>
          <w:rFonts w:ascii="Cambria" w:eastAsia="Calibri" w:hAnsi="Cambria" w:cs="Calibri"/>
          <w:spacing w:val="1"/>
        </w:rPr>
        <w:t>b</w:t>
      </w:r>
      <w:r w:rsidRPr="009A0DA6">
        <w:rPr>
          <w:rFonts w:ascii="Cambria" w:eastAsia="Calibri" w:hAnsi="Cambria" w:cs="Calibri"/>
        </w:rPr>
        <w:t>iti</w:t>
      </w:r>
      <w:r w:rsidRPr="009A0DA6">
        <w:rPr>
          <w:rFonts w:ascii="Cambria" w:eastAsia="Calibri" w:hAnsi="Cambria" w:cs="Calibri"/>
          <w:spacing w:val="1"/>
        </w:rPr>
        <w:t>o</w:t>
      </w:r>
      <w:r w:rsidRPr="009A0DA6">
        <w:rPr>
          <w:rFonts w:ascii="Cambria" w:eastAsia="Calibri" w:hAnsi="Cambria" w:cs="Calibri"/>
        </w:rPr>
        <w:t>n</w:t>
      </w:r>
      <w:r w:rsidRPr="009A0DA6">
        <w:rPr>
          <w:rFonts w:ascii="Cambria" w:eastAsia="Calibri" w:hAnsi="Cambria" w:cs="Calibri"/>
          <w:spacing w:val="-8"/>
        </w:rPr>
        <w:t xml:space="preserve"> </w:t>
      </w:r>
      <w:r w:rsidRPr="009A0DA6">
        <w:rPr>
          <w:rFonts w:ascii="Cambria" w:eastAsia="Calibri" w:hAnsi="Cambria" w:cs="Calibri"/>
          <w:spacing w:val="1"/>
        </w:rPr>
        <w:t>n</w:t>
      </w:r>
      <w:r w:rsidRPr="009A0DA6">
        <w:rPr>
          <w:rFonts w:ascii="Cambria" w:eastAsia="Calibri" w:hAnsi="Cambria" w:cs="Calibri"/>
        </w:rPr>
        <w:t>o</w:t>
      </w:r>
      <w:r w:rsidRPr="009A0DA6">
        <w:rPr>
          <w:rFonts w:ascii="Cambria" w:eastAsia="Calibri" w:hAnsi="Cambria" w:cs="Calibri"/>
          <w:spacing w:val="-2"/>
        </w:rPr>
        <w:t xml:space="preserve"> </w:t>
      </w:r>
      <w:r w:rsidRPr="009A0DA6">
        <w:rPr>
          <w:rFonts w:ascii="Cambria" w:eastAsia="Calibri" w:hAnsi="Cambria" w:cs="Calibri"/>
        </w:rPr>
        <w:t>l</w:t>
      </w:r>
      <w:r w:rsidRPr="009A0DA6">
        <w:rPr>
          <w:rFonts w:ascii="Cambria" w:eastAsia="Calibri" w:hAnsi="Cambria" w:cs="Calibri"/>
          <w:spacing w:val="1"/>
        </w:rPr>
        <w:t>on</w:t>
      </w:r>
      <w:r w:rsidRPr="009A0DA6">
        <w:rPr>
          <w:rFonts w:ascii="Cambria" w:eastAsia="Calibri" w:hAnsi="Cambria" w:cs="Calibri"/>
        </w:rPr>
        <w:t>g</w:t>
      </w:r>
      <w:r w:rsidRPr="009A0DA6">
        <w:rPr>
          <w:rFonts w:ascii="Cambria" w:eastAsia="Calibri" w:hAnsi="Cambria" w:cs="Calibri"/>
          <w:spacing w:val="-1"/>
        </w:rPr>
        <w:t>e</w:t>
      </w:r>
      <w:r w:rsidRPr="009A0DA6">
        <w:rPr>
          <w:rFonts w:ascii="Cambria" w:eastAsia="Calibri" w:hAnsi="Cambria" w:cs="Calibri"/>
        </w:rPr>
        <w:t>r</w:t>
      </w:r>
      <w:r w:rsidRPr="009A0DA6">
        <w:rPr>
          <w:rFonts w:ascii="Cambria" w:eastAsia="Calibri" w:hAnsi="Cambria" w:cs="Calibri"/>
          <w:spacing w:val="-5"/>
        </w:rPr>
        <w:t xml:space="preserve"> </w:t>
      </w:r>
      <w:r w:rsidRPr="009A0DA6">
        <w:rPr>
          <w:rFonts w:ascii="Cambria" w:eastAsia="Calibri" w:hAnsi="Cambria" w:cs="Calibri"/>
        </w:rPr>
        <w:t>a</w:t>
      </w:r>
      <w:r w:rsidRPr="009A0DA6">
        <w:rPr>
          <w:rFonts w:ascii="Cambria" w:eastAsia="Calibri" w:hAnsi="Cambria" w:cs="Calibri"/>
          <w:spacing w:val="1"/>
        </w:rPr>
        <w:t>pp</w:t>
      </w:r>
      <w:r w:rsidRPr="009A0DA6">
        <w:rPr>
          <w:rFonts w:ascii="Cambria" w:eastAsia="Calibri" w:hAnsi="Cambria" w:cs="Calibri"/>
        </w:rPr>
        <w:t>li</w:t>
      </w:r>
      <w:r w:rsidRPr="009A0DA6">
        <w:rPr>
          <w:rFonts w:ascii="Cambria" w:eastAsia="Calibri" w:hAnsi="Cambria" w:cs="Calibri"/>
          <w:spacing w:val="-1"/>
        </w:rPr>
        <w:t>e</w:t>
      </w:r>
      <w:r w:rsidRPr="009A0DA6">
        <w:rPr>
          <w:rFonts w:ascii="Cambria" w:eastAsia="Calibri" w:hAnsi="Cambria" w:cs="Calibri"/>
        </w:rPr>
        <w:t>s</w:t>
      </w:r>
      <w:r w:rsidRPr="009A0DA6">
        <w:rPr>
          <w:rFonts w:ascii="Cambria" w:eastAsia="Calibri" w:hAnsi="Cambria" w:cs="Calibri"/>
          <w:spacing w:val="-7"/>
        </w:rPr>
        <w:t xml:space="preserve"> </w:t>
      </w:r>
      <w:r w:rsidRPr="009A0DA6">
        <w:rPr>
          <w:rFonts w:ascii="Cambria" w:eastAsia="Calibri" w:hAnsi="Cambria" w:cs="Calibri"/>
          <w:spacing w:val="1"/>
        </w:rPr>
        <w:t>t</w:t>
      </w:r>
      <w:r w:rsidRPr="009A0DA6">
        <w:rPr>
          <w:rFonts w:ascii="Cambria" w:eastAsia="Calibri" w:hAnsi="Cambria" w:cs="Calibri"/>
        </w:rPr>
        <w:t>o</w:t>
      </w:r>
      <w:r w:rsidRPr="009A0DA6">
        <w:rPr>
          <w:rFonts w:ascii="Cambria" w:eastAsia="Calibri" w:hAnsi="Cambria" w:cs="Calibri"/>
          <w:spacing w:val="-2"/>
        </w:rPr>
        <w:t xml:space="preserve"> </w:t>
      </w:r>
      <w:r w:rsidRPr="009A0DA6">
        <w:rPr>
          <w:rFonts w:ascii="Cambria" w:eastAsia="Calibri" w:hAnsi="Cambria" w:cs="Calibri"/>
          <w:spacing w:val="1"/>
        </w:rPr>
        <w:t>u</w:t>
      </w:r>
      <w:r w:rsidRPr="009A0DA6">
        <w:rPr>
          <w:rFonts w:ascii="Cambria" w:eastAsia="Calibri" w:hAnsi="Cambria" w:cs="Calibri"/>
        </w:rPr>
        <w:t>s</w:t>
      </w:r>
      <w:r w:rsidRPr="009A0DA6">
        <w:rPr>
          <w:rFonts w:ascii="Cambria" w:eastAsia="Calibri" w:hAnsi="Cambria" w:cs="Calibri"/>
          <w:spacing w:val="-3"/>
        </w:rPr>
        <w:t xml:space="preserve"> </w:t>
      </w:r>
      <w:r w:rsidRPr="009A0DA6">
        <w:rPr>
          <w:rFonts w:ascii="Cambria" w:eastAsia="Calibri" w:hAnsi="Cambria" w:cs="Calibri"/>
          <w:spacing w:val="1"/>
        </w:rPr>
        <w:t>t</w:t>
      </w:r>
      <w:r w:rsidRPr="009A0DA6">
        <w:rPr>
          <w:rFonts w:ascii="Cambria" w:eastAsia="Calibri" w:hAnsi="Cambria" w:cs="Calibri"/>
        </w:rPr>
        <w:t>o</w:t>
      </w:r>
      <w:r w:rsidRPr="009A0DA6">
        <w:rPr>
          <w:rFonts w:ascii="Cambria" w:eastAsia="Calibri" w:hAnsi="Cambria" w:cs="Calibri"/>
          <w:spacing w:val="1"/>
        </w:rPr>
        <w:t>d</w:t>
      </w:r>
      <w:r w:rsidRPr="009A0DA6">
        <w:rPr>
          <w:rFonts w:ascii="Cambria" w:eastAsia="Calibri" w:hAnsi="Cambria" w:cs="Calibri"/>
        </w:rPr>
        <w:t>ay</w:t>
      </w:r>
      <w:r w:rsidRPr="009A0DA6">
        <w:rPr>
          <w:rFonts w:ascii="Cambria" w:eastAsia="Calibri" w:hAnsi="Cambria" w:cs="Calibri"/>
          <w:spacing w:val="-4"/>
        </w:rPr>
        <w:t xml:space="preserve"> </w:t>
      </w:r>
      <w:r w:rsidRPr="009A0DA6">
        <w:rPr>
          <w:rFonts w:ascii="Cambria" w:eastAsia="Calibri" w:hAnsi="Cambria" w:cs="Calibri"/>
          <w:spacing w:val="1"/>
        </w:rPr>
        <w:t>un</w:t>
      </w:r>
      <w:r w:rsidRPr="009A0DA6">
        <w:rPr>
          <w:rFonts w:ascii="Cambria" w:eastAsia="Calibri" w:hAnsi="Cambria" w:cs="Calibri"/>
        </w:rPr>
        <w:t>l</w:t>
      </w:r>
      <w:r w:rsidRPr="009A0DA6">
        <w:rPr>
          <w:rFonts w:ascii="Cambria" w:eastAsia="Calibri" w:hAnsi="Cambria" w:cs="Calibri"/>
          <w:spacing w:val="-1"/>
        </w:rPr>
        <w:t>es</w:t>
      </w:r>
      <w:r w:rsidRPr="009A0DA6">
        <w:rPr>
          <w:rFonts w:ascii="Cambria" w:eastAsia="Calibri" w:hAnsi="Cambria" w:cs="Calibri"/>
        </w:rPr>
        <w:t>s</w:t>
      </w:r>
      <w:r w:rsidRPr="009A0DA6">
        <w:rPr>
          <w:rFonts w:ascii="Cambria" w:eastAsia="Calibri" w:hAnsi="Cambria" w:cs="Calibri"/>
          <w:spacing w:val="-6"/>
        </w:rPr>
        <w:t xml:space="preserve"> </w:t>
      </w:r>
      <w:r w:rsidRPr="009A0DA6">
        <w:rPr>
          <w:rFonts w:ascii="Cambria" w:eastAsia="Calibri" w:hAnsi="Cambria" w:cs="Calibri"/>
          <w:spacing w:val="1"/>
        </w:rPr>
        <w:t>on</w:t>
      </w:r>
      <w:r w:rsidRPr="009A0DA6">
        <w:rPr>
          <w:rFonts w:ascii="Cambria" w:eastAsia="Calibri" w:hAnsi="Cambria" w:cs="Calibri"/>
        </w:rPr>
        <w:t>e</w:t>
      </w:r>
      <w:r w:rsidRPr="009A0DA6">
        <w:rPr>
          <w:rFonts w:ascii="Cambria" w:eastAsia="Calibri" w:hAnsi="Cambria" w:cs="Calibri"/>
          <w:spacing w:val="-4"/>
        </w:rPr>
        <w:t xml:space="preserve"> </w:t>
      </w:r>
      <w:r w:rsidRPr="009A0DA6">
        <w:rPr>
          <w:rFonts w:ascii="Cambria" w:eastAsia="Calibri" w:hAnsi="Cambria" w:cs="Calibri"/>
        </w:rPr>
        <w:t>is</w:t>
      </w:r>
      <w:r w:rsidRPr="009A0DA6">
        <w:rPr>
          <w:rFonts w:ascii="Cambria" w:eastAsia="Calibri" w:hAnsi="Cambria" w:cs="Calibri"/>
          <w:spacing w:val="-2"/>
        </w:rPr>
        <w:t xml:space="preserve"> </w:t>
      </w:r>
      <w:r w:rsidRPr="009A0DA6">
        <w:rPr>
          <w:rFonts w:ascii="Cambria" w:eastAsia="Calibri" w:hAnsi="Cambria" w:cs="Calibri"/>
          <w:spacing w:val="2"/>
        </w:rPr>
        <w:t>w</w:t>
      </w:r>
      <w:r w:rsidRPr="009A0DA6">
        <w:rPr>
          <w:rFonts w:ascii="Cambria" w:eastAsia="Calibri" w:hAnsi="Cambria" w:cs="Calibri"/>
        </w:rPr>
        <w:t>ill</w:t>
      </w:r>
      <w:r w:rsidRPr="009A0DA6">
        <w:rPr>
          <w:rFonts w:ascii="Cambria" w:eastAsia="Calibri" w:hAnsi="Cambria" w:cs="Calibri"/>
          <w:spacing w:val="2"/>
        </w:rPr>
        <w:t>i</w:t>
      </w:r>
      <w:r w:rsidRPr="009A0DA6">
        <w:rPr>
          <w:rFonts w:ascii="Cambria" w:eastAsia="Calibri" w:hAnsi="Cambria" w:cs="Calibri"/>
          <w:spacing w:val="1"/>
        </w:rPr>
        <w:t>n</w:t>
      </w:r>
      <w:r w:rsidRPr="009A0DA6">
        <w:rPr>
          <w:rFonts w:ascii="Cambria" w:eastAsia="Calibri" w:hAnsi="Cambria" w:cs="Calibri"/>
        </w:rPr>
        <w:t>g</w:t>
      </w:r>
      <w:r w:rsidRPr="009A0DA6">
        <w:rPr>
          <w:rFonts w:ascii="Cambria" w:eastAsia="Calibri" w:hAnsi="Cambria" w:cs="Calibri"/>
          <w:spacing w:val="-5"/>
        </w:rPr>
        <w:t xml:space="preserve"> </w:t>
      </w:r>
      <w:r w:rsidRPr="009A0DA6">
        <w:rPr>
          <w:rFonts w:ascii="Cambria" w:eastAsia="Calibri" w:hAnsi="Cambria" w:cs="Calibri"/>
          <w:spacing w:val="1"/>
        </w:rPr>
        <w:t>t</w:t>
      </w:r>
      <w:r w:rsidRPr="009A0DA6">
        <w:rPr>
          <w:rFonts w:ascii="Cambria" w:eastAsia="Calibri" w:hAnsi="Cambria" w:cs="Calibri"/>
        </w:rPr>
        <w:t>o</w:t>
      </w:r>
      <w:r w:rsidRPr="009A0DA6">
        <w:rPr>
          <w:rFonts w:ascii="Cambria" w:eastAsia="Calibri" w:hAnsi="Cambria" w:cs="Calibri"/>
          <w:spacing w:val="-2"/>
        </w:rPr>
        <w:t xml:space="preserve"> </w:t>
      </w:r>
      <w:r w:rsidRPr="009A0DA6">
        <w:rPr>
          <w:rFonts w:ascii="Cambria" w:eastAsia="Calibri" w:hAnsi="Cambria" w:cs="Calibri"/>
        </w:rPr>
        <w:t>say</w:t>
      </w:r>
      <w:r w:rsidRPr="009A0DA6">
        <w:rPr>
          <w:rFonts w:ascii="Cambria" w:eastAsia="Calibri" w:hAnsi="Cambria" w:cs="Calibri"/>
          <w:spacing w:val="-2"/>
        </w:rPr>
        <w:t xml:space="preserve"> </w:t>
      </w:r>
      <w:r w:rsidRPr="009A0DA6">
        <w:rPr>
          <w:rFonts w:ascii="Cambria" w:eastAsia="Calibri" w:hAnsi="Cambria" w:cs="Calibri"/>
          <w:spacing w:val="1"/>
        </w:rPr>
        <w:t>th</w:t>
      </w:r>
      <w:r w:rsidRPr="009A0DA6">
        <w:rPr>
          <w:rFonts w:ascii="Cambria" w:eastAsia="Calibri" w:hAnsi="Cambria" w:cs="Calibri"/>
        </w:rPr>
        <w:t>at</w:t>
      </w:r>
      <w:r w:rsidRPr="009A0DA6">
        <w:rPr>
          <w:rFonts w:ascii="Cambria" w:eastAsia="Calibri" w:hAnsi="Cambria" w:cs="Calibri"/>
          <w:spacing w:val="-2"/>
        </w:rPr>
        <w:t xml:space="preserve"> </w:t>
      </w:r>
      <w:r w:rsidRPr="009A0DA6">
        <w:rPr>
          <w:rFonts w:ascii="Cambria" w:eastAsia="Calibri" w:hAnsi="Cambria" w:cs="Calibri"/>
        </w:rPr>
        <w:t>Scri</w:t>
      </w:r>
      <w:r w:rsidRPr="009A0DA6">
        <w:rPr>
          <w:rFonts w:ascii="Cambria" w:eastAsia="Calibri" w:hAnsi="Cambria" w:cs="Calibri"/>
          <w:spacing w:val="1"/>
        </w:rPr>
        <w:t>p</w:t>
      </w:r>
      <w:r w:rsidRPr="009A0DA6">
        <w:rPr>
          <w:rFonts w:ascii="Cambria" w:eastAsia="Calibri" w:hAnsi="Cambria" w:cs="Calibri"/>
        </w:rPr>
        <w:t>t</w:t>
      </w:r>
      <w:r w:rsidRPr="009A0DA6">
        <w:rPr>
          <w:rFonts w:ascii="Cambria" w:eastAsia="Calibri" w:hAnsi="Cambria" w:cs="Calibri"/>
          <w:spacing w:val="1"/>
        </w:rPr>
        <w:t>u</w:t>
      </w:r>
      <w:r w:rsidRPr="009A0DA6">
        <w:rPr>
          <w:rFonts w:ascii="Cambria" w:eastAsia="Calibri" w:hAnsi="Cambria" w:cs="Calibri"/>
        </w:rPr>
        <w:t>re</w:t>
      </w:r>
      <w:r w:rsidRPr="009A0DA6">
        <w:rPr>
          <w:rFonts w:ascii="Cambria" w:eastAsia="Calibri" w:hAnsi="Cambria" w:cs="Calibri"/>
          <w:spacing w:val="-8"/>
        </w:rPr>
        <w:t xml:space="preserve"> </w:t>
      </w:r>
      <w:r w:rsidRPr="009A0DA6">
        <w:rPr>
          <w:rFonts w:ascii="Cambria" w:eastAsia="Calibri" w:hAnsi="Cambria" w:cs="Calibri"/>
        </w:rPr>
        <w:t>errs</w:t>
      </w:r>
      <w:r w:rsidRPr="009A0DA6">
        <w:rPr>
          <w:rFonts w:ascii="Cambria" w:eastAsia="Calibri" w:hAnsi="Cambria" w:cs="Calibri"/>
          <w:spacing w:val="5"/>
        </w:rPr>
        <w:t xml:space="preserve"> </w:t>
      </w:r>
      <w:r w:rsidRPr="009A0DA6">
        <w:rPr>
          <w:rFonts w:ascii="Cambria" w:eastAsia="Calibri" w:hAnsi="Cambria" w:cs="Calibri"/>
          <w:spacing w:val="1"/>
        </w:rPr>
        <w:t>wh</w:t>
      </w:r>
      <w:r w:rsidRPr="009A0DA6">
        <w:rPr>
          <w:rFonts w:ascii="Cambria" w:eastAsia="Calibri" w:hAnsi="Cambria" w:cs="Calibri"/>
          <w:spacing w:val="-1"/>
        </w:rPr>
        <w:t>e</w:t>
      </w:r>
      <w:r w:rsidRPr="009A0DA6">
        <w:rPr>
          <w:rFonts w:ascii="Cambria" w:eastAsia="Calibri" w:hAnsi="Cambria" w:cs="Calibri"/>
        </w:rPr>
        <w:t>n</w:t>
      </w:r>
      <w:r w:rsidRPr="009A0DA6">
        <w:rPr>
          <w:rFonts w:ascii="Cambria" w:eastAsia="Calibri" w:hAnsi="Cambria" w:cs="Calibri"/>
          <w:spacing w:val="-4"/>
        </w:rPr>
        <w:t xml:space="preserve"> </w:t>
      </w:r>
      <w:r w:rsidRPr="009A0DA6">
        <w:rPr>
          <w:rFonts w:ascii="Cambria" w:eastAsia="Calibri" w:hAnsi="Cambria" w:cs="Calibri"/>
        </w:rPr>
        <w:t>it gi</w:t>
      </w:r>
      <w:r w:rsidRPr="009A0DA6">
        <w:rPr>
          <w:rFonts w:ascii="Cambria" w:eastAsia="Calibri" w:hAnsi="Cambria" w:cs="Calibri"/>
          <w:spacing w:val="-1"/>
        </w:rPr>
        <w:t>v</w:t>
      </w:r>
      <w:r w:rsidRPr="009A0DA6">
        <w:rPr>
          <w:rFonts w:ascii="Cambria" w:eastAsia="Calibri" w:hAnsi="Cambria" w:cs="Calibri"/>
          <w:spacing w:val="1"/>
        </w:rPr>
        <w:t>e</w:t>
      </w:r>
      <w:r w:rsidRPr="009A0DA6">
        <w:rPr>
          <w:rFonts w:ascii="Cambria" w:eastAsia="Calibri" w:hAnsi="Cambria" w:cs="Calibri"/>
        </w:rPr>
        <w:t>s</w:t>
      </w:r>
      <w:r w:rsidRPr="009A0DA6">
        <w:rPr>
          <w:rFonts w:ascii="Cambria" w:eastAsia="Calibri" w:hAnsi="Cambria" w:cs="Calibri"/>
          <w:spacing w:val="-5"/>
        </w:rPr>
        <w:t xml:space="preserve"> </w:t>
      </w:r>
      <w:r w:rsidRPr="009A0DA6">
        <w:rPr>
          <w:rFonts w:ascii="Cambria" w:eastAsia="Calibri" w:hAnsi="Cambria" w:cs="Calibri"/>
          <w:spacing w:val="1"/>
        </w:rPr>
        <w:t>u</w:t>
      </w:r>
      <w:r w:rsidRPr="009A0DA6">
        <w:rPr>
          <w:rFonts w:ascii="Cambria" w:eastAsia="Calibri" w:hAnsi="Cambria" w:cs="Calibri"/>
        </w:rPr>
        <w:t>s</w:t>
      </w:r>
      <w:r w:rsidRPr="009A0DA6">
        <w:rPr>
          <w:rFonts w:ascii="Cambria" w:eastAsia="Calibri" w:hAnsi="Cambria" w:cs="Calibri"/>
          <w:spacing w:val="-3"/>
        </w:rPr>
        <w:t xml:space="preserve"> </w:t>
      </w:r>
      <w:r w:rsidRPr="009A0DA6">
        <w:rPr>
          <w:rFonts w:ascii="Cambria" w:eastAsia="Calibri" w:hAnsi="Cambria" w:cs="Calibri"/>
          <w:spacing w:val="1"/>
        </w:rPr>
        <w:t>the</w:t>
      </w:r>
      <w:r w:rsidRPr="009A0DA6">
        <w:rPr>
          <w:rFonts w:ascii="Cambria" w:eastAsia="Calibri" w:hAnsi="Cambria" w:cs="Calibri"/>
          <w:spacing w:val="-1"/>
        </w:rPr>
        <w:t>s</w:t>
      </w:r>
      <w:r w:rsidRPr="009A0DA6">
        <w:rPr>
          <w:rFonts w:ascii="Cambria" w:eastAsia="Calibri" w:hAnsi="Cambria" w:cs="Calibri"/>
        </w:rPr>
        <w:t>e</w:t>
      </w:r>
      <w:r w:rsidRPr="009A0DA6">
        <w:rPr>
          <w:rFonts w:ascii="Cambria" w:eastAsia="Calibri" w:hAnsi="Cambria" w:cs="Calibri"/>
          <w:spacing w:val="-5"/>
        </w:rPr>
        <w:t xml:space="preserve"> </w:t>
      </w:r>
      <w:r w:rsidRPr="009A0DA6">
        <w:rPr>
          <w:rFonts w:ascii="Cambria" w:eastAsia="Calibri" w:hAnsi="Cambria" w:cs="Calibri"/>
        </w:rPr>
        <w:t>r</w:t>
      </w:r>
      <w:r w:rsidRPr="009A0DA6">
        <w:rPr>
          <w:rFonts w:ascii="Cambria" w:eastAsia="Calibri" w:hAnsi="Cambria" w:cs="Calibri"/>
          <w:spacing w:val="-1"/>
        </w:rPr>
        <w:t>e</w:t>
      </w:r>
      <w:r w:rsidRPr="009A0DA6">
        <w:rPr>
          <w:rFonts w:ascii="Cambria" w:eastAsia="Calibri" w:hAnsi="Cambria" w:cs="Calibri"/>
          <w:spacing w:val="3"/>
        </w:rPr>
        <w:t>a</w:t>
      </w:r>
      <w:r w:rsidRPr="009A0DA6">
        <w:rPr>
          <w:rFonts w:ascii="Cambria" w:eastAsia="Calibri" w:hAnsi="Cambria" w:cs="Calibri"/>
          <w:spacing w:val="-1"/>
        </w:rPr>
        <w:t>s</w:t>
      </w:r>
      <w:r w:rsidRPr="009A0DA6">
        <w:rPr>
          <w:rFonts w:ascii="Cambria" w:eastAsia="Calibri" w:hAnsi="Cambria" w:cs="Calibri"/>
        </w:rPr>
        <w:t>o</w:t>
      </w:r>
      <w:r w:rsidRPr="009A0DA6">
        <w:rPr>
          <w:rFonts w:ascii="Cambria" w:eastAsia="Calibri" w:hAnsi="Cambria" w:cs="Calibri"/>
          <w:spacing w:val="1"/>
        </w:rPr>
        <w:t>n</w:t>
      </w:r>
      <w:r w:rsidRPr="009A0DA6">
        <w:rPr>
          <w:rFonts w:ascii="Cambria" w:eastAsia="Calibri" w:hAnsi="Cambria" w:cs="Calibri"/>
          <w:spacing w:val="-1"/>
        </w:rPr>
        <w:t>s</w:t>
      </w:r>
      <w:r w:rsidRPr="009A0DA6">
        <w:rPr>
          <w:rFonts w:ascii="Cambria" w:eastAsia="Calibri" w:hAnsi="Cambria" w:cs="Calibri"/>
        </w:rPr>
        <w:t>.</w:t>
      </w:r>
      <w:r w:rsidR="00417DA5" w:rsidRPr="009A0DA6">
        <w:rPr>
          <w:rFonts w:ascii="Cambria" w:eastAsia="Calibri" w:hAnsi="Cambria" w:cs="Calibri"/>
        </w:rPr>
        <w:br/>
      </w:r>
    </w:p>
    <w:p w14:paraId="11189829" w14:textId="445FBC30" w:rsidR="0042579D" w:rsidRPr="009A0DA6" w:rsidRDefault="0042579D" w:rsidP="00F55252">
      <w:pPr>
        <w:pStyle w:val="ListParagraph"/>
        <w:numPr>
          <w:ilvl w:val="0"/>
          <w:numId w:val="125"/>
        </w:numPr>
        <w:tabs>
          <w:tab w:val="clear" w:pos="643"/>
          <w:tab w:val="left" w:pos="1134"/>
        </w:tabs>
        <w:spacing w:before="62" w:after="0" w:line="254" w:lineRule="auto"/>
        <w:ind w:left="1134" w:right="62" w:hanging="567"/>
        <w:rPr>
          <w:rFonts w:ascii="Cambria" w:eastAsia="Calibri" w:hAnsi="Cambria" w:cs="Calibri"/>
        </w:rPr>
      </w:pPr>
      <w:r w:rsidRPr="009A0DA6">
        <w:rPr>
          <w:rFonts w:ascii="Cambria" w:eastAsia="Calibri" w:hAnsi="Cambria" w:cs="Calibri"/>
        </w:rPr>
        <w:t>P</w:t>
      </w:r>
      <w:r w:rsidRPr="009A0DA6">
        <w:rPr>
          <w:rFonts w:ascii="Cambria" w:eastAsia="Calibri" w:hAnsi="Cambria" w:cs="Calibri"/>
          <w:spacing w:val="1"/>
        </w:rPr>
        <w:t>a</w:t>
      </w:r>
      <w:r w:rsidRPr="009A0DA6">
        <w:rPr>
          <w:rFonts w:ascii="Cambria" w:eastAsia="Calibri" w:hAnsi="Cambria" w:cs="Calibri"/>
        </w:rPr>
        <w:t>ragra</w:t>
      </w:r>
      <w:r w:rsidRPr="009A0DA6">
        <w:rPr>
          <w:rFonts w:ascii="Cambria" w:eastAsia="Calibri" w:hAnsi="Cambria" w:cs="Calibri"/>
          <w:spacing w:val="1"/>
        </w:rPr>
        <w:t>p</w:t>
      </w:r>
      <w:r w:rsidRPr="009A0DA6">
        <w:rPr>
          <w:rFonts w:ascii="Cambria" w:eastAsia="Calibri" w:hAnsi="Cambria" w:cs="Calibri"/>
        </w:rPr>
        <w:t>h</w:t>
      </w:r>
      <w:r w:rsidRPr="009A0DA6">
        <w:rPr>
          <w:rFonts w:ascii="Cambria" w:eastAsia="Calibri" w:hAnsi="Cambria" w:cs="Calibri"/>
          <w:spacing w:val="10"/>
        </w:rPr>
        <w:t xml:space="preserve"> </w:t>
      </w:r>
      <w:r w:rsidRPr="009A0DA6">
        <w:rPr>
          <w:rFonts w:ascii="Cambria" w:eastAsia="Calibri" w:hAnsi="Cambria" w:cs="Calibri"/>
        </w:rPr>
        <w:t>5</w:t>
      </w:r>
      <w:r w:rsidRPr="009A0DA6">
        <w:rPr>
          <w:rFonts w:ascii="Cambria" w:eastAsia="Calibri" w:hAnsi="Cambria" w:cs="Calibri"/>
          <w:spacing w:val="16"/>
        </w:rPr>
        <w:t xml:space="preserve"> </w:t>
      </w:r>
      <w:r w:rsidRPr="009A0DA6">
        <w:rPr>
          <w:rFonts w:ascii="Cambria" w:eastAsia="Calibri" w:hAnsi="Cambria" w:cs="Calibri"/>
        </w:rPr>
        <w:t>of</w:t>
      </w:r>
      <w:r w:rsidRPr="009A0DA6">
        <w:rPr>
          <w:rFonts w:ascii="Cambria" w:eastAsia="Calibri" w:hAnsi="Cambria" w:cs="Calibri"/>
          <w:spacing w:val="14"/>
        </w:rPr>
        <w:t xml:space="preserve"> </w:t>
      </w:r>
      <w:r w:rsidRPr="009A0DA6">
        <w:rPr>
          <w:rFonts w:ascii="Cambria" w:eastAsia="Calibri" w:hAnsi="Cambria" w:cs="Calibri"/>
        </w:rPr>
        <w:t>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13"/>
        </w:rPr>
        <w:t xml:space="preserve"> </w:t>
      </w:r>
      <w:r w:rsidRPr="009A0DA6">
        <w:rPr>
          <w:rFonts w:ascii="Cambria" w:eastAsia="Calibri" w:hAnsi="Cambria" w:cs="Calibri"/>
        </w:rPr>
        <w:t>DDS</w:t>
      </w:r>
      <w:r w:rsidRPr="009A0DA6">
        <w:rPr>
          <w:rFonts w:ascii="Cambria" w:eastAsia="Calibri" w:hAnsi="Cambria" w:cs="Calibri"/>
          <w:spacing w:val="14"/>
        </w:rPr>
        <w:t xml:space="preserve"> </w:t>
      </w:r>
      <w:r w:rsidRPr="009A0DA6">
        <w:rPr>
          <w:rFonts w:ascii="Cambria" w:eastAsia="Calibri" w:hAnsi="Cambria" w:cs="Calibri"/>
        </w:rPr>
        <w:t>as</w:t>
      </w:r>
      <w:r w:rsidRPr="009A0DA6">
        <w:rPr>
          <w:rFonts w:ascii="Cambria" w:eastAsia="Calibri" w:hAnsi="Cambria" w:cs="Calibri"/>
          <w:spacing w:val="-2"/>
        </w:rPr>
        <w:t>s</w:t>
      </w:r>
      <w:r w:rsidRPr="009A0DA6">
        <w:rPr>
          <w:rFonts w:ascii="Cambria" w:eastAsia="Calibri" w:hAnsi="Cambria" w:cs="Calibri"/>
          <w:spacing w:val="1"/>
        </w:rPr>
        <w:t>u</w:t>
      </w:r>
      <w:r w:rsidRPr="009A0DA6">
        <w:rPr>
          <w:rFonts w:ascii="Cambria" w:eastAsia="Calibri" w:hAnsi="Cambria" w:cs="Calibri"/>
          <w:spacing w:val="-1"/>
        </w:rPr>
        <w:t>m</w:t>
      </w:r>
      <w:r w:rsidRPr="009A0DA6">
        <w:rPr>
          <w:rFonts w:ascii="Cambria" w:eastAsia="Calibri" w:hAnsi="Cambria" w:cs="Calibri"/>
          <w:spacing w:val="1"/>
        </w:rPr>
        <w:t>e</w:t>
      </w:r>
      <w:r w:rsidRPr="009A0DA6">
        <w:rPr>
          <w:rFonts w:ascii="Cambria" w:eastAsia="Calibri" w:hAnsi="Cambria" w:cs="Calibri"/>
        </w:rPr>
        <w:t>s</w:t>
      </w:r>
      <w:r w:rsidRPr="009A0DA6">
        <w:rPr>
          <w:rFonts w:ascii="Cambria" w:eastAsia="Calibri" w:hAnsi="Cambria" w:cs="Calibri"/>
          <w:spacing w:val="9"/>
        </w:rPr>
        <w:t xml:space="preserve"> </w:t>
      </w:r>
      <w:r w:rsidRPr="009A0DA6">
        <w:rPr>
          <w:rFonts w:ascii="Cambria" w:eastAsia="Calibri" w:hAnsi="Cambria" w:cs="Calibri"/>
        </w:rPr>
        <w:t>t</w:t>
      </w:r>
      <w:r w:rsidRPr="009A0DA6">
        <w:rPr>
          <w:rFonts w:ascii="Cambria" w:eastAsia="Calibri" w:hAnsi="Cambria" w:cs="Calibri"/>
          <w:spacing w:val="1"/>
        </w:rPr>
        <w:t>h</w:t>
      </w:r>
      <w:r w:rsidRPr="009A0DA6">
        <w:rPr>
          <w:rFonts w:ascii="Cambria" w:eastAsia="Calibri" w:hAnsi="Cambria" w:cs="Calibri"/>
        </w:rPr>
        <w:t>at</w:t>
      </w:r>
      <w:r w:rsidRPr="009A0DA6">
        <w:rPr>
          <w:rFonts w:ascii="Cambria" w:eastAsia="Calibri" w:hAnsi="Cambria" w:cs="Calibri"/>
          <w:spacing w:val="15"/>
        </w:rPr>
        <w:t xml:space="preserve"> </w:t>
      </w:r>
      <w:r w:rsidRPr="009A0DA6">
        <w:rPr>
          <w:rFonts w:ascii="Cambria" w:eastAsia="Calibri" w:hAnsi="Cambria" w:cs="Calibri"/>
        </w:rPr>
        <w:t>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13"/>
        </w:rPr>
        <w:t xml:space="preserve"> </w:t>
      </w:r>
      <w:r w:rsidRPr="009A0DA6">
        <w:rPr>
          <w:rFonts w:ascii="Cambria" w:eastAsia="Calibri" w:hAnsi="Cambria" w:cs="Calibri"/>
        </w:rPr>
        <w:t>gr</w:t>
      </w:r>
      <w:r w:rsidRPr="009A0DA6">
        <w:rPr>
          <w:rFonts w:ascii="Cambria" w:eastAsia="Calibri" w:hAnsi="Cambria" w:cs="Calibri"/>
          <w:spacing w:val="-1"/>
        </w:rPr>
        <w:t>e</w:t>
      </w:r>
      <w:r w:rsidRPr="009A0DA6">
        <w:rPr>
          <w:rFonts w:ascii="Cambria" w:eastAsia="Calibri" w:hAnsi="Cambria" w:cs="Calibri"/>
        </w:rPr>
        <w:t>at</w:t>
      </w:r>
      <w:r w:rsidRPr="009A0DA6">
        <w:rPr>
          <w:rFonts w:ascii="Cambria" w:eastAsia="Calibri" w:hAnsi="Cambria" w:cs="Calibri"/>
          <w:spacing w:val="14"/>
        </w:rPr>
        <w:t xml:space="preserve"> </w:t>
      </w:r>
      <w:r w:rsidRPr="009A0DA6">
        <w:rPr>
          <w:rFonts w:ascii="Cambria" w:eastAsia="Calibri" w:hAnsi="Cambria" w:cs="Calibri"/>
        </w:rPr>
        <w:t>o</w:t>
      </w:r>
      <w:r w:rsidRPr="009A0DA6">
        <w:rPr>
          <w:rFonts w:ascii="Cambria" w:eastAsia="Calibri" w:hAnsi="Cambria" w:cs="Calibri"/>
          <w:spacing w:val="1"/>
        </w:rPr>
        <w:t>b</w:t>
      </w:r>
      <w:r w:rsidRPr="009A0DA6">
        <w:rPr>
          <w:rFonts w:ascii="Cambria" w:eastAsia="Calibri" w:hAnsi="Cambria" w:cs="Calibri"/>
          <w:spacing w:val="-1"/>
        </w:rPr>
        <w:t>s</w:t>
      </w:r>
      <w:r w:rsidRPr="009A0DA6">
        <w:rPr>
          <w:rFonts w:ascii="Cambria" w:eastAsia="Calibri" w:hAnsi="Cambria" w:cs="Calibri"/>
        </w:rPr>
        <w:t>t</w:t>
      </w:r>
      <w:r w:rsidRPr="009A0DA6">
        <w:rPr>
          <w:rFonts w:ascii="Cambria" w:eastAsia="Calibri" w:hAnsi="Cambria" w:cs="Calibri"/>
          <w:spacing w:val="1"/>
        </w:rPr>
        <w:t>a</w:t>
      </w:r>
      <w:r w:rsidRPr="009A0DA6">
        <w:rPr>
          <w:rFonts w:ascii="Cambria" w:eastAsia="Calibri" w:hAnsi="Cambria" w:cs="Calibri"/>
        </w:rPr>
        <w:t>cle</w:t>
      </w:r>
      <w:r w:rsidRPr="009A0DA6">
        <w:rPr>
          <w:rFonts w:ascii="Cambria" w:eastAsia="Calibri" w:hAnsi="Cambria" w:cs="Calibri"/>
          <w:spacing w:val="9"/>
        </w:rPr>
        <w:t xml:space="preserve"> </w:t>
      </w:r>
      <w:r w:rsidRPr="009A0DA6">
        <w:rPr>
          <w:rFonts w:ascii="Cambria" w:eastAsia="Calibri" w:hAnsi="Cambria" w:cs="Calibri"/>
        </w:rPr>
        <w:t>to</w:t>
      </w:r>
      <w:r w:rsidRPr="009A0DA6">
        <w:rPr>
          <w:rFonts w:ascii="Cambria" w:eastAsia="Calibri" w:hAnsi="Cambria" w:cs="Calibri"/>
          <w:spacing w:val="16"/>
        </w:rPr>
        <w:t xml:space="preserve"> </w:t>
      </w:r>
      <w:r w:rsidRPr="009A0DA6">
        <w:rPr>
          <w:rFonts w:ascii="Cambria" w:eastAsia="Calibri" w:hAnsi="Cambria" w:cs="Calibri"/>
          <w:spacing w:val="-1"/>
        </w:rPr>
        <w:t>w</w:t>
      </w:r>
      <w:r w:rsidRPr="009A0DA6">
        <w:rPr>
          <w:rFonts w:ascii="Cambria" w:eastAsia="Calibri" w:hAnsi="Cambria" w:cs="Calibri"/>
        </w:rPr>
        <w:t>o</w:t>
      </w:r>
      <w:r w:rsidRPr="009A0DA6">
        <w:rPr>
          <w:rFonts w:ascii="Cambria" w:eastAsia="Calibri" w:hAnsi="Cambria" w:cs="Calibri"/>
          <w:spacing w:val="-1"/>
        </w:rPr>
        <w:t>me</w:t>
      </w:r>
      <w:r w:rsidRPr="009A0DA6">
        <w:rPr>
          <w:rFonts w:ascii="Cambria" w:eastAsia="Calibri" w:hAnsi="Cambria" w:cs="Calibri"/>
          <w:spacing w:val="1"/>
        </w:rPr>
        <w:t>n</w:t>
      </w:r>
      <w:r w:rsidRPr="009A0DA6">
        <w:rPr>
          <w:rFonts w:ascii="Cambria" w:eastAsia="Calibri" w:hAnsi="Cambria" w:cs="Calibri"/>
        </w:rPr>
        <w:t>’s</w:t>
      </w:r>
      <w:r w:rsidRPr="009A0DA6">
        <w:rPr>
          <w:rFonts w:ascii="Cambria" w:eastAsia="Calibri" w:hAnsi="Cambria" w:cs="Calibri"/>
          <w:spacing w:val="9"/>
        </w:rPr>
        <w:t xml:space="preserve"> </w:t>
      </w:r>
      <w:r w:rsidRPr="009A0DA6">
        <w:rPr>
          <w:rFonts w:ascii="Cambria" w:eastAsia="Calibri" w:hAnsi="Cambria" w:cs="Calibri"/>
        </w:rPr>
        <w:t>or</w:t>
      </w:r>
      <w:r w:rsidRPr="009A0DA6">
        <w:rPr>
          <w:rFonts w:ascii="Cambria" w:eastAsia="Calibri" w:hAnsi="Cambria" w:cs="Calibri"/>
          <w:spacing w:val="1"/>
        </w:rPr>
        <w:t>d</w:t>
      </w:r>
      <w:r w:rsidRPr="009A0DA6">
        <w:rPr>
          <w:rFonts w:ascii="Cambria" w:eastAsia="Calibri" w:hAnsi="Cambria" w:cs="Calibri"/>
        </w:rPr>
        <w:t>i</w:t>
      </w:r>
      <w:r w:rsidRPr="009A0DA6">
        <w:rPr>
          <w:rFonts w:ascii="Cambria" w:eastAsia="Calibri" w:hAnsi="Cambria" w:cs="Calibri"/>
          <w:spacing w:val="9"/>
        </w:rPr>
        <w:t>n</w:t>
      </w:r>
      <w:r w:rsidRPr="009A0DA6">
        <w:rPr>
          <w:rFonts w:ascii="Cambria" w:eastAsia="Calibri" w:hAnsi="Cambria" w:cs="Calibri"/>
        </w:rPr>
        <w:t>a</w:t>
      </w:r>
      <w:r w:rsidRPr="009A0DA6">
        <w:rPr>
          <w:rFonts w:ascii="Cambria" w:eastAsia="Calibri" w:hAnsi="Cambria" w:cs="Calibri"/>
          <w:spacing w:val="1"/>
        </w:rPr>
        <w:t>t</w:t>
      </w:r>
      <w:r w:rsidRPr="009A0DA6">
        <w:rPr>
          <w:rFonts w:ascii="Cambria" w:eastAsia="Calibri" w:hAnsi="Cambria" w:cs="Calibri"/>
        </w:rPr>
        <w:t>ion</w:t>
      </w:r>
      <w:r w:rsidRPr="009A0DA6">
        <w:rPr>
          <w:rFonts w:ascii="Cambria" w:eastAsia="Calibri" w:hAnsi="Cambria" w:cs="Calibri"/>
          <w:spacing w:val="9"/>
        </w:rPr>
        <w:t xml:space="preserve"> </w:t>
      </w:r>
      <w:r w:rsidRPr="009A0DA6">
        <w:rPr>
          <w:rFonts w:ascii="Cambria" w:eastAsia="Calibri" w:hAnsi="Cambria" w:cs="Calibri"/>
          <w:spacing w:val="1"/>
        </w:rPr>
        <w:t>h</w:t>
      </w:r>
      <w:r w:rsidRPr="009A0DA6">
        <w:rPr>
          <w:rFonts w:ascii="Cambria" w:eastAsia="Calibri" w:hAnsi="Cambria" w:cs="Calibri"/>
        </w:rPr>
        <w:t>as</w:t>
      </w:r>
      <w:r w:rsidRPr="009A0DA6">
        <w:rPr>
          <w:rFonts w:ascii="Cambria" w:eastAsia="Calibri" w:hAnsi="Cambria" w:cs="Calibri"/>
          <w:spacing w:val="14"/>
        </w:rPr>
        <w:t xml:space="preserve"> </w:t>
      </w:r>
      <w:r w:rsidRPr="009A0DA6">
        <w:rPr>
          <w:rFonts w:ascii="Cambria" w:eastAsia="Calibri" w:hAnsi="Cambria" w:cs="Calibri"/>
          <w:spacing w:val="1"/>
        </w:rPr>
        <w:t>b</w:t>
      </w:r>
      <w:r w:rsidRPr="009A0DA6">
        <w:rPr>
          <w:rFonts w:ascii="Cambria" w:eastAsia="Calibri" w:hAnsi="Cambria" w:cs="Calibri"/>
          <w:spacing w:val="-1"/>
        </w:rPr>
        <w:t>ee</w:t>
      </w:r>
      <w:r w:rsidRPr="009A0DA6">
        <w:rPr>
          <w:rFonts w:ascii="Cambria" w:eastAsia="Calibri" w:hAnsi="Cambria" w:cs="Calibri"/>
        </w:rPr>
        <w:t>n</w:t>
      </w:r>
      <w:r w:rsidRPr="009A0DA6">
        <w:rPr>
          <w:rFonts w:ascii="Cambria" w:eastAsia="Calibri" w:hAnsi="Cambria" w:cs="Calibri"/>
          <w:spacing w:val="14"/>
        </w:rPr>
        <w:t xml:space="preserve"> </w:t>
      </w:r>
      <w:r w:rsidRPr="009A0DA6">
        <w:rPr>
          <w:rFonts w:ascii="Cambria" w:eastAsia="Calibri" w:hAnsi="Cambria" w:cs="Calibri"/>
          <w:spacing w:val="1"/>
        </w:rPr>
        <w:t>“b</w:t>
      </w:r>
      <w:r w:rsidRPr="009A0DA6">
        <w:rPr>
          <w:rFonts w:ascii="Cambria" w:eastAsia="Calibri" w:hAnsi="Cambria" w:cs="Calibri"/>
        </w:rPr>
        <w:t>arri</w:t>
      </w:r>
      <w:r w:rsidRPr="009A0DA6">
        <w:rPr>
          <w:rFonts w:ascii="Cambria" w:eastAsia="Calibri" w:hAnsi="Cambria" w:cs="Calibri"/>
          <w:spacing w:val="-1"/>
        </w:rPr>
        <w:t>e</w:t>
      </w:r>
      <w:r w:rsidRPr="009A0DA6">
        <w:rPr>
          <w:rFonts w:ascii="Cambria" w:eastAsia="Calibri" w:hAnsi="Cambria" w:cs="Calibri"/>
        </w:rPr>
        <w:t>rs</w:t>
      </w:r>
      <w:r w:rsidRPr="009A0DA6">
        <w:rPr>
          <w:rFonts w:ascii="Cambria" w:eastAsia="Calibri" w:hAnsi="Cambria" w:cs="Calibri"/>
          <w:spacing w:val="9"/>
        </w:rPr>
        <w:t xml:space="preserve"> </w:t>
      </w:r>
      <w:r w:rsidRPr="009A0DA6">
        <w:rPr>
          <w:rFonts w:ascii="Cambria" w:eastAsia="Calibri" w:hAnsi="Cambria" w:cs="Calibri"/>
          <w:spacing w:val="1"/>
        </w:rPr>
        <w:t>bu</w:t>
      </w:r>
      <w:r w:rsidRPr="009A0DA6">
        <w:rPr>
          <w:rFonts w:ascii="Cambria" w:eastAsia="Calibri" w:hAnsi="Cambria" w:cs="Calibri"/>
        </w:rPr>
        <w:t>ilt</w:t>
      </w:r>
      <w:r w:rsidRPr="009A0DA6">
        <w:rPr>
          <w:rFonts w:ascii="Cambria" w:eastAsia="Calibri" w:hAnsi="Cambria" w:cs="Calibri"/>
          <w:spacing w:val="13"/>
        </w:rPr>
        <w:t xml:space="preserve"> </w:t>
      </w:r>
      <w:r w:rsidRPr="009A0DA6">
        <w:rPr>
          <w:rFonts w:ascii="Cambria" w:eastAsia="Calibri" w:hAnsi="Cambria" w:cs="Calibri"/>
          <w:spacing w:val="1"/>
        </w:rPr>
        <w:t>b</w:t>
      </w:r>
      <w:r w:rsidRPr="009A0DA6">
        <w:rPr>
          <w:rFonts w:ascii="Cambria" w:eastAsia="Calibri" w:hAnsi="Cambria" w:cs="Calibri"/>
        </w:rPr>
        <w:t>y</w:t>
      </w:r>
      <w:r w:rsidRPr="009A0DA6">
        <w:rPr>
          <w:rFonts w:ascii="Cambria" w:eastAsia="Calibri" w:hAnsi="Cambria" w:cs="Calibri"/>
          <w:spacing w:val="16"/>
        </w:rPr>
        <w:t xml:space="preserve"> </w:t>
      </w:r>
      <w:r w:rsidRPr="009A0DA6">
        <w:rPr>
          <w:rFonts w:ascii="Cambria" w:eastAsia="Calibri" w:hAnsi="Cambria" w:cs="Calibri"/>
          <w:spacing w:val="1"/>
        </w:rPr>
        <w:t>hu</w:t>
      </w:r>
      <w:r w:rsidRPr="009A0DA6">
        <w:rPr>
          <w:rFonts w:ascii="Cambria" w:eastAsia="Calibri" w:hAnsi="Cambria" w:cs="Calibri"/>
          <w:spacing w:val="-1"/>
        </w:rPr>
        <w:t>m</w:t>
      </w:r>
      <w:r w:rsidRPr="009A0DA6">
        <w:rPr>
          <w:rFonts w:ascii="Cambria" w:eastAsia="Calibri" w:hAnsi="Cambria" w:cs="Calibri"/>
        </w:rPr>
        <w:t>a</w:t>
      </w:r>
      <w:r w:rsidRPr="009A0DA6">
        <w:rPr>
          <w:rFonts w:ascii="Cambria" w:eastAsia="Calibri" w:hAnsi="Cambria" w:cs="Calibri"/>
          <w:spacing w:val="1"/>
        </w:rPr>
        <w:t>n</w:t>
      </w:r>
      <w:r w:rsidRPr="009A0DA6">
        <w:rPr>
          <w:rFonts w:ascii="Cambria" w:eastAsia="Calibri" w:hAnsi="Cambria" w:cs="Calibri"/>
          <w:spacing w:val="-1"/>
        </w:rPr>
        <w:t>s</w:t>
      </w:r>
      <w:r w:rsidRPr="009A0DA6">
        <w:rPr>
          <w:rFonts w:ascii="Cambria" w:eastAsia="Calibri" w:hAnsi="Cambria" w:cs="Calibri"/>
        </w:rPr>
        <w:t>.” Furt</w:t>
      </w:r>
      <w:r w:rsidRPr="009A0DA6">
        <w:rPr>
          <w:rFonts w:ascii="Cambria" w:eastAsia="Calibri" w:hAnsi="Cambria" w:cs="Calibri"/>
          <w:spacing w:val="1"/>
        </w:rPr>
        <w:t>h</w:t>
      </w:r>
      <w:r w:rsidRPr="009A0DA6">
        <w:rPr>
          <w:rFonts w:ascii="Cambria" w:eastAsia="Calibri" w:hAnsi="Cambria" w:cs="Calibri"/>
          <w:spacing w:val="-1"/>
        </w:rPr>
        <w:t>e</w:t>
      </w:r>
      <w:r w:rsidRPr="009A0DA6">
        <w:rPr>
          <w:rFonts w:ascii="Cambria" w:eastAsia="Calibri" w:hAnsi="Cambria" w:cs="Calibri"/>
        </w:rPr>
        <w:t>rmor</w:t>
      </w:r>
      <w:r w:rsidRPr="009A0DA6">
        <w:rPr>
          <w:rFonts w:ascii="Cambria" w:eastAsia="Calibri" w:hAnsi="Cambria" w:cs="Calibri"/>
          <w:spacing w:val="-1"/>
        </w:rPr>
        <w:t>e</w:t>
      </w:r>
      <w:r w:rsidRPr="009A0DA6">
        <w:rPr>
          <w:rFonts w:ascii="Cambria" w:eastAsia="Calibri" w:hAnsi="Cambria" w:cs="Calibri"/>
        </w:rPr>
        <w:t>,</w:t>
      </w:r>
      <w:r w:rsidRPr="009A0DA6">
        <w:rPr>
          <w:rFonts w:ascii="Cambria" w:eastAsia="Calibri" w:hAnsi="Cambria" w:cs="Calibri"/>
          <w:spacing w:val="2"/>
        </w:rPr>
        <w:t xml:space="preserve"> </w:t>
      </w:r>
      <w:r w:rsidRPr="009A0DA6">
        <w:rPr>
          <w:rFonts w:ascii="Cambria" w:eastAsia="Calibri" w:hAnsi="Cambria" w:cs="Calibri"/>
        </w:rPr>
        <w:t>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11"/>
        </w:rPr>
        <w:t xml:space="preserve"> </w:t>
      </w:r>
      <w:r w:rsidRPr="009A0DA6">
        <w:rPr>
          <w:rFonts w:ascii="Cambria" w:eastAsia="Calibri" w:hAnsi="Cambria" w:cs="Calibri"/>
        </w:rPr>
        <w:t>acc</w:t>
      </w:r>
      <w:r w:rsidRPr="009A0DA6">
        <w:rPr>
          <w:rFonts w:ascii="Cambria" w:eastAsia="Calibri" w:hAnsi="Cambria" w:cs="Calibri"/>
          <w:spacing w:val="3"/>
        </w:rPr>
        <w:t>o</w:t>
      </w:r>
      <w:r w:rsidRPr="009A0DA6">
        <w:rPr>
          <w:rFonts w:ascii="Cambria" w:eastAsia="Calibri" w:hAnsi="Cambria" w:cs="Calibri"/>
          <w:spacing w:val="-1"/>
        </w:rPr>
        <w:t>m</w:t>
      </w:r>
      <w:r w:rsidRPr="009A0DA6">
        <w:rPr>
          <w:rFonts w:ascii="Cambria" w:eastAsia="Calibri" w:hAnsi="Cambria" w:cs="Calibri"/>
          <w:spacing w:val="1"/>
        </w:rPr>
        <w:t>p</w:t>
      </w:r>
      <w:r w:rsidRPr="009A0DA6">
        <w:rPr>
          <w:rFonts w:ascii="Cambria" w:eastAsia="Calibri" w:hAnsi="Cambria" w:cs="Calibri"/>
        </w:rPr>
        <w:t>a</w:t>
      </w:r>
      <w:r w:rsidRPr="009A0DA6">
        <w:rPr>
          <w:rFonts w:ascii="Cambria" w:eastAsia="Calibri" w:hAnsi="Cambria" w:cs="Calibri"/>
          <w:spacing w:val="1"/>
        </w:rPr>
        <w:t>ny</w:t>
      </w:r>
      <w:r w:rsidRPr="009A0DA6">
        <w:rPr>
          <w:rFonts w:ascii="Cambria" w:eastAsia="Calibri" w:hAnsi="Cambria" w:cs="Calibri"/>
        </w:rPr>
        <w:t>i</w:t>
      </w:r>
      <w:r w:rsidRPr="009A0DA6">
        <w:rPr>
          <w:rFonts w:ascii="Cambria" w:eastAsia="Calibri" w:hAnsi="Cambria" w:cs="Calibri"/>
          <w:spacing w:val="1"/>
        </w:rPr>
        <w:t>n</w:t>
      </w:r>
      <w:r w:rsidRPr="009A0DA6">
        <w:rPr>
          <w:rFonts w:ascii="Cambria" w:eastAsia="Calibri" w:hAnsi="Cambria" w:cs="Calibri"/>
        </w:rPr>
        <w:t xml:space="preserve">g </w:t>
      </w:r>
      <w:r w:rsidRPr="009A0DA6">
        <w:rPr>
          <w:rFonts w:ascii="Cambria" w:eastAsia="Calibri" w:hAnsi="Cambria" w:cs="Calibri"/>
          <w:spacing w:val="1"/>
        </w:rPr>
        <w:t>b</w:t>
      </w:r>
      <w:r w:rsidRPr="009A0DA6">
        <w:rPr>
          <w:rFonts w:ascii="Cambria" w:eastAsia="Calibri" w:hAnsi="Cambria" w:cs="Calibri"/>
        </w:rPr>
        <w:t>ac</w:t>
      </w:r>
      <w:r w:rsidRPr="009A0DA6">
        <w:rPr>
          <w:rFonts w:ascii="Cambria" w:eastAsia="Calibri" w:hAnsi="Cambria" w:cs="Calibri"/>
          <w:spacing w:val="1"/>
        </w:rPr>
        <w:t>k</w:t>
      </w:r>
      <w:r w:rsidRPr="009A0DA6">
        <w:rPr>
          <w:rFonts w:ascii="Cambria" w:eastAsia="Calibri" w:hAnsi="Cambria" w:cs="Calibri"/>
        </w:rPr>
        <w:t>gro</w:t>
      </w:r>
      <w:r w:rsidRPr="009A0DA6">
        <w:rPr>
          <w:rFonts w:ascii="Cambria" w:eastAsia="Calibri" w:hAnsi="Cambria" w:cs="Calibri"/>
          <w:spacing w:val="1"/>
        </w:rPr>
        <w:t>un</w:t>
      </w:r>
      <w:r w:rsidRPr="009A0DA6">
        <w:rPr>
          <w:rFonts w:ascii="Cambria" w:eastAsia="Calibri" w:hAnsi="Cambria" w:cs="Calibri"/>
        </w:rPr>
        <w:t>d</w:t>
      </w:r>
      <w:r w:rsidRPr="009A0DA6">
        <w:rPr>
          <w:rFonts w:ascii="Cambria" w:eastAsia="Calibri" w:hAnsi="Cambria" w:cs="Calibri"/>
          <w:spacing w:val="3"/>
        </w:rPr>
        <w:t xml:space="preserve"> </w:t>
      </w:r>
      <w:r w:rsidRPr="009A0DA6">
        <w:rPr>
          <w:rFonts w:ascii="Cambria" w:eastAsia="Calibri" w:hAnsi="Cambria" w:cs="Calibri"/>
          <w:spacing w:val="1"/>
        </w:rPr>
        <w:t>p</w:t>
      </w:r>
      <w:r w:rsidRPr="009A0DA6">
        <w:rPr>
          <w:rFonts w:ascii="Cambria" w:eastAsia="Calibri" w:hAnsi="Cambria" w:cs="Calibri"/>
        </w:rPr>
        <w:t>a</w:t>
      </w:r>
      <w:r w:rsidRPr="009A0DA6">
        <w:rPr>
          <w:rFonts w:ascii="Cambria" w:eastAsia="Calibri" w:hAnsi="Cambria" w:cs="Calibri"/>
          <w:spacing w:val="1"/>
        </w:rPr>
        <w:t>p</w:t>
      </w:r>
      <w:r w:rsidRPr="009A0DA6">
        <w:rPr>
          <w:rFonts w:ascii="Cambria" w:eastAsia="Calibri" w:hAnsi="Cambria" w:cs="Calibri"/>
          <w:spacing w:val="-1"/>
        </w:rPr>
        <w:t>e</w:t>
      </w:r>
      <w:r w:rsidRPr="009A0DA6">
        <w:rPr>
          <w:rFonts w:ascii="Cambria" w:eastAsia="Calibri" w:hAnsi="Cambria" w:cs="Calibri"/>
        </w:rPr>
        <w:t>r</w:t>
      </w:r>
      <w:r w:rsidRPr="009A0DA6">
        <w:rPr>
          <w:rFonts w:ascii="Cambria" w:eastAsia="Calibri" w:hAnsi="Cambria" w:cs="Calibri"/>
          <w:spacing w:val="7"/>
        </w:rPr>
        <w:t xml:space="preserve"> </w:t>
      </w:r>
      <w:r w:rsidRPr="009A0DA6">
        <w:rPr>
          <w:rFonts w:ascii="Cambria" w:eastAsia="Calibri" w:hAnsi="Cambria" w:cs="Calibri"/>
          <w:spacing w:val="-1"/>
        </w:rPr>
        <w:t>s</w:t>
      </w:r>
      <w:r w:rsidRPr="009A0DA6">
        <w:rPr>
          <w:rFonts w:ascii="Cambria" w:eastAsia="Calibri" w:hAnsi="Cambria" w:cs="Calibri"/>
          <w:spacing w:val="1"/>
        </w:rPr>
        <w:t>u</w:t>
      </w:r>
      <w:r w:rsidRPr="009A0DA6">
        <w:rPr>
          <w:rFonts w:ascii="Cambria" w:eastAsia="Calibri" w:hAnsi="Cambria" w:cs="Calibri"/>
        </w:rPr>
        <w:t>gg</w:t>
      </w:r>
      <w:r w:rsidRPr="009A0DA6">
        <w:rPr>
          <w:rFonts w:ascii="Cambria" w:eastAsia="Calibri" w:hAnsi="Cambria" w:cs="Calibri"/>
          <w:spacing w:val="-1"/>
        </w:rPr>
        <w:t>es</w:t>
      </w:r>
      <w:r w:rsidRPr="009A0DA6">
        <w:rPr>
          <w:rFonts w:ascii="Cambria" w:eastAsia="Calibri" w:hAnsi="Cambria" w:cs="Calibri"/>
          <w:spacing w:val="3"/>
        </w:rPr>
        <w:t>t</w:t>
      </w:r>
      <w:r w:rsidRPr="009A0DA6">
        <w:rPr>
          <w:rFonts w:ascii="Cambria" w:eastAsia="Calibri" w:hAnsi="Cambria" w:cs="Calibri"/>
        </w:rPr>
        <w:t>s</w:t>
      </w:r>
      <w:r w:rsidRPr="009A0DA6">
        <w:rPr>
          <w:rFonts w:ascii="Cambria" w:eastAsia="Calibri" w:hAnsi="Cambria" w:cs="Calibri"/>
          <w:spacing w:val="4"/>
        </w:rPr>
        <w:t xml:space="preserve"> </w:t>
      </w:r>
      <w:r w:rsidRPr="009A0DA6">
        <w:rPr>
          <w:rFonts w:ascii="Cambria" w:eastAsia="Calibri" w:hAnsi="Cambria" w:cs="Calibri"/>
        </w:rPr>
        <w:t>t</w:t>
      </w:r>
      <w:r w:rsidRPr="009A0DA6">
        <w:rPr>
          <w:rFonts w:ascii="Cambria" w:eastAsia="Calibri" w:hAnsi="Cambria" w:cs="Calibri"/>
          <w:spacing w:val="1"/>
        </w:rPr>
        <w:t>h</w:t>
      </w:r>
      <w:r w:rsidRPr="009A0DA6">
        <w:rPr>
          <w:rFonts w:ascii="Cambria" w:eastAsia="Calibri" w:hAnsi="Cambria" w:cs="Calibri"/>
        </w:rPr>
        <w:t>at</w:t>
      </w:r>
      <w:r w:rsidRPr="009A0DA6">
        <w:rPr>
          <w:rFonts w:ascii="Cambria" w:eastAsia="Calibri" w:hAnsi="Cambria" w:cs="Calibri"/>
          <w:spacing w:val="9"/>
        </w:rPr>
        <w:t xml:space="preserve"> </w:t>
      </w:r>
      <w:r w:rsidRPr="009A0DA6">
        <w:rPr>
          <w:rFonts w:ascii="Cambria" w:eastAsia="Calibri" w:hAnsi="Cambria" w:cs="Calibri"/>
        </w:rPr>
        <w:t>t</w:t>
      </w:r>
      <w:r w:rsidRPr="009A0DA6">
        <w:rPr>
          <w:rFonts w:ascii="Cambria" w:eastAsia="Calibri" w:hAnsi="Cambria" w:cs="Calibri"/>
          <w:spacing w:val="1"/>
        </w:rPr>
        <w:t>h</w:t>
      </w:r>
      <w:r w:rsidRPr="009A0DA6">
        <w:rPr>
          <w:rFonts w:ascii="Cambria" w:eastAsia="Calibri" w:hAnsi="Cambria" w:cs="Calibri"/>
          <w:spacing w:val="-1"/>
        </w:rPr>
        <w:t>e</w:t>
      </w:r>
      <w:r w:rsidRPr="009A0DA6">
        <w:rPr>
          <w:rFonts w:ascii="Cambria" w:eastAsia="Calibri" w:hAnsi="Cambria" w:cs="Calibri"/>
          <w:spacing w:val="1"/>
        </w:rPr>
        <w:t>s</w:t>
      </w:r>
      <w:r w:rsidRPr="009A0DA6">
        <w:rPr>
          <w:rFonts w:ascii="Cambria" w:eastAsia="Calibri" w:hAnsi="Cambria" w:cs="Calibri"/>
        </w:rPr>
        <w:t>e</w:t>
      </w:r>
      <w:r w:rsidRPr="009A0DA6">
        <w:rPr>
          <w:rFonts w:ascii="Cambria" w:eastAsia="Calibri" w:hAnsi="Cambria" w:cs="Calibri"/>
          <w:spacing w:val="7"/>
        </w:rPr>
        <w:t xml:space="preserve"> </w:t>
      </w:r>
      <w:r w:rsidRPr="009A0DA6">
        <w:rPr>
          <w:rFonts w:ascii="Cambria" w:eastAsia="Calibri" w:hAnsi="Cambria" w:cs="Calibri"/>
          <w:spacing w:val="1"/>
        </w:rPr>
        <w:t>b</w:t>
      </w:r>
      <w:r w:rsidRPr="009A0DA6">
        <w:rPr>
          <w:rFonts w:ascii="Cambria" w:eastAsia="Calibri" w:hAnsi="Cambria" w:cs="Calibri"/>
        </w:rPr>
        <w:t>arri</w:t>
      </w:r>
      <w:r w:rsidRPr="009A0DA6">
        <w:rPr>
          <w:rFonts w:ascii="Cambria" w:eastAsia="Calibri" w:hAnsi="Cambria" w:cs="Calibri"/>
          <w:spacing w:val="-1"/>
        </w:rPr>
        <w:t>e</w:t>
      </w:r>
      <w:r w:rsidRPr="009A0DA6">
        <w:rPr>
          <w:rFonts w:ascii="Cambria" w:eastAsia="Calibri" w:hAnsi="Cambria" w:cs="Calibri"/>
          <w:spacing w:val="2"/>
        </w:rPr>
        <w:t>r</w:t>
      </w:r>
      <w:r w:rsidRPr="009A0DA6">
        <w:rPr>
          <w:rFonts w:ascii="Cambria" w:eastAsia="Calibri" w:hAnsi="Cambria" w:cs="Calibri"/>
        </w:rPr>
        <w:t>s</w:t>
      </w:r>
      <w:r w:rsidRPr="009A0DA6">
        <w:rPr>
          <w:rFonts w:ascii="Cambria" w:eastAsia="Calibri" w:hAnsi="Cambria" w:cs="Calibri"/>
          <w:spacing w:val="4"/>
        </w:rPr>
        <w:t xml:space="preserve"> </w:t>
      </w:r>
      <w:r w:rsidRPr="009A0DA6">
        <w:rPr>
          <w:rFonts w:ascii="Cambria" w:eastAsia="Calibri" w:hAnsi="Cambria" w:cs="Calibri"/>
          <w:spacing w:val="1"/>
        </w:rPr>
        <w:t>h</w:t>
      </w:r>
      <w:r w:rsidRPr="009A0DA6">
        <w:rPr>
          <w:rFonts w:ascii="Cambria" w:eastAsia="Calibri" w:hAnsi="Cambria" w:cs="Calibri"/>
        </w:rPr>
        <w:t>a</w:t>
      </w:r>
      <w:r w:rsidRPr="009A0DA6">
        <w:rPr>
          <w:rFonts w:ascii="Cambria" w:eastAsia="Calibri" w:hAnsi="Cambria" w:cs="Calibri"/>
          <w:spacing w:val="2"/>
        </w:rPr>
        <w:t>v</w:t>
      </w:r>
      <w:r w:rsidRPr="009A0DA6">
        <w:rPr>
          <w:rFonts w:ascii="Cambria" w:eastAsia="Calibri" w:hAnsi="Cambria" w:cs="Calibri"/>
        </w:rPr>
        <w:t>e</w:t>
      </w:r>
      <w:r w:rsidRPr="009A0DA6">
        <w:rPr>
          <w:rFonts w:ascii="Cambria" w:eastAsia="Calibri" w:hAnsi="Cambria" w:cs="Calibri"/>
          <w:spacing w:val="8"/>
        </w:rPr>
        <w:t xml:space="preserve"> </w:t>
      </w:r>
      <w:r w:rsidRPr="009A0DA6">
        <w:rPr>
          <w:rFonts w:ascii="Cambria" w:eastAsia="Calibri" w:hAnsi="Cambria" w:cs="Calibri"/>
        </w:rPr>
        <w:t>ari</w:t>
      </w:r>
      <w:r w:rsidRPr="009A0DA6">
        <w:rPr>
          <w:rFonts w:ascii="Cambria" w:eastAsia="Calibri" w:hAnsi="Cambria" w:cs="Calibri"/>
          <w:spacing w:val="1"/>
        </w:rPr>
        <w:t>s</w:t>
      </w:r>
      <w:r w:rsidRPr="009A0DA6">
        <w:rPr>
          <w:rFonts w:ascii="Cambria" w:eastAsia="Calibri" w:hAnsi="Cambria" w:cs="Calibri"/>
          <w:spacing w:val="-1"/>
        </w:rPr>
        <w:t>e</w:t>
      </w:r>
      <w:r w:rsidRPr="009A0DA6">
        <w:rPr>
          <w:rFonts w:ascii="Cambria" w:eastAsia="Calibri" w:hAnsi="Cambria" w:cs="Calibri"/>
        </w:rPr>
        <w:t>n</w:t>
      </w:r>
      <w:r w:rsidRPr="009A0DA6">
        <w:rPr>
          <w:rFonts w:ascii="Cambria" w:eastAsia="Calibri" w:hAnsi="Cambria" w:cs="Calibri"/>
          <w:spacing w:val="8"/>
        </w:rPr>
        <w:t xml:space="preserve"> </w:t>
      </w:r>
      <w:r w:rsidRPr="009A0DA6">
        <w:rPr>
          <w:rFonts w:ascii="Cambria" w:eastAsia="Calibri" w:hAnsi="Cambria" w:cs="Calibri"/>
          <w:spacing w:val="1"/>
        </w:rPr>
        <w:t>b</w:t>
      </w:r>
      <w:r w:rsidRPr="009A0DA6">
        <w:rPr>
          <w:rFonts w:ascii="Cambria" w:eastAsia="Calibri" w:hAnsi="Cambria" w:cs="Calibri"/>
          <w:spacing w:val="-1"/>
        </w:rPr>
        <w:t>e</w:t>
      </w:r>
      <w:r w:rsidRPr="009A0DA6">
        <w:rPr>
          <w:rFonts w:ascii="Cambria" w:eastAsia="Calibri" w:hAnsi="Cambria" w:cs="Calibri"/>
        </w:rPr>
        <w:t>ca</w:t>
      </w:r>
      <w:r w:rsidRPr="009A0DA6">
        <w:rPr>
          <w:rFonts w:ascii="Cambria" w:eastAsia="Calibri" w:hAnsi="Cambria" w:cs="Calibri"/>
          <w:spacing w:val="1"/>
        </w:rPr>
        <w:t>us</w:t>
      </w:r>
      <w:r w:rsidRPr="009A0DA6">
        <w:rPr>
          <w:rFonts w:ascii="Cambria" w:eastAsia="Calibri" w:hAnsi="Cambria" w:cs="Calibri"/>
        </w:rPr>
        <w:t>e</w:t>
      </w:r>
      <w:r w:rsidRPr="009A0DA6">
        <w:rPr>
          <w:rFonts w:ascii="Cambria" w:eastAsia="Calibri" w:hAnsi="Cambria" w:cs="Calibri"/>
          <w:spacing w:val="5"/>
        </w:rPr>
        <w:t xml:space="preserve"> </w:t>
      </w:r>
      <w:r w:rsidRPr="009A0DA6">
        <w:rPr>
          <w:rFonts w:ascii="Cambria" w:eastAsia="Calibri" w:hAnsi="Cambria" w:cs="Calibri"/>
          <w:spacing w:val="1"/>
        </w:rPr>
        <w:t>p</w:t>
      </w:r>
      <w:r w:rsidRPr="009A0DA6">
        <w:rPr>
          <w:rFonts w:ascii="Cambria" w:eastAsia="Calibri" w:hAnsi="Cambria" w:cs="Calibri"/>
          <w:spacing w:val="-1"/>
        </w:rPr>
        <w:t>e</w:t>
      </w:r>
      <w:r w:rsidRPr="009A0DA6">
        <w:rPr>
          <w:rFonts w:ascii="Cambria" w:eastAsia="Calibri" w:hAnsi="Cambria" w:cs="Calibri"/>
        </w:rPr>
        <w:t>o</w:t>
      </w:r>
      <w:r w:rsidRPr="009A0DA6">
        <w:rPr>
          <w:rFonts w:ascii="Cambria" w:eastAsia="Calibri" w:hAnsi="Cambria" w:cs="Calibri"/>
          <w:spacing w:val="1"/>
        </w:rPr>
        <w:t>p</w:t>
      </w:r>
      <w:r w:rsidRPr="009A0DA6">
        <w:rPr>
          <w:rFonts w:ascii="Cambria" w:eastAsia="Calibri" w:hAnsi="Cambria" w:cs="Calibri"/>
          <w:spacing w:val="2"/>
        </w:rPr>
        <w:t>l</w:t>
      </w:r>
      <w:r w:rsidRPr="009A0DA6">
        <w:rPr>
          <w:rFonts w:ascii="Cambria" w:eastAsia="Calibri" w:hAnsi="Cambria" w:cs="Calibri"/>
        </w:rPr>
        <w:t>e</w:t>
      </w:r>
      <w:r w:rsidRPr="009A0DA6">
        <w:rPr>
          <w:rFonts w:ascii="Cambria" w:eastAsia="Calibri" w:hAnsi="Cambria" w:cs="Calibri"/>
          <w:spacing w:val="6"/>
        </w:rPr>
        <w:t xml:space="preserve"> </w:t>
      </w:r>
      <w:r w:rsidRPr="009A0DA6">
        <w:rPr>
          <w:rFonts w:ascii="Cambria" w:eastAsia="Calibri" w:hAnsi="Cambria" w:cs="Calibri"/>
          <w:spacing w:val="1"/>
        </w:rPr>
        <w:t>h</w:t>
      </w:r>
      <w:r w:rsidRPr="009A0DA6">
        <w:rPr>
          <w:rFonts w:ascii="Cambria" w:eastAsia="Calibri" w:hAnsi="Cambria" w:cs="Calibri"/>
        </w:rPr>
        <w:t>a</w:t>
      </w:r>
      <w:r w:rsidRPr="009A0DA6">
        <w:rPr>
          <w:rFonts w:ascii="Cambria" w:eastAsia="Calibri" w:hAnsi="Cambria" w:cs="Calibri"/>
          <w:spacing w:val="2"/>
        </w:rPr>
        <w:t>v</w:t>
      </w:r>
      <w:r w:rsidRPr="009A0DA6">
        <w:rPr>
          <w:rFonts w:ascii="Cambria" w:eastAsia="Calibri" w:hAnsi="Cambria" w:cs="Calibri"/>
        </w:rPr>
        <w:t>e accor</w:t>
      </w:r>
      <w:r w:rsidRPr="009A0DA6">
        <w:rPr>
          <w:rFonts w:ascii="Cambria" w:eastAsia="Calibri" w:hAnsi="Cambria" w:cs="Calibri"/>
          <w:spacing w:val="1"/>
        </w:rPr>
        <w:t>d</w:t>
      </w:r>
      <w:r w:rsidRPr="009A0DA6">
        <w:rPr>
          <w:rFonts w:ascii="Cambria" w:eastAsia="Calibri" w:hAnsi="Cambria" w:cs="Calibri"/>
          <w:spacing w:val="-1"/>
        </w:rPr>
        <w:t>e</w:t>
      </w:r>
      <w:r w:rsidRPr="009A0DA6">
        <w:rPr>
          <w:rFonts w:ascii="Cambria" w:eastAsia="Calibri" w:hAnsi="Cambria" w:cs="Calibri"/>
        </w:rPr>
        <w:t>d</w:t>
      </w:r>
      <w:r w:rsidRPr="009A0DA6">
        <w:rPr>
          <w:rFonts w:ascii="Cambria" w:eastAsia="Calibri" w:hAnsi="Cambria" w:cs="Calibri"/>
          <w:spacing w:val="-13"/>
        </w:rPr>
        <w:t xml:space="preserve"> </w:t>
      </w:r>
      <w:r w:rsidRPr="009A0DA6">
        <w:rPr>
          <w:rFonts w:ascii="Cambria" w:eastAsia="Calibri" w:hAnsi="Cambria" w:cs="Calibri"/>
        </w:rPr>
        <w:t>a</w:t>
      </w:r>
      <w:r w:rsidRPr="009A0DA6">
        <w:rPr>
          <w:rFonts w:ascii="Cambria" w:eastAsia="Calibri" w:hAnsi="Cambria" w:cs="Calibri"/>
          <w:spacing w:val="-7"/>
        </w:rPr>
        <w:t xml:space="preserve"> </w:t>
      </w:r>
      <w:r w:rsidRPr="009A0DA6">
        <w:rPr>
          <w:rFonts w:ascii="Cambria" w:eastAsia="Calibri" w:hAnsi="Cambria" w:cs="Calibri"/>
        </w:rPr>
        <w:t>low</w:t>
      </w:r>
      <w:r w:rsidRPr="009A0DA6">
        <w:rPr>
          <w:rFonts w:ascii="Cambria" w:eastAsia="Calibri" w:hAnsi="Cambria" w:cs="Calibri"/>
          <w:spacing w:val="-1"/>
        </w:rPr>
        <w:t>e</w:t>
      </w:r>
      <w:r w:rsidRPr="009A0DA6">
        <w:rPr>
          <w:rFonts w:ascii="Cambria" w:eastAsia="Calibri" w:hAnsi="Cambria" w:cs="Calibri"/>
        </w:rPr>
        <w:t>r</w:t>
      </w:r>
      <w:r w:rsidRPr="009A0DA6">
        <w:rPr>
          <w:rFonts w:ascii="Cambria" w:eastAsia="Calibri" w:hAnsi="Cambria" w:cs="Calibri"/>
          <w:spacing w:val="-12"/>
        </w:rPr>
        <w:t xml:space="preserve"> </w:t>
      </w:r>
      <w:r w:rsidRPr="009A0DA6">
        <w:rPr>
          <w:rFonts w:ascii="Cambria" w:eastAsia="Calibri" w:hAnsi="Cambria" w:cs="Calibri"/>
          <w:spacing w:val="-1"/>
        </w:rPr>
        <w:t>s</w:t>
      </w:r>
      <w:r w:rsidRPr="009A0DA6">
        <w:rPr>
          <w:rFonts w:ascii="Cambria" w:eastAsia="Calibri" w:hAnsi="Cambria" w:cs="Calibri"/>
        </w:rPr>
        <w:t>t</w:t>
      </w:r>
      <w:r w:rsidRPr="009A0DA6">
        <w:rPr>
          <w:rFonts w:ascii="Cambria" w:eastAsia="Calibri" w:hAnsi="Cambria" w:cs="Calibri"/>
          <w:spacing w:val="1"/>
        </w:rPr>
        <w:t>a</w:t>
      </w:r>
      <w:r w:rsidRPr="009A0DA6">
        <w:rPr>
          <w:rFonts w:ascii="Cambria" w:eastAsia="Calibri" w:hAnsi="Cambria" w:cs="Calibri"/>
        </w:rPr>
        <w:t>t</w:t>
      </w:r>
      <w:r w:rsidRPr="009A0DA6">
        <w:rPr>
          <w:rFonts w:ascii="Cambria" w:eastAsia="Calibri" w:hAnsi="Cambria" w:cs="Calibri"/>
          <w:spacing w:val="1"/>
        </w:rPr>
        <w:t>u</w:t>
      </w:r>
      <w:r w:rsidRPr="009A0DA6">
        <w:rPr>
          <w:rFonts w:ascii="Cambria" w:eastAsia="Calibri" w:hAnsi="Cambria" w:cs="Calibri"/>
        </w:rPr>
        <w:t>s</w:t>
      </w:r>
      <w:r w:rsidRPr="009A0DA6">
        <w:rPr>
          <w:rFonts w:ascii="Cambria" w:eastAsia="Calibri" w:hAnsi="Cambria" w:cs="Calibri"/>
          <w:spacing w:val="-13"/>
        </w:rPr>
        <w:t xml:space="preserve"> </w:t>
      </w:r>
      <w:r w:rsidRPr="009A0DA6">
        <w:rPr>
          <w:rFonts w:ascii="Cambria" w:eastAsia="Calibri" w:hAnsi="Cambria" w:cs="Calibri"/>
        </w:rPr>
        <w:t>to</w:t>
      </w:r>
      <w:r w:rsidRPr="009A0DA6">
        <w:rPr>
          <w:rFonts w:ascii="Cambria" w:eastAsia="Calibri" w:hAnsi="Cambria" w:cs="Calibri"/>
          <w:spacing w:val="-8"/>
        </w:rPr>
        <w:t xml:space="preserve"> </w:t>
      </w:r>
      <w:r w:rsidRPr="009A0DA6">
        <w:rPr>
          <w:rFonts w:ascii="Cambria" w:eastAsia="Calibri" w:hAnsi="Cambria" w:cs="Calibri"/>
          <w:spacing w:val="-1"/>
        </w:rPr>
        <w:t>w</w:t>
      </w:r>
      <w:r w:rsidRPr="009A0DA6">
        <w:rPr>
          <w:rFonts w:ascii="Cambria" w:eastAsia="Calibri" w:hAnsi="Cambria" w:cs="Calibri"/>
          <w:spacing w:val="3"/>
        </w:rPr>
        <w:t>o</w:t>
      </w:r>
      <w:r w:rsidRPr="009A0DA6">
        <w:rPr>
          <w:rFonts w:ascii="Cambria" w:eastAsia="Calibri" w:hAnsi="Cambria" w:cs="Calibri"/>
          <w:spacing w:val="-1"/>
        </w:rPr>
        <w:t>me</w:t>
      </w:r>
      <w:r w:rsidRPr="009A0DA6">
        <w:rPr>
          <w:rFonts w:ascii="Cambria" w:eastAsia="Calibri" w:hAnsi="Cambria" w:cs="Calibri"/>
        </w:rPr>
        <w:t>n</w:t>
      </w:r>
      <w:r w:rsidRPr="009A0DA6">
        <w:rPr>
          <w:rFonts w:ascii="Cambria" w:eastAsia="Calibri" w:hAnsi="Cambria" w:cs="Calibri"/>
          <w:spacing w:val="-12"/>
        </w:rPr>
        <w:t xml:space="preserve"> </w:t>
      </w:r>
      <w:r w:rsidRPr="009A0DA6">
        <w:rPr>
          <w:rFonts w:ascii="Cambria" w:eastAsia="Calibri" w:hAnsi="Cambria" w:cs="Calibri"/>
        </w:rPr>
        <w:t>t</w:t>
      </w:r>
      <w:r w:rsidRPr="009A0DA6">
        <w:rPr>
          <w:rFonts w:ascii="Cambria" w:eastAsia="Calibri" w:hAnsi="Cambria" w:cs="Calibri"/>
          <w:spacing w:val="1"/>
        </w:rPr>
        <w:t>h</w:t>
      </w:r>
      <w:r w:rsidRPr="009A0DA6">
        <w:rPr>
          <w:rFonts w:ascii="Cambria" w:eastAsia="Calibri" w:hAnsi="Cambria" w:cs="Calibri"/>
        </w:rPr>
        <w:t>an</w:t>
      </w:r>
      <w:r w:rsidRPr="009A0DA6">
        <w:rPr>
          <w:rFonts w:ascii="Cambria" w:eastAsia="Calibri" w:hAnsi="Cambria" w:cs="Calibri"/>
          <w:spacing w:val="-9"/>
        </w:rPr>
        <w:t xml:space="preserve"> </w:t>
      </w:r>
      <w:r w:rsidRPr="009A0DA6">
        <w:rPr>
          <w:rFonts w:ascii="Cambria" w:eastAsia="Calibri" w:hAnsi="Cambria" w:cs="Calibri"/>
        </w:rPr>
        <w:t>to</w:t>
      </w:r>
      <w:r w:rsidRPr="009A0DA6">
        <w:rPr>
          <w:rFonts w:ascii="Cambria" w:eastAsia="Calibri" w:hAnsi="Cambria" w:cs="Calibri"/>
          <w:spacing w:val="-8"/>
        </w:rPr>
        <w:t xml:space="preserve"> </w:t>
      </w:r>
      <w:r w:rsidRPr="009A0DA6">
        <w:rPr>
          <w:rFonts w:ascii="Cambria" w:eastAsia="Calibri" w:hAnsi="Cambria" w:cs="Calibri"/>
          <w:spacing w:val="-1"/>
        </w:rPr>
        <w:t>me</w:t>
      </w:r>
      <w:r w:rsidRPr="009A0DA6">
        <w:rPr>
          <w:rFonts w:ascii="Cambria" w:eastAsia="Calibri" w:hAnsi="Cambria" w:cs="Calibri"/>
          <w:spacing w:val="1"/>
        </w:rPr>
        <w:t>n</w:t>
      </w:r>
      <w:r w:rsidRPr="009A0DA6">
        <w:rPr>
          <w:rFonts w:ascii="Cambria" w:eastAsia="Calibri" w:hAnsi="Cambria" w:cs="Calibri"/>
        </w:rPr>
        <w:t>.</w:t>
      </w:r>
      <w:r w:rsidRPr="009A0DA6">
        <w:rPr>
          <w:rFonts w:ascii="Cambria" w:eastAsia="Calibri" w:hAnsi="Cambria" w:cs="Calibri"/>
          <w:spacing w:val="-11"/>
        </w:rPr>
        <w:t xml:space="preserve"> </w:t>
      </w:r>
      <w:r w:rsidRPr="009A0DA6">
        <w:rPr>
          <w:rFonts w:ascii="Cambria" w:eastAsia="Calibri" w:hAnsi="Cambria" w:cs="Calibri"/>
        </w:rPr>
        <w:t>It</w:t>
      </w:r>
      <w:r w:rsidRPr="009A0DA6">
        <w:rPr>
          <w:rFonts w:ascii="Cambria" w:eastAsia="Calibri" w:hAnsi="Cambria" w:cs="Calibri"/>
          <w:spacing w:val="-7"/>
        </w:rPr>
        <w:t xml:space="preserve"> </w:t>
      </w:r>
      <w:r w:rsidRPr="009A0DA6">
        <w:rPr>
          <w:rFonts w:ascii="Cambria" w:eastAsia="Calibri" w:hAnsi="Cambria" w:cs="Calibri"/>
        </w:rPr>
        <w:t>t</w:t>
      </w:r>
      <w:r w:rsidRPr="009A0DA6">
        <w:rPr>
          <w:rFonts w:ascii="Cambria" w:eastAsia="Calibri" w:hAnsi="Cambria" w:cs="Calibri"/>
          <w:spacing w:val="1"/>
        </w:rPr>
        <w:t>h</w:t>
      </w:r>
      <w:r w:rsidRPr="009A0DA6">
        <w:rPr>
          <w:rFonts w:ascii="Cambria" w:eastAsia="Calibri" w:hAnsi="Cambria" w:cs="Calibri"/>
          <w:spacing w:val="-1"/>
        </w:rPr>
        <w:t>e</w:t>
      </w:r>
      <w:r w:rsidRPr="009A0DA6">
        <w:rPr>
          <w:rFonts w:ascii="Cambria" w:eastAsia="Calibri" w:hAnsi="Cambria" w:cs="Calibri"/>
        </w:rPr>
        <w:t>n</w:t>
      </w:r>
      <w:r w:rsidRPr="009A0DA6">
        <w:rPr>
          <w:rFonts w:ascii="Cambria" w:eastAsia="Calibri" w:hAnsi="Cambria" w:cs="Calibri"/>
          <w:spacing w:val="-10"/>
        </w:rPr>
        <w:t xml:space="preserve"> </w:t>
      </w:r>
      <w:r w:rsidRPr="009A0DA6">
        <w:rPr>
          <w:rFonts w:ascii="Cambria" w:eastAsia="Calibri" w:hAnsi="Cambria" w:cs="Calibri"/>
        </w:rPr>
        <w:t>arg</w:t>
      </w:r>
      <w:r w:rsidRPr="009A0DA6">
        <w:rPr>
          <w:rFonts w:ascii="Cambria" w:eastAsia="Calibri" w:hAnsi="Cambria" w:cs="Calibri"/>
          <w:spacing w:val="-2"/>
        </w:rPr>
        <w:t>u</w:t>
      </w:r>
      <w:r w:rsidRPr="009A0DA6">
        <w:rPr>
          <w:rFonts w:ascii="Cambria" w:eastAsia="Calibri" w:hAnsi="Cambria" w:cs="Calibri"/>
          <w:spacing w:val="-1"/>
        </w:rPr>
        <w:t>e</w:t>
      </w:r>
      <w:r w:rsidRPr="009A0DA6">
        <w:rPr>
          <w:rFonts w:ascii="Cambria" w:eastAsia="Calibri" w:hAnsi="Cambria" w:cs="Calibri"/>
        </w:rPr>
        <w:t>s</w:t>
      </w:r>
      <w:r w:rsidRPr="009A0DA6">
        <w:rPr>
          <w:rFonts w:ascii="Cambria" w:eastAsia="Calibri" w:hAnsi="Cambria" w:cs="Calibri"/>
          <w:spacing w:val="-13"/>
        </w:rPr>
        <w:t xml:space="preserve"> </w:t>
      </w:r>
      <w:r w:rsidRPr="009A0DA6">
        <w:rPr>
          <w:rFonts w:ascii="Cambria" w:eastAsia="Calibri" w:hAnsi="Cambria" w:cs="Calibri"/>
        </w:rPr>
        <w:t>t</w:t>
      </w:r>
      <w:r w:rsidRPr="009A0DA6">
        <w:rPr>
          <w:rFonts w:ascii="Cambria" w:eastAsia="Calibri" w:hAnsi="Cambria" w:cs="Calibri"/>
          <w:spacing w:val="1"/>
        </w:rPr>
        <w:t>h</w:t>
      </w:r>
      <w:r w:rsidRPr="009A0DA6">
        <w:rPr>
          <w:rFonts w:ascii="Cambria" w:eastAsia="Calibri" w:hAnsi="Cambria" w:cs="Calibri"/>
        </w:rPr>
        <w:t>at</w:t>
      </w:r>
      <w:r w:rsidRPr="009A0DA6">
        <w:rPr>
          <w:rFonts w:ascii="Cambria" w:eastAsia="Calibri" w:hAnsi="Cambria" w:cs="Calibri"/>
          <w:spacing w:val="-9"/>
        </w:rPr>
        <w:t xml:space="preserve"> </w:t>
      </w:r>
      <w:r w:rsidRPr="009A0DA6">
        <w:rPr>
          <w:rFonts w:ascii="Cambria" w:eastAsia="Calibri" w:hAnsi="Cambria" w:cs="Calibri"/>
        </w:rPr>
        <w:t>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10"/>
        </w:rPr>
        <w:t xml:space="preserve"> </w:t>
      </w:r>
      <w:r w:rsidRPr="009A0DA6">
        <w:rPr>
          <w:rFonts w:ascii="Cambria" w:eastAsia="Calibri" w:hAnsi="Cambria" w:cs="Calibri"/>
          <w:spacing w:val="1"/>
        </w:rPr>
        <w:t>n</w:t>
      </w:r>
      <w:r w:rsidRPr="009A0DA6">
        <w:rPr>
          <w:rFonts w:ascii="Cambria" w:eastAsia="Calibri" w:hAnsi="Cambria" w:cs="Calibri"/>
          <w:spacing w:val="-1"/>
        </w:rPr>
        <w:t>e</w:t>
      </w:r>
      <w:r w:rsidRPr="009A0DA6">
        <w:rPr>
          <w:rFonts w:ascii="Cambria" w:eastAsia="Calibri" w:hAnsi="Cambria" w:cs="Calibri"/>
        </w:rPr>
        <w:t>w</w:t>
      </w:r>
      <w:r w:rsidRPr="009A0DA6">
        <w:rPr>
          <w:rFonts w:ascii="Cambria" w:eastAsia="Calibri" w:hAnsi="Cambria" w:cs="Calibri"/>
          <w:spacing w:val="-11"/>
        </w:rPr>
        <w:t xml:space="preserve"> </w:t>
      </w:r>
      <w:r w:rsidRPr="009A0DA6">
        <w:rPr>
          <w:rFonts w:ascii="Cambria" w:eastAsia="Calibri" w:hAnsi="Cambria" w:cs="Calibri"/>
          <w:spacing w:val="-1"/>
        </w:rPr>
        <w:t>s</w:t>
      </w:r>
      <w:r w:rsidRPr="009A0DA6">
        <w:rPr>
          <w:rFonts w:ascii="Cambria" w:eastAsia="Calibri" w:hAnsi="Cambria" w:cs="Calibri"/>
        </w:rPr>
        <w:t>t</w:t>
      </w:r>
      <w:r w:rsidRPr="009A0DA6">
        <w:rPr>
          <w:rFonts w:ascii="Cambria" w:eastAsia="Calibri" w:hAnsi="Cambria" w:cs="Calibri"/>
          <w:spacing w:val="1"/>
        </w:rPr>
        <w:t>a</w:t>
      </w:r>
      <w:r w:rsidRPr="009A0DA6">
        <w:rPr>
          <w:rFonts w:ascii="Cambria" w:eastAsia="Calibri" w:hAnsi="Cambria" w:cs="Calibri"/>
        </w:rPr>
        <w:t>t</w:t>
      </w:r>
      <w:r w:rsidRPr="009A0DA6">
        <w:rPr>
          <w:rFonts w:ascii="Cambria" w:eastAsia="Calibri" w:hAnsi="Cambria" w:cs="Calibri"/>
          <w:spacing w:val="1"/>
        </w:rPr>
        <w:t>u</w:t>
      </w:r>
      <w:r w:rsidRPr="009A0DA6">
        <w:rPr>
          <w:rFonts w:ascii="Cambria" w:eastAsia="Calibri" w:hAnsi="Cambria" w:cs="Calibri"/>
        </w:rPr>
        <w:t>s</w:t>
      </w:r>
      <w:r w:rsidRPr="009A0DA6">
        <w:rPr>
          <w:rFonts w:ascii="Cambria" w:eastAsia="Calibri" w:hAnsi="Cambria" w:cs="Calibri"/>
          <w:spacing w:val="-10"/>
        </w:rPr>
        <w:t xml:space="preserve"> </w:t>
      </w:r>
      <w:r w:rsidRPr="009A0DA6">
        <w:rPr>
          <w:rFonts w:ascii="Cambria" w:eastAsia="Calibri" w:hAnsi="Cambria" w:cs="Calibri"/>
          <w:spacing w:val="-1"/>
        </w:rPr>
        <w:t>w</w:t>
      </w:r>
      <w:r w:rsidRPr="009A0DA6">
        <w:rPr>
          <w:rFonts w:ascii="Cambria" w:eastAsia="Calibri" w:hAnsi="Cambria" w:cs="Calibri"/>
        </w:rPr>
        <w:t>o</w:t>
      </w:r>
      <w:r w:rsidRPr="009A0DA6">
        <w:rPr>
          <w:rFonts w:ascii="Cambria" w:eastAsia="Calibri" w:hAnsi="Cambria" w:cs="Calibri"/>
          <w:spacing w:val="1"/>
        </w:rPr>
        <w:t>m</w:t>
      </w:r>
      <w:r w:rsidRPr="009A0DA6">
        <w:rPr>
          <w:rFonts w:ascii="Cambria" w:eastAsia="Calibri" w:hAnsi="Cambria" w:cs="Calibri"/>
          <w:spacing w:val="-1"/>
        </w:rPr>
        <w:t>e</w:t>
      </w:r>
      <w:r w:rsidRPr="009A0DA6">
        <w:rPr>
          <w:rFonts w:ascii="Cambria" w:eastAsia="Calibri" w:hAnsi="Cambria" w:cs="Calibri"/>
        </w:rPr>
        <w:t>n</w:t>
      </w:r>
      <w:r w:rsidRPr="009A0DA6">
        <w:rPr>
          <w:rFonts w:ascii="Cambria" w:eastAsia="Calibri" w:hAnsi="Cambria" w:cs="Calibri"/>
          <w:spacing w:val="-12"/>
        </w:rPr>
        <w:t xml:space="preserve"> </w:t>
      </w:r>
      <w:r w:rsidRPr="009A0DA6">
        <w:rPr>
          <w:rFonts w:ascii="Cambria" w:eastAsia="Calibri" w:hAnsi="Cambria" w:cs="Calibri"/>
          <w:spacing w:val="1"/>
        </w:rPr>
        <w:t>h</w:t>
      </w:r>
      <w:r w:rsidRPr="009A0DA6">
        <w:rPr>
          <w:rFonts w:ascii="Cambria" w:eastAsia="Calibri" w:hAnsi="Cambria" w:cs="Calibri"/>
        </w:rPr>
        <w:t>a</w:t>
      </w:r>
      <w:r w:rsidRPr="009A0DA6">
        <w:rPr>
          <w:rFonts w:ascii="Cambria" w:eastAsia="Calibri" w:hAnsi="Cambria" w:cs="Calibri"/>
          <w:spacing w:val="-1"/>
        </w:rPr>
        <w:t>v</w:t>
      </w:r>
      <w:r w:rsidRPr="009A0DA6">
        <w:rPr>
          <w:rFonts w:ascii="Cambria" w:eastAsia="Calibri" w:hAnsi="Cambria" w:cs="Calibri"/>
        </w:rPr>
        <w:t>e</w:t>
      </w:r>
      <w:r w:rsidRPr="009A0DA6">
        <w:rPr>
          <w:rFonts w:ascii="Cambria" w:eastAsia="Calibri" w:hAnsi="Cambria" w:cs="Calibri"/>
          <w:spacing w:val="-11"/>
        </w:rPr>
        <w:t xml:space="preserve"> </w:t>
      </w:r>
      <w:r w:rsidRPr="009A0DA6">
        <w:rPr>
          <w:rFonts w:ascii="Cambria" w:eastAsia="Calibri" w:hAnsi="Cambria" w:cs="Calibri"/>
          <w:spacing w:val="1"/>
        </w:rPr>
        <w:t>b</w:t>
      </w:r>
      <w:r w:rsidRPr="009A0DA6">
        <w:rPr>
          <w:rFonts w:ascii="Cambria" w:eastAsia="Calibri" w:hAnsi="Cambria" w:cs="Calibri"/>
        </w:rPr>
        <w:t>y</w:t>
      </w:r>
      <w:r w:rsidRPr="009A0DA6">
        <w:rPr>
          <w:rFonts w:ascii="Cambria" w:eastAsia="Calibri" w:hAnsi="Cambria" w:cs="Calibri"/>
          <w:spacing w:val="-8"/>
        </w:rPr>
        <w:t xml:space="preserve"> </w:t>
      </w:r>
      <w:r w:rsidRPr="009A0DA6">
        <w:rPr>
          <w:rFonts w:ascii="Cambria" w:eastAsia="Calibri" w:hAnsi="Cambria" w:cs="Calibri"/>
          <w:spacing w:val="-1"/>
        </w:rPr>
        <w:t>v</w:t>
      </w:r>
      <w:r w:rsidRPr="009A0DA6">
        <w:rPr>
          <w:rFonts w:ascii="Cambria" w:eastAsia="Calibri" w:hAnsi="Cambria" w:cs="Calibri"/>
        </w:rPr>
        <w:t>irt</w:t>
      </w:r>
      <w:r w:rsidRPr="009A0DA6">
        <w:rPr>
          <w:rFonts w:ascii="Cambria" w:eastAsia="Calibri" w:hAnsi="Cambria" w:cs="Calibri"/>
          <w:spacing w:val="1"/>
        </w:rPr>
        <w:t>u</w:t>
      </w:r>
      <w:r w:rsidRPr="009A0DA6">
        <w:rPr>
          <w:rFonts w:ascii="Cambria" w:eastAsia="Calibri" w:hAnsi="Cambria" w:cs="Calibri"/>
        </w:rPr>
        <w:t>e</w:t>
      </w:r>
      <w:r w:rsidRPr="009A0DA6">
        <w:rPr>
          <w:rFonts w:ascii="Cambria" w:eastAsia="Calibri" w:hAnsi="Cambria" w:cs="Calibri"/>
          <w:spacing w:val="-12"/>
        </w:rPr>
        <w:t xml:space="preserve"> </w:t>
      </w:r>
      <w:r w:rsidRPr="009A0DA6">
        <w:rPr>
          <w:rFonts w:ascii="Cambria" w:eastAsia="Calibri" w:hAnsi="Cambria" w:cs="Calibri"/>
        </w:rPr>
        <w:t>of</w:t>
      </w:r>
      <w:r w:rsidRPr="009A0DA6">
        <w:rPr>
          <w:rFonts w:ascii="Cambria" w:eastAsia="Calibri" w:hAnsi="Cambria" w:cs="Calibri"/>
          <w:spacing w:val="-2"/>
        </w:rPr>
        <w:t xml:space="preserve"> </w:t>
      </w:r>
      <w:r w:rsidRPr="009A0DA6">
        <w:rPr>
          <w:rFonts w:ascii="Cambria" w:eastAsia="Calibri" w:hAnsi="Cambria" w:cs="Calibri"/>
        </w:rPr>
        <w:t>t</w:t>
      </w:r>
      <w:r w:rsidRPr="009A0DA6">
        <w:rPr>
          <w:rFonts w:ascii="Cambria" w:eastAsia="Calibri" w:hAnsi="Cambria" w:cs="Calibri"/>
          <w:spacing w:val="1"/>
        </w:rPr>
        <w:t>h</w:t>
      </w:r>
      <w:r w:rsidRPr="009A0DA6">
        <w:rPr>
          <w:rFonts w:ascii="Cambria" w:eastAsia="Calibri" w:hAnsi="Cambria" w:cs="Calibri"/>
          <w:spacing w:val="-1"/>
        </w:rPr>
        <w:t>e</w:t>
      </w:r>
      <w:r w:rsidRPr="009A0DA6">
        <w:rPr>
          <w:rFonts w:ascii="Cambria" w:eastAsia="Calibri" w:hAnsi="Cambria" w:cs="Calibri"/>
        </w:rPr>
        <w:t>ir</w:t>
      </w:r>
      <w:r w:rsidRPr="009A0DA6">
        <w:rPr>
          <w:rFonts w:ascii="Cambria" w:eastAsia="Calibri" w:hAnsi="Cambria" w:cs="Calibri"/>
          <w:spacing w:val="-11"/>
        </w:rPr>
        <w:t xml:space="preserve"> </w:t>
      </w:r>
      <w:r w:rsidRPr="009A0DA6">
        <w:rPr>
          <w:rFonts w:ascii="Cambria" w:eastAsia="Calibri" w:hAnsi="Cambria" w:cs="Calibri"/>
          <w:spacing w:val="1"/>
        </w:rPr>
        <w:t>b</w:t>
      </w:r>
      <w:r w:rsidRPr="009A0DA6">
        <w:rPr>
          <w:rFonts w:ascii="Cambria" w:eastAsia="Calibri" w:hAnsi="Cambria" w:cs="Calibri"/>
        </w:rPr>
        <w:t>a</w:t>
      </w:r>
      <w:r w:rsidRPr="009A0DA6">
        <w:rPr>
          <w:rFonts w:ascii="Cambria" w:eastAsia="Calibri" w:hAnsi="Cambria" w:cs="Calibri"/>
          <w:spacing w:val="1"/>
        </w:rPr>
        <w:t>p</w:t>
      </w:r>
      <w:r w:rsidRPr="009A0DA6">
        <w:rPr>
          <w:rFonts w:ascii="Cambria" w:eastAsia="Calibri" w:hAnsi="Cambria" w:cs="Calibri"/>
        </w:rPr>
        <w:t>ti</w:t>
      </w:r>
      <w:r w:rsidRPr="009A0DA6">
        <w:rPr>
          <w:rFonts w:ascii="Cambria" w:eastAsia="Calibri" w:hAnsi="Cambria" w:cs="Calibri"/>
          <w:spacing w:val="1"/>
        </w:rPr>
        <w:t>s</w:t>
      </w:r>
      <w:r w:rsidRPr="009A0DA6">
        <w:rPr>
          <w:rFonts w:ascii="Cambria" w:eastAsia="Calibri" w:hAnsi="Cambria" w:cs="Calibri"/>
        </w:rPr>
        <w:t>m i</w:t>
      </w:r>
      <w:r w:rsidRPr="009A0DA6">
        <w:rPr>
          <w:rFonts w:ascii="Cambria" w:eastAsia="Calibri" w:hAnsi="Cambria" w:cs="Calibri"/>
          <w:spacing w:val="1"/>
        </w:rPr>
        <w:t>n</w:t>
      </w:r>
      <w:r w:rsidRPr="009A0DA6">
        <w:rPr>
          <w:rFonts w:ascii="Cambria" w:eastAsia="Calibri" w:hAnsi="Cambria" w:cs="Calibri"/>
        </w:rPr>
        <w:t>to</w:t>
      </w:r>
      <w:r w:rsidRPr="009A0DA6">
        <w:rPr>
          <w:rFonts w:ascii="Cambria" w:eastAsia="Calibri" w:hAnsi="Cambria" w:cs="Calibri"/>
          <w:spacing w:val="-2"/>
        </w:rPr>
        <w:t xml:space="preserve"> </w:t>
      </w:r>
      <w:r w:rsidRPr="009A0DA6">
        <w:rPr>
          <w:rFonts w:ascii="Cambria" w:eastAsia="Calibri" w:hAnsi="Cambria" w:cs="Calibri"/>
        </w:rPr>
        <w:t>C</w:t>
      </w:r>
      <w:r w:rsidRPr="009A0DA6">
        <w:rPr>
          <w:rFonts w:ascii="Cambria" w:eastAsia="Calibri" w:hAnsi="Cambria" w:cs="Calibri"/>
          <w:spacing w:val="1"/>
        </w:rPr>
        <w:t>h</w:t>
      </w:r>
      <w:r w:rsidRPr="009A0DA6">
        <w:rPr>
          <w:rFonts w:ascii="Cambria" w:eastAsia="Calibri" w:hAnsi="Cambria" w:cs="Calibri"/>
        </w:rPr>
        <w:t>ri</w:t>
      </w:r>
      <w:r w:rsidRPr="009A0DA6">
        <w:rPr>
          <w:rFonts w:ascii="Cambria" w:eastAsia="Calibri" w:hAnsi="Cambria" w:cs="Calibri"/>
          <w:spacing w:val="-1"/>
        </w:rPr>
        <w:t>s</w:t>
      </w:r>
      <w:r w:rsidRPr="009A0DA6">
        <w:rPr>
          <w:rFonts w:ascii="Cambria" w:eastAsia="Calibri" w:hAnsi="Cambria" w:cs="Calibri"/>
        </w:rPr>
        <w:t>t</w:t>
      </w:r>
      <w:r w:rsidRPr="009A0DA6">
        <w:rPr>
          <w:rFonts w:ascii="Cambria" w:eastAsia="Calibri" w:hAnsi="Cambria" w:cs="Calibri"/>
          <w:spacing w:val="-4"/>
        </w:rPr>
        <w:t xml:space="preserve"> </w:t>
      </w:r>
      <w:r w:rsidRPr="009A0DA6">
        <w:rPr>
          <w:rFonts w:ascii="Cambria" w:eastAsia="Calibri" w:hAnsi="Cambria" w:cs="Calibri"/>
          <w:spacing w:val="1"/>
        </w:rPr>
        <w:t>b</w:t>
      </w:r>
      <w:r w:rsidRPr="009A0DA6">
        <w:rPr>
          <w:rFonts w:ascii="Cambria" w:eastAsia="Calibri" w:hAnsi="Cambria" w:cs="Calibri"/>
        </w:rPr>
        <w:t>r</w:t>
      </w:r>
      <w:r w:rsidRPr="009A0DA6">
        <w:rPr>
          <w:rFonts w:ascii="Cambria" w:eastAsia="Calibri" w:hAnsi="Cambria" w:cs="Calibri"/>
          <w:spacing w:val="-1"/>
        </w:rPr>
        <w:t>e</w:t>
      </w:r>
      <w:r w:rsidRPr="009A0DA6">
        <w:rPr>
          <w:rFonts w:ascii="Cambria" w:eastAsia="Calibri" w:hAnsi="Cambria" w:cs="Calibri"/>
        </w:rPr>
        <w:t>a</w:t>
      </w:r>
      <w:r w:rsidRPr="009A0DA6">
        <w:rPr>
          <w:rFonts w:ascii="Cambria" w:eastAsia="Calibri" w:hAnsi="Cambria" w:cs="Calibri"/>
          <w:spacing w:val="1"/>
        </w:rPr>
        <w:t>k</w:t>
      </w:r>
      <w:r w:rsidRPr="009A0DA6">
        <w:rPr>
          <w:rFonts w:ascii="Cambria" w:eastAsia="Calibri" w:hAnsi="Cambria" w:cs="Calibri"/>
        </w:rPr>
        <w:t>s</w:t>
      </w:r>
      <w:r w:rsidRPr="009A0DA6">
        <w:rPr>
          <w:rFonts w:ascii="Cambria" w:eastAsia="Calibri" w:hAnsi="Cambria" w:cs="Calibri"/>
          <w:spacing w:val="-6"/>
        </w:rPr>
        <w:t xml:space="preserve"> </w:t>
      </w:r>
      <w:r w:rsidRPr="009A0DA6">
        <w:rPr>
          <w:rFonts w:ascii="Cambria" w:eastAsia="Calibri" w:hAnsi="Cambria" w:cs="Calibri"/>
          <w:spacing w:val="1"/>
        </w:rPr>
        <w:t>d</w:t>
      </w:r>
      <w:r w:rsidRPr="009A0DA6">
        <w:rPr>
          <w:rFonts w:ascii="Cambria" w:eastAsia="Calibri" w:hAnsi="Cambria" w:cs="Calibri"/>
        </w:rPr>
        <w:t>o</w:t>
      </w:r>
      <w:r w:rsidRPr="009A0DA6">
        <w:rPr>
          <w:rFonts w:ascii="Cambria" w:eastAsia="Calibri" w:hAnsi="Cambria" w:cs="Calibri"/>
          <w:spacing w:val="-1"/>
        </w:rPr>
        <w:t>w</w:t>
      </w:r>
      <w:r w:rsidRPr="009A0DA6">
        <w:rPr>
          <w:rFonts w:ascii="Cambria" w:eastAsia="Calibri" w:hAnsi="Cambria" w:cs="Calibri"/>
        </w:rPr>
        <w:t>n</w:t>
      </w:r>
      <w:r w:rsidRPr="009A0DA6">
        <w:rPr>
          <w:rFonts w:ascii="Cambria" w:eastAsia="Calibri" w:hAnsi="Cambria" w:cs="Calibri"/>
          <w:spacing w:val="-4"/>
        </w:rPr>
        <w:t xml:space="preserve"> </w:t>
      </w:r>
      <w:r w:rsidRPr="009A0DA6">
        <w:rPr>
          <w:rFonts w:ascii="Cambria" w:eastAsia="Calibri" w:hAnsi="Cambria" w:cs="Calibri"/>
          <w:spacing w:val="1"/>
        </w:rPr>
        <w:t>the</w:t>
      </w:r>
      <w:r w:rsidRPr="009A0DA6">
        <w:rPr>
          <w:rFonts w:ascii="Cambria" w:eastAsia="Calibri" w:hAnsi="Cambria" w:cs="Calibri"/>
          <w:spacing w:val="-1"/>
        </w:rPr>
        <w:t>s</w:t>
      </w:r>
      <w:r w:rsidRPr="009A0DA6">
        <w:rPr>
          <w:rFonts w:ascii="Cambria" w:eastAsia="Calibri" w:hAnsi="Cambria" w:cs="Calibri"/>
        </w:rPr>
        <w:t>e</w:t>
      </w:r>
      <w:r w:rsidRPr="009A0DA6">
        <w:rPr>
          <w:rFonts w:ascii="Cambria" w:eastAsia="Calibri" w:hAnsi="Cambria" w:cs="Calibri"/>
          <w:spacing w:val="-3"/>
        </w:rPr>
        <w:t xml:space="preserve"> </w:t>
      </w:r>
      <w:r w:rsidRPr="009A0DA6">
        <w:rPr>
          <w:rFonts w:ascii="Cambria" w:eastAsia="Calibri" w:hAnsi="Cambria" w:cs="Calibri"/>
          <w:spacing w:val="1"/>
        </w:rPr>
        <w:t>b</w:t>
      </w:r>
      <w:r w:rsidRPr="009A0DA6">
        <w:rPr>
          <w:rFonts w:ascii="Cambria" w:eastAsia="Calibri" w:hAnsi="Cambria" w:cs="Calibri"/>
        </w:rPr>
        <w:t>arri</w:t>
      </w:r>
      <w:r w:rsidRPr="009A0DA6">
        <w:rPr>
          <w:rFonts w:ascii="Cambria" w:eastAsia="Calibri" w:hAnsi="Cambria" w:cs="Calibri"/>
          <w:spacing w:val="-1"/>
        </w:rPr>
        <w:t>e</w:t>
      </w:r>
      <w:r w:rsidRPr="009A0DA6">
        <w:rPr>
          <w:rFonts w:ascii="Cambria" w:eastAsia="Calibri" w:hAnsi="Cambria" w:cs="Calibri"/>
        </w:rPr>
        <w:t>r</w:t>
      </w:r>
      <w:r w:rsidRPr="009A0DA6">
        <w:rPr>
          <w:rFonts w:ascii="Cambria" w:eastAsia="Calibri" w:hAnsi="Cambria" w:cs="Calibri"/>
          <w:spacing w:val="-1"/>
        </w:rPr>
        <w:t>s</w:t>
      </w:r>
      <w:r w:rsidRPr="009A0DA6">
        <w:rPr>
          <w:rFonts w:ascii="Cambria" w:eastAsia="Calibri" w:hAnsi="Cambria" w:cs="Calibri"/>
        </w:rPr>
        <w:t>.</w:t>
      </w:r>
      <w:r w:rsidRPr="009A0DA6">
        <w:rPr>
          <w:rFonts w:ascii="Cambria" w:eastAsia="Calibri" w:hAnsi="Cambria" w:cs="Calibri"/>
          <w:spacing w:val="-7"/>
        </w:rPr>
        <w:t xml:space="preserve"> </w:t>
      </w:r>
      <w:r w:rsidRPr="009A0DA6">
        <w:rPr>
          <w:rFonts w:ascii="Cambria" w:eastAsia="Calibri" w:hAnsi="Cambria" w:cs="Calibri"/>
          <w:spacing w:val="-1"/>
        </w:rPr>
        <w:t>T</w:t>
      </w:r>
      <w:r w:rsidRPr="009A0DA6">
        <w:rPr>
          <w:rFonts w:ascii="Cambria" w:eastAsia="Calibri" w:hAnsi="Cambria" w:cs="Calibri"/>
          <w:spacing w:val="3"/>
        </w:rPr>
        <w:t>h</w:t>
      </w:r>
      <w:r w:rsidRPr="009A0DA6">
        <w:rPr>
          <w:rFonts w:ascii="Cambria" w:eastAsia="Calibri" w:hAnsi="Cambria" w:cs="Calibri"/>
        </w:rPr>
        <w:t>e</w:t>
      </w:r>
      <w:r w:rsidRPr="009A0DA6">
        <w:rPr>
          <w:rFonts w:ascii="Cambria" w:eastAsia="Calibri" w:hAnsi="Cambria" w:cs="Calibri"/>
          <w:spacing w:val="-4"/>
        </w:rPr>
        <w:t xml:space="preserve"> </w:t>
      </w:r>
      <w:r w:rsidRPr="009A0DA6">
        <w:rPr>
          <w:rFonts w:ascii="Cambria" w:eastAsia="Calibri" w:hAnsi="Cambria" w:cs="Calibri"/>
          <w:spacing w:val="1"/>
        </w:rPr>
        <w:t>p</w:t>
      </w:r>
      <w:r w:rsidRPr="009A0DA6">
        <w:rPr>
          <w:rFonts w:ascii="Cambria" w:eastAsia="Calibri" w:hAnsi="Cambria" w:cs="Calibri"/>
        </w:rPr>
        <w:t>r</w:t>
      </w:r>
      <w:r w:rsidRPr="009A0DA6">
        <w:rPr>
          <w:rFonts w:ascii="Cambria" w:eastAsia="Calibri" w:hAnsi="Cambria" w:cs="Calibri"/>
          <w:spacing w:val="1"/>
        </w:rPr>
        <w:t>ob</w:t>
      </w:r>
      <w:r w:rsidRPr="009A0DA6">
        <w:rPr>
          <w:rFonts w:ascii="Cambria" w:eastAsia="Calibri" w:hAnsi="Cambria" w:cs="Calibri"/>
        </w:rPr>
        <w:t>l</w:t>
      </w:r>
      <w:r w:rsidRPr="009A0DA6">
        <w:rPr>
          <w:rFonts w:ascii="Cambria" w:eastAsia="Calibri" w:hAnsi="Cambria" w:cs="Calibri"/>
          <w:spacing w:val="-1"/>
        </w:rPr>
        <w:t>e</w:t>
      </w:r>
      <w:r w:rsidRPr="009A0DA6">
        <w:rPr>
          <w:rFonts w:ascii="Cambria" w:eastAsia="Calibri" w:hAnsi="Cambria" w:cs="Calibri"/>
        </w:rPr>
        <w:t>m</w:t>
      </w:r>
      <w:r w:rsidRPr="009A0DA6">
        <w:rPr>
          <w:rFonts w:ascii="Cambria" w:eastAsia="Calibri" w:hAnsi="Cambria" w:cs="Calibri"/>
          <w:spacing w:val="-5"/>
        </w:rPr>
        <w:t xml:space="preserve"> </w:t>
      </w:r>
      <w:r w:rsidRPr="009A0DA6">
        <w:rPr>
          <w:rFonts w:ascii="Cambria" w:eastAsia="Calibri" w:hAnsi="Cambria" w:cs="Calibri"/>
          <w:spacing w:val="-1"/>
        </w:rPr>
        <w:t>w</w:t>
      </w:r>
      <w:r w:rsidRPr="009A0DA6">
        <w:rPr>
          <w:rFonts w:ascii="Cambria" w:eastAsia="Calibri" w:hAnsi="Cambria" w:cs="Calibri"/>
        </w:rPr>
        <w:t>ith</w:t>
      </w:r>
      <w:r w:rsidRPr="009A0DA6">
        <w:rPr>
          <w:rFonts w:ascii="Cambria" w:eastAsia="Calibri" w:hAnsi="Cambria" w:cs="Calibri"/>
          <w:spacing w:val="-3"/>
        </w:rPr>
        <w:t xml:space="preserve"> </w:t>
      </w:r>
      <w:r w:rsidRPr="009A0DA6">
        <w:rPr>
          <w:rFonts w:ascii="Cambria" w:eastAsia="Calibri" w:hAnsi="Cambria" w:cs="Calibri"/>
          <w:spacing w:val="1"/>
        </w:rPr>
        <w:t>th</w:t>
      </w:r>
      <w:r w:rsidRPr="009A0DA6">
        <w:rPr>
          <w:rFonts w:ascii="Cambria" w:eastAsia="Calibri" w:hAnsi="Cambria" w:cs="Calibri"/>
        </w:rPr>
        <w:t>is</w:t>
      </w:r>
      <w:r w:rsidRPr="009A0DA6">
        <w:rPr>
          <w:rFonts w:ascii="Cambria" w:eastAsia="Calibri" w:hAnsi="Cambria" w:cs="Calibri"/>
          <w:spacing w:val="-4"/>
        </w:rPr>
        <w:t xml:space="preserve"> </w:t>
      </w:r>
      <w:r w:rsidRPr="009A0DA6">
        <w:rPr>
          <w:rFonts w:ascii="Cambria" w:eastAsia="Calibri" w:hAnsi="Cambria" w:cs="Calibri"/>
        </w:rPr>
        <w:t>li</w:t>
      </w:r>
      <w:r w:rsidRPr="009A0DA6">
        <w:rPr>
          <w:rFonts w:ascii="Cambria" w:eastAsia="Calibri" w:hAnsi="Cambria" w:cs="Calibri"/>
          <w:spacing w:val="1"/>
        </w:rPr>
        <w:t>n</w:t>
      </w:r>
      <w:r w:rsidRPr="009A0DA6">
        <w:rPr>
          <w:rFonts w:ascii="Cambria" w:eastAsia="Calibri" w:hAnsi="Cambria" w:cs="Calibri"/>
        </w:rPr>
        <w:t>e</w:t>
      </w:r>
      <w:r w:rsidRPr="009A0DA6">
        <w:rPr>
          <w:rFonts w:ascii="Cambria" w:eastAsia="Calibri" w:hAnsi="Cambria" w:cs="Calibri"/>
          <w:spacing w:val="-4"/>
        </w:rPr>
        <w:t xml:space="preserve"> </w:t>
      </w:r>
      <w:r w:rsidRPr="009A0DA6">
        <w:rPr>
          <w:rFonts w:ascii="Cambria" w:eastAsia="Calibri" w:hAnsi="Cambria" w:cs="Calibri"/>
          <w:spacing w:val="1"/>
        </w:rPr>
        <w:t>o</w:t>
      </w:r>
      <w:r w:rsidRPr="009A0DA6">
        <w:rPr>
          <w:rFonts w:ascii="Cambria" w:eastAsia="Calibri" w:hAnsi="Cambria" w:cs="Calibri"/>
        </w:rPr>
        <w:t>f</w:t>
      </w:r>
      <w:r w:rsidRPr="009A0DA6">
        <w:rPr>
          <w:rFonts w:ascii="Cambria" w:eastAsia="Calibri" w:hAnsi="Cambria" w:cs="Calibri"/>
          <w:spacing w:val="-3"/>
        </w:rPr>
        <w:t xml:space="preserve"> </w:t>
      </w:r>
      <w:r w:rsidRPr="009A0DA6">
        <w:rPr>
          <w:rFonts w:ascii="Cambria" w:eastAsia="Calibri" w:hAnsi="Cambria" w:cs="Calibri"/>
          <w:spacing w:val="3"/>
        </w:rPr>
        <w:t>r</w:t>
      </w:r>
      <w:r w:rsidRPr="009A0DA6">
        <w:rPr>
          <w:rFonts w:ascii="Cambria" w:eastAsia="Calibri" w:hAnsi="Cambria" w:cs="Calibri"/>
          <w:spacing w:val="-1"/>
        </w:rPr>
        <w:t>e</w:t>
      </w:r>
      <w:r w:rsidRPr="009A0DA6">
        <w:rPr>
          <w:rFonts w:ascii="Cambria" w:eastAsia="Calibri" w:hAnsi="Cambria" w:cs="Calibri"/>
        </w:rPr>
        <w:t>aso</w:t>
      </w:r>
      <w:r w:rsidRPr="009A0DA6">
        <w:rPr>
          <w:rFonts w:ascii="Cambria" w:eastAsia="Calibri" w:hAnsi="Cambria" w:cs="Calibri"/>
          <w:spacing w:val="1"/>
        </w:rPr>
        <w:t>n</w:t>
      </w:r>
      <w:r w:rsidRPr="009A0DA6">
        <w:rPr>
          <w:rFonts w:ascii="Cambria" w:eastAsia="Calibri" w:hAnsi="Cambria" w:cs="Calibri"/>
        </w:rPr>
        <w:t>i</w:t>
      </w:r>
      <w:r w:rsidRPr="009A0DA6">
        <w:rPr>
          <w:rFonts w:ascii="Cambria" w:eastAsia="Calibri" w:hAnsi="Cambria" w:cs="Calibri"/>
          <w:spacing w:val="1"/>
        </w:rPr>
        <w:t>n</w:t>
      </w:r>
      <w:r w:rsidRPr="009A0DA6">
        <w:rPr>
          <w:rFonts w:ascii="Cambria" w:eastAsia="Calibri" w:hAnsi="Cambria" w:cs="Calibri"/>
        </w:rPr>
        <w:t>g</w:t>
      </w:r>
      <w:r w:rsidRPr="009A0DA6">
        <w:rPr>
          <w:rFonts w:ascii="Cambria" w:eastAsia="Calibri" w:hAnsi="Cambria" w:cs="Calibri"/>
          <w:spacing w:val="-8"/>
        </w:rPr>
        <w:t xml:space="preserve"> </w:t>
      </w:r>
      <w:r w:rsidRPr="009A0DA6">
        <w:rPr>
          <w:rFonts w:ascii="Cambria" w:eastAsia="Calibri" w:hAnsi="Cambria" w:cs="Calibri"/>
          <w:spacing w:val="2"/>
        </w:rPr>
        <w:t>i</w:t>
      </w:r>
      <w:r w:rsidRPr="009A0DA6">
        <w:rPr>
          <w:rFonts w:ascii="Cambria" w:eastAsia="Calibri" w:hAnsi="Cambria" w:cs="Calibri"/>
        </w:rPr>
        <w:t>s</w:t>
      </w:r>
      <w:r w:rsidRPr="009A0DA6">
        <w:rPr>
          <w:rFonts w:ascii="Cambria" w:eastAsia="Calibri" w:hAnsi="Cambria" w:cs="Calibri"/>
          <w:spacing w:val="-2"/>
        </w:rPr>
        <w:t xml:space="preserve"> </w:t>
      </w:r>
      <w:r w:rsidRPr="009A0DA6">
        <w:rPr>
          <w:rFonts w:ascii="Cambria" w:eastAsia="Calibri" w:hAnsi="Cambria" w:cs="Calibri"/>
          <w:spacing w:val="1"/>
        </w:rPr>
        <w:t>t</w:t>
      </w:r>
      <w:r w:rsidRPr="009A0DA6">
        <w:rPr>
          <w:rFonts w:ascii="Cambria" w:eastAsia="Calibri" w:hAnsi="Cambria" w:cs="Calibri"/>
          <w:spacing w:val="-1"/>
        </w:rPr>
        <w:t>w</w:t>
      </w:r>
      <w:r w:rsidRPr="009A0DA6">
        <w:rPr>
          <w:rFonts w:ascii="Cambria" w:eastAsia="Calibri" w:hAnsi="Cambria" w:cs="Calibri"/>
        </w:rPr>
        <w:t>o</w:t>
      </w:r>
      <w:r w:rsidRPr="009A0DA6">
        <w:rPr>
          <w:rFonts w:ascii="Cambria" w:eastAsia="Calibri" w:hAnsi="Cambria" w:cs="Calibri"/>
          <w:spacing w:val="-1"/>
        </w:rPr>
        <w:t>f</w:t>
      </w:r>
      <w:r w:rsidRPr="009A0DA6">
        <w:rPr>
          <w:rFonts w:ascii="Cambria" w:eastAsia="Calibri" w:hAnsi="Cambria" w:cs="Calibri"/>
        </w:rPr>
        <w:t>ol</w:t>
      </w:r>
      <w:r w:rsidRPr="009A0DA6">
        <w:rPr>
          <w:rFonts w:ascii="Cambria" w:eastAsia="Calibri" w:hAnsi="Cambria" w:cs="Calibri"/>
          <w:spacing w:val="1"/>
        </w:rPr>
        <w:t>d</w:t>
      </w:r>
      <w:r w:rsidRPr="009A0DA6">
        <w:rPr>
          <w:rFonts w:ascii="Cambria" w:eastAsia="Calibri" w:hAnsi="Cambria" w:cs="Calibri"/>
        </w:rPr>
        <w:t>:</w:t>
      </w:r>
      <w:r w:rsidR="00417DA5" w:rsidRPr="009A0DA6">
        <w:rPr>
          <w:rFonts w:ascii="Cambria" w:eastAsia="Calibri" w:hAnsi="Cambria" w:cs="Calibri"/>
        </w:rPr>
        <w:br/>
      </w:r>
    </w:p>
    <w:p w14:paraId="77921C81" w14:textId="222E46E5" w:rsidR="0042579D" w:rsidRPr="009A0DA6" w:rsidRDefault="0042579D" w:rsidP="00F55252">
      <w:pPr>
        <w:pStyle w:val="ListParagraph"/>
        <w:numPr>
          <w:ilvl w:val="1"/>
          <w:numId w:val="126"/>
        </w:numPr>
        <w:tabs>
          <w:tab w:val="clear" w:pos="1363"/>
          <w:tab w:val="left" w:pos="1701"/>
        </w:tabs>
        <w:spacing w:before="19" w:after="0" w:line="254" w:lineRule="auto"/>
        <w:ind w:left="1701" w:right="57" w:hanging="567"/>
        <w:rPr>
          <w:rFonts w:ascii="Cambria" w:eastAsia="Calibri" w:hAnsi="Cambria" w:cs="Calibri"/>
        </w:rPr>
      </w:pPr>
      <w:r w:rsidRPr="009A0DA6">
        <w:rPr>
          <w:rFonts w:ascii="Cambria" w:eastAsia="Calibri" w:hAnsi="Cambria" w:cs="Calibri"/>
          <w:position w:val="1"/>
        </w:rPr>
        <w:t>Fir</w:t>
      </w:r>
      <w:r w:rsidRPr="009A0DA6">
        <w:rPr>
          <w:rFonts w:ascii="Cambria" w:eastAsia="Calibri" w:hAnsi="Cambria" w:cs="Calibri"/>
          <w:spacing w:val="-1"/>
          <w:position w:val="1"/>
        </w:rPr>
        <w:t>s</w:t>
      </w:r>
      <w:r w:rsidRPr="009A0DA6">
        <w:rPr>
          <w:rFonts w:ascii="Cambria" w:eastAsia="Calibri" w:hAnsi="Cambria" w:cs="Calibri"/>
          <w:position w:val="1"/>
        </w:rPr>
        <w:t>t,</w:t>
      </w:r>
      <w:r w:rsidRPr="009A0DA6">
        <w:rPr>
          <w:rFonts w:ascii="Cambria" w:eastAsia="Calibri" w:hAnsi="Cambria" w:cs="Calibri"/>
          <w:spacing w:val="-3"/>
          <w:position w:val="1"/>
        </w:rPr>
        <w:t xml:space="preserve"> </w:t>
      </w:r>
      <w:r w:rsidRPr="009A0DA6">
        <w:rPr>
          <w:rFonts w:ascii="Cambria" w:eastAsia="Calibri" w:hAnsi="Cambria" w:cs="Calibri"/>
          <w:position w:val="1"/>
        </w:rPr>
        <w:t xml:space="preserve">it </w:t>
      </w:r>
      <w:r w:rsidRPr="009A0DA6">
        <w:rPr>
          <w:rFonts w:ascii="Cambria" w:eastAsia="Calibri" w:hAnsi="Cambria" w:cs="Calibri"/>
          <w:spacing w:val="3"/>
          <w:position w:val="1"/>
        </w:rPr>
        <w:t>i</w:t>
      </w:r>
      <w:r w:rsidRPr="009A0DA6">
        <w:rPr>
          <w:rFonts w:ascii="Cambria" w:eastAsia="Calibri" w:hAnsi="Cambria" w:cs="Calibri"/>
          <w:position w:val="1"/>
        </w:rPr>
        <w:t>s</w:t>
      </w:r>
      <w:r w:rsidRPr="009A0DA6">
        <w:rPr>
          <w:rFonts w:ascii="Cambria" w:eastAsia="Calibri" w:hAnsi="Cambria" w:cs="Calibri"/>
          <w:spacing w:val="-2"/>
          <w:position w:val="1"/>
        </w:rPr>
        <w:t xml:space="preserve"> </w:t>
      </w:r>
      <w:r w:rsidRPr="009A0DA6">
        <w:rPr>
          <w:rFonts w:ascii="Cambria" w:eastAsia="Calibri" w:hAnsi="Cambria" w:cs="Calibri"/>
          <w:spacing w:val="1"/>
          <w:position w:val="1"/>
        </w:rPr>
        <w:t>t</w:t>
      </w:r>
      <w:r w:rsidRPr="009A0DA6">
        <w:rPr>
          <w:rFonts w:ascii="Cambria" w:eastAsia="Calibri" w:hAnsi="Cambria" w:cs="Calibri"/>
          <w:position w:val="1"/>
        </w:rPr>
        <w:t>r</w:t>
      </w:r>
      <w:r w:rsidRPr="009A0DA6">
        <w:rPr>
          <w:rFonts w:ascii="Cambria" w:eastAsia="Calibri" w:hAnsi="Cambria" w:cs="Calibri"/>
          <w:spacing w:val="3"/>
          <w:position w:val="1"/>
        </w:rPr>
        <w:t>u</w:t>
      </w:r>
      <w:r w:rsidRPr="009A0DA6">
        <w:rPr>
          <w:rFonts w:ascii="Cambria" w:eastAsia="Calibri" w:hAnsi="Cambria" w:cs="Calibri"/>
          <w:position w:val="1"/>
        </w:rPr>
        <w:t>e</w:t>
      </w:r>
      <w:r w:rsidRPr="009A0DA6">
        <w:rPr>
          <w:rFonts w:ascii="Cambria" w:eastAsia="Calibri" w:hAnsi="Cambria" w:cs="Calibri"/>
          <w:spacing w:val="-4"/>
          <w:position w:val="1"/>
        </w:rPr>
        <w:t xml:space="preserve"> </w:t>
      </w:r>
      <w:r w:rsidRPr="009A0DA6">
        <w:rPr>
          <w:rFonts w:ascii="Cambria" w:eastAsia="Calibri" w:hAnsi="Cambria" w:cs="Calibri"/>
          <w:spacing w:val="1"/>
          <w:position w:val="1"/>
        </w:rPr>
        <w:t>th</w:t>
      </w:r>
      <w:r w:rsidRPr="009A0DA6">
        <w:rPr>
          <w:rFonts w:ascii="Cambria" w:eastAsia="Calibri" w:hAnsi="Cambria" w:cs="Calibri"/>
          <w:position w:val="1"/>
        </w:rPr>
        <w:t>at</w:t>
      </w:r>
      <w:r w:rsidRPr="009A0DA6">
        <w:rPr>
          <w:rFonts w:ascii="Cambria" w:eastAsia="Calibri" w:hAnsi="Cambria" w:cs="Calibri"/>
          <w:spacing w:val="5"/>
          <w:position w:val="1"/>
        </w:rPr>
        <w:t xml:space="preserve"> </w:t>
      </w:r>
      <w:r w:rsidRPr="009A0DA6">
        <w:rPr>
          <w:rFonts w:ascii="Cambria" w:eastAsia="Calibri" w:hAnsi="Cambria" w:cs="Calibri"/>
          <w:position w:val="1"/>
        </w:rPr>
        <w:t>t</w:t>
      </w:r>
      <w:r w:rsidRPr="009A0DA6">
        <w:rPr>
          <w:rFonts w:ascii="Cambria" w:eastAsia="Calibri" w:hAnsi="Cambria" w:cs="Calibri"/>
          <w:spacing w:val="-1"/>
          <w:position w:val="1"/>
        </w:rPr>
        <w:t>h</w:t>
      </w:r>
      <w:r w:rsidRPr="009A0DA6">
        <w:rPr>
          <w:rFonts w:ascii="Cambria" w:eastAsia="Calibri" w:hAnsi="Cambria" w:cs="Calibri"/>
          <w:position w:val="1"/>
        </w:rPr>
        <w:t>e</w:t>
      </w:r>
      <w:r w:rsidRPr="009A0DA6">
        <w:rPr>
          <w:rFonts w:ascii="Cambria" w:eastAsia="Calibri" w:hAnsi="Cambria" w:cs="Calibri"/>
          <w:spacing w:val="1"/>
          <w:position w:val="1"/>
        </w:rPr>
        <w:t xml:space="preserve"> </w:t>
      </w:r>
      <w:r w:rsidRPr="009A0DA6">
        <w:rPr>
          <w:rFonts w:ascii="Cambria" w:eastAsia="Calibri" w:hAnsi="Cambria" w:cs="Calibri"/>
          <w:spacing w:val="-1"/>
          <w:position w:val="1"/>
        </w:rPr>
        <w:t>un</w:t>
      </w:r>
      <w:r w:rsidRPr="009A0DA6">
        <w:rPr>
          <w:rFonts w:ascii="Cambria" w:eastAsia="Calibri" w:hAnsi="Cambria" w:cs="Calibri"/>
          <w:position w:val="1"/>
        </w:rPr>
        <w:t>ity</w:t>
      </w:r>
      <w:r w:rsidRPr="009A0DA6">
        <w:rPr>
          <w:rFonts w:ascii="Cambria" w:eastAsia="Calibri" w:hAnsi="Cambria" w:cs="Calibri"/>
          <w:spacing w:val="1"/>
          <w:position w:val="1"/>
        </w:rPr>
        <w:t xml:space="preserve"> </w:t>
      </w:r>
      <w:r w:rsidRPr="009A0DA6">
        <w:rPr>
          <w:rFonts w:ascii="Cambria" w:eastAsia="Calibri" w:hAnsi="Cambria" w:cs="Calibri"/>
          <w:position w:val="1"/>
        </w:rPr>
        <w:t>and</w:t>
      </w:r>
      <w:r w:rsidRPr="009A0DA6">
        <w:rPr>
          <w:rFonts w:ascii="Cambria" w:eastAsia="Calibri" w:hAnsi="Cambria" w:cs="Calibri"/>
          <w:spacing w:val="-1"/>
          <w:position w:val="1"/>
        </w:rPr>
        <w:t xml:space="preserve"> </w:t>
      </w:r>
      <w:r w:rsidRPr="009A0DA6">
        <w:rPr>
          <w:rFonts w:ascii="Cambria" w:eastAsia="Calibri" w:hAnsi="Cambria" w:cs="Calibri"/>
          <w:spacing w:val="1"/>
          <w:position w:val="1"/>
        </w:rPr>
        <w:t>e</w:t>
      </w:r>
      <w:r w:rsidRPr="009A0DA6">
        <w:rPr>
          <w:rFonts w:ascii="Cambria" w:eastAsia="Calibri" w:hAnsi="Cambria" w:cs="Calibri"/>
          <w:spacing w:val="-1"/>
          <w:position w:val="1"/>
        </w:rPr>
        <w:t>qu</w:t>
      </w:r>
      <w:r w:rsidRPr="009A0DA6">
        <w:rPr>
          <w:rFonts w:ascii="Cambria" w:eastAsia="Calibri" w:hAnsi="Cambria" w:cs="Calibri"/>
          <w:position w:val="1"/>
        </w:rPr>
        <w:t>al s</w:t>
      </w:r>
      <w:r w:rsidRPr="009A0DA6">
        <w:rPr>
          <w:rFonts w:ascii="Cambria" w:eastAsia="Calibri" w:hAnsi="Cambria" w:cs="Calibri"/>
          <w:spacing w:val="-1"/>
          <w:position w:val="1"/>
        </w:rPr>
        <w:t>h</w:t>
      </w:r>
      <w:r w:rsidRPr="009A0DA6">
        <w:rPr>
          <w:rFonts w:ascii="Cambria" w:eastAsia="Calibri" w:hAnsi="Cambria" w:cs="Calibri"/>
          <w:position w:val="1"/>
        </w:rPr>
        <w:t>are in G</w:t>
      </w:r>
      <w:r w:rsidRPr="009A0DA6">
        <w:rPr>
          <w:rFonts w:ascii="Cambria" w:eastAsia="Calibri" w:hAnsi="Cambria" w:cs="Calibri"/>
          <w:spacing w:val="1"/>
          <w:position w:val="1"/>
        </w:rPr>
        <w:t>o</w:t>
      </w:r>
      <w:r w:rsidRPr="009A0DA6">
        <w:rPr>
          <w:rFonts w:ascii="Cambria" w:eastAsia="Calibri" w:hAnsi="Cambria" w:cs="Calibri"/>
          <w:spacing w:val="-1"/>
          <w:position w:val="1"/>
        </w:rPr>
        <w:t>d</w:t>
      </w:r>
      <w:r w:rsidRPr="009A0DA6">
        <w:rPr>
          <w:rFonts w:ascii="Cambria" w:eastAsia="Calibri" w:hAnsi="Cambria" w:cs="Calibri"/>
          <w:position w:val="1"/>
        </w:rPr>
        <w:t xml:space="preserve">’s </w:t>
      </w:r>
      <w:r w:rsidRPr="009A0DA6">
        <w:rPr>
          <w:rFonts w:ascii="Cambria" w:eastAsia="Calibri" w:hAnsi="Cambria" w:cs="Calibri"/>
          <w:spacing w:val="1"/>
          <w:position w:val="1"/>
        </w:rPr>
        <w:t>k</w:t>
      </w:r>
      <w:r w:rsidRPr="009A0DA6">
        <w:rPr>
          <w:rFonts w:ascii="Cambria" w:eastAsia="Calibri" w:hAnsi="Cambria" w:cs="Calibri"/>
          <w:position w:val="1"/>
        </w:rPr>
        <w:t>i</w:t>
      </w:r>
      <w:r w:rsidRPr="009A0DA6">
        <w:rPr>
          <w:rFonts w:ascii="Cambria" w:eastAsia="Calibri" w:hAnsi="Cambria" w:cs="Calibri"/>
          <w:spacing w:val="-1"/>
          <w:position w:val="1"/>
        </w:rPr>
        <w:t>ngd</w:t>
      </w:r>
      <w:r w:rsidRPr="009A0DA6">
        <w:rPr>
          <w:rFonts w:ascii="Cambria" w:eastAsia="Calibri" w:hAnsi="Cambria" w:cs="Calibri"/>
          <w:spacing w:val="1"/>
          <w:position w:val="1"/>
        </w:rPr>
        <w:t>o</w:t>
      </w:r>
      <w:r w:rsidRPr="009A0DA6">
        <w:rPr>
          <w:rFonts w:ascii="Cambria" w:eastAsia="Calibri" w:hAnsi="Cambria" w:cs="Calibri"/>
          <w:position w:val="1"/>
        </w:rPr>
        <w:t>m</w:t>
      </w:r>
      <w:r w:rsidRPr="009A0DA6">
        <w:rPr>
          <w:rFonts w:ascii="Cambria" w:eastAsia="Calibri" w:hAnsi="Cambria" w:cs="Calibri"/>
          <w:spacing w:val="1"/>
          <w:position w:val="1"/>
        </w:rPr>
        <w:t xml:space="preserve"> t</w:t>
      </w:r>
      <w:r w:rsidRPr="009A0DA6">
        <w:rPr>
          <w:rFonts w:ascii="Cambria" w:eastAsia="Calibri" w:hAnsi="Cambria" w:cs="Calibri"/>
          <w:spacing w:val="-1"/>
          <w:position w:val="1"/>
        </w:rPr>
        <w:t>h</w:t>
      </w:r>
      <w:r w:rsidRPr="009A0DA6">
        <w:rPr>
          <w:rFonts w:ascii="Cambria" w:eastAsia="Calibri" w:hAnsi="Cambria" w:cs="Calibri"/>
          <w:position w:val="1"/>
        </w:rPr>
        <w:t>at</w:t>
      </w:r>
      <w:r w:rsidRPr="009A0DA6">
        <w:rPr>
          <w:rFonts w:ascii="Cambria" w:eastAsia="Calibri" w:hAnsi="Cambria" w:cs="Calibri"/>
          <w:spacing w:val="1"/>
          <w:position w:val="1"/>
        </w:rPr>
        <w:t xml:space="preserve"> </w:t>
      </w:r>
      <w:r w:rsidRPr="009A0DA6">
        <w:rPr>
          <w:rFonts w:ascii="Cambria" w:eastAsia="Calibri" w:hAnsi="Cambria" w:cs="Calibri"/>
          <w:position w:val="1"/>
        </w:rPr>
        <w:t>all</w:t>
      </w:r>
      <w:r w:rsidRPr="009A0DA6">
        <w:rPr>
          <w:rFonts w:ascii="Cambria" w:eastAsia="Calibri" w:hAnsi="Cambria" w:cs="Calibri"/>
          <w:spacing w:val="-1"/>
          <w:position w:val="1"/>
        </w:rPr>
        <w:t xml:space="preserve"> </w:t>
      </w:r>
      <w:r w:rsidRPr="009A0DA6">
        <w:rPr>
          <w:rFonts w:ascii="Cambria" w:eastAsia="Calibri" w:hAnsi="Cambria" w:cs="Calibri"/>
          <w:position w:val="1"/>
        </w:rPr>
        <w:t>Chr</w:t>
      </w:r>
      <w:r w:rsidRPr="009A0DA6">
        <w:rPr>
          <w:rFonts w:ascii="Cambria" w:eastAsia="Calibri" w:hAnsi="Cambria" w:cs="Calibri"/>
          <w:spacing w:val="-1"/>
          <w:position w:val="1"/>
        </w:rPr>
        <w:t>i</w:t>
      </w:r>
      <w:r w:rsidRPr="009A0DA6">
        <w:rPr>
          <w:rFonts w:ascii="Cambria" w:eastAsia="Calibri" w:hAnsi="Cambria" w:cs="Calibri"/>
          <w:position w:val="1"/>
        </w:rPr>
        <w:t>stia</w:t>
      </w:r>
      <w:r w:rsidRPr="009A0DA6">
        <w:rPr>
          <w:rFonts w:ascii="Cambria" w:eastAsia="Calibri" w:hAnsi="Cambria" w:cs="Calibri"/>
          <w:spacing w:val="-1"/>
          <w:position w:val="1"/>
        </w:rPr>
        <w:t>n</w:t>
      </w:r>
      <w:r w:rsidRPr="009A0DA6">
        <w:rPr>
          <w:rFonts w:ascii="Cambria" w:eastAsia="Calibri" w:hAnsi="Cambria" w:cs="Calibri"/>
          <w:position w:val="1"/>
        </w:rPr>
        <w:t>s</w:t>
      </w:r>
      <w:r w:rsidRPr="009A0DA6">
        <w:rPr>
          <w:rFonts w:ascii="Cambria" w:eastAsia="Calibri" w:hAnsi="Cambria" w:cs="Calibri"/>
          <w:spacing w:val="-2"/>
          <w:position w:val="1"/>
        </w:rPr>
        <w:t xml:space="preserve"> e</w:t>
      </w:r>
      <w:r w:rsidRPr="009A0DA6">
        <w:rPr>
          <w:rFonts w:ascii="Cambria" w:eastAsia="Calibri" w:hAnsi="Cambria" w:cs="Calibri"/>
          <w:spacing w:val="-1"/>
          <w:position w:val="1"/>
        </w:rPr>
        <w:t>n</w:t>
      </w:r>
      <w:r w:rsidRPr="009A0DA6">
        <w:rPr>
          <w:rFonts w:ascii="Cambria" w:eastAsia="Calibri" w:hAnsi="Cambria" w:cs="Calibri"/>
          <w:position w:val="1"/>
        </w:rPr>
        <w:t>j</w:t>
      </w:r>
      <w:r w:rsidRPr="009A0DA6">
        <w:rPr>
          <w:rFonts w:ascii="Cambria" w:eastAsia="Calibri" w:hAnsi="Cambria" w:cs="Calibri"/>
          <w:spacing w:val="1"/>
          <w:position w:val="1"/>
        </w:rPr>
        <w:t>o</w:t>
      </w:r>
      <w:r w:rsidRPr="009A0DA6">
        <w:rPr>
          <w:rFonts w:ascii="Cambria" w:eastAsia="Calibri" w:hAnsi="Cambria" w:cs="Calibri"/>
          <w:position w:val="1"/>
        </w:rPr>
        <w:t>y</w:t>
      </w:r>
      <w:r w:rsidRPr="009A0DA6">
        <w:rPr>
          <w:rFonts w:ascii="Cambria" w:eastAsia="Calibri" w:hAnsi="Cambria" w:cs="Calibri"/>
          <w:spacing w:val="1"/>
          <w:position w:val="1"/>
        </w:rPr>
        <w:t xml:space="preserve"> </w:t>
      </w:r>
      <w:r w:rsidRPr="009A0DA6">
        <w:rPr>
          <w:rFonts w:ascii="Cambria" w:eastAsia="Calibri" w:hAnsi="Cambria" w:cs="Calibri"/>
          <w:position w:val="1"/>
        </w:rPr>
        <w:t>by</w:t>
      </w:r>
      <w:r w:rsidRPr="009A0DA6">
        <w:rPr>
          <w:rFonts w:ascii="Cambria" w:eastAsia="Calibri" w:hAnsi="Cambria" w:cs="Calibri"/>
          <w:spacing w:val="-1"/>
          <w:position w:val="1"/>
        </w:rPr>
        <w:t xml:space="preserve"> </w:t>
      </w:r>
      <w:r w:rsidRPr="009A0DA6">
        <w:rPr>
          <w:rFonts w:ascii="Cambria" w:eastAsia="Calibri" w:hAnsi="Cambria" w:cs="Calibri"/>
          <w:spacing w:val="4"/>
          <w:position w:val="1"/>
        </w:rPr>
        <w:t>v</w:t>
      </w:r>
      <w:r w:rsidRPr="009A0DA6">
        <w:rPr>
          <w:rFonts w:ascii="Cambria" w:eastAsia="Calibri" w:hAnsi="Cambria" w:cs="Calibri"/>
          <w:position w:val="1"/>
        </w:rPr>
        <w:t>irt</w:t>
      </w:r>
      <w:r w:rsidRPr="009A0DA6">
        <w:rPr>
          <w:rFonts w:ascii="Cambria" w:eastAsia="Calibri" w:hAnsi="Cambria" w:cs="Calibri"/>
          <w:spacing w:val="-1"/>
          <w:position w:val="1"/>
        </w:rPr>
        <w:t>u</w:t>
      </w:r>
      <w:r w:rsidRPr="009A0DA6">
        <w:rPr>
          <w:rFonts w:ascii="Cambria" w:eastAsia="Calibri" w:hAnsi="Cambria" w:cs="Calibri"/>
          <w:position w:val="1"/>
        </w:rPr>
        <w:t>e</w:t>
      </w:r>
      <w:r w:rsidRPr="009A0DA6">
        <w:rPr>
          <w:rFonts w:ascii="Cambria" w:eastAsia="Calibri" w:hAnsi="Cambria" w:cs="Calibri"/>
          <w:spacing w:val="-1"/>
          <w:position w:val="1"/>
        </w:rPr>
        <w:t xml:space="preserve"> </w:t>
      </w:r>
      <w:r w:rsidRPr="009A0DA6">
        <w:rPr>
          <w:rFonts w:ascii="Cambria" w:eastAsia="Calibri" w:hAnsi="Cambria" w:cs="Calibri"/>
          <w:spacing w:val="1"/>
          <w:position w:val="1"/>
        </w:rPr>
        <w:t>o</w:t>
      </w:r>
      <w:r w:rsidRPr="009A0DA6">
        <w:rPr>
          <w:rFonts w:ascii="Cambria" w:eastAsia="Calibri" w:hAnsi="Cambria" w:cs="Calibri"/>
          <w:position w:val="1"/>
        </w:rPr>
        <w:t xml:space="preserve">f </w:t>
      </w:r>
      <w:r w:rsidRPr="009A0DA6">
        <w:rPr>
          <w:rFonts w:ascii="Cambria" w:eastAsia="Calibri" w:hAnsi="Cambria" w:cs="Calibri"/>
          <w:spacing w:val="1"/>
          <w:position w:val="1"/>
        </w:rPr>
        <w:t>o</w:t>
      </w:r>
      <w:r w:rsidRPr="009A0DA6">
        <w:rPr>
          <w:rFonts w:ascii="Cambria" w:eastAsia="Calibri" w:hAnsi="Cambria" w:cs="Calibri"/>
          <w:spacing w:val="-1"/>
          <w:position w:val="1"/>
        </w:rPr>
        <w:t>u</w:t>
      </w:r>
      <w:r w:rsidRPr="009A0DA6">
        <w:rPr>
          <w:rFonts w:ascii="Cambria" w:eastAsia="Calibri" w:hAnsi="Cambria" w:cs="Calibri"/>
          <w:position w:val="1"/>
        </w:rPr>
        <w:t xml:space="preserve">r </w:t>
      </w:r>
      <w:r w:rsidRPr="009A0DA6">
        <w:rPr>
          <w:rFonts w:ascii="Cambria" w:eastAsia="Calibri" w:hAnsi="Cambria" w:cs="Calibri"/>
          <w:spacing w:val="-1"/>
        </w:rPr>
        <w:t>b</w:t>
      </w:r>
      <w:r w:rsidRPr="009A0DA6">
        <w:rPr>
          <w:rFonts w:ascii="Cambria" w:eastAsia="Calibri" w:hAnsi="Cambria" w:cs="Calibri"/>
        </w:rPr>
        <w:t>a</w:t>
      </w:r>
      <w:r w:rsidRPr="009A0DA6">
        <w:rPr>
          <w:rFonts w:ascii="Cambria" w:eastAsia="Calibri" w:hAnsi="Cambria" w:cs="Calibri"/>
          <w:spacing w:val="-1"/>
        </w:rPr>
        <w:t>p</w:t>
      </w:r>
      <w:r w:rsidRPr="009A0DA6">
        <w:rPr>
          <w:rFonts w:ascii="Cambria" w:eastAsia="Calibri" w:hAnsi="Cambria" w:cs="Calibri"/>
        </w:rPr>
        <w:t>tism</w:t>
      </w:r>
      <w:r w:rsidRPr="009A0DA6">
        <w:rPr>
          <w:rFonts w:ascii="Cambria" w:eastAsia="Calibri" w:hAnsi="Cambria" w:cs="Calibri"/>
          <w:spacing w:val="7"/>
        </w:rPr>
        <w:t xml:space="preserve"> </w:t>
      </w:r>
      <w:r w:rsidRPr="009A0DA6">
        <w:rPr>
          <w:rFonts w:ascii="Cambria" w:eastAsia="Calibri" w:hAnsi="Cambria" w:cs="Calibri"/>
        </w:rPr>
        <w:t>(Gal</w:t>
      </w:r>
      <w:r w:rsidRPr="009A0DA6">
        <w:rPr>
          <w:rFonts w:ascii="Cambria" w:eastAsia="Calibri" w:hAnsi="Cambria" w:cs="Calibri"/>
          <w:spacing w:val="2"/>
        </w:rPr>
        <w:t xml:space="preserve"> </w:t>
      </w:r>
      <w:r w:rsidRPr="009A0DA6">
        <w:rPr>
          <w:rFonts w:ascii="Cambria" w:eastAsia="Calibri" w:hAnsi="Cambria" w:cs="Calibri"/>
          <w:spacing w:val="1"/>
        </w:rPr>
        <w:t>3</w:t>
      </w:r>
      <w:r w:rsidRPr="009A0DA6">
        <w:rPr>
          <w:rFonts w:ascii="Cambria" w:eastAsia="Calibri" w:hAnsi="Cambria" w:cs="Calibri"/>
          <w:spacing w:val="-1"/>
        </w:rPr>
        <w:t>:</w:t>
      </w:r>
      <w:r w:rsidRPr="009A0DA6">
        <w:rPr>
          <w:rFonts w:ascii="Cambria" w:eastAsia="Calibri" w:hAnsi="Cambria" w:cs="Calibri"/>
          <w:spacing w:val="1"/>
        </w:rPr>
        <w:t>2</w:t>
      </w:r>
      <w:r w:rsidRPr="009A0DA6">
        <w:rPr>
          <w:rFonts w:ascii="Cambria" w:eastAsia="Calibri" w:hAnsi="Cambria" w:cs="Calibri"/>
          <w:spacing w:val="2"/>
        </w:rPr>
        <w:t>7</w:t>
      </w:r>
      <w:r w:rsidR="00417DA5" w:rsidRPr="009A0DA6">
        <w:rPr>
          <w:rFonts w:ascii="Cambria" w:eastAsia="Calibri" w:hAnsi="Cambria" w:cs="Calibri"/>
        </w:rPr>
        <w:sym w:font="Symbol" w:char="F02D"/>
      </w:r>
      <w:r w:rsidRPr="009A0DA6">
        <w:rPr>
          <w:rFonts w:ascii="Cambria" w:eastAsia="Calibri" w:hAnsi="Cambria" w:cs="Calibri"/>
          <w:spacing w:val="1"/>
        </w:rPr>
        <w:t>2</w:t>
      </w:r>
      <w:r w:rsidRPr="009A0DA6">
        <w:rPr>
          <w:rFonts w:ascii="Cambria" w:eastAsia="Calibri" w:hAnsi="Cambria" w:cs="Calibri"/>
          <w:spacing w:val="-2"/>
        </w:rPr>
        <w:t>9</w:t>
      </w:r>
      <w:r w:rsidRPr="009A0DA6">
        <w:rPr>
          <w:rFonts w:ascii="Cambria" w:eastAsia="Calibri" w:hAnsi="Cambria" w:cs="Calibri"/>
        </w:rPr>
        <w:t>)</w:t>
      </w:r>
      <w:r w:rsidRPr="009A0DA6">
        <w:rPr>
          <w:rFonts w:ascii="Cambria" w:eastAsia="Calibri" w:hAnsi="Cambria" w:cs="Calibri"/>
          <w:spacing w:val="5"/>
        </w:rPr>
        <w:t xml:space="preserve"> </w:t>
      </w:r>
      <w:r w:rsidRPr="009A0DA6">
        <w:rPr>
          <w:rFonts w:ascii="Cambria" w:eastAsia="Calibri" w:hAnsi="Cambria" w:cs="Calibri"/>
        </w:rPr>
        <w:t>sho</w:t>
      </w:r>
      <w:r w:rsidRPr="009A0DA6">
        <w:rPr>
          <w:rFonts w:ascii="Cambria" w:eastAsia="Calibri" w:hAnsi="Cambria" w:cs="Calibri"/>
          <w:spacing w:val="-3"/>
        </w:rPr>
        <w:t>u</w:t>
      </w:r>
      <w:r w:rsidRPr="009A0DA6">
        <w:rPr>
          <w:rFonts w:ascii="Cambria" w:eastAsia="Calibri" w:hAnsi="Cambria" w:cs="Calibri"/>
        </w:rPr>
        <w:t>ld</w:t>
      </w:r>
      <w:r w:rsidRPr="009A0DA6">
        <w:rPr>
          <w:rFonts w:ascii="Cambria" w:eastAsia="Calibri" w:hAnsi="Cambria" w:cs="Calibri"/>
          <w:spacing w:val="4"/>
        </w:rPr>
        <w:t xml:space="preserve"> </w:t>
      </w:r>
      <w:r w:rsidRPr="009A0DA6">
        <w:rPr>
          <w:rFonts w:ascii="Cambria" w:eastAsia="Calibri" w:hAnsi="Cambria" w:cs="Calibri"/>
        </w:rPr>
        <w:t>eli</w:t>
      </w:r>
      <w:r w:rsidRPr="009A0DA6">
        <w:rPr>
          <w:rFonts w:ascii="Cambria" w:eastAsia="Calibri" w:hAnsi="Cambria" w:cs="Calibri"/>
          <w:spacing w:val="1"/>
        </w:rPr>
        <w:t>m</w:t>
      </w:r>
      <w:r w:rsidRPr="009A0DA6">
        <w:rPr>
          <w:rFonts w:ascii="Cambria" w:eastAsia="Calibri" w:hAnsi="Cambria" w:cs="Calibri"/>
        </w:rPr>
        <w:t>i</w:t>
      </w:r>
      <w:r w:rsidRPr="009A0DA6">
        <w:rPr>
          <w:rFonts w:ascii="Cambria" w:eastAsia="Calibri" w:hAnsi="Cambria" w:cs="Calibri"/>
          <w:spacing w:val="-1"/>
        </w:rPr>
        <w:t>n</w:t>
      </w:r>
      <w:r w:rsidRPr="009A0DA6">
        <w:rPr>
          <w:rFonts w:ascii="Cambria" w:eastAsia="Calibri" w:hAnsi="Cambria" w:cs="Calibri"/>
        </w:rPr>
        <w:t>ate</w:t>
      </w:r>
      <w:r w:rsidRPr="009A0DA6">
        <w:rPr>
          <w:rFonts w:ascii="Cambria" w:eastAsia="Calibri" w:hAnsi="Cambria" w:cs="Calibri"/>
          <w:spacing w:val="6"/>
        </w:rPr>
        <w:t xml:space="preserve"> </w:t>
      </w:r>
      <w:r w:rsidRPr="009A0DA6">
        <w:rPr>
          <w:rFonts w:ascii="Cambria" w:eastAsia="Calibri" w:hAnsi="Cambria" w:cs="Calibri"/>
          <w:spacing w:val="-1"/>
        </w:rPr>
        <w:t>p</w:t>
      </w:r>
      <w:r w:rsidRPr="009A0DA6">
        <w:rPr>
          <w:rFonts w:ascii="Cambria" w:eastAsia="Calibri" w:hAnsi="Cambria" w:cs="Calibri"/>
          <w:spacing w:val="-3"/>
        </w:rPr>
        <w:t>r</w:t>
      </w:r>
      <w:r w:rsidRPr="009A0DA6">
        <w:rPr>
          <w:rFonts w:ascii="Cambria" w:eastAsia="Calibri" w:hAnsi="Cambria" w:cs="Calibri"/>
        </w:rPr>
        <w:t>eju</w:t>
      </w:r>
      <w:r w:rsidRPr="009A0DA6">
        <w:rPr>
          <w:rFonts w:ascii="Cambria" w:eastAsia="Calibri" w:hAnsi="Cambria" w:cs="Calibri"/>
          <w:spacing w:val="-1"/>
        </w:rPr>
        <w:t>d</w:t>
      </w:r>
      <w:r w:rsidRPr="009A0DA6">
        <w:rPr>
          <w:rFonts w:ascii="Cambria" w:eastAsia="Calibri" w:hAnsi="Cambria" w:cs="Calibri"/>
        </w:rPr>
        <w:t>ice</w:t>
      </w:r>
      <w:r w:rsidRPr="009A0DA6">
        <w:rPr>
          <w:rFonts w:ascii="Cambria" w:eastAsia="Calibri" w:hAnsi="Cambria" w:cs="Calibri"/>
          <w:spacing w:val="3"/>
        </w:rPr>
        <w:t xml:space="preserve"> </w:t>
      </w:r>
      <w:r w:rsidRPr="009A0DA6">
        <w:rPr>
          <w:rFonts w:ascii="Cambria" w:eastAsia="Calibri" w:hAnsi="Cambria" w:cs="Calibri"/>
          <w:spacing w:val="1"/>
        </w:rPr>
        <w:t>o</w:t>
      </w:r>
      <w:r w:rsidRPr="009A0DA6">
        <w:rPr>
          <w:rFonts w:ascii="Cambria" w:eastAsia="Calibri" w:hAnsi="Cambria" w:cs="Calibri"/>
        </w:rPr>
        <w:t>r</w:t>
      </w:r>
      <w:r w:rsidRPr="009A0DA6">
        <w:rPr>
          <w:rFonts w:ascii="Cambria" w:eastAsia="Calibri" w:hAnsi="Cambria" w:cs="Calibri"/>
          <w:spacing w:val="5"/>
        </w:rPr>
        <w:t xml:space="preserve"> </w:t>
      </w:r>
      <w:r w:rsidRPr="009A0DA6">
        <w:rPr>
          <w:rFonts w:ascii="Cambria" w:eastAsia="Calibri" w:hAnsi="Cambria" w:cs="Calibri"/>
          <w:spacing w:val="-3"/>
        </w:rPr>
        <w:t>p</w:t>
      </w:r>
      <w:r w:rsidRPr="009A0DA6">
        <w:rPr>
          <w:rFonts w:ascii="Cambria" w:eastAsia="Calibri" w:hAnsi="Cambria" w:cs="Calibri"/>
        </w:rPr>
        <w:t>artia</w:t>
      </w:r>
      <w:r w:rsidRPr="009A0DA6">
        <w:rPr>
          <w:rFonts w:ascii="Cambria" w:eastAsia="Calibri" w:hAnsi="Cambria" w:cs="Calibri"/>
          <w:spacing w:val="-1"/>
        </w:rPr>
        <w:t>l</w:t>
      </w:r>
      <w:r w:rsidRPr="009A0DA6">
        <w:rPr>
          <w:rFonts w:ascii="Cambria" w:eastAsia="Calibri" w:hAnsi="Cambria" w:cs="Calibri"/>
        </w:rPr>
        <w:t>ity</w:t>
      </w:r>
      <w:r w:rsidRPr="009A0DA6">
        <w:rPr>
          <w:rFonts w:ascii="Cambria" w:eastAsia="Calibri" w:hAnsi="Cambria" w:cs="Calibri"/>
          <w:spacing w:val="6"/>
        </w:rPr>
        <w:t xml:space="preserve"> </w:t>
      </w:r>
      <w:r w:rsidRPr="009A0DA6">
        <w:rPr>
          <w:rFonts w:ascii="Cambria" w:eastAsia="Calibri" w:hAnsi="Cambria" w:cs="Calibri"/>
        </w:rPr>
        <w:t>th</w:t>
      </w:r>
      <w:r w:rsidRPr="009A0DA6">
        <w:rPr>
          <w:rFonts w:ascii="Cambria" w:eastAsia="Calibri" w:hAnsi="Cambria" w:cs="Calibri"/>
          <w:spacing w:val="-3"/>
        </w:rPr>
        <w:t>a</w:t>
      </w:r>
      <w:r w:rsidRPr="009A0DA6">
        <w:rPr>
          <w:rFonts w:ascii="Cambria" w:eastAsia="Calibri" w:hAnsi="Cambria" w:cs="Calibri"/>
        </w:rPr>
        <w:t>t</w:t>
      </w:r>
      <w:r w:rsidRPr="009A0DA6">
        <w:rPr>
          <w:rFonts w:ascii="Cambria" w:eastAsia="Calibri" w:hAnsi="Cambria" w:cs="Calibri"/>
          <w:spacing w:val="6"/>
        </w:rPr>
        <w:t xml:space="preserve"> </w:t>
      </w:r>
      <w:r w:rsidRPr="009A0DA6">
        <w:rPr>
          <w:rFonts w:ascii="Cambria" w:eastAsia="Calibri" w:hAnsi="Cambria" w:cs="Calibri"/>
        </w:rPr>
        <w:t>is</w:t>
      </w:r>
      <w:r w:rsidRPr="009A0DA6">
        <w:rPr>
          <w:rFonts w:ascii="Cambria" w:eastAsia="Calibri" w:hAnsi="Cambria" w:cs="Calibri"/>
          <w:spacing w:val="5"/>
        </w:rPr>
        <w:t xml:space="preserve"> </w:t>
      </w:r>
      <w:r w:rsidRPr="009A0DA6">
        <w:rPr>
          <w:rFonts w:ascii="Cambria" w:eastAsia="Calibri" w:hAnsi="Cambria" w:cs="Calibri"/>
          <w:spacing w:val="-1"/>
        </w:rPr>
        <w:t>b</w:t>
      </w:r>
      <w:r w:rsidRPr="009A0DA6">
        <w:rPr>
          <w:rFonts w:ascii="Cambria" w:eastAsia="Calibri" w:hAnsi="Cambria" w:cs="Calibri"/>
        </w:rPr>
        <w:t>ased</w:t>
      </w:r>
      <w:r w:rsidRPr="009A0DA6">
        <w:rPr>
          <w:rFonts w:ascii="Cambria" w:eastAsia="Calibri" w:hAnsi="Cambria" w:cs="Calibri"/>
          <w:spacing w:val="2"/>
        </w:rPr>
        <w:t xml:space="preserve"> </w:t>
      </w:r>
      <w:r w:rsidRPr="009A0DA6">
        <w:rPr>
          <w:rFonts w:ascii="Cambria" w:eastAsia="Calibri" w:hAnsi="Cambria" w:cs="Calibri"/>
          <w:spacing w:val="1"/>
        </w:rPr>
        <w:t>o</w:t>
      </w:r>
      <w:r w:rsidRPr="009A0DA6">
        <w:rPr>
          <w:rFonts w:ascii="Cambria" w:eastAsia="Calibri" w:hAnsi="Cambria" w:cs="Calibri"/>
        </w:rPr>
        <w:t>n</w:t>
      </w:r>
      <w:r w:rsidRPr="009A0DA6">
        <w:rPr>
          <w:rFonts w:ascii="Cambria" w:eastAsia="Calibri" w:hAnsi="Cambria" w:cs="Calibri"/>
          <w:spacing w:val="5"/>
        </w:rPr>
        <w:t xml:space="preserve"> </w:t>
      </w:r>
      <w:r w:rsidRPr="009A0DA6">
        <w:rPr>
          <w:rFonts w:ascii="Cambria" w:eastAsia="Calibri" w:hAnsi="Cambria" w:cs="Calibri"/>
          <w:spacing w:val="-1"/>
        </w:rPr>
        <w:t>hu</w:t>
      </w:r>
      <w:r w:rsidRPr="009A0DA6">
        <w:rPr>
          <w:rFonts w:ascii="Cambria" w:eastAsia="Calibri" w:hAnsi="Cambria" w:cs="Calibri"/>
          <w:spacing w:val="1"/>
        </w:rPr>
        <w:t>m</w:t>
      </w:r>
      <w:r w:rsidRPr="009A0DA6">
        <w:rPr>
          <w:rFonts w:ascii="Cambria" w:eastAsia="Calibri" w:hAnsi="Cambria" w:cs="Calibri"/>
        </w:rPr>
        <w:t>an</w:t>
      </w:r>
      <w:r w:rsidRPr="009A0DA6">
        <w:rPr>
          <w:rFonts w:ascii="Cambria" w:eastAsia="Calibri" w:hAnsi="Cambria" w:cs="Calibri"/>
          <w:spacing w:val="4"/>
        </w:rPr>
        <w:t xml:space="preserve"> </w:t>
      </w:r>
      <w:r w:rsidRPr="009A0DA6">
        <w:rPr>
          <w:rFonts w:ascii="Cambria" w:eastAsia="Calibri" w:hAnsi="Cambria" w:cs="Calibri"/>
        </w:rPr>
        <w:t>criter</w:t>
      </w:r>
      <w:r w:rsidRPr="009A0DA6">
        <w:rPr>
          <w:rFonts w:ascii="Cambria" w:eastAsia="Calibri" w:hAnsi="Cambria" w:cs="Calibri"/>
          <w:spacing w:val="-2"/>
        </w:rPr>
        <w:t>i</w:t>
      </w:r>
      <w:r w:rsidRPr="009A0DA6">
        <w:rPr>
          <w:rFonts w:ascii="Cambria" w:eastAsia="Calibri" w:hAnsi="Cambria" w:cs="Calibri"/>
        </w:rPr>
        <w:t>a</w:t>
      </w:r>
      <w:r w:rsidRPr="009A0DA6">
        <w:rPr>
          <w:rFonts w:ascii="Cambria" w:eastAsia="Calibri" w:hAnsi="Cambria" w:cs="Calibri"/>
          <w:spacing w:val="5"/>
        </w:rPr>
        <w:t xml:space="preserve"> </w:t>
      </w:r>
      <w:r w:rsidRPr="009A0DA6">
        <w:rPr>
          <w:rFonts w:ascii="Cambria" w:eastAsia="Calibri" w:hAnsi="Cambria" w:cs="Calibri"/>
        </w:rPr>
        <w:t>(J</w:t>
      </w:r>
      <w:r w:rsidRPr="009A0DA6">
        <w:rPr>
          <w:rFonts w:ascii="Cambria" w:eastAsia="Calibri" w:hAnsi="Cambria" w:cs="Calibri"/>
          <w:spacing w:val="-1"/>
        </w:rPr>
        <w:t>am</w:t>
      </w:r>
      <w:r w:rsidRPr="009A0DA6">
        <w:rPr>
          <w:rFonts w:ascii="Cambria" w:eastAsia="Calibri" w:hAnsi="Cambria" w:cs="Calibri"/>
        </w:rPr>
        <w:t xml:space="preserve">es </w:t>
      </w:r>
      <w:r w:rsidRPr="009A0DA6">
        <w:rPr>
          <w:rFonts w:ascii="Cambria" w:eastAsia="Calibri" w:hAnsi="Cambria" w:cs="Calibri"/>
          <w:spacing w:val="1"/>
        </w:rPr>
        <w:t>2</w:t>
      </w:r>
      <w:r w:rsidRPr="009A0DA6">
        <w:rPr>
          <w:rFonts w:ascii="Cambria" w:eastAsia="Calibri" w:hAnsi="Cambria" w:cs="Calibri"/>
          <w:spacing w:val="-1"/>
        </w:rPr>
        <w:t>:</w:t>
      </w:r>
      <w:r w:rsidRPr="009A0DA6">
        <w:rPr>
          <w:rFonts w:ascii="Cambria" w:eastAsia="Calibri" w:hAnsi="Cambria" w:cs="Calibri"/>
          <w:spacing w:val="1"/>
        </w:rPr>
        <w:t>1</w:t>
      </w:r>
      <w:r w:rsidR="00417DA5" w:rsidRPr="009A0DA6">
        <w:rPr>
          <w:rFonts w:ascii="Cambria" w:eastAsia="Calibri" w:hAnsi="Cambria" w:cs="Calibri"/>
        </w:rPr>
        <w:sym w:font="Symbol" w:char="F02D"/>
      </w:r>
      <w:r w:rsidRPr="009A0DA6">
        <w:rPr>
          <w:rFonts w:ascii="Cambria" w:eastAsia="Calibri" w:hAnsi="Cambria" w:cs="Calibri"/>
          <w:spacing w:val="1"/>
        </w:rPr>
        <w:t>9</w:t>
      </w:r>
      <w:r w:rsidRPr="009A0DA6">
        <w:rPr>
          <w:rFonts w:ascii="Cambria" w:eastAsia="Calibri" w:hAnsi="Cambria" w:cs="Calibri"/>
        </w:rPr>
        <w:t>;</w:t>
      </w:r>
      <w:r w:rsidRPr="009A0DA6">
        <w:rPr>
          <w:rFonts w:ascii="Cambria" w:eastAsia="Calibri" w:hAnsi="Cambria" w:cs="Calibri"/>
          <w:spacing w:val="2"/>
        </w:rPr>
        <w:t xml:space="preserve"> </w:t>
      </w:r>
      <w:r w:rsidR="00417DA5" w:rsidRPr="009A0DA6">
        <w:rPr>
          <w:rFonts w:ascii="Cambria" w:eastAsia="Calibri" w:hAnsi="Cambria" w:cs="Calibri"/>
          <w:spacing w:val="2"/>
        </w:rPr>
        <w:br/>
      </w:r>
      <w:r w:rsidRPr="009A0DA6">
        <w:rPr>
          <w:rFonts w:ascii="Cambria" w:eastAsia="Calibri" w:hAnsi="Cambria" w:cs="Calibri"/>
        </w:rPr>
        <w:t>R</w:t>
      </w:r>
      <w:r w:rsidRPr="009A0DA6">
        <w:rPr>
          <w:rFonts w:ascii="Cambria" w:eastAsia="Calibri" w:hAnsi="Cambria" w:cs="Calibri"/>
          <w:spacing w:val="-1"/>
        </w:rPr>
        <w:t>o</w:t>
      </w:r>
      <w:r w:rsidRPr="009A0DA6">
        <w:rPr>
          <w:rFonts w:ascii="Cambria" w:eastAsia="Calibri" w:hAnsi="Cambria" w:cs="Calibri"/>
        </w:rPr>
        <w:t>m</w:t>
      </w:r>
      <w:r w:rsidRPr="009A0DA6">
        <w:rPr>
          <w:rFonts w:ascii="Cambria" w:eastAsia="Calibri" w:hAnsi="Cambria" w:cs="Calibri"/>
          <w:spacing w:val="2"/>
        </w:rPr>
        <w:t xml:space="preserve"> </w:t>
      </w:r>
      <w:r w:rsidRPr="009A0DA6">
        <w:rPr>
          <w:rFonts w:ascii="Cambria" w:eastAsia="Calibri" w:hAnsi="Cambria" w:cs="Calibri"/>
          <w:spacing w:val="1"/>
        </w:rPr>
        <w:t>2</w:t>
      </w:r>
      <w:r w:rsidRPr="009A0DA6">
        <w:rPr>
          <w:rFonts w:ascii="Cambria" w:eastAsia="Calibri" w:hAnsi="Cambria" w:cs="Calibri"/>
          <w:spacing w:val="-1"/>
        </w:rPr>
        <w:t>:</w:t>
      </w:r>
      <w:r w:rsidRPr="009A0DA6">
        <w:rPr>
          <w:rFonts w:ascii="Cambria" w:eastAsia="Calibri" w:hAnsi="Cambria" w:cs="Calibri"/>
          <w:spacing w:val="1"/>
        </w:rPr>
        <w:t>1</w:t>
      </w:r>
      <w:r w:rsidRPr="009A0DA6">
        <w:rPr>
          <w:rFonts w:ascii="Cambria" w:eastAsia="Calibri" w:hAnsi="Cambria" w:cs="Calibri"/>
          <w:spacing w:val="-2"/>
        </w:rPr>
        <w:t>1</w:t>
      </w:r>
      <w:r w:rsidRPr="009A0DA6">
        <w:rPr>
          <w:rFonts w:ascii="Cambria" w:eastAsia="Calibri" w:hAnsi="Cambria" w:cs="Calibri"/>
        </w:rPr>
        <w:t>;</w:t>
      </w:r>
      <w:r w:rsidRPr="009A0DA6">
        <w:rPr>
          <w:rFonts w:ascii="Cambria" w:eastAsia="Calibri" w:hAnsi="Cambria" w:cs="Calibri"/>
          <w:spacing w:val="4"/>
        </w:rPr>
        <w:t xml:space="preserve"> </w:t>
      </w:r>
      <w:r w:rsidRPr="009A0DA6">
        <w:rPr>
          <w:rFonts w:ascii="Cambria" w:eastAsia="Calibri" w:hAnsi="Cambria" w:cs="Calibri"/>
        </w:rPr>
        <w:t xml:space="preserve">Gal </w:t>
      </w:r>
      <w:r w:rsidRPr="009A0DA6">
        <w:rPr>
          <w:rFonts w:ascii="Cambria" w:eastAsia="Calibri" w:hAnsi="Cambria" w:cs="Calibri"/>
          <w:spacing w:val="1"/>
        </w:rPr>
        <w:t>2</w:t>
      </w:r>
      <w:r w:rsidRPr="009A0DA6">
        <w:rPr>
          <w:rFonts w:ascii="Cambria" w:eastAsia="Calibri" w:hAnsi="Cambria" w:cs="Calibri"/>
          <w:spacing w:val="-1"/>
        </w:rPr>
        <w:t>:</w:t>
      </w:r>
      <w:r w:rsidRPr="009A0DA6">
        <w:rPr>
          <w:rFonts w:ascii="Cambria" w:eastAsia="Calibri" w:hAnsi="Cambria" w:cs="Calibri"/>
          <w:spacing w:val="1"/>
        </w:rPr>
        <w:t>1</w:t>
      </w:r>
      <w:r w:rsidRPr="009A0DA6">
        <w:rPr>
          <w:rFonts w:ascii="Cambria" w:eastAsia="Calibri" w:hAnsi="Cambria" w:cs="Calibri"/>
          <w:spacing w:val="4"/>
        </w:rPr>
        <w:t>1</w:t>
      </w:r>
      <w:r w:rsidR="00417DA5" w:rsidRPr="009A0DA6">
        <w:rPr>
          <w:rFonts w:ascii="Cambria" w:eastAsia="Calibri" w:hAnsi="Cambria" w:cs="Calibri"/>
        </w:rPr>
        <w:sym w:font="Symbol" w:char="F02D"/>
      </w:r>
      <w:r w:rsidRPr="009A0DA6">
        <w:rPr>
          <w:rFonts w:ascii="Cambria" w:eastAsia="Calibri" w:hAnsi="Cambria" w:cs="Calibri"/>
          <w:spacing w:val="1"/>
        </w:rPr>
        <w:t>1</w:t>
      </w:r>
      <w:r w:rsidRPr="009A0DA6">
        <w:rPr>
          <w:rFonts w:ascii="Cambria" w:eastAsia="Calibri" w:hAnsi="Cambria" w:cs="Calibri"/>
          <w:spacing w:val="-2"/>
        </w:rPr>
        <w:t>4</w:t>
      </w:r>
      <w:r w:rsidRPr="009A0DA6">
        <w:rPr>
          <w:rFonts w:ascii="Cambria" w:eastAsia="Calibri" w:hAnsi="Cambria" w:cs="Calibri"/>
        </w:rPr>
        <w:t>;</w:t>
      </w:r>
      <w:r w:rsidRPr="009A0DA6">
        <w:rPr>
          <w:rFonts w:ascii="Cambria" w:eastAsia="Calibri" w:hAnsi="Cambria" w:cs="Calibri"/>
          <w:spacing w:val="4"/>
        </w:rPr>
        <w:t xml:space="preserve"> </w:t>
      </w:r>
      <w:r w:rsidRPr="009A0DA6">
        <w:rPr>
          <w:rFonts w:ascii="Cambria" w:eastAsia="Calibri" w:hAnsi="Cambria" w:cs="Calibri"/>
        </w:rPr>
        <w:t>Eph</w:t>
      </w:r>
      <w:r w:rsidRPr="009A0DA6">
        <w:rPr>
          <w:rFonts w:ascii="Cambria" w:eastAsia="Calibri" w:hAnsi="Cambria" w:cs="Calibri"/>
          <w:spacing w:val="2"/>
        </w:rPr>
        <w:t xml:space="preserve"> </w:t>
      </w:r>
      <w:r w:rsidRPr="009A0DA6">
        <w:rPr>
          <w:rFonts w:ascii="Cambria" w:eastAsia="Calibri" w:hAnsi="Cambria" w:cs="Calibri"/>
          <w:spacing w:val="-2"/>
        </w:rPr>
        <w:t>6</w:t>
      </w:r>
      <w:r w:rsidRPr="009A0DA6">
        <w:rPr>
          <w:rFonts w:ascii="Cambria" w:eastAsia="Calibri" w:hAnsi="Cambria" w:cs="Calibri"/>
          <w:spacing w:val="1"/>
        </w:rPr>
        <w:t>:</w:t>
      </w:r>
      <w:r w:rsidRPr="009A0DA6">
        <w:rPr>
          <w:rFonts w:ascii="Cambria" w:eastAsia="Calibri" w:hAnsi="Cambria" w:cs="Calibri"/>
          <w:spacing w:val="-2"/>
        </w:rPr>
        <w:t>9</w:t>
      </w:r>
      <w:r w:rsidRPr="009A0DA6">
        <w:rPr>
          <w:rFonts w:ascii="Cambria" w:eastAsia="Calibri" w:hAnsi="Cambria" w:cs="Calibri"/>
        </w:rPr>
        <w:t>;</w:t>
      </w:r>
      <w:r w:rsidRPr="009A0DA6">
        <w:rPr>
          <w:rFonts w:ascii="Cambria" w:eastAsia="Calibri" w:hAnsi="Cambria" w:cs="Calibri"/>
          <w:spacing w:val="4"/>
        </w:rPr>
        <w:t xml:space="preserve"> </w:t>
      </w:r>
      <w:r w:rsidRPr="009A0DA6">
        <w:rPr>
          <w:rFonts w:ascii="Cambria" w:eastAsia="Calibri" w:hAnsi="Cambria" w:cs="Calibri"/>
        </w:rPr>
        <w:t>C</w:t>
      </w:r>
      <w:r w:rsidRPr="009A0DA6">
        <w:rPr>
          <w:rFonts w:ascii="Cambria" w:eastAsia="Calibri" w:hAnsi="Cambria" w:cs="Calibri"/>
          <w:spacing w:val="1"/>
        </w:rPr>
        <w:t>o</w:t>
      </w:r>
      <w:r w:rsidRPr="009A0DA6">
        <w:rPr>
          <w:rFonts w:ascii="Cambria" w:eastAsia="Calibri" w:hAnsi="Cambria" w:cs="Calibri"/>
        </w:rPr>
        <w:t>l</w:t>
      </w:r>
      <w:r w:rsidRPr="009A0DA6">
        <w:rPr>
          <w:rFonts w:ascii="Cambria" w:eastAsia="Calibri" w:hAnsi="Cambria" w:cs="Calibri"/>
          <w:spacing w:val="1"/>
        </w:rPr>
        <w:t xml:space="preserve"> 4</w:t>
      </w:r>
      <w:r w:rsidRPr="009A0DA6">
        <w:rPr>
          <w:rFonts w:ascii="Cambria" w:eastAsia="Calibri" w:hAnsi="Cambria" w:cs="Calibri"/>
          <w:spacing w:val="-1"/>
        </w:rPr>
        <w:t>:</w:t>
      </w:r>
      <w:r w:rsidRPr="009A0DA6">
        <w:rPr>
          <w:rFonts w:ascii="Cambria" w:eastAsia="Calibri" w:hAnsi="Cambria" w:cs="Calibri"/>
          <w:spacing w:val="1"/>
        </w:rPr>
        <w:t>1</w:t>
      </w:r>
      <w:r w:rsidRPr="009A0DA6">
        <w:rPr>
          <w:rFonts w:ascii="Cambria" w:eastAsia="Calibri" w:hAnsi="Cambria" w:cs="Calibri"/>
        </w:rPr>
        <w:t>;</w:t>
      </w:r>
      <w:r w:rsidRPr="009A0DA6">
        <w:rPr>
          <w:rFonts w:ascii="Cambria" w:eastAsia="Calibri" w:hAnsi="Cambria" w:cs="Calibri"/>
          <w:spacing w:val="2"/>
        </w:rPr>
        <w:t xml:space="preserve"> </w:t>
      </w:r>
      <w:r w:rsidRPr="009A0DA6">
        <w:rPr>
          <w:rFonts w:ascii="Cambria" w:eastAsia="Calibri" w:hAnsi="Cambria" w:cs="Calibri"/>
          <w:spacing w:val="1"/>
        </w:rPr>
        <w:t>P</w:t>
      </w:r>
      <w:r w:rsidRPr="009A0DA6">
        <w:rPr>
          <w:rFonts w:ascii="Cambria" w:eastAsia="Calibri" w:hAnsi="Cambria" w:cs="Calibri"/>
          <w:spacing w:val="-1"/>
        </w:rPr>
        <w:t>h</w:t>
      </w:r>
      <w:r w:rsidRPr="009A0DA6">
        <w:rPr>
          <w:rFonts w:ascii="Cambria" w:eastAsia="Calibri" w:hAnsi="Cambria" w:cs="Calibri"/>
        </w:rPr>
        <w:t>il</w:t>
      </w:r>
      <w:r w:rsidRPr="009A0DA6">
        <w:rPr>
          <w:rFonts w:ascii="Cambria" w:eastAsia="Calibri" w:hAnsi="Cambria" w:cs="Calibri"/>
          <w:spacing w:val="-2"/>
        </w:rPr>
        <w:t>e</w:t>
      </w:r>
      <w:r w:rsidRPr="009A0DA6">
        <w:rPr>
          <w:rFonts w:ascii="Cambria" w:eastAsia="Calibri" w:hAnsi="Cambria" w:cs="Calibri"/>
          <w:spacing w:val="1"/>
        </w:rPr>
        <w:t>mo</w:t>
      </w:r>
      <w:r w:rsidRPr="009A0DA6">
        <w:rPr>
          <w:rFonts w:ascii="Cambria" w:eastAsia="Calibri" w:hAnsi="Cambria" w:cs="Calibri"/>
        </w:rPr>
        <w:t xml:space="preserve">n </w:t>
      </w:r>
      <w:r w:rsidRPr="009A0DA6">
        <w:rPr>
          <w:rFonts w:ascii="Cambria" w:eastAsia="Calibri" w:hAnsi="Cambria" w:cs="Calibri"/>
          <w:spacing w:val="1"/>
        </w:rPr>
        <w:t>1</w:t>
      </w:r>
      <w:r w:rsidRPr="009A0DA6">
        <w:rPr>
          <w:rFonts w:ascii="Cambria" w:eastAsia="Calibri" w:hAnsi="Cambria" w:cs="Calibri"/>
          <w:spacing w:val="-2"/>
        </w:rPr>
        <w:t>6</w:t>
      </w:r>
      <w:r w:rsidRPr="009A0DA6">
        <w:rPr>
          <w:rFonts w:ascii="Cambria" w:eastAsia="Calibri" w:hAnsi="Cambria" w:cs="Calibri"/>
        </w:rPr>
        <w:t>;</w:t>
      </w:r>
      <w:r w:rsidRPr="009A0DA6">
        <w:rPr>
          <w:rFonts w:ascii="Cambria" w:eastAsia="Calibri" w:hAnsi="Cambria" w:cs="Calibri"/>
          <w:spacing w:val="4"/>
        </w:rPr>
        <w:t xml:space="preserve"> </w:t>
      </w:r>
      <w:r w:rsidRPr="009A0DA6">
        <w:rPr>
          <w:rFonts w:ascii="Cambria" w:eastAsia="Calibri" w:hAnsi="Cambria" w:cs="Calibri"/>
        </w:rPr>
        <w:t>1</w:t>
      </w:r>
      <w:r w:rsidRPr="009A0DA6">
        <w:rPr>
          <w:rFonts w:ascii="Cambria" w:eastAsia="Calibri" w:hAnsi="Cambria" w:cs="Calibri"/>
          <w:spacing w:val="1"/>
        </w:rPr>
        <w:t xml:space="preserve"> </w:t>
      </w:r>
      <w:r w:rsidRPr="009A0DA6">
        <w:rPr>
          <w:rFonts w:ascii="Cambria" w:eastAsia="Calibri" w:hAnsi="Cambria" w:cs="Calibri"/>
        </w:rPr>
        <w:t>C</w:t>
      </w:r>
      <w:r w:rsidRPr="009A0DA6">
        <w:rPr>
          <w:rFonts w:ascii="Cambria" w:eastAsia="Calibri" w:hAnsi="Cambria" w:cs="Calibri"/>
          <w:spacing w:val="1"/>
        </w:rPr>
        <w:t>o</w:t>
      </w:r>
      <w:r w:rsidRPr="009A0DA6">
        <w:rPr>
          <w:rFonts w:ascii="Cambria" w:eastAsia="Calibri" w:hAnsi="Cambria" w:cs="Calibri"/>
        </w:rPr>
        <w:t>r</w:t>
      </w:r>
      <w:r w:rsidRPr="009A0DA6">
        <w:rPr>
          <w:rFonts w:ascii="Cambria" w:eastAsia="Calibri" w:hAnsi="Cambria" w:cs="Calibri"/>
          <w:spacing w:val="1"/>
        </w:rPr>
        <w:t xml:space="preserve"> 7</w:t>
      </w:r>
      <w:r w:rsidRPr="009A0DA6">
        <w:rPr>
          <w:rFonts w:ascii="Cambria" w:eastAsia="Calibri" w:hAnsi="Cambria" w:cs="Calibri"/>
          <w:spacing w:val="-1"/>
        </w:rPr>
        <w:t>:</w:t>
      </w:r>
      <w:r w:rsidRPr="009A0DA6">
        <w:rPr>
          <w:rFonts w:ascii="Cambria" w:eastAsia="Calibri" w:hAnsi="Cambria" w:cs="Calibri"/>
          <w:spacing w:val="1"/>
        </w:rPr>
        <w:t>1</w:t>
      </w:r>
      <w:r w:rsidRPr="009A0DA6">
        <w:rPr>
          <w:rFonts w:ascii="Cambria" w:eastAsia="Calibri" w:hAnsi="Cambria" w:cs="Calibri"/>
          <w:spacing w:val="7"/>
        </w:rPr>
        <w:t>7</w:t>
      </w:r>
      <w:r w:rsidR="00417DA5" w:rsidRPr="009A0DA6">
        <w:rPr>
          <w:rFonts w:ascii="Cambria" w:eastAsia="Calibri" w:hAnsi="Cambria" w:cs="Calibri"/>
        </w:rPr>
        <w:sym w:font="Symbol" w:char="F02D"/>
      </w:r>
      <w:r w:rsidRPr="009A0DA6">
        <w:rPr>
          <w:rFonts w:ascii="Cambria" w:eastAsia="Calibri" w:hAnsi="Cambria" w:cs="Calibri"/>
          <w:spacing w:val="1"/>
        </w:rPr>
        <w:t>2</w:t>
      </w:r>
      <w:r w:rsidRPr="009A0DA6">
        <w:rPr>
          <w:rFonts w:ascii="Cambria" w:eastAsia="Calibri" w:hAnsi="Cambria" w:cs="Calibri"/>
          <w:spacing w:val="-2"/>
        </w:rPr>
        <w:t>3</w:t>
      </w:r>
      <w:r w:rsidRPr="009A0DA6">
        <w:rPr>
          <w:rFonts w:ascii="Cambria" w:eastAsia="Calibri" w:hAnsi="Cambria" w:cs="Calibri"/>
        </w:rPr>
        <w:t>).</w:t>
      </w:r>
      <w:r w:rsidRPr="009A0DA6">
        <w:rPr>
          <w:rFonts w:ascii="Cambria" w:eastAsia="Calibri" w:hAnsi="Cambria" w:cs="Calibri"/>
          <w:spacing w:val="3"/>
        </w:rPr>
        <w:t xml:space="preserve"> </w:t>
      </w:r>
      <w:r w:rsidRPr="009A0DA6">
        <w:rPr>
          <w:rFonts w:ascii="Cambria" w:eastAsia="Calibri" w:hAnsi="Cambria" w:cs="Calibri"/>
          <w:spacing w:val="-1"/>
        </w:rPr>
        <w:t>H</w:t>
      </w:r>
      <w:r w:rsidRPr="009A0DA6">
        <w:rPr>
          <w:rFonts w:ascii="Cambria" w:eastAsia="Calibri" w:hAnsi="Cambria" w:cs="Calibri"/>
          <w:spacing w:val="1"/>
        </w:rPr>
        <w:t>o</w:t>
      </w:r>
      <w:r w:rsidRPr="009A0DA6">
        <w:rPr>
          <w:rFonts w:ascii="Cambria" w:eastAsia="Calibri" w:hAnsi="Cambria" w:cs="Calibri"/>
          <w:spacing w:val="-2"/>
        </w:rPr>
        <w:t>w</w:t>
      </w:r>
      <w:r w:rsidRPr="009A0DA6">
        <w:rPr>
          <w:rFonts w:ascii="Cambria" w:eastAsia="Calibri" w:hAnsi="Cambria" w:cs="Calibri"/>
        </w:rPr>
        <w:t>e</w:t>
      </w:r>
      <w:r w:rsidRPr="009A0DA6">
        <w:rPr>
          <w:rFonts w:ascii="Cambria" w:eastAsia="Calibri" w:hAnsi="Cambria" w:cs="Calibri"/>
          <w:spacing w:val="1"/>
        </w:rPr>
        <w:t>v</w:t>
      </w:r>
      <w:r w:rsidRPr="009A0DA6">
        <w:rPr>
          <w:rFonts w:ascii="Cambria" w:eastAsia="Calibri" w:hAnsi="Cambria" w:cs="Calibri"/>
          <w:spacing w:val="-2"/>
        </w:rPr>
        <w:t>e</w:t>
      </w:r>
      <w:r w:rsidRPr="009A0DA6">
        <w:rPr>
          <w:rFonts w:ascii="Cambria" w:eastAsia="Calibri" w:hAnsi="Cambria" w:cs="Calibri"/>
        </w:rPr>
        <w:t>r,</w:t>
      </w:r>
      <w:r w:rsidRPr="009A0DA6">
        <w:rPr>
          <w:rFonts w:ascii="Cambria" w:eastAsia="Calibri" w:hAnsi="Cambria" w:cs="Calibri"/>
          <w:spacing w:val="4"/>
        </w:rPr>
        <w:t xml:space="preserve"> </w:t>
      </w:r>
      <w:r w:rsidRPr="009A0DA6">
        <w:rPr>
          <w:rFonts w:ascii="Cambria" w:eastAsia="Calibri" w:hAnsi="Cambria" w:cs="Calibri"/>
        </w:rPr>
        <w:t>th</w:t>
      </w:r>
      <w:r w:rsidRPr="009A0DA6">
        <w:rPr>
          <w:rFonts w:ascii="Cambria" w:eastAsia="Calibri" w:hAnsi="Cambria" w:cs="Calibri"/>
          <w:spacing w:val="-1"/>
        </w:rPr>
        <w:t>i</w:t>
      </w:r>
      <w:r w:rsidRPr="009A0DA6">
        <w:rPr>
          <w:rFonts w:ascii="Cambria" w:eastAsia="Calibri" w:hAnsi="Cambria" w:cs="Calibri"/>
        </w:rPr>
        <w:t>s</w:t>
      </w:r>
      <w:r w:rsidRPr="009A0DA6">
        <w:rPr>
          <w:rFonts w:ascii="Cambria" w:eastAsia="Calibri" w:hAnsi="Cambria" w:cs="Calibri"/>
          <w:spacing w:val="3"/>
        </w:rPr>
        <w:t xml:space="preserve"> </w:t>
      </w:r>
      <w:r w:rsidRPr="009A0DA6">
        <w:rPr>
          <w:rFonts w:ascii="Cambria" w:eastAsia="Calibri" w:hAnsi="Cambria" w:cs="Calibri"/>
        </w:rPr>
        <w:t>is</w:t>
      </w:r>
      <w:r w:rsidRPr="009A0DA6">
        <w:rPr>
          <w:rFonts w:ascii="Cambria" w:eastAsia="Calibri" w:hAnsi="Cambria" w:cs="Calibri"/>
          <w:spacing w:val="1"/>
        </w:rPr>
        <w:t xml:space="preserve"> o</w:t>
      </w:r>
      <w:r w:rsidRPr="009A0DA6">
        <w:rPr>
          <w:rFonts w:ascii="Cambria" w:eastAsia="Calibri" w:hAnsi="Cambria" w:cs="Calibri"/>
        </w:rPr>
        <w:t>f</w:t>
      </w:r>
      <w:r w:rsidRPr="009A0DA6">
        <w:rPr>
          <w:rFonts w:ascii="Cambria" w:eastAsia="Calibri" w:hAnsi="Cambria" w:cs="Calibri"/>
          <w:spacing w:val="3"/>
        </w:rPr>
        <w:t xml:space="preserve"> </w:t>
      </w:r>
      <w:r w:rsidRPr="009A0DA6">
        <w:rPr>
          <w:rFonts w:ascii="Cambria" w:eastAsia="Calibri" w:hAnsi="Cambria" w:cs="Calibri"/>
          <w:spacing w:val="-3"/>
        </w:rPr>
        <w:t>n</w:t>
      </w:r>
      <w:r w:rsidRPr="009A0DA6">
        <w:rPr>
          <w:rFonts w:ascii="Cambria" w:eastAsia="Calibri" w:hAnsi="Cambria" w:cs="Calibri"/>
        </w:rPr>
        <w:t>o rele</w:t>
      </w:r>
      <w:r w:rsidRPr="009A0DA6">
        <w:rPr>
          <w:rFonts w:ascii="Cambria" w:eastAsia="Calibri" w:hAnsi="Cambria" w:cs="Calibri"/>
          <w:spacing w:val="2"/>
        </w:rPr>
        <w:t>v</w:t>
      </w:r>
      <w:r w:rsidRPr="009A0DA6">
        <w:rPr>
          <w:rFonts w:ascii="Cambria" w:eastAsia="Calibri" w:hAnsi="Cambria" w:cs="Calibri"/>
        </w:rPr>
        <w:t>a</w:t>
      </w:r>
      <w:r w:rsidRPr="009A0DA6">
        <w:rPr>
          <w:rFonts w:ascii="Cambria" w:eastAsia="Calibri" w:hAnsi="Cambria" w:cs="Calibri"/>
          <w:spacing w:val="-3"/>
        </w:rPr>
        <w:t>n</w:t>
      </w:r>
      <w:r w:rsidRPr="009A0DA6">
        <w:rPr>
          <w:rFonts w:ascii="Cambria" w:eastAsia="Calibri" w:hAnsi="Cambria" w:cs="Calibri"/>
        </w:rPr>
        <w:t>ce</w:t>
      </w:r>
      <w:r w:rsidRPr="009A0DA6">
        <w:rPr>
          <w:rFonts w:ascii="Cambria" w:eastAsia="Calibri" w:hAnsi="Cambria" w:cs="Calibri"/>
          <w:spacing w:val="4"/>
        </w:rPr>
        <w:t xml:space="preserve"> </w:t>
      </w:r>
      <w:r w:rsidRPr="009A0DA6">
        <w:rPr>
          <w:rFonts w:ascii="Cambria" w:eastAsia="Calibri" w:hAnsi="Cambria" w:cs="Calibri"/>
          <w:spacing w:val="-2"/>
        </w:rPr>
        <w:t>t</w:t>
      </w:r>
      <w:r w:rsidRPr="009A0DA6">
        <w:rPr>
          <w:rFonts w:ascii="Cambria" w:eastAsia="Calibri" w:hAnsi="Cambria" w:cs="Calibri"/>
        </w:rPr>
        <w:t>o</w:t>
      </w:r>
      <w:r w:rsidRPr="009A0DA6">
        <w:rPr>
          <w:rFonts w:ascii="Cambria" w:eastAsia="Calibri" w:hAnsi="Cambria" w:cs="Calibri"/>
          <w:spacing w:val="5"/>
        </w:rPr>
        <w:t xml:space="preserve"> </w:t>
      </w:r>
      <w:r w:rsidRPr="009A0DA6">
        <w:rPr>
          <w:rFonts w:ascii="Cambria" w:eastAsia="Calibri" w:hAnsi="Cambria" w:cs="Calibri"/>
        </w:rPr>
        <w:t>the</w:t>
      </w:r>
      <w:r w:rsidRPr="009A0DA6">
        <w:rPr>
          <w:rFonts w:ascii="Cambria" w:eastAsia="Calibri" w:hAnsi="Cambria" w:cs="Calibri"/>
          <w:spacing w:val="1"/>
        </w:rPr>
        <w:t xml:space="preserve"> m</w:t>
      </w:r>
      <w:r w:rsidRPr="009A0DA6">
        <w:rPr>
          <w:rFonts w:ascii="Cambria" w:eastAsia="Calibri" w:hAnsi="Cambria" w:cs="Calibri"/>
        </w:rPr>
        <w:t>at</w:t>
      </w:r>
      <w:r w:rsidRPr="009A0DA6">
        <w:rPr>
          <w:rFonts w:ascii="Cambria" w:eastAsia="Calibri" w:hAnsi="Cambria" w:cs="Calibri"/>
          <w:spacing w:val="-2"/>
        </w:rPr>
        <w:t>t</w:t>
      </w:r>
      <w:r w:rsidRPr="009A0DA6">
        <w:rPr>
          <w:rFonts w:ascii="Cambria" w:eastAsia="Calibri" w:hAnsi="Cambria" w:cs="Calibri"/>
        </w:rPr>
        <w:t>er</w:t>
      </w:r>
      <w:r w:rsidRPr="009A0DA6">
        <w:rPr>
          <w:rFonts w:ascii="Cambria" w:eastAsia="Calibri" w:hAnsi="Cambria" w:cs="Calibri"/>
          <w:spacing w:val="4"/>
        </w:rPr>
        <w:t xml:space="preserve"> </w:t>
      </w:r>
      <w:r w:rsidRPr="009A0DA6">
        <w:rPr>
          <w:rFonts w:ascii="Cambria" w:eastAsia="Calibri" w:hAnsi="Cambria" w:cs="Calibri"/>
        </w:rPr>
        <w:t>at</w:t>
      </w:r>
      <w:r w:rsidRPr="009A0DA6">
        <w:rPr>
          <w:rFonts w:ascii="Cambria" w:eastAsia="Calibri" w:hAnsi="Cambria" w:cs="Calibri"/>
          <w:spacing w:val="1"/>
        </w:rPr>
        <w:t xml:space="preserve"> </w:t>
      </w:r>
      <w:r w:rsidRPr="009A0DA6">
        <w:rPr>
          <w:rFonts w:ascii="Cambria" w:eastAsia="Calibri" w:hAnsi="Cambria" w:cs="Calibri"/>
          <w:spacing w:val="-1"/>
        </w:rPr>
        <w:t>h</w:t>
      </w:r>
      <w:r w:rsidRPr="009A0DA6">
        <w:rPr>
          <w:rFonts w:ascii="Cambria" w:eastAsia="Calibri" w:hAnsi="Cambria" w:cs="Calibri"/>
        </w:rPr>
        <w:t>a</w:t>
      </w:r>
      <w:r w:rsidRPr="009A0DA6">
        <w:rPr>
          <w:rFonts w:ascii="Cambria" w:eastAsia="Calibri" w:hAnsi="Cambria" w:cs="Calibri"/>
          <w:spacing w:val="-1"/>
        </w:rPr>
        <w:t>nd</w:t>
      </w:r>
      <w:r w:rsidRPr="009A0DA6">
        <w:rPr>
          <w:rFonts w:ascii="Cambria" w:eastAsia="Calibri" w:hAnsi="Cambria" w:cs="Calibri"/>
        </w:rPr>
        <w:t>,</w:t>
      </w:r>
      <w:r w:rsidRPr="009A0DA6">
        <w:rPr>
          <w:rFonts w:ascii="Cambria" w:eastAsia="Calibri" w:hAnsi="Cambria" w:cs="Calibri"/>
          <w:spacing w:val="4"/>
        </w:rPr>
        <w:t xml:space="preserve"> </w:t>
      </w:r>
      <w:r w:rsidRPr="009A0DA6">
        <w:rPr>
          <w:rFonts w:ascii="Cambria" w:eastAsia="Calibri" w:hAnsi="Cambria" w:cs="Calibri"/>
        </w:rPr>
        <w:t>si</w:t>
      </w:r>
      <w:r w:rsidRPr="009A0DA6">
        <w:rPr>
          <w:rFonts w:ascii="Cambria" w:eastAsia="Calibri" w:hAnsi="Cambria" w:cs="Calibri"/>
          <w:spacing w:val="-1"/>
        </w:rPr>
        <w:t>n</w:t>
      </w:r>
      <w:r w:rsidRPr="009A0DA6">
        <w:rPr>
          <w:rFonts w:ascii="Cambria" w:eastAsia="Calibri" w:hAnsi="Cambria" w:cs="Calibri"/>
        </w:rPr>
        <w:t>ce</w:t>
      </w:r>
      <w:r w:rsidRPr="009A0DA6">
        <w:rPr>
          <w:rFonts w:ascii="Cambria" w:eastAsia="Calibri" w:hAnsi="Cambria" w:cs="Calibri"/>
          <w:spacing w:val="7"/>
        </w:rPr>
        <w:t xml:space="preserve"> </w:t>
      </w:r>
      <w:r w:rsidRPr="009A0DA6">
        <w:rPr>
          <w:rFonts w:ascii="Cambria" w:eastAsia="Calibri" w:hAnsi="Cambria" w:cs="Calibri"/>
        </w:rPr>
        <w:t>it</w:t>
      </w:r>
      <w:r w:rsidRPr="009A0DA6">
        <w:rPr>
          <w:rFonts w:ascii="Cambria" w:eastAsia="Calibri" w:hAnsi="Cambria" w:cs="Calibri"/>
          <w:spacing w:val="4"/>
        </w:rPr>
        <w:t xml:space="preserve"> </w:t>
      </w:r>
      <w:r w:rsidRPr="009A0DA6">
        <w:rPr>
          <w:rFonts w:ascii="Cambria" w:eastAsia="Calibri" w:hAnsi="Cambria" w:cs="Calibri"/>
        </w:rPr>
        <w:t>is</w:t>
      </w:r>
      <w:r w:rsidRPr="009A0DA6">
        <w:rPr>
          <w:rFonts w:ascii="Cambria" w:eastAsia="Calibri" w:hAnsi="Cambria" w:cs="Calibri"/>
          <w:spacing w:val="3"/>
        </w:rPr>
        <w:t xml:space="preserve"> </w:t>
      </w:r>
      <w:r w:rsidRPr="009A0DA6">
        <w:rPr>
          <w:rFonts w:ascii="Cambria" w:eastAsia="Calibri" w:hAnsi="Cambria" w:cs="Calibri"/>
        </w:rPr>
        <w:t>G</w:t>
      </w:r>
      <w:r w:rsidRPr="009A0DA6">
        <w:rPr>
          <w:rFonts w:ascii="Cambria" w:eastAsia="Calibri" w:hAnsi="Cambria" w:cs="Calibri"/>
          <w:spacing w:val="1"/>
        </w:rPr>
        <w:t>o</w:t>
      </w:r>
      <w:r w:rsidRPr="009A0DA6">
        <w:rPr>
          <w:rFonts w:ascii="Cambria" w:eastAsia="Calibri" w:hAnsi="Cambria" w:cs="Calibri"/>
          <w:spacing w:val="-1"/>
        </w:rPr>
        <w:t>d</w:t>
      </w:r>
      <w:r w:rsidRPr="009A0DA6">
        <w:rPr>
          <w:rFonts w:ascii="Cambria" w:eastAsia="Calibri" w:hAnsi="Cambria" w:cs="Calibri"/>
        </w:rPr>
        <w:t>’s</w:t>
      </w:r>
      <w:r w:rsidRPr="009A0DA6">
        <w:rPr>
          <w:rFonts w:ascii="Cambria" w:eastAsia="Calibri" w:hAnsi="Cambria" w:cs="Calibri"/>
          <w:spacing w:val="4"/>
        </w:rPr>
        <w:t xml:space="preserve"> </w:t>
      </w:r>
      <w:r w:rsidRPr="009A0DA6">
        <w:rPr>
          <w:rFonts w:ascii="Cambria" w:eastAsia="Calibri" w:hAnsi="Cambria" w:cs="Calibri"/>
          <w:spacing w:val="-2"/>
        </w:rPr>
        <w:t>W</w:t>
      </w:r>
      <w:r w:rsidRPr="009A0DA6">
        <w:rPr>
          <w:rFonts w:ascii="Cambria" w:eastAsia="Calibri" w:hAnsi="Cambria" w:cs="Calibri"/>
          <w:spacing w:val="-1"/>
        </w:rPr>
        <w:t>o</w:t>
      </w:r>
      <w:r w:rsidRPr="009A0DA6">
        <w:rPr>
          <w:rFonts w:ascii="Cambria" w:eastAsia="Calibri" w:hAnsi="Cambria" w:cs="Calibri"/>
        </w:rPr>
        <w:t>rd</w:t>
      </w:r>
      <w:r w:rsidRPr="009A0DA6">
        <w:rPr>
          <w:rFonts w:ascii="Cambria" w:eastAsia="Calibri" w:hAnsi="Cambria" w:cs="Calibri"/>
          <w:spacing w:val="3"/>
        </w:rPr>
        <w:t xml:space="preserve"> </w:t>
      </w:r>
      <w:r w:rsidRPr="009A0DA6">
        <w:rPr>
          <w:rFonts w:ascii="Cambria" w:eastAsia="Calibri" w:hAnsi="Cambria" w:cs="Calibri"/>
        </w:rPr>
        <w:t>that</w:t>
      </w:r>
      <w:r w:rsidRPr="009A0DA6">
        <w:rPr>
          <w:rFonts w:ascii="Cambria" w:eastAsia="Calibri" w:hAnsi="Cambria" w:cs="Calibri"/>
          <w:spacing w:val="4"/>
        </w:rPr>
        <w:t xml:space="preserve"> </w:t>
      </w:r>
      <w:r w:rsidRPr="009A0DA6">
        <w:rPr>
          <w:rFonts w:ascii="Cambria" w:eastAsia="Calibri" w:hAnsi="Cambria" w:cs="Calibri"/>
          <w:spacing w:val="1"/>
        </w:rPr>
        <w:t>p</w:t>
      </w:r>
      <w:r w:rsidRPr="009A0DA6">
        <w:rPr>
          <w:rFonts w:ascii="Cambria" w:eastAsia="Calibri" w:hAnsi="Cambria" w:cs="Calibri"/>
        </w:rPr>
        <w:t>r</w:t>
      </w:r>
      <w:r w:rsidRPr="009A0DA6">
        <w:rPr>
          <w:rFonts w:ascii="Cambria" w:eastAsia="Calibri" w:hAnsi="Cambria" w:cs="Calibri"/>
          <w:spacing w:val="1"/>
        </w:rPr>
        <w:t>o</w:t>
      </w:r>
      <w:r w:rsidRPr="009A0DA6">
        <w:rPr>
          <w:rFonts w:ascii="Cambria" w:eastAsia="Calibri" w:hAnsi="Cambria" w:cs="Calibri"/>
          <w:spacing w:val="-1"/>
        </w:rPr>
        <w:t>h</w:t>
      </w:r>
      <w:r w:rsidRPr="009A0DA6">
        <w:rPr>
          <w:rFonts w:ascii="Cambria" w:eastAsia="Calibri" w:hAnsi="Cambria" w:cs="Calibri"/>
        </w:rPr>
        <w:t>i</w:t>
      </w:r>
      <w:r w:rsidRPr="009A0DA6">
        <w:rPr>
          <w:rFonts w:ascii="Cambria" w:eastAsia="Calibri" w:hAnsi="Cambria" w:cs="Calibri"/>
          <w:spacing w:val="-1"/>
        </w:rPr>
        <w:t>b</w:t>
      </w:r>
      <w:r w:rsidRPr="009A0DA6">
        <w:rPr>
          <w:rFonts w:ascii="Cambria" w:eastAsia="Calibri" w:hAnsi="Cambria" w:cs="Calibri"/>
        </w:rPr>
        <w:t>its</w:t>
      </w:r>
      <w:r w:rsidRPr="009A0DA6">
        <w:rPr>
          <w:rFonts w:ascii="Cambria" w:eastAsia="Calibri" w:hAnsi="Cambria" w:cs="Calibri"/>
          <w:spacing w:val="4"/>
        </w:rPr>
        <w:t xml:space="preserve"> </w:t>
      </w:r>
      <w:r w:rsidRPr="009A0DA6">
        <w:rPr>
          <w:rFonts w:ascii="Cambria" w:eastAsia="Calibri" w:hAnsi="Cambria" w:cs="Calibri"/>
          <w:spacing w:val="-2"/>
        </w:rPr>
        <w:t>w</w:t>
      </w:r>
      <w:r w:rsidRPr="009A0DA6">
        <w:rPr>
          <w:rFonts w:ascii="Cambria" w:eastAsia="Calibri" w:hAnsi="Cambria" w:cs="Calibri"/>
          <w:spacing w:val="1"/>
        </w:rPr>
        <w:t>o</w:t>
      </w:r>
      <w:r w:rsidRPr="009A0DA6">
        <w:rPr>
          <w:rFonts w:ascii="Cambria" w:eastAsia="Calibri" w:hAnsi="Cambria" w:cs="Calibri"/>
          <w:spacing w:val="-1"/>
        </w:rPr>
        <w:t>m</w:t>
      </w:r>
      <w:r w:rsidRPr="009A0DA6">
        <w:rPr>
          <w:rFonts w:ascii="Cambria" w:eastAsia="Calibri" w:hAnsi="Cambria" w:cs="Calibri"/>
        </w:rPr>
        <w:t>en</w:t>
      </w:r>
      <w:r w:rsidRPr="009A0DA6">
        <w:rPr>
          <w:rFonts w:ascii="Cambria" w:eastAsia="Calibri" w:hAnsi="Cambria" w:cs="Calibri"/>
          <w:spacing w:val="3"/>
        </w:rPr>
        <w:t xml:space="preserve"> </w:t>
      </w:r>
      <w:r w:rsidRPr="009A0DA6">
        <w:rPr>
          <w:rFonts w:ascii="Cambria" w:eastAsia="Calibri" w:hAnsi="Cambria" w:cs="Calibri"/>
        </w:rPr>
        <w:t>fr</w:t>
      </w:r>
      <w:r w:rsidRPr="009A0DA6">
        <w:rPr>
          <w:rFonts w:ascii="Cambria" w:eastAsia="Calibri" w:hAnsi="Cambria" w:cs="Calibri"/>
          <w:spacing w:val="1"/>
        </w:rPr>
        <w:t>o</w:t>
      </w:r>
      <w:r w:rsidRPr="009A0DA6">
        <w:rPr>
          <w:rFonts w:ascii="Cambria" w:eastAsia="Calibri" w:hAnsi="Cambria" w:cs="Calibri"/>
        </w:rPr>
        <w:t>m</w:t>
      </w:r>
      <w:r w:rsidRPr="009A0DA6">
        <w:rPr>
          <w:rFonts w:ascii="Cambria" w:eastAsia="Calibri" w:hAnsi="Cambria" w:cs="Calibri"/>
          <w:spacing w:val="4"/>
        </w:rPr>
        <w:t xml:space="preserve"> </w:t>
      </w:r>
      <w:r w:rsidRPr="009A0DA6">
        <w:rPr>
          <w:rFonts w:ascii="Cambria" w:eastAsia="Calibri" w:hAnsi="Cambria" w:cs="Calibri"/>
          <w:spacing w:val="-1"/>
        </w:rPr>
        <w:t>b</w:t>
      </w:r>
      <w:r w:rsidRPr="009A0DA6">
        <w:rPr>
          <w:rFonts w:ascii="Cambria" w:eastAsia="Calibri" w:hAnsi="Cambria" w:cs="Calibri"/>
        </w:rPr>
        <w:t>ei</w:t>
      </w:r>
      <w:r w:rsidRPr="009A0DA6">
        <w:rPr>
          <w:rFonts w:ascii="Cambria" w:eastAsia="Calibri" w:hAnsi="Cambria" w:cs="Calibri"/>
          <w:spacing w:val="-1"/>
        </w:rPr>
        <w:t>n</w:t>
      </w:r>
      <w:r w:rsidRPr="009A0DA6">
        <w:rPr>
          <w:rFonts w:ascii="Cambria" w:eastAsia="Calibri" w:hAnsi="Cambria" w:cs="Calibri"/>
        </w:rPr>
        <w:t xml:space="preserve">g </w:t>
      </w:r>
      <w:r w:rsidRPr="009A0DA6">
        <w:rPr>
          <w:rFonts w:ascii="Cambria" w:eastAsia="Calibri" w:hAnsi="Cambria" w:cs="Calibri"/>
          <w:spacing w:val="1"/>
        </w:rPr>
        <w:t>o</w:t>
      </w:r>
      <w:r w:rsidRPr="009A0DA6">
        <w:rPr>
          <w:rFonts w:ascii="Cambria" w:eastAsia="Calibri" w:hAnsi="Cambria" w:cs="Calibri"/>
        </w:rPr>
        <w:t>r</w:t>
      </w:r>
      <w:r w:rsidRPr="009A0DA6">
        <w:rPr>
          <w:rFonts w:ascii="Cambria" w:eastAsia="Calibri" w:hAnsi="Cambria" w:cs="Calibri"/>
          <w:spacing w:val="-1"/>
        </w:rPr>
        <w:t>d</w:t>
      </w:r>
      <w:r w:rsidRPr="009A0DA6">
        <w:rPr>
          <w:rFonts w:ascii="Cambria" w:eastAsia="Calibri" w:hAnsi="Cambria" w:cs="Calibri"/>
        </w:rPr>
        <w:t>ai</w:t>
      </w:r>
      <w:r w:rsidRPr="009A0DA6">
        <w:rPr>
          <w:rFonts w:ascii="Cambria" w:eastAsia="Calibri" w:hAnsi="Cambria" w:cs="Calibri"/>
          <w:spacing w:val="-1"/>
        </w:rPr>
        <w:t>n</w:t>
      </w:r>
      <w:r w:rsidRPr="009A0DA6">
        <w:rPr>
          <w:rFonts w:ascii="Cambria" w:eastAsia="Calibri" w:hAnsi="Cambria" w:cs="Calibri"/>
        </w:rPr>
        <w:t xml:space="preserve">ed, </w:t>
      </w:r>
      <w:r w:rsidRPr="009A0DA6">
        <w:rPr>
          <w:rFonts w:ascii="Cambria" w:eastAsia="Calibri" w:hAnsi="Cambria" w:cs="Calibri"/>
          <w:spacing w:val="-1"/>
        </w:rPr>
        <w:t>n</w:t>
      </w:r>
      <w:r w:rsidRPr="009A0DA6">
        <w:rPr>
          <w:rFonts w:ascii="Cambria" w:eastAsia="Calibri" w:hAnsi="Cambria" w:cs="Calibri"/>
          <w:spacing w:val="1"/>
        </w:rPr>
        <w:t>o</w:t>
      </w:r>
      <w:r w:rsidRPr="009A0DA6">
        <w:rPr>
          <w:rFonts w:ascii="Cambria" w:eastAsia="Calibri" w:hAnsi="Cambria" w:cs="Calibri"/>
        </w:rPr>
        <w:t>t</w:t>
      </w:r>
      <w:r w:rsidRPr="009A0DA6">
        <w:rPr>
          <w:rFonts w:ascii="Cambria" w:eastAsia="Calibri" w:hAnsi="Cambria" w:cs="Calibri"/>
          <w:spacing w:val="-1"/>
        </w:rPr>
        <w:t xml:space="preserve"> </w:t>
      </w:r>
      <w:r w:rsidRPr="009A0DA6">
        <w:rPr>
          <w:rFonts w:ascii="Cambria" w:eastAsia="Calibri" w:hAnsi="Cambria" w:cs="Calibri"/>
          <w:spacing w:val="1"/>
        </w:rPr>
        <w:t>“</w:t>
      </w:r>
      <w:r w:rsidRPr="009A0DA6">
        <w:rPr>
          <w:rFonts w:ascii="Cambria" w:eastAsia="Calibri" w:hAnsi="Cambria" w:cs="Calibri"/>
          <w:spacing w:val="-1"/>
        </w:rPr>
        <w:t>b</w:t>
      </w:r>
      <w:r w:rsidRPr="009A0DA6">
        <w:rPr>
          <w:rFonts w:ascii="Cambria" w:eastAsia="Calibri" w:hAnsi="Cambria" w:cs="Calibri"/>
        </w:rPr>
        <w:t>ar</w:t>
      </w:r>
      <w:r w:rsidRPr="009A0DA6">
        <w:rPr>
          <w:rFonts w:ascii="Cambria" w:eastAsia="Calibri" w:hAnsi="Cambria" w:cs="Calibri"/>
          <w:spacing w:val="-1"/>
        </w:rPr>
        <w:t>r</w:t>
      </w:r>
      <w:r w:rsidRPr="009A0DA6">
        <w:rPr>
          <w:rFonts w:ascii="Cambria" w:eastAsia="Calibri" w:hAnsi="Cambria" w:cs="Calibri"/>
        </w:rPr>
        <w:t>iers</w:t>
      </w:r>
      <w:r w:rsidRPr="009A0DA6">
        <w:rPr>
          <w:rFonts w:ascii="Cambria" w:eastAsia="Calibri" w:hAnsi="Cambria" w:cs="Calibri"/>
          <w:spacing w:val="-2"/>
        </w:rPr>
        <w:t xml:space="preserve"> </w:t>
      </w:r>
      <w:r w:rsidRPr="009A0DA6">
        <w:rPr>
          <w:rFonts w:ascii="Cambria" w:eastAsia="Calibri" w:hAnsi="Cambria" w:cs="Calibri"/>
        </w:rPr>
        <w:t>b</w:t>
      </w:r>
      <w:r w:rsidRPr="009A0DA6">
        <w:rPr>
          <w:rFonts w:ascii="Cambria" w:eastAsia="Calibri" w:hAnsi="Cambria" w:cs="Calibri"/>
          <w:spacing w:val="-1"/>
        </w:rPr>
        <w:t>u</w:t>
      </w:r>
      <w:r w:rsidRPr="009A0DA6">
        <w:rPr>
          <w:rFonts w:ascii="Cambria" w:eastAsia="Calibri" w:hAnsi="Cambria" w:cs="Calibri"/>
        </w:rPr>
        <w:t>i</w:t>
      </w:r>
      <w:r w:rsidRPr="009A0DA6">
        <w:rPr>
          <w:rFonts w:ascii="Cambria" w:eastAsia="Calibri" w:hAnsi="Cambria" w:cs="Calibri"/>
          <w:spacing w:val="-1"/>
        </w:rPr>
        <w:t>l</w:t>
      </w:r>
      <w:r w:rsidRPr="009A0DA6">
        <w:rPr>
          <w:rFonts w:ascii="Cambria" w:eastAsia="Calibri" w:hAnsi="Cambria" w:cs="Calibri"/>
        </w:rPr>
        <w:t>t</w:t>
      </w:r>
      <w:r w:rsidRPr="009A0DA6">
        <w:rPr>
          <w:rFonts w:ascii="Cambria" w:eastAsia="Calibri" w:hAnsi="Cambria" w:cs="Calibri"/>
          <w:spacing w:val="1"/>
        </w:rPr>
        <w:t xml:space="preserve"> </w:t>
      </w:r>
      <w:r w:rsidRPr="009A0DA6">
        <w:rPr>
          <w:rFonts w:ascii="Cambria" w:eastAsia="Calibri" w:hAnsi="Cambria" w:cs="Calibri"/>
          <w:spacing w:val="-1"/>
        </w:rPr>
        <w:t>b</w:t>
      </w:r>
      <w:r w:rsidRPr="009A0DA6">
        <w:rPr>
          <w:rFonts w:ascii="Cambria" w:eastAsia="Calibri" w:hAnsi="Cambria" w:cs="Calibri"/>
        </w:rPr>
        <w:t>y</w:t>
      </w:r>
      <w:r w:rsidRPr="009A0DA6">
        <w:rPr>
          <w:rFonts w:ascii="Cambria" w:eastAsia="Calibri" w:hAnsi="Cambria" w:cs="Calibri"/>
          <w:spacing w:val="1"/>
        </w:rPr>
        <w:t xml:space="preserve"> </w:t>
      </w:r>
      <w:r w:rsidRPr="009A0DA6">
        <w:rPr>
          <w:rFonts w:ascii="Cambria" w:eastAsia="Calibri" w:hAnsi="Cambria" w:cs="Calibri"/>
        </w:rPr>
        <w:t>h</w:t>
      </w:r>
      <w:r w:rsidRPr="009A0DA6">
        <w:rPr>
          <w:rFonts w:ascii="Cambria" w:eastAsia="Calibri" w:hAnsi="Cambria" w:cs="Calibri"/>
          <w:spacing w:val="-3"/>
        </w:rPr>
        <w:t>u</w:t>
      </w:r>
      <w:r w:rsidRPr="009A0DA6">
        <w:rPr>
          <w:rFonts w:ascii="Cambria" w:eastAsia="Calibri" w:hAnsi="Cambria" w:cs="Calibri"/>
          <w:spacing w:val="1"/>
        </w:rPr>
        <w:t>m</w:t>
      </w:r>
      <w:r w:rsidRPr="009A0DA6">
        <w:rPr>
          <w:rFonts w:ascii="Cambria" w:eastAsia="Calibri" w:hAnsi="Cambria" w:cs="Calibri"/>
          <w:spacing w:val="-3"/>
        </w:rPr>
        <w:t>a</w:t>
      </w:r>
      <w:r w:rsidRPr="009A0DA6">
        <w:rPr>
          <w:rFonts w:ascii="Cambria" w:eastAsia="Calibri" w:hAnsi="Cambria" w:cs="Calibri"/>
          <w:spacing w:val="-1"/>
        </w:rPr>
        <w:t>n</w:t>
      </w:r>
      <w:r w:rsidRPr="009A0DA6">
        <w:rPr>
          <w:rFonts w:ascii="Cambria" w:eastAsia="Calibri" w:hAnsi="Cambria" w:cs="Calibri"/>
        </w:rPr>
        <w:t>s.”</w:t>
      </w:r>
      <w:r w:rsidR="00417DA5" w:rsidRPr="009A0DA6">
        <w:rPr>
          <w:rFonts w:ascii="Cambria" w:eastAsia="Calibri" w:hAnsi="Cambria" w:cs="Calibri"/>
        </w:rPr>
        <w:br/>
      </w:r>
    </w:p>
    <w:p w14:paraId="3AECB839" w14:textId="77777777" w:rsidR="00ED76E9" w:rsidRDefault="0042579D" w:rsidP="00F55252">
      <w:pPr>
        <w:pStyle w:val="ListParagraph"/>
        <w:numPr>
          <w:ilvl w:val="1"/>
          <w:numId w:val="126"/>
        </w:numPr>
        <w:tabs>
          <w:tab w:val="clear" w:pos="1363"/>
          <w:tab w:val="left" w:pos="1701"/>
        </w:tabs>
        <w:spacing w:before="1" w:after="0"/>
        <w:ind w:left="1701" w:right="54" w:hanging="567"/>
        <w:rPr>
          <w:rFonts w:ascii="Cambria" w:eastAsia="Calibri" w:hAnsi="Cambria" w:cs="Calibri"/>
        </w:rPr>
      </w:pPr>
      <w:r w:rsidRPr="009A0DA6">
        <w:rPr>
          <w:rFonts w:ascii="Cambria" w:eastAsia="Calibri" w:hAnsi="Cambria" w:cs="Calibri"/>
        </w:rPr>
        <w:t>Sec</w:t>
      </w:r>
      <w:r w:rsidRPr="009A0DA6">
        <w:rPr>
          <w:rFonts w:ascii="Cambria" w:eastAsia="Calibri" w:hAnsi="Cambria" w:cs="Calibri"/>
          <w:spacing w:val="1"/>
        </w:rPr>
        <w:t>o</w:t>
      </w:r>
      <w:r w:rsidRPr="009A0DA6">
        <w:rPr>
          <w:rFonts w:ascii="Cambria" w:eastAsia="Calibri" w:hAnsi="Cambria" w:cs="Calibri"/>
          <w:spacing w:val="-1"/>
        </w:rPr>
        <w:t>nd</w:t>
      </w:r>
      <w:r w:rsidRPr="009A0DA6">
        <w:rPr>
          <w:rFonts w:ascii="Cambria" w:eastAsia="Calibri" w:hAnsi="Cambria" w:cs="Calibri"/>
        </w:rPr>
        <w:t>,</w:t>
      </w:r>
      <w:r w:rsidRPr="009A0DA6">
        <w:rPr>
          <w:rFonts w:ascii="Cambria" w:eastAsia="Calibri" w:hAnsi="Cambria" w:cs="Calibri"/>
          <w:spacing w:val="10"/>
        </w:rPr>
        <w:t xml:space="preserve"> </w:t>
      </w:r>
      <w:r w:rsidRPr="009A0DA6">
        <w:rPr>
          <w:rFonts w:ascii="Cambria" w:eastAsia="Calibri" w:hAnsi="Cambria" w:cs="Calibri"/>
        </w:rPr>
        <w:t>the</w:t>
      </w:r>
      <w:r w:rsidRPr="009A0DA6">
        <w:rPr>
          <w:rFonts w:ascii="Cambria" w:eastAsia="Calibri" w:hAnsi="Cambria" w:cs="Calibri"/>
          <w:spacing w:val="10"/>
        </w:rPr>
        <w:t xml:space="preserve"> </w:t>
      </w:r>
      <w:r w:rsidRPr="009A0DA6">
        <w:rPr>
          <w:rFonts w:ascii="Cambria" w:eastAsia="Calibri" w:hAnsi="Cambria" w:cs="Calibri"/>
          <w:spacing w:val="-1"/>
        </w:rPr>
        <w:t>N</w:t>
      </w:r>
      <w:r w:rsidRPr="009A0DA6">
        <w:rPr>
          <w:rFonts w:ascii="Cambria" w:eastAsia="Calibri" w:hAnsi="Cambria" w:cs="Calibri"/>
          <w:spacing w:val="-2"/>
        </w:rPr>
        <w:t>e</w:t>
      </w:r>
      <w:r w:rsidRPr="009A0DA6">
        <w:rPr>
          <w:rFonts w:ascii="Cambria" w:eastAsia="Calibri" w:hAnsi="Cambria" w:cs="Calibri"/>
        </w:rPr>
        <w:t>w</w:t>
      </w:r>
      <w:r w:rsidRPr="009A0DA6">
        <w:rPr>
          <w:rFonts w:ascii="Cambria" w:eastAsia="Calibri" w:hAnsi="Cambria" w:cs="Calibri"/>
          <w:spacing w:val="11"/>
        </w:rPr>
        <w:t xml:space="preserve"> </w:t>
      </w:r>
      <w:r w:rsidRPr="009A0DA6">
        <w:rPr>
          <w:rFonts w:ascii="Cambria" w:eastAsia="Calibri" w:hAnsi="Cambria" w:cs="Calibri"/>
        </w:rPr>
        <w:t>T</w:t>
      </w:r>
      <w:r w:rsidRPr="009A0DA6">
        <w:rPr>
          <w:rFonts w:ascii="Cambria" w:eastAsia="Calibri" w:hAnsi="Cambria" w:cs="Calibri"/>
          <w:spacing w:val="-2"/>
        </w:rPr>
        <w:t>e</w:t>
      </w:r>
      <w:r w:rsidRPr="009A0DA6">
        <w:rPr>
          <w:rFonts w:ascii="Cambria" w:eastAsia="Calibri" w:hAnsi="Cambria" w:cs="Calibri"/>
        </w:rPr>
        <w:t>st</w:t>
      </w:r>
      <w:r w:rsidRPr="009A0DA6">
        <w:rPr>
          <w:rFonts w:ascii="Cambria" w:eastAsia="Calibri" w:hAnsi="Cambria" w:cs="Calibri"/>
          <w:spacing w:val="-2"/>
        </w:rPr>
        <w:t>a</w:t>
      </w:r>
      <w:r w:rsidRPr="009A0DA6">
        <w:rPr>
          <w:rFonts w:ascii="Cambria" w:eastAsia="Calibri" w:hAnsi="Cambria" w:cs="Calibri"/>
          <w:spacing w:val="1"/>
        </w:rPr>
        <w:t>m</w:t>
      </w:r>
      <w:r w:rsidRPr="009A0DA6">
        <w:rPr>
          <w:rFonts w:ascii="Cambria" w:eastAsia="Calibri" w:hAnsi="Cambria" w:cs="Calibri"/>
          <w:spacing w:val="-2"/>
        </w:rPr>
        <w:t>e</w:t>
      </w:r>
      <w:r w:rsidRPr="009A0DA6">
        <w:rPr>
          <w:rFonts w:ascii="Cambria" w:eastAsia="Calibri" w:hAnsi="Cambria" w:cs="Calibri"/>
          <w:spacing w:val="-1"/>
        </w:rPr>
        <w:t>n</w:t>
      </w:r>
      <w:r w:rsidRPr="009A0DA6">
        <w:rPr>
          <w:rFonts w:ascii="Cambria" w:eastAsia="Calibri" w:hAnsi="Cambria" w:cs="Calibri"/>
        </w:rPr>
        <w:t>t’s</w:t>
      </w:r>
      <w:r w:rsidRPr="009A0DA6">
        <w:rPr>
          <w:rFonts w:ascii="Cambria" w:eastAsia="Calibri" w:hAnsi="Cambria" w:cs="Calibri"/>
          <w:spacing w:val="11"/>
        </w:rPr>
        <w:t xml:space="preserve"> </w:t>
      </w:r>
      <w:r w:rsidRPr="009A0DA6">
        <w:rPr>
          <w:rFonts w:ascii="Cambria" w:eastAsia="Calibri" w:hAnsi="Cambria" w:cs="Calibri"/>
        </w:rPr>
        <w:t>en</w:t>
      </w:r>
      <w:r w:rsidRPr="009A0DA6">
        <w:rPr>
          <w:rFonts w:ascii="Cambria" w:eastAsia="Calibri" w:hAnsi="Cambria" w:cs="Calibri"/>
          <w:spacing w:val="-1"/>
        </w:rPr>
        <w:t>d</w:t>
      </w:r>
      <w:r w:rsidRPr="009A0DA6">
        <w:rPr>
          <w:rFonts w:ascii="Cambria" w:eastAsia="Calibri" w:hAnsi="Cambria" w:cs="Calibri"/>
          <w:spacing w:val="1"/>
        </w:rPr>
        <w:t>o</w:t>
      </w:r>
      <w:r w:rsidRPr="009A0DA6">
        <w:rPr>
          <w:rFonts w:ascii="Cambria" w:eastAsia="Calibri" w:hAnsi="Cambria" w:cs="Calibri"/>
        </w:rPr>
        <w:t>r</w:t>
      </w:r>
      <w:r w:rsidRPr="009A0DA6">
        <w:rPr>
          <w:rFonts w:ascii="Cambria" w:eastAsia="Calibri" w:hAnsi="Cambria" w:cs="Calibri"/>
          <w:spacing w:val="-3"/>
        </w:rPr>
        <w:t>s</w:t>
      </w:r>
      <w:r w:rsidRPr="009A0DA6">
        <w:rPr>
          <w:rFonts w:ascii="Cambria" w:eastAsia="Calibri" w:hAnsi="Cambria" w:cs="Calibri"/>
        </w:rPr>
        <w:t>e</w:t>
      </w:r>
      <w:r w:rsidRPr="009A0DA6">
        <w:rPr>
          <w:rFonts w:ascii="Cambria" w:eastAsia="Calibri" w:hAnsi="Cambria" w:cs="Calibri"/>
          <w:spacing w:val="-1"/>
        </w:rPr>
        <w:t>m</w:t>
      </w:r>
      <w:r w:rsidRPr="009A0DA6">
        <w:rPr>
          <w:rFonts w:ascii="Cambria" w:eastAsia="Calibri" w:hAnsi="Cambria" w:cs="Calibri"/>
        </w:rPr>
        <w:t>ent</w:t>
      </w:r>
      <w:r w:rsidRPr="009A0DA6">
        <w:rPr>
          <w:rFonts w:ascii="Cambria" w:eastAsia="Calibri" w:hAnsi="Cambria" w:cs="Calibri"/>
          <w:spacing w:val="10"/>
        </w:rPr>
        <w:t xml:space="preserve"> </w:t>
      </w:r>
      <w:r w:rsidRPr="009A0DA6">
        <w:rPr>
          <w:rFonts w:ascii="Cambria" w:eastAsia="Calibri" w:hAnsi="Cambria" w:cs="Calibri"/>
          <w:spacing w:val="1"/>
        </w:rPr>
        <w:t>o</w:t>
      </w:r>
      <w:r w:rsidRPr="009A0DA6">
        <w:rPr>
          <w:rFonts w:ascii="Cambria" w:eastAsia="Calibri" w:hAnsi="Cambria" w:cs="Calibri"/>
        </w:rPr>
        <w:t>f</w:t>
      </w:r>
      <w:r w:rsidRPr="009A0DA6">
        <w:rPr>
          <w:rFonts w:ascii="Cambria" w:eastAsia="Calibri" w:hAnsi="Cambria" w:cs="Calibri"/>
          <w:spacing w:val="11"/>
        </w:rPr>
        <w:t xml:space="preserve"> </w:t>
      </w:r>
      <w:r w:rsidRPr="009A0DA6">
        <w:rPr>
          <w:rFonts w:ascii="Cambria" w:eastAsia="Calibri" w:hAnsi="Cambria" w:cs="Calibri"/>
        </w:rPr>
        <w:t>the</w:t>
      </w:r>
      <w:r w:rsidRPr="009A0DA6">
        <w:rPr>
          <w:rFonts w:ascii="Cambria" w:eastAsia="Calibri" w:hAnsi="Cambria" w:cs="Calibri"/>
          <w:spacing w:val="10"/>
        </w:rPr>
        <w:t xml:space="preserve"> </w:t>
      </w:r>
      <w:r w:rsidRPr="009A0DA6">
        <w:rPr>
          <w:rFonts w:ascii="Cambria" w:eastAsia="Calibri" w:hAnsi="Cambria" w:cs="Calibri"/>
          <w:spacing w:val="-1"/>
        </w:rPr>
        <w:t>m</w:t>
      </w:r>
      <w:r w:rsidRPr="009A0DA6">
        <w:rPr>
          <w:rFonts w:ascii="Cambria" w:eastAsia="Calibri" w:hAnsi="Cambria" w:cs="Calibri"/>
        </w:rPr>
        <w:t>al</w:t>
      </w:r>
      <w:r w:rsidRPr="009A0DA6">
        <w:rPr>
          <w:rFonts w:ascii="Cambria" w:eastAsia="Calibri" w:hAnsi="Cambria" w:cs="Calibri"/>
          <w:spacing w:val="1"/>
        </w:rPr>
        <w:t>e</w:t>
      </w:r>
      <w:r w:rsidRPr="009A0DA6">
        <w:rPr>
          <w:rFonts w:ascii="Cambria" w:eastAsia="Calibri" w:hAnsi="Cambria" w:cs="Calibri"/>
        </w:rPr>
        <w:t>-</w:t>
      </w:r>
      <w:r w:rsidRPr="009A0DA6">
        <w:rPr>
          <w:rFonts w:ascii="Cambria" w:eastAsia="Calibri" w:hAnsi="Cambria" w:cs="Calibri"/>
          <w:spacing w:val="1"/>
        </w:rPr>
        <w:t>o</w:t>
      </w:r>
      <w:r w:rsidRPr="009A0DA6">
        <w:rPr>
          <w:rFonts w:ascii="Cambria" w:eastAsia="Calibri" w:hAnsi="Cambria" w:cs="Calibri"/>
          <w:spacing w:val="-1"/>
        </w:rPr>
        <w:t>n</w:t>
      </w:r>
      <w:r w:rsidRPr="009A0DA6">
        <w:rPr>
          <w:rFonts w:ascii="Cambria" w:eastAsia="Calibri" w:hAnsi="Cambria" w:cs="Calibri"/>
        </w:rPr>
        <w:t>ly</w:t>
      </w:r>
      <w:r w:rsidRPr="009A0DA6">
        <w:rPr>
          <w:rFonts w:ascii="Cambria" w:eastAsia="Calibri" w:hAnsi="Cambria" w:cs="Calibri"/>
          <w:spacing w:val="11"/>
        </w:rPr>
        <w:t xml:space="preserve"> </w:t>
      </w:r>
      <w:r w:rsidRPr="009A0DA6">
        <w:rPr>
          <w:rFonts w:ascii="Cambria" w:eastAsia="Calibri" w:hAnsi="Cambria" w:cs="Calibri"/>
          <w:spacing w:val="-1"/>
        </w:rPr>
        <w:t>p</w:t>
      </w:r>
      <w:r w:rsidRPr="009A0DA6">
        <w:rPr>
          <w:rFonts w:ascii="Cambria" w:eastAsia="Calibri" w:hAnsi="Cambria" w:cs="Calibri"/>
        </w:rPr>
        <w:t>a</w:t>
      </w:r>
      <w:r w:rsidRPr="009A0DA6">
        <w:rPr>
          <w:rFonts w:ascii="Cambria" w:eastAsia="Calibri" w:hAnsi="Cambria" w:cs="Calibri"/>
          <w:spacing w:val="-2"/>
        </w:rPr>
        <w:t>s</w:t>
      </w:r>
      <w:r w:rsidRPr="009A0DA6">
        <w:rPr>
          <w:rFonts w:ascii="Cambria" w:eastAsia="Calibri" w:hAnsi="Cambria" w:cs="Calibri"/>
        </w:rPr>
        <w:t>t</w:t>
      </w:r>
      <w:r w:rsidRPr="009A0DA6">
        <w:rPr>
          <w:rFonts w:ascii="Cambria" w:eastAsia="Calibri" w:hAnsi="Cambria" w:cs="Calibri"/>
          <w:spacing w:val="1"/>
        </w:rPr>
        <w:t>o</w:t>
      </w:r>
      <w:r w:rsidRPr="009A0DA6">
        <w:rPr>
          <w:rFonts w:ascii="Cambria" w:eastAsia="Calibri" w:hAnsi="Cambria" w:cs="Calibri"/>
        </w:rPr>
        <w:t>r</w:t>
      </w:r>
      <w:r w:rsidRPr="009A0DA6">
        <w:rPr>
          <w:rFonts w:ascii="Cambria" w:eastAsia="Calibri" w:hAnsi="Cambria" w:cs="Calibri"/>
          <w:spacing w:val="-3"/>
        </w:rPr>
        <w:t>a</w:t>
      </w:r>
      <w:r w:rsidRPr="009A0DA6">
        <w:rPr>
          <w:rFonts w:ascii="Cambria" w:eastAsia="Calibri" w:hAnsi="Cambria" w:cs="Calibri"/>
        </w:rPr>
        <w:t>te</w:t>
      </w:r>
      <w:r w:rsidRPr="009A0DA6">
        <w:rPr>
          <w:rFonts w:ascii="Cambria" w:eastAsia="Calibri" w:hAnsi="Cambria" w:cs="Calibri"/>
          <w:spacing w:val="11"/>
        </w:rPr>
        <w:t xml:space="preserve"> </w:t>
      </w:r>
      <w:r w:rsidRPr="009A0DA6">
        <w:rPr>
          <w:rFonts w:ascii="Cambria" w:eastAsia="Calibri" w:hAnsi="Cambria" w:cs="Calibri"/>
          <w:spacing w:val="-1"/>
        </w:rPr>
        <w:t>do</w:t>
      </w:r>
      <w:r w:rsidRPr="009A0DA6">
        <w:rPr>
          <w:rFonts w:ascii="Cambria" w:eastAsia="Calibri" w:hAnsi="Cambria" w:cs="Calibri"/>
        </w:rPr>
        <w:t>es</w:t>
      </w:r>
      <w:r w:rsidRPr="009A0DA6">
        <w:rPr>
          <w:rFonts w:ascii="Cambria" w:eastAsia="Calibri" w:hAnsi="Cambria" w:cs="Calibri"/>
          <w:spacing w:val="11"/>
        </w:rPr>
        <w:t xml:space="preserve"> </w:t>
      </w:r>
      <w:r w:rsidRPr="009A0DA6">
        <w:rPr>
          <w:rFonts w:ascii="Cambria" w:eastAsia="Calibri" w:hAnsi="Cambria" w:cs="Calibri"/>
          <w:spacing w:val="-1"/>
        </w:rPr>
        <w:t>no</w:t>
      </w:r>
      <w:r w:rsidRPr="009A0DA6">
        <w:rPr>
          <w:rFonts w:ascii="Cambria" w:eastAsia="Calibri" w:hAnsi="Cambria" w:cs="Calibri"/>
        </w:rPr>
        <w:t>t</w:t>
      </w:r>
      <w:r w:rsidRPr="009A0DA6">
        <w:rPr>
          <w:rFonts w:ascii="Cambria" w:eastAsia="Calibri" w:hAnsi="Cambria" w:cs="Calibri"/>
          <w:spacing w:val="11"/>
        </w:rPr>
        <w:t xml:space="preserve"> </w:t>
      </w:r>
      <w:r w:rsidRPr="009A0DA6">
        <w:rPr>
          <w:rFonts w:ascii="Cambria" w:eastAsia="Calibri" w:hAnsi="Cambria" w:cs="Calibri"/>
        </w:rPr>
        <w:t>st</w:t>
      </w:r>
      <w:r w:rsidRPr="009A0DA6">
        <w:rPr>
          <w:rFonts w:ascii="Cambria" w:eastAsia="Calibri" w:hAnsi="Cambria" w:cs="Calibri"/>
          <w:spacing w:val="-1"/>
        </w:rPr>
        <w:t>e</w:t>
      </w:r>
      <w:r w:rsidRPr="009A0DA6">
        <w:rPr>
          <w:rFonts w:ascii="Cambria" w:eastAsia="Calibri" w:hAnsi="Cambria" w:cs="Calibri"/>
        </w:rPr>
        <w:t>m</w:t>
      </w:r>
      <w:r w:rsidRPr="009A0DA6">
        <w:rPr>
          <w:rFonts w:ascii="Cambria" w:eastAsia="Calibri" w:hAnsi="Cambria" w:cs="Calibri"/>
          <w:spacing w:val="11"/>
        </w:rPr>
        <w:t xml:space="preserve"> </w:t>
      </w:r>
      <w:r w:rsidRPr="009A0DA6">
        <w:rPr>
          <w:rFonts w:ascii="Cambria" w:eastAsia="Calibri" w:hAnsi="Cambria" w:cs="Calibri"/>
        </w:rPr>
        <w:t>fr</w:t>
      </w:r>
      <w:r w:rsidRPr="009A0DA6">
        <w:rPr>
          <w:rFonts w:ascii="Cambria" w:eastAsia="Calibri" w:hAnsi="Cambria" w:cs="Calibri"/>
          <w:spacing w:val="-2"/>
        </w:rPr>
        <w:t>o</w:t>
      </w:r>
      <w:r w:rsidRPr="009A0DA6">
        <w:rPr>
          <w:rFonts w:ascii="Cambria" w:eastAsia="Calibri" w:hAnsi="Cambria" w:cs="Calibri"/>
        </w:rPr>
        <w:t>m</w:t>
      </w:r>
      <w:r w:rsidRPr="009A0DA6">
        <w:rPr>
          <w:rFonts w:ascii="Cambria" w:eastAsia="Calibri" w:hAnsi="Cambria" w:cs="Calibri"/>
          <w:spacing w:val="11"/>
        </w:rPr>
        <w:t xml:space="preserve"> </w:t>
      </w:r>
      <w:r w:rsidRPr="009A0DA6">
        <w:rPr>
          <w:rFonts w:ascii="Cambria" w:eastAsia="Calibri" w:hAnsi="Cambria" w:cs="Calibri"/>
        </w:rPr>
        <w:t>cu</w:t>
      </w:r>
      <w:r w:rsidRPr="009A0DA6">
        <w:rPr>
          <w:rFonts w:ascii="Cambria" w:eastAsia="Calibri" w:hAnsi="Cambria" w:cs="Calibri"/>
          <w:spacing w:val="-1"/>
        </w:rPr>
        <w:t>l</w:t>
      </w:r>
      <w:r w:rsidRPr="009A0DA6">
        <w:rPr>
          <w:rFonts w:ascii="Cambria" w:eastAsia="Calibri" w:hAnsi="Cambria" w:cs="Calibri"/>
        </w:rPr>
        <w:t>tur</w:t>
      </w:r>
      <w:r w:rsidRPr="009A0DA6">
        <w:rPr>
          <w:rFonts w:ascii="Cambria" w:eastAsia="Calibri" w:hAnsi="Cambria" w:cs="Calibri"/>
          <w:spacing w:val="-3"/>
        </w:rPr>
        <w:t>a</w:t>
      </w:r>
      <w:r w:rsidRPr="009A0DA6">
        <w:rPr>
          <w:rFonts w:ascii="Cambria" w:eastAsia="Calibri" w:hAnsi="Cambria" w:cs="Calibri"/>
        </w:rPr>
        <w:t>l ass</w:t>
      </w:r>
      <w:r w:rsidRPr="009A0DA6">
        <w:rPr>
          <w:rFonts w:ascii="Cambria" w:eastAsia="Calibri" w:hAnsi="Cambria" w:cs="Calibri"/>
          <w:spacing w:val="-1"/>
        </w:rPr>
        <w:t>u</w:t>
      </w:r>
      <w:r w:rsidRPr="009A0DA6">
        <w:rPr>
          <w:rFonts w:ascii="Cambria" w:eastAsia="Calibri" w:hAnsi="Cambria" w:cs="Calibri"/>
          <w:spacing w:val="1"/>
        </w:rPr>
        <w:t>m</w:t>
      </w:r>
      <w:r w:rsidRPr="009A0DA6">
        <w:rPr>
          <w:rFonts w:ascii="Cambria" w:eastAsia="Calibri" w:hAnsi="Cambria" w:cs="Calibri"/>
          <w:spacing w:val="-1"/>
        </w:rPr>
        <w:t>p</w:t>
      </w:r>
      <w:r w:rsidRPr="009A0DA6">
        <w:rPr>
          <w:rFonts w:ascii="Cambria" w:eastAsia="Calibri" w:hAnsi="Cambria" w:cs="Calibri"/>
        </w:rPr>
        <w:t>t</w:t>
      </w:r>
      <w:r w:rsidRPr="009A0DA6">
        <w:rPr>
          <w:rFonts w:ascii="Cambria" w:eastAsia="Calibri" w:hAnsi="Cambria" w:cs="Calibri"/>
          <w:spacing w:val="-2"/>
        </w:rPr>
        <w:t>i</w:t>
      </w:r>
      <w:r w:rsidRPr="009A0DA6">
        <w:rPr>
          <w:rFonts w:ascii="Cambria" w:eastAsia="Calibri" w:hAnsi="Cambria" w:cs="Calibri"/>
          <w:spacing w:val="1"/>
        </w:rPr>
        <w:t>o</w:t>
      </w:r>
      <w:r w:rsidRPr="009A0DA6">
        <w:rPr>
          <w:rFonts w:ascii="Cambria" w:eastAsia="Calibri" w:hAnsi="Cambria" w:cs="Calibri"/>
          <w:spacing w:val="-1"/>
        </w:rPr>
        <w:t>n</w:t>
      </w:r>
      <w:r w:rsidRPr="009A0DA6">
        <w:rPr>
          <w:rFonts w:ascii="Cambria" w:eastAsia="Calibri" w:hAnsi="Cambria" w:cs="Calibri"/>
        </w:rPr>
        <w:t>s</w:t>
      </w:r>
      <w:r w:rsidRPr="009A0DA6">
        <w:rPr>
          <w:rFonts w:ascii="Cambria" w:eastAsia="Calibri" w:hAnsi="Cambria" w:cs="Calibri"/>
          <w:spacing w:val="3"/>
        </w:rPr>
        <w:t xml:space="preserve"> </w:t>
      </w:r>
      <w:r w:rsidRPr="009A0DA6">
        <w:rPr>
          <w:rFonts w:ascii="Cambria" w:eastAsia="Calibri" w:hAnsi="Cambria" w:cs="Calibri"/>
        </w:rPr>
        <w:t>a</w:t>
      </w:r>
      <w:r w:rsidRPr="009A0DA6">
        <w:rPr>
          <w:rFonts w:ascii="Cambria" w:eastAsia="Calibri" w:hAnsi="Cambria" w:cs="Calibri"/>
          <w:spacing w:val="-3"/>
        </w:rPr>
        <w:t>b</w:t>
      </w:r>
      <w:r w:rsidRPr="009A0DA6">
        <w:rPr>
          <w:rFonts w:ascii="Cambria" w:eastAsia="Calibri" w:hAnsi="Cambria" w:cs="Calibri"/>
          <w:spacing w:val="1"/>
        </w:rPr>
        <w:t>o</w:t>
      </w:r>
      <w:r w:rsidRPr="009A0DA6">
        <w:rPr>
          <w:rFonts w:ascii="Cambria" w:eastAsia="Calibri" w:hAnsi="Cambria" w:cs="Calibri"/>
          <w:spacing w:val="-1"/>
        </w:rPr>
        <w:t>u</w:t>
      </w:r>
      <w:r w:rsidRPr="009A0DA6">
        <w:rPr>
          <w:rFonts w:ascii="Cambria" w:eastAsia="Calibri" w:hAnsi="Cambria" w:cs="Calibri"/>
        </w:rPr>
        <w:t>t</w:t>
      </w:r>
      <w:r w:rsidRPr="009A0DA6">
        <w:rPr>
          <w:rFonts w:ascii="Cambria" w:eastAsia="Calibri" w:hAnsi="Cambria" w:cs="Calibri"/>
          <w:spacing w:val="1"/>
        </w:rPr>
        <w:t xml:space="preserve"> </w:t>
      </w:r>
      <w:r w:rsidRPr="009A0DA6">
        <w:rPr>
          <w:rFonts w:ascii="Cambria" w:eastAsia="Calibri" w:hAnsi="Cambria" w:cs="Calibri"/>
        </w:rPr>
        <w:t>wom</w:t>
      </w:r>
      <w:r w:rsidRPr="009A0DA6">
        <w:rPr>
          <w:rFonts w:ascii="Cambria" w:eastAsia="Calibri" w:hAnsi="Cambria" w:cs="Calibri"/>
          <w:spacing w:val="1"/>
        </w:rPr>
        <w:t>e</w:t>
      </w:r>
      <w:r w:rsidRPr="009A0DA6">
        <w:rPr>
          <w:rFonts w:ascii="Cambria" w:eastAsia="Calibri" w:hAnsi="Cambria" w:cs="Calibri"/>
        </w:rPr>
        <w:t xml:space="preserve">n </w:t>
      </w:r>
      <w:r w:rsidRPr="009A0DA6">
        <w:rPr>
          <w:rFonts w:ascii="Cambria" w:eastAsia="Calibri" w:hAnsi="Cambria" w:cs="Calibri"/>
          <w:spacing w:val="-1"/>
        </w:rPr>
        <w:t>b</w:t>
      </w:r>
      <w:r w:rsidRPr="009A0DA6">
        <w:rPr>
          <w:rFonts w:ascii="Cambria" w:eastAsia="Calibri" w:hAnsi="Cambria" w:cs="Calibri"/>
        </w:rPr>
        <w:t>ei</w:t>
      </w:r>
      <w:r w:rsidRPr="009A0DA6">
        <w:rPr>
          <w:rFonts w:ascii="Cambria" w:eastAsia="Calibri" w:hAnsi="Cambria" w:cs="Calibri"/>
          <w:spacing w:val="-1"/>
        </w:rPr>
        <w:t>n</w:t>
      </w:r>
      <w:r w:rsidRPr="009A0DA6">
        <w:rPr>
          <w:rFonts w:ascii="Cambria" w:eastAsia="Calibri" w:hAnsi="Cambria" w:cs="Calibri"/>
        </w:rPr>
        <w:t>g</w:t>
      </w:r>
      <w:r w:rsidRPr="009A0DA6">
        <w:rPr>
          <w:rFonts w:ascii="Cambria" w:eastAsia="Calibri" w:hAnsi="Cambria" w:cs="Calibri"/>
          <w:spacing w:val="2"/>
        </w:rPr>
        <w:t xml:space="preserve"> </w:t>
      </w:r>
      <w:r w:rsidRPr="009A0DA6">
        <w:rPr>
          <w:rFonts w:ascii="Cambria" w:eastAsia="Calibri" w:hAnsi="Cambria" w:cs="Calibri"/>
          <w:spacing w:val="1"/>
        </w:rPr>
        <w:t>o</w:t>
      </w:r>
      <w:r w:rsidRPr="009A0DA6">
        <w:rPr>
          <w:rFonts w:ascii="Cambria" w:eastAsia="Calibri" w:hAnsi="Cambria" w:cs="Calibri"/>
        </w:rPr>
        <w:t>f</w:t>
      </w:r>
      <w:r w:rsidRPr="009A0DA6">
        <w:rPr>
          <w:rFonts w:ascii="Cambria" w:eastAsia="Calibri" w:hAnsi="Cambria" w:cs="Calibri"/>
          <w:spacing w:val="1"/>
        </w:rPr>
        <w:t xml:space="preserve"> </w:t>
      </w:r>
      <w:r w:rsidRPr="009A0DA6">
        <w:rPr>
          <w:rFonts w:ascii="Cambria" w:eastAsia="Calibri" w:hAnsi="Cambria" w:cs="Calibri"/>
        </w:rPr>
        <w:t>a</w:t>
      </w:r>
      <w:r w:rsidRPr="009A0DA6">
        <w:rPr>
          <w:rFonts w:ascii="Cambria" w:eastAsia="Calibri" w:hAnsi="Cambria" w:cs="Calibri"/>
          <w:spacing w:val="3"/>
        </w:rPr>
        <w:t xml:space="preserve"> </w:t>
      </w:r>
      <w:r w:rsidRPr="009A0DA6">
        <w:rPr>
          <w:rFonts w:ascii="Cambria" w:eastAsia="Calibri" w:hAnsi="Cambria" w:cs="Calibri"/>
          <w:spacing w:val="-3"/>
        </w:rPr>
        <w:t>l</w:t>
      </w:r>
      <w:r w:rsidRPr="009A0DA6">
        <w:rPr>
          <w:rFonts w:ascii="Cambria" w:eastAsia="Calibri" w:hAnsi="Cambria" w:cs="Calibri"/>
          <w:spacing w:val="1"/>
        </w:rPr>
        <w:t>o</w:t>
      </w:r>
      <w:r w:rsidRPr="009A0DA6">
        <w:rPr>
          <w:rFonts w:ascii="Cambria" w:eastAsia="Calibri" w:hAnsi="Cambria" w:cs="Calibri"/>
        </w:rPr>
        <w:t>w</w:t>
      </w:r>
      <w:r w:rsidRPr="009A0DA6">
        <w:rPr>
          <w:rFonts w:ascii="Cambria" w:eastAsia="Calibri" w:hAnsi="Cambria" w:cs="Calibri"/>
          <w:spacing w:val="1"/>
        </w:rPr>
        <w:t>e</w:t>
      </w:r>
      <w:r w:rsidRPr="009A0DA6">
        <w:rPr>
          <w:rFonts w:ascii="Cambria" w:eastAsia="Calibri" w:hAnsi="Cambria" w:cs="Calibri"/>
        </w:rPr>
        <w:t>r</w:t>
      </w:r>
      <w:r w:rsidRPr="009A0DA6">
        <w:rPr>
          <w:rFonts w:ascii="Cambria" w:eastAsia="Calibri" w:hAnsi="Cambria" w:cs="Calibri"/>
          <w:spacing w:val="1"/>
        </w:rPr>
        <w:t xml:space="preserve"> </w:t>
      </w:r>
      <w:r w:rsidRPr="009A0DA6">
        <w:rPr>
          <w:rFonts w:ascii="Cambria" w:eastAsia="Calibri" w:hAnsi="Cambria" w:cs="Calibri"/>
        </w:rPr>
        <w:t>st</w:t>
      </w:r>
      <w:r w:rsidRPr="009A0DA6">
        <w:rPr>
          <w:rFonts w:ascii="Cambria" w:eastAsia="Calibri" w:hAnsi="Cambria" w:cs="Calibri"/>
          <w:spacing w:val="-2"/>
        </w:rPr>
        <w:t>a</w:t>
      </w:r>
      <w:r w:rsidRPr="009A0DA6">
        <w:rPr>
          <w:rFonts w:ascii="Cambria" w:eastAsia="Calibri" w:hAnsi="Cambria" w:cs="Calibri"/>
        </w:rPr>
        <w:t>tus</w:t>
      </w:r>
      <w:r w:rsidRPr="009A0DA6">
        <w:rPr>
          <w:rFonts w:ascii="Cambria" w:eastAsia="Calibri" w:hAnsi="Cambria" w:cs="Calibri"/>
          <w:spacing w:val="3"/>
        </w:rPr>
        <w:t xml:space="preserve"> </w:t>
      </w:r>
      <w:r w:rsidRPr="009A0DA6">
        <w:rPr>
          <w:rFonts w:ascii="Cambria" w:eastAsia="Calibri" w:hAnsi="Cambria" w:cs="Calibri"/>
        </w:rPr>
        <w:t>th</w:t>
      </w:r>
      <w:r w:rsidRPr="009A0DA6">
        <w:rPr>
          <w:rFonts w:ascii="Cambria" w:eastAsia="Calibri" w:hAnsi="Cambria" w:cs="Calibri"/>
          <w:spacing w:val="-3"/>
        </w:rPr>
        <w:t>a</w:t>
      </w:r>
      <w:r w:rsidRPr="009A0DA6">
        <w:rPr>
          <w:rFonts w:ascii="Cambria" w:eastAsia="Calibri" w:hAnsi="Cambria" w:cs="Calibri"/>
        </w:rPr>
        <w:t>n</w:t>
      </w:r>
      <w:r w:rsidRPr="009A0DA6">
        <w:rPr>
          <w:rFonts w:ascii="Cambria" w:eastAsia="Calibri" w:hAnsi="Cambria" w:cs="Calibri"/>
          <w:spacing w:val="3"/>
        </w:rPr>
        <w:t xml:space="preserve"> </w:t>
      </w:r>
      <w:r w:rsidRPr="009A0DA6">
        <w:rPr>
          <w:rFonts w:ascii="Cambria" w:eastAsia="Calibri" w:hAnsi="Cambria" w:cs="Calibri"/>
          <w:spacing w:val="1"/>
        </w:rPr>
        <w:t>m</w:t>
      </w:r>
      <w:r w:rsidRPr="009A0DA6">
        <w:rPr>
          <w:rFonts w:ascii="Cambria" w:eastAsia="Calibri" w:hAnsi="Cambria" w:cs="Calibri"/>
        </w:rPr>
        <w:t>en. The</w:t>
      </w:r>
      <w:r w:rsidRPr="009A0DA6">
        <w:rPr>
          <w:rFonts w:ascii="Cambria" w:eastAsia="Calibri" w:hAnsi="Cambria" w:cs="Calibri"/>
          <w:spacing w:val="3"/>
        </w:rPr>
        <w:t xml:space="preserve"> </w:t>
      </w:r>
      <w:r w:rsidRPr="009A0DA6">
        <w:rPr>
          <w:rFonts w:ascii="Cambria" w:eastAsia="Calibri" w:hAnsi="Cambria" w:cs="Calibri"/>
          <w:spacing w:val="-1"/>
        </w:rPr>
        <w:t>p</w:t>
      </w:r>
      <w:r w:rsidRPr="009A0DA6">
        <w:rPr>
          <w:rFonts w:ascii="Cambria" w:eastAsia="Calibri" w:hAnsi="Cambria" w:cs="Calibri"/>
        </w:rPr>
        <w:t>a</w:t>
      </w:r>
      <w:r w:rsidRPr="009A0DA6">
        <w:rPr>
          <w:rFonts w:ascii="Cambria" w:eastAsia="Calibri" w:hAnsi="Cambria" w:cs="Calibri"/>
          <w:spacing w:val="-2"/>
        </w:rPr>
        <w:t>s</w:t>
      </w:r>
      <w:r w:rsidRPr="009A0DA6">
        <w:rPr>
          <w:rFonts w:ascii="Cambria" w:eastAsia="Calibri" w:hAnsi="Cambria" w:cs="Calibri"/>
        </w:rPr>
        <w:t>t</w:t>
      </w:r>
      <w:r w:rsidRPr="009A0DA6">
        <w:rPr>
          <w:rFonts w:ascii="Cambria" w:eastAsia="Calibri" w:hAnsi="Cambria" w:cs="Calibri"/>
          <w:spacing w:val="1"/>
        </w:rPr>
        <w:t>o</w:t>
      </w:r>
      <w:r w:rsidRPr="009A0DA6">
        <w:rPr>
          <w:rFonts w:ascii="Cambria" w:eastAsia="Calibri" w:hAnsi="Cambria" w:cs="Calibri"/>
        </w:rPr>
        <w:t xml:space="preserve">ral </w:t>
      </w:r>
      <w:r w:rsidRPr="009A0DA6">
        <w:rPr>
          <w:rFonts w:ascii="Cambria" w:eastAsia="Calibri" w:hAnsi="Cambria" w:cs="Calibri"/>
          <w:spacing w:val="1"/>
        </w:rPr>
        <w:t>o</w:t>
      </w:r>
      <w:r w:rsidRPr="009A0DA6">
        <w:rPr>
          <w:rFonts w:ascii="Cambria" w:eastAsia="Calibri" w:hAnsi="Cambria" w:cs="Calibri"/>
        </w:rPr>
        <w:t>ff</w:t>
      </w:r>
      <w:r w:rsidRPr="009A0DA6">
        <w:rPr>
          <w:rFonts w:ascii="Cambria" w:eastAsia="Calibri" w:hAnsi="Cambria" w:cs="Calibri"/>
          <w:spacing w:val="-1"/>
        </w:rPr>
        <w:t>i</w:t>
      </w:r>
      <w:r w:rsidRPr="009A0DA6">
        <w:rPr>
          <w:rFonts w:ascii="Cambria" w:eastAsia="Calibri" w:hAnsi="Cambria" w:cs="Calibri"/>
          <w:spacing w:val="-2"/>
        </w:rPr>
        <w:t>c</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rPr>
        <w:t>is</w:t>
      </w:r>
      <w:r w:rsidRPr="009A0DA6">
        <w:rPr>
          <w:rFonts w:ascii="Cambria" w:eastAsia="Calibri" w:hAnsi="Cambria" w:cs="Calibri"/>
          <w:spacing w:val="3"/>
        </w:rPr>
        <w:t xml:space="preserve"> </w:t>
      </w:r>
      <w:r w:rsidRPr="009A0DA6">
        <w:rPr>
          <w:rFonts w:ascii="Cambria" w:eastAsia="Calibri" w:hAnsi="Cambria" w:cs="Calibri"/>
          <w:spacing w:val="-1"/>
        </w:rPr>
        <w:t>n</w:t>
      </w:r>
      <w:r w:rsidRPr="009A0DA6">
        <w:rPr>
          <w:rFonts w:ascii="Cambria" w:eastAsia="Calibri" w:hAnsi="Cambria" w:cs="Calibri"/>
          <w:spacing w:val="1"/>
        </w:rPr>
        <w:t>o</w:t>
      </w:r>
      <w:r w:rsidRPr="009A0DA6">
        <w:rPr>
          <w:rFonts w:ascii="Cambria" w:eastAsia="Calibri" w:hAnsi="Cambria" w:cs="Calibri"/>
        </w:rPr>
        <w:t>t</w:t>
      </w:r>
      <w:r w:rsidRPr="009A0DA6">
        <w:rPr>
          <w:rFonts w:ascii="Cambria" w:eastAsia="Calibri" w:hAnsi="Cambria" w:cs="Calibri"/>
          <w:spacing w:val="1"/>
        </w:rPr>
        <w:t xml:space="preserve"> </w:t>
      </w:r>
      <w:r w:rsidRPr="009A0DA6">
        <w:rPr>
          <w:rFonts w:ascii="Cambria" w:eastAsia="Calibri" w:hAnsi="Cambria" w:cs="Calibri"/>
        </w:rPr>
        <w:t>a</w:t>
      </w:r>
      <w:r w:rsidRPr="009A0DA6">
        <w:rPr>
          <w:rFonts w:ascii="Cambria" w:eastAsia="Calibri" w:hAnsi="Cambria" w:cs="Calibri"/>
          <w:spacing w:val="-1"/>
        </w:rPr>
        <w:t>b</w:t>
      </w:r>
      <w:r w:rsidRPr="009A0DA6">
        <w:rPr>
          <w:rFonts w:ascii="Cambria" w:eastAsia="Calibri" w:hAnsi="Cambria" w:cs="Calibri"/>
          <w:spacing w:val="1"/>
        </w:rPr>
        <w:t>o</w:t>
      </w:r>
      <w:r w:rsidRPr="009A0DA6">
        <w:rPr>
          <w:rFonts w:ascii="Cambria" w:eastAsia="Calibri" w:hAnsi="Cambria" w:cs="Calibri"/>
          <w:spacing w:val="-1"/>
        </w:rPr>
        <w:t>u</w:t>
      </w:r>
      <w:r w:rsidRPr="009A0DA6">
        <w:rPr>
          <w:rFonts w:ascii="Cambria" w:eastAsia="Calibri" w:hAnsi="Cambria" w:cs="Calibri"/>
        </w:rPr>
        <w:t>t</w:t>
      </w:r>
      <w:r w:rsidRPr="009A0DA6">
        <w:rPr>
          <w:rFonts w:ascii="Cambria" w:eastAsia="Calibri" w:hAnsi="Cambria" w:cs="Calibri"/>
          <w:spacing w:val="1"/>
        </w:rPr>
        <w:t xml:space="preserve"> </w:t>
      </w:r>
      <w:r w:rsidRPr="009A0DA6">
        <w:rPr>
          <w:rFonts w:ascii="Cambria" w:eastAsia="Calibri" w:hAnsi="Cambria" w:cs="Calibri"/>
        </w:rPr>
        <w:t>s</w:t>
      </w:r>
      <w:r w:rsidRPr="009A0DA6">
        <w:rPr>
          <w:rFonts w:ascii="Cambria" w:eastAsia="Calibri" w:hAnsi="Cambria" w:cs="Calibri"/>
          <w:spacing w:val="8"/>
        </w:rPr>
        <w:t>t</w:t>
      </w:r>
      <w:r w:rsidRPr="009A0DA6">
        <w:rPr>
          <w:rFonts w:ascii="Cambria" w:eastAsia="Calibri" w:hAnsi="Cambria" w:cs="Calibri"/>
        </w:rPr>
        <w:t>atu</w:t>
      </w:r>
      <w:r w:rsidRPr="009A0DA6">
        <w:rPr>
          <w:rFonts w:ascii="Cambria" w:eastAsia="Calibri" w:hAnsi="Cambria" w:cs="Calibri"/>
          <w:spacing w:val="-3"/>
        </w:rPr>
        <w:t>s</w:t>
      </w:r>
      <w:r w:rsidRPr="009A0DA6">
        <w:rPr>
          <w:rFonts w:ascii="Cambria" w:eastAsia="Calibri" w:hAnsi="Cambria" w:cs="Calibri"/>
        </w:rPr>
        <w:t xml:space="preserve">, </w:t>
      </w:r>
      <w:r w:rsidRPr="009A0DA6">
        <w:rPr>
          <w:rFonts w:ascii="Cambria" w:eastAsia="Calibri" w:hAnsi="Cambria" w:cs="Calibri"/>
          <w:spacing w:val="-1"/>
        </w:rPr>
        <w:t>bu</w:t>
      </w:r>
      <w:r w:rsidRPr="009A0DA6">
        <w:rPr>
          <w:rFonts w:ascii="Cambria" w:eastAsia="Calibri" w:hAnsi="Cambria" w:cs="Calibri"/>
        </w:rPr>
        <w:t>t</w:t>
      </w:r>
      <w:r w:rsidRPr="009A0DA6">
        <w:rPr>
          <w:rFonts w:ascii="Cambria" w:eastAsia="Calibri" w:hAnsi="Cambria" w:cs="Calibri"/>
          <w:spacing w:val="4"/>
        </w:rPr>
        <w:t xml:space="preserve"> </w:t>
      </w:r>
      <w:r w:rsidRPr="009A0DA6">
        <w:rPr>
          <w:rFonts w:ascii="Cambria" w:eastAsia="Calibri" w:hAnsi="Cambria" w:cs="Calibri"/>
          <w:spacing w:val="-1"/>
        </w:rPr>
        <w:t>hu</w:t>
      </w:r>
      <w:r w:rsidRPr="009A0DA6">
        <w:rPr>
          <w:rFonts w:ascii="Cambria" w:eastAsia="Calibri" w:hAnsi="Cambria" w:cs="Calibri"/>
          <w:spacing w:val="1"/>
        </w:rPr>
        <w:t>m</w:t>
      </w:r>
      <w:r w:rsidRPr="009A0DA6">
        <w:rPr>
          <w:rFonts w:ascii="Cambria" w:eastAsia="Calibri" w:hAnsi="Cambria" w:cs="Calibri"/>
          <w:spacing w:val="-1"/>
        </w:rPr>
        <w:t>b</w:t>
      </w:r>
      <w:r w:rsidRPr="009A0DA6">
        <w:rPr>
          <w:rFonts w:ascii="Cambria" w:eastAsia="Calibri" w:hAnsi="Cambria" w:cs="Calibri"/>
        </w:rPr>
        <w:t>le</w:t>
      </w:r>
      <w:r w:rsidRPr="009A0DA6">
        <w:rPr>
          <w:rFonts w:ascii="Cambria" w:eastAsia="Calibri" w:hAnsi="Cambria" w:cs="Calibri"/>
          <w:spacing w:val="2"/>
        </w:rPr>
        <w:t xml:space="preserve"> </w:t>
      </w:r>
      <w:r w:rsidRPr="009A0DA6">
        <w:rPr>
          <w:rFonts w:ascii="Cambria" w:eastAsia="Calibri" w:hAnsi="Cambria" w:cs="Calibri"/>
        </w:rPr>
        <w:t>se</w:t>
      </w:r>
      <w:r w:rsidRPr="009A0DA6">
        <w:rPr>
          <w:rFonts w:ascii="Cambria" w:eastAsia="Calibri" w:hAnsi="Cambria" w:cs="Calibri"/>
          <w:spacing w:val="-2"/>
        </w:rPr>
        <w:t>r</w:t>
      </w:r>
      <w:r w:rsidRPr="009A0DA6">
        <w:rPr>
          <w:rFonts w:ascii="Cambria" w:eastAsia="Calibri" w:hAnsi="Cambria" w:cs="Calibri"/>
          <w:spacing w:val="1"/>
        </w:rPr>
        <w:t>v</w:t>
      </w:r>
      <w:r w:rsidRPr="009A0DA6">
        <w:rPr>
          <w:rFonts w:ascii="Cambria" w:eastAsia="Calibri" w:hAnsi="Cambria" w:cs="Calibri"/>
        </w:rPr>
        <w:t>i</w:t>
      </w:r>
      <w:r w:rsidRPr="009A0DA6">
        <w:rPr>
          <w:rFonts w:ascii="Cambria" w:eastAsia="Calibri" w:hAnsi="Cambria" w:cs="Calibri"/>
          <w:spacing w:val="-3"/>
        </w:rPr>
        <w:t>c</w:t>
      </w:r>
      <w:r w:rsidRPr="009A0DA6">
        <w:rPr>
          <w:rFonts w:ascii="Cambria" w:eastAsia="Calibri" w:hAnsi="Cambria" w:cs="Calibri"/>
        </w:rPr>
        <w:t>e.</w:t>
      </w:r>
      <w:r w:rsidRPr="009A0DA6">
        <w:rPr>
          <w:rFonts w:ascii="Cambria" w:eastAsia="Calibri" w:hAnsi="Cambria" w:cs="Calibri"/>
          <w:spacing w:val="4"/>
        </w:rPr>
        <w:t xml:space="preserve"> </w:t>
      </w:r>
      <w:r w:rsidRPr="009A0DA6">
        <w:rPr>
          <w:rFonts w:ascii="Cambria" w:eastAsia="Calibri" w:hAnsi="Cambria" w:cs="Calibri"/>
        </w:rPr>
        <w:t>T</w:t>
      </w:r>
      <w:r w:rsidRPr="009A0DA6">
        <w:rPr>
          <w:rFonts w:ascii="Cambria" w:eastAsia="Calibri" w:hAnsi="Cambria" w:cs="Calibri"/>
          <w:spacing w:val="-3"/>
        </w:rPr>
        <w:t>h</w:t>
      </w:r>
      <w:r w:rsidRPr="009A0DA6">
        <w:rPr>
          <w:rFonts w:ascii="Cambria" w:eastAsia="Calibri" w:hAnsi="Cambria" w:cs="Calibri"/>
        </w:rPr>
        <w:t>e</w:t>
      </w:r>
      <w:r w:rsidRPr="009A0DA6">
        <w:rPr>
          <w:rFonts w:ascii="Cambria" w:eastAsia="Calibri" w:hAnsi="Cambria" w:cs="Calibri"/>
          <w:spacing w:val="4"/>
        </w:rPr>
        <w:t xml:space="preserve"> </w:t>
      </w:r>
      <w:r w:rsidRPr="009A0DA6">
        <w:rPr>
          <w:rFonts w:ascii="Cambria" w:eastAsia="Calibri" w:hAnsi="Cambria" w:cs="Calibri"/>
          <w:spacing w:val="-3"/>
        </w:rPr>
        <w:t>N</w:t>
      </w:r>
      <w:r w:rsidRPr="009A0DA6">
        <w:rPr>
          <w:rFonts w:ascii="Cambria" w:eastAsia="Calibri" w:hAnsi="Cambria" w:cs="Calibri"/>
        </w:rPr>
        <w:t>ew</w:t>
      </w:r>
      <w:r w:rsidRPr="009A0DA6">
        <w:rPr>
          <w:rFonts w:ascii="Cambria" w:eastAsia="Calibri" w:hAnsi="Cambria" w:cs="Calibri"/>
          <w:spacing w:val="3"/>
        </w:rPr>
        <w:t xml:space="preserve"> </w:t>
      </w:r>
      <w:r w:rsidRPr="009A0DA6">
        <w:rPr>
          <w:rFonts w:ascii="Cambria" w:eastAsia="Calibri" w:hAnsi="Cambria" w:cs="Calibri"/>
        </w:rPr>
        <w:t>T</w:t>
      </w:r>
      <w:r w:rsidRPr="009A0DA6">
        <w:rPr>
          <w:rFonts w:ascii="Cambria" w:eastAsia="Calibri" w:hAnsi="Cambria" w:cs="Calibri"/>
          <w:spacing w:val="1"/>
        </w:rPr>
        <w:t>e</w:t>
      </w:r>
      <w:r w:rsidRPr="009A0DA6">
        <w:rPr>
          <w:rFonts w:ascii="Cambria" w:eastAsia="Calibri" w:hAnsi="Cambria" w:cs="Calibri"/>
          <w:spacing w:val="-2"/>
        </w:rPr>
        <w:t>s</w:t>
      </w:r>
      <w:r w:rsidRPr="009A0DA6">
        <w:rPr>
          <w:rFonts w:ascii="Cambria" w:eastAsia="Calibri" w:hAnsi="Cambria" w:cs="Calibri"/>
        </w:rPr>
        <w:t>t</w:t>
      </w:r>
      <w:r w:rsidRPr="009A0DA6">
        <w:rPr>
          <w:rFonts w:ascii="Cambria" w:eastAsia="Calibri" w:hAnsi="Cambria" w:cs="Calibri"/>
          <w:spacing w:val="-2"/>
        </w:rPr>
        <w:t>a</w:t>
      </w:r>
      <w:r w:rsidRPr="009A0DA6">
        <w:rPr>
          <w:rFonts w:ascii="Cambria" w:eastAsia="Calibri" w:hAnsi="Cambria" w:cs="Calibri"/>
          <w:spacing w:val="1"/>
        </w:rPr>
        <w:t>m</w:t>
      </w:r>
      <w:r w:rsidRPr="009A0DA6">
        <w:rPr>
          <w:rFonts w:ascii="Cambria" w:eastAsia="Calibri" w:hAnsi="Cambria" w:cs="Calibri"/>
        </w:rPr>
        <w:t>ent</w:t>
      </w:r>
      <w:r w:rsidRPr="009A0DA6">
        <w:rPr>
          <w:rFonts w:ascii="Cambria" w:eastAsia="Calibri" w:hAnsi="Cambria" w:cs="Calibri"/>
          <w:spacing w:val="2"/>
        </w:rPr>
        <w:t xml:space="preserve"> </w:t>
      </w:r>
      <w:r w:rsidRPr="009A0DA6">
        <w:rPr>
          <w:rFonts w:ascii="Cambria" w:eastAsia="Calibri" w:hAnsi="Cambria" w:cs="Calibri"/>
        </w:rPr>
        <w:t>calls</w:t>
      </w:r>
      <w:r w:rsidRPr="009A0DA6">
        <w:rPr>
          <w:rFonts w:ascii="Cambria" w:eastAsia="Calibri" w:hAnsi="Cambria" w:cs="Calibri"/>
          <w:spacing w:val="1"/>
        </w:rPr>
        <w:t xml:space="preserve"> </w:t>
      </w:r>
      <w:r w:rsidRPr="009A0DA6">
        <w:rPr>
          <w:rFonts w:ascii="Cambria" w:eastAsia="Calibri" w:hAnsi="Cambria" w:cs="Calibri"/>
          <w:spacing w:val="-1"/>
        </w:rPr>
        <w:t>p</w:t>
      </w:r>
      <w:r w:rsidRPr="009A0DA6">
        <w:rPr>
          <w:rFonts w:ascii="Cambria" w:eastAsia="Calibri" w:hAnsi="Cambria" w:cs="Calibri"/>
        </w:rPr>
        <w:t>as</w:t>
      </w:r>
      <w:r w:rsidRPr="009A0DA6">
        <w:rPr>
          <w:rFonts w:ascii="Cambria" w:eastAsia="Calibri" w:hAnsi="Cambria" w:cs="Calibri"/>
          <w:spacing w:val="-2"/>
        </w:rPr>
        <w:t>t</w:t>
      </w:r>
      <w:r w:rsidRPr="009A0DA6">
        <w:rPr>
          <w:rFonts w:ascii="Cambria" w:eastAsia="Calibri" w:hAnsi="Cambria" w:cs="Calibri"/>
          <w:spacing w:val="1"/>
        </w:rPr>
        <w:t>o</w:t>
      </w:r>
      <w:r w:rsidRPr="009A0DA6">
        <w:rPr>
          <w:rFonts w:ascii="Cambria" w:eastAsia="Calibri" w:hAnsi="Cambria" w:cs="Calibri"/>
          <w:spacing w:val="-3"/>
        </w:rPr>
        <w:t>r</w:t>
      </w:r>
      <w:r w:rsidRPr="009A0DA6">
        <w:rPr>
          <w:rFonts w:ascii="Cambria" w:eastAsia="Calibri" w:hAnsi="Cambria" w:cs="Calibri"/>
        </w:rPr>
        <w:t>s</w:t>
      </w:r>
      <w:r w:rsidRPr="009A0DA6">
        <w:rPr>
          <w:rFonts w:ascii="Cambria" w:eastAsia="Calibri" w:hAnsi="Cambria" w:cs="Calibri"/>
          <w:spacing w:val="4"/>
        </w:rPr>
        <w:t xml:space="preserve"> </w:t>
      </w:r>
      <w:r w:rsidRPr="009A0DA6">
        <w:rPr>
          <w:rFonts w:ascii="Cambria" w:eastAsia="Calibri" w:hAnsi="Cambria" w:cs="Calibri"/>
          <w:spacing w:val="-2"/>
        </w:rPr>
        <w:t>t</w:t>
      </w:r>
      <w:r w:rsidRPr="009A0DA6">
        <w:rPr>
          <w:rFonts w:ascii="Cambria" w:eastAsia="Calibri" w:hAnsi="Cambria" w:cs="Calibri"/>
        </w:rPr>
        <w:t>o</w:t>
      </w:r>
      <w:r w:rsidRPr="009A0DA6">
        <w:rPr>
          <w:rFonts w:ascii="Cambria" w:eastAsia="Calibri" w:hAnsi="Cambria" w:cs="Calibri"/>
          <w:spacing w:val="5"/>
        </w:rPr>
        <w:t xml:space="preserve"> </w:t>
      </w:r>
      <w:r w:rsidRPr="009A0DA6">
        <w:rPr>
          <w:rFonts w:ascii="Cambria" w:eastAsia="Calibri" w:hAnsi="Cambria" w:cs="Calibri"/>
          <w:spacing w:val="-3"/>
        </w:rPr>
        <w:t>f</w:t>
      </w:r>
      <w:r w:rsidRPr="009A0DA6">
        <w:rPr>
          <w:rFonts w:ascii="Cambria" w:eastAsia="Calibri" w:hAnsi="Cambria" w:cs="Calibri"/>
          <w:spacing w:val="1"/>
        </w:rPr>
        <w:t>o</w:t>
      </w:r>
      <w:r w:rsidRPr="009A0DA6">
        <w:rPr>
          <w:rFonts w:ascii="Cambria" w:eastAsia="Calibri" w:hAnsi="Cambria" w:cs="Calibri"/>
        </w:rPr>
        <w:t>l</w:t>
      </w:r>
      <w:r w:rsidRPr="009A0DA6">
        <w:rPr>
          <w:rFonts w:ascii="Cambria" w:eastAsia="Calibri" w:hAnsi="Cambria" w:cs="Calibri"/>
          <w:spacing w:val="-3"/>
        </w:rPr>
        <w:t>l</w:t>
      </w:r>
      <w:r w:rsidRPr="009A0DA6">
        <w:rPr>
          <w:rFonts w:ascii="Cambria" w:eastAsia="Calibri" w:hAnsi="Cambria" w:cs="Calibri"/>
          <w:spacing w:val="1"/>
        </w:rPr>
        <w:t>o</w:t>
      </w:r>
      <w:r w:rsidRPr="009A0DA6">
        <w:rPr>
          <w:rFonts w:ascii="Cambria" w:eastAsia="Calibri" w:hAnsi="Cambria" w:cs="Calibri"/>
        </w:rPr>
        <w:t>w</w:t>
      </w:r>
      <w:r w:rsidRPr="009A0DA6">
        <w:rPr>
          <w:rFonts w:ascii="Cambria" w:eastAsia="Calibri" w:hAnsi="Cambria" w:cs="Calibri"/>
          <w:spacing w:val="2"/>
        </w:rPr>
        <w:t xml:space="preserve"> </w:t>
      </w:r>
      <w:r w:rsidRPr="009A0DA6">
        <w:rPr>
          <w:rFonts w:ascii="Cambria" w:eastAsia="Calibri" w:hAnsi="Cambria" w:cs="Calibri"/>
        </w:rPr>
        <w:t>C</w:t>
      </w:r>
      <w:r w:rsidRPr="009A0DA6">
        <w:rPr>
          <w:rFonts w:ascii="Cambria" w:eastAsia="Calibri" w:hAnsi="Cambria" w:cs="Calibri"/>
          <w:spacing w:val="-1"/>
        </w:rPr>
        <w:t>h</w:t>
      </w:r>
      <w:r w:rsidRPr="009A0DA6">
        <w:rPr>
          <w:rFonts w:ascii="Cambria" w:eastAsia="Calibri" w:hAnsi="Cambria" w:cs="Calibri"/>
        </w:rPr>
        <w:t>rist</w:t>
      </w:r>
      <w:r w:rsidRPr="009A0DA6">
        <w:rPr>
          <w:rFonts w:ascii="Cambria" w:eastAsia="Calibri" w:hAnsi="Cambria" w:cs="Calibri"/>
          <w:spacing w:val="1"/>
        </w:rPr>
        <w:t xml:space="preserve"> </w:t>
      </w:r>
      <w:r w:rsidRPr="009A0DA6">
        <w:rPr>
          <w:rFonts w:ascii="Cambria" w:eastAsia="Calibri" w:hAnsi="Cambria" w:cs="Calibri"/>
          <w:spacing w:val="-1"/>
        </w:rPr>
        <w:t>b</w:t>
      </w:r>
      <w:r w:rsidRPr="009A0DA6">
        <w:rPr>
          <w:rFonts w:ascii="Cambria" w:eastAsia="Calibri" w:hAnsi="Cambria" w:cs="Calibri"/>
        </w:rPr>
        <w:t>y</w:t>
      </w:r>
      <w:r w:rsidRPr="009A0DA6">
        <w:rPr>
          <w:rFonts w:ascii="Cambria" w:eastAsia="Calibri" w:hAnsi="Cambria" w:cs="Calibri"/>
          <w:spacing w:val="2"/>
        </w:rPr>
        <w:t xml:space="preserve"> </w:t>
      </w:r>
      <w:r w:rsidRPr="009A0DA6">
        <w:rPr>
          <w:rFonts w:ascii="Cambria" w:eastAsia="Calibri" w:hAnsi="Cambria" w:cs="Calibri"/>
        </w:rPr>
        <w:t>acting as</w:t>
      </w:r>
      <w:r w:rsidRPr="009A0DA6">
        <w:rPr>
          <w:rFonts w:ascii="Cambria" w:eastAsia="Calibri" w:hAnsi="Cambria" w:cs="Calibri"/>
          <w:spacing w:val="1"/>
        </w:rPr>
        <w:t xml:space="preserve"> </w:t>
      </w:r>
      <w:r w:rsidRPr="009A0DA6">
        <w:rPr>
          <w:rFonts w:ascii="Cambria" w:eastAsia="Calibri" w:hAnsi="Cambria" w:cs="Calibri"/>
        </w:rPr>
        <w:t>se</w:t>
      </w:r>
      <w:r w:rsidRPr="009A0DA6">
        <w:rPr>
          <w:rFonts w:ascii="Cambria" w:eastAsia="Calibri" w:hAnsi="Cambria" w:cs="Calibri"/>
          <w:spacing w:val="-2"/>
        </w:rPr>
        <w:t>r</w:t>
      </w:r>
      <w:r w:rsidRPr="009A0DA6">
        <w:rPr>
          <w:rFonts w:ascii="Cambria" w:eastAsia="Calibri" w:hAnsi="Cambria" w:cs="Calibri"/>
          <w:spacing w:val="1"/>
        </w:rPr>
        <w:t>v</w:t>
      </w:r>
      <w:r w:rsidRPr="009A0DA6">
        <w:rPr>
          <w:rFonts w:ascii="Cambria" w:eastAsia="Calibri" w:hAnsi="Cambria" w:cs="Calibri"/>
        </w:rPr>
        <w:t>a</w:t>
      </w:r>
      <w:r w:rsidRPr="009A0DA6">
        <w:rPr>
          <w:rFonts w:ascii="Cambria" w:eastAsia="Calibri" w:hAnsi="Cambria" w:cs="Calibri"/>
          <w:spacing w:val="-1"/>
        </w:rPr>
        <w:t>n</w:t>
      </w:r>
      <w:r w:rsidRPr="009A0DA6">
        <w:rPr>
          <w:rFonts w:ascii="Cambria" w:eastAsia="Calibri" w:hAnsi="Cambria" w:cs="Calibri"/>
        </w:rPr>
        <w:t>ts</w:t>
      </w:r>
      <w:r w:rsidRPr="009A0DA6">
        <w:rPr>
          <w:rFonts w:ascii="Cambria" w:eastAsia="Calibri" w:hAnsi="Cambria" w:cs="Calibri"/>
          <w:spacing w:val="2"/>
        </w:rPr>
        <w:t xml:space="preserve"> </w:t>
      </w:r>
      <w:r w:rsidRPr="009A0DA6">
        <w:rPr>
          <w:rFonts w:ascii="Cambria" w:eastAsia="Calibri" w:hAnsi="Cambria" w:cs="Calibri"/>
          <w:spacing w:val="1"/>
        </w:rPr>
        <w:t>o</w:t>
      </w:r>
      <w:r w:rsidRPr="009A0DA6">
        <w:rPr>
          <w:rFonts w:ascii="Cambria" w:eastAsia="Calibri" w:hAnsi="Cambria" w:cs="Calibri"/>
        </w:rPr>
        <w:t>f</w:t>
      </w:r>
      <w:r w:rsidRPr="009A0DA6">
        <w:rPr>
          <w:rFonts w:ascii="Cambria" w:eastAsia="Calibri" w:hAnsi="Cambria" w:cs="Calibri"/>
          <w:spacing w:val="1"/>
        </w:rPr>
        <w:t xml:space="preserve"> </w:t>
      </w:r>
      <w:r w:rsidRPr="009A0DA6">
        <w:rPr>
          <w:rFonts w:ascii="Cambria" w:eastAsia="Calibri" w:hAnsi="Cambria" w:cs="Calibri"/>
        </w:rPr>
        <w:t>al</w:t>
      </w:r>
      <w:r w:rsidRPr="009A0DA6">
        <w:rPr>
          <w:rFonts w:ascii="Cambria" w:eastAsia="Calibri" w:hAnsi="Cambria" w:cs="Calibri"/>
          <w:spacing w:val="-1"/>
        </w:rPr>
        <w:t>l</w:t>
      </w:r>
      <w:r w:rsidRPr="009A0DA6">
        <w:rPr>
          <w:rFonts w:ascii="Cambria" w:eastAsia="Calibri" w:hAnsi="Cambria" w:cs="Calibri"/>
        </w:rPr>
        <w:t>.</w:t>
      </w:r>
      <w:r w:rsidRPr="009A0DA6">
        <w:rPr>
          <w:rFonts w:ascii="Cambria" w:eastAsia="Calibri" w:hAnsi="Cambria" w:cs="Calibri"/>
          <w:spacing w:val="1"/>
        </w:rPr>
        <w:t xml:space="preserve"> </w:t>
      </w:r>
      <w:r w:rsidRPr="009A0DA6">
        <w:rPr>
          <w:rFonts w:ascii="Cambria" w:eastAsia="Calibri" w:hAnsi="Cambria" w:cs="Calibri"/>
        </w:rPr>
        <w:t>It i</w:t>
      </w:r>
      <w:r w:rsidRPr="009A0DA6">
        <w:rPr>
          <w:rFonts w:ascii="Cambria" w:eastAsia="Calibri" w:hAnsi="Cambria" w:cs="Calibri"/>
          <w:spacing w:val="-1"/>
        </w:rPr>
        <w:t>n</w:t>
      </w:r>
      <w:r w:rsidRPr="009A0DA6">
        <w:rPr>
          <w:rFonts w:ascii="Cambria" w:eastAsia="Calibri" w:hAnsi="Cambria" w:cs="Calibri"/>
        </w:rPr>
        <w:t>structs</w:t>
      </w:r>
      <w:r w:rsidRPr="009A0DA6">
        <w:rPr>
          <w:rFonts w:ascii="Cambria" w:eastAsia="Calibri" w:hAnsi="Cambria" w:cs="Calibri"/>
          <w:spacing w:val="22"/>
        </w:rPr>
        <w:t xml:space="preserve"> </w:t>
      </w:r>
      <w:r w:rsidRPr="009A0DA6">
        <w:rPr>
          <w:rFonts w:ascii="Cambria" w:eastAsia="Calibri" w:hAnsi="Cambria" w:cs="Calibri"/>
        </w:rPr>
        <w:t>th</w:t>
      </w:r>
      <w:r w:rsidRPr="009A0DA6">
        <w:rPr>
          <w:rFonts w:ascii="Cambria" w:eastAsia="Calibri" w:hAnsi="Cambria" w:cs="Calibri"/>
          <w:spacing w:val="-2"/>
        </w:rPr>
        <w:t>e</w:t>
      </w:r>
      <w:r w:rsidRPr="009A0DA6">
        <w:rPr>
          <w:rFonts w:ascii="Cambria" w:eastAsia="Calibri" w:hAnsi="Cambria" w:cs="Calibri"/>
        </w:rPr>
        <w:t>m</w:t>
      </w:r>
      <w:r w:rsidRPr="009A0DA6">
        <w:rPr>
          <w:rFonts w:ascii="Cambria" w:eastAsia="Calibri" w:hAnsi="Cambria" w:cs="Calibri"/>
          <w:spacing w:val="26"/>
        </w:rPr>
        <w:t xml:space="preserve"> </w:t>
      </w:r>
      <w:r w:rsidRPr="009A0DA6">
        <w:rPr>
          <w:rFonts w:ascii="Cambria" w:eastAsia="Calibri" w:hAnsi="Cambria" w:cs="Calibri"/>
          <w:spacing w:val="-3"/>
        </w:rPr>
        <w:t>n</w:t>
      </w:r>
      <w:r w:rsidRPr="009A0DA6">
        <w:rPr>
          <w:rFonts w:ascii="Cambria" w:eastAsia="Calibri" w:hAnsi="Cambria" w:cs="Calibri"/>
          <w:spacing w:val="1"/>
        </w:rPr>
        <w:t>o</w:t>
      </w:r>
      <w:r w:rsidRPr="009A0DA6">
        <w:rPr>
          <w:rFonts w:ascii="Cambria" w:eastAsia="Calibri" w:hAnsi="Cambria" w:cs="Calibri"/>
        </w:rPr>
        <w:t>t</w:t>
      </w:r>
      <w:r w:rsidRPr="009A0DA6">
        <w:rPr>
          <w:rFonts w:ascii="Cambria" w:eastAsia="Calibri" w:hAnsi="Cambria" w:cs="Calibri"/>
          <w:spacing w:val="22"/>
        </w:rPr>
        <w:t xml:space="preserve"> </w:t>
      </w:r>
      <w:r w:rsidRPr="009A0DA6">
        <w:rPr>
          <w:rFonts w:ascii="Cambria" w:eastAsia="Calibri" w:hAnsi="Cambria" w:cs="Calibri"/>
          <w:spacing w:val="-2"/>
        </w:rPr>
        <w:t>t</w:t>
      </w:r>
      <w:r w:rsidRPr="009A0DA6">
        <w:rPr>
          <w:rFonts w:ascii="Cambria" w:eastAsia="Calibri" w:hAnsi="Cambria" w:cs="Calibri"/>
        </w:rPr>
        <w:t>o</w:t>
      </w:r>
      <w:r w:rsidRPr="009A0DA6">
        <w:rPr>
          <w:rFonts w:ascii="Cambria" w:eastAsia="Calibri" w:hAnsi="Cambria" w:cs="Calibri"/>
          <w:spacing w:val="26"/>
        </w:rPr>
        <w:t xml:space="preserve"> </w:t>
      </w:r>
      <w:r w:rsidRPr="009A0DA6">
        <w:rPr>
          <w:rFonts w:ascii="Cambria" w:eastAsia="Calibri" w:hAnsi="Cambria" w:cs="Calibri"/>
          <w:spacing w:val="-3"/>
        </w:rPr>
        <w:t>l</w:t>
      </w:r>
      <w:r w:rsidRPr="009A0DA6">
        <w:rPr>
          <w:rFonts w:ascii="Cambria" w:eastAsia="Calibri" w:hAnsi="Cambria" w:cs="Calibri"/>
          <w:spacing w:val="1"/>
        </w:rPr>
        <w:t>o</w:t>
      </w:r>
      <w:r w:rsidRPr="009A0DA6">
        <w:rPr>
          <w:rFonts w:ascii="Cambria" w:eastAsia="Calibri" w:hAnsi="Cambria" w:cs="Calibri"/>
        </w:rPr>
        <w:t>rd</w:t>
      </w:r>
      <w:r w:rsidRPr="009A0DA6">
        <w:rPr>
          <w:rFonts w:ascii="Cambria" w:eastAsia="Calibri" w:hAnsi="Cambria" w:cs="Calibri"/>
          <w:spacing w:val="21"/>
        </w:rPr>
        <w:t xml:space="preserve"> </w:t>
      </w:r>
      <w:r w:rsidRPr="009A0DA6">
        <w:rPr>
          <w:rFonts w:ascii="Cambria" w:eastAsia="Calibri" w:hAnsi="Cambria" w:cs="Calibri"/>
        </w:rPr>
        <w:t>it</w:t>
      </w:r>
      <w:r w:rsidRPr="009A0DA6">
        <w:rPr>
          <w:rFonts w:ascii="Cambria" w:eastAsia="Calibri" w:hAnsi="Cambria" w:cs="Calibri"/>
          <w:spacing w:val="22"/>
        </w:rPr>
        <w:t xml:space="preserve"> </w:t>
      </w:r>
      <w:r w:rsidRPr="009A0DA6">
        <w:rPr>
          <w:rFonts w:ascii="Cambria" w:eastAsia="Calibri" w:hAnsi="Cambria" w:cs="Calibri"/>
          <w:spacing w:val="-1"/>
        </w:rPr>
        <w:t>o</w:t>
      </w:r>
      <w:r w:rsidRPr="009A0DA6">
        <w:rPr>
          <w:rFonts w:ascii="Cambria" w:eastAsia="Calibri" w:hAnsi="Cambria" w:cs="Calibri"/>
          <w:spacing w:val="1"/>
        </w:rPr>
        <w:t>v</w:t>
      </w:r>
      <w:r w:rsidRPr="009A0DA6">
        <w:rPr>
          <w:rFonts w:ascii="Cambria" w:eastAsia="Calibri" w:hAnsi="Cambria" w:cs="Calibri"/>
        </w:rPr>
        <w:t>er</w:t>
      </w:r>
      <w:r w:rsidRPr="009A0DA6">
        <w:rPr>
          <w:rFonts w:ascii="Cambria" w:eastAsia="Calibri" w:hAnsi="Cambria" w:cs="Calibri"/>
          <w:spacing w:val="22"/>
        </w:rPr>
        <w:t xml:space="preserve"> </w:t>
      </w:r>
      <w:r w:rsidRPr="009A0DA6">
        <w:rPr>
          <w:rFonts w:ascii="Cambria" w:eastAsia="Calibri" w:hAnsi="Cambria" w:cs="Calibri"/>
        </w:rPr>
        <w:t>a</w:t>
      </w:r>
      <w:r w:rsidRPr="009A0DA6">
        <w:rPr>
          <w:rFonts w:ascii="Cambria" w:eastAsia="Calibri" w:hAnsi="Cambria" w:cs="Calibri"/>
          <w:spacing w:val="-1"/>
        </w:rPr>
        <w:t>ny</w:t>
      </w:r>
      <w:r w:rsidRPr="009A0DA6">
        <w:rPr>
          <w:rFonts w:ascii="Cambria" w:eastAsia="Calibri" w:hAnsi="Cambria" w:cs="Calibri"/>
          <w:spacing w:val="1"/>
        </w:rPr>
        <w:t>o</w:t>
      </w:r>
      <w:r w:rsidRPr="009A0DA6">
        <w:rPr>
          <w:rFonts w:ascii="Cambria" w:eastAsia="Calibri" w:hAnsi="Cambria" w:cs="Calibri"/>
          <w:spacing w:val="-1"/>
        </w:rPr>
        <w:t>n</w:t>
      </w:r>
      <w:r w:rsidRPr="009A0DA6">
        <w:rPr>
          <w:rFonts w:ascii="Cambria" w:eastAsia="Calibri" w:hAnsi="Cambria" w:cs="Calibri"/>
        </w:rPr>
        <w:t>e,</w:t>
      </w:r>
      <w:r w:rsidRPr="009A0DA6">
        <w:rPr>
          <w:rFonts w:ascii="Cambria" w:eastAsia="Calibri" w:hAnsi="Cambria" w:cs="Calibri"/>
          <w:spacing w:val="23"/>
        </w:rPr>
        <w:t xml:space="preserve"> </w:t>
      </w:r>
      <w:r w:rsidRPr="009A0DA6">
        <w:rPr>
          <w:rFonts w:ascii="Cambria" w:eastAsia="Calibri" w:hAnsi="Cambria" w:cs="Calibri"/>
          <w:spacing w:val="-1"/>
        </w:rPr>
        <w:t>bu</w:t>
      </w:r>
      <w:r w:rsidRPr="009A0DA6">
        <w:rPr>
          <w:rFonts w:ascii="Cambria" w:eastAsia="Calibri" w:hAnsi="Cambria" w:cs="Calibri"/>
        </w:rPr>
        <w:t>t</w:t>
      </w:r>
      <w:r w:rsidRPr="009A0DA6">
        <w:rPr>
          <w:rFonts w:ascii="Cambria" w:eastAsia="Calibri" w:hAnsi="Cambria" w:cs="Calibri"/>
          <w:spacing w:val="22"/>
        </w:rPr>
        <w:t xml:space="preserve"> </w:t>
      </w:r>
      <w:r w:rsidRPr="009A0DA6">
        <w:rPr>
          <w:rFonts w:ascii="Cambria" w:eastAsia="Calibri" w:hAnsi="Cambria" w:cs="Calibri"/>
          <w:spacing w:val="-2"/>
        </w:rPr>
        <w:t>t</w:t>
      </w:r>
      <w:r w:rsidRPr="009A0DA6">
        <w:rPr>
          <w:rFonts w:ascii="Cambria" w:eastAsia="Calibri" w:hAnsi="Cambria" w:cs="Calibri"/>
        </w:rPr>
        <w:t>o</w:t>
      </w:r>
      <w:r w:rsidRPr="009A0DA6">
        <w:rPr>
          <w:rFonts w:ascii="Cambria" w:eastAsia="Calibri" w:hAnsi="Cambria" w:cs="Calibri"/>
          <w:spacing w:val="26"/>
        </w:rPr>
        <w:t xml:space="preserve"> </w:t>
      </w:r>
      <w:r w:rsidRPr="009A0DA6">
        <w:rPr>
          <w:rFonts w:ascii="Cambria" w:eastAsia="Calibri" w:hAnsi="Cambria" w:cs="Calibri"/>
          <w:spacing w:val="-3"/>
        </w:rPr>
        <w:t>a</w:t>
      </w:r>
      <w:r w:rsidRPr="009A0DA6">
        <w:rPr>
          <w:rFonts w:ascii="Cambria" w:eastAsia="Calibri" w:hAnsi="Cambria" w:cs="Calibri"/>
        </w:rPr>
        <w:t>ct</w:t>
      </w:r>
      <w:r w:rsidRPr="009A0DA6">
        <w:rPr>
          <w:rFonts w:ascii="Cambria" w:eastAsia="Calibri" w:hAnsi="Cambria" w:cs="Calibri"/>
          <w:spacing w:val="23"/>
        </w:rPr>
        <w:t xml:space="preserve"> </w:t>
      </w:r>
      <w:r w:rsidRPr="009A0DA6">
        <w:rPr>
          <w:rFonts w:ascii="Cambria" w:eastAsia="Calibri" w:hAnsi="Cambria" w:cs="Calibri"/>
        </w:rPr>
        <w:t>as</w:t>
      </w:r>
      <w:r w:rsidRPr="009A0DA6">
        <w:rPr>
          <w:rFonts w:ascii="Cambria" w:eastAsia="Calibri" w:hAnsi="Cambria" w:cs="Calibri"/>
          <w:spacing w:val="22"/>
        </w:rPr>
        <w:t xml:space="preserve"> </w:t>
      </w:r>
      <w:r w:rsidRPr="009A0DA6">
        <w:rPr>
          <w:rFonts w:ascii="Cambria" w:eastAsia="Calibri" w:hAnsi="Cambria" w:cs="Calibri"/>
        </w:rPr>
        <w:t>e</w:t>
      </w:r>
      <w:r w:rsidRPr="009A0DA6">
        <w:rPr>
          <w:rFonts w:ascii="Cambria" w:eastAsia="Calibri" w:hAnsi="Cambria" w:cs="Calibri"/>
          <w:spacing w:val="1"/>
        </w:rPr>
        <w:t>x</w:t>
      </w:r>
      <w:r w:rsidRPr="009A0DA6">
        <w:rPr>
          <w:rFonts w:ascii="Cambria" w:eastAsia="Calibri" w:hAnsi="Cambria" w:cs="Calibri"/>
          <w:spacing w:val="-3"/>
        </w:rPr>
        <w:t>a</w:t>
      </w:r>
      <w:r w:rsidRPr="009A0DA6">
        <w:rPr>
          <w:rFonts w:ascii="Cambria" w:eastAsia="Calibri" w:hAnsi="Cambria" w:cs="Calibri"/>
          <w:spacing w:val="1"/>
        </w:rPr>
        <w:t>m</w:t>
      </w:r>
      <w:r w:rsidRPr="009A0DA6">
        <w:rPr>
          <w:rFonts w:ascii="Cambria" w:eastAsia="Calibri" w:hAnsi="Cambria" w:cs="Calibri"/>
          <w:spacing w:val="-1"/>
        </w:rPr>
        <w:t>p</w:t>
      </w:r>
      <w:r w:rsidRPr="009A0DA6">
        <w:rPr>
          <w:rFonts w:ascii="Cambria" w:eastAsia="Calibri" w:hAnsi="Cambria" w:cs="Calibri"/>
        </w:rPr>
        <w:t>les</w:t>
      </w:r>
      <w:r w:rsidRPr="009A0DA6">
        <w:rPr>
          <w:rFonts w:ascii="Cambria" w:eastAsia="Calibri" w:hAnsi="Cambria" w:cs="Calibri"/>
          <w:spacing w:val="22"/>
        </w:rPr>
        <w:t xml:space="preserve"> </w:t>
      </w:r>
      <w:r w:rsidRPr="009A0DA6">
        <w:rPr>
          <w:rFonts w:ascii="Cambria" w:eastAsia="Calibri" w:hAnsi="Cambria" w:cs="Calibri"/>
          <w:spacing w:val="-2"/>
        </w:rPr>
        <w:t>t</w:t>
      </w:r>
      <w:r w:rsidRPr="009A0DA6">
        <w:rPr>
          <w:rFonts w:ascii="Cambria" w:eastAsia="Calibri" w:hAnsi="Cambria" w:cs="Calibri"/>
        </w:rPr>
        <w:t>o</w:t>
      </w:r>
      <w:r w:rsidRPr="009A0DA6">
        <w:rPr>
          <w:rFonts w:ascii="Cambria" w:eastAsia="Calibri" w:hAnsi="Cambria" w:cs="Calibri"/>
          <w:spacing w:val="23"/>
        </w:rPr>
        <w:t xml:space="preserve"> </w:t>
      </w:r>
      <w:r w:rsidRPr="009A0DA6">
        <w:rPr>
          <w:rFonts w:ascii="Cambria" w:eastAsia="Calibri" w:hAnsi="Cambria" w:cs="Calibri"/>
        </w:rPr>
        <w:t>the</w:t>
      </w:r>
      <w:r w:rsidRPr="009A0DA6">
        <w:rPr>
          <w:rFonts w:ascii="Cambria" w:eastAsia="Calibri" w:hAnsi="Cambria" w:cs="Calibri"/>
          <w:spacing w:val="22"/>
        </w:rPr>
        <w:t xml:space="preserve"> </w:t>
      </w:r>
      <w:r w:rsidRPr="009A0DA6">
        <w:rPr>
          <w:rFonts w:ascii="Cambria" w:eastAsia="Calibri" w:hAnsi="Cambria" w:cs="Calibri"/>
        </w:rPr>
        <w:t>f</w:t>
      </w:r>
      <w:r w:rsidRPr="009A0DA6">
        <w:rPr>
          <w:rFonts w:ascii="Cambria" w:eastAsia="Calibri" w:hAnsi="Cambria" w:cs="Calibri"/>
          <w:spacing w:val="-3"/>
        </w:rPr>
        <w:t>l</w:t>
      </w:r>
      <w:r w:rsidRPr="009A0DA6">
        <w:rPr>
          <w:rFonts w:ascii="Cambria" w:eastAsia="Calibri" w:hAnsi="Cambria" w:cs="Calibri"/>
          <w:spacing w:val="1"/>
        </w:rPr>
        <w:t>o</w:t>
      </w:r>
      <w:r w:rsidRPr="009A0DA6">
        <w:rPr>
          <w:rFonts w:ascii="Cambria" w:eastAsia="Calibri" w:hAnsi="Cambria" w:cs="Calibri"/>
        </w:rPr>
        <w:t>ck</w:t>
      </w:r>
      <w:r w:rsidRPr="009A0DA6">
        <w:rPr>
          <w:rFonts w:ascii="Cambria" w:eastAsia="Calibri" w:hAnsi="Cambria" w:cs="Calibri"/>
          <w:spacing w:val="20"/>
        </w:rPr>
        <w:t xml:space="preserve"> </w:t>
      </w:r>
      <w:r w:rsidRPr="009A0DA6">
        <w:rPr>
          <w:rFonts w:ascii="Cambria" w:eastAsia="Calibri" w:hAnsi="Cambria" w:cs="Calibri"/>
          <w:spacing w:val="-1"/>
        </w:rPr>
        <w:t>b</w:t>
      </w:r>
      <w:r w:rsidRPr="009A0DA6">
        <w:rPr>
          <w:rFonts w:ascii="Cambria" w:eastAsia="Calibri" w:hAnsi="Cambria" w:cs="Calibri"/>
        </w:rPr>
        <w:t>y</w:t>
      </w:r>
      <w:r w:rsidRPr="009A0DA6">
        <w:rPr>
          <w:rFonts w:ascii="Cambria" w:eastAsia="Calibri" w:hAnsi="Cambria" w:cs="Calibri"/>
          <w:spacing w:val="25"/>
        </w:rPr>
        <w:t xml:space="preserve"> </w:t>
      </w:r>
      <w:r w:rsidRPr="009A0DA6">
        <w:rPr>
          <w:rFonts w:ascii="Cambria" w:eastAsia="Calibri" w:hAnsi="Cambria" w:cs="Calibri"/>
          <w:spacing w:val="-2"/>
        </w:rPr>
        <w:t>s</w:t>
      </w:r>
      <w:r w:rsidRPr="009A0DA6">
        <w:rPr>
          <w:rFonts w:ascii="Cambria" w:eastAsia="Calibri" w:hAnsi="Cambria" w:cs="Calibri"/>
        </w:rPr>
        <w:t>er</w:t>
      </w:r>
      <w:r w:rsidRPr="009A0DA6">
        <w:rPr>
          <w:rFonts w:ascii="Cambria" w:eastAsia="Calibri" w:hAnsi="Cambria" w:cs="Calibri"/>
          <w:spacing w:val="1"/>
        </w:rPr>
        <w:t>v</w:t>
      </w:r>
      <w:r w:rsidRPr="009A0DA6">
        <w:rPr>
          <w:rFonts w:ascii="Cambria" w:eastAsia="Calibri" w:hAnsi="Cambria" w:cs="Calibri"/>
        </w:rPr>
        <w:t>i</w:t>
      </w:r>
      <w:r w:rsidRPr="009A0DA6">
        <w:rPr>
          <w:rFonts w:ascii="Cambria" w:eastAsia="Calibri" w:hAnsi="Cambria" w:cs="Calibri"/>
          <w:spacing w:val="-1"/>
        </w:rPr>
        <w:t>n</w:t>
      </w:r>
      <w:r w:rsidRPr="009A0DA6">
        <w:rPr>
          <w:rFonts w:ascii="Cambria" w:eastAsia="Calibri" w:hAnsi="Cambria" w:cs="Calibri"/>
        </w:rPr>
        <w:t>g</w:t>
      </w:r>
      <w:r w:rsidRPr="009A0DA6">
        <w:rPr>
          <w:rFonts w:ascii="Cambria" w:eastAsia="Calibri" w:hAnsi="Cambria" w:cs="Calibri"/>
          <w:spacing w:val="24"/>
        </w:rPr>
        <w:t xml:space="preserve"> </w:t>
      </w:r>
      <w:r w:rsidRPr="009A0DA6">
        <w:rPr>
          <w:rFonts w:ascii="Cambria" w:eastAsia="Calibri" w:hAnsi="Cambria" w:cs="Calibri"/>
        </w:rPr>
        <w:t>in</w:t>
      </w:r>
      <w:r w:rsidRPr="009A0DA6">
        <w:rPr>
          <w:rFonts w:ascii="Cambria" w:eastAsia="Calibri" w:hAnsi="Cambria" w:cs="Calibri"/>
          <w:spacing w:val="21"/>
        </w:rPr>
        <w:t xml:space="preserve"> </w:t>
      </w:r>
      <w:r w:rsidRPr="009A0DA6">
        <w:rPr>
          <w:rFonts w:ascii="Cambria" w:eastAsia="Calibri" w:hAnsi="Cambria" w:cs="Calibri"/>
        </w:rPr>
        <w:t>a</w:t>
      </w:r>
      <w:r w:rsidRPr="009A0DA6">
        <w:rPr>
          <w:rFonts w:ascii="Cambria" w:eastAsia="Calibri" w:hAnsi="Cambria" w:cs="Calibri"/>
          <w:spacing w:val="22"/>
        </w:rPr>
        <w:t xml:space="preserve"> </w:t>
      </w:r>
      <w:r w:rsidRPr="009A0DA6">
        <w:rPr>
          <w:rFonts w:ascii="Cambria" w:eastAsia="Calibri" w:hAnsi="Cambria" w:cs="Calibri"/>
        </w:rPr>
        <w:t>sel</w:t>
      </w:r>
      <w:r w:rsidRPr="009A0DA6">
        <w:rPr>
          <w:rFonts w:ascii="Cambria" w:eastAsia="Calibri" w:hAnsi="Cambria" w:cs="Calibri"/>
          <w:spacing w:val="8"/>
        </w:rPr>
        <w:t>f</w:t>
      </w:r>
      <w:r w:rsidRPr="009A0DA6">
        <w:rPr>
          <w:rFonts w:ascii="Cambria" w:eastAsia="Calibri" w:hAnsi="Cambria" w:cs="Calibri"/>
        </w:rPr>
        <w:t>- sacri</w:t>
      </w:r>
      <w:r w:rsidRPr="009A0DA6">
        <w:rPr>
          <w:rFonts w:ascii="Cambria" w:eastAsia="Calibri" w:hAnsi="Cambria" w:cs="Calibri"/>
          <w:spacing w:val="-1"/>
        </w:rPr>
        <w:t>f</w:t>
      </w:r>
      <w:r w:rsidRPr="009A0DA6">
        <w:rPr>
          <w:rFonts w:ascii="Cambria" w:eastAsia="Calibri" w:hAnsi="Cambria" w:cs="Calibri"/>
        </w:rPr>
        <w:t>icial</w:t>
      </w:r>
      <w:r w:rsidRPr="009A0DA6">
        <w:rPr>
          <w:rFonts w:ascii="Cambria" w:eastAsia="Calibri" w:hAnsi="Cambria" w:cs="Calibri"/>
          <w:spacing w:val="-9"/>
        </w:rPr>
        <w:t xml:space="preserve"> </w:t>
      </w:r>
      <w:r w:rsidRPr="009A0DA6">
        <w:rPr>
          <w:rFonts w:ascii="Cambria" w:eastAsia="Calibri" w:hAnsi="Cambria" w:cs="Calibri"/>
        </w:rPr>
        <w:t>way</w:t>
      </w:r>
      <w:r w:rsidRPr="009A0DA6">
        <w:rPr>
          <w:rFonts w:ascii="Cambria" w:eastAsia="Calibri" w:hAnsi="Cambria" w:cs="Calibri"/>
          <w:spacing w:val="-8"/>
        </w:rPr>
        <w:t xml:space="preserve"> </w:t>
      </w:r>
      <w:r w:rsidRPr="009A0DA6">
        <w:rPr>
          <w:rFonts w:ascii="Cambria" w:eastAsia="Calibri" w:hAnsi="Cambria" w:cs="Calibri"/>
        </w:rPr>
        <w:t>a</w:t>
      </w:r>
      <w:r w:rsidRPr="009A0DA6">
        <w:rPr>
          <w:rFonts w:ascii="Cambria" w:eastAsia="Calibri" w:hAnsi="Cambria" w:cs="Calibri"/>
          <w:spacing w:val="-1"/>
        </w:rPr>
        <w:t>n</w:t>
      </w:r>
      <w:r w:rsidRPr="009A0DA6">
        <w:rPr>
          <w:rFonts w:ascii="Cambria" w:eastAsia="Calibri" w:hAnsi="Cambria" w:cs="Calibri"/>
        </w:rPr>
        <w:t>d</w:t>
      </w:r>
      <w:r w:rsidRPr="009A0DA6">
        <w:rPr>
          <w:rFonts w:ascii="Cambria" w:eastAsia="Calibri" w:hAnsi="Cambria" w:cs="Calibri"/>
          <w:spacing w:val="-7"/>
        </w:rPr>
        <w:t xml:space="preserve"> </w:t>
      </w:r>
      <w:r w:rsidRPr="009A0DA6">
        <w:rPr>
          <w:rFonts w:ascii="Cambria" w:eastAsia="Calibri" w:hAnsi="Cambria" w:cs="Calibri"/>
        </w:rPr>
        <w:t>t</w:t>
      </w:r>
      <w:r w:rsidRPr="009A0DA6">
        <w:rPr>
          <w:rFonts w:ascii="Cambria" w:eastAsia="Calibri" w:hAnsi="Cambria" w:cs="Calibri"/>
          <w:spacing w:val="-2"/>
        </w:rPr>
        <w:t>r</w:t>
      </w:r>
      <w:r w:rsidRPr="009A0DA6">
        <w:rPr>
          <w:rFonts w:ascii="Cambria" w:eastAsia="Calibri" w:hAnsi="Cambria" w:cs="Calibri"/>
        </w:rPr>
        <w:t>ea</w:t>
      </w:r>
      <w:r w:rsidRPr="009A0DA6">
        <w:rPr>
          <w:rFonts w:ascii="Cambria" w:eastAsia="Calibri" w:hAnsi="Cambria" w:cs="Calibri"/>
          <w:spacing w:val="1"/>
        </w:rPr>
        <w:t>t</w:t>
      </w:r>
      <w:r w:rsidRPr="009A0DA6">
        <w:rPr>
          <w:rFonts w:ascii="Cambria" w:eastAsia="Calibri" w:hAnsi="Cambria" w:cs="Calibri"/>
        </w:rPr>
        <w:t>i</w:t>
      </w:r>
      <w:r w:rsidRPr="009A0DA6">
        <w:rPr>
          <w:rFonts w:ascii="Cambria" w:eastAsia="Calibri" w:hAnsi="Cambria" w:cs="Calibri"/>
          <w:spacing w:val="-1"/>
        </w:rPr>
        <w:t>n</w:t>
      </w:r>
      <w:r w:rsidRPr="009A0DA6">
        <w:rPr>
          <w:rFonts w:ascii="Cambria" w:eastAsia="Calibri" w:hAnsi="Cambria" w:cs="Calibri"/>
        </w:rPr>
        <w:t>g</w:t>
      </w:r>
      <w:r w:rsidRPr="009A0DA6">
        <w:rPr>
          <w:rFonts w:ascii="Cambria" w:eastAsia="Calibri" w:hAnsi="Cambria" w:cs="Calibri"/>
          <w:spacing w:val="-10"/>
        </w:rPr>
        <w:t xml:space="preserve"> </w:t>
      </w:r>
      <w:r w:rsidRPr="009A0DA6">
        <w:rPr>
          <w:rFonts w:ascii="Cambria" w:eastAsia="Calibri" w:hAnsi="Cambria" w:cs="Calibri"/>
          <w:spacing w:val="1"/>
        </w:rPr>
        <w:t>o</w:t>
      </w:r>
      <w:r w:rsidRPr="009A0DA6">
        <w:rPr>
          <w:rFonts w:ascii="Cambria" w:eastAsia="Calibri" w:hAnsi="Cambria" w:cs="Calibri"/>
        </w:rPr>
        <w:t>thers</w:t>
      </w:r>
      <w:r w:rsidRPr="009A0DA6">
        <w:rPr>
          <w:rFonts w:ascii="Cambria" w:eastAsia="Calibri" w:hAnsi="Cambria" w:cs="Calibri"/>
          <w:spacing w:val="-9"/>
        </w:rPr>
        <w:t xml:space="preserve"> </w:t>
      </w:r>
      <w:r w:rsidRPr="009A0DA6">
        <w:rPr>
          <w:rFonts w:ascii="Cambria" w:eastAsia="Calibri" w:hAnsi="Cambria" w:cs="Calibri"/>
        </w:rPr>
        <w:t>as</w:t>
      </w:r>
      <w:r w:rsidRPr="009A0DA6">
        <w:rPr>
          <w:rFonts w:ascii="Cambria" w:eastAsia="Calibri" w:hAnsi="Cambria" w:cs="Calibri"/>
          <w:spacing w:val="-9"/>
        </w:rPr>
        <w:t xml:space="preserve"> </w:t>
      </w:r>
      <w:r w:rsidRPr="009A0DA6">
        <w:rPr>
          <w:rFonts w:ascii="Cambria" w:eastAsia="Calibri" w:hAnsi="Cambria" w:cs="Calibri"/>
          <w:spacing w:val="-1"/>
        </w:rPr>
        <w:t>m</w:t>
      </w:r>
      <w:r w:rsidRPr="009A0DA6">
        <w:rPr>
          <w:rFonts w:ascii="Cambria" w:eastAsia="Calibri" w:hAnsi="Cambria" w:cs="Calibri"/>
          <w:spacing w:val="1"/>
        </w:rPr>
        <w:t>o</w:t>
      </w:r>
      <w:r w:rsidRPr="009A0DA6">
        <w:rPr>
          <w:rFonts w:ascii="Cambria" w:eastAsia="Calibri" w:hAnsi="Cambria" w:cs="Calibri"/>
        </w:rPr>
        <w:t>re</w:t>
      </w:r>
      <w:r w:rsidRPr="009A0DA6">
        <w:rPr>
          <w:rFonts w:ascii="Cambria" w:eastAsia="Calibri" w:hAnsi="Cambria" w:cs="Calibri"/>
          <w:spacing w:val="-8"/>
        </w:rPr>
        <w:t xml:space="preserve"> </w:t>
      </w:r>
      <w:r w:rsidRPr="009A0DA6">
        <w:rPr>
          <w:rFonts w:ascii="Cambria" w:eastAsia="Calibri" w:hAnsi="Cambria" w:cs="Calibri"/>
        </w:rPr>
        <w:t>si</w:t>
      </w:r>
      <w:r w:rsidRPr="009A0DA6">
        <w:rPr>
          <w:rFonts w:ascii="Cambria" w:eastAsia="Calibri" w:hAnsi="Cambria" w:cs="Calibri"/>
          <w:spacing w:val="-1"/>
        </w:rPr>
        <w:t>g</w:t>
      </w:r>
      <w:r w:rsidRPr="009A0DA6">
        <w:rPr>
          <w:rFonts w:ascii="Cambria" w:eastAsia="Calibri" w:hAnsi="Cambria" w:cs="Calibri"/>
          <w:spacing w:val="1"/>
        </w:rPr>
        <w:t>n</w:t>
      </w:r>
      <w:r w:rsidRPr="009A0DA6">
        <w:rPr>
          <w:rFonts w:ascii="Cambria" w:eastAsia="Calibri" w:hAnsi="Cambria" w:cs="Calibri"/>
        </w:rPr>
        <w:t>if</w:t>
      </w:r>
      <w:r w:rsidRPr="009A0DA6">
        <w:rPr>
          <w:rFonts w:ascii="Cambria" w:eastAsia="Calibri" w:hAnsi="Cambria" w:cs="Calibri"/>
          <w:spacing w:val="-1"/>
        </w:rPr>
        <w:t>i</w:t>
      </w:r>
      <w:r w:rsidRPr="009A0DA6">
        <w:rPr>
          <w:rFonts w:ascii="Cambria" w:eastAsia="Calibri" w:hAnsi="Cambria" w:cs="Calibri"/>
        </w:rPr>
        <w:t>ca</w:t>
      </w:r>
      <w:r w:rsidRPr="009A0DA6">
        <w:rPr>
          <w:rFonts w:ascii="Cambria" w:eastAsia="Calibri" w:hAnsi="Cambria" w:cs="Calibri"/>
          <w:spacing w:val="-1"/>
        </w:rPr>
        <w:t>n</w:t>
      </w:r>
      <w:r w:rsidRPr="009A0DA6">
        <w:rPr>
          <w:rFonts w:ascii="Cambria" w:eastAsia="Calibri" w:hAnsi="Cambria" w:cs="Calibri"/>
        </w:rPr>
        <w:t>t</w:t>
      </w:r>
      <w:r w:rsidRPr="009A0DA6">
        <w:rPr>
          <w:rFonts w:ascii="Cambria" w:eastAsia="Calibri" w:hAnsi="Cambria" w:cs="Calibri"/>
          <w:spacing w:val="-8"/>
        </w:rPr>
        <w:t xml:space="preserve"> </w:t>
      </w:r>
      <w:r w:rsidRPr="009A0DA6">
        <w:rPr>
          <w:rFonts w:ascii="Cambria" w:eastAsia="Calibri" w:hAnsi="Cambria" w:cs="Calibri"/>
          <w:spacing w:val="-2"/>
        </w:rPr>
        <w:t>t</w:t>
      </w:r>
      <w:r w:rsidRPr="009A0DA6">
        <w:rPr>
          <w:rFonts w:ascii="Cambria" w:eastAsia="Calibri" w:hAnsi="Cambria" w:cs="Calibri"/>
          <w:spacing w:val="-1"/>
        </w:rPr>
        <w:t>h</w:t>
      </w:r>
      <w:r w:rsidRPr="009A0DA6">
        <w:rPr>
          <w:rFonts w:ascii="Cambria" w:eastAsia="Calibri" w:hAnsi="Cambria" w:cs="Calibri"/>
        </w:rPr>
        <w:t>an</w:t>
      </w:r>
      <w:r w:rsidRPr="009A0DA6">
        <w:rPr>
          <w:rFonts w:ascii="Cambria" w:eastAsia="Calibri" w:hAnsi="Cambria" w:cs="Calibri"/>
          <w:spacing w:val="-7"/>
        </w:rPr>
        <w:t xml:space="preserve"> </w:t>
      </w:r>
      <w:r w:rsidRPr="009A0DA6">
        <w:rPr>
          <w:rFonts w:ascii="Cambria" w:eastAsia="Calibri" w:hAnsi="Cambria" w:cs="Calibri"/>
        </w:rPr>
        <w:t>the</w:t>
      </w:r>
      <w:r w:rsidRPr="009A0DA6">
        <w:rPr>
          <w:rFonts w:ascii="Cambria" w:eastAsia="Calibri" w:hAnsi="Cambria" w:cs="Calibri"/>
          <w:spacing w:val="-1"/>
        </w:rPr>
        <w:t>m</w:t>
      </w:r>
      <w:r w:rsidRPr="009A0DA6">
        <w:rPr>
          <w:rFonts w:ascii="Cambria" w:eastAsia="Calibri" w:hAnsi="Cambria" w:cs="Calibri"/>
        </w:rPr>
        <w:t>se</w:t>
      </w:r>
      <w:r w:rsidRPr="009A0DA6">
        <w:rPr>
          <w:rFonts w:ascii="Cambria" w:eastAsia="Calibri" w:hAnsi="Cambria" w:cs="Calibri"/>
          <w:spacing w:val="-2"/>
        </w:rPr>
        <w:t>l</w:t>
      </w:r>
      <w:r w:rsidRPr="009A0DA6">
        <w:rPr>
          <w:rFonts w:ascii="Cambria" w:eastAsia="Calibri" w:hAnsi="Cambria" w:cs="Calibri"/>
          <w:spacing w:val="1"/>
        </w:rPr>
        <w:t>v</w:t>
      </w:r>
      <w:r w:rsidRPr="009A0DA6">
        <w:rPr>
          <w:rFonts w:ascii="Cambria" w:eastAsia="Calibri" w:hAnsi="Cambria" w:cs="Calibri"/>
        </w:rPr>
        <w:t>es</w:t>
      </w:r>
      <w:r w:rsidRPr="009A0DA6">
        <w:rPr>
          <w:rFonts w:ascii="Cambria" w:eastAsia="Calibri" w:hAnsi="Cambria" w:cs="Calibri"/>
          <w:spacing w:val="-8"/>
        </w:rPr>
        <w:t xml:space="preserve"> </w:t>
      </w:r>
      <w:r w:rsidRPr="009A0DA6">
        <w:rPr>
          <w:rFonts w:ascii="Cambria" w:eastAsia="Calibri" w:hAnsi="Cambria" w:cs="Calibri"/>
        </w:rPr>
        <w:t>(</w:t>
      </w:r>
      <w:r w:rsidRPr="009A0DA6">
        <w:rPr>
          <w:rFonts w:ascii="Cambria" w:eastAsia="Calibri" w:hAnsi="Cambria" w:cs="Calibri"/>
          <w:spacing w:val="1"/>
        </w:rPr>
        <w:t>M</w:t>
      </w:r>
      <w:r w:rsidRPr="009A0DA6">
        <w:rPr>
          <w:rFonts w:ascii="Cambria" w:eastAsia="Calibri" w:hAnsi="Cambria" w:cs="Calibri"/>
          <w:spacing w:val="-3"/>
        </w:rPr>
        <w:t>a</w:t>
      </w:r>
      <w:r w:rsidRPr="009A0DA6">
        <w:rPr>
          <w:rFonts w:ascii="Cambria" w:eastAsia="Calibri" w:hAnsi="Cambria" w:cs="Calibri"/>
        </w:rPr>
        <w:t>tt</w:t>
      </w:r>
      <w:r w:rsidRPr="009A0DA6">
        <w:rPr>
          <w:rFonts w:ascii="Cambria" w:eastAsia="Calibri" w:hAnsi="Cambria" w:cs="Calibri"/>
          <w:spacing w:val="-8"/>
        </w:rPr>
        <w:t xml:space="preserve"> </w:t>
      </w:r>
      <w:r w:rsidRPr="009A0DA6">
        <w:rPr>
          <w:rFonts w:ascii="Cambria" w:eastAsia="Calibri" w:hAnsi="Cambria" w:cs="Calibri"/>
          <w:spacing w:val="-2"/>
        </w:rPr>
        <w:t>2</w:t>
      </w:r>
      <w:r w:rsidRPr="009A0DA6">
        <w:rPr>
          <w:rFonts w:ascii="Cambria" w:eastAsia="Calibri" w:hAnsi="Cambria" w:cs="Calibri"/>
          <w:spacing w:val="1"/>
        </w:rPr>
        <w:t>0</w:t>
      </w:r>
      <w:r w:rsidRPr="009A0DA6">
        <w:rPr>
          <w:rFonts w:ascii="Cambria" w:eastAsia="Calibri" w:hAnsi="Cambria" w:cs="Calibri"/>
          <w:spacing w:val="-1"/>
        </w:rPr>
        <w:t>:</w:t>
      </w:r>
      <w:r w:rsidRPr="009A0DA6">
        <w:rPr>
          <w:rFonts w:ascii="Cambria" w:eastAsia="Calibri" w:hAnsi="Cambria" w:cs="Calibri"/>
          <w:spacing w:val="-2"/>
        </w:rPr>
        <w:t>2</w:t>
      </w:r>
      <w:r w:rsidRPr="009A0DA6">
        <w:rPr>
          <w:rFonts w:ascii="Cambria" w:eastAsia="Calibri" w:hAnsi="Cambria" w:cs="Calibri"/>
          <w:spacing w:val="2"/>
        </w:rPr>
        <w:t>0</w:t>
      </w:r>
      <w:r w:rsidR="00417DA5" w:rsidRPr="009A0DA6">
        <w:rPr>
          <w:rFonts w:ascii="Cambria" w:eastAsia="Calibri" w:hAnsi="Cambria" w:cs="Calibri"/>
        </w:rPr>
        <w:sym w:font="Symbol" w:char="F02D"/>
      </w:r>
      <w:r w:rsidRPr="009A0DA6">
        <w:rPr>
          <w:rFonts w:ascii="Cambria" w:eastAsia="Calibri" w:hAnsi="Cambria" w:cs="Calibri"/>
          <w:spacing w:val="-2"/>
        </w:rPr>
        <w:t>2</w:t>
      </w:r>
      <w:r w:rsidRPr="009A0DA6">
        <w:rPr>
          <w:rFonts w:ascii="Cambria" w:eastAsia="Calibri" w:hAnsi="Cambria" w:cs="Calibri"/>
          <w:spacing w:val="1"/>
        </w:rPr>
        <w:t>8</w:t>
      </w:r>
      <w:r w:rsidRPr="009A0DA6">
        <w:rPr>
          <w:rFonts w:ascii="Cambria" w:eastAsia="Calibri" w:hAnsi="Cambria" w:cs="Calibri"/>
        </w:rPr>
        <w:t>;</w:t>
      </w:r>
      <w:r w:rsidRPr="009A0DA6">
        <w:rPr>
          <w:rFonts w:ascii="Cambria" w:eastAsia="Calibri" w:hAnsi="Cambria" w:cs="Calibri"/>
          <w:spacing w:val="-8"/>
        </w:rPr>
        <w:t xml:space="preserve"> </w:t>
      </w:r>
      <w:r w:rsidRPr="009A0DA6">
        <w:rPr>
          <w:rFonts w:ascii="Cambria" w:eastAsia="Calibri" w:hAnsi="Cambria" w:cs="Calibri"/>
        </w:rPr>
        <w:t>1</w:t>
      </w:r>
      <w:r w:rsidRPr="009A0DA6">
        <w:rPr>
          <w:rFonts w:ascii="Cambria" w:eastAsia="Calibri" w:hAnsi="Cambria" w:cs="Calibri"/>
          <w:spacing w:val="-8"/>
        </w:rPr>
        <w:t xml:space="preserve"> </w:t>
      </w:r>
      <w:r w:rsidRPr="009A0DA6">
        <w:rPr>
          <w:rFonts w:ascii="Cambria" w:eastAsia="Calibri" w:hAnsi="Cambria" w:cs="Calibri"/>
          <w:spacing w:val="1"/>
        </w:rPr>
        <w:t>P</w:t>
      </w:r>
      <w:r w:rsidRPr="009A0DA6">
        <w:rPr>
          <w:rFonts w:ascii="Cambria" w:eastAsia="Calibri" w:hAnsi="Cambria" w:cs="Calibri"/>
          <w:spacing w:val="-2"/>
        </w:rPr>
        <w:t>e</w:t>
      </w:r>
      <w:r w:rsidRPr="009A0DA6">
        <w:rPr>
          <w:rFonts w:ascii="Cambria" w:eastAsia="Calibri" w:hAnsi="Cambria" w:cs="Calibri"/>
        </w:rPr>
        <w:t>t</w:t>
      </w:r>
      <w:r w:rsidRPr="009A0DA6">
        <w:rPr>
          <w:rFonts w:ascii="Cambria" w:eastAsia="Calibri" w:hAnsi="Cambria" w:cs="Calibri"/>
          <w:spacing w:val="-8"/>
        </w:rPr>
        <w:t xml:space="preserve"> </w:t>
      </w:r>
      <w:r w:rsidRPr="009A0DA6">
        <w:rPr>
          <w:rFonts w:ascii="Cambria" w:eastAsia="Calibri" w:hAnsi="Cambria" w:cs="Calibri"/>
          <w:spacing w:val="1"/>
        </w:rPr>
        <w:t>5</w:t>
      </w:r>
      <w:r w:rsidRPr="009A0DA6">
        <w:rPr>
          <w:rFonts w:ascii="Cambria" w:eastAsia="Calibri" w:hAnsi="Cambria" w:cs="Calibri"/>
          <w:spacing w:val="-1"/>
        </w:rPr>
        <w:t>:</w:t>
      </w:r>
      <w:r w:rsidRPr="009A0DA6">
        <w:rPr>
          <w:rFonts w:ascii="Cambria" w:eastAsia="Calibri" w:hAnsi="Cambria" w:cs="Calibri"/>
          <w:spacing w:val="1"/>
        </w:rPr>
        <w:t>3</w:t>
      </w:r>
      <w:r w:rsidRPr="009A0DA6">
        <w:rPr>
          <w:rFonts w:ascii="Cambria" w:eastAsia="Calibri" w:hAnsi="Cambria" w:cs="Calibri"/>
        </w:rPr>
        <w:t>;</w:t>
      </w:r>
      <w:r w:rsidRPr="009A0DA6">
        <w:rPr>
          <w:rFonts w:ascii="Cambria" w:eastAsia="Calibri" w:hAnsi="Cambria" w:cs="Calibri"/>
          <w:spacing w:val="-8"/>
        </w:rPr>
        <w:t xml:space="preserve"> </w:t>
      </w:r>
      <w:r w:rsidRPr="009A0DA6">
        <w:rPr>
          <w:rFonts w:ascii="Cambria" w:eastAsia="Calibri" w:hAnsi="Cambria" w:cs="Calibri"/>
        </w:rPr>
        <w:t>2</w:t>
      </w:r>
      <w:r w:rsidRPr="009A0DA6">
        <w:rPr>
          <w:rFonts w:ascii="Cambria" w:eastAsia="Calibri" w:hAnsi="Cambria" w:cs="Calibri"/>
          <w:spacing w:val="-8"/>
        </w:rPr>
        <w:t xml:space="preserve"> </w:t>
      </w:r>
      <w:r w:rsidRPr="009A0DA6">
        <w:rPr>
          <w:rFonts w:ascii="Cambria" w:eastAsia="Calibri" w:hAnsi="Cambria" w:cs="Calibri"/>
        </w:rPr>
        <w:t>C</w:t>
      </w:r>
      <w:r w:rsidRPr="009A0DA6">
        <w:rPr>
          <w:rFonts w:ascii="Cambria" w:eastAsia="Calibri" w:hAnsi="Cambria" w:cs="Calibri"/>
          <w:spacing w:val="1"/>
        </w:rPr>
        <w:t>o</w:t>
      </w:r>
      <w:r w:rsidRPr="009A0DA6">
        <w:rPr>
          <w:rFonts w:ascii="Cambria" w:eastAsia="Calibri" w:hAnsi="Cambria" w:cs="Calibri"/>
        </w:rPr>
        <w:t xml:space="preserve">r </w:t>
      </w:r>
      <w:r w:rsidRPr="009A0DA6">
        <w:rPr>
          <w:rFonts w:ascii="Cambria" w:eastAsia="Calibri" w:hAnsi="Cambria" w:cs="Calibri"/>
          <w:spacing w:val="1"/>
        </w:rPr>
        <w:t>1</w:t>
      </w:r>
      <w:r w:rsidRPr="009A0DA6">
        <w:rPr>
          <w:rFonts w:ascii="Cambria" w:eastAsia="Calibri" w:hAnsi="Cambria" w:cs="Calibri"/>
          <w:spacing w:val="-1"/>
        </w:rPr>
        <w:t>:</w:t>
      </w:r>
      <w:r w:rsidRPr="009A0DA6">
        <w:rPr>
          <w:rFonts w:ascii="Cambria" w:eastAsia="Calibri" w:hAnsi="Cambria" w:cs="Calibri"/>
          <w:spacing w:val="1"/>
        </w:rPr>
        <w:t>2</w:t>
      </w:r>
      <w:r w:rsidRPr="009A0DA6">
        <w:rPr>
          <w:rFonts w:ascii="Cambria" w:eastAsia="Calibri" w:hAnsi="Cambria" w:cs="Calibri"/>
          <w:spacing w:val="-2"/>
        </w:rPr>
        <w:t>4</w:t>
      </w:r>
      <w:r w:rsidRPr="009A0DA6">
        <w:rPr>
          <w:rFonts w:ascii="Cambria" w:eastAsia="Calibri" w:hAnsi="Cambria" w:cs="Calibri"/>
        </w:rPr>
        <w:t>;</w:t>
      </w:r>
      <w:r w:rsidRPr="009A0DA6">
        <w:rPr>
          <w:rFonts w:ascii="Cambria" w:eastAsia="Calibri" w:hAnsi="Cambria" w:cs="Calibri"/>
          <w:spacing w:val="4"/>
        </w:rPr>
        <w:t xml:space="preserve"> </w:t>
      </w:r>
      <w:r w:rsidRPr="009A0DA6">
        <w:rPr>
          <w:rFonts w:ascii="Cambria" w:eastAsia="Calibri" w:hAnsi="Cambria" w:cs="Calibri"/>
          <w:spacing w:val="-2"/>
        </w:rPr>
        <w:t>4</w:t>
      </w:r>
      <w:r w:rsidRPr="009A0DA6">
        <w:rPr>
          <w:rFonts w:ascii="Cambria" w:eastAsia="Calibri" w:hAnsi="Cambria" w:cs="Calibri"/>
          <w:spacing w:val="1"/>
        </w:rPr>
        <w:t>:</w:t>
      </w:r>
      <w:r w:rsidRPr="009A0DA6">
        <w:rPr>
          <w:rFonts w:ascii="Cambria" w:eastAsia="Calibri" w:hAnsi="Cambria" w:cs="Calibri"/>
          <w:spacing w:val="-2"/>
        </w:rPr>
        <w:t>5</w:t>
      </w:r>
      <w:r w:rsidRPr="009A0DA6">
        <w:rPr>
          <w:rFonts w:ascii="Cambria" w:eastAsia="Calibri" w:hAnsi="Cambria" w:cs="Calibri"/>
        </w:rPr>
        <w:t>;</w:t>
      </w:r>
      <w:r w:rsidRPr="009A0DA6">
        <w:rPr>
          <w:rFonts w:ascii="Cambria" w:eastAsia="Calibri" w:hAnsi="Cambria" w:cs="Calibri"/>
          <w:spacing w:val="2"/>
        </w:rPr>
        <w:t xml:space="preserve"> </w:t>
      </w:r>
      <w:r w:rsidRPr="009A0DA6">
        <w:rPr>
          <w:rFonts w:ascii="Cambria" w:eastAsia="Calibri" w:hAnsi="Cambria" w:cs="Calibri"/>
        </w:rPr>
        <w:t>2</w:t>
      </w:r>
      <w:r w:rsidRPr="009A0DA6">
        <w:rPr>
          <w:rFonts w:ascii="Cambria" w:eastAsia="Calibri" w:hAnsi="Cambria" w:cs="Calibri"/>
          <w:spacing w:val="4"/>
        </w:rPr>
        <w:t xml:space="preserve"> </w:t>
      </w:r>
      <w:r w:rsidRPr="009A0DA6">
        <w:rPr>
          <w:rFonts w:ascii="Cambria" w:eastAsia="Calibri" w:hAnsi="Cambria" w:cs="Calibri"/>
        </w:rPr>
        <w:t>T</w:t>
      </w:r>
      <w:r w:rsidRPr="009A0DA6">
        <w:rPr>
          <w:rFonts w:ascii="Cambria" w:eastAsia="Calibri" w:hAnsi="Cambria" w:cs="Calibri"/>
          <w:spacing w:val="-2"/>
        </w:rPr>
        <w:t>i</w:t>
      </w:r>
      <w:r w:rsidRPr="009A0DA6">
        <w:rPr>
          <w:rFonts w:ascii="Cambria" w:eastAsia="Calibri" w:hAnsi="Cambria" w:cs="Calibri"/>
        </w:rPr>
        <w:t>m</w:t>
      </w:r>
      <w:r w:rsidRPr="009A0DA6">
        <w:rPr>
          <w:rFonts w:ascii="Cambria" w:eastAsia="Calibri" w:hAnsi="Cambria" w:cs="Calibri"/>
          <w:spacing w:val="2"/>
        </w:rPr>
        <w:t xml:space="preserve"> </w:t>
      </w:r>
      <w:r w:rsidRPr="009A0DA6">
        <w:rPr>
          <w:rFonts w:ascii="Cambria" w:eastAsia="Calibri" w:hAnsi="Cambria" w:cs="Calibri"/>
          <w:spacing w:val="1"/>
        </w:rPr>
        <w:t>1</w:t>
      </w:r>
      <w:r w:rsidRPr="009A0DA6">
        <w:rPr>
          <w:rFonts w:ascii="Cambria" w:eastAsia="Calibri" w:hAnsi="Cambria" w:cs="Calibri"/>
          <w:spacing w:val="-1"/>
        </w:rPr>
        <w:t>:</w:t>
      </w:r>
      <w:r w:rsidRPr="009A0DA6">
        <w:rPr>
          <w:rFonts w:ascii="Cambria" w:eastAsia="Calibri" w:hAnsi="Cambria" w:cs="Calibri"/>
          <w:spacing w:val="1"/>
        </w:rPr>
        <w:t>8</w:t>
      </w:r>
      <w:r w:rsidRPr="009A0DA6">
        <w:rPr>
          <w:rFonts w:ascii="Cambria" w:eastAsia="Calibri" w:hAnsi="Cambria" w:cs="Calibri"/>
        </w:rPr>
        <w:t>;</w:t>
      </w:r>
      <w:r w:rsidRPr="009A0DA6">
        <w:rPr>
          <w:rFonts w:ascii="Cambria" w:eastAsia="Calibri" w:hAnsi="Cambria" w:cs="Calibri"/>
          <w:spacing w:val="2"/>
        </w:rPr>
        <w:t xml:space="preserve"> </w:t>
      </w:r>
      <w:r w:rsidRPr="009A0DA6">
        <w:rPr>
          <w:rFonts w:ascii="Cambria" w:eastAsia="Calibri" w:hAnsi="Cambria" w:cs="Calibri"/>
          <w:spacing w:val="-2"/>
        </w:rPr>
        <w:t>2</w:t>
      </w:r>
      <w:r w:rsidRPr="009A0DA6">
        <w:rPr>
          <w:rFonts w:ascii="Cambria" w:eastAsia="Calibri" w:hAnsi="Cambria" w:cs="Calibri"/>
          <w:spacing w:val="1"/>
        </w:rPr>
        <w:t>:</w:t>
      </w:r>
      <w:r w:rsidRPr="009A0DA6">
        <w:rPr>
          <w:rFonts w:ascii="Cambria" w:eastAsia="Calibri" w:hAnsi="Cambria" w:cs="Calibri"/>
          <w:spacing w:val="-2"/>
        </w:rPr>
        <w:t>3</w:t>
      </w:r>
      <w:r w:rsidRPr="009A0DA6">
        <w:rPr>
          <w:rFonts w:ascii="Cambria" w:eastAsia="Calibri" w:hAnsi="Cambria" w:cs="Calibri"/>
        </w:rPr>
        <w:t>;</w:t>
      </w:r>
      <w:r w:rsidRPr="009A0DA6">
        <w:rPr>
          <w:rFonts w:ascii="Cambria" w:eastAsia="Calibri" w:hAnsi="Cambria" w:cs="Calibri"/>
          <w:spacing w:val="6"/>
        </w:rPr>
        <w:t xml:space="preserve"> </w:t>
      </w:r>
      <w:r w:rsidRPr="009A0DA6">
        <w:rPr>
          <w:rFonts w:ascii="Cambria" w:eastAsia="Calibri" w:hAnsi="Cambria" w:cs="Calibri"/>
          <w:spacing w:val="-1"/>
        </w:rPr>
        <w:t>Ph</w:t>
      </w:r>
      <w:r w:rsidRPr="009A0DA6">
        <w:rPr>
          <w:rFonts w:ascii="Cambria" w:eastAsia="Calibri" w:hAnsi="Cambria" w:cs="Calibri"/>
        </w:rPr>
        <w:t>il</w:t>
      </w:r>
      <w:r w:rsidRPr="009A0DA6">
        <w:rPr>
          <w:rFonts w:ascii="Cambria" w:eastAsia="Calibri" w:hAnsi="Cambria" w:cs="Calibri"/>
          <w:spacing w:val="3"/>
        </w:rPr>
        <w:t xml:space="preserve"> </w:t>
      </w:r>
      <w:r w:rsidRPr="009A0DA6">
        <w:rPr>
          <w:rFonts w:ascii="Cambria" w:eastAsia="Calibri" w:hAnsi="Cambria" w:cs="Calibri"/>
          <w:spacing w:val="1"/>
        </w:rPr>
        <w:t>2</w:t>
      </w:r>
      <w:r w:rsidRPr="009A0DA6">
        <w:rPr>
          <w:rFonts w:ascii="Cambria" w:eastAsia="Calibri" w:hAnsi="Cambria" w:cs="Calibri"/>
          <w:spacing w:val="-1"/>
        </w:rPr>
        <w:t>:</w:t>
      </w:r>
      <w:r w:rsidRPr="009A0DA6">
        <w:rPr>
          <w:rFonts w:ascii="Cambria" w:eastAsia="Calibri" w:hAnsi="Cambria" w:cs="Calibri"/>
          <w:spacing w:val="1"/>
        </w:rPr>
        <w:t>3</w:t>
      </w:r>
      <w:r w:rsidRPr="009A0DA6">
        <w:rPr>
          <w:rFonts w:ascii="Cambria" w:eastAsia="Calibri" w:hAnsi="Cambria" w:cs="Calibri"/>
        </w:rPr>
        <w:t>;</w:t>
      </w:r>
      <w:r w:rsidRPr="009A0DA6">
        <w:rPr>
          <w:rFonts w:ascii="Cambria" w:eastAsia="Calibri" w:hAnsi="Cambria" w:cs="Calibri"/>
          <w:spacing w:val="2"/>
        </w:rPr>
        <w:t xml:space="preserve"> </w:t>
      </w:r>
      <w:r w:rsidRPr="009A0DA6">
        <w:rPr>
          <w:rFonts w:ascii="Cambria" w:eastAsia="Calibri" w:hAnsi="Cambria" w:cs="Calibri"/>
        </w:rPr>
        <w:t>cf.</w:t>
      </w:r>
      <w:r w:rsidRPr="009A0DA6">
        <w:rPr>
          <w:rFonts w:ascii="Cambria" w:eastAsia="Calibri" w:hAnsi="Cambria" w:cs="Calibri"/>
          <w:spacing w:val="4"/>
        </w:rPr>
        <w:t xml:space="preserve"> </w:t>
      </w:r>
      <w:r w:rsidRPr="009A0DA6">
        <w:rPr>
          <w:rFonts w:ascii="Cambria" w:eastAsia="Calibri" w:hAnsi="Cambria" w:cs="Calibri"/>
        </w:rPr>
        <w:t xml:space="preserve">Eph </w:t>
      </w:r>
      <w:r w:rsidRPr="009A0DA6">
        <w:rPr>
          <w:rFonts w:ascii="Cambria" w:eastAsia="Calibri" w:hAnsi="Cambria" w:cs="Calibri"/>
          <w:spacing w:val="1"/>
        </w:rPr>
        <w:t>5</w:t>
      </w:r>
      <w:r w:rsidRPr="009A0DA6">
        <w:rPr>
          <w:rFonts w:ascii="Cambria" w:eastAsia="Calibri" w:hAnsi="Cambria" w:cs="Calibri"/>
          <w:spacing w:val="-1"/>
        </w:rPr>
        <w:t>:</w:t>
      </w:r>
      <w:r w:rsidRPr="009A0DA6">
        <w:rPr>
          <w:rFonts w:ascii="Cambria" w:eastAsia="Calibri" w:hAnsi="Cambria" w:cs="Calibri"/>
          <w:spacing w:val="1"/>
        </w:rPr>
        <w:t>2</w:t>
      </w:r>
      <w:r w:rsidRPr="009A0DA6">
        <w:rPr>
          <w:rFonts w:ascii="Cambria" w:eastAsia="Calibri" w:hAnsi="Cambria" w:cs="Calibri"/>
          <w:spacing w:val="2"/>
        </w:rPr>
        <w:t>2</w:t>
      </w:r>
      <w:r w:rsidR="00417DA5" w:rsidRPr="009A0DA6">
        <w:rPr>
          <w:rFonts w:ascii="Cambria" w:eastAsia="Calibri" w:hAnsi="Cambria" w:cs="Calibri"/>
        </w:rPr>
        <w:sym w:font="Symbol" w:char="F02D"/>
      </w:r>
      <w:r w:rsidRPr="009A0DA6">
        <w:rPr>
          <w:rFonts w:ascii="Cambria" w:eastAsia="Calibri" w:hAnsi="Cambria" w:cs="Calibri"/>
          <w:spacing w:val="1"/>
        </w:rPr>
        <w:t>33</w:t>
      </w:r>
      <w:r w:rsidRPr="009A0DA6">
        <w:rPr>
          <w:rFonts w:ascii="Cambria" w:eastAsia="Calibri" w:hAnsi="Cambria" w:cs="Calibri"/>
        </w:rPr>
        <w:t>a).</w:t>
      </w:r>
      <w:r w:rsidRPr="009A0DA6">
        <w:rPr>
          <w:rFonts w:ascii="Cambria" w:eastAsia="Calibri" w:hAnsi="Cambria" w:cs="Calibri"/>
          <w:spacing w:val="1"/>
        </w:rPr>
        <w:t xml:space="preserve"> </w:t>
      </w:r>
      <w:r w:rsidRPr="009A0DA6">
        <w:rPr>
          <w:rFonts w:ascii="Cambria" w:eastAsia="Calibri" w:hAnsi="Cambria" w:cs="Calibri"/>
          <w:spacing w:val="-2"/>
        </w:rPr>
        <w:t>T</w:t>
      </w:r>
      <w:r w:rsidRPr="009A0DA6">
        <w:rPr>
          <w:rFonts w:ascii="Cambria" w:eastAsia="Calibri" w:hAnsi="Cambria" w:cs="Calibri"/>
          <w:spacing w:val="-1"/>
        </w:rPr>
        <w:t>h</w:t>
      </w:r>
      <w:r w:rsidRPr="009A0DA6">
        <w:rPr>
          <w:rFonts w:ascii="Cambria" w:eastAsia="Calibri" w:hAnsi="Cambria" w:cs="Calibri"/>
        </w:rPr>
        <w:t>is</w:t>
      </w:r>
      <w:r w:rsidRPr="009A0DA6">
        <w:rPr>
          <w:rFonts w:ascii="Cambria" w:eastAsia="Calibri" w:hAnsi="Cambria" w:cs="Calibri"/>
          <w:spacing w:val="3"/>
        </w:rPr>
        <w:t xml:space="preserve"> </w:t>
      </w:r>
      <w:r w:rsidRPr="009A0DA6">
        <w:rPr>
          <w:rFonts w:ascii="Cambria" w:eastAsia="Calibri" w:hAnsi="Cambria" w:cs="Calibri"/>
        </w:rPr>
        <w:t>call</w:t>
      </w:r>
      <w:r w:rsidRPr="009A0DA6">
        <w:rPr>
          <w:rFonts w:ascii="Cambria" w:eastAsia="Calibri" w:hAnsi="Cambria" w:cs="Calibri"/>
          <w:spacing w:val="4"/>
        </w:rPr>
        <w:t xml:space="preserve"> </w:t>
      </w:r>
      <w:r w:rsidRPr="009A0DA6">
        <w:rPr>
          <w:rFonts w:ascii="Cambria" w:eastAsia="Calibri" w:hAnsi="Cambria" w:cs="Calibri"/>
          <w:spacing w:val="-2"/>
        </w:rPr>
        <w:t>t</w:t>
      </w:r>
      <w:r w:rsidRPr="009A0DA6">
        <w:rPr>
          <w:rFonts w:ascii="Cambria" w:eastAsia="Calibri" w:hAnsi="Cambria" w:cs="Calibri"/>
        </w:rPr>
        <w:t>o</w:t>
      </w:r>
      <w:r w:rsidRPr="009A0DA6">
        <w:rPr>
          <w:rFonts w:ascii="Cambria" w:eastAsia="Calibri" w:hAnsi="Cambria" w:cs="Calibri"/>
          <w:spacing w:val="5"/>
        </w:rPr>
        <w:t xml:space="preserve"> </w:t>
      </w:r>
      <w:r w:rsidRPr="009A0DA6">
        <w:rPr>
          <w:rFonts w:ascii="Cambria" w:eastAsia="Calibri" w:hAnsi="Cambria" w:cs="Calibri"/>
        </w:rPr>
        <w:t>sp</w:t>
      </w:r>
      <w:r w:rsidRPr="009A0DA6">
        <w:rPr>
          <w:rFonts w:ascii="Cambria" w:eastAsia="Calibri" w:hAnsi="Cambria" w:cs="Calibri"/>
          <w:spacing w:val="-1"/>
        </w:rPr>
        <w:t>i</w:t>
      </w:r>
      <w:r w:rsidRPr="009A0DA6">
        <w:rPr>
          <w:rFonts w:ascii="Cambria" w:eastAsia="Calibri" w:hAnsi="Cambria" w:cs="Calibri"/>
        </w:rPr>
        <w:t>rit</w:t>
      </w:r>
      <w:r w:rsidRPr="009A0DA6">
        <w:rPr>
          <w:rFonts w:ascii="Cambria" w:eastAsia="Calibri" w:hAnsi="Cambria" w:cs="Calibri"/>
          <w:spacing w:val="-1"/>
        </w:rPr>
        <w:t>u</w:t>
      </w:r>
      <w:r w:rsidRPr="009A0DA6">
        <w:rPr>
          <w:rFonts w:ascii="Cambria" w:eastAsia="Calibri" w:hAnsi="Cambria" w:cs="Calibri"/>
        </w:rPr>
        <w:t>al</w:t>
      </w:r>
      <w:r w:rsidRPr="009A0DA6">
        <w:rPr>
          <w:rFonts w:ascii="Cambria" w:eastAsia="Calibri" w:hAnsi="Cambria" w:cs="Calibri"/>
          <w:spacing w:val="1"/>
        </w:rPr>
        <w:t xml:space="preserve"> </w:t>
      </w:r>
      <w:r w:rsidRPr="009A0DA6">
        <w:rPr>
          <w:rFonts w:ascii="Cambria" w:eastAsia="Calibri" w:hAnsi="Cambria" w:cs="Calibri"/>
        </w:rPr>
        <w:t>res</w:t>
      </w:r>
      <w:r w:rsidRPr="009A0DA6">
        <w:rPr>
          <w:rFonts w:ascii="Cambria" w:eastAsia="Calibri" w:hAnsi="Cambria" w:cs="Calibri"/>
          <w:spacing w:val="-3"/>
        </w:rPr>
        <w:t>p</w:t>
      </w:r>
      <w:r w:rsidRPr="009A0DA6">
        <w:rPr>
          <w:rFonts w:ascii="Cambria" w:eastAsia="Calibri" w:hAnsi="Cambria" w:cs="Calibri"/>
          <w:spacing w:val="1"/>
        </w:rPr>
        <w:t>o</w:t>
      </w:r>
      <w:r w:rsidRPr="009A0DA6">
        <w:rPr>
          <w:rFonts w:ascii="Cambria" w:eastAsia="Calibri" w:hAnsi="Cambria" w:cs="Calibri"/>
          <w:spacing w:val="-1"/>
        </w:rPr>
        <w:t>n</w:t>
      </w:r>
      <w:r w:rsidRPr="009A0DA6">
        <w:rPr>
          <w:rFonts w:ascii="Cambria" w:eastAsia="Calibri" w:hAnsi="Cambria" w:cs="Calibri"/>
        </w:rPr>
        <w:t>si</w:t>
      </w:r>
      <w:r w:rsidRPr="009A0DA6">
        <w:rPr>
          <w:rFonts w:ascii="Cambria" w:eastAsia="Calibri" w:hAnsi="Cambria" w:cs="Calibri"/>
          <w:spacing w:val="-1"/>
        </w:rPr>
        <w:t>b</w:t>
      </w:r>
      <w:r w:rsidRPr="009A0DA6">
        <w:rPr>
          <w:rFonts w:ascii="Cambria" w:eastAsia="Calibri" w:hAnsi="Cambria" w:cs="Calibri"/>
        </w:rPr>
        <w:t>ility</w:t>
      </w:r>
      <w:r w:rsidRPr="009A0DA6">
        <w:rPr>
          <w:rFonts w:ascii="Cambria" w:eastAsia="Calibri" w:hAnsi="Cambria" w:cs="Calibri"/>
          <w:spacing w:val="5"/>
        </w:rPr>
        <w:t xml:space="preserve"> </w:t>
      </w:r>
      <w:r w:rsidRPr="009A0DA6">
        <w:rPr>
          <w:rFonts w:ascii="Cambria" w:eastAsia="Calibri" w:hAnsi="Cambria" w:cs="Calibri"/>
        </w:rPr>
        <w:t>a</w:t>
      </w:r>
      <w:r w:rsidRPr="009A0DA6">
        <w:rPr>
          <w:rFonts w:ascii="Cambria" w:eastAsia="Calibri" w:hAnsi="Cambria" w:cs="Calibri"/>
          <w:spacing w:val="-1"/>
        </w:rPr>
        <w:t>n</w:t>
      </w:r>
      <w:r w:rsidRPr="009A0DA6">
        <w:rPr>
          <w:rFonts w:ascii="Cambria" w:eastAsia="Calibri" w:hAnsi="Cambria" w:cs="Calibri"/>
        </w:rPr>
        <w:t>d</w:t>
      </w:r>
      <w:r w:rsidRPr="009A0DA6">
        <w:rPr>
          <w:rFonts w:ascii="Cambria" w:eastAsia="Calibri" w:hAnsi="Cambria" w:cs="Calibri"/>
          <w:spacing w:val="5"/>
        </w:rPr>
        <w:t xml:space="preserve"> </w:t>
      </w:r>
      <w:r w:rsidRPr="009A0DA6">
        <w:rPr>
          <w:rFonts w:ascii="Cambria" w:eastAsia="Calibri" w:hAnsi="Cambria" w:cs="Calibri"/>
        </w:rPr>
        <w:t>C</w:t>
      </w:r>
      <w:r w:rsidRPr="009A0DA6">
        <w:rPr>
          <w:rFonts w:ascii="Cambria" w:eastAsia="Calibri" w:hAnsi="Cambria" w:cs="Calibri"/>
          <w:spacing w:val="-1"/>
        </w:rPr>
        <w:t>h</w:t>
      </w:r>
      <w:r w:rsidRPr="009A0DA6">
        <w:rPr>
          <w:rFonts w:ascii="Cambria" w:eastAsia="Calibri" w:hAnsi="Cambria" w:cs="Calibri"/>
        </w:rPr>
        <w:t>rist-li</w:t>
      </w:r>
      <w:r w:rsidRPr="009A0DA6">
        <w:rPr>
          <w:rFonts w:ascii="Cambria" w:eastAsia="Calibri" w:hAnsi="Cambria" w:cs="Calibri"/>
          <w:spacing w:val="-2"/>
        </w:rPr>
        <w:t>k</w:t>
      </w:r>
      <w:r w:rsidRPr="009A0DA6">
        <w:rPr>
          <w:rFonts w:ascii="Cambria" w:eastAsia="Calibri" w:hAnsi="Cambria" w:cs="Calibri"/>
        </w:rPr>
        <w:t>e ser</w:t>
      </w:r>
      <w:r w:rsidRPr="009A0DA6">
        <w:rPr>
          <w:rFonts w:ascii="Cambria" w:eastAsia="Calibri" w:hAnsi="Cambria" w:cs="Calibri"/>
          <w:spacing w:val="1"/>
        </w:rPr>
        <w:t>v</w:t>
      </w:r>
      <w:r w:rsidRPr="009A0DA6">
        <w:rPr>
          <w:rFonts w:ascii="Cambria" w:eastAsia="Calibri" w:hAnsi="Cambria" w:cs="Calibri"/>
        </w:rPr>
        <w:t>i</w:t>
      </w:r>
      <w:r w:rsidRPr="009A0DA6">
        <w:rPr>
          <w:rFonts w:ascii="Cambria" w:eastAsia="Calibri" w:hAnsi="Cambria" w:cs="Calibri"/>
          <w:spacing w:val="-3"/>
        </w:rPr>
        <w:t>c</w:t>
      </w:r>
      <w:r w:rsidRPr="009A0DA6">
        <w:rPr>
          <w:rFonts w:ascii="Cambria" w:eastAsia="Calibri" w:hAnsi="Cambria" w:cs="Calibri"/>
        </w:rPr>
        <w:t>e</w:t>
      </w:r>
      <w:r w:rsidRPr="009A0DA6">
        <w:rPr>
          <w:rFonts w:ascii="Cambria" w:eastAsia="Calibri" w:hAnsi="Cambria" w:cs="Calibri"/>
          <w:spacing w:val="-8"/>
        </w:rPr>
        <w:t xml:space="preserve"> </w:t>
      </w:r>
      <w:r w:rsidRPr="009A0DA6">
        <w:rPr>
          <w:rFonts w:ascii="Cambria" w:eastAsia="Calibri" w:hAnsi="Cambria" w:cs="Calibri"/>
        </w:rPr>
        <w:t>wit</w:t>
      </w:r>
      <w:r w:rsidRPr="009A0DA6">
        <w:rPr>
          <w:rFonts w:ascii="Cambria" w:eastAsia="Calibri" w:hAnsi="Cambria" w:cs="Calibri"/>
          <w:spacing w:val="-3"/>
        </w:rPr>
        <w:t>h</w:t>
      </w:r>
      <w:r w:rsidRPr="009A0DA6">
        <w:rPr>
          <w:rFonts w:ascii="Cambria" w:eastAsia="Calibri" w:hAnsi="Cambria" w:cs="Calibri"/>
          <w:spacing w:val="1"/>
        </w:rPr>
        <w:t>o</w:t>
      </w:r>
      <w:r w:rsidRPr="009A0DA6">
        <w:rPr>
          <w:rFonts w:ascii="Cambria" w:eastAsia="Calibri" w:hAnsi="Cambria" w:cs="Calibri"/>
          <w:spacing w:val="-1"/>
        </w:rPr>
        <w:t>u</w:t>
      </w:r>
      <w:r w:rsidRPr="009A0DA6">
        <w:rPr>
          <w:rFonts w:ascii="Cambria" w:eastAsia="Calibri" w:hAnsi="Cambria" w:cs="Calibri"/>
        </w:rPr>
        <w:t>t</w:t>
      </w:r>
      <w:r w:rsidRPr="009A0DA6">
        <w:rPr>
          <w:rFonts w:ascii="Cambria" w:eastAsia="Calibri" w:hAnsi="Cambria" w:cs="Calibri"/>
          <w:spacing w:val="-8"/>
        </w:rPr>
        <w:t xml:space="preserve"> </w:t>
      </w:r>
      <w:r w:rsidRPr="009A0DA6">
        <w:rPr>
          <w:rFonts w:ascii="Cambria" w:eastAsia="Calibri" w:hAnsi="Cambria" w:cs="Calibri"/>
        </w:rPr>
        <w:t>reg</w:t>
      </w:r>
      <w:r w:rsidRPr="009A0DA6">
        <w:rPr>
          <w:rFonts w:ascii="Cambria" w:eastAsia="Calibri" w:hAnsi="Cambria" w:cs="Calibri"/>
          <w:spacing w:val="-1"/>
        </w:rPr>
        <w:t>a</w:t>
      </w:r>
      <w:r w:rsidRPr="009A0DA6">
        <w:rPr>
          <w:rFonts w:ascii="Cambria" w:eastAsia="Calibri" w:hAnsi="Cambria" w:cs="Calibri"/>
        </w:rPr>
        <w:t>rd</w:t>
      </w:r>
      <w:r w:rsidRPr="009A0DA6">
        <w:rPr>
          <w:rFonts w:ascii="Cambria" w:eastAsia="Calibri" w:hAnsi="Cambria" w:cs="Calibri"/>
          <w:spacing w:val="-10"/>
        </w:rPr>
        <w:t xml:space="preserve"> </w:t>
      </w:r>
      <w:r w:rsidRPr="009A0DA6">
        <w:rPr>
          <w:rFonts w:ascii="Cambria" w:eastAsia="Calibri" w:hAnsi="Cambria" w:cs="Calibri"/>
        </w:rPr>
        <w:t>f</w:t>
      </w:r>
      <w:r w:rsidRPr="009A0DA6">
        <w:rPr>
          <w:rFonts w:ascii="Cambria" w:eastAsia="Calibri" w:hAnsi="Cambria" w:cs="Calibri"/>
          <w:spacing w:val="1"/>
        </w:rPr>
        <w:t>o</w:t>
      </w:r>
      <w:r w:rsidRPr="009A0DA6">
        <w:rPr>
          <w:rFonts w:ascii="Cambria" w:eastAsia="Calibri" w:hAnsi="Cambria" w:cs="Calibri"/>
        </w:rPr>
        <w:t>r</w:t>
      </w:r>
      <w:r w:rsidRPr="009A0DA6">
        <w:rPr>
          <w:rFonts w:ascii="Cambria" w:eastAsia="Calibri" w:hAnsi="Cambria" w:cs="Calibri"/>
          <w:spacing w:val="-9"/>
        </w:rPr>
        <w:t xml:space="preserve"> </w:t>
      </w:r>
      <w:r w:rsidRPr="009A0DA6">
        <w:rPr>
          <w:rFonts w:ascii="Cambria" w:eastAsia="Calibri" w:hAnsi="Cambria" w:cs="Calibri"/>
          <w:spacing w:val="-3"/>
        </w:rPr>
        <w:t>p</w:t>
      </w:r>
      <w:r w:rsidRPr="009A0DA6">
        <w:rPr>
          <w:rFonts w:ascii="Cambria" w:eastAsia="Calibri" w:hAnsi="Cambria" w:cs="Calibri"/>
        </w:rPr>
        <w:t>ers</w:t>
      </w:r>
      <w:r w:rsidRPr="009A0DA6">
        <w:rPr>
          <w:rFonts w:ascii="Cambria" w:eastAsia="Calibri" w:hAnsi="Cambria" w:cs="Calibri"/>
          <w:spacing w:val="1"/>
        </w:rPr>
        <w:t>o</w:t>
      </w:r>
      <w:r w:rsidRPr="009A0DA6">
        <w:rPr>
          <w:rFonts w:ascii="Cambria" w:eastAsia="Calibri" w:hAnsi="Cambria" w:cs="Calibri"/>
          <w:spacing w:val="-1"/>
        </w:rPr>
        <w:t>n</w:t>
      </w:r>
      <w:r w:rsidRPr="009A0DA6">
        <w:rPr>
          <w:rFonts w:ascii="Cambria" w:eastAsia="Calibri" w:hAnsi="Cambria" w:cs="Calibri"/>
        </w:rPr>
        <w:t>al</w:t>
      </w:r>
      <w:r w:rsidRPr="009A0DA6">
        <w:rPr>
          <w:rFonts w:ascii="Cambria" w:eastAsia="Calibri" w:hAnsi="Cambria" w:cs="Calibri"/>
          <w:spacing w:val="-9"/>
        </w:rPr>
        <w:t xml:space="preserve"> </w:t>
      </w:r>
      <w:r w:rsidRPr="009A0DA6">
        <w:rPr>
          <w:rFonts w:ascii="Cambria" w:eastAsia="Calibri" w:hAnsi="Cambria" w:cs="Calibri"/>
        </w:rPr>
        <w:t>st</w:t>
      </w:r>
      <w:r w:rsidRPr="009A0DA6">
        <w:rPr>
          <w:rFonts w:ascii="Cambria" w:eastAsia="Calibri" w:hAnsi="Cambria" w:cs="Calibri"/>
          <w:spacing w:val="-2"/>
        </w:rPr>
        <w:t>a</w:t>
      </w:r>
      <w:r w:rsidRPr="009A0DA6">
        <w:rPr>
          <w:rFonts w:ascii="Cambria" w:eastAsia="Calibri" w:hAnsi="Cambria" w:cs="Calibri"/>
        </w:rPr>
        <w:t>tus</w:t>
      </w:r>
      <w:r w:rsidRPr="009A0DA6">
        <w:rPr>
          <w:rFonts w:ascii="Cambria" w:eastAsia="Calibri" w:hAnsi="Cambria" w:cs="Calibri"/>
          <w:spacing w:val="-6"/>
        </w:rPr>
        <w:t xml:space="preserve"> </w:t>
      </w:r>
      <w:r w:rsidRPr="009A0DA6">
        <w:rPr>
          <w:rFonts w:ascii="Cambria" w:eastAsia="Calibri" w:hAnsi="Cambria" w:cs="Calibri"/>
        </w:rPr>
        <w:t>is</w:t>
      </w:r>
      <w:r w:rsidRPr="009A0DA6">
        <w:rPr>
          <w:rFonts w:ascii="Cambria" w:eastAsia="Calibri" w:hAnsi="Cambria" w:cs="Calibri"/>
          <w:spacing w:val="-9"/>
        </w:rPr>
        <w:t xml:space="preserve"> </w:t>
      </w:r>
      <w:r w:rsidRPr="009A0DA6">
        <w:rPr>
          <w:rFonts w:ascii="Cambria" w:eastAsia="Calibri" w:hAnsi="Cambria" w:cs="Calibri"/>
          <w:spacing w:val="-2"/>
        </w:rPr>
        <w:t>c</w:t>
      </w:r>
      <w:r w:rsidRPr="009A0DA6">
        <w:rPr>
          <w:rFonts w:ascii="Cambria" w:eastAsia="Calibri" w:hAnsi="Cambria" w:cs="Calibri"/>
          <w:spacing w:val="1"/>
        </w:rPr>
        <w:t>o</w:t>
      </w:r>
      <w:r w:rsidRPr="009A0DA6">
        <w:rPr>
          <w:rFonts w:ascii="Cambria" w:eastAsia="Calibri" w:hAnsi="Cambria" w:cs="Calibri"/>
          <w:spacing w:val="-1"/>
        </w:rPr>
        <w:t>un</w:t>
      </w:r>
      <w:r w:rsidRPr="009A0DA6">
        <w:rPr>
          <w:rFonts w:ascii="Cambria" w:eastAsia="Calibri" w:hAnsi="Cambria" w:cs="Calibri"/>
        </w:rPr>
        <w:t>t</w:t>
      </w:r>
      <w:r w:rsidRPr="009A0DA6">
        <w:rPr>
          <w:rFonts w:ascii="Cambria" w:eastAsia="Calibri" w:hAnsi="Cambria" w:cs="Calibri"/>
          <w:spacing w:val="1"/>
        </w:rPr>
        <w:t>e</w:t>
      </w:r>
      <w:r w:rsidRPr="009A0DA6">
        <w:rPr>
          <w:rFonts w:ascii="Cambria" w:eastAsia="Calibri" w:hAnsi="Cambria" w:cs="Calibri"/>
        </w:rPr>
        <w:t>r</w:t>
      </w:r>
      <w:r w:rsidRPr="009A0DA6">
        <w:rPr>
          <w:rFonts w:ascii="Cambria" w:eastAsia="Calibri" w:hAnsi="Cambria" w:cs="Calibri"/>
          <w:spacing w:val="-3"/>
        </w:rPr>
        <w:t>-</w:t>
      </w:r>
      <w:r w:rsidRPr="009A0DA6">
        <w:rPr>
          <w:rFonts w:ascii="Cambria" w:eastAsia="Calibri" w:hAnsi="Cambria" w:cs="Calibri"/>
        </w:rPr>
        <w:t>cu</w:t>
      </w:r>
      <w:r w:rsidRPr="009A0DA6">
        <w:rPr>
          <w:rFonts w:ascii="Cambria" w:eastAsia="Calibri" w:hAnsi="Cambria" w:cs="Calibri"/>
          <w:spacing w:val="-1"/>
        </w:rPr>
        <w:t>l</w:t>
      </w:r>
      <w:r w:rsidRPr="009A0DA6">
        <w:rPr>
          <w:rFonts w:ascii="Cambria" w:eastAsia="Calibri" w:hAnsi="Cambria" w:cs="Calibri"/>
        </w:rPr>
        <w:t>tur</w:t>
      </w:r>
      <w:r w:rsidRPr="009A0DA6">
        <w:rPr>
          <w:rFonts w:ascii="Cambria" w:eastAsia="Calibri" w:hAnsi="Cambria" w:cs="Calibri"/>
          <w:spacing w:val="-1"/>
        </w:rPr>
        <w:t>a</w:t>
      </w:r>
      <w:r w:rsidRPr="009A0DA6">
        <w:rPr>
          <w:rFonts w:ascii="Cambria" w:eastAsia="Calibri" w:hAnsi="Cambria" w:cs="Calibri"/>
        </w:rPr>
        <w:t>l</w:t>
      </w:r>
      <w:r w:rsidRPr="009A0DA6">
        <w:rPr>
          <w:rFonts w:ascii="Cambria" w:eastAsia="Calibri" w:hAnsi="Cambria" w:cs="Calibri"/>
          <w:spacing w:val="-7"/>
        </w:rPr>
        <w:t xml:space="preserve"> </w:t>
      </w:r>
      <w:r w:rsidRPr="009A0DA6">
        <w:rPr>
          <w:rFonts w:ascii="Cambria" w:eastAsia="Calibri" w:hAnsi="Cambria" w:cs="Calibri"/>
        </w:rPr>
        <w:t>in</w:t>
      </w:r>
      <w:r w:rsidRPr="009A0DA6">
        <w:rPr>
          <w:rFonts w:ascii="Cambria" w:eastAsia="Calibri" w:hAnsi="Cambria" w:cs="Calibri"/>
          <w:spacing w:val="-10"/>
        </w:rPr>
        <w:t xml:space="preserve"> </w:t>
      </w:r>
      <w:r w:rsidRPr="009A0DA6">
        <w:rPr>
          <w:rFonts w:ascii="Cambria" w:eastAsia="Calibri" w:hAnsi="Cambria" w:cs="Calibri"/>
        </w:rPr>
        <w:t>e</w:t>
      </w:r>
      <w:r w:rsidRPr="009A0DA6">
        <w:rPr>
          <w:rFonts w:ascii="Cambria" w:eastAsia="Calibri" w:hAnsi="Cambria" w:cs="Calibri"/>
          <w:spacing w:val="-1"/>
        </w:rPr>
        <w:t>v</w:t>
      </w:r>
      <w:r w:rsidRPr="009A0DA6">
        <w:rPr>
          <w:rFonts w:ascii="Cambria" w:eastAsia="Calibri" w:hAnsi="Cambria" w:cs="Calibri"/>
        </w:rPr>
        <w:t>ery</w:t>
      </w:r>
      <w:r w:rsidRPr="009A0DA6">
        <w:rPr>
          <w:rFonts w:ascii="Cambria" w:eastAsia="Calibri" w:hAnsi="Cambria" w:cs="Calibri"/>
          <w:spacing w:val="-8"/>
        </w:rPr>
        <w:t xml:space="preserve"> </w:t>
      </w:r>
      <w:r w:rsidRPr="009A0DA6">
        <w:rPr>
          <w:rFonts w:ascii="Cambria" w:eastAsia="Calibri" w:hAnsi="Cambria" w:cs="Calibri"/>
        </w:rPr>
        <w:t>a</w:t>
      </w:r>
      <w:r w:rsidRPr="009A0DA6">
        <w:rPr>
          <w:rFonts w:ascii="Cambria" w:eastAsia="Calibri" w:hAnsi="Cambria" w:cs="Calibri"/>
          <w:spacing w:val="-1"/>
        </w:rPr>
        <w:t>g</w:t>
      </w:r>
      <w:r w:rsidRPr="009A0DA6">
        <w:rPr>
          <w:rFonts w:ascii="Cambria" w:eastAsia="Calibri" w:hAnsi="Cambria" w:cs="Calibri"/>
          <w:spacing w:val="1"/>
        </w:rPr>
        <w:t>e</w:t>
      </w:r>
      <w:r w:rsidRPr="009A0DA6">
        <w:rPr>
          <w:rFonts w:ascii="Cambria" w:eastAsia="Calibri" w:hAnsi="Cambria" w:cs="Calibri"/>
        </w:rPr>
        <w:t>.</w:t>
      </w:r>
      <w:r w:rsidRPr="009A0DA6">
        <w:rPr>
          <w:rFonts w:ascii="Cambria" w:eastAsia="Calibri" w:hAnsi="Cambria" w:cs="Calibri"/>
          <w:spacing w:val="-9"/>
        </w:rPr>
        <w:t xml:space="preserve"> </w:t>
      </w:r>
      <w:r w:rsidRPr="009A0DA6">
        <w:rPr>
          <w:rFonts w:ascii="Cambria" w:eastAsia="Calibri" w:hAnsi="Cambria" w:cs="Calibri"/>
        </w:rPr>
        <w:t>If</w:t>
      </w:r>
      <w:r w:rsidRPr="009A0DA6">
        <w:rPr>
          <w:rFonts w:ascii="Cambria" w:eastAsia="Calibri" w:hAnsi="Cambria" w:cs="Calibri"/>
          <w:spacing w:val="-10"/>
        </w:rPr>
        <w:t xml:space="preserve"> </w:t>
      </w:r>
      <w:r w:rsidRPr="009A0DA6">
        <w:rPr>
          <w:rFonts w:ascii="Cambria" w:eastAsia="Calibri" w:hAnsi="Cambria" w:cs="Calibri"/>
        </w:rPr>
        <w:t>the</w:t>
      </w:r>
      <w:r w:rsidRPr="009A0DA6">
        <w:rPr>
          <w:rFonts w:ascii="Cambria" w:eastAsia="Calibri" w:hAnsi="Cambria" w:cs="Calibri"/>
          <w:spacing w:val="-9"/>
        </w:rPr>
        <w:t xml:space="preserve"> </w:t>
      </w:r>
      <w:r w:rsidRPr="009A0DA6">
        <w:rPr>
          <w:rFonts w:ascii="Cambria" w:eastAsia="Calibri" w:hAnsi="Cambria" w:cs="Calibri"/>
        </w:rPr>
        <w:t>c</w:t>
      </w:r>
      <w:r w:rsidRPr="009A0DA6">
        <w:rPr>
          <w:rFonts w:ascii="Cambria" w:eastAsia="Calibri" w:hAnsi="Cambria" w:cs="Calibri"/>
          <w:spacing w:val="-3"/>
        </w:rPr>
        <w:t>h</w:t>
      </w:r>
      <w:r w:rsidRPr="009A0DA6">
        <w:rPr>
          <w:rFonts w:ascii="Cambria" w:eastAsia="Calibri" w:hAnsi="Cambria" w:cs="Calibri"/>
          <w:spacing w:val="-1"/>
        </w:rPr>
        <w:t>u</w:t>
      </w:r>
      <w:r w:rsidRPr="009A0DA6">
        <w:rPr>
          <w:rFonts w:ascii="Cambria" w:eastAsia="Calibri" w:hAnsi="Cambria" w:cs="Calibri"/>
        </w:rPr>
        <w:t>rch</w:t>
      </w:r>
      <w:r w:rsidRPr="009A0DA6">
        <w:rPr>
          <w:rFonts w:ascii="Cambria" w:eastAsia="Calibri" w:hAnsi="Cambria" w:cs="Calibri"/>
          <w:spacing w:val="-7"/>
        </w:rPr>
        <w:t xml:space="preserve"> </w:t>
      </w:r>
      <w:r w:rsidRPr="009A0DA6">
        <w:rPr>
          <w:rFonts w:ascii="Cambria" w:eastAsia="Calibri" w:hAnsi="Cambria" w:cs="Calibri"/>
          <w:spacing w:val="-2"/>
        </w:rPr>
        <w:t>w</w:t>
      </w:r>
      <w:r w:rsidRPr="009A0DA6">
        <w:rPr>
          <w:rFonts w:ascii="Cambria" w:eastAsia="Calibri" w:hAnsi="Cambria" w:cs="Calibri"/>
        </w:rPr>
        <w:t>ere</w:t>
      </w:r>
      <w:r w:rsidRPr="009A0DA6">
        <w:rPr>
          <w:rFonts w:ascii="Cambria" w:eastAsia="Calibri" w:hAnsi="Cambria" w:cs="Calibri"/>
          <w:spacing w:val="-8"/>
        </w:rPr>
        <w:t xml:space="preserve"> </w:t>
      </w:r>
      <w:r w:rsidRPr="009A0DA6">
        <w:rPr>
          <w:rFonts w:ascii="Cambria" w:eastAsia="Calibri" w:hAnsi="Cambria" w:cs="Calibri"/>
          <w:spacing w:val="-2"/>
        </w:rPr>
        <w:t>t</w:t>
      </w:r>
      <w:r w:rsidRPr="009A0DA6">
        <w:rPr>
          <w:rFonts w:ascii="Cambria" w:eastAsia="Calibri" w:hAnsi="Cambria" w:cs="Calibri"/>
        </w:rPr>
        <w:t>o</w:t>
      </w:r>
      <w:r w:rsidRPr="009A0DA6">
        <w:rPr>
          <w:rFonts w:ascii="Cambria" w:eastAsia="Calibri" w:hAnsi="Cambria" w:cs="Calibri"/>
          <w:spacing w:val="-8"/>
        </w:rPr>
        <w:t xml:space="preserve"> </w:t>
      </w:r>
      <w:r w:rsidRPr="009A0DA6">
        <w:rPr>
          <w:rFonts w:ascii="Cambria" w:eastAsia="Calibri" w:hAnsi="Cambria" w:cs="Calibri"/>
          <w:spacing w:val="1"/>
        </w:rPr>
        <w:t>o</w:t>
      </w:r>
      <w:r w:rsidRPr="009A0DA6">
        <w:rPr>
          <w:rFonts w:ascii="Cambria" w:eastAsia="Calibri" w:hAnsi="Cambria" w:cs="Calibri"/>
        </w:rPr>
        <w:t>r</w:t>
      </w:r>
      <w:r w:rsidRPr="009A0DA6">
        <w:rPr>
          <w:rFonts w:ascii="Cambria" w:eastAsia="Calibri" w:hAnsi="Cambria" w:cs="Calibri"/>
          <w:spacing w:val="-1"/>
        </w:rPr>
        <w:t>d</w:t>
      </w:r>
      <w:r w:rsidRPr="009A0DA6">
        <w:rPr>
          <w:rFonts w:ascii="Cambria" w:eastAsia="Calibri" w:hAnsi="Cambria" w:cs="Calibri"/>
        </w:rPr>
        <w:t>ain</w:t>
      </w:r>
    </w:p>
    <w:p w14:paraId="3B5C893C" w14:textId="33C8D6FF" w:rsidR="0042579D" w:rsidRPr="009A0DA6" w:rsidRDefault="0042579D" w:rsidP="00ED76E9">
      <w:pPr>
        <w:pStyle w:val="ListParagraph"/>
        <w:tabs>
          <w:tab w:val="left" w:pos="1701"/>
        </w:tabs>
        <w:spacing w:before="1" w:after="0"/>
        <w:ind w:left="1701" w:right="54"/>
        <w:rPr>
          <w:rFonts w:ascii="Cambria" w:eastAsia="Calibri" w:hAnsi="Cambria" w:cs="Calibri"/>
        </w:rPr>
      </w:pPr>
      <w:r w:rsidRPr="009A0DA6">
        <w:rPr>
          <w:rFonts w:ascii="Cambria" w:eastAsia="Calibri" w:hAnsi="Cambria" w:cs="Calibri"/>
        </w:rPr>
        <w:lastRenderedPageBreak/>
        <w:t xml:space="preserve"> wom</w:t>
      </w:r>
      <w:r w:rsidRPr="009A0DA6">
        <w:rPr>
          <w:rFonts w:ascii="Cambria" w:eastAsia="Calibri" w:hAnsi="Cambria" w:cs="Calibri"/>
          <w:spacing w:val="1"/>
        </w:rPr>
        <w:t>e</w:t>
      </w:r>
      <w:r w:rsidRPr="009A0DA6">
        <w:rPr>
          <w:rFonts w:ascii="Cambria" w:eastAsia="Calibri" w:hAnsi="Cambria" w:cs="Calibri"/>
          <w:spacing w:val="-1"/>
        </w:rPr>
        <w:t>n</w:t>
      </w:r>
      <w:r w:rsidRPr="009A0DA6">
        <w:rPr>
          <w:rFonts w:ascii="Cambria" w:eastAsia="Calibri" w:hAnsi="Cambria" w:cs="Calibri"/>
        </w:rPr>
        <w:t>,</w:t>
      </w:r>
      <w:r w:rsidRPr="009A0DA6">
        <w:rPr>
          <w:rFonts w:ascii="Cambria" w:eastAsia="Calibri" w:hAnsi="Cambria" w:cs="Calibri"/>
          <w:spacing w:val="2"/>
        </w:rPr>
        <w:t xml:space="preserve"> </w:t>
      </w:r>
      <w:r w:rsidRPr="009A0DA6">
        <w:rPr>
          <w:rFonts w:ascii="Cambria" w:eastAsia="Calibri" w:hAnsi="Cambria" w:cs="Calibri"/>
        </w:rPr>
        <w:t>th</w:t>
      </w:r>
      <w:r w:rsidRPr="009A0DA6">
        <w:rPr>
          <w:rFonts w:ascii="Cambria" w:eastAsia="Calibri" w:hAnsi="Cambria" w:cs="Calibri"/>
          <w:spacing w:val="-1"/>
        </w:rPr>
        <w:t>i</w:t>
      </w:r>
      <w:r w:rsidRPr="009A0DA6">
        <w:rPr>
          <w:rFonts w:ascii="Cambria" w:eastAsia="Calibri" w:hAnsi="Cambria" w:cs="Calibri"/>
        </w:rPr>
        <w:t>s</w:t>
      </w:r>
      <w:r w:rsidRPr="009A0DA6">
        <w:rPr>
          <w:rFonts w:ascii="Cambria" w:eastAsia="Calibri" w:hAnsi="Cambria" w:cs="Calibri"/>
          <w:spacing w:val="2"/>
        </w:rPr>
        <w:t xml:space="preserve"> </w:t>
      </w:r>
      <w:r w:rsidRPr="009A0DA6">
        <w:rPr>
          <w:rFonts w:ascii="Cambria" w:eastAsia="Calibri" w:hAnsi="Cambria" w:cs="Calibri"/>
          <w:spacing w:val="-2"/>
        </w:rPr>
        <w:t>w</w:t>
      </w:r>
      <w:r w:rsidRPr="009A0DA6">
        <w:rPr>
          <w:rFonts w:ascii="Cambria" w:eastAsia="Calibri" w:hAnsi="Cambria" w:cs="Calibri"/>
          <w:spacing w:val="1"/>
        </w:rPr>
        <w:t>o</w:t>
      </w:r>
      <w:r w:rsidRPr="009A0DA6">
        <w:rPr>
          <w:rFonts w:ascii="Cambria" w:eastAsia="Calibri" w:hAnsi="Cambria" w:cs="Calibri"/>
          <w:spacing w:val="-1"/>
        </w:rPr>
        <w:t>u</w:t>
      </w:r>
      <w:r w:rsidRPr="009A0DA6">
        <w:rPr>
          <w:rFonts w:ascii="Cambria" w:eastAsia="Calibri" w:hAnsi="Cambria" w:cs="Calibri"/>
        </w:rPr>
        <w:t>ld</w:t>
      </w:r>
      <w:r w:rsidRPr="009A0DA6">
        <w:rPr>
          <w:rFonts w:ascii="Cambria" w:eastAsia="Calibri" w:hAnsi="Cambria" w:cs="Calibri"/>
          <w:spacing w:val="4"/>
        </w:rPr>
        <w:t xml:space="preserve"> </w:t>
      </w:r>
      <w:r w:rsidRPr="009A0DA6">
        <w:rPr>
          <w:rFonts w:ascii="Cambria" w:eastAsia="Calibri" w:hAnsi="Cambria" w:cs="Calibri"/>
          <w:spacing w:val="-1"/>
        </w:rPr>
        <w:t>no</w:t>
      </w:r>
      <w:r w:rsidRPr="009A0DA6">
        <w:rPr>
          <w:rFonts w:ascii="Cambria" w:eastAsia="Calibri" w:hAnsi="Cambria" w:cs="Calibri"/>
        </w:rPr>
        <w:t>t</w:t>
      </w:r>
      <w:r w:rsidRPr="009A0DA6">
        <w:rPr>
          <w:rFonts w:ascii="Cambria" w:eastAsia="Calibri" w:hAnsi="Cambria" w:cs="Calibri"/>
          <w:spacing w:val="5"/>
        </w:rPr>
        <w:t xml:space="preserve"> </w:t>
      </w:r>
      <w:r w:rsidRPr="009A0DA6">
        <w:rPr>
          <w:rFonts w:ascii="Cambria" w:eastAsia="Calibri" w:hAnsi="Cambria" w:cs="Calibri"/>
        </w:rPr>
        <w:t>i</w:t>
      </w:r>
      <w:r w:rsidRPr="009A0DA6">
        <w:rPr>
          <w:rFonts w:ascii="Cambria" w:eastAsia="Calibri" w:hAnsi="Cambria" w:cs="Calibri"/>
          <w:spacing w:val="-1"/>
        </w:rPr>
        <w:t>nv</w:t>
      </w:r>
      <w:r w:rsidRPr="009A0DA6">
        <w:rPr>
          <w:rFonts w:ascii="Cambria" w:eastAsia="Calibri" w:hAnsi="Cambria" w:cs="Calibri"/>
          <w:spacing w:val="1"/>
        </w:rPr>
        <w:t>o</w:t>
      </w:r>
      <w:r w:rsidRPr="009A0DA6">
        <w:rPr>
          <w:rFonts w:ascii="Cambria" w:eastAsia="Calibri" w:hAnsi="Cambria" w:cs="Calibri"/>
        </w:rPr>
        <w:t>l</w:t>
      </w:r>
      <w:r w:rsidRPr="009A0DA6">
        <w:rPr>
          <w:rFonts w:ascii="Cambria" w:eastAsia="Calibri" w:hAnsi="Cambria" w:cs="Calibri"/>
          <w:spacing w:val="-2"/>
        </w:rPr>
        <w:t>v</w:t>
      </w:r>
      <w:r w:rsidRPr="009A0DA6">
        <w:rPr>
          <w:rFonts w:ascii="Cambria" w:eastAsia="Calibri" w:hAnsi="Cambria" w:cs="Calibri"/>
        </w:rPr>
        <w:t>e</w:t>
      </w:r>
      <w:r w:rsidRPr="009A0DA6">
        <w:rPr>
          <w:rFonts w:ascii="Cambria" w:eastAsia="Calibri" w:hAnsi="Cambria" w:cs="Calibri"/>
          <w:spacing w:val="5"/>
        </w:rPr>
        <w:t xml:space="preserve"> </w:t>
      </w:r>
      <w:r w:rsidRPr="009A0DA6">
        <w:rPr>
          <w:rFonts w:ascii="Cambria" w:eastAsia="Calibri" w:hAnsi="Cambria" w:cs="Calibri"/>
        </w:rPr>
        <w:t>a</w:t>
      </w:r>
      <w:r w:rsidRPr="009A0DA6">
        <w:rPr>
          <w:rFonts w:ascii="Cambria" w:eastAsia="Calibri" w:hAnsi="Cambria" w:cs="Calibri"/>
          <w:spacing w:val="-3"/>
        </w:rPr>
        <w:t>n</w:t>
      </w:r>
      <w:r w:rsidRPr="009A0DA6">
        <w:rPr>
          <w:rFonts w:ascii="Cambria" w:eastAsia="Calibri" w:hAnsi="Cambria" w:cs="Calibri"/>
        </w:rPr>
        <w:t>y</w:t>
      </w:r>
      <w:r w:rsidRPr="009A0DA6">
        <w:rPr>
          <w:rFonts w:ascii="Cambria" w:eastAsia="Calibri" w:hAnsi="Cambria" w:cs="Calibri"/>
          <w:spacing w:val="5"/>
        </w:rPr>
        <w:t xml:space="preserve"> </w:t>
      </w:r>
      <w:r w:rsidRPr="009A0DA6">
        <w:rPr>
          <w:rFonts w:ascii="Cambria" w:eastAsia="Calibri" w:hAnsi="Cambria" w:cs="Calibri"/>
        </w:rPr>
        <w:t>e</w:t>
      </w:r>
      <w:r w:rsidRPr="009A0DA6">
        <w:rPr>
          <w:rFonts w:ascii="Cambria" w:eastAsia="Calibri" w:hAnsi="Cambria" w:cs="Calibri"/>
          <w:spacing w:val="-2"/>
        </w:rPr>
        <w:t>l</w:t>
      </w:r>
      <w:r w:rsidRPr="009A0DA6">
        <w:rPr>
          <w:rFonts w:ascii="Cambria" w:eastAsia="Calibri" w:hAnsi="Cambria" w:cs="Calibri"/>
        </w:rPr>
        <w:t>e</w:t>
      </w:r>
      <w:r w:rsidRPr="009A0DA6">
        <w:rPr>
          <w:rFonts w:ascii="Cambria" w:eastAsia="Calibri" w:hAnsi="Cambria" w:cs="Calibri"/>
          <w:spacing w:val="1"/>
        </w:rPr>
        <w:t>v</w:t>
      </w:r>
      <w:r w:rsidRPr="009A0DA6">
        <w:rPr>
          <w:rFonts w:ascii="Cambria" w:eastAsia="Calibri" w:hAnsi="Cambria" w:cs="Calibri"/>
          <w:spacing w:val="-3"/>
        </w:rPr>
        <w:t>a</w:t>
      </w:r>
      <w:r w:rsidRPr="009A0DA6">
        <w:rPr>
          <w:rFonts w:ascii="Cambria" w:eastAsia="Calibri" w:hAnsi="Cambria" w:cs="Calibri"/>
        </w:rPr>
        <w:t>ti</w:t>
      </w:r>
      <w:r w:rsidRPr="009A0DA6">
        <w:rPr>
          <w:rFonts w:ascii="Cambria" w:eastAsia="Calibri" w:hAnsi="Cambria" w:cs="Calibri"/>
          <w:spacing w:val="1"/>
        </w:rPr>
        <w:t>o</w:t>
      </w:r>
      <w:r w:rsidRPr="009A0DA6">
        <w:rPr>
          <w:rFonts w:ascii="Cambria" w:eastAsia="Calibri" w:hAnsi="Cambria" w:cs="Calibri"/>
        </w:rPr>
        <w:t>n</w:t>
      </w:r>
      <w:r w:rsidRPr="009A0DA6">
        <w:rPr>
          <w:rFonts w:ascii="Cambria" w:eastAsia="Calibri" w:hAnsi="Cambria" w:cs="Calibri"/>
          <w:spacing w:val="2"/>
        </w:rPr>
        <w:t xml:space="preserve"> </w:t>
      </w:r>
      <w:r w:rsidRPr="009A0DA6">
        <w:rPr>
          <w:rFonts w:ascii="Cambria" w:eastAsia="Calibri" w:hAnsi="Cambria" w:cs="Calibri"/>
          <w:spacing w:val="1"/>
        </w:rPr>
        <w:t>o</w:t>
      </w:r>
      <w:r w:rsidRPr="009A0DA6">
        <w:rPr>
          <w:rFonts w:ascii="Cambria" w:eastAsia="Calibri" w:hAnsi="Cambria" w:cs="Calibri"/>
        </w:rPr>
        <w:t>f</w:t>
      </w:r>
      <w:r w:rsidRPr="009A0DA6">
        <w:rPr>
          <w:rFonts w:ascii="Cambria" w:eastAsia="Calibri" w:hAnsi="Cambria" w:cs="Calibri"/>
          <w:spacing w:val="2"/>
        </w:rPr>
        <w:t xml:space="preserve"> </w:t>
      </w:r>
      <w:r w:rsidRPr="009A0DA6">
        <w:rPr>
          <w:rFonts w:ascii="Cambria" w:eastAsia="Calibri" w:hAnsi="Cambria" w:cs="Calibri"/>
        </w:rPr>
        <w:t>their stat</w:t>
      </w:r>
      <w:r w:rsidRPr="009A0DA6">
        <w:rPr>
          <w:rFonts w:ascii="Cambria" w:eastAsia="Calibri" w:hAnsi="Cambria" w:cs="Calibri"/>
          <w:spacing w:val="-1"/>
        </w:rPr>
        <w:t>u</w:t>
      </w:r>
      <w:r w:rsidRPr="009A0DA6">
        <w:rPr>
          <w:rFonts w:ascii="Cambria" w:eastAsia="Calibri" w:hAnsi="Cambria" w:cs="Calibri"/>
        </w:rPr>
        <w:t>s,</w:t>
      </w:r>
      <w:r w:rsidRPr="009A0DA6">
        <w:rPr>
          <w:rFonts w:ascii="Cambria" w:eastAsia="Calibri" w:hAnsi="Cambria" w:cs="Calibri"/>
          <w:spacing w:val="5"/>
        </w:rPr>
        <w:t xml:space="preserve"> </w:t>
      </w:r>
      <w:r w:rsidRPr="009A0DA6">
        <w:rPr>
          <w:rFonts w:ascii="Cambria" w:eastAsia="Calibri" w:hAnsi="Cambria" w:cs="Calibri"/>
          <w:spacing w:val="-1"/>
        </w:rPr>
        <w:t>bu</w:t>
      </w:r>
      <w:r w:rsidRPr="009A0DA6">
        <w:rPr>
          <w:rFonts w:ascii="Cambria" w:eastAsia="Calibri" w:hAnsi="Cambria" w:cs="Calibri"/>
        </w:rPr>
        <w:t>t</w:t>
      </w:r>
      <w:r w:rsidRPr="009A0DA6">
        <w:rPr>
          <w:rFonts w:ascii="Cambria" w:eastAsia="Calibri" w:hAnsi="Cambria" w:cs="Calibri"/>
          <w:spacing w:val="3"/>
        </w:rPr>
        <w:t xml:space="preserve"> </w:t>
      </w:r>
      <w:r w:rsidRPr="009A0DA6">
        <w:rPr>
          <w:rFonts w:ascii="Cambria" w:eastAsia="Calibri" w:hAnsi="Cambria" w:cs="Calibri"/>
          <w:spacing w:val="-2"/>
        </w:rPr>
        <w:t>w</w:t>
      </w:r>
      <w:r w:rsidRPr="009A0DA6">
        <w:rPr>
          <w:rFonts w:ascii="Cambria" w:eastAsia="Calibri" w:hAnsi="Cambria" w:cs="Calibri"/>
          <w:spacing w:val="1"/>
        </w:rPr>
        <w:t>o</w:t>
      </w:r>
      <w:r w:rsidRPr="009A0DA6">
        <w:rPr>
          <w:rFonts w:ascii="Cambria" w:eastAsia="Calibri" w:hAnsi="Cambria" w:cs="Calibri"/>
          <w:spacing w:val="-1"/>
        </w:rPr>
        <w:t>u</w:t>
      </w:r>
      <w:r w:rsidRPr="009A0DA6">
        <w:rPr>
          <w:rFonts w:ascii="Cambria" w:eastAsia="Calibri" w:hAnsi="Cambria" w:cs="Calibri"/>
        </w:rPr>
        <w:t>ld</w:t>
      </w:r>
      <w:r w:rsidRPr="009A0DA6">
        <w:rPr>
          <w:rFonts w:ascii="Cambria" w:eastAsia="Calibri" w:hAnsi="Cambria" w:cs="Calibri"/>
          <w:spacing w:val="4"/>
        </w:rPr>
        <w:t xml:space="preserve"> </w:t>
      </w:r>
      <w:r w:rsidRPr="009A0DA6">
        <w:rPr>
          <w:rFonts w:ascii="Cambria" w:eastAsia="Calibri" w:hAnsi="Cambria" w:cs="Calibri"/>
        </w:rPr>
        <w:t>r</w:t>
      </w:r>
      <w:r w:rsidRPr="009A0DA6">
        <w:rPr>
          <w:rFonts w:ascii="Cambria" w:eastAsia="Calibri" w:hAnsi="Cambria" w:cs="Calibri"/>
          <w:spacing w:val="-3"/>
        </w:rPr>
        <w:t>a</w:t>
      </w:r>
      <w:r w:rsidRPr="009A0DA6">
        <w:rPr>
          <w:rFonts w:ascii="Cambria" w:eastAsia="Calibri" w:hAnsi="Cambria" w:cs="Calibri"/>
        </w:rPr>
        <w:t>ther</w:t>
      </w:r>
      <w:r w:rsidRPr="009A0DA6">
        <w:rPr>
          <w:rFonts w:ascii="Cambria" w:eastAsia="Calibri" w:hAnsi="Cambria" w:cs="Calibri"/>
          <w:spacing w:val="5"/>
        </w:rPr>
        <w:t xml:space="preserve"> </w:t>
      </w:r>
      <w:r w:rsidRPr="009A0DA6">
        <w:rPr>
          <w:rFonts w:ascii="Cambria" w:eastAsia="Calibri" w:hAnsi="Cambria" w:cs="Calibri"/>
          <w:spacing w:val="-3"/>
        </w:rPr>
        <w:t>b</w:t>
      </w:r>
      <w:r w:rsidRPr="009A0DA6">
        <w:rPr>
          <w:rFonts w:ascii="Cambria" w:eastAsia="Calibri" w:hAnsi="Cambria" w:cs="Calibri"/>
        </w:rPr>
        <w:t>e</w:t>
      </w:r>
      <w:r w:rsidRPr="009A0DA6">
        <w:rPr>
          <w:rFonts w:ascii="Cambria" w:eastAsia="Calibri" w:hAnsi="Cambria" w:cs="Calibri"/>
          <w:spacing w:val="5"/>
        </w:rPr>
        <w:t xml:space="preserve"> </w:t>
      </w:r>
      <w:r w:rsidRPr="009A0DA6">
        <w:rPr>
          <w:rFonts w:ascii="Cambria" w:eastAsia="Calibri" w:hAnsi="Cambria" w:cs="Calibri"/>
        </w:rPr>
        <w:t>a</w:t>
      </w:r>
      <w:r w:rsidRPr="009A0DA6">
        <w:rPr>
          <w:rFonts w:ascii="Cambria" w:eastAsia="Calibri" w:hAnsi="Cambria" w:cs="Calibri"/>
          <w:spacing w:val="2"/>
        </w:rPr>
        <w:t xml:space="preserve"> </w:t>
      </w:r>
      <w:r w:rsidRPr="009A0DA6">
        <w:rPr>
          <w:rFonts w:ascii="Cambria" w:eastAsia="Calibri" w:hAnsi="Cambria" w:cs="Calibri"/>
        </w:rPr>
        <w:t>call</w:t>
      </w:r>
      <w:r w:rsidRPr="009A0DA6">
        <w:rPr>
          <w:rFonts w:ascii="Cambria" w:eastAsia="Calibri" w:hAnsi="Cambria" w:cs="Calibri"/>
          <w:spacing w:val="4"/>
        </w:rPr>
        <w:t xml:space="preserve"> </w:t>
      </w:r>
      <w:r w:rsidRPr="009A0DA6">
        <w:rPr>
          <w:rFonts w:ascii="Cambria" w:eastAsia="Calibri" w:hAnsi="Cambria" w:cs="Calibri"/>
          <w:spacing w:val="-3"/>
        </w:rPr>
        <w:t>f</w:t>
      </w:r>
      <w:r w:rsidRPr="009A0DA6">
        <w:rPr>
          <w:rFonts w:ascii="Cambria" w:eastAsia="Calibri" w:hAnsi="Cambria" w:cs="Calibri"/>
          <w:spacing w:val="1"/>
        </w:rPr>
        <w:t>o</w:t>
      </w:r>
      <w:r w:rsidRPr="009A0DA6">
        <w:rPr>
          <w:rFonts w:ascii="Cambria" w:eastAsia="Calibri" w:hAnsi="Cambria" w:cs="Calibri"/>
        </w:rPr>
        <w:t>r</w:t>
      </w:r>
      <w:r w:rsidRPr="009A0DA6">
        <w:rPr>
          <w:rFonts w:ascii="Cambria" w:eastAsia="Calibri" w:hAnsi="Cambria" w:cs="Calibri"/>
          <w:spacing w:val="2"/>
        </w:rPr>
        <w:t xml:space="preserve"> </w:t>
      </w:r>
      <w:r w:rsidRPr="009A0DA6">
        <w:rPr>
          <w:rFonts w:ascii="Cambria" w:eastAsia="Calibri" w:hAnsi="Cambria" w:cs="Calibri"/>
        </w:rPr>
        <w:t>th</w:t>
      </w:r>
      <w:r w:rsidRPr="009A0DA6">
        <w:rPr>
          <w:rFonts w:ascii="Cambria" w:eastAsia="Calibri" w:hAnsi="Cambria" w:cs="Calibri"/>
          <w:spacing w:val="-2"/>
        </w:rPr>
        <w:t>e</w:t>
      </w:r>
      <w:r w:rsidRPr="009A0DA6">
        <w:rPr>
          <w:rFonts w:ascii="Cambria" w:eastAsia="Calibri" w:hAnsi="Cambria" w:cs="Calibri"/>
        </w:rPr>
        <w:t>m</w:t>
      </w:r>
      <w:r w:rsidRPr="009A0DA6">
        <w:rPr>
          <w:rFonts w:ascii="Cambria" w:eastAsia="Calibri" w:hAnsi="Cambria" w:cs="Calibri"/>
          <w:spacing w:val="3"/>
        </w:rPr>
        <w:t xml:space="preserve"> </w:t>
      </w:r>
      <w:r w:rsidRPr="009A0DA6">
        <w:rPr>
          <w:rFonts w:ascii="Cambria" w:eastAsia="Calibri" w:hAnsi="Cambria" w:cs="Calibri"/>
          <w:spacing w:val="-2"/>
        </w:rPr>
        <w:t>t</w:t>
      </w:r>
      <w:r w:rsidRPr="009A0DA6">
        <w:rPr>
          <w:rFonts w:ascii="Cambria" w:eastAsia="Calibri" w:hAnsi="Cambria" w:cs="Calibri"/>
        </w:rPr>
        <w:t>o l</w:t>
      </w:r>
      <w:r w:rsidRPr="009A0DA6">
        <w:rPr>
          <w:rFonts w:ascii="Cambria" w:eastAsia="Calibri" w:hAnsi="Cambria" w:cs="Calibri"/>
          <w:spacing w:val="1"/>
        </w:rPr>
        <w:t>o</w:t>
      </w:r>
      <w:r w:rsidRPr="009A0DA6">
        <w:rPr>
          <w:rFonts w:ascii="Cambria" w:eastAsia="Calibri" w:hAnsi="Cambria" w:cs="Calibri"/>
        </w:rPr>
        <w:t>w</w:t>
      </w:r>
      <w:r w:rsidRPr="009A0DA6">
        <w:rPr>
          <w:rFonts w:ascii="Cambria" w:eastAsia="Calibri" w:hAnsi="Cambria" w:cs="Calibri"/>
          <w:spacing w:val="-1"/>
        </w:rPr>
        <w:t>e</w:t>
      </w:r>
      <w:r w:rsidRPr="009A0DA6">
        <w:rPr>
          <w:rFonts w:ascii="Cambria" w:eastAsia="Calibri" w:hAnsi="Cambria" w:cs="Calibri"/>
        </w:rPr>
        <w:t>r t</w:t>
      </w:r>
      <w:r w:rsidRPr="009A0DA6">
        <w:rPr>
          <w:rFonts w:ascii="Cambria" w:eastAsia="Calibri" w:hAnsi="Cambria" w:cs="Calibri"/>
          <w:spacing w:val="-1"/>
        </w:rPr>
        <w:t>h</w:t>
      </w:r>
      <w:r w:rsidRPr="009A0DA6">
        <w:rPr>
          <w:rFonts w:ascii="Cambria" w:eastAsia="Calibri" w:hAnsi="Cambria" w:cs="Calibri"/>
          <w:spacing w:val="-2"/>
        </w:rPr>
        <w:t>e</w:t>
      </w:r>
      <w:r w:rsidRPr="009A0DA6">
        <w:rPr>
          <w:rFonts w:ascii="Cambria" w:eastAsia="Calibri" w:hAnsi="Cambria" w:cs="Calibri"/>
          <w:spacing w:val="1"/>
        </w:rPr>
        <w:t>m</w:t>
      </w:r>
      <w:r w:rsidRPr="009A0DA6">
        <w:rPr>
          <w:rFonts w:ascii="Cambria" w:eastAsia="Calibri" w:hAnsi="Cambria" w:cs="Calibri"/>
          <w:spacing w:val="-2"/>
        </w:rPr>
        <w:t>s</w:t>
      </w:r>
      <w:r w:rsidRPr="009A0DA6">
        <w:rPr>
          <w:rFonts w:ascii="Cambria" w:eastAsia="Calibri" w:hAnsi="Cambria" w:cs="Calibri"/>
        </w:rPr>
        <w:t>el</w:t>
      </w:r>
      <w:r w:rsidRPr="009A0DA6">
        <w:rPr>
          <w:rFonts w:ascii="Cambria" w:eastAsia="Calibri" w:hAnsi="Cambria" w:cs="Calibri"/>
          <w:spacing w:val="-1"/>
        </w:rPr>
        <w:t>v</w:t>
      </w:r>
      <w:r w:rsidRPr="009A0DA6">
        <w:rPr>
          <w:rFonts w:ascii="Cambria" w:eastAsia="Calibri" w:hAnsi="Cambria" w:cs="Calibri"/>
        </w:rPr>
        <w:t>es</w:t>
      </w:r>
      <w:r w:rsidRPr="009A0DA6">
        <w:rPr>
          <w:rFonts w:ascii="Cambria" w:eastAsia="Calibri" w:hAnsi="Cambria" w:cs="Calibri"/>
          <w:spacing w:val="1"/>
        </w:rPr>
        <w:t xml:space="preserve"> </w:t>
      </w:r>
      <w:r w:rsidRPr="009A0DA6">
        <w:rPr>
          <w:rFonts w:ascii="Cambria" w:eastAsia="Calibri" w:hAnsi="Cambria" w:cs="Calibri"/>
          <w:spacing w:val="-1"/>
        </w:rPr>
        <w:t>b</w:t>
      </w:r>
      <w:r w:rsidRPr="009A0DA6">
        <w:rPr>
          <w:rFonts w:ascii="Cambria" w:eastAsia="Calibri" w:hAnsi="Cambria" w:cs="Calibri"/>
        </w:rPr>
        <w:t>ene</w:t>
      </w:r>
      <w:r w:rsidRPr="009A0DA6">
        <w:rPr>
          <w:rFonts w:ascii="Cambria" w:eastAsia="Calibri" w:hAnsi="Cambria" w:cs="Calibri"/>
          <w:spacing w:val="-2"/>
        </w:rPr>
        <w:t>a</w:t>
      </w:r>
      <w:r w:rsidRPr="009A0DA6">
        <w:rPr>
          <w:rFonts w:ascii="Cambria" w:eastAsia="Calibri" w:hAnsi="Cambria" w:cs="Calibri"/>
        </w:rPr>
        <w:t>th</w:t>
      </w:r>
      <w:r w:rsidRPr="009A0DA6">
        <w:rPr>
          <w:rFonts w:ascii="Cambria" w:eastAsia="Calibri" w:hAnsi="Cambria" w:cs="Calibri"/>
          <w:spacing w:val="-2"/>
        </w:rPr>
        <w:t xml:space="preserve"> </w:t>
      </w:r>
      <w:r w:rsidRPr="009A0DA6">
        <w:rPr>
          <w:rFonts w:ascii="Cambria" w:eastAsia="Calibri" w:hAnsi="Cambria" w:cs="Calibri"/>
          <w:spacing w:val="1"/>
        </w:rPr>
        <w:t>o</w:t>
      </w:r>
      <w:r w:rsidRPr="009A0DA6">
        <w:rPr>
          <w:rFonts w:ascii="Cambria" w:eastAsia="Calibri" w:hAnsi="Cambria" w:cs="Calibri"/>
        </w:rPr>
        <w:t>thers.</w:t>
      </w:r>
      <w:r w:rsidR="00D04794" w:rsidRPr="009A0DA6">
        <w:rPr>
          <w:rFonts w:ascii="Cambria" w:eastAsia="Calibri" w:hAnsi="Cambria" w:cs="Calibri"/>
        </w:rPr>
        <w:br/>
      </w:r>
    </w:p>
    <w:p w14:paraId="235AA839" w14:textId="473B8222" w:rsidR="00D04794" w:rsidRPr="00ED76E9" w:rsidRDefault="0042579D" w:rsidP="00ED76E9">
      <w:pPr>
        <w:pStyle w:val="ListParagraph"/>
        <w:numPr>
          <w:ilvl w:val="0"/>
          <w:numId w:val="125"/>
        </w:numPr>
        <w:tabs>
          <w:tab w:val="clear" w:pos="643"/>
          <w:tab w:val="left" w:pos="1134"/>
        </w:tabs>
        <w:spacing w:before="62" w:after="0" w:line="254" w:lineRule="auto"/>
        <w:ind w:left="1134" w:right="62" w:hanging="567"/>
        <w:rPr>
          <w:rFonts w:ascii="Cambria" w:eastAsia="Calibri" w:hAnsi="Cambria" w:cs="Calibri"/>
        </w:rPr>
      </w:pPr>
      <w:r w:rsidRPr="009A0DA6">
        <w:rPr>
          <w:rFonts w:ascii="Cambria" w:eastAsia="Calibri" w:hAnsi="Cambria" w:cs="Calibri"/>
        </w:rPr>
        <w:t>The</w:t>
      </w:r>
      <w:r w:rsidRPr="009A0DA6">
        <w:rPr>
          <w:rFonts w:ascii="Cambria" w:eastAsia="Calibri" w:hAnsi="Cambria" w:cs="Calibri"/>
          <w:spacing w:val="1"/>
        </w:rPr>
        <w:t xml:space="preserve"> </w:t>
      </w:r>
      <w:r w:rsidRPr="009A0DA6">
        <w:rPr>
          <w:rFonts w:ascii="Cambria" w:eastAsia="Calibri" w:hAnsi="Cambria" w:cs="Calibri"/>
          <w:spacing w:val="-1"/>
        </w:rPr>
        <w:t>D</w:t>
      </w:r>
      <w:r w:rsidRPr="009A0DA6">
        <w:rPr>
          <w:rFonts w:ascii="Cambria" w:eastAsia="Calibri" w:hAnsi="Cambria" w:cs="Calibri"/>
          <w:spacing w:val="1"/>
        </w:rPr>
        <w:t>D</w:t>
      </w:r>
      <w:r w:rsidRPr="009A0DA6">
        <w:rPr>
          <w:rFonts w:ascii="Cambria" w:eastAsia="Calibri" w:hAnsi="Cambria" w:cs="Calibri"/>
        </w:rPr>
        <w:t xml:space="preserve">S </w:t>
      </w:r>
      <w:r w:rsidRPr="009A0DA6">
        <w:rPr>
          <w:rFonts w:ascii="Cambria" w:eastAsia="Calibri" w:hAnsi="Cambria" w:cs="Calibri"/>
          <w:spacing w:val="-2"/>
        </w:rPr>
        <w:t>t</w:t>
      </w:r>
      <w:r w:rsidRPr="009A0DA6">
        <w:rPr>
          <w:rFonts w:ascii="Cambria" w:eastAsia="Calibri" w:hAnsi="Cambria" w:cs="Calibri"/>
        </w:rPr>
        <w:t>ries</w:t>
      </w:r>
      <w:r w:rsidRPr="009A0DA6">
        <w:rPr>
          <w:rFonts w:ascii="Cambria" w:eastAsia="Calibri" w:hAnsi="Cambria" w:cs="Calibri"/>
          <w:spacing w:val="-2"/>
        </w:rPr>
        <w:t xml:space="preserve"> </w:t>
      </w:r>
      <w:r w:rsidRPr="009A0DA6">
        <w:rPr>
          <w:rFonts w:ascii="Cambria" w:eastAsia="Calibri" w:hAnsi="Cambria" w:cs="Calibri"/>
        </w:rPr>
        <w:t>to</w:t>
      </w:r>
      <w:r w:rsidRPr="009A0DA6">
        <w:rPr>
          <w:rFonts w:ascii="Cambria" w:eastAsia="Calibri" w:hAnsi="Cambria" w:cs="Calibri"/>
          <w:spacing w:val="-1"/>
        </w:rPr>
        <w:t xml:space="preserve"> </w:t>
      </w:r>
      <w:r w:rsidRPr="009A0DA6">
        <w:rPr>
          <w:rFonts w:ascii="Cambria" w:eastAsia="Calibri" w:hAnsi="Cambria" w:cs="Calibri"/>
        </w:rPr>
        <w:t>cla</w:t>
      </w:r>
      <w:r w:rsidRPr="009A0DA6">
        <w:rPr>
          <w:rFonts w:ascii="Cambria" w:eastAsia="Calibri" w:hAnsi="Cambria" w:cs="Calibri"/>
          <w:spacing w:val="-3"/>
        </w:rPr>
        <w:t>i</w:t>
      </w:r>
      <w:r w:rsidRPr="009A0DA6">
        <w:rPr>
          <w:rFonts w:ascii="Cambria" w:eastAsia="Calibri" w:hAnsi="Cambria" w:cs="Calibri"/>
        </w:rPr>
        <w:t>m</w:t>
      </w:r>
      <w:r w:rsidRPr="009A0DA6">
        <w:rPr>
          <w:rFonts w:ascii="Cambria" w:eastAsia="Calibri" w:hAnsi="Cambria" w:cs="Calibri"/>
          <w:spacing w:val="1"/>
        </w:rPr>
        <w:t xml:space="preserve"> t</w:t>
      </w:r>
      <w:r w:rsidRPr="009A0DA6">
        <w:rPr>
          <w:rFonts w:ascii="Cambria" w:eastAsia="Calibri" w:hAnsi="Cambria" w:cs="Calibri"/>
          <w:spacing w:val="-1"/>
        </w:rPr>
        <w:t>h</w:t>
      </w:r>
      <w:r w:rsidRPr="009A0DA6">
        <w:rPr>
          <w:rFonts w:ascii="Cambria" w:eastAsia="Calibri" w:hAnsi="Cambria" w:cs="Calibri"/>
        </w:rPr>
        <w:t>at</w:t>
      </w:r>
      <w:r w:rsidRPr="009A0DA6">
        <w:rPr>
          <w:rFonts w:ascii="Cambria" w:eastAsia="Calibri" w:hAnsi="Cambria" w:cs="Calibri"/>
          <w:spacing w:val="-4"/>
        </w:rPr>
        <w:t xml:space="preserve"> </w:t>
      </w:r>
      <w:r w:rsidRPr="009A0DA6">
        <w:rPr>
          <w:rFonts w:ascii="Cambria" w:eastAsia="Calibri" w:hAnsi="Cambria" w:cs="Calibri"/>
        </w:rPr>
        <w:t xml:space="preserve">the </w:t>
      </w:r>
      <w:r w:rsidRPr="009A0DA6">
        <w:rPr>
          <w:rFonts w:ascii="Cambria" w:eastAsia="Calibri" w:hAnsi="Cambria" w:cs="Calibri"/>
          <w:spacing w:val="2"/>
        </w:rPr>
        <w:t>o</w:t>
      </w:r>
      <w:r w:rsidRPr="009A0DA6">
        <w:rPr>
          <w:rFonts w:ascii="Cambria" w:eastAsia="Calibri" w:hAnsi="Cambria" w:cs="Calibri"/>
        </w:rPr>
        <w:t>r</w:t>
      </w:r>
      <w:r w:rsidRPr="009A0DA6">
        <w:rPr>
          <w:rFonts w:ascii="Cambria" w:eastAsia="Calibri" w:hAnsi="Cambria" w:cs="Calibri"/>
          <w:spacing w:val="-1"/>
        </w:rPr>
        <w:t>d</w:t>
      </w:r>
      <w:r w:rsidRPr="009A0DA6">
        <w:rPr>
          <w:rFonts w:ascii="Cambria" w:eastAsia="Calibri" w:hAnsi="Cambria" w:cs="Calibri"/>
        </w:rPr>
        <w:t>i</w:t>
      </w:r>
      <w:r w:rsidRPr="009A0DA6">
        <w:rPr>
          <w:rFonts w:ascii="Cambria" w:eastAsia="Calibri" w:hAnsi="Cambria" w:cs="Calibri"/>
          <w:spacing w:val="-1"/>
        </w:rPr>
        <w:t>n</w:t>
      </w:r>
      <w:r w:rsidRPr="009A0DA6">
        <w:rPr>
          <w:rFonts w:ascii="Cambria" w:eastAsia="Calibri" w:hAnsi="Cambria" w:cs="Calibri"/>
        </w:rPr>
        <w:t>at</w:t>
      </w:r>
      <w:r w:rsidRPr="009A0DA6">
        <w:rPr>
          <w:rFonts w:ascii="Cambria" w:eastAsia="Calibri" w:hAnsi="Cambria" w:cs="Calibri"/>
          <w:spacing w:val="-2"/>
        </w:rPr>
        <w:t>i</w:t>
      </w:r>
      <w:r w:rsidRPr="009A0DA6">
        <w:rPr>
          <w:rFonts w:ascii="Cambria" w:eastAsia="Calibri" w:hAnsi="Cambria" w:cs="Calibri"/>
          <w:spacing w:val="1"/>
        </w:rPr>
        <w:t>o</w:t>
      </w:r>
      <w:r w:rsidRPr="009A0DA6">
        <w:rPr>
          <w:rFonts w:ascii="Cambria" w:eastAsia="Calibri" w:hAnsi="Cambria" w:cs="Calibri"/>
        </w:rPr>
        <w:t>n</w:t>
      </w:r>
      <w:r w:rsidRPr="009A0DA6">
        <w:rPr>
          <w:rFonts w:ascii="Cambria" w:eastAsia="Calibri" w:hAnsi="Cambria" w:cs="Calibri"/>
          <w:spacing w:val="-3"/>
        </w:rPr>
        <w:t xml:space="preserve"> </w:t>
      </w:r>
      <w:r w:rsidRPr="009A0DA6">
        <w:rPr>
          <w:rFonts w:ascii="Cambria" w:eastAsia="Calibri" w:hAnsi="Cambria" w:cs="Calibri"/>
          <w:spacing w:val="1"/>
        </w:rPr>
        <w:t>o</w:t>
      </w:r>
      <w:r w:rsidRPr="009A0DA6">
        <w:rPr>
          <w:rFonts w:ascii="Cambria" w:eastAsia="Calibri" w:hAnsi="Cambria" w:cs="Calibri"/>
        </w:rPr>
        <w:t>f</w:t>
      </w:r>
      <w:r w:rsidRPr="009A0DA6">
        <w:rPr>
          <w:rFonts w:ascii="Cambria" w:eastAsia="Calibri" w:hAnsi="Cambria" w:cs="Calibri"/>
          <w:spacing w:val="-2"/>
        </w:rPr>
        <w:t xml:space="preserve"> </w:t>
      </w:r>
      <w:r w:rsidRPr="009A0DA6">
        <w:rPr>
          <w:rFonts w:ascii="Cambria" w:eastAsia="Calibri" w:hAnsi="Cambria" w:cs="Calibri"/>
        </w:rPr>
        <w:t>wom</w:t>
      </w:r>
      <w:r w:rsidRPr="009A0DA6">
        <w:rPr>
          <w:rFonts w:ascii="Cambria" w:eastAsia="Calibri" w:hAnsi="Cambria" w:cs="Calibri"/>
          <w:spacing w:val="1"/>
        </w:rPr>
        <w:t>e</w:t>
      </w:r>
      <w:r w:rsidRPr="009A0DA6">
        <w:rPr>
          <w:rFonts w:ascii="Cambria" w:eastAsia="Calibri" w:hAnsi="Cambria" w:cs="Calibri"/>
        </w:rPr>
        <w:t>n</w:t>
      </w:r>
      <w:r w:rsidRPr="009A0DA6">
        <w:rPr>
          <w:rFonts w:ascii="Cambria" w:eastAsia="Calibri" w:hAnsi="Cambria" w:cs="Calibri"/>
          <w:spacing w:val="-3"/>
        </w:rPr>
        <w:t xml:space="preserve"> </w:t>
      </w:r>
      <w:r w:rsidRPr="009A0DA6">
        <w:rPr>
          <w:rFonts w:ascii="Cambria" w:eastAsia="Calibri" w:hAnsi="Cambria" w:cs="Calibri"/>
        </w:rPr>
        <w:t>f</w:t>
      </w:r>
      <w:r w:rsidRPr="009A0DA6">
        <w:rPr>
          <w:rFonts w:ascii="Cambria" w:eastAsia="Calibri" w:hAnsi="Cambria" w:cs="Calibri"/>
          <w:spacing w:val="-2"/>
        </w:rPr>
        <w:t>i</w:t>
      </w:r>
      <w:r w:rsidRPr="009A0DA6">
        <w:rPr>
          <w:rFonts w:ascii="Cambria" w:eastAsia="Calibri" w:hAnsi="Cambria" w:cs="Calibri"/>
        </w:rPr>
        <w:t>ts</w:t>
      </w:r>
      <w:r w:rsidRPr="009A0DA6">
        <w:rPr>
          <w:rFonts w:ascii="Cambria" w:eastAsia="Calibri" w:hAnsi="Cambria" w:cs="Calibri"/>
          <w:spacing w:val="1"/>
        </w:rPr>
        <w:t xml:space="preserve"> </w:t>
      </w:r>
      <w:r w:rsidRPr="009A0DA6">
        <w:rPr>
          <w:rFonts w:ascii="Cambria" w:eastAsia="Calibri" w:hAnsi="Cambria" w:cs="Calibri"/>
        </w:rPr>
        <w:t>with</w:t>
      </w:r>
      <w:r w:rsidRPr="009A0DA6">
        <w:rPr>
          <w:rFonts w:ascii="Cambria" w:eastAsia="Calibri" w:hAnsi="Cambria" w:cs="Calibri"/>
          <w:spacing w:val="-2"/>
        </w:rPr>
        <w:t xml:space="preserve">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spacing w:val="1"/>
        </w:rPr>
        <w:t>v</w:t>
      </w:r>
      <w:r w:rsidRPr="009A0DA6">
        <w:rPr>
          <w:rFonts w:ascii="Cambria" w:eastAsia="Calibri" w:hAnsi="Cambria" w:cs="Calibri"/>
        </w:rPr>
        <w:t>i</w:t>
      </w:r>
      <w:r w:rsidRPr="009A0DA6">
        <w:rPr>
          <w:rFonts w:ascii="Cambria" w:eastAsia="Calibri" w:hAnsi="Cambria" w:cs="Calibri"/>
          <w:spacing w:val="-2"/>
        </w:rPr>
        <w:t>e</w:t>
      </w:r>
      <w:r w:rsidRPr="009A0DA6">
        <w:rPr>
          <w:rFonts w:ascii="Cambria" w:eastAsia="Calibri" w:hAnsi="Cambria" w:cs="Calibri"/>
        </w:rPr>
        <w:t>w</w:t>
      </w:r>
      <w:r w:rsidRPr="009A0DA6">
        <w:rPr>
          <w:rFonts w:ascii="Cambria" w:eastAsia="Calibri" w:hAnsi="Cambria" w:cs="Calibri"/>
          <w:spacing w:val="-1"/>
        </w:rPr>
        <w:t xml:space="preserve"> </w:t>
      </w:r>
      <w:r w:rsidRPr="009A0DA6">
        <w:rPr>
          <w:rFonts w:ascii="Cambria" w:eastAsia="Calibri" w:hAnsi="Cambria" w:cs="Calibri"/>
          <w:spacing w:val="1"/>
        </w:rPr>
        <w:t>o</w:t>
      </w:r>
      <w:r w:rsidRPr="009A0DA6">
        <w:rPr>
          <w:rFonts w:ascii="Cambria" w:eastAsia="Calibri" w:hAnsi="Cambria" w:cs="Calibri"/>
        </w:rPr>
        <w:t xml:space="preserve">f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2"/>
        </w:rPr>
        <w:t xml:space="preserve"> </w:t>
      </w:r>
      <w:r w:rsidRPr="009A0DA6">
        <w:rPr>
          <w:rFonts w:ascii="Cambria" w:eastAsia="Calibri" w:hAnsi="Cambria" w:cs="Calibri"/>
        </w:rPr>
        <w:t>p</w:t>
      </w:r>
      <w:r w:rsidRPr="009A0DA6">
        <w:rPr>
          <w:rFonts w:ascii="Cambria" w:eastAsia="Calibri" w:hAnsi="Cambria" w:cs="Calibri"/>
          <w:spacing w:val="-1"/>
        </w:rPr>
        <w:t>ub</w:t>
      </w:r>
      <w:r w:rsidRPr="009A0DA6">
        <w:rPr>
          <w:rFonts w:ascii="Cambria" w:eastAsia="Calibri" w:hAnsi="Cambria" w:cs="Calibri"/>
        </w:rPr>
        <w:t>lic</w:t>
      </w:r>
      <w:r w:rsidRPr="009A0DA6">
        <w:rPr>
          <w:rFonts w:ascii="Cambria" w:eastAsia="Calibri" w:hAnsi="Cambria" w:cs="Calibri"/>
          <w:spacing w:val="1"/>
        </w:rPr>
        <w:t xml:space="preserve"> m</w:t>
      </w:r>
      <w:r w:rsidRPr="009A0DA6">
        <w:rPr>
          <w:rFonts w:ascii="Cambria" w:eastAsia="Calibri" w:hAnsi="Cambria" w:cs="Calibri"/>
        </w:rPr>
        <w:t>i</w:t>
      </w:r>
      <w:r w:rsidRPr="009A0DA6">
        <w:rPr>
          <w:rFonts w:ascii="Cambria" w:eastAsia="Calibri" w:hAnsi="Cambria" w:cs="Calibri"/>
          <w:spacing w:val="-1"/>
        </w:rPr>
        <w:t>n</w:t>
      </w:r>
      <w:r w:rsidRPr="009A0DA6">
        <w:rPr>
          <w:rFonts w:ascii="Cambria" w:eastAsia="Calibri" w:hAnsi="Cambria" w:cs="Calibri"/>
        </w:rPr>
        <w:t>ist</w:t>
      </w:r>
      <w:r w:rsidRPr="009A0DA6">
        <w:rPr>
          <w:rFonts w:ascii="Cambria" w:eastAsia="Calibri" w:hAnsi="Cambria" w:cs="Calibri"/>
          <w:spacing w:val="-2"/>
        </w:rPr>
        <w:t>r</w:t>
      </w:r>
      <w:r w:rsidRPr="009A0DA6">
        <w:rPr>
          <w:rFonts w:ascii="Cambria" w:eastAsia="Calibri" w:hAnsi="Cambria" w:cs="Calibri"/>
        </w:rPr>
        <w:t>y</w:t>
      </w:r>
      <w:r w:rsidRPr="009A0DA6">
        <w:rPr>
          <w:rFonts w:ascii="Cambria" w:eastAsia="Calibri" w:hAnsi="Cambria" w:cs="Calibri"/>
          <w:spacing w:val="-1"/>
        </w:rPr>
        <w:t xml:space="preserve"> </w:t>
      </w:r>
      <w:r w:rsidRPr="009A0DA6">
        <w:rPr>
          <w:rFonts w:ascii="Cambria" w:eastAsia="Calibri" w:hAnsi="Cambria" w:cs="Calibri"/>
        </w:rPr>
        <w:t>that is artic</w:t>
      </w:r>
      <w:r w:rsidRPr="009A0DA6">
        <w:rPr>
          <w:rFonts w:ascii="Cambria" w:eastAsia="Calibri" w:hAnsi="Cambria" w:cs="Calibri"/>
          <w:spacing w:val="-1"/>
        </w:rPr>
        <w:t>u</w:t>
      </w:r>
      <w:r w:rsidRPr="009A0DA6">
        <w:rPr>
          <w:rFonts w:ascii="Cambria" w:eastAsia="Calibri" w:hAnsi="Cambria" w:cs="Calibri"/>
        </w:rPr>
        <w:t>lated in</w:t>
      </w:r>
      <w:r w:rsidRPr="009A0DA6">
        <w:rPr>
          <w:rFonts w:ascii="Cambria" w:eastAsia="Calibri" w:hAnsi="Cambria" w:cs="Calibri"/>
          <w:spacing w:val="-3"/>
        </w:rPr>
        <w:t xml:space="preserve"> </w:t>
      </w:r>
      <w:r w:rsidRPr="009A0DA6">
        <w:rPr>
          <w:rFonts w:ascii="Cambria" w:eastAsia="Calibri" w:hAnsi="Cambria" w:cs="Calibri"/>
        </w:rPr>
        <w:t>the</w:t>
      </w:r>
      <w:r w:rsidRPr="009A0DA6">
        <w:rPr>
          <w:rFonts w:ascii="Cambria" w:eastAsia="Calibri" w:hAnsi="Cambria" w:cs="Calibri"/>
          <w:spacing w:val="-2"/>
        </w:rPr>
        <w:t xml:space="preserve"> </w:t>
      </w:r>
      <w:r w:rsidRPr="009A0DA6">
        <w:rPr>
          <w:rFonts w:ascii="Cambria" w:eastAsia="Calibri" w:hAnsi="Cambria" w:cs="Calibri"/>
          <w:spacing w:val="1"/>
        </w:rPr>
        <w:t>L</w:t>
      </w:r>
      <w:r w:rsidRPr="009A0DA6">
        <w:rPr>
          <w:rFonts w:ascii="Cambria" w:eastAsia="Calibri" w:hAnsi="Cambria" w:cs="Calibri"/>
          <w:spacing w:val="-1"/>
        </w:rPr>
        <w:t>u</w:t>
      </w:r>
      <w:r w:rsidRPr="009A0DA6">
        <w:rPr>
          <w:rFonts w:ascii="Cambria" w:eastAsia="Calibri" w:hAnsi="Cambria" w:cs="Calibri"/>
        </w:rPr>
        <w:t>theran</w:t>
      </w:r>
      <w:r w:rsidRPr="009A0DA6">
        <w:rPr>
          <w:rFonts w:ascii="Cambria" w:eastAsia="Calibri" w:hAnsi="Cambria" w:cs="Calibri"/>
          <w:spacing w:val="-3"/>
        </w:rPr>
        <w:t xml:space="preserve"> </w:t>
      </w:r>
      <w:r w:rsidRPr="009A0DA6">
        <w:rPr>
          <w:rFonts w:ascii="Cambria" w:eastAsia="Calibri" w:hAnsi="Cambria" w:cs="Calibri"/>
        </w:rPr>
        <w:t>C</w:t>
      </w:r>
      <w:r w:rsidRPr="009A0DA6">
        <w:rPr>
          <w:rFonts w:ascii="Cambria" w:eastAsia="Calibri" w:hAnsi="Cambria" w:cs="Calibri"/>
          <w:spacing w:val="1"/>
        </w:rPr>
        <w:t>o</w:t>
      </w:r>
      <w:r w:rsidRPr="009A0DA6">
        <w:rPr>
          <w:rFonts w:ascii="Cambria" w:eastAsia="Calibri" w:hAnsi="Cambria" w:cs="Calibri"/>
          <w:spacing w:val="-1"/>
        </w:rPr>
        <w:t>n</w:t>
      </w:r>
      <w:r w:rsidRPr="009A0DA6">
        <w:rPr>
          <w:rFonts w:ascii="Cambria" w:eastAsia="Calibri" w:hAnsi="Cambria" w:cs="Calibri"/>
        </w:rPr>
        <w:t>fess</w:t>
      </w:r>
      <w:r w:rsidRPr="009A0DA6">
        <w:rPr>
          <w:rFonts w:ascii="Cambria" w:eastAsia="Calibri" w:hAnsi="Cambria" w:cs="Calibri"/>
          <w:spacing w:val="-2"/>
        </w:rPr>
        <w:t>i</w:t>
      </w:r>
      <w:r w:rsidRPr="009A0DA6">
        <w:rPr>
          <w:rFonts w:ascii="Cambria" w:eastAsia="Calibri" w:hAnsi="Cambria" w:cs="Calibri"/>
          <w:spacing w:val="1"/>
        </w:rPr>
        <w:t>o</w:t>
      </w:r>
      <w:r w:rsidRPr="009A0DA6">
        <w:rPr>
          <w:rFonts w:ascii="Cambria" w:eastAsia="Calibri" w:hAnsi="Cambria" w:cs="Calibri"/>
          <w:spacing w:val="-1"/>
        </w:rPr>
        <w:t>n</w:t>
      </w:r>
      <w:r w:rsidRPr="009A0DA6">
        <w:rPr>
          <w:rFonts w:ascii="Cambria" w:eastAsia="Calibri" w:hAnsi="Cambria" w:cs="Calibri"/>
        </w:rPr>
        <w:t>s. S</w:t>
      </w:r>
      <w:r w:rsidRPr="009A0DA6">
        <w:rPr>
          <w:rFonts w:ascii="Cambria" w:eastAsia="Calibri" w:hAnsi="Cambria" w:cs="Calibri"/>
          <w:spacing w:val="-1"/>
        </w:rPr>
        <w:t>u</w:t>
      </w:r>
      <w:r w:rsidRPr="009A0DA6">
        <w:rPr>
          <w:rFonts w:ascii="Cambria" w:eastAsia="Calibri" w:hAnsi="Cambria" w:cs="Calibri"/>
        </w:rPr>
        <w:t>ch a</w:t>
      </w:r>
      <w:r w:rsidRPr="009A0DA6">
        <w:rPr>
          <w:rFonts w:ascii="Cambria" w:eastAsia="Calibri" w:hAnsi="Cambria" w:cs="Calibri"/>
          <w:spacing w:val="-2"/>
        </w:rPr>
        <w:t xml:space="preserve"> </w:t>
      </w:r>
      <w:r w:rsidRPr="009A0DA6">
        <w:rPr>
          <w:rFonts w:ascii="Cambria" w:eastAsia="Calibri" w:hAnsi="Cambria" w:cs="Calibri"/>
        </w:rPr>
        <w:t>claim</w:t>
      </w:r>
      <w:r w:rsidRPr="009A0DA6">
        <w:rPr>
          <w:rFonts w:ascii="Cambria" w:eastAsia="Calibri" w:hAnsi="Cambria" w:cs="Calibri"/>
          <w:spacing w:val="-1"/>
        </w:rPr>
        <w:t xml:space="preserve"> </w:t>
      </w:r>
      <w:r w:rsidRPr="009A0DA6">
        <w:rPr>
          <w:rFonts w:ascii="Cambria" w:eastAsia="Calibri" w:hAnsi="Cambria" w:cs="Calibri"/>
          <w:spacing w:val="-2"/>
        </w:rPr>
        <w:t>i</w:t>
      </w:r>
      <w:r w:rsidRPr="009A0DA6">
        <w:rPr>
          <w:rFonts w:ascii="Cambria" w:eastAsia="Calibri" w:hAnsi="Cambria" w:cs="Calibri"/>
        </w:rPr>
        <w:t xml:space="preserve">s false. </w:t>
      </w:r>
      <w:r w:rsidRPr="009A0DA6">
        <w:rPr>
          <w:rFonts w:ascii="Cambria" w:eastAsia="Calibri" w:hAnsi="Cambria" w:cs="Calibri"/>
          <w:spacing w:val="1"/>
        </w:rPr>
        <w:t>T</w:t>
      </w:r>
      <w:r w:rsidRPr="009A0DA6">
        <w:rPr>
          <w:rFonts w:ascii="Cambria" w:eastAsia="Calibri" w:hAnsi="Cambria" w:cs="Calibri"/>
          <w:spacing w:val="-3"/>
        </w:rPr>
        <w:t>h</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spacing w:val="-2"/>
        </w:rPr>
        <w:t>C</w:t>
      </w:r>
      <w:r w:rsidRPr="009A0DA6">
        <w:rPr>
          <w:rFonts w:ascii="Cambria" w:eastAsia="Calibri" w:hAnsi="Cambria" w:cs="Calibri"/>
          <w:spacing w:val="1"/>
        </w:rPr>
        <w:t>o</w:t>
      </w:r>
      <w:r w:rsidRPr="009A0DA6">
        <w:rPr>
          <w:rFonts w:ascii="Cambria" w:eastAsia="Calibri" w:hAnsi="Cambria" w:cs="Calibri"/>
          <w:spacing w:val="-1"/>
        </w:rPr>
        <w:t>n</w:t>
      </w:r>
      <w:r w:rsidRPr="009A0DA6">
        <w:rPr>
          <w:rFonts w:ascii="Cambria" w:eastAsia="Calibri" w:hAnsi="Cambria" w:cs="Calibri"/>
        </w:rPr>
        <w:t>fess</w:t>
      </w:r>
      <w:r w:rsidRPr="009A0DA6">
        <w:rPr>
          <w:rFonts w:ascii="Cambria" w:eastAsia="Calibri" w:hAnsi="Cambria" w:cs="Calibri"/>
          <w:spacing w:val="-2"/>
        </w:rPr>
        <w:t>i</w:t>
      </w:r>
      <w:r w:rsidRPr="009A0DA6">
        <w:rPr>
          <w:rFonts w:ascii="Cambria" w:eastAsia="Calibri" w:hAnsi="Cambria" w:cs="Calibri"/>
          <w:spacing w:val="1"/>
        </w:rPr>
        <w:t>o</w:t>
      </w:r>
      <w:r w:rsidRPr="009A0DA6">
        <w:rPr>
          <w:rFonts w:ascii="Cambria" w:eastAsia="Calibri" w:hAnsi="Cambria" w:cs="Calibri"/>
          <w:spacing w:val="-1"/>
        </w:rPr>
        <w:t>n</w:t>
      </w:r>
      <w:r w:rsidRPr="009A0DA6">
        <w:rPr>
          <w:rFonts w:ascii="Cambria" w:eastAsia="Calibri" w:hAnsi="Cambria" w:cs="Calibri"/>
        </w:rPr>
        <w:t xml:space="preserve">s </w:t>
      </w:r>
      <w:r w:rsidRPr="009A0DA6">
        <w:rPr>
          <w:rFonts w:ascii="Cambria" w:eastAsia="Calibri" w:hAnsi="Cambria" w:cs="Calibri"/>
          <w:spacing w:val="-1"/>
        </w:rPr>
        <w:t>t</w:t>
      </w:r>
      <w:r w:rsidRPr="009A0DA6">
        <w:rPr>
          <w:rFonts w:ascii="Cambria" w:eastAsia="Calibri" w:hAnsi="Cambria" w:cs="Calibri"/>
        </w:rPr>
        <w:t>e</w:t>
      </w:r>
      <w:r w:rsidRPr="009A0DA6">
        <w:rPr>
          <w:rFonts w:ascii="Cambria" w:eastAsia="Calibri" w:hAnsi="Cambria" w:cs="Calibri"/>
          <w:spacing w:val="-2"/>
        </w:rPr>
        <w:t>a</w:t>
      </w:r>
      <w:r w:rsidRPr="009A0DA6">
        <w:rPr>
          <w:rFonts w:ascii="Cambria" w:eastAsia="Calibri" w:hAnsi="Cambria" w:cs="Calibri"/>
        </w:rPr>
        <w:t xml:space="preserve">ch that </w:t>
      </w:r>
      <w:r w:rsidRPr="009A0DA6">
        <w:rPr>
          <w:rFonts w:ascii="Cambria" w:eastAsia="Calibri" w:hAnsi="Cambria" w:cs="Calibri"/>
          <w:spacing w:val="1"/>
        </w:rPr>
        <w:t>t</w:t>
      </w:r>
      <w:r w:rsidRPr="009A0DA6">
        <w:rPr>
          <w:rFonts w:ascii="Cambria" w:eastAsia="Calibri" w:hAnsi="Cambria" w:cs="Calibri"/>
          <w:spacing w:val="-3"/>
        </w:rPr>
        <w:t>h</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spacing w:val="-1"/>
        </w:rPr>
        <w:t>p</w:t>
      </w:r>
      <w:r w:rsidRPr="009A0DA6">
        <w:rPr>
          <w:rFonts w:ascii="Cambria" w:eastAsia="Calibri" w:hAnsi="Cambria" w:cs="Calibri"/>
        </w:rPr>
        <w:t>as</w:t>
      </w:r>
      <w:r w:rsidRPr="009A0DA6">
        <w:rPr>
          <w:rFonts w:ascii="Cambria" w:eastAsia="Calibri" w:hAnsi="Cambria" w:cs="Calibri"/>
          <w:spacing w:val="-2"/>
        </w:rPr>
        <w:t>t</w:t>
      </w:r>
      <w:r w:rsidRPr="009A0DA6">
        <w:rPr>
          <w:rFonts w:ascii="Cambria" w:eastAsia="Calibri" w:hAnsi="Cambria" w:cs="Calibri"/>
          <w:spacing w:val="1"/>
        </w:rPr>
        <w:t>o</w:t>
      </w:r>
      <w:r w:rsidRPr="009A0DA6">
        <w:rPr>
          <w:rFonts w:ascii="Cambria" w:eastAsia="Calibri" w:hAnsi="Cambria" w:cs="Calibri"/>
        </w:rPr>
        <w:t>ral</w:t>
      </w:r>
      <w:r w:rsidRPr="009A0DA6">
        <w:rPr>
          <w:rFonts w:ascii="Cambria" w:eastAsia="Calibri" w:hAnsi="Cambria" w:cs="Calibri"/>
          <w:spacing w:val="-2"/>
        </w:rPr>
        <w:t xml:space="preserve"> </w:t>
      </w:r>
      <w:r w:rsidRPr="009A0DA6">
        <w:rPr>
          <w:rFonts w:ascii="Cambria" w:eastAsia="Calibri" w:hAnsi="Cambria" w:cs="Calibri"/>
          <w:spacing w:val="1"/>
        </w:rPr>
        <w:t>o</w:t>
      </w:r>
      <w:r w:rsidRPr="009A0DA6">
        <w:rPr>
          <w:rFonts w:ascii="Cambria" w:eastAsia="Calibri" w:hAnsi="Cambria" w:cs="Calibri"/>
        </w:rPr>
        <w:t>ff</w:t>
      </w:r>
      <w:r w:rsidRPr="009A0DA6">
        <w:rPr>
          <w:rFonts w:ascii="Cambria" w:eastAsia="Calibri" w:hAnsi="Cambria" w:cs="Calibri"/>
          <w:spacing w:val="-1"/>
        </w:rPr>
        <w:t>i</w:t>
      </w:r>
      <w:r w:rsidRPr="009A0DA6">
        <w:rPr>
          <w:rFonts w:ascii="Cambria" w:eastAsia="Calibri" w:hAnsi="Cambria" w:cs="Calibri"/>
          <w:spacing w:val="-2"/>
        </w:rPr>
        <w:t>c</w:t>
      </w:r>
      <w:r w:rsidRPr="009A0DA6">
        <w:rPr>
          <w:rFonts w:ascii="Cambria" w:eastAsia="Calibri" w:hAnsi="Cambria" w:cs="Calibri"/>
        </w:rPr>
        <w:t xml:space="preserve">e </w:t>
      </w:r>
      <w:r w:rsidRPr="009A0DA6">
        <w:rPr>
          <w:rFonts w:ascii="Cambria" w:eastAsia="Calibri" w:hAnsi="Cambria" w:cs="Calibri"/>
          <w:spacing w:val="-1"/>
        </w:rPr>
        <w:t>h</w:t>
      </w:r>
      <w:r w:rsidRPr="009A0DA6">
        <w:rPr>
          <w:rFonts w:ascii="Cambria" w:eastAsia="Calibri" w:hAnsi="Cambria" w:cs="Calibri"/>
        </w:rPr>
        <w:t>as been i</w:t>
      </w:r>
      <w:r w:rsidRPr="009A0DA6">
        <w:rPr>
          <w:rFonts w:ascii="Cambria" w:eastAsia="Calibri" w:hAnsi="Cambria" w:cs="Calibri"/>
          <w:spacing w:val="-1"/>
        </w:rPr>
        <w:t>n</w:t>
      </w:r>
      <w:r w:rsidRPr="009A0DA6">
        <w:rPr>
          <w:rFonts w:ascii="Cambria" w:eastAsia="Calibri" w:hAnsi="Cambria" w:cs="Calibri"/>
        </w:rPr>
        <w:t>st</w:t>
      </w:r>
      <w:r w:rsidRPr="009A0DA6">
        <w:rPr>
          <w:rFonts w:ascii="Cambria" w:eastAsia="Calibri" w:hAnsi="Cambria" w:cs="Calibri"/>
          <w:spacing w:val="-2"/>
        </w:rPr>
        <w:t>i</w:t>
      </w:r>
      <w:r w:rsidRPr="009A0DA6">
        <w:rPr>
          <w:rFonts w:ascii="Cambria" w:eastAsia="Calibri" w:hAnsi="Cambria" w:cs="Calibri"/>
        </w:rPr>
        <w:t xml:space="preserve">tuted </w:t>
      </w:r>
      <w:r w:rsidRPr="009A0DA6">
        <w:rPr>
          <w:rFonts w:ascii="Cambria" w:eastAsia="Calibri" w:hAnsi="Cambria" w:cs="Calibri"/>
          <w:spacing w:val="-3"/>
        </w:rPr>
        <w:t>b</w:t>
      </w:r>
      <w:r w:rsidRPr="009A0DA6">
        <w:rPr>
          <w:rFonts w:ascii="Cambria" w:eastAsia="Calibri" w:hAnsi="Cambria" w:cs="Calibri"/>
        </w:rPr>
        <w:t>y</w:t>
      </w:r>
      <w:r w:rsidRPr="009A0DA6">
        <w:rPr>
          <w:rFonts w:ascii="Cambria" w:eastAsia="Calibri" w:hAnsi="Cambria" w:cs="Calibri"/>
          <w:spacing w:val="1"/>
        </w:rPr>
        <w:t xml:space="preserve"> </w:t>
      </w:r>
      <w:r w:rsidRPr="009A0DA6">
        <w:rPr>
          <w:rFonts w:ascii="Cambria" w:eastAsia="Calibri" w:hAnsi="Cambria" w:cs="Calibri"/>
        </w:rPr>
        <w:t>Chr</w:t>
      </w:r>
      <w:r w:rsidRPr="009A0DA6">
        <w:rPr>
          <w:rFonts w:ascii="Cambria" w:eastAsia="Calibri" w:hAnsi="Cambria" w:cs="Calibri"/>
          <w:spacing w:val="-3"/>
        </w:rPr>
        <w:t>i</w:t>
      </w:r>
      <w:r w:rsidRPr="009A0DA6">
        <w:rPr>
          <w:rFonts w:ascii="Cambria" w:eastAsia="Calibri" w:hAnsi="Cambria" w:cs="Calibri"/>
        </w:rPr>
        <w:t>st</w:t>
      </w:r>
      <w:r w:rsidRPr="009A0DA6">
        <w:rPr>
          <w:rFonts w:ascii="Cambria" w:eastAsia="Calibri" w:hAnsi="Cambria" w:cs="Calibri"/>
          <w:spacing w:val="1"/>
        </w:rPr>
        <w:t xml:space="preserve"> </w:t>
      </w:r>
      <w:r w:rsidRPr="009A0DA6">
        <w:rPr>
          <w:rFonts w:ascii="Cambria" w:eastAsia="Calibri" w:hAnsi="Cambria" w:cs="Calibri"/>
        </w:rPr>
        <w:t>f</w:t>
      </w:r>
      <w:r w:rsidRPr="009A0DA6">
        <w:rPr>
          <w:rFonts w:ascii="Cambria" w:eastAsia="Calibri" w:hAnsi="Cambria" w:cs="Calibri"/>
          <w:spacing w:val="1"/>
        </w:rPr>
        <w:t>o</w:t>
      </w:r>
      <w:r w:rsidRPr="009A0DA6">
        <w:rPr>
          <w:rFonts w:ascii="Cambria" w:eastAsia="Calibri" w:hAnsi="Cambria" w:cs="Calibri"/>
        </w:rPr>
        <w:t>r</w:t>
      </w:r>
      <w:r w:rsidRPr="009A0DA6">
        <w:rPr>
          <w:rFonts w:ascii="Cambria" w:eastAsia="Calibri" w:hAnsi="Cambria" w:cs="Calibri"/>
          <w:spacing w:val="-2"/>
        </w:rPr>
        <w:t xml:space="preserve">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rPr>
        <w:t>s</w:t>
      </w:r>
      <w:r w:rsidRPr="009A0DA6">
        <w:rPr>
          <w:rFonts w:ascii="Cambria" w:eastAsia="Calibri" w:hAnsi="Cambria" w:cs="Calibri"/>
          <w:spacing w:val="1"/>
        </w:rPr>
        <w:t>o</w:t>
      </w:r>
      <w:r w:rsidRPr="009A0DA6">
        <w:rPr>
          <w:rFonts w:ascii="Cambria" w:eastAsia="Calibri" w:hAnsi="Cambria" w:cs="Calibri"/>
          <w:spacing w:val="-3"/>
        </w:rPr>
        <w:t>l</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spacing w:val="-1"/>
        </w:rPr>
        <w:t>pu</w:t>
      </w:r>
      <w:r w:rsidRPr="009A0DA6">
        <w:rPr>
          <w:rFonts w:ascii="Cambria" w:eastAsia="Calibri" w:hAnsi="Cambria" w:cs="Calibri"/>
        </w:rPr>
        <w:t>r</w:t>
      </w:r>
      <w:r w:rsidRPr="009A0DA6">
        <w:rPr>
          <w:rFonts w:ascii="Cambria" w:eastAsia="Calibri" w:hAnsi="Cambria" w:cs="Calibri"/>
          <w:spacing w:val="-1"/>
        </w:rPr>
        <w:t>p</w:t>
      </w:r>
      <w:r w:rsidRPr="009A0DA6">
        <w:rPr>
          <w:rFonts w:ascii="Cambria" w:eastAsia="Calibri" w:hAnsi="Cambria" w:cs="Calibri"/>
          <w:spacing w:val="1"/>
        </w:rPr>
        <w:t>o</w:t>
      </w:r>
      <w:r w:rsidRPr="009A0DA6">
        <w:rPr>
          <w:rFonts w:ascii="Cambria" w:eastAsia="Calibri" w:hAnsi="Cambria" w:cs="Calibri"/>
          <w:spacing w:val="-2"/>
        </w:rPr>
        <w:t>s</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spacing w:val="1"/>
        </w:rPr>
        <w:t>o</w:t>
      </w:r>
      <w:r w:rsidRPr="009A0DA6">
        <w:rPr>
          <w:rFonts w:ascii="Cambria" w:eastAsia="Calibri" w:hAnsi="Cambria" w:cs="Calibri"/>
        </w:rPr>
        <w:t xml:space="preserve">f </w:t>
      </w:r>
      <w:r w:rsidRPr="009A0DA6">
        <w:rPr>
          <w:rFonts w:ascii="Cambria" w:eastAsia="Calibri" w:hAnsi="Cambria" w:cs="Calibri"/>
          <w:spacing w:val="-2"/>
        </w:rPr>
        <w:t>s</w:t>
      </w:r>
      <w:r w:rsidRPr="009A0DA6">
        <w:rPr>
          <w:rFonts w:ascii="Cambria" w:eastAsia="Calibri" w:hAnsi="Cambria" w:cs="Calibri"/>
        </w:rPr>
        <w:t>er</w:t>
      </w:r>
      <w:r w:rsidRPr="009A0DA6">
        <w:rPr>
          <w:rFonts w:ascii="Cambria" w:eastAsia="Calibri" w:hAnsi="Cambria" w:cs="Calibri"/>
          <w:spacing w:val="1"/>
        </w:rPr>
        <w:t>v</w:t>
      </w:r>
      <w:r w:rsidRPr="009A0DA6">
        <w:rPr>
          <w:rFonts w:ascii="Cambria" w:eastAsia="Calibri" w:hAnsi="Cambria" w:cs="Calibri"/>
        </w:rPr>
        <w:t>i</w:t>
      </w:r>
      <w:r w:rsidRPr="009A0DA6">
        <w:rPr>
          <w:rFonts w:ascii="Cambria" w:eastAsia="Calibri" w:hAnsi="Cambria" w:cs="Calibri"/>
          <w:spacing w:val="-1"/>
        </w:rPr>
        <w:t>n</w:t>
      </w:r>
      <w:r w:rsidRPr="009A0DA6">
        <w:rPr>
          <w:rFonts w:ascii="Cambria" w:eastAsia="Calibri" w:hAnsi="Cambria" w:cs="Calibri"/>
        </w:rPr>
        <w:t>g</w:t>
      </w:r>
      <w:r w:rsidRPr="009A0DA6">
        <w:rPr>
          <w:rFonts w:ascii="Cambria" w:eastAsia="Calibri" w:hAnsi="Cambria" w:cs="Calibri"/>
          <w:spacing w:val="-1"/>
        </w:rPr>
        <w:t xml:space="preserve"> </w:t>
      </w:r>
      <w:r w:rsidRPr="009A0DA6">
        <w:rPr>
          <w:rFonts w:ascii="Cambria" w:eastAsia="Calibri" w:hAnsi="Cambria" w:cs="Calibri"/>
        </w:rPr>
        <w:t>his</w:t>
      </w:r>
      <w:r w:rsidRPr="009A0DA6">
        <w:rPr>
          <w:rFonts w:ascii="Cambria" w:eastAsia="Calibri" w:hAnsi="Cambria" w:cs="Calibri"/>
          <w:spacing w:val="-2"/>
        </w:rPr>
        <w:t xml:space="preserve"> </w:t>
      </w:r>
      <w:r w:rsidRPr="009A0DA6">
        <w:rPr>
          <w:rFonts w:ascii="Cambria" w:eastAsia="Calibri" w:hAnsi="Cambria" w:cs="Calibri"/>
        </w:rPr>
        <w:t>w</w:t>
      </w:r>
      <w:r w:rsidRPr="009A0DA6">
        <w:rPr>
          <w:rFonts w:ascii="Cambria" w:eastAsia="Calibri" w:hAnsi="Cambria" w:cs="Calibri"/>
          <w:spacing w:val="2"/>
        </w:rPr>
        <w:t>o</w:t>
      </w:r>
      <w:r w:rsidRPr="009A0DA6">
        <w:rPr>
          <w:rFonts w:ascii="Cambria" w:eastAsia="Calibri" w:hAnsi="Cambria" w:cs="Calibri"/>
        </w:rPr>
        <w:t>r</w:t>
      </w:r>
      <w:r w:rsidRPr="009A0DA6">
        <w:rPr>
          <w:rFonts w:ascii="Cambria" w:eastAsia="Calibri" w:hAnsi="Cambria" w:cs="Calibri"/>
          <w:spacing w:val="-1"/>
        </w:rPr>
        <w:t>d</w:t>
      </w:r>
      <w:r w:rsidRPr="009A0DA6">
        <w:rPr>
          <w:rFonts w:ascii="Cambria" w:eastAsia="Calibri" w:hAnsi="Cambria" w:cs="Calibri"/>
        </w:rPr>
        <w:t>.</w:t>
      </w:r>
      <w:r w:rsidRPr="009A0DA6">
        <w:rPr>
          <w:rStyle w:val="FootnoteReference"/>
          <w:rFonts w:ascii="Cambria" w:eastAsia="Calibri" w:hAnsi="Cambria" w:cs="Calibri"/>
        </w:rPr>
        <w:footnoteReference w:id="17"/>
      </w:r>
      <w:r w:rsidRPr="009A0DA6">
        <w:rPr>
          <w:rFonts w:ascii="Cambria" w:eastAsia="Calibri" w:hAnsi="Cambria" w:cs="Calibri"/>
          <w:spacing w:val="17"/>
          <w:position w:val="8"/>
        </w:rPr>
        <w:t xml:space="preserve"> </w:t>
      </w:r>
      <w:r w:rsidRPr="009A0DA6">
        <w:rPr>
          <w:rFonts w:ascii="Cambria" w:eastAsia="Calibri" w:hAnsi="Cambria" w:cs="Calibri"/>
        </w:rPr>
        <w:t>This</w:t>
      </w:r>
      <w:r w:rsidRPr="009A0DA6">
        <w:rPr>
          <w:rFonts w:ascii="Cambria" w:eastAsia="Calibri" w:hAnsi="Cambria" w:cs="Calibri"/>
          <w:spacing w:val="-2"/>
        </w:rPr>
        <w:t xml:space="preserve"> </w:t>
      </w:r>
      <w:r w:rsidRPr="009A0DA6">
        <w:rPr>
          <w:rFonts w:ascii="Cambria" w:eastAsia="Calibri" w:hAnsi="Cambria" w:cs="Calibri"/>
          <w:spacing w:val="1"/>
        </w:rPr>
        <w:t>m</w:t>
      </w:r>
      <w:r w:rsidRPr="009A0DA6">
        <w:rPr>
          <w:rFonts w:ascii="Cambria" w:eastAsia="Calibri" w:hAnsi="Cambria" w:cs="Calibri"/>
        </w:rPr>
        <w:t>ea</w:t>
      </w:r>
      <w:r w:rsidRPr="009A0DA6">
        <w:rPr>
          <w:rFonts w:ascii="Cambria" w:eastAsia="Calibri" w:hAnsi="Cambria" w:cs="Calibri"/>
          <w:spacing w:val="-3"/>
        </w:rPr>
        <w:t>n</w:t>
      </w:r>
      <w:r w:rsidRPr="009A0DA6">
        <w:rPr>
          <w:rFonts w:ascii="Cambria" w:eastAsia="Calibri" w:hAnsi="Cambria" w:cs="Calibri"/>
        </w:rPr>
        <w:t xml:space="preserve">s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at</w:t>
      </w:r>
      <w:r w:rsidRPr="009A0DA6">
        <w:rPr>
          <w:rFonts w:ascii="Cambria" w:eastAsia="Calibri" w:hAnsi="Cambria" w:cs="Calibri"/>
          <w:spacing w:val="-1"/>
        </w:rPr>
        <w:t xml:space="preserve"> </w:t>
      </w:r>
      <w:r w:rsidRPr="009A0DA6">
        <w:rPr>
          <w:rFonts w:ascii="Cambria" w:eastAsia="Calibri" w:hAnsi="Cambria" w:cs="Calibri"/>
          <w:spacing w:val="1"/>
        </w:rPr>
        <w:t>o</w:t>
      </w:r>
      <w:r w:rsidRPr="009A0DA6">
        <w:rPr>
          <w:rFonts w:ascii="Cambria" w:eastAsia="Calibri" w:hAnsi="Cambria" w:cs="Calibri"/>
        </w:rPr>
        <w:t>r</w:t>
      </w:r>
      <w:r w:rsidRPr="009A0DA6">
        <w:rPr>
          <w:rFonts w:ascii="Cambria" w:eastAsia="Calibri" w:hAnsi="Cambria" w:cs="Calibri"/>
          <w:spacing w:val="-1"/>
        </w:rPr>
        <w:t>d</w:t>
      </w:r>
      <w:r w:rsidRPr="009A0DA6">
        <w:rPr>
          <w:rFonts w:ascii="Cambria" w:eastAsia="Calibri" w:hAnsi="Cambria" w:cs="Calibri"/>
        </w:rPr>
        <w:t>ai</w:t>
      </w:r>
      <w:r w:rsidRPr="009A0DA6">
        <w:rPr>
          <w:rFonts w:ascii="Cambria" w:eastAsia="Calibri" w:hAnsi="Cambria" w:cs="Calibri"/>
          <w:spacing w:val="-1"/>
        </w:rPr>
        <w:t>n</w:t>
      </w:r>
      <w:r w:rsidRPr="009A0DA6">
        <w:rPr>
          <w:rFonts w:ascii="Cambria" w:eastAsia="Calibri" w:hAnsi="Cambria" w:cs="Calibri"/>
        </w:rPr>
        <w:t>i</w:t>
      </w:r>
      <w:r w:rsidRPr="009A0DA6">
        <w:rPr>
          <w:rFonts w:ascii="Cambria" w:eastAsia="Calibri" w:hAnsi="Cambria" w:cs="Calibri"/>
          <w:spacing w:val="-1"/>
        </w:rPr>
        <w:t>n</w:t>
      </w:r>
      <w:r w:rsidRPr="009A0DA6">
        <w:rPr>
          <w:rFonts w:ascii="Cambria" w:eastAsia="Calibri" w:hAnsi="Cambria" w:cs="Calibri"/>
        </w:rPr>
        <w:t>g</w:t>
      </w:r>
      <w:r w:rsidRPr="009A0DA6">
        <w:rPr>
          <w:rFonts w:ascii="Cambria" w:eastAsia="Calibri" w:hAnsi="Cambria" w:cs="Calibri"/>
          <w:spacing w:val="-1"/>
        </w:rPr>
        <w:t xml:space="preserve"> w</w:t>
      </w:r>
      <w:r w:rsidRPr="009A0DA6">
        <w:rPr>
          <w:rFonts w:ascii="Cambria" w:eastAsia="Calibri" w:hAnsi="Cambria" w:cs="Calibri"/>
          <w:spacing w:val="1"/>
        </w:rPr>
        <w:t>o</w:t>
      </w:r>
      <w:r w:rsidRPr="009A0DA6">
        <w:rPr>
          <w:rFonts w:ascii="Cambria" w:eastAsia="Calibri" w:hAnsi="Cambria" w:cs="Calibri"/>
          <w:spacing w:val="-1"/>
        </w:rPr>
        <w:t>m</w:t>
      </w:r>
      <w:r w:rsidRPr="009A0DA6">
        <w:rPr>
          <w:rFonts w:ascii="Cambria" w:eastAsia="Calibri" w:hAnsi="Cambria" w:cs="Calibri"/>
        </w:rPr>
        <w:t xml:space="preserve">en in </w:t>
      </w:r>
      <w:r w:rsidRPr="009A0DA6">
        <w:rPr>
          <w:rFonts w:ascii="Cambria" w:eastAsia="Calibri" w:hAnsi="Cambria" w:cs="Calibri"/>
          <w:spacing w:val="-1"/>
        </w:rPr>
        <w:t>d</w:t>
      </w:r>
      <w:r w:rsidRPr="009A0DA6">
        <w:rPr>
          <w:rFonts w:ascii="Cambria" w:eastAsia="Calibri" w:hAnsi="Cambria" w:cs="Calibri"/>
        </w:rPr>
        <w:t>efia</w:t>
      </w:r>
      <w:r w:rsidRPr="009A0DA6">
        <w:rPr>
          <w:rFonts w:ascii="Cambria" w:eastAsia="Calibri" w:hAnsi="Cambria" w:cs="Calibri"/>
          <w:spacing w:val="-1"/>
        </w:rPr>
        <w:t>n</w:t>
      </w:r>
      <w:r w:rsidRPr="009A0DA6">
        <w:rPr>
          <w:rFonts w:ascii="Cambria" w:eastAsia="Calibri" w:hAnsi="Cambria" w:cs="Calibri"/>
        </w:rPr>
        <w:t>ce</w:t>
      </w:r>
      <w:r w:rsidRPr="009A0DA6">
        <w:rPr>
          <w:rFonts w:ascii="Cambria" w:eastAsia="Calibri" w:hAnsi="Cambria" w:cs="Calibri"/>
          <w:spacing w:val="-1"/>
        </w:rPr>
        <w:t xml:space="preserve"> </w:t>
      </w:r>
      <w:r w:rsidRPr="009A0DA6">
        <w:rPr>
          <w:rFonts w:ascii="Cambria" w:eastAsia="Calibri" w:hAnsi="Cambria" w:cs="Calibri"/>
          <w:spacing w:val="1"/>
        </w:rPr>
        <w:t>o</w:t>
      </w:r>
      <w:r w:rsidRPr="009A0DA6">
        <w:rPr>
          <w:rFonts w:ascii="Cambria" w:eastAsia="Calibri" w:hAnsi="Cambria" w:cs="Calibri"/>
        </w:rPr>
        <w:t xml:space="preserve">f </w:t>
      </w:r>
      <w:r w:rsidRPr="009A0DA6">
        <w:rPr>
          <w:rFonts w:ascii="Cambria" w:eastAsia="Calibri" w:hAnsi="Cambria" w:cs="Calibri"/>
          <w:spacing w:val="-2"/>
        </w:rPr>
        <w:t>G</w:t>
      </w:r>
      <w:r w:rsidRPr="009A0DA6">
        <w:rPr>
          <w:rFonts w:ascii="Cambria" w:eastAsia="Calibri" w:hAnsi="Cambria" w:cs="Calibri"/>
          <w:spacing w:val="1"/>
        </w:rPr>
        <w:t>o</w:t>
      </w:r>
      <w:r w:rsidRPr="009A0DA6">
        <w:rPr>
          <w:rFonts w:ascii="Cambria" w:eastAsia="Calibri" w:hAnsi="Cambria" w:cs="Calibri"/>
          <w:spacing w:val="-1"/>
        </w:rPr>
        <w:t>d</w:t>
      </w:r>
      <w:r w:rsidRPr="009A0DA6">
        <w:rPr>
          <w:rFonts w:ascii="Cambria" w:eastAsia="Calibri" w:hAnsi="Cambria" w:cs="Calibri"/>
        </w:rPr>
        <w:t>’s</w:t>
      </w:r>
      <w:r w:rsidRPr="009A0DA6">
        <w:rPr>
          <w:rFonts w:ascii="Cambria" w:eastAsia="Calibri" w:hAnsi="Cambria" w:cs="Calibri"/>
          <w:spacing w:val="-2"/>
        </w:rPr>
        <w:t xml:space="preserve"> </w:t>
      </w:r>
      <w:r w:rsidRPr="009A0DA6">
        <w:rPr>
          <w:rFonts w:ascii="Cambria" w:eastAsia="Calibri" w:hAnsi="Cambria" w:cs="Calibri"/>
        </w:rPr>
        <w:t>w</w:t>
      </w:r>
      <w:r w:rsidRPr="009A0DA6">
        <w:rPr>
          <w:rFonts w:ascii="Cambria" w:eastAsia="Calibri" w:hAnsi="Cambria" w:cs="Calibri"/>
          <w:spacing w:val="2"/>
        </w:rPr>
        <w:t>o</w:t>
      </w:r>
      <w:r w:rsidRPr="009A0DA6">
        <w:rPr>
          <w:rFonts w:ascii="Cambria" w:eastAsia="Calibri" w:hAnsi="Cambria" w:cs="Calibri"/>
        </w:rPr>
        <w:t>rd</w:t>
      </w:r>
      <w:r w:rsidRPr="009A0DA6">
        <w:rPr>
          <w:rFonts w:ascii="Cambria" w:eastAsia="Calibri" w:hAnsi="Cambria" w:cs="Calibri"/>
          <w:spacing w:val="-1"/>
        </w:rPr>
        <w:t xml:space="preserve"> </w:t>
      </w:r>
      <w:r w:rsidRPr="009A0DA6">
        <w:rPr>
          <w:rFonts w:ascii="Cambria" w:eastAsia="Calibri" w:hAnsi="Cambria" w:cs="Calibri"/>
        </w:rPr>
        <w:t>u</w:t>
      </w:r>
      <w:r w:rsidRPr="009A0DA6">
        <w:rPr>
          <w:rFonts w:ascii="Cambria" w:eastAsia="Calibri" w:hAnsi="Cambria" w:cs="Calibri"/>
          <w:spacing w:val="-3"/>
        </w:rPr>
        <w:t>n</w:t>
      </w:r>
      <w:r w:rsidRPr="009A0DA6">
        <w:rPr>
          <w:rFonts w:ascii="Cambria" w:eastAsia="Calibri" w:hAnsi="Cambria" w:cs="Calibri"/>
          <w:spacing w:val="-1"/>
        </w:rPr>
        <w:t>d</w:t>
      </w:r>
      <w:r w:rsidRPr="009A0DA6">
        <w:rPr>
          <w:rFonts w:ascii="Cambria" w:eastAsia="Calibri" w:hAnsi="Cambria" w:cs="Calibri"/>
        </w:rPr>
        <w:t>er</w:t>
      </w:r>
      <w:r w:rsidRPr="009A0DA6">
        <w:rPr>
          <w:rFonts w:ascii="Cambria" w:eastAsia="Calibri" w:hAnsi="Cambria" w:cs="Calibri"/>
          <w:spacing w:val="1"/>
        </w:rPr>
        <w:t>m</w:t>
      </w:r>
      <w:r w:rsidRPr="009A0DA6">
        <w:rPr>
          <w:rFonts w:ascii="Cambria" w:eastAsia="Calibri" w:hAnsi="Cambria" w:cs="Calibri"/>
        </w:rPr>
        <w:t>i</w:t>
      </w:r>
      <w:r w:rsidRPr="009A0DA6">
        <w:rPr>
          <w:rFonts w:ascii="Cambria" w:eastAsia="Calibri" w:hAnsi="Cambria" w:cs="Calibri"/>
          <w:spacing w:val="-1"/>
        </w:rPr>
        <w:t>n</w:t>
      </w:r>
      <w:r w:rsidRPr="009A0DA6">
        <w:rPr>
          <w:rFonts w:ascii="Cambria" w:eastAsia="Calibri" w:hAnsi="Cambria" w:cs="Calibri"/>
        </w:rPr>
        <w:t>es</w:t>
      </w:r>
      <w:r w:rsidRPr="009A0DA6">
        <w:rPr>
          <w:rFonts w:ascii="Cambria" w:eastAsia="Calibri" w:hAnsi="Cambria" w:cs="Calibri"/>
          <w:spacing w:val="-2"/>
        </w:rPr>
        <w:t xml:space="preserve"> </w:t>
      </w:r>
      <w:r w:rsidRPr="009A0DA6">
        <w:rPr>
          <w:rFonts w:ascii="Cambria" w:eastAsia="Calibri" w:hAnsi="Cambria" w:cs="Calibri"/>
        </w:rPr>
        <w:t>b</w:t>
      </w:r>
      <w:r w:rsidRPr="009A0DA6">
        <w:rPr>
          <w:rFonts w:ascii="Cambria" w:eastAsia="Calibri" w:hAnsi="Cambria" w:cs="Calibri"/>
          <w:spacing w:val="1"/>
        </w:rPr>
        <w:t>o</w:t>
      </w:r>
      <w:r w:rsidRPr="009A0DA6">
        <w:rPr>
          <w:rFonts w:ascii="Cambria" w:eastAsia="Calibri" w:hAnsi="Cambria" w:cs="Calibri"/>
        </w:rPr>
        <w:t>th</w:t>
      </w:r>
      <w:r w:rsidRPr="009A0DA6">
        <w:rPr>
          <w:rFonts w:ascii="Cambria" w:eastAsia="Calibri" w:hAnsi="Cambria" w:cs="Calibri"/>
          <w:spacing w:val="-2"/>
        </w:rPr>
        <w:t xml:space="preserve"> </w:t>
      </w:r>
      <w:r w:rsidRPr="009A0DA6">
        <w:rPr>
          <w:rFonts w:ascii="Cambria" w:eastAsia="Calibri" w:hAnsi="Cambria" w:cs="Calibri"/>
          <w:spacing w:val="2"/>
        </w:rPr>
        <w:t>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spacing w:val="-3"/>
        </w:rPr>
        <w:t>f</w:t>
      </w:r>
      <w:r w:rsidRPr="009A0DA6">
        <w:rPr>
          <w:rFonts w:ascii="Cambria" w:eastAsia="Calibri" w:hAnsi="Cambria" w:cs="Calibri"/>
          <w:spacing w:val="1"/>
        </w:rPr>
        <w:t>o</w:t>
      </w:r>
      <w:r w:rsidRPr="009A0DA6">
        <w:rPr>
          <w:rFonts w:ascii="Cambria" w:eastAsia="Calibri" w:hAnsi="Cambria" w:cs="Calibri"/>
          <w:spacing w:val="-1"/>
        </w:rPr>
        <w:t>und</w:t>
      </w:r>
      <w:r w:rsidRPr="009A0DA6">
        <w:rPr>
          <w:rFonts w:ascii="Cambria" w:eastAsia="Calibri" w:hAnsi="Cambria" w:cs="Calibri"/>
        </w:rPr>
        <w:t>a</w:t>
      </w:r>
      <w:r w:rsidRPr="009A0DA6">
        <w:rPr>
          <w:rFonts w:ascii="Cambria" w:eastAsia="Calibri" w:hAnsi="Cambria" w:cs="Calibri"/>
          <w:spacing w:val="-2"/>
        </w:rPr>
        <w:t>t</w:t>
      </w:r>
      <w:r w:rsidRPr="009A0DA6">
        <w:rPr>
          <w:rFonts w:ascii="Cambria" w:eastAsia="Calibri" w:hAnsi="Cambria" w:cs="Calibri"/>
        </w:rPr>
        <w:t>i</w:t>
      </w:r>
      <w:r w:rsidRPr="009A0DA6">
        <w:rPr>
          <w:rFonts w:ascii="Cambria" w:eastAsia="Calibri" w:hAnsi="Cambria" w:cs="Calibri"/>
          <w:spacing w:val="1"/>
        </w:rPr>
        <w:t>o</w:t>
      </w:r>
      <w:r w:rsidRPr="009A0DA6">
        <w:rPr>
          <w:rFonts w:ascii="Cambria" w:eastAsia="Calibri" w:hAnsi="Cambria" w:cs="Calibri"/>
        </w:rPr>
        <w:t>n</w:t>
      </w:r>
      <w:r w:rsidRPr="009A0DA6">
        <w:rPr>
          <w:rFonts w:ascii="Cambria" w:eastAsia="Calibri" w:hAnsi="Cambria" w:cs="Calibri"/>
          <w:spacing w:val="-1"/>
        </w:rPr>
        <w:t xml:space="preserve"> </w:t>
      </w:r>
      <w:r w:rsidRPr="009A0DA6">
        <w:rPr>
          <w:rFonts w:ascii="Cambria" w:eastAsia="Calibri" w:hAnsi="Cambria" w:cs="Calibri"/>
        </w:rPr>
        <w:t>and</w:t>
      </w:r>
      <w:r w:rsidRPr="009A0DA6">
        <w:rPr>
          <w:rFonts w:ascii="Cambria" w:eastAsia="Calibri" w:hAnsi="Cambria" w:cs="Calibri"/>
          <w:spacing w:val="-1"/>
        </w:rPr>
        <w:t xml:space="preserve">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2"/>
        </w:rPr>
        <w:t xml:space="preserve"> </w:t>
      </w:r>
      <w:r w:rsidRPr="009A0DA6">
        <w:rPr>
          <w:rFonts w:ascii="Cambria" w:eastAsia="Calibri" w:hAnsi="Cambria" w:cs="Calibri"/>
        </w:rPr>
        <w:t>p</w:t>
      </w:r>
      <w:r w:rsidRPr="009A0DA6">
        <w:rPr>
          <w:rFonts w:ascii="Cambria" w:eastAsia="Calibri" w:hAnsi="Cambria" w:cs="Calibri"/>
          <w:spacing w:val="-1"/>
        </w:rPr>
        <w:t>u</w:t>
      </w:r>
      <w:r w:rsidRPr="009A0DA6">
        <w:rPr>
          <w:rFonts w:ascii="Cambria" w:eastAsia="Calibri" w:hAnsi="Cambria" w:cs="Calibri"/>
        </w:rPr>
        <w:t>r</w:t>
      </w:r>
      <w:r w:rsidRPr="009A0DA6">
        <w:rPr>
          <w:rFonts w:ascii="Cambria" w:eastAsia="Calibri" w:hAnsi="Cambria" w:cs="Calibri"/>
          <w:spacing w:val="-1"/>
        </w:rPr>
        <w:t>p</w:t>
      </w:r>
      <w:r w:rsidRPr="009A0DA6">
        <w:rPr>
          <w:rFonts w:ascii="Cambria" w:eastAsia="Calibri" w:hAnsi="Cambria" w:cs="Calibri"/>
          <w:spacing w:val="1"/>
        </w:rPr>
        <w:t>o</w:t>
      </w:r>
      <w:r w:rsidRPr="009A0DA6">
        <w:rPr>
          <w:rFonts w:ascii="Cambria" w:eastAsia="Calibri" w:hAnsi="Cambria" w:cs="Calibri"/>
        </w:rPr>
        <w:t>se</w:t>
      </w:r>
      <w:r w:rsidRPr="009A0DA6">
        <w:rPr>
          <w:rFonts w:ascii="Cambria" w:eastAsia="Calibri" w:hAnsi="Cambria" w:cs="Calibri"/>
          <w:spacing w:val="-2"/>
        </w:rPr>
        <w:t xml:space="preserve"> </w:t>
      </w:r>
      <w:r w:rsidRPr="009A0DA6">
        <w:rPr>
          <w:rFonts w:ascii="Cambria" w:eastAsia="Calibri" w:hAnsi="Cambria" w:cs="Calibri"/>
          <w:spacing w:val="1"/>
        </w:rPr>
        <w:t>o</w:t>
      </w:r>
      <w:r w:rsidRPr="009A0DA6">
        <w:rPr>
          <w:rFonts w:ascii="Cambria" w:eastAsia="Calibri" w:hAnsi="Cambria" w:cs="Calibri"/>
        </w:rPr>
        <w:t>f</w:t>
      </w:r>
      <w:r w:rsidRPr="009A0DA6">
        <w:rPr>
          <w:rFonts w:ascii="Cambria" w:eastAsia="Calibri" w:hAnsi="Cambria" w:cs="Calibri"/>
          <w:spacing w:val="-3"/>
        </w:rPr>
        <w:t xml:space="preserve">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spacing w:val="1"/>
        </w:rPr>
        <w:t>o</w:t>
      </w:r>
      <w:r w:rsidRPr="009A0DA6">
        <w:rPr>
          <w:rFonts w:ascii="Cambria" w:eastAsia="Calibri" w:hAnsi="Cambria" w:cs="Calibri"/>
        </w:rPr>
        <w:t>ff</w:t>
      </w:r>
      <w:r w:rsidRPr="009A0DA6">
        <w:rPr>
          <w:rFonts w:ascii="Cambria" w:eastAsia="Calibri" w:hAnsi="Cambria" w:cs="Calibri"/>
          <w:spacing w:val="-1"/>
        </w:rPr>
        <w:t>i</w:t>
      </w:r>
      <w:r w:rsidRPr="009A0DA6">
        <w:rPr>
          <w:rFonts w:ascii="Cambria" w:eastAsia="Calibri" w:hAnsi="Cambria" w:cs="Calibri"/>
        </w:rPr>
        <w:t>ce.</w:t>
      </w:r>
      <w:r w:rsidRPr="009A0DA6">
        <w:rPr>
          <w:rFonts w:ascii="Cambria" w:eastAsia="Calibri" w:hAnsi="Cambria" w:cs="Calibri"/>
          <w:spacing w:val="1"/>
        </w:rPr>
        <w:t xml:space="preserve"> </w:t>
      </w:r>
      <w:r w:rsidRPr="009A0DA6">
        <w:rPr>
          <w:rFonts w:ascii="Cambria" w:eastAsia="Calibri" w:hAnsi="Cambria" w:cs="Calibri"/>
        </w:rPr>
        <w:t>A</w:t>
      </w:r>
      <w:r w:rsidRPr="009A0DA6">
        <w:rPr>
          <w:rFonts w:ascii="Cambria" w:eastAsia="Calibri" w:hAnsi="Cambria" w:cs="Calibri"/>
          <w:spacing w:val="-4"/>
        </w:rPr>
        <w:t>n</w:t>
      </w:r>
      <w:r w:rsidRPr="009A0DA6">
        <w:rPr>
          <w:rFonts w:ascii="Cambria" w:eastAsia="Calibri" w:hAnsi="Cambria" w:cs="Calibri"/>
        </w:rPr>
        <w:t>y</w:t>
      </w:r>
      <w:r w:rsidRPr="009A0DA6">
        <w:rPr>
          <w:rFonts w:ascii="Cambria" w:eastAsia="Calibri" w:hAnsi="Cambria" w:cs="Calibri"/>
          <w:spacing w:val="1"/>
        </w:rPr>
        <w:t xml:space="preserve"> </w:t>
      </w:r>
      <w:r w:rsidRPr="009A0DA6">
        <w:rPr>
          <w:rFonts w:ascii="Cambria" w:eastAsia="Calibri" w:hAnsi="Cambria" w:cs="Calibri"/>
          <w:spacing w:val="-1"/>
        </w:rPr>
        <w:t>wo</w:t>
      </w:r>
      <w:r w:rsidRPr="009A0DA6">
        <w:rPr>
          <w:rFonts w:ascii="Cambria" w:eastAsia="Calibri" w:hAnsi="Cambria" w:cs="Calibri"/>
          <w:spacing w:val="1"/>
        </w:rPr>
        <w:t>m</w:t>
      </w:r>
      <w:r w:rsidRPr="009A0DA6">
        <w:rPr>
          <w:rFonts w:ascii="Cambria" w:eastAsia="Calibri" w:hAnsi="Cambria" w:cs="Calibri"/>
        </w:rPr>
        <w:t>en</w:t>
      </w:r>
      <w:r w:rsidRPr="009A0DA6">
        <w:rPr>
          <w:rFonts w:ascii="Cambria" w:eastAsia="Calibri" w:hAnsi="Cambria" w:cs="Calibri"/>
          <w:spacing w:val="-2"/>
        </w:rPr>
        <w:t xml:space="preserve"> </w:t>
      </w:r>
      <w:r w:rsidRPr="009A0DA6">
        <w:rPr>
          <w:rFonts w:ascii="Cambria" w:eastAsia="Calibri" w:hAnsi="Cambria" w:cs="Calibri"/>
        </w:rPr>
        <w:t>who</w:t>
      </w:r>
      <w:r w:rsidRPr="009A0DA6">
        <w:rPr>
          <w:rFonts w:ascii="Cambria" w:eastAsia="Calibri" w:hAnsi="Cambria" w:cs="Calibri"/>
          <w:spacing w:val="-1"/>
        </w:rPr>
        <w:t xml:space="preserve"> </w:t>
      </w:r>
      <w:r w:rsidRPr="009A0DA6">
        <w:rPr>
          <w:rFonts w:ascii="Cambria" w:eastAsia="Calibri" w:hAnsi="Cambria" w:cs="Calibri"/>
        </w:rPr>
        <w:t xml:space="preserve">are </w:t>
      </w:r>
      <w:r w:rsidRPr="009A0DA6">
        <w:rPr>
          <w:rFonts w:ascii="Cambria" w:eastAsia="Calibri" w:hAnsi="Cambria" w:cs="Calibri"/>
          <w:spacing w:val="1"/>
        </w:rPr>
        <w:t>o</w:t>
      </w:r>
      <w:r w:rsidRPr="009A0DA6">
        <w:rPr>
          <w:rFonts w:ascii="Cambria" w:eastAsia="Calibri" w:hAnsi="Cambria" w:cs="Calibri"/>
        </w:rPr>
        <w:t>r</w:t>
      </w:r>
      <w:r w:rsidRPr="009A0DA6">
        <w:rPr>
          <w:rFonts w:ascii="Cambria" w:eastAsia="Calibri" w:hAnsi="Cambria" w:cs="Calibri"/>
          <w:spacing w:val="-1"/>
        </w:rPr>
        <w:t>d</w:t>
      </w:r>
      <w:r w:rsidRPr="009A0DA6">
        <w:rPr>
          <w:rFonts w:ascii="Cambria" w:eastAsia="Calibri" w:hAnsi="Cambria" w:cs="Calibri"/>
        </w:rPr>
        <w:t>ai</w:t>
      </w:r>
      <w:r w:rsidRPr="009A0DA6">
        <w:rPr>
          <w:rFonts w:ascii="Cambria" w:eastAsia="Calibri" w:hAnsi="Cambria" w:cs="Calibri"/>
          <w:spacing w:val="-1"/>
        </w:rPr>
        <w:t>n</w:t>
      </w:r>
      <w:r w:rsidRPr="009A0DA6">
        <w:rPr>
          <w:rFonts w:ascii="Cambria" w:eastAsia="Calibri" w:hAnsi="Cambria" w:cs="Calibri"/>
        </w:rPr>
        <w:t>ed will</w:t>
      </w:r>
      <w:r w:rsidRPr="009A0DA6">
        <w:rPr>
          <w:rFonts w:ascii="Cambria" w:eastAsia="Calibri" w:hAnsi="Cambria" w:cs="Calibri"/>
          <w:spacing w:val="-3"/>
        </w:rPr>
        <w:t xml:space="preserve"> </w:t>
      </w:r>
      <w:r w:rsidRPr="009A0DA6">
        <w:rPr>
          <w:rFonts w:ascii="Cambria" w:eastAsia="Calibri" w:hAnsi="Cambria" w:cs="Calibri"/>
        </w:rPr>
        <w:t>be</w:t>
      </w:r>
      <w:r w:rsidRPr="009A0DA6">
        <w:rPr>
          <w:rFonts w:ascii="Cambria" w:eastAsia="Calibri" w:hAnsi="Cambria" w:cs="Calibri"/>
          <w:spacing w:val="-2"/>
        </w:rPr>
        <w:t xml:space="preserve"> </w:t>
      </w:r>
      <w:r w:rsidRPr="009A0DA6">
        <w:rPr>
          <w:rFonts w:ascii="Cambria" w:eastAsia="Calibri" w:hAnsi="Cambria" w:cs="Calibri"/>
          <w:spacing w:val="1"/>
        </w:rPr>
        <w:t>o</w:t>
      </w:r>
      <w:r w:rsidRPr="009A0DA6">
        <w:rPr>
          <w:rFonts w:ascii="Cambria" w:eastAsia="Calibri" w:hAnsi="Cambria" w:cs="Calibri"/>
        </w:rPr>
        <w:t>r</w:t>
      </w:r>
      <w:r w:rsidRPr="009A0DA6">
        <w:rPr>
          <w:rFonts w:ascii="Cambria" w:eastAsia="Calibri" w:hAnsi="Cambria" w:cs="Calibri"/>
          <w:spacing w:val="-1"/>
        </w:rPr>
        <w:t>d</w:t>
      </w:r>
      <w:r w:rsidRPr="009A0DA6">
        <w:rPr>
          <w:rFonts w:ascii="Cambria" w:eastAsia="Calibri" w:hAnsi="Cambria" w:cs="Calibri"/>
        </w:rPr>
        <w:t>ai</w:t>
      </w:r>
      <w:r w:rsidRPr="009A0DA6">
        <w:rPr>
          <w:rFonts w:ascii="Cambria" w:eastAsia="Calibri" w:hAnsi="Cambria" w:cs="Calibri"/>
          <w:spacing w:val="-1"/>
        </w:rPr>
        <w:t>n</w:t>
      </w:r>
      <w:r w:rsidRPr="009A0DA6">
        <w:rPr>
          <w:rFonts w:ascii="Cambria" w:eastAsia="Calibri" w:hAnsi="Cambria" w:cs="Calibri"/>
        </w:rPr>
        <w:t>ed</w:t>
      </w:r>
      <w:r w:rsidRPr="009A0DA6">
        <w:rPr>
          <w:rFonts w:ascii="Cambria" w:eastAsia="Calibri" w:hAnsi="Cambria" w:cs="Calibri"/>
          <w:spacing w:val="-2"/>
        </w:rPr>
        <w:t xml:space="preserve"> </w:t>
      </w:r>
      <w:r w:rsidRPr="009A0DA6">
        <w:rPr>
          <w:rFonts w:ascii="Cambria" w:eastAsia="Calibri" w:hAnsi="Cambria" w:cs="Calibri"/>
          <w:spacing w:val="-1"/>
        </w:rPr>
        <w:t>b</w:t>
      </w:r>
      <w:r w:rsidRPr="009A0DA6">
        <w:rPr>
          <w:rFonts w:ascii="Cambria" w:eastAsia="Calibri" w:hAnsi="Cambria" w:cs="Calibri"/>
        </w:rPr>
        <w:t>y</w:t>
      </w:r>
      <w:r w:rsidRPr="009A0DA6">
        <w:rPr>
          <w:rFonts w:ascii="Cambria" w:eastAsia="Calibri" w:hAnsi="Cambria" w:cs="Calibri"/>
          <w:spacing w:val="1"/>
        </w:rPr>
        <w:t xml:space="preserve"> </w:t>
      </w:r>
      <w:r w:rsidRPr="009A0DA6">
        <w:rPr>
          <w:rFonts w:ascii="Cambria" w:eastAsia="Calibri" w:hAnsi="Cambria" w:cs="Calibri"/>
        </w:rPr>
        <w:t>h</w:t>
      </w:r>
      <w:r w:rsidRPr="009A0DA6">
        <w:rPr>
          <w:rFonts w:ascii="Cambria" w:eastAsia="Calibri" w:hAnsi="Cambria" w:cs="Calibri"/>
          <w:spacing w:val="-1"/>
        </w:rPr>
        <w:t>u</w:t>
      </w:r>
      <w:r w:rsidRPr="009A0DA6">
        <w:rPr>
          <w:rFonts w:ascii="Cambria" w:eastAsia="Calibri" w:hAnsi="Cambria" w:cs="Calibri"/>
          <w:spacing w:val="1"/>
        </w:rPr>
        <w:t>m</w:t>
      </w:r>
      <w:r w:rsidRPr="009A0DA6">
        <w:rPr>
          <w:rFonts w:ascii="Cambria" w:eastAsia="Calibri" w:hAnsi="Cambria" w:cs="Calibri"/>
        </w:rPr>
        <w:t>an</w:t>
      </w:r>
      <w:r w:rsidRPr="009A0DA6">
        <w:rPr>
          <w:rFonts w:ascii="Cambria" w:eastAsia="Calibri" w:hAnsi="Cambria" w:cs="Calibri"/>
          <w:spacing w:val="-1"/>
        </w:rPr>
        <w:t xml:space="preserve"> </w:t>
      </w:r>
      <w:r w:rsidRPr="009A0DA6">
        <w:rPr>
          <w:rFonts w:ascii="Cambria" w:eastAsia="Calibri" w:hAnsi="Cambria" w:cs="Calibri"/>
        </w:rPr>
        <w:t>bei</w:t>
      </w:r>
      <w:r w:rsidRPr="009A0DA6">
        <w:rPr>
          <w:rFonts w:ascii="Cambria" w:eastAsia="Calibri" w:hAnsi="Cambria" w:cs="Calibri"/>
          <w:spacing w:val="-1"/>
        </w:rPr>
        <w:t>ng</w:t>
      </w:r>
      <w:r w:rsidRPr="009A0DA6">
        <w:rPr>
          <w:rFonts w:ascii="Cambria" w:eastAsia="Calibri" w:hAnsi="Cambria" w:cs="Calibri"/>
        </w:rPr>
        <w:t>s</w:t>
      </w:r>
      <w:r w:rsidRPr="009A0DA6">
        <w:rPr>
          <w:rFonts w:ascii="Cambria" w:eastAsia="Calibri" w:hAnsi="Cambria" w:cs="Calibri"/>
          <w:spacing w:val="-2"/>
        </w:rPr>
        <w:t xml:space="preserve"> </w:t>
      </w:r>
      <w:r w:rsidRPr="009A0DA6">
        <w:rPr>
          <w:rFonts w:ascii="Cambria" w:eastAsia="Calibri" w:hAnsi="Cambria" w:cs="Calibri"/>
        </w:rPr>
        <w:t>and</w:t>
      </w:r>
      <w:r w:rsidRPr="009A0DA6">
        <w:rPr>
          <w:rFonts w:ascii="Cambria" w:eastAsia="Calibri" w:hAnsi="Cambria" w:cs="Calibri"/>
          <w:spacing w:val="-1"/>
        </w:rPr>
        <w:t xml:space="preserve"> </w:t>
      </w:r>
      <w:r w:rsidRPr="009A0DA6">
        <w:rPr>
          <w:rFonts w:ascii="Cambria" w:eastAsia="Calibri" w:hAnsi="Cambria" w:cs="Calibri"/>
        </w:rPr>
        <w:t>n</w:t>
      </w:r>
      <w:r w:rsidRPr="009A0DA6">
        <w:rPr>
          <w:rFonts w:ascii="Cambria" w:eastAsia="Calibri" w:hAnsi="Cambria" w:cs="Calibri"/>
          <w:spacing w:val="1"/>
        </w:rPr>
        <w:t>o</w:t>
      </w:r>
      <w:r w:rsidRPr="009A0DA6">
        <w:rPr>
          <w:rFonts w:ascii="Cambria" w:eastAsia="Calibri" w:hAnsi="Cambria" w:cs="Calibri"/>
        </w:rPr>
        <w:t>t</w:t>
      </w:r>
      <w:r w:rsidRPr="009A0DA6">
        <w:rPr>
          <w:rFonts w:ascii="Cambria" w:eastAsia="Calibri" w:hAnsi="Cambria" w:cs="Calibri"/>
          <w:spacing w:val="-2"/>
        </w:rPr>
        <w:t xml:space="preserve"> </w:t>
      </w:r>
      <w:r w:rsidRPr="009A0DA6">
        <w:rPr>
          <w:rFonts w:ascii="Cambria" w:eastAsia="Calibri" w:hAnsi="Cambria" w:cs="Calibri"/>
        </w:rPr>
        <w:t>by</w:t>
      </w:r>
      <w:r w:rsidRPr="009A0DA6">
        <w:rPr>
          <w:rFonts w:ascii="Cambria" w:eastAsia="Calibri" w:hAnsi="Cambria" w:cs="Calibri"/>
          <w:spacing w:val="1"/>
        </w:rPr>
        <w:t xml:space="preserve"> </w:t>
      </w:r>
      <w:r w:rsidRPr="009A0DA6">
        <w:rPr>
          <w:rFonts w:ascii="Cambria" w:eastAsia="Calibri" w:hAnsi="Cambria" w:cs="Calibri"/>
        </w:rPr>
        <w:t>C</w:t>
      </w:r>
      <w:r w:rsidRPr="009A0DA6">
        <w:rPr>
          <w:rFonts w:ascii="Cambria" w:eastAsia="Calibri" w:hAnsi="Cambria" w:cs="Calibri"/>
          <w:spacing w:val="-1"/>
        </w:rPr>
        <w:t>h</w:t>
      </w:r>
      <w:r w:rsidRPr="009A0DA6">
        <w:rPr>
          <w:rFonts w:ascii="Cambria" w:eastAsia="Calibri" w:hAnsi="Cambria" w:cs="Calibri"/>
        </w:rPr>
        <w:t>rist,</w:t>
      </w:r>
      <w:r w:rsidRPr="009A0DA6">
        <w:rPr>
          <w:rFonts w:ascii="Cambria" w:eastAsia="Calibri" w:hAnsi="Cambria" w:cs="Calibri"/>
          <w:spacing w:val="-2"/>
        </w:rPr>
        <w:t xml:space="preserve"> </w:t>
      </w:r>
      <w:r w:rsidRPr="009A0DA6">
        <w:rPr>
          <w:rFonts w:ascii="Cambria" w:eastAsia="Calibri" w:hAnsi="Cambria" w:cs="Calibri"/>
        </w:rPr>
        <w:t>and</w:t>
      </w:r>
      <w:r w:rsidRPr="009A0DA6">
        <w:rPr>
          <w:rFonts w:ascii="Cambria" w:eastAsia="Calibri" w:hAnsi="Cambria" w:cs="Calibri"/>
          <w:spacing w:val="-1"/>
        </w:rPr>
        <w:t xml:space="preserve">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eir</w:t>
      </w:r>
      <w:r w:rsidRPr="009A0DA6">
        <w:rPr>
          <w:rFonts w:ascii="Cambria" w:eastAsia="Calibri" w:hAnsi="Cambria" w:cs="Calibri"/>
          <w:spacing w:val="-2"/>
        </w:rPr>
        <w:t xml:space="preserve"> </w:t>
      </w:r>
      <w:r w:rsidRPr="009A0DA6">
        <w:rPr>
          <w:rFonts w:ascii="Cambria" w:eastAsia="Calibri" w:hAnsi="Cambria" w:cs="Calibri"/>
          <w:spacing w:val="1"/>
        </w:rPr>
        <w:t>o</w:t>
      </w:r>
      <w:r w:rsidRPr="009A0DA6">
        <w:rPr>
          <w:rFonts w:ascii="Cambria" w:eastAsia="Calibri" w:hAnsi="Cambria" w:cs="Calibri"/>
        </w:rPr>
        <w:t>r</w:t>
      </w:r>
      <w:r w:rsidRPr="009A0DA6">
        <w:rPr>
          <w:rFonts w:ascii="Cambria" w:eastAsia="Calibri" w:hAnsi="Cambria" w:cs="Calibri"/>
          <w:spacing w:val="-1"/>
        </w:rPr>
        <w:t>d</w:t>
      </w:r>
      <w:r w:rsidRPr="009A0DA6">
        <w:rPr>
          <w:rFonts w:ascii="Cambria" w:eastAsia="Calibri" w:hAnsi="Cambria" w:cs="Calibri"/>
        </w:rPr>
        <w:t>i</w:t>
      </w:r>
      <w:r w:rsidRPr="009A0DA6">
        <w:rPr>
          <w:rFonts w:ascii="Cambria" w:eastAsia="Calibri" w:hAnsi="Cambria" w:cs="Calibri"/>
          <w:spacing w:val="-1"/>
        </w:rPr>
        <w:t>n</w:t>
      </w:r>
      <w:r w:rsidRPr="009A0DA6">
        <w:rPr>
          <w:rFonts w:ascii="Cambria" w:eastAsia="Calibri" w:hAnsi="Cambria" w:cs="Calibri"/>
        </w:rPr>
        <w:t>at</w:t>
      </w:r>
      <w:r w:rsidRPr="009A0DA6">
        <w:rPr>
          <w:rFonts w:ascii="Cambria" w:eastAsia="Calibri" w:hAnsi="Cambria" w:cs="Calibri"/>
          <w:spacing w:val="-2"/>
        </w:rPr>
        <w:t>i</w:t>
      </w:r>
      <w:r w:rsidRPr="009A0DA6">
        <w:rPr>
          <w:rFonts w:ascii="Cambria" w:eastAsia="Calibri" w:hAnsi="Cambria" w:cs="Calibri"/>
          <w:spacing w:val="-1"/>
        </w:rPr>
        <w:t>o</w:t>
      </w:r>
      <w:r w:rsidRPr="009A0DA6">
        <w:rPr>
          <w:rFonts w:ascii="Cambria" w:eastAsia="Calibri" w:hAnsi="Cambria" w:cs="Calibri"/>
        </w:rPr>
        <w:t>n</w:t>
      </w:r>
      <w:r w:rsidRPr="009A0DA6">
        <w:rPr>
          <w:rFonts w:ascii="Cambria" w:eastAsia="Calibri" w:hAnsi="Cambria" w:cs="Calibri"/>
          <w:spacing w:val="-1"/>
        </w:rPr>
        <w:t xml:space="preserve"> </w:t>
      </w:r>
      <w:r w:rsidRPr="009A0DA6">
        <w:rPr>
          <w:rFonts w:ascii="Cambria" w:eastAsia="Calibri" w:hAnsi="Cambria" w:cs="Calibri"/>
          <w:spacing w:val="1"/>
        </w:rPr>
        <w:t>w</w:t>
      </w:r>
      <w:r w:rsidRPr="009A0DA6">
        <w:rPr>
          <w:rFonts w:ascii="Cambria" w:eastAsia="Calibri" w:hAnsi="Cambria" w:cs="Calibri"/>
        </w:rPr>
        <w:t xml:space="preserve">ill </w:t>
      </w:r>
      <w:r w:rsidRPr="009A0DA6">
        <w:rPr>
          <w:rFonts w:ascii="Cambria" w:eastAsia="Calibri" w:hAnsi="Cambria" w:cs="Calibri"/>
          <w:spacing w:val="-2"/>
        </w:rPr>
        <w:t>e</w:t>
      </w:r>
      <w:r w:rsidRPr="009A0DA6">
        <w:rPr>
          <w:rFonts w:ascii="Cambria" w:eastAsia="Calibri" w:hAnsi="Cambria" w:cs="Calibri"/>
          <w:spacing w:val="1"/>
        </w:rPr>
        <w:t>m</w:t>
      </w:r>
      <w:r w:rsidRPr="009A0DA6">
        <w:rPr>
          <w:rFonts w:ascii="Cambria" w:eastAsia="Calibri" w:hAnsi="Cambria" w:cs="Calibri"/>
          <w:spacing w:val="-1"/>
        </w:rPr>
        <w:t>b</w:t>
      </w:r>
      <w:r w:rsidRPr="009A0DA6">
        <w:rPr>
          <w:rFonts w:ascii="Cambria" w:eastAsia="Calibri" w:hAnsi="Cambria" w:cs="Calibri"/>
          <w:spacing w:val="1"/>
        </w:rPr>
        <w:t>o</w:t>
      </w:r>
      <w:r w:rsidRPr="009A0DA6">
        <w:rPr>
          <w:rFonts w:ascii="Cambria" w:eastAsia="Calibri" w:hAnsi="Cambria" w:cs="Calibri"/>
          <w:spacing w:val="-3"/>
        </w:rPr>
        <w:t>d</w:t>
      </w:r>
      <w:r w:rsidRPr="009A0DA6">
        <w:rPr>
          <w:rFonts w:ascii="Cambria" w:eastAsia="Calibri" w:hAnsi="Cambria" w:cs="Calibri"/>
        </w:rPr>
        <w:t>y</w:t>
      </w:r>
      <w:r w:rsidRPr="009A0DA6">
        <w:rPr>
          <w:rFonts w:ascii="Cambria" w:eastAsia="Calibri" w:hAnsi="Cambria" w:cs="Calibri"/>
          <w:spacing w:val="1"/>
        </w:rPr>
        <w:t xml:space="preserve"> w</w:t>
      </w:r>
      <w:r w:rsidRPr="009A0DA6">
        <w:rPr>
          <w:rFonts w:ascii="Cambria" w:eastAsia="Calibri" w:hAnsi="Cambria" w:cs="Calibri"/>
          <w:spacing w:val="-3"/>
        </w:rPr>
        <w:t>i</w:t>
      </w:r>
      <w:r w:rsidRPr="009A0DA6">
        <w:rPr>
          <w:rFonts w:ascii="Cambria" w:eastAsia="Calibri" w:hAnsi="Cambria" w:cs="Calibri"/>
        </w:rPr>
        <w:t>th</w:t>
      </w:r>
      <w:r w:rsidRPr="009A0DA6">
        <w:rPr>
          <w:rFonts w:ascii="Cambria" w:eastAsia="Calibri" w:hAnsi="Cambria" w:cs="Calibri"/>
          <w:spacing w:val="-1"/>
        </w:rPr>
        <w:t>i</w:t>
      </w:r>
      <w:r w:rsidRPr="009A0DA6">
        <w:rPr>
          <w:rFonts w:ascii="Cambria" w:eastAsia="Calibri" w:hAnsi="Cambria" w:cs="Calibri"/>
        </w:rPr>
        <w:t>n</w:t>
      </w:r>
      <w:r w:rsidRPr="009A0DA6">
        <w:rPr>
          <w:rFonts w:ascii="Cambria" w:eastAsia="Calibri" w:hAnsi="Cambria" w:cs="Calibri"/>
          <w:spacing w:val="-1"/>
        </w:rPr>
        <w:t xml:space="preserve"> </w:t>
      </w:r>
      <w:r w:rsidRPr="009A0DA6">
        <w:rPr>
          <w:rFonts w:ascii="Cambria" w:eastAsia="Calibri" w:hAnsi="Cambria" w:cs="Calibri"/>
        </w:rPr>
        <w:t>it</w:t>
      </w:r>
      <w:r w:rsidRPr="009A0DA6">
        <w:rPr>
          <w:rFonts w:ascii="Cambria" w:eastAsia="Calibri" w:hAnsi="Cambria" w:cs="Calibri"/>
          <w:spacing w:val="1"/>
        </w:rPr>
        <w:t xml:space="preserve"> </w:t>
      </w:r>
      <w:r w:rsidRPr="009A0DA6">
        <w:rPr>
          <w:rFonts w:ascii="Cambria" w:eastAsia="Calibri" w:hAnsi="Cambria" w:cs="Calibri"/>
        </w:rPr>
        <w:t>a reje</w:t>
      </w:r>
      <w:r w:rsidRPr="009A0DA6">
        <w:rPr>
          <w:rFonts w:ascii="Cambria" w:eastAsia="Calibri" w:hAnsi="Cambria" w:cs="Calibri"/>
          <w:spacing w:val="1"/>
        </w:rPr>
        <w:t>c</w:t>
      </w:r>
      <w:r w:rsidRPr="009A0DA6">
        <w:rPr>
          <w:rFonts w:ascii="Cambria" w:eastAsia="Calibri" w:hAnsi="Cambria" w:cs="Calibri"/>
        </w:rPr>
        <w:t>t</w:t>
      </w:r>
      <w:r w:rsidRPr="009A0DA6">
        <w:rPr>
          <w:rFonts w:ascii="Cambria" w:eastAsia="Calibri" w:hAnsi="Cambria" w:cs="Calibri"/>
          <w:spacing w:val="-2"/>
        </w:rPr>
        <w:t>i</w:t>
      </w:r>
      <w:r w:rsidRPr="009A0DA6">
        <w:rPr>
          <w:rFonts w:ascii="Cambria" w:eastAsia="Calibri" w:hAnsi="Cambria" w:cs="Calibri"/>
          <w:spacing w:val="1"/>
        </w:rPr>
        <w:t>o</w:t>
      </w:r>
      <w:r w:rsidRPr="009A0DA6">
        <w:rPr>
          <w:rFonts w:ascii="Cambria" w:eastAsia="Calibri" w:hAnsi="Cambria" w:cs="Calibri"/>
        </w:rPr>
        <w:t>n</w:t>
      </w:r>
      <w:r w:rsidRPr="009A0DA6">
        <w:rPr>
          <w:rFonts w:ascii="Cambria" w:eastAsia="Calibri" w:hAnsi="Cambria" w:cs="Calibri"/>
          <w:spacing w:val="-2"/>
        </w:rPr>
        <w:t xml:space="preserve"> </w:t>
      </w:r>
      <w:r w:rsidRPr="009A0DA6">
        <w:rPr>
          <w:rFonts w:ascii="Cambria" w:eastAsia="Calibri" w:hAnsi="Cambria" w:cs="Calibri"/>
          <w:spacing w:val="1"/>
        </w:rPr>
        <w:t>o</w:t>
      </w:r>
      <w:r w:rsidRPr="009A0DA6">
        <w:rPr>
          <w:rFonts w:ascii="Cambria" w:eastAsia="Calibri" w:hAnsi="Cambria" w:cs="Calibri"/>
        </w:rPr>
        <w:t>f at</w:t>
      </w:r>
      <w:r w:rsidRPr="009A0DA6">
        <w:rPr>
          <w:rFonts w:ascii="Cambria" w:eastAsia="Calibri" w:hAnsi="Cambria" w:cs="Calibri"/>
          <w:spacing w:val="-2"/>
        </w:rPr>
        <w:t xml:space="preserve"> </w:t>
      </w:r>
      <w:r w:rsidRPr="009A0DA6">
        <w:rPr>
          <w:rFonts w:ascii="Cambria" w:eastAsia="Calibri" w:hAnsi="Cambria" w:cs="Calibri"/>
        </w:rPr>
        <w:t>lea</w:t>
      </w:r>
      <w:r w:rsidRPr="009A0DA6">
        <w:rPr>
          <w:rFonts w:ascii="Cambria" w:eastAsia="Calibri" w:hAnsi="Cambria" w:cs="Calibri"/>
          <w:spacing w:val="-2"/>
        </w:rPr>
        <w:t>s</w:t>
      </w:r>
      <w:r w:rsidRPr="009A0DA6">
        <w:rPr>
          <w:rFonts w:ascii="Cambria" w:eastAsia="Calibri" w:hAnsi="Cambria" w:cs="Calibri"/>
        </w:rPr>
        <w:t>t</w:t>
      </w:r>
      <w:r w:rsidRPr="009A0DA6">
        <w:rPr>
          <w:rFonts w:ascii="Cambria" w:eastAsia="Calibri" w:hAnsi="Cambria" w:cs="Calibri"/>
          <w:spacing w:val="-1"/>
        </w:rPr>
        <w:t xml:space="preserve"> </w:t>
      </w:r>
      <w:r w:rsidRPr="009A0DA6">
        <w:rPr>
          <w:rFonts w:ascii="Cambria" w:eastAsia="Calibri" w:hAnsi="Cambria" w:cs="Calibri"/>
          <w:spacing w:val="1"/>
        </w:rPr>
        <w:t>o</w:t>
      </w:r>
      <w:r w:rsidRPr="009A0DA6">
        <w:rPr>
          <w:rFonts w:ascii="Cambria" w:eastAsia="Calibri" w:hAnsi="Cambria" w:cs="Calibri"/>
          <w:spacing w:val="-1"/>
        </w:rPr>
        <w:t>n</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spacing w:val="-1"/>
        </w:rPr>
        <w:t>p</w:t>
      </w:r>
      <w:r w:rsidRPr="009A0DA6">
        <w:rPr>
          <w:rFonts w:ascii="Cambria" w:eastAsia="Calibri" w:hAnsi="Cambria" w:cs="Calibri"/>
          <w:spacing w:val="-3"/>
        </w:rPr>
        <w:t>a</w:t>
      </w:r>
      <w:r w:rsidRPr="009A0DA6">
        <w:rPr>
          <w:rFonts w:ascii="Cambria" w:eastAsia="Calibri" w:hAnsi="Cambria" w:cs="Calibri"/>
        </w:rPr>
        <w:t>rt</w:t>
      </w:r>
      <w:r w:rsidRPr="009A0DA6">
        <w:rPr>
          <w:rFonts w:ascii="Cambria" w:eastAsia="Calibri" w:hAnsi="Cambria" w:cs="Calibri"/>
          <w:spacing w:val="1"/>
        </w:rPr>
        <w:t xml:space="preserve"> o</w:t>
      </w:r>
      <w:r w:rsidRPr="009A0DA6">
        <w:rPr>
          <w:rFonts w:ascii="Cambria" w:eastAsia="Calibri" w:hAnsi="Cambria" w:cs="Calibri"/>
        </w:rPr>
        <w:t>f</w:t>
      </w:r>
      <w:r w:rsidRPr="009A0DA6">
        <w:rPr>
          <w:rFonts w:ascii="Cambria" w:eastAsia="Calibri" w:hAnsi="Cambria" w:cs="Calibri"/>
          <w:spacing w:val="-2"/>
        </w:rPr>
        <w:t xml:space="preserve"> </w:t>
      </w:r>
      <w:r w:rsidRPr="009A0DA6">
        <w:rPr>
          <w:rFonts w:ascii="Cambria" w:eastAsia="Calibri" w:hAnsi="Cambria" w:cs="Calibri"/>
        </w:rPr>
        <w:t>Chr</w:t>
      </w:r>
      <w:r w:rsidRPr="009A0DA6">
        <w:rPr>
          <w:rFonts w:ascii="Cambria" w:eastAsia="Calibri" w:hAnsi="Cambria" w:cs="Calibri"/>
          <w:spacing w:val="-1"/>
        </w:rPr>
        <w:t>i</w:t>
      </w:r>
      <w:r w:rsidRPr="009A0DA6">
        <w:rPr>
          <w:rFonts w:ascii="Cambria" w:eastAsia="Calibri" w:hAnsi="Cambria" w:cs="Calibri"/>
        </w:rPr>
        <w:t>st’s</w:t>
      </w:r>
      <w:r w:rsidRPr="009A0DA6">
        <w:rPr>
          <w:rFonts w:ascii="Cambria" w:eastAsia="Calibri" w:hAnsi="Cambria" w:cs="Calibri"/>
          <w:spacing w:val="-2"/>
        </w:rPr>
        <w:t xml:space="preserve"> </w:t>
      </w:r>
      <w:r w:rsidRPr="009A0DA6">
        <w:rPr>
          <w:rFonts w:ascii="Cambria" w:eastAsia="Calibri" w:hAnsi="Cambria" w:cs="Calibri"/>
          <w:spacing w:val="-1"/>
        </w:rPr>
        <w:t>w</w:t>
      </w:r>
      <w:r w:rsidRPr="009A0DA6">
        <w:rPr>
          <w:rFonts w:ascii="Cambria" w:eastAsia="Calibri" w:hAnsi="Cambria" w:cs="Calibri"/>
          <w:spacing w:val="1"/>
        </w:rPr>
        <w:t>o</w:t>
      </w:r>
      <w:r w:rsidRPr="009A0DA6">
        <w:rPr>
          <w:rFonts w:ascii="Cambria" w:eastAsia="Calibri" w:hAnsi="Cambria" w:cs="Calibri"/>
        </w:rPr>
        <w:t>r</w:t>
      </w:r>
      <w:r w:rsidRPr="009A0DA6">
        <w:rPr>
          <w:rFonts w:ascii="Cambria" w:eastAsia="Calibri" w:hAnsi="Cambria" w:cs="Calibri"/>
          <w:spacing w:val="-1"/>
        </w:rPr>
        <w:t>d</w:t>
      </w:r>
      <w:r w:rsidRPr="009A0DA6">
        <w:rPr>
          <w:rFonts w:ascii="Cambria" w:eastAsia="Calibri" w:hAnsi="Cambria" w:cs="Calibri"/>
        </w:rPr>
        <w:t>. When a</w:t>
      </w:r>
      <w:r w:rsidRPr="009A0DA6">
        <w:rPr>
          <w:rFonts w:ascii="Cambria" w:eastAsia="Calibri" w:hAnsi="Cambria" w:cs="Calibri"/>
          <w:spacing w:val="-4"/>
        </w:rPr>
        <w:t xml:space="preserve"> </w:t>
      </w:r>
      <w:r w:rsidRPr="009A0DA6">
        <w:rPr>
          <w:rFonts w:ascii="Cambria" w:eastAsia="Calibri" w:hAnsi="Cambria" w:cs="Calibri"/>
        </w:rPr>
        <w:t>woman t</w:t>
      </w:r>
      <w:r w:rsidRPr="009A0DA6">
        <w:rPr>
          <w:rFonts w:ascii="Cambria" w:eastAsia="Calibri" w:hAnsi="Cambria" w:cs="Calibri"/>
          <w:spacing w:val="-2"/>
        </w:rPr>
        <w:t>h</w:t>
      </w:r>
      <w:r w:rsidRPr="009A0DA6">
        <w:rPr>
          <w:rFonts w:ascii="Cambria" w:eastAsia="Calibri" w:hAnsi="Cambria" w:cs="Calibri"/>
        </w:rPr>
        <w:t>en p</w:t>
      </w:r>
      <w:r w:rsidRPr="009A0DA6">
        <w:rPr>
          <w:rFonts w:ascii="Cambria" w:eastAsia="Calibri" w:hAnsi="Cambria" w:cs="Calibri"/>
          <w:spacing w:val="-1"/>
        </w:rPr>
        <w:t>r</w:t>
      </w:r>
      <w:r w:rsidRPr="009A0DA6">
        <w:rPr>
          <w:rFonts w:ascii="Cambria" w:eastAsia="Calibri" w:hAnsi="Cambria" w:cs="Calibri"/>
        </w:rPr>
        <w:t>esides</w:t>
      </w:r>
      <w:r w:rsidRPr="009A0DA6">
        <w:rPr>
          <w:rFonts w:ascii="Cambria" w:eastAsia="Calibri" w:hAnsi="Cambria" w:cs="Calibri"/>
          <w:spacing w:val="-2"/>
        </w:rPr>
        <w:t xml:space="preserve"> </w:t>
      </w:r>
      <w:r w:rsidRPr="009A0DA6">
        <w:rPr>
          <w:rFonts w:ascii="Cambria" w:eastAsia="Calibri" w:hAnsi="Cambria" w:cs="Calibri"/>
        </w:rPr>
        <w:t>at</w:t>
      </w:r>
      <w:r w:rsidRPr="009A0DA6">
        <w:rPr>
          <w:rFonts w:ascii="Cambria" w:eastAsia="Calibri" w:hAnsi="Cambria" w:cs="Calibri"/>
          <w:spacing w:val="-1"/>
        </w:rPr>
        <w:t xml:space="preserve"> </w:t>
      </w:r>
      <w:r w:rsidRPr="009A0DA6">
        <w:rPr>
          <w:rFonts w:ascii="Cambria" w:eastAsia="Calibri" w:hAnsi="Cambria" w:cs="Calibri"/>
        </w:rPr>
        <w:t>t</w:t>
      </w:r>
      <w:r w:rsidRPr="009A0DA6">
        <w:rPr>
          <w:rFonts w:ascii="Cambria" w:eastAsia="Calibri" w:hAnsi="Cambria" w:cs="Calibri"/>
          <w:spacing w:val="-3"/>
        </w:rPr>
        <w:t>h</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spacing w:val="-2"/>
        </w:rPr>
        <w:t>L</w:t>
      </w:r>
      <w:r w:rsidRPr="009A0DA6">
        <w:rPr>
          <w:rFonts w:ascii="Cambria" w:eastAsia="Calibri" w:hAnsi="Cambria" w:cs="Calibri"/>
          <w:spacing w:val="1"/>
        </w:rPr>
        <w:t>o</w:t>
      </w:r>
      <w:r w:rsidRPr="009A0DA6">
        <w:rPr>
          <w:rFonts w:ascii="Cambria" w:eastAsia="Calibri" w:hAnsi="Cambria" w:cs="Calibri"/>
        </w:rPr>
        <w:t>r</w:t>
      </w:r>
      <w:r w:rsidRPr="009A0DA6">
        <w:rPr>
          <w:rFonts w:ascii="Cambria" w:eastAsia="Calibri" w:hAnsi="Cambria" w:cs="Calibri"/>
          <w:spacing w:val="2"/>
        </w:rPr>
        <w:t>d</w:t>
      </w:r>
      <w:r w:rsidRPr="009A0DA6">
        <w:rPr>
          <w:rFonts w:ascii="Cambria" w:eastAsia="Calibri" w:hAnsi="Cambria" w:cs="Calibri"/>
        </w:rPr>
        <w:t>’s S</w:t>
      </w:r>
      <w:r w:rsidRPr="009A0DA6">
        <w:rPr>
          <w:rFonts w:ascii="Cambria" w:eastAsia="Calibri" w:hAnsi="Cambria" w:cs="Calibri"/>
          <w:spacing w:val="-1"/>
        </w:rPr>
        <w:t>upp</w:t>
      </w:r>
      <w:r w:rsidRPr="009A0DA6">
        <w:rPr>
          <w:rFonts w:ascii="Cambria" w:eastAsia="Calibri" w:hAnsi="Cambria" w:cs="Calibri"/>
        </w:rPr>
        <w:t>er,</w:t>
      </w:r>
      <w:r w:rsidRPr="009A0DA6">
        <w:rPr>
          <w:rFonts w:ascii="Cambria" w:eastAsia="Calibri" w:hAnsi="Cambria" w:cs="Calibri"/>
          <w:spacing w:val="-2"/>
        </w:rPr>
        <w:t xml:space="preserve"> </w:t>
      </w:r>
      <w:r w:rsidRPr="009A0DA6">
        <w:rPr>
          <w:rFonts w:ascii="Cambria" w:eastAsia="Calibri" w:hAnsi="Cambria" w:cs="Calibri"/>
        </w:rPr>
        <w:t>th</w:t>
      </w:r>
      <w:r w:rsidRPr="009A0DA6">
        <w:rPr>
          <w:rFonts w:ascii="Cambria" w:eastAsia="Calibri" w:hAnsi="Cambria" w:cs="Calibri"/>
          <w:spacing w:val="-1"/>
        </w:rPr>
        <w:t>i</w:t>
      </w:r>
      <w:r w:rsidRPr="009A0DA6">
        <w:rPr>
          <w:rFonts w:ascii="Cambria" w:eastAsia="Calibri" w:hAnsi="Cambria" w:cs="Calibri"/>
        </w:rPr>
        <w:t>s rai</w:t>
      </w:r>
      <w:r w:rsidRPr="009A0DA6">
        <w:rPr>
          <w:rFonts w:ascii="Cambria" w:eastAsia="Calibri" w:hAnsi="Cambria" w:cs="Calibri"/>
          <w:spacing w:val="-3"/>
        </w:rPr>
        <w:t>s</w:t>
      </w:r>
      <w:r w:rsidRPr="009A0DA6">
        <w:rPr>
          <w:rFonts w:ascii="Cambria" w:eastAsia="Calibri" w:hAnsi="Cambria" w:cs="Calibri"/>
        </w:rPr>
        <w:t xml:space="preserve">es </w:t>
      </w:r>
      <w:r w:rsidRPr="009A0DA6">
        <w:rPr>
          <w:rFonts w:ascii="Cambria" w:eastAsia="Calibri" w:hAnsi="Cambria" w:cs="Calibri"/>
          <w:spacing w:val="-1"/>
        </w:rPr>
        <w:t>d</w:t>
      </w:r>
      <w:r w:rsidRPr="009A0DA6">
        <w:rPr>
          <w:rFonts w:ascii="Cambria" w:eastAsia="Calibri" w:hAnsi="Cambria" w:cs="Calibri"/>
          <w:spacing w:val="1"/>
        </w:rPr>
        <w:t>o</w:t>
      </w:r>
      <w:r w:rsidRPr="009A0DA6">
        <w:rPr>
          <w:rFonts w:ascii="Cambria" w:eastAsia="Calibri" w:hAnsi="Cambria" w:cs="Calibri"/>
          <w:spacing w:val="-1"/>
        </w:rPr>
        <w:t>ub</w:t>
      </w:r>
      <w:r w:rsidRPr="009A0DA6">
        <w:rPr>
          <w:rFonts w:ascii="Cambria" w:eastAsia="Calibri" w:hAnsi="Cambria" w:cs="Calibri"/>
        </w:rPr>
        <w:t>ts</w:t>
      </w:r>
      <w:r w:rsidRPr="009A0DA6">
        <w:rPr>
          <w:rFonts w:ascii="Cambria" w:eastAsia="Calibri" w:hAnsi="Cambria" w:cs="Calibri"/>
          <w:spacing w:val="1"/>
        </w:rPr>
        <w:t xml:space="preserve"> </w:t>
      </w:r>
      <w:r w:rsidRPr="009A0DA6">
        <w:rPr>
          <w:rFonts w:ascii="Cambria" w:eastAsia="Calibri" w:hAnsi="Cambria" w:cs="Calibri"/>
        </w:rPr>
        <w:t>as</w:t>
      </w:r>
      <w:r w:rsidRPr="009A0DA6">
        <w:rPr>
          <w:rFonts w:ascii="Cambria" w:eastAsia="Calibri" w:hAnsi="Cambria" w:cs="Calibri"/>
          <w:spacing w:val="-2"/>
        </w:rPr>
        <w:t xml:space="preserve"> </w:t>
      </w:r>
      <w:r w:rsidRPr="009A0DA6">
        <w:rPr>
          <w:rFonts w:ascii="Cambria" w:eastAsia="Calibri" w:hAnsi="Cambria" w:cs="Calibri"/>
        </w:rPr>
        <w:t xml:space="preserve">to </w:t>
      </w:r>
      <w:r w:rsidRPr="009A0DA6">
        <w:rPr>
          <w:rFonts w:ascii="Cambria" w:eastAsia="Calibri" w:hAnsi="Cambria" w:cs="Calibri"/>
          <w:spacing w:val="1"/>
        </w:rPr>
        <w:t>w</w:t>
      </w:r>
      <w:r w:rsidRPr="009A0DA6">
        <w:rPr>
          <w:rFonts w:ascii="Cambria" w:eastAsia="Calibri" w:hAnsi="Cambria" w:cs="Calibri"/>
          <w:spacing w:val="-1"/>
        </w:rPr>
        <w:t>h</w:t>
      </w:r>
      <w:r w:rsidRPr="009A0DA6">
        <w:rPr>
          <w:rFonts w:ascii="Cambria" w:eastAsia="Calibri" w:hAnsi="Cambria" w:cs="Calibri"/>
          <w:spacing w:val="-2"/>
        </w:rPr>
        <w:t>e</w:t>
      </w:r>
      <w:r w:rsidRPr="009A0DA6">
        <w:rPr>
          <w:rFonts w:ascii="Cambria" w:eastAsia="Calibri" w:hAnsi="Cambria" w:cs="Calibri"/>
        </w:rPr>
        <w:t xml:space="preserve">ther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is</w:t>
      </w:r>
      <w:r w:rsidRPr="009A0DA6">
        <w:rPr>
          <w:rFonts w:ascii="Cambria" w:eastAsia="Calibri" w:hAnsi="Cambria" w:cs="Calibri"/>
          <w:spacing w:val="-2"/>
        </w:rPr>
        <w:t xml:space="preserve"> s</w:t>
      </w:r>
      <w:r w:rsidRPr="009A0DA6">
        <w:rPr>
          <w:rFonts w:ascii="Cambria" w:eastAsia="Calibri" w:hAnsi="Cambria" w:cs="Calibri"/>
        </w:rPr>
        <w:t>acra</w:t>
      </w:r>
      <w:r w:rsidRPr="009A0DA6">
        <w:rPr>
          <w:rFonts w:ascii="Cambria" w:eastAsia="Calibri" w:hAnsi="Cambria" w:cs="Calibri"/>
          <w:spacing w:val="-2"/>
        </w:rPr>
        <w:t>m</w:t>
      </w:r>
      <w:r w:rsidRPr="009A0DA6">
        <w:rPr>
          <w:rFonts w:ascii="Cambria" w:eastAsia="Calibri" w:hAnsi="Cambria" w:cs="Calibri"/>
        </w:rPr>
        <w:t>ent is</w:t>
      </w:r>
      <w:r w:rsidRPr="009A0DA6">
        <w:rPr>
          <w:rFonts w:ascii="Cambria" w:eastAsia="Calibri" w:hAnsi="Cambria" w:cs="Calibri"/>
          <w:spacing w:val="1"/>
        </w:rPr>
        <w:t xml:space="preserve"> </w:t>
      </w:r>
      <w:r w:rsidRPr="009A0DA6">
        <w:rPr>
          <w:rFonts w:ascii="Cambria" w:eastAsia="Calibri" w:hAnsi="Cambria" w:cs="Calibri"/>
        </w:rPr>
        <w:t>a</w:t>
      </w:r>
      <w:r w:rsidRPr="009A0DA6">
        <w:rPr>
          <w:rFonts w:ascii="Cambria" w:eastAsia="Calibri" w:hAnsi="Cambria" w:cs="Calibri"/>
          <w:spacing w:val="-3"/>
        </w:rPr>
        <w:t>d</w:t>
      </w:r>
      <w:r w:rsidRPr="009A0DA6">
        <w:rPr>
          <w:rFonts w:ascii="Cambria" w:eastAsia="Calibri" w:hAnsi="Cambria" w:cs="Calibri"/>
          <w:spacing w:val="1"/>
        </w:rPr>
        <w:t>m</w:t>
      </w:r>
      <w:r w:rsidRPr="009A0DA6">
        <w:rPr>
          <w:rFonts w:ascii="Cambria" w:eastAsia="Calibri" w:hAnsi="Cambria" w:cs="Calibri"/>
        </w:rPr>
        <w:t>i</w:t>
      </w:r>
      <w:r w:rsidRPr="009A0DA6">
        <w:rPr>
          <w:rFonts w:ascii="Cambria" w:eastAsia="Calibri" w:hAnsi="Cambria" w:cs="Calibri"/>
          <w:spacing w:val="-1"/>
        </w:rPr>
        <w:t>n</w:t>
      </w:r>
      <w:r w:rsidRPr="009A0DA6">
        <w:rPr>
          <w:rFonts w:ascii="Cambria" w:eastAsia="Calibri" w:hAnsi="Cambria" w:cs="Calibri"/>
        </w:rPr>
        <w:t>is</w:t>
      </w:r>
      <w:r w:rsidRPr="009A0DA6">
        <w:rPr>
          <w:rFonts w:ascii="Cambria" w:eastAsia="Calibri" w:hAnsi="Cambria" w:cs="Calibri"/>
          <w:spacing w:val="-2"/>
        </w:rPr>
        <w:t>t</w:t>
      </w:r>
      <w:r w:rsidRPr="009A0DA6">
        <w:rPr>
          <w:rFonts w:ascii="Cambria" w:eastAsia="Calibri" w:hAnsi="Cambria" w:cs="Calibri"/>
        </w:rPr>
        <w:t>ered</w:t>
      </w:r>
      <w:r w:rsidRPr="009A0DA6">
        <w:rPr>
          <w:rFonts w:ascii="Cambria" w:eastAsia="Calibri" w:hAnsi="Cambria" w:cs="Calibri"/>
          <w:spacing w:val="-2"/>
        </w:rPr>
        <w:t xml:space="preserve"> </w:t>
      </w:r>
      <w:r w:rsidRPr="009A0DA6">
        <w:rPr>
          <w:rFonts w:ascii="Cambria" w:eastAsia="Calibri" w:hAnsi="Cambria" w:cs="Calibri"/>
          <w:spacing w:val="-1"/>
        </w:rPr>
        <w:t>“</w:t>
      </w:r>
      <w:r w:rsidRPr="009A0DA6">
        <w:rPr>
          <w:rFonts w:ascii="Cambria" w:eastAsia="Calibri" w:hAnsi="Cambria" w:cs="Calibri"/>
        </w:rPr>
        <w:t>in</w:t>
      </w:r>
      <w:r w:rsidRPr="009A0DA6">
        <w:rPr>
          <w:rFonts w:ascii="Cambria" w:eastAsia="Calibri" w:hAnsi="Cambria" w:cs="Calibri"/>
          <w:spacing w:val="-1"/>
        </w:rPr>
        <w:t xml:space="preserve"> </w:t>
      </w:r>
      <w:r w:rsidRPr="009A0DA6">
        <w:rPr>
          <w:rFonts w:ascii="Cambria" w:eastAsia="Calibri" w:hAnsi="Cambria" w:cs="Calibri"/>
        </w:rPr>
        <w:t>c</w:t>
      </w:r>
      <w:r w:rsidRPr="009A0DA6">
        <w:rPr>
          <w:rFonts w:ascii="Cambria" w:eastAsia="Calibri" w:hAnsi="Cambria" w:cs="Calibri"/>
          <w:spacing w:val="1"/>
        </w:rPr>
        <w:t>o</w:t>
      </w:r>
      <w:r w:rsidRPr="009A0DA6">
        <w:rPr>
          <w:rFonts w:ascii="Cambria" w:eastAsia="Calibri" w:hAnsi="Cambria" w:cs="Calibri"/>
          <w:spacing w:val="-1"/>
        </w:rPr>
        <w:t>n</w:t>
      </w:r>
      <w:r w:rsidRPr="009A0DA6">
        <w:rPr>
          <w:rFonts w:ascii="Cambria" w:eastAsia="Calibri" w:hAnsi="Cambria" w:cs="Calibri"/>
        </w:rPr>
        <w:t>f</w:t>
      </w:r>
      <w:r w:rsidRPr="009A0DA6">
        <w:rPr>
          <w:rFonts w:ascii="Cambria" w:eastAsia="Calibri" w:hAnsi="Cambria" w:cs="Calibri"/>
          <w:spacing w:val="-1"/>
        </w:rPr>
        <w:t>o</w:t>
      </w:r>
      <w:r w:rsidRPr="009A0DA6">
        <w:rPr>
          <w:rFonts w:ascii="Cambria" w:eastAsia="Calibri" w:hAnsi="Cambria" w:cs="Calibri"/>
        </w:rPr>
        <w:t>r</w:t>
      </w:r>
      <w:r w:rsidRPr="009A0DA6">
        <w:rPr>
          <w:rFonts w:ascii="Cambria" w:eastAsia="Calibri" w:hAnsi="Cambria" w:cs="Calibri"/>
          <w:spacing w:val="1"/>
        </w:rPr>
        <w:t>m</w:t>
      </w:r>
      <w:r w:rsidRPr="009A0DA6">
        <w:rPr>
          <w:rFonts w:ascii="Cambria" w:eastAsia="Calibri" w:hAnsi="Cambria" w:cs="Calibri"/>
          <w:spacing w:val="-3"/>
        </w:rPr>
        <w:t>i</w:t>
      </w:r>
      <w:r w:rsidRPr="009A0DA6">
        <w:rPr>
          <w:rFonts w:ascii="Cambria" w:eastAsia="Calibri" w:hAnsi="Cambria" w:cs="Calibri"/>
        </w:rPr>
        <w:t>ty</w:t>
      </w:r>
      <w:r w:rsidRPr="009A0DA6">
        <w:rPr>
          <w:rFonts w:ascii="Cambria" w:eastAsia="Calibri" w:hAnsi="Cambria" w:cs="Calibri"/>
          <w:spacing w:val="-1"/>
        </w:rPr>
        <w:t xml:space="preserve"> </w:t>
      </w:r>
      <w:r w:rsidRPr="009A0DA6">
        <w:rPr>
          <w:rFonts w:ascii="Cambria" w:eastAsia="Calibri" w:hAnsi="Cambria" w:cs="Calibri"/>
        </w:rPr>
        <w:t xml:space="preserve">with </w:t>
      </w:r>
      <w:r w:rsidRPr="009A0DA6">
        <w:rPr>
          <w:rFonts w:ascii="Cambria" w:eastAsia="Calibri" w:hAnsi="Cambria" w:cs="Calibri"/>
          <w:spacing w:val="1"/>
        </w:rPr>
        <w:t>t</w:t>
      </w:r>
      <w:r w:rsidRPr="009A0DA6">
        <w:rPr>
          <w:rFonts w:ascii="Cambria" w:eastAsia="Calibri" w:hAnsi="Cambria" w:cs="Calibri"/>
          <w:spacing w:val="-3"/>
        </w:rPr>
        <w:t>h</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spacing w:val="-1"/>
        </w:rPr>
        <w:t>d</w:t>
      </w:r>
      <w:r w:rsidRPr="009A0DA6">
        <w:rPr>
          <w:rFonts w:ascii="Cambria" w:eastAsia="Calibri" w:hAnsi="Cambria" w:cs="Calibri"/>
        </w:rPr>
        <w:t>iv</w:t>
      </w:r>
      <w:r w:rsidRPr="009A0DA6">
        <w:rPr>
          <w:rFonts w:ascii="Cambria" w:eastAsia="Calibri" w:hAnsi="Cambria" w:cs="Calibri"/>
          <w:spacing w:val="-2"/>
        </w:rPr>
        <w:t>i</w:t>
      </w:r>
      <w:r w:rsidRPr="009A0DA6">
        <w:rPr>
          <w:rFonts w:ascii="Cambria" w:eastAsia="Calibri" w:hAnsi="Cambria" w:cs="Calibri"/>
          <w:spacing w:val="-1"/>
        </w:rPr>
        <w:t>n</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spacing w:val="-2"/>
        </w:rPr>
        <w:t>W</w:t>
      </w:r>
      <w:r w:rsidRPr="009A0DA6">
        <w:rPr>
          <w:rFonts w:ascii="Cambria" w:eastAsia="Calibri" w:hAnsi="Cambria" w:cs="Calibri"/>
          <w:spacing w:val="1"/>
        </w:rPr>
        <w:t>o</w:t>
      </w:r>
      <w:r w:rsidRPr="009A0DA6">
        <w:rPr>
          <w:rFonts w:ascii="Cambria" w:eastAsia="Calibri" w:hAnsi="Cambria" w:cs="Calibri"/>
        </w:rPr>
        <w:t>r</w:t>
      </w:r>
      <w:r w:rsidRPr="009A0DA6">
        <w:rPr>
          <w:rFonts w:ascii="Cambria" w:eastAsia="Calibri" w:hAnsi="Cambria" w:cs="Calibri"/>
          <w:spacing w:val="-1"/>
        </w:rPr>
        <w:t>d</w:t>
      </w:r>
      <w:r w:rsidRPr="009A0DA6">
        <w:rPr>
          <w:rFonts w:ascii="Cambria" w:eastAsia="Calibri" w:hAnsi="Cambria" w:cs="Calibri"/>
        </w:rPr>
        <w:t>,”</w:t>
      </w:r>
      <w:r w:rsidRPr="009A0DA6">
        <w:rPr>
          <w:rFonts w:ascii="Cambria" w:eastAsia="Calibri" w:hAnsi="Cambria" w:cs="Calibri"/>
          <w:spacing w:val="-1"/>
        </w:rPr>
        <w:t xml:space="preserve"> </w:t>
      </w:r>
      <w:r w:rsidRPr="009A0DA6">
        <w:rPr>
          <w:rFonts w:ascii="Cambria" w:eastAsia="Calibri" w:hAnsi="Cambria" w:cs="Calibri"/>
          <w:spacing w:val="1"/>
        </w:rPr>
        <w:t>(</w:t>
      </w:r>
      <w:r w:rsidRPr="009A0DA6">
        <w:rPr>
          <w:rFonts w:ascii="Cambria" w:eastAsia="Calibri" w:hAnsi="Cambria" w:cs="Calibri"/>
        </w:rPr>
        <w:t>AC VI</w:t>
      </w:r>
      <w:r w:rsidRPr="009A0DA6">
        <w:rPr>
          <w:rFonts w:ascii="Cambria" w:eastAsia="Calibri" w:hAnsi="Cambria" w:cs="Calibri"/>
          <w:spacing w:val="-1"/>
        </w:rPr>
        <w:t>I</w:t>
      </w:r>
      <w:r w:rsidRPr="009A0DA6">
        <w:rPr>
          <w:rFonts w:ascii="Cambria" w:eastAsia="Calibri" w:hAnsi="Cambria" w:cs="Calibri"/>
        </w:rPr>
        <w:t>,</w:t>
      </w:r>
      <w:r w:rsidRPr="009A0DA6">
        <w:rPr>
          <w:rFonts w:ascii="Cambria" w:eastAsia="Calibri" w:hAnsi="Cambria" w:cs="Calibri"/>
          <w:spacing w:val="-2"/>
        </w:rPr>
        <w:t xml:space="preserve"> </w:t>
      </w:r>
      <w:r w:rsidRPr="009A0DA6">
        <w:rPr>
          <w:rFonts w:ascii="Cambria" w:eastAsia="Calibri" w:hAnsi="Cambria" w:cs="Calibri"/>
          <w:spacing w:val="1"/>
        </w:rPr>
        <w:t>2</w:t>
      </w:r>
      <w:r w:rsidRPr="009A0DA6">
        <w:rPr>
          <w:rFonts w:ascii="Cambria" w:eastAsia="Calibri" w:hAnsi="Cambria" w:cs="Calibri"/>
        </w:rPr>
        <w:t>)</w:t>
      </w:r>
      <w:r w:rsidRPr="009A0DA6">
        <w:rPr>
          <w:rFonts w:ascii="Cambria" w:eastAsia="Calibri" w:hAnsi="Cambria" w:cs="Calibri"/>
          <w:spacing w:val="1"/>
        </w:rPr>
        <w:t xml:space="preserve"> </w:t>
      </w:r>
      <w:r w:rsidRPr="009A0DA6">
        <w:rPr>
          <w:rFonts w:ascii="Cambria" w:eastAsia="Calibri" w:hAnsi="Cambria" w:cs="Calibri"/>
        </w:rPr>
        <w:t>si</w:t>
      </w:r>
      <w:r w:rsidRPr="009A0DA6">
        <w:rPr>
          <w:rFonts w:ascii="Cambria" w:eastAsia="Calibri" w:hAnsi="Cambria" w:cs="Calibri"/>
          <w:spacing w:val="-1"/>
        </w:rPr>
        <w:t>n</w:t>
      </w:r>
      <w:r w:rsidRPr="009A0DA6">
        <w:rPr>
          <w:rFonts w:ascii="Cambria" w:eastAsia="Calibri" w:hAnsi="Cambria" w:cs="Calibri"/>
          <w:spacing w:val="-2"/>
        </w:rPr>
        <w:t>c</w:t>
      </w:r>
      <w:r w:rsidRPr="009A0DA6">
        <w:rPr>
          <w:rFonts w:ascii="Cambria" w:eastAsia="Calibri" w:hAnsi="Cambria" w:cs="Calibri"/>
        </w:rPr>
        <w:t>e an</w:t>
      </w:r>
      <w:r w:rsidRPr="009A0DA6">
        <w:rPr>
          <w:rFonts w:ascii="Cambria" w:eastAsia="Calibri" w:hAnsi="Cambria" w:cs="Calibri"/>
          <w:spacing w:val="-1"/>
        </w:rPr>
        <w:t xml:space="preserve"> </w:t>
      </w:r>
      <w:r w:rsidRPr="009A0DA6">
        <w:rPr>
          <w:rFonts w:ascii="Cambria" w:eastAsia="Calibri" w:hAnsi="Cambria" w:cs="Calibri"/>
          <w:spacing w:val="1"/>
        </w:rPr>
        <w:t>e</w:t>
      </w:r>
      <w:r w:rsidRPr="009A0DA6">
        <w:rPr>
          <w:rFonts w:ascii="Cambria" w:eastAsia="Calibri" w:hAnsi="Cambria" w:cs="Calibri"/>
        </w:rPr>
        <w:t>l</w:t>
      </w:r>
      <w:r w:rsidRPr="009A0DA6">
        <w:rPr>
          <w:rFonts w:ascii="Cambria" w:eastAsia="Calibri" w:hAnsi="Cambria" w:cs="Calibri"/>
          <w:spacing w:val="-2"/>
        </w:rPr>
        <w:t>e</w:t>
      </w:r>
      <w:r w:rsidRPr="009A0DA6">
        <w:rPr>
          <w:rFonts w:ascii="Cambria" w:eastAsia="Calibri" w:hAnsi="Cambria" w:cs="Calibri"/>
          <w:spacing w:val="1"/>
        </w:rPr>
        <w:t>m</w:t>
      </w:r>
      <w:r w:rsidRPr="009A0DA6">
        <w:rPr>
          <w:rFonts w:ascii="Cambria" w:eastAsia="Calibri" w:hAnsi="Cambria" w:cs="Calibri"/>
        </w:rPr>
        <w:t>ent</w:t>
      </w:r>
      <w:r w:rsidRPr="009A0DA6">
        <w:rPr>
          <w:rFonts w:ascii="Cambria" w:eastAsia="Calibri" w:hAnsi="Cambria" w:cs="Calibri"/>
          <w:spacing w:val="-2"/>
        </w:rPr>
        <w:t xml:space="preserve"> </w:t>
      </w:r>
      <w:r w:rsidRPr="009A0DA6">
        <w:rPr>
          <w:rFonts w:ascii="Cambria" w:eastAsia="Calibri" w:hAnsi="Cambria" w:cs="Calibri"/>
          <w:spacing w:val="1"/>
        </w:rPr>
        <w:t>o</w:t>
      </w:r>
      <w:r w:rsidRPr="009A0DA6">
        <w:rPr>
          <w:rFonts w:ascii="Cambria" w:eastAsia="Calibri" w:hAnsi="Cambria" w:cs="Calibri"/>
        </w:rPr>
        <w:t>f d</w:t>
      </w:r>
      <w:r w:rsidRPr="009A0DA6">
        <w:rPr>
          <w:rFonts w:ascii="Cambria" w:eastAsia="Calibri" w:hAnsi="Cambria" w:cs="Calibri"/>
          <w:spacing w:val="-1"/>
        </w:rPr>
        <w:t>i</w:t>
      </w:r>
      <w:r w:rsidRPr="009A0DA6">
        <w:rPr>
          <w:rFonts w:ascii="Cambria" w:eastAsia="Calibri" w:hAnsi="Cambria" w:cs="Calibri"/>
          <w:spacing w:val="-2"/>
        </w:rPr>
        <w:t>s</w:t>
      </w:r>
      <w:r w:rsidRPr="009A0DA6">
        <w:rPr>
          <w:rFonts w:ascii="Cambria" w:eastAsia="Calibri" w:hAnsi="Cambria" w:cs="Calibri"/>
          <w:spacing w:val="1"/>
        </w:rPr>
        <w:t>o</w:t>
      </w:r>
      <w:r w:rsidRPr="009A0DA6">
        <w:rPr>
          <w:rFonts w:ascii="Cambria" w:eastAsia="Calibri" w:hAnsi="Cambria" w:cs="Calibri"/>
          <w:spacing w:val="-1"/>
        </w:rPr>
        <w:t>b</w:t>
      </w:r>
      <w:r w:rsidRPr="009A0DA6">
        <w:rPr>
          <w:rFonts w:ascii="Cambria" w:eastAsia="Calibri" w:hAnsi="Cambria" w:cs="Calibri"/>
        </w:rPr>
        <w:t>ed</w:t>
      </w:r>
      <w:r w:rsidRPr="009A0DA6">
        <w:rPr>
          <w:rFonts w:ascii="Cambria" w:eastAsia="Calibri" w:hAnsi="Cambria" w:cs="Calibri"/>
          <w:spacing w:val="-1"/>
        </w:rPr>
        <w:t>i</w:t>
      </w:r>
      <w:r w:rsidRPr="009A0DA6">
        <w:rPr>
          <w:rFonts w:ascii="Cambria" w:eastAsia="Calibri" w:hAnsi="Cambria" w:cs="Calibri"/>
        </w:rPr>
        <w:t>e</w:t>
      </w:r>
      <w:r w:rsidRPr="009A0DA6">
        <w:rPr>
          <w:rFonts w:ascii="Cambria" w:eastAsia="Calibri" w:hAnsi="Cambria" w:cs="Calibri"/>
          <w:spacing w:val="-3"/>
        </w:rPr>
        <w:t>n</w:t>
      </w:r>
      <w:r w:rsidRPr="009A0DA6">
        <w:rPr>
          <w:rFonts w:ascii="Cambria" w:eastAsia="Calibri" w:hAnsi="Cambria" w:cs="Calibri"/>
          <w:spacing w:val="-2"/>
        </w:rPr>
        <w:t>c</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spacing w:val="-2"/>
        </w:rPr>
        <w:t>t</w:t>
      </w:r>
      <w:r w:rsidRPr="009A0DA6">
        <w:rPr>
          <w:rFonts w:ascii="Cambria" w:eastAsia="Calibri" w:hAnsi="Cambria" w:cs="Calibri"/>
        </w:rPr>
        <w:t>o</w:t>
      </w:r>
      <w:r w:rsidRPr="009A0DA6">
        <w:rPr>
          <w:rFonts w:ascii="Cambria" w:eastAsia="Calibri" w:hAnsi="Cambria" w:cs="Calibri"/>
          <w:spacing w:val="1"/>
        </w:rPr>
        <w:t xml:space="preserve"> 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2"/>
        </w:rPr>
        <w:t xml:space="preserve"> </w:t>
      </w:r>
      <w:r w:rsidRPr="009A0DA6">
        <w:rPr>
          <w:rFonts w:ascii="Cambria" w:eastAsia="Calibri" w:hAnsi="Cambria" w:cs="Calibri"/>
        </w:rPr>
        <w:t>divi</w:t>
      </w:r>
      <w:r w:rsidRPr="009A0DA6">
        <w:rPr>
          <w:rFonts w:ascii="Cambria" w:eastAsia="Calibri" w:hAnsi="Cambria" w:cs="Calibri"/>
          <w:spacing w:val="-1"/>
        </w:rPr>
        <w:t>n</w:t>
      </w:r>
      <w:r w:rsidRPr="009A0DA6">
        <w:rPr>
          <w:rFonts w:ascii="Cambria" w:eastAsia="Calibri" w:hAnsi="Cambria" w:cs="Calibri"/>
        </w:rPr>
        <w:t>e</w:t>
      </w:r>
      <w:r w:rsidRPr="009A0DA6">
        <w:rPr>
          <w:rFonts w:ascii="Cambria" w:eastAsia="Calibri" w:hAnsi="Cambria" w:cs="Calibri"/>
          <w:spacing w:val="-2"/>
        </w:rPr>
        <w:t xml:space="preserve"> </w:t>
      </w:r>
      <w:r w:rsidRPr="009A0DA6">
        <w:rPr>
          <w:rFonts w:ascii="Cambria" w:eastAsia="Calibri" w:hAnsi="Cambria" w:cs="Calibri"/>
          <w:spacing w:val="-1"/>
        </w:rPr>
        <w:t>W</w:t>
      </w:r>
      <w:r w:rsidRPr="009A0DA6">
        <w:rPr>
          <w:rFonts w:ascii="Cambria" w:eastAsia="Calibri" w:hAnsi="Cambria" w:cs="Calibri"/>
          <w:spacing w:val="1"/>
        </w:rPr>
        <w:t>o</w:t>
      </w:r>
      <w:r w:rsidRPr="009A0DA6">
        <w:rPr>
          <w:rFonts w:ascii="Cambria" w:eastAsia="Calibri" w:hAnsi="Cambria" w:cs="Calibri"/>
        </w:rPr>
        <w:t>rd</w:t>
      </w:r>
      <w:r w:rsidRPr="009A0DA6">
        <w:rPr>
          <w:rFonts w:ascii="Cambria" w:eastAsia="Calibri" w:hAnsi="Cambria" w:cs="Calibri"/>
          <w:spacing w:val="-1"/>
        </w:rPr>
        <w:t xml:space="preserve"> </w:t>
      </w:r>
      <w:r w:rsidRPr="009A0DA6">
        <w:rPr>
          <w:rFonts w:ascii="Cambria" w:eastAsia="Calibri" w:hAnsi="Cambria" w:cs="Calibri"/>
        </w:rPr>
        <w:t>is</w:t>
      </w:r>
      <w:r w:rsidRPr="009A0DA6">
        <w:rPr>
          <w:rFonts w:ascii="Cambria" w:eastAsia="Calibri" w:hAnsi="Cambria" w:cs="Calibri"/>
          <w:spacing w:val="-1"/>
        </w:rPr>
        <w:t xml:space="preserve"> </w:t>
      </w:r>
      <w:r w:rsidRPr="009A0DA6">
        <w:rPr>
          <w:rFonts w:ascii="Cambria" w:eastAsia="Calibri" w:hAnsi="Cambria" w:cs="Calibri"/>
        </w:rPr>
        <w:t>e</w:t>
      </w:r>
      <w:r w:rsidRPr="009A0DA6">
        <w:rPr>
          <w:rFonts w:ascii="Cambria" w:eastAsia="Calibri" w:hAnsi="Cambria" w:cs="Calibri"/>
          <w:spacing w:val="-1"/>
        </w:rPr>
        <w:t>mb</w:t>
      </w:r>
      <w:r w:rsidRPr="009A0DA6">
        <w:rPr>
          <w:rFonts w:ascii="Cambria" w:eastAsia="Calibri" w:hAnsi="Cambria" w:cs="Calibri"/>
          <w:spacing w:val="1"/>
        </w:rPr>
        <w:t>o</w:t>
      </w:r>
      <w:r w:rsidRPr="009A0DA6">
        <w:rPr>
          <w:rFonts w:ascii="Cambria" w:eastAsia="Calibri" w:hAnsi="Cambria" w:cs="Calibri"/>
          <w:spacing w:val="-1"/>
        </w:rPr>
        <w:t>d</w:t>
      </w:r>
      <w:r w:rsidRPr="009A0DA6">
        <w:rPr>
          <w:rFonts w:ascii="Cambria" w:eastAsia="Calibri" w:hAnsi="Cambria" w:cs="Calibri"/>
        </w:rPr>
        <w:t>ied in the</w:t>
      </w:r>
      <w:r w:rsidRPr="009A0DA6">
        <w:rPr>
          <w:rFonts w:ascii="Cambria" w:eastAsia="Calibri" w:hAnsi="Cambria" w:cs="Calibri"/>
          <w:spacing w:val="-2"/>
        </w:rPr>
        <w:t xml:space="preserve"> </w:t>
      </w:r>
      <w:r w:rsidRPr="009A0DA6">
        <w:rPr>
          <w:rFonts w:ascii="Cambria" w:eastAsia="Calibri" w:hAnsi="Cambria" w:cs="Calibri"/>
        </w:rPr>
        <w:t>ce</w:t>
      </w:r>
      <w:r w:rsidRPr="009A0DA6">
        <w:rPr>
          <w:rFonts w:ascii="Cambria" w:eastAsia="Calibri" w:hAnsi="Cambria" w:cs="Calibri"/>
          <w:spacing w:val="-2"/>
        </w:rPr>
        <w:t>l</w:t>
      </w:r>
      <w:r w:rsidRPr="009A0DA6">
        <w:rPr>
          <w:rFonts w:ascii="Cambria" w:eastAsia="Calibri" w:hAnsi="Cambria" w:cs="Calibri"/>
        </w:rPr>
        <w:t>ebr</w:t>
      </w:r>
      <w:r w:rsidRPr="009A0DA6">
        <w:rPr>
          <w:rFonts w:ascii="Cambria" w:eastAsia="Calibri" w:hAnsi="Cambria" w:cs="Calibri"/>
          <w:spacing w:val="-1"/>
        </w:rPr>
        <w:t>a</w:t>
      </w:r>
      <w:r w:rsidRPr="009A0DA6">
        <w:rPr>
          <w:rFonts w:ascii="Cambria" w:eastAsia="Calibri" w:hAnsi="Cambria" w:cs="Calibri"/>
        </w:rPr>
        <w:t>ti</w:t>
      </w:r>
      <w:r w:rsidRPr="009A0DA6">
        <w:rPr>
          <w:rFonts w:ascii="Cambria" w:eastAsia="Calibri" w:hAnsi="Cambria" w:cs="Calibri"/>
          <w:spacing w:val="1"/>
        </w:rPr>
        <w:t>o</w:t>
      </w:r>
      <w:r w:rsidRPr="009A0DA6">
        <w:rPr>
          <w:rFonts w:ascii="Cambria" w:eastAsia="Calibri" w:hAnsi="Cambria" w:cs="Calibri"/>
          <w:spacing w:val="-1"/>
        </w:rPr>
        <w:t>n</w:t>
      </w:r>
      <w:r w:rsidRPr="009A0DA6">
        <w:rPr>
          <w:rFonts w:ascii="Cambria" w:eastAsia="Calibri" w:hAnsi="Cambria" w:cs="Calibri"/>
        </w:rPr>
        <w:t>.</w:t>
      </w:r>
      <w:r w:rsidRPr="009A0DA6">
        <w:rPr>
          <w:rFonts w:ascii="Cambria" w:eastAsia="Calibri" w:hAnsi="Cambria" w:cs="Calibri"/>
        </w:rPr>
        <w:br/>
      </w:r>
      <w:r w:rsidR="00417DA5" w:rsidRPr="009A0DA6">
        <w:rPr>
          <w:rFonts w:ascii="Cambria" w:eastAsia="Calibri" w:hAnsi="Cambria" w:cs="Calibri"/>
        </w:rPr>
        <w:br/>
      </w:r>
      <w:r w:rsidRPr="009A0DA6">
        <w:rPr>
          <w:rFonts w:ascii="Cambria" w:eastAsia="Calibri" w:hAnsi="Cambria" w:cs="Calibri"/>
        </w:rPr>
        <w:t>The</w:t>
      </w:r>
      <w:r w:rsidRPr="009A0DA6">
        <w:rPr>
          <w:rFonts w:ascii="Cambria" w:eastAsia="Calibri" w:hAnsi="Cambria" w:cs="Calibri"/>
          <w:spacing w:val="1"/>
        </w:rPr>
        <w:t xml:space="preserve"> </w:t>
      </w:r>
      <w:r w:rsidRPr="009A0DA6">
        <w:rPr>
          <w:rFonts w:ascii="Cambria" w:eastAsia="Calibri" w:hAnsi="Cambria" w:cs="Calibri"/>
          <w:spacing w:val="-1"/>
        </w:rPr>
        <w:t>D</w:t>
      </w:r>
      <w:r w:rsidRPr="009A0DA6">
        <w:rPr>
          <w:rFonts w:ascii="Cambria" w:eastAsia="Calibri" w:hAnsi="Cambria" w:cs="Calibri"/>
          <w:spacing w:val="1"/>
        </w:rPr>
        <w:t>D</w:t>
      </w:r>
      <w:r w:rsidRPr="009A0DA6">
        <w:rPr>
          <w:rFonts w:ascii="Cambria" w:eastAsia="Calibri" w:hAnsi="Cambria" w:cs="Calibri"/>
        </w:rPr>
        <w:t>S t</w:t>
      </w:r>
      <w:r w:rsidRPr="009A0DA6">
        <w:rPr>
          <w:rFonts w:ascii="Cambria" w:eastAsia="Calibri" w:hAnsi="Cambria" w:cs="Calibri"/>
          <w:spacing w:val="-3"/>
        </w:rPr>
        <w:t>h</w:t>
      </w:r>
      <w:r w:rsidRPr="009A0DA6">
        <w:rPr>
          <w:rFonts w:ascii="Cambria" w:eastAsia="Calibri" w:hAnsi="Cambria" w:cs="Calibri"/>
        </w:rPr>
        <w:t xml:space="preserve">en </w:t>
      </w:r>
      <w:r w:rsidRPr="009A0DA6">
        <w:rPr>
          <w:rFonts w:ascii="Cambria" w:eastAsia="Calibri" w:hAnsi="Cambria" w:cs="Calibri"/>
          <w:spacing w:val="-2"/>
        </w:rPr>
        <w:t>c</w:t>
      </w:r>
      <w:r w:rsidRPr="009A0DA6">
        <w:rPr>
          <w:rFonts w:ascii="Cambria" w:eastAsia="Calibri" w:hAnsi="Cambria" w:cs="Calibri"/>
          <w:spacing w:val="1"/>
        </w:rPr>
        <w:t>o</w:t>
      </w:r>
      <w:r w:rsidRPr="009A0DA6">
        <w:rPr>
          <w:rFonts w:ascii="Cambria" w:eastAsia="Calibri" w:hAnsi="Cambria" w:cs="Calibri"/>
          <w:spacing w:val="-1"/>
        </w:rPr>
        <w:t>n</w:t>
      </w:r>
      <w:r w:rsidRPr="009A0DA6">
        <w:rPr>
          <w:rFonts w:ascii="Cambria" w:eastAsia="Calibri" w:hAnsi="Cambria" w:cs="Calibri"/>
        </w:rPr>
        <w:t>cl</w:t>
      </w:r>
      <w:r w:rsidRPr="009A0DA6">
        <w:rPr>
          <w:rFonts w:ascii="Cambria" w:eastAsia="Calibri" w:hAnsi="Cambria" w:cs="Calibri"/>
          <w:spacing w:val="-1"/>
        </w:rPr>
        <w:t>ud</w:t>
      </w:r>
      <w:r w:rsidRPr="009A0DA6">
        <w:rPr>
          <w:rFonts w:ascii="Cambria" w:eastAsia="Calibri" w:hAnsi="Cambria" w:cs="Calibri"/>
        </w:rPr>
        <w:t>es</w:t>
      </w:r>
      <w:r w:rsidRPr="009A0DA6">
        <w:rPr>
          <w:rFonts w:ascii="Cambria" w:eastAsia="Calibri" w:hAnsi="Cambria" w:cs="Calibri"/>
          <w:spacing w:val="1"/>
        </w:rPr>
        <w:t xml:space="preserve"> </w:t>
      </w:r>
      <w:r w:rsidRPr="009A0DA6">
        <w:rPr>
          <w:rFonts w:ascii="Cambria" w:eastAsia="Calibri" w:hAnsi="Cambria" w:cs="Calibri"/>
        </w:rPr>
        <w:t>i</w:t>
      </w:r>
      <w:r w:rsidRPr="009A0DA6">
        <w:rPr>
          <w:rFonts w:ascii="Cambria" w:eastAsia="Calibri" w:hAnsi="Cambria" w:cs="Calibri"/>
          <w:spacing w:val="-2"/>
        </w:rPr>
        <w:t>t</w:t>
      </w:r>
      <w:r w:rsidRPr="009A0DA6">
        <w:rPr>
          <w:rFonts w:ascii="Cambria" w:eastAsia="Calibri" w:hAnsi="Cambria" w:cs="Calibri"/>
        </w:rPr>
        <w:t>s</w:t>
      </w:r>
      <w:r w:rsidRPr="009A0DA6">
        <w:rPr>
          <w:rFonts w:ascii="Cambria" w:eastAsia="Calibri" w:hAnsi="Cambria" w:cs="Calibri"/>
          <w:spacing w:val="-2"/>
        </w:rPr>
        <w:t xml:space="preserve"> </w:t>
      </w:r>
      <w:r w:rsidRPr="009A0DA6">
        <w:rPr>
          <w:rFonts w:ascii="Cambria" w:eastAsia="Calibri" w:hAnsi="Cambria" w:cs="Calibri"/>
        </w:rPr>
        <w:t>case</w:t>
      </w:r>
      <w:r w:rsidRPr="009A0DA6">
        <w:rPr>
          <w:rFonts w:ascii="Cambria" w:eastAsia="Calibri" w:hAnsi="Cambria" w:cs="Calibri"/>
          <w:spacing w:val="1"/>
        </w:rPr>
        <w:t xml:space="preserve"> </w:t>
      </w:r>
      <w:r w:rsidRPr="009A0DA6">
        <w:rPr>
          <w:rFonts w:ascii="Cambria" w:eastAsia="Calibri" w:hAnsi="Cambria" w:cs="Calibri"/>
          <w:spacing w:val="-3"/>
        </w:rPr>
        <w:t>b</w:t>
      </w:r>
      <w:r w:rsidRPr="009A0DA6">
        <w:rPr>
          <w:rFonts w:ascii="Cambria" w:eastAsia="Calibri" w:hAnsi="Cambria" w:cs="Calibri"/>
        </w:rPr>
        <w:t>y</w:t>
      </w:r>
      <w:r w:rsidRPr="009A0DA6">
        <w:rPr>
          <w:rFonts w:ascii="Cambria" w:eastAsia="Calibri" w:hAnsi="Cambria" w:cs="Calibri"/>
          <w:spacing w:val="1"/>
        </w:rPr>
        <w:t xml:space="preserve"> </w:t>
      </w:r>
      <w:r w:rsidRPr="009A0DA6">
        <w:rPr>
          <w:rFonts w:ascii="Cambria" w:eastAsia="Calibri" w:hAnsi="Cambria" w:cs="Calibri"/>
        </w:rPr>
        <w:t>s</w:t>
      </w:r>
      <w:r w:rsidRPr="009A0DA6">
        <w:rPr>
          <w:rFonts w:ascii="Cambria" w:eastAsia="Calibri" w:hAnsi="Cambria" w:cs="Calibri"/>
          <w:spacing w:val="-2"/>
        </w:rPr>
        <w:t>a</w:t>
      </w:r>
      <w:r w:rsidRPr="009A0DA6">
        <w:rPr>
          <w:rFonts w:ascii="Cambria" w:eastAsia="Calibri" w:hAnsi="Cambria" w:cs="Calibri"/>
          <w:spacing w:val="1"/>
        </w:rPr>
        <w:t>y</w:t>
      </w:r>
      <w:r w:rsidRPr="009A0DA6">
        <w:rPr>
          <w:rFonts w:ascii="Cambria" w:eastAsia="Calibri" w:hAnsi="Cambria" w:cs="Calibri"/>
        </w:rPr>
        <w:t>i</w:t>
      </w:r>
      <w:r w:rsidRPr="009A0DA6">
        <w:rPr>
          <w:rFonts w:ascii="Cambria" w:eastAsia="Calibri" w:hAnsi="Cambria" w:cs="Calibri"/>
          <w:spacing w:val="-1"/>
        </w:rPr>
        <w:t>n</w:t>
      </w:r>
      <w:r w:rsidRPr="009A0DA6">
        <w:rPr>
          <w:rFonts w:ascii="Cambria" w:eastAsia="Calibri" w:hAnsi="Cambria" w:cs="Calibri"/>
        </w:rPr>
        <w:t>g</w:t>
      </w:r>
      <w:r w:rsidRPr="009A0DA6">
        <w:rPr>
          <w:rFonts w:ascii="Cambria" w:eastAsia="Calibri" w:hAnsi="Cambria" w:cs="Calibri"/>
          <w:spacing w:val="-1"/>
        </w:rPr>
        <w:t xml:space="preserve">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at</w:t>
      </w:r>
      <w:r w:rsidRPr="009A0DA6">
        <w:rPr>
          <w:rFonts w:ascii="Cambria" w:eastAsia="Calibri" w:hAnsi="Cambria" w:cs="Calibri"/>
          <w:spacing w:val="1"/>
        </w:rPr>
        <w:t xml:space="preserve"> </w:t>
      </w:r>
      <w:r w:rsidRPr="009A0DA6">
        <w:rPr>
          <w:rFonts w:ascii="Cambria" w:eastAsia="Calibri" w:hAnsi="Cambria" w:cs="Calibri"/>
        </w:rPr>
        <w:t>the</w:t>
      </w:r>
      <w:r w:rsidRPr="009A0DA6">
        <w:rPr>
          <w:rFonts w:ascii="Cambria" w:eastAsia="Calibri" w:hAnsi="Cambria" w:cs="Calibri"/>
          <w:spacing w:val="1"/>
        </w:rPr>
        <w:t xml:space="preserve"> </w:t>
      </w:r>
      <w:r w:rsidRPr="009A0DA6">
        <w:rPr>
          <w:rFonts w:ascii="Cambria" w:eastAsia="Calibri" w:hAnsi="Cambria" w:cs="Calibri"/>
          <w:spacing w:val="-3"/>
        </w:rPr>
        <w:t>p</w:t>
      </w:r>
      <w:r w:rsidRPr="009A0DA6">
        <w:rPr>
          <w:rFonts w:ascii="Cambria" w:eastAsia="Calibri" w:hAnsi="Cambria" w:cs="Calibri"/>
          <w:spacing w:val="-1"/>
        </w:rPr>
        <w:t>o</w:t>
      </w:r>
      <w:r w:rsidRPr="009A0DA6">
        <w:rPr>
          <w:rFonts w:ascii="Cambria" w:eastAsia="Calibri" w:hAnsi="Cambria" w:cs="Calibri"/>
        </w:rPr>
        <w:t>w</w:t>
      </w:r>
      <w:r w:rsidRPr="009A0DA6">
        <w:rPr>
          <w:rFonts w:ascii="Cambria" w:eastAsia="Calibri" w:hAnsi="Cambria" w:cs="Calibri"/>
          <w:spacing w:val="1"/>
        </w:rPr>
        <w:t>e</w:t>
      </w:r>
      <w:r w:rsidRPr="009A0DA6">
        <w:rPr>
          <w:rFonts w:ascii="Cambria" w:eastAsia="Calibri" w:hAnsi="Cambria" w:cs="Calibri"/>
        </w:rPr>
        <w:t>r</w:t>
      </w:r>
      <w:r w:rsidRPr="009A0DA6">
        <w:rPr>
          <w:rFonts w:ascii="Cambria" w:eastAsia="Calibri" w:hAnsi="Cambria" w:cs="Calibri"/>
          <w:spacing w:val="-2"/>
        </w:rPr>
        <w:t xml:space="preserve"> </w:t>
      </w:r>
      <w:r w:rsidRPr="009A0DA6">
        <w:rPr>
          <w:rFonts w:ascii="Cambria" w:eastAsia="Calibri" w:hAnsi="Cambria" w:cs="Calibri"/>
          <w:spacing w:val="1"/>
        </w:rPr>
        <w:t>o</w:t>
      </w:r>
      <w:r w:rsidRPr="009A0DA6">
        <w:rPr>
          <w:rFonts w:ascii="Cambria" w:eastAsia="Calibri" w:hAnsi="Cambria" w:cs="Calibri"/>
        </w:rPr>
        <w:t xml:space="preserve">f </w:t>
      </w:r>
      <w:r w:rsidRPr="009A0DA6">
        <w:rPr>
          <w:rFonts w:ascii="Cambria" w:eastAsia="Calibri" w:hAnsi="Cambria" w:cs="Calibri"/>
          <w:spacing w:val="-2"/>
        </w:rPr>
        <w:t>G</w:t>
      </w:r>
      <w:r w:rsidRPr="009A0DA6">
        <w:rPr>
          <w:rFonts w:ascii="Cambria" w:eastAsia="Calibri" w:hAnsi="Cambria" w:cs="Calibri"/>
          <w:spacing w:val="1"/>
        </w:rPr>
        <w:t>o</w:t>
      </w:r>
      <w:r w:rsidRPr="009A0DA6">
        <w:rPr>
          <w:rFonts w:ascii="Cambria" w:eastAsia="Calibri" w:hAnsi="Cambria" w:cs="Calibri"/>
          <w:spacing w:val="-1"/>
        </w:rPr>
        <w:t>d</w:t>
      </w:r>
      <w:r w:rsidRPr="009A0DA6">
        <w:rPr>
          <w:rFonts w:ascii="Cambria" w:eastAsia="Calibri" w:hAnsi="Cambria" w:cs="Calibri"/>
        </w:rPr>
        <w:t>’s</w:t>
      </w:r>
      <w:r w:rsidRPr="009A0DA6">
        <w:rPr>
          <w:rFonts w:ascii="Cambria" w:eastAsia="Calibri" w:hAnsi="Cambria" w:cs="Calibri"/>
          <w:spacing w:val="-2"/>
        </w:rPr>
        <w:t xml:space="preserve"> </w:t>
      </w:r>
      <w:r w:rsidRPr="009A0DA6">
        <w:rPr>
          <w:rFonts w:ascii="Cambria" w:eastAsia="Calibri" w:hAnsi="Cambria" w:cs="Calibri"/>
        </w:rPr>
        <w:t>w</w:t>
      </w:r>
      <w:r w:rsidRPr="009A0DA6">
        <w:rPr>
          <w:rFonts w:ascii="Cambria" w:eastAsia="Calibri" w:hAnsi="Cambria" w:cs="Calibri"/>
          <w:spacing w:val="2"/>
        </w:rPr>
        <w:t>o</w:t>
      </w:r>
      <w:r w:rsidRPr="009A0DA6">
        <w:rPr>
          <w:rFonts w:ascii="Cambria" w:eastAsia="Calibri" w:hAnsi="Cambria" w:cs="Calibri"/>
        </w:rPr>
        <w:t>rd</w:t>
      </w:r>
      <w:r w:rsidRPr="009A0DA6">
        <w:rPr>
          <w:rFonts w:ascii="Cambria" w:eastAsia="Calibri" w:hAnsi="Cambria" w:cs="Calibri"/>
          <w:spacing w:val="-3"/>
        </w:rPr>
        <w:t xml:space="preserve"> </w:t>
      </w:r>
      <w:r w:rsidRPr="009A0DA6">
        <w:rPr>
          <w:rFonts w:ascii="Cambria" w:eastAsia="Calibri" w:hAnsi="Cambria" w:cs="Calibri"/>
          <w:spacing w:val="-2"/>
        </w:rPr>
        <w:t>t</w:t>
      </w:r>
      <w:r w:rsidRPr="009A0DA6">
        <w:rPr>
          <w:rFonts w:ascii="Cambria" w:eastAsia="Calibri" w:hAnsi="Cambria" w:cs="Calibri"/>
        </w:rPr>
        <w:t>o</w:t>
      </w:r>
      <w:r w:rsidRPr="009A0DA6">
        <w:rPr>
          <w:rFonts w:ascii="Cambria" w:eastAsia="Calibri" w:hAnsi="Cambria" w:cs="Calibri"/>
          <w:spacing w:val="1"/>
        </w:rPr>
        <w:t xml:space="preserve"> e</w:t>
      </w:r>
      <w:r w:rsidRPr="009A0DA6">
        <w:rPr>
          <w:rFonts w:ascii="Cambria" w:eastAsia="Calibri" w:hAnsi="Cambria" w:cs="Calibri"/>
        </w:rPr>
        <w:t>f</w:t>
      </w:r>
      <w:r w:rsidRPr="009A0DA6">
        <w:rPr>
          <w:rFonts w:ascii="Cambria" w:eastAsia="Calibri" w:hAnsi="Cambria" w:cs="Calibri"/>
          <w:spacing w:val="-3"/>
        </w:rPr>
        <w:t>f</w:t>
      </w:r>
      <w:r w:rsidRPr="009A0DA6">
        <w:rPr>
          <w:rFonts w:ascii="Cambria" w:eastAsia="Calibri" w:hAnsi="Cambria" w:cs="Calibri"/>
        </w:rPr>
        <w:t>e</w:t>
      </w:r>
      <w:r w:rsidRPr="009A0DA6">
        <w:rPr>
          <w:rFonts w:ascii="Cambria" w:eastAsia="Calibri" w:hAnsi="Cambria" w:cs="Calibri"/>
          <w:spacing w:val="-2"/>
        </w:rPr>
        <w:t>c</w:t>
      </w:r>
      <w:r w:rsidRPr="009A0DA6">
        <w:rPr>
          <w:rFonts w:ascii="Cambria" w:eastAsia="Calibri" w:hAnsi="Cambria" w:cs="Calibri"/>
        </w:rPr>
        <w:t>t</w:t>
      </w:r>
      <w:r w:rsidRPr="009A0DA6">
        <w:rPr>
          <w:rFonts w:ascii="Cambria" w:eastAsia="Calibri" w:hAnsi="Cambria" w:cs="Calibri"/>
          <w:spacing w:val="1"/>
        </w:rPr>
        <w:t xml:space="preserve"> </w:t>
      </w:r>
      <w:r w:rsidRPr="009A0DA6">
        <w:rPr>
          <w:rFonts w:ascii="Cambria" w:eastAsia="Calibri" w:hAnsi="Cambria" w:cs="Calibri"/>
        </w:rPr>
        <w:t>salv</w:t>
      </w:r>
      <w:r w:rsidRPr="009A0DA6">
        <w:rPr>
          <w:rFonts w:ascii="Cambria" w:eastAsia="Calibri" w:hAnsi="Cambria" w:cs="Calibri"/>
          <w:spacing w:val="-2"/>
        </w:rPr>
        <w:t>a</w:t>
      </w:r>
      <w:r w:rsidRPr="009A0DA6">
        <w:rPr>
          <w:rFonts w:ascii="Cambria" w:eastAsia="Calibri" w:hAnsi="Cambria" w:cs="Calibri"/>
        </w:rPr>
        <w:t>ti</w:t>
      </w:r>
      <w:r w:rsidRPr="009A0DA6">
        <w:rPr>
          <w:rFonts w:ascii="Cambria" w:eastAsia="Calibri" w:hAnsi="Cambria" w:cs="Calibri"/>
          <w:spacing w:val="1"/>
        </w:rPr>
        <w:t>o</w:t>
      </w:r>
      <w:r w:rsidRPr="009A0DA6">
        <w:rPr>
          <w:rFonts w:ascii="Cambria" w:eastAsia="Calibri" w:hAnsi="Cambria" w:cs="Calibri"/>
        </w:rPr>
        <w:t xml:space="preserve">n </w:t>
      </w:r>
      <w:r w:rsidRPr="009A0DA6">
        <w:rPr>
          <w:rFonts w:ascii="Cambria" w:eastAsia="Calibri" w:hAnsi="Cambria" w:cs="Calibri"/>
          <w:spacing w:val="-2"/>
        </w:rPr>
        <w:t>i</w:t>
      </w:r>
      <w:r w:rsidRPr="009A0DA6">
        <w:rPr>
          <w:rFonts w:ascii="Cambria" w:eastAsia="Calibri" w:hAnsi="Cambria" w:cs="Calibri"/>
        </w:rPr>
        <w:t xml:space="preserve">s in </w:t>
      </w:r>
      <w:r w:rsidRPr="009A0DA6">
        <w:rPr>
          <w:rFonts w:ascii="Cambria" w:eastAsia="Calibri" w:hAnsi="Cambria" w:cs="Calibri"/>
          <w:spacing w:val="-1"/>
        </w:rPr>
        <w:t>n</w:t>
      </w:r>
      <w:r w:rsidRPr="009A0DA6">
        <w:rPr>
          <w:rFonts w:ascii="Cambria" w:eastAsia="Calibri" w:hAnsi="Cambria" w:cs="Calibri"/>
        </w:rPr>
        <w:t>o</w:t>
      </w:r>
      <w:r w:rsidRPr="009A0DA6">
        <w:rPr>
          <w:rFonts w:ascii="Cambria" w:eastAsia="Calibri" w:hAnsi="Cambria" w:cs="Calibri"/>
          <w:spacing w:val="-1"/>
        </w:rPr>
        <w:t xml:space="preserve"> </w:t>
      </w:r>
      <w:r w:rsidRPr="009A0DA6">
        <w:rPr>
          <w:rFonts w:ascii="Cambria" w:eastAsia="Calibri" w:hAnsi="Cambria" w:cs="Calibri"/>
          <w:spacing w:val="1"/>
        </w:rPr>
        <w:t>w</w:t>
      </w:r>
      <w:r w:rsidRPr="009A0DA6">
        <w:rPr>
          <w:rFonts w:ascii="Cambria" w:eastAsia="Calibri" w:hAnsi="Cambria" w:cs="Calibri"/>
          <w:spacing w:val="-3"/>
        </w:rPr>
        <w:t>a</w:t>
      </w:r>
      <w:r w:rsidRPr="009A0DA6">
        <w:rPr>
          <w:rFonts w:ascii="Cambria" w:eastAsia="Calibri" w:hAnsi="Cambria" w:cs="Calibri"/>
        </w:rPr>
        <w:t xml:space="preserve">y </w:t>
      </w:r>
      <w:r w:rsidRPr="009A0DA6">
        <w:rPr>
          <w:rFonts w:ascii="Cambria" w:eastAsia="Calibri" w:hAnsi="Cambria" w:cs="Calibri"/>
          <w:spacing w:val="-1"/>
        </w:rPr>
        <w:t>d</w:t>
      </w:r>
      <w:r w:rsidRPr="009A0DA6">
        <w:rPr>
          <w:rFonts w:ascii="Cambria" w:eastAsia="Calibri" w:hAnsi="Cambria" w:cs="Calibri"/>
        </w:rPr>
        <w:t>epen</w:t>
      </w:r>
      <w:r w:rsidRPr="009A0DA6">
        <w:rPr>
          <w:rFonts w:ascii="Cambria" w:eastAsia="Calibri" w:hAnsi="Cambria" w:cs="Calibri"/>
          <w:spacing w:val="-1"/>
        </w:rPr>
        <w:t>d</w:t>
      </w:r>
      <w:r w:rsidRPr="009A0DA6">
        <w:rPr>
          <w:rFonts w:ascii="Cambria" w:eastAsia="Calibri" w:hAnsi="Cambria" w:cs="Calibri"/>
        </w:rPr>
        <w:t>ent</w:t>
      </w:r>
      <w:r w:rsidRPr="009A0DA6">
        <w:rPr>
          <w:rFonts w:ascii="Cambria" w:eastAsia="Calibri" w:hAnsi="Cambria" w:cs="Calibri"/>
          <w:spacing w:val="-2"/>
        </w:rPr>
        <w:t xml:space="preserve"> </w:t>
      </w:r>
      <w:r w:rsidRPr="009A0DA6">
        <w:rPr>
          <w:rFonts w:ascii="Cambria" w:eastAsia="Calibri" w:hAnsi="Cambria" w:cs="Calibri"/>
          <w:spacing w:val="1"/>
        </w:rPr>
        <w:t>o</w:t>
      </w:r>
      <w:r w:rsidRPr="009A0DA6">
        <w:rPr>
          <w:rFonts w:ascii="Cambria" w:eastAsia="Calibri" w:hAnsi="Cambria" w:cs="Calibri"/>
        </w:rPr>
        <w:t>n</w:t>
      </w:r>
      <w:r w:rsidRPr="009A0DA6">
        <w:rPr>
          <w:rFonts w:ascii="Cambria" w:eastAsia="Calibri" w:hAnsi="Cambria" w:cs="Calibri"/>
          <w:spacing w:val="-1"/>
        </w:rPr>
        <w:t xml:space="preserve">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spacing w:val="-3"/>
        </w:rPr>
        <w:t>p</w:t>
      </w:r>
      <w:r w:rsidRPr="009A0DA6">
        <w:rPr>
          <w:rFonts w:ascii="Cambria" w:eastAsia="Calibri" w:hAnsi="Cambria" w:cs="Calibri"/>
        </w:rPr>
        <w:t>er</w:t>
      </w:r>
      <w:r w:rsidRPr="009A0DA6">
        <w:rPr>
          <w:rFonts w:ascii="Cambria" w:eastAsia="Calibri" w:hAnsi="Cambria" w:cs="Calibri"/>
          <w:spacing w:val="-2"/>
        </w:rPr>
        <w:t>s</w:t>
      </w:r>
      <w:r w:rsidRPr="009A0DA6">
        <w:rPr>
          <w:rFonts w:ascii="Cambria" w:eastAsia="Calibri" w:hAnsi="Cambria" w:cs="Calibri"/>
          <w:spacing w:val="1"/>
        </w:rPr>
        <w:t>o</w:t>
      </w:r>
      <w:r w:rsidRPr="009A0DA6">
        <w:rPr>
          <w:rFonts w:ascii="Cambria" w:eastAsia="Calibri" w:hAnsi="Cambria" w:cs="Calibri"/>
        </w:rPr>
        <w:t>n</w:t>
      </w:r>
      <w:r w:rsidRPr="009A0DA6">
        <w:rPr>
          <w:rFonts w:ascii="Cambria" w:eastAsia="Calibri" w:hAnsi="Cambria" w:cs="Calibri"/>
          <w:spacing w:val="-3"/>
        </w:rPr>
        <w:t xml:space="preserve"> </w:t>
      </w:r>
      <w:r w:rsidRPr="009A0DA6">
        <w:rPr>
          <w:rFonts w:ascii="Cambria" w:eastAsia="Calibri" w:hAnsi="Cambria" w:cs="Calibri"/>
        </w:rPr>
        <w:t>who</w:t>
      </w:r>
      <w:r w:rsidRPr="009A0DA6">
        <w:rPr>
          <w:rFonts w:ascii="Cambria" w:eastAsia="Calibri" w:hAnsi="Cambria" w:cs="Calibri"/>
          <w:spacing w:val="1"/>
        </w:rPr>
        <w:t xml:space="preserve"> </w:t>
      </w:r>
      <w:r w:rsidRPr="009A0DA6">
        <w:rPr>
          <w:rFonts w:ascii="Cambria" w:eastAsia="Calibri" w:hAnsi="Cambria" w:cs="Calibri"/>
        </w:rPr>
        <w:t>s</w:t>
      </w:r>
      <w:r w:rsidRPr="009A0DA6">
        <w:rPr>
          <w:rFonts w:ascii="Cambria" w:eastAsia="Calibri" w:hAnsi="Cambria" w:cs="Calibri"/>
          <w:spacing w:val="-3"/>
        </w:rPr>
        <w:t>p</w:t>
      </w:r>
      <w:r w:rsidRPr="009A0DA6">
        <w:rPr>
          <w:rFonts w:ascii="Cambria" w:eastAsia="Calibri" w:hAnsi="Cambria" w:cs="Calibri"/>
        </w:rPr>
        <w:t>eaks</w:t>
      </w:r>
      <w:r w:rsidRPr="009A0DA6">
        <w:rPr>
          <w:rFonts w:ascii="Cambria" w:eastAsia="Calibri" w:hAnsi="Cambria" w:cs="Calibri"/>
          <w:spacing w:val="1"/>
        </w:rPr>
        <w:t xml:space="preserve"> </w:t>
      </w:r>
      <w:r w:rsidRPr="009A0DA6">
        <w:rPr>
          <w:rFonts w:ascii="Cambria" w:eastAsia="Calibri" w:hAnsi="Cambria" w:cs="Calibri"/>
          <w:spacing w:val="-2"/>
        </w:rPr>
        <w:t>i</w:t>
      </w:r>
      <w:r w:rsidRPr="009A0DA6">
        <w:rPr>
          <w:rFonts w:ascii="Cambria" w:eastAsia="Calibri" w:hAnsi="Cambria" w:cs="Calibri"/>
        </w:rPr>
        <w:t xml:space="preserve">t.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2"/>
        </w:rPr>
        <w:t>r</w:t>
      </w:r>
      <w:r w:rsidRPr="009A0DA6">
        <w:rPr>
          <w:rFonts w:ascii="Cambria" w:eastAsia="Calibri" w:hAnsi="Cambria" w:cs="Calibri"/>
        </w:rPr>
        <w:t>ef</w:t>
      </w:r>
      <w:r w:rsidRPr="009A0DA6">
        <w:rPr>
          <w:rFonts w:ascii="Cambria" w:eastAsia="Calibri" w:hAnsi="Cambria" w:cs="Calibri"/>
          <w:spacing w:val="-1"/>
        </w:rPr>
        <w:t>o</w:t>
      </w:r>
      <w:r w:rsidRPr="009A0DA6">
        <w:rPr>
          <w:rFonts w:ascii="Cambria" w:eastAsia="Calibri" w:hAnsi="Cambria" w:cs="Calibri"/>
        </w:rPr>
        <w:t>re</w:t>
      </w:r>
      <w:r w:rsidRPr="009A0DA6">
        <w:rPr>
          <w:rFonts w:ascii="Cambria" w:eastAsia="Calibri" w:hAnsi="Cambria" w:cs="Calibri"/>
          <w:spacing w:val="1"/>
        </w:rPr>
        <w:t xml:space="preserve"> </w:t>
      </w:r>
      <w:r w:rsidRPr="009A0DA6">
        <w:rPr>
          <w:rFonts w:ascii="Cambria" w:eastAsia="Calibri" w:hAnsi="Cambria" w:cs="Calibri"/>
        </w:rPr>
        <w:t>it</w:t>
      </w:r>
      <w:r w:rsidRPr="009A0DA6">
        <w:rPr>
          <w:rFonts w:ascii="Cambria" w:eastAsia="Calibri" w:hAnsi="Cambria" w:cs="Calibri"/>
          <w:spacing w:val="-4"/>
        </w:rPr>
        <w:t xml:space="preserve"> </w:t>
      </w:r>
      <w:r w:rsidRPr="009A0DA6">
        <w:rPr>
          <w:rFonts w:ascii="Cambria" w:eastAsia="Calibri" w:hAnsi="Cambria" w:cs="Calibri"/>
          <w:spacing w:val="-1"/>
        </w:rPr>
        <w:t>d</w:t>
      </w:r>
      <w:r w:rsidRPr="009A0DA6">
        <w:rPr>
          <w:rFonts w:ascii="Cambria" w:eastAsia="Calibri" w:hAnsi="Cambria" w:cs="Calibri"/>
          <w:spacing w:val="1"/>
        </w:rPr>
        <w:t>o</w:t>
      </w:r>
      <w:r w:rsidRPr="009A0DA6">
        <w:rPr>
          <w:rFonts w:ascii="Cambria" w:eastAsia="Calibri" w:hAnsi="Cambria" w:cs="Calibri"/>
        </w:rPr>
        <w:t>es</w:t>
      </w:r>
      <w:r w:rsidRPr="009A0DA6">
        <w:rPr>
          <w:rFonts w:ascii="Cambria" w:eastAsia="Calibri" w:hAnsi="Cambria" w:cs="Calibri"/>
          <w:spacing w:val="1"/>
        </w:rPr>
        <w:t xml:space="preserve"> </w:t>
      </w:r>
      <w:r w:rsidRPr="009A0DA6">
        <w:rPr>
          <w:rFonts w:ascii="Cambria" w:eastAsia="Calibri" w:hAnsi="Cambria" w:cs="Calibri"/>
          <w:spacing w:val="-3"/>
        </w:rPr>
        <w:t>n</w:t>
      </w:r>
      <w:r w:rsidRPr="009A0DA6">
        <w:rPr>
          <w:rFonts w:ascii="Cambria" w:eastAsia="Calibri" w:hAnsi="Cambria" w:cs="Calibri"/>
          <w:spacing w:val="1"/>
        </w:rPr>
        <w:t>o</w:t>
      </w:r>
      <w:r w:rsidRPr="009A0DA6">
        <w:rPr>
          <w:rFonts w:ascii="Cambria" w:eastAsia="Calibri" w:hAnsi="Cambria" w:cs="Calibri"/>
        </w:rPr>
        <w:t>t</w:t>
      </w:r>
      <w:r w:rsidRPr="009A0DA6">
        <w:rPr>
          <w:rFonts w:ascii="Cambria" w:eastAsia="Calibri" w:hAnsi="Cambria" w:cs="Calibri"/>
          <w:spacing w:val="-1"/>
        </w:rPr>
        <w:t xml:space="preserve"> </w:t>
      </w:r>
      <w:r w:rsidRPr="009A0DA6">
        <w:rPr>
          <w:rFonts w:ascii="Cambria" w:eastAsia="Calibri" w:hAnsi="Cambria" w:cs="Calibri"/>
          <w:spacing w:val="1"/>
        </w:rPr>
        <w:t>m</w:t>
      </w:r>
      <w:r w:rsidRPr="009A0DA6">
        <w:rPr>
          <w:rFonts w:ascii="Cambria" w:eastAsia="Calibri" w:hAnsi="Cambria" w:cs="Calibri"/>
          <w:spacing w:val="-3"/>
        </w:rPr>
        <w:t>a</w:t>
      </w:r>
      <w:r w:rsidRPr="009A0DA6">
        <w:rPr>
          <w:rFonts w:ascii="Cambria" w:eastAsia="Calibri" w:hAnsi="Cambria" w:cs="Calibri"/>
        </w:rPr>
        <w:t>t</w:t>
      </w:r>
      <w:r w:rsidRPr="009A0DA6">
        <w:rPr>
          <w:rFonts w:ascii="Cambria" w:eastAsia="Calibri" w:hAnsi="Cambria" w:cs="Calibri"/>
          <w:spacing w:val="1"/>
        </w:rPr>
        <w:t>t</w:t>
      </w:r>
      <w:r w:rsidRPr="009A0DA6">
        <w:rPr>
          <w:rFonts w:ascii="Cambria" w:eastAsia="Calibri" w:hAnsi="Cambria" w:cs="Calibri"/>
        </w:rPr>
        <w:t>er</w:t>
      </w:r>
      <w:r w:rsidRPr="009A0DA6">
        <w:rPr>
          <w:rFonts w:ascii="Cambria" w:eastAsia="Calibri" w:hAnsi="Cambria" w:cs="Calibri"/>
          <w:spacing w:val="-2"/>
        </w:rPr>
        <w:t xml:space="preserve"> </w:t>
      </w:r>
      <w:r w:rsidRPr="009A0DA6">
        <w:rPr>
          <w:rFonts w:ascii="Cambria" w:eastAsia="Calibri" w:hAnsi="Cambria" w:cs="Calibri"/>
        </w:rPr>
        <w:t xml:space="preserve">if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is p</w:t>
      </w:r>
      <w:r w:rsidRPr="009A0DA6">
        <w:rPr>
          <w:rFonts w:ascii="Cambria" w:eastAsia="Calibri" w:hAnsi="Cambria" w:cs="Calibri"/>
          <w:spacing w:val="-2"/>
        </w:rPr>
        <w:t>e</w:t>
      </w:r>
      <w:r w:rsidRPr="009A0DA6">
        <w:rPr>
          <w:rFonts w:ascii="Cambria" w:eastAsia="Calibri" w:hAnsi="Cambria" w:cs="Calibri"/>
        </w:rPr>
        <w:t>r</w:t>
      </w:r>
      <w:r w:rsidRPr="009A0DA6">
        <w:rPr>
          <w:rFonts w:ascii="Cambria" w:eastAsia="Calibri" w:hAnsi="Cambria" w:cs="Calibri"/>
          <w:spacing w:val="-3"/>
        </w:rPr>
        <w:t>s</w:t>
      </w:r>
      <w:r w:rsidRPr="009A0DA6">
        <w:rPr>
          <w:rFonts w:ascii="Cambria" w:eastAsia="Calibri" w:hAnsi="Cambria" w:cs="Calibri"/>
          <w:spacing w:val="1"/>
        </w:rPr>
        <w:t>o</w:t>
      </w:r>
      <w:r w:rsidRPr="009A0DA6">
        <w:rPr>
          <w:rFonts w:ascii="Cambria" w:eastAsia="Calibri" w:hAnsi="Cambria" w:cs="Calibri"/>
        </w:rPr>
        <w:t>n</w:t>
      </w:r>
      <w:r w:rsidRPr="009A0DA6">
        <w:rPr>
          <w:rFonts w:ascii="Cambria" w:eastAsia="Calibri" w:hAnsi="Cambria" w:cs="Calibri"/>
          <w:spacing w:val="-1"/>
        </w:rPr>
        <w:t xml:space="preserve"> </w:t>
      </w:r>
      <w:r w:rsidRPr="009A0DA6">
        <w:rPr>
          <w:rFonts w:ascii="Cambria" w:eastAsia="Calibri" w:hAnsi="Cambria" w:cs="Calibri"/>
        </w:rPr>
        <w:t>is</w:t>
      </w:r>
      <w:r w:rsidRPr="009A0DA6">
        <w:rPr>
          <w:rFonts w:ascii="Cambria" w:eastAsia="Calibri" w:hAnsi="Cambria" w:cs="Calibri"/>
          <w:spacing w:val="-1"/>
        </w:rPr>
        <w:t xml:space="preserve"> </w:t>
      </w:r>
      <w:r w:rsidRPr="009A0DA6">
        <w:rPr>
          <w:rFonts w:ascii="Cambria" w:eastAsia="Calibri" w:hAnsi="Cambria" w:cs="Calibri"/>
          <w:spacing w:val="1"/>
        </w:rPr>
        <w:t>m</w:t>
      </w:r>
      <w:r w:rsidRPr="009A0DA6">
        <w:rPr>
          <w:rFonts w:ascii="Cambria" w:eastAsia="Calibri" w:hAnsi="Cambria" w:cs="Calibri"/>
        </w:rPr>
        <w:t>ale</w:t>
      </w:r>
      <w:r w:rsidRPr="009A0DA6">
        <w:rPr>
          <w:rFonts w:ascii="Cambria" w:eastAsia="Calibri" w:hAnsi="Cambria" w:cs="Calibri"/>
          <w:spacing w:val="-2"/>
        </w:rPr>
        <w:t xml:space="preserve"> </w:t>
      </w:r>
      <w:r w:rsidRPr="009A0DA6">
        <w:rPr>
          <w:rFonts w:ascii="Cambria" w:eastAsia="Calibri" w:hAnsi="Cambria" w:cs="Calibri"/>
          <w:spacing w:val="1"/>
        </w:rPr>
        <w:t>o</w:t>
      </w:r>
      <w:r w:rsidRPr="009A0DA6">
        <w:rPr>
          <w:rFonts w:ascii="Cambria" w:eastAsia="Calibri" w:hAnsi="Cambria" w:cs="Calibri"/>
        </w:rPr>
        <w:t>r</w:t>
      </w:r>
      <w:r w:rsidRPr="009A0DA6">
        <w:rPr>
          <w:rFonts w:ascii="Cambria" w:eastAsia="Calibri" w:hAnsi="Cambria" w:cs="Calibri"/>
          <w:spacing w:val="-2"/>
        </w:rPr>
        <w:t xml:space="preserve"> </w:t>
      </w:r>
      <w:r w:rsidRPr="009A0DA6">
        <w:rPr>
          <w:rFonts w:ascii="Cambria" w:eastAsia="Calibri" w:hAnsi="Cambria" w:cs="Calibri"/>
        </w:rPr>
        <w:t>f</w:t>
      </w:r>
      <w:r w:rsidRPr="009A0DA6">
        <w:rPr>
          <w:rFonts w:ascii="Cambria" w:eastAsia="Calibri" w:hAnsi="Cambria" w:cs="Calibri"/>
          <w:spacing w:val="-1"/>
        </w:rPr>
        <w:t>e</w:t>
      </w:r>
      <w:r w:rsidRPr="009A0DA6">
        <w:rPr>
          <w:rFonts w:ascii="Cambria" w:eastAsia="Calibri" w:hAnsi="Cambria" w:cs="Calibri"/>
          <w:spacing w:val="1"/>
        </w:rPr>
        <w:t>m</w:t>
      </w:r>
      <w:r w:rsidRPr="009A0DA6">
        <w:rPr>
          <w:rFonts w:ascii="Cambria" w:eastAsia="Calibri" w:hAnsi="Cambria" w:cs="Calibri"/>
        </w:rPr>
        <w:t>ale,</w:t>
      </w:r>
      <w:r w:rsidRPr="009A0DA6">
        <w:rPr>
          <w:rFonts w:ascii="Cambria" w:eastAsia="Calibri" w:hAnsi="Cambria" w:cs="Calibri"/>
          <w:spacing w:val="-2"/>
        </w:rPr>
        <w:t xml:space="preserve"> </w:t>
      </w:r>
      <w:r w:rsidRPr="009A0DA6">
        <w:rPr>
          <w:rFonts w:ascii="Cambria" w:eastAsia="Calibri" w:hAnsi="Cambria" w:cs="Calibri"/>
        </w:rPr>
        <w:t>and we</w:t>
      </w:r>
      <w:r w:rsidRPr="009A0DA6">
        <w:rPr>
          <w:rFonts w:ascii="Cambria" w:eastAsia="Calibri" w:hAnsi="Cambria" w:cs="Calibri"/>
          <w:spacing w:val="1"/>
        </w:rPr>
        <w:t xml:space="preserve"> </w:t>
      </w:r>
      <w:r w:rsidRPr="009A0DA6">
        <w:rPr>
          <w:rFonts w:ascii="Cambria" w:eastAsia="Calibri" w:hAnsi="Cambria" w:cs="Calibri"/>
        </w:rPr>
        <w:t>can</w:t>
      </w:r>
      <w:r w:rsidRPr="009A0DA6">
        <w:rPr>
          <w:rFonts w:ascii="Cambria" w:eastAsia="Calibri" w:hAnsi="Cambria" w:cs="Calibri"/>
          <w:spacing w:val="-3"/>
        </w:rPr>
        <w:t xml:space="preserve"> </w:t>
      </w:r>
      <w:r w:rsidRPr="009A0DA6">
        <w:rPr>
          <w:rFonts w:ascii="Cambria" w:eastAsia="Calibri" w:hAnsi="Cambria" w:cs="Calibri"/>
          <w:spacing w:val="1"/>
        </w:rPr>
        <w:t>o</w:t>
      </w:r>
      <w:r w:rsidRPr="009A0DA6">
        <w:rPr>
          <w:rFonts w:ascii="Cambria" w:eastAsia="Calibri" w:hAnsi="Cambria" w:cs="Calibri"/>
        </w:rPr>
        <w:t>r</w:t>
      </w:r>
      <w:r w:rsidRPr="009A0DA6">
        <w:rPr>
          <w:rFonts w:ascii="Cambria" w:eastAsia="Calibri" w:hAnsi="Cambria" w:cs="Calibri"/>
          <w:spacing w:val="-1"/>
        </w:rPr>
        <w:t>d</w:t>
      </w:r>
      <w:r w:rsidRPr="009A0DA6">
        <w:rPr>
          <w:rFonts w:ascii="Cambria" w:eastAsia="Calibri" w:hAnsi="Cambria" w:cs="Calibri"/>
        </w:rPr>
        <w:t>ain</w:t>
      </w:r>
      <w:r w:rsidRPr="009A0DA6">
        <w:rPr>
          <w:rFonts w:ascii="Cambria" w:eastAsia="Calibri" w:hAnsi="Cambria" w:cs="Calibri"/>
          <w:spacing w:val="-3"/>
        </w:rPr>
        <w:t xml:space="preserve"> </w:t>
      </w:r>
      <w:r w:rsidRPr="009A0DA6">
        <w:rPr>
          <w:rFonts w:ascii="Cambria" w:eastAsia="Calibri" w:hAnsi="Cambria" w:cs="Calibri"/>
        </w:rPr>
        <w:t>wo</w:t>
      </w:r>
      <w:r w:rsidRPr="009A0DA6">
        <w:rPr>
          <w:rFonts w:ascii="Cambria" w:eastAsia="Calibri" w:hAnsi="Cambria" w:cs="Calibri"/>
          <w:spacing w:val="-2"/>
        </w:rPr>
        <w:t>m</w:t>
      </w:r>
      <w:r w:rsidRPr="009A0DA6">
        <w:rPr>
          <w:rFonts w:ascii="Cambria" w:eastAsia="Calibri" w:hAnsi="Cambria" w:cs="Calibri"/>
        </w:rPr>
        <w:t>en.</w:t>
      </w:r>
      <w:r w:rsidRPr="009A0DA6">
        <w:rPr>
          <w:rFonts w:ascii="Cambria" w:eastAsia="Calibri" w:hAnsi="Cambria" w:cs="Calibri"/>
          <w:spacing w:val="-1"/>
        </w:rPr>
        <w:t xml:space="preserve">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is</w:t>
      </w:r>
      <w:r w:rsidRPr="009A0DA6">
        <w:rPr>
          <w:rFonts w:ascii="Cambria" w:eastAsia="Calibri" w:hAnsi="Cambria" w:cs="Calibri"/>
          <w:spacing w:val="-2"/>
        </w:rPr>
        <w:t xml:space="preserve"> </w:t>
      </w:r>
      <w:r w:rsidRPr="009A0DA6">
        <w:rPr>
          <w:rFonts w:ascii="Cambria" w:eastAsia="Calibri" w:hAnsi="Cambria" w:cs="Calibri"/>
        </w:rPr>
        <w:t>ar</w:t>
      </w:r>
      <w:r w:rsidRPr="009A0DA6">
        <w:rPr>
          <w:rFonts w:ascii="Cambria" w:eastAsia="Calibri" w:hAnsi="Cambria" w:cs="Calibri"/>
          <w:spacing w:val="-1"/>
        </w:rPr>
        <w:t>gu</w:t>
      </w:r>
      <w:r w:rsidRPr="009A0DA6">
        <w:rPr>
          <w:rFonts w:ascii="Cambria" w:eastAsia="Calibri" w:hAnsi="Cambria" w:cs="Calibri"/>
          <w:spacing w:val="1"/>
        </w:rPr>
        <w:t>m</w:t>
      </w:r>
      <w:r w:rsidRPr="009A0DA6">
        <w:rPr>
          <w:rFonts w:ascii="Cambria" w:eastAsia="Calibri" w:hAnsi="Cambria" w:cs="Calibri"/>
        </w:rPr>
        <w:t>ent</w:t>
      </w:r>
      <w:r w:rsidRPr="009A0DA6">
        <w:rPr>
          <w:rFonts w:ascii="Cambria" w:eastAsia="Calibri" w:hAnsi="Cambria" w:cs="Calibri"/>
          <w:spacing w:val="-2"/>
        </w:rPr>
        <w:t xml:space="preserve"> </w:t>
      </w:r>
      <w:r w:rsidRPr="009A0DA6">
        <w:rPr>
          <w:rFonts w:ascii="Cambria" w:eastAsia="Calibri" w:hAnsi="Cambria" w:cs="Calibri"/>
        </w:rPr>
        <w:t>b</w:t>
      </w:r>
      <w:r w:rsidRPr="009A0DA6">
        <w:rPr>
          <w:rFonts w:ascii="Cambria" w:eastAsia="Calibri" w:hAnsi="Cambria" w:cs="Calibri"/>
          <w:spacing w:val="1"/>
        </w:rPr>
        <w:t>o</w:t>
      </w:r>
      <w:r w:rsidRPr="009A0DA6">
        <w:rPr>
          <w:rFonts w:ascii="Cambria" w:eastAsia="Calibri" w:hAnsi="Cambria" w:cs="Calibri"/>
        </w:rPr>
        <w:t xml:space="preserve">ils </w:t>
      </w:r>
      <w:r w:rsidRPr="009A0DA6">
        <w:rPr>
          <w:rFonts w:ascii="Cambria" w:eastAsia="Calibri" w:hAnsi="Cambria" w:cs="Calibri"/>
          <w:spacing w:val="-3"/>
        </w:rPr>
        <w:t>d</w:t>
      </w:r>
      <w:r w:rsidRPr="009A0DA6">
        <w:rPr>
          <w:rFonts w:ascii="Cambria" w:eastAsia="Calibri" w:hAnsi="Cambria" w:cs="Calibri"/>
          <w:spacing w:val="1"/>
        </w:rPr>
        <w:t>o</w:t>
      </w:r>
      <w:r w:rsidRPr="009A0DA6">
        <w:rPr>
          <w:rFonts w:ascii="Cambria" w:eastAsia="Calibri" w:hAnsi="Cambria" w:cs="Calibri"/>
        </w:rPr>
        <w:t>wn</w:t>
      </w:r>
      <w:r w:rsidRPr="009A0DA6">
        <w:rPr>
          <w:rFonts w:ascii="Cambria" w:eastAsia="Calibri" w:hAnsi="Cambria" w:cs="Calibri"/>
          <w:spacing w:val="-3"/>
        </w:rPr>
        <w:t xml:space="preserve"> </w:t>
      </w:r>
      <w:r w:rsidRPr="009A0DA6">
        <w:rPr>
          <w:rFonts w:ascii="Cambria" w:eastAsia="Calibri" w:hAnsi="Cambria" w:cs="Calibri"/>
          <w:spacing w:val="1"/>
        </w:rPr>
        <w:t>t</w:t>
      </w:r>
      <w:r w:rsidRPr="009A0DA6">
        <w:rPr>
          <w:rFonts w:ascii="Cambria" w:eastAsia="Calibri" w:hAnsi="Cambria" w:cs="Calibri"/>
        </w:rPr>
        <w:t>o</w:t>
      </w:r>
      <w:r w:rsidRPr="009A0DA6">
        <w:rPr>
          <w:rFonts w:ascii="Cambria" w:eastAsia="Calibri" w:hAnsi="Cambria" w:cs="Calibri"/>
          <w:spacing w:val="-1"/>
        </w:rPr>
        <w:t xml:space="preserve"> </w:t>
      </w:r>
      <w:r w:rsidRPr="009A0DA6">
        <w:rPr>
          <w:rFonts w:ascii="Cambria" w:eastAsia="Calibri" w:hAnsi="Cambria" w:cs="Calibri"/>
        </w:rPr>
        <w:t>s</w:t>
      </w:r>
      <w:r w:rsidRPr="009A0DA6">
        <w:rPr>
          <w:rFonts w:ascii="Cambria" w:eastAsia="Calibri" w:hAnsi="Cambria" w:cs="Calibri"/>
          <w:spacing w:val="-2"/>
        </w:rPr>
        <w:t>a</w:t>
      </w:r>
      <w:r w:rsidRPr="009A0DA6">
        <w:rPr>
          <w:rFonts w:ascii="Cambria" w:eastAsia="Calibri" w:hAnsi="Cambria" w:cs="Calibri"/>
          <w:spacing w:val="1"/>
        </w:rPr>
        <w:t>y</w:t>
      </w:r>
      <w:r w:rsidRPr="009A0DA6">
        <w:rPr>
          <w:rFonts w:ascii="Cambria" w:eastAsia="Calibri" w:hAnsi="Cambria" w:cs="Calibri"/>
        </w:rPr>
        <w:t>i</w:t>
      </w:r>
      <w:r w:rsidRPr="009A0DA6">
        <w:rPr>
          <w:rFonts w:ascii="Cambria" w:eastAsia="Calibri" w:hAnsi="Cambria" w:cs="Calibri"/>
          <w:spacing w:val="-1"/>
        </w:rPr>
        <w:t>n</w:t>
      </w:r>
      <w:r w:rsidRPr="009A0DA6">
        <w:rPr>
          <w:rFonts w:ascii="Cambria" w:eastAsia="Calibri" w:hAnsi="Cambria" w:cs="Calibri"/>
        </w:rPr>
        <w:t>g</w:t>
      </w:r>
      <w:r w:rsidRPr="009A0DA6">
        <w:rPr>
          <w:rFonts w:ascii="Cambria" w:eastAsia="Calibri" w:hAnsi="Cambria" w:cs="Calibri"/>
          <w:spacing w:val="-1"/>
        </w:rPr>
        <w:t xml:space="preserve">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at</w:t>
      </w:r>
      <w:r w:rsidRPr="009A0DA6">
        <w:rPr>
          <w:rFonts w:ascii="Cambria" w:eastAsia="Calibri" w:hAnsi="Cambria" w:cs="Calibri"/>
          <w:spacing w:val="1"/>
        </w:rPr>
        <w:t xml:space="preserve"> </w:t>
      </w:r>
      <w:r w:rsidRPr="009A0DA6">
        <w:rPr>
          <w:rFonts w:ascii="Cambria" w:eastAsia="Calibri" w:hAnsi="Cambria" w:cs="Calibri"/>
          <w:spacing w:val="-1"/>
        </w:rPr>
        <w:t>b</w:t>
      </w:r>
      <w:r w:rsidRPr="009A0DA6">
        <w:rPr>
          <w:rFonts w:ascii="Cambria" w:eastAsia="Calibri" w:hAnsi="Cambria" w:cs="Calibri"/>
          <w:spacing w:val="-2"/>
        </w:rPr>
        <w:t>e</w:t>
      </w:r>
      <w:r w:rsidRPr="009A0DA6">
        <w:rPr>
          <w:rFonts w:ascii="Cambria" w:eastAsia="Calibri" w:hAnsi="Cambria" w:cs="Calibri"/>
        </w:rPr>
        <w:t>ca</w:t>
      </w:r>
      <w:r w:rsidRPr="009A0DA6">
        <w:rPr>
          <w:rFonts w:ascii="Cambria" w:eastAsia="Calibri" w:hAnsi="Cambria" w:cs="Calibri"/>
          <w:spacing w:val="-1"/>
        </w:rPr>
        <w:t>u</w:t>
      </w:r>
      <w:r w:rsidRPr="009A0DA6">
        <w:rPr>
          <w:rFonts w:ascii="Cambria" w:eastAsia="Calibri" w:hAnsi="Cambria" w:cs="Calibri"/>
        </w:rPr>
        <w:t>se</w:t>
      </w:r>
      <w:r w:rsidRPr="009A0DA6">
        <w:rPr>
          <w:rFonts w:ascii="Cambria" w:eastAsia="Calibri" w:hAnsi="Cambria" w:cs="Calibri"/>
          <w:spacing w:val="1"/>
        </w:rPr>
        <w:t xml:space="preserve"> </w:t>
      </w:r>
      <w:r w:rsidRPr="009A0DA6">
        <w:rPr>
          <w:rFonts w:ascii="Cambria" w:eastAsia="Calibri" w:hAnsi="Cambria" w:cs="Calibri"/>
          <w:spacing w:val="-3"/>
        </w:rPr>
        <w:t>i</w:t>
      </w:r>
      <w:r w:rsidRPr="009A0DA6">
        <w:rPr>
          <w:rFonts w:ascii="Cambria" w:eastAsia="Calibri" w:hAnsi="Cambria" w:cs="Calibri"/>
        </w:rPr>
        <w:t>t</w:t>
      </w:r>
      <w:r w:rsidRPr="009A0DA6">
        <w:rPr>
          <w:rFonts w:ascii="Cambria" w:eastAsia="Calibri" w:hAnsi="Cambria" w:cs="Calibri"/>
          <w:spacing w:val="1"/>
        </w:rPr>
        <w:t xml:space="preserve"> </w:t>
      </w:r>
      <w:r w:rsidRPr="009A0DA6">
        <w:rPr>
          <w:rFonts w:ascii="Cambria" w:eastAsia="Calibri" w:hAnsi="Cambria" w:cs="Calibri"/>
        </w:rPr>
        <w:t>is</w:t>
      </w:r>
      <w:r w:rsidRPr="009A0DA6">
        <w:rPr>
          <w:rFonts w:ascii="Cambria" w:eastAsia="Calibri" w:hAnsi="Cambria" w:cs="Calibri"/>
          <w:spacing w:val="-2"/>
        </w:rPr>
        <w:t xml:space="preserve"> </w:t>
      </w:r>
      <w:r w:rsidRPr="009A0DA6">
        <w:rPr>
          <w:rFonts w:ascii="Cambria" w:eastAsia="Calibri" w:hAnsi="Cambria" w:cs="Calibri"/>
        </w:rPr>
        <w:t xml:space="preserve">the </w:t>
      </w:r>
      <w:r w:rsidRPr="009A0DA6">
        <w:rPr>
          <w:rFonts w:ascii="Cambria" w:eastAsia="Calibri" w:hAnsi="Cambria" w:cs="Calibri"/>
          <w:spacing w:val="-3"/>
        </w:rPr>
        <w:t>p</w:t>
      </w:r>
      <w:r w:rsidRPr="009A0DA6">
        <w:rPr>
          <w:rFonts w:ascii="Cambria" w:eastAsia="Calibri" w:hAnsi="Cambria" w:cs="Calibri"/>
          <w:spacing w:val="1"/>
        </w:rPr>
        <w:t>o</w:t>
      </w:r>
      <w:r w:rsidRPr="009A0DA6">
        <w:rPr>
          <w:rFonts w:ascii="Cambria" w:eastAsia="Calibri" w:hAnsi="Cambria" w:cs="Calibri"/>
          <w:spacing w:val="-2"/>
        </w:rPr>
        <w:t>w</w:t>
      </w:r>
      <w:r w:rsidRPr="009A0DA6">
        <w:rPr>
          <w:rFonts w:ascii="Cambria" w:eastAsia="Calibri" w:hAnsi="Cambria" w:cs="Calibri"/>
        </w:rPr>
        <w:t>er</w:t>
      </w:r>
      <w:r w:rsidRPr="009A0DA6">
        <w:rPr>
          <w:rFonts w:ascii="Cambria" w:eastAsia="Calibri" w:hAnsi="Cambria" w:cs="Calibri"/>
          <w:spacing w:val="1"/>
        </w:rPr>
        <w:t xml:space="preserve"> </w:t>
      </w:r>
      <w:r w:rsidRPr="009A0DA6">
        <w:rPr>
          <w:rFonts w:ascii="Cambria" w:eastAsia="Calibri" w:hAnsi="Cambria" w:cs="Calibri"/>
          <w:spacing w:val="-1"/>
        </w:rPr>
        <w:t>o</w:t>
      </w:r>
      <w:r w:rsidRPr="009A0DA6">
        <w:rPr>
          <w:rFonts w:ascii="Cambria" w:eastAsia="Calibri" w:hAnsi="Cambria" w:cs="Calibri"/>
        </w:rPr>
        <w:t xml:space="preserve">f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3"/>
        </w:rPr>
        <w:t xml:space="preserve"> </w:t>
      </w:r>
      <w:r w:rsidRPr="009A0DA6">
        <w:rPr>
          <w:rFonts w:ascii="Cambria" w:eastAsia="Calibri" w:hAnsi="Cambria" w:cs="Calibri"/>
          <w:spacing w:val="-2"/>
        </w:rPr>
        <w:t>w</w:t>
      </w:r>
      <w:r w:rsidRPr="009A0DA6">
        <w:rPr>
          <w:rFonts w:ascii="Cambria" w:eastAsia="Calibri" w:hAnsi="Cambria" w:cs="Calibri"/>
          <w:spacing w:val="1"/>
        </w:rPr>
        <w:t>o</w:t>
      </w:r>
      <w:r w:rsidRPr="009A0DA6">
        <w:rPr>
          <w:rFonts w:ascii="Cambria" w:eastAsia="Calibri" w:hAnsi="Cambria" w:cs="Calibri"/>
        </w:rPr>
        <w:t>rd</w:t>
      </w:r>
      <w:r w:rsidRPr="009A0DA6">
        <w:rPr>
          <w:rFonts w:ascii="Cambria" w:eastAsia="Calibri" w:hAnsi="Cambria" w:cs="Calibri"/>
          <w:spacing w:val="-1"/>
        </w:rPr>
        <w:t xml:space="preserve">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 xml:space="preserve">at </w:t>
      </w:r>
      <w:r w:rsidRPr="009A0DA6">
        <w:rPr>
          <w:rFonts w:ascii="Cambria" w:eastAsia="Calibri" w:hAnsi="Cambria" w:cs="Calibri"/>
          <w:spacing w:val="-1"/>
        </w:rPr>
        <w:t>u</w:t>
      </w:r>
      <w:r w:rsidRPr="009A0DA6">
        <w:rPr>
          <w:rFonts w:ascii="Cambria" w:eastAsia="Calibri" w:hAnsi="Cambria" w:cs="Calibri"/>
        </w:rPr>
        <w:t>lti</w:t>
      </w:r>
      <w:r w:rsidRPr="009A0DA6">
        <w:rPr>
          <w:rFonts w:ascii="Cambria" w:eastAsia="Calibri" w:hAnsi="Cambria" w:cs="Calibri"/>
          <w:spacing w:val="1"/>
        </w:rPr>
        <w:t>m</w:t>
      </w:r>
      <w:r w:rsidRPr="009A0DA6">
        <w:rPr>
          <w:rFonts w:ascii="Cambria" w:eastAsia="Calibri" w:hAnsi="Cambria" w:cs="Calibri"/>
        </w:rPr>
        <w:t>a</w:t>
      </w:r>
      <w:r w:rsidRPr="009A0DA6">
        <w:rPr>
          <w:rFonts w:ascii="Cambria" w:eastAsia="Calibri" w:hAnsi="Cambria" w:cs="Calibri"/>
          <w:spacing w:val="-2"/>
        </w:rPr>
        <w:t>t</w:t>
      </w:r>
      <w:r w:rsidRPr="009A0DA6">
        <w:rPr>
          <w:rFonts w:ascii="Cambria" w:eastAsia="Calibri" w:hAnsi="Cambria" w:cs="Calibri"/>
        </w:rPr>
        <w:t>ely</w:t>
      </w:r>
      <w:r w:rsidRPr="009A0DA6">
        <w:rPr>
          <w:rFonts w:ascii="Cambria" w:eastAsia="Calibri" w:hAnsi="Cambria" w:cs="Calibri"/>
          <w:spacing w:val="-1"/>
        </w:rPr>
        <w:t xml:space="preserve"> </w:t>
      </w:r>
      <w:r w:rsidRPr="009A0DA6">
        <w:rPr>
          <w:rFonts w:ascii="Cambria" w:eastAsia="Calibri" w:hAnsi="Cambria" w:cs="Calibri"/>
          <w:spacing w:val="1"/>
        </w:rPr>
        <w:t>m</w:t>
      </w:r>
      <w:r w:rsidRPr="009A0DA6">
        <w:rPr>
          <w:rFonts w:ascii="Cambria" w:eastAsia="Calibri" w:hAnsi="Cambria" w:cs="Calibri"/>
        </w:rPr>
        <w:t>a</w:t>
      </w:r>
      <w:r w:rsidRPr="009A0DA6">
        <w:rPr>
          <w:rFonts w:ascii="Cambria" w:eastAsia="Calibri" w:hAnsi="Cambria" w:cs="Calibri"/>
          <w:spacing w:val="-2"/>
        </w:rPr>
        <w:t>t</w:t>
      </w:r>
      <w:r w:rsidRPr="009A0DA6">
        <w:rPr>
          <w:rFonts w:ascii="Cambria" w:eastAsia="Calibri" w:hAnsi="Cambria" w:cs="Calibri"/>
        </w:rPr>
        <w:t>t</w:t>
      </w:r>
      <w:r w:rsidRPr="009A0DA6">
        <w:rPr>
          <w:rFonts w:ascii="Cambria" w:eastAsia="Calibri" w:hAnsi="Cambria" w:cs="Calibri"/>
          <w:spacing w:val="1"/>
        </w:rPr>
        <w:t>e</w:t>
      </w:r>
      <w:r w:rsidRPr="009A0DA6">
        <w:rPr>
          <w:rFonts w:ascii="Cambria" w:eastAsia="Calibri" w:hAnsi="Cambria" w:cs="Calibri"/>
        </w:rPr>
        <w:t>rs,</w:t>
      </w:r>
      <w:r w:rsidRPr="009A0DA6">
        <w:rPr>
          <w:rFonts w:ascii="Cambria" w:eastAsia="Calibri" w:hAnsi="Cambria" w:cs="Calibri"/>
          <w:spacing w:val="-2"/>
        </w:rPr>
        <w:t xml:space="preserve">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2"/>
        </w:rPr>
        <w:t>r</w:t>
      </w:r>
      <w:r w:rsidRPr="009A0DA6">
        <w:rPr>
          <w:rFonts w:ascii="Cambria" w:eastAsia="Calibri" w:hAnsi="Cambria" w:cs="Calibri"/>
        </w:rPr>
        <w:t>ef</w:t>
      </w:r>
      <w:r w:rsidRPr="009A0DA6">
        <w:rPr>
          <w:rFonts w:ascii="Cambria" w:eastAsia="Calibri" w:hAnsi="Cambria" w:cs="Calibri"/>
          <w:spacing w:val="-1"/>
        </w:rPr>
        <w:t>o</w:t>
      </w:r>
      <w:r w:rsidRPr="009A0DA6">
        <w:rPr>
          <w:rFonts w:ascii="Cambria" w:eastAsia="Calibri" w:hAnsi="Cambria" w:cs="Calibri"/>
        </w:rPr>
        <w:t>re</w:t>
      </w:r>
      <w:r w:rsidRPr="009A0DA6">
        <w:rPr>
          <w:rFonts w:ascii="Cambria" w:eastAsia="Calibri" w:hAnsi="Cambria" w:cs="Calibri"/>
          <w:spacing w:val="1"/>
        </w:rPr>
        <w:t xml:space="preserve"> </w:t>
      </w:r>
      <w:r w:rsidRPr="009A0DA6">
        <w:rPr>
          <w:rFonts w:ascii="Cambria" w:eastAsia="Calibri" w:hAnsi="Cambria" w:cs="Calibri"/>
          <w:spacing w:val="-2"/>
        </w:rPr>
        <w:t>w</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rPr>
        <w:t>can</w:t>
      </w:r>
      <w:r w:rsidRPr="009A0DA6">
        <w:rPr>
          <w:rFonts w:ascii="Cambria" w:eastAsia="Calibri" w:hAnsi="Cambria" w:cs="Calibri"/>
          <w:spacing w:val="-3"/>
        </w:rPr>
        <w:t xml:space="preserve"> </w:t>
      </w:r>
      <w:r w:rsidRPr="009A0DA6">
        <w:rPr>
          <w:rFonts w:ascii="Cambria" w:eastAsia="Calibri" w:hAnsi="Cambria" w:cs="Calibri"/>
          <w:spacing w:val="-1"/>
        </w:rPr>
        <w:t>o</w:t>
      </w:r>
      <w:r w:rsidRPr="009A0DA6">
        <w:rPr>
          <w:rFonts w:ascii="Cambria" w:eastAsia="Calibri" w:hAnsi="Cambria" w:cs="Calibri"/>
          <w:spacing w:val="1"/>
        </w:rPr>
        <w:t>v</w:t>
      </w:r>
      <w:r w:rsidRPr="009A0DA6">
        <w:rPr>
          <w:rFonts w:ascii="Cambria" w:eastAsia="Calibri" w:hAnsi="Cambria" w:cs="Calibri"/>
        </w:rPr>
        <w:t>erturn</w:t>
      </w:r>
      <w:r w:rsidRPr="009A0DA6">
        <w:rPr>
          <w:rFonts w:ascii="Cambria" w:eastAsia="Calibri" w:hAnsi="Cambria" w:cs="Calibri"/>
          <w:spacing w:val="-3"/>
        </w:rPr>
        <w:t xml:space="preserve"> </w:t>
      </w:r>
      <w:r w:rsidRPr="009A0DA6">
        <w:rPr>
          <w:rFonts w:ascii="Cambria" w:eastAsia="Calibri" w:hAnsi="Cambria" w:cs="Calibri"/>
        </w:rPr>
        <w:t xml:space="preserve">what </w:t>
      </w:r>
      <w:r w:rsidRPr="009A0DA6">
        <w:rPr>
          <w:rFonts w:ascii="Cambria" w:eastAsia="Calibri" w:hAnsi="Cambria" w:cs="Calibri"/>
          <w:spacing w:val="1"/>
        </w:rPr>
        <w:t>t</w:t>
      </w:r>
      <w:r w:rsidRPr="009A0DA6">
        <w:rPr>
          <w:rFonts w:ascii="Cambria" w:eastAsia="Calibri" w:hAnsi="Cambria" w:cs="Calibri"/>
          <w:spacing w:val="-3"/>
        </w:rPr>
        <w:t>h</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spacing w:val="-2"/>
        </w:rPr>
        <w:t>w</w:t>
      </w:r>
      <w:r w:rsidRPr="009A0DA6">
        <w:rPr>
          <w:rFonts w:ascii="Cambria" w:eastAsia="Calibri" w:hAnsi="Cambria" w:cs="Calibri"/>
          <w:spacing w:val="1"/>
        </w:rPr>
        <w:t>o</w:t>
      </w:r>
      <w:r w:rsidRPr="009A0DA6">
        <w:rPr>
          <w:rFonts w:ascii="Cambria" w:eastAsia="Calibri" w:hAnsi="Cambria" w:cs="Calibri"/>
        </w:rPr>
        <w:t>rd</w:t>
      </w:r>
      <w:r w:rsidRPr="009A0DA6">
        <w:rPr>
          <w:rFonts w:ascii="Cambria" w:eastAsia="Calibri" w:hAnsi="Cambria" w:cs="Calibri"/>
          <w:spacing w:val="-1"/>
        </w:rPr>
        <w:t xml:space="preserve"> </w:t>
      </w:r>
      <w:r w:rsidRPr="009A0DA6">
        <w:rPr>
          <w:rFonts w:ascii="Cambria" w:eastAsia="Calibri" w:hAnsi="Cambria" w:cs="Calibri"/>
        </w:rPr>
        <w:t>has</w:t>
      </w:r>
      <w:r w:rsidRPr="009A0DA6">
        <w:rPr>
          <w:rFonts w:ascii="Cambria" w:eastAsia="Calibri" w:hAnsi="Cambria" w:cs="Calibri"/>
          <w:spacing w:val="-2"/>
        </w:rPr>
        <w:t xml:space="preserve"> </w:t>
      </w:r>
      <w:r w:rsidRPr="009A0DA6">
        <w:rPr>
          <w:rFonts w:ascii="Cambria" w:eastAsia="Calibri" w:hAnsi="Cambria" w:cs="Calibri"/>
        </w:rPr>
        <w:t>to</w:t>
      </w:r>
      <w:r w:rsidRPr="009A0DA6">
        <w:rPr>
          <w:rFonts w:ascii="Cambria" w:eastAsia="Calibri" w:hAnsi="Cambria" w:cs="Calibri"/>
          <w:spacing w:val="-1"/>
        </w:rPr>
        <w:t xml:space="preserve"> </w:t>
      </w:r>
      <w:r w:rsidRPr="009A0DA6">
        <w:rPr>
          <w:rFonts w:ascii="Cambria" w:eastAsia="Calibri" w:hAnsi="Cambria" w:cs="Calibri"/>
        </w:rPr>
        <w:t>say</w:t>
      </w:r>
      <w:r w:rsidRPr="009A0DA6">
        <w:rPr>
          <w:rFonts w:ascii="Cambria" w:eastAsia="Calibri" w:hAnsi="Cambria" w:cs="Calibri"/>
          <w:spacing w:val="-1"/>
        </w:rPr>
        <w:t xml:space="preserve"> </w:t>
      </w:r>
      <w:r w:rsidRPr="009A0DA6">
        <w:rPr>
          <w:rFonts w:ascii="Cambria" w:eastAsia="Calibri" w:hAnsi="Cambria" w:cs="Calibri"/>
        </w:rPr>
        <w:t>abo</w:t>
      </w:r>
      <w:r w:rsidRPr="009A0DA6">
        <w:rPr>
          <w:rFonts w:ascii="Cambria" w:eastAsia="Calibri" w:hAnsi="Cambria" w:cs="Calibri"/>
          <w:spacing w:val="-1"/>
        </w:rPr>
        <w:t>u</w:t>
      </w:r>
      <w:r w:rsidRPr="009A0DA6">
        <w:rPr>
          <w:rFonts w:ascii="Cambria" w:eastAsia="Calibri" w:hAnsi="Cambria" w:cs="Calibri"/>
        </w:rPr>
        <w:t>t</w:t>
      </w:r>
      <w:r w:rsidRPr="009A0DA6">
        <w:rPr>
          <w:rFonts w:ascii="Cambria" w:eastAsia="Calibri" w:hAnsi="Cambria" w:cs="Calibri"/>
          <w:spacing w:val="-1"/>
        </w:rPr>
        <w:t xml:space="preserve"> </w:t>
      </w:r>
      <w:r w:rsidRPr="009A0DA6">
        <w:rPr>
          <w:rFonts w:ascii="Cambria" w:eastAsia="Calibri" w:hAnsi="Cambria" w:cs="Calibri"/>
        </w:rPr>
        <w:t>t</w:t>
      </w:r>
      <w:r w:rsidRPr="009A0DA6">
        <w:rPr>
          <w:rFonts w:ascii="Cambria" w:eastAsia="Calibri" w:hAnsi="Cambria" w:cs="Calibri"/>
          <w:spacing w:val="-3"/>
        </w:rPr>
        <w:t>h</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spacing w:val="-1"/>
        </w:rPr>
        <w:t>m</w:t>
      </w:r>
      <w:r w:rsidRPr="009A0DA6">
        <w:rPr>
          <w:rFonts w:ascii="Cambria" w:eastAsia="Calibri" w:hAnsi="Cambria" w:cs="Calibri"/>
        </w:rPr>
        <w:t>al</w:t>
      </w:r>
      <w:r w:rsidRPr="009A0DA6">
        <w:rPr>
          <w:rFonts w:ascii="Cambria" w:eastAsia="Calibri" w:hAnsi="Cambria" w:cs="Calibri"/>
          <w:spacing w:val="4"/>
        </w:rPr>
        <w:t>e</w:t>
      </w:r>
      <w:r w:rsidRPr="009A0DA6">
        <w:rPr>
          <w:rFonts w:ascii="Cambria" w:eastAsia="Calibri" w:hAnsi="Cambria" w:cs="Calibri"/>
        </w:rPr>
        <w:t>-</w:t>
      </w:r>
      <w:r w:rsidRPr="009A0DA6">
        <w:rPr>
          <w:rFonts w:ascii="Cambria" w:eastAsia="Calibri" w:hAnsi="Cambria" w:cs="Calibri"/>
          <w:spacing w:val="1"/>
        </w:rPr>
        <w:t>o</w:t>
      </w:r>
      <w:r w:rsidRPr="009A0DA6">
        <w:rPr>
          <w:rFonts w:ascii="Cambria" w:eastAsia="Calibri" w:hAnsi="Cambria" w:cs="Calibri"/>
          <w:spacing w:val="-1"/>
        </w:rPr>
        <w:t>n</w:t>
      </w:r>
      <w:r w:rsidRPr="009A0DA6">
        <w:rPr>
          <w:rFonts w:ascii="Cambria" w:eastAsia="Calibri" w:hAnsi="Cambria" w:cs="Calibri"/>
          <w:spacing w:val="-3"/>
        </w:rPr>
        <w:t>l</w:t>
      </w:r>
      <w:r w:rsidRPr="009A0DA6">
        <w:rPr>
          <w:rFonts w:ascii="Cambria" w:eastAsia="Calibri" w:hAnsi="Cambria" w:cs="Calibri"/>
        </w:rPr>
        <w:t>y</w:t>
      </w:r>
      <w:r w:rsidRPr="009A0DA6">
        <w:rPr>
          <w:rFonts w:ascii="Cambria" w:eastAsia="Calibri" w:hAnsi="Cambria" w:cs="Calibri"/>
          <w:spacing w:val="1"/>
        </w:rPr>
        <w:t xml:space="preserve"> </w:t>
      </w:r>
      <w:r w:rsidRPr="009A0DA6">
        <w:rPr>
          <w:rFonts w:ascii="Cambria" w:eastAsia="Calibri" w:hAnsi="Cambria" w:cs="Calibri"/>
        </w:rPr>
        <w:t>pas</w:t>
      </w:r>
      <w:r w:rsidRPr="009A0DA6">
        <w:rPr>
          <w:rFonts w:ascii="Cambria" w:eastAsia="Calibri" w:hAnsi="Cambria" w:cs="Calibri"/>
          <w:spacing w:val="-2"/>
        </w:rPr>
        <w:t>t</w:t>
      </w:r>
      <w:r w:rsidRPr="009A0DA6">
        <w:rPr>
          <w:rFonts w:ascii="Cambria" w:eastAsia="Calibri" w:hAnsi="Cambria" w:cs="Calibri"/>
          <w:spacing w:val="1"/>
        </w:rPr>
        <w:t>o</w:t>
      </w:r>
      <w:r w:rsidRPr="009A0DA6">
        <w:rPr>
          <w:rFonts w:ascii="Cambria" w:eastAsia="Calibri" w:hAnsi="Cambria" w:cs="Calibri"/>
        </w:rPr>
        <w:t>ra</w:t>
      </w:r>
      <w:r w:rsidRPr="009A0DA6">
        <w:rPr>
          <w:rFonts w:ascii="Cambria" w:eastAsia="Calibri" w:hAnsi="Cambria" w:cs="Calibri"/>
          <w:spacing w:val="-2"/>
        </w:rPr>
        <w:t>t</w:t>
      </w:r>
      <w:r w:rsidRPr="009A0DA6">
        <w:rPr>
          <w:rFonts w:ascii="Cambria" w:eastAsia="Calibri" w:hAnsi="Cambria" w:cs="Calibri"/>
        </w:rPr>
        <w:t>e. It should</w:t>
      </w:r>
      <w:r w:rsidRPr="009A0DA6">
        <w:rPr>
          <w:rFonts w:ascii="Cambria" w:eastAsia="Calibri" w:hAnsi="Cambria" w:cs="Calibri"/>
          <w:spacing w:val="-1"/>
        </w:rPr>
        <w:t xml:space="preserve"> </w:t>
      </w:r>
      <w:r w:rsidRPr="009A0DA6">
        <w:rPr>
          <w:rFonts w:ascii="Cambria" w:eastAsia="Calibri" w:hAnsi="Cambria" w:cs="Calibri"/>
        </w:rPr>
        <w:t>be</w:t>
      </w:r>
      <w:r w:rsidRPr="009A0DA6">
        <w:rPr>
          <w:rFonts w:ascii="Cambria" w:eastAsia="Calibri" w:hAnsi="Cambria" w:cs="Calibri"/>
          <w:spacing w:val="1"/>
        </w:rPr>
        <w:t xml:space="preserve"> </w:t>
      </w:r>
      <w:r w:rsidRPr="009A0DA6">
        <w:rPr>
          <w:rFonts w:ascii="Cambria" w:eastAsia="Calibri" w:hAnsi="Cambria" w:cs="Calibri"/>
          <w:spacing w:val="-2"/>
        </w:rPr>
        <w:t>e</w:t>
      </w:r>
      <w:r w:rsidRPr="009A0DA6">
        <w:rPr>
          <w:rFonts w:ascii="Cambria" w:eastAsia="Calibri" w:hAnsi="Cambria" w:cs="Calibri"/>
          <w:spacing w:val="1"/>
        </w:rPr>
        <w:t>v</w:t>
      </w:r>
      <w:r w:rsidRPr="009A0DA6">
        <w:rPr>
          <w:rFonts w:ascii="Cambria" w:eastAsia="Calibri" w:hAnsi="Cambria" w:cs="Calibri"/>
        </w:rPr>
        <w:t>i</w:t>
      </w:r>
      <w:r w:rsidRPr="009A0DA6">
        <w:rPr>
          <w:rFonts w:ascii="Cambria" w:eastAsia="Calibri" w:hAnsi="Cambria" w:cs="Calibri"/>
          <w:spacing w:val="-1"/>
        </w:rPr>
        <w:t>d</w:t>
      </w:r>
      <w:r w:rsidRPr="009A0DA6">
        <w:rPr>
          <w:rFonts w:ascii="Cambria" w:eastAsia="Calibri" w:hAnsi="Cambria" w:cs="Calibri"/>
        </w:rPr>
        <w:t>ent</w:t>
      </w:r>
      <w:r w:rsidRPr="009A0DA6">
        <w:rPr>
          <w:rFonts w:ascii="Cambria" w:eastAsia="Calibri" w:hAnsi="Cambria" w:cs="Calibri"/>
          <w:spacing w:val="-2"/>
        </w:rPr>
        <w:t xml:space="preserve"> t</w:t>
      </w:r>
      <w:r w:rsidRPr="009A0DA6">
        <w:rPr>
          <w:rFonts w:ascii="Cambria" w:eastAsia="Calibri" w:hAnsi="Cambria" w:cs="Calibri"/>
        </w:rPr>
        <w:t>o</w:t>
      </w:r>
      <w:r w:rsidRPr="009A0DA6">
        <w:rPr>
          <w:rFonts w:ascii="Cambria" w:eastAsia="Calibri" w:hAnsi="Cambria" w:cs="Calibri"/>
          <w:spacing w:val="1"/>
        </w:rPr>
        <w:t xml:space="preserve"> </w:t>
      </w:r>
      <w:r w:rsidRPr="009A0DA6">
        <w:rPr>
          <w:rFonts w:ascii="Cambria" w:eastAsia="Calibri" w:hAnsi="Cambria" w:cs="Calibri"/>
        </w:rPr>
        <w:t>all th</w:t>
      </w:r>
      <w:r w:rsidRPr="009A0DA6">
        <w:rPr>
          <w:rFonts w:ascii="Cambria" w:eastAsia="Calibri" w:hAnsi="Cambria" w:cs="Calibri"/>
          <w:spacing w:val="-3"/>
        </w:rPr>
        <w:t>a</w:t>
      </w:r>
      <w:r w:rsidRPr="009A0DA6">
        <w:rPr>
          <w:rFonts w:ascii="Cambria" w:eastAsia="Calibri" w:hAnsi="Cambria" w:cs="Calibri"/>
        </w:rPr>
        <w:t>t</w:t>
      </w:r>
      <w:r w:rsidRPr="009A0DA6">
        <w:rPr>
          <w:rFonts w:ascii="Cambria" w:eastAsia="Calibri" w:hAnsi="Cambria" w:cs="Calibri"/>
          <w:spacing w:val="1"/>
        </w:rPr>
        <w:t xml:space="preserve"> </w:t>
      </w:r>
      <w:r w:rsidRPr="009A0DA6">
        <w:rPr>
          <w:rFonts w:ascii="Cambria" w:eastAsia="Calibri" w:hAnsi="Cambria" w:cs="Calibri"/>
        </w:rPr>
        <w:t>we</w:t>
      </w:r>
      <w:r w:rsidRPr="009A0DA6">
        <w:rPr>
          <w:rFonts w:ascii="Cambria" w:eastAsia="Calibri" w:hAnsi="Cambria" w:cs="Calibri"/>
          <w:spacing w:val="-1"/>
        </w:rPr>
        <w:t xml:space="preserve"> </w:t>
      </w:r>
      <w:r w:rsidRPr="009A0DA6">
        <w:rPr>
          <w:rFonts w:ascii="Cambria" w:eastAsia="Calibri" w:hAnsi="Cambria" w:cs="Calibri"/>
        </w:rPr>
        <w:t>ca</w:t>
      </w:r>
      <w:r w:rsidRPr="009A0DA6">
        <w:rPr>
          <w:rFonts w:ascii="Cambria" w:eastAsia="Calibri" w:hAnsi="Cambria" w:cs="Calibri"/>
          <w:spacing w:val="-1"/>
        </w:rPr>
        <w:t>n</w:t>
      </w:r>
      <w:r w:rsidRPr="009A0DA6">
        <w:rPr>
          <w:rFonts w:ascii="Cambria" w:eastAsia="Calibri" w:hAnsi="Cambria" w:cs="Calibri"/>
        </w:rPr>
        <w:t>’t</w:t>
      </w:r>
      <w:r w:rsidRPr="009A0DA6">
        <w:rPr>
          <w:rFonts w:ascii="Cambria" w:eastAsia="Calibri" w:hAnsi="Cambria" w:cs="Calibri"/>
          <w:spacing w:val="-2"/>
        </w:rPr>
        <w:t xml:space="preserve"> </w:t>
      </w:r>
      <w:r w:rsidRPr="009A0DA6">
        <w:rPr>
          <w:rFonts w:ascii="Cambria" w:eastAsia="Calibri" w:hAnsi="Cambria" w:cs="Calibri"/>
          <w:spacing w:val="1"/>
        </w:rPr>
        <w:t>t</w:t>
      </w:r>
      <w:r w:rsidRPr="009A0DA6">
        <w:rPr>
          <w:rFonts w:ascii="Cambria" w:eastAsia="Calibri" w:hAnsi="Cambria" w:cs="Calibri"/>
        </w:rPr>
        <w:t>a</w:t>
      </w:r>
      <w:r w:rsidRPr="009A0DA6">
        <w:rPr>
          <w:rFonts w:ascii="Cambria" w:eastAsia="Calibri" w:hAnsi="Cambria" w:cs="Calibri"/>
          <w:spacing w:val="-2"/>
        </w:rPr>
        <w:t>k</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spacing w:val="1"/>
        </w:rPr>
        <w:t>o</w:t>
      </w:r>
      <w:r w:rsidRPr="009A0DA6">
        <w:rPr>
          <w:rFonts w:ascii="Cambria" w:eastAsia="Calibri" w:hAnsi="Cambria" w:cs="Calibri"/>
          <w:spacing w:val="-1"/>
        </w:rPr>
        <w:t>u</w:t>
      </w:r>
      <w:r w:rsidRPr="009A0DA6">
        <w:rPr>
          <w:rFonts w:ascii="Cambria" w:eastAsia="Calibri" w:hAnsi="Cambria" w:cs="Calibri"/>
        </w:rPr>
        <w:t>r sta</w:t>
      </w:r>
      <w:r w:rsidRPr="009A0DA6">
        <w:rPr>
          <w:rFonts w:ascii="Cambria" w:eastAsia="Calibri" w:hAnsi="Cambria" w:cs="Calibri"/>
          <w:spacing w:val="-1"/>
        </w:rPr>
        <w:t>n</w:t>
      </w:r>
      <w:r w:rsidRPr="009A0DA6">
        <w:rPr>
          <w:rFonts w:ascii="Cambria" w:eastAsia="Calibri" w:hAnsi="Cambria" w:cs="Calibri"/>
        </w:rPr>
        <w:t>d</w:t>
      </w:r>
      <w:r w:rsidRPr="009A0DA6">
        <w:rPr>
          <w:rFonts w:ascii="Cambria" w:eastAsia="Calibri" w:hAnsi="Cambria" w:cs="Calibri"/>
          <w:spacing w:val="-2"/>
        </w:rPr>
        <w:t xml:space="preserve"> </w:t>
      </w:r>
      <w:r w:rsidRPr="009A0DA6">
        <w:rPr>
          <w:rFonts w:ascii="Cambria" w:eastAsia="Calibri" w:hAnsi="Cambria" w:cs="Calibri"/>
          <w:spacing w:val="-1"/>
        </w:rPr>
        <w:t>o</w:t>
      </w:r>
      <w:r w:rsidRPr="009A0DA6">
        <w:rPr>
          <w:rFonts w:ascii="Cambria" w:eastAsia="Calibri" w:hAnsi="Cambria" w:cs="Calibri"/>
        </w:rPr>
        <w:t xml:space="preserve">n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spacing w:val="-1"/>
        </w:rPr>
        <w:t>po</w:t>
      </w:r>
      <w:r w:rsidRPr="009A0DA6">
        <w:rPr>
          <w:rFonts w:ascii="Cambria" w:eastAsia="Calibri" w:hAnsi="Cambria" w:cs="Calibri"/>
        </w:rPr>
        <w:t>w</w:t>
      </w:r>
      <w:r w:rsidRPr="009A0DA6">
        <w:rPr>
          <w:rFonts w:ascii="Cambria" w:eastAsia="Calibri" w:hAnsi="Cambria" w:cs="Calibri"/>
          <w:spacing w:val="1"/>
        </w:rPr>
        <w:t>e</w:t>
      </w:r>
      <w:r w:rsidRPr="009A0DA6">
        <w:rPr>
          <w:rFonts w:ascii="Cambria" w:eastAsia="Calibri" w:hAnsi="Cambria" w:cs="Calibri"/>
        </w:rPr>
        <w:t>r</w:t>
      </w:r>
      <w:r w:rsidRPr="009A0DA6">
        <w:rPr>
          <w:rFonts w:ascii="Cambria" w:eastAsia="Calibri" w:hAnsi="Cambria" w:cs="Calibri"/>
          <w:spacing w:val="-2"/>
        </w:rPr>
        <w:t xml:space="preserve"> </w:t>
      </w:r>
      <w:r w:rsidRPr="009A0DA6">
        <w:rPr>
          <w:rFonts w:ascii="Cambria" w:eastAsia="Calibri" w:hAnsi="Cambria" w:cs="Calibri"/>
          <w:spacing w:val="2"/>
        </w:rPr>
        <w:t>o</w:t>
      </w:r>
      <w:r w:rsidRPr="009A0DA6">
        <w:rPr>
          <w:rFonts w:ascii="Cambria" w:eastAsia="Calibri" w:hAnsi="Cambria" w:cs="Calibri"/>
        </w:rPr>
        <w:t>f</w:t>
      </w:r>
      <w:r w:rsidRPr="009A0DA6">
        <w:rPr>
          <w:rFonts w:ascii="Cambria" w:eastAsia="Calibri" w:hAnsi="Cambria" w:cs="Calibri"/>
          <w:spacing w:val="-2"/>
        </w:rPr>
        <w:t xml:space="preserve">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rPr>
        <w:t>w</w:t>
      </w:r>
      <w:r w:rsidRPr="009A0DA6">
        <w:rPr>
          <w:rFonts w:ascii="Cambria" w:eastAsia="Calibri" w:hAnsi="Cambria" w:cs="Calibri"/>
          <w:spacing w:val="2"/>
        </w:rPr>
        <w:t>o</w:t>
      </w:r>
      <w:r w:rsidRPr="009A0DA6">
        <w:rPr>
          <w:rFonts w:ascii="Cambria" w:eastAsia="Calibri" w:hAnsi="Cambria" w:cs="Calibri"/>
        </w:rPr>
        <w:t>rd</w:t>
      </w:r>
      <w:r w:rsidRPr="009A0DA6">
        <w:rPr>
          <w:rFonts w:ascii="Cambria" w:eastAsia="Calibri" w:hAnsi="Cambria" w:cs="Calibri"/>
          <w:spacing w:val="-3"/>
        </w:rPr>
        <w:t xml:space="preserve"> </w:t>
      </w:r>
      <w:r w:rsidRPr="009A0DA6">
        <w:rPr>
          <w:rFonts w:ascii="Cambria" w:eastAsia="Calibri" w:hAnsi="Cambria" w:cs="Calibri"/>
          <w:spacing w:val="-1"/>
        </w:rPr>
        <w:t>wh</w:t>
      </w:r>
      <w:r w:rsidRPr="009A0DA6">
        <w:rPr>
          <w:rFonts w:ascii="Cambria" w:eastAsia="Calibri" w:hAnsi="Cambria" w:cs="Calibri"/>
        </w:rPr>
        <w:t>i</w:t>
      </w:r>
      <w:r w:rsidRPr="009A0DA6">
        <w:rPr>
          <w:rFonts w:ascii="Cambria" w:eastAsia="Calibri" w:hAnsi="Cambria" w:cs="Calibri"/>
          <w:spacing w:val="-1"/>
        </w:rPr>
        <w:t>l</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rPr>
        <w:t>at</w:t>
      </w:r>
      <w:r w:rsidRPr="009A0DA6">
        <w:rPr>
          <w:rFonts w:ascii="Cambria" w:eastAsia="Calibri" w:hAnsi="Cambria" w:cs="Calibri"/>
          <w:spacing w:val="1"/>
        </w:rPr>
        <w:t xml:space="preserve"> </w:t>
      </w:r>
      <w:r w:rsidRPr="009A0DA6">
        <w:rPr>
          <w:rFonts w:ascii="Cambria" w:eastAsia="Calibri" w:hAnsi="Cambria" w:cs="Calibri"/>
        </w:rPr>
        <w:t>t</w:t>
      </w:r>
      <w:r w:rsidRPr="009A0DA6">
        <w:rPr>
          <w:rFonts w:ascii="Cambria" w:eastAsia="Calibri" w:hAnsi="Cambria" w:cs="Calibri"/>
          <w:spacing w:val="-3"/>
        </w:rPr>
        <w:t>h</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rPr>
        <w:t>s</w:t>
      </w:r>
      <w:r w:rsidRPr="009A0DA6">
        <w:rPr>
          <w:rFonts w:ascii="Cambria" w:eastAsia="Calibri" w:hAnsi="Cambria" w:cs="Calibri"/>
          <w:spacing w:val="-2"/>
        </w:rPr>
        <w:t>a</w:t>
      </w:r>
      <w:r w:rsidRPr="009A0DA6">
        <w:rPr>
          <w:rFonts w:ascii="Cambria" w:eastAsia="Calibri" w:hAnsi="Cambria" w:cs="Calibri"/>
          <w:spacing w:val="1"/>
        </w:rPr>
        <w:t>m</w:t>
      </w:r>
      <w:r w:rsidRPr="009A0DA6">
        <w:rPr>
          <w:rFonts w:ascii="Cambria" w:eastAsia="Calibri" w:hAnsi="Cambria" w:cs="Calibri"/>
        </w:rPr>
        <w:t>e</w:t>
      </w:r>
      <w:r w:rsidRPr="009A0DA6">
        <w:rPr>
          <w:rFonts w:ascii="Cambria" w:eastAsia="Calibri" w:hAnsi="Cambria" w:cs="Calibri"/>
          <w:spacing w:val="-2"/>
        </w:rPr>
        <w:t xml:space="preserve"> </w:t>
      </w:r>
      <w:r w:rsidRPr="009A0DA6">
        <w:rPr>
          <w:rFonts w:ascii="Cambria" w:eastAsia="Calibri" w:hAnsi="Cambria" w:cs="Calibri"/>
          <w:spacing w:val="1"/>
        </w:rPr>
        <w:t>t</w:t>
      </w:r>
      <w:r w:rsidRPr="009A0DA6">
        <w:rPr>
          <w:rFonts w:ascii="Cambria" w:eastAsia="Calibri" w:hAnsi="Cambria" w:cs="Calibri"/>
          <w:spacing w:val="-3"/>
        </w:rPr>
        <w:t>i</w:t>
      </w:r>
      <w:r w:rsidRPr="009A0DA6">
        <w:rPr>
          <w:rFonts w:ascii="Cambria" w:eastAsia="Calibri" w:hAnsi="Cambria" w:cs="Calibri"/>
          <w:spacing w:val="1"/>
        </w:rPr>
        <w:t>m</w:t>
      </w:r>
      <w:r w:rsidRPr="009A0DA6">
        <w:rPr>
          <w:rFonts w:ascii="Cambria" w:eastAsia="Calibri" w:hAnsi="Cambria" w:cs="Calibri"/>
        </w:rPr>
        <w:t>e i</w:t>
      </w:r>
      <w:r w:rsidRPr="009A0DA6">
        <w:rPr>
          <w:rFonts w:ascii="Cambria" w:eastAsia="Calibri" w:hAnsi="Cambria" w:cs="Calibri"/>
          <w:spacing w:val="-1"/>
        </w:rPr>
        <w:t>gn</w:t>
      </w:r>
      <w:r w:rsidRPr="009A0DA6">
        <w:rPr>
          <w:rFonts w:ascii="Cambria" w:eastAsia="Calibri" w:hAnsi="Cambria" w:cs="Calibri"/>
          <w:spacing w:val="1"/>
        </w:rPr>
        <w:t>o</w:t>
      </w:r>
      <w:r w:rsidRPr="009A0DA6">
        <w:rPr>
          <w:rFonts w:ascii="Cambria" w:eastAsia="Calibri" w:hAnsi="Cambria" w:cs="Calibri"/>
        </w:rPr>
        <w:t>ri</w:t>
      </w:r>
      <w:r w:rsidRPr="009A0DA6">
        <w:rPr>
          <w:rFonts w:ascii="Cambria" w:eastAsia="Calibri" w:hAnsi="Cambria" w:cs="Calibri"/>
          <w:spacing w:val="-1"/>
        </w:rPr>
        <w:t>n</w:t>
      </w:r>
      <w:r w:rsidRPr="009A0DA6">
        <w:rPr>
          <w:rFonts w:ascii="Cambria" w:eastAsia="Calibri" w:hAnsi="Cambria" w:cs="Calibri"/>
        </w:rPr>
        <w:t>g</w:t>
      </w:r>
      <w:r w:rsidRPr="009A0DA6">
        <w:rPr>
          <w:rFonts w:ascii="Cambria" w:eastAsia="Calibri" w:hAnsi="Cambria" w:cs="Calibri"/>
          <w:spacing w:val="-1"/>
        </w:rPr>
        <w:t xml:space="preserve"> </w:t>
      </w:r>
      <w:r w:rsidRPr="009A0DA6">
        <w:rPr>
          <w:rFonts w:ascii="Cambria" w:eastAsia="Calibri" w:hAnsi="Cambria" w:cs="Calibri"/>
          <w:spacing w:val="1"/>
        </w:rPr>
        <w:t>w</w:t>
      </w:r>
      <w:r w:rsidRPr="009A0DA6">
        <w:rPr>
          <w:rFonts w:ascii="Cambria" w:eastAsia="Calibri" w:hAnsi="Cambria" w:cs="Calibri"/>
          <w:spacing w:val="-1"/>
        </w:rPr>
        <w:t>h</w:t>
      </w:r>
      <w:r w:rsidRPr="009A0DA6">
        <w:rPr>
          <w:rFonts w:ascii="Cambria" w:eastAsia="Calibri" w:hAnsi="Cambria" w:cs="Calibri"/>
        </w:rPr>
        <w:t>at</w:t>
      </w:r>
      <w:r w:rsidRPr="009A0DA6">
        <w:rPr>
          <w:rFonts w:ascii="Cambria" w:eastAsia="Calibri" w:hAnsi="Cambria" w:cs="Calibri"/>
          <w:spacing w:val="1"/>
        </w:rPr>
        <w:t xml:space="preserve"> </w:t>
      </w:r>
      <w:r w:rsidRPr="009A0DA6">
        <w:rPr>
          <w:rFonts w:ascii="Cambria" w:eastAsia="Calibri" w:hAnsi="Cambria" w:cs="Calibri"/>
        </w:rPr>
        <w:t>it</w:t>
      </w:r>
      <w:r w:rsidRPr="009A0DA6">
        <w:rPr>
          <w:rFonts w:ascii="Cambria" w:eastAsia="Calibri" w:hAnsi="Cambria" w:cs="Calibri"/>
          <w:spacing w:val="-2"/>
        </w:rPr>
        <w:t xml:space="preserve"> </w:t>
      </w:r>
      <w:r w:rsidRPr="009A0DA6">
        <w:rPr>
          <w:rFonts w:ascii="Cambria" w:eastAsia="Calibri" w:hAnsi="Cambria" w:cs="Calibri"/>
        </w:rPr>
        <w:t xml:space="preserve">has </w:t>
      </w:r>
      <w:r w:rsidRPr="009A0DA6">
        <w:rPr>
          <w:rFonts w:ascii="Cambria" w:eastAsia="Calibri" w:hAnsi="Cambria" w:cs="Calibri"/>
          <w:spacing w:val="-2"/>
        </w:rPr>
        <w:t>t</w:t>
      </w:r>
      <w:r w:rsidRPr="009A0DA6">
        <w:rPr>
          <w:rFonts w:ascii="Cambria" w:eastAsia="Calibri" w:hAnsi="Cambria" w:cs="Calibri"/>
        </w:rPr>
        <w:t>o</w:t>
      </w:r>
      <w:r w:rsidRPr="009A0DA6">
        <w:rPr>
          <w:rFonts w:ascii="Cambria" w:eastAsia="Calibri" w:hAnsi="Cambria" w:cs="Calibri"/>
          <w:spacing w:val="1"/>
        </w:rPr>
        <w:t xml:space="preserve"> </w:t>
      </w:r>
      <w:r w:rsidRPr="009A0DA6">
        <w:rPr>
          <w:rFonts w:ascii="Cambria" w:eastAsia="Calibri" w:hAnsi="Cambria" w:cs="Calibri"/>
          <w:spacing w:val="-2"/>
        </w:rPr>
        <w:t>s</w:t>
      </w:r>
      <w:r w:rsidRPr="009A0DA6">
        <w:rPr>
          <w:rFonts w:ascii="Cambria" w:eastAsia="Calibri" w:hAnsi="Cambria" w:cs="Calibri"/>
        </w:rPr>
        <w:t>ay.</w:t>
      </w:r>
      <w:r w:rsidRPr="009A0DA6">
        <w:rPr>
          <w:rFonts w:ascii="Cambria" w:eastAsia="Calibri" w:hAnsi="Cambria" w:cs="Calibri"/>
          <w:spacing w:val="-2"/>
        </w:rPr>
        <w:t xml:space="preserve"> </w:t>
      </w:r>
      <w:r w:rsidRPr="009A0DA6">
        <w:rPr>
          <w:rFonts w:ascii="Cambria" w:eastAsia="Calibri" w:hAnsi="Cambria" w:cs="Calibri"/>
        </w:rPr>
        <w:t>This ar</w:t>
      </w:r>
      <w:r w:rsidRPr="009A0DA6">
        <w:rPr>
          <w:rFonts w:ascii="Cambria" w:eastAsia="Calibri" w:hAnsi="Cambria" w:cs="Calibri"/>
          <w:spacing w:val="-1"/>
        </w:rPr>
        <w:t>gu</w:t>
      </w:r>
      <w:r w:rsidRPr="009A0DA6">
        <w:rPr>
          <w:rFonts w:ascii="Cambria" w:eastAsia="Calibri" w:hAnsi="Cambria" w:cs="Calibri"/>
        </w:rPr>
        <w:t>ment plays</w:t>
      </w:r>
      <w:r w:rsidRPr="009A0DA6">
        <w:rPr>
          <w:rFonts w:ascii="Cambria" w:eastAsia="Calibri" w:hAnsi="Cambria" w:cs="Calibri"/>
          <w:spacing w:val="-2"/>
        </w:rPr>
        <w:t xml:space="preserve"> </w:t>
      </w:r>
      <w:r w:rsidRPr="009A0DA6">
        <w:rPr>
          <w:rFonts w:ascii="Cambria" w:eastAsia="Calibri" w:hAnsi="Cambria" w:cs="Calibri"/>
          <w:spacing w:val="1"/>
        </w:rPr>
        <w:t>o</w:t>
      </w:r>
      <w:r w:rsidRPr="009A0DA6">
        <w:rPr>
          <w:rFonts w:ascii="Cambria" w:eastAsia="Calibri" w:hAnsi="Cambria" w:cs="Calibri"/>
        </w:rPr>
        <w:t>n</w:t>
      </w:r>
      <w:r w:rsidRPr="009A0DA6">
        <w:rPr>
          <w:rFonts w:ascii="Cambria" w:eastAsia="Calibri" w:hAnsi="Cambria" w:cs="Calibri"/>
          <w:spacing w:val="-3"/>
        </w:rPr>
        <w:t xml:space="preserve"> </w:t>
      </w:r>
      <w:r w:rsidRPr="009A0DA6">
        <w:rPr>
          <w:rFonts w:ascii="Cambria" w:eastAsia="Calibri" w:hAnsi="Cambria" w:cs="Calibri"/>
        </w:rPr>
        <w:t xml:space="preserve">a </w:t>
      </w:r>
      <w:r w:rsidRPr="009A0DA6">
        <w:rPr>
          <w:rFonts w:ascii="Cambria" w:eastAsia="Calibri" w:hAnsi="Cambria" w:cs="Calibri"/>
          <w:spacing w:val="-3"/>
        </w:rPr>
        <w:t>h</w:t>
      </w:r>
      <w:r w:rsidRPr="009A0DA6">
        <w:rPr>
          <w:rFonts w:ascii="Cambria" w:eastAsia="Calibri" w:hAnsi="Cambria" w:cs="Calibri"/>
        </w:rPr>
        <w:t>alf-trut</w:t>
      </w:r>
      <w:r w:rsidRPr="009A0DA6">
        <w:rPr>
          <w:rFonts w:ascii="Cambria" w:eastAsia="Calibri" w:hAnsi="Cambria" w:cs="Calibri"/>
          <w:spacing w:val="-1"/>
        </w:rPr>
        <w:t>h</w:t>
      </w:r>
      <w:r w:rsidRPr="009A0DA6">
        <w:rPr>
          <w:rFonts w:ascii="Cambria" w:eastAsia="Calibri" w:hAnsi="Cambria" w:cs="Calibri"/>
        </w:rPr>
        <w:t>. Y</w:t>
      </w:r>
      <w:r w:rsidRPr="009A0DA6">
        <w:rPr>
          <w:rFonts w:ascii="Cambria" w:eastAsia="Calibri" w:hAnsi="Cambria" w:cs="Calibri"/>
          <w:spacing w:val="1"/>
        </w:rPr>
        <w:t>e</w:t>
      </w:r>
      <w:r w:rsidRPr="009A0DA6">
        <w:rPr>
          <w:rFonts w:ascii="Cambria" w:eastAsia="Calibri" w:hAnsi="Cambria" w:cs="Calibri"/>
        </w:rPr>
        <w:t>s,</w:t>
      </w:r>
      <w:r w:rsidRPr="009A0DA6">
        <w:rPr>
          <w:rFonts w:ascii="Cambria" w:eastAsia="Calibri" w:hAnsi="Cambria" w:cs="Calibri"/>
          <w:spacing w:val="-2"/>
        </w:rPr>
        <w:t xml:space="preserve">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rPr>
        <w:t>G</w:t>
      </w:r>
      <w:r w:rsidRPr="009A0DA6">
        <w:rPr>
          <w:rFonts w:ascii="Cambria" w:eastAsia="Calibri" w:hAnsi="Cambria" w:cs="Calibri"/>
          <w:spacing w:val="1"/>
        </w:rPr>
        <w:t>o</w:t>
      </w:r>
      <w:r w:rsidRPr="009A0DA6">
        <w:rPr>
          <w:rFonts w:ascii="Cambria" w:eastAsia="Calibri" w:hAnsi="Cambria" w:cs="Calibri"/>
        </w:rPr>
        <w:t>s</w:t>
      </w:r>
      <w:r w:rsidRPr="009A0DA6">
        <w:rPr>
          <w:rFonts w:ascii="Cambria" w:eastAsia="Calibri" w:hAnsi="Cambria" w:cs="Calibri"/>
          <w:spacing w:val="-3"/>
        </w:rPr>
        <w:t>p</w:t>
      </w:r>
      <w:r w:rsidRPr="009A0DA6">
        <w:rPr>
          <w:rFonts w:ascii="Cambria" w:eastAsia="Calibri" w:hAnsi="Cambria" w:cs="Calibri"/>
        </w:rPr>
        <w:t xml:space="preserve">el </w:t>
      </w:r>
      <w:r w:rsidRPr="009A0DA6">
        <w:rPr>
          <w:rFonts w:ascii="Cambria" w:eastAsia="Calibri" w:hAnsi="Cambria" w:cs="Calibri"/>
          <w:spacing w:val="-2"/>
        </w:rPr>
        <w:t>r</w:t>
      </w:r>
      <w:r w:rsidRPr="009A0DA6">
        <w:rPr>
          <w:rFonts w:ascii="Cambria" w:eastAsia="Calibri" w:hAnsi="Cambria" w:cs="Calibri"/>
        </w:rPr>
        <w:t>e</w:t>
      </w:r>
      <w:r w:rsidRPr="009A0DA6">
        <w:rPr>
          <w:rFonts w:ascii="Cambria" w:eastAsia="Calibri" w:hAnsi="Cambria" w:cs="Calibri"/>
          <w:spacing w:val="1"/>
        </w:rPr>
        <w:t>m</w:t>
      </w:r>
      <w:r w:rsidRPr="009A0DA6">
        <w:rPr>
          <w:rFonts w:ascii="Cambria" w:eastAsia="Calibri" w:hAnsi="Cambria" w:cs="Calibri"/>
        </w:rPr>
        <w:t>ai</w:t>
      </w:r>
      <w:r w:rsidRPr="009A0DA6">
        <w:rPr>
          <w:rFonts w:ascii="Cambria" w:eastAsia="Calibri" w:hAnsi="Cambria" w:cs="Calibri"/>
          <w:spacing w:val="-1"/>
        </w:rPr>
        <w:t>n</w:t>
      </w:r>
      <w:r w:rsidRPr="009A0DA6">
        <w:rPr>
          <w:rFonts w:ascii="Cambria" w:eastAsia="Calibri" w:hAnsi="Cambria" w:cs="Calibri"/>
        </w:rPr>
        <w:t>s</w:t>
      </w:r>
      <w:r w:rsidRPr="009A0DA6">
        <w:rPr>
          <w:rFonts w:ascii="Cambria" w:eastAsia="Calibri" w:hAnsi="Cambria" w:cs="Calibri"/>
          <w:spacing w:val="-2"/>
        </w:rPr>
        <w:t xml:space="preserve"> </w:t>
      </w:r>
      <w:r w:rsidRPr="009A0DA6">
        <w:rPr>
          <w:rFonts w:ascii="Cambria" w:eastAsia="Calibri" w:hAnsi="Cambria" w:cs="Calibri"/>
        </w:rPr>
        <w:t>true and</w:t>
      </w:r>
      <w:r w:rsidRPr="009A0DA6">
        <w:rPr>
          <w:rFonts w:ascii="Cambria" w:eastAsia="Calibri" w:hAnsi="Cambria" w:cs="Calibri"/>
          <w:spacing w:val="-1"/>
        </w:rPr>
        <w:t xml:space="preserve"> </w:t>
      </w:r>
      <w:r w:rsidRPr="009A0DA6">
        <w:rPr>
          <w:rFonts w:ascii="Cambria" w:eastAsia="Calibri" w:hAnsi="Cambria" w:cs="Calibri"/>
        </w:rPr>
        <w:t>has</w:t>
      </w:r>
      <w:r w:rsidRPr="009A0DA6">
        <w:rPr>
          <w:rFonts w:ascii="Cambria" w:eastAsia="Calibri" w:hAnsi="Cambria" w:cs="Calibri"/>
          <w:spacing w:val="-3"/>
        </w:rPr>
        <w:t xml:space="preserve"> </w:t>
      </w:r>
      <w:r w:rsidRPr="009A0DA6">
        <w:rPr>
          <w:rFonts w:ascii="Cambria" w:eastAsia="Calibri" w:hAnsi="Cambria" w:cs="Calibri"/>
        </w:rPr>
        <w:t>p</w:t>
      </w:r>
      <w:r w:rsidRPr="009A0DA6">
        <w:rPr>
          <w:rFonts w:ascii="Cambria" w:eastAsia="Calibri" w:hAnsi="Cambria" w:cs="Calibri"/>
          <w:spacing w:val="-1"/>
        </w:rPr>
        <w:t>o</w:t>
      </w:r>
      <w:r w:rsidRPr="009A0DA6">
        <w:rPr>
          <w:rFonts w:ascii="Cambria" w:eastAsia="Calibri" w:hAnsi="Cambria" w:cs="Calibri"/>
        </w:rPr>
        <w:t>w</w:t>
      </w:r>
      <w:r w:rsidRPr="009A0DA6">
        <w:rPr>
          <w:rFonts w:ascii="Cambria" w:eastAsia="Calibri" w:hAnsi="Cambria" w:cs="Calibri"/>
          <w:spacing w:val="1"/>
        </w:rPr>
        <w:t>e</w:t>
      </w:r>
      <w:r w:rsidRPr="009A0DA6">
        <w:rPr>
          <w:rFonts w:ascii="Cambria" w:eastAsia="Calibri" w:hAnsi="Cambria" w:cs="Calibri"/>
        </w:rPr>
        <w:t>r to</w:t>
      </w:r>
      <w:r w:rsidRPr="009A0DA6">
        <w:rPr>
          <w:rFonts w:ascii="Cambria" w:eastAsia="Calibri" w:hAnsi="Cambria" w:cs="Calibri"/>
          <w:spacing w:val="2"/>
        </w:rPr>
        <w:t xml:space="preserve"> </w:t>
      </w:r>
      <w:r w:rsidRPr="009A0DA6">
        <w:rPr>
          <w:rFonts w:ascii="Cambria" w:eastAsia="Calibri" w:hAnsi="Cambria" w:cs="Calibri"/>
        </w:rPr>
        <w:t>s</w:t>
      </w:r>
      <w:r w:rsidRPr="009A0DA6">
        <w:rPr>
          <w:rFonts w:ascii="Cambria" w:eastAsia="Calibri" w:hAnsi="Cambria" w:cs="Calibri"/>
          <w:spacing w:val="-2"/>
        </w:rPr>
        <w:t>a</w:t>
      </w:r>
      <w:r w:rsidRPr="009A0DA6">
        <w:rPr>
          <w:rFonts w:ascii="Cambria" w:eastAsia="Calibri" w:hAnsi="Cambria" w:cs="Calibri"/>
          <w:spacing w:val="1"/>
        </w:rPr>
        <w:t>v</w:t>
      </w:r>
      <w:r w:rsidRPr="009A0DA6">
        <w:rPr>
          <w:rFonts w:ascii="Cambria" w:eastAsia="Calibri" w:hAnsi="Cambria" w:cs="Calibri"/>
        </w:rPr>
        <w:t>e</w:t>
      </w:r>
      <w:r w:rsidRPr="009A0DA6">
        <w:rPr>
          <w:rFonts w:ascii="Cambria" w:eastAsia="Calibri" w:hAnsi="Cambria" w:cs="Calibri"/>
          <w:spacing w:val="-2"/>
        </w:rPr>
        <w:t xml:space="preserve"> </w:t>
      </w:r>
      <w:r w:rsidRPr="009A0DA6">
        <w:rPr>
          <w:rFonts w:ascii="Cambria" w:eastAsia="Calibri" w:hAnsi="Cambria" w:cs="Calibri"/>
        </w:rPr>
        <w:t>no</w:t>
      </w:r>
      <w:r w:rsidRPr="009A0DA6">
        <w:rPr>
          <w:rFonts w:ascii="Cambria" w:eastAsia="Calibri" w:hAnsi="Cambria" w:cs="Calibri"/>
          <w:spacing w:val="-1"/>
        </w:rPr>
        <w:t xml:space="preserve"> </w:t>
      </w:r>
      <w:r w:rsidRPr="009A0DA6">
        <w:rPr>
          <w:rFonts w:ascii="Cambria" w:eastAsia="Calibri" w:hAnsi="Cambria" w:cs="Calibri"/>
          <w:spacing w:val="1"/>
        </w:rPr>
        <w:t>m</w:t>
      </w:r>
      <w:r w:rsidRPr="009A0DA6">
        <w:rPr>
          <w:rFonts w:ascii="Cambria" w:eastAsia="Calibri" w:hAnsi="Cambria" w:cs="Calibri"/>
          <w:spacing w:val="-3"/>
        </w:rPr>
        <w:t>a</w:t>
      </w:r>
      <w:r w:rsidRPr="009A0DA6">
        <w:rPr>
          <w:rFonts w:ascii="Cambria" w:eastAsia="Calibri" w:hAnsi="Cambria" w:cs="Calibri"/>
        </w:rPr>
        <w:t>t</w:t>
      </w:r>
      <w:r w:rsidRPr="009A0DA6">
        <w:rPr>
          <w:rFonts w:ascii="Cambria" w:eastAsia="Calibri" w:hAnsi="Cambria" w:cs="Calibri"/>
          <w:spacing w:val="1"/>
        </w:rPr>
        <w:t>t</w:t>
      </w:r>
      <w:r w:rsidRPr="009A0DA6">
        <w:rPr>
          <w:rFonts w:ascii="Cambria" w:eastAsia="Calibri" w:hAnsi="Cambria" w:cs="Calibri"/>
        </w:rPr>
        <w:t>er</w:t>
      </w:r>
      <w:r w:rsidRPr="009A0DA6">
        <w:rPr>
          <w:rFonts w:ascii="Cambria" w:eastAsia="Calibri" w:hAnsi="Cambria" w:cs="Calibri"/>
          <w:spacing w:val="-2"/>
        </w:rPr>
        <w:t xml:space="preserve"> </w:t>
      </w:r>
      <w:r w:rsidRPr="009A0DA6">
        <w:rPr>
          <w:rFonts w:ascii="Cambria" w:eastAsia="Calibri" w:hAnsi="Cambria" w:cs="Calibri"/>
          <w:spacing w:val="1"/>
        </w:rPr>
        <w:t>w</w:t>
      </w:r>
      <w:r w:rsidRPr="009A0DA6">
        <w:rPr>
          <w:rFonts w:ascii="Cambria" w:eastAsia="Calibri" w:hAnsi="Cambria" w:cs="Calibri"/>
          <w:spacing w:val="-3"/>
        </w:rPr>
        <w:t>h</w:t>
      </w:r>
      <w:r w:rsidRPr="009A0DA6">
        <w:rPr>
          <w:rFonts w:ascii="Cambria" w:eastAsia="Calibri" w:hAnsi="Cambria" w:cs="Calibri"/>
        </w:rPr>
        <w:t>o</w:t>
      </w:r>
      <w:r w:rsidRPr="009A0DA6">
        <w:rPr>
          <w:rFonts w:ascii="Cambria" w:eastAsia="Calibri" w:hAnsi="Cambria" w:cs="Calibri"/>
          <w:spacing w:val="1"/>
        </w:rPr>
        <w:t xml:space="preserve"> </w:t>
      </w:r>
      <w:r w:rsidRPr="009A0DA6">
        <w:rPr>
          <w:rFonts w:ascii="Cambria" w:eastAsia="Calibri" w:hAnsi="Cambria" w:cs="Calibri"/>
        </w:rPr>
        <w:t>sp</w:t>
      </w:r>
      <w:r w:rsidRPr="009A0DA6">
        <w:rPr>
          <w:rFonts w:ascii="Cambria" w:eastAsia="Calibri" w:hAnsi="Cambria" w:cs="Calibri"/>
          <w:spacing w:val="-2"/>
        </w:rPr>
        <w:t>e</w:t>
      </w:r>
      <w:r w:rsidRPr="009A0DA6">
        <w:rPr>
          <w:rFonts w:ascii="Cambria" w:eastAsia="Calibri" w:hAnsi="Cambria" w:cs="Calibri"/>
        </w:rPr>
        <w:t>aks</w:t>
      </w:r>
      <w:r w:rsidRPr="009A0DA6">
        <w:rPr>
          <w:rFonts w:ascii="Cambria" w:eastAsia="Calibri" w:hAnsi="Cambria" w:cs="Calibri"/>
          <w:spacing w:val="1"/>
        </w:rPr>
        <w:t xml:space="preserve"> </w:t>
      </w:r>
      <w:r w:rsidRPr="009A0DA6">
        <w:rPr>
          <w:rFonts w:ascii="Cambria" w:eastAsia="Calibri" w:hAnsi="Cambria" w:cs="Calibri"/>
        </w:rPr>
        <w:t xml:space="preserve">it. </w:t>
      </w:r>
      <w:r w:rsidRPr="009A0DA6">
        <w:rPr>
          <w:rFonts w:ascii="Cambria" w:eastAsia="Calibri" w:hAnsi="Cambria" w:cs="Calibri"/>
          <w:spacing w:val="-1"/>
        </w:rPr>
        <w:t>N</w:t>
      </w:r>
      <w:r w:rsidRPr="009A0DA6">
        <w:rPr>
          <w:rFonts w:ascii="Cambria" w:eastAsia="Calibri" w:hAnsi="Cambria" w:cs="Calibri"/>
          <w:spacing w:val="-2"/>
        </w:rPr>
        <w:t>e</w:t>
      </w:r>
      <w:r w:rsidRPr="009A0DA6">
        <w:rPr>
          <w:rFonts w:ascii="Cambria" w:eastAsia="Calibri" w:hAnsi="Cambria" w:cs="Calibri"/>
          <w:spacing w:val="1"/>
        </w:rPr>
        <w:t>v</w:t>
      </w:r>
      <w:r w:rsidRPr="009A0DA6">
        <w:rPr>
          <w:rFonts w:ascii="Cambria" w:eastAsia="Calibri" w:hAnsi="Cambria" w:cs="Calibri"/>
        </w:rPr>
        <w:t>e</w:t>
      </w:r>
      <w:r w:rsidRPr="009A0DA6">
        <w:rPr>
          <w:rFonts w:ascii="Cambria" w:eastAsia="Calibri" w:hAnsi="Cambria" w:cs="Calibri"/>
          <w:spacing w:val="-2"/>
        </w:rPr>
        <w:t>r</w:t>
      </w:r>
      <w:r w:rsidRPr="009A0DA6">
        <w:rPr>
          <w:rFonts w:ascii="Cambria" w:eastAsia="Calibri" w:hAnsi="Cambria" w:cs="Calibri"/>
        </w:rPr>
        <w:t>thele</w:t>
      </w:r>
      <w:r w:rsidRPr="009A0DA6">
        <w:rPr>
          <w:rFonts w:ascii="Cambria" w:eastAsia="Calibri" w:hAnsi="Cambria" w:cs="Calibri"/>
          <w:spacing w:val="-2"/>
        </w:rPr>
        <w:t>s</w:t>
      </w:r>
      <w:r w:rsidRPr="009A0DA6">
        <w:rPr>
          <w:rFonts w:ascii="Cambria" w:eastAsia="Calibri" w:hAnsi="Cambria" w:cs="Calibri"/>
        </w:rPr>
        <w:t>s,</w:t>
      </w:r>
      <w:r w:rsidRPr="009A0DA6">
        <w:rPr>
          <w:rFonts w:ascii="Cambria" w:eastAsia="Calibri" w:hAnsi="Cambria" w:cs="Calibri"/>
          <w:spacing w:val="3"/>
        </w:rPr>
        <w:t xml:space="preserve"> </w:t>
      </w:r>
      <w:r w:rsidRPr="009A0DA6">
        <w:rPr>
          <w:rFonts w:ascii="Cambria" w:eastAsia="Calibri" w:hAnsi="Cambria" w:cs="Calibri"/>
        </w:rPr>
        <w:t>t</w:t>
      </w:r>
      <w:r w:rsidRPr="009A0DA6">
        <w:rPr>
          <w:rFonts w:ascii="Cambria" w:eastAsia="Calibri" w:hAnsi="Cambria" w:cs="Calibri"/>
          <w:spacing w:val="-3"/>
        </w:rPr>
        <w:t>h</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rPr>
        <w:t>c</w:t>
      </w:r>
      <w:r w:rsidRPr="009A0DA6">
        <w:rPr>
          <w:rFonts w:ascii="Cambria" w:eastAsia="Calibri" w:hAnsi="Cambria" w:cs="Calibri"/>
          <w:spacing w:val="-3"/>
        </w:rPr>
        <w:t>h</w:t>
      </w:r>
      <w:r w:rsidRPr="009A0DA6">
        <w:rPr>
          <w:rFonts w:ascii="Cambria" w:eastAsia="Calibri" w:hAnsi="Cambria" w:cs="Calibri"/>
          <w:spacing w:val="-1"/>
        </w:rPr>
        <w:t>u</w:t>
      </w:r>
      <w:r w:rsidRPr="009A0DA6">
        <w:rPr>
          <w:rFonts w:ascii="Cambria" w:eastAsia="Calibri" w:hAnsi="Cambria" w:cs="Calibri"/>
        </w:rPr>
        <w:t>rch</w:t>
      </w:r>
      <w:r w:rsidRPr="009A0DA6">
        <w:rPr>
          <w:rFonts w:ascii="Cambria" w:eastAsia="Calibri" w:hAnsi="Cambria" w:cs="Calibri"/>
          <w:spacing w:val="-1"/>
        </w:rPr>
        <w:t xml:space="preserve"> </w:t>
      </w:r>
      <w:r w:rsidRPr="009A0DA6">
        <w:rPr>
          <w:rFonts w:ascii="Cambria" w:eastAsia="Calibri" w:hAnsi="Cambria" w:cs="Calibri"/>
          <w:spacing w:val="1"/>
        </w:rPr>
        <w:t>wo</w:t>
      </w:r>
      <w:r w:rsidRPr="009A0DA6">
        <w:rPr>
          <w:rFonts w:ascii="Cambria" w:eastAsia="Calibri" w:hAnsi="Cambria" w:cs="Calibri"/>
          <w:spacing w:val="-1"/>
        </w:rPr>
        <w:t>u</w:t>
      </w:r>
      <w:r w:rsidRPr="009A0DA6">
        <w:rPr>
          <w:rFonts w:ascii="Cambria" w:eastAsia="Calibri" w:hAnsi="Cambria" w:cs="Calibri"/>
        </w:rPr>
        <w:t>ld</w:t>
      </w:r>
      <w:r w:rsidRPr="009A0DA6">
        <w:rPr>
          <w:rFonts w:ascii="Cambria" w:eastAsia="Calibri" w:hAnsi="Cambria" w:cs="Calibri"/>
          <w:spacing w:val="-1"/>
        </w:rPr>
        <w:t xml:space="preserve"> </w:t>
      </w:r>
      <w:r w:rsidRPr="009A0DA6">
        <w:rPr>
          <w:rFonts w:ascii="Cambria" w:eastAsia="Calibri" w:hAnsi="Cambria" w:cs="Calibri"/>
        </w:rPr>
        <w:t>be</w:t>
      </w:r>
      <w:r w:rsidRPr="009A0DA6">
        <w:rPr>
          <w:rFonts w:ascii="Cambria" w:eastAsia="Calibri" w:hAnsi="Cambria" w:cs="Calibri"/>
          <w:spacing w:val="-2"/>
        </w:rPr>
        <w:t xml:space="preserve"> </w:t>
      </w:r>
      <w:r w:rsidRPr="009A0DA6">
        <w:rPr>
          <w:rFonts w:ascii="Cambria" w:eastAsia="Calibri" w:hAnsi="Cambria" w:cs="Calibri"/>
        </w:rPr>
        <w:t>u</w:t>
      </w:r>
      <w:r w:rsidRPr="009A0DA6">
        <w:rPr>
          <w:rFonts w:ascii="Cambria" w:eastAsia="Calibri" w:hAnsi="Cambria" w:cs="Calibri"/>
          <w:spacing w:val="-1"/>
        </w:rPr>
        <w:t>n</w:t>
      </w:r>
      <w:r w:rsidRPr="009A0DA6">
        <w:rPr>
          <w:rFonts w:ascii="Cambria" w:eastAsia="Calibri" w:hAnsi="Cambria" w:cs="Calibri"/>
        </w:rPr>
        <w:t>wise</w:t>
      </w:r>
      <w:r w:rsidRPr="009A0DA6">
        <w:rPr>
          <w:rFonts w:ascii="Cambria" w:eastAsia="Calibri" w:hAnsi="Cambria" w:cs="Calibri"/>
          <w:spacing w:val="-1"/>
        </w:rPr>
        <w:t xml:space="preserve"> </w:t>
      </w:r>
      <w:r w:rsidRPr="009A0DA6">
        <w:rPr>
          <w:rFonts w:ascii="Cambria" w:eastAsia="Calibri" w:hAnsi="Cambria" w:cs="Calibri"/>
          <w:spacing w:val="-2"/>
        </w:rPr>
        <w:t>t</w:t>
      </w:r>
      <w:r w:rsidRPr="009A0DA6">
        <w:rPr>
          <w:rFonts w:ascii="Cambria" w:eastAsia="Calibri" w:hAnsi="Cambria" w:cs="Calibri"/>
        </w:rPr>
        <w:t>o</w:t>
      </w:r>
      <w:r w:rsidRPr="009A0DA6">
        <w:rPr>
          <w:rFonts w:ascii="Cambria" w:eastAsia="Calibri" w:hAnsi="Cambria" w:cs="Calibri"/>
          <w:spacing w:val="1"/>
        </w:rPr>
        <w:t xml:space="preserve"> </w:t>
      </w:r>
      <w:r w:rsidRPr="009A0DA6">
        <w:rPr>
          <w:rFonts w:ascii="Cambria" w:eastAsia="Calibri" w:hAnsi="Cambria" w:cs="Calibri"/>
        </w:rPr>
        <w:t>p</w:t>
      </w:r>
      <w:r w:rsidRPr="009A0DA6">
        <w:rPr>
          <w:rFonts w:ascii="Cambria" w:eastAsia="Calibri" w:hAnsi="Cambria" w:cs="Calibri"/>
          <w:spacing w:val="-3"/>
        </w:rPr>
        <w:t>r</w:t>
      </w:r>
      <w:r w:rsidRPr="009A0DA6">
        <w:rPr>
          <w:rFonts w:ascii="Cambria" w:eastAsia="Calibri" w:hAnsi="Cambria" w:cs="Calibri"/>
        </w:rPr>
        <w:t>esu</w:t>
      </w:r>
      <w:r w:rsidRPr="009A0DA6">
        <w:rPr>
          <w:rFonts w:ascii="Cambria" w:eastAsia="Calibri" w:hAnsi="Cambria" w:cs="Calibri"/>
          <w:spacing w:val="-1"/>
        </w:rPr>
        <w:t>m</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rPr>
        <w:t>that</w:t>
      </w:r>
      <w:r w:rsidRPr="009A0DA6">
        <w:rPr>
          <w:rFonts w:ascii="Cambria" w:eastAsia="Calibri" w:hAnsi="Cambria" w:cs="Calibri"/>
          <w:spacing w:val="-2"/>
        </w:rPr>
        <w:t xml:space="preserve">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spacing w:val="1"/>
        </w:rPr>
        <w:t>m</w:t>
      </w:r>
      <w:r w:rsidRPr="009A0DA6">
        <w:rPr>
          <w:rFonts w:ascii="Cambria" w:eastAsia="Calibri" w:hAnsi="Cambria" w:cs="Calibri"/>
        </w:rPr>
        <w:t>i</w:t>
      </w:r>
      <w:r w:rsidRPr="009A0DA6">
        <w:rPr>
          <w:rFonts w:ascii="Cambria" w:eastAsia="Calibri" w:hAnsi="Cambria" w:cs="Calibri"/>
          <w:spacing w:val="-1"/>
        </w:rPr>
        <w:t>n</w:t>
      </w:r>
      <w:r w:rsidRPr="009A0DA6">
        <w:rPr>
          <w:rFonts w:ascii="Cambria" w:eastAsia="Calibri" w:hAnsi="Cambria" w:cs="Calibri"/>
        </w:rPr>
        <w:t>ist</w:t>
      </w:r>
      <w:r w:rsidRPr="009A0DA6">
        <w:rPr>
          <w:rFonts w:ascii="Cambria" w:eastAsia="Calibri" w:hAnsi="Cambria" w:cs="Calibri"/>
          <w:spacing w:val="-2"/>
        </w:rPr>
        <w:t>r</w:t>
      </w:r>
      <w:r w:rsidRPr="009A0DA6">
        <w:rPr>
          <w:rFonts w:ascii="Cambria" w:eastAsia="Calibri" w:hAnsi="Cambria" w:cs="Calibri"/>
        </w:rPr>
        <w:t>y</w:t>
      </w:r>
      <w:r w:rsidRPr="009A0DA6">
        <w:rPr>
          <w:rFonts w:ascii="Cambria" w:eastAsia="Calibri" w:hAnsi="Cambria" w:cs="Calibri"/>
          <w:spacing w:val="-1"/>
        </w:rPr>
        <w:t xml:space="preserve"> </w:t>
      </w:r>
      <w:r w:rsidRPr="009A0DA6">
        <w:rPr>
          <w:rFonts w:ascii="Cambria" w:eastAsia="Calibri" w:hAnsi="Cambria" w:cs="Calibri"/>
          <w:spacing w:val="1"/>
        </w:rPr>
        <w:t>o</w:t>
      </w:r>
      <w:r w:rsidRPr="009A0DA6">
        <w:rPr>
          <w:rFonts w:ascii="Cambria" w:eastAsia="Calibri" w:hAnsi="Cambria" w:cs="Calibri"/>
        </w:rPr>
        <w:t xml:space="preserve">f the </w:t>
      </w:r>
      <w:r w:rsidRPr="009A0DA6">
        <w:rPr>
          <w:rFonts w:ascii="Cambria" w:eastAsia="Calibri" w:hAnsi="Cambria" w:cs="Calibri"/>
          <w:spacing w:val="-2"/>
        </w:rPr>
        <w:t>G</w:t>
      </w:r>
      <w:r w:rsidRPr="009A0DA6">
        <w:rPr>
          <w:rFonts w:ascii="Cambria" w:eastAsia="Calibri" w:hAnsi="Cambria" w:cs="Calibri"/>
          <w:spacing w:val="1"/>
        </w:rPr>
        <w:t>o</w:t>
      </w:r>
      <w:r w:rsidRPr="009A0DA6">
        <w:rPr>
          <w:rFonts w:ascii="Cambria" w:eastAsia="Calibri" w:hAnsi="Cambria" w:cs="Calibri"/>
        </w:rPr>
        <w:t>spel</w:t>
      </w:r>
      <w:r w:rsidRPr="009A0DA6">
        <w:rPr>
          <w:rFonts w:ascii="Cambria" w:eastAsia="Calibri" w:hAnsi="Cambria" w:cs="Calibri"/>
          <w:spacing w:val="-2"/>
        </w:rPr>
        <w:t xml:space="preserve"> </w:t>
      </w:r>
      <w:r w:rsidRPr="009A0DA6">
        <w:rPr>
          <w:rFonts w:ascii="Cambria" w:eastAsia="Calibri" w:hAnsi="Cambria" w:cs="Calibri"/>
        </w:rPr>
        <w:t>will</w:t>
      </w:r>
      <w:r w:rsidRPr="009A0DA6">
        <w:rPr>
          <w:rFonts w:ascii="Cambria" w:eastAsia="Calibri" w:hAnsi="Cambria" w:cs="Calibri"/>
          <w:spacing w:val="1"/>
        </w:rPr>
        <w:t xml:space="preserve"> </w:t>
      </w:r>
      <w:r w:rsidRPr="009A0DA6">
        <w:rPr>
          <w:rFonts w:ascii="Cambria" w:eastAsia="Calibri" w:hAnsi="Cambria" w:cs="Calibri"/>
          <w:spacing w:val="-1"/>
        </w:rPr>
        <w:t>no</w:t>
      </w:r>
      <w:r w:rsidRPr="009A0DA6">
        <w:rPr>
          <w:rFonts w:ascii="Cambria" w:eastAsia="Calibri" w:hAnsi="Cambria" w:cs="Calibri"/>
        </w:rPr>
        <w:t>t</w:t>
      </w:r>
      <w:r w:rsidRPr="009A0DA6">
        <w:rPr>
          <w:rFonts w:ascii="Cambria" w:eastAsia="Calibri" w:hAnsi="Cambria" w:cs="Calibri"/>
          <w:spacing w:val="1"/>
        </w:rPr>
        <w:t xml:space="preserve"> </w:t>
      </w:r>
      <w:r w:rsidRPr="009A0DA6">
        <w:rPr>
          <w:rFonts w:ascii="Cambria" w:eastAsia="Calibri" w:hAnsi="Cambria" w:cs="Calibri"/>
          <w:spacing w:val="-1"/>
        </w:rPr>
        <w:t>b</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rPr>
        <w:t>a</w:t>
      </w:r>
      <w:r w:rsidRPr="009A0DA6">
        <w:rPr>
          <w:rFonts w:ascii="Cambria" w:eastAsia="Calibri" w:hAnsi="Cambria" w:cs="Calibri"/>
          <w:spacing w:val="-3"/>
        </w:rPr>
        <w:t>d</w:t>
      </w:r>
      <w:r w:rsidRPr="009A0DA6">
        <w:rPr>
          <w:rFonts w:ascii="Cambria" w:eastAsia="Calibri" w:hAnsi="Cambria" w:cs="Calibri"/>
          <w:spacing w:val="1"/>
        </w:rPr>
        <w:t>v</w:t>
      </w:r>
      <w:r w:rsidRPr="009A0DA6">
        <w:rPr>
          <w:rFonts w:ascii="Cambria" w:eastAsia="Calibri" w:hAnsi="Cambria" w:cs="Calibri"/>
          <w:spacing w:val="-2"/>
        </w:rPr>
        <w:t>e</w:t>
      </w:r>
      <w:r w:rsidRPr="009A0DA6">
        <w:rPr>
          <w:rFonts w:ascii="Cambria" w:eastAsia="Calibri" w:hAnsi="Cambria" w:cs="Calibri"/>
        </w:rPr>
        <w:t>rsely</w:t>
      </w:r>
      <w:r w:rsidRPr="009A0DA6">
        <w:rPr>
          <w:rFonts w:ascii="Cambria" w:eastAsia="Calibri" w:hAnsi="Cambria" w:cs="Calibri"/>
          <w:spacing w:val="1"/>
        </w:rPr>
        <w:t xml:space="preserve"> </w:t>
      </w:r>
      <w:r w:rsidRPr="009A0DA6">
        <w:rPr>
          <w:rFonts w:ascii="Cambria" w:eastAsia="Calibri" w:hAnsi="Cambria" w:cs="Calibri"/>
        </w:rPr>
        <w:t>af</w:t>
      </w:r>
      <w:r w:rsidRPr="009A0DA6">
        <w:rPr>
          <w:rFonts w:ascii="Cambria" w:eastAsia="Calibri" w:hAnsi="Cambria" w:cs="Calibri"/>
          <w:spacing w:val="-3"/>
        </w:rPr>
        <w:t>f</w:t>
      </w:r>
      <w:r w:rsidRPr="009A0DA6">
        <w:rPr>
          <w:rFonts w:ascii="Cambria" w:eastAsia="Calibri" w:hAnsi="Cambria" w:cs="Calibri"/>
        </w:rPr>
        <w:t>ec</w:t>
      </w:r>
      <w:r w:rsidRPr="009A0DA6">
        <w:rPr>
          <w:rFonts w:ascii="Cambria" w:eastAsia="Calibri" w:hAnsi="Cambria" w:cs="Calibri"/>
          <w:spacing w:val="-1"/>
        </w:rPr>
        <w:t>t</w:t>
      </w:r>
      <w:r w:rsidRPr="009A0DA6">
        <w:rPr>
          <w:rFonts w:ascii="Cambria" w:eastAsia="Calibri" w:hAnsi="Cambria" w:cs="Calibri"/>
        </w:rPr>
        <w:t>ed if it</w:t>
      </w:r>
      <w:r w:rsidRPr="009A0DA6">
        <w:rPr>
          <w:rFonts w:ascii="Cambria" w:eastAsia="Calibri" w:hAnsi="Cambria" w:cs="Calibri"/>
          <w:spacing w:val="-2"/>
        </w:rPr>
        <w:t xml:space="preserve"> </w:t>
      </w:r>
      <w:r w:rsidRPr="009A0DA6">
        <w:rPr>
          <w:rFonts w:ascii="Cambria" w:eastAsia="Calibri" w:hAnsi="Cambria" w:cs="Calibri"/>
        </w:rPr>
        <w:t xml:space="preserve">fails </w:t>
      </w:r>
      <w:r w:rsidRPr="009A0DA6">
        <w:rPr>
          <w:rFonts w:ascii="Cambria" w:eastAsia="Calibri" w:hAnsi="Cambria" w:cs="Calibri"/>
          <w:spacing w:val="-2"/>
        </w:rPr>
        <w:t>t</w:t>
      </w:r>
      <w:r w:rsidRPr="009A0DA6">
        <w:rPr>
          <w:rFonts w:ascii="Cambria" w:eastAsia="Calibri" w:hAnsi="Cambria" w:cs="Calibri"/>
        </w:rPr>
        <w:t>o</w:t>
      </w:r>
      <w:r w:rsidRPr="009A0DA6">
        <w:rPr>
          <w:rFonts w:ascii="Cambria" w:eastAsia="Calibri" w:hAnsi="Cambria" w:cs="Calibri"/>
          <w:spacing w:val="-1"/>
        </w:rPr>
        <w:t xml:space="preserve"> </w:t>
      </w:r>
      <w:r w:rsidRPr="009A0DA6">
        <w:rPr>
          <w:rFonts w:ascii="Cambria" w:eastAsia="Calibri" w:hAnsi="Cambria" w:cs="Calibri"/>
        </w:rPr>
        <w:t>t</w:t>
      </w:r>
      <w:r w:rsidRPr="009A0DA6">
        <w:rPr>
          <w:rFonts w:ascii="Cambria" w:eastAsia="Calibri" w:hAnsi="Cambria" w:cs="Calibri"/>
          <w:spacing w:val="-1"/>
        </w:rPr>
        <w:t>e</w:t>
      </w:r>
      <w:r w:rsidRPr="009A0DA6">
        <w:rPr>
          <w:rFonts w:ascii="Cambria" w:eastAsia="Calibri" w:hAnsi="Cambria" w:cs="Calibri"/>
        </w:rPr>
        <w:t>ach</w:t>
      </w:r>
      <w:r w:rsidRPr="009A0DA6">
        <w:rPr>
          <w:rFonts w:ascii="Cambria" w:eastAsia="Calibri" w:hAnsi="Cambria" w:cs="Calibri"/>
          <w:spacing w:val="-1"/>
        </w:rPr>
        <w:t xml:space="preserve">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rPr>
        <w:t>wh</w:t>
      </w:r>
      <w:r w:rsidRPr="009A0DA6">
        <w:rPr>
          <w:rFonts w:ascii="Cambria" w:eastAsia="Calibri" w:hAnsi="Cambria" w:cs="Calibri"/>
          <w:spacing w:val="1"/>
        </w:rPr>
        <w:t>o</w:t>
      </w:r>
      <w:r w:rsidRPr="009A0DA6">
        <w:rPr>
          <w:rFonts w:ascii="Cambria" w:eastAsia="Calibri" w:hAnsi="Cambria" w:cs="Calibri"/>
          <w:spacing w:val="-3"/>
        </w:rPr>
        <w:t>l</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spacing w:val="-2"/>
        </w:rPr>
        <w:t>c</w:t>
      </w:r>
      <w:r w:rsidRPr="009A0DA6">
        <w:rPr>
          <w:rFonts w:ascii="Cambria" w:eastAsia="Calibri" w:hAnsi="Cambria" w:cs="Calibri"/>
          <w:spacing w:val="1"/>
        </w:rPr>
        <w:t>o</w:t>
      </w:r>
      <w:r w:rsidRPr="009A0DA6">
        <w:rPr>
          <w:rFonts w:ascii="Cambria" w:eastAsia="Calibri" w:hAnsi="Cambria" w:cs="Calibri"/>
          <w:spacing w:val="-1"/>
        </w:rPr>
        <w:t>un</w:t>
      </w:r>
      <w:r w:rsidRPr="009A0DA6">
        <w:rPr>
          <w:rFonts w:ascii="Cambria" w:eastAsia="Calibri" w:hAnsi="Cambria" w:cs="Calibri"/>
        </w:rPr>
        <w:t>sel</w:t>
      </w:r>
      <w:r w:rsidRPr="009A0DA6">
        <w:rPr>
          <w:rFonts w:ascii="Cambria" w:eastAsia="Calibri" w:hAnsi="Cambria" w:cs="Calibri"/>
          <w:spacing w:val="2"/>
        </w:rPr>
        <w:t xml:space="preserve"> </w:t>
      </w:r>
      <w:r w:rsidRPr="009A0DA6">
        <w:rPr>
          <w:rFonts w:ascii="Cambria" w:eastAsia="Calibri" w:hAnsi="Cambria" w:cs="Calibri"/>
          <w:spacing w:val="1"/>
        </w:rPr>
        <w:t>o</w:t>
      </w:r>
      <w:r w:rsidRPr="009A0DA6">
        <w:rPr>
          <w:rFonts w:ascii="Cambria" w:eastAsia="Calibri" w:hAnsi="Cambria" w:cs="Calibri"/>
        </w:rPr>
        <w:t xml:space="preserve">f </w:t>
      </w:r>
      <w:r w:rsidRPr="009A0DA6">
        <w:rPr>
          <w:rFonts w:ascii="Cambria" w:eastAsia="Calibri" w:hAnsi="Cambria" w:cs="Calibri"/>
          <w:spacing w:val="-2"/>
        </w:rPr>
        <w:t>G</w:t>
      </w:r>
      <w:r w:rsidRPr="009A0DA6">
        <w:rPr>
          <w:rFonts w:ascii="Cambria" w:eastAsia="Calibri" w:hAnsi="Cambria" w:cs="Calibri"/>
          <w:spacing w:val="1"/>
        </w:rPr>
        <w:t>o</w:t>
      </w:r>
      <w:r w:rsidRPr="009A0DA6">
        <w:rPr>
          <w:rFonts w:ascii="Cambria" w:eastAsia="Calibri" w:hAnsi="Cambria" w:cs="Calibri"/>
          <w:spacing w:val="-1"/>
        </w:rPr>
        <w:t>d</w:t>
      </w:r>
      <w:r w:rsidRPr="009A0DA6">
        <w:rPr>
          <w:rFonts w:ascii="Cambria" w:eastAsia="Calibri" w:hAnsi="Cambria" w:cs="Calibri"/>
        </w:rPr>
        <w:t>, and</w:t>
      </w:r>
      <w:r w:rsidRPr="009A0DA6">
        <w:rPr>
          <w:rFonts w:ascii="Cambria" w:eastAsia="Calibri" w:hAnsi="Cambria" w:cs="Calibri"/>
          <w:spacing w:val="-1"/>
        </w:rPr>
        <w:t xml:space="preserve"> </w:t>
      </w:r>
      <w:r w:rsidRPr="009A0DA6">
        <w:rPr>
          <w:rFonts w:ascii="Cambria" w:eastAsia="Calibri" w:hAnsi="Cambria" w:cs="Calibri"/>
        </w:rPr>
        <w:t>deli</w:t>
      </w:r>
      <w:r w:rsidRPr="009A0DA6">
        <w:rPr>
          <w:rFonts w:ascii="Cambria" w:eastAsia="Calibri" w:hAnsi="Cambria" w:cs="Calibri"/>
          <w:spacing w:val="-1"/>
        </w:rPr>
        <w:t>b</w:t>
      </w:r>
      <w:r w:rsidRPr="009A0DA6">
        <w:rPr>
          <w:rFonts w:ascii="Cambria" w:eastAsia="Calibri" w:hAnsi="Cambria" w:cs="Calibri"/>
        </w:rPr>
        <w:t>er</w:t>
      </w:r>
      <w:r w:rsidRPr="009A0DA6">
        <w:rPr>
          <w:rFonts w:ascii="Cambria" w:eastAsia="Calibri" w:hAnsi="Cambria" w:cs="Calibri"/>
          <w:spacing w:val="-2"/>
        </w:rPr>
        <w:t>a</w:t>
      </w:r>
      <w:r w:rsidRPr="009A0DA6">
        <w:rPr>
          <w:rFonts w:ascii="Cambria" w:eastAsia="Calibri" w:hAnsi="Cambria" w:cs="Calibri"/>
        </w:rPr>
        <w:t>t</w:t>
      </w:r>
      <w:r w:rsidRPr="009A0DA6">
        <w:rPr>
          <w:rFonts w:ascii="Cambria" w:eastAsia="Calibri" w:hAnsi="Cambria" w:cs="Calibri"/>
          <w:spacing w:val="1"/>
        </w:rPr>
        <w:t>e</w:t>
      </w:r>
      <w:r w:rsidRPr="009A0DA6">
        <w:rPr>
          <w:rFonts w:ascii="Cambria" w:eastAsia="Calibri" w:hAnsi="Cambria" w:cs="Calibri"/>
          <w:spacing w:val="-3"/>
        </w:rPr>
        <w:t>l</w:t>
      </w:r>
      <w:r w:rsidRPr="009A0DA6">
        <w:rPr>
          <w:rFonts w:ascii="Cambria" w:eastAsia="Calibri" w:hAnsi="Cambria" w:cs="Calibri"/>
        </w:rPr>
        <w:t>y i</w:t>
      </w:r>
      <w:r w:rsidRPr="009A0DA6">
        <w:rPr>
          <w:rFonts w:ascii="Cambria" w:eastAsia="Calibri" w:hAnsi="Cambria" w:cs="Calibri"/>
          <w:spacing w:val="-1"/>
        </w:rPr>
        <w:t>gn</w:t>
      </w:r>
      <w:r w:rsidRPr="009A0DA6">
        <w:rPr>
          <w:rFonts w:ascii="Cambria" w:eastAsia="Calibri" w:hAnsi="Cambria" w:cs="Calibri"/>
          <w:spacing w:val="1"/>
        </w:rPr>
        <w:t>o</w:t>
      </w:r>
      <w:r w:rsidRPr="009A0DA6">
        <w:rPr>
          <w:rFonts w:ascii="Cambria" w:eastAsia="Calibri" w:hAnsi="Cambria" w:cs="Calibri"/>
        </w:rPr>
        <w:t>res</w:t>
      </w:r>
      <w:r w:rsidRPr="009A0DA6">
        <w:rPr>
          <w:rFonts w:ascii="Cambria" w:eastAsia="Calibri" w:hAnsi="Cambria" w:cs="Calibri"/>
          <w:spacing w:val="1"/>
        </w:rPr>
        <w:t xml:space="preserve"> </w:t>
      </w:r>
      <w:r w:rsidRPr="009A0DA6">
        <w:rPr>
          <w:rFonts w:ascii="Cambria" w:eastAsia="Calibri" w:hAnsi="Cambria" w:cs="Calibri"/>
        </w:rPr>
        <w:t>C</w:t>
      </w:r>
      <w:r w:rsidRPr="009A0DA6">
        <w:rPr>
          <w:rFonts w:ascii="Cambria" w:eastAsia="Calibri" w:hAnsi="Cambria" w:cs="Calibri"/>
          <w:spacing w:val="-1"/>
        </w:rPr>
        <w:t>h</w:t>
      </w:r>
      <w:r w:rsidRPr="009A0DA6">
        <w:rPr>
          <w:rFonts w:ascii="Cambria" w:eastAsia="Calibri" w:hAnsi="Cambria" w:cs="Calibri"/>
        </w:rPr>
        <w:t>ri</w:t>
      </w:r>
      <w:r w:rsidRPr="009A0DA6">
        <w:rPr>
          <w:rFonts w:ascii="Cambria" w:eastAsia="Calibri" w:hAnsi="Cambria" w:cs="Calibri"/>
          <w:spacing w:val="-3"/>
        </w:rPr>
        <w:t>s</w:t>
      </w:r>
      <w:r w:rsidRPr="009A0DA6">
        <w:rPr>
          <w:rFonts w:ascii="Cambria" w:eastAsia="Calibri" w:hAnsi="Cambria" w:cs="Calibri"/>
        </w:rPr>
        <w:t>t’s</w:t>
      </w:r>
      <w:r w:rsidRPr="009A0DA6">
        <w:rPr>
          <w:rFonts w:ascii="Cambria" w:eastAsia="Calibri" w:hAnsi="Cambria" w:cs="Calibri"/>
          <w:spacing w:val="1"/>
        </w:rPr>
        <w:t xml:space="preserve"> </w:t>
      </w:r>
      <w:r w:rsidRPr="009A0DA6">
        <w:rPr>
          <w:rFonts w:ascii="Cambria" w:eastAsia="Calibri" w:hAnsi="Cambria" w:cs="Calibri"/>
          <w:spacing w:val="-1"/>
        </w:rPr>
        <w:t>d</w:t>
      </w:r>
      <w:r w:rsidRPr="009A0DA6">
        <w:rPr>
          <w:rFonts w:ascii="Cambria" w:eastAsia="Calibri" w:hAnsi="Cambria" w:cs="Calibri"/>
        </w:rPr>
        <w:t>ir</w:t>
      </w:r>
      <w:r w:rsidRPr="009A0DA6">
        <w:rPr>
          <w:rFonts w:ascii="Cambria" w:eastAsia="Calibri" w:hAnsi="Cambria" w:cs="Calibri"/>
          <w:spacing w:val="-3"/>
        </w:rPr>
        <w:t>e</w:t>
      </w:r>
      <w:r w:rsidRPr="009A0DA6">
        <w:rPr>
          <w:rFonts w:ascii="Cambria" w:eastAsia="Calibri" w:hAnsi="Cambria" w:cs="Calibri"/>
        </w:rPr>
        <w:t>cti</w:t>
      </w:r>
      <w:r w:rsidRPr="009A0DA6">
        <w:rPr>
          <w:rFonts w:ascii="Cambria" w:eastAsia="Calibri" w:hAnsi="Cambria" w:cs="Calibri"/>
          <w:spacing w:val="1"/>
        </w:rPr>
        <w:t>o</w:t>
      </w:r>
      <w:r w:rsidRPr="009A0DA6">
        <w:rPr>
          <w:rFonts w:ascii="Cambria" w:eastAsia="Calibri" w:hAnsi="Cambria" w:cs="Calibri"/>
          <w:spacing w:val="-1"/>
        </w:rPr>
        <w:t>n</w:t>
      </w:r>
      <w:r w:rsidRPr="009A0DA6">
        <w:rPr>
          <w:rFonts w:ascii="Cambria" w:eastAsia="Calibri" w:hAnsi="Cambria" w:cs="Calibri"/>
        </w:rPr>
        <w:t>s</w:t>
      </w:r>
      <w:r w:rsidRPr="009A0DA6">
        <w:rPr>
          <w:rFonts w:ascii="Cambria" w:eastAsia="Calibri" w:hAnsi="Cambria" w:cs="Calibri"/>
          <w:spacing w:val="-2"/>
        </w:rPr>
        <w:t xml:space="preserve"> r</w:t>
      </w:r>
      <w:r w:rsidRPr="009A0DA6">
        <w:rPr>
          <w:rFonts w:ascii="Cambria" w:eastAsia="Calibri" w:hAnsi="Cambria" w:cs="Calibri"/>
        </w:rPr>
        <w:t>ega</w:t>
      </w:r>
      <w:r w:rsidRPr="009A0DA6">
        <w:rPr>
          <w:rFonts w:ascii="Cambria" w:eastAsia="Calibri" w:hAnsi="Cambria" w:cs="Calibri"/>
          <w:spacing w:val="-1"/>
        </w:rPr>
        <w:t>rd</w:t>
      </w:r>
      <w:r w:rsidRPr="009A0DA6">
        <w:rPr>
          <w:rFonts w:ascii="Cambria" w:eastAsia="Calibri" w:hAnsi="Cambria" w:cs="Calibri"/>
        </w:rPr>
        <w:t>i</w:t>
      </w:r>
      <w:r w:rsidRPr="009A0DA6">
        <w:rPr>
          <w:rFonts w:ascii="Cambria" w:eastAsia="Calibri" w:hAnsi="Cambria" w:cs="Calibri"/>
          <w:spacing w:val="-1"/>
        </w:rPr>
        <w:t>n</w:t>
      </w:r>
      <w:r w:rsidRPr="009A0DA6">
        <w:rPr>
          <w:rFonts w:ascii="Cambria" w:eastAsia="Calibri" w:hAnsi="Cambria" w:cs="Calibri"/>
        </w:rPr>
        <w:t>g</w:t>
      </w:r>
      <w:r w:rsidRPr="009A0DA6">
        <w:rPr>
          <w:rFonts w:ascii="Cambria" w:eastAsia="Calibri" w:hAnsi="Cambria" w:cs="Calibri"/>
          <w:spacing w:val="-1"/>
        </w:rPr>
        <w:t xml:space="preserve"> </w:t>
      </w:r>
      <w:r w:rsidRPr="009A0DA6">
        <w:rPr>
          <w:rFonts w:ascii="Cambria" w:eastAsia="Calibri" w:hAnsi="Cambria" w:cs="Calibri"/>
          <w:spacing w:val="1"/>
        </w:rPr>
        <w:t>w</w:t>
      </w:r>
      <w:r w:rsidRPr="009A0DA6">
        <w:rPr>
          <w:rFonts w:ascii="Cambria" w:eastAsia="Calibri" w:hAnsi="Cambria" w:cs="Calibri"/>
          <w:spacing w:val="-1"/>
        </w:rPr>
        <w:t>h</w:t>
      </w:r>
      <w:r w:rsidRPr="009A0DA6">
        <w:rPr>
          <w:rFonts w:ascii="Cambria" w:eastAsia="Calibri" w:hAnsi="Cambria" w:cs="Calibri"/>
        </w:rPr>
        <w:t>o</w:t>
      </w:r>
      <w:r w:rsidRPr="009A0DA6">
        <w:rPr>
          <w:rFonts w:ascii="Cambria" w:eastAsia="Calibri" w:hAnsi="Cambria" w:cs="Calibri"/>
          <w:spacing w:val="1"/>
        </w:rPr>
        <w:t xml:space="preserve"> </w:t>
      </w:r>
      <w:r w:rsidRPr="009A0DA6">
        <w:rPr>
          <w:rFonts w:ascii="Cambria" w:eastAsia="Calibri" w:hAnsi="Cambria" w:cs="Calibri"/>
          <w:spacing w:val="-3"/>
        </w:rPr>
        <w:t>h</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rPr>
        <w:t>wa</w:t>
      </w:r>
      <w:r w:rsidRPr="009A0DA6">
        <w:rPr>
          <w:rFonts w:ascii="Cambria" w:eastAsia="Calibri" w:hAnsi="Cambria" w:cs="Calibri"/>
          <w:spacing w:val="-3"/>
        </w:rPr>
        <w:t>n</w:t>
      </w:r>
      <w:r w:rsidRPr="009A0DA6">
        <w:rPr>
          <w:rFonts w:ascii="Cambria" w:eastAsia="Calibri" w:hAnsi="Cambria" w:cs="Calibri"/>
        </w:rPr>
        <w:t>ts</w:t>
      </w:r>
      <w:r w:rsidRPr="009A0DA6">
        <w:rPr>
          <w:rFonts w:ascii="Cambria" w:eastAsia="Calibri" w:hAnsi="Cambria" w:cs="Calibri"/>
          <w:spacing w:val="1"/>
        </w:rPr>
        <w:t xml:space="preserve"> </w:t>
      </w:r>
      <w:r w:rsidRPr="009A0DA6">
        <w:rPr>
          <w:rFonts w:ascii="Cambria" w:eastAsia="Calibri" w:hAnsi="Cambria" w:cs="Calibri"/>
          <w:spacing w:val="-2"/>
        </w:rPr>
        <w:t>t</w:t>
      </w:r>
      <w:r w:rsidRPr="009A0DA6">
        <w:rPr>
          <w:rFonts w:ascii="Cambria" w:eastAsia="Calibri" w:hAnsi="Cambria" w:cs="Calibri"/>
        </w:rPr>
        <w:t>o</w:t>
      </w:r>
      <w:r w:rsidRPr="009A0DA6">
        <w:rPr>
          <w:rFonts w:ascii="Cambria" w:eastAsia="Calibri" w:hAnsi="Cambria" w:cs="Calibri"/>
          <w:spacing w:val="1"/>
        </w:rPr>
        <w:t xml:space="preserve"> </w:t>
      </w:r>
      <w:r w:rsidRPr="009A0DA6">
        <w:rPr>
          <w:rFonts w:ascii="Cambria" w:eastAsia="Calibri" w:hAnsi="Cambria" w:cs="Calibri"/>
          <w:spacing w:val="-2"/>
        </w:rPr>
        <w:t>l</w:t>
      </w:r>
      <w:r w:rsidRPr="009A0DA6">
        <w:rPr>
          <w:rFonts w:ascii="Cambria" w:eastAsia="Calibri" w:hAnsi="Cambria" w:cs="Calibri"/>
        </w:rPr>
        <w:t>ead this</w:t>
      </w:r>
      <w:r w:rsidRPr="009A0DA6">
        <w:rPr>
          <w:rFonts w:ascii="Cambria" w:eastAsia="Calibri" w:hAnsi="Cambria" w:cs="Calibri"/>
          <w:spacing w:val="-2"/>
        </w:rPr>
        <w:t xml:space="preserve"> </w:t>
      </w:r>
      <w:r w:rsidRPr="009A0DA6">
        <w:rPr>
          <w:rFonts w:ascii="Cambria" w:eastAsia="Calibri" w:hAnsi="Cambria" w:cs="Calibri"/>
          <w:spacing w:val="1"/>
        </w:rPr>
        <w:t>m</w:t>
      </w:r>
      <w:r w:rsidRPr="009A0DA6">
        <w:rPr>
          <w:rFonts w:ascii="Cambria" w:eastAsia="Calibri" w:hAnsi="Cambria" w:cs="Calibri"/>
        </w:rPr>
        <w:t>i</w:t>
      </w:r>
      <w:r w:rsidRPr="009A0DA6">
        <w:rPr>
          <w:rFonts w:ascii="Cambria" w:eastAsia="Calibri" w:hAnsi="Cambria" w:cs="Calibri"/>
          <w:spacing w:val="-1"/>
        </w:rPr>
        <w:t>n</w:t>
      </w:r>
      <w:r w:rsidRPr="009A0DA6">
        <w:rPr>
          <w:rFonts w:ascii="Cambria" w:eastAsia="Calibri" w:hAnsi="Cambria" w:cs="Calibri"/>
        </w:rPr>
        <w:t>ist</w:t>
      </w:r>
      <w:r w:rsidRPr="009A0DA6">
        <w:rPr>
          <w:rFonts w:ascii="Cambria" w:eastAsia="Calibri" w:hAnsi="Cambria" w:cs="Calibri"/>
          <w:spacing w:val="-3"/>
        </w:rPr>
        <w:t>r</w:t>
      </w:r>
      <w:r w:rsidRPr="009A0DA6">
        <w:rPr>
          <w:rFonts w:ascii="Cambria" w:eastAsia="Calibri" w:hAnsi="Cambria" w:cs="Calibri"/>
          <w:spacing w:val="1"/>
        </w:rPr>
        <w:t>y</w:t>
      </w:r>
      <w:r w:rsidRPr="009A0DA6">
        <w:rPr>
          <w:rFonts w:ascii="Cambria" w:eastAsia="Calibri" w:hAnsi="Cambria" w:cs="Calibri"/>
        </w:rPr>
        <w:t>.</w:t>
      </w:r>
      <w:r w:rsidR="00D04794" w:rsidRPr="009A0DA6">
        <w:rPr>
          <w:rFonts w:ascii="Cambria" w:eastAsia="Calibri" w:hAnsi="Cambria" w:cs="Calibri"/>
        </w:rPr>
        <w:br/>
      </w:r>
    </w:p>
    <w:p w14:paraId="626F2C1D" w14:textId="77777777" w:rsidR="00417DA5" w:rsidRPr="00892E6E" w:rsidRDefault="00417DA5" w:rsidP="00417DA5">
      <w:pPr>
        <w:pStyle w:val="ListParagraph"/>
        <w:tabs>
          <w:tab w:val="left" w:pos="1134"/>
        </w:tabs>
        <w:spacing w:before="62" w:after="0" w:line="254" w:lineRule="auto"/>
        <w:ind w:left="1134" w:right="62"/>
        <w:rPr>
          <w:rFonts w:ascii="Cambria" w:eastAsia="Calibri" w:hAnsi="Cambria" w:cs="Calibri"/>
          <w:sz w:val="6"/>
        </w:rPr>
      </w:pPr>
    </w:p>
    <w:p w14:paraId="2E998384" w14:textId="77777777" w:rsidR="0001243B" w:rsidRPr="009A0DA6" w:rsidRDefault="0001243B" w:rsidP="00964A90">
      <w:pPr>
        <w:pStyle w:val="Heading3"/>
      </w:pPr>
      <w:r w:rsidRPr="009A0DA6">
        <w:t>agenda 2.3.3</w:t>
      </w:r>
    </w:p>
    <w:p w14:paraId="5257235D" w14:textId="69DD0AA5" w:rsidR="0001243B" w:rsidRPr="009A0DA6" w:rsidRDefault="00201F24" w:rsidP="005D571C">
      <w:pPr>
        <w:pStyle w:val="Heading2"/>
      </w:pPr>
      <w:r>
        <w:t>The theological basis for why the ordination of women and men need not be divisive</w:t>
      </w:r>
    </w:p>
    <w:p w14:paraId="50490F62" w14:textId="77777777" w:rsidR="00507840" w:rsidRDefault="00507840" w:rsidP="00507840">
      <w:pPr>
        <w:pStyle w:val="NoSpacing"/>
      </w:pPr>
    </w:p>
    <w:p w14:paraId="1DE0024A" w14:textId="31FDA95D" w:rsidR="00507840" w:rsidRDefault="00507840" w:rsidP="00507840">
      <w:pPr>
        <w:pStyle w:val="NoSpacing"/>
      </w:pPr>
      <w:r>
        <w:t>(See also Agenda 2.2.3, 2.3.1, 2.3.2, 2.3.4 and 2.3.5</w:t>
      </w:r>
      <w:r w:rsidR="00222A88">
        <w:t xml:space="preserve">, and General Pastors Conference Advice </w:t>
      </w:r>
      <w:r w:rsidR="00222A88" w:rsidRPr="00CF5733">
        <w:t>(</w:t>
      </w:r>
      <w:r w:rsidR="00222A88">
        <w:t xml:space="preserve">Agenda </w:t>
      </w:r>
      <w:r w:rsidR="00222A88" w:rsidRPr="00CF5733">
        <w:t>2.1.3), which advises that this proposal should be discussed with Ordination of Both Women and Men proposal/s.</w:t>
      </w:r>
      <w:r>
        <w:t>)</w:t>
      </w:r>
    </w:p>
    <w:p w14:paraId="7CDF8DFF" w14:textId="77777777" w:rsidR="00F1055F" w:rsidRPr="00892E6E" w:rsidRDefault="00F1055F" w:rsidP="00F1055F">
      <w:pPr>
        <w:pStyle w:val="NoSpacing"/>
        <w:rPr>
          <w:sz w:val="10"/>
        </w:rPr>
      </w:pPr>
    </w:p>
    <w:p w14:paraId="0508B689" w14:textId="17885008" w:rsidR="0037789C" w:rsidRPr="009A0DA6" w:rsidRDefault="00417DA5" w:rsidP="00964A90">
      <w:pPr>
        <w:pStyle w:val="Heading3"/>
      </w:pPr>
      <w:r w:rsidRPr="009A0DA6">
        <w:t>proposed motion</w:t>
      </w:r>
    </w:p>
    <w:p w14:paraId="3A4F55A6" w14:textId="16EAA52A" w:rsidR="0037789C" w:rsidRPr="009A0DA6" w:rsidRDefault="0037789C" w:rsidP="0037789C">
      <w:pPr>
        <w:pStyle w:val="NoSpacing"/>
        <w:rPr>
          <w:i/>
        </w:rPr>
      </w:pPr>
      <w:r w:rsidRPr="009A0DA6">
        <w:rPr>
          <w:i/>
        </w:rPr>
        <w:t>Submitted by Redeemer Lutheran Congregation, Toowoomba</w:t>
      </w:r>
      <w:r w:rsidR="00BB5587" w:rsidRPr="009A0DA6">
        <w:rPr>
          <w:i/>
        </w:rPr>
        <w:t xml:space="preserve"> Qld</w:t>
      </w:r>
    </w:p>
    <w:p w14:paraId="10959DC5" w14:textId="77777777" w:rsidR="0001243B" w:rsidRPr="00892E6E" w:rsidRDefault="0001243B" w:rsidP="0001243B">
      <w:pPr>
        <w:pStyle w:val="NoSpacing"/>
        <w:rPr>
          <w:sz w:val="16"/>
        </w:rPr>
      </w:pPr>
    </w:p>
    <w:p w14:paraId="45EB6E1E" w14:textId="677A4D2A" w:rsidR="00417DA5" w:rsidRPr="009A0DA6" w:rsidRDefault="00417DA5" w:rsidP="00417DA5">
      <w:pPr>
        <w:spacing w:after="120" w:line="240" w:lineRule="auto"/>
        <w:ind w:right="497"/>
        <w:rPr>
          <w:rFonts w:ascii="Cambria" w:eastAsia="Calibri" w:hAnsi="Cambria" w:cs="Calibri"/>
        </w:rPr>
      </w:pPr>
      <w:r w:rsidRPr="009A0DA6">
        <w:rPr>
          <w:rFonts w:ascii="Cambria" w:hAnsi="Cambria"/>
          <w:b/>
          <w:bCs/>
          <w:lang w:eastAsia="en-AU"/>
        </w:rPr>
        <w:t xml:space="preserve">BE IT RESOLVED </w:t>
      </w:r>
      <w:r w:rsidRPr="009A0DA6">
        <w:rPr>
          <w:rFonts w:ascii="Cambria" w:eastAsia="Calibri" w:hAnsi="Cambria" w:cs="Calibri"/>
          <w:position w:val="1"/>
        </w:rPr>
        <w:t xml:space="preserve">that </w:t>
      </w:r>
      <w:r w:rsidRPr="009A0DA6">
        <w:rPr>
          <w:rFonts w:ascii="Cambria" w:eastAsia="Calibri" w:hAnsi="Cambria" w:cs="Calibri"/>
          <w:spacing w:val="1"/>
          <w:position w:val="1"/>
        </w:rPr>
        <w:t>t</w:t>
      </w:r>
      <w:r w:rsidRPr="009A0DA6">
        <w:rPr>
          <w:rFonts w:ascii="Cambria" w:eastAsia="Calibri" w:hAnsi="Cambria" w:cs="Calibri"/>
          <w:spacing w:val="-1"/>
          <w:position w:val="1"/>
        </w:rPr>
        <w:t>h</w:t>
      </w:r>
      <w:r w:rsidRPr="009A0DA6">
        <w:rPr>
          <w:rFonts w:ascii="Cambria" w:eastAsia="Calibri" w:hAnsi="Cambria" w:cs="Calibri"/>
          <w:position w:val="1"/>
        </w:rPr>
        <w:t>e</w:t>
      </w:r>
      <w:r w:rsidRPr="009A0DA6">
        <w:rPr>
          <w:rFonts w:ascii="Cambria" w:eastAsia="Calibri" w:hAnsi="Cambria" w:cs="Calibri"/>
          <w:spacing w:val="-2"/>
          <w:position w:val="1"/>
        </w:rPr>
        <w:t xml:space="preserve"> </w:t>
      </w:r>
      <w:r w:rsidRPr="009A0DA6">
        <w:rPr>
          <w:rFonts w:ascii="Cambria" w:eastAsia="Calibri" w:hAnsi="Cambria" w:cs="Calibri"/>
          <w:position w:val="1"/>
        </w:rPr>
        <w:t>Sy</w:t>
      </w:r>
      <w:r w:rsidRPr="009A0DA6">
        <w:rPr>
          <w:rFonts w:ascii="Cambria" w:eastAsia="Calibri" w:hAnsi="Cambria" w:cs="Calibri"/>
          <w:spacing w:val="-1"/>
          <w:position w:val="1"/>
        </w:rPr>
        <w:t>n</w:t>
      </w:r>
      <w:r w:rsidRPr="009A0DA6">
        <w:rPr>
          <w:rFonts w:ascii="Cambria" w:eastAsia="Calibri" w:hAnsi="Cambria" w:cs="Calibri"/>
          <w:spacing w:val="1"/>
          <w:position w:val="1"/>
        </w:rPr>
        <w:t>o</w:t>
      </w:r>
      <w:r w:rsidRPr="009A0DA6">
        <w:rPr>
          <w:rFonts w:ascii="Cambria" w:eastAsia="Calibri" w:hAnsi="Cambria" w:cs="Calibri"/>
          <w:position w:val="1"/>
        </w:rPr>
        <w:t>d</w:t>
      </w:r>
      <w:r w:rsidRPr="009A0DA6">
        <w:rPr>
          <w:rFonts w:ascii="Cambria" w:eastAsia="Calibri" w:hAnsi="Cambria" w:cs="Calibri"/>
          <w:spacing w:val="-3"/>
          <w:position w:val="1"/>
        </w:rPr>
        <w:t xml:space="preserve"> </w:t>
      </w:r>
      <w:r w:rsidRPr="009A0DA6">
        <w:rPr>
          <w:rFonts w:ascii="Cambria" w:eastAsia="Calibri" w:hAnsi="Cambria" w:cs="Calibri"/>
          <w:position w:val="1"/>
        </w:rPr>
        <w:t>n</w:t>
      </w:r>
      <w:r w:rsidRPr="009A0DA6">
        <w:rPr>
          <w:rFonts w:ascii="Cambria" w:eastAsia="Calibri" w:hAnsi="Cambria" w:cs="Calibri"/>
          <w:spacing w:val="1"/>
          <w:position w:val="1"/>
        </w:rPr>
        <w:t>o</w:t>
      </w:r>
      <w:r w:rsidRPr="009A0DA6">
        <w:rPr>
          <w:rFonts w:ascii="Cambria" w:eastAsia="Calibri" w:hAnsi="Cambria" w:cs="Calibri"/>
          <w:position w:val="1"/>
        </w:rPr>
        <w:t>t</w:t>
      </w:r>
      <w:r w:rsidRPr="009A0DA6">
        <w:rPr>
          <w:rFonts w:ascii="Cambria" w:eastAsia="Calibri" w:hAnsi="Cambria" w:cs="Calibri"/>
          <w:spacing w:val="-2"/>
          <w:position w:val="1"/>
        </w:rPr>
        <w:t xml:space="preserve"> </w:t>
      </w:r>
      <w:r w:rsidRPr="009A0DA6">
        <w:rPr>
          <w:rFonts w:ascii="Cambria" w:eastAsia="Calibri" w:hAnsi="Cambria" w:cs="Calibri"/>
          <w:spacing w:val="1"/>
          <w:position w:val="1"/>
        </w:rPr>
        <w:t>e</w:t>
      </w:r>
      <w:r w:rsidRPr="009A0DA6">
        <w:rPr>
          <w:rFonts w:ascii="Cambria" w:eastAsia="Calibri" w:hAnsi="Cambria" w:cs="Calibri"/>
          <w:spacing w:val="-1"/>
          <w:position w:val="1"/>
        </w:rPr>
        <w:t>nd</w:t>
      </w:r>
      <w:r w:rsidRPr="009A0DA6">
        <w:rPr>
          <w:rFonts w:ascii="Cambria" w:eastAsia="Calibri" w:hAnsi="Cambria" w:cs="Calibri"/>
          <w:spacing w:val="1"/>
          <w:position w:val="1"/>
        </w:rPr>
        <w:t>o</w:t>
      </w:r>
      <w:r w:rsidRPr="009A0DA6">
        <w:rPr>
          <w:rFonts w:ascii="Cambria" w:eastAsia="Calibri" w:hAnsi="Cambria" w:cs="Calibri"/>
          <w:spacing w:val="-3"/>
          <w:position w:val="1"/>
        </w:rPr>
        <w:t>r</w:t>
      </w:r>
      <w:r w:rsidRPr="009A0DA6">
        <w:rPr>
          <w:rFonts w:ascii="Cambria" w:eastAsia="Calibri" w:hAnsi="Cambria" w:cs="Calibri"/>
          <w:spacing w:val="-2"/>
          <w:position w:val="1"/>
        </w:rPr>
        <w:t>s</w:t>
      </w:r>
      <w:r w:rsidRPr="009A0DA6">
        <w:rPr>
          <w:rFonts w:ascii="Cambria" w:eastAsia="Calibri" w:hAnsi="Cambria" w:cs="Calibri"/>
          <w:position w:val="1"/>
        </w:rPr>
        <w:t>e</w:t>
      </w:r>
      <w:r w:rsidRPr="009A0DA6">
        <w:rPr>
          <w:rFonts w:ascii="Cambria" w:eastAsia="Calibri" w:hAnsi="Cambria" w:cs="Calibri"/>
          <w:spacing w:val="1"/>
          <w:position w:val="1"/>
        </w:rPr>
        <w:t xml:space="preserve"> </w:t>
      </w:r>
      <w:r w:rsidRPr="009A0DA6">
        <w:rPr>
          <w:rFonts w:ascii="Cambria" w:eastAsia="Calibri" w:hAnsi="Cambria" w:cs="Calibri"/>
          <w:position w:val="1"/>
        </w:rPr>
        <w:t>the</w:t>
      </w:r>
      <w:r w:rsidRPr="009A0DA6">
        <w:rPr>
          <w:rFonts w:ascii="Cambria" w:eastAsia="Calibri" w:hAnsi="Cambria" w:cs="Calibri"/>
          <w:spacing w:val="-2"/>
          <w:position w:val="1"/>
        </w:rPr>
        <w:t xml:space="preserve"> </w:t>
      </w:r>
      <w:r w:rsidRPr="009A0DA6">
        <w:rPr>
          <w:rFonts w:ascii="Cambria" w:eastAsia="Calibri" w:hAnsi="Cambria" w:cs="Calibri"/>
          <w:position w:val="1"/>
        </w:rPr>
        <w:t>CTICR pa</w:t>
      </w:r>
      <w:r w:rsidRPr="009A0DA6">
        <w:rPr>
          <w:rFonts w:ascii="Cambria" w:eastAsia="Calibri" w:hAnsi="Cambria" w:cs="Calibri"/>
          <w:spacing w:val="-4"/>
          <w:position w:val="1"/>
        </w:rPr>
        <w:t>p</w:t>
      </w:r>
      <w:r w:rsidRPr="009A0DA6">
        <w:rPr>
          <w:rFonts w:ascii="Cambria" w:eastAsia="Calibri" w:hAnsi="Cambria" w:cs="Calibri"/>
          <w:position w:val="1"/>
        </w:rPr>
        <w:t>er</w:t>
      </w:r>
      <w:r w:rsidRPr="009A0DA6">
        <w:rPr>
          <w:rFonts w:ascii="Cambria" w:eastAsia="Calibri" w:hAnsi="Cambria" w:cs="Calibri"/>
          <w:spacing w:val="3"/>
          <w:position w:val="1"/>
        </w:rPr>
        <w:t xml:space="preserve"> </w:t>
      </w:r>
      <w:r w:rsidRPr="009A0DA6">
        <w:rPr>
          <w:rFonts w:ascii="Cambria" w:eastAsia="Calibri" w:hAnsi="Cambria" w:cs="Calibri"/>
          <w:i/>
          <w:position w:val="1"/>
        </w:rPr>
        <w:t>A T</w:t>
      </w:r>
      <w:r w:rsidRPr="009A0DA6">
        <w:rPr>
          <w:rFonts w:ascii="Cambria" w:eastAsia="Calibri" w:hAnsi="Cambria" w:cs="Calibri"/>
          <w:i/>
          <w:spacing w:val="-3"/>
          <w:position w:val="1"/>
        </w:rPr>
        <w:t>h</w:t>
      </w:r>
      <w:r w:rsidRPr="009A0DA6">
        <w:rPr>
          <w:rFonts w:ascii="Cambria" w:eastAsia="Calibri" w:hAnsi="Cambria" w:cs="Calibri"/>
          <w:i/>
          <w:position w:val="1"/>
        </w:rPr>
        <w:t>eo</w:t>
      </w:r>
      <w:r w:rsidRPr="009A0DA6">
        <w:rPr>
          <w:rFonts w:ascii="Cambria" w:eastAsia="Calibri" w:hAnsi="Cambria" w:cs="Calibri"/>
          <w:i/>
          <w:spacing w:val="-1"/>
          <w:position w:val="1"/>
        </w:rPr>
        <w:t>l</w:t>
      </w:r>
      <w:r w:rsidRPr="009A0DA6">
        <w:rPr>
          <w:rFonts w:ascii="Cambria" w:eastAsia="Calibri" w:hAnsi="Cambria" w:cs="Calibri"/>
          <w:i/>
          <w:position w:val="1"/>
        </w:rPr>
        <w:t>o</w:t>
      </w:r>
      <w:r w:rsidRPr="009A0DA6">
        <w:rPr>
          <w:rFonts w:ascii="Cambria" w:eastAsia="Calibri" w:hAnsi="Cambria" w:cs="Calibri"/>
          <w:i/>
          <w:spacing w:val="-1"/>
          <w:position w:val="1"/>
        </w:rPr>
        <w:t>g</w:t>
      </w:r>
      <w:r w:rsidRPr="009A0DA6">
        <w:rPr>
          <w:rFonts w:ascii="Cambria" w:eastAsia="Calibri" w:hAnsi="Cambria" w:cs="Calibri"/>
          <w:i/>
          <w:position w:val="1"/>
        </w:rPr>
        <w:t>i</w:t>
      </w:r>
      <w:r w:rsidRPr="009A0DA6">
        <w:rPr>
          <w:rFonts w:ascii="Cambria" w:eastAsia="Calibri" w:hAnsi="Cambria" w:cs="Calibri"/>
          <w:i/>
          <w:spacing w:val="-1"/>
          <w:position w:val="1"/>
        </w:rPr>
        <w:t>ca</w:t>
      </w:r>
      <w:r w:rsidRPr="009A0DA6">
        <w:rPr>
          <w:rFonts w:ascii="Cambria" w:eastAsia="Calibri" w:hAnsi="Cambria" w:cs="Calibri"/>
          <w:i/>
          <w:position w:val="1"/>
        </w:rPr>
        <w:t>l B</w:t>
      </w:r>
      <w:r w:rsidRPr="009A0DA6">
        <w:rPr>
          <w:rFonts w:ascii="Cambria" w:eastAsia="Calibri" w:hAnsi="Cambria" w:cs="Calibri"/>
          <w:i/>
          <w:spacing w:val="-1"/>
          <w:position w:val="1"/>
        </w:rPr>
        <w:t>a</w:t>
      </w:r>
      <w:r w:rsidRPr="009A0DA6">
        <w:rPr>
          <w:rFonts w:ascii="Cambria" w:eastAsia="Calibri" w:hAnsi="Cambria" w:cs="Calibri"/>
          <w:i/>
          <w:position w:val="1"/>
        </w:rPr>
        <w:t>sis</w:t>
      </w:r>
      <w:r w:rsidRPr="009A0DA6">
        <w:rPr>
          <w:rFonts w:ascii="Cambria" w:eastAsia="Calibri" w:hAnsi="Cambria" w:cs="Calibri"/>
          <w:i/>
          <w:spacing w:val="1"/>
          <w:position w:val="1"/>
        </w:rPr>
        <w:t xml:space="preserve"> </w:t>
      </w:r>
      <w:r w:rsidRPr="009A0DA6">
        <w:rPr>
          <w:rFonts w:ascii="Cambria" w:eastAsia="Calibri" w:hAnsi="Cambria" w:cs="Calibri"/>
          <w:i/>
          <w:position w:val="1"/>
        </w:rPr>
        <w:t>for</w:t>
      </w:r>
      <w:r w:rsidRPr="009A0DA6">
        <w:rPr>
          <w:rFonts w:ascii="Cambria" w:eastAsia="Calibri" w:hAnsi="Cambria" w:cs="Calibri"/>
          <w:i/>
          <w:spacing w:val="-2"/>
          <w:position w:val="1"/>
        </w:rPr>
        <w:t xml:space="preserve"> </w:t>
      </w:r>
      <w:r w:rsidRPr="009A0DA6">
        <w:rPr>
          <w:rFonts w:ascii="Cambria" w:eastAsia="Calibri" w:hAnsi="Cambria" w:cs="Calibri"/>
          <w:i/>
          <w:spacing w:val="1"/>
          <w:position w:val="1"/>
        </w:rPr>
        <w:t>w</w:t>
      </w:r>
      <w:r w:rsidRPr="009A0DA6">
        <w:rPr>
          <w:rFonts w:ascii="Cambria" w:eastAsia="Calibri" w:hAnsi="Cambria" w:cs="Calibri"/>
          <w:i/>
          <w:spacing w:val="-1"/>
          <w:position w:val="1"/>
        </w:rPr>
        <w:t>h</w:t>
      </w:r>
      <w:r w:rsidR="007365CB" w:rsidRPr="009A0DA6">
        <w:rPr>
          <w:rFonts w:ascii="Cambria" w:eastAsia="Calibri" w:hAnsi="Cambria" w:cs="Calibri"/>
          <w:i/>
          <w:position w:val="1"/>
        </w:rPr>
        <w:t>y the O</w:t>
      </w:r>
      <w:r w:rsidRPr="009A0DA6">
        <w:rPr>
          <w:rFonts w:ascii="Cambria" w:eastAsia="Calibri" w:hAnsi="Cambria" w:cs="Calibri"/>
          <w:i/>
          <w:spacing w:val="1"/>
          <w:position w:val="1"/>
        </w:rPr>
        <w:t>r</w:t>
      </w:r>
      <w:r w:rsidRPr="009A0DA6">
        <w:rPr>
          <w:rFonts w:ascii="Cambria" w:eastAsia="Calibri" w:hAnsi="Cambria" w:cs="Calibri"/>
          <w:i/>
          <w:spacing w:val="-1"/>
          <w:position w:val="1"/>
        </w:rPr>
        <w:t>d</w:t>
      </w:r>
      <w:r w:rsidRPr="009A0DA6">
        <w:rPr>
          <w:rFonts w:ascii="Cambria" w:eastAsia="Calibri" w:hAnsi="Cambria" w:cs="Calibri"/>
          <w:i/>
          <w:spacing w:val="-3"/>
          <w:position w:val="1"/>
        </w:rPr>
        <w:t>i</w:t>
      </w:r>
      <w:r w:rsidRPr="009A0DA6">
        <w:rPr>
          <w:rFonts w:ascii="Cambria" w:eastAsia="Calibri" w:hAnsi="Cambria" w:cs="Calibri"/>
          <w:i/>
          <w:spacing w:val="-1"/>
          <w:position w:val="1"/>
        </w:rPr>
        <w:t>na</w:t>
      </w:r>
      <w:r w:rsidRPr="009A0DA6">
        <w:rPr>
          <w:rFonts w:ascii="Cambria" w:eastAsia="Calibri" w:hAnsi="Cambria" w:cs="Calibri"/>
          <w:i/>
          <w:position w:val="1"/>
        </w:rPr>
        <w:t>tion</w:t>
      </w:r>
      <w:r w:rsidRPr="009A0DA6">
        <w:rPr>
          <w:rFonts w:ascii="Cambria" w:eastAsia="Calibri" w:hAnsi="Cambria" w:cs="Calibri"/>
          <w:i/>
          <w:spacing w:val="-1"/>
          <w:position w:val="1"/>
        </w:rPr>
        <w:t xml:space="preserve"> </w:t>
      </w:r>
      <w:r w:rsidRPr="009A0DA6">
        <w:rPr>
          <w:rFonts w:ascii="Cambria" w:eastAsia="Calibri" w:hAnsi="Cambria" w:cs="Calibri"/>
          <w:i/>
          <w:position w:val="1"/>
        </w:rPr>
        <w:t xml:space="preserve">of </w:t>
      </w:r>
      <w:r w:rsidR="007365CB" w:rsidRPr="009A0DA6">
        <w:rPr>
          <w:rFonts w:ascii="Cambria" w:eastAsia="Calibri" w:hAnsi="Cambria" w:cs="Calibri"/>
          <w:i/>
          <w:spacing w:val="1"/>
          <w:position w:val="1"/>
        </w:rPr>
        <w:t>Wo</w:t>
      </w:r>
      <w:r w:rsidRPr="009A0DA6">
        <w:rPr>
          <w:rFonts w:ascii="Cambria" w:eastAsia="Calibri" w:hAnsi="Cambria" w:cs="Calibri"/>
          <w:i/>
          <w:position w:val="1"/>
        </w:rPr>
        <w:t>men</w:t>
      </w:r>
      <w:r w:rsidRPr="009A0DA6">
        <w:rPr>
          <w:rFonts w:ascii="Cambria" w:eastAsia="Calibri" w:hAnsi="Cambria" w:cs="Calibri"/>
          <w:i/>
          <w:spacing w:val="-3"/>
          <w:position w:val="1"/>
        </w:rPr>
        <w:t xml:space="preserve"> </w:t>
      </w:r>
      <w:r w:rsidRPr="009A0DA6">
        <w:rPr>
          <w:rFonts w:ascii="Cambria" w:eastAsia="Calibri" w:hAnsi="Cambria" w:cs="Calibri"/>
          <w:i/>
          <w:position w:val="1"/>
        </w:rPr>
        <w:t>a</w:t>
      </w:r>
      <w:r w:rsidRPr="009A0DA6">
        <w:rPr>
          <w:rFonts w:ascii="Cambria" w:eastAsia="Calibri" w:hAnsi="Cambria" w:cs="Calibri"/>
          <w:i/>
          <w:spacing w:val="-1"/>
          <w:position w:val="1"/>
        </w:rPr>
        <w:t>n</w:t>
      </w:r>
      <w:r w:rsidRPr="009A0DA6">
        <w:rPr>
          <w:rFonts w:ascii="Cambria" w:eastAsia="Calibri" w:hAnsi="Cambria" w:cs="Calibri"/>
          <w:i/>
          <w:position w:val="1"/>
        </w:rPr>
        <w:t>d</w:t>
      </w:r>
      <w:r w:rsidRPr="009A0DA6">
        <w:rPr>
          <w:rFonts w:ascii="Cambria" w:eastAsia="Calibri" w:hAnsi="Cambria" w:cs="Calibri"/>
          <w:i/>
          <w:spacing w:val="-1"/>
          <w:position w:val="1"/>
        </w:rPr>
        <w:t xml:space="preserve"> </w:t>
      </w:r>
      <w:r w:rsidR="007365CB" w:rsidRPr="009A0DA6">
        <w:rPr>
          <w:rFonts w:ascii="Cambria" w:eastAsia="Calibri" w:hAnsi="Cambria" w:cs="Calibri"/>
          <w:i/>
          <w:spacing w:val="1"/>
          <w:position w:val="1"/>
        </w:rPr>
        <w:t>M</w:t>
      </w:r>
      <w:r w:rsidRPr="009A0DA6">
        <w:rPr>
          <w:rFonts w:ascii="Cambria" w:eastAsia="Calibri" w:hAnsi="Cambria" w:cs="Calibri"/>
          <w:i/>
          <w:position w:val="1"/>
        </w:rPr>
        <w:t>en</w:t>
      </w:r>
      <w:r w:rsidRPr="009A0DA6">
        <w:rPr>
          <w:rFonts w:ascii="Cambria" w:eastAsia="Calibri" w:hAnsi="Cambria" w:cs="Calibri"/>
          <w:i/>
          <w:spacing w:val="-2"/>
          <w:position w:val="1"/>
        </w:rPr>
        <w:t xml:space="preserve"> </w:t>
      </w:r>
      <w:r w:rsidRPr="009A0DA6">
        <w:rPr>
          <w:rFonts w:ascii="Cambria" w:eastAsia="Calibri" w:hAnsi="Cambria" w:cs="Calibri"/>
          <w:i/>
          <w:spacing w:val="-1"/>
          <w:position w:val="1"/>
        </w:rPr>
        <w:t>n</w:t>
      </w:r>
      <w:r w:rsidRPr="009A0DA6">
        <w:rPr>
          <w:rFonts w:ascii="Cambria" w:eastAsia="Calibri" w:hAnsi="Cambria" w:cs="Calibri"/>
          <w:i/>
          <w:position w:val="1"/>
        </w:rPr>
        <w:t xml:space="preserve">eed </w:t>
      </w:r>
      <w:r w:rsidRPr="009A0DA6">
        <w:rPr>
          <w:rFonts w:ascii="Cambria" w:eastAsia="Calibri" w:hAnsi="Cambria" w:cs="Calibri"/>
          <w:i/>
          <w:spacing w:val="-1"/>
          <w:position w:val="1"/>
        </w:rPr>
        <w:t>n</w:t>
      </w:r>
      <w:r w:rsidRPr="009A0DA6">
        <w:rPr>
          <w:rFonts w:ascii="Cambria" w:eastAsia="Calibri" w:hAnsi="Cambria" w:cs="Calibri"/>
          <w:i/>
          <w:position w:val="1"/>
        </w:rPr>
        <w:t>ot</w:t>
      </w:r>
      <w:r w:rsidRPr="009A0DA6">
        <w:rPr>
          <w:rFonts w:ascii="Cambria" w:eastAsia="Calibri" w:hAnsi="Cambria" w:cs="Calibri"/>
        </w:rPr>
        <w:t xml:space="preserve"> </w:t>
      </w:r>
      <w:r w:rsidRPr="009A0DA6">
        <w:rPr>
          <w:rFonts w:ascii="Cambria" w:eastAsia="Calibri" w:hAnsi="Cambria" w:cs="Calibri"/>
          <w:i/>
          <w:spacing w:val="-1"/>
        </w:rPr>
        <w:t>b</w:t>
      </w:r>
      <w:r w:rsidRPr="009A0DA6">
        <w:rPr>
          <w:rFonts w:ascii="Cambria" w:eastAsia="Calibri" w:hAnsi="Cambria" w:cs="Calibri"/>
          <w:i/>
        </w:rPr>
        <w:t xml:space="preserve">e </w:t>
      </w:r>
      <w:r w:rsidR="007365CB" w:rsidRPr="009A0DA6">
        <w:rPr>
          <w:rFonts w:ascii="Cambria" w:eastAsia="Calibri" w:hAnsi="Cambria" w:cs="Calibri"/>
          <w:i/>
        </w:rPr>
        <w:t>Ch</w:t>
      </w:r>
      <w:r w:rsidR="00DB2C41" w:rsidRPr="009A0DA6">
        <w:rPr>
          <w:rFonts w:ascii="Cambria" w:eastAsia="Calibri" w:hAnsi="Cambria" w:cs="Calibri"/>
          <w:i/>
        </w:rPr>
        <w:t>urch</w:t>
      </w:r>
      <w:r w:rsidRPr="009A0DA6">
        <w:rPr>
          <w:rFonts w:ascii="Cambria" w:eastAsia="Calibri" w:hAnsi="Cambria" w:cs="Calibri"/>
          <w:i/>
          <w:spacing w:val="-1"/>
        </w:rPr>
        <w:t xml:space="preserve"> </w:t>
      </w:r>
      <w:r w:rsidR="007365CB" w:rsidRPr="009A0DA6">
        <w:rPr>
          <w:rFonts w:ascii="Cambria" w:eastAsia="Calibri" w:hAnsi="Cambria" w:cs="Calibri"/>
          <w:i/>
        </w:rPr>
        <w:t>Di</w:t>
      </w:r>
      <w:r w:rsidRPr="009A0DA6">
        <w:rPr>
          <w:rFonts w:ascii="Cambria" w:eastAsia="Calibri" w:hAnsi="Cambria" w:cs="Calibri"/>
          <w:i/>
        </w:rPr>
        <w:t>v</w:t>
      </w:r>
      <w:r w:rsidRPr="009A0DA6">
        <w:rPr>
          <w:rFonts w:ascii="Cambria" w:eastAsia="Calibri" w:hAnsi="Cambria" w:cs="Calibri"/>
          <w:i/>
          <w:spacing w:val="-1"/>
        </w:rPr>
        <w:t>i</w:t>
      </w:r>
      <w:r w:rsidRPr="009A0DA6">
        <w:rPr>
          <w:rFonts w:ascii="Cambria" w:eastAsia="Calibri" w:hAnsi="Cambria" w:cs="Calibri"/>
          <w:i/>
        </w:rPr>
        <w:t>siv</w:t>
      </w:r>
      <w:r w:rsidRPr="009A0DA6">
        <w:rPr>
          <w:rFonts w:ascii="Cambria" w:eastAsia="Calibri" w:hAnsi="Cambria" w:cs="Calibri"/>
          <w:i/>
          <w:spacing w:val="1"/>
        </w:rPr>
        <w:t>e</w:t>
      </w:r>
      <w:r w:rsidRPr="009A0DA6">
        <w:rPr>
          <w:rFonts w:ascii="Cambria" w:eastAsia="Calibri" w:hAnsi="Cambria" w:cs="Calibri"/>
        </w:rPr>
        <w:t>,</w:t>
      </w:r>
      <w:r w:rsidRPr="009A0DA6">
        <w:rPr>
          <w:rFonts w:ascii="Cambria" w:eastAsia="Calibri" w:hAnsi="Cambria" w:cs="Calibri"/>
          <w:spacing w:val="-2"/>
        </w:rPr>
        <w:t xml:space="preserve"> </w:t>
      </w:r>
      <w:r w:rsidRPr="009A0DA6">
        <w:rPr>
          <w:rFonts w:ascii="Cambria" w:eastAsia="Calibri" w:hAnsi="Cambria" w:cs="Calibri"/>
        </w:rPr>
        <w:t>since</w:t>
      </w:r>
      <w:r w:rsidRPr="009A0DA6">
        <w:rPr>
          <w:rFonts w:ascii="Cambria" w:eastAsia="Calibri" w:hAnsi="Cambria" w:cs="Calibri"/>
          <w:spacing w:val="-2"/>
        </w:rPr>
        <w:t xml:space="preserve"> </w:t>
      </w:r>
      <w:r w:rsidRPr="009A0DA6">
        <w:rPr>
          <w:rFonts w:ascii="Cambria" w:eastAsia="Calibri" w:hAnsi="Cambria" w:cs="Calibri"/>
        </w:rPr>
        <w:t>it</w:t>
      </w:r>
      <w:r w:rsidRPr="009A0DA6">
        <w:rPr>
          <w:rFonts w:ascii="Cambria" w:eastAsia="Calibri" w:hAnsi="Cambria" w:cs="Calibri"/>
          <w:spacing w:val="1"/>
        </w:rPr>
        <w:t xml:space="preserve"> </w:t>
      </w:r>
      <w:r w:rsidRPr="009A0DA6">
        <w:rPr>
          <w:rFonts w:ascii="Cambria" w:eastAsia="Calibri" w:hAnsi="Cambria" w:cs="Calibri"/>
          <w:spacing w:val="-3"/>
        </w:rPr>
        <w:t>f</w:t>
      </w:r>
      <w:r w:rsidRPr="009A0DA6">
        <w:rPr>
          <w:rFonts w:ascii="Cambria" w:eastAsia="Calibri" w:hAnsi="Cambria" w:cs="Calibri"/>
        </w:rPr>
        <w:t>ai</w:t>
      </w:r>
      <w:r w:rsidRPr="009A0DA6">
        <w:rPr>
          <w:rFonts w:ascii="Cambria" w:eastAsia="Calibri" w:hAnsi="Cambria" w:cs="Calibri"/>
          <w:spacing w:val="-1"/>
        </w:rPr>
        <w:t>l</w:t>
      </w:r>
      <w:r w:rsidRPr="009A0DA6">
        <w:rPr>
          <w:rFonts w:ascii="Cambria" w:eastAsia="Calibri" w:hAnsi="Cambria" w:cs="Calibri"/>
        </w:rPr>
        <w:t xml:space="preserve">s </w:t>
      </w:r>
      <w:r w:rsidRPr="009A0DA6">
        <w:rPr>
          <w:rFonts w:ascii="Cambria" w:eastAsia="Calibri" w:hAnsi="Cambria" w:cs="Calibri"/>
          <w:spacing w:val="1"/>
        </w:rPr>
        <w:t>t</w:t>
      </w:r>
      <w:r w:rsidRPr="009A0DA6">
        <w:rPr>
          <w:rFonts w:ascii="Cambria" w:eastAsia="Calibri" w:hAnsi="Cambria" w:cs="Calibri"/>
        </w:rPr>
        <w:t>o</w:t>
      </w:r>
      <w:r w:rsidRPr="009A0DA6">
        <w:rPr>
          <w:rFonts w:ascii="Cambria" w:eastAsia="Calibri" w:hAnsi="Cambria" w:cs="Calibri"/>
          <w:spacing w:val="-1"/>
        </w:rPr>
        <w:t xml:space="preserve"> </w:t>
      </w:r>
      <w:r w:rsidRPr="009A0DA6">
        <w:rPr>
          <w:rFonts w:ascii="Cambria" w:eastAsia="Calibri" w:hAnsi="Cambria" w:cs="Calibri"/>
        </w:rPr>
        <w:t>ade</w:t>
      </w:r>
      <w:r w:rsidRPr="009A0DA6">
        <w:rPr>
          <w:rFonts w:ascii="Cambria" w:eastAsia="Calibri" w:hAnsi="Cambria" w:cs="Calibri"/>
          <w:spacing w:val="-1"/>
        </w:rPr>
        <w:t>qu</w:t>
      </w:r>
      <w:r w:rsidRPr="009A0DA6">
        <w:rPr>
          <w:rFonts w:ascii="Cambria" w:eastAsia="Calibri" w:hAnsi="Cambria" w:cs="Calibri"/>
        </w:rPr>
        <w:t>at</w:t>
      </w:r>
      <w:r w:rsidRPr="009A0DA6">
        <w:rPr>
          <w:rFonts w:ascii="Cambria" w:eastAsia="Calibri" w:hAnsi="Cambria" w:cs="Calibri"/>
          <w:spacing w:val="1"/>
        </w:rPr>
        <w:t>e</w:t>
      </w:r>
      <w:r w:rsidRPr="009A0DA6">
        <w:rPr>
          <w:rFonts w:ascii="Cambria" w:eastAsia="Calibri" w:hAnsi="Cambria" w:cs="Calibri"/>
          <w:spacing w:val="-3"/>
        </w:rPr>
        <w:t>l</w:t>
      </w:r>
      <w:r w:rsidRPr="009A0DA6">
        <w:rPr>
          <w:rFonts w:ascii="Cambria" w:eastAsia="Calibri" w:hAnsi="Cambria" w:cs="Calibri"/>
        </w:rPr>
        <w:t>y</w:t>
      </w:r>
      <w:r w:rsidRPr="009A0DA6">
        <w:rPr>
          <w:rFonts w:ascii="Cambria" w:eastAsia="Calibri" w:hAnsi="Cambria" w:cs="Calibri"/>
          <w:spacing w:val="1"/>
        </w:rPr>
        <w:t xml:space="preserve"> </w:t>
      </w:r>
      <w:r w:rsidRPr="009A0DA6">
        <w:rPr>
          <w:rFonts w:ascii="Cambria" w:eastAsia="Calibri" w:hAnsi="Cambria" w:cs="Calibri"/>
        </w:rPr>
        <w:t>ad</w:t>
      </w:r>
      <w:r w:rsidRPr="009A0DA6">
        <w:rPr>
          <w:rFonts w:ascii="Cambria" w:eastAsia="Calibri" w:hAnsi="Cambria" w:cs="Calibri"/>
          <w:spacing w:val="-1"/>
        </w:rPr>
        <w:t>d</w:t>
      </w:r>
      <w:r w:rsidRPr="009A0DA6">
        <w:rPr>
          <w:rFonts w:ascii="Cambria" w:eastAsia="Calibri" w:hAnsi="Cambria" w:cs="Calibri"/>
        </w:rPr>
        <w:t>re</w:t>
      </w:r>
      <w:r w:rsidRPr="009A0DA6">
        <w:rPr>
          <w:rFonts w:ascii="Cambria" w:eastAsia="Calibri" w:hAnsi="Cambria" w:cs="Calibri"/>
          <w:spacing w:val="-2"/>
        </w:rPr>
        <w:t>s</w:t>
      </w:r>
      <w:r w:rsidRPr="009A0DA6">
        <w:rPr>
          <w:rFonts w:ascii="Cambria" w:eastAsia="Calibri" w:hAnsi="Cambria" w:cs="Calibri"/>
        </w:rPr>
        <w:t xml:space="preserve">s </w:t>
      </w:r>
      <w:r w:rsidRPr="009A0DA6">
        <w:rPr>
          <w:rFonts w:ascii="Cambria" w:eastAsia="Calibri" w:hAnsi="Cambria" w:cs="Calibri"/>
          <w:spacing w:val="-1"/>
        </w:rPr>
        <w:t>th</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rPr>
        <w:t>th</w:t>
      </w:r>
      <w:r w:rsidRPr="009A0DA6">
        <w:rPr>
          <w:rFonts w:ascii="Cambria" w:eastAsia="Calibri" w:hAnsi="Cambria" w:cs="Calibri"/>
          <w:spacing w:val="-2"/>
        </w:rPr>
        <w:t>e</w:t>
      </w:r>
      <w:r w:rsidRPr="009A0DA6">
        <w:rPr>
          <w:rFonts w:ascii="Cambria" w:eastAsia="Calibri" w:hAnsi="Cambria" w:cs="Calibri"/>
          <w:spacing w:val="1"/>
        </w:rPr>
        <w:t>o</w:t>
      </w:r>
      <w:r w:rsidRPr="009A0DA6">
        <w:rPr>
          <w:rFonts w:ascii="Cambria" w:eastAsia="Calibri" w:hAnsi="Cambria" w:cs="Calibri"/>
        </w:rPr>
        <w:t>l</w:t>
      </w:r>
      <w:r w:rsidRPr="009A0DA6">
        <w:rPr>
          <w:rFonts w:ascii="Cambria" w:eastAsia="Calibri" w:hAnsi="Cambria" w:cs="Calibri"/>
          <w:spacing w:val="1"/>
        </w:rPr>
        <w:t>o</w:t>
      </w:r>
      <w:r w:rsidRPr="009A0DA6">
        <w:rPr>
          <w:rFonts w:ascii="Cambria" w:eastAsia="Calibri" w:hAnsi="Cambria" w:cs="Calibri"/>
          <w:spacing w:val="-1"/>
        </w:rPr>
        <w:t>g</w:t>
      </w:r>
      <w:r w:rsidRPr="009A0DA6">
        <w:rPr>
          <w:rFonts w:ascii="Cambria" w:eastAsia="Calibri" w:hAnsi="Cambria" w:cs="Calibri"/>
        </w:rPr>
        <w:t>ical iss</w:t>
      </w:r>
      <w:r w:rsidRPr="009A0DA6">
        <w:rPr>
          <w:rFonts w:ascii="Cambria" w:eastAsia="Calibri" w:hAnsi="Cambria" w:cs="Calibri"/>
          <w:spacing w:val="-1"/>
        </w:rPr>
        <w:t>u</w:t>
      </w:r>
      <w:r w:rsidRPr="009A0DA6">
        <w:rPr>
          <w:rFonts w:ascii="Cambria" w:eastAsia="Calibri" w:hAnsi="Cambria" w:cs="Calibri"/>
        </w:rPr>
        <w:t>es</w:t>
      </w:r>
      <w:r w:rsidRPr="009A0DA6">
        <w:rPr>
          <w:rFonts w:ascii="Cambria" w:eastAsia="Calibri" w:hAnsi="Cambria" w:cs="Calibri"/>
          <w:spacing w:val="-2"/>
        </w:rPr>
        <w:t xml:space="preserve"> </w:t>
      </w:r>
      <w:r w:rsidRPr="009A0DA6">
        <w:rPr>
          <w:rFonts w:ascii="Cambria" w:eastAsia="Calibri" w:hAnsi="Cambria" w:cs="Calibri"/>
        </w:rPr>
        <w:t>at</w:t>
      </w:r>
      <w:r w:rsidRPr="009A0DA6">
        <w:rPr>
          <w:rFonts w:ascii="Cambria" w:eastAsia="Calibri" w:hAnsi="Cambria" w:cs="Calibri"/>
          <w:spacing w:val="1"/>
        </w:rPr>
        <w:t xml:space="preserve"> </w:t>
      </w:r>
      <w:r w:rsidRPr="009A0DA6">
        <w:rPr>
          <w:rFonts w:ascii="Cambria" w:eastAsia="Calibri" w:hAnsi="Cambria" w:cs="Calibri"/>
          <w:spacing w:val="-2"/>
        </w:rPr>
        <w:t>s</w:t>
      </w:r>
      <w:r w:rsidRPr="009A0DA6">
        <w:rPr>
          <w:rFonts w:ascii="Cambria" w:eastAsia="Calibri" w:hAnsi="Cambria" w:cs="Calibri"/>
        </w:rPr>
        <w:t>t</w:t>
      </w:r>
      <w:r w:rsidRPr="009A0DA6">
        <w:rPr>
          <w:rFonts w:ascii="Cambria" w:eastAsia="Calibri" w:hAnsi="Cambria" w:cs="Calibri"/>
          <w:spacing w:val="-2"/>
        </w:rPr>
        <w:t>a</w:t>
      </w:r>
      <w:r w:rsidRPr="009A0DA6">
        <w:rPr>
          <w:rFonts w:ascii="Cambria" w:eastAsia="Calibri" w:hAnsi="Cambria" w:cs="Calibri"/>
        </w:rPr>
        <w:t>ke</w:t>
      </w:r>
      <w:r w:rsidRPr="009A0DA6">
        <w:rPr>
          <w:rFonts w:ascii="Cambria" w:eastAsia="Calibri" w:hAnsi="Cambria" w:cs="Calibri"/>
          <w:spacing w:val="1"/>
        </w:rPr>
        <w:t xml:space="preserve"> </w:t>
      </w:r>
      <w:r w:rsidRPr="009A0DA6">
        <w:rPr>
          <w:rFonts w:ascii="Cambria" w:eastAsia="Calibri" w:hAnsi="Cambria" w:cs="Calibri"/>
        </w:rPr>
        <w:t>in a</w:t>
      </w:r>
      <w:r w:rsidRPr="009A0DA6">
        <w:rPr>
          <w:rFonts w:ascii="Cambria" w:eastAsia="Calibri" w:hAnsi="Cambria" w:cs="Calibri"/>
          <w:spacing w:val="-2"/>
        </w:rPr>
        <w:t xml:space="preserve"> </w:t>
      </w:r>
      <w:r w:rsidRPr="009A0DA6">
        <w:rPr>
          <w:rFonts w:ascii="Cambria" w:eastAsia="Calibri" w:hAnsi="Cambria" w:cs="Calibri"/>
        </w:rPr>
        <w:t>way</w:t>
      </w:r>
      <w:r w:rsidRPr="009A0DA6">
        <w:rPr>
          <w:rFonts w:ascii="Cambria" w:eastAsia="Calibri" w:hAnsi="Cambria" w:cs="Calibri"/>
          <w:spacing w:val="-1"/>
        </w:rPr>
        <w:t xml:space="preserve">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at</w:t>
      </w:r>
      <w:r w:rsidRPr="009A0DA6">
        <w:rPr>
          <w:rFonts w:ascii="Cambria" w:eastAsia="Calibri" w:hAnsi="Cambria" w:cs="Calibri"/>
          <w:spacing w:val="-2"/>
        </w:rPr>
        <w:t xml:space="preserve"> </w:t>
      </w:r>
      <w:r w:rsidRPr="009A0DA6">
        <w:rPr>
          <w:rFonts w:ascii="Cambria" w:eastAsia="Calibri" w:hAnsi="Cambria" w:cs="Calibri"/>
        </w:rPr>
        <w:t>can</w:t>
      </w:r>
      <w:r w:rsidRPr="009A0DA6">
        <w:rPr>
          <w:rFonts w:ascii="Cambria" w:eastAsia="Calibri" w:hAnsi="Cambria" w:cs="Calibri"/>
          <w:spacing w:val="-1"/>
        </w:rPr>
        <w:t xml:space="preserve"> </w:t>
      </w:r>
      <w:r w:rsidRPr="009A0DA6">
        <w:rPr>
          <w:rFonts w:ascii="Cambria" w:eastAsia="Calibri" w:hAnsi="Cambria" w:cs="Calibri"/>
        </w:rPr>
        <w:t>be</w:t>
      </w:r>
      <w:r w:rsidRPr="009A0DA6">
        <w:rPr>
          <w:rFonts w:ascii="Cambria" w:eastAsia="Calibri" w:hAnsi="Cambria" w:cs="Calibri"/>
          <w:spacing w:val="-2"/>
        </w:rPr>
        <w:t xml:space="preserve"> e</w:t>
      </w:r>
      <w:r w:rsidRPr="009A0DA6">
        <w:rPr>
          <w:rFonts w:ascii="Cambria" w:eastAsia="Calibri" w:hAnsi="Cambria" w:cs="Calibri"/>
          <w:spacing w:val="-1"/>
        </w:rPr>
        <w:t>mb</w:t>
      </w:r>
      <w:r w:rsidRPr="009A0DA6">
        <w:rPr>
          <w:rFonts w:ascii="Cambria" w:eastAsia="Calibri" w:hAnsi="Cambria" w:cs="Calibri"/>
        </w:rPr>
        <w:t xml:space="preserve">raced </w:t>
      </w:r>
      <w:r w:rsidRPr="009A0DA6">
        <w:rPr>
          <w:rFonts w:ascii="Cambria" w:eastAsia="Calibri" w:hAnsi="Cambria" w:cs="Calibri"/>
          <w:spacing w:val="-1"/>
        </w:rPr>
        <w:t>b</w:t>
      </w:r>
      <w:r w:rsidRPr="009A0DA6">
        <w:rPr>
          <w:rFonts w:ascii="Cambria" w:eastAsia="Calibri" w:hAnsi="Cambria" w:cs="Calibri"/>
        </w:rPr>
        <w:t>y</w:t>
      </w:r>
      <w:r w:rsidRPr="009A0DA6">
        <w:rPr>
          <w:rFonts w:ascii="Cambria" w:eastAsia="Calibri" w:hAnsi="Cambria" w:cs="Calibri"/>
          <w:spacing w:val="1"/>
        </w:rPr>
        <w:t xml:space="preserve"> </w:t>
      </w:r>
      <w:r w:rsidRPr="009A0DA6">
        <w:rPr>
          <w:rFonts w:ascii="Cambria" w:eastAsia="Calibri" w:hAnsi="Cambria" w:cs="Calibri"/>
        </w:rPr>
        <w:t>all,</w:t>
      </w:r>
      <w:r w:rsidRPr="009A0DA6">
        <w:rPr>
          <w:rFonts w:ascii="Cambria" w:eastAsia="Calibri" w:hAnsi="Cambria" w:cs="Calibri"/>
          <w:spacing w:val="1"/>
        </w:rPr>
        <w:t xml:space="preserve"> </w:t>
      </w:r>
      <w:r w:rsidRPr="009A0DA6">
        <w:rPr>
          <w:rFonts w:ascii="Cambria" w:eastAsia="Calibri" w:hAnsi="Cambria" w:cs="Calibri"/>
        </w:rPr>
        <w:t>a</w:t>
      </w:r>
      <w:r w:rsidRPr="009A0DA6">
        <w:rPr>
          <w:rFonts w:ascii="Cambria" w:eastAsia="Calibri" w:hAnsi="Cambria" w:cs="Calibri"/>
          <w:spacing w:val="-1"/>
        </w:rPr>
        <w:t>n</w:t>
      </w:r>
      <w:r w:rsidRPr="009A0DA6">
        <w:rPr>
          <w:rFonts w:ascii="Cambria" w:eastAsia="Calibri" w:hAnsi="Cambria" w:cs="Calibri"/>
        </w:rPr>
        <w:t>d</w:t>
      </w:r>
      <w:r w:rsidRPr="009A0DA6">
        <w:rPr>
          <w:rFonts w:ascii="Cambria" w:eastAsia="Calibri" w:hAnsi="Cambria" w:cs="Calibri"/>
          <w:spacing w:val="-1"/>
        </w:rPr>
        <w:t xml:space="preserve"> </w:t>
      </w:r>
      <w:r w:rsidRPr="009A0DA6">
        <w:rPr>
          <w:rFonts w:ascii="Cambria" w:eastAsia="Calibri" w:hAnsi="Cambria" w:cs="Calibri"/>
          <w:spacing w:val="1"/>
        </w:rPr>
        <w:t>t</w:t>
      </w:r>
      <w:r w:rsidRPr="009A0DA6">
        <w:rPr>
          <w:rFonts w:ascii="Cambria" w:eastAsia="Calibri" w:hAnsi="Cambria" w:cs="Calibri"/>
          <w:spacing w:val="-3"/>
        </w:rPr>
        <w:t>h</w:t>
      </w:r>
      <w:r w:rsidRPr="009A0DA6">
        <w:rPr>
          <w:rFonts w:ascii="Cambria" w:eastAsia="Calibri" w:hAnsi="Cambria" w:cs="Calibri"/>
        </w:rPr>
        <w:t>ere</w:t>
      </w:r>
      <w:r w:rsidRPr="009A0DA6">
        <w:rPr>
          <w:rFonts w:ascii="Cambria" w:eastAsia="Calibri" w:hAnsi="Cambria" w:cs="Calibri"/>
          <w:spacing w:val="-2"/>
        </w:rPr>
        <w:t>f</w:t>
      </w:r>
      <w:r w:rsidRPr="009A0DA6">
        <w:rPr>
          <w:rFonts w:ascii="Cambria" w:eastAsia="Calibri" w:hAnsi="Cambria" w:cs="Calibri"/>
          <w:spacing w:val="1"/>
        </w:rPr>
        <w:t>o</w:t>
      </w:r>
      <w:r w:rsidRPr="009A0DA6">
        <w:rPr>
          <w:rFonts w:ascii="Cambria" w:eastAsia="Calibri" w:hAnsi="Cambria" w:cs="Calibri"/>
        </w:rPr>
        <w:t>re</w:t>
      </w:r>
      <w:r w:rsidRPr="009A0DA6">
        <w:rPr>
          <w:rFonts w:ascii="Cambria" w:eastAsia="Calibri" w:hAnsi="Cambria" w:cs="Calibri"/>
          <w:spacing w:val="1"/>
        </w:rPr>
        <w:t xml:space="preserve"> </w:t>
      </w:r>
      <w:r w:rsidRPr="009A0DA6">
        <w:rPr>
          <w:rFonts w:ascii="Cambria" w:eastAsia="Calibri" w:hAnsi="Cambria" w:cs="Calibri"/>
        </w:rPr>
        <w:t>fa</w:t>
      </w:r>
      <w:r w:rsidRPr="009A0DA6">
        <w:rPr>
          <w:rFonts w:ascii="Cambria" w:eastAsia="Calibri" w:hAnsi="Cambria" w:cs="Calibri"/>
          <w:spacing w:val="-1"/>
        </w:rPr>
        <w:t>i</w:t>
      </w:r>
      <w:r w:rsidRPr="009A0DA6">
        <w:rPr>
          <w:rFonts w:ascii="Cambria" w:eastAsia="Calibri" w:hAnsi="Cambria" w:cs="Calibri"/>
          <w:spacing w:val="-3"/>
        </w:rPr>
        <w:t>l</w:t>
      </w:r>
      <w:r w:rsidRPr="009A0DA6">
        <w:rPr>
          <w:rFonts w:ascii="Cambria" w:eastAsia="Calibri" w:hAnsi="Cambria" w:cs="Calibri"/>
        </w:rPr>
        <w:t xml:space="preserve">s </w:t>
      </w:r>
      <w:r w:rsidRPr="009A0DA6">
        <w:rPr>
          <w:rFonts w:ascii="Cambria" w:eastAsia="Calibri" w:hAnsi="Cambria" w:cs="Calibri"/>
          <w:spacing w:val="-1"/>
        </w:rPr>
        <w:t>t</w:t>
      </w:r>
      <w:r w:rsidRPr="009A0DA6">
        <w:rPr>
          <w:rFonts w:ascii="Cambria" w:eastAsia="Calibri" w:hAnsi="Cambria" w:cs="Calibri"/>
        </w:rPr>
        <w:t>o</w:t>
      </w:r>
      <w:r w:rsidRPr="009A0DA6">
        <w:rPr>
          <w:rFonts w:ascii="Cambria" w:eastAsia="Calibri" w:hAnsi="Cambria" w:cs="Calibri"/>
          <w:spacing w:val="1"/>
        </w:rPr>
        <w:t xml:space="preserve"> </w:t>
      </w:r>
      <w:r w:rsidRPr="009A0DA6">
        <w:rPr>
          <w:rFonts w:ascii="Cambria" w:eastAsia="Calibri" w:hAnsi="Cambria" w:cs="Calibri"/>
        </w:rPr>
        <w:t>ade</w:t>
      </w:r>
      <w:r w:rsidRPr="009A0DA6">
        <w:rPr>
          <w:rFonts w:ascii="Cambria" w:eastAsia="Calibri" w:hAnsi="Cambria" w:cs="Calibri"/>
          <w:spacing w:val="-1"/>
        </w:rPr>
        <w:t>qu</w:t>
      </w:r>
      <w:r w:rsidRPr="009A0DA6">
        <w:rPr>
          <w:rFonts w:ascii="Cambria" w:eastAsia="Calibri" w:hAnsi="Cambria" w:cs="Calibri"/>
        </w:rPr>
        <w:t>a</w:t>
      </w:r>
      <w:r w:rsidRPr="009A0DA6">
        <w:rPr>
          <w:rFonts w:ascii="Cambria" w:eastAsia="Calibri" w:hAnsi="Cambria" w:cs="Calibri"/>
          <w:spacing w:val="-2"/>
        </w:rPr>
        <w:t>t</w:t>
      </w:r>
      <w:r w:rsidRPr="009A0DA6">
        <w:rPr>
          <w:rFonts w:ascii="Cambria" w:eastAsia="Calibri" w:hAnsi="Cambria" w:cs="Calibri"/>
        </w:rPr>
        <w:t>ely</w:t>
      </w:r>
      <w:r w:rsidRPr="009A0DA6">
        <w:rPr>
          <w:rFonts w:ascii="Cambria" w:eastAsia="Calibri" w:hAnsi="Cambria" w:cs="Calibri"/>
          <w:spacing w:val="-1"/>
        </w:rPr>
        <w:t xml:space="preserve"> </w:t>
      </w:r>
      <w:r w:rsidRPr="009A0DA6">
        <w:rPr>
          <w:rFonts w:ascii="Cambria" w:eastAsia="Calibri" w:hAnsi="Cambria" w:cs="Calibri"/>
        </w:rPr>
        <w:t>se</w:t>
      </w:r>
      <w:r w:rsidRPr="009A0DA6">
        <w:rPr>
          <w:rFonts w:ascii="Cambria" w:eastAsia="Calibri" w:hAnsi="Cambria" w:cs="Calibri"/>
          <w:spacing w:val="-2"/>
        </w:rPr>
        <w:t>r</w:t>
      </w:r>
      <w:r w:rsidRPr="009A0DA6">
        <w:rPr>
          <w:rFonts w:ascii="Cambria" w:eastAsia="Calibri" w:hAnsi="Cambria" w:cs="Calibri"/>
          <w:spacing w:val="1"/>
        </w:rPr>
        <w:t>v</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rPr>
        <w:t xml:space="preserve">the </w:t>
      </w:r>
      <w:r w:rsidRPr="009A0DA6">
        <w:rPr>
          <w:rFonts w:ascii="Cambria" w:eastAsia="Calibri" w:hAnsi="Cambria" w:cs="Calibri"/>
          <w:spacing w:val="1"/>
        </w:rPr>
        <w:t>c</w:t>
      </w:r>
      <w:r w:rsidRPr="009A0DA6">
        <w:rPr>
          <w:rFonts w:ascii="Cambria" w:eastAsia="Calibri" w:hAnsi="Cambria" w:cs="Calibri"/>
        </w:rPr>
        <w:t>a</w:t>
      </w:r>
      <w:r w:rsidRPr="009A0DA6">
        <w:rPr>
          <w:rFonts w:ascii="Cambria" w:eastAsia="Calibri" w:hAnsi="Cambria" w:cs="Calibri"/>
          <w:spacing w:val="-3"/>
        </w:rPr>
        <w:t>u</w:t>
      </w:r>
      <w:r w:rsidRPr="009A0DA6">
        <w:rPr>
          <w:rFonts w:ascii="Cambria" w:eastAsia="Calibri" w:hAnsi="Cambria" w:cs="Calibri"/>
        </w:rPr>
        <w:t>se</w:t>
      </w:r>
      <w:r w:rsidRPr="009A0DA6">
        <w:rPr>
          <w:rFonts w:ascii="Cambria" w:eastAsia="Calibri" w:hAnsi="Cambria" w:cs="Calibri"/>
          <w:spacing w:val="1"/>
        </w:rPr>
        <w:t xml:space="preserve"> o</w:t>
      </w:r>
      <w:r w:rsidRPr="009A0DA6">
        <w:rPr>
          <w:rFonts w:ascii="Cambria" w:eastAsia="Calibri" w:hAnsi="Cambria" w:cs="Calibri"/>
        </w:rPr>
        <w:t>f</w:t>
      </w:r>
      <w:r w:rsidRPr="009A0DA6">
        <w:rPr>
          <w:rFonts w:ascii="Cambria" w:eastAsia="Calibri" w:hAnsi="Cambria" w:cs="Calibri"/>
          <w:spacing w:val="-3"/>
        </w:rPr>
        <w:t xml:space="preserve"> </w:t>
      </w:r>
      <w:r w:rsidRPr="009A0DA6">
        <w:rPr>
          <w:rFonts w:ascii="Cambria" w:eastAsia="Calibri" w:hAnsi="Cambria" w:cs="Calibri"/>
        </w:rPr>
        <w:t>c</w:t>
      </w:r>
      <w:r w:rsidRPr="009A0DA6">
        <w:rPr>
          <w:rFonts w:ascii="Cambria" w:eastAsia="Calibri" w:hAnsi="Cambria" w:cs="Calibri"/>
          <w:spacing w:val="-1"/>
        </w:rPr>
        <w:t>hu</w:t>
      </w:r>
      <w:r w:rsidRPr="009A0DA6">
        <w:rPr>
          <w:rFonts w:ascii="Cambria" w:eastAsia="Calibri" w:hAnsi="Cambria" w:cs="Calibri"/>
        </w:rPr>
        <w:t>rch</w:t>
      </w:r>
      <w:r w:rsidRPr="009A0DA6">
        <w:rPr>
          <w:rFonts w:ascii="Cambria" w:eastAsia="Calibri" w:hAnsi="Cambria" w:cs="Calibri"/>
          <w:spacing w:val="-1"/>
        </w:rPr>
        <w:t xml:space="preserve"> </w:t>
      </w:r>
      <w:r w:rsidRPr="009A0DA6">
        <w:rPr>
          <w:rFonts w:ascii="Cambria" w:eastAsia="Calibri" w:hAnsi="Cambria" w:cs="Calibri"/>
        </w:rPr>
        <w:t>u</w:t>
      </w:r>
      <w:r w:rsidRPr="009A0DA6">
        <w:rPr>
          <w:rFonts w:ascii="Cambria" w:eastAsia="Calibri" w:hAnsi="Cambria" w:cs="Calibri"/>
          <w:spacing w:val="-1"/>
        </w:rPr>
        <w:t>n</w:t>
      </w:r>
      <w:r w:rsidRPr="009A0DA6">
        <w:rPr>
          <w:rFonts w:ascii="Cambria" w:eastAsia="Calibri" w:hAnsi="Cambria" w:cs="Calibri"/>
        </w:rPr>
        <w:t>it</w:t>
      </w:r>
      <w:r w:rsidRPr="009A0DA6">
        <w:rPr>
          <w:rFonts w:ascii="Cambria" w:eastAsia="Calibri" w:hAnsi="Cambria" w:cs="Calibri"/>
          <w:spacing w:val="1"/>
        </w:rPr>
        <w:t>y</w:t>
      </w:r>
      <w:r w:rsidRPr="009A0DA6">
        <w:rPr>
          <w:rFonts w:ascii="Cambria" w:eastAsia="Calibri" w:hAnsi="Cambria" w:cs="Calibri"/>
        </w:rPr>
        <w:t>.</w:t>
      </w:r>
    </w:p>
    <w:p w14:paraId="73EC59F9" w14:textId="77777777" w:rsidR="00417DA5" w:rsidRPr="009A0DA6" w:rsidRDefault="00417DA5" w:rsidP="00D04794">
      <w:pPr>
        <w:pStyle w:val="Heading3"/>
        <w:rPr>
          <w:rFonts w:eastAsia="SimSun" w:cs="F"/>
        </w:rPr>
      </w:pPr>
      <w:r w:rsidRPr="009A0DA6">
        <w:t>REASONS FOR THE MOTION</w:t>
      </w:r>
    </w:p>
    <w:p w14:paraId="4D44A6EF" w14:textId="64644330" w:rsidR="00417DA5" w:rsidRPr="009A0DA6" w:rsidRDefault="00417DA5" w:rsidP="00F55252">
      <w:pPr>
        <w:pStyle w:val="ListParagraph"/>
        <w:numPr>
          <w:ilvl w:val="3"/>
          <w:numId w:val="121"/>
        </w:numPr>
        <w:spacing w:after="0"/>
        <w:ind w:left="567" w:right="497" w:hanging="567"/>
        <w:rPr>
          <w:rFonts w:ascii="Cambria" w:eastAsia="Calibri" w:hAnsi="Cambria" w:cs="Calibri"/>
        </w:rPr>
      </w:pPr>
      <w:r w:rsidRPr="009A0DA6">
        <w:rPr>
          <w:rFonts w:ascii="Cambria" w:eastAsia="Calibri" w:hAnsi="Cambria" w:cs="Calibri"/>
        </w:rPr>
        <w:t>The</w:t>
      </w:r>
      <w:r w:rsidRPr="009A0DA6">
        <w:rPr>
          <w:rFonts w:ascii="Cambria" w:eastAsia="Calibri" w:hAnsi="Cambria" w:cs="Calibri"/>
          <w:spacing w:val="1"/>
        </w:rPr>
        <w:t xml:space="preserve"> </w:t>
      </w:r>
      <w:r w:rsidRPr="009A0DA6">
        <w:rPr>
          <w:rFonts w:ascii="Cambria" w:eastAsia="Calibri" w:hAnsi="Cambria" w:cs="Calibri"/>
        </w:rPr>
        <w:t>CTI</w:t>
      </w:r>
      <w:r w:rsidRPr="009A0DA6">
        <w:rPr>
          <w:rFonts w:ascii="Cambria" w:eastAsia="Calibri" w:hAnsi="Cambria" w:cs="Calibri"/>
          <w:spacing w:val="-3"/>
        </w:rPr>
        <w:t>C</w:t>
      </w:r>
      <w:r w:rsidRPr="009A0DA6">
        <w:rPr>
          <w:rFonts w:ascii="Cambria" w:eastAsia="Calibri" w:hAnsi="Cambria" w:cs="Calibri"/>
        </w:rPr>
        <w:t>R pa</w:t>
      </w:r>
      <w:r w:rsidRPr="009A0DA6">
        <w:rPr>
          <w:rFonts w:ascii="Cambria" w:eastAsia="Calibri" w:hAnsi="Cambria" w:cs="Calibri"/>
          <w:spacing w:val="-1"/>
        </w:rPr>
        <w:t>p</w:t>
      </w:r>
      <w:r w:rsidRPr="009A0DA6">
        <w:rPr>
          <w:rFonts w:ascii="Cambria" w:eastAsia="Calibri" w:hAnsi="Cambria" w:cs="Calibri"/>
        </w:rPr>
        <w:t>er</w:t>
      </w:r>
      <w:r w:rsidRPr="009A0DA6">
        <w:rPr>
          <w:rFonts w:ascii="Cambria" w:eastAsia="Calibri" w:hAnsi="Cambria" w:cs="Calibri"/>
          <w:spacing w:val="1"/>
        </w:rPr>
        <w:t xml:space="preserve"> </w:t>
      </w:r>
      <w:r w:rsidRPr="009A0DA6">
        <w:rPr>
          <w:rFonts w:ascii="Cambria" w:eastAsia="Calibri" w:hAnsi="Cambria" w:cs="Calibri"/>
          <w:spacing w:val="-3"/>
        </w:rPr>
        <w:t>r</w:t>
      </w:r>
      <w:r w:rsidRPr="009A0DA6">
        <w:rPr>
          <w:rFonts w:ascii="Cambria" w:eastAsia="Calibri" w:hAnsi="Cambria" w:cs="Calibri"/>
        </w:rPr>
        <w:t>efer</w:t>
      </w:r>
      <w:r w:rsidRPr="009A0DA6">
        <w:rPr>
          <w:rFonts w:ascii="Cambria" w:eastAsia="Calibri" w:hAnsi="Cambria" w:cs="Calibri"/>
          <w:spacing w:val="-3"/>
        </w:rPr>
        <w:t>r</w:t>
      </w:r>
      <w:r w:rsidRPr="009A0DA6">
        <w:rPr>
          <w:rFonts w:ascii="Cambria" w:eastAsia="Calibri" w:hAnsi="Cambria" w:cs="Calibri"/>
        </w:rPr>
        <w:t xml:space="preserve">ed </w:t>
      </w:r>
      <w:r w:rsidRPr="009A0DA6">
        <w:rPr>
          <w:rFonts w:ascii="Cambria" w:eastAsia="Calibri" w:hAnsi="Cambria" w:cs="Calibri"/>
          <w:spacing w:val="-2"/>
        </w:rPr>
        <w:t>t</w:t>
      </w:r>
      <w:r w:rsidRPr="009A0DA6">
        <w:rPr>
          <w:rFonts w:ascii="Cambria" w:eastAsia="Calibri" w:hAnsi="Cambria" w:cs="Calibri"/>
        </w:rPr>
        <w:t>o</w:t>
      </w:r>
      <w:r w:rsidRPr="009A0DA6">
        <w:rPr>
          <w:rFonts w:ascii="Cambria" w:eastAsia="Calibri" w:hAnsi="Cambria" w:cs="Calibri"/>
          <w:spacing w:val="1"/>
        </w:rPr>
        <w:t xml:space="preserve"> </w:t>
      </w:r>
      <w:r w:rsidRPr="009A0DA6">
        <w:rPr>
          <w:rFonts w:ascii="Cambria" w:eastAsia="Calibri" w:hAnsi="Cambria" w:cs="Calibri"/>
        </w:rPr>
        <w:t>a</w:t>
      </w:r>
      <w:r w:rsidRPr="009A0DA6">
        <w:rPr>
          <w:rFonts w:ascii="Cambria" w:eastAsia="Calibri" w:hAnsi="Cambria" w:cs="Calibri"/>
          <w:spacing w:val="-3"/>
        </w:rPr>
        <w:t>b</w:t>
      </w:r>
      <w:r w:rsidRPr="009A0DA6">
        <w:rPr>
          <w:rFonts w:ascii="Cambria" w:eastAsia="Calibri" w:hAnsi="Cambria" w:cs="Calibri"/>
          <w:spacing w:val="1"/>
        </w:rPr>
        <w:t>ov</w:t>
      </w:r>
      <w:r w:rsidRPr="009A0DA6">
        <w:rPr>
          <w:rFonts w:ascii="Cambria" w:eastAsia="Calibri" w:hAnsi="Cambria" w:cs="Calibri"/>
        </w:rPr>
        <w:t>e</w:t>
      </w:r>
      <w:r w:rsidRPr="009A0DA6">
        <w:rPr>
          <w:rFonts w:ascii="Cambria" w:eastAsia="Calibri" w:hAnsi="Cambria" w:cs="Calibri"/>
          <w:spacing w:val="-2"/>
        </w:rPr>
        <w:t xml:space="preserve"> </w:t>
      </w:r>
      <w:r w:rsidRPr="009A0DA6">
        <w:rPr>
          <w:rFonts w:ascii="Cambria" w:eastAsia="Calibri" w:hAnsi="Cambria" w:cs="Calibri"/>
        </w:rPr>
        <w:t>cla</w:t>
      </w:r>
      <w:r w:rsidRPr="009A0DA6">
        <w:rPr>
          <w:rFonts w:ascii="Cambria" w:eastAsia="Calibri" w:hAnsi="Cambria" w:cs="Calibri"/>
          <w:spacing w:val="-3"/>
        </w:rPr>
        <w:t>i</w:t>
      </w:r>
      <w:r w:rsidRPr="009A0DA6">
        <w:rPr>
          <w:rFonts w:ascii="Cambria" w:eastAsia="Calibri" w:hAnsi="Cambria" w:cs="Calibri"/>
          <w:spacing w:val="1"/>
        </w:rPr>
        <w:t>m</w:t>
      </w:r>
      <w:r w:rsidRPr="009A0DA6">
        <w:rPr>
          <w:rFonts w:ascii="Cambria" w:eastAsia="Calibri" w:hAnsi="Cambria" w:cs="Calibri"/>
        </w:rPr>
        <w:t xml:space="preserve">s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spacing w:val="-3"/>
        </w:rPr>
        <w:t>a</w:t>
      </w:r>
      <w:r w:rsidRPr="009A0DA6">
        <w:rPr>
          <w:rFonts w:ascii="Cambria" w:eastAsia="Calibri" w:hAnsi="Cambria" w:cs="Calibri"/>
        </w:rPr>
        <w:t>t</w:t>
      </w:r>
      <w:r w:rsidRPr="009A0DA6">
        <w:rPr>
          <w:rFonts w:ascii="Cambria" w:eastAsia="Calibri" w:hAnsi="Cambria" w:cs="Calibri"/>
          <w:spacing w:val="1"/>
        </w:rPr>
        <w:t xml:space="preserve"> </w:t>
      </w:r>
      <w:r w:rsidRPr="009A0DA6">
        <w:rPr>
          <w:rFonts w:ascii="Cambria" w:eastAsia="Calibri" w:hAnsi="Cambria" w:cs="Calibri"/>
          <w:spacing w:val="-2"/>
        </w:rPr>
        <w:t>w</w:t>
      </w:r>
      <w:r w:rsidRPr="009A0DA6">
        <w:rPr>
          <w:rFonts w:ascii="Cambria" w:eastAsia="Calibri" w:hAnsi="Cambria" w:cs="Calibri"/>
          <w:spacing w:val="-1"/>
        </w:rPr>
        <w:t>o</w:t>
      </w:r>
      <w:r w:rsidRPr="009A0DA6">
        <w:rPr>
          <w:rFonts w:ascii="Cambria" w:eastAsia="Calibri" w:hAnsi="Cambria" w:cs="Calibri"/>
          <w:spacing w:val="1"/>
        </w:rPr>
        <w:t>m</w:t>
      </w:r>
      <w:r w:rsidRPr="009A0DA6">
        <w:rPr>
          <w:rFonts w:ascii="Cambria" w:eastAsia="Calibri" w:hAnsi="Cambria" w:cs="Calibri"/>
          <w:spacing w:val="-2"/>
        </w:rPr>
        <w:t>e</w:t>
      </w:r>
      <w:r w:rsidRPr="009A0DA6">
        <w:rPr>
          <w:rFonts w:ascii="Cambria" w:eastAsia="Calibri" w:hAnsi="Cambria" w:cs="Calibri"/>
          <w:spacing w:val="-1"/>
        </w:rPr>
        <w:t>n</w:t>
      </w:r>
      <w:r w:rsidRPr="009A0DA6">
        <w:rPr>
          <w:rFonts w:ascii="Cambria" w:eastAsia="Calibri" w:hAnsi="Cambria" w:cs="Calibri"/>
        </w:rPr>
        <w:t xml:space="preserve">’s </w:t>
      </w:r>
      <w:r w:rsidRPr="009A0DA6">
        <w:rPr>
          <w:rFonts w:ascii="Cambria" w:eastAsia="Calibri" w:hAnsi="Cambria" w:cs="Calibri"/>
          <w:spacing w:val="2"/>
        </w:rPr>
        <w:t>o</w:t>
      </w:r>
      <w:r w:rsidRPr="009A0DA6">
        <w:rPr>
          <w:rFonts w:ascii="Cambria" w:eastAsia="Calibri" w:hAnsi="Cambria" w:cs="Calibri"/>
        </w:rPr>
        <w:t>r</w:t>
      </w:r>
      <w:r w:rsidRPr="009A0DA6">
        <w:rPr>
          <w:rFonts w:ascii="Cambria" w:eastAsia="Calibri" w:hAnsi="Cambria" w:cs="Calibri"/>
          <w:spacing w:val="-1"/>
        </w:rPr>
        <w:t>d</w:t>
      </w:r>
      <w:r w:rsidRPr="009A0DA6">
        <w:rPr>
          <w:rFonts w:ascii="Cambria" w:eastAsia="Calibri" w:hAnsi="Cambria" w:cs="Calibri"/>
        </w:rPr>
        <w:t>i</w:t>
      </w:r>
      <w:r w:rsidRPr="009A0DA6">
        <w:rPr>
          <w:rFonts w:ascii="Cambria" w:eastAsia="Calibri" w:hAnsi="Cambria" w:cs="Calibri"/>
          <w:spacing w:val="-1"/>
        </w:rPr>
        <w:t>n</w:t>
      </w:r>
      <w:r w:rsidRPr="009A0DA6">
        <w:rPr>
          <w:rFonts w:ascii="Cambria" w:eastAsia="Calibri" w:hAnsi="Cambria" w:cs="Calibri"/>
        </w:rPr>
        <w:t>at</w:t>
      </w:r>
      <w:r w:rsidRPr="009A0DA6">
        <w:rPr>
          <w:rFonts w:ascii="Cambria" w:eastAsia="Calibri" w:hAnsi="Cambria" w:cs="Calibri"/>
          <w:spacing w:val="-2"/>
        </w:rPr>
        <w:t>i</w:t>
      </w:r>
      <w:r w:rsidRPr="009A0DA6">
        <w:rPr>
          <w:rFonts w:ascii="Cambria" w:eastAsia="Calibri" w:hAnsi="Cambria" w:cs="Calibri"/>
          <w:spacing w:val="1"/>
        </w:rPr>
        <w:t>o</w:t>
      </w:r>
      <w:r w:rsidRPr="009A0DA6">
        <w:rPr>
          <w:rFonts w:ascii="Cambria" w:eastAsia="Calibri" w:hAnsi="Cambria" w:cs="Calibri"/>
        </w:rPr>
        <w:t>n need</w:t>
      </w:r>
      <w:r w:rsidRPr="009A0DA6">
        <w:rPr>
          <w:rFonts w:ascii="Cambria" w:eastAsia="Calibri" w:hAnsi="Cambria" w:cs="Calibri"/>
          <w:spacing w:val="-3"/>
        </w:rPr>
        <w:t xml:space="preserve"> </w:t>
      </w:r>
      <w:r w:rsidRPr="009A0DA6">
        <w:rPr>
          <w:rFonts w:ascii="Cambria" w:eastAsia="Calibri" w:hAnsi="Cambria" w:cs="Calibri"/>
        </w:rPr>
        <w:t>n</w:t>
      </w:r>
      <w:r w:rsidRPr="009A0DA6">
        <w:rPr>
          <w:rFonts w:ascii="Cambria" w:eastAsia="Calibri" w:hAnsi="Cambria" w:cs="Calibri"/>
          <w:spacing w:val="1"/>
        </w:rPr>
        <w:t>o</w:t>
      </w:r>
      <w:r w:rsidRPr="009A0DA6">
        <w:rPr>
          <w:rFonts w:ascii="Cambria" w:eastAsia="Calibri" w:hAnsi="Cambria" w:cs="Calibri"/>
        </w:rPr>
        <w:t>t</w:t>
      </w:r>
      <w:r w:rsidRPr="009A0DA6">
        <w:rPr>
          <w:rFonts w:ascii="Cambria" w:eastAsia="Calibri" w:hAnsi="Cambria" w:cs="Calibri"/>
          <w:spacing w:val="-2"/>
        </w:rPr>
        <w:t xml:space="preserve"> </w:t>
      </w:r>
      <w:r w:rsidRPr="009A0DA6">
        <w:rPr>
          <w:rFonts w:ascii="Cambria" w:eastAsia="Calibri" w:hAnsi="Cambria" w:cs="Calibri"/>
        </w:rPr>
        <w:t>be</w:t>
      </w:r>
      <w:r w:rsidRPr="009A0DA6">
        <w:rPr>
          <w:rFonts w:ascii="Cambria" w:eastAsia="Calibri" w:hAnsi="Cambria" w:cs="Calibri"/>
          <w:spacing w:val="-2"/>
        </w:rPr>
        <w:t xml:space="preserve"> </w:t>
      </w:r>
      <w:r w:rsidR="007365CB" w:rsidRPr="009A0DA6">
        <w:rPr>
          <w:rFonts w:ascii="Cambria" w:eastAsia="Calibri" w:hAnsi="Cambria" w:cs="Calibri"/>
        </w:rPr>
        <w:t>c</w:t>
      </w:r>
      <w:r w:rsidR="00DB2C41" w:rsidRPr="009A0DA6">
        <w:rPr>
          <w:rFonts w:ascii="Cambria" w:eastAsia="Calibri" w:hAnsi="Cambria" w:cs="Calibri"/>
        </w:rPr>
        <w:t>hurch</w:t>
      </w:r>
      <w:r w:rsidRPr="009A0DA6">
        <w:rPr>
          <w:rFonts w:ascii="Cambria" w:eastAsia="Calibri" w:hAnsi="Cambria" w:cs="Calibri"/>
          <w:spacing w:val="-1"/>
        </w:rPr>
        <w:t xml:space="preserve"> </w:t>
      </w:r>
      <w:r w:rsidRPr="009A0DA6">
        <w:rPr>
          <w:rFonts w:ascii="Cambria" w:eastAsia="Calibri" w:hAnsi="Cambria" w:cs="Calibri"/>
        </w:rPr>
        <w:t>divisi</w:t>
      </w:r>
      <w:r w:rsidRPr="009A0DA6">
        <w:rPr>
          <w:rFonts w:ascii="Cambria" w:eastAsia="Calibri" w:hAnsi="Cambria" w:cs="Calibri"/>
          <w:spacing w:val="-2"/>
        </w:rPr>
        <w:t>v</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rPr>
        <w:t>si</w:t>
      </w:r>
      <w:r w:rsidRPr="009A0DA6">
        <w:rPr>
          <w:rFonts w:ascii="Cambria" w:eastAsia="Calibri" w:hAnsi="Cambria" w:cs="Calibri"/>
          <w:spacing w:val="-1"/>
        </w:rPr>
        <w:t>n</w:t>
      </w:r>
      <w:r w:rsidRPr="009A0DA6">
        <w:rPr>
          <w:rFonts w:ascii="Cambria" w:eastAsia="Calibri" w:hAnsi="Cambria" w:cs="Calibri"/>
        </w:rPr>
        <w:t>ce</w:t>
      </w:r>
      <w:r w:rsidRPr="009A0DA6">
        <w:rPr>
          <w:rFonts w:ascii="Cambria" w:eastAsia="Calibri" w:hAnsi="Cambria" w:cs="Calibri"/>
          <w:spacing w:val="-2"/>
        </w:rPr>
        <w:t xml:space="preserve"> </w:t>
      </w:r>
      <w:r w:rsidRPr="009A0DA6">
        <w:rPr>
          <w:rFonts w:ascii="Cambria" w:eastAsia="Calibri" w:hAnsi="Cambria" w:cs="Calibri"/>
        </w:rPr>
        <w:t>it</w:t>
      </w:r>
      <w:r w:rsidRPr="009A0DA6">
        <w:rPr>
          <w:rFonts w:ascii="Cambria" w:eastAsia="Calibri" w:hAnsi="Cambria" w:cs="Calibri"/>
          <w:spacing w:val="7"/>
        </w:rPr>
        <w:t xml:space="preserve"> </w:t>
      </w:r>
      <w:r w:rsidRPr="009A0DA6">
        <w:rPr>
          <w:rFonts w:ascii="Cambria" w:eastAsia="Calibri" w:hAnsi="Cambria" w:cs="Calibri"/>
          <w:spacing w:val="-3"/>
        </w:rPr>
        <w:t>d</w:t>
      </w:r>
      <w:r w:rsidRPr="009A0DA6">
        <w:rPr>
          <w:rFonts w:ascii="Cambria" w:eastAsia="Calibri" w:hAnsi="Cambria" w:cs="Calibri"/>
          <w:spacing w:val="1"/>
        </w:rPr>
        <w:t>o</w:t>
      </w:r>
      <w:r w:rsidRPr="009A0DA6">
        <w:rPr>
          <w:rFonts w:ascii="Cambria" w:eastAsia="Calibri" w:hAnsi="Cambria" w:cs="Calibri"/>
          <w:spacing w:val="-2"/>
        </w:rPr>
        <w:t>e</w:t>
      </w:r>
      <w:r w:rsidRPr="009A0DA6">
        <w:rPr>
          <w:rFonts w:ascii="Cambria" w:eastAsia="Calibri" w:hAnsi="Cambria" w:cs="Calibri"/>
        </w:rPr>
        <w:t>s n</w:t>
      </w:r>
      <w:r w:rsidRPr="009A0DA6">
        <w:rPr>
          <w:rFonts w:ascii="Cambria" w:eastAsia="Calibri" w:hAnsi="Cambria" w:cs="Calibri"/>
          <w:spacing w:val="1"/>
        </w:rPr>
        <w:t>o</w:t>
      </w:r>
      <w:r w:rsidRPr="009A0DA6">
        <w:rPr>
          <w:rFonts w:ascii="Cambria" w:eastAsia="Calibri" w:hAnsi="Cambria" w:cs="Calibri"/>
        </w:rPr>
        <w:t>t i</w:t>
      </w:r>
      <w:r w:rsidRPr="009A0DA6">
        <w:rPr>
          <w:rFonts w:ascii="Cambria" w:eastAsia="Calibri" w:hAnsi="Cambria" w:cs="Calibri"/>
          <w:spacing w:val="-1"/>
        </w:rPr>
        <w:t>n</w:t>
      </w:r>
      <w:r w:rsidRPr="009A0DA6">
        <w:rPr>
          <w:rFonts w:ascii="Cambria" w:eastAsia="Calibri" w:hAnsi="Cambria" w:cs="Calibri"/>
          <w:spacing w:val="1"/>
        </w:rPr>
        <w:t>vo</w:t>
      </w:r>
      <w:r w:rsidRPr="009A0DA6">
        <w:rPr>
          <w:rFonts w:ascii="Cambria" w:eastAsia="Calibri" w:hAnsi="Cambria" w:cs="Calibri"/>
          <w:spacing w:val="-3"/>
        </w:rPr>
        <w:t>l</w:t>
      </w:r>
      <w:r w:rsidRPr="009A0DA6">
        <w:rPr>
          <w:rFonts w:ascii="Cambria" w:eastAsia="Calibri" w:hAnsi="Cambria" w:cs="Calibri"/>
          <w:spacing w:val="1"/>
        </w:rPr>
        <w:t>v</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rPr>
        <w:t>a</w:t>
      </w:r>
      <w:r w:rsidRPr="009A0DA6">
        <w:rPr>
          <w:rFonts w:ascii="Cambria" w:eastAsia="Calibri" w:hAnsi="Cambria" w:cs="Calibri"/>
          <w:spacing w:val="-3"/>
        </w:rPr>
        <w:t>n</w:t>
      </w:r>
      <w:r w:rsidRPr="009A0DA6">
        <w:rPr>
          <w:rFonts w:ascii="Cambria" w:eastAsia="Calibri" w:hAnsi="Cambria" w:cs="Calibri"/>
        </w:rPr>
        <w:t>y</w:t>
      </w:r>
      <w:r w:rsidRPr="009A0DA6">
        <w:rPr>
          <w:rFonts w:ascii="Cambria" w:eastAsia="Calibri" w:hAnsi="Cambria" w:cs="Calibri"/>
          <w:spacing w:val="1"/>
        </w:rPr>
        <w:t xml:space="preserve"> </w:t>
      </w:r>
      <w:r w:rsidRPr="009A0DA6">
        <w:rPr>
          <w:rFonts w:ascii="Cambria" w:eastAsia="Calibri" w:hAnsi="Cambria" w:cs="Calibri"/>
        </w:rPr>
        <w:t>c</w:t>
      </w:r>
      <w:r w:rsidRPr="009A0DA6">
        <w:rPr>
          <w:rFonts w:ascii="Cambria" w:eastAsia="Calibri" w:hAnsi="Cambria" w:cs="Calibri"/>
          <w:spacing w:val="-3"/>
        </w:rPr>
        <w:t>l</w:t>
      </w:r>
      <w:r w:rsidRPr="009A0DA6">
        <w:rPr>
          <w:rFonts w:ascii="Cambria" w:eastAsia="Calibri" w:hAnsi="Cambria" w:cs="Calibri"/>
        </w:rPr>
        <w:t xml:space="preserve">ear </w:t>
      </w:r>
      <w:r w:rsidRPr="009A0DA6">
        <w:rPr>
          <w:rFonts w:ascii="Cambria" w:eastAsia="Calibri" w:hAnsi="Cambria" w:cs="Calibri"/>
          <w:spacing w:val="-1"/>
        </w:rPr>
        <w:t>w</w:t>
      </w:r>
      <w:r w:rsidRPr="009A0DA6">
        <w:rPr>
          <w:rFonts w:ascii="Cambria" w:eastAsia="Calibri" w:hAnsi="Cambria" w:cs="Calibri"/>
          <w:spacing w:val="1"/>
        </w:rPr>
        <w:t>o</w:t>
      </w:r>
      <w:r w:rsidRPr="009A0DA6">
        <w:rPr>
          <w:rFonts w:ascii="Cambria" w:eastAsia="Calibri" w:hAnsi="Cambria" w:cs="Calibri"/>
        </w:rPr>
        <w:t>rd</w:t>
      </w:r>
      <w:r w:rsidRPr="009A0DA6">
        <w:rPr>
          <w:rFonts w:ascii="Cambria" w:eastAsia="Calibri" w:hAnsi="Cambria" w:cs="Calibri"/>
          <w:spacing w:val="-3"/>
        </w:rPr>
        <w:t xml:space="preserve"> </w:t>
      </w:r>
      <w:r w:rsidRPr="009A0DA6">
        <w:rPr>
          <w:rFonts w:ascii="Cambria" w:eastAsia="Calibri" w:hAnsi="Cambria" w:cs="Calibri"/>
          <w:spacing w:val="1"/>
        </w:rPr>
        <w:t>o</w:t>
      </w:r>
      <w:r w:rsidRPr="009A0DA6">
        <w:rPr>
          <w:rFonts w:ascii="Cambria" w:eastAsia="Calibri" w:hAnsi="Cambria" w:cs="Calibri"/>
        </w:rPr>
        <w:t xml:space="preserve">f </w:t>
      </w:r>
      <w:r w:rsidRPr="009A0DA6">
        <w:rPr>
          <w:rFonts w:ascii="Cambria" w:eastAsia="Calibri" w:hAnsi="Cambria" w:cs="Calibri"/>
          <w:spacing w:val="-3"/>
        </w:rPr>
        <w:t>S</w:t>
      </w:r>
      <w:r w:rsidRPr="009A0DA6">
        <w:rPr>
          <w:rFonts w:ascii="Cambria" w:eastAsia="Calibri" w:hAnsi="Cambria" w:cs="Calibri"/>
        </w:rPr>
        <w:t>cri</w:t>
      </w:r>
      <w:r w:rsidRPr="009A0DA6">
        <w:rPr>
          <w:rFonts w:ascii="Cambria" w:eastAsia="Calibri" w:hAnsi="Cambria" w:cs="Calibri"/>
          <w:spacing w:val="-1"/>
        </w:rPr>
        <w:t>p</w:t>
      </w:r>
      <w:r w:rsidRPr="009A0DA6">
        <w:rPr>
          <w:rFonts w:ascii="Cambria" w:eastAsia="Calibri" w:hAnsi="Cambria" w:cs="Calibri"/>
        </w:rPr>
        <w:t>ture bei</w:t>
      </w:r>
      <w:r w:rsidRPr="009A0DA6">
        <w:rPr>
          <w:rFonts w:ascii="Cambria" w:eastAsia="Calibri" w:hAnsi="Cambria" w:cs="Calibri"/>
          <w:spacing w:val="-1"/>
        </w:rPr>
        <w:t>n</w:t>
      </w:r>
      <w:r w:rsidRPr="009A0DA6">
        <w:rPr>
          <w:rFonts w:ascii="Cambria" w:eastAsia="Calibri" w:hAnsi="Cambria" w:cs="Calibri"/>
        </w:rPr>
        <w:t>g</w:t>
      </w:r>
      <w:r w:rsidRPr="009A0DA6">
        <w:rPr>
          <w:rFonts w:ascii="Cambria" w:eastAsia="Calibri" w:hAnsi="Cambria" w:cs="Calibri"/>
          <w:spacing w:val="-3"/>
        </w:rPr>
        <w:t xml:space="preserve"> </w:t>
      </w:r>
      <w:r w:rsidRPr="009A0DA6">
        <w:rPr>
          <w:rFonts w:ascii="Cambria" w:eastAsia="Calibri" w:hAnsi="Cambria" w:cs="Calibri"/>
          <w:spacing w:val="1"/>
        </w:rPr>
        <w:t>“</w:t>
      </w:r>
      <w:r w:rsidRPr="009A0DA6">
        <w:rPr>
          <w:rFonts w:ascii="Cambria" w:eastAsia="Calibri" w:hAnsi="Cambria" w:cs="Calibri"/>
          <w:spacing w:val="-1"/>
        </w:rPr>
        <w:t>d</w:t>
      </w:r>
      <w:r w:rsidRPr="009A0DA6">
        <w:rPr>
          <w:rFonts w:ascii="Cambria" w:eastAsia="Calibri" w:hAnsi="Cambria" w:cs="Calibri"/>
        </w:rPr>
        <w:t>en</w:t>
      </w:r>
      <w:r w:rsidRPr="009A0DA6">
        <w:rPr>
          <w:rFonts w:ascii="Cambria" w:eastAsia="Calibri" w:hAnsi="Cambria" w:cs="Calibri"/>
          <w:spacing w:val="-1"/>
        </w:rPr>
        <w:t>i</w:t>
      </w:r>
      <w:r w:rsidRPr="009A0DA6">
        <w:rPr>
          <w:rFonts w:ascii="Cambria" w:eastAsia="Calibri" w:hAnsi="Cambria" w:cs="Calibri"/>
        </w:rPr>
        <w:t>ed,</w:t>
      </w:r>
      <w:r w:rsidRPr="009A0DA6">
        <w:rPr>
          <w:rFonts w:ascii="Cambria" w:eastAsia="Calibri" w:hAnsi="Cambria" w:cs="Calibri"/>
          <w:spacing w:val="-2"/>
        </w:rPr>
        <w:t xml:space="preserve"> </w:t>
      </w:r>
      <w:r w:rsidRPr="009A0DA6">
        <w:rPr>
          <w:rFonts w:ascii="Cambria" w:eastAsia="Calibri" w:hAnsi="Cambria" w:cs="Calibri"/>
        </w:rPr>
        <w:t>c</w:t>
      </w:r>
      <w:r w:rsidRPr="009A0DA6">
        <w:rPr>
          <w:rFonts w:ascii="Cambria" w:eastAsia="Calibri" w:hAnsi="Cambria" w:cs="Calibri"/>
          <w:spacing w:val="1"/>
        </w:rPr>
        <w:t>o</w:t>
      </w:r>
      <w:r w:rsidRPr="009A0DA6">
        <w:rPr>
          <w:rFonts w:ascii="Cambria" w:eastAsia="Calibri" w:hAnsi="Cambria" w:cs="Calibri"/>
          <w:spacing w:val="-3"/>
        </w:rPr>
        <w:t>n</w:t>
      </w:r>
      <w:r w:rsidRPr="009A0DA6">
        <w:rPr>
          <w:rFonts w:ascii="Cambria" w:eastAsia="Calibri" w:hAnsi="Cambria" w:cs="Calibri"/>
        </w:rPr>
        <w:t>tra</w:t>
      </w:r>
      <w:r w:rsidRPr="009A0DA6">
        <w:rPr>
          <w:rFonts w:ascii="Cambria" w:eastAsia="Calibri" w:hAnsi="Cambria" w:cs="Calibri"/>
          <w:spacing w:val="-1"/>
        </w:rPr>
        <w:t>d</w:t>
      </w:r>
      <w:r w:rsidRPr="009A0DA6">
        <w:rPr>
          <w:rFonts w:ascii="Cambria" w:eastAsia="Calibri" w:hAnsi="Cambria" w:cs="Calibri"/>
        </w:rPr>
        <w:t>icte</w:t>
      </w:r>
      <w:r w:rsidRPr="009A0DA6">
        <w:rPr>
          <w:rFonts w:ascii="Cambria" w:eastAsia="Calibri" w:hAnsi="Cambria" w:cs="Calibri"/>
          <w:spacing w:val="-1"/>
        </w:rPr>
        <w:t>d</w:t>
      </w:r>
      <w:r w:rsidRPr="009A0DA6">
        <w:rPr>
          <w:rFonts w:ascii="Cambria" w:eastAsia="Calibri" w:hAnsi="Cambria" w:cs="Calibri"/>
        </w:rPr>
        <w:t>,</w:t>
      </w:r>
      <w:r w:rsidRPr="009A0DA6">
        <w:rPr>
          <w:rFonts w:ascii="Cambria" w:eastAsia="Calibri" w:hAnsi="Cambria" w:cs="Calibri"/>
          <w:spacing w:val="-2"/>
        </w:rPr>
        <w:t xml:space="preserve"> </w:t>
      </w:r>
      <w:r w:rsidRPr="009A0DA6">
        <w:rPr>
          <w:rFonts w:ascii="Cambria" w:eastAsia="Calibri" w:hAnsi="Cambria" w:cs="Calibri"/>
          <w:spacing w:val="1"/>
        </w:rPr>
        <w:t>o</w:t>
      </w:r>
      <w:r w:rsidRPr="009A0DA6">
        <w:rPr>
          <w:rFonts w:ascii="Cambria" w:eastAsia="Calibri" w:hAnsi="Cambria" w:cs="Calibri"/>
        </w:rPr>
        <w:t>r i</w:t>
      </w:r>
      <w:r w:rsidRPr="009A0DA6">
        <w:rPr>
          <w:rFonts w:ascii="Cambria" w:eastAsia="Calibri" w:hAnsi="Cambria" w:cs="Calibri"/>
          <w:spacing w:val="-1"/>
        </w:rPr>
        <w:t>g</w:t>
      </w:r>
      <w:r w:rsidRPr="009A0DA6">
        <w:rPr>
          <w:rFonts w:ascii="Cambria" w:eastAsia="Calibri" w:hAnsi="Cambria" w:cs="Calibri"/>
          <w:spacing w:val="-3"/>
        </w:rPr>
        <w:t>n</w:t>
      </w:r>
      <w:r w:rsidRPr="009A0DA6">
        <w:rPr>
          <w:rFonts w:ascii="Cambria" w:eastAsia="Calibri" w:hAnsi="Cambria" w:cs="Calibri"/>
          <w:spacing w:val="1"/>
        </w:rPr>
        <w:t>o</w:t>
      </w:r>
      <w:r w:rsidRPr="009A0DA6">
        <w:rPr>
          <w:rFonts w:ascii="Cambria" w:eastAsia="Calibri" w:hAnsi="Cambria" w:cs="Calibri"/>
        </w:rPr>
        <w:t>re</w:t>
      </w:r>
      <w:r w:rsidRPr="009A0DA6">
        <w:rPr>
          <w:rFonts w:ascii="Cambria" w:eastAsia="Calibri" w:hAnsi="Cambria" w:cs="Calibri"/>
          <w:spacing w:val="-3"/>
        </w:rPr>
        <w:t>d</w:t>
      </w:r>
      <w:r w:rsidRPr="009A0DA6">
        <w:rPr>
          <w:rFonts w:ascii="Cambria" w:eastAsia="Calibri" w:hAnsi="Cambria" w:cs="Calibri"/>
        </w:rPr>
        <w:t>”</w:t>
      </w:r>
      <w:r w:rsidRPr="009A0DA6">
        <w:rPr>
          <w:rFonts w:ascii="Cambria" w:eastAsia="Calibri" w:hAnsi="Cambria" w:cs="Calibri"/>
          <w:spacing w:val="1"/>
        </w:rPr>
        <w:t xml:space="preserve"> (</w:t>
      </w:r>
      <w:r w:rsidRPr="009A0DA6">
        <w:rPr>
          <w:rFonts w:ascii="Cambria" w:eastAsia="Calibri" w:hAnsi="Cambria" w:cs="Calibri"/>
          <w:spacing w:val="-2"/>
        </w:rPr>
        <w:t>s</w:t>
      </w:r>
      <w:r w:rsidRPr="009A0DA6">
        <w:rPr>
          <w:rFonts w:ascii="Cambria" w:eastAsia="Calibri" w:hAnsi="Cambria" w:cs="Calibri"/>
        </w:rPr>
        <w:t>ee</w:t>
      </w:r>
      <w:r w:rsidRPr="009A0DA6">
        <w:rPr>
          <w:rFonts w:ascii="Cambria" w:eastAsia="Calibri" w:hAnsi="Cambria" w:cs="Calibri"/>
          <w:spacing w:val="-1"/>
        </w:rPr>
        <w:t xml:space="preserve"> p</w:t>
      </w:r>
      <w:r w:rsidRPr="009A0DA6">
        <w:rPr>
          <w:rFonts w:ascii="Cambria" w:eastAsia="Calibri" w:hAnsi="Cambria" w:cs="Calibri"/>
        </w:rPr>
        <w:t>ara</w:t>
      </w:r>
      <w:r w:rsidRPr="009A0DA6">
        <w:rPr>
          <w:rFonts w:ascii="Cambria" w:eastAsia="Calibri" w:hAnsi="Cambria" w:cs="Calibri"/>
          <w:spacing w:val="-1"/>
        </w:rPr>
        <w:t>g</w:t>
      </w:r>
      <w:r w:rsidRPr="009A0DA6">
        <w:rPr>
          <w:rFonts w:ascii="Cambria" w:eastAsia="Calibri" w:hAnsi="Cambria" w:cs="Calibri"/>
        </w:rPr>
        <w:t>ra</w:t>
      </w:r>
      <w:r w:rsidRPr="009A0DA6">
        <w:rPr>
          <w:rFonts w:ascii="Cambria" w:eastAsia="Calibri" w:hAnsi="Cambria" w:cs="Calibri"/>
          <w:spacing w:val="-1"/>
        </w:rPr>
        <w:t>p</w:t>
      </w:r>
      <w:r w:rsidRPr="009A0DA6">
        <w:rPr>
          <w:rFonts w:ascii="Cambria" w:eastAsia="Calibri" w:hAnsi="Cambria" w:cs="Calibri"/>
        </w:rPr>
        <w:t>h 2</w:t>
      </w:r>
      <w:r w:rsidRPr="009A0DA6">
        <w:rPr>
          <w:rFonts w:ascii="Cambria" w:eastAsia="Calibri" w:hAnsi="Cambria" w:cs="Calibri"/>
          <w:spacing w:val="1"/>
        </w:rPr>
        <w:t xml:space="preserve"> </w:t>
      </w:r>
      <w:r w:rsidRPr="009A0DA6">
        <w:rPr>
          <w:rFonts w:ascii="Cambria" w:eastAsia="Calibri" w:hAnsi="Cambria" w:cs="Calibri"/>
        </w:rPr>
        <w:t>and</w:t>
      </w:r>
      <w:r w:rsidRPr="009A0DA6">
        <w:rPr>
          <w:rFonts w:ascii="Cambria" w:eastAsia="Calibri" w:hAnsi="Cambria" w:cs="Calibri"/>
          <w:spacing w:val="-1"/>
        </w:rPr>
        <w:t xml:space="preserve"> </w:t>
      </w:r>
      <w:r w:rsidRPr="009A0DA6">
        <w:rPr>
          <w:rFonts w:ascii="Cambria" w:eastAsia="Calibri" w:hAnsi="Cambria" w:cs="Calibri"/>
        </w:rPr>
        <w:t>f</w:t>
      </w:r>
      <w:r w:rsidRPr="009A0DA6">
        <w:rPr>
          <w:rFonts w:ascii="Cambria" w:eastAsia="Calibri" w:hAnsi="Cambria" w:cs="Calibri"/>
          <w:spacing w:val="-1"/>
        </w:rPr>
        <w:t>o</w:t>
      </w:r>
      <w:r w:rsidRPr="009A0DA6">
        <w:rPr>
          <w:rFonts w:ascii="Cambria" w:eastAsia="Calibri" w:hAnsi="Cambria" w:cs="Calibri"/>
          <w:spacing w:val="1"/>
        </w:rPr>
        <w:t>o</w:t>
      </w:r>
      <w:r w:rsidRPr="009A0DA6">
        <w:rPr>
          <w:rFonts w:ascii="Cambria" w:eastAsia="Calibri" w:hAnsi="Cambria" w:cs="Calibri"/>
        </w:rPr>
        <w:t>t</w:t>
      </w:r>
      <w:r w:rsidRPr="009A0DA6">
        <w:rPr>
          <w:rFonts w:ascii="Cambria" w:eastAsia="Calibri" w:hAnsi="Cambria" w:cs="Calibri"/>
          <w:spacing w:val="-3"/>
        </w:rPr>
        <w:t>n</w:t>
      </w:r>
      <w:r w:rsidRPr="009A0DA6">
        <w:rPr>
          <w:rFonts w:ascii="Cambria" w:eastAsia="Calibri" w:hAnsi="Cambria" w:cs="Calibri"/>
          <w:spacing w:val="1"/>
        </w:rPr>
        <w:t>o</w:t>
      </w:r>
      <w:r w:rsidRPr="009A0DA6">
        <w:rPr>
          <w:rFonts w:ascii="Cambria" w:eastAsia="Calibri" w:hAnsi="Cambria" w:cs="Calibri"/>
          <w:spacing w:val="-2"/>
        </w:rPr>
        <w:t>t</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spacing w:val="1"/>
        </w:rPr>
        <w:t>2</w:t>
      </w:r>
      <w:r w:rsidRPr="009A0DA6">
        <w:rPr>
          <w:rFonts w:ascii="Cambria" w:eastAsia="Calibri" w:hAnsi="Cambria" w:cs="Calibri"/>
        </w:rPr>
        <w:t>). The</w:t>
      </w:r>
      <w:r w:rsidRPr="009A0DA6">
        <w:rPr>
          <w:rFonts w:ascii="Cambria" w:eastAsia="Calibri" w:hAnsi="Cambria" w:cs="Calibri"/>
          <w:spacing w:val="1"/>
        </w:rPr>
        <w:t xml:space="preserve"> </w:t>
      </w:r>
      <w:r w:rsidRPr="009A0DA6">
        <w:rPr>
          <w:rFonts w:ascii="Cambria" w:eastAsia="Calibri" w:hAnsi="Cambria" w:cs="Calibri"/>
          <w:spacing w:val="-1"/>
        </w:rPr>
        <w:t>p</w:t>
      </w:r>
      <w:r w:rsidRPr="009A0DA6">
        <w:rPr>
          <w:rFonts w:ascii="Cambria" w:eastAsia="Calibri" w:hAnsi="Cambria" w:cs="Calibri"/>
        </w:rPr>
        <w:t>r</w:t>
      </w:r>
      <w:r w:rsidRPr="009A0DA6">
        <w:rPr>
          <w:rFonts w:ascii="Cambria" w:eastAsia="Calibri" w:hAnsi="Cambria" w:cs="Calibri"/>
          <w:spacing w:val="1"/>
        </w:rPr>
        <w:t>o</w:t>
      </w:r>
      <w:r w:rsidRPr="009A0DA6">
        <w:rPr>
          <w:rFonts w:ascii="Cambria" w:eastAsia="Calibri" w:hAnsi="Cambria" w:cs="Calibri"/>
          <w:spacing w:val="-1"/>
        </w:rPr>
        <w:t>b</w:t>
      </w:r>
      <w:r w:rsidRPr="009A0DA6">
        <w:rPr>
          <w:rFonts w:ascii="Cambria" w:eastAsia="Calibri" w:hAnsi="Cambria" w:cs="Calibri"/>
          <w:spacing w:val="-3"/>
        </w:rPr>
        <w:t>l</w:t>
      </w:r>
      <w:r w:rsidRPr="009A0DA6">
        <w:rPr>
          <w:rFonts w:ascii="Cambria" w:eastAsia="Calibri" w:hAnsi="Cambria" w:cs="Calibri"/>
        </w:rPr>
        <w:t>em</w:t>
      </w:r>
      <w:r w:rsidRPr="009A0DA6">
        <w:rPr>
          <w:rFonts w:ascii="Cambria" w:eastAsia="Calibri" w:hAnsi="Cambria" w:cs="Calibri"/>
          <w:spacing w:val="-1"/>
        </w:rPr>
        <w:t xml:space="preserve"> </w:t>
      </w:r>
      <w:r w:rsidRPr="009A0DA6">
        <w:rPr>
          <w:rFonts w:ascii="Cambria" w:eastAsia="Calibri" w:hAnsi="Cambria" w:cs="Calibri"/>
          <w:spacing w:val="1"/>
        </w:rPr>
        <w:t>w</w:t>
      </w:r>
      <w:r w:rsidRPr="009A0DA6">
        <w:rPr>
          <w:rFonts w:ascii="Cambria" w:eastAsia="Calibri" w:hAnsi="Cambria" w:cs="Calibri"/>
        </w:rPr>
        <w:t>ith</w:t>
      </w:r>
      <w:r w:rsidRPr="009A0DA6">
        <w:rPr>
          <w:rFonts w:ascii="Cambria" w:eastAsia="Calibri" w:hAnsi="Cambria" w:cs="Calibri"/>
          <w:spacing w:val="-2"/>
        </w:rPr>
        <w:t xml:space="preserve"> </w:t>
      </w:r>
      <w:r w:rsidRPr="009A0DA6">
        <w:rPr>
          <w:rFonts w:ascii="Cambria" w:eastAsia="Calibri" w:hAnsi="Cambria" w:cs="Calibri"/>
        </w:rPr>
        <w:t>th</w:t>
      </w:r>
      <w:r w:rsidRPr="009A0DA6">
        <w:rPr>
          <w:rFonts w:ascii="Cambria" w:eastAsia="Calibri" w:hAnsi="Cambria" w:cs="Calibri"/>
          <w:spacing w:val="-1"/>
        </w:rPr>
        <w:t>i</w:t>
      </w:r>
      <w:r w:rsidRPr="009A0DA6">
        <w:rPr>
          <w:rFonts w:ascii="Cambria" w:eastAsia="Calibri" w:hAnsi="Cambria" w:cs="Calibri"/>
        </w:rPr>
        <w:t>s cla</w:t>
      </w:r>
      <w:r w:rsidRPr="009A0DA6">
        <w:rPr>
          <w:rFonts w:ascii="Cambria" w:eastAsia="Calibri" w:hAnsi="Cambria" w:cs="Calibri"/>
          <w:spacing w:val="-3"/>
        </w:rPr>
        <w:t>i</w:t>
      </w:r>
      <w:r w:rsidRPr="009A0DA6">
        <w:rPr>
          <w:rFonts w:ascii="Cambria" w:eastAsia="Calibri" w:hAnsi="Cambria" w:cs="Calibri"/>
        </w:rPr>
        <w:t>m</w:t>
      </w:r>
      <w:r w:rsidRPr="009A0DA6">
        <w:rPr>
          <w:rFonts w:ascii="Cambria" w:eastAsia="Calibri" w:hAnsi="Cambria" w:cs="Calibri"/>
          <w:spacing w:val="1"/>
        </w:rPr>
        <w:t xml:space="preserve"> </w:t>
      </w:r>
      <w:r w:rsidRPr="009A0DA6">
        <w:rPr>
          <w:rFonts w:ascii="Cambria" w:eastAsia="Calibri" w:hAnsi="Cambria" w:cs="Calibri"/>
        </w:rPr>
        <w:t>is</w:t>
      </w:r>
      <w:r w:rsidRPr="009A0DA6">
        <w:rPr>
          <w:rFonts w:ascii="Cambria" w:eastAsia="Calibri" w:hAnsi="Cambria" w:cs="Calibri"/>
          <w:spacing w:val="-1"/>
        </w:rPr>
        <w:t xml:space="preserve"> </w:t>
      </w:r>
      <w:r w:rsidRPr="009A0DA6">
        <w:rPr>
          <w:rFonts w:ascii="Cambria" w:eastAsia="Calibri" w:hAnsi="Cambria" w:cs="Calibri"/>
        </w:rPr>
        <w:t>that</w:t>
      </w:r>
      <w:r w:rsidRPr="009A0DA6">
        <w:rPr>
          <w:rFonts w:ascii="Cambria" w:eastAsia="Calibri" w:hAnsi="Cambria" w:cs="Calibri"/>
          <w:spacing w:val="-2"/>
        </w:rPr>
        <w:t xml:space="preserve"> </w:t>
      </w:r>
      <w:r w:rsidRPr="009A0DA6">
        <w:rPr>
          <w:rFonts w:ascii="Cambria" w:eastAsia="Calibri" w:hAnsi="Cambria" w:cs="Calibri"/>
          <w:spacing w:val="1"/>
        </w:rPr>
        <w:t>o</w:t>
      </w:r>
      <w:r w:rsidRPr="009A0DA6">
        <w:rPr>
          <w:rFonts w:ascii="Cambria" w:eastAsia="Calibri" w:hAnsi="Cambria" w:cs="Calibri"/>
          <w:spacing w:val="-1"/>
        </w:rPr>
        <w:t>n</w:t>
      </w:r>
      <w:r w:rsidRPr="009A0DA6">
        <w:rPr>
          <w:rFonts w:ascii="Cambria" w:eastAsia="Calibri" w:hAnsi="Cambria" w:cs="Calibri"/>
        </w:rPr>
        <w:t>ly</w:t>
      </w:r>
      <w:r w:rsidRPr="009A0DA6">
        <w:rPr>
          <w:rFonts w:ascii="Cambria" w:eastAsia="Calibri" w:hAnsi="Cambria" w:cs="Calibri"/>
          <w:spacing w:val="-1"/>
        </w:rPr>
        <w:t xml:space="preserve"> </w:t>
      </w:r>
      <w:r w:rsidRPr="009A0DA6">
        <w:rPr>
          <w:rFonts w:ascii="Cambria" w:eastAsia="Calibri" w:hAnsi="Cambria" w:cs="Calibri"/>
          <w:spacing w:val="1"/>
        </w:rPr>
        <w:t>o</w:t>
      </w:r>
      <w:r w:rsidRPr="009A0DA6">
        <w:rPr>
          <w:rFonts w:ascii="Cambria" w:eastAsia="Calibri" w:hAnsi="Cambria" w:cs="Calibri"/>
          <w:spacing w:val="-1"/>
        </w:rPr>
        <w:t>n</w:t>
      </w:r>
      <w:r w:rsidRPr="009A0DA6">
        <w:rPr>
          <w:rFonts w:ascii="Cambria" w:eastAsia="Calibri" w:hAnsi="Cambria" w:cs="Calibri"/>
        </w:rPr>
        <w:t>e</w:t>
      </w:r>
      <w:r w:rsidRPr="009A0DA6">
        <w:rPr>
          <w:rFonts w:ascii="Cambria" w:eastAsia="Calibri" w:hAnsi="Cambria" w:cs="Calibri"/>
          <w:spacing w:val="-2"/>
        </w:rPr>
        <w:t xml:space="preserve"> </w:t>
      </w:r>
      <w:r w:rsidRPr="009A0DA6">
        <w:rPr>
          <w:rFonts w:ascii="Cambria" w:eastAsia="Calibri" w:hAnsi="Cambria" w:cs="Calibri"/>
        </w:rPr>
        <w:t>side</w:t>
      </w:r>
      <w:r w:rsidRPr="009A0DA6">
        <w:rPr>
          <w:rFonts w:ascii="Cambria" w:eastAsia="Calibri" w:hAnsi="Cambria" w:cs="Calibri"/>
          <w:spacing w:val="-2"/>
        </w:rPr>
        <w:t xml:space="preserve"> </w:t>
      </w:r>
      <w:r w:rsidRPr="009A0DA6">
        <w:rPr>
          <w:rFonts w:ascii="Cambria" w:eastAsia="Calibri" w:hAnsi="Cambria" w:cs="Calibri"/>
        </w:rPr>
        <w:t>will</w:t>
      </w:r>
      <w:r w:rsidRPr="009A0DA6">
        <w:rPr>
          <w:rFonts w:ascii="Cambria" w:eastAsia="Calibri" w:hAnsi="Cambria" w:cs="Calibri"/>
          <w:spacing w:val="-2"/>
        </w:rPr>
        <w:t xml:space="preserve"> </w:t>
      </w:r>
      <w:r w:rsidRPr="009A0DA6">
        <w:rPr>
          <w:rFonts w:ascii="Cambria" w:eastAsia="Calibri" w:hAnsi="Cambria" w:cs="Calibri"/>
        </w:rPr>
        <w:t>a</w:t>
      </w:r>
      <w:r w:rsidRPr="009A0DA6">
        <w:rPr>
          <w:rFonts w:ascii="Cambria" w:eastAsia="Calibri" w:hAnsi="Cambria" w:cs="Calibri"/>
          <w:spacing w:val="-1"/>
        </w:rPr>
        <w:t>g</w:t>
      </w:r>
      <w:r w:rsidRPr="009A0DA6">
        <w:rPr>
          <w:rFonts w:ascii="Cambria" w:eastAsia="Calibri" w:hAnsi="Cambria" w:cs="Calibri"/>
        </w:rPr>
        <w:t>ree</w:t>
      </w:r>
      <w:r w:rsidRPr="009A0DA6">
        <w:rPr>
          <w:rFonts w:ascii="Cambria" w:eastAsia="Calibri" w:hAnsi="Cambria" w:cs="Calibri"/>
          <w:spacing w:val="1"/>
        </w:rPr>
        <w:t xml:space="preserve"> </w:t>
      </w:r>
      <w:r w:rsidRPr="009A0DA6">
        <w:rPr>
          <w:rFonts w:ascii="Cambria" w:eastAsia="Calibri" w:hAnsi="Cambria" w:cs="Calibri"/>
          <w:spacing w:val="-2"/>
        </w:rPr>
        <w:t>t</w:t>
      </w:r>
      <w:r w:rsidRPr="009A0DA6">
        <w:rPr>
          <w:rFonts w:ascii="Cambria" w:eastAsia="Calibri" w:hAnsi="Cambria" w:cs="Calibri"/>
        </w:rPr>
        <w:t>o</w:t>
      </w:r>
      <w:r w:rsidRPr="009A0DA6">
        <w:rPr>
          <w:rFonts w:ascii="Cambria" w:eastAsia="Calibri" w:hAnsi="Cambria" w:cs="Calibri"/>
          <w:spacing w:val="1"/>
        </w:rPr>
        <w:t xml:space="preserve"> </w:t>
      </w:r>
      <w:r w:rsidRPr="009A0DA6">
        <w:rPr>
          <w:rFonts w:ascii="Cambria" w:eastAsia="Calibri" w:hAnsi="Cambria" w:cs="Calibri"/>
          <w:spacing w:val="-2"/>
        </w:rPr>
        <w:t>i</w:t>
      </w:r>
      <w:r w:rsidRPr="009A0DA6">
        <w:rPr>
          <w:rFonts w:ascii="Cambria" w:eastAsia="Calibri" w:hAnsi="Cambria" w:cs="Calibri"/>
        </w:rPr>
        <w:t>t,</w:t>
      </w:r>
      <w:r w:rsidRPr="009A0DA6">
        <w:rPr>
          <w:rFonts w:ascii="Cambria" w:eastAsia="Calibri" w:hAnsi="Cambria" w:cs="Calibri"/>
          <w:spacing w:val="1"/>
        </w:rPr>
        <w:t xml:space="preserve"> </w:t>
      </w:r>
      <w:r w:rsidRPr="009A0DA6">
        <w:rPr>
          <w:rFonts w:ascii="Cambria" w:eastAsia="Calibri" w:hAnsi="Cambria" w:cs="Calibri"/>
        </w:rPr>
        <w:t>a</w:t>
      </w:r>
      <w:r w:rsidRPr="009A0DA6">
        <w:rPr>
          <w:rFonts w:ascii="Cambria" w:eastAsia="Calibri" w:hAnsi="Cambria" w:cs="Calibri"/>
          <w:spacing w:val="-1"/>
        </w:rPr>
        <w:t>n</w:t>
      </w:r>
      <w:r w:rsidRPr="009A0DA6">
        <w:rPr>
          <w:rFonts w:ascii="Cambria" w:eastAsia="Calibri" w:hAnsi="Cambria" w:cs="Calibri"/>
        </w:rPr>
        <w:t>d</w:t>
      </w:r>
      <w:r w:rsidRPr="009A0DA6">
        <w:rPr>
          <w:rFonts w:ascii="Cambria" w:eastAsia="Calibri" w:hAnsi="Cambria" w:cs="Calibri"/>
          <w:spacing w:val="-1"/>
        </w:rPr>
        <w:t xml:space="preserve"> </w:t>
      </w:r>
      <w:r w:rsidRPr="009A0DA6">
        <w:rPr>
          <w:rFonts w:ascii="Cambria" w:eastAsia="Calibri" w:hAnsi="Cambria" w:cs="Calibri"/>
        </w:rPr>
        <w:t>such</w:t>
      </w:r>
      <w:r w:rsidRPr="009A0DA6">
        <w:rPr>
          <w:rFonts w:ascii="Cambria" w:eastAsia="Calibri" w:hAnsi="Cambria" w:cs="Calibri"/>
          <w:spacing w:val="-3"/>
        </w:rPr>
        <w:t xml:space="preserve"> </w:t>
      </w:r>
      <w:r w:rsidRPr="009A0DA6">
        <w:rPr>
          <w:rFonts w:ascii="Cambria" w:eastAsia="Calibri" w:hAnsi="Cambria" w:cs="Calibri"/>
          <w:spacing w:val="1"/>
        </w:rPr>
        <w:t>o</w:t>
      </w:r>
      <w:r w:rsidRPr="009A0DA6">
        <w:rPr>
          <w:rFonts w:ascii="Cambria" w:eastAsia="Calibri" w:hAnsi="Cambria" w:cs="Calibri"/>
          <w:spacing w:val="-1"/>
        </w:rPr>
        <w:t>n</w:t>
      </w:r>
      <w:r w:rsidRPr="009A0DA6">
        <w:rPr>
          <w:rFonts w:ascii="Cambria" w:eastAsia="Calibri" w:hAnsi="Cambria" w:cs="Calibri"/>
          <w:spacing w:val="4"/>
        </w:rPr>
        <w:t>e</w:t>
      </w:r>
      <w:r w:rsidRPr="009A0DA6">
        <w:rPr>
          <w:rFonts w:ascii="Cambria" w:eastAsia="Calibri" w:hAnsi="Cambria" w:cs="Calibri"/>
        </w:rPr>
        <w:t>-s</w:t>
      </w:r>
      <w:r w:rsidRPr="009A0DA6">
        <w:rPr>
          <w:rFonts w:ascii="Cambria" w:eastAsia="Calibri" w:hAnsi="Cambria" w:cs="Calibri"/>
          <w:spacing w:val="-3"/>
        </w:rPr>
        <w:t>i</w:t>
      </w:r>
      <w:r w:rsidRPr="009A0DA6">
        <w:rPr>
          <w:rFonts w:ascii="Cambria" w:eastAsia="Calibri" w:hAnsi="Cambria" w:cs="Calibri"/>
          <w:spacing w:val="-1"/>
        </w:rPr>
        <w:t>d</w:t>
      </w:r>
      <w:r w:rsidRPr="009A0DA6">
        <w:rPr>
          <w:rFonts w:ascii="Cambria" w:eastAsia="Calibri" w:hAnsi="Cambria" w:cs="Calibri"/>
        </w:rPr>
        <w:t>ed clai</w:t>
      </w:r>
      <w:r w:rsidRPr="009A0DA6">
        <w:rPr>
          <w:rFonts w:ascii="Cambria" w:eastAsia="Calibri" w:hAnsi="Cambria" w:cs="Calibri"/>
          <w:spacing w:val="1"/>
        </w:rPr>
        <w:t>m</w:t>
      </w:r>
      <w:r w:rsidRPr="009A0DA6">
        <w:rPr>
          <w:rFonts w:ascii="Cambria" w:eastAsia="Calibri" w:hAnsi="Cambria" w:cs="Calibri"/>
        </w:rPr>
        <w:t>s</w:t>
      </w:r>
      <w:r w:rsidRPr="009A0DA6">
        <w:rPr>
          <w:rFonts w:ascii="Cambria" w:eastAsia="Calibri" w:hAnsi="Cambria" w:cs="Calibri"/>
          <w:spacing w:val="-2"/>
        </w:rPr>
        <w:t xml:space="preserve"> </w:t>
      </w:r>
      <w:r w:rsidRPr="009A0DA6">
        <w:rPr>
          <w:rFonts w:ascii="Cambria" w:eastAsia="Calibri" w:hAnsi="Cambria" w:cs="Calibri"/>
        </w:rPr>
        <w:lastRenderedPageBreak/>
        <w:t>ca</w:t>
      </w:r>
      <w:r w:rsidRPr="009A0DA6">
        <w:rPr>
          <w:rFonts w:ascii="Cambria" w:eastAsia="Calibri" w:hAnsi="Cambria" w:cs="Calibri"/>
          <w:spacing w:val="-1"/>
        </w:rPr>
        <w:t>nno</w:t>
      </w:r>
      <w:r w:rsidRPr="009A0DA6">
        <w:rPr>
          <w:rFonts w:ascii="Cambria" w:eastAsia="Calibri" w:hAnsi="Cambria" w:cs="Calibri"/>
        </w:rPr>
        <w:t>t</w:t>
      </w:r>
      <w:r w:rsidRPr="009A0DA6">
        <w:rPr>
          <w:rFonts w:ascii="Cambria" w:eastAsia="Calibri" w:hAnsi="Cambria" w:cs="Calibri"/>
          <w:spacing w:val="1"/>
        </w:rPr>
        <w:t xml:space="preserve"> </w:t>
      </w:r>
      <w:r w:rsidRPr="009A0DA6">
        <w:rPr>
          <w:rFonts w:ascii="Cambria" w:eastAsia="Calibri" w:hAnsi="Cambria" w:cs="Calibri"/>
          <w:spacing w:val="-2"/>
        </w:rPr>
        <w:t>s</w:t>
      </w:r>
      <w:r w:rsidRPr="009A0DA6">
        <w:rPr>
          <w:rFonts w:ascii="Cambria" w:eastAsia="Calibri" w:hAnsi="Cambria" w:cs="Calibri"/>
        </w:rPr>
        <w:t>er</w:t>
      </w:r>
      <w:r w:rsidRPr="009A0DA6">
        <w:rPr>
          <w:rFonts w:ascii="Cambria" w:eastAsia="Calibri" w:hAnsi="Cambria" w:cs="Calibri"/>
          <w:spacing w:val="-1"/>
        </w:rPr>
        <w:t>v</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rPr>
        <w:t>t</w:t>
      </w:r>
      <w:r w:rsidRPr="009A0DA6">
        <w:rPr>
          <w:rFonts w:ascii="Cambria" w:eastAsia="Calibri" w:hAnsi="Cambria" w:cs="Calibri"/>
          <w:spacing w:val="-3"/>
        </w:rPr>
        <w:t>h</w:t>
      </w:r>
      <w:r w:rsidRPr="009A0DA6">
        <w:rPr>
          <w:rFonts w:ascii="Cambria" w:eastAsia="Calibri" w:hAnsi="Cambria" w:cs="Calibri"/>
        </w:rPr>
        <w:t>e ca</w:t>
      </w:r>
      <w:r w:rsidRPr="009A0DA6">
        <w:rPr>
          <w:rFonts w:ascii="Cambria" w:eastAsia="Calibri" w:hAnsi="Cambria" w:cs="Calibri"/>
          <w:spacing w:val="-1"/>
        </w:rPr>
        <w:t>u</w:t>
      </w:r>
      <w:r w:rsidRPr="009A0DA6">
        <w:rPr>
          <w:rFonts w:ascii="Cambria" w:eastAsia="Calibri" w:hAnsi="Cambria" w:cs="Calibri"/>
        </w:rPr>
        <w:t>se</w:t>
      </w:r>
      <w:r w:rsidRPr="009A0DA6">
        <w:rPr>
          <w:rFonts w:ascii="Cambria" w:eastAsia="Calibri" w:hAnsi="Cambria" w:cs="Calibri"/>
          <w:spacing w:val="-1"/>
        </w:rPr>
        <w:t xml:space="preserve"> </w:t>
      </w:r>
      <w:r w:rsidRPr="009A0DA6">
        <w:rPr>
          <w:rFonts w:ascii="Cambria" w:eastAsia="Calibri" w:hAnsi="Cambria" w:cs="Calibri"/>
          <w:spacing w:val="1"/>
        </w:rPr>
        <w:t>o</w:t>
      </w:r>
      <w:r w:rsidRPr="009A0DA6">
        <w:rPr>
          <w:rFonts w:ascii="Cambria" w:eastAsia="Calibri" w:hAnsi="Cambria" w:cs="Calibri"/>
        </w:rPr>
        <w:t>f u</w:t>
      </w:r>
      <w:r w:rsidRPr="009A0DA6">
        <w:rPr>
          <w:rFonts w:ascii="Cambria" w:eastAsia="Calibri" w:hAnsi="Cambria" w:cs="Calibri"/>
          <w:spacing w:val="-1"/>
        </w:rPr>
        <w:t>n</w:t>
      </w:r>
      <w:r w:rsidRPr="009A0DA6">
        <w:rPr>
          <w:rFonts w:ascii="Cambria" w:eastAsia="Calibri" w:hAnsi="Cambria" w:cs="Calibri"/>
        </w:rPr>
        <w:t>it</w:t>
      </w:r>
      <w:r w:rsidRPr="009A0DA6">
        <w:rPr>
          <w:rFonts w:ascii="Cambria" w:eastAsia="Calibri" w:hAnsi="Cambria" w:cs="Calibri"/>
          <w:spacing w:val="1"/>
        </w:rPr>
        <w:t>y</w:t>
      </w:r>
      <w:r w:rsidRPr="009A0DA6">
        <w:rPr>
          <w:rFonts w:ascii="Cambria" w:eastAsia="Calibri" w:hAnsi="Cambria" w:cs="Calibri"/>
        </w:rPr>
        <w:t>.</w:t>
      </w:r>
      <w:r w:rsidRPr="009A0DA6">
        <w:rPr>
          <w:rFonts w:ascii="Cambria" w:eastAsia="Calibri" w:hAnsi="Cambria" w:cs="Calibri"/>
          <w:spacing w:val="-2"/>
        </w:rPr>
        <w:t xml:space="preserve"> </w:t>
      </w:r>
      <w:r w:rsidRPr="009A0DA6">
        <w:rPr>
          <w:rFonts w:ascii="Cambria" w:eastAsia="Calibri" w:hAnsi="Cambria" w:cs="Calibri"/>
        </w:rPr>
        <w:t>Tho</w:t>
      </w:r>
      <w:r w:rsidRPr="009A0DA6">
        <w:rPr>
          <w:rFonts w:ascii="Cambria" w:eastAsia="Calibri" w:hAnsi="Cambria" w:cs="Calibri"/>
          <w:spacing w:val="-2"/>
        </w:rPr>
        <w:t>s</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rPr>
        <w:t xml:space="preserve">who </w:t>
      </w:r>
      <w:r w:rsidRPr="009A0DA6">
        <w:rPr>
          <w:rFonts w:ascii="Cambria" w:eastAsia="Calibri" w:hAnsi="Cambria" w:cs="Calibri"/>
          <w:spacing w:val="1"/>
        </w:rPr>
        <w:t>o</w:t>
      </w:r>
      <w:r w:rsidRPr="009A0DA6">
        <w:rPr>
          <w:rFonts w:ascii="Cambria" w:eastAsia="Calibri" w:hAnsi="Cambria" w:cs="Calibri"/>
          <w:spacing w:val="-1"/>
        </w:rPr>
        <w:t>pp</w:t>
      </w:r>
      <w:r w:rsidRPr="009A0DA6">
        <w:rPr>
          <w:rFonts w:ascii="Cambria" w:eastAsia="Calibri" w:hAnsi="Cambria" w:cs="Calibri"/>
          <w:spacing w:val="1"/>
        </w:rPr>
        <w:t>o</w:t>
      </w:r>
      <w:r w:rsidRPr="009A0DA6">
        <w:rPr>
          <w:rFonts w:ascii="Cambria" w:eastAsia="Calibri" w:hAnsi="Cambria" w:cs="Calibri"/>
          <w:spacing w:val="-2"/>
        </w:rPr>
        <w:t>s</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spacing w:val="-2"/>
        </w:rPr>
        <w:t>w</w:t>
      </w:r>
      <w:r w:rsidRPr="009A0DA6">
        <w:rPr>
          <w:rFonts w:ascii="Cambria" w:eastAsia="Calibri" w:hAnsi="Cambria" w:cs="Calibri"/>
          <w:spacing w:val="-1"/>
        </w:rPr>
        <w:t>o</w:t>
      </w:r>
      <w:r w:rsidRPr="009A0DA6">
        <w:rPr>
          <w:rFonts w:ascii="Cambria" w:eastAsia="Calibri" w:hAnsi="Cambria" w:cs="Calibri"/>
          <w:spacing w:val="1"/>
        </w:rPr>
        <w:t>m</w:t>
      </w:r>
      <w:r w:rsidRPr="009A0DA6">
        <w:rPr>
          <w:rFonts w:ascii="Cambria" w:eastAsia="Calibri" w:hAnsi="Cambria" w:cs="Calibri"/>
        </w:rPr>
        <w:t>en’s</w:t>
      </w:r>
      <w:r w:rsidRPr="009A0DA6">
        <w:rPr>
          <w:rFonts w:ascii="Cambria" w:eastAsia="Calibri" w:hAnsi="Cambria" w:cs="Calibri"/>
          <w:spacing w:val="-2"/>
        </w:rPr>
        <w:t xml:space="preserve"> </w:t>
      </w:r>
      <w:r w:rsidRPr="009A0DA6">
        <w:rPr>
          <w:rFonts w:ascii="Cambria" w:eastAsia="Calibri" w:hAnsi="Cambria" w:cs="Calibri"/>
          <w:spacing w:val="1"/>
        </w:rPr>
        <w:t>o</w:t>
      </w:r>
      <w:r w:rsidRPr="009A0DA6">
        <w:rPr>
          <w:rFonts w:ascii="Cambria" w:eastAsia="Calibri" w:hAnsi="Cambria" w:cs="Calibri"/>
        </w:rPr>
        <w:t>r</w:t>
      </w:r>
      <w:r w:rsidRPr="009A0DA6">
        <w:rPr>
          <w:rFonts w:ascii="Cambria" w:eastAsia="Calibri" w:hAnsi="Cambria" w:cs="Calibri"/>
          <w:spacing w:val="-1"/>
        </w:rPr>
        <w:t>d</w:t>
      </w:r>
      <w:r w:rsidRPr="009A0DA6">
        <w:rPr>
          <w:rFonts w:ascii="Cambria" w:eastAsia="Calibri" w:hAnsi="Cambria" w:cs="Calibri"/>
        </w:rPr>
        <w:t>i</w:t>
      </w:r>
      <w:r w:rsidRPr="009A0DA6">
        <w:rPr>
          <w:rFonts w:ascii="Cambria" w:eastAsia="Calibri" w:hAnsi="Cambria" w:cs="Calibri"/>
          <w:spacing w:val="-1"/>
        </w:rPr>
        <w:t>n</w:t>
      </w:r>
      <w:r w:rsidRPr="009A0DA6">
        <w:rPr>
          <w:rFonts w:ascii="Cambria" w:eastAsia="Calibri" w:hAnsi="Cambria" w:cs="Calibri"/>
        </w:rPr>
        <w:t>at</w:t>
      </w:r>
      <w:r w:rsidRPr="009A0DA6">
        <w:rPr>
          <w:rFonts w:ascii="Cambria" w:eastAsia="Calibri" w:hAnsi="Cambria" w:cs="Calibri"/>
          <w:spacing w:val="-2"/>
        </w:rPr>
        <w:t>i</w:t>
      </w:r>
      <w:r w:rsidRPr="009A0DA6">
        <w:rPr>
          <w:rFonts w:ascii="Cambria" w:eastAsia="Calibri" w:hAnsi="Cambria" w:cs="Calibri"/>
          <w:spacing w:val="-1"/>
        </w:rPr>
        <w:t>o</w:t>
      </w:r>
      <w:r w:rsidRPr="009A0DA6">
        <w:rPr>
          <w:rFonts w:ascii="Cambria" w:eastAsia="Calibri" w:hAnsi="Cambria" w:cs="Calibri"/>
        </w:rPr>
        <w:t>n have</w:t>
      </w:r>
      <w:r w:rsidRPr="009A0DA6">
        <w:rPr>
          <w:rFonts w:ascii="Cambria" w:eastAsia="Calibri" w:hAnsi="Cambria" w:cs="Calibri"/>
          <w:spacing w:val="-1"/>
        </w:rPr>
        <w:t xml:space="preserve"> </w:t>
      </w:r>
      <w:r w:rsidRPr="009A0DA6">
        <w:rPr>
          <w:rFonts w:ascii="Cambria" w:eastAsia="Calibri" w:hAnsi="Cambria" w:cs="Calibri"/>
        </w:rPr>
        <w:t>c</w:t>
      </w:r>
      <w:r w:rsidRPr="009A0DA6">
        <w:rPr>
          <w:rFonts w:ascii="Cambria" w:eastAsia="Calibri" w:hAnsi="Cambria" w:cs="Calibri"/>
          <w:spacing w:val="1"/>
        </w:rPr>
        <w:t>o</w:t>
      </w:r>
      <w:r w:rsidRPr="009A0DA6">
        <w:rPr>
          <w:rFonts w:ascii="Cambria" w:eastAsia="Calibri" w:hAnsi="Cambria" w:cs="Calibri"/>
          <w:spacing w:val="-1"/>
        </w:rPr>
        <w:t>n</w:t>
      </w:r>
      <w:r w:rsidRPr="009A0DA6">
        <w:rPr>
          <w:rFonts w:ascii="Cambria" w:eastAsia="Calibri" w:hAnsi="Cambria" w:cs="Calibri"/>
        </w:rPr>
        <w:t>si</w:t>
      </w:r>
      <w:r w:rsidRPr="009A0DA6">
        <w:rPr>
          <w:rFonts w:ascii="Cambria" w:eastAsia="Calibri" w:hAnsi="Cambria" w:cs="Calibri"/>
          <w:spacing w:val="-3"/>
        </w:rPr>
        <w:t>s</w:t>
      </w:r>
      <w:r w:rsidRPr="009A0DA6">
        <w:rPr>
          <w:rFonts w:ascii="Cambria" w:eastAsia="Calibri" w:hAnsi="Cambria" w:cs="Calibri"/>
        </w:rPr>
        <w:t>t</w:t>
      </w:r>
      <w:r w:rsidRPr="009A0DA6">
        <w:rPr>
          <w:rFonts w:ascii="Cambria" w:eastAsia="Calibri" w:hAnsi="Cambria" w:cs="Calibri"/>
          <w:spacing w:val="1"/>
        </w:rPr>
        <w:t>e</w:t>
      </w:r>
      <w:r w:rsidRPr="009A0DA6">
        <w:rPr>
          <w:rFonts w:ascii="Cambria" w:eastAsia="Calibri" w:hAnsi="Cambria" w:cs="Calibri"/>
          <w:spacing w:val="-1"/>
        </w:rPr>
        <w:t>n</w:t>
      </w:r>
      <w:r w:rsidRPr="009A0DA6">
        <w:rPr>
          <w:rFonts w:ascii="Cambria" w:eastAsia="Calibri" w:hAnsi="Cambria" w:cs="Calibri"/>
        </w:rPr>
        <w:t>t</w:t>
      </w:r>
      <w:r w:rsidRPr="009A0DA6">
        <w:rPr>
          <w:rFonts w:ascii="Cambria" w:eastAsia="Calibri" w:hAnsi="Cambria" w:cs="Calibri"/>
          <w:spacing w:val="-2"/>
        </w:rPr>
        <w:t>l</w:t>
      </w:r>
      <w:r w:rsidRPr="009A0DA6">
        <w:rPr>
          <w:rFonts w:ascii="Cambria" w:eastAsia="Calibri" w:hAnsi="Cambria" w:cs="Calibri"/>
        </w:rPr>
        <w:t>y</w:t>
      </w:r>
      <w:r w:rsidRPr="009A0DA6">
        <w:rPr>
          <w:rFonts w:ascii="Cambria" w:eastAsia="Calibri" w:hAnsi="Cambria" w:cs="Calibri"/>
          <w:spacing w:val="1"/>
        </w:rPr>
        <w:t xml:space="preserve"> </w:t>
      </w:r>
      <w:r w:rsidRPr="009A0DA6">
        <w:rPr>
          <w:rFonts w:ascii="Cambria" w:eastAsia="Calibri" w:hAnsi="Cambria" w:cs="Calibri"/>
        </w:rPr>
        <w:t>ar</w:t>
      </w:r>
      <w:r w:rsidRPr="009A0DA6">
        <w:rPr>
          <w:rFonts w:ascii="Cambria" w:eastAsia="Calibri" w:hAnsi="Cambria" w:cs="Calibri"/>
          <w:spacing w:val="-1"/>
        </w:rPr>
        <w:t>gu</w:t>
      </w:r>
      <w:r w:rsidRPr="009A0DA6">
        <w:rPr>
          <w:rFonts w:ascii="Cambria" w:eastAsia="Calibri" w:hAnsi="Cambria" w:cs="Calibri"/>
        </w:rPr>
        <w:t>ed</w:t>
      </w:r>
      <w:r w:rsidRPr="009A0DA6">
        <w:rPr>
          <w:rFonts w:ascii="Cambria" w:eastAsia="Calibri" w:hAnsi="Cambria" w:cs="Calibri"/>
          <w:spacing w:val="-2"/>
        </w:rPr>
        <w:t xml:space="preserve"> </w:t>
      </w:r>
      <w:r w:rsidRPr="009A0DA6">
        <w:rPr>
          <w:rFonts w:ascii="Cambria" w:eastAsia="Calibri" w:hAnsi="Cambria" w:cs="Calibri"/>
        </w:rPr>
        <w:t xml:space="preserve">that </w:t>
      </w:r>
      <w:r w:rsidRPr="009A0DA6">
        <w:rPr>
          <w:rFonts w:ascii="Cambria" w:eastAsia="Calibri" w:hAnsi="Cambria" w:cs="Calibri"/>
          <w:spacing w:val="-1"/>
        </w:rPr>
        <w:t>wo</w:t>
      </w:r>
      <w:r w:rsidRPr="009A0DA6">
        <w:rPr>
          <w:rFonts w:ascii="Cambria" w:eastAsia="Calibri" w:hAnsi="Cambria" w:cs="Calibri"/>
          <w:spacing w:val="1"/>
        </w:rPr>
        <w:t>m</w:t>
      </w:r>
      <w:r w:rsidRPr="009A0DA6">
        <w:rPr>
          <w:rFonts w:ascii="Cambria" w:eastAsia="Calibri" w:hAnsi="Cambria" w:cs="Calibri"/>
        </w:rPr>
        <w:t>en’s</w:t>
      </w:r>
      <w:r w:rsidRPr="009A0DA6">
        <w:rPr>
          <w:rFonts w:ascii="Cambria" w:eastAsia="Calibri" w:hAnsi="Cambria" w:cs="Calibri"/>
          <w:spacing w:val="-2"/>
        </w:rPr>
        <w:t xml:space="preserve"> </w:t>
      </w:r>
      <w:r w:rsidRPr="009A0DA6">
        <w:rPr>
          <w:rFonts w:ascii="Cambria" w:eastAsia="Calibri" w:hAnsi="Cambria" w:cs="Calibri"/>
          <w:spacing w:val="1"/>
        </w:rPr>
        <w:t>o</w:t>
      </w:r>
      <w:r w:rsidRPr="009A0DA6">
        <w:rPr>
          <w:rFonts w:ascii="Cambria" w:eastAsia="Calibri" w:hAnsi="Cambria" w:cs="Calibri"/>
        </w:rPr>
        <w:t>r</w:t>
      </w:r>
      <w:r w:rsidRPr="009A0DA6">
        <w:rPr>
          <w:rFonts w:ascii="Cambria" w:eastAsia="Calibri" w:hAnsi="Cambria" w:cs="Calibri"/>
          <w:spacing w:val="-1"/>
        </w:rPr>
        <w:t>d</w:t>
      </w:r>
      <w:r w:rsidRPr="009A0DA6">
        <w:rPr>
          <w:rFonts w:ascii="Cambria" w:eastAsia="Calibri" w:hAnsi="Cambria" w:cs="Calibri"/>
        </w:rPr>
        <w:t>i</w:t>
      </w:r>
      <w:r w:rsidRPr="009A0DA6">
        <w:rPr>
          <w:rFonts w:ascii="Cambria" w:eastAsia="Calibri" w:hAnsi="Cambria" w:cs="Calibri"/>
          <w:spacing w:val="-1"/>
        </w:rPr>
        <w:t>n</w:t>
      </w:r>
      <w:r w:rsidRPr="009A0DA6">
        <w:rPr>
          <w:rFonts w:ascii="Cambria" w:eastAsia="Calibri" w:hAnsi="Cambria" w:cs="Calibri"/>
        </w:rPr>
        <w:t>at</w:t>
      </w:r>
      <w:r w:rsidRPr="009A0DA6">
        <w:rPr>
          <w:rFonts w:ascii="Cambria" w:eastAsia="Calibri" w:hAnsi="Cambria" w:cs="Calibri"/>
          <w:spacing w:val="-2"/>
        </w:rPr>
        <w:t>i</w:t>
      </w:r>
      <w:r w:rsidRPr="009A0DA6">
        <w:rPr>
          <w:rFonts w:ascii="Cambria" w:eastAsia="Calibri" w:hAnsi="Cambria" w:cs="Calibri"/>
          <w:spacing w:val="1"/>
        </w:rPr>
        <w:t>o</w:t>
      </w:r>
      <w:r w:rsidRPr="009A0DA6">
        <w:rPr>
          <w:rFonts w:ascii="Cambria" w:eastAsia="Calibri" w:hAnsi="Cambria" w:cs="Calibri"/>
        </w:rPr>
        <w:t xml:space="preserve">n </w:t>
      </w:r>
      <w:r w:rsidRPr="009A0DA6">
        <w:rPr>
          <w:rFonts w:ascii="Cambria" w:eastAsia="Calibri" w:hAnsi="Cambria" w:cs="Calibri"/>
          <w:spacing w:val="-3"/>
        </w:rPr>
        <w:t>d</w:t>
      </w:r>
      <w:r w:rsidRPr="009A0DA6">
        <w:rPr>
          <w:rFonts w:ascii="Cambria" w:eastAsia="Calibri" w:hAnsi="Cambria" w:cs="Calibri"/>
          <w:spacing w:val="1"/>
        </w:rPr>
        <w:t>o</w:t>
      </w:r>
      <w:r w:rsidRPr="009A0DA6">
        <w:rPr>
          <w:rFonts w:ascii="Cambria" w:eastAsia="Calibri" w:hAnsi="Cambria" w:cs="Calibri"/>
        </w:rPr>
        <w:t xml:space="preserve">es </w:t>
      </w:r>
      <w:r w:rsidRPr="009A0DA6">
        <w:rPr>
          <w:rFonts w:ascii="Cambria" w:eastAsia="Calibri" w:hAnsi="Cambria" w:cs="Calibri"/>
          <w:spacing w:val="-1"/>
        </w:rPr>
        <w:t>d</w:t>
      </w:r>
      <w:r w:rsidRPr="009A0DA6">
        <w:rPr>
          <w:rFonts w:ascii="Cambria" w:eastAsia="Calibri" w:hAnsi="Cambria" w:cs="Calibri"/>
        </w:rPr>
        <w:t>eny,</w:t>
      </w:r>
      <w:r w:rsidRPr="009A0DA6">
        <w:rPr>
          <w:rFonts w:ascii="Cambria" w:eastAsia="Calibri" w:hAnsi="Cambria" w:cs="Calibri"/>
          <w:spacing w:val="1"/>
        </w:rPr>
        <w:t xml:space="preserve"> </w:t>
      </w:r>
      <w:r w:rsidRPr="009A0DA6">
        <w:rPr>
          <w:rFonts w:ascii="Cambria" w:eastAsia="Calibri" w:hAnsi="Cambria" w:cs="Calibri"/>
          <w:spacing w:val="-2"/>
        </w:rPr>
        <w:t>c</w:t>
      </w:r>
      <w:r w:rsidRPr="009A0DA6">
        <w:rPr>
          <w:rFonts w:ascii="Cambria" w:eastAsia="Calibri" w:hAnsi="Cambria" w:cs="Calibri"/>
          <w:spacing w:val="1"/>
        </w:rPr>
        <w:t>o</w:t>
      </w:r>
      <w:r w:rsidRPr="009A0DA6">
        <w:rPr>
          <w:rFonts w:ascii="Cambria" w:eastAsia="Calibri" w:hAnsi="Cambria" w:cs="Calibri"/>
          <w:spacing w:val="-1"/>
        </w:rPr>
        <w:t>n</w:t>
      </w:r>
      <w:r w:rsidRPr="009A0DA6">
        <w:rPr>
          <w:rFonts w:ascii="Cambria" w:eastAsia="Calibri" w:hAnsi="Cambria" w:cs="Calibri"/>
        </w:rPr>
        <w:t>tra</w:t>
      </w:r>
      <w:r w:rsidRPr="009A0DA6">
        <w:rPr>
          <w:rFonts w:ascii="Cambria" w:eastAsia="Calibri" w:hAnsi="Cambria" w:cs="Calibri"/>
          <w:spacing w:val="-1"/>
        </w:rPr>
        <w:t>d</w:t>
      </w:r>
      <w:r w:rsidRPr="009A0DA6">
        <w:rPr>
          <w:rFonts w:ascii="Cambria" w:eastAsia="Calibri" w:hAnsi="Cambria" w:cs="Calibri"/>
        </w:rPr>
        <w:t>ic</w:t>
      </w:r>
      <w:r w:rsidRPr="009A0DA6">
        <w:rPr>
          <w:rFonts w:ascii="Cambria" w:eastAsia="Calibri" w:hAnsi="Cambria" w:cs="Calibri"/>
          <w:spacing w:val="-2"/>
        </w:rPr>
        <w:t>t</w:t>
      </w:r>
      <w:r w:rsidRPr="009A0DA6">
        <w:rPr>
          <w:rFonts w:ascii="Cambria" w:eastAsia="Calibri" w:hAnsi="Cambria" w:cs="Calibri"/>
        </w:rPr>
        <w:t>, and</w:t>
      </w:r>
      <w:r w:rsidRPr="009A0DA6">
        <w:rPr>
          <w:rFonts w:ascii="Cambria" w:eastAsia="Calibri" w:hAnsi="Cambria" w:cs="Calibri"/>
          <w:spacing w:val="-1"/>
        </w:rPr>
        <w:t xml:space="preserve"> </w:t>
      </w:r>
      <w:r w:rsidRPr="009A0DA6">
        <w:rPr>
          <w:rFonts w:ascii="Cambria" w:eastAsia="Calibri" w:hAnsi="Cambria" w:cs="Calibri"/>
        </w:rPr>
        <w:t>ig</w:t>
      </w:r>
      <w:r w:rsidRPr="009A0DA6">
        <w:rPr>
          <w:rFonts w:ascii="Cambria" w:eastAsia="Calibri" w:hAnsi="Cambria" w:cs="Calibri"/>
          <w:spacing w:val="-1"/>
        </w:rPr>
        <w:t>n</w:t>
      </w:r>
      <w:r w:rsidRPr="009A0DA6">
        <w:rPr>
          <w:rFonts w:ascii="Cambria" w:eastAsia="Calibri" w:hAnsi="Cambria" w:cs="Calibri"/>
          <w:spacing w:val="1"/>
        </w:rPr>
        <w:t>o</w:t>
      </w:r>
      <w:r w:rsidRPr="009A0DA6">
        <w:rPr>
          <w:rFonts w:ascii="Cambria" w:eastAsia="Calibri" w:hAnsi="Cambria" w:cs="Calibri"/>
          <w:spacing w:val="-3"/>
        </w:rPr>
        <w:t>r</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spacing w:val="-1"/>
        </w:rPr>
        <w:t>b</w:t>
      </w:r>
      <w:r w:rsidRPr="009A0DA6">
        <w:rPr>
          <w:rFonts w:ascii="Cambria" w:eastAsia="Calibri" w:hAnsi="Cambria" w:cs="Calibri"/>
          <w:spacing w:val="1"/>
        </w:rPr>
        <w:t>o</w:t>
      </w:r>
      <w:r w:rsidRPr="009A0DA6">
        <w:rPr>
          <w:rFonts w:ascii="Cambria" w:eastAsia="Calibri" w:hAnsi="Cambria" w:cs="Calibri"/>
        </w:rPr>
        <w:t>th</w:t>
      </w:r>
      <w:r w:rsidRPr="009A0DA6">
        <w:rPr>
          <w:rFonts w:ascii="Cambria" w:eastAsia="Calibri" w:hAnsi="Cambria" w:cs="Calibri"/>
          <w:spacing w:val="-3"/>
        </w:rPr>
        <w:t xml:space="preserve"> </w:t>
      </w:r>
      <w:r w:rsidRPr="009A0DA6">
        <w:rPr>
          <w:rFonts w:ascii="Cambria" w:eastAsia="Calibri" w:hAnsi="Cambria" w:cs="Calibri"/>
        </w:rPr>
        <w:t>1</w:t>
      </w:r>
      <w:r w:rsidRPr="009A0DA6">
        <w:rPr>
          <w:rFonts w:ascii="Cambria" w:eastAsia="Calibri" w:hAnsi="Cambria" w:cs="Calibri"/>
          <w:spacing w:val="1"/>
        </w:rPr>
        <w:t xml:space="preserve"> </w:t>
      </w:r>
      <w:r w:rsidRPr="009A0DA6">
        <w:rPr>
          <w:rFonts w:ascii="Cambria" w:eastAsia="Calibri" w:hAnsi="Cambria" w:cs="Calibri"/>
          <w:spacing w:val="-2"/>
        </w:rPr>
        <w:t>C</w:t>
      </w:r>
      <w:r w:rsidRPr="009A0DA6">
        <w:rPr>
          <w:rFonts w:ascii="Cambria" w:eastAsia="Calibri" w:hAnsi="Cambria" w:cs="Calibri"/>
          <w:spacing w:val="1"/>
        </w:rPr>
        <w:t>o</w:t>
      </w:r>
      <w:r w:rsidRPr="009A0DA6">
        <w:rPr>
          <w:rFonts w:ascii="Cambria" w:eastAsia="Calibri" w:hAnsi="Cambria" w:cs="Calibri"/>
        </w:rPr>
        <w:t>ri</w:t>
      </w:r>
      <w:r w:rsidRPr="009A0DA6">
        <w:rPr>
          <w:rFonts w:ascii="Cambria" w:eastAsia="Calibri" w:hAnsi="Cambria" w:cs="Calibri"/>
          <w:spacing w:val="-1"/>
        </w:rPr>
        <w:t>n</w:t>
      </w:r>
      <w:r w:rsidRPr="009A0DA6">
        <w:rPr>
          <w:rFonts w:ascii="Cambria" w:eastAsia="Calibri" w:hAnsi="Cambria" w:cs="Calibri"/>
        </w:rPr>
        <w:t>th</w:t>
      </w:r>
      <w:r w:rsidRPr="009A0DA6">
        <w:rPr>
          <w:rFonts w:ascii="Cambria" w:eastAsia="Calibri" w:hAnsi="Cambria" w:cs="Calibri"/>
          <w:spacing w:val="-1"/>
        </w:rPr>
        <w:t>i</w:t>
      </w:r>
      <w:r w:rsidRPr="009A0DA6">
        <w:rPr>
          <w:rFonts w:ascii="Cambria" w:eastAsia="Calibri" w:hAnsi="Cambria" w:cs="Calibri"/>
        </w:rPr>
        <w:t>a</w:t>
      </w:r>
      <w:r w:rsidRPr="009A0DA6">
        <w:rPr>
          <w:rFonts w:ascii="Cambria" w:eastAsia="Calibri" w:hAnsi="Cambria" w:cs="Calibri"/>
          <w:spacing w:val="-1"/>
        </w:rPr>
        <w:t>n</w:t>
      </w:r>
      <w:r w:rsidRPr="009A0DA6">
        <w:rPr>
          <w:rFonts w:ascii="Cambria" w:eastAsia="Calibri" w:hAnsi="Cambria" w:cs="Calibri"/>
        </w:rPr>
        <w:t>s</w:t>
      </w:r>
      <w:r w:rsidRPr="009A0DA6">
        <w:rPr>
          <w:rFonts w:ascii="Cambria" w:eastAsia="Calibri" w:hAnsi="Cambria" w:cs="Calibri"/>
          <w:spacing w:val="-2"/>
        </w:rPr>
        <w:t xml:space="preserve"> </w:t>
      </w:r>
      <w:r w:rsidRPr="009A0DA6">
        <w:rPr>
          <w:rFonts w:ascii="Cambria" w:eastAsia="Calibri" w:hAnsi="Cambria" w:cs="Calibri"/>
          <w:spacing w:val="1"/>
        </w:rPr>
        <w:t>1</w:t>
      </w:r>
      <w:r w:rsidRPr="009A0DA6">
        <w:rPr>
          <w:rFonts w:ascii="Cambria" w:eastAsia="Calibri" w:hAnsi="Cambria" w:cs="Calibri"/>
          <w:spacing w:val="-2"/>
        </w:rPr>
        <w:t>4</w:t>
      </w:r>
      <w:r w:rsidRPr="009A0DA6">
        <w:rPr>
          <w:rFonts w:ascii="Cambria" w:eastAsia="Calibri" w:hAnsi="Cambria" w:cs="Calibri"/>
          <w:spacing w:val="1"/>
        </w:rPr>
        <w:t>:</w:t>
      </w:r>
      <w:r w:rsidRPr="009A0DA6">
        <w:rPr>
          <w:rFonts w:ascii="Cambria" w:eastAsia="Calibri" w:hAnsi="Cambria" w:cs="Calibri"/>
          <w:spacing w:val="-2"/>
        </w:rPr>
        <w:t>3</w:t>
      </w:r>
      <w:r w:rsidRPr="009A0DA6">
        <w:rPr>
          <w:rFonts w:ascii="Cambria" w:eastAsia="Calibri" w:hAnsi="Cambria" w:cs="Calibri"/>
          <w:spacing w:val="3"/>
        </w:rPr>
        <w:t>3</w:t>
      </w:r>
      <w:r w:rsidRPr="009A0DA6">
        <w:rPr>
          <w:rFonts w:ascii="Cambria" w:eastAsia="Calibri" w:hAnsi="Cambria" w:cs="Calibri"/>
          <w:spacing w:val="-3"/>
        </w:rPr>
        <w:sym w:font="Symbol" w:char="F02D"/>
      </w:r>
      <w:r w:rsidRPr="009A0DA6">
        <w:rPr>
          <w:rFonts w:ascii="Cambria" w:eastAsia="Calibri" w:hAnsi="Cambria" w:cs="Calibri"/>
          <w:spacing w:val="1"/>
        </w:rPr>
        <w:t>3</w:t>
      </w:r>
      <w:r w:rsidRPr="009A0DA6">
        <w:rPr>
          <w:rFonts w:ascii="Cambria" w:eastAsia="Calibri" w:hAnsi="Cambria" w:cs="Calibri"/>
        </w:rPr>
        <w:t>8</w:t>
      </w:r>
      <w:r w:rsidRPr="009A0DA6">
        <w:rPr>
          <w:rFonts w:ascii="Cambria" w:eastAsia="Calibri" w:hAnsi="Cambria" w:cs="Calibri"/>
          <w:spacing w:val="1"/>
        </w:rPr>
        <w:t xml:space="preserve"> </w:t>
      </w:r>
      <w:r w:rsidRPr="009A0DA6">
        <w:rPr>
          <w:rFonts w:ascii="Cambria" w:eastAsia="Calibri" w:hAnsi="Cambria" w:cs="Calibri"/>
        </w:rPr>
        <w:t>and</w:t>
      </w:r>
      <w:r w:rsidRPr="009A0DA6">
        <w:rPr>
          <w:rFonts w:ascii="Cambria" w:eastAsia="Calibri" w:hAnsi="Cambria" w:cs="Calibri"/>
          <w:spacing w:val="-3"/>
        </w:rPr>
        <w:t xml:space="preserve"> </w:t>
      </w:r>
      <w:r w:rsidRPr="009A0DA6">
        <w:rPr>
          <w:rFonts w:ascii="Cambria" w:eastAsia="Calibri" w:hAnsi="Cambria" w:cs="Calibri"/>
        </w:rPr>
        <w:t>1</w:t>
      </w:r>
      <w:r w:rsidRPr="009A0DA6">
        <w:rPr>
          <w:rFonts w:ascii="Cambria" w:eastAsia="Calibri" w:hAnsi="Cambria" w:cs="Calibri"/>
          <w:spacing w:val="-1"/>
        </w:rPr>
        <w:t xml:space="preserve"> </w:t>
      </w:r>
      <w:r w:rsidRPr="009A0DA6">
        <w:rPr>
          <w:rFonts w:ascii="Cambria" w:eastAsia="Calibri" w:hAnsi="Cambria" w:cs="Calibri"/>
        </w:rPr>
        <w:t>Ti</w:t>
      </w:r>
      <w:r w:rsidRPr="009A0DA6">
        <w:rPr>
          <w:rFonts w:ascii="Cambria" w:eastAsia="Calibri" w:hAnsi="Cambria" w:cs="Calibri"/>
          <w:spacing w:val="-1"/>
        </w:rPr>
        <w:t>m</w:t>
      </w:r>
      <w:r w:rsidRPr="009A0DA6">
        <w:rPr>
          <w:rFonts w:ascii="Cambria" w:eastAsia="Calibri" w:hAnsi="Cambria" w:cs="Calibri"/>
          <w:spacing w:val="1"/>
        </w:rPr>
        <w:t>o</w:t>
      </w:r>
      <w:r w:rsidRPr="009A0DA6">
        <w:rPr>
          <w:rFonts w:ascii="Cambria" w:eastAsia="Calibri" w:hAnsi="Cambria" w:cs="Calibri"/>
        </w:rPr>
        <w:t>t</w:t>
      </w:r>
      <w:r w:rsidRPr="009A0DA6">
        <w:rPr>
          <w:rFonts w:ascii="Cambria" w:eastAsia="Calibri" w:hAnsi="Cambria" w:cs="Calibri"/>
          <w:spacing w:val="-3"/>
        </w:rPr>
        <w:t>h</w:t>
      </w:r>
      <w:r w:rsidRPr="009A0DA6">
        <w:rPr>
          <w:rFonts w:ascii="Cambria" w:eastAsia="Calibri" w:hAnsi="Cambria" w:cs="Calibri"/>
        </w:rPr>
        <w:t>y</w:t>
      </w:r>
      <w:r w:rsidRPr="009A0DA6">
        <w:rPr>
          <w:rFonts w:ascii="Cambria" w:eastAsia="Calibri" w:hAnsi="Cambria" w:cs="Calibri"/>
          <w:spacing w:val="1"/>
        </w:rPr>
        <w:t xml:space="preserve"> </w:t>
      </w:r>
      <w:r w:rsidRPr="009A0DA6">
        <w:rPr>
          <w:rFonts w:ascii="Cambria" w:eastAsia="Calibri" w:hAnsi="Cambria" w:cs="Calibri"/>
          <w:spacing w:val="-1"/>
        </w:rPr>
        <w:t>2</w:t>
      </w:r>
      <w:r w:rsidRPr="009A0DA6">
        <w:rPr>
          <w:rFonts w:ascii="Cambria" w:eastAsia="Calibri" w:hAnsi="Cambria" w:cs="Calibri"/>
          <w:spacing w:val="1"/>
        </w:rPr>
        <w:t>:</w:t>
      </w:r>
      <w:r w:rsidRPr="009A0DA6">
        <w:rPr>
          <w:rFonts w:ascii="Cambria" w:eastAsia="Calibri" w:hAnsi="Cambria" w:cs="Calibri"/>
          <w:spacing w:val="-2"/>
        </w:rPr>
        <w:t>1</w:t>
      </w:r>
      <w:r w:rsidRPr="009A0DA6">
        <w:rPr>
          <w:rFonts w:ascii="Cambria" w:eastAsia="Calibri" w:hAnsi="Cambria" w:cs="Calibri"/>
          <w:spacing w:val="2"/>
        </w:rPr>
        <w:t>1</w:t>
      </w:r>
      <w:r w:rsidRPr="009A0DA6">
        <w:rPr>
          <w:rFonts w:ascii="Cambria" w:eastAsia="Calibri" w:hAnsi="Cambria" w:cs="Calibri"/>
          <w:spacing w:val="-3"/>
        </w:rPr>
        <w:sym w:font="Symbol" w:char="F02D"/>
      </w:r>
      <w:r w:rsidRPr="009A0DA6">
        <w:rPr>
          <w:rFonts w:ascii="Cambria" w:eastAsia="Calibri" w:hAnsi="Cambria" w:cs="Calibri"/>
          <w:spacing w:val="-2"/>
        </w:rPr>
        <w:t>1</w:t>
      </w:r>
      <w:r w:rsidRPr="009A0DA6">
        <w:rPr>
          <w:rFonts w:ascii="Cambria" w:eastAsia="Calibri" w:hAnsi="Cambria" w:cs="Calibri"/>
          <w:spacing w:val="1"/>
        </w:rPr>
        <w:t>4</w:t>
      </w:r>
      <w:r w:rsidRPr="009A0DA6">
        <w:rPr>
          <w:rFonts w:ascii="Cambria" w:eastAsia="Calibri" w:hAnsi="Cambria" w:cs="Calibri"/>
        </w:rPr>
        <w:t>,</w:t>
      </w:r>
      <w:r w:rsidRPr="009A0DA6">
        <w:rPr>
          <w:rFonts w:ascii="Cambria" w:eastAsia="Calibri" w:hAnsi="Cambria" w:cs="Calibri"/>
          <w:spacing w:val="-2"/>
        </w:rPr>
        <w:t xml:space="preserve"> </w:t>
      </w:r>
      <w:r w:rsidRPr="009A0DA6">
        <w:rPr>
          <w:rFonts w:ascii="Cambria" w:eastAsia="Calibri" w:hAnsi="Cambria" w:cs="Calibri"/>
        </w:rPr>
        <w:t>a</w:t>
      </w:r>
      <w:r w:rsidRPr="009A0DA6">
        <w:rPr>
          <w:rFonts w:ascii="Cambria" w:eastAsia="Calibri" w:hAnsi="Cambria" w:cs="Calibri"/>
          <w:spacing w:val="-1"/>
        </w:rPr>
        <w:t>n</w:t>
      </w:r>
      <w:r w:rsidRPr="009A0DA6">
        <w:rPr>
          <w:rFonts w:ascii="Cambria" w:eastAsia="Calibri" w:hAnsi="Cambria" w:cs="Calibri"/>
        </w:rPr>
        <w:t>d</w:t>
      </w:r>
      <w:r w:rsidRPr="009A0DA6">
        <w:rPr>
          <w:rFonts w:ascii="Cambria" w:eastAsia="Calibri" w:hAnsi="Cambria" w:cs="Calibri"/>
          <w:spacing w:val="-1"/>
        </w:rPr>
        <w:t xml:space="preserve">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is p</w:t>
      </w:r>
      <w:r w:rsidRPr="009A0DA6">
        <w:rPr>
          <w:rFonts w:ascii="Cambria" w:eastAsia="Calibri" w:hAnsi="Cambria" w:cs="Calibri"/>
          <w:spacing w:val="-1"/>
        </w:rPr>
        <w:t>ap</w:t>
      </w:r>
      <w:r w:rsidRPr="009A0DA6">
        <w:rPr>
          <w:rFonts w:ascii="Cambria" w:eastAsia="Calibri" w:hAnsi="Cambria" w:cs="Calibri"/>
        </w:rPr>
        <w:t>er</w:t>
      </w:r>
      <w:r w:rsidRPr="009A0DA6">
        <w:rPr>
          <w:rFonts w:ascii="Cambria" w:eastAsia="Calibri" w:hAnsi="Cambria" w:cs="Calibri"/>
          <w:spacing w:val="1"/>
        </w:rPr>
        <w:t xml:space="preserve"> </w:t>
      </w:r>
      <w:r w:rsidRPr="009A0DA6">
        <w:rPr>
          <w:rFonts w:ascii="Cambria" w:eastAsia="Calibri" w:hAnsi="Cambria" w:cs="Calibri"/>
        </w:rPr>
        <w:t>s</w:t>
      </w:r>
      <w:r w:rsidRPr="009A0DA6">
        <w:rPr>
          <w:rFonts w:ascii="Cambria" w:eastAsia="Calibri" w:hAnsi="Cambria" w:cs="Calibri"/>
          <w:spacing w:val="-3"/>
        </w:rPr>
        <w:t>i</w:t>
      </w:r>
      <w:r w:rsidRPr="009A0DA6">
        <w:rPr>
          <w:rFonts w:ascii="Cambria" w:eastAsia="Calibri" w:hAnsi="Cambria" w:cs="Calibri"/>
          <w:spacing w:val="1"/>
        </w:rPr>
        <w:t>m</w:t>
      </w:r>
      <w:r w:rsidRPr="009A0DA6">
        <w:rPr>
          <w:rFonts w:ascii="Cambria" w:eastAsia="Calibri" w:hAnsi="Cambria" w:cs="Calibri"/>
          <w:spacing w:val="-1"/>
        </w:rPr>
        <w:t>p</w:t>
      </w:r>
      <w:r w:rsidRPr="009A0DA6">
        <w:rPr>
          <w:rFonts w:ascii="Cambria" w:eastAsia="Calibri" w:hAnsi="Cambria" w:cs="Calibri"/>
        </w:rPr>
        <w:t>ly</w:t>
      </w:r>
      <w:r w:rsidRPr="009A0DA6">
        <w:rPr>
          <w:rFonts w:ascii="Cambria" w:eastAsia="Calibri" w:hAnsi="Cambria" w:cs="Calibri"/>
          <w:spacing w:val="1"/>
        </w:rPr>
        <w:t xml:space="preserve"> </w:t>
      </w:r>
      <w:r w:rsidRPr="009A0DA6">
        <w:rPr>
          <w:rFonts w:ascii="Cambria" w:eastAsia="Calibri" w:hAnsi="Cambria" w:cs="Calibri"/>
        </w:rPr>
        <w:t>i</w:t>
      </w:r>
      <w:r w:rsidRPr="009A0DA6">
        <w:rPr>
          <w:rFonts w:ascii="Cambria" w:eastAsia="Calibri" w:hAnsi="Cambria" w:cs="Calibri"/>
          <w:spacing w:val="-1"/>
        </w:rPr>
        <w:t>g</w:t>
      </w:r>
      <w:r w:rsidRPr="009A0DA6">
        <w:rPr>
          <w:rFonts w:ascii="Cambria" w:eastAsia="Calibri" w:hAnsi="Cambria" w:cs="Calibri"/>
          <w:spacing w:val="-3"/>
        </w:rPr>
        <w:t>n</w:t>
      </w:r>
      <w:r w:rsidRPr="009A0DA6">
        <w:rPr>
          <w:rFonts w:ascii="Cambria" w:eastAsia="Calibri" w:hAnsi="Cambria" w:cs="Calibri"/>
          <w:spacing w:val="1"/>
        </w:rPr>
        <w:t>o</w:t>
      </w:r>
      <w:r w:rsidRPr="009A0DA6">
        <w:rPr>
          <w:rFonts w:ascii="Cambria" w:eastAsia="Calibri" w:hAnsi="Cambria" w:cs="Calibri"/>
          <w:spacing w:val="-3"/>
        </w:rPr>
        <w:t>r</w:t>
      </w:r>
      <w:r w:rsidRPr="009A0DA6">
        <w:rPr>
          <w:rFonts w:ascii="Cambria" w:eastAsia="Calibri" w:hAnsi="Cambria" w:cs="Calibri"/>
        </w:rPr>
        <w:t xml:space="preserve">es their </w:t>
      </w:r>
      <w:r w:rsidRPr="009A0DA6">
        <w:rPr>
          <w:rFonts w:ascii="Cambria" w:eastAsia="Calibri" w:hAnsi="Cambria" w:cs="Calibri"/>
          <w:spacing w:val="-1"/>
        </w:rPr>
        <w:t>p</w:t>
      </w:r>
      <w:r w:rsidRPr="009A0DA6">
        <w:rPr>
          <w:rFonts w:ascii="Cambria" w:eastAsia="Calibri" w:hAnsi="Cambria" w:cs="Calibri"/>
        </w:rPr>
        <w:t>ersp</w:t>
      </w:r>
      <w:r w:rsidRPr="009A0DA6">
        <w:rPr>
          <w:rFonts w:ascii="Cambria" w:eastAsia="Calibri" w:hAnsi="Cambria" w:cs="Calibri"/>
          <w:spacing w:val="-2"/>
        </w:rPr>
        <w:t>e</w:t>
      </w:r>
      <w:r w:rsidRPr="009A0DA6">
        <w:rPr>
          <w:rFonts w:ascii="Cambria" w:eastAsia="Calibri" w:hAnsi="Cambria" w:cs="Calibri"/>
        </w:rPr>
        <w:t>ct</w:t>
      </w:r>
      <w:r w:rsidRPr="009A0DA6">
        <w:rPr>
          <w:rFonts w:ascii="Cambria" w:eastAsia="Calibri" w:hAnsi="Cambria" w:cs="Calibri"/>
          <w:spacing w:val="-2"/>
        </w:rPr>
        <w:t>i</w:t>
      </w:r>
      <w:r w:rsidRPr="009A0DA6">
        <w:rPr>
          <w:rFonts w:ascii="Cambria" w:eastAsia="Calibri" w:hAnsi="Cambria" w:cs="Calibri"/>
          <w:spacing w:val="1"/>
        </w:rPr>
        <w:t>v</w:t>
      </w:r>
      <w:r w:rsidRPr="009A0DA6">
        <w:rPr>
          <w:rFonts w:ascii="Cambria" w:eastAsia="Calibri" w:hAnsi="Cambria" w:cs="Calibri"/>
        </w:rPr>
        <w:t>e.</w:t>
      </w:r>
    </w:p>
    <w:p w14:paraId="640C1182" w14:textId="77777777" w:rsidR="007365CB" w:rsidRPr="00892E6E" w:rsidRDefault="007365CB" w:rsidP="007365CB">
      <w:pPr>
        <w:pStyle w:val="ListParagraph"/>
        <w:spacing w:after="0"/>
        <w:ind w:left="567" w:right="497"/>
        <w:rPr>
          <w:rFonts w:ascii="Cambria" w:eastAsia="Calibri" w:hAnsi="Cambria" w:cs="Calibri"/>
          <w:sz w:val="16"/>
        </w:rPr>
      </w:pPr>
    </w:p>
    <w:p w14:paraId="5DC4F3DE" w14:textId="1CBC7A08" w:rsidR="00417DA5" w:rsidRPr="00892E6E" w:rsidRDefault="00417DA5" w:rsidP="00F55252">
      <w:pPr>
        <w:pStyle w:val="ListParagraph"/>
        <w:numPr>
          <w:ilvl w:val="3"/>
          <w:numId w:val="121"/>
        </w:numPr>
        <w:spacing w:after="0" w:line="240" w:lineRule="auto"/>
        <w:ind w:left="567" w:right="497" w:hanging="567"/>
        <w:rPr>
          <w:rFonts w:ascii="Cambria" w:eastAsia="Calibri" w:hAnsi="Cambria" w:cs="Calibri"/>
          <w:sz w:val="16"/>
        </w:rPr>
      </w:pPr>
      <w:r w:rsidRPr="009A0DA6">
        <w:rPr>
          <w:rFonts w:ascii="Cambria" w:eastAsia="Calibri" w:hAnsi="Cambria" w:cs="Calibri"/>
        </w:rPr>
        <w:t>The</w:t>
      </w:r>
      <w:r w:rsidRPr="009A0DA6">
        <w:rPr>
          <w:rFonts w:ascii="Cambria" w:eastAsia="Calibri" w:hAnsi="Cambria" w:cs="Calibri"/>
          <w:spacing w:val="1"/>
        </w:rPr>
        <w:t xml:space="preserve"> </w:t>
      </w:r>
      <w:r w:rsidRPr="009A0DA6">
        <w:rPr>
          <w:rFonts w:ascii="Cambria" w:eastAsia="Calibri" w:hAnsi="Cambria" w:cs="Calibri"/>
        </w:rPr>
        <w:t>CTI</w:t>
      </w:r>
      <w:r w:rsidRPr="009A0DA6">
        <w:rPr>
          <w:rFonts w:ascii="Cambria" w:eastAsia="Calibri" w:hAnsi="Cambria" w:cs="Calibri"/>
          <w:spacing w:val="-3"/>
        </w:rPr>
        <w:t>C</w:t>
      </w:r>
      <w:r w:rsidRPr="009A0DA6">
        <w:rPr>
          <w:rFonts w:ascii="Cambria" w:eastAsia="Calibri" w:hAnsi="Cambria" w:cs="Calibri"/>
        </w:rPr>
        <w:t>R pa</w:t>
      </w:r>
      <w:r w:rsidRPr="009A0DA6">
        <w:rPr>
          <w:rFonts w:ascii="Cambria" w:eastAsia="Calibri" w:hAnsi="Cambria" w:cs="Calibri"/>
          <w:spacing w:val="-1"/>
        </w:rPr>
        <w:t>p</w:t>
      </w:r>
      <w:r w:rsidRPr="009A0DA6">
        <w:rPr>
          <w:rFonts w:ascii="Cambria" w:eastAsia="Calibri" w:hAnsi="Cambria" w:cs="Calibri"/>
        </w:rPr>
        <w:t>er</w:t>
      </w:r>
      <w:r w:rsidRPr="009A0DA6">
        <w:rPr>
          <w:rFonts w:ascii="Cambria" w:eastAsia="Calibri" w:hAnsi="Cambria" w:cs="Calibri"/>
          <w:spacing w:val="-1"/>
        </w:rPr>
        <w:t xml:space="preserve"> </w:t>
      </w:r>
      <w:r w:rsidRPr="009A0DA6">
        <w:rPr>
          <w:rFonts w:ascii="Cambria" w:eastAsia="Calibri" w:hAnsi="Cambria" w:cs="Calibri"/>
        </w:rPr>
        <w:t>then ar</w:t>
      </w:r>
      <w:r w:rsidRPr="009A0DA6">
        <w:rPr>
          <w:rFonts w:ascii="Cambria" w:eastAsia="Calibri" w:hAnsi="Cambria" w:cs="Calibri"/>
          <w:spacing w:val="-1"/>
        </w:rPr>
        <w:t>g</w:t>
      </w:r>
      <w:r w:rsidRPr="009A0DA6">
        <w:rPr>
          <w:rFonts w:ascii="Cambria" w:eastAsia="Calibri" w:hAnsi="Cambria" w:cs="Calibri"/>
          <w:spacing w:val="-3"/>
        </w:rPr>
        <w:t>u</w:t>
      </w:r>
      <w:r w:rsidRPr="009A0DA6">
        <w:rPr>
          <w:rFonts w:ascii="Cambria" w:eastAsia="Calibri" w:hAnsi="Cambria" w:cs="Calibri"/>
        </w:rPr>
        <w:t>es</w:t>
      </w:r>
      <w:r w:rsidRPr="009A0DA6">
        <w:rPr>
          <w:rFonts w:ascii="Cambria" w:eastAsia="Calibri" w:hAnsi="Cambria" w:cs="Calibri"/>
          <w:spacing w:val="1"/>
        </w:rPr>
        <w:t xml:space="preserve"> </w:t>
      </w:r>
      <w:r w:rsidRPr="009A0DA6">
        <w:rPr>
          <w:rFonts w:ascii="Cambria" w:eastAsia="Calibri" w:hAnsi="Cambria" w:cs="Calibri"/>
        </w:rPr>
        <w:t>(in</w:t>
      </w:r>
      <w:r w:rsidRPr="009A0DA6">
        <w:rPr>
          <w:rFonts w:ascii="Cambria" w:eastAsia="Calibri" w:hAnsi="Cambria" w:cs="Calibri"/>
          <w:spacing w:val="-1"/>
        </w:rPr>
        <w:t xml:space="preserve"> </w:t>
      </w:r>
      <w:r w:rsidRPr="009A0DA6">
        <w:rPr>
          <w:rFonts w:ascii="Cambria" w:eastAsia="Calibri" w:hAnsi="Cambria" w:cs="Calibri"/>
        </w:rPr>
        <w:t>par</w:t>
      </w:r>
      <w:r w:rsidRPr="009A0DA6">
        <w:rPr>
          <w:rFonts w:ascii="Cambria" w:eastAsia="Calibri" w:hAnsi="Cambria" w:cs="Calibri"/>
          <w:spacing w:val="-1"/>
        </w:rPr>
        <w:t>ag</w:t>
      </w:r>
      <w:r w:rsidRPr="009A0DA6">
        <w:rPr>
          <w:rFonts w:ascii="Cambria" w:eastAsia="Calibri" w:hAnsi="Cambria" w:cs="Calibri"/>
        </w:rPr>
        <w:t>ra</w:t>
      </w:r>
      <w:r w:rsidRPr="009A0DA6">
        <w:rPr>
          <w:rFonts w:ascii="Cambria" w:eastAsia="Calibri" w:hAnsi="Cambria" w:cs="Calibri"/>
          <w:spacing w:val="-1"/>
        </w:rPr>
        <w:t>p</w:t>
      </w:r>
      <w:r w:rsidRPr="009A0DA6">
        <w:rPr>
          <w:rFonts w:ascii="Cambria" w:eastAsia="Calibri" w:hAnsi="Cambria" w:cs="Calibri"/>
        </w:rPr>
        <w:t>h</w:t>
      </w:r>
      <w:r w:rsidRPr="009A0DA6">
        <w:rPr>
          <w:rFonts w:ascii="Cambria" w:eastAsia="Calibri" w:hAnsi="Cambria" w:cs="Calibri"/>
          <w:spacing w:val="-3"/>
        </w:rPr>
        <w:t xml:space="preserve"> </w:t>
      </w:r>
      <w:r w:rsidRPr="009A0DA6">
        <w:rPr>
          <w:rFonts w:ascii="Cambria" w:eastAsia="Calibri" w:hAnsi="Cambria" w:cs="Calibri"/>
          <w:spacing w:val="1"/>
        </w:rPr>
        <w:t>3</w:t>
      </w:r>
      <w:r w:rsidRPr="009A0DA6">
        <w:rPr>
          <w:rFonts w:ascii="Cambria" w:eastAsia="Calibri" w:hAnsi="Cambria" w:cs="Calibri"/>
        </w:rPr>
        <w:t>)</w:t>
      </w:r>
      <w:r w:rsidRPr="009A0DA6">
        <w:rPr>
          <w:rFonts w:ascii="Cambria" w:eastAsia="Calibri" w:hAnsi="Cambria" w:cs="Calibri"/>
          <w:spacing w:val="3"/>
        </w:rPr>
        <w:t xml:space="preserve"> </w:t>
      </w:r>
      <w:r w:rsidRPr="009A0DA6">
        <w:rPr>
          <w:rFonts w:ascii="Cambria" w:eastAsia="Calibri" w:hAnsi="Cambria" w:cs="Calibri"/>
        </w:rPr>
        <w:t>th</w:t>
      </w:r>
      <w:r w:rsidRPr="009A0DA6">
        <w:rPr>
          <w:rFonts w:ascii="Cambria" w:eastAsia="Calibri" w:hAnsi="Cambria" w:cs="Calibri"/>
          <w:spacing w:val="-3"/>
        </w:rPr>
        <w:t>a</w:t>
      </w:r>
      <w:r w:rsidRPr="009A0DA6">
        <w:rPr>
          <w:rFonts w:ascii="Cambria" w:eastAsia="Calibri" w:hAnsi="Cambria" w:cs="Calibri"/>
        </w:rPr>
        <w:t>t</w:t>
      </w:r>
      <w:r w:rsidRPr="009A0DA6">
        <w:rPr>
          <w:rFonts w:ascii="Cambria" w:eastAsia="Calibri" w:hAnsi="Cambria" w:cs="Calibri"/>
          <w:spacing w:val="1"/>
        </w:rPr>
        <w:t xml:space="preserve"> </w:t>
      </w:r>
      <w:r w:rsidRPr="009A0DA6">
        <w:rPr>
          <w:rFonts w:ascii="Cambria" w:eastAsia="Calibri" w:hAnsi="Cambria" w:cs="Calibri"/>
          <w:spacing w:val="-2"/>
        </w:rPr>
        <w:t>w</w:t>
      </w:r>
      <w:r w:rsidRPr="009A0DA6">
        <w:rPr>
          <w:rFonts w:ascii="Cambria" w:eastAsia="Calibri" w:hAnsi="Cambria" w:cs="Calibri"/>
          <w:spacing w:val="-1"/>
        </w:rPr>
        <w:t>o</w:t>
      </w:r>
      <w:r w:rsidRPr="009A0DA6">
        <w:rPr>
          <w:rFonts w:ascii="Cambria" w:eastAsia="Calibri" w:hAnsi="Cambria" w:cs="Calibri"/>
          <w:spacing w:val="1"/>
        </w:rPr>
        <w:t>m</w:t>
      </w:r>
      <w:r w:rsidRPr="009A0DA6">
        <w:rPr>
          <w:rFonts w:ascii="Cambria" w:eastAsia="Calibri" w:hAnsi="Cambria" w:cs="Calibri"/>
        </w:rPr>
        <w:t>en’s</w:t>
      </w:r>
      <w:r w:rsidRPr="009A0DA6">
        <w:rPr>
          <w:rFonts w:ascii="Cambria" w:eastAsia="Calibri" w:hAnsi="Cambria" w:cs="Calibri"/>
          <w:spacing w:val="-2"/>
        </w:rPr>
        <w:t xml:space="preserve"> </w:t>
      </w:r>
      <w:r w:rsidRPr="009A0DA6">
        <w:rPr>
          <w:rFonts w:ascii="Cambria" w:eastAsia="Calibri" w:hAnsi="Cambria" w:cs="Calibri"/>
          <w:spacing w:val="2"/>
        </w:rPr>
        <w:t>o</w:t>
      </w:r>
      <w:r w:rsidRPr="009A0DA6">
        <w:rPr>
          <w:rFonts w:ascii="Cambria" w:eastAsia="Calibri" w:hAnsi="Cambria" w:cs="Calibri"/>
        </w:rPr>
        <w:t>r</w:t>
      </w:r>
      <w:r w:rsidRPr="009A0DA6">
        <w:rPr>
          <w:rFonts w:ascii="Cambria" w:eastAsia="Calibri" w:hAnsi="Cambria" w:cs="Calibri"/>
          <w:spacing w:val="-1"/>
        </w:rPr>
        <w:t>d</w:t>
      </w:r>
      <w:r w:rsidRPr="009A0DA6">
        <w:rPr>
          <w:rFonts w:ascii="Cambria" w:eastAsia="Calibri" w:hAnsi="Cambria" w:cs="Calibri"/>
        </w:rPr>
        <w:t>i</w:t>
      </w:r>
      <w:r w:rsidRPr="009A0DA6">
        <w:rPr>
          <w:rFonts w:ascii="Cambria" w:eastAsia="Calibri" w:hAnsi="Cambria" w:cs="Calibri"/>
          <w:spacing w:val="-1"/>
        </w:rPr>
        <w:t>n</w:t>
      </w:r>
      <w:r w:rsidRPr="009A0DA6">
        <w:rPr>
          <w:rFonts w:ascii="Cambria" w:eastAsia="Calibri" w:hAnsi="Cambria" w:cs="Calibri"/>
        </w:rPr>
        <w:t>at</w:t>
      </w:r>
      <w:r w:rsidRPr="009A0DA6">
        <w:rPr>
          <w:rFonts w:ascii="Cambria" w:eastAsia="Calibri" w:hAnsi="Cambria" w:cs="Calibri"/>
          <w:spacing w:val="-2"/>
        </w:rPr>
        <w:t>i</w:t>
      </w:r>
      <w:r w:rsidRPr="009A0DA6">
        <w:rPr>
          <w:rFonts w:ascii="Cambria" w:eastAsia="Calibri" w:hAnsi="Cambria" w:cs="Calibri"/>
          <w:spacing w:val="1"/>
        </w:rPr>
        <w:t>o</w:t>
      </w:r>
      <w:r w:rsidRPr="009A0DA6">
        <w:rPr>
          <w:rFonts w:ascii="Cambria" w:eastAsia="Calibri" w:hAnsi="Cambria" w:cs="Calibri"/>
        </w:rPr>
        <w:t>n d</w:t>
      </w:r>
      <w:r w:rsidRPr="009A0DA6">
        <w:rPr>
          <w:rFonts w:ascii="Cambria" w:eastAsia="Calibri" w:hAnsi="Cambria" w:cs="Calibri"/>
          <w:spacing w:val="-1"/>
        </w:rPr>
        <w:t>o</w:t>
      </w:r>
      <w:r w:rsidRPr="009A0DA6">
        <w:rPr>
          <w:rFonts w:ascii="Cambria" w:eastAsia="Calibri" w:hAnsi="Cambria" w:cs="Calibri"/>
        </w:rPr>
        <w:t>es</w:t>
      </w:r>
      <w:r w:rsidRPr="009A0DA6">
        <w:rPr>
          <w:rFonts w:ascii="Cambria" w:eastAsia="Calibri" w:hAnsi="Cambria" w:cs="Calibri"/>
          <w:spacing w:val="1"/>
        </w:rPr>
        <w:t xml:space="preserve"> </w:t>
      </w:r>
      <w:r w:rsidRPr="009A0DA6">
        <w:rPr>
          <w:rFonts w:ascii="Cambria" w:eastAsia="Calibri" w:hAnsi="Cambria" w:cs="Calibri"/>
          <w:spacing w:val="-3"/>
        </w:rPr>
        <w:t>n</w:t>
      </w:r>
      <w:r w:rsidRPr="009A0DA6">
        <w:rPr>
          <w:rFonts w:ascii="Cambria" w:eastAsia="Calibri" w:hAnsi="Cambria" w:cs="Calibri"/>
          <w:spacing w:val="1"/>
        </w:rPr>
        <w:t>o</w:t>
      </w:r>
      <w:r w:rsidRPr="009A0DA6">
        <w:rPr>
          <w:rFonts w:ascii="Cambria" w:eastAsia="Calibri" w:hAnsi="Cambria" w:cs="Calibri"/>
        </w:rPr>
        <w:t>t</w:t>
      </w:r>
      <w:r w:rsidRPr="009A0DA6">
        <w:rPr>
          <w:rFonts w:ascii="Cambria" w:eastAsia="Calibri" w:hAnsi="Cambria" w:cs="Calibri"/>
          <w:spacing w:val="-1"/>
        </w:rPr>
        <w:t xml:space="preserve"> </w:t>
      </w:r>
      <w:r w:rsidRPr="009A0DA6">
        <w:rPr>
          <w:rFonts w:ascii="Cambria" w:eastAsia="Calibri" w:hAnsi="Cambria" w:cs="Calibri"/>
        </w:rPr>
        <w:t>affect</w:t>
      </w:r>
      <w:r w:rsidRPr="009A0DA6">
        <w:rPr>
          <w:rFonts w:ascii="Cambria" w:eastAsia="Calibri" w:hAnsi="Cambria" w:cs="Calibri"/>
          <w:spacing w:val="1"/>
        </w:rPr>
        <w:t xml:space="preserve"> </w:t>
      </w:r>
      <w:r w:rsidRPr="009A0DA6">
        <w:rPr>
          <w:rFonts w:ascii="Cambria" w:eastAsia="Calibri" w:hAnsi="Cambria" w:cs="Calibri"/>
        </w:rPr>
        <w:t>a</w:t>
      </w:r>
      <w:r w:rsidRPr="009A0DA6">
        <w:rPr>
          <w:rFonts w:ascii="Cambria" w:eastAsia="Calibri" w:hAnsi="Cambria" w:cs="Calibri"/>
          <w:spacing w:val="-2"/>
        </w:rPr>
        <w:t xml:space="preserve"> </w:t>
      </w:r>
      <w:r w:rsidRPr="009A0DA6">
        <w:rPr>
          <w:rFonts w:ascii="Cambria" w:eastAsia="Calibri" w:hAnsi="Cambria" w:cs="Calibri"/>
          <w:spacing w:val="2"/>
        </w:rPr>
        <w:t>“</w:t>
      </w:r>
      <w:r w:rsidRPr="009A0DA6">
        <w:rPr>
          <w:rFonts w:ascii="Cambria" w:eastAsia="Calibri" w:hAnsi="Cambria" w:cs="Calibri"/>
          <w:spacing w:val="-3"/>
        </w:rPr>
        <w:t>f</w:t>
      </w:r>
      <w:r w:rsidRPr="009A0DA6">
        <w:rPr>
          <w:rFonts w:ascii="Cambria" w:eastAsia="Calibri" w:hAnsi="Cambria" w:cs="Calibri"/>
          <w:spacing w:val="1"/>
        </w:rPr>
        <w:t>o</w:t>
      </w:r>
      <w:r w:rsidRPr="009A0DA6">
        <w:rPr>
          <w:rFonts w:ascii="Cambria" w:eastAsia="Calibri" w:hAnsi="Cambria" w:cs="Calibri"/>
          <w:spacing w:val="-1"/>
        </w:rPr>
        <w:t>und</w:t>
      </w:r>
      <w:r w:rsidRPr="009A0DA6">
        <w:rPr>
          <w:rFonts w:ascii="Cambria" w:eastAsia="Calibri" w:hAnsi="Cambria" w:cs="Calibri"/>
        </w:rPr>
        <w:t>at</w:t>
      </w:r>
      <w:r w:rsidRPr="009A0DA6">
        <w:rPr>
          <w:rFonts w:ascii="Cambria" w:eastAsia="Calibri" w:hAnsi="Cambria" w:cs="Calibri"/>
          <w:spacing w:val="-2"/>
        </w:rPr>
        <w:t>i</w:t>
      </w:r>
      <w:r w:rsidRPr="009A0DA6">
        <w:rPr>
          <w:rFonts w:ascii="Cambria" w:eastAsia="Calibri" w:hAnsi="Cambria" w:cs="Calibri"/>
          <w:spacing w:val="1"/>
        </w:rPr>
        <w:t>o</w:t>
      </w:r>
      <w:r w:rsidRPr="009A0DA6">
        <w:rPr>
          <w:rFonts w:ascii="Cambria" w:eastAsia="Calibri" w:hAnsi="Cambria" w:cs="Calibri"/>
          <w:spacing w:val="-1"/>
        </w:rPr>
        <w:t>n</w:t>
      </w:r>
      <w:r w:rsidRPr="009A0DA6">
        <w:rPr>
          <w:rFonts w:ascii="Cambria" w:eastAsia="Calibri" w:hAnsi="Cambria" w:cs="Calibri"/>
        </w:rPr>
        <w:t>al”</w:t>
      </w:r>
      <w:r w:rsidRPr="009A0DA6">
        <w:rPr>
          <w:rFonts w:ascii="Cambria" w:eastAsia="Calibri" w:hAnsi="Cambria" w:cs="Calibri"/>
          <w:spacing w:val="-1"/>
        </w:rPr>
        <w:t xml:space="preserve"> </w:t>
      </w:r>
      <w:r w:rsidRPr="009A0DA6">
        <w:rPr>
          <w:rFonts w:ascii="Cambria" w:eastAsia="Calibri" w:hAnsi="Cambria" w:cs="Calibri"/>
          <w:spacing w:val="1"/>
        </w:rPr>
        <w:t>o</w:t>
      </w:r>
      <w:r w:rsidRPr="009A0DA6">
        <w:rPr>
          <w:rFonts w:ascii="Cambria" w:eastAsia="Calibri" w:hAnsi="Cambria" w:cs="Calibri"/>
        </w:rPr>
        <w:t>r</w:t>
      </w:r>
      <w:r w:rsidRPr="009A0DA6">
        <w:rPr>
          <w:rFonts w:ascii="Cambria" w:eastAsia="Calibri" w:hAnsi="Cambria" w:cs="Calibri"/>
          <w:spacing w:val="-2"/>
        </w:rPr>
        <w:t xml:space="preserve"> </w:t>
      </w:r>
      <w:r w:rsidRPr="009A0DA6">
        <w:rPr>
          <w:rFonts w:ascii="Cambria" w:eastAsia="Calibri" w:hAnsi="Cambria" w:cs="Calibri"/>
          <w:spacing w:val="-1"/>
        </w:rPr>
        <w:t>“</w:t>
      </w:r>
      <w:r w:rsidRPr="009A0DA6">
        <w:rPr>
          <w:rFonts w:ascii="Cambria" w:eastAsia="Calibri" w:hAnsi="Cambria" w:cs="Calibri"/>
        </w:rPr>
        <w:t>k</w:t>
      </w:r>
      <w:r w:rsidRPr="009A0DA6">
        <w:rPr>
          <w:rFonts w:ascii="Cambria" w:eastAsia="Calibri" w:hAnsi="Cambria" w:cs="Calibri"/>
          <w:spacing w:val="1"/>
        </w:rPr>
        <w:t>e</w:t>
      </w:r>
      <w:r w:rsidRPr="009A0DA6">
        <w:rPr>
          <w:rFonts w:ascii="Cambria" w:eastAsia="Calibri" w:hAnsi="Cambria" w:cs="Calibri"/>
          <w:spacing w:val="-2"/>
        </w:rPr>
        <w:t>y</w:t>
      </w:r>
      <w:r w:rsidRPr="009A0DA6">
        <w:rPr>
          <w:rFonts w:ascii="Cambria" w:eastAsia="Calibri" w:hAnsi="Cambria" w:cs="Calibri"/>
        </w:rPr>
        <w:t>” ch</w:t>
      </w:r>
      <w:r w:rsidRPr="009A0DA6">
        <w:rPr>
          <w:rFonts w:ascii="Cambria" w:eastAsia="Calibri" w:hAnsi="Cambria" w:cs="Calibri"/>
          <w:spacing w:val="-1"/>
        </w:rPr>
        <w:t>u</w:t>
      </w:r>
      <w:r w:rsidRPr="009A0DA6">
        <w:rPr>
          <w:rFonts w:ascii="Cambria" w:eastAsia="Calibri" w:hAnsi="Cambria" w:cs="Calibri"/>
        </w:rPr>
        <w:t>rch</w:t>
      </w:r>
      <w:r w:rsidRPr="009A0DA6">
        <w:rPr>
          <w:rFonts w:ascii="Cambria" w:eastAsia="Calibri" w:hAnsi="Cambria" w:cs="Calibri"/>
          <w:spacing w:val="-1"/>
        </w:rPr>
        <w:t xml:space="preserve"> </w:t>
      </w:r>
      <w:r w:rsidRPr="009A0DA6">
        <w:rPr>
          <w:rFonts w:ascii="Cambria" w:eastAsia="Calibri" w:hAnsi="Cambria" w:cs="Calibri"/>
          <w:spacing w:val="1"/>
        </w:rPr>
        <w:t>t</w:t>
      </w:r>
      <w:r w:rsidRPr="009A0DA6">
        <w:rPr>
          <w:rFonts w:ascii="Cambria" w:eastAsia="Calibri" w:hAnsi="Cambria" w:cs="Calibri"/>
        </w:rPr>
        <w:t>eachi</w:t>
      </w:r>
      <w:r w:rsidRPr="009A0DA6">
        <w:rPr>
          <w:rFonts w:ascii="Cambria" w:eastAsia="Calibri" w:hAnsi="Cambria" w:cs="Calibri"/>
          <w:spacing w:val="-1"/>
        </w:rPr>
        <w:t>ng</w:t>
      </w:r>
      <w:r w:rsidRPr="009A0DA6">
        <w:rPr>
          <w:rFonts w:ascii="Cambria" w:eastAsia="Calibri" w:hAnsi="Cambria" w:cs="Calibri"/>
        </w:rPr>
        <w:t>, and</w:t>
      </w:r>
      <w:r w:rsidRPr="009A0DA6">
        <w:rPr>
          <w:rFonts w:ascii="Cambria" w:eastAsia="Calibri" w:hAnsi="Cambria" w:cs="Calibri"/>
          <w:spacing w:val="-3"/>
        </w:rPr>
        <w:t xml:space="preserve"> </w:t>
      </w:r>
      <w:r w:rsidRPr="009A0DA6">
        <w:rPr>
          <w:rFonts w:ascii="Cambria" w:eastAsia="Calibri" w:hAnsi="Cambria" w:cs="Calibri"/>
        </w:rPr>
        <w:t>ther</w:t>
      </w:r>
      <w:r w:rsidRPr="009A0DA6">
        <w:rPr>
          <w:rFonts w:ascii="Cambria" w:eastAsia="Calibri" w:hAnsi="Cambria" w:cs="Calibri"/>
          <w:spacing w:val="-2"/>
        </w:rPr>
        <w:t>e</w:t>
      </w:r>
      <w:r w:rsidRPr="009A0DA6">
        <w:rPr>
          <w:rFonts w:ascii="Cambria" w:eastAsia="Calibri" w:hAnsi="Cambria" w:cs="Calibri"/>
        </w:rPr>
        <w:t>f</w:t>
      </w:r>
      <w:r w:rsidRPr="009A0DA6">
        <w:rPr>
          <w:rFonts w:ascii="Cambria" w:eastAsia="Calibri" w:hAnsi="Cambria" w:cs="Calibri"/>
          <w:spacing w:val="1"/>
        </w:rPr>
        <w:t>o</w:t>
      </w:r>
      <w:r w:rsidRPr="009A0DA6">
        <w:rPr>
          <w:rFonts w:ascii="Cambria" w:eastAsia="Calibri" w:hAnsi="Cambria" w:cs="Calibri"/>
        </w:rPr>
        <w:t>re</w:t>
      </w:r>
      <w:r w:rsidRPr="009A0DA6">
        <w:rPr>
          <w:rFonts w:ascii="Cambria" w:eastAsia="Calibri" w:hAnsi="Cambria" w:cs="Calibri"/>
          <w:spacing w:val="-2"/>
        </w:rPr>
        <w:t xml:space="preserve"> </w:t>
      </w:r>
      <w:r w:rsidRPr="009A0DA6">
        <w:rPr>
          <w:rFonts w:ascii="Cambria" w:eastAsia="Calibri" w:hAnsi="Cambria" w:cs="Calibri"/>
        </w:rPr>
        <w:t>should</w:t>
      </w:r>
      <w:r w:rsidRPr="009A0DA6">
        <w:rPr>
          <w:rFonts w:ascii="Cambria" w:eastAsia="Calibri" w:hAnsi="Cambria" w:cs="Calibri"/>
          <w:spacing w:val="-1"/>
        </w:rPr>
        <w:t xml:space="preserve"> </w:t>
      </w:r>
      <w:r w:rsidRPr="009A0DA6">
        <w:rPr>
          <w:rFonts w:ascii="Cambria" w:eastAsia="Calibri" w:hAnsi="Cambria" w:cs="Calibri"/>
        </w:rPr>
        <w:t>n</w:t>
      </w:r>
      <w:r w:rsidRPr="009A0DA6">
        <w:rPr>
          <w:rFonts w:ascii="Cambria" w:eastAsia="Calibri" w:hAnsi="Cambria" w:cs="Calibri"/>
          <w:spacing w:val="-1"/>
        </w:rPr>
        <w:t>o</w:t>
      </w:r>
      <w:r w:rsidRPr="009A0DA6">
        <w:rPr>
          <w:rFonts w:ascii="Cambria" w:eastAsia="Calibri" w:hAnsi="Cambria" w:cs="Calibri"/>
        </w:rPr>
        <w:t>t</w:t>
      </w:r>
      <w:r w:rsidRPr="009A0DA6">
        <w:rPr>
          <w:rFonts w:ascii="Cambria" w:eastAsia="Calibri" w:hAnsi="Cambria" w:cs="Calibri"/>
          <w:spacing w:val="1"/>
        </w:rPr>
        <w:t xml:space="preserve"> </w:t>
      </w:r>
      <w:r w:rsidRPr="009A0DA6">
        <w:rPr>
          <w:rFonts w:ascii="Cambria" w:eastAsia="Calibri" w:hAnsi="Cambria" w:cs="Calibri"/>
          <w:spacing w:val="-1"/>
        </w:rPr>
        <w:t>b</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rPr>
        <w:t>ch</w:t>
      </w:r>
      <w:r w:rsidRPr="009A0DA6">
        <w:rPr>
          <w:rFonts w:ascii="Cambria" w:eastAsia="Calibri" w:hAnsi="Cambria" w:cs="Calibri"/>
          <w:spacing w:val="-1"/>
        </w:rPr>
        <w:t>u</w:t>
      </w:r>
      <w:r w:rsidRPr="009A0DA6">
        <w:rPr>
          <w:rFonts w:ascii="Cambria" w:eastAsia="Calibri" w:hAnsi="Cambria" w:cs="Calibri"/>
        </w:rPr>
        <w:t>rch</w:t>
      </w:r>
      <w:r w:rsidRPr="009A0DA6">
        <w:rPr>
          <w:rFonts w:ascii="Cambria" w:eastAsia="Calibri" w:hAnsi="Cambria" w:cs="Calibri"/>
          <w:spacing w:val="-3"/>
        </w:rPr>
        <w:t xml:space="preserve"> </w:t>
      </w:r>
      <w:r w:rsidRPr="009A0DA6">
        <w:rPr>
          <w:rFonts w:ascii="Cambria" w:eastAsia="Calibri" w:hAnsi="Cambria" w:cs="Calibri"/>
          <w:spacing w:val="-1"/>
        </w:rPr>
        <w:t>d</w:t>
      </w:r>
      <w:r w:rsidRPr="009A0DA6">
        <w:rPr>
          <w:rFonts w:ascii="Cambria" w:eastAsia="Calibri" w:hAnsi="Cambria" w:cs="Calibri"/>
        </w:rPr>
        <w:t>ivisi</w:t>
      </w:r>
      <w:r w:rsidRPr="009A0DA6">
        <w:rPr>
          <w:rFonts w:ascii="Cambria" w:eastAsia="Calibri" w:hAnsi="Cambria" w:cs="Calibri"/>
          <w:spacing w:val="1"/>
        </w:rPr>
        <w:t>v</w:t>
      </w:r>
      <w:r w:rsidRPr="009A0DA6">
        <w:rPr>
          <w:rFonts w:ascii="Cambria" w:eastAsia="Calibri" w:hAnsi="Cambria" w:cs="Calibri"/>
        </w:rPr>
        <w:t>e.</w:t>
      </w:r>
      <w:r w:rsidRPr="009A0DA6">
        <w:rPr>
          <w:rFonts w:ascii="Cambria" w:eastAsia="Calibri" w:hAnsi="Cambria" w:cs="Calibri"/>
          <w:spacing w:val="-2"/>
        </w:rPr>
        <w:t xml:space="preserve">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is cla</w:t>
      </w:r>
      <w:r w:rsidRPr="009A0DA6">
        <w:rPr>
          <w:rFonts w:ascii="Cambria" w:eastAsia="Calibri" w:hAnsi="Cambria" w:cs="Calibri"/>
          <w:spacing w:val="-3"/>
        </w:rPr>
        <w:t>i</w:t>
      </w:r>
      <w:r w:rsidRPr="009A0DA6">
        <w:rPr>
          <w:rFonts w:ascii="Cambria" w:eastAsia="Calibri" w:hAnsi="Cambria" w:cs="Calibri"/>
        </w:rPr>
        <w:t>m</w:t>
      </w:r>
      <w:r w:rsidRPr="009A0DA6">
        <w:rPr>
          <w:rFonts w:ascii="Cambria" w:eastAsia="Calibri" w:hAnsi="Cambria" w:cs="Calibri"/>
          <w:spacing w:val="1"/>
        </w:rPr>
        <w:t xml:space="preserve"> </w:t>
      </w:r>
      <w:r w:rsidRPr="009A0DA6">
        <w:rPr>
          <w:rFonts w:ascii="Cambria" w:eastAsia="Calibri" w:hAnsi="Cambria" w:cs="Calibri"/>
          <w:spacing w:val="-2"/>
        </w:rPr>
        <w:t>i</w:t>
      </w:r>
      <w:r w:rsidRPr="009A0DA6">
        <w:rPr>
          <w:rFonts w:ascii="Cambria" w:eastAsia="Calibri" w:hAnsi="Cambria" w:cs="Calibri"/>
        </w:rPr>
        <w:t>s fals</w:t>
      </w:r>
      <w:r w:rsidRPr="009A0DA6">
        <w:rPr>
          <w:rFonts w:ascii="Cambria" w:eastAsia="Calibri" w:hAnsi="Cambria" w:cs="Calibri"/>
          <w:spacing w:val="-2"/>
        </w:rPr>
        <w:t>e</w:t>
      </w:r>
      <w:r w:rsidRPr="009A0DA6">
        <w:rPr>
          <w:rFonts w:ascii="Cambria" w:eastAsia="Calibri" w:hAnsi="Cambria" w:cs="Calibri"/>
        </w:rPr>
        <w:t>,</w:t>
      </w:r>
      <w:r w:rsidRPr="009A0DA6">
        <w:rPr>
          <w:rFonts w:ascii="Cambria" w:eastAsia="Calibri" w:hAnsi="Cambria" w:cs="Calibri"/>
          <w:spacing w:val="-2"/>
        </w:rPr>
        <w:t xml:space="preserve"> </w:t>
      </w:r>
      <w:r w:rsidRPr="009A0DA6">
        <w:rPr>
          <w:rFonts w:ascii="Cambria" w:eastAsia="Calibri" w:hAnsi="Cambria" w:cs="Calibri"/>
        </w:rPr>
        <w:t>a</w:t>
      </w:r>
      <w:r w:rsidRPr="009A0DA6">
        <w:rPr>
          <w:rFonts w:ascii="Cambria" w:eastAsia="Calibri" w:hAnsi="Cambria" w:cs="Calibri"/>
          <w:spacing w:val="-1"/>
        </w:rPr>
        <w:t>n</w:t>
      </w:r>
      <w:r w:rsidRPr="009A0DA6">
        <w:rPr>
          <w:rFonts w:ascii="Cambria" w:eastAsia="Calibri" w:hAnsi="Cambria" w:cs="Calibri"/>
        </w:rPr>
        <w:t>d b</w:t>
      </w:r>
      <w:r w:rsidRPr="009A0DA6">
        <w:rPr>
          <w:rFonts w:ascii="Cambria" w:eastAsia="Calibri" w:hAnsi="Cambria" w:cs="Calibri"/>
          <w:spacing w:val="1"/>
        </w:rPr>
        <w:t>o</w:t>
      </w:r>
      <w:r w:rsidRPr="009A0DA6">
        <w:rPr>
          <w:rFonts w:ascii="Cambria" w:eastAsia="Calibri" w:hAnsi="Cambria" w:cs="Calibri"/>
        </w:rPr>
        <w:t>th si</w:t>
      </w:r>
      <w:r w:rsidRPr="009A0DA6">
        <w:rPr>
          <w:rFonts w:ascii="Cambria" w:eastAsia="Calibri" w:hAnsi="Cambria" w:cs="Calibri"/>
          <w:spacing w:val="-1"/>
        </w:rPr>
        <w:t>d</w:t>
      </w:r>
      <w:r w:rsidRPr="009A0DA6">
        <w:rPr>
          <w:rFonts w:ascii="Cambria" w:eastAsia="Calibri" w:hAnsi="Cambria" w:cs="Calibri"/>
        </w:rPr>
        <w:t>es</w:t>
      </w:r>
      <w:r w:rsidRPr="009A0DA6">
        <w:rPr>
          <w:rFonts w:ascii="Cambria" w:eastAsia="Calibri" w:hAnsi="Cambria" w:cs="Calibri"/>
          <w:spacing w:val="-2"/>
        </w:rPr>
        <w:t xml:space="preserve"> </w:t>
      </w:r>
      <w:r w:rsidRPr="009A0DA6">
        <w:rPr>
          <w:rFonts w:ascii="Cambria" w:eastAsia="Calibri" w:hAnsi="Cambria" w:cs="Calibri"/>
        </w:rPr>
        <w:t>in the</w:t>
      </w:r>
      <w:r w:rsidRPr="009A0DA6">
        <w:rPr>
          <w:rFonts w:ascii="Cambria" w:eastAsia="Calibri" w:hAnsi="Cambria" w:cs="Calibri"/>
          <w:spacing w:val="-2"/>
        </w:rPr>
        <w:t xml:space="preserve"> </w:t>
      </w:r>
      <w:r w:rsidRPr="009A0DA6">
        <w:rPr>
          <w:rFonts w:ascii="Cambria" w:eastAsia="Calibri" w:hAnsi="Cambria" w:cs="Calibri"/>
          <w:spacing w:val="-1"/>
        </w:rPr>
        <w:t>w</w:t>
      </w:r>
      <w:r w:rsidRPr="009A0DA6">
        <w:rPr>
          <w:rFonts w:ascii="Cambria" w:eastAsia="Calibri" w:hAnsi="Cambria" w:cs="Calibri"/>
          <w:spacing w:val="1"/>
        </w:rPr>
        <w:t>o</w:t>
      </w:r>
      <w:r w:rsidRPr="009A0DA6">
        <w:rPr>
          <w:rFonts w:ascii="Cambria" w:eastAsia="Calibri" w:hAnsi="Cambria" w:cs="Calibri"/>
          <w:spacing w:val="-1"/>
        </w:rPr>
        <w:t>m</w:t>
      </w:r>
      <w:r w:rsidRPr="009A0DA6">
        <w:rPr>
          <w:rFonts w:ascii="Cambria" w:eastAsia="Calibri" w:hAnsi="Cambria" w:cs="Calibri"/>
        </w:rPr>
        <w:t xml:space="preserve">en’s </w:t>
      </w:r>
      <w:r w:rsidRPr="009A0DA6">
        <w:rPr>
          <w:rFonts w:ascii="Cambria" w:eastAsia="Calibri" w:hAnsi="Cambria" w:cs="Calibri"/>
          <w:spacing w:val="1"/>
        </w:rPr>
        <w:t>o</w:t>
      </w:r>
      <w:r w:rsidRPr="009A0DA6">
        <w:rPr>
          <w:rFonts w:ascii="Cambria" w:eastAsia="Calibri" w:hAnsi="Cambria" w:cs="Calibri"/>
        </w:rPr>
        <w:t>r</w:t>
      </w:r>
      <w:r w:rsidRPr="009A0DA6">
        <w:rPr>
          <w:rFonts w:ascii="Cambria" w:eastAsia="Calibri" w:hAnsi="Cambria" w:cs="Calibri"/>
          <w:spacing w:val="-1"/>
        </w:rPr>
        <w:t>d</w:t>
      </w:r>
      <w:r w:rsidRPr="009A0DA6">
        <w:rPr>
          <w:rFonts w:ascii="Cambria" w:eastAsia="Calibri" w:hAnsi="Cambria" w:cs="Calibri"/>
        </w:rPr>
        <w:t>i</w:t>
      </w:r>
      <w:r w:rsidRPr="009A0DA6">
        <w:rPr>
          <w:rFonts w:ascii="Cambria" w:eastAsia="Calibri" w:hAnsi="Cambria" w:cs="Calibri"/>
          <w:spacing w:val="-1"/>
        </w:rPr>
        <w:t>n</w:t>
      </w:r>
      <w:r w:rsidRPr="009A0DA6">
        <w:rPr>
          <w:rFonts w:ascii="Cambria" w:eastAsia="Calibri" w:hAnsi="Cambria" w:cs="Calibri"/>
        </w:rPr>
        <w:t>ati</w:t>
      </w:r>
      <w:r w:rsidRPr="009A0DA6">
        <w:rPr>
          <w:rFonts w:ascii="Cambria" w:eastAsia="Calibri" w:hAnsi="Cambria" w:cs="Calibri"/>
          <w:spacing w:val="1"/>
        </w:rPr>
        <w:t>o</w:t>
      </w:r>
      <w:r w:rsidRPr="009A0DA6">
        <w:rPr>
          <w:rFonts w:ascii="Cambria" w:eastAsia="Calibri" w:hAnsi="Cambria" w:cs="Calibri"/>
        </w:rPr>
        <w:t xml:space="preserve">n </w:t>
      </w:r>
      <w:r w:rsidRPr="009A0DA6">
        <w:rPr>
          <w:rFonts w:ascii="Cambria" w:eastAsia="Calibri" w:hAnsi="Cambria" w:cs="Calibri"/>
          <w:spacing w:val="-3"/>
        </w:rPr>
        <w:t>d</w:t>
      </w:r>
      <w:r w:rsidRPr="009A0DA6">
        <w:rPr>
          <w:rFonts w:ascii="Cambria" w:eastAsia="Calibri" w:hAnsi="Cambria" w:cs="Calibri"/>
        </w:rPr>
        <w:t>ebate</w:t>
      </w:r>
      <w:r w:rsidRPr="009A0DA6">
        <w:rPr>
          <w:rFonts w:ascii="Cambria" w:eastAsia="Calibri" w:hAnsi="Cambria" w:cs="Calibri"/>
          <w:spacing w:val="-2"/>
        </w:rPr>
        <w:t xml:space="preserve"> </w:t>
      </w:r>
      <w:r w:rsidRPr="009A0DA6">
        <w:rPr>
          <w:rFonts w:ascii="Cambria" w:eastAsia="Calibri" w:hAnsi="Cambria" w:cs="Calibri"/>
        </w:rPr>
        <w:t>sh</w:t>
      </w:r>
      <w:r w:rsidRPr="009A0DA6">
        <w:rPr>
          <w:rFonts w:ascii="Cambria" w:eastAsia="Calibri" w:hAnsi="Cambria" w:cs="Calibri"/>
          <w:spacing w:val="1"/>
        </w:rPr>
        <w:t>o</w:t>
      </w:r>
      <w:r w:rsidRPr="009A0DA6">
        <w:rPr>
          <w:rFonts w:ascii="Cambria" w:eastAsia="Calibri" w:hAnsi="Cambria" w:cs="Calibri"/>
          <w:spacing w:val="-1"/>
        </w:rPr>
        <w:t>u</w:t>
      </w:r>
      <w:r w:rsidRPr="009A0DA6">
        <w:rPr>
          <w:rFonts w:ascii="Cambria" w:eastAsia="Calibri" w:hAnsi="Cambria" w:cs="Calibri"/>
        </w:rPr>
        <w:t>ld</w:t>
      </w:r>
      <w:r w:rsidRPr="009A0DA6">
        <w:rPr>
          <w:rFonts w:ascii="Cambria" w:eastAsia="Calibri" w:hAnsi="Cambria" w:cs="Calibri"/>
          <w:spacing w:val="-1"/>
        </w:rPr>
        <w:t xml:space="preserve"> </w:t>
      </w:r>
      <w:r w:rsidRPr="009A0DA6">
        <w:rPr>
          <w:rFonts w:ascii="Cambria" w:eastAsia="Calibri" w:hAnsi="Cambria" w:cs="Calibri"/>
          <w:spacing w:val="-3"/>
        </w:rPr>
        <w:t>b</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rPr>
        <w:t>a</w:t>
      </w:r>
      <w:r w:rsidRPr="009A0DA6">
        <w:rPr>
          <w:rFonts w:ascii="Cambria" w:eastAsia="Calibri" w:hAnsi="Cambria" w:cs="Calibri"/>
          <w:spacing w:val="-1"/>
        </w:rPr>
        <w:t>b</w:t>
      </w:r>
      <w:r w:rsidRPr="009A0DA6">
        <w:rPr>
          <w:rFonts w:ascii="Cambria" w:eastAsia="Calibri" w:hAnsi="Cambria" w:cs="Calibri"/>
        </w:rPr>
        <w:t>le</w:t>
      </w:r>
      <w:r w:rsidRPr="009A0DA6">
        <w:rPr>
          <w:rFonts w:ascii="Cambria" w:eastAsia="Calibri" w:hAnsi="Cambria" w:cs="Calibri"/>
          <w:spacing w:val="-2"/>
        </w:rPr>
        <w:t xml:space="preserve"> </w:t>
      </w:r>
      <w:r w:rsidRPr="009A0DA6">
        <w:rPr>
          <w:rFonts w:ascii="Cambria" w:eastAsia="Calibri" w:hAnsi="Cambria" w:cs="Calibri"/>
        </w:rPr>
        <w:t>to see</w:t>
      </w:r>
      <w:r w:rsidRPr="009A0DA6">
        <w:rPr>
          <w:rFonts w:ascii="Cambria" w:eastAsia="Calibri" w:hAnsi="Cambria" w:cs="Calibri"/>
          <w:spacing w:val="-1"/>
        </w:rPr>
        <w:t xml:space="preserve">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at</w:t>
      </w:r>
      <w:r w:rsidRPr="009A0DA6">
        <w:rPr>
          <w:rFonts w:ascii="Cambria" w:eastAsia="Calibri" w:hAnsi="Cambria" w:cs="Calibri"/>
          <w:spacing w:val="1"/>
        </w:rPr>
        <w:t xml:space="preserve"> </w:t>
      </w:r>
      <w:r w:rsidRPr="009A0DA6">
        <w:rPr>
          <w:rFonts w:ascii="Cambria" w:eastAsia="Calibri" w:hAnsi="Cambria" w:cs="Calibri"/>
          <w:spacing w:val="-3"/>
        </w:rPr>
        <w:t>i</w:t>
      </w:r>
      <w:r w:rsidRPr="009A0DA6">
        <w:rPr>
          <w:rFonts w:ascii="Cambria" w:eastAsia="Calibri" w:hAnsi="Cambria" w:cs="Calibri"/>
        </w:rPr>
        <w:t>t</w:t>
      </w:r>
      <w:r w:rsidRPr="009A0DA6">
        <w:rPr>
          <w:rFonts w:ascii="Cambria" w:eastAsia="Calibri" w:hAnsi="Cambria" w:cs="Calibri"/>
          <w:spacing w:val="1"/>
        </w:rPr>
        <w:t xml:space="preserve"> </w:t>
      </w:r>
      <w:r w:rsidRPr="009A0DA6">
        <w:rPr>
          <w:rFonts w:ascii="Cambria" w:eastAsia="Calibri" w:hAnsi="Cambria" w:cs="Calibri"/>
        </w:rPr>
        <w:t>is fa</w:t>
      </w:r>
      <w:r w:rsidRPr="009A0DA6">
        <w:rPr>
          <w:rFonts w:ascii="Cambria" w:eastAsia="Calibri" w:hAnsi="Cambria" w:cs="Calibri"/>
          <w:spacing w:val="-3"/>
        </w:rPr>
        <w:t>l</w:t>
      </w:r>
      <w:r w:rsidRPr="009A0DA6">
        <w:rPr>
          <w:rFonts w:ascii="Cambria" w:eastAsia="Calibri" w:hAnsi="Cambria" w:cs="Calibri"/>
        </w:rPr>
        <w:t>se.</w:t>
      </w:r>
      <w:r w:rsidRPr="009A0DA6">
        <w:rPr>
          <w:rFonts w:ascii="Cambria" w:eastAsia="Calibri" w:hAnsi="Cambria" w:cs="Calibri"/>
          <w:spacing w:val="-2"/>
        </w:rPr>
        <w:t xml:space="preserve"> </w:t>
      </w:r>
      <w:r w:rsidRPr="009A0DA6">
        <w:rPr>
          <w:rFonts w:ascii="Cambria" w:eastAsia="Calibri" w:hAnsi="Cambria" w:cs="Calibri"/>
          <w:spacing w:val="1"/>
        </w:rPr>
        <w:t>W</w:t>
      </w:r>
      <w:r w:rsidRPr="009A0DA6">
        <w:rPr>
          <w:rFonts w:ascii="Cambria" w:eastAsia="Calibri" w:hAnsi="Cambria" w:cs="Calibri"/>
          <w:spacing w:val="-1"/>
        </w:rPr>
        <w:t>om</w:t>
      </w:r>
      <w:r w:rsidRPr="009A0DA6">
        <w:rPr>
          <w:rFonts w:ascii="Cambria" w:eastAsia="Calibri" w:hAnsi="Cambria" w:cs="Calibri"/>
        </w:rPr>
        <w:t>en’s</w:t>
      </w:r>
      <w:r w:rsidRPr="009A0DA6">
        <w:rPr>
          <w:rFonts w:ascii="Cambria" w:eastAsia="Calibri" w:hAnsi="Cambria" w:cs="Calibri"/>
          <w:spacing w:val="-2"/>
        </w:rPr>
        <w:t xml:space="preserve"> </w:t>
      </w:r>
      <w:r w:rsidRPr="009A0DA6">
        <w:rPr>
          <w:rFonts w:ascii="Cambria" w:eastAsia="Calibri" w:hAnsi="Cambria" w:cs="Calibri"/>
          <w:spacing w:val="1"/>
        </w:rPr>
        <w:t>o</w:t>
      </w:r>
      <w:r w:rsidRPr="009A0DA6">
        <w:rPr>
          <w:rFonts w:ascii="Cambria" w:eastAsia="Calibri" w:hAnsi="Cambria" w:cs="Calibri"/>
        </w:rPr>
        <w:t>r</w:t>
      </w:r>
      <w:r w:rsidRPr="009A0DA6">
        <w:rPr>
          <w:rFonts w:ascii="Cambria" w:eastAsia="Calibri" w:hAnsi="Cambria" w:cs="Calibri"/>
          <w:spacing w:val="-1"/>
        </w:rPr>
        <w:t>d</w:t>
      </w:r>
      <w:r w:rsidRPr="009A0DA6">
        <w:rPr>
          <w:rFonts w:ascii="Cambria" w:eastAsia="Calibri" w:hAnsi="Cambria" w:cs="Calibri"/>
        </w:rPr>
        <w:t>i</w:t>
      </w:r>
      <w:r w:rsidRPr="009A0DA6">
        <w:rPr>
          <w:rFonts w:ascii="Cambria" w:eastAsia="Calibri" w:hAnsi="Cambria" w:cs="Calibri"/>
          <w:spacing w:val="-1"/>
        </w:rPr>
        <w:t>n</w:t>
      </w:r>
      <w:r w:rsidRPr="009A0DA6">
        <w:rPr>
          <w:rFonts w:ascii="Cambria" w:eastAsia="Calibri" w:hAnsi="Cambria" w:cs="Calibri"/>
        </w:rPr>
        <w:t>ati</w:t>
      </w:r>
      <w:r w:rsidRPr="009A0DA6">
        <w:rPr>
          <w:rFonts w:ascii="Cambria" w:eastAsia="Calibri" w:hAnsi="Cambria" w:cs="Calibri"/>
          <w:spacing w:val="1"/>
        </w:rPr>
        <w:t>o</w:t>
      </w:r>
      <w:r w:rsidRPr="009A0DA6">
        <w:rPr>
          <w:rFonts w:ascii="Cambria" w:eastAsia="Calibri" w:hAnsi="Cambria" w:cs="Calibri"/>
        </w:rPr>
        <w:t>n</w:t>
      </w:r>
      <w:r w:rsidRPr="009A0DA6">
        <w:rPr>
          <w:rFonts w:ascii="Cambria" w:eastAsia="Calibri" w:hAnsi="Cambria" w:cs="Calibri"/>
          <w:spacing w:val="4"/>
        </w:rPr>
        <w:t xml:space="preserve"> </w:t>
      </w:r>
      <w:r w:rsidRPr="009A0DA6">
        <w:rPr>
          <w:rFonts w:ascii="Cambria" w:eastAsia="Calibri" w:hAnsi="Cambria" w:cs="Calibri"/>
        </w:rPr>
        <w:t>i</w:t>
      </w:r>
      <w:r w:rsidRPr="009A0DA6">
        <w:rPr>
          <w:rFonts w:ascii="Cambria" w:eastAsia="Calibri" w:hAnsi="Cambria" w:cs="Calibri"/>
          <w:spacing w:val="-4"/>
        </w:rPr>
        <w:t>n</w:t>
      </w:r>
      <w:r w:rsidRPr="009A0DA6">
        <w:rPr>
          <w:rFonts w:ascii="Cambria" w:eastAsia="Calibri" w:hAnsi="Cambria" w:cs="Calibri"/>
          <w:spacing w:val="1"/>
        </w:rPr>
        <w:t>vo</w:t>
      </w:r>
      <w:r w:rsidRPr="009A0DA6">
        <w:rPr>
          <w:rFonts w:ascii="Cambria" w:eastAsia="Calibri" w:hAnsi="Cambria" w:cs="Calibri"/>
          <w:spacing w:val="-3"/>
        </w:rPr>
        <w:t>l</w:t>
      </w:r>
      <w:r w:rsidRPr="009A0DA6">
        <w:rPr>
          <w:rFonts w:ascii="Cambria" w:eastAsia="Calibri" w:hAnsi="Cambria" w:cs="Calibri"/>
          <w:spacing w:val="1"/>
        </w:rPr>
        <w:t>v</w:t>
      </w:r>
      <w:r w:rsidRPr="009A0DA6">
        <w:rPr>
          <w:rFonts w:ascii="Cambria" w:eastAsia="Calibri" w:hAnsi="Cambria" w:cs="Calibri"/>
        </w:rPr>
        <w:t>es</w:t>
      </w:r>
      <w:r w:rsidRPr="009A0DA6">
        <w:rPr>
          <w:rFonts w:ascii="Cambria" w:eastAsia="Calibri" w:hAnsi="Cambria" w:cs="Calibri"/>
          <w:spacing w:val="1"/>
        </w:rPr>
        <w:t xml:space="preserve"> </w:t>
      </w:r>
      <w:r w:rsidRPr="009A0DA6">
        <w:rPr>
          <w:rFonts w:ascii="Cambria" w:eastAsia="Calibri" w:hAnsi="Cambria" w:cs="Calibri"/>
        </w:rPr>
        <w:t>a</w:t>
      </w:r>
      <w:r w:rsidRPr="009A0DA6">
        <w:rPr>
          <w:rFonts w:ascii="Cambria" w:eastAsia="Calibri" w:hAnsi="Cambria" w:cs="Calibri"/>
          <w:spacing w:val="-2"/>
        </w:rPr>
        <w:t xml:space="preserve"> </w:t>
      </w:r>
      <w:r w:rsidRPr="009A0DA6">
        <w:rPr>
          <w:rFonts w:ascii="Cambria" w:eastAsia="Calibri" w:hAnsi="Cambria" w:cs="Calibri"/>
        </w:rPr>
        <w:t>c</w:t>
      </w:r>
      <w:r w:rsidRPr="009A0DA6">
        <w:rPr>
          <w:rFonts w:ascii="Cambria" w:eastAsia="Calibri" w:hAnsi="Cambria" w:cs="Calibri"/>
          <w:spacing w:val="-1"/>
        </w:rPr>
        <w:t>h</w:t>
      </w:r>
      <w:r w:rsidRPr="009A0DA6">
        <w:rPr>
          <w:rFonts w:ascii="Cambria" w:eastAsia="Calibri" w:hAnsi="Cambria" w:cs="Calibri"/>
        </w:rPr>
        <w:t>a</w:t>
      </w:r>
      <w:r w:rsidRPr="009A0DA6">
        <w:rPr>
          <w:rFonts w:ascii="Cambria" w:eastAsia="Calibri" w:hAnsi="Cambria" w:cs="Calibri"/>
          <w:spacing w:val="-1"/>
        </w:rPr>
        <w:t>ng</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rPr>
        <w:t>in</w:t>
      </w:r>
      <w:r w:rsidRPr="009A0DA6">
        <w:rPr>
          <w:rFonts w:ascii="Cambria" w:eastAsia="Calibri" w:hAnsi="Cambria" w:cs="Calibri"/>
          <w:spacing w:val="-3"/>
        </w:rPr>
        <w:t xml:space="preserve"> </w:t>
      </w:r>
      <w:r w:rsidRPr="009A0DA6">
        <w:rPr>
          <w:rFonts w:ascii="Cambria" w:eastAsia="Calibri" w:hAnsi="Cambria" w:cs="Calibri"/>
        </w:rPr>
        <w:t xml:space="preserve">the </w:t>
      </w:r>
      <w:r w:rsidRPr="009A0DA6">
        <w:rPr>
          <w:rFonts w:ascii="Cambria" w:eastAsia="Calibri" w:hAnsi="Cambria" w:cs="Calibri"/>
          <w:spacing w:val="1"/>
        </w:rPr>
        <w:t>c</w:t>
      </w:r>
      <w:r w:rsidRPr="009A0DA6">
        <w:rPr>
          <w:rFonts w:ascii="Cambria" w:eastAsia="Calibri" w:hAnsi="Cambria" w:cs="Calibri"/>
          <w:spacing w:val="-1"/>
        </w:rPr>
        <w:t>hu</w:t>
      </w:r>
      <w:r w:rsidRPr="009A0DA6">
        <w:rPr>
          <w:rFonts w:ascii="Cambria" w:eastAsia="Calibri" w:hAnsi="Cambria" w:cs="Calibri"/>
        </w:rPr>
        <w:t>rc</w:t>
      </w:r>
      <w:r w:rsidRPr="009A0DA6">
        <w:rPr>
          <w:rFonts w:ascii="Cambria" w:eastAsia="Calibri" w:hAnsi="Cambria" w:cs="Calibri"/>
          <w:spacing w:val="-1"/>
        </w:rPr>
        <w:t>h</w:t>
      </w:r>
      <w:r w:rsidRPr="009A0DA6">
        <w:rPr>
          <w:rFonts w:ascii="Cambria" w:eastAsia="Calibri" w:hAnsi="Cambria" w:cs="Calibri"/>
          <w:spacing w:val="-2"/>
        </w:rPr>
        <w:t>’</w:t>
      </w:r>
      <w:r w:rsidRPr="009A0DA6">
        <w:rPr>
          <w:rFonts w:ascii="Cambria" w:eastAsia="Calibri" w:hAnsi="Cambria" w:cs="Calibri"/>
        </w:rPr>
        <w:t xml:space="preserve">s </w:t>
      </w:r>
      <w:r w:rsidRPr="009A0DA6">
        <w:rPr>
          <w:rFonts w:ascii="Cambria" w:eastAsia="Calibri" w:hAnsi="Cambria" w:cs="Calibri"/>
          <w:spacing w:val="-1"/>
        </w:rPr>
        <w:t>d</w:t>
      </w:r>
      <w:r w:rsidRPr="009A0DA6">
        <w:rPr>
          <w:rFonts w:ascii="Cambria" w:eastAsia="Calibri" w:hAnsi="Cambria" w:cs="Calibri"/>
          <w:spacing w:val="1"/>
        </w:rPr>
        <w:t>o</w:t>
      </w:r>
      <w:r w:rsidRPr="009A0DA6">
        <w:rPr>
          <w:rFonts w:ascii="Cambria" w:eastAsia="Calibri" w:hAnsi="Cambria" w:cs="Calibri"/>
        </w:rPr>
        <w:t>ctri</w:t>
      </w:r>
      <w:r w:rsidRPr="009A0DA6">
        <w:rPr>
          <w:rFonts w:ascii="Cambria" w:eastAsia="Calibri" w:hAnsi="Cambria" w:cs="Calibri"/>
          <w:spacing w:val="-1"/>
        </w:rPr>
        <w:t>n</w:t>
      </w:r>
      <w:r w:rsidRPr="009A0DA6">
        <w:rPr>
          <w:rFonts w:ascii="Cambria" w:eastAsia="Calibri" w:hAnsi="Cambria" w:cs="Calibri"/>
        </w:rPr>
        <w:t>e</w:t>
      </w:r>
      <w:r w:rsidRPr="009A0DA6">
        <w:rPr>
          <w:rFonts w:ascii="Cambria" w:eastAsia="Calibri" w:hAnsi="Cambria" w:cs="Calibri"/>
          <w:spacing w:val="-2"/>
        </w:rPr>
        <w:t xml:space="preserve"> </w:t>
      </w:r>
      <w:r w:rsidRPr="009A0DA6">
        <w:rPr>
          <w:rFonts w:ascii="Cambria" w:eastAsia="Calibri" w:hAnsi="Cambria" w:cs="Calibri"/>
          <w:spacing w:val="1"/>
        </w:rPr>
        <w:t>o</w:t>
      </w:r>
      <w:r w:rsidRPr="009A0DA6">
        <w:rPr>
          <w:rFonts w:ascii="Cambria" w:eastAsia="Calibri" w:hAnsi="Cambria" w:cs="Calibri"/>
        </w:rPr>
        <w:t>f</w:t>
      </w:r>
      <w:r w:rsidRPr="009A0DA6">
        <w:rPr>
          <w:rFonts w:ascii="Cambria" w:eastAsia="Calibri" w:hAnsi="Cambria" w:cs="Calibri"/>
          <w:spacing w:val="-2"/>
        </w:rPr>
        <w:t xml:space="preserve"> </w:t>
      </w:r>
      <w:r w:rsidRPr="009A0DA6">
        <w:rPr>
          <w:rFonts w:ascii="Cambria" w:eastAsia="Calibri" w:hAnsi="Cambria" w:cs="Calibri"/>
          <w:spacing w:val="1"/>
        </w:rPr>
        <w:t>m</w:t>
      </w:r>
      <w:r w:rsidRPr="009A0DA6">
        <w:rPr>
          <w:rFonts w:ascii="Cambria" w:eastAsia="Calibri" w:hAnsi="Cambria" w:cs="Calibri"/>
        </w:rPr>
        <w:t>i</w:t>
      </w:r>
      <w:r w:rsidRPr="009A0DA6">
        <w:rPr>
          <w:rFonts w:ascii="Cambria" w:eastAsia="Calibri" w:hAnsi="Cambria" w:cs="Calibri"/>
          <w:spacing w:val="-1"/>
        </w:rPr>
        <w:t>n</w:t>
      </w:r>
      <w:r w:rsidRPr="009A0DA6">
        <w:rPr>
          <w:rFonts w:ascii="Cambria" w:eastAsia="Calibri" w:hAnsi="Cambria" w:cs="Calibri"/>
        </w:rPr>
        <w:t>ist</w:t>
      </w:r>
      <w:r w:rsidRPr="009A0DA6">
        <w:rPr>
          <w:rFonts w:ascii="Cambria" w:eastAsia="Calibri" w:hAnsi="Cambria" w:cs="Calibri"/>
          <w:spacing w:val="-2"/>
        </w:rPr>
        <w:t>r</w:t>
      </w:r>
      <w:r w:rsidRPr="009A0DA6">
        <w:rPr>
          <w:rFonts w:ascii="Cambria" w:eastAsia="Calibri" w:hAnsi="Cambria" w:cs="Calibri"/>
          <w:spacing w:val="1"/>
        </w:rPr>
        <w:t>y</w:t>
      </w:r>
      <w:r w:rsidRPr="009A0DA6">
        <w:rPr>
          <w:rFonts w:ascii="Cambria" w:eastAsia="Calibri" w:hAnsi="Cambria" w:cs="Calibri"/>
        </w:rPr>
        <w:t>.</w:t>
      </w:r>
      <w:r w:rsidRPr="009A0DA6">
        <w:rPr>
          <w:rFonts w:ascii="Cambria" w:eastAsia="Calibri" w:hAnsi="Cambria" w:cs="Calibri"/>
          <w:spacing w:val="1"/>
        </w:rPr>
        <w:t xml:space="preserve"> </w:t>
      </w:r>
      <w:r w:rsidRPr="009A0DA6">
        <w:rPr>
          <w:rFonts w:ascii="Cambria" w:eastAsia="Calibri" w:hAnsi="Cambria" w:cs="Calibri"/>
        </w:rPr>
        <w:t>This</w:t>
      </w:r>
      <w:r w:rsidRPr="009A0DA6">
        <w:rPr>
          <w:rFonts w:ascii="Cambria" w:eastAsia="Calibri" w:hAnsi="Cambria" w:cs="Calibri"/>
          <w:spacing w:val="-3"/>
        </w:rPr>
        <w:t xml:space="preserve"> </w:t>
      </w:r>
      <w:r w:rsidRPr="009A0DA6">
        <w:rPr>
          <w:rFonts w:ascii="Cambria" w:eastAsia="Calibri" w:hAnsi="Cambria" w:cs="Calibri"/>
        </w:rPr>
        <w:t>is</w:t>
      </w:r>
      <w:r w:rsidRPr="009A0DA6">
        <w:rPr>
          <w:rFonts w:ascii="Cambria" w:eastAsia="Calibri" w:hAnsi="Cambria" w:cs="Calibri"/>
          <w:spacing w:val="-2"/>
        </w:rPr>
        <w:t xml:space="preserve"> </w:t>
      </w:r>
      <w:r w:rsidRPr="009A0DA6">
        <w:rPr>
          <w:rFonts w:ascii="Cambria" w:eastAsia="Calibri" w:hAnsi="Cambria" w:cs="Calibri"/>
        </w:rPr>
        <w:t>n</w:t>
      </w:r>
      <w:r w:rsidRPr="009A0DA6">
        <w:rPr>
          <w:rFonts w:ascii="Cambria" w:eastAsia="Calibri" w:hAnsi="Cambria" w:cs="Calibri"/>
          <w:spacing w:val="1"/>
        </w:rPr>
        <w:t>o</w:t>
      </w:r>
      <w:r w:rsidRPr="009A0DA6">
        <w:rPr>
          <w:rFonts w:ascii="Cambria" w:eastAsia="Calibri" w:hAnsi="Cambria" w:cs="Calibri"/>
        </w:rPr>
        <w:t>t</w:t>
      </w:r>
      <w:r w:rsidRPr="009A0DA6">
        <w:rPr>
          <w:rFonts w:ascii="Cambria" w:eastAsia="Calibri" w:hAnsi="Cambria" w:cs="Calibri"/>
          <w:spacing w:val="1"/>
        </w:rPr>
        <w:t xml:space="preserve"> </w:t>
      </w:r>
      <w:r w:rsidRPr="009A0DA6">
        <w:rPr>
          <w:rFonts w:ascii="Cambria" w:eastAsia="Calibri" w:hAnsi="Cambria" w:cs="Calibri"/>
        </w:rPr>
        <w:t>a</w:t>
      </w:r>
      <w:r w:rsidRPr="009A0DA6">
        <w:rPr>
          <w:rFonts w:ascii="Cambria" w:eastAsia="Calibri" w:hAnsi="Cambria" w:cs="Calibri"/>
          <w:spacing w:val="-2"/>
        </w:rPr>
        <w:t xml:space="preserve"> </w:t>
      </w:r>
      <w:r w:rsidRPr="009A0DA6">
        <w:rPr>
          <w:rFonts w:ascii="Cambria" w:eastAsia="Calibri" w:hAnsi="Cambria" w:cs="Calibri"/>
        </w:rPr>
        <w:t>peri</w:t>
      </w:r>
      <w:r w:rsidRPr="009A0DA6">
        <w:rPr>
          <w:rFonts w:ascii="Cambria" w:eastAsia="Calibri" w:hAnsi="Cambria" w:cs="Calibri"/>
          <w:spacing w:val="-1"/>
        </w:rPr>
        <w:t>ph</w:t>
      </w:r>
      <w:r w:rsidRPr="009A0DA6">
        <w:rPr>
          <w:rFonts w:ascii="Cambria" w:eastAsia="Calibri" w:hAnsi="Cambria" w:cs="Calibri"/>
        </w:rPr>
        <w:t xml:space="preserve">eral </w:t>
      </w:r>
      <w:r w:rsidRPr="009A0DA6">
        <w:rPr>
          <w:rFonts w:ascii="Cambria" w:eastAsia="Calibri" w:hAnsi="Cambria" w:cs="Calibri"/>
          <w:spacing w:val="-3"/>
        </w:rPr>
        <w:t>d</w:t>
      </w:r>
      <w:r w:rsidRPr="009A0DA6">
        <w:rPr>
          <w:rFonts w:ascii="Cambria" w:eastAsia="Calibri" w:hAnsi="Cambria" w:cs="Calibri"/>
          <w:spacing w:val="1"/>
        </w:rPr>
        <w:t>o</w:t>
      </w:r>
      <w:r w:rsidRPr="009A0DA6">
        <w:rPr>
          <w:rFonts w:ascii="Cambria" w:eastAsia="Calibri" w:hAnsi="Cambria" w:cs="Calibri"/>
        </w:rPr>
        <w:t>ctri</w:t>
      </w:r>
      <w:r w:rsidRPr="009A0DA6">
        <w:rPr>
          <w:rFonts w:ascii="Cambria" w:eastAsia="Calibri" w:hAnsi="Cambria" w:cs="Calibri"/>
          <w:spacing w:val="-1"/>
        </w:rPr>
        <w:t>n</w:t>
      </w:r>
      <w:r w:rsidRPr="009A0DA6">
        <w:rPr>
          <w:rFonts w:ascii="Cambria" w:eastAsia="Calibri" w:hAnsi="Cambria" w:cs="Calibri"/>
        </w:rPr>
        <w:t>al</w:t>
      </w:r>
      <w:r w:rsidRPr="009A0DA6">
        <w:rPr>
          <w:rFonts w:ascii="Cambria" w:eastAsia="Calibri" w:hAnsi="Cambria" w:cs="Calibri"/>
          <w:spacing w:val="-5"/>
        </w:rPr>
        <w:t xml:space="preserve"> </w:t>
      </w:r>
      <w:r w:rsidRPr="009A0DA6">
        <w:rPr>
          <w:rFonts w:ascii="Cambria" w:eastAsia="Calibri" w:hAnsi="Cambria" w:cs="Calibri"/>
          <w:spacing w:val="1"/>
        </w:rPr>
        <w:t>m</w:t>
      </w:r>
      <w:r w:rsidRPr="009A0DA6">
        <w:rPr>
          <w:rFonts w:ascii="Cambria" w:eastAsia="Calibri" w:hAnsi="Cambria" w:cs="Calibri"/>
        </w:rPr>
        <w:t>at</w:t>
      </w:r>
      <w:r w:rsidRPr="009A0DA6">
        <w:rPr>
          <w:rFonts w:ascii="Cambria" w:eastAsia="Calibri" w:hAnsi="Cambria" w:cs="Calibri"/>
          <w:spacing w:val="-2"/>
        </w:rPr>
        <w:t>t</w:t>
      </w:r>
      <w:r w:rsidRPr="009A0DA6">
        <w:rPr>
          <w:rFonts w:ascii="Cambria" w:eastAsia="Calibri" w:hAnsi="Cambria" w:cs="Calibri"/>
        </w:rPr>
        <w:t>er,</w:t>
      </w:r>
      <w:r w:rsidRPr="009A0DA6">
        <w:rPr>
          <w:rFonts w:ascii="Cambria" w:eastAsia="Calibri" w:hAnsi="Cambria" w:cs="Calibri"/>
          <w:spacing w:val="1"/>
        </w:rPr>
        <w:t xml:space="preserve"> </w:t>
      </w:r>
      <w:r w:rsidRPr="009A0DA6">
        <w:rPr>
          <w:rFonts w:ascii="Cambria" w:eastAsia="Calibri" w:hAnsi="Cambria" w:cs="Calibri"/>
          <w:spacing w:val="-2"/>
        </w:rPr>
        <w:t>s</w:t>
      </w:r>
      <w:r w:rsidRPr="009A0DA6">
        <w:rPr>
          <w:rFonts w:ascii="Cambria" w:eastAsia="Calibri" w:hAnsi="Cambria" w:cs="Calibri"/>
          <w:spacing w:val="-1"/>
        </w:rPr>
        <w:t>o</w:t>
      </w:r>
      <w:r w:rsidRPr="009A0DA6">
        <w:rPr>
          <w:rFonts w:ascii="Cambria" w:eastAsia="Calibri" w:hAnsi="Cambria" w:cs="Calibri"/>
          <w:spacing w:val="1"/>
        </w:rPr>
        <w:t>m</w:t>
      </w:r>
      <w:r w:rsidRPr="009A0DA6">
        <w:rPr>
          <w:rFonts w:ascii="Cambria" w:eastAsia="Calibri" w:hAnsi="Cambria" w:cs="Calibri"/>
          <w:spacing w:val="-2"/>
        </w:rPr>
        <w:t>e</w:t>
      </w:r>
      <w:r w:rsidRPr="009A0DA6">
        <w:rPr>
          <w:rFonts w:ascii="Cambria" w:eastAsia="Calibri" w:hAnsi="Cambria" w:cs="Calibri"/>
        </w:rPr>
        <w:t>th</w:t>
      </w:r>
      <w:r w:rsidRPr="009A0DA6">
        <w:rPr>
          <w:rFonts w:ascii="Cambria" w:eastAsia="Calibri" w:hAnsi="Cambria" w:cs="Calibri"/>
          <w:spacing w:val="-1"/>
        </w:rPr>
        <w:t>in</w:t>
      </w:r>
      <w:r w:rsidRPr="009A0DA6">
        <w:rPr>
          <w:rFonts w:ascii="Cambria" w:eastAsia="Calibri" w:hAnsi="Cambria" w:cs="Calibri"/>
        </w:rPr>
        <w:t>g</w:t>
      </w:r>
      <w:r w:rsidRPr="009A0DA6">
        <w:rPr>
          <w:rFonts w:ascii="Cambria" w:eastAsia="Calibri" w:hAnsi="Cambria" w:cs="Calibri"/>
          <w:spacing w:val="-1"/>
        </w:rPr>
        <w:t xml:space="preserve">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at</w:t>
      </w:r>
      <w:r w:rsidRPr="009A0DA6">
        <w:rPr>
          <w:rFonts w:ascii="Cambria" w:eastAsia="Calibri" w:hAnsi="Cambria" w:cs="Calibri"/>
          <w:spacing w:val="-1"/>
        </w:rPr>
        <w:t xml:space="preserve"> </w:t>
      </w:r>
      <w:r w:rsidRPr="009A0DA6">
        <w:rPr>
          <w:rFonts w:ascii="Cambria" w:eastAsia="Calibri" w:hAnsi="Cambria" w:cs="Calibri"/>
        </w:rPr>
        <w:t>we</w:t>
      </w:r>
      <w:r w:rsidRPr="009A0DA6">
        <w:rPr>
          <w:rFonts w:ascii="Cambria" w:eastAsia="Calibri" w:hAnsi="Cambria" w:cs="Calibri"/>
          <w:spacing w:val="-1"/>
        </w:rPr>
        <w:t xml:space="preserve"> </w:t>
      </w:r>
      <w:r w:rsidRPr="009A0DA6">
        <w:rPr>
          <w:rFonts w:ascii="Cambria" w:eastAsia="Calibri" w:hAnsi="Cambria" w:cs="Calibri"/>
        </w:rPr>
        <w:t>can</w:t>
      </w:r>
      <w:r w:rsidRPr="009A0DA6">
        <w:rPr>
          <w:rFonts w:ascii="Cambria" w:eastAsia="Calibri" w:hAnsi="Cambria" w:cs="Calibri"/>
          <w:spacing w:val="-1"/>
        </w:rPr>
        <w:t xml:space="preserve"> </w:t>
      </w:r>
      <w:r w:rsidRPr="009A0DA6">
        <w:rPr>
          <w:rFonts w:ascii="Cambria" w:eastAsia="Calibri" w:hAnsi="Cambria" w:cs="Calibri"/>
        </w:rPr>
        <w:t>si</w:t>
      </w:r>
      <w:r w:rsidRPr="009A0DA6">
        <w:rPr>
          <w:rFonts w:ascii="Cambria" w:eastAsia="Calibri" w:hAnsi="Cambria" w:cs="Calibri"/>
          <w:spacing w:val="1"/>
        </w:rPr>
        <w:t>m</w:t>
      </w:r>
      <w:r w:rsidRPr="009A0DA6">
        <w:rPr>
          <w:rFonts w:ascii="Cambria" w:eastAsia="Calibri" w:hAnsi="Cambria" w:cs="Calibri"/>
          <w:spacing w:val="-1"/>
        </w:rPr>
        <w:t>p</w:t>
      </w:r>
      <w:r w:rsidRPr="009A0DA6">
        <w:rPr>
          <w:rFonts w:ascii="Cambria" w:eastAsia="Calibri" w:hAnsi="Cambria" w:cs="Calibri"/>
          <w:spacing w:val="-3"/>
        </w:rPr>
        <w:t>l</w:t>
      </w:r>
      <w:r w:rsidRPr="009A0DA6">
        <w:rPr>
          <w:rFonts w:ascii="Cambria" w:eastAsia="Calibri" w:hAnsi="Cambria" w:cs="Calibri"/>
        </w:rPr>
        <w:t>y</w:t>
      </w:r>
      <w:r w:rsidRPr="009A0DA6">
        <w:rPr>
          <w:rFonts w:ascii="Cambria" w:eastAsia="Calibri" w:hAnsi="Cambria" w:cs="Calibri"/>
          <w:spacing w:val="1"/>
        </w:rPr>
        <w:t xml:space="preserve"> </w:t>
      </w:r>
      <w:r w:rsidRPr="009A0DA6">
        <w:rPr>
          <w:rFonts w:ascii="Cambria" w:eastAsia="Calibri" w:hAnsi="Cambria" w:cs="Calibri"/>
        </w:rPr>
        <w:t>ag</w:t>
      </w:r>
      <w:r w:rsidRPr="009A0DA6">
        <w:rPr>
          <w:rFonts w:ascii="Cambria" w:eastAsia="Calibri" w:hAnsi="Cambria" w:cs="Calibri"/>
          <w:spacing w:val="-1"/>
        </w:rPr>
        <w:t>r</w:t>
      </w:r>
      <w:r w:rsidRPr="009A0DA6">
        <w:rPr>
          <w:rFonts w:ascii="Cambria" w:eastAsia="Calibri" w:hAnsi="Cambria" w:cs="Calibri"/>
          <w:spacing w:val="-2"/>
        </w:rPr>
        <w:t>e</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spacing w:val="-2"/>
        </w:rPr>
        <w:t>t</w:t>
      </w:r>
      <w:r w:rsidRPr="009A0DA6">
        <w:rPr>
          <w:rFonts w:ascii="Cambria" w:eastAsia="Calibri" w:hAnsi="Cambria" w:cs="Calibri"/>
        </w:rPr>
        <w:t>o</w:t>
      </w:r>
      <w:r w:rsidRPr="009A0DA6">
        <w:rPr>
          <w:rFonts w:ascii="Cambria" w:eastAsia="Calibri" w:hAnsi="Cambria" w:cs="Calibri"/>
          <w:spacing w:val="1"/>
        </w:rPr>
        <w:t xml:space="preserve"> </w:t>
      </w:r>
      <w:r w:rsidRPr="009A0DA6">
        <w:rPr>
          <w:rFonts w:ascii="Cambria" w:eastAsia="Calibri" w:hAnsi="Cambria" w:cs="Calibri"/>
        </w:rPr>
        <w:t>dis</w:t>
      </w:r>
      <w:r w:rsidRPr="009A0DA6">
        <w:rPr>
          <w:rFonts w:ascii="Cambria" w:eastAsia="Calibri" w:hAnsi="Cambria" w:cs="Calibri"/>
          <w:spacing w:val="-1"/>
        </w:rPr>
        <w:t>ag</w:t>
      </w:r>
      <w:r w:rsidRPr="009A0DA6">
        <w:rPr>
          <w:rFonts w:ascii="Cambria" w:eastAsia="Calibri" w:hAnsi="Cambria" w:cs="Calibri"/>
        </w:rPr>
        <w:t>r</w:t>
      </w:r>
      <w:r w:rsidRPr="009A0DA6">
        <w:rPr>
          <w:rFonts w:ascii="Cambria" w:eastAsia="Calibri" w:hAnsi="Cambria" w:cs="Calibri"/>
          <w:spacing w:val="-2"/>
        </w:rPr>
        <w:t>e</w:t>
      </w:r>
      <w:r w:rsidRPr="009A0DA6">
        <w:rPr>
          <w:rFonts w:ascii="Cambria" w:eastAsia="Calibri" w:hAnsi="Cambria" w:cs="Calibri"/>
        </w:rPr>
        <w:t>e</w:t>
      </w:r>
      <w:r w:rsidRPr="009A0DA6">
        <w:rPr>
          <w:rFonts w:ascii="Cambria" w:eastAsia="Calibri" w:hAnsi="Cambria" w:cs="Calibri"/>
          <w:spacing w:val="1"/>
        </w:rPr>
        <w:t xml:space="preserve"> o</w:t>
      </w:r>
      <w:r w:rsidRPr="009A0DA6">
        <w:rPr>
          <w:rFonts w:ascii="Cambria" w:eastAsia="Calibri" w:hAnsi="Cambria" w:cs="Calibri"/>
        </w:rPr>
        <w:t>n with</w:t>
      </w:r>
      <w:r w:rsidRPr="009A0DA6">
        <w:rPr>
          <w:rFonts w:ascii="Cambria" w:eastAsia="Calibri" w:hAnsi="Cambria" w:cs="Calibri"/>
          <w:spacing w:val="1"/>
        </w:rPr>
        <w:t>o</w:t>
      </w:r>
      <w:r w:rsidRPr="009A0DA6">
        <w:rPr>
          <w:rFonts w:ascii="Cambria" w:eastAsia="Calibri" w:hAnsi="Cambria" w:cs="Calibri"/>
          <w:spacing w:val="-1"/>
        </w:rPr>
        <w:t>u</w:t>
      </w:r>
      <w:r w:rsidRPr="009A0DA6">
        <w:rPr>
          <w:rFonts w:ascii="Cambria" w:eastAsia="Calibri" w:hAnsi="Cambria" w:cs="Calibri"/>
        </w:rPr>
        <w:t>t</w:t>
      </w:r>
      <w:r w:rsidRPr="009A0DA6">
        <w:rPr>
          <w:rFonts w:ascii="Cambria" w:eastAsia="Calibri" w:hAnsi="Cambria" w:cs="Calibri"/>
          <w:spacing w:val="-2"/>
        </w:rPr>
        <w:t xml:space="preserve"> </w:t>
      </w:r>
      <w:r w:rsidRPr="009A0DA6">
        <w:rPr>
          <w:rFonts w:ascii="Cambria" w:eastAsia="Calibri" w:hAnsi="Cambria" w:cs="Calibri"/>
        </w:rPr>
        <w:t>it</w:t>
      </w:r>
      <w:r w:rsidRPr="009A0DA6">
        <w:rPr>
          <w:rFonts w:ascii="Cambria" w:eastAsia="Calibri" w:hAnsi="Cambria" w:cs="Calibri"/>
          <w:spacing w:val="1"/>
        </w:rPr>
        <w:t xml:space="preserve"> </w:t>
      </w:r>
      <w:r w:rsidRPr="009A0DA6">
        <w:rPr>
          <w:rFonts w:ascii="Cambria" w:eastAsia="Calibri" w:hAnsi="Cambria" w:cs="Calibri"/>
        </w:rPr>
        <w:t>af</w:t>
      </w:r>
      <w:r w:rsidRPr="009A0DA6">
        <w:rPr>
          <w:rFonts w:ascii="Cambria" w:eastAsia="Calibri" w:hAnsi="Cambria" w:cs="Calibri"/>
          <w:spacing w:val="-3"/>
        </w:rPr>
        <w:t>f</w:t>
      </w:r>
      <w:r w:rsidRPr="009A0DA6">
        <w:rPr>
          <w:rFonts w:ascii="Cambria" w:eastAsia="Calibri" w:hAnsi="Cambria" w:cs="Calibri"/>
        </w:rPr>
        <w:t>ec</w:t>
      </w:r>
      <w:r w:rsidRPr="009A0DA6">
        <w:rPr>
          <w:rFonts w:ascii="Cambria" w:eastAsia="Calibri" w:hAnsi="Cambria" w:cs="Calibri"/>
          <w:spacing w:val="1"/>
        </w:rPr>
        <w:t>t</w:t>
      </w:r>
      <w:r w:rsidRPr="009A0DA6">
        <w:rPr>
          <w:rFonts w:ascii="Cambria" w:eastAsia="Calibri" w:hAnsi="Cambria" w:cs="Calibri"/>
        </w:rPr>
        <w:t>i</w:t>
      </w:r>
      <w:r w:rsidRPr="009A0DA6">
        <w:rPr>
          <w:rFonts w:ascii="Cambria" w:eastAsia="Calibri" w:hAnsi="Cambria" w:cs="Calibri"/>
          <w:spacing w:val="-1"/>
        </w:rPr>
        <w:t>n</w:t>
      </w:r>
      <w:r w:rsidRPr="009A0DA6">
        <w:rPr>
          <w:rFonts w:ascii="Cambria" w:eastAsia="Calibri" w:hAnsi="Cambria" w:cs="Calibri"/>
        </w:rPr>
        <w:t>g</w:t>
      </w:r>
      <w:r w:rsidRPr="009A0DA6">
        <w:rPr>
          <w:rFonts w:ascii="Cambria" w:eastAsia="Calibri" w:hAnsi="Cambria" w:cs="Calibri"/>
          <w:spacing w:val="-3"/>
        </w:rPr>
        <w:t xml:space="preserve"> </w:t>
      </w:r>
      <w:r w:rsidRPr="009A0DA6">
        <w:rPr>
          <w:rFonts w:ascii="Cambria" w:eastAsia="Calibri" w:hAnsi="Cambria" w:cs="Calibri"/>
          <w:spacing w:val="1"/>
        </w:rPr>
        <w:t>o</w:t>
      </w:r>
      <w:r w:rsidRPr="009A0DA6">
        <w:rPr>
          <w:rFonts w:ascii="Cambria" w:eastAsia="Calibri" w:hAnsi="Cambria" w:cs="Calibri"/>
          <w:spacing w:val="-1"/>
        </w:rPr>
        <w:t>u</w:t>
      </w:r>
      <w:r w:rsidRPr="009A0DA6">
        <w:rPr>
          <w:rFonts w:ascii="Cambria" w:eastAsia="Calibri" w:hAnsi="Cambria" w:cs="Calibri"/>
        </w:rPr>
        <w:t>r u</w:t>
      </w:r>
      <w:r w:rsidRPr="009A0DA6">
        <w:rPr>
          <w:rFonts w:ascii="Cambria" w:eastAsia="Calibri" w:hAnsi="Cambria" w:cs="Calibri"/>
          <w:spacing w:val="-1"/>
        </w:rPr>
        <w:t>n</w:t>
      </w:r>
      <w:r w:rsidRPr="009A0DA6">
        <w:rPr>
          <w:rFonts w:ascii="Cambria" w:eastAsia="Calibri" w:hAnsi="Cambria" w:cs="Calibri"/>
          <w:spacing w:val="-3"/>
        </w:rPr>
        <w:t>i</w:t>
      </w:r>
      <w:r w:rsidRPr="009A0DA6">
        <w:rPr>
          <w:rFonts w:ascii="Cambria" w:eastAsia="Calibri" w:hAnsi="Cambria" w:cs="Calibri"/>
        </w:rPr>
        <w:t>ty</w:t>
      </w:r>
      <w:r w:rsidRPr="009A0DA6">
        <w:rPr>
          <w:rFonts w:ascii="Cambria" w:eastAsia="Calibri" w:hAnsi="Cambria" w:cs="Calibri"/>
          <w:spacing w:val="-1"/>
        </w:rPr>
        <w:t xml:space="preserve"> </w:t>
      </w:r>
      <w:r w:rsidRPr="009A0DA6">
        <w:rPr>
          <w:rFonts w:ascii="Cambria" w:eastAsia="Calibri" w:hAnsi="Cambria" w:cs="Calibri"/>
          <w:spacing w:val="1"/>
        </w:rPr>
        <w:t>o</w:t>
      </w:r>
      <w:r w:rsidRPr="009A0DA6">
        <w:rPr>
          <w:rFonts w:ascii="Cambria" w:eastAsia="Calibri" w:hAnsi="Cambria" w:cs="Calibri"/>
        </w:rPr>
        <w:t xml:space="preserve">r </w:t>
      </w:r>
      <w:r w:rsidRPr="009A0DA6">
        <w:rPr>
          <w:rFonts w:ascii="Cambria" w:eastAsia="Calibri" w:hAnsi="Cambria" w:cs="Calibri"/>
          <w:spacing w:val="-2"/>
        </w:rPr>
        <w:t>c</w:t>
      </w:r>
      <w:r w:rsidRPr="009A0DA6">
        <w:rPr>
          <w:rFonts w:ascii="Cambria" w:eastAsia="Calibri" w:hAnsi="Cambria" w:cs="Calibri"/>
          <w:spacing w:val="-1"/>
        </w:rPr>
        <w:t>o</w:t>
      </w:r>
      <w:r w:rsidRPr="009A0DA6">
        <w:rPr>
          <w:rFonts w:ascii="Cambria" w:eastAsia="Calibri" w:hAnsi="Cambria" w:cs="Calibri"/>
          <w:spacing w:val="1"/>
        </w:rPr>
        <w:t>o</w:t>
      </w:r>
      <w:r w:rsidRPr="009A0DA6">
        <w:rPr>
          <w:rFonts w:ascii="Cambria" w:eastAsia="Calibri" w:hAnsi="Cambria" w:cs="Calibri"/>
          <w:spacing w:val="-1"/>
        </w:rPr>
        <w:t>p</w:t>
      </w:r>
      <w:r w:rsidRPr="009A0DA6">
        <w:rPr>
          <w:rFonts w:ascii="Cambria" w:eastAsia="Calibri" w:hAnsi="Cambria" w:cs="Calibri"/>
        </w:rPr>
        <w:t>erat</w:t>
      </w:r>
      <w:r w:rsidRPr="009A0DA6">
        <w:rPr>
          <w:rFonts w:ascii="Cambria" w:eastAsia="Calibri" w:hAnsi="Cambria" w:cs="Calibri"/>
          <w:spacing w:val="-2"/>
        </w:rPr>
        <w:t>i</w:t>
      </w:r>
      <w:r w:rsidRPr="009A0DA6">
        <w:rPr>
          <w:rFonts w:ascii="Cambria" w:eastAsia="Calibri" w:hAnsi="Cambria" w:cs="Calibri"/>
          <w:spacing w:val="1"/>
        </w:rPr>
        <w:t>o</w:t>
      </w:r>
      <w:r w:rsidRPr="009A0DA6">
        <w:rPr>
          <w:rFonts w:ascii="Cambria" w:eastAsia="Calibri" w:hAnsi="Cambria" w:cs="Calibri"/>
        </w:rPr>
        <w:t>n</w:t>
      </w:r>
      <w:r w:rsidRPr="009A0DA6">
        <w:rPr>
          <w:rFonts w:ascii="Cambria" w:eastAsia="Calibri" w:hAnsi="Cambria" w:cs="Calibri"/>
          <w:spacing w:val="-1"/>
        </w:rPr>
        <w:t xml:space="preserve"> </w:t>
      </w:r>
      <w:r w:rsidRPr="009A0DA6">
        <w:rPr>
          <w:rFonts w:ascii="Cambria" w:eastAsia="Calibri" w:hAnsi="Cambria" w:cs="Calibri"/>
          <w:spacing w:val="1"/>
        </w:rPr>
        <w:t>w</w:t>
      </w:r>
      <w:r w:rsidRPr="009A0DA6">
        <w:rPr>
          <w:rFonts w:ascii="Cambria" w:eastAsia="Calibri" w:hAnsi="Cambria" w:cs="Calibri"/>
          <w:spacing w:val="-3"/>
        </w:rPr>
        <w:t>i</w:t>
      </w:r>
      <w:r w:rsidRPr="009A0DA6">
        <w:rPr>
          <w:rFonts w:ascii="Cambria" w:eastAsia="Calibri" w:hAnsi="Cambria" w:cs="Calibri"/>
        </w:rPr>
        <w:t>th</w:t>
      </w:r>
      <w:r w:rsidRPr="009A0DA6">
        <w:rPr>
          <w:rFonts w:ascii="Cambria" w:eastAsia="Calibri" w:hAnsi="Cambria" w:cs="Calibri"/>
          <w:spacing w:val="-1"/>
        </w:rPr>
        <w:t>i</w:t>
      </w:r>
      <w:r w:rsidRPr="009A0DA6">
        <w:rPr>
          <w:rFonts w:ascii="Cambria" w:eastAsia="Calibri" w:hAnsi="Cambria" w:cs="Calibri"/>
        </w:rPr>
        <w:t>n</w:t>
      </w:r>
      <w:r w:rsidRPr="009A0DA6">
        <w:rPr>
          <w:rFonts w:ascii="Cambria" w:eastAsia="Calibri" w:hAnsi="Cambria" w:cs="Calibri"/>
          <w:spacing w:val="-1"/>
        </w:rPr>
        <w:t xml:space="preserve"> </w:t>
      </w:r>
      <w:r w:rsidRPr="009A0DA6">
        <w:rPr>
          <w:rFonts w:ascii="Cambria" w:eastAsia="Calibri" w:hAnsi="Cambria" w:cs="Calibri"/>
          <w:spacing w:val="1"/>
        </w:rPr>
        <w:t>t</w:t>
      </w:r>
      <w:r w:rsidRPr="009A0DA6">
        <w:rPr>
          <w:rFonts w:ascii="Cambria" w:eastAsia="Calibri" w:hAnsi="Cambria" w:cs="Calibri"/>
          <w:spacing w:val="-3"/>
        </w:rPr>
        <w:t>h</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spacing w:val="-1"/>
        </w:rPr>
        <w:t>b</w:t>
      </w:r>
      <w:r w:rsidRPr="009A0DA6">
        <w:rPr>
          <w:rFonts w:ascii="Cambria" w:eastAsia="Calibri" w:hAnsi="Cambria" w:cs="Calibri"/>
          <w:spacing w:val="1"/>
        </w:rPr>
        <w:t>o</w:t>
      </w:r>
      <w:r w:rsidRPr="009A0DA6">
        <w:rPr>
          <w:rFonts w:ascii="Cambria" w:eastAsia="Calibri" w:hAnsi="Cambria" w:cs="Calibri"/>
          <w:spacing w:val="-1"/>
        </w:rPr>
        <w:t>d</w:t>
      </w:r>
      <w:r w:rsidRPr="009A0DA6">
        <w:rPr>
          <w:rFonts w:ascii="Cambria" w:eastAsia="Calibri" w:hAnsi="Cambria" w:cs="Calibri"/>
        </w:rPr>
        <w:t>y</w:t>
      </w:r>
      <w:r w:rsidRPr="009A0DA6">
        <w:rPr>
          <w:rFonts w:ascii="Cambria" w:eastAsia="Calibri" w:hAnsi="Cambria" w:cs="Calibri"/>
          <w:spacing w:val="-1"/>
        </w:rPr>
        <w:t xml:space="preserve"> </w:t>
      </w:r>
      <w:r w:rsidRPr="009A0DA6">
        <w:rPr>
          <w:rFonts w:ascii="Cambria" w:eastAsia="Calibri" w:hAnsi="Cambria" w:cs="Calibri"/>
          <w:spacing w:val="1"/>
        </w:rPr>
        <w:t>o</w:t>
      </w:r>
      <w:r w:rsidRPr="009A0DA6">
        <w:rPr>
          <w:rFonts w:ascii="Cambria" w:eastAsia="Calibri" w:hAnsi="Cambria" w:cs="Calibri"/>
        </w:rPr>
        <w:t>f</w:t>
      </w:r>
      <w:r w:rsidRPr="009A0DA6">
        <w:rPr>
          <w:rFonts w:ascii="Cambria" w:eastAsia="Calibri" w:hAnsi="Cambria" w:cs="Calibri"/>
          <w:spacing w:val="-3"/>
        </w:rPr>
        <w:t xml:space="preserve"> </w:t>
      </w:r>
      <w:r w:rsidRPr="009A0DA6">
        <w:rPr>
          <w:rFonts w:ascii="Cambria" w:eastAsia="Calibri" w:hAnsi="Cambria" w:cs="Calibri"/>
        </w:rPr>
        <w:t>Chr</w:t>
      </w:r>
      <w:r w:rsidRPr="009A0DA6">
        <w:rPr>
          <w:rFonts w:ascii="Cambria" w:eastAsia="Calibri" w:hAnsi="Cambria" w:cs="Calibri"/>
          <w:spacing w:val="-1"/>
        </w:rPr>
        <w:t>i</w:t>
      </w:r>
      <w:r w:rsidRPr="009A0DA6">
        <w:rPr>
          <w:rFonts w:ascii="Cambria" w:eastAsia="Calibri" w:hAnsi="Cambria" w:cs="Calibri"/>
        </w:rPr>
        <w:t>st.</w:t>
      </w:r>
      <w:r w:rsidRPr="009A0DA6">
        <w:rPr>
          <w:rFonts w:ascii="Cambria" w:eastAsia="Calibri" w:hAnsi="Cambria" w:cs="Calibri"/>
          <w:spacing w:val="-2"/>
        </w:rPr>
        <w:t xml:space="preserve"> </w:t>
      </w:r>
      <w:r w:rsidRPr="009A0DA6">
        <w:rPr>
          <w:rFonts w:ascii="Cambria" w:eastAsia="Calibri" w:hAnsi="Cambria" w:cs="Calibri"/>
          <w:spacing w:val="1"/>
        </w:rPr>
        <w:t>L</w:t>
      </w:r>
      <w:r w:rsidRPr="009A0DA6">
        <w:rPr>
          <w:rFonts w:ascii="Cambria" w:eastAsia="Calibri" w:hAnsi="Cambria" w:cs="Calibri"/>
          <w:spacing w:val="-1"/>
        </w:rPr>
        <w:t>u</w:t>
      </w:r>
      <w:r w:rsidRPr="009A0DA6">
        <w:rPr>
          <w:rFonts w:ascii="Cambria" w:eastAsia="Calibri" w:hAnsi="Cambria" w:cs="Calibri"/>
        </w:rPr>
        <w:t>ther d</w:t>
      </w:r>
      <w:r w:rsidRPr="009A0DA6">
        <w:rPr>
          <w:rFonts w:ascii="Cambria" w:eastAsia="Calibri" w:hAnsi="Cambria" w:cs="Calibri"/>
          <w:spacing w:val="-1"/>
        </w:rPr>
        <w:t>i</w:t>
      </w:r>
      <w:r w:rsidRPr="009A0DA6">
        <w:rPr>
          <w:rFonts w:ascii="Cambria" w:eastAsia="Calibri" w:hAnsi="Cambria" w:cs="Calibri"/>
        </w:rPr>
        <w:t>d</w:t>
      </w:r>
      <w:r w:rsidRPr="009A0DA6">
        <w:rPr>
          <w:rFonts w:ascii="Cambria" w:eastAsia="Calibri" w:hAnsi="Cambria" w:cs="Calibri"/>
          <w:spacing w:val="-3"/>
        </w:rPr>
        <w:t xml:space="preserve"> </w:t>
      </w:r>
      <w:r w:rsidRPr="009A0DA6">
        <w:rPr>
          <w:rFonts w:ascii="Cambria" w:eastAsia="Calibri" w:hAnsi="Cambria" w:cs="Calibri"/>
        </w:rPr>
        <w:t>n</w:t>
      </w:r>
      <w:r w:rsidRPr="009A0DA6">
        <w:rPr>
          <w:rFonts w:ascii="Cambria" w:eastAsia="Calibri" w:hAnsi="Cambria" w:cs="Calibri"/>
          <w:spacing w:val="1"/>
        </w:rPr>
        <w:t>o</w:t>
      </w:r>
      <w:r w:rsidRPr="009A0DA6">
        <w:rPr>
          <w:rFonts w:ascii="Cambria" w:eastAsia="Calibri" w:hAnsi="Cambria" w:cs="Calibri"/>
        </w:rPr>
        <w:t>t</w:t>
      </w:r>
      <w:r w:rsidRPr="009A0DA6">
        <w:rPr>
          <w:rFonts w:ascii="Cambria" w:eastAsia="Calibri" w:hAnsi="Cambria" w:cs="Calibri"/>
          <w:spacing w:val="-1"/>
        </w:rPr>
        <w:t xml:space="preserve"> </w:t>
      </w:r>
      <w:r w:rsidRPr="009A0DA6">
        <w:rPr>
          <w:rFonts w:ascii="Cambria" w:eastAsia="Calibri" w:hAnsi="Cambria" w:cs="Calibri"/>
        </w:rPr>
        <w:t>treat</w:t>
      </w:r>
      <w:r w:rsidRPr="009A0DA6">
        <w:rPr>
          <w:rFonts w:ascii="Cambria" w:eastAsia="Calibri" w:hAnsi="Cambria" w:cs="Calibri"/>
          <w:spacing w:val="-1"/>
        </w:rPr>
        <w:t xml:space="preserve"> </w:t>
      </w:r>
      <w:r w:rsidRPr="009A0DA6">
        <w:rPr>
          <w:rFonts w:ascii="Cambria" w:eastAsia="Calibri" w:hAnsi="Cambria" w:cs="Calibri"/>
        </w:rPr>
        <w:t>it</w:t>
      </w:r>
      <w:r w:rsidRPr="009A0DA6">
        <w:rPr>
          <w:rFonts w:ascii="Cambria" w:eastAsia="Calibri" w:hAnsi="Cambria" w:cs="Calibri"/>
          <w:spacing w:val="1"/>
        </w:rPr>
        <w:t xml:space="preserve"> </w:t>
      </w:r>
      <w:r w:rsidRPr="009A0DA6">
        <w:rPr>
          <w:rFonts w:ascii="Cambria" w:eastAsia="Calibri" w:hAnsi="Cambria" w:cs="Calibri"/>
        </w:rPr>
        <w:t>as</w:t>
      </w:r>
      <w:r w:rsidRPr="009A0DA6">
        <w:rPr>
          <w:rFonts w:ascii="Cambria" w:eastAsia="Calibri" w:hAnsi="Cambria" w:cs="Calibri"/>
          <w:spacing w:val="-2"/>
        </w:rPr>
        <w:t xml:space="preserve"> </w:t>
      </w:r>
      <w:r w:rsidRPr="009A0DA6">
        <w:rPr>
          <w:rFonts w:ascii="Cambria" w:eastAsia="Calibri" w:hAnsi="Cambria" w:cs="Calibri"/>
        </w:rPr>
        <w:t>peri</w:t>
      </w:r>
      <w:r w:rsidRPr="009A0DA6">
        <w:rPr>
          <w:rFonts w:ascii="Cambria" w:eastAsia="Calibri" w:hAnsi="Cambria" w:cs="Calibri"/>
          <w:spacing w:val="-1"/>
        </w:rPr>
        <w:t>ph</w:t>
      </w:r>
      <w:r w:rsidRPr="009A0DA6">
        <w:rPr>
          <w:rFonts w:ascii="Cambria" w:eastAsia="Calibri" w:hAnsi="Cambria" w:cs="Calibri"/>
          <w:spacing w:val="5"/>
        </w:rPr>
        <w:t>e</w:t>
      </w:r>
      <w:r w:rsidRPr="009A0DA6">
        <w:rPr>
          <w:rFonts w:ascii="Cambria" w:eastAsia="Calibri" w:hAnsi="Cambria" w:cs="Calibri"/>
        </w:rPr>
        <w:t>ra</w:t>
      </w:r>
      <w:r w:rsidRPr="009A0DA6">
        <w:rPr>
          <w:rFonts w:ascii="Cambria" w:eastAsia="Calibri" w:hAnsi="Cambria" w:cs="Calibri"/>
          <w:spacing w:val="-1"/>
        </w:rPr>
        <w:t>l</w:t>
      </w:r>
      <w:r w:rsidRPr="009A0DA6">
        <w:rPr>
          <w:rFonts w:ascii="Cambria" w:eastAsia="Calibri" w:hAnsi="Cambria" w:cs="Calibri"/>
        </w:rPr>
        <w:t>,</w:t>
      </w:r>
      <w:r w:rsidRPr="009A0DA6">
        <w:rPr>
          <w:rFonts w:ascii="Cambria" w:eastAsia="Calibri" w:hAnsi="Cambria" w:cs="Calibri"/>
          <w:spacing w:val="-2"/>
        </w:rPr>
        <w:t xml:space="preserve"> </w:t>
      </w:r>
      <w:r w:rsidRPr="009A0DA6">
        <w:rPr>
          <w:rFonts w:ascii="Cambria" w:eastAsia="Calibri" w:hAnsi="Cambria" w:cs="Calibri"/>
        </w:rPr>
        <w:t>b</w:t>
      </w:r>
      <w:r w:rsidRPr="009A0DA6">
        <w:rPr>
          <w:rFonts w:ascii="Cambria" w:eastAsia="Calibri" w:hAnsi="Cambria" w:cs="Calibri"/>
          <w:spacing w:val="-1"/>
        </w:rPr>
        <w:t>u</w:t>
      </w:r>
      <w:r w:rsidRPr="009A0DA6">
        <w:rPr>
          <w:rFonts w:ascii="Cambria" w:eastAsia="Calibri" w:hAnsi="Cambria" w:cs="Calibri"/>
        </w:rPr>
        <w:t>t list</w:t>
      </w:r>
      <w:r w:rsidRPr="009A0DA6">
        <w:rPr>
          <w:rFonts w:ascii="Cambria" w:eastAsia="Calibri" w:hAnsi="Cambria" w:cs="Calibri"/>
          <w:spacing w:val="1"/>
        </w:rPr>
        <w:t>e</w:t>
      </w:r>
      <w:r w:rsidRPr="009A0DA6">
        <w:rPr>
          <w:rFonts w:ascii="Cambria" w:eastAsia="Calibri" w:hAnsi="Cambria" w:cs="Calibri"/>
        </w:rPr>
        <w:t>d</w:t>
      </w:r>
      <w:r w:rsidRPr="009A0DA6">
        <w:rPr>
          <w:rFonts w:ascii="Cambria" w:eastAsia="Calibri" w:hAnsi="Cambria" w:cs="Calibri"/>
          <w:spacing w:val="-1"/>
        </w:rPr>
        <w:t xml:space="preserve">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2"/>
        </w:rPr>
        <w:t xml:space="preserve"> </w:t>
      </w:r>
      <w:r w:rsidRPr="009A0DA6">
        <w:rPr>
          <w:rFonts w:ascii="Cambria" w:eastAsia="Calibri" w:hAnsi="Cambria" w:cs="Calibri"/>
          <w:spacing w:val="1"/>
        </w:rPr>
        <w:t>o</w:t>
      </w:r>
      <w:r w:rsidRPr="009A0DA6">
        <w:rPr>
          <w:rFonts w:ascii="Cambria" w:eastAsia="Calibri" w:hAnsi="Cambria" w:cs="Calibri"/>
        </w:rPr>
        <w:t>ff</w:t>
      </w:r>
      <w:r w:rsidRPr="009A0DA6">
        <w:rPr>
          <w:rFonts w:ascii="Cambria" w:eastAsia="Calibri" w:hAnsi="Cambria" w:cs="Calibri"/>
          <w:spacing w:val="-3"/>
        </w:rPr>
        <w:t>i</w:t>
      </w:r>
      <w:r w:rsidRPr="009A0DA6">
        <w:rPr>
          <w:rFonts w:ascii="Cambria" w:eastAsia="Calibri" w:hAnsi="Cambria" w:cs="Calibri"/>
        </w:rPr>
        <w:t>ce</w:t>
      </w:r>
      <w:r w:rsidRPr="009A0DA6">
        <w:rPr>
          <w:rFonts w:ascii="Cambria" w:eastAsia="Calibri" w:hAnsi="Cambria" w:cs="Calibri"/>
          <w:spacing w:val="-1"/>
        </w:rPr>
        <w:t xml:space="preserve"> </w:t>
      </w:r>
      <w:r w:rsidRPr="009A0DA6">
        <w:rPr>
          <w:rFonts w:ascii="Cambria" w:eastAsia="Calibri" w:hAnsi="Cambria" w:cs="Calibri"/>
          <w:spacing w:val="1"/>
        </w:rPr>
        <w:t>o</w:t>
      </w:r>
      <w:r w:rsidRPr="009A0DA6">
        <w:rPr>
          <w:rFonts w:ascii="Cambria" w:eastAsia="Calibri" w:hAnsi="Cambria" w:cs="Calibri"/>
        </w:rPr>
        <w:t xml:space="preserve">f </w:t>
      </w:r>
      <w:r w:rsidRPr="009A0DA6">
        <w:rPr>
          <w:rFonts w:ascii="Cambria" w:eastAsia="Calibri" w:hAnsi="Cambria" w:cs="Calibri"/>
          <w:spacing w:val="1"/>
        </w:rPr>
        <w:t>t</w:t>
      </w:r>
      <w:r w:rsidRPr="009A0DA6">
        <w:rPr>
          <w:rFonts w:ascii="Cambria" w:eastAsia="Calibri" w:hAnsi="Cambria" w:cs="Calibri"/>
          <w:spacing w:val="-3"/>
        </w:rPr>
        <w:t>h</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spacing w:val="-1"/>
        </w:rPr>
        <w:t>pub</w:t>
      </w:r>
      <w:r w:rsidRPr="009A0DA6">
        <w:rPr>
          <w:rFonts w:ascii="Cambria" w:eastAsia="Calibri" w:hAnsi="Cambria" w:cs="Calibri"/>
        </w:rPr>
        <w:t>lic</w:t>
      </w:r>
      <w:r w:rsidRPr="009A0DA6">
        <w:rPr>
          <w:rFonts w:ascii="Cambria" w:eastAsia="Calibri" w:hAnsi="Cambria" w:cs="Calibri"/>
          <w:spacing w:val="1"/>
        </w:rPr>
        <w:t xml:space="preserve"> m</w:t>
      </w:r>
      <w:r w:rsidRPr="009A0DA6">
        <w:rPr>
          <w:rFonts w:ascii="Cambria" w:eastAsia="Calibri" w:hAnsi="Cambria" w:cs="Calibri"/>
        </w:rPr>
        <w:t>i</w:t>
      </w:r>
      <w:r w:rsidRPr="009A0DA6">
        <w:rPr>
          <w:rFonts w:ascii="Cambria" w:eastAsia="Calibri" w:hAnsi="Cambria" w:cs="Calibri"/>
          <w:spacing w:val="-1"/>
        </w:rPr>
        <w:t>n</w:t>
      </w:r>
      <w:r w:rsidRPr="009A0DA6">
        <w:rPr>
          <w:rFonts w:ascii="Cambria" w:eastAsia="Calibri" w:hAnsi="Cambria" w:cs="Calibri"/>
        </w:rPr>
        <w:t>ist</w:t>
      </w:r>
      <w:r w:rsidRPr="009A0DA6">
        <w:rPr>
          <w:rFonts w:ascii="Cambria" w:eastAsia="Calibri" w:hAnsi="Cambria" w:cs="Calibri"/>
          <w:spacing w:val="-2"/>
        </w:rPr>
        <w:t>r</w:t>
      </w:r>
      <w:r w:rsidRPr="009A0DA6">
        <w:rPr>
          <w:rFonts w:ascii="Cambria" w:eastAsia="Calibri" w:hAnsi="Cambria" w:cs="Calibri"/>
        </w:rPr>
        <w:t>y</w:t>
      </w:r>
      <w:r w:rsidRPr="009A0DA6">
        <w:rPr>
          <w:rFonts w:ascii="Cambria" w:eastAsia="Calibri" w:hAnsi="Cambria" w:cs="Calibri"/>
          <w:spacing w:val="1"/>
        </w:rPr>
        <w:t xml:space="preserve"> </w:t>
      </w:r>
      <w:r w:rsidRPr="009A0DA6">
        <w:rPr>
          <w:rFonts w:ascii="Cambria" w:eastAsia="Calibri" w:hAnsi="Cambria" w:cs="Calibri"/>
        </w:rPr>
        <w:t>as</w:t>
      </w:r>
      <w:r w:rsidRPr="009A0DA6">
        <w:rPr>
          <w:rFonts w:ascii="Cambria" w:eastAsia="Calibri" w:hAnsi="Cambria" w:cs="Calibri"/>
          <w:spacing w:val="-2"/>
        </w:rPr>
        <w:t xml:space="preserve"> </w:t>
      </w:r>
      <w:r w:rsidRPr="009A0DA6">
        <w:rPr>
          <w:rFonts w:ascii="Cambria" w:eastAsia="Calibri" w:hAnsi="Cambria" w:cs="Calibri"/>
          <w:spacing w:val="1"/>
        </w:rPr>
        <w:t>o</w:t>
      </w:r>
      <w:r w:rsidRPr="009A0DA6">
        <w:rPr>
          <w:rFonts w:ascii="Cambria" w:eastAsia="Calibri" w:hAnsi="Cambria" w:cs="Calibri"/>
          <w:spacing w:val="-3"/>
        </w:rPr>
        <w:t>n</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spacing w:val="1"/>
        </w:rPr>
        <w:t>o</w:t>
      </w:r>
      <w:r w:rsidRPr="009A0DA6">
        <w:rPr>
          <w:rFonts w:ascii="Cambria" w:eastAsia="Calibri" w:hAnsi="Cambria" w:cs="Calibri"/>
        </w:rPr>
        <w:t>f s</w:t>
      </w:r>
      <w:r w:rsidRPr="009A0DA6">
        <w:rPr>
          <w:rFonts w:ascii="Cambria" w:eastAsia="Calibri" w:hAnsi="Cambria" w:cs="Calibri"/>
          <w:spacing w:val="-1"/>
        </w:rPr>
        <w:t>e</w:t>
      </w:r>
      <w:r w:rsidRPr="009A0DA6">
        <w:rPr>
          <w:rFonts w:ascii="Cambria" w:eastAsia="Calibri" w:hAnsi="Cambria" w:cs="Calibri"/>
          <w:spacing w:val="1"/>
        </w:rPr>
        <w:t>v</w:t>
      </w:r>
      <w:r w:rsidRPr="009A0DA6">
        <w:rPr>
          <w:rFonts w:ascii="Cambria" w:eastAsia="Calibri" w:hAnsi="Cambria" w:cs="Calibri"/>
        </w:rPr>
        <w:t>en</w:t>
      </w:r>
      <w:r w:rsidRPr="009A0DA6">
        <w:rPr>
          <w:rFonts w:ascii="Cambria" w:eastAsia="Calibri" w:hAnsi="Cambria" w:cs="Calibri"/>
          <w:spacing w:val="-2"/>
        </w:rPr>
        <w:t xml:space="preserve"> </w:t>
      </w:r>
      <w:r w:rsidRPr="009A0DA6">
        <w:rPr>
          <w:rFonts w:ascii="Cambria" w:eastAsia="Calibri" w:hAnsi="Cambria" w:cs="Calibri"/>
          <w:spacing w:val="1"/>
        </w:rPr>
        <w:t>m</w:t>
      </w:r>
      <w:r w:rsidRPr="009A0DA6">
        <w:rPr>
          <w:rFonts w:ascii="Cambria" w:eastAsia="Calibri" w:hAnsi="Cambria" w:cs="Calibri"/>
        </w:rPr>
        <w:t>arks</w:t>
      </w:r>
      <w:r w:rsidRPr="009A0DA6">
        <w:rPr>
          <w:rFonts w:ascii="Cambria" w:eastAsia="Calibri" w:hAnsi="Cambria" w:cs="Calibri"/>
          <w:spacing w:val="-2"/>
        </w:rPr>
        <w:t xml:space="preserve"> </w:t>
      </w:r>
      <w:r w:rsidRPr="009A0DA6">
        <w:rPr>
          <w:rFonts w:ascii="Cambria" w:eastAsia="Calibri" w:hAnsi="Cambria" w:cs="Calibri"/>
          <w:spacing w:val="1"/>
        </w:rPr>
        <w:t>o</w:t>
      </w:r>
      <w:r w:rsidRPr="009A0DA6">
        <w:rPr>
          <w:rFonts w:ascii="Cambria" w:eastAsia="Calibri" w:hAnsi="Cambria" w:cs="Calibri"/>
        </w:rPr>
        <w:t>f</w:t>
      </w:r>
      <w:r w:rsidRPr="009A0DA6">
        <w:rPr>
          <w:rFonts w:ascii="Cambria" w:eastAsia="Calibri" w:hAnsi="Cambria" w:cs="Calibri"/>
          <w:spacing w:val="-3"/>
        </w:rPr>
        <w:t xml:space="preserve">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rPr>
        <w:t>ch</w:t>
      </w:r>
      <w:r w:rsidRPr="009A0DA6">
        <w:rPr>
          <w:rFonts w:ascii="Cambria" w:eastAsia="Calibri" w:hAnsi="Cambria" w:cs="Calibri"/>
          <w:spacing w:val="-1"/>
        </w:rPr>
        <w:t>u</w:t>
      </w:r>
      <w:r w:rsidRPr="009A0DA6">
        <w:rPr>
          <w:rFonts w:ascii="Cambria" w:eastAsia="Calibri" w:hAnsi="Cambria" w:cs="Calibri"/>
        </w:rPr>
        <w:t>rch</w:t>
      </w:r>
      <w:r w:rsidRPr="009A0DA6">
        <w:rPr>
          <w:rFonts w:ascii="Cambria" w:eastAsia="Calibri" w:hAnsi="Cambria" w:cs="Calibri"/>
          <w:spacing w:val="-1"/>
        </w:rPr>
        <w:t xml:space="preserve"> </w:t>
      </w:r>
      <w:r w:rsidRPr="009A0DA6">
        <w:rPr>
          <w:rFonts w:ascii="Cambria" w:eastAsia="Calibri" w:hAnsi="Cambria" w:cs="Calibri"/>
          <w:spacing w:val="5"/>
        </w:rPr>
        <w:t>(</w:t>
      </w:r>
      <w:r w:rsidRPr="009A0DA6">
        <w:rPr>
          <w:rFonts w:ascii="Cambria" w:eastAsia="Calibri" w:hAnsi="Cambria" w:cs="Calibri"/>
          <w:i/>
        </w:rPr>
        <w:t>On</w:t>
      </w:r>
      <w:r w:rsidRPr="009A0DA6">
        <w:rPr>
          <w:rFonts w:ascii="Cambria" w:eastAsia="Calibri" w:hAnsi="Cambria" w:cs="Calibri"/>
          <w:i/>
          <w:spacing w:val="-1"/>
        </w:rPr>
        <w:t xml:space="preserve"> </w:t>
      </w:r>
      <w:r w:rsidRPr="009A0DA6">
        <w:rPr>
          <w:rFonts w:ascii="Cambria" w:eastAsia="Calibri" w:hAnsi="Cambria" w:cs="Calibri"/>
          <w:i/>
          <w:spacing w:val="1"/>
        </w:rPr>
        <w:t>t</w:t>
      </w:r>
      <w:r w:rsidRPr="009A0DA6">
        <w:rPr>
          <w:rFonts w:ascii="Cambria" w:eastAsia="Calibri" w:hAnsi="Cambria" w:cs="Calibri"/>
          <w:i/>
          <w:spacing w:val="-3"/>
        </w:rPr>
        <w:t>h</w:t>
      </w:r>
      <w:r w:rsidRPr="009A0DA6">
        <w:rPr>
          <w:rFonts w:ascii="Cambria" w:eastAsia="Calibri" w:hAnsi="Cambria" w:cs="Calibri"/>
          <w:i/>
        </w:rPr>
        <w:t>e Co</w:t>
      </w:r>
      <w:r w:rsidRPr="009A0DA6">
        <w:rPr>
          <w:rFonts w:ascii="Cambria" w:eastAsia="Calibri" w:hAnsi="Cambria" w:cs="Calibri"/>
          <w:i/>
          <w:spacing w:val="-1"/>
        </w:rPr>
        <w:t>un</w:t>
      </w:r>
      <w:r w:rsidRPr="009A0DA6">
        <w:rPr>
          <w:rFonts w:ascii="Cambria" w:eastAsia="Calibri" w:hAnsi="Cambria" w:cs="Calibri"/>
          <w:i/>
        </w:rPr>
        <w:t>c</w:t>
      </w:r>
      <w:r w:rsidRPr="009A0DA6">
        <w:rPr>
          <w:rFonts w:ascii="Cambria" w:eastAsia="Calibri" w:hAnsi="Cambria" w:cs="Calibri"/>
          <w:i/>
          <w:spacing w:val="-1"/>
        </w:rPr>
        <w:t>i</w:t>
      </w:r>
      <w:r w:rsidRPr="009A0DA6">
        <w:rPr>
          <w:rFonts w:ascii="Cambria" w:eastAsia="Calibri" w:hAnsi="Cambria" w:cs="Calibri"/>
          <w:i/>
        </w:rPr>
        <w:t>ls a</w:t>
      </w:r>
      <w:r w:rsidRPr="009A0DA6">
        <w:rPr>
          <w:rFonts w:ascii="Cambria" w:eastAsia="Calibri" w:hAnsi="Cambria" w:cs="Calibri"/>
          <w:i/>
          <w:spacing w:val="-1"/>
        </w:rPr>
        <w:t>n</w:t>
      </w:r>
      <w:r w:rsidRPr="009A0DA6">
        <w:rPr>
          <w:rFonts w:ascii="Cambria" w:eastAsia="Calibri" w:hAnsi="Cambria" w:cs="Calibri"/>
          <w:i/>
        </w:rPr>
        <w:t>d</w:t>
      </w:r>
      <w:r w:rsidRPr="009A0DA6">
        <w:rPr>
          <w:rFonts w:ascii="Cambria" w:eastAsia="Calibri" w:hAnsi="Cambria" w:cs="Calibri"/>
          <w:i/>
          <w:spacing w:val="-1"/>
        </w:rPr>
        <w:t xml:space="preserve"> </w:t>
      </w:r>
      <w:r w:rsidRPr="009A0DA6">
        <w:rPr>
          <w:rFonts w:ascii="Cambria" w:eastAsia="Calibri" w:hAnsi="Cambria" w:cs="Calibri"/>
          <w:i/>
          <w:spacing w:val="1"/>
        </w:rPr>
        <w:t>t</w:t>
      </w:r>
      <w:r w:rsidRPr="009A0DA6">
        <w:rPr>
          <w:rFonts w:ascii="Cambria" w:eastAsia="Calibri" w:hAnsi="Cambria" w:cs="Calibri"/>
          <w:i/>
          <w:spacing w:val="-1"/>
        </w:rPr>
        <w:t>h</w:t>
      </w:r>
      <w:r w:rsidRPr="009A0DA6">
        <w:rPr>
          <w:rFonts w:ascii="Cambria" w:eastAsia="Calibri" w:hAnsi="Cambria" w:cs="Calibri"/>
          <w:i/>
        </w:rPr>
        <w:t>e Ch</w:t>
      </w:r>
      <w:r w:rsidRPr="009A0DA6">
        <w:rPr>
          <w:rFonts w:ascii="Cambria" w:eastAsia="Calibri" w:hAnsi="Cambria" w:cs="Calibri"/>
          <w:i/>
          <w:spacing w:val="-3"/>
        </w:rPr>
        <w:t>u</w:t>
      </w:r>
      <w:r w:rsidRPr="009A0DA6">
        <w:rPr>
          <w:rFonts w:ascii="Cambria" w:eastAsia="Calibri" w:hAnsi="Cambria" w:cs="Calibri"/>
          <w:i/>
          <w:spacing w:val="1"/>
        </w:rPr>
        <w:t>r</w:t>
      </w:r>
      <w:r w:rsidRPr="009A0DA6">
        <w:rPr>
          <w:rFonts w:ascii="Cambria" w:eastAsia="Calibri" w:hAnsi="Cambria" w:cs="Calibri"/>
          <w:i/>
        </w:rPr>
        <w:t>ch</w:t>
      </w:r>
      <w:r w:rsidRPr="009A0DA6">
        <w:rPr>
          <w:rFonts w:ascii="Cambria" w:eastAsia="Calibri" w:hAnsi="Cambria" w:cs="Calibri"/>
        </w:rPr>
        <w:t>,</w:t>
      </w:r>
      <w:r w:rsidRPr="009A0DA6">
        <w:rPr>
          <w:rFonts w:ascii="Cambria" w:eastAsia="Calibri" w:hAnsi="Cambria" w:cs="Calibri"/>
          <w:spacing w:val="-2"/>
        </w:rPr>
        <w:t xml:space="preserve"> </w:t>
      </w:r>
      <w:r w:rsidRPr="009A0DA6">
        <w:rPr>
          <w:rFonts w:ascii="Cambria" w:eastAsia="Calibri" w:hAnsi="Cambria" w:cs="Calibri"/>
          <w:spacing w:val="1"/>
        </w:rPr>
        <w:t>L</w:t>
      </w:r>
      <w:r w:rsidRPr="009A0DA6">
        <w:rPr>
          <w:rFonts w:ascii="Cambria" w:eastAsia="Calibri" w:hAnsi="Cambria" w:cs="Calibri"/>
        </w:rPr>
        <w:t>W</w:t>
      </w:r>
      <w:r w:rsidRPr="009A0DA6">
        <w:rPr>
          <w:rFonts w:ascii="Cambria" w:eastAsia="Calibri" w:hAnsi="Cambria" w:cs="Calibri"/>
          <w:spacing w:val="1"/>
        </w:rPr>
        <w:t>41</w:t>
      </w:r>
      <w:r w:rsidRPr="009A0DA6">
        <w:rPr>
          <w:rFonts w:ascii="Cambria" w:eastAsia="Calibri" w:hAnsi="Cambria" w:cs="Calibri"/>
        </w:rPr>
        <w:t>,</w:t>
      </w:r>
      <w:r w:rsidRPr="009A0DA6">
        <w:rPr>
          <w:rFonts w:ascii="Cambria" w:eastAsia="Calibri" w:hAnsi="Cambria" w:cs="Calibri"/>
          <w:spacing w:val="-2"/>
        </w:rPr>
        <w:t xml:space="preserve"> 1</w:t>
      </w:r>
      <w:r w:rsidRPr="009A0DA6">
        <w:rPr>
          <w:rFonts w:ascii="Cambria" w:eastAsia="Calibri" w:hAnsi="Cambria" w:cs="Calibri"/>
          <w:spacing w:val="1"/>
        </w:rPr>
        <w:t>5</w:t>
      </w:r>
      <w:r w:rsidRPr="009A0DA6">
        <w:rPr>
          <w:rFonts w:ascii="Cambria" w:eastAsia="Calibri" w:hAnsi="Cambria" w:cs="Calibri"/>
          <w:spacing w:val="2"/>
        </w:rPr>
        <w:t>4</w:t>
      </w:r>
      <w:r w:rsidRPr="009A0DA6">
        <w:rPr>
          <w:rFonts w:ascii="Cambria" w:eastAsia="Calibri" w:hAnsi="Cambria" w:cs="Calibri"/>
          <w:spacing w:val="-3"/>
        </w:rPr>
        <w:sym w:font="Symbol" w:char="F02D"/>
      </w:r>
      <w:r w:rsidRPr="009A0DA6">
        <w:rPr>
          <w:rFonts w:ascii="Cambria" w:eastAsia="Calibri" w:hAnsi="Cambria" w:cs="Calibri"/>
          <w:spacing w:val="1"/>
        </w:rPr>
        <w:t>55</w:t>
      </w:r>
      <w:r w:rsidRPr="009A0DA6">
        <w:rPr>
          <w:rFonts w:ascii="Cambria" w:eastAsia="Calibri" w:hAnsi="Cambria" w:cs="Calibri"/>
        </w:rPr>
        <w:t xml:space="preserve">). </w:t>
      </w:r>
      <w:r w:rsidRPr="009A0DA6">
        <w:rPr>
          <w:rFonts w:ascii="Cambria" w:eastAsia="Calibri" w:hAnsi="Cambria" w:cs="Calibri"/>
          <w:spacing w:val="-3"/>
        </w:rPr>
        <w:t>J</w:t>
      </w:r>
      <w:r w:rsidRPr="009A0DA6">
        <w:rPr>
          <w:rFonts w:ascii="Cambria" w:eastAsia="Calibri" w:hAnsi="Cambria" w:cs="Calibri"/>
        </w:rPr>
        <w:t>esus d</w:t>
      </w:r>
      <w:r w:rsidRPr="009A0DA6">
        <w:rPr>
          <w:rFonts w:ascii="Cambria" w:eastAsia="Calibri" w:hAnsi="Cambria" w:cs="Calibri"/>
          <w:spacing w:val="-1"/>
        </w:rPr>
        <w:t>i</w:t>
      </w:r>
      <w:r w:rsidRPr="009A0DA6">
        <w:rPr>
          <w:rFonts w:ascii="Cambria" w:eastAsia="Calibri" w:hAnsi="Cambria" w:cs="Calibri"/>
        </w:rPr>
        <w:t>d</w:t>
      </w:r>
      <w:r w:rsidRPr="009A0DA6">
        <w:rPr>
          <w:rFonts w:ascii="Cambria" w:eastAsia="Calibri" w:hAnsi="Cambria" w:cs="Calibri"/>
          <w:spacing w:val="-1"/>
        </w:rPr>
        <w:t xml:space="preserve"> </w:t>
      </w:r>
      <w:r w:rsidRPr="009A0DA6">
        <w:rPr>
          <w:rFonts w:ascii="Cambria" w:eastAsia="Calibri" w:hAnsi="Cambria" w:cs="Calibri"/>
        </w:rPr>
        <w:t>n</w:t>
      </w:r>
      <w:r w:rsidRPr="009A0DA6">
        <w:rPr>
          <w:rFonts w:ascii="Cambria" w:eastAsia="Calibri" w:hAnsi="Cambria" w:cs="Calibri"/>
          <w:spacing w:val="-1"/>
        </w:rPr>
        <w:t>o</w:t>
      </w:r>
      <w:r w:rsidRPr="009A0DA6">
        <w:rPr>
          <w:rFonts w:ascii="Cambria" w:eastAsia="Calibri" w:hAnsi="Cambria" w:cs="Calibri"/>
        </w:rPr>
        <w:t>t</w:t>
      </w:r>
      <w:r w:rsidRPr="009A0DA6">
        <w:rPr>
          <w:rFonts w:ascii="Cambria" w:eastAsia="Calibri" w:hAnsi="Cambria" w:cs="Calibri"/>
          <w:spacing w:val="1"/>
        </w:rPr>
        <w:t xml:space="preserve"> </w:t>
      </w:r>
      <w:r w:rsidRPr="009A0DA6">
        <w:rPr>
          <w:rFonts w:ascii="Cambria" w:eastAsia="Calibri" w:hAnsi="Cambria" w:cs="Calibri"/>
          <w:spacing w:val="-2"/>
        </w:rPr>
        <w:t>t</w:t>
      </w:r>
      <w:r w:rsidRPr="009A0DA6">
        <w:rPr>
          <w:rFonts w:ascii="Cambria" w:eastAsia="Calibri" w:hAnsi="Cambria" w:cs="Calibri"/>
        </w:rPr>
        <w:t>reat</w:t>
      </w:r>
      <w:r w:rsidRPr="009A0DA6">
        <w:rPr>
          <w:rFonts w:ascii="Cambria" w:eastAsia="Calibri" w:hAnsi="Cambria" w:cs="Calibri"/>
          <w:spacing w:val="1"/>
        </w:rPr>
        <w:t xml:space="preserve"> </w:t>
      </w:r>
      <w:r w:rsidRPr="009A0DA6">
        <w:rPr>
          <w:rFonts w:ascii="Cambria" w:eastAsia="Calibri" w:hAnsi="Cambria" w:cs="Calibri"/>
        </w:rPr>
        <w:t>it</w:t>
      </w:r>
      <w:r w:rsidRPr="009A0DA6">
        <w:rPr>
          <w:rFonts w:ascii="Cambria" w:eastAsia="Calibri" w:hAnsi="Cambria" w:cs="Calibri"/>
          <w:spacing w:val="-2"/>
        </w:rPr>
        <w:t xml:space="preserve"> </w:t>
      </w:r>
      <w:r w:rsidRPr="009A0DA6">
        <w:rPr>
          <w:rFonts w:ascii="Cambria" w:eastAsia="Calibri" w:hAnsi="Cambria" w:cs="Calibri"/>
        </w:rPr>
        <w:t>as</w:t>
      </w:r>
      <w:r w:rsidRPr="009A0DA6">
        <w:rPr>
          <w:rFonts w:ascii="Cambria" w:eastAsia="Calibri" w:hAnsi="Cambria" w:cs="Calibri"/>
          <w:spacing w:val="1"/>
        </w:rPr>
        <w:t xml:space="preserve"> </w:t>
      </w:r>
      <w:r w:rsidRPr="009A0DA6">
        <w:rPr>
          <w:rFonts w:ascii="Cambria" w:eastAsia="Calibri" w:hAnsi="Cambria" w:cs="Calibri"/>
          <w:spacing w:val="-1"/>
        </w:rPr>
        <w:t>p</w:t>
      </w:r>
      <w:r w:rsidRPr="009A0DA6">
        <w:rPr>
          <w:rFonts w:ascii="Cambria" w:eastAsia="Calibri" w:hAnsi="Cambria" w:cs="Calibri"/>
        </w:rPr>
        <w:t>eri</w:t>
      </w:r>
      <w:r w:rsidRPr="009A0DA6">
        <w:rPr>
          <w:rFonts w:ascii="Cambria" w:eastAsia="Calibri" w:hAnsi="Cambria" w:cs="Calibri"/>
          <w:spacing w:val="-1"/>
        </w:rPr>
        <w:t>ph</w:t>
      </w:r>
      <w:r w:rsidRPr="009A0DA6">
        <w:rPr>
          <w:rFonts w:ascii="Cambria" w:eastAsia="Calibri" w:hAnsi="Cambria" w:cs="Calibri"/>
        </w:rPr>
        <w:t>e</w:t>
      </w:r>
      <w:r w:rsidRPr="009A0DA6">
        <w:rPr>
          <w:rFonts w:ascii="Cambria" w:eastAsia="Calibri" w:hAnsi="Cambria" w:cs="Calibri"/>
          <w:spacing w:val="-2"/>
        </w:rPr>
        <w:t>r</w:t>
      </w:r>
      <w:r w:rsidRPr="009A0DA6">
        <w:rPr>
          <w:rFonts w:ascii="Cambria" w:eastAsia="Calibri" w:hAnsi="Cambria" w:cs="Calibri"/>
        </w:rPr>
        <w:t>al, w</w:t>
      </w:r>
      <w:r w:rsidRPr="009A0DA6">
        <w:rPr>
          <w:rFonts w:ascii="Cambria" w:eastAsia="Calibri" w:hAnsi="Cambria" w:cs="Calibri"/>
          <w:spacing w:val="-3"/>
        </w:rPr>
        <w:t>h</w:t>
      </w:r>
      <w:r w:rsidRPr="009A0DA6">
        <w:rPr>
          <w:rFonts w:ascii="Cambria" w:eastAsia="Calibri" w:hAnsi="Cambria" w:cs="Calibri"/>
        </w:rPr>
        <w:t>en</w:t>
      </w:r>
      <w:r w:rsidRPr="009A0DA6">
        <w:rPr>
          <w:rFonts w:ascii="Cambria" w:eastAsia="Calibri" w:hAnsi="Cambria" w:cs="Calibri"/>
          <w:spacing w:val="-2"/>
        </w:rPr>
        <w:t xml:space="preserve"> </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rPr>
        <w:t>called and</w:t>
      </w:r>
      <w:r w:rsidRPr="009A0DA6">
        <w:rPr>
          <w:rFonts w:ascii="Cambria" w:eastAsia="Calibri" w:hAnsi="Cambria" w:cs="Calibri"/>
          <w:spacing w:val="-3"/>
        </w:rPr>
        <w:t xml:space="preserve"> </w:t>
      </w:r>
      <w:r w:rsidRPr="009A0DA6">
        <w:rPr>
          <w:rFonts w:ascii="Cambria" w:eastAsia="Calibri" w:hAnsi="Cambria" w:cs="Calibri"/>
        </w:rPr>
        <w:t>trai</w:t>
      </w:r>
      <w:r w:rsidRPr="009A0DA6">
        <w:rPr>
          <w:rFonts w:ascii="Cambria" w:eastAsia="Calibri" w:hAnsi="Cambria" w:cs="Calibri"/>
          <w:spacing w:val="-1"/>
        </w:rPr>
        <w:t>n</w:t>
      </w:r>
      <w:r w:rsidRPr="009A0DA6">
        <w:rPr>
          <w:rFonts w:ascii="Cambria" w:eastAsia="Calibri" w:hAnsi="Cambria" w:cs="Calibri"/>
        </w:rPr>
        <w:t>ed h</w:t>
      </w:r>
      <w:r w:rsidRPr="009A0DA6">
        <w:rPr>
          <w:rFonts w:ascii="Cambria" w:eastAsia="Calibri" w:hAnsi="Cambria" w:cs="Calibri"/>
          <w:spacing w:val="-1"/>
        </w:rPr>
        <w:t>i</w:t>
      </w:r>
      <w:r w:rsidRPr="009A0DA6">
        <w:rPr>
          <w:rFonts w:ascii="Cambria" w:eastAsia="Calibri" w:hAnsi="Cambria" w:cs="Calibri"/>
        </w:rPr>
        <w:t xml:space="preserve">s </w:t>
      </w:r>
      <w:r w:rsidRPr="009A0DA6">
        <w:rPr>
          <w:rFonts w:ascii="Cambria" w:eastAsia="Calibri" w:hAnsi="Cambria" w:cs="Calibri"/>
          <w:spacing w:val="-2"/>
        </w:rPr>
        <w:t>A</w:t>
      </w:r>
      <w:r w:rsidRPr="009A0DA6">
        <w:rPr>
          <w:rFonts w:ascii="Cambria" w:eastAsia="Calibri" w:hAnsi="Cambria" w:cs="Calibri"/>
          <w:spacing w:val="-1"/>
        </w:rPr>
        <w:t>p</w:t>
      </w:r>
      <w:r w:rsidRPr="009A0DA6">
        <w:rPr>
          <w:rFonts w:ascii="Cambria" w:eastAsia="Calibri" w:hAnsi="Cambria" w:cs="Calibri"/>
          <w:spacing w:val="1"/>
        </w:rPr>
        <w:t>o</w:t>
      </w:r>
      <w:r w:rsidRPr="009A0DA6">
        <w:rPr>
          <w:rFonts w:ascii="Cambria" w:eastAsia="Calibri" w:hAnsi="Cambria" w:cs="Calibri"/>
        </w:rPr>
        <w:t>stle</w:t>
      </w:r>
      <w:r w:rsidRPr="009A0DA6">
        <w:rPr>
          <w:rFonts w:ascii="Cambria" w:eastAsia="Calibri" w:hAnsi="Cambria" w:cs="Calibri"/>
          <w:spacing w:val="-2"/>
        </w:rPr>
        <w:t>s</w:t>
      </w:r>
      <w:r w:rsidRPr="009A0DA6">
        <w:rPr>
          <w:rFonts w:ascii="Cambria" w:eastAsia="Calibri" w:hAnsi="Cambria" w:cs="Calibri"/>
        </w:rPr>
        <w:t>, and</w:t>
      </w:r>
      <w:r w:rsidRPr="009A0DA6">
        <w:rPr>
          <w:rFonts w:ascii="Cambria" w:eastAsia="Calibri" w:hAnsi="Cambria" w:cs="Calibri"/>
          <w:spacing w:val="-1"/>
        </w:rPr>
        <w:t xml:space="preserve">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spacing w:val="-3"/>
        </w:rPr>
        <w:t>r</w:t>
      </w:r>
      <w:r w:rsidRPr="009A0DA6">
        <w:rPr>
          <w:rFonts w:ascii="Cambria" w:eastAsia="Calibri" w:hAnsi="Cambria" w:cs="Calibri"/>
          <w:spacing w:val="1"/>
        </w:rPr>
        <w:t>o</w:t>
      </w:r>
      <w:r w:rsidRPr="009A0DA6">
        <w:rPr>
          <w:rFonts w:ascii="Cambria" w:eastAsia="Calibri" w:hAnsi="Cambria" w:cs="Calibri"/>
          <w:spacing w:val="-1"/>
        </w:rPr>
        <w:t>ug</w:t>
      </w:r>
      <w:r w:rsidRPr="009A0DA6">
        <w:rPr>
          <w:rFonts w:ascii="Cambria" w:eastAsia="Calibri" w:hAnsi="Cambria" w:cs="Calibri"/>
        </w:rPr>
        <w:t>h</w:t>
      </w:r>
      <w:r w:rsidRPr="009A0DA6">
        <w:rPr>
          <w:rFonts w:ascii="Cambria" w:eastAsia="Calibri" w:hAnsi="Cambria" w:cs="Calibri"/>
          <w:spacing w:val="-1"/>
        </w:rPr>
        <w:t xml:space="preserve">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spacing w:val="-2"/>
        </w:rPr>
        <w:t>e</w:t>
      </w:r>
      <w:r w:rsidRPr="009A0DA6">
        <w:rPr>
          <w:rFonts w:ascii="Cambria" w:eastAsia="Calibri" w:hAnsi="Cambria" w:cs="Calibri"/>
        </w:rPr>
        <w:t>m chose</w:t>
      </w:r>
      <w:r w:rsidRPr="009A0DA6">
        <w:rPr>
          <w:rFonts w:ascii="Cambria" w:eastAsia="Calibri" w:hAnsi="Cambria" w:cs="Calibri"/>
          <w:spacing w:val="-2"/>
        </w:rPr>
        <w:t xml:space="preserve"> </w:t>
      </w:r>
      <w:r w:rsidRPr="009A0DA6">
        <w:rPr>
          <w:rFonts w:ascii="Cambria" w:eastAsia="Calibri" w:hAnsi="Cambria" w:cs="Calibri"/>
        </w:rPr>
        <w:t>succ</w:t>
      </w:r>
      <w:r w:rsidRPr="009A0DA6">
        <w:rPr>
          <w:rFonts w:ascii="Cambria" w:eastAsia="Calibri" w:hAnsi="Cambria" w:cs="Calibri"/>
          <w:spacing w:val="-2"/>
        </w:rPr>
        <w:t>e</w:t>
      </w:r>
      <w:r w:rsidRPr="009A0DA6">
        <w:rPr>
          <w:rFonts w:ascii="Cambria" w:eastAsia="Calibri" w:hAnsi="Cambria" w:cs="Calibri"/>
        </w:rPr>
        <w:t>ss</w:t>
      </w:r>
      <w:r w:rsidRPr="009A0DA6">
        <w:rPr>
          <w:rFonts w:ascii="Cambria" w:eastAsia="Calibri" w:hAnsi="Cambria" w:cs="Calibri"/>
          <w:spacing w:val="1"/>
        </w:rPr>
        <w:t>o</w:t>
      </w:r>
      <w:r w:rsidRPr="009A0DA6">
        <w:rPr>
          <w:rFonts w:ascii="Cambria" w:eastAsia="Calibri" w:hAnsi="Cambria" w:cs="Calibri"/>
          <w:spacing w:val="-3"/>
        </w:rPr>
        <w:t>r</w:t>
      </w:r>
      <w:r w:rsidRPr="009A0DA6">
        <w:rPr>
          <w:rFonts w:ascii="Cambria" w:eastAsia="Calibri" w:hAnsi="Cambria" w:cs="Calibri"/>
        </w:rPr>
        <w:t xml:space="preserve">s </w:t>
      </w:r>
      <w:r w:rsidRPr="009A0DA6">
        <w:rPr>
          <w:rFonts w:ascii="Cambria" w:eastAsia="Calibri" w:hAnsi="Cambria" w:cs="Calibri"/>
          <w:spacing w:val="-1"/>
        </w:rPr>
        <w:t>t</w:t>
      </w:r>
      <w:r w:rsidRPr="009A0DA6">
        <w:rPr>
          <w:rFonts w:ascii="Cambria" w:eastAsia="Calibri" w:hAnsi="Cambria" w:cs="Calibri"/>
        </w:rPr>
        <w:t>o</w:t>
      </w:r>
      <w:r w:rsidRPr="009A0DA6">
        <w:rPr>
          <w:rFonts w:ascii="Cambria" w:eastAsia="Calibri" w:hAnsi="Cambria" w:cs="Calibri"/>
          <w:spacing w:val="1"/>
        </w:rPr>
        <w:t xml:space="preserve"> </w:t>
      </w:r>
      <w:r w:rsidRPr="009A0DA6">
        <w:rPr>
          <w:rFonts w:ascii="Cambria" w:eastAsia="Calibri" w:hAnsi="Cambria" w:cs="Calibri"/>
        </w:rPr>
        <w:t>car</w:t>
      </w:r>
      <w:r w:rsidRPr="009A0DA6">
        <w:rPr>
          <w:rFonts w:ascii="Cambria" w:eastAsia="Calibri" w:hAnsi="Cambria" w:cs="Calibri"/>
          <w:spacing w:val="-3"/>
        </w:rPr>
        <w:t>r</w:t>
      </w:r>
      <w:r w:rsidRPr="009A0DA6">
        <w:rPr>
          <w:rFonts w:ascii="Cambria" w:eastAsia="Calibri" w:hAnsi="Cambria" w:cs="Calibri"/>
        </w:rPr>
        <w:t>y</w:t>
      </w:r>
      <w:r w:rsidRPr="009A0DA6">
        <w:rPr>
          <w:rFonts w:ascii="Cambria" w:eastAsia="Calibri" w:hAnsi="Cambria" w:cs="Calibri"/>
          <w:spacing w:val="-1"/>
        </w:rPr>
        <w:t xml:space="preserve"> o</w:t>
      </w:r>
      <w:r w:rsidRPr="009A0DA6">
        <w:rPr>
          <w:rFonts w:ascii="Cambria" w:eastAsia="Calibri" w:hAnsi="Cambria" w:cs="Calibri"/>
        </w:rPr>
        <w:t>n</w:t>
      </w:r>
      <w:r w:rsidRPr="009A0DA6">
        <w:rPr>
          <w:rFonts w:ascii="Cambria" w:eastAsia="Calibri" w:hAnsi="Cambria" w:cs="Calibri"/>
          <w:spacing w:val="-1"/>
        </w:rPr>
        <w:t xml:space="preserve">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eir</w:t>
      </w:r>
      <w:r w:rsidRPr="009A0DA6">
        <w:rPr>
          <w:rFonts w:ascii="Cambria" w:eastAsia="Calibri" w:hAnsi="Cambria" w:cs="Calibri"/>
          <w:spacing w:val="-2"/>
        </w:rPr>
        <w:t xml:space="preserve"> </w:t>
      </w:r>
      <w:r w:rsidRPr="009A0DA6">
        <w:rPr>
          <w:rFonts w:ascii="Cambria" w:eastAsia="Calibri" w:hAnsi="Cambria" w:cs="Calibri"/>
          <w:spacing w:val="1"/>
        </w:rPr>
        <w:t>m</w:t>
      </w:r>
      <w:r w:rsidRPr="009A0DA6">
        <w:rPr>
          <w:rFonts w:ascii="Cambria" w:eastAsia="Calibri" w:hAnsi="Cambria" w:cs="Calibri"/>
        </w:rPr>
        <w:t>i</w:t>
      </w:r>
      <w:r w:rsidRPr="009A0DA6">
        <w:rPr>
          <w:rFonts w:ascii="Cambria" w:eastAsia="Calibri" w:hAnsi="Cambria" w:cs="Calibri"/>
          <w:spacing w:val="-1"/>
        </w:rPr>
        <w:t>n</w:t>
      </w:r>
      <w:r w:rsidRPr="009A0DA6">
        <w:rPr>
          <w:rFonts w:ascii="Cambria" w:eastAsia="Calibri" w:hAnsi="Cambria" w:cs="Calibri"/>
        </w:rPr>
        <w:t>istry</w:t>
      </w:r>
      <w:r w:rsidRPr="009A0DA6">
        <w:rPr>
          <w:rFonts w:ascii="Cambria" w:eastAsia="Calibri" w:hAnsi="Cambria" w:cs="Calibri"/>
          <w:spacing w:val="-1"/>
        </w:rPr>
        <w:t xml:space="preserve"> </w:t>
      </w:r>
      <w:r w:rsidRPr="009A0DA6">
        <w:rPr>
          <w:rFonts w:ascii="Cambria" w:eastAsia="Calibri" w:hAnsi="Cambria" w:cs="Calibri"/>
          <w:spacing w:val="1"/>
        </w:rPr>
        <w:t>o</w:t>
      </w:r>
      <w:r w:rsidRPr="009A0DA6">
        <w:rPr>
          <w:rFonts w:ascii="Cambria" w:eastAsia="Calibri" w:hAnsi="Cambria" w:cs="Calibri"/>
        </w:rPr>
        <w:t>f</w:t>
      </w:r>
      <w:r w:rsidRPr="009A0DA6">
        <w:rPr>
          <w:rFonts w:ascii="Cambria" w:eastAsia="Calibri" w:hAnsi="Cambria" w:cs="Calibri"/>
          <w:spacing w:val="-3"/>
        </w:rPr>
        <w:t xml:space="preserve"> </w:t>
      </w:r>
      <w:r w:rsidRPr="009A0DA6">
        <w:rPr>
          <w:rFonts w:ascii="Cambria" w:eastAsia="Calibri" w:hAnsi="Cambria" w:cs="Calibri"/>
          <w:spacing w:val="-1"/>
        </w:rPr>
        <w:t>w</w:t>
      </w:r>
      <w:r w:rsidRPr="009A0DA6">
        <w:rPr>
          <w:rFonts w:ascii="Cambria" w:eastAsia="Calibri" w:hAnsi="Cambria" w:cs="Calibri"/>
          <w:spacing w:val="1"/>
        </w:rPr>
        <w:t>o</w:t>
      </w:r>
      <w:r w:rsidRPr="009A0DA6">
        <w:rPr>
          <w:rFonts w:ascii="Cambria" w:eastAsia="Calibri" w:hAnsi="Cambria" w:cs="Calibri"/>
        </w:rPr>
        <w:t>rd</w:t>
      </w:r>
      <w:r w:rsidRPr="009A0DA6">
        <w:rPr>
          <w:rFonts w:ascii="Cambria" w:eastAsia="Calibri" w:hAnsi="Cambria" w:cs="Calibri"/>
          <w:spacing w:val="-1"/>
        </w:rPr>
        <w:t xml:space="preserve"> </w:t>
      </w:r>
      <w:r w:rsidRPr="009A0DA6">
        <w:rPr>
          <w:rFonts w:ascii="Cambria" w:eastAsia="Calibri" w:hAnsi="Cambria" w:cs="Calibri"/>
        </w:rPr>
        <w:t>a</w:t>
      </w:r>
      <w:r w:rsidRPr="009A0DA6">
        <w:rPr>
          <w:rFonts w:ascii="Cambria" w:eastAsia="Calibri" w:hAnsi="Cambria" w:cs="Calibri"/>
          <w:spacing w:val="-3"/>
        </w:rPr>
        <w:t>n</w:t>
      </w:r>
      <w:r w:rsidRPr="009A0DA6">
        <w:rPr>
          <w:rFonts w:ascii="Cambria" w:eastAsia="Calibri" w:hAnsi="Cambria" w:cs="Calibri"/>
        </w:rPr>
        <w:t>d</w:t>
      </w:r>
      <w:r w:rsidRPr="009A0DA6">
        <w:rPr>
          <w:rFonts w:ascii="Cambria" w:eastAsia="Calibri" w:hAnsi="Cambria" w:cs="Calibri"/>
          <w:spacing w:val="-1"/>
        </w:rPr>
        <w:t xml:space="preserve"> </w:t>
      </w:r>
      <w:r w:rsidRPr="009A0DA6">
        <w:rPr>
          <w:rFonts w:ascii="Cambria" w:eastAsia="Calibri" w:hAnsi="Cambria" w:cs="Calibri"/>
        </w:rPr>
        <w:t>sacra</w:t>
      </w:r>
      <w:r w:rsidRPr="009A0DA6">
        <w:rPr>
          <w:rFonts w:ascii="Cambria" w:eastAsia="Calibri" w:hAnsi="Cambria" w:cs="Calibri"/>
          <w:spacing w:val="-1"/>
        </w:rPr>
        <w:t>m</w:t>
      </w:r>
      <w:r w:rsidRPr="009A0DA6">
        <w:rPr>
          <w:rFonts w:ascii="Cambria" w:eastAsia="Calibri" w:hAnsi="Cambria" w:cs="Calibri"/>
        </w:rPr>
        <w:t>ent. T</w:t>
      </w:r>
      <w:r w:rsidRPr="009A0DA6">
        <w:rPr>
          <w:rFonts w:ascii="Cambria" w:eastAsia="Calibri" w:hAnsi="Cambria" w:cs="Calibri"/>
          <w:spacing w:val="-3"/>
        </w:rPr>
        <w:t>h</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spacing w:val="-1"/>
        </w:rPr>
        <w:t>N</w:t>
      </w:r>
      <w:r w:rsidRPr="009A0DA6">
        <w:rPr>
          <w:rFonts w:ascii="Cambria" w:eastAsia="Calibri" w:hAnsi="Cambria" w:cs="Calibri"/>
          <w:spacing w:val="-2"/>
        </w:rPr>
        <w:t>e</w:t>
      </w:r>
      <w:r w:rsidRPr="009A0DA6">
        <w:rPr>
          <w:rFonts w:ascii="Cambria" w:eastAsia="Calibri" w:hAnsi="Cambria" w:cs="Calibri"/>
        </w:rPr>
        <w:t>w</w:t>
      </w:r>
      <w:r w:rsidRPr="009A0DA6">
        <w:rPr>
          <w:rFonts w:ascii="Cambria" w:eastAsia="Calibri" w:hAnsi="Cambria" w:cs="Calibri"/>
          <w:spacing w:val="1"/>
        </w:rPr>
        <w:t xml:space="preserve"> </w:t>
      </w:r>
      <w:r w:rsidRPr="009A0DA6">
        <w:rPr>
          <w:rFonts w:ascii="Cambria" w:eastAsia="Calibri" w:hAnsi="Cambria" w:cs="Calibri"/>
          <w:spacing w:val="-2"/>
        </w:rPr>
        <w:t>T</w:t>
      </w:r>
      <w:r w:rsidRPr="009A0DA6">
        <w:rPr>
          <w:rFonts w:ascii="Cambria" w:eastAsia="Calibri" w:hAnsi="Cambria" w:cs="Calibri"/>
        </w:rPr>
        <w:t>es</w:t>
      </w:r>
      <w:r w:rsidRPr="009A0DA6">
        <w:rPr>
          <w:rFonts w:ascii="Cambria" w:eastAsia="Calibri" w:hAnsi="Cambria" w:cs="Calibri"/>
          <w:spacing w:val="-1"/>
        </w:rPr>
        <w:t>t</w:t>
      </w:r>
      <w:r w:rsidRPr="009A0DA6">
        <w:rPr>
          <w:rFonts w:ascii="Cambria" w:eastAsia="Calibri" w:hAnsi="Cambria" w:cs="Calibri"/>
        </w:rPr>
        <w:t>a</w:t>
      </w:r>
      <w:r w:rsidRPr="009A0DA6">
        <w:rPr>
          <w:rFonts w:ascii="Cambria" w:eastAsia="Calibri" w:hAnsi="Cambria" w:cs="Calibri"/>
          <w:spacing w:val="1"/>
        </w:rPr>
        <w:t>m</w:t>
      </w:r>
      <w:r w:rsidRPr="009A0DA6">
        <w:rPr>
          <w:rFonts w:ascii="Cambria" w:eastAsia="Calibri" w:hAnsi="Cambria" w:cs="Calibri"/>
        </w:rPr>
        <w:t>ent</w:t>
      </w:r>
      <w:r w:rsidRPr="009A0DA6">
        <w:rPr>
          <w:rFonts w:ascii="Cambria" w:eastAsia="Calibri" w:hAnsi="Cambria" w:cs="Calibri"/>
          <w:spacing w:val="-2"/>
        </w:rPr>
        <w:t xml:space="preserve"> </w:t>
      </w:r>
      <w:r w:rsidRPr="009A0DA6">
        <w:rPr>
          <w:rFonts w:ascii="Cambria" w:eastAsia="Calibri" w:hAnsi="Cambria" w:cs="Calibri"/>
        </w:rPr>
        <w:t>d</w:t>
      </w:r>
      <w:r w:rsidRPr="009A0DA6">
        <w:rPr>
          <w:rFonts w:ascii="Cambria" w:eastAsia="Calibri" w:hAnsi="Cambria" w:cs="Calibri"/>
          <w:spacing w:val="-1"/>
        </w:rPr>
        <w:t>o</w:t>
      </w:r>
      <w:r w:rsidRPr="009A0DA6">
        <w:rPr>
          <w:rFonts w:ascii="Cambria" w:eastAsia="Calibri" w:hAnsi="Cambria" w:cs="Calibri"/>
        </w:rPr>
        <w:t>es</w:t>
      </w:r>
      <w:r w:rsidRPr="009A0DA6">
        <w:rPr>
          <w:rFonts w:ascii="Cambria" w:eastAsia="Calibri" w:hAnsi="Cambria" w:cs="Calibri"/>
          <w:spacing w:val="1"/>
        </w:rPr>
        <w:t xml:space="preserve"> </w:t>
      </w:r>
      <w:r w:rsidRPr="009A0DA6">
        <w:rPr>
          <w:rFonts w:ascii="Cambria" w:eastAsia="Calibri" w:hAnsi="Cambria" w:cs="Calibri"/>
          <w:spacing w:val="-1"/>
        </w:rPr>
        <w:t>no</w:t>
      </w:r>
      <w:r w:rsidRPr="009A0DA6">
        <w:rPr>
          <w:rFonts w:ascii="Cambria" w:eastAsia="Calibri" w:hAnsi="Cambria" w:cs="Calibri"/>
        </w:rPr>
        <w:t>t</w:t>
      </w:r>
      <w:r w:rsidRPr="009A0DA6">
        <w:rPr>
          <w:rFonts w:ascii="Cambria" w:eastAsia="Calibri" w:hAnsi="Cambria" w:cs="Calibri"/>
          <w:spacing w:val="1"/>
        </w:rPr>
        <w:t xml:space="preserve"> </w:t>
      </w:r>
      <w:r w:rsidRPr="009A0DA6">
        <w:rPr>
          <w:rFonts w:ascii="Cambria" w:eastAsia="Calibri" w:hAnsi="Cambria" w:cs="Calibri"/>
        </w:rPr>
        <w:t>t</w:t>
      </w:r>
      <w:r w:rsidRPr="009A0DA6">
        <w:rPr>
          <w:rFonts w:ascii="Cambria" w:eastAsia="Calibri" w:hAnsi="Cambria" w:cs="Calibri"/>
          <w:spacing w:val="-2"/>
        </w:rPr>
        <w:t>r</w:t>
      </w:r>
      <w:r w:rsidRPr="009A0DA6">
        <w:rPr>
          <w:rFonts w:ascii="Cambria" w:eastAsia="Calibri" w:hAnsi="Cambria" w:cs="Calibri"/>
        </w:rPr>
        <w:t>eat</w:t>
      </w:r>
      <w:r w:rsidRPr="009A0DA6">
        <w:rPr>
          <w:rFonts w:ascii="Cambria" w:eastAsia="Calibri" w:hAnsi="Cambria" w:cs="Calibri"/>
          <w:spacing w:val="1"/>
        </w:rPr>
        <w:t xml:space="preserve"> </w:t>
      </w:r>
      <w:r w:rsidRPr="009A0DA6">
        <w:rPr>
          <w:rFonts w:ascii="Cambria" w:eastAsia="Calibri" w:hAnsi="Cambria" w:cs="Calibri"/>
          <w:spacing w:val="-2"/>
        </w:rPr>
        <w:t>i</w:t>
      </w:r>
      <w:r w:rsidRPr="009A0DA6">
        <w:rPr>
          <w:rFonts w:ascii="Cambria" w:eastAsia="Calibri" w:hAnsi="Cambria" w:cs="Calibri"/>
        </w:rPr>
        <w:t>t</w:t>
      </w:r>
      <w:r w:rsidRPr="009A0DA6">
        <w:rPr>
          <w:rFonts w:ascii="Cambria" w:eastAsia="Calibri" w:hAnsi="Cambria" w:cs="Calibri"/>
          <w:spacing w:val="1"/>
        </w:rPr>
        <w:t xml:space="preserve"> </w:t>
      </w:r>
      <w:r w:rsidRPr="009A0DA6">
        <w:rPr>
          <w:rFonts w:ascii="Cambria" w:eastAsia="Calibri" w:hAnsi="Cambria" w:cs="Calibri"/>
        </w:rPr>
        <w:t xml:space="preserve">as </w:t>
      </w:r>
      <w:r w:rsidRPr="009A0DA6">
        <w:rPr>
          <w:rFonts w:ascii="Cambria" w:eastAsia="Calibri" w:hAnsi="Cambria" w:cs="Calibri"/>
          <w:spacing w:val="-1"/>
        </w:rPr>
        <w:t>p</w:t>
      </w:r>
      <w:r w:rsidRPr="009A0DA6">
        <w:rPr>
          <w:rFonts w:ascii="Cambria" w:eastAsia="Calibri" w:hAnsi="Cambria" w:cs="Calibri"/>
        </w:rPr>
        <w:t>eri</w:t>
      </w:r>
      <w:r w:rsidRPr="009A0DA6">
        <w:rPr>
          <w:rFonts w:ascii="Cambria" w:eastAsia="Calibri" w:hAnsi="Cambria" w:cs="Calibri"/>
          <w:spacing w:val="-1"/>
        </w:rPr>
        <w:t>ph</w:t>
      </w:r>
      <w:r w:rsidRPr="009A0DA6">
        <w:rPr>
          <w:rFonts w:ascii="Cambria" w:eastAsia="Calibri" w:hAnsi="Cambria" w:cs="Calibri"/>
        </w:rPr>
        <w:t>eral,</w:t>
      </w:r>
      <w:r w:rsidRPr="009A0DA6">
        <w:rPr>
          <w:rFonts w:ascii="Cambria" w:eastAsia="Calibri" w:hAnsi="Cambria" w:cs="Calibri"/>
          <w:spacing w:val="1"/>
        </w:rPr>
        <w:t xml:space="preserve"> </w:t>
      </w:r>
      <w:r w:rsidRPr="009A0DA6">
        <w:rPr>
          <w:rFonts w:ascii="Cambria" w:eastAsia="Calibri" w:hAnsi="Cambria" w:cs="Calibri"/>
        </w:rPr>
        <w:t>w</w:t>
      </w:r>
      <w:r w:rsidRPr="009A0DA6">
        <w:rPr>
          <w:rFonts w:ascii="Cambria" w:eastAsia="Calibri" w:hAnsi="Cambria" w:cs="Calibri"/>
          <w:spacing w:val="-1"/>
        </w:rPr>
        <w:t>h</w:t>
      </w:r>
      <w:r w:rsidRPr="009A0DA6">
        <w:rPr>
          <w:rFonts w:ascii="Cambria" w:eastAsia="Calibri" w:hAnsi="Cambria" w:cs="Calibri"/>
        </w:rPr>
        <w:t>en</w:t>
      </w:r>
      <w:r w:rsidRPr="009A0DA6">
        <w:rPr>
          <w:rFonts w:ascii="Cambria" w:eastAsia="Calibri" w:hAnsi="Cambria" w:cs="Calibri"/>
          <w:spacing w:val="-2"/>
        </w:rPr>
        <w:t xml:space="preserve"> </w:t>
      </w:r>
      <w:r w:rsidRPr="009A0DA6">
        <w:rPr>
          <w:rFonts w:ascii="Cambria" w:eastAsia="Calibri" w:hAnsi="Cambria" w:cs="Calibri"/>
        </w:rPr>
        <w:t>it</w:t>
      </w:r>
      <w:r w:rsidRPr="009A0DA6">
        <w:rPr>
          <w:rFonts w:ascii="Cambria" w:eastAsia="Calibri" w:hAnsi="Cambria" w:cs="Calibri"/>
          <w:spacing w:val="1"/>
        </w:rPr>
        <w:t xml:space="preserve"> </w:t>
      </w:r>
      <w:r w:rsidRPr="009A0DA6">
        <w:rPr>
          <w:rFonts w:ascii="Cambria" w:eastAsia="Calibri" w:hAnsi="Cambria" w:cs="Calibri"/>
          <w:spacing w:val="-1"/>
        </w:rPr>
        <w:t>d</w:t>
      </w:r>
      <w:r w:rsidRPr="009A0DA6">
        <w:rPr>
          <w:rFonts w:ascii="Cambria" w:eastAsia="Calibri" w:hAnsi="Cambria" w:cs="Calibri"/>
        </w:rPr>
        <w:t>ed</w:t>
      </w:r>
      <w:r w:rsidRPr="009A0DA6">
        <w:rPr>
          <w:rFonts w:ascii="Cambria" w:eastAsia="Calibri" w:hAnsi="Cambria" w:cs="Calibri"/>
          <w:spacing w:val="-1"/>
        </w:rPr>
        <w:t>i</w:t>
      </w:r>
      <w:r w:rsidRPr="009A0DA6">
        <w:rPr>
          <w:rFonts w:ascii="Cambria" w:eastAsia="Calibri" w:hAnsi="Cambria" w:cs="Calibri"/>
        </w:rPr>
        <w:t>c</w:t>
      </w:r>
      <w:r w:rsidRPr="009A0DA6">
        <w:rPr>
          <w:rFonts w:ascii="Cambria" w:eastAsia="Calibri" w:hAnsi="Cambria" w:cs="Calibri"/>
          <w:spacing w:val="-2"/>
        </w:rPr>
        <w:t>at</w:t>
      </w:r>
      <w:r w:rsidRPr="009A0DA6">
        <w:rPr>
          <w:rFonts w:ascii="Cambria" w:eastAsia="Calibri" w:hAnsi="Cambria" w:cs="Calibri"/>
        </w:rPr>
        <w:t>es</w:t>
      </w:r>
      <w:r w:rsidRPr="009A0DA6">
        <w:rPr>
          <w:rFonts w:ascii="Cambria" w:eastAsia="Calibri" w:hAnsi="Cambria" w:cs="Calibri"/>
          <w:spacing w:val="1"/>
        </w:rPr>
        <w:t xml:space="preserve"> </w:t>
      </w:r>
      <w:r w:rsidRPr="009A0DA6">
        <w:rPr>
          <w:rFonts w:ascii="Cambria" w:eastAsia="Calibri" w:hAnsi="Cambria" w:cs="Calibri"/>
        </w:rPr>
        <w:t>thr</w:t>
      </w:r>
      <w:r w:rsidRPr="009A0DA6">
        <w:rPr>
          <w:rFonts w:ascii="Cambria" w:eastAsia="Calibri" w:hAnsi="Cambria" w:cs="Calibri"/>
          <w:spacing w:val="-2"/>
        </w:rPr>
        <w:t>e</w:t>
      </w:r>
      <w:r w:rsidRPr="009A0DA6">
        <w:rPr>
          <w:rFonts w:ascii="Cambria" w:eastAsia="Calibri" w:hAnsi="Cambria" w:cs="Calibri"/>
        </w:rPr>
        <w:t>e</w:t>
      </w:r>
      <w:r w:rsidRPr="009A0DA6">
        <w:rPr>
          <w:rFonts w:ascii="Cambria" w:eastAsia="Calibri" w:hAnsi="Cambria" w:cs="Calibri"/>
          <w:spacing w:val="2"/>
        </w:rPr>
        <w:t xml:space="preserve"> </w:t>
      </w:r>
      <w:r w:rsidRPr="009A0DA6">
        <w:rPr>
          <w:rFonts w:ascii="Cambria" w:eastAsia="Calibri" w:hAnsi="Cambria" w:cs="Calibri"/>
        </w:rPr>
        <w:t>w</w:t>
      </w:r>
      <w:r w:rsidRPr="009A0DA6">
        <w:rPr>
          <w:rFonts w:ascii="Cambria" w:eastAsia="Calibri" w:hAnsi="Cambria" w:cs="Calibri"/>
          <w:spacing w:val="-3"/>
        </w:rPr>
        <w:t>h</w:t>
      </w:r>
      <w:r w:rsidRPr="009A0DA6">
        <w:rPr>
          <w:rFonts w:ascii="Cambria" w:eastAsia="Calibri" w:hAnsi="Cambria" w:cs="Calibri"/>
          <w:spacing w:val="1"/>
        </w:rPr>
        <w:t>o</w:t>
      </w:r>
      <w:r w:rsidRPr="009A0DA6">
        <w:rPr>
          <w:rFonts w:ascii="Cambria" w:eastAsia="Calibri" w:hAnsi="Cambria" w:cs="Calibri"/>
        </w:rPr>
        <w:t>le</w:t>
      </w:r>
      <w:r w:rsidRPr="009A0DA6">
        <w:rPr>
          <w:rFonts w:ascii="Cambria" w:eastAsia="Calibri" w:hAnsi="Cambria" w:cs="Calibri"/>
          <w:spacing w:val="-2"/>
        </w:rPr>
        <w:t xml:space="preserve"> </w:t>
      </w:r>
      <w:r w:rsidRPr="009A0DA6">
        <w:rPr>
          <w:rFonts w:ascii="Cambria" w:eastAsia="Calibri" w:hAnsi="Cambria" w:cs="Calibri"/>
        </w:rPr>
        <w:t>b</w:t>
      </w:r>
      <w:r w:rsidRPr="009A0DA6">
        <w:rPr>
          <w:rFonts w:ascii="Cambria" w:eastAsia="Calibri" w:hAnsi="Cambria" w:cs="Calibri"/>
          <w:spacing w:val="-1"/>
        </w:rPr>
        <w:t>o</w:t>
      </w:r>
      <w:r w:rsidRPr="009A0DA6">
        <w:rPr>
          <w:rFonts w:ascii="Cambria" w:eastAsia="Calibri" w:hAnsi="Cambria" w:cs="Calibri"/>
          <w:spacing w:val="1"/>
        </w:rPr>
        <w:t>o</w:t>
      </w:r>
      <w:r w:rsidRPr="009A0DA6">
        <w:rPr>
          <w:rFonts w:ascii="Cambria" w:eastAsia="Calibri" w:hAnsi="Cambria" w:cs="Calibri"/>
        </w:rPr>
        <w:t>ks</w:t>
      </w:r>
      <w:r w:rsidRPr="009A0DA6">
        <w:rPr>
          <w:rFonts w:ascii="Cambria" w:eastAsia="Calibri" w:hAnsi="Cambria" w:cs="Calibri"/>
          <w:spacing w:val="-2"/>
        </w:rPr>
        <w:t xml:space="preserve"> </w:t>
      </w:r>
      <w:r w:rsidRPr="009A0DA6">
        <w:rPr>
          <w:rFonts w:ascii="Cambria" w:eastAsia="Calibri" w:hAnsi="Cambria" w:cs="Calibri"/>
          <w:spacing w:val="1"/>
        </w:rPr>
        <w:t>t</w:t>
      </w:r>
      <w:r w:rsidRPr="009A0DA6">
        <w:rPr>
          <w:rFonts w:ascii="Cambria" w:eastAsia="Calibri" w:hAnsi="Cambria" w:cs="Calibri"/>
        </w:rPr>
        <w:t>o</w:t>
      </w:r>
      <w:r w:rsidRPr="009A0DA6">
        <w:rPr>
          <w:rFonts w:ascii="Cambria" w:eastAsia="Calibri" w:hAnsi="Cambria" w:cs="Calibri"/>
          <w:spacing w:val="-1"/>
        </w:rPr>
        <w:t xml:space="preserve"> </w:t>
      </w:r>
      <w:r w:rsidRPr="009A0DA6">
        <w:rPr>
          <w:rFonts w:ascii="Cambria" w:eastAsia="Calibri" w:hAnsi="Cambria" w:cs="Calibri"/>
        </w:rPr>
        <w:t>h</w:t>
      </w:r>
      <w:r w:rsidRPr="009A0DA6">
        <w:rPr>
          <w:rFonts w:ascii="Cambria" w:eastAsia="Calibri" w:hAnsi="Cambria" w:cs="Calibri"/>
          <w:spacing w:val="-1"/>
        </w:rPr>
        <w:t>o</w:t>
      </w:r>
      <w:r w:rsidRPr="009A0DA6">
        <w:rPr>
          <w:rFonts w:ascii="Cambria" w:eastAsia="Calibri" w:hAnsi="Cambria" w:cs="Calibri"/>
        </w:rPr>
        <w:t>w</w:t>
      </w:r>
      <w:r w:rsidRPr="009A0DA6">
        <w:rPr>
          <w:rFonts w:ascii="Cambria" w:eastAsia="Calibri" w:hAnsi="Cambria" w:cs="Calibri"/>
          <w:spacing w:val="1"/>
        </w:rPr>
        <w:t xml:space="preserve"> </w:t>
      </w:r>
      <w:r w:rsidRPr="009A0DA6">
        <w:rPr>
          <w:rFonts w:ascii="Cambria" w:eastAsia="Calibri" w:hAnsi="Cambria" w:cs="Calibri"/>
        </w:rPr>
        <w:t>t</w:t>
      </w:r>
      <w:r w:rsidRPr="009A0DA6">
        <w:rPr>
          <w:rFonts w:ascii="Cambria" w:eastAsia="Calibri" w:hAnsi="Cambria" w:cs="Calibri"/>
          <w:spacing w:val="-3"/>
        </w:rPr>
        <w:t>h</w:t>
      </w:r>
      <w:r w:rsidRPr="009A0DA6">
        <w:rPr>
          <w:rFonts w:ascii="Cambria" w:eastAsia="Calibri" w:hAnsi="Cambria" w:cs="Calibri"/>
          <w:spacing w:val="1"/>
        </w:rPr>
        <w:t>o</w:t>
      </w:r>
      <w:r w:rsidRPr="009A0DA6">
        <w:rPr>
          <w:rFonts w:ascii="Cambria" w:eastAsia="Calibri" w:hAnsi="Cambria" w:cs="Calibri"/>
        </w:rPr>
        <w:t>se</w:t>
      </w:r>
      <w:r w:rsidRPr="009A0DA6">
        <w:rPr>
          <w:rFonts w:ascii="Cambria" w:eastAsia="Calibri" w:hAnsi="Cambria" w:cs="Calibri"/>
          <w:spacing w:val="-1"/>
        </w:rPr>
        <w:t xml:space="preserve"> </w:t>
      </w:r>
      <w:r w:rsidRPr="009A0DA6">
        <w:rPr>
          <w:rFonts w:ascii="Cambria" w:eastAsia="Calibri" w:hAnsi="Cambria" w:cs="Calibri"/>
        </w:rPr>
        <w:t>who</w:t>
      </w:r>
      <w:r w:rsidRPr="009A0DA6">
        <w:rPr>
          <w:rFonts w:ascii="Cambria" w:eastAsia="Calibri" w:hAnsi="Cambria" w:cs="Calibri"/>
          <w:spacing w:val="-1"/>
        </w:rPr>
        <w:t xml:space="preserve"> </w:t>
      </w:r>
      <w:r w:rsidRPr="009A0DA6">
        <w:rPr>
          <w:rFonts w:ascii="Cambria" w:eastAsia="Calibri" w:hAnsi="Cambria" w:cs="Calibri"/>
          <w:spacing w:val="1"/>
        </w:rPr>
        <w:t>o</w:t>
      </w:r>
      <w:r w:rsidRPr="009A0DA6">
        <w:rPr>
          <w:rFonts w:ascii="Cambria" w:eastAsia="Calibri" w:hAnsi="Cambria" w:cs="Calibri"/>
          <w:spacing w:val="-2"/>
        </w:rPr>
        <w:t>c</w:t>
      </w:r>
      <w:r w:rsidRPr="009A0DA6">
        <w:rPr>
          <w:rFonts w:ascii="Cambria" w:eastAsia="Calibri" w:hAnsi="Cambria" w:cs="Calibri"/>
        </w:rPr>
        <w:t>cu</w:t>
      </w:r>
      <w:r w:rsidRPr="009A0DA6">
        <w:rPr>
          <w:rFonts w:ascii="Cambria" w:eastAsia="Calibri" w:hAnsi="Cambria" w:cs="Calibri"/>
          <w:spacing w:val="-1"/>
        </w:rPr>
        <w:t>p</w:t>
      </w:r>
      <w:r w:rsidRPr="009A0DA6">
        <w:rPr>
          <w:rFonts w:ascii="Cambria" w:eastAsia="Calibri" w:hAnsi="Cambria" w:cs="Calibri"/>
        </w:rPr>
        <w:t>y</w:t>
      </w:r>
      <w:r w:rsidRPr="009A0DA6">
        <w:rPr>
          <w:rFonts w:ascii="Cambria" w:eastAsia="Calibri" w:hAnsi="Cambria" w:cs="Calibri"/>
          <w:spacing w:val="1"/>
        </w:rPr>
        <w:t xml:space="preserve"> t</w:t>
      </w:r>
      <w:r w:rsidRPr="009A0DA6">
        <w:rPr>
          <w:rFonts w:ascii="Cambria" w:eastAsia="Calibri" w:hAnsi="Cambria" w:cs="Calibri"/>
          <w:spacing w:val="-1"/>
        </w:rPr>
        <w:t>h</w:t>
      </w:r>
      <w:r w:rsidRPr="009A0DA6">
        <w:rPr>
          <w:rFonts w:ascii="Cambria" w:eastAsia="Calibri" w:hAnsi="Cambria" w:cs="Calibri"/>
        </w:rPr>
        <w:t>is</w:t>
      </w:r>
      <w:r w:rsidRPr="009A0DA6">
        <w:rPr>
          <w:rFonts w:ascii="Cambria" w:eastAsia="Calibri" w:hAnsi="Cambria" w:cs="Calibri"/>
          <w:spacing w:val="-2"/>
        </w:rPr>
        <w:t xml:space="preserve"> </w:t>
      </w:r>
      <w:r w:rsidRPr="009A0DA6">
        <w:rPr>
          <w:rFonts w:ascii="Cambria" w:eastAsia="Calibri" w:hAnsi="Cambria" w:cs="Calibri"/>
          <w:spacing w:val="1"/>
        </w:rPr>
        <w:t>o</w:t>
      </w:r>
      <w:r w:rsidRPr="009A0DA6">
        <w:rPr>
          <w:rFonts w:ascii="Cambria" w:eastAsia="Calibri" w:hAnsi="Cambria" w:cs="Calibri"/>
          <w:spacing w:val="-3"/>
        </w:rPr>
        <w:t>f</w:t>
      </w:r>
      <w:r w:rsidRPr="009A0DA6">
        <w:rPr>
          <w:rFonts w:ascii="Cambria" w:eastAsia="Calibri" w:hAnsi="Cambria" w:cs="Calibri"/>
        </w:rPr>
        <w:t>fice s</w:t>
      </w:r>
      <w:r w:rsidRPr="009A0DA6">
        <w:rPr>
          <w:rFonts w:ascii="Cambria" w:eastAsia="Calibri" w:hAnsi="Cambria" w:cs="Calibri"/>
          <w:spacing w:val="-3"/>
        </w:rPr>
        <w:t>h</w:t>
      </w:r>
      <w:r w:rsidRPr="009A0DA6">
        <w:rPr>
          <w:rFonts w:ascii="Cambria" w:eastAsia="Calibri" w:hAnsi="Cambria" w:cs="Calibri"/>
          <w:spacing w:val="1"/>
        </w:rPr>
        <w:t>o</w:t>
      </w:r>
      <w:r w:rsidRPr="009A0DA6">
        <w:rPr>
          <w:rFonts w:ascii="Cambria" w:eastAsia="Calibri" w:hAnsi="Cambria" w:cs="Calibri"/>
          <w:spacing w:val="-1"/>
        </w:rPr>
        <w:t>u</w:t>
      </w:r>
      <w:r w:rsidRPr="009A0DA6">
        <w:rPr>
          <w:rFonts w:ascii="Cambria" w:eastAsia="Calibri" w:hAnsi="Cambria" w:cs="Calibri"/>
        </w:rPr>
        <w:t>ld</w:t>
      </w:r>
      <w:r w:rsidRPr="009A0DA6">
        <w:rPr>
          <w:rFonts w:ascii="Cambria" w:eastAsia="Calibri" w:hAnsi="Cambria" w:cs="Calibri"/>
          <w:spacing w:val="-1"/>
        </w:rPr>
        <w:t xml:space="preserve"> </w:t>
      </w:r>
      <w:r w:rsidRPr="009A0DA6">
        <w:rPr>
          <w:rFonts w:ascii="Cambria" w:eastAsia="Calibri" w:hAnsi="Cambria" w:cs="Calibri"/>
        </w:rPr>
        <w:t>c</w:t>
      </w:r>
      <w:r w:rsidRPr="009A0DA6">
        <w:rPr>
          <w:rFonts w:ascii="Cambria" w:eastAsia="Calibri" w:hAnsi="Cambria" w:cs="Calibri"/>
          <w:spacing w:val="1"/>
        </w:rPr>
        <w:t>o</w:t>
      </w:r>
      <w:r w:rsidRPr="009A0DA6">
        <w:rPr>
          <w:rFonts w:ascii="Cambria" w:eastAsia="Calibri" w:hAnsi="Cambria" w:cs="Calibri"/>
          <w:spacing w:val="-1"/>
        </w:rPr>
        <w:t>ndu</w:t>
      </w:r>
      <w:r w:rsidRPr="009A0DA6">
        <w:rPr>
          <w:rFonts w:ascii="Cambria" w:eastAsia="Calibri" w:hAnsi="Cambria" w:cs="Calibri"/>
        </w:rPr>
        <w:t>ct</w:t>
      </w:r>
      <w:r w:rsidRPr="009A0DA6">
        <w:rPr>
          <w:rFonts w:ascii="Cambria" w:eastAsia="Calibri" w:hAnsi="Cambria" w:cs="Calibri"/>
          <w:spacing w:val="-2"/>
        </w:rPr>
        <w:t xml:space="preserve">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spacing w:val="-2"/>
        </w:rPr>
        <w:t>e</w:t>
      </w:r>
      <w:r w:rsidRPr="009A0DA6">
        <w:rPr>
          <w:rFonts w:ascii="Cambria" w:eastAsia="Calibri" w:hAnsi="Cambria" w:cs="Calibri"/>
          <w:spacing w:val="1"/>
        </w:rPr>
        <w:t>m</w:t>
      </w:r>
      <w:r w:rsidRPr="009A0DA6">
        <w:rPr>
          <w:rFonts w:ascii="Cambria" w:eastAsia="Calibri" w:hAnsi="Cambria" w:cs="Calibri"/>
          <w:spacing w:val="-2"/>
        </w:rPr>
        <w:t>s</w:t>
      </w:r>
      <w:r w:rsidRPr="009A0DA6">
        <w:rPr>
          <w:rFonts w:ascii="Cambria" w:eastAsia="Calibri" w:hAnsi="Cambria" w:cs="Calibri"/>
        </w:rPr>
        <w:t>el</w:t>
      </w:r>
      <w:r w:rsidRPr="009A0DA6">
        <w:rPr>
          <w:rFonts w:ascii="Cambria" w:eastAsia="Calibri" w:hAnsi="Cambria" w:cs="Calibri"/>
          <w:spacing w:val="1"/>
        </w:rPr>
        <w:t>v</w:t>
      </w:r>
      <w:r w:rsidRPr="009A0DA6">
        <w:rPr>
          <w:rFonts w:ascii="Cambria" w:eastAsia="Calibri" w:hAnsi="Cambria" w:cs="Calibri"/>
        </w:rPr>
        <w:t>es (1</w:t>
      </w:r>
      <w:r w:rsidRPr="009A0DA6">
        <w:rPr>
          <w:rFonts w:ascii="Cambria" w:eastAsia="Calibri" w:hAnsi="Cambria" w:cs="Calibri"/>
          <w:spacing w:val="1"/>
        </w:rPr>
        <w:t xml:space="preserve"> </w:t>
      </w:r>
      <w:r w:rsidRPr="009A0DA6">
        <w:rPr>
          <w:rFonts w:ascii="Cambria" w:eastAsia="Calibri" w:hAnsi="Cambria" w:cs="Calibri"/>
        </w:rPr>
        <w:t>and</w:t>
      </w:r>
      <w:r w:rsidRPr="009A0DA6">
        <w:rPr>
          <w:rFonts w:ascii="Cambria" w:eastAsia="Calibri" w:hAnsi="Cambria" w:cs="Calibri"/>
          <w:spacing w:val="-3"/>
        </w:rPr>
        <w:t xml:space="preserve"> </w:t>
      </w:r>
      <w:r w:rsidRPr="009A0DA6">
        <w:rPr>
          <w:rFonts w:ascii="Cambria" w:eastAsia="Calibri" w:hAnsi="Cambria" w:cs="Calibri"/>
        </w:rPr>
        <w:t>2</w:t>
      </w:r>
      <w:r w:rsidRPr="009A0DA6">
        <w:rPr>
          <w:rFonts w:ascii="Cambria" w:eastAsia="Calibri" w:hAnsi="Cambria" w:cs="Calibri"/>
          <w:spacing w:val="1"/>
        </w:rPr>
        <w:t xml:space="preserve"> T</w:t>
      </w:r>
      <w:r w:rsidRPr="009A0DA6">
        <w:rPr>
          <w:rFonts w:ascii="Cambria" w:eastAsia="Calibri" w:hAnsi="Cambria" w:cs="Calibri"/>
          <w:spacing w:val="-3"/>
        </w:rPr>
        <w:t>i</w:t>
      </w:r>
      <w:r w:rsidRPr="009A0DA6">
        <w:rPr>
          <w:rFonts w:ascii="Cambria" w:eastAsia="Calibri" w:hAnsi="Cambria" w:cs="Calibri"/>
          <w:spacing w:val="-1"/>
        </w:rPr>
        <w:t>m</w:t>
      </w:r>
      <w:r w:rsidRPr="009A0DA6">
        <w:rPr>
          <w:rFonts w:ascii="Cambria" w:eastAsia="Calibri" w:hAnsi="Cambria" w:cs="Calibri"/>
          <w:spacing w:val="1"/>
        </w:rPr>
        <w:t>o</w:t>
      </w:r>
      <w:r w:rsidRPr="009A0DA6">
        <w:rPr>
          <w:rFonts w:ascii="Cambria" w:eastAsia="Calibri" w:hAnsi="Cambria" w:cs="Calibri"/>
        </w:rPr>
        <w:t>thy</w:t>
      </w:r>
      <w:r w:rsidRPr="009A0DA6">
        <w:rPr>
          <w:rFonts w:ascii="Cambria" w:eastAsia="Calibri" w:hAnsi="Cambria" w:cs="Calibri"/>
          <w:spacing w:val="-1"/>
        </w:rPr>
        <w:t xml:space="preserve"> </w:t>
      </w:r>
      <w:r w:rsidRPr="009A0DA6">
        <w:rPr>
          <w:rFonts w:ascii="Cambria" w:eastAsia="Calibri" w:hAnsi="Cambria" w:cs="Calibri"/>
        </w:rPr>
        <w:t>a</w:t>
      </w:r>
      <w:r w:rsidRPr="009A0DA6">
        <w:rPr>
          <w:rFonts w:ascii="Cambria" w:eastAsia="Calibri" w:hAnsi="Cambria" w:cs="Calibri"/>
          <w:spacing w:val="-1"/>
        </w:rPr>
        <w:t>n</w:t>
      </w:r>
      <w:r w:rsidRPr="009A0DA6">
        <w:rPr>
          <w:rFonts w:ascii="Cambria" w:eastAsia="Calibri" w:hAnsi="Cambria" w:cs="Calibri"/>
        </w:rPr>
        <w:t>d</w:t>
      </w:r>
      <w:r w:rsidRPr="009A0DA6">
        <w:rPr>
          <w:rFonts w:ascii="Cambria" w:eastAsia="Calibri" w:hAnsi="Cambria" w:cs="Calibri"/>
          <w:spacing w:val="-1"/>
        </w:rPr>
        <w:t xml:space="preserve"> </w:t>
      </w:r>
      <w:r w:rsidRPr="009A0DA6">
        <w:rPr>
          <w:rFonts w:ascii="Cambria" w:eastAsia="Calibri" w:hAnsi="Cambria" w:cs="Calibri"/>
          <w:spacing w:val="1"/>
        </w:rPr>
        <w:t>T</w:t>
      </w:r>
      <w:r w:rsidRPr="009A0DA6">
        <w:rPr>
          <w:rFonts w:ascii="Cambria" w:eastAsia="Calibri" w:hAnsi="Cambria" w:cs="Calibri"/>
        </w:rPr>
        <w:t>it</w:t>
      </w:r>
      <w:r w:rsidRPr="009A0DA6">
        <w:rPr>
          <w:rFonts w:ascii="Cambria" w:eastAsia="Calibri" w:hAnsi="Cambria" w:cs="Calibri"/>
          <w:spacing w:val="-1"/>
        </w:rPr>
        <w:t>u</w:t>
      </w:r>
      <w:r w:rsidRPr="009A0DA6">
        <w:rPr>
          <w:rFonts w:ascii="Cambria" w:eastAsia="Calibri" w:hAnsi="Cambria" w:cs="Calibri"/>
        </w:rPr>
        <w:t>s,</w:t>
      </w:r>
      <w:r w:rsidRPr="009A0DA6">
        <w:rPr>
          <w:rFonts w:ascii="Cambria" w:eastAsia="Calibri" w:hAnsi="Cambria" w:cs="Calibri"/>
          <w:spacing w:val="-2"/>
        </w:rPr>
        <w:t xml:space="preserve"> </w:t>
      </w:r>
      <w:r w:rsidRPr="009A0DA6">
        <w:rPr>
          <w:rFonts w:ascii="Cambria" w:eastAsia="Calibri" w:hAnsi="Cambria" w:cs="Calibri"/>
        </w:rPr>
        <w:t>n</w:t>
      </w:r>
      <w:r w:rsidRPr="009A0DA6">
        <w:rPr>
          <w:rFonts w:ascii="Cambria" w:eastAsia="Calibri" w:hAnsi="Cambria" w:cs="Calibri"/>
          <w:spacing w:val="1"/>
        </w:rPr>
        <w:t>o</w:t>
      </w:r>
      <w:r w:rsidRPr="009A0DA6">
        <w:rPr>
          <w:rFonts w:ascii="Cambria" w:eastAsia="Calibri" w:hAnsi="Cambria" w:cs="Calibri"/>
        </w:rPr>
        <w:t>t</w:t>
      </w:r>
      <w:r w:rsidRPr="009A0DA6">
        <w:rPr>
          <w:rFonts w:ascii="Cambria" w:eastAsia="Calibri" w:hAnsi="Cambria" w:cs="Calibri"/>
          <w:spacing w:val="-1"/>
        </w:rPr>
        <w:t xml:space="preserve"> </w:t>
      </w:r>
      <w:r w:rsidRPr="009A0DA6">
        <w:rPr>
          <w:rFonts w:ascii="Cambria" w:eastAsia="Calibri" w:hAnsi="Cambria" w:cs="Calibri"/>
        </w:rPr>
        <w:t>to</w:t>
      </w:r>
      <w:r w:rsidRPr="009A0DA6">
        <w:rPr>
          <w:rFonts w:ascii="Cambria" w:eastAsia="Calibri" w:hAnsi="Cambria" w:cs="Calibri"/>
          <w:spacing w:val="-1"/>
        </w:rPr>
        <w:t xml:space="preserve"> m</w:t>
      </w:r>
      <w:r w:rsidRPr="009A0DA6">
        <w:rPr>
          <w:rFonts w:ascii="Cambria" w:eastAsia="Calibri" w:hAnsi="Cambria" w:cs="Calibri"/>
        </w:rPr>
        <w:t>enti</w:t>
      </w:r>
      <w:r w:rsidRPr="009A0DA6">
        <w:rPr>
          <w:rFonts w:ascii="Cambria" w:eastAsia="Calibri" w:hAnsi="Cambria" w:cs="Calibri"/>
          <w:spacing w:val="1"/>
        </w:rPr>
        <w:t>o</w:t>
      </w:r>
      <w:r w:rsidRPr="009A0DA6">
        <w:rPr>
          <w:rFonts w:ascii="Cambria" w:eastAsia="Calibri" w:hAnsi="Cambria" w:cs="Calibri"/>
        </w:rPr>
        <w:t>n</w:t>
      </w:r>
      <w:r w:rsidRPr="009A0DA6">
        <w:rPr>
          <w:rFonts w:ascii="Cambria" w:eastAsia="Calibri" w:hAnsi="Cambria" w:cs="Calibri"/>
          <w:spacing w:val="-3"/>
        </w:rPr>
        <w:t xml:space="preserve"> </w:t>
      </w:r>
      <w:r w:rsidRPr="009A0DA6">
        <w:rPr>
          <w:rFonts w:ascii="Cambria" w:eastAsia="Calibri" w:hAnsi="Cambria" w:cs="Calibri"/>
          <w:spacing w:val="2"/>
        </w:rPr>
        <w:t>m</w:t>
      </w:r>
      <w:r w:rsidRPr="009A0DA6">
        <w:rPr>
          <w:rFonts w:ascii="Cambria" w:eastAsia="Calibri" w:hAnsi="Cambria" w:cs="Calibri"/>
        </w:rPr>
        <w:t>a</w:t>
      </w:r>
      <w:r w:rsidRPr="009A0DA6">
        <w:rPr>
          <w:rFonts w:ascii="Cambria" w:eastAsia="Calibri" w:hAnsi="Cambria" w:cs="Calibri"/>
          <w:spacing w:val="-3"/>
        </w:rPr>
        <w:t>n</w:t>
      </w:r>
      <w:r w:rsidRPr="009A0DA6">
        <w:rPr>
          <w:rFonts w:ascii="Cambria" w:eastAsia="Calibri" w:hAnsi="Cambria" w:cs="Calibri"/>
        </w:rPr>
        <w:t>y</w:t>
      </w:r>
      <w:r w:rsidRPr="009A0DA6">
        <w:rPr>
          <w:rFonts w:ascii="Cambria" w:eastAsia="Calibri" w:hAnsi="Cambria" w:cs="Calibri"/>
          <w:spacing w:val="-1"/>
        </w:rPr>
        <w:t xml:space="preserve"> </w:t>
      </w:r>
      <w:r w:rsidRPr="009A0DA6">
        <w:rPr>
          <w:rFonts w:ascii="Cambria" w:eastAsia="Calibri" w:hAnsi="Cambria" w:cs="Calibri"/>
          <w:spacing w:val="1"/>
        </w:rPr>
        <w:t>o</w:t>
      </w:r>
      <w:r w:rsidRPr="009A0DA6">
        <w:rPr>
          <w:rFonts w:ascii="Cambria" w:eastAsia="Calibri" w:hAnsi="Cambria" w:cs="Calibri"/>
        </w:rPr>
        <w:t>th</w:t>
      </w:r>
      <w:r w:rsidRPr="009A0DA6">
        <w:rPr>
          <w:rFonts w:ascii="Cambria" w:eastAsia="Calibri" w:hAnsi="Cambria" w:cs="Calibri"/>
          <w:spacing w:val="-2"/>
        </w:rPr>
        <w:t>e</w:t>
      </w:r>
      <w:r w:rsidRPr="009A0DA6">
        <w:rPr>
          <w:rFonts w:ascii="Cambria" w:eastAsia="Calibri" w:hAnsi="Cambria" w:cs="Calibri"/>
        </w:rPr>
        <w:t>r rel</w:t>
      </w:r>
      <w:r w:rsidRPr="009A0DA6">
        <w:rPr>
          <w:rFonts w:ascii="Cambria" w:eastAsia="Calibri" w:hAnsi="Cambria" w:cs="Calibri"/>
          <w:spacing w:val="-2"/>
        </w:rPr>
        <w:t>e</w:t>
      </w:r>
      <w:r w:rsidRPr="009A0DA6">
        <w:rPr>
          <w:rFonts w:ascii="Cambria" w:eastAsia="Calibri" w:hAnsi="Cambria" w:cs="Calibri"/>
          <w:spacing w:val="1"/>
        </w:rPr>
        <w:t>v</w:t>
      </w:r>
      <w:r w:rsidRPr="009A0DA6">
        <w:rPr>
          <w:rFonts w:ascii="Cambria" w:eastAsia="Calibri" w:hAnsi="Cambria" w:cs="Calibri"/>
        </w:rPr>
        <w:t>a</w:t>
      </w:r>
      <w:r w:rsidRPr="009A0DA6">
        <w:rPr>
          <w:rFonts w:ascii="Cambria" w:eastAsia="Calibri" w:hAnsi="Cambria" w:cs="Calibri"/>
          <w:spacing w:val="-1"/>
        </w:rPr>
        <w:t>n</w:t>
      </w:r>
      <w:r w:rsidRPr="009A0DA6">
        <w:rPr>
          <w:rFonts w:ascii="Cambria" w:eastAsia="Calibri" w:hAnsi="Cambria" w:cs="Calibri"/>
        </w:rPr>
        <w:t>t</w:t>
      </w:r>
      <w:r w:rsidRPr="009A0DA6">
        <w:rPr>
          <w:rFonts w:ascii="Cambria" w:eastAsia="Calibri" w:hAnsi="Cambria" w:cs="Calibri"/>
          <w:spacing w:val="1"/>
        </w:rPr>
        <w:t xml:space="preserve"> </w:t>
      </w:r>
      <w:r w:rsidRPr="009A0DA6">
        <w:rPr>
          <w:rFonts w:ascii="Cambria" w:eastAsia="Calibri" w:hAnsi="Cambria" w:cs="Calibri"/>
          <w:spacing w:val="-1"/>
        </w:rPr>
        <w:t>p</w:t>
      </w:r>
      <w:r w:rsidRPr="009A0DA6">
        <w:rPr>
          <w:rFonts w:ascii="Cambria" w:eastAsia="Calibri" w:hAnsi="Cambria" w:cs="Calibri"/>
        </w:rPr>
        <w:t>assa</w:t>
      </w:r>
      <w:r w:rsidRPr="009A0DA6">
        <w:rPr>
          <w:rFonts w:ascii="Cambria" w:eastAsia="Calibri" w:hAnsi="Cambria" w:cs="Calibri"/>
          <w:spacing w:val="-3"/>
        </w:rPr>
        <w:t>g</w:t>
      </w:r>
      <w:r w:rsidRPr="009A0DA6">
        <w:rPr>
          <w:rFonts w:ascii="Cambria" w:eastAsia="Calibri" w:hAnsi="Cambria" w:cs="Calibri"/>
        </w:rPr>
        <w:t>es</w:t>
      </w:r>
      <w:r w:rsidRPr="009A0DA6">
        <w:rPr>
          <w:rFonts w:ascii="Cambria" w:eastAsia="Calibri" w:hAnsi="Cambria" w:cs="Calibri"/>
          <w:spacing w:val="-1"/>
        </w:rPr>
        <w:t xml:space="preserve"> </w:t>
      </w:r>
      <w:r w:rsidRPr="009A0DA6">
        <w:rPr>
          <w:rFonts w:ascii="Cambria" w:eastAsia="Calibri" w:hAnsi="Cambria" w:cs="Calibri"/>
          <w:spacing w:val="1"/>
        </w:rPr>
        <w:t>o</w:t>
      </w:r>
      <w:r w:rsidRPr="009A0DA6">
        <w:rPr>
          <w:rFonts w:ascii="Cambria" w:eastAsia="Calibri" w:hAnsi="Cambria" w:cs="Calibri"/>
        </w:rPr>
        <w:t xml:space="preserve">f </w:t>
      </w:r>
      <w:r w:rsidRPr="009A0DA6">
        <w:rPr>
          <w:rFonts w:ascii="Cambria" w:eastAsia="Calibri" w:hAnsi="Cambria" w:cs="Calibri"/>
          <w:spacing w:val="1"/>
        </w:rPr>
        <w:t>t</w:t>
      </w:r>
      <w:r w:rsidRPr="009A0DA6">
        <w:rPr>
          <w:rFonts w:ascii="Cambria" w:eastAsia="Calibri" w:hAnsi="Cambria" w:cs="Calibri"/>
          <w:spacing w:val="-3"/>
        </w:rPr>
        <w:t>h</w:t>
      </w:r>
      <w:r w:rsidRPr="009A0DA6">
        <w:rPr>
          <w:rFonts w:ascii="Cambria" w:eastAsia="Calibri" w:hAnsi="Cambria" w:cs="Calibri"/>
        </w:rPr>
        <w:t>e</w:t>
      </w:r>
      <w:r w:rsidRPr="009A0DA6">
        <w:rPr>
          <w:rFonts w:ascii="Cambria" w:eastAsia="Calibri" w:hAnsi="Cambria" w:cs="Calibri"/>
          <w:spacing w:val="-1"/>
        </w:rPr>
        <w:t xml:space="preserve"> N</w:t>
      </w:r>
      <w:r w:rsidRPr="009A0DA6">
        <w:rPr>
          <w:rFonts w:ascii="Cambria" w:eastAsia="Calibri" w:hAnsi="Cambria" w:cs="Calibri"/>
        </w:rPr>
        <w:t>ew</w:t>
      </w:r>
      <w:r w:rsidRPr="009A0DA6">
        <w:rPr>
          <w:rFonts w:ascii="Cambria" w:eastAsia="Calibri" w:hAnsi="Cambria" w:cs="Calibri"/>
          <w:spacing w:val="1"/>
        </w:rPr>
        <w:t xml:space="preserve"> </w:t>
      </w:r>
      <w:r w:rsidRPr="009A0DA6">
        <w:rPr>
          <w:rFonts w:ascii="Cambria" w:eastAsia="Calibri" w:hAnsi="Cambria" w:cs="Calibri"/>
          <w:spacing w:val="-1"/>
        </w:rPr>
        <w:t>T</w:t>
      </w:r>
      <w:r w:rsidRPr="009A0DA6">
        <w:rPr>
          <w:rFonts w:ascii="Cambria" w:eastAsia="Calibri" w:hAnsi="Cambria" w:cs="Calibri"/>
        </w:rPr>
        <w:t>es</w:t>
      </w:r>
      <w:r w:rsidRPr="009A0DA6">
        <w:rPr>
          <w:rFonts w:ascii="Cambria" w:eastAsia="Calibri" w:hAnsi="Cambria" w:cs="Calibri"/>
          <w:spacing w:val="1"/>
        </w:rPr>
        <w:t>t</w:t>
      </w:r>
      <w:r w:rsidRPr="009A0DA6">
        <w:rPr>
          <w:rFonts w:ascii="Cambria" w:eastAsia="Calibri" w:hAnsi="Cambria" w:cs="Calibri"/>
          <w:spacing w:val="-3"/>
        </w:rPr>
        <w:t>a</w:t>
      </w:r>
      <w:r w:rsidRPr="009A0DA6">
        <w:rPr>
          <w:rFonts w:ascii="Cambria" w:eastAsia="Calibri" w:hAnsi="Cambria" w:cs="Calibri"/>
          <w:spacing w:val="1"/>
        </w:rPr>
        <w:t>m</w:t>
      </w:r>
      <w:r w:rsidRPr="009A0DA6">
        <w:rPr>
          <w:rFonts w:ascii="Cambria" w:eastAsia="Calibri" w:hAnsi="Cambria" w:cs="Calibri"/>
        </w:rPr>
        <w:t>en</w:t>
      </w:r>
      <w:r w:rsidRPr="009A0DA6">
        <w:rPr>
          <w:rFonts w:ascii="Cambria" w:eastAsia="Calibri" w:hAnsi="Cambria" w:cs="Calibri"/>
          <w:spacing w:val="-2"/>
        </w:rPr>
        <w:t>t</w:t>
      </w:r>
      <w:r w:rsidRPr="009A0DA6">
        <w:rPr>
          <w:rFonts w:ascii="Cambria" w:eastAsia="Calibri" w:hAnsi="Cambria" w:cs="Calibri"/>
        </w:rPr>
        <w:t>). It</w:t>
      </w:r>
      <w:r w:rsidRPr="009A0DA6">
        <w:rPr>
          <w:rFonts w:ascii="Cambria" w:eastAsia="Calibri" w:hAnsi="Cambria" w:cs="Calibri"/>
          <w:spacing w:val="1"/>
        </w:rPr>
        <w:t xml:space="preserve"> </w:t>
      </w:r>
      <w:r w:rsidRPr="009A0DA6">
        <w:rPr>
          <w:rFonts w:ascii="Cambria" w:eastAsia="Calibri" w:hAnsi="Cambria" w:cs="Calibri"/>
        </w:rPr>
        <w:t>is</w:t>
      </w:r>
      <w:r w:rsidRPr="009A0DA6">
        <w:rPr>
          <w:rFonts w:ascii="Cambria" w:eastAsia="Calibri" w:hAnsi="Cambria" w:cs="Calibri"/>
          <w:spacing w:val="-2"/>
        </w:rPr>
        <w:t xml:space="preserve"> </w:t>
      </w:r>
      <w:r w:rsidRPr="009A0DA6">
        <w:rPr>
          <w:rFonts w:ascii="Cambria" w:eastAsia="Calibri" w:hAnsi="Cambria" w:cs="Calibri"/>
        </w:rPr>
        <w:t>n</w:t>
      </w:r>
      <w:r w:rsidRPr="009A0DA6">
        <w:rPr>
          <w:rFonts w:ascii="Cambria" w:eastAsia="Calibri" w:hAnsi="Cambria" w:cs="Calibri"/>
          <w:spacing w:val="1"/>
        </w:rPr>
        <w:t>o</w:t>
      </w:r>
      <w:r w:rsidRPr="009A0DA6">
        <w:rPr>
          <w:rFonts w:ascii="Cambria" w:eastAsia="Calibri" w:hAnsi="Cambria" w:cs="Calibri"/>
        </w:rPr>
        <w:t xml:space="preserve">t </w:t>
      </w:r>
      <w:r w:rsidRPr="009A0DA6">
        <w:rPr>
          <w:rFonts w:ascii="Cambria" w:eastAsia="Calibri" w:hAnsi="Cambria" w:cs="Calibri"/>
          <w:spacing w:val="-1"/>
        </w:rPr>
        <w:t>p</w:t>
      </w:r>
      <w:r w:rsidRPr="009A0DA6">
        <w:rPr>
          <w:rFonts w:ascii="Cambria" w:eastAsia="Calibri" w:hAnsi="Cambria" w:cs="Calibri"/>
        </w:rPr>
        <w:t>eri</w:t>
      </w:r>
      <w:r w:rsidRPr="009A0DA6">
        <w:rPr>
          <w:rFonts w:ascii="Cambria" w:eastAsia="Calibri" w:hAnsi="Cambria" w:cs="Calibri"/>
          <w:spacing w:val="-1"/>
        </w:rPr>
        <w:t>ph</w:t>
      </w:r>
      <w:r w:rsidRPr="009A0DA6">
        <w:rPr>
          <w:rFonts w:ascii="Cambria" w:eastAsia="Calibri" w:hAnsi="Cambria" w:cs="Calibri"/>
        </w:rPr>
        <w:t>eral beca</w:t>
      </w:r>
      <w:r w:rsidRPr="009A0DA6">
        <w:rPr>
          <w:rFonts w:ascii="Cambria" w:eastAsia="Calibri" w:hAnsi="Cambria" w:cs="Calibri"/>
          <w:spacing w:val="-1"/>
        </w:rPr>
        <w:t>u</w:t>
      </w:r>
      <w:r w:rsidRPr="009A0DA6">
        <w:rPr>
          <w:rFonts w:ascii="Cambria" w:eastAsia="Calibri" w:hAnsi="Cambria" w:cs="Calibri"/>
          <w:spacing w:val="-2"/>
        </w:rPr>
        <w:t>s</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rPr>
        <w:t>it i</w:t>
      </w:r>
      <w:r w:rsidRPr="009A0DA6">
        <w:rPr>
          <w:rFonts w:ascii="Cambria" w:eastAsia="Calibri" w:hAnsi="Cambria" w:cs="Calibri"/>
          <w:spacing w:val="-3"/>
        </w:rPr>
        <w:t>n</w:t>
      </w:r>
      <w:r w:rsidRPr="009A0DA6">
        <w:rPr>
          <w:rFonts w:ascii="Cambria" w:eastAsia="Calibri" w:hAnsi="Cambria" w:cs="Calibri"/>
          <w:spacing w:val="1"/>
        </w:rPr>
        <w:t>vo</w:t>
      </w:r>
      <w:r w:rsidRPr="009A0DA6">
        <w:rPr>
          <w:rFonts w:ascii="Cambria" w:eastAsia="Calibri" w:hAnsi="Cambria" w:cs="Calibri"/>
          <w:spacing w:val="-3"/>
        </w:rPr>
        <w:t>l</w:t>
      </w:r>
      <w:r w:rsidRPr="009A0DA6">
        <w:rPr>
          <w:rFonts w:ascii="Cambria" w:eastAsia="Calibri" w:hAnsi="Cambria" w:cs="Calibri"/>
          <w:spacing w:val="1"/>
        </w:rPr>
        <w:t>v</w:t>
      </w:r>
      <w:r w:rsidRPr="009A0DA6">
        <w:rPr>
          <w:rFonts w:ascii="Cambria" w:eastAsia="Calibri" w:hAnsi="Cambria" w:cs="Calibri"/>
        </w:rPr>
        <w:t>es</w:t>
      </w:r>
      <w:r w:rsidRPr="009A0DA6">
        <w:rPr>
          <w:rFonts w:ascii="Cambria" w:eastAsia="Calibri" w:hAnsi="Cambria" w:cs="Calibri"/>
          <w:spacing w:val="-1"/>
        </w:rPr>
        <w:t xml:space="preserve"> </w:t>
      </w:r>
      <w:r w:rsidRPr="009A0DA6">
        <w:rPr>
          <w:rFonts w:ascii="Cambria" w:eastAsia="Calibri" w:hAnsi="Cambria" w:cs="Calibri"/>
        </w:rPr>
        <w:t>the del</w:t>
      </w:r>
      <w:r w:rsidRPr="009A0DA6">
        <w:rPr>
          <w:rFonts w:ascii="Cambria" w:eastAsia="Calibri" w:hAnsi="Cambria" w:cs="Calibri"/>
          <w:spacing w:val="-3"/>
        </w:rPr>
        <w:t>i</w:t>
      </w:r>
      <w:r w:rsidRPr="009A0DA6">
        <w:rPr>
          <w:rFonts w:ascii="Cambria" w:eastAsia="Calibri" w:hAnsi="Cambria" w:cs="Calibri"/>
          <w:spacing w:val="1"/>
        </w:rPr>
        <w:t>v</w:t>
      </w:r>
      <w:r w:rsidRPr="009A0DA6">
        <w:rPr>
          <w:rFonts w:ascii="Cambria" w:eastAsia="Calibri" w:hAnsi="Cambria" w:cs="Calibri"/>
        </w:rPr>
        <w:t>e</w:t>
      </w:r>
      <w:r w:rsidRPr="009A0DA6">
        <w:rPr>
          <w:rFonts w:ascii="Cambria" w:eastAsia="Calibri" w:hAnsi="Cambria" w:cs="Calibri"/>
          <w:spacing w:val="-2"/>
        </w:rPr>
        <w:t>r</w:t>
      </w:r>
      <w:r w:rsidRPr="009A0DA6">
        <w:rPr>
          <w:rFonts w:ascii="Cambria" w:eastAsia="Calibri" w:hAnsi="Cambria" w:cs="Calibri"/>
        </w:rPr>
        <w:t>y</w:t>
      </w:r>
      <w:r w:rsidRPr="009A0DA6">
        <w:rPr>
          <w:rFonts w:ascii="Cambria" w:eastAsia="Calibri" w:hAnsi="Cambria" w:cs="Calibri"/>
          <w:spacing w:val="-1"/>
        </w:rPr>
        <w:t xml:space="preserve"> </w:t>
      </w:r>
      <w:r w:rsidRPr="009A0DA6">
        <w:rPr>
          <w:rFonts w:ascii="Cambria" w:eastAsia="Calibri" w:hAnsi="Cambria" w:cs="Calibri"/>
          <w:spacing w:val="1"/>
        </w:rPr>
        <w:t>o</w:t>
      </w:r>
      <w:r w:rsidRPr="009A0DA6">
        <w:rPr>
          <w:rFonts w:ascii="Cambria" w:eastAsia="Calibri" w:hAnsi="Cambria" w:cs="Calibri"/>
        </w:rPr>
        <w:t xml:space="preserve">f </w:t>
      </w:r>
      <w:r w:rsidRPr="009A0DA6">
        <w:rPr>
          <w:rFonts w:ascii="Cambria" w:eastAsia="Calibri" w:hAnsi="Cambria" w:cs="Calibri"/>
          <w:spacing w:val="1"/>
        </w:rPr>
        <w:t>t</w:t>
      </w:r>
      <w:r w:rsidRPr="009A0DA6">
        <w:rPr>
          <w:rFonts w:ascii="Cambria" w:eastAsia="Calibri" w:hAnsi="Cambria" w:cs="Calibri"/>
          <w:spacing w:val="-3"/>
        </w:rPr>
        <w:t>h</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spacing w:val="1"/>
        </w:rPr>
        <w:t>m</w:t>
      </w:r>
      <w:r w:rsidRPr="009A0DA6">
        <w:rPr>
          <w:rFonts w:ascii="Cambria" w:eastAsia="Calibri" w:hAnsi="Cambria" w:cs="Calibri"/>
        </w:rPr>
        <w:t>e</w:t>
      </w:r>
      <w:r w:rsidRPr="009A0DA6">
        <w:rPr>
          <w:rFonts w:ascii="Cambria" w:eastAsia="Calibri" w:hAnsi="Cambria" w:cs="Calibri"/>
          <w:spacing w:val="-2"/>
        </w:rPr>
        <w:t>a</w:t>
      </w:r>
      <w:r w:rsidRPr="009A0DA6">
        <w:rPr>
          <w:rFonts w:ascii="Cambria" w:eastAsia="Calibri" w:hAnsi="Cambria" w:cs="Calibri"/>
          <w:spacing w:val="-1"/>
        </w:rPr>
        <w:t>n</w:t>
      </w:r>
      <w:r w:rsidRPr="009A0DA6">
        <w:rPr>
          <w:rFonts w:ascii="Cambria" w:eastAsia="Calibri" w:hAnsi="Cambria" w:cs="Calibri"/>
        </w:rPr>
        <w:t xml:space="preserve">s </w:t>
      </w:r>
      <w:r w:rsidRPr="009A0DA6">
        <w:rPr>
          <w:rFonts w:ascii="Cambria" w:eastAsia="Calibri" w:hAnsi="Cambria" w:cs="Calibri"/>
          <w:spacing w:val="1"/>
        </w:rPr>
        <w:t>o</w:t>
      </w:r>
      <w:r w:rsidRPr="009A0DA6">
        <w:rPr>
          <w:rFonts w:ascii="Cambria" w:eastAsia="Calibri" w:hAnsi="Cambria" w:cs="Calibri"/>
        </w:rPr>
        <w:t>f g</w:t>
      </w:r>
      <w:r w:rsidRPr="009A0DA6">
        <w:rPr>
          <w:rFonts w:ascii="Cambria" w:eastAsia="Calibri" w:hAnsi="Cambria" w:cs="Calibri"/>
          <w:spacing w:val="-1"/>
        </w:rPr>
        <w:t>r</w:t>
      </w:r>
      <w:r w:rsidRPr="009A0DA6">
        <w:rPr>
          <w:rFonts w:ascii="Cambria" w:eastAsia="Calibri" w:hAnsi="Cambria" w:cs="Calibri"/>
        </w:rPr>
        <w:t>a</w:t>
      </w:r>
      <w:r w:rsidRPr="009A0DA6">
        <w:rPr>
          <w:rFonts w:ascii="Cambria" w:eastAsia="Calibri" w:hAnsi="Cambria" w:cs="Calibri"/>
          <w:spacing w:val="-2"/>
        </w:rPr>
        <w:t>c</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rPr>
        <w:t>within</w:t>
      </w:r>
      <w:r w:rsidRPr="009A0DA6">
        <w:rPr>
          <w:rFonts w:ascii="Cambria" w:eastAsia="Calibri" w:hAnsi="Cambria" w:cs="Calibri"/>
          <w:spacing w:val="-1"/>
        </w:rPr>
        <w:t xml:space="preserve">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2"/>
        </w:rPr>
        <w:t xml:space="preserve"> </w:t>
      </w:r>
      <w:r w:rsidRPr="009A0DA6">
        <w:rPr>
          <w:rFonts w:ascii="Cambria" w:eastAsia="Calibri" w:hAnsi="Cambria" w:cs="Calibri"/>
          <w:spacing w:val="-1"/>
        </w:rPr>
        <w:t>d</w:t>
      </w:r>
      <w:r w:rsidRPr="009A0DA6">
        <w:rPr>
          <w:rFonts w:ascii="Cambria" w:eastAsia="Calibri" w:hAnsi="Cambria" w:cs="Calibri"/>
        </w:rPr>
        <w:t>ivi</w:t>
      </w:r>
      <w:r w:rsidRPr="009A0DA6">
        <w:rPr>
          <w:rFonts w:ascii="Cambria" w:eastAsia="Calibri" w:hAnsi="Cambria" w:cs="Calibri"/>
          <w:spacing w:val="-3"/>
        </w:rPr>
        <w:t>n</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rPr>
        <w:t>se</w:t>
      </w:r>
      <w:r w:rsidRPr="009A0DA6">
        <w:rPr>
          <w:rFonts w:ascii="Cambria" w:eastAsia="Calibri" w:hAnsi="Cambria" w:cs="Calibri"/>
          <w:spacing w:val="-2"/>
        </w:rPr>
        <w:t>r</w:t>
      </w:r>
      <w:r w:rsidRPr="009A0DA6">
        <w:rPr>
          <w:rFonts w:ascii="Cambria" w:eastAsia="Calibri" w:hAnsi="Cambria" w:cs="Calibri"/>
          <w:spacing w:val="1"/>
        </w:rPr>
        <w:t>v</w:t>
      </w:r>
      <w:r w:rsidRPr="009A0DA6">
        <w:rPr>
          <w:rFonts w:ascii="Cambria" w:eastAsia="Calibri" w:hAnsi="Cambria" w:cs="Calibri"/>
        </w:rPr>
        <w:t>ic</w:t>
      </w:r>
      <w:r w:rsidRPr="009A0DA6">
        <w:rPr>
          <w:rFonts w:ascii="Cambria" w:eastAsia="Calibri" w:hAnsi="Cambria" w:cs="Calibri"/>
          <w:spacing w:val="-2"/>
        </w:rPr>
        <w:t>e</w:t>
      </w:r>
      <w:r w:rsidRPr="009A0DA6">
        <w:rPr>
          <w:rFonts w:ascii="Cambria" w:eastAsia="Calibri" w:hAnsi="Cambria" w:cs="Calibri"/>
        </w:rPr>
        <w:t xml:space="preserve">, </w:t>
      </w:r>
      <w:r w:rsidRPr="009A0DA6">
        <w:rPr>
          <w:rFonts w:ascii="Cambria" w:eastAsia="Calibri" w:hAnsi="Cambria" w:cs="Calibri"/>
          <w:spacing w:val="1"/>
        </w:rPr>
        <w:t>w</w:t>
      </w:r>
      <w:r w:rsidRPr="009A0DA6">
        <w:rPr>
          <w:rFonts w:ascii="Cambria" w:eastAsia="Calibri" w:hAnsi="Cambria" w:cs="Calibri"/>
          <w:spacing w:val="-1"/>
        </w:rPr>
        <w:t>h</w:t>
      </w:r>
      <w:r w:rsidRPr="009A0DA6">
        <w:rPr>
          <w:rFonts w:ascii="Cambria" w:eastAsia="Calibri" w:hAnsi="Cambria" w:cs="Calibri"/>
        </w:rPr>
        <w:t>ich</w:t>
      </w:r>
      <w:r w:rsidRPr="009A0DA6">
        <w:rPr>
          <w:rFonts w:ascii="Cambria" w:eastAsia="Calibri" w:hAnsi="Cambria" w:cs="Calibri"/>
          <w:spacing w:val="-1"/>
        </w:rPr>
        <w:t xml:space="preserve"> </w:t>
      </w:r>
      <w:r w:rsidRPr="009A0DA6">
        <w:rPr>
          <w:rFonts w:ascii="Cambria" w:eastAsia="Calibri" w:hAnsi="Cambria" w:cs="Calibri"/>
          <w:spacing w:val="-2"/>
        </w:rPr>
        <w:t>i</w:t>
      </w:r>
      <w:r w:rsidRPr="009A0DA6">
        <w:rPr>
          <w:rFonts w:ascii="Cambria" w:eastAsia="Calibri" w:hAnsi="Cambria" w:cs="Calibri"/>
        </w:rPr>
        <w:t xml:space="preserve">s </w:t>
      </w:r>
      <w:r w:rsidRPr="009A0DA6">
        <w:rPr>
          <w:rFonts w:ascii="Cambria" w:eastAsia="Calibri" w:hAnsi="Cambria" w:cs="Calibri"/>
          <w:spacing w:val="-2"/>
        </w:rPr>
        <w:t>s</w:t>
      </w:r>
      <w:r w:rsidRPr="009A0DA6">
        <w:rPr>
          <w:rFonts w:ascii="Cambria" w:eastAsia="Calibri" w:hAnsi="Cambria" w:cs="Calibri"/>
          <w:spacing w:val="1"/>
        </w:rPr>
        <w:t>o</w:t>
      </w:r>
      <w:r w:rsidRPr="009A0DA6">
        <w:rPr>
          <w:rFonts w:ascii="Cambria" w:eastAsia="Calibri" w:hAnsi="Cambria" w:cs="Calibri"/>
          <w:spacing w:val="-1"/>
        </w:rPr>
        <w:t>m</w:t>
      </w:r>
      <w:r w:rsidRPr="009A0DA6">
        <w:rPr>
          <w:rFonts w:ascii="Cambria" w:eastAsia="Calibri" w:hAnsi="Cambria" w:cs="Calibri"/>
        </w:rPr>
        <w:t>e</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spacing w:val="-3"/>
        </w:rPr>
        <w:t>i</w:t>
      </w:r>
      <w:r w:rsidRPr="009A0DA6">
        <w:rPr>
          <w:rFonts w:ascii="Cambria" w:eastAsia="Calibri" w:hAnsi="Cambria" w:cs="Calibri"/>
          <w:spacing w:val="-1"/>
        </w:rPr>
        <w:t>n</w:t>
      </w:r>
      <w:r w:rsidRPr="009A0DA6">
        <w:rPr>
          <w:rFonts w:ascii="Cambria" w:eastAsia="Calibri" w:hAnsi="Cambria" w:cs="Calibri"/>
        </w:rPr>
        <w:t>g that s</w:t>
      </w:r>
      <w:r w:rsidRPr="009A0DA6">
        <w:rPr>
          <w:rFonts w:ascii="Cambria" w:eastAsia="Calibri" w:hAnsi="Cambria" w:cs="Calibri"/>
          <w:spacing w:val="1"/>
        </w:rPr>
        <w:t>t</w:t>
      </w:r>
      <w:r w:rsidRPr="009A0DA6">
        <w:rPr>
          <w:rFonts w:ascii="Cambria" w:eastAsia="Calibri" w:hAnsi="Cambria" w:cs="Calibri"/>
        </w:rPr>
        <w:t>a</w:t>
      </w:r>
      <w:r w:rsidRPr="009A0DA6">
        <w:rPr>
          <w:rFonts w:ascii="Cambria" w:eastAsia="Calibri" w:hAnsi="Cambria" w:cs="Calibri"/>
          <w:spacing w:val="-1"/>
        </w:rPr>
        <w:t>nd</w:t>
      </w:r>
      <w:r w:rsidRPr="009A0DA6">
        <w:rPr>
          <w:rFonts w:ascii="Cambria" w:eastAsia="Calibri" w:hAnsi="Cambria" w:cs="Calibri"/>
        </w:rPr>
        <w:t xml:space="preserve">s </w:t>
      </w:r>
      <w:r w:rsidRPr="009A0DA6">
        <w:rPr>
          <w:rFonts w:ascii="Cambria" w:eastAsia="Calibri" w:hAnsi="Cambria" w:cs="Calibri"/>
          <w:spacing w:val="-2"/>
        </w:rPr>
        <w:t>a</w:t>
      </w:r>
      <w:r w:rsidRPr="009A0DA6">
        <w:rPr>
          <w:rFonts w:ascii="Cambria" w:eastAsia="Calibri" w:hAnsi="Cambria" w:cs="Calibri"/>
        </w:rPr>
        <w:t>t</w:t>
      </w:r>
      <w:r w:rsidRPr="009A0DA6">
        <w:rPr>
          <w:rFonts w:ascii="Cambria" w:eastAsia="Calibri" w:hAnsi="Cambria" w:cs="Calibri"/>
          <w:spacing w:val="1"/>
        </w:rPr>
        <w:t xml:space="preserve"> </w:t>
      </w:r>
      <w:r w:rsidRPr="009A0DA6">
        <w:rPr>
          <w:rFonts w:ascii="Cambria" w:eastAsia="Calibri" w:hAnsi="Cambria" w:cs="Calibri"/>
        </w:rPr>
        <w:t>t</w:t>
      </w:r>
      <w:r w:rsidRPr="009A0DA6">
        <w:rPr>
          <w:rFonts w:ascii="Cambria" w:eastAsia="Calibri" w:hAnsi="Cambria" w:cs="Calibri"/>
          <w:spacing w:val="-3"/>
        </w:rPr>
        <w:t>h</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spacing w:val="-1"/>
        </w:rPr>
        <w:t>v</w:t>
      </w:r>
      <w:r w:rsidRPr="009A0DA6">
        <w:rPr>
          <w:rFonts w:ascii="Cambria" w:eastAsia="Calibri" w:hAnsi="Cambria" w:cs="Calibri"/>
        </w:rPr>
        <w:t>ery</w:t>
      </w:r>
      <w:r w:rsidRPr="009A0DA6">
        <w:rPr>
          <w:rFonts w:ascii="Cambria" w:eastAsia="Calibri" w:hAnsi="Cambria" w:cs="Calibri"/>
          <w:spacing w:val="-1"/>
        </w:rPr>
        <w:t xml:space="preserve"> </w:t>
      </w:r>
      <w:r w:rsidRPr="009A0DA6">
        <w:rPr>
          <w:rFonts w:ascii="Cambria" w:eastAsia="Calibri" w:hAnsi="Cambria" w:cs="Calibri"/>
        </w:rPr>
        <w:t>he</w:t>
      </w:r>
      <w:r w:rsidRPr="009A0DA6">
        <w:rPr>
          <w:rFonts w:ascii="Cambria" w:eastAsia="Calibri" w:hAnsi="Cambria" w:cs="Calibri"/>
          <w:spacing w:val="-2"/>
        </w:rPr>
        <w:t>a</w:t>
      </w:r>
      <w:r w:rsidRPr="009A0DA6">
        <w:rPr>
          <w:rFonts w:ascii="Cambria" w:eastAsia="Calibri" w:hAnsi="Cambria" w:cs="Calibri"/>
        </w:rPr>
        <w:t>rt</w:t>
      </w:r>
      <w:r w:rsidRPr="009A0DA6">
        <w:rPr>
          <w:rFonts w:ascii="Cambria" w:eastAsia="Calibri" w:hAnsi="Cambria" w:cs="Calibri"/>
          <w:spacing w:val="1"/>
        </w:rPr>
        <w:t xml:space="preserve"> o</w:t>
      </w:r>
      <w:r w:rsidRPr="009A0DA6">
        <w:rPr>
          <w:rFonts w:ascii="Cambria" w:eastAsia="Calibri" w:hAnsi="Cambria" w:cs="Calibri"/>
        </w:rPr>
        <w:t>f</w:t>
      </w:r>
      <w:r w:rsidRPr="009A0DA6">
        <w:rPr>
          <w:rFonts w:ascii="Cambria" w:eastAsia="Calibri" w:hAnsi="Cambria" w:cs="Calibri"/>
          <w:spacing w:val="-2"/>
        </w:rPr>
        <w:t xml:space="preserve">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rPr>
        <w:t>ch</w:t>
      </w:r>
      <w:r w:rsidRPr="009A0DA6">
        <w:rPr>
          <w:rFonts w:ascii="Cambria" w:eastAsia="Calibri" w:hAnsi="Cambria" w:cs="Calibri"/>
          <w:spacing w:val="-1"/>
        </w:rPr>
        <w:t>u</w:t>
      </w:r>
      <w:r w:rsidRPr="009A0DA6">
        <w:rPr>
          <w:rFonts w:ascii="Cambria" w:eastAsia="Calibri" w:hAnsi="Cambria" w:cs="Calibri"/>
        </w:rPr>
        <w:t>rc</w:t>
      </w:r>
      <w:r w:rsidRPr="009A0DA6">
        <w:rPr>
          <w:rFonts w:ascii="Cambria" w:eastAsia="Calibri" w:hAnsi="Cambria" w:cs="Calibri"/>
          <w:spacing w:val="-1"/>
        </w:rPr>
        <w:t>h</w:t>
      </w:r>
      <w:r w:rsidRPr="009A0DA6">
        <w:rPr>
          <w:rFonts w:ascii="Cambria" w:eastAsia="Calibri" w:hAnsi="Cambria" w:cs="Calibri"/>
        </w:rPr>
        <w:t>’s spi</w:t>
      </w:r>
      <w:r w:rsidRPr="009A0DA6">
        <w:rPr>
          <w:rFonts w:ascii="Cambria" w:eastAsia="Calibri" w:hAnsi="Cambria" w:cs="Calibri"/>
          <w:spacing w:val="-1"/>
        </w:rPr>
        <w:t>r</w:t>
      </w:r>
      <w:r w:rsidRPr="009A0DA6">
        <w:rPr>
          <w:rFonts w:ascii="Cambria" w:eastAsia="Calibri" w:hAnsi="Cambria" w:cs="Calibri"/>
        </w:rPr>
        <w:t>it</w:t>
      </w:r>
      <w:r w:rsidRPr="009A0DA6">
        <w:rPr>
          <w:rFonts w:ascii="Cambria" w:eastAsia="Calibri" w:hAnsi="Cambria" w:cs="Calibri"/>
          <w:spacing w:val="-1"/>
        </w:rPr>
        <w:t>u</w:t>
      </w:r>
      <w:r w:rsidRPr="009A0DA6">
        <w:rPr>
          <w:rFonts w:ascii="Cambria" w:eastAsia="Calibri" w:hAnsi="Cambria" w:cs="Calibri"/>
        </w:rPr>
        <w:t xml:space="preserve">al </w:t>
      </w:r>
      <w:r w:rsidRPr="009A0DA6">
        <w:rPr>
          <w:rFonts w:ascii="Cambria" w:eastAsia="Calibri" w:hAnsi="Cambria" w:cs="Calibri"/>
          <w:spacing w:val="-3"/>
        </w:rPr>
        <w:t>l</w:t>
      </w:r>
      <w:r w:rsidRPr="009A0DA6">
        <w:rPr>
          <w:rFonts w:ascii="Cambria" w:eastAsia="Calibri" w:hAnsi="Cambria" w:cs="Calibri"/>
        </w:rPr>
        <w:t>ife. This is</w:t>
      </w:r>
      <w:r w:rsidRPr="009A0DA6">
        <w:rPr>
          <w:rFonts w:ascii="Cambria" w:eastAsia="Calibri" w:hAnsi="Cambria" w:cs="Calibri"/>
          <w:spacing w:val="-2"/>
        </w:rPr>
        <w:t xml:space="preserve"> </w:t>
      </w:r>
      <w:r w:rsidRPr="009A0DA6">
        <w:rPr>
          <w:rFonts w:ascii="Cambria" w:eastAsia="Calibri" w:hAnsi="Cambria" w:cs="Calibri"/>
        </w:rPr>
        <w:t>central</w:t>
      </w:r>
      <w:r w:rsidRPr="009A0DA6">
        <w:rPr>
          <w:rFonts w:ascii="Cambria" w:eastAsia="Calibri" w:hAnsi="Cambria" w:cs="Calibri"/>
          <w:spacing w:val="-3"/>
        </w:rPr>
        <w:t xml:space="preserve"> </w:t>
      </w:r>
      <w:r w:rsidRPr="009A0DA6">
        <w:rPr>
          <w:rFonts w:ascii="Cambria" w:eastAsia="Calibri" w:hAnsi="Cambria" w:cs="Calibri"/>
          <w:spacing w:val="1"/>
        </w:rPr>
        <w:t>t</w:t>
      </w:r>
      <w:r w:rsidRPr="009A0DA6">
        <w:rPr>
          <w:rFonts w:ascii="Cambria" w:eastAsia="Calibri" w:hAnsi="Cambria" w:cs="Calibri"/>
        </w:rPr>
        <w:t>o</w:t>
      </w:r>
      <w:r w:rsidRPr="009A0DA6">
        <w:rPr>
          <w:rFonts w:ascii="Cambria" w:eastAsia="Calibri" w:hAnsi="Cambria" w:cs="Calibri"/>
          <w:spacing w:val="-1"/>
        </w:rPr>
        <w:t xml:space="preserve"> </w:t>
      </w:r>
      <w:r w:rsidRPr="009A0DA6">
        <w:rPr>
          <w:rFonts w:ascii="Cambria" w:eastAsia="Calibri" w:hAnsi="Cambria" w:cs="Calibri"/>
        </w:rPr>
        <w:t>h</w:t>
      </w:r>
      <w:r w:rsidRPr="009A0DA6">
        <w:rPr>
          <w:rFonts w:ascii="Cambria" w:eastAsia="Calibri" w:hAnsi="Cambria" w:cs="Calibri"/>
          <w:spacing w:val="-1"/>
        </w:rPr>
        <w:t>o</w:t>
      </w:r>
      <w:r w:rsidRPr="009A0DA6">
        <w:rPr>
          <w:rFonts w:ascii="Cambria" w:eastAsia="Calibri" w:hAnsi="Cambria" w:cs="Calibri"/>
        </w:rPr>
        <w:t>w</w:t>
      </w:r>
      <w:r w:rsidRPr="009A0DA6">
        <w:rPr>
          <w:rFonts w:ascii="Cambria" w:eastAsia="Calibri" w:hAnsi="Cambria" w:cs="Calibri"/>
          <w:spacing w:val="1"/>
        </w:rPr>
        <w:t xml:space="preserve"> </w:t>
      </w:r>
      <w:r w:rsidRPr="009A0DA6">
        <w:rPr>
          <w:rFonts w:ascii="Cambria" w:eastAsia="Calibri" w:hAnsi="Cambria" w:cs="Calibri"/>
          <w:spacing w:val="-3"/>
        </w:rPr>
        <w:t>b</w:t>
      </w:r>
      <w:r w:rsidRPr="009A0DA6">
        <w:rPr>
          <w:rFonts w:ascii="Cambria" w:eastAsia="Calibri" w:hAnsi="Cambria" w:cs="Calibri"/>
          <w:spacing w:val="1"/>
        </w:rPr>
        <w:t>o</w:t>
      </w:r>
      <w:r w:rsidRPr="009A0DA6">
        <w:rPr>
          <w:rFonts w:ascii="Cambria" w:eastAsia="Calibri" w:hAnsi="Cambria" w:cs="Calibri"/>
        </w:rPr>
        <w:t>th t</w:t>
      </w:r>
      <w:r w:rsidRPr="009A0DA6">
        <w:rPr>
          <w:rFonts w:ascii="Cambria" w:eastAsia="Calibri" w:hAnsi="Cambria" w:cs="Calibri"/>
          <w:spacing w:val="-2"/>
        </w:rPr>
        <w:t>h</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rPr>
        <w:t>ch</w:t>
      </w:r>
      <w:r w:rsidRPr="009A0DA6">
        <w:rPr>
          <w:rFonts w:ascii="Cambria" w:eastAsia="Calibri" w:hAnsi="Cambria" w:cs="Calibri"/>
          <w:spacing w:val="-1"/>
        </w:rPr>
        <w:t>u</w:t>
      </w:r>
      <w:r w:rsidRPr="009A0DA6">
        <w:rPr>
          <w:rFonts w:ascii="Cambria" w:eastAsia="Calibri" w:hAnsi="Cambria" w:cs="Calibri"/>
        </w:rPr>
        <w:t>rch</w:t>
      </w:r>
      <w:r w:rsidRPr="009A0DA6">
        <w:rPr>
          <w:rFonts w:ascii="Cambria" w:eastAsia="Calibri" w:hAnsi="Cambria" w:cs="Calibri"/>
          <w:spacing w:val="-1"/>
        </w:rPr>
        <w:t xml:space="preserve"> </w:t>
      </w:r>
      <w:r w:rsidRPr="009A0DA6">
        <w:rPr>
          <w:rFonts w:ascii="Cambria" w:eastAsia="Calibri" w:hAnsi="Cambria" w:cs="Calibri"/>
        </w:rPr>
        <w:t>and</w:t>
      </w:r>
      <w:r w:rsidRPr="009A0DA6">
        <w:rPr>
          <w:rFonts w:ascii="Cambria" w:eastAsia="Calibri" w:hAnsi="Cambria" w:cs="Calibri"/>
          <w:spacing w:val="-1"/>
        </w:rPr>
        <w:t xml:space="preserve"> </w:t>
      </w:r>
      <w:r w:rsidRPr="009A0DA6">
        <w:rPr>
          <w:rFonts w:ascii="Cambria" w:eastAsia="Calibri" w:hAnsi="Cambria" w:cs="Calibri"/>
        </w:rPr>
        <w:t>i</w:t>
      </w:r>
      <w:r w:rsidRPr="009A0DA6">
        <w:rPr>
          <w:rFonts w:ascii="Cambria" w:eastAsia="Calibri" w:hAnsi="Cambria" w:cs="Calibri"/>
          <w:spacing w:val="-2"/>
        </w:rPr>
        <w:t>t</w:t>
      </w:r>
      <w:r w:rsidRPr="009A0DA6">
        <w:rPr>
          <w:rFonts w:ascii="Cambria" w:eastAsia="Calibri" w:hAnsi="Cambria" w:cs="Calibri"/>
        </w:rPr>
        <w:t>s u</w:t>
      </w:r>
      <w:r w:rsidRPr="009A0DA6">
        <w:rPr>
          <w:rFonts w:ascii="Cambria" w:eastAsia="Calibri" w:hAnsi="Cambria" w:cs="Calibri"/>
          <w:spacing w:val="-1"/>
        </w:rPr>
        <w:t>n</w:t>
      </w:r>
      <w:r w:rsidRPr="009A0DA6">
        <w:rPr>
          <w:rFonts w:ascii="Cambria" w:eastAsia="Calibri" w:hAnsi="Cambria" w:cs="Calibri"/>
        </w:rPr>
        <w:t>i</w:t>
      </w:r>
      <w:r w:rsidRPr="009A0DA6">
        <w:rPr>
          <w:rFonts w:ascii="Cambria" w:eastAsia="Calibri" w:hAnsi="Cambria" w:cs="Calibri"/>
          <w:spacing w:val="-2"/>
        </w:rPr>
        <w:t>t</w:t>
      </w:r>
      <w:r w:rsidRPr="009A0DA6">
        <w:rPr>
          <w:rFonts w:ascii="Cambria" w:eastAsia="Calibri" w:hAnsi="Cambria" w:cs="Calibri"/>
        </w:rPr>
        <w:t>y</w:t>
      </w:r>
      <w:r w:rsidRPr="009A0DA6">
        <w:rPr>
          <w:rFonts w:ascii="Cambria" w:eastAsia="Calibri" w:hAnsi="Cambria" w:cs="Calibri"/>
          <w:spacing w:val="1"/>
        </w:rPr>
        <w:t xml:space="preserve"> </w:t>
      </w:r>
      <w:r w:rsidRPr="009A0DA6">
        <w:rPr>
          <w:rFonts w:ascii="Cambria" w:eastAsia="Calibri" w:hAnsi="Cambria" w:cs="Calibri"/>
        </w:rPr>
        <w:t xml:space="preserve">are </w:t>
      </w:r>
      <w:r w:rsidRPr="009A0DA6">
        <w:rPr>
          <w:rFonts w:ascii="Cambria" w:eastAsia="Calibri" w:hAnsi="Cambria" w:cs="Calibri"/>
          <w:spacing w:val="-1"/>
        </w:rPr>
        <w:t>und</w:t>
      </w:r>
      <w:r w:rsidRPr="009A0DA6">
        <w:rPr>
          <w:rFonts w:ascii="Cambria" w:eastAsia="Calibri" w:hAnsi="Cambria" w:cs="Calibri"/>
        </w:rPr>
        <w:t>ers</w:t>
      </w:r>
      <w:r w:rsidRPr="009A0DA6">
        <w:rPr>
          <w:rFonts w:ascii="Cambria" w:eastAsia="Calibri" w:hAnsi="Cambria" w:cs="Calibri"/>
          <w:spacing w:val="1"/>
        </w:rPr>
        <w:t>t</w:t>
      </w:r>
      <w:r w:rsidRPr="009A0DA6">
        <w:rPr>
          <w:rFonts w:ascii="Cambria" w:eastAsia="Calibri" w:hAnsi="Cambria" w:cs="Calibri"/>
          <w:spacing w:val="-1"/>
        </w:rPr>
        <w:t>o</w:t>
      </w:r>
      <w:r w:rsidRPr="009A0DA6">
        <w:rPr>
          <w:rFonts w:ascii="Cambria" w:eastAsia="Calibri" w:hAnsi="Cambria" w:cs="Calibri"/>
          <w:spacing w:val="1"/>
        </w:rPr>
        <w:t>o</w:t>
      </w:r>
      <w:r w:rsidRPr="009A0DA6">
        <w:rPr>
          <w:rFonts w:ascii="Cambria" w:eastAsia="Calibri" w:hAnsi="Cambria" w:cs="Calibri"/>
        </w:rPr>
        <w:t>d</w:t>
      </w:r>
      <w:r w:rsidRPr="009A0DA6">
        <w:rPr>
          <w:rFonts w:ascii="Cambria" w:eastAsia="Calibri" w:hAnsi="Cambria" w:cs="Calibri"/>
          <w:spacing w:val="-1"/>
        </w:rPr>
        <w:t xml:space="preserve"> </w:t>
      </w:r>
      <w:r w:rsidRPr="009A0DA6">
        <w:rPr>
          <w:rFonts w:ascii="Cambria" w:eastAsia="Calibri" w:hAnsi="Cambria" w:cs="Calibri"/>
        </w:rPr>
        <w:t>in the</w:t>
      </w:r>
      <w:r w:rsidRPr="009A0DA6">
        <w:rPr>
          <w:rFonts w:ascii="Cambria" w:eastAsia="Calibri" w:hAnsi="Cambria" w:cs="Calibri"/>
          <w:spacing w:val="-2"/>
        </w:rPr>
        <w:t xml:space="preserve"> </w:t>
      </w:r>
      <w:r w:rsidRPr="009A0DA6">
        <w:rPr>
          <w:rFonts w:ascii="Cambria" w:eastAsia="Calibri" w:hAnsi="Cambria" w:cs="Calibri"/>
          <w:spacing w:val="1"/>
        </w:rPr>
        <w:t>L</w:t>
      </w:r>
      <w:r w:rsidRPr="009A0DA6">
        <w:rPr>
          <w:rFonts w:ascii="Cambria" w:eastAsia="Calibri" w:hAnsi="Cambria" w:cs="Calibri"/>
          <w:spacing w:val="-1"/>
        </w:rPr>
        <w:t>u</w:t>
      </w:r>
      <w:r w:rsidRPr="009A0DA6">
        <w:rPr>
          <w:rFonts w:ascii="Cambria" w:eastAsia="Calibri" w:hAnsi="Cambria" w:cs="Calibri"/>
        </w:rPr>
        <w:t>th</w:t>
      </w:r>
      <w:r w:rsidRPr="009A0DA6">
        <w:rPr>
          <w:rFonts w:ascii="Cambria" w:eastAsia="Calibri" w:hAnsi="Cambria" w:cs="Calibri"/>
          <w:spacing w:val="-2"/>
        </w:rPr>
        <w:t>e</w:t>
      </w:r>
      <w:r w:rsidRPr="009A0DA6">
        <w:rPr>
          <w:rFonts w:ascii="Cambria" w:eastAsia="Calibri" w:hAnsi="Cambria" w:cs="Calibri"/>
        </w:rPr>
        <w:t>r</w:t>
      </w:r>
      <w:r w:rsidRPr="009A0DA6">
        <w:rPr>
          <w:rFonts w:ascii="Cambria" w:eastAsia="Calibri" w:hAnsi="Cambria" w:cs="Calibri"/>
          <w:spacing w:val="-3"/>
        </w:rPr>
        <w:t>a</w:t>
      </w:r>
      <w:r w:rsidRPr="009A0DA6">
        <w:rPr>
          <w:rFonts w:ascii="Cambria" w:eastAsia="Calibri" w:hAnsi="Cambria" w:cs="Calibri"/>
        </w:rPr>
        <w:t>n</w:t>
      </w:r>
      <w:r w:rsidRPr="009A0DA6">
        <w:rPr>
          <w:rFonts w:ascii="Cambria" w:eastAsia="Calibri" w:hAnsi="Cambria" w:cs="Calibri"/>
          <w:spacing w:val="-1"/>
        </w:rPr>
        <w:t xml:space="preserve">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2"/>
        </w:rPr>
        <w:t>o</w:t>
      </w:r>
      <w:r w:rsidRPr="009A0DA6">
        <w:rPr>
          <w:rFonts w:ascii="Cambria" w:eastAsia="Calibri" w:hAnsi="Cambria" w:cs="Calibri"/>
          <w:spacing w:val="-3"/>
        </w:rPr>
        <w:t>l</w:t>
      </w:r>
      <w:r w:rsidRPr="009A0DA6">
        <w:rPr>
          <w:rFonts w:ascii="Cambria" w:eastAsia="Calibri" w:hAnsi="Cambria" w:cs="Calibri"/>
          <w:spacing w:val="1"/>
        </w:rPr>
        <w:t>o</w:t>
      </w:r>
      <w:r w:rsidRPr="009A0DA6">
        <w:rPr>
          <w:rFonts w:ascii="Cambria" w:eastAsia="Calibri" w:hAnsi="Cambria" w:cs="Calibri"/>
          <w:spacing w:val="-1"/>
        </w:rPr>
        <w:t>g</w:t>
      </w:r>
      <w:r w:rsidRPr="009A0DA6">
        <w:rPr>
          <w:rFonts w:ascii="Cambria" w:eastAsia="Calibri" w:hAnsi="Cambria" w:cs="Calibri"/>
        </w:rPr>
        <w:t>ical</w:t>
      </w:r>
      <w:r w:rsidRPr="009A0DA6">
        <w:rPr>
          <w:rFonts w:ascii="Cambria" w:eastAsia="Calibri" w:hAnsi="Cambria" w:cs="Calibri"/>
          <w:spacing w:val="-2"/>
        </w:rPr>
        <w:t xml:space="preserve"> </w:t>
      </w:r>
      <w:r w:rsidRPr="009A0DA6">
        <w:rPr>
          <w:rFonts w:ascii="Cambria" w:eastAsia="Calibri" w:hAnsi="Cambria" w:cs="Calibri"/>
        </w:rPr>
        <w:t>tra</w:t>
      </w:r>
      <w:r w:rsidRPr="009A0DA6">
        <w:rPr>
          <w:rFonts w:ascii="Cambria" w:eastAsia="Calibri" w:hAnsi="Cambria" w:cs="Calibri"/>
          <w:spacing w:val="-1"/>
        </w:rPr>
        <w:t>d</w:t>
      </w:r>
      <w:r w:rsidRPr="009A0DA6">
        <w:rPr>
          <w:rFonts w:ascii="Cambria" w:eastAsia="Calibri" w:hAnsi="Cambria" w:cs="Calibri"/>
        </w:rPr>
        <w:t>iti</w:t>
      </w:r>
      <w:r w:rsidRPr="009A0DA6">
        <w:rPr>
          <w:rFonts w:ascii="Cambria" w:eastAsia="Calibri" w:hAnsi="Cambria" w:cs="Calibri"/>
          <w:spacing w:val="1"/>
        </w:rPr>
        <w:t>o</w:t>
      </w:r>
      <w:r w:rsidRPr="009A0DA6">
        <w:rPr>
          <w:rFonts w:ascii="Cambria" w:eastAsia="Calibri" w:hAnsi="Cambria" w:cs="Calibri"/>
          <w:spacing w:val="-1"/>
        </w:rPr>
        <w:t>n</w:t>
      </w:r>
      <w:r w:rsidRPr="009A0DA6">
        <w:rPr>
          <w:rFonts w:ascii="Cambria" w:eastAsia="Calibri" w:hAnsi="Cambria" w:cs="Calibri"/>
        </w:rPr>
        <w:t xml:space="preserve">. </w:t>
      </w:r>
      <w:r w:rsidRPr="009A0DA6">
        <w:rPr>
          <w:rFonts w:ascii="Cambria" w:eastAsia="Calibri" w:hAnsi="Cambria" w:cs="Calibri"/>
          <w:spacing w:val="-3"/>
        </w:rPr>
        <w:t>F</w:t>
      </w:r>
      <w:r w:rsidRPr="009A0DA6">
        <w:rPr>
          <w:rFonts w:ascii="Cambria" w:eastAsia="Calibri" w:hAnsi="Cambria" w:cs="Calibri"/>
          <w:spacing w:val="1"/>
        </w:rPr>
        <w:t>o</w:t>
      </w:r>
      <w:r w:rsidRPr="009A0DA6">
        <w:rPr>
          <w:rFonts w:ascii="Cambria" w:eastAsia="Calibri" w:hAnsi="Cambria" w:cs="Calibri"/>
        </w:rPr>
        <w:t>r</w:t>
      </w:r>
      <w:r w:rsidRPr="009A0DA6">
        <w:rPr>
          <w:rFonts w:ascii="Cambria" w:eastAsia="Calibri" w:hAnsi="Cambria" w:cs="Calibri"/>
          <w:spacing w:val="-2"/>
        </w:rPr>
        <w:t xml:space="preserve"> </w:t>
      </w:r>
      <w:r w:rsidRPr="009A0DA6">
        <w:rPr>
          <w:rFonts w:ascii="Cambria" w:eastAsia="Calibri" w:hAnsi="Cambria" w:cs="Calibri"/>
        </w:rPr>
        <w:t>i</w:t>
      </w:r>
      <w:r w:rsidRPr="009A0DA6">
        <w:rPr>
          <w:rFonts w:ascii="Cambria" w:eastAsia="Calibri" w:hAnsi="Cambria" w:cs="Calibri"/>
          <w:spacing w:val="-1"/>
        </w:rPr>
        <w:t>n</w:t>
      </w:r>
      <w:r w:rsidRPr="009A0DA6">
        <w:rPr>
          <w:rFonts w:ascii="Cambria" w:eastAsia="Calibri" w:hAnsi="Cambria" w:cs="Calibri"/>
        </w:rPr>
        <w:t>stance,</w:t>
      </w:r>
      <w:r w:rsidRPr="009A0DA6">
        <w:rPr>
          <w:rFonts w:ascii="Cambria" w:eastAsia="Calibri" w:hAnsi="Cambria" w:cs="Calibri"/>
          <w:spacing w:val="4"/>
        </w:rPr>
        <w:t xml:space="preserve"> </w:t>
      </w:r>
      <w:r w:rsidRPr="009A0DA6">
        <w:rPr>
          <w:rFonts w:ascii="Cambria" w:eastAsia="Calibri" w:hAnsi="Cambria" w:cs="Calibri"/>
          <w:i/>
        </w:rPr>
        <w:t>A</w:t>
      </w:r>
      <w:r w:rsidRPr="009A0DA6">
        <w:rPr>
          <w:rFonts w:ascii="Cambria" w:eastAsia="Calibri" w:hAnsi="Cambria" w:cs="Calibri"/>
          <w:i/>
          <w:spacing w:val="-1"/>
        </w:rPr>
        <w:t>ug</w:t>
      </w:r>
      <w:r w:rsidRPr="009A0DA6">
        <w:rPr>
          <w:rFonts w:ascii="Cambria" w:eastAsia="Calibri" w:hAnsi="Cambria" w:cs="Calibri"/>
          <w:i/>
        </w:rPr>
        <w:t>sb</w:t>
      </w:r>
      <w:r w:rsidRPr="009A0DA6">
        <w:rPr>
          <w:rFonts w:ascii="Cambria" w:eastAsia="Calibri" w:hAnsi="Cambria" w:cs="Calibri"/>
          <w:i/>
          <w:spacing w:val="-1"/>
        </w:rPr>
        <w:t>u</w:t>
      </w:r>
      <w:r w:rsidRPr="009A0DA6">
        <w:rPr>
          <w:rFonts w:ascii="Cambria" w:eastAsia="Calibri" w:hAnsi="Cambria" w:cs="Calibri"/>
          <w:i/>
          <w:spacing w:val="1"/>
        </w:rPr>
        <w:t>r</w:t>
      </w:r>
      <w:r w:rsidRPr="009A0DA6">
        <w:rPr>
          <w:rFonts w:ascii="Cambria" w:eastAsia="Calibri" w:hAnsi="Cambria" w:cs="Calibri"/>
          <w:i/>
        </w:rPr>
        <w:t>g</w:t>
      </w:r>
      <w:r w:rsidRPr="009A0DA6">
        <w:rPr>
          <w:rFonts w:ascii="Cambria" w:eastAsia="Calibri" w:hAnsi="Cambria" w:cs="Calibri"/>
          <w:i/>
          <w:spacing w:val="-3"/>
        </w:rPr>
        <w:t xml:space="preserve"> </w:t>
      </w:r>
      <w:r w:rsidRPr="009A0DA6">
        <w:rPr>
          <w:rFonts w:ascii="Cambria" w:eastAsia="Calibri" w:hAnsi="Cambria" w:cs="Calibri"/>
          <w:i/>
        </w:rPr>
        <w:t>Co</w:t>
      </w:r>
      <w:r w:rsidRPr="009A0DA6">
        <w:rPr>
          <w:rFonts w:ascii="Cambria" w:eastAsia="Calibri" w:hAnsi="Cambria" w:cs="Calibri"/>
          <w:i/>
          <w:spacing w:val="-1"/>
        </w:rPr>
        <w:t>n</w:t>
      </w:r>
      <w:r w:rsidRPr="009A0DA6">
        <w:rPr>
          <w:rFonts w:ascii="Cambria" w:eastAsia="Calibri" w:hAnsi="Cambria" w:cs="Calibri"/>
          <w:i/>
        </w:rPr>
        <w:t>fes</w:t>
      </w:r>
      <w:r w:rsidRPr="009A0DA6">
        <w:rPr>
          <w:rFonts w:ascii="Cambria" w:eastAsia="Calibri" w:hAnsi="Cambria" w:cs="Calibri"/>
          <w:i/>
          <w:spacing w:val="-2"/>
        </w:rPr>
        <w:t>s</w:t>
      </w:r>
      <w:r w:rsidRPr="009A0DA6">
        <w:rPr>
          <w:rFonts w:ascii="Cambria" w:eastAsia="Calibri" w:hAnsi="Cambria" w:cs="Calibri"/>
          <w:i/>
        </w:rPr>
        <w:t>i</w:t>
      </w:r>
      <w:r w:rsidRPr="009A0DA6">
        <w:rPr>
          <w:rFonts w:ascii="Cambria" w:eastAsia="Calibri" w:hAnsi="Cambria" w:cs="Calibri"/>
          <w:i/>
          <w:spacing w:val="-1"/>
        </w:rPr>
        <w:t>o</w:t>
      </w:r>
      <w:r w:rsidRPr="009A0DA6">
        <w:rPr>
          <w:rFonts w:ascii="Cambria" w:eastAsia="Calibri" w:hAnsi="Cambria" w:cs="Calibri"/>
          <w:i/>
        </w:rPr>
        <w:t>n</w:t>
      </w:r>
      <w:r w:rsidRPr="009A0DA6">
        <w:rPr>
          <w:rFonts w:ascii="Cambria" w:eastAsia="Calibri" w:hAnsi="Cambria" w:cs="Calibri"/>
          <w:i/>
          <w:spacing w:val="1"/>
        </w:rPr>
        <w:t xml:space="preserve"> </w:t>
      </w:r>
      <w:r w:rsidRPr="009A0DA6">
        <w:rPr>
          <w:rFonts w:ascii="Cambria" w:eastAsia="Calibri" w:hAnsi="Cambria" w:cs="Calibri"/>
        </w:rPr>
        <w:t>A</w:t>
      </w:r>
      <w:r w:rsidRPr="009A0DA6">
        <w:rPr>
          <w:rFonts w:ascii="Cambria" w:eastAsia="Calibri" w:hAnsi="Cambria" w:cs="Calibri"/>
          <w:spacing w:val="-1"/>
        </w:rPr>
        <w:t>r</w:t>
      </w:r>
      <w:r w:rsidRPr="009A0DA6">
        <w:rPr>
          <w:rFonts w:ascii="Cambria" w:eastAsia="Calibri" w:hAnsi="Cambria" w:cs="Calibri"/>
        </w:rPr>
        <w:t>ticle</w:t>
      </w:r>
      <w:r w:rsidRPr="009A0DA6">
        <w:rPr>
          <w:rFonts w:ascii="Cambria" w:eastAsia="Calibri" w:hAnsi="Cambria" w:cs="Calibri"/>
          <w:spacing w:val="1"/>
        </w:rPr>
        <w:t xml:space="preserve"> </w:t>
      </w:r>
      <w:r w:rsidRPr="009A0DA6">
        <w:rPr>
          <w:rFonts w:ascii="Cambria" w:eastAsia="Calibri" w:hAnsi="Cambria" w:cs="Calibri"/>
        </w:rPr>
        <w:t>V</w:t>
      </w:r>
      <w:r w:rsidRPr="009A0DA6">
        <w:rPr>
          <w:rFonts w:ascii="Cambria" w:eastAsia="Calibri" w:hAnsi="Cambria" w:cs="Calibri"/>
          <w:spacing w:val="-1"/>
        </w:rPr>
        <w:t>I</w:t>
      </w:r>
      <w:r w:rsidRPr="009A0DA6">
        <w:rPr>
          <w:rFonts w:ascii="Cambria" w:eastAsia="Calibri" w:hAnsi="Cambria" w:cs="Calibri"/>
        </w:rPr>
        <w:t xml:space="preserve">I </w:t>
      </w:r>
      <w:r w:rsidRPr="009A0DA6">
        <w:rPr>
          <w:rFonts w:ascii="Cambria" w:eastAsia="Calibri" w:hAnsi="Cambria" w:cs="Calibri"/>
          <w:spacing w:val="-1"/>
        </w:rPr>
        <w:t>d</w:t>
      </w:r>
      <w:r w:rsidRPr="009A0DA6">
        <w:rPr>
          <w:rFonts w:ascii="Cambria" w:eastAsia="Calibri" w:hAnsi="Cambria" w:cs="Calibri"/>
        </w:rPr>
        <w:t>efi</w:t>
      </w:r>
      <w:r w:rsidRPr="009A0DA6">
        <w:rPr>
          <w:rFonts w:ascii="Cambria" w:eastAsia="Calibri" w:hAnsi="Cambria" w:cs="Calibri"/>
          <w:spacing w:val="-3"/>
        </w:rPr>
        <w:t>n</w:t>
      </w:r>
      <w:r w:rsidRPr="009A0DA6">
        <w:rPr>
          <w:rFonts w:ascii="Cambria" w:eastAsia="Calibri" w:hAnsi="Cambria" w:cs="Calibri"/>
          <w:spacing w:val="1"/>
        </w:rPr>
        <w:t>e</w:t>
      </w:r>
      <w:r w:rsidRPr="009A0DA6">
        <w:rPr>
          <w:rFonts w:ascii="Cambria" w:eastAsia="Calibri" w:hAnsi="Cambria" w:cs="Calibri"/>
        </w:rPr>
        <w:t xml:space="preserve">s </w:t>
      </w:r>
      <w:r w:rsidRPr="009A0DA6">
        <w:rPr>
          <w:rFonts w:ascii="Cambria" w:eastAsia="Calibri" w:hAnsi="Cambria" w:cs="Calibri"/>
          <w:spacing w:val="1"/>
        </w:rPr>
        <w:t>t</w:t>
      </w:r>
      <w:r w:rsidRPr="009A0DA6">
        <w:rPr>
          <w:rFonts w:ascii="Cambria" w:eastAsia="Calibri" w:hAnsi="Cambria" w:cs="Calibri"/>
          <w:spacing w:val="-3"/>
        </w:rPr>
        <w:t>h</w:t>
      </w:r>
      <w:r w:rsidRPr="009A0DA6">
        <w:rPr>
          <w:rFonts w:ascii="Cambria" w:eastAsia="Calibri" w:hAnsi="Cambria" w:cs="Calibri"/>
        </w:rPr>
        <w:t>e ch</w:t>
      </w:r>
      <w:r w:rsidRPr="009A0DA6">
        <w:rPr>
          <w:rFonts w:ascii="Cambria" w:eastAsia="Calibri" w:hAnsi="Cambria" w:cs="Calibri"/>
          <w:spacing w:val="-1"/>
        </w:rPr>
        <w:t>u</w:t>
      </w:r>
      <w:r w:rsidRPr="009A0DA6">
        <w:rPr>
          <w:rFonts w:ascii="Cambria" w:eastAsia="Calibri" w:hAnsi="Cambria" w:cs="Calibri"/>
        </w:rPr>
        <w:t>rch</w:t>
      </w:r>
      <w:r w:rsidRPr="009A0DA6">
        <w:rPr>
          <w:rFonts w:ascii="Cambria" w:eastAsia="Calibri" w:hAnsi="Cambria" w:cs="Calibri"/>
          <w:spacing w:val="-1"/>
        </w:rPr>
        <w:t xml:space="preserve"> </w:t>
      </w:r>
      <w:r w:rsidRPr="009A0DA6">
        <w:rPr>
          <w:rFonts w:ascii="Cambria" w:eastAsia="Calibri" w:hAnsi="Cambria" w:cs="Calibri"/>
        </w:rPr>
        <w:t>as</w:t>
      </w:r>
      <w:r w:rsidRPr="009A0DA6">
        <w:rPr>
          <w:rFonts w:ascii="Cambria" w:eastAsia="Calibri" w:hAnsi="Cambria" w:cs="Calibri"/>
          <w:spacing w:val="1"/>
        </w:rPr>
        <w:t xml:space="preserve"> </w:t>
      </w:r>
      <w:r w:rsidRPr="009A0DA6">
        <w:rPr>
          <w:rFonts w:ascii="Cambria" w:eastAsia="Calibri" w:hAnsi="Cambria" w:cs="Calibri"/>
        </w:rPr>
        <w:t>the</w:t>
      </w:r>
      <w:r w:rsidRPr="009A0DA6">
        <w:rPr>
          <w:rFonts w:ascii="Cambria" w:eastAsia="Calibri" w:hAnsi="Cambria" w:cs="Calibri"/>
          <w:spacing w:val="-2"/>
        </w:rPr>
        <w:t xml:space="preserve"> </w:t>
      </w:r>
      <w:r w:rsidRPr="009A0DA6">
        <w:rPr>
          <w:rFonts w:ascii="Cambria" w:eastAsia="Calibri" w:hAnsi="Cambria" w:cs="Calibri"/>
        </w:rPr>
        <w:t>ass</w:t>
      </w:r>
      <w:r w:rsidRPr="009A0DA6">
        <w:rPr>
          <w:rFonts w:ascii="Cambria" w:eastAsia="Calibri" w:hAnsi="Cambria" w:cs="Calibri"/>
          <w:spacing w:val="-1"/>
        </w:rPr>
        <w:t>e</w:t>
      </w:r>
      <w:r w:rsidRPr="009A0DA6">
        <w:rPr>
          <w:rFonts w:ascii="Cambria" w:eastAsia="Calibri" w:hAnsi="Cambria" w:cs="Calibri"/>
          <w:spacing w:val="1"/>
        </w:rPr>
        <w:t>m</w:t>
      </w:r>
      <w:r w:rsidRPr="009A0DA6">
        <w:rPr>
          <w:rFonts w:ascii="Cambria" w:eastAsia="Calibri" w:hAnsi="Cambria" w:cs="Calibri"/>
          <w:spacing w:val="-1"/>
        </w:rPr>
        <w:t>b</w:t>
      </w:r>
      <w:r w:rsidRPr="009A0DA6">
        <w:rPr>
          <w:rFonts w:ascii="Cambria" w:eastAsia="Calibri" w:hAnsi="Cambria" w:cs="Calibri"/>
        </w:rPr>
        <w:t>ly</w:t>
      </w:r>
      <w:r w:rsidRPr="009A0DA6">
        <w:rPr>
          <w:rFonts w:ascii="Cambria" w:eastAsia="Calibri" w:hAnsi="Cambria" w:cs="Calibri"/>
          <w:spacing w:val="-2"/>
        </w:rPr>
        <w:t xml:space="preserve"> </w:t>
      </w:r>
      <w:r w:rsidRPr="009A0DA6">
        <w:rPr>
          <w:rFonts w:ascii="Cambria" w:eastAsia="Calibri" w:hAnsi="Cambria" w:cs="Calibri"/>
          <w:spacing w:val="1"/>
        </w:rPr>
        <w:t>o</w:t>
      </w:r>
      <w:r w:rsidRPr="009A0DA6">
        <w:rPr>
          <w:rFonts w:ascii="Cambria" w:eastAsia="Calibri" w:hAnsi="Cambria" w:cs="Calibri"/>
        </w:rPr>
        <w:t>f</w:t>
      </w:r>
      <w:r w:rsidRPr="009A0DA6">
        <w:rPr>
          <w:rFonts w:ascii="Cambria" w:eastAsia="Calibri" w:hAnsi="Cambria" w:cs="Calibri"/>
          <w:spacing w:val="-4"/>
        </w:rPr>
        <w:t xml:space="preserve"> </w:t>
      </w:r>
      <w:r w:rsidRPr="009A0DA6">
        <w:rPr>
          <w:rFonts w:ascii="Cambria" w:eastAsia="Calibri" w:hAnsi="Cambria" w:cs="Calibri"/>
          <w:spacing w:val="-1"/>
        </w:rPr>
        <w:t>b</w:t>
      </w:r>
      <w:r w:rsidRPr="009A0DA6">
        <w:rPr>
          <w:rFonts w:ascii="Cambria" w:eastAsia="Calibri" w:hAnsi="Cambria" w:cs="Calibri"/>
        </w:rPr>
        <w:t>elie</w:t>
      </w:r>
      <w:r w:rsidRPr="009A0DA6">
        <w:rPr>
          <w:rFonts w:ascii="Cambria" w:eastAsia="Calibri" w:hAnsi="Cambria" w:cs="Calibri"/>
          <w:spacing w:val="-1"/>
        </w:rPr>
        <w:t>v</w:t>
      </w:r>
      <w:r w:rsidRPr="009A0DA6">
        <w:rPr>
          <w:rFonts w:ascii="Cambria" w:eastAsia="Calibri" w:hAnsi="Cambria" w:cs="Calibri"/>
        </w:rPr>
        <w:t>ers</w:t>
      </w:r>
      <w:r w:rsidRPr="009A0DA6">
        <w:rPr>
          <w:rFonts w:ascii="Cambria" w:eastAsia="Calibri" w:hAnsi="Cambria" w:cs="Calibri"/>
          <w:spacing w:val="1"/>
        </w:rPr>
        <w:t xml:space="preserve"> </w:t>
      </w:r>
      <w:r w:rsidRPr="009A0DA6">
        <w:rPr>
          <w:rFonts w:ascii="Cambria" w:eastAsia="Calibri" w:hAnsi="Cambria" w:cs="Calibri"/>
          <w:spacing w:val="-1"/>
        </w:rPr>
        <w:t>g</w:t>
      </w:r>
      <w:r w:rsidRPr="009A0DA6">
        <w:rPr>
          <w:rFonts w:ascii="Cambria" w:eastAsia="Calibri" w:hAnsi="Cambria" w:cs="Calibri"/>
        </w:rPr>
        <w:t>athe</w:t>
      </w:r>
      <w:r w:rsidRPr="009A0DA6">
        <w:rPr>
          <w:rFonts w:ascii="Cambria" w:eastAsia="Calibri" w:hAnsi="Cambria" w:cs="Calibri"/>
          <w:spacing w:val="-3"/>
        </w:rPr>
        <w:t>r</w:t>
      </w:r>
      <w:r w:rsidRPr="009A0DA6">
        <w:rPr>
          <w:rFonts w:ascii="Cambria" w:eastAsia="Calibri" w:hAnsi="Cambria" w:cs="Calibri"/>
        </w:rPr>
        <w:t>ed a</w:t>
      </w:r>
      <w:r w:rsidRPr="009A0DA6">
        <w:rPr>
          <w:rFonts w:ascii="Cambria" w:eastAsia="Calibri" w:hAnsi="Cambria" w:cs="Calibri"/>
          <w:spacing w:val="-3"/>
        </w:rPr>
        <w:t>r</w:t>
      </w:r>
      <w:r w:rsidRPr="009A0DA6">
        <w:rPr>
          <w:rFonts w:ascii="Cambria" w:eastAsia="Calibri" w:hAnsi="Cambria" w:cs="Calibri"/>
          <w:spacing w:val="1"/>
        </w:rPr>
        <w:t>o</w:t>
      </w:r>
      <w:r w:rsidRPr="009A0DA6">
        <w:rPr>
          <w:rFonts w:ascii="Cambria" w:eastAsia="Calibri" w:hAnsi="Cambria" w:cs="Calibri"/>
          <w:spacing w:val="-1"/>
        </w:rPr>
        <w:t>un</w:t>
      </w:r>
      <w:r w:rsidRPr="009A0DA6">
        <w:rPr>
          <w:rFonts w:ascii="Cambria" w:eastAsia="Calibri" w:hAnsi="Cambria" w:cs="Calibri"/>
        </w:rPr>
        <w:t>d</w:t>
      </w:r>
      <w:r w:rsidRPr="009A0DA6">
        <w:rPr>
          <w:rFonts w:ascii="Cambria" w:eastAsia="Calibri" w:hAnsi="Cambria" w:cs="Calibri"/>
          <w:spacing w:val="-3"/>
        </w:rPr>
        <w:t xml:space="preserve"> </w:t>
      </w:r>
      <w:r w:rsidRPr="009A0DA6">
        <w:rPr>
          <w:rFonts w:ascii="Cambria" w:eastAsia="Calibri" w:hAnsi="Cambria" w:cs="Calibri"/>
        </w:rPr>
        <w:t>the</w:t>
      </w:r>
      <w:r w:rsidRPr="009A0DA6">
        <w:rPr>
          <w:rFonts w:ascii="Cambria" w:eastAsia="Calibri" w:hAnsi="Cambria" w:cs="Calibri"/>
          <w:spacing w:val="-2"/>
        </w:rPr>
        <w:t xml:space="preserve"> </w:t>
      </w:r>
      <w:r w:rsidRPr="009A0DA6">
        <w:rPr>
          <w:rFonts w:ascii="Cambria" w:eastAsia="Calibri" w:hAnsi="Cambria" w:cs="Calibri"/>
          <w:spacing w:val="1"/>
        </w:rPr>
        <w:t>m</w:t>
      </w:r>
      <w:r w:rsidRPr="009A0DA6">
        <w:rPr>
          <w:rFonts w:ascii="Cambria" w:eastAsia="Calibri" w:hAnsi="Cambria" w:cs="Calibri"/>
        </w:rPr>
        <w:t>eans</w:t>
      </w:r>
      <w:r w:rsidRPr="009A0DA6">
        <w:rPr>
          <w:rFonts w:ascii="Cambria" w:eastAsia="Calibri" w:hAnsi="Cambria" w:cs="Calibri"/>
          <w:spacing w:val="-2"/>
        </w:rPr>
        <w:t xml:space="preserve"> </w:t>
      </w:r>
      <w:r w:rsidRPr="009A0DA6">
        <w:rPr>
          <w:rFonts w:ascii="Cambria" w:eastAsia="Calibri" w:hAnsi="Cambria" w:cs="Calibri"/>
          <w:spacing w:val="1"/>
        </w:rPr>
        <w:t>o</w:t>
      </w:r>
      <w:r w:rsidRPr="009A0DA6">
        <w:rPr>
          <w:rFonts w:ascii="Cambria" w:eastAsia="Calibri" w:hAnsi="Cambria" w:cs="Calibri"/>
        </w:rPr>
        <w:t>f g</w:t>
      </w:r>
      <w:r w:rsidRPr="009A0DA6">
        <w:rPr>
          <w:rFonts w:ascii="Cambria" w:eastAsia="Calibri" w:hAnsi="Cambria" w:cs="Calibri"/>
          <w:spacing w:val="-1"/>
        </w:rPr>
        <w:t>r</w:t>
      </w:r>
      <w:r w:rsidRPr="009A0DA6">
        <w:rPr>
          <w:rFonts w:ascii="Cambria" w:eastAsia="Calibri" w:hAnsi="Cambria" w:cs="Calibri"/>
        </w:rPr>
        <w:t>a</w:t>
      </w:r>
      <w:r w:rsidRPr="009A0DA6">
        <w:rPr>
          <w:rFonts w:ascii="Cambria" w:eastAsia="Calibri" w:hAnsi="Cambria" w:cs="Calibri"/>
          <w:spacing w:val="-2"/>
        </w:rPr>
        <w:t>c</w:t>
      </w:r>
      <w:r w:rsidRPr="009A0DA6">
        <w:rPr>
          <w:rFonts w:ascii="Cambria" w:eastAsia="Calibri" w:hAnsi="Cambria" w:cs="Calibri"/>
        </w:rPr>
        <w:t>e. It</w:t>
      </w:r>
      <w:r w:rsidRPr="009A0DA6">
        <w:rPr>
          <w:rFonts w:ascii="Cambria" w:eastAsia="Calibri" w:hAnsi="Cambria" w:cs="Calibri"/>
          <w:spacing w:val="-1"/>
        </w:rPr>
        <w:t xml:space="preserve"> </w:t>
      </w:r>
      <w:r w:rsidRPr="009A0DA6">
        <w:rPr>
          <w:rFonts w:ascii="Cambria" w:eastAsia="Calibri" w:hAnsi="Cambria" w:cs="Calibri"/>
        </w:rPr>
        <w:t>then</w:t>
      </w:r>
      <w:r w:rsidRPr="009A0DA6">
        <w:rPr>
          <w:rFonts w:ascii="Cambria" w:eastAsia="Calibri" w:hAnsi="Cambria" w:cs="Calibri"/>
          <w:spacing w:val="-3"/>
        </w:rPr>
        <w:t xml:space="preserve"> </w:t>
      </w:r>
      <w:r w:rsidRPr="009A0DA6">
        <w:rPr>
          <w:rFonts w:ascii="Cambria" w:eastAsia="Calibri" w:hAnsi="Cambria" w:cs="Calibri"/>
        </w:rPr>
        <w:t>defi</w:t>
      </w:r>
      <w:r w:rsidRPr="009A0DA6">
        <w:rPr>
          <w:rFonts w:ascii="Cambria" w:eastAsia="Calibri" w:hAnsi="Cambria" w:cs="Calibri"/>
          <w:spacing w:val="-1"/>
        </w:rPr>
        <w:t>n</w:t>
      </w:r>
      <w:r w:rsidRPr="009A0DA6">
        <w:rPr>
          <w:rFonts w:ascii="Cambria" w:eastAsia="Calibri" w:hAnsi="Cambria" w:cs="Calibri"/>
        </w:rPr>
        <w:t>es</w:t>
      </w:r>
      <w:r w:rsidRPr="009A0DA6">
        <w:rPr>
          <w:rFonts w:ascii="Cambria" w:eastAsia="Calibri" w:hAnsi="Cambria" w:cs="Calibri"/>
          <w:spacing w:val="1"/>
        </w:rPr>
        <w:t xml:space="preserve"> </w:t>
      </w:r>
      <w:r w:rsidRPr="009A0DA6">
        <w:rPr>
          <w:rFonts w:ascii="Cambria" w:eastAsia="Calibri" w:hAnsi="Cambria" w:cs="Calibri"/>
        </w:rPr>
        <w:t>t</w:t>
      </w:r>
      <w:r w:rsidRPr="009A0DA6">
        <w:rPr>
          <w:rFonts w:ascii="Cambria" w:eastAsia="Calibri" w:hAnsi="Cambria" w:cs="Calibri"/>
          <w:spacing w:val="-3"/>
        </w:rPr>
        <w:t>h</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spacing w:val="-1"/>
        </w:rPr>
        <w:t>un</w:t>
      </w:r>
      <w:r w:rsidRPr="009A0DA6">
        <w:rPr>
          <w:rFonts w:ascii="Cambria" w:eastAsia="Calibri" w:hAnsi="Cambria" w:cs="Calibri"/>
        </w:rPr>
        <w:t>ity</w:t>
      </w:r>
      <w:r w:rsidRPr="009A0DA6">
        <w:rPr>
          <w:rFonts w:ascii="Cambria" w:eastAsia="Calibri" w:hAnsi="Cambria" w:cs="Calibri"/>
          <w:spacing w:val="-1"/>
        </w:rPr>
        <w:t xml:space="preserve"> </w:t>
      </w:r>
      <w:r w:rsidRPr="009A0DA6">
        <w:rPr>
          <w:rFonts w:ascii="Cambria" w:eastAsia="Calibri" w:hAnsi="Cambria" w:cs="Calibri"/>
          <w:spacing w:val="1"/>
        </w:rPr>
        <w:t>o</w:t>
      </w:r>
      <w:r w:rsidRPr="009A0DA6">
        <w:rPr>
          <w:rFonts w:ascii="Cambria" w:eastAsia="Calibri" w:hAnsi="Cambria" w:cs="Calibri"/>
        </w:rPr>
        <w:t>f</w:t>
      </w:r>
      <w:r w:rsidRPr="009A0DA6">
        <w:rPr>
          <w:rFonts w:ascii="Cambria" w:eastAsia="Calibri" w:hAnsi="Cambria" w:cs="Calibri"/>
          <w:spacing w:val="-3"/>
        </w:rPr>
        <w:t xml:space="preserve">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rPr>
        <w:t>ch</w:t>
      </w:r>
      <w:r w:rsidRPr="009A0DA6">
        <w:rPr>
          <w:rFonts w:ascii="Cambria" w:eastAsia="Calibri" w:hAnsi="Cambria" w:cs="Calibri"/>
          <w:spacing w:val="-1"/>
        </w:rPr>
        <w:t>u</w:t>
      </w:r>
      <w:r w:rsidRPr="009A0DA6">
        <w:rPr>
          <w:rFonts w:ascii="Cambria" w:eastAsia="Calibri" w:hAnsi="Cambria" w:cs="Calibri"/>
        </w:rPr>
        <w:t>rch in</w:t>
      </w:r>
      <w:r w:rsidRPr="009A0DA6">
        <w:rPr>
          <w:rFonts w:ascii="Cambria" w:eastAsia="Calibri" w:hAnsi="Cambria" w:cs="Calibri"/>
          <w:spacing w:val="-1"/>
        </w:rPr>
        <w:t xml:space="preserve"> </w:t>
      </w:r>
      <w:r w:rsidRPr="009A0DA6">
        <w:rPr>
          <w:rFonts w:ascii="Cambria" w:eastAsia="Calibri" w:hAnsi="Cambria" w:cs="Calibri"/>
          <w:spacing w:val="1"/>
        </w:rPr>
        <w:t>t</w:t>
      </w:r>
      <w:r w:rsidRPr="009A0DA6">
        <w:rPr>
          <w:rFonts w:ascii="Cambria" w:eastAsia="Calibri" w:hAnsi="Cambria" w:cs="Calibri"/>
        </w:rPr>
        <w:t>e</w:t>
      </w:r>
      <w:r w:rsidRPr="009A0DA6">
        <w:rPr>
          <w:rFonts w:ascii="Cambria" w:eastAsia="Calibri" w:hAnsi="Cambria" w:cs="Calibri"/>
          <w:spacing w:val="-2"/>
        </w:rPr>
        <w:t>r</w:t>
      </w:r>
      <w:r w:rsidRPr="009A0DA6">
        <w:rPr>
          <w:rFonts w:ascii="Cambria" w:eastAsia="Calibri" w:hAnsi="Cambria" w:cs="Calibri"/>
          <w:spacing w:val="1"/>
        </w:rPr>
        <w:t>m</w:t>
      </w:r>
      <w:r w:rsidRPr="009A0DA6">
        <w:rPr>
          <w:rFonts w:ascii="Cambria" w:eastAsia="Calibri" w:hAnsi="Cambria" w:cs="Calibri"/>
        </w:rPr>
        <w:t>s</w:t>
      </w:r>
      <w:r w:rsidRPr="009A0DA6">
        <w:rPr>
          <w:rFonts w:ascii="Cambria" w:eastAsia="Calibri" w:hAnsi="Cambria" w:cs="Calibri"/>
          <w:spacing w:val="-2"/>
        </w:rPr>
        <w:t xml:space="preserve"> </w:t>
      </w:r>
      <w:r w:rsidRPr="009A0DA6">
        <w:rPr>
          <w:rFonts w:ascii="Cambria" w:eastAsia="Calibri" w:hAnsi="Cambria" w:cs="Calibri"/>
          <w:spacing w:val="1"/>
        </w:rPr>
        <w:t>o</w:t>
      </w:r>
      <w:r w:rsidRPr="009A0DA6">
        <w:rPr>
          <w:rFonts w:ascii="Cambria" w:eastAsia="Calibri" w:hAnsi="Cambria" w:cs="Calibri"/>
        </w:rPr>
        <w:t xml:space="preserve">f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is</w:t>
      </w:r>
      <w:r w:rsidRPr="009A0DA6">
        <w:rPr>
          <w:rFonts w:ascii="Cambria" w:eastAsia="Calibri" w:hAnsi="Cambria" w:cs="Calibri"/>
          <w:spacing w:val="-2"/>
        </w:rPr>
        <w:t xml:space="preserve"> </w:t>
      </w:r>
      <w:r w:rsidRPr="009A0DA6">
        <w:rPr>
          <w:rFonts w:ascii="Cambria" w:eastAsia="Calibri" w:hAnsi="Cambria" w:cs="Calibri"/>
        </w:rPr>
        <w:t>c</w:t>
      </w:r>
      <w:r w:rsidRPr="009A0DA6">
        <w:rPr>
          <w:rFonts w:ascii="Cambria" w:eastAsia="Calibri" w:hAnsi="Cambria" w:cs="Calibri"/>
          <w:spacing w:val="-1"/>
        </w:rPr>
        <w:t>omm</w:t>
      </w:r>
      <w:r w:rsidRPr="009A0DA6">
        <w:rPr>
          <w:rFonts w:ascii="Cambria" w:eastAsia="Calibri" w:hAnsi="Cambria" w:cs="Calibri"/>
          <w:spacing w:val="1"/>
        </w:rPr>
        <w:t>o</w:t>
      </w:r>
      <w:r w:rsidRPr="009A0DA6">
        <w:rPr>
          <w:rFonts w:ascii="Cambria" w:eastAsia="Calibri" w:hAnsi="Cambria" w:cs="Calibri"/>
        </w:rPr>
        <w:t>n</w:t>
      </w:r>
      <w:r w:rsidRPr="009A0DA6">
        <w:rPr>
          <w:rFonts w:ascii="Cambria" w:eastAsia="Calibri" w:hAnsi="Cambria" w:cs="Calibri"/>
          <w:spacing w:val="-1"/>
        </w:rPr>
        <w:t xml:space="preserve"> </w:t>
      </w:r>
      <w:r w:rsidRPr="009A0DA6">
        <w:rPr>
          <w:rFonts w:ascii="Cambria" w:eastAsia="Calibri" w:hAnsi="Cambria" w:cs="Calibri"/>
        </w:rPr>
        <w:t>r</w:t>
      </w:r>
      <w:r w:rsidRPr="009A0DA6">
        <w:rPr>
          <w:rFonts w:ascii="Cambria" w:eastAsia="Calibri" w:hAnsi="Cambria" w:cs="Calibri"/>
          <w:spacing w:val="-2"/>
        </w:rPr>
        <w:t>e</w:t>
      </w:r>
      <w:r w:rsidRPr="009A0DA6">
        <w:rPr>
          <w:rFonts w:ascii="Cambria" w:eastAsia="Calibri" w:hAnsi="Cambria" w:cs="Calibri"/>
        </w:rPr>
        <w:t>cepti</w:t>
      </w:r>
      <w:r w:rsidRPr="009A0DA6">
        <w:rPr>
          <w:rFonts w:ascii="Cambria" w:eastAsia="Calibri" w:hAnsi="Cambria" w:cs="Calibri"/>
          <w:spacing w:val="1"/>
        </w:rPr>
        <w:t>o</w:t>
      </w:r>
      <w:r w:rsidRPr="009A0DA6">
        <w:rPr>
          <w:rFonts w:ascii="Cambria" w:eastAsia="Calibri" w:hAnsi="Cambria" w:cs="Calibri"/>
        </w:rPr>
        <w:t>n</w:t>
      </w:r>
      <w:r w:rsidRPr="009A0DA6">
        <w:rPr>
          <w:rFonts w:ascii="Cambria" w:eastAsia="Calibri" w:hAnsi="Cambria" w:cs="Calibri"/>
          <w:spacing w:val="-3"/>
        </w:rPr>
        <w:t xml:space="preserve"> </w:t>
      </w:r>
      <w:r w:rsidRPr="009A0DA6">
        <w:rPr>
          <w:rFonts w:ascii="Cambria" w:eastAsia="Calibri" w:hAnsi="Cambria" w:cs="Calibri"/>
          <w:spacing w:val="1"/>
        </w:rPr>
        <w:t>o</w:t>
      </w:r>
      <w:r w:rsidRPr="009A0DA6">
        <w:rPr>
          <w:rFonts w:ascii="Cambria" w:eastAsia="Calibri" w:hAnsi="Cambria" w:cs="Calibri"/>
        </w:rPr>
        <w:t>f</w:t>
      </w:r>
      <w:r w:rsidRPr="009A0DA6">
        <w:rPr>
          <w:rFonts w:ascii="Cambria" w:eastAsia="Calibri" w:hAnsi="Cambria" w:cs="Calibri"/>
          <w:spacing w:val="-2"/>
        </w:rPr>
        <w:t xml:space="preserve"> </w:t>
      </w:r>
      <w:r w:rsidRPr="009A0DA6">
        <w:rPr>
          <w:rFonts w:ascii="Cambria" w:eastAsia="Calibri" w:hAnsi="Cambria" w:cs="Calibri"/>
        </w:rPr>
        <w:t>the</w:t>
      </w:r>
      <w:r w:rsidRPr="009A0DA6">
        <w:rPr>
          <w:rFonts w:ascii="Cambria" w:eastAsia="Calibri" w:hAnsi="Cambria" w:cs="Calibri"/>
          <w:spacing w:val="-2"/>
        </w:rPr>
        <w:t xml:space="preserve"> </w:t>
      </w:r>
      <w:r w:rsidRPr="009A0DA6">
        <w:rPr>
          <w:rFonts w:ascii="Cambria" w:eastAsia="Calibri" w:hAnsi="Cambria" w:cs="Calibri"/>
          <w:spacing w:val="1"/>
        </w:rPr>
        <w:t>m</w:t>
      </w:r>
      <w:r w:rsidRPr="009A0DA6">
        <w:rPr>
          <w:rFonts w:ascii="Cambria" w:eastAsia="Calibri" w:hAnsi="Cambria" w:cs="Calibri"/>
        </w:rPr>
        <w:t>eans</w:t>
      </w:r>
      <w:r w:rsidRPr="009A0DA6">
        <w:rPr>
          <w:rFonts w:ascii="Cambria" w:eastAsia="Calibri" w:hAnsi="Cambria" w:cs="Calibri"/>
          <w:spacing w:val="-3"/>
        </w:rPr>
        <w:t xml:space="preserve"> </w:t>
      </w:r>
      <w:r w:rsidRPr="009A0DA6">
        <w:rPr>
          <w:rFonts w:ascii="Cambria" w:eastAsia="Calibri" w:hAnsi="Cambria" w:cs="Calibri"/>
          <w:spacing w:val="1"/>
        </w:rPr>
        <w:t>o</w:t>
      </w:r>
      <w:r w:rsidRPr="009A0DA6">
        <w:rPr>
          <w:rFonts w:ascii="Cambria" w:eastAsia="Calibri" w:hAnsi="Cambria" w:cs="Calibri"/>
        </w:rPr>
        <w:t>f</w:t>
      </w:r>
      <w:r w:rsidRPr="009A0DA6">
        <w:rPr>
          <w:rFonts w:ascii="Cambria" w:eastAsia="Calibri" w:hAnsi="Cambria" w:cs="Calibri"/>
          <w:spacing w:val="-3"/>
        </w:rPr>
        <w:t xml:space="preserve"> </w:t>
      </w:r>
      <w:r w:rsidRPr="009A0DA6">
        <w:rPr>
          <w:rFonts w:ascii="Cambria" w:eastAsia="Calibri" w:hAnsi="Cambria" w:cs="Calibri"/>
        </w:rPr>
        <w:t>g</w:t>
      </w:r>
      <w:r w:rsidRPr="009A0DA6">
        <w:rPr>
          <w:rFonts w:ascii="Cambria" w:eastAsia="Calibri" w:hAnsi="Cambria" w:cs="Calibri"/>
          <w:spacing w:val="-3"/>
        </w:rPr>
        <w:t>r</w:t>
      </w:r>
      <w:r w:rsidRPr="009A0DA6">
        <w:rPr>
          <w:rFonts w:ascii="Cambria" w:eastAsia="Calibri" w:hAnsi="Cambria" w:cs="Calibri"/>
        </w:rPr>
        <w:t>ace,</w:t>
      </w:r>
      <w:r w:rsidRPr="009A0DA6">
        <w:rPr>
          <w:rFonts w:ascii="Cambria" w:eastAsia="Calibri" w:hAnsi="Cambria" w:cs="Calibri"/>
          <w:spacing w:val="1"/>
        </w:rPr>
        <w:t xml:space="preserve"> </w:t>
      </w:r>
      <w:r w:rsidRPr="009A0DA6">
        <w:rPr>
          <w:rFonts w:ascii="Cambria" w:eastAsia="Calibri" w:hAnsi="Cambria" w:cs="Calibri"/>
        </w:rPr>
        <w:t>a</w:t>
      </w:r>
      <w:r w:rsidRPr="009A0DA6">
        <w:rPr>
          <w:rFonts w:ascii="Cambria" w:eastAsia="Calibri" w:hAnsi="Cambria" w:cs="Calibri"/>
          <w:spacing w:val="-1"/>
        </w:rPr>
        <w:t>n</w:t>
      </w:r>
      <w:r w:rsidRPr="009A0DA6">
        <w:rPr>
          <w:rFonts w:ascii="Cambria" w:eastAsia="Calibri" w:hAnsi="Cambria" w:cs="Calibri"/>
        </w:rPr>
        <w:t>d</w:t>
      </w:r>
      <w:r w:rsidRPr="009A0DA6">
        <w:rPr>
          <w:rFonts w:ascii="Cambria" w:eastAsia="Calibri" w:hAnsi="Cambria" w:cs="Calibri"/>
          <w:spacing w:val="-1"/>
        </w:rPr>
        <w:t xml:space="preserve"> </w:t>
      </w:r>
      <w:r w:rsidRPr="009A0DA6">
        <w:rPr>
          <w:rFonts w:ascii="Cambria" w:eastAsia="Calibri" w:hAnsi="Cambria" w:cs="Calibri"/>
          <w:spacing w:val="-3"/>
        </w:rPr>
        <w:t>n</w:t>
      </w:r>
      <w:r w:rsidRPr="009A0DA6">
        <w:rPr>
          <w:rFonts w:ascii="Cambria" w:eastAsia="Calibri" w:hAnsi="Cambria" w:cs="Calibri"/>
          <w:spacing w:val="1"/>
        </w:rPr>
        <w:t>o</w:t>
      </w:r>
      <w:r w:rsidRPr="009A0DA6">
        <w:rPr>
          <w:rFonts w:ascii="Cambria" w:eastAsia="Calibri" w:hAnsi="Cambria" w:cs="Calibri"/>
        </w:rPr>
        <w:t>t</w:t>
      </w:r>
      <w:r w:rsidRPr="009A0DA6">
        <w:rPr>
          <w:rFonts w:ascii="Cambria" w:eastAsia="Calibri" w:hAnsi="Cambria" w:cs="Calibri"/>
          <w:spacing w:val="1"/>
        </w:rPr>
        <w:t xml:space="preserve"> </w:t>
      </w:r>
      <w:r w:rsidRPr="009A0DA6">
        <w:rPr>
          <w:rFonts w:ascii="Cambria" w:eastAsia="Calibri" w:hAnsi="Cambria" w:cs="Calibri"/>
        </w:rPr>
        <w:t>in</w:t>
      </w:r>
      <w:r w:rsidRPr="009A0DA6">
        <w:rPr>
          <w:rFonts w:ascii="Cambria" w:eastAsia="Calibri" w:hAnsi="Cambria" w:cs="Calibri"/>
          <w:spacing w:val="-3"/>
        </w:rPr>
        <w:t xml:space="preserve"> </w:t>
      </w:r>
      <w:r w:rsidRPr="009A0DA6">
        <w:rPr>
          <w:rFonts w:ascii="Cambria" w:eastAsia="Calibri" w:hAnsi="Cambria" w:cs="Calibri"/>
        </w:rPr>
        <w:t>t</w:t>
      </w:r>
      <w:r w:rsidRPr="009A0DA6">
        <w:rPr>
          <w:rFonts w:ascii="Cambria" w:eastAsia="Calibri" w:hAnsi="Cambria" w:cs="Calibri"/>
          <w:spacing w:val="1"/>
        </w:rPr>
        <w:t>e</w:t>
      </w:r>
      <w:r w:rsidRPr="009A0DA6">
        <w:rPr>
          <w:rFonts w:ascii="Cambria" w:eastAsia="Calibri" w:hAnsi="Cambria" w:cs="Calibri"/>
          <w:spacing w:val="-3"/>
        </w:rPr>
        <w:t>r</w:t>
      </w:r>
      <w:r w:rsidRPr="009A0DA6">
        <w:rPr>
          <w:rFonts w:ascii="Cambria" w:eastAsia="Calibri" w:hAnsi="Cambria" w:cs="Calibri"/>
          <w:spacing w:val="1"/>
        </w:rPr>
        <w:t>m</w:t>
      </w:r>
      <w:r w:rsidRPr="009A0DA6">
        <w:rPr>
          <w:rFonts w:ascii="Cambria" w:eastAsia="Calibri" w:hAnsi="Cambria" w:cs="Calibri"/>
        </w:rPr>
        <w:t>s</w:t>
      </w:r>
      <w:r w:rsidRPr="009A0DA6">
        <w:rPr>
          <w:rFonts w:ascii="Cambria" w:eastAsia="Calibri" w:hAnsi="Cambria" w:cs="Calibri"/>
          <w:spacing w:val="-2"/>
        </w:rPr>
        <w:t xml:space="preserve"> </w:t>
      </w:r>
      <w:r w:rsidRPr="009A0DA6">
        <w:rPr>
          <w:rFonts w:ascii="Cambria" w:eastAsia="Calibri" w:hAnsi="Cambria" w:cs="Calibri"/>
          <w:spacing w:val="1"/>
        </w:rPr>
        <w:t>o</w:t>
      </w:r>
      <w:r w:rsidRPr="009A0DA6">
        <w:rPr>
          <w:rFonts w:ascii="Cambria" w:eastAsia="Calibri" w:hAnsi="Cambria" w:cs="Calibri"/>
        </w:rPr>
        <w:t>f a</w:t>
      </w:r>
      <w:r w:rsidRPr="009A0DA6">
        <w:rPr>
          <w:rFonts w:ascii="Cambria" w:eastAsia="Calibri" w:hAnsi="Cambria" w:cs="Calibri"/>
          <w:spacing w:val="-3"/>
        </w:rPr>
        <w:t>n</w:t>
      </w:r>
      <w:r w:rsidRPr="009A0DA6">
        <w:rPr>
          <w:rFonts w:ascii="Cambria" w:eastAsia="Calibri" w:hAnsi="Cambria" w:cs="Calibri"/>
        </w:rPr>
        <w:t>y</w:t>
      </w:r>
      <w:r w:rsidRPr="009A0DA6">
        <w:rPr>
          <w:rFonts w:ascii="Cambria" w:eastAsia="Calibri" w:hAnsi="Cambria" w:cs="Calibri"/>
          <w:spacing w:val="1"/>
        </w:rPr>
        <w:t xml:space="preserve"> </w:t>
      </w:r>
      <w:r w:rsidRPr="009A0DA6">
        <w:rPr>
          <w:rFonts w:ascii="Cambria" w:eastAsia="Calibri" w:hAnsi="Cambria" w:cs="Calibri"/>
        </w:rPr>
        <w:t>instit</w:t>
      </w:r>
      <w:r w:rsidRPr="009A0DA6">
        <w:rPr>
          <w:rFonts w:ascii="Cambria" w:eastAsia="Calibri" w:hAnsi="Cambria" w:cs="Calibri"/>
          <w:spacing w:val="-1"/>
        </w:rPr>
        <w:t>u</w:t>
      </w:r>
      <w:r w:rsidRPr="009A0DA6">
        <w:rPr>
          <w:rFonts w:ascii="Cambria" w:eastAsia="Calibri" w:hAnsi="Cambria" w:cs="Calibri"/>
        </w:rPr>
        <w:t>t</w:t>
      </w:r>
      <w:r w:rsidRPr="009A0DA6">
        <w:rPr>
          <w:rFonts w:ascii="Cambria" w:eastAsia="Calibri" w:hAnsi="Cambria" w:cs="Calibri"/>
          <w:spacing w:val="-2"/>
        </w:rPr>
        <w:t>i</w:t>
      </w:r>
      <w:r w:rsidRPr="009A0DA6">
        <w:rPr>
          <w:rFonts w:ascii="Cambria" w:eastAsia="Calibri" w:hAnsi="Cambria" w:cs="Calibri"/>
          <w:spacing w:val="1"/>
        </w:rPr>
        <w:t>o</w:t>
      </w:r>
      <w:r w:rsidRPr="009A0DA6">
        <w:rPr>
          <w:rFonts w:ascii="Cambria" w:eastAsia="Calibri" w:hAnsi="Cambria" w:cs="Calibri"/>
          <w:spacing w:val="-1"/>
        </w:rPr>
        <w:t>n</w:t>
      </w:r>
      <w:r w:rsidRPr="009A0DA6">
        <w:rPr>
          <w:rFonts w:ascii="Cambria" w:eastAsia="Calibri" w:hAnsi="Cambria" w:cs="Calibri"/>
        </w:rPr>
        <w:t xml:space="preserve">al </w:t>
      </w:r>
      <w:r w:rsidRPr="009A0DA6">
        <w:rPr>
          <w:rFonts w:ascii="Cambria" w:eastAsia="Calibri" w:hAnsi="Cambria" w:cs="Calibri"/>
          <w:spacing w:val="-2"/>
        </w:rPr>
        <w:t>s</w:t>
      </w:r>
      <w:r w:rsidRPr="009A0DA6">
        <w:rPr>
          <w:rFonts w:ascii="Cambria" w:eastAsia="Calibri" w:hAnsi="Cambria" w:cs="Calibri"/>
        </w:rPr>
        <w:t>tructu</w:t>
      </w:r>
      <w:r w:rsidRPr="009A0DA6">
        <w:rPr>
          <w:rFonts w:ascii="Cambria" w:eastAsia="Calibri" w:hAnsi="Cambria" w:cs="Calibri"/>
          <w:spacing w:val="-1"/>
        </w:rPr>
        <w:t>r</w:t>
      </w:r>
      <w:r w:rsidRPr="009A0DA6">
        <w:rPr>
          <w:rFonts w:ascii="Cambria" w:eastAsia="Calibri" w:hAnsi="Cambria" w:cs="Calibri"/>
        </w:rPr>
        <w:t>e.</w:t>
      </w:r>
      <w:r w:rsidRPr="009A0DA6">
        <w:rPr>
          <w:rFonts w:ascii="Cambria" w:eastAsia="Calibri" w:hAnsi="Cambria" w:cs="Calibri"/>
          <w:spacing w:val="-2"/>
        </w:rPr>
        <w:t xml:space="preserve"> </w:t>
      </w:r>
      <w:r w:rsidRPr="009A0DA6">
        <w:rPr>
          <w:rFonts w:ascii="Cambria" w:eastAsia="Calibri" w:hAnsi="Cambria" w:cs="Calibri"/>
        </w:rPr>
        <w:t>T</w:t>
      </w:r>
      <w:r w:rsidRPr="009A0DA6">
        <w:rPr>
          <w:rFonts w:ascii="Cambria" w:eastAsia="Calibri" w:hAnsi="Cambria" w:cs="Calibri"/>
          <w:spacing w:val="-3"/>
        </w:rPr>
        <w:t>h</w:t>
      </w:r>
      <w:r w:rsidRPr="009A0DA6">
        <w:rPr>
          <w:rFonts w:ascii="Cambria" w:eastAsia="Calibri" w:hAnsi="Cambria" w:cs="Calibri"/>
        </w:rPr>
        <w:t xml:space="preserve">is </w:t>
      </w:r>
      <w:r w:rsidRPr="009A0DA6">
        <w:rPr>
          <w:rFonts w:ascii="Cambria" w:eastAsia="Calibri" w:hAnsi="Cambria" w:cs="Calibri"/>
          <w:spacing w:val="-1"/>
        </w:rPr>
        <w:t>und</w:t>
      </w:r>
      <w:r w:rsidRPr="009A0DA6">
        <w:rPr>
          <w:rFonts w:ascii="Cambria" w:eastAsia="Calibri" w:hAnsi="Cambria" w:cs="Calibri"/>
        </w:rPr>
        <w:t>ers</w:t>
      </w:r>
      <w:r w:rsidRPr="009A0DA6">
        <w:rPr>
          <w:rFonts w:ascii="Cambria" w:eastAsia="Calibri" w:hAnsi="Cambria" w:cs="Calibri"/>
          <w:spacing w:val="1"/>
        </w:rPr>
        <w:t>t</w:t>
      </w:r>
      <w:r w:rsidRPr="009A0DA6">
        <w:rPr>
          <w:rFonts w:ascii="Cambria" w:eastAsia="Calibri" w:hAnsi="Cambria" w:cs="Calibri"/>
        </w:rPr>
        <w:t>a</w:t>
      </w:r>
      <w:r w:rsidRPr="009A0DA6">
        <w:rPr>
          <w:rFonts w:ascii="Cambria" w:eastAsia="Calibri" w:hAnsi="Cambria" w:cs="Calibri"/>
          <w:spacing w:val="-1"/>
        </w:rPr>
        <w:t>nd</w:t>
      </w:r>
      <w:r w:rsidRPr="009A0DA6">
        <w:rPr>
          <w:rFonts w:ascii="Cambria" w:eastAsia="Calibri" w:hAnsi="Cambria" w:cs="Calibri"/>
        </w:rPr>
        <w:t>i</w:t>
      </w:r>
      <w:r w:rsidRPr="009A0DA6">
        <w:rPr>
          <w:rFonts w:ascii="Cambria" w:eastAsia="Calibri" w:hAnsi="Cambria" w:cs="Calibri"/>
          <w:spacing w:val="-1"/>
        </w:rPr>
        <w:t>n</w:t>
      </w:r>
      <w:r w:rsidRPr="009A0DA6">
        <w:rPr>
          <w:rFonts w:ascii="Cambria" w:eastAsia="Calibri" w:hAnsi="Cambria" w:cs="Calibri"/>
        </w:rPr>
        <w:t>g</w:t>
      </w:r>
      <w:r w:rsidRPr="009A0DA6">
        <w:rPr>
          <w:rFonts w:ascii="Cambria" w:eastAsia="Calibri" w:hAnsi="Cambria" w:cs="Calibri"/>
          <w:spacing w:val="-1"/>
        </w:rPr>
        <w:t xml:space="preserve"> </w:t>
      </w:r>
      <w:r w:rsidRPr="009A0DA6">
        <w:rPr>
          <w:rFonts w:ascii="Cambria" w:eastAsia="Calibri" w:hAnsi="Cambria" w:cs="Calibri"/>
          <w:spacing w:val="1"/>
        </w:rPr>
        <w:t>o</w:t>
      </w:r>
      <w:r w:rsidRPr="009A0DA6">
        <w:rPr>
          <w:rFonts w:ascii="Cambria" w:eastAsia="Calibri" w:hAnsi="Cambria" w:cs="Calibri"/>
        </w:rPr>
        <w:t>f ch</w:t>
      </w:r>
      <w:r w:rsidRPr="009A0DA6">
        <w:rPr>
          <w:rFonts w:ascii="Cambria" w:eastAsia="Calibri" w:hAnsi="Cambria" w:cs="Calibri"/>
          <w:spacing w:val="-1"/>
        </w:rPr>
        <w:t>u</w:t>
      </w:r>
      <w:r w:rsidRPr="009A0DA6">
        <w:rPr>
          <w:rFonts w:ascii="Cambria" w:eastAsia="Calibri" w:hAnsi="Cambria" w:cs="Calibri"/>
        </w:rPr>
        <w:t>rch</w:t>
      </w:r>
      <w:r w:rsidRPr="009A0DA6">
        <w:rPr>
          <w:rFonts w:ascii="Cambria" w:eastAsia="Calibri" w:hAnsi="Cambria" w:cs="Calibri"/>
          <w:spacing w:val="-1"/>
        </w:rPr>
        <w:t xml:space="preserve"> </w:t>
      </w:r>
      <w:r w:rsidRPr="009A0DA6">
        <w:rPr>
          <w:rFonts w:ascii="Cambria" w:eastAsia="Calibri" w:hAnsi="Cambria" w:cs="Calibri"/>
          <w:spacing w:val="-3"/>
        </w:rPr>
        <w:t>u</w:t>
      </w:r>
      <w:r w:rsidRPr="009A0DA6">
        <w:rPr>
          <w:rFonts w:ascii="Cambria" w:eastAsia="Calibri" w:hAnsi="Cambria" w:cs="Calibri"/>
          <w:spacing w:val="-1"/>
        </w:rPr>
        <w:t>n</w:t>
      </w:r>
      <w:r w:rsidRPr="009A0DA6">
        <w:rPr>
          <w:rFonts w:ascii="Cambria" w:eastAsia="Calibri" w:hAnsi="Cambria" w:cs="Calibri"/>
        </w:rPr>
        <w:t>ity</w:t>
      </w:r>
      <w:r w:rsidRPr="009A0DA6">
        <w:rPr>
          <w:rFonts w:ascii="Cambria" w:eastAsia="Calibri" w:hAnsi="Cambria" w:cs="Calibri"/>
          <w:spacing w:val="1"/>
        </w:rPr>
        <w:t xml:space="preserve"> </w:t>
      </w:r>
      <w:r w:rsidRPr="009A0DA6">
        <w:rPr>
          <w:rFonts w:ascii="Cambria" w:eastAsia="Calibri" w:hAnsi="Cambria" w:cs="Calibri"/>
        </w:rPr>
        <w:t xml:space="preserve">in </w:t>
      </w:r>
      <w:r w:rsidRPr="009A0DA6">
        <w:rPr>
          <w:rFonts w:ascii="Cambria" w:eastAsia="Calibri" w:hAnsi="Cambria" w:cs="Calibri"/>
          <w:spacing w:val="-2"/>
        </w:rPr>
        <w:t>t</w:t>
      </w:r>
      <w:r w:rsidRPr="009A0DA6">
        <w:rPr>
          <w:rFonts w:ascii="Cambria" w:eastAsia="Calibri" w:hAnsi="Cambria" w:cs="Calibri"/>
        </w:rPr>
        <w:t>er</w:t>
      </w:r>
      <w:r w:rsidRPr="009A0DA6">
        <w:rPr>
          <w:rFonts w:ascii="Cambria" w:eastAsia="Calibri" w:hAnsi="Cambria" w:cs="Calibri"/>
          <w:spacing w:val="-1"/>
        </w:rPr>
        <w:t>m</w:t>
      </w:r>
      <w:r w:rsidRPr="009A0DA6">
        <w:rPr>
          <w:rFonts w:ascii="Cambria" w:eastAsia="Calibri" w:hAnsi="Cambria" w:cs="Calibri"/>
        </w:rPr>
        <w:t>s</w:t>
      </w:r>
      <w:r w:rsidRPr="009A0DA6">
        <w:rPr>
          <w:rFonts w:ascii="Cambria" w:eastAsia="Calibri" w:hAnsi="Cambria" w:cs="Calibri"/>
          <w:spacing w:val="-2"/>
        </w:rPr>
        <w:t xml:space="preserve"> </w:t>
      </w:r>
      <w:r w:rsidRPr="009A0DA6">
        <w:rPr>
          <w:rFonts w:ascii="Cambria" w:eastAsia="Calibri" w:hAnsi="Cambria" w:cs="Calibri"/>
          <w:spacing w:val="1"/>
        </w:rPr>
        <w:t>o</w:t>
      </w:r>
      <w:r w:rsidRPr="009A0DA6">
        <w:rPr>
          <w:rFonts w:ascii="Cambria" w:eastAsia="Calibri" w:hAnsi="Cambria" w:cs="Calibri"/>
        </w:rPr>
        <w:t>f a</w:t>
      </w:r>
      <w:r w:rsidRPr="009A0DA6">
        <w:rPr>
          <w:rFonts w:ascii="Cambria" w:eastAsia="Calibri" w:hAnsi="Cambria" w:cs="Calibri"/>
          <w:spacing w:val="1"/>
        </w:rPr>
        <w:t xml:space="preserve"> </w:t>
      </w:r>
      <w:r w:rsidRPr="009A0DA6">
        <w:rPr>
          <w:rFonts w:ascii="Cambria" w:eastAsia="Calibri" w:hAnsi="Cambria" w:cs="Calibri"/>
          <w:spacing w:val="-2"/>
        </w:rPr>
        <w:t>c</w:t>
      </w:r>
      <w:r w:rsidRPr="009A0DA6">
        <w:rPr>
          <w:rFonts w:ascii="Cambria" w:eastAsia="Calibri" w:hAnsi="Cambria" w:cs="Calibri"/>
          <w:spacing w:val="-1"/>
        </w:rPr>
        <w:t>om</w:t>
      </w:r>
      <w:r w:rsidRPr="009A0DA6">
        <w:rPr>
          <w:rFonts w:ascii="Cambria" w:eastAsia="Calibri" w:hAnsi="Cambria" w:cs="Calibri"/>
          <w:spacing w:val="1"/>
        </w:rPr>
        <w:t>mo</w:t>
      </w:r>
      <w:r w:rsidRPr="009A0DA6">
        <w:rPr>
          <w:rFonts w:ascii="Cambria" w:eastAsia="Calibri" w:hAnsi="Cambria" w:cs="Calibri"/>
        </w:rPr>
        <w:t>n</w:t>
      </w:r>
      <w:r w:rsidRPr="009A0DA6">
        <w:rPr>
          <w:rFonts w:ascii="Cambria" w:eastAsia="Calibri" w:hAnsi="Cambria" w:cs="Calibri"/>
          <w:spacing w:val="-3"/>
        </w:rPr>
        <w:t xml:space="preserve"> </w:t>
      </w:r>
      <w:r w:rsidRPr="009A0DA6">
        <w:rPr>
          <w:rFonts w:ascii="Cambria" w:eastAsia="Calibri" w:hAnsi="Cambria" w:cs="Calibri"/>
        </w:rPr>
        <w:t>w</w:t>
      </w:r>
      <w:r w:rsidRPr="009A0DA6">
        <w:rPr>
          <w:rFonts w:ascii="Cambria" w:eastAsia="Calibri" w:hAnsi="Cambria" w:cs="Calibri"/>
          <w:spacing w:val="2"/>
        </w:rPr>
        <w:t>o</w:t>
      </w:r>
      <w:r w:rsidRPr="009A0DA6">
        <w:rPr>
          <w:rFonts w:ascii="Cambria" w:eastAsia="Calibri" w:hAnsi="Cambria" w:cs="Calibri"/>
        </w:rPr>
        <w:t>rs</w:t>
      </w:r>
      <w:r w:rsidRPr="009A0DA6">
        <w:rPr>
          <w:rFonts w:ascii="Cambria" w:eastAsia="Calibri" w:hAnsi="Cambria" w:cs="Calibri"/>
          <w:spacing w:val="-1"/>
        </w:rPr>
        <w:t>h</w:t>
      </w:r>
      <w:r w:rsidRPr="009A0DA6">
        <w:rPr>
          <w:rFonts w:ascii="Cambria" w:eastAsia="Calibri" w:hAnsi="Cambria" w:cs="Calibri"/>
        </w:rPr>
        <w:t>ip</w:t>
      </w:r>
      <w:r w:rsidRPr="009A0DA6">
        <w:rPr>
          <w:rFonts w:ascii="Cambria" w:eastAsia="Calibri" w:hAnsi="Cambria" w:cs="Calibri"/>
          <w:spacing w:val="-1"/>
        </w:rPr>
        <w:t xml:space="preserve"> </w:t>
      </w:r>
      <w:r w:rsidRPr="009A0DA6">
        <w:rPr>
          <w:rFonts w:ascii="Cambria" w:eastAsia="Calibri" w:hAnsi="Cambria" w:cs="Calibri"/>
        </w:rPr>
        <w:t>li</w:t>
      </w:r>
      <w:r w:rsidRPr="009A0DA6">
        <w:rPr>
          <w:rFonts w:ascii="Cambria" w:eastAsia="Calibri" w:hAnsi="Cambria" w:cs="Calibri"/>
          <w:spacing w:val="-3"/>
        </w:rPr>
        <w:t>f</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rPr>
        <w:t xml:space="preserve">is </w:t>
      </w:r>
      <w:r w:rsidRPr="009A0DA6">
        <w:rPr>
          <w:rFonts w:ascii="Cambria" w:eastAsia="Calibri" w:hAnsi="Cambria" w:cs="Calibri"/>
          <w:spacing w:val="-2"/>
        </w:rPr>
        <w:t>r</w:t>
      </w:r>
      <w:r w:rsidRPr="009A0DA6">
        <w:rPr>
          <w:rFonts w:ascii="Cambria" w:eastAsia="Calibri" w:hAnsi="Cambria" w:cs="Calibri"/>
        </w:rPr>
        <w:t>efle</w:t>
      </w:r>
      <w:r w:rsidRPr="009A0DA6">
        <w:rPr>
          <w:rFonts w:ascii="Cambria" w:eastAsia="Calibri" w:hAnsi="Cambria" w:cs="Calibri"/>
          <w:spacing w:val="-1"/>
        </w:rPr>
        <w:t>c</w:t>
      </w:r>
      <w:r w:rsidRPr="009A0DA6">
        <w:rPr>
          <w:rFonts w:ascii="Cambria" w:eastAsia="Calibri" w:hAnsi="Cambria" w:cs="Calibri"/>
        </w:rPr>
        <w:t>t</w:t>
      </w:r>
      <w:r w:rsidRPr="009A0DA6">
        <w:rPr>
          <w:rFonts w:ascii="Cambria" w:eastAsia="Calibri" w:hAnsi="Cambria" w:cs="Calibri"/>
          <w:spacing w:val="1"/>
        </w:rPr>
        <w:t>e</w:t>
      </w:r>
      <w:r w:rsidRPr="009A0DA6">
        <w:rPr>
          <w:rFonts w:ascii="Cambria" w:eastAsia="Calibri" w:hAnsi="Cambria" w:cs="Calibri"/>
        </w:rPr>
        <w:t>d</w:t>
      </w:r>
      <w:r w:rsidRPr="009A0DA6">
        <w:rPr>
          <w:rFonts w:ascii="Cambria" w:eastAsia="Calibri" w:hAnsi="Cambria" w:cs="Calibri"/>
          <w:spacing w:val="-1"/>
        </w:rPr>
        <w:t xml:space="preserve"> </w:t>
      </w:r>
      <w:r w:rsidRPr="009A0DA6">
        <w:rPr>
          <w:rFonts w:ascii="Cambria" w:eastAsia="Calibri" w:hAnsi="Cambria" w:cs="Calibri"/>
        </w:rPr>
        <w:t xml:space="preserve">in </w:t>
      </w:r>
      <w:r w:rsidRPr="009A0DA6">
        <w:rPr>
          <w:rFonts w:ascii="Cambria" w:eastAsia="Calibri" w:hAnsi="Cambria" w:cs="Calibri"/>
          <w:spacing w:val="-2"/>
        </w:rPr>
        <w:t>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rPr>
        <w:t>la</w:t>
      </w:r>
      <w:r w:rsidRPr="009A0DA6">
        <w:rPr>
          <w:rFonts w:ascii="Cambria" w:eastAsia="Calibri" w:hAnsi="Cambria" w:cs="Calibri"/>
          <w:spacing w:val="-1"/>
        </w:rPr>
        <w:t>ngu</w:t>
      </w:r>
      <w:r w:rsidRPr="009A0DA6">
        <w:rPr>
          <w:rFonts w:ascii="Cambria" w:eastAsia="Calibri" w:hAnsi="Cambria" w:cs="Calibri"/>
        </w:rPr>
        <w:t>a</w:t>
      </w:r>
      <w:r w:rsidRPr="009A0DA6">
        <w:rPr>
          <w:rFonts w:ascii="Cambria" w:eastAsia="Calibri" w:hAnsi="Cambria" w:cs="Calibri"/>
          <w:spacing w:val="-1"/>
        </w:rPr>
        <w:t>g</w:t>
      </w:r>
      <w:r w:rsidRPr="009A0DA6">
        <w:rPr>
          <w:rFonts w:ascii="Cambria" w:eastAsia="Calibri" w:hAnsi="Cambria" w:cs="Calibri"/>
        </w:rPr>
        <w:t>e</w:t>
      </w:r>
      <w:r w:rsidRPr="009A0DA6">
        <w:rPr>
          <w:rFonts w:ascii="Cambria" w:eastAsia="Calibri" w:hAnsi="Cambria" w:cs="Calibri"/>
          <w:spacing w:val="1"/>
        </w:rPr>
        <w:t xml:space="preserve"> o</w:t>
      </w:r>
      <w:r w:rsidRPr="009A0DA6">
        <w:rPr>
          <w:rFonts w:ascii="Cambria" w:eastAsia="Calibri" w:hAnsi="Cambria" w:cs="Calibri"/>
        </w:rPr>
        <w:t>f</w:t>
      </w:r>
      <w:r w:rsidRPr="009A0DA6">
        <w:rPr>
          <w:rFonts w:ascii="Cambria" w:eastAsia="Calibri" w:hAnsi="Cambria" w:cs="Calibri"/>
          <w:spacing w:val="-3"/>
        </w:rPr>
        <w:t xml:space="preserve">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spacing w:val="1"/>
        </w:rPr>
        <w:t>L</w:t>
      </w:r>
      <w:r w:rsidRPr="009A0DA6">
        <w:rPr>
          <w:rFonts w:ascii="Cambria" w:eastAsia="Calibri" w:hAnsi="Cambria" w:cs="Calibri"/>
        </w:rPr>
        <w:t>CA</w:t>
      </w:r>
      <w:r w:rsidRPr="009A0DA6">
        <w:rPr>
          <w:rFonts w:ascii="Cambria" w:eastAsia="Calibri" w:hAnsi="Cambria" w:cs="Calibri"/>
          <w:spacing w:val="-2"/>
        </w:rPr>
        <w:t xml:space="preserve"> </w:t>
      </w:r>
      <w:r w:rsidRPr="009A0DA6">
        <w:rPr>
          <w:rFonts w:ascii="Cambria" w:eastAsia="Calibri" w:hAnsi="Cambria" w:cs="Calibri"/>
        </w:rPr>
        <w:t>w</w:t>
      </w:r>
      <w:r w:rsidRPr="009A0DA6">
        <w:rPr>
          <w:rFonts w:ascii="Cambria" w:eastAsia="Calibri" w:hAnsi="Cambria" w:cs="Calibri"/>
          <w:spacing w:val="-3"/>
        </w:rPr>
        <w:t>h</w:t>
      </w:r>
      <w:r w:rsidRPr="009A0DA6">
        <w:rPr>
          <w:rFonts w:ascii="Cambria" w:eastAsia="Calibri" w:hAnsi="Cambria" w:cs="Calibri"/>
        </w:rPr>
        <w:t xml:space="preserve">en we </w:t>
      </w:r>
      <w:r w:rsidRPr="009A0DA6">
        <w:rPr>
          <w:rFonts w:ascii="Cambria" w:eastAsia="Calibri" w:hAnsi="Cambria" w:cs="Calibri"/>
          <w:spacing w:val="-1"/>
        </w:rPr>
        <w:t>u</w:t>
      </w:r>
      <w:r w:rsidRPr="009A0DA6">
        <w:rPr>
          <w:rFonts w:ascii="Cambria" w:eastAsia="Calibri" w:hAnsi="Cambria" w:cs="Calibri"/>
        </w:rPr>
        <w:t>se</w:t>
      </w:r>
      <w:r w:rsidRPr="009A0DA6">
        <w:rPr>
          <w:rFonts w:ascii="Cambria" w:eastAsia="Calibri" w:hAnsi="Cambria" w:cs="Calibri"/>
          <w:spacing w:val="1"/>
        </w:rPr>
        <w:t xml:space="preserve"> </w:t>
      </w:r>
      <w:r w:rsidRPr="009A0DA6">
        <w:rPr>
          <w:rFonts w:ascii="Cambria" w:eastAsia="Calibri" w:hAnsi="Cambria" w:cs="Calibri"/>
        </w:rPr>
        <w:t>such</w:t>
      </w:r>
      <w:r w:rsidRPr="009A0DA6">
        <w:rPr>
          <w:rFonts w:ascii="Cambria" w:eastAsia="Calibri" w:hAnsi="Cambria" w:cs="Calibri"/>
          <w:spacing w:val="-1"/>
        </w:rPr>
        <w:t xml:space="preserve"> </w:t>
      </w:r>
      <w:r w:rsidRPr="009A0DA6">
        <w:rPr>
          <w:rFonts w:ascii="Cambria" w:eastAsia="Calibri" w:hAnsi="Cambria" w:cs="Calibri"/>
          <w:spacing w:val="-2"/>
        </w:rPr>
        <w:t>e</w:t>
      </w:r>
      <w:r w:rsidRPr="009A0DA6">
        <w:rPr>
          <w:rFonts w:ascii="Cambria" w:eastAsia="Calibri" w:hAnsi="Cambria" w:cs="Calibri"/>
        </w:rPr>
        <w:t>xpress</w:t>
      </w:r>
      <w:r w:rsidRPr="009A0DA6">
        <w:rPr>
          <w:rFonts w:ascii="Cambria" w:eastAsia="Calibri" w:hAnsi="Cambria" w:cs="Calibri"/>
          <w:spacing w:val="-3"/>
        </w:rPr>
        <w:t>i</w:t>
      </w:r>
      <w:r w:rsidRPr="009A0DA6">
        <w:rPr>
          <w:rFonts w:ascii="Cambria" w:eastAsia="Calibri" w:hAnsi="Cambria" w:cs="Calibri"/>
          <w:spacing w:val="1"/>
        </w:rPr>
        <w:t>o</w:t>
      </w:r>
      <w:r w:rsidRPr="009A0DA6">
        <w:rPr>
          <w:rFonts w:ascii="Cambria" w:eastAsia="Calibri" w:hAnsi="Cambria" w:cs="Calibri"/>
          <w:spacing w:val="-1"/>
        </w:rPr>
        <w:t>n</w:t>
      </w:r>
      <w:r w:rsidRPr="009A0DA6">
        <w:rPr>
          <w:rFonts w:ascii="Cambria" w:eastAsia="Calibri" w:hAnsi="Cambria" w:cs="Calibri"/>
        </w:rPr>
        <w:t>s as</w:t>
      </w:r>
      <w:r w:rsidRPr="009A0DA6">
        <w:rPr>
          <w:rFonts w:ascii="Cambria" w:eastAsia="Calibri" w:hAnsi="Cambria" w:cs="Calibri"/>
          <w:spacing w:val="-2"/>
        </w:rPr>
        <w:t xml:space="preserve"> </w:t>
      </w:r>
      <w:r w:rsidRPr="009A0DA6">
        <w:rPr>
          <w:rFonts w:ascii="Cambria" w:eastAsia="Calibri" w:hAnsi="Cambria" w:cs="Calibri"/>
          <w:spacing w:val="2"/>
        </w:rPr>
        <w:t>“</w:t>
      </w:r>
      <w:r w:rsidRPr="009A0DA6">
        <w:rPr>
          <w:rFonts w:ascii="Cambria" w:eastAsia="Calibri" w:hAnsi="Cambria" w:cs="Calibri"/>
        </w:rPr>
        <w:t>a</w:t>
      </w:r>
      <w:r w:rsidRPr="009A0DA6">
        <w:rPr>
          <w:rFonts w:ascii="Cambria" w:eastAsia="Calibri" w:hAnsi="Cambria" w:cs="Calibri"/>
          <w:spacing w:val="-3"/>
        </w:rPr>
        <w:t>l</w:t>
      </w:r>
      <w:r w:rsidRPr="009A0DA6">
        <w:rPr>
          <w:rFonts w:ascii="Cambria" w:eastAsia="Calibri" w:hAnsi="Cambria" w:cs="Calibri"/>
        </w:rPr>
        <w:t>tar and</w:t>
      </w:r>
      <w:r w:rsidRPr="009A0DA6">
        <w:rPr>
          <w:rFonts w:ascii="Cambria" w:eastAsia="Calibri" w:hAnsi="Cambria" w:cs="Calibri"/>
          <w:spacing w:val="-1"/>
        </w:rPr>
        <w:t xml:space="preserve"> </w:t>
      </w:r>
      <w:r w:rsidRPr="009A0DA6">
        <w:rPr>
          <w:rFonts w:ascii="Cambria" w:eastAsia="Calibri" w:hAnsi="Cambria" w:cs="Calibri"/>
        </w:rPr>
        <w:t>p</w:t>
      </w:r>
      <w:r w:rsidRPr="009A0DA6">
        <w:rPr>
          <w:rFonts w:ascii="Cambria" w:eastAsia="Calibri" w:hAnsi="Cambria" w:cs="Calibri"/>
          <w:spacing w:val="-1"/>
        </w:rPr>
        <w:t>u</w:t>
      </w:r>
      <w:r w:rsidRPr="009A0DA6">
        <w:rPr>
          <w:rFonts w:ascii="Cambria" w:eastAsia="Calibri" w:hAnsi="Cambria" w:cs="Calibri"/>
        </w:rPr>
        <w:t>l</w:t>
      </w:r>
      <w:r w:rsidRPr="009A0DA6">
        <w:rPr>
          <w:rFonts w:ascii="Cambria" w:eastAsia="Calibri" w:hAnsi="Cambria" w:cs="Calibri"/>
          <w:spacing w:val="-1"/>
        </w:rPr>
        <w:t>p</w:t>
      </w:r>
      <w:r w:rsidRPr="009A0DA6">
        <w:rPr>
          <w:rFonts w:ascii="Cambria" w:eastAsia="Calibri" w:hAnsi="Cambria" w:cs="Calibri"/>
        </w:rPr>
        <w:t>it f</w:t>
      </w:r>
      <w:r w:rsidRPr="009A0DA6">
        <w:rPr>
          <w:rFonts w:ascii="Cambria" w:eastAsia="Calibri" w:hAnsi="Cambria" w:cs="Calibri"/>
          <w:spacing w:val="1"/>
        </w:rPr>
        <w:t>e</w:t>
      </w:r>
      <w:r w:rsidRPr="009A0DA6">
        <w:rPr>
          <w:rFonts w:ascii="Cambria" w:eastAsia="Calibri" w:hAnsi="Cambria" w:cs="Calibri"/>
        </w:rPr>
        <w:t>l</w:t>
      </w:r>
      <w:r w:rsidRPr="009A0DA6">
        <w:rPr>
          <w:rFonts w:ascii="Cambria" w:eastAsia="Calibri" w:hAnsi="Cambria" w:cs="Calibri"/>
          <w:spacing w:val="-3"/>
        </w:rPr>
        <w:t>l</w:t>
      </w:r>
      <w:r w:rsidRPr="009A0DA6">
        <w:rPr>
          <w:rFonts w:ascii="Cambria" w:eastAsia="Calibri" w:hAnsi="Cambria" w:cs="Calibri"/>
          <w:spacing w:val="1"/>
        </w:rPr>
        <w:t>o</w:t>
      </w:r>
      <w:r w:rsidRPr="009A0DA6">
        <w:rPr>
          <w:rFonts w:ascii="Cambria" w:eastAsia="Calibri" w:hAnsi="Cambria" w:cs="Calibri"/>
        </w:rPr>
        <w:t>wshi</w:t>
      </w:r>
      <w:r w:rsidRPr="009A0DA6">
        <w:rPr>
          <w:rFonts w:ascii="Cambria" w:eastAsia="Calibri" w:hAnsi="Cambria" w:cs="Calibri"/>
          <w:spacing w:val="-4"/>
        </w:rPr>
        <w:t>p</w:t>
      </w:r>
      <w:r w:rsidRPr="009A0DA6">
        <w:rPr>
          <w:rFonts w:ascii="Cambria" w:eastAsia="Calibri" w:hAnsi="Cambria" w:cs="Calibri"/>
        </w:rPr>
        <w:t>”</w:t>
      </w:r>
      <w:r w:rsidRPr="009A0DA6">
        <w:rPr>
          <w:rFonts w:ascii="Cambria" w:eastAsia="Calibri" w:hAnsi="Cambria" w:cs="Calibri"/>
          <w:spacing w:val="1"/>
        </w:rPr>
        <w:t xml:space="preserve"> </w:t>
      </w:r>
      <w:r w:rsidRPr="009A0DA6">
        <w:rPr>
          <w:rFonts w:ascii="Cambria" w:eastAsia="Calibri" w:hAnsi="Cambria" w:cs="Calibri"/>
          <w:spacing w:val="-2"/>
        </w:rPr>
        <w:t>a</w:t>
      </w:r>
      <w:r w:rsidRPr="009A0DA6">
        <w:rPr>
          <w:rFonts w:ascii="Cambria" w:eastAsia="Calibri" w:hAnsi="Cambria" w:cs="Calibri"/>
          <w:spacing w:val="-1"/>
        </w:rPr>
        <w:t>n</w:t>
      </w:r>
      <w:r w:rsidRPr="009A0DA6">
        <w:rPr>
          <w:rFonts w:ascii="Cambria" w:eastAsia="Calibri" w:hAnsi="Cambria" w:cs="Calibri"/>
        </w:rPr>
        <w:t xml:space="preserve">d </w:t>
      </w:r>
      <w:r w:rsidRPr="009A0DA6">
        <w:rPr>
          <w:rFonts w:ascii="Cambria" w:eastAsia="Calibri" w:hAnsi="Cambria" w:cs="Calibri"/>
          <w:spacing w:val="2"/>
        </w:rPr>
        <w:t>“</w:t>
      </w:r>
      <w:r w:rsidRPr="009A0DA6">
        <w:rPr>
          <w:rFonts w:ascii="Cambria" w:eastAsia="Calibri" w:hAnsi="Cambria" w:cs="Calibri"/>
        </w:rPr>
        <w:t>Euc</w:t>
      </w:r>
      <w:r w:rsidRPr="009A0DA6">
        <w:rPr>
          <w:rFonts w:ascii="Cambria" w:eastAsia="Calibri" w:hAnsi="Cambria" w:cs="Calibri"/>
          <w:spacing w:val="-1"/>
        </w:rPr>
        <w:t>h</w:t>
      </w:r>
      <w:r w:rsidRPr="009A0DA6">
        <w:rPr>
          <w:rFonts w:ascii="Cambria" w:eastAsia="Calibri" w:hAnsi="Cambria" w:cs="Calibri"/>
        </w:rPr>
        <w:t>ar</w:t>
      </w:r>
      <w:r w:rsidRPr="009A0DA6">
        <w:rPr>
          <w:rFonts w:ascii="Cambria" w:eastAsia="Calibri" w:hAnsi="Cambria" w:cs="Calibri"/>
          <w:spacing w:val="-1"/>
        </w:rPr>
        <w:t>i</w:t>
      </w:r>
      <w:r w:rsidRPr="009A0DA6">
        <w:rPr>
          <w:rFonts w:ascii="Cambria" w:eastAsia="Calibri" w:hAnsi="Cambria" w:cs="Calibri"/>
        </w:rPr>
        <w:t>stic</w:t>
      </w:r>
      <w:r w:rsidRPr="009A0DA6">
        <w:rPr>
          <w:rFonts w:ascii="Cambria" w:eastAsia="Calibri" w:hAnsi="Cambria" w:cs="Calibri"/>
          <w:spacing w:val="-2"/>
        </w:rPr>
        <w:t xml:space="preserve"> </w:t>
      </w:r>
      <w:r w:rsidRPr="009A0DA6">
        <w:rPr>
          <w:rFonts w:ascii="Cambria" w:eastAsia="Calibri" w:hAnsi="Cambria" w:cs="Calibri"/>
        </w:rPr>
        <w:t>h</w:t>
      </w:r>
      <w:r w:rsidRPr="009A0DA6">
        <w:rPr>
          <w:rFonts w:ascii="Cambria" w:eastAsia="Calibri" w:hAnsi="Cambria" w:cs="Calibri"/>
          <w:spacing w:val="1"/>
        </w:rPr>
        <w:t>o</w:t>
      </w:r>
      <w:r w:rsidRPr="009A0DA6">
        <w:rPr>
          <w:rFonts w:ascii="Cambria" w:eastAsia="Calibri" w:hAnsi="Cambria" w:cs="Calibri"/>
        </w:rPr>
        <w:t>sp</w:t>
      </w:r>
      <w:r w:rsidRPr="009A0DA6">
        <w:rPr>
          <w:rFonts w:ascii="Cambria" w:eastAsia="Calibri" w:hAnsi="Cambria" w:cs="Calibri"/>
          <w:spacing w:val="-1"/>
        </w:rPr>
        <w:t>i</w:t>
      </w:r>
      <w:r w:rsidRPr="009A0DA6">
        <w:rPr>
          <w:rFonts w:ascii="Cambria" w:eastAsia="Calibri" w:hAnsi="Cambria" w:cs="Calibri"/>
          <w:spacing w:val="-2"/>
        </w:rPr>
        <w:t>t</w:t>
      </w:r>
      <w:r w:rsidRPr="009A0DA6">
        <w:rPr>
          <w:rFonts w:ascii="Cambria" w:eastAsia="Calibri" w:hAnsi="Cambria" w:cs="Calibri"/>
        </w:rPr>
        <w:t>al</w:t>
      </w:r>
      <w:r w:rsidRPr="009A0DA6">
        <w:rPr>
          <w:rFonts w:ascii="Cambria" w:eastAsia="Calibri" w:hAnsi="Cambria" w:cs="Calibri"/>
          <w:spacing w:val="-1"/>
        </w:rPr>
        <w:t>i</w:t>
      </w:r>
      <w:r w:rsidRPr="009A0DA6">
        <w:rPr>
          <w:rFonts w:ascii="Cambria" w:eastAsia="Calibri" w:hAnsi="Cambria" w:cs="Calibri"/>
        </w:rPr>
        <w:t>t</w:t>
      </w:r>
      <w:r w:rsidRPr="009A0DA6">
        <w:rPr>
          <w:rFonts w:ascii="Cambria" w:eastAsia="Calibri" w:hAnsi="Cambria" w:cs="Calibri"/>
          <w:spacing w:val="1"/>
        </w:rPr>
        <w:t>y”</w:t>
      </w:r>
      <w:r w:rsidRPr="009A0DA6">
        <w:rPr>
          <w:rFonts w:ascii="Cambria" w:eastAsia="Calibri" w:hAnsi="Cambria" w:cs="Calibri"/>
          <w:spacing w:val="-3"/>
        </w:rPr>
        <w:t>.</w:t>
      </w:r>
      <w:r w:rsidRPr="009A0DA6">
        <w:rPr>
          <w:rFonts w:ascii="Cambria" w:eastAsia="Calibri" w:hAnsi="Cambria" w:cs="Calibri"/>
          <w:spacing w:val="-3"/>
        </w:rPr>
        <w:br/>
      </w:r>
    </w:p>
    <w:p w14:paraId="67CC6BB4" w14:textId="05A24473" w:rsidR="00417DA5" w:rsidRPr="00892E6E" w:rsidRDefault="00417DA5" w:rsidP="00F55252">
      <w:pPr>
        <w:pStyle w:val="ListParagraph"/>
        <w:numPr>
          <w:ilvl w:val="3"/>
          <w:numId w:val="121"/>
        </w:numPr>
        <w:spacing w:before="19" w:after="0" w:line="240" w:lineRule="auto"/>
        <w:ind w:left="567" w:right="497" w:hanging="567"/>
        <w:rPr>
          <w:rFonts w:ascii="Cambria" w:eastAsia="Calibri" w:hAnsi="Cambria" w:cs="Calibri"/>
          <w:sz w:val="16"/>
        </w:rPr>
      </w:pPr>
      <w:r w:rsidRPr="009A0DA6">
        <w:rPr>
          <w:rFonts w:ascii="Cambria" w:eastAsia="Calibri" w:hAnsi="Cambria" w:cs="Calibri"/>
        </w:rPr>
        <w:t>The</w:t>
      </w:r>
      <w:r w:rsidRPr="009A0DA6">
        <w:rPr>
          <w:rFonts w:ascii="Cambria" w:eastAsia="Calibri" w:hAnsi="Cambria" w:cs="Calibri"/>
          <w:spacing w:val="1"/>
        </w:rPr>
        <w:t xml:space="preserve"> </w:t>
      </w:r>
      <w:r w:rsidRPr="009A0DA6">
        <w:rPr>
          <w:rFonts w:ascii="Cambria" w:eastAsia="Calibri" w:hAnsi="Cambria" w:cs="Calibri"/>
          <w:spacing w:val="-1"/>
        </w:rPr>
        <w:t>p</w:t>
      </w:r>
      <w:r w:rsidRPr="009A0DA6">
        <w:rPr>
          <w:rFonts w:ascii="Cambria" w:eastAsia="Calibri" w:hAnsi="Cambria" w:cs="Calibri"/>
        </w:rPr>
        <w:t>ract</w:t>
      </w:r>
      <w:r w:rsidRPr="009A0DA6">
        <w:rPr>
          <w:rFonts w:ascii="Cambria" w:eastAsia="Calibri" w:hAnsi="Cambria" w:cs="Calibri"/>
          <w:spacing w:val="-2"/>
        </w:rPr>
        <w:t>i</w:t>
      </w:r>
      <w:r w:rsidRPr="009A0DA6">
        <w:rPr>
          <w:rFonts w:ascii="Cambria" w:eastAsia="Calibri" w:hAnsi="Cambria" w:cs="Calibri"/>
        </w:rPr>
        <w:t xml:space="preserve">cal </w:t>
      </w:r>
      <w:r w:rsidRPr="009A0DA6">
        <w:rPr>
          <w:rFonts w:ascii="Cambria" w:eastAsia="Calibri" w:hAnsi="Cambria" w:cs="Calibri"/>
          <w:spacing w:val="-2"/>
        </w:rPr>
        <w:t>c</w:t>
      </w:r>
      <w:r w:rsidRPr="009A0DA6">
        <w:rPr>
          <w:rFonts w:ascii="Cambria" w:eastAsia="Calibri" w:hAnsi="Cambria" w:cs="Calibri"/>
          <w:spacing w:val="1"/>
        </w:rPr>
        <w:t>o</w:t>
      </w:r>
      <w:r w:rsidRPr="009A0DA6">
        <w:rPr>
          <w:rFonts w:ascii="Cambria" w:eastAsia="Calibri" w:hAnsi="Cambria" w:cs="Calibri"/>
          <w:spacing w:val="-1"/>
        </w:rPr>
        <w:t>n</w:t>
      </w:r>
      <w:r w:rsidRPr="009A0DA6">
        <w:rPr>
          <w:rFonts w:ascii="Cambria" w:eastAsia="Calibri" w:hAnsi="Cambria" w:cs="Calibri"/>
        </w:rPr>
        <w:t>seq</w:t>
      </w:r>
      <w:r w:rsidRPr="009A0DA6">
        <w:rPr>
          <w:rFonts w:ascii="Cambria" w:eastAsia="Calibri" w:hAnsi="Cambria" w:cs="Calibri"/>
          <w:spacing w:val="-1"/>
        </w:rPr>
        <w:t>u</w:t>
      </w:r>
      <w:r w:rsidRPr="009A0DA6">
        <w:rPr>
          <w:rFonts w:ascii="Cambria" w:eastAsia="Calibri" w:hAnsi="Cambria" w:cs="Calibri"/>
        </w:rPr>
        <w:t>en</w:t>
      </w:r>
      <w:r w:rsidRPr="009A0DA6">
        <w:rPr>
          <w:rFonts w:ascii="Cambria" w:eastAsia="Calibri" w:hAnsi="Cambria" w:cs="Calibri"/>
          <w:spacing w:val="-2"/>
        </w:rPr>
        <w:t>c</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spacing w:val="1"/>
        </w:rPr>
        <w:t>o</w:t>
      </w:r>
      <w:r w:rsidRPr="009A0DA6">
        <w:rPr>
          <w:rFonts w:ascii="Cambria" w:eastAsia="Calibri" w:hAnsi="Cambria" w:cs="Calibri"/>
        </w:rPr>
        <w:t xml:space="preserve">f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 xml:space="preserve">is </w:t>
      </w:r>
      <w:r w:rsidRPr="009A0DA6">
        <w:rPr>
          <w:rFonts w:ascii="Cambria" w:eastAsia="Calibri" w:hAnsi="Cambria" w:cs="Calibri"/>
          <w:spacing w:val="-3"/>
        </w:rPr>
        <w:t>i</w:t>
      </w:r>
      <w:r w:rsidRPr="009A0DA6">
        <w:rPr>
          <w:rFonts w:ascii="Cambria" w:eastAsia="Calibri" w:hAnsi="Cambria" w:cs="Calibri"/>
        </w:rPr>
        <w:t xml:space="preserve">s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at</w:t>
      </w:r>
      <w:r w:rsidRPr="009A0DA6">
        <w:rPr>
          <w:rFonts w:ascii="Cambria" w:eastAsia="Calibri" w:hAnsi="Cambria" w:cs="Calibri"/>
          <w:spacing w:val="-2"/>
        </w:rPr>
        <w:t xml:space="preserve"> </w:t>
      </w:r>
      <w:r w:rsidRPr="009A0DA6">
        <w:rPr>
          <w:rFonts w:ascii="Cambria" w:eastAsia="Calibri" w:hAnsi="Cambria" w:cs="Calibri"/>
        </w:rPr>
        <w:t>as</w:t>
      </w:r>
      <w:r w:rsidRPr="009A0DA6">
        <w:rPr>
          <w:rFonts w:ascii="Cambria" w:eastAsia="Calibri" w:hAnsi="Cambria" w:cs="Calibri"/>
          <w:spacing w:val="1"/>
        </w:rPr>
        <w:t xml:space="preserve"> </w:t>
      </w:r>
      <w:r w:rsidRPr="009A0DA6">
        <w:rPr>
          <w:rFonts w:ascii="Cambria" w:eastAsia="Calibri" w:hAnsi="Cambria" w:cs="Calibri"/>
          <w:spacing w:val="-3"/>
        </w:rPr>
        <w:t>l</w:t>
      </w:r>
      <w:r w:rsidRPr="009A0DA6">
        <w:rPr>
          <w:rFonts w:ascii="Cambria" w:eastAsia="Calibri" w:hAnsi="Cambria" w:cs="Calibri"/>
          <w:spacing w:val="1"/>
        </w:rPr>
        <w:t>o</w:t>
      </w:r>
      <w:r w:rsidRPr="009A0DA6">
        <w:rPr>
          <w:rFonts w:ascii="Cambria" w:eastAsia="Calibri" w:hAnsi="Cambria" w:cs="Calibri"/>
          <w:spacing w:val="-1"/>
        </w:rPr>
        <w:t>n</w:t>
      </w:r>
      <w:r w:rsidRPr="009A0DA6">
        <w:rPr>
          <w:rFonts w:ascii="Cambria" w:eastAsia="Calibri" w:hAnsi="Cambria" w:cs="Calibri"/>
        </w:rPr>
        <w:t>g</w:t>
      </w:r>
      <w:r w:rsidRPr="009A0DA6">
        <w:rPr>
          <w:rFonts w:ascii="Cambria" w:eastAsia="Calibri" w:hAnsi="Cambria" w:cs="Calibri"/>
          <w:spacing w:val="-1"/>
        </w:rPr>
        <w:t xml:space="preserve"> </w:t>
      </w:r>
      <w:r w:rsidRPr="009A0DA6">
        <w:rPr>
          <w:rFonts w:ascii="Cambria" w:eastAsia="Calibri" w:hAnsi="Cambria" w:cs="Calibri"/>
        </w:rPr>
        <w:t>as</w:t>
      </w:r>
      <w:r w:rsidRPr="009A0DA6">
        <w:rPr>
          <w:rFonts w:ascii="Cambria" w:eastAsia="Calibri" w:hAnsi="Cambria" w:cs="Calibri"/>
          <w:spacing w:val="-1"/>
        </w:rPr>
        <w:t xml:space="preserve"> </w:t>
      </w:r>
      <w:r w:rsidRPr="009A0DA6">
        <w:rPr>
          <w:rFonts w:ascii="Cambria" w:eastAsia="Calibri" w:hAnsi="Cambria" w:cs="Calibri"/>
        </w:rPr>
        <w:t>th</w:t>
      </w:r>
      <w:r w:rsidRPr="009A0DA6">
        <w:rPr>
          <w:rFonts w:ascii="Cambria" w:eastAsia="Calibri" w:hAnsi="Cambria" w:cs="Calibri"/>
          <w:spacing w:val="-2"/>
        </w:rPr>
        <w:t>e</w:t>
      </w:r>
      <w:r w:rsidRPr="009A0DA6">
        <w:rPr>
          <w:rFonts w:ascii="Cambria" w:eastAsia="Calibri" w:hAnsi="Cambria" w:cs="Calibri"/>
        </w:rPr>
        <w:t>re</w:t>
      </w:r>
      <w:r w:rsidRPr="009A0DA6">
        <w:rPr>
          <w:rFonts w:ascii="Cambria" w:eastAsia="Calibri" w:hAnsi="Cambria" w:cs="Calibri"/>
          <w:spacing w:val="1"/>
        </w:rPr>
        <w:t xml:space="preserve"> </w:t>
      </w:r>
      <w:r w:rsidRPr="009A0DA6">
        <w:rPr>
          <w:rFonts w:ascii="Cambria" w:eastAsia="Calibri" w:hAnsi="Cambria" w:cs="Calibri"/>
        </w:rPr>
        <w:t>is a</w:t>
      </w:r>
      <w:r w:rsidRPr="009A0DA6">
        <w:rPr>
          <w:rFonts w:ascii="Cambria" w:eastAsia="Calibri" w:hAnsi="Cambria" w:cs="Calibri"/>
          <w:spacing w:val="-2"/>
        </w:rPr>
        <w:t xml:space="preserve"> </w:t>
      </w:r>
      <w:r w:rsidRPr="009A0DA6">
        <w:rPr>
          <w:rFonts w:ascii="Cambria" w:eastAsia="Calibri" w:hAnsi="Cambria" w:cs="Calibri"/>
        </w:rPr>
        <w:t>si</w:t>
      </w:r>
      <w:r w:rsidRPr="009A0DA6">
        <w:rPr>
          <w:rFonts w:ascii="Cambria" w:eastAsia="Calibri" w:hAnsi="Cambria" w:cs="Calibri"/>
          <w:spacing w:val="-1"/>
        </w:rPr>
        <w:t>gn</w:t>
      </w:r>
      <w:r w:rsidRPr="009A0DA6">
        <w:rPr>
          <w:rFonts w:ascii="Cambria" w:eastAsia="Calibri" w:hAnsi="Cambria" w:cs="Calibri"/>
        </w:rPr>
        <w:t>if</w:t>
      </w:r>
      <w:r w:rsidRPr="009A0DA6">
        <w:rPr>
          <w:rFonts w:ascii="Cambria" w:eastAsia="Calibri" w:hAnsi="Cambria" w:cs="Calibri"/>
          <w:spacing w:val="-1"/>
        </w:rPr>
        <w:t>i</w:t>
      </w:r>
      <w:r w:rsidRPr="009A0DA6">
        <w:rPr>
          <w:rFonts w:ascii="Cambria" w:eastAsia="Calibri" w:hAnsi="Cambria" w:cs="Calibri"/>
        </w:rPr>
        <w:t>ca</w:t>
      </w:r>
      <w:r w:rsidRPr="009A0DA6">
        <w:rPr>
          <w:rFonts w:ascii="Cambria" w:eastAsia="Calibri" w:hAnsi="Cambria" w:cs="Calibri"/>
          <w:spacing w:val="-1"/>
        </w:rPr>
        <w:t>n</w:t>
      </w:r>
      <w:r w:rsidRPr="009A0DA6">
        <w:rPr>
          <w:rFonts w:ascii="Cambria" w:eastAsia="Calibri" w:hAnsi="Cambria" w:cs="Calibri"/>
        </w:rPr>
        <w:t>t</w:t>
      </w:r>
      <w:r w:rsidRPr="009A0DA6">
        <w:rPr>
          <w:rFonts w:ascii="Cambria" w:eastAsia="Calibri" w:hAnsi="Cambria" w:cs="Calibri"/>
          <w:spacing w:val="1"/>
        </w:rPr>
        <w:t xml:space="preserve"> </w:t>
      </w:r>
      <w:r w:rsidRPr="009A0DA6">
        <w:rPr>
          <w:rFonts w:ascii="Cambria" w:eastAsia="Calibri" w:hAnsi="Cambria" w:cs="Calibri"/>
          <w:spacing w:val="-1"/>
        </w:rPr>
        <w:t>g</w:t>
      </w:r>
      <w:r w:rsidRPr="009A0DA6">
        <w:rPr>
          <w:rFonts w:ascii="Cambria" w:eastAsia="Calibri" w:hAnsi="Cambria" w:cs="Calibri"/>
        </w:rPr>
        <w:t>r</w:t>
      </w:r>
      <w:r w:rsidRPr="009A0DA6">
        <w:rPr>
          <w:rFonts w:ascii="Cambria" w:eastAsia="Calibri" w:hAnsi="Cambria" w:cs="Calibri"/>
          <w:spacing w:val="1"/>
        </w:rPr>
        <w:t>o</w:t>
      </w:r>
      <w:r w:rsidRPr="009A0DA6">
        <w:rPr>
          <w:rFonts w:ascii="Cambria" w:eastAsia="Calibri" w:hAnsi="Cambria" w:cs="Calibri"/>
          <w:spacing w:val="-1"/>
        </w:rPr>
        <w:t>u</w:t>
      </w:r>
      <w:r w:rsidRPr="009A0DA6">
        <w:rPr>
          <w:rFonts w:ascii="Cambria" w:eastAsia="Calibri" w:hAnsi="Cambria" w:cs="Calibri"/>
        </w:rPr>
        <w:t>p</w:t>
      </w:r>
      <w:r w:rsidRPr="009A0DA6">
        <w:rPr>
          <w:rFonts w:ascii="Cambria" w:eastAsia="Calibri" w:hAnsi="Cambria" w:cs="Calibri"/>
          <w:spacing w:val="-3"/>
        </w:rPr>
        <w:t xml:space="preserve"> </w:t>
      </w:r>
      <w:r w:rsidRPr="009A0DA6">
        <w:rPr>
          <w:rFonts w:ascii="Cambria" w:eastAsia="Calibri" w:hAnsi="Cambria" w:cs="Calibri"/>
          <w:spacing w:val="1"/>
        </w:rPr>
        <w:t>o</w:t>
      </w:r>
      <w:r w:rsidRPr="009A0DA6">
        <w:rPr>
          <w:rFonts w:ascii="Cambria" w:eastAsia="Calibri" w:hAnsi="Cambria" w:cs="Calibri"/>
        </w:rPr>
        <w:t>f</w:t>
      </w:r>
      <w:r w:rsidRPr="009A0DA6">
        <w:rPr>
          <w:rFonts w:ascii="Cambria" w:eastAsia="Calibri" w:hAnsi="Cambria" w:cs="Calibri"/>
          <w:spacing w:val="-2"/>
        </w:rPr>
        <w:t xml:space="preserve"> </w:t>
      </w:r>
      <w:r w:rsidRPr="009A0DA6">
        <w:rPr>
          <w:rFonts w:ascii="Cambria" w:eastAsia="Calibri" w:hAnsi="Cambria" w:cs="Calibri"/>
          <w:spacing w:val="-1"/>
        </w:rPr>
        <w:t>p</w:t>
      </w:r>
      <w:r w:rsidRPr="009A0DA6">
        <w:rPr>
          <w:rFonts w:ascii="Cambria" w:eastAsia="Calibri" w:hAnsi="Cambria" w:cs="Calibri"/>
        </w:rPr>
        <w:t>e</w:t>
      </w:r>
      <w:r w:rsidRPr="009A0DA6">
        <w:rPr>
          <w:rFonts w:ascii="Cambria" w:eastAsia="Calibri" w:hAnsi="Cambria" w:cs="Calibri"/>
          <w:spacing w:val="2"/>
        </w:rPr>
        <w:t>o</w:t>
      </w:r>
      <w:r w:rsidRPr="009A0DA6">
        <w:rPr>
          <w:rFonts w:ascii="Cambria" w:eastAsia="Calibri" w:hAnsi="Cambria" w:cs="Calibri"/>
          <w:spacing w:val="-1"/>
        </w:rPr>
        <w:t>p</w:t>
      </w:r>
      <w:r w:rsidRPr="009A0DA6">
        <w:rPr>
          <w:rFonts w:ascii="Cambria" w:eastAsia="Calibri" w:hAnsi="Cambria" w:cs="Calibri"/>
        </w:rPr>
        <w:t>le</w:t>
      </w:r>
      <w:r w:rsidRPr="009A0DA6">
        <w:rPr>
          <w:rFonts w:ascii="Cambria" w:eastAsia="Calibri" w:hAnsi="Cambria" w:cs="Calibri"/>
          <w:spacing w:val="-1"/>
        </w:rPr>
        <w:t xml:space="preserve"> </w:t>
      </w:r>
      <w:r w:rsidRPr="009A0DA6">
        <w:rPr>
          <w:rFonts w:ascii="Cambria" w:eastAsia="Calibri" w:hAnsi="Cambria" w:cs="Calibri"/>
        </w:rPr>
        <w:t>who</w:t>
      </w:r>
      <w:r w:rsidRPr="009A0DA6">
        <w:rPr>
          <w:rFonts w:ascii="Cambria" w:eastAsia="Calibri" w:hAnsi="Cambria" w:cs="Calibri"/>
          <w:spacing w:val="-1"/>
        </w:rPr>
        <w:t xml:space="preserve"> </w:t>
      </w:r>
      <w:r w:rsidRPr="009A0DA6">
        <w:rPr>
          <w:rFonts w:ascii="Cambria" w:eastAsia="Calibri" w:hAnsi="Cambria" w:cs="Calibri"/>
        </w:rPr>
        <w:t>f</w:t>
      </w:r>
      <w:r w:rsidRPr="009A0DA6">
        <w:rPr>
          <w:rFonts w:ascii="Cambria" w:eastAsia="Calibri" w:hAnsi="Cambria" w:cs="Calibri"/>
          <w:spacing w:val="1"/>
        </w:rPr>
        <w:t>e</w:t>
      </w:r>
      <w:r w:rsidRPr="009A0DA6">
        <w:rPr>
          <w:rFonts w:ascii="Cambria" w:eastAsia="Calibri" w:hAnsi="Cambria" w:cs="Calibri"/>
        </w:rPr>
        <w:t>el</w:t>
      </w:r>
      <w:r w:rsidRPr="009A0DA6">
        <w:rPr>
          <w:rFonts w:ascii="Cambria" w:eastAsia="Calibri" w:hAnsi="Cambria" w:cs="Calibri"/>
          <w:spacing w:val="-2"/>
        </w:rPr>
        <w:t xml:space="preserve"> </w:t>
      </w:r>
      <w:r w:rsidRPr="009A0DA6">
        <w:rPr>
          <w:rFonts w:ascii="Cambria" w:eastAsia="Calibri" w:hAnsi="Cambria" w:cs="Calibri"/>
        </w:rPr>
        <w:t>b</w:t>
      </w:r>
      <w:r w:rsidRPr="009A0DA6">
        <w:rPr>
          <w:rFonts w:ascii="Cambria" w:eastAsia="Calibri" w:hAnsi="Cambria" w:cs="Calibri"/>
          <w:spacing w:val="1"/>
        </w:rPr>
        <w:t>o</w:t>
      </w:r>
      <w:r w:rsidRPr="009A0DA6">
        <w:rPr>
          <w:rFonts w:ascii="Cambria" w:eastAsia="Calibri" w:hAnsi="Cambria" w:cs="Calibri"/>
          <w:spacing w:val="-1"/>
        </w:rPr>
        <w:t>un</w:t>
      </w:r>
      <w:r w:rsidRPr="009A0DA6">
        <w:rPr>
          <w:rFonts w:ascii="Cambria" w:eastAsia="Calibri" w:hAnsi="Cambria" w:cs="Calibri"/>
        </w:rPr>
        <w:t>d</w:t>
      </w:r>
      <w:r w:rsidRPr="009A0DA6">
        <w:rPr>
          <w:rFonts w:ascii="Cambria" w:eastAsia="Calibri" w:hAnsi="Cambria" w:cs="Calibri"/>
          <w:spacing w:val="-1"/>
        </w:rPr>
        <w:t xml:space="preserve"> </w:t>
      </w:r>
      <w:r w:rsidRPr="009A0DA6">
        <w:rPr>
          <w:rFonts w:ascii="Cambria" w:eastAsia="Calibri" w:hAnsi="Cambria" w:cs="Calibri"/>
          <w:spacing w:val="-2"/>
        </w:rPr>
        <w:t>t</w:t>
      </w:r>
      <w:r w:rsidRPr="009A0DA6">
        <w:rPr>
          <w:rFonts w:ascii="Cambria" w:eastAsia="Calibri" w:hAnsi="Cambria" w:cs="Calibri"/>
        </w:rPr>
        <w:t xml:space="preserve">o </w:t>
      </w:r>
      <w:r w:rsidRPr="009A0DA6">
        <w:rPr>
          <w:rFonts w:ascii="Cambria" w:eastAsia="Calibri" w:hAnsi="Cambria" w:cs="Calibri"/>
          <w:spacing w:val="1"/>
        </w:rPr>
        <w:t>o</w:t>
      </w:r>
      <w:r w:rsidRPr="009A0DA6">
        <w:rPr>
          <w:rFonts w:ascii="Cambria" w:eastAsia="Calibri" w:hAnsi="Cambria" w:cs="Calibri"/>
          <w:spacing w:val="-1"/>
        </w:rPr>
        <w:t>pp</w:t>
      </w:r>
      <w:r w:rsidRPr="009A0DA6">
        <w:rPr>
          <w:rFonts w:ascii="Cambria" w:eastAsia="Calibri" w:hAnsi="Cambria" w:cs="Calibri"/>
          <w:spacing w:val="1"/>
        </w:rPr>
        <w:t>o</w:t>
      </w:r>
      <w:r w:rsidRPr="009A0DA6">
        <w:rPr>
          <w:rFonts w:ascii="Cambria" w:eastAsia="Calibri" w:hAnsi="Cambria" w:cs="Calibri"/>
          <w:spacing w:val="-2"/>
        </w:rPr>
        <w:t>s</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rPr>
        <w:t>it</w:t>
      </w:r>
      <w:r w:rsidRPr="009A0DA6">
        <w:rPr>
          <w:rFonts w:ascii="Cambria" w:eastAsia="Calibri" w:hAnsi="Cambria" w:cs="Calibri"/>
          <w:spacing w:val="-2"/>
        </w:rPr>
        <w:t xml:space="preserve"> </w:t>
      </w:r>
      <w:r w:rsidRPr="009A0DA6">
        <w:rPr>
          <w:rFonts w:ascii="Cambria" w:eastAsia="Calibri" w:hAnsi="Cambria" w:cs="Calibri"/>
          <w:spacing w:val="1"/>
        </w:rPr>
        <w:t>o</w:t>
      </w:r>
      <w:r w:rsidRPr="009A0DA6">
        <w:rPr>
          <w:rFonts w:ascii="Cambria" w:eastAsia="Calibri" w:hAnsi="Cambria" w:cs="Calibri"/>
        </w:rPr>
        <w:t>n s</w:t>
      </w:r>
      <w:r w:rsidRPr="009A0DA6">
        <w:rPr>
          <w:rFonts w:ascii="Cambria" w:eastAsia="Calibri" w:hAnsi="Cambria" w:cs="Calibri"/>
          <w:spacing w:val="-2"/>
        </w:rPr>
        <w:t>c</w:t>
      </w:r>
      <w:r w:rsidRPr="009A0DA6">
        <w:rPr>
          <w:rFonts w:ascii="Cambria" w:eastAsia="Calibri" w:hAnsi="Cambria" w:cs="Calibri"/>
        </w:rPr>
        <w:t>ri</w:t>
      </w:r>
      <w:r w:rsidRPr="009A0DA6">
        <w:rPr>
          <w:rFonts w:ascii="Cambria" w:eastAsia="Calibri" w:hAnsi="Cambria" w:cs="Calibri"/>
          <w:spacing w:val="-1"/>
        </w:rPr>
        <w:t>p</w:t>
      </w:r>
      <w:r w:rsidRPr="009A0DA6">
        <w:rPr>
          <w:rFonts w:ascii="Cambria" w:eastAsia="Calibri" w:hAnsi="Cambria" w:cs="Calibri"/>
        </w:rPr>
        <w:t>tur</w:t>
      </w:r>
      <w:r w:rsidRPr="009A0DA6">
        <w:rPr>
          <w:rFonts w:ascii="Cambria" w:eastAsia="Calibri" w:hAnsi="Cambria" w:cs="Calibri"/>
          <w:spacing w:val="-1"/>
        </w:rPr>
        <w:t>a</w:t>
      </w:r>
      <w:r w:rsidRPr="009A0DA6">
        <w:rPr>
          <w:rFonts w:ascii="Cambria" w:eastAsia="Calibri" w:hAnsi="Cambria" w:cs="Calibri"/>
        </w:rPr>
        <w:t xml:space="preserve">l </w:t>
      </w:r>
      <w:r w:rsidRPr="009A0DA6">
        <w:rPr>
          <w:rFonts w:ascii="Cambria" w:eastAsia="Calibri" w:hAnsi="Cambria" w:cs="Calibri"/>
          <w:spacing w:val="-1"/>
        </w:rPr>
        <w:t>g</w:t>
      </w:r>
      <w:r w:rsidRPr="009A0DA6">
        <w:rPr>
          <w:rFonts w:ascii="Cambria" w:eastAsia="Calibri" w:hAnsi="Cambria" w:cs="Calibri"/>
        </w:rPr>
        <w:t>r</w:t>
      </w:r>
      <w:r w:rsidRPr="009A0DA6">
        <w:rPr>
          <w:rFonts w:ascii="Cambria" w:eastAsia="Calibri" w:hAnsi="Cambria" w:cs="Calibri"/>
          <w:spacing w:val="-1"/>
        </w:rPr>
        <w:t>ound</w:t>
      </w:r>
      <w:r w:rsidRPr="009A0DA6">
        <w:rPr>
          <w:rFonts w:ascii="Cambria" w:eastAsia="Calibri" w:hAnsi="Cambria" w:cs="Calibri"/>
        </w:rPr>
        <w:t xml:space="preserve">s, </w:t>
      </w:r>
      <w:r w:rsidRPr="009A0DA6">
        <w:rPr>
          <w:rFonts w:ascii="Cambria" w:eastAsia="Calibri" w:hAnsi="Cambria" w:cs="Calibri"/>
          <w:spacing w:val="1"/>
        </w:rPr>
        <w:t>w</w:t>
      </w:r>
      <w:r w:rsidRPr="009A0DA6">
        <w:rPr>
          <w:rFonts w:ascii="Cambria" w:eastAsia="Calibri" w:hAnsi="Cambria" w:cs="Calibri"/>
          <w:spacing w:val="-1"/>
        </w:rPr>
        <w:t>o</w:t>
      </w:r>
      <w:r w:rsidRPr="009A0DA6">
        <w:rPr>
          <w:rFonts w:ascii="Cambria" w:eastAsia="Calibri" w:hAnsi="Cambria" w:cs="Calibri"/>
          <w:spacing w:val="1"/>
        </w:rPr>
        <w:t>m</w:t>
      </w:r>
      <w:r w:rsidRPr="009A0DA6">
        <w:rPr>
          <w:rFonts w:ascii="Cambria" w:eastAsia="Calibri" w:hAnsi="Cambria" w:cs="Calibri"/>
        </w:rPr>
        <w:t>en’s</w:t>
      </w:r>
      <w:r w:rsidRPr="009A0DA6">
        <w:rPr>
          <w:rFonts w:ascii="Cambria" w:eastAsia="Calibri" w:hAnsi="Cambria" w:cs="Calibri"/>
          <w:spacing w:val="-2"/>
        </w:rPr>
        <w:t xml:space="preserve"> </w:t>
      </w:r>
      <w:r w:rsidRPr="009A0DA6">
        <w:rPr>
          <w:rFonts w:ascii="Cambria" w:eastAsia="Calibri" w:hAnsi="Cambria" w:cs="Calibri"/>
          <w:spacing w:val="2"/>
        </w:rPr>
        <w:t>o</w:t>
      </w:r>
      <w:r w:rsidRPr="009A0DA6">
        <w:rPr>
          <w:rFonts w:ascii="Cambria" w:eastAsia="Calibri" w:hAnsi="Cambria" w:cs="Calibri"/>
        </w:rPr>
        <w:t>r</w:t>
      </w:r>
      <w:r w:rsidRPr="009A0DA6">
        <w:rPr>
          <w:rFonts w:ascii="Cambria" w:eastAsia="Calibri" w:hAnsi="Cambria" w:cs="Calibri"/>
          <w:spacing w:val="-1"/>
        </w:rPr>
        <w:t>d</w:t>
      </w:r>
      <w:r w:rsidRPr="009A0DA6">
        <w:rPr>
          <w:rFonts w:ascii="Cambria" w:eastAsia="Calibri" w:hAnsi="Cambria" w:cs="Calibri"/>
        </w:rPr>
        <w:t>i</w:t>
      </w:r>
      <w:r w:rsidRPr="009A0DA6">
        <w:rPr>
          <w:rFonts w:ascii="Cambria" w:eastAsia="Calibri" w:hAnsi="Cambria" w:cs="Calibri"/>
          <w:spacing w:val="-1"/>
        </w:rPr>
        <w:t>n</w:t>
      </w:r>
      <w:r w:rsidRPr="009A0DA6">
        <w:rPr>
          <w:rFonts w:ascii="Cambria" w:eastAsia="Calibri" w:hAnsi="Cambria" w:cs="Calibri"/>
        </w:rPr>
        <w:t>at</w:t>
      </w:r>
      <w:r w:rsidRPr="009A0DA6">
        <w:rPr>
          <w:rFonts w:ascii="Cambria" w:eastAsia="Calibri" w:hAnsi="Cambria" w:cs="Calibri"/>
          <w:spacing w:val="-2"/>
        </w:rPr>
        <w:t>i</w:t>
      </w:r>
      <w:r w:rsidRPr="009A0DA6">
        <w:rPr>
          <w:rFonts w:ascii="Cambria" w:eastAsia="Calibri" w:hAnsi="Cambria" w:cs="Calibri"/>
          <w:spacing w:val="1"/>
        </w:rPr>
        <w:t>o</w:t>
      </w:r>
      <w:r w:rsidRPr="009A0DA6">
        <w:rPr>
          <w:rFonts w:ascii="Cambria" w:eastAsia="Calibri" w:hAnsi="Cambria" w:cs="Calibri"/>
        </w:rPr>
        <w:t>n</w:t>
      </w:r>
      <w:r w:rsidRPr="009A0DA6">
        <w:rPr>
          <w:rFonts w:ascii="Cambria" w:eastAsia="Calibri" w:hAnsi="Cambria" w:cs="Calibri"/>
          <w:spacing w:val="-2"/>
        </w:rPr>
        <w:t xml:space="preserve"> </w:t>
      </w:r>
      <w:r w:rsidRPr="009A0DA6">
        <w:rPr>
          <w:rFonts w:ascii="Cambria" w:eastAsia="Calibri" w:hAnsi="Cambria" w:cs="Calibri"/>
          <w:spacing w:val="-1"/>
        </w:rPr>
        <w:t>h</w:t>
      </w:r>
      <w:r w:rsidRPr="009A0DA6">
        <w:rPr>
          <w:rFonts w:ascii="Cambria" w:eastAsia="Calibri" w:hAnsi="Cambria" w:cs="Calibri"/>
        </w:rPr>
        <w:t xml:space="preserve">as </w:t>
      </w:r>
      <w:r w:rsidRPr="009A0DA6">
        <w:rPr>
          <w:rFonts w:ascii="Cambria" w:eastAsia="Calibri" w:hAnsi="Cambria" w:cs="Calibri"/>
          <w:spacing w:val="1"/>
        </w:rPr>
        <w:t>t</w:t>
      </w:r>
      <w:r w:rsidRPr="009A0DA6">
        <w:rPr>
          <w:rFonts w:ascii="Cambria" w:eastAsia="Calibri" w:hAnsi="Cambria" w:cs="Calibri"/>
        </w:rPr>
        <w:t>o</w:t>
      </w:r>
      <w:r w:rsidRPr="009A0DA6">
        <w:rPr>
          <w:rFonts w:ascii="Cambria" w:eastAsia="Calibri" w:hAnsi="Cambria" w:cs="Calibri"/>
          <w:spacing w:val="-1"/>
        </w:rPr>
        <w:t xml:space="preserve"> </w:t>
      </w:r>
      <w:r w:rsidRPr="009A0DA6">
        <w:rPr>
          <w:rFonts w:ascii="Cambria" w:eastAsia="Calibri" w:hAnsi="Cambria" w:cs="Calibri"/>
        </w:rPr>
        <w:t>be</w:t>
      </w:r>
      <w:r w:rsidRPr="009A0DA6">
        <w:rPr>
          <w:rFonts w:ascii="Cambria" w:eastAsia="Calibri" w:hAnsi="Cambria" w:cs="Calibri"/>
          <w:spacing w:val="1"/>
        </w:rPr>
        <w:t xml:space="preserve"> </w:t>
      </w:r>
      <w:r w:rsidRPr="009A0DA6">
        <w:rPr>
          <w:rFonts w:ascii="Cambria" w:eastAsia="Calibri" w:hAnsi="Cambria" w:cs="Calibri"/>
        </w:rPr>
        <w:t>ch</w:t>
      </w:r>
      <w:r w:rsidRPr="009A0DA6">
        <w:rPr>
          <w:rFonts w:ascii="Cambria" w:eastAsia="Calibri" w:hAnsi="Cambria" w:cs="Calibri"/>
          <w:spacing w:val="-1"/>
        </w:rPr>
        <w:t>u</w:t>
      </w:r>
      <w:r w:rsidRPr="009A0DA6">
        <w:rPr>
          <w:rFonts w:ascii="Cambria" w:eastAsia="Calibri" w:hAnsi="Cambria" w:cs="Calibri"/>
        </w:rPr>
        <w:t>rch</w:t>
      </w:r>
      <w:r w:rsidRPr="009A0DA6">
        <w:rPr>
          <w:rFonts w:ascii="Cambria" w:eastAsia="Calibri" w:hAnsi="Cambria" w:cs="Calibri"/>
          <w:spacing w:val="-1"/>
        </w:rPr>
        <w:t xml:space="preserve"> </w:t>
      </w:r>
      <w:r w:rsidRPr="009A0DA6">
        <w:rPr>
          <w:rFonts w:ascii="Cambria" w:eastAsia="Calibri" w:hAnsi="Cambria" w:cs="Calibri"/>
        </w:rPr>
        <w:t>d</w:t>
      </w:r>
      <w:r w:rsidRPr="009A0DA6">
        <w:rPr>
          <w:rFonts w:ascii="Cambria" w:eastAsia="Calibri" w:hAnsi="Cambria" w:cs="Calibri"/>
          <w:spacing w:val="-3"/>
        </w:rPr>
        <w:t>i</w:t>
      </w:r>
      <w:r w:rsidRPr="009A0DA6">
        <w:rPr>
          <w:rFonts w:ascii="Cambria" w:eastAsia="Calibri" w:hAnsi="Cambria" w:cs="Calibri"/>
          <w:spacing w:val="1"/>
        </w:rPr>
        <w:t>v</w:t>
      </w:r>
      <w:r w:rsidRPr="009A0DA6">
        <w:rPr>
          <w:rFonts w:ascii="Cambria" w:eastAsia="Calibri" w:hAnsi="Cambria" w:cs="Calibri"/>
        </w:rPr>
        <w:t>is</w:t>
      </w:r>
      <w:r w:rsidRPr="009A0DA6">
        <w:rPr>
          <w:rFonts w:ascii="Cambria" w:eastAsia="Calibri" w:hAnsi="Cambria" w:cs="Calibri"/>
          <w:spacing w:val="-1"/>
        </w:rPr>
        <w:t>iv</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spacing w:val="-3"/>
        </w:rPr>
        <w:t>n</w:t>
      </w:r>
      <w:r w:rsidRPr="009A0DA6">
        <w:rPr>
          <w:rFonts w:ascii="Cambria" w:eastAsia="Calibri" w:hAnsi="Cambria" w:cs="Calibri"/>
        </w:rPr>
        <w:t>o</w:t>
      </w:r>
      <w:r w:rsidRPr="009A0DA6">
        <w:rPr>
          <w:rFonts w:ascii="Cambria" w:eastAsia="Calibri" w:hAnsi="Cambria" w:cs="Calibri"/>
          <w:spacing w:val="-1"/>
        </w:rPr>
        <w:t xml:space="preserve"> </w:t>
      </w:r>
      <w:r w:rsidRPr="009A0DA6">
        <w:rPr>
          <w:rFonts w:ascii="Cambria" w:eastAsia="Calibri" w:hAnsi="Cambria" w:cs="Calibri"/>
          <w:spacing w:val="1"/>
        </w:rPr>
        <w:t>m</w:t>
      </w:r>
      <w:r w:rsidRPr="009A0DA6">
        <w:rPr>
          <w:rFonts w:ascii="Cambria" w:eastAsia="Calibri" w:hAnsi="Cambria" w:cs="Calibri"/>
        </w:rPr>
        <w:t>at</w:t>
      </w:r>
      <w:r w:rsidRPr="009A0DA6">
        <w:rPr>
          <w:rFonts w:ascii="Cambria" w:eastAsia="Calibri" w:hAnsi="Cambria" w:cs="Calibri"/>
          <w:spacing w:val="-2"/>
        </w:rPr>
        <w:t>t</w:t>
      </w:r>
      <w:r w:rsidRPr="009A0DA6">
        <w:rPr>
          <w:rFonts w:ascii="Cambria" w:eastAsia="Calibri" w:hAnsi="Cambria" w:cs="Calibri"/>
        </w:rPr>
        <w:t>er</w:t>
      </w:r>
      <w:r w:rsidRPr="009A0DA6">
        <w:rPr>
          <w:rFonts w:ascii="Cambria" w:eastAsia="Calibri" w:hAnsi="Cambria" w:cs="Calibri"/>
          <w:spacing w:val="1"/>
        </w:rPr>
        <w:t xml:space="preserve"> </w:t>
      </w:r>
      <w:r w:rsidRPr="009A0DA6">
        <w:rPr>
          <w:rFonts w:ascii="Cambria" w:eastAsia="Calibri" w:hAnsi="Cambria" w:cs="Calibri"/>
          <w:spacing w:val="-3"/>
        </w:rPr>
        <w:t>h</w:t>
      </w:r>
      <w:r w:rsidRPr="009A0DA6">
        <w:rPr>
          <w:rFonts w:ascii="Cambria" w:eastAsia="Calibri" w:hAnsi="Cambria" w:cs="Calibri"/>
          <w:spacing w:val="1"/>
        </w:rPr>
        <w:t>o</w:t>
      </w:r>
      <w:r w:rsidRPr="009A0DA6">
        <w:rPr>
          <w:rFonts w:ascii="Cambria" w:eastAsia="Calibri" w:hAnsi="Cambria" w:cs="Calibri"/>
        </w:rPr>
        <w:t>w</w:t>
      </w:r>
      <w:r w:rsidRPr="009A0DA6">
        <w:rPr>
          <w:rFonts w:ascii="Cambria" w:eastAsia="Calibri" w:hAnsi="Cambria" w:cs="Calibri"/>
          <w:spacing w:val="-1"/>
        </w:rPr>
        <w:t xml:space="preserve"> </w:t>
      </w:r>
      <w:r w:rsidRPr="009A0DA6">
        <w:rPr>
          <w:rFonts w:ascii="Cambria" w:eastAsia="Calibri" w:hAnsi="Cambria" w:cs="Calibri"/>
          <w:spacing w:val="1"/>
        </w:rPr>
        <w:t>m</w:t>
      </w:r>
      <w:r w:rsidRPr="009A0DA6">
        <w:rPr>
          <w:rFonts w:ascii="Cambria" w:eastAsia="Calibri" w:hAnsi="Cambria" w:cs="Calibri"/>
          <w:spacing w:val="-1"/>
        </w:rPr>
        <w:t>u</w:t>
      </w:r>
      <w:r w:rsidRPr="009A0DA6">
        <w:rPr>
          <w:rFonts w:ascii="Cambria" w:eastAsia="Calibri" w:hAnsi="Cambria" w:cs="Calibri"/>
        </w:rPr>
        <w:t xml:space="preserve">ch </w:t>
      </w:r>
      <w:r w:rsidRPr="009A0DA6">
        <w:rPr>
          <w:rFonts w:ascii="Cambria" w:eastAsia="Calibri" w:hAnsi="Cambria" w:cs="Calibri"/>
          <w:spacing w:val="-1"/>
        </w:rPr>
        <w:t>h</w:t>
      </w:r>
      <w:r w:rsidRPr="009A0DA6">
        <w:rPr>
          <w:rFonts w:ascii="Cambria" w:eastAsia="Calibri" w:hAnsi="Cambria" w:cs="Calibri"/>
          <w:spacing w:val="-3"/>
        </w:rPr>
        <w:t>u</w:t>
      </w:r>
      <w:r w:rsidRPr="009A0DA6">
        <w:rPr>
          <w:rFonts w:ascii="Cambria" w:eastAsia="Calibri" w:hAnsi="Cambria" w:cs="Calibri"/>
          <w:spacing w:val="1"/>
        </w:rPr>
        <w:t>m</w:t>
      </w:r>
      <w:r w:rsidRPr="009A0DA6">
        <w:rPr>
          <w:rFonts w:ascii="Cambria" w:eastAsia="Calibri" w:hAnsi="Cambria" w:cs="Calibri"/>
        </w:rPr>
        <w:t xml:space="preserve">an </w:t>
      </w:r>
      <w:r w:rsidRPr="009A0DA6">
        <w:rPr>
          <w:rFonts w:ascii="Cambria" w:eastAsia="Calibri" w:hAnsi="Cambria" w:cs="Calibri"/>
          <w:spacing w:val="-1"/>
        </w:rPr>
        <w:t>g</w:t>
      </w:r>
      <w:r w:rsidRPr="009A0DA6">
        <w:rPr>
          <w:rFonts w:ascii="Cambria" w:eastAsia="Calibri" w:hAnsi="Cambria" w:cs="Calibri"/>
          <w:spacing w:val="1"/>
        </w:rPr>
        <w:t>oo</w:t>
      </w:r>
      <w:r w:rsidRPr="009A0DA6">
        <w:rPr>
          <w:rFonts w:ascii="Cambria" w:eastAsia="Calibri" w:hAnsi="Cambria" w:cs="Calibri"/>
        </w:rPr>
        <w:t>d-will</w:t>
      </w:r>
      <w:r w:rsidRPr="009A0DA6">
        <w:rPr>
          <w:rFonts w:ascii="Cambria" w:eastAsia="Calibri" w:hAnsi="Cambria" w:cs="Calibri"/>
          <w:spacing w:val="-3"/>
        </w:rPr>
        <w:t xml:space="preserve"> </w:t>
      </w:r>
      <w:r w:rsidRPr="009A0DA6">
        <w:rPr>
          <w:rFonts w:ascii="Cambria" w:eastAsia="Calibri" w:hAnsi="Cambria" w:cs="Calibri"/>
          <w:spacing w:val="1"/>
        </w:rPr>
        <w:t>o</w:t>
      </w:r>
      <w:r w:rsidRPr="009A0DA6">
        <w:rPr>
          <w:rFonts w:ascii="Cambria" w:eastAsia="Calibri" w:hAnsi="Cambria" w:cs="Calibri"/>
        </w:rPr>
        <w:t>r</w:t>
      </w:r>
      <w:r w:rsidRPr="009A0DA6">
        <w:rPr>
          <w:rFonts w:ascii="Cambria" w:eastAsia="Calibri" w:hAnsi="Cambria" w:cs="Calibri"/>
          <w:spacing w:val="-2"/>
        </w:rPr>
        <w:t xml:space="preserve"> </w:t>
      </w:r>
      <w:r w:rsidRPr="009A0DA6">
        <w:rPr>
          <w:rFonts w:ascii="Cambria" w:eastAsia="Calibri" w:hAnsi="Cambria" w:cs="Calibri"/>
        </w:rPr>
        <w:t>desire</w:t>
      </w:r>
      <w:r w:rsidRPr="009A0DA6">
        <w:rPr>
          <w:rFonts w:ascii="Cambria" w:eastAsia="Calibri" w:hAnsi="Cambria" w:cs="Calibri"/>
          <w:spacing w:val="-2"/>
        </w:rPr>
        <w:t xml:space="preserve"> </w:t>
      </w:r>
      <w:r w:rsidRPr="009A0DA6">
        <w:rPr>
          <w:rFonts w:ascii="Cambria" w:eastAsia="Calibri" w:hAnsi="Cambria" w:cs="Calibri"/>
        </w:rPr>
        <w:t>f</w:t>
      </w:r>
      <w:r w:rsidRPr="009A0DA6">
        <w:rPr>
          <w:rFonts w:ascii="Cambria" w:eastAsia="Calibri" w:hAnsi="Cambria" w:cs="Calibri"/>
          <w:spacing w:val="1"/>
        </w:rPr>
        <w:t>o</w:t>
      </w:r>
      <w:r w:rsidRPr="009A0DA6">
        <w:rPr>
          <w:rFonts w:ascii="Cambria" w:eastAsia="Calibri" w:hAnsi="Cambria" w:cs="Calibri"/>
        </w:rPr>
        <w:t>r</w:t>
      </w:r>
      <w:r w:rsidRPr="009A0DA6">
        <w:rPr>
          <w:rFonts w:ascii="Cambria" w:eastAsia="Calibri" w:hAnsi="Cambria" w:cs="Calibri"/>
          <w:spacing w:val="-2"/>
        </w:rPr>
        <w:t xml:space="preserve"> </w:t>
      </w:r>
      <w:r w:rsidRPr="009A0DA6">
        <w:rPr>
          <w:rFonts w:ascii="Cambria" w:eastAsia="Calibri" w:hAnsi="Cambria" w:cs="Calibri"/>
        </w:rPr>
        <w:t>u</w:t>
      </w:r>
      <w:r w:rsidRPr="009A0DA6">
        <w:rPr>
          <w:rFonts w:ascii="Cambria" w:eastAsia="Calibri" w:hAnsi="Cambria" w:cs="Calibri"/>
          <w:spacing w:val="-1"/>
        </w:rPr>
        <w:t>n</w:t>
      </w:r>
      <w:r w:rsidRPr="009A0DA6">
        <w:rPr>
          <w:rFonts w:ascii="Cambria" w:eastAsia="Calibri" w:hAnsi="Cambria" w:cs="Calibri"/>
        </w:rPr>
        <w:t>ity</w:t>
      </w:r>
      <w:r w:rsidRPr="009A0DA6">
        <w:rPr>
          <w:rFonts w:ascii="Cambria" w:eastAsia="Calibri" w:hAnsi="Cambria" w:cs="Calibri"/>
          <w:spacing w:val="1"/>
        </w:rPr>
        <w:t xml:space="preserve"> </w:t>
      </w:r>
      <w:r w:rsidRPr="009A0DA6">
        <w:rPr>
          <w:rFonts w:ascii="Cambria" w:eastAsia="Calibri" w:hAnsi="Cambria" w:cs="Calibri"/>
        </w:rPr>
        <w:t>abo</w:t>
      </w:r>
      <w:r w:rsidRPr="009A0DA6">
        <w:rPr>
          <w:rFonts w:ascii="Cambria" w:eastAsia="Calibri" w:hAnsi="Cambria" w:cs="Calibri"/>
          <w:spacing w:val="-1"/>
        </w:rPr>
        <w:t>und</w:t>
      </w:r>
      <w:r w:rsidRPr="009A0DA6">
        <w:rPr>
          <w:rFonts w:ascii="Cambria" w:eastAsia="Calibri" w:hAnsi="Cambria" w:cs="Calibri"/>
        </w:rPr>
        <w:t>s. If</w:t>
      </w:r>
      <w:r w:rsidRPr="009A0DA6">
        <w:rPr>
          <w:rFonts w:ascii="Cambria" w:eastAsia="Calibri" w:hAnsi="Cambria" w:cs="Calibri"/>
          <w:spacing w:val="-1"/>
        </w:rPr>
        <w:t xml:space="preserve"> </w:t>
      </w:r>
      <w:r w:rsidRPr="009A0DA6">
        <w:rPr>
          <w:rFonts w:ascii="Cambria" w:eastAsia="Calibri" w:hAnsi="Cambria" w:cs="Calibri"/>
        </w:rPr>
        <w:t>the</w:t>
      </w:r>
      <w:r w:rsidRPr="009A0DA6">
        <w:rPr>
          <w:rFonts w:ascii="Cambria" w:eastAsia="Calibri" w:hAnsi="Cambria" w:cs="Calibri"/>
          <w:spacing w:val="-2"/>
        </w:rPr>
        <w:t xml:space="preserve"> </w:t>
      </w:r>
      <w:r w:rsidRPr="009A0DA6">
        <w:rPr>
          <w:rFonts w:ascii="Cambria" w:eastAsia="Calibri" w:hAnsi="Cambria" w:cs="Calibri"/>
          <w:spacing w:val="1"/>
        </w:rPr>
        <w:t>L</w:t>
      </w:r>
      <w:r w:rsidRPr="009A0DA6">
        <w:rPr>
          <w:rFonts w:ascii="Cambria" w:eastAsia="Calibri" w:hAnsi="Cambria" w:cs="Calibri"/>
        </w:rPr>
        <w:t xml:space="preserve">CA </w:t>
      </w:r>
      <w:r w:rsidRPr="009A0DA6">
        <w:rPr>
          <w:rFonts w:ascii="Cambria" w:eastAsia="Calibri" w:hAnsi="Cambria" w:cs="Calibri"/>
          <w:spacing w:val="-1"/>
        </w:rPr>
        <w:t>w</w:t>
      </w:r>
      <w:r w:rsidRPr="009A0DA6">
        <w:rPr>
          <w:rFonts w:ascii="Cambria" w:eastAsia="Calibri" w:hAnsi="Cambria" w:cs="Calibri"/>
        </w:rPr>
        <w:t>ere</w:t>
      </w:r>
      <w:r w:rsidRPr="009A0DA6">
        <w:rPr>
          <w:rFonts w:ascii="Cambria" w:eastAsia="Calibri" w:hAnsi="Cambria" w:cs="Calibri"/>
          <w:spacing w:val="-4"/>
        </w:rPr>
        <w:t xml:space="preserve"> </w:t>
      </w:r>
      <w:r w:rsidRPr="009A0DA6">
        <w:rPr>
          <w:rFonts w:ascii="Cambria" w:eastAsia="Calibri" w:hAnsi="Cambria" w:cs="Calibri"/>
        </w:rPr>
        <w:t xml:space="preserve">to </w:t>
      </w:r>
      <w:r w:rsidRPr="009A0DA6">
        <w:rPr>
          <w:rFonts w:ascii="Cambria" w:eastAsia="Calibri" w:hAnsi="Cambria" w:cs="Calibri"/>
          <w:spacing w:val="1"/>
        </w:rPr>
        <w:t>o</w:t>
      </w:r>
      <w:r w:rsidRPr="009A0DA6">
        <w:rPr>
          <w:rFonts w:ascii="Cambria" w:eastAsia="Calibri" w:hAnsi="Cambria" w:cs="Calibri"/>
        </w:rPr>
        <w:t>r</w:t>
      </w:r>
      <w:r w:rsidRPr="009A0DA6">
        <w:rPr>
          <w:rFonts w:ascii="Cambria" w:eastAsia="Calibri" w:hAnsi="Cambria" w:cs="Calibri"/>
          <w:spacing w:val="-1"/>
        </w:rPr>
        <w:t>d</w:t>
      </w:r>
      <w:r w:rsidRPr="009A0DA6">
        <w:rPr>
          <w:rFonts w:ascii="Cambria" w:eastAsia="Calibri" w:hAnsi="Cambria" w:cs="Calibri"/>
        </w:rPr>
        <w:t>ain</w:t>
      </w:r>
      <w:r w:rsidRPr="009A0DA6">
        <w:rPr>
          <w:rFonts w:ascii="Cambria" w:eastAsia="Calibri" w:hAnsi="Cambria" w:cs="Calibri"/>
          <w:spacing w:val="-1"/>
        </w:rPr>
        <w:t xml:space="preserve"> wo</w:t>
      </w:r>
      <w:r w:rsidRPr="009A0DA6">
        <w:rPr>
          <w:rFonts w:ascii="Cambria" w:eastAsia="Calibri" w:hAnsi="Cambria" w:cs="Calibri"/>
          <w:spacing w:val="1"/>
        </w:rPr>
        <w:t>m</w:t>
      </w:r>
      <w:r w:rsidRPr="009A0DA6">
        <w:rPr>
          <w:rFonts w:ascii="Cambria" w:eastAsia="Calibri" w:hAnsi="Cambria" w:cs="Calibri"/>
        </w:rPr>
        <w:t>en,</w:t>
      </w:r>
      <w:r w:rsidRPr="009A0DA6">
        <w:rPr>
          <w:rFonts w:ascii="Cambria" w:eastAsia="Calibri" w:hAnsi="Cambria" w:cs="Calibri"/>
          <w:spacing w:val="-2"/>
        </w:rPr>
        <w:t xml:space="preserve"> </w:t>
      </w:r>
      <w:r w:rsidRPr="009A0DA6">
        <w:rPr>
          <w:rFonts w:ascii="Cambria" w:eastAsia="Calibri" w:hAnsi="Cambria" w:cs="Calibri"/>
        </w:rPr>
        <w:t>th</w:t>
      </w:r>
      <w:r w:rsidRPr="009A0DA6">
        <w:rPr>
          <w:rFonts w:ascii="Cambria" w:eastAsia="Calibri" w:hAnsi="Cambria" w:cs="Calibri"/>
          <w:spacing w:val="1"/>
        </w:rPr>
        <w:t>o</w:t>
      </w:r>
      <w:r w:rsidRPr="009A0DA6">
        <w:rPr>
          <w:rFonts w:ascii="Cambria" w:eastAsia="Calibri" w:hAnsi="Cambria" w:cs="Calibri"/>
          <w:spacing w:val="-2"/>
        </w:rPr>
        <w:t>s</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spacing w:val="-2"/>
        </w:rPr>
        <w:t>w</w:t>
      </w:r>
      <w:r w:rsidRPr="009A0DA6">
        <w:rPr>
          <w:rFonts w:ascii="Cambria" w:eastAsia="Calibri" w:hAnsi="Cambria" w:cs="Calibri"/>
          <w:spacing w:val="-1"/>
        </w:rPr>
        <w:t>h</w:t>
      </w:r>
      <w:r w:rsidRPr="009A0DA6">
        <w:rPr>
          <w:rFonts w:ascii="Cambria" w:eastAsia="Calibri" w:hAnsi="Cambria" w:cs="Calibri"/>
        </w:rPr>
        <w:t>o</w:t>
      </w:r>
      <w:r w:rsidRPr="009A0DA6">
        <w:rPr>
          <w:rFonts w:ascii="Cambria" w:eastAsia="Calibri" w:hAnsi="Cambria" w:cs="Calibri"/>
          <w:spacing w:val="1"/>
        </w:rPr>
        <w:t xml:space="preserve"> </w:t>
      </w:r>
      <w:r w:rsidRPr="009A0DA6">
        <w:rPr>
          <w:rFonts w:ascii="Cambria" w:eastAsia="Calibri" w:hAnsi="Cambria" w:cs="Calibri"/>
        </w:rPr>
        <w:t>r</w:t>
      </w:r>
      <w:r w:rsidRPr="009A0DA6">
        <w:rPr>
          <w:rFonts w:ascii="Cambria" w:eastAsia="Calibri" w:hAnsi="Cambria" w:cs="Calibri"/>
          <w:spacing w:val="-2"/>
        </w:rPr>
        <w:t>e</w:t>
      </w:r>
      <w:r w:rsidRPr="009A0DA6">
        <w:rPr>
          <w:rFonts w:ascii="Cambria" w:eastAsia="Calibri" w:hAnsi="Cambria" w:cs="Calibri"/>
          <w:spacing w:val="1"/>
        </w:rPr>
        <w:t>m</w:t>
      </w:r>
      <w:r w:rsidRPr="009A0DA6">
        <w:rPr>
          <w:rFonts w:ascii="Cambria" w:eastAsia="Calibri" w:hAnsi="Cambria" w:cs="Calibri"/>
        </w:rPr>
        <w:t>ain</w:t>
      </w:r>
      <w:r w:rsidRPr="009A0DA6">
        <w:rPr>
          <w:rFonts w:ascii="Cambria" w:eastAsia="Calibri" w:hAnsi="Cambria" w:cs="Calibri"/>
          <w:spacing w:val="-1"/>
        </w:rPr>
        <w:t xml:space="preserve"> </w:t>
      </w:r>
      <w:r w:rsidRPr="009A0DA6">
        <w:rPr>
          <w:rFonts w:ascii="Cambria" w:eastAsia="Calibri" w:hAnsi="Cambria" w:cs="Calibri"/>
          <w:spacing w:val="-2"/>
        </w:rPr>
        <w:t>c</w:t>
      </w:r>
      <w:r w:rsidRPr="009A0DA6">
        <w:rPr>
          <w:rFonts w:ascii="Cambria" w:eastAsia="Calibri" w:hAnsi="Cambria" w:cs="Calibri"/>
          <w:spacing w:val="1"/>
        </w:rPr>
        <w:t>o</w:t>
      </w:r>
      <w:r w:rsidRPr="009A0DA6">
        <w:rPr>
          <w:rFonts w:ascii="Cambria" w:eastAsia="Calibri" w:hAnsi="Cambria" w:cs="Calibri"/>
          <w:spacing w:val="-1"/>
        </w:rPr>
        <w:t>n</w:t>
      </w:r>
      <w:r w:rsidRPr="009A0DA6">
        <w:rPr>
          <w:rFonts w:ascii="Cambria" w:eastAsia="Calibri" w:hAnsi="Cambria" w:cs="Calibri"/>
          <w:spacing w:val="1"/>
        </w:rPr>
        <w:t>v</w:t>
      </w:r>
      <w:r w:rsidRPr="009A0DA6">
        <w:rPr>
          <w:rFonts w:ascii="Cambria" w:eastAsia="Calibri" w:hAnsi="Cambria" w:cs="Calibri"/>
        </w:rPr>
        <w:t>i</w:t>
      </w:r>
      <w:r w:rsidRPr="009A0DA6">
        <w:rPr>
          <w:rFonts w:ascii="Cambria" w:eastAsia="Calibri" w:hAnsi="Cambria" w:cs="Calibri"/>
          <w:spacing w:val="-1"/>
        </w:rPr>
        <w:t>n</w:t>
      </w:r>
      <w:r w:rsidRPr="009A0DA6">
        <w:rPr>
          <w:rFonts w:ascii="Cambria" w:eastAsia="Calibri" w:hAnsi="Cambria" w:cs="Calibri"/>
          <w:spacing w:val="-2"/>
        </w:rPr>
        <w:t>c</w:t>
      </w:r>
      <w:r w:rsidRPr="009A0DA6">
        <w:rPr>
          <w:rFonts w:ascii="Cambria" w:eastAsia="Calibri" w:hAnsi="Cambria" w:cs="Calibri"/>
        </w:rPr>
        <w:t>ed that</w:t>
      </w:r>
      <w:r w:rsidRPr="009A0DA6">
        <w:rPr>
          <w:rFonts w:ascii="Cambria" w:eastAsia="Calibri" w:hAnsi="Cambria" w:cs="Calibri"/>
          <w:spacing w:val="-4"/>
        </w:rPr>
        <w:t xml:space="preserve"> </w:t>
      </w:r>
      <w:r w:rsidRPr="009A0DA6">
        <w:rPr>
          <w:rFonts w:ascii="Cambria" w:eastAsia="Calibri" w:hAnsi="Cambria" w:cs="Calibri"/>
        </w:rPr>
        <w:t>G</w:t>
      </w:r>
      <w:r w:rsidRPr="009A0DA6">
        <w:rPr>
          <w:rFonts w:ascii="Cambria" w:eastAsia="Calibri" w:hAnsi="Cambria" w:cs="Calibri"/>
          <w:spacing w:val="1"/>
        </w:rPr>
        <w:t>o</w:t>
      </w:r>
      <w:r w:rsidRPr="009A0DA6">
        <w:rPr>
          <w:rFonts w:ascii="Cambria" w:eastAsia="Calibri" w:hAnsi="Cambria" w:cs="Calibri"/>
          <w:spacing w:val="-1"/>
        </w:rPr>
        <w:t>d</w:t>
      </w:r>
      <w:r w:rsidRPr="009A0DA6">
        <w:rPr>
          <w:rFonts w:ascii="Cambria" w:eastAsia="Calibri" w:hAnsi="Cambria" w:cs="Calibri"/>
        </w:rPr>
        <w:t>’s w</w:t>
      </w:r>
      <w:r w:rsidRPr="009A0DA6">
        <w:rPr>
          <w:rFonts w:ascii="Cambria" w:eastAsia="Calibri" w:hAnsi="Cambria" w:cs="Calibri"/>
          <w:spacing w:val="2"/>
        </w:rPr>
        <w:t>o</w:t>
      </w:r>
      <w:r w:rsidRPr="009A0DA6">
        <w:rPr>
          <w:rFonts w:ascii="Cambria" w:eastAsia="Calibri" w:hAnsi="Cambria" w:cs="Calibri"/>
        </w:rPr>
        <w:t>rd</w:t>
      </w:r>
      <w:r w:rsidRPr="009A0DA6">
        <w:rPr>
          <w:rFonts w:ascii="Cambria" w:eastAsia="Calibri" w:hAnsi="Cambria" w:cs="Calibri"/>
          <w:spacing w:val="-1"/>
        </w:rPr>
        <w:t xml:space="preserve"> </w:t>
      </w:r>
      <w:r w:rsidRPr="009A0DA6">
        <w:rPr>
          <w:rFonts w:ascii="Cambria" w:eastAsia="Calibri" w:hAnsi="Cambria" w:cs="Calibri"/>
        </w:rPr>
        <w:t>p</w:t>
      </w:r>
      <w:r w:rsidRPr="009A0DA6">
        <w:rPr>
          <w:rFonts w:ascii="Cambria" w:eastAsia="Calibri" w:hAnsi="Cambria" w:cs="Calibri"/>
          <w:spacing w:val="-3"/>
        </w:rPr>
        <w:t>r</w:t>
      </w:r>
      <w:r w:rsidRPr="009A0DA6">
        <w:rPr>
          <w:rFonts w:ascii="Cambria" w:eastAsia="Calibri" w:hAnsi="Cambria" w:cs="Calibri"/>
          <w:spacing w:val="1"/>
        </w:rPr>
        <w:t>o</w:t>
      </w:r>
      <w:r w:rsidRPr="009A0DA6">
        <w:rPr>
          <w:rFonts w:ascii="Cambria" w:eastAsia="Calibri" w:hAnsi="Cambria" w:cs="Calibri"/>
          <w:spacing w:val="-1"/>
        </w:rPr>
        <w:t>h</w:t>
      </w:r>
      <w:r w:rsidRPr="009A0DA6">
        <w:rPr>
          <w:rFonts w:ascii="Cambria" w:eastAsia="Calibri" w:hAnsi="Cambria" w:cs="Calibri"/>
        </w:rPr>
        <w:t>i</w:t>
      </w:r>
      <w:r w:rsidRPr="009A0DA6">
        <w:rPr>
          <w:rFonts w:ascii="Cambria" w:eastAsia="Calibri" w:hAnsi="Cambria" w:cs="Calibri"/>
          <w:spacing w:val="-1"/>
        </w:rPr>
        <w:t>b</w:t>
      </w:r>
      <w:r w:rsidRPr="009A0DA6">
        <w:rPr>
          <w:rFonts w:ascii="Cambria" w:eastAsia="Calibri" w:hAnsi="Cambria" w:cs="Calibri"/>
        </w:rPr>
        <w:t>its it</w:t>
      </w:r>
      <w:r w:rsidRPr="009A0DA6">
        <w:rPr>
          <w:rFonts w:ascii="Cambria" w:eastAsia="Calibri" w:hAnsi="Cambria" w:cs="Calibri"/>
          <w:spacing w:val="-1"/>
        </w:rPr>
        <w:t xml:space="preserve"> w</w:t>
      </w:r>
      <w:r w:rsidRPr="009A0DA6">
        <w:rPr>
          <w:rFonts w:ascii="Cambria" w:eastAsia="Calibri" w:hAnsi="Cambria" w:cs="Calibri"/>
          <w:spacing w:val="1"/>
        </w:rPr>
        <w:t>o</w:t>
      </w:r>
      <w:r w:rsidRPr="009A0DA6">
        <w:rPr>
          <w:rFonts w:ascii="Cambria" w:eastAsia="Calibri" w:hAnsi="Cambria" w:cs="Calibri"/>
          <w:spacing w:val="-1"/>
        </w:rPr>
        <w:t>u</w:t>
      </w:r>
      <w:r w:rsidRPr="009A0DA6">
        <w:rPr>
          <w:rFonts w:ascii="Cambria" w:eastAsia="Calibri" w:hAnsi="Cambria" w:cs="Calibri"/>
        </w:rPr>
        <w:t>ld</w:t>
      </w:r>
      <w:r w:rsidRPr="009A0DA6">
        <w:rPr>
          <w:rFonts w:ascii="Cambria" w:eastAsia="Calibri" w:hAnsi="Cambria" w:cs="Calibri"/>
          <w:spacing w:val="-1"/>
        </w:rPr>
        <w:t xml:space="preserve"> </w:t>
      </w:r>
      <w:r w:rsidRPr="009A0DA6">
        <w:rPr>
          <w:rFonts w:ascii="Cambria" w:eastAsia="Calibri" w:hAnsi="Cambria" w:cs="Calibri"/>
        </w:rPr>
        <w:t>n</w:t>
      </w:r>
      <w:r w:rsidRPr="009A0DA6">
        <w:rPr>
          <w:rFonts w:ascii="Cambria" w:eastAsia="Calibri" w:hAnsi="Cambria" w:cs="Calibri"/>
          <w:spacing w:val="1"/>
        </w:rPr>
        <w:t>o</w:t>
      </w:r>
      <w:r w:rsidRPr="009A0DA6">
        <w:rPr>
          <w:rFonts w:ascii="Cambria" w:eastAsia="Calibri" w:hAnsi="Cambria" w:cs="Calibri"/>
        </w:rPr>
        <w:t>t</w:t>
      </w:r>
      <w:r w:rsidRPr="009A0DA6">
        <w:rPr>
          <w:rFonts w:ascii="Cambria" w:eastAsia="Calibri" w:hAnsi="Cambria" w:cs="Calibri"/>
          <w:spacing w:val="-2"/>
        </w:rPr>
        <w:t xml:space="preserve"> </w:t>
      </w:r>
      <w:r w:rsidRPr="009A0DA6">
        <w:rPr>
          <w:rFonts w:ascii="Cambria" w:eastAsia="Calibri" w:hAnsi="Cambria" w:cs="Calibri"/>
        </w:rPr>
        <w:t>be</w:t>
      </w:r>
      <w:r w:rsidRPr="009A0DA6">
        <w:rPr>
          <w:rFonts w:ascii="Cambria" w:eastAsia="Calibri" w:hAnsi="Cambria" w:cs="Calibri"/>
          <w:spacing w:val="1"/>
        </w:rPr>
        <w:t xml:space="preserve"> </w:t>
      </w:r>
      <w:r w:rsidRPr="009A0DA6">
        <w:rPr>
          <w:rFonts w:ascii="Cambria" w:eastAsia="Calibri" w:hAnsi="Cambria" w:cs="Calibri"/>
        </w:rPr>
        <w:t>a</w:t>
      </w:r>
      <w:r w:rsidRPr="009A0DA6">
        <w:rPr>
          <w:rFonts w:ascii="Cambria" w:eastAsia="Calibri" w:hAnsi="Cambria" w:cs="Calibri"/>
          <w:spacing w:val="-1"/>
        </w:rPr>
        <w:t>b</w:t>
      </w:r>
      <w:r w:rsidRPr="009A0DA6">
        <w:rPr>
          <w:rFonts w:ascii="Cambria" w:eastAsia="Calibri" w:hAnsi="Cambria" w:cs="Calibri"/>
        </w:rPr>
        <w:t>le</w:t>
      </w:r>
      <w:r w:rsidRPr="009A0DA6">
        <w:rPr>
          <w:rFonts w:ascii="Cambria" w:eastAsia="Calibri" w:hAnsi="Cambria" w:cs="Calibri"/>
          <w:spacing w:val="-1"/>
        </w:rPr>
        <w:t xml:space="preserve"> </w:t>
      </w:r>
      <w:r w:rsidRPr="009A0DA6">
        <w:rPr>
          <w:rFonts w:ascii="Cambria" w:eastAsia="Calibri" w:hAnsi="Cambria" w:cs="Calibri"/>
        </w:rPr>
        <w:t>to</w:t>
      </w:r>
      <w:r w:rsidRPr="009A0DA6">
        <w:rPr>
          <w:rFonts w:ascii="Cambria" w:eastAsia="Calibri" w:hAnsi="Cambria" w:cs="Calibri"/>
          <w:spacing w:val="-1"/>
        </w:rPr>
        <w:t xml:space="preserve"> </w:t>
      </w:r>
      <w:r w:rsidRPr="009A0DA6">
        <w:rPr>
          <w:rFonts w:ascii="Cambria" w:eastAsia="Calibri" w:hAnsi="Cambria" w:cs="Calibri"/>
        </w:rPr>
        <w:t>go</w:t>
      </w:r>
      <w:r w:rsidRPr="009A0DA6">
        <w:rPr>
          <w:rFonts w:ascii="Cambria" w:eastAsia="Calibri" w:hAnsi="Cambria" w:cs="Calibri"/>
          <w:spacing w:val="1"/>
        </w:rPr>
        <w:t xml:space="preserve"> </w:t>
      </w:r>
      <w:r w:rsidRPr="009A0DA6">
        <w:rPr>
          <w:rFonts w:ascii="Cambria" w:eastAsia="Calibri" w:hAnsi="Cambria" w:cs="Calibri"/>
        </w:rPr>
        <w:t>a</w:t>
      </w:r>
      <w:r w:rsidRPr="009A0DA6">
        <w:rPr>
          <w:rFonts w:ascii="Cambria" w:eastAsia="Calibri" w:hAnsi="Cambria" w:cs="Calibri"/>
          <w:spacing w:val="-2"/>
        </w:rPr>
        <w:t>l</w:t>
      </w:r>
      <w:r w:rsidRPr="009A0DA6">
        <w:rPr>
          <w:rFonts w:ascii="Cambria" w:eastAsia="Calibri" w:hAnsi="Cambria" w:cs="Calibri"/>
          <w:spacing w:val="1"/>
        </w:rPr>
        <w:t>o</w:t>
      </w:r>
      <w:r w:rsidRPr="009A0DA6">
        <w:rPr>
          <w:rFonts w:ascii="Cambria" w:eastAsia="Calibri" w:hAnsi="Cambria" w:cs="Calibri"/>
          <w:spacing w:val="-1"/>
        </w:rPr>
        <w:t>n</w:t>
      </w:r>
      <w:r w:rsidRPr="009A0DA6">
        <w:rPr>
          <w:rFonts w:ascii="Cambria" w:eastAsia="Calibri" w:hAnsi="Cambria" w:cs="Calibri"/>
        </w:rPr>
        <w:t>g</w:t>
      </w:r>
      <w:r w:rsidRPr="009A0DA6">
        <w:rPr>
          <w:rFonts w:ascii="Cambria" w:eastAsia="Calibri" w:hAnsi="Cambria" w:cs="Calibri"/>
          <w:spacing w:val="-1"/>
        </w:rPr>
        <w:t xml:space="preserve"> </w:t>
      </w:r>
      <w:r w:rsidRPr="009A0DA6">
        <w:rPr>
          <w:rFonts w:ascii="Cambria" w:eastAsia="Calibri" w:hAnsi="Cambria" w:cs="Calibri"/>
          <w:spacing w:val="1"/>
        </w:rPr>
        <w:t>w</w:t>
      </w:r>
      <w:r w:rsidRPr="009A0DA6">
        <w:rPr>
          <w:rFonts w:ascii="Cambria" w:eastAsia="Calibri" w:hAnsi="Cambria" w:cs="Calibri"/>
          <w:spacing w:val="-3"/>
        </w:rPr>
        <w:t>i</w:t>
      </w:r>
      <w:r w:rsidRPr="009A0DA6">
        <w:rPr>
          <w:rFonts w:ascii="Cambria" w:eastAsia="Calibri" w:hAnsi="Cambria" w:cs="Calibri"/>
        </w:rPr>
        <w:t>th it</w:t>
      </w:r>
      <w:r w:rsidRPr="009A0DA6">
        <w:rPr>
          <w:rFonts w:ascii="Cambria" w:eastAsia="Calibri" w:hAnsi="Cambria" w:cs="Calibri"/>
          <w:spacing w:val="-1"/>
        </w:rPr>
        <w:t xml:space="preserve"> </w:t>
      </w:r>
      <w:r w:rsidRPr="009A0DA6">
        <w:rPr>
          <w:rFonts w:ascii="Cambria" w:eastAsia="Calibri" w:hAnsi="Cambria" w:cs="Calibri"/>
        </w:rPr>
        <w:t>in</w:t>
      </w:r>
      <w:r w:rsidRPr="009A0DA6">
        <w:rPr>
          <w:rFonts w:ascii="Cambria" w:eastAsia="Calibri" w:hAnsi="Cambria" w:cs="Calibri"/>
          <w:spacing w:val="-1"/>
        </w:rPr>
        <w:t xml:space="preserve"> </w:t>
      </w:r>
      <w:r w:rsidRPr="009A0DA6">
        <w:rPr>
          <w:rFonts w:ascii="Cambria" w:eastAsia="Calibri" w:hAnsi="Cambria" w:cs="Calibri"/>
        </w:rPr>
        <w:t>g</w:t>
      </w:r>
      <w:r w:rsidRPr="009A0DA6">
        <w:rPr>
          <w:rFonts w:ascii="Cambria" w:eastAsia="Calibri" w:hAnsi="Cambria" w:cs="Calibri"/>
          <w:spacing w:val="1"/>
        </w:rPr>
        <w:t>oo</w:t>
      </w:r>
      <w:r w:rsidRPr="009A0DA6">
        <w:rPr>
          <w:rFonts w:ascii="Cambria" w:eastAsia="Calibri" w:hAnsi="Cambria" w:cs="Calibri"/>
        </w:rPr>
        <w:t>d c</w:t>
      </w:r>
      <w:r w:rsidRPr="009A0DA6">
        <w:rPr>
          <w:rFonts w:ascii="Cambria" w:eastAsia="Calibri" w:hAnsi="Cambria" w:cs="Calibri"/>
          <w:spacing w:val="1"/>
        </w:rPr>
        <w:t>o</w:t>
      </w:r>
      <w:r w:rsidRPr="009A0DA6">
        <w:rPr>
          <w:rFonts w:ascii="Cambria" w:eastAsia="Calibri" w:hAnsi="Cambria" w:cs="Calibri"/>
          <w:spacing w:val="-1"/>
        </w:rPr>
        <w:t>n</w:t>
      </w:r>
      <w:r w:rsidRPr="009A0DA6">
        <w:rPr>
          <w:rFonts w:ascii="Cambria" w:eastAsia="Calibri" w:hAnsi="Cambria" w:cs="Calibri"/>
        </w:rPr>
        <w:t>sc</w:t>
      </w:r>
      <w:r w:rsidRPr="009A0DA6">
        <w:rPr>
          <w:rFonts w:ascii="Cambria" w:eastAsia="Calibri" w:hAnsi="Cambria" w:cs="Calibri"/>
          <w:spacing w:val="-2"/>
        </w:rPr>
        <w:t>i</w:t>
      </w:r>
      <w:r w:rsidRPr="009A0DA6">
        <w:rPr>
          <w:rFonts w:ascii="Cambria" w:eastAsia="Calibri" w:hAnsi="Cambria" w:cs="Calibri"/>
        </w:rPr>
        <w:t>ence.</w:t>
      </w:r>
      <w:r w:rsidRPr="009A0DA6">
        <w:rPr>
          <w:rFonts w:ascii="Cambria" w:eastAsia="Calibri" w:hAnsi="Cambria" w:cs="Calibri"/>
          <w:spacing w:val="-2"/>
        </w:rPr>
        <w:t xml:space="preserve"> </w:t>
      </w:r>
      <w:r w:rsidRPr="009A0DA6">
        <w:rPr>
          <w:rFonts w:ascii="Cambria" w:eastAsia="Calibri" w:hAnsi="Cambria" w:cs="Calibri"/>
        </w:rPr>
        <w:t>Tho</w:t>
      </w:r>
      <w:r w:rsidRPr="009A0DA6">
        <w:rPr>
          <w:rFonts w:ascii="Cambria" w:eastAsia="Calibri" w:hAnsi="Cambria" w:cs="Calibri"/>
          <w:spacing w:val="-2"/>
        </w:rPr>
        <w:t>s</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rPr>
        <w:t>who</w:t>
      </w:r>
      <w:r w:rsidRPr="009A0DA6">
        <w:rPr>
          <w:rFonts w:ascii="Cambria" w:eastAsia="Calibri" w:hAnsi="Cambria" w:cs="Calibri"/>
          <w:spacing w:val="1"/>
        </w:rPr>
        <w:t xml:space="preserve"> </w:t>
      </w:r>
      <w:r w:rsidRPr="009A0DA6">
        <w:rPr>
          <w:rFonts w:ascii="Cambria" w:eastAsia="Calibri" w:hAnsi="Cambria" w:cs="Calibri"/>
          <w:spacing w:val="-2"/>
        </w:rPr>
        <w:t>r</w:t>
      </w:r>
      <w:r w:rsidRPr="009A0DA6">
        <w:rPr>
          <w:rFonts w:ascii="Cambria" w:eastAsia="Calibri" w:hAnsi="Cambria" w:cs="Calibri"/>
        </w:rPr>
        <w:t>efuse</w:t>
      </w:r>
      <w:r w:rsidRPr="009A0DA6">
        <w:rPr>
          <w:rFonts w:ascii="Cambria" w:eastAsia="Calibri" w:hAnsi="Cambria" w:cs="Calibri"/>
          <w:spacing w:val="-2"/>
        </w:rPr>
        <w:t xml:space="preserve"> </w:t>
      </w:r>
      <w:r w:rsidRPr="009A0DA6">
        <w:rPr>
          <w:rFonts w:ascii="Cambria" w:eastAsia="Calibri" w:hAnsi="Cambria" w:cs="Calibri"/>
        </w:rPr>
        <w:t>to</w:t>
      </w:r>
      <w:r w:rsidRPr="009A0DA6">
        <w:rPr>
          <w:rFonts w:ascii="Cambria" w:eastAsia="Calibri" w:hAnsi="Cambria" w:cs="Calibri"/>
          <w:spacing w:val="-1"/>
        </w:rPr>
        <w:t xml:space="preserve"> </w:t>
      </w:r>
      <w:r w:rsidRPr="009A0DA6">
        <w:rPr>
          <w:rFonts w:ascii="Cambria" w:eastAsia="Calibri" w:hAnsi="Cambria" w:cs="Calibri"/>
          <w:spacing w:val="1"/>
        </w:rPr>
        <w:t>v</w:t>
      </w:r>
      <w:r w:rsidRPr="009A0DA6">
        <w:rPr>
          <w:rFonts w:ascii="Cambria" w:eastAsia="Calibri" w:hAnsi="Cambria" w:cs="Calibri"/>
          <w:spacing w:val="-3"/>
        </w:rPr>
        <w:t>i</w:t>
      </w:r>
      <w:r w:rsidRPr="009A0DA6">
        <w:rPr>
          <w:rFonts w:ascii="Cambria" w:eastAsia="Calibri" w:hAnsi="Cambria" w:cs="Calibri"/>
          <w:spacing w:val="1"/>
        </w:rPr>
        <w:t>o</w:t>
      </w:r>
      <w:r w:rsidRPr="009A0DA6">
        <w:rPr>
          <w:rFonts w:ascii="Cambria" w:eastAsia="Calibri" w:hAnsi="Cambria" w:cs="Calibri"/>
        </w:rPr>
        <w:t>late</w:t>
      </w:r>
      <w:r w:rsidRPr="009A0DA6">
        <w:rPr>
          <w:rFonts w:ascii="Cambria" w:eastAsia="Calibri" w:hAnsi="Cambria" w:cs="Calibri"/>
          <w:spacing w:val="-2"/>
        </w:rPr>
        <w:t xml:space="preserve">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eir c</w:t>
      </w:r>
      <w:r w:rsidRPr="009A0DA6">
        <w:rPr>
          <w:rFonts w:ascii="Cambria" w:eastAsia="Calibri" w:hAnsi="Cambria" w:cs="Calibri"/>
          <w:spacing w:val="1"/>
        </w:rPr>
        <w:t>o</w:t>
      </w:r>
      <w:r w:rsidRPr="009A0DA6">
        <w:rPr>
          <w:rFonts w:ascii="Cambria" w:eastAsia="Calibri" w:hAnsi="Cambria" w:cs="Calibri"/>
          <w:spacing w:val="-1"/>
        </w:rPr>
        <w:t>n</w:t>
      </w:r>
      <w:r w:rsidRPr="009A0DA6">
        <w:rPr>
          <w:rFonts w:ascii="Cambria" w:eastAsia="Calibri" w:hAnsi="Cambria" w:cs="Calibri"/>
        </w:rPr>
        <w:t>scie</w:t>
      </w:r>
      <w:r w:rsidRPr="009A0DA6">
        <w:rPr>
          <w:rFonts w:ascii="Cambria" w:eastAsia="Calibri" w:hAnsi="Cambria" w:cs="Calibri"/>
          <w:spacing w:val="-3"/>
        </w:rPr>
        <w:t>n</w:t>
      </w:r>
      <w:r w:rsidRPr="009A0DA6">
        <w:rPr>
          <w:rFonts w:ascii="Cambria" w:eastAsia="Calibri" w:hAnsi="Cambria" w:cs="Calibri"/>
        </w:rPr>
        <w:t>ce</w:t>
      </w:r>
      <w:r w:rsidRPr="009A0DA6">
        <w:rPr>
          <w:rFonts w:ascii="Cambria" w:eastAsia="Calibri" w:hAnsi="Cambria" w:cs="Calibri"/>
          <w:spacing w:val="-1"/>
        </w:rPr>
        <w:t xml:space="preserve"> </w:t>
      </w:r>
      <w:r w:rsidRPr="009A0DA6">
        <w:rPr>
          <w:rFonts w:ascii="Cambria" w:eastAsia="Calibri" w:hAnsi="Cambria" w:cs="Calibri"/>
        </w:rPr>
        <w:t>w</w:t>
      </w:r>
      <w:r w:rsidRPr="009A0DA6">
        <w:rPr>
          <w:rFonts w:ascii="Cambria" w:eastAsia="Calibri" w:hAnsi="Cambria" w:cs="Calibri"/>
          <w:spacing w:val="2"/>
        </w:rPr>
        <w:t>o</w:t>
      </w:r>
      <w:r w:rsidRPr="009A0DA6">
        <w:rPr>
          <w:rFonts w:ascii="Cambria" w:eastAsia="Calibri" w:hAnsi="Cambria" w:cs="Calibri"/>
          <w:spacing w:val="-1"/>
        </w:rPr>
        <w:t>u</w:t>
      </w:r>
      <w:r w:rsidRPr="009A0DA6">
        <w:rPr>
          <w:rFonts w:ascii="Cambria" w:eastAsia="Calibri" w:hAnsi="Cambria" w:cs="Calibri"/>
        </w:rPr>
        <w:t>ld</w:t>
      </w:r>
      <w:r w:rsidRPr="009A0DA6">
        <w:rPr>
          <w:rFonts w:ascii="Cambria" w:eastAsia="Calibri" w:hAnsi="Cambria" w:cs="Calibri"/>
          <w:spacing w:val="-3"/>
        </w:rPr>
        <w:t xml:space="preserve"> </w:t>
      </w:r>
      <w:r w:rsidRPr="009A0DA6">
        <w:rPr>
          <w:rFonts w:ascii="Cambria" w:eastAsia="Calibri" w:hAnsi="Cambria" w:cs="Calibri"/>
        </w:rPr>
        <w:t>there</w:t>
      </w:r>
      <w:r w:rsidRPr="009A0DA6">
        <w:rPr>
          <w:rFonts w:ascii="Cambria" w:eastAsia="Calibri" w:hAnsi="Cambria" w:cs="Calibri"/>
          <w:spacing w:val="-2"/>
        </w:rPr>
        <w:t>f</w:t>
      </w:r>
      <w:r w:rsidRPr="009A0DA6">
        <w:rPr>
          <w:rFonts w:ascii="Cambria" w:eastAsia="Calibri" w:hAnsi="Cambria" w:cs="Calibri"/>
          <w:spacing w:val="1"/>
        </w:rPr>
        <w:t>o</w:t>
      </w:r>
      <w:r w:rsidRPr="009A0DA6">
        <w:rPr>
          <w:rFonts w:ascii="Cambria" w:eastAsia="Calibri" w:hAnsi="Cambria" w:cs="Calibri"/>
          <w:spacing w:val="-3"/>
        </w:rPr>
        <w:t>r</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spacing w:val="-1"/>
        </w:rPr>
        <w:t>b</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spacing w:val="-3"/>
        </w:rPr>
        <w:t>f</w:t>
      </w:r>
      <w:r w:rsidRPr="009A0DA6">
        <w:rPr>
          <w:rFonts w:ascii="Cambria" w:eastAsia="Calibri" w:hAnsi="Cambria" w:cs="Calibri"/>
          <w:spacing w:val="1"/>
        </w:rPr>
        <w:t>o</w:t>
      </w:r>
      <w:r w:rsidRPr="009A0DA6">
        <w:rPr>
          <w:rFonts w:ascii="Cambria" w:eastAsia="Calibri" w:hAnsi="Cambria" w:cs="Calibri"/>
        </w:rPr>
        <w:t>r</w:t>
      </w:r>
      <w:r w:rsidRPr="009A0DA6">
        <w:rPr>
          <w:rFonts w:ascii="Cambria" w:eastAsia="Calibri" w:hAnsi="Cambria" w:cs="Calibri"/>
          <w:spacing w:val="-2"/>
        </w:rPr>
        <w:t>c</w:t>
      </w:r>
      <w:r w:rsidRPr="009A0DA6">
        <w:rPr>
          <w:rFonts w:ascii="Cambria" w:eastAsia="Calibri" w:hAnsi="Cambria" w:cs="Calibri"/>
        </w:rPr>
        <w:t xml:space="preserve">ed </w:t>
      </w:r>
      <w:r w:rsidRPr="009A0DA6">
        <w:rPr>
          <w:rFonts w:ascii="Cambria" w:eastAsia="Calibri" w:hAnsi="Cambria" w:cs="Calibri"/>
          <w:spacing w:val="-2"/>
        </w:rPr>
        <w:t>t</w:t>
      </w:r>
      <w:r w:rsidRPr="009A0DA6">
        <w:rPr>
          <w:rFonts w:ascii="Cambria" w:eastAsia="Calibri" w:hAnsi="Cambria" w:cs="Calibri"/>
        </w:rPr>
        <w:t>o</w:t>
      </w:r>
      <w:r w:rsidRPr="009A0DA6">
        <w:rPr>
          <w:rFonts w:ascii="Cambria" w:eastAsia="Calibri" w:hAnsi="Cambria" w:cs="Calibri"/>
          <w:spacing w:val="1"/>
        </w:rPr>
        <w:t xml:space="preserve"> </w:t>
      </w:r>
      <w:r w:rsidRPr="009A0DA6">
        <w:rPr>
          <w:rFonts w:ascii="Cambria" w:eastAsia="Calibri" w:hAnsi="Cambria" w:cs="Calibri"/>
          <w:spacing w:val="-1"/>
        </w:rPr>
        <w:t>e</w:t>
      </w:r>
      <w:r w:rsidRPr="009A0DA6">
        <w:rPr>
          <w:rFonts w:ascii="Cambria" w:eastAsia="Calibri" w:hAnsi="Cambria" w:cs="Calibri"/>
        </w:rPr>
        <w:t>xclu</w:t>
      </w:r>
      <w:r w:rsidRPr="009A0DA6">
        <w:rPr>
          <w:rFonts w:ascii="Cambria" w:eastAsia="Calibri" w:hAnsi="Cambria" w:cs="Calibri"/>
          <w:spacing w:val="-1"/>
        </w:rPr>
        <w:t>d</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rPr>
        <w:t>t</w:t>
      </w:r>
      <w:r w:rsidRPr="009A0DA6">
        <w:rPr>
          <w:rFonts w:ascii="Cambria" w:eastAsia="Calibri" w:hAnsi="Cambria" w:cs="Calibri"/>
          <w:spacing w:val="-3"/>
        </w:rPr>
        <w:t>h</w:t>
      </w:r>
      <w:r w:rsidRPr="009A0DA6">
        <w:rPr>
          <w:rFonts w:ascii="Cambria" w:eastAsia="Calibri" w:hAnsi="Cambria" w:cs="Calibri"/>
          <w:spacing w:val="-2"/>
        </w:rPr>
        <w:t>e</w:t>
      </w:r>
      <w:r w:rsidRPr="009A0DA6">
        <w:rPr>
          <w:rFonts w:ascii="Cambria" w:eastAsia="Calibri" w:hAnsi="Cambria" w:cs="Calibri"/>
          <w:spacing w:val="1"/>
        </w:rPr>
        <w:t>m</w:t>
      </w:r>
      <w:r w:rsidRPr="009A0DA6">
        <w:rPr>
          <w:rFonts w:ascii="Cambria" w:eastAsia="Calibri" w:hAnsi="Cambria" w:cs="Calibri"/>
        </w:rPr>
        <w:t>se</w:t>
      </w:r>
      <w:r w:rsidRPr="009A0DA6">
        <w:rPr>
          <w:rFonts w:ascii="Cambria" w:eastAsia="Calibri" w:hAnsi="Cambria" w:cs="Calibri"/>
          <w:spacing w:val="-2"/>
        </w:rPr>
        <w:t>l</w:t>
      </w:r>
      <w:r w:rsidRPr="009A0DA6">
        <w:rPr>
          <w:rFonts w:ascii="Cambria" w:eastAsia="Calibri" w:hAnsi="Cambria" w:cs="Calibri"/>
          <w:spacing w:val="1"/>
        </w:rPr>
        <w:t>v</w:t>
      </w:r>
      <w:r w:rsidRPr="009A0DA6">
        <w:rPr>
          <w:rFonts w:ascii="Cambria" w:eastAsia="Calibri" w:hAnsi="Cambria" w:cs="Calibri"/>
        </w:rPr>
        <w:t>es</w:t>
      </w:r>
      <w:r w:rsidRPr="009A0DA6">
        <w:rPr>
          <w:rFonts w:ascii="Cambria" w:eastAsia="Calibri" w:hAnsi="Cambria" w:cs="Calibri"/>
          <w:spacing w:val="-2"/>
        </w:rPr>
        <w:t xml:space="preserve"> </w:t>
      </w:r>
      <w:r w:rsidRPr="009A0DA6">
        <w:rPr>
          <w:rFonts w:ascii="Cambria" w:eastAsia="Calibri" w:hAnsi="Cambria" w:cs="Calibri"/>
        </w:rPr>
        <w:t>fr</w:t>
      </w:r>
      <w:r w:rsidRPr="009A0DA6">
        <w:rPr>
          <w:rFonts w:ascii="Cambria" w:eastAsia="Calibri" w:hAnsi="Cambria" w:cs="Calibri"/>
          <w:spacing w:val="-1"/>
        </w:rPr>
        <w:t>o</w:t>
      </w:r>
      <w:r w:rsidRPr="009A0DA6">
        <w:rPr>
          <w:rFonts w:ascii="Cambria" w:eastAsia="Calibri" w:hAnsi="Cambria" w:cs="Calibri"/>
        </w:rPr>
        <w:t>m</w:t>
      </w:r>
      <w:r w:rsidRPr="009A0DA6">
        <w:rPr>
          <w:rFonts w:ascii="Cambria" w:eastAsia="Calibri" w:hAnsi="Cambria" w:cs="Calibri"/>
          <w:spacing w:val="-1"/>
        </w:rPr>
        <w:t xml:space="preserve"> </w:t>
      </w:r>
      <w:r w:rsidRPr="009A0DA6">
        <w:rPr>
          <w:rFonts w:ascii="Cambria" w:eastAsia="Calibri" w:hAnsi="Cambria" w:cs="Calibri"/>
        </w:rPr>
        <w:t>a</w:t>
      </w:r>
      <w:r w:rsidRPr="009A0DA6">
        <w:rPr>
          <w:rFonts w:ascii="Cambria" w:eastAsia="Calibri" w:hAnsi="Cambria" w:cs="Calibri"/>
          <w:spacing w:val="-1"/>
        </w:rPr>
        <w:t>n</w:t>
      </w:r>
      <w:r w:rsidRPr="009A0DA6">
        <w:rPr>
          <w:rFonts w:ascii="Cambria" w:eastAsia="Calibri" w:hAnsi="Cambria" w:cs="Calibri"/>
        </w:rPr>
        <w:t>y</w:t>
      </w:r>
      <w:r w:rsidRPr="009A0DA6">
        <w:rPr>
          <w:rFonts w:ascii="Cambria" w:eastAsia="Calibri" w:hAnsi="Cambria" w:cs="Calibri"/>
          <w:spacing w:val="1"/>
        </w:rPr>
        <w:t xml:space="preserve"> </w:t>
      </w:r>
      <w:r w:rsidRPr="009A0DA6">
        <w:rPr>
          <w:rFonts w:ascii="Cambria" w:eastAsia="Calibri" w:hAnsi="Cambria" w:cs="Calibri"/>
          <w:spacing w:val="-2"/>
        </w:rPr>
        <w:t>s</w:t>
      </w:r>
      <w:r w:rsidRPr="009A0DA6">
        <w:rPr>
          <w:rFonts w:ascii="Cambria" w:eastAsia="Calibri" w:hAnsi="Cambria" w:cs="Calibri"/>
        </w:rPr>
        <w:t>er</w:t>
      </w:r>
      <w:r w:rsidRPr="009A0DA6">
        <w:rPr>
          <w:rFonts w:ascii="Cambria" w:eastAsia="Calibri" w:hAnsi="Cambria" w:cs="Calibri"/>
          <w:spacing w:val="1"/>
        </w:rPr>
        <w:t>v</w:t>
      </w:r>
      <w:r w:rsidRPr="009A0DA6">
        <w:rPr>
          <w:rFonts w:ascii="Cambria" w:eastAsia="Calibri" w:hAnsi="Cambria" w:cs="Calibri"/>
        </w:rPr>
        <w:t>i</w:t>
      </w:r>
      <w:r w:rsidRPr="009A0DA6">
        <w:rPr>
          <w:rFonts w:ascii="Cambria" w:eastAsia="Calibri" w:hAnsi="Cambria" w:cs="Calibri"/>
          <w:spacing w:val="-3"/>
        </w:rPr>
        <w:t>c</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spacing w:val="-3"/>
        </w:rPr>
        <w:t>a</w:t>
      </w:r>
      <w:r w:rsidRPr="009A0DA6">
        <w:rPr>
          <w:rFonts w:ascii="Cambria" w:eastAsia="Calibri" w:hAnsi="Cambria" w:cs="Calibri"/>
        </w:rPr>
        <w:t>t</w:t>
      </w:r>
      <w:r w:rsidRPr="009A0DA6">
        <w:rPr>
          <w:rFonts w:ascii="Cambria" w:eastAsia="Calibri" w:hAnsi="Cambria" w:cs="Calibri"/>
          <w:spacing w:val="6"/>
        </w:rPr>
        <w:t xml:space="preserve"> </w:t>
      </w:r>
      <w:r w:rsidRPr="009A0DA6">
        <w:rPr>
          <w:rFonts w:ascii="Cambria" w:eastAsia="Calibri" w:hAnsi="Cambria" w:cs="Calibri"/>
        </w:rPr>
        <w:t>which</w:t>
      </w:r>
      <w:r w:rsidRPr="009A0DA6">
        <w:rPr>
          <w:rFonts w:ascii="Cambria" w:eastAsia="Calibri" w:hAnsi="Cambria" w:cs="Calibri"/>
          <w:spacing w:val="-1"/>
        </w:rPr>
        <w:t xml:space="preserve"> </w:t>
      </w:r>
      <w:r w:rsidRPr="009A0DA6">
        <w:rPr>
          <w:rFonts w:ascii="Cambria" w:eastAsia="Calibri" w:hAnsi="Cambria" w:cs="Calibri"/>
        </w:rPr>
        <w:t>a</w:t>
      </w:r>
      <w:r w:rsidRPr="009A0DA6">
        <w:rPr>
          <w:rFonts w:ascii="Cambria" w:eastAsia="Calibri" w:hAnsi="Cambria" w:cs="Calibri"/>
          <w:spacing w:val="-2"/>
        </w:rPr>
        <w:t xml:space="preserve"> </w:t>
      </w:r>
      <w:r w:rsidRPr="009A0DA6">
        <w:rPr>
          <w:rFonts w:ascii="Cambria" w:eastAsia="Calibri" w:hAnsi="Cambria" w:cs="Calibri"/>
          <w:spacing w:val="-1"/>
        </w:rPr>
        <w:t>w</w:t>
      </w:r>
      <w:r w:rsidRPr="009A0DA6">
        <w:rPr>
          <w:rFonts w:ascii="Cambria" w:eastAsia="Calibri" w:hAnsi="Cambria" w:cs="Calibri"/>
          <w:spacing w:val="1"/>
        </w:rPr>
        <w:t>o</w:t>
      </w:r>
      <w:r w:rsidRPr="009A0DA6">
        <w:rPr>
          <w:rFonts w:ascii="Cambria" w:eastAsia="Calibri" w:hAnsi="Cambria" w:cs="Calibri"/>
          <w:spacing w:val="-1"/>
        </w:rPr>
        <w:t>m</w:t>
      </w:r>
      <w:r w:rsidRPr="009A0DA6">
        <w:rPr>
          <w:rFonts w:ascii="Cambria" w:eastAsia="Calibri" w:hAnsi="Cambria" w:cs="Calibri"/>
        </w:rPr>
        <w:t>an</w:t>
      </w:r>
      <w:r w:rsidRPr="009A0DA6">
        <w:rPr>
          <w:rFonts w:ascii="Cambria" w:eastAsia="Calibri" w:hAnsi="Cambria" w:cs="Calibri"/>
          <w:spacing w:val="-1"/>
        </w:rPr>
        <w:t xml:space="preserve"> </w:t>
      </w:r>
      <w:r w:rsidRPr="009A0DA6">
        <w:rPr>
          <w:rFonts w:ascii="Cambria" w:eastAsia="Calibri" w:hAnsi="Cambria" w:cs="Calibri"/>
          <w:spacing w:val="1"/>
        </w:rPr>
        <w:t>e</w:t>
      </w:r>
      <w:r w:rsidRPr="009A0DA6">
        <w:rPr>
          <w:rFonts w:ascii="Cambria" w:eastAsia="Calibri" w:hAnsi="Cambria" w:cs="Calibri"/>
        </w:rPr>
        <w:t>it</w:t>
      </w:r>
      <w:r w:rsidRPr="009A0DA6">
        <w:rPr>
          <w:rFonts w:ascii="Cambria" w:eastAsia="Calibri" w:hAnsi="Cambria" w:cs="Calibri"/>
          <w:spacing w:val="-1"/>
        </w:rPr>
        <w:t>h</w:t>
      </w:r>
      <w:r w:rsidRPr="009A0DA6">
        <w:rPr>
          <w:rFonts w:ascii="Cambria" w:eastAsia="Calibri" w:hAnsi="Cambria" w:cs="Calibri"/>
          <w:spacing w:val="-2"/>
        </w:rPr>
        <w:t>e</w:t>
      </w:r>
      <w:r w:rsidRPr="009A0DA6">
        <w:rPr>
          <w:rFonts w:ascii="Cambria" w:eastAsia="Calibri" w:hAnsi="Cambria" w:cs="Calibri"/>
        </w:rPr>
        <w:t>r p</w:t>
      </w:r>
      <w:r w:rsidRPr="009A0DA6">
        <w:rPr>
          <w:rFonts w:ascii="Cambria" w:eastAsia="Calibri" w:hAnsi="Cambria" w:cs="Calibri"/>
          <w:spacing w:val="-3"/>
        </w:rPr>
        <w:t>r</w:t>
      </w:r>
      <w:r w:rsidRPr="009A0DA6">
        <w:rPr>
          <w:rFonts w:ascii="Cambria" w:eastAsia="Calibri" w:hAnsi="Cambria" w:cs="Calibri"/>
        </w:rPr>
        <w:t xml:space="preserve">eaches </w:t>
      </w:r>
      <w:r w:rsidRPr="009A0DA6">
        <w:rPr>
          <w:rFonts w:ascii="Cambria" w:eastAsia="Calibri" w:hAnsi="Cambria" w:cs="Calibri"/>
          <w:spacing w:val="1"/>
        </w:rPr>
        <w:t>o</w:t>
      </w:r>
      <w:r w:rsidRPr="009A0DA6">
        <w:rPr>
          <w:rFonts w:ascii="Cambria" w:eastAsia="Calibri" w:hAnsi="Cambria" w:cs="Calibri"/>
        </w:rPr>
        <w:t>r p</w:t>
      </w:r>
      <w:r w:rsidRPr="009A0DA6">
        <w:rPr>
          <w:rFonts w:ascii="Cambria" w:eastAsia="Calibri" w:hAnsi="Cambria" w:cs="Calibri"/>
          <w:spacing w:val="-1"/>
        </w:rPr>
        <w:t>r</w:t>
      </w:r>
      <w:r w:rsidRPr="009A0DA6">
        <w:rPr>
          <w:rFonts w:ascii="Cambria" w:eastAsia="Calibri" w:hAnsi="Cambria" w:cs="Calibri"/>
        </w:rPr>
        <w:t>esi</w:t>
      </w:r>
      <w:r w:rsidRPr="009A0DA6">
        <w:rPr>
          <w:rFonts w:ascii="Cambria" w:eastAsia="Calibri" w:hAnsi="Cambria" w:cs="Calibri"/>
          <w:spacing w:val="-3"/>
        </w:rPr>
        <w:t>d</w:t>
      </w:r>
      <w:r w:rsidRPr="009A0DA6">
        <w:rPr>
          <w:rFonts w:ascii="Cambria" w:eastAsia="Calibri" w:hAnsi="Cambria" w:cs="Calibri"/>
        </w:rPr>
        <w:t>es.</w:t>
      </w:r>
      <w:r w:rsidRPr="009A0DA6">
        <w:rPr>
          <w:rFonts w:ascii="Cambria" w:eastAsia="Calibri" w:hAnsi="Cambria" w:cs="Calibri"/>
          <w:spacing w:val="1"/>
        </w:rPr>
        <w:t xml:space="preserve"> </w:t>
      </w:r>
      <w:r w:rsidRPr="009A0DA6">
        <w:rPr>
          <w:rFonts w:ascii="Cambria" w:eastAsia="Calibri" w:hAnsi="Cambria" w:cs="Calibri"/>
        </w:rPr>
        <w:t>This</w:t>
      </w:r>
      <w:r w:rsidRPr="009A0DA6">
        <w:rPr>
          <w:rFonts w:ascii="Cambria" w:eastAsia="Calibri" w:hAnsi="Cambria" w:cs="Calibri"/>
          <w:spacing w:val="-2"/>
        </w:rPr>
        <w:t xml:space="preserve"> </w:t>
      </w:r>
      <w:r w:rsidRPr="009A0DA6">
        <w:rPr>
          <w:rFonts w:ascii="Cambria" w:eastAsia="Calibri" w:hAnsi="Cambria" w:cs="Calibri"/>
        </w:rPr>
        <w:t>ki</w:t>
      </w:r>
      <w:r w:rsidRPr="009A0DA6">
        <w:rPr>
          <w:rFonts w:ascii="Cambria" w:eastAsia="Calibri" w:hAnsi="Cambria" w:cs="Calibri"/>
          <w:spacing w:val="-1"/>
        </w:rPr>
        <w:t>n</w:t>
      </w:r>
      <w:r w:rsidRPr="009A0DA6">
        <w:rPr>
          <w:rFonts w:ascii="Cambria" w:eastAsia="Calibri" w:hAnsi="Cambria" w:cs="Calibri"/>
        </w:rPr>
        <w:t>d</w:t>
      </w:r>
      <w:r w:rsidRPr="009A0DA6">
        <w:rPr>
          <w:rFonts w:ascii="Cambria" w:eastAsia="Calibri" w:hAnsi="Cambria" w:cs="Calibri"/>
          <w:spacing w:val="-1"/>
        </w:rPr>
        <w:t xml:space="preserve"> </w:t>
      </w:r>
      <w:r w:rsidRPr="009A0DA6">
        <w:rPr>
          <w:rFonts w:ascii="Cambria" w:eastAsia="Calibri" w:hAnsi="Cambria" w:cs="Calibri"/>
          <w:spacing w:val="1"/>
        </w:rPr>
        <w:t>o</w:t>
      </w:r>
      <w:r w:rsidRPr="009A0DA6">
        <w:rPr>
          <w:rFonts w:ascii="Cambria" w:eastAsia="Calibri" w:hAnsi="Cambria" w:cs="Calibri"/>
        </w:rPr>
        <w:t>f</w:t>
      </w:r>
      <w:r w:rsidRPr="009A0DA6">
        <w:rPr>
          <w:rFonts w:ascii="Cambria" w:eastAsia="Calibri" w:hAnsi="Cambria" w:cs="Calibri"/>
          <w:spacing w:val="-3"/>
        </w:rPr>
        <w:t xml:space="preserve"> </w:t>
      </w:r>
      <w:r w:rsidRPr="009A0DA6">
        <w:rPr>
          <w:rFonts w:ascii="Cambria" w:eastAsia="Calibri" w:hAnsi="Cambria" w:cs="Calibri"/>
        </w:rPr>
        <w:t>di</w:t>
      </w:r>
      <w:r w:rsidRPr="009A0DA6">
        <w:rPr>
          <w:rFonts w:ascii="Cambria" w:eastAsia="Calibri" w:hAnsi="Cambria" w:cs="Calibri"/>
          <w:spacing w:val="-2"/>
        </w:rPr>
        <w:t>v</w:t>
      </w:r>
      <w:r w:rsidRPr="009A0DA6">
        <w:rPr>
          <w:rFonts w:ascii="Cambria" w:eastAsia="Calibri" w:hAnsi="Cambria" w:cs="Calibri"/>
        </w:rPr>
        <w:t>isi</w:t>
      </w:r>
      <w:r w:rsidRPr="009A0DA6">
        <w:rPr>
          <w:rFonts w:ascii="Cambria" w:eastAsia="Calibri" w:hAnsi="Cambria" w:cs="Calibri"/>
          <w:spacing w:val="1"/>
        </w:rPr>
        <w:t>o</w:t>
      </w:r>
      <w:r w:rsidRPr="009A0DA6">
        <w:rPr>
          <w:rFonts w:ascii="Cambria" w:eastAsia="Calibri" w:hAnsi="Cambria" w:cs="Calibri"/>
        </w:rPr>
        <w:t>n</w:t>
      </w:r>
      <w:r w:rsidRPr="009A0DA6">
        <w:rPr>
          <w:rFonts w:ascii="Cambria" w:eastAsia="Calibri" w:hAnsi="Cambria" w:cs="Calibri"/>
          <w:spacing w:val="-1"/>
        </w:rPr>
        <w:t xml:space="preserve"> </w:t>
      </w:r>
      <w:r w:rsidRPr="009A0DA6">
        <w:rPr>
          <w:rFonts w:ascii="Cambria" w:eastAsia="Calibri" w:hAnsi="Cambria" w:cs="Calibri"/>
          <w:spacing w:val="1"/>
        </w:rPr>
        <w:t>w</w:t>
      </w:r>
      <w:r w:rsidRPr="009A0DA6">
        <w:rPr>
          <w:rFonts w:ascii="Cambria" w:eastAsia="Calibri" w:hAnsi="Cambria" w:cs="Calibri"/>
          <w:spacing w:val="-3"/>
        </w:rPr>
        <w:t>i</w:t>
      </w:r>
      <w:r w:rsidRPr="009A0DA6">
        <w:rPr>
          <w:rFonts w:ascii="Cambria" w:eastAsia="Calibri" w:hAnsi="Cambria" w:cs="Calibri"/>
        </w:rPr>
        <w:t>th</w:t>
      </w:r>
      <w:r w:rsidRPr="009A0DA6">
        <w:rPr>
          <w:rFonts w:ascii="Cambria" w:eastAsia="Calibri" w:hAnsi="Cambria" w:cs="Calibri"/>
          <w:spacing w:val="-1"/>
        </w:rPr>
        <w:t>i</w:t>
      </w:r>
      <w:r w:rsidRPr="009A0DA6">
        <w:rPr>
          <w:rFonts w:ascii="Cambria" w:eastAsia="Calibri" w:hAnsi="Cambria" w:cs="Calibri"/>
        </w:rPr>
        <w:t>n</w:t>
      </w:r>
      <w:r w:rsidRPr="009A0DA6">
        <w:rPr>
          <w:rFonts w:ascii="Cambria" w:eastAsia="Calibri" w:hAnsi="Cambria" w:cs="Calibri"/>
          <w:spacing w:val="-1"/>
        </w:rPr>
        <w:t xml:space="preserve">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rPr>
        <w:t>w</w:t>
      </w:r>
      <w:r w:rsidRPr="009A0DA6">
        <w:rPr>
          <w:rFonts w:ascii="Cambria" w:eastAsia="Calibri" w:hAnsi="Cambria" w:cs="Calibri"/>
          <w:spacing w:val="2"/>
        </w:rPr>
        <w:t>o</w:t>
      </w:r>
      <w:r w:rsidRPr="009A0DA6">
        <w:rPr>
          <w:rFonts w:ascii="Cambria" w:eastAsia="Calibri" w:hAnsi="Cambria" w:cs="Calibri"/>
          <w:spacing w:val="-3"/>
        </w:rPr>
        <w:t>r</w:t>
      </w:r>
      <w:r w:rsidRPr="009A0DA6">
        <w:rPr>
          <w:rFonts w:ascii="Cambria" w:eastAsia="Calibri" w:hAnsi="Cambria" w:cs="Calibri"/>
        </w:rPr>
        <w:t>sh</w:t>
      </w:r>
      <w:r w:rsidRPr="009A0DA6">
        <w:rPr>
          <w:rFonts w:ascii="Cambria" w:eastAsia="Calibri" w:hAnsi="Cambria" w:cs="Calibri"/>
          <w:spacing w:val="-1"/>
        </w:rPr>
        <w:t>i</w:t>
      </w:r>
      <w:r w:rsidRPr="009A0DA6">
        <w:rPr>
          <w:rFonts w:ascii="Cambria" w:eastAsia="Calibri" w:hAnsi="Cambria" w:cs="Calibri"/>
        </w:rPr>
        <w:t>p</w:t>
      </w:r>
      <w:r w:rsidRPr="009A0DA6">
        <w:rPr>
          <w:rFonts w:ascii="Cambria" w:eastAsia="Calibri" w:hAnsi="Cambria" w:cs="Calibri"/>
          <w:spacing w:val="-1"/>
        </w:rPr>
        <w:t xml:space="preserve"> </w:t>
      </w:r>
      <w:r w:rsidRPr="009A0DA6">
        <w:rPr>
          <w:rFonts w:ascii="Cambria" w:eastAsia="Calibri" w:hAnsi="Cambria" w:cs="Calibri"/>
        </w:rPr>
        <w:t xml:space="preserve">life </w:t>
      </w:r>
      <w:r w:rsidRPr="009A0DA6">
        <w:rPr>
          <w:rFonts w:ascii="Cambria" w:eastAsia="Calibri" w:hAnsi="Cambria" w:cs="Calibri"/>
          <w:spacing w:val="1"/>
        </w:rPr>
        <w:t>o</w:t>
      </w:r>
      <w:r w:rsidRPr="009A0DA6">
        <w:rPr>
          <w:rFonts w:ascii="Cambria" w:eastAsia="Calibri" w:hAnsi="Cambria" w:cs="Calibri"/>
        </w:rPr>
        <w:t>f</w:t>
      </w:r>
      <w:r w:rsidRPr="009A0DA6">
        <w:rPr>
          <w:rFonts w:ascii="Cambria" w:eastAsia="Calibri" w:hAnsi="Cambria" w:cs="Calibri"/>
          <w:spacing w:val="-3"/>
        </w:rPr>
        <w:t xml:space="preserve">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rPr>
        <w:t>ch</w:t>
      </w:r>
      <w:r w:rsidRPr="009A0DA6">
        <w:rPr>
          <w:rFonts w:ascii="Cambria" w:eastAsia="Calibri" w:hAnsi="Cambria" w:cs="Calibri"/>
          <w:spacing w:val="-1"/>
        </w:rPr>
        <w:t>u</w:t>
      </w:r>
      <w:r w:rsidRPr="009A0DA6">
        <w:rPr>
          <w:rFonts w:ascii="Cambria" w:eastAsia="Calibri" w:hAnsi="Cambria" w:cs="Calibri"/>
        </w:rPr>
        <w:t>rch</w:t>
      </w:r>
      <w:r w:rsidRPr="009A0DA6">
        <w:rPr>
          <w:rFonts w:ascii="Cambria" w:eastAsia="Calibri" w:hAnsi="Cambria" w:cs="Calibri"/>
          <w:spacing w:val="-1"/>
        </w:rPr>
        <w:t xml:space="preserve"> w</w:t>
      </w:r>
      <w:r w:rsidRPr="009A0DA6">
        <w:rPr>
          <w:rFonts w:ascii="Cambria" w:eastAsia="Calibri" w:hAnsi="Cambria" w:cs="Calibri"/>
          <w:spacing w:val="1"/>
        </w:rPr>
        <w:t>o</w:t>
      </w:r>
      <w:r w:rsidRPr="009A0DA6">
        <w:rPr>
          <w:rFonts w:ascii="Cambria" w:eastAsia="Calibri" w:hAnsi="Cambria" w:cs="Calibri"/>
          <w:spacing w:val="-1"/>
        </w:rPr>
        <w:t>u</w:t>
      </w:r>
      <w:r w:rsidRPr="009A0DA6">
        <w:rPr>
          <w:rFonts w:ascii="Cambria" w:eastAsia="Calibri" w:hAnsi="Cambria" w:cs="Calibri"/>
        </w:rPr>
        <w:t>ld</w:t>
      </w:r>
      <w:r w:rsidRPr="009A0DA6">
        <w:rPr>
          <w:rFonts w:ascii="Cambria" w:eastAsia="Calibri" w:hAnsi="Cambria" w:cs="Calibri"/>
          <w:spacing w:val="-1"/>
        </w:rPr>
        <w:t xml:space="preserve"> m</w:t>
      </w:r>
      <w:r w:rsidRPr="009A0DA6">
        <w:rPr>
          <w:rFonts w:ascii="Cambria" w:eastAsia="Calibri" w:hAnsi="Cambria" w:cs="Calibri"/>
        </w:rPr>
        <w:t>e</w:t>
      </w:r>
      <w:r w:rsidRPr="009A0DA6">
        <w:rPr>
          <w:rFonts w:ascii="Cambria" w:eastAsia="Calibri" w:hAnsi="Cambria" w:cs="Calibri"/>
          <w:spacing w:val="-2"/>
        </w:rPr>
        <w:t>a</w:t>
      </w:r>
      <w:r w:rsidRPr="009A0DA6">
        <w:rPr>
          <w:rFonts w:ascii="Cambria" w:eastAsia="Calibri" w:hAnsi="Cambria" w:cs="Calibri"/>
        </w:rPr>
        <w:t>n</w:t>
      </w:r>
      <w:r w:rsidRPr="009A0DA6">
        <w:rPr>
          <w:rFonts w:ascii="Cambria" w:eastAsia="Calibri" w:hAnsi="Cambria" w:cs="Calibri"/>
          <w:spacing w:val="-1"/>
        </w:rPr>
        <w:t xml:space="preserve">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at</w:t>
      </w:r>
      <w:r w:rsidRPr="009A0DA6">
        <w:rPr>
          <w:rFonts w:ascii="Cambria" w:eastAsia="Calibri" w:hAnsi="Cambria" w:cs="Calibri"/>
          <w:spacing w:val="1"/>
        </w:rPr>
        <w:t xml:space="preserve"> </w:t>
      </w:r>
      <w:r w:rsidRPr="009A0DA6">
        <w:rPr>
          <w:rFonts w:ascii="Cambria" w:eastAsia="Calibri" w:hAnsi="Cambria" w:cs="Calibri"/>
        </w:rPr>
        <w:t>the</w:t>
      </w:r>
      <w:r w:rsidRPr="009A0DA6">
        <w:rPr>
          <w:rFonts w:ascii="Cambria" w:eastAsia="Calibri" w:hAnsi="Cambria" w:cs="Calibri"/>
          <w:spacing w:val="-2"/>
        </w:rPr>
        <w:t xml:space="preserve"> </w:t>
      </w:r>
      <w:r w:rsidRPr="009A0DA6">
        <w:rPr>
          <w:rFonts w:ascii="Cambria" w:eastAsia="Calibri" w:hAnsi="Cambria" w:cs="Calibri"/>
        </w:rPr>
        <w:t>c</w:t>
      </w:r>
      <w:r w:rsidRPr="009A0DA6">
        <w:rPr>
          <w:rFonts w:ascii="Cambria" w:eastAsia="Calibri" w:hAnsi="Cambria" w:cs="Calibri"/>
          <w:spacing w:val="-1"/>
        </w:rPr>
        <w:t>hu</w:t>
      </w:r>
      <w:r w:rsidRPr="009A0DA6">
        <w:rPr>
          <w:rFonts w:ascii="Cambria" w:eastAsia="Calibri" w:hAnsi="Cambria" w:cs="Calibri"/>
        </w:rPr>
        <w:t>rch</w:t>
      </w:r>
      <w:r w:rsidRPr="009A0DA6">
        <w:rPr>
          <w:rFonts w:ascii="Cambria" w:eastAsia="Calibri" w:hAnsi="Cambria" w:cs="Calibri"/>
          <w:spacing w:val="-1"/>
        </w:rPr>
        <w:t xml:space="preserve"> w</w:t>
      </w:r>
      <w:r w:rsidRPr="009A0DA6">
        <w:rPr>
          <w:rFonts w:ascii="Cambria" w:eastAsia="Calibri" w:hAnsi="Cambria" w:cs="Calibri"/>
          <w:spacing w:val="1"/>
        </w:rPr>
        <w:t>o</w:t>
      </w:r>
      <w:r w:rsidRPr="009A0DA6">
        <w:rPr>
          <w:rFonts w:ascii="Cambria" w:eastAsia="Calibri" w:hAnsi="Cambria" w:cs="Calibri"/>
          <w:spacing w:val="-1"/>
        </w:rPr>
        <w:t>u</w:t>
      </w:r>
      <w:r w:rsidRPr="009A0DA6">
        <w:rPr>
          <w:rFonts w:ascii="Cambria" w:eastAsia="Calibri" w:hAnsi="Cambria" w:cs="Calibri"/>
        </w:rPr>
        <w:t>ld</w:t>
      </w:r>
      <w:r w:rsidRPr="009A0DA6">
        <w:rPr>
          <w:rFonts w:ascii="Cambria" w:eastAsia="Calibri" w:hAnsi="Cambria" w:cs="Calibri"/>
          <w:spacing w:val="-1"/>
        </w:rPr>
        <w:t xml:space="preserve"> </w:t>
      </w:r>
      <w:r w:rsidRPr="009A0DA6">
        <w:rPr>
          <w:rFonts w:ascii="Cambria" w:eastAsia="Calibri" w:hAnsi="Cambria" w:cs="Calibri"/>
        </w:rPr>
        <w:t xml:space="preserve">be </w:t>
      </w:r>
      <w:r w:rsidRPr="009A0DA6">
        <w:rPr>
          <w:rFonts w:ascii="Cambria" w:eastAsia="Calibri" w:hAnsi="Cambria" w:cs="Calibri"/>
          <w:spacing w:val="-1"/>
        </w:rPr>
        <w:t>d</w:t>
      </w:r>
      <w:r w:rsidRPr="009A0DA6">
        <w:rPr>
          <w:rFonts w:ascii="Cambria" w:eastAsia="Calibri" w:hAnsi="Cambria" w:cs="Calibri"/>
        </w:rPr>
        <w:t>ivided at</w:t>
      </w:r>
      <w:r w:rsidRPr="009A0DA6">
        <w:rPr>
          <w:rFonts w:ascii="Cambria" w:eastAsia="Calibri" w:hAnsi="Cambria" w:cs="Calibri"/>
          <w:spacing w:val="1"/>
        </w:rPr>
        <w:t xml:space="preserve"> </w:t>
      </w:r>
      <w:r w:rsidRPr="009A0DA6">
        <w:rPr>
          <w:rFonts w:ascii="Cambria" w:eastAsia="Calibri" w:hAnsi="Cambria" w:cs="Calibri"/>
          <w:spacing w:val="-2"/>
        </w:rPr>
        <w:t>i</w:t>
      </w:r>
      <w:r w:rsidRPr="009A0DA6">
        <w:rPr>
          <w:rFonts w:ascii="Cambria" w:eastAsia="Calibri" w:hAnsi="Cambria" w:cs="Calibri"/>
        </w:rPr>
        <w:t>ts</w:t>
      </w:r>
      <w:r w:rsidRPr="009A0DA6">
        <w:rPr>
          <w:rFonts w:ascii="Cambria" w:eastAsia="Calibri" w:hAnsi="Cambria" w:cs="Calibri"/>
          <w:spacing w:val="1"/>
        </w:rPr>
        <w:t xml:space="preserve"> </w:t>
      </w:r>
      <w:r w:rsidRPr="009A0DA6">
        <w:rPr>
          <w:rFonts w:ascii="Cambria" w:eastAsia="Calibri" w:hAnsi="Cambria" w:cs="Calibri"/>
          <w:spacing w:val="-1"/>
        </w:rPr>
        <w:t>h</w:t>
      </w:r>
      <w:r w:rsidRPr="009A0DA6">
        <w:rPr>
          <w:rFonts w:ascii="Cambria" w:eastAsia="Calibri" w:hAnsi="Cambria" w:cs="Calibri"/>
        </w:rPr>
        <w:t>ea</w:t>
      </w:r>
      <w:r w:rsidRPr="009A0DA6">
        <w:rPr>
          <w:rFonts w:ascii="Cambria" w:eastAsia="Calibri" w:hAnsi="Cambria" w:cs="Calibri"/>
          <w:spacing w:val="-2"/>
        </w:rPr>
        <w:t>r</w:t>
      </w:r>
      <w:r w:rsidRPr="009A0DA6">
        <w:rPr>
          <w:rFonts w:ascii="Cambria" w:eastAsia="Calibri" w:hAnsi="Cambria" w:cs="Calibri"/>
        </w:rPr>
        <w:t>t,</w:t>
      </w:r>
      <w:r w:rsidRPr="009A0DA6">
        <w:rPr>
          <w:rFonts w:ascii="Cambria" w:eastAsia="Calibri" w:hAnsi="Cambria" w:cs="Calibri"/>
          <w:spacing w:val="1"/>
        </w:rPr>
        <w:t xml:space="preserve"> </w:t>
      </w:r>
      <w:r w:rsidRPr="009A0DA6">
        <w:rPr>
          <w:rFonts w:ascii="Cambria" w:eastAsia="Calibri" w:hAnsi="Cambria" w:cs="Calibri"/>
          <w:spacing w:val="-2"/>
        </w:rPr>
        <w:t>e</w:t>
      </w:r>
      <w:r w:rsidRPr="009A0DA6">
        <w:rPr>
          <w:rFonts w:ascii="Cambria" w:eastAsia="Calibri" w:hAnsi="Cambria" w:cs="Calibri"/>
          <w:spacing w:val="1"/>
        </w:rPr>
        <w:t>v</w:t>
      </w:r>
      <w:r w:rsidRPr="009A0DA6">
        <w:rPr>
          <w:rFonts w:ascii="Cambria" w:eastAsia="Calibri" w:hAnsi="Cambria" w:cs="Calibri"/>
        </w:rPr>
        <w:t>en</w:t>
      </w:r>
      <w:r w:rsidRPr="009A0DA6">
        <w:rPr>
          <w:rFonts w:ascii="Cambria" w:eastAsia="Calibri" w:hAnsi="Cambria" w:cs="Calibri"/>
          <w:spacing w:val="-2"/>
        </w:rPr>
        <w:t xml:space="preserve"> </w:t>
      </w:r>
      <w:r w:rsidRPr="009A0DA6">
        <w:rPr>
          <w:rFonts w:ascii="Cambria" w:eastAsia="Calibri" w:hAnsi="Cambria" w:cs="Calibri"/>
        </w:rPr>
        <w:t>if</w:t>
      </w:r>
      <w:r w:rsidRPr="009A0DA6">
        <w:rPr>
          <w:rFonts w:ascii="Cambria" w:eastAsia="Calibri" w:hAnsi="Cambria" w:cs="Calibri"/>
          <w:spacing w:val="-2"/>
        </w:rPr>
        <w:t xml:space="preserve"> </w:t>
      </w:r>
      <w:r w:rsidRPr="009A0DA6">
        <w:rPr>
          <w:rFonts w:ascii="Cambria" w:eastAsia="Calibri" w:hAnsi="Cambria" w:cs="Calibri"/>
        </w:rPr>
        <w:t xml:space="preserve">the </w:t>
      </w:r>
      <w:r w:rsidRPr="009A0DA6">
        <w:rPr>
          <w:rFonts w:ascii="Cambria" w:eastAsia="Calibri" w:hAnsi="Cambria" w:cs="Calibri"/>
          <w:spacing w:val="2"/>
        </w:rPr>
        <w:t>o</w:t>
      </w:r>
      <w:r w:rsidRPr="009A0DA6">
        <w:rPr>
          <w:rFonts w:ascii="Cambria" w:eastAsia="Calibri" w:hAnsi="Cambria" w:cs="Calibri"/>
          <w:spacing w:val="-3"/>
        </w:rPr>
        <w:t>u</w:t>
      </w:r>
      <w:r w:rsidRPr="009A0DA6">
        <w:rPr>
          <w:rFonts w:ascii="Cambria" w:eastAsia="Calibri" w:hAnsi="Cambria" w:cs="Calibri"/>
        </w:rPr>
        <w:t>t</w:t>
      </w:r>
      <w:r w:rsidRPr="009A0DA6">
        <w:rPr>
          <w:rFonts w:ascii="Cambria" w:eastAsia="Calibri" w:hAnsi="Cambria" w:cs="Calibri"/>
          <w:spacing w:val="1"/>
        </w:rPr>
        <w:t>w</w:t>
      </w:r>
      <w:r w:rsidRPr="009A0DA6">
        <w:rPr>
          <w:rFonts w:ascii="Cambria" w:eastAsia="Calibri" w:hAnsi="Cambria" w:cs="Calibri"/>
        </w:rPr>
        <w:t>ard</w:t>
      </w:r>
      <w:r w:rsidRPr="009A0DA6">
        <w:rPr>
          <w:rFonts w:ascii="Cambria" w:eastAsia="Calibri" w:hAnsi="Cambria" w:cs="Calibri"/>
          <w:spacing w:val="-1"/>
        </w:rPr>
        <w:t xml:space="preserve"> </w:t>
      </w:r>
      <w:r w:rsidRPr="009A0DA6">
        <w:rPr>
          <w:rFonts w:ascii="Cambria" w:eastAsia="Calibri" w:hAnsi="Cambria" w:cs="Calibri"/>
        </w:rPr>
        <w:t>h</w:t>
      </w:r>
      <w:r w:rsidRPr="009A0DA6">
        <w:rPr>
          <w:rFonts w:ascii="Cambria" w:eastAsia="Calibri" w:hAnsi="Cambria" w:cs="Calibri"/>
          <w:spacing w:val="-3"/>
        </w:rPr>
        <w:t>u</w:t>
      </w:r>
      <w:r w:rsidRPr="009A0DA6">
        <w:rPr>
          <w:rFonts w:ascii="Cambria" w:eastAsia="Calibri" w:hAnsi="Cambria" w:cs="Calibri"/>
          <w:spacing w:val="1"/>
        </w:rPr>
        <w:t>m</w:t>
      </w:r>
      <w:r w:rsidRPr="009A0DA6">
        <w:rPr>
          <w:rFonts w:ascii="Cambria" w:eastAsia="Calibri" w:hAnsi="Cambria" w:cs="Calibri"/>
        </w:rPr>
        <w:t>an</w:t>
      </w:r>
      <w:r w:rsidRPr="009A0DA6">
        <w:rPr>
          <w:rFonts w:ascii="Cambria" w:eastAsia="Calibri" w:hAnsi="Cambria" w:cs="Calibri"/>
          <w:spacing w:val="-1"/>
        </w:rPr>
        <w:t xml:space="preserve"> </w:t>
      </w:r>
      <w:r w:rsidRPr="009A0DA6">
        <w:rPr>
          <w:rFonts w:ascii="Cambria" w:eastAsia="Calibri" w:hAnsi="Cambria" w:cs="Calibri"/>
        </w:rPr>
        <w:t>instit</w:t>
      </w:r>
      <w:r w:rsidRPr="009A0DA6">
        <w:rPr>
          <w:rFonts w:ascii="Cambria" w:eastAsia="Calibri" w:hAnsi="Cambria" w:cs="Calibri"/>
          <w:spacing w:val="-3"/>
        </w:rPr>
        <w:t>u</w:t>
      </w:r>
      <w:r w:rsidRPr="009A0DA6">
        <w:rPr>
          <w:rFonts w:ascii="Cambria" w:eastAsia="Calibri" w:hAnsi="Cambria" w:cs="Calibri"/>
        </w:rPr>
        <w:t>ti</w:t>
      </w:r>
      <w:r w:rsidRPr="009A0DA6">
        <w:rPr>
          <w:rFonts w:ascii="Cambria" w:eastAsia="Calibri" w:hAnsi="Cambria" w:cs="Calibri"/>
          <w:spacing w:val="1"/>
        </w:rPr>
        <w:t>o</w:t>
      </w:r>
      <w:r w:rsidRPr="009A0DA6">
        <w:rPr>
          <w:rFonts w:ascii="Cambria" w:eastAsia="Calibri" w:hAnsi="Cambria" w:cs="Calibri"/>
        </w:rPr>
        <w:t>n</w:t>
      </w:r>
      <w:r w:rsidRPr="009A0DA6">
        <w:rPr>
          <w:rFonts w:ascii="Cambria" w:eastAsia="Calibri" w:hAnsi="Cambria" w:cs="Calibri"/>
          <w:spacing w:val="-1"/>
        </w:rPr>
        <w:t xml:space="preserve"> </w:t>
      </w:r>
      <w:r w:rsidRPr="009A0DA6">
        <w:rPr>
          <w:rFonts w:ascii="Cambria" w:eastAsia="Calibri" w:hAnsi="Cambria" w:cs="Calibri"/>
        </w:rPr>
        <w:t>held</w:t>
      </w:r>
      <w:r w:rsidRPr="009A0DA6">
        <w:rPr>
          <w:rFonts w:ascii="Cambria" w:eastAsia="Calibri" w:hAnsi="Cambria" w:cs="Calibri"/>
          <w:spacing w:val="-3"/>
        </w:rPr>
        <w:t xml:space="preserve"> </w:t>
      </w:r>
      <w:r w:rsidRPr="009A0DA6">
        <w:rPr>
          <w:rFonts w:ascii="Cambria" w:eastAsia="Calibri" w:hAnsi="Cambria" w:cs="Calibri"/>
        </w:rPr>
        <w:t>t</w:t>
      </w:r>
      <w:r w:rsidRPr="009A0DA6">
        <w:rPr>
          <w:rFonts w:ascii="Cambria" w:eastAsia="Calibri" w:hAnsi="Cambria" w:cs="Calibri"/>
          <w:spacing w:val="1"/>
        </w:rPr>
        <w:t>o</w:t>
      </w:r>
      <w:r w:rsidRPr="009A0DA6">
        <w:rPr>
          <w:rFonts w:ascii="Cambria" w:eastAsia="Calibri" w:hAnsi="Cambria" w:cs="Calibri"/>
          <w:spacing w:val="-3"/>
        </w:rPr>
        <w:t>g</w:t>
      </w:r>
      <w:r w:rsidRPr="009A0DA6">
        <w:rPr>
          <w:rFonts w:ascii="Cambria" w:eastAsia="Calibri" w:hAnsi="Cambria" w:cs="Calibri"/>
        </w:rPr>
        <w:t>e</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er.</w:t>
      </w:r>
      <w:r w:rsidRPr="009A0DA6">
        <w:rPr>
          <w:rFonts w:ascii="Cambria" w:eastAsia="Calibri" w:hAnsi="Cambria" w:cs="Calibri"/>
        </w:rPr>
        <w:br/>
      </w:r>
    </w:p>
    <w:p w14:paraId="36ED3F4A" w14:textId="76260632" w:rsidR="00D04794" w:rsidRPr="00892E6E" w:rsidRDefault="00417DA5" w:rsidP="006404F0">
      <w:pPr>
        <w:pStyle w:val="ListParagraph"/>
        <w:numPr>
          <w:ilvl w:val="3"/>
          <w:numId w:val="121"/>
        </w:numPr>
        <w:spacing w:before="19" w:after="0"/>
        <w:ind w:left="567" w:right="497" w:hanging="567"/>
        <w:rPr>
          <w:rFonts w:ascii="Cambria" w:eastAsiaTheme="majorEastAsia" w:hAnsi="Cambria" w:cstheme="majorBidi"/>
          <w:b/>
          <w:caps/>
          <w:sz w:val="28"/>
          <w:szCs w:val="24"/>
        </w:rPr>
      </w:pPr>
      <w:r w:rsidRPr="00892E6E">
        <w:rPr>
          <w:rFonts w:ascii="Cambria" w:eastAsia="Calibri" w:hAnsi="Cambria" w:cs="Calibri"/>
        </w:rPr>
        <w:t>For t</w:t>
      </w:r>
      <w:r w:rsidRPr="00892E6E">
        <w:rPr>
          <w:rFonts w:ascii="Cambria" w:eastAsia="Calibri" w:hAnsi="Cambria" w:cs="Calibri"/>
          <w:spacing w:val="-1"/>
        </w:rPr>
        <w:t>h</w:t>
      </w:r>
      <w:r w:rsidRPr="00892E6E">
        <w:rPr>
          <w:rFonts w:ascii="Cambria" w:eastAsia="Calibri" w:hAnsi="Cambria" w:cs="Calibri"/>
          <w:spacing w:val="-2"/>
        </w:rPr>
        <w:t>e</w:t>
      </w:r>
      <w:r w:rsidRPr="00892E6E">
        <w:rPr>
          <w:rFonts w:ascii="Cambria" w:eastAsia="Calibri" w:hAnsi="Cambria" w:cs="Calibri"/>
        </w:rPr>
        <w:t>se</w:t>
      </w:r>
      <w:r w:rsidRPr="00892E6E">
        <w:rPr>
          <w:rFonts w:ascii="Cambria" w:eastAsia="Calibri" w:hAnsi="Cambria" w:cs="Calibri"/>
          <w:spacing w:val="1"/>
        </w:rPr>
        <w:t xml:space="preserve"> </w:t>
      </w:r>
      <w:r w:rsidRPr="00892E6E">
        <w:rPr>
          <w:rFonts w:ascii="Cambria" w:eastAsia="Calibri" w:hAnsi="Cambria" w:cs="Calibri"/>
          <w:spacing w:val="-3"/>
        </w:rPr>
        <w:t>r</w:t>
      </w:r>
      <w:r w:rsidRPr="00892E6E">
        <w:rPr>
          <w:rFonts w:ascii="Cambria" w:eastAsia="Calibri" w:hAnsi="Cambria" w:cs="Calibri"/>
        </w:rPr>
        <w:t>eas</w:t>
      </w:r>
      <w:r w:rsidRPr="00892E6E">
        <w:rPr>
          <w:rFonts w:ascii="Cambria" w:eastAsia="Calibri" w:hAnsi="Cambria" w:cs="Calibri"/>
          <w:spacing w:val="1"/>
        </w:rPr>
        <w:t>o</w:t>
      </w:r>
      <w:r w:rsidRPr="00892E6E">
        <w:rPr>
          <w:rFonts w:ascii="Cambria" w:eastAsia="Calibri" w:hAnsi="Cambria" w:cs="Calibri"/>
          <w:spacing w:val="-1"/>
        </w:rPr>
        <w:t>n</w:t>
      </w:r>
      <w:r w:rsidRPr="00892E6E">
        <w:rPr>
          <w:rFonts w:ascii="Cambria" w:eastAsia="Calibri" w:hAnsi="Cambria" w:cs="Calibri"/>
        </w:rPr>
        <w:t>s</w:t>
      </w:r>
      <w:r w:rsidRPr="00892E6E">
        <w:rPr>
          <w:rFonts w:ascii="Cambria" w:eastAsia="Calibri" w:hAnsi="Cambria" w:cs="Calibri"/>
          <w:spacing w:val="-2"/>
        </w:rPr>
        <w:t xml:space="preserve"> </w:t>
      </w:r>
      <w:r w:rsidRPr="00892E6E">
        <w:rPr>
          <w:rFonts w:ascii="Cambria" w:eastAsia="Calibri" w:hAnsi="Cambria" w:cs="Calibri"/>
        </w:rPr>
        <w:t>it</w:t>
      </w:r>
      <w:r w:rsidRPr="00892E6E">
        <w:rPr>
          <w:rFonts w:ascii="Cambria" w:eastAsia="Calibri" w:hAnsi="Cambria" w:cs="Calibri"/>
          <w:spacing w:val="1"/>
        </w:rPr>
        <w:t xml:space="preserve"> </w:t>
      </w:r>
      <w:r w:rsidRPr="00892E6E">
        <w:rPr>
          <w:rFonts w:ascii="Cambria" w:eastAsia="Calibri" w:hAnsi="Cambria" w:cs="Calibri"/>
        </w:rPr>
        <w:t>is</w:t>
      </w:r>
      <w:r w:rsidRPr="00892E6E">
        <w:rPr>
          <w:rFonts w:ascii="Cambria" w:eastAsia="Calibri" w:hAnsi="Cambria" w:cs="Calibri"/>
          <w:spacing w:val="-2"/>
        </w:rPr>
        <w:t xml:space="preserve"> </w:t>
      </w:r>
      <w:r w:rsidRPr="00892E6E">
        <w:rPr>
          <w:rFonts w:ascii="Cambria" w:eastAsia="Calibri" w:hAnsi="Cambria" w:cs="Calibri"/>
        </w:rPr>
        <w:t>bet</w:t>
      </w:r>
      <w:r w:rsidRPr="00892E6E">
        <w:rPr>
          <w:rFonts w:ascii="Cambria" w:eastAsia="Calibri" w:hAnsi="Cambria" w:cs="Calibri"/>
          <w:spacing w:val="-1"/>
        </w:rPr>
        <w:t>t</w:t>
      </w:r>
      <w:r w:rsidRPr="00892E6E">
        <w:rPr>
          <w:rFonts w:ascii="Cambria" w:eastAsia="Calibri" w:hAnsi="Cambria" w:cs="Calibri"/>
        </w:rPr>
        <w:t>er</w:t>
      </w:r>
      <w:r w:rsidRPr="00892E6E">
        <w:rPr>
          <w:rFonts w:ascii="Cambria" w:eastAsia="Calibri" w:hAnsi="Cambria" w:cs="Calibri"/>
          <w:spacing w:val="1"/>
        </w:rPr>
        <w:t xml:space="preserve"> </w:t>
      </w:r>
      <w:r w:rsidRPr="00892E6E">
        <w:rPr>
          <w:rFonts w:ascii="Cambria" w:eastAsia="Calibri" w:hAnsi="Cambria" w:cs="Calibri"/>
        </w:rPr>
        <w:t>that</w:t>
      </w:r>
      <w:r w:rsidRPr="00892E6E">
        <w:rPr>
          <w:rFonts w:ascii="Cambria" w:eastAsia="Calibri" w:hAnsi="Cambria" w:cs="Calibri"/>
          <w:spacing w:val="-2"/>
        </w:rPr>
        <w:t xml:space="preserve"> </w:t>
      </w:r>
      <w:r w:rsidRPr="00892E6E">
        <w:rPr>
          <w:rFonts w:ascii="Cambria" w:eastAsia="Calibri" w:hAnsi="Cambria" w:cs="Calibri"/>
        </w:rPr>
        <w:t>we</w:t>
      </w:r>
      <w:r w:rsidRPr="00892E6E">
        <w:rPr>
          <w:rFonts w:ascii="Cambria" w:eastAsia="Calibri" w:hAnsi="Cambria" w:cs="Calibri"/>
          <w:spacing w:val="-1"/>
        </w:rPr>
        <w:t xml:space="preserve"> </w:t>
      </w:r>
      <w:r w:rsidRPr="00892E6E">
        <w:rPr>
          <w:rFonts w:ascii="Cambria" w:eastAsia="Calibri" w:hAnsi="Cambria" w:cs="Calibri"/>
          <w:spacing w:val="2"/>
        </w:rPr>
        <w:t>b</w:t>
      </w:r>
      <w:r w:rsidRPr="00892E6E">
        <w:rPr>
          <w:rFonts w:ascii="Cambria" w:eastAsia="Calibri" w:hAnsi="Cambria" w:cs="Calibri"/>
        </w:rPr>
        <w:t>e</w:t>
      </w:r>
      <w:r w:rsidRPr="00892E6E">
        <w:rPr>
          <w:rFonts w:ascii="Cambria" w:eastAsia="Calibri" w:hAnsi="Cambria" w:cs="Calibri"/>
          <w:spacing w:val="1"/>
        </w:rPr>
        <w:t xml:space="preserve"> </w:t>
      </w:r>
      <w:r w:rsidRPr="00892E6E">
        <w:rPr>
          <w:rFonts w:ascii="Cambria" w:eastAsia="Calibri" w:hAnsi="Cambria" w:cs="Calibri"/>
          <w:spacing w:val="-3"/>
        </w:rPr>
        <w:t>h</w:t>
      </w:r>
      <w:r w:rsidRPr="00892E6E">
        <w:rPr>
          <w:rFonts w:ascii="Cambria" w:eastAsia="Calibri" w:hAnsi="Cambria" w:cs="Calibri"/>
          <w:spacing w:val="1"/>
        </w:rPr>
        <w:t>o</w:t>
      </w:r>
      <w:r w:rsidRPr="00892E6E">
        <w:rPr>
          <w:rFonts w:ascii="Cambria" w:eastAsia="Calibri" w:hAnsi="Cambria" w:cs="Calibri"/>
          <w:spacing w:val="-1"/>
        </w:rPr>
        <w:t>n</w:t>
      </w:r>
      <w:r w:rsidRPr="00892E6E">
        <w:rPr>
          <w:rFonts w:ascii="Cambria" w:eastAsia="Calibri" w:hAnsi="Cambria" w:cs="Calibri"/>
        </w:rPr>
        <w:t>est</w:t>
      </w:r>
      <w:r w:rsidRPr="00892E6E">
        <w:rPr>
          <w:rFonts w:ascii="Cambria" w:eastAsia="Calibri" w:hAnsi="Cambria" w:cs="Calibri"/>
          <w:spacing w:val="-1"/>
        </w:rPr>
        <w:t xml:space="preserve"> </w:t>
      </w:r>
      <w:r w:rsidRPr="00892E6E">
        <w:rPr>
          <w:rFonts w:ascii="Cambria" w:eastAsia="Calibri" w:hAnsi="Cambria" w:cs="Calibri"/>
          <w:spacing w:val="1"/>
        </w:rPr>
        <w:t>w</w:t>
      </w:r>
      <w:r w:rsidRPr="00892E6E">
        <w:rPr>
          <w:rFonts w:ascii="Cambria" w:eastAsia="Calibri" w:hAnsi="Cambria" w:cs="Calibri"/>
        </w:rPr>
        <w:t>ith</w:t>
      </w:r>
      <w:r w:rsidRPr="00892E6E">
        <w:rPr>
          <w:rFonts w:ascii="Cambria" w:eastAsia="Calibri" w:hAnsi="Cambria" w:cs="Calibri"/>
          <w:spacing w:val="-2"/>
        </w:rPr>
        <w:t xml:space="preserve"> </w:t>
      </w:r>
      <w:r w:rsidRPr="00892E6E">
        <w:rPr>
          <w:rFonts w:ascii="Cambria" w:eastAsia="Calibri" w:hAnsi="Cambria" w:cs="Calibri"/>
          <w:spacing w:val="1"/>
        </w:rPr>
        <w:t>o</w:t>
      </w:r>
      <w:r w:rsidRPr="00892E6E">
        <w:rPr>
          <w:rFonts w:ascii="Cambria" w:eastAsia="Calibri" w:hAnsi="Cambria" w:cs="Calibri"/>
          <w:spacing w:val="-1"/>
        </w:rPr>
        <w:t>u</w:t>
      </w:r>
      <w:r w:rsidRPr="00892E6E">
        <w:rPr>
          <w:rFonts w:ascii="Cambria" w:eastAsia="Calibri" w:hAnsi="Cambria" w:cs="Calibri"/>
        </w:rPr>
        <w:t>rse</w:t>
      </w:r>
      <w:r w:rsidRPr="00892E6E">
        <w:rPr>
          <w:rFonts w:ascii="Cambria" w:eastAsia="Calibri" w:hAnsi="Cambria" w:cs="Calibri"/>
          <w:spacing w:val="-2"/>
        </w:rPr>
        <w:t>l</w:t>
      </w:r>
      <w:r w:rsidRPr="00892E6E">
        <w:rPr>
          <w:rFonts w:ascii="Cambria" w:eastAsia="Calibri" w:hAnsi="Cambria" w:cs="Calibri"/>
          <w:spacing w:val="1"/>
        </w:rPr>
        <w:t>v</w:t>
      </w:r>
      <w:r w:rsidRPr="00892E6E">
        <w:rPr>
          <w:rFonts w:ascii="Cambria" w:eastAsia="Calibri" w:hAnsi="Cambria" w:cs="Calibri"/>
        </w:rPr>
        <w:t>es</w:t>
      </w:r>
      <w:r w:rsidRPr="00892E6E">
        <w:rPr>
          <w:rFonts w:ascii="Cambria" w:eastAsia="Calibri" w:hAnsi="Cambria" w:cs="Calibri"/>
          <w:spacing w:val="-1"/>
        </w:rPr>
        <w:t xml:space="preserve"> </w:t>
      </w:r>
      <w:r w:rsidRPr="00892E6E">
        <w:rPr>
          <w:rFonts w:ascii="Cambria" w:eastAsia="Calibri" w:hAnsi="Cambria" w:cs="Calibri"/>
        </w:rPr>
        <w:t>a</w:t>
      </w:r>
      <w:r w:rsidRPr="00892E6E">
        <w:rPr>
          <w:rFonts w:ascii="Cambria" w:eastAsia="Calibri" w:hAnsi="Cambria" w:cs="Calibri"/>
          <w:spacing w:val="-1"/>
        </w:rPr>
        <w:t>n</w:t>
      </w:r>
      <w:r w:rsidRPr="00892E6E">
        <w:rPr>
          <w:rFonts w:ascii="Cambria" w:eastAsia="Calibri" w:hAnsi="Cambria" w:cs="Calibri"/>
        </w:rPr>
        <w:t>d</w:t>
      </w:r>
      <w:r w:rsidRPr="00892E6E">
        <w:rPr>
          <w:rFonts w:ascii="Cambria" w:eastAsia="Calibri" w:hAnsi="Cambria" w:cs="Calibri"/>
          <w:spacing w:val="-1"/>
        </w:rPr>
        <w:t xml:space="preserve"> </w:t>
      </w:r>
      <w:r w:rsidRPr="00892E6E">
        <w:rPr>
          <w:rFonts w:ascii="Cambria" w:eastAsia="Calibri" w:hAnsi="Cambria" w:cs="Calibri"/>
        </w:rPr>
        <w:t>ad</w:t>
      </w:r>
      <w:r w:rsidRPr="00892E6E">
        <w:rPr>
          <w:rFonts w:ascii="Cambria" w:eastAsia="Calibri" w:hAnsi="Cambria" w:cs="Calibri"/>
          <w:spacing w:val="1"/>
        </w:rPr>
        <w:t>m</w:t>
      </w:r>
      <w:r w:rsidRPr="00892E6E">
        <w:rPr>
          <w:rFonts w:ascii="Cambria" w:eastAsia="Calibri" w:hAnsi="Cambria" w:cs="Calibri"/>
        </w:rPr>
        <w:t>it</w:t>
      </w:r>
      <w:r w:rsidRPr="00892E6E">
        <w:rPr>
          <w:rFonts w:ascii="Cambria" w:eastAsia="Calibri" w:hAnsi="Cambria" w:cs="Calibri"/>
          <w:spacing w:val="-2"/>
        </w:rPr>
        <w:t xml:space="preserve"> </w:t>
      </w:r>
      <w:r w:rsidRPr="00892E6E">
        <w:rPr>
          <w:rFonts w:ascii="Cambria" w:eastAsia="Calibri" w:hAnsi="Cambria" w:cs="Calibri"/>
          <w:spacing w:val="1"/>
        </w:rPr>
        <w:t>t</w:t>
      </w:r>
      <w:r w:rsidRPr="00892E6E">
        <w:rPr>
          <w:rFonts w:ascii="Cambria" w:eastAsia="Calibri" w:hAnsi="Cambria" w:cs="Calibri"/>
          <w:spacing w:val="-1"/>
        </w:rPr>
        <w:t>h</w:t>
      </w:r>
      <w:r w:rsidRPr="00892E6E">
        <w:rPr>
          <w:rFonts w:ascii="Cambria" w:eastAsia="Calibri" w:hAnsi="Cambria" w:cs="Calibri"/>
        </w:rPr>
        <w:t>at</w:t>
      </w:r>
      <w:r w:rsidRPr="00892E6E">
        <w:rPr>
          <w:rFonts w:ascii="Cambria" w:eastAsia="Calibri" w:hAnsi="Cambria" w:cs="Calibri"/>
          <w:spacing w:val="-1"/>
        </w:rPr>
        <w:t xml:space="preserve"> </w:t>
      </w:r>
      <w:r w:rsidRPr="00892E6E">
        <w:rPr>
          <w:rFonts w:ascii="Cambria" w:eastAsia="Calibri" w:hAnsi="Cambria" w:cs="Calibri"/>
          <w:spacing w:val="-2"/>
        </w:rPr>
        <w:t>t</w:t>
      </w:r>
      <w:r w:rsidRPr="00892E6E">
        <w:rPr>
          <w:rFonts w:ascii="Cambria" w:eastAsia="Calibri" w:hAnsi="Cambria" w:cs="Calibri"/>
          <w:spacing w:val="-1"/>
        </w:rPr>
        <w:t>h</w:t>
      </w:r>
      <w:r w:rsidRPr="00892E6E">
        <w:rPr>
          <w:rFonts w:ascii="Cambria" w:eastAsia="Calibri" w:hAnsi="Cambria" w:cs="Calibri"/>
        </w:rPr>
        <w:t>is iss</w:t>
      </w:r>
      <w:r w:rsidRPr="00892E6E">
        <w:rPr>
          <w:rFonts w:ascii="Cambria" w:eastAsia="Calibri" w:hAnsi="Cambria" w:cs="Calibri"/>
          <w:spacing w:val="-1"/>
        </w:rPr>
        <w:t>u</w:t>
      </w:r>
      <w:r w:rsidRPr="00892E6E">
        <w:rPr>
          <w:rFonts w:ascii="Cambria" w:eastAsia="Calibri" w:hAnsi="Cambria" w:cs="Calibri"/>
        </w:rPr>
        <w:t>e</w:t>
      </w:r>
      <w:r w:rsidRPr="00892E6E">
        <w:rPr>
          <w:rFonts w:ascii="Cambria" w:eastAsia="Calibri" w:hAnsi="Cambria" w:cs="Calibri"/>
          <w:spacing w:val="1"/>
        </w:rPr>
        <w:t xml:space="preserve"> </w:t>
      </w:r>
      <w:r w:rsidRPr="00892E6E">
        <w:rPr>
          <w:rFonts w:ascii="Cambria" w:eastAsia="Calibri" w:hAnsi="Cambria" w:cs="Calibri"/>
        </w:rPr>
        <w:t>is</w:t>
      </w:r>
      <w:r w:rsidRPr="00892E6E">
        <w:rPr>
          <w:rFonts w:ascii="Cambria" w:eastAsia="Calibri" w:hAnsi="Cambria" w:cs="Calibri"/>
          <w:spacing w:val="-2"/>
        </w:rPr>
        <w:t xml:space="preserve"> </w:t>
      </w:r>
      <w:r w:rsidRPr="00892E6E">
        <w:rPr>
          <w:rFonts w:ascii="Cambria" w:eastAsia="Calibri" w:hAnsi="Cambria" w:cs="Calibri"/>
        </w:rPr>
        <w:t>ch</w:t>
      </w:r>
      <w:r w:rsidRPr="00892E6E">
        <w:rPr>
          <w:rFonts w:ascii="Cambria" w:eastAsia="Calibri" w:hAnsi="Cambria" w:cs="Calibri"/>
          <w:spacing w:val="-1"/>
        </w:rPr>
        <w:t>u</w:t>
      </w:r>
      <w:r w:rsidRPr="00892E6E">
        <w:rPr>
          <w:rFonts w:ascii="Cambria" w:eastAsia="Calibri" w:hAnsi="Cambria" w:cs="Calibri"/>
        </w:rPr>
        <w:t>rch</w:t>
      </w:r>
      <w:r w:rsidRPr="00892E6E">
        <w:rPr>
          <w:rFonts w:ascii="Cambria" w:eastAsia="Calibri" w:hAnsi="Cambria" w:cs="Calibri"/>
          <w:spacing w:val="-1"/>
        </w:rPr>
        <w:t xml:space="preserve"> </w:t>
      </w:r>
      <w:r w:rsidRPr="00892E6E">
        <w:rPr>
          <w:rFonts w:ascii="Cambria" w:eastAsia="Calibri" w:hAnsi="Cambria" w:cs="Calibri"/>
        </w:rPr>
        <w:t>divis</w:t>
      </w:r>
      <w:r w:rsidRPr="00892E6E">
        <w:rPr>
          <w:rFonts w:ascii="Cambria" w:eastAsia="Calibri" w:hAnsi="Cambria" w:cs="Calibri"/>
          <w:spacing w:val="-2"/>
        </w:rPr>
        <w:t>i</w:t>
      </w:r>
      <w:r w:rsidRPr="00892E6E">
        <w:rPr>
          <w:rFonts w:ascii="Cambria" w:eastAsia="Calibri" w:hAnsi="Cambria" w:cs="Calibri"/>
          <w:spacing w:val="1"/>
        </w:rPr>
        <w:t>v</w:t>
      </w:r>
      <w:r w:rsidRPr="00892E6E">
        <w:rPr>
          <w:rFonts w:ascii="Cambria" w:eastAsia="Calibri" w:hAnsi="Cambria" w:cs="Calibri"/>
        </w:rPr>
        <w:t>e.</w:t>
      </w:r>
      <w:r w:rsidRPr="00892E6E">
        <w:rPr>
          <w:rFonts w:ascii="Cambria" w:eastAsia="Calibri" w:hAnsi="Cambria" w:cs="Calibri"/>
          <w:spacing w:val="-2"/>
        </w:rPr>
        <w:t xml:space="preserve"> </w:t>
      </w:r>
      <w:r w:rsidRPr="00892E6E">
        <w:rPr>
          <w:rFonts w:ascii="Cambria" w:eastAsia="Calibri" w:hAnsi="Cambria" w:cs="Calibri"/>
        </w:rPr>
        <w:t>This is s</w:t>
      </w:r>
      <w:r w:rsidRPr="00892E6E">
        <w:rPr>
          <w:rFonts w:ascii="Cambria" w:eastAsia="Calibri" w:hAnsi="Cambria" w:cs="Calibri"/>
          <w:spacing w:val="-1"/>
        </w:rPr>
        <w:t>o</w:t>
      </w:r>
      <w:r w:rsidRPr="00892E6E">
        <w:rPr>
          <w:rFonts w:ascii="Cambria" w:eastAsia="Calibri" w:hAnsi="Cambria" w:cs="Calibri"/>
          <w:spacing w:val="1"/>
        </w:rPr>
        <w:t>m</w:t>
      </w:r>
      <w:r w:rsidRPr="00892E6E">
        <w:rPr>
          <w:rFonts w:ascii="Cambria" w:eastAsia="Calibri" w:hAnsi="Cambria" w:cs="Calibri"/>
        </w:rPr>
        <w:t>e</w:t>
      </w:r>
      <w:r w:rsidRPr="00892E6E">
        <w:rPr>
          <w:rFonts w:ascii="Cambria" w:eastAsia="Calibri" w:hAnsi="Cambria" w:cs="Calibri"/>
          <w:spacing w:val="1"/>
        </w:rPr>
        <w:t>t</w:t>
      </w:r>
      <w:r w:rsidRPr="00892E6E">
        <w:rPr>
          <w:rFonts w:ascii="Cambria" w:eastAsia="Calibri" w:hAnsi="Cambria" w:cs="Calibri"/>
          <w:spacing w:val="-1"/>
        </w:rPr>
        <w:t>h</w:t>
      </w:r>
      <w:r w:rsidRPr="00892E6E">
        <w:rPr>
          <w:rFonts w:ascii="Cambria" w:eastAsia="Calibri" w:hAnsi="Cambria" w:cs="Calibri"/>
        </w:rPr>
        <w:t>i</w:t>
      </w:r>
      <w:r w:rsidRPr="00892E6E">
        <w:rPr>
          <w:rFonts w:ascii="Cambria" w:eastAsia="Calibri" w:hAnsi="Cambria" w:cs="Calibri"/>
          <w:spacing w:val="-1"/>
        </w:rPr>
        <w:t>n</w:t>
      </w:r>
      <w:r w:rsidRPr="00892E6E">
        <w:rPr>
          <w:rFonts w:ascii="Cambria" w:eastAsia="Calibri" w:hAnsi="Cambria" w:cs="Calibri"/>
        </w:rPr>
        <w:t>g</w:t>
      </w:r>
      <w:r w:rsidRPr="00892E6E">
        <w:rPr>
          <w:rFonts w:ascii="Cambria" w:eastAsia="Calibri" w:hAnsi="Cambria" w:cs="Calibri"/>
          <w:spacing w:val="-1"/>
        </w:rPr>
        <w:t xml:space="preserve"> w</w:t>
      </w:r>
      <w:r w:rsidRPr="00892E6E">
        <w:rPr>
          <w:rFonts w:ascii="Cambria" w:eastAsia="Calibri" w:hAnsi="Cambria" w:cs="Calibri"/>
        </w:rPr>
        <w:t>e</w:t>
      </w:r>
      <w:r w:rsidRPr="00892E6E">
        <w:rPr>
          <w:rFonts w:ascii="Cambria" w:eastAsia="Calibri" w:hAnsi="Cambria" w:cs="Calibri"/>
          <w:spacing w:val="1"/>
        </w:rPr>
        <w:t xml:space="preserve"> </w:t>
      </w:r>
      <w:r w:rsidRPr="00892E6E">
        <w:rPr>
          <w:rFonts w:ascii="Cambria" w:eastAsia="Calibri" w:hAnsi="Cambria" w:cs="Calibri"/>
        </w:rPr>
        <w:t>s</w:t>
      </w:r>
      <w:r w:rsidRPr="00892E6E">
        <w:rPr>
          <w:rFonts w:ascii="Cambria" w:eastAsia="Calibri" w:hAnsi="Cambria" w:cs="Calibri"/>
          <w:spacing w:val="-3"/>
        </w:rPr>
        <w:t>h</w:t>
      </w:r>
      <w:r w:rsidRPr="00892E6E">
        <w:rPr>
          <w:rFonts w:ascii="Cambria" w:eastAsia="Calibri" w:hAnsi="Cambria" w:cs="Calibri"/>
          <w:spacing w:val="1"/>
        </w:rPr>
        <w:t>o</w:t>
      </w:r>
      <w:r w:rsidRPr="00892E6E">
        <w:rPr>
          <w:rFonts w:ascii="Cambria" w:eastAsia="Calibri" w:hAnsi="Cambria" w:cs="Calibri"/>
          <w:spacing w:val="-1"/>
        </w:rPr>
        <w:t>u</w:t>
      </w:r>
      <w:r w:rsidRPr="00892E6E">
        <w:rPr>
          <w:rFonts w:ascii="Cambria" w:eastAsia="Calibri" w:hAnsi="Cambria" w:cs="Calibri"/>
        </w:rPr>
        <w:t>ld</w:t>
      </w:r>
      <w:r w:rsidRPr="00892E6E">
        <w:rPr>
          <w:rFonts w:ascii="Cambria" w:eastAsia="Calibri" w:hAnsi="Cambria" w:cs="Calibri"/>
          <w:spacing w:val="-1"/>
        </w:rPr>
        <w:t xml:space="preserve"> </w:t>
      </w:r>
      <w:r w:rsidRPr="00892E6E">
        <w:rPr>
          <w:rFonts w:ascii="Cambria" w:eastAsia="Calibri" w:hAnsi="Cambria" w:cs="Calibri"/>
        </w:rPr>
        <w:t>all be</w:t>
      </w:r>
      <w:r w:rsidRPr="00892E6E">
        <w:rPr>
          <w:rFonts w:ascii="Cambria" w:eastAsia="Calibri" w:hAnsi="Cambria" w:cs="Calibri"/>
          <w:spacing w:val="-2"/>
        </w:rPr>
        <w:t xml:space="preserve"> </w:t>
      </w:r>
      <w:r w:rsidRPr="00892E6E">
        <w:rPr>
          <w:rFonts w:ascii="Cambria" w:eastAsia="Calibri" w:hAnsi="Cambria" w:cs="Calibri"/>
        </w:rPr>
        <w:t>ab</w:t>
      </w:r>
      <w:r w:rsidRPr="00892E6E">
        <w:rPr>
          <w:rFonts w:ascii="Cambria" w:eastAsia="Calibri" w:hAnsi="Cambria" w:cs="Calibri"/>
          <w:spacing w:val="-1"/>
        </w:rPr>
        <w:t>l</w:t>
      </w:r>
      <w:r w:rsidRPr="00892E6E">
        <w:rPr>
          <w:rFonts w:ascii="Cambria" w:eastAsia="Calibri" w:hAnsi="Cambria" w:cs="Calibri"/>
        </w:rPr>
        <w:t>e</w:t>
      </w:r>
      <w:r w:rsidRPr="00892E6E">
        <w:rPr>
          <w:rFonts w:ascii="Cambria" w:eastAsia="Calibri" w:hAnsi="Cambria" w:cs="Calibri"/>
          <w:spacing w:val="1"/>
        </w:rPr>
        <w:t xml:space="preserve"> </w:t>
      </w:r>
      <w:r w:rsidRPr="00892E6E">
        <w:rPr>
          <w:rFonts w:ascii="Cambria" w:eastAsia="Calibri" w:hAnsi="Cambria" w:cs="Calibri"/>
          <w:spacing w:val="-2"/>
        </w:rPr>
        <w:t>t</w:t>
      </w:r>
      <w:r w:rsidRPr="00892E6E">
        <w:rPr>
          <w:rFonts w:ascii="Cambria" w:eastAsia="Calibri" w:hAnsi="Cambria" w:cs="Calibri"/>
        </w:rPr>
        <w:t>o</w:t>
      </w:r>
      <w:r w:rsidRPr="00892E6E">
        <w:rPr>
          <w:rFonts w:ascii="Cambria" w:eastAsia="Calibri" w:hAnsi="Cambria" w:cs="Calibri"/>
          <w:spacing w:val="1"/>
        </w:rPr>
        <w:t xml:space="preserve"> </w:t>
      </w:r>
      <w:r w:rsidRPr="00892E6E">
        <w:rPr>
          <w:rFonts w:ascii="Cambria" w:eastAsia="Calibri" w:hAnsi="Cambria" w:cs="Calibri"/>
        </w:rPr>
        <w:t>ag</w:t>
      </w:r>
      <w:r w:rsidRPr="00892E6E">
        <w:rPr>
          <w:rFonts w:ascii="Cambria" w:eastAsia="Calibri" w:hAnsi="Cambria" w:cs="Calibri"/>
          <w:spacing w:val="-1"/>
        </w:rPr>
        <w:t>r</w:t>
      </w:r>
      <w:r w:rsidRPr="00892E6E">
        <w:rPr>
          <w:rFonts w:ascii="Cambria" w:eastAsia="Calibri" w:hAnsi="Cambria" w:cs="Calibri"/>
          <w:spacing w:val="-2"/>
        </w:rPr>
        <w:t>e</w:t>
      </w:r>
      <w:r w:rsidRPr="00892E6E">
        <w:rPr>
          <w:rFonts w:ascii="Cambria" w:eastAsia="Calibri" w:hAnsi="Cambria" w:cs="Calibri"/>
        </w:rPr>
        <w:t>e</w:t>
      </w:r>
      <w:r w:rsidRPr="00892E6E">
        <w:rPr>
          <w:rFonts w:ascii="Cambria" w:eastAsia="Calibri" w:hAnsi="Cambria" w:cs="Calibri"/>
          <w:spacing w:val="-1"/>
        </w:rPr>
        <w:t xml:space="preserve"> </w:t>
      </w:r>
      <w:r w:rsidRPr="00892E6E">
        <w:rPr>
          <w:rFonts w:ascii="Cambria" w:eastAsia="Calibri" w:hAnsi="Cambria" w:cs="Calibri"/>
          <w:spacing w:val="1"/>
        </w:rPr>
        <w:t>o</w:t>
      </w:r>
      <w:r w:rsidRPr="00892E6E">
        <w:rPr>
          <w:rFonts w:ascii="Cambria" w:eastAsia="Calibri" w:hAnsi="Cambria" w:cs="Calibri"/>
          <w:spacing w:val="-1"/>
        </w:rPr>
        <w:t>n</w:t>
      </w:r>
      <w:r w:rsidRPr="00892E6E">
        <w:rPr>
          <w:rFonts w:ascii="Cambria" w:eastAsia="Calibri" w:hAnsi="Cambria" w:cs="Calibri"/>
        </w:rPr>
        <w:t>, re</w:t>
      </w:r>
      <w:r w:rsidRPr="00892E6E">
        <w:rPr>
          <w:rFonts w:ascii="Cambria" w:eastAsia="Calibri" w:hAnsi="Cambria" w:cs="Calibri"/>
          <w:spacing w:val="-1"/>
        </w:rPr>
        <w:t>g</w:t>
      </w:r>
      <w:r w:rsidRPr="00892E6E">
        <w:rPr>
          <w:rFonts w:ascii="Cambria" w:eastAsia="Calibri" w:hAnsi="Cambria" w:cs="Calibri"/>
        </w:rPr>
        <w:t>ar</w:t>
      </w:r>
      <w:r w:rsidRPr="00892E6E">
        <w:rPr>
          <w:rFonts w:ascii="Cambria" w:eastAsia="Calibri" w:hAnsi="Cambria" w:cs="Calibri"/>
          <w:spacing w:val="-1"/>
        </w:rPr>
        <w:t>d</w:t>
      </w:r>
      <w:r w:rsidRPr="00892E6E">
        <w:rPr>
          <w:rFonts w:ascii="Cambria" w:eastAsia="Calibri" w:hAnsi="Cambria" w:cs="Calibri"/>
          <w:spacing w:val="-3"/>
        </w:rPr>
        <w:t>l</w:t>
      </w:r>
      <w:r w:rsidRPr="00892E6E">
        <w:rPr>
          <w:rFonts w:ascii="Cambria" w:eastAsia="Calibri" w:hAnsi="Cambria" w:cs="Calibri"/>
        </w:rPr>
        <w:t>e</w:t>
      </w:r>
      <w:r w:rsidRPr="00892E6E">
        <w:rPr>
          <w:rFonts w:ascii="Cambria" w:eastAsia="Calibri" w:hAnsi="Cambria" w:cs="Calibri"/>
          <w:spacing w:val="-2"/>
        </w:rPr>
        <w:t>s</w:t>
      </w:r>
      <w:r w:rsidRPr="00892E6E">
        <w:rPr>
          <w:rFonts w:ascii="Cambria" w:eastAsia="Calibri" w:hAnsi="Cambria" w:cs="Calibri"/>
        </w:rPr>
        <w:t xml:space="preserve">s </w:t>
      </w:r>
      <w:r w:rsidRPr="00892E6E">
        <w:rPr>
          <w:rFonts w:ascii="Cambria" w:eastAsia="Calibri" w:hAnsi="Cambria" w:cs="Calibri"/>
          <w:spacing w:val="2"/>
        </w:rPr>
        <w:t>o</w:t>
      </w:r>
      <w:r w:rsidRPr="00892E6E">
        <w:rPr>
          <w:rFonts w:ascii="Cambria" w:eastAsia="Calibri" w:hAnsi="Cambria" w:cs="Calibri"/>
        </w:rPr>
        <w:t>f</w:t>
      </w:r>
      <w:r w:rsidRPr="00892E6E">
        <w:rPr>
          <w:rFonts w:ascii="Cambria" w:eastAsia="Calibri" w:hAnsi="Cambria" w:cs="Calibri"/>
          <w:spacing w:val="-2"/>
        </w:rPr>
        <w:t xml:space="preserve"> </w:t>
      </w:r>
      <w:r w:rsidRPr="00892E6E">
        <w:rPr>
          <w:rFonts w:ascii="Cambria" w:eastAsia="Calibri" w:hAnsi="Cambria" w:cs="Calibri"/>
        </w:rPr>
        <w:t>which</w:t>
      </w:r>
      <w:r w:rsidRPr="00892E6E">
        <w:rPr>
          <w:rFonts w:ascii="Cambria" w:eastAsia="Calibri" w:hAnsi="Cambria" w:cs="Calibri"/>
          <w:spacing w:val="-1"/>
        </w:rPr>
        <w:t xml:space="preserve"> </w:t>
      </w:r>
      <w:r w:rsidRPr="00892E6E">
        <w:rPr>
          <w:rFonts w:ascii="Cambria" w:eastAsia="Calibri" w:hAnsi="Cambria" w:cs="Calibri"/>
        </w:rPr>
        <w:t>side</w:t>
      </w:r>
      <w:r w:rsidRPr="00892E6E">
        <w:rPr>
          <w:rFonts w:ascii="Cambria" w:eastAsia="Calibri" w:hAnsi="Cambria" w:cs="Calibri"/>
          <w:spacing w:val="-2"/>
        </w:rPr>
        <w:t xml:space="preserve"> </w:t>
      </w:r>
      <w:r w:rsidRPr="00892E6E">
        <w:rPr>
          <w:rFonts w:ascii="Cambria" w:eastAsia="Calibri" w:hAnsi="Cambria" w:cs="Calibri"/>
        </w:rPr>
        <w:t>it</w:t>
      </w:r>
      <w:r w:rsidRPr="00892E6E">
        <w:rPr>
          <w:rFonts w:ascii="Cambria" w:eastAsia="Calibri" w:hAnsi="Cambria" w:cs="Calibri"/>
          <w:spacing w:val="1"/>
        </w:rPr>
        <w:t xml:space="preserve"> </w:t>
      </w:r>
      <w:r w:rsidRPr="00892E6E">
        <w:rPr>
          <w:rFonts w:ascii="Cambria" w:eastAsia="Calibri" w:hAnsi="Cambria" w:cs="Calibri"/>
        </w:rPr>
        <w:t>is</w:t>
      </w:r>
      <w:r w:rsidRPr="00892E6E">
        <w:rPr>
          <w:rFonts w:ascii="Cambria" w:eastAsia="Calibri" w:hAnsi="Cambria" w:cs="Calibri"/>
          <w:spacing w:val="-2"/>
        </w:rPr>
        <w:t xml:space="preserve"> </w:t>
      </w:r>
      <w:r w:rsidRPr="00892E6E">
        <w:rPr>
          <w:rFonts w:ascii="Cambria" w:eastAsia="Calibri" w:hAnsi="Cambria" w:cs="Calibri"/>
          <w:spacing w:val="1"/>
        </w:rPr>
        <w:t>t</w:t>
      </w:r>
      <w:r w:rsidRPr="00892E6E">
        <w:rPr>
          <w:rFonts w:ascii="Cambria" w:eastAsia="Calibri" w:hAnsi="Cambria" w:cs="Calibri"/>
          <w:spacing w:val="-1"/>
        </w:rPr>
        <w:t>h</w:t>
      </w:r>
      <w:r w:rsidRPr="00892E6E">
        <w:rPr>
          <w:rFonts w:ascii="Cambria" w:eastAsia="Calibri" w:hAnsi="Cambria" w:cs="Calibri"/>
        </w:rPr>
        <w:t>at</w:t>
      </w:r>
      <w:r w:rsidRPr="00892E6E">
        <w:rPr>
          <w:rFonts w:ascii="Cambria" w:eastAsia="Calibri" w:hAnsi="Cambria" w:cs="Calibri"/>
          <w:spacing w:val="-1"/>
        </w:rPr>
        <w:t xml:space="preserve"> </w:t>
      </w:r>
      <w:r w:rsidRPr="00892E6E">
        <w:rPr>
          <w:rFonts w:ascii="Cambria" w:eastAsia="Calibri" w:hAnsi="Cambria" w:cs="Calibri"/>
        </w:rPr>
        <w:t>we</w:t>
      </w:r>
      <w:r w:rsidRPr="00892E6E">
        <w:rPr>
          <w:rFonts w:ascii="Cambria" w:eastAsia="Calibri" w:hAnsi="Cambria" w:cs="Calibri"/>
          <w:spacing w:val="-1"/>
        </w:rPr>
        <w:t xml:space="preserve"> </w:t>
      </w:r>
      <w:r w:rsidRPr="00892E6E">
        <w:rPr>
          <w:rFonts w:ascii="Cambria" w:eastAsia="Calibri" w:hAnsi="Cambria" w:cs="Calibri"/>
          <w:spacing w:val="1"/>
        </w:rPr>
        <w:t>t</w:t>
      </w:r>
      <w:r w:rsidRPr="00892E6E">
        <w:rPr>
          <w:rFonts w:ascii="Cambria" w:eastAsia="Calibri" w:hAnsi="Cambria" w:cs="Calibri"/>
          <w:spacing w:val="-1"/>
        </w:rPr>
        <w:t>h</w:t>
      </w:r>
      <w:r w:rsidRPr="00892E6E">
        <w:rPr>
          <w:rFonts w:ascii="Cambria" w:eastAsia="Calibri" w:hAnsi="Cambria" w:cs="Calibri"/>
        </w:rPr>
        <w:t>i</w:t>
      </w:r>
      <w:r w:rsidRPr="00892E6E">
        <w:rPr>
          <w:rFonts w:ascii="Cambria" w:eastAsia="Calibri" w:hAnsi="Cambria" w:cs="Calibri"/>
          <w:spacing w:val="-1"/>
        </w:rPr>
        <w:t>n</w:t>
      </w:r>
      <w:r w:rsidRPr="00892E6E">
        <w:rPr>
          <w:rFonts w:ascii="Cambria" w:eastAsia="Calibri" w:hAnsi="Cambria" w:cs="Calibri"/>
        </w:rPr>
        <w:t>k</w:t>
      </w:r>
      <w:r w:rsidRPr="00892E6E">
        <w:rPr>
          <w:rFonts w:ascii="Cambria" w:eastAsia="Calibri" w:hAnsi="Cambria" w:cs="Calibri"/>
          <w:spacing w:val="1"/>
        </w:rPr>
        <w:t xml:space="preserve"> </w:t>
      </w:r>
      <w:r w:rsidRPr="00892E6E">
        <w:rPr>
          <w:rFonts w:ascii="Cambria" w:eastAsia="Calibri" w:hAnsi="Cambria" w:cs="Calibri"/>
        </w:rPr>
        <w:t>is t</w:t>
      </w:r>
      <w:r w:rsidRPr="00892E6E">
        <w:rPr>
          <w:rFonts w:ascii="Cambria" w:eastAsia="Calibri" w:hAnsi="Cambria" w:cs="Calibri"/>
          <w:spacing w:val="-2"/>
        </w:rPr>
        <w:t>h</w:t>
      </w:r>
      <w:r w:rsidRPr="00892E6E">
        <w:rPr>
          <w:rFonts w:ascii="Cambria" w:eastAsia="Calibri" w:hAnsi="Cambria" w:cs="Calibri"/>
        </w:rPr>
        <w:t>e</w:t>
      </w:r>
      <w:r w:rsidRPr="00892E6E">
        <w:rPr>
          <w:rFonts w:ascii="Cambria" w:eastAsia="Calibri" w:hAnsi="Cambria" w:cs="Calibri"/>
          <w:spacing w:val="-1"/>
        </w:rPr>
        <w:t xml:space="preserve"> </w:t>
      </w:r>
      <w:r w:rsidRPr="00892E6E">
        <w:rPr>
          <w:rFonts w:ascii="Cambria" w:eastAsia="Calibri" w:hAnsi="Cambria" w:cs="Calibri"/>
          <w:spacing w:val="1"/>
        </w:rPr>
        <w:t>“</w:t>
      </w:r>
      <w:r w:rsidRPr="00892E6E">
        <w:rPr>
          <w:rFonts w:ascii="Cambria" w:eastAsia="Calibri" w:hAnsi="Cambria" w:cs="Calibri"/>
        </w:rPr>
        <w:t>t</w:t>
      </w:r>
      <w:r w:rsidRPr="00892E6E">
        <w:rPr>
          <w:rFonts w:ascii="Cambria" w:eastAsia="Calibri" w:hAnsi="Cambria" w:cs="Calibri"/>
          <w:spacing w:val="-2"/>
        </w:rPr>
        <w:t>r</w:t>
      </w:r>
      <w:r w:rsidRPr="00892E6E">
        <w:rPr>
          <w:rFonts w:ascii="Cambria" w:eastAsia="Calibri" w:hAnsi="Cambria" w:cs="Calibri"/>
          <w:spacing w:val="1"/>
        </w:rPr>
        <w:t>o</w:t>
      </w:r>
      <w:r w:rsidRPr="00892E6E">
        <w:rPr>
          <w:rFonts w:ascii="Cambria" w:eastAsia="Calibri" w:hAnsi="Cambria" w:cs="Calibri"/>
          <w:spacing w:val="-1"/>
        </w:rPr>
        <w:t>ub</w:t>
      </w:r>
      <w:r w:rsidRPr="00892E6E">
        <w:rPr>
          <w:rFonts w:ascii="Cambria" w:eastAsia="Calibri" w:hAnsi="Cambria" w:cs="Calibri"/>
        </w:rPr>
        <w:t>ler</w:t>
      </w:r>
      <w:r w:rsidRPr="00892E6E">
        <w:rPr>
          <w:rFonts w:ascii="Cambria" w:eastAsia="Calibri" w:hAnsi="Cambria" w:cs="Calibri"/>
          <w:spacing w:val="-2"/>
        </w:rPr>
        <w:t xml:space="preserve"> </w:t>
      </w:r>
      <w:r w:rsidRPr="00892E6E">
        <w:rPr>
          <w:rFonts w:ascii="Cambria" w:eastAsia="Calibri" w:hAnsi="Cambria" w:cs="Calibri"/>
          <w:spacing w:val="1"/>
        </w:rPr>
        <w:t>o</w:t>
      </w:r>
      <w:r w:rsidRPr="00892E6E">
        <w:rPr>
          <w:rFonts w:ascii="Cambria" w:eastAsia="Calibri" w:hAnsi="Cambria" w:cs="Calibri"/>
        </w:rPr>
        <w:t>f Is</w:t>
      </w:r>
      <w:r w:rsidRPr="00892E6E">
        <w:rPr>
          <w:rFonts w:ascii="Cambria" w:eastAsia="Calibri" w:hAnsi="Cambria" w:cs="Calibri"/>
          <w:spacing w:val="-3"/>
        </w:rPr>
        <w:t>r</w:t>
      </w:r>
      <w:r w:rsidRPr="00892E6E">
        <w:rPr>
          <w:rFonts w:ascii="Cambria" w:eastAsia="Calibri" w:hAnsi="Cambria" w:cs="Calibri"/>
        </w:rPr>
        <w:t xml:space="preserve">ael” </w:t>
      </w:r>
      <w:r w:rsidRPr="00892E6E">
        <w:rPr>
          <w:rFonts w:ascii="Cambria" w:eastAsia="Calibri" w:hAnsi="Cambria" w:cs="Calibri"/>
        </w:rPr>
        <w:br/>
        <w:t>(1</w:t>
      </w:r>
      <w:r w:rsidRPr="00892E6E">
        <w:rPr>
          <w:rFonts w:ascii="Cambria" w:eastAsia="Calibri" w:hAnsi="Cambria" w:cs="Calibri"/>
          <w:spacing w:val="1"/>
        </w:rPr>
        <w:t xml:space="preserve"> K</w:t>
      </w:r>
      <w:r w:rsidRPr="00892E6E">
        <w:rPr>
          <w:rFonts w:ascii="Cambria" w:eastAsia="Calibri" w:hAnsi="Cambria" w:cs="Calibri"/>
        </w:rPr>
        <w:t>i</w:t>
      </w:r>
      <w:r w:rsidRPr="00892E6E">
        <w:rPr>
          <w:rFonts w:ascii="Cambria" w:eastAsia="Calibri" w:hAnsi="Cambria" w:cs="Calibri"/>
          <w:spacing w:val="-1"/>
        </w:rPr>
        <w:t>ng</w:t>
      </w:r>
      <w:r w:rsidRPr="00892E6E">
        <w:rPr>
          <w:rFonts w:ascii="Cambria" w:eastAsia="Calibri" w:hAnsi="Cambria" w:cs="Calibri"/>
        </w:rPr>
        <w:t>s</w:t>
      </w:r>
      <w:r w:rsidRPr="00892E6E">
        <w:rPr>
          <w:rFonts w:ascii="Cambria" w:eastAsia="Calibri" w:hAnsi="Cambria" w:cs="Calibri"/>
          <w:spacing w:val="-2"/>
        </w:rPr>
        <w:t xml:space="preserve"> 1</w:t>
      </w:r>
      <w:r w:rsidRPr="00892E6E">
        <w:rPr>
          <w:rFonts w:ascii="Cambria" w:eastAsia="Calibri" w:hAnsi="Cambria" w:cs="Calibri"/>
          <w:spacing w:val="1"/>
        </w:rPr>
        <w:t>8</w:t>
      </w:r>
      <w:r w:rsidRPr="00892E6E">
        <w:rPr>
          <w:rFonts w:ascii="Cambria" w:eastAsia="Calibri" w:hAnsi="Cambria" w:cs="Calibri"/>
          <w:spacing w:val="-1"/>
        </w:rPr>
        <w:t>:</w:t>
      </w:r>
      <w:r w:rsidRPr="00892E6E">
        <w:rPr>
          <w:rFonts w:ascii="Cambria" w:eastAsia="Calibri" w:hAnsi="Cambria" w:cs="Calibri"/>
          <w:spacing w:val="1"/>
        </w:rPr>
        <w:t>1</w:t>
      </w:r>
      <w:r w:rsidRPr="00892E6E">
        <w:rPr>
          <w:rFonts w:ascii="Cambria" w:eastAsia="Calibri" w:hAnsi="Cambria" w:cs="Calibri"/>
          <w:spacing w:val="2"/>
        </w:rPr>
        <w:t>7</w:t>
      </w:r>
      <w:r w:rsidRPr="009A0DA6">
        <w:rPr>
          <w:rFonts w:ascii="Cambria" w:eastAsia="Calibri" w:hAnsi="Cambria" w:cs="Calibri"/>
          <w:spacing w:val="-3"/>
        </w:rPr>
        <w:sym w:font="Symbol" w:char="F02D"/>
      </w:r>
      <w:r w:rsidRPr="00892E6E">
        <w:rPr>
          <w:rFonts w:ascii="Cambria" w:eastAsia="Calibri" w:hAnsi="Cambria" w:cs="Calibri"/>
          <w:spacing w:val="1"/>
        </w:rPr>
        <w:t>18</w:t>
      </w:r>
      <w:r w:rsidRPr="00892E6E">
        <w:rPr>
          <w:rFonts w:ascii="Cambria" w:eastAsia="Calibri" w:hAnsi="Cambria" w:cs="Calibri"/>
        </w:rPr>
        <w:t>).</w:t>
      </w:r>
      <w:r w:rsidRPr="00892E6E">
        <w:rPr>
          <w:rFonts w:ascii="Cambria" w:eastAsia="Calibri" w:hAnsi="Cambria" w:cs="Calibri"/>
          <w:spacing w:val="-2"/>
        </w:rPr>
        <w:t xml:space="preserve"> </w:t>
      </w:r>
      <w:r w:rsidRPr="00892E6E">
        <w:rPr>
          <w:rFonts w:ascii="Cambria" w:eastAsia="Calibri" w:hAnsi="Cambria" w:cs="Calibri"/>
        </w:rPr>
        <w:t>Then</w:t>
      </w:r>
      <w:r w:rsidRPr="00892E6E">
        <w:rPr>
          <w:rFonts w:ascii="Cambria" w:eastAsia="Calibri" w:hAnsi="Cambria" w:cs="Calibri"/>
          <w:spacing w:val="-2"/>
        </w:rPr>
        <w:t xml:space="preserve"> w</w:t>
      </w:r>
      <w:r w:rsidRPr="00892E6E">
        <w:rPr>
          <w:rFonts w:ascii="Cambria" w:eastAsia="Calibri" w:hAnsi="Cambria" w:cs="Calibri"/>
        </w:rPr>
        <w:t>e</w:t>
      </w:r>
      <w:r w:rsidRPr="00892E6E">
        <w:rPr>
          <w:rFonts w:ascii="Cambria" w:eastAsia="Calibri" w:hAnsi="Cambria" w:cs="Calibri"/>
          <w:spacing w:val="1"/>
        </w:rPr>
        <w:t xml:space="preserve"> </w:t>
      </w:r>
      <w:r w:rsidRPr="00892E6E">
        <w:rPr>
          <w:rFonts w:ascii="Cambria" w:eastAsia="Calibri" w:hAnsi="Cambria" w:cs="Calibri"/>
        </w:rPr>
        <w:t>can</w:t>
      </w:r>
      <w:r w:rsidRPr="00892E6E">
        <w:rPr>
          <w:rFonts w:ascii="Cambria" w:eastAsia="Calibri" w:hAnsi="Cambria" w:cs="Calibri"/>
          <w:spacing w:val="-1"/>
        </w:rPr>
        <w:t xml:space="preserve"> </w:t>
      </w:r>
      <w:r w:rsidRPr="00892E6E">
        <w:rPr>
          <w:rFonts w:ascii="Cambria" w:eastAsia="Calibri" w:hAnsi="Cambria" w:cs="Calibri"/>
        </w:rPr>
        <w:t>g</w:t>
      </w:r>
      <w:r w:rsidRPr="00892E6E">
        <w:rPr>
          <w:rFonts w:ascii="Cambria" w:eastAsia="Calibri" w:hAnsi="Cambria" w:cs="Calibri"/>
          <w:spacing w:val="-2"/>
        </w:rPr>
        <w:t>e</w:t>
      </w:r>
      <w:r w:rsidRPr="00892E6E">
        <w:rPr>
          <w:rFonts w:ascii="Cambria" w:eastAsia="Calibri" w:hAnsi="Cambria" w:cs="Calibri"/>
        </w:rPr>
        <w:t>t</w:t>
      </w:r>
      <w:r w:rsidRPr="00892E6E">
        <w:rPr>
          <w:rFonts w:ascii="Cambria" w:eastAsia="Calibri" w:hAnsi="Cambria" w:cs="Calibri"/>
          <w:spacing w:val="-1"/>
        </w:rPr>
        <w:t xml:space="preserve"> </w:t>
      </w:r>
      <w:r w:rsidRPr="00892E6E">
        <w:rPr>
          <w:rFonts w:ascii="Cambria" w:eastAsia="Calibri" w:hAnsi="Cambria" w:cs="Calibri"/>
          <w:spacing w:val="1"/>
        </w:rPr>
        <w:t>o</w:t>
      </w:r>
      <w:r w:rsidRPr="00892E6E">
        <w:rPr>
          <w:rFonts w:ascii="Cambria" w:eastAsia="Calibri" w:hAnsi="Cambria" w:cs="Calibri"/>
          <w:spacing w:val="-1"/>
        </w:rPr>
        <w:t>n</w:t>
      </w:r>
      <w:r w:rsidRPr="00892E6E">
        <w:rPr>
          <w:rFonts w:ascii="Cambria" w:eastAsia="Calibri" w:hAnsi="Cambria" w:cs="Calibri"/>
        </w:rPr>
        <w:t>to</w:t>
      </w:r>
      <w:r w:rsidRPr="00892E6E">
        <w:rPr>
          <w:rFonts w:ascii="Cambria" w:eastAsia="Calibri" w:hAnsi="Cambria" w:cs="Calibri"/>
          <w:spacing w:val="-1"/>
        </w:rPr>
        <w:t xml:space="preserve"> </w:t>
      </w:r>
      <w:r w:rsidRPr="00892E6E">
        <w:rPr>
          <w:rFonts w:ascii="Cambria" w:eastAsia="Calibri" w:hAnsi="Cambria" w:cs="Calibri"/>
          <w:spacing w:val="1"/>
        </w:rPr>
        <w:t>t</w:t>
      </w:r>
      <w:r w:rsidRPr="00892E6E">
        <w:rPr>
          <w:rFonts w:ascii="Cambria" w:eastAsia="Calibri" w:hAnsi="Cambria" w:cs="Calibri"/>
          <w:spacing w:val="-1"/>
        </w:rPr>
        <w:t>h</w:t>
      </w:r>
      <w:r w:rsidRPr="00892E6E">
        <w:rPr>
          <w:rFonts w:ascii="Cambria" w:eastAsia="Calibri" w:hAnsi="Cambria" w:cs="Calibri"/>
        </w:rPr>
        <w:t>e</w:t>
      </w:r>
      <w:r w:rsidRPr="00892E6E">
        <w:rPr>
          <w:rFonts w:ascii="Cambria" w:eastAsia="Calibri" w:hAnsi="Cambria" w:cs="Calibri"/>
          <w:spacing w:val="-1"/>
        </w:rPr>
        <w:t xml:space="preserve"> m</w:t>
      </w:r>
      <w:r w:rsidRPr="00892E6E">
        <w:rPr>
          <w:rFonts w:ascii="Cambria" w:eastAsia="Calibri" w:hAnsi="Cambria" w:cs="Calibri"/>
          <w:spacing w:val="1"/>
        </w:rPr>
        <w:t>o</w:t>
      </w:r>
      <w:r w:rsidRPr="00892E6E">
        <w:rPr>
          <w:rFonts w:ascii="Cambria" w:eastAsia="Calibri" w:hAnsi="Cambria" w:cs="Calibri"/>
        </w:rPr>
        <w:t>re</w:t>
      </w:r>
      <w:r w:rsidRPr="00892E6E">
        <w:rPr>
          <w:rFonts w:ascii="Cambria" w:eastAsia="Calibri" w:hAnsi="Cambria" w:cs="Calibri"/>
          <w:spacing w:val="-2"/>
        </w:rPr>
        <w:t xml:space="preserve"> </w:t>
      </w:r>
      <w:r w:rsidRPr="00892E6E">
        <w:rPr>
          <w:rFonts w:ascii="Cambria" w:eastAsia="Calibri" w:hAnsi="Cambria" w:cs="Calibri"/>
        </w:rPr>
        <w:t>i</w:t>
      </w:r>
      <w:r w:rsidRPr="00892E6E">
        <w:rPr>
          <w:rFonts w:ascii="Cambria" w:eastAsia="Calibri" w:hAnsi="Cambria" w:cs="Calibri"/>
          <w:spacing w:val="-1"/>
        </w:rPr>
        <w:t>mp</w:t>
      </w:r>
      <w:r w:rsidRPr="00892E6E">
        <w:rPr>
          <w:rFonts w:ascii="Cambria" w:eastAsia="Calibri" w:hAnsi="Cambria" w:cs="Calibri"/>
          <w:spacing w:val="1"/>
        </w:rPr>
        <w:t>o</w:t>
      </w:r>
      <w:r w:rsidRPr="00892E6E">
        <w:rPr>
          <w:rFonts w:ascii="Cambria" w:eastAsia="Calibri" w:hAnsi="Cambria" w:cs="Calibri"/>
        </w:rPr>
        <w:t>rta</w:t>
      </w:r>
      <w:r w:rsidRPr="00892E6E">
        <w:rPr>
          <w:rFonts w:ascii="Cambria" w:eastAsia="Calibri" w:hAnsi="Cambria" w:cs="Calibri"/>
          <w:spacing w:val="-1"/>
        </w:rPr>
        <w:t>n</w:t>
      </w:r>
      <w:r w:rsidRPr="00892E6E">
        <w:rPr>
          <w:rFonts w:ascii="Cambria" w:eastAsia="Calibri" w:hAnsi="Cambria" w:cs="Calibri"/>
        </w:rPr>
        <w:t>t</w:t>
      </w:r>
      <w:r w:rsidRPr="00892E6E">
        <w:rPr>
          <w:rFonts w:ascii="Cambria" w:eastAsia="Calibri" w:hAnsi="Cambria" w:cs="Calibri"/>
          <w:spacing w:val="3"/>
        </w:rPr>
        <w:t xml:space="preserve"> </w:t>
      </w:r>
      <w:r w:rsidRPr="00892E6E">
        <w:rPr>
          <w:rFonts w:ascii="Cambria" w:eastAsia="Calibri" w:hAnsi="Cambria" w:cs="Calibri"/>
          <w:spacing w:val="-1"/>
        </w:rPr>
        <w:t>qu</w:t>
      </w:r>
      <w:r w:rsidRPr="00892E6E">
        <w:rPr>
          <w:rFonts w:ascii="Cambria" w:eastAsia="Calibri" w:hAnsi="Cambria" w:cs="Calibri"/>
          <w:spacing w:val="-2"/>
        </w:rPr>
        <w:t>e</w:t>
      </w:r>
      <w:r w:rsidRPr="00892E6E">
        <w:rPr>
          <w:rFonts w:ascii="Cambria" w:eastAsia="Calibri" w:hAnsi="Cambria" w:cs="Calibri"/>
        </w:rPr>
        <w:t>sti</w:t>
      </w:r>
      <w:r w:rsidRPr="00892E6E">
        <w:rPr>
          <w:rFonts w:ascii="Cambria" w:eastAsia="Calibri" w:hAnsi="Cambria" w:cs="Calibri"/>
          <w:spacing w:val="1"/>
        </w:rPr>
        <w:t>o</w:t>
      </w:r>
      <w:r w:rsidRPr="00892E6E">
        <w:rPr>
          <w:rFonts w:ascii="Cambria" w:eastAsia="Calibri" w:hAnsi="Cambria" w:cs="Calibri"/>
        </w:rPr>
        <w:t>n</w:t>
      </w:r>
      <w:r w:rsidRPr="00892E6E">
        <w:rPr>
          <w:rFonts w:ascii="Cambria" w:eastAsia="Calibri" w:hAnsi="Cambria" w:cs="Calibri"/>
          <w:spacing w:val="-3"/>
        </w:rPr>
        <w:t xml:space="preserve"> </w:t>
      </w:r>
      <w:r w:rsidRPr="00892E6E">
        <w:rPr>
          <w:rFonts w:ascii="Cambria" w:eastAsia="Calibri" w:hAnsi="Cambria" w:cs="Calibri"/>
          <w:spacing w:val="2"/>
        </w:rPr>
        <w:t>o</w:t>
      </w:r>
      <w:r w:rsidRPr="00892E6E">
        <w:rPr>
          <w:rFonts w:ascii="Cambria" w:eastAsia="Calibri" w:hAnsi="Cambria" w:cs="Calibri"/>
        </w:rPr>
        <w:t>f</w:t>
      </w:r>
      <w:r w:rsidRPr="00892E6E">
        <w:rPr>
          <w:rFonts w:ascii="Cambria" w:eastAsia="Calibri" w:hAnsi="Cambria" w:cs="Calibri"/>
          <w:spacing w:val="-2"/>
        </w:rPr>
        <w:t xml:space="preserve"> </w:t>
      </w:r>
      <w:r w:rsidRPr="00892E6E">
        <w:rPr>
          <w:rFonts w:ascii="Cambria" w:eastAsia="Calibri" w:hAnsi="Cambria" w:cs="Calibri"/>
          <w:spacing w:val="-1"/>
        </w:rPr>
        <w:t>“</w:t>
      </w:r>
      <w:r w:rsidRPr="00892E6E">
        <w:rPr>
          <w:rFonts w:ascii="Cambria" w:eastAsia="Calibri" w:hAnsi="Cambria" w:cs="Calibri"/>
        </w:rPr>
        <w:t>What</w:t>
      </w:r>
      <w:r w:rsidRPr="00892E6E">
        <w:rPr>
          <w:rFonts w:ascii="Cambria" w:eastAsia="Calibri" w:hAnsi="Cambria" w:cs="Calibri"/>
          <w:spacing w:val="-2"/>
        </w:rPr>
        <w:t xml:space="preserve"> </w:t>
      </w:r>
      <w:r w:rsidRPr="00892E6E">
        <w:rPr>
          <w:rFonts w:ascii="Cambria" w:eastAsia="Calibri" w:hAnsi="Cambria" w:cs="Calibri"/>
          <w:spacing w:val="-1"/>
        </w:rPr>
        <w:t>d</w:t>
      </w:r>
      <w:r w:rsidRPr="00892E6E">
        <w:rPr>
          <w:rFonts w:ascii="Cambria" w:eastAsia="Calibri" w:hAnsi="Cambria" w:cs="Calibri"/>
        </w:rPr>
        <w:t>o</w:t>
      </w:r>
      <w:r w:rsidRPr="00892E6E">
        <w:rPr>
          <w:rFonts w:ascii="Cambria" w:eastAsia="Calibri" w:hAnsi="Cambria" w:cs="Calibri"/>
          <w:spacing w:val="1"/>
        </w:rPr>
        <w:t xml:space="preserve"> </w:t>
      </w:r>
      <w:r w:rsidRPr="00892E6E">
        <w:rPr>
          <w:rFonts w:ascii="Cambria" w:eastAsia="Calibri" w:hAnsi="Cambria" w:cs="Calibri"/>
          <w:spacing w:val="-1"/>
        </w:rPr>
        <w:t>w</w:t>
      </w:r>
      <w:r w:rsidRPr="00892E6E">
        <w:rPr>
          <w:rFonts w:ascii="Cambria" w:eastAsia="Calibri" w:hAnsi="Cambria" w:cs="Calibri"/>
        </w:rPr>
        <w:t>e</w:t>
      </w:r>
      <w:r w:rsidRPr="00892E6E">
        <w:rPr>
          <w:rFonts w:ascii="Cambria" w:eastAsia="Calibri" w:hAnsi="Cambria" w:cs="Calibri"/>
          <w:spacing w:val="1"/>
        </w:rPr>
        <w:t xml:space="preserve"> </w:t>
      </w:r>
      <w:r w:rsidRPr="00892E6E">
        <w:rPr>
          <w:rFonts w:ascii="Cambria" w:eastAsia="Calibri" w:hAnsi="Cambria" w:cs="Calibri"/>
          <w:spacing w:val="-1"/>
        </w:rPr>
        <w:t>d</w:t>
      </w:r>
      <w:r w:rsidRPr="00892E6E">
        <w:rPr>
          <w:rFonts w:ascii="Cambria" w:eastAsia="Calibri" w:hAnsi="Cambria" w:cs="Calibri"/>
        </w:rPr>
        <w:t>o</w:t>
      </w:r>
      <w:r w:rsidRPr="00892E6E">
        <w:rPr>
          <w:rFonts w:ascii="Cambria" w:eastAsia="Calibri" w:hAnsi="Cambria" w:cs="Calibri"/>
          <w:spacing w:val="-1"/>
        </w:rPr>
        <w:t xml:space="preserve"> </w:t>
      </w:r>
      <w:r w:rsidRPr="00892E6E">
        <w:rPr>
          <w:rFonts w:ascii="Cambria" w:eastAsia="Calibri" w:hAnsi="Cambria" w:cs="Calibri"/>
        </w:rPr>
        <w:t>ab</w:t>
      </w:r>
      <w:r w:rsidRPr="00892E6E">
        <w:rPr>
          <w:rFonts w:ascii="Cambria" w:eastAsia="Calibri" w:hAnsi="Cambria" w:cs="Calibri"/>
          <w:spacing w:val="1"/>
        </w:rPr>
        <w:t>o</w:t>
      </w:r>
      <w:r w:rsidRPr="00892E6E">
        <w:rPr>
          <w:rFonts w:ascii="Cambria" w:eastAsia="Calibri" w:hAnsi="Cambria" w:cs="Calibri"/>
          <w:spacing w:val="-1"/>
        </w:rPr>
        <w:t>u</w:t>
      </w:r>
      <w:r w:rsidRPr="00892E6E">
        <w:rPr>
          <w:rFonts w:ascii="Cambria" w:eastAsia="Calibri" w:hAnsi="Cambria" w:cs="Calibri"/>
        </w:rPr>
        <w:t>t</w:t>
      </w:r>
      <w:r w:rsidRPr="00892E6E">
        <w:rPr>
          <w:rFonts w:ascii="Cambria" w:eastAsia="Calibri" w:hAnsi="Cambria" w:cs="Calibri"/>
          <w:spacing w:val="-2"/>
        </w:rPr>
        <w:t xml:space="preserve"> </w:t>
      </w:r>
      <w:r w:rsidRPr="00892E6E">
        <w:rPr>
          <w:rFonts w:ascii="Cambria" w:eastAsia="Calibri" w:hAnsi="Cambria" w:cs="Calibri"/>
        </w:rPr>
        <w:t>it</w:t>
      </w:r>
      <w:r w:rsidRPr="00892E6E">
        <w:rPr>
          <w:rFonts w:ascii="Cambria" w:eastAsia="Calibri" w:hAnsi="Cambria" w:cs="Calibri"/>
          <w:spacing w:val="-1"/>
        </w:rPr>
        <w:t>?</w:t>
      </w:r>
      <w:r w:rsidRPr="00892E6E">
        <w:rPr>
          <w:rFonts w:ascii="Cambria" w:eastAsia="Calibri" w:hAnsi="Cambria" w:cs="Calibri"/>
        </w:rPr>
        <w:t>”</w:t>
      </w:r>
      <w:r w:rsidRPr="00892E6E">
        <w:rPr>
          <w:rFonts w:ascii="Cambria" w:eastAsia="Calibri" w:hAnsi="Cambria" w:cs="Calibri"/>
          <w:spacing w:val="1"/>
        </w:rPr>
        <w:t xml:space="preserve"> </w:t>
      </w:r>
      <w:r w:rsidRPr="00892E6E">
        <w:rPr>
          <w:rFonts w:ascii="Cambria" w:eastAsia="Calibri" w:hAnsi="Cambria" w:cs="Calibri"/>
        </w:rPr>
        <w:t>A</w:t>
      </w:r>
      <w:r w:rsidRPr="00892E6E">
        <w:rPr>
          <w:rFonts w:ascii="Cambria" w:eastAsia="Calibri" w:hAnsi="Cambria" w:cs="Calibri"/>
          <w:spacing w:val="-2"/>
        </w:rPr>
        <w:t>s</w:t>
      </w:r>
      <w:r w:rsidRPr="00892E6E">
        <w:rPr>
          <w:rFonts w:ascii="Cambria" w:eastAsia="Calibri" w:hAnsi="Cambria" w:cs="Calibri"/>
        </w:rPr>
        <w:t>su</w:t>
      </w:r>
      <w:r w:rsidRPr="00892E6E">
        <w:rPr>
          <w:rFonts w:ascii="Cambria" w:eastAsia="Calibri" w:hAnsi="Cambria" w:cs="Calibri"/>
          <w:spacing w:val="-2"/>
        </w:rPr>
        <w:t>m</w:t>
      </w:r>
      <w:r w:rsidRPr="00892E6E">
        <w:rPr>
          <w:rFonts w:ascii="Cambria" w:eastAsia="Calibri" w:hAnsi="Cambria" w:cs="Calibri"/>
        </w:rPr>
        <w:t>i</w:t>
      </w:r>
      <w:r w:rsidRPr="00892E6E">
        <w:rPr>
          <w:rFonts w:ascii="Cambria" w:eastAsia="Calibri" w:hAnsi="Cambria" w:cs="Calibri"/>
          <w:spacing w:val="-1"/>
        </w:rPr>
        <w:t>n</w:t>
      </w:r>
      <w:r w:rsidRPr="00892E6E">
        <w:rPr>
          <w:rFonts w:ascii="Cambria" w:eastAsia="Calibri" w:hAnsi="Cambria" w:cs="Calibri"/>
        </w:rPr>
        <w:t xml:space="preserve">g that </w:t>
      </w:r>
      <w:r w:rsidRPr="00892E6E">
        <w:rPr>
          <w:rFonts w:ascii="Cambria" w:eastAsia="Calibri" w:hAnsi="Cambria" w:cs="Calibri"/>
          <w:spacing w:val="-1"/>
        </w:rPr>
        <w:t>w</w:t>
      </w:r>
      <w:r w:rsidRPr="00892E6E">
        <w:rPr>
          <w:rFonts w:ascii="Cambria" w:eastAsia="Calibri" w:hAnsi="Cambria" w:cs="Calibri"/>
        </w:rPr>
        <w:t>e</w:t>
      </w:r>
      <w:r w:rsidRPr="00892E6E">
        <w:rPr>
          <w:rFonts w:ascii="Cambria" w:eastAsia="Calibri" w:hAnsi="Cambria" w:cs="Calibri"/>
          <w:spacing w:val="1"/>
        </w:rPr>
        <w:t xml:space="preserve"> </w:t>
      </w:r>
      <w:r w:rsidRPr="00892E6E">
        <w:rPr>
          <w:rFonts w:ascii="Cambria" w:eastAsia="Calibri" w:hAnsi="Cambria" w:cs="Calibri"/>
        </w:rPr>
        <w:t>fa</w:t>
      </w:r>
      <w:r w:rsidRPr="00892E6E">
        <w:rPr>
          <w:rFonts w:ascii="Cambria" w:eastAsia="Calibri" w:hAnsi="Cambria" w:cs="Calibri"/>
          <w:spacing w:val="-1"/>
        </w:rPr>
        <w:t>i</w:t>
      </w:r>
      <w:r w:rsidRPr="00892E6E">
        <w:rPr>
          <w:rFonts w:ascii="Cambria" w:eastAsia="Calibri" w:hAnsi="Cambria" w:cs="Calibri"/>
        </w:rPr>
        <w:t>l</w:t>
      </w:r>
      <w:r w:rsidRPr="00892E6E">
        <w:rPr>
          <w:rFonts w:ascii="Cambria" w:eastAsia="Calibri" w:hAnsi="Cambria" w:cs="Calibri"/>
          <w:spacing w:val="-2"/>
        </w:rPr>
        <w:t xml:space="preserve"> </w:t>
      </w:r>
      <w:r w:rsidRPr="00892E6E">
        <w:rPr>
          <w:rFonts w:ascii="Cambria" w:eastAsia="Calibri" w:hAnsi="Cambria" w:cs="Calibri"/>
        </w:rPr>
        <w:t>to</w:t>
      </w:r>
      <w:r w:rsidRPr="00892E6E">
        <w:rPr>
          <w:rFonts w:ascii="Cambria" w:eastAsia="Calibri" w:hAnsi="Cambria" w:cs="Calibri"/>
          <w:spacing w:val="2"/>
        </w:rPr>
        <w:t xml:space="preserve"> </w:t>
      </w:r>
      <w:r w:rsidRPr="00892E6E">
        <w:rPr>
          <w:rFonts w:ascii="Cambria" w:eastAsia="Calibri" w:hAnsi="Cambria" w:cs="Calibri"/>
        </w:rPr>
        <w:t>b</w:t>
      </w:r>
      <w:r w:rsidRPr="00892E6E">
        <w:rPr>
          <w:rFonts w:ascii="Cambria" w:eastAsia="Calibri" w:hAnsi="Cambria" w:cs="Calibri"/>
          <w:spacing w:val="-3"/>
        </w:rPr>
        <w:t>r</w:t>
      </w:r>
      <w:r w:rsidRPr="00892E6E">
        <w:rPr>
          <w:rFonts w:ascii="Cambria" w:eastAsia="Calibri" w:hAnsi="Cambria" w:cs="Calibri"/>
        </w:rPr>
        <w:t>eak</w:t>
      </w:r>
      <w:r w:rsidRPr="00892E6E">
        <w:rPr>
          <w:rFonts w:ascii="Cambria" w:eastAsia="Calibri" w:hAnsi="Cambria" w:cs="Calibri"/>
          <w:spacing w:val="-1"/>
        </w:rPr>
        <w:t xml:space="preserve"> </w:t>
      </w:r>
      <w:r w:rsidRPr="00892E6E">
        <w:rPr>
          <w:rFonts w:ascii="Cambria" w:eastAsia="Calibri" w:hAnsi="Cambria" w:cs="Calibri"/>
        </w:rPr>
        <w:t xml:space="preserve">the </w:t>
      </w:r>
      <w:r w:rsidRPr="00892E6E">
        <w:rPr>
          <w:rFonts w:ascii="Cambria" w:eastAsia="Calibri" w:hAnsi="Cambria" w:cs="Calibri"/>
          <w:spacing w:val="1"/>
        </w:rPr>
        <w:t>c</w:t>
      </w:r>
      <w:r w:rsidRPr="00892E6E">
        <w:rPr>
          <w:rFonts w:ascii="Cambria" w:eastAsia="Calibri" w:hAnsi="Cambria" w:cs="Calibri"/>
          <w:spacing w:val="-3"/>
        </w:rPr>
        <w:t>u</w:t>
      </w:r>
      <w:r w:rsidRPr="00892E6E">
        <w:rPr>
          <w:rFonts w:ascii="Cambria" w:eastAsia="Calibri" w:hAnsi="Cambria" w:cs="Calibri"/>
        </w:rPr>
        <w:t>rre</w:t>
      </w:r>
      <w:r w:rsidRPr="00892E6E">
        <w:rPr>
          <w:rFonts w:ascii="Cambria" w:eastAsia="Calibri" w:hAnsi="Cambria" w:cs="Calibri"/>
          <w:spacing w:val="-1"/>
        </w:rPr>
        <w:t>n</w:t>
      </w:r>
      <w:r w:rsidRPr="00892E6E">
        <w:rPr>
          <w:rFonts w:ascii="Cambria" w:eastAsia="Calibri" w:hAnsi="Cambria" w:cs="Calibri"/>
        </w:rPr>
        <w:t>t</w:t>
      </w:r>
      <w:r w:rsidRPr="00892E6E">
        <w:rPr>
          <w:rFonts w:ascii="Cambria" w:eastAsia="Calibri" w:hAnsi="Cambria" w:cs="Calibri"/>
          <w:spacing w:val="1"/>
        </w:rPr>
        <w:t xml:space="preserve"> </w:t>
      </w:r>
      <w:r w:rsidRPr="00892E6E">
        <w:rPr>
          <w:rFonts w:ascii="Cambria" w:eastAsia="Calibri" w:hAnsi="Cambria" w:cs="Calibri"/>
        </w:rPr>
        <w:t>th</w:t>
      </w:r>
      <w:r w:rsidRPr="00892E6E">
        <w:rPr>
          <w:rFonts w:ascii="Cambria" w:eastAsia="Calibri" w:hAnsi="Cambria" w:cs="Calibri"/>
          <w:spacing w:val="-2"/>
        </w:rPr>
        <w:t>e</w:t>
      </w:r>
      <w:r w:rsidRPr="00892E6E">
        <w:rPr>
          <w:rFonts w:ascii="Cambria" w:eastAsia="Calibri" w:hAnsi="Cambria" w:cs="Calibri"/>
          <w:spacing w:val="1"/>
        </w:rPr>
        <w:t>o</w:t>
      </w:r>
      <w:r w:rsidRPr="00892E6E">
        <w:rPr>
          <w:rFonts w:ascii="Cambria" w:eastAsia="Calibri" w:hAnsi="Cambria" w:cs="Calibri"/>
          <w:spacing w:val="-3"/>
        </w:rPr>
        <w:t>l</w:t>
      </w:r>
      <w:r w:rsidRPr="00892E6E">
        <w:rPr>
          <w:rFonts w:ascii="Cambria" w:eastAsia="Calibri" w:hAnsi="Cambria" w:cs="Calibri"/>
          <w:spacing w:val="1"/>
        </w:rPr>
        <w:t>o</w:t>
      </w:r>
      <w:r w:rsidRPr="00892E6E">
        <w:rPr>
          <w:rFonts w:ascii="Cambria" w:eastAsia="Calibri" w:hAnsi="Cambria" w:cs="Calibri"/>
          <w:spacing w:val="-1"/>
        </w:rPr>
        <w:t>g</w:t>
      </w:r>
      <w:r w:rsidRPr="00892E6E">
        <w:rPr>
          <w:rFonts w:ascii="Cambria" w:eastAsia="Calibri" w:hAnsi="Cambria" w:cs="Calibri"/>
        </w:rPr>
        <w:t xml:space="preserve">ical </w:t>
      </w:r>
      <w:r w:rsidRPr="00892E6E">
        <w:rPr>
          <w:rFonts w:ascii="Cambria" w:eastAsia="Calibri" w:hAnsi="Cambria" w:cs="Calibri"/>
          <w:spacing w:val="-2"/>
        </w:rPr>
        <w:t>i</w:t>
      </w:r>
      <w:r w:rsidRPr="00892E6E">
        <w:rPr>
          <w:rFonts w:ascii="Cambria" w:eastAsia="Calibri" w:hAnsi="Cambria" w:cs="Calibri"/>
          <w:spacing w:val="1"/>
        </w:rPr>
        <w:t>m</w:t>
      </w:r>
      <w:r w:rsidRPr="00892E6E">
        <w:rPr>
          <w:rFonts w:ascii="Cambria" w:eastAsia="Calibri" w:hAnsi="Cambria" w:cs="Calibri"/>
          <w:spacing w:val="-1"/>
        </w:rPr>
        <w:t>p</w:t>
      </w:r>
      <w:r w:rsidRPr="00892E6E">
        <w:rPr>
          <w:rFonts w:ascii="Cambria" w:eastAsia="Calibri" w:hAnsi="Cambria" w:cs="Calibri"/>
        </w:rPr>
        <w:t>asse,</w:t>
      </w:r>
      <w:r w:rsidRPr="00892E6E">
        <w:rPr>
          <w:rFonts w:ascii="Cambria" w:eastAsia="Calibri" w:hAnsi="Cambria" w:cs="Calibri"/>
          <w:spacing w:val="-4"/>
        </w:rPr>
        <w:t xml:space="preserve"> </w:t>
      </w:r>
      <w:r w:rsidRPr="00892E6E">
        <w:rPr>
          <w:rFonts w:ascii="Cambria" w:eastAsia="Calibri" w:hAnsi="Cambria" w:cs="Calibri"/>
        </w:rPr>
        <w:t>a</w:t>
      </w:r>
      <w:r w:rsidRPr="00892E6E">
        <w:rPr>
          <w:rFonts w:ascii="Cambria" w:eastAsia="Calibri" w:hAnsi="Cambria" w:cs="Calibri"/>
          <w:spacing w:val="-1"/>
        </w:rPr>
        <w:t>n</w:t>
      </w:r>
      <w:r w:rsidRPr="00892E6E">
        <w:rPr>
          <w:rFonts w:ascii="Cambria" w:eastAsia="Calibri" w:hAnsi="Cambria" w:cs="Calibri"/>
        </w:rPr>
        <w:t>d</w:t>
      </w:r>
      <w:r w:rsidRPr="00892E6E">
        <w:rPr>
          <w:rFonts w:ascii="Cambria" w:eastAsia="Calibri" w:hAnsi="Cambria" w:cs="Calibri"/>
          <w:spacing w:val="-1"/>
        </w:rPr>
        <w:t xml:space="preserve"> </w:t>
      </w:r>
      <w:r w:rsidRPr="00892E6E">
        <w:rPr>
          <w:rFonts w:ascii="Cambria" w:eastAsia="Calibri" w:hAnsi="Cambria" w:cs="Calibri"/>
        </w:rPr>
        <w:t>a</w:t>
      </w:r>
      <w:r w:rsidRPr="00892E6E">
        <w:rPr>
          <w:rFonts w:ascii="Cambria" w:eastAsia="Calibri" w:hAnsi="Cambria" w:cs="Calibri"/>
          <w:spacing w:val="1"/>
        </w:rPr>
        <w:t xml:space="preserve"> </w:t>
      </w:r>
      <w:r w:rsidRPr="00892E6E">
        <w:rPr>
          <w:rFonts w:ascii="Cambria" w:eastAsia="Calibri" w:hAnsi="Cambria" w:cs="Calibri"/>
        </w:rPr>
        <w:t>si</w:t>
      </w:r>
      <w:r w:rsidRPr="00892E6E">
        <w:rPr>
          <w:rFonts w:ascii="Cambria" w:eastAsia="Calibri" w:hAnsi="Cambria" w:cs="Calibri"/>
          <w:spacing w:val="-1"/>
        </w:rPr>
        <w:t>z</w:t>
      </w:r>
      <w:r w:rsidRPr="00892E6E">
        <w:rPr>
          <w:rFonts w:ascii="Cambria" w:eastAsia="Calibri" w:hAnsi="Cambria" w:cs="Calibri"/>
        </w:rPr>
        <w:t>eab</w:t>
      </w:r>
      <w:r w:rsidRPr="00892E6E">
        <w:rPr>
          <w:rFonts w:ascii="Cambria" w:eastAsia="Calibri" w:hAnsi="Cambria" w:cs="Calibri"/>
          <w:spacing w:val="-1"/>
        </w:rPr>
        <w:t>l</w:t>
      </w:r>
      <w:r w:rsidRPr="00892E6E">
        <w:rPr>
          <w:rFonts w:ascii="Cambria" w:eastAsia="Calibri" w:hAnsi="Cambria" w:cs="Calibri"/>
        </w:rPr>
        <w:t>e</w:t>
      </w:r>
      <w:r w:rsidRPr="00892E6E">
        <w:rPr>
          <w:rFonts w:ascii="Cambria" w:eastAsia="Calibri" w:hAnsi="Cambria" w:cs="Calibri"/>
          <w:spacing w:val="-1"/>
        </w:rPr>
        <w:t xml:space="preserve"> </w:t>
      </w:r>
      <w:r w:rsidRPr="00892E6E">
        <w:rPr>
          <w:rFonts w:ascii="Cambria" w:eastAsia="Calibri" w:hAnsi="Cambria" w:cs="Calibri"/>
          <w:spacing w:val="1"/>
        </w:rPr>
        <w:t>m</w:t>
      </w:r>
      <w:r w:rsidRPr="00892E6E">
        <w:rPr>
          <w:rFonts w:ascii="Cambria" w:eastAsia="Calibri" w:hAnsi="Cambria" w:cs="Calibri"/>
        </w:rPr>
        <w:t>i</w:t>
      </w:r>
      <w:r w:rsidRPr="00892E6E">
        <w:rPr>
          <w:rFonts w:ascii="Cambria" w:eastAsia="Calibri" w:hAnsi="Cambria" w:cs="Calibri"/>
          <w:spacing w:val="-1"/>
        </w:rPr>
        <w:t>n</w:t>
      </w:r>
      <w:r w:rsidRPr="00892E6E">
        <w:rPr>
          <w:rFonts w:ascii="Cambria" w:eastAsia="Calibri" w:hAnsi="Cambria" w:cs="Calibri"/>
          <w:spacing w:val="1"/>
        </w:rPr>
        <w:t>o</w:t>
      </w:r>
      <w:r w:rsidRPr="00892E6E">
        <w:rPr>
          <w:rFonts w:ascii="Cambria" w:eastAsia="Calibri" w:hAnsi="Cambria" w:cs="Calibri"/>
        </w:rPr>
        <w:t>r</w:t>
      </w:r>
      <w:r w:rsidRPr="00892E6E">
        <w:rPr>
          <w:rFonts w:ascii="Cambria" w:eastAsia="Calibri" w:hAnsi="Cambria" w:cs="Calibri"/>
          <w:spacing w:val="-3"/>
        </w:rPr>
        <w:t>i</w:t>
      </w:r>
      <w:r w:rsidRPr="00892E6E">
        <w:rPr>
          <w:rFonts w:ascii="Cambria" w:eastAsia="Calibri" w:hAnsi="Cambria" w:cs="Calibri"/>
        </w:rPr>
        <w:t>ty</w:t>
      </w:r>
      <w:r w:rsidRPr="00892E6E">
        <w:rPr>
          <w:rFonts w:ascii="Cambria" w:eastAsia="Calibri" w:hAnsi="Cambria" w:cs="Calibri"/>
          <w:spacing w:val="-1"/>
        </w:rPr>
        <w:t xml:space="preserve"> </w:t>
      </w:r>
      <w:r w:rsidRPr="00892E6E">
        <w:rPr>
          <w:rFonts w:ascii="Cambria" w:eastAsia="Calibri" w:hAnsi="Cambria" w:cs="Calibri"/>
        </w:rPr>
        <w:t>r</w:t>
      </w:r>
      <w:r w:rsidRPr="00892E6E">
        <w:rPr>
          <w:rFonts w:ascii="Cambria" w:eastAsia="Calibri" w:hAnsi="Cambria" w:cs="Calibri"/>
          <w:spacing w:val="-2"/>
        </w:rPr>
        <w:t>e</w:t>
      </w:r>
      <w:r w:rsidRPr="00892E6E">
        <w:rPr>
          <w:rFonts w:ascii="Cambria" w:eastAsia="Calibri" w:hAnsi="Cambria" w:cs="Calibri"/>
          <w:spacing w:val="1"/>
        </w:rPr>
        <w:t>m</w:t>
      </w:r>
      <w:r w:rsidRPr="00892E6E">
        <w:rPr>
          <w:rFonts w:ascii="Cambria" w:eastAsia="Calibri" w:hAnsi="Cambria" w:cs="Calibri"/>
        </w:rPr>
        <w:t>ai</w:t>
      </w:r>
      <w:r w:rsidRPr="00892E6E">
        <w:rPr>
          <w:rFonts w:ascii="Cambria" w:eastAsia="Calibri" w:hAnsi="Cambria" w:cs="Calibri"/>
          <w:spacing w:val="-1"/>
        </w:rPr>
        <w:t>n</w:t>
      </w:r>
      <w:r w:rsidRPr="00892E6E">
        <w:rPr>
          <w:rFonts w:ascii="Cambria" w:eastAsia="Calibri" w:hAnsi="Cambria" w:cs="Calibri"/>
        </w:rPr>
        <w:t>s u</w:t>
      </w:r>
      <w:r w:rsidRPr="00892E6E">
        <w:rPr>
          <w:rFonts w:ascii="Cambria" w:eastAsia="Calibri" w:hAnsi="Cambria" w:cs="Calibri"/>
          <w:spacing w:val="-1"/>
        </w:rPr>
        <w:t>n</w:t>
      </w:r>
      <w:r w:rsidRPr="00892E6E">
        <w:rPr>
          <w:rFonts w:ascii="Cambria" w:eastAsia="Calibri" w:hAnsi="Cambria" w:cs="Calibri"/>
          <w:spacing w:val="-2"/>
        </w:rPr>
        <w:t>c</w:t>
      </w:r>
      <w:r w:rsidRPr="00892E6E">
        <w:rPr>
          <w:rFonts w:ascii="Cambria" w:eastAsia="Calibri" w:hAnsi="Cambria" w:cs="Calibri"/>
          <w:spacing w:val="1"/>
        </w:rPr>
        <w:t>o</w:t>
      </w:r>
      <w:r w:rsidRPr="00892E6E">
        <w:rPr>
          <w:rFonts w:ascii="Cambria" w:eastAsia="Calibri" w:hAnsi="Cambria" w:cs="Calibri"/>
          <w:spacing w:val="-1"/>
        </w:rPr>
        <w:t>n</w:t>
      </w:r>
      <w:r w:rsidRPr="00892E6E">
        <w:rPr>
          <w:rFonts w:ascii="Cambria" w:eastAsia="Calibri" w:hAnsi="Cambria" w:cs="Calibri"/>
          <w:spacing w:val="1"/>
        </w:rPr>
        <w:t>v</w:t>
      </w:r>
      <w:r w:rsidRPr="00892E6E">
        <w:rPr>
          <w:rFonts w:ascii="Cambria" w:eastAsia="Calibri" w:hAnsi="Cambria" w:cs="Calibri"/>
        </w:rPr>
        <w:t>i</w:t>
      </w:r>
      <w:r w:rsidRPr="00892E6E">
        <w:rPr>
          <w:rFonts w:ascii="Cambria" w:eastAsia="Calibri" w:hAnsi="Cambria" w:cs="Calibri"/>
          <w:spacing w:val="-1"/>
        </w:rPr>
        <w:t>n</w:t>
      </w:r>
      <w:r w:rsidRPr="00892E6E">
        <w:rPr>
          <w:rFonts w:ascii="Cambria" w:eastAsia="Calibri" w:hAnsi="Cambria" w:cs="Calibri"/>
        </w:rPr>
        <w:t>ced</w:t>
      </w:r>
      <w:r w:rsidRPr="00892E6E">
        <w:rPr>
          <w:rFonts w:ascii="Cambria" w:eastAsia="Calibri" w:hAnsi="Cambria" w:cs="Calibri"/>
          <w:spacing w:val="-2"/>
        </w:rPr>
        <w:t xml:space="preserve"> </w:t>
      </w:r>
      <w:r w:rsidRPr="00892E6E">
        <w:rPr>
          <w:rFonts w:ascii="Cambria" w:eastAsia="Calibri" w:hAnsi="Cambria" w:cs="Calibri"/>
          <w:spacing w:val="1"/>
        </w:rPr>
        <w:t>o</w:t>
      </w:r>
      <w:r w:rsidRPr="00892E6E">
        <w:rPr>
          <w:rFonts w:ascii="Cambria" w:eastAsia="Calibri" w:hAnsi="Cambria" w:cs="Calibri"/>
          <w:spacing w:val="-1"/>
        </w:rPr>
        <w:t>n</w:t>
      </w:r>
      <w:r w:rsidRPr="00892E6E">
        <w:rPr>
          <w:rFonts w:ascii="Cambria" w:eastAsia="Calibri" w:hAnsi="Cambria" w:cs="Calibri"/>
        </w:rPr>
        <w:t>e</w:t>
      </w:r>
      <w:r w:rsidRPr="00892E6E">
        <w:rPr>
          <w:rFonts w:ascii="Cambria" w:eastAsia="Calibri" w:hAnsi="Cambria" w:cs="Calibri"/>
          <w:spacing w:val="-2"/>
        </w:rPr>
        <w:t xml:space="preserve"> </w:t>
      </w:r>
      <w:r w:rsidRPr="00892E6E">
        <w:rPr>
          <w:rFonts w:ascii="Cambria" w:eastAsia="Calibri" w:hAnsi="Cambria" w:cs="Calibri"/>
          <w:spacing w:val="1"/>
        </w:rPr>
        <w:t>w</w:t>
      </w:r>
      <w:r w:rsidRPr="00892E6E">
        <w:rPr>
          <w:rFonts w:ascii="Cambria" w:eastAsia="Calibri" w:hAnsi="Cambria" w:cs="Calibri"/>
          <w:spacing w:val="-3"/>
        </w:rPr>
        <w:t>a</w:t>
      </w:r>
      <w:r w:rsidRPr="00892E6E">
        <w:rPr>
          <w:rFonts w:ascii="Cambria" w:eastAsia="Calibri" w:hAnsi="Cambria" w:cs="Calibri"/>
        </w:rPr>
        <w:t>y</w:t>
      </w:r>
      <w:r w:rsidRPr="00892E6E">
        <w:rPr>
          <w:rFonts w:ascii="Cambria" w:eastAsia="Calibri" w:hAnsi="Cambria" w:cs="Calibri"/>
          <w:spacing w:val="1"/>
        </w:rPr>
        <w:t xml:space="preserve"> o</w:t>
      </w:r>
      <w:r w:rsidRPr="00892E6E">
        <w:rPr>
          <w:rFonts w:ascii="Cambria" w:eastAsia="Calibri" w:hAnsi="Cambria" w:cs="Calibri"/>
        </w:rPr>
        <w:t>r the ot</w:t>
      </w:r>
      <w:r w:rsidRPr="00892E6E">
        <w:rPr>
          <w:rFonts w:ascii="Cambria" w:eastAsia="Calibri" w:hAnsi="Cambria" w:cs="Calibri"/>
          <w:spacing w:val="-1"/>
        </w:rPr>
        <w:t>h</w:t>
      </w:r>
      <w:r w:rsidRPr="00892E6E">
        <w:rPr>
          <w:rFonts w:ascii="Cambria" w:eastAsia="Calibri" w:hAnsi="Cambria" w:cs="Calibri"/>
        </w:rPr>
        <w:t>er,</w:t>
      </w:r>
      <w:r w:rsidRPr="00892E6E">
        <w:rPr>
          <w:rFonts w:ascii="Cambria" w:eastAsia="Calibri" w:hAnsi="Cambria" w:cs="Calibri"/>
          <w:spacing w:val="1"/>
        </w:rPr>
        <w:t xml:space="preserve"> </w:t>
      </w:r>
      <w:r w:rsidRPr="00892E6E">
        <w:rPr>
          <w:rFonts w:ascii="Cambria" w:eastAsia="Calibri" w:hAnsi="Cambria" w:cs="Calibri"/>
          <w:spacing w:val="-3"/>
        </w:rPr>
        <w:t>h</w:t>
      </w:r>
      <w:r w:rsidRPr="00892E6E">
        <w:rPr>
          <w:rFonts w:ascii="Cambria" w:eastAsia="Calibri" w:hAnsi="Cambria" w:cs="Calibri"/>
          <w:spacing w:val="1"/>
        </w:rPr>
        <w:t>o</w:t>
      </w:r>
      <w:r w:rsidRPr="00892E6E">
        <w:rPr>
          <w:rFonts w:ascii="Cambria" w:eastAsia="Calibri" w:hAnsi="Cambria" w:cs="Calibri"/>
        </w:rPr>
        <w:t>w</w:t>
      </w:r>
      <w:r w:rsidRPr="00892E6E">
        <w:rPr>
          <w:rFonts w:ascii="Cambria" w:eastAsia="Calibri" w:hAnsi="Cambria" w:cs="Calibri"/>
          <w:spacing w:val="-2"/>
        </w:rPr>
        <w:t xml:space="preserve"> </w:t>
      </w:r>
      <w:r w:rsidRPr="00892E6E">
        <w:rPr>
          <w:rFonts w:ascii="Cambria" w:eastAsia="Calibri" w:hAnsi="Cambria" w:cs="Calibri"/>
        </w:rPr>
        <w:t>can</w:t>
      </w:r>
      <w:r w:rsidRPr="00892E6E">
        <w:rPr>
          <w:rFonts w:ascii="Cambria" w:eastAsia="Calibri" w:hAnsi="Cambria" w:cs="Calibri"/>
          <w:spacing w:val="-3"/>
        </w:rPr>
        <w:t xml:space="preserve"> </w:t>
      </w:r>
      <w:r w:rsidRPr="00892E6E">
        <w:rPr>
          <w:rFonts w:ascii="Cambria" w:eastAsia="Calibri" w:hAnsi="Cambria" w:cs="Calibri"/>
        </w:rPr>
        <w:t>we</w:t>
      </w:r>
      <w:r w:rsidRPr="00892E6E">
        <w:rPr>
          <w:rFonts w:ascii="Cambria" w:eastAsia="Calibri" w:hAnsi="Cambria" w:cs="Calibri"/>
          <w:spacing w:val="1"/>
        </w:rPr>
        <w:t xml:space="preserve"> </w:t>
      </w:r>
      <w:r w:rsidRPr="00892E6E">
        <w:rPr>
          <w:rFonts w:ascii="Cambria" w:eastAsia="Calibri" w:hAnsi="Cambria" w:cs="Calibri"/>
        </w:rPr>
        <w:t>l</w:t>
      </w:r>
      <w:r w:rsidRPr="00892E6E">
        <w:rPr>
          <w:rFonts w:ascii="Cambria" w:eastAsia="Calibri" w:hAnsi="Cambria" w:cs="Calibri"/>
          <w:spacing w:val="-2"/>
        </w:rPr>
        <w:t>i</w:t>
      </w:r>
      <w:r w:rsidRPr="00892E6E">
        <w:rPr>
          <w:rFonts w:ascii="Cambria" w:eastAsia="Calibri" w:hAnsi="Cambria" w:cs="Calibri"/>
          <w:spacing w:val="1"/>
        </w:rPr>
        <w:t>v</w:t>
      </w:r>
      <w:r w:rsidRPr="00892E6E">
        <w:rPr>
          <w:rFonts w:ascii="Cambria" w:eastAsia="Calibri" w:hAnsi="Cambria" w:cs="Calibri"/>
        </w:rPr>
        <w:t>e</w:t>
      </w:r>
      <w:r w:rsidRPr="00892E6E">
        <w:rPr>
          <w:rFonts w:ascii="Cambria" w:eastAsia="Calibri" w:hAnsi="Cambria" w:cs="Calibri"/>
          <w:spacing w:val="-1"/>
        </w:rPr>
        <w:t xml:space="preserve"> </w:t>
      </w:r>
      <w:r w:rsidRPr="00892E6E">
        <w:rPr>
          <w:rFonts w:ascii="Cambria" w:eastAsia="Calibri" w:hAnsi="Cambria" w:cs="Calibri"/>
        </w:rPr>
        <w:t xml:space="preserve">with </w:t>
      </w:r>
      <w:r w:rsidRPr="00892E6E">
        <w:rPr>
          <w:rFonts w:ascii="Cambria" w:eastAsia="Calibri" w:hAnsi="Cambria" w:cs="Calibri"/>
          <w:spacing w:val="1"/>
        </w:rPr>
        <w:t>t</w:t>
      </w:r>
      <w:r w:rsidRPr="00892E6E">
        <w:rPr>
          <w:rFonts w:ascii="Cambria" w:eastAsia="Calibri" w:hAnsi="Cambria" w:cs="Calibri"/>
          <w:spacing w:val="-1"/>
        </w:rPr>
        <w:t>h</w:t>
      </w:r>
      <w:r w:rsidRPr="00892E6E">
        <w:rPr>
          <w:rFonts w:ascii="Cambria" w:eastAsia="Calibri" w:hAnsi="Cambria" w:cs="Calibri"/>
        </w:rPr>
        <w:t>is d</w:t>
      </w:r>
      <w:r w:rsidRPr="00892E6E">
        <w:rPr>
          <w:rFonts w:ascii="Cambria" w:eastAsia="Calibri" w:hAnsi="Cambria" w:cs="Calibri"/>
          <w:spacing w:val="-3"/>
        </w:rPr>
        <w:t>i</w:t>
      </w:r>
      <w:r w:rsidRPr="00892E6E">
        <w:rPr>
          <w:rFonts w:ascii="Cambria" w:eastAsia="Calibri" w:hAnsi="Cambria" w:cs="Calibri"/>
          <w:spacing w:val="1"/>
        </w:rPr>
        <w:t>v</w:t>
      </w:r>
      <w:r w:rsidRPr="00892E6E">
        <w:rPr>
          <w:rFonts w:ascii="Cambria" w:eastAsia="Calibri" w:hAnsi="Cambria" w:cs="Calibri"/>
        </w:rPr>
        <w:t>isi</w:t>
      </w:r>
      <w:r w:rsidRPr="00892E6E">
        <w:rPr>
          <w:rFonts w:ascii="Cambria" w:eastAsia="Calibri" w:hAnsi="Cambria" w:cs="Calibri"/>
          <w:spacing w:val="1"/>
        </w:rPr>
        <w:t>o</w:t>
      </w:r>
      <w:r w:rsidRPr="00892E6E">
        <w:rPr>
          <w:rFonts w:ascii="Cambria" w:eastAsia="Calibri" w:hAnsi="Cambria" w:cs="Calibri"/>
        </w:rPr>
        <w:t>n</w:t>
      </w:r>
      <w:r w:rsidRPr="00892E6E">
        <w:rPr>
          <w:rFonts w:ascii="Cambria" w:eastAsia="Calibri" w:hAnsi="Cambria" w:cs="Calibri"/>
          <w:spacing w:val="-3"/>
        </w:rPr>
        <w:t xml:space="preserve"> </w:t>
      </w:r>
      <w:r w:rsidRPr="00892E6E">
        <w:rPr>
          <w:rFonts w:ascii="Cambria" w:eastAsia="Calibri" w:hAnsi="Cambria" w:cs="Calibri"/>
        </w:rPr>
        <w:t>in s</w:t>
      </w:r>
      <w:r w:rsidRPr="00892E6E">
        <w:rPr>
          <w:rFonts w:ascii="Cambria" w:eastAsia="Calibri" w:hAnsi="Cambria" w:cs="Calibri"/>
          <w:spacing w:val="-1"/>
        </w:rPr>
        <w:t>u</w:t>
      </w:r>
      <w:r w:rsidRPr="00892E6E">
        <w:rPr>
          <w:rFonts w:ascii="Cambria" w:eastAsia="Calibri" w:hAnsi="Cambria" w:cs="Calibri"/>
        </w:rPr>
        <w:t>ch a</w:t>
      </w:r>
      <w:r w:rsidRPr="00892E6E">
        <w:rPr>
          <w:rFonts w:ascii="Cambria" w:eastAsia="Calibri" w:hAnsi="Cambria" w:cs="Calibri"/>
          <w:spacing w:val="-2"/>
        </w:rPr>
        <w:t xml:space="preserve"> </w:t>
      </w:r>
      <w:r w:rsidRPr="00892E6E">
        <w:rPr>
          <w:rFonts w:ascii="Cambria" w:eastAsia="Calibri" w:hAnsi="Cambria" w:cs="Calibri"/>
        </w:rPr>
        <w:t>way</w:t>
      </w:r>
      <w:r w:rsidRPr="00892E6E">
        <w:rPr>
          <w:rFonts w:ascii="Cambria" w:eastAsia="Calibri" w:hAnsi="Cambria" w:cs="Calibri"/>
          <w:spacing w:val="-1"/>
        </w:rPr>
        <w:t xml:space="preserve"> </w:t>
      </w:r>
      <w:r w:rsidRPr="00892E6E">
        <w:rPr>
          <w:rFonts w:ascii="Cambria" w:eastAsia="Calibri" w:hAnsi="Cambria" w:cs="Calibri"/>
        </w:rPr>
        <w:t xml:space="preserve">that </w:t>
      </w:r>
      <w:r w:rsidRPr="00892E6E">
        <w:rPr>
          <w:rFonts w:ascii="Cambria" w:eastAsia="Calibri" w:hAnsi="Cambria" w:cs="Calibri"/>
          <w:spacing w:val="1"/>
        </w:rPr>
        <w:t>t</w:t>
      </w:r>
      <w:r w:rsidRPr="00892E6E">
        <w:rPr>
          <w:rFonts w:ascii="Cambria" w:eastAsia="Calibri" w:hAnsi="Cambria" w:cs="Calibri"/>
          <w:spacing w:val="-3"/>
        </w:rPr>
        <w:t>h</w:t>
      </w:r>
      <w:r w:rsidRPr="00892E6E">
        <w:rPr>
          <w:rFonts w:ascii="Cambria" w:eastAsia="Calibri" w:hAnsi="Cambria" w:cs="Calibri"/>
        </w:rPr>
        <w:t>e</w:t>
      </w:r>
      <w:r w:rsidRPr="00892E6E">
        <w:rPr>
          <w:rFonts w:ascii="Cambria" w:eastAsia="Calibri" w:hAnsi="Cambria" w:cs="Calibri"/>
          <w:spacing w:val="-1"/>
        </w:rPr>
        <w:t xml:space="preserve"> </w:t>
      </w:r>
      <w:r w:rsidRPr="00892E6E">
        <w:rPr>
          <w:rFonts w:ascii="Cambria" w:eastAsia="Calibri" w:hAnsi="Cambria" w:cs="Calibri"/>
          <w:spacing w:val="1"/>
        </w:rPr>
        <w:t>m</w:t>
      </w:r>
      <w:r w:rsidRPr="00892E6E">
        <w:rPr>
          <w:rFonts w:ascii="Cambria" w:eastAsia="Calibri" w:hAnsi="Cambria" w:cs="Calibri"/>
        </w:rPr>
        <w:t>iss</w:t>
      </w:r>
      <w:r w:rsidRPr="00892E6E">
        <w:rPr>
          <w:rFonts w:ascii="Cambria" w:eastAsia="Calibri" w:hAnsi="Cambria" w:cs="Calibri"/>
          <w:spacing w:val="-3"/>
        </w:rPr>
        <w:t>i</w:t>
      </w:r>
      <w:r w:rsidRPr="00892E6E">
        <w:rPr>
          <w:rFonts w:ascii="Cambria" w:eastAsia="Calibri" w:hAnsi="Cambria" w:cs="Calibri"/>
          <w:spacing w:val="1"/>
        </w:rPr>
        <w:t>o</w:t>
      </w:r>
      <w:r w:rsidRPr="00892E6E">
        <w:rPr>
          <w:rFonts w:ascii="Cambria" w:eastAsia="Calibri" w:hAnsi="Cambria" w:cs="Calibri"/>
        </w:rPr>
        <w:t>n</w:t>
      </w:r>
      <w:r w:rsidRPr="00892E6E">
        <w:rPr>
          <w:rFonts w:ascii="Cambria" w:eastAsia="Calibri" w:hAnsi="Cambria" w:cs="Calibri"/>
          <w:spacing w:val="-1"/>
        </w:rPr>
        <w:t xml:space="preserve"> </w:t>
      </w:r>
      <w:r w:rsidRPr="00892E6E">
        <w:rPr>
          <w:rFonts w:ascii="Cambria" w:eastAsia="Calibri" w:hAnsi="Cambria" w:cs="Calibri"/>
          <w:spacing w:val="1"/>
        </w:rPr>
        <w:t>o</w:t>
      </w:r>
      <w:r w:rsidRPr="00892E6E">
        <w:rPr>
          <w:rFonts w:ascii="Cambria" w:eastAsia="Calibri" w:hAnsi="Cambria" w:cs="Calibri"/>
        </w:rPr>
        <w:t>f</w:t>
      </w:r>
      <w:r w:rsidRPr="00892E6E">
        <w:rPr>
          <w:rFonts w:ascii="Cambria" w:eastAsia="Calibri" w:hAnsi="Cambria" w:cs="Calibri"/>
          <w:spacing w:val="-3"/>
        </w:rPr>
        <w:t xml:space="preserve"> </w:t>
      </w:r>
      <w:r w:rsidRPr="00892E6E">
        <w:rPr>
          <w:rFonts w:ascii="Cambria" w:eastAsia="Calibri" w:hAnsi="Cambria" w:cs="Calibri"/>
          <w:spacing w:val="1"/>
        </w:rPr>
        <w:t>t</w:t>
      </w:r>
      <w:r w:rsidRPr="00892E6E">
        <w:rPr>
          <w:rFonts w:ascii="Cambria" w:eastAsia="Calibri" w:hAnsi="Cambria" w:cs="Calibri"/>
          <w:spacing w:val="-1"/>
        </w:rPr>
        <w:t>h</w:t>
      </w:r>
      <w:r w:rsidRPr="00892E6E">
        <w:rPr>
          <w:rFonts w:ascii="Cambria" w:eastAsia="Calibri" w:hAnsi="Cambria" w:cs="Calibri"/>
        </w:rPr>
        <w:t>e</w:t>
      </w:r>
      <w:r w:rsidRPr="00892E6E">
        <w:rPr>
          <w:rFonts w:ascii="Cambria" w:eastAsia="Calibri" w:hAnsi="Cambria" w:cs="Calibri"/>
          <w:spacing w:val="-2"/>
        </w:rPr>
        <w:t xml:space="preserve"> </w:t>
      </w:r>
      <w:r w:rsidRPr="00892E6E">
        <w:rPr>
          <w:rFonts w:ascii="Cambria" w:eastAsia="Calibri" w:hAnsi="Cambria" w:cs="Calibri"/>
        </w:rPr>
        <w:t>G</w:t>
      </w:r>
      <w:r w:rsidRPr="00892E6E">
        <w:rPr>
          <w:rFonts w:ascii="Cambria" w:eastAsia="Calibri" w:hAnsi="Cambria" w:cs="Calibri"/>
          <w:spacing w:val="1"/>
        </w:rPr>
        <w:t>o</w:t>
      </w:r>
      <w:r w:rsidRPr="00892E6E">
        <w:rPr>
          <w:rFonts w:ascii="Cambria" w:eastAsia="Calibri" w:hAnsi="Cambria" w:cs="Calibri"/>
        </w:rPr>
        <w:t>spel</w:t>
      </w:r>
      <w:r w:rsidRPr="00892E6E">
        <w:rPr>
          <w:rFonts w:ascii="Cambria" w:eastAsia="Calibri" w:hAnsi="Cambria" w:cs="Calibri"/>
          <w:spacing w:val="-3"/>
        </w:rPr>
        <w:t xml:space="preserve"> </w:t>
      </w:r>
      <w:r w:rsidRPr="00892E6E">
        <w:rPr>
          <w:rFonts w:ascii="Cambria" w:eastAsia="Calibri" w:hAnsi="Cambria" w:cs="Calibri"/>
        </w:rPr>
        <w:t>is</w:t>
      </w:r>
      <w:r w:rsidRPr="00892E6E">
        <w:rPr>
          <w:rFonts w:ascii="Cambria" w:eastAsia="Calibri" w:hAnsi="Cambria" w:cs="Calibri"/>
          <w:spacing w:val="1"/>
        </w:rPr>
        <w:t xml:space="preserve"> </w:t>
      </w:r>
      <w:r w:rsidRPr="00892E6E">
        <w:rPr>
          <w:rFonts w:ascii="Cambria" w:eastAsia="Calibri" w:hAnsi="Cambria" w:cs="Calibri"/>
          <w:spacing w:val="-2"/>
        </w:rPr>
        <w:t>s</w:t>
      </w:r>
      <w:r w:rsidRPr="00892E6E">
        <w:rPr>
          <w:rFonts w:ascii="Cambria" w:eastAsia="Calibri" w:hAnsi="Cambria" w:cs="Calibri"/>
        </w:rPr>
        <w:t>till</w:t>
      </w:r>
      <w:r w:rsidRPr="00892E6E">
        <w:rPr>
          <w:rFonts w:ascii="Cambria" w:eastAsia="Calibri" w:hAnsi="Cambria" w:cs="Calibri"/>
          <w:spacing w:val="6"/>
        </w:rPr>
        <w:t xml:space="preserve"> </w:t>
      </w:r>
      <w:r w:rsidRPr="00892E6E">
        <w:rPr>
          <w:rFonts w:ascii="Cambria" w:eastAsia="Calibri" w:hAnsi="Cambria" w:cs="Calibri"/>
        </w:rPr>
        <w:t>se</w:t>
      </w:r>
      <w:r w:rsidRPr="00892E6E">
        <w:rPr>
          <w:rFonts w:ascii="Cambria" w:eastAsia="Calibri" w:hAnsi="Cambria" w:cs="Calibri"/>
          <w:spacing w:val="-2"/>
        </w:rPr>
        <w:t>r</w:t>
      </w:r>
      <w:r w:rsidRPr="00892E6E">
        <w:rPr>
          <w:rFonts w:ascii="Cambria" w:eastAsia="Calibri" w:hAnsi="Cambria" w:cs="Calibri"/>
          <w:spacing w:val="1"/>
        </w:rPr>
        <w:t>v</w:t>
      </w:r>
      <w:r w:rsidRPr="00892E6E">
        <w:rPr>
          <w:rFonts w:ascii="Cambria" w:eastAsia="Calibri" w:hAnsi="Cambria" w:cs="Calibri"/>
        </w:rPr>
        <w:t>ed and C</w:t>
      </w:r>
      <w:r w:rsidRPr="00892E6E">
        <w:rPr>
          <w:rFonts w:ascii="Cambria" w:eastAsia="Calibri" w:hAnsi="Cambria" w:cs="Calibri"/>
          <w:spacing w:val="-1"/>
        </w:rPr>
        <w:t>h</w:t>
      </w:r>
      <w:r w:rsidRPr="00892E6E">
        <w:rPr>
          <w:rFonts w:ascii="Cambria" w:eastAsia="Calibri" w:hAnsi="Cambria" w:cs="Calibri"/>
        </w:rPr>
        <w:t>risti</w:t>
      </w:r>
      <w:r w:rsidRPr="00892E6E">
        <w:rPr>
          <w:rFonts w:ascii="Cambria" w:eastAsia="Calibri" w:hAnsi="Cambria" w:cs="Calibri"/>
          <w:spacing w:val="-1"/>
        </w:rPr>
        <w:t>a</w:t>
      </w:r>
      <w:r w:rsidRPr="00892E6E">
        <w:rPr>
          <w:rFonts w:ascii="Cambria" w:eastAsia="Calibri" w:hAnsi="Cambria" w:cs="Calibri"/>
        </w:rPr>
        <w:t>n l</w:t>
      </w:r>
      <w:r w:rsidRPr="00892E6E">
        <w:rPr>
          <w:rFonts w:ascii="Cambria" w:eastAsia="Calibri" w:hAnsi="Cambria" w:cs="Calibri"/>
          <w:spacing w:val="-1"/>
        </w:rPr>
        <w:t>o</w:t>
      </w:r>
      <w:r w:rsidRPr="00892E6E">
        <w:rPr>
          <w:rFonts w:ascii="Cambria" w:eastAsia="Calibri" w:hAnsi="Cambria" w:cs="Calibri"/>
          <w:spacing w:val="1"/>
        </w:rPr>
        <w:t>v</w:t>
      </w:r>
      <w:r w:rsidRPr="00892E6E">
        <w:rPr>
          <w:rFonts w:ascii="Cambria" w:eastAsia="Calibri" w:hAnsi="Cambria" w:cs="Calibri"/>
        </w:rPr>
        <w:t>e</w:t>
      </w:r>
      <w:r w:rsidRPr="00892E6E">
        <w:rPr>
          <w:rFonts w:ascii="Cambria" w:eastAsia="Calibri" w:hAnsi="Cambria" w:cs="Calibri"/>
          <w:spacing w:val="1"/>
        </w:rPr>
        <w:t xml:space="preserve"> </w:t>
      </w:r>
      <w:r w:rsidRPr="00892E6E">
        <w:rPr>
          <w:rFonts w:ascii="Cambria" w:eastAsia="Calibri" w:hAnsi="Cambria" w:cs="Calibri"/>
          <w:spacing w:val="-3"/>
        </w:rPr>
        <w:t>i</w:t>
      </w:r>
      <w:r w:rsidRPr="00892E6E">
        <w:rPr>
          <w:rFonts w:ascii="Cambria" w:eastAsia="Calibri" w:hAnsi="Cambria" w:cs="Calibri"/>
        </w:rPr>
        <w:t>s</w:t>
      </w:r>
      <w:r w:rsidRPr="00892E6E">
        <w:rPr>
          <w:rFonts w:ascii="Cambria" w:eastAsia="Calibri" w:hAnsi="Cambria" w:cs="Calibri"/>
          <w:spacing w:val="-2"/>
        </w:rPr>
        <w:t xml:space="preserve"> </w:t>
      </w:r>
      <w:r w:rsidRPr="00892E6E">
        <w:rPr>
          <w:rFonts w:ascii="Cambria" w:eastAsia="Calibri" w:hAnsi="Cambria" w:cs="Calibri"/>
          <w:spacing w:val="1"/>
        </w:rPr>
        <w:t>m</w:t>
      </w:r>
      <w:r w:rsidRPr="00892E6E">
        <w:rPr>
          <w:rFonts w:ascii="Cambria" w:eastAsia="Calibri" w:hAnsi="Cambria" w:cs="Calibri"/>
        </w:rPr>
        <w:t>ai</w:t>
      </w:r>
      <w:r w:rsidRPr="00892E6E">
        <w:rPr>
          <w:rFonts w:ascii="Cambria" w:eastAsia="Calibri" w:hAnsi="Cambria" w:cs="Calibri"/>
          <w:spacing w:val="-1"/>
        </w:rPr>
        <w:t>n</w:t>
      </w:r>
      <w:r w:rsidRPr="00892E6E">
        <w:rPr>
          <w:rFonts w:ascii="Cambria" w:eastAsia="Calibri" w:hAnsi="Cambria" w:cs="Calibri"/>
        </w:rPr>
        <w:t>tai</w:t>
      </w:r>
      <w:r w:rsidRPr="00892E6E">
        <w:rPr>
          <w:rFonts w:ascii="Cambria" w:eastAsia="Calibri" w:hAnsi="Cambria" w:cs="Calibri"/>
          <w:spacing w:val="-1"/>
        </w:rPr>
        <w:t>n</w:t>
      </w:r>
      <w:r w:rsidRPr="00892E6E">
        <w:rPr>
          <w:rFonts w:ascii="Cambria" w:eastAsia="Calibri" w:hAnsi="Cambria" w:cs="Calibri"/>
          <w:spacing w:val="-2"/>
        </w:rPr>
        <w:t>e</w:t>
      </w:r>
      <w:r w:rsidRPr="00892E6E">
        <w:rPr>
          <w:rFonts w:ascii="Cambria" w:eastAsia="Calibri" w:hAnsi="Cambria" w:cs="Calibri"/>
          <w:spacing w:val="-1"/>
        </w:rPr>
        <w:t>d</w:t>
      </w:r>
      <w:r w:rsidRPr="00892E6E">
        <w:rPr>
          <w:rFonts w:ascii="Cambria" w:eastAsia="Calibri" w:hAnsi="Cambria" w:cs="Calibri"/>
        </w:rPr>
        <w:t>?</w:t>
      </w:r>
      <w:r w:rsidRPr="00892E6E">
        <w:rPr>
          <w:rFonts w:ascii="Cambria" w:eastAsia="Calibri" w:hAnsi="Cambria" w:cs="Calibri"/>
          <w:spacing w:val="1"/>
        </w:rPr>
        <w:t xml:space="preserve"> T</w:t>
      </w:r>
      <w:r w:rsidRPr="00892E6E">
        <w:rPr>
          <w:rFonts w:ascii="Cambria" w:eastAsia="Calibri" w:hAnsi="Cambria" w:cs="Calibri"/>
          <w:spacing w:val="-1"/>
        </w:rPr>
        <w:t>h</w:t>
      </w:r>
      <w:r w:rsidRPr="00892E6E">
        <w:rPr>
          <w:rFonts w:ascii="Cambria" w:eastAsia="Calibri" w:hAnsi="Cambria" w:cs="Calibri"/>
        </w:rPr>
        <w:t>e</w:t>
      </w:r>
      <w:r w:rsidRPr="00892E6E">
        <w:rPr>
          <w:rFonts w:ascii="Cambria" w:eastAsia="Calibri" w:hAnsi="Cambria" w:cs="Calibri"/>
          <w:spacing w:val="-1"/>
        </w:rPr>
        <w:t xml:space="preserve"> </w:t>
      </w:r>
      <w:r w:rsidRPr="00892E6E">
        <w:rPr>
          <w:rFonts w:ascii="Cambria" w:eastAsia="Calibri" w:hAnsi="Cambria" w:cs="Calibri"/>
        </w:rPr>
        <w:t>a</w:t>
      </w:r>
      <w:r w:rsidRPr="00892E6E">
        <w:rPr>
          <w:rFonts w:ascii="Cambria" w:eastAsia="Calibri" w:hAnsi="Cambria" w:cs="Calibri"/>
          <w:spacing w:val="-1"/>
        </w:rPr>
        <w:t>n</w:t>
      </w:r>
      <w:r w:rsidRPr="00892E6E">
        <w:rPr>
          <w:rFonts w:ascii="Cambria" w:eastAsia="Calibri" w:hAnsi="Cambria" w:cs="Calibri"/>
        </w:rPr>
        <w:t>sw</w:t>
      </w:r>
      <w:r w:rsidRPr="00892E6E">
        <w:rPr>
          <w:rFonts w:ascii="Cambria" w:eastAsia="Calibri" w:hAnsi="Cambria" w:cs="Calibri"/>
          <w:spacing w:val="1"/>
        </w:rPr>
        <w:t>e</w:t>
      </w:r>
      <w:r w:rsidRPr="00892E6E">
        <w:rPr>
          <w:rFonts w:ascii="Cambria" w:eastAsia="Calibri" w:hAnsi="Cambria" w:cs="Calibri"/>
        </w:rPr>
        <w:t>r</w:t>
      </w:r>
      <w:r w:rsidRPr="00892E6E">
        <w:rPr>
          <w:rFonts w:ascii="Cambria" w:eastAsia="Calibri" w:hAnsi="Cambria" w:cs="Calibri"/>
          <w:spacing w:val="-2"/>
        </w:rPr>
        <w:t xml:space="preserve"> </w:t>
      </w:r>
      <w:r w:rsidRPr="00892E6E">
        <w:rPr>
          <w:rFonts w:ascii="Cambria" w:eastAsia="Calibri" w:hAnsi="Cambria" w:cs="Calibri"/>
          <w:spacing w:val="2"/>
        </w:rPr>
        <w:t>o</w:t>
      </w:r>
      <w:r w:rsidRPr="00892E6E">
        <w:rPr>
          <w:rFonts w:ascii="Cambria" w:eastAsia="Calibri" w:hAnsi="Cambria" w:cs="Calibri"/>
        </w:rPr>
        <w:t>f</w:t>
      </w:r>
      <w:r w:rsidRPr="00892E6E">
        <w:rPr>
          <w:rFonts w:ascii="Cambria" w:eastAsia="Calibri" w:hAnsi="Cambria" w:cs="Calibri"/>
          <w:spacing w:val="-2"/>
        </w:rPr>
        <w:t xml:space="preserve"> </w:t>
      </w:r>
      <w:r w:rsidRPr="00892E6E">
        <w:rPr>
          <w:rFonts w:ascii="Cambria" w:eastAsia="Calibri" w:hAnsi="Cambria" w:cs="Calibri"/>
          <w:spacing w:val="1"/>
        </w:rPr>
        <w:t>t</w:t>
      </w:r>
      <w:r w:rsidRPr="00892E6E">
        <w:rPr>
          <w:rFonts w:ascii="Cambria" w:eastAsia="Calibri" w:hAnsi="Cambria" w:cs="Calibri"/>
          <w:spacing w:val="-1"/>
        </w:rPr>
        <w:t>h</w:t>
      </w:r>
      <w:r w:rsidRPr="00892E6E">
        <w:rPr>
          <w:rFonts w:ascii="Cambria" w:eastAsia="Calibri" w:hAnsi="Cambria" w:cs="Calibri"/>
        </w:rPr>
        <w:t>e</w:t>
      </w:r>
      <w:r w:rsidRPr="00892E6E">
        <w:rPr>
          <w:rFonts w:ascii="Cambria" w:eastAsia="Calibri" w:hAnsi="Cambria" w:cs="Calibri"/>
          <w:spacing w:val="-1"/>
        </w:rPr>
        <w:t xml:space="preserve"> </w:t>
      </w:r>
      <w:r w:rsidRPr="00892E6E">
        <w:rPr>
          <w:rFonts w:ascii="Cambria" w:eastAsia="Calibri" w:hAnsi="Cambria" w:cs="Calibri"/>
        </w:rPr>
        <w:t>CTICR</w:t>
      </w:r>
      <w:r w:rsidRPr="00892E6E">
        <w:rPr>
          <w:rFonts w:ascii="Cambria" w:eastAsia="Calibri" w:hAnsi="Cambria" w:cs="Calibri"/>
          <w:spacing w:val="-2"/>
        </w:rPr>
        <w:t xml:space="preserve"> </w:t>
      </w:r>
      <w:r w:rsidRPr="00892E6E">
        <w:rPr>
          <w:rFonts w:ascii="Cambria" w:eastAsia="Calibri" w:hAnsi="Cambria" w:cs="Calibri"/>
        </w:rPr>
        <w:t>pa</w:t>
      </w:r>
      <w:r w:rsidRPr="00892E6E">
        <w:rPr>
          <w:rFonts w:ascii="Cambria" w:eastAsia="Calibri" w:hAnsi="Cambria" w:cs="Calibri"/>
          <w:spacing w:val="-1"/>
        </w:rPr>
        <w:t>p</w:t>
      </w:r>
      <w:r w:rsidRPr="00892E6E">
        <w:rPr>
          <w:rFonts w:ascii="Cambria" w:eastAsia="Calibri" w:hAnsi="Cambria" w:cs="Calibri"/>
        </w:rPr>
        <w:t>er,</w:t>
      </w:r>
      <w:r w:rsidRPr="00892E6E">
        <w:rPr>
          <w:rFonts w:ascii="Cambria" w:eastAsia="Calibri" w:hAnsi="Cambria" w:cs="Calibri"/>
          <w:spacing w:val="1"/>
        </w:rPr>
        <w:t xml:space="preserve"> </w:t>
      </w:r>
      <w:r w:rsidRPr="00892E6E">
        <w:rPr>
          <w:rFonts w:ascii="Cambria" w:eastAsia="Calibri" w:hAnsi="Cambria" w:cs="Calibri"/>
        </w:rPr>
        <w:t>that</w:t>
      </w:r>
      <w:r w:rsidRPr="00892E6E">
        <w:rPr>
          <w:rFonts w:ascii="Cambria" w:eastAsia="Calibri" w:hAnsi="Cambria" w:cs="Calibri"/>
          <w:spacing w:val="-2"/>
        </w:rPr>
        <w:t xml:space="preserve"> </w:t>
      </w:r>
      <w:r w:rsidRPr="00892E6E">
        <w:rPr>
          <w:rFonts w:ascii="Cambria" w:eastAsia="Calibri" w:hAnsi="Cambria" w:cs="Calibri"/>
        </w:rPr>
        <w:t xml:space="preserve">if </w:t>
      </w:r>
      <w:r w:rsidRPr="00892E6E">
        <w:rPr>
          <w:rFonts w:ascii="Cambria" w:eastAsia="Calibri" w:hAnsi="Cambria" w:cs="Calibri"/>
          <w:spacing w:val="-1"/>
        </w:rPr>
        <w:t>wo</w:t>
      </w:r>
      <w:r w:rsidRPr="00892E6E">
        <w:rPr>
          <w:rFonts w:ascii="Cambria" w:eastAsia="Calibri" w:hAnsi="Cambria" w:cs="Calibri"/>
          <w:spacing w:val="1"/>
        </w:rPr>
        <w:t>m</w:t>
      </w:r>
      <w:r w:rsidRPr="00892E6E">
        <w:rPr>
          <w:rFonts w:ascii="Cambria" w:eastAsia="Calibri" w:hAnsi="Cambria" w:cs="Calibri"/>
        </w:rPr>
        <w:t>en’s</w:t>
      </w:r>
      <w:r w:rsidRPr="00892E6E">
        <w:rPr>
          <w:rFonts w:ascii="Cambria" w:eastAsia="Calibri" w:hAnsi="Cambria" w:cs="Calibri"/>
          <w:spacing w:val="-2"/>
        </w:rPr>
        <w:t xml:space="preserve"> </w:t>
      </w:r>
      <w:r w:rsidRPr="00892E6E">
        <w:rPr>
          <w:rFonts w:ascii="Cambria" w:eastAsia="Calibri" w:hAnsi="Cambria" w:cs="Calibri"/>
          <w:spacing w:val="2"/>
        </w:rPr>
        <w:t>o</w:t>
      </w:r>
      <w:r w:rsidRPr="00892E6E">
        <w:rPr>
          <w:rFonts w:ascii="Cambria" w:eastAsia="Calibri" w:hAnsi="Cambria" w:cs="Calibri"/>
        </w:rPr>
        <w:t>r</w:t>
      </w:r>
      <w:r w:rsidRPr="00892E6E">
        <w:rPr>
          <w:rFonts w:ascii="Cambria" w:eastAsia="Calibri" w:hAnsi="Cambria" w:cs="Calibri"/>
          <w:spacing w:val="-3"/>
        </w:rPr>
        <w:t>d</w:t>
      </w:r>
      <w:r w:rsidRPr="00892E6E">
        <w:rPr>
          <w:rFonts w:ascii="Cambria" w:eastAsia="Calibri" w:hAnsi="Cambria" w:cs="Calibri"/>
        </w:rPr>
        <w:t>i</w:t>
      </w:r>
      <w:r w:rsidRPr="00892E6E">
        <w:rPr>
          <w:rFonts w:ascii="Cambria" w:eastAsia="Calibri" w:hAnsi="Cambria" w:cs="Calibri"/>
          <w:spacing w:val="-1"/>
        </w:rPr>
        <w:t>n</w:t>
      </w:r>
      <w:r w:rsidRPr="00892E6E">
        <w:rPr>
          <w:rFonts w:ascii="Cambria" w:eastAsia="Calibri" w:hAnsi="Cambria" w:cs="Calibri"/>
        </w:rPr>
        <w:t>ati</w:t>
      </w:r>
      <w:r w:rsidRPr="00892E6E">
        <w:rPr>
          <w:rFonts w:ascii="Cambria" w:eastAsia="Calibri" w:hAnsi="Cambria" w:cs="Calibri"/>
          <w:spacing w:val="1"/>
        </w:rPr>
        <w:t>o</w:t>
      </w:r>
      <w:r w:rsidRPr="00892E6E">
        <w:rPr>
          <w:rFonts w:ascii="Cambria" w:eastAsia="Calibri" w:hAnsi="Cambria" w:cs="Calibri"/>
        </w:rPr>
        <w:t xml:space="preserve">n </w:t>
      </w:r>
      <w:r w:rsidRPr="00892E6E">
        <w:rPr>
          <w:rFonts w:ascii="Cambria" w:eastAsia="Calibri" w:hAnsi="Cambria" w:cs="Calibri"/>
          <w:spacing w:val="-2"/>
        </w:rPr>
        <w:t>c</w:t>
      </w:r>
      <w:r w:rsidRPr="00892E6E">
        <w:rPr>
          <w:rFonts w:ascii="Cambria" w:eastAsia="Calibri" w:hAnsi="Cambria" w:cs="Calibri"/>
          <w:spacing w:val="-1"/>
        </w:rPr>
        <w:t>o</w:t>
      </w:r>
      <w:r w:rsidRPr="00892E6E">
        <w:rPr>
          <w:rFonts w:ascii="Cambria" w:eastAsia="Calibri" w:hAnsi="Cambria" w:cs="Calibri"/>
          <w:spacing w:val="1"/>
        </w:rPr>
        <w:t>m</w:t>
      </w:r>
      <w:r w:rsidRPr="00892E6E">
        <w:rPr>
          <w:rFonts w:ascii="Cambria" w:eastAsia="Calibri" w:hAnsi="Cambria" w:cs="Calibri"/>
        </w:rPr>
        <w:t>es</w:t>
      </w:r>
      <w:r w:rsidRPr="00892E6E">
        <w:rPr>
          <w:rFonts w:ascii="Cambria" w:eastAsia="Calibri" w:hAnsi="Cambria" w:cs="Calibri"/>
          <w:spacing w:val="1"/>
        </w:rPr>
        <w:t xml:space="preserve"> </w:t>
      </w:r>
      <w:r w:rsidRPr="00892E6E">
        <w:rPr>
          <w:rFonts w:ascii="Cambria" w:eastAsia="Calibri" w:hAnsi="Cambria" w:cs="Calibri"/>
        </w:rPr>
        <w:t>in</w:t>
      </w:r>
      <w:r w:rsidRPr="00892E6E">
        <w:rPr>
          <w:rFonts w:ascii="Cambria" w:eastAsia="Calibri" w:hAnsi="Cambria" w:cs="Calibri"/>
          <w:spacing w:val="-3"/>
        </w:rPr>
        <w:t xml:space="preserve"> </w:t>
      </w:r>
      <w:r w:rsidRPr="00892E6E">
        <w:rPr>
          <w:rFonts w:ascii="Cambria" w:eastAsia="Calibri" w:hAnsi="Cambria" w:cs="Calibri"/>
        </w:rPr>
        <w:t>th</w:t>
      </w:r>
      <w:r w:rsidRPr="00892E6E">
        <w:rPr>
          <w:rFonts w:ascii="Cambria" w:eastAsia="Calibri" w:hAnsi="Cambria" w:cs="Calibri"/>
          <w:spacing w:val="1"/>
        </w:rPr>
        <w:t>o</w:t>
      </w:r>
      <w:r w:rsidRPr="00892E6E">
        <w:rPr>
          <w:rFonts w:ascii="Cambria" w:eastAsia="Calibri" w:hAnsi="Cambria" w:cs="Calibri"/>
          <w:spacing w:val="-2"/>
        </w:rPr>
        <w:t>s</w:t>
      </w:r>
      <w:r w:rsidRPr="00892E6E">
        <w:rPr>
          <w:rFonts w:ascii="Cambria" w:eastAsia="Calibri" w:hAnsi="Cambria" w:cs="Calibri"/>
        </w:rPr>
        <w:t>e</w:t>
      </w:r>
      <w:r w:rsidRPr="00892E6E">
        <w:rPr>
          <w:rFonts w:ascii="Cambria" w:eastAsia="Calibri" w:hAnsi="Cambria" w:cs="Calibri"/>
          <w:spacing w:val="-1"/>
        </w:rPr>
        <w:t xml:space="preserve"> </w:t>
      </w:r>
      <w:r w:rsidRPr="00892E6E">
        <w:rPr>
          <w:rFonts w:ascii="Cambria" w:eastAsia="Calibri" w:hAnsi="Cambria" w:cs="Calibri"/>
        </w:rPr>
        <w:t xml:space="preserve">who </w:t>
      </w:r>
      <w:r w:rsidRPr="00892E6E">
        <w:rPr>
          <w:rFonts w:ascii="Cambria" w:eastAsia="Calibri" w:hAnsi="Cambria" w:cs="Calibri"/>
          <w:spacing w:val="1"/>
        </w:rPr>
        <w:t>o</w:t>
      </w:r>
      <w:r w:rsidRPr="00892E6E">
        <w:rPr>
          <w:rFonts w:ascii="Cambria" w:eastAsia="Calibri" w:hAnsi="Cambria" w:cs="Calibri"/>
          <w:spacing w:val="-1"/>
        </w:rPr>
        <w:t>pp</w:t>
      </w:r>
      <w:r w:rsidRPr="00892E6E">
        <w:rPr>
          <w:rFonts w:ascii="Cambria" w:eastAsia="Calibri" w:hAnsi="Cambria" w:cs="Calibri"/>
          <w:spacing w:val="1"/>
        </w:rPr>
        <w:t>o</w:t>
      </w:r>
      <w:r w:rsidRPr="00892E6E">
        <w:rPr>
          <w:rFonts w:ascii="Cambria" w:eastAsia="Calibri" w:hAnsi="Cambria" w:cs="Calibri"/>
          <w:spacing w:val="-2"/>
        </w:rPr>
        <w:t>s</w:t>
      </w:r>
      <w:r w:rsidRPr="00892E6E">
        <w:rPr>
          <w:rFonts w:ascii="Cambria" w:eastAsia="Calibri" w:hAnsi="Cambria" w:cs="Calibri"/>
        </w:rPr>
        <w:t>e</w:t>
      </w:r>
      <w:r w:rsidRPr="00892E6E">
        <w:rPr>
          <w:rFonts w:ascii="Cambria" w:eastAsia="Calibri" w:hAnsi="Cambria" w:cs="Calibri"/>
          <w:spacing w:val="1"/>
        </w:rPr>
        <w:t xml:space="preserve"> </w:t>
      </w:r>
      <w:r w:rsidRPr="00892E6E">
        <w:rPr>
          <w:rFonts w:ascii="Cambria" w:eastAsia="Calibri" w:hAnsi="Cambria" w:cs="Calibri"/>
        </w:rPr>
        <w:t xml:space="preserve">it </w:t>
      </w:r>
      <w:r w:rsidRPr="00892E6E">
        <w:rPr>
          <w:rFonts w:ascii="Cambria" w:eastAsia="Calibri" w:hAnsi="Cambria" w:cs="Calibri"/>
          <w:spacing w:val="-3"/>
        </w:rPr>
        <w:t>n</w:t>
      </w:r>
      <w:r w:rsidRPr="00892E6E">
        <w:rPr>
          <w:rFonts w:ascii="Cambria" w:eastAsia="Calibri" w:hAnsi="Cambria" w:cs="Calibri"/>
        </w:rPr>
        <w:t>e</w:t>
      </w:r>
      <w:r w:rsidRPr="00892E6E">
        <w:rPr>
          <w:rFonts w:ascii="Cambria" w:eastAsia="Calibri" w:hAnsi="Cambria" w:cs="Calibri"/>
          <w:spacing w:val="1"/>
        </w:rPr>
        <w:t>e</w:t>
      </w:r>
      <w:r w:rsidRPr="00892E6E">
        <w:rPr>
          <w:rFonts w:ascii="Cambria" w:eastAsia="Calibri" w:hAnsi="Cambria" w:cs="Calibri"/>
        </w:rPr>
        <w:t>d</w:t>
      </w:r>
      <w:r w:rsidRPr="00892E6E">
        <w:rPr>
          <w:rFonts w:ascii="Cambria" w:eastAsia="Calibri" w:hAnsi="Cambria" w:cs="Calibri"/>
          <w:spacing w:val="-1"/>
        </w:rPr>
        <w:t xml:space="preserve"> </w:t>
      </w:r>
      <w:r w:rsidRPr="00892E6E">
        <w:rPr>
          <w:rFonts w:ascii="Cambria" w:eastAsia="Calibri" w:hAnsi="Cambria" w:cs="Calibri"/>
          <w:spacing w:val="-2"/>
        </w:rPr>
        <w:t>t</w:t>
      </w:r>
      <w:r w:rsidRPr="00892E6E">
        <w:rPr>
          <w:rFonts w:ascii="Cambria" w:eastAsia="Calibri" w:hAnsi="Cambria" w:cs="Calibri"/>
        </w:rPr>
        <w:t>o</w:t>
      </w:r>
      <w:r w:rsidRPr="00892E6E">
        <w:rPr>
          <w:rFonts w:ascii="Cambria" w:eastAsia="Calibri" w:hAnsi="Cambria" w:cs="Calibri"/>
          <w:spacing w:val="1"/>
        </w:rPr>
        <w:t xml:space="preserve"> </w:t>
      </w:r>
      <w:r w:rsidRPr="00892E6E">
        <w:rPr>
          <w:rFonts w:ascii="Cambria" w:eastAsia="Calibri" w:hAnsi="Cambria" w:cs="Calibri"/>
          <w:spacing w:val="-3"/>
        </w:rPr>
        <w:t>g</w:t>
      </w:r>
      <w:r w:rsidRPr="00892E6E">
        <w:rPr>
          <w:rFonts w:ascii="Cambria" w:eastAsia="Calibri" w:hAnsi="Cambria" w:cs="Calibri"/>
        </w:rPr>
        <w:t>o</w:t>
      </w:r>
      <w:r w:rsidRPr="00892E6E">
        <w:rPr>
          <w:rFonts w:ascii="Cambria" w:eastAsia="Calibri" w:hAnsi="Cambria" w:cs="Calibri"/>
          <w:spacing w:val="1"/>
        </w:rPr>
        <w:t xml:space="preserve"> </w:t>
      </w:r>
      <w:r w:rsidRPr="00892E6E">
        <w:rPr>
          <w:rFonts w:ascii="Cambria" w:eastAsia="Calibri" w:hAnsi="Cambria" w:cs="Calibri"/>
        </w:rPr>
        <w:t>a</w:t>
      </w:r>
      <w:r w:rsidRPr="00892E6E">
        <w:rPr>
          <w:rFonts w:ascii="Cambria" w:eastAsia="Calibri" w:hAnsi="Cambria" w:cs="Calibri"/>
          <w:spacing w:val="-2"/>
        </w:rPr>
        <w:t>l</w:t>
      </w:r>
      <w:r w:rsidRPr="00892E6E">
        <w:rPr>
          <w:rFonts w:ascii="Cambria" w:eastAsia="Calibri" w:hAnsi="Cambria" w:cs="Calibri"/>
          <w:spacing w:val="1"/>
        </w:rPr>
        <w:t>o</w:t>
      </w:r>
      <w:r w:rsidRPr="00892E6E">
        <w:rPr>
          <w:rFonts w:ascii="Cambria" w:eastAsia="Calibri" w:hAnsi="Cambria" w:cs="Calibri"/>
          <w:spacing w:val="-1"/>
        </w:rPr>
        <w:t>n</w:t>
      </w:r>
      <w:r w:rsidRPr="00892E6E">
        <w:rPr>
          <w:rFonts w:ascii="Cambria" w:eastAsia="Calibri" w:hAnsi="Cambria" w:cs="Calibri"/>
        </w:rPr>
        <w:t>g</w:t>
      </w:r>
      <w:r w:rsidRPr="00892E6E">
        <w:rPr>
          <w:rFonts w:ascii="Cambria" w:eastAsia="Calibri" w:hAnsi="Cambria" w:cs="Calibri"/>
          <w:spacing w:val="-3"/>
        </w:rPr>
        <w:t xml:space="preserve"> </w:t>
      </w:r>
      <w:r w:rsidRPr="00892E6E">
        <w:rPr>
          <w:rFonts w:ascii="Cambria" w:eastAsia="Calibri" w:hAnsi="Cambria" w:cs="Calibri"/>
        </w:rPr>
        <w:t>with it</w:t>
      </w:r>
      <w:r w:rsidRPr="00892E6E">
        <w:rPr>
          <w:rFonts w:ascii="Cambria" w:eastAsia="Calibri" w:hAnsi="Cambria" w:cs="Calibri"/>
          <w:spacing w:val="-1"/>
        </w:rPr>
        <w:t xml:space="preserve"> </w:t>
      </w:r>
      <w:r w:rsidRPr="00892E6E">
        <w:rPr>
          <w:rFonts w:ascii="Cambria" w:eastAsia="Calibri" w:hAnsi="Cambria" w:cs="Calibri"/>
          <w:spacing w:val="1"/>
        </w:rPr>
        <w:t>o</w:t>
      </w:r>
      <w:r w:rsidRPr="00892E6E">
        <w:rPr>
          <w:rFonts w:ascii="Cambria" w:eastAsia="Calibri" w:hAnsi="Cambria" w:cs="Calibri"/>
          <w:spacing w:val="-1"/>
        </w:rPr>
        <w:t>u</w:t>
      </w:r>
      <w:r w:rsidRPr="00892E6E">
        <w:rPr>
          <w:rFonts w:ascii="Cambria" w:eastAsia="Calibri" w:hAnsi="Cambria" w:cs="Calibri"/>
        </w:rPr>
        <w:t>t</w:t>
      </w:r>
      <w:r w:rsidRPr="00892E6E">
        <w:rPr>
          <w:rFonts w:ascii="Cambria" w:eastAsia="Calibri" w:hAnsi="Cambria" w:cs="Calibri"/>
          <w:spacing w:val="-1"/>
        </w:rPr>
        <w:t xml:space="preserve"> </w:t>
      </w:r>
      <w:r w:rsidRPr="00892E6E">
        <w:rPr>
          <w:rFonts w:ascii="Cambria" w:eastAsia="Calibri" w:hAnsi="Cambria" w:cs="Calibri"/>
          <w:spacing w:val="1"/>
        </w:rPr>
        <w:t>o</w:t>
      </w:r>
      <w:r w:rsidRPr="00892E6E">
        <w:rPr>
          <w:rFonts w:ascii="Cambria" w:eastAsia="Calibri" w:hAnsi="Cambria" w:cs="Calibri"/>
        </w:rPr>
        <w:t xml:space="preserve">f </w:t>
      </w:r>
      <w:r w:rsidRPr="00892E6E">
        <w:rPr>
          <w:rFonts w:ascii="Cambria" w:eastAsia="Calibri" w:hAnsi="Cambria" w:cs="Calibri"/>
          <w:spacing w:val="-2"/>
        </w:rPr>
        <w:t>l</w:t>
      </w:r>
      <w:r w:rsidRPr="00892E6E">
        <w:rPr>
          <w:rFonts w:ascii="Cambria" w:eastAsia="Calibri" w:hAnsi="Cambria" w:cs="Calibri"/>
          <w:spacing w:val="1"/>
        </w:rPr>
        <w:t>o</w:t>
      </w:r>
      <w:r w:rsidRPr="00892E6E">
        <w:rPr>
          <w:rFonts w:ascii="Cambria" w:eastAsia="Calibri" w:hAnsi="Cambria" w:cs="Calibri"/>
          <w:spacing w:val="-1"/>
        </w:rPr>
        <w:t>y</w:t>
      </w:r>
      <w:r w:rsidRPr="00892E6E">
        <w:rPr>
          <w:rFonts w:ascii="Cambria" w:eastAsia="Calibri" w:hAnsi="Cambria" w:cs="Calibri"/>
        </w:rPr>
        <w:t>alty</w:t>
      </w:r>
      <w:r w:rsidRPr="00892E6E">
        <w:rPr>
          <w:rFonts w:ascii="Cambria" w:eastAsia="Calibri" w:hAnsi="Cambria" w:cs="Calibri"/>
          <w:spacing w:val="-1"/>
        </w:rPr>
        <w:t xml:space="preserve"> </w:t>
      </w:r>
      <w:r w:rsidRPr="00892E6E">
        <w:rPr>
          <w:rFonts w:ascii="Cambria" w:eastAsia="Calibri" w:hAnsi="Cambria" w:cs="Calibri"/>
          <w:spacing w:val="-2"/>
        </w:rPr>
        <w:t>t</w:t>
      </w:r>
      <w:r w:rsidRPr="00892E6E">
        <w:rPr>
          <w:rFonts w:ascii="Cambria" w:eastAsia="Calibri" w:hAnsi="Cambria" w:cs="Calibri"/>
        </w:rPr>
        <w:t>o</w:t>
      </w:r>
      <w:r w:rsidRPr="00892E6E">
        <w:rPr>
          <w:rFonts w:ascii="Cambria" w:eastAsia="Calibri" w:hAnsi="Cambria" w:cs="Calibri"/>
          <w:spacing w:val="1"/>
        </w:rPr>
        <w:t xml:space="preserve"> t</w:t>
      </w:r>
      <w:r w:rsidRPr="00892E6E">
        <w:rPr>
          <w:rFonts w:ascii="Cambria" w:eastAsia="Calibri" w:hAnsi="Cambria" w:cs="Calibri"/>
          <w:spacing w:val="-1"/>
        </w:rPr>
        <w:t>h</w:t>
      </w:r>
      <w:r w:rsidRPr="00892E6E">
        <w:rPr>
          <w:rFonts w:ascii="Cambria" w:eastAsia="Calibri" w:hAnsi="Cambria" w:cs="Calibri"/>
        </w:rPr>
        <w:t>e</w:t>
      </w:r>
      <w:r w:rsidRPr="00892E6E">
        <w:rPr>
          <w:rFonts w:ascii="Cambria" w:eastAsia="Calibri" w:hAnsi="Cambria" w:cs="Calibri"/>
          <w:spacing w:val="-4"/>
        </w:rPr>
        <w:t xml:space="preserve"> </w:t>
      </w:r>
      <w:r w:rsidRPr="00892E6E">
        <w:rPr>
          <w:rFonts w:ascii="Cambria" w:eastAsia="Calibri" w:hAnsi="Cambria" w:cs="Calibri"/>
        </w:rPr>
        <w:t>i</w:t>
      </w:r>
      <w:r w:rsidRPr="00892E6E">
        <w:rPr>
          <w:rFonts w:ascii="Cambria" w:eastAsia="Calibri" w:hAnsi="Cambria" w:cs="Calibri"/>
          <w:spacing w:val="-1"/>
        </w:rPr>
        <w:t>n</w:t>
      </w:r>
      <w:r w:rsidRPr="00892E6E">
        <w:rPr>
          <w:rFonts w:ascii="Cambria" w:eastAsia="Calibri" w:hAnsi="Cambria" w:cs="Calibri"/>
        </w:rPr>
        <w:t>stituti</w:t>
      </w:r>
      <w:r w:rsidRPr="00892E6E">
        <w:rPr>
          <w:rFonts w:ascii="Cambria" w:eastAsia="Calibri" w:hAnsi="Cambria" w:cs="Calibri"/>
          <w:spacing w:val="1"/>
        </w:rPr>
        <w:t>o</w:t>
      </w:r>
      <w:r w:rsidRPr="00892E6E">
        <w:rPr>
          <w:rFonts w:ascii="Cambria" w:eastAsia="Calibri" w:hAnsi="Cambria" w:cs="Calibri"/>
        </w:rPr>
        <w:t>n</w:t>
      </w:r>
      <w:r w:rsidRPr="00892E6E">
        <w:rPr>
          <w:rFonts w:ascii="Cambria" w:eastAsia="Calibri" w:hAnsi="Cambria" w:cs="Calibri"/>
          <w:spacing w:val="-3"/>
        </w:rPr>
        <w:t xml:space="preserve"> </w:t>
      </w:r>
      <w:r w:rsidRPr="00892E6E">
        <w:rPr>
          <w:rFonts w:ascii="Cambria" w:eastAsia="Calibri" w:hAnsi="Cambria" w:cs="Calibri"/>
        </w:rPr>
        <w:t>whi</w:t>
      </w:r>
      <w:r w:rsidRPr="00892E6E">
        <w:rPr>
          <w:rFonts w:ascii="Cambria" w:eastAsia="Calibri" w:hAnsi="Cambria" w:cs="Calibri"/>
          <w:spacing w:val="-1"/>
        </w:rPr>
        <w:t>l</w:t>
      </w:r>
      <w:r w:rsidRPr="00892E6E">
        <w:rPr>
          <w:rFonts w:ascii="Cambria" w:eastAsia="Calibri" w:hAnsi="Cambria" w:cs="Calibri"/>
        </w:rPr>
        <w:t>e</w:t>
      </w:r>
      <w:r w:rsidRPr="00892E6E">
        <w:rPr>
          <w:rFonts w:ascii="Cambria" w:eastAsia="Calibri" w:hAnsi="Cambria" w:cs="Calibri"/>
          <w:spacing w:val="1"/>
        </w:rPr>
        <w:t xml:space="preserve"> </w:t>
      </w:r>
      <w:r w:rsidRPr="00892E6E">
        <w:rPr>
          <w:rFonts w:ascii="Cambria" w:eastAsia="Calibri" w:hAnsi="Cambria" w:cs="Calibri"/>
          <w:spacing w:val="-1"/>
        </w:rPr>
        <w:t>p</w:t>
      </w:r>
      <w:r w:rsidRPr="00892E6E">
        <w:rPr>
          <w:rFonts w:ascii="Cambria" w:eastAsia="Calibri" w:hAnsi="Cambria" w:cs="Calibri"/>
        </w:rPr>
        <w:t>r</w:t>
      </w:r>
      <w:r w:rsidRPr="00892E6E">
        <w:rPr>
          <w:rFonts w:ascii="Cambria" w:eastAsia="Calibri" w:hAnsi="Cambria" w:cs="Calibri"/>
          <w:spacing w:val="-3"/>
        </w:rPr>
        <w:t>i</w:t>
      </w:r>
      <w:r w:rsidRPr="00892E6E">
        <w:rPr>
          <w:rFonts w:ascii="Cambria" w:eastAsia="Calibri" w:hAnsi="Cambria" w:cs="Calibri"/>
          <w:spacing w:val="1"/>
        </w:rPr>
        <w:t>v</w:t>
      </w:r>
      <w:r w:rsidRPr="00892E6E">
        <w:rPr>
          <w:rFonts w:ascii="Cambria" w:eastAsia="Calibri" w:hAnsi="Cambria" w:cs="Calibri"/>
        </w:rPr>
        <w:t>at</w:t>
      </w:r>
      <w:r w:rsidRPr="00892E6E">
        <w:rPr>
          <w:rFonts w:ascii="Cambria" w:eastAsia="Calibri" w:hAnsi="Cambria" w:cs="Calibri"/>
          <w:spacing w:val="1"/>
        </w:rPr>
        <w:t>e</w:t>
      </w:r>
      <w:r w:rsidRPr="00892E6E">
        <w:rPr>
          <w:rFonts w:ascii="Cambria" w:eastAsia="Calibri" w:hAnsi="Cambria" w:cs="Calibri"/>
          <w:spacing w:val="-3"/>
        </w:rPr>
        <w:t>l</w:t>
      </w:r>
      <w:r w:rsidRPr="00892E6E">
        <w:rPr>
          <w:rFonts w:ascii="Cambria" w:eastAsia="Calibri" w:hAnsi="Cambria" w:cs="Calibri"/>
        </w:rPr>
        <w:t>y</w:t>
      </w:r>
      <w:r w:rsidRPr="00892E6E">
        <w:rPr>
          <w:rFonts w:ascii="Cambria" w:eastAsia="Calibri" w:hAnsi="Cambria" w:cs="Calibri"/>
          <w:spacing w:val="1"/>
        </w:rPr>
        <w:t xml:space="preserve"> </w:t>
      </w:r>
      <w:r w:rsidRPr="00892E6E">
        <w:rPr>
          <w:rFonts w:ascii="Cambria" w:eastAsia="Calibri" w:hAnsi="Cambria" w:cs="Calibri"/>
          <w:spacing w:val="-3"/>
        </w:rPr>
        <w:t>h</w:t>
      </w:r>
      <w:r w:rsidRPr="00892E6E">
        <w:rPr>
          <w:rFonts w:ascii="Cambria" w:eastAsia="Calibri" w:hAnsi="Cambria" w:cs="Calibri"/>
          <w:spacing w:val="1"/>
        </w:rPr>
        <w:t>o</w:t>
      </w:r>
      <w:r w:rsidRPr="00892E6E">
        <w:rPr>
          <w:rFonts w:ascii="Cambria" w:eastAsia="Calibri" w:hAnsi="Cambria" w:cs="Calibri"/>
        </w:rPr>
        <w:t>l</w:t>
      </w:r>
      <w:r w:rsidRPr="00892E6E">
        <w:rPr>
          <w:rFonts w:ascii="Cambria" w:eastAsia="Calibri" w:hAnsi="Cambria" w:cs="Calibri"/>
          <w:spacing w:val="-1"/>
        </w:rPr>
        <w:t>d</w:t>
      </w:r>
      <w:r w:rsidRPr="00892E6E">
        <w:rPr>
          <w:rFonts w:ascii="Cambria" w:eastAsia="Calibri" w:hAnsi="Cambria" w:cs="Calibri"/>
        </w:rPr>
        <w:t>i</w:t>
      </w:r>
      <w:r w:rsidRPr="00892E6E">
        <w:rPr>
          <w:rFonts w:ascii="Cambria" w:eastAsia="Calibri" w:hAnsi="Cambria" w:cs="Calibri"/>
          <w:spacing w:val="-1"/>
        </w:rPr>
        <w:t>n</w:t>
      </w:r>
      <w:r w:rsidRPr="00892E6E">
        <w:rPr>
          <w:rFonts w:ascii="Cambria" w:eastAsia="Calibri" w:hAnsi="Cambria" w:cs="Calibri"/>
        </w:rPr>
        <w:t>g</w:t>
      </w:r>
      <w:r w:rsidRPr="00892E6E">
        <w:rPr>
          <w:rFonts w:ascii="Cambria" w:eastAsia="Calibri" w:hAnsi="Cambria" w:cs="Calibri"/>
          <w:spacing w:val="-1"/>
        </w:rPr>
        <w:t xml:space="preserve"> </w:t>
      </w:r>
      <w:r w:rsidRPr="00892E6E">
        <w:rPr>
          <w:rFonts w:ascii="Cambria" w:eastAsia="Calibri" w:hAnsi="Cambria" w:cs="Calibri"/>
        </w:rPr>
        <w:t>r</w:t>
      </w:r>
      <w:r w:rsidRPr="00892E6E">
        <w:rPr>
          <w:rFonts w:ascii="Cambria" w:eastAsia="Calibri" w:hAnsi="Cambria" w:cs="Calibri"/>
          <w:spacing w:val="1"/>
        </w:rPr>
        <w:t>e</w:t>
      </w:r>
      <w:r w:rsidRPr="00892E6E">
        <w:rPr>
          <w:rFonts w:ascii="Cambria" w:eastAsia="Calibri" w:hAnsi="Cambria" w:cs="Calibri"/>
        </w:rPr>
        <w:t>se</w:t>
      </w:r>
      <w:r w:rsidRPr="00892E6E">
        <w:rPr>
          <w:rFonts w:ascii="Cambria" w:eastAsia="Calibri" w:hAnsi="Cambria" w:cs="Calibri"/>
          <w:spacing w:val="-2"/>
        </w:rPr>
        <w:t>r</w:t>
      </w:r>
      <w:r w:rsidRPr="00892E6E">
        <w:rPr>
          <w:rFonts w:ascii="Cambria" w:eastAsia="Calibri" w:hAnsi="Cambria" w:cs="Calibri"/>
          <w:spacing w:val="1"/>
        </w:rPr>
        <w:t>v</w:t>
      </w:r>
      <w:r w:rsidRPr="00892E6E">
        <w:rPr>
          <w:rFonts w:ascii="Cambria" w:eastAsia="Calibri" w:hAnsi="Cambria" w:cs="Calibri"/>
        </w:rPr>
        <w:t>at</w:t>
      </w:r>
      <w:r w:rsidRPr="00892E6E">
        <w:rPr>
          <w:rFonts w:ascii="Cambria" w:eastAsia="Calibri" w:hAnsi="Cambria" w:cs="Calibri"/>
          <w:spacing w:val="-2"/>
        </w:rPr>
        <w:t>i</w:t>
      </w:r>
      <w:r w:rsidRPr="00892E6E">
        <w:rPr>
          <w:rFonts w:ascii="Cambria" w:eastAsia="Calibri" w:hAnsi="Cambria" w:cs="Calibri"/>
          <w:spacing w:val="1"/>
        </w:rPr>
        <w:t>o</w:t>
      </w:r>
      <w:r w:rsidRPr="00892E6E">
        <w:rPr>
          <w:rFonts w:ascii="Cambria" w:eastAsia="Calibri" w:hAnsi="Cambria" w:cs="Calibri"/>
          <w:spacing w:val="-1"/>
        </w:rPr>
        <w:t>n</w:t>
      </w:r>
      <w:r w:rsidRPr="00892E6E">
        <w:rPr>
          <w:rFonts w:ascii="Cambria" w:eastAsia="Calibri" w:hAnsi="Cambria" w:cs="Calibri"/>
        </w:rPr>
        <w:t xml:space="preserve">s </w:t>
      </w:r>
      <w:r w:rsidRPr="00892E6E">
        <w:rPr>
          <w:rFonts w:ascii="Cambria" w:eastAsia="Calibri" w:hAnsi="Cambria" w:cs="Calibri"/>
          <w:spacing w:val="1"/>
        </w:rPr>
        <w:t>(</w:t>
      </w:r>
      <w:r w:rsidRPr="00892E6E">
        <w:rPr>
          <w:rFonts w:ascii="Cambria" w:eastAsia="Calibri" w:hAnsi="Cambria" w:cs="Calibri"/>
          <w:spacing w:val="-1"/>
        </w:rPr>
        <w:t>p</w:t>
      </w:r>
      <w:r w:rsidRPr="00892E6E">
        <w:rPr>
          <w:rFonts w:ascii="Cambria" w:eastAsia="Calibri" w:hAnsi="Cambria" w:cs="Calibri"/>
        </w:rPr>
        <w:t>ara</w:t>
      </w:r>
      <w:r w:rsidRPr="00892E6E">
        <w:rPr>
          <w:rFonts w:ascii="Cambria" w:eastAsia="Calibri" w:hAnsi="Cambria" w:cs="Calibri"/>
          <w:spacing w:val="-1"/>
        </w:rPr>
        <w:t>g</w:t>
      </w:r>
      <w:r w:rsidRPr="00892E6E">
        <w:rPr>
          <w:rFonts w:ascii="Cambria" w:eastAsia="Calibri" w:hAnsi="Cambria" w:cs="Calibri"/>
          <w:spacing w:val="-3"/>
        </w:rPr>
        <w:t>r</w:t>
      </w:r>
      <w:r w:rsidRPr="00892E6E">
        <w:rPr>
          <w:rFonts w:ascii="Cambria" w:eastAsia="Calibri" w:hAnsi="Cambria" w:cs="Calibri"/>
        </w:rPr>
        <w:t>a</w:t>
      </w:r>
      <w:r w:rsidRPr="00892E6E">
        <w:rPr>
          <w:rFonts w:ascii="Cambria" w:eastAsia="Calibri" w:hAnsi="Cambria" w:cs="Calibri"/>
          <w:spacing w:val="-1"/>
        </w:rPr>
        <w:t>p</w:t>
      </w:r>
      <w:r w:rsidRPr="00892E6E">
        <w:rPr>
          <w:rFonts w:ascii="Cambria" w:eastAsia="Calibri" w:hAnsi="Cambria" w:cs="Calibri"/>
        </w:rPr>
        <w:t xml:space="preserve">h </w:t>
      </w:r>
      <w:r w:rsidRPr="00892E6E">
        <w:rPr>
          <w:rFonts w:ascii="Cambria" w:eastAsia="Calibri" w:hAnsi="Cambria" w:cs="Calibri"/>
          <w:spacing w:val="1"/>
        </w:rPr>
        <w:t>6</w:t>
      </w:r>
      <w:r w:rsidRPr="00892E6E">
        <w:rPr>
          <w:rFonts w:ascii="Cambria" w:eastAsia="Calibri" w:hAnsi="Cambria" w:cs="Calibri"/>
        </w:rPr>
        <w:t>),</w:t>
      </w:r>
      <w:r w:rsidRPr="00892E6E">
        <w:rPr>
          <w:rFonts w:ascii="Cambria" w:eastAsia="Calibri" w:hAnsi="Cambria" w:cs="Calibri"/>
          <w:spacing w:val="1"/>
        </w:rPr>
        <w:t xml:space="preserve"> </w:t>
      </w:r>
      <w:r w:rsidRPr="00892E6E">
        <w:rPr>
          <w:rFonts w:ascii="Cambria" w:eastAsia="Calibri" w:hAnsi="Cambria" w:cs="Calibri"/>
          <w:spacing w:val="-3"/>
        </w:rPr>
        <w:t>d</w:t>
      </w:r>
      <w:r w:rsidRPr="00892E6E">
        <w:rPr>
          <w:rFonts w:ascii="Cambria" w:eastAsia="Calibri" w:hAnsi="Cambria" w:cs="Calibri"/>
          <w:spacing w:val="1"/>
        </w:rPr>
        <w:t>o</w:t>
      </w:r>
      <w:r w:rsidRPr="00892E6E">
        <w:rPr>
          <w:rFonts w:ascii="Cambria" w:eastAsia="Calibri" w:hAnsi="Cambria" w:cs="Calibri"/>
        </w:rPr>
        <w:t>es</w:t>
      </w:r>
      <w:r w:rsidRPr="00892E6E">
        <w:rPr>
          <w:rFonts w:ascii="Cambria" w:eastAsia="Calibri" w:hAnsi="Cambria" w:cs="Calibri"/>
          <w:spacing w:val="1"/>
        </w:rPr>
        <w:t xml:space="preserve"> </w:t>
      </w:r>
      <w:r w:rsidRPr="00892E6E">
        <w:rPr>
          <w:rFonts w:ascii="Cambria" w:eastAsia="Calibri" w:hAnsi="Cambria" w:cs="Calibri"/>
          <w:spacing w:val="-3"/>
        </w:rPr>
        <w:t>n</w:t>
      </w:r>
      <w:r w:rsidRPr="00892E6E">
        <w:rPr>
          <w:rFonts w:ascii="Cambria" w:eastAsia="Calibri" w:hAnsi="Cambria" w:cs="Calibri"/>
          <w:spacing w:val="1"/>
        </w:rPr>
        <w:t>o</w:t>
      </w:r>
      <w:r w:rsidRPr="00892E6E">
        <w:rPr>
          <w:rFonts w:ascii="Cambria" w:eastAsia="Calibri" w:hAnsi="Cambria" w:cs="Calibri"/>
        </w:rPr>
        <w:t>t</w:t>
      </w:r>
      <w:r w:rsidRPr="00892E6E">
        <w:rPr>
          <w:rFonts w:ascii="Cambria" w:eastAsia="Calibri" w:hAnsi="Cambria" w:cs="Calibri"/>
          <w:spacing w:val="-1"/>
        </w:rPr>
        <w:t xml:space="preserve"> </w:t>
      </w:r>
      <w:r w:rsidRPr="00892E6E">
        <w:rPr>
          <w:rFonts w:ascii="Cambria" w:eastAsia="Calibri" w:hAnsi="Cambria" w:cs="Calibri"/>
        </w:rPr>
        <w:t>ta</w:t>
      </w:r>
      <w:r w:rsidRPr="00892E6E">
        <w:rPr>
          <w:rFonts w:ascii="Cambria" w:eastAsia="Calibri" w:hAnsi="Cambria" w:cs="Calibri"/>
          <w:spacing w:val="-2"/>
        </w:rPr>
        <w:t>k</w:t>
      </w:r>
      <w:r w:rsidRPr="00892E6E">
        <w:rPr>
          <w:rFonts w:ascii="Cambria" w:eastAsia="Calibri" w:hAnsi="Cambria" w:cs="Calibri"/>
        </w:rPr>
        <w:t>e</w:t>
      </w:r>
      <w:r w:rsidRPr="00892E6E">
        <w:rPr>
          <w:rFonts w:ascii="Cambria" w:eastAsia="Calibri" w:hAnsi="Cambria" w:cs="Calibri"/>
          <w:spacing w:val="1"/>
        </w:rPr>
        <w:t xml:space="preserve"> </w:t>
      </w:r>
      <w:r w:rsidRPr="00892E6E">
        <w:rPr>
          <w:rFonts w:ascii="Cambria" w:eastAsia="Calibri" w:hAnsi="Cambria" w:cs="Calibri"/>
        </w:rPr>
        <w:t>s</w:t>
      </w:r>
      <w:r w:rsidRPr="00892E6E">
        <w:rPr>
          <w:rFonts w:ascii="Cambria" w:eastAsia="Calibri" w:hAnsi="Cambria" w:cs="Calibri"/>
          <w:spacing w:val="2"/>
        </w:rPr>
        <w:t>e</w:t>
      </w:r>
      <w:r w:rsidRPr="00892E6E">
        <w:rPr>
          <w:rFonts w:ascii="Cambria" w:eastAsia="Calibri" w:hAnsi="Cambria" w:cs="Calibri"/>
        </w:rPr>
        <w:t>r</w:t>
      </w:r>
      <w:r w:rsidRPr="00892E6E">
        <w:rPr>
          <w:rFonts w:ascii="Cambria" w:eastAsia="Calibri" w:hAnsi="Cambria" w:cs="Calibri"/>
          <w:spacing w:val="-3"/>
        </w:rPr>
        <w:t>i</w:t>
      </w:r>
      <w:r w:rsidRPr="00892E6E">
        <w:rPr>
          <w:rFonts w:ascii="Cambria" w:eastAsia="Calibri" w:hAnsi="Cambria" w:cs="Calibri"/>
          <w:spacing w:val="1"/>
        </w:rPr>
        <w:t>o</w:t>
      </w:r>
      <w:r w:rsidRPr="00892E6E">
        <w:rPr>
          <w:rFonts w:ascii="Cambria" w:eastAsia="Calibri" w:hAnsi="Cambria" w:cs="Calibri"/>
          <w:spacing w:val="-1"/>
        </w:rPr>
        <w:t>u</w:t>
      </w:r>
      <w:r w:rsidRPr="00892E6E">
        <w:rPr>
          <w:rFonts w:ascii="Cambria" w:eastAsia="Calibri" w:hAnsi="Cambria" w:cs="Calibri"/>
        </w:rPr>
        <w:t>s</w:t>
      </w:r>
      <w:r w:rsidRPr="00892E6E">
        <w:rPr>
          <w:rFonts w:ascii="Cambria" w:eastAsia="Calibri" w:hAnsi="Cambria" w:cs="Calibri"/>
          <w:spacing w:val="-3"/>
        </w:rPr>
        <w:t>l</w:t>
      </w:r>
      <w:r w:rsidRPr="00892E6E">
        <w:rPr>
          <w:rFonts w:ascii="Cambria" w:eastAsia="Calibri" w:hAnsi="Cambria" w:cs="Calibri"/>
        </w:rPr>
        <w:t>y</w:t>
      </w:r>
      <w:r w:rsidRPr="00892E6E">
        <w:rPr>
          <w:rFonts w:ascii="Cambria" w:eastAsia="Calibri" w:hAnsi="Cambria" w:cs="Calibri"/>
          <w:spacing w:val="-1"/>
        </w:rPr>
        <w:t xml:space="preserve"> </w:t>
      </w:r>
      <w:r w:rsidRPr="00892E6E">
        <w:rPr>
          <w:rFonts w:ascii="Cambria" w:eastAsia="Calibri" w:hAnsi="Cambria" w:cs="Calibri"/>
        </w:rPr>
        <w:t xml:space="preserve">the </w:t>
      </w:r>
      <w:r w:rsidRPr="00892E6E">
        <w:rPr>
          <w:rFonts w:ascii="Cambria" w:eastAsia="Calibri" w:hAnsi="Cambria" w:cs="Calibri"/>
          <w:spacing w:val="-2"/>
        </w:rPr>
        <w:t>c</w:t>
      </w:r>
      <w:r w:rsidRPr="00892E6E">
        <w:rPr>
          <w:rFonts w:ascii="Cambria" w:eastAsia="Calibri" w:hAnsi="Cambria" w:cs="Calibri"/>
          <w:spacing w:val="1"/>
        </w:rPr>
        <w:t>o</w:t>
      </w:r>
      <w:r w:rsidRPr="00892E6E">
        <w:rPr>
          <w:rFonts w:ascii="Cambria" w:eastAsia="Calibri" w:hAnsi="Cambria" w:cs="Calibri"/>
          <w:spacing w:val="-1"/>
        </w:rPr>
        <w:t>n</w:t>
      </w:r>
      <w:r w:rsidRPr="00892E6E">
        <w:rPr>
          <w:rFonts w:ascii="Cambria" w:eastAsia="Calibri" w:hAnsi="Cambria" w:cs="Calibri"/>
        </w:rPr>
        <w:t>scien</w:t>
      </w:r>
      <w:r w:rsidRPr="00892E6E">
        <w:rPr>
          <w:rFonts w:ascii="Cambria" w:eastAsia="Calibri" w:hAnsi="Cambria" w:cs="Calibri"/>
          <w:spacing w:val="-2"/>
        </w:rPr>
        <w:t>c</w:t>
      </w:r>
      <w:r w:rsidRPr="00892E6E">
        <w:rPr>
          <w:rFonts w:ascii="Cambria" w:eastAsia="Calibri" w:hAnsi="Cambria" w:cs="Calibri"/>
        </w:rPr>
        <w:t>e</w:t>
      </w:r>
      <w:r w:rsidRPr="00892E6E">
        <w:rPr>
          <w:rFonts w:ascii="Cambria" w:eastAsia="Calibri" w:hAnsi="Cambria" w:cs="Calibri"/>
          <w:spacing w:val="1"/>
        </w:rPr>
        <w:t xml:space="preserve"> </w:t>
      </w:r>
      <w:r w:rsidRPr="00892E6E">
        <w:rPr>
          <w:rFonts w:ascii="Cambria" w:eastAsia="Calibri" w:hAnsi="Cambria" w:cs="Calibri"/>
        </w:rPr>
        <w:t>iss</w:t>
      </w:r>
      <w:r w:rsidRPr="00892E6E">
        <w:rPr>
          <w:rFonts w:ascii="Cambria" w:eastAsia="Calibri" w:hAnsi="Cambria" w:cs="Calibri"/>
          <w:spacing w:val="-1"/>
        </w:rPr>
        <w:t>u</w:t>
      </w:r>
      <w:r w:rsidRPr="00892E6E">
        <w:rPr>
          <w:rFonts w:ascii="Cambria" w:eastAsia="Calibri" w:hAnsi="Cambria" w:cs="Calibri"/>
        </w:rPr>
        <w:t>e</w:t>
      </w:r>
      <w:r w:rsidRPr="00892E6E">
        <w:rPr>
          <w:rFonts w:ascii="Cambria" w:eastAsia="Calibri" w:hAnsi="Cambria" w:cs="Calibri"/>
          <w:spacing w:val="-2"/>
        </w:rPr>
        <w:t xml:space="preserve"> </w:t>
      </w:r>
      <w:r w:rsidRPr="00892E6E">
        <w:rPr>
          <w:rFonts w:ascii="Cambria" w:eastAsia="Calibri" w:hAnsi="Cambria" w:cs="Calibri"/>
          <w:spacing w:val="1"/>
        </w:rPr>
        <w:t>t</w:t>
      </w:r>
      <w:r w:rsidRPr="00892E6E">
        <w:rPr>
          <w:rFonts w:ascii="Cambria" w:eastAsia="Calibri" w:hAnsi="Cambria" w:cs="Calibri"/>
          <w:spacing w:val="-1"/>
        </w:rPr>
        <w:t>h</w:t>
      </w:r>
      <w:r w:rsidRPr="00892E6E">
        <w:rPr>
          <w:rFonts w:ascii="Cambria" w:eastAsia="Calibri" w:hAnsi="Cambria" w:cs="Calibri"/>
        </w:rPr>
        <w:t>at</w:t>
      </w:r>
      <w:r w:rsidRPr="00892E6E">
        <w:rPr>
          <w:rFonts w:ascii="Cambria" w:eastAsia="Calibri" w:hAnsi="Cambria" w:cs="Calibri"/>
          <w:spacing w:val="-2"/>
        </w:rPr>
        <w:t xml:space="preserve"> </w:t>
      </w:r>
      <w:r w:rsidRPr="00892E6E">
        <w:rPr>
          <w:rFonts w:ascii="Cambria" w:eastAsia="Calibri" w:hAnsi="Cambria" w:cs="Calibri"/>
        </w:rPr>
        <w:t>is</w:t>
      </w:r>
      <w:r w:rsidRPr="00892E6E">
        <w:rPr>
          <w:rFonts w:ascii="Cambria" w:eastAsia="Calibri" w:hAnsi="Cambria" w:cs="Calibri"/>
          <w:spacing w:val="-2"/>
        </w:rPr>
        <w:t xml:space="preserve"> </w:t>
      </w:r>
      <w:r w:rsidRPr="00892E6E">
        <w:rPr>
          <w:rFonts w:ascii="Cambria" w:eastAsia="Calibri" w:hAnsi="Cambria" w:cs="Calibri"/>
        </w:rPr>
        <w:t>at</w:t>
      </w:r>
      <w:r w:rsidRPr="00892E6E">
        <w:rPr>
          <w:rFonts w:ascii="Cambria" w:eastAsia="Calibri" w:hAnsi="Cambria" w:cs="Calibri"/>
          <w:spacing w:val="1"/>
        </w:rPr>
        <w:t xml:space="preserve"> </w:t>
      </w:r>
      <w:r w:rsidRPr="00892E6E">
        <w:rPr>
          <w:rFonts w:ascii="Cambria" w:eastAsia="Calibri" w:hAnsi="Cambria" w:cs="Calibri"/>
        </w:rPr>
        <w:t>s</w:t>
      </w:r>
      <w:r w:rsidRPr="00892E6E">
        <w:rPr>
          <w:rFonts w:ascii="Cambria" w:eastAsia="Calibri" w:hAnsi="Cambria" w:cs="Calibri"/>
          <w:spacing w:val="1"/>
        </w:rPr>
        <w:t>t</w:t>
      </w:r>
      <w:r w:rsidRPr="00892E6E">
        <w:rPr>
          <w:rFonts w:ascii="Cambria" w:eastAsia="Calibri" w:hAnsi="Cambria" w:cs="Calibri"/>
          <w:spacing w:val="-3"/>
        </w:rPr>
        <w:t>a</w:t>
      </w:r>
      <w:r w:rsidRPr="00892E6E">
        <w:rPr>
          <w:rFonts w:ascii="Cambria" w:eastAsia="Calibri" w:hAnsi="Cambria" w:cs="Calibri"/>
        </w:rPr>
        <w:t>k</w:t>
      </w:r>
      <w:r w:rsidRPr="00892E6E">
        <w:rPr>
          <w:rFonts w:ascii="Cambria" w:eastAsia="Calibri" w:hAnsi="Cambria" w:cs="Calibri"/>
          <w:spacing w:val="1"/>
        </w:rPr>
        <w:t>e</w:t>
      </w:r>
      <w:r w:rsidRPr="00892E6E">
        <w:rPr>
          <w:rFonts w:ascii="Cambria" w:eastAsia="Calibri" w:hAnsi="Cambria" w:cs="Calibri"/>
        </w:rPr>
        <w:t>.</w:t>
      </w:r>
      <w:r w:rsidRPr="00892E6E">
        <w:rPr>
          <w:rFonts w:ascii="Cambria" w:eastAsia="Calibri" w:hAnsi="Cambria" w:cs="Calibri"/>
          <w:spacing w:val="-2"/>
        </w:rPr>
        <w:t xml:space="preserve"> </w:t>
      </w:r>
      <w:r w:rsidRPr="00892E6E">
        <w:rPr>
          <w:rFonts w:ascii="Cambria" w:eastAsia="Calibri" w:hAnsi="Cambria" w:cs="Calibri"/>
        </w:rPr>
        <w:t>Wh</w:t>
      </w:r>
      <w:r w:rsidRPr="00892E6E">
        <w:rPr>
          <w:rFonts w:ascii="Cambria" w:eastAsia="Calibri" w:hAnsi="Cambria" w:cs="Calibri"/>
          <w:spacing w:val="-1"/>
        </w:rPr>
        <w:t>i</w:t>
      </w:r>
      <w:r w:rsidRPr="00892E6E">
        <w:rPr>
          <w:rFonts w:ascii="Cambria" w:eastAsia="Calibri" w:hAnsi="Cambria" w:cs="Calibri"/>
        </w:rPr>
        <w:t xml:space="preserve">le </w:t>
      </w:r>
      <w:r w:rsidRPr="00892E6E">
        <w:rPr>
          <w:rFonts w:ascii="Cambria" w:eastAsia="Calibri" w:hAnsi="Cambria" w:cs="Calibri"/>
          <w:spacing w:val="1"/>
        </w:rPr>
        <w:t>t</w:t>
      </w:r>
      <w:r w:rsidRPr="00892E6E">
        <w:rPr>
          <w:rFonts w:ascii="Cambria" w:eastAsia="Calibri" w:hAnsi="Cambria" w:cs="Calibri"/>
          <w:spacing w:val="-3"/>
        </w:rPr>
        <w:t>h</w:t>
      </w:r>
      <w:r w:rsidRPr="00892E6E">
        <w:rPr>
          <w:rFonts w:ascii="Cambria" w:eastAsia="Calibri" w:hAnsi="Cambria" w:cs="Calibri"/>
        </w:rPr>
        <w:t>e</w:t>
      </w:r>
      <w:r w:rsidRPr="00892E6E">
        <w:rPr>
          <w:rFonts w:ascii="Cambria" w:eastAsia="Calibri" w:hAnsi="Cambria" w:cs="Calibri"/>
          <w:spacing w:val="1"/>
        </w:rPr>
        <w:t xml:space="preserve"> </w:t>
      </w:r>
      <w:r w:rsidRPr="00892E6E">
        <w:rPr>
          <w:rFonts w:ascii="Cambria" w:eastAsia="Calibri" w:hAnsi="Cambria" w:cs="Calibri"/>
        </w:rPr>
        <w:t>CTI</w:t>
      </w:r>
      <w:r w:rsidRPr="00892E6E">
        <w:rPr>
          <w:rFonts w:ascii="Cambria" w:eastAsia="Calibri" w:hAnsi="Cambria" w:cs="Calibri"/>
          <w:spacing w:val="-3"/>
        </w:rPr>
        <w:t>C</w:t>
      </w:r>
      <w:r w:rsidRPr="00892E6E">
        <w:rPr>
          <w:rFonts w:ascii="Cambria" w:eastAsia="Calibri" w:hAnsi="Cambria" w:cs="Calibri"/>
        </w:rPr>
        <w:t>R</w:t>
      </w:r>
      <w:r w:rsidRPr="00892E6E">
        <w:rPr>
          <w:rFonts w:ascii="Cambria" w:eastAsia="Calibri" w:hAnsi="Cambria" w:cs="Calibri"/>
          <w:spacing w:val="-2"/>
        </w:rPr>
        <w:t xml:space="preserve"> </w:t>
      </w:r>
      <w:r w:rsidRPr="00892E6E">
        <w:rPr>
          <w:rFonts w:ascii="Cambria" w:eastAsia="Calibri" w:hAnsi="Cambria" w:cs="Calibri"/>
          <w:spacing w:val="-1"/>
        </w:rPr>
        <w:t>p</w:t>
      </w:r>
      <w:r w:rsidRPr="00892E6E">
        <w:rPr>
          <w:rFonts w:ascii="Cambria" w:eastAsia="Calibri" w:hAnsi="Cambria" w:cs="Calibri"/>
        </w:rPr>
        <w:t>a</w:t>
      </w:r>
      <w:r w:rsidRPr="00892E6E">
        <w:rPr>
          <w:rFonts w:ascii="Cambria" w:eastAsia="Calibri" w:hAnsi="Cambria" w:cs="Calibri"/>
          <w:spacing w:val="-1"/>
        </w:rPr>
        <w:t>p</w:t>
      </w:r>
      <w:r w:rsidRPr="00892E6E">
        <w:rPr>
          <w:rFonts w:ascii="Cambria" w:eastAsia="Calibri" w:hAnsi="Cambria" w:cs="Calibri"/>
        </w:rPr>
        <w:t>er</w:t>
      </w:r>
      <w:r w:rsidRPr="00892E6E">
        <w:rPr>
          <w:rFonts w:ascii="Cambria" w:eastAsia="Calibri" w:hAnsi="Cambria" w:cs="Calibri"/>
          <w:spacing w:val="1"/>
        </w:rPr>
        <w:t xml:space="preserve"> </w:t>
      </w:r>
      <w:r w:rsidRPr="00892E6E">
        <w:rPr>
          <w:rFonts w:ascii="Cambria" w:eastAsia="Calibri" w:hAnsi="Cambria" w:cs="Calibri"/>
          <w:spacing w:val="-1"/>
        </w:rPr>
        <w:t>g</w:t>
      </w:r>
      <w:r w:rsidRPr="00892E6E">
        <w:rPr>
          <w:rFonts w:ascii="Cambria" w:eastAsia="Calibri" w:hAnsi="Cambria" w:cs="Calibri"/>
        </w:rPr>
        <w:t>iv</w:t>
      </w:r>
      <w:r w:rsidRPr="00892E6E">
        <w:rPr>
          <w:rFonts w:ascii="Cambria" w:eastAsia="Calibri" w:hAnsi="Cambria" w:cs="Calibri"/>
          <w:spacing w:val="1"/>
        </w:rPr>
        <w:t>e</w:t>
      </w:r>
      <w:r w:rsidRPr="00892E6E">
        <w:rPr>
          <w:rFonts w:ascii="Cambria" w:eastAsia="Calibri" w:hAnsi="Cambria" w:cs="Calibri"/>
        </w:rPr>
        <w:t>s</w:t>
      </w:r>
      <w:r w:rsidRPr="00892E6E">
        <w:rPr>
          <w:rFonts w:ascii="Cambria" w:eastAsia="Calibri" w:hAnsi="Cambria" w:cs="Calibri"/>
          <w:spacing w:val="-2"/>
        </w:rPr>
        <w:t xml:space="preserve"> </w:t>
      </w:r>
      <w:r w:rsidRPr="00892E6E">
        <w:rPr>
          <w:rFonts w:ascii="Cambria" w:eastAsia="Calibri" w:hAnsi="Cambria" w:cs="Calibri"/>
        </w:rPr>
        <w:t>a</w:t>
      </w:r>
      <w:r w:rsidRPr="00892E6E">
        <w:rPr>
          <w:rFonts w:ascii="Cambria" w:eastAsia="Calibri" w:hAnsi="Cambria" w:cs="Calibri"/>
          <w:spacing w:val="1"/>
        </w:rPr>
        <w:t xml:space="preserve"> </w:t>
      </w:r>
      <w:r w:rsidRPr="00892E6E">
        <w:rPr>
          <w:rFonts w:ascii="Cambria" w:eastAsia="Calibri" w:hAnsi="Cambria" w:cs="Calibri"/>
          <w:spacing w:val="-1"/>
        </w:rPr>
        <w:t>b</w:t>
      </w:r>
      <w:r w:rsidRPr="00892E6E">
        <w:rPr>
          <w:rFonts w:ascii="Cambria" w:eastAsia="Calibri" w:hAnsi="Cambria" w:cs="Calibri"/>
        </w:rPr>
        <w:t>rief</w:t>
      </w:r>
      <w:r w:rsidRPr="00892E6E">
        <w:rPr>
          <w:rFonts w:ascii="Cambria" w:eastAsia="Calibri" w:hAnsi="Cambria" w:cs="Calibri"/>
          <w:spacing w:val="-2"/>
        </w:rPr>
        <w:t xml:space="preserve"> </w:t>
      </w:r>
      <w:r w:rsidRPr="00892E6E">
        <w:rPr>
          <w:rFonts w:ascii="Cambria" w:eastAsia="Calibri" w:hAnsi="Cambria" w:cs="Calibri"/>
        </w:rPr>
        <w:t>n</w:t>
      </w:r>
      <w:r w:rsidRPr="00892E6E">
        <w:rPr>
          <w:rFonts w:ascii="Cambria" w:eastAsia="Calibri" w:hAnsi="Cambria" w:cs="Calibri"/>
          <w:spacing w:val="1"/>
        </w:rPr>
        <w:t>o</w:t>
      </w:r>
      <w:r w:rsidRPr="00892E6E">
        <w:rPr>
          <w:rFonts w:ascii="Cambria" w:eastAsia="Calibri" w:hAnsi="Cambria" w:cs="Calibri"/>
        </w:rPr>
        <w:t>d</w:t>
      </w:r>
      <w:r w:rsidRPr="00892E6E">
        <w:rPr>
          <w:rFonts w:ascii="Cambria" w:eastAsia="Calibri" w:hAnsi="Cambria" w:cs="Calibri"/>
          <w:spacing w:val="-1"/>
        </w:rPr>
        <w:t xml:space="preserve"> </w:t>
      </w:r>
      <w:r w:rsidRPr="00892E6E">
        <w:rPr>
          <w:rFonts w:ascii="Cambria" w:eastAsia="Calibri" w:hAnsi="Cambria" w:cs="Calibri"/>
          <w:spacing w:val="-2"/>
        </w:rPr>
        <w:t>t</w:t>
      </w:r>
      <w:r w:rsidRPr="00892E6E">
        <w:rPr>
          <w:rFonts w:ascii="Cambria" w:eastAsia="Calibri" w:hAnsi="Cambria" w:cs="Calibri"/>
        </w:rPr>
        <w:t>o</w:t>
      </w:r>
      <w:r w:rsidRPr="00892E6E">
        <w:rPr>
          <w:rFonts w:ascii="Cambria" w:eastAsia="Calibri" w:hAnsi="Cambria" w:cs="Calibri"/>
          <w:spacing w:val="-1"/>
        </w:rPr>
        <w:t xml:space="preserve"> </w:t>
      </w:r>
      <w:r w:rsidRPr="00892E6E">
        <w:rPr>
          <w:rFonts w:ascii="Cambria" w:eastAsia="Calibri" w:hAnsi="Cambria" w:cs="Calibri"/>
          <w:spacing w:val="-2"/>
        </w:rPr>
        <w:t>t</w:t>
      </w:r>
      <w:r w:rsidRPr="00892E6E">
        <w:rPr>
          <w:rFonts w:ascii="Cambria" w:eastAsia="Calibri" w:hAnsi="Cambria" w:cs="Calibri"/>
          <w:spacing w:val="-1"/>
        </w:rPr>
        <w:t>h</w:t>
      </w:r>
      <w:r w:rsidRPr="00892E6E">
        <w:rPr>
          <w:rFonts w:ascii="Cambria" w:eastAsia="Calibri" w:hAnsi="Cambria" w:cs="Calibri"/>
        </w:rPr>
        <w:t>is iss</w:t>
      </w:r>
      <w:r w:rsidRPr="00892E6E">
        <w:rPr>
          <w:rFonts w:ascii="Cambria" w:eastAsia="Calibri" w:hAnsi="Cambria" w:cs="Calibri"/>
          <w:spacing w:val="-1"/>
        </w:rPr>
        <w:t>u</w:t>
      </w:r>
      <w:r w:rsidRPr="00892E6E">
        <w:rPr>
          <w:rFonts w:ascii="Cambria" w:eastAsia="Calibri" w:hAnsi="Cambria" w:cs="Calibri"/>
        </w:rPr>
        <w:t>e</w:t>
      </w:r>
      <w:r w:rsidRPr="00892E6E">
        <w:rPr>
          <w:rFonts w:ascii="Cambria" w:eastAsia="Calibri" w:hAnsi="Cambria" w:cs="Calibri"/>
          <w:spacing w:val="1"/>
        </w:rPr>
        <w:t xml:space="preserve"> o</w:t>
      </w:r>
      <w:r w:rsidRPr="00892E6E">
        <w:rPr>
          <w:rFonts w:ascii="Cambria" w:eastAsia="Calibri" w:hAnsi="Cambria" w:cs="Calibri"/>
        </w:rPr>
        <w:t>f</w:t>
      </w:r>
      <w:r w:rsidRPr="00892E6E">
        <w:rPr>
          <w:rFonts w:ascii="Cambria" w:eastAsia="Calibri" w:hAnsi="Cambria" w:cs="Calibri"/>
          <w:spacing w:val="-3"/>
        </w:rPr>
        <w:t xml:space="preserve"> </w:t>
      </w:r>
      <w:r w:rsidRPr="00892E6E">
        <w:rPr>
          <w:rFonts w:ascii="Cambria" w:eastAsia="Calibri" w:hAnsi="Cambria" w:cs="Calibri"/>
          <w:spacing w:val="-2"/>
        </w:rPr>
        <w:t>c</w:t>
      </w:r>
      <w:r w:rsidRPr="00892E6E">
        <w:rPr>
          <w:rFonts w:ascii="Cambria" w:eastAsia="Calibri" w:hAnsi="Cambria" w:cs="Calibri"/>
          <w:spacing w:val="1"/>
        </w:rPr>
        <w:t>o</w:t>
      </w:r>
      <w:r w:rsidRPr="00892E6E">
        <w:rPr>
          <w:rFonts w:ascii="Cambria" w:eastAsia="Calibri" w:hAnsi="Cambria" w:cs="Calibri"/>
          <w:spacing w:val="-1"/>
        </w:rPr>
        <w:t>n</w:t>
      </w:r>
      <w:r w:rsidRPr="00892E6E">
        <w:rPr>
          <w:rFonts w:ascii="Cambria" w:eastAsia="Calibri" w:hAnsi="Cambria" w:cs="Calibri"/>
        </w:rPr>
        <w:t>scien</w:t>
      </w:r>
      <w:r w:rsidRPr="00892E6E">
        <w:rPr>
          <w:rFonts w:ascii="Cambria" w:eastAsia="Calibri" w:hAnsi="Cambria" w:cs="Calibri"/>
          <w:spacing w:val="-2"/>
        </w:rPr>
        <w:t>c</w:t>
      </w:r>
      <w:r w:rsidRPr="00892E6E">
        <w:rPr>
          <w:rFonts w:ascii="Cambria" w:eastAsia="Calibri" w:hAnsi="Cambria" w:cs="Calibri"/>
        </w:rPr>
        <w:t>e</w:t>
      </w:r>
      <w:r w:rsidRPr="00892E6E">
        <w:rPr>
          <w:rFonts w:ascii="Cambria" w:eastAsia="Calibri" w:hAnsi="Cambria" w:cs="Calibri"/>
          <w:spacing w:val="1"/>
        </w:rPr>
        <w:t xml:space="preserve"> </w:t>
      </w:r>
      <w:r w:rsidRPr="00892E6E">
        <w:rPr>
          <w:rFonts w:ascii="Cambria" w:eastAsia="Calibri" w:hAnsi="Cambria" w:cs="Calibri"/>
        </w:rPr>
        <w:t>in</w:t>
      </w:r>
      <w:r w:rsidRPr="00892E6E">
        <w:rPr>
          <w:rFonts w:ascii="Cambria" w:eastAsia="Calibri" w:hAnsi="Cambria" w:cs="Calibri"/>
          <w:spacing w:val="-1"/>
        </w:rPr>
        <w:t xml:space="preserve"> </w:t>
      </w:r>
      <w:r w:rsidRPr="00892E6E">
        <w:rPr>
          <w:rFonts w:ascii="Cambria" w:eastAsia="Calibri" w:hAnsi="Cambria" w:cs="Calibri"/>
        </w:rPr>
        <w:t>par</w:t>
      </w:r>
      <w:r w:rsidRPr="00892E6E">
        <w:rPr>
          <w:rFonts w:ascii="Cambria" w:eastAsia="Calibri" w:hAnsi="Cambria" w:cs="Calibri"/>
          <w:spacing w:val="-3"/>
        </w:rPr>
        <w:t>a</w:t>
      </w:r>
      <w:r w:rsidRPr="00892E6E">
        <w:rPr>
          <w:rFonts w:ascii="Cambria" w:eastAsia="Calibri" w:hAnsi="Cambria" w:cs="Calibri"/>
          <w:spacing w:val="-1"/>
        </w:rPr>
        <w:t>g</w:t>
      </w:r>
      <w:r w:rsidRPr="00892E6E">
        <w:rPr>
          <w:rFonts w:ascii="Cambria" w:eastAsia="Calibri" w:hAnsi="Cambria" w:cs="Calibri"/>
        </w:rPr>
        <w:t>ra</w:t>
      </w:r>
      <w:r w:rsidRPr="00892E6E">
        <w:rPr>
          <w:rFonts w:ascii="Cambria" w:eastAsia="Calibri" w:hAnsi="Cambria" w:cs="Calibri"/>
          <w:spacing w:val="-1"/>
        </w:rPr>
        <w:t>p</w:t>
      </w:r>
      <w:r w:rsidRPr="00892E6E">
        <w:rPr>
          <w:rFonts w:ascii="Cambria" w:eastAsia="Calibri" w:hAnsi="Cambria" w:cs="Calibri"/>
        </w:rPr>
        <w:t>h</w:t>
      </w:r>
      <w:r w:rsidRPr="00892E6E">
        <w:rPr>
          <w:rFonts w:ascii="Cambria" w:eastAsia="Calibri" w:hAnsi="Cambria" w:cs="Calibri"/>
          <w:spacing w:val="-1"/>
        </w:rPr>
        <w:t xml:space="preserve"> </w:t>
      </w:r>
      <w:r w:rsidRPr="00892E6E">
        <w:rPr>
          <w:rFonts w:ascii="Cambria" w:eastAsia="Calibri" w:hAnsi="Cambria" w:cs="Calibri"/>
          <w:spacing w:val="1"/>
        </w:rPr>
        <w:t>7</w:t>
      </w:r>
      <w:r w:rsidRPr="00892E6E">
        <w:rPr>
          <w:rFonts w:ascii="Cambria" w:eastAsia="Calibri" w:hAnsi="Cambria" w:cs="Calibri"/>
        </w:rPr>
        <w:t>, it</w:t>
      </w:r>
      <w:r w:rsidRPr="00892E6E">
        <w:rPr>
          <w:rFonts w:ascii="Cambria" w:eastAsia="Calibri" w:hAnsi="Cambria" w:cs="Calibri"/>
          <w:spacing w:val="1"/>
        </w:rPr>
        <w:t xml:space="preserve"> </w:t>
      </w:r>
      <w:r w:rsidRPr="00892E6E">
        <w:rPr>
          <w:rFonts w:ascii="Cambria" w:eastAsia="Calibri" w:hAnsi="Cambria" w:cs="Calibri"/>
          <w:spacing w:val="-3"/>
        </w:rPr>
        <w:t>f</w:t>
      </w:r>
      <w:r w:rsidRPr="00892E6E">
        <w:rPr>
          <w:rFonts w:ascii="Cambria" w:eastAsia="Calibri" w:hAnsi="Cambria" w:cs="Calibri"/>
        </w:rPr>
        <w:t>ai</w:t>
      </w:r>
      <w:r w:rsidRPr="00892E6E">
        <w:rPr>
          <w:rFonts w:ascii="Cambria" w:eastAsia="Calibri" w:hAnsi="Cambria" w:cs="Calibri"/>
          <w:spacing w:val="-1"/>
        </w:rPr>
        <w:t>l</w:t>
      </w:r>
      <w:r w:rsidRPr="00892E6E">
        <w:rPr>
          <w:rFonts w:ascii="Cambria" w:eastAsia="Calibri" w:hAnsi="Cambria" w:cs="Calibri"/>
        </w:rPr>
        <w:t xml:space="preserve">s </w:t>
      </w:r>
      <w:r w:rsidRPr="00892E6E">
        <w:rPr>
          <w:rFonts w:ascii="Cambria" w:eastAsia="Calibri" w:hAnsi="Cambria" w:cs="Calibri"/>
          <w:spacing w:val="-1"/>
        </w:rPr>
        <w:t>t</w:t>
      </w:r>
      <w:r w:rsidRPr="00892E6E">
        <w:rPr>
          <w:rFonts w:ascii="Cambria" w:eastAsia="Calibri" w:hAnsi="Cambria" w:cs="Calibri"/>
        </w:rPr>
        <w:t>o</w:t>
      </w:r>
      <w:r w:rsidRPr="00892E6E">
        <w:rPr>
          <w:rFonts w:ascii="Cambria" w:eastAsia="Calibri" w:hAnsi="Cambria" w:cs="Calibri"/>
          <w:spacing w:val="1"/>
        </w:rPr>
        <w:t xml:space="preserve"> </w:t>
      </w:r>
      <w:r w:rsidRPr="00892E6E">
        <w:rPr>
          <w:rFonts w:ascii="Cambria" w:eastAsia="Calibri" w:hAnsi="Cambria" w:cs="Calibri"/>
        </w:rPr>
        <w:t>r</w:t>
      </w:r>
      <w:r w:rsidRPr="00892E6E">
        <w:rPr>
          <w:rFonts w:ascii="Cambria" w:eastAsia="Calibri" w:hAnsi="Cambria" w:cs="Calibri"/>
          <w:spacing w:val="-2"/>
        </w:rPr>
        <w:t>e</w:t>
      </w:r>
      <w:r w:rsidRPr="00892E6E">
        <w:rPr>
          <w:rFonts w:ascii="Cambria" w:eastAsia="Calibri" w:hAnsi="Cambria" w:cs="Calibri"/>
        </w:rPr>
        <w:t>c</w:t>
      </w:r>
      <w:r w:rsidRPr="00892E6E">
        <w:rPr>
          <w:rFonts w:ascii="Cambria" w:eastAsia="Calibri" w:hAnsi="Cambria" w:cs="Calibri"/>
          <w:spacing w:val="1"/>
        </w:rPr>
        <w:t>o</w:t>
      </w:r>
      <w:r w:rsidRPr="00892E6E">
        <w:rPr>
          <w:rFonts w:ascii="Cambria" w:eastAsia="Calibri" w:hAnsi="Cambria" w:cs="Calibri"/>
          <w:spacing w:val="-1"/>
        </w:rPr>
        <w:t>gn</w:t>
      </w:r>
      <w:r w:rsidRPr="00892E6E">
        <w:rPr>
          <w:rFonts w:ascii="Cambria" w:eastAsia="Calibri" w:hAnsi="Cambria" w:cs="Calibri"/>
        </w:rPr>
        <w:t>i</w:t>
      </w:r>
      <w:r w:rsidRPr="00892E6E">
        <w:rPr>
          <w:rFonts w:ascii="Cambria" w:eastAsia="Calibri" w:hAnsi="Cambria" w:cs="Calibri"/>
          <w:spacing w:val="-3"/>
        </w:rPr>
        <w:t>s</w:t>
      </w:r>
      <w:r w:rsidRPr="00892E6E">
        <w:rPr>
          <w:rFonts w:ascii="Cambria" w:eastAsia="Calibri" w:hAnsi="Cambria" w:cs="Calibri"/>
        </w:rPr>
        <w:t>e</w:t>
      </w:r>
      <w:r w:rsidRPr="00892E6E">
        <w:rPr>
          <w:rFonts w:ascii="Cambria" w:eastAsia="Calibri" w:hAnsi="Cambria" w:cs="Calibri"/>
          <w:spacing w:val="1"/>
        </w:rPr>
        <w:t xml:space="preserve"> </w:t>
      </w:r>
      <w:r w:rsidRPr="00892E6E">
        <w:rPr>
          <w:rFonts w:ascii="Cambria" w:eastAsia="Calibri" w:hAnsi="Cambria" w:cs="Calibri"/>
        </w:rPr>
        <w:t>what</w:t>
      </w:r>
      <w:r w:rsidRPr="00892E6E">
        <w:rPr>
          <w:rFonts w:ascii="Cambria" w:eastAsia="Calibri" w:hAnsi="Cambria" w:cs="Calibri"/>
          <w:spacing w:val="-2"/>
        </w:rPr>
        <w:t xml:space="preserve"> </w:t>
      </w:r>
      <w:r w:rsidRPr="00892E6E">
        <w:rPr>
          <w:rFonts w:ascii="Cambria" w:eastAsia="Calibri" w:hAnsi="Cambria" w:cs="Calibri"/>
        </w:rPr>
        <w:t>a</w:t>
      </w:r>
      <w:r w:rsidRPr="00892E6E">
        <w:rPr>
          <w:rFonts w:ascii="Cambria" w:eastAsia="Calibri" w:hAnsi="Cambria" w:cs="Calibri"/>
          <w:spacing w:val="1"/>
        </w:rPr>
        <w:t xml:space="preserve"> </w:t>
      </w:r>
      <w:r w:rsidRPr="00892E6E">
        <w:rPr>
          <w:rFonts w:ascii="Cambria" w:eastAsia="Calibri" w:hAnsi="Cambria" w:cs="Calibri"/>
        </w:rPr>
        <w:t>si</w:t>
      </w:r>
      <w:r w:rsidRPr="00892E6E">
        <w:rPr>
          <w:rFonts w:ascii="Cambria" w:eastAsia="Calibri" w:hAnsi="Cambria" w:cs="Calibri"/>
          <w:spacing w:val="-1"/>
        </w:rPr>
        <w:t>gn</w:t>
      </w:r>
      <w:r w:rsidRPr="00892E6E">
        <w:rPr>
          <w:rFonts w:ascii="Cambria" w:eastAsia="Calibri" w:hAnsi="Cambria" w:cs="Calibri"/>
        </w:rPr>
        <w:t>if</w:t>
      </w:r>
      <w:r w:rsidRPr="00892E6E">
        <w:rPr>
          <w:rFonts w:ascii="Cambria" w:eastAsia="Calibri" w:hAnsi="Cambria" w:cs="Calibri"/>
          <w:spacing w:val="-1"/>
        </w:rPr>
        <w:t>i</w:t>
      </w:r>
      <w:r w:rsidRPr="00892E6E">
        <w:rPr>
          <w:rFonts w:ascii="Cambria" w:eastAsia="Calibri" w:hAnsi="Cambria" w:cs="Calibri"/>
        </w:rPr>
        <w:t>ca</w:t>
      </w:r>
      <w:r w:rsidRPr="00892E6E">
        <w:rPr>
          <w:rFonts w:ascii="Cambria" w:eastAsia="Calibri" w:hAnsi="Cambria" w:cs="Calibri"/>
          <w:spacing w:val="-1"/>
        </w:rPr>
        <w:t>n</w:t>
      </w:r>
      <w:r w:rsidRPr="00892E6E">
        <w:rPr>
          <w:rFonts w:ascii="Cambria" w:eastAsia="Calibri" w:hAnsi="Cambria" w:cs="Calibri"/>
        </w:rPr>
        <w:t>t</w:t>
      </w:r>
      <w:r w:rsidRPr="00892E6E">
        <w:rPr>
          <w:rFonts w:ascii="Cambria" w:eastAsia="Calibri" w:hAnsi="Cambria" w:cs="Calibri"/>
          <w:spacing w:val="1"/>
        </w:rPr>
        <w:t xml:space="preserve"> </w:t>
      </w:r>
      <w:r w:rsidRPr="00892E6E">
        <w:rPr>
          <w:rFonts w:ascii="Cambria" w:eastAsia="Calibri" w:hAnsi="Cambria" w:cs="Calibri"/>
          <w:spacing w:val="-3"/>
        </w:rPr>
        <w:t>i</w:t>
      </w:r>
      <w:r w:rsidRPr="00892E6E">
        <w:rPr>
          <w:rFonts w:ascii="Cambria" w:eastAsia="Calibri" w:hAnsi="Cambria" w:cs="Calibri"/>
        </w:rPr>
        <w:t xml:space="preserve">ssue </w:t>
      </w:r>
      <w:r w:rsidRPr="00892E6E">
        <w:rPr>
          <w:rFonts w:ascii="Cambria" w:eastAsia="Calibri" w:hAnsi="Cambria" w:cs="Calibri"/>
          <w:spacing w:val="-2"/>
        </w:rPr>
        <w:t>t</w:t>
      </w:r>
      <w:r w:rsidRPr="00892E6E">
        <w:rPr>
          <w:rFonts w:ascii="Cambria" w:eastAsia="Calibri" w:hAnsi="Cambria" w:cs="Calibri"/>
          <w:spacing w:val="-1"/>
        </w:rPr>
        <w:t>h</w:t>
      </w:r>
      <w:r w:rsidRPr="00892E6E">
        <w:rPr>
          <w:rFonts w:ascii="Cambria" w:eastAsia="Calibri" w:hAnsi="Cambria" w:cs="Calibri"/>
        </w:rPr>
        <w:t>is is and</w:t>
      </w:r>
      <w:r w:rsidRPr="00892E6E">
        <w:rPr>
          <w:rFonts w:ascii="Cambria" w:eastAsia="Calibri" w:hAnsi="Cambria" w:cs="Calibri"/>
          <w:spacing w:val="-1"/>
        </w:rPr>
        <w:t xml:space="preserve"> </w:t>
      </w:r>
      <w:r w:rsidRPr="00892E6E">
        <w:rPr>
          <w:rFonts w:ascii="Cambria" w:eastAsia="Calibri" w:hAnsi="Cambria" w:cs="Calibri"/>
        </w:rPr>
        <w:t>h</w:t>
      </w:r>
      <w:r w:rsidRPr="00892E6E">
        <w:rPr>
          <w:rFonts w:ascii="Cambria" w:eastAsia="Calibri" w:hAnsi="Cambria" w:cs="Calibri"/>
          <w:spacing w:val="-1"/>
        </w:rPr>
        <w:t>o</w:t>
      </w:r>
      <w:r w:rsidRPr="00892E6E">
        <w:rPr>
          <w:rFonts w:ascii="Cambria" w:eastAsia="Calibri" w:hAnsi="Cambria" w:cs="Calibri"/>
        </w:rPr>
        <w:t>w</w:t>
      </w:r>
      <w:r w:rsidRPr="00892E6E">
        <w:rPr>
          <w:rFonts w:ascii="Cambria" w:eastAsia="Calibri" w:hAnsi="Cambria" w:cs="Calibri"/>
          <w:spacing w:val="1"/>
        </w:rPr>
        <w:t xml:space="preserve"> </w:t>
      </w:r>
      <w:r w:rsidRPr="00892E6E">
        <w:rPr>
          <w:rFonts w:ascii="Cambria" w:eastAsia="Calibri" w:hAnsi="Cambria" w:cs="Calibri"/>
        </w:rPr>
        <w:t>it u</w:t>
      </w:r>
      <w:r w:rsidRPr="00892E6E">
        <w:rPr>
          <w:rFonts w:ascii="Cambria" w:eastAsia="Calibri" w:hAnsi="Cambria" w:cs="Calibri"/>
          <w:spacing w:val="-1"/>
        </w:rPr>
        <w:t>n</w:t>
      </w:r>
      <w:r w:rsidRPr="00892E6E">
        <w:rPr>
          <w:rFonts w:ascii="Cambria" w:eastAsia="Calibri" w:hAnsi="Cambria" w:cs="Calibri"/>
          <w:spacing w:val="-3"/>
        </w:rPr>
        <w:t>d</w:t>
      </w:r>
      <w:r w:rsidRPr="00892E6E">
        <w:rPr>
          <w:rFonts w:ascii="Cambria" w:eastAsia="Calibri" w:hAnsi="Cambria" w:cs="Calibri"/>
          <w:spacing w:val="1"/>
        </w:rPr>
        <w:t>o</w:t>
      </w:r>
      <w:r w:rsidRPr="00892E6E">
        <w:rPr>
          <w:rFonts w:ascii="Cambria" w:eastAsia="Calibri" w:hAnsi="Cambria" w:cs="Calibri"/>
        </w:rPr>
        <w:t>es</w:t>
      </w:r>
      <w:r w:rsidRPr="00892E6E">
        <w:rPr>
          <w:rFonts w:ascii="Cambria" w:eastAsia="Calibri" w:hAnsi="Cambria" w:cs="Calibri"/>
          <w:spacing w:val="-1"/>
        </w:rPr>
        <w:t xml:space="preserve"> </w:t>
      </w:r>
      <w:r w:rsidRPr="00892E6E">
        <w:rPr>
          <w:rFonts w:ascii="Cambria" w:eastAsia="Calibri" w:hAnsi="Cambria" w:cs="Calibri"/>
          <w:spacing w:val="-2"/>
        </w:rPr>
        <w:t>w</w:t>
      </w:r>
      <w:r w:rsidRPr="00892E6E">
        <w:rPr>
          <w:rFonts w:ascii="Cambria" w:eastAsia="Calibri" w:hAnsi="Cambria" w:cs="Calibri"/>
          <w:spacing w:val="-1"/>
        </w:rPr>
        <w:t>h</w:t>
      </w:r>
      <w:r w:rsidRPr="00892E6E">
        <w:rPr>
          <w:rFonts w:ascii="Cambria" w:eastAsia="Calibri" w:hAnsi="Cambria" w:cs="Calibri"/>
        </w:rPr>
        <w:t>at</w:t>
      </w:r>
      <w:r w:rsidRPr="00892E6E">
        <w:rPr>
          <w:rFonts w:ascii="Cambria" w:eastAsia="Calibri" w:hAnsi="Cambria" w:cs="Calibri"/>
          <w:spacing w:val="1"/>
        </w:rPr>
        <w:t xml:space="preserve"> </w:t>
      </w:r>
      <w:r w:rsidRPr="00892E6E">
        <w:rPr>
          <w:rFonts w:ascii="Cambria" w:eastAsia="Calibri" w:hAnsi="Cambria" w:cs="Calibri"/>
        </w:rPr>
        <w:t>the rest</w:t>
      </w:r>
      <w:r w:rsidRPr="00892E6E">
        <w:rPr>
          <w:rFonts w:ascii="Cambria" w:eastAsia="Calibri" w:hAnsi="Cambria" w:cs="Calibri"/>
          <w:spacing w:val="-1"/>
        </w:rPr>
        <w:t xml:space="preserve"> </w:t>
      </w:r>
      <w:r w:rsidRPr="00892E6E">
        <w:rPr>
          <w:rFonts w:ascii="Cambria" w:eastAsia="Calibri" w:hAnsi="Cambria" w:cs="Calibri"/>
          <w:spacing w:val="1"/>
        </w:rPr>
        <w:t>o</w:t>
      </w:r>
      <w:r w:rsidRPr="00892E6E">
        <w:rPr>
          <w:rFonts w:ascii="Cambria" w:eastAsia="Calibri" w:hAnsi="Cambria" w:cs="Calibri"/>
        </w:rPr>
        <w:t xml:space="preserve">f </w:t>
      </w:r>
      <w:r w:rsidRPr="00892E6E">
        <w:rPr>
          <w:rFonts w:ascii="Cambria" w:eastAsia="Calibri" w:hAnsi="Cambria" w:cs="Calibri"/>
          <w:spacing w:val="1"/>
        </w:rPr>
        <w:t>t</w:t>
      </w:r>
      <w:r w:rsidRPr="00892E6E">
        <w:rPr>
          <w:rFonts w:ascii="Cambria" w:eastAsia="Calibri" w:hAnsi="Cambria" w:cs="Calibri"/>
          <w:spacing w:val="-3"/>
        </w:rPr>
        <w:t>h</w:t>
      </w:r>
      <w:r w:rsidRPr="00892E6E">
        <w:rPr>
          <w:rFonts w:ascii="Cambria" w:eastAsia="Calibri" w:hAnsi="Cambria" w:cs="Calibri"/>
        </w:rPr>
        <w:t>e</w:t>
      </w:r>
      <w:r w:rsidRPr="00892E6E">
        <w:rPr>
          <w:rFonts w:ascii="Cambria" w:eastAsia="Calibri" w:hAnsi="Cambria" w:cs="Calibri"/>
          <w:spacing w:val="1"/>
        </w:rPr>
        <w:t xml:space="preserve"> </w:t>
      </w:r>
      <w:r w:rsidRPr="00892E6E">
        <w:rPr>
          <w:rFonts w:ascii="Cambria" w:eastAsia="Calibri" w:hAnsi="Cambria" w:cs="Calibri"/>
          <w:spacing w:val="-1"/>
        </w:rPr>
        <w:t>p</w:t>
      </w:r>
      <w:r w:rsidRPr="00892E6E">
        <w:rPr>
          <w:rFonts w:ascii="Cambria" w:eastAsia="Calibri" w:hAnsi="Cambria" w:cs="Calibri"/>
        </w:rPr>
        <w:t>a</w:t>
      </w:r>
      <w:r w:rsidRPr="00892E6E">
        <w:rPr>
          <w:rFonts w:ascii="Cambria" w:eastAsia="Calibri" w:hAnsi="Cambria" w:cs="Calibri"/>
          <w:spacing w:val="-1"/>
        </w:rPr>
        <w:t>p</w:t>
      </w:r>
      <w:r w:rsidRPr="00892E6E">
        <w:rPr>
          <w:rFonts w:ascii="Cambria" w:eastAsia="Calibri" w:hAnsi="Cambria" w:cs="Calibri"/>
        </w:rPr>
        <w:t>er</w:t>
      </w:r>
      <w:r w:rsidRPr="00892E6E">
        <w:rPr>
          <w:rFonts w:ascii="Cambria" w:eastAsia="Calibri" w:hAnsi="Cambria" w:cs="Calibri"/>
          <w:spacing w:val="1"/>
        </w:rPr>
        <w:t xml:space="preserve"> </w:t>
      </w:r>
      <w:r w:rsidRPr="00892E6E">
        <w:rPr>
          <w:rFonts w:ascii="Cambria" w:eastAsia="Calibri" w:hAnsi="Cambria" w:cs="Calibri"/>
          <w:spacing w:val="-1"/>
        </w:rPr>
        <w:t>h</w:t>
      </w:r>
      <w:r w:rsidRPr="00892E6E">
        <w:rPr>
          <w:rFonts w:ascii="Cambria" w:eastAsia="Calibri" w:hAnsi="Cambria" w:cs="Calibri"/>
        </w:rPr>
        <w:t>as</w:t>
      </w:r>
      <w:r w:rsidRPr="00892E6E">
        <w:rPr>
          <w:rFonts w:ascii="Cambria" w:eastAsia="Calibri" w:hAnsi="Cambria" w:cs="Calibri"/>
          <w:spacing w:val="-2"/>
        </w:rPr>
        <w:t xml:space="preserve"> t</w:t>
      </w:r>
      <w:r w:rsidRPr="00892E6E">
        <w:rPr>
          <w:rFonts w:ascii="Cambria" w:eastAsia="Calibri" w:hAnsi="Cambria" w:cs="Calibri"/>
        </w:rPr>
        <w:t>o</w:t>
      </w:r>
      <w:r w:rsidRPr="00892E6E">
        <w:rPr>
          <w:rFonts w:ascii="Cambria" w:eastAsia="Calibri" w:hAnsi="Cambria" w:cs="Calibri"/>
          <w:spacing w:val="1"/>
        </w:rPr>
        <w:t xml:space="preserve"> </w:t>
      </w:r>
      <w:r w:rsidRPr="00892E6E">
        <w:rPr>
          <w:rFonts w:ascii="Cambria" w:eastAsia="Calibri" w:hAnsi="Cambria" w:cs="Calibri"/>
        </w:rPr>
        <w:t>s</w:t>
      </w:r>
      <w:r w:rsidRPr="00892E6E">
        <w:rPr>
          <w:rFonts w:ascii="Cambria" w:eastAsia="Calibri" w:hAnsi="Cambria" w:cs="Calibri"/>
          <w:spacing w:val="-2"/>
        </w:rPr>
        <w:t>a</w:t>
      </w:r>
      <w:r w:rsidRPr="00892E6E">
        <w:rPr>
          <w:rFonts w:ascii="Cambria" w:eastAsia="Calibri" w:hAnsi="Cambria" w:cs="Calibri"/>
          <w:spacing w:val="-1"/>
        </w:rPr>
        <w:t>y</w:t>
      </w:r>
      <w:r w:rsidRPr="00892E6E">
        <w:rPr>
          <w:rFonts w:ascii="Cambria" w:eastAsia="Calibri" w:hAnsi="Cambria" w:cs="Calibri"/>
        </w:rPr>
        <w:t>.</w:t>
      </w:r>
      <w:r w:rsidR="00D04794" w:rsidRPr="00892E6E">
        <w:rPr>
          <w:rFonts w:ascii="Cambria" w:hAnsi="Cambria"/>
        </w:rPr>
        <w:br w:type="page"/>
      </w:r>
    </w:p>
    <w:p w14:paraId="193C226C" w14:textId="09951257" w:rsidR="0001243B" w:rsidRPr="009A0DA6" w:rsidRDefault="0001243B" w:rsidP="00964A90">
      <w:pPr>
        <w:pStyle w:val="Heading3"/>
      </w:pPr>
      <w:r w:rsidRPr="009A0DA6">
        <w:lastRenderedPageBreak/>
        <w:t>agenda 2.3.4</w:t>
      </w:r>
    </w:p>
    <w:p w14:paraId="33014CD2" w14:textId="20DBEBE3" w:rsidR="0001243B" w:rsidRPr="009A0DA6" w:rsidRDefault="00201F24" w:rsidP="005D571C">
      <w:pPr>
        <w:pStyle w:val="Heading2"/>
      </w:pPr>
      <w:r>
        <w:t>The theological basis for the ordination of men only</w:t>
      </w:r>
    </w:p>
    <w:p w14:paraId="4814E9F2" w14:textId="77777777" w:rsidR="00507840" w:rsidRDefault="00507840" w:rsidP="0037789C">
      <w:pPr>
        <w:pStyle w:val="NoSpacing"/>
      </w:pPr>
    </w:p>
    <w:p w14:paraId="53ECE7FC" w14:textId="655FD6D5" w:rsidR="0037789C" w:rsidRDefault="00507840" w:rsidP="0037789C">
      <w:pPr>
        <w:pStyle w:val="NoSpacing"/>
      </w:pPr>
      <w:r>
        <w:t>(See also Agenda 2.2.3, 2.3.1, 2.3.2, 2.3.3 and 2.3.5)</w:t>
      </w:r>
    </w:p>
    <w:p w14:paraId="28C19521" w14:textId="77777777" w:rsidR="00507840" w:rsidRPr="009A0DA6" w:rsidRDefault="00507840" w:rsidP="0037789C">
      <w:pPr>
        <w:pStyle w:val="NoSpacing"/>
      </w:pPr>
    </w:p>
    <w:p w14:paraId="428C8444" w14:textId="225AB819" w:rsidR="0037789C" w:rsidRPr="009A0DA6" w:rsidRDefault="00417DA5" w:rsidP="00964A90">
      <w:pPr>
        <w:pStyle w:val="Heading3"/>
      </w:pPr>
      <w:r w:rsidRPr="009A0DA6">
        <w:t>proposed motion</w:t>
      </w:r>
    </w:p>
    <w:p w14:paraId="23BAF6C0" w14:textId="6502F533" w:rsidR="0037789C" w:rsidRPr="009A0DA6" w:rsidRDefault="0037789C" w:rsidP="0037789C">
      <w:pPr>
        <w:pStyle w:val="NoSpacing"/>
        <w:rPr>
          <w:i/>
        </w:rPr>
      </w:pPr>
      <w:r w:rsidRPr="009A0DA6">
        <w:rPr>
          <w:i/>
        </w:rPr>
        <w:t xml:space="preserve">Submitted by </w:t>
      </w:r>
      <w:r w:rsidR="00417DA5" w:rsidRPr="009A0DA6">
        <w:rPr>
          <w:i/>
        </w:rPr>
        <w:t>Lutheran Church of the Good Shepherd</w:t>
      </w:r>
      <w:r w:rsidRPr="009A0DA6">
        <w:rPr>
          <w:i/>
        </w:rPr>
        <w:t>, Hamilton</w:t>
      </w:r>
      <w:r w:rsidR="00BB5587" w:rsidRPr="009A0DA6">
        <w:rPr>
          <w:i/>
        </w:rPr>
        <w:t xml:space="preserve"> Vic</w:t>
      </w:r>
    </w:p>
    <w:p w14:paraId="5698F99E" w14:textId="77777777" w:rsidR="00727D1E" w:rsidRPr="009A0DA6" w:rsidRDefault="00727D1E" w:rsidP="0037789C">
      <w:pPr>
        <w:pStyle w:val="NoSpacing"/>
      </w:pPr>
    </w:p>
    <w:p w14:paraId="167AE871" w14:textId="08CDD5A9" w:rsidR="00417DA5" w:rsidRPr="009A0DA6" w:rsidRDefault="00417DA5" w:rsidP="00417DA5">
      <w:pPr>
        <w:spacing w:after="120" w:line="240" w:lineRule="auto"/>
        <w:ind w:right="497"/>
        <w:rPr>
          <w:rFonts w:ascii="Cambria" w:eastAsia="Calibri" w:hAnsi="Cambria" w:cs="Calibri"/>
          <w:sz w:val="16"/>
        </w:rPr>
      </w:pPr>
      <w:r w:rsidRPr="009A0DA6">
        <w:rPr>
          <w:rFonts w:ascii="Cambria" w:hAnsi="Cambria"/>
          <w:b/>
          <w:bCs/>
          <w:lang w:eastAsia="en-AU"/>
        </w:rPr>
        <w:t xml:space="preserve">BE IT RESOLVED </w:t>
      </w:r>
      <w:r w:rsidRPr="009A0DA6">
        <w:rPr>
          <w:rStyle w:val="NoSpacingChar"/>
        </w:rPr>
        <w:t>that before any vote is conducted regarding the ordination of both men and women, no less than one hour be set aside to allow the clear presentation of the scriptural case for the ordination of men only.</w:t>
      </w:r>
      <w:r w:rsidR="00D04794" w:rsidRPr="009A0DA6">
        <w:rPr>
          <w:rStyle w:val="NoSpacingChar"/>
        </w:rPr>
        <w:br/>
      </w:r>
    </w:p>
    <w:p w14:paraId="0433F28C" w14:textId="77777777" w:rsidR="00417DA5" w:rsidRPr="009A0DA6" w:rsidRDefault="00417DA5" w:rsidP="00D04794">
      <w:pPr>
        <w:pStyle w:val="Heading3"/>
        <w:rPr>
          <w:rFonts w:eastAsia="SimSun" w:cs="F"/>
        </w:rPr>
      </w:pPr>
      <w:r w:rsidRPr="009A0DA6">
        <w:t>REASONS FOR THE MOTION</w:t>
      </w:r>
    </w:p>
    <w:p w14:paraId="57ECA0E0" w14:textId="4075ACD0" w:rsidR="00417DA5" w:rsidRPr="009A0DA6" w:rsidRDefault="00417DA5" w:rsidP="00F55252">
      <w:pPr>
        <w:pStyle w:val="ListParagraph"/>
        <w:numPr>
          <w:ilvl w:val="0"/>
          <w:numId w:val="130"/>
        </w:numPr>
        <w:spacing w:after="0" w:line="240" w:lineRule="auto"/>
        <w:ind w:left="567" w:right="176" w:hanging="567"/>
        <w:rPr>
          <w:rFonts w:ascii="Cambria" w:eastAsia="Arial" w:hAnsi="Cambria" w:cs="Arial"/>
        </w:rPr>
      </w:pPr>
      <w:r w:rsidRPr="009A0DA6">
        <w:rPr>
          <w:rFonts w:ascii="Cambria" w:eastAsia="Arial" w:hAnsi="Cambria" w:cs="Arial"/>
        </w:rPr>
        <w:t xml:space="preserve">Many </w:t>
      </w:r>
      <w:r w:rsidRPr="009A0DA6">
        <w:rPr>
          <w:rStyle w:val="NoSpacingChar"/>
        </w:rPr>
        <w:t xml:space="preserve">members of the LCA </w:t>
      </w:r>
      <w:r w:rsidR="005B418B" w:rsidRPr="009A0DA6">
        <w:rPr>
          <w:rStyle w:val="NoSpacingChar"/>
        </w:rPr>
        <w:t>(</w:t>
      </w:r>
      <w:r w:rsidRPr="009A0DA6">
        <w:rPr>
          <w:rStyle w:val="NoSpacingChar"/>
        </w:rPr>
        <w:t xml:space="preserve">including some members of the CTICR) believe the church's teaching is correct, although many others favour the Draft Doctrinal Statement </w:t>
      </w:r>
      <w:r w:rsidR="005B418B" w:rsidRPr="009A0DA6">
        <w:rPr>
          <w:rStyle w:val="NoSpacingChar"/>
        </w:rPr>
        <w:t>(</w:t>
      </w:r>
      <w:r w:rsidRPr="009A0DA6">
        <w:rPr>
          <w:rStyle w:val="NoSpacingChar"/>
        </w:rPr>
        <w:t>DDS) prepared by members of the CTICR.</w:t>
      </w:r>
      <w:r w:rsidRPr="009A0DA6">
        <w:rPr>
          <w:rFonts w:ascii="Cambria" w:eastAsia="Arial" w:hAnsi="Cambria" w:cs="Arial"/>
        </w:rPr>
        <w:br/>
      </w:r>
    </w:p>
    <w:p w14:paraId="2BE49E2C" w14:textId="58063397" w:rsidR="00417DA5" w:rsidRPr="009A0DA6" w:rsidRDefault="00417DA5" w:rsidP="00F55252">
      <w:pPr>
        <w:pStyle w:val="ListParagraph"/>
        <w:numPr>
          <w:ilvl w:val="0"/>
          <w:numId w:val="130"/>
        </w:numPr>
        <w:tabs>
          <w:tab w:val="left" w:pos="800"/>
        </w:tabs>
        <w:spacing w:after="0" w:line="240" w:lineRule="auto"/>
        <w:ind w:left="567" w:right="382" w:hanging="567"/>
        <w:rPr>
          <w:rFonts w:ascii="Cambria" w:eastAsia="Arial" w:hAnsi="Cambria" w:cs="Arial"/>
        </w:rPr>
      </w:pPr>
      <w:r w:rsidRPr="009A0DA6">
        <w:rPr>
          <w:rFonts w:ascii="Cambria" w:eastAsia="Arial" w:hAnsi="Cambria" w:cs="Arial"/>
        </w:rPr>
        <w:t>Befor</w:t>
      </w:r>
      <w:r w:rsidRPr="009A0DA6">
        <w:rPr>
          <w:rStyle w:val="NoSpacingChar"/>
        </w:rPr>
        <w:t>e voting to change the teaching of the church, delegates have the responsibility to hear the church's teaching clearly explained.</w:t>
      </w:r>
      <w:r w:rsidRPr="009A0DA6">
        <w:rPr>
          <w:rFonts w:ascii="Cambria" w:eastAsia="Arial" w:hAnsi="Cambria" w:cs="Arial"/>
          <w:w w:val="113"/>
        </w:rPr>
        <w:br/>
      </w:r>
    </w:p>
    <w:p w14:paraId="7C94CDEE" w14:textId="7D73896A" w:rsidR="00417DA5" w:rsidRPr="009A0DA6" w:rsidRDefault="00417DA5" w:rsidP="00F55252">
      <w:pPr>
        <w:pStyle w:val="ListParagraph"/>
        <w:numPr>
          <w:ilvl w:val="0"/>
          <w:numId w:val="130"/>
        </w:numPr>
        <w:tabs>
          <w:tab w:val="left" w:pos="800"/>
        </w:tabs>
        <w:spacing w:after="0" w:line="240" w:lineRule="auto"/>
        <w:ind w:left="567" w:right="382" w:hanging="567"/>
        <w:rPr>
          <w:rFonts w:ascii="Cambria" w:eastAsia="Arial" w:hAnsi="Cambria" w:cs="Arial"/>
        </w:rPr>
      </w:pPr>
      <w:r w:rsidRPr="009A0DA6">
        <w:rPr>
          <w:rFonts w:ascii="Cambria" w:eastAsia="Arial" w:hAnsi="Cambria" w:cs="Arial"/>
        </w:rPr>
        <w:t>While</w:t>
      </w:r>
      <w:r w:rsidRPr="009A0DA6">
        <w:rPr>
          <w:rFonts w:ascii="Cambria" w:eastAsia="Arial" w:hAnsi="Cambria" w:cs="Arial"/>
          <w:spacing w:val="22"/>
        </w:rPr>
        <w:t xml:space="preserve"> </w:t>
      </w:r>
      <w:r w:rsidRPr="009A0DA6">
        <w:rPr>
          <w:rStyle w:val="NoSpacingChar"/>
        </w:rPr>
        <w:t xml:space="preserve">there may be several hours set aside for debate on this issue, with each speaker being given three minutes to speak </w:t>
      </w:r>
      <w:r w:rsidR="005B418B" w:rsidRPr="009A0DA6">
        <w:rPr>
          <w:rStyle w:val="NoSpacingChar"/>
        </w:rPr>
        <w:t>(</w:t>
      </w:r>
      <w:r w:rsidRPr="009A0DA6">
        <w:rPr>
          <w:rStyle w:val="NoSpacingChar"/>
        </w:rPr>
        <w:t>as there was at Rochedale in 2015); this does not do justice to the church's teaching and all that underpins it.</w:t>
      </w:r>
      <w:r w:rsidRPr="009A0DA6">
        <w:rPr>
          <w:rStyle w:val="NoSpacingChar"/>
        </w:rPr>
        <w:br/>
      </w:r>
    </w:p>
    <w:p w14:paraId="73AD1C64" w14:textId="19F37891" w:rsidR="00417DA5" w:rsidRPr="009A0DA6" w:rsidRDefault="00417DA5" w:rsidP="00F55252">
      <w:pPr>
        <w:pStyle w:val="ListParagraph"/>
        <w:numPr>
          <w:ilvl w:val="0"/>
          <w:numId w:val="130"/>
        </w:numPr>
        <w:tabs>
          <w:tab w:val="left" w:pos="800"/>
        </w:tabs>
        <w:spacing w:after="0" w:line="240" w:lineRule="auto"/>
        <w:ind w:left="567" w:right="282" w:hanging="567"/>
        <w:rPr>
          <w:rFonts w:ascii="Cambria" w:eastAsia="Arial" w:hAnsi="Cambria" w:cs="Arial"/>
        </w:rPr>
      </w:pPr>
      <w:r w:rsidRPr="009A0DA6">
        <w:rPr>
          <w:rFonts w:ascii="Cambria" w:eastAsia="Arial" w:hAnsi="Cambria" w:cs="Arial"/>
        </w:rPr>
        <w:t>It</w:t>
      </w:r>
      <w:r w:rsidRPr="009A0DA6">
        <w:rPr>
          <w:rFonts w:ascii="Cambria" w:eastAsia="Arial" w:hAnsi="Cambria" w:cs="Arial"/>
          <w:spacing w:val="-4"/>
        </w:rPr>
        <w:t xml:space="preserve"> </w:t>
      </w:r>
      <w:r w:rsidRPr="009A0DA6">
        <w:rPr>
          <w:rFonts w:ascii="Cambria" w:eastAsia="Arial" w:hAnsi="Cambria" w:cs="Arial"/>
        </w:rPr>
        <w:t>is</w:t>
      </w:r>
      <w:r w:rsidRPr="009A0DA6">
        <w:rPr>
          <w:rFonts w:ascii="Cambria" w:eastAsia="Arial" w:hAnsi="Cambria" w:cs="Arial"/>
          <w:spacing w:val="-16"/>
        </w:rPr>
        <w:t xml:space="preserve"> </w:t>
      </w:r>
      <w:r w:rsidRPr="009A0DA6">
        <w:rPr>
          <w:rStyle w:val="NoSpacingChar"/>
        </w:rPr>
        <w:t>fair for all delegates, and also wise, to have the teaching of the church presented in its fullness. Rather than restricting the teaching to the two texts mentioned in the Theses of Agreement (1</w:t>
      </w:r>
      <w:r w:rsidR="007365CB" w:rsidRPr="009A0DA6">
        <w:rPr>
          <w:rStyle w:val="NoSpacingChar"/>
        </w:rPr>
        <w:t xml:space="preserve"> </w:t>
      </w:r>
      <w:r w:rsidRPr="009A0DA6">
        <w:rPr>
          <w:rStyle w:val="NoSpacingChar"/>
        </w:rPr>
        <w:t>Corinthians 14:33b</w:t>
      </w:r>
      <w:r w:rsidRPr="009A0DA6">
        <w:rPr>
          <w:rStyle w:val="NoSpacingChar"/>
        </w:rPr>
        <w:sym w:font="Symbol" w:char="F02D"/>
      </w:r>
      <w:r w:rsidRPr="009A0DA6">
        <w:rPr>
          <w:rStyle w:val="NoSpacingChar"/>
        </w:rPr>
        <w:t>38 and 1 Timothy 2:11</w:t>
      </w:r>
      <w:r w:rsidRPr="009A0DA6">
        <w:rPr>
          <w:rStyle w:val="NoSpacingChar"/>
        </w:rPr>
        <w:sym w:font="Symbol" w:char="F02D"/>
      </w:r>
      <w:r w:rsidRPr="009A0DA6">
        <w:rPr>
          <w:rStyle w:val="NoSpacingChar"/>
        </w:rPr>
        <w:t>15) the presentation may include, among other Scriptural texts, the witness of Scripture in 1 Timothy 2:12 in conjunction with 1 Timothy 3:2</w:t>
      </w:r>
      <w:r w:rsidR="00A64CD8" w:rsidRPr="009A0DA6">
        <w:rPr>
          <w:rStyle w:val="NoSpacingChar"/>
        </w:rPr>
        <w:t>;</w:t>
      </w:r>
      <w:r w:rsidRPr="009A0DA6">
        <w:rPr>
          <w:rStyle w:val="NoSpacingChar"/>
        </w:rPr>
        <w:t xml:space="preserve"> 2 Timothy 1:13</w:t>
      </w:r>
      <w:r w:rsidRPr="009A0DA6">
        <w:rPr>
          <w:rStyle w:val="NoSpacingChar"/>
        </w:rPr>
        <w:sym w:font="Symbol" w:char="F02D"/>
      </w:r>
      <w:r w:rsidRPr="009A0DA6">
        <w:rPr>
          <w:rStyle w:val="NoSpacingChar"/>
        </w:rPr>
        <w:t>14; 2, Timothy 2:1</w:t>
      </w:r>
      <w:r w:rsidR="00A64CD8" w:rsidRPr="009A0DA6">
        <w:rPr>
          <w:rStyle w:val="NoSpacingChar"/>
        </w:rPr>
        <w:sym w:font="Symbol" w:char="F02D"/>
      </w:r>
      <w:r w:rsidRPr="009A0DA6">
        <w:rPr>
          <w:rStyle w:val="NoSpacingChar"/>
        </w:rPr>
        <w:t>2; Titus 1:5</w:t>
      </w:r>
      <w:r w:rsidR="00A64CD8" w:rsidRPr="009A0DA6">
        <w:rPr>
          <w:rStyle w:val="NoSpacingChar"/>
        </w:rPr>
        <w:sym w:font="Symbol" w:char="F02D"/>
      </w:r>
      <w:r w:rsidRPr="009A0DA6">
        <w:rPr>
          <w:rStyle w:val="NoSpacingChar"/>
        </w:rPr>
        <w:t>9; and Acts 1:21. The Synod can then have confidence that all delegates have had the opportunity to be fully informed.</w:t>
      </w:r>
      <w:r w:rsidR="00A64CD8" w:rsidRPr="009A0DA6">
        <w:rPr>
          <w:rFonts w:ascii="Cambria" w:eastAsia="Arial" w:hAnsi="Cambria" w:cs="Arial"/>
          <w:w w:val="113"/>
        </w:rPr>
        <w:br/>
      </w:r>
    </w:p>
    <w:p w14:paraId="53272F20" w14:textId="281C4DFA" w:rsidR="00417DA5" w:rsidRPr="009A0DA6" w:rsidRDefault="00417DA5" w:rsidP="00F55252">
      <w:pPr>
        <w:pStyle w:val="ListParagraph"/>
        <w:numPr>
          <w:ilvl w:val="0"/>
          <w:numId w:val="130"/>
        </w:numPr>
        <w:tabs>
          <w:tab w:val="left" w:pos="800"/>
        </w:tabs>
        <w:spacing w:after="0" w:line="240" w:lineRule="auto"/>
        <w:ind w:left="567" w:right="295" w:hanging="567"/>
        <w:rPr>
          <w:rFonts w:ascii="Cambria" w:eastAsia="Arial" w:hAnsi="Cambria" w:cs="Arial"/>
        </w:rPr>
      </w:pPr>
      <w:r w:rsidRPr="009A0DA6">
        <w:rPr>
          <w:rFonts w:ascii="Cambria" w:eastAsia="Arial" w:hAnsi="Cambria" w:cs="Arial"/>
          <w:w w:val="108"/>
        </w:rPr>
        <w:t>Significan</w:t>
      </w:r>
      <w:r w:rsidRPr="009A0DA6">
        <w:rPr>
          <w:rStyle w:val="NoSpacingChar"/>
        </w:rPr>
        <w:t>t resources have been put into the DDS with the CTICR formulating the document and it being presented across the church at consultation meetings. We feel that to give at least one hour to the presentation of the church's teaching is entirely appropriate, given the ramifications of changing the teaching are likely to be very significant for people right across the church.</w:t>
      </w:r>
      <w:r w:rsidR="00A64CD8" w:rsidRPr="009A0DA6">
        <w:rPr>
          <w:rFonts w:ascii="Cambria" w:eastAsia="Arial" w:hAnsi="Cambria" w:cs="Arial"/>
          <w:w w:val="113"/>
        </w:rPr>
        <w:br/>
      </w:r>
    </w:p>
    <w:p w14:paraId="2147AFC6" w14:textId="0357EFF5" w:rsidR="00417DA5" w:rsidRPr="009A0DA6" w:rsidRDefault="00417DA5" w:rsidP="00F55252">
      <w:pPr>
        <w:pStyle w:val="ListParagraph"/>
        <w:numPr>
          <w:ilvl w:val="0"/>
          <w:numId w:val="130"/>
        </w:numPr>
        <w:tabs>
          <w:tab w:val="left" w:pos="800"/>
        </w:tabs>
        <w:spacing w:after="0" w:line="240" w:lineRule="auto"/>
        <w:ind w:left="567" w:right="663" w:hanging="567"/>
        <w:rPr>
          <w:rFonts w:ascii="Cambria" w:eastAsia="Arial" w:hAnsi="Cambria" w:cs="Arial"/>
        </w:rPr>
      </w:pPr>
      <w:r w:rsidRPr="009A0DA6">
        <w:rPr>
          <w:rFonts w:ascii="Cambria" w:eastAsia="Arial" w:hAnsi="Cambria" w:cs="Arial"/>
        </w:rPr>
        <w:t>If</w:t>
      </w:r>
      <w:r w:rsidRPr="009A0DA6">
        <w:rPr>
          <w:rFonts w:ascii="Cambria" w:eastAsia="Arial" w:hAnsi="Cambria" w:cs="Arial"/>
          <w:spacing w:val="-4"/>
        </w:rPr>
        <w:t xml:space="preserve"> </w:t>
      </w:r>
      <w:r w:rsidRPr="009A0DA6">
        <w:rPr>
          <w:rStyle w:val="NoSpacingChar"/>
        </w:rPr>
        <w:t xml:space="preserve">the case for the ordination of men only, and the case for the ordination of both men and women </w:t>
      </w:r>
      <w:r w:rsidR="00A64CD8" w:rsidRPr="009A0DA6">
        <w:rPr>
          <w:rStyle w:val="NoSpacingChar"/>
        </w:rPr>
        <w:t>(</w:t>
      </w:r>
      <w:r w:rsidRPr="009A0DA6">
        <w:rPr>
          <w:rStyle w:val="NoSpacingChar"/>
        </w:rPr>
        <w:t>the DDS) are clearly expressed before we pray for the guidance of the H</w:t>
      </w:r>
      <w:r w:rsidR="007365CB" w:rsidRPr="009A0DA6">
        <w:rPr>
          <w:rStyle w:val="NoSpacingChar"/>
        </w:rPr>
        <w:t>oly Spirit and a vote is taken –</w:t>
      </w:r>
      <w:r w:rsidRPr="009A0DA6">
        <w:rPr>
          <w:rStyle w:val="NoSpacingChar"/>
        </w:rPr>
        <w:t xml:space="preserve"> it will go some way </w:t>
      </w:r>
      <w:r w:rsidR="007365CB" w:rsidRPr="009A0DA6">
        <w:rPr>
          <w:rStyle w:val="NoSpacingChar"/>
        </w:rPr>
        <w:t xml:space="preserve">to fostering understanding and </w:t>
      </w:r>
      <w:r w:rsidRPr="009A0DA6">
        <w:rPr>
          <w:rStyle w:val="NoSpacingChar"/>
        </w:rPr>
        <w:t>unity as we move forward.</w:t>
      </w:r>
    </w:p>
    <w:p w14:paraId="45AD0262" w14:textId="77777777" w:rsidR="00727D1E" w:rsidRPr="009A0DA6" w:rsidRDefault="00727D1E" w:rsidP="0037789C">
      <w:pPr>
        <w:pStyle w:val="NoSpacing"/>
      </w:pPr>
    </w:p>
    <w:p w14:paraId="48ABD8BC" w14:textId="77777777" w:rsidR="00D04794" w:rsidRPr="009A0DA6" w:rsidRDefault="00D04794">
      <w:pPr>
        <w:rPr>
          <w:rFonts w:ascii="Cambria" w:eastAsiaTheme="majorEastAsia" w:hAnsi="Cambria" w:cstheme="majorBidi"/>
          <w:b/>
          <w:caps/>
          <w:sz w:val="28"/>
          <w:szCs w:val="24"/>
        </w:rPr>
      </w:pPr>
      <w:r w:rsidRPr="009A0DA6">
        <w:rPr>
          <w:rFonts w:ascii="Cambria" w:hAnsi="Cambria"/>
        </w:rPr>
        <w:br w:type="page"/>
      </w:r>
    </w:p>
    <w:p w14:paraId="1941373B" w14:textId="46A1CFC0" w:rsidR="00727D1E" w:rsidRPr="009A0DA6" w:rsidRDefault="00727D1E" w:rsidP="00964A90">
      <w:pPr>
        <w:pStyle w:val="Heading3"/>
      </w:pPr>
      <w:r w:rsidRPr="009A0DA6">
        <w:lastRenderedPageBreak/>
        <w:t>agenda 2.3.5</w:t>
      </w:r>
    </w:p>
    <w:p w14:paraId="75F08CCD" w14:textId="019351B6" w:rsidR="00727D1E" w:rsidRPr="009A0DA6" w:rsidRDefault="00727D1E" w:rsidP="00727D1E">
      <w:pPr>
        <w:pStyle w:val="Heading2"/>
      </w:pPr>
      <w:bookmarkStart w:id="432" w:name="_Toc521954684"/>
      <w:r w:rsidRPr="009A0DA6">
        <w:t xml:space="preserve">No further </w:t>
      </w:r>
      <w:bookmarkEnd w:id="432"/>
      <w:r w:rsidR="00201F24">
        <w:t>amendments to Theses of Agreement on ord</w:t>
      </w:r>
      <w:r w:rsidR="00ED76E9">
        <w:t>ination of women regarding the Office of the M</w:t>
      </w:r>
      <w:r w:rsidR="00201F24">
        <w:t>inistry</w:t>
      </w:r>
    </w:p>
    <w:p w14:paraId="2856816C" w14:textId="2582CE1C" w:rsidR="00727D1E" w:rsidRDefault="00727D1E" w:rsidP="00727D1E">
      <w:pPr>
        <w:pStyle w:val="NoSpacing"/>
      </w:pPr>
    </w:p>
    <w:p w14:paraId="2629C7B7" w14:textId="4DC05D59" w:rsidR="00507840" w:rsidRDefault="00507840" w:rsidP="00727D1E">
      <w:pPr>
        <w:pStyle w:val="NoSpacing"/>
      </w:pPr>
      <w:r>
        <w:t>(See also Agenda 2.2.3, 2.3.1, 2.3.2, 2.3.3 and 2.3.4)</w:t>
      </w:r>
    </w:p>
    <w:p w14:paraId="67C9FD37" w14:textId="77777777" w:rsidR="00507840" w:rsidRPr="009A0DA6" w:rsidRDefault="00507840" w:rsidP="00727D1E">
      <w:pPr>
        <w:pStyle w:val="NoSpacing"/>
      </w:pPr>
    </w:p>
    <w:p w14:paraId="19AFC3E9" w14:textId="634D4D7B" w:rsidR="00727D1E" w:rsidRPr="009A0DA6" w:rsidRDefault="00680D5E" w:rsidP="00964A90">
      <w:pPr>
        <w:pStyle w:val="Heading3"/>
      </w:pPr>
      <w:r w:rsidRPr="009A0DA6">
        <w:t>proposed motion</w:t>
      </w:r>
    </w:p>
    <w:p w14:paraId="06FB738D" w14:textId="565CF8C0" w:rsidR="00727D1E" w:rsidRPr="009A0DA6" w:rsidRDefault="00727D1E" w:rsidP="00727D1E">
      <w:pPr>
        <w:pStyle w:val="NoSpacing"/>
        <w:rPr>
          <w:i/>
        </w:rPr>
      </w:pPr>
      <w:r w:rsidRPr="009A0DA6">
        <w:rPr>
          <w:i/>
        </w:rPr>
        <w:t>Submitted by St John’s Lutheran Church, Minyip-Warracknabeal</w:t>
      </w:r>
      <w:r w:rsidR="00BB5587" w:rsidRPr="009A0DA6">
        <w:rPr>
          <w:i/>
        </w:rPr>
        <w:t xml:space="preserve"> Vic</w:t>
      </w:r>
    </w:p>
    <w:p w14:paraId="4F438BC6" w14:textId="7D783D1F" w:rsidR="00680D5E" w:rsidRPr="009A0DA6" w:rsidRDefault="00680D5E" w:rsidP="00680D5E">
      <w:pPr>
        <w:spacing w:after="120" w:line="240" w:lineRule="auto"/>
        <w:ind w:right="213"/>
        <w:rPr>
          <w:rFonts w:ascii="Cambria" w:eastAsia="Calibri" w:hAnsi="Cambria" w:cs="Calibri"/>
          <w:sz w:val="16"/>
        </w:rPr>
      </w:pPr>
      <w:r w:rsidRPr="009A0DA6">
        <w:rPr>
          <w:rFonts w:ascii="Cambria" w:hAnsi="Cambria"/>
          <w:b/>
          <w:bCs/>
          <w:lang w:eastAsia="en-AU"/>
        </w:rPr>
        <w:br/>
        <w:t xml:space="preserve">BE IT RESOLVED </w:t>
      </w:r>
      <w:r w:rsidRPr="009A0DA6">
        <w:rPr>
          <w:rFonts w:ascii="Cambria" w:eastAsia="Calibri" w:hAnsi="Cambria" w:cs="Calibri"/>
        </w:rPr>
        <w:t>t</w:t>
      </w:r>
      <w:r w:rsidRPr="009A0DA6">
        <w:rPr>
          <w:rFonts w:ascii="Cambria" w:eastAsia="Calibri" w:hAnsi="Cambria" w:cs="Calibri"/>
          <w:spacing w:val="-2"/>
        </w:rPr>
        <w:t>h</w:t>
      </w:r>
      <w:r w:rsidRPr="009A0DA6">
        <w:rPr>
          <w:rFonts w:ascii="Cambria" w:eastAsia="Calibri" w:hAnsi="Cambria" w:cs="Calibri"/>
        </w:rPr>
        <w:t>at</w:t>
      </w:r>
      <w:r w:rsidRPr="009A0DA6">
        <w:rPr>
          <w:rFonts w:ascii="Cambria" w:eastAsia="Calibri" w:hAnsi="Cambria" w:cs="Calibri"/>
          <w:spacing w:val="-1"/>
        </w:rPr>
        <w:t xml:space="preserve"> n</w:t>
      </w:r>
      <w:r w:rsidRPr="009A0DA6">
        <w:rPr>
          <w:rFonts w:ascii="Cambria" w:eastAsia="Calibri" w:hAnsi="Cambria" w:cs="Calibri"/>
        </w:rPr>
        <w:t>o furt</w:t>
      </w:r>
      <w:r w:rsidRPr="009A0DA6">
        <w:rPr>
          <w:rFonts w:ascii="Cambria" w:eastAsia="Calibri" w:hAnsi="Cambria" w:cs="Calibri"/>
          <w:spacing w:val="-2"/>
        </w:rPr>
        <w:t>h</w:t>
      </w:r>
      <w:r w:rsidRPr="009A0DA6">
        <w:rPr>
          <w:rFonts w:ascii="Cambria" w:eastAsia="Calibri" w:hAnsi="Cambria" w:cs="Calibri"/>
        </w:rPr>
        <w:t>er</w:t>
      </w:r>
      <w:r w:rsidRPr="009A0DA6">
        <w:rPr>
          <w:rFonts w:ascii="Cambria" w:eastAsia="Calibri" w:hAnsi="Cambria" w:cs="Calibri"/>
          <w:spacing w:val="-1"/>
        </w:rPr>
        <w:t xml:space="preserve"> d</w:t>
      </w:r>
      <w:r w:rsidRPr="009A0DA6">
        <w:rPr>
          <w:rFonts w:ascii="Cambria" w:eastAsia="Calibri" w:hAnsi="Cambria" w:cs="Calibri"/>
        </w:rPr>
        <w:t>isc</w:t>
      </w:r>
      <w:r w:rsidRPr="009A0DA6">
        <w:rPr>
          <w:rFonts w:ascii="Cambria" w:eastAsia="Calibri" w:hAnsi="Cambria" w:cs="Calibri"/>
          <w:spacing w:val="1"/>
        </w:rPr>
        <w:t>u</w:t>
      </w:r>
      <w:r w:rsidRPr="009A0DA6">
        <w:rPr>
          <w:rFonts w:ascii="Cambria" w:eastAsia="Calibri" w:hAnsi="Cambria" w:cs="Calibri"/>
        </w:rPr>
        <w:t>s</w:t>
      </w:r>
      <w:r w:rsidRPr="009A0DA6">
        <w:rPr>
          <w:rFonts w:ascii="Cambria" w:eastAsia="Calibri" w:hAnsi="Cambria" w:cs="Calibri"/>
          <w:spacing w:val="1"/>
        </w:rPr>
        <w:t>s</w:t>
      </w:r>
      <w:r w:rsidRPr="009A0DA6">
        <w:rPr>
          <w:rFonts w:ascii="Cambria" w:eastAsia="Calibri" w:hAnsi="Cambria" w:cs="Calibri"/>
        </w:rPr>
        <w:t>i</w:t>
      </w:r>
      <w:r w:rsidRPr="009A0DA6">
        <w:rPr>
          <w:rFonts w:ascii="Cambria" w:eastAsia="Calibri" w:hAnsi="Cambria" w:cs="Calibri"/>
          <w:spacing w:val="1"/>
        </w:rPr>
        <w:t>o</w:t>
      </w:r>
      <w:r w:rsidRPr="009A0DA6">
        <w:rPr>
          <w:rFonts w:ascii="Cambria" w:eastAsia="Calibri" w:hAnsi="Cambria" w:cs="Calibri"/>
        </w:rPr>
        <w:t>n</w:t>
      </w:r>
      <w:r w:rsidRPr="009A0DA6">
        <w:rPr>
          <w:rFonts w:ascii="Cambria" w:eastAsia="Calibri" w:hAnsi="Cambria" w:cs="Calibri"/>
          <w:spacing w:val="-2"/>
        </w:rPr>
        <w:t xml:space="preserve"> </w:t>
      </w:r>
      <w:r w:rsidRPr="009A0DA6">
        <w:rPr>
          <w:rFonts w:ascii="Cambria" w:eastAsia="Calibri" w:hAnsi="Cambria" w:cs="Calibri"/>
          <w:spacing w:val="-1"/>
        </w:rPr>
        <w:t>c</w:t>
      </w:r>
      <w:r w:rsidRPr="009A0DA6">
        <w:rPr>
          <w:rFonts w:ascii="Cambria" w:eastAsia="Calibri" w:hAnsi="Cambria" w:cs="Calibri"/>
        </w:rPr>
        <w:t>ome</w:t>
      </w:r>
      <w:r w:rsidRPr="009A0DA6">
        <w:rPr>
          <w:rFonts w:ascii="Cambria" w:eastAsia="Calibri" w:hAnsi="Cambria" w:cs="Calibri"/>
          <w:spacing w:val="-2"/>
        </w:rPr>
        <w:t xml:space="preserve"> </w:t>
      </w:r>
      <w:r w:rsidRPr="009A0DA6">
        <w:rPr>
          <w:rFonts w:ascii="Cambria" w:eastAsia="Calibri" w:hAnsi="Cambria" w:cs="Calibri"/>
          <w:spacing w:val="-1"/>
        </w:rPr>
        <w:t>b</w:t>
      </w:r>
      <w:r w:rsidRPr="009A0DA6">
        <w:rPr>
          <w:rFonts w:ascii="Cambria" w:eastAsia="Calibri" w:hAnsi="Cambria" w:cs="Calibri"/>
        </w:rPr>
        <w:t>ef</w:t>
      </w:r>
      <w:r w:rsidRPr="009A0DA6">
        <w:rPr>
          <w:rFonts w:ascii="Cambria" w:eastAsia="Calibri" w:hAnsi="Cambria" w:cs="Calibri"/>
          <w:spacing w:val="1"/>
        </w:rPr>
        <w:t>o</w:t>
      </w:r>
      <w:r w:rsidRPr="009A0DA6">
        <w:rPr>
          <w:rFonts w:ascii="Cambria" w:eastAsia="Calibri" w:hAnsi="Cambria" w:cs="Calibri"/>
        </w:rPr>
        <w:t>re</w:t>
      </w:r>
      <w:r w:rsidRPr="009A0DA6">
        <w:rPr>
          <w:rFonts w:ascii="Cambria" w:eastAsia="Calibri" w:hAnsi="Cambria" w:cs="Calibri"/>
          <w:spacing w:val="-1"/>
        </w:rPr>
        <w:t xml:space="preserve"> </w:t>
      </w:r>
      <w:r w:rsidRPr="009A0DA6">
        <w:rPr>
          <w:rFonts w:ascii="Cambria" w:eastAsia="Calibri" w:hAnsi="Cambria" w:cs="Calibri"/>
        </w:rPr>
        <w:t>S</w:t>
      </w:r>
      <w:r w:rsidRPr="009A0DA6">
        <w:rPr>
          <w:rFonts w:ascii="Cambria" w:eastAsia="Calibri" w:hAnsi="Cambria" w:cs="Calibri"/>
          <w:spacing w:val="-2"/>
        </w:rPr>
        <w:t>y</w:t>
      </w:r>
      <w:r w:rsidRPr="009A0DA6">
        <w:rPr>
          <w:rFonts w:ascii="Cambria" w:eastAsia="Calibri" w:hAnsi="Cambria" w:cs="Calibri"/>
          <w:spacing w:val="-1"/>
        </w:rPr>
        <w:t>n</w:t>
      </w:r>
      <w:r w:rsidRPr="009A0DA6">
        <w:rPr>
          <w:rFonts w:ascii="Cambria" w:eastAsia="Calibri" w:hAnsi="Cambria" w:cs="Calibri"/>
        </w:rPr>
        <w:t>od</w:t>
      </w:r>
      <w:r w:rsidRPr="009A0DA6">
        <w:rPr>
          <w:rFonts w:ascii="Cambria" w:eastAsia="Calibri" w:hAnsi="Cambria" w:cs="Calibri"/>
          <w:spacing w:val="-1"/>
        </w:rPr>
        <w:t xml:space="preserve"> </w:t>
      </w:r>
      <w:r w:rsidRPr="009A0DA6">
        <w:rPr>
          <w:rFonts w:ascii="Cambria" w:eastAsia="Calibri" w:hAnsi="Cambria" w:cs="Calibri"/>
        </w:rPr>
        <w:t>to a</w:t>
      </w:r>
      <w:r w:rsidRPr="009A0DA6">
        <w:rPr>
          <w:rFonts w:ascii="Cambria" w:eastAsia="Calibri" w:hAnsi="Cambria" w:cs="Calibri"/>
          <w:spacing w:val="-2"/>
        </w:rPr>
        <w:t>m</w:t>
      </w:r>
      <w:r w:rsidRPr="009A0DA6">
        <w:rPr>
          <w:rFonts w:ascii="Cambria" w:eastAsia="Calibri" w:hAnsi="Cambria" w:cs="Calibri"/>
        </w:rPr>
        <w:t>e</w:t>
      </w:r>
      <w:r w:rsidRPr="009A0DA6">
        <w:rPr>
          <w:rFonts w:ascii="Cambria" w:eastAsia="Calibri" w:hAnsi="Cambria" w:cs="Calibri"/>
          <w:spacing w:val="-2"/>
        </w:rPr>
        <w:t>n</w:t>
      </w:r>
      <w:r w:rsidRPr="009A0DA6">
        <w:rPr>
          <w:rFonts w:ascii="Cambria" w:eastAsia="Calibri" w:hAnsi="Cambria" w:cs="Calibri"/>
        </w:rPr>
        <w:t>d t</w:t>
      </w:r>
      <w:r w:rsidRPr="009A0DA6">
        <w:rPr>
          <w:rFonts w:ascii="Cambria" w:eastAsia="Calibri" w:hAnsi="Cambria" w:cs="Calibri"/>
          <w:spacing w:val="-2"/>
        </w:rPr>
        <w:t>h</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spacing w:val="2"/>
        </w:rPr>
        <w:t>T</w:t>
      </w:r>
      <w:r w:rsidRPr="009A0DA6">
        <w:rPr>
          <w:rFonts w:ascii="Cambria" w:eastAsia="Calibri" w:hAnsi="Cambria" w:cs="Calibri"/>
          <w:spacing w:val="1"/>
        </w:rPr>
        <w:t>h</w:t>
      </w:r>
      <w:r w:rsidRPr="009A0DA6">
        <w:rPr>
          <w:rFonts w:ascii="Cambria" w:eastAsia="Calibri" w:hAnsi="Cambria" w:cs="Calibri"/>
        </w:rPr>
        <w:t>eses</w:t>
      </w:r>
      <w:r w:rsidRPr="009A0DA6">
        <w:rPr>
          <w:rFonts w:ascii="Cambria" w:eastAsia="Calibri" w:hAnsi="Cambria" w:cs="Calibri"/>
          <w:spacing w:val="-1"/>
        </w:rPr>
        <w:t xml:space="preserve"> </w:t>
      </w:r>
      <w:r w:rsidRPr="009A0DA6">
        <w:rPr>
          <w:rFonts w:ascii="Cambria" w:eastAsia="Calibri" w:hAnsi="Cambria" w:cs="Calibri"/>
        </w:rPr>
        <w:t>of A</w:t>
      </w:r>
      <w:r w:rsidRPr="009A0DA6">
        <w:rPr>
          <w:rFonts w:ascii="Cambria" w:eastAsia="Calibri" w:hAnsi="Cambria" w:cs="Calibri"/>
          <w:spacing w:val="-2"/>
        </w:rPr>
        <w:t>g</w:t>
      </w:r>
      <w:r w:rsidRPr="009A0DA6">
        <w:rPr>
          <w:rFonts w:ascii="Cambria" w:eastAsia="Calibri" w:hAnsi="Cambria" w:cs="Calibri"/>
        </w:rPr>
        <w:t>ree</w:t>
      </w:r>
      <w:r w:rsidRPr="009A0DA6">
        <w:rPr>
          <w:rFonts w:ascii="Cambria" w:eastAsia="Calibri" w:hAnsi="Cambria" w:cs="Calibri"/>
          <w:spacing w:val="-1"/>
        </w:rPr>
        <w:t>m</w:t>
      </w:r>
      <w:r w:rsidRPr="009A0DA6">
        <w:rPr>
          <w:rFonts w:ascii="Cambria" w:eastAsia="Calibri" w:hAnsi="Cambria" w:cs="Calibri"/>
        </w:rPr>
        <w:t>e</w:t>
      </w:r>
      <w:r w:rsidRPr="009A0DA6">
        <w:rPr>
          <w:rFonts w:ascii="Cambria" w:eastAsia="Calibri" w:hAnsi="Cambria" w:cs="Calibri"/>
          <w:spacing w:val="-2"/>
        </w:rPr>
        <w:t>n</w:t>
      </w:r>
      <w:r w:rsidRPr="009A0DA6">
        <w:rPr>
          <w:rFonts w:ascii="Cambria" w:eastAsia="Calibri" w:hAnsi="Cambria" w:cs="Calibri"/>
        </w:rPr>
        <w:t>t</w:t>
      </w:r>
      <w:r w:rsidRPr="009A0DA6">
        <w:rPr>
          <w:rFonts w:ascii="Cambria" w:eastAsia="Calibri" w:hAnsi="Cambria" w:cs="Calibri"/>
          <w:spacing w:val="-1"/>
        </w:rPr>
        <w:t xml:space="preserve"> </w:t>
      </w:r>
      <w:r w:rsidRPr="009A0DA6">
        <w:rPr>
          <w:rFonts w:ascii="Cambria" w:eastAsia="Calibri" w:hAnsi="Cambria" w:cs="Calibri"/>
        </w:rPr>
        <w:t>VI regar</w:t>
      </w:r>
      <w:r w:rsidRPr="009A0DA6">
        <w:rPr>
          <w:rFonts w:ascii="Cambria" w:eastAsia="Calibri" w:hAnsi="Cambria" w:cs="Calibri"/>
          <w:spacing w:val="-1"/>
        </w:rPr>
        <w:t>d</w:t>
      </w:r>
      <w:r w:rsidRPr="009A0DA6">
        <w:rPr>
          <w:rFonts w:ascii="Cambria" w:eastAsia="Calibri" w:hAnsi="Cambria" w:cs="Calibri"/>
        </w:rPr>
        <w:t>ing</w:t>
      </w:r>
      <w:r w:rsidRPr="009A0DA6">
        <w:rPr>
          <w:rFonts w:ascii="Cambria" w:eastAsia="Calibri" w:hAnsi="Cambria" w:cs="Calibri"/>
          <w:spacing w:val="-2"/>
        </w:rPr>
        <w:t xml:space="preserve"> </w:t>
      </w:r>
      <w:r w:rsidRPr="009A0DA6">
        <w:rPr>
          <w:rFonts w:ascii="Cambria" w:eastAsia="Calibri" w:hAnsi="Cambria" w:cs="Calibri"/>
        </w:rPr>
        <w:t>t</w:t>
      </w:r>
      <w:r w:rsidRPr="009A0DA6">
        <w:rPr>
          <w:rFonts w:ascii="Cambria" w:eastAsia="Calibri" w:hAnsi="Cambria" w:cs="Calibri"/>
          <w:spacing w:val="-2"/>
        </w:rPr>
        <w:t>h</w:t>
      </w:r>
      <w:r w:rsidRPr="009A0DA6">
        <w:rPr>
          <w:rFonts w:ascii="Cambria" w:eastAsia="Calibri" w:hAnsi="Cambria" w:cs="Calibri"/>
        </w:rPr>
        <w:t>e</w:t>
      </w:r>
      <w:r w:rsidRPr="009A0DA6">
        <w:rPr>
          <w:rFonts w:ascii="Cambria" w:eastAsia="Calibri" w:hAnsi="Cambria" w:cs="Calibri"/>
          <w:spacing w:val="-1"/>
        </w:rPr>
        <w:t xml:space="preserve"> O</w:t>
      </w:r>
      <w:r w:rsidRPr="009A0DA6">
        <w:rPr>
          <w:rFonts w:ascii="Cambria" w:eastAsia="Calibri" w:hAnsi="Cambria" w:cs="Calibri"/>
        </w:rPr>
        <w:t>f</w:t>
      </w:r>
      <w:r w:rsidRPr="009A0DA6">
        <w:rPr>
          <w:rFonts w:ascii="Cambria" w:eastAsia="Calibri" w:hAnsi="Cambria" w:cs="Calibri"/>
          <w:spacing w:val="1"/>
        </w:rPr>
        <w:t>f</w:t>
      </w:r>
      <w:r w:rsidRPr="009A0DA6">
        <w:rPr>
          <w:rFonts w:ascii="Cambria" w:eastAsia="Calibri" w:hAnsi="Cambria" w:cs="Calibri"/>
        </w:rPr>
        <w:t>i</w:t>
      </w:r>
      <w:r w:rsidRPr="009A0DA6">
        <w:rPr>
          <w:rFonts w:ascii="Cambria" w:eastAsia="Calibri" w:hAnsi="Cambria" w:cs="Calibri"/>
          <w:spacing w:val="-1"/>
        </w:rPr>
        <w:t>c</w:t>
      </w:r>
      <w:r w:rsidRPr="009A0DA6">
        <w:rPr>
          <w:rFonts w:ascii="Cambria" w:eastAsia="Calibri" w:hAnsi="Cambria" w:cs="Calibri"/>
        </w:rPr>
        <w:t xml:space="preserve">e </w:t>
      </w:r>
      <w:r w:rsidRPr="009A0DA6">
        <w:rPr>
          <w:rFonts w:ascii="Cambria" w:eastAsia="Calibri" w:hAnsi="Cambria" w:cs="Calibri"/>
          <w:spacing w:val="1"/>
        </w:rPr>
        <w:t>o</w:t>
      </w:r>
      <w:r w:rsidRPr="009A0DA6">
        <w:rPr>
          <w:rFonts w:ascii="Cambria" w:eastAsia="Calibri" w:hAnsi="Cambria" w:cs="Calibri"/>
        </w:rPr>
        <w:t>f t</w:t>
      </w:r>
      <w:r w:rsidRPr="009A0DA6">
        <w:rPr>
          <w:rFonts w:ascii="Cambria" w:eastAsia="Calibri" w:hAnsi="Cambria" w:cs="Calibri"/>
          <w:spacing w:val="-2"/>
        </w:rPr>
        <w:t>h</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rPr>
        <w:t>Mi</w:t>
      </w:r>
      <w:r w:rsidRPr="009A0DA6">
        <w:rPr>
          <w:rFonts w:ascii="Cambria" w:eastAsia="Calibri" w:hAnsi="Cambria" w:cs="Calibri"/>
          <w:spacing w:val="-1"/>
        </w:rPr>
        <w:t>n</w:t>
      </w:r>
      <w:r w:rsidRPr="009A0DA6">
        <w:rPr>
          <w:rFonts w:ascii="Cambria" w:eastAsia="Calibri" w:hAnsi="Cambria" w:cs="Calibri"/>
        </w:rPr>
        <w:t>istry.</w:t>
      </w:r>
      <w:r w:rsidR="00D04794" w:rsidRPr="009A0DA6">
        <w:rPr>
          <w:rFonts w:ascii="Cambria" w:eastAsia="Calibri" w:hAnsi="Cambria" w:cs="Calibri"/>
        </w:rPr>
        <w:br/>
      </w:r>
    </w:p>
    <w:p w14:paraId="6D5610AE" w14:textId="77777777" w:rsidR="00680D5E" w:rsidRPr="009A0DA6" w:rsidRDefault="00680D5E" w:rsidP="00D04794">
      <w:pPr>
        <w:pStyle w:val="Heading3"/>
        <w:rPr>
          <w:rFonts w:eastAsia="SimSun" w:cs="F"/>
        </w:rPr>
      </w:pPr>
      <w:r w:rsidRPr="009A0DA6">
        <w:t>REASONS FOR THE MOTION</w:t>
      </w:r>
    </w:p>
    <w:p w14:paraId="19CAD6AE" w14:textId="44F13BB7" w:rsidR="00680D5E" w:rsidRPr="009A0DA6" w:rsidRDefault="00680D5E" w:rsidP="00F55252">
      <w:pPr>
        <w:pStyle w:val="ListParagraph"/>
        <w:numPr>
          <w:ilvl w:val="0"/>
          <w:numId w:val="131"/>
        </w:numPr>
        <w:spacing w:after="0"/>
        <w:ind w:left="567" w:right="213" w:hanging="567"/>
        <w:rPr>
          <w:rFonts w:ascii="Cambria" w:eastAsia="Calibri" w:hAnsi="Cambria" w:cs="Calibri"/>
        </w:rPr>
      </w:pPr>
      <w:r w:rsidRPr="009A0DA6">
        <w:rPr>
          <w:rFonts w:ascii="Cambria" w:eastAsia="Calibri" w:hAnsi="Cambria" w:cs="Calibri"/>
        </w:rPr>
        <w:t>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2"/>
        </w:rPr>
        <w:t xml:space="preserve"> </w:t>
      </w:r>
      <w:r w:rsidRPr="009A0DA6">
        <w:rPr>
          <w:rFonts w:ascii="Cambria" w:eastAsia="Calibri" w:hAnsi="Cambria" w:cs="Calibri"/>
        </w:rPr>
        <w:t>in</w:t>
      </w:r>
      <w:r w:rsidRPr="009A0DA6">
        <w:rPr>
          <w:rFonts w:ascii="Cambria" w:eastAsia="Calibri" w:hAnsi="Cambria" w:cs="Calibri"/>
          <w:spacing w:val="-1"/>
        </w:rPr>
        <w:t>au</w:t>
      </w:r>
      <w:r w:rsidRPr="009A0DA6">
        <w:rPr>
          <w:rFonts w:ascii="Cambria" w:eastAsia="Calibri" w:hAnsi="Cambria" w:cs="Calibri"/>
        </w:rPr>
        <w:t>g</w:t>
      </w:r>
      <w:r w:rsidRPr="009A0DA6">
        <w:rPr>
          <w:rFonts w:ascii="Cambria" w:eastAsia="Calibri" w:hAnsi="Cambria" w:cs="Calibri"/>
          <w:spacing w:val="-1"/>
        </w:rPr>
        <w:t>u</w:t>
      </w:r>
      <w:r w:rsidRPr="009A0DA6">
        <w:rPr>
          <w:rFonts w:ascii="Cambria" w:eastAsia="Calibri" w:hAnsi="Cambria" w:cs="Calibri"/>
        </w:rPr>
        <w:t>ral Sy</w:t>
      </w:r>
      <w:r w:rsidRPr="009A0DA6">
        <w:rPr>
          <w:rFonts w:ascii="Cambria" w:eastAsia="Calibri" w:hAnsi="Cambria" w:cs="Calibri"/>
          <w:spacing w:val="-1"/>
        </w:rPr>
        <w:t>n</w:t>
      </w:r>
      <w:r w:rsidRPr="009A0DA6">
        <w:rPr>
          <w:rFonts w:ascii="Cambria" w:eastAsia="Calibri" w:hAnsi="Cambria" w:cs="Calibri"/>
        </w:rPr>
        <w:t>od</w:t>
      </w:r>
      <w:r w:rsidRPr="009A0DA6">
        <w:rPr>
          <w:rFonts w:ascii="Cambria" w:eastAsia="Calibri" w:hAnsi="Cambria" w:cs="Calibri"/>
          <w:spacing w:val="-1"/>
        </w:rPr>
        <w:t xml:space="preserve"> </w:t>
      </w:r>
      <w:r w:rsidRPr="009A0DA6">
        <w:rPr>
          <w:rFonts w:ascii="Cambria" w:eastAsia="Calibri" w:hAnsi="Cambria" w:cs="Calibri"/>
        </w:rPr>
        <w:t>in</w:t>
      </w:r>
      <w:r w:rsidRPr="009A0DA6">
        <w:rPr>
          <w:rFonts w:ascii="Cambria" w:eastAsia="Calibri" w:hAnsi="Cambria" w:cs="Calibri"/>
          <w:spacing w:val="-2"/>
        </w:rPr>
        <w:t xml:space="preserve"> </w:t>
      </w:r>
      <w:r w:rsidRPr="009A0DA6">
        <w:rPr>
          <w:rFonts w:ascii="Cambria" w:eastAsia="Calibri" w:hAnsi="Cambria" w:cs="Calibri"/>
        </w:rPr>
        <w:t>1</w:t>
      </w:r>
      <w:r w:rsidRPr="009A0DA6">
        <w:rPr>
          <w:rFonts w:ascii="Cambria" w:eastAsia="Calibri" w:hAnsi="Cambria" w:cs="Calibri"/>
          <w:spacing w:val="-1"/>
        </w:rPr>
        <w:t>9</w:t>
      </w:r>
      <w:r w:rsidRPr="009A0DA6">
        <w:rPr>
          <w:rFonts w:ascii="Cambria" w:eastAsia="Calibri" w:hAnsi="Cambria" w:cs="Calibri"/>
        </w:rPr>
        <w:t>6</w:t>
      </w:r>
      <w:r w:rsidRPr="009A0DA6">
        <w:rPr>
          <w:rFonts w:ascii="Cambria" w:eastAsia="Calibri" w:hAnsi="Cambria" w:cs="Calibri"/>
          <w:spacing w:val="-1"/>
        </w:rPr>
        <w:t>6</w:t>
      </w:r>
      <w:r w:rsidRPr="009A0DA6">
        <w:rPr>
          <w:rFonts w:ascii="Cambria" w:eastAsia="Calibri" w:hAnsi="Cambria" w:cs="Calibri"/>
        </w:rPr>
        <w:t xml:space="preserve">, </w:t>
      </w:r>
      <w:r w:rsidRPr="009A0DA6">
        <w:rPr>
          <w:rFonts w:ascii="Cambria" w:eastAsia="Calibri" w:hAnsi="Cambria" w:cs="Calibri"/>
          <w:spacing w:val="-1"/>
        </w:rPr>
        <w:t>b</w:t>
      </w:r>
      <w:r w:rsidRPr="009A0DA6">
        <w:rPr>
          <w:rFonts w:ascii="Cambria" w:eastAsia="Calibri" w:hAnsi="Cambria" w:cs="Calibri"/>
        </w:rPr>
        <w:t>ringi</w:t>
      </w:r>
      <w:r w:rsidRPr="009A0DA6">
        <w:rPr>
          <w:rFonts w:ascii="Cambria" w:eastAsia="Calibri" w:hAnsi="Cambria" w:cs="Calibri"/>
          <w:spacing w:val="-1"/>
        </w:rPr>
        <w:t>n</w:t>
      </w:r>
      <w:r w:rsidRPr="009A0DA6">
        <w:rPr>
          <w:rFonts w:ascii="Cambria" w:eastAsia="Calibri" w:hAnsi="Cambria" w:cs="Calibri"/>
        </w:rPr>
        <w:t>g</w:t>
      </w:r>
      <w:r w:rsidRPr="009A0DA6">
        <w:rPr>
          <w:rFonts w:ascii="Cambria" w:eastAsia="Calibri" w:hAnsi="Cambria" w:cs="Calibri"/>
          <w:spacing w:val="-1"/>
        </w:rPr>
        <w:t xml:space="preserve"> </w:t>
      </w:r>
      <w:r w:rsidRPr="009A0DA6">
        <w:rPr>
          <w:rFonts w:ascii="Cambria" w:eastAsia="Calibri" w:hAnsi="Cambria" w:cs="Calibri"/>
        </w:rPr>
        <w:t>t</w:t>
      </w:r>
      <w:r w:rsidRPr="009A0DA6">
        <w:rPr>
          <w:rFonts w:ascii="Cambria" w:eastAsia="Calibri" w:hAnsi="Cambria" w:cs="Calibri"/>
          <w:spacing w:val="-2"/>
        </w:rPr>
        <w:t>h</w:t>
      </w:r>
      <w:r w:rsidRPr="009A0DA6">
        <w:rPr>
          <w:rFonts w:ascii="Cambria" w:eastAsia="Calibri" w:hAnsi="Cambria" w:cs="Calibri"/>
        </w:rPr>
        <w:t>e</w:t>
      </w:r>
      <w:r w:rsidRPr="009A0DA6">
        <w:rPr>
          <w:rFonts w:ascii="Cambria" w:eastAsia="Calibri" w:hAnsi="Cambria" w:cs="Calibri"/>
          <w:spacing w:val="3"/>
        </w:rPr>
        <w:t xml:space="preserve"> </w:t>
      </w:r>
      <w:r w:rsidRPr="009A0DA6">
        <w:rPr>
          <w:rFonts w:ascii="Cambria" w:eastAsia="Calibri" w:hAnsi="Cambria" w:cs="Calibri"/>
        </w:rPr>
        <w:t>EL</w:t>
      </w:r>
      <w:r w:rsidRPr="009A0DA6">
        <w:rPr>
          <w:rFonts w:ascii="Cambria" w:eastAsia="Calibri" w:hAnsi="Cambria" w:cs="Calibri"/>
          <w:spacing w:val="-2"/>
        </w:rPr>
        <w:t>C</w:t>
      </w:r>
      <w:r w:rsidRPr="009A0DA6">
        <w:rPr>
          <w:rFonts w:ascii="Cambria" w:eastAsia="Calibri" w:hAnsi="Cambria" w:cs="Calibri"/>
        </w:rPr>
        <w:t>A a</w:t>
      </w:r>
      <w:r w:rsidRPr="009A0DA6">
        <w:rPr>
          <w:rFonts w:ascii="Cambria" w:eastAsia="Calibri" w:hAnsi="Cambria" w:cs="Calibri"/>
          <w:spacing w:val="-2"/>
        </w:rPr>
        <w:t>n</w:t>
      </w:r>
      <w:r w:rsidRPr="009A0DA6">
        <w:rPr>
          <w:rFonts w:ascii="Cambria" w:eastAsia="Calibri" w:hAnsi="Cambria" w:cs="Calibri"/>
        </w:rPr>
        <w:t>d</w:t>
      </w:r>
      <w:r w:rsidRPr="009A0DA6">
        <w:rPr>
          <w:rFonts w:ascii="Cambria" w:eastAsia="Calibri" w:hAnsi="Cambria" w:cs="Calibri"/>
          <w:spacing w:val="-2"/>
        </w:rPr>
        <w:t xml:space="preserve"> </w:t>
      </w:r>
      <w:r w:rsidRPr="009A0DA6">
        <w:rPr>
          <w:rFonts w:ascii="Cambria" w:eastAsia="Calibri" w:hAnsi="Cambria" w:cs="Calibri"/>
        </w:rPr>
        <w:t>t</w:t>
      </w:r>
      <w:r w:rsidRPr="009A0DA6">
        <w:rPr>
          <w:rFonts w:ascii="Cambria" w:eastAsia="Calibri" w:hAnsi="Cambria" w:cs="Calibri"/>
          <w:spacing w:val="-2"/>
        </w:rPr>
        <w:t>h</w:t>
      </w:r>
      <w:r w:rsidRPr="009A0DA6">
        <w:rPr>
          <w:rFonts w:ascii="Cambria" w:eastAsia="Calibri" w:hAnsi="Cambria" w:cs="Calibri"/>
        </w:rPr>
        <w:t>e UEL</w:t>
      </w:r>
      <w:r w:rsidRPr="009A0DA6">
        <w:rPr>
          <w:rFonts w:ascii="Cambria" w:eastAsia="Calibri" w:hAnsi="Cambria" w:cs="Calibri"/>
          <w:spacing w:val="1"/>
        </w:rPr>
        <w:t>C</w:t>
      </w:r>
      <w:r w:rsidRPr="009A0DA6">
        <w:rPr>
          <w:rFonts w:ascii="Cambria" w:eastAsia="Calibri" w:hAnsi="Cambria" w:cs="Calibri"/>
        </w:rPr>
        <w:t>A</w:t>
      </w:r>
      <w:r w:rsidRPr="009A0DA6">
        <w:rPr>
          <w:rFonts w:ascii="Cambria" w:eastAsia="Calibri" w:hAnsi="Cambria" w:cs="Calibri"/>
          <w:spacing w:val="2"/>
        </w:rPr>
        <w:t xml:space="preserve"> </w:t>
      </w:r>
      <w:r w:rsidRPr="009A0DA6">
        <w:rPr>
          <w:rFonts w:ascii="Cambria" w:eastAsia="Calibri" w:hAnsi="Cambria" w:cs="Calibri"/>
        </w:rPr>
        <w:t>toge</w:t>
      </w:r>
      <w:r w:rsidRPr="009A0DA6">
        <w:rPr>
          <w:rFonts w:ascii="Cambria" w:eastAsia="Calibri" w:hAnsi="Cambria" w:cs="Calibri"/>
          <w:spacing w:val="-1"/>
        </w:rPr>
        <w:t>th</w:t>
      </w:r>
      <w:r w:rsidRPr="009A0DA6">
        <w:rPr>
          <w:rFonts w:ascii="Cambria" w:eastAsia="Calibri" w:hAnsi="Cambria" w:cs="Calibri"/>
        </w:rPr>
        <w:t xml:space="preserve">er, after </w:t>
      </w:r>
      <w:r w:rsidRPr="009A0DA6">
        <w:rPr>
          <w:rFonts w:ascii="Cambria" w:eastAsia="Calibri" w:hAnsi="Cambria" w:cs="Calibri"/>
          <w:spacing w:val="-1"/>
        </w:rPr>
        <w:t>p</w:t>
      </w:r>
      <w:r w:rsidRPr="009A0DA6">
        <w:rPr>
          <w:rFonts w:ascii="Cambria" w:eastAsia="Calibri" w:hAnsi="Cambria" w:cs="Calibri"/>
        </w:rPr>
        <w:t xml:space="preserve">rayerful </w:t>
      </w:r>
      <w:r w:rsidRPr="009A0DA6">
        <w:rPr>
          <w:rFonts w:ascii="Cambria" w:eastAsia="Calibri" w:hAnsi="Cambria" w:cs="Calibri"/>
          <w:spacing w:val="-1"/>
        </w:rPr>
        <w:t>c</w:t>
      </w:r>
      <w:r w:rsidRPr="009A0DA6">
        <w:rPr>
          <w:rFonts w:ascii="Cambria" w:eastAsia="Calibri" w:hAnsi="Cambria" w:cs="Calibri"/>
        </w:rPr>
        <w:t>onsid</w:t>
      </w:r>
      <w:r w:rsidRPr="009A0DA6">
        <w:rPr>
          <w:rFonts w:ascii="Cambria" w:eastAsia="Calibri" w:hAnsi="Cambria" w:cs="Calibri"/>
          <w:spacing w:val="-1"/>
        </w:rPr>
        <w:t>e</w:t>
      </w:r>
      <w:r w:rsidRPr="009A0DA6">
        <w:rPr>
          <w:rFonts w:ascii="Cambria" w:eastAsia="Calibri" w:hAnsi="Cambria" w:cs="Calibri"/>
        </w:rPr>
        <w:t>rat</w:t>
      </w:r>
      <w:r w:rsidRPr="009A0DA6">
        <w:rPr>
          <w:rFonts w:ascii="Cambria" w:eastAsia="Calibri" w:hAnsi="Cambria" w:cs="Calibri"/>
          <w:spacing w:val="-2"/>
        </w:rPr>
        <w:t>i</w:t>
      </w:r>
      <w:r w:rsidRPr="009A0DA6">
        <w:rPr>
          <w:rFonts w:ascii="Cambria" w:eastAsia="Calibri" w:hAnsi="Cambria" w:cs="Calibri"/>
        </w:rPr>
        <w:t>on</w:t>
      </w:r>
      <w:r w:rsidRPr="009A0DA6">
        <w:rPr>
          <w:rFonts w:ascii="Cambria" w:eastAsia="Calibri" w:hAnsi="Cambria" w:cs="Calibri"/>
          <w:spacing w:val="-1"/>
        </w:rPr>
        <w:t xml:space="preserve"> </w:t>
      </w:r>
      <w:r w:rsidRPr="009A0DA6">
        <w:rPr>
          <w:rFonts w:ascii="Cambria" w:eastAsia="Calibri" w:hAnsi="Cambria" w:cs="Calibri"/>
        </w:rPr>
        <w:t>agre</w:t>
      </w:r>
      <w:r w:rsidRPr="009A0DA6">
        <w:rPr>
          <w:rFonts w:ascii="Cambria" w:eastAsia="Calibri" w:hAnsi="Cambria" w:cs="Calibri"/>
          <w:spacing w:val="-1"/>
        </w:rPr>
        <w:t>e</w:t>
      </w:r>
      <w:r w:rsidRPr="009A0DA6">
        <w:rPr>
          <w:rFonts w:ascii="Cambria" w:eastAsia="Calibri" w:hAnsi="Cambria" w:cs="Calibri"/>
        </w:rPr>
        <w:t>d</w:t>
      </w:r>
      <w:r w:rsidRPr="009A0DA6">
        <w:rPr>
          <w:rFonts w:ascii="Cambria" w:eastAsia="Calibri" w:hAnsi="Cambria" w:cs="Calibri"/>
          <w:spacing w:val="-2"/>
        </w:rPr>
        <w:t xml:space="preserve"> </w:t>
      </w:r>
      <w:r w:rsidRPr="009A0DA6">
        <w:rPr>
          <w:rFonts w:ascii="Cambria" w:eastAsia="Calibri" w:hAnsi="Cambria" w:cs="Calibri"/>
        </w:rPr>
        <w:t>a</w:t>
      </w:r>
      <w:r w:rsidRPr="009A0DA6">
        <w:rPr>
          <w:rFonts w:ascii="Cambria" w:eastAsia="Calibri" w:hAnsi="Cambria" w:cs="Calibri"/>
          <w:spacing w:val="-1"/>
        </w:rPr>
        <w:t>n</w:t>
      </w:r>
      <w:r w:rsidRPr="009A0DA6">
        <w:rPr>
          <w:rFonts w:ascii="Cambria" w:eastAsia="Calibri" w:hAnsi="Cambria" w:cs="Calibri"/>
        </w:rPr>
        <w:t>d</w:t>
      </w:r>
      <w:r w:rsidRPr="009A0DA6">
        <w:rPr>
          <w:rFonts w:ascii="Cambria" w:eastAsia="Calibri" w:hAnsi="Cambria" w:cs="Calibri"/>
          <w:spacing w:val="-1"/>
        </w:rPr>
        <w:t xml:space="preserve"> </w:t>
      </w:r>
      <w:r w:rsidRPr="009A0DA6">
        <w:rPr>
          <w:rFonts w:ascii="Cambria" w:eastAsia="Calibri" w:hAnsi="Cambria" w:cs="Calibri"/>
        </w:rPr>
        <w:t>v</w:t>
      </w:r>
      <w:r w:rsidRPr="009A0DA6">
        <w:rPr>
          <w:rFonts w:ascii="Cambria" w:eastAsia="Calibri" w:hAnsi="Cambria" w:cs="Calibri"/>
          <w:spacing w:val="1"/>
        </w:rPr>
        <w:t>o</w:t>
      </w:r>
      <w:r w:rsidRPr="009A0DA6">
        <w:rPr>
          <w:rFonts w:ascii="Cambria" w:eastAsia="Calibri" w:hAnsi="Cambria" w:cs="Calibri"/>
        </w:rPr>
        <w:t>t</w:t>
      </w:r>
      <w:r w:rsidRPr="009A0DA6">
        <w:rPr>
          <w:rFonts w:ascii="Cambria" w:eastAsia="Calibri" w:hAnsi="Cambria" w:cs="Calibri"/>
          <w:spacing w:val="-1"/>
        </w:rPr>
        <w:t>e</w:t>
      </w:r>
      <w:r w:rsidRPr="009A0DA6">
        <w:rPr>
          <w:rFonts w:ascii="Cambria" w:eastAsia="Calibri" w:hAnsi="Cambria" w:cs="Calibri"/>
        </w:rPr>
        <w:t>d to a</w:t>
      </w:r>
      <w:r w:rsidRPr="009A0DA6">
        <w:rPr>
          <w:rFonts w:ascii="Cambria" w:eastAsia="Calibri" w:hAnsi="Cambria" w:cs="Calibri"/>
          <w:spacing w:val="-2"/>
        </w:rPr>
        <w:t>c</w:t>
      </w:r>
      <w:r w:rsidRPr="009A0DA6">
        <w:rPr>
          <w:rFonts w:ascii="Cambria" w:eastAsia="Calibri" w:hAnsi="Cambria" w:cs="Calibri"/>
          <w:spacing w:val="-1"/>
        </w:rPr>
        <w:t>c</w:t>
      </w:r>
      <w:r w:rsidRPr="009A0DA6">
        <w:rPr>
          <w:rFonts w:ascii="Cambria" w:eastAsia="Calibri" w:hAnsi="Cambria" w:cs="Calibri"/>
        </w:rPr>
        <w:t>e</w:t>
      </w:r>
      <w:r w:rsidRPr="009A0DA6">
        <w:rPr>
          <w:rFonts w:ascii="Cambria" w:eastAsia="Calibri" w:hAnsi="Cambria" w:cs="Calibri"/>
          <w:spacing w:val="-2"/>
        </w:rPr>
        <w:t>p</w:t>
      </w:r>
      <w:r w:rsidRPr="009A0DA6">
        <w:rPr>
          <w:rFonts w:ascii="Cambria" w:eastAsia="Calibri" w:hAnsi="Cambria" w:cs="Calibri"/>
        </w:rPr>
        <w:t>t</w:t>
      </w:r>
      <w:r w:rsidRPr="009A0DA6">
        <w:rPr>
          <w:rFonts w:ascii="Cambria" w:eastAsia="Calibri" w:hAnsi="Cambria" w:cs="Calibri"/>
          <w:spacing w:val="-1"/>
        </w:rPr>
        <w:t xml:space="preserve"> </w:t>
      </w:r>
      <w:r w:rsidRPr="009A0DA6">
        <w:rPr>
          <w:rFonts w:ascii="Cambria" w:eastAsia="Calibri" w:hAnsi="Cambria" w:cs="Calibri"/>
          <w:spacing w:val="2"/>
        </w:rPr>
        <w:t>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rPr>
        <w:t>T</w:t>
      </w:r>
      <w:r w:rsidRPr="009A0DA6">
        <w:rPr>
          <w:rFonts w:ascii="Cambria" w:eastAsia="Calibri" w:hAnsi="Cambria" w:cs="Calibri"/>
          <w:spacing w:val="-1"/>
        </w:rPr>
        <w:t>h</w:t>
      </w:r>
      <w:r w:rsidRPr="009A0DA6">
        <w:rPr>
          <w:rFonts w:ascii="Cambria" w:eastAsia="Calibri" w:hAnsi="Cambria" w:cs="Calibri"/>
        </w:rPr>
        <w:t>eses</w:t>
      </w:r>
      <w:r w:rsidRPr="009A0DA6">
        <w:rPr>
          <w:rFonts w:ascii="Cambria" w:eastAsia="Calibri" w:hAnsi="Cambria" w:cs="Calibri"/>
          <w:spacing w:val="1"/>
        </w:rPr>
        <w:t xml:space="preserve"> </w:t>
      </w:r>
      <w:r w:rsidRPr="009A0DA6">
        <w:rPr>
          <w:rFonts w:ascii="Cambria" w:eastAsia="Calibri" w:hAnsi="Cambria" w:cs="Calibri"/>
        </w:rPr>
        <w:t xml:space="preserve">of </w:t>
      </w:r>
      <w:r w:rsidRPr="009A0DA6">
        <w:rPr>
          <w:rFonts w:ascii="Cambria" w:eastAsia="Calibri" w:hAnsi="Cambria" w:cs="Calibri"/>
          <w:spacing w:val="2"/>
        </w:rPr>
        <w:t>A</w:t>
      </w:r>
      <w:r w:rsidRPr="009A0DA6">
        <w:rPr>
          <w:rFonts w:ascii="Cambria" w:eastAsia="Calibri" w:hAnsi="Cambria" w:cs="Calibri"/>
        </w:rPr>
        <w:t>gre</w:t>
      </w:r>
      <w:r w:rsidRPr="009A0DA6">
        <w:rPr>
          <w:rFonts w:ascii="Cambria" w:eastAsia="Calibri" w:hAnsi="Cambria" w:cs="Calibri"/>
          <w:spacing w:val="-1"/>
        </w:rPr>
        <w:t>em</w:t>
      </w:r>
      <w:r w:rsidRPr="009A0DA6">
        <w:rPr>
          <w:rFonts w:ascii="Cambria" w:eastAsia="Calibri" w:hAnsi="Cambria" w:cs="Calibri"/>
        </w:rPr>
        <w:t>e</w:t>
      </w:r>
      <w:r w:rsidRPr="009A0DA6">
        <w:rPr>
          <w:rFonts w:ascii="Cambria" w:eastAsia="Calibri" w:hAnsi="Cambria" w:cs="Calibri"/>
          <w:spacing w:val="-2"/>
        </w:rPr>
        <w:t>n</w:t>
      </w:r>
      <w:r w:rsidRPr="009A0DA6">
        <w:rPr>
          <w:rFonts w:ascii="Cambria" w:eastAsia="Calibri" w:hAnsi="Cambria" w:cs="Calibri"/>
        </w:rPr>
        <w:t>t regar</w:t>
      </w:r>
      <w:r w:rsidRPr="009A0DA6">
        <w:rPr>
          <w:rFonts w:ascii="Cambria" w:eastAsia="Calibri" w:hAnsi="Cambria" w:cs="Calibri"/>
          <w:spacing w:val="-1"/>
        </w:rPr>
        <w:t>d</w:t>
      </w:r>
      <w:r w:rsidRPr="009A0DA6">
        <w:rPr>
          <w:rFonts w:ascii="Cambria" w:eastAsia="Calibri" w:hAnsi="Cambria" w:cs="Calibri"/>
        </w:rPr>
        <w:t>ing</w:t>
      </w:r>
      <w:r w:rsidRPr="009A0DA6">
        <w:rPr>
          <w:rFonts w:ascii="Cambria" w:eastAsia="Calibri" w:hAnsi="Cambria" w:cs="Calibri"/>
          <w:spacing w:val="-2"/>
        </w:rPr>
        <w:t xml:space="preserve"> </w:t>
      </w:r>
      <w:r w:rsidRPr="009A0DA6">
        <w:rPr>
          <w:rFonts w:ascii="Cambria" w:eastAsia="Calibri" w:hAnsi="Cambria" w:cs="Calibri"/>
        </w:rPr>
        <w:t>t</w:t>
      </w:r>
      <w:r w:rsidRPr="009A0DA6">
        <w:rPr>
          <w:rFonts w:ascii="Cambria" w:eastAsia="Calibri" w:hAnsi="Cambria" w:cs="Calibri"/>
          <w:spacing w:val="-2"/>
        </w:rPr>
        <w:t>h</w:t>
      </w:r>
      <w:r w:rsidRPr="009A0DA6">
        <w:rPr>
          <w:rFonts w:ascii="Cambria" w:eastAsia="Calibri" w:hAnsi="Cambria" w:cs="Calibri"/>
        </w:rPr>
        <w:t>e</w:t>
      </w:r>
      <w:r w:rsidRPr="009A0DA6">
        <w:rPr>
          <w:rFonts w:ascii="Cambria" w:eastAsia="Calibri" w:hAnsi="Cambria" w:cs="Calibri"/>
          <w:spacing w:val="-1"/>
        </w:rPr>
        <w:t xml:space="preserve"> O</w:t>
      </w:r>
      <w:r w:rsidRPr="009A0DA6">
        <w:rPr>
          <w:rFonts w:ascii="Cambria" w:eastAsia="Calibri" w:hAnsi="Cambria" w:cs="Calibri"/>
        </w:rPr>
        <w:t>f</w:t>
      </w:r>
      <w:r w:rsidRPr="009A0DA6">
        <w:rPr>
          <w:rFonts w:ascii="Cambria" w:eastAsia="Calibri" w:hAnsi="Cambria" w:cs="Calibri"/>
          <w:spacing w:val="1"/>
        </w:rPr>
        <w:t>f</w:t>
      </w:r>
      <w:r w:rsidRPr="009A0DA6">
        <w:rPr>
          <w:rFonts w:ascii="Cambria" w:eastAsia="Calibri" w:hAnsi="Cambria" w:cs="Calibri"/>
        </w:rPr>
        <w:t>i</w:t>
      </w:r>
      <w:r w:rsidRPr="009A0DA6">
        <w:rPr>
          <w:rFonts w:ascii="Cambria" w:eastAsia="Calibri" w:hAnsi="Cambria" w:cs="Calibri"/>
          <w:spacing w:val="-1"/>
        </w:rPr>
        <w:t>c</w:t>
      </w:r>
      <w:r w:rsidRPr="009A0DA6">
        <w:rPr>
          <w:rFonts w:ascii="Cambria" w:eastAsia="Calibri" w:hAnsi="Cambria" w:cs="Calibri"/>
        </w:rPr>
        <w:t xml:space="preserve">e </w:t>
      </w:r>
      <w:r w:rsidRPr="009A0DA6">
        <w:rPr>
          <w:rFonts w:ascii="Cambria" w:eastAsia="Calibri" w:hAnsi="Cambria" w:cs="Calibri"/>
          <w:spacing w:val="1"/>
        </w:rPr>
        <w:t>o</w:t>
      </w:r>
      <w:r w:rsidRPr="009A0DA6">
        <w:rPr>
          <w:rFonts w:ascii="Cambria" w:eastAsia="Calibri" w:hAnsi="Cambria" w:cs="Calibri"/>
        </w:rPr>
        <w:t>f t</w:t>
      </w:r>
      <w:r w:rsidRPr="009A0DA6">
        <w:rPr>
          <w:rFonts w:ascii="Cambria" w:eastAsia="Calibri" w:hAnsi="Cambria" w:cs="Calibri"/>
          <w:spacing w:val="-2"/>
        </w:rPr>
        <w:t>h</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rPr>
        <w:t>Mi</w:t>
      </w:r>
      <w:r w:rsidRPr="009A0DA6">
        <w:rPr>
          <w:rFonts w:ascii="Cambria" w:eastAsia="Calibri" w:hAnsi="Cambria" w:cs="Calibri"/>
          <w:spacing w:val="-1"/>
        </w:rPr>
        <w:t>n</w:t>
      </w:r>
      <w:r w:rsidRPr="009A0DA6">
        <w:rPr>
          <w:rFonts w:ascii="Cambria" w:eastAsia="Calibri" w:hAnsi="Cambria" w:cs="Calibri"/>
        </w:rPr>
        <w:t>istry.</w:t>
      </w:r>
      <w:r w:rsidRPr="009A0DA6">
        <w:rPr>
          <w:rFonts w:ascii="Cambria" w:eastAsia="Calibri" w:hAnsi="Cambria" w:cs="Calibri"/>
        </w:rPr>
        <w:br/>
      </w:r>
    </w:p>
    <w:p w14:paraId="159A813E" w14:textId="758CBEAF" w:rsidR="00680D5E" w:rsidRPr="009A0DA6" w:rsidRDefault="00680D5E" w:rsidP="00F55252">
      <w:pPr>
        <w:pStyle w:val="ListParagraph"/>
        <w:numPr>
          <w:ilvl w:val="0"/>
          <w:numId w:val="131"/>
        </w:numPr>
        <w:spacing w:after="0"/>
        <w:ind w:left="567" w:right="213" w:hanging="567"/>
        <w:rPr>
          <w:rFonts w:ascii="Cambria" w:eastAsia="Calibri" w:hAnsi="Cambria" w:cs="Calibri"/>
        </w:rPr>
      </w:pPr>
      <w:r w:rsidRPr="009A0DA6">
        <w:rPr>
          <w:rFonts w:ascii="Cambria" w:eastAsia="Calibri" w:hAnsi="Cambria" w:cs="Calibri"/>
        </w:rPr>
        <w:t>T</w:t>
      </w:r>
      <w:r w:rsidRPr="009A0DA6">
        <w:rPr>
          <w:rFonts w:ascii="Cambria" w:eastAsia="Calibri" w:hAnsi="Cambria" w:cs="Calibri"/>
          <w:spacing w:val="-1"/>
        </w:rPr>
        <w:t>h</w:t>
      </w:r>
      <w:r w:rsidRPr="009A0DA6">
        <w:rPr>
          <w:rFonts w:ascii="Cambria" w:eastAsia="Calibri" w:hAnsi="Cambria" w:cs="Calibri"/>
        </w:rPr>
        <w:t>ree</w:t>
      </w:r>
      <w:r w:rsidRPr="009A0DA6">
        <w:rPr>
          <w:rFonts w:ascii="Cambria" w:eastAsia="Calibri" w:hAnsi="Cambria" w:cs="Calibri"/>
          <w:spacing w:val="-1"/>
        </w:rPr>
        <w:t xml:space="preserve"> </w:t>
      </w:r>
      <w:r w:rsidRPr="009A0DA6">
        <w:rPr>
          <w:rFonts w:ascii="Cambria" w:eastAsia="Calibri" w:hAnsi="Cambria" w:cs="Calibri"/>
        </w:rPr>
        <w:t>su</w:t>
      </w:r>
      <w:r w:rsidRPr="009A0DA6">
        <w:rPr>
          <w:rFonts w:ascii="Cambria" w:eastAsia="Calibri" w:hAnsi="Cambria" w:cs="Calibri"/>
          <w:spacing w:val="-2"/>
        </w:rPr>
        <w:t>b</w:t>
      </w:r>
      <w:r w:rsidRPr="009A0DA6">
        <w:rPr>
          <w:rFonts w:ascii="Cambria" w:eastAsia="Calibri" w:hAnsi="Cambria" w:cs="Calibri"/>
        </w:rPr>
        <w:t>se</w:t>
      </w:r>
      <w:r w:rsidRPr="009A0DA6">
        <w:rPr>
          <w:rFonts w:ascii="Cambria" w:eastAsia="Calibri" w:hAnsi="Cambria" w:cs="Calibri"/>
          <w:spacing w:val="-1"/>
        </w:rPr>
        <w:t>qu</w:t>
      </w:r>
      <w:r w:rsidRPr="009A0DA6">
        <w:rPr>
          <w:rFonts w:ascii="Cambria" w:eastAsia="Calibri" w:hAnsi="Cambria" w:cs="Calibri"/>
        </w:rPr>
        <w:t>e</w:t>
      </w:r>
      <w:r w:rsidRPr="009A0DA6">
        <w:rPr>
          <w:rFonts w:ascii="Cambria" w:eastAsia="Calibri" w:hAnsi="Cambria" w:cs="Calibri"/>
          <w:spacing w:val="-2"/>
        </w:rPr>
        <w:t>n</w:t>
      </w:r>
      <w:r w:rsidRPr="009A0DA6">
        <w:rPr>
          <w:rFonts w:ascii="Cambria" w:eastAsia="Calibri" w:hAnsi="Cambria" w:cs="Calibri"/>
        </w:rPr>
        <w:t>t</w:t>
      </w:r>
      <w:r w:rsidRPr="009A0DA6">
        <w:rPr>
          <w:rFonts w:ascii="Cambria" w:eastAsia="Calibri" w:hAnsi="Cambria" w:cs="Calibri"/>
          <w:spacing w:val="1"/>
        </w:rPr>
        <w:t xml:space="preserve"> </w:t>
      </w:r>
      <w:r w:rsidRPr="009A0DA6">
        <w:rPr>
          <w:rFonts w:ascii="Cambria" w:eastAsia="Calibri" w:hAnsi="Cambria" w:cs="Calibri"/>
        </w:rPr>
        <w:t>Synods;</w:t>
      </w:r>
      <w:r w:rsidRPr="009A0DA6">
        <w:rPr>
          <w:rFonts w:ascii="Cambria" w:eastAsia="Calibri" w:hAnsi="Cambria" w:cs="Calibri"/>
          <w:spacing w:val="-2"/>
        </w:rPr>
        <w:t xml:space="preserve"> </w:t>
      </w:r>
      <w:r w:rsidRPr="009A0DA6">
        <w:rPr>
          <w:rFonts w:ascii="Cambria" w:eastAsia="Calibri" w:hAnsi="Cambria" w:cs="Calibri"/>
          <w:spacing w:val="-1"/>
        </w:rPr>
        <w:t>n</w:t>
      </w:r>
      <w:r w:rsidRPr="009A0DA6">
        <w:rPr>
          <w:rFonts w:ascii="Cambria" w:eastAsia="Calibri" w:hAnsi="Cambria" w:cs="Calibri"/>
        </w:rPr>
        <w:t>a</w:t>
      </w:r>
      <w:r w:rsidRPr="009A0DA6">
        <w:rPr>
          <w:rFonts w:ascii="Cambria" w:eastAsia="Calibri" w:hAnsi="Cambria" w:cs="Calibri"/>
          <w:spacing w:val="-1"/>
        </w:rPr>
        <w:t>m</w:t>
      </w:r>
      <w:r w:rsidRPr="009A0DA6">
        <w:rPr>
          <w:rFonts w:ascii="Cambria" w:eastAsia="Calibri" w:hAnsi="Cambria" w:cs="Calibri"/>
        </w:rPr>
        <w:t xml:space="preserve">ely </w:t>
      </w:r>
      <w:r w:rsidRPr="009A0DA6">
        <w:rPr>
          <w:rFonts w:ascii="Cambria" w:eastAsia="Calibri" w:hAnsi="Cambria" w:cs="Calibri"/>
          <w:spacing w:val="-1"/>
        </w:rPr>
        <w:t>2000</w:t>
      </w:r>
      <w:r w:rsidRPr="009A0DA6">
        <w:rPr>
          <w:rFonts w:ascii="Cambria" w:eastAsia="Calibri" w:hAnsi="Cambria" w:cs="Calibri"/>
        </w:rPr>
        <w:t>,</w:t>
      </w:r>
      <w:r w:rsidRPr="009A0DA6">
        <w:rPr>
          <w:rFonts w:ascii="Cambria" w:eastAsia="Calibri" w:hAnsi="Cambria" w:cs="Calibri"/>
          <w:spacing w:val="2"/>
        </w:rPr>
        <w:t xml:space="preserve"> </w:t>
      </w:r>
      <w:r w:rsidRPr="009A0DA6">
        <w:rPr>
          <w:rFonts w:ascii="Cambria" w:eastAsia="Calibri" w:hAnsi="Cambria" w:cs="Calibri"/>
          <w:spacing w:val="1"/>
        </w:rPr>
        <w:t>2</w:t>
      </w:r>
      <w:r w:rsidRPr="009A0DA6">
        <w:rPr>
          <w:rFonts w:ascii="Cambria" w:eastAsia="Calibri" w:hAnsi="Cambria" w:cs="Calibri"/>
        </w:rPr>
        <w:t>0</w:t>
      </w:r>
      <w:r w:rsidRPr="009A0DA6">
        <w:rPr>
          <w:rFonts w:ascii="Cambria" w:eastAsia="Calibri" w:hAnsi="Cambria" w:cs="Calibri"/>
          <w:spacing w:val="-1"/>
        </w:rPr>
        <w:t>0</w:t>
      </w:r>
      <w:r w:rsidRPr="009A0DA6">
        <w:rPr>
          <w:rFonts w:ascii="Cambria" w:eastAsia="Calibri" w:hAnsi="Cambria" w:cs="Calibri"/>
        </w:rPr>
        <w:t>6</w:t>
      </w:r>
      <w:r w:rsidRPr="009A0DA6">
        <w:rPr>
          <w:rFonts w:ascii="Cambria" w:eastAsia="Calibri" w:hAnsi="Cambria" w:cs="Calibri"/>
          <w:spacing w:val="-2"/>
        </w:rPr>
        <w:t xml:space="preserve"> </w:t>
      </w:r>
      <w:r w:rsidRPr="009A0DA6">
        <w:rPr>
          <w:rFonts w:ascii="Cambria" w:eastAsia="Calibri" w:hAnsi="Cambria" w:cs="Calibri"/>
        </w:rPr>
        <w:t>a</w:t>
      </w:r>
      <w:r w:rsidRPr="009A0DA6">
        <w:rPr>
          <w:rFonts w:ascii="Cambria" w:eastAsia="Calibri" w:hAnsi="Cambria" w:cs="Calibri"/>
          <w:spacing w:val="-1"/>
        </w:rPr>
        <w:t>n</w:t>
      </w:r>
      <w:r w:rsidRPr="009A0DA6">
        <w:rPr>
          <w:rFonts w:ascii="Cambria" w:eastAsia="Calibri" w:hAnsi="Cambria" w:cs="Calibri"/>
        </w:rPr>
        <w:t>d 2</w:t>
      </w:r>
      <w:r w:rsidRPr="009A0DA6">
        <w:rPr>
          <w:rFonts w:ascii="Cambria" w:eastAsia="Calibri" w:hAnsi="Cambria" w:cs="Calibri"/>
          <w:spacing w:val="-1"/>
        </w:rPr>
        <w:t>0</w:t>
      </w:r>
      <w:r w:rsidRPr="009A0DA6">
        <w:rPr>
          <w:rFonts w:ascii="Cambria" w:eastAsia="Calibri" w:hAnsi="Cambria" w:cs="Calibri"/>
        </w:rPr>
        <w:t>15,</w:t>
      </w:r>
      <w:r w:rsidRPr="009A0DA6">
        <w:rPr>
          <w:rFonts w:ascii="Cambria" w:eastAsia="Calibri" w:hAnsi="Cambria" w:cs="Calibri"/>
          <w:spacing w:val="1"/>
        </w:rPr>
        <w:t xml:space="preserve"> </w:t>
      </w:r>
      <w:r w:rsidRPr="009A0DA6">
        <w:rPr>
          <w:rFonts w:ascii="Cambria" w:eastAsia="Calibri" w:hAnsi="Cambria" w:cs="Calibri"/>
        </w:rPr>
        <w:t>after</w:t>
      </w:r>
      <w:r w:rsidRPr="009A0DA6">
        <w:rPr>
          <w:rFonts w:ascii="Cambria" w:eastAsia="Calibri" w:hAnsi="Cambria" w:cs="Calibri"/>
          <w:spacing w:val="-1"/>
        </w:rPr>
        <w:t xml:space="preserve"> </w:t>
      </w:r>
      <w:r w:rsidRPr="009A0DA6">
        <w:rPr>
          <w:rFonts w:ascii="Cambria" w:eastAsia="Calibri" w:hAnsi="Cambria" w:cs="Calibri"/>
        </w:rPr>
        <w:t>ear</w:t>
      </w:r>
      <w:r w:rsidRPr="009A0DA6">
        <w:rPr>
          <w:rFonts w:ascii="Cambria" w:eastAsia="Calibri" w:hAnsi="Cambria" w:cs="Calibri"/>
          <w:spacing w:val="-1"/>
        </w:rPr>
        <w:t>n</w:t>
      </w:r>
      <w:r w:rsidRPr="009A0DA6">
        <w:rPr>
          <w:rFonts w:ascii="Cambria" w:eastAsia="Calibri" w:hAnsi="Cambria" w:cs="Calibri"/>
        </w:rPr>
        <w:t>e</w:t>
      </w:r>
      <w:r w:rsidRPr="009A0DA6">
        <w:rPr>
          <w:rFonts w:ascii="Cambria" w:eastAsia="Calibri" w:hAnsi="Cambria" w:cs="Calibri"/>
          <w:spacing w:val="1"/>
        </w:rPr>
        <w:t>s</w:t>
      </w:r>
      <w:r w:rsidRPr="009A0DA6">
        <w:rPr>
          <w:rFonts w:ascii="Cambria" w:eastAsia="Calibri" w:hAnsi="Cambria" w:cs="Calibri"/>
        </w:rPr>
        <w:t>t</w:t>
      </w:r>
      <w:r w:rsidRPr="009A0DA6">
        <w:rPr>
          <w:rFonts w:ascii="Cambria" w:eastAsia="Calibri" w:hAnsi="Cambria" w:cs="Calibri"/>
          <w:spacing w:val="-1"/>
        </w:rPr>
        <w:t xml:space="preserve"> </w:t>
      </w:r>
      <w:r w:rsidRPr="009A0DA6">
        <w:rPr>
          <w:rFonts w:ascii="Cambria" w:eastAsia="Calibri" w:hAnsi="Cambria" w:cs="Calibri"/>
        </w:rPr>
        <w:t>a</w:t>
      </w:r>
      <w:r w:rsidRPr="009A0DA6">
        <w:rPr>
          <w:rFonts w:ascii="Cambria" w:eastAsia="Calibri" w:hAnsi="Cambria" w:cs="Calibri"/>
          <w:spacing w:val="-1"/>
        </w:rPr>
        <w:t>n</w:t>
      </w:r>
      <w:r w:rsidRPr="009A0DA6">
        <w:rPr>
          <w:rFonts w:ascii="Cambria" w:eastAsia="Calibri" w:hAnsi="Cambria" w:cs="Calibri"/>
        </w:rPr>
        <w:t>d</w:t>
      </w:r>
      <w:r w:rsidRPr="009A0DA6">
        <w:rPr>
          <w:rFonts w:ascii="Cambria" w:eastAsia="Calibri" w:hAnsi="Cambria" w:cs="Calibri"/>
          <w:spacing w:val="-2"/>
        </w:rPr>
        <w:t xml:space="preserve"> </w:t>
      </w:r>
      <w:r w:rsidRPr="009A0DA6">
        <w:rPr>
          <w:rFonts w:ascii="Cambria" w:eastAsia="Calibri" w:hAnsi="Cambria" w:cs="Calibri"/>
        </w:rPr>
        <w:t>sin</w:t>
      </w:r>
      <w:r w:rsidRPr="009A0DA6">
        <w:rPr>
          <w:rFonts w:ascii="Cambria" w:eastAsia="Calibri" w:hAnsi="Cambria" w:cs="Calibri"/>
          <w:spacing w:val="-1"/>
        </w:rPr>
        <w:t>c</w:t>
      </w:r>
      <w:r w:rsidRPr="009A0DA6">
        <w:rPr>
          <w:rFonts w:ascii="Cambria" w:eastAsia="Calibri" w:hAnsi="Cambria" w:cs="Calibri"/>
        </w:rPr>
        <w:t xml:space="preserve">ere </w:t>
      </w:r>
      <w:r w:rsidRPr="009A0DA6">
        <w:rPr>
          <w:rFonts w:ascii="Cambria" w:eastAsia="Calibri" w:hAnsi="Cambria" w:cs="Calibri"/>
          <w:spacing w:val="-1"/>
        </w:rPr>
        <w:t>p</w:t>
      </w:r>
      <w:r w:rsidRPr="009A0DA6">
        <w:rPr>
          <w:rFonts w:ascii="Cambria" w:eastAsia="Calibri" w:hAnsi="Cambria" w:cs="Calibri"/>
        </w:rPr>
        <w:t>rayer to God</w:t>
      </w:r>
      <w:r w:rsidRPr="009A0DA6">
        <w:rPr>
          <w:rFonts w:ascii="Cambria" w:eastAsia="Calibri" w:hAnsi="Cambria" w:cs="Calibri"/>
          <w:spacing w:val="-2"/>
        </w:rPr>
        <w:t xml:space="preserve"> </w:t>
      </w:r>
      <w:r w:rsidRPr="009A0DA6">
        <w:rPr>
          <w:rFonts w:ascii="Cambria" w:eastAsia="Calibri" w:hAnsi="Cambria" w:cs="Calibri"/>
        </w:rPr>
        <w:t>for</w:t>
      </w:r>
      <w:r w:rsidRPr="009A0DA6">
        <w:rPr>
          <w:rFonts w:ascii="Cambria" w:eastAsia="Calibri" w:hAnsi="Cambria" w:cs="Calibri"/>
          <w:spacing w:val="-1"/>
        </w:rPr>
        <w:t xml:space="preserve"> </w:t>
      </w:r>
      <w:r w:rsidRPr="009A0DA6">
        <w:rPr>
          <w:rFonts w:ascii="Cambria" w:eastAsia="Calibri" w:hAnsi="Cambria" w:cs="Calibri"/>
        </w:rPr>
        <w:t>His</w:t>
      </w:r>
      <w:r w:rsidRPr="009A0DA6">
        <w:rPr>
          <w:rFonts w:ascii="Cambria" w:eastAsia="Calibri" w:hAnsi="Cambria" w:cs="Calibri"/>
          <w:spacing w:val="-2"/>
        </w:rPr>
        <w:t xml:space="preserve"> </w:t>
      </w:r>
      <w:r w:rsidRPr="009A0DA6">
        <w:rPr>
          <w:rFonts w:ascii="Cambria" w:eastAsia="Calibri" w:hAnsi="Cambria" w:cs="Calibri"/>
        </w:rPr>
        <w:t>g</w:t>
      </w:r>
      <w:r w:rsidRPr="009A0DA6">
        <w:rPr>
          <w:rFonts w:ascii="Cambria" w:eastAsia="Calibri" w:hAnsi="Cambria" w:cs="Calibri"/>
          <w:spacing w:val="-1"/>
        </w:rPr>
        <w:t>u</w:t>
      </w:r>
      <w:r w:rsidRPr="009A0DA6">
        <w:rPr>
          <w:rFonts w:ascii="Cambria" w:eastAsia="Calibri" w:hAnsi="Cambria" w:cs="Calibri"/>
        </w:rPr>
        <w:t>id</w:t>
      </w:r>
      <w:r w:rsidRPr="009A0DA6">
        <w:rPr>
          <w:rFonts w:ascii="Cambria" w:eastAsia="Calibri" w:hAnsi="Cambria" w:cs="Calibri"/>
          <w:spacing w:val="-1"/>
        </w:rPr>
        <w:t>anc</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rPr>
        <w:t>on</w:t>
      </w:r>
      <w:r w:rsidRPr="009A0DA6">
        <w:rPr>
          <w:rFonts w:ascii="Cambria" w:eastAsia="Calibri" w:hAnsi="Cambria" w:cs="Calibri"/>
          <w:spacing w:val="1"/>
        </w:rPr>
        <w:t xml:space="preserve"> </w:t>
      </w:r>
      <w:r w:rsidRPr="009A0DA6">
        <w:rPr>
          <w:rFonts w:ascii="Cambria" w:eastAsia="Calibri" w:hAnsi="Cambria" w:cs="Calibri"/>
        </w:rPr>
        <w:t>t</w:t>
      </w:r>
      <w:r w:rsidRPr="009A0DA6">
        <w:rPr>
          <w:rFonts w:ascii="Cambria" w:eastAsia="Calibri" w:hAnsi="Cambria" w:cs="Calibri"/>
          <w:spacing w:val="-2"/>
        </w:rPr>
        <w:t>h</w:t>
      </w:r>
      <w:r w:rsidRPr="009A0DA6">
        <w:rPr>
          <w:rFonts w:ascii="Cambria" w:eastAsia="Calibri" w:hAnsi="Cambria" w:cs="Calibri"/>
        </w:rPr>
        <w:t xml:space="preserve">is </w:t>
      </w:r>
      <w:r w:rsidRPr="009A0DA6">
        <w:rPr>
          <w:rFonts w:ascii="Cambria" w:eastAsia="Calibri" w:hAnsi="Cambria" w:cs="Calibri"/>
          <w:spacing w:val="-1"/>
        </w:rPr>
        <w:t>m</w:t>
      </w:r>
      <w:r w:rsidRPr="009A0DA6">
        <w:rPr>
          <w:rFonts w:ascii="Cambria" w:eastAsia="Calibri" w:hAnsi="Cambria" w:cs="Calibri"/>
        </w:rPr>
        <w:t>a</w:t>
      </w:r>
      <w:r w:rsidRPr="009A0DA6">
        <w:rPr>
          <w:rFonts w:ascii="Cambria" w:eastAsia="Calibri" w:hAnsi="Cambria" w:cs="Calibri"/>
          <w:spacing w:val="2"/>
        </w:rPr>
        <w:t>t</w:t>
      </w:r>
      <w:r w:rsidRPr="009A0DA6">
        <w:rPr>
          <w:rFonts w:ascii="Cambria" w:eastAsia="Calibri" w:hAnsi="Cambria" w:cs="Calibri"/>
        </w:rPr>
        <w:t>t</w:t>
      </w:r>
      <w:r w:rsidRPr="009A0DA6">
        <w:rPr>
          <w:rFonts w:ascii="Cambria" w:eastAsia="Calibri" w:hAnsi="Cambria" w:cs="Calibri"/>
          <w:spacing w:val="-1"/>
        </w:rPr>
        <w:t>e</w:t>
      </w:r>
      <w:r w:rsidRPr="009A0DA6">
        <w:rPr>
          <w:rFonts w:ascii="Cambria" w:eastAsia="Calibri" w:hAnsi="Cambria" w:cs="Calibri"/>
        </w:rPr>
        <w:t>r voted</w:t>
      </w:r>
      <w:r w:rsidRPr="009A0DA6">
        <w:rPr>
          <w:rFonts w:ascii="Cambria" w:eastAsia="Calibri" w:hAnsi="Cambria" w:cs="Calibri"/>
          <w:spacing w:val="-3"/>
        </w:rPr>
        <w:t xml:space="preserve"> </w:t>
      </w:r>
      <w:r w:rsidRPr="009A0DA6">
        <w:rPr>
          <w:rFonts w:ascii="Cambria" w:eastAsia="Calibri" w:hAnsi="Cambria" w:cs="Calibri"/>
        </w:rPr>
        <w:t xml:space="preserve">to </w:t>
      </w:r>
      <w:r w:rsidRPr="009A0DA6">
        <w:rPr>
          <w:rFonts w:ascii="Cambria" w:eastAsia="Calibri" w:hAnsi="Cambria" w:cs="Calibri"/>
          <w:spacing w:val="-2"/>
        </w:rPr>
        <w:t>u</w:t>
      </w:r>
      <w:r w:rsidRPr="009A0DA6">
        <w:rPr>
          <w:rFonts w:ascii="Cambria" w:eastAsia="Calibri" w:hAnsi="Cambria" w:cs="Calibri"/>
          <w:spacing w:val="-1"/>
        </w:rPr>
        <w:t>ph</w:t>
      </w:r>
      <w:r w:rsidRPr="009A0DA6">
        <w:rPr>
          <w:rFonts w:ascii="Cambria" w:eastAsia="Calibri" w:hAnsi="Cambria" w:cs="Calibri"/>
        </w:rPr>
        <w:t>o</w:t>
      </w:r>
      <w:r w:rsidRPr="009A0DA6">
        <w:rPr>
          <w:rFonts w:ascii="Cambria" w:eastAsia="Calibri" w:hAnsi="Cambria" w:cs="Calibri"/>
          <w:spacing w:val="1"/>
        </w:rPr>
        <w:t>l</w:t>
      </w:r>
      <w:r w:rsidRPr="009A0DA6">
        <w:rPr>
          <w:rFonts w:ascii="Cambria" w:eastAsia="Calibri" w:hAnsi="Cambria" w:cs="Calibri"/>
        </w:rPr>
        <w:t>d</w:t>
      </w:r>
      <w:r w:rsidRPr="009A0DA6">
        <w:rPr>
          <w:rFonts w:ascii="Cambria" w:eastAsia="Calibri" w:hAnsi="Cambria" w:cs="Calibri"/>
          <w:spacing w:val="-2"/>
        </w:rPr>
        <w:t xml:space="preserve"> </w:t>
      </w:r>
      <w:r w:rsidRPr="009A0DA6">
        <w:rPr>
          <w:rFonts w:ascii="Cambria" w:eastAsia="Calibri" w:hAnsi="Cambria" w:cs="Calibri"/>
          <w:spacing w:val="2"/>
        </w:rPr>
        <w:t>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1"/>
        </w:rPr>
        <w:t xml:space="preserve"> cu</w:t>
      </w:r>
      <w:r w:rsidRPr="009A0DA6">
        <w:rPr>
          <w:rFonts w:ascii="Cambria" w:eastAsia="Calibri" w:hAnsi="Cambria" w:cs="Calibri"/>
        </w:rPr>
        <w:t>rre</w:t>
      </w:r>
      <w:r w:rsidRPr="009A0DA6">
        <w:rPr>
          <w:rFonts w:ascii="Cambria" w:eastAsia="Calibri" w:hAnsi="Cambria" w:cs="Calibri"/>
          <w:spacing w:val="-1"/>
        </w:rPr>
        <w:t>n</w:t>
      </w:r>
      <w:r w:rsidRPr="009A0DA6">
        <w:rPr>
          <w:rFonts w:ascii="Cambria" w:eastAsia="Calibri" w:hAnsi="Cambria" w:cs="Calibri"/>
        </w:rPr>
        <w:t>t</w:t>
      </w:r>
      <w:r w:rsidRPr="009A0DA6">
        <w:rPr>
          <w:rFonts w:ascii="Cambria" w:eastAsia="Calibri" w:hAnsi="Cambria" w:cs="Calibri"/>
          <w:spacing w:val="1"/>
        </w:rPr>
        <w:t xml:space="preserve"> </w:t>
      </w:r>
      <w:r w:rsidRPr="009A0DA6">
        <w:rPr>
          <w:rFonts w:ascii="Cambria" w:eastAsia="Calibri" w:hAnsi="Cambria" w:cs="Calibri"/>
        </w:rPr>
        <w:t>T</w:t>
      </w:r>
      <w:r w:rsidRPr="009A0DA6">
        <w:rPr>
          <w:rFonts w:ascii="Cambria" w:eastAsia="Calibri" w:hAnsi="Cambria" w:cs="Calibri"/>
          <w:spacing w:val="-1"/>
        </w:rPr>
        <w:t>h</w:t>
      </w:r>
      <w:r w:rsidRPr="009A0DA6">
        <w:rPr>
          <w:rFonts w:ascii="Cambria" w:eastAsia="Calibri" w:hAnsi="Cambria" w:cs="Calibri"/>
        </w:rPr>
        <w:t>eses</w:t>
      </w:r>
      <w:r w:rsidRPr="009A0DA6">
        <w:rPr>
          <w:rFonts w:ascii="Cambria" w:eastAsia="Calibri" w:hAnsi="Cambria" w:cs="Calibri"/>
          <w:spacing w:val="-1"/>
        </w:rPr>
        <w:t xml:space="preserve"> </w:t>
      </w:r>
      <w:r w:rsidRPr="009A0DA6">
        <w:rPr>
          <w:rFonts w:ascii="Cambria" w:eastAsia="Calibri" w:hAnsi="Cambria" w:cs="Calibri"/>
        </w:rPr>
        <w:t xml:space="preserve">of </w:t>
      </w:r>
      <w:r w:rsidRPr="009A0DA6">
        <w:rPr>
          <w:rFonts w:ascii="Cambria" w:eastAsia="Calibri" w:hAnsi="Cambria" w:cs="Calibri"/>
          <w:spacing w:val="1"/>
        </w:rPr>
        <w:t>A</w:t>
      </w:r>
      <w:r w:rsidRPr="009A0DA6">
        <w:rPr>
          <w:rFonts w:ascii="Cambria" w:eastAsia="Calibri" w:hAnsi="Cambria" w:cs="Calibri"/>
        </w:rPr>
        <w:t>gre</w:t>
      </w:r>
      <w:r w:rsidRPr="009A0DA6">
        <w:rPr>
          <w:rFonts w:ascii="Cambria" w:eastAsia="Calibri" w:hAnsi="Cambria" w:cs="Calibri"/>
          <w:spacing w:val="-1"/>
        </w:rPr>
        <w:t>em</w:t>
      </w:r>
      <w:r w:rsidRPr="009A0DA6">
        <w:rPr>
          <w:rFonts w:ascii="Cambria" w:eastAsia="Calibri" w:hAnsi="Cambria" w:cs="Calibri"/>
        </w:rPr>
        <w:t>e</w:t>
      </w:r>
      <w:r w:rsidRPr="009A0DA6">
        <w:rPr>
          <w:rFonts w:ascii="Cambria" w:eastAsia="Calibri" w:hAnsi="Cambria" w:cs="Calibri"/>
          <w:spacing w:val="-2"/>
        </w:rPr>
        <w:t>n</w:t>
      </w:r>
      <w:r w:rsidRPr="009A0DA6">
        <w:rPr>
          <w:rFonts w:ascii="Cambria" w:eastAsia="Calibri" w:hAnsi="Cambria" w:cs="Calibri"/>
        </w:rPr>
        <w:t>t</w:t>
      </w:r>
      <w:r w:rsidRPr="009A0DA6">
        <w:rPr>
          <w:rFonts w:ascii="Cambria" w:eastAsia="Calibri" w:hAnsi="Cambria" w:cs="Calibri"/>
          <w:spacing w:val="-1"/>
        </w:rPr>
        <w:t xml:space="preserve"> </w:t>
      </w:r>
      <w:r w:rsidRPr="009A0DA6">
        <w:rPr>
          <w:rFonts w:ascii="Cambria" w:eastAsia="Calibri" w:hAnsi="Cambria" w:cs="Calibri"/>
        </w:rPr>
        <w:t>on</w:t>
      </w:r>
      <w:r w:rsidRPr="009A0DA6">
        <w:rPr>
          <w:rFonts w:ascii="Cambria" w:eastAsia="Calibri" w:hAnsi="Cambria" w:cs="Calibri"/>
          <w:spacing w:val="-1"/>
        </w:rPr>
        <w:t xml:space="preserve"> </w:t>
      </w:r>
      <w:r w:rsidRPr="009A0DA6">
        <w:rPr>
          <w:rFonts w:ascii="Cambria" w:eastAsia="Calibri" w:hAnsi="Cambria" w:cs="Calibri"/>
        </w:rPr>
        <w:t>t</w:t>
      </w:r>
      <w:r w:rsidRPr="009A0DA6">
        <w:rPr>
          <w:rFonts w:ascii="Cambria" w:eastAsia="Calibri" w:hAnsi="Cambria" w:cs="Calibri"/>
          <w:spacing w:val="-2"/>
        </w:rPr>
        <w:t>h</w:t>
      </w:r>
      <w:r w:rsidRPr="009A0DA6">
        <w:rPr>
          <w:rFonts w:ascii="Cambria" w:eastAsia="Calibri" w:hAnsi="Cambria" w:cs="Calibri"/>
        </w:rPr>
        <w:t>e Of</w:t>
      </w:r>
      <w:r w:rsidRPr="009A0DA6">
        <w:rPr>
          <w:rFonts w:ascii="Cambria" w:eastAsia="Calibri" w:hAnsi="Cambria" w:cs="Calibri"/>
          <w:spacing w:val="1"/>
        </w:rPr>
        <w:t>f</w:t>
      </w:r>
      <w:r w:rsidRPr="009A0DA6">
        <w:rPr>
          <w:rFonts w:ascii="Cambria" w:eastAsia="Calibri" w:hAnsi="Cambria" w:cs="Calibri"/>
        </w:rPr>
        <w:t>i</w:t>
      </w:r>
      <w:r w:rsidRPr="009A0DA6">
        <w:rPr>
          <w:rFonts w:ascii="Cambria" w:eastAsia="Calibri" w:hAnsi="Cambria" w:cs="Calibri"/>
          <w:spacing w:val="-1"/>
        </w:rPr>
        <w:t>c</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rPr>
        <w:t>of t</w:t>
      </w:r>
      <w:r w:rsidRPr="009A0DA6">
        <w:rPr>
          <w:rFonts w:ascii="Cambria" w:eastAsia="Calibri" w:hAnsi="Cambria" w:cs="Calibri"/>
          <w:spacing w:val="-2"/>
        </w:rPr>
        <w:t>h</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rPr>
        <w:t>Mi</w:t>
      </w:r>
      <w:r w:rsidRPr="009A0DA6">
        <w:rPr>
          <w:rFonts w:ascii="Cambria" w:eastAsia="Calibri" w:hAnsi="Cambria" w:cs="Calibri"/>
          <w:spacing w:val="-1"/>
        </w:rPr>
        <w:t>n</w:t>
      </w:r>
      <w:r w:rsidRPr="009A0DA6">
        <w:rPr>
          <w:rFonts w:ascii="Cambria" w:eastAsia="Calibri" w:hAnsi="Cambria" w:cs="Calibri"/>
        </w:rPr>
        <w:t>istry in</w:t>
      </w:r>
      <w:r w:rsidRPr="009A0DA6">
        <w:rPr>
          <w:rFonts w:ascii="Cambria" w:eastAsia="Calibri" w:hAnsi="Cambria" w:cs="Calibri"/>
          <w:spacing w:val="-2"/>
        </w:rPr>
        <w:t xml:space="preserve"> </w:t>
      </w:r>
      <w:r w:rsidRPr="009A0DA6">
        <w:rPr>
          <w:rFonts w:ascii="Cambria" w:eastAsia="Calibri" w:hAnsi="Cambria" w:cs="Calibri"/>
        </w:rPr>
        <w:t>t</w:t>
      </w:r>
      <w:r w:rsidRPr="009A0DA6">
        <w:rPr>
          <w:rFonts w:ascii="Cambria" w:eastAsia="Calibri" w:hAnsi="Cambria" w:cs="Calibri"/>
          <w:spacing w:val="-2"/>
        </w:rPr>
        <w:t>h</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rPr>
        <w:t>L</w:t>
      </w:r>
      <w:r w:rsidRPr="009A0DA6">
        <w:rPr>
          <w:rFonts w:ascii="Cambria" w:eastAsia="Calibri" w:hAnsi="Cambria" w:cs="Calibri"/>
          <w:spacing w:val="-1"/>
        </w:rPr>
        <w:t>C</w:t>
      </w:r>
      <w:r w:rsidRPr="009A0DA6">
        <w:rPr>
          <w:rFonts w:ascii="Cambria" w:eastAsia="Calibri" w:hAnsi="Cambria" w:cs="Calibri"/>
        </w:rPr>
        <w:t>A.</w:t>
      </w:r>
      <w:r w:rsidRPr="009A0DA6">
        <w:rPr>
          <w:rFonts w:ascii="Cambria" w:eastAsia="Calibri" w:hAnsi="Cambria" w:cs="Calibri"/>
        </w:rPr>
        <w:br/>
      </w:r>
    </w:p>
    <w:p w14:paraId="635CEB8E" w14:textId="337C2C4C" w:rsidR="00680D5E" w:rsidRPr="009A0DA6" w:rsidRDefault="00680D5E" w:rsidP="00F55252">
      <w:pPr>
        <w:pStyle w:val="ListParagraph"/>
        <w:numPr>
          <w:ilvl w:val="0"/>
          <w:numId w:val="131"/>
        </w:numPr>
        <w:spacing w:before="28" w:after="0" w:line="240" w:lineRule="auto"/>
        <w:ind w:left="567" w:right="213" w:hanging="567"/>
        <w:rPr>
          <w:rFonts w:ascii="Cambria" w:eastAsia="Calibri" w:hAnsi="Cambria" w:cs="Calibri"/>
        </w:rPr>
      </w:pPr>
      <w:r w:rsidRPr="009A0DA6">
        <w:rPr>
          <w:rFonts w:ascii="Cambria" w:eastAsia="Calibri" w:hAnsi="Cambria" w:cs="Calibri"/>
        </w:rPr>
        <w:t xml:space="preserve">To </w:t>
      </w:r>
      <w:r w:rsidRPr="009A0DA6">
        <w:rPr>
          <w:rFonts w:ascii="Cambria" w:eastAsia="Calibri" w:hAnsi="Cambria" w:cs="Calibri"/>
          <w:spacing w:val="-1"/>
        </w:rPr>
        <w:t>uph</w:t>
      </w:r>
      <w:r w:rsidRPr="009A0DA6">
        <w:rPr>
          <w:rFonts w:ascii="Cambria" w:eastAsia="Calibri" w:hAnsi="Cambria" w:cs="Calibri"/>
        </w:rPr>
        <w:t>o</w:t>
      </w:r>
      <w:r w:rsidRPr="009A0DA6">
        <w:rPr>
          <w:rFonts w:ascii="Cambria" w:eastAsia="Calibri" w:hAnsi="Cambria" w:cs="Calibri"/>
          <w:spacing w:val="1"/>
        </w:rPr>
        <w:t>l</w:t>
      </w:r>
      <w:r w:rsidRPr="009A0DA6">
        <w:rPr>
          <w:rFonts w:ascii="Cambria" w:eastAsia="Calibri" w:hAnsi="Cambria" w:cs="Calibri"/>
        </w:rPr>
        <w:t>d</w:t>
      </w:r>
      <w:r w:rsidRPr="009A0DA6">
        <w:rPr>
          <w:rFonts w:ascii="Cambria" w:eastAsia="Calibri" w:hAnsi="Cambria" w:cs="Calibri"/>
          <w:spacing w:val="-2"/>
        </w:rPr>
        <w:t xml:space="preserve"> </w:t>
      </w:r>
      <w:r w:rsidRPr="009A0DA6">
        <w:rPr>
          <w:rFonts w:ascii="Cambria" w:eastAsia="Calibri" w:hAnsi="Cambria" w:cs="Calibri"/>
        </w:rPr>
        <w:t>t</w:t>
      </w:r>
      <w:r w:rsidRPr="009A0DA6">
        <w:rPr>
          <w:rFonts w:ascii="Cambria" w:eastAsia="Calibri" w:hAnsi="Cambria" w:cs="Calibri"/>
          <w:spacing w:val="-2"/>
        </w:rPr>
        <w:t>h</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spacing w:val="2"/>
        </w:rPr>
        <w:t>a</w:t>
      </w:r>
      <w:r w:rsidRPr="009A0DA6">
        <w:rPr>
          <w:rFonts w:ascii="Cambria" w:eastAsia="Calibri" w:hAnsi="Cambria" w:cs="Calibri"/>
          <w:spacing w:val="-1"/>
        </w:rPr>
        <w:t>u</w:t>
      </w:r>
      <w:r w:rsidRPr="009A0DA6">
        <w:rPr>
          <w:rFonts w:ascii="Cambria" w:eastAsia="Calibri" w:hAnsi="Cambria" w:cs="Calibri"/>
        </w:rPr>
        <w:t>t</w:t>
      </w:r>
      <w:r w:rsidRPr="009A0DA6">
        <w:rPr>
          <w:rFonts w:ascii="Cambria" w:eastAsia="Calibri" w:hAnsi="Cambria" w:cs="Calibri"/>
          <w:spacing w:val="-2"/>
        </w:rPr>
        <w:t>h</w:t>
      </w:r>
      <w:r w:rsidRPr="009A0DA6">
        <w:rPr>
          <w:rFonts w:ascii="Cambria" w:eastAsia="Calibri" w:hAnsi="Cambria" w:cs="Calibri"/>
        </w:rPr>
        <w:t>o</w:t>
      </w:r>
      <w:r w:rsidRPr="009A0DA6">
        <w:rPr>
          <w:rFonts w:ascii="Cambria" w:eastAsia="Calibri" w:hAnsi="Cambria" w:cs="Calibri"/>
          <w:spacing w:val="1"/>
        </w:rPr>
        <w:t>r</w:t>
      </w:r>
      <w:r w:rsidRPr="009A0DA6">
        <w:rPr>
          <w:rFonts w:ascii="Cambria" w:eastAsia="Calibri" w:hAnsi="Cambria" w:cs="Calibri"/>
        </w:rPr>
        <w:t>ity</w:t>
      </w:r>
      <w:r w:rsidRPr="009A0DA6">
        <w:rPr>
          <w:rFonts w:ascii="Cambria" w:eastAsia="Calibri" w:hAnsi="Cambria" w:cs="Calibri"/>
          <w:spacing w:val="-1"/>
        </w:rPr>
        <w:t xml:space="preserve"> </w:t>
      </w:r>
      <w:r w:rsidRPr="009A0DA6">
        <w:rPr>
          <w:rFonts w:ascii="Cambria" w:eastAsia="Calibri" w:hAnsi="Cambria" w:cs="Calibri"/>
        </w:rPr>
        <w:t>of Synod</w:t>
      </w:r>
      <w:r w:rsidRPr="009A0DA6">
        <w:rPr>
          <w:rFonts w:ascii="Cambria" w:eastAsia="Calibri" w:hAnsi="Cambria" w:cs="Calibri"/>
          <w:spacing w:val="-2"/>
        </w:rPr>
        <w:t xml:space="preserve"> </w:t>
      </w:r>
      <w:r w:rsidRPr="009A0DA6">
        <w:rPr>
          <w:rFonts w:ascii="Cambria" w:eastAsia="Calibri" w:hAnsi="Cambria" w:cs="Calibri"/>
        </w:rPr>
        <w:t xml:space="preserve">to </w:t>
      </w:r>
      <w:r w:rsidRPr="009A0DA6">
        <w:rPr>
          <w:rFonts w:ascii="Cambria" w:eastAsia="Calibri" w:hAnsi="Cambria" w:cs="Calibri"/>
          <w:spacing w:val="-2"/>
        </w:rPr>
        <w:t>m</w:t>
      </w:r>
      <w:r w:rsidRPr="009A0DA6">
        <w:rPr>
          <w:rFonts w:ascii="Cambria" w:eastAsia="Calibri" w:hAnsi="Cambria" w:cs="Calibri"/>
        </w:rPr>
        <w:t>ake</w:t>
      </w:r>
      <w:r w:rsidRPr="009A0DA6">
        <w:rPr>
          <w:rFonts w:ascii="Cambria" w:eastAsia="Calibri" w:hAnsi="Cambria" w:cs="Calibri"/>
          <w:spacing w:val="-2"/>
        </w:rPr>
        <w:t xml:space="preserve"> </w:t>
      </w:r>
      <w:r w:rsidRPr="009A0DA6">
        <w:rPr>
          <w:rFonts w:ascii="Cambria" w:eastAsia="Calibri" w:hAnsi="Cambria" w:cs="Calibri"/>
          <w:spacing w:val="-1"/>
        </w:rPr>
        <w:t>b</w:t>
      </w:r>
      <w:r w:rsidRPr="009A0DA6">
        <w:rPr>
          <w:rFonts w:ascii="Cambria" w:eastAsia="Calibri" w:hAnsi="Cambria" w:cs="Calibri"/>
        </w:rPr>
        <w:t>in</w:t>
      </w:r>
      <w:r w:rsidRPr="009A0DA6">
        <w:rPr>
          <w:rFonts w:ascii="Cambria" w:eastAsia="Calibri" w:hAnsi="Cambria" w:cs="Calibri"/>
          <w:spacing w:val="-2"/>
        </w:rPr>
        <w:t>d</w:t>
      </w:r>
      <w:r w:rsidRPr="009A0DA6">
        <w:rPr>
          <w:rFonts w:ascii="Cambria" w:eastAsia="Calibri" w:hAnsi="Cambria" w:cs="Calibri"/>
        </w:rPr>
        <w:t>ing</w:t>
      </w:r>
      <w:r w:rsidRPr="009A0DA6">
        <w:rPr>
          <w:rFonts w:ascii="Cambria" w:eastAsia="Calibri" w:hAnsi="Cambria" w:cs="Calibri"/>
          <w:spacing w:val="-2"/>
        </w:rPr>
        <w:t xml:space="preserve"> </w:t>
      </w:r>
      <w:r w:rsidRPr="009A0DA6">
        <w:rPr>
          <w:rFonts w:ascii="Cambria" w:eastAsia="Calibri" w:hAnsi="Cambria" w:cs="Calibri"/>
          <w:spacing w:val="-1"/>
        </w:rPr>
        <w:t>d</w:t>
      </w:r>
      <w:r w:rsidRPr="009A0DA6">
        <w:rPr>
          <w:rFonts w:ascii="Cambria" w:eastAsia="Calibri" w:hAnsi="Cambria" w:cs="Calibri"/>
          <w:spacing w:val="2"/>
        </w:rPr>
        <w:t>e</w:t>
      </w:r>
      <w:r w:rsidRPr="009A0DA6">
        <w:rPr>
          <w:rFonts w:ascii="Cambria" w:eastAsia="Calibri" w:hAnsi="Cambria" w:cs="Calibri"/>
          <w:spacing w:val="-1"/>
        </w:rPr>
        <w:t>c</w:t>
      </w:r>
      <w:r w:rsidRPr="009A0DA6">
        <w:rPr>
          <w:rFonts w:ascii="Cambria" w:eastAsia="Calibri" w:hAnsi="Cambria" w:cs="Calibri"/>
        </w:rPr>
        <w:t>is</w:t>
      </w:r>
      <w:r w:rsidRPr="009A0DA6">
        <w:rPr>
          <w:rFonts w:ascii="Cambria" w:eastAsia="Calibri" w:hAnsi="Cambria" w:cs="Calibri"/>
          <w:spacing w:val="1"/>
        </w:rPr>
        <w:t>i</w:t>
      </w:r>
      <w:r w:rsidRPr="009A0DA6">
        <w:rPr>
          <w:rFonts w:ascii="Cambria" w:eastAsia="Calibri" w:hAnsi="Cambria" w:cs="Calibri"/>
        </w:rPr>
        <w:t>ons on</w:t>
      </w:r>
      <w:r w:rsidRPr="009A0DA6">
        <w:rPr>
          <w:rFonts w:ascii="Cambria" w:eastAsia="Calibri" w:hAnsi="Cambria" w:cs="Calibri"/>
          <w:spacing w:val="-2"/>
        </w:rPr>
        <w:t xml:space="preserve"> </w:t>
      </w:r>
      <w:r w:rsidRPr="009A0DA6">
        <w:rPr>
          <w:rFonts w:ascii="Cambria" w:eastAsia="Calibri" w:hAnsi="Cambria" w:cs="Calibri"/>
        </w:rPr>
        <w:t>t</w:t>
      </w:r>
      <w:r w:rsidRPr="009A0DA6">
        <w:rPr>
          <w:rFonts w:ascii="Cambria" w:eastAsia="Calibri" w:hAnsi="Cambria" w:cs="Calibri"/>
          <w:spacing w:val="-2"/>
        </w:rPr>
        <w:t>h</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rPr>
        <w:t>L</w:t>
      </w:r>
      <w:r w:rsidRPr="009A0DA6">
        <w:rPr>
          <w:rFonts w:ascii="Cambria" w:eastAsia="Calibri" w:hAnsi="Cambria" w:cs="Calibri"/>
          <w:spacing w:val="-1"/>
        </w:rPr>
        <w:t>C</w:t>
      </w:r>
      <w:r w:rsidRPr="009A0DA6">
        <w:rPr>
          <w:rFonts w:ascii="Cambria" w:eastAsia="Calibri" w:hAnsi="Cambria" w:cs="Calibri"/>
        </w:rPr>
        <w:t>A a</w:t>
      </w:r>
      <w:r w:rsidRPr="009A0DA6">
        <w:rPr>
          <w:rFonts w:ascii="Cambria" w:eastAsia="Calibri" w:hAnsi="Cambria" w:cs="Calibri"/>
          <w:spacing w:val="-2"/>
        </w:rPr>
        <w:t>n</w:t>
      </w:r>
      <w:r w:rsidRPr="009A0DA6">
        <w:rPr>
          <w:rFonts w:ascii="Cambria" w:eastAsia="Calibri" w:hAnsi="Cambria" w:cs="Calibri"/>
        </w:rPr>
        <w:t xml:space="preserve">d </w:t>
      </w:r>
      <w:r w:rsidRPr="009A0DA6">
        <w:rPr>
          <w:rFonts w:ascii="Cambria" w:eastAsia="Calibri" w:hAnsi="Cambria" w:cs="Calibri"/>
          <w:spacing w:val="-1"/>
        </w:rPr>
        <w:t>n</w:t>
      </w:r>
      <w:r w:rsidRPr="009A0DA6">
        <w:rPr>
          <w:rFonts w:ascii="Cambria" w:eastAsia="Calibri" w:hAnsi="Cambria" w:cs="Calibri"/>
        </w:rPr>
        <w:t xml:space="preserve">ot </w:t>
      </w:r>
      <w:r w:rsidRPr="009A0DA6">
        <w:rPr>
          <w:rFonts w:ascii="Cambria" w:eastAsia="Calibri" w:hAnsi="Cambria" w:cs="Calibri"/>
          <w:spacing w:val="-1"/>
        </w:rPr>
        <w:t>n</w:t>
      </w:r>
      <w:r w:rsidRPr="009A0DA6">
        <w:rPr>
          <w:rFonts w:ascii="Cambria" w:eastAsia="Calibri" w:hAnsi="Cambria" w:cs="Calibri"/>
        </w:rPr>
        <w:t>e</w:t>
      </w:r>
      <w:r w:rsidRPr="009A0DA6">
        <w:rPr>
          <w:rFonts w:ascii="Cambria" w:eastAsia="Calibri" w:hAnsi="Cambria" w:cs="Calibri"/>
          <w:spacing w:val="-1"/>
        </w:rPr>
        <w:t>g</w:t>
      </w:r>
      <w:r w:rsidRPr="009A0DA6">
        <w:rPr>
          <w:rFonts w:ascii="Cambria" w:eastAsia="Calibri" w:hAnsi="Cambria" w:cs="Calibri"/>
        </w:rPr>
        <w:t>ate</w:t>
      </w:r>
      <w:r w:rsidRPr="009A0DA6">
        <w:rPr>
          <w:rFonts w:ascii="Cambria" w:eastAsia="Calibri" w:hAnsi="Cambria" w:cs="Calibri"/>
          <w:spacing w:val="-2"/>
        </w:rPr>
        <w:t xml:space="preserve"> </w:t>
      </w:r>
      <w:r w:rsidRPr="009A0DA6">
        <w:rPr>
          <w:rFonts w:ascii="Cambria" w:eastAsia="Calibri" w:hAnsi="Cambria" w:cs="Calibri"/>
        </w:rPr>
        <w:t>t</w:t>
      </w:r>
      <w:r w:rsidRPr="009A0DA6">
        <w:rPr>
          <w:rFonts w:ascii="Cambria" w:eastAsia="Calibri" w:hAnsi="Cambria" w:cs="Calibri"/>
          <w:spacing w:val="-1"/>
        </w:rPr>
        <w:t>h</w:t>
      </w:r>
      <w:r w:rsidRPr="009A0DA6">
        <w:rPr>
          <w:rFonts w:ascii="Cambria" w:eastAsia="Calibri" w:hAnsi="Cambria" w:cs="Calibri"/>
        </w:rPr>
        <w:t>is a</w:t>
      </w:r>
      <w:r w:rsidRPr="009A0DA6">
        <w:rPr>
          <w:rFonts w:ascii="Cambria" w:eastAsia="Calibri" w:hAnsi="Cambria" w:cs="Calibri"/>
          <w:spacing w:val="-1"/>
        </w:rPr>
        <w:t>u</w:t>
      </w:r>
      <w:r w:rsidRPr="009A0DA6">
        <w:rPr>
          <w:rFonts w:ascii="Cambria" w:eastAsia="Calibri" w:hAnsi="Cambria" w:cs="Calibri"/>
        </w:rPr>
        <w:t>t</w:t>
      </w:r>
      <w:r w:rsidRPr="009A0DA6">
        <w:rPr>
          <w:rFonts w:ascii="Cambria" w:eastAsia="Calibri" w:hAnsi="Cambria" w:cs="Calibri"/>
          <w:spacing w:val="-1"/>
        </w:rPr>
        <w:t>h</w:t>
      </w:r>
      <w:r w:rsidRPr="009A0DA6">
        <w:rPr>
          <w:rFonts w:ascii="Cambria" w:eastAsia="Calibri" w:hAnsi="Cambria" w:cs="Calibri"/>
        </w:rPr>
        <w:t>o</w:t>
      </w:r>
      <w:r w:rsidRPr="009A0DA6">
        <w:rPr>
          <w:rFonts w:ascii="Cambria" w:eastAsia="Calibri" w:hAnsi="Cambria" w:cs="Calibri"/>
          <w:spacing w:val="1"/>
        </w:rPr>
        <w:t>r</w:t>
      </w:r>
      <w:r w:rsidRPr="009A0DA6">
        <w:rPr>
          <w:rFonts w:ascii="Cambria" w:eastAsia="Calibri" w:hAnsi="Cambria" w:cs="Calibri"/>
        </w:rPr>
        <w:t>ity,</w:t>
      </w:r>
      <w:r w:rsidRPr="009A0DA6">
        <w:rPr>
          <w:rFonts w:ascii="Cambria" w:eastAsia="Calibri" w:hAnsi="Cambria" w:cs="Calibri"/>
          <w:spacing w:val="-2"/>
        </w:rPr>
        <w:t xml:space="preserve"> </w:t>
      </w:r>
      <w:r w:rsidRPr="009A0DA6">
        <w:rPr>
          <w:rFonts w:ascii="Cambria" w:eastAsia="Calibri" w:hAnsi="Cambria" w:cs="Calibri"/>
        </w:rPr>
        <w:t>Synod</w:t>
      </w:r>
      <w:r w:rsidRPr="009A0DA6">
        <w:rPr>
          <w:rFonts w:ascii="Cambria" w:eastAsia="Calibri" w:hAnsi="Cambria" w:cs="Calibri"/>
          <w:spacing w:val="-1"/>
        </w:rPr>
        <w:t>’</w:t>
      </w:r>
      <w:r w:rsidRPr="009A0DA6">
        <w:rPr>
          <w:rFonts w:ascii="Cambria" w:eastAsia="Calibri" w:hAnsi="Cambria" w:cs="Calibri"/>
        </w:rPr>
        <w:t xml:space="preserve">s </w:t>
      </w:r>
      <w:r w:rsidRPr="009A0DA6">
        <w:rPr>
          <w:rFonts w:ascii="Cambria" w:eastAsia="Calibri" w:hAnsi="Cambria" w:cs="Calibri"/>
          <w:spacing w:val="-1"/>
        </w:rPr>
        <w:t>d</w:t>
      </w:r>
      <w:r w:rsidRPr="009A0DA6">
        <w:rPr>
          <w:rFonts w:ascii="Cambria" w:eastAsia="Calibri" w:hAnsi="Cambria" w:cs="Calibri"/>
        </w:rPr>
        <w:t>e</w:t>
      </w:r>
      <w:r w:rsidRPr="009A0DA6">
        <w:rPr>
          <w:rFonts w:ascii="Cambria" w:eastAsia="Calibri" w:hAnsi="Cambria" w:cs="Calibri"/>
          <w:spacing w:val="-1"/>
        </w:rPr>
        <w:t>c</w:t>
      </w:r>
      <w:r w:rsidRPr="009A0DA6">
        <w:rPr>
          <w:rFonts w:ascii="Cambria" w:eastAsia="Calibri" w:hAnsi="Cambria" w:cs="Calibri"/>
        </w:rPr>
        <w:t>is</w:t>
      </w:r>
      <w:r w:rsidRPr="009A0DA6">
        <w:rPr>
          <w:rFonts w:ascii="Cambria" w:eastAsia="Calibri" w:hAnsi="Cambria" w:cs="Calibri"/>
          <w:spacing w:val="1"/>
        </w:rPr>
        <w:t>i</w:t>
      </w:r>
      <w:r w:rsidRPr="009A0DA6">
        <w:rPr>
          <w:rFonts w:ascii="Cambria" w:eastAsia="Calibri" w:hAnsi="Cambria" w:cs="Calibri"/>
        </w:rPr>
        <w:t xml:space="preserve">ons </w:t>
      </w:r>
      <w:r w:rsidRPr="009A0DA6">
        <w:rPr>
          <w:rFonts w:ascii="Cambria" w:eastAsia="Calibri" w:hAnsi="Cambria" w:cs="Calibri"/>
          <w:spacing w:val="-2"/>
        </w:rPr>
        <w:t>m</w:t>
      </w:r>
      <w:r w:rsidRPr="009A0DA6">
        <w:rPr>
          <w:rFonts w:ascii="Cambria" w:eastAsia="Calibri" w:hAnsi="Cambria" w:cs="Calibri"/>
          <w:spacing w:val="-1"/>
        </w:rPr>
        <w:t>u</w:t>
      </w:r>
      <w:r w:rsidRPr="009A0DA6">
        <w:rPr>
          <w:rFonts w:ascii="Cambria" w:eastAsia="Calibri" w:hAnsi="Cambria" w:cs="Calibri"/>
        </w:rPr>
        <w:t>st</w:t>
      </w:r>
      <w:r w:rsidRPr="009A0DA6">
        <w:rPr>
          <w:rFonts w:ascii="Cambria" w:eastAsia="Calibri" w:hAnsi="Cambria" w:cs="Calibri"/>
          <w:spacing w:val="-1"/>
        </w:rPr>
        <w:t xml:space="preserve"> b</w:t>
      </w:r>
      <w:r w:rsidRPr="009A0DA6">
        <w:rPr>
          <w:rFonts w:ascii="Cambria" w:eastAsia="Calibri" w:hAnsi="Cambria" w:cs="Calibri"/>
        </w:rPr>
        <w:t>e</w:t>
      </w:r>
      <w:r w:rsidRPr="009A0DA6">
        <w:rPr>
          <w:rFonts w:ascii="Cambria" w:eastAsia="Calibri" w:hAnsi="Cambria" w:cs="Calibri"/>
          <w:spacing w:val="-1"/>
        </w:rPr>
        <w:t xml:space="preserve"> h</w:t>
      </w:r>
      <w:r w:rsidRPr="009A0DA6">
        <w:rPr>
          <w:rFonts w:ascii="Cambria" w:eastAsia="Calibri" w:hAnsi="Cambria" w:cs="Calibri"/>
        </w:rPr>
        <w:t>onoure</w:t>
      </w:r>
      <w:r w:rsidRPr="009A0DA6">
        <w:rPr>
          <w:rFonts w:ascii="Cambria" w:eastAsia="Calibri" w:hAnsi="Cambria" w:cs="Calibri"/>
          <w:spacing w:val="-1"/>
        </w:rPr>
        <w:t>d</w:t>
      </w:r>
      <w:r w:rsidRPr="009A0DA6">
        <w:rPr>
          <w:rFonts w:ascii="Cambria" w:eastAsia="Calibri" w:hAnsi="Cambria" w:cs="Calibri"/>
        </w:rPr>
        <w:t>.</w:t>
      </w:r>
      <w:r w:rsidRPr="009A0DA6">
        <w:rPr>
          <w:rFonts w:ascii="Cambria" w:eastAsia="Calibri" w:hAnsi="Cambria" w:cs="Calibri"/>
        </w:rPr>
        <w:br/>
      </w:r>
    </w:p>
    <w:p w14:paraId="7EC5A416" w14:textId="35BDBF6B" w:rsidR="00680D5E" w:rsidRPr="009A0DA6" w:rsidRDefault="00680D5E" w:rsidP="00F55252">
      <w:pPr>
        <w:pStyle w:val="ListParagraph"/>
        <w:numPr>
          <w:ilvl w:val="0"/>
          <w:numId w:val="131"/>
        </w:numPr>
        <w:spacing w:before="28" w:after="0" w:line="240" w:lineRule="auto"/>
        <w:ind w:left="567" w:right="213" w:hanging="567"/>
        <w:rPr>
          <w:rFonts w:ascii="Cambria" w:eastAsia="Calibri" w:hAnsi="Cambria" w:cs="Calibri"/>
        </w:rPr>
      </w:pPr>
      <w:r w:rsidRPr="009A0DA6">
        <w:rPr>
          <w:rFonts w:ascii="Cambria" w:eastAsia="Calibri" w:hAnsi="Cambria" w:cs="Calibri"/>
        </w:rPr>
        <w:t>M</w:t>
      </w:r>
      <w:r w:rsidRPr="009A0DA6">
        <w:rPr>
          <w:rFonts w:ascii="Cambria" w:eastAsia="Calibri" w:hAnsi="Cambria" w:cs="Calibri"/>
          <w:spacing w:val="-1"/>
        </w:rPr>
        <w:t>u</w:t>
      </w:r>
      <w:r w:rsidRPr="009A0DA6">
        <w:rPr>
          <w:rFonts w:ascii="Cambria" w:eastAsia="Calibri" w:hAnsi="Cambria" w:cs="Calibri"/>
        </w:rPr>
        <w:t>st</w:t>
      </w:r>
      <w:r w:rsidRPr="009A0DA6">
        <w:rPr>
          <w:rFonts w:ascii="Cambria" w:eastAsia="Calibri" w:hAnsi="Cambria" w:cs="Calibri"/>
          <w:spacing w:val="-1"/>
        </w:rPr>
        <w:t xml:space="preserve"> </w:t>
      </w:r>
      <w:r w:rsidRPr="009A0DA6">
        <w:rPr>
          <w:rFonts w:ascii="Cambria" w:eastAsia="Calibri" w:hAnsi="Cambria" w:cs="Calibri"/>
        </w:rPr>
        <w:t>we</w:t>
      </w:r>
      <w:r w:rsidRPr="009A0DA6">
        <w:rPr>
          <w:rFonts w:ascii="Cambria" w:eastAsia="Calibri" w:hAnsi="Cambria" w:cs="Calibri"/>
          <w:spacing w:val="-1"/>
        </w:rPr>
        <w:t xml:space="preserve"> n</w:t>
      </w:r>
      <w:r w:rsidRPr="009A0DA6">
        <w:rPr>
          <w:rFonts w:ascii="Cambria" w:eastAsia="Calibri" w:hAnsi="Cambria" w:cs="Calibri"/>
        </w:rPr>
        <w:t>ot o</w:t>
      </w:r>
      <w:r w:rsidRPr="009A0DA6">
        <w:rPr>
          <w:rFonts w:ascii="Cambria" w:eastAsia="Calibri" w:hAnsi="Cambria" w:cs="Calibri"/>
          <w:spacing w:val="-1"/>
        </w:rPr>
        <w:t>b</w:t>
      </w:r>
      <w:r w:rsidRPr="009A0DA6">
        <w:rPr>
          <w:rFonts w:ascii="Cambria" w:eastAsia="Calibri" w:hAnsi="Cambria" w:cs="Calibri"/>
        </w:rPr>
        <w:t>ey</w:t>
      </w:r>
      <w:r w:rsidRPr="009A0DA6">
        <w:rPr>
          <w:rFonts w:ascii="Cambria" w:eastAsia="Calibri" w:hAnsi="Cambria" w:cs="Calibri"/>
          <w:spacing w:val="-2"/>
        </w:rPr>
        <w:t xml:space="preserve"> </w:t>
      </w:r>
      <w:r w:rsidRPr="009A0DA6">
        <w:rPr>
          <w:rFonts w:ascii="Cambria" w:eastAsia="Calibri" w:hAnsi="Cambria" w:cs="Calibri"/>
        </w:rPr>
        <w:t>G</w:t>
      </w:r>
      <w:r w:rsidRPr="009A0DA6">
        <w:rPr>
          <w:rFonts w:ascii="Cambria" w:eastAsia="Calibri" w:hAnsi="Cambria" w:cs="Calibri"/>
          <w:spacing w:val="-1"/>
        </w:rPr>
        <w:t>od</w:t>
      </w:r>
      <w:r w:rsidRPr="009A0DA6">
        <w:rPr>
          <w:rFonts w:ascii="Cambria" w:eastAsia="Calibri" w:hAnsi="Cambria" w:cs="Calibri"/>
        </w:rPr>
        <w:t>’s</w:t>
      </w:r>
      <w:r w:rsidRPr="009A0DA6">
        <w:rPr>
          <w:rFonts w:ascii="Cambria" w:eastAsia="Calibri" w:hAnsi="Cambria" w:cs="Calibri"/>
          <w:spacing w:val="-1"/>
        </w:rPr>
        <w:t xml:space="preserve"> </w:t>
      </w:r>
      <w:r w:rsidRPr="009A0DA6">
        <w:rPr>
          <w:rFonts w:ascii="Cambria" w:eastAsia="Calibri" w:hAnsi="Cambria" w:cs="Calibri"/>
        </w:rPr>
        <w:t>g</w:t>
      </w:r>
      <w:r w:rsidRPr="009A0DA6">
        <w:rPr>
          <w:rFonts w:ascii="Cambria" w:eastAsia="Calibri" w:hAnsi="Cambria" w:cs="Calibri"/>
          <w:spacing w:val="-1"/>
        </w:rPr>
        <w:t>u</w:t>
      </w:r>
      <w:r w:rsidRPr="009A0DA6">
        <w:rPr>
          <w:rFonts w:ascii="Cambria" w:eastAsia="Calibri" w:hAnsi="Cambria" w:cs="Calibri"/>
        </w:rPr>
        <w:t>id</w:t>
      </w:r>
      <w:r w:rsidRPr="009A0DA6">
        <w:rPr>
          <w:rFonts w:ascii="Cambria" w:eastAsia="Calibri" w:hAnsi="Cambria" w:cs="Calibri"/>
          <w:spacing w:val="-1"/>
        </w:rPr>
        <w:t>anc</w:t>
      </w:r>
      <w:r w:rsidRPr="009A0DA6">
        <w:rPr>
          <w:rFonts w:ascii="Cambria" w:eastAsia="Calibri" w:hAnsi="Cambria" w:cs="Calibri"/>
        </w:rPr>
        <w:t>e a</w:t>
      </w:r>
      <w:r w:rsidRPr="009A0DA6">
        <w:rPr>
          <w:rFonts w:ascii="Cambria" w:eastAsia="Calibri" w:hAnsi="Cambria" w:cs="Calibri"/>
          <w:spacing w:val="-1"/>
        </w:rPr>
        <w:t>n</w:t>
      </w:r>
      <w:r w:rsidR="007365CB" w:rsidRPr="009A0DA6">
        <w:rPr>
          <w:rFonts w:ascii="Cambria" w:eastAsia="Calibri" w:hAnsi="Cambria" w:cs="Calibri"/>
        </w:rPr>
        <w:t>d His w</w:t>
      </w:r>
      <w:r w:rsidRPr="009A0DA6">
        <w:rPr>
          <w:rFonts w:ascii="Cambria" w:eastAsia="Calibri" w:hAnsi="Cambria" w:cs="Calibri"/>
        </w:rPr>
        <w:t>ill as</w:t>
      </w:r>
      <w:r w:rsidRPr="009A0DA6">
        <w:rPr>
          <w:rFonts w:ascii="Cambria" w:eastAsia="Calibri" w:hAnsi="Cambria" w:cs="Calibri"/>
          <w:spacing w:val="-1"/>
        </w:rPr>
        <w:t xml:space="preserve"> d</w:t>
      </w:r>
      <w:r w:rsidRPr="009A0DA6">
        <w:rPr>
          <w:rFonts w:ascii="Cambria" w:eastAsia="Calibri" w:hAnsi="Cambria" w:cs="Calibri"/>
        </w:rPr>
        <w:t>e</w:t>
      </w:r>
      <w:r w:rsidRPr="009A0DA6">
        <w:rPr>
          <w:rFonts w:ascii="Cambria" w:eastAsia="Calibri" w:hAnsi="Cambria" w:cs="Calibri"/>
          <w:spacing w:val="-2"/>
        </w:rPr>
        <w:t>m</w:t>
      </w:r>
      <w:r w:rsidRPr="009A0DA6">
        <w:rPr>
          <w:rFonts w:ascii="Cambria" w:eastAsia="Calibri" w:hAnsi="Cambria" w:cs="Calibri"/>
        </w:rPr>
        <w:t>onstrat</w:t>
      </w:r>
      <w:r w:rsidRPr="009A0DA6">
        <w:rPr>
          <w:rFonts w:ascii="Cambria" w:eastAsia="Calibri" w:hAnsi="Cambria" w:cs="Calibri"/>
          <w:spacing w:val="-1"/>
        </w:rPr>
        <w:t>e</w:t>
      </w:r>
      <w:r w:rsidRPr="009A0DA6">
        <w:rPr>
          <w:rFonts w:ascii="Cambria" w:eastAsia="Calibri" w:hAnsi="Cambria" w:cs="Calibri"/>
        </w:rPr>
        <w:t>d</w:t>
      </w:r>
      <w:r w:rsidRPr="009A0DA6">
        <w:rPr>
          <w:rFonts w:ascii="Cambria" w:eastAsia="Calibri" w:hAnsi="Cambria" w:cs="Calibri"/>
          <w:spacing w:val="-2"/>
        </w:rPr>
        <w:t xml:space="preserve"> </w:t>
      </w:r>
      <w:r w:rsidRPr="009A0DA6">
        <w:rPr>
          <w:rFonts w:ascii="Cambria" w:eastAsia="Calibri" w:hAnsi="Cambria" w:cs="Calibri"/>
        </w:rPr>
        <w:t>at</w:t>
      </w:r>
      <w:r w:rsidRPr="009A0DA6">
        <w:rPr>
          <w:rFonts w:ascii="Cambria" w:eastAsia="Calibri" w:hAnsi="Cambria" w:cs="Calibri"/>
          <w:spacing w:val="-2"/>
        </w:rPr>
        <w:t xml:space="preserve"> </w:t>
      </w:r>
      <w:r w:rsidRPr="009A0DA6">
        <w:rPr>
          <w:rFonts w:ascii="Cambria" w:eastAsia="Calibri" w:hAnsi="Cambria" w:cs="Calibri"/>
        </w:rPr>
        <w:t>all f</w:t>
      </w:r>
      <w:r w:rsidRPr="009A0DA6">
        <w:rPr>
          <w:rFonts w:ascii="Cambria" w:eastAsia="Calibri" w:hAnsi="Cambria" w:cs="Calibri"/>
          <w:spacing w:val="1"/>
        </w:rPr>
        <w:t>o</w:t>
      </w:r>
      <w:r w:rsidRPr="009A0DA6">
        <w:rPr>
          <w:rFonts w:ascii="Cambria" w:eastAsia="Calibri" w:hAnsi="Cambria" w:cs="Calibri"/>
          <w:spacing w:val="-1"/>
        </w:rPr>
        <w:t>u</w:t>
      </w:r>
      <w:r w:rsidRPr="009A0DA6">
        <w:rPr>
          <w:rFonts w:ascii="Cambria" w:eastAsia="Calibri" w:hAnsi="Cambria" w:cs="Calibri"/>
        </w:rPr>
        <w:t>r Sy</w:t>
      </w:r>
      <w:r w:rsidRPr="009A0DA6">
        <w:rPr>
          <w:rFonts w:ascii="Cambria" w:eastAsia="Calibri" w:hAnsi="Cambria" w:cs="Calibri"/>
          <w:spacing w:val="-1"/>
        </w:rPr>
        <w:t>n</w:t>
      </w:r>
      <w:r w:rsidRPr="009A0DA6">
        <w:rPr>
          <w:rFonts w:ascii="Cambria" w:eastAsia="Calibri" w:hAnsi="Cambria" w:cs="Calibri"/>
        </w:rPr>
        <w:t>ods of t</w:t>
      </w:r>
      <w:r w:rsidRPr="009A0DA6">
        <w:rPr>
          <w:rFonts w:ascii="Cambria" w:eastAsia="Calibri" w:hAnsi="Cambria" w:cs="Calibri"/>
          <w:spacing w:val="-2"/>
        </w:rPr>
        <w:t>h</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rPr>
        <w:t>L</w:t>
      </w:r>
      <w:r w:rsidRPr="009A0DA6">
        <w:rPr>
          <w:rFonts w:ascii="Cambria" w:eastAsia="Calibri" w:hAnsi="Cambria" w:cs="Calibri"/>
          <w:spacing w:val="-1"/>
        </w:rPr>
        <w:t>C</w:t>
      </w:r>
      <w:r w:rsidRPr="009A0DA6">
        <w:rPr>
          <w:rFonts w:ascii="Cambria" w:eastAsia="Calibri" w:hAnsi="Cambria" w:cs="Calibri"/>
        </w:rPr>
        <w:t>A?</w:t>
      </w:r>
      <w:r w:rsidRPr="009A0DA6">
        <w:rPr>
          <w:rFonts w:ascii="Cambria" w:eastAsia="Calibri" w:hAnsi="Cambria" w:cs="Calibri"/>
        </w:rPr>
        <w:br/>
      </w:r>
    </w:p>
    <w:p w14:paraId="7F34E9B5" w14:textId="6FC54214" w:rsidR="00680D5E" w:rsidRPr="009A0DA6" w:rsidRDefault="00680D5E" w:rsidP="00F55252">
      <w:pPr>
        <w:pStyle w:val="ListParagraph"/>
        <w:numPr>
          <w:ilvl w:val="0"/>
          <w:numId w:val="131"/>
        </w:numPr>
        <w:spacing w:before="28" w:after="0" w:line="240" w:lineRule="auto"/>
        <w:ind w:left="567" w:right="213" w:hanging="567"/>
        <w:rPr>
          <w:rFonts w:ascii="Cambria" w:eastAsia="Calibri" w:hAnsi="Cambria" w:cs="Calibri"/>
        </w:rPr>
      </w:pPr>
      <w:r w:rsidRPr="009A0DA6">
        <w:rPr>
          <w:rFonts w:ascii="Cambria" w:eastAsia="Calibri" w:hAnsi="Cambria" w:cs="Calibri"/>
        </w:rPr>
        <w:t>Like</w:t>
      </w:r>
      <w:r w:rsidRPr="009A0DA6">
        <w:rPr>
          <w:rFonts w:ascii="Cambria" w:eastAsia="Calibri" w:hAnsi="Cambria" w:cs="Calibri"/>
          <w:spacing w:val="-2"/>
        </w:rPr>
        <w:t xml:space="preserve"> </w:t>
      </w:r>
      <w:r w:rsidRPr="009A0DA6">
        <w:rPr>
          <w:rFonts w:ascii="Cambria" w:eastAsia="Calibri" w:hAnsi="Cambria" w:cs="Calibri"/>
        </w:rPr>
        <w:t xml:space="preserve">all </w:t>
      </w:r>
      <w:r w:rsidRPr="009A0DA6">
        <w:rPr>
          <w:rFonts w:ascii="Cambria" w:eastAsia="Calibri" w:hAnsi="Cambria" w:cs="Calibri"/>
          <w:spacing w:val="-2"/>
        </w:rPr>
        <w:t>c</w:t>
      </w:r>
      <w:r w:rsidRPr="009A0DA6">
        <w:rPr>
          <w:rFonts w:ascii="Cambria" w:eastAsia="Calibri" w:hAnsi="Cambria" w:cs="Calibri"/>
        </w:rPr>
        <w:t>onfes</w:t>
      </w:r>
      <w:r w:rsidRPr="009A0DA6">
        <w:rPr>
          <w:rFonts w:ascii="Cambria" w:eastAsia="Calibri" w:hAnsi="Cambria" w:cs="Calibri"/>
          <w:spacing w:val="1"/>
        </w:rPr>
        <w:t>s</w:t>
      </w:r>
      <w:r w:rsidRPr="009A0DA6">
        <w:rPr>
          <w:rFonts w:ascii="Cambria" w:eastAsia="Calibri" w:hAnsi="Cambria" w:cs="Calibri"/>
        </w:rPr>
        <w:t>i</w:t>
      </w:r>
      <w:r w:rsidRPr="009A0DA6">
        <w:rPr>
          <w:rFonts w:ascii="Cambria" w:eastAsia="Calibri" w:hAnsi="Cambria" w:cs="Calibri"/>
          <w:spacing w:val="1"/>
        </w:rPr>
        <w:t>o</w:t>
      </w:r>
      <w:r w:rsidRPr="009A0DA6">
        <w:rPr>
          <w:rFonts w:ascii="Cambria" w:eastAsia="Calibri" w:hAnsi="Cambria" w:cs="Calibri"/>
          <w:spacing w:val="-1"/>
        </w:rPr>
        <w:t>n</w:t>
      </w:r>
      <w:r w:rsidRPr="009A0DA6">
        <w:rPr>
          <w:rFonts w:ascii="Cambria" w:eastAsia="Calibri" w:hAnsi="Cambria" w:cs="Calibri"/>
          <w:spacing w:val="-3"/>
        </w:rPr>
        <w:t>a</w:t>
      </w:r>
      <w:r w:rsidRPr="009A0DA6">
        <w:rPr>
          <w:rFonts w:ascii="Cambria" w:eastAsia="Calibri" w:hAnsi="Cambria" w:cs="Calibri"/>
        </w:rPr>
        <w:t xml:space="preserve">l </w:t>
      </w:r>
      <w:r w:rsidRPr="009A0DA6">
        <w:rPr>
          <w:rFonts w:ascii="Cambria" w:eastAsia="Calibri" w:hAnsi="Cambria" w:cs="Calibri"/>
          <w:spacing w:val="-2"/>
        </w:rPr>
        <w:t>s</w:t>
      </w:r>
      <w:r w:rsidRPr="009A0DA6">
        <w:rPr>
          <w:rFonts w:ascii="Cambria" w:eastAsia="Calibri" w:hAnsi="Cambria" w:cs="Calibri"/>
        </w:rPr>
        <w:t>ta</w:t>
      </w:r>
      <w:r w:rsidRPr="009A0DA6">
        <w:rPr>
          <w:rFonts w:ascii="Cambria" w:eastAsia="Calibri" w:hAnsi="Cambria" w:cs="Calibri"/>
          <w:spacing w:val="-1"/>
        </w:rPr>
        <w:t>t</w:t>
      </w:r>
      <w:r w:rsidRPr="009A0DA6">
        <w:rPr>
          <w:rFonts w:ascii="Cambria" w:eastAsia="Calibri" w:hAnsi="Cambria" w:cs="Calibri"/>
        </w:rPr>
        <w:t>e</w:t>
      </w:r>
      <w:r w:rsidRPr="009A0DA6">
        <w:rPr>
          <w:rFonts w:ascii="Cambria" w:eastAsia="Calibri" w:hAnsi="Cambria" w:cs="Calibri"/>
          <w:spacing w:val="-2"/>
        </w:rPr>
        <w:t>m</w:t>
      </w:r>
      <w:r w:rsidRPr="009A0DA6">
        <w:rPr>
          <w:rFonts w:ascii="Cambria" w:eastAsia="Calibri" w:hAnsi="Cambria" w:cs="Calibri"/>
        </w:rPr>
        <w:t>e</w:t>
      </w:r>
      <w:r w:rsidRPr="009A0DA6">
        <w:rPr>
          <w:rFonts w:ascii="Cambria" w:eastAsia="Calibri" w:hAnsi="Cambria" w:cs="Calibri"/>
          <w:spacing w:val="-2"/>
        </w:rPr>
        <w:t>n</w:t>
      </w:r>
      <w:r w:rsidRPr="009A0DA6">
        <w:rPr>
          <w:rFonts w:ascii="Cambria" w:eastAsia="Calibri" w:hAnsi="Cambria" w:cs="Calibri"/>
        </w:rPr>
        <w:t>ts,</w:t>
      </w:r>
      <w:r w:rsidRPr="009A0DA6">
        <w:rPr>
          <w:rFonts w:ascii="Cambria" w:eastAsia="Calibri" w:hAnsi="Cambria" w:cs="Calibri"/>
          <w:spacing w:val="-1"/>
        </w:rPr>
        <w:t xml:space="preserve"> </w:t>
      </w:r>
      <w:r w:rsidRPr="009A0DA6">
        <w:rPr>
          <w:rFonts w:ascii="Cambria" w:eastAsia="Calibri" w:hAnsi="Cambria" w:cs="Calibri"/>
        </w:rPr>
        <w:t>t</w:t>
      </w:r>
      <w:r w:rsidRPr="009A0DA6">
        <w:rPr>
          <w:rFonts w:ascii="Cambria" w:eastAsia="Calibri" w:hAnsi="Cambria" w:cs="Calibri"/>
          <w:spacing w:val="-2"/>
        </w:rPr>
        <w:t>h</w:t>
      </w:r>
      <w:r w:rsidRPr="009A0DA6">
        <w:rPr>
          <w:rFonts w:ascii="Cambria" w:eastAsia="Calibri" w:hAnsi="Cambria" w:cs="Calibri"/>
        </w:rPr>
        <w:t>e T</w:t>
      </w:r>
      <w:r w:rsidRPr="009A0DA6">
        <w:rPr>
          <w:rFonts w:ascii="Cambria" w:eastAsia="Calibri" w:hAnsi="Cambria" w:cs="Calibri"/>
          <w:spacing w:val="-1"/>
        </w:rPr>
        <w:t>h</w:t>
      </w:r>
      <w:r w:rsidRPr="009A0DA6">
        <w:rPr>
          <w:rFonts w:ascii="Cambria" w:eastAsia="Calibri" w:hAnsi="Cambria" w:cs="Calibri"/>
        </w:rPr>
        <w:t>es</w:t>
      </w:r>
      <w:r w:rsidRPr="009A0DA6">
        <w:rPr>
          <w:rFonts w:ascii="Cambria" w:eastAsia="Calibri" w:hAnsi="Cambria" w:cs="Calibri"/>
          <w:spacing w:val="2"/>
        </w:rPr>
        <w:t>e</w:t>
      </w:r>
      <w:r w:rsidRPr="009A0DA6">
        <w:rPr>
          <w:rFonts w:ascii="Cambria" w:eastAsia="Calibri" w:hAnsi="Cambria" w:cs="Calibri"/>
        </w:rPr>
        <w:t>s of Agree</w:t>
      </w:r>
      <w:r w:rsidRPr="009A0DA6">
        <w:rPr>
          <w:rFonts w:ascii="Cambria" w:eastAsia="Calibri" w:hAnsi="Cambria" w:cs="Calibri"/>
          <w:spacing w:val="-1"/>
        </w:rPr>
        <w:t>m</w:t>
      </w:r>
      <w:r w:rsidRPr="009A0DA6">
        <w:rPr>
          <w:rFonts w:ascii="Cambria" w:eastAsia="Calibri" w:hAnsi="Cambria" w:cs="Calibri"/>
        </w:rPr>
        <w:t>e</w:t>
      </w:r>
      <w:r w:rsidRPr="009A0DA6">
        <w:rPr>
          <w:rFonts w:ascii="Cambria" w:eastAsia="Calibri" w:hAnsi="Cambria" w:cs="Calibri"/>
          <w:spacing w:val="-2"/>
        </w:rPr>
        <w:t>n</w:t>
      </w:r>
      <w:r w:rsidRPr="009A0DA6">
        <w:rPr>
          <w:rFonts w:ascii="Cambria" w:eastAsia="Calibri" w:hAnsi="Cambria" w:cs="Calibri"/>
        </w:rPr>
        <w:t>t</w:t>
      </w:r>
      <w:r w:rsidRPr="009A0DA6">
        <w:rPr>
          <w:rFonts w:ascii="Cambria" w:eastAsia="Calibri" w:hAnsi="Cambria" w:cs="Calibri"/>
          <w:spacing w:val="-1"/>
        </w:rPr>
        <w:t xml:space="preserve"> </w:t>
      </w:r>
      <w:r w:rsidRPr="009A0DA6">
        <w:rPr>
          <w:rFonts w:ascii="Cambria" w:eastAsia="Calibri" w:hAnsi="Cambria" w:cs="Calibri"/>
        </w:rPr>
        <w:t>are</w:t>
      </w:r>
      <w:r w:rsidRPr="009A0DA6">
        <w:rPr>
          <w:rFonts w:ascii="Cambria" w:eastAsia="Calibri" w:hAnsi="Cambria" w:cs="Calibri"/>
          <w:spacing w:val="-1"/>
        </w:rPr>
        <w:t xml:space="preserve"> </w:t>
      </w:r>
      <w:r w:rsidRPr="009A0DA6">
        <w:rPr>
          <w:rFonts w:ascii="Cambria" w:eastAsia="Calibri" w:hAnsi="Cambria" w:cs="Calibri"/>
        </w:rPr>
        <w:t>a</w:t>
      </w:r>
      <w:r w:rsidRPr="009A0DA6">
        <w:rPr>
          <w:rFonts w:ascii="Cambria" w:eastAsia="Calibri" w:hAnsi="Cambria" w:cs="Calibri"/>
          <w:spacing w:val="-2"/>
        </w:rPr>
        <w:t>l</w:t>
      </w:r>
      <w:r w:rsidRPr="009A0DA6">
        <w:rPr>
          <w:rFonts w:ascii="Cambria" w:eastAsia="Calibri" w:hAnsi="Cambria" w:cs="Calibri"/>
        </w:rPr>
        <w:t xml:space="preserve">ways </w:t>
      </w:r>
      <w:r w:rsidRPr="009A0DA6">
        <w:rPr>
          <w:rFonts w:ascii="Cambria" w:eastAsia="Calibri" w:hAnsi="Cambria" w:cs="Calibri"/>
          <w:spacing w:val="-1"/>
        </w:rPr>
        <w:t>und</w:t>
      </w:r>
      <w:r w:rsidRPr="009A0DA6">
        <w:rPr>
          <w:rFonts w:ascii="Cambria" w:eastAsia="Calibri" w:hAnsi="Cambria" w:cs="Calibri"/>
        </w:rPr>
        <w:t>er</w:t>
      </w:r>
      <w:r w:rsidRPr="009A0DA6">
        <w:rPr>
          <w:rFonts w:ascii="Cambria" w:eastAsia="Calibri" w:hAnsi="Cambria" w:cs="Calibri"/>
          <w:spacing w:val="-1"/>
        </w:rPr>
        <w:t xml:space="preserve"> </w:t>
      </w:r>
      <w:r w:rsidRPr="009A0DA6">
        <w:rPr>
          <w:rFonts w:ascii="Cambria" w:eastAsia="Calibri" w:hAnsi="Cambria" w:cs="Calibri"/>
          <w:spacing w:val="3"/>
        </w:rPr>
        <w:t>t</w:t>
      </w:r>
      <w:r w:rsidRPr="009A0DA6">
        <w:rPr>
          <w:rFonts w:ascii="Cambria" w:eastAsia="Calibri" w:hAnsi="Cambria" w:cs="Calibri"/>
          <w:spacing w:val="-1"/>
        </w:rPr>
        <w:t>h</w:t>
      </w:r>
      <w:r w:rsidRPr="009A0DA6">
        <w:rPr>
          <w:rFonts w:ascii="Cambria" w:eastAsia="Calibri" w:hAnsi="Cambria" w:cs="Calibri"/>
        </w:rPr>
        <w:t>e a</w:t>
      </w:r>
      <w:r w:rsidRPr="009A0DA6">
        <w:rPr>
          <w:rFonts w:ascii="Cambria" w:eastAsia="Calibri" w:hAnsi="Cambria" w:cs="Calibri"/>
          <w:spacing w:val="-1"/>
        </w:rPr>
        <w:t>u</w:t>
      </w:r>
      <w:r w:rsidRPr="009A0DA6">
        <w:rPr>
          <w:rFonts w:ascii="Cambria" w:eastAsia="Calibri" w:hAnsi="Cambria" w:cs="Calibri"/>
        </w:rPr>
        <w:t>t</w:t>
      </w:r>
      <w:r w:rsidRPr="009A0DA6">
        <w:rPr>
          <w:rFonts w:ascii="Cambria" w:eastAsia="Calibri" w:hAnsi="Cambria" w:cs="Calibri"/>
          <w:spacing w:val="-2"/>
        </w:rPr>
        <w:t>h</w:t>
      </w:r>
      <w:r w:rsidRPr="009A0DA6">
        <w:rPr>
          <w:rFonts w:ascii="Cambria" w:eastAsia="Calibri" w:hAnsi="Cambria" w:cs="Calibri"/>
        </w:rPr>
        <w:t>o</w:t>
      </w:r>
      <w:r w:rsidRPr="009A0DA6">
        <w:rPr>
          <w:rFonts w:ascii="Cambria" w:eastAsia="Calibri" w:hAnsi="Cambria" w:cs="Calibri"/>
          <w:spacing w:val="1"/>
        </w:rPr>
        <w:t>r</w:t>
      </w:r>
      <w:r w:rsidRPr="009A0DA6">
        <w:rPr>
          <w:rFonts w:ascii="Cambria" w:eastAsia="Calibri" w:hAnsi="Cambria" w:cs="Calibri"/>
        </w:rPr>
        <w:t>ity</w:t>
      </w:r>
      <w:r w:rsidRPr="009A0DA6">
        <w:rPr>
          <w:rFonts w:ascii="Cambria" w:eastAsia="Calibri" w:hAnsi="Cambria" w:cs="Calibri"/>
          <w:spacing w:val="-1"/>
        </w:rPr>
        <w:t xml:space="preserve"> </w:t>
      </w:r>
      <w:r w:rsidRPr="009A0DA6">
        <w:rPr>
          <w:rFonts w:ascii="Cambria" w:eastAsia="Calibri" w:hAnsi="Cambria" w:cs="Calibri"/>
        </w:rPr>
        <w:t>of t</w:t>
      </w:r>
      <w:r w:rsidRPr="009A0DA6">
        <w:rPr>
          <w:rFonts w:ascii="Cambria" w:eastAsia="Calibri" w:hAnsi="Cambria" w:cs="Calibri"/>
          <w:spacing w:val="-2"/>
        </w:rPr>
        <w:t>h</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rPr>
        <w:t>Wo</w:t>
      </w:r>
      <w:r w:rsidRPr="009A0DA6">
        <w:rPr>
          <w:rFonts w:ascii="Cambria" w:eastAsia="Calibri" w:hAnsi="Cambria" w:cs="Calibri"/>
          <w:spacing w:val="-1"/>
        </w:rPr>
        <w:t>r</w:t>
      </w:r>
      <w:r w:rsidRPr="009A0DA6">
        <w:rPr>
          <w:rFonts w:ascii="Cambria" w:eastAsia="Calibri" w:hAnsi="Cambria" w:cs="Calibri"/>
        </w:rPr>
        <w:t>d</w:t>
      </w:r>
      <w:r w:rsidRPr="009A0DA6">
        <w:rPr>
          <w:rFonts w:ascii="Cambria" w:eastAsia="Calibri" w:hAnsi="Cambria" w:cs="Calibri"/>
          <w:spacing w:val="-2"/>
        </w:rPr>
        <w:t xml:space="preserve"> </w:t>
      </w:r>
      <w:r w:rsidRPr="009A0DA6">
        <w:rPr>
          <w:rFonts w:ascii="Cambria" w:eastAsia="Calibri" w:hAnsi="Cambria" w:cs="Calibri"/>
        </w:rPr>
        <w:t>of G</w:t>
      </w:r>
      <w:r w:rsidRPr="009A0DA6">
        <w:rPr>
          <w:rFonts w:ascii="Cambria" w:eastAsia="Calibri" w:hAnsi="Cambria" w:cs="Calibri"/>
          <w:spacing w:val="1"/>
        </w:rPr>
        <w:t>o</w:t>
      </w:r>
      <w:r w:rsidRPr="009A0DA6">
        <w:rPr>
          <w:rFonts w:ascii="Cambria" w:eastAsia="Calibri" w:hAnsi="Cambria" w:cs="Calibri"/>
          <w:spacing w:val="-1"/>
        </w:rPr>
        <w:t>d</w:t>
      </w:r>
      <w:r w:rsidRPr="009A0DA6">
        <w:rPr>
          <w:rFonts w:ascii="Cambria" w:eastAsia="Calibri" w:hAnsi="Cambria" w:cs="Calibri"/>
        </w:rPr>
        <w:t>.</w:t>
      </w:r>
      <w:r w:rsidRPr="009A0DA6">
        <w:rPr>
          <w:rFonts w:ascii="Cambria" w:eastAsia="Calibri" w:hAnsi="Cambria" w:cs="Calibri"/>
          <w:spacing w:val="2"/>
        </w:rPr>
        <w:t xml:space="preserve"> </w:t>
      </w:r>
      <w:r w:rsidRPr="009A0DA6">
        <w:rPr>
          <w:rFonts w:ascii="Cambria" w:eastAsia="Calibri" w:hAnsi="Cambria" w:cs="Calibri"/>
        </w:rPr>
        <w:t>A</w:t>
      </w:r>
      <w:r w:rsidRPr="009A0DA6">
        <w:rPr>
          <w:rFonts w:ascii="Cambria" w:eastAsia="Calibri" w:hAnsi="Cambria" w:cs="Calibri"/>
          <w:spacing w:val="1"/>
        </w:rPr>
        <w:t>r</w:t>
      </w:r>
      <w:r w:rsidRPr="009A0DA6">
        <w:rPr>
          <w:rFonts w:ascii="Cambria" w:eastAsia="Calibri" w:hAnsi="Cambria" w:cs="Calibri"/>
        </w:rPr>
        <w:t>e</w:t>
      </w:r>
      <w:r w:rsidRPr="009A0DA6">
        <w:rPr>
          <w:rFonts w:ascii="Cambria" w:eastAsia="Calibri" w:hAnsi="Cambria" w:cs="Calibri"/>
          <w:spacing w:val="-4"/>
        </w:rPr>
        <w:t xml:space="preserve"> </w:t>
      </w:r>
      <w:r w:rsidRPr="009A0DA6">
        <w:rPr>
          <w:rFonts w:ascii="Cambria" w:eastAsia="Calibri" w:hAnsi="Cambria" w:cs="Calibri"/>
        </w:rPr>
        <w:t xml:space="preserve">we </w:t>
      </w:r>
      <w:r w:rsidRPr="009A0DA6">
        <w:rPr>
          <w:rFonts w:ascii="Cambria" w:eastAsia="Calibri" w:hAnsi="Cambria" w:cs="Calibri"/>
          <w:spacing w:val="-1"/>
        </w:rPr>
        <w:t>b</w:t>
      </w:r>
      <w:r w:rsidRPr="009A0DA6">
        <w:rPr>
          <w:rFonts w:ascii="Cambria" w:eastAsia="Calibri" w:hAnsi="Cambria" w:cs="Calibri"/>
        </w:rPr>
        <w:t>ei</w:t>
      </w:r>
      <w:r w:rsidRPr="009A0DA6">
        <w:rPr>
          <w:rFonts w:ascii="Cambria" w:eastAsia="Calibri" w:hAnsi="Cambria" w:cs="Calibri"/>
          <w:spacing w:val="-1"/>
        </w:rPr>
        <w:t>n</w:t>
      </w:r>
      <w:r w:rsidRPr="009A0DA6">
        <w:rPr>
          <w:rFonts w:ascii="Cambria" w:eastAsia="Calibri" w:hAnsi="Cambria" w:cs="Calibri"/>
        </w:rPr>
        <w:t>g</w:t>
      </w:r>
      <w:r w:rsidRPr="009A0DA6">
        <w:rPr>
          <w:rFonts w:ascii="Cambria" w:eastAsia="Calibri" w:hAnsi="Cambria" w:cs="Calibri"/>
          <w:spacing w:val="-1"/>
        </w:rPr>
        <w:t xml:space="preserve"> </w:t>
      </w:r>
      <w:r w:rsidRPr="009A0DA6">
        <w:rPr>
          <w:rFonts w:ascii="Cambria" w:eastAsia="Calibri" w:hAnsi="Cambria" w:cs="Calibri"/>
        </w:rPr>
        <w:t>infl</w:t>
      </w:r>
      <w:r w:rsidRPr="009A0DA6">
        <w:rPr>
          <w:rFonts w:ascii="Cambria" w:eastAsia="Calibri" w:hAnsi="Cambria" w:cs="Calibri"/>
          <w:spacing w:val="-1"/>
        </w:rPr>
        <w:t>u</w:t>
      </w:r>
      <w:r w:rsidRPr="009A0DA6">
        <w:rPr>
          <w:rFonts w:ascii="Cambria" w:eastAsia="Calibri" w:hAnsi="Cambria" w:cs="Calibri"/>
        </w:rPr>
        <w:t>e</w:t>
      </w:r>
      <w:r w:rsidRPr="009A0DA6">
        <w:rPr>
          <w:rFonts w:ascii="Cambria" w:eastAsia="Calibri" w:hAnsi="Cambria" w:cs="Calibri"/>
          <w:spacing w:val="-2"/>
        </w:rPr>
        <w:t>n</w:t>
      </w:r>
      <w:r w:rsidRPr="009A0DA6">
        <w:rPr>
          <w:rFonts w:ascii="Cambria" w:eastAsia="Calibri" w:hAnsi="Cambria" w:cs="Calibri"/>
          <w:spacing w:val="-1"/>
        </w:rPr>
        <w:t>c</w:t>
      </w:r>
      <w:r w:rsidRPr="009A0DA6">
        <w:rPr>
          <w:rFonts w:ascii="Cambria" w:eastAsia="Calibri" w:hAnsi="Cambria" w:cs="Calibri"/>
        </w:rPr>
        <w:t>ed a</w:t>
      </w:r>
      <w:r w:rsidRPr="009A0DA6">
        <w:rPr>
          <w:rFonts w:ascii="Cambria" w:eastAsia="Calibri" w:hAnsi="Cambria" w:cs="Calibri"/>
          <w:spacing w:val="-2"/>
        </w:rPr>
        <w:t>n</w:t>
      </w:r>
      <w:r w:rsidRPr="009A0DA6">
        <w:rPr>
          <w:rFonts w:ascii="Cambria" w:eastAsia="Calibri" w:hAnsi="Cambria" w:cs="Calibri"/>
        </w:rPr>
        <w:t xml:space="preserve">d </w:t>
      </w:r>
      <w:r w:rsidRPr="009A0DA6">
        <w:rPr>
          <w:rFonts w:ascii="Cambria" w:eastAsia="Calibri" w:hAnsi="Cambria" w:cs="Calibri"/>
          <w:spacing w:val="1"/>
        </w:rPr>
        <w:t>p</w:t>
      </w:r>
      <w:r w:rsidRPr="009A0DA6">
        <w:rPr>
          <w:rFonts w:ascii="Cambria" w:eastAsia="Calibri" w:hAnsi="Cambria" w:cs="Calibri"/>
          <w:spacing w:val="2"/>
        </w:rPr>
        <w:t>e</w:t>
      </w:r>
      <w:r w:rsidRPr="009A0DA6">
        <w:rPr>
          <w:rFonts w:ascii="Cambria" w:eastAsia="Calibri" w:hAnsi="Cambria" w:cs="Calibri"/>
          <w:spacing w:val="1"/>
        </w:rPr>
        <w:t>r</w:t>
      </w:r>
      <w:r w:rsidRPr="009A0DA6">
        <w:rPr>
          <w:rFonts w:ascii="Cambria" w:eastAsia="Calibri" w:hAnsi="Cambria" w:cs="Calibri"/>
          <w:spacing w:val="-1"/>
        </w:rPr>
        <w:t>h</w:t>
      </w:r>
      <w:r w:rsidRPr="009A0DA6">
        <w:rPr>
          <w:rFonts w:ascii="Cambria" w:eastAsia="Calibri" w:hAnsi="Cambria" w:cs="Calibri"/>
        </w:rPr>
        <w:t>a</w:t>
      </w:r>
      <w:r w:rsidRPr="009A0DA6">
        <w:rPr>
          <w:rFonts w:ascii="Cambria" w:eastAsia="Calibri" w:hAnsi="Cambria" w:cs="Calibri"/>
          <w:spacing w:val="-1"/>
        </w:rPr>
        <w:t>p</w:t>
      </w:r>
      <w:r w:rsidRPr="009A0DA6">
        <w:rPr>
          <w:rFonts w:ascii="Cambria" w:eastAsia="Calibri" w:hAnsi="Cambria" w:cs="Calibri"/>
        </w:rPr>
        <w:t xml:space="preserve">s </w:t>
      </w:r>
      <w:r w:rsidRPr="009A0DA6">
        <w:rPr>
          <w:rFonts w:ascii="Cambria" w:eastAsia="Calibri" w:hAnsi="Cambria" w:cs="Calibri"/>
          <w:spacing w:val="-2"/>
        </w:rPr>
        <w:t>d</w:t>
      </w:r>
      <w:r w:rsidRPr="009A0DA6">
        <w:rPr>
          <w:rFonts w:ascii="Cambria" w:eastAsia="Calibri" w:hAnsi="Cambria" w:cs="Calibri"/>
        </w:rPr>
        <w:t>e</w:t>
      </w:r>
      <w:r w:rsidRPr="009A0DA6">
        <w:rPr>
          <w:rFonts w:ascii="Cambria" w:eastAsia="Calibri" w:hAnsi="Cambria" w:cs="Calibri"/>
          <w:spacing w:val="-2"/>
        </w:rPr>
        <w:t>c</w:t>
      </w:r>
      <w:r w:rsidRPr="009A0DA6">
        <w:rPr>
          <w:rFonts w:ascii="Cambria" w:eastAsia="Calibri" w:hAnsi="Cambria" w:cs="Calibri"/>
        </w:rPr>
        <w:t>eived</w:t>
      </w:r>
      <w:r w:rsidRPr="009A0DA6">
        <w:rPr>
          <w:rFonts w:ascii="Cambria" w:eastAsia="Calibri" w:hAnsi="Cambria" w:cs="Calibri"/>
          <w:spacing w:val="-2"/>
        </w:rPr>
        <w:t xml:space="preserve"> </w:t>
      </w:r>
      <w:r w:rsidRPr="009A0DA6">
        <w:rPr>
          <w:rFonts w:ascii="Cambria" w:eastAsia="Calibri" w:hAnsi="Cambria" w:cs="Calibri"/>
          <w:spacing w:val="-1"/>
        </w:rPr>
        <w:t>b</w:t>
      </w:r>
      <w:r w:rsidRPr="009A0DA6">
        <w:rPr>
          <w:rFonts w:ascii="Cambria" w:eastAsia="Calibri" w:hAnsi="Cambria" w:cs="Calibri"/>
        </w:rPr>
        <w:t>y</w:t>
      </w:r>
      <w:r w:rsidRPr="009A0DA6">
        <w:rPr>
          <w:rFonts w:ascii="Cambria" w:eastAsia="Calibri" w:hAnsi="Cambria" w:cs="Calibri"/>
          <w:spacing w:val="2"/>
        </w:rPr>
        <w:t xml:space="preserve"> </w:t>
      </w:r>
      <w:r w:rsidRPr="009A0DA6">
        <w:rPr>
          <w:rFonts w:ascii="Cambria" w:eastAsia="Calibri" w:hAnsi="Cambria" w:cs="Calibri"/>
        </w:rPr>
        <w:t>“a rea</w:t>
      </w:r>
      <w:r w:rsidRPr="009A0DA6">
        <w:rPr>
          <w:rFonts w:ascii="Cambria" w:eastAsia="Calibri" w:hAnsi="Cambria" w:cs="Calibri"/>
          <w:spacing w:val="-1"/>
        </w:rPr>
        <w:t>d</w:t>
      </w:r>
      <w:r w:rsidRPr="009A0DA6">
        <w:rPr>
          <w:rFonts w:ascii="Cambria" w:eastAsia="Calibri" w:hAnsi="Cambria" w:cs="Calibri"/>
        </w:rPr>
        <w:t>in</w:t>
      </w:r>
      <w:r w:rsidRPr="009A0DA6">
        <w:rPr>
          <w:rFonts w:ascii="Cambria" w:eastAsia="Calibri" w:hAnsi="Cambria" w:cs="Calibri"/>
          <w:spacing w:val="-1"/>
        </w:rPr>
        <w:t>e</w:t>
      </w:r>
      <w:r w:rsidRPr="009A0DA6">
        <w:rPr>
          <w:rFonts w:ascii="Cambria" w:eastAsia="Calibri" w:hAnsi="Cambria" w:cs="Calibri"/>
        </w:rPr>
        <w:t>ss to s</w:t>
      </w:r>
      <w:r w:rsidRPr="009A0DA6">
        <w:rPr>
          <w:rFonts w:ascii="Cambria" w:eastAsia="Calibri" w:hAnsi="Cambria" w:cs="Calibri"/>
          <w:spacing w:val="-1"/>
        </w:rPr>
        <w:t>ubm</w:t>
      </w:r>
      <w:r w:rsidRPr="009A0DA6">
        <w:rPr>
          <w:rFonts w:ascii="Cambria" w:eastAsia="Calibri" w:hAnsi="Cambria" w:cs="Calibri"/>
        </w:rPr>
        <w:t>it t</w:t>
      </w:r>
      <w:r w:rsidRPr="009A0DA6">
        <w:rPr>
          <w:rFonts w:ascii="Cambria" w:eastAsia="Calibri" w:hAnsi="Cambria" w:cs="Calibri"/>
          <w:spacing w:val="-2"/>
        </w:rPr>
        <w:t>h</w:t>
      </w:r>
      <w:r w:rsidRPr="009A0DA6">
        <w:rPr>
          <w:rFonts w:ascii="Cambria" w:eastAsia="Calibri" w:hAnsi="Cambria" w:cs="Calibri"/>
          <w:spacing w:val="-1"/>
        </w:rPr>
        <w:t>e</w:t>
      </w:r>
      <w:r w:rsidRPr="009A0DA6">
        <w:rPr>
          <w:rFonts w:ascii="Cambria" w:eastAsia="Calibri" w:hAnsi="Cambria" w:cs="Calibri"/>
        </w:rPr>
        <w:t>m</w:t>
      </w:r>
      <w:r w:rsidRPr="009A0DA6">
        <w:rPr>
          <w:rFonts w:ascii="Cambria" w:eastAsia="Calibri" w:hAnsi="Cambria" w:cs="Calibri"/>
          <w:spacing w:val="-2"/>
        </w:rPr>
        <w:t xml:space="preserve"> </w:t>
      </w:r>
      <w:r w:rsidRPr="009A0DA6">
        <w:rPr>
          <w:rFonts w:ascii="Cambria" w:eastAsia="Calibri" w:hAnsi="Cambria" w:cs="Calibri"/>
        </w:rPr>
        <w:t>to t</w:t>
      </w:r>
      <w:r w:rsidRPr="009A0DA6">
        <w:rPr>
          <w:rFonts w:ascii="Cambria" w:eastAsia="Calibri" w:hAnsi="Cambria" w:cs="Calibri"/>
          <w:spacing w:val="-2"/>
        </w:rPr>
        <w:t>h</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spacing w:val="-1"/>
        </w:rPr>
        <w:t>c</w:t>
      </w:r>
      <w:r w:rsidRPr="009A0DA6">
        <w:rPr>
          <w:rFonts w:ascii="Cambria" w:eastAsia="Calibri" w:hAnsi="Cambria" w:cs="Calibri"/>
        </w:rPr>
        <w:t>ritic</w:t>
      </w:r>
      <w:r w:rsidRPr="009A0DA6">
        <w:rPr>
          <w:rFonts w:ascii="Cambria" w:eastAsia="Calibri" w:hAnsi="Cambria" w:cs="Calibri"/>
          <w:spacing w:val="-1"/>
        </w:rPr>
        <w:t>a</w:t>
      </w:r>
      <w:r w:rsidRPr="009A0DA6">
        <w:rPr>
          <w:rFonts w:ascii="Cambria" w:eastAsia="Calibri" w:hAnsi="Cambria" w:cs="Calibri"/>
        </w:rPr>
        <w:t>l</w:t>
      </w:r>
      <w:r w:rsidRPr="009A0DA6">
        <w:rPr>
          <w:rFonts w:ascii="Cambria" w:eastAsia="Calibri" w:hAnsi="Cambria" w:cs="Calibri"/>
          <w:spacing w:val="-1"/>
        </w:rPr>
        <w:t xml:space="preserve"> </w:t>
      </w:r>
      <w:r w:rsidRPr="009A0DA6">
        <w:rPr>
          <w:rFonts w:ascii="Cambria" w:eastAsia="Calibri" w:hAnsi="Cambria" w:cs="Calibri"/>
        </w:rPr>
        <w:t>s</w:t>
      </w:r>
      <w:r w:rsidRPr="009A0DA6">
        <w:rPr>
          <w:rFonts w:ascii="Cambria" w:eastAsia="Calibri" w:hAnsi="Cambria" w:cs="Calibri"/>
          <w:spacing w:val="2"/>
        </w:rPr>
        <w:t>c</w:t>
      </w:r>
      <w:r w:rsidRPr="009A0DA6">
        <w:rPr>
          <w:rFonts w:ascii="Cambria" w:eastAsia="Calibri" w:hAnsi="Cambria" w:cs="Calibri"/>
        </w:rPr>
        <w:t>ru</w:t>
      </w:r>
      <w:r w:rsidRPr="009A0DA6">
        <w:rPr>
          <w:rFonts w:ascii="Cambria" w:eastAsia="Calibri" w:hAnsi="Cambria" w:cs="Calibri"/>
          <w:spacing w:val="-1"/>
        </w:rPr>
        <w:t>t</w:t>
      </w:r>
      <w:r w:rsidRPr="009A0DA6">
        <w:rPr>
          <w:rFonts w:ascii="Cambria" w:eastAsia="Calibri" w:hAnsi="Cambria" w:cs="Calibri"/>
        </w:rPr>
        <w:t>iny</w:t>
      </w:r>
      <w:r w:rsidRPr="009A0DA6">
        <w:rPr>
          <w:rFonts w:ascii="Cambria" w:eastAsia="Calibri" w:hAnsi="Cambria" w:cs="Calibri"/>
          <w:spacing w:val="-2"/>
        </w:rPr>
        <w:t xml:space="preserve"> </w:t>
      </w:r>
      <w:r w:rsidRPr="009A0DA6">
        <w:rPr>
          <w:rFonts w:ascii="Cambria" w:eastAsia="Calibri" w:hAnsi="Cambria" w:cs="Calibri"/>
        </w:rPr>
        <w:t>of G</w:t>
      </w:r>
      <w:r w:rsidRPr="009A0DA6">
        <w:rPr>
          <w:rFonts w:ascii="Cambria" w:eastAsia="Calibri" w:hAnsi="Cambria" w:cs="Calibri"/>
          <w:spacing w:val="1"/>
        </w:rPr>
        <w:t>o</w:t>
      </w:r>
      <w:r w:rsidRPr="009A0DA6">
        <w:rPr>
          <w:rFonts w:ascii="Cambria" w:eastAsia="Calibri" w:hAnsi="Cambria" w:cs="Calibri"/>
          <w:spacing w:val="-1"/>
        </w:rPr>
        <w:t>d</w:t>
      </w:r>
      <w:r w:rsidRPr="009A0DA6">
        <w:rPr>
          <w:rFonts w:ascii="Cambria" w:eastAsia="Calibri" w:hAnsi="Cambria" w:cs="Calibri"/>
        </w:rPr>
        <w:t>’s</w:t>
      </w:r>
      <w:r w:rsidRPr="009A0DA6">
        <w:rPr>
          <w:rFonts w:ascii="Cambria" w:eastAsia="Calibri" w:hAnsi="Cambria" w:cs="Calibri"/>
          <w:spacing w:val="-1"/>
        </w:rPr>
        <w:t xml:space="preserve"> </w:t>
      </w:r>
      <w:r w:rsidRPr="009A0DA6">
        <w:rPr>
          <w:rFonts w:ascii="Cambria" w:eastAsia="Calibri" w:hAnsi="Cambria" w:cs="Calibri"/>
        </w:rPr>
        <w:t>W</w:t>
      </w:r>
      <w:r w:rsidRPr="009A0DA6">
        <w:rPr>
          <w:rFonts w:ascii="Cambria" w:eastAsia="Calibri" w:hAnsi="Cambria" w:cs="Calibri"/>
          <w:spacing w:val="-2"/>
        </w:rPr>
        <w:t>o</w:t>
      </w:r>
      <w:r w:rsidRPr="009A0DA6">
        <w:rPr>
          <w:rFonts w:ascii="Cambria" w:eastAsia="Calibri" w:hAnsi="Cambria" w:cs="Calibri"/>
        </w:rPr>
        <w:t>rd a</w:t>
      </w:r>
      <w:r w:rsidRPr="009A0DA6">
        <w:rPr>
          <w:rFonts w:ascii="Cambria" w:eastAsia="Calibri" w:hAnsi="Cambria" w:cs="Calibri"/>
          <w:spacing w:val="-1"/>
        </w:rPr>
        <w:t>n</w:t>
      </w:r>
      <w:r w:rsidRPr="009A0DA6">
        <w:rPr>
          <w:rFonts w:ascii="Cambria" w:eastAsia="Calibri" w:hAnsi="Cambria" w:cs="Calibri"/>
        </w:rPr>
        <w:t>d</w:t>
      </w:r>
      <w:r w:rsidRPr="009A0DA6">
        <w:rPr>
          <w:rFonts w:ascii="Cambria" w:eastAsia="Calibri" w:hAnsi="Cambria" w:cs="Calibri"/>
          <w:spacing w:val="-2"/>
        </w:rPr>
        <w:t xml:space="preserve"> </w:t>
      </w:r>
      <w:r w:rsidRPr="009A0DA6">
        <w:rPr>
          <w:rFonts w:ascii="Cambria" w:eastAsia="Calibri" w:hAnsi="Cambria" w:cs="Calibri"/>
        </w:rPr>
        <w:t>a</w:t>
      </w:r>
      <w:r w:rsidRPr="009A0DA6">
        <w:rPr>
          <w:rFonts w:ascii="Cambria" w:eastAsia="Calibri" w:hAnsi="Cambria" w:cs="Calibri"/>
          <w:spacing w:val="-1"/>
        </w:rPr>
        <w:t>cc</w:t>
      </w:r>
      <w:r w:rsidRPr="009A0DA6">
        <w:rPr>
          <w:rFonts w:ascii="Cambria" w:eastAsia="Calibri" w:hAnsi="Cambria" w:cs="Calibri"/>
        </w:rPr>
        <w:t>o</w:t>
      </w:r>
      <w:r w:rsidRPr="009A0DA6">
        <w:rPr>
          <w:rFonts w:ascii="Cambria" w:eastAsia="Calibri" w:hAnsi="Cambria" w:cs="Calibri"/>
          <w:spacing w:val="1"/>
        </w:rPr>
        <w:t>r</w:t>
      </w:r>
      <w:r w:rsidRPr="009A0DA6">
        <w:rPr>
          <w:rFonts w:ascii="Cambria" w:eastAsia="Calibri" w:hAnsi="Cambria" w:cs="Calibri"/>
          <w:spacing w:val="-1"/>
        </w:rPr>
        <w:t>d</w:t>
      </w:r>
      <w:r w:rsidRPr="009A0DA6">
        <w:rPr>
          <w:rFonts w:ascii="Cambria" w:eastAsia="Calibri" w:hAnsi="Cambria" w:cs="Calibri"/>
        </w:rPr>
        <w:t>in</w:t>
      </w:r>
      <w:r w:rsidRPr="009A0DA6">
        <w:rPr>
          <w:rFonts w:ascii="Cambria" w:eastAsia="Calibri" w:hAnsi="Cambria" w:cs="Calibri"/>
          <w:spacing w:val="-1"/>
        </w:rPr>
        <w:t>g</w:t>
      </w:r>
      <w:r w:rsidRPr="009A0DA6">
        <w:rPr>
          <w:rFonts w:ascii="Cambria" w:eastAsia="Calibri" w:hAnsi="Cambria" w:cs="Calibri"/>
        </w:rPr>
        <w:t xml:space="preserve">ly </w:t>
      </w:r>
      <w:r w:rsidRPr="009A0DA6">
        <w:rPr>
          <w:rFonts w:ascii="Cambria" w:eastAsia="Calibri" w:hAnsi="Cambria" w:cs="Calibri"/>
          <w:spacing w:val="-1"/>
        </w:rPr>
        <w:t>c</w:t>
      </w:r>
      <w:r w:rsidRPr="009A0DA6">
        <w:rPr>
          <w:rFonts w:ascii="Cambria" w:eastAsia="Calibri" w:hAnsi="Cambria" w:cs="Calibri"/>
        </w:rPr>
        <w:t>onfi</w:t>
      </w:r>
      <w:r w:rsidRPr="009A0DA6">
        <w:rPr>
          <w:rFonts w:ascii="Cambria" w:eastAsia="Calibri" w:hAnsi="Cambria" w:cs="Calibri"/>
          <w:spacing w:val="1"/>
        </w:rPr>
        <w:t>r</w:t>
      </w:r>
      <w:r w:rsidRPr="009A0DA6">
        <w:rPr>
          <w:rFonts w:ascii="Cambria" w:eastAsia="Calibri" w:hAnsi="Cambria" w:cs="Calibri"/>
        </w:rPr>
        <w:t>m</w:t>
      </w:r>
      <w:r w:rsidRPr="009A0DA6">
        <w:rPr>
          <w:rFonts w:ascii="Cambria" w:eastAsia="Calibri" w:hAnsi="Cambria" w:cs="Calibri"/>
          <w:spacing w:val="-2"/>
        </w:rPr>
        <w:t xml:space="preserve"> </w:t>
      </w:r>
      <w:r w:rsidRPr="009A0DA6">
        <w:rPr>
          <w:rFonts w:ascii="Cambria" w:eastAsia="Calibri" w:hAnsi="Cambria" w:cs="Calibri"/>
        </w:rPr>
        <w:t>t</w:t>
      </w:r>
      <w:r w:rsidRPr="009A0DA6">
        <w:rPr>
          <w:rFonts w:ascii="Cambria" w:eastAsia="Calibri" w:hAnsi="Cambria" w:cs="Calibri"/>
          <w:spacing w:val="-2"/>
        </w:rPr>
        <w:t>h</w:t>
      </w:r>
      <w:r w:rsidRPr="009A0DA6">
        <w:rPr>
          <w:rFonts w:ascii="Cambria" w:eastAsia="Calibri" w:hAnsi="Cambria" w:cs="Calibri"/>
        </w:rPr>
        <w:t>e</w:t>
      </w:r>
      <w:r w:rsidRPr="009A0DA6">
        <w:rPr>
          <w:rFonts w:ascii="Cambria" w:eastAsia="Calibri" w:hAnsi="Cambria" w:cs="Calibri"/>
          <w:spacing w:val="-2"/>
        </w:rPr>
        <w:t>m</w:t>
      </w:r>
      <w:r w:rsidRPr="009A0DA6">
        <w:rPr>
          <w:rFonts w:ascii="Cambria" w:eastAsia="Calibri" w:hAnsi="Cambria" w:cs="Calibri"/>
        </w:rPr>
        <w:t>,</w:t>
      </w:r>
      <w:r w:rsidRPr="009A0DA6">
        <w:rPr>
          <w:rFonts w:ascii="Cambria" w:eastAsia="Calibri" w:hAnsi="Cambria" w:cs="Calibri"/>
          <w:spacing w:val="-1"/>
        </w:rPr>
        <w:t xml:space="preserve"> </w:t>
      </w:r>
      <w:r w:rsidRPr="009A0DA6">
        <w:rPr>
          <w:rFonts w:ascii="Cambria" w:eastAsia="Calibri" w:hAnsi="Cambria" w:cs="Calibri"/>
        </w:rPr>
        <w:t>or a</w:t>
      </w:r>
      <w:r w:rsidRPr="009A0DA6">
        <w:rPr>
          <w:rFonts w:ascii="Cambria" w:eastAsia="Calibri" w:hAnsi="Cambria" w:cs="Calibri"/>
          <w:spacing w:val="1"/>
        </w:rPr>
        <w:t>m</w:t>
      </w:r>
      <w:r w:rsidRPr="009A0DA6">
        <w:rPr>
          <w:rFonts w:ascii="Cambria" w:eastAsia="Calibri" w:hAnsi="Cambria" w:cs="Calibri"/>
        </w:rPr>
        <w:t>e</w:t>
      </w:r>
      <w:r w:rsidRPr="009A0DA6">
        <w:rPr>
          <w:rFonts w:ascii="Cambria" w:eastAsia="Calibri" w:hAnsi="Cambria" w:cs="Calibri"/>
          <w:spacing w:val="-2"/>
        </w:rPr>
        <w:t>n</w:t>
      </w:r>
      <w:r w:rsidRPr="009A0DA6">
        <w:rPr>
          <w:rFonts w:ascii="Cambria" w:eastAsia="Calibri" w:hAnsi="Cambria" w:cs="Calibri"/>
        </w:rPr>
        <w:t>d</w:t>
      </w:r>
      <w:r w:rsidRPr="009A0DA6">
        <w:rPr>
          <w:rFonts w:ascii="Cambria" w:eastAsia="Calibri" w:hAnsi="Cambria" w:cs="Calibri"/>
          <w:spacing w:val="-2"/>
        </w:rPr>
        <w:t xml:space="preserve"> </w:t>
      </w:r>
      <w:r w:rsidRPr="009A0DA6">
        <w:rPr>
          <w:rFonts w:ascii="Cambria" w:eastAsia="Calibri" w:hAnsi="Cambria" w:cs="Calibri"/>
        </w:rPr>
        <w:t>or re</w:t>
      </w:r>
      <w:r w:rsidRPr="009A0DA6">
        <w:rPr>
          <w:rFonts w:ascii="Cambria" w:eastAsia="Calibri" w:hAnsi="Cambria" w:cs="Calibri"/>
          <w:spacing w:val="-1"/>
        </w:rPr>
        <w:t>pud</w:t>
      </w:r>
      <w:r w:rsidRPr="009A0DA6">
        <w:rPr>
          <w:rFonts w:ascii="Cambria" w:eastAsia="Calibri" w:hAnsi="Cambria" w:cs="Calibri"/>
        </w:rPr>
        <w:t>iate t</w:t>
      </w:r>
      <w:r w:rsidRPr="009A0DA6">
        <w:rPr>
          <w:rFonts w:ascii="Cambria" w:eastAsia="Calibri" w:hAnsi="Cambria" w:cs="Calibri"/>
          <w:spacing w:val="-2"/>
        </w:rPr>
        <w:t>h</w:t>
      </w:r>
      <w:r w:rsidRPr="009A0DA6">
        <w:rPr>
          <w:rFonts w:ascii="Cambria" w:eastAsia="Calibri" w:hAnsi="Cambria" w:cs="Calibri"/>
          <w:spacing w:val="2"/>
        </w:rPr>
        <w:t>e</w:t>
      </w:r>
      <w:r w:rsidRPr="009A0DA6">
        <w:rPr>
          <w:rFonts w:ascii="Cambria" w:eastAsia="Calibri" w:hAnsi="Cambria" w:cs="Calibri"/>
        </w:rPr>
        <w:t>m</w:t>
      </w:r>
      <w:r w:rsidRPr="009A0DA6">
        <w:rPr>
          <w:rFonts w:ascii="Cambria" w:eastAsia="Calibri" w:hAnsi="Cambria" w:cs="Calibri"/>
          <w:spacing w:val="-2"/>
        </w:rPr>
        <w:t xml:space="preserve"> </w:t>
      </w:r>
      <w:r w:rsidRPr="009A0DA6">
        <w:rPr>
          <w:rFonts w:ascii="Cambria" w:eastAsia="Calibri" w:hAnsi="Cambria" w:cs="Calibri"/>
          <w:spacing w:val="4"/>
        </w:rPr>
        <w:t>w</w:t>
      </w:r>
      <w:r w:rsidRPr="009A0DA6">
        <w:rPr>
          <w:rFonts w:ascii="Cambria" w:eastAsia="Calibri" w:hAnsi="Cambria" w:cs="Calibri"/>
          <w:spacing w:val="-1"/>
        </w:rPr>
        <w:t>h</w:t>
      </w:r>
      <w:r w:rsidRPr="009A0DA6">
        <w:rPr>
          <w:rFonts w:ascii="Cambria" w:eastAsia="Calibri" w:hAnsi="Cambria" w:cs="Calibri"/>
        </w:rPr>
        <w:t>en</w:t>
      </w:r>
      <w:r w:rsidRPr="009A0DA6">
        <w:rPr>
          <w:rFonts w:ascii="Cambria" w:eastAsia="Calibri" w:hAnsi="Cambria" w:cs="Calibri"/>
          <w:spacing w:val="-3"/>
        </w:rPr>
        <w:t xml:space="preserve"> </w:t>
      </w:r>
      <w:r w:rsidRPr="009A0DA6">
        <w:rPr>
          <w:rFonts w:ascii="Cambria" w:eastAsia="Calibri" w:hAnsi="Cambria" w:cs="Calibri"/>
        </w:rPr>
        <w:t>furt</w:t>
      </w:r>
      <w:r w:rsidRPr="009A0DA6">
        <w:rPr>
          <w:rFonts w:ascii="Cambria" w:eastAsia="Calibri" w:hAnsi="Cambria" w:cs="Calibri"/>
          <w:spacing w:val="-1"/>
        </w:rPr>
        <w:t>h</w:t>
      </w:r>
      <w:r w:rsidRPr="009A0DA6">
        <w:rPr>
          <w:rFonts w:ascii="Cambria" w:eastAsia="Calibri" w:hAnsi="Cambria" w:cs="Calibri"/>
        </w:rPr>
        <w:t>er</w:t>
      </w:r>
      <w:r w:rsidRPr="009A0DA6">
        <w:rPr>
          <w:rFonts w:ascii="Cambria" w:eastAsia="Calibri" w:hAnsi="Cambria" w:cs="Calibri"/>
          <w:spacing w:val="-1"/>
        </w:rPr>
        <w:t xml:space="preserve"> </w:t>
      </w:r>
      <w:r w:rsidRPr="009A0DA6">
        <w:rPr>
          <w:rFonts w:ascii="Cambria" w:eastAsia="Calibri" w:hAnsi="Cambria" w:cs="Calibri"/>
        </w:rPr>
        <w:t>st</w:t>
      </w:r>
      <w:r w:rsidRPr="009A0DA6">
        <w:rPr>
          <w:rFonts w:ascii="Cambria" w:eastAsia="Calibri" w:hAnsi="Cambria" w:cs="Calibri"/>
          <w:spacing w:val="-1"/>
        </w:rPr>
        <w:t>u</w:t>
      </w:r>
      <w:r w:rsidRPr="009A0DA6">
        <w:rPr>
          <w:rFonts w:ascii="Cambria" w:eastAsia="Calibri" w:hAnsi="Cambria" w:cs="Calibri"/>
          <w:spacing w:val="1"/>
        </w:rPr>
        <w:t>d</w:t>
      </w:r>
      <w:r w:rsidRPr="009A0DA6">
        <w:rPr>
          <w:rFonts w:ascii="Cambria" w:eastAsia="Calibri" w:hAnsi="Cambria" w:cs="Calibri"/>
        </w:rPr>
        <w:t>y</w:t>
      </w:r>
      <w:r w:rsidRPr="009A0DA6">
        <w:rPr>
          <w:rFonts w:ascii="Cambria" w:eastAsia="Calibri" w:hAnsi="Cambria" w:cs="Calibri"/>
          <w:spacing w:val="-1"/>
        </w:rPr>
        <w:t xml:space="preserve"> </w:t>
      </w:r>
      <w:r w:rsidRPr="009A0DA6">
        <w:rPr>
          <w:rFonts w:ascii="Cambria" w:eastAsia="Calibri" w:hAnsi="Cambria" w:cs="Calibri"/>
        </w:rPr>
        <w:t>of G</w:t>
      </w:r>
      <w:r w:rsidRPr="009A0DA6">
        <w:rPr>
          <w:rFonts w:ascii="Cambria" w:eastAsia="Calibri" w:hAnsi="Cambria" w:cs="Calibri"/>
          <w:spacing w:val="1"/>
        </w:rPr>
        <w:t>o</w:t>
      </w:r>
      <w:r w:rsidRPr="009A0DA6">
        <w:rPr>
          <w:rFonts w:ascii="Cambria" w:eastAsia="Calibri" w:hAnsi="Cambria" w:cs="Calibri"/>
          <w:spacing w:val="-1"/>
        </w:rPr>
        <w:t>d</w:t>
      </w:r>
      <w:r w:rsidRPr="009A0DA6">
        <w:rPr>
          <w:rFonts w:ascii="Cambria" w:eastAsia="Calibri" w:hAnsi="Cambria" w:cs="Calibri"/>
        </w:rPr>
        <w:t>’s</w:t>
      </w:r>
      <w:r w:rsidRPr="009A0DA6">
        <w:rPr>
          <w:rFonts w:ascii="Cambria" w:eastAsia="Calibri" w:hAnsi="Cambria" w:cs="Calibri"/>
          <w:spacing w:val="1"/>
        </w:rPr>
        <w:t xml:space="preserve"> </w:t>
      </w:r>
      <w:r w:rsidRPr="009A0DA6">
        <w:rPr>
          <w:rFonts w:ascii="Cambria" w:eastAsia="Calibri" w:hAnsi="Cambria" w:cs="Calibri"/>
        </w:rPr>
        <w:t>W</w:t>
      </w:r>
      <w:r w:rsidRPr="009A0DA6">
        <w:rPr>
          <w:rFonts w:ascii="Cambria" w:eastAsia="Calibri" w:hAnsi="Cambria" w:cs="Calibri"/>
          <w:spacing w:val="-2"/>
        </w:rPr>
        <w:t>o</w:t>
      </w:r>
      <w:r w:rsidRPr="009A0DA6">
        <w:rPr>
          <w:rFonts w:ascii="Cambria" w:eastAsia="Calibri" w:hAnsi="Cambria" w:cs="Calibri"/>
        </w:rPr>
        <w:t>rd</w:t>
      </w:r>
      <w:r w:rsidRPr="009A0DA6">
        <w:rPr>
          <w:rFonts w:ascii="Cambria" w:eastAsia="Calibri" w:hAnsi="Cambria" w:cs="Calibri"/>
          <w:spacing w:val="-1"/>
        </w:rPr>
        <w:t xml:space="preserve"> </w:t>
      </w:r>
      <w:r w:rsidRPr="009A0DA6">
        <w:rPr>
          <w:rFonts w:ascii="Cambria" w:eastAsia="Calibri" w:hAnsi="Cambria" w:cs="Calibri"/>
        </w:rPr>
        <w:t>sh</w:t>
      </w:r>
      <w:r w:rsidRPr="009A0DA6">
        <w:rPr>
          <w:rFonts w:ascii="Cambria" w:eastAsia="Calibri" w:hAnsi="Cambria" w:cs="Calibri"/>
          <w:spacing w:val="-2"/>
        </w:rPr>
        <w:t>o</w:t>
      </w:r>
      <w:r w:rsidRPr="009A0DA6">
        <w:rPr>
          <w:rFonts w:ascii="Cambria" w:eastAsia="Calibri" w:hAnsi="Cambria" w:cs="Calibri"/>
        </w:rPr>
        <w:t>ws t</w:t>
      </w:r>
      <w:r w:rsidRPr="009A0DA6">
        <w:rPr>
          <w:rFonts w:ascii="Cambria" w:eastAsia="Calibri" w:hAnsi="Cambria" w:cs="Calibri"/>
          <w:spacing w:val="-2"/>
        </w:rPr>
        <w:t>h</w:t>
      </w:r>
      <w:r w:rsidRPr="009A0DA6">
        <w:rPr>
          <w:rFonts w:ascii="Cambria" w:eastAsia="Calibri" w:hAnsi="Cambria" w:cs="Calibri"/>
          <w:spacing w:val="-1"/>
        </w:rPr>
        <w:t>e</w:t>
      </w:r>
      <w:r w:rsidRPr="009A0DA6">
        <w:rPr>
          <w:rFonts w:ascii="Cambria" w:eastAsia="Calibri" w:hAnsi="Cambria" w:cs="Calibri"/>
        </w:rPr>
        <w:t>m</w:t>
      </w:r>
      <w:r w:rsidRPr="009A0DA6">
        <w:rPr>
          <w:rFonts w:ascii="Cambria" w:eastAsia="Calibri" w:hAnsi="Cambria" w:cs="Calibri"/>
          <w:spacing w:val="-2"/>
        </w:rPr>
        <w:t xml:space="preserve"> </w:t>
      </w:r>
      <w:r w:rsidRPr="009A0DA6">
        <w:rPr>
          <w:rFonts w:ascii="Cambria" w:eastAsia="Calibri" w:hAnsi="Cambria" w:cs="Calibri"/>
        </w:rPr>
        <w:t xml:space="preserve">to </w:t>
      </w:r>
      <w:r w:rsidRPr="009A0DA6">
        <w:rPr>
          <w:rFonts w:ascii="Cambria" w:eastAsia="Calibri" w:hAnsi="Cambria" w:cs="Calibri"/>
          <w:spacing w:val="-2"/>
        </w:rPr>
        <w:t>b</w:t>
      </w:r>
      <w:r w:rsidRPr="009A0DA6">
        <w:rPr>
          <w:rFonts w:ascii="Cambria" w:eastAsia="Calibri" w:hAnsi="Cambria" w:cs="Calibri"/>
        </w:rPr>
        <w:t>e in</w:t>
      </w:r>
      <w:r w:rsidRPr="009A0DA6">
        <w:rPr>
          <w:rFonts w:ascii="Cambria" w:eastAsia="Calibri" w:hAnsi="Cambria" w:cs="Calibri"/>
          <w:spacing w:val="-1"/>
        </w:rPr>
        <w:t>ad</w:t>
      </w:r>
      <w:r w:rsidRPr="009A0DA6">
        <w:rPr>
          <w:rFonts w:ascii="Cambria" w:eastAsia="Calibri" w:hAnsi="Cambria" w:cs="Calibri"/>
        </w:rPr>
        <w:t>equ</w:t>
      </w:r>
      <w:r w:rsidRPr="009A0DA6">
        <w:rPr>
          <w:rFonts w:ascii="Cambria" w:eastAsia="Calibri" w:hAnsi="Cambria" w:cs="Calibri"/>
          <w:spacing w:val="2"/>
        </w:rPr>
        <w:t>a</w:t>
      </w:r>
      <w:r w:rsidRPr="009A0DA6">
        <w:rPr>
          <w:rFonts w:ascii="Cambria" w:eastAsia="Calibri" w:hAnsi="Cambria" w:cs="Calibri"/>
        </w:rPr>
        <w:t>te</w:t>
      </w:r>
      <w:r w:rsidRPr="009A0DA6">
        <w:rPr>
          <w:rFonts w:ascii="Cambria" w:eastAsia="Calibri" w:hAnsi="Cambria" w:cs="Calibri"/>
          <w:spacing w:val="-2"/>
        </w:rPr>
        <w:t xml:space="preserve"> </w:t>
      </w:r>
      <w:r w:rsidRPr="009A0DA6">
        <w:rPr>
          <w:rFonts w:ascii="Cambria" w:eastAsia="Calibri" w:hAnsi="Cambria" w:cs="Calibri"/>
        </w:rPr>
        <w:t>or in</w:t>
      </w:r>
      <w:r w:rsidRPr="009A0DA6">
        <w:rPr>
          <w:rFonts w:ascii="Cambria" w:eastAsia="Calibri" w:hAnsi="Cambria" w:cs="Calibri"/>
          <w:spacing w:val="-2"/>
        </w:rPr>
        <w:t xml:space="preserve"> </w:t>
      </w:r>
      <w:r w:rsidRPr="009A0DA6">
        <w:rPr>
          <w:rFonts w:ascii="Cambria" w:eastAsia="Calibri" w:hAnsi="Cambria" w:cs="Calibri"/>
        </w:rPr>
        <w:t>err</w:t>
      </w:r>
      <w:r w:rsidRPr="009A0DA6">
        <w:rPr>
          <w:rFonts w:ascii="Cambria" w:eastAsia="Calibri" w:hAnsi="Cambria" w:cs="Calibri"/>
          <w:spacing w:val="1"/>
        </w:rPr>
        <w:t>o</w:t>
      </w:r>
      <w:r w:rsidRPr="009A0DA6">
        <w:rPr>
          <w:rFonts w:ascii="Cambria" w:eastAsia="Calibri" w:hAnsi="Cambria" w:cs="Calibri"/>
          <w:spacing w:val="3"/>
        </w:rPr>
        <w:t>r</w:t>
      </w:r>
      <w:r w:rsidRPr="009A0DA6">
        <w:rPr>
          <w:rFonts w:ascii="Cambria" w:eastAsia="Calibri" w:hAnsi="Cambria" w:cs="Calibri"/>
          <w:spacing w:val="-1"/>
        </w:rPr>
        <w:t>.</w:t>
      </w:r>
      <w:r w:rsidRPr="009A0DA6">
        <w:rPr>
          <w:rFonts w:ascii="Cambria" w:eastAsia="Calibri" w:hAnsi="Cambria" w:cs="Calibri"/>
        </w:rPr>
        <w:t xml:space="preserve">” </w:t>
      </w:r>
      <w:r w:rsidRPr="009A0DA6">
        <w:rPr>
          <w:rFonts w:ascii="Cambria" w:eastAsia="Calibri" w:hAnsi="Cambria" w:cs="Calibri"/>
          <w:i/>
        </w:rPr>
        <w:t>Doctr</w:t>
      </w:r>
      <w:r w:rsidRPr="009A0DA6">
        <w:rPr>
          <w:rFonts w:ascii="Cambria" w:eastAsia="Calibri" w:hAnsi="Cambria" w:cs="Calibri"/>
          <w:i/>
          <w:spacing w:val="-3"/>
        </w:rPr>
        <w:t>i</w:t>
      </w:r>
      <w:r w:rsidRPr="009A0DA6">
        <w:rPr>
          <w:rFonts w:ascii="Cambria" w:eastAsia="Calibri" w:hAnsi="Cambria" w:cs="Calibri"/>
          <w:i/>
        </w:rPr>
        <w:t>nal</w:t>
      </w:r>
      <w:r w:rsidRPr="009A0DA6">
        <w:rPr>
          <w:rFonts w:ascii="Cambria" w:eastAsia="Calibri" w:hAnsi="Cambria" w:cs="Calibri"/>
          <w:i/>
          <w:spacing w:val="-1"/>
        </w:rPr>
        <w:t xml:space="preserve"> </w:t>
      </w:r>
      <w:r w:rsidRPr="009A0DA6">
        <w:rPr>
          <w:rFonts w:ascii="Cambria" w:eastAsia="Calibri" w:hAnsi="Cambria" w:cs="Calibri"/>
          <w:i/>
        </w:rPr>
        <w:t>Sta</w:t>
      </w:r>
      <w:r w:rsidRPr="009A0DA6">
        <w:rPr>
          <w:rFonts w:ascii="Cambria" w:eastAsia="Calibri" w:hAnsi="Cambria" w:cs="Calibri"/>
          <w:i/>
          <w:spacing w:val="-1"/>
        </w:rPr>
        <w:t>t</w:t>
      </w:r>
      <w:r w:rsidRPr="009A0DA6">
        <w:rPr>
          <w:rFonts w:ascii="Cambria" w:eastAsia="Calibri" w:hAnsi="Cambria" w:cs="Calibri"/>
          <w:i/>
        </w:rPr>
        <w:t>e</w:t>
      </w:r>
      <w:r w:rsidRPr="009A0DA6">
        <w:rPr>
          <w:rFonts w:ascii="Cambria" w:eastAsia="Calibri" w:hAnsi="Cambria" w:cs="Calibri"/>
          <w:i/>
          <w:spacing w:val="1"/>
        </w:rPr>
        <w:t>m</w:t>
      </w:r>
      <w:r w:rsidRPr="009A0DA6">
        <w:rPr>
          <w:rFonts w:ascii="Cambria" w:eastAsia="Calibri" w:hAnsi="Cambria" w:cs="Calibri"/>
          <w:i/>
        </w:rPr>
        <w:t>en</w:t>
      </w:r>
      <w:r w:rsidRPr="009A0DA6">
        <w:rPr>
          <w:rFonts w:ascii="Cambria" w:eastAsia="Calibri" w:hAnsi="Cambria" w:cs="Calibri"/>
          <w:i/>
          <w:spacing w:val="-3"/>
        </w:rPr>
        <w:t>t</w:t>
      </w:r>
      <w:r w:rsidRPr="009A0DA6">
        <w:rPr>
          <w:rFonts w:ascii="Cambria" w:eastAsia="Calibri" w:hAnsi="Cambria" w:cs="Calibri"/>
          <w:i/>
        </w:rPr>
        <w:t>s and</w:t>
      </w:r>
      <w:r w:rsidRPr="009A0DA6">
        <w:rPr>
          <w:rFonts w:ascii="Cambria" w:eastAsia="Calibri" w:hAnsi="Cambria" w:cs="Calibri"/>
          <w:i/>
          <w:spacing w:val="-2"/>
        </w:rPr>
        <w:t xml:space="preserve"> </w:t>
      </w:r>
      <w:r w:rsidRPr="009A0DA6">
        <w:rPr>
          <w:rFonts w:ascii="Cambria" w:eastAsia="Calibri" w:hAnsi="Cambria" w:cs="Calibri"/>
          <w:i/>
        </w:rPr>
        <w:t>Theologic</w:t>
      </w:r>
      <w:r w:rsidRPr="009A0DA6">
        <w:rPr>
          <w:rFonts w:ascii="Cambria" w:eastAsia="Calibri" w:hAnsi="Cambria" w:cs="Calibri"/>
          <w:i/>
          <w:spacing w:val="-2"/>
        </w:rPr>
        <w:t>a</w:t>
      </w:r>
      <w:r w:rsidRPr="009A0DA6">
        <w:rPr>
          <w:rFonts w:ascii="Cambria" w:eastAsia="Calibri" w:hAnsi="Cambria" w:cs="Calibri"/>
          <w:i/>
        </w:rPr>
        <w:t>l</w:t>
      </w:r>
      <w:r w:rsidRPr="009A0DA6">
        <w:rPr>
          <w:rFonts w:ascii="Cambria" w:eastAsia="Calibri" w:hAnsi="Cambria" w:cs="Calibri"/>
          <w:i/>
          <w:spacing w:val="2"/>
        </w:rPr>
        <w:t xml:space="preserve"> </w:t>
      </w:r>
      <w:r w:rsidRPr="009A0DA6">
        <w:rPr>
          <w:rFonts w:ascii="Cambria" w:eastAsia="Calibri" w:hAnsi="Cambria" w:cs="Calibri"/>
          <w:i/>
          <w:spacing w:val="1"/>
        </w:rPr>
        <w:t>O</w:t>
      </w:r>
      <w:r w:rsidRPr="009A0DA6">
        <w:rPr>
          <w:rFonts w:ascii="Cambria" w:eastAsia="Calibri" w:hAnsi="Cambria" w:cs="Calibri"/>
          <w:i/>
        </w:rPr>
        <w:t>pin</w:t>
      </w:r>
      <w:r w:rsidRPr="009A0DA6">
        <w:rPr>
          <w:rFonts w:ascii="Cambria" w:eastAsia="Calibri" w:hAnsi="Cambria" w:cs="Calibri"/>
          <w:i/>
          <w:spacing w:val="-2"/>
        </w:rPr>
        <w:t>i</w:t>
      </w:r>
      <w:r w:rsidRPr="009A0DA6">
        <w:rPr>
          <w:rFonts w:ascii="Cambria" w:eastAsia="Calibri" w:hAnsi="Cambria" w:cs="Calibri"/>
          <w:i/>
        </w:rPr>
        <w:t>ons V</w:t>
      </w:r>
      <w:r w:rsidRPr="009A0DA6">
        <w:rPr>
          <w:rFonts w:ascii="Cambria" w:eastAsia="Calibri" w:hAnsi="Cambria" w:cs="Calibri"/>
          <w:i/>
          <w:spacing w:val="-1"/>
        </w:rPr>
        <w:t>o</w:t>
      </w:r>
      <w:r w:rsidRPr="009A0DA6">
        <w:rPr>
          <w:rFonts w:ascii="Cambria" w:eastAsia="Calibri" w:hAnsi="Cambria" w:cs="Calibri"/>
          <w:i/>
        </w:rPr>
        <w:t>lu</w:t>
      </w:r>
      <w:r w:rsidRPr="009A0DA6">
        <w:rPr>
          <w:rFonts w:ascii="Cambria" w:eastAsia="Calibri" w:hAnsi="Cambria" w:cs="Calibri"/>
          <w:i/>
          <w:spacing w:val="1"/>
        </w:rPr>
        <w:t>m</w:t>
      </w:r>
      <w:r w:rsidRPr="009A0DA6">
        <w:rPr>
          <w:rFonts w:ascii="Cambria" w:eastAsia="Calibri" w:hAnsi="Cambria" w:cs="Calibri"/>
          <w:i/>
        </w:rPr>
        <w:t>e 1</w:t>
      </w:r>
      <w:r w:rsidRPr="009A0DA6">
        <w:rPr>
          <w:rFonts w:ascii="Cambria" w:eastAsia="Calibri" w:hAnsi="Cambria" w:cs="Calibri"/>
          <w:i/>
          <w:spacing w:val="-2"/>
        </w:rPr>
        <w:t>A</w:t>
      </w:r>
      <w:r w:rsidRPr="009A0DA6">
        <w:rPr>
          <w:rFonts w:ascii="Cambria" w:eastAsia="Calibri" w:hAnsi="Cambria" w:cs="Calibri"/>
          <w:i/>
        </w:rPr>
        <w:t>. The</w:t>
      </w:r>
      <w:r w:rsidRPr="009A0DA6">
        <w:rPr>
          <w:rFonts w:ascii="Cambria" w:eastAsia="Calibri" w:hAnsi="Cambria" w:cs="Calibri"/>
          <w:i/>
          <w:spacing w:val="-1"/>
        </w:rPr>
        <w:t>s</w:t>
      </w:r>
      <w:r w:rsidRPr="009A0DA6">
        <w:rPr>
          <w:rFonts w:ascii="Cambria" w:eastAsia="Calibri" w:hAnsi="Cambria" w:cs="Calibri"/>
          <w:i/>
        </w:rPr>
        <w:t>es of</w:t>
      </w:r>
      <w:r w:rsidRPr="009A0DA6">
        <w:rPr>
          <w:rFonts w:ascii="Cambria" w:eastAsia="Calibri" w:hAnsi="Cambria" w:cs="Calibri"/>
          <w:i/>
          <w:spacing w:val="-3"/>
        </w:rPr>
        <w:t xml:space="preserve"> </w:t>
      </w:r>
      <w:r w:rsidRPr="009A0DA6">
        <w:rPr>
          <w:rFonts w:ascii="Cambria" w:eastAsia="Calibri" w:hAnsi="Cambria" w:cs="Calibri"/>
          <w:i/>
        </w:rPr>
        <w:t>Agree</w:t>
      </w:r>
      <w:r w:rsidRPr="009A0DA6">
        <w:rPr>
          <w:rFonts w:ascii="Cambria" w:eastAsia="Calibri" w:hAnsi="Cambria" w:cs="Calibri"/>
          <w:i/>
          <w:spacing w:val="-1"/>
        </w:rPr>
        <w:t>m</w:t>
      </w:r>
      <w:r w:rsidRPr="009A0DA6">
        <w:rPr>
          <w:rFonts w:ascii="Cambria" w:eastAsia="Calibri" w:hAnsi="Cambria" w:cs="Calibri"/>
          <w:i/>
        </w:rPr>
        <w:t>ent:</w:t>
      </w:r>
      <w:r w:rsidRPr="009A0DA6">
        <w:rPr>
          <w:rFonts w:ascii="Cambria" w:eastAsia="Calibri" w:hAnsi="Cambria" w:cs="Calibri"/>
          <w:i/>
          <w:spacing w:val="-2"/>
        </w:rPr>
        <w:t xml:space="preserve"> </w:t>
      </w:r>
      <w:r w:rsidRPr="009A0DA6">
        <w:rPr>
          <w:rFonts w:ascii="Cambria" w:eastAsia="Calibri" w:hAnsi="Cambria" w:cs="Calibri"/>
          <w:i/>
        </w:rPr>
        <w:t>The</w:t>
      </w:r>
      <w:r w:rsidRPr="009A0DA6">
        <w:rPr>
          <w:rFonts w:ascii="Cambria" w:eastAsia="Calibri" w:hAnsi="Cambria" w:cs="Calibri"/>
          <w:i/>
          <w:spacing w:val="-1"/>
        </w:rPr>
        <w:t xml:space="preserve"> </w:t>
      </w:r>
      <w:r w:rsidRPr="009A0DA6">
        <w:rPr>
          <w:rFonts w:ascii="Cambria" w:eastAsia="Calibri" w:hAnsi="Cambria" w:cs="Calibri"/>
          <w:i/>
        </w:rPr>
        <w:t>permanent</w:t>
      </w:r>
      <w:r w:rsidRPr="009A0DA6">
        <w:rPr>
          <w:rFonts w:ascii="Cambria" w:eastAsia="Calibri" w:hAnsi="Cambria" w:cs="Calibri"/>
          <w:i/>
          <w:spacing w:val="-1"/>
        </w:rPr>
        <w:t xml:space="preserve"> </w:t>
      </w:r>
      <w:r w:rsidRPr="009A0DA6">
        <w:rPr>
          <w:rFonts w:ascii="Cambria" w:eastAsia="Calibri" w:hAnsi="Cambria" w:cs="Calibri"/>
          <w:i/>
          <w:spacing w:val="1"/>
        </w:rPr>
        <w:t>s</w:t>
      </w:r>
      <w:r w:rsidRPr="009A0DA6">
        <w:rPr>
          <w:rFonts w:ascii="Cambria" w:eastAsia="Calibri" w:hAnsi="Cambria" w:cs="Calibri"/>
          <w:i/>
        </w:rPr>
        <w:t>ta</w:t>
      </w:r>
      <w:r w:rsidRPr="009A0DA6">
        <w:rPr>
          <w:rFonts w:ascii="Cambria" w:eastAsia="Calibri" w:hAnsi="Cambria" w:cs="Calibri"/>
          <w:i/>
          <w:spacing w:val="-1"/>
        </w:rPr>
        <w:t>t</w:t>
      </w:r>
      <w:r w:rsidRPr="009A0DA6">
        <w:rPr>
          <w:rFonts w:ascii="Cambria" w:eastAsia="Calibri" w:hAnsi="Cambria" w:cs="Calibri"/>
          <w:i/>
          <w:spacing w:val="-3"/>
        </w:rPr>
        <w:t>u</w:t>
      </w:r>
      <w:r w:rsidRPr="009A0DA6">
        <w:rPr>
          <w:rFonts w:ascii="Cambria" w:eastAsia="Calibri" w:hAnsi="Cambria" w:cs="Calibri"/>
          <w:i/>
        </w:rPr>
        <w:t>s of Th</w:t>
      </w:r>
      <w:r w:rsidRPr="009A0DA6">
        <w:rPr>
          <w:rFonts w:ascii="Cambria" w:eastAsia="Calibri" w:hAnsi="Cambria" w:cs="Calibri"/>
          <w:i/>
          <w:spacing w:val="-3"/>
        </w:rPr>
        <w:t>e</w:t>
      </w:r>
      <w:r w:rsidRPr="009A0DA6">
        <w:rPr>
          <w:rFonts w:ascii="Cambria" w:eastAsia="Calibri" w:hAnsi="Cambria" w:cs="Calibri"/>
          <w:i/>
          <w:spacing w:val="1"/>
        </w:rPr>
        <w:t>s</w:t>
      </w:r>
      <w:r w:rsidRPr="009A0DA6">
        <w:rPr>
          <w:rFonts w:ascii="Cambria" w:eastAsia="Calibri" w:hAnsi="Cambria" w:cs="Calibri"/>
          <w:i/>
        </w:rPr>
        <w:t xml:space="preserve">es </w:t>
      </w:r>
      <w:r w:rsidRPr="009A0DA6">
        <w:rPr>
          <w:rFonts w:ascii="Cambria" w:eastAsia="Calibri" w:hAnsi="Cambria" w:cs="Calibri"/>
          <w:i/>
          <w:spacing w:val="-3"/>
        </w:rPr>
        <w:t>o</w:t>
      </w:r>
      <w:r w:rsidRPr="009A0DA6">
        <w:rPr>
          <w:rFonts w:ascii="Cambria" w:eastAsia="Calibri" w:hAnsi="Cambria" w:cs="Calibri"/>
          <w:i/>
        </w:rPr>
        <w:t>f Agre</w:t>
      </w:r>
      <w:r w:rsidRPr="009A0DA6">
        <w:rPr>
          <w:rFonts w:ascii="Cambria" w:eastAsia="Calibri" w:hAnsi="Cambria" w:cs="Calibri"/>
          <w:i/>
          <w:spacing w:val="-2"/>
        </w:rPr>
        <w:t>e</w:t>
      </w:r>
      <w:r w:rsidRPr="009A0DA6">
        <w:rPr>
          <w:rFonts w:ascii="Cambria" w:eastAsia="Calibri" w:hAnsi="Cambria" w:cs="Calibri"/>
          <w:i/>
          <w:spacing w:val="1"/>
        </w:rPr>
        <w:t>m</w:t>
      </w:r>
      <w:r w:rsidRPr="009A0DA6">
        <w:rPr>
          <w:rFonts w:ascii="Cambria" w:eastAsia="Calibri" w:hAnsi="Cambria" w:cs="Calibri"/>
          <w:i/>
        </w:rPr>
        <w:t>en</w:t>
      </w:r>
      <w:r w:rsidRPr="009A0DA6">
        <w:rPr>
          <w:rFonts w:ascii="Cambria" w:eastAsia="Calibri" w:hAnsi="Cambria" w:cs="Calibri"/>
          <w:i/>
          <w:spacing w:val="-3"/>
        </w:rPr>
        <w:t>t</w:t>
      </w:r>
      <w:r w:rsidRPr="009A0DA6">
        <w:rPr>
          <w:rFonts w:ascii="Cambria" w:eastAsia="Calibri" w:hAnsi="Cambria" w:cs="Calibri"/>
          <w:i/>
        </w:rPr>
        <w:t>.</w:t>
      </w:r>
      <w:r w:rsidRPr="009A0DA6">
        <w:rPr>
          <w:rFonts w:ascii="Cambria" w:eastAsia="Calibri" w:hAnsi="Cambria" w:cs="Calibri"/>
          <w:i/>
          <w:spacing w:val="4"/>
        </w:rPr>
        <w:t xml:space="preserve"> </w:t>
      </w:r>
      <w:r w:rsidRPr="009A0DA6">
        <w:rPr>
          <w:rFonts w:ascii="Cambria" w:eastAsia="Calibri" w:hAnsi="Cambria" w:cs="Calibri"/>
          <w:spacing w:val="-1"/>
        </w:rPr>
        <w:t>I</w:t>
      </w:r>
      <w:r w:rsidRPr="009A0DA6">
        <w:rPr>
          <w:rFonts w:ascii="Cambria" w:eastAsia="Calibri" w:hAnsi="Cambria" w:cs="Calibri"/>
        </w:rPr>
        <w:t xml:space="preserve">s it </w:t>
      </w:r>
      <w:r w:rsidRPr="009A0DA6">
        <w:rPr>
          <w:rFonts w:ascii="Cambria" w:eastAsia="Calibri" w:hAnsi="Cambria" w:cs="Calibri"/>
          <w:spacing w:val="-1"/>
        </w:rPr>
        <w:t>n</w:t>
      </w:r>
      <w:r w:rsidRPr="009A0DA6">
        <w:rPr>
          <w:rFonts w:ascii="Cambria" w:eastAsia="Calibri" w:hAnsi="Cambria" w:cs="Calibri"/>
        </w:rPr>
        <w:t xml:space="preserve">ot </w:t>
      </w:r>
      <w:r w:rsidRPr="009A0DA6">
        <w:rPr>
          <w:rFonts w:ascii="Cambria" w:eastAsia="Calibri" w:hAnsi="Cambria" w:cs="Calibri"/>
          <w:spacing w:val="-2"/>
        </w:rPr>
        <w:t>m</w:t>
      </w:r>
      <w:r w:rsidRPr="009A0DA6">
        <w:rPr>
          <w:rFonts w:ascii="Cambria" w:eastAsia="Calibri" w:hAnsi="Cambria" w:cs="Calibri"/>
        </w:rPr>
        <w:t>a</w:t>
      </w:r>
      <w:r w:rsidRPr="009A0DA6">
        <w:rPr>
          <w:rFonts w:ascii="Cambria" w:eastAsia="Calibri" w:hAnsi="Cambria" w:cs="Calibri"/>
          <w:spacing w:val="-1"/>
        </w:rPr>
        <w:t>n</w:t>
      </w:r>
      <w:r w:rsidRPr="009A0DA6">
        <w:rPr>
          <w:rFonts w:ascii="Cambria" w:eastAsia="Calibri" w:hAnsi="Cambria" w:cs="Calibri"/>
        </w:rPr>
        <w:t>’s</w:t>
      </w:r>
      <w:r w:rsidRPr="009A0DA6">
        <w:rPr>
          <w:rFonts w:ascii="Cambria" w:eastAsia="Calibri" w:hAnsi="Cambria" w:cs="Calibri"/>
          <w:spacing w:val="-1"/>
        </w:rPr>
        <w:t xml:space="preserve"> </w:t>
      </w:r>
      <w:r w:rsidRPr="009A0DA6">
        <w:rPr>
          <w:rFonts w:ascii="Cambria" w:eastAsia="Calibri" w:hAnsi="Cambria" w:cs="Calibri"/>
        </w:rPr>
        <w:t>w</w:t>
      </w:r>
      <w:r w:rsidRPr="009A0DA6">
        <w:rPr>
          <w:rFonts w:ascii="Cambria" w:eastAsia="Calibri" w:hAnsi="Cambria" w:cs="Calibri"/>
          <w:spacing w:val="1"/>
        </w:rPr>
        <w:t>i</w:t>
      </w:r>
      <w:r w:rsidRPr="009A0DA6">
        <w:rPr>
          <w:rFonts w:ascii="Cambria" w:eastAsia="Calibri" w:hAnsi="Cambria" w:cs="Calibri"/>
        </w:rPr>
        <w:t>sdom,</w:t>
      </w:r>
      <w:r w:rsidRPr="009A0DA6">
        <w:rPr>
          <w:rFonts w:ascii="Cambria" w:eastAsia="Calibri" w:hAnsi="Cambria" w:cs="Calibri"/>
          <w:spacing w:val="-1"/>
        </w:rPr>
        <w:t xml:space="preserve"> </w:t>
      </w:r>
      <w:r w:rsidRPr="009A0DA6">
        <w:rPr>
          <w:rFonts w:ascii="Cambria" w:eastAsia="Calibri" w:hAnsi="Cambria" w:cs="Calibri"/>
        </w:rPr>
        <w:t>i</w:t>
      </w:r>
      <w:r w:rsidRPr="009A0DA6">
        <w:rPr>
          <w:rFonts w:ascii="Cambria" w:eastAsia="Calibri" w:hAnsi="Cambria" w:cs="Calibri"/>
          <w:spacing w:val="-1"/>
        </w:rPr>
        <w:t>.</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rPr>
        <w:t>t</w:t>
      </w:r>
      <w:r w:rsidRPr="009A0DA6">
        <w:rPr>
          <w:rFonts w:ascii="Cambria" w:eastAsia="Calibri" w:hAnsi="Cambria" w:cs="Calibri"/>
          <w:spacing w:val="-2"/>
        </w:rPr>
        <w:t>h</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rPr>
        <w:t>w</w:t>
      </w:r>
      <w:r w:rsidRPr="009A0DA6">
        <w:rPr>
          <w:rFonts w:ascii="Cambria" w:eastAsia="Calibri" w:hAnsi="Cambria" w:cs="Calibri"/>
          <w:spacing w:val="1"/>
        </w:rPr>
        <w:t>i</w:t>
      </w:r>
      <w:r w:rsidRPr="009A0DA6">
        <w:rPr>
          <w:rFonts w:ascii="Cambria" w:eastAsia="Calibri" w:hAnsi="Cambria" w:cs="Calibri"/>
        </w:rPr>
        <w:t>sdom</w:t>
      </w:r>
      <w:r w:rsidRPr="009A0DA6">
        <w:rPr>
          <w:rFonts w:ascii="Cambria" w:eastAsia="Calibri" w:hAnsi="Cambria" w:cs="Calibri"/>
          <w:spacing w:val="-2"/>
        </w:rPr>
        <w:t xml:space="preserve"> </w:t>
      </w:r>
      <w:r w:rsidRPr="009A0DA6">
        <w:rPr>
          <w:rFonts w:ascii="Cambria" w:eastAsia="Calibri" w:hAnsi="Cambria" w:cs="Calibri"/>
        </w:rPr>
        <w:t>of t</w:t>
      </w:r>
      <w:r w:rsidRPr="009A0DA6">
        <w:rPr>
          <w:rFonts w:ascii="Cambria" w:eastAsia="Calibri" w:hAnsi="Cambria" w:cs="Calibri"/>
          <w:spacing w:val="-2"/>
        </w:rPr>
        <w:t>h</w:t>
      </w:r>
      <w:r w:rsidRPr="009A0DA6">
        <w:rPr>
          <w:rFonts w:ascii="Cambria" w:eastAsia="Calibri" w:hAnsi="Cambria" w:cs="Calibri"/>
        </w:rPr>
        <w:t>is w</w:t>
      </w:r>
      <w:r w:rsidRPr="009A0DA6">
        <w:rPr>
          <w:rFonts w:ascii="Cambria" w:eastAsia="Calibri" w:hAnsi="Cambria" w:cs="Calibri"/>
          <w:spacing w:val="1"/>
        </w:rPr>
        <w:t>o</w:t>
      </w:r>
      <w:r w:rsidRPr="009A0DA6">
        <w:rPr>
          <w:rFonts w:ascii="Cambria" w:eastAsia="Calibri" w:hAnsi="Cambria" w:cs="Calibri"/>
          <w:spacing w:val="-2"/>
        </w:rPr>
        <w:t>r</w:t>
      </w:r>
      <w:r w:rsidRPr="009A0DA6">
        <w:rPr>
          <w:rFonts w:ascii="Cambria" w:eastAsia="Calibri" w:hAnsi="Cambria" w:cs="Calibri"/>
        </w:rPr>
        <w:t>ld,</w:t>
      </w:r>
      <w:r w:rsidRPr="009A0DA6">
        <w:rPr>
          <w:rFonts w:ascii="Cambria" w:eastAsia="Calibri" w:hAnsi="Cambria" w:cs="Calibri"/>
          <w:spacing w:val="-2"/>
        </w:rPr>
        <w:t xml:space="preserve"> </w:t>
      </w:r>
      <w:r w:rsidRPr="009A0DA6">
        <w:rPr>
          <w:rFonts w:ascii="Cambria" w:eastAsia="Calibri" w:hAnsi="Cambria" w:cs="Calibri"/>
          <w:spacing w:val="-1"/>
        </w:rPr>
        <w:t>m</w:t>
      </w:r>
      <w:r w:rsidRPr="009A0DA6">
        <w:rPr>
          <w:rFonts w:ascii="Cambria" w:eastAsia="Calibri" w:hAnsi="Cambria" w:cs="Calibri"/>
        </w:rPr>
        <w:t>a</w:t>
      </w:r>
      <w:r w:rsidRPr="009A0DA6">
        <w:rPr>
          <w:rFonts w:ascii="Cambria" w:eastAsia="Calibri" w:hAnsi="Cambria" w:cs="Calibri"/>
          <w:spacing w:val="-1"/>
        </w:rPr>
        <w:t>d</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rPr>
        <w:t>f</w:t>
      </w:r>
      <w:r w:rsidRPr="009A0DA6">
        <w:rPr>
          <w:rFonts w:ascii="Cambria" w:eastAsia="Calibri" w:hAnsi="Cambria" w:cs="Calibri"/>
          <w:spacing w:val="1"/>
        </w:rPr>
        <w:t>o</w:t>
      </w:r>
      <w:r w:rsidRPr="009A0DA6">
        <w:rPr>
          <w:rFonts w:ascii="Cambria" w:eastAsia="Calibri" w:hAnsi="Cambria" w:cs="Calibri"/>
        </w:rPr>
        <w:t>o</w:t>
      </w:r>
      <w:r w:rsidRPr="009A0DA6">
        <w:rPr>
          <w:rFonts w:ascii="Cambria" w:eastAsia="Calibri" w:hAnsi="Cambria" w:cs="Calibri"/>
          <w:spacing w:val="1"/>
        </w:rPr>
        <w:t>l</w:t>
      </w:r>
      <w:r w:rsidRPr="009A0DA6">
        <w:rPr>
          <w:rFonts w:ascii="Cambria" w:eastAsia="Calibri" w:hAnsi="Cambria" w:cs="Calibri"/>
        </w:rPr>
        <w:t>ish</w:t>
      </w:r>
      <w:r w:rsidRPr="009A0DA6">
        <w:rPr>
          <w:rFonts w:ascii="Cambria" w:eastAsia="Calibri" w:hAnsi="Cambria" w:cs="Calibri"/>
          <w:spacing w:val="-1"/>
        </w:rPr>
        <w:t xml:space="preserve"> b</w:t>
      </w:r>
      <w:r w:rsidRPr="009A0DA6">
        <w:rPr>
          <w:rFonts w:ascii="Cambria" w:eastAsia="Calibri" w:hAnsi="Cambria" w:cs="Calibri"/>
        </w:rPr>
        <w:t>y</w:t>
      </w:r>
      <w:r w:rsidRPr="009A0DA6">
        <w:rPr>
          <w:rFonts w:ascii="Cambria" w:eastAsia="Calibri" w:hAnsi="Cambria" w:cs="Calibri"/>
          <w:spacing w:val="-1"/>
        </w:rPr>
        <w:t xml:space="preserve"> </w:t>
      </w:r>
      <w:r w:rsidRPr="009A0DA6">
        <w:rPr>
          <w:rFonts w:ascii="Cambria" w:eastAsia="Calibri" w:hAnsi="Cambria" w:cs="Calibri"/>
        </w:rPr>
        <w:t>G</w:t>
      </w:r>
      <w:r w:rsidRPr="009A0DA6">
        <w:rPr>
          <w:rFonts w:ascii="Cambria" w:eastAsia="Calibri" w:hAnsi="Cambria" w:cs="Calibri"/>
          <w:spacing w:val="3"/>
        </w:rPr>
        <w:t>o</w:t>
      </w:r>
      <w:r w:rsidRPr="009A0DA6">
        <w:rPr>
          <w:rFonts w:ascii="Cambria" w:eastAsia="Calibri" w:hAnsi="Cambria" w:cs="Calibri"/>
        </w:rPr>
        <w:t>d</w:t>
      </w:r>
      <w:r w:rsidRPr="009A0DA6">
        <w:rPr>
          <w:rFonts w:ascii="Cambria" w:eastAsia="Calibri" w:hAnsi="Cambria" w:cs="Calibri"/>
          <w:spacing w:val="-2"/>
        </w:rPr>
        <w:t xml:space="preserve"> (</w:t>
      </w:r>
      <w:r w:rsidRPr="009A0DA6">
        <w:rPr>
          <w:rFonts w:ascii="Cambria" w:eastAsia="Calibri" w:hAnsi="Cambria" w:cs="Calibri"/>
        </w:rPr>
        <w:t xml:space="preserve">1 </w:t>
      </w:r>
      <w:r w:rsidRPr="009A0DA6">
        <w:rPr>
          <w:rFonts w:ascii="Cambria" w:eastAsia="Calibri" w:hAnsi="Cambria" w:cs="Calibri"/>
          <w:spacing w:val="-1"/>
        </w:rPr>
        <w:t>C</w:t>
      </w:r>
      <w:r w:rsidRPr="009A0DA6">
        <w:rPr>
          <w:rFonts w:ascii="Cambria" w:eastAsia="Calibri" w:hAnsi="Cambria" w:cs="Calibri"/>
        </w:rPr>
        <w:t>or 1</w:t>
      </w:r>
      <w:r w:rsidRPr="009A0DA6">
        <w:rPr>
          <w:rFonts w:ascii="Cambria" w:eastAsia="Calibri" w:hAnsi="Cambria" w:cs="Calibri"/>
          <w:spacing w:val="-1"/>
        </w:rPr>
        <w:t>:20)</w:t>
      </w:r>
      <w:r w:rsidRPr="009A0DA6">
        <w:rPr>
          <w:rFonts w:ascii="Cambria" w:eastAsia="Calibri" w:hAnsi="Cambria" w:cs="Calibri"/>
        </w:rPr>
        <w:t>,</w:t>
      </w:r>
      <w:r w:rsidRPr="009A0DA6">
        <w:rPr>
          <w:rFonts w:ascii="Cambria" w:eastAsia="Calibri" w:hAnsi="Cambria" w:cs="Calibri"/>
          <w:i/>
        </w:rPr>
        <w:t xml:space="preserve"> </w:t>
      </w:r>
      <w:r w:rsidRPr="009A0DA6">
        <w:rPr>
          <w:rFonts w:ascii="Cambria" w:eastAsia="Calibri" w:hAnsi="Cambria" w:cs="Calibri"/>
          <w:spacing w:val="-1"/>
        </w:rPr>
        <w:t>b</w:t>
      </w:r>
      <w:r w:rsidRPr="009A0DA6">
        <w:rPr>
          <w:rFonts w:ascii="Cambria" w:eastAsia="Calibri" w:hAnsi="Cambria" w:cs="Calibri"/>
        </w:rPr>
        <w:t>ei</w:t>
      </w:r>
      <w:r w:rsidRPr="009A0DA6">
        <w:rPr>
          <w:rFonts w:ascii="Cambria" w:eastAsia="Calibri" w:hAnsi="Cambria" w:cs="Calibri"/>
          <w:spacing w:val="-1"/>
        </w:rPr>
        <w:t>n</w:t>
      </w:r>
      <w:r w:rsidRPr="009A0DA6">
        <w:rPr>
          <w:rFonts w:ascii="Cambria" w:eastAsia="Calibri" w:hAnsi="Cambria" w:cs="Calibri"/>
        </w:rPr>
        <w:t>g</w:t>
      </w:r>
      <w:r w:rsidRPr="009A0DA6">
        <w:rPr>
          <w:rFonts w:ascii="Cambria" w:eastAsia="Calibri" w:hAnsi="Cambria" w:cs="Calibri"/>
          <w:spacing w:val="-1"/>
        </w:rPr>
        <w:t xml:space="preserve"> pu</w:t>
      </w:r>
      <w:r w:rsidRPr="009A0DA6">
        <w:rPr>
          <w:rFonts w:ascii="Cambria" w:eastAsia="Calibri" w:hAnsi="Cambria" w:cs="Calibri"/>
        </w:rPr>
        <w:t>t</w:t>
      </w:r>
      <w:r w:rsidRPr="009A0DA6">
        <w:rPr>
          <w:rFonts w:ascii="Cambria" w:eastAsia="Calibri" w:hAnsi="Cambria" w:cs="Calibri"/>
          <w:spacing w:val="1"/>
        </w:rPr>
        <w:t xml:space="preserve"> </w:t>
      </w:r>
      <w:r w:rsidRPr="009A0DA6">
        <w:rPr>
          <w:rFonts w:ascii="Cambria" w:eastAsia="Calibri" w:hAnsi="Cambria" w:cs="Calibri"/>
          <w:spacing w:val="-1"/>
        </w:rPr>
        <w:t>b</w:t>
      </w:r>
      <w:r w:rsidRPr="009A0DA6">
        <w:rPr>
          <w:rFonts w:ascii="Cambria" w:eastAsia="Calibri" w:hAnsi="Cambria" w:cs="Calibri"/>
        </w:rPr>
        <w:t>ef</w:t>
      </w:r>
      <w:r w:rsidRPr="009A0DA6">
        <w:rPr>
          <w:rFonts w:ascii="Cambria" w:eastAsia="Calibri" w:hAnsi="Cambria" w:cs="Calibri"/>
          <w:spacing w:val="1"/>
        </w:rPr>
        <w:t>o</w:t>
      </w:r>
      <w:r w:rsidRPr="009A0DA6">
        <w:rPr>
          <w:rFonts w:ascii="Cambria" w:eastAsia="Calibri" w:hAnsi="Cambria" w:cs="Calibri"/>
        </w:rPr>
        <w:t>re</w:t>
      </w:r>
      <w:r w:rsidRPr="009A0DA6">
        <w:rPr>
          <w:rFonts w:ascii="Cambria" w:eastAsia="Calibri" w:hAnsi="Cambria" w:cs="Calibri"/>
          <w:spacing w:val="-1"/>
        </w:rPr>
        <w:t xml:space="preserve"> </w:t>
      </w:r>
      <w:r w:rsidRPr="009A0DA6">
        <w:rPr>
          <w:rFonts w:ascii="Cambria" w:eastAsia="Calibri" w:hAnsi="Cambria" w:cs="Calibri"/>
        </w:rPr>
        <w:t>t</w:t>
      </w:r>
      <w:r w:rsidRPr="009A0DA6">
        <w:rPr>
          <w:rFonts w:ascii="Cambria" w:eastAsia="Calibri" w:hAnsi="Cambria" w:cs="Calibri"/>
          <w:spacing w:val="-2"/>
        </w:rPr>
        <w:t>h</w:t>
      </w:r>
      <w:r w:rsidRPr="009A0DA6">
        <w:rPr>
          <w:rFonts w:ascii="Cambria" w:eastAsia="Calibri" w:hAnsi="Cambria" w:cs="Calibri"/>
        </w:rPr>
        <w:t>e au</w:t>
      </w:r>
      <w:r w:rsidRPr="009A0DA6">
        <w:rPr>
          <w:rFonts w:ascii="Cambria" w:eastAsia="Calibri" w:hAnsi="Cambria" w:cs="Calibri"/>
          <w:spacing w:val="-1"/>
        </w:rPr>
        <w:t>th</w:t>
      </w:r>
      <w:r w:rsidRPr="009A0DA6">
        <w:rPr>
          <w:rFonts w:ascii="Cambria" w:eastAsia="Calibri" w:hAnsi="Cambria" w:cs="Calibri"/>
        </w:rPr>
        <w:t>o</w:t>
      </w:r>
      <w:r w:rsidRPr="009A0DA6">
        <w:rPr>
          <w:rFonts w:ascii="Cambria" w:eastAsia="Calibri" w:hAnsi="Cambria" w:cs="Calibri"/>
          <w:spacing w:val="1"/>
        </w:rPr>
        <w:t>r</w:t>
      </w:r>
      <w:r w:rsidRPr="009A0DA6">
        <w:rPr>
          <w:rFonts w:ascii="Cambria" w:eastAsia="Calibri" w:hAnsi="Cambria" w:cs="Calibri"/>
        </w:rPr>
        <w:t>ity</w:t>
      </w:r>
      <w:r w:rsidRPr="009A0DA6">
        <w:rPr>
          <w:rFonts w:ascii="Cambria" w:eastAsia="Calibri" w:hAnsi="Cambria" w:cs="Calibri"/>
          <w:spacing w:val="-1"/>
        </w:rPr>
        <w:t xml:space="preserve"> </w:t>
      </w:r>
      <w:r w:rsidRPr="009A0DA6">
        <w:rPr>
          <w:rFonts w:ascii="Cambria" w:eastAsia="Calibri" w:hAnsi="Cambria" w:cs="Calibri"/>
        </w:rPr>
        <w:t>of S</w:t>
      </w:r>
      <w:r w:rsidRPr="009A0DA6">
        <w:rPr>
          <w:rFonts w:ascii="Cambria" w:eastAsia="Calibri" w:hAnsi="Cambria" w:cs="Calibri"/>
          <w:spacing w:val="2"/>
        </w:rPr>
        <w:t>c</w:t>
      </w:r>
      <w:r w:rsidRPr="009A0DA6">
        <w:rPr>
          <w:rFonts w:ascii="Cambria" w:eastAsia="Calibri" w:hAnsi="Cambria" w:cs="Calibri"/>
          <w:spacing w:val="1"/>
        </w:rPr>
        <w:t>r</w:t>
      </w:r>
      <w:r w:rsidRPr="009A0DA6">
        <w:rPr>
          <w:rFonts w:ascii="Cambria" w:eastAsia="Calibri" w:hAnsi="Cambria" w:cs="Calibri"/>
        </w:rPr>
        <w:t>ip</w:t>
      </w:r>
      <w:r w:rsidRPr="009A0DA6">
        <w:rPr>
          <w:rFonts w:ascii="Cambria" w:eastAsia="Calibri" w:hAnsi="Cambria" w:cs="Calibri"/>
          <w:spacing w:val="-1"/>
        </w:rPr>
        <w:t>tu</w:t>
      </w:r>
      <w:r w:rsidRPr="009A0DA6">
        <w:rPr>
          <w:rFonts w:ascii="Cambria" w:eastAsia="Calibri" w:hAnsi="Cambria" w:cs="Calibri"/>
        </w:rPr>
        <w:t>re</w:t>
      </w:r>
      <w:r w:rsidRPr="009A0DA6">
        <w:rPr>
          <w:rFonts w:ascii="Cambria" w:eastAsia="Calibri" w:hAnsi="Cambria" w:cs="Calibri"/>
          <w:spacing w:val="-3"/>
        </w:rPr>
        <w:t xml:space="preserve"> </w:t>
      </w:r>
      <w:r w:rsidRPr="009A0DA6">
        <w:rPr>
          <w:rFonts w:ascii="Cambria" w:eastAsia="Calibri" w:hAnsi="Cambria" w:cs="Calibri"/>
        </w:rPr>
        <w:t>in</w:t>
      </w:r>
      <w:r w:rsidRPr="009A0DA6">
        <w:rPr>
          <w:rFonts w:ascii="Cambria" w:eastAsia="Calibri" w:hAnsi="Cambria" w:cs="Calibri"/>
          <w:spacing w:val="-2"/>
        </w:rPr>
        <w:t xml:space="preserve"> </w:t>
      </w:r>
      <w:r w:rsidRPr="009A0DA6">
        <w:rPr>
          <w:rFonts w:ascii="Cambria" w:eastAsia="Calibri" w:hAnsi="Cambria" w:cs="Calibri"/>
        </w:rPr>
        <w:t>in</w:t>
      </w:r>
      <w:r w:rsidRPr="009A0DA6">
        <w:rPr>
          <w:rFonts w:ascii="Cambria" w:eastAsia="Calibri" w:hAnsi="Cambria" w:cs="Calibri"/>
          <w:spacing w:val="-1"/>
        </w:rPr>
        <w:t>t</w:t>
      </w:r>
      <w:r w:rsidRPr="009A0DA6">
        <w:rPr>
          <w:rFonts w:ascii="Cambria" w:eastAsia="Calibri" w:hAnsi="Cambria" w:cs="Calibri"/>
        </w:rPr>
        <w:t>er</w:t>
      </w:r>
      <w:r w:rsidRPr="009A0DA6">
        <w:rPr>
          <w:rFonts w:ascii="Cambria" w:eastAsia="Calibri" w:hAnsi="Cambria" w:cs="Calibri"/>
          <w:spacing w:val="-1"/>
        </w:rPr>
        <w:t>p</w:t>
      </w:r>
      <w:r w:rsidRPr="009A0DA6">
        <w:rPr>
          <w:rFonts w:ascii="Cambria" w:eastAsia="Calibri" w:hAnsi="Cambria" w:cs="Calibri"/>
        </w:rPr>
        <w:t>reti</w:t>
      </w:r>
      <w:r w:rsidRPr="009A0DA6">
        <w:rPr>
          <w:rFonts w:ascii="Cambria" w:eastAsia="Calibri" w:hAnsi="Cambria" w:cs="Calibri"/>
          <w:spacing w:val="-1"/>
        </w:rPr>
        <w:t>n</w:t>
      </w:r>
      <w:r w:rsidRPr="009A0DA6">
        <w:rPr>
          <w:rFonts w:ascii="Cambria" w:eastAsia="Calibri" w:hAnsi="Cambria" w:cs="Calibri"/>
        </w:rPr>
        <w:t>g</w:t>
      </w:r>
      <w:r w:rsidRPr="009A0DA6">
        <w:rPr>
          <w:rFonts w:ascii="Cambria" w:eastAsia="Calibri" w:hAnsi="Cambria" w:cs="Calibri"/>
          <w:spacing w:val="-1"/>
        </w:rPr>
        <w:t xml:space="preserve"> </w:t>
      </w:r>
      <w:r w:rsidRPr="009A0DA6">
        <w:rPr>
          <w:rFonts w:ascii="Cambria" w:eastAsia="Calibri" w:hAnsi="Cambria" w:cs="Calibri"/>
        </w:rPr>
        <w:t>G</w:t>
      </w:r>
      <w:r w:rsidRPr="009A0DA6">
        <w:rPr>
          <w:rFonts w:ascii="Cambria" w:eastAsia="Calibri" w:hAnsi="Cambria" w:cs="Calibri"/>
          <w:spacing w:val="1"/>
        </w:rPr>
        <w:t>o</w:t>
      </w:r>
      <w:r w:rsidRPr="009A0DA6">
        <w:rPr>
          <w:rFonts w:ascii="Cambria" w:eastAsia="Calibri" w:hAnsi="Cambria" w:cs="Calibri"/>
          <w:spacing w:val="-1"/>
        </w:rPr>
        <w:t>d</w:t>
      </w:r>
      <w:r w:rsidRPr="009A0DA6">
        <w:rPr>
          <w:rFonts w:ascii="Cambria" w:eastAsia="Calibri" w:hAnsi="Cambria" w:cs="Calibri"/>
        </w:rPr>
        <w:t>’s</w:t>
      </w:r>
      <w:r w:rsidRPr="009A0DA6">
        <w:rPr>
          <w:rFonts w:ascii="Cambria" w:eastAsia="Calibri" w:hAnsi="Cambria" w:cs="Calibri"/>
          <w:spacing w:val="-1"/>
        </w:rPr>
        <w:t xml:space="preserve"> </w:t>
      </w:r>
      <w:r w:rsidRPr="009A0DA6">
        <w:rPr>
          <w:rFonts w:ascii="Cambria" w:eastAsia="Calibri" w:hAnsi="Cambria" w:cs="Calibri"/>
        </w:rPr>
        <w:t>Wo</w:t>
      </w:r>
      <w:r w:rsidRPr="009A0DA6">
        <w:rPr>
          <w:rFonts w:ascii="Cambria" w:eastAsia="Calibri" w:hAnsi="Cambria" w:cs="Calibri"/>
          <w:spacing w:val="1"/>
        </w:rPr>
        <w:t>r</w:t>
      </w:r>
      <w:r w:rsidRPr="009A0DA6">
        <w:rPr>
          <w:rFonts w:ascii="Cambria" w:eastAsia="Calibri" w:hAnsi="Cambria" w:cs="Calibri"/>
        </w:rPr>
        <w:t>d</w:t>
      </w:r>
      <w:r w:rsidRPr="009A0DA6">
        <w:rPr>
          <w:rFonts w:ascii="Cambria" w:eastAsia="Calibri" w:hAnsi="Cambria" w:cs="Calibri"/>
          <w:spacing w:val="-2"/>
        </w:rPr>
        <w:t xml:space="preserve"> </w:t>
      </w:r>
      <w:r w:rsidRPr="009A0DA6">
        <w:rPr>
          <w:rFonts w:ascii="Cambria" w:eastAsia="Calibri" w:hAnsi="Cambria" w:cs="Calibri"/>
        </w:rPr>
        <w:t>f</w:t>
      </w:r>
      <w:r w:rsidRPr="009A0DA6">
        <w:rPr>
          <w:rFonts w:ascii="Cambria" w:eastAsia="Calibri" w:hAnsi="Cambria" w:cs="Calibri"/>
          <w:spacing w:val="1"/>
        </w:rPr>
        <w:t>o</w:t>
      </w:r>
      <w:r w:rsidRPr="009A0DA6">
        <w:rPr>
          <w:rFonts w:ascii="Cambria" w:eastAsia="Calibri" w:hAnsi="Cambria" w:cs="Calibri"/>
        </w:rPr>
        <w:t xml:space="preserve">r </w:t>
      </w:r>
      <w:r w:rsidRPr="009A0DA6">
        <w:rPr>
          <w:rFonts w:ascii="Cambria" w:eastAsia="Calibri" w:hAnsi="Cambria" w:cs="Calibri"/>
          <w:spacing w:val="-2"/>
        </w:rPr>
        <w:t>u</w:t>
      </w:r>
      <w:r w:rsidRPr="009A0DA6">
        <w:rPr>
          <w:rFonts w:ascii="Cambria" w:eastAsia="Calibri" w:hAnsi="Cambria" w:cs="Calibri"/>
          <w:spacing w:val="3"/>
        </w:rPr>
        <w:t>s</w:t>
      </w:r>
      <w:r w:rsidRPr="009A0DA6">
        <w:rPr>
          <w:rFonts w:ascii="Cambria" w:eastAsia="Calibri" w:hAnsi="Cambria" w:cs="Calibri"/>
        </w:rPr>
        <w:t>?</w:t>
      </w:r>
      <w:r w:rsidRPr="009A0DA6">
        <w:rPr>
          <w:rFonts w:ascii="Cambria" w:eastAsia="Calibri" w:hAnsi="Cambria" w:cs="Calibri"/>
        </w:rPr>
        <w:br/>
      </w:r>
    </w:p>
    <w:p w14:paraId="2BF6BF90" w14:textId="3F6529A8" w:rsidR="00680D5E" w:rsidRPr="009A0DA6" w:rsidRDefault="00680D5E" w:rsidP="00F55252">
      <w:pPr>
        <w:pStyle w:val="ListParagraph"/>
        <w:numPr>
          <w:ilvl w:val="0"/>
          <w:numId w:val="131"/>
        </w:numPr>
        <w:spacing w:before="28" w:after="0" w:line="240" w:lineRule="auto"/>
        <w:ind w:left="567" w:right="213" w:hanging="567"/>
        <w:rPr>
          <w:rFonts w:ascii="Cambria" w:eastAsia="Calibri" w:hAnsi="Cambria" w:cs="Calibri"/>
        </w:rPr>
      </w:pPr>
      <w:r w:rsidRPr="009A0DA6">
        <w:rPr>
          <w:rFonts w:ascii="Cambria" w:eastAsia="Calibri" w:hAnsi="Cambria" w:cs="Calibri"/>
        </w:rPr>
        <w:t>Should</w:t>
      </w:r>
      <w:r w:rsidRPr="009A0DA6">
        <w:rPr>
          <w:rFonts w:ascii="Cambria" w:eastAsia="Calibri" w:hAnsi="Cambria" w:cs="Calibri"/>
          <w:spacing w:val="-3"/>
        </w:rPr>
        <w:t xml:space="preserve"> </w:t>
      </w:r>
      <w:r w:rsidRPr="009A0DA6">
        <w:rPr>
          <w:rFonts w:ascii="Cambria" w:eastAsia="Calibri" w:hAnsi="Cambria" w:cs="Calibri"/>
        </w:rPr>
        <w:t xml:space="preserve">we </w:t>
      </w:r>
      <w:r w:rsidRPr="009A0DA6">
        <w:rPr>
          <w:rFonts w:ascii="Cambria" w:eastAsia="Calibri" w:hAnsi="Cambria" w:cs="Calibri"/>
          <w:spacing w:val="-1"/>
        </w:rPr>
        <w:t>n</w:t>
      </w:r>
      <w:r w:rsidRPr="009A0DA6">
        <w:rPr>
          <w:rFonts w:ascii="Cambria" w:eastAsia="Calibri" w:hAnsi="Cambria" w:cs="Calibri"/>
        </w:rPr>
        <w:t>ot r</w:t>
      </w:r>
      <w:r w:rsidRPr="009A0DA6">
        <w:rPr>
          <w:rFonts w:ascii="Cambria" w:eastAsia="Calibri" w:hAnsi="Cambria" w:cs="Calibri"/>
          <w:spacing w:val="-1"/>
        </w:rPr>
        <w:t>em</w:t>
      </w:r>
      <w:r w:rsidRPr="009A0DA6">
        <w:rPr>
          <w:rFonts w:ascii="Cambria" w:eastAsia="Calibri" w:hAnsi="Cambria" w:cs="Calibri"/>
        </w:rPr>
        <w:t>e</w:t>
      </w:r>
      <w:r w:rsidRPr="009A0DA6">
        <w:rPr>
          <w:rFonts w:ascii="Cambria" w:eastAsia="Calibri" w:hAnsi="Cambria" w:cs="Calibri"/>
          <w:spacing w:val="-2"/>
        </w:rPr>
        <w:t>m</w:t>
      </w:r>
      <w:r w:rsidRPr="009A0DA6">
        <w:rPr>
          <w:rFonts w:ascii="Cambria" w:eastAsia="Calibri" w:hAnsi="Cambria" w:cs="Calibri"/>
          <w:spacing w:val="-1"/>
        </w:rPr>
        <w:t>b</w:t>
      </w:r>
      <w:r w:rsidRPr="009A0DA6">
        <w:rPr>
          <w:rFonts w:ascii="Cambria" w:eastAsia="Calibri" w:hAnsi="Cambria" w:cs="Calibri"/>
        </w:rPr>
        <w:t>er L</w:t>
      </w:r>
      <w:r w:rsidRPr="009A0DA6">
        <w:rPr>
          <w:rFonts w:ascii="Cambria" w:eastAsia="Calibri" w:hAnsi="Cambria" w:cs="Calibri"/>
          <w:spacing w:val="-1"/>
        </w:rPr>
        <w:t>u</w:t>
      </w:r>
      <w:r w:rsidRPr="009A0DA6">
        <w:rPr>
          <w:rFonts w:ascii="Cambria" w:eastAsia="Calibri" w:hAnsi="Cambria" w:cs="Calibri"/>
        </w:rPr>
        <w:t>t</w:t>
      </w:r>
      <w:r w:rsidRPr="009A0DA6">
        <w:rPr>
          <w:rFonts w:ascii="Cambria" w:eastAsia="Calibri" w:hAnsi="Cambria" w:cs="Calibri"/>
          <w:spacing w:val="-1"/>
        </w:rPr>
        <w:t>h</w:t>
      </w:r>
      <w:r w:rsidRPr="009A0DA6">
        <w:rPr>
          <w:rFonts w:ascii="Cambria" w:eastAsia="Calibri" w:hAnsi="Cambria" w:cs="Calibri"/>
        </w:rPr>
        <w:t>er’s</w:t>
      </w:r>
      <w:r w:rsidRPr="009A0DA6">
        <w:rPr>
          <w:rFonts w:ascii="Cambria" w:eastAsia="Calibri" w:hAnsi="Cambria" w:cs="Calibri"/>
          <w:spacing w:val="-1"/>
        </w:rPr>
        <w:t xml:space="preserve"> </w:t>
      </w:r>
      <w:r w:rsidRPr="009A0DA6">
        <w:rPr>
          <w:rFonts w:ascii="Cambria" w:eastAsia="Calibri" w:hAnsi="Cambria" w:cs="Calibri"/>
        </w:rPr>
        <w:t>wa</w:t>
      </w:r>
      <w:r w:rsidRPr="009A0DA6">
        <w:rPr>
          <w:rFonts w:ascii="Cambria" w:eastAsia="Calibri" w:hAnsi="Cambria" w:cs="Calibri"/>
          <w:spacing w:val="1"/>
        </w:rPr>
        <w:t>r</w:t>
      </w:r>
      <w:r w:rsidRPr="009A0DA6">
        <w:rPr>
          <w:rFonts w:ascii="Cambria" w:eastAsia="Calibri" w:hAnsi="Cambria" w:cs="Calibri"/>
          <w:spacing w:val="-1"/>
        </w:rPr>
        <w:t>n</w:t>
      </w:r>
      <w:r w:rsidRPr="009A0DA6">
        <w:rPr>
          <w:rFonts w:ascii="Cambria" w:eastAsia="Calibri" w:hAnsi="Cambria" w:cs="Calibri"/>
        </w:rPr>
        <w:t>i</w:t>
      </w:r>
      <w:r w:rsidRPr="009A0DA6">
        <w:rPr>
          <w:rFonts w:ascii="Cambria" w:eastAsia="Calibri" w:hAnsi="Cambria" w:cs="Calibri"/>
          <w:spacing w:val="1"/>
        </w:rPr>
        <w:t>n</w:t>
      </w:r>
      <w:r w:rsidRPr="009A0DA6">
        <w:rPr>
          <w:rFonts w:ascii="Cambria" w:eastAsia="Calibri" w:hAnsi="Cambria" w:cs="Calibri"/>
        </w:rPr>
        <w:t>g</w:t>
      </w:r>
      <w:r w:rsidRPr="009A0DA6">
        <w:rPr>
          <w:rFonts w:ascii="Cambria" w:eastAsia="Calibri" w:hAnsi="Cambria" w:cs="Calibri"/>
          <w:spacing w:val="-1"/>
        </w:rPr>
        <w:t xml:space="preserve"> </w:t>
      </w:r>
      <w:r w:rsidRPr="009A0DA6">
        <w:rPr>
          <w:rFonts w:ascii="Cambria" w:eastAsia="Calibri" w:hAnsi="Cambria" w:cs="Calibri"/>
        </w:rPr>
        <w:t>after</w:t>
      </w:r>
      <w:r w:rsidRPr="009A0DA6">
        <w:rPr>
          <w:rFonts w:ascii="Cambria" w:eastAsia="Calibri" w:hAnsi="Cambria" w:cs="Calibri"/>
          <w:spacing w:val="-1"/>
        </w:rPr>
        <w:t xml:space="preserve"> </w:t>
      </w:r>
      <w:r w:rsidRPr="009A0DA6">
        <w:rPr>
          <w:rFonts w:ascii="Cambria" w:eastAsia="Calibri" w:hAnsi="Cambria" w:cs="Calibri"/>
        </w:rPr>
        <w:t>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2"/>
        </w:rPr>
        <w:t xml:space="preserve"> </w:t>
      </w:r>
      <w:r w:rsidRPr="009A0DA6">
        <w:rPr>
          <w:rFonts w:ascii="Cambria" w:eastAsia="Calibri" w:hAnsi="Cambria" w:cs="Calibri"/>
          <w:spacing w:val="3"/>
        </w:rPr>
        <w:t>R</w:t>
      </w:r>
      <w:r w:rsidRPr="009A0DA6">
        <w:rPr>
          <w:rFonts w:ascii="Cambria" w:eastAsia="Calibri" w:hAnsi="Cambria" w:cs="Calibri"/>
        </w:rPr>
        <w:t>ef</w:t>
      </w:r>
      <w:r w:rsidRPr="009A0DA6">
        <w:rPr>
          <w:rFonts w:ascii="Cambria" w:eastAsia="Calibri" w:hAnsi="Cambria" w:cs="Calibri"/>
          <w:spacing w:val="1"/>
        </w:rPr>
        <w:t>o</w:t>
      </w:r>
      <w:r w:rsidRPr="009A0DA6">
        <w:rPr>
          <w:rFonts w:ascii="Cambria" w:eastAsia="Calibri" w:hAnsi="Cambria" w:cs="Calibri"/>
        </w:rPr>
        <w:t>rm</w:t>
      </w:r>
      <w:r w:rsidRPr="009A0DA6">
        <w:rPr>
          <w:rFonts w:ascii="Cambria" w:eastAsia="Calibri" w:hAnsi="Cambria" w:cs="Calibri"/>
          <w:spacing w:val="-1"/>
        </w:rPr>
        <w:t>a</w:t>
      </w:r>
      <w:r w:rsidRPr="009A0DA6">
        <w:rPr>
          <w:rFonts w:ascii="Cambria" w:eastAsia="Calibri" w:hAnsi="Cambria" w:cs="Calibri"/>
        </w:rPr>
        <w:t>t</w:t>
      </w:r>
      <w:r w:rsidRPr="009A0DA6">
        <w:rPr>
          <w:rFonts w:ascii="Cambria" w:eastAsia="Calibri" w:hAnsi="Cambria" w:cs="Calibri"/>
          <w:spacing w:val="-2"/>
        </w:rPr>
        <w:t>i</w:t>
      </w:r>
      <w:r w:rsidRPr="009A0DA6">
        <w:rPr>
          <w:rFonts w:ascii="Cambria" w:eastAsia="Calibri" w:hAnsi="Cambria" w:cs="Calibri"/>
        </w:rPr>
        <w:t>on,</w:t>
      </w:r>
      <w:r w:rsidRPr="009A0DA6">
        <w:rPr>
          <w:rFonts w:ascii="Cambria" w:eastAsia="Calibri" w:hAnsi="Cambria" w:cs="Calibri"/>
          <w:spacing w:val="-1"/>
        </w:rPr>
        <w:t xml:space="preserve"> </w:t>
      </w:r>
      <w:r w:rsidRPr="009A0DA6">
        <w:rPr>
          <w:rFonts w:ascii="Cambria" w:eastAsia="Calibri" w:hAnsi="Cambria" w:cs="Calibri"/>
        </w:rPr>
        <w:t>“U</w:t>
      </w:r>
      <w:r w:rsidRPr="009A0DA6">
        <w:rPr>
          <w:rFonts w:ascii="Cambria" w:eastAsia="Calibri" w:hAnsi="Cambria" w:cs="Calibri"/>
          <w:spacing w:val="-1"/>
        </w:rPr>
        <w:t>n</w:t>
      </w:r>
      <w:r w:rsidRPr="009A0DA6">
        <w:rPr>
          <w:rFonts w:ascii="Cambria" w:eastAsia="Calibri" w:hAnsi="Cambria" w:cs="Calibri"/>
        </w:rPr>
        <w:t>til</w:t>
      </w:r>
      <w:r w:rsidRPr="009A0DA6">
        <w:rPr>
          <w:rFonts w:ascii="Cambria" w:eastAsia="Calibri" w:hAnsi="Cambria" w:cs="Calibri"/>
          <w:spacing w:val="-1"/>
        </w:rPr>
        <w:t xml:space="preserve"> n</w:t>
      </w:r>
      <w:r w:rsidRPr="009A0DA6">
        <w:rPr>
          <w:rFonts w:ascii="Cambria" w:eastAsia="Calibri" w:hAnsi="Cambria" w:cs="Calibri"/>
        </w:rPr>
        <w:t xml:space="preserve">ow you </w:t>
      </w:r>
      <w:r w:rsidRPr="009A0DA6">
        <w:rPr>
          <w:rFonts w:ascii="Cambria" w:eastAsia="Calibri" w:hAnsi="Cambria" w:cs="Calibri"/>
          <w:spacing w:val="-1"/>
        </w:rPr>
        <w:t>h</w:t>
      </w:r>
      <w:r w:rsidRPr="009A0DA6">
        <w:rPr>
          <w:rFonts w:ascii="Cambria" w:eastAsia="Calibri" w:hAnsi="Cambria" w:cs="Calibri"/>
        </w:rPr>
        <w:t>ave</w:t>
      </w:r>
      <w:r w:rsidRPr="009A0DA6">
        <w:rPr>
          <w:rFonts w:ascii="Cambria" w:eastAsia="Calibri" w:hAnsi="Cambria" w:cs="Calibri"/>
          <w:spacing w:val="-1"/>
        </w:rPr>
        <w:t xml:space="preserve"> h</w:t>
      </w:r>
      <w:r w:rsidRPr="009A0DA6">
        <w:rPr>
          <w:rFonts w:ascii="Cambria" w:eastAsia="Calibri" w:hAnsi="Cambria" w:cs="Calibri"/>
        </w:rPr>
        <w:t>eard</w:t>
      </w:r>
      <w:r w:rsidRPr="009A0DA6">
        <w:rPr>
          <w:rFonts w:ascii="Cambria" w:eastAsia="Calibri" w:hAnsi="Cambria" w:cs="Calibri"/>
          <w:spacing w:val="-2"/>
        </w:rPr>
        <w:t xml:space="preserve"> </w:t>
      </w:r>
      <w:r w:rsidRPr="009A0DA6">
        <w:rPr>
          <w:rFonts w:ascii="Cambria" w:eastAsia="Calibri" w:hAnsi="Cambria" w:cs="Calibri"/>
        </w:rPr>
        <w:t>t</w:t>
      </w:r>
      <w:r w:rsidRPr="009A0DA6">
        <w:rPr>
          <w:rFonts w:ascii="Cambria" w:eastAsia="Calibri" w:hAnsi="Cambria" w:cs="Calibri"/>
          <w:spacing w:val="-2"/>
        </w:rPr>
        <w:t>h</w:t>
      </w:r>
      <w:r w:rsidRPr="009A0DA6">
        <w:rPr>
          <w:rFonts w:ascii="Cambria" w:eastAsia="Calibri" w:hAnsi="Cambria" w:cs="Calibri"/>
        </w:rPr>
        <w:t>e tr</w:t>
      </w:r>
      <w:r w:rsidRPr="009A0DA6">
        <w:rPr>
          <w:rFonts w:ascii="Cambria" w:eastAsia="Calibri" w:hAnsi="Cambria" w:cs="Calibri"/>
          <w:spacing w:val="-1"/>
        </w:rPr>
        <w:t>u</w:t>
      </w:r>
      <w:r w:rsidRPr="009A0DA6">
        <w:rPr>
          <w:rFonts w:ascii="Cambria" w:eastAsia="Calibri" w:hAnsi="Cambria" w:cs="Calibri"/>
        </w:rPr>
        <w:t>e, fa</w:t>
      </w:r>
      <w:r w:rsidRPr="009A0DA6">
        <w:rPr>
          <w:rFonts w:ascii="Cambria" w:eastAsia="Calibri" w:hAnsi="Cambria" w:cs="Calibri"/>
          <w:spacing w:val="1"/>
        </w:rPr>
        <w:t>i</w:t>
      </w:r>
      <w:r w:rsidRPr="009A0DA6">
        <w:rPr>
          <w:rFonts w:ascii="Cambria" w:eastAsia="Calibri" w:hAnsi="Cambria" w:cs="Calibri"/>
        </w:rPr>
        <w:t>t</w:t>
      </w:r>
      <w:r w:rsidRPr="009A0DA6">
        <w:rPr>
          <w:rFonts w:ascii="Cambria" w:eastAsia="Calibri" w:hAnsi="Cambria" w:cs="Calibri"/>
          <w:spacing w:val="-2"/>
        </w:rPr>
        <w:t>h</w:t>
      </w:r>
      <w:r w:rsidRPr="009A0DA6">
        <w:rPr>
          <w:rFonts w:ascii="Cambria" w:eastAsia="Calibri" w:hAnsi="Cambria" w:cs="Calibri"/>
        </w:rPr>
        <w:t>ful</w:t>
      </w:r>
      <w:r w:rsidRPr="009A0DA6">
        <w:rPr>
          <w:rFonts w:ascii="Cambria" w:eastAsia="Calibri" w:hAnsi="Cambria" w:cs="Calibri"/>
          <w:spacing w:val="-1"/>
        </w:rPr>
        <w:t xml:space="preserve"> </w:t>
      </w:r>
      <w:r w:rsidRPr="009A0DA6">
        <w:rPr>
          <w:rFonts w:ascii="Cambria" w:eastAsia="Calibri" w:hAnsi="Cambria" w:cs="Calibri"/>
        </w:rPr>
        <w:t>Wo</w:t>
      </w:r>
      <w:r w:rsidRPr="009A0DA6">
        <w:rPr>
          <w:rFonts w:ascii="Cambria" w:eastAsia="Calibri" w:hAnsi="Cambria" w:cs="Calibri"/>
          <w:spacing w:val="1"/>
        </w:rPr>
        <w:t>r</w:t>
      </w:r>
      <w:r w:rsidRPr="009A0DA6">
        <w:rPr>
          <w:rFonts w:ascii="Cambria" w:eastAsia="Calibri" w:hAnsi="Cambria" w:cs="Calibri"/>
          <w:spacing w:val="-1"/>
        </w:rPr>
        <w:t>d</w:t>
      </w:r>
      <w:r w:rsidRPr="009A0DA6">
        <w:rPr>
          <w:rFonts w:ascii="Cambria" w:eastAsia="Calibri" w:hAnsi="Cambria" w:cs="Calibri"/>
        </w:rPr>
        <w:t>;</w:t>
      </w:r>
      <w:r w:rsidRPr="009A0DA6">
        <w:rPr>
          <w:rFonts w:ascii="Cambria" w:eastAsia="Calibri" w:hAnsi="Cambria" w:cs="Calibri"/>
          <w:spacing w:val="-2"/>
        </w:rPr>
        <w:t xml:space="preserve"> </w:t>
      </w:r>
      <w:r w:rsidRPr="009A0DA6">
        <w:rPr>
          <w:rFonts w:ascii="Cambria" w:eastAsia="Calibri" w:hAnsi="Cambria" w:cs="Calibri"/>
          <w:spacing w:val="-1"/>
        </w:rPr>
        <w:t>n</w:t>
      </w:r>
      <w:r w:rsidRPr="009A0DA6">
        <w:rPr>
          <w:rFonts w:ascii="Cambria" w:eastAsia="Calibri" w:hAnsi="Cambria" w:cs="Calibri"/>
        </w:rPr>
        <w:t xml:space="preserve">ow </w:t>
      </w:r>
      <w:r w:rsidRPr="009A0DA6">
        <w:rPr>
          <w:rFonts w:ascii="Cambria" w:eastAsia="Calibri" w:hAnsi="Cambria" w:cs="Calibri"/>
          <w:spacing w:val="-1"/>
        </w:rPr>
        <w:t>b</w:t>
      </w:r>
      <w:r w:rsidRPr="009A0DA6">
        <w:rPr>
          <w:rFonts w:ascii="Cambria" w:eastAsia="Calibri" w:hAnsi="Cambria" w:cs="Calibri"/>
        </w:rPr>
        <w:t xml:space="preserve">eware of </w:t>
      </w:r>
      <w:r w:rsidRPr="009A0DA6">
        <w:rPr>
          <w:rFonts w:ascii="Cambria" w:eastAsia="Calibri" w:hAnsi="Cambria" w:cs="Calibri"/>
          <w:spacing w:val="-2"/>
        </w:rPr>
        <w:t>y</w:t>
      </w:r>
      <w:r w:rsidRPr="009A0DA6">
        <w:rPr>
          <w:rFonts w:ascii="Cambria" w:eastAsia="Calibri" w:hAnsi="Cambria" w:cs="Calibri"/>
        </w:rPr>
        <w:t>our</w:t>
      </w:r>
      <w:r w:rsidRPr="009A0DA6">
        <w:rPr>
          <w:rFonts w:ascii="Cambria" w:eastAsia="Calibri" w:hAnsi="Cambria" w:cs="Calibri"/>
          <w:spacing w:val="-1"/>
        </w:rPr>
        <w:t xml:space="preserve"> </w:t>
      </w:r>
      <w:r w:rsidRPr="009A0DA6">
        <w:rPr>
          <w:rFonts w:ascii="Cambria" w:eastAsia="Calibri" w:hAnsi="Cambria" w:cs="Calibri"/>
        </w:rPr>
        <w:t>o</w:t>
      </w:r>
      <w:r w:rsidRPr="009A0DA6">
        <w:rPr>
          <w:rFonts w:ascii="Cambria" w:eastAsia="Calibri" w:hAnsi="Cambria" w:cs="Calibri"/>
          <w:spacing w:val="1"/>
        </w:rPr>
        <w:t>w</w:t>
      </w:r>
      <w:r w:rsidRPr="009A0DA6">
        <w:rPr>
          <w:rFonts w:ascii="Cambria" w:eastAsia="Calibri" w:hAnsi="Cambria" w:cs="Calibri"/>
        </w:rPr>
        <w:t>n</w:t>
      </w:r>
      <w:r w:rsidRPr="009A0DA6">
        <w:rPr>
          <w:rFonts w:ascii="Cambria" w:eastAsia="Calibri" w:hAnsi="Cambria" w:cs="Calibri"/>
          <w:spacing w:val="-2"/>
        </w:rPr>
        <w:t xml:space="preserve"> </w:t>
      </w:r>
      <w:r w:rsidRPr="009A0DA6">
        <w:rPr>
          <w:rFonts w:ascii="Cambria" w:eastAsia="Calibri" w:hAnsi="Cambria" w:cs="Calibri"/>
        </w:rPr>
        <w:t>t</w:t>
      </w:r>
      <w:r w:rsidRPr="009A0DA6">
        <w:rPr>
          <w:rFonts w:ascii="Cambria" w:eastAsia="Calibri" w:hAnsi="Cambria" w:cs="Calibri"/>
          <w:spacing w:val="-2"/>
        </w:rPr>
        <w:t>h</w:t>
      </w:r>
      <w:r w:rsidRPr="009A0DA6">
        <w:rPr>
          <w:rFonts w:ascii="Cambria" w:eastAsia="Calibri" w:hAnsi="Cambria" w:cs="Calibri"/>
        </w:rPr>
        <w:t>oug</w:t>
      </w:r>
      <w:r w:rsidRPr="009A0DA6">
        <w:rPr>
          <w:rFonts w:ascii="Cambria" w:eastAsia="Calibri" w:hAnsi="Cambria" w:cs="Calibri"/>
          <w:spacing w:val="-2"/>
        </w:rPr>
        <w:t>h</w:t>
      </w:r>
      <w:r w:rsidRPr="009A0DA6">
        <w:rPr>
          <w:rFonts w:ascii="Cambria" w:eastAsia="Calibri" w:hAnsi="Cambria" w:cs="Calibri"/>
        </w:rPr>
        <w:t>ts</w:t>
      </w:r>
      <w:r w:rsidRPr="009A0DA6">
        <w:rPr>
          <w:rFonts w:ascii="Cambria" w:eastAsia="Calibri" w:hAnsi="Cambria" w:cs="Calibri"/>
          <w:spacing w:val="-1"/>
        </w:rPr>
        <w:t xml:space="preserve"> </w:t>
      </w:r>
      <w:r w:rsidRPr="009A0DA6">
        <w:rPr>
          <w:rFonts w:ascii="Cambria" w:eastAsia="Calibri" w:hAnsi="Cambria" w:cs="Calibri"/>
        </w:rPr>
        <w:t>a</w:t>
      </w:r>
      <w:r w:rsidRPr="009A0DA6">
        <w:rPr>
          <w:rFonts w:ascii="Cambria" w:eastAsia="Calibri" w:hAnsi="Cambria" w:cs="Calibri"/>
          <w:spacing w:val="-1"/>
        </w:rPr>
        <w:t>n</w:t>
      </w:r>
      <w:r w:rsidRPr="009A0DA6">
        <w:rPr>
          <w:rFonts w:ascii="Cambria" w:eastAsia="Calibri" w:hAnsi="Cambria" w:cs="Calibri"/>
        </w:rPr>
        <w:t>d</w:t>
      </w:r>
      <w:r w:rsidRPr="009A0DA6">
        <w:rPr>
          <w:rFonts w:ascii="Cambria" w:eastAsia="Calibri" w:hAnsi="Cambria" w:cs="Calibri"/>
          <w:spacing w:val="2"/>
        </w:rPr>
        <w:t xml:space="preserve"> </w:t>
      </w:r>
      <w:r w:rsidRPr="009A0DA6">
        <w:rPr>
          <w:rFonts w:ascii="Cambria" w:eastAsia="Calibri" w:hAnsi="Cambria" w:cs="Calibri"/>
        </w:rPr>
        <w:t>your</w:t>
      </w:r>
      <w:r w:rsidRPr="009A0DA6">
        <w:rPr>
          <w:rFonts w:ascii="Cambria" w:eastAsia="Calibri" w:hAnsi="Cambria" w:cs="Calibri"/>
          <w:spacing w:val="-1"/>
        </w:rPr>
        <w:t xml:space="preserve"> </w:t>
      </w:r>
      <w:r w:rsidRPr="009A0DA6">
        <w:rPr>
          <w:rFonts w:ascii="Cambria" w:eastAsia="Calibri" w:hAnsi="Cambria" w:cs="Calibri"/>
        </w:rPr>
        <w:t>o</w:t>
      </w:r>
      <w:r w:rsidRPr="009A0DA6">
        <w:rPr>
          <w:rFonts w:ascii="Cambria" w:eastAsia="Calibri" w:hAnsi="Cambria" w:cs="Calibri"/>
          <w:spacing w:val="1"/>
        </w:rPr>
        <w:t>w</w:t>
      </w:r>
      <w:r w:rsidRPr="009A0DA6">
        <w:rPr>
          <w:rFonts w:ascii="Cambria" w:eastAsia="Calibri" w:hAnsi="Cambria" w:cs="Calibri"/>
        </w:rPr>
        <w:t>n w</w:t>
      </w:r>
      <w:r w:rsidRPr="009A0DA6">
        <w:rPr>
          <w:rFonts w:ascii="Cambria" w:eastAsia="Calibri" w:hAnsi="Cambria" w:cs="Calibri"/>
          <w:spacing w:val="1"/>
        </w:rPr>
        <w:t>i</w:t>
      </w:r>
      <w:r w:rsidRPr="009A0DA6">
        <w:rPr>
          <w:rFonts w:ascii="Cambria" w:eastAsia="Calibri" w:hAnsi="Cambria" w:cs="Calibri"/>
        </w:rPr>
        <w:t>sdo</w:t>
      </w:r>
      <w:r w:rsidRPr="009A0DA6">
        <w:rPr>
          <w:rFonts w:ascii="Cambria" w:eastAsia="Calibri" w:hAnsi="Cambria" w:cs="Calibri"/>
          <w:spacing w:val="-3"/>
        </w:rPr>
        <w:t>m</w:t>
      </w:r>
      <w:r w:rsidRPr="009A0DA6">
        <w:rPr>
          <w:rFonts w:ascii="Cambria" w:eastAsia="Calibri" w:hAnsi="Cambria" w:cs="Calibri"/>
        </w:rPr>
        <w:t>. 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1"/>
        </w:rPr>
        <w:t xml:space="preserve"> d</w:t>
      </w:r>
      <w:r w:rsidRPr="009A0DA6">
        <w:rPr>
          <w:rFonts w:ascii="Cambria" w:eastAsia="Calibri" w:hAnsi="Cambria" w:cs="Calibri"/>
        </w:rPr>
        <w:t>evil w</w:t>
      </w:r>
      <w:r w:rsidRPr="009A0DA6">
        <w:rPr>
          <w:rFonts w:ascii="Cambria" w:eastAsia="Calibri" w:hAnsi="Cambria" w:cs="Calibri"/>
          <w:spacing w:val="1"/>
        </w:rPr>
        <w:t>i</w:t>
      </w:r>
      <w:r w:rsidRPr="009A0DA6">
        <w:rPr>
          <w:rFonts w:ascii="Cambria" w:eastAsia="Calibri" w:hAnsi="Cambria" w:cs="Calibri"/>
          <w:spacing w:val="-2"/>
        </w:rPr>
        <w:t>l</w:t>
      </w:r>
      <w:r w:rsidRPr="009A0DA6">
        <w:rPr>
          <w:rFonts w:ascii="Cambria" w:eastAsia="Calibri" w:hAnsi="Cambria" w:cs="Calibri"/>
        </w:rPr>
        <w:t>l lig</w:t>
      </w:r>
      <w:r w:rsidRPr="009A0DA6">
        <w:rPr>
          <w:rFonts w:ascii="Cambria" w:eastAsia="Calibri" w:hAnsi="Cambria" w:cs="Calibri"/>
          <w:spacing w:val="-1"/>
        </w:rPr>
        <w:t>h</w:t>
      </w:r>
      <w:r w:rsidRPr="009A0DA6">
        <w:rPr>
          <w:rFonts w:ascii="Cambria" w:eastAsia="Calibri" w:hAnsi="Cambria" w:cs="Calibri"/>
        </w:rPr>
        <w:t>t</w:t>
      </w:r>
      <w:r w:rsidRPr="009A0DA6">
        <w:rPr>
          <w:rFonts w:ascii="Cambria" w:eastAsia="Calibri" w:hAnsi="Cambria" w:cs="Calibri"/>
          <w:spacing w:val="-1"/>
        </w:rPr>
        <w:t xml:space="preserve"> </w:t>
      </w:r>
      <w:r w:rsidRPr="009A0DA6">
        <w:rPr>
          <w:rFonts w:ascii="Cambria" w:eastAsia="Calibri" w:hAnsi="Cambria" w:cs="Calibri"/>
        </w:rPr>
        <w:t>t</w:t>
      </w:r>
      <w:r w:rsidRPr="009A0DA6">
        <w:rPr>
          <w:rFonts w:ascii="Cambria" w:eastAsia="Calibri" w:hAnsi="Cambria" w:cs="Calibri"/>
          <w:spacing w:val="-2"/>
        </w:rPr>
        <w:t>h</w:t>
      </w:r>
      <w:r w:rsidRPr="009A0DA6">
        <w:rPr>
          <w:rFonts w:ascii="Cambria" w:eastAsia="Calibri" w:hAnsi="Cambria" w:cs="Calibri"/>
        </w:rPr>
        <w:t>e</w:t>
      </w:r>
      <w:r w:rsidRPr="009A0DA6">
        <w:rPr>
          <w:rFonts w:ascii="Cambria" w:eastAsia="Calibri" w:hAnsi="Cambria" w:cs="Calibri"/>
          <w:spacing w:val="2"/>
        </w:rPr>
        <w:t xml:space="preserve"> </w:t>
      </w:r>
      <w:r w:rsidRPr="009A0DA6">
        <w:rPr>
          <w:rFonts w:ascii="Cambria" w:eastAsia="Calibri" w:hAnsi="Cambria" w:cs="Calibri"/>
          <w:spacing w:val="-1"/>
        </w:rPr>
        <w:t>c</w:t>
      </w:r>
      <w:r w:rsidRPr="009A0DA6">
        <w:rPr>
          <w:rFonts w:ascii="Cambria" w:eastAsia="Calibri" w:hAnsi="Cambria" w:cs="Calibri"/>
        </w:rPr>
        <w:t>a</w:t>
      </w:r>
      <w:r w:rsidRPr="009A0DA6">
        <w:rPr>
          <w:rFonts w:ascii="Cambria" w:eastAsia="Calibri" w:hAnsi="Cambria" w:cs="Calibri"/>
          <w:spacing w:val="-1"/>
        </w:rPr>
        <w:t>nd</w:t>
      </w:r>
      <w:r w:rsidRPr="009A0DA6">
        <w:rPr>
          <w:rFonts w:ascii="Cambria" w:eastAsia="Calibri" w:hAnsi="Cambria" w:cs="Calibri"/>
        </w:rPr>
        <w:t>le</w:t>
      </w:r>
      <w:r w:rsidRPr="009A0DA6">
        <w:rPr>
          <w:rFonts w:ascii="Cambria" w:eastAsia="Calibri" w:hAnsi="Cambria" w:cs="Calibri"/>
          <w:spacing w:val="-1"/>
        </w:rPr>
        <w:t xml:space="preserve"> </w:t>
      </w:r>
      <w:r w:rsidRPr="009A0DA6">
        <w:rPr>
          <w:rFonts w:ascii="Cambria" w:eastAsia="Calibri" w:hAnsi="Cambria" w:cs="Calibri"/>
        </w:rPr>
        <w:t>of reas</w:t>
      </w:r>
      <w:r w:rsidRPr="009A0DA6">
        <w:rPr>
          <w:rFonts w:ascii="Cambria" w:eastAsia="Calibri" w:hAnsi="Cambria" w:cs="Calibri"/>
          <w:spacing w:val="1"/>
        </w:rPr>
        <w:t>o</w:t>
      </w:r>
      <w:r w:rsidRPr="009A0DA6">
        <w:rPr>
          <w:rFonts w:ascii="Cambria" w:eastAsia="Calibri" w:hAnsi="Cambria" w:cs="Calibri"/>
        </w:rPr>
        <w:t>n</w:t>
      </w:r>
      <w:r w:rsidRPr="009A0DA6">
        <w:rPr>
          <w:rFonts w:ascii="Cambria" w:eastAsia="Calibri" w:hAnsi="Cambria" w:cs="Calibri"/>
          <w:spacing w:val="-2"/>
        </w:rPr>
        <w:t xml:space="preserve"> </w:t>
      </w:r>
      <w:r w:rsidRPr="009A0DA6">
        <w:rPr>
          <w:rFonts w:ascii="Cambria" w:eastAsia="Calibri" w:hAnsi="Cambria" w:cs="Calibri"/>
        </w:rPr>
        <w:t>a</w:t>
      </w:r>
      <w:r w:rsidRPr="009A0DA6">
        <w:rPr>
          <w:rFonts w:ascii="Cambria" w:eastAsia="Calibri" w:hAnsi="Cambria" w:cs="Calibri"/>
          <w:spacing w:val="-1"/>
        </w:rPr>
        <w:t>n</w:t>
      </w:r>
      <w:r w:rsidRPr="009A0DA6">
        <w:rPr>
          <w:rFonts w:ascii="Cambria" w:eastAsia="Calibri" w:hAnsi="Cambria" w:cs="Calibri"/>
        </w:rPr>
        <w:t>d</w:t>
      </w:r>
      <w:r w:rsidRPr="009A0DA6">
        <w:rPr>
          <w:rFonts w:ascii="Cambria" w:eastAsia="Calibri" w:hAnsi="Cambria" w:cs="Calibri"/>
          <w:spacing w:val="-2"/>
        </w:rPr>
        <w:t xml:space="preserve"> </w:t>
      </w:r>
      <w:r w:rsidRPr="009A0DA6">
        <w:rPr>
          <w:rFonts w:ascii="Cambria" w:eastAsia="Calibri" w:hAnsi="Cambria" w:cs="Calibri"/>
          <w:spacing w:val="-1"/>
        </w:rPr>
        <w:t>d</w:t>
      </w:r>
      <w:r w:rsidRPr="009A0DA6">
        <w:rPr>
          <w:rFonts w:ascii="Cambria" w:eastAsia="Calibri" w:hAnsi="Cambria" w:cs="Calibri"/>
        </w:rPr>
        <w:t>e</w:t>
      </w:r>
      <w:r w:rsidRPr="009A0DA6">
        <w:rPr>
          <w:rFonts w:ascii="Cambria" w:eastAsia="Calibri" w:hAnsi="Cambria" w:cs="Calibri"/>
          <w:spacing w:val="-2"/>
        </w:rPr>
        <w:t>p</w:t>
      </w:r>
      <w:r w:rsidRPr="009A0DA6">
        <w:rPr>
          <w:rFonts w:ascii="Cambria" w:eastAsia="Calibri" w:hAnsi="Cambria" w:cs="Calibri"/>
        </w:rPr>
        <w:t>ri</w:t>
      </w:r>
      <w:r w:rsidRPr="009A0DA6">
        <w:rPr>
          <w:rFonts w:ascii="Cambria" w:eastAsia="Calibri" w:hAnsi="Cambria" w:cs="Calibri"/>
          <w:spacing w:val="1"/>
        </w:rPr>
        <w:t>v</w:t>
      </w:r>
      <w:r w:rsidRPr="009A0DA6">
        <w:rPr>
          <w:rFonts w:ascii="Cambria" w:eastAsia="Calibri" w:hAnsi="Cambria" w:cs="Calibri"/>
        </w:rPr>
        <w:t>e</w:t>
      </w:r>
      <w:r w:rsidRPr="009A0DA6">
        <w:rPr>
          <w:rFonts w:ascii="Cambria" w:eastAsia="Calibri" w:hAnsi="Cambria" w:cs="Calibri"/>
          <w:spacing w:val="-2"/>
        </w:rPr>
        <w:t xml:space="preserve"> </w:t>
      </w:r>
      <w:r w:rsidRPr="009A0DA6">
        <w:rPr>
          <w:rFonts w:ascii="Cambria" w:eastAsia="Calibri" w:hAnsi="Cambria" w:cs="Calibri"/>
        </w:rPr>
        <w:t>you</w:t>
      </w:r>
      <w:r w:rsidRPr="009A0DA6">
        <w:rPr>
          <w:rFonts w:ascii="Cambria" w:eastAsia="Calibri" w:hAnsi="Cambria" w:cs="Calibri"/>
          <w:spacing w:val="-1"/>
        </w:rPr>
        <w:t xml:space="preserve"> </w:t>
      </w:r>
      <w:r w:rsidRPr="009A0DA6">
        <w:rPr>
          <w:rFonts w:ascii="Cambria" w:eastAsia="Calibri" w:hAnsi="Cambria" w:cs="Calibri"/>
        </w:rPr>
        <w:t>of your</w:t>
      </w:r>
      <w:r w:rsidRPr="009A0DA6">
        <w:rPr>
          <w:rFonts w:ascii="Cambria" w:eastAsia="Calibri" w:hAnsi="Cambria" w:cs="Calibri"/>
          <w:spacing w:val="-1"/>
        </w:rPr>
        <w:t xml:space="preserve"> </w:t>
      </w:r>
      <w:r w:rsidRPr="009A0DA6">
        <w:rPr>
          <w:rFonts w:ascii="Cambria" w:eastAsia="Calibri" w:hAnsi="Cambria" w:cs="Calibri"/>
        </w:rPr>
        <w:t>fa</w:t>
      </w:r>
      <w:r w:rsidRPr="009A0DA6">
        <w:rPr>
          <w:rFonts w:ascii="Cambria" w:eastAsia="Calibri" w:hAnsi="Cambria" w:cs="Calibri"/>
          <w:spacing w:val="1"/>
        </w:rPr>
        <w:t>i</w:t>
      </w:r>
      <w:r w:rsidRPr="009A0DA6">
        <w:rPr>
          <w:rFonts w:ascii="Cambria" w:eastAsia="Calibri" w:hAnsi="Cambria" w:cs="Calibri"/>
        </w:rPr>
        <w:t>t</w:t>
      </w:r>
      <w:r w:rsidRPr="009A0DA6">
        <w:rPr>
          <w:rFonts w:ascii="Cambria" w:eastAsia="Calibri" w:hAnsi="Cambria" w:cs="Calibri"/>
          <w:spacing w:val="-1"/>
        </w:rPr>
        <w:t>h</w:t>
      </w:r>
      <w:r w:rsidRPr="009A0DA6">
        <w:rPr>
          <w:rFonts w:ascii="Cambria" w:eastAsia="Calibri" w:hAnsi="Cambria" w:cs="Calibri"/>
        </w:rPr>
        <w:t>”.</w:t>
      </w:r>
      <w:r w:rsidRPr="009A0DA6">
        <w:rPr>
          <w:rFonts w:ascii="Cambria" w:eastAsia="Calibri" w:hAnsi="Cambria" w:cs="Calibri"/>
          <w:spacing w:val="4"/>
        </w:rPr>
        <w:t xml:space="preserve"> </w:t>
      </w:r>
      <w:r w:rsidRPr="009A0DA6">
        <w:rPr>
          <w:rFonts w:ascii="Cambria" w:eastAsia="Calibri" w:hAnsi="Cambria" w:cs="Calibri"/>
          <w:i/>
        </w:rPr>
        <w:t>The Chu</w:t>
      </w:r>
      <w:r w:rsidRPr="009A0DA6">
        <w:rPr>
          <w:rFonts w:ascii="Cambria" w:eastAsia="Calibri" w:hAnsi="Cambria" w:cs="Calibri"/>
          <w:i/>
          <w:spacing w:val="-1"/>
        </w:rPr>
        <w:t>r</w:t>
      </w:r>
      <w:r w:rsidRPr="009A0DA6">
        <w:rPr>
          <w:rFonts w:ascii="Cambria" w:eastAsia="Calibri" w:hAnsi="Cambria" w:cs="Calibri"/>
          <w:i/>
        </w:rPr>
        <w:t>ch Through</w:t>
      </w:r>
      <w:r w:rsidRPr="009A0DA6">
        <w:rPr>
          <w:rFonts w:ascii="Cambria" w:eastAsia="Calibri" w:hAnsi="Cambria" w:cs="Calibri"/>
          <w:i/>
          <w:spacing w:val="-2"/>
        </w:rPr>
        <w:t xml:space="preserve"> </w:t>
      </w:r>
      <w:r w:rsidRPr="009A0DA6">
        <w:rPr>
          <w:rFonts w:ascii="Cambria" w:eastAsia="Calibri" w:hAnsi="Cambria" w:cs="Calibri"/>
          <w:i/>
        </w:rPr>
        <w:t>the Age</w:t>
      </w:r>
      <w:r w:rsidRPr="009A0DA6">
        <w:rPr>
          <w:rFonts w:ascii="Cambria" w:eastAsia="Calibri" w:hAnsi="Cambria" w:cs="Calibri"/>
          <w:i/>
          <w:spacing w:val="2"/>
        </w:rPr>
        <w:t>s</w:t>
      </w:r>
      <w:r w:rsidRPr="009A0DA6">
        <w:rPr>
          <w:rFonts w:ascii="Cambria" w:eastAsia="Calibri" w:hAnsi="Cambria" w:cs="Calibri"/>
        </w:rPr>
        <w:t>,</w:t>
      </w:r>
      <w:r w:rsidRPr="009A0DA6">
        <w:rPr>
          <w:rFonts w:ascii="Cambria" w:eastAsia="Calibri" w:hAnsi="Cambria" w:cs="Calibri"/>
          <w:spacing w:val="-1"/>
        </w:rPr>
        <w:t xml:space="preserve"> </w:t>
      </w:r>
      <w:r w:rsidR="007365CB" w:rsidRPr="009A0DA6">
        <w:rPr>
          <w:rFonts w:ascii="Cambria" w:eastAsia="Calibri" w:hAnsi="Cambria" w:cs="Calibri"/>
          <w:spacing w:val="-1"/>
        </w:rPr>
        <w:t>p</w:t>
      </w:r>
      <w:r w:rsidRPr="009A0DA6">
        <w:rPr>
          <w:rFonts w:ascii="Cambria" w:eastAsia="Calibri" w:hAnsi="Cambria" w:cs="Calibri"/>
          <w:spacing w:val="-1"/>
        </w:rPr>
        <w:t>44</w:t>
      </w:r>
      <w:r w:rsidRPr="009A0DA6">
        <w:rPr>
          <w:rFonts w:ascii="Cambria" w:eastAsia="Calibri" w:hAnsi="Cambria" w:cs="Calibri"/>
        </w:rPr>
        <w:t>3.</w:t>
      </w:r>
    </w:p>
    <w:p w14:paraId="6EFC1E04" w14:textId="77777777" w:rsidR="00680D5E" w:rsidRPr="009A0DA6" w:rsidRDefault="00680D5E" w:rsidP="00680D5E">
      <w:pPr>
        <w:pStyle w:val="ListParagraph"/>
        <w:spacing w:before="28" w:after="0" w:line="240" w:lineRule="auto"/>
        <w:ind w:left="567" w:right="213"/>
        <w:rPr>
          <w:rFonts w:ascii="Cambria" w:eastAsia="Calibri" w:hAnsi="Cambria" w:cs="Calibri"/>
        </w:rPr>
      </w:pPr>
    </w:p>
    <w:p w14:paraId="341FC610" w14:textId="1C464729" w:rsidR="00680D5E" w:rsidRPr="009A0DA6" w:rsidRDefault="00680D5E" w:rsidP="00F55252">
      <w:pPr>
        <w:pStyle w:val="ListParagraph"/>
        <w:numPr>
          <w:ilvl w:val="0"/>
          <w:numId w:val="131"/>
        </w:numPr>
        <w:spacing w:before="28" w:after="0" w:line="240" w:lineRule="auto"/>
        <w:ind w:left="567" w:right="213" w:hanging="567"/>
        <w:rPr>
          <w:rFonts w:ascii="Cambria" w:eastAsia="Calibri" w:hAnsi="Cambria" w:cs="Calibri"/>
        </w:rPr>
      </w:pPr>
      <w:r w:rsidRPr="009A0DA6">
        <w:rPr>
          <w:rFonts w:ascii="Cambria" w:eastAsia="Calibri" w:hAnsi="Cambria" w:cs="Calibri"/>
        </w:rPr>
        <w:t>T</w:t>
      </w:r>
      <w:r w:rsidRPr="009A0DA6">
        <w:rPr>
          <w:rFonts w:ascii="Cambria" w:eastAsia="Calibri" w:hAnsi="Cambria" w:cs="Calibri"/>
          <w:spacing w:val="-1"/>
        </w:rPr>
        <w:t>h</w:t>
      </w:r>
      <w:r w:rsidRPr="009A0DA6">
        <w:rPr>
          <w:rFonts w:ascii="Cambria" w:eastAsia="Calibri" w:hAnsi="Cambria" w:cs="Calibri"/>
        </w:rPr>
        <w:t>is is a</w:t>
      </w:r>
      <w:r w:rsidRPr="009A0DA6">
        <w:rPr>
          <w:rFonts w:ascii="Cambria" w:eastAsia="Calibri" w:hAnsi="Cambria" w:cs="Calibri"/>
          <w:spacing w:val="-1"/>
        </w:rPr>
        <w:t xml:space="preserve"> d</w:t>
      </w:r>
      <w:r w:rsidRPr="009A0DA6">
        <w:rPr>
          <w:rFonts w:ascii="Cambria" w:eastAsia="Calibri" w:hAnsi="Cambria" w:cs="Calibri"/>
        </w:rPr>
        <w:t>octri</w:t>
      </w:r>
      <w:r w:rsidRPr="009A0DA6">
        <w:rPr>
          <w:rFonts w:ascii="Cambria" w:eastAsia="Calibri" w:hAnsi="Cambria" w:cs="Calibri"/>
          <w:spacing w:val="-1"/>
        </w:rPr>
        <w:t>n</w:t>
      </w:r>
      <w:r w:rsidRPr="009A0DA6">
        <w:rPr>
          <w:rFonts w:ascii="Cambria" w:eastAsia="Calibri" w:hAnsi="Cambria" w:cs="Calibri"/>
        </w:rPr>
        <w:t xml:space="preserve">al </w:t>
      </w:r>
      <w:r w:rsidRPr="009A0DA6">
        <w:rPr>
          <w:rFonts w:ascii="Cambria" w:eastAsia="Calibri" w:hAnsi="Cambria" w:cs="Calibri"/>
          <w:spacing w:val="-1"/>
        </w:rPr>
        <w:t>m</w:t>
      </w:r>
      <w:r w:rsidRPr="009A0DA6">
        <w:rPr>
          <w:rFonts w:ascii="Cambria" w:eastAsia="Calibri" w:hAnsi="Cambria" w:cs="Calibri"/>
        </w:rPr>
        <w:t>at</w:t>
      </w:r>
      <w:r w:rsidRPr="009A0DA6">
        <w:rPr>
          <w:rFonts w:ascii="Cambria" w:eastAsia="Calibri" w:hAnsi="Cambria" w:cs="Calibri"/>
          <w:spacing w:val="-1"/>
        </w:rPr>
        <w:t>t</w:t>
      </w:r>
      <w:r w:rsidRPr="009A0DA6">
        <w:rPr>
          <w:rFonts w:ascii="Cambria" w:eastAsia="Calibri" w:hAnsi="Cambria" w:cs="Calibri"/>
        </w:rPr>
        <w:t>er,</w:t>
      </w:r>
      <w:r w:rsidRPr="009A0DA6">
        <w:rPr>
          <w:rFonts w:ascii="Cambria" w:eastAsia="Calibri" w:hAnsi="Cambria" w:cs="Calibri"/>
          <w:spacing w:val="-1"/>
        </w:rPr>
        <w:t xml:space="preserve"> </w:t>
      </w:r>
      <w:r w:rsidRPr="009A0DA6">
        <w:rPr>
          <w:rFonts w:ascii="Cambria" w:eastAsia="Calibri" w:hAnsi="Cambria" w:cs="Calibri"/>
        </w:rPr>
        <w:t>a</w:t>
      </w:r>
      <w:r w:rsidRPr="009A0DA6">
        <w:rPr>
          <w:rFonts w:ascii="Cambria" w:eastAsia="Calibri" w:hAnsi="Cambria" w:cs="Calibri"/>
          <w:spacing w:val="-1"/>
        </w:rPr>
        <w:t>n</w:t>
      </w:r>
      <w:r w:rsidRPr="009A0DA6">
        <w:rPr>
          <w:rFonts w:ascii="Cambria" w:eastAsia="Calibri" w:hAnsi="Cambria" w:cs="Calibri"/>
        </w:rPr>
        <w:t>d</w:t>
      </w:r>
      <w:r w:rsidRPr="009A0DA6">
        <w:rPr>
          <w:rFonts w:ascii="Cambria" w:eastAsia="Calibri" w:hAnsi="Cambria" w:cs="Calibri"/>
          <w:spacing w:val="-2"/>
        </w:rPr>
        <w:t xml:space="preserve"> </w:t>
      </w:r>
      <w:r w:rsidRPr="009A0DA6">
        <w:rPr>
          <w:rFonts w:ascii="Cambria" w:eastAsia="Calibri" w:hAnsi="Cambria" w:cs="Calibri"/>
        </w:rPr>
        <w:t>a</w:t>
      </w:r>
      <w:r w:rsidRPr="009A0DA6">
        <w:rPr>
          <w:rFonts w:ascii="Cambria" w:eastAsia="Calibri" w:hAnsi="Cambria" w:cs="Calibri"/>
          <w:spacing w:val="1"/>
        </w:rPr>
        <w:t xml:space="preserve"> </w:t>
      </w:r>
      <w:r w:rsidRPr="009A0DA6">
        <w:rPr>
          <w:rFonts w:ascii="Cambria" w:eastAsia="Calibri" w:hAnsi="Cambria" w:cs="Calibri"/>
          <w:spacing w:val="-1"/>
        </w:rPr>
        <w:t>d</w:t>
      </w:r>
      <w:r w:rsidRPr="009A0DA6">
        <w:rPr>
          <w:rFonts w:ascii="Cambria" w:eastAsia="Calibri" w:hAnsi="Cambria" w:cs="Calibri"/>
        </w:rPr>
        <w:t>e</w:t>
      </w:r>
      <w:r w:rsidRPr="009A0DA6">
        <w:rPr>
          <w:rFonts w:ascii="Cambria" w:eastAsia="Calibri" w:hAnsi="Cambria" w:cs="Calibri"/>
          <w:spacing w:val="-2"/>
        </w:rPr>
        <w:t>c</w:t>
      </w:r>
      <w:r w:rsidRPr="009A0DA6">
        <w:rPr>
          <w:rFonts w:ascii="Cambria" w:eastAsia="Calibri" w:hAnsi="Cambria" w:cs="Calibri"/>
        </w:rPr>
        <w:t>is</w:t>
      </w:r>
      <w:r w:rsidRPr="009A0DA6">
        <w:rPr>
          <w:rFonts w:ascii="Cambria" w:eastAsia="Calibri" w:hAnsi="Cambria" w:cs="Calibri"/>
          <w:spacing w:val="1"/>
        </w:rPr>
        <w:t>i</w:t>
      </w:r>
      <w:r w:rsidRPr="009A0DA6">
        <w:rPr>
          <w:rFonts w:ascii="Cambria" w:eastAsia="Calibri" w:hAnsi="Cambria" w:cs="Calibri"/>
        </w:rPr>
        <w:t>on</w:t>
      </w:r>
      <w:r w:rsidRPr="009A0DA6">
        <w:rPr>
          <w:rFonts w:ascii="Cambria" w:eastAsia="Calibri" w:hAnsi="Cambria" w:cs="Calibri"/>
          <w:spacing w:val="-1"/>
        </w:rPr>
        <w:t xml:space="preserve"> </w:t>
      </w:r>
      <w:r w:rsidRPr="009A0DA6">
        <w:rPr>
          <w:rFonts w:ascii="Cambria" w:eastAsia="Calibri" w:hAnsi="Cambria" w:cs="Calibri"/>
          <w:spacing w:val="1"/>
        </w:rPr>
        <w:t>h</w:t>
      </w:r>
      <w:r w:rsidRPr="009A0DA6">
        <w:rPr>
          <w:rFonts w:ascii="Cambria" w:eastAsia="Calibri" w:hAnsi="Cambria" w:cs="Calibri"/>
        </w:rPr>
        <w:t xml:space="preserve">as </w:t>
      </w:r>
      <w:r w:rsidRPr="009A0DA6">
        <w:rPr>
          <w:rFonts w:ascii="Cambria" w:eastAsia="Calibri" w:hAnsi="Cambria" w:cs="Calibri"/>
          <w:spacing w:val="-2"/>
        </w:rPr>
        <w:t>b</w:t>
      </w:r>
      <w:r w:rsidRPr="009A0DA6">
        <w:rPr>
          <w:rFonts w:ascii="Cambria" w:eastAsia="Calibri" w:hAnsi="Cambria" w:cs="Calibri"/>
        </w:rPr>
        <w:t>e</w:t>
      </w:r>
      <w:r w:rsidRPr="009A0DA6">
        <w:rPr>
          <w:rFonts w:ascii="Cambria" w:eastAsia="Calibri" w:hAnsi="Cambria" w:cs="Calibri"/>
          <w:spacing w:val="-1"/>
        </w:rPr>
        <w:t>e</w:t>
      </w:r>
      <w:r w:rsidRPr="009A0DA6">
        <w:rPr>
          <w:rFonts w:ascii="Cambria" w:eastAsia="Calibri" w:hAnsi="Cambria" w:cs="Calibri"/>
        </w:rPr>
        <w:t>n</w:t>
      </w:r>
      <w:r w:rsidRPr="009A0DA6">
        <w:rPr>
          <w:rFonts w:ascii="Cambria" w:eastAsia="Calibri" w:hAnsi="Cambria" w:cs="Calibri"/>
          <w:spacing w:val="-2"/>
        </w:rPr>
        <w:t xml:space="preserve"> </w:t>
      </w:r>
      <w:r w:rsidRPr="009A0DA6">
        <w:rPr>
          <w:rFonts w:ascii="Cambria" w:eastAsia="Calibri" w:hAnsi="Cambria" w:cs="Calibri"/>
          <w:spacing w:val="-1"/>
        </w:rPr>
        <w:t>m</w:t>
      </w:r>
      <w:r w:rsidRPr="009A0DA6">
        <w:rPr>
          <w:rFonts w:ascii="Cambria" w:eastAsia="Calibri" w:hAnsi="Cambria" w:cs="Calibri"/>
        </w:rPr>
        <w:t>a</w:t>
      </w:r>
      <w:r w:rsidRPr="009A0DA6">
        <w:rPr>
          <w:rFonts w:ascii="Cambria" w:eastAsia="Calibri" w:hAnsi="Cambria" w:cs="Calibri"/>
          <w:spacing w:val="-1"/>
        </w:rPr>
        <w:t>d</w:t>
      </w:r>
      <w:r w:rsidRPr="009A0DA6">
        <w:rPr>
          <w:rFonts w:ascii="Cambria" w:eastAsia="Calibri" w:hAnsi="Cambria" w:cs="Calibri"/>
        </w:rPr>
        <w:t>e in</w:t>
      </w:r>
      <w:r w:rsidRPr="009A0DA6">
        <w:rPr>
          <w:rFonts w:ascii="Cambria" w:eastAsia="Calibri" w:hAnsi="Cambria" w:cs="Calibri"/>
          <w:spacing w:val="-2"/>
        </w:rPr>
        <w:t xml:space="preserve"> </w:t>
      </w:r>
      <w:r w:rsidRPr="009A0DA6">
        <w:rPr>
          <w:rFonts w:ascii="Cambria" w:eastAsia="Calibri" w:hAnsi="Cambria" w:cs="Calibri"/>
        </w:rPr>
        <w:t>a</w:t>
      </w:r>
      <w:r w:rsidRPr="009A0DA6">
        <w:rPr>
          <w:rFonts w:ascii="Cambria" w:eastAsia="Calibri" w:hAnsi="Cambria" w:cs="Calibri"/>
          <w:spacing w:val="1"/>
        </w:rPr>
        <w:t>c</w:t>
      </w:r>
      <w:r w:rsidRPr="009A0DA6">
        <w:rPr>
          <w:rFonts w:ascii="Cambria" w:eastAsia="Calibri" w:hAnsi="Cambria" w:cs="Calibri"/>
          <w:spacing w:val="-1"/>
        </w:rPr>
        <w:t>c</w:t>
      </w:r>
      <w:r w:rsidRPr="009A0DA6">
        <w:rPr>
          <w:rFonts w:ascii="Cambria" w:eastAsia="Calibri" w:hAnsi="Cambria" w:cs="Calibri"/>
        </w:rPr>
        <w:t>o</w:t>
      </w:r>
      <w:r w:rsidRPr="009A0DA6">
        <w:rPr>
          <w:rFonts w:ascii="Cambria" w:eastAsia="Calibri" w:hAnsi="Cambria" w:cs="Calibri"/>
          <w:spacing w:val="1"/>
        </w:rPr>
        <w:t>r</w:t>
      </w:r>
      <w:r w:rsidRPr="009A0DA6">
        <w:rPr>
          <w:rFonts w:ascii="Cambria" w:eastAsia="Calibri" w:hAnsi="Cambria" w:cs="Calibri"/>
          <w:spacing w:val="-1"/>
        </w:rPr>
        <w:t>d</w:t>
      </w:r>
      <w:r w:rsidRPr="009A0DA6">
        <w:rPr>
          <w:rFonts w:ascii="Cambria" w:eastAsia="Calibri" w:hAnsi="Cambria" w:cs="Calibri"/>
        </w:rPr>
        <w:t>a</w:t>
      </w:r>
      <w:r w:rsidRPr="009A0DA6">
        <w:rPr>
          <w:rFonts w:ascii="Cambria" w:eastAsia="Calibri" w:hAnsi="Cambria" w:cs="Calibri"/>
          <w:spacing w:val="-1"/>
        </w:rPr>
        <w:t>nc</w:t>
      </w:r>
      <w:r w:rsidRPr="009A0DA6">
        <w:rPr>
          <w:rFonts w:ascii="Cambria" w:eastAsia="Calibri" w:hAnsi="Cambria" w:cs="Calibri"/>
        </w:rPr>
        <w:t>e</w:t>
      </w:r>
      <w:r w:rsidRPr="009A0DA6">
        <w:rPr>
          <w:rFonts w:ascii="Cambria" w:eastAsia="Calibri" w:hAnsi="Cambria" w:cs="Calibri"/>
          <w:spacing w:val="-2"/>
        </w:rPr>
        <w:t xml:space="preserve"> </w:t>
      </w:r>
      <w:r w:rsidRPr="009A0DA6">
        <w:rPr>
          <w:rFonts w:ascii="Cambria" w:eastAsia="Calibri" w:hAnsi="Cambria" w:cs="Calibri"/>
        </w:rPr>
        <w:t>w</w:t>
      </w:r>
      <w:r w:rsidRPr="009A0DA6">
        <w:rPr>
          <w:rFonts w:ascii="Cambria" w:eastAsia="Calibri" w:hAnsi="Cambria" w:cs="Calibri"/>
          <w:spacing w:val="1"/>
        </w:rPr>
        <w:t>i</w:t>
      </w:r>
      <w:r w:rsidRPr="009A0DA6">
        <w:rPr>
          <w:rFonts w:ascii="Cambria" w:eastAsia="Calibri" w:hAnsi="Cambria" w:cs="Calibri"/>
        </w:rPr>
        <w:t>th</w:t>
      </w:r>
      <w:r w:rsidRPr="009A0DA6">
        <w:rPr>
          <w:rFonts w:ascii="Cambria" w:eastAsia="Calibri" w:hAnsi="Cambria" w:cs="Calibri"/>
          <w:spacing w:val="-2"/>
        </w:rPr>
        <w:t xml:space="preserve"> </w:t>
      </w:r>
      <w:r w:rsidRPr="009A0DA6">
        <w:rPr>
          <w:rFonts w:ascii="Cambria" w:eastAsia="Calibri" w:hAnsi="Cambria" w:cs="Calibri"/>
        </w:rPr>
        <w:t>G</w:t>
      </w:r>
      <w:r w:rsidRPr="009A0DA6">
        <w:rPr>
          <w:rFonts w:ascii="Cambria" w:eastAsia="Calibri" w:hAnsi="Cambria" w:cs="Calibri"/>
          <w:spacing w:val="1"/>
        </w:rPr>
        <w:t>o</w:t>
      </w:r>
      <w:r w:rsidRPr="009A0DA6">
        <w:rPr>
          <w:rFonts w:ascii="Cambria" w:eastAsia="Calibri" w:hAnsi="Cambria" w:cs="Calibri"/>
          <w:spacing w:val="-1"/>
        </w:rPr>
        <w:t>d</w:t>
      </w:r>
      <w:r w:rsidR="007365CB" w:rsidRPr="009A0DA6">
        <w:rPr>
          <w:rFonts w:ascii="Cambria" w:eastAsia="Calibri" w:hAnsi="Cambria" w:cs="Calibri"/>
        </w:rPr>
        <w:t>’s w</w:t>
      </w:r>
      <w:r w:rsidRPr="009A0DA6">
        <w:rPr>
          <w:rFonts w:ascii="Cambria" w:eastAsia="Calibri" w:hAnsi="Cambria" w:cs="Calibri"/>
        </w:rPr>
        <w:t>ill</w:t>
      </w:r>
      <w:r w:rsidRPr="009A0DA6">
        <w:rPr>
          <w:rFonts w:ascii="Cambria" w:eastAsia="Calibri" w:hAnsi="Cambria" w:cs="Calibri"/>
          <w:spacing w:val="1"/>
        </w:rPr>
        <w:t xml:space="preserve"> </w:t>
      </w:r>
      <w:r w:rsidRPr="009A0DA6">
        <w:rPr>
          <w:rFonts w:ascii="Cambria" w:eastAsia="Calibri" w:hAnsi="Cambria" w:cs="Calibri"/>
        </w:rPr>
        <w:t>a</w:t>
      </w:r>
      <w:r w:rsidRPr="009A0DA6">
        <w:rPr>
          <w:rFonts w:ascii="Cambria" w:eastAsia="Calibri" w:hAnsi="Cambria" w:cs="Calibri"/>
          <w:spacing w:val="-2"/>
        </w:rPr>
        <w:t>n</w:t>
      </w:r>
      <w:r w:rsidRPr="009A0DA6">
        <w:rPr>
          <w:rFonts w:ascii="Cambria" w:eastAsia="Calibri" w:hAnsi="Cambria" w:cs="Calibri"/>
        </w:rPr>
        <w:t>d</w:t>
      </w:r>
      <w:r w:rsidRPr="009A0DA6">
        <w:rPr>
          <w:rFonts w:ascii="Cambria" w:eastAsia="Calibri" w:hAnsi="Cambria" w:cs="Calibri"/>
          <w:spacing w:val="-2"/>
        </w:rPr>
        <w:t xml:space="preserve"> </w:t>
      </w:r>
      <w:r w:rsidRPr="009A0DA6">
        <w:rPr>
          <w:rFonts w:ascii="Cambria" w:eastAsia="Calibri" w:hAnsi="Cambria" w:cs="Calibri"/>
        </w:rPr>
        <w:t>t</w:t>
      </w:r>
      <w:r w:rsidRPr="009A0DA6">
        <w:rPr>
          <w:rFonts w:ascii="Cambria" w:eastAsia="Calibri" w:hAnsi="Cambria" w:cs="Calibri"/>
          <w:spacing w:val="-2"/>
        </w:rPr>
        <w:t>h</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rPr>
        <w:t>w</w:t>
      </w:r>
      <w:r w:rsidRPr="009A0DA6">
        <w:rPr>
          <w:rFonts w:ascii="Cambria" w:eastAsia="Calibri" w:hAnsi="Cambria" w:cs="Calibri"/>
          <w:spacing w:val="1"/>
        </w:rPr>
        <w:t>i</w:t>
      </w:r>
      <w:r w:rsidRPr="009A0DA6">
        <w:rPr>
          <w:rFonts w:ascii="Cambria" w:eastAsia="Calibri" w:hAnsi="Cambria" w:cs="Calibri"/>
        </w:rPr>
        <w:t>ll of L</w:t>
      </w:r>
      <w:r w:rsidRPr="009A0DA6">
        <w:rPr>
          <w:rFonts w:ascii="Cambria" w:eastAsia="Calibri" w:hAnsi="Cambria" w:cs="Calibri"/>
          <w:spacing w:val="-1"/>
        </w:rPr>
        <w:t>C</w:t>
      </w:r>
      <w:r w:rsidRPr="009A0DA6">
        <w:rPr>
          <w:rFonts w:ascii="Cambria" w:eastAsia="Calibri" w:hAnsi="Cambria" w:cs="Calibri"/>
        </w:rPr>
        <w:t>A Syno</w:t>
      </w:r>
      <w:r w:rsidRPr="009A0DA6">
        <w:rPr>
          <w:rFonts w:ascii="Cambria" w:eastAsia="Calibri" w:hAnsi="Cambria" w:cs="Calibri"/>
          <w:spacing w:val="-1"/>
        </w:rPr>
        <w:t>d</w:t>
      </w:r>
      <w:r w:rsidRPr="009A0DA6">
        <w:rPr>
          <w:rFonts w:ascii="Cambria" w:eastAsia="Calibri" w:hAnsi="Cambria" w:cs="Calibri"/>
        </w:rPr>
        <w:t>s on</w:t>
      </w:r>
      <w:r w:rsidRPr="009A0DA6">
        <w:rPr>
          <w:rFonts w:ascii="Cambria" w:eastAsia="Calibri" w:hAnsi="Cambria" w:cs="Calibri"/>
          <w:spacing w:val="-2"/>
        </w:rPr>
        <w:t xml:space="preserve"> </w:t>
      </w:r>
      <w:r w:rsidRPr="009A0DA6">
        <w:rPr>
          <w:rFonts w:ascii="Cambria" w:eastAsia="Calibri" w:hAnsi="Cambria" w:cs="Calibri"/>
        </w:rPr>
        <w:t>f</w:t>
      </w:r>
      <w:r w:rsidRPr="009A0DA6">
        <w:rPr>
          <w:rFonts w:ascii="Cambria" w:eastAsia="Calibri" w:hAnsi="Cambria" w:cs="Calibri"/>
          <w:spacing w:val="1"/>
        </w:rPr>
        <w:t>o</w:t>
      </w:r>
      <w:r w:rsidRPr="009A0DA6">
        <w:rPr>
          <w:rFonts w:ascii="Cambria" w:eastAsia="Calibri" w:hAnsi="Cambria" w:cs="Calibri"/>
          <w:spacing w:val="-1"/>
        </w:rPr>
        <w:t>u</w:t>
      </w:r>
      <w:r w:rsidRPr="009A0DA6">
        <w:rPr>
          <w:rFonts w:ascii="Cambria" w:eastAsia="Calibri" w:hAnsi="Cambria" w:cs="Calibri"/>
        </w:rPr>
        <w:t>r o</w:t>
      </w:r>
      <w:r w:rsidRPr="009A0DA6">
        <w:rPr>
          <w:rFonts w:ascii="Cambria" w:eastAsia="Calibri" w:hAnsi="Cambria" w:cs="Calibri"/>
          <w:spacing w:val="-3"/>
        </w:rPr>
        <w:t>c</w:t>
      </w:r>
      <w:r w:rsidRPr="009A0DA6">
        <w:rPr>
          <w:rFonts w:ascii="Cambria" w:eastAsia="Calibri" w:hAnsi="Cambria" w:cs="Calibri"/>
          <w:spacing w:val="-1"/>
        </w:rPr>
        <w:t>c</w:t>
      </w:r>
      <w:r w:rsidRPr="009A0DA6">
        <w:rPr>
          <w:rFonts w:ascii="Cambria" w:eastAsia="Calibri" w:hAnsi="Cambria" w:cs="Calibri"/>
        </w:rPr>
        <w:t>asi</w:t>
      </w:r>
      <w:r w:rsidRPr="009A0DA6">
        <w:rPr>
          <w:rFonts w:ascii="Cambria" w:eastAsia="Calibri" w:hAnsi="Cambria" w:cs="Calibri"/>
          <w:spacing w:val="1"/>
        </w:rPr>
        <w:t>o</w:t>
      </w:r>
      <w:r w:rsidRPr="009A0DA6">
        <w:rPr>
          <w:rFonts w:ascii="Cambria" w:eastAsia="Calibri" w:hAnsi="Cambria" w:cs="Calibri"/>
          <w:spacing w:val="-1"/>
        </w:rPr>
        <w:t>n</w:t>
      </w:r>
      <w:r w:rsidRPr="009A0DA6">
        <w:rPr>
          <w:rFonts w:ascii="Cambria" w:eastAsia="Calibri" w:hAnsi="Cambria" w:cs="Calibri"/>
        </w:rPr>
        <w:t>s.</w:t>
      </w:r>
    </w:p>
    <w:p w14:paraId="778C9AA5" w14:textId="77777777" w:rsidR="00727D1E" w:rsidRPr="009A0DA6" w:rsidRDefault="00727D1E" w:rsidP="00727D1E">
      <w:pPr>
        <w:pStyle w:val="NoSpacing"/>
      </w:pPr>
    </w:p>
    <w:p w14:paraId="7C3AF93B" w14:textId="77777777" w:rsidR="00D04794" w:rsidRPr="009A0DA6" w:rsidRDefault="00D04794">
      <w:pPr>
        <w:rPr>
          <w:rFonts w:ascii="Cambria" w:eastAsiaTheme="majorEastAsia" w:hAnsi="Cambria" w:cstheme="majorBidi"/>
          <w:b/>
          <w:caps/>
          <w:sz w:val="28"/>
          <w:szCs w:val="24"/>
        </w:rPr>
      </w:pPr>
      <w:r w:rsidRPr="009A0DA6">
        <w:rPr>
          <w:rFonts w:ascii="Cambria" w:hAnsi="Cambria"/>
        </w:rPr>
        <w:br w:type="page"/>
      </w:r>
    </w:p>
    <w:p w14:paraId="23E128F3" w14:textId="32F5012D" w:rsidR="00727D1E" w:rsidRPr="009A0DA6" w:rsidRDefault="00727D1E" w:rsidP="00964A90">
      <w:pPr>
        <w:pStyle w:val="Heading3"/>
      </w:pPr>
      <w:r w:rsidRPr="009A0DA6">
        <w:lastRenderedPageBreak/>
        <w:t>Agenda 2.3.6</w:t>
      </w:r>
    </w:p>
    <w:p w14:paraId="0FECBB43" w14:textId="79D3801C" w:rsidR="00727D1E" w:rsidRPr="009A0DA6" w:rsidRDefault="00201F24" w:rsidP="00727D1E">
      <w:pPr>
        <w:pStyle w:val="Heading2"/>
      </w:pPr>
      <w:bookmarkStart w:id="433" w:name="_Toc521954685"/>
      <w:r>
        <w:t>The</w:t>
      </w:r>
      <w:r w:rsidR="00174A5E" w:rsidRPr="009A0DA6">
        <w:t xml:space="preserve"> practice of holy communion and infants</w:t>
      </w:r>
      <w:bookmarkEnd w:id="433"/>
    </w:p>
    <w:p w14:paraId="07D8A9AC" w14:textId="4B0417AC" w:rsidR="00727D1E" w:rsidRDefault="00727D1E" w:rsidP="00727D1E">
      <w:pPr>
        <w:pStyle w:val="NoSpacing"/>
      </w:pPr>
    </w:p>
    <w:p w14:paraId="770D0283" w14:textId="471D8886" w:rsidR="00507840" w:rsidRDefault="00507840" w:rsidP="00727D1E">
      <w:pPr>
        <w:pStyle w:val="NoSpacing"/>
      </w:pPr>
      <w:r>
        <w:t>(See also Agenda 2.2.4)</w:t>
      </w:r>
    </w:p>
    <w:p w14:paraId="530B5BB0" w14:textId="77777777" w:rsidR="00507840" w:rsidRPr="009A0DA6" w:rsidRDefault="00507840" w:rsidP="00727D1E">
      <w:pPr>
        <w:pStyle w:val="NoSpacing"/>
      </w:pPr>
    </w:p>
    <w:p w14:paraId="1DF1E508" w14:textId="075D8137" w:rsidR="00727D1E" w:rsidRPr="009A0DA6" w:rsidRDefault="00680D5E" w:rsidP="00964A90">
      <w:pPr>
        <w:pStyle w:val="Heading3"/>
      </w:pPr>
      <w:r w:rsidRPr="009A0DA6">
        <w:t>proposED MOTION</w:t>
      </w:r>
    </w:p>
    <w:p w14:paraId="63EC2A90" w14:textId="635AED5E" w:rsidR="00727D1E" w:rsidRPr="009A0DA6" w:rsidRDefault="00727D1E" w:rsidP="00727D1E">
      <w:pPr>
        <w:pStyle w:val="NoSpacing"/>
        <w:rPr>
          <w:i/>
        </w:rPr>
      </w:pPr>
      <w:r w:rsidRPr="009A0DA6">
        <w:rPr>
          <w:i/>
        </w:rPr>
        <w:t>Submitted by St John’s Lutheran Church, Unley</w:t>
      </w:r>
      <w:r w:rsidR="00680D5E" w:rsidRPr="009A0DA6">
        <w:rPr>
          <w:i/>
        </w:rPr>
        <w:t xml:space="preserve"> SA</w:t>
      </w:r>
      <w:r w:rsidR="00D35736" w:rsidRPr="009A0DA6">
        <w:rPr>
          <w:i/>
        </w:rPr>
        <w:br/>
      </w:r>
    </w:p>
    <w:p w14:paraId="484C3082" w14:textId="77777777" w:rsidR="00D35736" w:rsidRPr="009A0DA6" w:rsidRDefault="00D35736" w:rsidP="00D35736">
      <w:pPr>
        <w:pStyle w:val="NoSpacing"/>
      </w:pPr>
      <w:r w:rsidRPr="009A0DA6">
        <w:rPr>
          <w:b/>
        </w:rPr>
        <w:t>BE IT RESOLVED</w:t>
      </w:r>
      <w:r w:rsidRPr="009A0DA6">
        <w:t xml:space="preserve"> that</w:t>
      </w:r>
    </w:p>
    <w:p w14:paraId="35B36414" w14:textId="77777777" w:rsidR="00D35736" w:rsidRPr="009A0DA6" w:rsidRDefault="00D35736" w:rsidP="00F55252">
      <w:pPr>
        <w:pStyle w:val="NoSpacing"/>
        <w:numPr>
          <w:ilvl w:val="3"/>
          <w:numId w:val="131"/>
        </w:numPr>
        <w:ind w:left="567" w:hanging="425"/>
      </w:pPr>
      <w:r w:rsidRPr="009A0DA6">
        <w:t>The LCA encourage the practice of admitting very young children, including infants, to holy communion</w:t>
      </w:r>
    </w:p>
    <w:p w14:paraId="15B96E55" w14:textId="3E53F38E" w:rsidR="00D35736" w:rsidRPr="009A0DA6" w:rsidRDefault="00D35736" w:rsidP="00F55252">
      <w:pPr>
        <w:pStyle w:val="NoSpacing"/>
        <w:numPr>
          <w:ilvl w:val="3"/>
          <w:numId w:val="131"/>
        </w:numPr>
        <w:ind w:left="567" w:hanging="425"/>
      </w:pPr>
      <w:r w:rsidRPr="009A0DA6">
        <w:t>The LCA produce suitable materials to promote the practice of admitting young children and infants to holy communion.</w:t>
      </w:r>
    </w:p>
    <w:p w14:paraId="022905CD" w14:textId="77777777" w:rsidR="00D35736" w:rsidRPr="009A0DA6" w:rsidRDefault="00D35736" w:rsidP="00D35736">
      <w:pPr>
        <w:pStyle w:val="NoSpacing"/>
      </w:pPr>
    </w:p>
    <w:p w14:paraId="05CA7BCA" w14:textId="3E1336C5" w:rsidR="00D35736" w:rsidRPr="009A0DA6" w:rsidRDefault="00D35736" w:rsidP="00D04794">
      <w:pPr>
        <w:pStyle w:val="Heading3"/>
      </w:pPr>
      <w:r w:rsidRPr="009A0DA6">
        <w:t>REASONS FOR THE MOTION</w:t>
      </w:r>
    </w:p>
    <w:p w14:paraId="68CE2EA5" w14:textId="48E04C1A" w:rsidR="00D35736" w:rsidRPr="009A0DA6" w:rsidRDefault="00D35736" w:rsidP="00F55252">
      <w:pPr>
        <w:pStyle w:val="NoSpacing"/>
        <w:numPr>
          <w:ilvl w:val="0"/>
          <w:numId w:val="132"/>
        </w:numPr>
        <w:ind w:left="567" w:hanging="567"/>
      </w:pPr>
      <w:r w:rsidRPr="009A0DA6">
        <w:t>In the report received by the 2013 LCA National Synod from the CTICR it was recommended that the age of first communion be significantly lowered with no minimum age specified.</w:t>
      </w:r>
      <w:r w:rsidRPr="009A0DA6">
        <w:br/>
      </w:r>
    </w:p>
    <w:p w14:paraId="26DF660E" w14:textId="5B8A7090" w:rsidR="00D35736" w:rsidRPr="009A0DA6" w:rsidRDefault="00D35736" w:rsidP="00F55252">
      <w:pPr>
        <w:pStyle w:val="NoSpacing"/>
        <w:numPr>
          <w:ilvl w:val="0"/>
          <w:numId w:val="132"/>
        </w:numPr>
        <w:ind w:left="567" w:hanging="567"/>
        <w:rPr>
          <w:rStyle w:val="NoSpacingChar"/>
        </w:rPr>
      </w:pPr>
      <w:r w:rsidRPr="009A0DA6">
        <w:t xml:space="preserve">The </w:t>
      </w:r>
      <w:r w:rsidRPr="009A0DA6">
        <w:rPr>
          <w:rStyle w:val="NoSpacingChar"/>
        </w:rPr>
        <w:t>current diversity of practice of the admittance to Holy Communion across the LCA has resulted in its own pastoral and practical concerns. These concerns may be addressed through the process of working towards uniformity in practice in the admittance of children and infants to Communion following their Baptism, leading to a renewal and strengthening of the use of the Sacraments.</w:t>
      </w:r>
    </w:p>
    <w:p w14:paraId="690D18AE" w14:textId="3678B948" w:rsidR="00D04794" w:rsidRPr="009A0DA6" w:rsidRDefault="00D04794" w:rsidP="00D04794">
      <w:pPr>
        <w:pStyle w:val="NoSpacing"/>
        <w:rPr>
          <w:rStyle w:val="NoSpacingChar"/>
        </w:rPr>
      </w:pPr>
    </w:p>
    <w:p w14:paraId="5068D27A" w14:textId="630BEC07" w:rsidR="00D04794" w:rsidRDefault="00D04794" w:rsidP="00D04794">
      <w:pPr>
        <w:pStyle w:val="NoSpacing"/>
      </w:pPr>
    </w:p>
    <w:p w14:paraId="5B6AA47B" w14:textId="77777777" w:rsidR="00D07614" w:rsidRPr="009A0DA6" w:rsidRDefault="00D07614" w:rsidP="00D04794">
      <w:pPr>
        <w:pStyle w:val="NoSpacing"/>
      </w:pPr>
    </w:p>
    <w:p w14:paraId="7629BB2A" w14:textId="77777777" w:rsidR="00727D1E" w:rsidRPr="009A0DA6" w:rsidRDefault="00727D1E" w:rsidP="00727D1E">
      <w:pPr>
        <w:pStyle w:val="NoSpacing"/>
      </w:pPr>
    </w:p>
    <w:p w14:paraId="1F96120B" w14:textId="77777777" w:rsidR="00727D1E" w:rsidRPr="009A0DA6" w:rsidRDefault="00727D1E" w:rsidP="00964A90">
      <w:pPr>
        <w:pStyle w:val="Heading3"/>
      </w:pPr>
      <w:r w:rsidRPr="009A0DA6">
        <w:t>agenda 2.3.7</w:t>
      </w:r>
    </w:p>
    <w:p w14:paraId="5B3EE4AB" w14:textId="54E1784B" w:rsidR="00727D1E" w:rsidRPr="009A0DA6" w:rsidRDefault="00201F24" w:rsidP="00727D1E">
      <w:pPr>
        <w:pStyle w:val="Heading2"/>
      </w:pPr>
      <w:bookmarkStart w:id="434" w:name="_Toc521954686"/>
      <w:r>
        <w:t>Membership</w:t>
      </w:r>
      <w:r w:rsidR="00727D1E" w:rsidRPr="009A0DA6">
        <w:t xml:space="preserve"> of International Lutheran Council</w:t>
      </w:r>
      <w:bookmarkEnd w:id="434"/>
    </w:p>
    <w:p w14:paraId="16D76890" w14:textId="75C95510" w:rsidR="00727D1E" w:rsidRPr="00D07614" w:rsidRDefault="00727D1E" w:rsidP="00727D1E">
      <w:pPr>
        <w:pStyle w:val="NoSpacing"/>
        <w:rPr>
          <w:sz w:val="16"/>
        </w:rPr>
      </w:pPr>
    </w:p>
    <w:p w14:paraId="47D136C1" w14:textId="48586929" w:rsidR="00507840" w:rsidRDefault="00507840" w:rsidP="00727D1E">
      <w:pPr>
        <w:pStyle w:val="NoSpacing"/>
      </w:pPr>
      <w:r>
        <w:t>(See also Agenda 2.2.5 and 2.3.8)</w:t>
      </w:r>
    </w:p>
    <w:p w14:paraId="02C7162D" w14:textId="77777777" w:rsidR="00507840" w:rsidRPr="00D07614" w:rsidRDefault="00507840" w:rsidP="00727D1E">
      <w:pPr>
        <w:pStyle w:val="NoSpacing"/>
        <w:rPr>
          <w:sz w:val="16"/>
        </w:rPr>
      </w:pPr>
    </w:p>
    <w:p w14:paraId="60D31A20" w14:textId="19448F99" w:rsidR="00727D1E" w:rsidRPr="009A0DA6" w:rsidRDefault="00A13DD7" w:rsidP="00964A90">
      <w:pPr>
        <w:pStyle w:val="Heading3"/>
      </w:pPr>
      <w:r w:rsidRPr="009A0DA6">
        <w:t>proposed motion</w:t>
      </w:r>
    </w:p>
    <w:p w14:paraId="1D9E3836" w14:textId="0A5B97D1" w:rsidR="00727D1E" w:rsidRPr="009A0DA6" w:rsidRDefault="00727D1E" w:rsidP="00727D1E">
      <w:pPr>
        <w:pStyle w:val="NoSpacing"/>
        <w:rPr>
          <w:i/>
        </w:rPr>
      </w:pPr>
      <w:r w:rsidRPr="009A0DA6">
        <w:rPr>
          <w:i/>
        </w:rPr>
        <w:t xml:space="preserve">Submitted by </w:t>
      </w:r>
      <w:r w:rsidR="00A13DD7" w:rsidRPr="009A0DA6">
        <w:rPr>
          <w:i/>
        </w:rPr>
        <w:t>Holy Cross Congregation, Belconnen ACT</w:t>
      </w:r>
    </w:p>
    <w:p w14:paraId="59DF2963" w14:textId="77777777" w:rsidR="00727D1E" w:rsidRPr="00D07614" w:rsidRDefault="00727D1E" w:rsidP="00727D1E">
      <w:pPr>
        <w:pStyle w:val="NoSpacing"/>
        <w:rPr>
          <w:sz w:val="16"/>
        </w:rPr>
      </w:pPr>
    </w:p>
    <w:p w14:paraId="45327772" w14:textId="00FE6EF2" w:rsidR="00A13DD7" w:rsidRPr="00D07614" w:rsidRDefault="00A13DD7" w:rsidP="00A13DD7">
      <w:pPr>
        <w:spacing w:after="120" w:line="240" w:lineRule="auto"/>
        <w:ind w:right="-20"/>
        <w:rPr>
          <w:rFonts w:ascii="Cambria" w:eastAsia="Calibri" w:hAnsi="Cambria" w:cs="Calibri"/>
          <w:sz w:val="12"/>
        </w:rPr>
      </w:pPr>
      <w:r w:rsidRPr="009A0DA6">
        <w:rPr>
          <w:rFonts w:ascii="Cambria" w:hAnsi="Cambria"/>
          <w:b/>
          <w:bCs/>
          <w:lang w:eastAsia="en-AU"/>
        </w:rPr>
        <w:t xml:space="preserve">BE IT RESOLVED </w:t>
      </w:r>
      <w:r w:rsidRPr="009A0DA6">
        <w:rPr>
          <w:rFonts w:ascii="Cambria" w:hAnsi="Cambria"/>
        </w:rPr>
        <w:t>that the Lutheran Church of Australia becomes a full member of the International Lutheran Council.</w:t>
      </w:r>
      <w:r w:rsidR="00D04794" w:rsidRPr="009A0DA6">
        <w:rPr>
          <w:rFonts w:ascii="Cambria" w:hAnsi="Cambria"/>
        </w:rPr>
        <w:br/>
      </w:r>
    </w:p>
    <w:p w14:paraId="3C1D3C3D" w14:textId="77777777" w:rsidR="00A13DD7" w:rsidRPr="009A0DA6" w:rsidRDefault="00A13DD7" w:rsidP="00D04794">
      <w:pPr>
        <w:pStyle w:val="Heading3"/>
      </w:pPr>
      <w:r w:rsidRPr="009A0DA6">
        <w:t>REASONS FOR THE MOTION</w:t>
      </w:r>
    </w:p>
    <w:p w14:paraId="489CB23F" w14:textId="34683CBD" w:rsidR="00A13DD7" w:rsidRPr="00D07614" w:rsidRDefault="00A13DD7" w:rsidP="00F55252">
      <w:pPr>
        <w:pStyle w:val="ListParagraph"/>
        <w:numPr>
          <w:ilvl w:val="0"/>
          <w:numId w:val="133"/>
        </w:numPr>
        <w:spacing w:line="259" w:lineRule="auto"/>
        <w:ind w:left="567" w:hanging="567"/>
        <w:rPr>
          <w:rFonts w:ascii="Cambria" w:hAnsi="Cambria"/>
          <w:color w:val="222222"/>
          <w:sz w:val="12"/>
          <w:szCs w:val="20"/>
          <w:shd w:val="clear" w:color="auto" w:fill="FFFFFF"/>
        </w:rPr>
      </w:pPr>
      <w:r w:rsidRPr="009A0DA6">
        <w:rPr>
          <w:rFonts w:ascii="Cambria" w:hAnsi="Cambria"/>
          <w:color w:val="222222"/>
          <w:szCs w:val="20"/>
          <w:shd w:val="clear" w:color="auto" w:fill="FFFFFF"/>
        </w:rPr>
        <w:t xml:space="preserve">The Lutheran Church of Australia (LCA) is at present an associate member of the International Lutheran </w:t>
      </w:r>
      <w:r w:rsidRPr="009A0DA6">
        <w:rPr>
          <w:rStyle w:val="NoSpacingChar"/>
        </w:rPr>
        <w:t>Council (ILC). The LCA participates in Conferences at which it can speak, but cannot participate in the same way as a full member including in the ability to influence decision-making.</w:t>
      </w:r>
      <w:r w:rsidRPr="009A0DA6">
        <w:rPr>
          <w:rFonts w:ascii="Cambria" w:hAnsi="Cambria"/>
          <w:color w:val="222222"/>
          <w:szCs w:val="20"/>
          <w:shd w:val="clear" w:color="auto" w:fill="FFFFFF"/>
        </w:rPr>
        <w:t xml:space="preserve"> </w:t>
      </w:r>
      <w:r w:rsidRPr="009A0DA6">
        <w:rPr>
          <w:rFonts w:ascii="Cambria" w:hAnsi="Cambria"/>
          <w:color w:val="222222"/>
          <w:szCs w:val="20"/>
          <w:shd w:val="clear" w:color="auto" w:fill="FFFFFF"/>
        </w:rPr>
        <w:br/>
      </w:r>
    </w:p>
    <w:p w14:paraId="3E6EFCAB" w14:textId="1DEEE193" w:rsidR="00A13DD7" w:rsidRPr="009A0DA6" w:rsidRDefault="00A13DD7" w:rsidP="00F55252">
      <w:pPr>
        <w:pStyle w:val="ListParagraph"/>
        <w:numPr>
          <w:ilvl w:val="0"/>
          <w:numId w:val="133"/>
        </w:numPr>
        <w:spacing w:line="259" w:lineRule="auto"/>
        <w:ind w:left="567" w:hanging="567"/>
        <w:rPr>
          <w:rFonts w:ascii="Cambria" w:hAnsi="Cambria"/>
          <w:color w:val="222222"/>
          <w:szCs w:val="20"/>
          <w:shd w:val="clear" w:color="auto" w:fill="FFFFFF"/>
        </w:rPr>
      </w:pPr>
      <w:r w:rsidRPr="009A0DA6">
        <w:rPr>
          <w:rFonts w:ascii="Cambria" w:hAnsi="Cambria" w:cstheme="minorHAnsi"/>
          <w:color w:val="000000"/>
          <w:szCs w:val="20"/>
        </w:rPr>
        <w:t xml:space="preserve">The ILC is a worldwide association of 37 established confessional Lutheran church bodies which proclaim the Gospel of Jesus Christ on the basis of an unconditional commitment to the Holy Scriptures as the inspired and infallible Word of God and to the Lutheran Confessions contained in the Book of Concord as the true and faithful exposition of the Word of God. </w:t>
      </w:r>
      <w:r w:rsidRPr="009A0DA6">
        <w:rPr>
          <w:rFonts w:ascii="Cambria" w:hAnsi="Cambria" w:cstheme="minorHAnsi"/>
          <w:color w:val="000000"/>
          <w:szCs w:val="20"/>
        </w:rPr>
        <w:br/>
      </w:r>
    </w:p>
    <w:p w14:paraId="42E00789" w14:textId="6AC75CC2" w:rsidR="00A13DD7" w:rsidRPr="009A0DA6" w:rsidRDefault="00A13DD7" w:rsidP="00D07614">
      <w:pPr>
        <w:pStyle w:val="ListParagraph"/>
        <w:numPr>
          <w:ilvl w:val="0"/>
          <w:numId w:val="133"/>
        </w:numPr>
        <w:spacing w:after="0" w:line="259" w:lineRule="auto"/>
        <w:ind w:left="567" w:hanging="567"/>
        <w:rPr>
          <w:rFonts w:ascii="Cambria" w:hAnsi="Cambria"/>
          <w:color w:val="222222"/>
          <w:szCs w:val="20"/>
          <w:shd w:val="clear" w:color="auto" w:fill="FFFFFF"/>
        </w:rPr>
      </w:pPr>
      <w:r w:rsidRPr="009A0DA6">
        <w:rPr>
          <w:rFonts w:ascii="Cambria" w:eastAsia="Times New Roman" w:hAnsi="Cambria" w:cstheme="minorHAnsi"/>
          <w:color w:val="000000"/>
          <w:szCs w:val="20"/>
        </w:rPr>
        <w:lastRenderedPageBreak/>
        <w:t xml:space="preserve">The ILC </w:t>
      </w:r>
      <w:r w:rsidRPr="009A0DA6">
        <w:rPr>
          <w:rStyle w:val="NoSpacingChar"/>
        </w:rPr>
        <w:t>exists for the purpose of encouraging, strengthening, and promoting confessional Lutheran theology and practice centering in Jesus Christ, both among member churches and throughout the world</w:t>
      </w:r>
      <w:r w:rsidR="00CE5065" w:rsidRPr="009A0DA6">
        <w:rPr>
          <w:rStyle w:val="NoSpacingChar"/>
        </w:rPr>
        <w:t>:</w:t>
      </w:r>
    </w:p>
    <w:p w14:paraId="278DDD53" w14:textId="77777777" w:rsidR="00A13DD7" w:rsidRPr="009A0DA6" w:rsidRDefault="00A13DD7" w:rsidP="00D07614">
      <w:pPr>
        <w:numPr>
          <w:ilvl w:val="0"/>
          <w:numId w:val="134"/>
        </w:numPr>
        <w:tabs>
          <w:tab w:val="clear" w:pos="720"/>
        </w:tabs>
        <w:spacing w:after="0" w:line="240" w:lineRule="auto"/>
        <w:ind w:left="1134" w:hanging="567"/>
        <w:textAlignment w:val="baseline"/>
        <w:rPr>
          <w:rFonts w:ascii="Cambria" w:eastAsia="Times New Roman" w:hAnsi="Cambria" w:cstheme="minorHAnsi"/>
          <w:color w:val="000000"/>
          <w:szCs w:val="20"/>
        </w:rPr>
      </w:pPr>
      <w:r w:rsidRPr="009A0DA6">
        <w:rPr>
          <w:rFonts w:ascii="Cambria" w:eastAsia="Times New Roman" w:hAnsi="Cambria" w:cstheme="minorHAnsi"/>
          <w:color w:val="000000"/>
          <w:szCs w:val="20"/>
        </w:rPr>
        <w:t>by providing opportunities for the joint study of contemporary theological issues.</w:t>
      </w:r>
    </w:p>
    <w:p w14:paraId="087088BB" w14:textId="77777777" w:rsidR="00A13DD7" w:rsidRPr="009A0DA6" w:rsidRDefault="00A13DD7" w:rsidP="00F55252">
      <w:pPr>
        <w:numPr>
          <w:ilvl w:val="0"/>
          <w:numId w:val="134"/>
        </w:numPr>
        <w:tabs>
          <w:tab w:val="clear" w:pos="720"/>
        </w:tabs>
        <w:spacing w:after="0" w:line="240" w:lineRule="auto"/>
        <w:ind w:left="1134" w:hanging="567"/>
        <w:textAlignment w:val="baseline"/>
        <w:rPr>
          <w:rFonts w:ascii="Cambria" w:eastAsia="Times New Roman" w:hAnsi="Cambria" w:cstheme="minorHAnsi"/>
          <w:color w:val="000000"/>
          <w:szCs w:val="20"/>
        </w:rPr>
      </w:pPr>
      <w:r w:rsidRPr="009A0DA6">
        <w:rPr>
          <w:rFonts w:ascii="Cambria" w:eastAsia="Times New Roman" w:hAnsi="Cambria" w:cstheme="minorHAnsi"/>
          <w:color w:val="000000"/>
          <w:szCs w:val="20"/>
        </w:rPr>
        <w:t>by giving mutual support and encouragement to the heads of member church bodies.</w:t>
      </w:r>
    </w:p>
    <w:p w14:paraId="603A1DA9" w14:textId="77777777" w:rsidR="00A13DD7" w:rsidRPr="009A0DA6" w:rsidRDefault="00A13DD7" w:rsidP="00F55252">
      <w:pPr>
        <w:numPr>
          <w:ilvl w:val="0"/>
          <w:numId w:val="134"/>
        </w:numPr>
        <w:tabs>
          <w:tab w:val="clear" w:pos="720"/>
        </w:tabs>
        <w:spacing w:after="0" w:line="240" w:lineRule="auto"/>
        <w:ind w:left="1134" w:hanging="567"/>
        <w:textAlignment w:val="baseline"/>
        <w:rPr>
          <w:rFonts w:ascii="Cambria" w:eastAsia="Times New Roman" w:hAnsi="Cambria" w:cstheme="minorHAnsi"/>
          <w:color w:val="000000"/>
          <w:szCs w:val="20"/>
        </w:rPr>
      </w:pPr>
      <w:r w:rsidRPr="009A0DA6">
        <w:rPr>
          <w:rFonts w:ascii="Cambria" w:eastAsia="Times New Roman" w:hAnsi="Cambria" w:cstheme="minorHAnsi"/>
          <w:color w:val="000000"/>
          <w:szCs w:val="20"/>
        </w:rPr>
        <w:t>by encouraging and assisting member churches in planning for mission outreach.</w:t>
      </w:r>
    </w:p>
    <w:p w14:paraId="3090D149" w14:textId="77777777" w:rsidR="00A13DD7" w:rsidRPr="009A0DA6" w:rsidRDefault="00A13DD7" w:rsidP="00F55252">
      <w:pPr>
        <w:numPr>
          <w:ilvl w:val="0"/>
          <w:numId w:val="134"/>
        </w:numPr>
        <w:tabs>
          <w:tab w:val="clear" w:pos="720"/>
        </w:tabs>
        <w:spacing w:after="0" w:line="240" w:lineRule="auto"/>
        <w:ind w:left="1134" w:hanging="567"/>
        <w:textAlignment w:val="baseline"/>
        <w:rPr>
          <w:rFonts w:ascii="Cambria" w:eastAsia="Times New Roman" w:hAnsi="Cambria" w:cstheme="minorHAnsi"/>
          <w:color w:val="000000"/>
          <w:szCs w:val="20"/>
        </w:rPr>
      </w:pPr>
      <w:r w:rsidRPr="009A0DA6">
        <w:rPr>
          <w:rFonts w:ascii="Cambria" w:eastAsia="Times New Roman" w:hAnsi="Cambria" w:cstheme="minorHAnsi"/>
          <w:color w:val="000000"/>
          <w:szCs w:val="20"/>
        </w:rPr>
        <w:t>by strengthening theological education through conferences of theologians and seminary teachers, mission staffs and those involved with human care.</w:t>
      </w:r>
    </w:p>
    <w:p w14:paraId="3EB99EC8" w14:textId="77777777" w:rsidR="00A13DD7" w:rsidRPr="009A0DA6" w:rsidRDefault="00A13DD7" w:rsidP="00F55252">
      <w:pPr>
        <w:numPr>
          <w:ilvl w:val="0"/>
          <w:numId w:val="134"/>
        </w:numPr>
        <w:tabs>
          <w:tab w:val="clear" w:pos="720"/>
        </w:tabs>
        <w:spacing w:after="0" w:line="240" w:lineRule="auto"/>
        <w:ind w:left="1134" w:hanging="567"/>
        <w:textAlignment w:val="baseline"/>
        <w:rPr>
          <w:rFonts w:ascii="Cambria" w:eastAsia="Times New Roman" w:hAnsi="Cambria" w:cstheme="minorHAnsi"/>
          <w:color w:val="000000"/>
          <w:szCs w:val="20"/>
        </w:rPr>
      </w:pPr>
      <w:r w:rsidRPr="009A0DA6">
        <w:rPr>
          <w:rFonts w:ascii="Cambria" w:eastAsia="Times New Roman" w:hAnsi="Cambria" w:cstheme="minorHAnsi"/>
          <w:color w:val="000000"/>
          <w:szCs w:val="20"/>
        </w:rPr>
        <w:t>by facilitating communication between confessional Lutheran churches of the world through the publication of ILC News.</w:t>
      </w:r>
    </w:p>
    <w:p w14:paraId="720D4083" w14:textId="70507FBE" w:rsidR="00A13DD7" w:rsidRPr="00D07614" w:rsidRDefault="00A13DD7" w:rsidP="00F55252">
      <w:pPr>
        <w:numPr>
          <w:ilvl w:val="0"/>
          <w:numId w:val="134"/>
        </w:numPr>
        <w:tabs>
          <w:tab w:val="clear" w:pos="720"/>
        </w:tabs>
        <w:spacing w:after="0" w:line="240" w:lineRule="auto"/>
        <w:ind w:left="1134" w:hanging="567"/>
        <w:textAlignment w:val="baseline"/>
        <w:rPr>
          <w:rFonts w:ascii="Cambria" w:eastAsia="Times New Roman" w:hAnsi="Cambria" w:cstheme="minorHAnsi"/>
          <w:color w:val="000000"/>
          <w:sz w:val="12"/>
          <w:szCs w:val="20"/>
        </w:rPr>
      </w:pPr>
      <w:r w:rsidRPr="009A0DA6">
        <w:rPr>
          <w:rFonts w:ascii="Cambria" w:eastAsia="Times New Roman" w:hAnsi="Cambria" w:cstheme="minorHAnsi"/>
          <w:color w:val="000000"/>
          <w:szCs w:val="20"/>
        </w:rPr>
        <w:t>by stimulating and facilitating the preparation and publication of confessional Lutheran literature.</w:t>
      </w:r>
      <w:r w:rsidRPr="009A0DA6">
        <w:rPr>
          <w:rFonts w:ascii="Cambria" w:eastAsia="Times New Roman" w:hAnsi="Cambria" w:cstheme="minorHAnsi"/>
          <w:color w:val="000000"/>
          <w:szCs w:val="20"/>
        </w:rPr>
        <w:br/>
      </w:r>
    </w:p>
    <w:p w14:paraId="0170C3FA" w14:textId="77777777" w:rsidR="00A13DD7" w:rsidRPr="009A0DA6" w:rsidRDefault="00A13DD7" w:rsidP="00F55252">
      <w:pPr>
        <w:pStyle w:val="ListParagraph"/>
        <w:numPr>
          <w:ilvl w:val="0"/>
          <w:numId w:val="133"/>
        </w:numPr>
        <w:spacing w:after="0" w:line="240" w:lineRule="auto"/>
        <w:ind w:left="567" w:hanging="567"/>
        <w:textAlignment w:val="baseline"/>
        <w:rPr>
          <w:rFonts w:ascii="Cambria" w:eastAsia="Times New Roman" w:hAnsi="Cambria" w:cstheme="minorHAnsi"/>
          <w:color w:val="000000"/>
          <w:szCs w:val="20"/>
        </w:rPr>
      </w:pPr>
      <w:r w:rsidRPr="009A0DA6">
        <w:rPr>
          <w:rFonts w:ascii="Cambria" w:eastAsia="Times New Roman" w:hAnsi="Cambria" w:cstheme="minorHAnsi"/>
          <w:color w:val="000000"/>
          <w:szCs w:val="20"/>
        </w:rPr>
        <w:t>Full membership of the ILC would enable the LCA to participate fully, including in decision-making.</w:t>
      </w:r>
    </w:p>
    <w:p w14:paraId="5E1AEDF7" w14:textId="77777777" w:rsidR="00A13DD7" w:rsidRPr="00D07614" w:rsidRDefault="00A13DD7" w:rsidP="00A13DD7">
      <w:pPr>
        <w:shd w:val="clear" w:color="auto" w:fill="FFFFFF"/>
        <w:tabs>
          <w:tab w:val="left" w:pos="426"/>
          <w:tab w:val="left" w:pos="3596"/>
          <w:tab w:val="right" w:pos="10206"/>
        </w:tabs>
        <w:spacing w:after="0" w:line="240" w:lineRule="auto"/>
        <w:rPr>
          <w:rFonts w:ascii="Cambria" w:eastAsia="Arial" w:hAnsi="Cambria" w:cs="Arial"/>
          <w:color w:val="383838"/>
          <w:sz w:val="12"/>
        </w:rPr>
      </w:pPr>
    </w:p>
    <w:p w14:paraId="4A27F3A6" w14:textId="77777777" w:rsidR="00A13DD7" w:rsidRPr="009A0DA6" w:rsidRDefault="00A13DD7" w:rsidP="00A13DD7">
      <w:pPr>
        <w:shd w:val="clear" w:color="auto" w:fill="FFFFFF"/>
        <w:spacing w:after="0" w:line="22" w:lineRule="atLeast"/>
        <w:rPr>
          <w:rFonts w:ascii="Cambria" w:hAnsi="Cambria" w:cs="Arial"/>
          <w:i/>
          <w:shd w:val="clear" w:color="auto" w:fill="FFFFFF"/>
        </w:rPr>
      </w:pPr>
      <w:r w:rsidRPr="009A0DA6">
        <w:rPr>
          <w:rFonts w:ascii="Cambria" w:eastAsia="Times New Roman" w:hAnsi="Cambria" w:cs="Times New Roman"/>
          <w:bCs/>
          <w:i/>
          <w:sz w:val="24"/>
          <w:szCs w:val="24"/>
          <w:lang w:eastAsia="en-AU"/>
        </w:rPr>
        <w:t>Also submitted by the</w:t>
      </w:r>
      <w:r w:rsidRPr="009A0DA6">
        <w:rPr>
          <w:rFonts w:ascii="Cambria" w:hAnsi="Cambria" w:cs="Arial"/>
          <w:i/>
          <w:shd w:val="clear" w:color="auto" w:fill="FFFFFF"/>
        </w:rPr>
        <w:t xml:space="preserve"> Church of the Good Shepherd Tuggeranong Lutheran Parish, ACT</w:t>
      </w:r>
      <w:r w:rsidRPr="009A0DA6">
        <w:rPr>
          <w:rFonts w:ascii="Cambria" w:hAnsi="Cambria" w:cs="Arial"/>
          <w:i/>
          <w:sz w:val="24"/>
          <w:szCs w:val="24"/>
          <w:shd w:val="clear" w:color="auto" w:fill="FFFFFF"/>
        </w:rPr>
        <w:t>, using identical text.</w:t>
      </w:r>
    </w:p>
    <w:p w14:paraId="61439687" w14:textId="7F7B48B7" w:rsidR="00727D1E" w:rsidRPr="009A0DA6" w:rsidRDefault="00727D1E" w:rsidP="00727D1E">
      <w:pPr>
        <w:pStyle w:val="NoSpacing"/>
      </w:pPr>
    </w:p>
    <w:p w14:paraId="37A18639" w14:textId="4AA7085B" w:rsidR="00CE5065" w:rsidRPr="009A0DA6" w:rsidRDefault="00CE5065" w:rsidP="00727D1E">
      <w:pPr>
        <w:pStyle w:val="NoSpacing"/>
      </w:pPr>
    </w:p>
    <w:p w14:paraId="04F86820" w14:textId="77777777" w:rsidR="00CE5065" w:rsidRPr="009A0DA6" w:rsidRDefault="00CE5065" w:rsidP="00727D1E">
      <w:pPr>
        <w:pStyle w:val="NoSpacing"/>
      </w:pPr>
    </w:p>
    <w:p w14:paraId="0CC5FC1B" w14:textId="77777777" w:rsidR="00727D1E" w:rsidRPr="009A0DA6" w:rsidRDefault="00727D1E" w:rsidP="00964A90">
      <w:pPr>
        <w:pStyle w:val="Heading3"/>
      </w:pPr>
      <w:r w:rsidRPr="009A0DA6">
        <w:t>agenda 2.3.8</w:t>
      </w:r>
    </w:p>
    <w:p w14:paraId="2265484A" w14:textId="28A5F2FE" w:rsidR="00727D1E" w:rsidRPr="009A0DA6" w:rsidRDefault="00201F24" w:rsidP="00727D1E">
      <w:pPr>
        <w:pStyle w:val="Heading2"/>
      </w:pPr>
      <w:bookmarkStart w:id="435" w:name="_Toc521954687"/>
      <w:r>
        <w:t>M</w:t>
      </w:r>
      <w:r w:rsidR="00892E6E" w:rsidRPr="009A0DA6">
        <w:t>embership</w:t>
      </w:r>
      <w:r w:rsidR="00727D1E" w:rsidRPr="009A0DA6">
        <w:t xml:space="preserve"> of Lutheran World Federation</w:t>
      </w:r>
      <w:bookmarkEnd w:id="435"/>
    </w:p>
    <w:p w14:paraId="2293065E" w14:textId="631A2307" w:rsidR="00727D1E" w:rsidRDefault="00727D1E" w:rsidP="00727D1E">
      <w:pPr>
        <w:pStyle w:val="NoSpacing"/>
      </w:pPr>
    </w:p>
    <w:p w14:paraId="7CBEA087" w14:textId="5847D14E" w:rsidR="00507840" w:rsidRDefault="00507840" w:rsidP="00727D1E">
      <w:pPr>
        <w:pStyle w:val="NoSpacing"/>
      </w:pPr>
      <w:r>
        <w:t>(See also Agenda 2.2.5 and 2.3.7)</w:t>
      </w:r>
    </w:p>
    <w:p w14:paraId="56356F4E" w14:textId="77777777" w:rsidR="00507840" w:rsidRPr="009A0DA6" w:rsidRDefault="00507840" w:rsidP="00727D1E">
      <w:pPr>
        <w:pStyle w:val="NoSpacing"/>
      </w:pPr>
    </w:p>
    <w:p w14:paraId="7D68028F" w14:textId="598F1366" w:rsidR="00727D1E" w:rsidRPr="009A0DA6" w:rsidRDefault="00A13DD7" w:rsidP="00964A90">
      <w:pPr>
        <w:pStyle w:val="Heading3"/>
      </w:pPr>
      <w:r w:rsidRPr="009A0DA6">
        <w:t>proposED MOTION</w:t>
      </w:r>
    </w:p>
    <w:p w14:paraId="1A3733EB" w14:textId="2F5C699C" w:rsidR="00727D1E" w:rsidRPr="009A0DA6" w:rsidRDefault="00727D1E" w:rsidP="00727D1E">
      <w:pPr>
        <w:pStyle w:val="NoSpacing"/>
        <w:rPr>
          <w:i/>
        </w:rPr>
      </w:pPr>
      <w:r w:rsidRPr="009A0DA6">
        <w:rPr>
          <w:i/>
        </w:rPr>
        <w:t xml:space="preserve">Submitted by </w:t>
      </w:r>
      <w:r w:rsidR="00A13DD7" w:rsidRPr="009A0DA6">
        <w:rPr>
          <w:i/>
        </w:rPr>
        <w:t>Holy Cross Congregation, Belconnen ACT</w:t>
      </w:r>
    </w:p>
    <w:p w14:paraId="074C46F0" w14:textId="77777777" w:rsidR="00A13DD7" w:rsidRPr="009A0DA6" w:rsidRDefault="00A13DD7" w:rsidP="00727D1E">
      <w:pPr>
        <w:pStyle w:val="NoSpacing"/>
        <w:rPr>
          <w:i/>
        </w:rPr>
      </w:pPr>
    </w:p>
    <w:p w14:paraId="14740482" w14:textId="48BF37AA" w:rsidR="00A13DD7" w:rsidRPr="009A0DA6" w:rsidRDefault="00A13DD7" w:rsidP="00A13DD7">
      <w:pPr>
        <w:spacing w:after="120" w:line="240" w:lineRule="auto"/>
        <w:ind w:right="-20"/>
        <w:rPr>
          <w:rFonts w:ascii="Cambria" w:eastAsia="Times New Roman" w:hAnsi="Cambria" w:cs="Times New Roman"/>
          <w:bCs/>
          <w:i/>
          <w:color w:val="222222"/>
          <w:sz w:val="8"/>
          <w:lang w:eastAsia="en-AU"/>
        </w:rPr>
      </w:pPr>
      <w:r w:rsidRPr="009A0DA6">
        <w:rPr>
          <w:rFonts w:ascii="Cambria" w:hAnsi="Cambria"/>
          <w:b/>
          <w:bCs/>
          <w:lang w:eastAsia="en-AU"/>
        </w:rPr>
        <w:t xml:space="preserve">BE IT RESOLVED </w:t>
      </w:r>
      <w:r w:rsidRPr="009A0DA6">
        <w:rPr>
          <w:rFonts w:ascii="Cambria" w:eastAsia="Calibri" w:hAnsi="Cambria" w:cs="Calibri"/>
        </w:rPr>
        <w:t>t</w:t>
      </w:r>
      <w:r w:rsidRPr="009A0DA6">
        <w:rPr>
          <w:rFonts w:ascii="Cambria" w:eastAsia="Calibri" w:hAnsi="Cambria" w:cs="Calibri"/>
          <w:spacing w:val="-2"/>
        </w:rPr>
        <w:t>h</w:t>
      </w:r>
      <w:r w:rsidRPr="009A0DA6">
        <w:rPr>
          <w:rFonts w:ascii="Cambria" w:eastAsia="Calibri" w:hAnsi="Cambria" w:cs="Calibri"/>
        </w:rPr>
        <w:t>at</w:t>
      </w:r>
      <w:r w:rsidRPr="009A0DA6">
        <w:rPr>
          <w:rFonts w:ascii="Cambria" w:eastAsia="Times New Roman" w:hAnsi="Cambria" w:cs="Times New Roman"/>
          <w:bCs/>
          <w:color w:val="222222"/>
          <w:lang w:eastAsia="en-AU"/>
        </w:rPr>
        <w:t xml:space="preserve"> the Lutheran Church of Australia applies for full membership of the Lutheran World Federation (LWF).</w:t>
      </w:r>
      <w:r w:rsidR="00CE5065" w:rsidRPr="009A0DA6">
        <w:rPr>
          <w:rFonts w:ascii="Cambria" w:eastAsia="Times New Roman" w:hAnsi="Cambria" w:cs="Times New Roman"/>
          <w:bCs/>
          <w:color w:val="222222"/>
          <w:lang w:eastAsia="en-AU"/>
        </w:rPr>
        <w:br/>
      </w:r>
    </w:p>
    <w:p w14:paraId="41DDA82C" w14:textId="77777777" w:rsidR="00A13DD7" w:rsidRPr="009A0DA6" w:rsidRDefault="00A13DD7" w:rsidP="00CE5065">
      <w:pPr>
        <w:pStyle w:val="Heading3"/>
      </w:pPr>
      <w:r w:rsidRPr="009A0DA6">
        <w:t>REASONS FOR THE MOTION</w:t>
      </w:r>
    </w:p>
    <w:p w14:paraId="6F897B9E" w14:textId="24D7D6E1" w:rsidR="00A13DD7" w:rsidRPr="009A0DA6" w:rsidRDefault="00A13DD7" w:rsidP="00F55252">
      <w:pPr>
        <w:pStyle w:val="ListParagraph"/>
        <w:numPr>
          <w:ilvl w:val="0"/>
          <w:numId w:val="136"/>
        </w:numPr>
        <w:shd w:val="clear" w:color="auto" w:fill="FFFFFF"/>
        <w:spacing w:after="200" w:line="240" w:lineRule="auto"/>
        <w:ind w:left="567" w:hanging="567"/>
        <w:rPr>
          <w:rFonts w:ascii="Cambria" w:hAnsi="Cambria" w:cs="Arial"/>
          <w:color w:val="222222"/>
          <w:sz w:val="18"/>
          <w:shd w:val="clear" w:color="auto" w:fill="FFFFFF"/>
        </w:rPr>
      </w:pPr>
      <w:r w:rsidRPr="009A0DA6">
        <w:rPr>
          <w:rFonts w:ascii="Cambria" w:hAnsi="Cambria" w:cs="Arial"/>
          <w:color w:val="222222"/>
          <w:shd w:val="clear" w:color="auto" w:fill="FFFFFF"/>
        </w:rPr>
        <w:t>The Lutheran Church of Australia (LCA) is a relatively small church in Australia, but with a long history and a heritage of global connections. Over many years congregations – and particularly inner-city congregations – have been surprised and enriched by the stories of people from the Lutheran communion around the world who have participated in the Liturgy with us, sung with us, wept with us, laughed with us, and received the holy sacraments on their journey. Some have been university students, some itinerant workers, some backpackers, some professional people, tourists and musicians. For these people, often isolated and without family support, our congregations are a stable liturgical family for them. If this happens on a congregational level, then why not on an organised national and international level with full membership in the LWF?</w:t>
      </w:r>
      <w:r w:rsidRPr="009A0DA6">
        <w:rPr>
          <w:rFonts w:ascii="Cambria" w:hAnsi="Cambria" w:cs="Arial"/>
          <w:color w:val="222222"/>
          <w:shd w:val="clear" w:color="auto" w:fill="FFFFFF"/>
        </w:rPr>
        <w:br/>
      </w:r>
    </w:p>
    <w:p w14:paraId="08586239" w14:textId="075B3F2C" w:rsidR="00A13DD7" w:rsidRPr="009A0DA6" w:rsidRDefault="00A13DD7" w:rsidP="00F55252">
      <w:pPr>
        <w:pStyle w:val="ListParagraph"/>
        <w:numPr>
          <w:ilvl w:val="0"/>
          <w:numId w:val="136"/>
        </w:numPr>
        <w:shd w:val="clear" w:color="auto" w:fill="FFFFFF"/>
        <w:spacing w:after="200" w:line="240" w:lineRule="auto"/>
        <w:ind w:left="567" w:hanging="567"/>
        <w:rPr>
          <w:rFonts w:ascii="Cambria" w:hAnsi="Cambria" w:cs="Arial"/>
          <w:color w:val="222222"/>
          <w:sz w:val="18"/>
          <w:shd w:val="clear" w:color="auto" w:fill="FFFFFF"/>
        </w:rPr>
      </w:pPr>
      <w:r w:rsidRPr="009A0DA6">
        <w:rPr>
          <w:rFonts w:ascii="Cambria" w:hAnsi="Cambria" w:cs="Arial"/>
          <w:color w:val="222222"/>
          <w:shd w:val="clear" w:color="auto" w:fill="FFFFFF"/>
        </w:rPr>
        <w:t xml:space="preserve">We support the Australian Lutheran World Service which works with the LWF in service projects overseas. This is diaconia. </w:t>
      </w:r>
      <w:r w:rsidRPr="009A0DA6">
        <w:rPr>
          <w:rFonts w:ascii="Cambria" w:hAnsi="Cambria" w:cs="Arial"/>
          <w:color w:val="222222"/>
          <w:shd w:val="clear" w:color="auto" w:fill="FFFFFF"/>
        </w:rPr>
        <w:br/>
      </w:r>
    </w:p>
    <w:p w14:paraId="41BCE811" w14:textId="52932EC2" w:rsidR="00A13DD7" w:rsidRPr="009A0DA6" w:rsidRDefault="00A13DD7" w:rsidP="00F55252">
      <w:pPr>
        <w:pStyle w:val="ListParagraph"/>
        <w:numPr>
          <w:ilvl w:val="0"/>
          <w:numId w:val="136"/>
        </w:numPr>
        <w:shd w:val="clear" w:color="auto" w:fill="FFFFFF"/>
        <w:spacing w:after="200" w:line="240" w:lineRule="auto"/>
        <w:ind w:left="567" w:hanging="567"/>
        <w:rPr>
          <w:rFonts w:ascii="Cambria" w:hAnsi="Cambria" w:cs="Arial"/>
          <w:color w:val="222222"/>
          <w:sz w:val="18"/>
          <w:shd w:val="clear" w:color="auto" w:fill="FFFFFF"/>
        </w:rPr>
      </w:pPr>
      <w:r w:rsidRPr="009A0DA6">
        <w:rPr>
          <w:rFonts w:ascii="Cambria" w:hAnsi="Cambria" w:cs="Arial"/>
          <w:color w:val="222222"/>
          <w:shd w:val="clear" w:color="auto" w:fill="FFFFFF"/>
        </w:rPr>
        <w:t xml:space="preserve">We annually observe the Commemoration of the Augsburg Confession at St. Andrew’s. With full membership in the LWF, the LCA would witness to what the Augsburg Confession states, namely that nothing more is required for unity beyond the pure </w:t>
      </w:r>
      <w:r w:rsidRPr="009A0DA6">
        <w:rPr>
          <w:rFonts w:ascii="Cambria" w:hAnsi="Cambria" w:cs="Arial"/>
          <w:color w:val="222222"/>
          <w:shd w:val="clear" w:color="auto" w:fill="FFFFFF"/>
        </w:rPr>
        <w:lastRenderedPageBreak/>
        <w:t xml:space="preserve">doctrine of the gospel and the right administration of the sacraments according to the gospel. </w:t>
      </w:r>
      <w:r w:rsidRPr="009A0DA6">
        <w:rPr>
          <w:rFonts w:ascii="Cambria" w:hAnsi="Cambria" w:cs="Arial"/>
          <w:color w:val="222222"/>
          <w:shd w:val="clear" w:color="auto" w:fill="FFFFFF"/>
        </w:rPr>
        <w:br/>
      </w:r>
    </w:p>
    <w:p w14:paraId="071FB955" w14:textId="6A37415D" w:rsidR="00A13DD7" w:rsidRPr="009A0DA6" w:rsidRDefault="00A13DD7" w:rsidP="00F55252">
      <w:pPr>
        <w:pStyle w:val="ListParagraph"/>
        <w:numPr>
          <w:ilvl w:val="0"/>
          <w:numId w:val="136"/>
        </w:numPr>
        <w:shd w:val="clear" w:color="auto" w:fill="FFFFFF"/>
        <w:spacing w:after="200" w:line="240" w:lineRule="auto"/>
        <w:ind w:left="567" w:hanging="567"/>
        <w:rPr>
          <w:rFonts w:ascii="Cambria" w:hAnsi="Cambria" w:cs="Arial"/>
          <w:color w:val="222222"/>
          <w:shd w:val="clear" w:color="auto" w:fill="FFFFFF"/>
        </w:rPr>
      </w:pPr>
      <w:r w:rsidRPr="009A0DA6">
        <w:rPr>
          <w:rFonts w:ascii="Cambria" w:hAnsi="Cambria" w:cs="Arial"/>
          <w:color w:val="222222"/>
          <w:shd w:val="clear" w:color="auto" w:fill="FFFFFF"/>
        </w:rPr>
        <w:t xml:space="preserve">Full membership will strengthen the voice of the LCA within the LWF. We are predominantly an English-speaking </w:t>
      </w:r>
      <w:r w:rsidR="00DB2C41" w:rsidRPr="009A0DA6">
        <w:rPr>
          <w:rFonts w:ascii="Cambria" w:hAnsi="Cambria" w:cs="Arial"/>
          <w:color w:val="222222"/>
          <w:shd w:val="clear" w:color="auto" w:fill="FFFFFF"/>
        </w:rPr>
        <w:t>church</w:t>
      </w:r>
      <w:r w:rsidRPr="009A0DA6">
        <w:rPr>
          <w:rFonts w:ascii="Cambria" w:hAnsi="Cambria" w:cs="Arial"/>
          <w:color w:val="222222"/>
          <w:shd w:val="clear" w:color="auto" w:fill="FFFFFF"/>
        </w:rPr>
        <w:t xml:space="preserve"> but also multicultural in a multicultural country. The voice of an English-speaking Lutheran Church, different to those in the USA will enrich the Federation.</w:t>
      </w:r>
    </w:p>
    <w:p w14:paraId="6715AD98" w14:textId="6CDFC2AA" w:rsidR="00A13DD7" w:rsidRPr="009A0DA6" w:rsidRDefault="00A13DD7" w:rsidP="00F55252">
      <w:pPr>
        <w:pStyle w:val="ListParagraph"/>
        <w:numPr>
          <w:ilvl w:val="0"/>
          <w:numId w:val="136"/>
        </w:numPr>
        <w:shd w:val="clear" w:color="auto" w:fill="FFFFFF"/>
        <w:spacing w:after="200" w:line="240" w:lineRule="auto"/>
        <w:ind w:left="567" w:hanging="567"/>
        <w:rPr>
          <w:rFonts w:ascii="Cambria" w:hAnsi="Cambria" w:cs="Arial"/>
          <w:color w:val="222222"/>
          <w:shd w:val="clear" w:color="auto" w:fill="FFFFFF"/>
        </w:rPr>
      </w:pPr>
      <w:r w:rsidRPr="009A0DA6">
        <w:rPr>
          <w:rFonts w:ascii="Cambria" w:hAnsi="Cambria" w:cs="Arial"/>
          <w:color w:val="222222"/>
          <w:shd w:val="clear" w:color="auto" w:fill="FFFFFF"/>
        </w:rPr>
        <w:t xml:space="preserve">Full membership will give our representatives the right to vote and hold administrative office. </w:t>
      </w:r>
      <w:r w:rsidRPr="009A0DA6">
        <w:rPr>
          <w:rFonts w:ascii="Cambria" w:hAnsi="Cambria" w:cs="Arial"/>
          <w:color w:val="222222"/>
          <w:shd w:val="clear" w:color="auto" w:fill="FFFFFF"/>
        </w:rPr>
        <w:br/>
      </w:r>
    </w:p>
    <w:p w14:paraId="45B19781" w14:textId="5F3BD217" w:rsidR="00A13DD7" w:rsidRPr="009A0DA6" w:rsidRDefault="00A13DD7" w:rsidP="00F55252">
      <w:pPr>
        <w:pStyle w:val="ListParagraph"/>
        <w:numPr>
          <w:ilvl w:val="0"/>
          <w:numId w:val="136"/>
        </w:numPr>
        <w:shd w:val="clear" w:color="auto" w:fill="FFFFFF"/>
        <w:spacing w:after="200" w:line="240" w:lineRule="auto"/>
        <w:ind w:left="567" w:hanging="567"/>
        <w:rPr>
          <w:rFonts w:ascii="Cambria" w:hAnsi="Cambria" w:cs="Arial"/>
          <w:color w:val="222222"/>
          <w:shd w:val="clear" w:color="auto" w:fill="FFFFFF"/>
        </w:rPr>
      </w:pPr>
      <w:r w:rsidRPr="009A0DA6">
        <w:rPr>
          <w:rFonts w:ascii="Cambria" w:hAnsi="Cambria" w:cs="Arial"/>
          <w:color w:val="222222"/>
          <w:shd w:val="clear" w:color="auto" w:fill="FFFFFF"/>
        </w:rPr>
        <w:t>Full membership will provide support to those member churches within the Federation, who wish to hold to a strongly confessional line.</w:t>
      </w:r>
      <w:r w:rsidRPr="009A0DA6">
        <w:rPr>
          <w:rFonts w:ascii="Cambria" w:hAnsi="Cambria" w:cs="Arial"/>
          <w:color w:val="222222"/>
          <w:shd w:val="clear" w:color="auto" w:fill="FFFFFF"/>
        </w:rPr>
        <w:br/>
      </w:r>
    </w:p>
    <w:p w14:paraId="490E104C" w14:textId="0E4EF61B" w:rsidR="00A13DD7" w:rsidRPr="009A0DA6" w:rsidRDefault="00A13DD7" w:rsidP="00F55252">
      <w:pPr>
        <w:pStyle w:val="ListParagraph"/>
        <w:numPr>
          <w:ilvl w:val="0"/>
          <w:numId w:val="136"/>
        </w:numPr>
        <w:shd w:val="clear" w:color="auto" w:fill="FFFFFF"/>
        <w:spacing w:after="200" w:line="240" w:lineRule="auto"/>
        <w:ind w:left="567" w:hanging="567"/>
        <w:rPr>
          <w:rFonts w:ascii="Cambria" w:hAnsi="Cambria" w:cs="Arial"/>
          <w:color w:val="222222"/>
          <w:shd w:val="clear" w:color="auto" w:fill="FFFFFF"/>
        </w:rPr>
      </w:pPr>
      <w:r w:rsidRPr="009A0DA6">
        <w:rPr>
          <w:rFonts w:ascii="Cambria" w:hAnsi="Cambria" w:cs="Arial"/>
          <w:color w:val="222222"/>
          <w:shd w:val="clear" w:color="auto" w:fill="FFFFFF"/>
        </w:rPr>
        <w:t xml:space="preserve">Ties with fellow Lutheran churches, especially in the SE Asian region, will be strengthened and avenues of service enhanced. Some of the Nordic/Scandinavian </w:t>
      </w:r>
      <w:r w:rsidR="00DB2C41" w:rsidRPr="009A0DA6">
        <w:rPr>
          <w:rFonts w:ascii="Cambria" w:hAnsi="Cambria" w:cs="Arial"/>
          <w:color w:val="222222"/>
          <w:shd w:val="clear" w:color="auto" w:fill="FFFFFF"/>
        </w:rPr>
        <w:t>church</w:t>
      </w:r>
      <w:r w:rsidRPr="009A0DA6">
        <w:rPr>
          <w:rFonts w:ascii="Cambria" w:hAnsi="Cambria" w:cs="Arial"/>
          <w:color w:val="222222"/>
          <w:shd w:val="clear" w:color="auto" w:fill="FFFFFF"/>
        </w:rPr>
        <w:t>es have pastors in SE Asia serving with mission to seafarers. This is an important part of the network.</w:t>
      </w:r>
      <w:r w:rsidRPr="009A0DA6">
        <w:rPr>
          <w:rFonts w:ascii="Cambria" w:hAnsi="Cambria" w:cs="Arial"/>
          <w:color w:val="222222"/>
          <w:shd w:val="clear" w:color="auto" w:fill="FFFFFF"/>
        </w:rPr>
        <w:br/>
      </w:r>
    </w:p>
    <w:p w14:paraId="3B9404AF" w14:textId="7D3DA04F" w:rsidR="00A13DD7" w:rsidRPr="009A0DA6" w:rsidRDefault="00A13DD7" w:rsidP="00F55252">
      <w:pPr>
        <w:pStyle w:val="ListParagraph"/>
        <w:numPr>
          <w:ilvl w:val="0"/>
          <w:numId w:val="136"/>
        </w:numPr>
        <w:spacing w:after="200" w:line="276" w:lineRule="auto"/>
        <w:ind w:left="567" w:hanging="567"/>
        <w:rPr>
          <w:rFonts w:ascii="Cambria" w:hAnsi="Cambria" w:cs="Arial"/>
          <w:bCs/>
          <w:color w:val="222222"/>
        </w:rPr>
      </w:pPr>
      <w:r w:rsidRPr="009A0DA6">
        <w:rPr>
          <w:rFonts w:ascii="Cambria" w:hAnsi="Cambria" w:cs="Arial"/>
          <w:bCs/>
          <w:color w:val="222222"/>
        </w:rPr>
        <w:t>Full membership would not change the present protocol requiring visiting pastors and church leaders to receive an official invitation before preaching in the pulpits of the LCA.</w:t>
      </w:r>
      <w:r w:rsidRPr="009A0DA6">
        <w:rPr>
          <w:rFonts w:ascii="Cambria" w:hAnsi="Cambria" w:cs="Arial"/>
          <w:bCs/>
          <w:color w:val="222222"/>
        </w:rPr>
        <w:br/>
      </w:r>
    </w:p>
    <w:p w14:paraId="38847595" w14:textId="403BFDA5" w:rsidR="00A13DD7" w:rsidRPr="009A0DA6" w:rsidRDefault="00A13DD7" w:rsidP="00F55252">
      <w:pPr>
        <w:pStyle w:val="ListParagraph"/>
        <w:numPr>
          <w:ilvl w:val="0"/>
          <w:numId w:val="136"/>
        </w:numPr>
        <w:shd w:val="clear" w:color="auto" w:fill="FFFFFF"/>
        <w:spacing w:after="200" w:line="240" w:lineRule="auto"/>
        <w:ind w:left="567" w:hanging="567"/>
        <w:rPr>
          <w:rFonts w:ascii="Cambria" w:hAnsi="Cambria" w:cs="Arial"/>
          <w:color w:val="222222"/>
          <w:shd w:val="clear" w:color="auto" w:fill="FFFFFF"/>
        </w:rPr>
      </w:pPr>
      <w:r w:rsidRPr="009A0DA6">
        <w:rPr>
          <w:rFonts w:ascii="Cambria" w:hAnsi="Cambria" w:cs="Arial"/>
          <w:color w:val="222222"/>
          <w:shd w:val="clear" w:color="auto" w:fill="FFFFFF"/>
        </w:rPr>
        <w:t xml:space="preserve">Full membership would not prevent us from entering into or maintaining relationships with churches which are not members of the LWF. </w:t>
      </w:r>
      <w:r w:rsidRPr="009A0DA6">
        <w:rPr>
          <w:rFonts w:ascii="Cambria" w:hAnsi="Cambria" w:cs="Arial"/>
          <w:color w:val="222222"/>
          <w:shd w:val="clear" w:color="auto" w:fill="FFFFFF"/>
        </w:rPr>
        <w:br/>
      </w:r>
    </w:p>
    <w:p w14:paraId="4C9F9DF5" w14:textId="587E8206" w:rsidR="00A13DD7" w:rsidRPr="009A0DA6" w:rsidRDefault="00A13DD7" w:rsidP="00F55252">
      <w:pPr>
        <w:pStyle w:val="ListParagraph"/>
        <w:numPr>
          <w:ilvl w:val="0"/>
          <w:numId w:val="136"/>
        </w:numPr>
        <w:shd w:val="clear" w:color="auto" w:fill="FFFFFF"/>
        <w:spacing w:after="200" w:line="240" w:lineRule="auto"/>
        <w:ind w:left="567" w:hanging="567"/>
        <w:rPr>
          <w:rFonts w:ascii="Cambria" w:hAnsi="Cambria" w:cs="Arial"/>
          <w:color w:val="222222"/>
          <w:shd w:val="clear" w:color="auto" w:fill="FFFFFF"/>
        </w:rPr>
      </w:pPr>
      <w:r w:rsidRPr="009A0DA6">
        <w:rPr>
          <w:rFonts w:ascii="Cambria" w:hAnsi="Cambria" w:cs="Arial"/>
          <w:color w:val="222222"/>
          <w:shd w:val="clear" w:color="auto" w:fill="FFFFFF"/>
        </w:rPr>
        <w:t xml:space="preserve">The LCA would have greater opportunity to inform the larger Lutheran movement of the platforms with which it agrees and those with which it disagrees, so as to contribute to maintaining that which is considered confessionally Lutheran in the world. </w:t>
      </w:r>
      <w:r w:rsidRPr="009A0DA6">
        <w:rPr>
          <w:rFonts w:ascii="Cambria" w:hAnsi="Cambria" w:cs="Arial"/>
          <w:color w:val="222222"/>
          <w:shd w:val="clear" w:color="auto" w:fill="FFFFFF"/>
        </w:rPr>
        <w:br/>
      </w:r>
    </w:p>
    <w:p w14:paraId="227BAF20" w14:textId="084F0D47" w:rsidR="00A13DD7" w:rsidRPr="009A0DA6" w:rsidRDefault="00A13DD7" w:rsidP="00F55252">
      <w:pPr>
        <w:pStyle w:val="ListParagraph"/>
        <w:numPr>
          <w:ilvl w:val="0"/>
          <w:numId w:val="136"/>
        </w:numPr>
        <w:shd w:val="clear" w:color="auto" w:fill="FFFFFF"/>
        <w:spacing w:after="200" w:line="240" w:lineRule="auto"/>
        <w:ind w:left="567" w:hanging="567"/>
        <w:rPr>
          <w:rFonts w:ascii="Cambria" w:hAnsi="Cambria" w:cs="Arial"/>
          <w:color w:val="222222"/>
          <w:shd w:val="clear" w:color="auto" w:fill="FFFFFF"/>
        </w:rPr>
      </w:pPr>
      <w:r w:rsidRPr="009A0DA6">
        <w:rPr>
          <w:rFonts w:ascii="Cambria" w:hAnsi="Cambria" w:cs="Arial"/>
          <w:color w:val="222222"/>
          <w:shd w:val="clear" w:color="auto" w:fill="FFFFFF"/>
        </w:rPr>
        <w:t xml:space="preserve">In the 1995 ‘Communion and Mission’ Report from the </w:t>
      </w:r>
      <w:r w:rsidRPr="009A0DA6">
        <w:rPr>
          <w:rFonts w:ascii="Cambria" w:hAnsi="Cambria" w:cs="Arial"/>
          <w:i/>
          <w:color w:val="222222"/>
          <w:shd w:val="clear" w:color="auto" w:fill="FFFFFF"/>
        </w:rPr>
        <w:t>Australian Lutheran-Roman Catholic Dialogue</w:t>
      </w:r>
      <w:r w:rsidRPr="009A0DA6">
        <w:rPr>
          <w:rFonts w:ascii="Cambria" w:hAnsi="Cambria" w:cs="Arial"/>
          <w:color w:val="222222"/>
          <w:shd w:val="clear" w:color="auto" w:fill="FFFFFF"/>
        </w:rPr>
        <w:t xml:space="preserve"> </w:t>
      </w:r>
      <w:r w:rsidRPr="009A0DA6">
        <w:rPr>
          <w:rFonts w:ascii="Cambria" w:hAnsi="Cambria" w:cs="Arial"/>
          <w:i/>
          <w:color w:val="222222"/>
          <w:shd w:val="clear" w:color="auto" w:fill="FFFFFF"/>
        </w:rPr>
        <w:t>on the Theology of the Church</w:t>
      </w:r>
      <w:r w:rsidRPr="009A0DA6">
        <w:rPr>
          <w:rFonts w:ascii="Cambria" w:hAnsi="Cambria" w:cs="Arial"/>
          <w:color w:val="222222"/>
          <w:shd w:val="clear" w:color="auto" w:fill="FFFFFF"/>
        </w:rPr>
        <w:t>, paragraph 89 stated: “</w:t>
      </w:r>
      <w:r w:rsidRPr="009A0DA6">
        <w:rPr>
          <w:rFonts w:ascii="Cambria" w:hAnsi="Cambria" w:cs="Arial"/>
          <w:i/>
          <w:color w:val="222222"/>
          <w:shd w:val="clear" w:color="auto" w:fill="FFFFFF"/>
        </w:rPr>
        <w:t>It is our conviction, however, that the time has come for us to give visible and practical expression to the considerably convergence we have discovered and arrived at in our dialogue. We believe that the communion we share ought to be</w:t>
      </w:r>
      <w:r w:rsidRPr="009A0DA6">
        <w:rPr>
          <w:rFonts w:ascii="Cambria" w:hAnsi="Cambria" w:cs="Arial"/>
          <w:color w:val="222222"/>
          <w:shd w:val="clear" w:color="auto" w:fill="FFFFFF"/>
        </w:rPr>
        <w:t xml:space="preserve"> </w:t>
      </w:r>
      <w:r w:rsidRPr="009A0DA6">
        <w:rPr>
          <w:rFonts w:ascii="Cambria" w:hAnsi="Cambria" w:cs="Arial"/>
          <w:i/>
          <w:color w:val="222222"/>
          <w:shd w:val="clear" w:color="auto" w:fill="FFFFFF"/>
        </w:rPr>
        <w:t>expressed in greater co-operation in areas such as social concerns, shared witness, theological education at various levels, and joint study programs. Such co-operation would give concrete expression to the common confession we have made, and reinforce our commitment to strive for greater expressions of unity</w:t>
      </w:r>
      <w:r w:rsidRPr="009A0DA6">
        <w:rPr>
          <w:rFonts w:ascii="Cambria" w:hAnsi="Cambria" w:cs="Arial"/>
          <w:color w:val="222222"/>
          <w:shd w:val="clear" w:color="auto" w:fill="FFFFFF"/>
        </w:rPr>
        <w:t>.” If we can say this with Roman Catholics, then surely we can share communion as full members of the Lutheran World Federation.</w:t>
      </w:r>
      <w:r w:rsidRPr="009A0DA6">
        <w:rPr>
          <w:rFonts w:ascii="Cambria" w:hAnsi="Cambria" w:cs="Arial"/>
          <w:color w:val="222222"/>
          <w:shd w:val="clear" w:color="auto" w:fill="FFFFFF"/>
        </w:rPr>
        <w:br/>
      </w:r>
    </w:p>
    <w:p w14:paraId="7DFA2069" w14:textId="4D458052" w:rsidR="00A13DD7" w:rsidRPr="009A0DA6" w:rsidRDefault="00A13DD7" w:rsidP="00F55252">
      <w:pPr>
        <w:pStyle w:val="ListParagraph"/>
        <w:numPr>
          <w:ilvl w:val="0"/>
          <w:numId w:val="136"/>
        </w:numPr>
        <w:shd w:val="clear" w:color="auto" w:fill="FFFFFF"/>
        <w:spacing w:after="200" w:line="240" w:lineRule="auto"/>
        <w:ind w:left="567" w:hanging="567"/>
        <w:rPr>
          <w:rFonts w:ascii="Cambria" w:hAnsi="Cambria" w:cs="Arial"/>
          <w:color w:val="222222"/>
          <w:shd w:val="clear" w:color="auto" w:fill="FFFFFF"/>
        </w:rPr>
      </w:pPr>
      <w:r w:rsidRPr="009A0DA6">
        <w:rPr>
          <w:rFonts w:ascii="Cambria" w:hAnsi="Cambria"/>
          <w:color w:val="222222"/>
          <w:shd w:val="clear" w:color="auto" w:fill="FFFFFF"/>
        </w:rPr>
        <w:t xml:space="preserve">Over 50 years ago, there were two main Lutheran traditions (churches) in Australia with a nineteenth century heritage predominantly in Prussia where there was a forced union of Lutheran and Reformed </w:t>
      </w:r>
      <w:r w:rsidR="00DB2C41" w:rsidRPr="009A0DA6">
        <w:rPr>
          <w:rFonts w:ascii="Cambria" w:hAnsi="Cambria"/>
          <w:color w:val="222222"/>
          <w:shd w:val="clear" w:color="auto" w:fill="FFFFFF"/>
        </w:rPr>
        <w:t>church</w:t>
      </w:r>
      <w:r w:rsidRPr="009A0DA6">
        <w:rPr>
          <w:rFonts w:ascii="Cambria" w:hAnsi="Cambria"/>
          <w:color w:val="222222"/>
          <w:shd w:val="clear" w:color="auto" w:fill="FFFFFF"/>
        </w:rPr>
        <w:t xml:space="preserve">es. These traditions united into the Lutheran Church of Australia in 1966. One of these traditions, the United Evangelical Lutheran Church of Australia (UELCA) had been full members of the LWF and were involved since its inception in 1947. When the churches united, it was a prerequisite that membership of the LWF be relinquished. The LCA became associate members in 1993. Other Lutheran congregations without this Prussian heritage, most of whom are not part of the LCA, have been in Australia since the nineteenth century, namely the Nordic Lutheran </w:t>
      </w:r>
      <w:r w:rsidR="00DB2C41" w:rsidRPr="009A0DA6">
        <w:rPr>
          <w:rFonts w:ascii="Cambria" w:hAnsi="Cambria"/>
          <w:color w:val="222222"/>
          <w:shd w:val="clear" w:color="auto" w:fill="FFFFFF"/>
        </w:rPr>
        <w:t>church</w:t>
      </w:r>
      <w:r w:rsidRPr="009A0DA6">
        <w:rPr>
          <w:rFonts w:ascii="Cambria" w:hAnsi="Cambria"/>
          <w:color w:val="222222"/>
          <w:shd w:val="clear" w:color="auto" w:fill="FFFFFF"/>
        </w:rPr>
        <w:t xml:space="preserve">es, and since World War II, Baltic and other European congregations. Full membership in the LWF would also honour the formal Partnership Agreement on joint ministry among Finns in Australia that exists between the LCA and the Evangelical Lutheran Church of Finland (ELCF), which was signed by the two </w:t>
      </w:r>
      <w:r w:rsidR="00DB2C41" w:rsidRPr="009A0DA6">
        <w:rPr>
          <w:rFonts w:ascii="Cambria" w:hAnsi="Cambria"/>
          <w:color w:val="222222"/>
          <w:shd w:val="clear" w:color="auto" w:fill="FFFFFF"/>
        </w:rPr>
        <w:t>church</w:t>
      </w:r>
      <w:r w:rsidRPr="009A0DA6">
        <w:rPr>
          <w:rFonts w:ascii="Cambria" w:hAnsi="Cambria"/>
          <w:color w:val="222222"/>
          <w:shd w:val="clear" w:color="auto" w:fill="FFFFFF"/>
        </w:rPr>
        <w:t>es in 1991. ELCF is a founding member of the LWF. The LCA has been partnering with ELCF in ministry among Finns in Australia since the union of 1966.</w:t>
      </w:r>
      <w:r w:rsidRPr="009A0DA6">
        <w:rPr>
          <w:rFonts w:ascii="Cambria" w:hAnsi="Cambria" w:cs="Arial"/>
          <w:color w:val="222222"/>
          <w:shd w:val="clear" w:color="auto" w:fill="FFFFFF"/>
        </w:rPr>
        <w:t xml:space="preserve"> </w:t>
      </w:r>
    </w:p>
    <w:p w14:paraId="2878F67B" w14:textId="77777777" w:rsidR="00A13DD7" w:rsidRPr="009A0DA6" w:rsidRDefault="00A13DD7" w:rsidP="00A13DD7">
      <w:pPr>
        <w:shd w:val="clear" w:color="auto" w:fill="FFFFFF"/>
        <w:tabs>
          <w:tab w:val="left" w:pos="426"/>
          <w:tab w:val="left" w:pos="3596"/>
          <w:tab w:val="right" w:pos="10206"/>
        </w:tabs>
        <w:spacing w:after="0" w:line="22" w:lineRule="atLeast"/>
        <w:rPr>
          <w:rFonts w:ascii="Cambria" w:hAnsi="Cambria" w:cs="Arial"/>
          <w:b/>
          <w:i/>
          <w:shd w:val="clear" w:color="auto" w:fill="FFFFFF"/>
        </w:rPr>
      </w:pPr>
      <w:r w:rsidRPr="009A0DA6">
        <w:rPr>
          <w:rFonts w:ascii="Cambria" w:eastAsia="Times New Roman" w:hAnsi="Cambria" w:cs="Times New Roman"/>
          <w:b/>
          <w:bCs/>
          <w:i/>
          <w:lang w:eastAsia="en-AU"/>
        </w:rPr>
        <w:lastRenderedPageBreak/>
        <w:t xml:space="preserve">Also submitted by </w:t>
      </w:r>
      <w:r w:rsidRPr="009A0DA6">
        <w:rPr>
          <w:rFonts w:ascii="Cambria" w:hAnsi="Cambria" w:cs="Arial"/>
          <w:b/>
          <w:i/>
          <w:shd w:val="clear" w:color="auto" w:fill="FFFFFF"/>
        </w:rPr>
        <w:t>the following congregations, using identical text:</w:t>
      </w:r>
    </w:p>
    <w:p w14:paraId="43949CC8" w14:textId="77777777" w:rsidR="00A13DD7" w:rsidRPr="009A0DA6" w:rsidRDefault="00A13DD7" w:rsidP="00F55252">
      <w:pPr>
        <w:pStyle w:val="ListParagraph"/>
        <w:numPr>
          <w:ilvl w:val="0"/>
          <w:numId w:val="135"/>
        </w:numPr>
        <w:shd w:val="clear" w:color="auto" w:fill="FFFFFF"/>
        <w:spacing w:after="0" w:line="22" w:lineRule="atLeast"/>
        <w:ind w:left="567" w:hanging="567"/>
        <w:rPr>
          <w:rFonts w:ascii="Cambria" w:hAnsi="Cambria" w:cs="Arial"/>
          <w:i/>
          <w:shd w:val="clear" w:color="auto" w:fill="FFFFFF"/>
        </w:rPr>
      </w:pPr>
      <w:r w:rsidRPr="009A0DA6">
        <w:rPr>
          <w:rFonts w:ascii="Cambria" w:hAnsi="Cambria" w:cs="Arial"/>
          <w:i/>
          <w:shd w:val="clear" w:color="auto" w:fill="FFFFFF"/>
        </w:rPr>
        <w:t>St Andrew’s Lutheran Congregation, Brisbane Qld</w:t>
      </w:r>
    </w:p>
    <w:p w14:paraId="374F852A" w14:textId="77777777" w:rsidR="00A13DD7" w:rsidRPr="009A0DA6" w:rsidRDefault="00A13DD7" w:rsidP="00F55252">
      <w:pPr>
        <w:pStyle w:val="ListParagraph"/>
        <w:numPr>
          <w:ilvl w:val="0"/>
          <w:numId w:val="135"/>
        </w:numPr>
        <w:shd w:val="clear" w:color="auto" w:fill="FFFFFF"/>
        <w:spacing w:after="0" w:line="22" w:lineRule="atLeast"/>
        <w:ind w:left="567" w:hanging="567"/>
        <w:rPr>
          <w:rFonts w:ascii="Cambria" w:hAnsi="Cambria" w:cs="Arial"/>
          <w:i/>
          <w:shd w:val="clear" w:color="auto" w:fill="FFFFFF"/>
        </w:rPr>
      </w:pPr>
      <w:r w:rsidRPr="009A0DA6">
        <w:rPr>
          <w:rFonts w:ascii="Cambria" w:hAnsi="Cambria" w:cs="Arial"/>
          <w:i/>
          <w:shd w:val="clear" w:color="auto" w:fill="FFFFFF"/>
        </w:rPr>
        <w:t>The Finnish Lutheran Church of Brisbane, Mt Gravatt Qld</w:t>
      </w:r>
    </w:p>
    <w:p w14:paraId="00B4744E" w14:textId="77777777" w:rsidR="00A13DD7" w:rsidRPr="009A0DA6" w:rsidRDefault="00A13DD7" w:rsidP="00F55252">
      <w:pPr>
        <w:pStyle w:val="ListParagraph"/>
        <w:numPr>
          <w:ilvl w:val="0"/>
          <w:numId w:val="135"/>
        </w:numPr>
        <w:shd w:val="clear" w:color="auto" w:fill="FFFFFF"/>
        <w:spacing w:after="0" w:line="22" w:lineRule="atLeast"/>
        <w:ind w:left="567" w:hanging="567"/>
        <w:rPr>
          <w:rFonts w:ascii="Cambria" w:hAnsi="Cambria" w:cs="Arial"/>
          <w:i/>
          <w:shd w:val="clear" w:color="auto" w:fill="FFFFFF"/>
        </w:rPr>
      </w:pPr>
      <w:r w:rsidRPr="009A0DA6">
        <w:rPr>
          <w:rFonts w:ascii="Cambria" w:hAnsi="Cambria" w:cs="Arial"/>
          <w:i/>
          <w:shd w:val="clear" w:color="auto" w:fill="FFFFFF"/>
        </w:rPr>
        <w:t>Mikael Agricola Finnish Lutheran Congregation of Melbourne, Vic</w:t>
      </w:r>
    </w:p>
    <w:p w14:paraId="25DE71DC" w14:textId="77777777" w:rsidR="00A13DD7" w:rsidRPr="009A0DA6" w:rsidRDefault="00A13DD7" w:rsidP="00F55252">
      <w:pPr>
        <w:pStyle w:val="ListParagraph"/>
        <w:numPr>
          <w:ilvl w:val="0"/>
          <w:numId w:val="135"/>
        </w:numPr>
        <w:shd w:val="clear" w:color="auto" w:fill="FFFFFF"/>
        <w:spacing w:after="0" w:line="22" w:lineRule="atLeast"/>
        <w:ind w:left="567" w:hanging="567"/>
        <w:rPr>
          <w:rFonts w:ascii="Cambria" w:hAnsi="Cambria" w:cs="Arial"/>
          <w:i/>
          <w:shd w:val="clear" w:color="auto" w:fill="FFFFFF"/>
        </w:rPr>
      </w:pPr>
      <w:r w:rsidRPr="009A0DA6">
        <w:rPr>
          <w:rFonts w:ascii="Cambria" w:hAnsi="Cambria" w:cs="Arial"/>
          <w:i/>
          <w:shd w:val="clear" w:color="auto" w:fill="FFFFFF"/>
        </w:rPr>
        <w:t>St Paul’s Lutheran Congregation, Sydney NSW</w:t>
      </w:r>
    </w:p>
    <w:p w14:paraId="61C2CE20" w14:textId="77777777" w:rsidR="00A13DD7" w:rsidRPr="009A0DA6" w:rsidRDefault="00A13DD7" w:rsidP="00F55252">
      <w:pPr>
        <w:pStyle w:val="ListParagraph"/>
        <w:numPr>
          <w:ilvl w:val="0"/>
          <w:numId w:val="135"/>
        </w:numPr>
        <w:shd w:val="clear" w:color="auto" w:fill="FFFFFF"/>
        <w:spacing w:after="0" w:line="22" w:lineRule="atLeast"/>
        <w:ind w:left="567" w:hanging="567"/>
        <w:rPr>
          <w:rFonts w:ascii="Cambria" w:hAnsi="Cambria" w:cs="Arial"/>
          <w:i/>
          <w:shd w:val="clear" w:color="auto" w:fill="FFFFFF"/>
        </w:rPr>
      </w:pPr>
      <w:r w:rsidRPr="009A0DA6">
        <w:rPr>
          <w:rFonts w:ascii="Cambria" w:hAnsi="Cambria" w:cs="Arial"/>
          <w:i/>
          <w:shd w:val="clear" w:color="auto" w:fill="FFFFFF"/>
        </w:rPr>
        <w:t>Church of the Good Shepherd Tuggeranong Lutheran Parish, ACT</w:t>
      </w:r>
    </w:p>
    <w:p w14:paraId="52CF7D89" w14:textId="77777777" w:rsidR="00727D1E" w:rsidRPr="009A0DA6" w:rsidRDefault="00727D1E" w:rsidP="00727D1E">
      <w:pPr>
        <w:pStyle w:val="NoSpacing"/>
      </w:pPr>
    </w:p>
    <w:p w14:paraId="7308714B" w14:textId="1A748E5E" w:rsidR="00D07614" w:rsidRDefault="00D07614" w:rsidP="00964A90">
      <w:pPr>
        <w:pStyle w:val="Heading3"/>
      </w:pPr>
    </w:p>
    <w:p w14:paraId="3C24AD4B" w14:textId="25EF48E0" w:rsidR="00727D1E" w:rsidRPr="009A0DA6" w:rsidRDefault="00727D1E" w:rsidP="00964A90">
      <w:pPr>
        <w:pStyle w:val="Heading3"/>
      </w:pPr>
      <w:r w:rsidRPr="009A0DA6">
        <w:t>agenda 2.3.9</w:t>
      </w:r>
    </w:p>
    <w:p w14:paraId="6618E631" w14:textId="77777777" w:rsidR="00727D1E" w:rsidRPr="009A0DA6" w:rsidRDefault="00727D1E" w:rsidP="00727D1E">
      <w:pPr>
        <w:pStyle w:val="Heading2"/>
      </w:pPr>
      <w:bookmarkStart w:id="436" w:name="_Toc521954688"/>
      <w:r w:rsidRPr="009A0DA6">
        <w:t>Changes to the LCA voting system</w:t>
      </w:r>
      <w:bookmarkEnd w:id="436"/>
    </w:p>
    <w:p w14:paraId="6443DEBC" w14:textId="08C8FDF3" w:rsidR="00727D1E" w:rsidRPr="00D07614" w:rsidRDefault="00727D1E" w:rsidP="00727D1E">
      <w:pPr>
        <w:pStyle w:val="NoSpacing"/>
        <w:rPr>
          <w:sz w:val="16"/>
        </w:rPr>
      </w:pPr>
    </w:p>
    <w:p w14:paraId="21C3021C" w14:textId="163FE314" w:rsidR="00507840" w:rsidRDefault="00507840" w:rsidP="00727D1E">
      <w:pPr>
        <w:pStyle w:val="NoSpacing"/>
      </w:pPr>
      <w:r>
        <w:t>(See also Agenda 2.4.13)</w:t>
      </w:r>
    </w:p>
    <w:p w14:paraId="2BF73954" w14:textId="77777777" w:rsidR="00507840" w:rsidRPr="00D07614" w:rsidRDefault="00507840" w:rsidP="00727D1E">
      <w:pPr>
        <w:pStyle w:val="NoSpacing"/>
        <w:rPr>
          <w:sz w:val="16"/>
        </w:rPr>
      </w:pPr>
    </w:p>
    <w:p w14:paraId="1AC4B295" w14:textId="5C928558" w:rsidR="00727D1E" w:rsidRPr="009A0DA6" w:rsidRDefault="00A13DD7" w:rsidP="00964A90">
      <w:pPr>
        <w:pStyle w:val="Heading3"/>
      </w:pPr>
      <w:r w:rsidRPr="009A0DA6">
        <w:t>proposed motion</w:t>
      </w:r>
    </w:p>
    <w:p w14:paraId="0703C145" w14:textId="50C789CF" w:rsidR="00727D1E" w:rsidRPr="009A0DA6" w:rsidRDefault="00727D1E" w:rsidP="00727D1E">
      <w:pPr>
        <w:pStyle w:val="NoSpacing"/>
      </w:pPr>
      <w:r w:rsidRPr="009A0DA6">
        <w:rPr>
          <w:i/>
        </w:rPr>
        <w:t xml:space="preserve">Submitted by </w:t>
      </w:r>
      <w:r w:rsidR="00A13DD7" w:rsidRPr="009A0DA6">
        <w:rPr>
          <w:i/>
        </w:rPr>
        <w:t>LCA NSW District Church Council</w:t>
      </w:r>
    </w:p>
    <w:p w14:paraId="361A1DF4" w14:textId="1EBAB980" w:rsidR="00727D1E" w:rsidRPr="00D07614" w:rsidRDefault="00727D1E" w:rsidP="00727D1E">
      <w:pPr>
        <w:pStyle w:val="NoSpacing"/>
        <w:rPr>
          <w:sz w:val="16"/>
        </w:rPr>
      </w:pPr>
    </w:p>
    <w:p w14:paraId="3493B887" w14:textId="77777777" w:rsidR="00A13DD7" w:rsidRPr="009A0DA6" w:rsidRDefault="00A13DD7" w:rsidP="00A13DD7">
      <w:pPr>
        <w:pStyle w:val="BodyText"/>
        <w:spacing w:line="240" w:lineRule="auto"/>
        <w:rPr>
          <w:rFonts w:ascii="Cambria" w:hAnsi="Cambria"/>
          <w:color w:val="000000" w:themeColor="text1"/>
        </w:rPr>
      </w:pPr>
      <w:r w:rsidRPr="009A0DA6">
        <w:rPr>
          <w:rFonts w:ascii="Cambria" w:hAnsi="Cambria"/>
          <w:b/>
          <w:bCs/>
          <w:color w:val="000000" w:themeColor="text1"/>
          <w:lang w:eastAsia="en-AU"/>
        </w:rPr>
        <w:t>BE IT RESOLVED</w:t>
      </w:r>
      <w:r w:rsidRPr="009A0DA6">
        <w:rPr>
          <w:rFonts w:ascii="Cambria" w:eastAsia="Calibri" w:hAnsi="Cambria" w:cs="Calibri"/>
          <w:color w:val="000000" w:themeColor="text1"/>
        </w:rPr>
        <w:t xml:space="preserve"> </w:t>
      </w:r>
      <w:r w:rsidRPr="009A0DA6">
        <w:rPr>
          <w:rFonts w:ascii="Cambria" w:hAnsi="Cambria"/>
          <w:color w:val="000000" w:themeColor="text1"/>
        </w:rPr>
        <w:t>that the Constitution, the By-laws of the Church, the By-laws of the Church — Constitution of the Districts, and the By-laws of the Church — By-laws Part A of the Districts be amended so that voting majorities be determined by reference to registered delegates present and voting, and that quorums be determined by reference to delegates who have been registered and who have not been excused; to wit:</w:t>
      </w:r>
    </w:p>
    <w:p w14:paraId="221AD582" w14:textId="77777777" w:rsidR="00A13DD7" w:rsidRPr="009A0DA6" w:rsidRDefault="00A13DD7" w:rsidP="00A13DD7">
      <w:pPr>
        <w:pStyle w:val="BodyText2"/>
        <w:spacing w:after="120"/>
        <w:rPr>
          <w:rFonts w:ascii="Cambria" w:hAnsi="Cambria"/>
          <w:color w:val="000000" w:themeColor="text1"/>
          <w:szCs w:val="22"/>
        </w:rPr>
      </w:pPr>
      <w:r w:rsidRPr="009A0DA6">
        <w:rPr>
          <w:rFonts w:ascii="Cambria" w:hAnsi="Cambria"/>
          <w:color w:val="000000" w:themeColor="text1"/>
          <w:szCs w:val="22"/>
        </w:rPr>
        <w:t>Constitution, Article 11 [</w:t>
      </w:r>
      <w:r w:rsidRPr="009A0DA6">
        <w:rPr>
          <w:rFonts w:ascii="Cambria" w:hAnsi="Cambria"/>
          <w:i/>
          <w:color w:val="000000" w:themeColor="text1"/>
          <w:szCs w:val="22"/>
        </w:rPr>
        <w:t>re</w:t>
      </w:r>
      <w:r w:rsidRPr="009A0DA6">
        <w:rPr>
          <w:rFonts w:ascii="Cambria" w:hAnsi="Cambria"/>
          <w:color w:val="000000" w:themeColor="text1"/>
          <w:szCs w:val="22"/>
        </w:rPr>
        <w:t xml:space="preserve"> dissolution]</w:t>
      </w:r>
    </w:p>
    <w:p w14:paraId="7A7D941F" w14:textId="77777777" w:rsidR="00A13DD7" w:rsidRPr="009A0DA6" w:rsidRDefault="00A13DD7" w:rsidP="00A13DD7">
      <w:pPr>
        <w:pStyle w:val="List2"/>
        <w:spacing w:before="0" w:after="120"/>
        <w:ind w:left="709" w:hanging="709"/>
        <w:jc w:val="left"/>
        <w:rPr>
          <w:rFonts w:ascii="Cambria" w:hAnsi="Cambria"/>
          <w:color w:val="000000" w:themeColor="text1"/>
          <w:sz w:val="22"/>
          <w:szCs w:val="22"/>
        </w:rPr>
      </w:pPr>
      <w:r w:rsidRPr="009A0DA6">
        <w:rPr>
          <w:rFonts w:ascii="Cambria" w:hAnsi="Cambria"/>
          <w:color w:val="000000" w:themeColor="text1"/>
          <w:sz w:val="22"/>
          <w:szCs w:val="22"/>
        </w:rPr>
        <w:t xml:space="preserve">11.1.3 </w:t>
      </w:r>
      <w:r w:rsidRPr="009A0DA6">
        <w:rPr>
          <w:rFonts w:ascii="Cambria" w:hAnsi="Cambria"/>
          <w:color w:val="000000" w:themeColor="text1"/>
          <w:sz w:val="22"/>
          <w:szCs w:val="22"/>
        </w:rPr>
        <w:tab/>
        <w:t xml:space="preserve">The motion must be presented at a duly constituted General Synod and shall require a </w:t>
      </w:r>
      <w:r w:rsidRPr="009A0DA6">
        <w:rPr>
          <w:rFonts w:ascii="Cambria" w:hAnsi="Cambria"/>
          <w:strike/>
          <w:color w:val="000000" w:themeColor="text1"/>
          <w:sz w:val="22"/>
          <w:szCs w:val="22"/>
        </w:rPr>
        <w:t>majority of three-quarters of all the</w:t>
      </w:r>
      <w:r w:rsidRPr="009A0DA6">
        <w:rPr>
          <w:rFonts w:ascii="Cambria" w:hAnsi="Cambria"/>
          <w:color w:val="000000" w:themeColor="text1"/>
          <w:sz w:val="22"/>
          <w:szCs w:val="22"/>
        </w:rPr>
        <w:t xml:space="preserve"> </w:t>
      </w:r>
      <w:r w:rsidRPr="009A0DA6">
        <w:rPr>
          <w:rFonts w:ascii="Cambria" w:hAnsi="Cambria"/>
          <w:color w:val="000000" w:themeColor="text1"/>
          <w:sz w:val="22"/>
          <w:szCs w:val="22"/>
          <w:u w:val="single"/>
        </w:rPr>
        <w:t>three-quarters majority of</w:t>
      </w:r>
      <w:r w:rsidRPr="009A0DA6">
        <w:rPr>
          <w:rFonts w:ascii="Cambria" w:hAnsi="Cambria"/>
          <w:color w:val="000000" w:themeColor="text1"/>
          <w:sz w:val="22"/>
          <w:szCs w:val="22"/>
        </w:rPr>
        <w:t xml:space="preserve"> registered delegates </w:t>
      </w:r>
      <w:r w:rsidRPr="009A0DA6">
        <w:rPr>
          <w:rFonts w:ascii="Cambria" w:hAnsi="Cambria"/>
          <w:color w:val="000000" w:themeColor="text1"/>
          <w:sz w:val="22"/>
          <w:szCs w:val="22"/>
          <w:u w:val="single"/>
        </w:rPr>
        <w:t>present and voting</w:t>
      </w:r>
      <w:r w:rsidRPr="009A0DA6">
        <w:rPr>
          <w:rFonts w:ascii="Cambria" w:hAnsi="Cambria"/>
          <w:color w:val="000000" w:themeColor="text1"/>
          <w:sz w:val="22"/>
          <w:szCs w:val="22"/>
        </w:rPr>
        <w:t xml:space="preserve"> </w:t>
      </w:r>
      <w:r w:rsidRPr="009A0DA6">
        <w:rPr>
          <w:rFonts w:ascii="Cambria" w:hAnsi="Cambria"/>
          <w:strike/>
          <w:color w:val="000000" w:themeColor="text1"/>
          <w:sz w:val="22"/>
          <w:szCs w:val="22"/>
        </w:rPr>
        <w:t>of the General Synod</w:t>
      </w:r>
      <w:r w:rsidRPr="009A0DA6">
        <w:rPr>
          <w:rFonts w:ascii="Cambria" w:hAnsi="Cambria"/>
          <w:color w:val="000000" w:themeColor="text1"/>
          <w:sz w:val="22"/>
          <w:szCs w:val="22"/>
        </w:rPr>
        <w:t>.</w:t>
      </w:r>
    </w:p>
    <w:p w14:paraId="3EA8566F" w14:textId="77777777" w:rsidR="00A13DD7" w:rsidRPr="009A0DA6" w:rsidRDefault="00A13DD7" w:rsidP="00A13DD7">
      <w:pPr>
        <w:pStyle w:val="BodyText2"/>
        <w:spacing w:after="120"/>
        <w:rPr>
          <w:rFonts w:ascii="Cambria" w:hAnsi="Cambria"/>
          <w:color w:val="000000" w:themeColor="text1"/>
          <w:szCs w:val="22"/>
        </w:rPr>
      </w:pPr>
      <w:r w:rsidRPr="009A0DA6">
        <w:rPr>
          <w:rFonts w:ascii="Cambria" w:hAnsi="Cambria"/>
          <w:color w:val="000000" w:themeColor="text1"/>
          <w:szCs w:val="22"/>
        </w:rPr>
        <w:t>Constitution, Article 13 [</w:t>
      </w:r>
      <w:r w:rsidRPr="009A0DA6">
        <w:rPr>
          <w:rFonts w:ascii="Cambria" w:hAnsi="Cambria"/>
          <w:i/>
          <w:color w:val="000000" w:themeColor="text1"/>
          <w:szCs w:val="22"/>
        </w:rPr>
        <w:t>re</w:t>
      </w:r>
      <w:r w:rsidRPr="009A0DA6">
        <w:rPr>
          <w:rFonts w:ascii="Cambria" w:hAnsi="Cambria"/>
          <w:color w:val="000000" w:themeColor="text1"/>
          <w:szCs w:val="22"/>
        </w:rPr>
        <w:t xml:space="preserve"> alterations to the constitution]</w:t>
      </w:r>
    </w:p>
    <w:p w14:paraId="5B08ACD3" w14:textId="77777777" w:rsidR="00A13DD7" w:rsidRPr="009A0DA6" w:rsidRDefault="00A13DD7" w:rsidP="00A13DD7">
      <w:pPr>
        <w:pStyle w:val="List2"/>
        <w:spacing w:before="0" w:after="120"/>
        <w:ind w:left="709" w:hanging="709"/>
        <w:jc w:val="left"/>
        <w:rPr>
          <w:rFonts w:ascii="Cambria" w:hAnsi="Cambria"/>
          <w:color w:val="000000" w:themeColor="text1"/>
          <w:sz w:val="22"/>
          <w:szCs w:val="22"/>
        </w:rPr>
      </w:pPr>
      <w:r w:rsidRPr="009A0DA6">
        <w:rPr>
          <w:rFonts w:ascii="Cambria" w:hAnsi="Cambria"/>
          <w:color w:val="000000" w:themeColor="text1"/>
          <w:sz w:val="22"/>
          <w:szCs w:val="22"/>
        </w:rPr>
        <w:t xml:space="preserve">13.2 </w:t>
      </w:r>
      <w:r w:rsidRPr="009A0DA6">
        <w:rPr>
          <w:rFonts w:ascii="Cambria" w:hAnsi="Cambria"/>
          <w:color w:val="000000" w:themeColor="text1"/>
          <w:sz w:val="22"/>
          <w:szCs w:val="22"/>
        </w:rPr>
        <w:tab/>
        <w:t xml:space="preserve">Notice of any such motion to amend, alter, add to or repeal any of the rules shall be given on the agenda of the convention, and any motion to amend, alter, add or repeal shall require a two-thirds majority of </w:t>
      </w:r>
      <w:r w:rsidRPr="009A0DA6">
        <w:rPr>
          <w:rFonts w:ascii="Cambria" w:hAnsi="Cambria"/>
          <w:color w:val="000000" w:themeColor="text1"/>
          <w:sz w:val="22"/>
          <w:szCs w:val="22"/>
          <w:u w:val="single"/>
        </w:rPr>
        <w:t>registered delegates present and voting</w:t>
      </w:r>
      <w:r w:rsidRPr="009A0DA6">
        <w:rPr>
          <w:rFonts w:ascii="Cambria" w:hAnsi="Cambria"/>
          <w:color w:val="000000" w:themeColor="text1"/>
          <w:sz w:val="22"/>
          <w:szCs w:val="22"/>
        </w:rPr>
        <w:t xml:space="preserve"> </w:t>
      </w:r>
      <w:r w:rsidRPr="009A0DA6">
        <w:rPr>
          <w:rFonts w:ascii="Cambria" w:hAnsi="Cambria"/>
          <w:strike/>
          <w:color w:val="000000" w:themeColor="text1"/>
          <w:sz w:val="22"/>
          <w:szCs w:val="22"/>
        </w:rPr>
        <w:t>all the delegates registered at the convention</w:t>
      </w:r>
      <w:r w:rsidRPr="009A0DA6">
        <w:rPr>
          <w:rFonts w:ascii="Cambria" w:hAnsi="Cambria"/>
          <w:color w:val="000000" w:themeColor="text1"/>
          <w:sz w:val="22"/>
          <w:szCs w:val="22"/>
        </w:rPr>
        <w:t>.</w:t>
      </w:r>
    </w:p>
    <w:p w14:paraId="76DB05F2" w14:textId="77777777" w:rsidR="00A13DD7" w:rsidRPr="009A0DA6" w:rsidRDefault="00A13DD7" w:rsidP="00A13DD7">
      <w:pPr>
        <w:pStyle w:val="BodyText2"/>
        <w:spacing w:after="120"/>
        <w:rPr>
          <w:rFonts w:ascii="Cambria" w:hAnsi="Cambria"/>
          <w:color w:val="000000" w:themeColor="text1"/>
          <w:szCs w:val="22"/>
        </w:rPr>
      </w:pPr>
      <w:r w:rsidRPr="009A0DA6">
        <w:rPr>
          <w:rFonts w:ascii="Cambria" w:hAnsi="Cambria"/>
          <w:color w:val="000000" w:themeColor="text1"/>
          <w:szCs w:val="22"/>
        </w:rPr>
        <w:t>By-laws of the Church, Section 7.2 [</w:t>
      </w:r>
      <w:r w:rsidRPr="009A0DA6">
        <w:rPr>
          <w:rFonts w:ascii="Cambria" w:hAnsi="Cambria"/>
          <w:i/>
          <w:color w:val="000000" w:themeColor="text1"/>
          <w:szCs w:val="22"/>
        </w:rPr>
        <w:t>re</w:t>
      </w:r>
      <w:r w:rsidRPr="009A0DA6">
        <w:rPr>
          <w:rFonts w:ascii="Cambria" w:hAnsi="Cambria"/>
          <w:color w:val="000000" w:themeColor="text1"/>
          <w:szCs w:val="22"/>
        </w:rPr>
        <w:t xml:space="preserve"> convening the General Synod]</w:t>
      </w:r>
    </w:p>
    <w:p w14:paraId="4B801950" w14:textId="77777777" w:rsidR="00A13DD7" w:rsidRPr="009A0DA6" w:rsidRDefault="00A13DD7" w:rsidP="00A13DD7">
      <w:pPr>
        <w:pStyle w:val="List2"/>
        <w:spacing w:before="0" w:after="120"/>
        <w:ind w:left="709" w:hanging="709"/>
        <w:jc w:val="left"/>
        <w:rPr>
          <w:rFonts w:ascii="Cambria" w:hAnsi="Cambria"/>
          <w:color w:val="000000" w:themeColor="text1"/>
          <w:sz w:val="22"/>
          <w:szCs w:val="22"/>
        </w:rPr>
      </w:pPr>
      <w:r w:rsidRPr="009A0DA6">
        <w:rPr>
          <w:rFonts w:ascii="Cambria" w:hAnsi="Cambria"/>
          <w:color w:val="000000" w:themeColor="text1"/>
          <w:sz w:val="22"/>
          <w:szCs w:val="22"/>
        </w:rPr>
        <w:t>7.2.5</w:t>
      </w:r>
      <w:r w:rsidRPr="009A0DA6">
        <w:rPr>
          <w:rFonts w:ascii="Cambria" w:hAnsi="Cambria"/>
          <w:color w:val="000000" w:themeColor="text1"/>
          <w:sz w:val="22"/>
          <w:szCs w:val="22"/>
        </w:rPr>
        <w:tab/>
        <w:t xml:space="preserve">All delegates and consultants shall register for the convention at the time and place announced by the Secretary. </w:t>
      </w:r>
      <w:r w:rsidRPr="009A0DA6">
        <w:rPr>
          <w:rFonts w:ascii="Cambria" w:hAnsi="Cambria"/>
          <w:color w:val="000000" w:themeColor="text1"/>
          <w:sz w:val="22"/>
          <w:szCs w:val="22"/>
          <w:u w:val="single"/>
        </w:rPr>
        <w:t>For the purpose of all matters relating to quorum, the term “registered delegates” shall mean all delegates to the General Synod entitled to vote, who have registered pursuant to this section and have not been excused pursuant to Section 7.2.7.</w:t>
      </w:r>
    </w:p>
    <w:p w14:paraId="0C57EA68" w14:textId="77777777" w:rsidR="00A13DD7" w:rsidRPr="009A0DA6" w:rsidRDefault="00A13DD7" w:rsidP="00A13DD7">
      <w:pPr>
        <w:pStyle w:val="List2"/>
        <w:spacing w:before="0" w:after="120"/>
        <w:ind w:left="709" w:hanging="709"/>
        <w:jc w:val="left"/>
        <w:rPr>
          <w:rFonts w:ascii="Cambria" w:hAnsi="Cambria"/>
          <w:color w:val="000000" w:themeColor="text1"/>
          <w:sz w:val="22"/>
          <w:szCs w:val="22"/>
        </w:rPr>
      </w:pPr>
      <w:r w:rsidRPr="009A0DA6">
        <w:rPr>
          <w:rFonts w:ascii="Cambria" w:hAnsi="Cambria"/>
          <w:color w:val="000000" w:themeColor="text1"/>
          <w:sz w:val="22"/>
          <w:szCs w:val="22"/>
        </w:rPr>
        <w:t xml:space="preserve">7.2.6 </w:t>
      </w:r>
      <w:r w:rsidRPr="009A0DA6">
        <w:rPr>
          <w:rFonts w:ascii="Cambria" w:hAnsi="Cambria"/>
          <w:color w:val="000000" w:themeColor="text1"/>
          <w:sz w:val="22"/>
          <w:szCs w:val="22"/>
        </w:rPr>
        <w:tab/>
      </w:r>
      <w:r w:rsidRPr="009A0DA6">
        <w:rPr>
          <w:rFonts w:ascii="Cambria" w:hAnsi="Cambria"/>
          <w:color w:val="000000" w:themeColor="text1"/>
          <w:sz w:val="22"/>
          <w:szCs w:val="22"/>
          <w:u w:val="single"/>
        </w:rPr>
        <w:t>For the purpose of transacting business in general,</w:t>
      </w:r>
      <w:r w:rsidRPr="009A0DA6">
        <w:rPr>
          <w:rFonts w:ascii="Cambria" w:hAnsi="Cambria"/>
          <w:color w:val="000000" w:themeColor="text1"/>
          <w:sz w:val="22"/>
          <w:szCs w:val="22"/>
        </w:rPr>
        <w:t xml:space="preserve"> a majority of </w:t>
      </w:r>
      <w:r w:rsidRPr="009A0DA6">
        <w:rPr>
          <w:rFonts w:ascii="Cambria" w:hAnsi="Cambria"/>
          <w:color w:val="000000" w:themeColor="text1"/>
          <w:sz w:val="22"/>
          <w:szCs w:val="22"/>
          <w:u w:val="single"/>
        </w:rPr>
        <w:t>registered delegates</w:t>
      </w:r>
      <w:r w:rsidRPr="009A0DA6">
        <w:rPr>
          <w:rFonts w:ascii="Cambria" w:hAnsi="Cambria"/>
          <w:color w:val="000000" w:themeColor="text1"/>
          <w:sz w:val="22"/>
          <w:szCs w:val="22"/>
        </w:rPr>
        <w:t xml:space="preserve"> </w:t>
      </w:r>
      <w:r w:rsidRPr="009A0DA6">
        <w:rPr>
          <w:rFonts w:ascii="Cambria" w:hAnsi="Cambria"/>
          <w:strike/>
          <w:color w:val="000000" w:themeColor="text1"/>
          <w:sz w:val="22"/>
          <w:szCs w:val="22"/>
        </w:rPr>
        <w:t>the maximum number of persons entitled to vote according to the rules</w:t>
      </w:r>
      <w:r w:rsidRPr="009A0DA6">
        <w:rPr>
          <w:rFonts w:ascii="Cambria" w:hAnsi="Cambria"/>
          <w:color w:val="000000" w:themeColor="text1"/>
          <w:sz w:val="22"/>
          <w:szCs w:val="22"/>
        </w:rPr>
        <w:t xml:space="preserve"> shall form a quorum. </w:t>
      </w:r>
      <w:r w:rsidRPr="009A0DA6">
        <w:rPr>
          <w:rFonts w:ascii="Cambria" w:hAnsi="Cambria"/>
          <w:color w:val="000000" w:themeColor="text1"/>
          <w:sz w:val="22"/>
          <w:szCs w:val="22"/>
          <w:u w:val="single"/>
        </w:rPr>
        <w:t>For the purpose of voting on a resolution for dissolution or amalgamation pursuant to Article 11 or a motion of a District to dissolve or amalgamate, quorum shall constitute three quarters of registered delegates</w:t>
      </w:r>
      <w:r w:rsidRPr="009A0DA6">
        <w:rPr>
          <w:rFonts w:ascii="Cambria" w:hAnsi="Cambria"/>
          <w:color w:val="000000" w:themeColor="text1"/>
          <w:sz w:val="22"/>
          <w:szCs w:val="22"/>
        </w:rPr>
        <w:t xml:space="preserve">. </w:t>
      </w:r>
      <w:r w:rsidRPr="009A0DA6">
        <w:rPr>
          <w:rFonts w:ascii="Cambria" w:hAnsi="Cambria"/>
          <w:color w:val="000000" w:themeColor="text1"/>
          <w:sz w:val="22"/>
          <w:szCs w:val="22"/>
          <w:u w:val="single"/>
        </w:rPr>
        <w:t>For the purpose of voting on alterations to the constitution pursuant to Article 13, matters of doctrine pursuant to Section 7.3.28, and for suspension of the By-laws pursuant to Section 7.3.29, quorum shall constitute two thirds of registered delegates.</w:t>
      </w:r>
    </w:p>
    <w:p w14:paraId="23C8512E" w14:textId="77777777" w:rsidR="00A13DD7" w:rsidRPr="009A0DA6" w:rsidRDefault="00A13DD7" w:rsidP="00A13DD7">
      <w:pPr>
        <w:pStyle w:val="List2"/>
        <w:spacing w:before="0" w:after="120"/>
        <w:ind w:left="709" w:hanging="709"/>
        <w:jc w:val="left"/>
        <w:rPr>
          <w:rFonts w:ascii="Cambria" w:hAnsi="Cambria"/>
          <w:color w:val="000000" w:themeColor="text1"/>
          <w:sz w:val="22"/>
          <w:szCs w:val="22"/>
        </w:rPr>
      </w:pPr>
      <w:r w:rsidRPr="009A0DA6">
        <w:rPr>
          <w:rFonts w:ascii="Cambria" w:hAnsi="Cambria"/>
          <w:color w:val="000000" w:themeColor="text1"/>
          <w:sz w:val="22"/>
          <w:szCs w:val="22"/>
        </w:rPr>
        <w:t xml:space="preserve">7.2.7 </w:t>
      </w:r>
      <w:r w:rsidRPr="009A0DA6">
        <w:rPr>
          <w:rFonts w:ascii="Cambria" w:hAnsi="Cambria"/>
          <w:color w:val="000000" w:themeColor="text1"/>
          <w:sz w:val="22"/>
          <w:szCs w:val="22"/>
        </w:rPr>
        <w:tab/>
        <w:t xml:space="preserve">All delegates and consultants shall attend all sessions regularly until the close of the convention. Delegates who arrive late or leave early or who are absent or unable to attend shall submit a written apology to the Secretary. </w:t>
      </w:r>
      <w:r w:rsidRPr="009A0DA6">
        <w:rPr>
          <w:rFonts w:ascii="Cambria" w:hAnsi="Cambria"/>
          <w:color w:val="000000" w:themeColor="text1"/>
          <w:sz w:val="22"/>
          <w:szCs w:val="22"/>
          <w:u w:val="single"/>
        </w:rPr>
        <w:t>If circumstances warrant, a delegate may request of the Chairperson that the delegate be excused from remaining sessions of the General Synod; the delegate shall be excused at the Chairperson’s discretion.</w:t>
      </w:r>
    </w:p>
    <w:p w14:paraId="56DF0A6E" w14:textId="77777777" w:rsidR="00A13DD7" w:rsidRPr="009A0DA6" w:rsidRDefault="00A13DD7" w:rsidP="00A13DD7">
      <w:pPr>
        <w:pStyle w:val="BodyText2"/>
        <w:spacing w:after="120"/>
        <w:rPr>
          <w:rFonts w:ascii="Cambria" w:hAnsi="Cambria"/>
          <w:color w:val="000000" w:themeColor="text1"/>
          <w:szCs w:val="22"/>
        </w:rPr>
      </w:pPr>
      <w:r w:rsidRPr="009A0DA6">
        <w:rPr>
          <w:rFonts w:ascii="Cambria" w:hAnsi="Cambria"/>
          <w:color w:val="000000" w:themeColor="text1"/>
          <w:szCs w:val="22"/>
        </w:rPr>
        <w:lastRenderedPageBreak/>
        <w:t>By-laws of the Church, Section 7.3 [</w:t>
      </w:r>
      <w:r w:rsidRPr="009A0DA6">
        <w:rPr>
          <w:rFonts w:ascii="Cambria" w:hAnsi="Cambria"/>
          <w:i/>
          <w:color w:val="000000" w:themeColor="text1"/>
          <w:szCs w:val="22"/>
        </w:rPr>
        <w:t>re</w:t>
      </w:r>
      <w:r w:rsidRPr="009A0DA6">
        <w:rPr>
          <w:rFonts w:ascii="Cambria" w:hAnsi="Cambria"/>
          <w:color w:val="000000" w:themeColor="text1"/>
          <w:szCs w:val="22"/>
        </w:rPr>
        <w:t xml:space="preserve"> transacting business at the General Synod]</w:t>
      </w:r>
    </w:p>
    <w:p w14:paraId="45A00B0E" w14:textId="77777777" w:rsidR="00A13DD7" w:rsidRPr="009A0DA6" w:rsidRDefault="00A13DD7" w:rsidP="00A13DD7">
      <w:pPr>
        <w:pStyle w:val="List2"/>
        <w:spacing w:before="0" w:after="120"/>
        <w:ind w:left="851" w:hanging="851"/>
        <w:jc w:val="left"/>
        <w:rPr>
          <w:rFonts w:ascii="Cambria" w:hAnsi="Cambria" w:cs="Arial"/>
          <w:color w:val="000000" w:themeColor="text1"/>
          <w:sz w:val="22"/>
          <w:szCs w:val="22"/>
        </w:rPr>
      </w:pPr>
      <w:r w:rsidRPr="009A0DA6">
        <w:rPr>
          <w:rFonts w:ascii="Cambria" w:hAnsi="Cambria" w:cs="Arial"/>
          <w:color w:val="000000" w:themeColor="text1"/>
          <w:sz w:val="22"/>
          <w:szCs w:val="22"/>
        </w:rPr>
        <w:t>7.3.26.2</w:t>
      </w:r>
      <w:r w:rsidRPr="009A0DA6">
        <w:rPr>
          <w:rFonts w:ascii="Cambria" w:hAnsi="Cambria" w:cs="Arial"/>
          <w:color w:val="000000" w:themeColor="text1"/>
          <w:sz w:val="22"/>
          <w:szCs w:val="22"/>
        </w:rPr>
        <w:tab/>
      </w:r>
      <w:r w:rsidRPr="009A0DA6">
        <w:rPr>
          <w:rFonts w:ascii="Cambria" w:hAnsi="Cambria" w:cs="Arial"/>
          <w:color w:val="000000" w:themeColor="text1"/>
          <w:sz w:val="22"/>
          <w:szCs w:val="22"/>
          <w:u w:val="single"/>
        </w:rPr>
        <w:t xml:space="preserve">For the purpose of all matters relating to voting, the determination of a majority shall be made by reference to the sum of formal ‘yes’ and ‘no’ votes; abstentions and informal ballots (as determined by the Chairperson) shall not be considered. </w:t>
      </w:r>
      <w:r w:rsidRPr="009A0DA6">
        <w:rPr>
          <w:rFonts w:ascii="Cambria" w:hAnsi="Cambria" w:cs="Arial"/>
          <w:color w:val="000000" w:themeColor="text1"/>
          <w:sz w:val="22"/>
          <w:szCs w:val="22"/>
        </w:rPr>
        <w:t>Unless otherwise stipulated</w:t>
      </w:r>
      <w:r w:rsidRPr="009A0DA6">
        <w:rPr>
          <w:rFonts w:ascii="Cambria" w:hAnsi="Cambria" w:cs="Arial"/>
          <w:color w:val="000000" w:themeColor="text1"/>
          <w:sz w:val="22"/>
          <w:szCs w:val="22"/>
          <w:u w:val="single"/>
        </w:rPr>
        <w:t>,</w:t>
      </w:r>
      <w:r w:rsidRPr="009A0DA6">
        <w:rPr>
          <w:rFonts w:ascii="Cambria" w:hAnsi="Cambria" w:cs="Arial"/>
          <w:color w:val="000000" w:themeColor="text1"/>
          <w:sz w:val="22"/>
          <w:szCs w:val="22"/>
        </w:rPr>
        <w:t xml:space="preserve"> a </w:t>
      </w:r>
      <w:r w:rsidRPr="009A0DA6">
        <w:rPr>
          <w:rFonts w:ascii="Cambria" w:hAnsi="Cambria" w:cs="Arial"/>
          <w:color w:val="000000" w:themeColor="text1"/>
          <w:sz w:val="22"/>
          <w:szCs w:val="22"/>
          <w:u w:val="single"/>
        </w:rPr>
        <w:t>simple</w:t>
      </w:r>
      <w:r w:rsidRPr="009A0DA6">
        <w:rPr>
          <w:rFonts w:ascii="Cambria" w:hAnsi="Cambria" w:cs="Arial"/>
          <w:color w:val="000000" w:themeColor="text1"/>
          <w:sz w:val="22"/>
          <w:szCs w:val="22"/>
        </w:rPr>
        <w:t xml:space="preserve"> majority of </w:t>
      </w:r>
      <w:r w:rsidRPr="009A0DA6">
        <w:rPr>
          <w:rFonts w:ascii="Cambria" w:hAnsi="Cambria" w:cs="Arial"/>
          <w:strike/>
          <w:color w:val="000000" w:themeColor="text1"/>
          <w:sz w:val="22"/>
          <w:szCs w:val="22"/>
        </w:rPr>
        <w:t>those</w:t>
      </w:r>
      <w:r w:rsidRPr="009A0DA6">
        <w:rPr>
          <w:rFonts w:ascii="Cambria" w:hAnsi="Cambria" w:cs="Arial"/>
          <w:color w:val="000000" w:themeColor="text1"/>
          <w:sz w:val="22"/>
          <w:szCs w:val="22"/>
        </w:rPr>
        <w:t xml:space="preserve"> </w:t>
      </w:r>
      <w:r w:rsidRPr="009A0DA6">
        <w:rPr>
          <w:rFonts w:ascii="Cambria" w:hAnsi="Cambria" w:cs="Arial"/>
          <w:color w:val="000000" w:themeColor="text1"/>
          <w:sz w:val="22"/>
          <w:szCs w:val="22"/>
          <w:u w:val="single"/>
        </w:rPr>
        <w:t>registered</w:t>
      </w:r>
      <w:r w:rsidRPr="009A0DA6">
        <w:rPr>
          <w:rFonts w:ascii="Cambria" w:hAnsi="Cambria" w:cs="Arial"/>
          <w:color w:val="000000" w:themeColor="text1"/>
          <w:sz w:val="22"/>
          <w:szCs w:val="22"/>
        </w:rPr>
        <w:t xml:space="preserve"> delegates </w:t>
      </w:r>
      <w:r w:rsidRPr="009A0DA6">
        <w:rPr>
          <w:rFonts w:ascii="Cambria" w:hAnsi="Cambria" w:cs="Arial"/>
          <w:color w:val="000000" w:themeColor="text1"/>
          <w:sz w:val="22"/>
          <w:szCs w:val="22"/>
          <w:u w:val="single"/>
        </w:rPr>
        <w:t>present and</w:t>
      </w:r>
      <w:r w:rsidRPr="009A0DA6">
        <w:rPr>
          <w:rFonts w:ascii="Cambria" w:hAnsi="Cambria" w:cs="Arial"/>
          <w:color w:val="000000" w:themeColor="text1"/>
          <w:sz w:val="22"/>
          <w:szCs w:val="22"/>
        </w:rPr>
        <w:t xml:space="preserve"> voting shall decide the motion, and in the event of an equality of votes the Chairperson shall in addition to a deliberative vote have a casting vote, or refer the motion </w:t>
      </w:r>
      <w:r w:rsidRPr="009A0DA6">
        <w:rPr>
          <w:rFonts w:ascii="Cambria" w:hAnsi="Cambria"/>
          <w:color w:val="000000" w:themeColor="text1"/>
          <w:sz w:val="22"/>
          <w:szCs w:val="22"/>
        </w:rPr>
        <w:t>for</w:t>
      </w:r>
      <w:r w:rsidRPr="009A0DA6">
        <w:rPr>
          <w:rFonts w:ascii="Cambria" w:hAnsi="Cambria" w:cs="Arial"/>
          <w:color w:val="000000" w:themeColor="text1"/>
          <w:sz w:val="22"/>
          <w:szCs w:val="22"/>
        </w:rPr>
        <w:t xml:space="preserve"> further discussion.</w:t>
      </w:r>
    </w:p>
    <w:p w14:paraId="27D503E9" w14:textId="77777777" w:rsidR="00A13DD7" w:rsidRPr="009A0DA6" w:rsidRDefault="00A13DD7" w:rsidP="00A13DD7">
      <w:pPr>
        <w:pStyle w:val="List2"/>
        <w:spacing w:before="0" w:after="120"/>
        <w:ind w:left="851" w:hanging="851"/>
        <w:jc w:val="left"/>
        <w:rPr>
          <w:rFonts w:ascii="Cambria" w:hAnsi="Cambria"/>
          <w:color w:val="000000" w:themeColor="text1"/>
          <w:sz w:val="22"/>
          <w:szCs w:val="22"/>
        </w:rPr>
      </w:pPr>
      <w:r w:rsidRPr="009A0DA6">
        <w:rPr>
          <w:rFonts w:ascii="Cambria" w:hAnsi="Cambria"/>
          <w:color w:val="000000" w:themeColor="text1"/>
          <w:sz w:val="22"/>
          <w:szCs w:val="22"/>
        </w:rPr>
        <w:t>7.3.28.1</w:t>
      </w:r>
      <w:r w:rsidRPr="009A0DA6">
        <w:rPr>
          <w:rFonts w:ascii="Cambria" w:hAnsi="Cambria"/>
          <w:color w:val="000000" w:themeColor="text1"/>
          <w:sz w:val="22"/>
          <w:szCs w:val="22"/>
        </w:rPr>
        <w:tab/>
        <w:t xml:space="preserve">Matters of conscience and of doctrine shall have precedence over other matters and any rules relating to time limits and number of times a person may speak may be suspended by the ruling of the Chairperson or by a majority of </w:t>
      </w:r>
      <w:r w:rsidRPr="009A0DA6">
        <w:rPr>
          <w:rFonts w:ascii="Cambria" w:hAnsi="Cambria"/>
          <w:strike/>
          <w:color w:val="000000" w:themeColor="text1"/>
          <w:sz w:val="22"/>
          <w:szCs w:val="22"/>
        </w:rPr>
        <w:t>those</w:t>
      </w:r>
      <w:r w:rsidRPr="009A0DA6">
        <w:rPr>
          <w:rFonts w:ascii="Cambria" w:hAnsi="Cambria"/>
          <w:color w:val="000000" w:themeColor="text1"/>
          <w:sz w:val="22"/>
          <w:szCs w:val="22"/>
        </w:rPr>
        <w:t xml:space="preserve"> </w:t>
      </w:r>
      <w:r w:rsidRPr="009A0DA6">
        <w:rPr>
          <w:rFonts w:ascii="Cambria" w:hAnsi="Cambria"/>
          <w:color w:val="000000" w:themeColor="text1"/>
          <w:sz w:val="22"/>
          <w:szCs w:val="22"/>
          <w:u w:val="single"/>
        </w:rPr>
        <w:t>registered</w:t>
      </w:r>
      <w:r w:rsidRPr="009A0DA6">
        <w:rPr>
          <w:rFonts w:ascii="Cambria" w:hAnsi="Cambria"/>
          <w:color w:val="000000" w:themeColor="text1"/>
          <w:sz w:val="22"/>
          <w:szCs w:val="22"/>
        </w:rPr>
        <w:t xml:space="preserve"> delegates </w:t>
      </w:r>
      <w:r w:rsidRPr="009A0DA6">
        <w:rPr>
          <w:rFonts w:ascii="Cambria" w:hAnsi="Cambria"/>
          <w:color w:val="000000" w:themeColor="text1"/>
          <w:sz w:val="22"/>
          <w:szCs w:val="22"/>
          <w:u w:val="single"/>
        </w:rPr>
        <w:t>present and</w:t>
      </w:r>
      <w:r w:rsidRPr="009A0DA6">
        <w:rPr>
          <w:rFonts w:ascii="Cambria" w:hAnsi="Cambria"/>
          <w:color w:val="000000" w:themeColor="text1"/>
          <w:sz w:val="22"/>
          <w:szCs w:val="22"/>
        </w:rPr>
        <w:t xml:space="preserve"> voting.</w:t>
      </w:r>
    </w:p>
    <w:p w14:paraId="3203C3BC" w14:textId="77777777" w:rsidR="00A13DD7" w:rsidRPr="009A0DA6" w:rsidRDefault="00A13DD7" w:rsidP="00A13DD7">
      <w:pPr>
        <w:pStyle w:val="List2"/>
        <w:spacing w:before="0" w:after="120"/>
        <w:ind w:left="851" w:hanging="851"/>
        <w:jc w:val="left"/>
        <w:rPr>
          <w:rFonts w:ascii="Cambria" w:hAnsi="Cambria"/>
          <w:color w:val="000000" w:themeColor="text1"/>
          <w:sz w:val="22"/>
          <w:szCs w:val="22"/>
        </w:rPr>
      </w:pPr>
      <w:r w:rsidRPr="009A0DA6">
        <w:rPr>
          <w:rFonts w:ascii="Cambria" w:hAnsi="Cambria"/>
          <w:color w:val="000000" w:themeColor="text1"/>
          <w:sz w:val="22"/>
          <w:szCs w:val="22"/>
        </w:rPr>
        <w:t>7.3.28.3</w:t>
      </w:r>
      <w:r w:rsidRPr="009A0DA6">
        <w:rPr>
          <w:rFonts w:ascii="Cambria" w:hAnsi="Cambria"/>
          <w:color w:val="000000" w:themeColor="text1"/>
          <w:sz w:val="22"/>
          <w:szCs w:val="22"/>
        </w:rPr>
        <w:tab/>
        <w:t xml:space="preserve">For a resolution on a matter of doctrine to be deemed to be the official position of the Church it shall require a two-thirds majority of </w:t>
      </w:r>
      <w:r w:rsidRPr="009A0DA6">
        <w:rPr>
          <w:rFonts w:ascii="Cambria" w:hAnsi="Cambria"/>
          <w:strike/>
          <w:color w:val="000000" w:themeColor="text1"/>
          <w:sz w:val="22"/>
          <w:szCs w:val="22"/>
        </w:rPr>
        <w:t>all the</w:t>
      </w:r>
      <w:r w:rsidRPr="009A0DA6">
        <w:rPr>
          <w:rFonts w:ascii="Cambria" w:hAnsi="Cambria"/>
          <w:color w:val="000000" w:themeColor="text1"/>
          <w:sz w:val="22"/>
          <w:szCs w:val="22"/>
        </w:rPr>
        <w:t xml:space="preserve"> registered delegates </w:t>
      </w:r>
      <w:r w:rsidRPr="009A0DA6">
        <w:rPr>
          <w:rFonts w:ascii="Cambria" w:hAnsi="Cambria"/>
          <w:color w:val="000000" w:themeColor="text1"/>
          <w:sz w:val="22"/>
          <w:szCs w:val="22"/>
          <w:u w:val="single"/>
        </w:rPr>
        <w:t>present and voting</w:t>
      </w:r>
      <w:r w:rsidRPr="009A0DA6">
        <w:rPr>
          <w:rFonts w:ascii="Cambria" w:hAnsi="Cambria"/>
          <w:color w:val="000000" w:themeColor="text1"/>
          <w:sz w:val="22"/>
          <w:szCs w:val="22"/>
        </w:rPr>
        <w:t xml:space="preserve"> </w:t>
      </w:r>
      <w:r w:rsidRPr="009A0DA6">
        <w:rPr>
          <w:rFonts w:ascii="Cambria" w:hAnsi="Cambria"/>
          <w:strike/>
          <w:color w:val="000000" w:themeColor="text1"/>
          <w:sz w:val="22"/>
          <w:szCs w:val="22"/>
        </w:rPr>
        <w:t>at the convention</w:t>
      </w:r>
      <w:r w:rsidRPr="009A0DA6">
        <w:rPr>
          <w:rFonts w:ascii="Cambria" w:hAnsi="Cambria"/>
          <w:color w:val="000000" w:themeColor="text1"/>
          <w:sz w:val="22"/>
          <w:szCs w:val="22"/>
        </w:rPr>
        <w:t>.</w:t>
      </w:r>
    </w:p>
    <w:p w14:paraId="5578BEB7" w14:textId="77777777" w:rsidR="00A13DD7" w:rsidRPr="009A0DA6" w:rsidRDefault="00A13DD7" w:rsidP="00A13DD7">
      <w:pPr>
        <w:pStyle w:val="List2"/>
        <w:spacing w:before="0" w:after="120"/>
        <w:ind w:left="851" w:hanging="851"/>
        <w:jc w:val="left"/>
        <w:rPr>
          <w:rFonts w:ascii="Cambria" w:hAnsi="Cambria"/>
          <w:color w:val="000000" w:themeColor="text1"/>
          <w:sz w:val="22"/>
          <w:szCs w:val="22"/>
        </w:rPr>
      </w:pPr>
      <w:r w:rsidRPr="009A0DA6">
        <w:rPr>
          <w:rFonts w:ascii="Cambria" w:hAnsi="Cambria"/>
          <w:color w:val="000000" w:themeColor="text1"/>
          <w:sz w:val="22"/>
          <w:szCs w:val="22"/>
        </w:rPr>
        <w:t xml:space="preserve">7.3.29 </w:t>
      </w:r>
      <w:r w:rsidRPr="009A0DA6">
        <w:rPr>
          <w:rFonts w:ascii="Cambria" w:hAnsi="Cambria"/>
          <w:color w:val="000000" w:themeColor="text1"/>
          <w:sz w:val="22"/>
          <w:szCs w:val="22"/>
        </w:rPr>
        <w:tab/>
        <w:t xml:space="preserve">Any of the By-laws in Section 7.3 may, if the need arises, be suspended in respect to any business of the convention, by a two-thirds majority of </w:t>
      </w:r>
      <w:r w:rsidRPr="009A0DA6">
        <w:rPr>
          <w:rFonts w:ascii="Cambria" w:hAnsi="Cambria"/>
          <w:strike/>
          <w:color w:val="000000" w:themeColor="text1"/>
          <w:sz w:val="22"/>
          <w:szCs w:val="22"/>
        </w:rPr>
        <w:t>those</w:t>
      </w:r>
      <w:r w:rsidRPr="009A0DA6">
        <w:rPr>
          <w:rFonts w:ascii="Cambria" w:hAnsi="Cambria"/>
          <w:color w:val="000000" w:themeColor="text1"/>
          <w:sz w:val="22"/>
          <w:szCs w:val="22"/>
        </w:rPr>
        <w:t xml:space="preserve"> </w:t>
      </w:r>
      <w:r w:rsidRPr="009A0DA6">
        <w:rPr>
          <w:rFonts w:ascii="Cambria" w:hAnsi="Cambria"/>
          <w:color w:val="000000" w:themeColor="text1"/>
          <w:sz w:val="22"/>
          <w:szCs w:val="22"/>
          <w:u w:val="single"/>
        </w:rPr>
        <w:t>registered</w:t>
      </w:r>
      <w:r w:rsidRPr="009A0DA6">
        <w:rPr>
          <w:rFonts w:ascii="Cambria" w:hAnsi="Cambria"/>
          <w:color w:val="000000" w:themeColor="text1"/>
          <w:sz w:val="22"/>
          <w:szCs w:val="22"/>
        </w:rPr>
        <w:t xml:space="preserve"> delegates </w:t>
      </w:r>
      <w:r w:rsidRPr="009A0DA6">
        <w:rPr>
          <w:rFonts w:ascii="Cambria" w:hAnsi="Cambria"/>
          <w:color w:val="000000" w:themeColor="text1"/>
          <w:sz w:val="22"/>
          <w:szCs w:val="22"/>
          <w:u w:val="single"/>
        </w:rPr>
        <w:t>present and</w:t>
      </w:r>
      <w:r w:rsidRPr="009A0DA6">
        <w:rPr>
          <w:rFonts w:ascii="Cambria" w:hAnsi="Cambria"/>
          <w:color w:val="000000" w:themeColor="text1"/>
          <w:sz w:val="22"/>
          <w:szCs w:val="22"/>
        </w:rPr>
        <w:t xml:space="preserve"> voting.</w:t>
      </w:r>
    </w:p>
    <w:p w14:paraId="14394DE5" w14:textId="77777777" w:rsidR="00A13DD7" w:rsidRPr="009A0DA6" w:rsidRDefault="00A13DD7" w:rsidP="00A13DD7">
      <w:pPr>
        <w:pStyle w:val="BodyText2"/>
        <w:spacing w:after="120"/>
        <w:rPr>
          <w:rFonts w:ascii="Cambria" w:hAnsi="Cambria"/>
          <w:color w:val="000000" w:themeColor="text1"/>
          <w:szCs w:val="22"/>
        </w:rPr>
      </w:pPr>
      <w:r w:rsidRPr="009A0DA6">
        <w:rPr>
          <w:rFonts w:ascii="Cambria" w:hAnsi="Cambria"/>
          <w:color w:val="000000" w:themeColor="text1"/>
          <w:szCs w:val="22"/>
        </w:rPr>
        <w:t>Constitution of the Districts, Article 11 [</w:t>
      </w:r>
      <w:r w:rsidRPr="009A0DA6">
        <w:rPr>
          <w:rFonts w:ascii="Cambria" w:hAnsi="Cambria"/>
          <w:i/>
          <w:color w:val="000000" w:themeColor="text1"/>
          <w:szCs w:val="22"/>
        </w:rPr>
        <w:t>re</w:t>
      </w:r>
      <w:r w:rsidRPr="009A0DA6">
        <w:rPr>
          <w:rFonts w:ascii="Cambria" w:hAnsi="Cambria"/>
          <w:color w:val="000000" w:themeColor="text1"/>
          <w:szCs w:val="22"/>
        </w:rPr>
        <w:t xml:space="preserve"> dissolution]</w:t>
      </w:r>
    </w:p>
    <w:p w14:paraId="756E14BE" w14:textId="77777777" w:rsidR="00A13DD7" w:rsidRPr="009A0DA6" w:rsidRDefault="00A13DD7" w:rsidP="00A13DD7">
      <w:pPr>
        <w:pStyle w:val="List2"/>
        <w:spacing w:before="0" w:after="120"/>
        <w:ind w:left="851" w:hanging="851"/>
        <w:jc w:val="left"/>
        <w:rPr>
          <w:rFonts w:ascii="Cambria" w:hAnsi="Cambria"/>
          <w:color w:val="000000" w:themeColor="text1"/>
          <w:sz w:val="22"/>
          <w:szCs w:val="22"/>
        </w:rPr>
      </w:pPr>
      <w:r w:rsidRPr="009A0DA6">
        <w:rPr>
          <w:rFonts w:ascii="Cambria" w:hAnsi="Cambria"/>
          <w:color w:val="000000" w:themeColor="text1"/>
          <w:sz w:val="22"/>
          <w:szCs w:val="22"/>
        </w:rPr>
        <w:t xml:space="preserve">11.2.2.3 The motion must be presented at a duly constituted General Synod and shall require a </w:t>
      </w:r>
      <w:r w:rsidRPr="009A0DA6">
        <w:rPr>
          <w:rFonts w:ascii="Cambria" w:hAnsi="Cambria"/>
          <w:strike/>
          <w:color w:val="000000" w:themeColor="text1"/>
          <w:sz w:val="22"/>
          <w:szCs w:val="22"/>
        </w:rPr>
        <w:t>majority of three-quarters of all the</w:t>
      </w:r>
      <w:r w:rsidRPr="009A0DA6">
        <w:rPr>
          <w:rFonts w:ascii="Cambria" w:hAnsi="Cambria"/>
          <w:color w:val="000000" w:themeColor="text1"/>
          <w:sz w:val="22"/>
          <w:szCs w:val="22"/>
        </w:rPr>
        <w:t xml:space="preserve"> </w:t>
      </w:r>
      <w:r w:rsidRPr="009A0DA6">
        <w:rPr>
          <w:rFonts w:ascii="Cambria" w:hAnsi="Cambria"/>
          <w:color w:val="000000" w:themeColor="text1"/>
          <w:sz w:val="22"/>
          <w:szCs w:val="22"/>
          <w:u w:val="single"/>
        </w:rPr>
        <w:t>three-quarters majority of</w:t>
      </w:r>
      <w:r w:rsidRPr="009A0DA6">
        <w:rPr>
          <w:rFonts w:ascii="Cambria" w:hAnsi="Cambria"/>
          <w:color w:val="000000" w:themeColor="text1"/>
          <w:sz w:val="22"/>
          <w:szCs w:val="22"/>
        </w:rPr>
        <w:t xml:space="preserve"> registered delegates </w:t>
      </w:r>
      <w:r w:rsidRPr="009A0DA6">
        <w:rPr>
          <w:rFonts w:ascii="Cambria" w:hAnsi="Cambria"/>
          <w:color w:val="000000" w:themeColor="text1"/>
          <w:sz w:val="22"/>
          <w:szCs w:val="22"/>
          <w:u w:val="single"/>
        </w:rPr>
        <w:t>present and voting</w:t>
      </w:r>
      <w:r w:rsidRPr="009A0DA6">
        <w:rPr>
          <w:rFonts w:ascii="Cambria" w:hAnsi="Cambria"/>
          <w:color w:val="000000" w:themeColor="text1"/>
          <w:sz w:val="22"/>
          <w:szCs w:val="22"/>
        </w:rPr>
        <w:t xml:space="preserve"> </w:t>
      </w:r>
      <w:r w:rsidRPr="009A0DA6">
        <w:rPr>
          <w:rFonts w:ascii="Cambria" w:hAnsi="Cambria"/>
          <w:strike/>
          <w:color w:val="000000" w:themeColor="text1"/>
          <w:sz w:val="22"/>
          <w:szCs w:val="22"/>
        </w:rPr>
        <w:t>of the General Synod</w:t>
      </w:r>
      <w:r w:rsidRPr="009A0DA6">
        <w:rPr>
          <w:rFonts w:ascii="Cambria" w:hAnsi="Cambria"/>
          <w:color w:val="000000" w:themeColor="text1"/>
          <w:sz w:val="22"/>
          <w:szCs w:val="22"/>
        </w:rPr>
        <w:t>.</w:t>
      </w:r>
    </w:p>
    <w:p w14:paraId="1B1EB2F7" w14:textId="77777777" w:rsidR="00A13DD7" w:rsidRPr="009A0DA6" w:rsidRDefault="00A13DD7" w:rsidP="00A13DD7">
      <w:pPr>
        <w:pStyle w:val="List2"/>
        <w:spacing w:before="0" w:after="120"/>
        <w:ind w:left="709" w:hanging="709"/>
        <w:jc w:val="left"/>
        <w:rPr>
          <w:rFonts w:ascii="Cambria" w:hAnsi="Cambria"/>
          <w:color w:val="000000" w:themeColor="text1"/>
          <w:sz w:val="22"/>
          <w:szCs w:val="22"/>
        </w:rPr>
      </w:pPr>
      <w:r w:rsidRPr="009A0DA6">
        <w:rPr>
          <w:rFonts w:ascii="Cambria" w:hAnsi="Cambria"/>
          <w:color w:val="000000" w:themeColor="text1"/>
          <w:sz w:val="22"/>
          <w:szCs w:val="22"/>
        </w:rPr>
        <w:t xml:space="preserve">11.2.3.3 The motion must be presented at a duly constituted District Synod and shall require a </w:t>
      </w:r>
      <w:r w:rsidRPr="009A0DA6">
        <w:rPr>
          <w:rFonts w:ascii="Cambria" w:hAnsi="Cambria"/>
          <w:strike/>
          <w:color w:val="000000" w:themeColor="text1"/>
          <w:sz w:val="22"/>
          <w:szCs w:val="22"/>
        </w:rPr>
        <w:t>majority of three-quarters of all the</w:t>
      </w:r>
      <w:r w:rsidRPr="009A0DA6">
        <w:rPr>
          <w:rFonts w:ascii="Cambria" w:hAnsi="Cambria"/>
          <w:color w:val="000000" w:themeColor="text1"/>
          <w:sz w:val="22"/>
          <w:szCs w:val="22"/>
        </w:rPr>
        <w:t xml:space="preserve"> </w:t>
      </w:r>
      <w:r w:rsidRPr="009A0DA6">
        <w:rPr>
          <w:rFonts w:ascii="Cambria" w:hAnsi="Cambria"/>
          <w:color w:val="000000" w:themeColor="text1"/>
          <w:sz w:val="22"/>
          <w:szCs w:val="22"/>
          <w:u w:val="single"/>
        </w:rPr>
        <w:t>three-quarters majority of</w:t>
      </w:r>
      <w:r w:rsidRPr="009A0DA6">
        <w:rPr>
          <w:rFonts w:ascii="Cambria" w:hAnsi="Cambria"/>
          <w:color w:val="000000" w:themeColor="text1"/>
          <w:sz w:val="22"/>
          <w:szCs w:val="22"/>
        </w:rPr>
        <w:t xml:space="preserve"> registered delegates </w:t>
      </w:r>
      <w:r w:rsidRPr="009A0DA6">
        <w:rPr>
          <w:rFonts w:ascii="Cambria" w:hAnsi="Cambria"/>
          <w:color w:val="000000" w:themeColor="text1"/>
          <w:sz w:val="22"/>
          <w:szCs w:val="22"/>
          <w:u w:val="single"/>
        </w:rPr>
        <w:t>present and voting</w:t>
      </w:r>
      <w:r w:rsidRPr="009A0DA6">
        <w:rPr>
          <w:rFonts w:ascii="Cambria" w:hAnsi="Cambria"/>
          <w:color w:val="000000" w:themeColor="text1"/>
          <w:sz w:val="22"/>
          <w:szCs w:val="22"/>
        </w:rPr>
        <w:t xml:space="preserve"> </w:t>
      </w:r>
      <w:r w:rsidRPr="009A0DA6">
        <w:rPr>
          <w:rFonts w:ascii="Cambria" w:hAnsi="Cambria"/>
          <w:strike/>
          <w:color w:val="000000" w:themeColor="text1"/>
          <w:sz w:val="22"/>
          <w:szCs w:val="22"/>
        </w:rPr>
        <w:t>of the District Synod</w:t>
      </w:r>
      <w:r w:rsidRPr="009A0DA6">
        <w:rPr>
          <w:rFonts w:ascii="Cambria" w:hAnsi="Cambria"/>
          <w:color w:val="000000" w:themeColor="text1"/>
          <w:sz w:val="22"/>
          <w:szCs w:val="22"/>
        </w:rPr>
        <w:t>.</w:t>
      </w:r>
    </w:p>
    <w:p w14:paraId="03C45D9D" w14:textId="77777777" w:rsidR="00A13DD7" w:rsidRPr="009A0DA6" w:rsidRDefault="00A13DD7" w:rsidP="00A13DD7">
      <w:pPr>
        <w:pStyle w:val="List2"/>
        <w:spacing w:before="0" w:after="120"/>
        <w:ind w:left="709" w:hanging="709"/>
        <w:jc w:val="left"/>
        <w:rPr>
          <w:rFonts w:ascii="Cambria" w:hAnsi="Cambria"/>
          <w:color w:val="000000" w:themeColor="text1"/>
          <w:sz w:val="22"/>
          <w:szCs w:val="22"/>
        </w:rPr>
      </w:pPr>
      <w:r w:rsidRPr="009A0DA6">
        <w:rPr>
          <w:rFonts w:ascii="Cambria" w:hAnsi="Cambria"/>
          <w:color w:val="000000" w:themeColor="text1"/>
          <w:sz w:val="22"/>
          <w:szCs w:val="22"/>
        </w:rPr>
        <w:t xml:space="preserve">11.3.2.3 The motion must be presented at a duly constituted District Synod and shall require a </w:t>
      </w:r>
      <w:r w:rsidRPr="009A0DA6">
        <w:rPr>
          <w:rFonts w:ascii="Cambria" w:hAnsi="Cambria"/>
          <w:strike/>
          <w:color w:val="000000" w:themeColor="text1"/>
          <w:sz w:val="22"/>
          <w:szCs w:val="22"/>
        </w:rPr>
        <w:t>majority of three-quarters of all the</w:t>
      </w:r>
      <w:r w:rsidRPr="009A0DA6">
        <w:rPr>
          <w:rFonts w:ascii="Cambria" w:hAnsi="Cambria"/>
          <w:color w:val="000000" w:themeColor="text1"/>
          <w:sz w:val="22"/>
          <w:szCs w:val="22"/>
        </w:rPr>
        <w:t xml:space="preserve"> </w:t>
      </w:r>
      <w:r w:rsidRPr="009A0DA6">
        <w:rPr>
          <w:rFonts w:ascii="Cambria" w:hAnsi="Cambria"/>
          <w:color w:val="000000" w:themeColor="text1"/>
          <w:sz w:val="22"/>
          <w:szCs w:val="22"/>
          <w:u w:val="single"/>
        </w:rPr>
        <w:t>three-quarters majority of</w:t>
      </w:r>
      <w:r w:rsidRPr="009A0DA6">
        <w:rPr>
          <w:rFonts w:ascii="Cambria" w:hAnsi="Cambria"/>
          <w:color w:val="000000" w:themeColor="text1"/>
          <w:sz w:val="22"/>
          <w:szCs w:val="22"/>
        </w:rPr>
        <w:t xml:space="preserve"> registered delegates </w:t>
      </w:r>
      <w:r w:rsidRPr="009A0DA6">
        <w:rPr>
          <w:rFonts w:ascii="Cambria" w:hAnsi="Cambria"/>
          <w:color w:val="000000" w:themeColor="text1"/>
          <w:sz w:val="22"/>
          <w:szCs w:val="22"/>
          <w:u w:val="single"/>
        </w:rPr>
        <w:t>present and voting</w:t>
      </w:r>
      <w:r w:rsidRPr="009A0DA6">
        <w:rPr>
          <w:rFonts w:ascii="Cambria" w:hAnsi="Cambria"/>
          <w:color w:val="000000" w:themeColor="text1"/>
          <w:sz w:val="22"/>
          <w:szCs w:val="22"/>
        </w:rPr>
        <w:t xml:space="preserve"> </w:t>
      </w:r>
      <w:r w:rsidRPr="009A0DA6">
        <w:rPr>
          <w:rFonts w:ascii="Cambria" w:hAnsi="Cambria"/>
          <w:strike/>
          <w:color w:val="000000" w:themeColor="text1"/>
          <w:sz w:val="22"/>
          <w:szCs w:val="22"/>
        </w:rPr>
        <w:t>of the District Synod</w:t>
      </w:r>
      <w:r w:rsidRPr="009A0DA6">
        <w:rPr>
          <w:rFonts w:ascii="Cambria" w:hAnsi="Cambria"/>
          <w:color w:val="000000" w:themeColor="text1"/>
          <w:sz w:val="22"/>
          <w:szCs w:val="22"/>
        </w:rPr>
        <w:t>.</w:t>
      </w:r>
    </w:p>
    <w:p w14:paraId="1F480623" w14:textId="77777777" w:rsidR="00A13DD7" w:rsidRPr="009A0DA6" w:rsidRDefault="00A13DD7" w:rsidP="00A13DD7">
      <w:pPr>
        <w:pStyle w:val="BodyText2"/>
        <w:spacing w:after="120"/>
        <w:rPr>
          <w:rFonts w:ascii="Cambria" w:hAnsi="Cambria"/>
          <w:color w:val="000000" w:themeColor="text1"/>
          <w:szCs w:val="22"/>
        </w:rPr>
      </w:pPr>
      <w:r w:rsidRPr="009A0DA6">
        <w:rPr>
          <w:rFonts w:ascii="Cambria" w:hAnsi="Cambria"/>
          <w:color w:val="000000" w:themeColor="text1"/>
          <w:szCs w:val="22"/>
        </w:rPr>
        <w:t>Constitution of the Districts, Article 13 [</w:t>
      </w:r>
      <w:r w:rsidRPr="009A0DA6">
        <w:rPr>
          <w:rFonts w:ascii="Cambria" w:hAnsi="Cambria"/>
          <w:i/>
          <w:color w:val="000000" w:themeColor="text1"/>
          <w:szCs w:val="22"/>
        </w:rPr>
        <w:t>re</w:t>
      </w:r>
      <w:r w:rsidRPr="009A0DA6">
        <w:rPr>
          <w:rFonts w:ascii="Cambria" w:hAnsi="Cambria"/>
          <w:color w:val="000000" w:themeColor="text1"/>
          <w:szCs w:val="22"/>
        </w:rPr>
        <w:t xml:space="preserve"> alterations to the constitution]</w:t>
      </w:r>
    </w:p>
    <w:p w14:paraId="292025BD" w14:textId="77777777" w:rsidR="00A13DD7" w:rsidRPr="009A0DA6" w:rsidRDefault="00A13DD7" w:rsidP="00A13DD7">
      <w:pPr>
        <w:pStyle w:val="List2"/>
        <w:spacing w:before="0" w:after="120"/>
        <w:ind w:left="709" w:hanging="709"/>
        <w:jc w:val="left"/>
        <w:rPr>
          <w:rFonts w:ascii="Cambria" w:hAnsi="Cambria"/>
          <w:color w:val="000000" w:themeColor="text1"/>
          <w:sz w:val="22"/>
          <w:szCs w:val="22"/>
        </w:rPr>
      </w:pPr>
      <w:r w:rsidRPr="009A0DA6">
        <w:rPr>
          <w:rFonts w:ascii="Cambria" w:hAnsi="Cambria"/>
          <w:color w:val="000000" w:themeColor="text1"/>
          <w:sz w:val="22"/>
          <w:szCs w:val="22"/>
        </w:rPr>
        <w:t xml:space="preserve">13.2 </w:t>
      </w:r>
      <w:r w:rsidRPr="009A0DA6">
        <w:rPr>
          <w:rFonts w:ascii="Cambria" w:hAnsi="Cambria"/>
          <w:color w:val="000000" w:themeColor="text1"/>
          <w:sz w:val="22"/>
          <w:szCs w:val="22"/>
        </w:rPr>
        <w:tab/>
        <w:t>Notice of any motion to amend, alter, add to or repeal any of the rules shall be given on the agenda of the convention</w:t>
      </w:r>
      <w:r w:rsidRPr="009A0DA6">
        <w:rPr>
          <w:rFonts w:ascii="Cambria" w:hAnsi="Cambria"/>
          <w:strike/>
          <w:color w:val="000000" w:themeColor="text1"/>
          <w:sz w:val="22"/>
          <w:szCs w:val="22"/>
        </w:rPr>
        <w:t>,</w:t>
      </w:r>
      <w:r w:rsidRPr="009A0DA6">
        <w:rPr>
          <w:rFonts w:ascii="Cambria" w:hAnsi="Cambria"/>
          <w:color w:val="000000" w:themeColor="text1"/>
          <w:sz w:val="22"/>
          <w:szCs w:val="22"/>
          <w:u w:val="single"/>
        </w:rPr>
        <w:t xml:space="preserve">. </w:t>
      </w:r>
      <w:r w:rsidRPr="009A0DA6">
        <w:rPr>
          <w:rFonts w:ascii="Cambria" w:hAnsi="Cambria"/>
          <w:strike/>
          <w:color w:val="000000" w:themeColor="text1"/>
          <w:sz w:val="22"/>
          <w:szCs w:val="22"/>
        </w:rPr>
        <w:t>and</w:t>
      </w:r>
      <w:r w:rsidRPr="009A0DA6">
        <w:rPr>
          <w:rFonts w:ascii="Cambria" w:hAnsi="Cambria"/>
          <w:color w:val="000000" w:themeColor="text1"/>
          <w:sz w:val="22"/>
          <w:szCs w:val="22"/>
        </w:rPr>
        <w:t xml:space="preserve"> Any such motion </w:t>
      </w:r>
      <w:r w:rsidRPr="009A0DA6">
        <w:rPr>
          <w:rFonts w:ascii="Cambria" w:hAnsi="Cambria"/>
          <w:strike/>
          <w:color w:val="000000" w:themeColor="text1"/>
          <w:sz w:val="22"/>
          <w:szCs w:val="22"/>
        </w:rPr>
        <w:t>shall require a two-thirds majority of all the registered delegates at the convention, unless the motion relates to an amendment, alteration, addition or repeal</w:t>
      </w:r>
      <w:r w:rsidRPr="009A0DA6">
        <w:rPr>
          <w:rFonts w:ascii="Cambria" w:hAnsi="Cambria"/>
          <w:color w:val="000000" w:themeColor="text1"/>
          <w:sz w:val="22"/>
          <w:szCs w:val="22"/>
        </w:rPr>
        <w:t xml:space="preserve"> already approved or recommended by General Synod or General Church Council of the Church</w:t>
      </w:r>
      <w:r w:rsidRPr="009A0DA6">
        <w:rPr>
          <w:rFonts w:ascii="Cambria" w:hAnsi="Cambria"/>
          <w:strike/>
          <w:color w:val="000000" w:themeColor="text1"/>
          <w:sz w:val="22"/>
          <w:szCs w:val="22"/>
        </w:rPr>
        <w:t>, in which case the motion</w:t>
      </w:r>
      <w:r w:rsidRPr="009A0DA6">
        <w:rPr>
          <w:rFonts w:ascii="Cambria" w:hAnsi="Cambria"/>
          <w:color w:val="000000" w:themeColor="text1"/>
          <w:sz w:val="22"/>
          <w:szCs w:val="22"/>
        </w:rPr>
        <w:t xml:space="preserve"> shall require a </w:t>
      </w:r>
      <w:r w:rsidRPr="009A0DA6">
        <w:rPr>
          <w:rFonts w:ascii="Cambria" w:hAnsi="Cambria"/>
          <w:color w:val="000000" w:themeColor="text1"/>
          <w:sz w:val="22"/>
          <w:szCs w:val="22"/>
          <w:u w:val="single"/>
        </w:rPr>
        <w:t>simple</w:t>
      </w:r>
      <w:r w:rsidRPr="009A0DA6">
        <w:rPr>
          <w:rFonts w:ascii="Cambria" w:hAnsi="Cambria"/>
          <w:color w:val="000000" w:themeColor="text1"/>
          <w:sz w:val="22"/>
          <w:szCs w:val="22"/>
        </w:rPr>
        <w:t xml:space="preserve"> majority of </w:t>
      </w:r>
      <w:r w:rsidRPr="009A0DA6">
        <w:rPr>
          <w:rFonts w:ascii="Cambria" w:hAnsi="Cambria"/>
          <w:strike/>
          <w:color w:val="000000" w:themeColor="text1"/>
          <w:sz w:val="22"/>
          <w:szCs w:val="22"/>
        </w:rPr>
        <w:t>those</w:t>
      </w:r>
      <w:r w:rsidRPr="009A0DA6">
        <w:rPr>
          <w:rFonts w:ascii="Cambria" w:hAnsi="Cambria"/>
          <w:color w:val="000000" w:themeColor="text1"/>
          <w:sz w:val="22"/>
          <w:szCs w:val="22"/>
        </w:rPr>
        <w:t xml:space="preserve"> </w:t>
      </w:r>
      <w:r w:rsidRPr="009A0DA6">
        <w:rPr>
          <w:rFonts w:ascii="Cambria" w:hAnsi="Cambria"/>
          <w:color w:val="000000" w:themeColor="text1"/>
          <w:sz w:val="22"/>
          <w:szCs w:val="22"/>
          <w:u w:val="single"/>
        </w:rPr>
        <w:t>registered</w:t>
      </w:r>
      <w:r w:rsidRPr="009A0DA6">
        <w:rPr>
          <w:rFonts w:ascii="Cambria" w:hAnsi="Cambria"/>
          <w:color w:val="000000" w:themeColor="text1"/>
          <w:sz w:val="22"/>
          <w:szCs w:val="22"/>
        </w:rPr>
        <w:t xml:space="preserve"> delegates </w:t>
      </w:r>
      <w:r w:rsidRPr="009A0DA6">
        <w:rPr>
          <w:rFonts w:ascii="Cambria" w:hAnsi="Cambria"/>
          <w:color w:val="000000" w:themeColor="text1"/>
          <w:sz w:val="22"/>
          <w:szCs w:val="22"/>
          <w:u w:val="single"/>
        </w:rPr>
        <w:t>present and</w:t>
      </w:r>
      <w:r w:rsidRPr="009A0DA6">
        <w:rPr>
          <w:rFonts w:ascii="Cambria" w:hAnsi="Cambria"/>
          <w:color w:val="000000" w:themeColor="text1"/>
          <w:sz w:val="22"/>
          <w:szCs w:val="22"/>
        </w:rPr>
        <w:t xml:space="preserve"> voting. Any such motion not already so approved or recommended shall require a two-thirds majority of registered delegates present and voting.</w:t>
      </w:r>
    </w:p>
    <w:p w14:paraId="51547FE7" w14:textId="77777777" w:rsidR="00A13DD7" w:rsidRPr="009A0DA6" w:rsidRDefault="00A13DD7" w:rsidP="00A13DD7">
      <w:pPr>
        <w:pStyle w:val="BodyText2"/>
        <w:spacing w:after="120"/>
        <w:rPr>
          <w:rFonts w:ascii="Cambria" w:hAnsi="Cambria"/>
          <w:color w:val="000000" w:themeColor="text1"/>
          <w:szCs w:val="22"/>
        </w:rPr>
      </w:pPr>
      <w:r w:rsidRPr="009A0DA6">
        <w:rPr>
          <w:rFonts w:ascii="Cambria" w:hAnsi="Cambria"/>
          <w:color w:val="000000" w:themeColor="text1"/>
          <w:szCs w:val="22"/>
        </w:rPr>
        <w:t>By-laws Part A of the Districts, Section 7.3 [</w:t>
      </w:r>
      <w:r w:rsidRPr="009A0DA6">
        <w:rPr>
          <w:rFonts w:ascii="Cambria" w:hAnsi="Cambria"/>
          <w:i/>
          <w:color w:val="000000" w:themeColor="text1"/>
          <w:szCs w:val="22"/>
        </w:rPr>
        <w:t>re</w:t>
      </w:r>
      <w:r w:rsidRPr="009A0DA6">
        <w:rPr>
          <w:rFonts w:ascii="Cambria" w:hAnsi="Cambria"/>
          <w:color w:val="000000" w:themeColor="text1"/>
          <w:szCs w:val="22"/>
        </w:rPr>
        <w:t xml:space="preserve"> transacting business at District Synod]</w:t>
      </w:r>
    </w:p>
    <w:p w14:paraId="31BB9C42" w14:textId="77777777" w:rsidR="00A13DD7" w:rsidRPr="009A0DA6" w:rsidRDefault="00A13DD7" w:rsidP="00A13DD7">
      <w:pPr>
        <w:pStyle w:val="List2"/>
        <w:spacing w:before="0" w:after="120"/>
        <w:ind w:left="709" w:hanging="709"/>
        <w:jc w:val="left"/>
        <w:rPr>
          <w:rFonts w:ascii="Cambria" w:hAnsi="Cambria" w:cs="Arial"/>
          <w:color w:val="000000" w:themeColor="text1"/>
          <w:sz w:val="22"/>
          <w:szCs w:val="22"/>
        </w:rPr>
      </w:pPr>
      <w:r w:rsidRPr="009A0DA6">
        <w:rPr>
          <w:rFonts w:ascii="Cambria" w:hAnsi="Cambria" w:cs="Arial"/>
          <w:color w:val="000000" w:themeColor="text1"/>
          <w:sz w:val="22"/>
          <w:szCs w:val="22"/>
        </w:rPr>
        <w:t>7.3.26.2 Unless otherwise stipulated</w:t>
      </w:r>
      <w:r w:rsidRPr="009A0DA6">
        <w:rPr>
          <w:rFonts w:ascii="Cambria" w:hAnsi="Cambria" w:cs="Arial"/>
          <w:color w:val="000000" w:themeColor="text1"/>
          <w:sz w:val="22"/>
          <w:szCs w:val="22"/>
          <w:u w:val="single"/>
        </w:rPr>
        <w:t>,</w:t>
      </w:r>
      <w:r w:rsidRPr="009A0DA6">
        <w:rPr>
          <w:rFonts w:ascii="Cambria" w:hAnsi="Cambria" w:cs="Arial"/>
          <w:color w:val="000000" w:themeColor="text1"/>
          <w:sz w:val="22"/>
          <w:szCs w:val="22"/>
        </w:rPr>
        <w:t xml:space="preserve"> a </w:t>
      </w:r>
      <w:r w:rsidRPr="009A0DA6">
        <w:rPr>
          <w:rFonts w:ascii="Cambria" w:hAnsi="Cambria" w:cs="Arial"/>
          <w:color w:val="000000" w:themeColor="text1"/>
          <w:sz w:val="22"/>
          <w:szCs w:val="22"/>
          <w:u w:val="single"/>
        </w:rPr>
        <w:t>simple</w:t>
      </w:r>
      <w:r w:rsidRPr="009A0DA6">
        <w:rPr>
          <w:rFonts w:ascii="Cambria" w:hAnsi="Cambria" w:cs="Arial"/>
          <w:color w:val="000000" w:themeColor="text1"/>
          <w:sz w:val="22"/>
          <w:szCs w:val="22"/>
        </w:rPr>
        <w:t xml:space="preserve"> majority of </w:t>
      </w:r>
      <w:r w:rsidRPr="009A0DA6">
        <w:rPr>
          <w:rFonts w:ascii="Cambria" w:hAnsi="Cambria" w:cs="Arial"/>
          <w:strike/>
          <w:color w:val="000000" w:themeColor="text1"/>
          <w:sz w:val="22"/>
          <w:szCs w:val="22"/>
        </w:rPr>
        <w:t>those</w:t>
      </w:r>
      <w:r w:rsidRPr="009A0DA6">
        <w:rPr>
          <w:rFonts w:ascii="Cambria" w:hAnsi="Cambria" w:cs="Arial"/>
          <w:color w:val="000000" w:themeColor="text1"/>
          <w:sz w:val="22"/>
          <w:szCs w:val="22"/>
        </w:rPr>
        <w:t xml:space="preserve"> </w:t>
      </w:r>
      <w:r w:rsidRPr="009A0DA6">
        <w:rPr>
          <w:rFonts w:ascii="Cambria" w:hAnsi="Cambria" w:cs="Arial"/>
          <w:color w:val="000000" w:themeColor="text1"/>
          <w:sz w:val="22"/>
          <w:szCs w:val="22"/>
          <w:u w:val="single"/>
        </w:rPr>
        <w:t>registered</w:t>
      </w:r>
      <w:r w:rsidRPr="009A0DA6">
        <w:rPr>
          <w:rFonts w:ascii="Cambria" w:hAnsi="Cambria" w:cs="Arial"/>
          <w:color w:val="000000" w:themeColor="text1"/>
          <w:sz w:val="22"/>
          <w:szCs w:val="22"/>
        </w:rPr>
        <w:t xml:space="preserve"> delegates </w:t>
      </w:r>
      <w:r w:rsidRPr="009A0DA6">
        <w:rPr>
          <w:rFonts w:ascii="Cambria" w:hAnsi="Cambria" w:cs="Arial"/>
          <w:color w:val="000000" w:themeColor="text1"/>
          <w:sz w:val="22"/>
          <w:szCs w:val="22"/>
          <w:u w:val="single"/>
        </w:rPr>
        <w:t>present and</w:t>
      </w:r>
      <w:r w:rsidRPr="009A0DA6">
        <w:rPr>
          <w:rFonts w:ascii="Cambria" w:hAnsi="Cambria" w:cs="Arial"/>
          <w:color w:val="000000" w:themeColor="text1"/>
          <w:sz w:val="22"/>
          <w:szCs w:val="22"/>
        </w:rPr>
        <w:t xml:space="preserve"> voting shall decide the motion, and in the event of an equality of votes the Chairperson shall in addition to a deliberative vote have a casting vote, or refer the motion </w:t>
      </w:r>
      <w:r w:rsidRPr="009A0DA6">
        <w:rPr>
          <w:rFonts w:ascii="Cambria" w:hAnsi="Cambria"/>
          <w:color w:val="000000" w:themeColor="text1"/>
          <w:sz w:val="22"/>
          <w:szCs w:val="22"/>
        </w:rPr>
        <w:t>for</w:t>
      </w:r>
      <w:r w:rsidRPr="009A0DA6">
        <w:rPr>
          <w:rFonts w:ascii="Cambria" w:hAnsi="Cambria" w:cs="Arial"/>
          <w:color w:val="000000" w:themeColor="text1"/>
          <w:sz w:val="22"/>
          <w:szCs w:val="22"/>
        </w:rPr>
        <w:t xml:space="preserve"> further discussion.</w:t>
      </w:r>
    </w:p>
    <w:p w14:paraId="05665391" w14:textId="32264DC3" w:rsidR="00A13DD7" w:rsidRDefault="00A13DD7" w:rsidP="00A13DD7">
      <w:pPr>
        <w:pStyle w:val="List2"/>
        <w:spacing w:before="0" w:after="120"/>
        <w:ind w:left="709" w:hanging="709"/>
        <w:jc w:val="left"/>
        <w:rPr>
          <w:rFonts w:ascii="Cambria" w:hAnsi="Cambria"/>
          <w:color w:val="000000" w:themeColor="text1"/>
          <w:sz w:val="22"/>
          <w:szCs w:val="22"/>
        </w:rPr>
      </w:pPr>
      <w:r w:rsidRPr="009A0DA6">
        <w:rPr>
          <w:rFonts w:ascii="Cambria" w:hAnsi="Cambria"/>
          <w:color w:val="000000" w:themeColor="text1"/>
          <w:sz w:val="22"/>
          <w:szCs w:val="22"/>
        </w:rPr>
        <w:t xml:space="preserve">7.3.29 </w:t>
      </w:r>
      <w:r w:rsidRPr="009A0DA6">
        <w:rPr>
          <w:rFonts w:ascii="Cambria" w:hAnsi="Cambria"/>
          <w:color w:val="000000" w:themeColor="text1"/>
          <w:sz w:val="22"/>
          <w:szCs w:val="22"/>
        </w:rPr>
        <w:tab/>
        <w:t xml:space="preserve">Any of the By-laws in Section 7.3 may, if the need arises, be suspended in respect to any business of the convention, by a two-thirds majority of </w:t>
      </w:r>
      <w:r w:rsidRPr="009A0DA6">
        <w:rPr>
          <w:rFonts w:ascii="Cambria" w:hAnsi="Cambria"/>
          <w:strike/>
          <w:color w:val="000000" w:themeColor="text1"/>
          <w:sz w:val="22"/>
          <w:szCs w:val="22"/>
        </w:rPr>
        <w:t>those</w:t>
      </w:r>
      <w:r w:rsidRPr="009A0DA6">
        <w:rPr>
          <w:rFonts w:ascii="Cambria" w:hAnsi="Cambria"/>
          <w:color w:val="000000" w:themeColor="text1"/>
          <w:sz w:val="22"/>
          <w:szCs w:val="22"/>
        </w:rPr>
        <w:t xml:space="preserve"> </w:t>
      </w:r>
      <w:r w:rsidRPr="009A0DA6">
        <w:rPr>
          <w:rFonts w:ascii="Cambria" w:hAnsi="Cambria"/>
          <w:color w:val="000000" w:themeColor="text1"/>
          <w:sz w:val="22"/>
          <w:szCs w:val="22"/>
          <w:u w:val="single"/>
        </w:rPr>
        <w:t>registered</w:t>
      </w:r>
      <w:r w:rsidRPr="009A0DA6">
        <w:rPr>
          <w:rFonts w:ascii="Cambria" w:hAnsi="Cambria"/>
          <w:color w:val="000000" w:themeColor="text1"/>
          <w:sz w:val="22"/>
          <w:szCs w:val="22"/>
        </w:rPr>
        <w:t xml:space="preserve"> delegates </w:t>
      </w:r>
      <w:r w:rsidRPr="009A0DA6">
        <w:rPr>
          <w:rFonts w:ascii="Cambria" w:hAnsi="Cambria"/>
          <w:color w:val="000000" w:themeColor="text1"/>
          <w:sz w:val="22"/>
          <w:szCs w:val="22"/>
          <w:u w:val="single"/>
        </w:rPr>
        <w:t>present and</w:t>
      </w:r>
      <w:r w:rsidRPr="009A0DA6">
        <w:rPr>
          <w:rFonts w:ascii="Cambria" w:hAnsi="Cambria"/>
          <w:color w:val="000000" w:themeColor="text1"/>
          <w:sz w:val="22"/>
          <w:szCs w:val="22"/>
        </w:rPr>
        <w:t xml:space="preserve"> voting.</w:t>
      </w:r>
    </w:p>
    <w:p w14:paraId="028210A1" w14:textId="77777777" w:rsidR="00D07614" w:rsidRPr="009A0DA6" w:rsidRDefault="00D07614" w:rsidP="00A13DD7">
      <w:pPr>
        <w:pStyle w:val="List2"/>
        <w:spacing w:before="0" w:after="120"/>
        <w:ind w:left="709" w:hanging="709"/>
        <w:jc w:val="left"/>
        <w:rPr>
          <w:rFonts w:ascii="Cambria" w:hAnsi="Cambria"/>
          <w:color w:val="000000" w:themeColor="text1"/>
          <w:sz w:val="22"/>
          <w:szCs w:val="22"/>
        </w:rPr>
      </w:pPr>
    </w:p>
    <w:p w14:paraId="41A08F02" w14:textId="7A73E04C" w:rsidR="00A13DD7" w:rsidRPr="009A0DA6" w:rsidRDefault="00A13DD7" w:rsidP="00A13DD7">
      <w:pPr>
        <w:pStyle w:val="BodyText2"/>
        <w:spacing w:after="120"/>
        <w:rPr>
          <w:rFonts w:ascii="Cambria" w:hAnsi="Cambria"/>
          <w:color w:val="000000" w:themeColor="text1"/>
          <w:sz w:val="16"/>
          <w:szCs w:val="22"/>
        </w:rPr>
      </w:pPr>
      <w:r w:rsidRPr="009A0DA6">
        <w:rPr>
          <w:rFonts w:ascii="Cambria" w:hAnsi="Cambria"/>
          <w:b/>
          <w:color w:val="000000" w:themeColor="text1"/>
          <w:szCs w:val="22"/>
        </w:rPr>
        <w:t>BE IT FURTHER RESOLVED</w:t>
      </w:r>
      <w:r w:rsidRPr="009A0DA6">
        <w:rPr>
          <w:rFonts w:ascii="Cambria" w:hAnsi="Cambria"/>
          <w:color w:val="000000" w:themeColor="text1"/>
          <w:szCs w:val="22"/>
        </w:rPr>
        <w:t xml:space="preserve"> that these amendments become effective immediately upon the carrying of this motion.</w:t>
      </w:r>
      <w:r w:rsidR="00CE5065" w:rsidRPr="009A0DA6">
        <w:rPr>
          <w:rFonts w:ascii="Cambria" w:hAnsi="Cambria"/>
          <w:color w:val="000000" w:themeColor="text1"/>
          <w:szCs w:val="22"/>
        </w:rPr>
        <w:br/>
      </w:r>
    </w:p>
    <w:p w14:paraId="479B1572" w14:textId="77777777" w:rsidR="00A13DD7" w:rsidRPr="009A0DA6" w:rsidRDefault="00A13DD7" w:rsidP="004A186C">
      <w:pPr>
        <w:pStyle w:val="Heading3"/>
        <w:spacing w:after="0"/>
      </w:pPr>
      <w:r w:rsidRPr="009A0DA6">
        <w:lastRenderedPageBreak/>
        <w:t>REASONS FOR THE MOTION</w:t>
      </w:r>
    </w:p>
    <w:p w14:paraId="23928876" w14:textId="18D9F3AA" w:rsidR="00A13DD7" w:rsidRPr="004A186C" w:rsidRDefault="00A13DD7" w:rsidP="004A186C">
      <w:pPr>
        <w:pStyle w:val="ListBullet"/>
        <w:numPr>
          <w:ilvl w:val="0"/>
          <w:numId w:val="137"/>
        </w:numPr>
        <w:tabs>
          <w:tab w:val="clear" w:pos="851"/>
          <w:tab w:val="left" w:pos="567"/>
        </w:tabs>
        <w:spacing w:after="0" w:line="240" w:lineRule="auto"/>
        <w:ind w:left="567" w:hanging="595"/>
        <w:contextualSpacing w:val="0"/>
        <w:rPr>
          <w:rFonts w:ascii="Cambria" w:hAnsi="Cambria"/>
          <w:color w:val="000000" w:themeColor="text1"/>
          <w:sz w:val="12"/>
        </w:rPr>
      </w:pPr>
      <w:r w:rsidRPr="009A0DA6">
        <w:rPr>
          <w:rFonts w:ascii="Cambria" w:hAnsi="Cambria"/>
          <w:color w:val="000000" w:themeColor="text1"/>
        </w:rPr>
        <w:t>The proposed changes are intended to make the voting scheme more reflective of the will of the synod, particularly in the special circumstances of doctrinal matters and dissolution.</w:t>
      </w:r>
      <w:r w:rsidR="004A186C">
        <w:rPr>
          <w:rFonts w:ascii="Cambria" w:hAnsi="Cambria"/>
          <w:color w:val="000000" w:themeColor="text1"/>
        </w:rPr>
        <w:br/>
      </w:r>
    </w:p>
    <w:p w14:paraId="4789ECBC" w14:textId="77777777" w:rsidR="00A13DD7" w:rsidRPr="009A0DA6" w:rsidRDefault="00A13DD7" w:rsidP="004A186C">
      <w:pPr>
        <w:pStyle w:val="BodyText"/>
        <w:spacing w:after="0" w:line="240" w:lineRule="auto"/>
        <w:ind w:left="-28"/>
        <w:rPr>
          <w:rFonts w:ascii="Cambria" w:hAnsi="Cambria"/>
          <w:b/>
          <w:color w:val="000000" w:themeColor="text1"/>
        </w:rPr>
      </w:pPr>
      <w:r w:rsidRPr="009A0DA6">
        <w:rPr>
          <w:rFonts w:ascii="Cambria" w:hAnsi="Cambria"/>
          <w:b/>
          <w:color w:val="000000" w:themeColor="text1"/>
        </w:rPr>
        <w:t xml:space="preserve">Defining </w:t>
      </w:r>
      <w:r w:rsidRPr="009A0DA6">
        <w:rPr>
          <w:rFonts w:ascii="Cambria" w:hAnsi="Cambria"/>
          <w:b/>
          <w:i/>
          <w:color w:val="000000" w:themeColor="text1"/>
        </w:rPr>
        <w:t>“registered delegates”</w:t>
      </w:r>
    </w:p>
    <w:p w14:paraId="114BC848" w14:textId="7C65840A" w:rsidR="00A13DD7" w:rsidRPr="004A186C" w:rsidRDefault="00A13DD7" w:rsidP="004A186C">
      <w:pPr>
        <w:pStyle w:val="ListBullet"/>
        <w:numPr>
          <w:ilvl w:val="0"/>
          <w:numId w:val="137"/>
        </w:numPr>
        <w:tabs>
          <w:tab w:val="clear" w:pos="851"/>
          <w:tab w:val="left" w:pos="567"/>
        </w:tabs>
        <w:spacing w:after="0" w:line="240" w:lineRule="auto"/>
        <w:ind w:left="567" w:hanging="595"/>
        <w:contextualSpacing w:val="0"/>
        <w:rPr>
          <w:rFonts w:ascii="Cambria" w:hAnsi="Cambria"/>
          <w:color w:val="000000" w:themeColor="text1"/>
          <w:sz w:val="10"/>
          <w:szCs w:val="10"/>
        </w:rPr>
      </w:pPr>
      <w:r w:rsidRPr="009A0DA6">
        <w:rPr>
          <w:rFonts w:ascii="Cambria" w:hAnsi="Cambria"/>
          <w:color w:val="000000" w:themeColor="text1"/>
        </w:rPr>
        <w:t xml:space="preserve">In respect of voting matters, the current constitution uses several different phrases when referring to delegate roll:  </w:t>
      </w:r>
      <w:r w:rsidRPr="009A0DA6">
        <w:rPr>
          <w:rFonts w:ascii="Cambria" w:hAnsi="Cambria"/>
          <w:i/>
          <w:color w:val="000000" w:themeColor="text1"/>
        </w:rPr>
        <w:t>“the maximum number of persons entitled to vote”</w:t>
      </w:r>
      <w:r w:rsidRPr="009A0DA6">
        <w:rPr>
          <w:rFonts w:ascii="Cambria" w:hAnsi="Cambria"/>
          <w:color w:val="000000" w:themeColor="text1"/>
        </w:rPr>
        <w:t xml:space="preserve"> [Section 7.2.6], </w:t>
      </w:r>
      <w:r w:rsidRPr="009A0DA6">
        <w:rPr>
          <w:rFonts w:ascii="Cambria" w:hAnsi="Cambria"/>
          <w:i/>
          <w:color w:val="000000" w:themeColor="text1"/>
        </w:rPr>
        <w:t>“all the registered delegates of the General Synod”</w:t>
      </w:r>
      <w:r w:rsidRPr="009A0DA6">
        <w:rPr>
          <w:rFonts w:ascii="Cambria" w:hAnsi="Cambria"/>
          <w:color w:val="000000" w:themeColor="text1"/>
        </w:rPr>
        <w:t xml:space="preserve"> [Article 11.1.3], and </w:t>
      </w:r>
      <w:r w:rsidRPr="009A0DA6">
        <w:rPr>
          <w:rFonts w:ascii="Cambria" w:hAnsi="Cambria"/>
          <w:i/>
          <w:color w:val="000000" w:themeColor="text1"/>
        </w:rPr>
        <w:t>“all the delegates registered at the convention”</w:t>
      </w:r>
      <w:r w:rsidRPr="009A0DA6">
        <w:rPr>
          <w:rFonts w:ascii="Cambria" w:hAnsi="Cambria"/>
          <w:color w:val="000000" w:themeColor="text1"/>
        </w:rPr>
        <w:t xml:space="preserve"> [Article 13.1], as well as the phrase </w:t>
      </w:r>
      <w:r w:rsidRPr="009A0DA6">
        <w:rPr>
          <w:rFonts w:ascii="Cambria" w:hAnsi="Cambria"/>
          <w:i/>
          <w:color w:val="000000" w:themeColor="text1"/>
        </w:rPr>
        <w:t>“those delegates voting”</w:t>
      </w:r>
      <w:r w:rsidRPr="009A0DA6">
        <w:rPr>
          <w:rFonts w:ascii="Cambria" w:hAnsi="Cambria"/>
          <w:color w:val="000000" w:themeColor="text1"/>
        </w:rPr>
        <w:t xml:space="preserve"> in Article 7.3.26.2 and elsewhere. For consistency, the proposal introduces the defined term </w:t>
      </w:r>
      <w:r w:rsidRPr="009A0DA6">
        <w:rPr>
          <w:rFonts w:ascii="Cambria" w:hAnsi="Cambria"/>
          <w:i/>
          <w:color w:val="000000" w:themeColor="text1"/>
        </w:rPr>
        <w:t>“registered delegates”</w:t>
      </w:r>
      <w:r w:rsidRPr="009A0DA6">
        <w:rPr>
          <w:rFonts w:ascii="Cambria" w:hAnsi="Cambria"/>
          <w:color w:val="000000" w:themeColor="text1"/>
        </w:rPr>
        <w:t xml:space="preserve"> in the proposed changes to Article 7.2.5.</w:t>
      </w:r>
      <w:r w:rsidR="004A186C">
        <w:rPr>
          <w:rFonts w:ascii="Cambria" w:hAnsi="Cambria"/>
          <w:color w:val="000000" w:themeColor="text1"/>
        </w:rPr>
        <w:br/>
      </w:r>
    </w:p>
    <w:p w14:paraId="234F3FC9" w14:textId="77777777" w:rsidR="00A13DD7" w:rsidRPr="009A0DA6" w:rsidRDefault="00A13DD7" w:rsidP="004A186C">
      <w:pPr>
        <w:pStyle w:val="ListBullet"/>
        <w:numPr>
          <w:ilvl w:val="0"/>
          <w:numId w:val="137"/>
        </w:numPr>
        <w:tabs>
          <w:tab w:val="clear" w:pos="851"/>
          <w:tab w:val="left" w:pos="567"/>
        </w:tabs>
        <w:spacing w:after="120" w:line="240" w:lineRule="auto"/>
        <w:ind w:left="567" w:hanging="595"/>
        <w:contextualSpacing w:val="0"/>
        <w:rPr>
          <w:rFonts w:ascii="Cambria" w:hAnsi="Cambria"/>
          <w:color w:val="000000" w:themeColor="text1"/>
        </w:rPr>
      </w:pPr>
      <w:r w:rsidRPr="009A0DA6">
        <w:rPr>
          <w:rFonts w:ascii="Cambria" w:hAnsi="Cambria"/>
          <w:color w:val="000000" w:themeColor="text1"/>
        </w:rPr>
        <w:t xml:space="preserve">At General Synod, including the most recent Eighteenth General Convention, delegates have been excused by the Chairperson for reasons such as illness and family emergencies. The proposed change formally authorises the Chairperson to excuse delegates, and also give effect to such an action on the pool of voting delegates (for if excusing delegates has no effect, it would be a meaningless exercise). Hence Article 7.2.5 defines </w:t>
      </w:r>
      <w:r w:rsidRPr="009A0DA6">
        <w:rPr>
          <w:rFonts w:ascii="Cambria" w:hAnsi="Cambria"/>
          <w:i/>
          <w:color w:val="000000" w:themeColor="text1"/>
        </w:rPr>
        <w:t>“registered delegates”</w:t>
      </w:r>
      <w:r w:rsidRPr="009A0DA6">
        <w:rPr>
          <w:rFonts w:ascii="Cambria" w:hAnsi="Cambria"/>
          <w:color w:val="000000" w:themeColor="text1"/>
        </w:rPr>
        <w:t xml:space="preserve"> as those who have registered with the Secretary (as provided by the current constitution), but excludes any delegates excused by the Chairperson. This defined term is used for all matters relating to voting and quorums.</w:t>
      </w:r>
    </w:p>
    <w:p w14:paraId="324EBC64" w14:textId="77777777" w:rsidR="00A13DD7" w:rsidRPr="009A0DA6" w:rsidRDefault="00A13DD7" w:rsidP="004A186C">
      <w:pPr>
        <w:pStyle w:val="BodyText"/>
        <w:spacing w:after="0" w:line="240" w:lineRule="auto"/>
        <w:rPr>
          <w:rFonts w:ascii="Cambria" w:hAnsi="Cambria"/>
          <w:b/>
          <w:color w:val="000000" w:themeColor="text1"/>
        </w:rPr>
      </w:pPr>
      <w:r w:rsidRPr="009A0DA6">
        <w:rPr>
          <w:rFonts w:ascii="Cambria" w:hAnsi="Cambria"/>
          <w:b/>
          <w:color w:val="000000" w:themeColor="text1"/>
        </w:rPr>
        <w:t>Majorities</w:t>
      </w:r>
    </w:p>
    <w:p w14:paraId="119E0EEA" w14:textId="5D87782E" w:rsidR="00A13DD7" w:rsidRPr="004A186C" w:rsidRDefault="00A13DD7" w:rsidP="004A186C">
      <w:pPr>
        <w:pStyle w:val="ListBullet"/>
        <w:numPr>
          <w:ilvl w:val="0"/>
          <w:numId w:val="137"/>
        </w:numPr>
        <w:tabs>
          <w:tab w:val="clear" w:pos="851"/>
          <w:tab w:val="left" w:pos="567"/>
        </w:tabs>
        <w:spacing w:after="0" w:line="240" w:lineRule="auto"/>
        <w:ind w:left="567" w:hanging="567"/>
        <w:contextualSpacing w:val="0"/>
        <w:rPr>
          <w:rFonts w:ascii="Cambria" w:hAnsi="Cambria"/>
          <w:color w:val="000000" w:themeColor="text1"/>
          <w:sz w:val="10"/>
          <w:szCs w:val="10"/>
        </w:rPr>
      </w:pPr>
      <w:r w:rsidRPr="009A0DA6">
        <w:rPr>
          <w:rFonts w:ascii="Cambria" w:hAnsi="Cambria"/>
          <w:color w:val="000000" w:themeColor="text1"/>
        </w:rPr>
        <w:t xml:space="preserve">The current language relating to the transaction of ordinary business at General Synod, Article 7.3.26.2, provides that motions shall be decided by </w:t>
      </w:r>
      <w:r w:rsidRPr="009A0DA6">
        <w:rPr>
          <w:rFonts w:ascii="Cambria" w:hAnsi="Cambria"/>
          <w:i/>
          <w:color w:val="000000" w:themeColor="text1"/>
        </w:rPr>
        <w:t>“a majority of those delegates voting”</w:t>
      </w:r>
      <w:r w:rsidRPr="009A0DA6">
        <w:rPr>
          <w:rFonts w:ascii="Cambria" w:hAnsi="Cambria"/>
          <w:color w:val="000000" w:themeColor="text1"/>
        </w:rPr>
        <w:t xml:space="preserve">. This concept is maintained, but for clarity and consistency, the proposal uses the phrase </w:t>
      </w:r>
      <w:r w:rsidRPr="009A0DA6">
        <w:rPr>
          <w:rFonts w:ascii="Cambria" w:hAnsi="Cambria"/>
          <w:i/>
          <w:color w:val="000000" w:themeColor="text1"/>
        </w:rPr>
        <w:t>“a simple majority of registered delegates present and voting”</w:t>
      </w:r>
      <w:r w:rsidRPr="009A0DA6">
        <w:rPr>
          <w:rFonts w:ascii="Cambria" w:hAnsi="Cambria"/>
          <w:color w:val="000000" w:themeColor="text1"/>
        </w:rPr>
        <w:t>. (A conforming change is made to Article 7.3.26.2 of the District By-laws Part A.)</w:t>
      </w:r>
      <w:r w:rsidR="004A186C">
        <w:rPr>
          <w:rFonts w:ascii="Cambria" w:hAnsi="Cambria"/>
          <w:color w:val="000000" w:themeColor="text1"/>
        </w:rPr>
        <w:br/>
      </w:r>
    </w:p>
    <w:p w14:paraId="77AEDE87" w14:textId="77777777" w:rsidR="00A13DD7" w:rsidRPr="009A0DA6" w:rsidRDefault="00A13DD7" w:rsidP="00F55252">
      <w:pPr>
        <w:pStyle w:val="ListBullet"/>
        <w:numPr>
          <w:ilvl w:val="0"/>
          <w:numId w:val="137"/>
        </w:numPr>
        <w:tabs>
          <w:tab w:val="clear" w:pos="851"/>
          <w:tab w:val="left" w:pos="567"/>
        </w:tabs>
        <w:spacing w:after="120" w:line="240" w:lineRule="auto"/>
        <w:ind w:left="567" w:hanging="567"/>
        <w:contextualSpacing w:val="0"/>
        <w:rPr>
          <w:rFonts w:ascii="Cambria" w:hAnsi="Cambria"/>
          <w:color w:val="000000" w:themeColor="text1"/>
        </w:rPr>
      </w:pPr>
      <w:r w:rsidRPr="009A0DA6">
        <w:rPr>
          <w:rFonts w:ascii="Cambria" w:hAnsi="Cambria"/>
          <w:color w:val="000000" w:themeColor="text1"/>
        </w:rPr>
        <w:t xml:space="preserve">Article 7.3.29 currently requires a two-thirds majority for changing the rules by which convention business is conducted. The concept is maintained, using consistent language:  </w:t>
      </w:r>
      <w:r w:rsidRPr="009A0DA6">
        <w:rPr>
          <w:rFonts w:ascii="Cambria" w:hAnsi="Cambria"/>
          <w:i/>
          <w:color w:val="000000" w:themeColor="text1"/>
        </w:rPr>
        <w:t>“a two-thirds majority of registered voters present and voting”</w:t>
      </w:r>
      <w:r w:rsidRPr="009A0DA6">
        <w:rPr>
          <w:rFonts w:ascii="Cambria" w:hAnsi="Cambria"/>
          <w:color w:val="000000" w:themeColor="text1"/>
        </w:rPr>
        <w:t>. (A conforming change is made to Article 7.3.29 of the District By-laws Part A.)</w:t>
      </w:r>
    </w:p>
    <w:p w14:paraId="0A9BD1BD" w14:textId="77777777" w:rsidR="00A13DD7" w:rsidRPr="009A0DA6" w:rsidRDefault="00A13DD7" w:rsidP="00F55252">
      <w:pPr>
        <w:pStyle w:val="ListBullet"/>
        <w:numPr>
          <w:ilvl w:val="0"/>
          <w:numId w:val="137"/>
        </w:numPr>
        <w:tabs>
          <w:tab w:val="clear" w:pos="851"/>
          <w:tab w:val="left" w:pos="567"/>
        </w:tabs>
        <w:spacing w:after="120" w:line="240" w:lineRule="auto"/>
        <w:ind w:left="567" w:hanging="567"/>
        <w:contextualSpacing w:val="0"/>
        <w:rPr>
          <w:rFonts w:ascii="Cambria" w:hAnsi="Cambria"/>
          <w:color w:val="000000" w:themeColor="text1"/>
        </w:rPr>
      </w:pPr>
      <w:r w:rsidRPr="009A0DA6">
        <w:rPr>
          <w:rFonts w:ascii="Cambria" w:hAnsi="Cambria"/>
          <w:color w:val="000000" w:themeColor="text1"/>
        </w:rPr>
        <w:t>The proposal adds an introductory sentence to Article 7.3.26.2, which clarifies, in the context of a written ballot, the status of abstentions and informal votes (</w:t>
      </w:r>
      <w:r w:rsidRPr="009A0DA6">
        <w:rPr>
          <w:rFonts w:ascii="Cambria" w:hAnsi="Cambria"/>
          <w:i/>
          <w:iCs/>
          <w:color w:val="000000" w:themeColor="text1"/>
        </w:rPr>
        <w:t>ie</w:t>
      </w:r>
      <w:r w:rsidRPr="009A0DA6">
        <w:rPr>
          <w:rFonts w:ascii="Cambria" w:hAnsi="Cambria"/>
          <w:color w:val="000000" w:themeColor="text1"/>
        </w:rPr>
        <w:t>, ballots that are left blank, where both yes and no boxes are filled in, or otherwise ambiguous as to the intentions of the voter):  The proposed language makes it clear that, if more ‘yes’ votes are received than ‘no’ votes, the motion carries; if more ‘no’ votes are received than ‘yes’ votes, the motion fails.</w:t>
      </w:r>
    </w:p>
    <w:p w14:paraId="16C9FA55" w14:textId="780DC73C" w:rsidR="00A13DD7" w:rsidRPr="004A186C" w:rsidRDefault="00A13DD7" w:rsidP="004A186C">
      <w:pPr>
        <w:pStyle w:val="ListBullet"/>
        <w:numPr>
          <w:ilvl w:val="2"/>
          <w:numId w:val="138"/>
        </w:numPr>
        <w:tabs>
          <w:tab w:val="left" w:pos="567"/>
        </w:tabs>
        <w:spacing w:after="0" w:line="240" w:lineRule="auto"/>
        <w:ind w:left="1134" w:hanging="607"/>
        <w:contextualSpacing w:val="0"/>
        <w:rPr>
          <w:rFonts w:ascii="Cambria" w:hAnsi="Cambria"/>
          <w:color w:val="000000" w:themeColor="text1"/>
          <w:sz w:val="10"/>
          <w:szCs w:val="10"/>
        </w:rPr>
      </w:pPr>
      <w:r w:rsidRPr="009A0DA6">
        <w:rPr>
          <w:rFonts w:ascii="Cambria" w:hAnsi="Cambria"/>
          <w:color w:val="000000" w:themeColor="text1"/>
        </w:rPr>
        <w:t>According to one authority on parliamentary procedure, “an abstention is not a vote and is not counted as a vote”. Instead, an abstention is an election not to vote. Thus abstentions are counted, but do not count.</w:t>
      </w:r>
      <w:r w:rsidR="004A186C">
        <w:rPr>
          <w:rFonts w:ascii="Cambria" w:hAnsi="Cambria"/>
          <w:color w:val="000000" w:themeColor="text1"/>
        </w:rPr>
        <w:br/>
      </w:r>
    </w:p>
    <w:p w14:paraId="5D954AF8" w14:textId="43A135AB" w:rsidR="00A13DD7" w:rsidRPr="004A186C" w:rsidRDefault="00A13DD7" w:rsidP="004A186C">
      <w:pPr>
        <w:pStyle w:val="ListBullet"/>
        <w:numPr>
          <w:ilvl w:val="2"/>
          <w:numId w:val="138"/>
        </w:numPr>
        <w:tabs>
          <w:tab w:val="left" w:pos="567"/>
        </w:tabs>
        <w:spacing w:after="0" w:line="240" w:lineRule="auto"/>
        <w:ind w:left="1134" w:hanging="607"/>
        <w:contextualSpacing w:val="0"/>
        <w:rPr>
          <w:rFonts w:ascii="Cambria" w:hAnsi="Cambria"/>
          <w:color w:val="000000" w:themeColor="text1"/>
          <w:sz w:val="10"/>
          <w:szCs w:val="10"/>
        </w:rPr>
      </w:pPr>
      <w:r w:rsidRPr="009A0DA6">
        <w:rPr>
          <w:rFonts w:ascii="Cambria" w:hAnsi="Cambria"/>
          <w:color w:val="000000" w:themeColor="text1"/>
        </w:rPr>
        <w:t>Similarly, an informal ballot does not constitute a vote, thus do not count when determining a majority.</w:t>
      </w:r>
      <w:r w:rsidR="004A186C">
        <w:rPr>
          <w:rFonts w:ascii="Cambria" w:hAnsi="Cambria"/>
          <w:color w:val="000000" w:themeColor="text1"/>
        </w:rPr>
        <w:br/>
      </w:r>
    </w:p>
    <w:p w14:paraId="4369FFDC" w14:textId="37086736" w:rsidR="00A13DD7" w:rsidRPr="004A186C" w:rsidRDefault="00A13DD7" w:rsidP="004A186C">
      <w:pPr>
        <w:pStyle w:val="ListBullet"/>
        <w:numPr>
          <w:ilvl w:val="2"/>
          <w:numId w:val="138"/>
        </w:numPr>
        <w:tabs>
          <w:tab w:val="left" w:pos="567"/>
        </w:tabs>
        <w:spacing w:after="0" w:line="240" w:lineRule="auto"/>
        <w:ind w:left="1134" w:hanging="607"/>
        <w:contextualSpacing w:val="0"/>
        <w:rPr>
          <w:rFonts w:ascii="Cambria" w:hAnsi="Cambria"/>
          <w:color w:val="000000" w:themeColor="text1"/>
          <w:sz w:val="10"/>
          <w:szCs w:val="10"/>
        </w:rPr>
      </w:pPr>
      <w:r w:rsidRPr="009A0DA6">
        <w:rPr>
          <w:rFonts w:ascii="Cambria" w:hAnsi="Cambria"/>
          <w:color w:val="000000" w:themeColor="text1"/>
        </w:rPr>
        <w:t>The election or failure to cast a formal ballot is, in effect, a decision to allow delegates choosing to cast ballots to determine the issue</w:t>
      </w:r>
      <w:r w:rsidR="0027799A" w:rsidRPr="009A0DA6">
        <w:rPr>
          <w:rFonts w:ascii="Cambria" w:hAnsi="Cambria"/>
          <w:color w:val="000000" w:themeColor="text1"/>
        </w:rPr>
        <w:t xml:space="preserve">. </w:t>
      </w:r>
      <w:r w:rsidRPr="009A0DA6">
        <w:rPr>
          <w:rFonts w:ascii="Cambria" w:hAnsi="Cambria"/>
          <w:color w:val="000000" w:themeColor="text1"/>
        </w:rPr>
        <w:t xml:space="preserve"> Strictly speaking, the term “registered delegates present and voting” therefore excludes delegates choosing to abstain or failing to cast a formal ballot. However, the additional language is proposed to add certainty.</w:t>
      </w:r>
      <w:r w:rsidR="004A186C">
        <w:rPr>
          <w:rFonts w:ascii="Cambria" w:hAnsi="Cambria"/>
          <w:color w:val="000000" w:themeColor="text1"/>
        </w:rPr>
        <w:br/>
      </w:r>
    </w:p>
    <w:p w14:paraId="548966C0" w14:textId="77777777" w:rsidR="00A13DD7" w:rsidRPr="009A0DA6" w:rsidRDefault="00A13DD7" w:rsidP="00F55252">
      <w:pPr>
        <w:pStyle w:val="ListBullet"/>
        <w:numPr>
          <w:ilvl w:val="0"/>
          <w:numId w:val="137"/>
        </w:numPr>
        <w:tabs>
          <w:tab w:val="clear" w:pos="851"/>
          <w:tab w:val="left" w:pos="709"/>
        </w:tabs>
        <w:spacing w:after="120" w:line="240" w:lineRule="auto"/>
        <w:ind w:left="567" w:hanging="595"/>
        <w:contextualSpacing w:val="0"/>
        <w:rPr>
          <w:rFonts w:ascii="Cambria" w:hAnsi="Cambria"/>
          <w:color w:val="000000" w:themeColor="text1"/>
        </w:rPr>
      </w:pPr>
      <w:r w:rsidRPr="009A0DA6">
        <w:rPr>
          <w:rFonts w:ascii="Cambria" w:hAnsi="Cambria"/>
          <w:color w:val="000000" w:themeColor="text1"/>
        </w:rPr>
        <w:t>At General Synod, including the most recent Eighteenth Convention, blank and other informal ballots were received and identified as such, although the current constitution is silent on the practice. The proposed language formally authorises the Chairperson to determine whether a ballot is formal or informal.</w:t>
      </w:r>
    </w:p>
    <w:p w14:paraId="566805F4" w14:textId="77777777" w:rsidR="004A186C" w:rsidRDefault="004A186C" w:rsidP="004A186C">
      <w:pPr>
        <w:pStyle w:val="BodyText"/>
        <w:spacing w:after="0" w:line="240" w:lineRule="auto"/>
        <w:rPr>
          <w:rFonts w:ascii="Cambria" w:hAnsi="Cambria"/>
          <w:b/>
          <w:color w:val="000000" w:themeColor="text1"/>
        </w:rPr>
      </w:pPr>
    </w:p>
    <w:p w14:paraId="3637A6B2" w14:textId="6FB93E2D" w:rsidR="00A13DD7" w:rsidRPr="009A0DA6" w:rsidRDefault="00A13DD7" w:rsidP="004A186C">
      <w:pPr>
        <w:pStyle w:val="BodyText"/>
        <w:spacing w:after="0" w:line="240" w:lineRule="auto"/>
        <w:rPr>
          <w:rFonts w:ascii="Cambria" w:hAnsi="Cambria"/>
          <w:b/>
          <w:color w:val="000000" w:themeColor="text1"/>
        </w:rPr>
      </w:pPr>
      <w:r w:rsidRPr="009A0DA6">
        <w:rPr>
          <w:rFonts w:ascii="Cambria" w:hAnsi="Cambria"/>
          <w:b/>
          <w:color w:val="000000" w:themeColor="text1"/>
        </w:rPr>
        <w:lastRenderedPageBreak/>
        <w:t>Supermajorities</w:t>
      </w:r>
    </w:p>
    <w:p w14:paraId="1002D76E" w14:textId="4087D5B3" w:rsidR="00A13DD7" w:rsidRPr="004A186C" w:rsidRDefault="00A13DD7" w:rsidP="004A186C">
      <w:pPr>
        <w:pStyle w:val="ListBullet"/>
        <w:numPr>
          <w:ilvl w:val="0"/>
          <w:numId w:val="137"/>
        </w:numPr>
        <w:tabs>
          <w:tab w:val="clear" w:pos="851"/>
          <w:tab w:val="left" w:pos="567"/>
        </w:tabs>
        <w:spacing w:after="0" w:line="240" w:lineRule="auto"/>
        <w:ind w:left="567" w:hanging="595"/>
        <w:contextualSpacing w:val="0"/>
        <w:rPr>
          <w:rFonts w:ascii="Cambria" w:hAnsi="Cambria"/>
          <w:color w:val="000000" w:themeColor="text1"/>
          <w:sz w:val="10"/>
          <w:szCs w:val="10"/>
        </w:rPr>
      </w:pPr>
      <w:r w:rsidRPr="009A0DA6">
        <w:rPr>
          <w:rFonts w:ascii="Cambria" w:hAnsi="Cambria"/>
          <w:color w:val="000000" w:themeColor="text1"/>
        </w:rPr>
        <w:t>Supermajorities are typically required to carry motions relating to the constitution of a group. In the current constitution, two-thirds majorities are required for changes to the constitution [Article 13.2], while a three-quarters majority is required to dissolve or amalgamate [Article 11.1]. The proposed changes maintain the supermajority requirements.</w:t>
      </w:r>
      <w:r w:rsidR="004A186C">
        <w:rPr>
          <w:rFonts w:ascii="Cambria" w:hAnsi="Cambria"/>
          <w:color w:val="000000" w:themeColor="text1"/>
        </w:rPr>
        <w:br/>
      </w:r>
    </w:p>
    <w:p w14:paraId="580F457E" w14:textId="77777777" w:rsidR="00A13DD7" w:rsidRPr="009A0DA6" w:rsidRDefault="00A13DD7" w:rsidP="00F55252">
      <w:pPr>
        <w:pStyle w:val="ListBullet"/>
        <w:numPr>
          <w:ilvl w:val="0"/>
          <w:numId w:val="137"/>
        </w:numPr>
        <w:tabs>
          <w:tab w:val="clear" w:pos="851"/>
          <w:tab w:val="left" w:pos="567"/>
        </w:tabs>
        <w:spacing w:after="120" w:line="240" w:lineRule="auto"/>
        <w:ind w:left="567" w:hanging="595"/>
        <w:contextualSpacing w:val="0"/>
        <w:rPr>
          <w:rFonts w:ascii="Cambria" w:hAnsi="Cambria"/>
          <w:color w:val="000000" w:themeColor="text1"/>
        </w:rPr>
      </w:pPr>
      <w:r w:rsidRPr="009A0DA6">
        <w:rPr>
          <w:rFonts w:ascii="Cambria" w:hAnsi="Cambria"/>
          <w:color w:val="000000" w:themeColor="text1"/>
        </w:rPr>
        <w:t xml:space="preserve">As the basis for determining a majority, the current formulation uses all delegates, whether or not they are attending the session, and whether or not they are casting formal ballots or choosing to abstain. This proposal changes the basis to </w:t>
      </w:r>
      <w:r w:rsidRPr="009A0DA6">
        <w:rPr>
          <w:rFonts w:ascii="Cambria" w:hAnsi="Cambria"/>
          <w:i/>
          <w:color w:val="000000" w:themeColor="text1"/>
        </w:rPr>
        <w:t>“a ___ majority of registered delegates present and voting”</w:t>
      </w:r>
      <w:r w:rsidRPr="009A0DA6">
        <w:rPr>
          <w:rFonts w:ascii="Cambria" w:hAnsi="Cambria"/>
          <w:color w:val="000000" w:themeColor="text1"/>
        </w:rPr>
        <w:t xml:space="preserve"> — the same as for conducting ordinary business. This means that the question will be determined by delegates able to be influenced by other delegates in the room — a key reason why proxy votes are discouraged at all levels of church governance. Furthermore, this change respects the choice of delegates who abstain:  When a delegate chooses not to vote, the delegate should not be deemed to have voted one way or another on the motion.</w:t>
      </w:r>
    </w:p>
    <w:p w14:paraId="5CE9C4E5" w14:textId="0D82BAF2" w:rsidR="00A13DD7" w:rsidRPr="009A0DA6" w:rsidRDefault="00A13DD7" w:rsidP="00F55252">
      <w:pPr>
        <w:pStyle w:val="ListBullet"/>
        <w:numPr>
          <w:ilvl w:val="0"/>
          <w:numId w:val="137"/>
        </w:numPr>
        <w:tabs>
          <w:tab w:val="clear" w:pos="851"/>
          <w:tab w:val="left" w:pos="567"/>
        </w:tabs>
        <w:spacing w:after="120" w:line="240" w:lineRule="auto"/>
        <w:ind w:left="567" w:hanging="595"/>
        <w:contextualSpacing w:val="0"/>
        <w:rPr>
          <w:rFonts w:ascii="Cambria" w:hAnsi="Cambria"/>
          <w:color w:val="000000" w:themeColor="text1"/>
        </w:rPr>
      </w:pPr>
      <w:r w:rsidRPr="009A0DA6">
        <w:rPr>
          <w:rFonts w:ascii="Cambria" w:hAnsi="Cambria"/>
          <w:color w:val="000000" w:themeColor="text1"/>
        </w:rPr>
        <w:t xml:space="preserve">Note that no changes are proposed to the supermajority requirement relating to congregations electing to withdraw from membership in the </w:t>
      </w:r>
      <w:r w:rsidR="00336CE0" w:rsidRPr="009A0DA6">
        <w:rPr>
          <w:rFonts w:ascii="Cambria" w:hAnsi="Cambria"/>
          <w:color w:val="000000" w:themeColor="text1"/>
        </w:rPr>
        <w:t>church</w:t>
      </w:r>
      <w:r w:rsidRPr="009A0DA6">
        <w:rPr>
          <w:rFonts w:ascii="Cambria" w:hAnsi="Cambria"/>
          <w:color w:val="000000" w:themeColor="text1"/>
        </w:rPr>
        <w:t xml:space="preserve"> [Article 4.3], which requires votes to withdraw from two-thirds of all voting members of a congregation. This is a legitimate requirement for a congregation, that such an important decision be made by the congregation as a whole, rather than by those attending a given congregational meeting.</w:t>
      </w:r>
    </w:p>
    <w:p w14:paraId="0F336208" w14:textId="77777777" w:rsidR="00A13DD7" w:rsidRPr="009A0DA6" w:rsidRDefault="00A13DD7" w:rsidP="00F55252">
      <w:pPr>
        <w:pStyle w:val="ListBullet"/>
        <w:numPr>
          <w:ilvl w:val="0"/>
          <w:numId w:val="137"/>
        </w:numPr>
        <w:tabs>
          <w:tab w:val="clear" w:pos="851"/>
          <w:tab w:val="left" w:pos="567"/>
        </w:tabs>
        <w:spacing w:after="120" w:line="240" w:lineRule="auto"/>
        <w:ind w:left="567" w:hanging="595"/>
        <w:contextualSpacing w:val="0"/>
        <w:rPr>
          <w:rFonts w:ascii="Cambria" w:hAnsi="Cambria"/>
          <w:color w:val="000000" w:themeColor="text1"/>
        </w:rPr>
      </w:pPr>
      <w:r w:rsidRPr="009A0DA6">
        <w:rPr>
          <w:rFonts w:ascii="Cambria" w:hAnsi="Cambria"/>
          <w:color w:val="000000" w:themeColor="text1"/>
        </w:rPr>
        <w:t xml:space="preserve">Inability or failure to attend a voting session is of minimal concern with synods:  The list of delegates is highly prescribed by the constitution and by-laws [Articles 7.2 and 7.3, Section 7.1]. Notice of convention dates is given a year or more in advance, making it simple for the nomination of delegates to be formalised in writing [Section 7.1.3]. If a delegate cannot attend, an alternate can be appointed [Article 7.6], whether from the delegate’s own parish or elsewhere [7.1.4]. Once at synod, delegates register with the Secretary [Section 7.2.5] and are expected to </w:t>
      </w:r>
      <w:r w:rsidRPr="009A0DA6">
        <w:rPr>
          <w:rFonts w:ascii="Cambria" w:hAnsi="Cambria"/>
          <w:i/>
          <w:color w:val="000000" w:themeColor="text1"/>
        </w:rPr>
        <w:t>“attend all sessions regularly until the close of the convention”</w:t>
      </w:r>
      <w:r w:rsidRPr="009A0DA6">
        <w:rPr>
          <w:rFonts w:ascii="Cambria" w:hAnsi="Cambria"/>
          <w:color w:val="000000" w:themeColor="text1"/>
        </w:rPr>
        <w:t>. Most importantly, by definition synod is comprised of the delegates who convene, unlike congregations, whose members may or may not be in attendance at a given congregational meeting.</w:t>
      </w:r>
    </w:p>
    <w:p w14:paraId="41448268" w14:textId="77777777" w:rsidR="00A13DD7" w:rsidRPr="009A0DA6" w:rsidRDefault="00A13DD7" w:rsidP="00F55252">
      <w:pPr>
        <w:pStyle w:val="ListBullet"/>
        <w:numPr>
          <w:ilvl w:val="0"/>
          <w:numId w:val="137"/>
        </w:numPr>
        <w:tabs>
          <w:tab w:val="clear" w:pos="851"/>
          <w:tab w:val="left" w:pos="567"/>
        </w:tabs>
        <w:spacing w:after="120" w:line="240" w:lineRule="auto"/>
        <w:ind w:left="567" w:hanging="595"/>
        <w:contextualSpacing w:val="0"/>
        <w:rPr>
          <w:rFonts w:ascii="Cambria" w:hAnsi="Cambria"/>
          <w:color w:val="000000" w:themeColor="text1"/>
        </w:rPr>
      </w:pPr>
      <w:r w:rsidRPr="009A0DA6">
        <w:rPr>
          <w:rFonts w:ascii="Cambria" w:hAnsi="Cambria"/>
          <w:color w:val="000000" w:themeColor="text1"/>
        </w:rPr>
        <w:t>The NSW District Church Council submits that giving significance to abstentions on matters of constitution, dissolution, and doctrine, and that preventing missing or informal ballots from skewing the formally expressed opinion of synod, outweigh the concern that delegates have been excluded from making these critical decisions.</w:t>
      </w:r>
    </w:p>
    <w:p w14:paraId="7C4B9DC7" w14:textId="77777777" w:rsidR="00A13DD7" w:rsidRPr="009A0DA6" w:rsidRDefault="00A13DD7" w:rsidP="004A186C">
      <w:pPr>
        <w:pStyle w:val="BodyText"/>
        <w:spacing w:after="0" w:line="240" w:lineRule="auto"/>
        <w:ind w:left="-28"/>
        <w:rPr>
          <w:rFonts w:ascii="Cambria" w:hAnsi="Cambria"/>
          <w:b/>
          <w:color w:val="000000" w:themeColor="text1"/>
        </w:rPr>
      </w:pPr>
      <w:r w:rsidRPr="009A0DA6">
        <w:rPr>
          <w:rFonts w:ascii="Cambria" w:hAnsi="Cambria"/>
          <w:b/>
          <w:color w:val="000000" w:themeColor="text1"/>
        </w:rPr>
        <w:t>Quorum</w:t>
      </w:r>
    </w:p>
    <w:p w14:paraId="7BF0DEDD" w14:textId="77777777" w:rsidR="00A13DD7" w:rsidRPr="009A0DA6" w:rsidRDefault="00A13DD7" w:rsidP="004A186C">
      <w:pPr>
        <w:pStyle w:val="ListBullet"/>
        <w:numPr>
          <w:ilvl w:val="0"/>
          <w:numId w:val="137"/>
        </w:numPr>
        <w:tabs>
          <w:tab w:val="clear" w:pos="851"/>
          <w:tab w:val="left" w:pos="567"/>
        </w:tabs>
        <w:spacing w:after="0" w:line="240" w:lineRule="auto"/>
        <w:ind w:left="567" w:hanging="595"/>
        <w:contextualSpacing w:val="0"/>
        <w:rPr>
          <w:rFonts w:ascii="Cambria" w:hAnsi="Cambria"/>
          <w:color w:val="000000" w:themeColor="text1"/>
        </w:rPr>
      </w:pPr>
      <w:r w:rsidRPr="009A0DA6">
        <w:rPr>
          <w:rFonts w:ascii="Cambria" w:hAnsi="Cambria"/>
          <w:color w:val="000000" w:themeColor="text1"/>
        </w:rPr>
        <w:t>When a similar motion was discussed at the Eighteenth Convention of General Synod, delegates expressed concern that a vote could be taken at a poorly attended session, in which case a supermajority of those present and voting would not represent the will of the entire delegate roll.</w:t>
      </w:r>
    </w:p>
    <w:p w14:paraId="62A2C2FD" w14:textId="77777777" w:rsidR="00A13DD7" w:rsidRPr="009A0DA6" w:rsidRDefault="00A13DD7" w:rsidP="00F55252">
      <w:pPr>
        <w:pStyle w:val="ListBullet"/>
        <w:numPr>
          <w:ilvl w:val="0"/>
          <w:numId w:val="137"/>
        </w:numPr>
        <w:tabs>
          <w:tab w:val="clear" w:pos="851"/>
          <w:tab w:val="left" w:pos="567"/>
        </w:tabs>
        <w:spacing w:after="120" w:line="240" w:lineRule="auto"/>
        <w:ind w:left="567" w:hanging="595"/>
        <w:contextualSpacing w:val="0"/>
        <w:rPr>
          <w:rFonts w:ascii="Cambria" w:hAnsi="Cambria"/>
          <w:color w:val="000000" w:themeColor="text1"/>
        </w:rPr>
      </w:pPr>
      <w:r w:rsidRPr="009A0DA6">
        <w:rPr>
          <w:rFonts w:ascii="Cambria" w:hAnsi="Cambria"/>
          <w:color w:val="000000" w:themeColor="text1"/>
        </w:rPr>
        <w:t xml:space="preserve">This proposal preserves the integrity of synod in such an unlikely scenario through the mechanism of ‘quorum’ — the minimum number of delegates required to conduct business. The current constitution establishes a majority of </w:t>
      </w:r>
      <w:r w:rsidRPr="009A0DA6">
        <w:rPr>
          <w:rFonts w:ascii="Cambria" w:hAnsi="Cambria"/>
          <w:i/>
          <w:color w:val="000000" w:themeColor="text1"/>
        </w:rPr>
        <w:t>“the maximum number of persons entitled to vote”</w:t>
      </w:r>
      <w:r w:rsidRPr="009A0DA6">
        <w:rPr>
          <w:rFonts w:ascii="Cambria" w:hAnsi="Cambria"/>
          <w:color w:val="000000" w:themeColor="text1"/>
        </w:rPr>
        <w:t xml:space="preserve"> as the quorum; the proposal maintains this principle for matters of ordinary business, with the language rectified to reflect the formal definition of </w:t>
      </w:r>
      <w:r w:rsidRPr="009A0DA6">
        <w:rPr>
          <w:rFonts w:ascii="Cambria" w:hAnsi="Cambria"/>
          <w:i/>
          <w:color w:val="000000" w:themeColor="text1"/>
        </w:rPr>
        <w:t>“registered delegates”.</w:t>
      </w:r>
    </w:p>
    <w:p w14:paraId="191F43BF" w14:textId="77777777" w:rsidR="00A13DD7" w:rsidRPr="009A0DA6" w:rsidRDefault="00A13DD7" w:rsidP="00F55252">
      <w:pPr>
        <w:pStyle w:val="ListBullet"/>
        <w:numPr>
          <w:ilvl w:val="0"/>
          <w:numId w:val="137"/>
        </w:numPr>
        <w:tabs>
          <w:tab w:val="clear" w:pos="851"/>
          <w:tab w:val="left" w:pos="567"/>
        </w:tabs>
        <w:spacing w:after="120" w:line="240" w:lineRule="auto"/>
        <w:ind w:left="567" w:hanging="595"/>
        <w:contextualSpacing w:val="0"/>
        <w:rPr>
          <w:rFonts w:ascii="Cambria" w:hAnsi="Cambria"/>
          <w:color w:val="000000" w:themeColor="text1"/>
        </w:rPr>
      </w:pPr>
      <w:r w:rsidRPr="009A0DA6">
        <w:rPr>
          <w:rFonts w:ascii="Cambria" w:hAnsi="Cambria"/>
          <w:color w:val="000000" w:themeColor="text1"/>
        </w:rPr>
        <w:t xml:space="preserve">By-laws Part A Section 7.3.2 requires the Chairperson to </w:t>
      </w:r>
      <w:r w:rsidRPr="009A0DA6">
        <w:rPr>
          <w:rFonts w:ascii="Cambria" w:hAnsi="Cambria"/>
          <w:i/>
          <w:color w:val="000000" w:themeColor="text1"/>
        </w:rPr>
        <w:t>“ensure that a quorum is present at all times”</w:t>
      </w:r>
      <w:r w:rsidRPr="009A0DA6">
        <w:rPr>
          <w:rFonts w:ascii="Cambria" w:hAnsi="Cambria"/>
          <w:color w:val="000000" w:themeColor="text1"/>
        </w:rPr>
        <w:t>. This proposal establishes that the quorum for matters requiring a supermajority is increased accordingly. For example, quorum for voting on dissolution or amalgamation would be three-quarters of registered delegates.</w:t>
      </w:r>
    </w:p>
    <w:p w14:paraId="5F76B613" w14:textId="77777777" w:rsidR="00A13DD7" w:rsidRPr="009A0DA6" w:rsidRDefault="00A13DD7" w:rsidP="004A186C">
      <w:pPr>
        <w:pStyle w:val="ListBullet"/>
        <w:numPr>
          <w:ilvl w:val="0"/>
          <w:numId w:val="137"/>
        </w:numPr>
        <w:tabs>
          <w:tab w:val="clear" w:pos="851"/>
          <w:tab w:val="left" w:pos="567"/>
        </w:tabs>
        <w:spacing w:after="0" w:line="240" w:lineRule="auto"/>
        <w:ind w:left="567" w:hanging="595"/>
        <w:contextualSpacing w:val="0"/>
        <w:rPr>
          <w:rFonts w:ascii="Cambria" w:hAnsi="Cambria"/>
          <w:color w:val="000000" w:themeColor="text1"/>
        </w:rPr>
      </w:pPr>
      <w:r w:rsidRPr="009A0DA6">
        <w:rPr>
          <w:rFonts w:ascii="Cambria" w:hAnsi="Cambria"/>
          <w:color w:val="000000" w:themeColor="text1"/>
        </w:rPr>
        <w:t>The requirement of a ‘super quorum’ ensures that a so-called blocking minority can always defeat a measure either by ballot or by depriving a session of quorum.</w:t>
      </w:r>
    </w:p>
    <w:p w14:paraId="6833DFE0" w14:textId="6CE71497" w:rsidR="00A13DD7" w:rsidRPr="004A186C" w:rsidRDefault="00A13DD7" w:rsidP="004A186C">
      <w:pPr>
        <w:pStyle w:val="ListBullet"/>
        <w:numPr>
          <w:ilvl w:val="2"/>
          <w:numId w:val="139"/>
        </w:numPr>
        <w:spacing w:after="0" w:line="240" w:lineRule="auto"/>
        <w:ind w:left="1134" w:hanging="567"/>
        <w:contextualSpacing w:val="0"/>
        <w:rPr>
          <w:rFonts w:ascii="Cambria" w:hAnsi="Cambria"/>
          <w:color w:val="000000" w:themeColor="text1"/>
          <w:sz w:val="10"/>
          <w:szCs w:val="10"/>
        </w:rPr>
      </w:pPr>
      <w:r w:rsidRPr="009A0DA6">
        <w:rPr>
          <w:rFonts w:ascii="Cambria" w:hAnsi="Cambria"/>
          <w:color w:val="000000" w:themeColor="text1"/>
        </w:rPr>
        <w:lastRenderedPageBreak/>
        <w:t>For example, consider a roll of 120 delegates deliberating a motion to amend the constitution. Assume only 70 delegates are in favour, when 80 ‘yes’ votes would be required in a full session to carry the motion (absent abstentions and informal ballots). Assumer further that, late in a session, 20 delegates who would have voted ‘no’ have left the chamber. If the matter were put to the vote at that time, the tally of 70 ‘yes’ and 30 ‘no’ would see the motion carried. However, if the 30 remaining delegates opposed to the motion were to leave the chamber, the session would no longer be quorate, and the vote could not be put.</w:t>
      </w:r>
      <w:r w:rsidR="004A186C">
        <w:rPr>
          <w:rFonts w:ascii="Cambria" w:hAnsi="Cambria"/>
          <w:color w:val="000000" w:themeColor="text1"/>
        </w:rPr>
        <w:br/>
      </w:r>
    </w:p>
    <w:p w14:paraId="29208093" w14:textId="3EDAD9EC" w:rsidR="00A13DD7" w:rsidRPr="004A186C" w:rsidRDefault="00A13DD7" w:rsidP="004A186C">
      <w:pPr>
        <w:pStyle w:val="ListBullet"/>
        <w:numPr>
          <w:ilvl w:val="2"/>
          <w:numId w:val="139"/>
        </w:numPr>
        <w:spacing w:after="0" w:line="240" w:lineRule="auto"/>
        <w:ind w:left="1134" w:hanging="567"/>
        <w:contextualSpacing w:val="0"/>
        <w:rPr>
          <w:rFonts w:ascii="Cambria" w:hAnsi="Cambria"/>
          <w:color w:val="000000" w:themeColor="text1"/>
          <w:sz w:val="10"/>
          <w:szCs w:val="10"/>
        </w:rPr>
      </w:pPr>
      <w:r w:rsidRPr="009A0DA6">
        <w:rPr>
          <w:rFonts w:ascii="Cambria" w:hAnsi="Cambria"/>
          <w:color w:val="000000" w:themeColor="text1"/>
        </w:rPr>
        <w:t>Now consider the same roll of 120 delegates, but where 70 are in favour, 30 are opposed, and 20 would choose to abstain. The abstainers vote neither ‘yes’ nor ‘no’, but agree to abide by the will of delegates voting ‘yes’ or ‘no’. Of the 100 delegates choosing to express a position, more than 67% are in favour, and the motion would be carried. Note also that, even if all 30 ‘no’ voters were to leave the chamber, the remaining 90 members would properly constitute a quorum.</w:t>
      </w:r>
      <w:r w:rsidR="004A186C">
        <w:rPr>
          <w:rFonts w:ascii="Cambria" w:hAnsi="Cambria"/>
          <w:color w:val="000000" w:themeColor="text1"/>
        </w:rPr>
        <w:br/>
      </w:r>
    </w:p>
    <w:p w14:paraId="5EF145F7" w14:textId="454AEBA7" w:rsidR="00A13DD7" w:rsidRPr="004A186C" w:rsidRDefault="00A13DD7" w:rsidP="004A186C">
      <w:pPr>
        <w:pStyle w:val="ListBullet"/>
        <w:numPr>
          <w:ilvl w:val="2"/>
          <w:numId w:val="139"/>
        </w:numPr>
        <w:spacing w:after="0" w:line="240" w:lineRule="auto"/>
        <w:ind w:left="1134" w:hanging="567"/>
        <w:contextualSpacing w:val="0"/>
        <w:rPr>
          <w:rFonts w:ascii="Cambria" w:hAnsi="Cambria"/>
          <w:color w:val="000000" w:themeColor="text1"/>
          <w:sz w:val="10"/>
          <w:szCs w:val="10"/>
        </w:rPr>
      </w:pPr>
      <w:r w:rsidRPr="009A0DA6">
        <w:rPr>
          <w:rFonts w:ascii="Cambria" w:hAnsi="Cambria"/>
          <w:color w:val="000000" w:themeColor="text1"/>
        </w:rPr>
        <w:t>As the examples above illustrate, a super quorum requirement ensures that no motions can be carried when more than one-third of voting delegates object (in the case of constitutional and doctrinal matters), or more than one-fourth object (in the case of dissolution or amalgamation).</w:t>
      </w:r>
      <w:r w:rsidR="004A186C">
        <w:rPr>
          <w:rFonts w:ascii="Cambria" w:hAnsi="Cambria"/>
          <w:color w:val="000000" w:themeColor="text1"/>
        </w:rPr>
        <w:br/>
      </w:r>
    </w:p>
    <w:p w14:paraId="69160845" w14:textId="77777777" w:rsidR="00A13DD7" w:rsidRPr="009A0DA6" w:rsidRDefault="00A13DD7" w:rsidP="00F55252">
      <w:pPr>
        <w:pStyle w:val="ListBullet"/>
        <w:numPr>
          <w:ilvl w:val="0"/>
          <w:numId w:val="137"/>
        </w:numPr>
        <w:tabs>
          <w:tab w:val="clear" w:pos="851"/>
          <w:tab w:val="left" w:pos="567"/>
        </w:tabs>
        <w:spacing w:after="120" w:line="240" w:lineRule="auto"/>
        <w:ind w:left="567" w:hanging="567"/>
        <w:contextualSpacing w:val="0"/>
        <w:rPr>
          <w:rFonts w:ascii="Cambria" w:hAnsi="Cambria"/>
          <w:color w:val="000000" w:themeColor="text1"/>
        </w:rPr>
      </w:pPr>
      <w:r w:rsidRPr="009A0DA6">
        <w:rPr>
          <w:rFonts w:ascii="Cambria" w:hAnsi="Cambria"/>
          <w:color w:val="000000" w:themeColor="text1"/>
        </w:rPr>
        <w:t>Note that the proposed changes to determining the outcome of a vote are extended to the District constitutions, but not the explicit requirement of super-quorums for dissolution, amalgamation, or alterations to the constitution. This is because the definition of quorum is not addressed by the District constitution or By-laws Part A; Districts are welcome to enact conforming rules in their By-laws Part B.</w:t>
      </w:r>
    </w:p>
    <w:p w14:paraId="0D481C5B" w14:textId="77777777" w:rsidR="00A13DD7" w:rsidRPr="009A0DA6" w:rsidRDefault="00A13DD7" w:rsidP="004A186C">
      <w:pPr>
        <w:pStyle w:val="BodyText"/>
        <w:spacing w:after="0" w:line="240" w:lineRule="auto"/>
        <w:ind w:left="-28"/>
        <w:rPr>
          <w:rFonts w:ascii="Cambria" w:hAnsi="Cambria"/>
          <w:b/>
          <w:color w:val="000000" w:themeColor="text1"/>
        </w:rPr>
      </w:pPr>
      <w:r w:rsidRPr="009A0DA6">
        <w:rPr>
          <w:rFonts w:ascii="Cambria" w:hAnsi="Cambria"/>
          <w:b/>
          <w:color w:val="000000" w:themeColor="text1"/>
        </w:rPr>
        <w:t>Immediate effect</w:t>
      </w:r>
    </w:p>
    <w:p w14:paraId="22748802" w14:textId="27107EBD" w:rsidR="00A13DD7" w:rsidRPr="004A186C" w:rsidRDefault="00A13DD7" w:rsidP="004A186C">
      <w:pPr>
        <w:pStyle w:val="ListBullet"/>
        <w:numPr>
          <w:ilvl w:val="0"/>
          <w:numId w:val="137"/>
        </w:numPr>
        <w:tabs>
          <w:tab w:val="clear" w:pos="851"/>
        </w:tabs>
        <w:spacing w:after="0" w:line="240" w:lineRule="auto"/>
        <w:ind w:left="567" w:hanging="567"/>
        <w:contextualSpacing w:val="0"/>
        <w:rPr>
          <w:rFonts w:ascii="Cambria" w:hAnsi="Cambria"/>
          <w:color w:val="000000" w:themeColor="text1"/>
          <w:sz w:val="10"/>
          <w:szCs w:val="10"/>
        </w:rPr>
      </w:pPr>
      <w:r w:rsidRPr="009A0DA6">
        <w:rPr>
          <w:rFonts w:ascii="Cambria" w:hAnsi="Cambria"/>
          <w:color w:val="000000" w:themeColor="text1"/>
        </w:rPr>
        <w:t>The final clause of this motion stipulates that, if the motion be carried, it take immediate effect. It has been the practice, over previous synods, that amendments to the constitution or by-laws take effect only after the close of the convention. However, there is no such requirement in either Article 12 [relating to by-laws] or Article 13 [relating to alterations to the constitution]. In contrast, By-Laws Part A Section 7.3.29 sets out the rule for suspending by-laws, which is obviously intended for immediate effect. Thus the constitution admits immediate changes, rather than prohibits them.</w:t>
      </w:r>
      <w:r w:rsidR="004A186C">
        <w:rPr>
          <w:rFonts w:ascii="Cambria" w:hAnsi="Cambria"/>
          <w:color w:val="000000" w:themeColor="text1"/>
        </w:rPr>
        <w:br/>
      </w:r>
    </w:p>
    <w:p w14:paraId="6B926A00" w14:textId="77777777" w:rsidR="00A13DD7" w:rsidRPr="009A0DA6" w:rsidRDefault="00A13DD7" w:rsidP="00F55252">
      <w:pPr>
        <w:pStyle w:val="ListBullet"/>
        <w:numPr>
          <w:ilvl w:val="0"/>
          <w:numId w:val="137"/>
        </w:numPr>
        <w:tabs>
          <w:tab w:val="clear" w:pos="851"/>
        </w:tabs>
        <w:spacing w:after="120" w:line="240" w:lineRule="auto"/>
        <w:ind w:left="567" w:hanging="567"/>
        <w:contextualSpacing w:val="0"/>
        <w:rPr>
          <w:rFonts w:ascii="Cambria" w:hAnsi="Cambria"/>
          <w:color w:val="000000" w:themeColor="text1"/>
        </w:rPr>
      </w:pPr>
      <w:r w:rsidRPr="009A0DA6">
        <w:rPr>
          <w:rFonts w:ascii="Cambria" w:hAnsi="Cambria"/>
          <w:color w:val="000000" w:themeColor="text1"/>
        </w:rPr>
        <w:t xml:space="preserve">There are certain cases where changes to the constitution cannot practically be given effect until after the convention is closed. For example, if the number of delegates or selection procedures were changed, it would be impermissible to expel existing delegates or add new delegates mid-convention or mid-synod. </w:t>
      </w:r>
      <w:r w:rsidRPr="009A0DA6">
        <w:rPr>
          <w:rFonts w:ascii="Cambria" w:eastAsia="Times New Roman" w:hAnsi="Cambria" w:cs="Times New Roman"/>
          <w:color w:val="000000" w:themeColor="text1"/>
          <w:lang w:eastAsia="en-AU"/>
        </w:rPr>
        <w:t>With respect to</w:t>
      </w:r>
      <w:r w:rsidRPr="009A0DA6">
        <w:rPr>
          <w:rFonts w:ascii="Cambria" w:hAnsi="Cambria"/>
          <w:color w:val="000000" w:themeColor="text1"/>
        </w:rPr>
        <w:t xml:space="preserve"> purely procedural amendments, however, the critical issue is whether giving immediate effect would be practical.</w:t>
      </w:r>
    </w:p>
    <w:p w14:paraId="6AF96175" w14:textId="77777777" w:rsidR="00A13DD7" w:rsidRPr="009A0DA6" w:rsidRDefault="00A13DD7" w:rsidP="00F55252">
      <w:pPr>
        <w:pStyle w:val="ListBullet"/>
        <w:numPr>
          <w:ilvl w:val="0"/>
          <w:numId w:val="137"/>
        </w:numPr>
        <w:tabs>
          <w:tab w:val="clear" w:pos="851"/>
        </w:tabs>
        <w:spacing w:after="120" w:line="240" w:lineRule="auto"/>
        <w:ind w:left="567" w:hanging="567"/>
        <w:contextualSpacing w:val="0"/>
        <w:rPr>
          <w:rFonts w:ascii="Cambria" w:hAnsi="Cambria"/>
          <w:color w:val="000000" w:themeColor="text1"/>
        </w:rPr>
      </w:pPr>
      <w:r w:rsidRPr="009A0DA6">
        <w:rPr>
          <w:rFonts w:ascii="Cambria" w:hAnsi="Cambria"/>
          <w:color w:val="000000" w:themeColor="text1"/>
        </w:rPr>
        <w:t>With respect to quorum, By-laws Part A Section 7.3.2 currently requires the Chairperson to continuously monitor whether the convention is quorate. This entails counting the delegates present, and comparing that sum to the total number of delegates. This proposal does not impose any greater duty on the Chairperson, but simply clarifies the number to which the delegates present should be compared. Rather than being impractical, this amendment would make it easier for the Chairperson to discharge his or her duty.</w:t>
      </w:r>
    </w:p>
    <w:p w14:paraId="7C1CAF39" w14:textId="77777777" w:rsidR="00A13DD7" w:rsidRPr="009A0DA6" w:rsidRDefault="00A13DD7" w:rsidP="00F55252">
      <w:pPr>
        <w:pStyle w:val="ListBullet"/>
        <w:numPr>
          <w:ilvl w:val="0"/>
          <w:numId w:val="137"/>
        </w:numPr>
        <w:tabs>
          <w:tab w:val="clear" w:pos="851"/>
        </w:tabs>
        <w:spacing w:after="120" w:line="240" w:lineRule="auto"/>
        <w:ind w:left="567" w:hanging="567"/>
        <w:contextualSpacing w:val="0"/>
        <w:rPr>
          <w:rFonts w:ascii="Cambria" w:hAnsi="Cambria"/>
          <w:color w:val="000000" w:themeColor="text1"/>
        </w:rPr>
      </w:pPr>
      <w:r w:rsidRPr="009A0DA6">
        <w:rPr>
          <w:rFonts w:ascii="Cambria" w:hAnsi="Cambria"/>
          <w:color w:val="000000" w:themeColor="text1"/>
        </w:rPr>
        <w:t>With respect to voting, here too the proposal clarifies how majorities are determined. It uses a single rule for all ballots, replacing the current requirement of different rules for different types of measures. Again, rather than being impractical, the amendment would add clarity, and would reduce and simplify the voting rules.</w:t>
      </w:r>
    </w:p>
    <w:p w14:paraId="737B294C" w14:textId="77777777" w:rsidR="00A13DD7" w:rsidRPr="009A0DA6" w:rsidRDefault="00A13DD7" w:rsidP="00F55252">
      <w:pPr>
        <w:pStyle w:val="ListBullet"/>
        <w:numPr>
          <w:ilvl w:val="0"/>
          <w:numId w:val="137"/>
        </w:numPr>
        <w:tabs>
          <w:tab w:val="clear" w:pos="851"/>
        </w:tabs>
        <w:spacing w:after="120" w:line="240" w:lineRule="auto"/>
        <w:ind w:left="567" w:hanging="567"/>
        <w:contextualSpacing w:val="0"/>
        <w:rPr>
          <w:rFonts w:ascii="Cambria" w:hAnsi="Cambria"/>
          <w:color w:val="000000" w:themeColor="text1"/>
        </w:rPr>
      </w:pPr>
      <w:r w:rsidRPr="009A0DA6">
        <w:rPr>
          <w:rFonts w:ascii="Cambria" w:eastAsia="Times New Roman" w:hAnsi="Cambria" w:cs="Times New Roman"/>
          <w:color w:val="000000" w:themeColor="text1"/>
          <w:lang w:eastAsia="en-AU"/>
        </w:rPr>
        <w:t xml:space="preserve">Arguably, changing the rules during the course of the convention might confuse delegates. We submit that the inconsistency of the current rules already is confusing. If this proposal is presented early in the proceedings, the very fact of discussing the proposal will increase delegates’ understanding of the rules by which the convention </w:t>
      </w:r>
      <w:r w:rsidRPr="009A0DA6">
        <w:rPr>
          <w:rFonts w:ascii="Cambria" w:eastAsia="Times New Roman" w:hAnsi="Cambria" w:cs="Times New Roman"/>
          <w:color w:val="000000" w:themeColor="text1"/>
          <w:lang w:eastAsia="en-AU"/>
        </w:rPr>
        <w:lastRenderedPageBreak/>
        <w:t>is to proceed. At the same time, if the synod were to agree to adopt the new rules, and the new rules were therefore to be front of mind, it would be even more confusing if the old rules were to remain in place.</w:t>
      </w:r>
    </w:p>
    <w:p w14:paraId="56EC31BC" w14:textId="77777777" w:rsidR="00A13DD7" w:rsidRPr="009A0DA6" w:rsidRDefault="00A13DD7" w:rsidP="00F55252">
      <w:pPr>
        <w:pStyle w:val="ListBullet"/>
        <w:numPr>
          <w:ilvl w:val="0"/>
          <w:numId w:val="137"/>
        </w:numPr>
        <w:tabs>
          <w:tab w:val="clear" w:pos="851"/>
        </w:tabs>
        <w:spacing w:after="120" w:line="240" w:lineRule="auto"/>
        <w:ind w:left="567" w:hanging="567"/>
        <w:contextualSpacing w:val="0"/>
        <w:rPr>
          <w:rFonts w:ascii="Cambria" w:hAnsi="Cambria"/>
          <w:color w:val="000000" w:themeColor="text1"/>
        </w:rPr>
      </w:pPr>
      <w:r w:rsidRPr="009A0DA6">
        <w:rPr>
          <w:rFonts w:ascii="Cambria" w:hAnsi="Cambria"/>
          <w:color w:val="000000" w:themeColor="text1"/>
        </w:rPr>
        <w:t>It is possible that the synod could cast votes on a proposal relating to a doctrinal or constitutional matter, such that the new rules would yield a different outcome than the old rules. In that the old rules artificially inflate the number of ‘no’ votes by abstentions, informal ballots, and absent ballots, the likely case would be a proposal that would carry under the new rules and fail under the old rules. It is important to consider the ramifications:</w:t>
      </w:r>
    </w:p>
    <w:p w14:paraId="3E3CCD24" w14:textId="77777777" w:rsidR="00A13DD7" w:rsidRPr="009A0DA6" w:rsidRDefault="00A13DD7" w:rsidP="00F55252">
      <w:pPr>
        <w:pStyle w:val="ListBullet"/>
        <w:numPr>
          <w:ilvl w:val="1"/>
          <w:numId w:val="137"/>
        </w:numPr>
        <w:spacing w:after="120" w:line="240" w:lineRule="auto"/>
        <w:ind w:left="1134" w:hanging="567"/>
        <w:contextualSpacing w:val="0"/>
        <w:rPr>
          <w:rFonts w:ascii="Cambria" w:hAnsi="Cambria"/>
          <w:color w:val="000000" w:themeColor="text1"/>
        </w:rPr>
      </w:pPr>
      <w:r w:rsidRPr="009A0DA6">
        <w:rPr>
          <w:rFonts w:ascii="Cambria" w:hAnsi="Cambria"/>
          <w:color w:val="000000" w:themeColor="text1"/>
        </w:rPr>
        <w:t>Consider if the new voting rules were accepted by the synod, but not given effect until the next convention. Thus a proposal could fail, even if, by the rules agreed by delegates as fairer and better than the current rules, it would have passed. Would that be viewed as unfair?  We believe the answer would be yes.</w:t>
      </w:r>
    </w:p>
    <w:p w14:paraId="3D96C1BC" w14:textId="77777777" w:rsidR="00A13DD7" w:rsidRPr="009A0DA6" w:rsidRDefault="00A13DD7" w:rsidP="00F55252">
      <w:pPr>
        <w:pStyle w:val="ListBullet"/>
        <w:numPr>
          <w:ilvl w:val="1"/>
          <w:numId w:val="137"/>
        </w:numPr>
        <w:spacing w:after="120" w:line="240" w:lineRule="auto"/>
        <w:ind w:left="1134" w:hanging="567"/>
        <w:contextualSpacing w:val="0"/>
        <w:rPr>
          <w:rFonts w:ascii="Cambria" w:hAnsi="Cambria"/>
          <w:color w:val="000000" w:themeColor="text1"/>
        </w:rPr>
      </w:pPr>
      <w:r w:rsidRPr="009A0DA6">
        <w:rPr>
          <w:rFonts w:ascii="Cambria" w:hAnsi="Cambria"/>
          <w:color w:val="000000" w:themeColor="text1"/>
        </w:rPr>
        <w:t xml:space="preserve">Conversely, consider if this proposal were given immediate effect, thus allowing a proposal to carry, even though it would have failed under the old rules. Would it be viewed as unfair that the motion carried using rules which the delegates agreed were an improvement on the old rules, and which the delegates agreed to apply to the proposal at hand?  Claiming an unfair result because fairer rules were used would seem to be a </w:t>
      </w:r>
      <w:r w:rsidRPr="009A0DA6">
        <w:rPr>
          <w:rFonts w:ascii="Cambria" w:hAnsi="Cambria"/>
          <w:i/>
          <w:color w:val="000000" w:themeColor="text1"/>
        </w:rPr>
        <w:t>non sequitur</w:t>
      </w:r>
      <w:r w:rsidRPr="009A0DA6">
        <w:rPr>
          <w:rFonts w:ascii="Cambria" w:hAnsi="Cambria"/>
          <w:color w:val="000000" w:themeColor="text1"/>
        </w:rPr>
        <w:t>.</w:t>
      </w:r>
    </w:p>
    <w:p w14:paraId="5B93131A" w14:textId="308C12D8" w:rsidR="00A13DD7" w:rsidRPr="009A0DA6" w:rsidRDefault="00A13DD7" w:rsidP="00F55252">
      <w:pPr>
        <w:pStyle w:val="ListBullet"/>
        <w:numPr>
          <w:ilvl w:val="0"/>
          <w:numId w:val="137"/>
        </w:numPr>
        <w:tabs>
          <w:tab w:val="clear" w:pos="851"/>
          <w:tab w:val="left" w:pos="993"/>
        </w:tabs>
        <w:spacing w:after="120" w:line="240" w:lineRule="auto"/>
        <w:ind w:left="567" w:hanging="567"/>
        <w:contextualSpacing w:val="0"/>
        <w:rPr>
          <w:rFonts w:ascii="Cambria" w:hAnsi="Cambria"/>
          <w:color w:val="000000" w:themeColor="text1"/>
        </w:rPr>
      </w:pPr>
      <w:r w:rsidRPr="009A0DA6">
        <w:rPr>
          <w:rFonts w:ascii="Cambria" w:hAnsi="Cambria"/>
          <w:color w:val="000000" w:themeColor="text1"/>
        </w:rPr>
        <w:t xml:space="preserve">In sum, if the synod determines precisely how the current voting rules can be improved, and if the synod agrees that the improved voting rules should apply immediately, there is no constitutional reason to continue using the old rules. On the other hand, if the synod determines precisely how the current voting rules can be improved, it would be contrary to natural justice to continue to use inferior rules to make important decisions about the future of the </w:t>
      </w:r>
      <w:r w:rsidR="00336CE0" w:rsidRPr="009A0DA6">
        <w:rPr>
          <w:rFonts w:ascii="Cambria" w:hAnsi="Cambria"/>
          <w:color w:val="000000" w:themeColor="text1"/>
        </w:rPr>
        <w:t>church</w:t>
      </w:r>
      <w:r w:rsidRPr="009A0DA6">
        <w:rPr>
          <w:rFonts w:ascii="Cambria" w:hAnsi="Cambria"/>
          <w:color w:val="000000" w:themeColor="text1"/>
        </w:rPr>
        <w:t>.</w:t>
      </w:r>
    </w:p>
    <w:p w14:paraId="3450A310" w14:textId="77777777" w:rsidR="00A13DD7" w:rsidRPr="009A0DA6" w:rsidRDefault="00A13DD7" w:rsidP="00A13DD7">
      <w:pPr>
        <w:pStyle w:val="BodyText"/>
        <w:spacing w:line="240" w:lineRule="auto"/>
        <w:ind w:left="-28"/>
        <w:rPr>
          <w:rFonts w:ascii="Cambria" w:hAnsi="Cambria"/>
          <w:b/>
          <w:color w:val="000000" w:themeColor="text1"/>
        </w:rPr>
      </w:pPr>
      <w:r w:rsidRPr="009A0DA6">
        <w:rPr>
          <w:rFonts w:ascii="Cambria" w:hAnsi="Cambria"/>
          <w:b/>
          <w:color w:val="000000" w:themeColor="text1"/>
        </w:rPr>
        <w:t>Conclusion</w:t>
      </w:r>
    </w:p>
    <w:p w14:paraId="148C75C1" w14:textId="657D2FCD" w:rsidR="00A13DD7" w:rsidRPr="009A0DA6" w:rsidRDefault="00A13DD7" w:rsidP="00F55252">
      <w:pPr>
        <w:pStyle w:val="ListBullet"/>
        <w:numPr>
          <w:ilvl w:val="0"/>
          <w:numId w:val="137"/>
        </w:numPr>
        <w:tabs>
          <w:tab w:val="clear" w:pos="851"/>
          <w:tab w:val="left" w:pos="567"/>
        </w:tabs>
        <w:spacing w:after="120" w:line="240" w:lineRule="auto"/>
        <w:ind w:left="567" w:hanging="567"/>
        <w:contextualSpacing w:val="0"/>
        <w:rPr>
          <w:rFonts w:ascii="Cambria" w:hAnsi="Cambria"/>
          <w:color w:val="000000" w:themeColor="text1"/>
        </w:rPr>
      </w:pPr>
      <w:r w:rsidRPr="009A0DA6">
        <w:rPr>
          <w:rFonts w:ascii="Cambria" w:hAnsi="Cambria"/>
          <w:color w:val="000000" w:themeColor="text1"/>
        </w:rPr>
        <w:t xml:space="preserve">The NSW District Church Council submits that issues requiring a supermajority are so critical to the future of the </w:t>
      </w:r>
      <w:r w:rsidR="00336CE0" w:rsidRPr="009A0DA6">
        <w:rPr>
          <w:rFonts w:ascii="Cambria" w:hAnsi="Cambria"/>
          <w:color w:val="000000" w:themeColor="text1"/>
        </w:rPr>
        <w:t>church</w:t>
      </w:r>
      <w:r w:rsidRPr="009A0DA6">
        <w:rPr>
          <w:rFonts w:ascii="Cambria" w:hAnsi="Cambria"/>
          <w:color w:val="000000" w:themeColor="text1"/>
        </w:rPr>
        <w:t xml:space="preserve"> that the voting mechanism should reflect the will of synod delegates with the highest fidelity and integrity. We must respect delegates who abstain, by ensuring that their decision not to vote isn’t arbitrarily converted into a vote one way or the other. More importantly, we must respect the synod process as a whole. At synod, we gather together, wholly expecting our deliberations to be influenced by the Holy Spirit, and then we vote. Decisions intended to be made this way should not be impacted by absences (excused or not) or by informal ballots. The protocols by which delegates are nominated and registered, supplemented by the proposed changes to the quorum rules, virtually eliminate the scenario where these issues could be decided in an unrepresentative fashion. Therefore we must respect delegates who are present and voting, and let their votes be accurately and faithfully tabulated.</w:t>
      </w:r>
    </w:p>
    <w:p w14:paraId="6B8E37E4" w14:textId="77777777" w:rsidR="00A13DD7" w:rsidRPr="009A0DA6" w:rsidRDefault="00A13DD7" w:rsidP="00F55252">
      <w:pPr>
        <w:pStyle w:val="ListBullet"/>
        <w:numPr>
          <w:ilvl w:val="0"/>
          <w:numId w:val="137"/>
        </w:numPr>
        <w:tabs>
          <w:tab w:val="clear" w:pos="851"/>
          <w:tab w:val="left" w:pos="567"/>
        </w:tabs>
        <w:spacing w:after="120" w:line="240" w:lineRule="auto"/>
        <w:ind w:left="567" w:hanging="567"/>
        <w:contextualSpacing w:val="0"/>
        <w:rPr>
          <w:rFonts w:ascii="Cambria" w:hAnsi="Cambria"/>
          <w:color w:val="000000" w:themeColor="text1"/>
        </w:rPr>
      </w:pPr>
      <w:r w:rsidRPr="009A0DA6">
        <w:rPr>
          <w:rFonts w:ascii="Cambria" w:hAnsi="Cambria"/>
          <w:color w:val="000000" w:themeColor="text1"/>
        </w:rPr>
        <w:t>If we, the synod, agree to improve the voting rules, there is no reason that the synod cannot agree to apply the voting rules immediately. To the contrary, agreeing to fix the rules, but postponing the effect until after important decisions are made, threatens the perceived integrity of those decisions.</w:t>
      </w:r>
    </w:p>
    <w:p w14:paraId="4A030A4F" w14:textId="77777777" w:rsidR="00A13DD7" w:rsidRPr="009A0DA6" w:rsidRDefault="00A13DD7" w:rsidP="00A13DD7">
      <w:pPr>
        <w:shd w:val="clear" w:color="auto" w:fill="FFFFFF"/>
        <w:tabs>
          <w:tab w:val="left" w:pos="426"/>
          <w:tab w:val="left" w:pos="3596"/>
          <w:tab w:val="right" w:pos="10206"/>
        </w:tabs>
        <w:spacing w:after="0" w:line="240" w:lineRule="auto"/>
        <w:rPr>
          <w:rFonts w:ascii="Cambria" w:eastAsia="Arial" w:hAnsi="Cambria" w:cs="Arial"/>
          <w:color w:val="000000" w:themeColor="text1"/>
        </w:rPr>
      </w:pPr>
    </w:p>
    <w:p w14:paraId="71AF4280" w14:textId="77777777" w:rsidR="00A13DD7" w:rsidRPr="009A0DA6" w:rsidRDefault="00A13DD7" w:rsidP="00A13DD7">
      <w:pPr>
        <w:shd w:val="clear" w:color="auto" w:fill="FFFFFF"/>
        <w:tabs>
          <w:tab w:val="left" w:pos="426"/>
          <w:tab w:val="left" w:pos="3596"/>
          <w:tab w:val="right" w:pos="10206"/>
        </w:tabs>
        <w:spacing w:after="0" w:line="22" w:lineRule="atLeast"/>
        <w:rPr>
          <w:rFonts w:ascii="Cambria" w:hAnsi="Cambria" w:cs="Arial"/>
          <w:b/>
          <w:i/>
          <w:color w:val="000000" w:themeColor="text1"/>
          <w:shd w:val="clear" w:color="auto" w:fill="FFFFFF"/>
        </w:rPr>
      </w:pPr>
      <w:r w:rsidRPr="009A0DA6">
        <w:rPr>
          <w:rFonts w:ascii="Cambria" w:eastAsia="Times New Roman" w:hAnsi="Cambria" w:cs="Times New Roman"/>
          <w:b/>
          <w:bCs/>
          <w:i/>
          <w:color w:val="000000" w:themeColor="text1"/>
          <w:lang w:eastAsia="en-AU"/>
        </w:rPr>
        <w:t xml:space="preserve">Also submitted by </w:t>
      </w:r>
      <w:r w:rsidRPr="009A0DA6">
        <w:rPr>
          <w:rFonts w:ascii="Cambria" w:hAnsi="Cambria" w:cs="Arial"/>
          <w:b/>
          <w:i/>
          <w:color w:val="000000" w:themeColor="text1"/>
          <w:shd w:val="clear" w:color="auto" w:fill="FFFFFF"/>
        </w:rPr>
        <w:t>the following congregations, using identical text:</w:t>
      </w:r>
    </w:p>
    <w:p w14:paraId="6B97257A" w14:textId="77777777" w:rsidR="00A13DD7" w:rsidRPr="009A0DA6" w:rsidRDefault="00A13DD7" w:rsidP="00F55252">
      <w:pPr>
        <w:pStyle w:val="ListParagraph"/>
        <w:numPr>
          <w:ilvl w:val="0"/>
          <w:numId w:val="140"/>
        </w:numPr>
        <w:shd w:val="clear" w:color="auto" w:fill="FFFFFF"/>
        <w:spacing w:after="0" w:line="22" w:lineRule="atLeast"/>
        <w:ind w:left="567" w:hanging="567"/>
        <w:rPr>
          <w:rFonts w:ascii="Cambria" w:hAnsi="Cambria" w:cs="Arial"/>
          <w:i/>
          <w:color w:val="000000" w:themeColor="text1"/>
          <w:shd w:val="clear" w:color="auto" w:fill="FFFFFF"/>
        </w:rPr>
      </w:pPr>
      <w:r w:rsidRPr="009A0DA6">
        <w:rPr>
          <w:rFonts w:ascii="Cambria" w:hAnsi="Cambria" w:cs="Arial"/>
          <w:i/>
          <w:color w:val="000000" w:themeColor="text1"/>
          <w:shd w:val="clear" w:color="auto" w:fill="FFFFFF"/>
        </w:rPr>
        <w:t>St Paul’s Lutheran Congregation, Sydney NSW</w:t>
      </w:r>
    </w:p>
    <w:p w14:paraId="2085B8A0" w14:textId="77777777" w:rsidR="00A13DD7" w:rsidRPr="009A0DA6" w:rsidRDefault="00A13DD7" w:rsidP="00F55252">
      <w:pPr>
        <w:pStyle w:val="ListParagraph"/>
        <w:numPr>
          <w:ilvl w:val="0"/>
          <w:numId w:val="140"/>
        </w:numPr>
        <w:shd w:val="clear" w:color="auto" w:fill="FFFFFF"/>
        <w:spacing w:after="0" w:line="22" w:lineRule="atLeast"/>
        <w:ind w:left="567" w:hanging="567"/>
        <w:rPr>
          <w:rFonts w:ascii="Cambria" w:hAnsi="Cambria" w:cs="Arial"/>
          <w:i/>
          <w:color w:val="000000" w:themeColor="text1"/>
          <w:shd w:val="clear" w:color="auto" w:fill="FFFFFF"/>
        </w:rPr>
      </w:pPr>
      <w:r w:rsidRPr="009A0DA6">
        <w:rPr>
          <w:rFonts w:ascii="Cambria" w:hAnsi="Cambria" w:cs="Arial"/>
          <w:i/>
          <w:color w:val="000000" w:themeColor="text1"/>
          <w:shd w:val="clear" w:color="auto" w:fill="FFFFFF"/>
        </w:rPr>
        <w:t>Church of the Good Shepherd Tuggeranong Lutheran Parish, ACT</w:t>
      </w:r>
    </w:p>
    <w:p w14:paraId="2010F8B0" w14:textId="31B7A19C" w:rsidR="00CE5065" w:rsidRPr="00892E6E" w:rsidRDefault="00A13DD7" w:rsidP="006404F0">
      <w:pPr>
        <w:pStyle w:val="ListParagraph"/>
        <w:numPr>
          <w:ilvl w:val="0"/>
          <w:numId w:val="140"/>
        </w:numPr>
        <w:shd w:val="clear" w:color="auto" w:fill="FFFFFF"/>
        <w:spacing w:after="0" w:line="22" w:lineRule="atLeast"/>
        <w:ind w:left="567" w:hanging="567"/>
        <w:rPr>
          <w:rFonts w:ascii="Cambria" w:eastAsiaTheme="majorEastAsia" w:hAnsi="Cambria" w:cstheme="majorBidi"/>
          <w:b/>
          <w:caps/>
          <w:sz w:val="28"/>
          <w:szCs w:val="24"/>
        </w:rPr>
      </w:pPr>
      <w:r w:rsidRPr="00892E6E">
        <w:rPr>
          <w:rFonts w:ascii="Cambria" w:hAnsi="Cambria" w:cs="Arial"/>
          <w:i/>
          <w:color w:val="000000" w:themeColor="text1"/>
          <w:shd w:val="clear" w:color="auto" w:fill="FFFFFF"/>
        </w:rPr>
        <w:t>Holy Cross Lutheran Congregation, Belconnen ACT</w:t>
      </w:r>
      <w:r w:rsidR="00CE5065" w:rsidRPr="00892E6E">
        <w:rPr>
          <w:rFonts w:ascii="Cambria" w:hAnsi="Cambria"/>
        </w:rPr>
        <w:br w:type="page"/>
      </w:r>
    </w:p>
    <w:p w14:paraId="48FD7F5C" w14:textId="5EF60B00" w:rsidR="00727D1E" w:rsidRPr="009A0DA6" w:rsidRDefault="00727D1E" w:rsidP="00964A90">
      <w:pPr>
        <w:pStyle w:val="Heading3"/>
      </w:pPr>
      <w:r w:rsidRPr="009A0DA6">
        <w:lastRenderedPageBreak/>
        <w:t>agenda 2.3.10</w:t>
      </w:r>
    </w:p>
    <w:p w14:paraId="400BD4F2" w14:textId="33D43922" w:rsidR="00727D1E" w:rsidRPr="009A0DA6" w:rsidRDefault="00201F24" w:rsidP="00727D1E">
      <w:pPr>
        <w:pStyle w:val="Heading2"/>
      </w:pPr>
      <w:bookmarkStart w:id="437" w:name="_Toc521954689"/>
      <w:r>
        <w:t>Request for a review of</w:t>
      </w:r>
      <w:r w:rsidR="006940AF">
        <w:t xml:space="preserve"> </w:t>
      </w:r>
      <w:r w:rsidR="00194B18" w:rsidRPr="009A0DA6">
        <w:t>the Professional Standards Department</w:t>
      </w:r>
      <w:bookmarkEnd w:id="437"/>
    </w:p>
    <w:p w14:paraId="20F530AB" w14:textId="465F14CC" w:rsidR="00727D1E" w:rsidRPr="004A186C" w:rsidRDefault="00727D1E" w:rsidP="00727D1E">
      <w:pPr>
        <w:pStyle w:val="NoSpacing"/>
        <w:rPr>
          <w:sz w:val="16"/>
        </w:rPr>
      </w:pPr>
    </w:p>
    <w:p w14:paraId="48ADA250" w14:textId="762B1531" w:rsidR="00507840" w:rsidRDefault="00507840" w:rsidP="00727D1E">
      <w:pPr>
        <w:pStyle w:val="NoSpacing"/>
      </w:pPr>
      <w:r>
        <w:t>(See also Agenda 2.2.6)</w:t>
      </w:r>
    </w:p>
    <w:p w14:paraId="6DD8E79E" w14:textId="77777777" w:rsidR="00507840" w:rsidRPr="004A186C" w:rsidRDefault="00507840" w:rsidP="00727D1E">
      <w:pPr>
        <w:pStyle w:val="NoSpacing"/>
        <w:rPr>
          <w:sz w:val="18"/>
        </w:rPr>
      </w:pPr>
    </w:p>
    <w:p w14:paraId="7958C10C" w14:textId="48F814B8" w:rsidR="00727D1E" w:rsidRPr="009A0DA6" w:rsidRDefault="00194B18" w:rsidP="00964A90">
      <w:pPr>
        <w:pStyle w:val="Heading3"/>
      </w:pPr>
      <w:r w:rsidRPr="009A0DA6">
        <w:t>proposed motion</w:t>
      </w:r>
    </w:p>
    <w:p w14:paraId="5CF2DAA6" w14:textId="6CADB338" w:rsidR="00727D1E" w:rsidRPr="009A0DA6" w:rsidRDefault="00727D1E" w:rsidP="00727D1E">
      <w:pPr>
        <w:pStyle w:val="NoSpacing"/>
      </w:pPr>
      <w:r w:rsidRPr="009A0DA6">
        <w:rPr>
          <w:i/>
        </w:rPr>
        <w:t>Submitted by Redeemer Lutheran Church, Toowoomba</w:t>
      </w:r>
      <w:r w:rsidR="00194B18" w:rsidRPr="009A0DA6">
        <w:rPr>
          <w:i/>
        </w:rPr>
        <w:t xml:space="preserve"> Qld</w:t>
      </w:r>
    </w:p>
    <w:p w14:paraId="6BBB04B8" w14:textId="77777777" w:rsidR="00727D1E" w:rsidRPr="009A0DA6" w:rsidRDefault="00727D1E" w:rsidP="00727D1E">
      <w:pPr>
        <w:pStyle w:val="NoSpacing"/>
        <w:rPr>
          <w:sz w:val="16"/>
        </w:rPr>
      </w:pPr>
    </w:p>
    <w:p w14:paraId="6F9B6D01" w14:textId="77777777" w:rsidR="00194B18" w:rsidRPr="009A0DA6" w:rsidRDefault="00194B18" w:rsidP="00194B18">
      <w:pPr>
        <w:spacing w:after="120" w:line="240" w:lineRule="auto"/>
        <w:rPr>
          <w:rFonts w:ascii="Cambria" w:hAnsi="Cambria" w:cs="Calibri"/>
          <w:color w:val="000000"/>
        </w:rPr>
      </w:pPr>
      <w:r w:rsidRPr="009A0DA6">
        <w:rPr>
          <w:rFonts w:ascii="Cambria" w:hAnsi="Cambria"/>
          <w:b/>
          <w:bCs/>
          <w:lang w:eastAsia="en-AU"/>
        </w:rPr>
        <w:t xml:space="preserve">BE IT RESOLVED </w:t>
      </w:r>
    </w:p>
    <w:p w14:paraId="38B1ABC9" w14:textId="77777777" w:rsidR="00194B18" w:rsidRPr="009A0DA6" w:rsidRDefault="00194B18" w:rsidP="00F55252">
      <w:pPr>
        <w:pStyle w:val="ListParagraph"/>
        <w:numPr>
          <w:ilvl w:val="0"/>
          <w:numId w:val="141"/>
        </w:numPr>
        <w:spacing w:after="0" w:line="267" w:lineRule="exact"/>
        <w:ind w:left="567" w:right="-20" w:hanging="567"/>
        <w:rPr>
          <w:rFonts w:ascii="Cambria" w:eastAsia="Calibri" w:hAnsi="Cambria" w:cs="Calibri"/>
        </w:rPr>
      </w:pPr>
      <w:r w:rsidRPr="009A0DA6">
        <w:rPr>
          <w:rFonts w:ascii="Cambria" w:eastAsia="Calibri" w:hAnsi="Cambria" w:cs="Calibri"/>
          <w:position w:val="1"/>
        </w:rPr>
        <w:t>That</w:t>
      </w:r>
      <w:r w:rsidRPr="009A0DA6">
        <w:rPr>
          <w:rFonts w:ascii="Cambria" w:eastAsia="Calibri" w:hAnsi="Cambria" w:cs="Calibri"/>
          <w:spacing w:val="1"/>
          <w:position w:val="1"/>
        </w:rPr>
        <w:t xml:space="preserve"> </w:t>
      </w:r>
      <w:r w:rsidRPr="009A0DA6">
        <w:rPr>
          <w:rFonts w:ascii="Cambria" w:eastAsia="Calibri" w:hAnsi="Cambria" w:cs="Calibri"/>
          <w:position w:val="1"/>
        </w:rPr>
        <w:t xml:space="preserve">a </w:t>
      </w:r>
      <w:r w:rsidRPr="009A0DA6">
        <w:rPr>
          <w:rFonts w:ascii="Cambria" w:eastAsia="Calibri" w:hAnsi="Cambria" w:cs="Calibri"/>
          <w:spacing w:val="-2"/>
          <w:position w:val="1"/>
        </w:rPr>
        <w:t>t</w:t>
      </w:r>
      <w:r w:rsidRPr="009A0DA6">
        <w:rPr>
          <w:rFonts w:ascii="Cambria" w:eastAsia="Calibri" w:hAnsi="Cambria" w:cs="Calibri"/>
          <w:position w:val="1"/>
        </w:rPr>
        <w:t>ask</w:t>
      </w:r>
      <w:r w:rsidRPr="009A0DA6">
        <w:rPr>
          <w:rFonts w:ascii="Cambria" w:eastAsia="Calibri" w:hAnsi="Cambria" w:cs="Calibri"/>
          <w:spacing w:val="-2"/>
          <w:position w:val="1"/>
        </w:rPr>
        <w:t>f</w:t>
      </w:r>
      <w:r w:rsidRPr="009A0DA6">
        <w:rPr>
          <w:rFonts w:ascii="Cambria" w:eastAsia="Calibri" w:hAnsi="Cambria" w:cs="Calibri"/>
          <w:spacing w:val="1"/>
          <w:position w:val="1"/>
        </w:rPr>
        <w:t>o</w:t>
      </w:r>
      <w:r w:rsidRPr="009A0DA6">
        <w:rPr>
          <w:rFonts w:ascii="Cambria" w:eastAsia="Calibri" w:hAnsi="Cambria" w:cs="Calibri"/>
          <w:position w:val="1"/>
        </w:rPr>
        <w:t>rce</w:t>
      </w:r>
      <w:r w:rsidRPr="009A0DA6">
        <w:rPr>
          <w:rFonts w:ascii="Cambria" w:eastAsia="Calibri" w:hAnsi="Cambria" w:cs="Calibri"/>
          <w:spacing w:val="-2"/>
          <w:position w:val="1"/>
        </w:rPr>
        <w:t xml:space="preserve"> </w:t>
      </w:r>
      <w:r w:rsidRPr="009A0DA6">
        <w:rPr>
          <w:rFonts w:ascii="Cambria" w:eastAsia="Calibri" w:hAnsi="Cambria" w:cs="Calibri"/>
          <w:position w:val="1"/>
        </w:rPr>
        <w:t>be</w:t>
      </w:r>
      <w:r w:rsidRPr="009A0DA6">
        <w:rPr>
          <w:rFonts w:ascii="Cambria" w:eastAsia="Calibri" w:hAnsi="Cambria" w:cs="Calibri"/>
          <w:spacing w:val="-2"/>
          <w:position w:val="1"/>
        </w:rPr>
        <w:t xml:space="preserve"> </w:t>
      </w:r>
      <w:r w:rsidRPr="009A0DA6">
        <w:rPr>
          <w:rFonts w:ascii="Cambria" w:eastAsia="Calibri" w:hAnsi="Cambria" w:cs="Calibri"/>
          <w:position w:val="1"/>
        </w:rPr>
        <w:t>es</w:t>
      </w:r>
      <w:r w:rsidRPr="009A0DA6">
        <w:rPr>
          <w:rFonts w:ascii="Cambria" w:eastAsia="Calibri" w:hAnsi="Cambria" w:cs="Calibri"/>
          <w:spacing w:val="1"/>
          <w:position w:val="1"/>
        </w:rPr>
        <w:t>t</w:t>
      </w:r>
      <w:r w:rsidRPr="009A0DA6">
        <w:rPr>
          <w:rFonts w:ascii="Cambria" w:eastAsia="Calibri" w:hAnsi="Cambria" w:cs="Calibri"/>
          <w:position w:val="1"/>
        </w:rPr>
        <w:t>a</w:t>
      </w:r>
      <w:r w:rsidRPr="009A0DA6">
        <w:rPr>
          <w:rFonts w:ascii="Cambria" w:eastAsia="Calibri" w:hAnsi="Cambria" w:cs="Calibri"/>
          <w:spacing w:val="-1"/>
          <w:position w:val="1"/>
        </w:rPr>
        <w:t>b</w:t>
      </w:r>
      <w:r w:rsidRPr="009A0DA6">
        <w:rPr>
          <w:rFonts w:ascii="Cambria" w:eastAsia="Calibri" w:hAnsi="Cambria" w:cs="Calibri"/>
          <w:position w:val="1"/>
        </w:rPr>
        <w:t>li</w:t>
      </w:r>
      <w:r w:rsidRPr="009A0DA6">
        <w:rPr>
          <w:rFonts w:ascii="Cambria" w:eastAsia="Calibri" w:hAnsi="Cambria" w:cs="Calibri"/>
          <w:spacing w:val="-2"/>
          <w:position w:val="1"/>
        </w:rPr>
        <w:t>s</w:t>
      </w:r>
      <w:r w:rsidRPr="009A0DA6">
        <w:rPr>
          <w:rFonts w:ascii="Cambria" w:eastAsia="Calibri" w:hAnsi="Cambria" w:cs="Calibri"/>
          <w:spacing w:val="-1"/>
          <w:position w:val="1"/>
        </w:rPr>
        <w:t>h</w:t>
      </w:r>
      <w:r w:rsidRPr="009A0DA6">
        <w:rPr>
          <w:rFonts w:ascii="Cambria" w:eastAsia="Calibri" w:hAnsi="Cambria" w:cs="Calibri"/>
          <w:position w:val="1"/>
        </w:rPr>
        <w:t>ed by</w:t>
      </w:r>
      <w:r w:rsidRPr="009A0DA6">
        <w:rPr>
          <w:rFonts w:ascii="Cambria" w:eastAsia="Calibri" w:hAnsi="Cambria" w:cs="Calibri"/>
          <w:spacing w:val="1"/>
          <w:position w:val="1"/>
        </w:rPr>
        <w:t xml:space="preserve"> </w:t>
      </w:r>
      <w:r w:rsidRPr="009A0DA6">
        <w:rPr>
          <w:rFonts w:ascii="Cambria" w:eastAsia="Calibri" w:hAnsi="Cambria" w:cs="Calibri"/>
          <w:position w:val="1"/>
        </w:rPr>
        <w:t>the</w:t>
      </w:r>
      <w:r w:rsidRPr="009A0DA6">
        <w:rPr>
          <w:rFonts w:ascii="Cambria" w:eastAsia="Calibri" w:hAnsi="Cambria" w:cs="Calibri"/>
          <w:spacing w:val="-2"/>
          <w:position w:val="1"/>
        </w:rPr>
        <w:t xml:space="preserve"> C</w:t>
      </w:r>
      <w:r w:rsidRPr="009A0DA6">
        <w:rPr>
          <w:rFonts w:ascii="Cambria" w:eastAsia="Calibri" w:hAnsi="Cambria" w:cs="Calibri"/>
          <w:spacing w:val="1"/>
          <w:position w:val="1"/>
        </w:rPr>
        <w:t>o</w:t>
      </w:r>
      <w:r w:rsidRPr="009A0DA6">
        <w:rPr>
          <w:rFonts w:ascii="Cambria" w:eastAsia="Calibri" w:hAnsi="Cambria" w:cs="Calibri"/>
          <w:position w:val="1"/>
        </w:rPr>
        <w:t>llege</w:t>
      </w:r>
      <w:r w:rsidRPr="009A0DA6">
        <w:rPr>
          <w:rFonts w:ascii="Cambria" w:eastAsia="Calibri" w:hAnsi="Cambria" w:cs="Calibri"/>
          <w:spacing w:val="-1"/>
          <w:position w:val="1"/>
        </w:rPr>
        <w:t xml:space="preserve"> </w:t>
      </w:r>
      <w:r w:rsidRPr="009A0DA6">
        <w:rPr>
          <w:rFonts w:ascii="Cambria" w:eastAsia="Calibri" w:hAnsi="Cambria" w:cs="Calibri"/>
          <w:spacing w:val="1"/>
          <w:position w:val="1"/>
        </w:rPr>
        <w:t>o</w:t>
      </w:r>
      <w:r w:rsidRPr="009A0DA6">
        <w:rPr>
          <w:rFonts w:ascii="Cambria" w:eastAsia="Calibri" w:hAnsi="Cambria" w:cs="Calibri"/>
          <w:position w:val="1"/>
        </w:rPr>
        <w:t>f B</w:t>
      </w:r>
      <w:r w:rsidRPr="009A0DA6">
        <w:rPr>
          <w:rFonts w:ascii="Cambria" w:eastAsia="Calibri" w:hAnsi="Cambria" w:cs="Calibri"/>
          <w:spacing w:val="-3"/>
          <w:position w:val="1"/>
        </w:rPr>
        <w:t>i</w:t>
      </w:r>
      <w:r w:rsidRPr="009A0DA6">
        <w:rPr>
          <w:rFonts w:ascii="Cambria" w:eastAsia="Calibri" w:hAnsi="Cambria" w:cs="Calibri"/>
          <w:position w:val="1"/>
        </w:rPr>
        <w:t>sh</w:t>
      </w:r>
      <w:r w:rsidRPr="009A0DA6">
        <w:rPr>
          <w:rFonts w:ascii="Cambria" w:eastAsia="Calibri" w:hAnsi="Cambria" w:cs="Calibri"/>
          <w:spacing w:val="-2"/>
          <w:position w:val="1"/>
        </w:rPr>
        <w:t>o</w:t>
      </w:r>
      <w:r w:rsidRPr="009A0DA6">
        <w:rPr>
          <w:rFonts w:ascii="Cambria" w:eastAsia="Calibri" w:hAnsi="Cambria" w:cs="Calibri"/>
          <w:spacing w:val="-1"/>
          <w:position w:val="1"/>
        </w:rPr>
        <w:t>p</w:t>
      </w:r>
      <w:r w:rsidRPr="009A0DA6">
        <w:rPr>
          <w:rFonts w:ascii="Cambria" w:eastAsia="Calibri" w:hAnsi="Cambria" w:cs="Calibri"/>
          <w:position w:val="1"/>
        </w:rPr>
        <w:t>s and</w:t>
      </w:r>
      <w:r w:rsidRPr="009A0DA6">
        <w:rPr>
          <w:rFonts w:ascii="Cambria" w:eastAsia="Calibri" w:hAnsi="Cambria" w:cs="Calibri"/>
          <w:spacing w:val="-1"/>
          <w:position w:val="1"/>
        </w:rPr>
        <w:t xml:space="preserve"> </w:t>
      </w:r>
      <w:r w:rsidRPr="009A0DA6">
        <w:rPr>
          <w:rFonts w:ascii="Cambria" w:eastAsia="Calibri" w:hAnsi="Cambria" w:cs="Calibri"/>
          <w:position w:val="1"/>
        </w:rPr>
        <w:t>be</w:t>
      </w:r>
      <w:r w:rsidRPr="009A0DA6">
        <w:rPr>
          <w:rFonts w:ascii="Cambria" w:eastAsia="Calibri" w:hAnsi="Cambria" w:cs="Calibri"/>
          <w:spacing w:val="1"/>
          <w:position w:val="1"/>
        </w:rPr>
        <w:t xml:space="preserve"> </w:t>
      </w:r>
      <w:r w:rsidRPr="009A0DA6">
        <w:rPr>
          <w:rFonts w:ascii="Cambria" w:eastAsia="Calibri" w:hAnsi="Cambria" w:cs="Calibri"/>
          <w:spacing w:val="-1"/>
          <w:position w:val="1"/>
        </w:rPr>
        <w:t>g</w:t>
      </w:r>
      <w:r w:rsidRPr="009A0DA6">
        <w:rPr>
          <w:rFonts w:ascii="Cambria" w:eastAsia="Calibri" w:hAnsi="Cambria" w:cs="Calibri"/>
          <w:position w:val="1"/>
        </w:rPr>
        <w:t>i</w:t>
      </w:r>
      <w:r w:rsidRPr="009A0DA6">
        <w:rPr>
          <w:rFonts w:ascii="Cambria" w:eastAsia="Calibri" w:hAnsi="Cambria" w:cs="Calibri"/>
          <w:spacing w:val="-2"/>
          <w:position w:val="1"/>
        </w:rPr>
        <w:t>v</w:t>
      </w:r>
      <w:r w:rsidRPr="009A0DA6">
        <w:rPr>
          <w:rFonts w:ascii="Cambria" w:eastAsia="Calibri" w:hAnsi="Cambria" w:cs="Calibri"/>
          <w:position w:val="1"/>
        </w:rPr>
        <w:t>en the</w:t>
      </w:r>
      <w:r w:rsidRPr="009A0DA6">
        <w:rPr>
          <w:rFonts w:ascii="Cambria" w:eastAsia="Calibri" w:hAnsi="Cambria" w:cs="Calibri"/>
          <w:spacing w:val="1"/>
          <w:position w:val="1"/>
        </w:rPr>
        <w:t xml:space="preserve"> </w:t>
      </w:r>
      <w:r w:rsidRPr="009A0DA6">
        <w:rPr>
          <w:rFonts w:ascii="Cambria" w:eastAsia="Calibri" w:hAnsi="Cambria" w:cs="Calibri"/>
          <w:spacing w:val="-3"/>
          <w:position w:val="1"/>
        </w:rPr>
        <w:t>p</w:t>
      </w:r>
      <w:r w:rsidRPr="009A0DA6">
        <w:rPr>
          <w:rFonts w:ascii="Cambria" w:eastAsia="Calibri" w:hAnsi="Cambria" w:cs="Calibri"/>
          <w:spacing w:val="1"/>
          <w:position w:val="1"/>
        </w:rPr>
        <w:t>o</w:t>
      </w:r>
      <w:r w:rsidRPr="009A0DA6">
        <w:rPr>
          <w:rFonts w:ascii="Cambria" w:eastAsia="Calibri" w:hAnsi="Cambria" w:cs="Calibri"/>
          <w:spacing w:val="-2"/>
          <w:position w:val="1"/>
        </w:rPr>
        <w:t>w</w:t>
      </w:r>
      <w:r w:rsidRPr="009A0DA6">
        <w:rPr>
          <w:rFonts w:ascii="Cambria" w:eastAsia="Calibri" w:hAnsi="Cambria" w:cs="Calibri"/>
          <w:position w:val="1"/>
        </w:rPr>
        <w:t>er</w:t>
      </w:r>
      <w:r w:rsidRPr="009A0DA6">
        <w:rPr>
          <w:rFonts w:ascii="Cambria" w:eastAsia="Calibri" w:hAnsi="Cambria" w:cs="Calibri"/>
          <w:spacing w:val="-1"/>
          <w:position w:val="1"/>
        </w:rPr>
        <w:t xml:space="preserve"> </w:t>
      </w:r>
      <w:r w:rsidRPr="009A0DA6">
        <w:rPr>
          <w:rFonts w:ascii="Cambria" w:eastAsia="Calibri" w:hAnsi="Cambria" w:cs="Calibri"/>
          <w:position w:val="1"/>
        </w:rPr>
        <w:t>a</w:t>
      </w:r>
      <w:r w:rsidRPr="009A0DA6">
        <w:rPr>
          <w:rFonts w:ascii="Cambria" w:eastAsia="Calibri" w:hAnsi="Cambria" w:cs="Calibri"/>
          <w:spacing w:val="-1"/>
          <w:position w:val="1"/>
        </w:rPr>
        <w:t>n</w:t>
      </w:r>
      <w:r w:rsidRPr="009A0DA6">
        <w:rPr>
          <w:rFonts w:ascii="Cambria" w:eastAsia="Calibri" w:hAnsi="Cambria" w:cs="Calibri"/>
          <w:position w:val="1"/>
        </w:rPr>
        <w:t>d</w:t>
      </w:r>
      <w:r w:rsidRPr="009A0DA6">
        <w:rPr>
          <w:rFonts w:ascii="Cambria" w:eastAsia="Calibri" w:hAnsi="Cambria" w:cs="Calibri"/>
          <w:spacing w:val="-1"/>
          <w:position w:val="1"/>
        </w:rPr>
        <w:t xml:space="preserve"> </w:t>
      </w:r>
      <w:r w:rsidRPr="009A0DA6">
        <w:rPr>
          <w:rFonts w:ascii="Cambria" w:eastAsia="Calibri" w:hAnsi="Cambria" w:cs="Calibri"/>
          <w:position w:val="1"/>
        </w:rPr>
        <w:t>r</w:t>
      </w:r>
      <w:r w:rsidRPr="009A0DA6">
        <w:rPr>
          <w:rFonts w:ascii="Cambria" w:eastAsia="Calibri" w:hAnsi="Cambria" w:cs="Calibri"/>
          <w:spacing w:val="1"/>
          <w:position w:val="1"/>
        </w:rPr>
        <w:t>e</w:t>
      </w:r>
      <w:r w:rsidRPr="009A0DA6">
        <w:rPr>
          <w:rFonts w:ascii="Cambria" w:eastAsia="Calibri" w:hAnsi="Cambria" w:cs="Calibri"/>
          <w:position w:val="1"/>
        </w:rPr>
        <w:t>s</w:t>
      </w:r>
      <w:r w:rsidRPr="009A0DA6">
        <w:rPr>
          <w:rFonts w:ascii="Cambria" w:eastAsia="Calibri" w:hAnsi="Cambria" w:cs="Calibri"/>
          <w:spacing w:val="1"/>
          <w:position w:val="1"/>
        </w:rPr>
        <w:t>o</w:t>
      </w:r>
      <w:r w:rsidRPr="009A0DA6">
        <w:rPr>
          <w:rFonts w:ascii="Cambria" w:eastAsia="Calibri" w:hAnsi="Cambria" w:cs="Calibri"/>
          <w:spacing w:val="-1"/>
          <w:position w:val="1"/>
        </w:rPr>
        <w:t>u</w:t>
      </w:r>
      <w:r w:rsidRPr="009A0DA6">
        <w:rPr>
          <w:rFonts w:ascii="Cambria" w:eastAsia="Calibri" w:hAnsi="Cambria" w:cs="Calibri"/>
          <w:position w:val="1"/>
        </w:rPr>
        <w:t>r</w:t>
      </w:r>
      <w:r w:rsidRPr="009A0DA6">
        <w:rPr>
          <w:rFonts w:ascii="Cambria" w:eastAsia="Calibri" w:hAnsi="Cambria" w:cs="Calibri"/>
          <w:spacing w:val="-2"/>
          <w:position w:val="1"/>
        </w:rPr>
        <w:t>c</w:t>
      </w:r>
      <w:r w:rsidRPr="009A0DA6">
        <w:rPr>
          <w:rFonts w:ascii="Cambria" w:eastAsia="Calibri" w:hAnsi="Cambria" w:cs="Calibri"/>
          <w:position w:val="1"/>
        </w:rPr>
        <w:t>es</w:t>
      </w:r>
      <w:r w:rsidRPr="009A0DA6">
        <w:rPr>
          <w:rFonts w:ascii="Cambria" w:eastAsia="Calibri" w:hAnsi="Cambria" w:cs="Calibri"/>
          <w:spacing w:val="1"/>
          <w:position w:val="1"/>
        </w:rPr>
        <w:t xml:space="preserve"> </w:t>
      </w:r>
      <w:r w:rsidRPr="009A0DA6">
        <w:rPr>
          <w:rFonts w:ascii="Cambria" w:eastAsia="Calibri" w:hAnsi="Cambria" w:cs="Calibri"/>
          <w:position w:val="1"/>
        </w:rPr>
        <w:t>it</w:t>
      </w:r>
      <w:r w:rsidRPr="009A0DA6">
        <w:rPr>
          <w:rFonts w:ascii="Cambria" w:eastAsia="Calibri" w:hAnsi="Cambria" w:cs="Calibri"/>
          <w:spacing w:val="-2"/>
          <w:position w:val="1"/>
        </w:rPr>
        <w:t xml:space="preserve"> </w:t>
      </w:r>
      <w:r w:rsidRPr="009A0DA6">
        <w:rPr>
          <w:rFonts w:ascii="Cambria" w:eastAsia="Calibri" w:hAnsi="Cambria" w:cs="Calibri"/>
          <w:position w:val="1"/>
        </w:rPr>
        <w:t>ne</w:t>
      </w:r>
      <w:r w:rsidRPr="009A0DA6">
        <w:rPr>
          <w:rFonts w:ascii="Cambria" w:eastAsia="Calibri" w:hAnsi="Cambria" w:cs="Calibri"/>
          <w:spacing w:val="1"/>
          <w:position w:val="1"/>
        </w:rPr>
        <w:t>e</w:t>
      </w:r>
      <w:r w:rsidRPr="009A0DA6">
        <w:rPr>
          <w:rFonts w:ascii="Cambria" w:eastAsia="Calibri" w:hAnsi="Cambria" w:cs="Calibri"/>
          <w:spacing w:val="-1"/>
          <w:position w:val="1"/>
        </w:rPr>
        <w:t>d</w:t>
      </w:r>
      <w:r w:rsidRPr="009A0DA6">
        <w:rPr>
          <w:rFonts w:ascii="Cambria" w:eastAsia="Calibri" w:hAnsi="Cambria" w:cs="Calibri"/>
          <w:position w:val="1"/>
        </w:rPr>
        <w:t>s</w:t>
      </w:r>
      <w:r w:rsidRPr="009A0DA6">
        <w:rPr>
          <w:rFonts w:ascii="Cambria" w:eastAsia="Calibri" w:hAnsi="Cambria" w:cs="Calibri"/>
          <w:spacing w:val="-2"/>
          <w:position w:val="1"/>
        </w:rPr>
        <w:t xml:space="preserve"> t</w:t>
      </w:r>
      <w:r w:rsidRPr="009A0DA6">
        <w:rPr>
          <w:rFonts w:ascii="Cambria" w:eastAsia="Calibri" w:hAnsi="Cambria" w:cs="Calibri"/>
          <w:position w:val="1"/>
        </w:rPr>
        <w:t xml:space="preserve">o </w:t>
      </w:r>
      <w:r w:rsidRPr="009A0DA6">
        <w:rPr>
          <w:rFonts w:ascii="Cambria" w:eastAsia="Calibri" w:hAnsi="Cambria" w:cs="Calibri"/>
        </w:rPr>
        <w:t>c</w:t>
      </w:r>
      <w:r w:rsidRPr="009A0DA6">
        <w:rPr>
          <w:rFonts w:ascii="Cambria" w:eastAsia="Calibri" w:hAnsi="Cambria" w:cs="Calibri"/>
          <w:spacing w:val="1"/>
        </w:rPr>
        <w:t>o</w:t>
      </w:r>
      <w:r w:rsidRPr="009A0DA6">
        <w:rPr>
          <w:rFonts w:ascii="Cambria" w:eastAsia="Calibri" w:hAnsi="Cambria" w:cs="Calibri"/>
          <w:spacing w:val="-1"/>
        </w:rPr>
        <w:t>ndu</w:t>
      </w:r>
      <w:r w:rsidRPr="009A0DA6">
        <w:rPr>
          <w:rFonts w:ascii="Cambria" w:eastAsia="Calibri" w:hAnsi="Cambria" w:cs="Calibri"/>
        </w:rPr>
        <w:t>ct</w:t>
      </w:r>
      <w:r w:rsidRPr="009A0DA6">
        <w:rPr>
          <w:rFonts w:ascii="Cambria" w:eastAsia="Calibri" w:hAnsi="Cambria" w:cs="Calibri"/>
          <w:spacing w:val="1"/>
        </w:rPr>
        <w:t xml:space="preserve"> </w:t>
      </w:r>
      <w:r w:rsidRPr="009A0DA6">
        <w:rPr>
          <w:rFonts w:ascii="Cambria" w:eastAsia="Calibri" w:hAnsi="Cambria" w:cs="Calibri"/>
        </w:rPr>
        <w:t>a</w:t>
      </w:r>
      <w:r w:rsidRPr="009A0DA6">
        <w:rPr>
          <w:rFonts w:ascii="Cambria" w:eastAsia="Calibri" w:hAnsi="Cambria" w:cs="Calibri"/>
          <w:spacing w:val="-2"/>
        </w:rPr>
        <w:t xml:space="preserve">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spacing w:val="1"/>
        </w:rPr>
        <w:t>o</w:t>
      </w:r>
      <w:r w:rsidRPr="009A0DA6">
        <w:rPr>
          <w:rFonts w:ascii="Cambria" w:eastAsia="Calibri" w:hAnsi="Cambria" w:cs="Calibri"/>
          <w:spacing w:val="-3"/>
        </w:rPr>
        <w:t>r</w:t>
      </w:r>
      <w:r w:rsidRPr="009A0DA6">
        <w:rPr>
          <w:rFonts w:ascii="Cambria" w:eastAsia="Calibri" w:hAnsi="Cambria" w:cs="Calibri"/>
          <w:spacing w:val="1"/>
        </w:rPr>
        <w:t>o</w:t>
      </w:r>
      <w:r w:rsidRPr="009A0DA6">
        <w:rPr>
          <w:rFonts w:ascii="Cambria" w:eastAsia="Calibri" w:hAnsi="Cambria" w:cs="Calibri"/>
          <w:spacing w:val="-1"/>
        </w:rPr>
        <w:t>ug</w:t>
      </w:r>
      <w:r w:rsidRPr="009A0DA6">
        <w:rPr>
          <w:rFonts w:ascii="Cambria" w:eastAsia="Calibri" w:hAnsi="Cambria" w:cs="Calibri"/>
        </w:rPr>
        <w:t>h</w:t>
      </w:r>
      <w:r w:rsidRPr="009A0DA6">
        <w:rPr>
          <w:rFonts w:ascii="Cambria" w:eastAsia="Calibri" w:hAnsi="Cambria" w:cs="Calibri"/>
          <w:spacing w:val="-1"/>
        </w:rPr>
        <w:t xml:space="preserve"> </w:t>
      </w:r>
      <w:r w:rsidRPr="009A0DA6">
        <w:rPr>
          <w:rFonts w:ascii="Cambria" w:eastAsia="Calibri" w:hAnsi="Cambria" w:cs="Calibri"/>
        </w:rPr>
        <w:t>r</w:t>
      </w:r>
      <w:r w:rsidRPr="009A0DA6">
        <w:rPr>
          <w:rFonts w:ascii="Cambria" w:eastAsia="Calibri" w:hAnsi="Cambria" w:cs="Calibri"/>
          <w:spacing w:val="-2"/>
        </w:rPr>
        <w:t>e</w:t>
      </w:r>
      <w:r w:rsidRPr="009A0DA6">
        <w:rPr>
          <w:rFonts w:ascii="Cambria" w:eastAsia="Calibri" w:hAnsi="Cambria" w:cs="Calibri"/>
          <w:spacing w:val="1"/>
        </w:rPr>
        <w:t>v</w:t>
      </w:r>
      <w:r w:rsidRPr="009A0DA6">
        <w:rPr>
          <w:rFonts w:ascii="Cambria" w:eastAsia="Calibri" w:hAnsi="Cambria" w:cs="Calibri"/>
        </w:rPr>
        <w:t>i</w:t>
      </w:r>
      <w:r w:rsidRPr="009A0DA6">
        <w:rPr>
          <w:rFonts w:ascii="Cambria" w:eastAsia="Calibri" w:hAnsi="Cambria" w:cs="Calibri"/>
          <w:spacing w:val="-2"/>
        </w:rPr>
        <w:t>e</w:t>
      </w:r>
      <w:r w:rsidRPr="009A0DA6">
        <w:rPr>
          <w:rFonts w:ascii="Cambria" w:eastAsia="Calibri" w:hAnsi="Cambria" w:cs="Calibri"/>
        </w:rPr>
        <w:t>w</w:t>
      </w:r>
      <w:r w:rsidRPr="009A0DA6">
        <w:rPr>
          <w:rFonts w:ascii="Cambria" w:eastAsia="Calibri" w:hAnsi="Cambria" w:cs="Calibri"/>
          <w:spacing w:val="-2"/>
        </w:rPr>
        <w:t xml:space="preserve"> </w:t>
      </w:r>
      <w:r w:rsidRPr="009A0DA6">
        <w:rPr>
          <w:rFonts w:ascii="Cambria" w:eastAsia="Calibri" w:hAnsi="Cambria" w:cs="Calibri"/>
          <w:spacing w:val="1"/>
        </w:rPr>
        <w:t>o</w:t>
      </w:r>
      <w:r w:rsidRPr="009A0DA6">
        <w:rPr>
          <w:rFonts w:ascii="Cambria" w:eastAsia="Calibri" w:hAnsi="Cambria" w:cs="Calibri"/>
        </w:rPr>
        <w:t>f</w:t>
      </w:r>
      <w:r w:rsidRPr="009A0DA6">
        <w:rPr>
          <w:rFonts w:ascii="Cambria" w:eastAsia="Calibri" w:hAnsi="Cambria" w:cs="Calibri"/>
          <w:spacing w:val="-2"/>
        </w:rPr>
        <w:t xml:space="preserve"> </w:t>
      </w:r>
      <w:r w:rsidRPr="009A0DA6">
        <w:rPr>
          <w:rFonts w:ascii="Cambria" w:eastAsia="Calibri" w:hAnsi="Cambria" w:cs="Calibri"/>
        </w:rPr>
        <w:t>the</w:t>
      </w:r>
      <w:r w:rsidRPr="009A0DA6">
        <w:rPr>
          <w:rFonts w:ascii="Cambria" w:eastAsia="Calibri" w:hAnsi="Cambria" w:cs="Calibri"/>
          <w:spacing w:val="-2"/>
        </w:rPr>
        <w:t xml:space="preserve"> </w:t>
      </w:r>
      <w:r w:rsidRPr="009A0DA6">
        <w:rPr>
          <w:rFonts w:ascii="Cambria" w:eastAsia="Calibri" w:hAnsi="Cambria" w:cs="Calibri"/>
          <w:spacing w:val="1"/>
        </w:rPr>
        <w:t>P</w:t>
      </w:r>
      <w:r w:rsidRPr="009A0DA6">
        <w:rPr>
          <w:rFonts w:ascii="Cambria" w:eastAsia="Calibri" w:hAnsi="Cambria" w:cs="Calibri"/>
        </w:rPr>
        <w:t>r</w:t>
      </w:r>
      <w:r w:rsidRPr="009A0DA6">
        <w:rPr>
          <w:rFonts w:ascii="Cambria" w:eastAsia="Calibri" w:hAnsi="Cambria" w:cs="Calibri"/>
          <w:spacing w:val="1"/>
        </w:rPr>
        <w:t>o</w:t>
      </w:r>
      <w:r w:rsidRPr="009A0DA6">
        <w:rPr>
          <w:rFonts w:ascii="Cambria" w:eastAsia="Calibri" w:hAnsi="Cambria" w:cs="Calibri"/>
          <w:spacing w:val="-3"/>
        </w:rPr>
        <w:t>f</w:t>
      </w:r>
      <w:r w:rsidRPr="009A0DA6">
        <w:rPr>
          <w:rFonts w:ascii="Cambria" w:eastAsia="Calibri" w:hAnsi="Cambria" w:cs="Calibri"/>
        </w:rPr>
        <w:t>ess</w:t>
      </w:r>
      <w:r w:rsidRPr="009A0DA6">
        <w:rPr>
          <w:rFonts w:ascii="Cambria" w:eastAsia="Calibri" w:hAnsi="Cambria" w:cs="Calibri"/>
          <w:spacing w:val="-2"/>
        </w:rPr>
        <w:t>i</w:t>
      </w:r>
      <w:r w:rsidRPr="009A0DA6">
        <w:rPr>
          <w:rFonts w:ascii="Cambria" w:eastAsia="Calibri" w:hAnsi="Cambria" w:cs="Calibri"/>
          <w:spacing w:val="1"/>
        </w:rPr>
        <w:t>o</w:t>
      </w:r>
      <w:r w:rsidRPr="009A0DA6">
        <w:rPr>
          <w:rFonts w:ascii="Cambria" w:eastAsia="Calibri" w:hAnsi="Cambria" w:cs="Calibri"/>
          <w:spacing w:val="-1"/>
        </w:rPr>
        <w:t>n</w:t>
      </w:r>
      <w:r w:rsidRPr="009A0DA6">
        <w:rPr>
          <w:rFonts w:ascii="Cambria" w:eastAsia="Calibri" w:hAnsi="Cambria" w:cs="Calibri"/>
        </w:rPr>
        <w:t>al Sta</w:t>
      </w:r>
      <w:r w:rsidRPr="009A0DA6">
        <w:rPr>
          <w:rFonts w:ascii="Cambria" w:eastAsia="Calibri" w:hAnsi="Cambria" w:cs="Calibri"/>
          <w:spacing w:val="-1"/>
        </w:rPr>
        <w:t>nd</w:t>
      </w:r>
      <w:r w:rsidRPr="009A0DA6">
        <w:rPr>
          <w:rFonts w:ascii="Cambria" w:eastAsia="Calibri" w:hAnsi="Cambria" w:cs="Calibri"/>
          <w:spacing w:val="-3"/>
        </w:rPr>
        <w:t>a</w:t>
      </w:r>
      <w:r w:rsidRPr="009A0DA6">
        <w:rPr>
          <w:rFonts w:ascii="Cambria" w:eastAsia="Calibri" w:hAnsi="Cambria" w:cs="Calibri"/>
        </w:rPr>
        <w:t>r</w:t>
      </w:r>
      <w:r w:rsidRPr="009A0DA6">
        <w:rPr>
          <w:rFonts w:ascii="Cambria" w:eastAsia="Calibri" w:hAnsi="Cambria" w:cs="Calibri"/>
          <w:spacing w:val="-1"/>
        </w:rPr>
        <w:t>d</w:t>
      </w:r>
      <w:r w:rsidRPr="009A0DA6">
        <w:rPr>
          <w:rFonts w:ascii="Cambria" w:eastAsia="Calibri" w:hAnsi="Cambria" w:cs="Calibri"/>
        </w:rPr>
        <w:t xml:space="preserve">s </w:t>
      </w:r>
      <w:r w:rsidRPr="009A0DA6">
        <w:rPr>
          <w:rFonts w:ascii="Cambria" w:eastAsia="Calibri" w:hAnsi="Cambria" w:cs="Calibri"/>
          <w:spacing w:val="1"/>
        </w:rPr>
        <w:t>D</w:t>
      </w:r>
      <w:r w:rsidRPr="009A0DA6">
        <w:rPr>
          <w:rFonts w:ascii="Cambria" w:eastAsia="Calibri" w:hAnsi="Cambria" w:cs="Calibri"/>
        </w:rPr>
        <w:t>epa</w:t>
      </w:r>
      <w:r w:rsidRPr="009A0DA6">
        <w:rPr>
          <w:rFonts w:ascii="Cambria" w:eastAsia="Calibri" w:hAnsi="Cambria" w:cs="Calibri"/>
          <w:spacing w:val="-3"/>
        </w:rPr>
        <w:t>r</w:t>
      </w:r>
      <w:r w:rsidRPr="009A0DA6">
        <w:rPr>
          <w:rFonts w:ascii="Cambria" w:eastAsia="Calibri" w:hAnsi="Cambria" w:cs="Calibri"/>
        </w:rPr>
        <w:t>t</w:t>
      </w:r>
      <w:r w:rsidRPr="009A0DA6">
        <w:rPr>
          <w:rFonts w:ascii="Cambria" w:eastAsia="Calibri" w:hAnsi="Cambria" w:cs="Calibri"/>
          <w:spacing w:val="-1"/>
        </w:rPr>
        <w:t>m</w:t>
      </w:r>
      <w:r w:rsidRPr="009A0DA6">
        <w:rPr>
          <w:rFonts w:ascii="Cambria" w:eastAsia="Calibri" w:hAnsi="Cambria" w:cs="Calibri"/>
        </w:rPr>
        <w:t xml:space="preserve">ent </w:t>
      </w:r>
      <w:r w:rsidRPr="009A0DA6">
        <w:rPr>
          <w:rFonts w:ascii="Cambria" w:eastAsia="Calibri" w:hAnsi="Cambria" w:cs="Calibri"/>
          <w:spacing w:val="-1"/>
        </w:rPr>
        <w:t>t</w:t>
      </w:r>
      <w:r w:rsidRPr="009A0DA6">
        <w:rPr>
          <w:rFonts w:ascii="Cambria" w:eastAsia="Calibri" w:hAnsi="Cambria" w:cs="Calibri"/>
        </w:rPr>
        <w:t>o</w:t>
      </w:r>
      <w:r w:rsidRPr="009A0DA6">
        <w:rPr>
          <w:rFonts w:ascii="Cambria" w:eastAsia="Calibri" w:hAnsi="Cambria" w:cs="Calibri"/>
          <w:spacing w:val="-1"/>
        </w:rPr>
        <w:t xml:space="preserve"> </w:t>
      </w:r>
      <w:r w:rsidRPr="009A0DA6">
        <w:rPr>
          <w:rFonts w:ascii="Cambria" w:eastAsia="Calibri" w:hAnsi="Cambria" w:cs="Calibri"/>
        </w:rPr>
        <w:t>ens</w:t>
      </w:r>
      <w:r w:rsidRPr="009A0DA6">
        <w:rPr>
          <w:rFonts w:ascii="Cambria" w:eastAsia="Calibri" w:hAnsi="Cambria" w:cs="Calibri"/>
          <w:spacing w:val="-1"/>
        </w:rPr>
        <w:t>u</w:t>
      </w:r>
      <w:r w:rsidRPr="009A0DA6">
        <w:rPr>
          <w:rFonts w:ascii="Cambria" w:eastAsia="Calibri" w:hAnsi="Cambria" w:cs="Calibri"/>
        </w:rPr>
        <w:t>re</w:t>
      </w:r>
      <w:r w:rsidRPr="009A0DA6">
        <w:rPr>
          <w:rFonts w:ascii="Cambria" w:eastAsia="Calibri" w:hAnsi="Cambria" w:cs="Calibri"/>
          <w:spacing w:val="-1"/>
        </w:rPr>
        <w:t xml:space="preserve"> </w:t>
      </w:r>
      <w:r w:rsidRPr="009A0DA6">
        <w:rPr>
          <w:rFonts w:ascii="Cambria" w:eastAsia="Calibri" w:hAnsi="Cambria" w:cs="Calibri"/>
          <w:spacing w:val="-2"/>
        </w:rPr>
        <w:t>t</w:t>
      </w:r>
      <w:r w:rsidRPr="009A0DA6">
        <w:rPr>
          <w:rFonts w:ascii="Cambria" w:eastAsia="Calibri" w:hAnsi="Cambria" w:cs="Calibri"/>
          <w:spacing w:val="-1"/>
        </w:rPr>
        <w:t>h</w:t>
      </w:r>
      <w:r w:rsidRPr="009A0DA6">
        <w:rPr>
          <w:rFonts w:ascii="Cambria" w:eastAsia="Calibri" w:hAnsi="Cambria" w:cs="Calibri"/>
        </w:rPr>
        <w:t>a</w:t>
      </w:r>
      <w:r w:rsidRPr="009A0DA6">
        <w:rPr>
          <w:rFonts w:ascii="Cambria" w:eastAsia="Calibri" w:hAnsi="Cambria" w:cs="Calibri"/>
          <w:spacing w:val="4"/>
        </w:rPr>
        <w:t>t</w:t>
      </w:r>
      <w:r w:rsidRPr="009A0DA6">
        <w:rPr>
          <w:rFonts w:ascii="Cambria" w:eastAsia="Calibri" w:hAnsi="Cambria" w:cs="Calibri"/>
        </w:rPr>
        <w:t>:</w:t>
      </w:r>
    </w:p>
    <w:p w14:paraId="13181D1B" w14:textId="1684C26E" w:rsidR="00194B18" w:rsidRPr="009A0DA6" w:rsidRDefault="008D2B65" w:rsidP="00F55252">
      <w:pPr>
        <w:pStyle w:val="ListParagraph"/>
        <w:numPr>
          <w:ilvl w:val="1"/>
          <w:numId w:val="141"/>
        </w:numPr>
        <w:spacing w:before="19" w:after="0" w:line="259" w:lineRule="auto"/>
        <w:ind w:left="1134" w:right="695" w:hanging="567"/>
        <w:rPr>
          <w:rFonts w:ascii="Cambria" w:eastAsia="Calibri" w:hAnsi="Cambria" w:cs="Calibri"/>
        </w:rPr>
      </w:pPr>
      <w:r w:rsidRPr="009A0DA6">
        <w:rPr>
          <w:rFonts w:ascii="Cambria" w:eastAsia="Calibri" w:hAnsi="Cambria" w:cs="Calibri"/>
        </w:rPr>
        <w:t>a</w:t>
      </w:r>
      <w:r w:rsidR="00194B18" w:rsidRPr="009A0DA6">
        <w:rPr>
          <w:rFonts w:ascii="Cambria" w:eastAsia="Calibri" w:hAnsi="Cambria" w:cs="Calibri"/>
          <w:spacing w:val="-1"/>
        </w:rPr>
        <w:t>l</w:t>
      </w:r>
      <w:r w:rsidR="00194B18" w:rsidRPr="009A0DA6">
        <w:rPr>
          <w:rFonts w:ascii="Cambria" w:eastAsia="Calibri" w:hAnsi="Cambria" w:cs="Calibri"/>
        </w:rPr>
        <w:t>l its</w:t>
      </w:r>
      <w:r w:rsidR="00194B18" w:rsidRPr="009A0DA6">
        <w:rPr>
          <w:rFonts w:ascii="Cambria" w:eastAsia="Calibri" w:hAnsi="Cambria" w:cs="Calibri"/>
          <w:spacing w:val="1"/>
        </w:rPr>
        <w:t xml:space="preserve"> o</w:t>
      </w:r>
      <w:r w:rsidR="00194B18" w:rsidRPr="009A0DA6">
        <w:rPr>
          <w:rFonts w:ascii="Cambria" w:eastAsia="Calibri" w:hAnsi="Cambria" w:cs="Calibri"/>
          <w:spacing w:val="-3"/>
        </w:rPr>
        <w:t>p</w:t>
      </w:r>
      <w:r w:rsidR="00194B18" w:rsidRPr="009A0DA6">
        <w:rPr>
          <w:rFonts w:ascii="Cambria" w:eastAsia="Calibri" w:hAnsi="Cambria" w:cs="Calibri"/>
        </w:rPr>
        <w:t>erat</w:t>
      </w:r>
      <w:r w:rsidR="00194B18" w:rsidRPr="009A0DA6">
        <w:rPr>
          <w:rFonts w:ascii="Cambria" w:eastAsia="Calibri" w:hAnsi="Cambria" w:cs="Calibri"/>
          <w:spacing w:val="-2"/>
        </w:rPr>
        <w:t>i</w:t>
      </w:r>
      <w:r w:rsidR="00194B18" w:rsidRPr="009A0DA6">
        <w:rPr>
          <w:rFonts w:ascii="Cambria" w:eastAsia="Calibri" w:hAnsi="Cambria" w:cs="Calibri"/>
          <w:spacing w:val="1"/>
        </w:rPr>
        <w:t>o</w:t>
      </w:r>
      <w:r w:rsidR="00194B18" w:rsidRPr="009A0DA6">
        <w:rPr>
          <w:rFonts w:ascii="Cambria" w:eastAsia="Calibri" w:hAnsi="Cambria" w:cs="Calibri"/>
          <w:spacing w:val="-1"/>
        </w:rPr>
        <w:t>n</w:t>
      </w:r>
      <w:r w:rsidR="00194B18" w:rsidRPr="009A0DA6">
        <w:rPr>
          <w:rFonts w:ascii="Cambria" w:eastAsia="Calibri" w:hAnsi="Cambria" w:cs="Calibri"/>
        </w:rPr>
        <w:t>s a</w:t>
      </w:r>
      <w:r w:rsidR="00194B18" w:rsidRPr="009A0DA6">
        <w:rPr>
          <w:rFonts w:ascii="Cambria" w:eastAsia="Calibri" w:hAnsi="Cambria" w:cs="Calibri"/>
          <w:spacing w:val="-2"/>
        </w:rPr>
        <w:t>r</w:t>
      </w:r>
      <w:r w:rsidR="00194B18" w:rsidRPr="009A0DA6">
        <w:rPr>
          <w:rFonts w:ascii="Cambria" w:eastAsia="Calibri" w:hAnsi="Cambria" w:cs="Calibri"/>
        </w:rPr>
        <w:t>e</w:t>
      </w:r>
      <w:r w:rsidR="00194B18" w:rsidRPr="009A0DA6">
        <w:rPr>
          <w:rFonts w:ascii="Cambria" w:eastAsia="Calibri" w:hAnsi="Cambria" w:cs="Calibri"/>
          <w:spacing w:val="1"/>
        </w:rPr>
        <w:t xml:space="preserve"> </w:t>
      </w:r>
      <w:r w:rsidR="00194B18" w:rsidRPr="009A0DA6">
        <w:rPr>
          <w:rFonts w:ascii="Cambria" w:eastAsia="Calibri" w:hAnsi="Cambria" w:cs="Calibri"/>
          <w:spacing w:val="-2"/>
        </w:rPr>
        <w:t>c</w:t>
      </w:r>
      <w:r w:rsidR="00194B18" w:rsidRPr="009A0DA6">
        <w:rPr>
          <w:rFonts w:ascii="Cambria" w:eastAsia="Calibri" w:hAnsi="Cambria" w:cs="Calibri"/>
          <w:spacing w:val="1"/>
        </w:rPr>
        <w:t>o</w:t>
      </w:r>
      <w:r w:rsidR="00194B18" w:rsidRPr="009A0DA6">
        <w:rPr>
          <w:rFonts w:ascii="Cambria" w:eastAsia="Calibri" w:hAnsi="Cambria" w:cs="Calibri"/>
          <w:spacing w:val="-1"/>
        </w:rPr>
        <w:t>n</w:t>
      </w:r>
      <w:r w:rsidR="00194B18" w:rsidRPr="009A0DA6">
        <w:rPr>
          <w:rFonts w:ascii="Cambria" w:eastAsia="Calibri" w:hAnsi="Cambria" w:cs="Calibri"/>
        </w:rPr>
        <w:t>si</w:t>
      </w:r>
      <w:r w:rsidR="00194B18" w:rsidRPr="009A0DA6">
        <w:rPr>
          <w:rFonts w:ascii="Cambria" w:eastAsia="Calibri" w:hAnsi="Cambria" w:cs="Calibri"/>
          <w:spacing w:val="-3"/>
        </w:rPr>
        <w:t>s</w:t>
      </w:r>
      <w:r w:rsidR="00194B18" w:rsidRPr="009A0DA6">
        <w:rPr>
          <w:rFonts w:ascii="Cambria" w:eastAsia="Calibri" w:hAnsi="Cambria" w:cs="Calibri"/>
        </w:rPr>
        <w:t>t</w:t>
      </w:r>
      <w:r w:rsidR="00194B18" w:rsidRPr="009A0DA6">
        <w:rPr>
          <w:rFonts w:ascii="Cambria" w:eastAsia="Calibri" w:hAnsi="Cambria" w:cs="Calibri"/>
          <w:spacing w:val="1"/>
        </w:rPr>
        <w:t>e</w:t>
      </w:r>
      <w:r w:rsidR="00194B18" w:rsidRPr="009A0DA6">
        <w:rPr>
          <w:rFonts w:ascii="Cambria" w:eastAsia="Calibri" w:hAnsi="Cambria" w:cs="Calibri"/>
          <w:spacing w:val="-1"/>
        </w:rPr>
        <w:t>n</w:t>
      </w:r>
      <w:r w:rsidR="00194B18" w:rsidRPr="009A0DA6">
        <w:rPr>
          <w:rFonts w:ascii="Cambria" w:eastAsia="Calibri" w:hAnsi="Cambria" w:cs="Calibri"/>
        </w:rPr>
        <w:t>t</w:t>
      </w:r>
      <w:r w:rsidR="00194B18" w:rsidRPr="009A0DA6">
        <w:rPr>
          <w:rFonts w:ascii="Cambria" w:eastAsia="Calibri" w:hAnsi="Cambria" w:cs="Calibri"/>
          <w:spacing w:val="-1"/>
        </w:rPr>
        <w:t xml:space="preserve"> </w:t>
      </w:r>
      <w:r w:rsidR="00194B18" w:rsidRPr="009A0DA6">
        <w:rPr>
          <w:rFonts w:ascii="Cambria" w:eastAsia="Calibri" w:hAnsi="Cambria" w:cs="Calibri"/>
        </w:rPr>
        <w:t>with b</w:t>
      </w:r>
      <w:r w:rsidR="00194B18" w:rsidRPr="009A0DA6">
        <w:rPr>
          <w:rFonts w:ascii="Cambria" w:eastAsia="Calibri" w:hAnsi="Cambria" w:cs="Calibri"/>
          <w:spacing w:val="-1"/>
        </w:rPr>
        <w:t>ib</w:t>
      </w:r>
      <w:r w:rsidR="00194B18" w:rsidRPr="009A0DA6">
        <w:rPr>
          <w:rFonts w:ascii="Cambria" w:eastAsia="Calibri" w:hAnsi="Cambria" w:cs="Calibri"/>
        </w:rPr>
        <w:t xml:space="preserve">lical </w:t>
      </w:r>
      <w:r w:rsidR="00194B18" w:rsidRPr="009A0DA6">
        <w:rPr>
          <w:rFonts w:ascii="Cambria" w:eastAsia="Calibri" w:hAnsi="Cambria" w:cs="Calibri"/>
          <w:spacing w:val="-2"/>
        </w:rPr>
        <w:t>t</w:t>
      </w:r>
      <w:r w:rsidR="00194B18" w:rsidRPr="009A0DA6">
        <w:rPr>
          <w:rFonts w:ascii="Cambria" w:eastAsia="Calibri" w:hAnsi="Cambria" w:cs="Calibri"/>
        </w:rPr>
        <w:t>eachi</w:t>
      </w:r>
      <w:r w:rsidR="00194B18" w:rsidRPr="009A0DA6">
        <w:rPr>
          <w:rFonts w:ascii="Cambria" w:eastAsia="Calibri" w:hAnsi="Cambria" w:cs="Calibri"/>
          <w:spacing w:val="-1"/>
        </w:rPr>
        <w:t>ng</w:t>
      </w:r>
      <w:r w:rsidR="00194B18" w:rsidRPr="009A0DA6">
        <w:rPr>
          <w:rFonts w:ascii="Cambria" w:eastAsia="Calibri" w:hAnsi="Cambria" w:cs="Calibri"/>
        </w:rPr>
        <w:t>,</w:t>
      </w:r>
      <w:r w:rsidR="00194B18" w:rsidRPr="009A0DA6">
        <w:rPr>
          <w:rFonts w:ascii="Cambria" w:eastAsia="Calibri" w:hAnsi="Cambria" w:cs="Calibri"/>
          <w:spacing w:val="-2"/>
        </w:rPr>
        <w:t xml:space="preserve"> </w:t>
      </w:r>
      <w:r w:rsidR="00194B18" w:rsidRPr="009A0DA6">
        <w:rPr>
          <w:rFonts w:ascii="Cambria" w:eastAsia="Calibri" w:hAnsi="Cambria" w:cs="Calibri"/>
        </w:rPr>
        <w:t>the pr</w:t>
      </w:r>
      <w:r w:rsidR="00194B18" w:rsidRPr="009A0DA6">
        <w:rPr>
          <w:rFonts w:ascii="Cambria" w:eastAsia="Calibri" w:hAnsi="Cambria" w:cs="Calibri"/>
          <w:spacing w:val="-1"/>
        </w:rPr>
        <w:t>in</w:t>
      </w:r>
      <w:r w:rsidR="00194B18" w:rsidRPr="009A0DA6">
        <w:rPr>
          <w:rFonts w:ascii="Cambria" w:eastAsia="Calibri" w:hAnsi="Cambria" w:cs="Calibri"/>
        </w:rPr>
        <w:t>ci</w:t>
      </w:r>
      <w:r w:rsidR="00194B18" w:rsidRPr="009A0DA6">
        <w:rPr>
          <w:rFonts w:ascii="Cambria" w:eastAsia="Calibri" w:hAnsi="Cambria" w:cs="Calibri"/>
          <w:spacing w:val="-1"/>
        </w:rPr>
        <w:t>p</w:t>
      </w:r>
      <w:r w:rsidR="00194B18" w:rsidRPr="009A0DA6">
        <w:rPr>
          <w:rFonts w:ascii="Cambria" w:eastAsia="Calibri" w:hAnsi="Cambria" w:cs="Calibri"/>
          <w:spacing w:val="2"/>
        </w:rPr>
        <w:t>l</w:t>
      </w:r>
      <w:r w:rsidR="00194B18" w:rsidRPr="009A0DA6">
        <w:rPr>
          <w:rFonts w:ascii="Cambria" w:eastAsia="Calibri" w:hAnsi="Cambria" w:cs="Calibri"/>
        </w:rPr>
        <w:t>es</w:t>
      </w:r>
      <w:r w:rsidR="00194B18" w:rsidRPr="009A0DA6">
        <w:rPr>
          <w:rFonts w:ascii="Cambria" w:eastAsia="Calibri" w:hAnsi="Cambria" w:cs="Calibri"/>
          <w:spacing w:val="-1"/>
        </w:rPr>
        <w:t xml:space="preserve"> </w:t>
      </w:r>
      <w:r w:rsidR="00194B18" w:rsidRPr="009A0DA6">
        <w:rPr>
          <w:rFonts w:ascii="Cambria" w:eastAsia="Calibri" w:hAnsi="Cambria" w:cs="Calibri"/>
          <w:spacing w:val="1"/>
        </w:rPr>
        <w:t>o</w:t>
      </w:r>
      <w:r w:rsidR="00194B18" w:rsidRPr="009A0DA6">
        <w:rPr>
          <w:rFonts w:ascii="Cambria" w:eastAsia="Calibri" w:hAnsi="Cambria" w:cs="Calibri"/>
        </w:rPr>
        <w:t>f nat</w:t>
      </w:r>
      <w:r w:rsidR="00194B18" w:rsidRPr="009A0DA6">
        <w:rPr>
          <w:rFonts w:ascii="Cambria" w:eastAsia="Calibri" w:hAnsi="Cambria" w:cs="Calibri"/>
          <w:spacing w:val="-1"/>
        </w:rPr>
        <w:t>u</w:t>
      </w:r>
      <w:r w:rsidR="00194B18" w:rsidRPr="009A0DA6">
        <w:rPr>
          <w:rFonts w:ascii="Cambria" w:eastAsia="Calibri" w:hAnsi="Cambria" w:cs="Calibri"/>
        </w:rPr>
        <w:t>ral</w:t>
      </w:r>
      <w:r w:rsidR="00194B18" w:rsidRPr="009A0DA6">
        <w:rPr>
          <w:rFonts w:ascii="Cambria" w:eastAsia="Calibri" w:hAnsi="Cambria" w:cs="Calibri"/>
          <w:spacing w:val="-3"/>
        </w:rPr>
        <w:t xml:space="preserve"> </w:t>
      </w:r>
      <w:r w:rsidR="00194B18" w:rsidRPr="009A0DA6">
        <w:rPr>
          <w:rFonts w:ascii="Cambria" w:eastAsia="Calibri" w:hAnsi="Cambria" w:cs="Calibri"/>
        </w:rPr>
        <w:t>ju</w:t>
      </w:r>
      <w:r w:rsidR="00194B18" w:rsidRPr="009A0DA6">
        <w:rPr>
          <w:rFonts w:ascii="Cambria" w:eastAsia="Calibri" w:hAnsi="Cambria" w:cs="Calibri"/>
          <w:spacing w:val="-3"/>
        </w:rPr>
        <w:t>s</w:t>
      </w:r>
      <w:r w:rsidR="00194B18" w:rsidRPr="009A0DA6">
        <w:rPr>
          <w:rFonts w:ascii="Cambria" w:eastAsia="Calibri" w:hAnsi="Cambria" w:cs="Calibri"/>
        </w:rPr>
        <w:t>tic</w:t>
      </w:r>
      <w:r w:rsidR="00194B18" w:rsidRPr="009A0DA6">
        <w:rPr>
          <w:rFonts w:ascii="Cambria" w:eastAsia="Calibri" w:hAnsi="Cambria" w:cs="Calibri"/>
          <w:spacing w:val="1"/>
        </w:rPr>
        <w:t>e</w:t>
      </w:r>
      <w:r w:rsidR="00194B18" w:rsidRPr="009A0DA6">
        <w:rPr>
          <w:rFonts w:ascii="Cambria" w:eastAsia="Calibri" w:hAnsi="Cambria" w:cs="Calibri"/>
        </w:rPr>
        <w:t>, and</w:t>
      </w:r>
      <w:r w:rsidR="00194B18" w:rsidRPr="009A0DA6">
        <w:rPr>
          <w:rFonts w:ascii="Cambria" w:eastAsia="Calibri" w:hAnsi="Cambria" w:cs="Calibri"/>
          <w:spacing w:val="-1"/>
        </w:rPr>
        <w:t xml:space="preserve"> </w:t>
      </w:r>
      <w:r w:rsidR="00194B18" w:rsidRPr="009A0DA6">
        <w:rPr>
          <w:rFonts w:ascii="Cambria" w:eastAsia="Calibri" w:hAnsi="Cambria" w:cs="Calibri"/>
        </w:rPr>
        <w:t>A</w:t>
      </w:r>
      <w:r w:rsidR="00194B18" w:rsidRPr="009A0DA6">
        <w:rPr>
          <w:rFonts w:ascii="Cambria" w:eastAsia="Calibri" w:hAnsi="Cambria" w:cs="Calibri"/>
          <w:spacing w:val="-1"/>
        </w:rPr>
        <w:t>u</w:t>
      </w:r>
      <w:r w:rsidR="00194B18" w:rsidRPr="009A0DA6">
        <w:rPr>
          <w:rFonts w:ascii="Cambria" w:eastAsia="Calibri" w:hAnsi="Cambria" w:cs="Calibri"/>
          <w:spacing w:val="-2"/>
        </w:rPr>
        <w:t>s</w:t>
      </w:r>
      <w:r w:rsidRPr="009A0DA6">
        <w:rPr>
          <w:rFonts w:ascii="Cambria" w:eastAsia="Calibri" w:hAnsi="Cambria" w:cs="Calibri"/>
        </w:rPr>
        <w:t>tralian law;</w:t>
      </w:r>
    </w:p>
    <w:p w14:paraId="1F215B8B" w14:textId="45BDB707" w:rsidR="00194B18" w:rsidRPr="009A0DA6" w:rsidRDefault="008D2B65" w:rsidP="00F55252">
      <w:pPr>
        <w:pStyle w:val="ListParagraph"/>
        <w:numPr>
          <w:ilvl w:val="1"/>
          <w:numId w:val="141"/>
        </w:numPr>
        <w:spacing w:after="0" w:line="260" w:lineRule="auto"/>
        <w:ind w:left="1134" w:right="415" w:hanging="567"/>
        <w:rPr>
          <w:rFonts w:ascii="Cambria" w:eastAsia="Calibri" w:hAnsi="Cambria" w:cs="Calibri"/>
        </w:rPr>
      </w:pPr>
      <w:r w:rsidRPr="009A0DA6">
        <w:rPr>
          <w:rFonts w:ascii="Cambria" w:eastAsia="Calibri" w:hAnsi="Cambria" w:cs="Calibri"/>
        </w:rPr>
        <w:t>a</w:t>
      </w:r>
      <w:r w:rsidR="00194B18" w:rsidRPr="009A0DA6">
        <w:rPr>
          <w:rFonts w:ascii="Cambria" w:eastAsia="Calibri" w:hAnsi="Cambria" w:cs="Calibri"/>
        </w:rPr>
        <w:t xml:space="preserve">s a </w:t>
      </w:r>
      <w:r w:rsidR="00336CE0" w:rsidRPr="009A0DA6">
        <w:rPr>
          <w:rFonts w:ascii="Cambria" w:eastAsia="Calibri" w:hAnsi="Cambria" w:cs="Calibri"/>
        </w:rPr>
        <w:t>church</w:t>
      </w:r>
      <w:r w:rsidR="00194B18" w:rsidRPr="009A0DA6">
        <w:rPr>
          <w:rFonts w:ascii="Cambria" w:eastAsia="Calibri" w:hAnsi="Cambria" w:cs="Calibri"/>
          <w:spacing w:val="-1"/>
        </w:rPr>
        <w:t xml:space="preserve"> w</w:t>
      </w:r>
      <w:r w:rsidR="00194B18" w:rsidRPr="009A0DA6">
        <w:rPr>
          <w:rFonts w:ascii="Cambria" w:eastAsia="Calibri" w:hAnsi="Cambria" w:cs="Calibri"/>
        </w:rPr>
        <w:t>e</w:t>
      </w:r>
      <w:r w:rsidR="00194B18" w:rsidRPr="009A0DA6">
        <w:rPr>
          <w:rFonts w:ascii="Cambria" w:eastAsia="Calibri" w:hAnsi="Cambria" w:cs="Calibri"/>
          <w:spacing w:val="-1"/>
        </w:rPr>
        <w:t xml:space="preserve"> </w:t>
      </w:r>
      <w:r w:rsidR="00194B18" w:rsidRPr="009A0DA6">
        <w:rPr>
          <w:rFonts w:ascii="Cambria" w:eastAsia="Calibri" w:hAnsi="Cambria" w:cs="Calibri"/>
        </w:rPr>
        <w:t>w</w:t>
      </w:r>
      <w:r w:rsidR="00194B18" w:rsidRPr="009A0DA6">
        <w:rPr>
          <w:rFonts w:ascii="Cambria" w:eastAsia="Calibri" w:hAnsi="Cambria" w:cs="Calibri"/>
          <w:spacing w:val="2"/>
        </w:rPr>
        <w:t>o</w:t>
      </w:r>
      <w:r w:rsidR="00194B18" w:rsidRPr="009A0DA6">
        <w:rPr>
          <w:rFonts w:ascii="Cambria" w:eastAsia="Calibri" w:hAnsi="Cambria" w:cs="Calibri"/>
          <w:spacing w:val="-3"/>
        </w:rPr>
        <w:t>r</w:t>
      </w:r>
      <w:r w:rsidR="00194B18" w:rsidRPr="009A0DA6">
        <w:rPr>
          <w:rFonts w:ascii="Cambria" w:eastAsia="Calibri" w:hAnsi="Cambria" w:cs="Calibri"/>
        </w:rPr>
        <w:t>k</w:t>
      </w:r>
      <w:r w:rsidR="00194B18" w:rsidRPr="009A0DA6">
        <w:rPr>
          <w:rFonts w:ascii="Cambria" w:eastAsia="Calibri" w:hAnsi="Cambria" w:cs="Calibri"/>
          <w:spacing w:val="1"/>
        </w:rPr>
        <w:t xml:space="preserve"> o</w:t>
      </w:r>
      <w:r w:rsidR="00194B18" w:rsidRPr="009A0DA6">
        <w:rPr>
          <w:rFonts w:ascii="Cambria" w:eastAsia="Calibri" w:hAnsi="Cambria" w:cs="Calibri"/>
          <w:spacing w:val="-3"/>
        </w:rPr>
        <w:t>u</w:t>
      </w:r>
      <w:r w:rsidR="00194B18" w:rsidRPr="009A0DA6">
        <w:rPr>
          <w:rFonts w:ascii="Cambria" w:eastAsia="Calibri" w:hAnsi="Cambria" w:cs="Calibri"/>
        </w:rPr>
        <w:t>t</w:t>
      </w:r>
      <w:r w:rsidR="00194B18" w:rsidRPr="009A0DA6">
        <w:rPr>
          <w:rFonts w:ascii="Cambria" w:eastAsia="Calibri" w:hAnsi="Cambria" w:cs="Calibri"/>
          <w:spacing w:val="-1"/>
        </w:rPr>
        <w:t xml:space="preserve"> ou</w:t>
      </w:r>
      <w:r w:rsidR="00194B18" w:rsidRPr="009A0DA6">
        <w:rPr>
          <w:rFonts w:ascii="Cambria" w:eastAsia="Calibri" w:hAnsi="Cambria" w:cs="Calibri"/>
        </w:rPr>
        <w:t>r c</w:t>
      </w:r>
      <w:r w:rsidR="00194B18" w:rsidRPr="009A0DA6">
        <w:rPr>
          <w:rFonts w:ascii="Cambria" w:eastAsia="Calibri" w:hAnsi="Cambria" w:cs="Calibri"/>
          <w:spacing w:val="2"/>
        </w:rPr>
        <w:t>o</w:t>
      </w:r>
      <w:r w:rsidR="00194B18" w:rsidRPr="009A0DA6">
        <w:rPr>
          <w:rFonts w:ascii="Cambria" w:eastAsia="Calibri" w:hAnsi="Cambria" w:cs="Calibri"/>
          <w:spacing w:val="-1"/>
        </w:rPr>
        <w:t>n</w:t>
      </w:r>
      <w:r w:rsidR="00194B18" w:rsidRPr="009A0DA6">
        <w:rPr>
          <w:rFonts w:ascii="Cambria" w:eastAsia="Calibri" w:hAnsi="Cambria" w:cs="Calibri"/>
        </w:rPr>
        <w:t>fl</w:t>
      </w:r>
      <w:r w:rsidR="00194B18" w:rsidRPr="009A0DA6">
        <w:rPr>
          <w:rFonts w:ascii="Cambria" w:eastAsia="Calibri" w:hAnsi="Cambria" w:cs="Calibri"/>
          <w:spacing w:val="-1"/>
        </w:rPr>
        <w:t>i</w:t>
      </w:r>
      <w:r w:rsidR="00194B18" w:rsidRPr="009A0DA6">
        <w:rPr>
          <w:rFonts w:ascii="Cambria" w:eastAsia="Calibri" w:hAnsi="Cambria" w:cs="Calibri"/>
        </w:rPr>
        <w:t>cts</w:t>
      </w:r>
      <w:r w:rsidR="00194B18" w:rsidRPr="009A0DA6">
        <w:rPr>
          <w:rFonts w:ascii="Cambria" w:eastAsia="Calibri" w:hAnsi="Cambria" w:cs="Calibri"/>
          <w:spacing w:val="-2"/>
        </w:rPr>
        <w:t xml:space="preserve"> </w:t>
      </w:r>
      <w:r w:rsidR="00194B18" w:rsidRPr="009A0DA6">
        <w:rPr>
          <w:rFonts w:ascii="Cambria" w:eastAsia="Calibri" w:hAnsi="Cambria" w:cs="Calibri"/>
        </w:rPr>
        <w:t>in an</w:t>
      </w:r>
      <w:r w:rsidR="00194B18" w:rsidRPr="009A0DA6">
        <w:rPr>
          <w:rFonts w:ascii="Cambria" w:eastAsia="Calibri" w:hAnsi="Cambria" w:cs="Calibri"/>
          <w:spacing w:val="-1"/>
        </w:rPr>
        <w:t xml:space="preserve"> e</w:t>
      </w:r>
      <w:r w:rsidR="00194B18" w:rsidRPr="009A0DA6">
        <w:rPr>
          <w:rFonts w:ascii="Cambria" w:eastAsia="Calibri" w:hAnsi="Cambria" w:cs="Calibri"/>
          <w:spacing w:val="1"/>
        </w:rPr>
        <w:t>v</w:t>
      </w:r>
      <w:r w:rsidR="00194B18" w:rsidRPr="009A0DA6">
        <w:rPr>
          <w:rFonts w:ascii="Cambria" w:eastAsia="Calibri" w:hAnsi="Cambria" w:cs="Calibri"/>
        </w:rPr>
        <w:t>a</w:t>
      </w:r>
      <w:r w:rsidR="00194B18" w:rsidRPr="009A0DA6">
        <w:rPr>
          <w:rFonts w:ascii="Cambria" w:eastAsia="Calibri" w:hAnsi="Cambria" w:cs="Calibri"/>
          <w:spacing w:val="-1"/>
        </w:rPr>
        <w:t>ng</w:t>
      </w:r>
      <w:r w:rsidR="00194B18" w:rsidRPr="009A0DA6">
        <w:rPr>
          <w:rFonts w:ascii="Cambria" w:eastAsia="Calibri" w:hAnsi="Cambria" w:cs="Calibri"/>
        </w:rPr>
        <w:t>eli</w:t>
      </w:r>
      <w:r w:rsidR="00194B18" w:rsidRPr="009A0DA6">
        <w:rPr>
          <w:rFonts w:ascii="Cambria" w:eastAsia="Calibri" w:hAnsi="Cambria" w:cs="Calibri"/>
          <w:spacing w:val="-2"/>
        </w:rPr>
        <w:t>c</w:t>
      </w:r>
      <w:r w:rsidR="00194B18" w:rsidRPr="009A0DA6">
        <w:rPr>
          <w:rFonts w:ascii="Cambria" w:eastAsia="Calibri" w:hAnsi="Cambria" w:cs="Calibri"/>
        </w:rPr>
        <w:t xml:space="preserve">al </w:t>
      </w:r>
      <w:r w:rsidR="00194B18" w:rsidRPr="009A0DA6">
        <w:rPr>
          <w:rFonts w:ascii="Cambria" w:eastAsia="Calibri" w:hAnsi="Cambria" w:cs="Calibri"/>
          <w:spacing w:val="1"/>
        </w:rPr>
        <w:t>m</w:t>
      </w:r>
      <w:r w:rsidR="00194B18" w:rsidRPr="009A0DA6">
        <w:rPr>
          <w:rFonts w:ascii="Cambria" w:eastAsia="Calibri" w:hAnsi="Cambria" w:cs="Calibri"/>
        </w:rPr>
        <w:t>a</w:t>
      </w:r>
      <w:r w:rsidR="00194B18" w:rsidRPr="009A0DA6">
        <w:rPr>
          <w:rFonts w:ascii="Cambria" w:eastAsia="Calibri" w:hAnsi="Cambria" w:cs="Calibri"/>
          <w:spacing w:val="-1"/>
        </w:rPr>
        <w:t>nn</w:t>
      </w:r>
      <w:r w:rsidR="00194B18" w:rsidRPr="009A0DA6">
        <w:rPr>
          <w:rFonts w:ascii="Cambria" w:eastAsia="Calibri" w:hAnsi="Cambria" w:cs="Calibri"/>
        </w:rPr>
        <w:t>e</w:t>
      </w:r>
      <w:r w:rsidR="00194B18" w:rsidRPr="009A0DA6">
        <w:rPr>
          <w:rFonts w:ascii="Cambria" w:eastAsia="Calibri" w:hAnsi="Cambria" w:cs="Calibri"/>
          <w:spacing w:val="-2"/>
        </w:rPr>
        <w:t>r</w:t>
      </w:r>
      <w:r w:rsidR="00194B18" w:rsidRPr="009A0DA6">
        <w:rPr>
          <w:rFonts w:ascii="Cambria" w:eastAsia="Calibri" w:hAnsi="Cambria" w:cs="Calibri"/>
        </w:rPr>
        <w:t>:</w:t>
      </w:r>
      <w:r w:rsidR="00194B18" w:rsidRPr="009A0DA6">
        <w:rPr>
          <w:rFonts w:ascii="Cambria" w:eastAsia="Calibri" w:hAnsi="Cambria" w:cs="Calibri"/>
          <w:spacing w:val="1"/>
        </w:rPr>
        <w:t xml:space="preserve"> t</w:t>
      </w:r>
      <w:r w:rsidR="00194B18" w:rsidRPr="009A0DA6">
        <w:rPr>
          <w:rFonts w:ascii="Cambria" w:eastAsia="Calibri" w:hAnsi="Cambria" w:cs="Calibri"/>
          <w:spacing w:val="-1"/>
        </w:rPr>
        <w:t>h</w:t>
      </w:r>
      <w:r w:rsidR="00194B18" w:rsidRPr="009A0DA6">
        <w:rPr>
          <w:rFonts w:ascii="Cambria" w:eastAsia="Calibri" w:hAnsi="Cambria" w:cs="Calibri"/>
          <w:spacing w:val="-3"/>
        </w:rPr>
        <w:t>a</w:t>
      </w:r>
      <w:r w:rsidR="00194B18" w:rsidRPr="009A0DA6">
        <w:rPr>
          <w:rFonts w:ascii="Cambria" w:eastAsia="Calibri" w:hAnsi="Cambria" w:cs="Calibri"/>
        </w:rPr>
        <w:t>t</w:t>
      </w:r>
      <w:r w:rsidR="00194B18" w:rsidRPr="009A0DA6">
        <w:rPr>
          <w:rFonts w:ascii="Cambria" w:eastAsia="Calibri" w:hAnsi="Cambria" w:cs="Calibri"/>
          <w:spacing w:val="1"/>
        </w:rPr>
        <w:t xml:space="preserve"> </w:t>
      </w:r>
      <w:r w:rsidR="00194B18" w:rsidRPr="009A0DA6">
        <w:rPr>
          <w:rFonts w:ascii="Cambria" w:eastAsia="Calibri" w:hAnsi="Cambria" w:cs="Calibri"/>
        </w:rPr>
        <w:t>is, in</w:t>
      </w:r>
      <w:r w:rsidR="00194B18" w:rsidRPr="009A0DA6">
        <w:rPr>
          <w:rFonts w:ascii="Cambria" w:eastAsia="Calibri" w:hAnsi="Cambria" w:cs="Calibri"/>
          <w:spacing w:val="-1"/>
        </w:rPr>
        <w:t xml:space="preserve"> </w:t>
      </w:r>
      <w:r w:rsidR="00194B18" w:rsidRPr="009A0DA6">
        <w:rPr>
          <w:rFonts w:ascii="Cambria" w:eastAsia="Calibri" w:hAnsi="Cambria" w:cs="Calibri"/>
        </w:rPr>
        <w:t>a</w:t>
      </w:r>
      <w:r w:rsidR="00194B18" w:rsidRPr="009A0DA6">
        <w:rPr>
          <w:rFonts w:ascii="Cambria" w:eastAsia="Calibri" w:hAnsi="Cambria" w:cs="Calibri"/>
          <w:spacing w:val="-4"/>
        </w:rPr>
        <w:t xml:space="preserve"> </w:t>
      </w:r>
      <w:r w:rsidR="00194B18" w:rsidRPr="009A0DA6">
        <w:rPr>
          <w:rFonts w:ascii="Cambria" w:eastAsia="Calibri" w:hAnsi="Cambria" w:cs="Calibri"/>
          <w:spacing w:val="1"/>
        </w:rPr>
        <w:t>m</w:t>
      </w:r>
      <w:r w:rsidR="00194B18" w:rsidRPr="009A0DA6">
        <w:rPr>
          <w:rFonts w:ascii="Cambria" w:eastAsia="Calibri" w:hAnsi="Cambria" w:cs="Calibri"/>
        </w:rPr>
        <w:t>a</w:t>
      </w:r>
      <w:r w:rsidR="00194B18" w:rsidRPr="009A0DA6">
        <w:rPr>
          <w:rFonts w:ascii="Cambria" w:eastAsia="Calibri" w:hAnsi="Cambria" w:cs="Calibri"/>
          <w:spacing w:val="-1"/>
        </w:rPr>
        <w:t>nn</w:t>
      </w:r>
      <w:r w:rsidR="00194B18" w:rsidRPr="009A0DA6">
        <w:rPr>
          <w:rFonts w:ascii="Cambria" w:eastAsia="Calibri" w:hAnsi="Cambria" w:cs="Calibri"/>
        </w:rPr>
        <w:t>er</w:t>
      </w:r>
      <w:r w:rsidR="00194B18" w:rsidRPr="009A0DA6">
        <w:rPr>
          <w:rFonts w:ascii="Cambria" w:eastAsia="Calibri" w:hAnsi="Cambria" w:cs="Calibri"/>
          <w:spacing w:val="1"/>
        </w:rPr>
        <w:t xml:space="preserve"> </w:t>
      </w:r>
      <w:r w:rsidR="00194B18" w:rsidRPr="009A0DA6">
        <w:rPr>
          <w:rFonts w:ascii="Cambria" w:eastAsia="Calibri" w:hAnsi="Cambria" w:cs="Calibri"/>
        </w:rPr>
        <w:t>that i</w:t>
      </w:r>
      <w:r w:rsidR="00194B18" w:rsidRPr="009A0DA6">
        <w:rPr>
          <w:rFonts w:ascii="Cambria" w:eastAsia="Calibri" w:hAnsi="Cambria" w:cs="Calibri"/>
          <w:spacing w:val="-3"/>
        </w:rPr>
        <w:t>n</w:t>
      </w:r>
      <w:r w:rsidR="00194B18" w:rsidRPr="009A0DA6">
        <w:rPr>
          <w:rFonts w:ascii="Cambria" w:eastAsia="Calibri" w:hAnsi="Cambria" w:cs="Calibri"/>
          <w:spacing w:val="1"/>
        </w:rPr>
        <w:t>vo</w:t>
      </w:r>
      <w:r w:rsidR="00194B18" w:rsidRPr="009A0DA6">
        <w:rPr>
          <w:rFonts w:ascii="Cambria" w:eastAsia="Calibri" w:hAnsi="Cambria" w:cs="Calibri"/>
          <w:spacing w:val="-3"/>
        </w:rPr>
        <w:t>l</w:t>
      </w:r>
      <w:r w:rsidR="00194B18" w:rsidRPr="009A0DA6">
        <w:rPr>
          <w:rFonts w:ascii="Cambria" w:eastAsia="Calibri" w:hAnsi="Cambria" w:cs="Calibri"/>
          <w:spacing w:val="1"/>
        </w:rPr>
        <w:t>v</w:t>
      </w:r>
      <w:r w:rsidR="00194B18" w:rsidRPr="009A0DA6">
        <w:rPr>
          <w:rFonts w:ascii="Cambria" w:eastAsia="Calibri" w:hAnsi="Cambria" w:cs="Calibri"/>
        </w:rPr>
        <w:t>es</w:t>
      </w:r>
      <w:r w:rsidR="00194B18" w:rsidRPr="009A0DA6">
        <w:rPr>
          <w:rFonts w:ascii="Cambria" w:eastAsia="Calibri" w:hAnsi="Cambria" w:cs="Calibri"/>
          <w:spacing w:val="-2"/>
        </w:rPr>
        <w:t xml:space="preserve"> </w:t>
      </w:r>
      <w:r w:rsidR="00194B18" w:rsidRPr="009A0DA6">
        <w:rPr>
          <w:rFonts w:ascii="Cambria" w:eastAsia="Calibri" w:hAnsi="Cambria" w:cs="Calibri"/>
        </w:rPr>
        <w:t>a</w:t>
      </w:r>
      <w:r w:rsidR="00194B18" w:rsidRPr="009A0DA6">
        <w:rPr>
          <w:rFonts w:ascii="Cambria" w:eastAsia="Calibri" w:hAnsi="Cambria" w:cs="Calibri"/>
          <w:spacing w:val="1"/>
        </w:rPr>
        <w:t xml:space="preserve"> </w:t>
      </w:r>
      <w:r w:rsidR="00194B18" w:rsidRPr="009A0DA6">
        <w:rPr>
          <w:rFonts w:ascii="Cambria" w:eastAsia="Calibri" w:hAnsi="Cambria" w:cs="Calibri"/>
        </w:rPr>
        <w:t>ri</w:t>
      </w:r>
      <w:r w:rsidR="00194B18" w:rsidRPr="009A0DA6">
        <w:rPr>
          <w:rFonts w:ascii="Cambria" w:eastAsia="Calibri" w:hAnsi="Cambria" w:cs="Calibri"/>
          <w:spacing w:val="-1"/>
        </w:rPr>
        <w:t>gh</w:t>
      </w:r>
      <w:r w:rsidR="00194B18" w:rsidRPr="009A0DA6">
        <w:rPr>
          <w:rFonts w:ascii="Cambria" w:eastAsia="Calibri" w:hAnsi="Cambria" w:cs="Calibri"/>
        </w:rPr>
        <w:t>t a</w:t>
      </w:r>
      <w:r w:rsidR="00194B18" w:rsidRPr="009A0DA6">
        <w:rPr>
          <w:rFonts w:ascii="Cambria" w:eastAsia="Calibri" w:hAnsi="Cambria" w:cs="Calibri"/>
          <w:spacing w:val="-1"/>
        </w:rPr>
        <w:t>pp</w:t>
      </w:r>
      <w:r w:rsidR="00194B18" w:rsidRPr="009A0DA6">
        <w:rPr>
          <w:rFonts w:ascii="Cambria" w:eastAsia="Calibri" w:hAnsi="Cambria" w:cs="Calibri"/>
        </w:rPr>
        <w:t>licati</w:t>
      </w:r>
      <w:r w:rsidR="00194B18" w:rsidRPr="009A0DA6">
        <w:rPr>
          <w:rFonts w:ascii="Cambria" w:eastAsia="Calibri" w:hAnsi="Cambria" w:cs="Calibri"/>
          <w:spacing w:val="1"/>
        </w:rPr>
        <w:t>o</w:t>
      </w:r>
      <w:r w:rsidR="00194B18" w:rsidRPr="009A0DA6">
        <w:rPr>
          <w:rFonts w:ascii="Cambria" w:eastAsia="Calibri" w:hAnsi="Cambria" w:cs="Calibri"/>
        </w:rPr>
        <w:t>n</w:t>
      </w:r>
      <w:r w:rsidR="00194B18" w:rsidRPr="009A0DA6">
        <w:rPr>
          <w:rFonts w:ascii="Cambria" w:eastAsia="Calibri" w:hAnsi="Cambria" w:cs="Calibri"/>
          <w:spacing w:val="-3"/>
        </w:rPr>
        <w:t xml:space="preserve"> </w:t>
      </w:r>
      <w:r w:rsidR="00194B18" w:rsidRPr="009A0DA6">
        <w:rPr>
          <w:rFonts w:ascii="Cambria" w:eastAsia="Calibri" w:hAnsi="Cambria" w:cs="Calibri"/>
          <w:spacing w:val="1"/>
        </w:rPr>
        <w:t>o</w:t>
      </w:r>
      <w:r w:rsidR="00194B18" w:rsidRPr="009A0DA6">
        <w:rPr>
          <w:rFonts w:ascii="Cambria" w:eastAsia="Calibri" w:hAnsi="Cambria" w:cs="Calibri"/>
        </w:rPr>
        <w:t>f b</w:t>
      </w:r>
      <w:r w:rsidR="00194B18" w:rsidRPr="009A0DA6">
        <w:rPr>
          <w:rFonts w:ascii="Cambria" w:eastAsia="Calibri" w:hAnsi="Cambria" w:cs="Calibri"/>
          <w:spacing w:val="-2"/>
        </w:rPr>
        <w:t>o</w:t>
      </w:r>
      <w:r w:rsidR="00194B18" w:rsidRPr="009A0DA6">
        <w:rPr>
          <w:rFonts w:ascii="Cambria" w:eastAsia="Calibri" w:hAnsi="Cambria" w:cs="Calibri"/>
        </w:rPr>
        <w:t xml:space="preserve">th </w:t>
      </w:r>
      <w:r w:rsidR="00194B18" w:rsidRPr="009A0DA6">
        <w:rPr>
          <w:rFonts w:ascii="Cambria" w:eastAsia="Calibri" w:hAnsi="Cambria" w:cs="Calibri"/>
          <w:spacing w:val="1"/>
        </w:rPr>
        <w:t>L</w:t>
      </w:r>
      <w:r w:rsidR="00194B18" w:rsidRPr="009A0DA6">
        <w:rPr>
          <w:rFonts w:ascii="Cambria" w:eastAsia="Calibri" w:hAnsi="Cambria" w:cs="Calibri"/>
          <w:spacing w:val="-3"/>
        </w:rPr>
        <w:t>a</w:t>
      </w:r>
      <w:r w:rsidR="00194B18" w:rsidRPr="009A0DA6">
        <w:rPr>
          <w:rFonts w:ascii="Cambria" w:eastAsia="Calibri" w:hAnsi="Cambria" w:cs="Calibri"/>
        </w:rPr>
        <w:t>w</w:t>
      </w:r>
      <w:r w:rsidR="00194B18" w:rsidRPr="009A0DA6">
        <w:rPr>
          <w:rFonts w:ascii="Cambria" w:eastAsia="Calibri" w:hAnsi="Cambria" w:cs="Calibri"/>
          <w:spacing w:val="1"/>
        </w:rPr>
        <w:t xml:space="preserve"> </w:t>
      </w:r>
      <w:r w:rsidR="00194B18" w:rsidRPr="009A0DA6">
        <w:rPr>
          <w:rFonts w:ascii="Cambria" w:eastAsia="Calibri" w:hAnsi="Cambria" w:cs="Calibri"/>
        </w:rPr>
        <w:t>a</w:t>
      </w:r>
      <w:r w:rsidR="00194B18" w:rsidRPr="009A0DA6">
        <w:rPr>
          <w:rFonts w:ascii="Cambria" w:eastAsia="Calibri" w:hAnsi="Cambria" w:cs="Calibri"/>
          <w:spacing w:val="-3"/>
        </w:rPr>
        <w:t>n</w:t>
      </w:r>
      <w:r w:rsidR="00194B18" w:rsidRPr="009A0DA6">
        <w:rPr>
          <w:rFonts w:ascii="Cambria" w:eastAsia="Calibri" w:hAnsi="Cambria" w:cs="Calibri"/>
        </w:rPr>
        <w:t>d</w:t>
      </w:r>
      <w:r w:rsidR="00194B18" w:rsidRPr="009A0DA6">
        <w:rPr>
          <w:rFonts w:ascii="Cambria" w:eastAsia="Calibri" w:hAnsi="Cambria" w:cs="Calibri"/>
          <w:spacing w:val="-1"/>
        </w:rPr>
        <w:t xml:space="preserve"> </w:t>
      </w:r>
      <w:r w:rsidR="00194B18" w:rsidRPr="009A0DA6">
        <w:rPr>
          <w:rFonts w:ascii="Cambria" w:eastAsia="Calibri" w:hAnsi="Cambria" w:cs="Calibri"/>
        </w:rPr>
        <w:t>G</w:t>
      </w:r>
      <w:r w:rsidR="00194B18" w:rsidRPr="009A0DA6">
        <w:rPr>
          <w:rFonts w:ascii="Cambria" w:eastAsia="Calibri" w:hAnsi="Cambria" w:cs="Calibri"/>
          <w:spacing w:val="1"/>
        </w:rPr>
        <w:t>o</w:t>
      </w:r>
      <w:r w:rsidR="00194B18" w:rsidRPr="009A0DA6">
        <w:rPr>
          <w:rFonts w:ascii="Cambria" w:eastAsia="Calibri" w:hAnsi="Cambria" w:cs="Calibri"/>
        </w:rPr>
        <w:t>spel.</w:t>
      </w:r>
    </w:p>
    <w:p w14:paraId="5DC1A8F4" w14:textId="77CAE734" w:rsidR="00194B18" w:rsidRPr="009A0DA6" w:rsidRDefault="00194B18" w:rsidP="00F55252">
      <w:pPr>
        <w:pStyle w:val="ListParagraph"/>
        <w:numPr>
          <w:ilvl w:val="0"/>
          <w:numId w:val="141"/>
        </w:numPr>
        <w:spacing w:after="0" w:line="265" w:lineRule="exact"/>
        <w:ind w:left="567" w:right="-20" w:hanging="567"/>
        <w:rPr>
          <w:rFonts w:ascii="Cambria" w:eastAsia="Calibri" w:hAnsi="Cambria" w:cs="Calibri"/>
        </w:rPr>
      </w:pPr>
      <w:r w:rsidRPr="009A0DA6">
        <w:rPr>
          <w:rFonts w:ascii="Cambria" w:eastAsia="Calibri" w:hAnsi="Cambria" w:cs="Calibri"/>
          <w:position w:val="1"/>
        </w:rPr>
        <w:t>That</w:t>
      </w:r>
      <w:r w:rsidRPr="009A0DA6">
        <w:rPr>
          <w:rFonts w:ascii="Cambria" w:eastAsia="Calibri" w:hAnsi="Cambria" w:cs="Calibri"/>
          <w:spacing w:val="-2"/>
          <w:position w:val="1"/>
        </w:rPr>
        <w:t xml:space="preserve"> </w:t>
      </w:r>
      <w:r w:rsidRPr="009A0DA6">
        <w:rPr>
          <w:rFonts w:ascii="Cambria" w:eastAsia="Calibri" w:hAnsi="Cambria" w:cs="Calibri"/>
          <w:spacing w:val="2"/>
          <w:position w:val="1"/>
        </w:rPr>
        <w:t>m</w:t>
      </w:r>
      <w:r w:rsidRPr="009A0DA6">
        <w:rPr>
          <w:rFonts w:ascii="Cambria" w:eastAsia="Calibri" w:hAnsi="Cambria" w:cs="Calibri"/>
          <w:spacing w:val="-2"/>
          <w:position w:val="1"/>
        </w:rPr>
        <w:t>e</w:t>
      </w:r>
      <w:r w:rsidRPr="009A0DA6">
        <w:rPr>
          <w:rFonts w:ascii="Cambria" w:eastAsia="Calibri" w:hAnsi="Cambria" w:cs="Calibri"/>
          <w:spacing w:val="1"/>
          <w:position w:val="1"/>
        </w:rPr>
        <w:t>m</w:t>
      </w:r>
      <w:r w:rsidRPr="009A0DA6">
        <w:rPr>
          <w:rFonts w:ascii="Cambria" w:eastAsia="Calibri" w:hAnsi="Cambria" w:cs="Calibri"/>
          <w:spacing w:val="-1"/>
          <w:position w:val="1"/>
        </w:rPr>
        <w:t>b</w:t>
      </w:r>
      <w:r w:rsidRPr="009A0DA6">
        <w:rPr>
          <w:rFonts w:ascii="Cambria" w:eastAsia="Calibri" w:hAnsi="Cambria" w:cs="Calibri"/>
          <w:position w:val="1"/>
        </w:rPr>
        <w:t>ers</w:t>
      </w:r>
      <w:r w:rsidRPr="009A0DA6">
        <w:rPr>
          <w:rFonts w:ascii="Cambria" w:eastAsia="Calibri" w:hAnsi="Cambria" w:cs="Calibri"/>
          <w:spacing w:val="-1"/>
          <w:position w:val="1"/>
        </w:rPr>
        <w:t xml:space="preserve"> </w:t>
      </w:r>
      <w:r w:rsidRPr="009A0DA6">
        <w:rPr>
          <w:rFonts w:ascii="Cambria" w:eastAsia="Calibri" w:hAnsi="Cambria" w:cs="Calibri"/>
          <w:spacing w:val="1"/>
          <w:position w:val="1"/>
        </w:rPr>
        <w:t>o</w:t>
      </w:r>
      <w:r w:rsidRPr="009A0DA6">
        <w:rPr>
          <w:rFonts w:ascii="Cambria" w:eastAsia="Calibri" w:hAnsi="Cambria" w:cs="Calibri"/>
          <w:position w:val="1"/>
        </w:rPr>
        <w:t>f</w:t>
      </w:r>
      <w:r w:rsidRPr="009A0DA6">
        <w:rPr>
          <w:rFonts w:ascii="Cambria" w:eastAsia="Calibri" w:hAnsi="Cambria" w:cs="Calibri"/>
          <w:spacing w:val="-2"/>
          <w:position w:val="1"/>
        </w:rPr>
        <w:t xml:space="preserve"> </w:t>
      </w:r>
      <w:r w:rsidRPr="009A0DA6">
        <w:rPr>
          <w:rFonts w:ascii="Cambria" w:eastAsia="Calibri" w:hAnsi="Cambria" w:cs="Calibri"/>
          <w:position w:val="1"/>
        </w:rPr>
        <w:t>th</w:t>
      </w:r>
      <w:r w:rsidRPr="009A0DA6">
        <w:rPr>
          <w:rFonts w:ascii="Cambria" w:eastAsia="Calibri" w:hAnsi="Cambria" w:cs="Calibri"/>
          <w:spacing w:val="-1"/>
          <w:position w:val="1"/>
        </w:rPr>
        <w:t>i</w:t>
      </w:r>
      <w:r w:rsidRPr="009A0DA6">
        <w:rPr>
          <w:rFonts w:ascii="Cambria" w:eastAsia="Calibri" w:hAnsi="Cambria" w:cs="Calibri"/>
          <w:position w:val="1"/>
        </w:rPr>
        <w:t xml:space="preserve">s </w:t>
      </w:r>
      <w:r w:rsidRPr="009A0DA6">
        <w:rPr>
          <w:rFonts w:ascii="Cambria" w:eastAsia="Calibri" w:hAnsi="Cambria" w:cs="Calibri"/>
          <w:spacing w:val="1"/>
          <w:position w:val="1"/>
        </w:rPr>
        <w:t>t</w:t>
      </w:r>
      <w:r w:rsidRPr="009A0DA6">
        <w:rPr>
          <w:rFonts w:ascii="Cambria" w:eastAsia="Calibri" w:hAnsi="Cambria" w:cs="Calibri"/>
          <w:position w:val="1"/>
        </w:rPr>
        <w:t>a</w:t>
      </w:r>
      <w:r w:rsidRPr="009A0DA6">
        <w:rPr>
          <w:rFonts w:ascii="Cambria" w:eastAsia="Calibri" w:hAnsi="Cambria" w:cs="Calibri"/>
          <w:spacing w:val="-2"/>
          <w:position w:val="1"/>
        </w:rPr>
        <w:t>s</w:t>
      </w:r>
      <w:r w:rsidRPr="009A0DA6">
        <w:rPr>
          <w:rFonts w:ascii="Cambria" w:eastAsia="Calibri" w:hAnsi="Cambria" w:cs="Calibri"/>
          <w:position w:val="1"/>
        </w:rPr>
        <w:t>k</w:t>
      </w:r>
      <w:r w:rsidRPr="009A0DA6">
        <w:rPr>
          <w:rFonts w:ascii="Cambria" w:eastAsia="Calibri" w:hAnsi="Cambria" w:cs="Calibri"/>
          <w:spacing w:val="-2"/>
          <w:position w:val="1"/>
        </w:rPr>
        <w:t>f</w:t>
      </w:r>
      <w:r w:rsidRPr="009A0DA6">
        <w:rPr>
          <w:rFonts w:ascii="Cambria" w:eastAsia="Calibri" w:hAnsi="Cambria" w:cs="Calibri"/>
          <w:spacing w:val="1"/>
          <w:position w:val="1"/>
        </w:rPr>
        <w:t>o</w:t>
      </w:r>
      <w:r w:rsidRPr="009A0DA6">
        <w:rPr>
          <w:rFonts w:ascii="Cambria" w:eastAsia="Calibri" w:hAnsi="Cambria" w:cs="Calibri"/>
          <w:position w:val="1"/>
        </w:rPr>
        <w:t>rce</w:t>
      </w:r>
      <w:r w:rsidRPr="009A0DA6">
        <w:rPr>
          <w:rFonts w:ascii="Cambria" w:eastAsia="Calibri" w:hAnsi="Cambria" w:cs="Calibri"/>
          <w:spacing w:val="-2"/>
          <w:position w:val="1"/>
        </w:rPr>
        <w:t xml:space="preserve"> </w:t>
      </w:r>
      <w:r w:rsidRPr="009A0DA6">
        <w:rPr>
          <w:rFonts w:ascii="Cambria" w:eastAsia="Calibri" w:hAnsi="Cambria" w:cs="Calibri"/>
          <w:position w:val="1"/>
        </w:rPr>
        <w:t>be</w:t>
      </w:r>
      <w:r w:rsidRPr="009A0DA6">
        <w:rPr>
          <w:rFonts w:ascii="Cambria" w:eastAsia="Calibri" w:hAnsi="Cambria" w:cs="Calibri"/>
          <w:spacing w:val="1"/>
          <w:position w:val="1"/>
        </w:rPr>
        <w:t xml:space="preserve"> </w:t>
      </w:r>
      <w:r w:rsidRPr="009A0DA6">
        <w:rPr>
          <w:rFonts w:ascii="Cambria" w:eastAsia="Calibri" w:hAnsi="Cambria" w:cs="Calibri"/>
          <w:spacing w:val="-2"/>
          <w:position w:val="1"/>
        </w:rPr>
        <w:t>s</w:t>
      </w:r>
      <w:r w:rsidRPr="009A0DA6">
        <w:rPr>
          <w:rFonts w:ascii="Cambria" w:eastAsia="Calibri" w:hAnsi="Cambria" w:cs="Calibri"/>
          <w:position w:val="1"/>
        </w:rPr>
        <w:t>ele</w:t>
      </w:r>
      <w:r w:rsidRPr="009A0DA6">
        <w:rPr>
          <w:rFonts w:ascii="Cambria" w:eastAsia="Calibri" w:hAnsi="Cambria" w:cs="Calibri"/>
          <w:spacing w:val="1"/>
          <w:position w:val="1"/>
        </w:rPr>
        <w:t>c</w:t>
      </w:r>
      <w:r w:rsidRPr="009A0DA6">
        <w:rPr>
          <w:rFonts w:ascii="Cambria" w:eastAsia="Calibri" w:hAnsi="Cambria" w:cs="Calibri"/>
          <w:spacing w:val="-2"/>
          <w:position w:val="1"/>
        </w:rPr>
        <w:t>t</w:t>
      </w:r>
      <w:r w:rsidRPr="009A0DA6">
        <w:rPr>
          <w:rFonts w:ascii="Cambria" w:eastAsia="Calibri" w:hAnsi="Cambria" w:cs="Calibri"/>
          <w:position w:val="1"/>
        </w:rPr>
        <w:t>ed in</w:t>
      </w:r>
      <w:r w:rsidRPr="009A0DA6">
        <w:rPr>
          <w:rFonts w:ascii="Cambria" w:eastAsia="Calibri" w:hAnsi="Cambria" w:cs="Calibri"/>
          <w:spacing w:val="-1"/>
          <w:position w:val="1"/>
        </w:rPr>
        <w:t xml:space="preserve"> </w:t>
      </w:r>
      <w:r w:rsidRPr="009A0DA6">
        <w:rPr>
          <w:rFonts w:ascii="Cambria" w:eastAsia="Calibri" w:hAnsi="Cambria" w:cs="Calibri"/>
          <w:position w:val="1"/>
        </w:rPr>
        <w:t>such</w:t>
      </w:r>
      <w:r w:rsidRPr="009A0DA6">
        <w:rPr>
          <w:rFonts w:ascii="Cambria" w:eastAsia="Calibri" w:hAnsi="Cambria" w:cs="Calibri"/>
          <w:spacing w:val="-1"/>
          <w:position w:val="1"/>
        </w:rPr>
        <w:t xml:space="preserve"> </w:t>
      </w:r>
      <w:r w:rsidRPr="009A0DA6">
        <w:rPr>
          <w:rFonts w:ascii="Cambria" w:eastAsia="Calibri" w:hAnsi="Cambria" w:cs="Calibri"/>
          <w:position w:val="1"/>
        </w:rPr>
        <w:t>a</w:t>
      </w:r>
      <w:r w:rsidRPr="009A0DA6">
        <w:rPr>
          <w:rFonts w:ascii="Cambria" w:eastAsia="Calibri" w:hAnsi="Cambria" w:cs="Calibri"/>
          <w:spacing w:val="-4"/>
          <w:position w:val="1"/>
        </w:rPr>
        <w:t xml:space="preserve"> </w:t>
      </w:r>
      <w:r w:rsidRPr="009A0DA6">
        <w:rPr>
          <w:rFonts w:ascii="Cambria" w:eastAsia="Calibri" w:hAnsi="Cambria" w:cs="Calibri"/>
          <w:position w:val="1"/>
        </w:rPr>
        <w:t>way</w:t>
      </w:r>
      <w:r w:rsidRPr="009A0DA6">
        <w:rPr>
          <w:rFonts w:ascii="Cambria" w:eastAsia="Calibri" w:hAnsi="Cambria" w:cs="Calibri"/>
          <w:spacing w:val="-1"/>
          <w:position w:val="1"/>
        </w:rPr>
        <w:t xml:space="preserve"> </w:t>
      </w:r>
      <w:r w:rsidRPr="009A0DA6">
        <w:rPr>
          <w:rFonts w:ascii="Cambria" w:eastAsia="Calibri" w:hAnsi="Cambria" w:cs="Calibri"/>
          <w:position w:val="1"/>
        </w:rPr>
        <w:t>that pr</w:t>
      </w:r>
      <w:r w:rsidRPr="009A0DA6">
        <w:rPr>
          <w:rFonts w:ascii="Cambria" w:eastAsia="Calibri" w:hAnsi="Cambria" w:cs="Calibri"/>
          <w:spacing w:val="-3"/>
          <w:position w:val="1"/>
        </w:rPr>
        <w:t>i</w:t>
      </w:r>
      <w:r w:rsidRPr="009A0DA6">
        <w:rPr>
          <w:rFonts w:ascii="Cambria" w:eastAsia="Calibri" w:hAnsi="Cambria" w:cs="Calibri"/>
          <w:spacing w:val="1"/>
          <w:position w:val="1"/>
        </w:rPr>
        <w:t>o</w:t>
      </w:r>
      <w:r w:rsidRPr="009A0DA6">
        <w:rPr>
          <w:rFonts w:ascii="Cambria" w:eastAsia="Calibri" w:hAnsi="Cambria" w:cs="Calibri"/>
          <w:position w:val="1"/>
        </w:rPr>
        <w:t>rity</w:t>
      </w:r>
      <w:r w:rsidRPr="009A0DA6">
        <w:rPr>
          <w:rFonts w:ascii="Cambria" w:eastAsia="Calibri" w:hAnsi="Cambria" w:cs="Calibri"/>
          <w:spacing w:val="2"/>
          <w:position w:val="1"/>
        </w:rPr>
        <w:t xml:space="preserve"> </w:t>
      </w:r>
      <w:r w:rsidRPr="009A0DA6">
        <w:rPr>
          <w:rFonts w:ascii="Cambria" w:eastAsia="Calibri" w:hAnsi="Cambria" w:cs="Calibri"/>
          <w:position w:val="1"/>
        </w:rPr>
        <w:t>is g</w:t>
      </w:r>
      <w:r w:rsidRPr="009A0DA6">
        <w:rPr>
          <w:rFonts w:ascii="Cambria" w:eastAsia="Calibri" w:hAnsi="Cambria" w:cs="Calibri"/>
          <w:spacing w:val="-1"/>
          <w:position w:val="1"/>
        </w:rPr>
        <w:t>iv</w:t>
      </w:r>
      <w:r w:rsidRPr="009A0DA6">
        <w:rPr>
          <w:rFonts w:ascii="Cambria" w:eastAsia="Calibri" w:hAnsi="Cambria" w:cs="Calibri"/>
          <w:position w:val="1"/>
        </w:rPr>
        <w:t>en:</w:t>
      </w:r>
      <w:r w:rsidRPr="009A0DA6">
        <w:rPr>
          <w:rFonts w:ascii="Cambria" w:eastAsia="Calibri" w:hAnsi="Cambria" w:cs="Calibri"/>
          <w:spacing w:val="1"/>
          <w:position w:val="1"/>
        </w:rPr>
        <w:t xml:space="preserve"> </w:t>
      </w:r>
      <w:r w:rsidRPr="009A0DA6">
        <w:rPr>
          <w:rFonts w:ascii="Cambria" w:eastAsia="Calibri" w:hAnsi="Cambria" w:cs="Calibri"/>
          <w:position w:val="1"/>
        </w:rPr>
        <w:t>f</w:t>
      </w:r>
      <w:r w:rsidRPr="009A0DA6">
        <w:rPr>
          <w:rFonts w:ascii="Cambria" w:eastAsia="Calibri" w:hAnsi="Cambria" w:cs="Calibri"/>
          <w:spacing w:val="-3"/>
          <w:position w:val="1"/>
        </w:rPr>
        <w:t>i</w:t>
      </w:r>
      <w:r w:rsidRPr="009A0DA6">
        <w:rPr>
          <w:rFonts w:ascii="Cambria" w:eastAsia="Calibri" w:hAnsi="Cambria" w:cs="Calibri"/>
          <w:position w:val="1"/>
        </w:rPr>
        <w:t>rst,</w:t>
      </w:r>
      <w:r w:rsidRPr="009A0DA6">
        <w:rPr>
          <w:rFonts w:ascii="Cambria" w:eastAsia="Calibri" w:hAnsi="Cambria" w:cs="Calibri"/>
          <w:spacing w:val="1"/>
          <w:position w:val="1"/>
        </w:rPr>
        <w:t xml:space="preserve"> </w:t>
      </w:r>
      <w:r w:rsidRPr="009A0DA6">
        <w:rPr>
          <w:rFonts w:ascii="Cambria" w:eastAsia="Calibri" w:hAnsi="Cambria" w:cs="Calibri"/>
          <w:spacing w:val="-2"/>
          <w:position w:val="1"/>
        </w:rPr>
        <w:t>t</w:t>
      </w:r>
      <w:r w:rsidRPr="009A0DA6">
        <w:rPr>
          <w:rFonts w:ascii="Cambria" w:eastAsia="Calibri" w:hAnsi="Cambria" w:cs="Calibri"/>
          <w:position w:val="1"/>
        </w:rPr>
        <w:t>o</w:t>
      </w:r>
      <w:r w:rsidRPr="009A0DA6">
        <w:rPr>
          <w:rFonts w:ascii="Cambria" w:eastAsia="Calibri" w:hAnsi="Cambria" w:cs="Calibri"/>
          <w:spacing w:val="1"/>
          <w:position w:val="1"/>
        </w:rPr>
        <w:t xml:space="preserve"> </w:t>
      </w:r>
      <w:r w:rsidRPr="009A0DA6">
        <w:rPr>
          <w:rFonts w:ascii="Cambria" w:eastAsia="Calibri" w:hAnsi="Cambria" w:cs="Calibri"/>
          <w:position w:val="1"/>
        </w:rPr>
        <w:t>p</w:t>
      </w:r>
      <w:r w:rsidRPr="009A0DA6">
        <w:rPr>
          <w:rFonts w:ascii="Cambria" w:eastAsia="Calibri" w:hAnsi="Cambria" w:cs="Calibri"/>
          <w:spacing w:val="-2"/>
          <w:position w:val="1"/>
        </w:rPr>
        <w:t>e</w:t>
      </w:r>
      <w:r w:rsidRPr="009A0DA6">
        <w:rPr>
          <w:rFonts w:ascii="Cambria" w:eastAsia="Calibri" w:hAnsi="Cambria" w:cs="Calibri"/>
          <w:spacing w:val="1"/>
          <w:position w:val="1"/>
        </w:rPr>
        <w:t>o</w:t>
      </w:r>
      <w:r w:rsidRPr="009A0DA6">
        <w:rPr>
          <w:rFonts w:ascii="Cambria" w:eastAsia="Calibri" w:hAnsi="Cambria" w:cs="Calibri"/>
          <w:spacing w:val="-1"/>
          <w:position w:val="1"/>
        </w:rPr>
        <w:t>p</w:t>
      </w:r>
      <w:r w:rsidRPr="009A0DA6">
        <w:rPr>
          <w:rFonts w:ascii="Cambria" w:eastAsia="Calibri" w:hAnsi="Cambria" w:cs="Calibri"/>
          <w:position w:val="1"/>
        </w:rPr>
        <w:t>le</w:t>
      </w:r>
      <w:r w:rsidRPr="009A0DA6">
        <w:rPr>
          <w:rFonts w:ascii="Cambria" w:eastAsia="Calibri" w:hAnsi="Cambria" w:cs="Calibri"/>
          <w:spacing w:val="-1"/>
          <w:position w:val="1"/>
        </w:rPr>
        <w:t xml:space="preserve"> </w:t>
      </w:r>
      <w:r w:rsidRPr="009A0DA6">
        <w:rPr>
          <w:rFonts w:ascii="Cambria" w:eastAsia="Calibri" w:hAnsi="Cambria" w:cs="Calibri"/>
          <w:position w:val="1"/>
        </w:rPr>
        <w:t>who</w:t>
      </w:r>
      <w:r w:rsidRPr="009A0DA6">
        <w:rPr>
          <w:rFonts w:ascii="Cambria" w:eastAsia="Calibri" w:hAnsi="Cambria" w:cs="Calibri"/>
          <w:spacing w:val="-1"/>
          <w:position w:val="1"/>
        </w:rPr>
        <w:t xml:space="preserve"> </w:t>
      </w:r>
      <w:r w:rsidRPr="009A0DA6">
        <w:rPr>
          <w:rFonts w:ascii="Cambria" w:eastAsia="Calibri" w:hAnsi="Cambria" w:cs="Calibri"/>
          <w:position w:val="1"/>
        </w:rPr>
        <w:t>ha</w:t>
      </w:r>
      <w:r w:rsidRPr="009A0DA6">
        <w:rPr>
          <w:rFonts w:ascii="Cambria" w:eastAsia="Calibri" w:hAnsi="Cambria" w:cs="Calibri"/>
          <w:spacing w:val="-2"/>
          <w:position w:val="1"/>
        </w:rPr>
        <w:t>v</w:t>
      </w:r>
      <w:r w:rsidRPr="009A0DA6">
        <w:rPr>
          <w:rFonts w:ascii="Cambria" w:eastAsia="Calibri" w:hAnsi="Cambria" w:cs="Calibri"/>
          <w:position w:val="1"/>
        </w:rPr>
        <w:t>e</w:t>
      </w:r>
      <w:r w:rsidRPr="009A0DA6">
        <w:rPr>
          <w:rFonts w:ascii="Cambria" w:eastAsia="Calibri" w:hAnsi="Cambria" w:cs="Calibri"/>
          <w:spacing w:val="1"/>
          <w:position w:val="1"/>
        </w:rPr>
        <w:t xml:space="preserve"> </w:t>
      </w:r>
      <w:r w:rsidRPr="009A0DA6">
        <w:rPr>
          <w:rFonts w:ascii="Cambria" w:eastAsia="Calibri" w:hAnsi="Cambria" w:cs="Calibri"/>
          <w:position w:val="1"/>
        </w:rPr>
        <w:t xml:space="preserve">a </w:t>
      </w:r>
      <w:r w:rsidRPr="009A0DA6">
        <w:rPr>
          <w:rFonts w:ascii="Cambria" w:eastAsia="Calibri" w:hAnsi="Cambria" w:cs="Calibri"/>
        </w:rPr>
        <w:t>rep</w:t>
      </w:r>
      <w:r w:rsidRPr="009A0DA6">
        <w:rPr>
          <w:rFonts w:ascii="Cambria" w:eastAsia="Calibri" w:hAnsi="Cambria" w:cs="Calibri"/>
          <w:spacing w:val="-1"/>
        </w:rPr>
        <w:t>u</w:t>
      </w:r>
      <w:r w:rsidRPr="009A0DA6">
        <w:rPr>
          <w:rFonts w:ascii="Cambria" w:eastAsia="Calibri" w:hAnsi="Cambria" w:cs="Calibri"/>
        </w:rPr>
        <w:t>tati</w:t>
      </w:r>
      <w:r w:rsidRPr="009A0DA6">
        <w:rPr>
          <w:rFonts w:ascii="Cambria" w:eastAsia="Calibri" w:hAnsi="Cambria" w:cs="Calibri"/>
          <w:spacing w:val="1"/>
        </w:rPr>
        <w:t>o</w:t>
      </w:r>
      <w:r w:rsidRPr="009A0DA6">
        <w:rPr>
          <w:rFonts w:ascii="Cambria" w:eastAsia="Calibri" w:hAnsi="Cambria" w:cs="Calibri"/>
        </w:rPr>
        <w:t>n</w:t>
      </w:r>
      <w:r w:rsidRPr="009A0DA6">
        <w:rPr>
          <w:rFonts w:ascii="Cambria" w:eastAsia="Calibri" w:hAnsi="Cambria" w:cs="Calibri"/>
          <w:spacing w:val="-1"/>
        </w:rPr>
        <w:t xml:space="preserve"> </w:t>
      </w:r>
      <w:r w:rsidRPr="009A0DA6">
        <w:rPr>
          <w:rFonts w:ascii="Cambria" w:eastAsia="Calibri" w:hAnsi="Cambria" w:cs="Calibri"/>
        </w:rPr>
        <w:t>in</w:t>
      </w:r>
      <w:r w:rsidRPr="009A0DA6">
        <w:rPr>
          <w:rFonts w:ascii="Cambria" w:eastAsia="Calibri" w:hAnsi="Cambria" w:cs="Calibri"/>
          <w:spacing w:val="-3"/>
        </w:rPr>
        <w:t xml:space="preserve">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1"/>
        </w:rPr>
        <w:t xml:space="preserve"> </w:t>
      </w:r>
      <w:r w:rsidR="00336CE0" w:rsidRPr="009A0DA6">
        <w:rPr>
          <w:rFonts w:ascii="Cambria" w:eastAsia="Calibri" w:hAnsi="Cambria" w:cs="Calibri"/>
        </w:rPr>
        <w:t>church</w:t>
      </w:r>
      <w:r w:rsidRPr="009A0DA6">
        <w:rPr>
          <w:rFonts w:ascii="Cambria" w:eastAsia="Calibri" w:hAnsi="Cambria" w:cs="Calibri"/>
          <w:spacing w:val="-3"/>
        </w:rPr>
        <w:t xml:space="preserve"> </w:t>
      </w:r>
      <w:r w:rsidRPr="009A0DA6">
        <w:rPr>
          <w:rFonts w:ascii="Cambria" w:eastAsia="Calibri" w:hAnsi="Cambria" w:cs="Calibri"/>
        </w:rPr>
        <w:t>f</w:t>
      </w:r>
      <w:r w:rsidRPr="009A0DA6">
        <w:rPr>
          <w:rFonts w:ascii="Cambria" w:eastAsia="Calibri" w:hAnsi="Cambria" w:cs="Calibri"/>
          <w:spacing w:val="-1"/>
        </w:rPr>
        <w:t>o</w:t>
      </w:r>
      <w:r w:rsidRPr="009A0DA6">
        <w:rPr>
          <w:rFonts w:ascii="Cambria" w:eastAsia="Calibri" w:hAnsi="Cambria" w:cs="Calibri"/>
        </w:rPr>
        <w:t>r t</w:t>
      </w:r>
      <w:r w:rsidRPr="009A0DA6">
        <w:rPr>
          <w:rFonts w:ascii="Cambria" w:eastAsia="Calibri" w:hAnsi="Cambria" w:cs="Calibri"/>
          <w:spacing w:val="-1"/>
        </w:rPr>
        <w:t>h</w:t>
      </w:r>
      <w:r w:rsidRPr="009A0DA6">
        <w:rPr>
          <w:rFonts w:ascii="Cambria" w:eastAsia="Calibri" w:hAnsi="Cambria" w:cs="Calibri"/>
        </w:rPr>
        <w:t xml:space="preserve">eir </w:t>
      </w:r>
      <w:r w:rsidRPr="009A0DA6">
        <w:rPr>
          <w:rFonts w:ascii="Cambria" w:eastAsia="Calibri" w:hAnsi="Cambria" w:cs="Calibri"/>
          <w:spacing w:val="-3"/>
        </w:rPr>
        <w:t>g</w:t>
      </w:r>
      <w:r w:rsidRPr="009A0DA6">
        <w:rPr>
          <w:rFonts w:ascii="Cambria" w:eastAsia="Calibri" w:hAnsi="Cambria" w:cs="Calibri"/>
          <w:spacing w:val="1"/>
        </w:rPr>
        <w:t>o</w:t>
      </w:r>
      <w:r w:rsidRPr="009A0DA6">
        <w:rPr>
          <w:rFonts w:ascii="Cambria" w:eastAsia="Calibri" w:hAnsi="Cambria" w:cs="Calibri"/>
          <w:spacing w:val="-1"/>
        </w:rPr>
        <w:t>d</w:t>
      </w:r>
      <w:r w:rsidRPr="009A0DA6">
        <w:rPr>
          <w:rFonts w:ascii="Cambria" w:eastAsia="Calibri" w:hAnsi="Cambria" w:cs="Calibri"/>
        </w:rPr>
        <w:t>ly</w:t>
      </w:r>
      <w:r w:rsidRPr="009A0DA6">
        <w:rPr>
          <w:rFonts w:ascii="Cambria" w:eastAsia="Calibri" w:hAnsi="Cambria" w:cs="Calibri"/>
          <w:spacing w:val="-1"/>
        </w:rPr>
        <w:t xml:space="preserve"> </w:t>
      </w:r>
      <w:r w:rsidRPr="009A0DA6">
        <w:rPr>
          <w:rFonts w:ascii="Cambria" w:eastAsia="Calibri" w:hAnsi="Cambria" w:cs="Calibri"/>
        </w:rPr>
        <w:t>wisd</w:t>
      </w:r>
      <w:r w:rsidRPr="009A0DA6">
        <w:rPr>
          <w:rFonts w:ascii="Cambria" w:eastAsia="Calibri" w:hAnsi="Cambria" w:cs="Calibri"/>
          <w:spacing w:val="-2"/>
        </w:rPr>
        <w:t>o</w:t>
      </w:r>
      <w:r w:rsidRPr="009A0DA6">
        <w:rPr>
          <w:rFonts w:ascii="Cambria" w:eastAsia="Calibri" w:hAnsi="Cambria" w:cs="Calibri"/>
        </w:rPr>
        <w:t>m</w:t>
      </w:r>
      <w:r w:rsidRPr="009A0DA6">
        <w:rPr>
          <w:rFonts w:ascii="Cambria" w:eastAsia="Calibri" w:hAnsi="Cambria" w:cs="Calibri"/>
          <w:spacing w:val="1"/>
        </w:rPr>
        <w:t xml:space="preserve"> (</w:t>
      </w:r>
      <w:r w:rsidRPr="009A0DA6">
        <w:rPr>
          <w:rFonts w:ascii="Cambria" w:eastAsia="Calibri" w:hAnsi="Cambria" w:cs="Calibri"/>
        </w:rPr>
        <w:t>in</w:t>
      </w:r>
      <w:r w:rsidRPr="009A0DA6">
        <w:rPr>
          <w:rFonts w:ascii="Cambria" w:eastAsia="Calibri" w:hAnsi="Cambria" w:cs="Calibri"/>
          <w:spacing w:val="-3"/>
        </w:rPr>
        <w:t xml:space="preserve"> </w:t>
      </w:r>
      <w:r w:rsidRPr="009A0DA6">
        <w:rPr>
          <w:rFonts w:ascii="Cambria" w:eastAsia="Calibri" w:hAnsi="Cambria" w:cs="Calibri"/>
        </w:rPr>
        <w:t>li</w:t>
      </w:r>
      <w:r w:rsidRPr="009A0DA6">
        <w:rPr>
          <w:rFonts w:ascii="Cambria" w:eastAsia="Calibri" w:hAnsi="Cambria" w:cs="Calibri"/>
          <w:spacing w:val="-1"/>
        </w:rPr>
        <w:t>n</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rPr>
        <w:t>with</w:t>
      </w:r>
      <w:r w:rsidRPr="009A0DA6">
        <w:rPr>
          <w:rFonts w:ascii="Cambria" w:eastAsia="Calibri" w:hAnsi="Cambria" w:cs="Calibri"/>
          <w:spacing w:val="-2"/>
        </w:rPr>
        <w:t xml:space="preserve"> </w:t>
      </w:r>
      <w:r w:rsidR="008D2B65" w:rsidRPr="009A0DA6">
        <w:rPr>
          <w:rFonts w:ascii="Cambria" w:eastAsia="Calibri" w:hAnsi="Cambria" w:cs="Calibri"/>
          <w:spacing w:val="-2"/>
        </w:rPr>
        <w:br/>
      </w:r>
      <w:r w:rsidRPr="009A0DA6">
        <w:rPr>
          <w:rFonts w:ascii="Cambria" w:eastAsia="Calibri" w:hAnsi="Cambria" w:cs="Calibri"/>
        </w:rPr>
        <w:t>1</w:t>
      </w:r>
      <w:r w:rsidRPr="009A0DA6">
        <w:rPr>
          <w:rFonts w:ascii="Cambria" w:eastAsia="Calibri" w:hAnsi="Cambria" w:cs="Calibri"/>
          <w:spacing w:val="1"/>
        </w:rPr>
        <w:t xml:space="preserve"> </w:t>
      </w:r>
      <w:r w:rsidRPr="009A0DA6">
        <w:rPr>
          <w:rFonts w:ascii="Cambria" w:eastAsia="Calibri" w:hAnsi="Cambria" w:cs="Calibri"/>
          <w:spacing w:val="-2"/>
        </w:rPr>
        <w:t>C</w:t>
      </w:r>
      <w:r w:rsidRPr="009A0DA6">
        <w:rPr>
          <w:rFonts w:ascii="Cambria" w:eastAsia="Calibri" w:hAnsi="Cambria" w:cs="Calibri"/>
          <w:spacing w:val="1"/>
        </w:rPr>
        <w:t>o</w:t>
      </w:r>
      <w:r w:rsidRPr="009A0DA6">
        <w:rPr>
          <w:rFonts w:ascii="Cambria" w:eastAsia="Calibri" w:hAnsi="Cambria" w:cs="Calibri"/>
        </w:rPr>
        <w:t>ri</w:t>
      </w:r>
      <w:r w:rsidRPr="009A0DA6">
        <w:rPr>
          <w:rFonts w:ascii="Cambria" w:eastAsia="Calibri" w:hAnsi="Cambria" w:cs="Calibri"/>
          <w:spacing w:val="-1"/>
        </w:rPr>
        <w:t>n</w:t>
      </w:r>
      <w:r w:rsidRPr="009A0DA6">
        <w:rPr>
          <w:rFonts w:ascii="Cambria" w:eastAsia="Calibri" w:hAnsi="Cambria" w:cs="Calibri"/>
        </w:rPr>
        <w:t>th</w:t>
      </w:r>
      <w:r w:rsidRPr="009A0DA6">
        <w:rPr>
          <w:rFonts w:ascii="Cambria" w:eastAsia="Calibri" w:hAnsi="Cambria" w:cs="Calibri"/>
          <w:spacing w:val="-1"/>
        </w:rPr>
        <w:t>i</w:t>
      </w:r>
      <w:r w:rsidRPr="009A0DA6">
        <w:rPr>
          <w:rFonts w:ascii="Cambria" w:eastAsia="Calibri" w:hAnsi="Cambria" w:cs="Calibri"/>
        </w:rPr>
        <w:t>a</w:t>
      </w:r>
      <w:r w:rsidRPr="009A0DA6">
        <w:rPr>
          <w:rFonts w:ascii="Cambria" w:eastAsia="Calibri" w:hAnsi="Cambria" w:cs="Calibri"/>
          <w:spacing w:val="-1"/>
        </w:rPr>
        <w:t>n</w:t>
      </w:r>
      <w:r w:rsidRPr="009A0DA6">
        <w:rPr>
          <w:rFonts w:ascii="Cambria" w:eastAsia="Calibri" w:hAnsi="Cambria" w:cs="Calibri"/>
        </w:rPr>
        <w:t>s</w:t>
      </w:r>
      <w:r w:rsidRPr="009A0DA6">
        <w:rPr>
          <w:rFonts w:ascii="Cambria" w:eastAsia="Calibri" w:hAnsi="Cambria" w:cs="Calibri"/>
          <w:spacing w:val="-2"/>
        </w:rPr>
        <w:t xml:space="preserve"> </w:t>
      </w:r>
      <w:r w:rsidRPr="009A0DA6">
        <w:rPr>
          <w:rFonts w:ascii="Cambria" w:eastAsia="Calibri" w:hAnsi="Cambria" w:cs="Calibri"/>
          <w:spacing w:val="1"/>
        </w:rPr>
        <w:t>6</w:t>
      </w:r>
      <w:r w:rsidRPr="009A0DA6">
        <w:rPr>
          <w:rFonts w:ascii="Cambria" w:eastAsia="Calibri" w:hAnsi="Cambria" w:cs="Calibri"/>
          <w:spacing w:val="-1"/>
        </w:rPr>
        <w:t>:</w:t>
      </w:r>
      <w:r w:rsidRPr="009A0DA6">
        <w:rPr>
          <w:rFonts w:ascii="Cambria" w:eastAsia="Calibri" w:hAnsi="Cambria" w:cs="Calibri"/>
          <w:spacing w:val="1"/>
        </w:rPr>
        <w:t>5</w:t>
      </w:r>
      <w:r w:rsidRPr="009A0DA6">
        <w:rPr>
          <w:rFonts w:ascii="Cambria" w:eastAsia="Calibri" w:hAnsi="Cambria" w:cs="Calibri"/>
          <w:spacing w:val="-2"/>
        </w:rPr>
        <w:t>)</w:t>
      </w:r>
      <w:r w:rsidRPr="009A0DA6">
        <w:rPr>
          <w:rFonts w:ascii="Cambria" w:eastAsia="Calibri" w:hAnsi="Cambria" w:cs="Calibri"/>
        </w:rPr>
        <w:t>;</w:t>
      </w:r>
      <w:r w:rsidRPr="009A0DA6">
        <w:rPr>
          <w:rFonts w:ascii="Cambria" w:eastAsia="Calibri" w:hAnsi="Cambria" w:cs="Calibri"/>
          <w:spacing w:val="1"/>
        </w:rPr>
        <w:t xml:space="preserve"> </w:t>
      </w:r>
      <w:r w:rsidRPr="009A0DA6">
        <w:rPr>
          <w:rFonts w:ascii="Cambria" w:eastAsia="Calibri" w:hAnsi="Cambria" w:cs="Calibri"/>
          <w:spacing w:val="-2"/>
        </w:rPr>
        <w:t>a</w:t>
      </w:r>
      <w:r w:rsidRPr="009A0DA6">
        <w:rPr>
          <w:rFonts w:ascii="Cambria" w:eastAsia="Calibri" w:hAnsi="Cambria" w:cs="Calibri"/>
          <w:spacing w:val="-1"/>
        </w:rPr>
        <w:t>n</w:t>
      </w:r>
      <w:r w:rsidRPr="009A0DA6">
        <w:rPr>
          <w:rFonts w:ascii="Cambria" w:eastAsia="Calibri" w:hAnsi="Cambria" w:cs="Calibri"/>
        </w:rPr>
        <w:t>d</w:t>
      </w:r>
      <w:r w:rsidRPr="009A0DA6">
        <w:rPr>
          <w:rFonts w:ascii="Cambria" w:eastAsia="Calibri" w:hAnsi="Cambria" w:cs="Calibri"/>
          <w:spacing w:val="-1"/>
        </w:rPr>
        <w:t xml:space="preserve"> </w:t>
      </w:r>
      <w:r w:rsidRPr="009A0DA6">
        <w:rPr>
          <w:rFonts w:ascii="Cambria" w:eastAsia="Calibri" w:hAnsi="Cambria" w:cs="Calibri"/>
        </w:rPr>
        <w:t>s</w:t>
      </w:r>
      <w:r w:rsidRPr="009A0DA6">
        <w:rPr>
          <w:rFonts w:ascii="Cambria" w:eastAsia="Calibri" w:hAnsi="Cambria" w:cs="Calibri"/>
          <w:spacing w:val="1"/>
        </w:rPr>
        <w:t>e</w:t>
      </w:r>
      <w:r w:rsidRPr="009A0DA6">
        <w:rPr>
          <w:rFonts w:ascii="Cambria" w:eastAsia="Calibri" w:hAnsi="Cambria" w:cs="Calibri"/>
        </w:rPr>
        <w:t>c</w:t>
      </w:r>
      <w:r w:rsidRPr="009A0DA6">
        <w:rPr>
          <w:rFonts w:ascii="Cambria" w:eastAsia="Calibri" w:hAnsi="Cambria" w:cs="Calibri"/>
          <w:spacing w:val="1"/>
        </w:rPr>
        <w:t>o</w:t>
      </w:r>
      <w:r w:rsidRPr="009A0DA6">
        <w:rPr>
          <w:rFonts w:ascii="Cambria" w:eastAsia="Calibri" w:hAnsi="Cambria" w:cs="Calibri"/>
          <w:spacing w:val="-1"/>
        </w:rPr>
        <w:t>nd</w:t>
      </w:r>
      <w:r w:rsidRPr="009A0DA6">
        <w:rPr>
          <w:rFonts w:ascii="Cambria" w:eastAsia="Calibri" w:hAnsi="Cambria" w:cs="Calibri"/>
        </w:rPr>
        <w:t>,</w:t>
      </w:r>
      <w:r w:rsidRPr="009A0DA6">
        <w:rPr>
          <w:rFonts w:ascii="Cambria" w:eastAsia="Calibri" w:hAnsi="Cambria" w:cs="Calibri"/>
          <w:spacing w:val="-2"/>
        </w:rPr>
        <w:t xml:space="preserve"> </w:t>
      </w:r>
      <w:r w:rsidRPr="009A0DA6">
        <w:rPr>
          <w:rFonts w:ascii="Cambria" w:eastAsia="Calibri" w:hAnsi="Cambria" w:cs="Calibri"/>
        </w:rPr>
        <w:t>to</w:t>
      </w:r>
      <w:r w:rsidRPr="009A0DA6">
        <w:rPr>
          <w:rFonts w:ascii="Cambria" w:eastAsia="Calibri" w:hAnsi="Cambria" w:cs="Calibri"/>
          <w:spacing w:val="-1"/>
        </w:rPr>
        <w:t xml:space="preserve"> </w:t>
      </w:r>
      <w:r w:rsidRPr="009A0DA6">
        <w:rPr>
          <w:rFonts w:ascii="Cambria" w:eastAsia="Calibri" w:hAnsi="Cambria" w:cs="Calibri"/>
        </w:rPr>
        <w:t>p</w:t>
      </w:r>
      <w:r w:rsidRPr="009A0DA6">
        <w:rPr>
          <w:rFonts w:ascii="Cambria" w:eastAsia="Calibri" w:hAnsi="Cambria" w:cs="Calibri"/>
          <w:spacing w:val="-2"/>
        </w:rPr>
        <w:t>e</w:t>
      </w:r>
      <w:r w:rsidRPr="009A0DA6">
        <w:rPr>
          <w:rFonts w:ascii="Cambria" w:eastAsia="Calibri" w:hAnsi="Cambria" w:cs="Calibri"/>
          <w:spacing w:val="1"/>
        </w:rPr>
        <w:t>o</w:t>
      </w:r>
      <w:r w:rsidRPr="009A0DA6">
        <w:rPr>
          <w:rFonts w:ascii="Cambria" w:eastAsia="Calibri" w:hAnsi="Cambria" w:cs="Calibri"/>
          <w:spacing w:val="-1"/>
        </w:rPr>
        <w:t>p</w:t>
      </w:r>
      <w:r w:rsidRPr="009A0DA6">
        <w:rPr>
          <w:rFonts w:ascii="Cambria" w:eastAsia="Calibri" w:hAnsi="Cambria" w:cs="Calibri"/>
        </w:rPr>
        <w:t xml:space="preserve">le </w:t>
      </w:r>
      <w:r w:rsidRPr="009A0DA6">
        <w:rPr>
          <w:rFonts w:ascii="Cambria" w:eastAsia="Calibri" w:hAnsi="Cambria" w:cs="Calibri"/>
          <w:spacing w:val="1"/>
        </w:rPr>
        <w:t>w</w:t>
      </w:r>
      <w:r w:rsidRPr="009A0DA6">
        <w:rPr>
          <w:rFonts w:ascii="Cambria" w:eastAsia="Calibri" w:hAnsi="Cambria" w:cs="Calibri"/>
          <w:spacing w:val="-3"/>
        </w:rPr>
        <w:t>h</w:t>
      </w:r>
      <w:r w:rsidRPr="009A0DA6">
        <w:rPr>
          <w:rFonts w:ascii="Cambria" w:eastAsia="Calibri" w:hAnsi="Cambria" w:cs="Calibri"/>
        </w:rPr>
        <w:t>o</w:t>
      </w:r>
      <w:r w:rsidRPr="009A0DA6">
        <w:rPr>
          <w:rFonts w:ascii="Cambria" w:eastAsia="Calibri" w:hAnsi="Cambria" w:cs="Calibri"/>
          <w:spacing w:val="-1"/>
        </w:rPr>
        <w:t xml:space="preserve"> h</w:t>
      </w:r>
      <w:r w:rsidRPr="009A0DA6">
        <w:rPr>
          <w:rFonts w:ascii="Cambria" w:eastAsia="Calibri" w:hAnsi="Cambria" w:cs="Calibri"/>
        </w:rPr>
        <w:t>a</w:t>
      </w:r>
      <w:r w:rsidRPr="009A0DA6">
        <w:rPr>
          <w:rFonts w:ascii="Cambria" w:eastAsia="Calibri" w:hAnsi="Cambria" w:cs="Calibri"/>
          <w:spacing w:val="1"/>
        </w:rPr>
        <w:t>v</w:t>
      </w:r>
      <w:r w:rsidRPr="009A0DA6">
        <w:rPr>
          <w:rFonts w:ascii="Cambria" w:eastAsia="Calibri" w:hAnsi="Cambria" w:cs="Calibri"/>
        </w:rPr>
        <w:t>e rele</w:t>
      </w:r>
      <w:r w:rsidRPr="009A0DA6">
        <w:rPr>
          <w:rFonts w:ascii="Cambria" w:eastAsia="Calibri" w:hAnsi="Cambria" w:cs="Calibri"/>
          <w:spacing w:val="2"/>
        </w:rPr>
        <w:t>v</w:t>
      </w:r>
      <w:r w:rsidRPr="009A0DA6">
        <w:rPr>
          <w:rFonts w:ascii="Cambria" w:eastAsia="Calibri" w:hAnsi="Cambria" w:cs="Calibri"/>
        </w:rPr>
        <w:t>a</w:t>
      </w:r>
      <w:r w:rsidRPr="009A0DA6">
        <w:rPr>
          <w:rFonts w:ascii="Cambria" w:eastAsia="Calibri" w:hAnsi="Cambria" w:cs="Calibri"/>
          <w:spacing w:val="-3"/>
        </w:rPr>
        <w:t>n</w:t>
      </w:r>
      <w:r w:rsidRPr="009A0DA6">
        <w:rPr>
          <w:rFonts w:ascii="Cambria" w:eastAsia="Calibri" w:hAnsi="Cambria" w:cs="Calibri"/>
        </w:rPr>
        <w:t>t</w:t>
      </w:r>
      <w:r w:rsidRPr="009A0DA6">
        <w:rPr>
          <w:rFonts w:ascii="Cambria" w:eastAsia="Calibri" w:hAnsi="Cambria" w:cs="Calibri"/>
          <w:spacing w:val="1"/>
        </w:rPr>
        <w:t xml:space="preserve"> </w:t>
      </w:r>
      <w:r w:rsidRPr="009A0DA6">
        <w:rPr>
          <w:rFonts w:ascii="Cambria" w:eastAsia="Calibri" w:hAnsi="Cambria" w:cs="Calibri"/>
        </w:rPr>
        <w:t>legal</w:t>
      </w:r>
      <w:r w:rsidRPr="009A0DA6">
        <w:rPr>
          <w:rFonts w:ascii="Cambria" w:eastAsia="Calibri" w:hAnsi="Cambria" w:cs="Calibri"/>
          <w:spacing w:val="-2"/>
        </w:rPr>
        <w:t xml:space="preserve"> </w:t>
      </w:r>
      <w:r w:rsidRPr="009A0DA6">
        <w:rPr>
          <w:rFonts w:ascii="Cambria" w:eastAsia="Calibri" w:hAnsi="Cambria" w:cs="Calibri"/>
        </w:rPr>
        <w:t>e</w:t>
      </w:r>
      <w:r w:rsidRPr="009A0DA6">
        <w:rPr>
          <w:rFonts w:ascii="Cambria" w:eastAsia="Calibri" w:hAnsi="Cambria" w:cs="Calibri"/>
          <w:spacing w:val="1"/>
        </w:rPr>
        <w:t>x</w:t>
      </w:r>
      <w:r w:rsidRPr="009A0DA6">
        <w:rPr>
          <w:rFonts w:ascii="Cambria" w:eastAsia="Calibri" w:hAnsi="Cambria" w:cs="Calibri"/>
          <w:spacing w:val="-1"/>
        </w:rPr>
        <w:t>p</w:t>
      </w:r>
      <w:r w:rsidRPr="009A0DA6">
        <w:rPr>
          <w:rFonts w:ascii="Cambria" w:eastAsia="Calibri" w:hAnsi="Cambria" w:cs="Calibri"/>
        </w:rPr>
        <w:t>e</w:t>
      </w:r>
      <w:r w:rsidRPr="009A0DA6">
        <w:rPr>
          <w:rFonts w:ascii="Cambria" w:eastAsia="Calibri" w:hAnsi="Cambria" w:cs="Calibri"/>
          <w:spacing w:val="-2"/>
        </w:rPr>
        <w:t>r</w:t>
      </w:r>
      <w:r w:rsidRPr="009A0DA6">
        <w:rPr>
          <w:rFonts w:ascii="Cambria" w:eastAsia="Calibri" w:hAnsi="Cambria" w:cs="Calibri"/>
        </w:rPr>
        <w:t>tise,</w:t>
      </w:r>
      <w:r w:rsidRPr="009A0DA6">
        <w:rPr>
          <w:rFonts w:ascii="Cambria" w:eastAsia="Calibri" w:hAnsi="Cambria" w:cs="Calibri"/>
          <w:spacing w:val="-1"/>
        </w:rPr>
        <w:t xml:space="preserve"> </w:t>
      </w:r>
      <w:r w:rsidRPr="009A0DA6">
        <w:rPr>
          <w:rFonts w:ascii="Cambria" w:eastAsia="Calibri" w:hAnsi="Cambria" w:cs="Calibri"/>
        </w:rPr>
        <w:t>so</w:t>
      </w:r>
      <w:r w:rsidRPr="009A0DA6">
        <w:rPr>
          <w:rFonts w:ascii="Cambria" w:eastAsia="Calibri" w:hAnsi="Cambria" w:cs="Calibri"/>
          <w:spacing w:val="-2"/>
        </w:rPr>
        <w:t xml:space="preserve"> </w:t>
      </w:r>
      <w:r w:rsidRPr="009A0DA6">
        <w:rPr>
          <w:rFonts w:ascii="Cambria" w:eastAsia="Calibri" w:hAnsi="Cambria" w:cs="Calibri"/>
        </w:rPr>
        <w:t>that as</w:t>
      </w:r>
      <w:r w:rsidRPr="009A0DA6">
        <w:rPr>
          <w:rFonts w:ascii="Cambria" w:eastAsia="Calibri" w:hAnsi="Cambria" w:cs="Calibri"/>
          <w:spacing w:val="1"/>
        </w:rPr>
        <w:t xml:space="preserve"> </w:t>
      </w:r>
      <w:r w:rsidRPr="009A0DA6">
        <w:rPr>
          <w:rFonts w:ascii="Cambria" w:eastAsia="Calibri" w:hAnsi="Cambria" w:cs="Calibri"/>
        </w:rPr>
        <w:t>a</w:t>
      </w:r>
      <w:r w:rsidRPr="009A0DA6">
        <w:rPr>
          <w:rFonts w:ascii="Cambria" w:eastAsia="Calibri" w:hAnsi="Cambria" w:cs="Calibri"/>
          <w:spacing w:val="-2"/>
        </w:rPr>
        <w:t xml:space="preserve"> </w:t>
      </w:r>
      <w:r w:rsidRPr="009A0DA6">
        <w:rPr>
          <w:rFonts w:ascii="Cambria" w:eastAsia="Calibri" w:hAnsi="Cambria" w:cs="Calibri"/>
        </w:rPr>
        <w:t>gr</w:t>
      </w:r>
      <w:r w:rsidRPr="009A0DA6">
        <w:rPr>
          <w:rFonts w:ascii="Cambria" w:eastAsia="Calibri" w:hAnsi="Cambria" w:cs="Calibri"/>
          <w:spacing w:val="1"/>
        </w:rPr>
        <w:t>o</w:t>
      </w:r>
      <w:r w:rsidRPr="009A0DA6">
        <w:rPr>
          <w:rFonts w:ascii="Cambria" w:eastAsia="Calibri" w:hAnsi="Cambria" w:cs="Calibri"/>
          <w:spacing w:val="-1"/>
        </w:rPr>
        <w:t>u</w:t>
      </w:r>
      <w:r w:rsidRPr="009A0DA6">
        <w:rPr>
          <w:rFonts w:ascii="Cambria" w:eastAsia="Calibri" w:hAnsi="Cambria" w:cs="Calibri"/>
        </w:rPr>
        <w:t>p</w:t>
      </w:r>
      <w:r w:rsidRPr="009A0DA6">
        <w:rPr>
          <w:rFonts w:ascii="Cambria" w:eastAsia="Calibri" w:hAnsi="Cambria" w:cs="Calibri"/>
          <w:spacing w:val="-1"/>
        </w:rPr>
        <w:t xml:space="preserve"> </w:t>
      </w:r>
      <w:r w:rsidRPr="009A0DA6">
        <w:rPr>
          <w:rFonts w:ascii="Cambria" w:eastAsia="Calibri" w:hAnsi="Cambria" w:cs="Calibri"/>
        </w:rPr>
        <w:t>it</w:t>
      </w:r>
      <w:r w:rsidRPr="009A0DA6">
        <w:rPr>
          <w:rFonts w:ascii="Cambria" w:eastAsia="Calibri" w:hAnsi="Cambria" w:cs="Calibri"/>
          <w:spacing w:val="-1"/>
        </w:rPr>
        <w:t xml:space="preserve"> </w:t>
      </w:r>
      <w:r w:rsidRPr="009A0DA6">
        <w:rPr>
          <w:rFonts w:ascii="Cambria" w:eastAsia="Calibri" w:hAnsi="Cambria" w:cs="Calibri"/>
        </w:rPr>
        <w:t>gi</w:t>
      </w:r>
      <w:r w:rsidRPr="009A0DA6">
        <w:rPr>
          <w:rFonts w:ascii="Cambria" w:eastAsia="Calibri" w:hAnsi="Cambria" w:cs="Calibri"/>
          <w:spacing w:val="1"/>
        </w:rPr>
        <w:t>v</w:t>
      </w:r>
      <w:r w:rsidRPr="009A0DA6">
        <w:rPr>
          <w:rFonts w:ascii="Cambria" w:eastAsia="Calibri" w:hAnsi="Cambria" w:cs="Calibri"/>
          <w:spacing w:val="-2"/>
        </w:rPr>
        <w:t>e</w:t>
      </w:r>
      <w:r w:rsidRPr="009A0DA6">
        <w:rPr>
          <w:rFonts w:ascii="Cambria" w:eastAsia="Calibri" w:hAnsi="Cambria" w:cs="Calibri"/>
        </w:rPr>
        <w:t>s d</w:t>
      </w:r>
      <w:r w:rsidRPr="009A0DA6">
        <w:rPr>
          <w:rFonts w:ascii="Cambria" w:eastAsia="Calibri" w:hAnsi="Cambria" w:cs="Calibri"/>
          <w:spacing w:val="-1"/>
        </w:rPr>
        <w:t>u</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rPr>
        <w:t>c</w:t>
      </w:r>
      <w:r w:rsidRPr="009A0DA6">
        <w:rPr>
          <w:rFonts w:ascii="Cambria" w:eastAsia="Calibri" w:hAnsi="Cambria" w:cs="Calibri"/>
          <w:spacing w:val="1"/>
        </w:rPr>
        <w:t>o</w:t>
      </w:r>
      <w:r w:rsidRPr="009A0DA6">
        <w:rPr>
          <w:rFonts w:ascii="Cambria" w:eastAsia="Calibri" w:hAnsi="Cambria" w:cs="Calibri"/>
          <w:spacing w:val="-1"/>
        </w:rPr>
        <w:t>n</w:t>
      </w:r>
      <w:r w:rsidRPr="009A0DA6">
        <w:rPr>
          <w:rFonts w:ascii="Cambria" w:eastAsia="Calibri" w:hAnsi="Cambria" w:cs="Calibri"/>
        </w:rPr>
        <w:t>si</w:t>
      </w:r>
      <w:r w:rsidRPr="009A0DA6">
        <w:rPr>
          <w:rFonts w:ascii="Cambria" w:eastAsia="Calibri" w:hAnsi="Cambria" w:cs="Calibri"/>
          <w:spacing w:val="-1"/>
        </w:rPr>
        <w:t>d</w:t>
      </w:r>
      <w:r w:rsidRPr="009A0DA6">
        <w:rPr>
          <w:rFonts w:ascii="Cambria" w:eastAsia="Calibri" w:hAnsi="Cambria" w:cs="Calibri"/>
        </w:rPr>
        <w:t>erat</w:t>
      </w:r>
      <w:r w:rsidRPr="009A0DA6">
        <w:rPr>
          <w:rFonts w:ascii="Cambria" w:eastAsia="Calibri" w:hAnsi="Cambria" w:cs="Calibri"/>
          <w:spacing w:val="-2"/>
        </w:rPr>
        <w:t>i</w:t>
      </w:r>
      <w:r w:rsidRPr="009A0DA6">
        <w:rPr>
          <w:rFonts w:ascii="Cambria" w:eastAsia="Calibri" w:hAnsi="Cambria" w:cs="Calibri"/>
          <w:spacing w:val="1"/>
        </w:rPr>
        <w:t>o</w:t>
      </w:r>
      <w:r w:rsidRPr="009A0DA6">
        <w:rPr>
          <w:rFonts w:ascii="Cambria" w:eastAsia="Calibri" w:hAnsi="Cambria" w:cs="Calibri"/>
        </w:rPr>
        <w:t>n</w:t>
      </w:r>
      <w:r w:rsidRPr="009A0DA6">
        <w:rPr>
          <w:rFonts w:ascii="Cambria" w:eastAsia="Calibri" w:hAnsi="Cambria" w:cs="Calibri"/>
          <w:spacing w:val="-1"/>
        </w:rPr>
        <w:t xml:space="preserve"> </w:t>
      </w:r>
      <w:r w:rsidRPr="009A0DA6">
        <w:rPr>
          <w:rFonts w:ascii="Cambria" w:eastAsia="Calibri" w:hAnsi="Cambria" w:cs="Calibri"/>
          <w:spacing w:val="-3"/>
        </w:rPr>
        <w:t>b</w:t>
      </w:r>
      <w:r w:rsidRPr="009A0DA6">
        <w:rPr>
          <w:rFonts w:ascii="Cambria" w:eastAsia="Calibri" w:hAnsi="Cambria" w:cs="Calibri"/>
          <w:spacing w:val="1"/>
        </w:rPr>
        <w:t>o</w:t>
      </w:r>
      <w:r w:rsidRPr="009A0DA6">
        <w:rPr>
          <w:rFonts w:ascii="Cambria" w:eastAsia="Calibri" w:hAnsi="Cambria" w:cs="Calibri"/>
        </w:rPr>
        <w:t xml:space="preserve">th </w:t>
      </w:r>
      <w:r w:rsidRPr="009A0DA6">
        <w:rPr>
          <w:rFonts w:ascii="Cambria" w:eastAsia="Calibri" w:hAnsi="Cambria" w:cs="Calibri"/>
          <w:spacing w:val="-2"/>
        </w:rPr>
        <w:t>t</w:t>
      </w:r>
      <w:r w:rsidRPr="009A0DA6">
        <w:rPr>
          <w:rFonts w:ascii="Cambria" w:eastAsia="Calibri" w:hAnsi="Cambria" w:cs="Calibri"/>
        </w:rPr>
        <w:t>o</w:t>
      </w:r>
      <w:r w:rsidRPr="009A0DA6">
        <w:rPr>
          <w:rFonts w:ascii="Cambria" w:eastAsia="Calibri" w:hAnsi="Cambria" w:cs="Calibri"/>
          <w:spacing w:val="-1"/>
        </w:rPr>
        <w:t xml:space="preserve"> </w:t>
      </w:r>
      <w:r w:rsidRPr="009A0DA6">
        <w:rPr>
          <w:rFonts w:ascii="Cambria" w:eastAsia="Calibri" w:hAnsi="Cambria" w:cs="Calibri"/>
          <w:spacing w:val="1"/>
        </w:rPr>
        <w:t>o</w:t>
      </w:r>
      <w:r w:rsidRPr="009A0DA6">
        <w:rPr>
          <w:rFonts w:ascii="Cambria" w:eastAsia="Calibri" w:hAnsi="Cambria" w:cs="Calibri"/>
          <w:spacing w:val="-1"/>
        </w:rPr>
        <w:t>u</w:t>
      </w:r>
      <w:r w:rsidRPr="009A0DA6">
        <w:rPr>
          <w:rFonts w:ascii="Cambria" w:eastAsia="Calibri" w:hAnsi="Cambria" w:cs="Calibri"/>
        </w:rPr>
        <w:t>r</w:t>
      </w:r>
      <w:r w:rsidRPr="009A0DA6">
        <w:rPr>
          <w:rFonts w:ascii="Cambria" w:eastAsia="Calibri" w:hAnsi="Cambria" w:cs="Calibri"/>
          <w:spacing w:val="-2"/>
        </w:rPr>
        <w:t xml:space="preserve"> </w:t>
      </w:r>
      <w:r w:rsidRPr="009A0DA6">
        <w:rPr>
          <w:rFonts w:ascii="Cambria" w:eastAsia="Calibri" w:hAnsi="Cambria" w:cs="Calibri"/>
          <w:spacing w:val="1"/>
        </w:rPr>
        <w:t>o</w:t>
      </w:r>
      <w:r w:rsidRPr="009A0DA6">
        <w:rPr>
          <w:rFonts w:ascii="Cambria" w:eastAsia="Calibri" w:hAnsi="Cambria" w:cs="Calibri"/>
          <w:spacing w:val="-1"/>
        </w:rPr>
        <w:t>b</w:t>
      </w:r>
      <w:r w:rsidRPr="009A0DA6">
        <w:rPr>
          <w:rFonts w:ascii="Cambria" w:eastAsia="Calibri" w:hAnsi="Cambria" w:cs="Calibri"/>
        </w:rPr>
        <w:t>li</w:t>
      </w:r>
      <w:r w:rsidRPr="009A0DA6">
        <w:rPr>
          <w:rFonts w:ascii="Cambria" w:eastAsia="Calibri" w:hAnsi="Cambria" w:cs="Calibri"/>
          <w:spacing w:val="-1"/>
        </w:rPr>
        <w:t>g</w:t>
      </w:r>
      <w:r w:rsidRPr="009A0DA6">
        <w:rPr>
          <w:rFonts w:ascii="Cambria" w:eastAsia="Calibri" w:hAnsi="Cambria" w:cs="Calibri"/>
        </w:rPr>
        <w:t>ati</w:t>
      </w:r>
      <w:r w:rsidRPr="009A0DA6">
        <w:rPr>
          <w:rFonts w:ascii="Cambria" w:eastAsia="Calibri" w:hAnsi="Cambria" w:cs="Calibri"/>
          <w:spacing w:val="1"/>
        </w:rPr>
        <w:t>o</w:t>
      </w:r>
      <w:r w:rsidRPr="009A0DA6">
        <w:rPr>
          <w:rFonts w:ascii="Cambria" w:eastAsia="Calibri" w:hAnsi="Cambria" w:cs="Calibri"/>
          <w:spacing w:val="-1"/>
        </w:rPr>
        <w:t>n</w:t>
      </w:r>
      <w:r w:rsidRPr="009A0DA6">
        <w:rPr>
          <w:rFonts w:ascii="Cambria" w:eastAsia="Calibri" w:hAnsi="Cambria" w:cs="Calibri"/>
        </w:rPr>
        <w:t>s</w:t>
      </w:r>
      <w:r w:rsidRPr="009A0DA6">
        <w:rPr>
          <w:rFonts w:ascii="Cambria" w:eastAsia="Calibri" w:hAnsi="Cambria" w:cs="Calibri"/>
          <w:spacing w:val="-2"/>
        </w:rPr>
        <w:t xml:space="preserve"> </w:t>
      </w:r>
      <w:r w:rsidRPr="009A0DA6">
        <w:rPr>
          <w:rFonts w:ascii="Cambria" w:eastAsia="Calibri" w:hAnsi="Cambria" w:cs="Calibri"/>
        </w:rPr>
        <w:t>bef</w:t>
      </w:r>
      <w:r w:rsidRPr="009A0DA6">
        <w:rPr>
          <w:rFonts w:ascii="Cambria" w:eastAsia="Calibri" w:hAnsi="Cambria" w:cs="Calibri"/>
          <w:spacing w:val="1"/>
        </w:rPr>
        <w:t>o</w:t>
      </w:r>
      <w:r w:rsidRPr="009A0DA6">
        <w:rPr>
          <w:rFonts w:ascii="Cambria" w:eastAsia="Calibri" w:hAnsi="Cambria" w:cs="Calibri"/>
          <w:spacing w:val="-3"/>
        </w:rPr>
        <w:t>r</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spacing w:val="2"/>
        </w:rPr>
        <w:t>G</w:t>
      </w:r>
      <w:r w:rsidRPr="009A0DA6">
        <w:rPr>
          <w:rFonts w:ascii="Cambria" w:eastAsia="Calibri" w:hAnsi="Cambria" w:cs="Calibri"/>
          <w:spacing w:val="1"/>
        </w:rPr>
        <w:t>o</w:t>
      </w:r>
      <w:r w:rsidRPr="009A0DA6">
        <w:rPr>
          <w:rFonts w:ascii="Cambria" w:eastAsia="Calibri" w:hAnsi="Cambria" w:cs="Calibri"/>
        </w:rPr>
        <w:t>d</w:t>
      </w:r>
      <w:r w:rsidRPr="009A0DA6">
        <w:rPr>
          <w:rFonts w:ascii="Cambria" w:eastAsia="Calibri" w:hAnsi="Cambria" w:cs="Calibri"/>
          <w:spacing w:val="-1"/>
        </w:rPr>
        <w:t xml:space="preserve"> </w:t>
      </w:r>
      <w:r w:rsidRPr="009A0DA6">
        <w:rPr>
          <w:rFonts w:ascii="Cambria" w:eastAsia="Calibri" w:hAnsi="Cambria" w:cs="Calibri"/>
        </w:rPr>
        <w:t>and</w:t>
      </w:r>
      <w:r w:rsidRPr="009A0DA6">
        <w:rPr>
          <w:rFonts w:ascii="Cambria" w:eastAsia="Calibri" w:hAnsi="Cambria" w:cs="Calibri"/>
          <w:spacing w:val="-4"/>
        </w:rPr>
        <w:t xml:space="preserve"> </w:t>
      </w:r>
      <w:r w:rsidRPr="009A0DA6">
        <w:rPr>
          <w:rFonts w:ascii="Cambria" w:eastAsia="Calibri" w:hAnsi="Cambria" w:cs="Calibri"/>
          <w:spacing w:val="1"/>
        </w:rPr>
        <w:t>o</w:t>
      </w:r>
      <w:r w:rsidRPr="009A0DA6">
        <w:rPr>
          <w:rFonts w:ascii="Cambria" w:eastAsia="Calibri" w:hAnsi="Cambria" w:cs="Calibri"/>
          <w:spacing w:val="-1"/>
        </w:rPr>
        <w:t>u</w:t>
      </w:r>
      <w:r w:rsidRPr="009A0DA6">
        <w:rPr>
          <w:rFonts w:ascii="Cambria" w:eastAsia="Calibri" w:hAnsi="Cambria" w:cs="Calibri"/>
        </w:rPr>
        <w:t xml:space="preserve">r </w:t>
      </w:r>
      <w:r w:rsidRPr="009A0DA6">
        <w:rPr>
          <w:rFonts w:ascii="Cambria" w:eastAsia="Calibri" w:hAnsi="Cambria" w:cs="Calibri"/>
          <w:spacing w:val="1"/>
        </w:rPr>
        <w:t>o</w:t>
      </w:r>
      <w:r w:rsidRPr="009A0DA6">
        <w:rPr>
          <w:rFonts w:ascii="Cambria" w:eastAsia="Calibri" w:hAnsi="Cambria" w:cs="Calibri"/>
          <w:spacing w:val="-1"/>
        </w:rPr>
        <w:t>b</w:t>
      </w:r>
      <w:r w:rsidRPr="009A0DA6">
        <w:rPr>
          <w:rFonts w:ascii="Cambria" w:eastAsia="Calibri" w:hAnsi="Cambria" w:cs="Calibri"/>
        </w:rPr>
        <w:t>li</w:t>
      </w:r>
      <w:r w:rsidRPr="009A0DA6">
        <w:rPr>
          <w:rFonts w:ascii="Cambria" w:eastAsia="Calibri" w:hAnsi="Cambria" w:cs="Calibri"/>
          <w:spacing w:val="-1"/>
        </w:rPr>
        <w:t>g</w:t>
      </w:r>
      <w:r w:rsidRPr="009A0DA6">
        <w:rPr>
          <w:rFonts w:ascii="Cambria" w:eastAsia="Calibri" w:hAnsi="Cambria" w:cs="Calibri"/>
        </w:rPr>
        <w:t>ati</w:t>
      </w:r>
      <w:r w:rsidRPr="009A0DA6">
        <w:rPr>
          <w:rFonts w:ascii="Cambria" w:eastAsia="Calibri" w:hAnsi="Cambria" w:cs="Calibri"/>
          <w:spacing w:val="1"/>
        </w:rPr>
        <w:t>o</w:t>
      </w:r>
      <w:r w:rsidRPr="009A0DA6">
        <w:rPr>
          <w:rFonts w:ascii="Cambria" w:eastAsia="Calibri" w:hAnsi="Cambria" w:cs="Calibri"/>
          <w:spacing w:val="-1"/>
        </w:rPr>
        <w:t>n</w:t>
      </w:r>
      <w:r w:rsidRPr="009A0DA6">
        <w:rPr>
          <w:rFonts w:ascii="Cambria" w:eastAsia="Calibri" w:hAnsi="Cambria" w:cs="Calibri"/>
        </w:rPr>
        <w:t>s</w:t>
      </w:r>
      <w:r w:rsidRPr="009A0DA6">
        <w:rPr>
          <w:rFonts w:ascii="Cambria" w:eastAsia="Calibri" w:hAnsi="Cambria" w:cs="Calibri"/>
          <w:spacing w:val="-2"/>
        </w:rPr>
        <w:t xml:space="preserve"> </w:t>
      </w:r>
      <w:r w:rsidRPr="009A0DA6">
        <w:rPr>
          <w:rFonts w:ascii="Cambria" w:eastAsia="Calibri" w:hAnsi="Cambria" w:cs="Calibri"/>
          <w:spacing w:val="1"/>
        </w:rPr>
        <w:t>t</w:t>
      </w:r>
      <w:r w:rsidRPr="009A0DA6">
        <w:rPr>
          <w:rFonts w:ascii="Cambria" w:eastAsia="Calibri" w:hAnsi="Cambria" w:cs="Calibri"/>
        </w:rPr>
        <w:t>o</w:t>
      </w:r>
      <w:r w:rsidRPr="009A0DA6">
        <w:rPr>
          <w:rFonts w:ascii="Cambria" w:eastAsia="Calibri" w:hAnsi="Cambria" w:cs="Calibri"/>
          <w:spacing w:val="-1"/>
        </w:rPr>
        <w:t xml:space="preserve">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2"/>
        </w:rPr>
        <w:t xml:space="preserve"> </w:t>
      </w:r>
      <w:r w:rsidRPr="009A0DA6">
        <w:rPr>
          <w:rFonts w:ascii="Cambria" w:eastAsia="Calibri" w:hAnsi="Cambria" w:cs="Calibri"/>
        </w:rPr>
        <w:t>s</w:t>
      </w:r>
      <w:r w:rsidRPr="009A0DA6">
        <w:rPr>
          <w:rFonts w:ascii="Cambria" w:eastAsia="Calibri" w:hAnsi="Cambria" w:cs="Calibri"/>
          <w:spacing w:val="1"/>
        </w:rPr>
        <w:t>t</w:t>
      </w:r>
      <w:r w:rsidRPr="009A0DA6">
        <w:rPr>
          <w:rFonts w:ascii="Cambria" w:eastAsia="Calibri" w:hAnsi="Cambria" w:cs="Calibri"/>
        </w:rPr>
        <w:t>a</w:t>
      </w:r>
      <w:r w:rsidRPr="009A0DA6">
        <w:rPr>
          <w:rFonts w:ascii="Cambria" w:eastAsia="Calibri" w:hAnsi="Cambria" w:cs="Calibri"/>
          <w:spacing w:val="-2"/>
        </w:rPr>
        <w:t>t</w:t>
      </w:r>
      <w:r w:rsidRPr="009A0DA6">
        <w:rPr>
          <w:rFonts w:ascii="Cambria" w:eastAsia="Calibri" w:hAnsi="Cambria" w:cs="Calibri"/>
        </w:rPr>
        <w:t>e. F</w:t>
      </w:r>
      <w:r w:rsidRPr="009A0DA6">
        <w:rPr>
          <w:rFonts w:ascii="Cambria" w:eastAsia="Calibri" w:hAnsi="Cambria" w:cs="Calibri"/>
          <w:spacing w:val="-3"/>
        </w:rPr>
        <w:t>u</w:t>
      </w:r>
      <w:r w:rsidRPr="009A0DA6">
        <w:rPr>
          <w:rFonts w:ascii="Cambria" w:eastAsia="Calibri" w:hAnsi="Cambria" w:cs="Calibri"/>
        </w:rPr>
        <w:t>rther</w:t>
      </w:r>
      <w:r w:rsidRPr="009A0DA6">
        <w:rPr>
          <w:rFonts w:ascii="Cambria" w:eastAsia="Calibri" w:hAnsi="Cambria" w:cs="Calibri"/>
          <w:spacing w:val="-1"/>
        </w:rPr>
        <w:t>m</w:t>
      </w:r>
      <w:r w:rsidRPr="009A0DA6">
        <w:rPr>
          <w:rFonts w:ascii="Cambria" w:eastAsia="Calibri" w:hAnsi="Cambria" w:cs="Calibri"/>
          <w:spacing w:val="1"/>
        </w:rPr>
        <w:t>o</w:t>
      </w:r>
      <w:r w:rsidRPr="009A0DA6">
        <w:rPr>
          <w:rFonts w:ascii="Cambria" w:eastAsia="Calibri" w:hAnsi="Cambria" w:cs="Calibri"/>
        </w:rPr>
        <w:t>r</w:t>
      </w:r>
      <w:r w:rsidRPr="009A0DA6">
        <w:rPr>
          <w:rFonts w:ascii="Cambria" w:eastAsia="Calibri" w:hAnsi="Cambria" w:cs="Calibri"/>
          <w:spacing w:val="-2"/>
        </w:rPr>
        <w:t>e</w:t>
      </w:r>
      <w:r w:rsidRPr="009A0DA6">
        <w:rPr>
          <w:rFonts w:ascii="Cambria" w:eastAsia="Calibri" w:hAnsi="Cambria" w:cs="Calibri"/>
        </w:rPr>
        <w:t xml:space="preserve">,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at</w:t>
      </w:r>
      <w:r w:rsidRPr="009A0DA6">
        <w:rPr>
          <w:rFonts w:ascii="Cambria" w:eastAsia="Calibri" w:hAnsi="Cambria" w:cs="Calibri"/>
          <w:spacing w:val="-2"/>
        </w:rPr>
        <w:t xml:space="preserve"> </w:t>
      </w:r>
      <w:r w:rsidRPr="009A0DA6">
        <w:rPr>
          <w:rFonts w:ascii="Cambria" w:eastAsia="Calibri" w:hAnsi="Cambria" w:cs="Calibri"/>
          <w:spacing w:val="1"/>
        </w:rPr>
        <w:t>t</w:t>
      </w:r>
      <w:r w:rsidRPr="009A0DA6">
        <w:rPr>
          <w:rFonts w:ascii="Cambria" w:eastAsia="Calibri" w:hAnsi="Cambria" w:cs="Calibri"/>
          <w:spacing w:val="-1"/>
        </w:rPr>
        <w:t>ho</w:t>
      </w:r>
      <w:r w:rsidRPr="009A0DA6">
        <w:rPr>
          <w:rFonts w:ascii="Cambria" w:eastAsia="Calibri" w:hAnsi="Cambria" w:cs="Calibri"/>
        </w:rPr>
        <w:t>se</w:t>
      </w:r>
      <w:r w:rsidRPr="009A0DA6">
        <w:rPr>
          <w:rFonts w:ascii="Cambria" w:eastAsia="Calibri" w:hAnsi="Cambria" w:cs="Calibri"/>
          <w:spacing w:val="-1"/>
        </w:rPr>
        <w:t xml:space="preserve"> </w:t>
      </w:r>
      <w:r w:rsidRPr="009A0DA6">
        <w:rPr>
          <w:rFonts w:ascii="Cambria" w:eastAsia="Calibri" w:hAnsi="Cambria" w:cs="Calibri"/>
        </w:rPr>
        <w:t>who</w:t>
      </w:r>
      <w:r w:rsidRPr="009A0DA6">
        <w:rPr>
          <w:rFonts w:ascii="Cambria" w:eastAsia="Calibri" w:hAnsi="Cambria" w:cs="Calibri"/>
          <w:spacing w:val="-1"/>
        </w:rPr>
        <w:t xml:space="preserve"> h</w:t>
      </w:r>
      <w:r w:rsidRPr="009A0DA6">
        <w:rPr>
          <w:rFonts w:ascii="Cambria" w:eastAsia="Calibri" w:hAnsi="Cambria" w:cs="Calibri"/>
        </w:rPr>
        <w:t>a</w:t>
      </w:r>
      <w:r w:rsidRPr="009A0DA6">
        <w:rPr>
          <w:rFonts w:ascii="Cambria" w:eastAsia="Calibri" w:hAnsi="Cambria" w:cs="Calibri"/>
          <w:spacing w:val="1"/>
        </w:rPr>
        <w:t>v</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rPr>
        <w:t>a</w:t>
      </w:r>
      <w:r w:rsidRPr="009A0DA6">
        <w:rPr>
          <w:rFonts w:ascii="Cambria" w:eastAsia="Calibri" w:hAnsi="Cambria" w:cs="Calibri"/>
          <w:spacing w:val="-2"/>
        </w:rPr>
        <w:t xml:space="preserve"> </w:t>
      </w:r>
      <w:r w:rsidRPr="009A0DA6">
        <w:rPr>
          <w:rFonts w:ascii="Cambria" w:eastAsia="Calibri" w:hAnsi="Cambria" w:cs="Calibri"/>
        </w:rPr>
        <w:t>c</w:t>
      </w:r>
      <w:r w:rsidRPr="009A0DA6">
        <w:rPr>
          <w:rFonts w:ascii="Cambria" w:eastAsia="Calibri" w:hAnsi="Cambria" w:cs="Calibri"/>
          <w:spacing w:val="1"/>
        </w:rPr>
        <w:t>o</w:t>
      </w:r>
      <w:r w:rsidRPr="009A0DA6">
        <w:rPr>
          <w:rFonts w:ascii="Cambria" w:eastAsia="Calibri" w:hAnsi="Cambria" w:cs="Calibri"/>
          <w:spacing w:val="-1"/>
        </w:rPr>
        <w:t>n</w:t>
      </w:r>
      <w:r w:rsidRPr="009A0DA6">
        <w:rPr>
          <w:rFonts w:ascii="Cambria" w:eastAsia="Calibri" w:hAnsi="Cambria" w:cs="Calibri"/>
        </w:rPr>
        <w:t>fl</w:t>
      </w:r>
      <w:r w:rsidRPr="009A0DA6">
        <w:rPr>
          <w:rFonts w:ascii="Cambria" w:eastAsia="Calibri" w:hAnsi="Cambria" w:cs="Calibri"/>
          <w:spacing w:val="-1"/>
        </w:rPr>
        <w:t>i</w:t>
      </w:r>
      <w:r w:rsidRPr="009A0DA6">
        <w:rPr>
          <w:rFonts w:ascii="Cambria" w:eastAsia="Calibri" w:hAnsi="Cambria" w:cs="Calibri"/>
          <w:spacing w:val="-2"/>
        </w:rPr>
        <w:t>c</w:t>
      </w:r>
      <w:r w:rsidRPr="009A0DA6">
        <w:rPr>
          <w:rFonts w:ascii="Cambria" w:eastAsia="Calibri" w:hAnsi="Cambria" w:cs="Calibri"/>
        </w:rPr>
        <w:t>t</w:t>
      </w:r>
      <w:r w:rsidRPr="009A0DA6">
        <w:rPr>
          <w:rFonts w:ascii="Cambria" w:eastAsia="Calibri" w:hAnsi="Cambria" w:cs="Calibri"/>
          <w:spacing w:val="-1"/>
        </w:rPr>
        <w:t xml:space="preserve"> </w:t>
      </w:r>
      <w:r w:rsidRPr="009A0DA6">
        <w:rPr>
          <w:rFonts w:ascii="Cambria" w:eastAsia="Calibri" w:hAnsi="Cambria" w:cs="Calibri"/>
          <w:spacing w:val="1"/>
        </w:rPr>
        <w:t>o</w:t>
      </w:r>
      <w:r w:rsidRPr="009A0DA6">
        <w:rPr>
          <w:rFonts w:ascii="Cambria" w:eastAsia="Calibri" w:hAnsi="Cambria" w:cs="Calibri"/>
        </w:rPr>
        <w:t>f i</w:t>
      </w:r>
      <w:r w:rsidRPr="009A0DA6">
        <w:rPr>
          <w:rFonts w:ascii="Cambria" w:eastAsia="Calibri" w:hAnsi="Cambria" w:cs="Calibri"/>
          <w:spacing w:val="-1"/>
        </w:rPr>
        <w:t>n</w:t>
      </w:r>
      <w:r w:rsidRPr="009A0DA6">
        <w:rPr>
          <w:rFonts w:ascii="Cambria" w:eastAsia="Calibri" w:hAnsi="Cambria" w:cs="Calibri"/>
        </w:rPr>
        <w:t>t</w:t>
      </w:r>
      <w:r w:rsidRPr="009A0DA6">
        <w:rPr>
          <w:rFonts w:ascii="Cambria" w:eastAsia="Calibri" w:hAnsi="Cambria" w:cs="Calibri"/>
          <w:spacing w:val="1"/>
        </w:rPr>
        <w:t>e</w:t>
      </w:r>
      <w:r w:rsidRPr="009A0DA6">
        <w:rPr>
          <w:rFonts w:ascii="Cambria" w:eastAsia="Calibri" w:hAnsi="Cambria" w:cs="Calibri"/>
          <w:spacing w:val="-3"/>
        </w:rPr>
        <w:t>r</w:t>
      </w:r>
      <w:r w:rsidRPr="009A0DA6">
        <w:rPr>
          <w:rFonts w:ascii="Cambria" w:eastAsia="Calibri" w:hAnsi="Cambria" w:cs="Calibri"/>
        </w:rPr>
        <w:t>est</w:t>
      </w:r>
      <w:r w:rsidRPr="009A0DA6">
        <w:rPr>
          <w:rFonts w:ascii="Cambria" w:eastAsia="Calibri" w:hAnsi="Cambria" w:cs="Calibri"/>
          <w:spacing w:val="-1"/>
        </w:rPr>
        <w:t xml:space="preserve"> </w:t>
      </w:r>
      <w:r w:rsidRPr="009A0DA6">
        <w:rPr>
          <w:rFonts w:ascii="Cambria" w:eastAsia="Calibri" w:hAnsi="Cambria" w:cs="Calibri"/>
        </w:rPr>
        <w:t>d</w:t>
      </w:r>
      <w:r w:rsidRPr="009A0DA6">
        <w:rPr>
          <w:rFonts w:ascii="Cambria" w:eastAsia="Calibri" w:hAnsi="Cambria" w:cs="Calibri"/>
          <w:spacing w:val="-1"/>
        </w:rPr>
        <w:t>u</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rPr>
        <w:t>to</w:t>
      </w:r>
      <w:r w:rsidRPr="009A0DA6">
        <w:rPr>
          <w:rFonts w:ascii="Cambria" w:eastAsia="Calibri" w:hAnsi="Cambria" w:cs="Calibri"/>
          <w:spacing w:val="-1"/>
        </w:rPr>
        <w:t xml:space="preserve"> </w:t>
      </w:r>
      <w:r w:rsidRPr="009A0DA6">
        <w:rPr>
          <w:rFonts w:ascii="Cambria" w:eastAsia="Calibri" w:hAnsi="Cambria" w:cs="Calibri"/>
        </w:rPr>
        <w:t>any</w:t>
      </w:r>
      <w:r w:rsidRPr="009A0DA6">
        <w:rPr>
          <w:rFonts w:ascii="Cambria" w:eastAsia="Calibri" w:hAnsi="Cambria" w:cs="Calibri"/>
          <w:spacing w:val="1"/>
        </w:rPr>
        <w:t xml:space="preserve"> </w:t>
      </w:r>
      <w:r w:rsidRPr="009A0DA6">
        <w:rPr>
          <w:rFonts w:ascii="Cambria" w:eastAsia="Calibri" w:hAnsi="Cambria" w:cs="Calibri"/>
          <w:spacing w:val="-1"/>
        </w:rPr>
        <w:t>d</w:t>
      </w:r>
      <w:r w:rsidRPr="009A0DA6">
        <w:rPr>
          <w:rFonts w:ascii="Cambria" w:eastAsia="Calibri" w:hAnsi="Cambria" w:cs="Calibri"/>
        </w:rPr>
        <w:t>i</w:t>
      </w:r>
      <w:r w:rsidRPr="009A0DA6">
        <w:rPr>
          <w:rFonts w:ascii="Cambria" w:eastAsia="Calibri" w:hAnsi="Cambria" w:cs="Calibri"/>
          <w:spacing w:val="-3"/>
        </w:rPr>
        <w:t>r</w:t>
      </w:r>
      <w:r w:rsidRPr="009A0DA6">
        <w:rPr>
          <w:rFonts w:ascii="Cambria" w:eastAsia="Calibri" w:hAnsi="Cambria" w:cs="Calibri"/>
        </w:rPr>
        <w:t>ect</w:t>
      </w:r>
      <w:r w:rsidRPr="009A0DA6">
        <w:rPr>
          <w:rFonts w:ascii="Cambria" w:eastAsia="Calibri" w:hAnsi="Cambria" w:cs="Calibri"/>
          <w:spacing w:val="1"/>
        </w:rPr>
        <w:t xml:space="preserve"> </w:t>
      </w:r>
      <w:r w:rsidRPr="009A0DA6">
        <w:rPr>
          <w:rFonts w:ascii="Cambria" w:eastAsia="Calibri" w:hAnsi="Cambria" w:cs="Calibri"/>
        </w:rPr>
        <w:t>i</w:t>
      </w:r>
      <w:r w:rsidRPr="009A0DA6">
        <w:rPr>
          <w:rFonts w:ascii="Cambria" w:eastAsia="Calibri" w:hAnsi="Cambria" w:cs="Calibri"/>
          <w:spacing w:val="-3"/>
        </w:rPr>
        <w:t>n</w:t>
      </w:r>
      <w:r w:rsidRPr="009A0DA6">
        <w:rPr>
          <w:rFonts w:ascii="Cambria" w:eastAsia="Calibri" w:hAnsi="Cambria" w:cs="Calibri"/>
          <w:spacing w:val="1"/>
        </w:rPr>
        <w:t>vo</w:t>
      </w:r>
      <w:r w:rsidRPr="009A0DA6">
        <w:rPr>
          <w:rFonts w:ascii="Cambria" w:eastAsia="Calibri" w:hAnsi="Cambria" w:cs="Calibri"/>
          <w:spacing w:val="-3"/>
        </w:rPr>
        <w:t>l</w:t>
      </w:r>
      <w:r w:rsidRPr="009A0DA6">
        <w:rPr>
          <w:rFonts w:ascii="Cambria" w:eastAsia="Calibri" w:hAnsi="Cambria" w:cs="Calibri"/>
          <w:spacing w:val="1"/>
        </w:rPr>
        <w:t>v</w:t>
      </w:r>
      <w:r w:rsidRPr="009A0DA6">
        <w:rPr>
          <w:rFonts w:ascii="Cambria" w:eastAsia="Calibri" w:hAnsi="Cambria" w:cs="Calibri"/>
          <w:spacing w:val="-2"/>
        </w:rPr>
        <w:t>e</w:t>
      </w:r>
      <w:r w:rsidRPr="009A0DA6">
        <w:rPr>
          <w:rFonts w:ascii="Cambria" w:eastAsia="Calibri" w:hAnsi="Cambria" w:cs="Calibri"/>
          <w:spacing w:val="-1"/>
        </w:rPr>
        <w:t>m</w:t>
      </w:r>
      <w:r w:rsidRPr="009A0DA6">
        <w:rPr>
          <w:rFonts w:ascii="Cambria" w:eastAsia="Calibri" w:hAnsi="Cambria" w:cs="Calibri"/>
          <w:spacing w:val="-2"/>
        </w:rPr>
        <w:t>e</w:t>
      </w:r>
      <w:r w:rsidRPr="009A0DA6">
        <w:rPr>
          <w:rFonts w:ascii="Cambria" w:eastAsia="Calibri" w:hAnsi="Cambria" w:cs="Calibri"/>
          <w:spacing w:val="-1"/>
        </w:rPr>
        <w:t>n</w:t>
      </w:r>
      <w:r w:rsidRPr="009A0DA6">
        <w:rPr>
          <w:rFonts w:ascii="Cambria" w:eastAsia="Calibri" w:hAnsi="Cambria" w:cs="Calibri"/>
        </w:rPr>
        <w:t>t</w:t>
      </w:r>
      <w:r w:rsidRPr="009A0DA6">
        <w:rPr>
          <w:rFonts w:ascii="Cambria" w:eastAsia="Calibri" w:hAnsi="Cambria" w:cs="Calibri"/>
          <w:spacing w:val="1"/>
        </w:rPr>
        <w:t xml:space="preserve"> </w:t>
      </w:r>
      <w:r w:rsidRPr="009A0DA6">
        <w:rPr>
          <w:rFonts w:ascii="Cambria" w:eastAsia="Calibri" w:hAnsi="Cambria" w:cs="Calibri"/>
        </w:rPr>
        <w:t>in either</w:t>
      </w:r>
      <w:r w:rsidRPr="009A0DA6">
        <w:rPr>
          <w:rFonts w:ascii="Cambria" w:eastAsia="Calibri" w:hAnsi="Cambria" w:cs="Calibri"/>
          <w:spacing w:val="1"/>
        </w:rPr>
        <w:t xml:space="preserve"> </w:t>
      </w:r>
      <w:r w:rsidRPr="009A0DA6">
        <w:rPr>
          <w:rFonts w:ascii="Cambria" w:eastAsia="Calibri" w:hAnsi="Cambria" w:cs="Calibri"/>
        </w:rPr>
        <w:t>t</w:t>
      </w:r>
      <w:r w:rsidRPr="009A0DA6">
        <w:rPr>
          <w:rFonts w:ascii="Cambria" w:eastAsia="Calibri" w:hAnsi="Cambria" w:cs="Calibri"/>
          <w:spacing w:val="-3"/>
        </w:rPr>
        <w:t>h</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rPr>
        <w:t>r</w:t>
      </w:r>
      <w:r w:rsidRPr="009A0DA6">
        <w:rPr>
          <w:rFonts w:ascii="Cambria" w:eastAsia="Calibri" w:hAnsi="Cambria" w:cs="Calibri"/>
          <w:spacing w:val="-1"/>
        </w:rPr>
        <w:t>unn</w:t>
      </w:r>
      <w:r w:rsidRPr="009A0DA6">
        <w:rPr>
          <w:rFonts w:ascii="Cambria" w:eastAsia="Calibri" w:hAnsi="Cambria" w:cs="Calibri"/>
        </w:rPr>
        <w:t>i</w:t>
      </w:r>
      <w:r w:rsidRPr="009A0DA6">
        <w:rPr>
          <w:rFonts w:ascii="Cambria" w:eastAsia="Calibri" w:hAnsi="Cambria" w:cs="Calibri"/>
          <w:spacing w:val="-1"/>
        </w:rPr>
        <w:t>n</w:t>
      </w:r>
      <w:r w:rsidRPr="009A0DA6">
        <w:rPr>
          <w:rFonts w:ascii="Cambria" w:eastAsia="Calibri" w:hAnsi="Cambria" w:cs="Calibri"/>
        </w:rPr>
        <w:t>g</w:t>
      </w:r>
      <w:r w:rsidRPr="009A0DA6">
        <w:rPr>
          <w:rFonts w:ascii="Cambria" w:eastAsia="Calibri" w:hAnsi="Cambria" w:cs="Calibri"/>
          <w:spacing w:val="-1"/>
        </w:rPr>
        <w:t xml:space="preserve"> </w:t>
      </w:r>
      <w:r w:rsidRPr="009A0DA6">
        <w:rPr>
          <w:rFonts w:ascii="Cambria" w:eastAsia="Calibri" w:hAnsi="Cambria" w:cs="Calibri"/>
          <w:spacing w:val="1"/>
        </w:rPr>
        <w:t>o</w:t>
      </w:r>
      <w:r w:rsidRPr="009A0DA6">
        <w:rPr>
          <w:rFonts w:ascii="Cambria" w:eastAsia="Calibri" w:hAnsi="Cambria" w:cs="Calibri"/>
        </w:rPr>
        <w:t>f</w:t>
      </w:r>
      <w:r w:rsidRPr="009A0DA6">
        <w:rPr>
          <w:rFonts w:ascii="Cambria" w:eastAsia="Calibri" w:hAnsi="Cambria" w:cs="Calibri"/>
          <w:spacing w:val="-2"/>
        </w:rPr>
        <w:t xml:space="preserve"> </w:t>
      </w:r>
      <w:r w:rsidRPr="009A0DA6">
        <w:rPr>
          <w:rFonts w:ascii="Cambria" w:eastAsia="Calibri" w:hAnsi="Cambria" w:cs="Calibri"/>
        </w:rPr>
        <w:t>the</w:t>
      </w:r>
      <w:r w:rsidRPr="009A0DA6">
        <w:rPr>
          <w:rFonts w:ascii="Cambria" w:eastAsia="Calibri" w:hAnsi="Cambria" w:cs="Calibri"/>
          <w:spacing w:val="-2"/>
        </w:rPr>
        <w:t xml:space="preserve"> L</w:t>
      </w:r>
      <w:r w:rsidRPr="009A0DA6">
        <w:rPr>
          <w:rFonts w:ascii="Cambria" w:eastAsia="Calibri" w:hAnsi="Cambria" w:cs="Calibri"/>
        </w:rPr>
        <w:t xml:space="preserve">CA </w:t>
      </w:r>
      <w:r w:rsidR="00FB59B1" w:rsidRPr="009A0DA6">
        <w:rPr>
          <w:rFonts w:ascii="Cambria" w:eastAsia="Calibri" w:hAnsi="Cambria" w:cs="Calibri"/>
        </w:rPr>
        <w:t>T</w:t>
      </w:r>
      <w:r w:rsidRPr="009A0DA6">
        <w:rPr>
          <w:rFonts w:ascii="Cambria" w:eastAsia="Calibri" w:hAnsi="Cambria" w:cs="Calibri"/>
        </w:rPr>
        <w:t>ri</w:t>
      </w:r>
      <w:r w:rsidRPr="009A0DA6">
        <w:rPr>
          <w:rFonts w:ascii="Cambria" w:eastAsia="Calibri" w:hAnsi="Cambria" w:cs="Calibri"/>
          <w:spacing w:val="-1"/>
        </w:rPr>
        <w:t>bun</w:t>
      </w:r>
      <w:r w:rsidRPr="009A0DA6">
        <w:rPr>
          <w:rFonts w:ascii="Cambria" w:eastAsia="Calibri" w:hAnsi="Cambria" w:cs="Calibri"/>
        </w:rPr>
        <w:t xml:space="preserve">al </w:t>
      </w:r>
      <w:r w:rsidRPr="009A0DA6">
        <w:rPr>
          <w:rFonts w:ascii="Cambria" w:eastAsia="Calibri" w:hAnsi="Cambria" w:cs="Calibri"/>
          <w:spacing w:val="1"/>
        </w:rPr>
        <w:t>o</w:t>
      </w:r>
      <w:r w:rsidRPr="009A0DA6">
        <w:rPr>
          <w:rFonts w:ascii="Cambria" w:eastAsia="Calibri" w:hAnsi="Cambria" w:cs="Calibri"/>
        </w:rPr>
        <w:t>r</w:t>
      </w:r>
      <w:r w:rsidRPr="009A0DA6">
        <w:rPr>
          <w:rFonts w:ascii="Cambria" w:eastAsia="Calibri" w:hAnsi="Cambria" w:cs="Calibri"/>
          <w:spacing w:val="-1"/>
        </w:rPr>
        <w:t xml:space="preserve"> </w:t>
      </w:r>
      <w:r w:rsidRPr="009A0DA6">
        <w:rPr>
          <w:rFonts w:ascii="Cambria" w:eastAsia="Calibri" w:hAnsi="Cambria" w:cs="Calibri"/>
        </w:rPr>
        <w:t>the</w:t>
      </w:r>
      <w:r w:rsidRPr="009A0DA6">
        <w:rPr>
          <w:rFonts w:ascii="Cambria" w:eastAsia="Calibri" w:hAnsi="Cambria" w:cs="Calibri"/>
          <w:spacing w:val="-2"/>
        </w:rPr>
        <w:t xml:space="preserve"> </w:t>
      </w:r>
      <w:r w:rsidRPr="009A0DA6">
        <w:rPr>
          <w:rFonts w:ascii="Cambria" w:eastAsia="Calibri" w:hAnsi="Cambria" w:cs="Calibri"/>
        </w:rPr>
        <w:t>es</w:t>
      </w:r>
      <w:r w:rsidRPr="009A0DA6">
        <w:rPr>
          <w:rFonts w:ascii="Cambria" w:eastAsia="Calibri" w:hAnsi="Cambria" w:cs="Calibri"/>
          <w:spacing w:val="1"/>
        </w:rPr>
        <w:t>t</w:t>
      </w:r>
      <w:r w:rsidRPr="009A0DA6">
        <w:rPr>
          <w:rFonts w:ascii="Cambria" w:eastAsia="Calibri" w:hAnsi="Cambria" w:cs="Calibri"/>
        </w:rPr>
        <w:t>a</w:t>
      </w:r>
      <w:r w:rsidRPr="009A0DA6">
        <w:rPr>
          <w:rFonts w:ascii="Cambria" w:eastAsia="Calibri" w:hAnsi="Cambria" w:cs="Calibri"/>
          <w:spacing w:val="-1"/>
        </w:rPr>
        <w:t>b</w:t>
      </w:r>
      <w:r w:rsidRPr="009A0DA6">
        <w:rPr>
          <w:rFonts w:ascii="Cambria" w:eastAsia="Calibri" w:hAnsi="Cambria" w:cs="Calibri"/>
        </w:rPr>
        <w:t>lis</w:t>
      </w:r>
      <w:r w:rsidRPr="009A0DA6">
        <w:rPr>
          <w:rFonts w:ascii="Cambria" w:eastAsia="Calibri" w:hAnsi="Cambria" w:cs="Calibri"/>
          <w:spacing w:val="-3"/>
        </w:rPr>
        <w:t>h</w:t>
      </w:r>
      <w:r w:rsidRPr="009A0DA6">
        <w:rPr>
          <w:rFonts w:ascii="Cambria" w:eastAsia="Calibri" w:hAnsi="Cambria" w:cs="Calibri"/>
          <w:spacing w:val="1"/>
        </w:rPr>
        <w:t>m</w:t>
      </w:r>
      <w:r w:rsidRPr="009A0DA6">
        <w:rPr>
          <w:rFonts w:ascii="Cambria" w:eastAsia="Calibri" w:hAnsi="Cambria" w:cs="Calibri"/>
        </w:rPr>
        <w:t>ent</w:t>
      </w:r>
      <w:r w:rsidRPr="009A0DA6">
        <w:rPr>
          <w:rFonts w:ascii="Cambria" w:eastAsia="Calibri" w:hAnsi="Cambria" w:cs="Calibri"/>
          <w:spacing w:val="-1"/>
        </w:rPr>
        <w:t xml:space="preserve"> </w:t>
      </w:r>
      <w:r w:rsidRPr="009A0DA6">
        <w:rPr>
          <w:rFonts w:ascii="Cambria" w:eastAsia="Calibri" w:hAnsi="Cambria" w:cs="Calibri"/>
        </w:rPr>
        <w:t>a</w:t>
      </w:r>
      <w:r w:rsidRPr="009A0DA6">
        <w:rPr>
          <w:rFonts w:ascii="Cambria" w:eastAsia="Calibri" w:hAnsi="Cambria" w:cs="Calibri"/>
          <w:spacing w:val="-1"/>
        </w:rPr>
        <w:t>n</w:t>
      </w:r>
      <w:r w:rsidRPr="009A0DA6">
        <w:rPr>
          <w:rFonts w:ascii="Cambria" w:eastAsia="Calibri" w:hAnsi="Cambria" w:cs="Calibri"/>
        </w:rPr>
        <w:t>d</w:t>
      </w:r>
      <w:r w:rsidRPr="009A0DA6">
        <w:rPr>
          <w:rFonts w:ascii="Cambria" w:eastAsia="Calibri" w:hAnsi="Cambria" w:cs="Calibri"/>
          <w:spacing w:val="-1"/>
        </w:rPr>
        <w:t xml:space="preserve"> </w:t>
      </w:r>
      <w:r w:rsidRPr="009A0DA6">
        <w:rPr>
          <w:rFonts w:ascii="Cambria" w:eastAsia="Calibri" w:hAnsi="Cambria" w:cs="Calibri"/>
          <w:spacing w:val="1"/>
        </w:rPr>
        <w:t>o</w:t>
      </w:r>
      <w:r w:rsidRPr="009A0DA6">
        <w:rPr>
          <w:rFonts w:ascii="Cambria" w:eastAsia="Calibri" w:hAnsi="Cambria" w:cs="Calibri"/>
          <w:spacing w:val="-1"/>
        </w:rPr>
        <w:t>p</w:t>
      </w:r>
      <w:r w:rsidRPr="009A0DA6">
        <w:rPr>
          <w:rFonts w:ascii="Cambria" w:eastAsia="Calibri" w:hAnsi="Cambria" w:cs="Calibri"/>
          <w:spacing w:val="-2"/>
        </w:rPr>
        <w:t>e</w:t>
      </w:r>
      <w:r w:rsidRPr="009A0DA6">
        <w:rPr>
          <w:rFonts w:ascii="Cambria" w:eastAsia="Calibri" w:hAnsi="Cambria" w:cs="Calibri"/>
        </w:rPr>
        <w:t>rat</w:t>
      </w:r>
      <w:r w:rsidRPr="009A0DA6">
        <w:rPr>
          <w:rFonts w:ascii="Cambria" w:eastAsia="Calibri" w:hAnsi="Cambria" w:cs="Calibri"/>
          <w:spacing w:val="-3"/>
        </w:rPr>
        <w:t>i</w:t>
      </w:r>
      <w:r w:rsidRPr="009A0DA6">
        <w:rPr>
          <w:rFonts w:ascii="Cambria" w:eastAsia="Calibri" w:hAnsi="Cambria" w:cs="Calibri"/>
          <w:spacing w:val="1"/>
        </w:rPr>
        <w:t>o</w:t>
      </w:r>
      <w:r w:rsidRPr="009A0DA6">
        <w:rPr>
          <w:rFonts w:ascii="Cambria" w:eastAsia="Calibri" w:hAnsi="Cambria" w:cs="Calibri"/>
        </w:rPr>
        <w:t xml:space="preserve">n </w:t>
      </w:r>
      <w:r w:rsidRPr="009A0DA6">
        <w:rPr>
          <w:rFonts w:ascii="Cambria" w:eastAsia="Calibri" w:hAnsi="Cambria" w:cs="Calibri"/>
          <w:spacing w:val="1"/>
        </w:rPr>
        <w:t>o</w:t>
      </w:r>
      <w:r w:rsidRPr="009A0DA6">
        <w:rPr>
          <w:rFonts w:ascii="Cambria" w:eastAsia="Calibri" w:hAnsi="Cambria" w:cs="Calibri"/>
        </w:rPr>
        <w:t>f</w:t>
      </w:r>
      <w:r w:rsidRPr="009A0DA6">
        <w:rPr>
          <w:rFonts w:ascii="Cambria" w:eastAsia="Calibri" w:hAnsi="Cambria" w:cs="Calibri"/>
          <w:spacing w:val="-3"/>
        </w:rPr>
        <w:t xml:space="preserve">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spacing w:val="1"/>
        </w:rPr>
        <w:t>P</w:t>
      </w:r>
      <w:r w:rsidRPr="009A0DA6">
        <w:rPr>
          <w:rFonts w:ascii="Cambria" w:eastAsia="Calibri" w:hAnsi="Cambria" w:cs="Calibri"/>
        </w:rPr>
        <w:t>SD</w:t>
      </w:r>
      <w:r w:rsidRPr="009A0DA6">
        <w:rPr>
          <w:rFonts w:ascii="Cambria" w:eastAsia="Calibri" w:hAnsi="Cambria" w:cs="Calibri"/>
          <w:spacing w:val="1"/>
        </w:rPr>
        <w:t xml:space="preserve"> </w:t>
      </w:r>
      <w:r w:rsidRPr="009A0DA6">
        <w:rPr>
          <w:rFonts w:ascii="Cambria" w:eastAsia="Calibri" w:hAnsi="Cambria" w:cs="Calibri"/>
          <w:spacing w:val="-3"/>
        </w:rPr>
        <w:t>b</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spacing w:val="-2"/>
        </w:rPr>
        <w:t>e</w:t>
      </w:r>
      <w:r w:rsidRPr="009A0DA6">
        <w:rPr>
          <w:rFonts w:ascii="Cambria" w:eastAsia="Calibri" w:hAnsi="Cambria" w:cs="Calibri"/>
        </w:rPr>
        <w:t>xclu</w:t>
      </w:r>
      <w:r w:rsidRPr="009A0DA6">
        <w:rPr>
          <w:rFonts w:ascii="Cambria" w:eastAsia="Calibri" w:hAnsi="Cambria" w:cs="Calibri"/>
          <w:spacing w:val="-1"/>
        </w:rPr>
        <w:t>d</w:t>
      </w:r>
      <w:r w:rsidRPr="009A0DA6">
        <w:rPr>
          <w:rFonts w:ascii="Cambria" w:eastAsia="Calibri" w:hAnsi="Cambria" w:cs="Calibri"/>
        </w:rPr>
        <w:t>ed f</w:t>
      </w:r>
      <w:r w:rsidRPr="009A0DA6">
        <w:rPr>
          <w:rFonts w:ascii="Cambria" w:eastAsia="Calibri" w:hAnsi="Cambria" w:cs="Calibri"/>
          <w:spacing w:val="-3"/>
        </w:rPr>
        <w:t>r</w:t>
      </w:r>
      <w:r w:rsidRPr="009A0DA6">
        <w:rPr>
          <w:rFonts w:ascii="Cambria" w:eastAsia="Calibri" w:hAnsi="Cambria" w:cs="Calibri"/>
          <w:spacing w:val="1"/>
        </w:rPr>
        <w:t>o</w:t>
      </w:r>
      <w:r w:rsidRPr="009A0DA6">
        <w:rPr>
          <w:rFonts w:ascii="Cambria" w:eastAsia="Calibri" w:hAnsi="Cambria" w:cs="Calibri"/>
        </w:rPr>
        <w:t>m</w:t>
      </w:r>
      <w:r w:rsidRPr="009A0DA6">
        <w:rPr>
          <w:rFonts w:ascii="Cambria" w:eastAsia="Calibri" w:hAnsi="Cambria" w:cs="Calibri"/>
          <w:spacing w:val="-1"/>
        </w:rPr>
        <w:t xml:space="preserve"> </w:t>
      </w:r>
      <w:r w:rsidRPr="009A0DA6">
        <w:rPr>
          <w:rFonts w:ascii="Cambria" w:eastAsia="Calibri" w:hAnsi="Cambria" w:cs="Calibri"/>
        </w:rPr>
        <w:t>s</w:t>
      </w:r>
      <w:r w:rsidRPr="009A0DA6">
        <w:rPr>
          <w:rFonts w:ascii="Cambria" w:eastAsia="Calibri" w:hAnsi="Cambria" w:cs="Calibri"/>
          <w:spacing w:val="1"/>
        </w:rPr>
        <w:t>e</w:t>
      </w:r>
      <w:r w:rsidRPr="009A0DA6">
        <w:rPr>
          <w:rFonts w:ascii="Cambria" w:eastAsia="Calibri" w:hAnsi="Cambria" w:cs="Calibri"/>
          <w:spacing w:val="-3"/>
        </w:rPr>
        <w:t>r</w:t>
      </w:r>
      <w:r w:rsidRPr="009A0DA6">
        <w:rPr>
          <w:rFonts w:ascii="Cambria" w:eastAsia="Calibri" w:hAnsi="Cambria" w:cs="Calibri"/>
          <w:spacing w:val="1"/>
        </w:rPr>
        <w:t>v</w:t>
      </w:r>
      <w:r w:rsidRPr="009A0DA6">
        <w:rPr>
          <w:rFonts w:ascii="Cambria" w:eastAsia="Calibri" w:hAnsi="Cambria" w:cs="Calibri"/>
          <w:spacing w:val="-3"/>
        </w:rPr>
        <w:t>i</w:t>
      </w:r>
      <w:r w:rsidRPr="009A0DA6">
        <w:rPr>
          <w:rFonts w:ascii="Cambria" w:eastAsia="Calibri" w:hAnsi="Cambria" w:cs="Calibri"/>
          <w:spacing w:val="-1"/>
        </w:rPr>
        <w:t>n</w:t>
      </w:r>
      <w:r w:rsidRPr="009A0DA6">
        <w:rPr>
          <w:rFonts w:ascii="Cambria" w:eastAsia="Calibri" w:hAnsi="Cambria" w:cs="Calibri"/>
        </w:rPr>
        <w:t xml:space="preserve">g </w:t>
      </w:r>
      <w:r w:rsidRPr="009A0DA6">
        <w:rPr>
          <w:rFonts w:ascii="Cambria" w:eastAsia="Calibri" w:hAnsi="Cambria" w:cs="Calibri"/>
          <w:spacing w:val="1"/>
        </w:rPr>
        <w:t>o</w:t>
      </w:r>
      <w:r w:rsidRPr="009A0DA6">
        <w:rPr>
          <w:rFonts w:ascii="Cambria" w:eastAsia="Calibri" w:hAnsi="Cambria" w:cs="Calibri"/>
        </w:rPr>
        <w:t>n</w:t>
      </w:r>
      <w:r w:rsidRPr="009A0DA6">
        <w:rPr>
          <w:rFonts w:ascii="Cambria" w:eastAsia="Calibri" w:hAnsi="Cambria" w:cs="Calibri"/>
          <w:spacing w:val="-1"/>
        </w:rPr>
        <w:t xml:space="preserve">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2"/>
        </w:rPr>
        <w:t xml:space="preserve"> </w:t>
      </w:r>
      <w:r w:rsidRPr="009A0DA6">
        <w:rPr>
          <w:rFonts w:ascii="Cambria" w:eastAsia="Calibri" w:hAnsi="Cambria" w:cs="Calibri"/>
          <w:spacing w:val="1"/>
        </w:rPr>
        <w:t>t</w:t>
      </w:r>
      <w:r w:rsidRPr="009A0DA6">
        <w:rPr>
          <w:rFonts w:ascii="Cambria" w:eastAsia="Calibri" w:hAnsi="Cambria" w:cs="Calibri"/>
        </w:rPr>
        <w:t>ask</w:t>
      </w:r>
      <w:r w:rsidRPr="009A0DA6">
        <w:rPr>
          <w:rFonts w:ascii="Cambria" w:eastAsia="Calibri" w:hAnsi="Cambria" w:cs="Calibri"/>
          <w:spacing w:val="-2"/>
        </w:rPr>
        <w:t>f</w:t>
      </w:r>
      <w:r w:rsidRPr="009A0DA6">
        <w:rPr>
          <w:rFonts w:ascii="Cambria" w:eastAsia="Calibri" w:hAnsi="Cambria" w:cs="Calibri"/>
          <w:spacing w:val="1"/>
        </w:rPr>
        <w:t>o</w:t>
      </w:r>
      <w:r w:rsidRPr="009A0DA6">
        <w:rPr>
          <w:rFonts w:ascii="Cambria" w:eastAsia="Calibri" w:hAnsi="Cambria" w:cs="Calibri"/>
        </w:rPr>
        <w:t>r</w:t>
      </w:r>
      <w:r w:rsidRPr="009A0DA6">
        <w:rPr>
          <w:rFonts w:ascii="Cambria" w:eastAsia="Calibri" w:hAnsi="Cambria" w:cs="Calibri"/>
          <w:spacing w:val="-2"/>
        </w:rPr>
        <w:t>c</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rPr>
        <w:t>a</w:t>
      </w:r>
      <w:r w:rsidRPr="009A0DA6">
        <w:rPr>
          <w:rFonts w:ascii="Cambria" w:eastAsia="Calibri" w:hAnsi="Cambria" w:cs="Calibri"/>
          <w:spacing w:val="-1"/>
        </w:rPr>
        <w:t>n</w:t>
      </w:r>
      <w:r w:rsidRPr="009A0DA6">
        <w:rPr>
          <w:rFonts w:ascii="Cambria" w:eastAsia="Calibri" w:hAnsi="Cambria" w:cs="Calibri"/>
        </w:rPr>
        <w:t>d</w:t>
      </w:r>
      <w:r w:rsidRPr="009A0DA6">
        <w:rPr>
          <w:rFonts w:ascii="Cambria" w:eastAsia="Calibri" w:hAnsi="Cambria" w:cs="Calibri"/>
          <w:spacing w:val="1"/>
        </w:rPr>
        <w:t xml:space="preserve"> </w:t>
      </w:r>
      <w:r w:rsidRPr="009A0DA6">
        <w:rPr>
          <w:rFonts w:ascii="Cambria" w:eastAsia="Calibri" w:hAnsi="Cambria" w:cs="Calibri"/>
        </w:rPr>
        <w:t>f</w:t>
      </w:r>
      <w:r w:rsidRPr="009A0DA6">
        <w:rPr>
          <w:rFonts w:ascii="Cambria" w:eastAsia="Calibri" w:hAnsi="Cambria" w:cs="Calibri"/>
          <w:spacing w:val="-3"/>
        </w:rPr>
        <w:t>r</w:t>
      </w:r>
      <w:r w:rsidRPr="009A0DA6">
        <w:rPr>
          <w:rFonts w:ascii="Cambria" w:eastAsia="Calibri" w:hAnsi="Cambria" w:cs="Calibri"/>
          <w:spacing w:val="-1"/>
        </w:rPr>
        <w:t>o</w:t>
      </w:r>
      <w:r w:rsidRPr="009A0DA6">
        <w:rPr>
          <w:rFonts w:ascii="Cambria" w:eastAsia="Calibri" w:hAnsi="Cambria" w:cs="Calibri"/>
        </w:rPr>
        <w:t>m</w:t>
      </w:r>
      <w:r w:rsidRPr="009A0DA6">
        <w:rPr>
          <w:rFonts w:ascii="Cambria" w:eastAsia="Calibri" w:hAnsi="Cambria" w:cs="Calibri"/>
          <w:spacing w:val="-1"/>
        </w:rPr>
        <w:t xml:space="preserve"> </w:t>
      </w:r>
      <w:r w:rsidRPr="009A0DA6">
        <w:rPr>
          <w:rFonts w:ascii="Cambria" w:eastAsia="Calibri" w:hAnsi="Cambria" w:cs="Calibri"/>
        </w:rPr>
        <w:t>sele</w:t>
      </w:r>
      <w:r w:rsidRPr="009A0DA6">
        <w:rPr>
          <w:rFonts w:ascii="Cambria" w:eastAsia="Calibri" w:hAnsi="Cambria" w:cs="Calibri"/>
          <w:spacing w:val="1"/>
        </w:rPr>
        <w:t>c</w:t>
      </w:r>
      <w:r w:rsidRPr="009A0DA6">
        <w:rPr>
          <w:rFonts w:ascii="Cambria" w:eastAsia="Calibri" w:hAnsi="Cambria" w:cs="Calibri"/>
        </w:rPr>
        <w:t>ti</w:t>
      </w:r>
      <w:r w:rsidRPr="009A0DA6">
        <w:rPr>
          <w:rFonts w:ascii="Cambria" w:eastAsia="Calibri" w:hAnsi="Cambria" w:cs="Calibri"/>
          <w:spacing w:val="-1"/>
        </w:rPr>
        <w:t>n</w:t>
      </w:r>
      <w:r w:rsidRPr="009A0DA6">
        <w:rPr>
          <w:rFonts w:ascii="Cambria" w:eastAsia="Calibri" w:hAnsi="Cambria" w:cs="Calibri"/>
        </w:rPr>
        <w:t>g</w:t>
      </w:r>
      <w:r w:rsidRPr="009A0DA6">
        <w:rPr>
          <w:rFonts w:ascii="Cambria" w:eastAsia="Calibri" w:hAnsi="Cambria" w:cs="Calibri"/>
          <w:spacing w:val="-1"/>
        </w:rPr>
        <w:t xml:space="preserve"> </w:t>
      </w:r>
      <w:r w:rsidRPr="009A0DA6">
        <w:rPr>
          <w:rFonts w:ascii="Cambria" w:eastAsia="Calibri" w:hAnsi="Cambria" w:cs="Calibri"/>
          <w:spacing w:val="-2"/>
        </w:rPr>
        <w:t>i</w:t>
      </w:r>
      <w:r w:rsidRPr="009A0DA6">
        <w:rPr>
          <w:rFonts w:ascii="Cambria" w:eastAsia="Calibri" w:hAnsi="Cambria" w:cs="Calibri"/>
        </w:rPr>
        <w:t>ts</w:t>
      </w:r>
      <w:r w:rsidRPr="009A0DA6">
        <w:rPr>
          <w:rFonts w:ascii="Cambria" w:eastAsia="Calibri" w:hAnsi="Cambria" w:cs="Calibri"/>
          <w:spacing w:val="-1"/>
        </w:rPr>
        <w:t xml:space="preserve"> </w:t>
      </w:r>
      <w:r w:rsidRPr="009A0DA6">
        <w:rPr>
          <w:rFonts w:ascii="Cambria" w:eastAsia="Calibri" w:hAnsi="Cambria" w:cs="Calibri"/>
          <w:spacing w:val="1"/>
        </w:rPr>
        <w:t>m</w:t>
      </w:r>
      <w:r w:rsidRPr="009A0DA6">
        <w:rPr>
          <w:rFonts w:ascii="Cambria" w:eastAsia="Calibri" w:hAnsi="Cambria" w:cs="Calibri"/>
          <w:spacing w:val="-2"/>
        </w:rPr>
        <w:t>e</w:t>
      </w:r>
      <w:r w:rsidRPr="009A0DA6">
        <w:rPr>
          <w:rFonts w:ascii="Cambria" w:eastAsia="Calibri" w:hAnsi="Cambria" w:cs="Calibri"/>
          <w:spacing w:val="1"/>
        </w:rPr>
        <w:t>m</w:t>
      </w:r>
      <w:r w:rsidRPr="009A0DA6">
        <w:rPr>
          <w:rFonts w:ascii="Cambria" w:eastAsia="Calibri" w:hAnsi="Cambria" w:cs="Calibri"/>
          <w:spacing w:val="-1"/>
        </w:rPr>
        <w:t>b</w:t>
      </w:r>
      <w:r w:rsidRPr="009A0DA6">
        <w:rPr>
          <w:rFonts w:ascii="Cambria" w:eastAsia="Calibri" w:hAnsi="Cambria" w:cs="Calibri"/>
        </w:rPr>
        <w:t>ers.</w:t>
      </w:r>
    </w:p>
    <w:p w14:paraId="697B8117" w14:textId="46212AD0" w:rsidR="00194B18" w:rsidRPr="009A0DA6" w:rsidRDefault="00194B18" w:rsidP="00F55252">
      <w:pPr>
        <w:pStyle w:val="ListParagraph"/>
        <w:numPr>
          <w:ilvl w:val="0"/>
          <w:numId w:val="141"/>
        </w:numPr>
        <w:spacing w:after="120" w:line="240" w:lineRule="auto"/>
        <w:ind w:left="567" w:right="733" w:hanging="567"/>
        <w:contextualSpacing w:val="0"/>
        <w:rPr>
          <w:rFonts w:ascii="Cambria" w:eastAsia="Calibri" w:hAnsi="Cambria" w:cs="Calibri"/>
          <w:sz w:val="8"/>
        </w:rPr>
      </w:pPr>
      <w:r w:rsidRPr="009A0DA6">
        <w:rPr>
          <w:rFonts w:ascii="Cambria" w:eastAsia="Calibri" w:hAnsi="Cambria" w:cs="Calibri"/>
        </w:rPr>
        <w:t xml:space="preserve">That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is</w:t>
      </w:r>
      <w:r w:rsidRPr="009A0DA6">
        <w:rPr>
          <w:rFonts w:ascii="Cambria" w:eastAsia="Calibri" w:hAnsi="Cambria" w:cs="Calibri"/>
          <w:spacing w:val="-2"/>
        </w:rPr>
        <w:t xml:space="preserve"> </w:t>
      </w:r>
      <w:r w:rsidRPr="009A0DA6">
        <w:rPr>
          <w:rFonts w:ascii="Cambria" w:eastAsia="Calibri" w:hAnsi="Cambria" w:cs="Calibri"/>
        </w:rPr>
        <w:t>tas</w:t>
      </w:r>
      <w:r w:rsidRPr="009A0DA6">
        <w:rPr>
          <w:rFonts w:ascii="Cambria" w:eastAsia="Calibri" w:hAnsi="Cambria" w:cs="Calibri"/>
          <w:spacing w:val="1"/>
        </w:rPr>
        <w:t>k</w:t>
      </w:r>
      <w:r w:rsidRPr="009A0DA6">
        <w:rPr>
          <w:rFonts w:ascii="Cambria" w:eastAsia="Calibri" w:hAnsi="Cambria" w:cs="Calibri"/>
          <w:spacing w:val="-3"/>
        </w:rPr>
        <w:t>f</w:t>
      </w:r>
      <w:r w:rsidRPr="009A0DA6">
        <w:rPr>
          <w:rFonts w:ascii="Cambria" w:eastAsia="Calibri" w:hAnsi="Cambria" w:cs="Calibri"/>
          <w:spacing w:val="1"/>
        </w:rPr>
        <w:t>o</w:t>
      </w:r>
      <w:r w:rsidRPr="009A0DA6">
        <w:rPr>
          <w:rFonts w:ascii="Cambria" w:eastAsia="Calibri" w:hAnsi="Cambria" w:cs="Calibri"/>
        </w:rPr>
        <w:t>r</w:t>
      </w:r>
      <w:r w:rsidRPr="009A0DA6">
        <w:rPr>
          <w:rFonts w:ascii="Cambria" w:eastAsia="Calibri" w:hAnsi="Cambria" w:cs="Calibri"/>
          <w:spacing w:val="-2"/>
        </w:rPr>
        <w:t>c</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rPr>
        <w:t>re</w:t>
      </w:r>
      <w:r w:rsidRPr="009A0DA6">
        <w:rPr>
          <w:rFonts w:ascii="Cambria" w:eastAsia="Calibri" w:hAnsi="Cambria" w:cs="Calibri"/>
          <w:spacing w:val="-3"/>
        </w:rPr>
        <w:t>p</w:t>
      </w:r>
      <w:r w:rsidRPr="009A0DA6">
        <w:rPr>
          <w:rFonts w:ascii="Cambria" w:eastAsia="Calibri" w:hAnsi="Cambria" w:cs="Calibri"/>
          <w:spacing w:val="1"/>
        </w:rPr>
        <w:t>o</w:t>
      </w:r>
      <w:r w:rsidRPr="009A0DA6">
        <w:rPr>
          <w:rFonts w:ascii="Cambria" w:eastAsia="Calibri" w:hAnsi="Cambria" w:cs="Calibri"/>
        </w:rPr>
        <w:t>rt</w:t>
      </w:r>
      <w:r w:rsidRPr="009A0DA6">
        <w:rPr>
          <w:rFonts w:ascii="Cambria" w:eastAsia="Calibri" w:hAnsi="Cambria" w:cs="Calibri"/>
          <w:spacing w:val="1"/>
        </w:rPr>
        <w:t xml:space="preserve"> </w:t>
      </w:r>
      <w:r w:rsidRPr="009A0DA6">
        <w:rPr>
          <w:rFonts w:ascii="Cambria" w:eastAsia="Calibri" w:hAnsi="Cambria" w:cs="Calibri"/>
          <w:spacing w:val="-3"/>
        </w:rPr>
        <w:t>b</w:t>
      </w:r>
      <w:r w:rsidRPr="009A0DA6">
        <w:rPr>
          <w:rFonts w:ascii="Cambria" w:eastAsia="Calibri" w:hAnsi="Cambria" w:cs="Calibri"/>
        </w:rPr>
        <w:t>ack</w:t>
      </w:r>
      <w:r w:rsidRPr="009A0DA6">
        <w:rPr>
          <w:rFonts w:ascii="Cambria" w:eastAsia="Calibri" w:hAnsi="Cambria" w:cs="Calibri"/>
          <w:spacing w:val="1"/>
        </w:rPr>
        <w:t xml:space="preserve"> </w:t>
      </w:r>
      <w:r w:rsidRPr="009A0DA6">
        <w:rPr>
          <w:rFonts w:ascii="Cambria" w:eastAsia="Calibri" w:hAnsi="Cambria" w:cs="Calibri"/>
          <w:spacing w:val="-2"/>
        </w:rPr>
        <w:t>t</w:t>
      </w:r>
      <w:r w:rsidRPr="009A0DA6">
        <w:rPr>
          <w:rFonts w:ascii="Cambria" w:eastAsia="Calibri" w:hAnsi="Cambria" w:cs="Calibri"/>
        </w:rPr>
        <w:t>o</w:t>
      </w:r>
      <w:r w:rsidRPr="009A0DA6">
        <w:rPr>
          <w:rFonts w:ascii="Cambria" w:eastAsia="Calibri" w:hAnsi="Cambria" w:cs="Calibri"/>
          <w:spacing w:val="1"/>
        </w:rPr>
        <w:t xml:space="preserve"> </w:t>
      </w:r>
      <w:r w:rsidRPr="009A0DA6">
        <w:rPr>
          <w:rFonts w:ascii="Cambria" w:eastAsia="Calibri" w:hAnsi="Cambria" w:cs="Calibri"/>
          <w:spacing w:val="-2"/>
        </w:rPr>
        <w:t>G</w:t>
      </w:r>
      <w:r w:rsidRPr="009A0DA6">
        <w:rPr>
          <w:rFonts w:ascii="Cambria" w:eastAsia="Calibri" w:hAnsi="Cambria" w:cs="Calibri"/>
        </w:rPr>
        <w:t xml:space="preserve">eneral </w:t>
      </w:r>
      <w:r w:rsidRPr="009A0DA6">
        <w:rPr>
          <w:rFonts w:ascii="Cambria" w:eastAsia="Calibri" w:hAnsi="Cambria" w:cs="Calibri"/>
          <w:spacing w:val="-3"/>
        </w:rPr>
        <w:t>S</w:t>
      </w:r>
      <w:r w:rsidRPr="009A0DA6">
        <w:rPr>
          <w:rFonts w:ascii="Cambria" w:eastAsia="Calibri" w:hAnsi="Cambria" w:cs="Calibri"/>
          <w:spacing w:val="1"/>
        </w:rPr>
        <w:t>y</w:t>
      </w:r>
      <w:r w:rsidRPr="009A0DA6">
        <w:rPr>
          <w:rFonts w:ascii="Cambria" w:eastAsia="Calibri" w:hAnsi="Cambria" w:cs="Calibri"/>
          <w:spacing w:val="-1"/>
        </w:rPr>
        <w:t>n</w:t>
      </w:r>
      <w:r w:rsidRPr="009A0DA6">
        <w:rPr>
          <w:rFonts w:ascii="Cambria" w:eastAsia="Calibri" w:hAnsi="Cambria" w:cs="Calibri"/>
          <w:spacing w:val="1"/>
        </w:rPr>
        <w:t>o</w:t>
      </w:r>
      <w:r w:rsidRPr="009A0DA6">
        <w:rPr>
          <w:rFonts w:ascii="Cambria" w:eastAsia="Calibri" w:hAnsi="Cambria" w:cs="Calibri"/>
        </w:rPr>
        <w:t>d</w:t>
      </w:r>
      <w:r w:rsidRPr="009A0DA6">
        <w:rPr>
          <w:rFonts w:ascii="Cambria" w:eastAsia="Calibri" w:hAnsi="Cambria" w:cs="Calibri"/>
          <w:spacing w:val="-3"/>
        </w:rPr>
        <w:t xml:space="preserve"> </w:t>
      </w:r>
      <w:r w:rsidRPr="009A0DA6">
        <w:rPr>
          <w:rFonts w:ascii="Cambria" w:eastAsia="Calibri" w:hAnsi="Cambria" w:cs="Calibri"/>
          <w:spacing w:val="1"/>
        </w:rPr>
        <w:t>o</w:t>
      </w:r>
      <w:r w:rsidRPr="009A0DA6">
        <w:rPr>
          <w:rFonts w:ascii="Cambria" w:eastAsia="Calibri" w:hAnsi="Cambria" w:cs="Calibri"/>
          <w:spacing w:val="-1"/>
        </w:rPr>
        <w:t>u</w:t>
      </w:r>
      <w:r w:rsidRPr="009A0DA6">
        <w:rPr>
          <w:rFonts w:ascii="Cambria" w:eastAsia="Calibri" w:hAnsi="Cambria" w:cs="Calibri"/>
        </w:rPr>
        <w:t>tl</w:t>
      </w:r>
      <w:r w:rsidRPr="009A0DA6">
        <w:rPr>
          <w:rFonts w:ascii="Cambria" w:eastAsia="Calibri" w:hAnsi="Cambria" w:cs="Calibri"/>
          <w:spacing w:val="-2"/>
        </w:rPr>
        <w:t>i</w:t>
      </w:r>
      <w:r w:rsidRPr="009A0DA6">
        <w:rPr>
          <w:rFonts w:ascii="Cambria" w:eastAsia="Calibri" w:hAnsi="Cambria" w:cs="Calibri"/>
          <w:spacing w:val="-1"/>
        </w:rPr>
        <w:t>n</w:t>
      </w:r>
      <w:r w:rsidRPr="009A0DA6">
        <w:rPr>
          <w:rFonts w:ascii="Cambria" w:eastAsia="Calibri" w:hAnsi="Cambria" w:cs="Calibri"/>
        </w:rPr>
        <w:t>i</w:t>
      </w:r>
      <w:r w:rsidRPr="009A0DA6">
        <w:rPr>
          <w:rFonts w:ascii="Cambria" w:eastAsia="Calibri" w:hAnsi="Cambria" w:cs="Calibri"/>
          <w:spacing w:val="-1"/>
        </w:rPr>
        <w:t>n</w:t>
      </w:r>
      <w:r w:rsidRPr="009A0DA6">
        <w:rPr>
          <w:rFonts w:ascii="Cambria" w:eastAsia="Calibri" w:hAnsi="Cambria" w:cs="Calibri"/>
        </w:rPr>
        <w:t>g</w:t>
      </w:r>
      <w:r w:rsidRPr="009A0DA6">
        <w:rPr>
          <w:rFonts w:ascii="Cambria" w:eastAsia="Calibri" w:hAnsi="Cambria" w:cs="Calibri"/>
          <w:spacing w:val="-1"/>
        </w:rPr>
        <w:t xml:space="preserve"> </w:t>
      </w:r>
      <w:r w:rsidRPr="009A0DA6">
        <w:rPr>
          <w:rFonts w:ascii="Cambria" w:eastAsia="Calibri" w:hAnsi="Cambria" w:cs="Calibri"/>
        </w:rPr>
        <w:t xml:space="preserve">in </w:t>
      </w:r>
      <w:r w:rsidRPr="009A0DA6">
        <w:rPr>
          <w:rFonts w:ascii="Cambria" w:eastAsia="Calibri" w:hAnsi="Cambria" w:cs="Calibri"/>
          <w:spacing w:val="-1"/>
        </w:rPr>
        <w:t>d</w:t>
      </w:r>
      <w:r w:rsidRPr="009A0DA6">
        <w:rPr>
          <w:rFonts w:ascii="Cambria" w:eastAsia="Calibri" w:hAnsi="Cambria" w:cs="Calibri"/>
        </w:rPr>
        <w:t>e</w:t>
      </w:r>
      <w:r w:rsidRPr="009A0DA6">
        <w:rPr>
          <w:rFonts w:ascii="Cambria" w:eastAsia="Calibri" w:hAnsi="Cambria" w:cs="Calibri"/>
          <w:spacing w:val="1"/>
        </w:rPr>
        <w:t>t</w:t>
      </w:r>
      <w:r w:rsidRPr="009A0DA6">
        <w:rPr>
          <w:rFonts w:ascii="Cambria" w:eastAsia="Calibri" w:hAnsi="Cambria" w:cs="Calibri"/>
        </w:rPr>
        <w:t xml:space="preserve">ail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rPr>
        <w:t>specif</w:t>
      </w:r>
      <w:r w:rsidRPr="009A0DA6">
        <w:rPr>
          <w:rFonts w:ascii="Cambria" w:eastAsia="Calibri" w:hAnsi="Cambria" w:cs="Calibri"/>
          <w:spacing w:val="-1"/>
        </w:rPr>
        <w:t>i</w:t>
      </w:r>
      <w:r w:rsidRPr="009A0DA6">
        <w:rPr>
          <w:rFonts w:ascii="Cambria" w:eastAsia="Calibri" w:hAnsi="Cambria" w:cs="Calibri"/>
        </w:rPr>
        <w:t>c</w:t>
      </w:r>
      <w:r w:rsidRPr="009A0DA6">
        <w:rPr>
          <w:rFonts w:ascii="Cambria" w:eastAsia="Calibri" w:hAnsi="Cambria" w:cs="Calibri"/>
          <w:spacing w:val="-2"/>
        </w:rPr>
        <w:t xml:space="preserve"> </w:t>
      </w:r>
      <w:r w:rsidRPr="009A0DA6">
        <w:rPr>
          <w:rFonts w:ascii="Cambria" w:eastAsia="Calibri" w:hAnsi="Cambria" w:cs="Calibri"/>
        </w:rPr>
        <w:t>s</w:t>
      </w:r>
      <w:r w:rsidRPr="009A0DA6">
        <w:rPr>
          <w:rFonts w:ascii="Cambria" w:eastAsia="Calibri" w:hAnsi="Cambria" w:cs="Calibri"/>
          <w:spacing w:val="-2"/>
        </w:rPr>
        <w:t>t</w:t>
      </w:r>
      <w:r w:rsidRPr="009A0DA6">
        <w:rPr>
          <w:rFonts w:ascii="Cambria" w:eastAsia="Calibri" w:hAnsi="Cambria" w:cs="Calibri"/>
        </w:rPr>
        <w:t>eps t</w:t>
      </w:r>
      <w:r w:rsidRPr="009A0DA6">
        <w:rPr>
          <w:rFonts w:ascii="Cambria" w:eastAsia="Calibri" w:hAnsi="Cambria" w:cs="Calibri"/>
          <w:spacing w:val="-1"/>
        </w:rPr>
        <w:t>h</w:t>
      </w:r>
      <w:r w:rsidRPr="009A0DA6">
        <w:rPr>
          <w:rFonts w:ascii="Cambria" w:eastAsia="Calibri" w:hAnsi="Cambria" w:cs="Calibri"/>
        </w:rPr>
        <w:t>at</w:t>
      </w:r>
      <w:r w:rsidRPr="009A0DA6">
        <w:rPr>
          <w:rFonts w:ascii="Cambria" w:eastAsia="Calibri" w:hAnsi="Cambria" w:cs="Calibri"/>
          <w:spacing w:val="1"/>
        </w:rPr>
        <w:t xml:space="preserve"> </w:t>
      </w:r>
      <w:r w:rsidRPr="009A0DA6">
        <w:rPr>
          <w:rFonts w:ascii="Cambria" w:eastAsia="Calibri" w:hAnsi="Cambria" w:cs="Calibri"/>
          <w:spacing w:val="-1"/>
        </w:rPr>
        <w:t>h</w:t>
      </w:r>
      <w:r w:rsidRPr="009A0DA6">
        <w:rPr>
          <w:rFonts w:ascii="Cambria" w:eastAsia="Calibri" w:hAnsi="Cambria" w:cs="Calibri"/>
          <w:spacing w:val="-3"/>
        </w:rPr>
        <w:t>a</w:t>
      </w:r>
      <w:r w:rsidRPr="009A0DA6">
        <w:rPr>
          <w:rFonts w:ascii="Cambria" w:eastAsia="Calibri" w:hAnsi="Cambria" w:cs="Calibri"/>
          <w:spacing w:val="1"/>
        </w:rPr>
        <w:t>v</w:t>
      </w:r>
      <w:r w:rsidRPr="009A0DA6">
        <w:rPr>
          <w:rFonts w:ascii="Cambria" w:eastAsia="Calibri" w:hAnsi="Cambria" w:cs="Calibri"/>
        </w:rPr>
        <w:t>e</w:t>
      </w:r>
      <w:r w:rsidRPr="009A0DA6">
        <w:rPr>
          <w:rFonts w:ascii="Cambria" w:eastAsia="Calibri" w:hAnsi="Cambria" w:cs="Calibri"/>
          <w:spacing w:val="-2"/>
        </w:rPr>
        <w:t xml:space="preserve"> </w:t>
      </w:r>
      <w:r w:rsidRPr="009A0DA6">
        <w:rPr>
          <w:rFonts w:ascii="Cambria" w:eastAsia="Calibri" w:hAnsi="Cambria" w:cs="Calibri"/>
        </w:rPr>
        <w:t>be</w:t>
      </w:r>
      <w:r w:rsidRPr="009A0DA6">
        <w:rPr>
          <w:rFonts w:ascii="Cambria" w:eastAsia="Calibri" w:hAnsi="Cambria" w:cs="Calibri"/>
          <w:spacing w:val="1"/>
        </w:rPr>
        <w:t>e</w:t>
      </w:r>
      <w:r w:rsidRPr="009A0DA6">
        <w:rPr>
          <w:rFonts w:ascii="Cambria" w:eastAsia="Calibri" w:hAnsi="Cambria" w:cs="Calibri"/>
        </w:rPr>
        <w:t>n</w:t>
      </w:r>
      <w:r w:rsidRPr="009A0DA6">
        <w:rPr>
          <w:rFonts w:ascii="Cambria" w:eastAsia="Calibri" w:hAnsi="Cambria" w:cs="Calibri"/>
          <w:spacing w:val="-3"/>
        </w:rPr>
        <w:t xml:space="preserve"> </w:t>
      </w:r>
      <w:r w:rsidRPr="009A0DA6">
        <w:rPr>
          <w:rFonts w:ascii="Cambria" w:eastAsia="Calibri" w:hAnsi="Cambria" w:cs="Calibri"/>
        </w:rPr>
        <w:t>tak</w:t>
      </w:r>
      <w:r w:rsidRPr="009A0DA6">
        <w:rPr>
          <w:rFonts w:ascii="Cambria" w:eastAsia="Calibri" w:hAnsi="Cambria" w:cs="Calibri"/>
          <w:spacing w:val="1"/>
        </w:rPr>
        <w:t>e</w:t>
      </w:r>
      <w:r w:rsidRPr="009A0DA6">
        <w:rPr>
          <w:rFonts w:ascii="Cambria" w:eastAsia="Calibri" w:hAnsi="Cambria" w:cs="Calibri"/>
        </w:rPr>
        <w:t>n</w:t>
      </w:r>
      <w:r w:rsidRPr="009A0DA6">
        <w:rPr>
          <w:rFonts w:ascii="Cambria" w:eastAsia="Calibri" w:hAnsi="Cambria" w:cs="Calibri"/>
          <w:spacing w:val="-3"/>
        </w:rPr>
        <w:t xml:space="preserve"> </w:t>
      </w:r>
      <w:r w:rsidRPr="009A0DA6">
        <w:rPr>
          <w:rFonts w:ascii="Cambria" w:eastAsia="Calibri" w:hAnsi="Cambria" w:cs="Calibri"/>
          <w:spacing w:val="-2"/>
        </w:rPr>
        <w:t>t</w:t>
      </w:r>
      <w:r w:rsidRPr="009A0DA6">
        <w:rPr>
          <w:rFonts w:ascii="Cambria" w:eastAsia="Calibri" w:hAnsi="Cambria" w:cs="Calibri"/>
        </w:rPr>
        <w:t>o ens</w:t>
      </w:r>
      <w:r w:rsidRPr="009A0DA6">
        <w:rPr>
          <w:rFonts w:ascii="Cambria" w:eastAsia="Calibri" w:hAnsi="Cambria" w:cs="Calibri"/>
          <w:spacing w:val="-1"/>
        </w:rPr>
        <w:t>u</w:t>
      </w:r>
      <w:r w:rsidRPr="009A0DA6">
        <w:rPr>
          <w:rFonts w:ascii="Cambria" w:eastAsia="Calibri" w:hAnsi="Cambria" w:cs="Calibri"/>
        </w:rPr>
        <w:t>re</w:t>
      </w:r>
      <w:r w:rsidRPr="009A0DA6">
        <w:rPr>
          <w:rFonts w:ascii="Cambria" w:eastAsia="Calibri" w:hAnsi="Cambria" w:cs="Calibri"/>
          <w:spacing w:val="1"/>
        </w:rPr>
        <w:t xml:space="preserve"> </w:t>
      </w:r>
      <w:r w:rsidRPr="009A0DA6">
        <w:rPr>
          <w:rFonts w:ascii="Cambria" w:eastAsia="Calibri" w:hAnsi="Cambria" w:cs="Calibri"/>
        </w:rPr>
        <w:t>that</w:t>
      </w:r>
      <w:r w:rsidRPr="009A0DA6">
        <w:rPr>
          <w:rFonts w:ascii="Cambria" w:eastAsia="Calibri" w:hAnsi="Cambria" w:cs="Calibri"/>
          <w:spacing w:val="-2"/>
        </w:rPr>
        <w:t xml:space="preserve"> c</w:t>
      </w:r>
      <w:r w:rsidRPr="009A0DA6">
        <w:rPr>
          <w:rFonts w:ascii="Cambria" w:eastAsia="Calibri" w:hAnsi="Cambria" w:cs="Calibri"/>
          <w:spacing w:val="1"/>
        </w:rPr>
        <w:t>o</w:t>
      </w:r>
      <w:r w:rsidRPr="009A0DA6">
        <w:rPr>
          <w:rFonts w:ascii="Cambria" w:eastAsia="Calibri" w:hAnsi="Cambria" w:cs="Calibri"/>
          <w:spacing w:val="-1"/>
        </w:rPr>
        <w:t>n</w:t>
      </w:r>
      <w:r w:rsidRPr="009A0DA6">
        <w:rPr>
          <w:rFonts w:ascii="Cambria" w:eastAsia="Calibri" w:hAnsi="Cambria" w:cs="Calibri"/>
        </w:rPr>
        <w:t>cerns a</w:t>
      </w:r>
      <w:r w:rsidRPr="009A0DA6">
        <w:rPr>
          <w:rFonts w:ascii="Cambria" w:eastAsia="Calibri" w:hAnsi="Cambria" w:cs="Calibri"/>
          <w:spacing w:val="-3"/>
        </w:rPr>
        <w:t>b</w:t>
      </w:r>
      <w:r w:rsidRPr="009A0DA6">
        <w:rPr>
          <w:rFonts w:ascii="Cambria" w:eastAsia="Calibri" w:hAnsi="Cambria" w:cs="Calibri"/>
          <w:spacing w:val="1"/>
        </w:rPr>
        <w:t>o</w:t>
      </w:r>
      <w:r w:rsidRPr="009A0DA6">
        <w:rPr>
          <w:rFonts w:ascii="Cambria" w:eastAsia="Calibri" w:hAnsi="Cambria" w:cs="Calibri"/>
          <w:spacing w:val="-3"/>
        </w:rPr>
        <w:t>u</w:t>
      </w:r>
      <w:r w:rsidRPr="009A0DA6">
        <w:rPr>
          <w:rFonts w:ascii="Cambria" w:eastAsia="Calibri" w:hAnsi="Cambria" w:cs="Calibri"/>
        </w:rPr>
        <w:t>t</w:t>
      </w:r>
      <w:r w:rsidRPr="009A0DA6">
        <w:rPr>
          <w:rFonts w:ascii="Cambria" w:eastAsia="Calibri" w:hAnsi="Cambria" w:cs="Calibri"/>
          <w:spacing w:val="1"/>
        </w:rPr>
        <w:t xml:space="preserve"> </w:t>
      </w:r>
      <w:r w:rsidRPr="009A0DA6">
        <w:rPr>
          <w:rFonts w:ascii="Cambria" w:eastAsia="Calibri" w:hAnsi="Cambria" w:cs="Calibri"/>
        </w:rPr>
        <w:t>the</w:t>
      </w:r>
      <w:r w:rsidRPr="009A0DA6">
        <w:rPr>
          <w:rFonts w:ascii="Cambria" w:eastAsia="Calibri" w:hAnsi="Cambria" w:cs="Calibri"/>
          <w:spacing w:val="-2"/>
        </w:rPr>
        <w:t xml:space="preserve"> </w:t>
      </w:r>
      <w:r w:rsidRPr="009A0DA6">
        <w:rPr>
          <w:rFonts w:ascii="Cambria" w:eastAsia="Calibri" w:hAnsi="Cambria" w:cs="Calibri"/>
          <w:spacing w:val="1"/>
        </w:rPr>
        <w:t>P</w:t>
      </w:r>
      <w:r w:rsidRPr="009A0DA6">
        <w:rPr>
          <w:rFonts w:ascii="Cambria" w:eastAsia="Calibri" w:hAnsi="Cambria" w:cs="Calibri"/>
        </w:rPr>
        <w:t>SD</w:t>
      </w:r>
      <w:r w:rsidRPr="009A0DA6">
        <w:rPr>
          <w:rFonts w:ascii="Cambria" w:eastAsia="Calibri" w:hAnsi="Cambria" w:cs="Calibri"/>
          <w:spacing w:val="-2"/>
        </w:rPr>
        <w:t xml:space="preserve"> </w:t>
      </w:r>
      <w:r w:rsidRPr="009A0DA6">
        <w:rPr>
          <w:rFonts w:ascii="Cambria" w:eastAsia="Calibri" w:hAnsi="Cambria" w:cs="Calibri"/>
        </w:rPr>
        <w:t>ha</w:t>
      </w:r>
      <w:r w:rsidRPr="009A0DA6">
        <w:rPr>
          <w:rFonts w:ascii="Cambria" w:eastAsia="Calibri" w:hAnsi="Cambria" w:cs="Calibri"/>
          <w:spacing w:val="-2"/>
        </w:rPr>
        <w:t>v</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spacing w:val="-1"/>
        </w:rPr>
        <w:t>b</w:t>
      </w:r>
      <w:r w:rsidRPr="009A0DA6">
        <w:rPr>
          <w:rFonts w:ascii="Cambria" w:eastAsia="Calibri" w:hAnsi="Cambria" w:cs="Calibri"/>
          <w:spacing w:val="-2"/>
        </w:rPr>
        <w:t>e</w:t>
      </w:r>
      <w:r w:rsidRPr="009A0DA6">
        <w:rPr>
          <w:rFonts w:ascii="Cambria" w:eastAsia="Calibri" w:hAnsi="Cambria" w:cs="Calibri"/>
        </w:rPr>
        <w:t>en ap</w:t>
      </w:r>
      <w:r w:rsidRPr="009A0DA6">
        <w:rPr>
          <w:rFonts w:ascii="Cambria" w:eastAsia="Calibri" w:hAnsi="Cambria" w:cs="Calibri"/>
          <w:spacing w:val="-1"/>
        </w:rPr>
        <w:t>p</w:t>
      </w:r>
      <w:r w:rsidRPr="009A0DA6">
        <w:rPr>
          <w:rFonts w:ascii="Cambria" w:eastAsia="Calibri" w:hAnsi="Cambria" w:cs="Calibri"/>
        </w:rPr>
        <w:t>r</w:t>
      </w:r>
      <w:r w:rsidRPr="009A0DA6">
        <w:rPr>
          <w:rFonts w:ascii="Cambria" w:eastAsia="Calibri" w:hAnsi="Cambria" w:cs="Calibri"/>
          <w:spacing w:val="-1"/>
        </w:rPr>
        <w:t>op</w:t>
      </w:r>
      <w:r w:rsidRPr="009A0DA6">
        <w:rPr>
          <w:rFonts w:ascii="Cambria" w:eastAsia="Calibri" w:hAnsi="Cambria" w:cs="Calibri"/>
        </w:rPr>
        <w:t>ri</w:t>
      </w:r>
      <w:r w:rsidRPr="009A0DA6">
        <w:rPr>
          <w:rFonts w:ascii="Cambria" w:eastAsia="Calibri" w:hAnsi="Cambria" w:cs="Calibri"/>
          <w:spacing w:val="-1"/>
        </w:rPr>
        <w:t>a</w:t>
      </w:r>
      <w:r w:rsidRPr="009A0DA6">
        <w:rPr>
          <w:rFonts w:ascii="Cambria" w:eastAsia="Calibri" w:hAnsi="Cambria" w:cs="Calibri"/>
        </w:rPr>
        <w:t>t</w:t>
      </w:r>
      <w:r w:rsidRPr="009A0DA6">
        <w:rPr>
          <w:rFonts w:ascii="Cambria" w:eastAsia="Calibri" w:hAnsi="Cambria" w:cs="Calibri"/>
          <w:spacing w:val="1"/>
        </w:rPr>
        <w:t>e</w:t>
      </w:r>
      <w:r w:rsidRPr="009A0DA6">
        <w:rPr>
          <w:rFonts w:ascii="Cambria" w:eastAsia="Calibri" w:hAnsi="Cambria" w:cs="Calibri"/>
        </w:rPr>
        <w:t>ly</w:t>
      </w:r>
      <w:r w:rsidRPr="009A0DA6">
        <w:rPr>
          <w:rFonts w:ascii="Cambria" w:eastAsia="Calibri" w:hAnsi="Cambria" w:cs="Calibri"/>
          <w:spacing w:val="1"/>
        </w:rPr>
        <w:t xml:space="preserve"> </w:t>
      </w:r>
      <w:r w:rsidRPr="009A0DA6">
        <w:rPr>
          <w:rFonts w:ascii="Cambria" w:eastAsia="Calibri" w:hAnsi="Cambria" w:cs="Calibri"/>
        </w:rPr>
        <w:t>a</w:t>
      </w:r>
      <w:r w:rsidRPr="009A0DA6">
        <w:rPr>
          <w:rFonts w:ascii="Cambria" w:eastAsia="Calibri" w:hAnsi="Cambria" w:cs="Calibri"/>
          <w:spacing w:val="-1"/>
        </w:rPr>
        <w:t>dd</w:t>
      </w:r>
      <w:r w:rsidRPr="009A0DA6">
        <w:rPr>
          <w:rFonts w:ascii="Cambria" w:eastAsia="Calibri" w:hAnsi="Cambria" w:cs="Calibri"/>
          <w:spacing w:val="-3"/>
        </w:rPr>
        <w:t>r</w:t>
      </w:r>
      <w:r w:rsidRPr="009A0DA6">
        <w:rPr>
          <w:rFonts w:ascii="Cambria" w:eastAsia="Calibri" w:hAnsi="Cambria" w:cs="Calibri"/>
        </w:rPr>
        <w:t>ess</w:t>
      </w:r>
      <w:r w:rsidRPr="009A0DA6">
        <w:rPr>
          <w:rFonts w:ascii="Cambria" w:eastAsia="Calibri" w:hAnsi="Cambria" w:cs="Calibri"/>
          <w:spacing w:val="1"/>
        </w:rPr>
        <w:t>e</w:t>
      </w:r>
      <w:r w:rsidRPr="009A0DA6">
        <w:rPr>
          <w:rFonts w:ascii="Cambria" w:eastAsia="Calibri" w:hAnsi="Cambria" w:cs="Calibri"/>
          <w:spacing w:val="-1"/>
        </w:rPr>
        <w:t>d</w:t>
      </w:r>
      <w:r w:rsidRPr="009A0DA6">
        <w:rPr>
          <w:rFonts w:ascii="Cambria" w:eastAsia="Calibri" w:hAnsi="Cambria" w:cs="Calibri"/>
        </w:rPr>
        <w:t>.</w:t>
      </w:r>
      <w:r w:rsidR="00CE5065" w:rsidRPr="009A0DA6">
        <w:rPr>
          <w:rFonts w:ascii="Cambria" w:eastAsia="Calibri" w:hAnsi="Cambria" w:cs="Calibri"/>
        </w:rPr>
        <w:br/>
      </w:r>
    </w:p>
    <w:p w14:paraId="42143123" w14:textId="27B61FD3" w:rsidR="00194B18" w:rsidRDefault="00194B18" w:rsidP="001547D3">
      <w:pPr>
        <w:pStyle w:val="Heading3"/>
      </w:pPr>
      <w:r w:rsidRPr="009A0DA6">
        <w:t xml:space="preserve">REASONS </w:t>
      </w:r>
      <w:r w:rsidRPr="001547D3">
        <w:t>FOR</w:t>
      </w:r>
      <w:r w:rsidRPr="009A0DA6">
        <w:t xml:space="preserve"> THE MOTION</w:t>
      </w:r>
    </w:p>
    <w:p w14:paraId="10EFBCB2" w14:textId="0466103B" w:rsidR="003A4DEF" w:rsidRPr="000018CD" w:rsidRDefault="003A4DEF" w:rsidP="003A4DEF">
      <w:pPr>
        <w:pStyle w:val="NoSpacing"/>
        <w:rPr>
          <w:b/>
          <w:bCs/>
          <w:i/>
        </w:rPr>
      </w:pPr>
      <w:r w:rsidRPr="000018CD">
        <w:rPr>
          <w:b/>
          <w:i/>
        </w:rPr>
        <w:t>(</w:t>
      </w:r>
      <w:r w:rsidRPr="000018CD">
        <w:rPr>
          <w:b/>
          <w:i/>
          <w:u w:val="single"/>
        </w:rPr>
        <w:t>GCC Note</w:t>
      </w:r>
      <w:r w:rsidRPr="000018CD">
        <w:rPr>
          <w:b/>
          <w:i/>
        </w:rPr>
        <w:t xml:space="preserve">: </w:t>
      </w:r>
      <w:r w:rsidRPr="000018CD">
        <w:rPr>
          <w:b/>
          <w:bCs/>
          <w:i/>
        </w:rPr>
        <w:t>The concerns raised in the Reasons for the Motion are of an alleged nature only.)</w:t>
      </w:r>
    </w:p>
    <w:p w14:paraId="39AEE709" w14:textId="77777777" w:rsidR="003A4DEF" w:rsidRPr="003A4DEF" w:rsidRDefault="003A4DEF" w:rsidP="003A4DEF">
      <w:pPr>
        <w:pStyle w:val="NoSpacing"/>
      </w:pPr>
    </w:p>
    <w:p w14:paraId="1BADE721" w14:textId="1AAEF467" w:rsidR="00194B18" w:rsidRPr="009A0DA6" w:rsidRDefault="00194B18" w:rsidP="00CE5065">
      <w:pPr>
        <w:spacing w:after="0" w:line="240" w:lineRule="auto"/>
        <w:ind w:right="398"/>
        <w:rPr>
          <w:rFonts w:ascii="Cambria" w:eastAsia="Calibri" w:hAnsi="Cambria" w:cs="Calibri"/>
          <w:sz w:val="14"/>
        </w:rPr>
      </w:pPr>
      <w:r w:rsidRPr="009A0DA6">
        <w:rPr>
          <w:rFonts w:ascii="Cambria" w:eastAsia="Calibri" w:hAnsi="Cambria" w:cs="Calibri"/>
        </w:rPr>
        <w:t xml:space="preserve">The </w:t>
      </w:r>
      <w:r w:rsidRPr="009A0DA6">
        <w:rPr>
          <w:rFonts w:ascii="Cambria" w:eastAsia="Calibri" w:hAnsi="Cambria" w:cs="Calibri"/>
          <w:spacing w:val="-1"/>
        </w:rPr>
        <w:t>P</w:t>
      </w:r>
      <w:r w:rsidRPr="009A0DA6">
        <w:rPr>
          <w:rFonts w:ascii="Cambria" w:eastAsia="Calibri" w:hAnsi="Cambria" w:cs="Calibri"/>
          <w:spacing w:val="1"/>
        </w:rPr>
        <w:t>r</w:t>
      </w:r>
      <w:r w:rsidRPr="009A0DA6">
        <w:rPr>
          <w:rFonts w:ascii="Cambria" w:eastAsia="Calibri" w:hAnsi="Cambria" w:cs="Calibri"/>
        </w:rPr>
        <w:t>ofe</w:t>
      </w:r>
      <w:r w:rsidRPr="009A0DA6">
        <w:rPr>
          <w:rFonts w:ascii="Cambria" w:eastAsia="Calibri" w:hAnsi="Cambria" w:cs="Calibri"/>
          <w:spacing w:val="-2"/>
        </w:rPr>
        <w:t>s</w:t>
      </w:r>
      <w:r w:rsidRPr="009A0DA6">
        <w:rPr>
          <w:rFonts w:ascii="Cambria" w:eastAsia="Calibri" w:hAnsi="Cambria" w:cs="Calibri"/>
        </w:rPr>
        <w:t>sio</w:t>
      </w:r>
      <w:r w:rsidRPr="009A0DA6">
        <w:rPr>
          <w:rFonts w:ascii="Cambria" w:eastAsia="Calibri" w:hAnsi="Cambria" w:cs="Calibri"/>
          <w:spacing w:val="-1"/>
        </w:rPr>
        <w:t>na</w:t>
      </w:r>
      <w:r w:rsidRPr="009A0DA6">
        <w:rPr>
          <w:rFonts w:ascii="Cambria" w:eastAsia="Calibri" w:hAnsi="Cambria" w:cs="Calibri"/>
        </w:rPr>
        <w:t xml:space="preserve">l </w:t>
      </w:r>
      <w:r w:rsidRPr="009A0DA6">
        <w:rPr>
          <w:rFonts w:ascii="Cambria" w:eastAsia="Calibri" w:hAnsi="Cambria" w:cs="Calibri"/>
          <w:spacing w:val="1"/>
        </w:rPr>
        <w:t>S</w:t>
      </w:r>
      <w:r w:rsidRPr="009A0DA6">
        <w:rPr>
          <w:rFonts w:ascii="Cambria" w:eastAsia="Calibri" w:hAnsi="Cambria" w:cs="Calibri"/>
        </w:rPr>
        <w:t>ta</w:t>
      </w:r>
      <w:r w:rsidRPr="009A0DA6">
        <w:rPr>
          <w:rFonts w:ascii="Cambria" w:eastAsia="Calibri" w:hAnsi="Cambria" w:cs="Calibri"/>
          <w:spacing w:val="-1"/>
        </w:rPr>
        <w:t>nd</w:t>
      </w:r>
      <w:r w:rsidRPr="009A0DA6">
        <w:rPr>
          <w:rFonts w:ascii="Cambria" w:eastAsia="Calibri" w:hAnsi="Cambria" w:cs="Calibri"/>
          <w:spacing w:val="-3"/>
        </w:rPr>
        <w:t>a</w:t>
      </w:r>
      <w:r w:rsidRPr="009A0DA6">
        <w:rPr>
          <w:rFonts w:ascii="Cambria" w:eastAsia="Calibri" w:hAnsi="Cambria" w:cs="Calibri"/>
          <w:spacing w:val="1"/>
        </w:rPr>
        <w:t>r</w:t>
      </w:r>
      <w:r w:rsidRPr="009A0DA6">
        <w:rPr>
          <w:rFonts w:ascii="Cambria" w:eastAsia="Calibri" w:hAnsi="Cambria" w:cs="Calibri"/>
          <w:spacing w:val="-1"/>
        </w:rPr>
        <w:t>d</w:t>
      </w:r>
      <w:r w:rsidRPr="009A0DA6">
        <w:rPr>
          <w:rFonts w:ascii="Cambria" w:eastAsia="Calibri" w:hAnsi="Cambria" w:cs="Calibri"/>
        </w:rPr>
        <w:t xml:space="preserve">s </w:t>
      </w:r>
      <w:r w:rsidRPr="009A0DA6">
        <w:rPr>
          <w:rFonts w:ascii="Cambria" w:eastAsia="Calibri" w:hAnsi="Cambria" w:cs="Calibri"/>
          <w:spacing w:val="1"/>
        </w:rPr>
        <w:t>D</w:t>
      </w:r>
      <w:r w:rsidRPr="009A0DA6">
        <w:rPr>
          <w:rFonts w:ascii="Cambria" w:eastAsia="Calibri" w:hAnsi="Cambria" w:cs="Calibri"/>
        </w:rPr>
        <w:t>ep</w:t>
      </w:r>
      <w:r w:rsidRPr="009A0DA6">
        <w:rPr>
          <w:rFonts w:ascii="Cambria" w:eastAsia="Calibri" w:hAnsi="Cambria" w:cs="Calibri"/>
          <w:spacing w:val="-1"/>
        </w:rPr>
        <w:t>ar</w:t>
      </w:r>
      <w:r w:rsidRPr="009A0DA6">
        <w:rPr>
          <w:rFonts w:ascii="Cambria" w:eastAsia="Calibri" w:hAnsi="Cambria" w:cs="Calibri"/>
        </w:rPr>
        <w:t>t</w:t>
      </w:r>
      <w:r w:rsidRPr="009A0DA6">
        <w:rPr>
          <w:rFonts w:ascii="Cambria" w:eastAsia="Calibri" w:hAnsi="Cambria" w:cs="Calibri"/>
          <w:spacing w:val="1"/>
        </w:rPr>
        <w:t>m</w:t>
      </w:r>
      <w:r w:rsidRPr="009A0DA6">
        <w:rPr>
          <w:rFonts w:ascii="Cambria" w:eastAsia="Calibri" w:hAnsi="Cambria" w:cs="Calibri"/>
        </w:rPr>
        <w:t>e</w:t>
      </w:r>
      <w:r w:rsidRPr="009A0DA6">
        <w:rPr>
          <w:rFonts w:ascii="Cambria" w:eastAsia="Calibri" w:hAnsi="Cambria" w:cs="Calibri"/>
          <w:spacing w:val="-3"/>
        </w:rPr>
        <w:t>n</w:t>
      </w:r>
      <w:r w:rsidRPr="009A0DA6">
        <w:rPr>
          <w:rFonts w:ascii="Cambria" w:eastAsia="Calibri" w:hAnsi="Cambria" w:cs="Calibri"/>
        </w:rPr>
        <w:t>t</w:t>
      </w:r>
      <w:r w:rsidRPr="009A0DA6">
        <w:rPr>
          <w:rFonts w:ascii="Cambria" w:eastAsia="Calibri" w:hAnsi="Cambria" w:cs="Calibri"/>
          <w:spacing w:val="1"/>
        </w:rPr>
        <w:t xml:space="preserve"> </w:t>
      </w:r>
      <w:r w:rsidRPr="009A0DA6">
        <w:rPr>
          <w:rFonts w:ascii="Cambria" w:eastAsia="Calibri" w:hAnsi="Cambria" w:cs="Calibri"/>
          <w:spacing w:val="-1"/>
        </w:rPr>
        <w:t>ha</w:t>
      </w:r>
      <w:r w:rsidRPr="009A0DA6">
        <w:rPr>
          <w:rFonts w:ascii="Cambria" w:eastAsia="Calibri" w:hAnsi="Cambria" w:cs="Calibri"/>
        </w:rPr>
        <w:t>s</w:t>
      </w:r>
      <w:r w:rsidRPr="009A0DA6">
        <w:rPr>
          <w:rFonts w:ascii="Cambria" w:eastAsia="Calibri" w:hAnsi="Cambria" w:cs="Calibri"/>
          <w:spacing w:val="1"/>
        </w:rPr>
        <w:t xml:space="preserve"> </w:t>
      </w:r>
      <w:r w:rsidRPr="009A0DA6">
        <w:rPr>
          <w:rFonts w:ascii="Cambria" w:eastAsia="Calibri" w:hAnsi="Cambria" w:cs="Calibri"/>
          <w:spacing w:val="-1"/>
        </w:rPr>
        <w:t>a</w:t>
      </w:r>
      <w:r w:rsidRPr="009A0DA6">
        <w:rPr>
          <w:rFonts w:ascii="Cambria" w:eastAsia="Calibri" w:hAnsi="Cambria" w:cs="Calibri"/>
        </w:rPr>
        <w:t>n</w:t>
      </w:r>
      <w:r w:rsidRPr="009A0DA6">
        <w:rPr>
          <w:rFonts w:ascii="Cambria" w:eastAsia="Calibri" w:hAnsi="Cambria" w:cs="Calibri"/>
          <w:spacing w:val="-1"/>
        </w:rPr>
        <w:t xml:space="preserve"> </w:t>
      </w:r>
      <w:r w:rsidRPr="009A0DA6">
        <w:rPr>
          <w:rFonts w:ascii="Cambria" w:eastAsia="Calibri" w:hAnsi="Cambria" w:cs="Calibri"/>
          <w:spacing w:val="-2"/>
        </w:rPr>
        <w:t>i</w:t>
      </w:r>
      <w:r w:rsidRPr="009A0DA6">
        <w:rPr>
          <w:rFonts w:ascii="Cambria" w:eastAsia="Calibri" w:hAnsi="Cambria" w:cs="Calibri"/>
        </w:rPr>
        <w:t>mpor</w:t>
      </w:r>
      <w:r w:rsidRPr="009A0DA6">
        <w:rPr>
          <w:rFonts w:ascii="Cambria" w:eastAsia="Calibri" w:hAnsi="Cambria" w:cs="Calibri"/>
          <w:spacing w:val="-2"/>
        </w:rPr>
        <w:t>t</w:t>
      </w:r>
      <w:r w:rsidRPr="009A0DA6">
        <w:rPr>
          <w:rFonts w:ascii="Cambria" w:eastAsia="Calibri" w:hAnsi="Cambria" w:cs="Calibri"/>
          <w:spacing w:val="-1"/>
        </w:rPr>
        <w:t>an</w:t>
      </w:r>
      <w:r w:rsidRPr="009A0DA6">
        <w:rPr>
          <w:rFonts w:ascii="Cambria" w:eastAsia="Calibri" w:hAnsi="Cambria" w:cs="Calibri"/>
        </w:rPr>
        <w:t>t</w:t>
      </w:r>
      <w:r w:rsidRPr="009A0DA6">
        <w:rPr>
          <w:rFonts w:ascii="Cambria" w:eastAsia="Calibri" w:hAnsi="Cambria" w:cs="Calibri"/>
          <w:spacing w:val="1"/>
        </w:rPr>
        <w:t xml:space="preserve"> r</w:t>
      </w:r>
      <w:r w:rsidRPr="009A0DA6">
        <w:rPr>
          <w:rFonts w:ascii="Cambria" w:eastAsia="Calibri" w:hAnsi="Cambria" w:cs="Calibri"/>
        </w:rPr>
        <w:t>o</w:t>
      </w:r>
      <w:r w:rsidRPr="009A0DA6">
        <w:rPr>
          <w:rFonts w:ascii="Cambria" w:eastAsia="Calibri" w:hAnsi="Cambria" w:cs="Calibri"/>
          <w:spacing w:val="-1"/>
        </w:rPr>
        <w:t>l</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rPr>
        <w:t>to pl</w:t>
      </w:r>
      <w:r w:rsidRPr="009A0DA6">
        <w:rPr>
          <w:rFonts w:ascii="Cambria" w:eastAsia="Calibri" w:hAnsi="Cambria" w:cs="Calibri"/>
          <w:spacing w:val="-1"/>
        </w:rPr>
        <w:t>a</w:t>
      </w:r>
      <w:r w:rsidRPr="009A0DA6">
        <w:rPr>
          <w:rFonts w:ascii="Cambria" w:eastAsia="Calibri" w:hAnsi="Cambria" w:cs="Calibri"/>
        </w:rPr>
        <w:t>y in</w:t>
      </w:r>
      <w:r w:rsidRPr="009A0DA6">
        <w:rPr>
          <w:rFonts w:ascii="Cambria" w:eastAsia="Calibri" w:hAnsi="Cambria" w:cs="Calibri"/>
          <w:spacing w:val="-1"/>
        </w:rPr>
        <w:t xml:space="preserve">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2"/>
        </w:rPr>
        <w:t xml:space="preserve"> </w:t>
      </w:r>
      <w:r w:rsidR="00336CE0" w:rsidRPr="009A0DA6">
        <w:rPr>
          <w:rFonts w:ascii="Cambria" w:eastAsia="Calibri" w:hAnsi="Cambria" w:cs="Calibri"/>
        </w:rPr>
        <w:t>church</w:t>
      </w:r>
      <w:r w:rsidRPr="009A0DA6">
        <w:rPr>
          <w:rFonts w:ascii="Cambria" w:eastAsia="Calibri" w:hAnsi="Cambria" w:cs="Calibri"/>
        </w:rPr>
        <w:t xml:space="preserve">, </w:t>
      </w:r>
      <w:r w:rsidRPr="009A0DA6">
        <w:rPr>
          <w:rFonts w:ascii="Cambria" w:eastAsia="Calibri" w:hAnsi="Cambria" w:cs="Calibri"/>
          <w:spacing w:val="1"/>
        </w:rPr>
        <w:t>t</w:t>
      </w:r>
      <w:r w:rsidRPr="009A0DA6">
        <w:rPr>
          <w:rFonts w:ascii="Cambria" w:eastAsia="Calibri" w:hAnsi="Cambria" w:cs="Calibri"/>
        </w:rPr>
        <w:t>o ens</w:t>
      </w:r>
      <w:r w:rsidRPr="009A0DA6">
        <w:rPr>
          <w:rFonts w:ascii="Cambria" w:eastAsia="Calibri" w:hAnsi="Cambria" w:cs="Calibri"/>
          <w:spacing w:val="-3"/>
        </w:rPr>
        <w:t>u</w:t>
      </w:r>
      <w:r w:rsidRPr="009A0DA6">
        <w:rPr>
          <w:rFonts w:ascii="Cambria" w:eastAsia="Calibri" w:hAnsi="Cambria" w:cs="Calibri"/>
          <w:spacing w:val="1"/>
        </w:rPr>
        <w:t>r</w:t>
      </w:r>
      <w:r w:rsidRPr="009A0DA6">
        <w:rPr>
          <w:rFonts w:ascii="Cambria" w:eastAsia="Calibri" w:hAnsi="Cambria" w:cs="Calibri"/>
        </w:rPr>
        <w:t xml:space="preserve">e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spacing w:val="3"/>
        </w:rPr>
        <w:t>a</w:t>
      </w:r>
      <w:r w:rsidRPr="009A0DA6">
        <w:rPr>
          <w:rFonts w:ascii="Cambria" w:eastAsia="Calibri" w:hAnsi="Cambria" w:cs="Calibri"/>
        </w:rPr>
        <w:t>t</w:t>
      </w:r>
      <w:r w:rsidRPr="009A0DA6">
        <w:rPr>
          <w:rFonts w:ascii="Cambria" w:eastAsia="Calibri" w:hAnsi="Cambria" w:cs="Calibri"/>
          <w:spacing w:val="-1"/>
        </w:rPr>
        <w:t xml:space="preserve"> </w:t>
      </w:r>
      <w:r w:rsidRPr="009A0DA6">
        <w:rPr>
          <w:rFonts w:ascii="Cambria" w:eastAsia="Calibri" w:hAnsi="Cambria" w:cs="Calibri"/>
        </w:rPr>
        <w:t xml:space="preserve">the </w:t>
      </w:r>
      <w:r w:rsidR="00336CE0" w:rsidRPr="009A0DA6">
        <w:rPr>
          <w:rFonts w:ascii="Cambria" w:eastAsia="Calibri" w:hAnsi="Cambria" w:cs="Calibri"/>
        </w:rPr>
        <w:t>church</w:t>
      </w:r>
      <w:r w:rsidRPr="009A0DA6">
        <w:rPr>
          <w:rFonts w:ascii="Cambria" w:eastAsia="Calibri" w:hAnsi="Cambria" w:cs="Calibri"/>
          <w:spacing w:val="-1"/>
        </w:rPr>
        <w:t xml:space="preserve"> </w:t>
      </w:r>
      <w:r w:rsidRPr="009A0DA6">
        <w:rPr>
          <w:rFonts w:ascii="Cambria" w:eastAsia="Calibri" w:hAnsi="Cambria" w:cs="Calibri"/>
          <w:spacing w:val="1"/>
        </w:rPr>
        <w:t>t</w:t>
      </w:r>
      <w:r w:rsidRPr="009A0DA6">
        <w:rPr>
          <w:rFonts w:ascii="Cambria" w:eastAsia="Calibri" w:hAnsi="Cambria" w:cs="Calibri"/>
          <w:spacing w:val="-1"/>
        </w:rPr>
        <w:t>a</w:t>
      </w:r>
      <w:r w:rsidRPr="009A0DA6">
        <w:rPr>
          <w:rFonts w:ascii="Cambria" w:eastAsia="Calibri" w:hAnsi="Cambria" w:cs="Calibri"/>
        </w:rPr>
        <w:t xml:space="preserve">kes </w:t>
      </w:r>
      <w:r w:rsidRPr="009A0DA6">
        <w:rPr>
          <w:rFonts w:ascii="Cambria" w:eastAsia="Calibri" w:hAnsi="Cambria" w:cs="Calibri"/>
          <w:spacing w:val="1"/>
        </w:rPr>
        <w:t>r</w:t>
      </w:r>
      <w:r w:rsidRPr="009A0DA6">
        <w:rPr>
          <w:rFonts w:ascii="Cambria" w:eastAsia="Calibri" w:hAnsi="Cambria" w:cs="Calibri"/>
        </w:rPr>
        <w:t>easo</w:t>
      </w:r>
      <w:r w:rsidRPr="009A0DA6">
        <w:rPr>
          <w:rFonts w:ascii="Cambria" w:eastAsia="Calibri" w:hAnsi="Cambria" w:cs="Calibri"/>
          <w:spacing w:val="-1"/>
        </w:rPr>
        <w:t>nab</w:t>
      </w:r>
      <w:r w:rsidRPr="009A0DA6">
        <w:rPr>
          <w:rFonts w:ascii="Cambria" w:eastAsia="Calibri" w:hAnsi="Cambria" w:cs="Calibri"/>
        </w:rPr>
        <w:t xml:space="preserve">le </w:t>
      </w:r>
      <w:r w:rsidRPr="009A0DA6">
        <w:rPr>
          <w:rFonts w:ascii="Cambria" w:eastAsia="Calibri" w:hAnsi="Cambria" w:cs="Calibri"/>
          <w:spacing w:val="-2"/>
        </w:rPr>
        <w:t>m</w:t>
      </w:r>
      <w:r w:rsidRPr="009A0DA6">
        <w:rPr>
          <w:rFonts w:ascii="Cambria" w:eastAsia="Calibri" w:hAnsi="Cambria" w:cs="Calibri"/>
        </w:rPr>
        <w:t>eas</w:t>
      </w:r>
      <w:r w:rsidRPr="009A0DA6">
        <w:rPr>
          <w:rFonts w:ascii="Cambria" w:eastAsia="Calibri" w:hAnsi="Cambria" w:cs="Calibri"/>
          <w:spacing w:val="-1"/>
        </w:rPr>
        <w:t>ur</w:t>
      </w:r>
      <w:r w:rsidRPr="009A0DA6">
        <w:rPr>
          <w:rFonts w:ascii="Cambria" w:eastAsia="Calibri" w:hAnsi="Cambria" w:cs="Calibri"/>
        </w:rPr>
        <w:t>es</w:t>
      </w:r>
      <w:r w:rsidRPr="009A0DA6">
        <w:rPr>
          <w:rFonts w:ascii="Cambria" w:eastAsia="Calibri" w:hAnsi="Cambria" w:cs="Calibri"/>
          <w:spacing w:val="1"/>
        </w:rPr>
        <w:t xml:space="preserve"> </w:t>
      </w:r>
      <w:r w:rsidRPr="009A0DA6">
        <w:rPr>
          <w:rFonts w:ascii="Cambria" w:eastAsia="Calibri" w:hAnsi="Cambria" w:cs="Calibri"/>
        </w:rPr>
        <w:t>to</w:t>
      </w:r>
      <w:r w:rsidRPr="009A0DA6">
        <w:rPr>
          <w:rFonts w:ascii="Cambria" w:eastAsia="Calibri" w:hAnsi="Cambria" w:cs="Calibri"/>
          <w:spacing w:val="-1"/>
        </w:rPr>
        <w:t xml:space="preserve"> gua</w:t>
      </w:r>
      <w:r w:rsidRPr="009A0DA6">
        <w:rPr>
          <w:rFonts w:ascii="Cambria" w:eastAsia="Calibri" w:hAnsi="Cambria" w:cs="Calibri"/>
          <w:spacing w:val="1"/>
        </w:rPr>
        <w:t>r</w:t>
      </w:r>
      <w:r w:rsidRPr="009A0DA6">
        <w:rPr>
          <w:rFonts w:ascii="Cambria" w:eastAsia="Calibri" w:hAnsi="Cambria" w:cs="Calibri"/>
        </w:rPr>
        <w:t>d</w:t>
      </w:r>
      <w:r w:rsidRPr="009A0DA6">
        <w:rPr>
          <w:rFonts w:ascii="Cambria" w:eastAsia="Calibri" w:hAnsi="Cambria" w:cs="Calibri"/>
          <w:spacing w:val="-1"/>
        </w:rPr>
        <w:t xml:space="preserve"> </w:t>
      </w:r>
      <w:r w:rsidRPr="009A0DA6">
        <w:rPr>
          <w:rFonts w:ascii="Cambria" w:eastAsia="Calibri" w:hAnsi="Cambria" w:cs="Calibri"/>
        </w:rPr>
        <w:t>a</w:t>
      </w:r>
      <w:r w:rsidRPr="009A0DA6">
        <w:rPr>
          <w:rFonts w:ascii="Cambria" w:eastAsia="Calibri" w:hAnsi="Cambria" w:cs="Calibri"/>
          <w:spacing w:val="-1"/>
        </w:rPr>
        <w:t>ga</w:t>
      </w:r>
      <w:r w:rsidRPr="009A0DA6">
        <w:rPr>
          <w:rFonts w:ascii="Cambria" w:eastAsia="Calibri" w:hAnsi="Cambria" w:cs="Calibri"/>
        </w:rPr>
        <w:t>i</w:t>
      </w:r>
      <w:r w:rsidRPr="009A0DA6">
        <w:rPr>
          <w:rFonts w:ascii="Cambria" w:eastAsia="Calibri" w:hAnsi="Cambria" w:cs="Calibri"/>
          <w:spacing w:val="-1"/>
        </w:rPr>
        <w:t>n</w:t>
      </w:r>
      <w:r w:rsidRPr="009A0DA6">
        <w:rPr>
          <w:rFonts w:ascii="Cambria" w:eastAsia="Calibri" w:hAnsi="Cambria" w:cs="Calibri"/>
        </w:rPr>
        <w:t>st</w:t>
      </w:r>
      <w:r w:rsidRPr="009A0DA6">
        <w:rPr>
          <w:rFonts w:ascii="Cambria" w:eastAsia="Calibri" w:hAnsi="Cambria" w:cs="Calibri"/>
          <w:spacing w:val="1"/>
        </w:rPr>
        <w:t xml:space="preserve"> s</w:t>
      </w:r>
      <w:r w:rsidRPr="009A0DA6">
        <w:rPr>
          <w:rFonts w:ascii="Cambria" w:eastAsia="Calibri" w:hAnsi="Cambria" w:cs="Calibri"/>
          <w:spacing w:val="-1"/>
        </w:rPr>
        <w:t>a</w:t>
      </w:r>
      <w:r w:rsidRPr="009A0DA6">
        <w:rPr>
          <w:rFonts w:ascii="Cambria" w:eastAsia="Calibri" w:hAnsi="Cambria" w:cs="Calibri"/>
        </w:rPr>
        <w:t>f</w:t>
      </w:r>
      <w:r w:rsidRPr="009A0DA6">
        <w:rPr>
          <w:rFonts w:ascii="Cambria" w:eastAsia="Calibri" w:hAnsi="Cambria" w:cs="Calibri"/>
          <w:spacing w:val="-2"/>
        </w:rPr>
        <w:t>e</w:t>
      </w:r>
      <w:r w:rsidRPr="009A0DA6">
        <w:rPr>
          <w:rFonts w:ascii="Cambria" w:eastAsia="Calibri" w:hAnsi="Cambria" w:cs="Calibri"/>
        </w:rPr>
        <w:t xml:space="preserve">ty </w:t>
      </w:r>
      <w:r w:rsidRPr="009A0DA6">
        <w:rPr>
          <w:rFonts w:ascii="Cambria" w:eastAsia="Calibri" w:hAnsi="Cambria" w:cs="Calibri"/>
          <w:spacing w:val="2"/>
        </w:rPr>
        <w:t>r</w:t>
      </w:r>
      <w:r w:rsidRPr="009A0DA6">
        <w:rPr>
          <w:rFonts w:ascii="Cambria" w:eastAsia="Calibri" w:hAnsi="Cambria" w:cs="Calibri"/>
          <w:spacing w:val="-3"/>
        </w:rPr>
        <w:t>i</w:t>
      </w:r>
      <w:r w:rsidRPr="009A0DA6">
        <w:rPr>
          <w:rFonts w:ascii="Cambria" w:eastAsia="Calibri" w:hAnsi="Cambria" w:cs="Calibri"/>
        </w:rPr>
        <w:t>s</w:t>
      </w:r>
      <w:r w:rsidRPr="009A0DA6">
        <w:rPr>
          <w:rFonts w:ascii="Cambria" w:eastAsia="Calibri" w:hAnsi="Cambria" w:cs="Calibri"/>
          <w:spacing w:val="1"/>
        </w:rPr>
        <w:t>k</w:t>
      </w:r>
      <w:r w:rsidRPr="009A0DA6">
        <w:rPr>
          <w:rFonts w:ascii="Cambria" w:eastAsia="Calibri" w:hAnsi="Cambria" w:cs="Calibri"/>
        </w:rPr>
        <w:t>s</w:t>
      </w:r>
      <w:r w:rsidRPr="009A0DA6">
        <w:rPr>
          <w:rFonts w:ascii="Cambria" w:eastAsia="Calibri" w:hAnsi="Cambria" w:cs="Calibri"/>
          <w:spacing w:val="-2"/>
        </w:rPr>
        <w:t xml:space="preserve"> </w:t>
      </w:r>
      <w:r w:rsidRPr="009A0DA6">
        <w:rPr>
          <w:rFonts w:ascii="Cambria" w:eastAsia="Calibri" w:hAnsi="Cambria" w:cs="Calibri"/>
        </w:rPr>
        <w:t>a</w:t>
      </w:r>
      <w:r w:rsidRPr="009A0DA6">
        <w:rPr>
          <w:rFonts w:ascii="Cambria" w:eastAsia="Calibri" w:hAnsi="Cambria" w:cs="Calibri"/>
          <w:spacing w:val="-1"/>
        </w:rPr>
        <w:t>n</w:t>
      </w:r>
      <w:r w:rsidRPr="009A0DA6">
        <w:rPr>
          <w:rFonts w:ascii="Cambria" w:eastAsia="Calibri" w:hAnsi="Cambria" w:cs="Calibri"/>
        </w:rPr>
        <w:t>d</w:t>
      </w:r>
      <w:r w:rsidRPr="009A0DA6">
        <w:rPr>
          <w:rFonts w:ascii="Cambria" w:eastAsia="Calibri" w:hAnsi="Cambria" w:cs="Calibri"/>
          <w:spacing w:val="-1"/>
        </w:rPr>
        <w:t xml:space="preserve">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1"/>
        </w:rPr>
        <w:t>r</w:t>
      </w:r>
      <w:r w:rsidRPr="009A0DA6">
        <w:rPr>
          <w:rFonts w:ascii="Cambria" w:eastAsia="Calibri" w:hAnsi="Cambria" w:cs="Calibri"/>
        </w:rPr>
        <w:t>eby</w:t>
      </w:r>
      <w:r w:rsidRPr="009A0DA6">
        <w:rPr>
          <w:rFonts w:ascii="Cambria" w:eastAsia="Calibri" w:hAnsi="Cambria" w:cs="Calibri"/>
          <w:spacing w:val="-3"/>
        </w:rPr>
        <w:t xml:space="preserve"> </w:t>
      </w:r>
      <w:r w:rsidRPr="009A0DA6">
        <w:rPr>
          <w:rFonts w:ascii="Cambria" w:eastAsia="Calibri" w:hAnsi="Cambria" w:cs="Calibri"/>
          <w:spacing w:val="1"/>
        </w:rPr>
        <w:t>t</w:t>
      </w:r>
      <w:r w:rsidRPr="009A0DA6">
        <w:rPr>
          <w:rFonts w:ascii="Cambria" w:eastAsia="Calibri" w:hAnsi="Cambria" w:cs="Calibri"/>
        </w:rPr>
        <w:t>o</w:t>
      </w:r>
      <w:r w:rsidRPr="009A0DA6">
        <w:rPr>
          <w:rFonts w:ascii="Cambria" w:eastAsia="Calibri" w:hAnsi="Cambria" w:cs="Calibri"/>
          <w:spacing w:val="3"/>
        </w:rPr>
        <w:t xml:space="preserve"> </w:t>
      </w:r>
      <w:r w:rsidRPr="009A0DA6">
        <w:rPr>
          <w:rFonts w:ascii="Cambria" w:eastAsia="Calibri" w:hAnsi="Cambria" w:cs="Calibri"/>
          <w:spacing w:val="-3"/>
        </w:rPr>
        <w:t>p</w:t>
      </w:r>
      <w:r w:rsidRPr="009A0DA6">
        <w:rPr>
          <w:rFonts w:ascii="Cambria" w:eastAsia="Calibri" w:hAnsi="Cambria" w:cs="Calibri"/>
          <w:spacing w:val="1"/>
        </w:rPr>
        <w:t>r</w:t>
      </w:r>
      <w:r w:rsidRPr="009A0DA6">
        <w:rPr>
          <w:rFonts w:ascii="Cambria" w:eastAsia="Calibri" w:hAnsi="Cambria" w:cs="Calibri"/>
        </w:rPr>
        <w:t>otect</w:t>
      </w:r>
      <w:r w:rsidRPr="009A0DA6">
        <w:rPr>
          <w:rFonts w:ascii="Cambria" w:eastAsia="Calibri" w:hAnsi="Cambria" w:cs="Calibri"/>
          <w:spacing w:val="-2"/>
        </w:rPr>
        <w:t xml:space="preserve"> </w:t>
      </w:r>
      <w:r w:rsidRPr="009A0DA6">
        <w:rPr>
          <w:rFonts w:ascii="Cambria" w:eastAsia="Calibri" w:hAnsi="Cambria" w:cs="Calibri"/>
        </w:rPr>
        <w:t>th</w:t>
      </w:r>
      <w:r w:rsidRPr="009A0DA6">
        <w:rPr>
          <w:rFonts w:ascii="Cambria" w:eastAsia="Calibri" w:hAnsi="Cambria" w:cs="Calibri"/>
          <w:spacing w:val="-1"/>
        </w:rPr>
        <w:t>o</w:t>
      </w:r>
      <w:r w:rsidRPr="009A0DA6">
        <w:rPr>
          <w:rFonts w:ascii="Cambria" w:eastAsia="Calibri" w:hAnsi="Cambria" w:cs="Calibri"/>
        </w:rPr>
        <w:t>se</w:t>
      </w:r>
      <w:r w:rsidRPr="009A0DA6">
        <w:rPr>
          <w:rFonts w:ascii="Cambria" w:eastAsia="Calibri" w:hAnsi="Cambria" w:cs="Calibri"/>
          <w:spacing w:val="1"/>
        </w:rPr>
        <w:t xml:space="preserve"> </w:t>
      </w:r>
      <w:r w:rsidRPr="009A0DA6">
        <w:rPr>
          <w:rFonts w:ascii="Cambria" w:eastAsia="Calibri" w:hAnsi="Cambria" w:cs="Calibri"/>
        </w:rPr>
        <w:t>f</w:t>
      </w:r>
      <w:r w:rsidRPr="009A0DA6">
        <w:rPr>
          <w:rFonts w:ascii="Cambria" w:eastAsia="Calibri" w:hAnsi="Cambria" w:cs="Calibri"/>
          <w:spacing w:val="-3"/>
        </w:rPr>
        <w:t>o</w:t>
      </w:r>
      <w:r w:rsidRPr="009A0DA6">
        <w:rPr>
          <w:rFonts w:ascii="Cambria" w:eastAsia="Calibri" w:hAnsi="Cambria" w:cs="Calibri"/>
        </w:rPr>
        <w:t>r</w:t>
      </w:r>
      <w:r w:rsidRPr="009A0DA6">
        <w:rPr>
          <w:rFonts w:ascii="Cambria" w:eastAsia="Calibri" w:hAnsi="Cambria" w:cs="Calibri"/>
          <w:spacing w:val="1"/>
        </w:rPr>
        <w:t xml:space="preserve"> w</w:t>
      </w:r>
      <w:r w:rsidRPr="009A0DA6">
        <w:rPr>
          <w:rFonts w:ascii="Cambria" w:eastAsia="Calibri" w:hAnsi="Cambria" w:cs="Calibri"/>
          <w:spacing w:val="-1"/>
        </w:rPr>
        <w:t>h</w:t>
      </w:r>
      <w:r w:rsidRPr="009A0DA6">
        <w:rPr>
          <w:rFonts w:ascii="Cambria" w:eastAsia="Calibri" w:hAnsi="Cambria" w:cs="Calibri"/>
          <w:spacing w:val="-3"/>
        </w:rPr>
        <w:t>o</w:t>
      </w:r>
      <w:r w:rsidRPr="009A0DA6">
        <w:rPr>
          <w:rFonts w:ascii="Cambria" w:eastAsia="Calibri" w:hAnsi="Cambria" w:cs="Calibri"/>
        </w:rPr>
        <w:t>m</w:t>
      </w:r>
      <w:r w:rsidRPr="009A0DA6">
        <w:rPr>
          <w:rFonts w:ascii="Cambria" w:eastAsia="Calibri" w:hAnsi="Cambria" w:cs="Calibri"/>
          <w:spacing w:val="1"/>
        </w:rPr>
        <w:t xml:space="preserve"> </w:t>
      </w:r>
      <w:r w:rsidRPr="009A0DA6">
        <w:rPr>
          <w:rFonts w:ascii="Cambria" w:eastAsia="Calibri" w:hAnsi="Cambria" w:cs="Calibri"/>
        </w:rPr>
        <w:t>it h</w:t>
      </w:r>
      <w:r w:rsidRPr="009A0DA6">
        <w:rPr>
          <w:rFonts w:ascii="Cambria" w:eastAsia="Calibri" w:hAnsi="Cambria" w:cs="Calibri"/>
          <w:spacing w:val="-1"/>
        </w:rPr>
        <w:t>a</w:t>
      </w:r>
      <w:r w:rsidRPr="009A0DA6">
        <w:rPr>
          <w:rFonts w:ascii="Cambria" w:eastAsia="Calibri" w:hAnsi="Cambria" w:cs="Calibri"/>
        </w:rPr>
        <w:t>s a</w:t>
      </w:r>
      <w:r w:rsidRPr="009A0DA6">
        <w:rPr>
          <w:rFonts w:ascii="Cambria" w:eastAsia="Calibri" w:hAnsi="Cambria" w:cs="Calibri"/>
          <w:spacing w:val="-1"/>
        </w:rPr>
        <w:t xml:space="preserve"> </w:t>
      </w:r>
      <w:r w:rsidRPr="009A0DA6">
        <w:rPr>
          <w:rFonts w:ascii="Cambria" w:eastAsia="Calibri" w:hAnsi="Cambria" w:cs="Calibri"/>
        </w:rPr>
        <w:t>d</w:t>
      </w:r>
      <w:r w:rsidRPr="009A0DA6">
        <w:rPr>
          <w:rFonts w:ascii="Cambria" w:eastAsia="Calibri" w:hAnsi="Cambria" w:cs="Calibri"/>
          <w:spacing w:val="-1"/>
        </w:rPr>
        <w:t>u</w:t>
      </w:r>
      <w:r w:rsidRPr="009A0DA6">
        <w:rPr>
          <w:rFonts w:ascii="Cambria" w:eastAsia="Calibri" w:hAnsi="Cambria" w:cs="Calibri"/>
        </w:rPr>
        <w:t>ty of c</w:t>
      </w:r>
      <w:r w:rsidRPr="009A0DA6">
        <w:rPr>
          <w:rFonts w:ascii="Cambria" w:eastAsia="Calibri" w:hAnsi="Cambria" w:cs="Calibri"/>
          <w:spacing w:val="-3"/>
        </w:rPr>
        <w:t>a</w:t>
      </w:r>
      <w:r w:rsidRPr="009A0DA6">
        <w:rPr>
          <w:rFonts w:ascii="Cambria" w:eastAsia="Calibri" w:hAnsi="Cambria" w:cs="Calibri"/>
          <w:spacing w:val="-1"/>
        </w:rPr>
        <w:t>r</w:t>
      </w:r>
      <w:r w:rsidRPr="009A0DA6">
        <w:rPr>
          <w:rFonts w:ascii="Cambria" w:eastAsia="Calibri" w:hAnsi="Cambria" w:cs="Calibri"/>
        </w:rPr>
        <w:t>e. The</w:t>
      </w:r>
      <w:r w:rsidRPr="009A0DA6">
        <w:rPr>
          <w:rFonts w:ascii="Cambria" w:eastAsia="Calibri" w:hAnsi="Cambria" w:cs="Calibri"/>
          <w:spacing w:val="1"/>
        </w:rPr>
        <w:t>r</w:t>
      </w:r>
      <w:r w:rsidRPr="009A0DA6">
        <w:rPr>
          <w:rFonts w:ascii="Cambria" w:eastAsia="Calibri" w:hAnsi="Cambria" w:cs="Calibri"/>
        </w:rPr>
        <w:t>ef</w:t>
      </w:r>
      <w:r w:rsidRPr="009A0DA6">
        <w:rPr>
          <w:rFonts w:ascii="Cambria" w:eastAsia="Calibri" w:hAnsi="Cambria" w:cs="Calibri"/>
          <w:spacing w:val="-3"/>
        </w:rPr>
        <w:t>o</w:t>
      </w:r>
      <w:r w:rsidRPr="009A0DA6">
        <w:rPr>
          <w:rFonts w:ascii="Cambria" w:eastAsia="Calibri" w:hAnsi="Cambria" w:cs="Calibri"/>
          <w:spacing w:val="1"/>
        </w:rPr>
        <w:t>r</w:t>
      </w:r>
      <w:r w:rsidRPr="009A0DA6">
        <w:rPr>
          <w:rFonts w:ascii="Cambria" w:eastAsia="Calibri" w:hAnsi="Cambria" w:cs="Calibri"/>
        </w:rPr>
        <w:t xml:space="preserve">e </w:t>
      </w:r>
      <w:r w:rsidRPr="009A0DA6">
        <w:rPr>
          <w:rFonts w:ascii="Cambria" w:eastAsia="Calibri" w:hAnsi="Cambria" w:cs="Calibri"/>
          <w:spacing w:val="-2"/>
        </w:rPr>
        <w:t>i</w:t>
      </w:r>
      <w:r w:rsidRPr="009A0DA6">
        <w:rPr>
          <w:rFonts w:ascii="Cambria" w:eastAsia="Calibri" w:hAnsi="Cambria" w:cs="Calibri"/>
        </w:rPr>
        <w:t>ts</w:t>
      </w:r>
      <w:r w:rsidRPr="009A0DA6">
        <w:rPr>
          <w:rFonts w:ascii="Cambria" w:eastAsia="Calibri" w:hAnsi="Cambria" w:cs="Calibri"/>
          <w:spacing w:val="-1"/>
        </w:rPr>
        <w:t xml:space="preserve"> </w:t>
      </w:r>
      <w:r w:rsidRPr="009A0DA6">
        <w:rPr>
          <w:rFonts w:ascii="Cambria" w:eastAsia="Calibri" w:hAnsi="Cambria" w:cs="Calibri"/>
        </w:rPr>
        <w:t>wo</w:t>
      </w:r>
      <w:r w:rsidRPr="009A0DA6">
        <w:rPr>
          <w:rFonts w:ascii="Cambria" w:eastAsia="Calibri" w:hAnsi="Cambria" w:cs="Calibri"/>
          <w:spacing w:val="1"/>
        </w:rPr>
        <w:t>r</w:t>
      </w:r>
      <w:r w:rsidRPr="009A0DA6">
        <w:rPr>
          <w:rFonts w:ascii="Cambria" w:eastAsia="Calibri" w:hAnsi="Cambria" w:cs="Calibri"/>
        </w:rPr>
        <w:t>k</w:t>
      </w:r>
      <w:r w:rsidRPr="009A0DA6">
        <w:rPr>
          <w:rFonts w:ascii="Cambria" w:eastAsia="Calibri" w:hAnsi="Cambria" w:cs="Calibri"/>
          <w:spacing w:val="-2"/>
        </w:rPr>
        <w:t xml:space="preserve"> </w:t>
      </w:r>
      <w:r w:rsidRPr="009A0DA6">
        <w:rPr>
          <w:rFonts w:ascii="Cambria" w:eastAsia="Calibri" w:hAnsi="Cambria" w:cs="Calibri"/>
          <w:spacing w:val="1"/>
        </w:rPr>
        <w:t>m</w:t>
      </w:r>
      <w:r w:rsidRPr="009A0DA6">
        <w:rPr>
          <w:rFonts w:ascii="Cambria" w:eastAsia="Calibri" w:hAnsi="Cambria" w:cs="Calibri"/>
          <w:spacing w:val="-1"/>
        </w:rPr>
        <w:t>u</w:t>
      </w:r>
      <w:r w:rsidRPr="009A0DA6">
        <w:rPr>
          <w:rFonts w:ascii="Cambria" w:eastAsia="Calibri" w:hAnsi="Cambria" w:cs="Calibri"/>
          <w:spacing w:val="-2"/>
        </w:rPr>
        <w:t>s</w:t>
      </w:r>
      <w:r w:rsidRPr="009A0DA6">
        <w:rPr>
          <w:rFonts w:ascii="Cambria" w:eastAsia="Calibri" w:hAnsi="Cambria" w:cs="Calibri"/>
        </w:rPr>
        <w:t>t</w:t>
      </w:r>
      <w:r w:rsidRPr="009A0DA6">
        <w:rPr>
          <w:rFonts w:ascii="Cambria" w:eastAsia="Calibri" w:hAnsi="Cambria" w:cs="Calibri"/>
          <w:spacing w:val="1"/>
        </w:rPr>
        <w:t xml:space="preserve"> </w:t>
      </w:r>
      <w:r w:rsidRPr="009A0DA6">
        <w:rPr>
          <w:rFonts w:ascii="Cambria" w:eastAsia="Calibri" w:hAnsi="Cambria" w:cs="Calibri"/>
        </w:rPr>
        <w:t>c</w:t>
      </w:r>
      <w:r w:rsidRPr="009A0DA6">
        <w:rPr>
          <w:rFonts w:ascii="Cambria" w:eastAsia="Calibri" w:hAnsi="Cambria" w:cs="Calibri"/>
          <w:spacing w:val="-4"/>
        </w:rPr>
        <w:t>o</w:t>
      </w:r>
      <w:r w:rsidRPr="009A0DA6">
        <w:rPr>
          <w:rFonts w:ascii="Cambria" w:eastAsia="Calibri" w:hAnsi="Cambria" w:cs="Calibri"/>
          <w:spacing w:val="-1"/>
        </w:rPr>
        <w:t>n</w:t>
      </w:r>
      <w:r w:rsidRPr="009A0DA6">
        <w:rPr>
          <w:rFonts w:ascii="Cambria" w:eastAsia="Calibri" w:hAnsi="Cambria" w:cs="Calibri"/>
        </w:rPr>
        <w:t>ti</w:t>
      </w:r>
      <w:r w:rsidRPr="009A0DA6">
        <w:rPr>
          <w:rFonts w:ascii="Cambria" w:eastAsia="Calibri" w:hAnsi="Cambria" w:cs="Calibri"/>
          <w:spacing w:val="1"/>
        </w:rPr>
        <w:t>n</w:t>
      </w:r>
      <w:r w:rsidRPr="009A0DA6">
        <w:rPr>
          <w:rFonts w:ascii="Cambria" w:eastAsia="Calibri" w:hAnsi="Cambria" w:cs="Calibri"/>
          <w:spacing w:val="-1"/>
        </w:rPr>
        <w:t>u</w:t>
      </w:r>
      <w:r w:rsidRPr="009A0DA6">
        <w:rPr>
          <w:rFonts w:ascii="Cambria" w:eastAsia="Calibri" w:hAnsi="Cambria" w:cs="Calibri"/>
        </w:rPr>
        <w:t>e. H</w:t>
      </w:r>
      <w:r w:rsidRPr="009A0DA6">
        <w:rPr>
          <w:rFonts w:ascii="Cambria" w:eastAsia="Calibri" w:hAnsi="Cambria" w:cs="Calibri"/>
          <w:spacing w:val="-1"/>
        </w:rPr>
        <w:t>o</w:t>
      </w:r>
      <w:r w:rsidRPr="009A0DA6">
        <w:rPr>
          <w:rFonts w:ascii="Cambria" w:eastAsia="Calibri" w:hAnsi="Cambria" w:cs="Calibri"/>
        </w:rPr>
        <w:t>wev</w:t>
      </w:r>
      <w:r w:rsidRPr="009A0DA6">
        <w:rPr>
          <w:rFonts w:ascii="Cambria" w:eastAsia="Calibri" w:hAnsi="Cambria" w:cs="Calibri"/>
          <w:spacing w:val="-1"/>
        </w:rPr>
        <w:t>e</w:t>
      </w:r>
      <w:r w:rsidRPr="009A0DA6">
        <w:rPr>
          <w:rFonts w:ascii="Cambria" w:eastAsia="Calibri" w:hAnsi="Cambria" w:cs="Calibri"/>
          <w:spacing w:val="1"/>
        </w:rPr>
        <w:t>r</w:t>
      </w:r>
      <w:r w:rsidRPr="009A0DA6">
        <w:rPr>
          <w:rFonts w:ascii="Cambria" w:eastAsia="Calibri" w:hAnsi="Cambria" w:cs="Calibri"/>
        </w:rPr>
        <w:t>, co</w:t>
      </w:r>
      <w:r w:rsidRPr="009A0DA6">
        <w:rPr>
          <w:rFonts w:ascii="Cambria" w:eastAsia="Calibri" w:hAnsi="Cambria" w:cs="Calibri"/>
          <w:spacing w:val="-1"/>
        </w:rPr>
        <w:t>n</w:t>
      </w:r>
      <w:r w:rsidRPr="009A0DA6">
        <w:rPr>
          <w:rFonts w:ascii="Cambria" w:eastAsia="Calibri" w:hAnsi="Cambria" w:cs="Calibri"/>
        </w:rPr>
        <w:t>cer</w:t>
      </w:r>
      <w:r w:rsidRPr="009A0DA6">
        <w:rPr>
          <w:rFonts w:ascii="Cambria" w:eastAsia="Calibri" w:hAnsi="Cambria" w:cs="Calibri"/>
          <w:spacing w:val="-3"/>
        </w:rPr>
        <w:t>n</w:t>
      </w:r>
      <w:r w:rsidRPr="009A0DA6">
        <w:rPr>
          <w:rFonts w:ascii="Cambria" w:eastAsia="Calibri" w:hAnsi="Cambria" w:cs="Calibri"/>
        </w:rPr>
        <w:t>s</w:t>
      </w:r>
      <w:r w:rsidRPr="009A0DA6">
        <w:rPr>
          <w:rFonts w:ascii="Cambria" w:eastAsia="Calibri" w:hAnsi="Cambria" w:cs="Calibri"/>
          <w:spacing w:val="-1"/>
        </w:rPr>
        <w:t xml:space="preserve"> ha</w:t>
      </w:r>
      <w:r w:rsidRPr="009A0DA6">
        <w:rPr>
          <w:rFonts w:ascii="Cambria" w:eastAsia="Calibri" w:hAnsi="Cambria" w:cs="Calibri"/>
        </w:rPr>
        <w:t>ve been</w:t>
      </w:r>
      <w:r w:rsidRPr="009A0DA6">
        <w:rPr>
          <w:rFonts w:ascii="Cambria" w:eastAsia="Calibri" w:hAnsi="Cambria" w:cs="Calibri"/>
          <w:spacing w:val="-1"/>
        </w:rPr>
        <w:t xml:space="preserve"> </w:t>
      </w:r>
      <w:r w:rsidRPr="009A0DA6">
        <w:rPr>
          <w:rFonts w:ascii="Cambria" w:eastAsia="Calibri" w:hAnsi="Cambria" w:cs="Calibri"/>
          <w:spacing w:val="1"/>
        </w:rPr>
        <w:t>r</w:t>
      </w:r>
      <w:r w:rsidRPr="009A0DA6">
        <w:rPr>
          <w:rFonts w:ascii="Cambria" w:eastAsia="Calibri" w:hAnsi="Cambria" w:cs="Calibri"/>
          <w:spacing w:val="-1"/>
        </w:rPr>
        <w:t>a</w:t>
      </w:r>
      <w:r w:rsidRPr="009A0DA6">
        <w:rPr>
          <w:rFonts w:ascii="Cambria" w:eastAsia="Calibri" w:hAnsi="Cambria" w:cs="Calibri"/>
          <w:spacing w:val="-3"/>
        </w:rPr>
        <w:t>i</w:t>
      </w:r>
      <w:r w:rsidRPr="009A0DA6">
        <w:rPr>
          <w:rFonts w:ascii="Cambria" w:eastAsia="Calibri" w:hAnsi="Cambria" w:cs="Calibri"/>
        </w:rPr>
        <w:t>sed by</w:t>
      </w:r>
      <w:r w:rsidRPr="009A0DA6">
        <w:rPr>
          <w:rFonts w:ascii="Cambria" w:eastAsia="Calibri" w:hAnsi="Cambria" w:cs="Calibri"/>
          <w:spacing w:val="-2"/>
        </w:rPr>
        <w:t xml:space="preserve"> </w:t>
      </w:r>
      <w:r w:rsidRPr="009A0DA6">
        <w:rPr>
          <w:rFonts w:ascii="Cambria" w:eastAsia="Calibri" w:hAnsi="Cambria" w:cs="Calibri"/>
        </w:rPr>
        <w:t>ma</w:t>
      </w:r>
      <w:r w:rsidRPr="009A0DA6">
        <w:rPr>
          <w:rFonts w:ascii="Cambria" w:eastAsia="Calibri" w:hAnsi="Cambria" w:cs="Calibri"/>
          <w:spacing w:val="-1"/>
        </w:rPr>
        <w:t>n</w:t>
      </w:r>
      <w:r w:rsidRPr="009A0DA6">
        <w:rPr>
          <w:rFonts w:ascii="Cambria" w:eastAsia="Calibri" w:hAnsi="Cambria" w:cs="Calibri"/>
        </w:rPr>
        <w:t>y</w:t>
      </w:r>
      <w:r w:rsidRPr="009A0DA6">
        <w:rPr>
          <w:rFonts w:ascii="Cambria" w:eastAsia="Calibri" w:hAnsi="Cambria" w:cs="Calibri"/>
          <w:spacing w:val="-2"/>
        </w:rPr>
        <w:t xml:space="preserve"> </w:t>
      </w:r>
      <w:r w:rsidRPr="009A0DA6">
        <w:rPr>
          <w:rFonts w:ascii="Cambria" w:eastAsia="Calibri" w:hAnsi="Cambria" w:cs="Calibri"/>
          <w:spacing w:val="-1"/>
        </w:rPr>
        <w:t>pa</w:t>
      </w:r>
      <w:r w:rsidRPr="009A0DA6">
        <w:rPr>
          <w:rFonts w:ascii="Cambria" w:eastAsia="Calibri" w:hAnsi="Cambria" w:cs="Calibri"/>
        </w:rPr>
        <w:t>s</w:t>
      </w:r>
      <w:r w:rsidRPr="009A0DA6">
        <w:rPr>
          <w:rFonts w:ascii="Cambria" w:eastAsia="Calibri" w:hAnsi="Cambria" w:cs="Calibri"/>
          <w:spacing w:val="1"/>
        </w:rPr>
        <w:t>t</w:t>
      </w:r>
      <w:r w:rsidRPr="009A0DA6">
        <w:rPr>
          <w:rFonts w:ascii="Cambria" w:eastAsia="Calibri" w:hAnsi="Cambria" w:cs="Calibri"/>
        </w:rPr>
        <w:t>ors</w:t>
      </w:r>
      <w:r w:rsidRPr="009A0DA6">
        <w:rPr>
          <w:rFonts w:ascii="Cambria" w:eastAsia="Calibri" w:hAnsi="Cambria" w:cs="Calibri"/>
          <w:spacing w:val="1"/>
        </w:rPr>
        <w:t xml:space="preserve"> </w:t>
      </w:r>
      <w:r w:rsidRPr="009A0DA6">
        <w:rPr>
          <w:rFonts w:ascii="Cambria" w:eastAsia="Calibri" w:hAnsi="Cambria" w:cs="Calibri"/>
        </w:rPr>
        <w:t>a</w:t>
      </w:r>
      <w:r w:rsidRPr="009A0DA6">
        <w:rPr>
          <w:rFonts w:ascii="Cambria" w:eastAsia="Calibri" w:hAnsi="Cambria" w:cs="Calibri"/>
          <w:spacing w:val="-1"/>
        </w:rPr>
        <w:t>n</w:t>
      </w:r>
      <w:r w:rsidRPr="009A0DA6">
        <w:rPr>
          <w:rFonts w:ascii="Cambria" w:eastAsia="Calibri" w:hAnsi="Cambria" w:cs="Calibri"/>
        </w:rPr>
        <w:t>d</w:t>
      </w:r>
      <w:r w:rsidRPr="009A0DA6">
        <w:rPr>
          <w:rFonts w:ascii="Cambria" w:eastAsia="Calibri" w:hAnsi="Cambria" w:cs="Calibri"/>
          <w:spacing w:val="-1"/>
        </w:rPr>
        <w:t xml:space="preserve"> </w:t>
      </w:r>
      <w:r w:rsidR="00336CE0" w:rsidRPr="009A0DA6">
        <w:rPr>
          <w:rFonts w:ascii="Cambria" w:eastAsia="Calibri" w:hAnsi="Cambria" w:cs="Calibri"/>
        </w:rPr>
        <w:t>church</w:t>
      </w:r>
      <w:r w:rsidRPr="009A0DA6">
        <w:rPr>
          <w:rFonts w:ascii="Cambria" w:eastAsia="Calibri" w:hAnsi="Cambria" w:cs="Calibri"/>
          <w:spacing w:val="-1"/>
        </w:rPr>
        <w:t xml:space="preserve"> </w:t>
      </w:r>
      <w:r w:rsidRPr="009A0DA6">
        <w:rPr>
          <w:rFonts w:ascii="Cambria" w:eastAsia="Calibri" w:hAnsi="Cambria" w:cs="Calibri"/>
          <w:spacing w:val="1"/>
        </w:rPr>
        <w:t>m</w:t>
      </w:r>
      <w:r w:rsidRPr="009A0DA6">
        <w:rPr>
          <w:rFonts w:ascii="Cambria" w:eastAsia="Calibri" w:hAnsi="Cambria" w:cs="Calibri"/>
          <w:spacing w:val="-2"/>
        </w:rPr>
        <w:t>e</w:t>
      </w:r>
      <w:r w:rsidRPr="009A0DA6">
        <w:rPr>
          <w:rFonts w:ascii="Cambria" w:eastAsia="Calibri" w:hAnsi="Cambria" w:cs="Calibri"/>
        </w:rPr>
        <w:t>mb</w:t>
      </w:r>
      <w:r w:rsidRPr="009A0DA6">
        <w:rPr>
          <w:rFonts w:ascii="Cambria" w:eastAsia="Calibri" w:hAnsi="Cambria" w:cs="Calibri"/>
          <w:spacing w:val="-2"/>
        </w:rPr>
        <w:t>e</w:t>
      </w:r>
      <w:r w:rsidRPr="009A0DA6">
        <w:rPr>
          <w:rFonts w:ascii="Cambria" w:eastAsia="Calibri" w:hAnsi="Cambria" w:cs="Calibri"/>
          <w:spacing w:val="1"/>
        </w:rPr>
        <w:t>r</w:t>
      </w:r>
      <w:r w:rsidRPr="009A0DA6">
        <w:rPr>
          <w:rFonts w:ascii="Cambria" w:eastAsia="Calibri" w:hAnsi="Cambria" w:cs="Calibri"/>
        </w:rPr>
        <w:t>s</w:t>
      </w:r>
      <w:r w:rsidRPr="009A0DA6">
        <w:rPr>
          <w:rFonts w:ascii="Cambria" w:eastAsia="Calibri" w:hAnsi="Cambria" w:cs="Calibri"/>
          <w:spacing w:val="1"/>
        </w:rPr>
        <w:t xml:space="preserve"> </w:t>
      </w:r>
      <w:r w:rsidRPr="009A0DA6">
        <w:rPr>
          <w:rFonts w:ascii="Cambria" w:eastAsia="Calibri" w:hAnsi="Cambria" w:cs="Calibri"/>
        </w:rPr>
        <w:t>th</w:t>
      </w:r>
      <w:r w:rsidRPr="009A0DA6">
        <w:rPr>
          <w:rFonts w:ascii="Cambria" w:eastAsia="Calibri" w:hAnsi="Cambria" w:cs="Calibri"/>
          <w:spacing w:val="-1"/>
        </w:rPr>
        <w:t>a</w:t>
      </w:r>
      <w:r w:rsidRPr="009A0DA6">
        <w:rPr>
          <w:rFonts w:ascii="Cambria" w:eastAsia="Calibri" w:hAnsi="Cambria" w:cs="Calibri"/>
        </w:rPr>
        <w:t>t</w:t>
      </w:r>
      <w:r w:rsidRPr="009A0DA6">
        <w:rPr>
          <w:rFonts w:ascii="Cambria" w:eastAsia="Calibri" w:hAnsi="Cambria" w:cs="Calibri"/>
          <w:spacing w:val="-2"/>
        </w:rPr>
        <w:t xml:space="preserve"> </w:t>
      </w:r>
      <w:r w:rsidRPr="009A0DA6">
        <w:rPr>
          <w:rFonts w:ascii="Cambria" w:eastAsia="Calibri" w:hAnsi="Cambria" w:cs="Calibri"/>
        </w:rPr>
        <w:t>at times</w:t>
      </w:r>
      <w:r w:rsidRPr="009A0DA6">
        <w:rPr>
          <w:rFonts w:ascii="Cambria" w:eastAsia="Calibri" w:hAnsi="Cambria" w:cs="Calibri"/>
          <w:spacing w:val="-1"/>
        </w:rPr>
        <w:t xml:space="preserve">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spacing w:val="1"/>
        </w:rPr>
        <w:t>P</w:t>
      </w:r>
      <w:r w:rsidRPr="009A0DA6">
        <w:rPr>
          <w:rFonts w:ascii="Cambria" w:eastAsia="Calibri" w:hAnsi="Cambria" w:cs="Calibri"/>
          <w:spacing w:val="-1"/>
        </w:rPr>
        <w:t>S</w:t>
      </w:r>
      <w:r w:rsidRPr="009A0DA6">
        <w:rPr>
          <w:rFonts w:ascii="Cambria" w:eastAsia="Calibri" w:hAnsi="Cambria" w:cs="Calibri"/>
          <w:spacing w:val="2"/>
        </w:rPr>
        <w:t>D</w:t>
      </w:r>
      <w:r w:rsidRPr="009A0DA6">
        <w:rPr>
          <w:rFonts w:ascii="Cambria" w:eastAsia="Calibri" w:hAnsi="Cambria" w:cs="Calibri"/>
        </w:rPr>
        <w:t>, in</w:t>
      </w:r>
      <w:r w:rsidRPr="009A0DA6">
        <w:rPr>
          <w:rFonts w:ascii="Cambria" w:eastAsia="Calibri" w:hAnsi="Cambria" w:cs="Calibri"/>
          <w:spacing w:val="-3"/>
        </w:rPr>
        <w:t xml:space="preserve"> </w:t>
      </w:r>
      <w:r w:rsidRPr="009A0DA6">
        <w:rPr>
          <w:rFonts w:ascii="Cambria" w:eastAsia="Calibri" w:hAnsi="Cambria" w:cs="Calibri"/>
        </w:rPr>
        <w:t>its</w:t>
      </w:r>
      <w:r w:rsidRPr="009A0DA6">
        <w:rPr>
          <w:rFonts w:ascii="Cambria" w:eastAsia="Calibri" w:hAnsi="Cambria" w:cs="Calibri"/>
          <w:spacing w:val="1"/>
        </w:rPr>
        <w:t xml:space="preserve"> </w:t>
      </w:r>
      <w:r w:rsidRPr="009A0DA6">
        <w:rPr>
          <w:rFonts w:ascii="Cambria" w:eastAsia="Calibri" w:hAnsi="Cambria" w:cs="Calibri"/>
        </w:rPr>
        <w:t>ze</w:t>
      </w:r>
      <w:r w:rsidRPr="009A0DA6">
        <w:rPr>
          <w:rFonts w:ascii="Cambria" w:eastAsia="Calibri" w:hAnsi="Cambria" w:cs="Calibri"/>
          <w:spacing w:val="-1"/>
        </w:rPr>
        <w:t>a</w:t>
      </w:r>
      <w:r w:rsidRPr="009A0DA6">
        <w:rPr>
          <w:rFonts w:ascii="Cambria" w:eastAsia="Calibri" w:hAnsi="Cambria" w:cs="Calibri"/>
        </w:rPr>
        <w:t>l</w:t>
      </w:r>
      <w:r w:rsidRPr="009A0DA6">
        <w:rPr>
          <w:rFonts w:ascii="Cambria" w:eastAsia="Calibri" w:hAnsi="Cambria" w:cs="Calibri"/>
          <w:spacing w:val="-2"/>
        </w:rPr>
        <w:t xml:space="preserve"> </w:t>
      </w:r>
      <w:r w:rsidRPr="009A0DA6">
        <w:rPr>
          <w:rFonts w:ascii="Cambria" w:eastAsia="Calibri" w:hAnsi="Cambria" w:cs="Calibri"/>
        </w:rPr>
        <w:t>to</w:t>
      </w:r>
      <w:r w:rsidRPr="009A0DA6">
        <w:rPr>
          <w:rFonts w:ascii="Cambria" w:eastAsia="Calibri" w:hAnsi="Cambria" w:cs="Calibri"/>
          <w:spacing w:val="-2"/>
        </w:rPr>
        <w:t xml:space="preserve"> </w:t>
      </w:r>
      <w:r w:rsidRPr="009A0DA6">
        <w:rPr>
          <w:rFonts w:ascii="Cambria" w:eastAsia="Calibri" w:hAnsi="Cambria" w:cs="Calibri"/>
          <w:spacing w:val="-1"/>
        </w:rPr>
        <w:t>pu</w:t>
      </w:r>
      <w:r w:rsidRPr="009A0DA6">
        <w:rPr>
          <w:rFonts w:ascii="Cambria" w:eastAsia="Calibri" w:hAnsi="Cambria" w:cs="Calibri"/>
          <w:spacing w:val="1"/>
        </w:rPr>
        <w:t>r</w:t>
      </w:r>
      <w:r w:rsidRPr="009A0DA6">
        <w:rPr>
          <w:rFonts w:ascii="Cambria" w:eastAsia="Calibri" w:hAnsi="Cambria" w:cs="Calibri"/>
        </w:rPr>
        <w:t>sue</w:t>
      </w:r>
      <w:r w:rsidRPr="009A0DA6">
        <w:rPr>
          <w:rFonts w:ascii="Cambria" w:eastAsia="Calibri" w:hAnsi="Cambria" w:cs="Calibri"/>
          <w:spacing w:val="1"/>
        </w:rPr>
        <w:t xml:space="preserve"> </w:t>
      </w:r>
      <w:r w:rsidRPr="009A0DA6">
        <w:rPr>
          <w:rFonts w:ascii="Cambria" w:eastAsia="Calibri" w:hAnsi="Cambria" w:cs="Calibri"/>
        </w:rPr>
        <w:t>th</w:t>
      </w:r>
      <w:r w:rsidRPr="009A0DA6">
        <w:rPr>
          <w:rFonts w:ascii="Cambria" w:eastAsia="Calibri" w:hAnsi="Cambria" w:cs="Calibri"/>
          <w:spacing w:val="-1"/>
        </w:rPr>
        <w:t>o</w:t>
      </w:r>
      <w:r w:rsidRPr="009A0DA6">
        <w:rPr>
          <w:rFonts w:ascii="Cambria" w:eastAsia="Calibri" w:hAnsi="Cambria" w:cs="Calibri"/>
          <w:spacing w:val="-2"/>
        </w:rPr>
        <w:t>s</w:t>
      </w:r>
      <w:r w:rsidRPr="009A0DA6">
        <w:rPr>
          <w:rFonts w:ascii="Cambria" w:eastAsia="Calibri" w:hAnsi="Cambria" w:cs="Calibri"/>
        </w:rPr>
        <w:t xml:space="preserve">e </w:t>
      </w:r>
      <w:r w:rsidRPr="009A0DA6">
        <w:rPr>
          <w:rFonts w:ascii="Cambria" w:eastAsia="Calibri" w:hAnsi="Cambria" w:cs="Calibri"/>
          <w:spacing w:val="1"/>
        </w:rPr>
        <w:t>w</w:t>
      </w:r>
      <w:r w:rsidRPr="009A0DA6">
        <w:rPr>
          <w:rFonts w:ascii="Cambria" w:eastAsia="Calibri" w:hAnsi="Cambria" w:cs="Calibri"/>
          <w:spacing w:val="-1"/>
        </w:rPr>
        <w:t>h</w:t>
      </w:r>
      <w:r w:rsidRPr="009A0DA6">
        <w:rPr>
          <w:rFonts w:ascii="Cambria" w:eastAsia="Calibri" w:hAnsi="Cambria" w:cs="Calibri"/>
        </w:rPr>
        <w:t xml:space="preserve">o </w:t>
      </w:r>
      <w:r w:rsidRPr="009A0DA6">
        <w:rPr>
          <w:rFonts w:ascii="Cambria" w:eastAsia="Calibri" w:hAnsi="Cambria" w:cs="Calibri"/>
          <w:spacing w:val="-1"/>
        </w:rPr>
        <w:t>ha</w:t>
      </w:r>
      <w:r w:rsidRPr="009A0DA6">
        <w:rPr>
          <w:rFonts w:ascii="Cambria" w:eastAsia="Calibri" w:hAnsi="Cambria" w:cs="Calibri"/>
          <w:spacing w:val="-2"/>
        </w:rPr>
        <w:t>v</w:t>
      </w:r>
      <w:r w:rsidRPr="009A0DA6">
        <w:rPr>
          <w:rFonts w:ascii="Cambria" w:eastAsia="Calibri" w:hAnsi="Cambria" w:cs="Calibri"/>
        </w:rPr>
        <w:t>e be</w:t>
      </w:r>
      <w:r w:rsidRPr="009A0DA6">
        <w:rPr>
          <w:rFonts w:ascii="Cambria" w:eastAsia="Calibri" w:hAnsi="Cambria" w:cs="Calibri"/>
          <w:spacing w:val="-2"/>
        </w:rPr>
        <w:t>e</w:t>
      </w:r>
      <w:r w:rsidRPr="009A0DA6">
        <w:rPr>
          <w:rFonts w:ascii="Cambria" w:eastAsia="Calibri" w:hAnsi="Cambria" w:cs="Calibri"/>
        </w:rPr>
        <w:t xml:space="preserve">n </w:t>
      </w:r>
      <w:r w:rsidRPr="009A0DA6">
        <w:rPr>
          <w:rFonts w:ascii="Cambria" w:eastAsia="Calibri" w:hAnsi="Cambria" w:cs="Calibri"/>
          <w:spacing w:val="-1"/>
        </w:rPr>
        <w:t>a</w:t>
      </w:r>
      <w:r w:rsidRPr="009A0DA6">
        <w:rPr>
          <w:rFonts w:ascii="Cambria" w:eastAsia="Calibri" w:hAnsi="Cambria" w:cs="Calibri"/>
        </w:rPr>
        <w:t>c</w:t>
      </w:r>
      <w:r w:rsidRPr="009A0DA6">
        <w:rPr>
          <w:rFonts w:ascii="Cambria" w:eastAsia="Calibri" w:hAnsi="Cambria" w:cs="Calibri"/>
          <w:spacing w:val="-1"/>
        </w:rPr>
        <w:t>cu</w:t>
      </w:r>
      <w:r w:rsidRPr="009A0DA6">
        <w:rPr>
          <w:rFonts w:ascii="Cambria" w:eastAsia="Calibri" w:hAnsi="Cambria" w:cs="Calibri"/>
        </w:rPr>
        <w:t>sed of a</w:t>
      </w:r>
      <w:r w:rsidRPr="009A0DA6">
        <w:rPr>
          <w:rFonts w:ascii="Cambria" w:eastAsia="Calibri" w:hAnsi="Cambria" w:cs="Calibri"/>
          <w:spacing w:val="-1"/>
        </w:rPr>
        <w:t>bu</w:t>
      </w:r>
      <w:r w:rsidRPr="009A0DA6">
        <w:rPr>
          <w:rFonts w:ascii="Cambria" w:eastAsia="Calibri" w:hAnsi="Cambria" w:cs="Calibri"/>
        </w:rPr>
        <w:t>se</w:t>
      </w:r>
      <w:r w:rsidRPr="009A0DA6">
        <w:rPr>
          <w:rFonts w:ascii="Cambria" w:eastAsia="Calibri" w:hAnsi="Cambria" w:cs="Calibri"/>
          <w:spacing w:val="1"/>
        </w:rPr>
        <w:t xml:space="preserve"> </w:t>
      </w:r>
      <w:r w:rsidRPr="009A0DA6">
        <w:rPr>
          <w:rFonts w:ascii="Cambria" w:eastAsia="Calibri" w:hAnsi="Cambria" w:cs="Calibri"/>
        </w:rPr>
        <w:t>or</w:t>
      </w:r>
      <w:r w:rsidRPr="009A0DA6">
        <w:rPr>
          <w:rFonts w:ascii="Cambria" w:eastAsia="Calibri" w:hAnsi="Cambria" w:cs="Calibri"/>
          <w:spacing w:val="-2"/>
        </w:rPr>
        <w:t xml:space="preserve"> </w:t>
      </w:r>
      <w:r w:rsidRPr="009A0DA6">
        <w:rPr>
          <w:rFonts w:ascii="Cambria" w:eastAsia="Calibri" w:hAnsi="Cambria" w:cs="Calibri"/>
          <w:spacing w:val="1"/>
        </w:rPr>
        <w:t>m</w:t>
      </w:r>
      <w:r w:rsidRPr="009A0DA6">
        <w:rPr>
          <w:rFonts w:ascii="Cambria" w:eastAsia="Calibri" w:hAnsi="Cambria" w:cs="Calibri"/>
          <w:spacing w:val="-3"/>
        </w:rPr>
        <w:t>i</w:t>
      </w:r>
      <w:r w:rsidRPr="009A0DA6">
        <w:rPr>
          <w:rFonts w:ascii="Cambria" w:eastAsia="Calibri" w:hAnsi="Cambria" w:cs="Calibri"/>
        </w:rPr>
        <w:t>sco</w:t>
      </w:r>
      <w:r w:rsidRPr="009A0DA6">
        <w:rPr>
          <w:rFonts w:ascii="Cambria" w:eastAsia="Calibri" w:hAnsi="Cambria" w:cs="Calibri"/>
          <w:spacing w:val="-1"/>
        </w:rPr>
        <w:t>ndu</w:t>
      </w:r>
      <w:r w:rsidRPr="009A0DA6">
        <w:rPr>
          <w:rFonts w:ascii="Cambria" w:eastAsia="Calibri" w:hAnsi="Cambria" w:cs="Calibri"/>
        </w:rPr>
        <w:t>ct,</w:t>
      </w:r>
      <w:r w:rsidRPr="009A0DA6">
        <w:rPr>
          <w:rFonts w:ascii="Cambria" w:eastAsia="Calibri" w:hAnsi="Cambria" w:cs="Calibri"/>
          <w:spacing w:val="1"/>
        </w:rPr>
        <w:t xml:space="preserve"> </w:t>
      </w:r>
      <w:r w:rsidRPr="009A0DA6">
        <w:rPr>
          <w:rFonts w:ascii="Cambria" w:eastAsia="Calibri" w:hAnsi="Cambria" w:cs="Calibri"/>
          <w:spacing w:val="-1"/>
        </w:rPr>
        <w:t>ha</w:t>
      </w:r>
      <w:r w:rsidRPr="009A0DA6">
        <w:rPr>
          <w:rFonts w:ascii="Cambria" w:eastAsia="Calibri" w:hAnsi="Cambria" w:cs="Calibri"/>
        </w:rPr>
        <w:t>s</w:t>
      </w:r>
      <w:r w:rsidRPr="009A0DA6">
        <w:rPr>
          <w:rFonts w:ascii="Cambria" w:eastAsia="Calibri" w:hAnsi="Cambria" w:cs="Calibri"/>
          <w:spacing w:val="1"/>
        </w:rPr>
        <w:t xml:space="preserve"> </w:t>
      </w:r>
      <w:r w:rsidRPr="009A0DA6">
        <w:rPr>
          <w:rFonts w:ascii="Cambria" w:eastAsia="Calibri" w:hAnsi="Cambria" w:cs="Calibri"/>
        </w:rPr>
        <w:t>en</w:t>
      </w:r>
      <w:r w:rsidRPr="009A0DA6">
        <w:rPr>
          <w:rFonts w:ascii="Cambria" w:eastAsia="Calibri" w:hAnsi="Cambria" w:cs="Calibri"/>
          <w:spacing w:val="-1"/>
        </w:rPr>
        <w:t>gag</w:t>
      </w:r>
      <w:r w:rsidRPr="009A0DA6">
        <w:rPr>
          <w:rFonts w:ascii="Cambria" w:eastAsia="Calibri" w:hAnsi="Cambria" w:cs="Calibri"/>
        </w:rPr>
        <w:t>ed in</w:t>
      </w:r>
      <w:r w:rsidRPr="009A0DA6">
        <w:rPr>
          <w:rFonts w:ascii="Cambria" w:eastAsia="Calibri" w:hAnsi="Cambria" w:cs="Calibri"/>
          <w:spacing w:val="-1"/>
        </w:rPr>
        <w:t xml:space="preserve"> </w:t>
      </w:r>
      <w:r w:rsidRPr="009A0DA6">
        <w:rPr>
          <w:rFonts w:ascii="Cambria" w:eastAsia="Calibri" w:hAnsi="Cambria" w:cs="Calibri"/>
        </w:rPr>
        <w:t>be</w:t>
      </w:r>
      <w:r w:rsidRPr="009A0DA6">
        <w:rPr>
          <w:rFonts w:ascii="Cambria" w:eastAsia="Calibri" w:hAnsi="Cambria" w:cs="Calibri"/>
          <w:spacing w:val="-3"/>
        </w:rPr>
        <w:t>h</w:t>
      </w:r>
      <w:r w:rsidRPr="009A0DA6">
        <w:rPr>
          <w:rFonts w:ascii="Cambria" w:eastAsia="Calibri" w:hAnsi="Cambria" w:cs="Calibri"/>
          <w:spacing w:val="-1"/>
        </w:rPr>
        <w:t>a</w:t>
      </w:r>
      <w:r w:rsidRPr="009A0DA6">
        <w:rPr>
          <w:rFonts w:ascii="Cambria" w:eastAsia="Calibri" w:hAnsi="Cambria" w:cs="Calibri"/>
        </w:rPr>
        <w:t>vi</w:t>
      </w:r>
      <w:r w:rsidRPr="009A0DA6">
        <w:rPr>
          <w:rFonts w:ascii="Cambria" w:eastAsia="Calibri" w:hAnsi="Cambria" w:cs="Calibri"/>
          <w:spacing w:val="-1"/>
        </w:rPr>
        <w:t>ou</w:t>
      </w:r>
      <w:r w:rsidRPr="009A0DA6">
        <w:rPr>
          <w:rFonts w:ascii="Cambria" w:eastAsia="Calibri" w:hAnsi="Cambria" w:cs="Calibri"/>
        </w:rPr>
        <w:t>r th</w:t>
      </w:r>
      <w:r w:rsidRPr="009A0DA6">
        <w:rPr>
          <w:rFonts w:ascii="Cambria" w:eastAsia="Calibri" w:hAnsi="Cambria" w:cs="Calibri"/>
          <w:spacing w:val="-1"/>
        </w:rPr>
        <w:t>a</w:t>
      </w:r>
      <w:r w:rsidRPr="009A0DA6">
        <w:rPr>
          <w:rFonts w:ascii="Cambria" w:eastAsia="Calibri" w:hAnsi="Cambria" w:cs="Calibri"/>
        </w:rPr>
        <w:t>t</w:t>
      </w:r>
      <w:r w:rsidRPr="009A0DA6">
        <w:rPr>
          <w:rFonts w:ascii="Cambria" w:eastAsia="Calibri" w:hAnsi="Cambria" w:cs="Calibri"/>
          <w:spacing w:val="1"/>
        </w:rPr>
        <w:t xml:space="preserve"> </w:t>
      </w:r>
      <w:r w:rsidRPr="009A0DA6">
        <w:rPr>
          <w:rFonts w:ascii="Cambria" w:eastAsia="Calibri" w:hAnsi="Cambria" w:cs="Calibri"/>
        </w:rPr>
        <w:t>c</w:t>
      </w:r>
      <w:r w:rsidRPr="009A0DA6">
        <w:rPr>
          <w:rFonts w:ascii="Cambria" w:eastAsia="Calibri" w:hAnsi="Cambria" w:cs="Calibri"/>
          <w:spacing w:val="-1"/>
        </w:rPr>
        <w:t>ou</w:t>
      </w:r>
      <w:r w:rsidRPr="009A0DA6">
        <w:rPr>
          <w:rFonts w:ascii="Cambria" w:eastAsia="Calibri" w:hAnsi="Cambria" w:cs="Calibri"/>
        </w:rPr>
        <w:t>ld</w:t>
      </w:r>
      <w:r w:rsidRPr="009A0DA6">
        <w:rPr>
          <w:rFonts w:ascii="Cambria" w:eastAsia="Calibri" w:hAnsi="Cambria" w:cs="Calibri"/>
          <w:spacing w:val="-1"/>
        </w:rPr>
        <w:t xml:space="preserve"> </w:t>
      </w:r>
      <w:r w:rsidRPr="009A0DA6">
        <w:rPr>
          <w:rFonts w:ascii="Cambria" w:eastAsia="Calibri" w:hAnsi="Cambria" w:cs="Calibri"/>
        </w:rPr>
        <w:t>it</w:t>
      </w:r>
      <w:r w:rsidRPr="009A0DA6">
        <w:rPr>
          <w:rFonts w:ascii="Cambria" w:eastAsia="Calibri" w:hAnsi="Cambria" w:cs="Calibri"/>
          <w:spacing w:val="1"/>
        </w:rPr>
        <w:t>s</w:t>
      </w:r>
      <w:r w:rsidRPr="009A0DA6">
        <w:rPr>
          <w:rFonts w:ascii="Cambria" w:eastAsia="Calibri" w:hAnsi="Cambria" w:cs="Calibri"/>
        </w:rPr>
        <w:t xml:space="preserve">elf </w:t>
      </w:r>
      <w:r w:rsidRPr="009A0DA6">
        <w:rPr>
          <w:rFonts w:ascii="Cambria" w:eastAsia="Calibri" w:hAnsi="Cambria" w:cs="Calibri"/>
          <w:spacing w:val="-3"/>
        </w:rPr>
        <w:t>b</w:t>
      </w:r>
      <w:r w:rsidRPr="009A0DA6">
        <w:rPr>
          <w:rFonts w:ascii="Cambria" w:eastAsia="Calibri" w:hAnsi="Cambria" w:cs="Calibri"/>
        </w:rPr>
        <w:t>e de</w:t>
      </w:r>
      <w:r w:rsidRPr="009A0DA6">
        <w:rPr>
          <w:rFonts w:ascii="Cambria" w:eastAsia="Calibri" w:hAnsi="Cambria" w:cs="Calibri"/>
          <w:spacing w:val="-2"/>
        </w:rPr>
        <w:t>e</w:t>
      </w:r>
      <w:r w:rsidRPr="009A0DA6">
        <w:rPr>
          <w:rFonts w:ascii="Cambria" w:eastAsia="Calibri" w:hAnsi="Cambria" w:cs="Calibri"/>
        </w:rPr>
        <w:t>med</w:t>
      </w:r>
      <w:r w:rsidRPr="009A0DA6">
        <w:rPr>
          <w:rFonts w:ascii="Cambria" w:eastAsia="Calibri" w:hAnsi="Cambria" w:cs="Calibri"/>
          <w:spacing w:val="-2"/>
        </w:rPr>
        <w:t xml:space="preserve"> </w:t>
      </w:r>
      <w:r w:rsidRPr="009A0DA6">
        <w:rPr>
          <w:rFonts w:ascii="Cambria" w:eastAsia="Calibri" w:hAnsi="Cambria" w:cs="Calibri"/>
          <w:spacing w:val="1"/>
        </w:rPr>
        <w:t>t</w:t>
      </w:r>
      <w:r w:rsidRPr="009A0DA6">
        <w:rPr>
          <w:rFonts w:ascii="Cambria" w:eastAsia="Calibri" w:hAnsi="Cambria" w:cs="Calibri"/>
        </w:rPr>
        <w:t xml:space="preserve">o </w:t>
      </w:r>
      <w:r w:rsidRPr="009A0DA6">
        <w:rPr>
          <w:rFonts w:ascii="Cambria" w:eastAsia="Calibri" w:hAnsi="Cambria" w:cs="Calibri"/>
          <w:spacing w:val="-1"/>
        </w:rPr>
        <w:t>b</w:t>
      </w:r>
      <w:r w:rsidRPr="009A0DA6">
        <w:rPr>
          <w:rFonts w:ascii="Cambria" w:eastAsia="Calibri" w:hAnsi="Cambria" w:cs="Calibri"/>
        </w:rPr>
        <w:t>e a</w:t>
      </w:r>
      <w:r w:rsidRPr="009A0DA6">
        <w:rPr>
          <w:rFonts w:ascii="Cambria" w:eastAsia="Calibri" w:hAnsi="Cambria" w:cs="Calibri"/>
          <w:spacing w:val="-1"/>
        </w:rPr>
        <w:t>bu</w:t>
      </w:r>
      <w:r w:rsidRPr="009A0DA6">
        <w:rPr>
          <w:rFonts w:ascii="Cambria" w:eastAsia="Calibri" w:hAnsi="Cambria" w:cs="Calibri"/>
        </w:rPr>
        <w:t>siv</w:t>
      </w:r>
      <w:r w:rsidRPr="009A0DA6">
        <w:rPr>
          <w:rFonts w:ascii="Cambria" w:eastAsia="Calibri" w:hAnsi="Cambria" w:cs="Calibri"/>
          <w:spacing w:val="-2"/>
        </w:rPr>
        <w:t>e</w:t>
      </w:r>
      <w:r w:rsidRPr="009A0DA6">
        <w:rPr>
          <w:rFonts w:ascii="Cambria" w:eastAsia="Calibri" w:hAnsi="Cambria" w:cs="Calibri"/>
        </w:rPr>
        <w:t>, u</w:t>
      </w:r>
      <w:r w:rsidRPr="009A0DA6">
        <w:rPr>
          <w:rFonts w:ascii="Cambria" w:eastAsia="Calibri" w:hAnsi="Cambria" w:cs="Calibri"/>
          <w:spacing w:val="-1"/>
        </w:rPr>
        <w:t>n</w:t>
      </w:r>
      <w:r w:rsidRPr="009A0DA6">
        <w:rPr>
          <w:rFonts w:ascii="Cambria" w:eastAsia="Calibri" w:hAnsi="Cambria" w:cs="Calibri"/>
        </w:rPr>
        <w:t>j</w:t>
      </w:r>
      <w:r w:rsidRPr="009A0DA6">
        <w:rPr>
          <w:rFonts w:ascii="Cambria" w:eastAsia="Calibri" w:hAnsi="Cambria" w:cs="Calibri"/>
          <w:spacing w:val="-1"/>
        </w:rPr>
        <w:t>u</w:t>
      </w:r>
      <w:r w:rsidRPr="009A0DA6">
        <w:rPr>
          <w:rFonts w:ascii="Cambria" w:eastAsia="Calibri" w:hAnsi="Cambria" w:cs="Calibri"/>
        </w:rPr>
        <w:t>s</w:t>
      </w:r>
      <w:r w:rsidRPr="009A0DA6">
        <w:rPr>
          <w:rFonts w:ascii="Cambria" w:eastAsia="Calibri" w:hAnsi="Cambria" w:cs="Calibri"/>
          <w:spacing w:val="1"/>
        </w:rPr>
        <w:t>t</w:t>
      </w:r>
      <w:r w:rsidRPr="009A0DA6">
        <w:rPr>
          <w:rFonts w:ascii="Cambria" w:eastAsia="Calibri" w:hAnsi="Cambria" w:cs="Calibri"/>
        </w:rPr>
        <w:t xml:space="preserve">, </w:t>
      </w:r>
      <w:r w:rsidRPr="009A0DA6">
        <w:rPr>
          <w:rFonts w:ascii="Cambria" w:eastAsia="Calibri" w:hAnsi="Cambria" w:cs="Calibri"/>
          <w:spacing w:val="-2"/>
        </w:rPr>
        <w:t>o</w:t>
      </w:r>
      <w:r w:rsidRPr="009A0DA6">
        <w:rPr>
          <w:rFonts w:ascii="Cambria" w:eastAsia="Calibri" w:hAnsi="Cambria" w:cs="Calibri"/>
        </w:rPr>
        <w:t>r</w:t>
      </w:r>
      <w:r w:rsidRPr="009A0DA6">
        <w:rPr>
          <w:rFonts w:ascii="Cambria" w:eastAsia="Calibri" w:hAnsi="Cambria" w:cs="Calibri"/>
          <w:spacing w:val="1"/>
        </w:rPr>
        <w:t xml:space="preserve"> </w:t>
      </w:r>
      <w:r w:rsidRPr="009A0DA6">
        <w:rPr>
          <w:rFonts w:ascii="Cambria" w:eastAsia="Calibri" w:hAnsi="Cambria" w:cs="Calibri"/>
        </w:rPr>
        <w:t>at</w:t>
      </w:r>
      <w:r w:rsidRPr="009A0DA6">
        <w:rPr>
          <w:rFonts w:ascii="Cambria" w:eastAsia="Calibri" w:hAnsi="Cambria" w:cs="Calibri"/>
          <w:spacing w:val="-2"/>
        </w:rPr>
        <w:t xml:space="preserve"> </w:t>
      </w:r>
      <w:r w:rsidRPr="009A0DA6">
        <w:rPr>
          <w:rFonts w:ascii="Cambria" w:eastAsia="Calibri" w:hAnsi="Cambria" w:cs="Calibri"/>
        </w:rPr>
        <w:t>c</w:t>
      </w:r>
      <w:r w:rsidRPr="009A0DA6">
        <w:rPr>
          <w:rFonts w:ascii="Cambria" w:eastAsia="Calibri" w:hAnsi="Cambria" w:cs="Calibri"/>
          <w:spacing w:val="1"/>
        </w:rPr>
        <w:t>r</w:t>
      </w:r>
      <w:r w:rsidRPr="009A0DA6">
        <w:rPr>
          <w:rFonts w:ascii="Cambria" w:eastAsia="Calibri" w:hAnsi="Cambria" w:cs="Calibri"/>
          <w:spacing w:val="2"/>
        </w:rPr>
        <w:t>o</w:t>
      </w:r>
      <w:r w:rsidRPr="009A0DA6">
        <w:rPr>
          <w:rFonts w:ascii="Cambria" w:eastAsia="Calibri" w:hAnsi="Cambria" w:cs="Calibri"/>
        </w:rPr>
        <w:t>ss</w:t>
      </w:r>
      <w:r w:rsidRPr="009A0DA6">
        <w:rPr>
          <w:rFonts w:ascii="Cambria" w:eastAsia="Calibri" w:hAnsi="Cambria" w:cs="Calibri"/>
          <w:spacing w:val="-1"/>
        </w:rPr>
        <w:t xml:space="preserve"> </w:t>
      </w:r>
      <w:r w:rsidRPr="009A0DA6">
        <w:rPr>
          <w:rFonts w:ascii="Cambria" w:eastAsia="Calibri" w:hAnsi="Cambria" w:cs="Calibri"/>
        </w:rPr>
        <w:t>p</w:t>
      </w:r>
      <w:r w:rsidRPr="009A0DA6">
        <w:rPr>
          <w:rFonts w:ascii="Cambria" w:eastAsia="Calibri" w:hAnsi="Cambria" w:cs="Calibri"/>
          <w:spacing w:val="-1"/>
        </w:rPr>
        <w:t>u</w:t>
      </w:r>
      <w:r w:rsidRPr="009A0DA6">
        <w:rPr>
          <w:rFonts w:ascii="Cambria" w:eastAsia="Calibri" w:hAnsi="Cambria" w:cs="Calibri"/>
          <w:spacing w:val="1"/>
        </w:rPr>
        <w:t>r</w:t>
      </w:r>
      <w:r w:rsidRPr="009A0DA6">
        <w:rPr>
          <w:rFonts w:ascii="Cambria" w:eastAsia="Calibri" w:hAnsi="Cambria" w:cs="Calibri"/>
          <w:spacing w:val="-1"/>
        </w:rPr>
        <w:t>p</w:t>
      </w:r>
      <w:r w:rsidRPr="009A0DA6">
        <w:rPr>
          <w:rFonts w:ascii="Cambria" w:eastAsia="Calibri" w:hAnsi="Cambria" w:cs="Calibri"/>
        </w:rPr>
        <w:t>os</w:t>
      </w:r>
      <w:r w:rsidRPr="009A0DA6">
        <w:rPr>
          <w:rFonts w:ascii="Cambria" w:eastAsia="Calibri" w:hAnsi="Cambria" w:cs="Calibri"/>
          <w:spacing w:val="-2"/>
        </w:rPr>
        <w:t>e</w:t>
      </w:r>
      <w:r w:rsidRPr="009A0DA6">
        <w:rPr>
          <w:rFonts w:ascii="Cambria" w:eastAsia="Calibri" w:hAnsi="Cambria" w:cs="Calibri"/>
        </w:rPr>
        <w:t>s</w:t>
      </w:r>
      <w:r w:rsidRPr="009A0DA6">
        <w:rPr>
          <w:rFonts w:ascii="Cambria" w:eastAsia="Calibri" w:hAnsi="Cambria" w:cs="Calibri"/>
          <w:spacing w:val="1"/>
        </w:rPr>
        <w:t xml:space="preserve"> </w:t>
      </w:r>
      <w:r w:rsidRPr="009A0DA6">
        <w:rPr>
          <w:rFonts w:ascii="Cambria" w:eastAsia="Calibri" w:hAnsi="Cambria" w:cs="Calibri"/>
        </w:rPr>
        <w:t>w</w:t>
      </w:r>
      <w:r w:rsidRPr="009A0DA6">
        <w:rPr>
          <w:rFonts w:ascii="Cambria" w:eastAsia="Calibri" w:hAnsi="Cambria" w:cs="Calibri"/>
          <w:spacing w:val="-2"/>
        </w:rPr>
        <w:t>i</w:t>
      </w:r>
      <w:r w:rsidRPr="009A0DA6">
        <w:rPr>
          <w:rFonts w:ascii="Cambria" w:eastAsia="Calibri" w:hAnsi="Cambria" w:cs="Calibri"/>
        </w:rPr>
        <w:t>th 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2"/>
        </w:rPr>
        <w:t xml:space="preserve"> </w:t>
      </w:r>
      <w:r w:rsidR="00336CE0" w:rsidRPr="009A0DA6">
        <w:rPr>
          <w:rFonts w:ascii="Cambria" w:eastAsia="Calibri" w:hAnsi="Cambria" w:cs="Calibri"/>
        </w:rPr>
        <w:t>church</w:t>
      </w:r>
      <w:r w:rsidRPr="009A0DA6">
        <w:rPr>
          <w:rFonts w:ascii="Cambria" w:eastAsia="Calibri" w:hAnsi="Cambria" w:cs="Calibri"/>
        </w:rPr>
        <w:t>’s</w:t>
      </w:r>
      <w:r w:rsidRPr="009A0DA6">
        <w:rPr>
          <w:rFonts w:ascii="Cambria" w:eastAsia="Calibri" w:hAnsi="Cambria" w:cs="Calibri"/>
          <w:spacing w:val="1"/>
        </w:rPr>
        <w:t xml:space="preserve"> </w:t>
      </w:r>
      <w:r w:rsidRPr="009A0DA6">
        <w:rPr>
          <w:rFonts w:ascii="Cambria" w:eastAsia="Calibri" w:hAnsi="Cambria" w:cs="Calibri"/>
        </w:rPr>
        <w:t>c</w:t>
      </w:r>
      <w:r w:rsidRPr="009A0DA6">
        <w:rPr>
          <w:rFonts w:ascii="Cambria" w:eastAsia="Calibri" w:hAnsi="Cambria" w:cs="Calibri"/>
          <w:spacing w:val="-1"/>
        </w:rPr>
        <w:t>or</w:t>
      </w:r>
      <w:r w:rsidRPr="009A0DA6">
        <w:rPr>
          <w:rFonts w:ascii="Cambria" w:eastAsia="Calibri" w:hAnsi="Cambria" w:cs="Calibri"/>
        </w:rPr>
        <w:t>e b</w:t>
      </w:r>
      <w:r w:rsidRPr="009A0DA6">
        <w:rPr>
          <w:rFonts w:ascii="Cambria" w:eastAsia="Calibri" w:hAnsi="Cambria" w:cs="Calibri"/>
          <w:spacing w:val="-1"/>
        </w:rPr>
        <w:t>u</w:t>
      </w:r>
      <w:r w:rsidRPr="009A0DA6">
        <w:rPr>
          <w:rFonts w:ascii="Cambria" w:eastAsia="Calibri" w:hAnsi="Cambria" w:cs="Calibri"/>
        </w:rPr>
        <w:t>sine</w:t>
      </w:r>
      <w:r w:rsidRPr="009A0DA6">
        <w:rPr>
          <w:rFonts w:ascii="Cambria" w:eastAsia="Calibri" w:hAnsi="Cambria" w:cs="Calibri"/>
          <w:spacing w:val="-2"/>
        </w:rPr>
        <w:t>s</w:t>
      </w:r>
      <w:r w:rsidRPr="009A0DA6">
        <w:rPr>
          <w:rFonts w:ascii="Cambria" w:eastAsia="Calibri" w:hAnsi="Cambria" w:cs="Calibri"/>
        </w:rPr>
        <w:t>s</w:t>
      </w:r>
      <w:r w:rsidRPr="009A0DA6">
        <w:rPr>
          <w:rFonts w:ascii="Cambria" w:eastAsia="Calibri" w:hAnsi="Cambria" w:cs="Calibri"/>
          <w:spacing w:val="1"/>
        </w:rPr>
        <w:t xml:space="preserve"> </w:t>
      </w:r>
      <w:r w:rsidRPr="009A0DA6">
        <w:rPr>
          <w:rFonts w:ascii="Cambria" w:eastAsia="Calibri" w:hAnsi="Cambria" w:cs="Calibri"/>
        </w:rPr>
        <w:t>of</w:t>
      </w:r>
      <w:r w:rsidRPr="009A0DA6">
        <w:rPr>
          <w:rFonts w:ascii="Cambria" w:eastAsia="Calibri" w:hAnsi="Cambria" w:cs="Calibri"/>
          <w:spacing w:val="1"/>
        </w:rPr>
        <w:t xml:space="preserve"> </w:t>
      </w:r>
      <w:r w:rsidRPr="009A0DA6">
        <w:rPr>
          <w:rFonts w:ascii="Cambria" w:eastAsia="Calibri" w:hAnsi="Cambria" w:cs="Calibri"/>
          <w:spacing w:val="-3"/>
        </w:rPr>
        <w:t>p</w:t>
      </w:r>
      <w:r w:rsidRPr="009A0DA6">
        <w:rPr>
          <w:rFonts w:ascii="Cambria" w:eastAsia="Calibri" w:hAnsi="Cambria" w:cs="Calibri"/>
          <w:spacing w:val="1"/>
        </w:rPr>
        <w:t>r</w:t>
      </w:r>
      <w:r w:rsidRPr="009A0DA6">
        <w:rPr>
          <w:rFonts w:ascii="Cambria" w:eastAsia="Calibri" w:hAnsi="Cambria" w:cs="Calibri"/>
        </w:rPr>
        <w:t>o</w:t>
      </w:r>
      <w:r w:rsidRPr="009A0DA6">
        <w:rPr>
          <w:rFonts w:ascii="Cambria" w:eastAsia="Calibri" w:hAnsi="Cambria" w:cs="Calibri"/>
          <w:spacing w:val="-1"/>
        </w:rPr>
        <w:t>c</w:t>
      </w:r>
      <w:r w:rsidRPr="009A0DA6">
        <w:rPr>
          <w:rFonts w:ascii="Cambria" w:eastAsia="Calibri" w:hAnsi="Cambria" w:cs="Calibri"/>
        </w:rPr>
        <w:t>l</w:t>
      </w:r>
      <w:r w:rsidRPr="009A0DA6">
        <w:rPr>
          <w:rFonts w:ascii="Cambria" w:eastAsia="Calibri" w:hAnsi="Cambria" w:cs="Calibri"/>
          <w:spacing w:val="-1"/>
        </w:rPr>
        <w:t>a</w:t>
      </w:r>
      <w:r w:rsidRPr="009A0DA6">
        <w:rPr>
          <w:rFonts w:ascii="Cambria" w:eastAsia="Calibri" w:hAnsi="Cambria" w:cs="Calibri"/>
        </w:rPr>
        <w:t>imi</w:t>
      </w:r>
      <w:r w:rsidRPr="009A0DA6">
        <w:rPr>
          <w:rFonts w:ascii="Cambria" w:eastAsia="Calibri" w:hAnsi="Cambria" w:cs="Calibri"/>
          <w:spacing w:val="-1"/>
        </w:rPr>
        <w:t>n</w:t>
      </w:r>
      <w:r w:rsidRPr="009A0DA6">
        <w:rPr>
          <w:rFonts w:ascii="Cambria" w:eastAsia="Calibri" w:hAnsi="Cambria" w:cs="Calibri"/>
        </w:rPr>
        <w:t xml:space="preserve">g </w:t>
      </w:r>
      <w:r w:rsidRPr="009A0DA6">
        <w:rPr>
          <w:rFonts w:ascii="Cambria" w:eastAsia="Calibri" w:hAnsi="Cambria" w:cs="Calibri"/>
          <w:spacing w:val="-1"/>
        </w:rPr>
        <w:t>an</w:t>
      </w:r>
      <w:r w:rsidRPr="009A0DA6">
        <w:rPr>
          <w:rFonts w:ascii="Cambria" w:eastAsia="Calibri" w:hAnsi="Cambria" w:cs="Calibri"/>
        </w:rPr>
        <w:t>d</w:t>
      </w:r>
      <w:r w:rsidRPr="009A0DA6">
        <w:rPr>
          <w:rFonts w:ascii="Cambria" w:eastAsia="Calibri" w:hAnsi="Cambria" w:cs="Calibri"/>
          <w:spacing w:val="-1"/>
        </w:rPr>
        <w:t xml:space="preserve"> </w:t>
      </w:r>
      <w:r w:rsidRPr="009A0DA6">
        <w:rPr>
          <w:rFonts w:ascii="Cambria" w:eastAsia="Calibri" w:hAnsi="Cambria" w:cs="Calibri"/>
        </w:rPr>
        <w:t>en</w:t>
      </w:r>
      <w:r w:rsidRPr="009A0DA6">
        <w:rPr>
          <w:rFonts w:ascii="Cambria" w:eastAsia="Calibri" w:hAnsi="Cambria" w:cs="Calibri"/>
          <w:spacing w:val="-1"/>
        </w:rPr>
        <w:t>a</w:t>
      </w:r>
      <w:r w:rsidRPr="009A0DA6">
        <w:rPr>
          <w:rFonts w:ascii="Cambria" w:eastAsia="Calibri" w:hAnsi="Cambria" w:cs="Calibri"/>
        </w:rPr>
        <w:t>cti</w:t>
      </w:r>
      <w:r w:rsidRPr="009A0DA6">
        <w:rPr>
          <w:rFonts w:ascii="Cambria" w:eastAsia="Calibri" w:hAnsi="Cambria" w:cs="Calibri"/>
          <w:spacing w:val="-1"/>
        </w:rPr>
        <w:t>n</w:t>
      </w:r>
      <w:r w:rsidRPr="009A0DA6">
        <w:rPr>
          <w:rFonts w:ascii="Cambria" w:eastAsia="Calibri" w:hAnsi="Cambria" w:cs="Calibri"/>
        </w:rPr>
        <w:t>g</w:t>
      </w:r>
      <w:r w:rsidRPr="009A0DA6">
        <w:rPr>
          <w:rFonts w:ascii="Cambria" w:eastAsia="Calibri" w:hAnsi="Cambria" w:cs="Calibri"/>
          <w:spacing w:val="-1"/>
        </w:rPr>
        <w:t xml:space="preserve">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rPr>
        <w:t>Gos</w:t>
      </w:r>
      <w:r w:rsidRPr="009A0DA6">
        <w:rPr>
          <w:rFonts w:ascii="Cambria" w:eastAsia="Calibri" w:hAnsi="Cambria" w:cs="Calibri"/>
          <w:spacing w:val="-1"/>
        </w:rPr>
        <w:t>p</w:t>
      </w:r>
      <w:r w:rsidRPr="009A0DA6">
        <w:rPr>
          <w:rFonts w:ascii="Cambria" w:eastAsia="Calibri" w:hAnsi="Cambria" w:cs="Calibri"/>
        </w:rPr>
        <w:t>el.</w:t>
      </w:r>
      <w:r w:rsidRPr="009A0DA6">
        <w:rPr>
          <w:rFonts w:ascii="Cambria" w:eastAsia="Calibri" w:hAnsi="Cambria" w:cs="Calibri"/>
          <w:spacing w:val="-2"/>
        </w:rPr>
        <w:t xml:space="preserve"> </w:t>
      </w:r>
      <w:r w:rsidRPr="009A0DA6">
        <w:rPr>
          <w:rFonts w:ascii="Cambria" w:eastAsia="Calibri" w:hAnsi="Cambria" w:cs="Calibri"/>
          <w:spacing w:val="-1"/>
        </w:rPr>
        <w:t>Su</w:t>
      </w:r>
      <w:r w:rsidRPr="009A0DA6">
        <w:rPr>
          <w:rFonts w:ascii="Cambria" w:eastAsia="Calibri" w:hAnsi="Cambria" w:cs="Calibri"/>
        </w:rPr>
        <w:t>ch</w:t>
      </w:r>
      <w:r w:rsidRPr="009A0DA6">
        <w:rPr>
          <w:rFonts w:ascii="Cambria" w:eastAsia="Calibri" w:hAnsi="Cambria" w:cs="Calibri"/>
          <w:spacing w:val="-1"/>
        </w:rPr>
        <w:t xml:space="preserve"> </w:t>
      </w:r>
      <w:r w:rsidRPr="009A0DA6">
        <w:rPr>
          <w:rFonts w:ascii="Cambria" w:eastAsia="Calibri" w:hAnsi="Cambria" w:cs="Calibri"/>
        </w:rPr>
        <w:t>co</w:t>
      </w:r>
      <w:r w:rsidRPr="009A0DA6">
        <w:rPr>
          <w:rFonts w:ascii="Cambria" w:eastAsia="Calibri" w:hAnsi="Cambria" w:cs="Calibri"/>
          <w:spacing w:val="-1"/>
        </w:rPr>
        <w:t>n</w:t>
      </w:r>
      <w:r w:rsidRPr="009A0DA6">
        <w:rPr>
          <w:rFonts w:ascii="Cambria" w:eastAsia="Calibri" w:hAnsi="Cambria" w:cs="Calibri"/>
        </w:rPr>
        <w:t>cerns,</w:t>
      </w:r>
      <w:r w:rsidRPr="009A0DA6">
        <w:rPr>
          <w:rFonts w:ascii="Cambria" w:eastAsia="Calibri" w:hAnsi="Cambria" w:cs="Calibri"/>
          <w:spacing w:val="1"/>
        </w:rPr>
        <w:t xml:space="preserve"> </w:t>
      </w:r>
      <w:r w:rsidRPr="009A0DA6">
        <w:rPr>
          <w:rFonts w:ascii="Cambria" w:eastAsia="Calibri" w:hAnsi="Cambria" w:cs="Calibri"/>
        </w:rPr>
        <w:t>wh</w:t>
      </w:r>
      <w:r w:rsidRPr="009A0DA6">
        <w:rPr>
          <w:rFonts w:ascii="Cambria" w:eastAsia="Calibri" w:hAnsi="Cambria" w:cs="Calibri"/>
          <w:spacing w:val="-2"/>
        </w:rPr>
        <w:t>e</w:t>
      </w:r>
      <w:r w:rsidRPr="009A0DA6">
        <w:rPr>
          <w:rFonts w:ascii="Cambria" w:eastAsia="Calibri" w:hAnsi="Cambria" w:cs="Calibri"/>
        </w:rPr>
        <w:t>ther</w:t>
      </w:r>
      <w:r w:rsidRPr="009A0DA6">
        <w:rPr>
          <w:rFonts w:ascii="Cambria" w:eastAsia="Calibri" w:hAnsi="Cambria" w:cs="Calibri"/>
          <w:spacing w:val="-1"/>
        </w:rPr>
        <w:t xml:space="preserve">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ey</w:t>
      </w:r>
      <w:r w:rsidRPr="009A0DA6">
        <w:rPr>
          <w:rFonts w:ascii="Cambria" w:eastAsia="Calibri" w:hAnsi="Cambria" w:cs="Calibri"/>
          <w:spacing w:val="-2"/>
        </w:rPr>
        <w:t xml:space="preserve"> </w:t>
      </w:r>
      <w:r w:rsidRPr="009A0DA6">
        <w:rPr>
          <w:rFonts w:ascii="Cambria" w:eastAsia="Calibri" w:hAnsi="Cambria" w:cs="Calibri"/>
        </w:rPr>
        <w:t>a</w:t>
      </w:r>
      <w:r w:rsidRPr="009A0DA6">
        <w:rPr>
          <w:rFonts w:ascii="Cambria" w:eastAsia="Calibri" w:hAnsi="Cambria" w:cs="Calibri"/>
          <w:spacing w:val="1"/>
        </w:rPr>
        <w:t>r</w:t>
      </w:r>
      <w:r w:rsidRPr="009A0DA6">
        <w:rPr>
          <w:rFonts w:ascii="Cambria" w:eastAsia="Calibri" w:hAnsi="Cambria" w:cs="Calibri"/>
        </w:rPr>
        <w:t>e</w:t>
      </w:r>
      <w:r w:rsidRPr="009A0DA6">
        <w:rPr>
          <w:rFonts w:ascii="Cambria" w:eastAsia="Calibri" w:hAnsi="Cambria" w:cs="Calibri"/>
          <w:spacing w:val="-2"/>
        </w:rPr>
        <w:t xml:space="preserve"> </w:t>
      </w:r>
      <w:r w:rsidRPr="009A0DA6">
        <w:rPr>
          <w:rFonts w:ascii="Cambria" w:eastAsia="Calibri" w:hAnsi="Cambria" w:cs="Calibri"/>
        </w:rPr>
        <w:t xml:space="preserve">well </w:t>
      </w:r>
      <w:r w:rsidRPr="009A0DA6">
        <w:rPr>
          <w:rFonts w:ascii="Cambria" w:eastAsia="Calibri" w:hAnsi="Cambria" w:cs="Calibri"/>
          <w:spacing w:val="-3"/>
        </w:rPr>
        <w:t>g</w:t>
      </w:r>
      <w:r w:rsidRPr="009A0DA6">
        <w:rPr>
          <w:rFonts w:ascii="Cambria" w:eastAsia="Calibri" w:hAnsi="Cambria" w:cs="Calibri"/>
          <w:spacing w:val="1"/>
        </w:rPr>
        <w:t>r</w:t>
      </w:r>
      <w:r w:rsidRPr="009A0DA6">
        <w:rPr>
          <w:rFonts w:ascii="Cambria" w:eastAsia="Calibri" w:hAnsi="Cambria" w:cs="Calibri"/>
        </w:rPr>
        <w:t>o</w:t>
      </w:r>
      <w:r w:rsidRPr="009A0DA6">
        <w:rPr>
          <w:rFonts w:ascii="Cambria" w:eastAsia="Calibri" w:hAnsi="Cambria" w:cs="Calibri"/>
          <w:spacing w:val="-1"/>
        </w:rPr>
        <w:t>und</w:t>
      </w:r>
      <w:r w:rsidRPr="009A0DA6">
        <w:rPr>
          <w:rFonts w:ascii="Cambria" w:eastAsia="Calibri" w:hAnsi="Cambria" w:cs="Calibri"/>
        </w:rPr>
        <w:t>ed or</w:t>
      </w:r>
      <w:r w:rsidRPr="009A0DA6">
        <w:rPr>
          <w:rFonts w:ascii="Cambria" w:eastAsia="Calibri" w:hAnsi="Cambria" w:cs="Calibri"/>
          <w:spacing w:val="1"/>
        </w:rPr>
        <w:t xml:space="preserve"> </w:t>
      </w:r>
      <w:r w:rsidRPr="009A0DA6">
        <w:rPr>
          <w:rFonts w:ascii="Cambria" w:eastAsia="Calibri" w:hAnsi="Cambria" w:cs="Calibri"/>
          <w:spacing w:val="-1"/>
        </w:rPr>
        <w:t>n</w:t>
      </w:r>
      <w:r w:rsidRPr="009A0DA6">
        <w:rPr>
          <w:rFonts w:ascii="Cambria" w:eastAsia="Calibri" w:hAnsi="Cambria" w:cs="Calibri"/>
        </w:rPr>
        <w:t>ot,</w:t>
      </w:r>
      <w:r w:rsidRPr="009A0DA6">
        <w:rPr>
          <w:rFonts w:ascii="Cambria" w:eastAsia="Calibri" w:hAnsi="Cambria" w:cs="Calibri"/>
          <w:spacing w:val="-4"/>
        </w:rPr>
        <w:t xml:space="preserve"> </w:t>
      </w:r>
      <w:r w:rsidRPr="009A0DA6">
        <w:rPr>
          <w:rFonts w:ascii="Cambria" w:eastAsia="Calibri" w:hAnsi="Cambria" w:cs="Calibri"/>
          <w:spacing w:val="-1"/>
        </w:rPr>
        <w:t>ha</w:t>
      </w:r>
      <w:r w:rsidRPr="009A0DA6">
        <w:rPr>
          <w:rFonts w:ascii="Cambria" w:eastAsia="Calibri" w:hAnsi="Cambria" w:cs="Calibri"/>
        </w:rPr>
        <w:t>ve h</w:t>
      </w:r>
      <w:r w:rsidRPr="009A0DA6">
        <w:rPr>
          <w:rFonts w:ascii="Cambria" w:eastAsia="Calibri" w:hAnsi="Cambria" w:cs="Calibri"/>
          <w:spacing w:val="-1"/>
        </w:rPr>
        <w:t>a</w:t>
      </w:r>
      <w:r w:rsidRPr="009A0DA6">
        <w:rPr>
          <w:rFonts w:ascii="Cambria" w:eastAsia="Calibri" w:hAnsi="Cambria" w:cs="Calibri"/>
          <w:spacing w:val="1"/>
        </w:rPr>
        <w:t>r</w:t>
      </w:r>
      <w:r w:rsidRPr="009A0DA6">
        <w:rPr>
          <w:rFonts w:ascii="Cambria" w:eastAsia="Calibri" w:hAnsi="Cambria" w:cs="Calibri"/>
        </w:rPr>
        <w:t>med</w:t>
      </w:r>
      <w:r w:rsidRPr="009A0DA6">
        <w:rPr>
          <w:rFonts w:ascii="Cambria" w:eastAsia="Calibri" w:hAnsi="Cambria" w:cs="Calibri"/>
          <w:spacing w:val="-2"/>
        </w:rPr>
        <w:t xml:space="preserve">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2"/>
        </w:rPr>
        <w:t xml:space="preserve"> </w:t>
      </w:r>
      <w:r w:rsidRPr="009A0DA6">
        <w:rPr>
          <w:rFonts w:ascii="Cambria" w:eastAsia="Calibri" w:hAnsi="Cambria" w:cs="Calibri"/>
          <w:spacing w:val="1"/>
        </w:rPr>
        <w:t>P</w:t>
      </w:r>
      <w:r w:rsidRPr="009A0DA6">
        <w:rPr>
          <w:rFonts w:ascii="Cambria" w:eastAsia="Calibri" w:hAnsi="Cambria" w:cs="Calibri"/>
          <w:spacing w:val="-1"/>
        </w:rPr>
        <w:t>S</w:t>
      </w:r>
      <w:r w:rsidRPr="009A0DA6">
        <w:rPr>
          <w:rFonts w:ascii="Cambria" w:eastAsia="Calibri" w:hAnsi="Cambria" w:cs="Calibri"/>
          <w:spacing w:val="1"/>
        </w:rPr>
        <w:t>D</w:t>
      </w:r>
      <w:r w:rsidRPr="009A0DA6">
        <w:rPr>
          <w:rFonts w:ascii="Cambria" w:eastAsia="Calibri" w:hAnsi="Cambria" w:cs="Calibri"/>
        </w:rPr>
        <w:t>’s</w:t>
      </w:r>
      <w:r w:rsidRPr="009A0DA6">
        <w:rPr>
          <w:rFonts w:ascii="Cambria" w:eastAsia="Calibri" w:hAnsi="Cambria" w:cs="Calibri"/>
          <w:spacing w:val="-2"/>
        </w:rPr>
        <w:t xml:space="preserve"> </w:t>
      </w:r>
      <w:r w:rsidRPr="009A0DA6">
        <w:rPr>
          <w:rFonts w:ascii="Cambria" w:eastAsia="Calibri" w:hAnsi="Cambria" w:cs="Calibri"/>
          <w:spacing w:val="1"/>
        </w:rPr>
        <w:t>r</w:t>
      </w:r>
      <w:r w:rsidRPr="009A0DA6">
        <w:rPr>
          <w:rFonts w:ascii="Cambria" w:eastAsia="Calibri" w:hAnsi="Cambria" w:cs="Calibri"/>
        </w:rPr>
        <w:t>e</w:t>
      </w:r>
      <w:r w:rsidRPr="009A0DA6">
        <w:rPr>
          <w:rFonts w:ascii="Cambria" w:eastAsia="Calibri" w:hAnsi="Cambria" w:cs="Calibri"/>
          <w:spacing w:val="-3"/>
        </w:rPr>
        <w:t>p</w:t>
      </w:r>
      <w:r w:rsidRPr="009A0DA6">
        <w:rPr>
          <w:rFonts w:ascii="Cambria" w:eastAsia="Calibri" w:hAnsi="Cambria" w:cs="Calibri"/>
          <w:spacing w:val="-1"/>
        </w:rPr>
        <w:t>u</w:t>
      </w:r>
      <w:r w:rsidRPr="009A0DA6">
        <w:rPr>
          <w:rFonts w:ascii="Cambria" w:eastAsia="Calibri" w:hAnsi="Cambria" w:cs="Calibri"/>
        </w:rPr>
        <w:t>tati</w:t>
      </w:r>
      <w:r w:rsidRPr="009A0DA6">
        <w:rPr>
          <w:rFonts w:ascii="Cambria" w:eastAsia="Calibri" w:hAnsi="Cambria" w:cs="Calibri"/>
          <w:spacing w:val="-1"/>
        </w:rPr>
        <w:t>o</w:t>
      </w:r>
      <w:r w:rsidRPr="009A0DA6">
        <w:rPr>
          <w:rFonts w:ascii="Cambria" w:eastAsia="Calibri" w:hAnsi="Cambria" w:cs="Calibri"/>
        </w:rPr>
        <w:t xml:space="preserve">n </w:t>
      </w:r>
      <w:r w:rsidRPr="009A0DA6">
        <w:rPr>
          <w:rFonts w:ascii="Cambria" w:eastAsia="Calibri" w:hAnsi="Cambria" w:cs="Calibri"/>
          <w:spacing w:val="-1"/>
        </w:rPr>
        <w:t>an</w:t>
      </w:r>
      <w:r w:rsidRPr="009A0DA6">
        <w:rPr>
          <w:rFonts w:ascii="Cambria" w:eastAsia="Calibri" w:hAnsi="Cambria" w:cs="Calibri"/>
        </w:rPr>
        <w:t>d peo</w:t>
      </w:r>
      <w:r w:rsidRPr="009A0DA6">
        <w:rPr>
          <w:rFonts w:ascii="Cambria" w:eastAsia="Calibri" w:hAnsi="Cambria" w:cs="Calibri"/>
          <w:spacing w:val="-1"/>
        </w:rPr>
        <w:t>p</w:t>
      </w:r>
      <w:r w:rsidRPr="009A0DA6">
        <w:rPr>
          <w:rFonts w:ascii="Cambria" w:eastAsia="Calibri" w:hAnsi="Cambria" w:cs="Calibri"/>
        </w:rPr>
        <w:t>le’s</w:t>
      </w:r>
      <w:r w:rsidRPr="009A0DA6">
        <w:rPr>
          <w:rFonts w:ascii="Cambria" w:eastAsia="Calibri" w:hAnsi="Cambria" w:cs="Calibri"/>
          <w:spacing w:val="1"/>
        </w:rPr>
        <w:t xml:space="preserve"> </w:t>
      </w:r>
      <w:r w:rsidRPr="009A0DA6">
        <w:rPr>
          <w:rFonts w:ascii="Cambria" w:eastAsia="Calibri" w:hAnsi="Cambria" w:cs="Calibri"/>
        </w:rPr>
        <w:t>c</w:t>
      </w:r>
      <w:r w:rsidRPr="009A0DA6">
        <w:rPr>
          <w:rFonts w:ascii="Cambria" w:eastAsia="Calibri" w:hAnsi="Cambria" w:cs="Calibri"/>
          <w:spacing w:val="-1"/>
        </w:rPr>
        <w:t>on</w:t>
      </w:r>
      <w:r w:rsidRPr="009A0DA6">
        <w:rPr>
          <w:rFonts w:ascii="Cambria" w:eastAsia="Calibri" w:hAnsi="Cambria" w:cs="Calibri"/>
        </w:rPr>
        <w:t>fi</w:t>
      </w:r>
      <w:r w:rsidRPr="009A0DA6">
        <w:rPr>
          <w:rFonts w:ascii="Cambria" w:eastAsia="Calibri" w:hAnsi="Cambria" w:cs="Calibri"/>
          <w:spacing w:val="-1"/>
        </w:rPr>
        <w:t>d</w:t>
      </w:r>
      <w:r w:rsidRPr="009A0DA6">
        <w:rPr>
          <w:rFonts w:ascii="Cambria" w:eastAsia="Calibri" w:hAnsi="Cambria" w:cs="Calibri"/>
        </w:rPr>
        <w:t>en</w:t>
      </w:r>
      <w:r w:rsidRPr="009A0DA6">
        <w:rPr>
          <w:rFonts w:ascii="Cambria" w:eastAsia="Calibri" w:hAnsi="Cambria" w:cs="Calibri"/>
          <w:spacing w:val="-1"/>
        </w:rPr>
        <w:t>c</w:t>
      </w:r>
      <w:r w:rsidRPr="009A0DA6">
        <w:rPr>
          <w:rFonts w:ascii="Cambria" w:eastAsia="Calibri" w:hAnsi="Cambria" w:cs="Calibri"/>
        </w:rPr>
        <w:t xml:space="preserve">e in </w:t>
      </w:r>
      <w:r w:rsidRPr="009A0DA6">
        <w:rPr>
          <w:rFonts w:ascii="Cambria" w:eastAsia="Calibri" w:hAnsi="Cambria" w:cs="Calibri"/>
          <w:spacing w:val="-3"/>
        </w:rPr>
        <w:t>i</w:t>
      </w:r>
      <w:r w:rsidRPr="009A0DA6">
        <w:rPr>
          <w:rFonts w:ascii="Cambria" w:eastAsia="Calibri" w:hAnsi="Cambria" w:cs="Calibri"/>
        </w:rPr>
        <w:t xml:space="preserve">t. </w:t>
      </w:r>
      <w:r w:rsidRPr="009A0DA6">
        <w:rPr>
          <w:rFonts w:ascii="Cambria" w:eastAsia="Calibri" w:hAnsi="Cambria" w:cs="Calibri"/>
          <w:spacing w:val="1"/>
        </w:rPr>
        <w:t>S</w:t>
      </w:r>
      <w:r w:rsidRPr="009A0DA6">
        <w:rPr>
          <w:rFonts w:ascii="Cambria" w:eastAsia="Calibri" w:hAnsi="Cambria" w:cs="Calibri"/>
        </w:rPr>
        <w:t>i</w:t>
      </w:r>
      <w:r w:rsidRPr="009A0DA6">
        <w:rPr>
          <w:rFonts w:ascii="Cambria" w:eastAsia="Calibri" w:hAnsi="Cambria" w:cs="Calibri"/>
          <w:spacing w:val="-1"/>
        </w:rPr>
        <w:t>n</w:t>
      </w:r>
      <w:r w:rsidRPr="009A0DA6">
        <w:rPr>
          <w:rFonts w:ascii="Cambria" w:eastAsia="Calibri" w:hAnsi="Cambria" w:cs="Calibri"/>
        </w:rPr>
        <w:t>ce</w:t>
      </w:r>
      <w:r w:rsidRPr="009A0DA6">
        <w:rPr>
          <w:rFonts w:ascii="Cambria" w:eastAsia="Calibri" w:hAnsi="Cambria" w:cs="Calibri"/>
          <w:spacing w:val="-2"/>
        </w:rPr>
        <w:t xml:space="preserve"> </w:t>
      </w:r>
      <w:r w:rsidRPr="009A0DA6">
        <w:rPr>
          <w:rFonts w:ascii="Cambria" w:eastAsia="Calibri" w:hAnsi="Cambria" w:cs="Calibri"/>
        </w:rPr>
        <w:t>mu</w:t>
      </w:r>
      <w:r w:rsidRPr="009A0DA6">
        <w:rPr>
          <w:rFonts w:ascii="Cambria" w:eastAsia="Calibri" w:hAnsi="Cambria" w:cs="Calibri"/>
          <w:spacing w:val="-1"/>
        </w:rPr>
        <w:t>c</w:t>
      </w:r>
      <w:r w:rsidRPr="009A0DA6">
        <w:rPr>
          <w:rFonts w:ascii="Cambria" w:eastAsia="Calibri" w:hAnsi="Cambria" w:cs="Calibri"/>
        </w:rPr>
        <w:t xml:space="preserve">h of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e b</w:t>
      </w:r>
      <w:r w:rsidRPr="009A0DA6">
        <w:rPr>
          <w:rFonts w:ascii="Cambria" w:eastAsia="Calibri" w:hAnsi="Cambria" w:cs="Calibri"/>
          <w:spacing w:val="-1"/>
        </w:rPr>
        <w:t>u</w:t>
      </w:r>
      <w:r w:rsidRPr="009A0DA6">
        <w:rPr>
          <w:rFonts w:ascii="Cambria" w:eastAsia="Calibri" w:hAnsi="Cambria" w:cs="Calibri"/>
        </w:rPr>
        <w:t>si</w:t>
      </w:r>
      <w:r w:rsidRPr="009A0DA6">
        <w:rPr>
          <w:rFonts w:ascii="Cambria" w:eastAsia="Calibri" w:hAnsi="Cambria" w:cs="Calibri"/>
          <w:spacing w:val="-3"/>
        </w:rPr>
        <w:t>n</w:t>
      </w:r>
      <w:r w:rsidRPr="009A0DA6">
        <w:rPr>
          <w:rFonts w:ascii="Cambria" w:eastAsia="Calibri" w:hAnsi="Cambria" w:cs="Calibri"/>
          <w:spacing w:val="-2"/>
        </w:rPr>
        <w:t>e</w:t>
      </w:r>
      <w:r w:rsidRPr="009A0DA6">
        <w:rPr>
          <w:rFonts w:ascii="Cambria" w:eastAsia="Calibri" w:hAnsi="Cambria" w:cs="Calibri"/>
        </w:rPr>
        <w:t>ss</w:t>
      </w:r>
      <w:r w:rsidRPr="009A0DA6">
        <w:rPr>
          <w:rFonts w:ascii="Cambria" w:eastAsia="Calibri" w:hAnsi="Cambria" w:cs="Calibri"/>
          <w:spacing w:val="1"/>
        </w:rPr>
        <w:t xml:space="preserve"> </w:t>
      </w:r>
      <w:r w:rsidRPr="009A0DA6">
        <w:rPr>
          <w:rFonts w:ascii="Cambria" w:eastAsia="Calibri" w:hAnsi="Cambria" w:cs="Calibri"/>
        </w:rPr>
        <w:t xml:space="preserve">of </w:t>
      </w:r>
      <w:r w:rsidRPr="009A0DA6">
        <w:rPr>
          <w:rFonts w:ascii="Cambria" w:eastAsia="Calibri" w:hAnsi="Cambria" w:cs="Calibri"/>
          <w:spacing w:val="1"/>
        </w:rPr>
        <w:t>t</w:t>
      </w:r>
      <w:r w:rsidRPr="009A0DA6">
        <w:rPr>
          <w:rFonts w:ascii="Cambria" w:eastAsia="Calibri" w:hAnsi="Cambria" w:cs="Calibri"/>
          <w:spacing w:val="-3"/>
        </w:rPr>
        <w:t>h</w:t>
      </w:r>
      <w:r w:rsidRPr="009A0DA6">
        <w:rPr>
          <w:rFonts w:ascii="Cambria" w:eastAsia="Calibri" w:hAnsi="Cambria" w:cs="Calibri"/>
        </w:rPr>
        <w:t xml:space="preserve">e </w:t>
      </w:r>
      <w:r w:rsidRPr="009A0DA6">
        <w:rPr>
          <w:rFonts w:ascii="Cambria" w:eastAsia="Calibri" w:hAnsi="Cambria" w:cs="Calibri"/>
          <w:spacing w:val="-1"/>
        </w:rPr>
        <w:t>PS</w:t>
      </w:r>
      <w:r w:rsidRPr="009A0DA6">
        <w:rPr>
          <w:rFonts w:ascii="Cambria" w:eastAsia="Calibri" w:hAnsi="Cambria" w:cs="Calibri"/>
        </w:rPr>
        <w:t>D</w:t>
      </w:r>
      <w:r w:rsidRPr="009A0DA6">
        <w:rPr>
          <w:rFonts w:ascii="Cambria" w:eastAsia="Calibri" w:hAnsi="Cambria" w:cs="Calibri"/>
          <w:spacing w:val="1"/>
        </w:rPr>
        <w:t xml:space="preserve"> </w:t>
      </w:r>
      <w:r w:rsidRPr="009A0DA6">
        <w:rPr>
          <w:rFonts w:ascii="Cambria" w:eastAsia="Calibri" w:hAnsi="Cambria" w:cs="Calibri"/>
        </w:rPr>
        <w:t>is</w:t>
      </w:r>
      <w:r w:rsidRPr="009A0DA6">
        <w:rPr>
          <w:rFonts w:ascii="Cambria" w:eastAsia="Calibri" w:hAnsi="Cambria" w:cs="Calibri"/>
          <w:spacing w:val="1"/>
        </w:rPr>
        <w:t xml:space="preserve"> </w:t>
      </w:r>
      <w:r w:rsidRPr="009A0DA6">
        <w:rPr>
          <w:rFonts w:ascii="Cambria" w:eastAsia="Calibri" w:hAnsi="Cambria" w:cs="Calibri"/>
        </w:rPr>
        <w:t>c</w:t>
      </w:r>
      <w:r w:rsidRPr="009A0DA6">
        <w:rPr>
          <w:rFonts w:ascii="Cambria" w:eastAsia="Calibri" w:hAnsi="Cambria" w:cs="Calibri"/>
          <w:spacing w:val="-1"/>
        </w:rPr>
        <w:t>on</w:t>
      </w:r>
      <w:r w:rsidRPr="009A0DA6">
        <w:rPr>
          <w:rFonts w:ascii="Cambria" w:eastAsia="Calibri" w:hAnsi="Cambria" w:cs="Calibri"/>
        </w:rPr>
        <w:t>fi</w:t>
      </w:r>
      <w:r w:rsidRPr="009A0DA6">
        <w:rPr>
          <w:rFonts w:ascii="Cambria" w:eastAsia="Calibri" w:hAnsi="Cambria" w:cs="Calibri"/>
          <w:spacing w:val="-1"/>
        </w:rPr>
        <w:t>d</w:t>
      </w:r>
      <w:r w:rsidRPr="009A0DA6">
        <w:rPr>
          <w:rFonts w:ascii="Cambria" w:eastAsia="Calibri" w:hAnsi="Cambria" w:cs="Calibri"/>
        </w:rPr>
        <w:t>enti</w:t>
      </w:r>
      <w:r w:rsidRPr="009A0DA6">
        <w:rPr>
          <w:rFonts w:ascii="Cambria" w:eastAsia="Calibri" w:hAnsi="Cambria" w:cs="Calibri"/>
          <w:spacing w:val="-1"/>
        </w:rPr>
        <w:t>a</w:t>
      </w:r>
      <w:r w:rsidRPr="009A0DA6">
        <w:rPr>
          <w:rFonts w:ascii="Cambria" w:eastAsia="Calibri" w:hAnsi="Cambria" w:cs="Calibri"/>
          <w:spacing w:val="-3"/>
        </w:rPr>
        <w:t>l</w:t>
      </w:r>
      <w:r w:rsidRPr="009A0DA6">
        <w:rPr>
          <w:rFonts w:ascii="Cambria" w:eastAsia="Calibri" w:hAnsi="Cambria" w:cs="Calibri"/>
        </w:rPr>
        <w:t>,</w:t>
      </w:r>
      <w:r w:rsidRPr="009A0DA6">
        <w:rPr>
          <w:rFonts w:ascii="Cambria" w:eastAsia="Calibri" w:hAnsi="Cambria" w:cs="Calibri"/>
          <w:spacing w:val="4"/>
        </w:rPr>
        <w:t xml:space="preserve"> </w:t>
      </w:r>
      <w:r w:rsidRPr="009A0DA6">
        <w:rPr>
          <w:rFonts w:ascii="Cambria" w:eastAsia="Calibri" w:hAnsi="Cambria" w:cs="Calibri"/>
        </w:rPr>
        <w:t>it is</w:t>
      </w:r>
      <w:r w:rsidRPr="009A0DA6">
        <w:rPr>
          <w:rFonts w:ascii="Cambria" w:eastAsia="Calibri" w:hAnsi="Cambria" w:cs="Calibri"/>
          <w:spacing w:val="1"/>
        </w:rPr>
        <w:t xml:space="preserve"> </w:t>
      </w:r>
      <w:r w:rsidRPr="009A0DA6">
        <w:rPr>
          <w:rFonts w:ascii="Cambria" w:eastAsia="Calibri" w:hAnsi="Cambria" w:cs="Calibri"/>
        </w:rPr>
        <w:t>a</w:t>
      </w:r>
      <w:r w:rsidRPr="009A0DA6">
        <w:rPr>
          <w:rFonts w:ascii="Cambria" w:eastAsia="Calibri" w:hAnsi="Cambria" w:cs="Calibri"/>
          <w:spacing w:val="-3"/>
        </w:rPr>
        <w:t>l</w:t>
      </w:r>
      <w:r w:rsidRPr="009A0DA6">
        <w:rPr>
          <w:rFonts w:ascii="Cambria" w:eastAsia="Calibri" w:hAnsi="Cambria" w:cs="Calibri"/>
        </w:rPr>
        <w:t>most</w:t>
      </w:r>
      <w:r w:rsidRPr="009A0DA6">
        <w:rPr>
          <w:rFonts w:ascii="Cambria" w:eastAsia="Calibri" w:hAnsi="Cambria" w:cs="Calibri"/>
          <w:spacing w:val="-1"/>
        </w:rPr>
        <w:t xml:space="preserve"> </w:t>
      </w:r>
      <w:r w:rsidRPr="009A0DA6">
        <w:rPr>
          <w:rFonts w:ascii="Cambria" w:eastAsia="Calibri" w:hAnsi="Cambria" w:cs="Calibri"/>
        </w:rPr>
        <w:t>i</w:t>
      </w:r>
      <w:r w:rsidRPr="009A0DA6">
        <w:rPr>
          <w:rFonts w:ascii="Cambria" w:eastAsia="Calibri" w:hAnsi="Cambria" w:cs="Calibri"/>
          <w:spacing w:val="1"/>
        </w:rPr>
        <w:t>m</w:t>
      </w:r>
      <w:r w:rsidRPr="009A0DA6">
        <w:rPr>
          <w:rFonts w:ascii="Cambria" w:eastAsia="Calibri" w:hAnsi="Cambria" w:cs="Calibri"/>
          <w:spacing w:val="-1"/>
        </w:rPr>
        <w:t>p</w:t>
      </w:r>
      <w:r w:rsidRPr="009A0DA6">
        <w:rPr>
          <w:rFonts w:ascii="Cambria" w:eastAsia="Calibri" w:hAnsi="Cambria" w:cs="Calibri"/>
        </w:rPr>
        <w:t>o</w:t>
      </w:r>
      <w:r w:rsidRPr="009A0DA6">
        <w:rPr>
          <w:rFonts w:ascii="Cambria" w:eastAsia="Calibri" w:hAnsi="Cambria" w:cs="Calibri"/>
          <w:spacing w:val="-3"/>
        </w:rPr>
        <w:t>s</w:t>
      </w:r>
      <w:r w:rsidRPr="009A0DA6">
        <w:rPr>
          <w:rFonts w:ascii="Cambria" w:eastAsia="Calibri" w:hAnsi="Cambria" w:cs="Calibri"/>
        </w:rPr>
        <w:t>sib</w:t>
      </w:r>
      <w:r w:rsidRPr="009A0DA6">
        <w:rPr>
          <w:rFonts w:ascii="Cambria" w:eastAsia="Calibri" w:hAnsi="Cambria" w:cs="Calibri"/>
          <w:spacing w:val="-1"/>
        </w:rPr>
        <w:t>l</w:t>
      </w:r>
      <w:r w:rsidRPr="009A0DA6">
        <w:rPr>
          <w:rFonts w:ascii="Cambria" w:eastAsia="Calibri" w:hAnsi="Cambria" w:cs="Calibri"/>
        </w:rPr>
        <w:t>e for</w:t>
      </w:r>
      <w:r w:rsidRPr="009A0DA6">
        <w:rPr>
          <w:rFonts w:ascii="Cambria" w:eastAsia="Calibri" w:hAnsi="Cambria" w:cs="Calibri"/>
          <w:spacing w:val="-3"/>
        </w:rPr>
        <w:t xml:space="preserve"> </w:t>
      </w:r>
      <w:r w:rsidRPr="009A0DA6">
        <w:rPr>
          <w:rFonts w:ascii="Cambria" w:eastAsia="Calibri" w:hAnsi="Cambria" w:cs="Calibri"/>
        </w:rPr>
        <w:t xml:space="preserve">the </w:t>
      </w:r>
      <w:r w:rsidRPr="009A0DA6">
        <w:rPr>
          <w:rFonts w:ascii="Cambria" w:eastAsia="Calibri" w:hAnsi="Cambria" w:cs="Calibri"/>
          <w:spacing w:val="-1"/>
        </w:rPr>
        <w:t>a</w:t>
      </w:r>
      <w:r w:rsidRPr="009A0DA6">
        <w:rPr>
          <w:rFonts w:ascii="Cambria" w:eastAsia="Calibri" w:hAnsi="Cambria" w:cs="Calibri"/>
        </w:rPr>
        <w:t>ve</w:t>
      </w:r>
      <w:r w:rsidRPr="009A0DA6">
        <w:rPr>
          <w:rFonts w:ascii="Cambria" w:eastAsia="Calibri" w:hAnsi="Cambria" w:cs="Calibri"/>
          <w:spacing w:val="1"/>
        </w:rPr>
        <w:t>r</w:t>
      </w:r>
      <w:r w:rsidRPr="009A0DA6">
        <w:rPr>
          <w:rFonts w:ascii="Cambria" w:eastAsia="Calibri" w:hAnsi="Cambria" w:cs="Calibri"/>
          <w:spacing w:val="-1"/>
        </w:rPr>
        <w:t>ag</w:t>
      </w:r>
      <w:r w:rsidRPr="009A0DA6">
        <w:rPr>
          <w:rFonts w:ascii="Cambria" w:eastAsia="Calibri" w:hAnsi="Cambria" w:cs="Calibri"/>
        </w:rPr>
        <w:t xml:space="preserve">e </w:t>
      </w:r>
      <w:r w:rsidR="00336CE0" w:rsidRPr="009A0DA6">
        <w:rPr>
          <w:rFonts w:ascii="Cambria" w:eastAsia="Calibri" w:hAnsi="Cambria" w:cs="Calibri"/>
        </w:rPr>
        <w:t>church</w:t>
      </w:r>
      <w:r w:rsidRPr="009A0DA6">
        <w:rPr>
          <w:rFonts w:ascii="Cambria" w:eastAsia="Calibri" w:hAnsi="Cambria" w:cs="Calibri"/>
          <w:spacing w:val="-2"/>
        </w:rPr>
        <w:t xml:space="preserve"> </w:t>
      </w:r>
      <w:r w:rsidRPr="009A0DA6">
        <w:rPr>
          <w:rFonts w:ascii="Cambria" w:eastAsia="Calibri" w:hAnsi="Cambria" w:cs="Calibri"/>
        </w:rPr>
        <w:t>m</w:t>
      </w:r>
      <w:r w:rsidRPr="009A0DA6">
        <w:rPr>
          <w:rFonts w:ascii="Cambria" w:eastAsia="Calibri" w:hAnsi="Cambria" w:cs="Calibri"/>
          <w:spacing w:val="-2"/>
        </w:rPr>
        <w:t>e</w:t>
      </w:r>
      <w:r w:rsidRPr="009A0DA6">
        <w:rPr>
          <w:rFonts w:ascii="Cambria" w:eastAsia="Calibri" w:hAnsi="Cambria" w:cs="Calibri"/>
        </w:rPr>
        <w:t>mber</w:t>
      </w:r>
      <w:r w:rsidRPr="009A0DA6">
        <w:rPr>
          <w:rFonts w:ascii="Cambria" w:eastAsia="Calibri" w:hAnsi="Cambria" w:cs="Calibri"/>
          <w:spacing w:val="-1"/>
        </w:rPr>
        <w:t xml:space="preserve"> </w:t>
      </w:r>
      <w:r w:rsidRPr="009A0DA6">
        <w:rPr>
          <w:rFonts w:ascii="Cambria" w:eastAsia="Calibri" w:hAnsi="Cambria" w:cs="Calibri"/>
        </w:rPr>
        <w:t>or</w:t>
      </w:r>
      <w:r w:rsidRPr="009A0DA6">
        <w:rPr>
          <w:rFonts w:ascii="Cambria" w:eastAsia="Calibri" w:hAnsi="Cambria" w:cs="Calibri"/>
          <w:spacing w:val="-1"/>
        </w:rPr>
        <w:t xml:space="preserve"> </w:t>
      </w:r>
      <w:r w:rsidRPr="009A0DA6">
        <w:rPr>
          <w:rFonts w:ascii="Cambria" w:eastAsia="Calibri" w:hAnsi="Cambria" w:cs="Calibri"/>
          <w:spacing w:val="1"/>
        </w:rPr>
        <w:t>S</w:t>
      </w:r>
      <w:r w:rsidRPr="009A0DA6">
        <w:rPr>
          <w:rFonts w:ascii="Cambria" w:eastAsia="Calibri" w:hAnsi="Cambria" w:cs="Calibri"/>
        </w:rPr>
        <w:t>y</w:t>
      </w:r>
      <w:r w:rsidRPr="009A0DA6">
        <w:rPr>
          <w:rFonts w:ascii="Cambria" w:eastAsia="Calibri" w:hAnsi="Cambria" w:cs="Calibri"/>
          <w:spacing w:val="-1"/>
        </w:rPr>
        <w:t>n</w:t>
      </w:r>
      <w:r w:rsidRPr="009A0DA6">
        <w:rPr>
          <w:rFonts w:ascii="Cambria" w:eastAsia="Calibri" w:hAnsi="Cambria" w:cs="Calibri"/>
        </w:rPr>
        <w:t>od</w:t>
      </w:r>
      <w:r w:rsidRPr="009A0DA6">
        <w:rPr>
          <w:rFonts w:ascii="Cambria" w:eastAsia="Calibri" w:hAnsi="Cambria" w:cs="Calibri"/>
          <w:spacing w:val="-1"/>
        </w:rPr>
        <w:t xml:space="preserve"> </w:t>
      </w:r>
      <w:r w:rsidRPr="009A0DA6">
        <w:rPr>
          <w:rFonts w:ascii="Cambria" w:eastAsia="Calibri" w:hAnsi="Cambria" w:cs="Calibri"/>
        </w:rPr>
        <w:t>dele</w:t>
      </w:r>
      <w:r w:rsidRPr="009A0DA6">
        <w:rPr>
          <w:rFonts w:ascii="Cambria" w:eastAsia="Calibri" w:hAnsi="Cambria" w:cs="Calibri"/>
          <w:spacing w:val="-1"/>
        </w:rPr>
        <w:t>ga</w:t>
      </w:r>
      <w:r w:rsidRPr="009A0DA6">
        <w:rPr>
          <w:rFonts w:ascii="Cambria" w:eastAsia="Calibri" w:hAnsi="Cambria" w:cs="Calibri"/>
        </w:rPr>
        <w:t>te</w:t>
      </w:r>
      <w:r w:rsidRPr="009A0DA6">
        <w:rPr>
          <w:rFonts w:ascii="Cambria" w:eastAsia="Calibri" w:hAnsi="Cambria" w:cs="Calibri"/>
          <w:spacing w:val="-2"/>
        </w:rPr>
        <w:t xml:space="preserve"> </w:t>
      </w:r>
      <w:r w:rsidRPr="009A0DA6">
        <w:rPr>
          <w:rFonts w:ascii="Cambria" w:eastAsia="Calibri" w:hAnsi="Cambria" w:cs="Calibri"/>
          <w:spacing w:val="1"/>
        </w:rPr>
        <w:t>t</w:t>
      </w:r>
      <w:r w:rsidRPr="009A0DA6">
        <w:rPr>
          <w:rFonts w:ascii="Cambria" w:eastAsia="Calibri" w:hAnsi="Cambria" w:cs="Calibri"/>
        </w:rPr>
        <w:t xml:space="preserve">o </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3"/>
        </w:rPr>
        <w:t>a</w:t>
      </w:r>
      <w:r w:rsidRPr="009A0DA6">
        <w:rPr>
          <w:rFonts w:ascii="Cambria" w:eastAsia="Calibri" w:hAnsi="Cambria" w:cs="Calibri"/>
        </w:rPr>
        <w:t>r</w:t>
      </w:r>
      <w:r w:rsidRPr="009A0DA6">
        <w:rPr>
          <w:rFonts w:ascii="Cambria" w:eastAsia="Calibri" w:hAnsi="Cambria" w:cs="Calibri"/>
          <w:spacing w:val="1"/>
        </w:rPr>
        <w:t xml:space="preserve"> </w:t>
      </w:r>
      <w:r w:rsidRPr="009A0DA6">
        <w:rPr>
          <w:rFonts w:ascii="Cambria" w:eastAsia="Calibri" w:hAnsi="Cambria" w:cs="Calibri"/>
        </w:rPr>
        <w:t>all</w:t>
      </w:r>
      <w:r w:rsidRPr="009A0DA6">
        <w:rPr>
          <w:rFonts w:ascii="Cambria" w:eastAsia="Calibri" w:hAnsi="Cambria" w:cs="Calibri"/>
          <w:spacing w:val="-3"/>
        </w:rPr>
        <w:t xml:space="preserve"> </w:t>
      </w:r>
      <w:r w:rsidRPr="009A0DA6">
        <w:rPr>
          <w:rFonts w:ascii="Cambria" w:eastAsia="Calibri" w:hAnsi="Cambria" w:cs="Calibri"/>
        </w:rPr>
        <w:t>sides</w:t>
      </w:r>
      <w:r w:rsidRPr="009A0DA6">
        <w:rPr>
          <w:rFonts w:ascii="Cambria" w:eastAsia="Calibri" w:hAnsi="Cambria" w:cs="Calibri"/>
          <w:spacing w:val="2"/>
        </w:rPr>
        <w:t xml:space="preserve"> </w:t>
      </w:r>
      <w:r w:rsidRPr="009A0DA6">
        <w:rPr>
          <w:rFonts w:ascii="Cambria" w:eastAsia="Calibri" w:hAnsi="Cambria" w:cs="Calibri"/>
        </w:rPr>
        <w:t>of</w:t>
      </w:r>
      <w:r w:rsidRPr="009A0DA6">
        <w:rPr>
          <w:rFonts w:ascii="Cambria" w:eastAsia="Calibri" w:hAnsi="Cambria" w:cs="Calibri"/>
          <w:spacing w:val="-2"/>
        </w:rPr>
        <w:t xml:space="preserve"> </w:t>
      </w:r>
      <w:r w:rsidRPr="009A0DA6">
        <w:rPr>
          <w:rFonts w:ascii="Cambria" w:eastAsia="Calibri" w:hAnsi="Cambria" w:cs="Calibri"/>
        </w:rPr>
        <w:t xml:space="preserve">the </w:t>
      </w:r>
      <w:r w:rsidRPr="009A0DA6">
        <w:rPr>
          <w:rFonts w:ascii="Cambria" w:eastAsia="Calibri" w:hAnsi="Cambria" w:cs="Calibri"/>
          <w:spacing w:val="1"/>
        </w:rPr>
        <w:t>s</w:t>
      </w:r>
      <w:r w:rsidRPr="009A0DA6">
        <w:rPr>
          <w:rFonts w:ascii="Cambria" w:eastAsia="Calibri" w:hAnsi="Cambria" w:cs="Calibri"/>
        </w:rPr>
        <w:t>t</w:t>
      </w:r>
      <w:r w:rsidRPr="009A0DA6">
        <w:rPr>
          <w:rFonts w:ascii="Cambria" w:eastAsia="Calibri" w:hAnsi="Cambria" w:cs="Calibri"/>
          <w:spacing w:val="-2"/>
        </w:rPr>
        <w:t>o</w:t>
      </w:r>
      <w:r w:rsidRPr="009A0DA6">
        <w:rPr>
          <w:rFonts w:ascii="Cambria" w:eastAsia="Calibri" w:hAnsi="Cambria" w:cs="Calibri"/>
          <w:spacing w:val="1"/>
        </w:rPr>
        <w:t>r</w:t>
      </w:r>
      <w:r w:rsidRPr="009A0DA6">
        <w:rPr>
          <w:rFonts w:ascii="Cambria" w:eastAsia="Calibri" w:hAnsi="Cambria" w:cs="Calibri"/>
        </w:rPr>
        <w:t>y a</w:t>
      </w:r>
      <w:r w:rsidRPr="009A0DA6">
        <w:rPr>
          <w:rFonts w:ascii="Cambria" w:eastAsia="Calibri" w:hAnsi="Cambria" w:cs="Calibri"/>
          <w:spacing w:val="-1"/>
        </w:rPr>
        <w:t>n</w:t>
      </w:r>
      <w:r w:rsidRPr="009A0DA6">
        <w:rPr>
          <w:rFonts w:ascii="Cambria" w:eastAsia="Calibri" w:hAnsi="Cambria" w:cs="Calibri"/>
        </w:rPr>
        <w:t>d</w:t>
      </w:r>
      <w:r w:rsidRPr="009A0DA6">
        <w:rPr>
          <w:rFonts w:ascii="Cambria" w:eastAsia="Calibri" w:hAnsi="Cambria" w:cs="Calibri"/>
          <w:spacing w:val="-1"/>
        </w:rPr>
        <w:t xml:space="preserve"> </w:t>
      </w:r>
      <w:r w:rsidRPr="009A0DA6">
        <w:rPr>
          <w:rFonts w:ascii="Cambria" w:eastAsia="Calibri" w:hAnsi="Cambria" w:cs="Calibri"/>
        </w:rPr>
        <w:t>asc</w:t>
      </w:r>
      <w:r w:rsidRPr="009A0DA6">
        <w:rPr>
          <w:rFonts w:ascii="Cambria" w:eastAsia="Calibri" w:hAnsi="Cambria" w:cs="Calibri"/>
          <w:spacing w:val="-3"/>
        </w:rPr>
        <w:t>e</w:t>
      </w:r>
      <w:r w:rsidRPr="009A0DA6">
        <w:rPr>
          <w:rFonts w:ascii="Cambria" w:eastAsia="Calibri" w:hAnsi="Cambria" w:cs="Calibri"/>
          <w:spacing w:val="-1"/>
        </w:rPr>
        <w:t>r</w:t>
      </w:r>
      <w:r w:rsidRPr="009A0DA6">
        <w:rPr>
          <w:rFonts w:ascii="Cambria" w:eastAsia="Calibri" w:hAnsi="Cambria" w:cs="Calibri"/>
        </w:rPr>
        <w:t>tain</w:t>
      </w:r>
      <w:r w:rsidRPr="009A0DA6">
        <w:rPr>
          <w:rFonts w:ascii="Cambria" w:eastAsia="Calibri" w:hAnsi="Cambria" w:cs="Calibri"/>
          <w:spacing w:val="-1"/>
        </w:rPr>
        <w:t xml:space="preserve">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 xml:space="preserve">e </w:t>
      </w:r>
      <w:r w:rsidRPr="009A0DA6">
        <w:rPr>
          <w:rFonts w:ascii="Cambria" w:eastAsia="Calibri" w:hAnsi="Cambria" w:cs="Calibri"/>
          <w:spacing w:val="-1"/>
        </w:rPr>
        <w:t>t</w:t>
      </w:r>
      <w:r w:rsidRPr="009A0DA6">
        <w:rPr>
          <w:rFonts w:ascii="Cambria" w:eastAsia="Calibri" w:hAnsi="Cambria" w:cs="Calibri"/>
          <w:spacing w:val="1"/>
        </w:rPr>
        <w:t>r</w:t>
      </w:r>
      <w:r w:rsidRPr="009A0DA6">
        <w:rPr>
          <w:rFonts w:ascii="Cambria" w:eastAsia="Calibri" w:hAnsi="Cambria" w:cs="Calibri"/>
          <w:spacing w:val="-1"/>
        </w:rPr>
        <w:t>u</w:t>
      </w:r>
      <w:r w:rsidRPr="009A0DA6">
        <w:rPr>
          <w:rFonts w:ascii="Cambria" w:eastAsia="Calibri" w:hAnsi="Cambria" w:cs="Calibri"/>
        </w:rPr>
        <w:t>th of</w:t>
      </w:r>
      <w:r w:rsidRPr="009A0DA6">
        <w:rPr>
          <w:rFonts w:ascii="Cambria" w:eastAsia="Calibri" w:hAnsi="Cambria" w:cs="Calibri"/>
          <w:spacing w:val="-2"/>
        </w:rPr>
        <w:t xml:space="preserve"> </w:t>
      </w:r>
      <w:r w:rsidRPr="009A0DA6">
        <w:rPr>
          <w:rFonts w:ascii="Cambria" w:eastAsia="Calibri" w:hAnsi="Cambria" w:cs="Calibri"/>
        </w:rPr>
        <w:t>these</w:t>
      </w:r>
      <w:r w:rsidRPr="009A0DA6">
        <w:rPr>
          <w:rFonts w:ascii="Cambria" w:eastAsia="Calibri" w:hAnsi="Cambria" w:cs="Calibri"/>
          <w:spacing w:val="-2"/>
        </w:rPr>
        <w:t xml:space="preserve"> </w:t>
      </w:r>
      <w:r w:rsidRPr="009A0DA6">
        <w:rPr>
          <w:rFonts w:ascii="Cambria" w:eastAsia="Calibri" w:hAnsi="Cambria" w:cs="Calibri"/>
        </w:rPr>
        <w:t>co</w:t>
      </w:r>
      <w:r w:rsidRPr="009A0DA6">
        <w:rPr>
          <w:rFonts w:ascii="Cambria" w:eastAsia="Calibri" w:hAnsi="Cambria" w:cs="Calibri"/>
          <w:spacing w:val="-1"/>
        </w:rPr>
        <w:t>n</w:t>
      </w:r>
      <w:r w:rsidRPr="009A0DA6">
        <w:rPr>
          <w:rFonts w:ascii="Cambria" w:eastAsia="Calibri" w:hAnsi="Cambria" w:cs="Calibri"/>
        </w:rPr>
        <w:t>cerns. The</w:t>
      </w:r>
      <w:r w:rsidRPr="009A0DA6">
        <w:rPr>
          <w:rFonts w:ascii="Cambria" w:eastAsia="Calibri" w:hAnsi="Cambria" w:cs="Calibri"/>
          <w:spacing w:val="1"/>
        </w:rPr>
        <w:t>r</w:t>
      </w:r>
      <w:r w:rsidRPr="009A0DA6">
        <w:rPr>
          <w:rFonts w:ascii="Cambria" w:eastAsia="Calibri" w:hAnsi="Cambria" w:cs="Calibri"/>
        </w:rPr>
        <w:t>ef</w:t>
      </w:r>
      <w:r w:rsidRPr="009A0DA6">
        <w:rPr>
          <w:rFonts w:ascii="Cambria" w:eastAsia="Calibri" w:hAnsi="Cambria" w:cs="Calibri"/>
          <w:spacing w:val="-3"/>
        </w:rPr>
        <w:t>o</w:t>
      </w:r>
      <w:r w:rsidRPr="009A0DA6">
        <w:rPr>
          <w:rFonts w:ascii="Cambria" w:eastAsia="Calibri" w:hAnsi="Cambria" w:cs="Calibri"/>
          <w:spacing w:val="1"/>
        </w:rPr>
        <w:t>r</w:t>
      </w:r>
      <w:r w:rsidRPr="009A0DA6">
        <w:rPr>
          <w:rFonts w:ascii="Cambria" w:eastAsia="Calibri" w:hAnsi="Cambria" w:cs="Calibri"/>
        </w:rPr>
        <w:t>e a</w:t>
      </w:r>
      <w:r w:rsidRPr="009A0DA6">
        <w:rPr>
          <w:rFonts w:ascii="Cambria" w:eastAsia="Calibri" w:hAnsi="Cambria" w:cs="Calibri"/>
          <w:spacing w:val="-2"/>
        </w:rPr>
        <w:t xml:space="preserve"> </w:t>
      </w:r>
      <w:r w:rsidRPr="009A0DA6">
        <w:rPr>
          <w:rFonts w:ascii="Cambria" w:eastAsia="Calibri" w:hAnsi="Cambria" w:cs="Calibri"/>
        </w:rPr>
        <w:t>taskf</w:t>
      </w:r>
      <w:r w:rsidRPr="009A0DA6">
        <w:rPr>
          <w:rFonts w:ascii="Cambria" w:eastAsia="Calibri" w:hAnsi="Cambria" w:cs="Calibri"/>
          <w:spacing w:val="-2"/>
        </w:rPr>
        <w:t>o</w:t>
      </w:r>
      <w:r w:rsidRPr="009A0DA6">
        <w:rPr>
          <w:rFonts w:ascii="Cambria" w:eastAsia="Calibri" w:hAnsi="Cambria" w:cs="Calibri"/>
          <w:spacing w:val="1"/>
        </w:rPr>
        <w:t>r</w:t>
      </w:r>
      <w:r w:rsidRPr="009A0DA6">
        <w:rPr>
          <w:rFonts w:ascii="Cambria" w:eastAsia="Calibri" w:hAnsi="Cambria" w:cs="Calibri"/>
        </w:rPr>
        <w:t>ce is</w:t>
      </w:r>
      <w:r w:rsidRPr="009A0DA6">
        <w:rPr>
          <w:rFonts w:ascii="Cambria" w:eastAsia="Calibri" w:hAnsi="Cambria" w:cs="Calibri"/>
          <w:spacing w:val="-2"/>
        </w:rPr>
        <w:t xml:space="preserve"> </w:t>
      </w:r>
      <w:r w:rsidRPr="009A0DA6">
        <w:rPr>
          <w:rFonts w:ascii="Cambria" w:eastAsia="Calibri" w:hAnsi="Cambria" w:cs="Calibri"/>
        </w:rPr>
        <w:t>n</w:t>
      </w:r>
      <w:r w:rsidRPr="009A0DA6">
        <w:rPr>
          <w:rFonts w:ascii="Cambria" w:eastAsia="Calibri" w:hAnsi="Cambria" w:cs="Calibri"/>
          <w:spacing w:val="-2"/>
        </w:rPr>
        <w:t>e</w:t>
      </w:r>
      <w:r w:rsidRPr="009A0DA6">
        <w:rPr>
          <w:rFonts w:ascii="Cambria" w:eastAsia="Calibri" w:hAnsi="Cambria" w:cs="Calibri"/>
        </w:rPr>
        <w:t>eded</w:t>
      </w:r>
      <w:r w:rsidRPr="009A0DA6">
        <w:rPr>
          <w:rFonts w:ascii="Cambria" w:eastAsia="Calibri" w:hAnsi="Cambria" w:cs="Calibri"/>
          <w:spacing w:val="-1"/>
        </w:rPr>
        <w:t xml:space="preserve"> </w:t>
      </w:r>
      <w:r w:rsidRPr="009A0DA6">
        <w:rPr>
          <w:rFonts w:ascii="Cambria" w:eastAsia="Calibri" w:hAnsi="Cambria" w:cs="Calibri"/>
          <w:spacing w:val="1"/>
        </w:rPr>
        <w:t>t</w:t>
      </w:r>
      <w:r w:rsidRPr="009A0DA6">
        <w:rPr>
          <w:rFonts w:ascii="Cambria" w:eastAsia="Calibri" w:hAnsi="Cambria" w:cs="Calibri"/>
          <w:spacing w:val="-1"/>
        </w:rPr>
        <w:t>ha</w:t>
      </w:r>
      <w:r w:rsidRPr="009A0DA6">
        <w:rPr>
          <w:rFonts w:ascii="Cambria" w:eastAsia="Calibri" w:hAnsi="Cambria" w:cs="Calibri"/>
        </w:rPr>
        <w:t>t</w:t>
      </w:r>
      <w:r w:rsidRPr="009A0DA6">
        <w:rPr>
          <w:rFonts w:ascii="Cambria" w:eastAsia="Calibri" w:hAnsi="Cambria" w:cs="Calibri"/>
          <w:spacing w:val="1"/>
        </w:rPr>
        <w:t xml:space="preserve"> </w:t>
      </w:r>
      <w:r w:rsidRPr="009A0DA6">
        <w:rPr>
          <w:rFonts w:ascii="Cambria" w:eastAsia="Calibri" w:hAnsi="Cambria" w:cs="Calibri"/>
        </w:rPr>
        <w:t>c</w:t>
      </w:r>
      <w:r w:rsidRPr="009A0DA6">
        <w:rPr>
          <w:rFonts w:ascii="Cambria" w:eastAsia="Calibri" w:hAnsi="Cambria" w:cs="Calibri"/>
          <w:spacing w:val="-1"/>
        </w:rPr>
        <w:t>a</w:t>
      </w:r>
      <w:r w:rsidRPr="009A0DA6">
        <w:rPr>
          <w:rFonts w:ascii="Cambria" w:eastAsia="Calibri" w:hAnsi="Cambria" w:cs="Calibri"/>
        </w:rPr>
        <w:t>n</w:t>
      </w:r>
      <w:r w:rsidRPr="009A0DA6">
        <w:rPr>
          <w:rFonts w:ascii="Cambria" w:eastAsia="Calibri" w:hAnsi="Cambria" w:cs="Calibri"/>
          <w:spacing w:val="-1"/>
        </w:rPr>
        <w:t xml:space="preserve"> </w:t>
      </w:r>
      <w:r w:rsidRPr="009A0DA6">
        <w:rPr>
          <w:rFonts w:ascii="Cambria" w:eastAsia="Calibri" w:hAnsi="Cambria" w:cs="Calibri"/>
        </w:rPr>
        <w:t>lo</w:t>
      </w:r>
      <w:r w:rsidRPr="009A0DA6">
        <w:rPr>
          <w:rFonts w:ascii="Cambria" w:eastAsia="Calibri" w:hAnsi="Cambria" w:cs="Calibri"/>
          <w:spacing w:val="-1"/>
        </w:rPr>
        <w:t>o</w:t>
      </w:r>
      <w:r w:rsidRPr="009A0DA6">
        <w:rPr>
          <w:rFonts w:ascii="Cambria" w:eastAsia="Calibri" w:hAnsi="Cambria" w:cs="Calibri"/>
        </w:rPr>
        <w:t>k</w:t>
      </w:r>
      <w:r w:rsidRPr="009A0DA6">
        <w:rPr>
          <w:rFonts w:ascii="Cambria" w:eastAsia="Calibri" w:hAnsi="Cambria" w:cs="Calibri"/>
          <w:spacing w:val="1"/>
        </w:rPr>
        <w:t xml:space="preserve"> </w:t>
      </w:r>
      <w:r w:rsidRPr="009A0DA6">
        <w:rPr>
          <w:rFonts w:ascii="Cambria" w:eastAsia="Calibri" w:hAnsi="Cambria" w:cs="Calibri"/>
        </w:rPr>
        <w:t>i</w:t>
      </w:r>
      <w:r w:rsidRPr="009A0DA6">
        <w:rPr>
          <w:rFonts w:ascii="Cambria" w:eastAsia="Calibri" w:hAnsi="Cambria" w:cs="Calibri"/>
          <w:spacing w:val="-1"/>
        </w:rPr>
        <w:t>n</w:t>
      </w:r>
      <w:r w:rsidRPr="009A0DA6">
        <w:rPr>
          <w:rFonts w:ascii="Cambria" w:eastAsia="Calibri" w:hAnsi="Cambria" w:cs="Calibri"/>
        </w:rPr>
        <w:t>to</w:t>
      </w:r>
      <w:r w:rsidRPr="009A0DA6">
        <w:rPr>
          <w:rFonts w:ascii="Cambria" w:eastAsia="Calibri" w:hAnsi="Cambria" w:cs="Calibri"/>
          <w:spacing w:val="-2"/>
        </w:rPr>
        <w:t xml:space="preserve">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spacing w:val="-2"/>
        </w:rPr>
        <w:t>e</w:t>
      </w:r>
      <w:r w:rsidRPr="009A0DA6">
        <w:rPr>
          <w:rFonts w:ascii="Cambria" w:eastAsia="Calibri" w:hAnsi="Cambria" w:cs="Calibri"/>
        </w:rPr>
        <w:t>se</w:t>
      </w:r>
      <w:r w:rsidRPr="009A0DA6">
        <w:rPr>
          <w:rFonts w:ascii="Cambria" w:eastAsia="Calibri" w:hAnsi="Cambria" w:cs="Calibri"/>
          <w:spacing w:val="1"/>
        </w:rPr>
        <w:t xml:space="preserve"> </w:t>
      </w:r>
      <w:r w:rsidRPr="009A0DA6">
        <w:rPr>
          <w:rFonts w:ascii="Cambria" w:eastAsia="Calibri" w:hAnsi="Cambria" w:cs="Calibri"/>
        </w:rPr>
        <w:t>c</w:t>
      </w:r>
      <w:r w:rsidRPr="009A0DA6">
        <w:rPr>
          <w:rFonts w:ascii="Cambria" w:eastAsia="Calibri" w:hAnsi="Cambria" w:cs="Calibri"/>
          <w:spacing w:val="-1"/>
        </w:rPr>
        <w:t>on</w:t>
      </w:r>
      <w:r w:rsidRPr="009A0DA6">
        <w:rPr>
          <w:rFonts w:ascii="Cambria" w:eastAsia="Calibri" w:hAnsi="Cambria" w:cs="Calibri"/>
        </w:rPr>
        <w:t>cerns,</w:t>
      </w:r>
      <w:r w:rsidRPr="009A0DA6">
        <w:rPr>
          <w:rFonts w:ascii="Cambria" w:eastAsia="Calibri" w:hAnsi="Cambria" w:cs="Calibri"/>
          <w:spacing w:val="-2"/>
        </w:rPr>
        <w:t xml:space="preserve"> </w:t>
      </w:r>
      <w:r w:rsidRPr="009A0DA6">
        <w:rPr>
          <w:rFonts w:ascii="Cambria" w:eastAsia="Calibri" w:hAnsi="Cambria" w:cs="Calibri"/>
        </w:rPr>
        <w:t>i</w:t>
      </w:r>
      <w:r w:rsidRPr="009A0DA6">
        <w:rPr>
          <w:rFonts w:ascii="Cambria" w:eastAsia="Calibri" w:hAnsi="Cambria" w:cs="Calibri"/>
          <w:spacing w:val="1"/>
        </w:rPr>
        <w:t>m</w:t>
      </w:r>
      <w:r w:rsidRPr="009A0DA6">
        <w:rPr>
          <w:rFonts w:ascii="Cambria" w:eastAsia="Calibri" w:hAnsi="Cambria" w:cs="Calibri"/>
          <w:spacing w:val="-1"/>
        </w:rPr>
        <w:t>p</w:t>
      </w:r>
      <w:r w:rsidRPr="009A0DA6">
        <w:rPr>
          <w:rFonts w:ascii="Cambria" w:eastAsia="Calibri" w:hAnsi="Cambria" w:cs="Calibri"/>
        </w:rPr>
        <w:t>l</w:t>
      </w:r>
      <w:r w:rsidRPr="009A0DA6">
        <w:rPr>
          <w:rFonts w:ascii="Cambria" w:eastAsia="Calibri" w:hAnsi="Cambria" w:cs="Calibri"/>
          <w:spacing w:val="-2"/>
        </w:rPr>
        <w:t>e</w:t>
      </w:r>
      <w:r w:rsidRPr="009A0DA6">
        <w:rPr>
          <w:rFonts w:ascii="Cambria" w:eastAsia="Calibri" w:hAnsi="Cambria" w:cs="Calibri"/>
        </w:rPr>
        <w:t>ment</w:t>
      </w:r>
      <w:r w:rsidRPr="009A0DA6">
        <w:rPr>
          <w:rFonts w:ascii="Cambria" w:eastAsia="Calibri" w:hAnsi="Cambria" w:cs="Calibri"/>
          <w:spacing w:val="1"/>
        </w:rPr>
        <w:t xml:space="preserve"> </w:t>
      </w:r>
      <w:r w:rsidRPr="009A0DA6">
        <w:rPr>
          <w:rFonts w:ascii="Cambria" w:eastAsia="Calibri" w:hAnsi="Cambria" w:cs="Calibri"/>
          <w:spacing w:val="-1"/>
        </w:rPr>
        <w:t>a</w:t>
      </w:r>
      <w:r w:rsidRPr="009A0DA6">
        <w:rPr>
          <w:rFonts w:ascii="Cambria" w:eastAsia="Calibri" w:hAnsi="Cambria" w:cs="Calibri"/>
          <w:spacing w:val="-3"/>
        </w:rPr>
        <w:t>p</w:t>
      </w:r>
      <w:r w:rsidRPr="009A0DA6">
        <w:rPr>
          <w:rFonts w:ascii="Cambria" w:eastAsia="Calibri" w:hAnsi="Cambria" w:cs="Calibri"/>
          <w:spacing w:val="-1"/>
        </w:rPr>
        <w:t>p</w:t>
      </w:r>
      <w:r w:rsidRPr="009A0DA6">
        <w:rPr>
          <w:rFonts w:ascii="Cambria" w:eastAsia="Calibri" w:hAnsi="Cambria" w:cs="Calibri"/>
          <w:spacing w:val="1"/>
        </w:rPr>
        <w:t>r</w:t>
      </w:r>
      <w:r w:rsidRPr="009A0DA6">
        <w:rPr>
          <w:rFonts w:ascii="Cambria" w:eastAsia="Calibri" w:hAnsi="Cambria" w:cs="Calibri"/>
        </w:rPr>
        <w:t>o</w:t>
      </w:r>
      <w:r w:rsidRPr="009A0DA6">
        <w:rPr>
          <w:rFonts w:ascii="Cambria" w:eastAsia="Calibri" w:hAnsi="Cambria" w:cs="Calibri"/>
          <w:spacing w:val="-1"/>
        </w:rPr>
        <w:t>p</w:t>
      </w:r>
      <w:r w:rsidRPr="009A0DA6">
        <w:rPr>
          <w:rFonts w:ascii="Cambria" w:eastAsia="Calibri" w:hAnsi="Cambria" w:cs="Calibri"/>
          <w:spacing w:val="1"/>
        </w:rPr>
        <w:t>r</w:t>
      </w:r>
      <w:r w:rsidRPr="009A0DA6">
        <w:rPr>
          <w:rFonts w:ascii="Cambria" w:eastAsia="Calibri" w:hAnsi="Cambria" w:cs="Calibri"/>
        </w:rPr>
        <w:t>i</w:t>
      </w:r>
      <w:r w:rsidRPr="009A0DA6">
        <w:rPr>
          <w:rFonts w:ascii="Cambria" w:eastAsia="Calibri" w:hAnsi="Cambria" w:cs="Calibri"/>
          <w:spacing w:val="-1"/>
        </w:rPr>
        <w:t>a</w:t>
      </w:r>
      <w:r w:rsidRPr="009A0DA6">
        <w:rPr>
          <w:rFonts w:ascii="Cambria" w:eastAsia="Calibri" w:hAnsi="Cambria" w:cs="Calibri"/>
        </w:rPr>
        <w:t>te</w:t>
      </w:r>
      <w:r w:rsidRPr="009A0DA6">
        <w:rPr>
          <w:rFonts w:ascii="Cambria" w:eastAsia="Calibri" w:hAnsi="Cambria" w:cs="Calibri"/>
          <w:spacing w:val="-1"/>
        </w:rPr>
        <w:t xml:space="preserve"> </w:t>
      </w:r>
      <w:r w:rsidRPr="009A0DA6">
        <w:rPr>
          <w:rFonts w:ascii="Cambria" w:eastAsia="Calibri" w:hAnsi="Cambria" w:cs="Calibri"/>
        </w:rPr>
        <w:t>safe</w:t>
      </w:r>
      <w:r w:rsidRPr="009A0DA6">
        <w:rPr>
          <w:rFonts w:ascii="Cambria" w:eastAsia="Calibri" w:hAnsi="Cambria" w:cs="Calibri"/>
          <w:spacing w:val="-1"/>
        </w:rPr>
        <w:t>gua</w:t>
      </w:r>
      <w:r w:rsidRPr="009A0DA6">
        <w:rPr>
          <w:rFonts w:ascii="Cambria" w:eastAsia="Calibri" w:hAnsi="Cambria" w:cs="Calibri"/>
          <w:spacing w:val="1"/>
        </w:rPr>
        <w:t>r</w:t>
      </w:r>
      <w:r w:rsidRPr="009A0DA6">
        <w:rPr>
          <w:rFonts w:ascii="Cambria" w:eastAsia="Calibri" w:hAnsi="Cambria" w:cs="Calibri"/>
          <w:spacing w:val="-1"/>
        </w:rPr>
        <w:t>d</w:t>
      </w:r>
      <w:r w:rsidRPr="009A0DA6">
        <w:rPr>
          <w:rFonts w:ascii="Cambria" w:eastAsia="Calibri" w:hAnsi="Cambria" w:cs="Calibri"/>
        </w:rPr>
        <w:t>s</w:t>
      </w:r>
      <w:r w:rsidRPr="009A0DA6">
        <w:rPr>
          <w:rFonts w:ascii="Cambria" w:eastAsia="Calibri" w:hAnsi="Cambria" w:cs="Calibri"/>
          <w:spacing w:val="-2"/>
        </w:rPr>
        <w:t xml:space="preserve"> </w:t>
      </w:r>
      <w:r w:rsidRPr="009A0DA6">
        <w:rPr>
          <w:rFonts w:ascii="Cambria" w:eastAsia="Calibri" w:hAnsi="Cambria" w:cs="Calibri"/>
        </w:rPr>
        <w:t>for</w:t>
      </w:r>
      <w:r w:rsidRPr="009A0DA6">
        <w:rPr>
          <w:rFonts w:ascii="Cambria" w:eastAsia="Calibri" w:hAnsi="Cambria" w:cs="Calibri"/>
          <w:spacing w:val="-1"/>
        </w:rPr>
        <w:t xml:space="preserve"> </w:t>
      </w:r>
      <w:r w:rsidRPr="009A0DA6">
        <w:rPr>
          <w:rFonts w:ascii="Cambria" w:eastAsia="Calibri" w:hAnsi="Cambria" w:cs="Calibri"/>
        </w:rPr>
        <w:t>t</w:t>
      </w:r>
      <w:r w:rsidRPr="009A0DA6">
        <w:rPr>
          <w:rFonts w:ascii="Cambria" w:eastAsia="Calibri" w:hAnsi="Cambria" w:cs="Calibri"/>
          <w:spacing w:val="-3"/>
        </w:rPr>
        <w:t>h</w:t>
      </w:r>
      <w:r w:rsidRPr="009A0DA6">
        <w:rPr>
          <w:rFonts w:ascii="Cambria" w:eastAsia="Calibri" w:hAnsi="Cambria" w:cs="Calibri"/>
        </w:rPr>
        <w:t xml:space="preserve">e </w:t>
      </w:r>
      <w:r w:rsidRPr="009A0DA6">
        <w:rPr>
          <w:rFonts w:ascii="Cambria" w:eastAsia="Calibri" w:hAnsi="Cambria" w:cs="Calibri"/>
          <w:spacing w:val="5"/>
        </w:rPr>
        <w:t>f</w:t>
      </w:r>
      <w:r w:rsidRPr="009A0DA6">
        <w:rPr>
          <w:rFonts w:ascii="Cambria" w:eastAsia="Calibri" w:hAnsi="Cambria" w:cs="Calibri"/>
          <w:spacing w:val="-1"/>
        </w:rPr>
        <w:t>u</w:t>
      </w:r>
      <w:r w:rsidRPr="009A0DA6">
        <w:rPr>
          <w:rFonts w:ascii="Cambria" w:eastAsia="Calibri" w:hAnsi="Cambria" w:cs="Calibri"/>
        </w:rPr>
        <w:t>tu</w:t>
      </w:r>
      <w:r w:rsidRPr="009A0DA6">
        <w:rPr>
          <w:rFonts w:ascii="Cambria" w:eastAsia="Calibri" w:hAnsi="Cambria" w:cs="Calibri"/>
          <w:spacing w:val="1"/>
        </w:rPr>
        <w:t>r</w:t>
      </w:r>
      <w:r w:rsidRPr="009A0DA6">
        <w:rPr>
          <w:rFonts w:ascii="Cambria" w:eastAsia="Calibri" w:hAnsi="Cambria" w:cs="Calibri"/>
        </w:rPr>
        <w:t xml:space="preserve">e, </w:t>
      </w:r>
      <w:r w:rsidRPr="009A0DA6">
        <w:rPr>
          <w:rFonts w:ascii="Cambria" w:eastAsia="Calibri" w:hAnsi="Cambria" w:cs="Calibri"/>
          <w:spacing w:val="-1"/>
        </w:rPr>
        <w:t>an</w:t>
      </w:r>
      <w:r w:rsidRPr="009A0DA6">
        <w:rPr>
          <w:rFonts w:ascii="Cambria" w:eastAsia="Calibri" w:hAnsi="Cambria" w:cs="Calibri"/>
        </w:rPr>
        <w:t>d</w:t>
      </w:r>
      <w:r w:rsidRPr="009A0DA6">
        <w:rPr>
          <w:rFonts w:ascii="Cambria" w:eastAsia="Calibri" w:hAnsi="Cambria" w:cs="Calibri"/>
          <w:spacing w:val="-1"/>
        </w:rPr>
        <w:t xml:space="preserve"> </w:t>
      </w:r>
      <w:r w:rsidRPr="009A0DA6">
        <w:rPr>
          <w:rFonts w:ascii="Cambria" w:eastAsia="Calibri" w:hAnsi="Cambria" w:cs="Calibri"/>
          <w:spacing w:val="1"/>
        </w:rPr>
        <w:t>r</w:t>
      </w:r>
      <w:r w:rsidRPr="009A0DA6">
        <w:rPr>
          <w:rFonts w:ascii="Cambria" w:eastAsia="Calibri" w:hAnsi="Cambria" w:cs="Calibri"/>
        </w:rPr>
        <w:t>es</w:t>
      </w:r>
      <w:r w:rsidRPr="009A0DA6">
        <w:rPr>
          <w:rFonts w:ascii="Cambria" w:eastAsia="Calibri" w:hAnsi="Cambria" w:cs="Calibri"/>
          <w:spacing w:val="1"/>
        </w:rPr>
        <w:t>t</w:t>
      </w:r>
      <w:r w:rsidRPr="009A0DA6">
        <w:rPr>
          <w:rFonts w:ascii="Cambria" w:eastAsia="Calibri" w:hAnsi="Cambria" w:cs="Calibri"/>
          <w:spacing w:val="-3"/>
        </w:rPr>
        <w:t>o</w:t>
      </w:r>
      <w:r w:rsidRPr="009A0DA6">
        <w:rPr>
          <w:rFonts w:ascii="Cambria" w:eastAsia="Calibri" w:hAnsi="Cambria" w:cs="Calibri"/>
          <w:spacing w:val="1"/>
        </w:rPr>
        <w:t>r</w:t>
      </w:r>
      <w:r w:rsidRPr="009A0DA6">
        <w:rPr>
          <w:rFonts w:ascii="Cambria" w:eastAsia="Calibri" w:hAnsi="Cambria" w:cs="Calibri"/>
        </w:rPr>
        <w:t>e co</w:t>
      </w:r>
      <w:r w:rsidRPr="009A0DA6">
        <w:rPr>
          <w:rFonts w:ascii="Cambria" w:eastAsia="Calibri" w:hAnsi="Cambria" w:cs="Calibri"/>
          <w:spacing w:val="-1"/>
        </w:rPr>
        <w:t>n</w:t>
      </w:r>
      <w:r w:rsidRPr="009A0DA6">
        <w:rPr>
          <w:rFonts w:ascii="Cambria" w:eastAsia="Calibri" w:hAnsi="Cambria" w:cs="Calibri"/>
        </w:rPr>
        <w:t>fi</w:t>
      </w:r>
      <w:r w:rsidRPr="009A0DA6">
        <w:rPr>
          <w:rFonts w:ascii="Cambria" w:eastAsia="Calibri" w:hAnsi="Cambria" w:cs="Calibri"/>
          <w:spacing w:val="-1"/>
        </w:rPr>
        <w:t>d</w:t>
      </w:r>
      <w:r w:rsidRPr="009A0DA6">
        <w:rPr>
          <w:rFonts w:ascii="Cambria" w:eastAsia="Calibri" w:hAnsi="Cambria" w:cs="Calibri"/>
        </w:rPr>
        <w:t>en</w:t>
      </w:r>
      <w:r w:rsidRPr="009A0DA6">
        <w:rPr>
          <w:rFonts w:ascii="Cambria" w:eastAsia="Calibri" w:hAnsi="Cambria" w:cs="Calibri"/>
          <w:spacing w:val="-1"/>
        </w:rPr>
        <w:t>c</w:t>
      </w:r>
      <w:r w:rsidRPr="009A0DA6">
        <w:rPr>
          <w:rFonts w:ascii="Cambria" w:eastAsia="Calibri" w:hAnsi="Cambria" w:cs="Calibri"/>
        </w:rPr>
        <w:t>e in</w:t>
      </w:r>
      <w:r w:rsidRPr="009A0DA6">
        <w:rPr>
          <w:rFonts w:ascii="Cambria" w:eastAsia="Calibri" w:hAnsi="Cambria" w:cs="Calibri"/>
          <w:spacing w:val="-2"/>
        </w:rPr>
        <w:t xml:space="preserve"> t</w:t>
      </w:r>
      <w:r w:rsidRPr="009A0DA6">
        <w:rPr>
          <w:rFonts w:ascii="Cambria" w:eastAsia="Calibri" w:hAnsi="Cambria" w:cs="Calibri"/>
          <w:spacing w:val="-1"/>
        </w:rPr>
        <w:t>h</w:t>
      </w:r>
      <w:r w:rsidRPr="009A0DA6">
        <w:rPr>
          <w:rFonts w:ascii="Cambria" w:eastAsia="Calibri" w:hAnsi="Cambria" w:cs="Calibri"/>
        </w:rPr>
        <w:t xml:space="preserve">e </w:t>
      </w:r>
      <w:r w:rsidRPr="009A0DA6">
        <w:rPr>
          <w:rFonts w:ascii="Cambria" w:eastAsia="Calibri" w:hAnsi="Cambria" w:cs="Calibri"/>
          <w:spacing w:val="-1"/>
        </w:rPr>
        <w:t>P</w:t>
      </w:r>
      <w:r w:rsidRPr="009A0DA6">
        <w:rPr>
          <w:rFonts w:ascii="Cambria" w:eastAsia="Calibri" w:hAnsi="Cambria" w:cs="Calibri"/>
          <w:spacing w:val="1"/>
        </w:rPr>
        <w:t>SD</w:t>
      </w:r>
      <w:r w:rsidRPr="009A0DA6">
        <w:rPr>
          <w:rFonts w:ascii="Cambria" w:eastAsia="Calibri" w:hAnsi="Cambria" w:cs="Calibri"/>
        </w:rPr>
        <w:t>.</w:t>
      </w:r>
      <w:r w:rsidR="00CE5065" w:rsidRPr="009A0DA6">
        <w:rPr>
          <w:rFonts w:ascii="Cambria" w:eastAsia="Calibri" w:hAnsi="Cambria" w:cs="Calibri"/>
        </w:rPr>
        <w:br/>
      </w:r>
    </w:p>
    <w:p w14:paraId="7988A78A" w14:textId="77777777" w:rsidR="00194B18" w:rsidRPr="009A0DA6" w:rsidRDefault="00194B18" w:rsidP="00CE5065">
      <w:pPr>
        <w:spacing w:after="0" w:line="240" w:lineRule="auto"/>
        <w:ind w:right="-20"/>
        <w:rPr>
          <w:rFonts w:ascii="Cambria" w:eastAsia="Calibri" w:hAnsi="Cambria" w:cs="Calibri"/>
        </w:rPr>
      </w:pPr>
      <w:r w:rsidRPr="009A0DA6">
        <w:rPr>
          <w:rFonts w:ascii="Cambria" w:eastAsia="Calibri" w:hAnsi="Cambria" w:cs="Calibri"/>
          <w:spacing w:val="1"/>
        </w:rPr>
        <w:t>S</w:t>
      </w:r>
      <w:r w:rsidRPr="009A0DA6">
        <w:rPr>
          <w:rFonts w:ascii="Cambria" w:eastAsia="Calibri" w:hAnsi="Cambria" w:cs="Calibri"/>
        </w:rPr>
        <w:t>ome of</w:t>
      </w:r>
      <w:r w:rsidRPr="009A0DA6">
        <w:rPr>
          <w:rFonts w:ascii="Cambria" w:eastAsia="Calibri" w:hAnsi="Cambria" w:cs="Calibri"/>
          <w:spacing w:val="-2"/>
        </w:rPr>
        <w:t xml:space="preserve">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e co</w:t>
      </w:r>
      <w:r w:rsidRPr="009A0DA6">
        <w:rPr>
          <w:rFonts w:ascii="Cambria" w:eastAsia="Calibri" w:hAnsi="Cambria" w:cs="Calibri"/>
          <w:spacing w:val="-1"/>
        </w:rPr>
        <w:t>n</w:t>
      </w:r>
      <w:r w:rsidRPr="009A0DA6">
        <w:rPr>
          <w:rFonts w:ascii="Cambria" w:eastAsia="Calibri" w:hAnsi="Cambria" w:cs="Calibri"/>
        </w:rPr>
        <w:t>c</w:t>
      </w:r>
      <w:r w:rsidRPr="009A0DA6">
        <w:rPr>
          <w:rFonts w:ascii="Cambria" w:eastAsia="Calibri" w:hAnsi="Cambria" w:cs="Calibri"/>
          <w:spacing w:val="-3"/>
        </w:rPr>
        <w:t>e</w:t>
      </w:r>
      <w:r w:rsidRPr="009A0DA6">
        <w:rPr>
          <w:rFonts w:ascii="Cambria" w:eastAsia="Calibri" w:hAnsi="Cambria" w:cs="Calibri"/>
          <w:spacing w:val="1"/>
        </w:rPr>
        <w:t>r</w:t>
      </w:r>
      <w:r w:rsidRPr="009A0DA6">
        <w:rPr>
          <w:rFonts w:ascii="Cambria" w:eastAsia="Calibri" w:hAnsi="Cambria" w:cs="Calibri"/>
          <w:spacing w:val="-1"/>
        </w:rPr>
        <w:t>n</w:t>
      </w:r>
      <w:r w:rsidRPr="009A0DA6">
        <w:rPr>
          <w:rFonts w:ascii="Cambria" w:eastAsia="Calibri" w:hAnsi="Cambria" w:cs="Calibri"/>
        </w:rPr>
        <w:t>s</w:t>
      </w:r>
      <w:r w:rsidRPr="009A0DA6">
        <w:rPr>
          <w:rFonts w:ascii="Cambria" w:eastAsia="Calibri" w:hAnsi="Cambria" w:cs="Calibri"/>
          <w:spacing w:val="1"/>
        </w:rPr>
        <w:t xml:space="preserve"> </w:t>
      </w:r>
      <w:r w:rsidRPr="009A0DA6">
        <w:rPr>
          <w:rFonts w:ascii="Cambria" w:eastAsia="Calibri" w:hAnsi="Cambria" w:cs="Calibri"/>
        </w:rPr>
        <w:t>th</w:t>
      </w:r>
      <w:r w:rsidRPr="009A0DA6">
        <w:rPr>
          <w:rFonts w:ascii="Cambria" w:eastAsia="Calibri" w:hAnsi="Cambria" w:cs="Calibri"/>
          <w:spacing w:val="-3"/>
        </w:rPr>
        <w:t>a</w:t>
      </w:r>
      <w:r w:rsidRPr="009A0DA6">
        <w:rPr>
          <w:rFonts w:ascii="Cambria" w:eastAsia="Calibri" w:hAnsi="Cambria" w:cs="Calibri"/>
        </w:rPr>
        <w:t>t</w:t>
      </w:r>
      <w:r w:rsidRPr="009A0DA6">
        <w:rPr>
          <w:rFonts w:ascii="Cambria" w:eastAsia="Calibri" w:hAnsi="Cambria" w:cs="Calibri"/>
          <w:spacing w:val="-1"/>
        </w:rPr>
        <w:t xml:space="preserve"> ha</w:t>
      </w:r>
      <w:r w:rsidRPr="009A0DA6">
        <w:rPr>
          <w:rFonts w:ascii="Cambria" w:eastAsia="Calibri" w:hAnsi="Cambria" w:cs="Calibri"/>
        </w:rPr>
        <w:t>ve been</w:t>
      </w:r>
      <w:r w:rsidRPr="009A0DA6">
        <w:rPr>
          <w:rFonts w:ascii="Cambria" w:eastAsia="Calibri" w:hAnsi="Cambria" w:cs="Calibri"/>
          <w:spacing w:val="-1"/>
        </w:rPr>
        <w:t xml:space="preserve"> </w:t>
      </w:r>
      <w:r w:rsidRPr="009A0DA6">
        <w:rPr>
          <w:rFonts w:ascii="Cambria" w:eastAsia="Calibri" w:hAnsi="Cambria" w:cs="Calibri"/>
          <w:spacing w:val="1"/>
        </w:rPr>
        <w:t>r</w:t>
      </w:r>
      <w:r w:rsidRPr="009A0DA6">
        <w:rPr>
          <w:rFonts w:ascii="Cambria" w:eastAsia="Calibri" w:hAnsi="Cambria" w:cs="Calibri"/>
          <w:spacing w:val="-1"/>
        </w:rPr>
        <w:t>a</w:t>
      </w:r>
      <w:r w:rsidRPr="009A0DA6">
        <w:rPr>
          <w:rFonts w:ascii="Cambria" w:eastAsia="Calibri" w:hAnsi="Cambria" w:cs="Calibri"/>
          <w:spacing w:val="-3"/>
        </w:rPr>
        <w:t>i</w:t>
      </w:r>
      <w:r w:rsidRPr="009A0DA6">
        <w:rPr>
          <w:rFonts w:ascii="Cambria" w:eastAsia="Calibri" w:hAnsi="Cambria" w:cs="Calibri"/>
        </w:rPr>
        <w:t>sed i</w:t>
      </w:r>
      <w:r w:rsidRPr="009A0DA6">
        <w:rPr>
          <w:rFonts w:ascii="Cambria" w:eastAsia="Calibri" w:hAnsi="Cambria" w:cs="Calibri"/>
          <w:spacing w:val="-1"/>
        </w:rPr>
        <w:t>n</w:t>
      </w:r>
      <w:r w:rsidRPr="009A0DA6">
        <w:rPr>
          <w:rFonts w:ascii="Cambria" w:eastAsia="Calibri" w:hAnsi="Cambria" w:cs="Calibri"/>
        </w:rPr>
        <w:t>c</w:t>
      </w:r>
      <w:r w:rsidRPr="009A0DA6">
        <w:rPr>
          <w:rFonts w:ascii="Cambria" w:eastAsia="Calibri" w:hAnsi="Cambria" w:cs="Calibri"/>
          <w:spacing w:val="-1"/>
        </w:rPr>
        <w:t>lud</w:t>
      </w:r>
      <w:r w:rsidRPr="009A0DA6">
        <w:rPr>
          <w:rFonts w:ascii="Cambria" w:eastAsia="Calibri" w:hAnsi="Cambria" w:cs="Calibri"/>
        </w:rPr>
        <w:t xml:space="preserve">e </w:t>
      </w:r>
      <w:r w:rsidRPr="009A0DA6">
        <w:rPr>
          <w:rFonts w:ascii="Cambria" w:eastAsia="Calibri" w:hAnsi="Cambria" w:cs="Calibri"/>
          <w:spacing w:val="1"/>
        </w:rPr>
        <w:t>t</w:t>
      </w:r>
      <w:r w:rsidRPr="009A0DA6">
        <w:rPr>
          <w:rFonts w:ascii="Cambria" w:eastAsia="Calibri" w:hAnsi="Cambria" w:cs="Calibri"/>
          <w:spacing w:val="-3"/>
        </w:rPr>
        <w:t>h</w:t>
      </w:r>
      <w:r w:rsidRPr="009A0DA6">
        <w:rPr>
          <w:rFonts w:ascii="Cambria" w:eastAsia="Calibri" w:hAnsi="Cambria" w:cs="Calibri"/>
        </w:rPr>
        <w:t>e fol</w:t>
      </w:r>
      <w:r w:rsidRPr="009A0DA6">
        <w:rPr>
          <w:rFonts w:ascii="Cambria" w:eastAsia="Calibri" w:hAnsi="Cambria" w:cs="Calibri"/>
          <w:spacing w:val="-1"/>
        </w:rPr>
        <w:t>l</w:t>
      </w:r>
      <w:r w:rsidRPr="009A0DA6">
        <w:rPr>
          <w:rFonts w:ascii="Cambria" w:eastAsia="Calibri" w:hAnsi="Cambria" w:cs="Calibri"/>
        </w:rPr>
        <w:t>owi</w:t>
      </w:r>
      <w:r w:rsidRPr="009A0DA6">
        <w:rPr>
          <w:rFonts w:ascii="Cambria" w:eastAsia="Calibri" w:hAnsi="Cambria" w:cs="Calibri"/>
          <w:spacing w:val="-1"/>
        </w:rPr>
        <w:t>ng</w:t>
      </w:r>
      <w:r w:rsidRPr="009A0DA6">
        <w:rPr>
          <w:rFonts w:ascii="Cambria" w:eastAsia="Calibri" w:hAnsi="Cambria" w:cs="Calibri"/>
        </w:rPr>
        <w:t>:</w:t>
      </w:r>
    </w:p>
    <w:p w14:paraId="0A904F13" w14:textId="38F0471D" w:rsidR="00194B18" w:rsidRPr="009A0DA6" w:rsidRDefault="00194B18" w:rsidP="00F55252">
      <w:pPr>
        <w:pStyle w:val="ListParagraph"/>
        <w:numPr>
          <w:ilvl w:val="3"/>
          <w:numId w:val="142"/>
        </w:numPr>
        <w:spacing w:after="0" w:line="240" w:lineRule="auto"/>
        <w:ind w:left="567" w:right="136" w:hanging="567"/>
        <w:rPr>
          <w:rFonts w:ascii="Cambria" w:eastAsia="Calibri" w:hAnsi="Cambria" w:cs="Calibri"/>
          <w:sz w:val="12"/>
        </w:rPr>
      </w:pPr>
      <w:r w:rsidRPr="009A0DA6">
        <w:rPr>
          <w:rFonts w:ascii="Cambria" w:eastAsia="Calibri" w:hAnsi="Cambria" w:cs="Calibri"/>
        </w:rPr>
        <w:t>Th</w:t>
      </w:r>
      <w:r w:rsidRPr="009A0DA6">
        <w:rPr>
          <w:rFonts w:ascii="Cambria" w:eastAsia="Calibri" w:hAnsi="Cambria" w:cs="Calibri"/>
          <w:spacing w:val="-1"/>
        </w:rPr>
        <w:t>a</w:t>
      </w:r>
      <w:r w:rsidRPr="009A0DA6">
        <w:rPr>
          <w:rFonts w:ascii="Cambria" w:eastAsia="Calibri" w:hAnsi="Cambria" w:cs="Calibri"/>
        </w:rPr>
        <w:t>t</w:t>
      </w:r>
      <w:r w:rsidRPr="009A0DA6">
        <w:rPr>
          <w:rFonts w:ascii="Cambria" w:eastAsia="Calibri" w:hAnsi="Cambria" w:cs="Calibri"/>
          <w:spacing w:val="1"/>
        </w:rPr>
        <w:t xml:space="preserve"> </w:t>
      </w:r>
      <w:r w:rsidRPr="009A0DA6">
        <w:rPr>
          <w:rFonts w:ascii="Cambria" w:eastAsia="Calibri" w:hAnsi="Cambria" w:cs="Calibri"/>
        </w:rPr>
        <w:t>the</w:t>
      </w:r>
      <w:r w:rsidRPr="009A0DA6">
        <w:rPr>
          <w:rFonts w:ascii="Cambria" w:eastAsia="Calibri" w:hAnsi="Cambria" w:cs="Calibri"/>
          <w:spacing w:val="-2"/>
        </w:rPr>
        <w:t xml:space="preserve"> </w:t>
      </w:r>
      <w:r w:rsidRPr="009A0DA6">
        <w:rPr>
          <w:rFonts w:ascii="Cambria" w:eastAsia="Calibri" w:hAnsi="Cambria" w:cs="Calibri"/>
          <w:spacing w:val="1"/>
        </w:rPr>
        <w:t>P</w:t>
      </w:r>
      <w:r w:rsidRPr="009A0DA6">
        <w:rPr>
          <w:rFonts w:ascii="Cambria" w:eastAsia="Calibri" w:hAnsi="Cambria" w:cs="Calibri"/>
          <w:spacing w:val="-1"/>
        </w:rPr>
        <w:t>S</w:t>
      </w:r>
      <w:r w:rsidRPr="009A0DA6">
        <w:rPr>
          <w:rFonts w:ascii="Cambria" w:eastAsia="Calibri" w:hAnsi="Cambria" w:cs="Calibri"/>
        </w:rPr>
        <w:t>D</w:t>
      </w:r>
      <w:r w:rsidRPr="009A0DA6">
        <w:rPr>
          <w:rFonts w:ascii="Cambria" w:eastAsia="Calibri" w:hAnsi="Cambria" w:cs="Calibri"/>
          <w:spacing w:val="1"/>
        </w:rPr>
        <w:t xml:space="preserve"> </w:t>
      </w:r>
      <w:r w:rsidRPr="009A0DA6">
        <w:rPr>
          <w:rFonts w:ascii="Cambria" w:eastAsia="Calibri" w:hAnsi="Cambria" w:cs="Calibri"/>
        </w:rPr>
        <w:t>h</w:t>
      </w:r>
      <w:r w:rsidRPr="009A0DA6">
        <w:rPr>
          <w:rFonts w:ascii="Cambria" w:eastAsia="Calibri" w:hAnsi="Cambria" w:cs="Calibri"/>
          <w:spacing w:val="-1"/>
        </w:rPr>
        <w:t>a</w:t>
      </w:r>
      <w:r w:rsidRPr="009A0DA6">
        <w:rPr>
          <w:rFonts w:ascii="Cambria" w:eastAsia="Calibri" w:hAnsi="Cambria" w:cs="Calibri"/>
        </w:rPr>
        <w:t>s</w:t>
      </w:r>
      <w:r w:rsidRPr="009A0DA6">
        <w:rPr>
          <w:rFonts w:ascii="Cambria" w:eastAsia="Calibri" w:hAnsi="Cambria" w:cs="Calibri"/>
          <w:spacing w:val="-2"/>
        </w:rPr>
        <w:t xml:space="preserve"> </w:t>
      </w:r>
      <w:r w:rsidRPr="009A0DA6">
        <w:rPr>
          <w:rFonts w:ascii="Cambria" w:eastAsia="Calibri" w:hAnsi="Cambria" w:cs="Calibri"/>
        </w:rPr>
        <w:t>given</w:t>
      </w:r>
      <w:r w:rsidRPr="009A0DA6">
        <w:rPr>
          <w:rFonts w:ascii="Cambria" w:eastAsia="Calibri" w:hAnsi="Cambria" w:cs="Calibri"/>
          <w:spacing w:val="-1"/>
        </w:rPr>
        <w:t xml:space="preserve"> </w:t>
      </w:r>
      <w:r w:rsidRPr="009A0DA6">
        <w:rPr>
          <w:rFonts w:ascii="Cambria" w:eastAsia="Calibri" w:hAnsi="Cambria" w:cs="Calibri"/>
        </w:rPr>
        <w:t>ins</w:t>
      </w:r>
      <w:r w:rsidRPr="009A0DA6">
        <w:rPr>
          <w:rFonts w:ascii="Cambria" w:eastAsia="Calibri" w:hAnsi="Cambria" w:cs="Calibri"/>
          <w:spacing w:val="-3"/>
        </w:rPr>
        <w:t>u</w:t>
      </w:r>
      <w:r w:rsidRPr="009A0DA6">
        <w:rPr>
          <w:rFonts w:ascii="Cambria" w:eastAsia="Calibri" w:hAnsi="Cambria" w:cs="Calibri"/>
        </w:rPr>
        <w:t>ff</w:t>
      </w:r>
      <w:r w:rsidRPr="009A0DA6">
        <w:rPr>
          <w:rFonts w:ascii="Cambria" w:eastAsia="Calibri" w:hAnsi="Cambria" w:cs="Calibri"/>
          <w:spacing w:val="-1"/>
        </w:rPr>
        <w:t>i</w:t>
      </w:r>
      <w:r w:rsidRPr="009A0DA6">
        <w:rPr>
          <w:rFonts w:ascii="Cambria" w:eastAsia="Calibri" w:hAnsi="Cambria" w:cs="Calibri"/>
        </w:rPr>
        <w:t>c</w:t>
      </w:r>
      <w:r w:rsidRPr="009A0DA6">
        <w:rPr>
          <w:rFonts w:ascii="Cambria" w:eastAsia="Calibri" w:hAnsi="Cambria" w:cs="Calibri"/>
          <w:spacing w:val="-1"/>
        </w:rPr>
        <w:t>i</w:t>
      </w:r>
      <w:r w:rsidRPr="009A0DA6">
        <w:rPr>
          <w:rFonts w:ascii="Cambria" w:eastAsia="Calibri" w:hAnsi="Cambria" w:cs="Calibri"/>
        </w:rPr>
        <w:t>ent attention</w:t>
      </w:r>
      <w:r w:rsidRPr="009A0DA6">
        <w:rPr>
          <w:rFonts w:ascii="Cambria" w:eastAsia="Calibri" w:hAnsi="Cambria" w:cs="Calibri"/>
          <w:spacing w:val="-3"/>
        </w:rPr>
        <w:t xml:space="preserve"> </w:t>
      </w:r>
      <w:r w:rsidRPr="009A0DA6">
        <w:rPr>
          <w:rFonts w:ascii="Cambria" w:eastAsia="Calibri" w:hAnsi="Cambria" w:cs="Calibri"/>
        </w:rPr>
        <w:t>to</w:t>
      </w:r>
      <w:r w:rsidRPr="009A0DA6">
        <w:rPr>
          <w:rFonts w:ascii="Cambria" w:eastAsia="Calibri" w:hAnsi="Cambria" w:cs="Calibri"/>
          <w:spacing w:val="-2"/>
        </w:rPr>
        <w:t xml:space="preserve"> </w:t>
      </w:r>
      <w:r w:rsidRPr="009A0DA6">
        <w:rPr>
          <w:rFonts w:ascii="Cambria" w:eastAsia="Calibri" w:hAnsi="Cambria" w:cs="Calibri"/>
          <w:spacing w:val="1"/>
        </w:rPr>
        <w:t>M</w:t>
      </w:r>
      <w:r w:rsidRPr="009A0DA6">
        <w:rPr>
          <w:rFonts w:ascii="Cambria" w:eastAsia="Calibri" w:hAnsi="Cambria" w:cs="Calibri"/>
          <w:spacing w:val="-1"/>
        </w:rPr>
        <w:t>a</w:t>
      </w:r>
      <w:r w:rsidRPr="009A0DA6">
        <w:rPr>
          <w:rFonts w:ascii="Cambria" w:eastAsia="Calibri" w:hAnsi="Cambria" w:cs="Calibri"/>
        </w:rPr>
        <w:t>t</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spacing w:val="-2"/>
        </w:rPr>
        <w:t>e</w:t>
      </w:r>
      <w:r w:rsidRPr="009A0DA6">
        <w:rPr>
          <w:rFonts w:ascii="Cambria" w:eastAsia="Calibri" w:hAnsi="Cambria" w:cs="Calibri"/>
        </w:rPr>
        <w:t>w</w:t>
      </w:r>
      <w:r w:rsidRPr="009A0DA6">
        <w:rPr>
          <w:rFonts w:ascii="Cambria" w:eastAsia="Calibri" w:hAnsi="Cambria" w:cs="Calibri"/>
          <w:spacing w:val="1"/>
        </w:rPr>
        <w:t xml:space="preserve"> </w:t>
      </w:r>
      <w:r w:rsidRPr="009A0DA6">
        <w:rPr>
          <w:rFonts w:ascii="Cambria" w:eastAsia="Calibri" w:hAnsi="Cambria" w:cs="Calibri"/>
          <w:spacing w:val="-2"/>
        </w:rPr>
        <w:t>1</w:t>
      </w:r>
      <w:r w:rsidRPr="009A0DA6">
        <w:rPr>
          <w:rFonts w:ascii="Cambria" w:eastAsia="Calibri" w:hAnsi="Cambria" w:cs="Calibri"/>
          <w:spacing w:val="1"/>
        </w:rPr>
        <w:t>8</w:t>
      </w:r>
      <w:r w:rsidRPr="009A0DA6">
        <w:rPr>
          <w:rFonts w:ascii="Cambria" w:eastAsia="Calibri" w:hAnsi="Cambria" w:cs="Calibri"/>
          <w:spacing w:val="-1"/>
        </w:rPr>
        <w:t>:</w:t>
      </w:r>
      <w:r w:rsidRPr="009A0DA6">
        <w:rPr>
          <w:rFonts w:ascii="Cambria" w:eastAsia="Calibri" w:hAnsi="Cambria" w:cs="Calibri"/>
          <w:spacing w:val="1"/>
        </w:rPr>
        <w:t>1</w:t>
      </w:r>
      <w:r w:rsidRPr="009A0DA6">
        <w:rPr>
          <w:rFonts w:ascii="Cambria" w:eastAsia="Calibri" w:hAnsi="Cambria" w:cs="Calibri"/>
          <w:spacing w:val="4"/>
        </w:rPr>
        <w:t>5</w:t>
      </w:r>
      <w:r w:rsidRPr="009A0DA6">
        <w:rPr>
          <w:rFonts w:ascii="Cambria" w:eastAsia="Calibri" w:hAnsi="Cambria" w:cs="Calibri"/>
          <w:spacing w:val="-3"/>
        </w:rPr>
        <w:sym w:font="Symbol" w:char="F02D"/>
      </w:r>
      <w:r w:rsidRPr="009A0DA6">
        <w:rPr>
          <w:rFonts w:ascii="Cambria" w:eastAsia="Calibri" w:hAnsi="Cambria" w:cs="Calibri"/>
          <w:spacing w:val="1"/>
        </w:rPr>
        <w:t>1</w:t>
      </w:r>
      <w:r w:rsidRPr="009A0DA6">
        <w:rPr>
          <w:rFonts w:ascii="Cambria" w:eastAsia="Calibri" w:hAnsi="Cambria" w:cs="Calibri"/>
        </w:rPr>
        <w:t>8</w:t>
      </w:r>
      <w:r w:rsidRPr="009A0DA6">
        <w:rPr>
          <w:rFonts w:ascii="Cambria" w:eastAsia="Calibri" w:hAnsi="Cambria" w:cs="Calibri"/>
          <w:spacing w:val="-1"/>
        </w:rPr>
        <w:t xml:space="preserve"> </w:t>
      </w:r>
      <w:r w:rsidRPr="009A0DA6">
        <w:rPr>
          <w:rFonts w:ascii="Cambria" w:eastAsia="Calibri" w:hAnsi="Cambria" w:cs="Calibri"/>
        </w:rPr>
        <w:t>a</w:t>
      </w:r>
      <w:r w:rsidRPr="009A0DA6">
        <w:rPr>
          <w:rFonts w:ascii="Cambria" w:eastAsia="Calibri" w:hAnsi="Cambria" w:cs="Calibri"/>
          <w:spacing w:val="-1"/>
        </w:rPr>
        <w:t>n</w:t>
      </w:r>
      <w:r w:rsidRPr="009A0DA6">
        <w:rPr>
          <w:rFonts w:ascii="Cambria" w:eastAsia="Calibri" w:hAnsi="Cambria" w:cs="Calibri"/>
        </w:rPr>
        <w:t>d</w:t>
      </w:r>
      <w:r w:rsidRPr="009A0DA6">
        <w:rPr>
          <w:rFonts w:ascii="Cambria" w:eastAsia="Calibri" w:hAnsi="Cambria" w:cs="Calibri"/>
          <w:spacing w:val="-1"/>
        </w:rPr>
        <w:t xml:space="preserve"> </w:t>
      </w:r>
      <w:r w:rsidRPr="009A0DA6">
        <w:rPr>
          <w:rFonts w:ascii="Cambria" w:eastAsia="Calibri" w:hAnsi="Cambria" w:cs="Calibri"/>
        </w:rPr>
        <w:t>Ga</w:t>
      </w:r>
      <w:r w:rsidRPr="009A0DA6">
        <w:rPr>
          <w:rFonts w:ascii="Cambria" w:eastAsia="Calibri" w:hAnsi="Cambria" w:cs="Calibri"/>
          <w:spacing w:val="-1"/>
        </w:rPr>
        <w:t>la</w:t>
      </w:r>
      <w:r w:rsidRPr="009A0DA6">
        <w:rPr>
          <w:rFonts w:ascii="Cambria" w:eastAsia="Calibri" w:hAnsi="Cambria" w:cs="Calibri"/>
        </w:rPr>
        <w:t>tia</w:t>
      </w:r>
      <w:r w:rsidRPr="009A0DA6">
        <w:rPr>
          <w:rFonts w:ascii="Cambria" w:eastAsia="Calibri" w:hAnsi="Cambria" w:cs="Calibri"/>
          <w:spacing w:val="-1"/>
        </w:rPr>
        <w:t>n</w:t>
      </w:r>
      <w:r w:rsidRPr="009A0DA6">
        <w:rPr>
          <w:rFonts w:ascii="Cambria" w:eastAsia="Calibri" w:hAnsi="Cambria" w:cs="Calibri"/>
        </w:rPr>
        <w:t>s</w:t>
      </w:r>
      <w:r w:rsidRPr="009A0DA6">
        <w:rPr>
          <w:rFonts w:ascii="Cambria" w:eastAsia="Calibri" w:hAnsi="Cambria" w:cs="Calibri"/>
          <w:spacing w:val="1"/>
        </w:rPr>
        <w:t xml:space="preserve"> </w:t>
      </w:r>
      <w:r w:rsidRPr="009A0DA6">
        <w:rPr>
          <w:rFonts w:ascii="Cambria" w:eastAsia="Calibri" w:hAnsi="Cambria" w:cs="Calibri"/>
          <w:spacing w:val="-2"/>
        </w:rPr>
        <w:t>6</w:t>
      </w:r>
      <w:r w:rsidRPr="009A0DA6">
        <w:rPr>
          <w:rFonts w:ascii="Cambria" w:eastAsia="Calibri" w:hAnsi="Cambria" w:cs="Calibri"/>
          <w:spacing w:val="1"/>
        </w:rPr>
        <w:t>:1</w:t>
      </w:r>
      <w:r w:rsidRPr="009A0DA6">
        <w:rPr>
          <w:rFonts w:ascii="Cambria" w:eastAsia="Calibri" w:hAnsi="Cambria" w:cs="Calibri"/>
        </w:rPr>
        <w:t>, a</w:t>
      </w:r>
      <w:r w:rsidRPr="009A0DA6">
        <w:rPr>
          <w:rFonts w:ascii="Cambria" w:eastAsia="Calibri" w:hAnsi="Cambria" w:cs="Calibri"/>
          <w:spacing w:val="-1"/>
        </w:rPr>
        <w:t>n</w:t>
      </w:r>
      <w:r w:rsidRPr="009A0DA6">
        <w:rPr>
          <w:rFonts w:ascii="Cambria" w:eastAsia="Calibri" w:hAnsi="Cambria" w:cs="Calibri"/>
        </w:rPr>
        <w:t>d</w:t>
      </w:r>
      <w:r w:rsidRPr="009A0DA6">
        <w:rPr>
          <w:rFonts w:ascii="Cambria" w:eastAsia="Calibri" w:hAnsi="Cambria" w:cs="Calibri"/>
          <w:spacing w:val="-1"/>
        </w:rPr>
        <w:t xml:space="preserve"> </w:t>
      </w:r>
      <w:r w:rsidRPr="009A0DA6">
        <w:rPr>
          <w:rFonts w:ascii="Cambria" w:eastAsia="Calibri" w:hAnsi="Cambria" w:cs="Calibri"/>
        </w:rPr>
        <w:t>in</w:t>
      </w:r>
      <w:r w:rsidRPr="009A0DA6">
        <w:rPr>
          <w:rFonts w:ascii="Cambria" w:eastAsia="Calibri" w:hAnsi="Cambria" w:cs="Calibri"/>
          <w:spacing w:val="-2"/>
        </w:rPr>
        <w:t xml:space="preserve"> </w:t>
      </w:r>
      <w:r w:rsidRPr="009A0DA6">
        <w:rPr>
          <w:rFonts w:ascii="Cambria" w:eastAsia="Calibri" w:hAnsi="Cambria" w:cs="Calibri"/>
        </w:rPr>
        <w:t>ma</w:t>
      </w:r>
      <w:r w:rsidRPr="009A0DA6">
        <w:rPr>
          <w:rFonts w:ascii="Cambria" w:eastAsia="Calibri" w:hAnsi="Cambria" w:cs="Calibri"/>
          <w:spacing w:val="-1"/>
        </w:rPr>
        <w:t>n</w:t>
      </w:r>
      <w:r w:rsidRPr="009A0DA6">
        <w:rPr>
          <w:rFonts w:ascii="Cambria" w:eastAsia="Calibri" w:hAnsi="Cambria" w:cs="Calibri"/>
        </w:rPr>
        <w:t>y c</w:t>
      </w:r>
      <w:r w:rsidRPr="009A0DA6">
        <w:rPr>
          <w:rFonts w:ascii="Cambria" w:eastAsia="Calibri" w:hAnsi="Cambria" w:cs="Calibri"/>
          <w:spacing w:val="-1"/>
        </w:rPr>
        <w:t>a</w:t>
      </w:r>
      <w:r w:rsidRPr="009A0DA6">
        <w:rPr>
          <w:rFonts w:ascii="Cambria" w:eastAsia="Calibri" w:hAnsi="Cambria" w:cs="Calibri"/>
        </w:rPr>
        <w:t>ses</w:t>
      </w:r>
      <w:r w:rsidRPr="009A0DA6">
        <w:rPr>
          <w:rFonts w:ascii="Cambria" w:eastAsia="Calibri" w:hAnsi="Cambria" w:cs="Calibri"/>
          <w:spacing w:val="-1"/>
        </w:rPr>
        <w:t xml:space="preserve"> </w:t>
      </w:r>
      <w:r w:rsidRPr="009A0DA6">
        <w:rPr>
          <w:rFonts w:ascii="Cambria" w:eastAsia="Calibri" w:hAnsi="Cambria" w:cs="Calibri"/>
        </w:rPr>
        <w:t>h</w:t>
      </w:r>
      <w:r w:rsidRPr="009A0DA6">
        <w:rPr>
          <w:rFonts w:ascii="Cambria" w:eastAsia="Calibri" w:hAnsi="Cambria" w:cs="Calibri"/>
          <w:spacing w:val="-1"/>
        </w:rPr>
        <w:t>a</w:t>
      </w:r>
      <w:r w:rsidRPr="009A0DA6">
        <w:rPr>
          <w:rFonts w:ascii="Cambria" w:eastAsia="Calibri" w:hAnsi="Cambria" w:cs="Calibri"/>
        </w:rPr>
        <w:t xml:space="preserve">s </w:t>
      </w:r>
      <w:r w:rsidRPr="009A0DA6">
        <w:rPr>
          <w:rFonts w:ascii="Cambria" w:eastAsia="Calibri" w:hAnsi="Cambria" w:cs="Calibri"/>
          <w:spacing w:val="1"/>
        </w:rPr>
        <w:t>r</w:t>
      </w:r>
      <w:r w:rsidRPr="009A0DA6">
        <w:rPr>
          <w:rFonts w:ascii="Cambria" w:eastAsia="Calibri" w:hAnsi="Cambria" w:cs="Calibri"/>
          <w:spacing w:val="-1"/>
        </w:rPr>
        <w:t>u</w:t>
      </w:r>
      <w:r w:rsidRPr="009A0DA6">
        <w:rPr>
          <w:rFonts w:ascii="Cambria" w:eastAsia="Calibri" w:hAnsi="Cambria" w:cs="Calibri"/>
        </w:rPr>
        <w:t>shed</w:t>
      </w:r>
      <w:r w:rsidRPr="009A0DA6">
        <w:rPr>
          <w:rFonts w:ascii="Cambria" w:eastAsia="Calibri" w:hAnsi="Cambria" w:cs="Calibri"/>
          <w:spacing w:val="-1"/>
        </w:rPr>
        <w:t xml:space="preserve"> s</w:t>
      </w:r>
      <w:r w:rsidRPr="009A0DA6">
        <w:rPr>
          <w:rFonts w:ascii="Cambria" w:eastAsia="Calibri" w:hAnsi="Cambria" w:cs="Calibri"/>
        </w:rPr>
        <w:t>t</w:t>
      </w:r>
      <w:r w:rsidRPr="009A0DA6">
        <w:rPr>
          <w:rFonts w:ascii="Cambria" w:eastAsia="Calibri" w:hAnsi="Cambria" w:cs="Calibri"/>
          <w:spacing w:val="1"/>
        </w:rPr>
        <w:t>r</w:t>
      </w:r>
      <w:r w:rsidRPr="009A0DA6">
        <w:rPr>
          <w:rFonts w:ascii="Cambria" w:eastAsia="Calibri" w:hAnsi="Cambria" w:cs="Calibri"/>
          <w:spacing w:val="-1"/>
        </w:rPr>
        <w:t>a</w:t>
      </w:r>
      <w:r w:rsidRPr="009A0DA6">
        <w:rPr>
          <w:rFonts w:ascii="Cambria" w:eastAsia="Calibri" w:hAnsi="Cambria" w:cs="Calibri"/>
        </w:rPr>
        <w:t>i</w:t>
      </w:r>
      <w:r w:rsidRPr="009A0DA6">
        <w:rPr>
          <w:rFonts w:ascii="Cambria" w:eastAsia="Calibri" w:hAnsi="Cambria" w:cs="Calibri"/>
          <w:spacing w:val="-1"/>
        </w:rPr>
        <w:t>gh</w:t>
      </w:r>
      <w:r w:rsidRPr="009A0DA6">
        <w:rPr>
          <w:rFonts w:ascii="Cambria" w:eastAsia="Calibri" w:hAnsi="Cambria" w:cs="Calibri"/>
        </w:rPr>
        <w:t>t</w:t>
      </w:r>
      <w:r w:rsidRPr="009A0DA6">
        <w:rPr>
          <w:rFonts w:ascii="Cambria" w:eastAsia="Calibri" w:hAnsi="Cambria" w:cs="Calibri"/>
          <w:spacing w:val="-1"/>
        </w:rPr>
        <w:t xml:space="preserve"> </w:t>
      </w:r>
      <w:r w:rsidRPr="009A0DA6">
        <w:rPr>
          <w:rFonts w:ascii="Cambria" w:eastAsia="Calibri" w:hAnsi="Cambria" w:cs="Calibri"/>
        </w:rPr>
        <w:t xml:space="preserve">to </w:t>
      </w:r>
      <w:r w:rsidR="00FB59B1" w:rsidRPr="009A0DA6">
        <w:rPr>
          <w:rFonts w:ascii="Cambria" w:eastAsia="Calibri" w:hAnsi="Cambria" w:cs="Calibri"/>
          <w:spacing w:val="-2"/>
        </w:rPr>
        <w:t>T</w:t>
      </w:r>
      <w:r w:rsidRPr="009A0DA6">
        <w:rPr>
          <w:rFonts w:ascii="Cambria" w:eastAsia="Calibri" w:hAnsi="Cambria" w:cs="Calibri"/>
          <w:spacing w:val="1"/>
        </w:rPr>
        <w:t>r</w:t>
      </w:r>
      <w:r w:rsidRPr="009A0DA6">
        <w:rPr>
          <w:rFonts w:ascii="Cambria" w:eastAsia="Calibri" w:hAnsi="Cambria" w:cs="Calibri"/>
        </w:rPr>
        <w:t>i</w:t>
      </w:r>
      <w:r w:rsidRPr="009A0DA6">
        <w:rPr>
          <w:rFonts w:ascii="Cambria" w:eastAsia="Calibri" w:hAnsi="Cambria" w:cs="Calibri"/>
          <w:spacing w:val="-1"/>
        </w:rPr>
        <w:t>buna</w:t>
      </w:r>
      <w:r w:rsidRPr="009A0DA6">
        <w:rPr>
          <w:rFonts w:ascii="Cambria" w:eastAsia="Calibri" w:hAnsi="Cambria" w:cs="Calibri"/>
        </w:rPr>
        <w:t>l he</w:t>
      </w:r>
      <w:r w:rsidRPr="009A0DA6">
        <w:rPr>
          <w:rFonts w:ascii="Cambria" w:eastAsia="Calibri" w:hAnsi="Cambria" w:cs="Calibri"/>
          <w:spacing w:val="-1"/>
        </w:rPr>
        <w:t>a</w:t>
      </w:r>
      <w:r w:rsidRPr="009A0DA6">
        <w:rPr>
          <w:rFonts w:ascii="Cambria" w:eastAsia="Calibri" w:hAnsi="Cambria" w:cs="Calibri"/>
          <w:spacing w:val="1"/>
        </w:rPr>
        <w:t>r</w:t>
      </w:r>
      <w:r w:rsidRPr="009A0DA6">
        <w:rPr>
          <w:rFonts w:ascii="Cambria" w:eastAsia="Calibri" w:hAnsi="Cambria" w:cs="Calibri"/>
        </w:rPr>
        <w:t>i</w:t>
      </w:r>
      <w:r w:rsidRPr="009A0DA6">
        <w:rPr>
          <w:rFonts w:ascii="Cambria" w:eastAsia="Calibri" w:hAnsi="Cambria" w:cs="Calibri"/>
          <w:spacing w:val="-1"/>
        </w:rPr>
        <w:t>ng</w:t>
      </w:r>
      <w:r w:rsidRPr="009A0DA6">
        <w:rPr>
          <w:rFonts w:ascii="Cambria" w:eastAsia="Calibri" w:hAnsi="Cambria" w:cs="Calibri"/>
        </w:rPr>
        <w:t>s</w:t>
      </w:r>
      <w:r w:rsidRPr="009A0DA6">
        <w:rPr>
          <w:rFonts w:ascii="Cambria" w:eastAsia="Calibri" w:hAnsi="Cambria" w:cs="Calibri"/>
          <w:spacing w:val="1"/>
        </w:rPr>
        <w:t xml:space="preserve"> </w:t>
      </w:r>
      <w:r w:rsidRPr="009A0DA6">
        <w:rPr>
          <w:rFonts w:ascii="Cambria" w:eastAsia="Calibri" w:hAnsi="Cambria" w:cs="Calibri"/>
          <w:spacing w:val="-1"/>
        </w:rPr>
        <w:t>an</w:t>
      </w:r>
      <w:r w:rsidRPr="009A0DA6">
        <w:rPr>
          <w:rFonts w:ascii="Cambria" w:eastAsia="Calibri" w:hAnsi="Cambria" w:cs="Calibri"/>
        </w:rPr>
        <w:t>d</w:t>
      </w:r>
      <w:r w:rsidRPr="009A0DA6">
        <w:rPr>
          <w:rFonts w:ascii="Cambria" w:eastAsia="Calibri" w:hAnsi="Cambria" w:cs="Calibri"/>
          <w:spacing w:val="-1"/>
        </w:rPr>
        <w:t xml:space="preserve"> </w:t>
      </w:r>
      <w:r w:rsidRPr="009A0DA6">
        <w:rPr>
          <w:rFonts w:ascii="Cambria" w:eastAsia="Calibri" w:hAnsi="Cambria" w:cs="Calibri"/>
        </w:rPr>
        <w:t>dis</w:t>
      </w:r>
      <w:r w:rsidRPr="009A0DA6">
        <w:rPr>
          <w:rFonts w:ascii="Cambria" w:eastAsia="Calibri" w:hAnsi="Cambria" w:cs="Calibri"/>
          <w:spacing w:val="-1"/>
        </w:rPr>
        <w:t>c</w:t>
      </w:r>
      <w:r w:rsidRPr="009A0DA6">
        <w:rPr>
          <w:rFonts w:ascii="Cambria" w:eastAsia="Calibri" w:hAnsi="Cambria" w:cs="Calibri"/>
        </w:rPr>
        <w:t>i</w:t>
      </w:r>
      <w:r w:rsidRPr="009A0DA6">
        <w:rPr>
          <w:rFonts w:ascii="Cambria" w:eastAsia="Calibri" w:hAnsi="Cambria" w:cs="Calibri"/>
          <w:spacing w:val="-1"/>
        </w:rPr>
        <w:t>p</w:t>
      </w:r>
      <w:r w:rsidRPr="009A0DA6">
        <w:rPr>
          <w:rFonts w:ascii="Cambria" w:eastAsia="Calibri" w:hAnsi="Cambria" w:cs="Calibri"/>
        </w:rPr>
        <w:t>li</w:t>
      </w:r>
      <w:r w:rsidRPr="009A0DA6">
        <w:rPr>
          <w:rFonts w:ascii="Cambria" w:eastAsia="Calibri" w:hAnsi="Cambria" w:cs="Calibri"/>
          <w:spacing w:val="-1"/>
        </w:rPr>
        <w:t>na</w:t>
      </w:r>
      <w:r w:rsidRPr="009A0DA6">
        <w:rPr>
          <w:rFonts w:ascii="Cambria" w:eastAsia="Calibri" w:hAnsi="Cambria" w:cs="Calibri"/>
          <w:spacing w:val="1"/>
        </w:rPr>
        <w:t>r</w:t>
      </w:r>
      <w:r w:rsidRPr="009A0DA6">
        <w:rPr>
          <w:rFonts w:ascii="Cambria" w:eastAsia="Calibri" w:hAnsi="Cambria" w:cs="Calibri"/>
        </w:rPr>
        <w:t>y p</w:t>
      </w:r>
      <w:r w:rsidRPr="009A0DA6">
        <w:rPr>
          <w:rFonts w:ascii="Cambria" w:eastAsia="Calibri" w:hAnsi="Cambria" w:cs="Calibri"/>
          <w:spacing w:val="-2"/>
        </w:rPr>
        <w:t>r</w:t>
      </w:r>
      <w:r w:rsidRPr="009A0DA6">
        <w:rPr>
          <w:rFonts w:ascii="Cambria" w:eastAsia="Calibri" w:hAnsi="Cambria" w:cs="Calibri"/>
        </w:rPr>
        <w:t>o</w:t>
      </w:r>
      <w:r w:rsidRPr="009A0DA6">
        <w:rPr>
          <w:rFonts w:ascii="Cambria" w:eastAsia="Calibri" w:hAnsi="Cambria" w:cs="Calibri"/>
          <w:spacing w:val="-1"/>
        </w:rPr>
        <w:t>c</w:t>
      </w:r>
      <w:r w:rsidRPr="009A0DA6">
        <w:rPr>
          <w:rFonts w:ascii="Cambria" w:eastAsia="Calibri" w:hAnsi="Cambria" w:cs="Calibri"/>
        </w:rPr>
        <w:t>eed</w:t>
      </w:r>
      <w:r w:rsidRPr="009A0DA6">
        <w:rPr>
          <w:rFonts w:ascii="Cambria" w:eastAsia="Calibri" w:hAnsi="Cambria" w:cs="Calibri"/>
          <w:spacing w:val="-1"/>
        </w:rPr>
        <w:t>ing</w:t>
      </w:r>
      <w:r w:rsidRPr="009A0DA6">
        <w:rPr>
          <w:rFonts w:ascii="Cambria" w:eastAsia="Calibri" w:hAnsi="Cambria" w:cs="Calibri"/>
        </w:rPr>
        <w:t>s</w:t>
      </w:r>
      <w:r w:rsidRPr="009A0DA6">
        <w:rPr>
          <w:rFonts w:ascii="Cambria" w:eastAsia="Calibri" w:hAnsi="Cambria" w:cs="Calibri"/>
          <w:spacing w:val="1"/>
        </w:rPr>
        <w:t xml:space="preserve"> </w:t>
      </w:r>
      <w:r w:rsidRPr="009A0DA6">
        <w:rPr>
          <w:rFonts w:ascii="Cambria" w:eastAsia="Calibri" w:hAnsi="Cambria" w:cs="Calibri"/>
          <w:spacing w:val="-1"/>
        </w:rPr>
        <w:t>b</w:t>
      </w:r>
      <w:r w:rsidRPr="009A0DA6">
        <w:rPr>
          <w:rFonts w:ascii="Cambria" w:eastAsia="Calibri" w:hAnsi="Cambria" w:cs="Calibri"/>
        </w:rPr>
        <w:t>efore</w:t>
      </w:r>
      <w:r w:rsidRPr="009A0DA6">
        <w:rPr>
          <w:rFonts w:ascii="Cambria" w:eastAsia="Calibri" w:hAnsi="Cambria" w:cs="Calibri"/>
          <w:spacing w:val="-1"/>
        </w:rPr>
        <w:t xml:space="preserve">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e po</w:t>
      </w:r>
      <w:r w:rsidRPr="009A0DA6">
        <w:rPr>
          <w:rFonts w:ascii="Cambria" w:eastAsia="Calibri" w:hAnsi="Cambria" w:cs="Calibri"/>
          <w:spacing w:val="-3"/>
        </w:rPr>
        <w:t>s</w:t>
      </w:r>
      <w:r w:rsidRPr="009A0DA6">
        <w:rPr>
          <w:rFonts w:ascii="Cambria" w:eastAsia="Calibri" w:hAnsi="Cambria" w:cs="Calibri"/>
        </w:rPr>
        <w:t>s</w:t>
      </w:r>
      <w:r w:rsidRPr="009A0DA6">
        <w:rPr>
          <w:rFonts w:ascii="Cambria" w:eastAsia="Calibri" w:hAnsi="Cambria" w:cs="Calibri"/>
          <w:spacing w:val="-2"/>
        </w:rPr>
        <w:t>i</w:t>
      </w:r>
      <w:r w:rsidRPr="009A0DA6">
        <w:rPr>
          <w:rFonts w:ascii="Cambria" w:eastAsia="Calibri" w:hAnsi="Cambria" w:cs="Calibri"/>
          <w:spacing w:val="-1"/>
        </w:rPr>
        <w:t>b</w:t>
      </w:r>
      <w:r w:rsidRPr="009A0DA6">
        <w:rPr>
          <w:rFonts w:ascii="Cambria" w:eastAsia="Calibri" w:hAnsi="Cambria" w:cs="Calibri"/>
        </w:rPr>
        <w:t xml:space="preserve">ility of </w:t>
      </w:r>
      <w:r w:rsidRPr="009A0DA6">
        <w:rPr>
          <w:rFonts w:ascii="Cambria" w:eastAsia="Calibri" w:hAnsi="Cambria" w:cs="Calibri"/>
          <w:spacing w:val="1"/>
        </w:rPr>
        <w:t>r</w:t>
      </w:r>
      <w:r w:rsidRPr="009A0DA6">
        <w:rPr>
          <w:rFonts w:ascii="Cambria" w:eastAsia="Calibri" w:hAnsi="Cambria" w:cs="Calibri"/>
        </w:rPr>
        <w:t>ec</w:t>
      </w:r>
      <w:r w:rsidRPr="009A0DA6">
        <w:rPr>
          <w:rFonts w:ascii="Cambria" w:eastAsia="Calibri" w:hAnsi="Cambria" w:cs="Calibri"/>
          <w:spacing w:val="-1"/>
        </w:rPr>
        <w:t>on</w:t>
      </w:r>
      <w:r w:rsidRPr="009A0DA6">
        <w:rPr>
          <w:rFonts w:ascii="Cambria" w:eastAsia="Calibri" w:hAnsi="Cambria" w:cs="Calibri"/>
        </w:rPr>
        <w:t>c</w:t>
      </w:r>
      <w:r w:rsidRPr="009A0DA6">
        <w:rPr>
          <w:rFonts w:ascii="Cambria" w:eastAsia="Calibri" w:hAnsi="Cambria" w:cs="Calibri"/>
          <w:spacing w:val="-1"/>
        </w:rPr>
        <w:t>i</w:t>
      </w:r>
      <w:r w:rsidRPr="009A0DA6">
        <w:rPr>
          <w:rFonts w:ascii="Cambria" w:eastAsia="Calibri" w:hAnsi="Cambria" w:cs="Calibri"/>
        </w:rPr>
        <w:t>li</w:t>
      </w:r>
      <w:r w:rsidRPr="009A0DA6">
        <w:rPr>
          <w:rFonts w:ascii="Cambria" w:eastAsia="Calibri" w:hAnsi="Cambria" w:cs="Calibri"/>
          <w:spacing w:val="-1"/>
        </w:rPr>
        <w:t>a</w:t>
      </w:r>
      <w:r w:rsidRPr="009A0DA6">
        <w:rPr>
          <w:rFonts w:ascii="Cambria" w:eastAsia="Calibri" w:hAnsi="Cambria" w:cs="Calibri"/>
        </w:rPr>
        <w:t>tion</w:t>
      </w:r>
      <w:r w:rsidRPr="009A0DA6">
        <w:rPr>
          <w:rFonts w:ascii="Cambria" w:eastAsia="Calibri" w:hAnsi="Cambria" w:cs="Calibri"/>
          <w:spacing w:val="-1"/>
        </w:rPr>
        <w:t xml:space="preserve"> </w:t>
      </w:r>
      <w:r w:rsidRPr="009A0DA6">
        <w:rPr>
          <w:rFonts w:ascii="Cambria" w:eastAsia="Calibri" w:hAnsi="Cambria" w:cs="Calibri"/>
        </w:rPr>
        <w:t>be</w:t>
      </w:r>
      <w:r w:rsidRPr="009A0DA6">
        <w:rPr>
          <w:rFonts w:ascii="Cambria" w:eastAsia="Calibri" w:hAnsi="Cambria" w:cs="Calibri"/>
          <w:spacing w:val="-2"/>
        </w:rPr>
        <w:t>tw</w:t>
      </w:r>
      <w:r w:rsidRPr="009A0DA6">
        <w:rPr>
          <w:rFonts w:ascii="Cambria" w:eastAsia="Calibri" w:hAnsi="Cambria" w:cs="Calibri"/>
        </w:rPr>
        <w:t>een the a</w:t>
      </w:r>
      <w:r w:rsidRPr="009A0DA6">
        <w:rPr>
          <w:rFonts w:ascii="Cambria" w:eastAsia="Calibri" w:hAnsi="Cambria" w:cs="Calibri"/>
          <w:spacing w:val="-1"/>
        </w:rPr>
        <w:t>c</w:t>
      </w:r>
      <w:r w:rsidRPr="009A0DA6">
        <w:rPr>
          <w:rFonts w:ascii="Cambria" w:eastAsia="Calibri" w:hAnsi="Cambria" w:cs="Calibri"/>
        </w:rPr>
        <w:t>c</w:t>
      </w:r>
      <w:r w:rsidRPr="009A0DA6">
        <w:rPr>
          <w:rFonts w:ascii="Cambria" w:eastAsia="Calibri" w:hAnsi="Cambria" w:cs="Calibri"/>
          <w:spacing w:val="-1"/>
        </w:rPr>
        <w:t>u</w:t>
      </w:r>
      <w:r w:rsidRPr="009A0DA6">
        <w:rPr>
          <w:rFonts w:ascii="Cambria" w:eastAsia="Calibri" w:hAnsi="Cambria" w:cs="Calibri"/>
        </w:rPr>
        <w:t>sed a</w:t>
      </w:r>
      <w:r w:rsidRPr="009A0DA6">
        <w:rPr>
          <w:rFonts w:ascii="Cambria" w:eastAsia="Calibri" w:hAnsi="Cambria" w:cs="Calibri"/>
          <w:spacing w:val="-1"/>
        </w:rPr>
        <w:t>n</w:t>
      </w:r>
      <w:r w:rsidRPr="009A0DA6">
        <w:rPr>
          <w:rFonts w:ascii="Cambria" w:eastAsia="Calibri" w:hAnsi="Cambria" w:cs="Calibri"/>
        </w:rPr>
        <w:t>d</w:t>
      </w:r>
      <w:r w:rsidRPr="009A0DA6">
        <w:rPr>
          <w:rFonts w:ascii="Cambria" w:eastAsia="Calibri" w:hAnsi="Cambria" w:cs="Calibri"/>
          <w:spacing w:val="-1"/>
        </w:rPr>
        <w:t xml:space="preserve"> </w:t>
      </w:r>
      <w:r w:rsidRPr="009A0DA6">
        <w:rPr>
          <w:rFonts w:ascii="Cambria" w:eastAsia="Calibri" w:hAnsi="Cambria" w:cs="Calibri"/>
        </w:rPr>
        <w:t xml:space="preserve">his </w:t>
      </w:r>
      <w:r w:rsidRPr="009A0DA6">
        <w:rPr>
          <w:rFonts w:ascii="Cambria" w:eastAsia="Calibri" w:hAnsi="Cambria" w:cs="Calibri"/>
          <w:spacing w:val="-2"/>
        </w:rPr>
        <w:t>o</w:t>
      </w:r>
      <w:r w:rsidRPr="009A0DA6">
        <w:rPr>
          <w:rFonts w:ascii="Cambria" w:eastAsia="Calibri" w:hAnsi="Cambria" w:cs="Calibri"/>
        </w:rPr>
        <w:t>r</w:t>
      </w:r>
      <w:r w:rsidRPr="009A0DA6">
        <w:rPr>
          <w:rFonts w:ascii="Cambria" w:eastAsia="Calibri" w:hAnsi="Cambria" w:cs="Calibri"/>
          <w:spacing w:val="1"/>
        </w:rPr>
        <w:t xml:space="preserve"> </w:t>
      </w:r>
      <w:r w:rsidRPr="009A0DA6">
        <w:rPr>
          <w:rFonts w:ascii="Cambria" w:eastAsia="Calibri" w:hAnsi="Cambria" w:cs="Calibri"/>
        </w:rPr>
        <w:t>h</w:t>
      </w:r>
      <w:r w:rsidRPr="009A0DA6">
        <w:rPr>
          <w:rFonts w:ascii="Cambria" w:eastAsia="Calibri" w:hAnsi="Cambria" w:cs="Calibri"/>
          <w:spacing w:val="-2"/>
        </w:rPr>
        <w:t>e</w:t>
      </w:r>
      <w:r w:rsidRPr="009A0DA6">
        <w:rPr>
          <w:rFonts w:ascii="Cambria" w:eastAsia="Calibri" w:hAnsi="Cambria" w:cs="Calibri"/>
        </w:rPr>
        <w:t>r</w:t>
      </w:r>
      <w:r w:rsidRPr="009A0DA6">
        <w:rPr>
          <w:rFonts w:ascii="Cambria" w:eastAsia="Calibri" w:hAnsi="Cambria" w:cs="Calibri"/>
          <w:spacing w:val="-1"/>
        </w:rPr>
        <w:t xml:space="preserve"> a</w:t>
      </w:r>
      <w:r w:rsidRPr="009A0DA6">
        <w:rPr>
          <w:rFonts w:ascii="Cambria" w:eastAsia="Calibri" w:hAnsi="Cambria" w:cs="Calibri"/>
        </w:rPr>
        <w:t>c</w:t>
      </w:r>
      <w:r w:rsidRPr="009A0DA6">
        <w:rPr>
          <w:rFonts w:ascii="Cambria" w:eastAsia="Calibri" w:hAnsi="Cambria" w:cs="Calibri"/>
          <w:spacing w:val="-1"/>
        </w:rPr>
        <w:t>cu</w:t>
      </w:r>
      <w:r w:rsidRPr="009A0DA6">
        <w:rPr>
          <w:rFonts w:ascii="Cambria" w:eastAsia="Calibri" w:hAnsi="Cambria" w:cs="Calibri"/>
        </w:rPr>
        <w:t>se</w:t>
      </w:r>
      <w:r w:rsidRPr="009A0DA6">
        <w:rPr>
          <w:rFonts w:ascii="Cambria" w:eastAsia="Calibri" w:hAnsi="Cambria" w:cs="Calibri"/>
          <w:spacing w:val="3"/>
        </w:rPr>
        <w:t>r</w:t>
      </w:r>
      <w:r w:rsidRPr="009A0DA6">
        <w:rPr>
          <w:rFonts w:ascii="Cambria" w:eastAsia="Calibri" w:hAnsi="Cambria" w:cs="Calibri"/>
        </w:rPr>
        <w:t>s</w:t>
      </w:r>
      <w:r w:rsidRPr="009A0DA6">
        <w:rPr>
          <w:rFonts w:ascii="Cambria" w:eastAsia="Calibri" w:hAnsi="Cambria" w:cs="Calibri"/>
          <w:spacing w:val="1"/>
        </w:rPr>
        <w:t xml:space="preserve"> </w:t>
      </w:r>
      <w:r w:rsidRPr="009A0DA6">
        <w:rPr>
          <w:rFonts w:ascii="Cambria" w:eastAsia="Calibri" w:hAnsi="Cambria" w:cs="Calibri"/>
          <w:spacing w:val="-1"/>
        </w:rPr>
        <w:t>ha</w:t>
      </w:r>
      <w:r w:rsidRPr="009A0DA6">
        <w:rPr>
          <w:rFonts w:ascii="Cambria" w:eastAsia="Calibri" w:hAnsi="Cambria" w:cs="Calibri"/>
        </w:rPr>
        <w:t>s</w:t>
      </w:r>
      <w:r w:rsidRPr="009A0DA6">
        <w:rPr>
          <w:rFonts w:ascii="Cambria" w:eastAsia="Calibri" w:hAnsi="Cambria" w:cs="Calibri"/>
          <w:spacing w:val="-2"/>
        </w:rPr>
        <w:t xml:space="preserve"> </w:t>
      </w:r>
      <w:r w:rsidRPr="009A0DA6">
        <w:rPr>
          <w:rFonts w:ascii="Cambria" w:eastAsia="Calibri" w:hAnsi="Cambria" w:cs="Calibri"/>
        </w:rPr>
        <w:t>been e</w:t>
      </w:r>
      <w:r w:rsidRPr="009A0DA6">
        <w:rPr>
          <w:rFonts w:ascii="Cambria" w:eastAsia="Calibri" w:hAnsi="Cambria" w:cs="Calibri"/>
          <w:spacing w:val="1"/>
        </w:rPr>
        <w:t>x</w:t>
      </w:r>
      <w:r w:rsidRPr="009A0DA6">
        <w:rPr>
          <w:rFonts w:ascii="Cambria" w:eastAsia="Calibri" w:hAnsi="Cambria" w:cs="Calibri"/>
          <w:spacing w:val="-1"/>
        </w:rPr>
        <w:t>p</w:t>
      </w:r>
      <w:r w:rsidRPr="009A0DA6">
        <w:rPr>
          <w:rFonts w:ascii="Cambria" w:eastAsia="Calibri" w:hAnsi="Cambria" w:cs="Calibri"/>
        </w:rPr>
        <w:t>l</w:t>
      </w:r>
      <w:r w:rsidRPr="009A0DA6">
        <w:rPr>
          <w:rFonts w:ascii="Cambria" w:eastAsia="Calibri" w:hAnsi="Cambria" w:cs="Calibri"/>
          <w:spacing w:val="-3"/>
        </w:rPr>
        <w:t>o</w:t>
      </w:r>
      <w:r w:rsidRPr="009A0DA6">
        <w:rPr>
          <w:rFonts w:ascii="Cambria" w:eastAsia="Calibri" w:hAnsi="Cambria" w:cs="Calibri"/>
          <w:spacing w:val="1"/>
        </w:rPr>
        <w:t>r</w:t>
      </w:r>
      <w:r w:rsidRPr="009A0DA6">
        <w:rPr>
          <w:rFonts w:ascii="Cambria" w:eastAsia="Calibri" w:hAnsi="Cambria" w:cs="Calibri"/>
        </w:rPr>
        <w:t>e</w:t>
      </w:r>
      <w:r w:rsidRPr="009A0DA6">
        <w:rPr>
          <w:rFonts w:ascii="Cambria" w:eastAsia="Calibri" w:hAnsi="Cambria" w:cs="Calibri"/>
          <w:spacing w:val="-3"/>
        </w:rPr>
        <w:t>d</w:t>
      </w:r>
      <w:r w:rsidRPr="009A0DA6">
        <w:rPr>
          <w:rFonts w:ascii="Cambria" w:eastAsia="Calibri" w:hAnsi="Cambria" w:cs="Calibri"/>
        </w:rPr>
        <w:t>. This is</w:t>
      </w:r>
      <w:r w:rsidRPr="009A0DA6">
        <w:rPr>
          <w:rFonts w:ascii="Cambria" w:eastAsia="Calibri" w:hAnsi="Cambria" w:cs="Calibri"/>
          <w:spacing w:val="1"/>
        </w:rPr>
        <w:t xml:space="preserve"> </w:t>
      </w:r>
      <w:r w:rsidRPr="009A0DA6">
        <w:rPr>
          <w:rFonts w:ascii="Cambria" w:eastAsia="Calibri" w:hAnsi="Cambria" w:cs="Calibri"/>
        </w:rPr>
        <w:t>of</w:t>
      </w:r>
      <w:r w:rsidRPr="009A0DA6">
        <w:rPr>
          <w:rFonts w:ascii="Cambria" w:eastAsia="Calibri" w:hAnsi="Cambria" w:cs="Calibri"/>
          <w:spacing w:val="-3"/>
        </w:rPr>
        <w:t xml:space="preserve"> </w:t>
      </w:r>
      <w:r w:rsidRPr="009A0DA6">
        <w:rPr>
          <w:rFonts w:ascii="Cambria" w:eastAsia="Calibri" w:hAnsi="Cambria" w:cs="Calibri"/>
        </w:rPr>
        <w:t>co</w:t>
      </w:r>
      <w:r w:rsidRPr="009A0DA6">
        <w:rPr>
          <w:rFonts w:ascii="Cambria" w:eastAsia="Calibri" w:hAnsi="Cambria" w:cs="Calibri"/>
          <w:spacing w:val="-1"/>
        </w:rPr>
        <w:t>n</w:t>
      </w:r>
      <w:r w:rsidRPr="009A0DA6">
        <w:rPr>
          <w:rFonts w:ascii="Cambria" w:eastAsia="Calibri" w:hAnsi="Cambria" w:cs="Calibri"/>
        </w:rPr>
        <w:t>cern</w:t>
      </w:r>
      <w:r w:rsidRPr="009A0DA6">
        <w:rPr>
          <w:rFonts w:ascii="Cambria" w:eastAsia="Calibri" w:hAnsi="Cambria" w:cs="Calibri"/>
          <w:spacing w:val="-2"/>
        </w:rPr>
        <w:t xml:space="preserve"> </w:t>
      </w:r>
      <w:r w:rsidRPr="009A0DA6">
        <w:rPr>
          <w:rFonts w:ascii="Cambria" w:eastAsia="Calibri" w:hAnsi="Cambria" w:cs="Calibri"/>
        </w:rPr>
        <w:t>sin</w:t>
      </w:r>
      <w:r w:rsidRPr="009A0DA6">
        <w:rPr>
          <w:rFonts w:ascii="Cambria" w:eastAsia="Calibri" w:hAnsi="Cambria" w:cs="Calibri"/>
          <w:spacing w:val="-1"/>
        </w:rPr>
        <w:t>c</w:t>
      </w:r>
      <w:r w:rsidRPr="009A0DA6">
        <w:rPr>
          <w:rFonts w:ascii="Cambria" w:eastAsia="Calibri" w:hAnsi="Cambria" w:cs="Calibri"/>
        </w:rPr>
        <w:t xml:space="preserve">e </w:t>
      </w:r>
      <w:r w:rsidRPr="009A0DA6">
        <w:rPr>
          <w:rFonts w:ascii="Cambria" w:eastAsia="Calibri" w:hAnsi="Cambria" w:cs="Calibri"/>
          <w:spacing w:val="1"/>
        </w:rPr>
        <w:t>t</w:t>
      </w:r>
      <w:r w:rsidRPr="009A0DA6">
        <w:rPr>
          <w:rFonts w:ascii="Cambria" w:eastAsia="Calibri" w:hAnsi="Cambria" w:cs="Calibri"/>
          <w:spacing w:val="-3"/>
        </w:rPr>
        <w:t>h</w:t>
      </w:r>
      <w:r w:rsidRPr="009A0DA6">
        <w:rPr>
          <w:rFonts w:ascii="Cambria" w:eastAsia="Calibri" w:hAnsi="Cambria" w:cs="Calibri"/>
        </w:rPr>
        <w:t>e p</w:t>
      </w:r>
      <w:r w:rsidRPr="009A0DA6">
        <w:rPr>
          <w:rFonts w:ascii="Cambria" w:eastAsia="Calibri" w:hAnsi="Cambria" w:cs="Calibri"/>
          <w:spacing w:val="1"/>
        </w:rPr>
        <w:t>r</w:t>
      </w:r>
      <w:r w:rsidRPr="009A0DA6">
        <w:rPr>
          <w:rFonts w:ascii="Cambria" w:eastAsia="Calibri" w:hAnsi="Cambria" w:cs="Calibri"/>
        </w:rPr>
        <w:t>im</w:t>
      </w:r>
      <w:r w:rsidRPr="009A0DA6">
        <w:rPr>
          <w:rFonts w:ascii="Cambria" w:eastAsia="Calibri" w:hAnsi="Cambria" w:cs="Calibri"/>
          <w:spacing w:val="-3"/>
        </w:rPr>
        <w:t>a</w:t>
      </w:r>
      <w:r w:rsidRPr="009A0DA6">
        <w:rPr>
          <w:rFonts w:ascii="Cambria" w:eastAsia="Calibri" w:hAnsi="Cambria" w:cs="Calibri"/>
          <w:spacing w:val="1"/>
        </w:rPr>
        <w:t>r</w:t>
      </w:r>
      <w:r w:rsidRPr="009A0DA6">
        <w:rPr>
          <w:rFonts w:ascii="Cambria" w:eastAsia="Calibri" w:hAnsi="Cambria" w:cs="Calibri"/>
        </w:rPr>
        <w:t>y p</w:t>
      </w:r>
      <w:r w:rsidRPr="009A0DA6">
        <w:rPr>
          <w:rFonts w:ascii="Cambria" w:eastAsia="Calibri" w:hAnsi="Cambria" w:cs="Calibri"/>
          <w:spacing w:val="-1"/>
        </w:rPr>
        <w:t>u</w:t>
      </w:r>
      <w:r w:rsidRPr="009A0DA6">
        <w:rPr>
          <w:rFonts w:ascii="Cambria" w:eastAsia="Calibri" w:hAnsi="Cambria" w:cs="Calibri"/>
          <w:spacing w:val="1"/>
        </w:rPr>
        <w:t>r</w:t>
      </w:r>
      <w:r w:rsidRPr="009A0DA6">
        <w:rPr>
          <w:rFonts w:ascii="Cambria" w:eastAsia="Calibri" w:hAnsi="Cambria" w:cs="Calibri"/>
          <w:spacing w:val="-1"/>
        </w:rPr>
        <w:t>p</w:t>
      </w:r>
      <w:r w:rsidRPr="009A0DA6">
        <w:rPr>
          <w:rFonts w:ascii="Cambria" w:eastAsia="Calibri" w:hAnsi="Cambria" w:cs="Calibri"/>
          <w:spacing w:val="-3"/>
        </w:rPr>
        <w:t>o</w:t>
      </w:r>
      <w:r w:rsidRPr="009A0DA6">
        <w:rPr>
          <w:rFonts w:ascii="Cambria" w:eastAsia="Calibri" w:hAnsi="Cambria" w:cs="Calibri"/>
        </w:rPr>
        <w:t>se</w:t>
      </w:r>
      <w:r w:rsidRPr="009A0DA6">
        <w:rPr>
          <w:rFonts w:ascii="Cambria" w:eastAsia="Calibri" w:hAnsi="Cambria" w:cs="Calibri"/>
          <w:spacing w:val="1"/>
        </w:rPr>
        <w:t xml:space="preserve"> </w:t>
      </w:r>
      <w:r w:rsidRPr="009A0DA6">
        <w:rPr>
          <w:rFonts w:ascii="Cambria" w:eastAsia="Calibri" w:hAnsi="Cambria" w:cs="Calibri"/>
        </w:rPr>
        <w:t>of</w:t>
      </w:r>
      <w:r w:rsidRPr="009A0DA6">
        <w:rPr>
          <w:rFonts w:ascii="Cambria" w:eastAsia="Calibri" w:hAnsi="Cambria" w:cs="Calibri"/>
          <w:spacing w:val="-2"/>
        </w:rPr>
        <w:t xml:space="preserve"> </w:t>
      </w:r>
      <w:r w:rsidRPr="009A0DA6">
        <w:rPr>
          <w:rFonts w:ascii="Cambria" w:eastAsia="Calibri" w:hAnsi="Cambria" w:cs="Calibri"/>
        </w:rPr>
        <w:t xml:space="preserve">the </w:t>
      </w:r>
      <w:r w:rsidR="00336CE0" w:rsidRPr="009A0DA6">
        <w:rPr>
          <w:rFonts w:ascii="Cambria" w:eastAsia="Calibri" w:hAnsi="Cambria" w:cs="Calibri"/>
          <w:spacing w:val="-2"/>
        </w:rPr>
        <w:lastRenderedPageBreak/>
        <w:t>church</w:t>
      </w:r>
      <w:r w:rsidRPr="009A0DA6">
        <w:rPr>
          <w:rFonts w:ascii="Cambria" w:eastAsia="Calibri" w:hAnsi="Cambria" w:cs="Calibri"/>
        </w:rPr>
        <w:t xml:space="preserve"> is </w:t>
      </w:r>
      <w:r w:rsidRPr="009A0DA6">
        <w:rPr>
          <w:rFonts w:ascii="Cambria" w:eastAsia="Calibri" w:hAnsi="Cambria" w:cs="Calibri"/>
          <w:spacing w:val="1"/>
        </w:rPr>
        <w:t>t</w:t>
      </w:r>
      <w:r w:rsidRPr="009A0DA6">
        <w:rPr>
          <w:rFonts w:ascii="Cambria" w:eastAsia="Calibri" w:hAnsi="Cambria" w:cs="Calibri"/>
        </w:rPr>
        <w:t xml:space="preserve">o </w:t>
      </w:r>
      <w:r w:rsidRPr="009A0DA6">
        <w:rPr>
          <w:rFonts w:ascii="Cambria" w:eastAsia="Calibri" w:hAnsi="Cambria" w:cs="Calibri"/>
          <w:spacing w:val="-1"/>
        </w:rPr>
        <w:t>pur</w:t>
      </w:r>
      <w:r w:rsidRPr="009A0DA6">
        <w:rPr>
          <w:rFonts w:ascii="Cambria" w:eastAsia="Calibri" w:hAnsi="Cambria" w:cs="Calibri"/>
        </w:rPr>
        <w:t>sue a</w:t>
      </w:r>
      <w:r w:rsidRPr="009A0DA6">
        <w:rPr>
          <w:rFonts w:ascii="Cambria" w:eastAsia="Calibri" w:hAnsi="Cambria" w:cs="Calibri"/>
          <w:spacing w:val="-2"/>
        </w:rPr>
        <w:t xml:space="preserve"> </w:t>
      </w:r>
      <w:r w:rsidRPr="009A0DA6">
        <w:rPr>
          <w:rFonts w:ascii="Cambria" w:eastAsia="Calibri" w:hAnsi="Cambria" w:cs="Calibri"/>
        </w:rPr>
        <w:t>min</w:t>
      </w:r>
      <w:r w:rsidRPr="009A0DA6">
        <w:rPr>
          <w:rFonts w:ascii="Cambria" w:eastAsia="Calibri" w:hAnsi="Cambria" w:cs="Calibri"/>
          <w:spacing w:val="-1"/>
        </w:rPr>
        <w:t>i</w:t>
      </w:r>
      <w:r w:rsidRPr="009A0DA6">
        <w:rPr>
          <w:rFonts w:ascii="Cambria" w:eastAsia="Calibri" w:hAnsi="Cambria" w:cs="Calibri"/>
        </w:rPr>
        <w:t>s</w:t>
      </w:r>
      <w:r w:rsidRPr="009A0DA6">
        <w:rPr>
          <w:rFonts w:ascii="Cambria" w:eastAsia="Calibri" w:hAnsi="Cambria" w:cs="Calibri"/>
          <w:spacing w:val="-2"/>
        </w:rPr>
        <w:t>t</w:t>
      </w:r>
      <w:r w:rsidRPr="009A0DA6">
        <w:rPr>
          <w:rFonts w:ascii="Cambria" w:eastAsia="Calibri" w:hAnsi="Cambria" w:cs="Calibri"/>
          <w:spacing w:val="1"/>
        </w:rPr>
        <w:t>r</w:t>
      </w:r>
      <w:r w:rsidRPr="009A0DA6">
        <w:rPr>
          <w:rFonts w:ascii="Cambria" w:eastAsia="Calibri" w:hAnsi="Cambria" w:cs="Calibri"/>
        </w:rPr>
        <w:t>y of f</w:t>
      </w:r>
      <w:r w:rsidRPr="009A0DA6">
        <w:rPr>
          <w:rFonts w:ascii="Cambria" w:eastAsia="Calibri" w:hAnsi="Cambria" w:cs="Calibri"/>
          <w:spacing w:val="-3"/>
        </w:rPr>
        <w:t>o</w:t>
      </w:r>
      <w:r w:rsidRPr="009A0DA6">
        <w:rPr>
          <w:rFonts w:ascii="Cambria" w:eastAsia="Calibri" w:hAnsi="Cambria" w:cs="Calibri"/>
          <w:spacing w:val="1"/>
        </w:rPr>
        <w:t>r</w:t>
      </w:r>
      <w:r w:rsidRPr="009A0DA6">
        <w:rPr>
          <w:rFonts w:ascii="Cambria" w:eastAsia="Calibri" w:hAnsi="Cambria" w:cs="Calibri"/>
          <w:spacing w:val="-1"/>
        </w:rPr>
        <w:t>g</w:t>
      </w:r>
      <w:r w:rsidRPr="009A0DA6">
        <w:rPr>
          <w:rFonts w:ascii="Cambria" w:eastAsia="Calibri" w:hAnsi="Cambria" w:cs="Calibri"/>
        </w:rPr>
        <w:t>ive</w:t>
      </w:r>
      <w:r w:rsidRPr="009A0DA6">
        <w:rPr>
          <w:rFonts w:ascii="Cambria" w:eastAsia="Calibri" w:hAnsi="Cambria" w:cs="Calibri"/>
          <w:spacing w:val="-1"/>
        </w:rPr>
        <w:t>n</w:t>
      </w:r>
      <w:r w:rsidRPr="009A0DA6">
        <w:rPr>
          <w:rFonts w:ascii="Cambria" w:eastAsia="Calibri" w:hAnsi="Cambria" w:cs="Calibri"/>
        </w:rPr>
        <w:t>ess</w:t>
      </w:r>
      <w:r w:rsidRPr="009A0DA6">
        <w:rPr>
          <w:rFonts w:ascii="Cambria" w:eastAsia="Calibri" w:hAnsi="Cambria" w:cs="Calibri"/>
          <w:spacing w:val="-1"/>
        </w:rPr>
        <w:t xml:space="preserve"> </w:t>
      </w:r>
      <w:r w:rsidRPr="009A0DA6">
        <w:rPr>
          <w:rFonts w:ascii="Cambria" w:eastAsia="Calibri" w:hAnsi="Cambria" w:cs="Calibri"/>
        </w:rPr>
        <w:t>a</w:t>
      </w:r>
      <w:r w:rsidRPr="009A0DA6">
        <w:rPr>
          <w:rFonts w:ascii="Cambria" w:eastAsia="Calibri" w:hAnsi="Cambria" w:cs="Calibri"/>
          <w:spacing w:val="-1"/>
        </w:rPr>
        <w:t>n</w:t>
      </w:r>
      <w:r w:rsidRPr="009A0DA6">
        <w:rPr>
          <w:rFonts w:ascii="Cambria" w:eastAsia="Calibri" w:hAnsi="Cambria" w:cs="Calibri"/>
        </w:rPr>
        <w:t>d</w:t>
      </w:r>
      <w:r w:rsidRPr="009A0DA6">
        <w:rPr>
          <w:rFonts w:ascii="Cambria" w:eastAsia="Calibri" w:hAnsi="Cambria" w:cs="Calibri"/>
          <w:spacing w:val="-1"/>
        </w:rPr>
        <w:t xml:space="preserve"> </w:t>
      </w:r>
      <w:r w:rsidRPr="009A0DA6">
        <w:rPr>
          <w:rFonts w:ascii="Cambria" w:eastAsia="Calibri" w:hAnsi="Cambria" w:cs="Calibri"/>
          <w:spacing w:val="1"/>
        </w:rPr>
        <w:t>r</w:t>
      </w:r>
      <w:r w:rsidRPr="009A0DA6">
        <w:rPr>
          <w:rFonts w:ascii="Cambria" w:eastAsia="Calibri" w:hAnsi="Cambria" w:cs="Calibri"/>
        </w:rPr>
        <w:t>ec</w:t>
      </w:r>
      <w:r w:rsidRPr="009A0DA6">
        <w:rPr>
          <w:rFonts w:ascii="Cambria" w:eastAsia="Calibri" w:hAnsi="Cambria" w:cs="Calibri"/>
          <w:spacing w:val="-1"/>
        </w:rPr>
        <w:t>on</w:t>
      </w:r>
      <w:r w:rsidRPr="009A0DA6">
        <w:rPr>
          <w:rFonts w:ascii="Cambria" w:eastAsia="Calibri" w:hAnsi="Cambria" w:cs="Calibri"/>
        </w:rPr>
        <w:t>c</w:t>
      </w:r>
      <w:r w:rsidRPr="009A0DA6">
        <w:rPr>
          <w:rFonts w:ascii="Cambria" w:eastAsia="Calibri" w:hAnsi="Cambria" w:cs="Calibri"/>
          <w:spacing w:val="-1"/>
        </w:rPr>
        <w:t>i</w:t>
      </w:r>
      <w:r w:rsidRPr="009A0DA6">
        <w:rPr>
          <w:rFonts w:ascii="Cambria" w:eastAsia="Calibri" w:hAnsi="Cambria" w:cs="Calibri"/>
        </w:rPr>
        <w:t>li</w:t>
      </w:r>
      <w:r w:rsidRPr="009A0DA6">
        <w:rPr>
          <w:rFonts w:ascii="Cambria" w:eastAsia="Calibri" w:hAnsi="Cambria" w:cs="Calibri"/>
          <w:spacing w:val="-1"/>
        </w:rPr>
        <w:t>a</w:t>
      </w:r>
      <w:r w:rsidRPr="009A0DA6">
        <w:rPr>
          <w:rFonts w:ascii="Cambria" w:eastAsia="Calibri" w:hAnsi="Cambria" w:cs="Calibri"/>
        </w:rPr>
        <w:t>ti</w:t>
      </w:r>
      <w:r w:rsidRPr="009A0DA6">
        <w:rPr>
          <w:rFonts w:ascii="Cambria" w:eastAsia="Calibri" w:hAnsi="Cambria" w:cs="Calibri"/>
          <w:spacing w:val="-3"/>
        </w:rPr>
        <w:t>o</w:t>
      </w:r>
      <w:r w:rsidRPr="009A0DA6">
        <w:rPr>
          <w:rFonts w:ascii="Cambria" w:eastAsia="Calibri" w:hAnsi="Cambria" w:cs="Calibri"/>
        </w:rPr>
        <w:t>n</w:t>
      </w:r>
      <w:r w:rsidRPr="009A0DA6">
        <w:rPr>
          <w:rFonts w:ascii="Cambria" w:eastAsia="Calibri" w:hAnsi="Cambria" w:cs="Calibri"/>
          <w:spacing w:val="-1"/>
        </w:rPr>
        <w:t xml:space="preserve">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spacing w:val="1"/>
        </w:rPr>
        <w:t>r</w:t>
      </w:r>
      <w:r w:rsidRPr="009A0DA6">
        <w:rPr>
          <w:rFonts w:ascii="Cambria" w:eastAsia="Calibri" w:hAnsi="Cambria" w:cs="Calibri"/>
        </w:rPr>
        <w:t>o</w:t>
      </w:r>
      <w:r w:rsidRPr="009A0DA6">
        <w:rPr>
          <w:rFonts w:ascii="Cambria" w:eastAsia="Calibri" w:hAnsi="Cambria" w:cs="Calibri"/>
          <w:spacing w:val="-1"/>
        </w:rPr>
        <w:t>ug</w:t>
      </w:r>
      <w:r w:rsidRPr="009A0DA6">
        <w:rPr>
          <w:rFonts w:ascii="Cambria" w:eastAsia="Calibri" w:hAnsi="Cambria" w:cs="Calibri"/>
        </w:rPr>
        <w:t>h</w:t>
      </w:r>
      <w:r w:rsidRPr="009A0DA6">
        <w:rPr>
          <w:rFonts w:ascii="Cambria" w:eastAsia="Calibri" w:hAnsi="Cambria" w:cs="Calibri"/>
          <w:spacing w:val="-1"/>
        </w:rPr>
        <w:t xml:space="preserve">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rPr>
        <w:t>Gos</w:t>
      </w:r>
      <w:r w:rsidRPr="009A0DA6">
        <w:rPr>
          <w:rFonts w:ascii="Cambria" w:eastAsia="Calibri" w:hAnsi="Cambria" w:cs="Calibri"/>
          <w:spacing w:val="-1"/>
        </w:rPr>
        <w:t>p</w:t>
      </w:r>
      <w:r w:rsidRPr="009A0DA6">
        <w:rPr>
          <w:rFonts w:ascii="Cambria" w:eastAsia="Calibri" w:hAnsi="Cambria" w:cs="Calibri"/>
        </w:rPr>
        <w:t xml:space="preserve">el of </w:t>
      </w:r>
      <w:r w:rsidRPr="009A0DA6">
        <w:rPr>
          <w:rFonts w:ascii="Cambria" w:eastAsia="Calibri" w:hAnsi="Cambria" w:cs="Calibri"/>
          <w:spacing w:val="-1"/>
        </w:rPr>
        <w:t>J</w:t>
      </w:r>
      <w:r w:rsidRPr="009A0DA6">
        <w:rPr>
          <w:rFonts w:ascii="Cambria" w:eastAsia="Calibri" w:hAnsi="Cambria" w:cs="Calibri"/>
          <w:spacing w:val="-2"/>
        </w:rPr>
        <w:t>es</w:t>
      </w:r>
      <w:r w:rsidRPr="009A0DA6">
        <w:rPr>
          <w:rFonts w:ascii="Cambria" w:eastAsia="Calibri" w:hAnsi="Cambria" w:cs="Calibri"/>
          <w:spacing w:val="-1"/>
        </w:rPr>
        <w:t>u</w:t>
      </w:r>
      <w:r w:rsidRPr="009A0DA6">
        <w:rPr>
          <w:rFonts w:ascii="Cambria" w:eastAsia="Calibri" w:hAnsi="Cambria" w:cs="Calibri"/>
        </w:rPr>
        <w:t>s</w:t>
      </w:r>
      <w:r w:rsidRPr="009A0DA6">
        <w:rPr>
          <w:rFonts w:ascii="Cambria" w:eastAsia="Calibri" w:hAnsi="Cambria" w:cs="Calibri"/>
          <w:spacing w:val="1"/>
        </w:rPr>
        <w:t xml:space="preserve"> </w:t>
      </w:r>
      <w:r w:rsidRPr="009A0DA6">
        <w:rPr>
          <w:rFonts w:ascii="Cambria" w:eastAsia="Calibri" w:hAnsi="Cambria" w:cs="Calibri"/>
        </w:rPr>
        <w:t>C</w:t>
      </w:r>
      <w:r w:rsidRPr="009A0DA6">
        <w:rPr>
          <w:rFonts w:ascii="Cambria" w:eastAsia="Calibri" w:hAnsi="Cambria" w:cs="Calibri"/>
          <w:spacing w:val="-1"/>
        </w:rPr>
        <w:t>h</w:t>
      </w:r>
      <w:r w:rsidRPr="009A0DA6">
        <w:rPr>
          <w:rFonts w:ascii="Cambria" w:eastAsia="Calibri" w:hAnsi="Cambria" w:cs="Calibri"/>
          <w:spacing w:val="1"/>
        </w:rPr>
        <w:t>r</w:t>
      </w:r>
      <w:r w:rsidRPr="009A0DA6">
        <w:rPr>
          <w:rFonts w:ascii="Cambria" w:eastAsia="Calibri" w:hAnsi="Cambria" w:cs="Calibri"/>
        </w:rPr>
        <w:t>i</w:t>
      </w:r>
      <w:r w:rsidRPr="009A0DA6">
        <w:rPr>
          <w:rFonts w:ascii="Cambria" w:eastAsia="Calibri" w:hAnsi="Cambria" w:cs="Calibri"/>
          <w:spacing w:val="-2"/>
        </w:rPr>
        <w:t>s</w:t>
      </w:r>
      <w:r w:rsidRPr="009A0DA6">
        <w:rPr>
          <w:rFonts w:ascii="Cambria" w:eastAsia="Calibri" w:hAnsi="Cambria" w:cs="Calibri"/>
        </w:rPr>
        <w:t>t,</w:t>
      </w:r>
      <w:r w:rsidRPr="009A0DA6">
        <w:rPr>
          <w:rFonts w:ascii="Cambria" w:eastAsia="Calibri" w:hAnsi="Cambria" w:cs="Calibri"/>
          <w:spacing w:val="1"/>
        </w:rPr>
        <w:t xml:space="preserve"> </w:t>
      </w:r>
      <w:r w:rsidRPr="009A0DA6">
        <w:rPr>
          <w:rFonts w:ascii="Cambria" w:eastAsia="Calibri" w:hAnsi="Cambria" w:cs="Calibri"/>
          <w:spacing w:val="-1"/>
        </w:rPr>
        <w:t>an</w:t>
      </w:r>
      <w:r w:rsidRPr="009A0DA6">
        <w:rPr>
          <w:rFonts w:ascii="Cambria" w:eastAsia="Calibri" w:hAnsi="Cambria" w:cs="Calibri"/>
        </w:rPr>
        <w:t>d</w:t>
      </w:r>
      <w:r w:rsidRPr="009A0DA6">
        <w:rPr>
          <w:rFonts w:ascii="Cambria" w:eastAsia="Calibri" w:hAnsi="Cambria" w:cs="Calibri"/>
          <w:spacing w:val="-1"/>
        </w:rPr>
        <w:t xml:space="preserve"> </w:t>
      </w:r>
      <w:r w:rsidRPr="009A0DA6">
        <w:rPr>
          <w:rFonts w:ascii="Cambria" w:eastAsia="Calibri" w:hAnsi="Cambria" w:cs="Calibri"/>
          <w:spacing w:val="1"/>
        </w:rPr>
        <w:t>t</w:t>
      </w:r>
      <w:r w:rsidRPr="009A0DA6">
        <w:rPr>
          <w:rFonts w:ascii="Cambria" w:eastAsia="Calibri" w:hAnsi="Cambria" w:cs="Calibri"/>
        </w:rPr>
        <w:t xml:space="preserve">o </w:t>
      </w:r>
      <w:r w:rsidRPr="009A0DA6">
        <w:rPr>
          <w:rFonts w:ascii="Cambria" w:eastAsia="Calibri" w:hAnsi="Cambria" w:cs="Calibri"/>
          <w:spacing w:val="-1"/>
        </w:rPr>
        <w:t>g</w:t>
      </w:r>
      <w:r w:rsidRPr="009A0DA6">
        <w:rPr>
          <w:rFonts w:ascii="Cambria" w:eastAsia="Calibri" w:hAnsi="Cambria" w:cs="Calibri"/>
        </w:rPr>
        <w:t>e</w:t>
      </w:r>
      <w:r w:rsidRPr="009A0DA6">
        <w:rPr>
          <w:rFonts w:ascii="Cambria" w:eastAsia="Calibri" w:hAnsi="Cambria" w:cs="Calibri"/>
          <w:spacing w:val="-3"/>
        </w:rPr>
        <w:t>n</w:t>
      </w:r>
      <w:r w:rsidRPr="009A0DA6">
        <w:rPr>
          <w:rFonts w:ascii="Cambria" w:eastAsia="Calibri" w:hAnsi="Cambria" w:cs="Calibri"/>
        </w:rPr>
        <w:t xml:space="preserve">tly </w:t>
      </w:r>
      <w:r w:rsidRPr="009A0DA6">
        <w:rPr>
          <w:rFonts w:ascii="Cambria" w:eastAsia="Calibri" w:hAnsi="Cambria" w:cs="Calibri"/>
          <w:spacing w:val="-1"/>
        </w:rPr>
        <w:t>r</w:t>
      </w:r>
      <w:r w:rsidRPr="009A0DA6">
        <w:rPr>
          <w:rFonts w:ascii="Cambria" w:eastAsia="Calibri" w:hAnsi="Cambria" w:cs="Calibri"/>
        </w:rPr>
        <w:t>es</w:t>
      </w:r>
      <w:r w:rsidRPr="009A0DA6">
        <w:rPr>
          <w:rFonts w:ascii="Cambria" w:eastAsia="Calibri" w:hAnsi="Cambria" w:cs="Calibri"/>
          <w:spacing w:val="-1"/>
        </w:rPr>
        <w:t>t</w:t>
      </w:r>
      <w:r w:rsidRPr="009A0DA6">
        <w:rPr>
          <w:rFonts w:ascii="Cambria" w:eastAsia="Calibri" w:hAnsi="Cambria" w:cs="Calibri"/>
        </w:rPr>
        <w:t>ore th</w:t>
      </w:r>
      <w:r w:rsidRPr="009A0DA6">
        <w:rPr>
          <w:rFonts w:ascii="Cambria" w:eastAsia="Calibri" w:hAnsi="Cambria" w:cs="Calibri"/>
          <w:spacing w:val="-1"/>
        </w:rPr>
        <w:t>o</w:t>
      </w:r>
      <w:r w:rsidRPr="009A0DA6">
        <w:rPr>
          <w:rFonts w:ascii="Cambria" w:eastAsia="Calibri" w:hAnsi="Cambria" w:cs="Calibri"/>
        </w:rPr>
        <w:t>se</w:t>
      </w:r>
      <w:r w:rsidRPr="009A0DA6">
        <w:rPr>
          <w:rFonts w:ascii="Cambria" w:eastAsia="Calibri" w:hAnsi="Cambria" w:cs="Calibri"/>
          <w:spacing w:val="1"/>
        </w:rPr>
        <w:t xml:space="preserve"> </w:t>
      </w:r>
      <w:r w:rsidRPr="009A0DA6">
        <w:rPr>
          <w:rFonts w:ascii="Cambria" w:eastAsia="Calibri" w:hAnsi="Cambria" w:cs="Calibri"/>
        </w:rPr>
        <w:t xml:space="preserve">who </w:t>
      </w:r>
      <w:r w:rsidRPr="009A0DA6">
        <w:rPr>
          <w:rFonts w:ascii="Cambria" w:eastAsia="Calibri" w:hAnsi="Cambria" w:cs="Calibri"/>
          <w:spacing w:val="-3"/>
        </w:rPr>
        <w:t>a</w:t>
      </w:r>
      <w:r w:rsidRPr="009A0DA6">
        <w:rPr>
          <w:rFonts w:ascii="Cambria" w:eastAsia="Calibri" w:hAnsi="Cambria" w:cs="Calibri"/>
          <w:spacing w:val="1"/>
        </w:rPr>
        <w:t>r</w:t>
      </w:r>
      <w:r w:rsidRPr="009A0DA6">
        <w:rPr>
          <w:rFonts w:ascii="Cambria" w:eastAsia="Calibri" w:hAnsi="Cambria" w:cs="Calibri"/>
        </w:rPr>
        <w:t>e c</w:t>
      </w:r>
      <w:r w:rsidRPr="009A0DA6">
        <w:rPr>
          <w:rFonts w:ascii="Cambria" w:eastAsia="Calibri" w:hAnsi="Cambria" w:cs="Calibri"/>
          <w:spacing w:val="-1"/>
        </w:rPr>
        <w:t>augh</w:t>
      </w:r>
      <w:r w:rsidRPr="009A0DA6">
        <w:rPr>
          <w:rFonts w:ascii="Cambria" w:eastAsia="Calibri" w:hAnsi="Cambria" w:cs="Calibri"/>
        </w:rPr>
        <w:t>t</w:t>
      </w:r>
      <w:r w:rsidRPr="009A0DA6">
        <w:rPr>
          <w:rFonts w:ascii="Cambria" w:eastAsia="Calibri" w:hAnsi="Cambria" w:cs="Calibri"/>
          <w:spacing w:val="1"/>
        </w:rPr>
        <w:t xml:space="preserve"> </w:t>
      </w:r>
      <w:r w:rsidRPr="009A0DA6">
        <w:rPr>
          <w:rFonts w:ascii="Cambria" w:eastAsia="Calibri" w:hAnsi="Cambria" w:cs="Calibri"/>
        </w:rPr>
        <w:t>in</w:t>
      </w:r>
      <w:r w:rsidRPr="009A0DA6">
        <w:rPr>
          <w:rFonts w:ascii="Cambria" w:eastAsia="Calibri" w:hAnsi="Cambria" w:cs="Calibri"/>
          <w:spacing w:val="-3"/>
        </w:rPr>
        <w:t xml:space="preserve"> </w:t>
      </w:r>
      <w:r w:rsidRPr="009A0DA6">
        <w:rPr>
          <w:rFonts w:ascii="Cambria" w:eastAsia="Calibri" w:hAnsi="Cambria" w:cs="Calibri"/>
        </w:rPr>
        <w:t>sin</w:t>
      </w:r>
      <w:r w:rsidRPr="009A0DA6">
        <w:rPr>
          <w:rFonts w:ascii="Cambria" w:eastAsia="Calibri" w:hAnsi="Cambria" w:cs="Calibri"/>
          <w:spacing w:val="-3"/>
        </w:rPr>
        <w:t xml:space="preserve"> </w:t>
      </w:r>
      <w:r w:rsidRPr="009A0DA6">
        <w:rPr>
          <w:rFonts w:ascii="Cambria" w:eastAsia="Calibri" w:hAnsi="Cambria" w:cs="Calibri"/>
          <w:spacing w:val="1"/>
        </w:rPr>
        <w:t>w</w:t>
      </w:r>
      <w:r w:rsidRPr="009A0DA6">
        <w:rPr>
          <w:rFonts w:ascii="Cambria" w:eastAsia="Calibri" w:hAnsi="Cambria" w:cs="Calibri"/>
          <w:spacing w:val="-1"/>
        </w:rPr>
        <w:t>h</w:t>
      </w:r>
      <w:r w:rsidRPr="009A0DA6">
        <w:rPr>
          <w:rFonts w:ascii="Cambria" w:eastAsia="Calibri" w:hAnsi="Cambria" w:cs="Calibri"/>
        </w:rPr>
        <w:t>enev</w:t>
      </w:r>
      <w:r w:rsidRPr="009A0DA6">
        <w:rPr>
          <w:rFonts w:ascii="Cambria" w:eastAsia="Calibri" w:hAnsi="Cambria" w:cs="Calibri"/>
          <w:spacing w:val="-3"/>
        </w:rPr>
        <w:t>e</w:t>
      </w:r>
      <w:r w:rsidRPr="009A0DA6">
        <w:rPr>
          <w:rFonts w:ascii="Cambria" w:eastAsia="Calibri" w:hAnsi="Cambria" w:cs="Calibri"/>
        </w:rPr>
        <w:t>r</w:t>
      </w:r>
      <w:r w:rsidRPr="009A0DA6">
        <w:rPr>
          <w:rFonts w:ascii="Cambria" w:eastAsia="Calibri" w:hAnsi="Cambria" w:cs="Calibri"/>
          <w:spacing w:val="1"/>
        </w:rPr>
        <w:t xml:space="preserve"> </w:t>
      </w:r>
      <w:r w:rsidRPr="009A0DA6">
        <w:rPr>
          <w:rFonts w:ascii="Cambria" w:eastAsia="Calibri" w:hAnsi="Cambria" w:cs="Calibri"/>
        </w:rPr>
        <w:t>p</w:t>
      </w:r>
      <w:r w:rsidRPr="009A0DA6">
        <w:rPr>
          <w:rFonts w:ascii="Cambria" w:eastAsia="Calibri" w:hAnsi="Cambria" w:cs="Calibri"/>
          <w:spacing w:val="-1"/>
        </w:rPr>
        <w:t>o</w:t>
      </w:r>
      <w:r w:rsidRPr="009A0DA6">
        <w:rPr>
          <w:rFonts w:ascii="Cambria" w:eastAsia="Calibri" w:hAnsi="Cambria" w:cs="Calibri"/>
          <w:spacing w:val="-2"/>
        </w:rPr>
        <w:t>s</w:t>
      </w:r>
      <w:r w:rsidRPr="009A0DA6">
        <w:rPr>
          <w:rFonts w:ascii="Cambria" w:eastAsia="Calibri" w:hAnsi="Cambria" w:cs="Calibri"/>
        </w:rPr>
        <w:t>sib</w:t>
      </w:r>
      <w:r w:rsidRPr="009A0DA6">
        <w:rPr>
          <w:rFonts w:ascii="Cambria" w:eastAsia="Calibri" w:hAnsi="Cambria" w:cs="Calibri"/>
          <w:spacing w:val="-1"/>
        </w:rPr>
        <w:t>l</w:t>
      </w:r>
      <w:r w:rsidRPr="009A0DA6">
        <w:rPr>
          <w:rFonts w:ascii="Cambria" w:eastAsia="Calibri" w:hAnsi="Cambria" w:cs="Calibri"/>
        </w:rPr>
        <w:t xml:space="preserve">e </w:t>
      </w:r>
      <w:r w:rsidRPr="009A0DA6">
        <w:rPr>
          <w:rFonts w:ascii="Cambria" w:eastAsia="Calibri" w:hAnsi="Cambria" w:cs="Calibri"/>
          <w:spacing w:val="1"/>
        </w:rPr>
        <w:t>(</w:t>
      </w:r>
      <w:r w:rsidRPr="009A0DA6">
        <w:rPr>
          <w:rFonts w:ascii="Cambria" w:eastAsia="Calibri" w:hAnsi="Cambria" w:cs="Calibri"/>
        </w:rPr>
        <w:t>G</w:t>
      </w:r>
      <w:r w:rsidRPr="009A0DA6">
        <w:rPr>
          <w:rFonts w:ascii="Cambria" w:eastAsia="Calibri" w:hAnsi="Cambria" w:cs="Calibri"/>
          <w:spacing w:val="-1"/>
        </w:rPr>
        <w:t>a</w:t>
      </w:r>
      <w:r w:rsidRPr="009A0DA6">
        <w:rPr>
          <w:rFonts w:ascii="Cambria" w:eastAsia="Calibri" w:hAnsi="Cambria" w:cs="Calibri"/>
        </w:rPr>
        <w:t>l</w:t>
      </w:r>
      <w:r w:rsidR="004A186C">
        <w:rPr>
          <w:rFonts w:ascii="Cambria" w:eastAsia="Calibri" w:hAnsi="Cambria" w:cs="Calibri"/>
          <w:spacing w:val="1"/>
        </w:rPr>
        <w:t xml:space="preserve">atians </w:t>
      </w:r>
      <w:r w:rsidRPr="009A0DA6">
        <w:rPr>
          <w:rFonts w:ascii="Cambria" w:eastAsia="Calibri" w:hAnsi="Cambria" w:cs="Calibri"/>
          <w:spacing w:val="1"/>
        </w:rPr>
        <w:t>6</w:t>
      </w:r>
      <w:r w:rsidRPr="009A0DA6">
        <w:rPr>
          <w:rFonts w:ascii="Cambria" w:eastAsia="Calibri" w:hAnsi="Cambria" w:cs="Calibri"/>
          <w:spacing w:val="-1"/>
        </w:rPr>
        <w:t>:</w:t>
      </w:r>
      <w:r w:rsidRPr="009A0DA6">
        <w:rPr>
          <w:rFonts w:ascii="Cambria" w:eastAsia="Calibri" w:hAnsi="Cambria" w:cs="Calibri"/>
          <w:spacing w:val="4"/>
        </w:rPr>
        <w:t>1</w:t>
      </w:r>
      <w:r w:rsidRPr="009A0DA6">
        <w:rPr>
          <w:rFonts w:ascii="Cambria" w:eastAsia="Calibri" w:hAnsi="Cambria" w:cs="Calibri"/>
        </w:rPr>
        <w:t>).</w:t>
      </w:r>
      <w:r w:rsidRPr="009A0DA6">
        <w:rPr>
          <w:rFonts w:ascii="Cambria" w:eastAsia="Calibri" w:hAnsi="Cambria" w:cs="Calibri"/>
        </w:rPr>
        <w:br/>
      </w:r>
    </w:p>
    <w:p w14:paraId="5D363BC8" w14:textId="30E4FB5B" w:rsidR="00194B18" w:rsidRPr="009A0DA6" w:rsidRDefault="00194B18" w:rsidP="00F55252">
      <w:pPr>
        <w:pStyle w:val="ListParagraph"/>
        <w:numPr>
          <w:ilvl w:val="3"/>
          <w:numId w:val="142"/>
        </w:numPr>
        <w:spacing w:after="120" w:line="240" w:lineRule="auto"/>
        <w:ind w:left="567" w:right="136" w:hanging="567"/>
        <w:rPr>
          <w:rFonts w:ascii="Cambria" w:eastAsia="Calibri" w:hAnsi="Cambria" w:cs="Calibri"/>
        </w:rPr>
      </w:pPr>
      <w:r w:rsidRPr="009A0DA6">
        <w:rPr>
          <w:rFonts w:ascii="Cambria" w:eastAsia="Calibri" w:hAnsi="Cambria" w:cs="Calibri"/>
        </w:rPr>
        <w:t>Th</w:t>
      </w:r>
      <w:r w:rsidRPr="009A0DA6">
        <w:rPr>
          <w:rFonts w:ascii="Cambria" w:eastAsia="Calibri" w:hAnsi="Cambria" w:cs="Calibri"/>
          <w:spacing w:val="-1"/>
        </w:rPr>
        <w:t>a</w:t>
      </w:r>
      <w:r w:rsidRPr="009A0DA6">
        <w:rPr>
          <w:rFonts w:ascii="Cambria" w:eastAsia="Calibri" w:hAnsi="Cambria" w:cs="Calibri"/>
        </w:rPr>
        <w:t>t</w:t>
      </w:r>
      <w:r w:rsidRPr="009A0DA6">
        <w:rPr>
          <w:rFonts w:ascii="Cambria" w:eastAsia="Calibri" w:hAnsi="Cambria" w:cs="Calibri"/>
          <w:spacing w:val="1"/>
        </w:rPr>
        <w:t xml:space="preserve"> </w:t>
      </w:r>
      <w:r w:rsidRPr="009A0DA6">
        <w:rPr>
          <w:rFonts w:ascii="Cambria" w:eastAsia="Calibri" w:hAnsi="Cambria" w:cs="Calibri"/>
        </w:rPr>
        <w:t>i</w:t>
      </w:r>
      <w:r w:rsidRPr="009A0DA6">
        <w:rPr>
          <w:rFonts w:ascii="Cambria" w:eastAsia="Calibri" w:hAnsi="Cambria" w:cs="Calibri"/>
          <w:spacing w:val="-1"/>
        </w:rPr>
        <w:t>nd</w:t>
      </w:r>
      <w:r w:rsidRPr="009A0DA6">
        <w:rPr>
          <w:rFonts w:ascii="Cambria" w:eastAsia="Calibri" w:hAnsi="Cambria" w:cs="Calibri"/>
        </w:rPr>
        <w:t>iv</w:t>
      </w:r>
      <w:r w:rsidRPr="009A0DA6">
        <w:rPr>
          <w:rFonts w:ascii="Cambria" w:eastAsia="Calibri" w:hAnsi="Cambria" w:cs="Calibri"/>
          <w:spacing w:val="-1"/>
        </w:rPr>
        <w:t>idua</w:t>
      </w:r>
      <w:r w:rsidRPr="009A0DA6">
        <w:rPr>
          <w:rFonts w:ascii="Cambria" w:eastAsia="Calibri" w:hAnsi="Cambria" w:cs="Calibri"/>
        </w:rPr>
        <w:t xml:space="preserve">ls </w:t>
      </w:r>
      <w:r w:rsidRPr="009A0DA6">
        <w:rPr>
          <w:rFonts w:ascii="Cambria" w:eastAsia="Calibri" w:hAnsi="Cambria" w:cs="Calibri"/>
          <w:spacing w:val="1"/>
        </w:rPr>
        <w:t>w</w:t>
      </w:r>
      <w:r w:rsidRPr="009A0DA6">
        <w:rPr>
          <w:rFonts w:ascii="Cambria" w:eastAsia="Calibri" w:hAnsi="Cambria" w:cs="Calibri"/>
          <w:spacing w:val="-1"/>
        </w:rPr>
        <w:t>h</w:t>
      </w:r>
      <w:r w:rsidRPr="009A0DA6">
        <w:rPr>
          <w:rFonts w:ascii="Cambria" w:eastAsia="Calibri" w:hAnsi="Cambria" w:cs="Calibri"/>
        </w:rPr>
        <w:t xml:space="preserve">o </w:t>
      </w:r>
      <w:r w:rsidRPr="009A0DA6">
        <w:rPr>
          <w:rFonts w:ascii="Cambria" w:eastAsia="Calibri" w:hAnsi="Cambria" w:cs="Calibri"/>
          <w:spacing w:val="-1"/>
        </w:rPr>
        <w:t>ha</w:t>
      </w:r>
      <w:r w:rsidRPr="009A0DA6">
        <w:rPr>
          <w:rFonts w:ascii="Cambria" w:eastAsia="Calibri" w:hAnsi="Cambria" w:cs="Calibri"/>
        </w:rPr>
        <w:t>ve</w:t>
      </w:r>
      <w:r w:rsidRPr="009A0DA6">
        <w:rPr>
          <w:rFonts w:ascii="Cambria" w:eastAsia="Calibri" w:hAnsi="Cambria" w:cs="Calibri"/>
          <w:spacing w:val="-2"/>
        </w:rPr>
        <w:t xml:space="preserve"> </w:t>
      </w:r>
      <w:r w:rsidRPr="009A0DA6">
        <w:rPr>
          <w:rFonts w:ascii="Cambria" w:eastAsia="Calibri" w:hAnsi="Cambria" w:cs="Calibri"/>
          <w:spacing w:val="-1"/>
        </w:rPr>
        <w:t>n</w:t>
      </w:r>
      <w:r w:rsidRPr="009A0DA6">
        <w:rPr>
          <w:rFonts w:ascii="Cambria" w:eastAsia="Calibri" w:hAnsi="Cambria" w:cs="Calibri"/>
        </w:rPr>
        <w:t>ever</w:t>
      </w:r>
      <w:r w:rsidRPr="009A0DA6">
        <w:rPr>
          <w:rFonts w:ascii="Cambria" w:eastAsia="Calibri" w:hAnsi="Cambria" w:cs="Calibri"/>
          <w:spacing w:val="1"/>
        </w:rPr>
        <w:t xml:space="preserve"> </w:t>
      </w:r>
      <w:r w:rsidRPr="009A0DA6">
        <w:rPr>
          <w:rFonts w:ascii="Cambria" w:eastAsia="Calibri" w:hAnsi="Cambria" w:cs="Calibri"/>
        </w:rPr>
        <w:t>b</w:t>
      </w:r>
      <w:r w:rsidRPr="009A0DA6">
        <w:rPr>
          <w:rFonts w:ascii="Cambria" w:eastAsia="Calibri" w:hAnsi="Cambria" w:cs="Calibri"/>
          <w:spacing w:val="-2"/>
        </w:rPr>
        <w:t>e</w:t>
      </w:r>
      <w:r w:rsidRPr="009A0DA6">
        <w:rPr>
          <w:rFonts w:ascii="Cambria" w:eastAsia="Calibri" w:hAnsi="Cambria" w:cs="Calibri"/>
        </w:rPr>
        <w:t xml:space="preserve">en </w:t>
      </w:r>
      <w:r w:rsidRPr="009A0DA6">
        <w:rPr>
          <w:rFonts w:ascii="Cambria" w:eastAsia="Calibri" w:hAnsi="Cambria" w:cs="Calibri"/>
          <w:spacing w:val="-1"/>
        </w:rPr>
        <w:t>a</w:t>
      </w:r>
      <w:r w:rsidRPr="009A0DA6">
        <w:rPr>
          <w:rFonts w:ascii="Cambria" w:eastAsia="Calibri" w:hAnsi="Cambria" w:cs="Calibri"/>
        </w:rPr>
        <w:t>c</w:t>
      </w:r>
      <w:r w:rsidRPr="009A0DA6">
        <w:rPr>
          <w:rFonts w:ascii="Cambria" w:eastAsia="Calibri" w:hAnsi="Cambria" w:cs="Calibri"/>
          <w:spacing w:val="-1"/>
        </w:rPr>
        <w:t>cu</w:t>
      </w:r>
      <w:r w:rsidRPr="009A0DA6">
        <w:rPr>
          <w:rFonts w:ascii="Cambria" w:eastAsia="Calibri" w:hAnsi="Cambria" w:cs="Calibri"/>
        </w:rPr>
        <w:t>sed of a</w:t>
      </w:r>
      <w:r w:rsidRPr="009A0DA6">
        <w:rPr>
          <w:rFonts w:ascii="Cambria" w:eastAsia="Calibri" w:hAnsi="Cambria" w:cs="Calibri"/>
          <w:spacing w:val="-1"/>
        </w:rPr>
        <w:t>n</w:t>
      </w:r>
      <w:r w:rsidRPr="009A0DA6">
        <w:rPr>
          <w:rFonts w:ascii="Cambria" w:eastAsia="Calibri" w:hAnsi="Cambria" w:cs="Calibri"/>
        </w:rPr>
        <w:t>y</w:t>
      </w:r>
      <w:r w:rsidRPr="009A0DA6">
        <w:rPr>
          <w:rFonts w:ascii="Cambria" w:eastAsia="Calibri" w:hAnsi="Cambria" w:cs="Calibri"/>
          <w:spacing w:val="-2"/>
        </w:rPr>
        <w:t xml:space="preserve"> </w:t>
      </w:r>
      <w:r w:rsidRPr="009A0DA6">
        <w:rPr>
          <w:rFonts w:ascii="Cambria" w:eastAsia="Calibri" w:hAnsi="Cambria" w:cs="Calibri"/>
        </w:rPr>
        <w:t>crime,</w:t>
      </w:r>
      <w:r w:rsidRPr="009A0DA6">
        <w:rPr>
          <w:rFonts w:ascii="Cambria" w:eastAsia="Calibri" w:hAnsi="Cambria" w:cs="Calibri"/>
          <w:spacing w:val="-1"/>
        </w:rPr>
        <w:t xml:space="preserve"> </w:t>
      </w:r>
      <w:r w:rsidRPr="009A0DA6">
        <w:rPr>
          <w:rFonts w:ascii="Cambria" w:eastAsia="Calibri" w:hAnsi="Cambria" w:cs="Calibri"/>
        </w:rPr>
        <w:t>a</w:t>
      </w:r>
      <w:r w:rsidRPr="009A0DA6">
        <w:rPr>
          <w:rFonts w:ascii="Cambria" w:eastAsia="Calibri" w:hAnsi="Cambria" w:cs="Calibri"/>
          <w:spacing w:val="-1"/>
        </w:rPr>
        <w:t>n</w:t>
      </w:r>
      <w:r w:rsidRPr="009A0DA6">
        <w:rPr>
          <w:rFonts w:ascii="Cambria" w:eastAsia="Calibri" w:hAnsi="Cambria" w:cs="Calibri"/>
        </w:rPr>
        <w:t>d</w:t>
      </w:r>
      <w:r w:rsidRPr="009A0DA6">
        <w:rPr>
          <w:rFonts w:ascii="Cambria" w:eastAsia="Calibri" w:hAnsi="Cambria" w:cs="Calibri"/>
          <w:spacing w:val="-1"/>
        </w:rPr>
        <w:t xml:space="preserve"> </w:t>
      </w:r>
      <w:r w:rsidRPr="009A0DA6">
        <w:rPr>
          <w:rFonts w:ascii="Cambria" w:eastAsia="Calibri" w:hAnsi="Cambria" w:cs="Calibri"/>
        </w:rPr>
        <w:t>h</w:t>
      </w:r>
      <w:r w:rsidRPr="009A0DA6">
        <w:rPr>
          <w:rFonts w:ascii="Cambria" w:eastAsia="Calibri" w:hAnsi="Cambria" w:cs="Calibri"/>
          <w:spacing w:val="-1"/>
        </w:rPr>
        <w:t>a</w:t>
      </w:r>
      <w:r w:rsidRPr="009A0DA6">
        <w:rPr>
          <w:rFonts w:ascii="Cambria" w:eastAsia="Calibri" w:hAnsi="Cambria" w:cs="Calibri"/>
        </w:rPr>
        <w:t>ve nev</w:t>
      </w:r>
      <w:r w:rsidRPr="009A0DA6">
        <w:rPr>
          <w:rFonts w:ascii="Cambria" w:eastAsia="Calibri" w:hAnsi="Cambria" w:cs="Calibri"/>
          <w:spacing w:val="-2"/>
        </w:rPr>
        <w:t>e</w:t>
      </w:r>
      <w:r w:rsidRPr="009A0DA6">
        <w:rPr>
          <w:rFonts w:ascii="Cambria" w:eastAsia="Calibri" w:hAnsi="Cambria" w:cs="Calibri"/>
        </w:rPr>
        <w:t>r</w:t>
      </w:r>
      <w:r w:rsidRPr="009A0DA6">
        <w:rPr>
          <w:rFonts w:ascii="Cambria" w:eastAsia="Calibri" w:hAnsi="Cambria" w:cs="Calibri"/>
          <w:spacing w:val="1"/>
        </w:rPr>
        <w:t xml:space="preserve"> </w:t>
      </w:r>
      <w:r w:rsidRPr="009A0DA6">
        <w:rPr>
          <w:rFonts w:ascii="Cambria" w:eastAsia="Calibri" w:hAnsi="Cambria" w:cs="Calibri"/>
        </w:rPr>
        <w:t>h</w:t>
      </w:r>
      <w:r w:rsidRPr="009A0DA6">
        <w:rPr>
          <w:rFonts w:ascii="Cambria" w:eastAsia="Calibri" w:hAnsi="Cambria" w:cs="Calibri"/>
          <w:spacing w:val="-1"/>
        </w:rPr>
        <w:t>a</w:t>
      </w:r>
      <w:r w:rsidRPr="009A0DA6">
        <w:rPr>
          <w:rFonts w:ascii="Cambria" w:eastAsia="Calibri" w:hAnsi="Cambria" w:cs="Calibri"/>
        </w:rPr>
        <w:t>d</w:t>
      </w:r>
      <w:r w:rsidRPr="009A0DA6">
        <w:rPr>
          <w:rFonts w:ascii="Cambria" w:eastAsia="Calibri" w:hAnsi="Cambria" w:cs="Calibri"/>
          <w:spacing w:val="-3"/>
        </w:rPr>
        <w:t xml:space="preserve"> </w:t>
      </w:r>
      <w:r w:rsidRPr="009A0DA6">
        <w:rPr>
          <w:rFonts w:ascii="Cambria" w:eastAsia="Calibri" w:hAnsi="Cambria" w:cs="Calibri"/>
        </w:rPr>
        <w:t>their</w:t>
      </w:r>
      <w:r w:rsidRPr="009A0DA6">
        <w:rPr>
          <w:rFonts w:ascii="Cambria" w:eastAsia="Calibri" w:hAnsi="Cambria" w:cs="Calibri"/>
          <w:spacing w:val="1"/>
        </w:rPr>
        <w:t xml:space="preserve"> </w:t>
      </w:r>
      <w:r w:rsidRPr="009A0DA6">
        <w:rPr>
          <w:rFonts w:ascii="Cambria" w:eastAsia="Calibri" w:hAnsi="Cambria" w:cs="Calibri"/>
          <w:spacing w:val="-1"/>
        </w:rPr>
        <w:t>gu</w:t>
      </w:r>
      <w:r w:rsidRPr="009A0DA6">
        <w:rPr>
          <w:rFonts w:ascii="Cambria" w:eastAsia="Calibri" w:hAnsi="Cambria" w:cs="Calibri"/>
        </w:rPr>
        <w:t>ilt</w:t>
      </w:r>
      <w:r w:rsidRPr="009A0DA6">
        <w:rPr>
          <w:rFonts w:ascii="Cambria" w:eastAsia="Calibri" w:hAnsi="Cambria" w:cs="Calibri"/>
          <w:spacing w:val="1"/>
        </w:rPr>
        <w:t xml:space="preserve"> </w:t>
      </w:r>
      <w:r w:rsidRPr="009A0DA6">
        <w:rPr>
          <w:rFonts w:ascii="Cambria" w:eastAsia="Calibri" w:hAnsi="Cambria" w:cs="Calibri"/>
          <w:spacing w:val="-3"/>
        </w:rPr>
        <w:t>p</w:t>
      </w:r>
      <w:r w:rsidRPr="009A0DA6">
        <w:rPr>
          <w:rFonts w:ascii="Cambria" w:eastAsia="Calibri" w:hAnsi="Cambria" w:cs="Calibri"/>
          <w:spacing w:val="1"/>
        </w:rPr>
        <w:t>r</w:t>
      </w:r>
      <w:r w:rsidRPr="009A0DA6">
        <w:rPr>
          <w:rFonts w:ascii="Cambria" w:eastAsia="Calibri" w:hAnsi="Cambria" w:cs="Calibri"/>
        </w:rPr>
        <w:t>oven</w:t>
      </w:r>
      <w:r w:rsidRPr="009A0DA6">
        <w:rPr>
          <w:rFonts w:ascii="Cambria" w:eastAsia="Calibri" w:hAnsi="Cambria" w:cs="Calibri"/>
          <w:spacing w:val="-3"/>
        </w:rPr>
        <w:t xml:space="preserve"> </w:t>
      </w:r>
      <w:r w:rsidRPr="009A0DA6">
        <w:rPr>
          <w:rFonts w:ascii="Cambria" w:eastAsia="Calibri" w:hAnsi="Cambria" w:cs="Calibri"/>
        </w:rPr>
        <w:t>when</w:t>
      </w:r>
      <w:r w:rsidRPr="009A0DA6">
        <w:rPr>
          <w:rFonts w:ascii="Cambria" w:eastAsia="Calibri" w:hAnsi="Cambria" w:cs="Calibri"/>
          <w:spacing w:val="-1"/>
        </w:rPr>
        <w:t xml:space="preserve"> </w:t>
      </w:r>
      <w:r w:rsidRPr="009A0DA6">
        <w:rPr>
          <w:rFonts w:ascii="Cambria" w:eastAsia="Calibri" w:hAnsi="Cambria" w:cs="Calibri"/>
        </w:rPr>
        <w:t>it</w:t>
      </w:r>
      <w:r w:rsidRPr="009A0DA6">
        <w:rPr>
          <w:rFonts w:ascii="Cambria" w:eastAsia="Calibri" w:hAnsi="Cambria" w:cs="Calibri"/>
          <w:spacing w:val="-1"/>
        </w:rPr>
        <w:t xml:space="preserve"> </w:t>
      </w:r>
      <w:r w:rsidRPr="009A0DA6">
        <w:rPr>
          <w:rFonts w:ascii="Cambria" w:eastAsia="Calibri" w:hAnsi="Cambria" w:cs="Calibri"/>
        </w:rPr>
        <w:t xml:space="preserve">comes to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rPr>
        <w:t>mi</w:t>
      </w:r>
      <w:r w:rsidRPr="009A0DA6">
        <w:rPr>
          <w:rFonts w:ascii="Cambria" w:eastAsia="Calibri" w:hAnsi="Cambria" w:cs="Calibri"/>
          <w:spacing w:val="1"/>
        </w:rPr>
        <w:t>s</w:t>
      </w:r>
      <w:r w:rsidRPr="009A0DA6">
        <w:rPr>
          <w:rFonts w:ascii="Cambria" w:eastAsia="Calibri" w:hAnsi="Cambria" w:cs="Calibri"/>
          <w:spacing w:val="-1"/>
        </w:rPr>
        <w:t>d</w:t>
      </w:r>
      <w:r w:rsidRPr="009A0DA6">
        <w:rPr>
          <w:rFonts w:ascii="Cambria" w:eastAsia="Calibri" w:hAnsi="Cambria" w:cs="Calibri"/>
          <w:spacing w:val="-2"/>
        </w:rPr>
        <w:t>e</w:t>
      </w:r>
      <w:r w:rsidRPr="009A0DA6">
        <w:rPr>
          <w:rFonts w:ascii="Cambria" w:eastAsia="Calibri" w:hAnsi="Cambria" w:cs="Calibri"/>
        </w:rPr>
        <w:t>mea</w:t>
      </w:r>
      <w:r w:rsidRPr="009A0DA6">
        <w:rPr>
          <w:rFonts w:ascii="Cambria" w:eastAsia="Calibri" w:hAnsi="Cambria" w:cs="Calibri"/>
          <w:spacing w:val="-1"/>
        </w:rPr>
        <w:t>n</w:t>
      </w:r>
      <w:r w:rsidRPr="009A0DA6">
        <w:rPr>
          <w:rFonts w:ascii="Cambria" w:eastAsia="Calibri" w:hAnsi="Cambria" w:cs="Calibri"/>
        </w:rPr>
        <w:t>o</w:t>
      </w:r>
      <w:r w:rsidRPr="009A0DA6">
        <w:rPr>
          <w:rFonts w:ascii="Cambria" w:eastAsia="Calibri" w:hAnsi="Cambria" w:cs="Calibri"/>
          <w:spacing w:val="-1"/>
        </w:rPr>
        <w:t>r</w:t>
      </w:r>
      <w:r w:rsidRPr="009A0DA6">
        <w:rPr>
          <w:rFonts w:ascii="Cambria" w:eastAsia="Calibri" w:hAnsi="Cambria" w:cs="Calibri"/>
          <w:spacing w:val="1"/>
        </w:rPr>
        <w:t xml:space="preserve">s </w:t>
      </w:r>
      <w:r w:rsidRPr="009A0DA6">
        <w:rPr>
          <w:rFonts w:ascii="Cambria" w:eastAsia="Calibri" w:hAnsi="Cambria" w:cs="Calibri"/>
        </w:rPr>
        <w:t>of</w:t>
      </w:r>
      <w:r w:rsidRPr="009A0DA6">
        <w:rPr>
          <w:rFonts w:ascii="Cambria" w:eastAsia="Calibri" w:hAnsi="Cambria" w:cs="Calibri"/>
          <w:spacing w:val="-3"/>
        </w:rPr>
        <w:t xml:space="preserve"> </w:t>
      </w:r>
      <w:r w:rsidRPr="009A0DA6">
        <w:rPr>
          <w:rFonts w:ascii="Cambria" w:eastAsia="Calibri" w:hAnsi="Cambria" w:cs="Calibri"/>
          <w:spacing w:val="-1"/>
        </w:rPr>
        <w:t>wh</w:t>
      </w:r>
      <w:r w:rsidRPr="009A0DA6">
        <w:rPr>
          <w:rFonts w:ascii="Cambria" w:eastAsia="Calibri" w:hAnsi="Cambria" w:cs="Calibri"/>
        </w:rPr>
        <w:t>i</w:t>
      </w:r>
      <w:r w:rsidRPr="009A0DA6">
        <w:rPr>
          <w:rFonts w:ascii="Cambria" w:eastAsia="Calibri" w:hAnsi="Cambria" w:cs="Calibri"/>
          <w:spacing w:val="-1"/>
        </w:rPr>
        <w:t>c</w:t>
      </w:r>
      <w:r w:rsidRPr="009A0DA6">
        <w:rPr>
          <w:rFonts w:ascii="Cambria" w:eastAsia="Calibri" w:hAnsi="Cambria" w:cs="Calibri"/>
        </w:rPr>
        <w:t>h</w:t>
      </w:r>
      <w:r w:rsidRPr="009A0DA6">
        <w:rPr>
          <w:rFonts w:ascii="Cambria" w:eastAsia="Calibri" w:hAnsi="Cambria" w:cs="Calibri"/>
          <w:spacing w:val="-1"/>
        </w:rPr>
        <w:t xml:space="preserve">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ey h</w:t>
      </w:r>
      <w:r w:rsidRPr="009A0DA6">
        <w:rPr>
          <w:rFonts w:ascii="Cambria" w:eastAsia="Calibri" w:hAnsi="Cambria" w:cs="Calibri"/>
          <w:spacing w:val="-1"/>
        </w:rPr>
        <w:t>a</w:t>
      </w:r>
      <w:r w:rsidRPr="009A0DA6">
        <w:rPr>
          <w:rFonts w:ascii="Cambria" w:eastAsia="Calibri" w:hAnsi="Cambria" w:cs="Calibri"/>
        </w:rPr>
        <w:t>ve been</w:t>
      </w:r>
      <w:r w:rsidRPr="009A0DA6">
        <w:rPr>
          <w:rFonts w:ascii="Cambria" w:eastAsia="Calibri" w:hAnsi="Cambria" w:cs="Calibri"/>
          <w:spacing w:val="-1"/>
        </w:rPr>
        <w:t xml:space="preserve"> </w:t>
      </w:r>
      <w:r w:rsidRPr="009A0DA6">
        <w:rPr>
          <w:rFonts w:ascii="Cambria" w:eastAsia="Calibri" w:hAnsi="Cambria" w:cs="Calibri"/>
        </w:rPr>
        <w:t>a</w:t>
      </w:r>
      <w:r w:rsidRPr="009A0DA6">
        <w:rPr>
          <w:rFonts w:ascii="Cambria" w:eastAsia="Calibri" w:hAnsi="Cambria" w:cs="Calibri"/>
          <w:spacing w:val="-1"/>
        </w:rPr>
        <w:t>c</w:t>
      </w:r>
      <w:r w:rsidRPr="009A0DA6">
        <w:rPr>
          <w:rFonts w:ascii="Cambria" w:eastAsia="Calibri" w:hAnsi="Cambria" w:cs="Calibri"/>
        </w:rPr>
        <w:t>c</w:t>
      </w:r>
      <w:r w:rsidRPr="009A0DA6">
        <w:rPr>
          <w:rFonts w:ascii="Cambria" w:eastAsia="Calibri" w:hAnsi="Cambria" w:cs="Calibri"/>
          <w:spacing w:val="-1"/>
        </w:rPr>
        <w:t>u</w:t>
      </w:r>
      <w:r w:rsidRPr="009A0DA6">
        <w:rPr>
          <w:rFonts w:ascii="Cambria" w:eastAsia="Calibri" w:hAnsi="Cambria" w:cs="Calibri"/>
        </w:rPr>
        <w:t>s</w:t>
      </w:r>
      <w:r w:rsidRPr="009A0DA6">
        <w:rPr>
          <w:rFonts w:ascii="Cambria" w:eastAsia="Calibri" w:hAnsi="Cambria" w:cs="Calibri"/>
          <w:spacing w:val="-2"/>
        </w:rPr>
        <w:t>e</w:t>
      </w:r>
      <w:r w:rsidRPr="009A0DA6">
        <w:rPr>
          <w:rFonts w:ascii="Cambria" w:eastAsia="Calibri" w:hAnsi="Cambria" w:cs="Calibri"/>
          <w:spacing w:val="-1"/>
        </w:rPr>
        <w:t>d</w:t>
      </w:r>
      <w:r w:rsidRPr="009A0DA6">
        <w:rPr>
          <w:rFonts w:ascii="Cambria" w:eastAsia="Calibri" w:hAnsi="Cambria" w:cs="Calibri"/>
        </w:rPr>
        <w:t>, h</w:t>
      </w:r>
      <w:r w:rsidRPr="009A0DA6">
        <w:rPr>
          <w:rFonts w:ascii="Cambria" w:eastAsia="Calibri" w:hAnsi="Cambria" w:cs="Calibri"/>
          <w:spacing w:val="-1"/>
        </w:rPr>
        <w:t>a</w:t>
      </w:r>
      <w:r w:rsidRPr="009A0DA6">
        <w:rPr>
          <w:rFonts w:ascii="Cambria" w:eastAsia="Calibri" w:hAnsi="Cambria" w:cs="Calibri"/>
        </w:rPr>
        <w:t>ve been</w:t>
      </w:r>
      <w:r w:rsidRPr="009A0DA6">
        <w:rPr>
          <w:rFonts w:ascii="Cambria" w:eastAsia="Calibri" w:hAnsi="Cambria" w:cs="Calibri"/>
          <w:spacing w:val="-1"/>
        </w:rPr>
        <w:t xml:space="preserve"> </w:t>
      </w:r>
      <w:r w:rsidRPr="009A0DA6">
        <w:rPr>
          <w:rFonts w:ascii="Cambria" w:eastAsia="Calibri" w:hAnsi="Cambria" w:cs="Calibri"/>
        </w:rPr>
        <w:t>p</w:t>
      </w:r>
      <w:r w:rsidRPr="009A0DA6">
        <w:rPr>
          <w:rFonts w:ascii="Cambria" w:eastAsia="Calibri" w:hAnsi="Cambria" w:cs="Calibri"/>
          <w:spacing w:val="-1"/>
        </w:rPr>
        <w:t>ub</w:t>
      </w:r>
      <w:r w:rsidRPr="009A0DA6">
        <w:rPr>
          <w:rFonts w:ascii="Cambria" w:eastAsia="Calibri" w:hAnsi="Cambria" w:cs="Calibri"/>
        </w:rPr>
        <w:t>lic</w:t>
      </w:r>
      <w:r w:rsidRPr="009A0DA6">
        <w:rPr>
          <w:rFonts w:ascii="Cambria" w:eastAsia="Calibri" w:hAnsi="Cambria" w:cs="Calibri"/>
          <w:spacing w:val="-1"/>
        </w:rPr>
        <w:t>l</w:t>
      </w:r>
      <w:r w:rsidRPr="009A0DA6">
        <w:rPr>
          <w:rFonts w:ascii="Cambria" w:eastAsia="Calibri" w:hAnsi="Cambria" w:cs="Calibri"/>
        </w:rPr>
        <w:t>y n</w:t>
      </w:r>
      <w:r w:rsidRPr="009A0DA6">
        <w:rPr>
          <w:rFonts w:ascii="Cambria" w:eastAsia="Calibri" w:hAnsi="Cambria" w:cs="Calibri"/>
          <w:spacing w:val="-1"/>
        </w:rPr>
        <w:t>a</w:t>
      </w:r>
      <w:r w:rsidRPr="009A0DA6">
        <w:rPr>
          <w:rFonts w:ascii="Cambria" w:eastAsia="Calibri" w:hAnsi="Cambria" w:cs="Calibri"/>
        </w:rPr>
        <w:t>m</w:t>
      </w:r>
      <w:r w:rsidRPr="009A0DA6">
        <w:rPr>
          <w:rFonts w:ascii="Cambria" w:eastAsia="Calibri" w:hAnsi="Cambria" w:cs="Calibri"/>
          <w:spacing w:val="-2"/>
        </w:rPr>
        <w:t>e</w:t>
      </w:r>
      <w:r w:rsidRPr="009A0DA6">
        <w:rPr>
          <w:rFonts w:ascii="Cambria" w:eastAsia="Calibri" w:hAnsi="Cambria" w:cs="Calibri"/>
        </w:rPr>
        <w:t>d</w:t>
      </w:r>
      <w:r w:rsidRPr="009A0DA6">
        <w:rPr>
          <w:rFonts w:ascii="Cambria" w:eastAsia="Calibri" w:hAnsi="Cambria" w:cs="Calibri"/>
          <w:spacing w:val="-1"/>
        </w:rPr>
        <w:t xml:space="preserve"> </w:t>
      </w:r>
      <w:r w:rsidRPr="009A0DA6">
        <w:rPr>
          <w:rFonts w:ascii="Cambria" w:eastAsia="Calibri" w:hAnsi="Cambria" w:cs="Calibri"/>
        </w:rPr>
        <w:t>a</w:t>
      </w:r>
      <w:r w:rsidRPr="009A0DA6">
        <w:rPr>
          <w:rFonts w:ascii="Cambria" w:eastAsia="Calibri" w:hAnsi="Cambria" w:cs="Calibri"/>
          <w:spacing w:val="-1"/>
        </w:rPr>
        <w:t>n</w:t>
      </w:r>
      <w:r w:rsidRPr="009A0DA6">
        <w:rPr>
          <w:rFonts w:ascii="Cambria" w:eastAsia="Calibri" w:hAnsi="Cambria" w:cs="Calibri"/>
        </w:rPr>
        <w:t>d</w:t>
      </w:r>
      <w:r w:rsidRPr="009A0DA6">
        <w:rPr>
          <w:rFonts w:ascii="Cambria" w:eastAsia="Calibri" w:hAnsi="Cambria" w:cs="Calibri"/>
          <w:spacing w:val="-1"/>
        </w:rPr>
        <w:t xml:space="preserve"> </w:t>
      </w:r>
      <w:r w:rsidRPr="009A0DA6">
        <w:rPr>
          <w:rFonts w:ascii="Cambria" w:eastAsia="Calibri" w:hAnsi="Cambria" w:cs="Calibri"/>
          <w:spacing w:val="1"/>
        </w:rPr>
        <w:t>s</w:t>
      </w:r>
      <w:r w:rsidRPr="009A0DA6">
        <w:rPr>
          <w:rFonts w:ascii="Cambria" w:eastAsia="Calibri" w:hAnsi="Cambria" w:cs="Calibri"/>
          <w:spacing w:val="-1"/>
        </w:rPr>
        <w:t>ha</w:t>
      </w:r>
      <w:r w:rsidRPr="009A0DA6">
        <w:rPr>
          <w:rFonts w:ascii="Cambria" w:eastAsia="Calibri" w:hAnsi="Cambria" w:cs="Calibri"/>
        </w:rPr>
        <w:t>med, a</w:t>
      </w:r>
      <w:r w:rsidRPr="009A0DA6">
        <w:rPr>
          <w:rFonts w:ascii="Cambria" w:eastAsia="Calibri" w:hAnsi="Cambria" w:cs="Calibri"/>
          <w:spacing w:val="-1"/>
        </w:rPr>
        <w:t>n</w:t>
      </w:r>
      <w:r w:rsidRPr="009A0DA6">
        <w:rPr>
          <w:rFonts w:ascii="Cambria" w:eastAsia="Calibri" w:hAnsi="Cambria" w:cs="Calibri"/>
        </w:rPr>
        <w:t>d</w:t>
      </w:r>
      <w:r w:rsidRPr="009A0DA6">
        <w:rPr>
          <w:rFonts w:ascii="Cambria" w:eastAsia="Calibri" w:hAnsi="Cambria" w:cs="Calibri"/>
          <w:spacing w:val="-1"/>
        </w:rPr>
        <w:t xml:space="preserve"> </w:t>
      </w:r>
      <w:r w:rsidRPr="009A0DA6">
        <w:rPr>
          <w:rFonts w:ascii="Cambria" w:eastAsia="Calibri" w:hAnsi="Cambria" w:cs="Calibri"/>
          <w:spacing w:val="1"/>
        </w:rPr>
        <w:t>s</w:t>
      </w:r>
      <w:r w:rsidRPr="009A0DA6">
        <w:rPr>
          <w:rFonts w:ascii="Cambria" w:eastAsia="Calibri" w:hAnsi="Cambria" w:cs="Calibri"/>
          <w:spacing w:val="-1"/>
        </w:rPr>
        <w:t>u</w:t>
      </w:r>
      <w:r w:rsidRPr="009A0DA6">
        <w:rPr>
          <w:rFonts w:ascii="Cambria" w:eastAsia="Calibri" w:hAnsi="Cambria" w:cs="Calibri"/>
        </w:rPr>
        <w:t>ff</w:t>
      </w:r>
      <w:r w:rsidRPr="009A0DA6">
        <w:rPr>
          <w:rFonts w:ascii="Cambria" w:eastAsia="Calibri" w:hAnsi="Cambria" w:cs="Calibri"/>
          <w:spacing w:val="-3"/>
        </w:rPr>
        <w:t>e</w:t>
      </w:r>
      <w:r w:rsidRPr="009A0DA6">
        <w:rPr>
          <w:rFonts w:ascii="Cambria" w:eastAsia="Calibri" w:hAnsi="Cambria" w:cs="Calibri"/>
          <w:spacing w:val="1"/>
        </w:rPr>
        <w:t>r</w:t>
      </w:r>
      <w:r w:rsidRPr="009A0DA6">
        <w:rPr>
          <w:rFonts w:ascii="Cambria" w:eastAsia="Calibri" w:hAnsi="Cambria" w:cs="Calibri"/>
          <w:spacing w:val="-2"/>
        </w:rPr>
        <w:t>e</w:t>
      </w:r>
      <w:r w:rsidRPr="009A0DA6">
        <w:rPr>
          <w:rFonts w:ascii="Cambria" w:eastAsia="Calibri" w:hAnsi="Cambria" w:cs="Calibri"/>
        </w:rPr>
        <w:t xml:space="preserve">d </w:t>
      </w:r>
      <w:r w:rsidRPr="009A0DA6">
        <w:rPr>
          <w:rFonts w:ascii="Cambria" w:eastAsia="Calibri" w:hAnsi="Cambria" w:cs="Calibri"/>
          <w:spacing w:val="-1"/>
        </w:rPr>
        <w:t>g</w:t>
      </w:r>
      <w:r w:rsidRPr="009A0DA6">
        <w:rPr>
          <w:rFonts w:ascii="Cambria" w:eastAsia="Calibri" w:hAnsi="Cambria" w:cs="Calibri"/>
          <w:spacing w:val="1"/>
        </w:rPr>
        <w:t>r</w:t>
      </w:r>
      <w:r w:rsidRPr="009A0DA6">
        <w:rPr>
          <w:rFonts w:ascii="Cambria" w:eastAsia="Calibri" w:hAnsi="Cambria" w:cs="Calibri"/>
        </w:rPr>
        <w:t>eatly</w:t>
      </w:r>
      <w:r w:rsidRPr="009A0DA6">
        <w:rPr>
          <w:rFonts w:ascii="Cambria" w:eastAsia="Calibri" w:hAnsi="Cambria" w:cs="Calibri"/>
          <w:spacing w:val="-1"/>
        </w:rPr>
        <w:t xml:space="preserve"> </w:t>
      </w:r>
      <w:r w:rsidRPr="009A0DA6">
        <w:rPr>
          <w:rFonts w:ascii="Cambria" w:eastAsia="Calibri" w:hAnsi="Cambria" w:cs="Calibri"/>
          <w:spacing w:val="-2"/>
        </w:rPr>
        <w:t>f</w:t>
      </w:r>
      <w:r w:rsidRPr="009A0DA6">
        <w:rPr>
          <w:rFonts w:ascii="Cambria" w:eastAsia="Calibri" w:hAnsi="Cambria" w:cs="Calibri"/>
          <w:spacing w:val="1"/>
        </w:rPr>
        <w:t>r</w:t>
      </w:r>
      <w:r w:rsidRPr="009A0DA6">
        <w:rPr>
          <w:rFonts w:ascii="Cambria" w:eastAsia="Calibri" w:hAnsi="Cambria" w:cs="Calibri"/>
        </w:rPr>
        <w:t>om</w:t>
      </w:r>
      <w:r w:rsidRPr="009A0DA6">
        <w:rPr>
          <w:rFonts w:ascii="Cambria" w:eastAsia="Calibri" w:hAnsi="Cambria" w:cs="Calibri"/>
          <w:spacing w:val="-2"/>
        </w:rPr>
        <w:t xml:space="preserve"> </w:t>
      </w:r>
      <w:r w:rsidRPr="009A0DA6">
        <w:rPr>
          <w:rFonts w:ascii="Cambria" w:eastAsia="Calibri" w:hAnsi="Cambria" w:cs="Calibri"/>
        </w:rPr>
        <w:t>the de</w:t>
      </w:r>
      <w:r w:rsidRPr="009A0DA6">
        <w:rPr>
          <w:rFonts w:ascii="Cambria" w:eastAsia="Calibri" w:hAnsi="Cambria" w:cs="Calibri"/>
          <w:spacing w:val="-2"/>
        </w:rPr>
        <w:t>s</w:t>
      </w:r>
      <w:r w:rsidRPr="009A0DA6">
        <w:rPr>
          <w:rFonts w:ascii="Cambria" w:eastAsia="Calibri" w:hAnsi="Cambria" w:cs="Calibri"/>
        </w:rPr>
        <w:t>t</w:t>
      </w:r>
      <w:r w:rsidRPr="009A0DA6">
        <w:rPr>
          <w:rFonts w:ascii="Cambria" w:eastAsia="Calibri" w:hAnsi="Cambria" w:cs="Calibri"/>
          <w:spacing w:val="1"/>
        </w:rPr>
        <w:t>r</w:t>
      </w:r>
      <w:r w:rsidRPr="009A0DA6">
        <w:rPr>
          <w:rFonts w:ascii="Cambria" w:eastAsia="Calibri" w:hAnsi="Cambria" w:cs="Calibri"/>
          <w:spacing w:val="-1"/>
        </w:rPr>
        <w:t>u</w:t>
      </w:r>
      <w:r w:rsidRPr="009A0DA6">
        <w:rPr>
          <w:rFonts w:ascii="Cambria" w:eastAsia="Calibri" w:hAnsi="Cambria" w:cs="Calibri"/>
        </w:rPr>
        <w:t>cti</w:t>
      </w:r>
      <w:r w:rsidRPr="009A0DA6">
        <w:rPr>
          <w:rFonts w:ascii="Cambria" w:eastAsia="Calibri" w:hAnsi="Cambria" w:cs="Calibri"/>
          <w:spacing w:val="-3"/>
        </w:rPr>
        <w:t>o</w:t>
      </w:r>
      <w:r w:rsidRPr="009A0DA6">
        <w:rPr>
          <w:rFonts w:ascii="Cambria" w:eastAsia="Calibri" w:hAnsi="Cambria" w:cs="Calibri"/>
        </w:rPr>
        <w:t>n</w:t>
      </w:r>
      <w:r w:rsidRPr="009A0DA6">
        <w:rPr>
          <w:rFonts w:ascii="Cambria" w:eastAsia="Calibri" w:hAnsi="Cambria" w:cs="Calibri"/>
          <w:spacing w:val="-1"/>
        </w:rPr>
        <w:t xml:space="preserve"> </w:t>
      </w:r>
      <w:r w:rsidRPr="009A0DA6">
        <w:rPr>
          <w:rFonts w:ascii="Cambria" w:eastAsia="Calibri" w:hAnsi="Cambria" w:cs="Calibri"/>
        </w:rPr>
        <w:t xml:space="preserve">of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 xml:space="preserve">eir </w:t>
      </w:r>
      <w:r w:rsidRPr="009A0DA6">
        <w:rPr>
          <w:rFonts w:ascii="Cambria" w:eastAsia="Calibri" w:hAnsi="Cambria" w:cs="Calibri"/>
          <w:spacing w:val="1"/>
        </w:rPr>
        <w:t>r</w:t>
      </w:r>
      <w:r w:rsidRPr="009A0DA6">
        <w:rPr>
          <w:rFonts w:ascii="Cambria" w:eastAsia="Calibri" w:hAnsi="Cambria" w:cs="Calibri"/>
        </w:rPr>
        <w:t>ep</w:t>
      </w:r>
      <w:r w:rsidRPr="009A0DA6">
        <w:rPr>
          <w:rFonts w:ascii="Cambria" w:eastAsia="Calibri" w:hAnsi="Cambria" w:cs="Calibri"/>
          <w:spacing w:val="-1"/>
        </w:rPr>
        <w:t>u</w:t>
      </w:r>
      <w:r w:rsidRPr="009A0DA6">
        <w:rPr>
          <w:rFonts w:ascii="Cambria" w:eastAsia="Calibri" w:hAnsi="Cambria" w:cs="Calibri"/>
        </w:rPr>
        <w:t>t</w:t>
      </w:r>
      <w:r w:rsidRPr="009A0DA6">
        <w:rPr>
          <w:rFonts w:ascii="Cambria" w:eastAsia="Calibri" w:hAnsi="Cambria" w:cs="Calibri"/>
          <w:spacing w:val="-3"/>
        </w:rPr>
        <w:t>a</w:t>
      </w:r>
      <w:r w:rsidRPr="009A0DA6">
        <w:rPr>
          <w:rFonts w:ascii="Cambria" w:eastAsia="Calibri" w:hAnsi="Cambria" w:cs="Calibri"/>
        </w:rPr>
        <w:t>tio</w:t>
      </w:r>
      <w:r w:rsidRPr="009A0DA6">
        <w:rPr>
          <w:rFonts w:ascii="Cambria" w:eastAsia="Calibri" w:hAnsi="Cambria" w:cs="Calibri"/>
          <w:spacing w:val="-1"/>
        </w:rPr>
        <w:t>n</w:t>
      </w:r>
      <w:r w:rsidRPr="009A0DA6">
        <w:rPr>
          <w:rFonts w:ascii="Cambria" w:eastAsia="Calibri" w:hAnsi="Cambria" w:cs="Calibri"/>
        </w:rPr>
        <w:t>s.</w:t>
      </w:r>
    </w:p>
    <w:p w14:paraId="5B8BACA5" w14:textId="77777777" w:rsidR="008D2B65" w:rsidRPr="006940AF" w:rsidRDefault="008D2B65" w:rsidP="008D2B65">
      <w:pPr>
        <w:pStyle w:val="ListParagraph"/>
        <w:spacing w:after="120" w:line="240" w:lineRule="auto"/>
        <w:ind w:left="567" w:right="136"/>
        <w:rPr>
          <w:rFonts w:ascii="Cambria" w:eastAsia="Calibri" w:hAnsi="Cambria" w:cs="Calibri"/>
          <w:sz w:val="10"/>
        </w:rPr>
      </w:pPr>
    </w:p>
    <w:p w14:paraId="04A0441F" w14:textId="37BF12C7" w:rsidR="00194B18" w:rsidRPr="009A0DA6" w:rsidRDefault="00194B18" w:rsidP="00F55252">
      <w:pPr>
        <w:pStyle w:val="ListParagraph"/>
        <w:numPr>
          <w:ilvl w:val="3"/>
          <w:numId w:val="142"/>
        </w:numPr>
        <w:spacing w:after="120" w:line="240" w:lineRule="auto"/>
        <w:ind w:left="567" w:right="136" w:hanging="567"/>
        <w:rPr>
          <w:rFonts w:ascii="Cambria" w:eastAsia="Calibri" w:hAnsi="Cambria" w:cs="Calibri"/>
          <w:sz w:val="10"/>
        </w:rPr>
      </w:pPr>
      <w:r w:rsidRPr="009A0DA6">
        <w:rPr>
          <w:rFonts w:ascii="Cambria" w:eastAsia="Calibri" w:hAnsi="Cambria" w:cs="Calibri"/>
        </w:rPr>
        <w:t>Th</w:t>
      </w:r>
      <w:r w:rsidRPr="009A0DA6">
        <w:rPr>
          <w:rFonts w:ascii="Cambria" w:eastAsia="Calibri" w:hAnsi="Cambria" w:cs="Calibri"/>
          <w:spacing w:val="-1"/>
        </w:rPr>
        <w:t>a</w:t>
      </w:r>
      <w:r w:rsidRPr="009A0DA6">
        <w:rPr>
          <w:rFonts w:ascii="Cambria" w:eastAsia="Calibri" w:hAnsi="Cambria" w:cs="Calibri"/>
        </w:rPr>
        <w:t>t</w:t>
      </w:r>
      <w:r w:rsidRPr="009A0DA6">
        <w:rPr>
          <w:rFonts w:ascii="Cambria" w:eastAsia="Calibri" w:hAnsi="Cambria" w:cs="Calibri"/>
          <w:spacing w:val="1"/>
        </w:rPr>
        <w:t xml:space="preserve"> </w:t>
      </w:r>
      <w:r w:rsidRPr="009A0DA6">
        <w:rPr>
          <w:rFonts w:ascii="Cambria" w:eastAsia="Calibri" w:hAnsi="Cambria" w:cs="Calibri"/>
        </w:rPr>
        <w:t>the</w:t>
      </w:r>
      <w:r w:rsidRPr="009A0DA6">
        <w:rPr>
          <w:rFonts w:ascii="Cambria" w:eastAsia="Calibri" w:hAnsi="Cambria" w:cs="Calibri"/>
          <w:spacing w:val="1"/>
        </w:rPr>
        <w:t xml:space="preserve"> </w:t>
      </w:r>
      <w:r w:rsidR="00336CE0" w:rsidRPr="009A0DA6">
        <w:rPr>
          <w:rFonts w:ascii="Cambria" w:eastAsia="Calibri" w:hAnsi="Cambria" w:cs="Calibri"/>
        </w:rPr>
        <w:t>church</w:t>
      </w:r>
      <w:r w:rsidRPr="009A0DA6">
        <w:rPr>
          <w:rFonts w:ascii="Cambria" w:eastAsia="Calibri" w:hAnsi="Cambria" w:cs="Calibri"/>
          <w:spacing w:val="-1"/>
        </w:rPr>
        <w:t xml:space="preserve"> p</w:t>
      </w:r>
      <w:r w:rsidRPr="009A0DA6">
        <w:rPr>
          <w:rFonts w:ascii="Cambria" w:eastAsia="Calibri" w:hAnsi="Cambria" w:cs="Calibri"/>
          <w:spacing w:val="1"/>
        </w:rPr>
        <w:t>r</w:t>
      </w:r>
      <w:r w:rsidRPr="009A0DA6">
        <w:rPr>
          <w:rFonts w:ascii="Cambria" w:eastAsia="Calibri" w:hAnsi="Cambria" w:cs="Calibri"/>
        </w:rPr>
        <w:t>ov</w:t>
      </w:r>
      <w:r w:rsidRPr="009A0DA6">
        <w:rPr>
          <w:rFonts w:ascii="Cambria" w:eastAsia="Calibri" w:hAnsi="Cambria" w:cs="Calibri"/>
          <w:spacing w:val="-1"/>
        </w:rPr>
        <w:t>id</w:t>
      </w:r>
      <w:r w:rsidRPr="009A0DA6">
        <w:rPr>
          <w:rFonts w:ascii="Cambria" w:eastAsia="Calibri" w:hAnsi="Cambria" w:cs="Calibri"/>
          <w:spacing w:val="-2"/>
        </w:rPr>
        <w:t>e</w:t>
      </w:r>
      <w:r w:rsidRPr="009A0DA6">
        <w:rPr>
          <w:rFonts w:ascii="Cambria" w:eastAsia="Calibri" w:hAnsi="Cambria" w:cs="Calibri"/>
        </w:rPr>
        <w:t>s</w:t>
      </w:r>
      <w:r w:rsidRPr="009A0DA6">
        <w:rPr>
          <w:rFonts w:ascii="Cambria" w:eastAsia="Calibri" w:hAnsi="Cambria" w:cs="Calibri"/>
          <w:spacing w:val="1"/>
        </w:rPr>
        <w:t xml:space="preserve"> </w:t>
      </w:r>
      <w:r w:rsidRPr="009A0DA6">
        <w:rPr>
          <w:rFonts w:ascii="Cambria" w:eastAsia="Calibri" w:hAnsi="Cambria" w:cs="Calibri"/>
          <w:spacing w:val="-2"/>
        </w:rPr>
        <w:t>m</w:t>
      </w:r>
      <w:r w:rsidRPr="009A0DA6">
        <w:rPr>
          <w:rFonts w:ascii="Cambria" w:eastAsia="Calibri" w:hAnsi="Cambria" w:cs="Calibri"/>
          <w:spacing w:val="-1"/>
        </w:rPr>
        <w:t>an</w:t>
      </w:r>
      <w:r w:rsidRPr="009A0DA6">
        <w:rPr>
          <w:rFonts w:ascii="Cambria" w:eastAsia="Calibri" w:hAnsi="Cambria" w:cs="Calibri"/>
        </w:rPr>
        <w:t xml:space="preserve">y </w:t>
      </w:r>
      <w:r w:rsidRPr="009A0DA6">
        <w:rPr>
          <w:rFonts w:ascii="Cambria" w:eastAsia="Calibri" w:hAnsi="Cambria" w:cs="Calibri"/>
          <w:spacing w:val="1"/>
        </w:rPr>
        <w:t>r</w:t>
      </w:r>
      <w:r w:rsidRPr="009A0DA6">
        <w:rPr>
          <w:rFonts w:ascii="Cambria" w:eastAsia="Calibri" w:hAnsi="Cambria" w:cs="Calibri"/>
        </w:rPr>
        <w:t>eso</w:t>
      </w:r>
      <w:r w:rsidRPr="009A0DA6">
        <w:rPr>
          <w:rFonts w:ascii="Cambria" w:eastAsia="Calibri" w:hAnsi="Cambria" w:cs="Calibri"/>
          <w:spacing w:val="-3"/>
        </w:rPr>
        <w:t>u</w:t>
      </w:r>
      <w:r w:rsidRPr="009A0DA6">
        <w:rPr>
          <w:rFonts w:ascii="Cambria" w:eastAsia="Calibri" w:hAnsi="Cambria" w:cs="Calibri"/>
          <w:spacing w:val="1"/>
        </w:rPr>
        <w:t>r</w:t>
      </w:r>
      <w:r w:rsidRPr="009A0DA6">
        <w:rPr>
          <w:rFonts w:ascii="Cambria" w:eastAsia="Calibri" w:hAnsi="Cambria" w:cs="Calibri"/>
        </w:rPr>
        <w:t xml:space="preserve">ces </w:t>
      </w:r>
      <w:r w:rsidRPr="009A0DA6">
        <w:rPr>
          <w:rFonts w:ascii="Cambria" w:eastAsia="Calibri" w:hAnsi="Cambria" w:cs="Calibri"/>
          <w:spacing w:val="1"/>
        </w:rPr>
        <w:t>t</w:t>
      </w:r>
      <w:r w:rsidRPr="009A0DA6">
        <w:rPr>
          <w:rFonts w:ascii="Cambria" w:eastAsia="Calibri" w:hAnsi="Cambria" w:cs="Calibri"/>
        </w:rPr>
        <w:t>o</w:t>
      </w:r>
      <w:r w:rsidRPr="009A0DA6">
        <w:rPr>
          <w:rFonts w:ascii="Cambria" w:eastAsia="Calibri" w:hAnsi="Cambria" w:cs="Calibri"/>
          <w:spacing w:val="-3"/>
        </w:rPr>
        <w:t xml:space="preserve">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1"/>
        </w:rPr>
        <w:t xml:space="preserve"> P</w:t>
      </w:r>
      <w:r w:rsidRPr="009A0DA6">
        <w:rPr>
          <w:rFonts w:ascii="Cambria" w:eastAsia="Calibri" w:hAnsi="Cambria" w:cs="Calibri"/>
          <w:spacing w:val="1"/>
        </w:rPr>
        <w:t>S</w:t>
      </w:r>
      <w:r w:rsidRPr="009A0DA6">
        <w:rPr>
          <w:rFonts w:ascii="Cambria" w:eastAsia="Calibri" w:hAnsi="Cambria" w:cs="Calibri"/>
        </w:rPr>
        <w:t>D</w:t>
      </w:r>
      <w:r w:rsidRPr="009A0DA6">
        <w:rPr>
          <w:rFonts w:ascii="Cambria" w:eastAsia="Calibri" w:hAnsi="Cambria" w:cs="Calibri"/>
          <w:spacing w:val="-1"/>
        </w:rPr>
        <w:t xml:space="preserve"> </w:t>
      </w:r>
      <w:r w:rsidRPr="009A0DA6">
        <w:rPr>
          <w:rFonts w:ascii="Cambria" w:eastAsia="Calibri" w:hAnsi="Cambria" w:cs="Calibri"/>
        </w:rPr>
        <w:t>so</w:t>
      </w:r>
      <w:r w:rsidRPr="009A0DA6">
        <w:rPr>
          <w:rFonts w:ascii="Cambria" w:eastAsia="Calibri" w:hAnsi="Cambria" w:cs="Calibri"/>
          <w:spacing w:val="-2"/>
        </w:rPr>
        <w:t xml:space="preserve"> </w:t>
      </w:r>
      <w:r w:rsidRPr="009A0DA6">
        <w:rPr>
          <w:rFonts w:ascii="Cambria" w:eastAsia="Calibri" w:hAnsi="Cambria" w:cs="Calibri"/>
          <w:spacing w:val="1"/>
        </w:rPr>
        <w:t>t</w:t>
      </w:r>
      <w:r w:rsidRPr="009A0DA6">
        <w:rPr>
          <w:rFonts w:ascii="Cambria" w:eastAsia="Calibri" w:hAnsi="Cambria" w:cs="Calibri"/>
          <w:spacing w:val="-1"/>
        </w:rPr>
        <w:t>ha</w:t>
      </w:r>
      <w:r w:rsidRPr="009A0DA6">
        <w:rPr>
          <w:rFonts w:ascii="Cambria" w:eastAsia="Calibri" w:hAnsi="Cambria" w:cs="Calibri"/>
        </w:rPr>
        <w:t>t</w:t>
      </w:r>
      <w:r w:rsidRPr="009A0DA6">
        <w:rPr>
          <w:rFonts w:ascii="Cambria" w:eastAsia="Calibri" w:hAnsi="Cambria" w:cs="Calibri"/>
          <w:spacing w:val="1"/>
        </w:rPr>
        <w:t xml:space="preserve"> </w:t>
      </w:r>
      <w:r w:rsidRPr="009A0DA6">
        <w:rPr>
          <w:rFonts w:ascii="Cambria" w:eastAsia="Calibri" w:hAnsi="Cambria" w:cs="Calibri"/>
        </w:rPr>
        <w:t>it c</w:t>
      </w:r>
      <w:r w:rsidRPr="009A0DA6">
        <w:rPr>
          <w:rFonts w:ascii="Cambria" w:eastAsia="Calibri" w:hAnsi="Cambria" w:cs="Calibri"/>
          <w:spacing w:val="-1"/>
        </w:rPr>
        <w:t>a</w:t>
      </w:r>
      <w:r w:rsidRPr="009A0DA6">
        <w:rPr>
          <w:rFonts w:ascii="Cambria" w:eastAsia="Calibri" w:hAnsi="Cambria" w:cs="Calibri"/>
        </w:rPr>
        <w:t>n</w:t>
      </w:r>
      <w:r w:rsidRPr="009A0DA6">
        <w:rPr>
          <w:rFonts w:ascii="Cambria" w:eastAsia="Calibri" w:hAnsi="Cambria" w:cs="Calibri"/>
          <w:spacing w:val="-1"/>
        </w:rPr>
        <w:t xml:space="preserve"> </w:t>
      </w:r>
      <w:r w:rsidRPr="009A0DA6">
        <w:rPr>
          <w:rFonts w:ascii="Cambria" w:eastAsia="Calibri" w:hAnsi="Cambria" w:cs="Calibri"/>
          <w:spacing w:val="-3"/>
        </w:rPr>
        <w:t>p</w:t>
      </w:r>
      <w:r w:rsidRPr="009A0DA6">
        <w:rPr>
          <w:rFonts w:ascii="Cambria" w:eastAsia="Calibri" w:hAnsi="Cambria" w:cs="Calibri"/>
          <w:spacing w:val="1"/>
        </w:rPr>
        <w:t>r</w:t>
      </w:r>
      <w:r w:rsidRPr="009A0DA6">
        <w:rPr>
          <w:rFonts w:ascii="Cambria" w:eastAsia="Calibri" w:hAnsi="Cambria" w:cs="Calibri"/>
        </w:rPr>
        <w:t>osec</w:t>
      </w:r>
      <w:r w:rsidRPr="009A0DA6">
        <w:rPr>
          <w:rFonts w:ascii="Cambria" w:eastAsia="Calibri" w:hAnsi="Cambria" w:cs="Calibri"/>
          <w:spacing w:val="-1"/>
        </w:rPr>
        <w:t>u</w:t>
      </w:r>
      <w:r w:rsidRPr="009A0DA6">
        <w:rPr>
          <w:rFonts w:ascii="Cambria" w:eastAsia="Calibri" w:hAnsi="Cambria" w:cs="Calibri"/>
        </w:rPr>
        <w:t>te</w:t>
      </w:r>
      <w:r w:rsidRPr="009A0DA6">
        <w:rPr>
          <w:rFonts w:ascii="Cambria" w:eastAsia="Calibri" w:hAnsi="Cambria" w:cs="Calibri"/>
          <w:spacing w:val="-2"/>
        </w:rPr>
        <w:t xml:space="preserve">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ose</w:t>
      </w:r>
      <w:r w:rsidRPr="009A0DA6">
        <w:rPr>
          <w:rFonts w:ascii="Cambria" w:eastAsia="Calibri" w:hAnsi="Cambria" w:cs="Calibri"/>
          <w:spacing w:val="-2"/>
        </w:rPr>
        <w:t xml:space="preserve"> </w:t>
      </w:r>
      <w:r w:rsidRPr="009A0DA6">
        <w:rPr>
          <w:rFonts w:ascii="Cambria" w:eastAsia="Calibri" w:hAnsi="Cambria" w:cs="Calibri"/>
          <w:spacing w:val="1"/>
        </w:rPr>
        <w:t>w</w:t>
      </w:r>
      <w:r w:rsidRPr="009A0DA6">
        <w:rPr>
          <w:rFonts w:ascii="Cambria" w:eastAsia="Calibri" w:hAnsi="Cambria" w:cs="Calibri"/>
          <w:spacing w:val="-1"/>
        </w:rPr>
        <w:t>h</w:t>
      </w:r>
      <w:r w:rsidRPr="009A0DA6">
        <w:rPr>
          <w:rFonts w:ascii="Cambria" w:eastAsia="Calibri" w:hAnsi="Cambria" w:cs="Calibri"/>
        </w:rPr>
        <w:t xml:space="preserve">o </w:t>
      </w:r>
      <w:r w:rsidRPr="009A0DA6">
        <w:rPr>
          <w:rFonts w:ascii="Cambria" w:eastAsia="Calibri" w:hAnsi="Cambria" w:cs="Calibri"/>
          <w:spacing w:val="-1"/>
        </w:rPr>
        <w:t>ha</w:t>
      </w:r>
      <w:r w:rsidRPr="009A0DA6">
        <w:rPr>
          <w:rFonts w:ascii="Cambria" w:eastAsia="Calibri" w:hAnsi="Cambria" w:cs="Calibri"/>
        </w:rPr>
        <w:t>ve b</w:t>
      </w:r>
      <w:r w:rsidRPr="009A0DA6">
        <w:rPr>
          <w:rFonts w:ascii="Cambria" w:eastAsia="Calibri" w:hAnsi="Cambria" w:cs="Calibri"/>
          <w:spacing w:val="-3"/>
        </w:rPr>
        <w:t>e</w:t>
      </w:r>
      <w:r w:rsidRPr="009A0DA6">
        <w:rPr>
          <w:rFonts w:ascii="Cambria" w:eastAsia="Calibri" w:hAnsi="Cambria" w:cs="Calibri"/>
        </w:rPr>
        <w:t xml:space="preserve">en </w:t>
      </w:r>
      <w:r w:rsidRPr="009A0DA6">
        <w:rPr>
          <w:rFonts w:ascii="Cambria" w:eastAsia="Calibri" w:hAnsi="Cambria" w:cs="Calibri"/>
          <w:spacing w:val="-1"/>
        </w:rPr>
        <w:t>a</w:t>
      </w:r>
      <w:r w:rsidRPr="009A0DA6">
        <w:rPr>
          <w:rFonts w:ascii="Cambria" w:eastAsia="Calibri" w:hAnsi="Cambria" w:cs="Calibri"/>
        </w:rPr>
        <w:t>c</w:t>
      </w:r>
      <w:r w:rsidRPr="009A0DA6">
        <w:rPr>
          <w:rFonts w:ascii="Cambria" w:eastAsia="Calibri" w:hAnsi="Cambria" w:cs="Calibri"/>
          <w:spacing w:val="3"/>
        </w:rPr>
        <w:t>c</w:t>
      </w:r>
      <w:r w:rsidRPr="009A0DA6">
        <w:rPr>
          <w:rFonts w:ascii="Cambria" w:eastAsia="Calibri" w:hAnsi="Cambria" w:cs="Calibri"/>
          <w:spacing w:val="-1"/>
        </w:rPr>
        <w:t>u</w:t>
      </w:r>
      <w:r w:rsidRPr="009A0DA6">
        <w:rPr>
          <w:rFonts w:ascii="Cambria" w:eastAsia="Calibri" w:hAnsi="Cambria" w:cs="Calibri"/>
        </w:rPr>
        <w:t>sed of mi</w:t>
      </w:r>
      <w:r w:rsidRPr="009A0DA6">
        <w:rPr>
          <w:rFonts w:ascii="Cambria" w:eastAsia="Calibri" w:hAnsi="Cambria" w:cs="Calibri"/>
          <w:spacing w:val="1"/>
        </w:rPr>
        <w:t>s</w:t>
      </w:r>
      <w:r w:rsidRPr="009A0DA6">
        <w:rPr>
          <w:rFonts w:ascii="Cambria" w:eastAsia="Calibri" w:hAnsi="Cambria" w:cs="Calibri"/>
        </w:rPr>
        <w:t>c</w:t>
      </w:r>
      <w:r w:rsidRPr="009A0DA6">
        <w:rPr>
          <w:rFonts w:ascii="Cambria" w:eastAsia="Calibri" w:hAnsi="Cambria" w:cs="Calibri"/>
          <w:spacing w:val="-1"/>
        </w:rPr>
        <w:t>ondu</w:t>
      </w:r>
      <w:r w:rsidRPr="009A0DA6">
        <w:rPr>
          <w:rFonts w:ascii="Cambria" w:eastAsia="Calibri" w:hAnsi="Cambria" w:cs="Calibri"/>
        </w:rPr>
        <w:t>ct, b</w:t>
      </w:r>
      <w:r w:rsidRPr="009A0DA6">
        <w:rPr>
          <w:rFonts w:ascii="Cambria" w:eastAsia="Calibri" w:hAnsi="Cambria" w:cs="Calibri"/>
          <w:spacing w:val="-1"/>
        </w:rPr>
        <w:t>u</w:t>
      </w:r>
      <w:r w:rsidRPr="009A0DA6">
        <w:rPr>
          <w:rFonts w:ascii="Cambria" w:eastAsia="Calibri" w:hAnsi="Cambria" w:cs="Calibri"/>
        </w:rPr>
        <w:t>t</w:t>
      </w:r>
      <w:r w:rsidRPr="009A0DA6">
        <w:rPr>
          <w:rFonts w:ascii="Cambria" w:eastAsia="Calibri" w:hAnsi="Cambria" w:cs="Calibri"/>
          <w:spacing w:val="1"/>
        </w:rPr>
        <w:t xml:space="preserve"> </w:t>
      </w:r>
      <w:r w:rsidRPr="009A0DA6">
        <w:rPr>
          <w:rFonts w:ascii="Cambria" w:eastAsia="Calibri" w:hAnsi="Cambria" w:cs="Calibri"/>
          <w:spacing w:val="-1"/>
        </w:rPr>
        <w:t>p</w:t>
      </w:r>
      <w:r w:rsidRPr="009A0DA6">
        <w:rPr>
          <w:rFonts w:ascii="Cambria" w:eastAsia="Calibri" w:hAnsi="Cambria" w:cs="Calibri"/>
          <w:spacing w:val="1"/>
        </w:rPr>
        <w:t>r</w:t>
      </w:r>
      <w:r w:rsidRPr="009A0DA6">
        <w:rPr>
          <w:rFonts w:ascii="Cambria" w:eastAsia="Calibri" w:hAnsi="Cambria" w:cs="Calibri"/>
          <w:spacing w:val="-3"/>
        </w:rPr>
        <w:t>o</w:t>
      </w:r>
      <w:r w:rsidRPr="009A0DA6">
        <w:rPr>
          <w:rFonts w:ascii="Cambria" w:eastAsia="Calibri" w:hAnsi="Cambria" w:cs="Calibri"/>
        </w:rPr>
        <w:t>vi</w:t>
      </w:r>
      <w:r w:rsidRPr="009A0DA6">
        <w:rPr>
          <w:rFonts w:ascii="Cambria" w:eastAsia="Calibri" w:hAnsi="Cambria" w:cs="Calibri"/>
          <w:spacing w:val="-1"/>
        </w:rPr>
        <w:t>d</w:t>
      </w:r>
      <w:r w:rsidRPr="009A0DA6">
        <w:rPr>
          <w:rFonts w:ascii="Cambria" w:eastAsia="Calibri" w:hAnsi="Cambria" w:cs="Calibri"/>
        </w:rPr>
        <w:t>es</w:t>
      </w:r>
      <w:r w:rsidRPr="009A0DA6">
        <w:rPr>
          <w:rFonts w:ascii="Cambria" w:eastAsia="Calibri" w:hAnsi="Cambria" w:cs="Calibri"/>
          <w:spacing w:val="2"/>
        </w:rPr>
        <w:t xml:space="preserve"> </w:t>
      </w:r>
      <w:r w:rsidRPr="009A0DA6">
        <w:rPr>
          <w:rFonts w:ascii="Cambria" w:eastAsia="Calibri" w:hAnsi="Cambria" w:cs="Calibri"/>
          <w:spacing w:val="-3"/>
        </w:rPr>
        <w:t>n</w:t>
      </w:r>
      <w:r w:rsidRPr="009A0DA6">
        <w:rPr>
          <w:rFonts w:ascii="Cambria" w:eastAsia="Calibri" w:hAnsi="Cambria" w:cs="Calibri"/>
        </w:rPr>
        <w:t xml:space="preserve">o </w:t>
      </w:r>
      <w:r w:rsidRPr="009A0DA6">
        <w:rPr>
          <w:rFonts w:ascii="Cambria" w:eastAsia="Calibri" w:hAnsi="Cambria" w:cs="Calibri"/>
          <w:spacing w:val="1"/>
        </w:rPr>
        <w:t>r</w:t>
      </w:r>
      <w:r w:rsidRPr="009A0DA6">
        <w:rPr>
          <w:rFonts w:ascii="Cambria" w:eastAsia="Calibri" w:hAnsi="Cambria" w:cs="Calibri"/>
        </w:rPr>
        <w:t>eso</w:t>
      </w:r>
      <w:r w:rsidRPr="009A0DA6">
        <w:rPr>
          <w:rFonts w:ascii="Cambria" w:eastAsia="Calibri" w:hAnsi="Cambria" w:cs="Calibri"/>
          <w:spacing w:val="-3"/>
        </w:rPr>
        <w:t>u</w:t>
      </w:r>
      <w:r w:rsidRPr="009A0DA6">
        <w:rPr>
          <w:rFonts w:ascii="Cambria" w:eastAsia="Calibri" w:hAnsi="Cambria" w:cs="Calibri"/>
          <w:spacing w:val="1"/>
        </w:rPr>
        <w:t>r</w:t>
      </w:r>
      <w:r w:rsidRPr="009A0DA6">
        <w:rPr>
          <w:rFonts w:ascii="Cambria" w:eastAsia="Calibri" w:hAnsi="Cambria" w:cs="Calibri"/>
        </w:rPr>
        <w:t>ces</w:t>
      </w:r>
      <w:r w:rsidRPr="009A0DA6">
        <w:rPr>
          <w:rFonts w:ascii="Cambria" w:eastAsia="Calibri" w:hAnsi="Cambria" w:cs="Calibri"/>
          <w:spacing w:val="-2"/>
        </w:rPr>
        <w:t xml:space="preserve"> </w:t>
      </w:r>
      <w:r w:rsidRPr="009A0DA6">
        <w:rPr>
          <w:rFonts w:ascii="Cambria" w:eastAsia="Calibri" w:hAnsi="Cambria" w:cs="Calibri"/>
        </w:rPr>
        <w:t>to ens</w:t>
      </w:r>
      <w:r w:rsidRPr="009A0DA6">
        <w:rPr>
          <w:rFonts w:ascii="Cambria" w:eastAsia="Calibri" w:hAnsi="Cambria" w:cs="Calibri"/>
          <w:spacing w:val="-3"/>
        </w:rPr>
        <w:t>u</w:t>
      </w:r>
      <w:r w:rsidRPr="009A0DA6">
        <w:rPr>
          <w:rFonts w:ascii="Cambria" w:eastAsia="Calibri" w:hAnsi="Cambria" w:cs="Calibri"/>
          <w:spacing w:val="1"/>
        </w:rPr>
        <w:t>r</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rPr>
        <w:t>their</w:t>
      </w:r>
      <w:r w:rsidRPr="009A0DA6">
        <w:rPr>
          <w:rFonts w:ascii="Cambria" w:eastAsia="Calibri" w:hAnsi="Cambria" w:cs="Calibri"/>
          <w:spacing w:val="-1"/>
        </w:rPr>
        <w:t xml:space="preserve"> </w:t>
      </w:r>
      <w:r w:rsidRPr="009A0DA6">
        <w:rPr>
          <w:rFonts w:ascii="Cambria" w:eastAsia="Calibri" w:hAnsi="Cambria" w:cs="Calibri"/>
        </w:rPr>
        <w:t>l</w:t>
      </w:r>
      <w:r w:rsidRPr="009A0DA6">
        <w:rPr>
          <w:rFonts w:ascii="Cambria" w:eastAsia="Calibri" w:hAnsi="Cambria" w:cs="Calibri"/>
          <w:spacing w:val="-1"/>
        </w:rPr>
        <w:t>a</w:t>
      </w:r>
      <w:r w:rsidRPr="009A0DA6">
        <w:rPr>
          <w:rFonts w:ascii="Cambria" w:eastAsia="Calibri" w:hAnsi="Cambria" w:cs="Calibri"/>
        </w:rPr>
        <w:t xml:space="preserve">wful </w:t>
      </w:r>
      <w:r w:rsidRPr="009A0DA6">
        <w:rPr>
          <w:rFonts w:ascii="Cambria" w:eastAsia="Calibri" w:hAnsi="Cambria" w:cs="Calibri"/>
          <w:spacing w:val="1"/>
        </w:rPr>
        <w:t>r</w:t>
      </w:r>
      <w:r w:rsidRPr="009A0DA6">
        <w:rPr>
          <w:rFonts w:ascii="Cambria" w:eastAsia="Calibri" w:hAnsi="Cambria" w:cs="Calibri"/>
        </w:rPr>
        <w:t>i</w:t>
      </w:r>
      <w:r w:rsidRPr="009A0DA6">
        <w:rPr>
          <w:rFonts w:ascii="Cambria" w:eastAsia="Calibri" w:hAnsi="Cambria" w:cs="Calibri"/>
          <w:spacing w:val="-1"/>
        </w:rPr>
        <w:t>gh</w:t>
      </w:r>
      <w:r w:rsidRPr="009A0DA6">
        <w:rPr>
          <w:rFonts w:ascii="Cambria" w:eastAsia="Calibri" w:hAnsi="Cambria" w:cs="Calibri"/>
        </w:rPr>
        <w:t>t</w:t>
      </w:r>
      <w:r w:rsidRPr="009A0DA6">
        <w:rPr>
          <w:rFonts w:ascii="Cambria" w:eastAsia="Calibri" w:hAnsi="Cambria" w:cs="Calibri"/>
          <w:spacing w:val="1"/>
        </w:rPr>
        <w:t xml:space="preserve"> </w:t>
      </w:r>
      <w:r w:rsidRPr="009A0DA6">
        <w:rPr>
          <w:rFonts w:ascii="Cambria" w:eastAsia="Calibri" w:hAnsi="Cambria" w:cs="Calibri"/>
        </w:rPr>
        <w:t>of</w:t>
      </w:r>
      <w:r w:rsidRPr="009A0DA6">
        <w:rPr>
          <w:rFonts w:ascii="Cambria" w:eastAsia="Calibri" w:hAnsi="Cambria" w:cs="Calibri"/>
          <w:spacing w:val="-3"/>
        </w:rPr>
        <w:t xml:space="preserve"> </w:t>
      </w:r>
      <w:r w:rsidRPr="009A0DA6">
        <w:rPr>
          <w:rFonts w:ascii="Cambria" w:eastAsia="Calibri" w:hAnsi="Cambria" w:cs="Calibri"/>
        </w:rPr>
        <w:t>defe</w:t>
      </w:r>
      <w:r w:rsidRPr="009A0DA6">
        <w:rPr>
          <w:rFonts w:ascii="Cambria" w:eastAsia="Calibri" w:hAnsi="Cambria" w:cs="Calibri"/>
          <w:spacing w:val="-1"/>
        </w:rPr>
        <w:t>n</w:t>
      </w:r>
      <w:r w:rsidRPr="009A0DA6">
        <w:rPr>
          <w:rFonts w:ascii="Cambria" w:eastAsia="Calibri" w:hAnsi="Cambria" w:cs="Calibri"/>
        </w:rPr>
        <w:t>ce.</w:t>
      </w:r>
      <w:r w:rsidRPr="009A0DA6">
        <w:rPr>
          <w:rFonts w:ascii="Cambria" w:eastAsia="Calibri" w:hAnsi="Cambria" w:cs="Calibri"/>
          <w:spacing w:val="-1"/>
        </w:rPr>
        <w:t xml:space="preserve"> </w:t>
      </w:r>
      <w:r w:rsidRPr="009A0DA6">
        <w:rPr>
          <w:rFonts w:ascii="Cambria" w:eastAsia="Calibri" w:hAnsi="Cambria" w:cs="Calibri"/>
        </w:rPr>
        <w:t xml:space="preserve">In </w:t>
      </w:r>
      <w:r w:rsidRPr="009A0DA6">
        <w:rPr>
          <w:rFonts w:ascii="Cambria" w:eastAsia="Calibri" w:hAnsi="Cambria" w:cs="Calibri"/>
          <w:spacing w:val="-2"/>
        </w:rPr>
        <w:t>t</w:t>
      </w:r>
      <w:r w:rsidRPr="009A0DA6">
        <w:rPr>
          <w:rFonts w:ascii="Cambria" w:eastAsia="Calibri" w:hAnsi="Cambria" w:cs="Calibri"/>
          <w:spacing w:val="-1"/>
        </w:rPr>
        <w:t>h</w:t>
      </w:r>
      <w:r w:rsidRPr="009A0DA6">
        <w:rPr>
          <w:rFonts w:ascii="Cambria" w:eastAsia="Calibri" w:hAnsi="Cambria" w:cs="Calibri"/>
        </w:rPr>
        <w:t xml:space="preserve">is </w:t>
      </w:r>
      <w:r w:rsidRPr="009A0DA6">
        <w:rPr>
          <w:rFonts w:ascii="Cambria" w:eastAsia="Calibri" w:hAnsi="Cambria" w:cs="Calibri"/>
          <w:spacing w:val="1"/>
        </w:rPr>
        <w:t>w</w:t>
      </w:r>
      <w:r w:rsidRPr="009A0DA6">
        <w:rPr>
          <w:rFonts w:ascii="Cambria" w:eastAsia="Calibri" w:hAnsi="Cambria" w:cs="Calibri"/>
          <w:spacing w:val="-1"/>
        </w:rPr>
        <w:t>a</w:t>
      </w:r>
      <w:r w:rsidRPr="009A0DA6">
        <w:rPr>
          <w:rFonts w:ascii="Cambria" w:eastAsia="Calibri" w:hAnsi="Cambria" w:cs="Calibri"/>
        </w:rPr>
        <w:t>y it</w:t>
      </w:r>
      <w:r w:rsidRPr="009A0DA6">
        <w:rPr>
          <w:rFonts w:ascii="Cambria" w:eastAsia="Calibri" w:hAnsi="Cambria" w:cs="Calibri"/>
          <w:spacing w:val="-2"/>
        </w:rPr>
        <w:t xml:space="preserve"> </w:t>
      </w:r>
      <w:r w:rsidRPr="009A0DA6">
        <w:rPr>
          <w:rFonts w:ascii="Cambria" w:eastAsia="Calibri" w:hAnsi="Cambria" w:cs="Calibri"/>
        </w:rPr>
        <w:t>h</w:t>
      </w:r>
      <w:r w:rsidRPr="009A0DA6">
        <w:rPr>
          <w:rFonts w:ascii="Cambria" w:eastAsia="Calibri" w:hAnsi="Cambria" w:cs="Calibri"/>
          <w:spacing w:val="-1"/>
        </w:rPr>
        <w:t>a</w:t>
      </w:r>
      <w:r w:rsidRPr="009A0DA6">
        <w:rPr>
          <w:rFonts w:ascii="Cambria" w:eastAsia="Calibri" w:hAnsi="Cambria" w:cs="Calibri"/>
        </w:rPr>
        <w:t>s</w:t>
      </w:r>
      <w:r w:rsidRPr="009A0DA6">
        <w:rPr>
          <w:rFonts w:ascii="Cambria" w:eastAsia="Calibri" w:hAnsi="Cambria" w:cs="Calibri"/>
          <w:spacing w:val="1"/>
        </w:rPr>
        <w:t xml:space="preserve"> </w:t>
      </w:r>
      <w:r w:rsidRPr="009A0DA6">
        <w:rPr>
          <w:rFonts w:ascii="Cambria" w:eastAsia="Calibri" w:hAnsi="Cambria" w:cs="Calibri"/>
        </w:rPr>
        <w:t>f</w:t>
      </w:r>
      <w:r w:rsidRPr="009A0DA6">
        <w:rPr>
          <w:rFonts w:ascii="Cambria" w:eastAsia="Calibri" w:hAnsi="Cambria" w:cs="Calibri"/>
          <w:spacing w:val="-1"/>
        </w:rPr>
        <w:t>a</w:t>
      </w:r>
      <w:r w:rsidRPr="009A0DA6">
        <w:rPr>
          <w:rFonts w:ascii="Cambria" w:eastAsia="Calibri" w:hAnsi="Cambria" w:cs="Calibri"/>
        </w:rPr>
        <w:t>iled in</w:t>
      </w:r>
      <w:r w:rsidRPr="009A0DA6">
        <w:rPr>
          <w:rFonts w:ascii="Cambria" w:eastAsia="Calibri" w:hAnsi="Cambria" w:cs="Calibri"/>
          <w:spacing w:val="-1"/>
        </w:rPr>
        <w:t xml:space="preserve"> </w:t>
      </w:r>
      <w:r w:rsidRPr="009A0DA6">
        <w:rPr>
          <w:rFonts w:ascii="Cambria" w:eastAsia="Calibri" w:hAnsi="Cambria" w:cs="Calibri"/>
        </w:rPr>
        <w:t>i</w:t>
      </w:r>
      <w:r w:rsidRPr="009A0DA6">
        <w:rPr>
          <w:rFonts w:ascii="Cambria" w:eastAsia="Calibri" w:hAnsi="Cambria" w:cs="Calibri"/>
          <w:spacing w:val="-2"/>
        </w:rPr>
        <w:t>t</w:t>
      </w:r>
      <w:r w:rsidRPr="009A0DA6">
        <w:rPr>
          <w:rFonts w:ascii="Cambria" w:eastAsia="Calibri" w:hAnsi="Cambria" w:cs="Calibri"/>
        </w:rPr>
        <w:t>s</w:t>
      </w:r>
      <w:r w:rsidRPr="009A0DA6">
        <w:rPr>
          <w:rFonts w:ascii="Cambria" w:eastAsia="Calibri" w:hAnsi="Cambria" w:cs="Calibri"/>
          <w:spacing w:val="1"/>
        </w:rPr>
        <w:t xml:space="preserve"> </w:t>
      </w:r>
      <w:r w:rsidRPr="009A0DA6">
        <w:rPr>
          <w:rFonts w:ascii="Cambria" w:eastAsia="Calibri" w:hAnsi="Cambria" w:cs="Calibri"/>
          <w:spacing w:val="-3"/>
        </w:rPr>
        <w:t>d</w:t>
      </w:r>
      <w:r w:rsidRPr="009A0DA6">
        <w:rPr>
          <w:rFonts w:ascii="Cambria" w:eastAsia="Calibri" w:hAnsi="Cambria" w:cs="Calibri"/>
          <w:spacing w:val="-1"/>
        </w:rPr>
        <w:t>u</w:t>
      </w:r>
      <w:r w:rsidRPr="009A0DA6">
        <w:rPr>
          <w:rFonts w:ascii="Cambria" w:eastAsia="Calibri" w:hAnsi="Cambria" w:cs="Calibri"/>
        </w:rPr>
        <w:t xml:space="preserve">ty of </w:t>
      </w:r>
      <w:r w:rsidRPr="009A0DA6">
        <w:rPr>
          <w:rFonts w:ascii="Cambria" w:eastAsia="Calibri" w:hAnsi="Cambria" w:cs="Calibri"/>
          <w:spacing w:val="-1"/>
        </w:rPr>
        <w:t>ca</w:t>
      </w:r>
      <w:r w:rsidRPr="009A0DA6">
        <w:rPr>
          <w:rFonts w:ascii="Cambria" w:eastAsia="Calibri" w:hAnsi="Cambria" w:cs="Calibri"/>
          <w:spacing w:val="1"/>
        </w:rPr>
        <w:t>r</w:t>
      </w:r>
      <w:r w:rsidRPr="009A0DA6">
        <w:rPr>
          <w:rFonts w:ascii="Cambria" w:eastAsia="Calibri" w:hAnsi="Cambria" w:cs="Calibri"/>
        </w:rPr>
        <w:t xml:space="preserve">e </w:t>
      </w:r>
      <w:r w:rsidRPr="009A0DA6">
        <w:rPr>
          <w:rFonts w:ascii="Cambria" w:eastAsia="Calibri" w:hAnsi="Cambria" w:cs="Calibri"/>
          <w:spacing w:val="1"/>
        </w:rPr>
        <w:t>t</w:t>
      </w:r>
      <w:r w:rsidRPr="009A0DA6">
        <w:rPr>
          <w:rFonts w:ascii="Cambria" w:eastAsia="Calibri" w:hAnsi="Cambria" w:cs="Calibri"/>
          <w:spacing w:val="-3"/>
        </w:rPr>
        <w:t>o</w:t>
      </w:r>
      <w:r w:rsidRPr="009A0DA6">
        <w:rPr>
          <w:rFonts w:ascii="Cambria" w:eastAsia="Calibri" w:hAnsi="Cambria" w:cs="Calibri"/>
        </w:rPr>
        <w:t>wa</w:t>
      </w:r>
      <w:r w:rsidRPr="009A0DA6">
        <w:rPr>
          <w:rFonts w:ascii="Cambria" w:eastAsia="Calibri" w:hAnsi="Cambria" w:cs="Calibri"/>
          <w:spacing w:val="1"/>
        </w:rPr>
        <w:t>r</w:t>
      </w:r>
      <w:r w:rsidRPr="009A0DA6">
        <w:rPr>
          <w:rFonts w:ascii="Cambria" w:eastAsia="Calibri" w:hAnsi="Cambria" w:cs="Calibri"/>
          <w:spacing w:val="-1"/>
        </w:rPr>
        <w:t>d</w:t>
      </w:r>
      <w:r w:rsidRPr="009A0DA6">
        <w:rPr>
          <w:rFonts w:ascii="Cambria" w:eastAsia="Calibri" w:hAnsi="Cambria" w:cs="Calibri"/>
        </w:rPr>
        <w:t>s</w:t>
      </w:r>
      <w:r w:rsidRPr="009A0DA6">
        <w:rPr>
          <w:rFonts w:ascii="Cambria" w:eastAsia="Calibri" w:hAnsi="Cambria" w:cs="Calibri"/>
          <w:spacing w:val="-2"/>
        </w:rPr>
        <w:t xml:space="preserve"> </w:t>
      </w:r>
      <w:r w:rsidRPr="009A0DA6">
        <w:rPr>
          <w:rFonts w:ascii="Cambria" w:eastAsia="Calibri" w:hAnsi="Cambria" w:cs="Calibri"/>
          <w:spacing w:val="2"/>
        </w:rPr>
        <w:t>t</w:t>
      </w:r>
      <w:r w:rsidRPr="009A0DA6">
        <w:rPr>
          <w:rFonts w:ascii="Cambria" w:eastAsia="Calibri" w:hAnsi="Cambria" w:cs="Calibri"/>
          <w:spacing w:val="-1"/>
        </w:rPr>
        <w:t>h</w:t>
      </w:r>
      <w:r w:rsidRPr="009A0DA6">
        <w:rPr>
          <w:rFonts w:ascii="Cambria" w:eastAsia="Calibri" w:hAnsi="Cambria" w:cs="Calibri"/>
        </w:rPr>
        <w:t>e p</w:t>
      </w:r>
      <w:r w:rsidRPr="009A0DA6">
        <w:rPr>
          <w:rFonts w:ascii="Cambria" w:eastAsia="Calibri" w:hAnsi="Cambria" w:cs="Calibri"/>
          <w:spacing w:val="-1"/>
        </w:rPr>
        <w:t>a</w:t>
      </w:r>
      <w:r w:rsidRPr="009A0DA6">
        <w:rPr>
          <w:rFonts w:ascii="Cambria" w:eastAsia="Calibri" w:hAnsi="Cambria" w:cs="Calibri"/>
          <w:spacing w:val="-2"/>
        </w:rPr>
        <w:t>s</w:t>
      </w:r>
      <w:r w:rsidRPr="009A0DA6">
        <w:rPr>
          <w:rFonts w:ascii="Cambria" w:eastAsia="Calibri" w:hAnsi="Cambria" w:cs="Calibri"/>
        </w:rPr>
        <w:t>to</w:t>
      </w:r>
      <w:r w:rsidRPr="009A0DA6">
        <w:rPr>
          <w:rFonts w:ascii="Cambria" w:eastAsia="Calibri" w:hAnsi="Cambria" w:cs="Calibri"/>
          <w:spacing w:val="-1"/>
        </w:rPr>
        <w:t>r</w:t>
      </w:r>
      <w:r w:rsidRPr="009A0DA6">
        <w:rPr>
          <w:rFonts w:ascii="Cambria" w:eastAsia="Calibri" w:hAnsi="Cambria" w:cs="Calibri"/>
        </w:rPr>
        <w:t>s</w:t>
      </w:r>
      <w:r w:rsidRPr="009A0DA6">
        <w:rPr>
          <w:rFonts w:ascii="Cambria" w:eastAsia="Calibri" w:hAnsi="Cambria" w:cs="Calibri"/>
          <w:spacing w:val="-2"/>
        </w:rPr>
        <w:t xml:space="preserve"> </w:t>
      </w:r>
      <w:r w:rsidRPr="009A0DA6">
        <w:rPr>
          <w:rFonts w:ascii="Cambria" w:eastAsia="Calibri" w:hAnsi="Cambria" w:cs="Calibri"/>
        </w:rPr>
        <w:t>a</w:t>
      </w:r>
      <w:r w:rsidRPr="009A0DA6">
        <w:rPr>
          <w:rFonts w:ascii="Cambria" w:eastAsia="Calibri" w:hAnsi="Cambria" w:cs="Calibri"/>
          <w:spacing w:val="-1"/>
        </w:rPr>
        <w:t>n</w:t>
      </w:r>
      <w:r w:rsidRPr="009A0DA6">
        <w:rPr>
          <w:rFonts w:ascii="Cambria" w:eastAsia="Calibri" w:hAnsi="Cambria" w:cs="Calibri"/>
        </w:rPr>
        <w:t>d</w:t>
      </w:r>
      <w:r w:rsidRPr="009A0DA6">
        <w:rPr>
          <w:rFonts w:ascii="Cambria" w:eastAsia="Calibri" w:hAnsi="Cambria" w:cs="Calibri"/>
          <w:spacing w:val="-1"/>
        </w:rPr>
        <w:t xml:space="preserve"> </w:t>
      </w:r>
      <w:r w:rsidRPr="009A0DA6">
        <w:rPr>
          <w:rFonts w:ascii="Cambria" w:eastAsia="Calibri" w:hAnsi="Cambria" w:cs="Calibri"/>
        </w:rPr>
        <w:t>other</w:t>
      </w:r>
      <w:r w:rsidRPr="009A0DA6">
        <w:rPr>
          <w:rFonts w:ascii="Cambria" w:eastAsia="Calibri" w:hAnsi="Cambria" w:cs="Calibri"/>
          <w:spacing w:val="1"/>
        </w:rPr>
        <w:t xml:space="preserve"> </w:t>
      </w:r>
      <w:r w:rsidRPr="009A0DA6">
        <w:rPr>
          <w:rFonts w:ascii="Cambria" w:eastAsia="Calibri" w:hAnsi="Cambria" w:cs="Calibri"/>
        </w:rPr>
        <w:t>c</w:t>
      </w:r>
      <w:r w:rsidRPr="009A0DA6">
        <w:rPr>
          <w:rFonts w:ascii="Cambria" w:eastAsia="Calibri" w:hAnsi="Cambria" w:cs="Calibri"/>
          <w:spacing w:val="-1"/>
        </w:rPr>
        <w:t>hu</w:t>
      </w:r>
      <w:r w:rsidRPr="009A0DA6">
        <w:rPr>
          <w:rFonts w:ascii="Cambria" w:eastAsia="Calibri" w:hAnsi="Cambria" w:cs="Calibri"/>
          <w:spacing w:val="1"/>
        </w:rPr>
        <w:t>r</w:t>
      </w:r>
      <w:r w:rsidRPr="009A0DA6">
        <w:rPr>
          <w:rFonts w:ascii="Cambria" w:eastAsia="Calibri" w:hAnsi="Cambria" w:cs="Calibri"/>
        </w:rPr>
        <w:t>ch</w:t>
      </w:r>
      <w:r w:rsidRPr="009A0DA6">
        <w:rPr>
          <w:rFonts w:ascii="Cambria" w:eastAsia="Calibri" w:hAnsi="Cambria" w:cs="Calibri"/>
          <w:spacing w:val="-4"/>
        </w:rPr>
        <w:t xml:space="preserve"> </w:t>
      </w:r>
      <w:r w:rsidRPr="009A0DA6">
        <w:rPr>
          <w:rFonts w:ascii="Cambria" w:eastAsia="Calibri" w:hAnsi="Cambria" w:cs="Calibri"/>
          <w:spacing w:val="1"/>
        </w:rPr>
        <w:t>m</w:t>
      </w:r>
      <w:r w:rsidRPr="009A0DA6">
        <w:rPr>
          <w:rFonts w:ascii="Cambria" w:eastAsia="Calibri" w:hAnsi="Cambria" w:cs="Calibri"/>
          <w:spacing w:val="-2"/>
        </w:rPr>
        <w:t>e</w:t>
      </w:r>
      <w:r w:rsidRPr="009A0DA6">
        <w:rPr>
          <w:rFonts w:ascii="Cambria" w:eastAsia="Calibri" w:hAnsi="Cambria" w:cs="Calibri"/>
        </w:rPr>
        <w:t>mbe</w:t>
      </w:r>
      <w:r w:rsidRPr="009A0DA6">
        <w:rPr>
          <w:rFonts w:ascii="Cambria" w:eastAsia="Calibri" w:hAnsi="Cambria" w:cs="Calibri"/>
          <w:spacing w:val="-1"/>
        </w:rPr>
        <w:t>r</w:t>
      </w:r>
      <w:r w:rsidRPr="009A0DA6">
        <w:rPr>
          <w:rFonts w:ascii="Cambria" w:eastAsia="Calibri" w:hAnsi="Cambria" w:cs="Calibri"/>
        </w:rPr>
        <w:t>s</w:t>
      </w:r>
      <w:r w:rsidRPr="009A0DA6">
        <w:rPr>
          <w:rFonts w:ascii="Cambria" w:eastAsia="Calibri" w:hAnsi="Cambria" w:cs="Calibri"/>
          <w:spacing w:val="-2"/>
        </w:rPr>
        <w:t xml:space="preserve"> </w:t>
      </w:r>
      <w:r w:rsidRPr="009A0DA6">
        <w:rPr>
          <w:rFonts w:ascii="Cambria" w:eastAsia="Calibri" w:hAnsi="Cambria" w:cs="Calibri"/>
          <w:spacing w:val="1"/>
        </w:rPr>
        <w:t>w</w:t>
      </w:r>
      <w:r w:rsidRPr="009A0DA6">
        <w:rPr>
          <w:rFonts w:ascii="Cambria" w:eastAsia="Calibri" w:hAnsi="Cambria" w:cs="Calibri"/>
          <w:spacing w:val="-1"/>
        </w:rPr>
        <w:t>h</w:t>
      </w:r>
      <w:r w:rsidRPr="009A0DA6">
        <w:rPr>
          <w:rFonts w:ascii="Cambria" w:eastAsia="Calibri" w:hAnsi="Cambria" w:cs="Calibri"/>
        </w:rPr>
        <w:t xml:space="preserve">o </w:t>
      </w:r>
      <w:r w:rsidRPr="009A0DA6">
        <w:rPr>
          <w:rFonts w:ascii="Cambria" w:eastAsia="Calibri" w:hAnsi="Cambria" w:cs="Calibri"/>
          <w:spacing w:val="-1"/>
        </w:rPr>
        <w:t>ha</w:t>
      </w:r>
      <w:r w:rsidRPr="009A0DA6">
        <w:rPr>
          <w:rFonts w:ascii="Cambria" w:eastAsia="Calibri" w:hAnsi="Cambria" w:cs="Calibri"/>
        </w:rPr>
        <w:t>ve b</w:t>
      </w:r>
      <w:r w:rsidRPr="009A0DA6">
        <w:rPr>
          <w:rFonts w:ascii="Cambria" w:eastAsia="Calibri" w:hAnsi="Cambria" w:cs="Calibri"/>
          <w:spacing w:val="-3"/>
        </w:rPr>
        <w:t>e</w:t>
      </w:r>
      <w:r w:rsidRPr="009A0DA6">
        <w:rPr>
          <w:rFonts w:ascii="Cambria" w:eastAsia="Calibri" w:hAnsi="Cambria" w:cs="Calibri"/>
        </w:rPr>
        <w:t xml:space="preserve">en </w:t>
      </w:r>
      <w:r w:rsidRPr="009A0DA6">
        <w:rPr>
          <w:rFonts w:ascii="Cambria" w:eastAsia="Calibri" w:hAnsi="Cambria" w:cs="Calibri"/>
          <w:spacing w:val="-1"/>
        </w:rPr>
        <w:t>a</w:t>
      </w:r>
      <w:r w:rsidRPr="009A0DA6">
        <w:rPr>
          <w:rFonts w:ascii="Cambria" w:eastAsia="Calibri" w:hAnsi="Cambria" w:cs="Calibri"/>
        </w:rPr>
        <w:t>c</w:t>
      </w:r>
      <w:r w:rsidRPr="009A0DA6">
        <w:rPr>
          <w:rFonts w:ascii="Cambria" w:eastAsia="Calibri" w:hAnsi="Cambria" w:cs="Calibri"/>
          <w:spacing w:val="-1"/>
        </w:rPr>
        <w:t>cu</w:t>
      </w:r>
      <w:r w:rsidRPr="009A0DA6">
        <w:rPr>
          <w:rFonts w:ascii="Cambria" w:eastAsia="Calibri" w:hAnsi="Cambria" w:cs="Calibri"/>
        </w:rPr>
        <w:t>sed.</w:t>
      </w:r>
      <w:r w:rsidRPr="009A0DA6">
        <w:rPr>
          <w:rFonts w:ascii="Cambria" w:eastAsia="Calibri" w:hAnsi="Cambria" w:cs="Calibri"/>
        </w:rPr>
        <w:br/>
      </w:r>
    </w:p>
    <w:p w14:paraId="13621249" w14:textId="27BBBC22" w:rsidR="00194B18" w:rsidRPr="009A0DA6" w:rsidRDefault="00194B18" w:rsidP="00F55252">
      <w:pPr>
        <w:pStyle w:val="ListParagraph"/>
        <w:numPr>
          <w:ilvl w:val="3"/>
          <w:numId w:val="142"/>
        </w:numPr>
        <w:spacing w:after="120" w:line="240" w:lineRule="auto"/>
        <w:ind w:left="567" w:right="136" w:hanging="567"/>
        <w:rPr>
          <w:rFonts w:ascii="Cambria" w:eastAsia="Calibri" w:hAnsi="Cambria" w:cs="Calibri"/>
          <w:sz w:val="10"/>
        </w:rPr>
      </w:pPr>
      <w:r w:rsidRPr="009A0DA6">
        <w:rPr>
          <w:rFonts w:ascii="Cambria" w:eastAsia="Calibri" w:hAnsi="Cambria" w:cs="Calibri"/>
        </w:rPr>
        <w:t>Th</w:t>
      </w:r>
      <w:r w:rsidRPr="009A0DA6">
        <w:rPr>
          <w:rFonts w:ascii="Cambria" w:eastAsia="Calibri" w:hAnsi="Cambria" w:cs="Calibri"/>
          <w:spacing w:val="-1"/>
        </w:rPr>
        <w:t>a</w:t>
      </w:r>
      <w:r w:rsidRPr="009A0DA6">
        <w:rPr>
          <w:rFonts w:ascii="Cambria" w:eastAsia="Calibri" w:hAnsi="Cambria" w:cs="Calibri"/>
        </w:rPr>
        <w:t>t</w:t>
      </w:r>
      <w:r w:rsidRPr="009A0DA6">
        <w:rPr>
          <w:rFonts w:ascii="Cambria" w:eastAsia="Calibri" w:hAnsi="Cambria" w:cs="Calibri"/>
          <w:spacing w:val="1"/>
        </w:rPr>
        <w:t xml:space="preserve"> </w:t>
      </w:r>
      <w:r w:rsidRPr="009A0DA6">
        <w:rPr>
          <w:rFonts w:ascii="Cambria" w:eastAsia="Calibri" w:hAnsi="Cambria" w:cs="Calibri"/>
        </w:rPr>
        <w:t>the</w:t>
      </w:r>
      <w:r w:rsidRPr="009A0DA6">
        <w:rPr>
          <w:rFonts w:ascii="Cambria" w:eastAsia="Calibri" w:hAnsi="Cambria" w:cs="Calibri"/>
          <w:spacing w:val="-2"/>
        </w:rPr>
        <w:t xml:space="preserve"> </w:t>
      </w:r>
      <w:r w:rsidRPr="009A0DA6">
        <w:rPr>
          <w:rFonts w:ascii="Cambria" w:eastAsia="Calibri" w:hAnsi="Cambria" w:cs="Calibri"/>
          <w:spacing w:val="1"/>
        </w:rPr>
        <w:t>P</w:t>
      </w:r>
      <w:r w:rsidRPr="009A0DA6">
        <w:rPr>
          <w:rFonts w:ascii="Cambria" w:eastAsia="Calibri" w:hAnsi="Cambria" w:cs="Calibri"/>
          <w:spacing w:val="-1"/>
        </w:rPr>
        <w:t>S</w:t>
      </w:r>
      <w:r w:rsidRPr="009A0DA6">
        <w:rPr>
          <w:rFonts w:ascii="Cambria" w:eastAsia="Calibri" w:hAnsi="Cambria" w:cs="Calibri"/>
        </w:rPr>
        <w:t>D</w:t>
      </w:r>
      <w:r w:rsidRPr="009A0DA6">
        <w:rPr>
          <w:rFonts w:ascii="Cambria" w:eastAsia="Calibri" w:hAnsi="Cambria" w:cs="Calibri"/>
          <w:spacing w:val="-1"/>
        </w:rPr>
        <w:t xml:space="preserve"> </w:t>
      </w:r>
      <w:r w:rsidRPr="009A0DA6">
        <w:rPr>
          <w:rFonts w:ascii="Cambria" w:eastAsia="Calibri" w:hAnsi="Cambria" w:cs="Calibri"/>
          <w:spacing w:val="1"/>
        </w:rPr>
        <w:t>r</w:t>
      </w:r>
      <w:r w:rsidRPr="009A0DA6">
        <w:rPr>
          <w:rFonts w:ascii="Cambria" w:eastAsia="Calibri" w:hAnsi="Cambria" w:cs="Calibri"/>
        </w:rPr>
        <w:t>ece</w:t>
      </w:r>
      <w:r w:rsidRPr="009A0DA6">
        <w:rPr>
          <w:rFonts w:ascii="Cambria" w:eastAsia="Calibri" w:hAnsi="Cambria" w:cs="Calibri"/>
          <w:spacing w:val="-1"/>
        </w:rPr>
        <w:t>i</w:t>
      </w:r>
      <w:r w:rsidRPr="009A0DA6">
        <w:rPr>
          <w:rFonts w:ascii="Cambria" w:eastAsia="Calibri" w:hAnsi="Cambria" w:cs="Calibri"/>
          <w:spacing w:val="-2"/>
        </w:rPr>
        <w:t>v</w:t>
      </w:r>
      <w:r w:rsidRPr="009A0DA6">
        <w:rPr>
          <w:rFonts w:ascii="Cambria" w:eastAsia="Calibri" w:hAnsi="Cambria" w:cs="Calibri"/>
        </w:rPr>
        <w:t>es</w:t>
      </w:r>
      <w:r w:rsidRPr="009A0DA6">
        <w:rPr>
          <w:rFonts w:ascii="Cambria" w:eastAsia="Calibri" w:hAnsi="Cambria" w:cs="Calibri"/>
          <w:spacing w:val="1"/>
        </w:rPr>
        <w:t xml:space="preserve"> </w:t>
      </w:r>
      <w:r w:rsidRPr="009A0DA6">
        <w:rPr>
          <w:rFonts w:ascii="Cambria" w:eastAsia="Calibri" w:hAnsi="Cambria" w:cs="Calibri"/>
        </w:rPr>
        <w:t>sig</w:t>
      </w:r>
      <w:r w:rsidRPr="009A0DA6">
        <w:rPr>
          <w:rFonts w:ascii="Cambria" w:eastAsia="Calibri" w:hAnsi="Cambria" w:cs="Calibri"/>
          <w:spacing w:val="-1"/>
        </w:rPr>
        <w:t>n</w:t>
      </w:r>
      <w:r w:rsidRPr="009A0DA6">
        <w:rPr>
          <w:rFonts w:ascii="Cambria" w:eastAsia="Calibri" w:hAnsi="Cambria" w:cs="Calibri"/>
        </w:rPr>
        <w:t>i</w:t>
      </w:r>
      <w:r w:rsidRPr="009A0DA6">
        <w:rPr>
          <w:rFonts w:ascii="Cambria" w:eastAsia="Calibri" w:hAnsi="Cambria" w:cs="Calibri"/>
          <w:spacing w:val="-3"/>
        </w:rPr>
        <w:t>f</w:t>
      </w:r>
      <w:r w:rsidRPr="009A0DA6">
        <w:rPr>
          <w:rFonts w:ascii="Cambria" w:eastAsia="Calibri" w:hAnsi="Cambria" w:cs="Calibri"/>
        </w:rPr>
        <w:t>i</w:t>
      </w:r>
      <w:r w:rsidRPr="009A0DA6">
        <w:rPr>
          <w:rFonts w:ascii="Cambria" w:eastAsia="Calibri" w:hAnsi="Cambria" w:cs="Calibri"/>
          <w:spacing w:val="-1"/>
        </w:rPr>
        <w:t>can</w:t>
      </w:r>
      <w:r w:rsidRPr="009A0DA6">
        <w:rPr>
          <w:rFonts w:ascii="Cambria" w:eastAsia="Calibri" w:hAnsi="Cambria" w:cs="Calibri"/>
        </w:rPr>
        <w:t>t</w:t>
      </w:r>
      <w:r w:rsidRPr="009A0DA6">
        <w:rPr>
          <w:rFonts w:ascii="Cambria" w:eastAsia="Calibri" w:hAnsi="Cambria" w:cs="Calibri"/>
          <w:spacing w:val="1"/>
        </w:rPr>
        <w:t xml:space="preserve"> </w:t>
      </w:r>
      <w:r w:rsidRPr="009A0DA6">
        <w:rPr>
          <w:rFonts w:ascii="Cambria" w:eastAsia="Calibri" w:hAnsi="Cambria" w:cs="Calibri"/>
        </w:rPr>
        <w:t>f</w:t>
      </w:r>
      <w:r w:rsidRPr="009A0DA6">
        <w:rPr>
          <w:rFonts w:ascii="Cambria" w:eastAsia="Calibri" w:hAnsi="Cambria" w:cs="Calibri"/>
          <w:spacing w:val="-1"/>
        </w:rPr>
        <w:t>und</w:t>
      </w:r>
      <w:r w:rsidRPr="009A0DA6">
        <w:rPr>
          <w:rFonts w:ascii="Cambria" w:eastAsia="Calibri" w:hAnsi="Cambria" w:cs="Calibri"/>
        </w:rPr>
        <w:t>i</w:t>
      </w:r>
      <w:r w:rsidRPr="009A0DA6">
        <w:rPr>
          <w:rFonts w:ascii="Cambria" w:eastAsia="Calibri" w:hAnsi="Cambria" w:cs="Calibri"/>
          <w:spacing w:val="-1"/>
        </w:rPr>
        <w:t>n</w:t>
      </w:r>
      <w:r w:rsidRPr="009A0DA6">
        <w:rPr>
          <w:rFonts w:ascii="Cambria" w:eastAsia="Calibri" w:hAnsi="Cambria" w:cs="Calibri"/>
        </w:rPr>
        <w:t>g</w:t>
      </w:r>
      <w:r w:rsidRPr="009A0DA6">
        <w:rPr>
          <w:rFonts w:ascii="Cambria" w:eastAsia="Calibri" w:hAnsi="Cambria" w:cs="Calibri"/>
          <w:spacing w:val="-1"/>
        </w:rPr>
        <w:t xml:space="preserve"> </w:t>
      </w:r>
      <w:r w:rsidRPr="009A0DA6">
        <w:rPr>
          <w:rFonts w:ascii="Cambria" w:eastAsia="Calibri" w:hAnsi="Cambria" w:cs="Calibri"/>
        </w:rPr>
        <w:t>a</w:t>
      </w:r>
      <w:r w:rsidRPr="009A0DA6">
        <w:rPr>
          <w:rFonts w:ascii="Cambria" w:eastAsia="Calibri" w:hAnsi="Cambria" w:cs="Calibri"/>
          <w:spacing w:val="-1"/>
        </w:rPr>
        <w:t>n</w:t>
      </w:r>
      <w:r w:rsidRPr="009A0DA6">
        <w:rPr>
          <w:rFonts w:ascii="Cambria" w:eastAsia="Calibri" w:hAnsi="Cambria" w:cs="Calibri"/>
        </w:rPr>
        <w:t>d</w:t>
      </w:r>
      <w:r w:rsidRPr="009A0DA6">
        <w:rPr>
          <w:rFonts w:ascii="Cambria" w:eastAsia="Calibri" w:hAnsi="Cambria" w:cs="Calibri"/>
          <w:spacing w:val="-1"/>
        </w:rPr>
        <w:t xml:space="preserve"> </w:t>
      </w:r>
      <w:r w:rsidRPr="009A0DA6">
        <w:rPr>
          <w:rFonts w:ascii="Cambria" w:eastAsia="Calibri" w:hAnsi="Cambria" w:cs="Calibri"/>
        </w:rPr>
        <w:t>p</w:t>
      </w:r>
      <w:r w:rsidRPr="009A0DA6">
        <w:rPr>
          <w:rFonts w:ascii="Cambria" w:eastAsia="Calibri" w:hAnsi="Cambria" w:cs="Calibri"/>
          <w:spacing w:val="-1"/>
        </w:rPr>
        <w:t>o</w:t>
      </w:r>
      <w:r w:rsidRPr="009A0DA6">
        <w:rPr>
          <w:rFonts w:ascii="Cambria" w:eastAsia="Calibri" w:hAnsi="Cambria" w:cs="Calibri"/>
        </w:rPr>
        <w:t>licy</w:t>
      </w:r>
      <w:r w:rsidRPr="009A0DA6">
        <w:rPr>
          <w:rFonts w:ascii="Cambria" w:eastAsia="Calibri" w:hAnsi="Cambria" w:cs="Calibri"/>
          <w:spacing w:val="-1"/>
        </w:rPr>
        <w:t xml:space="preserve"> </w:t>
      </w:r>
      <w:r w:rsidRPr="009A0DA6">
        <w:rPr>
          <w:rFonts w:ascii="Cambria" w:eastAsia="Calibri" w:hAnsi="Cambria" w:cs="Calibri"/>
        </w:rPr>
        <w:t>direction</w:t>
      </w:r>
      <w:r w:rsidRPr="009A0DA6">
        <w:rPr>
          <w:rFonts w:ascii="Cambria" w:eastAsia="Calibri" w:hAnsi="Cambria" w:cs="Calibri"/>
          <w:spacing w:val="-1"/>
        </w:rPr>
        <w:t xml:space="preserve"> </w:t>
      </w:r>
      <w:r w:rsidRPr="009A0DA6">
        <w:rPr>
          <w:rFonts w:ascii="Cambria" w:eastAsia="Calibri" w:hAnsi="Cambria" w:cs="Calibri"/>
        </w:rPr>
        <w:t>f</w:t>
      </w:r>
      <w:r w:rsidRPr="009A0DA6">
        <w:rPr>
          <w:rFonts w:ascii="Cambria" w:eastAsia="Calibri" w:hAnsi="Cambria" w:cs="Calibri"/>
          <w:spacing w:val="1"/>
        </w:rPr>
        <w:t>r</w:t>
      </w:r>
      <w:r w:rsidRPr="009A0DA6">
        <w:rPr>
          <w:rFonts w:ascii="Cambria" w:eastAsia="Calibri" w:hAnsi="Cambria" w:cs="Calibri"/>
        </w:rPr>
        <w:t>om</w:t>
      </w:r>
      <w:r w:rsidRPr="009A0DA6">
        <w:rPr>
          <w:rFonts w:ascii="Cambria" w:eastAsia="Calibri" w:hAnsi="Cambria" w:cs="Calibri"/>
          <w:spacing w:val="-2"/>
        </w:rPr>
        <w:t xml:space="preserve">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2"/>
        </w:rPr>
        <w:t xml:space="preserve"> </w:t>
      </w:r>
      <w:r w:rsidRPr="009A0DA6">
        <w:rPr>
          <w:rFonts w:ascii="Cambria" w:eastAsia="Calibri" w:hAnsi="Cambria" w:cs="Calibri"/>
          <w:spacing w:val="1"/>
        </w:rPr>
        <w:t>L</w:t>
      </w:r>
      <w:r w:rsidRPr="009A0DA6">
        <w:rPr>
          <w:rFonts w:ascii="Cambria" w:eastAsia="Calibri" w:hAnsi="Cambria" w:cs="Calibri"/>
        </w:rPr>
        <w:t>C</w:t>
      </w:r>
      <w:r w:rsidRPr="009A0DA6">
        <w:rPr>
          <w:rFonts w:ascii="Cambria" w:eastAsia="Calibri" w:hAnsi="Cambria" w:cs="Calibri"/>
          <w:spacing w:val="-1"/>
        </w:rPr>
        <w:t>A</w:t>
      </w:r>
      <w:r w:rsidRPr="009A0DA6">
        <w:rPr>
          <w:rFonts w:ascii="Cambria" w:eastAsia="Calibri" w:hAnsi="Cambria" w:cs="Calibri"/>
        </w:rPr>
        <w:t>’s</w:t>
      </w:r>
      <w:r w:rsidRPr="009A0DA6">
        <w:rPr>
          <w:rFonts w:ascii="Cambria" w:eastAsia="Calibri" w:hAnsi="Cambria" w:cs="Calibri"/>
          <w:spacing w:val="-2"/>
        </w:rPr>
        <w:t xml:space="preserve"> </w:t>
      </w:r>
      <w:r w:rsidRPr="009A0DA6">
        <w:rPr>
          <w:rFonts w:ascii="Cambria" w:eastAsia="Calibri" w:hAnsi="Cambria" w:cs="Calibri"/>
        </w:rPr>
        <w:t>ins</w:t>
      </w:r>
      <w:r w:rsidRPr="009A0DA6">
        <w:rPr>
          <w:rFonts w:ascii="Cambria" w:eastAsia="Calibri" w:hAnsi="Cambria" w:cs="Calibri"/>
          <w:spacing w:val="-1"/>
        </w:rPr>
        <w:t>uran</w:t>
      </w:r>
      <w:r w:rsidRPr="009A0DA6">
        <w:rPr>
          <w:rFonts w:ascii="Cambria" w:eastAsia="Calibri" w:hAnsi="Cambria" w:cs="Calibri"/>
        </w:rPr>
        <w:t xml:space="preserve">ce </w:t>
      </w:r>
      <w:r w:rsidRPr="009A0DA6">
        <w:rPr>
          <w:rFonts w:ascii="Cambria" w:eastAsia="Calibri" w:hAnsi="Cambria" w:cs="Calibri"/>
          <w:spacing w:val="-1"/>
        </w:rPr>
        <w:t>c</w:t>
      </w:r>
      <w:r w:rsidRPr="009A0DA6">
        <w:rPr>
          <w:rFonts w:ascii="Cambria" w:eastAsia="Calibri" w:hAnsi="Cambria" w:cs="Calibri"/>
        </w:rPr>
        <w:t>omp</w:t>
      </w:r>
      <w:r w:rsidRPr="009A0DA6">
        <w:rPr>
          <w:rFonts w:ascii="Cambria" w:eastAsia="Calibri" w:hAnsi="Cambria" w:cs="Calibri"/>
          <w:spacing w:val="-1"/>
        </w:rPr>
        <w:t>an</w:t>
      </w:r>
      <w:r w:rsidRPr="009A0DA6">
        <w:rPr>
          <w:rFonts w:ascii="Cambria" w:eastAsia="Calibri" w:hAnsi="Cambria" w:cs="Calibri"/>
        </w:rPr>
        <w:t xml:space="preserve">y.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is is</w:t>
      </w:r>
      <w:r w:rsidRPr="009A0DA6">
        <w:rPr>
          <w:rFonts w:ascii="Cambria" w:eastAsia="Calibri" w:hAnsi="Cambria" w:cs="Calibri"/>
          <w:spacing w:val="1"/>
        </w:rPr>
        <w:t xml:space="preserve"> </w:t>
      </w:r>
      <w:r w:rsidRPr="009A0DA6">
        <w:rPr>
          <w:rFonts w:ascii="Cambria" w:eastAsia="Calibri" w:hAnsi="Cambria" w:cs="Calibri"/>
        </w:rPr>
        <w:t>of c</w:t>
      </w:r>
      <w:r w:rsidRPr="009A0DA6">
        <w:rPr>
          <w:rFonts w:ascii="Cambria" w:eastAsia="Calibri" w:hAnsi="Cambria" w:cs="Calibri"/>
          <w:spacing w:val="-1"/>
        </w:rPr>
        <w:t>on</w:t>
      </w:r>
      <w:r w:rsidRPr="009A0DA6">
        <w:rPr>
          <w:rFonts w:ascii="Cambria" w:eastAsia="Calibri" w:hAnsi="Cambria" w:cs="Calibri"/>
        </w:rPr>
        <w:t xml:space="preserve">cern </w:t>
      </w:r>
      <w:r w:rsidRPr="009A0DA6">
        <w:rPr>
          <w:rFonts w:ascii="Cambria" w:eastAsia="Calibri" w:hAnsi="Cambria" w:cs="Calibri"/>
          <w:spacing w:val="1"/>
        </w:rPr>
        <w:t>s</w:t>
      </w:r>
      <w:r w:rsidRPr="009A0DA6">
        <w:rPr>
          <w:rFonts w:ascii="Cambria" w:eastAsia="Calibri" w:hAnsi="Cambria" w:cs="Calibri"/>
        </w:rPr>
        <w:t>i</w:t>
      </w:r>
      <w:r w:rsidRPr="009A0DA6">
        <w:rPr>
          <w:rFonts w:ascii="Cambria" w:eastAsia="Calibri" w:hAnsi="Cambria" w:cs="Calibri"/>
          <w:spacing w:val="-1"/>
        </w:rPr>
        <w:t>n</w:t>
      </w:r>
      <w:r w:rsidRPr="009A0DA6">
        <w:rPr>
          <w:rFonts w:ascii="Cambria" w:eastAsia="Calibri" w:hAnsi="Cambria" w:cs="Calibri"/>
        </w:rPr>
        <w:t>ce it</w:t>
      </w:r>
      <w:r w:rsidRPr="009A0DA6">
        <w:rPr>
          <w:rFonts w:ascii="Cambria" w:eastAsia="Calibri" w:hAnsi="Cambria" w:cs="Calibri"/>
          <w:spacing w:val="-2"/>
        </w:rPr>
        <w:t xml:space="preserve"> </w:t>
      </w:r>
      <w:r w:rsidRPr="009A0DA6">
        <w:rPr>
          <w:rFonts w:ascii="Cambria" w:eastAsia="Calibri" w:hAnsi="Cambria" w:cs="Calibri"/>
        </w:rPr>
        <w:t>h</w:t>
      </w:r>
      <w:r w:rsidRPr="009A0DA6">
        <w:rPr>
          <w:rFonts w:ascii="Cambria" w:eastAsia="Calibri" w:hAnsi="Cambria" w:cs="Calibri"/>
          <w:spacing w:val="-1"/>
        </w:rPr>
        <w:t>a</w:t>
      </w:r>
      <w:r w:rsidRPr="009A0DA6">
        <w:rPr>
          <w:rFonts w:ascii="Cambria" w:eastAsia="Calibri" w:hAnsi="Cambria" w:cs="Calibri"/>
        </w:rPr>
        <w:t>s</w:t>
      </w:r>
      <w:r w:rsidRPr="009A0DA6">
        <w:rPr>
          <w:rFonts w:ascii="Cambria" w:eastAsia="Calibri" w:hAnsi="Cambria" w:cs="Calibri"/>
          <w:spacing w:val="1"/>
        </w:rPr>
        <w:t xml:space="preserve"> </w:t>
      </w:r>
      <w:r w:rsidRPr="009A0DA6">
        <w:rPr>
          <w:rFonts w:ascii="Cambria" w:eastAsia="Calibri" w:hAnsi="Cambria" w:cs="Calibri"/>
        </w:rPr>
        <w:t>the</w:t>
      </w:r>
      <w:r w:rsidRPr="009A0DA6">
        <w:rPr>
          <w:rFonts w:ascii="Cambria" w:eastAsia="Calibri" w:hAnsi="Cambria" w:cs="Calibri"/>
          <w:spacing w:val="-2"/>
        </w:rPr>
        <w:t xml:space="preserve"> </w:t>
      </w:r>
      <w:r w:rsidRPr="009A0DA6">
        <w:rPr>
          <w:rFonts w:ascii="Cambria" w:eastAsia="Calibri" w:hAnsi="Cambria" w:cs="Calibri"/>
        </w:rPr>
        <w:t>p</w:t>
      </w:r>
      <w:r w:rsidRPr="009A0DA6">
        <w:rPr>
          <w:rFonts w:ascii="Cambria" w:eastAsia="Calibri" w:hAnsi="Cambria" w:cs="Calibri"/>
          <w:spacing w:val="-1"/>
        </w:rPr>
        <w:t>o</w:t>
      </w:r>
      <w:r w:rsidRPr="009A0DA6">
        <w:rPr>
          <w:rFonts w:ascii="Cambria" w:eastAsia="Calibri" w:hAnsi="Cambria" w:cs="Calibri"/>
          <w:spacing w:val="-2"/>
        </w:rPr>
        <w:t>t</w:t>
      </w:r>
      <w:r w:rsidRPr="009A0DA6">
        <w:rPr>
          <w:rFonts w:ascii="Cambria" w:eastAsia="Calibri" w:hAnsi="Cambria" w:cs="Calibri"/>
        </w:rPr>
        <w:t>enti</w:t>
      </w:r>
      <w:r w:rsidRPr="009A0DA6">
        <w:rPr>
          <w:rFonts w:ascii="Cambria" w:eastAsia="Calibri" w:hAnsi="Cambria" w:cs="Calibri"/>
          <w:spacing w:val="-1"/>
        </w:rPr>
        <w:t>a</w:t>
      </w:r>
      <w:r w:rsidRPr="009A0DA6">
        <w:rPr>
          <w:rFonts w:ascii="Cambria" w:eastAsia="Calibri" w:hAnsi="Cambria" w:cs="Calibri"/>
        </w:rPr>
        <w:t xml:space="preserve">l to </w:t>
      </w:r>
      <w:r w:rsidRPr="009A0DA6">
        <w:rPr>
          <w:rFonts w:ascii="Cambria" w:eastAsia="Calibri" w:hAnsi="Cambria" w:cs="Calibri"/>
          <w:spacing w:val="-1"/>
        </w:rPr>
        <w:t>s</w:t>
      </w:r>
      <w:r w:rsidRPr="009A0DA6">
        <w:rPr>
          <w:rFonts w:ascii="Cambria" w:eastAsia="Calibri" w:hAnsi="Cambria" w:cs="Calibri"/>
        </w:rPr>
        <w:t>kew</w:t>
      </w:r>
      <w:r w:rsidRPr="009A0DA6">
        <w:rPr>
          <w:rFonts w:ascii="Cambria" w:eastAsia="Calibri" w:hAnsi="Cambria" w:cs="Calibri"/>
          <w:spacing w:val="1"/>
        </w:rPr>
        <w:t xml:space="preserve"> </w:t>
      </w:r>
      <w:r w:rsidRPr="009A0DA6">
        <w:rPr>
          <w:rFonts w:ascii="Cambria" w:eastAsia="Calibri" w:hAnsi="Cambria" w:cs="Calibri"/>
        </w:rPr>
        <w:t xml:space="preserve">the </w:t>
      </w:r>
      <w:r w:rsidRPr="009A0DA6">
        <w:rPr>
          <w:rFonts w:ascii="Cambria" w:eastAsia="Calibri" w:hAnsi="Cambria" w:cs="Calibri"/>
          <w:spacing w:val="-3"/>
        </w:rPr>
        <w:t>p</w:t>
      </w:r>
      <w:r w:rsidRPr="009A0DA6">
        <w:rPr>
          <w:rFonts w:ascii="Cambria" w:eastAsia="Calibri" w:hAnsi="Cambria" w:cs="Calibri"/>
          <w:spacing w:val="1"/>
        </w:rPr>
        <w:t>r</w:t>
      </w:r>
      <w:r w:rsidRPr="009A0DA6">
        <w:rPr>
          <w:rFonts w:ascii="Cambria" w:eastAsia="Calibri" w:hAnsi="Cambria" w:cs="Calibri"/>
        </w:rPr>
        <w:t>i</w:t>
      </w:r>
      <w:r w:rsidRPr="009A0DA6">
        <w:rPr>
          <w:rFonts w:ascii="Cambria" w:eastAsia="Calibri" w:hAnsi="Cambria" w:cs="Calibri"/>
          <w:spacing w:val="-1"/>
        </w:rPr>
        <w:t>o</w:t>
      </w:r>
      <w:r w:rsidRPr="009A0DA6">
        <w:rPr>
          <w:rFonts w:ascii="Cambria" w:eastAsia="Calibri" w:hAnsi="Cambria" w:cs="Calibri"/>
          <w:spacing w:val="1"/>
        </w:rPr>
        <w:t>r</w:t>
      </w:r>
      <w:r w:rsidRPr="009A0DA6">
        <w:rPr>
          <w:rFonts w:ascii="Cambria" w:eastAsia="Calibri" w:hAnsi="Cambria" w:cs="Calibri"/>
        </w:rPr>
        <w:t>it</w:t>
      </w:r>
      <w:r w:rsidRPr="009A0DA6">
        <w:rPr>
          <w:rFonts w:ascii="Cambria" w:eastAsia="Calibri" w:hAnsi="Cambria" w:cs="Calibri"/>
          <w:spacing w:val="-2"/>
        </w:rPr>
        <w:t>i</w:t>
      </w:r>
      <w:r w:rsidRPr="009A0DA6">
        <w:rPr>
          <w:rFonts w:ascii="Cambria" w:eastAsia="Calibri" w:hAnsi="Cambria" w:cs="Calibri"/>
        </w:rPr>
        <w:t>es</w:t>
      </w:r>
      <w:r w:rsidRPr="009A0DA6">
        <w:rPr>
          <w:rFonts w:ascii="Cambria" w:eastAsia="Calibri" w:hAnsi="Cambria" w:cs="Calibri"/>
          <w:spacing w:val="-2"/>
        </w:rPr>
        <w:t xml:space="preserve"> </w:t>
      </w:r>
      <w:r w:rsidRPr="009A0DA6">
        <w:rPr>
          <w:rFonts w:ascii="Cambria" w:eastAsia="Calibri" w:hAnsi="Cambria" w:cs="Calibri"/>
        </w:rPr>
        <w:t xml:space="preserve">of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spacing w:val="1"/>
        </w:rPr>
        <w:t>P</w:t>
      </w:r>
      <w:r w:rsidRPr="009A0DA6">
        <w:rPr>
          <w:rFonts w:ascii="Cambria" w:eastAsia="Calibri" w:hAnsi="Cambria" w:cs="Calibri"/>
          <w:spacing w:val="-1"/>
        </w:rPr>
        <w:t>S</w:t>
      </w:r>
      <w:r w:rsidRPr="009A0DA6">
        <w:rPr>
          <w:rFonts w:ascii="Cambria" w:eastAsia="Calibri" w:hAnsi="Cambria" w:cs="Calibri"/>
        </w:rPr>
        <w:t>D</w:t>
      </w:r>
      <w:r w:rsidRPr="009A0DA6">
        <w:rPr>
          <w:rFonts w:ascii="Cambria" w:eastAsia="Calibri" w:hAnsi="Cambria" w:cs="Calibri"/>
          <w:spacing w:val="-1"/>
        </w:rPr>
        <w:t xml:space="preserve"> </w:t>
      </w:r>
      <w:r w:rsidRPr="009A0DA6">
        <w:rPr>
          <w:rFonts w:ascii="Cambria" w:eastAsia="Calibri" w:hAnsi="Cambria" w:cs="Calibri"/>
        </w:rPr>
        <w:t>towa</w:t>
      </w:r>
      <w:r w:rsidRPr="009A0DA6">
        <w:rPr>
          <w:rFonts w:ascii="Cambria" w:eastAsia="Calibri" w:hAnsi="Cambria" w:cs="Calibri"/>
          <w:spacing w:val="1"/>
        </w:rPr>
        <w:t>r</w:t>
      </w:r>
      <w:r w:rsidRPr="009A0DA6">
        <w:rPr>
          <w:rFonts w:ascii="Cambria" w:eastAsia="Calibri" w:hAnsi="Cambria" w:cs="Calibri"/>
          <w:spacing w:val="-3"/>
        </w:rPr>
        <w:t>d</w:t>
      </w:r>
      <w:r w:rsidRPr="009A0DA6">
        <w:rPr>
          <w:rFonts w:ascii="Cambria" w:eastAsia="Calibri" w:hAnsi="Cambria" w:cs="Calibri"/>
        </w:rPr>
        <w:t>s</w:t>
      </w:r>
      <w:r w:rsidRPr="009A0DA6">
        <w:rPr>
          <w:rFonts w:ascii="Cambria" w:eastAsia="Calibri" w:hAnsi="Cambria" w:cs="Calibri"/>
          <w:spacing w:val="1"/>
        </w:rPr>
        <w:t xml:space="preserve"> </w:t>
      </w:r>
      <w:r w:rsidRPr="009A0DA6">
        <w:rPr>
          <w:rFonts w:ascii="Cambria" w:eastAsia="Calibri" w:hAnsi="Cambria" w:cs="Calibri"/>
        </w:rPr>
        <w:t>the</w:t>
      </w:r>
      <w:r w:rsidRPr="009A0DA6">
        <w:rPr>
          <w:rFonts w:ascii="Cambria" w:eastAsia="Calibri" w:hAnsi="Cambria" w:cs="Calibri"/>
          <w:spacing w:val="-2"/>
        </w:rPr>
        <w:t xml:space="preserve"> </w:t>
      </w:r>
      <w:r w:rsidRPr="009A0DA6">
        <w:rPr>
          <w:rFonts w:ascii="Cambria" w:eastAsia="Calibri" w:hAnsi="Cambria" w:cs="Calibri"/>
        </w:rPr>
        <w:t>a</w:t>
      </w:r>
      <w:r w:rsidRPr="009A0DA6">
        <w:rPr>
          <w:rFonts w:ascii="Cambria" w:eastAsia="Calibri" w:hAnsi="Cambria" w:cs="Calibri"/>
          <w:spacing w:val="-1"/>
        </w:rPr>
        <w:t>g</w:t>
      </w:r>
      <w:r w:rsidRPr="009A0DA6">
        <w:rPr>
          <w:rFonts w:ascii="Cambria" w:eastAsia="Calibri" w:hAnsi="Cambria" w:cs="Calibri"/>
        </w:rPr>
        <w:t>en</w:t>
      </w:r>
      <w:r w:rsidRPr="009A0DA6">
        <w:rPr>
          <w:rFonts w:ascii="Cambria" w:eastAsia="Calibri" w:hAnsi="Cambria" w:cs="Calibri"/>
          <w:spacing w:val="-1"/>
        </w:rPr>
        <w:t>d</w:t>
      </w:r>
      <w:r w:rsidRPr="009A0DA6">
        <w:rPr>
          <w:rFonts w:ascii="Cambria" w:eastAsia="Calibri" w:hAnsi="Cambria" w:cs="Calibri"/>
        </w:rPr>
        <w:t>a</w:t>
      </w:r>
      <w:r w:rsidRPr="009A0DA6">
        <w:rPr>
          <w:rFonts w:ascii="Cambria" w:eastAsia="Calibri" w:hAnsi="Cambria" w:cs="Calibri"/>
          <w:spacing w:val="2"/>
        </w:rPr>
        <w:t xml:space="preserve"> </w:t>
      </w:r>
      <w:r w:rsidRPr="009A0DA6">
        <w:rPr>
          <w:rFonts w:ascii="Cambria" w:eastAsia="Calibri" w:hAnsi="Cambria" w:cs="Calibri"/>
        </w:rPr>
        <w:t>of the i</w:t>
      </w:r>
      <w:r w:rsidRPr="009A0DA6">
        <w:rPr>
          <w:rFonts w:ascii="Cambria" w:eastAsia="Calibri" w:hAnsi="Cambria" w:cs="Calibri"/>
          <w:spacing w:val="-1"/>
        </w:rPr>
        <w:t>n</w:t>
      </w:r>
      <w:r w:rsidRPr="009A0DA6">
        <w:rPr>
          <w:rFonts w:ascii="Cambria" w:eastAsia="Calibri" w:hAnsi="Cambria" w:cs="Calibri"/>
        </w:rPr>
        <w:t>s</w:t>
      </w:r>
      <w:r w:rsidRPr="009A0DA6">
        <w:rPr>
          <w:rFonts w:ascii="Cambria" w:eastAsia="Calibri" w:hAnsi="Cambria" w:cs="Calibri"/>
          <w:spacing w:val="-3"/>
        </w:rPr>
        <w:t>u</w:t>
      </w:r>
      <w:r w:rsidRPr="009A0DA6">
        <w:rPr>
          <w:rFonts w:ascii="Cambria" w:eastAsia="Calibri" w:hAnsi="Cambria" w:cs="Calibri"/>
          <w:spacing w:val="1"/>
        </w:rPr>
        <w:t>r</w:t>
      </w:r>
      <w:r w:rsidRPr="009A0DA6">
        <w:rPr>
          <w:rFonts w:ascii="Cambria" w:eastAsia="Calibri" w:hAnsi="Cambria" w:cs="Calibri"/>
          <w:spacing w:val="-1"/>
        </w:rPr>
        <w:t>an</w:t>
      </w:r>
      <w:r w:rsidRPr="009A0DA6">
        <w:rPr>
          <w:rFonts w:ascii="Cambria" w:eastAsia="Calibri" w:hAnsi="Cambria" w:cs="Calibri"/>
        </w:rPr>
        <w:t xml:space="preserve">ce </w:t>
      </w:r>
      <w:r w:rsidRPr="009A0DA6">
        <w:rPr>
          <w:rFonts w:ascii="Cambria" w:eastAsia="Calibri" w:hAnsi="Cambria" w:cs="Calibri"/>
          <w:spacing w:val="-1"/>
        </w:rPr>
        <w:t>c</w:t>
      </w:r>
      <w:r w:rsidRPr="009A0DA6">
        <w:rPr>
          <w:rFonts w:ascii="Cambria" w:eastAsia="Calibri" w:hAnsi="Cambria" w:cs="Calibri"/>
        </w:rPr>
        <w:t>o</w:t>
      </w:r>
      <w:r w:rsidRPr="009A0DA6">
        <w:rPr>
          <w:rFonts w:ascii="Cambria" w:eastAsia="Calibri" w:hAnsi="Cambria" w:cs="Calibri"/>
          <w:spacing w:val="-2"/>
        </w:rPr>
        <w:t>m</w:t>
      </w:r>
      <w:r w:rsidRPr="009A0DA6">
        <w:rPr>
          <w:rFonts w:ascii="Cambria" w:eastAsia="Calibri" w:hAnsi="Cambria" w:cs="Calibri"/>
          <w:spacing w:val="-1"/>
        </w:rPr>
        <w:t>pan</w:t>
      </w:r>
      <w:r w:rsidRPr="009A0DA6">
        <w:rPr>
          <w:rFonts w:ascii="Cambria" w:eastAsia="Calibri" w:hAnsi="Cambria" w:cs="Calibri"/>
        </w:rPr>
        <w:t>y (</w:t>
      </w:r>
      <w:r w:rsidR="00C3381F" w:rsidRPr="009A0DA6">
        <w:rPr>
          <w:rFonts w:ascii="Cambria" w:eastAsia="Calibri" w:hAnsi="Cambria" w:cs="Calibri"/>
        </w:rPr>
        <w:t>ie</w:t>
      </w:r>
      <w:r w:rsidRPr="009A0DA6">
        <w:rPr>
          <w:rFonts w:ascii="Cambria" w:eastAsia="Calibri" w:hAnsi="Cambria" w:cs="Calibri"/>
          <w:spacing w:val="-1"/>
        </w:rPr>
        <w:t xml:space="preserve"> </w:t>
      </w:r>
      <w:r w:rsidRPr="009A0DA6">
        <w:rPr>
          <w:rFonts w:ascii="Cambria" w:eastAsia="Calibri" w:hAnsi="Cambria" w:cs="Calibri"/>
          <w:spacing w:val="1"/>
        </w:rPr>
        <w:t>t</w:t>
      </w:r>
      <w:r w:rsidRPr="009A0DA6">
        <w:rPr>
          <w:rFonts w:ascii="Cambria" w:eastAsia="Calibri" w:hAnsi="Cambria" w:cs="Calibri"/>
        </w:rPr>
        <w:t xml:space="preserve">o </w:t>
      </w:r>
      <w:r w:rsidRPr="009A0DA6">
        <w:rPr>
          <w:rFonts w:ascii="Cambria" w:eastAsia="Calibri" w:hAnsi="Cambria" w:cs="Calibri"/>
          <w:spacing w:val="-1"/>
        </w:rPr>
        <w:t>a</w:t>
      </w:r>
      <w:r w:rsidRPr="009A0DA6">
        <w:rPr>
          <w:rFonts w:ascii="Cambria" w:eastAsia="Calibri" w:hAnsi="Cambria" w:cs="Calibri"/>
        </w:rPr>
        <w:t>vo</w:t>
      </w:r>
      <w:r w:rsidRPr="009A0DA6">
        <w:rPr>
          <w:rFonts w:ascii="Cambria" w:eastAsia="Calibri" w:hAnsi="Cambria" w:cs="Calibri"/>
          <w:spacing w:val="-1"/>
        </w:rPr>
        <w:t>i</w:t>
      </w:r>
      <w:r w:rsidRPr="009A0DA6">
        <w:rPr>
          <w:rFonts w:ascii="Cambria" w:eastAsia="Calibri" w:hAnsi="Cambria" w:cs="Calibri"/>
        </w:rPr>
        <w:t>d</w:t>
      </w:r>
      <w:r w:rsidRPr="009A0DA6">
        <w:rPr>
          <w:rFonts w:ascii="Cambria" w:eastAsia="Calibri" w:hAnsi="Cambria" w:cs="Calibri"/>
          <w:spacing w:val="-1"/>
        </w:rPr>
        <w:t xml:space="preserve"> </w:t>
      </w:r>
      <w:r w:rsidRPr="009A0DA6">
        <w:rPr>
          <w:rFonts w:ascii="Cambria" w:eastAsia="Calibri" w:hAnsi="Cambria" w:cs="Calibri"/>
        </w:rPr>
        <w:t>an</w:t>
      </w:r>
      <w:r w:rsidRPr="009A0DA6">
        <w:rPr>
          <w:rFonts w:ascii="Cambria" w:eastAsia="Calibri" w:hAnsi="Cambria" w:cs="Calibri"/>
          <w:spacing w:val="-1"/>
        </w:rPr>
        <w:t xml:space="preserve"> </w:t>
      </w:r>
      <w:r w:rsidRPr="009A0DA6">
        <w:rPr>
          <w:rFonts w:ascii="Cambria" w:eastAsia="Calibri" w:hAnsi="Cambria" w:cs="Calibri"/>
        </w:rPr>
        <w:t>e</w:t>
      </w:r>
      <w:r w:rsidRPr="009A0DA6">
        <w:rPr>
          <w:rFonts w:ascii="Cambria" w:eastAsia="Calibri" w:hAnsi="Cambria" w:cs="Calibri"/>
          <w:spacing w:val="1"/>
        </w:rPr>
        <w:t>x</w:t>
      </w:r>
      <w:r w:rsidRPr="009A0DA6">
        <w:rPr>
          <w:rFonts w:ascii="Cambria" w:eastAsia="Calibri" w:hAnsi="Cambria" w:cs="Calibri"/>
          <w:spacing w:val="-3"/>
        </w:rPr>
        <w:t>p</w:t>
      </w:r>
      <w:r w:rsidRPr="009A0DA6">
        <w:rPr>
          <w:rFonts w:ascii="Cambria" w:eastAsia="Calibri" w:hAnsi="Cambria" w:cs="Calibri"/>
        </w:rPr>
        <w:t xml:space="preserve">ensive </w:t>
      </w:r>
      <w:r w:rsidRPr="009A0DA6">
        <w:rPr>
          <w:rFonts w:ascii="Cambria" w:eastAsia="Calibri" w:hAnsi="Cambria" w:cs="Calibri"/>
          <w:spacing w:val="-3"/>
        </w:rPr>
        <w:t>l</w:t>
      </w:r>
      <w:r w:rsidRPr="009A0DA6">
        <w:rPr>
          <w:rFonts w:ascii="Cambria" w:eastAsia="Calibri" w:hAnsi="Cambria" w:cs="Calibri"/>
          <w:spacing w:val="-1"/>
        </w:rPr>
        <w:t>a</w:t>
      </w:r>
      <w:r w:rsidRPr="009A0DA6">
        <w:rPr>
          <w:rFonts w:ascii="Cambria" w:eastAsia="Calibri" w:hAnsi="Cambria" w:cs="Calibri"/>
        </w:rPr>
        <w:t>w</w:t>
      </w:r>
      <w:r w:rsidRPr="009A0DA6">
        <w:rPr>
          <w:rFonts w:ascii="Cambria" w:eastAsia="Calibri" w:hAnsi="Cambria" w:cs="Calibri"/>
          <w:spacing w:val="1"/>
        </w:rPr>
        <w:t>s</w:t>
      </w:r>
      <w:r w:rsidRPr="009A0DA6">
        <w:rPr>
          <w:rFonts w:ascii="Cambria" w:eastAsia="Calibri" w:hAnsi="Cambria" w:cs="Calibri"/>
          <w:spacing w:val="-1"/>
        </w:rPr>
        <w:t>u</w:t>
      </w:r>
      <w:r w:rsidRPr="009A0DA6">
        <w:rPr>
          <w:rFonts w:ascii="Cambria" w:eastAsia="Calibri" w:hAnsi="Cambria" w:cs="Calibri"/>
        </w:rPr>
        <w:t>it at</w:t>
      </w:r>
      <w:r w:rsidRPr="009A0DA6">
        <w:rPr>
          <w:rFonts w:ascii="Cambria" w:eastAsia="Calibri" w:hAnsi="Cambria" w:cs="Calibri"/>
          <w:spacing w:val="1"/>
        </w:rPr>
        <w:t xml:space="preserve"> </w:t>
      </w:r>
      <w:r w:rsidRPr="009A0DA6">
        <w:rPr>
          <w:rFonts w:ascii="Cambria" w:eastAsia="Calibri" w:hAnsi="Cambria" w:cs="Calibri"/>
          <w:spacing w:val="-1"/>
        </w:rPr>
        <w:t>a</w:t>
      </w:r>
      <w:r w:rsidRPr="009A0DA6">
        <w:rPr>
          <w:rFonts w:ascii="Cambria" w:eastAsia="Calibri" w:hAnsi="Cambria" w:cs="Calibri"/>
        </w:rPr>
        <w:t>ll</w:t>
      </w:r>
      <w:r w:rsidRPr="009A0DA6">
        <w:rPr>
          <w:rFonts w:ascii="Cambria" w:eastAsia="Calibri" w:hAnsi="Cambria" w:cs="Calibri"/>
          <w:spacing w:val="-3"/>
        </w:rPr>
        <w:t xml:space="preserve"> </w:t>
      </w:r>
      <w:r w:rsidRPr="009A0DA6">
        <w:rPr>
          <w:rFonts w:ascii="Cambria" w:eastAsia="Calibri" w:hAnsi="Cambria" w:cs="Calibri"/>
        </w:rPr>
        <w:t>cost</w:t>
      </w:r>
      <w:r w:rsidRPr="009A0DA6">
        <w:rPr>
          <w:rFonts w:ascii="Cambria" w:eastAsia="Calibri" w:hAnsi="Cambria" w:cs="Calibri"/>
          <w:spacing w:val="-2"/>
        </w:rPr>
        <w:t>s</w:t>
      </w:r>
      <w:r w:rsidRPr="009A0DA6">
        <w:rPr>
          <w:rFonts w:ascii="Cambria" w:eastAsia="Calibri" w:hAnsi="Cambria" w:cs="Calibri"/>
        </w:rPr>
        <w:t>)</w:t>
      </w:r>
      <w:r w:rsidRPr="009A0DA6">
        <w:rPr>
          <w:rFonts w:ascii="Cambria" w:eastAsia="Calibri" w:hAnsi="Cambria" w:cs="Calibri"/>
          <w:spacing w:val="1"/>
        </w:rPr>
        <w:t xml:space="preserve"> </w:t>
      </w:r>
      <w:r w:rsidRPr="009A0DA6">
        <w:rPr>
          <w:rFonts w:ascii="Cambria" w:eastAsia="Calibri" w:hAnsi="Cambria" w:cs="Calibri"/>
          <w:spacing w:val="-1"/>
        </w:rPr>
        <w:t>an</w:t>
      </w:r>
      <w:r w:rsidRPr="009A0DA6">
        <w:rPr>
          <w:rFonts w:ascii="Cambria" w:eastAsia="Calibri" w:hAnsi="Cambria" w:cs="Calibri"/>
        </w:rPr>
        <w:t>d</w:t>
      </w:r>
      <w:r w:rsidRPr="009A0DA6">
        <w:rPr>
          <w:rFonts w:ascii="Cambria" w:eastAsia="Calibri" w:hAnsi="Cambria" w:cs="Calibri"/>
          <w:spacing w:val="-1"/>
        </w:rPr>
        <w:t xml:space="preserve"> </w:t>
      </w:r>
      <w:r w:rsidRPr="009A0DA6">
        <w:rPr>
          <w:rFonts w:ascii="Cambria" w:eastAsia="Calibri" w:hAnsi="Cambria" w:cs="Calibri"/>
        </w:rPr>
        <w:t>a</w:t>
      </w:r>
      <w:r w:rsidRPr="009A0DA6">
        <w:rPr>
          <w:rFonts w:ascii="Cambria" w:eastAsia="Calibri" w:hAnsi="Cambria" w:cs="Calibri"/>
          <w:spacing w:val="-2"/>
        </w:rPr>
        <w:t>w</w:t>
      </w:r>
      <w:r w:rsidRPr="009A0DA6">
        <w:rPr>
          <w:rFonts w:ascii="Cambria" w:eastAsia="Calibri" w:hAnsi="Cambria" w:cs="Calibri"/>
          <w:spacing w:val="-1"/>
        </w:rPr>
        <w:t>a</w:t>
      </w:r>
      <w:r w:rsidRPr="009A0DA6">
        <w:rPr>
          <w:rFonts w:ascii="Cambria" w:eastAsia="Calibri" w:hAnsi="Cambria" w:cs="Calibri"/>
        </w:rPr>
        <w:t>y f</w:t>
      </w:r>
      <w:r w:rsidRPr="009A0DA6">
        <w:rPr>
          <w:rFonts w:ascii="Cambria" w:eastAsia="Calibri" w:hAnsi="Cambria" w:cs="Calibri"/>
          <w:spacing w:val="1"/>
        </w:rPr>
        <w:t>r</w:t>
      </w:r>
      <w:r w:rsidRPr="009A0DA6">
        <w:rPr>
          <w:rFonts w:ascii="Cambria" w:eastAsia="Calibri" w:hAnsi="Cambria" w:cs="Calibri"/>
        </w:rPr>
        <w:t xml:space="preserve">om the </w:t>
      </w:r>
      <w:r w:rsidRPr="009A0DA6">
        <w:rPr>
          <w:rFonts w:ascii="Cambria" w:eastAsia="Calibri" w:hAnsi="Cambria" w:cs="Calibri"/>
          <w:spacing w:val="-3"/>
        </w:rPr>
        <w:t>p</w:t>
      </w:r>
      <w:r w:rsidRPr="009A0DA6">
        <w:rPr>
          <w:rFonts w:ascii="Cambria" w:eastAsia="Calibri" w:hAnsi="Cambria" w:cs="Calibri"/>
          <w:spacing w:val="1"/>
        </w:rPr>
        <w:t>r</w:t>
      </w:r>
      <w:r w:rsidRPr="009A0DA6">
        <w:rPr>
          <w:rFonts w:ascii="Cambria" w:eastAsia="Calibri" w:hAnsi="Cambria" w:cs="Calibri"/>
        </w:rPr>
        <w:t>i</w:t>
      </w:r>
      <w:r w:rsidRPr="009A0DA6">
        <w:rPr>
          <w:rFonts w:ascii="Cambria" w:eastAsia="Calibri" w:hAnsi="Cambria" w:cs="Calibri"/>
          <w:spacing w:val="-1"/>
        </w:rPr>
        <w:t>o</w:t>
      </w:r>
      <w:r w:rsidRPr="009A0DA6">
        <w:rPr>
          <w:rFonts w:ascii="Cambria" w:eastAsia="Calibri" w:hAnsi="Cambria" w:cs="Calibri"/>
          <w:spacing w:val="1"/>
        </w:rPr>
        <w:t>r</w:t>
      </w:r>
      <w:r w:rsidRPr="009A0DA6">
        <w:rPr>
          <w:rFonts w:ascii="Cambria" w:eastAsia="Calibri" w:hAnsi="Cambria" w:cs="Calibri"/>
        </w:rPr>
        <w:t>iti</w:t>
      </w:r>
      <w:r w:rsidRPr="009A0DA6">
        <w:rPr>
          <w:rFonts w:ascii="Cambria" w:eastAsia="Calibri" w:hAnsi="Cambria" w:cs="Calibri"/>
          <w:spacing w:val="-2"/>
        </w:rPr>
        <w:t>e</w:t>
      </w:r>
      <w:r w:rsidRPr="009A0DA6">
        <w:rPr>
          <w:rFonts w:ascii="Cambria" w:eastAsia="Calibri" w:hAnsi="Cambria" w:cs="Calibri"/>
        </w:rPr>
        <w:t>s</w:t>
      </w:r>
      <w:r w:rsidRPr="009A0DA6">
        <w:rPr>
          <w:rFonts w:ascii="Cambria" w:eastAsia="Calibri" w:hAnsi="Cambria" w:cs="Calibri"/>
          <w:spacing w:val="1"/>
        </w:rPr>
        <w:t xml:space="preserve"> </w:t>
      </w:r>
      <w:r w:rsidRPr="009A0DA6">
        <w:rPr>
          <w:rFonts w:ascii="Cambria" w:eastAsia="Calibri" w:hAnsi="Cambria" w:cs="Calibri"/>
        </w:rPr>
        <w:t>of</w:t>
      </w:r>
      <w:r w:rsidRPr="009A0DA6">
        <w:rPr>
          <w:rFonts w:ascii="Cambria" w:eastAsia="Calibri" w:hAnsi="Cambria" w:cs="Calibri"/>
          <w:spacing w:val="-2"/>
        </w:rPr>
        <w:t xml:space="preserve"> </w:t>
      </w:r>
      <w:r w:rsidRPr="009A0DA6">
        <w:rPr>
          <w:rFonts w:ascii="Cambria" w:eastAsia="Calibri" w:hAnsi="Cambria" w:cs="Calibri"/>
        </w:rPr>
        <w:t>the</w:t>
      </w:r>
      <w:r w:rsidRPr="009A0DA6">
        <w:rPr>
          <w:rFonts w:ascii="Cambria" w:eastAsia="Calibri" w:hAnsi="Cambria" w:cs="Calibri"/>
          <w:spacing w:val="-2"/>
        </w:rPr>
        <w:t xml:space="preserve"> </w:t>
      </w:r>
      <w:r w:rsidR="00336CE0" w:rsidRPr="009A0DA6">
        <w:rPr>
          <w:rFonts w:ascii="Cambria" w:eastAsia="Calibri" w:hAnsi="Cambria" w:cs="Calibri"/>
        </w:rPr>
        <w:t>church</w:t>
      </w:r>
      <w:r w:rsidRPr="009A0DA6">
        <w:rPr>
          <w:rFonts w:ascii="Cambria" w:eastAsia="Calibri" w:hAnsi="Cambria" w:cs="Calibri"/>
          <w:spacing w:val="1"/>
        </w:rPr>
        <w:t xml:space="preserve"> </w:t>
      </w:r>
      <w:r w:rsidRPr="009A0DA6">
        <w:rPr>
          <w:rFonts w:ascii="Cambria" w:eastAsia="Calibri" w:hAnsi="Cambria" w:cs="Calibri"/>
        </w:rPr>
        <w:t>su</w:t>
      </w:r>
      <w:r w:rsidRPr="009A0DA6">
        <w:rPr>
          <w:rFonts w:ascii="Cambria" w:eastAsia="Calibri" w:hAnsi="Cambria" w:cs="Calibri"/>
          <w:spacing w:val="-1"/>
        </w:rPr>
        <w:t>c</w:t>
      </w:r>
      <w:r w:rsidRPr="009A0DA6">
        <w:rPr>
          <w:rFonts w:ascii="Cambria" w:eastAsia="Calibri" w:hAnsi="Cambria" w:cs="Calibri"/>
        </w:rPr>
        <w:t xml:space="preserve">h </w:t>
      </w:r>
      <w:r w:rsidRPr="009A0DA6">
        <w:rPr>
          <w:rFonts w:ascii="Cambria" w:eastAsia="Calibri" w:hAnsi="Cambria" w:cs="Calibri"/>
          <w:spacing w:val="-1"/>
        </w:rPr>
        <w:t>a</w:t>
      </w:r>
      <w:r w:rsidRPr="009A0DA6">
        <w:rPr>
          <w:rFonts w:ascii="Cambria" w:eastAsia="Calibri" w:hAnsi="Cambria" w:cs="Calibri"/>
        </w:rPr>
        <w:t>s</w:t>
      </w:r>
      <w:r w:rsidRPr="009A0DA6">
        <w:rPr>
          <w:rFonts w:ascii="Cambria" w:eastAsia="Calibri" w:hAnsi="Cambria" w:cs="Calibri"/>
          <w:spacing w:val="1"/>
        </w:rPr>
        <w:t xml:space="preserve"> </w:t>
      </w:r>
      <w:r w:rsidRPr="009A0DA6">
        <w:rPr>
          <w:rFonts w:ascii="Cambria" w:eastAsia="Calibri" w:hAnsi="Cambria" w:cs="Calibri"/>
        </w:rPr>
        <w:t>j</w:t>
      </w:r>
      <w:r w:rsidRPr="009A0DA6">
        <w:rPr>
          <w:rFonts w:ascii="Cambria" w:eastAsia="Calibri" w:hAnsi="Cambria" w:cs="Calibri"/>
          <w:spacing w:val="-3"/>
        </w:rPr>
        <w:t>u</w:t>
      </w:r>
      <w:r w:rsidRPr="009A0DA6">
        <w:rPr>
          <w:rFonts w:ascii="Cambria" w:eastAsia="Calibri" w:hAnsi="Cambria" w:cs="Calibri"/>
        </w:rPr>
        <w:t>s</w:t>
      </w:r>
      <w:r w:rsidRPr="009A0DA6">
        <w:rPr>
          <w:rFonts w:ascii="Cambria" w:eastAsia="Calibri" w:hAnsi="Cambria" w:cs="Calibri"/>
          <w:spacing w:val="1"/>
        </w:rPr>
        <w:t>t</w:t>
      </w:r>
      <w:r w:rsidRPr="009A0DA6">
        <w:rPr>
          <w:rFonts w:ascii="Cambria" w:eastAsia="Calibri" w:hAnsi="Cambria" w:cs="Calibri"/>
        </w:rPr>
        <w:t>i</w:t>
      </w:r>
      <w:r w:rsidRPr="009A0DA6">
        <w:rPr>
          <w:rFonts w:ascii="Cambria" w:eastAsia="Calibri" w:hAnsi="Cambria" w:cs="Calibri"/>
          <w:spacing w:val="-1"/>
        </w:rPr>
        <w:t>c</w:t>
      </w:r>
      <w:r w:rsidRPr="009A0DA6">
        <w:rPr>
          <w:rFonts w:ascii="Cambria" w:eastAsia="Calibri" w:hAnsi="Cambria" w:cs="Calibri"/>
        </w:rPr>
        <w:t xml:space="preserve">e, </w:t>
      </w:r>
      <w:r w:rsidRPr="009A0DA6">
        <w:rPr>
          <w:rFonts w:ascii="Cambria" w:eastAsia="Calibri" w:hAnsi="Cambria" w:cs="Calibri"/>
          <w:spacing w:val="1"/>
        </w:rPr>
        <w:t>r</w:t>
      </w:r>
      <w:r w:rsidRPr="009A0DA6">
        <w:rPr>
          <w:rFonts w:ascii="Cambria" w:eastAsia="Calibri" w:hAnsi="Cambria" w:cs="Calibri"/>
        </w:rPr>
        <w:t>ec</w:t>
      </w:r>
      <w:r w:rsidRPr="009A0DA6">
        <w:rPr>
          <w:rFonts w:ascii="Cambria" w:eastAsia="Calibri" w:hAnsi="Cambria" w:cs="Calibri"/>
          <w:spacing w:val="-1"/>
        </w:rPr>
        <w:t>on</w:t>
      </w:r>
      <w:r w:rsidRPr="009A0DA6">
        <w:rPr>
          <w:rFonts w:ascii="Cambria" w:eastAsia="Calibri" w:hAnsi="Cambria" w:cs="Calibri"/>
        </w:rPr>
        <w:t>c</w:t>
      </w:r>
      <w:r w:rsidRPr="009A0DA6">
        <w:rPr>
          <w:rFonts w:ascii="Cambria" w:eastAsia="Calibri" w:hAnsi="Cambria" w:cs="Calibri"/>
          <w:spacing w:val="-1"/>
        </w:rPr>
        <w:t>i</w:t>
      </w:r>
      <w:r w:rsidRPr="009A0DA6">
        <w:rPr>
          <w:rFonts w:ascii="Cambria" w:eastAsia="Calibri" w:hAnsi="Cambria" w:cs="Calibri"/>
        </w:rPr>
        <w:t>li</w:t>
      </w:r>
      <w:r w:rsidRPr="009A0DA6">
        <w:rPr>
          <w:rFonts w:ascii="Cambria" w:eastAsia="Calibri" w:hAnsi="Cambria" w:cs="Calibri"/>
          <w:spacing w:val="-1"/>
        </w:rPr>
        <w:t>a</w:t>
      </w:r>
      <w:r w:rsidRPr="009A0DA6">
        <w:rPr>
          <w:rFonts w:ascii="Cambria" w:eastAsia="Calibri" w:hAnsi="Cambria" w:cs="Calibri"/>
        </w:rPr>
        <w:t>tio</w:t>
      </w:r>
      <w:r w:rsidRPr="009A0DA6">
        <w:rPr>
          <w:rFonts w:ascii="Cambria" w:eastAsia="Calibri" w:hAnsi="Cambria" w:cs="Calibri"/>
          <w:spacing w:val="-1"/>
        </w:rPr>
        <w:t>n</w:t>
      </w:r>
      <w:r w:rsidRPr="009A0DA6">
        <w:rPr>
          <w:rFonts w:ascii="Cambria" w:eastAsia="Calibri" w:hAnsi="Cambria" w:cs="Calibri"/>
        </w:rPr>
        <w:t>, a</w:t>
      </w:r>
      <w:r w:rsidRPr="009A0DA6">
        <w:rPr>
          <w:rFonts w:ascii="Cambria" w:eastAsia="Calibri" w:hAnsi="Cambria" w:cs="Calibri"/>
          <w:spacing w:val="-1"/>
        </w:rPr>
        <w:t>n</w:t>
      </w:r>
      <w:r w:rsidRPr="009A0DA6">
        <w:rPr>
          <w:rFonts w:ascii="Cambria" w:eastAsia="Calibri" w:hAnsi="Cambria" w:cs="Calibri"/>
        </w:rPr>
        <w:t>d</w:t>
      </w:r>
      <w:r w:rsidRPr="009A0DA6">
        <w:rPr>
          <w:rFonts w:ascii="Cambria" w:eastAsia="Calibri" w:hAnsi="Cambria" w:cs="Calibri"/>
          <w:spacing w:val="-1"/>
        </w:rPr>
        <w:t xml:space="preserve">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e en</w:t>
      </w:r>
      <w:r w:rsidRPr="009A0DA6">
        <w:rPr>
          <w:rFonts w:ascii="Cambria" w:eastAsia="Calibri" w:hAnsi="Cambria" w:cs="Calibri"/>
          <w:spacing w:val="-3"/>
        </w:rPr>
        <w:t>a</w:t>
      </w:r>
      <w:r w:rsidRPr="009A0DA6">
        <w:rPr>
          <w:rFonts w:ascii="Cambria" w:eastAsia="Calibri" w:hAnsi="Cambria" w:cs="Calibri"/>
        </w:rPr>
        <w:t>ctment</w:t>
      </w:r>
      <w:r w:rsidRPr="009A0DA6">
        <w:rPr>
          <w:rFonts w:ascii="Cambria" w:eastAsia="Calibri" w:hAnsi="Cambria" w:cs="Calibri"/>
          <w:spacing w:val="2"/>
        </w:rPr>
        <w:t xml:space="preserve"> </w:t>
      </w:r>
      <w:r w:rsidRPr="009A0DA6">
        <w:rPr>
          <w:rFonts w:ascii="Cambria" w:eastAsia="Calibri" w:hAnsi="Cambria" w:cs="Calibri"/>
        </w:rPr>
        <w:t>of</w:t>
      </w:r>
      <w:r w:rsidRPr="009A0DA6">
        <w:rPr>
          <w:rFonts w:ascii="Cambria" w:eastAsia="Calibri" w:hAnsi="Cambria" w:cs="Calibri"/>
          <w:spacing w:val="-3"/>
        </w:rPr>
        <w:t xml:space="preserve">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e G</w:t>
      </w:r>
      <w:r w:rsidRPr="009A0DA6">
        <w:rPr>
          <w:rFonts w:ascii="Cambria" w:eastAsia="Calibri" w:hAnsi="Cambria" w:cs="Calibri"/>
          <w:spacing w:val="-2"/>
        </w:rPr>
        <w:t>o</w:t>
      </w:r>
      <w:r w:rsidRPr="009A0DA6">
        <w:rPr>
          <w:rFonts w:ascii="Cambria" w:eastAsia="Calibri" w:hAnsi="Cambria" w:cs="Calibri"/>
        </w:rPr>
        <w:t>spel.</w:t>
      </w:r>
      <w:r w:rsidRPr="009A0DA6">
        <w:rPr>
          <w:rFonts w:ascii="Cambria" w:eastAsia="Calibri" w:hAnsi="Cambria" w:cs="Calibri"/>
        </w:rPr>
        <w:br/>
      </w:r>
    </w:p>
    <w:p w14:paraId="346436C3" w14:textId="1F591895" w:rsidR="00194B18" w:rsidRPr="009A0DA6" w:rsidRDefault="00194B18" w:rsidP="00F55252">
      <w:pPr>
        <w:pStyle w:val="ListParagraph"/>
        <w:numPr>
          <w:ilvl w:val="3"/>
          <w:numId w:val="142"/>
        </w:numPr>
        <w:spacing w:after="120" w:line="240" w:lineRule="auto"/>
        <w:ind w:left="567" w:right="136" w:hanging="567"/>
        <w:rPr>
          <w:rFonts w:ascii="Cambria" w:eastAsia="Calibri" w:hAnsi="Cambria" w:cs="Calibri"/>
          <w:sz w:val="10"/>
        </w:rPr>
      </w:pPr>
      <w:r w:rsidRPr="009A0DA6">
        <w:rPr>
          <w:rFonts w:ascii="Cambria" w:eastAsia="Calibri" w:hAnsi="Cambria" w:cs="Calibri"/>
        </w:rPr>
        <w:t>Th</w:t>
      </w:r>
      <w:r w:rsidRPr="009A0DA6">
        <w:rPr>
          <w:rFonts w:ascii="Cambria" w:eastAsia="Calibri" w:hAnsi="Cambria" w:cs="Calibri"/>
          <w:spacing w:val="-1"/>
        </w:rPr>
        <w:t>a</w:t>
      </w:r>
      <w:r w:rsidRPr="009A0DA6">
        <w:rPr>
          <w:rFonts w:ascii="Cambria" w:eastAsia="Calibri" w:hAnsi="Cambria" w:cs="Calibri"/>
        </w:rPr>
        <w:t>t</w:t>
      </w:r>
      <w:r w:rsidRPr="009A0DA6">
        <w:rPr>
          <w:rFonts w:ascii="Cambria" w:eastAsia="Calibri" w:hAnsi="Cambria" w:cs="Calibri"/>
          <w:spacing w:val="1"/>
        </w:rPr>
        <w:t xml:space="preserve"> </w:t>
      </w:r>
      <w:r w:rsidRPr="009A0DA6">
        <w:rPr>
          <w:rFonts w:ascii="Cambria" w:eastAsia="Calibri" w:hAnsi="Cambria" w:cs="Calibri"/>
        </w:rPr>
        <w:t>the</w:t>
      </w:r>
      <w:r w:rsidRPr="009A0DA6">
        <w:rPr>
          <w:rFonts w:ascii="Cambria" w:eastAsia="Calibri" w:hAnsi="Cambria" w:cs="Calibri"/>
          <w:spacing w:val="-2"/>
        </w:rPr>
        <w:t xml:space="preserve"> </w:t>
      </w:r>
      <w:r w:rsidRPr="009A0DA6">
        <w:rPr>
          <w:rFonts w:ascii="Cambria" w:eastAsia="Calibri" w:hAnsi="Cambria" w:cs="Calibri"/>
          <w:spacing w:val="1"/>
        </w:rPr>
        <w:t>P</w:t>
      </w:r>
      <w:r w:rsidRPr="009A0DA6">
        <w:rPr>
          <w:rFonts w:ascii="Cambria" w:eastAsia="Calibri" w:hAnsi="Cambria" w:cs="Calibri"/>
          <w:spacing w:val="-1"/>
        </w:rPr>
        <w:t>S</w:t>
      </w:r>
      <w:r w:rsidRPr="009A0DA6">
        <w:rPr>
          <w:rFonts w:ascii="Cambria" w:eastAsia="Calibri" w:hAnsi="Cambria" w:cs="Calibri"/>
        </w:rPr>
        <w:t>D</w:t>
      </w:r>
      <w:r w:rsidRPr="009A0DA6">
        <w:rPr>
          <w:rFonts w:ascii="Cambria" w:eastAsia="Calibri" w:hAnsi="Cambria" w:cs="Calibri"/>
          <w:spacing w:val="1"/>
        </w:rPr>
        <w:t xml:space="preserve"> </w:t>
      </w:r>
      <w:r w:rsidRPr="009A0DA6">
        <w:rPr>
          <w:rFonts w:ascii="Cambria" w:eastAsia="Calibri" w:hAnsi="Cambria" w:cs="Calibri"/>
        </w:rPr>
        <w:t>la</w:t>
      </w:r>
      <w:r w:rsidRPr="009A0DA6">
        <w:rPr>
          <w:rFonts w:ascii="Cambria" w:eastAsia="Calibri" w:hAnsi="Cambria" w:cs="Calibri"/>
          <w:spacing w:val="-1"/>
        </w:rPr>
        <w:t>c</w:t>
      </w:r>
      <w:r w:rsidRPr="009A0DA6">
        <w:rPr>
          <w:rFonts w:ascii="Cambria" w:eastAsia="Calibri" w:hAnsi="Cambria" w:cs="Calibri"/>
          <w:spacing w:val="-2"/>
        </w:rPr>
        <w:t>k</w:t>
      </w:r>
      <w:r w:rsidRPr="009A0DA6">
        <w:rPr>
          <w:rFonts w:ascii="Cambria" w:eastAsia="Calibri" w:hAnsi="Cambria" w:cs="Calibri"/>
        </w:rPr>
        <w:t>s</w:t>
      </w:r>
      <w:r w:rsidRPr="009A0DA6">
        <w:rPr>
          <w:rFonts w:ascii="Cambria" w:eastAsia="Calibri" w:hAnsi="Cambria" w:cs="Calibri"/>
          <w:spacing w:val="1"/>
        </w:rPr>
        <w:t xml:space="preserve"> </w:t>
      </w:r>
      <w:r w:rsidRPr="009A0DA6">
        <w:rPr>
          <w:rFonts w:ascii="Cambria" w:eastAsia="Calibri" w:hAnsi="Cambria" w:cs="Calibri"/>
          <w:spacing w:val="-1"/>
        </w:rPr>
        <w:t>b</w:t>
      </w:r>
      <w:r w:rsidRPr="009A0DA6">
        <w:rPr>
          <w:rFonts w:ascii="Cambria" w:eastAsia="Calibri" w:hAnsi="Cambria" w:cs="Calibri"/>
        </w:rPr>
        <w:t>oth</w:t>
      </w:r>
      <w:r w:rsidRPr="009A0DA6">
        <w:rPr>
          <w:rFonts w:ascii="Cambria" w:eastAsia="Calibri" w:hAnsi="Cambria" w:cs="Calibri"/>
          <w:spacing w:val="-1"/>
        </w:rPr>
        <w:t xml:space="preserve"> </w:t>
      </w:r>
      <w:r w:rsidRPr="009A0DA6">
        <w:rPr>
          <w:rFonts w:ascii="Cambria" w:eastAsia="Calibri" w:hAnsi="Cambria" w:cs="Calibri"/>
        </w:rPr>
        <w:t>le</w:t>
      </w:r>
      <w:r w:rsidRPr="009A0DA6">
        <w:rPr>
          <w:rFonts w:ascii="Cambria" w:eastAsia="Calibri" w:hAnsi="Cambria" w:cs="Calibri"/>
          <w:spacing w:val="-3"/>
        </w:rPr>
        <w:t>g</w:t>
      </w:r>
      <w:r w:rsidRPr="009A0DA6">
        <w:rPr>
          <w:rFonts w:ascii="Cambria" w:eastAsia="Calibri" w:hAnsi="Cambria" w:cs="Calibri"/>
        </w:rPr>
        <w:t>itimate a</w:t>
      </w:r>
      <w:r w:rsidRPr="009A0DA6">
        <w:rPr>
          <w:rFonts w:ascii="Cambria" w:eastAsia="Calibri" w:hAnsi="Cambria" w:cs="Calibri"/>
          <w:spacing w:val="-1"/>
        </w:rPr>
        <w:t>u</w:t>
      </w:r>
      <w:r w:rsidRPr="009A0DA6">
        <w:rPr>
          <w:rFonts w:ascii="Cambria" w:eastAsia="Calibri" w:hAnsi="Cambria" w:cs="Calibri"/>
        </w:rPr>
        <w:t>th</w:t>
      </w:r>
      <w:r w:rsidRPr="009A0DA6">
        <w:rPr>
          <w:rFonts w:ascii="Cambria" w:eastAsia="Calibri" w:hAnsi="Cambria" w:cs="Calibri"/>
          <w:spacing w:val="-3"/>
        </w:rPr>
        <w:t>o</w:t>
      </w:r>
      <w:r w:rsidRPr="009A0DA6">
        <w:rPr>
          <w:rFonts w:ascii="Cambria" w:eastAsia="Calibri" w:hAnsi="Cambria" w:cs="Calibri"/>
          <w:spacing w:val="1"/>
        </w:rPr>
        <w:t>r</w:t>
      </w:r>
      <w:r w:rsidRPr="009A0DA6">
        <w:rPr>
          <w:rFonts w:ascii="Cambria" w:eastAsia="Calibri" w:hAnsi="Cambria" w:cs="Calibri"/>
        </w:rPr>
        <w:t>ity a</w:t>
      </w:r>
      <w:r w:rsidRPr="009A0DA6">
        <w:rPr>
          <w:rFonts w:ascii="Cambria" w:eastAsia="Calibri" w:hAnsi="Cambria" w:cs="Calibri"/>
          <w:spacing w:val="-1"/>
        </w:rPr>
        <w:t>n</w:t>
      </w:r>
      <w:r w:rsidRPr="009A0DA6">
        <w:rPr>
          <w:rFonts w:ascii="Cambria" w:eastAsia="Calibri" w:hAnsi="Cambria" w:cs="Calibri"/>
        </w:rPr>
        <w:t>d</w:t>
      </w:r>
      <w:r w:rsidRPr="009A0DA6">
        <w:rPr>
          <w:rFonts w:ascii="Cambria" w:eastAsia="Calibri" w:hAnsi="Cambria" w:cs="Calibri"/>
          <w:spacing w:val="-1"/>
        </w:rPr>
        <w:t xml:space="preserve"> </w:t>
      </w:r>
      <w:r w:rsidRPr="009A0DA6">
        <w:rPr>
          <w:rFonts w:ascii="Cambria" w:eastAsia="Calibri" w:hAnsi="Cambria" w:cs="Calibri"/>
        </w:rPr>
        <w:t>ge</w:t>
      </w:r>
      <w:r w:rsidRPr="009A0DA6">
        <w:rPr>
          <w:rFonts w:ascii="Cambria" w:eastAsia="Calibri" w:hAnsi="Cambria" w:cs="Calibri"/>
          <w:spacing w:val="-1"/>
        </w:rPr>
        <w:t>nu</w:t>
      </w:r>
      <w:r w:rsidRPr="009A0DA6">
        <w:rPr>
          <w:rFonts w:ascii="Cambria" w:eastAsia="Calibri" w:hAnsi="Cambria" w:cs="Calibri"/>
          <w:spacing w:val="-3"/>
        </w:rPr>
        <w:t>i</w:t>
      </w:r>
      <w:r w:rsidRPr="009A0DA6">
        <w:rPr>
          <w:rFonts w:ascii="Cambria" w:eastAsia="Calibri" w:hAnsi="Cambria" w:cs="Calibri"/>
          <w:spacing w:val="-1"/>
        </w:rPr>
        <w:t>n</w:t>
      </w:r>
      <w:r w:rsidRPr="009A0DA6">
        <w:rPr>
          <w:rFonts w:ascii="Cambria" w:eastAsia="Calibri" w:hAnsi="Cambria" w:cs="Calibri"/>
        </w:rPr>
        <w:t>e a</w:t>
      </w:r>
      <w:r w:rsidRPr="009A0DA6">
        <w:rPr>
          <w:rFonts w:ascii="Cambria" w:eastAsia="Calibri" w:hAnsi="Cambria" w:cs="Calibri"/>
          <w:spacing w:val="-1"/>
        </w:rPr>
        <w:t>c</w:t>
      </w:r>
      <w:r w:rsidRPr="009A0DA6">
        <w:rPr>
          <w:rFonts w:ascii="Cambria" w:eastAsia="Calibri" w:hAnsi="Cambria" w:cs="Calibri"/>
        </w:rPr>
        <w:t>c</w:t>
      </w:r>
      <w:r w:rsidRPr="009A0DA6">
        <w:rPr>
          <w:rFonts w:ascii="Cambria" w:eastAsia="Calibri" w:hAnsi="Cambria" w:cs="Calibri"/>
          <w:spacing w:val="-1"/>
        </w:rPr>
        <w:t>oun</w:t>
      </w:r>
      <w:r w:rsidRPr="009A0DA6">
        <w:rPr>
          <w:rFonts w:ascii="Cambria" w:eastAsia="Calibri" w:hAnsi="Cambria" w:cs="Calibri"/>
        </w:rPr>
        <w:t>ta</w:t>
      </w:r>
      <w:r w:rsidRPr="009A0DA6">
        <w:rPr>
          <w:rFonts w:ascii="Cambria" w:eastAsia="Calibri" w:hAnsi="Cambria" w:cs="Calibri"/>
          <w:spacing w:val="-1"/>
        </w:rPr>
        <w:t>b</w:t>
      </w:r>
      <w:r w:rsidRPr="009A0DA6">
        <w:rPr>
          <w:rFonts w:ascii="Cambria" w:eastAsia="Calibri" w:hAnsi="Cambria" w:cs="Calibri"/>
        </w:rPr>
        <w:t>ilit</w:t>
      </w:r>
      <w:r w:rsidRPr="009A0DA6">
        <w:rPr>
          <w:rFonts w:ascii="Cambria" w:eastAsia="Calibri" w:hAnsi="Cambria" w:cs="Calibri"/>
          <w:spacing w:val="2"/>
        </w:rPr>
        <w:t>y</w:t>
      </w:r>
      <w:r w:rsidRPr="009A0DA6">
        <w:rPr>
          <w:rFonts w:ascii="Cambria" w:eastAsia="Calibri" w:hAnsi="Cambria" w:cs="Calibri"/>
        </w:rPr>
        <w:t>. It opera</w:t>
      </w:r>
      <w:r w:rsidRPr="009A0DA6">
        <w:rPr>
          <w:rFonts w:ascii="Cambria" w:eastAsia="Calibri" w:hAnsi="Cambria" w:cs="Calibri"/>
          <w:spacing w:val="-2"/>
        </w:rPr>
        <w:t>t</w:t>
      </w:r>
      <w:r w:rsidRPr="009A0DA6">
        <w:rPr>
          <w:rFonts w:ascii="Cambria" w:eastAsia="Calibri" w:hAnsi="Cambria" w:cs="Calibri"/>
        </w:rPr>
        <w:t>es</w:t>
      </w:r>
      <w:r w:rsidRPr="009A0DA6">
        <w:rPr>
          <w:rFonts w:ascii="Cambria" w:eastAsia="Calibri" w:hAnsi="Cambria" w:cs="Calibri"/>
          <w:spacing w:val="1"/>
        </w:rPr>
        <w:t xml:space="preserve"> </w:t>
      </w:r>
      <w:r w:rsidRPr="009A0DA6">
        <w:rPr>
          <w:rFonts w:ascii="Cambria" w:eastAsia="Calibri" w:hAnsi="Cambria" w:cs="Calibri"/>
        </w:rPr>
        <w:t>w</w:t>
      </w:r>
      <w:r w:rsidRPr="009A0DA6">
        <w:rPr>
          <w:rFonts w:ascii="Cambria" w:eastAsia="Calibri" w:hAnsi="Cambria" w:cs="Calibri"/>
          <w:spacing w:val="-2"/>
        </w:rPr>
        <w:t>i</w:t>
      </w:r>
      <w:r w:rsidRPr="009A0DA6">
        <w:rPr>
          <w:rFonts w:ascii="Cambria" w:eastAsia="Calibri" w:hAnsi="Cambria" w:cs="Calibri"/>
        </w:rPr>
        <w:t>th prin</w:t>
      </w:r>
      <w:r w:rsidRPr="009A0DA6">
        <w:rPr>
          <w:rFonts w:ascii="Cambria" w:eastAsia="Calibri" w:hAnsi="Cambria" w:cs="Calibri"/>
          <w:spacing w:val="-1"/>
        </w:rPr>
        <w:t>c</w:t>
      </w:r>
      <w:r w:rsidRPr="009A0DA6">
        <w:rPr>
          <w:rFonts w:ascii="Cambria" w:eastAsia="Calibri" w:hAnsi="Cambria" w:cs="Calibri"/>
        </w:rPr>
        <w:t>i</w:t>
      </w:r>
      <w:r w:rsidRPr="009A0DA6">
        <w:rPr>
          <w:rFonts w:ascii="Cambria" w:eastAsia="Calibri" w:hAnsi="Cambria" w:cs="Calibri"/>
          <w:spacing w:val="-1"/>
        </w:rPr>
        <w:t>p</w:t>
      </w:r>
      <w:r w:rsidRPr="009A0DA6">
        <w:rPr>
          <w:rFonts w:ascii="Cambria" w:eastAsia="Calibri" w:hAnsi="Cambria" w:cs="Calibri"/>
        </w:rPr>
        <w:t>les</w:t>
      </w:r>
      <w:r w:rsidRPr="009A0DA6">
        <w:rPr>
          <w:rFonts w:ascii="Cambria" w:eastAsia="Calibri" w:hAnsi="Cambria" w:cs="Calibri"/>
          <w:spacing w:val="1"/>
        </w:rPr>
        <w:t xml:space="preserve"> </w:t>
      </w:r>
      <w:r w:rsidRPr="009A0DA6">
        <w:rPr>
          <w:rFonts w:ascii="Cambria" w:eastAsia="Calibri" w:hAnsi="Cambria" w:cs="Calibri"/>
          <w:spacing w:val="-1"/>
        </w:rPr>
        <w:t>an</w:t>
      </w:r>
      <w:r w:rsidRPr="009A0DA6">
        <w:rPr>
          <w:rFonts w:ascii="Cambria" w:eastAsia="Calibri" w:hAnsi="Cambria" w:cs="Calibri"/>
        </w:rPr>
        <w:t xml:space="preserve">d </w:t>
      </w:r>
      <w:r w:rsidRPr="009A0DA6">
        <w:rPr>
          <w:rFonts w:ascii="Cambria" w:eastAsia="Calibri" w:hAnsi="Cambria" w:cs="Calibri"/>
          <w:spacing w:val="-1"/>
        </w:rPr>
        <w:t>p</w:t>
      </w:r>
      <w:r w:rsidRPr="009A0DA6">
        <w:rPr>
          <w:rFonts w:ascii="Cambria" w:eastAsia="Calibri" w:hAnsi="Cambria" w:cs="Calibri"/>
          <w:spacing w:val="1"/>
        </w:rPr>
        <w:t>r</w:t>
      </w:r>
      <w:r w:rsidRPr="009A0DA6">
        <w:rPr>
          <w:rFonts w:ascii="Cambria" w:eastAsia="Calibri" w:hAnsi="Cambria" w:cs="Calibri"/>
        </w:rPr>
        <w:t>o</w:t>
      </w:r>
      <w:r w:rsidRPr="009A0DA6">
        <w:rPr>
          <w:rFonts w:ascii="Cambria" w:eastAsia="Calibri" w:hAnsi="Cambria" w:cs="Calibri"/>
          <w:spacing w:val="-1"/>
        </w:rPr>
        <w:t>c</w:t>
      </w:r>
      <w:r w:rsidRPr="009A0DA6">
        <w:rPr>
          <w:rFonts w:ascii="Cambria" w:eastAsia="Calibri" w:hAnsi="Cambria" w:cs="Calibri"/>
        </w:rPr>
        <w:t>ed</w:t>
      </w:r>
      <w:r w:rsidRPr="009A0DA6">
        <w:rPr>
          <w:rFonts w:ascii="Cambria" w:eastAsia="Calibri" w:hAnsi="Cambria" w:cs="Calibri"/>
          <w:spacing w:val="-1"/>
        </w:rPr>
        <w:t>u</w:t>
      </w:r>
      <w:r w:rsidRPr="009A0DA6">
        <w:rPr>
          <w:rFonts w:ascii="Cambria" w:eastAsia="Calibri" w:hAnsi="Cambria" w:cs="Calibri"/>
          <w:spacing w:val="1"/>
        </w:rPr>
        <w:t>r</w:t>
      </w:r>
      <w:r w:rsidRPr="009A0DA6">
        <w:rPr>
          <w:rFonts w:ascii="Cambria" w:eastAsia="Calibri" w:hAnsi="Cambria" w:cs="Calibri"/>
        </w:rPr>
        <w:t>es</w:t>
      </w:r>
      <w:r w:rsidRPr="009A0DA6">
        <w:rPr>
          <w:rFonts w:ascii="Cambria" w:eastAsia="Calibri" w:hAnsi="Cambria" w:cs="Calibri"/>
          <w:spacing w:val="-2"/>
        </w:rPr>
        <w:t xml:space="preserve"> </w:t>
      </w:r>
      <w:r w:rsidRPr="009A0DA6">
        <w:rPr>
          <w:rFonts w:ascii="Cambria" w:eastAsia="Calibri" w:hAnsi="Cambria" w:cs="Calibri"/>
          <w:spacing w:val="1"/>
        </w:rPr>
        <w:t>t</w:t>
      </w:r>
      <w:r w:rsidRPr="009A0DA6">
        <w:rPr>
          <w:rFonts w:ascii="Cambria" w:eastAsia="Calibri" w:hAnsi="Cambria" w:cs="Calibri"/>
          <w:spacing w:val="-1"/>
        </w:rPr>
        <w:t>ha</w:t>
      </w:r>
      <w:r w:rsidRPr="009A0DA6">
        <w:rPr>
          <w:rFonts w:ascii="Cambria" w:eastAsia="Calibri" w:hAnsi="Cambria" w:cs="Calibri"/>
        </w:rPr>
        <w:t>t</w:t>
      </w:r>
      <w:r w:rsidRPr="009A0DA6">
        <w:rPr>
          <w:rFonts w:ascii="Cambria" w:eastAsia="Calibri" w:hAnsi="Cambria" w:cs="Calibri"/>
          <w:spacing w:val="1"/>
        </w:rPr>
        <w:t xml:space="preserve"> </w:t>
      </w:r>
      <w:r w:rsidRPr="009A0DA6">
        <w:rPr>
          <w:rFonts w:ascii="Cambria" w:eastAsia="Calibri" w:hAnsi="Cambria" w:cs="Calibri"/>
          <w:spacing w:val="-3"/>
        </w:rPr>
        <w:t>a</w:t>
      </w:r>
      <w:r w:rsidRPr="009A0DA6">
        <w:rPr>
          <w:rFonts w:ascii="Cambria" w:eastAsia="Calibri" w:hAnsi="Cambria" w:cs="Calibri"/>
          <w:spacing w:val="1"/>
        </w:rPr>
        <w:t>r</w:t>
      </w:r>
      <w:r w:rsidRPr="009A0DA6">
        <w:rPr>
          <w:rFonts w:ascii="Cambria" w:eastAsia="Calibri" w:hAnsi="Cambria" w:cs="Calibri"/>
        </w:rPr>
        <w:t>e d</w:t>
      </w:r>
      <w:r w:rsidRPr="009A0DA6">
        <w:rPr>
          <w:rFonts w:ascii="Cambria" w:eastAsia="Calibri" w:hAnsi="Cambria" w:cs="Calibri"/>
          <w:spacing w:val="-2"/>
        </w:rPr>
        <w:t>e</w:t>
      </w:r>
      <w:r w:rsidRPr="009A0DA6">
        <w:rPr>
          <w:rFonts w:ascii="Cambria" w:eastAsia="Calibri" w:hAnsi="Cambria" w:cs="Calibri"/>
          <w:spacing w:val="1"/>
        </w:rPr>
        <w:t>r</w:t>
      </w:r>
      <w:r w:rsidRPr="009A0DA6">
        <w:rPr>
          <w:rFonts w:ascii="Cambria" w:eastAsia="Calibri" w:hAnsi="Cambria" w:cs="Calibri"/>
        </w:rPr>
        <w:t>iv</w:t>
      </w:r>
      <w:r w:rsidRPr="009A0DA6">
        <w:rPr>
          <w:rFonts w:ascii="Cambria" w:eastAsia="Calibri" w:hAnsi="Cambria" w:cs="Calibri"/>
          <w:spacing w:val="-3"/>
        </w:rPr>
        <w:t>e</w:t>
      </w:r>
      <w:r w:rsidRPr="009A0DA6">
        <w:rPr>
          <w:rFonts w:ascii="Cambria" w:eastAsia="Calibri" w:hAnsi="Cambria" w:cs="Calibri"/>
        </w:rPr>
        <w:t>d neit</w:t>
      </w:r>
      <w:r w:rsidRPr="009A0DA6">
        <w:rPr>
          <w:rFonts w:ascii="Cambria" w:eastAsia="Calibri" w:hAnsi="Cambria" w:cs="Calibri"/>
          <w:spacing w:val="-1"/>
        </w:rPr>
        <w:t>h</w:t>
      </w:r>
      <w:r w:rsidRPr="009A0DA6">
        <w:rPr>
          <w:rFonts w:ascii="Cambria" w:eastAsia="Calibri" w:hAnsi="Cambria" w:cs="Calibri"/>
        </w:rPr>
        <w:t>er</w:t>
      </w:r>
      <w:r w:rsidRPr="009A0DA6">
        <w:rPr>
          <w:rFonts w:ascii="Cambria" w:eastAsia="Calibri" w:hAnsi="Cambria" w:cs="Calibri"/>
          <w:spacing w:val="1"/>
        </w:rPr>
        <w:t xml:space="preserve"> </w:t>
      </w:r>
      <w:r w:rsidRPr="009A0DA6">
        <w:rPr>
          <w:rFonts w:ascii="Cambria" w:eastAsia="Calibri" w:hAnsi="Cambria" w:cs="Calibri"/>
          <w:spacing w:val="-2"/>
        </w:rPr>
        <w:t>f</w:t>
      </w:r>
      <w:r w:rsidRPr="009A0DA6">
        <w:rPr>
          <w:rFonts w:ascii="Cambria" w:eastAsia="Calibri" w:hAnsi="Cambria" w:cs="Calibri"/>
          <w:spacing w:val="1"/>
        </w:rPr>
        <w:t>r</w:t>
      </w:r>
      <w:r w:rsidRPr="009A0DA6">
        <w:rPr>
          <w:rFonts w:ascii="Cambria" w:eastAsia="Calibri" w:hAnsi="Cambria" w:cs="Calibri"/>
        </w:rPr>
        <w:t>om</w:t>
      </w:r>
      <w:r w:rsidRPr="009A0DA6">
        <w:rPr>
          <w:rFonts w:ascii="Cambria" w:eastAsia="Calibri" w:hAnsi="Cambria" w:cs="Calibri"/>
          <w:spacing w:val="-2"/>
        </w:rPr>
        <w:t xml:space="preserve">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2"/>
        </w:rPr>
        <w:t xml:space="preserve"> </w:t>
      </w:r>
      <w:r w:rsidRPr="009A0DA6">
        <w:rPr>
          <w:rFonts w:ascii="Cambria" w:eastAsia="Calibri" w:hAnsi="Cambria" w:cs="Calibri"/>
        </w:rPr>
        <w:t>spiritu</w:t>
      </w:r>
      <w:r w:rsidRPr="009A0DA6">
        <w:rPr>
          <w:rFonts w:ascii="Cambria" w:eastAsia="Calibri" w:hAnsi="Cambria" w:cs="Calibri"/>
          <w:spacing w:val="-1"/>
        </w:rPr>
        <w:t>a</w:t>
      </w:r>
      <w:r w:rsidRPr="009A0DA6">
        <w:rPr>
          <w:rFonts w:ascii="Cambria" w:eastAsia="Calibri" w:hAnsi="Cambria" w:cs="Calibri"/>
        </w:rPr>
        <w:t>l</w:t>
      </w:r>
      <w:r w:rsidRPr="009A0DA6">
        <w:rPr>
          <w:rFonts w:ascii="Cambria" w:eastAsia="Calibri" w:hAnsi="Cambria" w:cs="Calibri"/>
          <w:spacing w:val="-2"/>
        </w:rPr>
        <w:t xml:space="preserve"> </w:t>
      </w:r>
      <w:r w:rsidRPr="009A0DA6">
        <w:rPr>
          <w:rFonts w:ascii="Cambria" w:eastAsia="Calibri" w:hAnsi="Cambria" w:cs="Calibri"/>
          <w:spacing w:val="-1"/>
        </w:rPr>
        <w:t>au</w:t>
      </w:r>
      <w:r w:rsidRPr="009A0DA6">
        <w:rPr>
          <w:rFonts w:ascii="Cambria" w:eastAsia="Calibri" w:hAnsi="Cambria" w:cs="Calibri"/>
        </w:rPr>
        <w:t>th</w:t>
      </w:r>
      <w:r w:rsidRPr="009A0DA6">
        <w:rPr>
          <w:rFonts w:ascii="Cambria" w:eastAsia="Calibri" w:hAnsi="Cambria" w:cs="Calibri"/>
          <w:spacing w:val="-1"/>
        </w:rPr>
        <w:t>o</w:t>
      </w:r>
      <w:r w:rsidRPr="009A0DA6">
        <w:rPr>
          <w:rFonts w:ascii="Cambria" w:eastAsia="Calibri" w:hAnsi="Cambria" w:cs="Calibri"/>
          <w:spacing w:val="1"/>
        </w:rPr>
        <w:t>r</w:t>
      </w:r>
      <w:r w:rsidRPr="009A0DA6">
        <w:rPr>
          <w:rFonts w:ascii="Cambria" w:eastAsia="Calibri" w:hAnsi="Cambria" w:cs="Calibri"/>
        </w:rPr>
        <w:t>ity of Go</w:t>
      </w:r>
      <w:r w:rsidRPr="009A0DA6">
        <w:rPr>
          <w:rFonts w:ascii="Cambria" w:eastAsia="Calibri" w:hAnsi="Cambria" w:cs="Calibri"/>
          <w:spacing w:val="-1"/>
        </w:rPr>
        <w:t>d</w:t>
      </w:r>
      <w:r w:rsidRPr="009A0DA6">
        <w:rPr>
          <w:rFonts w:ascii="Cambria" w:eastAsia="Calibri" w:hAnsi="Cambria" w:cs="Calibri"/>
          <w:spacing w:val="-2"/>
        </w:rPr>
        <w:t>’</w:t>
      </w:r>
      <w:r w:rsidRPr="009A0DA6">
        <w:rPr>
          <w:rFonts w:ascii="Cambria" w:eastAsia="Calibri" w:hAnsi="Cambria" w:cs="Calibri"/>
        </w:rPr>
        <w:t>s</w:t>
      </w:r>
      <w:r w:rsidRPr="009A0DA6">
        <w:rPr>
          <w:rFonts w:ascii="Cambria" w:eastAsia="Calibri" w:hAnsi="Cambria" w:cs="Calibri"/>
          <w:spacing w:val="1"/>
        </w:rPr>
        <w:t xml:space="preserve"> </w:t>
      </w:r>
      <w:r w:rsidRPr="009A0DA6">
        <w:rPr>
          <w:rFonts w:ascii="Cambria" w:eastAsia="Calibri" w:hAnsi="Cambria" w:cs="Calibri"/>
        </w:rPr>
        <w:t>W</w:t>
      </w:r>
      <w:r w:rsidRPr="009A0DA6">
        <w:rPr>
          <w:rFonts w:ascii="Cambria" w:eastAsia="Calibri" w:hAnsi="Cambria" w:cs="Calibri"/>
          <w:spacing w:val="-3"/>
        </w:rPr>
        <w:t>o</w:t>
      </w:r>
      <w:r w:rsidRPr="009A0DA6">
        <w:rPr>
          <w:rFonts w:ascii="Cambria" w:eastAsia="Calibri" w:hAnsi="Cambria" w:cs="Calibri"/>
          <w:spacing w:val="1"/>
        </w:rPr>
        <w:t>r</w:t>
      </w:r>
      <w:r w:rsidRPr="009A0DA6">
        <w:rPr>
          <w:rFonts w:ascii="Cambria" w:eastAsia="Calibri" w:hAnsi="Cambria" w:cs="Calibri"/>
        </w:rPr>
        <w:t>d n</w:t>
      </w:r>
      <w:r w:rsidRPr="009A0DA6">
        <w:rPr>
          <w:rFonts w:ascii="Cambria" w:eastAsia="Calibri" w:hAnsi="Cambria" w:cs="Calibri"/>
          <w:spacing w:val="-3"/>
        </w:rPr>
        <w:t>o</w:t>
      </w:r>
      <w:r w:rsidRPr="009A0DA6">
        <w:rPr>
          <w:rFonts w:ascii="Cambria" w:eastAsia="Calibri" w:hAnsi="Cambria" w:cs="Calibri"/>
        </w:rPr>
        <w:t>r</w:t>
      </w:r>
      <w:r w:rsidRPr="009A0DA6">
        <w:rPr>
          <w:rFonts w:ascii="Cambria" w:eastAsia="Calibri" w:hAnsi="Cambria" w:cs="Calibri"/>
          <w:spacing w:val="1"/>
        </w:rPr>
        <w:t xml:space="preserve"> </w:t>
      </w:r>
      <w:r w:rsidRPr="009A0DA6">
        <w:rPr>
          <w:rFonts w:ascii="Cambria" w:eastAsia="Calibri" w:hAnsi="Cambria" w:cs="Calibri"/>
        </w:rPr>
        <w:t>f</w:t>
      </w:r>
      <w:r w:rsidRPr="009A0DA6">
        <w:rPr>
          <w:rFonts w:ascii="Cambria" w:eastAsia="Calibri" w:hAnsi="Cambria" w:cs="Calibri"/>
          <w:spacing w:val="1"/>
        </w:rPr>
        <w:t>r</w:t>
      </w:r>
      <w:r w:rsidRPr="009A0DA6">
        <w:rPr>
          <w:rFonts w:ascii="Cambria" w:eastAsia="Calibri" w:hAnsi="Cambria" w:cs="Calibri"/>
          <w:spacing w:val="-3"/>
        </w:rPr>
        <w:t>o</w:t>
      </w:r>
      <w:r w:rsidRPr="009A0DA6">
        <w:rPr>
          <w:rFonts w:ascii="Cambria" w:eastAsia="Calibri" w:hAnsi="Cambria" w:cs="Calibri"/>
        </w:rPr>
        <w:t>m</w:t>
      </w:r>
      <w:r w:rsidRPr="009A0DA6">
        <w:rPr>
          <w:rFonts w:ascii="Cambria" w:eastAsia="Calibri" w:hAnsi="Cambria" w:cs="Calibri"/>
          <w:spacing w:val="1"/>
        </w:rPr>
        <w:t xml:space="preserve"> </w:t>
      </w:r>
      <w:r w:rsidRPr="009A0DA6">
        <w:rPr>
          <w:rFonts w:ascii="Cambria" w:eastAsia="Calibri" w:hAnsi="Cambria" w:cs="Calibri"/>
        </w:rPr>
        <w:t>t</w:t>
      </w:r>
      <w:r w:rsidRPr="009A0DA6">
        <w:rPr>
          <w:rFonts w:ascii="Cambria" w:eastAsia="Calibri" w:hAnsi="Cambria" w:cs="Calibri"/>
          <w:spacing w:val="-3"/>
        </w:rPr>
        <w:t>h</w:t>
      </w:r>
      <w:r w:rsidRPr="009A0DA6">
        <w:rPr>
          <w:rFonts w:ascii="Cambria" w:eastAsia="Calibri" w:hAnsi="Cambria" w:cs="Calibri"/>
        </w:rPr>
        <w:t>e laws</w:t>
      </w:r>
      <w:r w:rsidRPr="009A0DA6">
        <w:rPr>
          <w:rFonts w:ascii="Cambria" w:eastAsia="Calibri" w:hAnsi="Cambria" w:cs="Calibri"/>
          <w:spacing w:val="-2"/>
        </w:rPr>
        <w:t xml:space="preserve"> </w:t>
      </w:r>
      <w:r w:rsidRPr="009A0DA6">
        <w:rPr>
          <w:rFonts w:ascii="Cambria" w:eastAsia="Calibri" w:hAnsi="Cambria" w:cs="Calibri"/>
        </w:rPr>
        <w:t xml:space="preserve">of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2"/>
        </w:rPr>
        <w:t xml:space="preserve"> </w:t>
      </w:r>
      <w:r w:rsidRPr="009A0DA6">
        <w:rPr>
          <w:rFonts w:ascii="Cambria" w:eastAsia="Calibri" w:hAnsi="Cambria" w:cs="Calibri"/>
        </w:rPr>
        <w:t>n</w:t>
      </w:r>
      <w:r w:rsidRPr="009A0DA6">
        <w:rPr>
          <w:rFonts w:ascii="Cambria" w:eastAsia="Calibri" w:hAnsi="Cambria" w:cs="Calibri"/>
          <w:spacing w:val="-1"/>
        </w:rPr>
        <w:t>a</w:t>
      </w:r>
      <w:r w:rsidRPr="009A0DA6">
        <w:rPr>
          <w:rFonts w:ascii="Cambria" w:eastAsia="Calibri" w:hAnsi="Cambria" w:cs="Calibri"/>
        </w:rPr>
        <w:t>ti</w:t>
      </w:r>
      <w:r w:rsidRPr="009A0DA6">
        <w:rPr>
          <w:rFonts w:ascii="Cambria" w:eastAsia="Calibri" w:hAnsi="Cambria" w:cs="Calibri"/>
          <w:spacing w:val="-3"/>
        </w:rPr>
        <w:t>o</w:t>
      </w:r>
      <w:r w:rsidRPr="009A0DA6">
        <w:rPr>
          <w:rFonts w:ascii="Cambria" w:eastAsia="Calibri" w:hAnsi="Cambria" w:cs="Calibri"/>
          <w:spacing w:val="-1"/>
        </w:rPr>
        <w:t>n</w:t>
      </w:r>
      <w:r w:rsidRPr="009A0DA6">
        <w:rPr>
          <w:rFonts w:ascii="Cambria" w:eastAsia="Calibri" w:hAnsi="Cambria" w:cs="Calibri"/>
        </w:rPr>
        <w:t>. F</w:t>
      </w:r>
      <w:r w:rsidRPr="009A0DA6">
        <w:rPr>
          <w:rFonts w:ascii="Cambria" w:eastAsia="Calibri" w:hAnsi="Cambria" w:cs="Calibri"/>
          <w:spacing w:val="-1"/>
        </w:rPr>
        <w:t>u</w:t>
      </w:r>
      <w:r w:rsidRPr="009A0DA6">
        <w:rPr>
          <w:rFonts w:ascii="Cambria" w:eastAsia="Calibri" w:hAnsi="Cambria" w:cs="Calibri"/>
          <w:spacing w:val="1"/>
        </w:rPr>
        <w:t>r</w:t>
      </w:r>
      <w:r w:rsidRPr="009A0DA6">
        <w:rPr>
          <w:rFonts w:ascii="Cambria" w:eastAsia="Calibri" w:hAnsi="Cambria" w:cs="Calibri"/>
        </w:rPr>
        <w:t>the</w:t>
      </w:r>
      <w:r w:rsidRPr="009A0DA6">
        <w:rPr>
          <w:rFonts w:ascii="Cambria" w:eastAsia="Calibri" w:hAnsi="Cambria" w:cs="Calibri"/>
          <w:spacing w:val="-2"/>
        </w:rPr>
        <w:t>r</w:t>
      </w:r>
      <w:r w:rsidRPr="009A0DA6">
        <w:rPr>
          <w:rFonts w:ascii="Cambria" w:eastAsia="Calibri" w:hAnsi="Cambria" w:cs="Calibri"/>
        </w:rPr>
        <w:t>mo</w:t>
      </w:r>
      <w:r w:rsidRPr="009A0DA6">
        <w:rPr>
          <w:rFonts w:ascii="Cambria" w:eastAsia="Calibri" w:hAnsi="Cambria" w:cs="Calibri"/>
          <w:spacing w:val="-1"/>
        </w:rPr>
        <w:t>r</w:t>
      </w:r>
      <w:r w:rsidRPr="009A0DA6">
        <w:rPr>
          <w:rFonts w:ascii="Cambria" w:eastAsia="Calibri" w:hAnsi="Cambria" w:cs="Calibri"/>
        </w:rPr>
        <w:t xml:space="preserve">e, </w:t>
      </w:r>
      <w:r w:rsidRPr="009A0DA6">
        <w:rPr>
          <w:rFonts w:ascii="Cambria" w:eastAsia="Calibri" w:hAnsi="Cambria" w:cs="Calibri"/>
          <w:spacing w:val="1"/>
        </w:rPr>
        <w:t>s</w:t>
      </w:r>
      <w:r w:rsidRPr="009A0DA6">
        <w:rPr>
          <w:rFonts w:ascii="Cambria" w:eastAsia="Calibri" w:hAnsi="Cambria" w:cs="Calibri"/>
        </w:rPr>
        <w:t>i</w:t>
      </w:r>
      <w:r w:rsidRPr="009A0DA6">
        <w:rPr>
          <w:rFonts w:ascii="Cambria" w:eastAsia="Calibri" w:hAnsi="Cambria" w:cs="Calibri"/>
          <w:spacing w:val="-1"/>
        </w:rPr>
        <w:t>n</w:t>
      </w:r>
      <w:r w:rsidRPr="009A0DA6">
        <w:rPr>
          <w:rFonts w:ascii="Cambria" w:eastAsia="Calibri" w:hAnsi="Cambria" w:cs="Calibri"/>
        </w:rPr>
        <w:t xml:space="preserve">ce </w:t>
      </w:r>
      <w:r w:rsidRPr="009A0DA6">
        <w:rPr>
          <w:rFonts w:ascii="Cambria" w:eastAsia="Calibri" w:hAnsi="Cambria" w:cs="Calibri"/>
          <w:spacing w:val="-3"/>
        </w:rPr>
        <w:t>i</w:t>
      </w:r>
      <w:r w:rsidRPr="009A0DA6">
        <w:rPr>
          <w:rFonts w:ascii="Cambria" w:eastAsia="Calibri" w:hAnsi="Cambria" w:cs="Calibri"/>
        </w:rPr>
        <w:t>t</w:t>
      </w:r>
      <w:r w:rsidRPr="009A0DA6">
        <w:rPr>
          <w:rFonts w:ascii="Cambria" w:eastAsia="Calibri" w:hAnsi="Cambria" w:cs="Calibri"/>
          <w:spacing w:val="1"/>
        </w:rPr>
        <w:t xml:space="preserve"> </w:t>
      </w:r>
      <w:r w:rsidRPr="009A0DA6">
        <w:rPr>
          <w:rFonts w:ascii="Cambria" w:eastAsia="Calibri" w:hAnsi="Cambria" w:cs="Calibri"/>
          <w:spacing w:val="-1"/>
        </w:rPr>
        <w:t>ha</w:t>
      </w:r>
      <w:r w:rsidRPr="009A0DA6">
        <w:rPr>
          <w:rFonts w:ascii="Cambria" w:eastAsia="Calibri" w:hAnsi="Cambria" w:cs="Calibri"/>
        </w:rPr>
        <w:t>s</w:t>
      </w:r>
      <w:r w:rsidRPr="009A0DA6">
        <w:rPr>
          <w:rFonts w:ascii="Cambria" w:eastAsia="Calibri" w:hAnsi="Cambria" w:cs="Calibri"/>
          <w:spacing w:val="1"/>
        </w:rPr>
        <w:t xml:space="preserve"> </w:t>
      </w:r>
      <w:r w:rsidRPr="009A0DA6">
        <w:rPr>
          <w:rFonts w:ascii="Cambria" w:eastAsia="Calibri" w:hAnsi="Cambria" w:cs="Calibri"/>
          <w:spacing w:val="-3"/>
        </w:rPr>
        <w:t>b</w:t>
      </w:r>
      <w:r w:rsidRPr="009A0DA6">
        <w:rPr>
          <w:rFonts w:ascii="Cambria" w:eastAsia="Calibri" w:hAnsi="Cambria" w:cs="Calibri"/>
        </w:rPr>
        <w:t>een set</w:t>
      </w:r>
      <w:r w:rsidRPr="009A0DA6">
        <w:rPr>
          <w:rFonts w:ascii="Cambria" w:eastAsia="Calibri" w:hAnsi="Cambria" w:cs="Calibri"/>
          <w:spacing w:val="-1"/>
        </w:rPr>
        <w:t xml:space="preserve"> </w:t>
      </w:r>
      <w:r w:rsidRPr="009A0DA6">
        <w:rPr>
          <w:rFonts w:ascii="Cambria" w:eastAsia="Calibri" w:hAnsi="Cambria" w:cs="Calibri"/>
        </w:rPr>
        <w:t>up</w:t>
      </w:r>
      <w:r w:rsidRPr="009A0DA6">
        <w:rPr>
          <w:rFonts w:ascii="Cambria" w:eastAsia="Calibri" w:hAnsi="Cambria" w:cs="Calibri"/>
          <w:spacing w:val="-1"/>
        </w:rPr>
        <w:t xml:space="preserve"> </w:t>
      </w:r>
      <w:r w:rsidRPr="009A0DA6">
        <w:rPr>
          <w:rFonts w:ascii="Cambria" w:eastAsia="Calibri" w:hAnsi="Cambria" w:cs="Calibri"/>
        </w:rPr>
        <w:t>by the</w:t>
      </w:r>
      <w:r w:rsidRPr="009A0DA6">
        <w:rPr>
          <w:rFonts w:ascii="Cambria" w:eastAsia="Calibri" w:hAnsi="Cambria" w:cs="Calibri"/>
          <w:spacing w:val="-2"/>
        </w:rPr>
        <w:t xml:space="preserve"> </w:t>
      </w:r>
      <w:r w:rsidR="00336CE0" w:rsidRPr="009A0DA6">
        <w:rPr>
          <w:rFonts w:ascii="Cambria" w:eastAsia="Calibri" w:hAnsi="Cambria" w:cs="Calibri"/>
        </w:rPr>
        <w:t>church</w:t>
      </w:r>
      <w:r w:rsidRPr="009A0DA6">
        <w:rPr>
          <w:rFonts w:ascii="Cambria" w:eastAsia="Calibri" w:hAnsi="Cambria" w:cs="Calibri"/>
          <w:spacing w:val="-1"/>
        </w:rPr>
        <w:t xml:space="preserve"> </w:t>
      </w:r>
      <w:r w:rsidRPr="009A0DA6">
        <w:rPr>
          <w:rFonts w:ascii="Cambria" w:eastAsia="Calibri" w:hAnsi="Cambria" w:cs="Calibri"/>
          <w:spacing w:val="-3"/>
        </w:rPr>
        <w:t>b</w:t>
      </w:r>
      <w:r w:rsidRPr="009A0DA6">
        <w:rPr>
          <w:rFonts w:ascii="Cambria" w:eastAsia="Calibri" w:hAnsi="Cambria" w:cs="Calibri"/>
          <w:spacing w:val="-1"/>
        </w:rPr>
        <w:t>u</w:t>
      </w:r>
      <w:r w:rsidRPr="009A0DA6">
        <w:rPr>
          <w:rFonts w:ascii="Cambria" w:eastAsia="Calibri" w:hAnsi="Cambria" w:cs="Calibri"/>
        </w:rPr>
        <w:t>t</w:t>
      </w:r>
      <w:r w:rsidRPr="009A0DA6">
        <w:rPr>
          <w:rFonts w:ascii="Cambria" w:eastAsia="Calibri" w:hAnsi="Cambria" w:cs="Calibri"/>
          <w:spacing w:val="1"/>
        </w:rPr>
        <w:t xml:space="preserve"> </w:t>
      </w:r>
      <w:r w:rsidRPr="009A0DA6">
        <w:rPr>
          <w:rFonts w:ascii="Cambria" w:eastAsia="Calibri" w:hAnsi="Cambria" w:cs="Calibri"/>
        </w:rPr>
        <w:t>o</w:t>
      </w:r>
      <w:r w:rsidRPr="009A0DA6">
        <w:rPr>
          <w:rFonts w:ascii="Cambria" w:eastAsia="Calibri" w:hAnsi="Cambria" w:cs="Calibri"/>
          <w:spacing w:val="-1"/>
        </w:rPr>
        <w:t>p</w:t>
      </w:r>
      <w:r w:rsidRPr="009A0DA6">
        <w:rPr>
          <w:rFonts w:ascii="Cambria" w:eastAsia="Calibri" w:hAnsi="Cambria" w:cs="Calibri"/>
        </w:rPr>
        <w:t>e</w:t>
      </w:r>
      <w:r w:rsidRPr="009A0DA6">
        <w:rPr>
          <w:rFonts w:ascii="Cambria" w:eastAsia="Calibri" w:hAnsi="Cambria" w:cs="Calibri"/>
          <w:spacing w:val="1"/>
        </w:rPr>
        <w:t>r</w:t>
      </w:r>
      <w:r w:rsidRPr="009A0DA6">
        <w:rPr>
          <w:rFonts w:ascii="Cambria" w:eastAsia="Calibri" w:hAnsi="Cambria" w:cs="Calibri"/>
          <w:spacing w:val="-1"/>
        </w:rPr>
        <w:t>a</w:t>
      </w:r>
      <w:r w:rsidRPr="009A0DA6">
        <w:rPr>
          <w:rFonts w:ascii="Cambria" w:eastAsia="Calibri" w:hAnsi="Cambria" w:cs="Calibri"/>
        </w:rPr>
        <w:t>t</w:t>
      </w:r>
      <w:r w:rsidRPr="009A0DA6">
        <w:rPr>
          <w:rFonts w:ascii="Cambria" w:eastAsia="Calibri" w:hAnsi="Cambria" w:cs="Calibri"/>
          <w:spacing w:val="-2"/>
        </w:rPr>
        <w:t>e</w:t>
      </w:r>
      <w:r w:rsidRPr="009A0DA6">
        <w:rPr>
          <w:rFonts w:ascii="Cambria" w:eastAsia="Calibri" w:hAnsi="Cambria" w:cs="Calibri"/>
        </w:rPr>
        <w:t>s</w:t>
      </w:r>
      <w:r w:rsidRPr="009A0DA6">
        <w:rPr>
          <w:rFonts w:ascii="Cambria" w:eastAsia="Calibri" w:hAnsi="Cambria" w:cs="Calibri"/>
          <w:spacing w:val="1"/>
        </w:rPr>
        <w:t xml:space="preserve"> </w:t>
      </w:r>
      <w:r w:rsidRPr="009A0DA6">
        <w:rPr>
          <w:rFonts w:ascii="Cambria" w:eastAsia="Calibri" w:hAnsi="Cambria" w:cs="Calibri"/>
          <w:spacing w:val="-1"/>
        </w:rPr>
        <w:t>a</w:t>
      </w:r>
      <w:r w:rsidRPr="009A0DA6">
        <w:rPr>
          <w:rFonts w:ascii="Cambria" w:eastAsia="Calibri" w:hAnsi="Cambria" w:cs="Calibri"/>
        </w:rPr>
        <w:t>t</w:t>
      </w:r>
      <w:r w:rsidRPr="009A0DA6">
        <w:rPr>
          <w:rFonts w:ascii="Cambria" w:eastAsia="Calibri" w:hAnsi="Cambria" w:cs="Calibri"/>
          <w:spacing w:val="1"/>
        </w:rPr>
        <w:t xml:space="preserve"> </w:t>
      </w:r>
      <w:r w:rsidRPr="009A0DA6">
        <w:rPr>
          <w:rFonts w:ascii="Cambria" w:eastAsia="Calibri" w:hAnsi="Cambria" w:cs="Calibri"/>
          <w:spacing w:val="-3"/>
        </w:rPr>
        <w:t>a</w:t>
      </w:r>
      <w:r w:rsidRPr="009A0DA6">
        <w:rPr>
          <w:rFonts w:ascii="Cambria" w:eastAsia="Calibri" w:hAnsi="Cambria" w:cs="Calibri"/>
          <w:spacing w:val="1"/>
        </w:rPr>
        <w:t>r</w:t>
      </w:r>
      <w:r w:rsidRPr="009A0DA6">
        <w:rPr>
          <w:rFonts w:ascii="Cambria" w:eastAsia="Calibri" w:hAnsi="Cambria" w:cs="Calibri"/>
          <w:spacing w:val="-2"/>
        </w:rPr>
        <w:t>m</w:t>
      </w:r>
      <w:r w:rsidRPr="009A0DA6">
        <w:rPr>
          <w:rFonts w:ascii="Cambria" w:eastAsia="Calibri" w:hAnsi="Cambria" w:cs="Calibri"/>
        </w:rPr>
        <w:t>’s</w:t>
      </w:r>
      <w:r w:rsidRPr="009A0DA6">
        <w:rPr>
          <w:rFonts w:ascii="Cambria" w:eastAsia="Calibri" w:hAnsi="Cambria" w:cs="Calibri"/>
          <w:spacing w:val="1"/>
        </w:rPr>
        <w:t xml:space="preserve"> </w:t>
      </w:r>
      <w:r w:rsidRPr="009A0DA6">
        <w:rPr>
          <w:rFonts w:ascii="Cambria" w:eastAsia="Calibri" w:hAnsi="Cambria" w:cs="Calibri"/>
        </w:rPr>
        <w:t>le</w:t>
      </w:r>
      <w:r w:rsidRPr="009A0DA6">
        <w:rPr>
          <w:rFonts w:ascii="Cambria" w:eastAsia="Calibri" w:hAnsi="Cambria" w:cs="Calibri"/>
          <w:spacing w:val="-1"/>
        </w:rPr>
        <w:t>ng</w:t>
      </w:r>
      <w:r w:rsidRPr="009A0DA6">
        <w:rPr>
          <w:rFonts w:ascii="Cambria" w:eastAsia="Calibri" w:hAnsi="Cambria" w:cs="Calibri"/>
        </w:rPr>
        <w:t>th</w:t>
      </w:r>
      <w:r w:rsidRPr="009A0DA6">
        <w:rPr>
          <w:rFonts w:ascii="Cambria" w:eastAsia="Calibri" w:hAnsi="Cambria" w:cs="Calibri"/>
          <w:spacing w:val="-2"/>
        </w:rPr>
        <w:t xml:space="preserve"> </w:t>
      </w:r>
      <w:r w:rsidRPr="009A0DA6">
        <w:rPr>
          <w:rFonts w:ascii="Cambria" w:eastAsia="Calibri" w:hAnsi="Cambria" w:cs="Calibri"/>
        </w:rPr>
        <w:t>f</w:t>
      </w:r>
      <w:r w:rsidRPr="009A0DA6">
        <w:rPr>
          <w:rFonts w:ascii="Cambria" w:eastAsia="Calibri" w:hAnsi="Cambria" w:cs="Calibri"/>
          <w:spacing w:val="1"/>
        </w:rPr>
        <w:t>r</w:t>
      </w:r>
      <w:r w:rsidRPr="009A0DA6">
        <w:rPr>
          <w:rFonts w:ascii="Cambria" w:eastAsia="Calibri" w:hAnsi="Cambria" w:cs="Calibri"/>
        </w:rPr>
        <w:t>om</w:t>
      </w:r>
      <w:r w:rsidRPr="009A0DA6">
        <w:rPr>
          <w:rFonts w:ascii="Cambria" w:eastAsia="Calibri" w:hAnsi="Cambria" w:cs="Calibri"/>
          <w:spacing w:val="-2"/>
        </w:rPr>
        <w:t xml:space="preserve">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 xml:space="preserve">e </w:t>
      </w:r>
      <w:r w:rsidR="00336CE0" w:rsidRPr="009A0DA6">
        <w:rPr>
          <w:rFonts w:ascii="Cambria" w:eastAsia="Calibri" w:hAnsi="Cambria" w:cs="Calibri"/>
        </w:rPr>
        <w:t>church</w:t>
      </w:r>
      <w:r w:rsidRPr="009A0DA6">
        <w:rPr>
          <w:rFonts w:ascii="Cambria" w:eastAsia="Calibri" w:hAnsi="Cambria" w:cs="Calibri"/>
        </w:rPr>
        <w:t>, it</w:t>
      </w:r>
      <w:r w:rsidRPr="009A0DA6">
        <w:rPr>
          <w:rFonts w:ascii="Cambria" w:eastAsia="Calibri" w:hAnsi="Cambria" w:cs="Calibri"/>
          <w:spacing w:val="1"/>
        </w:rPr>
        <w:t xml:space="preserve"> </w:t>
      </w:r>
      <w:r w:rsidRPr="009A0DA6">
        <w:rPr>
          <w:rFonts w:ascii="Cambria" w:eastAsia="Calibri" w:hAnsi="Cambria" w:cs="Calibri"/>
          <w:spacing w:val="-3"/>
        </w:rPr>
        <w:t>i</w:t>
      </w:r>
      <w:r w:rsidRPr="009A0DA6">
        <w:rPr>
          <w:rFonts w:ascii="Cambria" w:eastAsia="Calibri" w:hAnsi="Cambria" w:cs="Calibri"/>
        </w:rPr>
        <w:t>s</w:t>
      </w:r>
      <w:r w:rsidRPr="009A0DA6">
        <w:rPr>
          <w:rFonts w:ascii="Cambria" w:eastAsia="Calibri" w:hAnsi="Cambria" w:cs="Calibri"/>
          <w:spacing w:val="1"/>
        </w:rPr>
        <w:t xml:space="preserve"> </w:t>
      </w:r>
      <w:r w:rsidRPr="009A0DA6">
        <w:rPr>
          <w:rFonts w:ascii="Cambria" w:eastAsia="Calibri" w:hAnsi="Cambria" w:cs="Calibri"/>
          <w:spacing w:val="-1"/>
        </w:rPr>
        <w:t>d</w:t>
      </w:r>
      <w:r w:rsidRPr="009A0DA6">
        <w:rPr>
          <w:rFonts w:ascii="Cambria" w:eastAsia="Calibri" w:hAnsi="Cambria" w:cs="Calibri"/>
        </w:rPr>
        <w:t>ire</w:t>
      </w:r>
      <w:r w:rsidRPr="009A0DA6">
        <w:rPr>
          <w:rFonts w:ascii="Cambria" w:eastAsia="Calibri" w:hAnsi="Cambria" w:cs="Calibri"/>
          <w:spacing w:val="-3"/>
        </w:rPr>
        <w:t>c</w:t>
      </w:r>
      <w:r w:rsidRPr="009A0DA6">
        <w:rPr>
          <w:rFonts w:ascii="Cambria" w:eastAsia="Calibri" w:hAnsi="Cambria" w:cs="Calibri"/>
          <w:spacing w:val="6"/>
        </w:rPr>
        <w:t>t</w:t>
      </w:r>
      <w:r w:rsidRPr="009A0DA6">
        <w:rPr>
          <w:rFonts w:ascii="Cambria" w:eastAsia="Calibri" w:hAnsi="Cambria" w:cs="Calibri"/>
        </w:rPr>
        <w:t xml:space="preserve">ly </w:t>
      </w:r>
      <w:r w:rsidRPr="009A0DA6">
        <w:rPr>
          <w:rFonts w:ascii="Cambria" w:eastAsia="Calibri" w:hAnsi="Cambria" w:cs="Calibri"/>
          <w:spacing w:val="-1"/>
        </w:rPr>
        <w:t>a</w:t>
      </w:r>
      <w:r w:rsidRPr="009A0DA6">
        <w:rPr>
          <w:rFonts w:ascii="Cambria" w:eastAsia="Calibri" w:hAnsi="Cambria" w:cs="Calibri"/>
        </w:rPr>
        <w:t>c</w:t>
      </w:r>
      <w:r w:rsidRPr="009A0DA6">
        <w:rPr>
          <w:rFonts w:ascii="Cambria" w:eastAsia="Calibri" w:hAnsi="Cambria" w:cs="Calibri"/>
          <w:spacing w:val="-1"/>
        </w:rPr>
        <w:t>c</w:t>
      </w:r>
      <w:r w:rsidRPr="009A0DA6">
        <w:rPr>
          <w:rFonts w:ascii="Cambria" w:eastAsia="Calibri" w:hAnsi="Cambria" w:cs="Calibri"/>
        </w:rPr>
        <w:t>o</w:t>
      </w:r>
      <w:r w:rsidRPr="009A0DA6">
        <w:rPr>
          <w:rFonts w:ascii="Cambria" w:eastAsia="Calibri" w:hAnsi="Cambria" w:cs="Calibri"/>
          <w:spacing w:val="-1"/>
        </w:rPr>
        <w:t>un</w:t>
      </w:r>
      <w:r w:rsidRPr="009A0DA6">
        <w:rPr>
          <w:rFonts w:ascii="Cambria" w:eastAsia="Calibri" w:hAnsi="Cambria" w:cs="Calibri"/>
        </w:rPr>
        <w:t>ta</w:t>
      </w:r>
      <w:r w:rsidRPr="009A0DA6">
        <w:rPr>
          <w:rFonts w:ascii="Cambria" w:eastAsia="Calibri" w:hAnsi="Cambria" w:cs="Calibri"/>
          <w:spacing w:val="-1"/>
        </w:rPr>
        <w:t>b</w:t>
      </w:r>
      <w:r w:rsidRPr="009A0DA6">
        <w:rPr>
          <w:rFonts w:ascii="Cambria" w:eastAsia="Calibri" w:hAnsi="Cambria" w:cs="Calibri"/>
        </w:rPr>
        <w:t>le to neither</w:t>
      </w:r>
      <w:r w:rsidRPr="009A0DA6">
        <w:rPr>
          <w:rFonts w:ascii="Cambria" w:eastAsia="Calibri" w:hAnsi="Cambria" w:cs="Calibri"/>
          <w:spacing w:val="-2"/>
        </w:rPr>
        <w:t xml:space="preserve">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1"/>
        </w:rPr>
        <w:t xml:space="preserve"> </w:t>
      </w:r>
      <w:r w:rsidR="00336CE0" w:rsidRPr="009A0DA6">
        <w:rPr>
          <w:rFonts w:ascii="Cambria" w:eastAsia="Calibri" w:hAnsi="Cambria" w:cs="Calibri"/>
        </w:rPr>
        <w:t>church</w:t>
      </w:r>
      <w:r w:rsidRPr="009A0DA6">
        <w:rPr>
          <w:rFonts w:ascii="Cambria" w:eastAsia="Calibri" w:hAnsi="Cambria" w:cs="Calibri"/>
          <w:spacing w:val="-1"/>
        </w:rPr>
        <w:t xml:space="preserve"> </w:t>
      </w:r>
      <w:r w:rsidRPr="009A0DA6">
        <w:rPr>
          <w:rFonts w:ascii="Cambria" w:eastAsia="Calibri" w:hAnsi="Cambria" w:cs="Calibri"/>
        </w:rPr>
        <w:t>n</w:t>
      </w:r>
      <w:r w:rsidRPr="009A0DA6">
        <w:rPr>
          <w:rFonts w:ascii="Cambria" w:eastAsia="Calibri" w:hAnsi="Cambria" w:cs="Calibri"/>
          <w:spacing w:val="-1"/>
        </w:rPr>
        <w:t>o</w:t>
      </w:r>
      <w:r w:rsidRPr="009A0DA6">
        <w:rPr>
          <w:rFonts w:ascii="Cambria" w:eastAsia="Calibri" w:hAnsi="Cambria" w:cs="Calibri"/>
        </w:rPr>
        <w:t>r</w:t>
      </w:r>
      <w:r w:rsidRPr="009A0DA6">
        <w:rPr>
          <w:rFonts w:ascii="Cambria" w:eastAsia="Calibri" w:hAnsi="Cambria" w:cs="Calibri"/>
          <w:spacing w:val="1"/>
        </w:rPr>
        <w:t xml:space="preserve"> t</w:t>
      </w:r>
      <w:r w:rsidRPr="009A0DA6">
        <w:rPr>
          <w:rFonts w:ascii="Cambria" w:eastAsia="Calibri" w:hAnsi="Cambria" w:cs="Calibri"/>
        </w:rPr>
        <w:t>o</w:t>
      </w:r>
      <w:r w:rsidRPr="009A0DA6">
        <w:rPr>
          <w:rFonts w:ascii="Cambria" w:eastAsia="Calibri" w:hAnsi="Cambria" w:cs="Calibri"/>
          <w:spacing w:val="-3"/>
        </w:rPr>
        <w:t xml:space="preserve"> </w:t>
      </w:r>
      <w:r w:rsidRPr="009A0DA6">
        <w:rPr>
          <w:rFonts w:ascii="Cambria" w:eastAsia="Calibri" w:hAnsi="Cambria" w:cs="Calibri"/>
        </w:rPr>
        <w:t>a</w:t>
      </w:r>
      <w:r w:rsidRPr="009A0DA6">
        <w:rPr>
          <w:rFonts w:ascii="Cambria" w:eastAsia="Calibri" w:hAnsi="Cambria" w:cs="Calibri"/>
          <w:spacing w:val="-1"/>
        </w:rPr>
        <w:t>n</w:t>
      </w:r>
      <w:r w:rsidRPr="009A0DA6">
        <w:rPr>
          <w:rFonts w:ascii="Cambria" w:eastAsia="Calibri" w:hAnsi="Cambria" w:cs="Calibri"/>
        </w:rPr>
        <w:t>y a</w:t>
      </w:r>
      <w:r w:rsidRPr="009A0DA6">
        <w:rPr>
          <w:rFonts w:ascii="Cambria" w:eastAsia="Calibri" w:hAnsi="Cambria" w:cs="Calibri"/>
          <w:spacing w:val="-1"/>
        </w:rPr>
        <w:t>u</w:t>
      </w:r>
      <w:r w:rsidRPr="009A0DA6">
        <w:rPr>
          <w:rFonts w:ascii="Cambria" w:eastAsia="Calibri" w:hAnsi="Cambria" w:cs="Calibri"/>
        </w:rPr>
        <w:t>th</w:t>
      </w:r>
      <w:r w:rsidRPr="009A0DA6">
        <w:rPr>
          <w:rFonts w:ascii="Cambria" w:eastAsia="Calibri" w:hAnsi="Cambria" w:cs="Calibri"/>
          <w:spacing w:val="-1"/>
        </w:rPr>
        <w:t>o</w:t>
      </w:r>
      <w:r w:rsidRPr="009A0DA6">
        <w:rPr>
          <w:rFonts w:ascii="Cambria" w:eastAsia="Calibri" w:hAnsi="Cambria" w:cs="Calibri"/>
          <w:spacing w:val="1"/>
        </w:rPr>
        <w:t>r</w:t>
      </w:r>
      <w:r w:rsidRPr="009A0DA6">
        <w:rPr>
          <w:rFonts w:ascii="Cambria" w:eastAsia="Calibri" w:hAnsi="Cambria" w:cs="Calibri"/>
        </w:rPr>
        <w:t>i</w:t>
      </w:r>
      <w:r w:rsidRPr="009A0DA6">
        <w:rPr>
          <w:rFonts w:ascii="Cambria" w:eastAsia="Calibri" w:hAnsi="Cambria" w:cs="Calibri"/>
          <w:spacing w:val="-2"/>
        </w:rPr>
        <w:t>t</w:t>
      </w:r>
      <w:r w:rsidRPr="009A0DA6">
        <w:rPr>
          <w:rFonts w:ascii="Cambria" w:eastAsia="Calibri" w:hAnsi="Cambria" w:cs="Calibri"/>
        </w:rPr>
        <w:t>y e</w:t>
      </w:r>
      <w:r w:rsidRPr="009A0DA6">
        <w:rPr>
          <w:rFonts w:ascii="Cambria" w:eastAsia="Calibri" w:hAnsi="Cambria" w:cs="Calibri"/>
          <w:spacing w:val="1"/>
        </w:rPr>
        <w:t>s</w:t>
      </w:r>
      <w:r w:rsidRPr="009A0DA6">
        <w:rPr>
          <w:rFonts w:ascii="Cambria" w:eastAsia="Calibri" w:hAnsi="Cambria" w:cs="Calibri"/>
        </w:rPr>
        <w:t>ta</w:t>
      </w:r>
      <w:r w:rsidRPr="009A0DA6">
        <w:rPr>
          <w:rFonts w:ascii="Cambria" w:eastAsia="Calibri" w:hAnsi="Cambria" w:cs="Calibri"/>
          <w:spacing w:val="-1"/>
        </w:rPr>
        <w:t>b</w:t>
      </w:r>
      <w:r w:rsidRPr="009A0DA6">
        <w:rPr>
          <w:rFonts w:ascii="Cambria" w:eastAsia="Calibri" w:hAnsi="Cambria" w:cs="Calibri"/>
        </w:rPr>
        <w:t>lished</w:t>
      </w:r>
      <w:r w:rsidRPr="009A0DA6">
        <w:rPr>
          <w:rFonts w:ascii="Cambria" w:eastAsia="Calibri" w:hAnsi="Cambria" w:cs="Calibri"/>
          <w:spacing w:val="-1"/>
        </w:rPr>
        <w:t xml:space="preserve"> </w:t>
      </w:r>
      <w:r w:rsidRPr="009A0DA6">
        <w:rPr>
          <w:rFonts w:ascii="Cambria" w:eastAsia="Calibri" w:hAnsi="Cambria" w:cs="Calibri"/>
        </w:rPr>
        <w:t>by o</w:t>
      </w:r>
      <w:r w:rsidRPr="009A0DA6">
        <w:rPr>
          <w:rFonts w:ascii="Cambria" w:eastAsia="Calibri" w:hAnsi="Cambria" w:cs="Calibri"/>
          <w:spacing w:val="-4"/>
        </w:rPr>
        <w:t>u</w:t>
      </w:r>
      <w:r w:rsidRPr="009A0DA6">
        <w:rPr>
          <w:rFonts w:ascii="Cambria" w:eastAsia="Calibri" w:hAnsi="Cambria" w:cs="Calibri"/>
        </w:rPr>
        <w:t>r</w:t>
      </w:r>
      <w:r w:rsidRPr="009A0DA6">
        <w:rPr>
          <w:rFonts w:ascii="Cambria" w:eastAsia="Calibri" w:hAnsi="Cambria" w:cs="Calibri"/>
          <w:spacing w:val="1"/>
        </w:rPr>
        <w:t xml:space="preserve"> </w:t>
      </w:r>
      <w:r w:rsidRPr="009A0DA6">
        <w:rPr>
          <w:rFonts w:ascii="Cambria" w:eastAsia="Calibri" w:hAnsi="Cambria" w:cs="Calibri"/>
        </w:rPr>
        <w:t>C</w:t>
      </w:r>
      <w:r w:rsidRPr="009A0DA6">
        <w:rPr>
          <w:rFonts w:ascii="Cambria" w:eastAsia="Calibri" w:hAnsi="Cambria" w:cs="Calibri"/>
          <w:spacing w:val="-3"/>
        </w:rPr>
        <w:t>o</w:t>
      </w:r>
      <w:r w:rsidRPr="009A0DA6">
        <w:rPr>
          <w:rFonts w:ascii="Cambria" w:eastAsia="Calibri" w:hAnsi="Cambria" w:cs="Calibri"/>
        </w:rPr>
        <w:t>m</w:t>
      </w:r>
      <w:r w:rsidRPr="009A0DA6">
        <w:rPr>
          <w:rFonts w:ascii="Cambria" w:eastAsia="Calibri" w:hAnsi="Cambria" w:cs="Calibri"/>
          <w:spacing w:val="-1"/>
        </w:rPr>
        <w:t>m</w:t>
      </w:r>
      <w:r w:rsidRPr="009A0DA6">
        <w:rPr>
          <w:rFonts w:ascii="Cambria" w:eastAsia="Calibri" w:hAnsi="Cambria" w:cs="Calibri"/>
        </w:rPr>
        <w:t>o</w:t>
      </w:r>
      <w:r w:rsidRPr="009A0DA6">
        <w:rPr>
          <w:rFonts w:ascii="Cambria" w:eastAsia="Calibri" w:hAnsi="Cambria" w:cs="Calibri"/>
          <w:spacing w:val="-1"/>
        </w:rPr>
        <w:t>n</w:t>
      </w:r>
      <w:r w:rsidRPr="009A0DA6">
        <w:rPr>
          <w:rFonts w:ascii="Cambria" w:eastAsia="Calibri" w:hAnsi="Cambria" w:cs="Calibri"/>
        </w:rPr>
        <w:t>wealth or</w:t>
      </w:r>
      <w:r w:rsidRPr="009A0DA6">
        <w:rPr>
          <w:rFonts w:ascii="Cambria" w:eastAsia="Calibri" w:hAnsi="Cambria" w:cs="Calibri"/>
          <w:spacing w:val="-1"/>
        </w:rPr>
        <w:t xml:space="preserve"> </w:t>
      </w:r>
      <w:r w:rsidRPr="009A0DA6">
        <w:rPr>
          <w:rFonts w:ascii="Cambria" w:eastAsia="Calibri" w:hAnsi="Cambria" w:cs="Calibri"/>
          <w:spacing w:val="1"/>
        </w:rPr>
        <w:t>S</w:t>
      </w:r>
      <w:r w:rsidRPr="009A0DA6">
        <w:rPr>
          <w:rFonts w:ascii="Cambria" w:eastAsia="Calibri" w:hAnsi="Cambria" w:cs="Calibri"/>
        </w:rPr>
        <w:t>t</w:t>
      </w:r>
      <w:r w:rsidRPr="009A0DA6">
        <w:rPr>
          <w:rFonts w:ascii="Cambria" w:eastAsia="Calibri" w:hAnsi="Cambria" w:cs="Calibri"/>
          <w:spacing w:val="-3"/>
        </w:rPr>
        <w:t>a</w:t>
      </w:r>
      <w:r w:rsidRPr="009A0DA6">
        <w:rPr>
          <w:rFonts w:ascii="Cambria" w:eastAsia="Calibri" w:hAnsi="Cambria" w:cs="Calibri"/>
        </w:rPr>
        <w:t>te</w:t>
      </w:r>
      <w:r w:rsidRPr="009A0DA6">
        <w:rPr>
          <w:rFonts w:ascii="Cambria" w:eastAsia="Calibri" w:hAnsi="Cambria" w:cs="Calibri"/>
          <w:spacing w:val="1"/>
        </w:rPr>
        <w:t>s</w:t>
      </w:r>
      <w:r w:rsidRPr="009A0DA6">
        <w:rPr>
          <w:rFonts w:ascii="Cambria" w:eastAsia="Calibri" w:hAnsi="Cambria" w:cs="Calibri"/>
        </w:rPr>
        <w:t>.</w:t>
      </w:r>
      <w:r w:rsidRPr="009A0DA6">
        <w:rPr>
          <w:rFonts w:ascii="Cambria" w:eastAsia="Calibri" w:hAnsi="Cambria" w:cs="Calibri"/>
        </w:rPr>
        <w:br/>
      </w:r>
    </w:p>
    <w:p w14:paraId="0395B22E" w14:textId="2F8DFDDF" w:rsidR="00194B18" w:rsidRPr="009A0DA6" w:rsidRDefault="00194B18" w:rsidP="00F55252">
      <w:pPr>
        <w:pStyle w:val="ListParagraph"/>
        <w:numPr>
          <w:ilvl w:val="3"/>
          <w:numId w:val="142"/>
        </w:numPr>
        <w:spacing w:after="120" w:line="240" w:lineRule="auto"/>
        <w:ind w:left="567" w:right="136" w:hanging="567"/>
        <w:rPr>
          <w:rFonts w:ascii="Cambria" w:eastAsia="Calibri" w:hAnsi="Cambria" w:cs="Calibri"/>
          <w:sz w:val="10"/>
        </w:rPr>
      </w:pPr>
      <w:r w:rsidRPr="009A0DA6">
        <w:rPr>
          <w:rFonts w:ascii="Cambria" w:eastAsia="Calibri" w:hAnsi="Cambria" w:cs="Calibri"/>
        </w:rPr>
        <w:t>Th</w:t>
      </w:r>
      <w:r w:rsidRPr="009A0DA6">
        <w:rPr>
          <w:rFonts w:ascii="Cambria" w:eastAsia="Calibri" w:hAnsi="Cambria" w:cs="Calibri"/>
          <w:spacing w:val="-1"/>
        </w:rPr>
        <w:t>a</w:t>
      </w:r>
      <w:r w:rsidRPr="009A0DA6">
        <w:rPr>
          <w:rFonts w:ascii="Cambria" w:eastAsia="Calibri" w:hAnsi="Cambria" w:cs="Calibri"/>
        </w:rPr>
        <w:t>t</w:t>
      </w:r>
      <w:r w:rsidRPr="009A0DA6">
        <w:rPr>
          <w:rFonts w:ascii="Cambria" w:eastAsia="Calibri" w:hAnsi="Cambria" w:cs="Calibri"/>
          <w:spacing w:val="1"/>
        </w:rPr>
        <w:t xml:space="preserve"> </w:t>
      </w:r>
      <w:r w:rsidRPr="009A0DA6">
        <w:rPr>
          <w:rFonts w:ascii="Cambria" w:eastAsia="Calibri" w:hAnsi="Cambria" w:cs="Calibri"/>
        </w:rPr>
        <w:t>the</w:t>
      </w:r>
      <w:r w:rsidRPr="009A0DA6">
        <w:rPr>
          <w:rFonts w:ascii="Cambria" w:eastAsia="Calibri" w:hAnsi="Cambria" w:cs="Calibri"/>
          <w:spacing w:val="-1"/>
        </w:rPr>
        <w:t xml:space="preserve"> </w:t>
      </w:r>
      <w:r w:rsidRPr="009A0DA6">
        <w:rPr>
          <w:rFonts w:ascii="Cambria" w:eastAsia="Calibri" w:hAnsi="Cambria" w:cs="Calibri"/>
          <w:spacing w:val="1"/>
        </w:rPr>
        <w:t>P</w:t>
      </w:r>
      <w:r w:rsidRPr="009A0DA6">
        <w:rPr>
          <w:rFonts w:ascii="Cambria" w:eastAsia="Calibri" w:hAnsi="Cambria" w:cs="Calibri"/>
          <w:spacing w:val="-1"/>
        </w:rPr>
        <w:t>S</w:t>
      </w:r>
      <w:r w:rsidRPr="009A0DA6">
        <w:rPr>
          <w:rFonts w:ascii="Cambria" w:eastAsia="Calibri" w:hAnsi="Cambria" w:cs="Calibri"/>
        </w:rPr>
        <w:t>D</w:t>
      </w:r>
      <w:r w:rsidRPr="009A0DA6">
        <w:rPr>
          <w:rFonts w:ascii="Cambria" w:eastAsia="Calibri" w:hAnsi="Cambria" w:cs="Calibri"/>
          <w:spacing w:val="1"/>
        </w:rPr>
        <w:t xml:space="preserve"> </w:t>
      </w:r>
      <w:r w:rsidRPr="009A0DA6">
        <w:rPr>
          <w:rFonts w:ascii="Cambria" w:eastAsia="Calibri" w:hAnsi="Cambria" w:cs="Calibri"/>
        </w:rPr>
        <w:t>h</w:t>
      </w:r>
      <w:r w:rsidRPr="009A0DA6">
        <w:rPr>
          <w:rFonts w:ascii="Cambria" w:eastAsia="Calibri" w:hAnsi="Cambria" w:cs="Calibri"/>
          <w:spacing w:val="-1"/>
        </w:rPr>
        <w:t>a</w:t>
      </w:r>
      <w:r w:rsidRPr="009A0DA6">
        <w:rPr>
          <w:rFonts w:ascii="Cambria" w:eastAsia="Calibri" w:hAnsi="Cambria" w:cs="Calibri"/>
        </w:rPr>
        <w:t>s</w:t>
      </w:r>
      <w:r w:rsidRPr="009A0DA6">
        <w:rPr>
          <w:rFonts w:ascii="Cambria" w:eastAsia="Calibri" w:hAnsi="Cambria" w:cs="Calibri"/>
          <w:spacing w:val="-2"/>
        </w:rPr>
        <w:t xml:space="preserve"> </w:t>
      </w:r>
      <w:r w:rsidRPr="009A0DA6">
        <w:rPr>
          <w:rFonts w:ascii="Cambria" w:eastAsia="Calibri" w:hAnsi="Cambria" w:cs="Calibri"/>
        </w:rPr>
        <w:t>att</w:t>
      </w:r>
      <w:r w:rsidRPr="009A0DA6">
        <w:rPr>
          <w:rFonts w:ascii="Cambria" w:eastAsia="Calibri" w:hAnsi="Cambria" w:cs="Calibri"/>
          <w:spacing w:val="-2"/>
        </w:rPr>
        <w:t>e</w:t>
      </w:r>
      <w:r w:rsidRPr="009A0DA6">
        <w:rPr>
          <w:rFonts w:ascii="Cambria" w:eastAsia="Calibri" w:hAnsi="Cambria" w:cs="Calibri"/>
        </w:rPr>
        <w:t>mpt</w:t>
      </w:r>
      <w:r w:rsidRPr="009A0DA6">
        <w:rPr>
          <w:rFonts w:ascii="Cambria" w:eastAsia="Calibri" w:hAnsi="Cambria" w:cs="Calibri"/>
          <w:spacing w:val="-2"/>
        </w:rPr>
        <w:t>e</w:t>
      </w:r>
      <w:r w:rsidRPr="009A0DA6">
        <w:rPr>
          <w:rFonts w:ascii="Cambria" w:eastAsia="Calibri" w:hAnsi="Cambria" w:cs="Calibri"/>
        </w:rPr>
        <w:t>d</w:t>
      </w:r>
      <w:r w:rsidRPr="009A0DA6">
        <w:rPr>
          <w:rFonts w:ascii="Cambria" w:eastAsia="Calibri" w:hAnsi="Cambria" w:cs="Calibri"/>
          <w:spacing w:val="-1"/>
        </w:rPr>
        <w:t xml:space="preserve"> </w:t>
      </w:r>
      <w:r w:rsidRPr="009A0DA6">
        <w:rPr>
          <w:rFonts w:ascii="Cambria" w:eastAsia="Calibri" w:hAnsi="Cambria" w:cs="Calibri"/>
          <w:spacing w:val="1"/>
        </w:rPr>
        <w:t>t</w:t>
      </w:r>
      <w:r w:rsidRPr="009A0DA6">
        <w:rPr>
          <w:rFonts w:ascii="Cambria" w:eastAsia="Calibri" w:hAnsi="Cambria" w:cs="Calibri"/>
        </w:rPr>
        <w:t>o ov</w:t>
      </w:r>
      <w:r w:rsidRPr="009A0DA6">
        <w:rPr>
          <w:rFonts w:ascii="Cambria" w:eastAsia="Calibri" w:hAnsi="Cambria" w:cs="Calibri"/>
          <w:spacing w:val="-3"/>
        </w:rPr>
        <w:t>e</w:t>
      </w:r>
      <w:r w:rsidRPr="009A0DA6">
        <w:rPr>
          <w:rFonts w:ascii="Cambria" w:eastAsia="Calibri" w:hAnsi="Cambria" w:cs="Calibri"/>
          <w:spacing w:val="1"/>
        </w:rPr>
        <w:t>rr</w:t>
      </w:r>
      <w:r w:rsidRPr="009A0DA6">
        <w:rPr>
          <w:rFonts w:ascii="Cambria" w:eastAsia="Calibri" w:hAnsi="Cambria" w:cs="Calibri"/>
        </w:rPr>
        <w:t>i</w:t>
      </w:r>
      <w:r w:rsidRPr="009A0DA6">
        <w:rPr>
          <w:rFonts w:ascii="Cambria" w:eastAsia="Calibri" w:hAnsi="Cambria" w:cs="Calibri"/>
          <w:spacing w:val="-1"/>
        </w:rPr>
        <w:t>d</w:t>
      </w:r>
      <w:r w:rsidRPr="009A0DA6">
        <w:rPr>
          <w:rFonts w:ascii="Cambria" w:eastAsia="Calibri" w:hAnsi="Cambria" w:cs="Calibri"/>
        </w:rPr>
        <w:t>e the</w:t>
      </w:r>
      <w:r w:rsidRPr="009A0DA6">
        <w:rPr>
          <w:rFonts w:ascii="Cambria" w:eastAsia="Calibri" w:hAnsi="Cambria" w:cs="Calibri"/>
          <w:spacing w:val="-2"/>
        </w:rPr>
        <w:t xml:space="preserve"> </w:t>
      </w:r>
      <w:r w:rsidRPr="009A0DA6">
        <w:rPr>
          <w:rFonts w:ascii="Cambria" w:eastAsia="Calibri" w:hAnsi="Cambria" w:cs="Calibri"/>
          <w:spacing w:val="1"/>
        </w:rPr>
        <w:t>r</w:t>
      </w:r>
      <w:r w:rsidRPr="009A0DA6">
        <w:rPr>
          <w:rFonts w:ascii="Cambria" w:eastAsia="Calibri" w:hAnsi="Cambria" w:cs="Calibri"/>
        </w:rPr>
        <w:t>ec</w:t>
      </w:r>
      <w:r w:rsidRPr="009A0DA6">
        <w:rPr>
          <w:rFonts w:ascii="Cambria" w:eastAsia="Calibri" w:hAnsi="Cambria" w:cs="Calibri"/>
          <w:spacing w:val="-1"/>
        </w:rPr>
        <w:t>o</w:t>
      </w:r>
      <w:r w:rsidRPr="009A0DA6">
        <w:rPr>
          <w:rFonts w:ascii="Cambria" w:eastAsia="Calibri" w:hAnsi="Cambria" w:cs="Calibri"/>
          <w:spacing w:val="-2"/>
        </w:rPr>
        <w:t>m</w:t>
      </w:r>
      <w:r w:rsidRPr="009A0DA6">
        <w:rPr>
          <w:rFonts w:ascii="Cambria" w:eastAsia="Calibri" w:hAnsi="Cambria" w:cs="Calibri"/>
        </w:rPr>
        <w:t>m</w:t>
      </w:r>
      <w:r w:rsidRPr="009A0DA6">
        <w:rPr>
          <w:rFonts w:ascii="Cambria" w:eastAsia="Calibri" w:hAnsi="Cambria" w:cs="Calibri"/>
          <w:spacing w:val="-2"/>
        </w:rPr>
        <w:t>e</w:t>
      </w:r>
      <w:r w:rsidRPr="009A0DA6">
        <w:rPr>
          <w:rFonts w:ascii="Cambria" w:eastAsia="Calibri" w:hAnsi="Cambria" w:cs="Calibri"/>
          <w:spacing w:val="-1"/>
        </w:rPr>
        <w:t>nda</w:t>
      </w:r>
      <w:r w:rsidRPr="009A0DA6">
        <w:rPr>
          <w:rFonts w:ascii="Cambria" w:eastAsia="Calibri" w:hAnsi="Cambria" w:cs="Calibri"/>
        </w:rPr>
        <w:t>tio</w:t>
      </w:r>
      <w:r w:rsidRPr="009A0DA6">
        <w:rPr>
          <w:rFonts w:ascii="Cambria" w:eastAsia="Calibri" w:hAnsi="Cambria" w:cs="Calibri"/>
          <w:spacing w:val="-1"/>
        </w:rPr>
        <w:t>n</w:t>
      </w:r>
      <w:r w:rsidRPr="009A0DA6">
        <w:rPr>
          <w:rFonts w:ascii="Cambria" w:eastAsia="Calibri" w:hAnsi="Cambria" w:cs="Calibri"/>
        </w:rPr>
        <w:t>s</w:t>
      </w:r>
      <w:r w:rsidRPr="009A0DA6">
        <w:rPr>
          <w:rFonts w:ascii="Cambria" w:eastAsia="Calibri" w:hAnsi="Cambria" w:cs="Calibri"/>
          <w:spacing w:val="1"/>
        </w:rPr>
        <w:t xml:space="preserve"> </w:t>
      </w:r>
      <w:r w:rsidRPr="009A0DA6">
        <w:rPr>
          <w:rFonts w:ascii="Cambria" w:eastAsia="Calibri" w:hAnsi="Cambria" w:cs="Calibri"/>
        </w:rPr>
        <w:t>of</w:t>
      </w:r>
      <w:r w:rsidRPr="009A0DA6">
        <w:rPr>
          <w:rFonts w:ascii="Cambria" w:eastAsia="Calibri" w:hAnsi="Cambria" w:cs="Calibri"/>
          <w:spacing w:val="1"/>
        </w:rPr>
        <w:t xml:space="preserve"> </w:t>
      </w:r>
      <w:r w:rsidRPr="009A0DA6">
        <w:rPr>
          <w:rFonts w:ascii="Cambria" w:eastAsia="Calibri" w:hAnsi="Cambria" w:cs="Calibri"/>
          <w:spacing w:val="-1"/>
        </w:rPr>
        <w:t>pa</w:t>
      </w:r>
      <w:r w:rsidRPr="009A0DA6">
        <w:rPr>
          <w:rFonts w:ascii="Cambria" w:eastAsia="Calibri" w:hAnsi="Cambria" w:cs="Calibri"/>
          <w:spacing w:val="1"/>
        </w:rPr>
        <w:t>r</w:t>
      </w:r>
      <w:r w:rsidRPr="009A0DA6">
        <w:rPr>
          <w:rFonts w:ascii="Cambria" w:eastAsia="Calibri" w:hAnsi="Cambria" w:cs="Calibri"/>
        </w:rPr>
        <w:t>o</w:t>
      </w:r>
      <w:r w:rsidRPr="009A0DA6">
        <w:rPr>
          <w:rFonts w:ascii="Cambria" w:eastAsia="Calibri" w:hAnsi="Cambria" w:cs="Calibri"/>
          <w:spacing w:val="-1"/>
        </w:rPr>
        <w:t>l</w:t>
      </w:r>
      <w:r w:rsidRPr="009A0DA6">
        <w:rPr>
          <w:rFonts w:ascii="Cambria" w:eastAsia="Calibri" w:hAnsi="Cambria" w:cs="Calibri"/>
        </w:rPr>
        <w:t>e bo</w:t>
      </w:r>
      <w:r w:rsidRPr="009A0DA6">
        <w:rPr>
          <w:rFonts w:ascii="Cambria" w:eastAsia="Calibri" w:hAnsi="Cambria" w:cs="Calibri"/>
          <w:spacing w:val="-4"/>
        </w:rPr>
        <w:t>a</w:t>
      </w:r>
      <w:r w:rsidRPr="009A0DA6">
        <w:rPr>
          <w:rFonts w:ascii="Cambria" w:eastAsia="Calibri" w:hAnsi="Cambria" w:cs="Calibri"/>
          <w:spacing w:val="1"/>
        </w:rPr>
        <w:t>r</w:t>
      </w:r>
      <w:r w:rsidRPr="009A0DA6">
        <w:rPr>
          <w:rFonts w:ascii="Cambria" w:eastAsia="Calibri" w:hAnsi="Cambria" w:cs="Calibri"/>
          <w:spacing w:val="-1"/>
        </w:rPr>
        <w:t>d</w:t>
      </w:r>
      <w:r w:rsidRPr="009A0DA6">
        <w:rPr>
          <w:rFonts w:ascii="Cambria" w:eastAsia="Calibri" w:hAnsi="Cambria" w:cs="Calibri"/>
          <w:spacing w:val="1"/>
        </w:rPr>
        <w:t>s</w:t>
      </w:r>
      <w:r w:rsidRPr="009A0DA6">
        <w:rPr>
          <w:rFonts w:ascii="Cambria" w:eastAsia="Calibri" w:hAnsi="Cambria" w:cs="Calibri"/>
        </w:rPr>
        <w:t xml:space="preserve">, </w:t>
      </w:r>
      <w:r w:rsidRPr="009A0DA6">
        <w:rPr>
          <w:rFonts w:ascii="Cambria" w:eastAsia="Calibri" w:hAnsi="Cambria" w:cs="Calibri"/>
          <w:spacing w:val="-2"/>
        </w:rPr>
        <w:t>i</w:t>
      </w:r>
      <w:r w:rsidRPr="009A0DA6">
        <w:rPr>
          <w:rFonts w:ascii="Cambria" w:eastAsia="Calibri" w:hAnsi="Cambria" w:cs="Calibri"/>
          <w:spacing w:val="-1"/>
        </w:rPr>
        <w:t>nd</w:t>
      </w:r>
      <w:r w:rsidRPr="009A0DA6">
        <w:rPr>
          <w:rFonts w:ascii="Cambria" w:eastAsia="Calibri" w:hAnsi="Cambria" w:cs="Calibri"/>
        </w:rPr>
        <w:t>epe</w:t>
      </w:r>
      <w:r w:rsidRPr="009A0DA6">
        <w:rPr>
          <w:rFonts w:ascii="Cambria" w:eastAsia="Calibri" w:hAnsi="Cambria" w:cs="Calibri"/>
          <w:spacing w:val="-1"/>
        </w:rPr>
        <w:t>nd</w:t>
      </w:r>
      <w:r w:rsidRPr="009A0DA6">
        <w:rPr>
          <w:rFonts w:ascii="Cambria" w:eastAsia="Calibri" w:hAnsi="Cambria" w:cs="Calibri"/>
        </w:rPr>
        <w:t>ent e</w:t>
      </w:r>
      <w:r w:rsidRPr="009A0DA6">
        <w:rPr>
          <w:rFonts w:ascii="Cambria" w:eastAsia="Calibri" w:hAnsi="Cambria" w:cs="Calibri"/>
          <w:spacing w:val="1"/>
        </w:rPr>
        <w:t>x</w:t>
      </w:r>
      <w:r w:rsidRPr="009A0DA6">
        <w:rPr>
          <w:rFonts w:ascii="Cambria" w:eastAsia="Calibri" w:hAnsi="Cambria" w:cs="Calibri"/>
          <w:spacing w:val="-1"/>
        </w:rPr>
        <w:t>p</w:t>
      </w:r>
      <w:r w:rsidRPr="009A0DA6">
        <w:rPr>
          <w:rFonts w:ascii="Cambria" w:eastAsia="Calibri" w:hAnsi="Cambria" w:cs="Calibri"/>
          <w:spacing w:val="-2"/>
        </w:rPr>
        <w:t>e</w:t>
      </w:r>
      <w:r w:rsidRPr="009A0DA6">
        <w:rPr>
          <w:rFonts w:ascii="Cambria" w:eastAsia="Calibri" w:hAnsi="Cambria" w:cs="Calibri"/>
          <w:spacing w:val="1"/>
        </w:rPr>
        <w:t>r</w:t>
      </w:r>
      <w:r w:rsidRPr="009A0DA6">
        <w:rPr>
          <w:rFonts w:ascii="Cambria" w:eastAsia="Calibri" w:hAnsi="Cambria" w:cs="Calibri"/>
        </w:rPr>
        <w:t>t</w:t>
      </w:r>
      <w:r w:rsidRPr="009A0DA6">
        <w:rPr>
          <w:rFonts w:ascii="Cambria" w:eastAsia="Calibri" w:hAnsi="Cambria" w:cs="Calibri"/>
          <w:spacing w:val="1"/>
        </w:rPr>
        <w:t>s</w:t>
      </w:r>
      <w:r w:rsidRPr="009A0DA6">
        <w:rPr>
          <w:rFonts w:ascii="Cambria" w:eastAsia="Calibri" w:hAnsi="Cambria" w:cs="Calibri"/>
        </w:rPr>
        <w:t xml:space="preserve">, </w:t>
      </w:r>
      <w:r w:rsidRPr="009A0DA6">
        <w:rPr>
          <w:rFonts w:ascii="Cambria" w:eastAsia="Calibri" w:hAnsi="Cambria" w:cs="Calibri"/>
          <w:spacing w:val="-1"/>
        </w:rPr>
        <w:t xml:space="preserve">and </w:t>
      </w:r>
      <w:r w:rsidRPr="009A0DA6">
        <w:rPr>
          <w:rFonts w:ascii="Cambria" w:eastAsia="Calibri" w:hAnsi="Cambria" w:cs="Calibri"/>
        </w:rPr>
        <w:t>c</w:t>
      </w:r>
      <w:r w:rsidRPr="009A0DA6">
        <w:rPr>
          <w:rFonts w:ascii="Cambria" w:eastAsia="Calibri" w:hAnsi="Cambria" w:cs="Calibri"/>
          <w:spacing w:val="-1"/>
        </w:rPr>
        <w:t>ong</w:t>
      </w:r>
      <w:r w:rsidRPr="009A0DA6">
        <w:rPr>
          <w:rFonts w:ascii="Cambria" w:eastAsia="Calibri" w:hAnsi="Cambria" w:cs="Calibri"/>
          <w:spacing w:val="1"/>
        </w:rPr>
        <w:t>r</w:t>
      </w:r>
      <w:r w:rsidRPr="009A0DA6">
        <w:rPr>
          <w:rFonts w:ascii="Cambria" w:eastAsia="Calibri" w:hAnsi="Cambria" w:cs="Calibri"/>
        </w:rPr>
        <w:t>eg</w:t>
      </w:r>
      <w:r w:rsidRPr="009A0DA6">
        <w:rPr>
          <w:rFonts w:ascii="Cambria" w:eastAsia="Calibri" w:hAnsi="Cambria" w:cs="Calibri"/>
          <w:spacing w:val="-1"/>
        </w:rPr>
        <w:t>a</w:t>
      </w:r>
      <w:r w:rsidRPr="009A0DA6">
        <w:rPr>
          <w:rFonts w:ascii="Cambria" w:eastAsia="Calibri" w:hAnsi="Cambria" w:cs="Calibri"/>
        </w:rPr>
        <w:t>tio</w:t>
      </w:r>
      <w:r w:rsidRPr="009A0DA6">
        <w:rPr>
          <w:rFonts w:ascii="Cambria" w:eastAsia="Calibri" w:hAnsi="Cambria" w:cs="Calibri"/>
          <w:spacing w:val="-1"/>
        </w:rPr>
        <w:t>na</w:t>
      </w:r>
      <w:r w:rsidRPr="009A0DA6">
        <w:rPr>
          <w:rFonts w:ascii="Cambria" w:eastAsia="Calibri" w:hAnsi="Cambria" w:cs="Calibri"/>
        </w:rPr>
        <w:t xml:space="preserve">l </w:t>
      </w:r>
      <w:r w:rsidRPr="009A0DA6">
        <w:rPr>
          <w:rFonts w:ascii="Cambria" w:eastAsia="Calibri" w:hAnsi="Cambria" w:cs="Calibri"/>
          <w:spacing w:val="1"/>
        </w:rPr>
        <w:t>r</w:t>
      </w:r>
      <w:r w:rsidRPr="009A0DA6">
        <w:rPr>
          <w:rFonts w:ascii="Cambria" w:eastAsia="Calibri" w:hAnsi="Cambria" w:cs="Calibri"/>
        </w:rPr>
        <w:t>isk</w:t>
      </w:r>
      <w:r w:rsidRPr="009A0DA6">
        <w:rPr>
          <w:rFonts w:ascii="Cambria" w:eastAsia="Calibri" w:hAnsi="Cambria" w:cs="Calibri"/>
          <w:spacing w:val="-2"/>
        </w:rPr>
        <w:t xml:space="preserve"> </w:t>
      </w:r>
      <w:r w:rsidRPr="009A0DA6">
        <w:rPr>
          <w:rFonts w:ascii="Cambria" w:eastAsia="Calibri" w:hAnsi="Cambria" w:cs="Calibri"/>
          <w:spacing w:val="1"/>
        </w:rPr>
        <w:t>m</w:t>
      </w:r>
      <w:r w:rsidRPr="009A0DA6">
        <w:rPr>
          <w:rFonts w:ascii="Cambria" w:eastAsia="Calibri" w:hAnsi="Cambria" w:cs="Calibri"/>
          <w:spacing w:val="-1"/>
        </w:rPr>
        <w:t>ana</w:t>
      </w:r>
      <w:r w:rsidRPr="009A0DA6">
        <w:rPr>
          <w:rFonts w:ascii="Cambria" w:eastAsia="Calibri" w:hAnsi="Cambria" w:cs="Calibri"/>
          <w:spacing w:val="-3"/>
        </w:rPr>
        <w:t>g</w:t>
      </w:r>
      <w:r w:rsidRPr="009A0DA6">
        <w:rPr>
          <w:rFonts w:ascii="Cambria" w:eastAsia="Calibri" w:hAnsi="Cambria" w:cs="Calibri"/>
        </w:rPr>
        <w:t>em</w:t>
      </w:r>
      <w:r w:rsidRPr="009A0DA6">
        <w:rPr>
          <w:rFonts w:ascii="Cambria" w:eastAsia="Calibri" w:hAnsi="Cambria" w:cs="Calibri"/>
          <w:spacing w:val="1"/>
        </w:rPr>
        <w:t>e</w:t>
      </w:r>
      <w:r w:rsidRPr="009A0DA6">
        <w:rPr>
          <w:rFonts w:ascii="Cambria" w:eastAsia="Calibri" w:hAnsi="Cambria" w:cs="Calibri"/>
          <w:spacing w:val="-1"/>
        </w:rPr>
        <w:t>n</w:t>
      </w:r>
      <w:r w:rsidRPr="009A0DA6">
        <w:rPr>
          <w:rFonts w:ascii="Cambria" w:eastAsia="Calibri" w:hAnsi="Cambria" w:cs="Calibri"/>
        </w:rPr>
        <w:t>t</w:t>
      </w:r>
      <w:r w:rsidRPr="009A0DA6">
        <w:rPr>
          <w:rFonts w:ascii="Cambria" w:eastAsia="Calibri" w:hAnsi="Cambria" w:cs="Calibri"/>
          <w:spacing w:val="1"/>
        </w:rPr>
        <w:t xml:space="preserve"> </w:t>
      </w:r>
      <w:r w:rsidRPr="009A0DA6">
        <w:rPr>
          <w:rFonts w:ascii="Cambria" w:eastAsia="Calibri" w:hAnsi="Cambria" w:cs="Calibri"/>
          <w:spacing w:val="-3"/>
        </w:rPr>
        <w:t>g</w:t>
      </w:r>
      <w:r w:rsidRPr="009A0DA6">
        <w:rPr>
          <w:rFonts w:ascii="Cambria" w:eastAsia="Calibri" w:hAnsi="Cambria" w:cs="Calibri"/>
          <w:spacing w:val="1"/>
        </w:rPr>
        <w:t>r</w:t>
      </w:r>
      <w:r w:rsidRPr="009A0DA6">
        <w:rPr>
          <w:rFonts w:ascii="Cambria" w:eastAsia="Calibri" w:hAnsi="Cambria" w:cs="Calibri"/>
        </w:rPr>
        <w:t>o</w:t>
      </w:r>
      <w:r w:rsidRPr="009A0DA6">
        <w:rPr>
          <w:rFonts w:ascii="Cambria" w:eastAsia="Calibri" w:hAnsi="Cambria" w:cs="Calibri"/>
          <w:spacing w:val="-1"/>
        </w:rPr>
        <w:t>up</w:t>
      </w:r>
      <w:r w:rsidRPr="009A0DA6">
        <w:rPr>
          <w:rFonts w:ascii="Cambria" w:eastAsia="Calibri" w:hAnsi="Cambria" w:cs="Calibri"/>
        </w:rPr>
        <w:t>s</w:t>
      </w:r>
      <w:r w:rsidRPr="009A0DA6">
        <w:rPr>
          <w:rFonts w:ascii="Cambria" w:eastAsia="Calibri" w:hAnsi="Cambria" w:cs="Calibri"/>
          <w:spacing w:val="1"/>
        </w:rPr>
        <w:t xml:space="preserve"> </w:t>
      </w:r>
      <w:r w:rsidRPr="009A0DA6">
        <w:rPr>
          <w:rFonts w:ascii="Cambria" w:eastAsia="Calibri" w:hAnsi="Cambria" w:cs="Calibri"/>
        </w:rPr>
        <w:t>in</w:t>
      </w:r>
      <w:r w:rsidRPr="009A0DA6">
        <w:rPr>
          <w:rFonts w:ascii="Cambria" w:eastAsia="Calibri" w:hAnsi="Cambria" w:cs="Calibri"/>
          <w:spacing w:val="-1"/>
        </w:rPr>
        <w:t xml:space="preserve"> </w:t>
      </w:r>
      <w:r w:rsidRPr="009A0DA6">
        <w:rPr>
          <w:rFonts w:ascii="Cambria" w:eastAsia="Calibri" w:hAnsi="Cambria" w:cs="Calibri"/>
        </w:rPr>
        <w:t>c</w:t>
      </w:r>
      <w:r w:rsidRPr="009A0DA6">
        <w:rPr>
          <w:rFonts w:ascii="Cambria" w:eastAsia="Calibri" w:hAnsi="Cambria" w:cs="Calibri"/>
          <w:spacing w:val="-1"/>
        </w:rPr>
        <w:t>a</w:t>
      </w:r>
      <w:r w:rsidRPr="009A0DA6">
        <w:rPr>
          <w:rFonts w:ascii="Cambria" w:eastAsia="Calibri" w:hAnsi="Cambria" w:cs="Calibri"/>
        </w:rPr>
        <w:t>s</w:t>
      </w:r>
      <w:r w:rsidRPr="009A0DA6">
        <w:rPr>
          <w:rFonts w:ascii="Cambria" w:eastAsia="Calibri" w:hAnsi="Cambria" w:cs="Calibri"/>
          <w:spacing w:val="-2"/>
        </w:rPr>
        <w:t>e</w:t>
      </w:r>
      <w:r w:rsidRPr="009A0DA6">
        <w:rPr>
          <w:rFonts w:ascii="Cambria" w:eastAsia="Calibri" w:hAnsi="Cambria" w:cs="Calibri"/>
        </w:rPr>
        <w:t>s</w:t>
      </w:r>
      <w:r w:rsidRPr="009A0DA6">
        <w:rPr>
          <w:rFonts w:ascii="Cambria" w:eastAsia="Calibri" w:hAnsi="Cambria" w:cs="Calibri"/>
          <w:spacing w:val="-1"/>
        </w:rPr>
        <w:t xml:space="preserve"> </w:t>
      </w:r>
      <w:r w:rsidRPr="009A0DA6">
        <w:rPr>
          <w:rFonts w:ascii="Cambria" w:eastAsia="Calibri" w:hAnsi="Cambria" w:cs="Calibri"/>
        </w:rPr>
        <w:t>wh</w:t>
      </w:r>
      <w:r w:rsidRPr="009A0DA6">
        <w:rPr>
          <w:rFonts w:ascii="Cambria" w:eastAsia="Calibri" w:hAnsi="Cambria" w:cs="Calibri"/>
          <w:spacing w:val="-2"/>
        </w:rPr>
        <w:t>e</w:t>
      </w:r>
      <w:r w:rsidRPr="009A0DA6">
        <w:rPr>
          <w:rFonts w:ascii="Cambria" w:eastAsia="Calibri" w:hAnsi="Cambria" w:cs="Calibri"/>
          <w:spacing w:val="1"/>
        </w:rPr>
        <w:t>r</w:t>
      </w:r>
      <w:r w:rsidRPr="009A0DA6">
        <w:rPr>
          <w:rFonts w:ascii="Cambria" w:eastAsia="Calibri" w:hAnsi="Cambria" w:cs="Calibri"/>
        </w:rPr>
        <w:t>e</w:t>
      </w:r>
      <w:r w:rsidRPr="009A0DA6">
        <w:rPr>
          <w:rFonts w:ascii="Cambria" w:eastAsia="Calibri" w:hAnsi="Cambria" w:cs="Calibri"/>
          <w:spacing w:val="3"/>
        </w:rPr>
        <w:t xml:space="preserve"> </w:t>
      </w:r>
      <w:r w:rsidRPr="009A0DA6">
        <w:rPr>
          <w:rFonts w:ascii="Cambria" w:eastAsia="Calibri" w:hAnsi="Cambria" w:cs="Calibri"/>
        </w:rPr>
        <w:t>th</w:t>
      </w:r>
      <w:r w:rsidRPr="009A0DA6">
        <w:rPr>
          <w:rFonts w:ascii="Cambria" w:eastAsia="Calibri" w:hAnsi="Cambria" w:cs="Calibri"/>
          <w:spacing w:val="-3"/>
        </w:rPr>
        <w:t>e</w:t>
      </w:r>
      <w:r w:rsidRPr="009A0DA6">
        <w:rPr>
          <w:rFonts w:ascii="Cambria" w:eastAsia="Calibri" w:hAnsi="Cambria" w:cs="Calibri"/>
        </w:rPr>
        <w:t>se</w:t>
      </w:r>
      <w:r w:rsidRPr="009A0DA6">
        <w:rPr>
          <w:rFonts w:ascii="Cambria" w:eastAsia="Calibri" w:hAnsi="Cambria" w:cs="Calibri"/>
          <w:spacing w:val="1"/>
        </w:rPr>
        <w:t xml:space="preserve"> </w:t>
      </w:r>
      <w:r w:rsidRPr="009A0DA6">
        <w:rPr>
          <w:rFonts w:ascii="Cambria" w:eastAsia="Calibri" w:hAnsi="Cambria" w:cs="Calibri"/>
          <w:spacing w:val="-3"/>
        </w:rPr>
        <w:t>o</w:t>
      </w:r>
      <w:r w:rsidRPr="009A0DA6">
        <w:rPr>
          <w:rFonts w:ascii="Cambria" w:eastAsia="Calibri" w:hAnsi="Cambria" w:cs="Calibri"/>
        </w:rPr>
        <w:t>ther</w:t>
      </w:r>
      <w:r w:rsidRPr="009A0DA6">
        <w:rPr>
          <w:rFonts w:ascii="Cambria" w:eastAsia="Calibri" w:hAnsi="Cambria" w:cs="Calibri"/>
          <w:spacing w:val="2"/>
        </w:rPr>
        <w:t xml:space="preserve"> </w:t>
      </w:r>
      <w:r w:rsidRPr="009A0DA6">
        <w:rPr>
          <w:rFonts w:ascii="Cambria" w:eastAsia="Calibri" w:hAnsi="Cambria" w:cs="Calibri"/>
          <w:spacing w:val="-1"/>
        </w:rPr>
        <w:t>au</w:t>
      </w:r>
      <w:r w:rsidRPr="009A0DA6">
        <w:rPr>
          <w:rFonts w:ascii="Cambria" w:eastAsia="Calibri" w:hAnsi="Cambria" w:cs="Calibri"/>
        </w:rPr>
        <w:t>th</w:t>
      </w:r>
      <w:r w:rsidRPr="009A0DA6">
        <w:rPr>
          <w:rFonts w:ascii="Cambria" w:eastAsia="Calibri" w:hAnsi="Cambria" w:cs="Calibri"/>
          <w:spacing w:val="-3"/>
        </w:rPr>
        <w:t>o</w:t>
      </w:r>
      <w:r w:rsidRPr="009A0DA6">
        <w:rPr>
          <w:rFonts w:ascii="Cambria" w:eastAsia="Calibri" w:hAnsi="Cambria" w:cs="Calibri"/>
          <w:spacing w:val="1"/>
        </w:rPr>
        <w:t>r</w:t>
      </w:r>
      <w:r w:rsidRPr="009A0DA6">
        <w:rPr>
          <w:rFonts w:ascii="Cambria" w:eastAsia="Calibri" w:hAnsi="Cambria" w:cs="Calibri"/>
        </w:rPr>
        <w:t>iti</w:t>
      </w:r>
      <w:r w:rsidRPr="009A0DA6">
        <w:rPr>
          <w:rFonts w:ascii="Cambria" w:eastAsia="Calibri" w:hAnsi="Cambria" w:cs="Calibri"/>
          <w:spacing w:val="-2"/>
        </w:rPr>
        <w:t>e</w:t>
      </w:r>
      <w:r w:rsidRPr="009A0DA6">
        <w:rPr>
          <w:rFonts w:ascii="Cambria" w:eastAsia="Calibri" w:hAnsi="Cambria" w:cs="Calibri"/>
        </w:rPr>
        <w:t>s</w:t>
      </w:r>
      <w:r w:rsidRPr="009A0DA6">
        <w:rPr>
          <w:rFonts w:ascii="Cambria" w:eastAsia="Calibri" w:hAnsi="Cambria" w:cs="Calibri"/>
          <w:spacing w:val="1"/>
        </w:rPr>
        <w:t xml:space="preserve"> </w:t>
      </w:r>
      <w:r w:rsidRPr="009A0DA6">
        <w:rPr>
          <w:rFonts w:ascii="Cambria" w:eastAsia="Calibri" w:hAnsi="Cambria" w:cs="Calibri"/>
          <w:spacing w:val="-3"/>
        </w:rPr>
        <w:t>a</w:t>
      </w:r>
      <w:r w:rsidRPr="009A0DA6">
        <w:rPr>
          <w:rFonts w:ascii="Cambria" w:eastAsia="Calibri" w:hAnsi="Cambria" w:cs="Calibri"/>
          <w:spacing w:val="1"/>
        </w:rPr>
        <w:t>r</w:t>
      </w:r>
      <w:r w:rsidRPr="009A0DA6">
        <w:rPr>
          <w:rFonts w:ascii="Cambria" w:eastAsia="Calibri" w:hAnsi="Cambria" w:cs="Calibri"/>
        </w:rPr>
        <w:t>e be</w:t>
      </w:r>
      <w:r w:rsidRPr="009A0DA6">
        <w:rPr>
          <w:rFonts w:ascii="Cambria" w:eastAsia="Calibri" w:hAnsi="Cambria" w:cs="Calibri"/>
          <w:spacing w:val="-2"/>
        </w:rPr>
        <w:t>t</w:t>
      </w:r>
      <w:r w:rsidRPr="009A0DA6">
        <w:rPr>
          <w:rFonts w:ascii="Cambria" w:eastAsia="Calibri" w:hAnsi="Cambria" w:cs="Calibri"/>
        </w:rPr>
        <w:t>t</w:t>
      </w:r>
      <w:r w:rsidRPr="009A0DA6">
        <w:rPr>
          <w:rFonts w:ascii="Cambria" w:eastAsia="Calibri" w:hAnsi="Cambria" w:cs="Calibri"/>
          <w:spacing w:val="-2"/>
        </w:rPr>
        <w:t>e</w:t>
      </w:r>
      <w:r w:rsidRPr="009A0DA6">
        <w:rPr>
          <w:rFonts w:ascii="Cambria" w:eastAsia="Calibri" w:hAnsi="Cambria" w:cs="Calibri"/>
        </w:rPr>
        <w:t>r</w:t>
      </w:r>
      <w:r w:rsidRPr="009A0DA6">
        <w:rPr>
          <w:rFonts w:ascii="Cambria" w:eastAsia="Calibri" w:hAnsi="Cambria" w:cs="Calibri"/>
          <w:spacing w:val="1"/>
        </w:rPr>
        <w:t xml:space="preserve"> </w:t>
      </w:r>
      <w:r w:rsidRPr="009A0DA6">
        <w:rPr>
          <w:rFonts w:ascii="Cambria" w:eastAsia="Calibri" w:hAnsi="Cambria" w:cs="Calibri"/>
        </w:rPr>
        <w:t>pl</w:t>
      </w:r>
      <w:r w:rsidRPr="009A0DA6">
        <w:rPr>
          <w:rFonts w:ascii="Cambria" w:eastAsia="Calibri" w:hAnsi="Cambria" w:cs="Calibri"/>
          <w:spacing w:val="-1"/>
        </w:rPr>
        <w:t>a</w:t>
      </w:r>
      <w:r w:rsidRPr="009A0DA6">
        <w:rPr>
          <w:rFonts w:ascii="Cambria" w:eastAsia="Calibri" w:hAnsi="Cambria" w:cs="Calibri"/>
        </w:rPr>
        <w:t>ced</w:t>
      </w:r>
      <w:r w:rsidRPr="009A0DA6">
        <w:rPr>
          <w:rFonts w:ascii="Cambria" w:eastAsia="Calibri" w:hAnsi="Cambria" w:cs="Calibri"/>
          <w:spacing w:val="-1"/>
        </w:rPr>
        <w:t xml:space="preserve"> </w:t>
      </w:r>
      <w:r w:rsidRPr="009A0DA6">
        <w:rPr>
          <w:rFonts w:ascii="Cambria" w:eastAsia="Calibri" w:hAnsi="Cambria" w:cs="Calibri"/>
          <w:spacing w:val="1"/>
        </w:rPr>
        <w:t>t</w:t>
      </w:r>
      <w:r w:rsidRPr="009A0DA6">
        <w:rPr>
          <w:rFonts w:ascii="Cambria" w:eastAsia="Calibri" w:hAnsi="Cambria" w:cs="Calibri"/>
        </w:rPr>
        <w:t xml:space="preserve">o </w:t>
      </w:r>
      <w:r w:rsidRPr="009A0DA6">
        <w:rPr>
          <w:rFonts w:ascii="Cambria" w:eastAsia="Calibri" w:hAnsi="Cambria" w:cs="Calibri"/>
          <w:spacing w:val="-1"/>
        </w:rPr>
        <w:t>und</w:t>
      </w:r>
      <w:r w:rsidRPr="009A0DA6">
        <w:rPr>
          <w:rFonts w:ascii="Cambria" w:eastAsia="Calibri" w:hAnsi="Cambria" w:cs="Calibri"/>
          <w:spacing w:val="-2"/>
        </w:rPr>
        <w:t>e</w:t>
      </w:r>
      <w:r w:rsidRPr="009A0DA6">
        <w:rPr>
          <w:rFonts w:ascii="Cambria" w:eastAsia="Calibri" w:hAnsi="Cambria" w:cs="Calibri"/>
          <w:spacing w:val="1"/>
        </w:rPr>
        <w:t>r</w:t>
      </w:r>
      <w:r w:rsidRPr="009A0DA6">
        <w:rPr>
          <w:rFonts w:ascii="Cambria" w:eastAsia="Calibri" w:hAnsi="Cambria" w:cs="Calibri"/>
        </w:rPr>
        <w:t>s</w:t>
      </w:r>
      <w:r w:rsidRPr="009A0DA6">
        <w:rPr>
          <w:rFonts w:ascii="Cambria" w:eastAsia="Calibri" w:hAnsi="Cambria" w:cs="Calibri"/>
          <w:spacing w:val="-2"/>
        </w:rPr>
        <w:t>t</w:t>
      </w:r>
      <w:r w:rsidRPr="009A0DA6">
        <w:rPr>
          <w:rFonts w:ascii="Cambria" w:eastAsia="Calibri" w:hAnsi="Cambria" w:cs="Calibri"/>
          <w:spacing w:val="-1"/>
        </w:rPr>
        <w:t>an</w:t>
      </w:r>
      <w:r w:rsidRPr="009A0DA6">
        <w:rPr>
          <w:rFonts w:ascii="Cambria" w:eastAsia="Calibri" w:hAnsi="Cambria" w:cs="Calibri"/>
        </w:rPr>
        <w:t>d the i</w:t>
      </w:r>
      <w:r w:rsidRPr="009A0DA6">
        <w:rPr>
          <w:rFonts w:ascii="Cambria" w:eastAsia="Calibri" w:hAnsi="Cambria" w:cs="Calibri"/>
          <w:spacing w:val="-1"/>
        </w:rPr>
        <w:t>nd</w:t>
      </w:r>
      <w:r w:rsidRPr="009A0DA6">
        <w:rPr>
          <w:rFonts w:ascii="Cambria" w:eastAsia="Calibri" w:hAnsi="Cambria" w:cs="Calibri"/>
        </w:rPr>
        <w:t>iv</w:t>
      </w:r>
      <w:r w:rsidRPr="009A0DA6">
        <w:rPr>
          <w:rFonts w:ascii="Cambria" w:eastAsia="Calibri" w:hAnsi="Cambria" w:cs="Calibri"/>
          <w:spacing w:val="-1"/>
        </w:rPr>
        <w:t>idua</w:t>
      </w:r>
      <w:r w:rsidRPr="009A0DA6">
        <w:rPr>
          <w:rFonts w:ascii="Cambria" w:eastAsia="Calibri" w:hAnsi="Cambria" w:cs="Calibri"/>
        </w:rPr>
        <w:t>l c</w:t>
      </w:r>
      <w:r w:rsidRPr="009A0DA6">
        <w:rPr>
          <w:rFonts w:ascii="Cambria" w:eastAsia="Calibri" w:hAnsi="Cambria" w:cs="Calibri"/>
          <w:spacing w:val="-1"/>
        </w:rPr>
        <w:t>i</w:t>
      </w:r>
      <w:r w:rsidRPr="009A0DA6">
        <w:rPr>
          <w:rFonts w:ascii="Cambria" w:eastAsia="Calibri" w:hAnsi="Cambria" w:cs="Calibri"/>
          <w:spacing w:val="1"/>
        </w:rPr>
        <w:t>r</w:t>
      </w:r>
      <w:r w:rsidRPr="009A0DA6">
        <w:rPr>
          <w:rFonts w:ascii="Cambria" w:eastAsia="Calibri" w:hAnsi="Cambria" w:cs="Calibri"/>
        </w:rPr>
        <w:t>c</w:t>
      </w:r>
      <w:r w:rsidRPr="009A0DA6">
        <w:rPr>
          <w:rFonts w:ascii="Cambria" w:eastAsia="Calibri" w:hAnsi="Cambria" w:cs="Calibri"/>
          <w:spacing w:val="-1"/>
        </w:rPr>
        <w:t>u</w:t>
      </w:r>
      <w:r w:rsidRPr="009A0DA6">
        <w:rPr>
          <w:rFonts w:ascii="Cambria" w:eastAsia="Calibri" w:hAnsi="Cambria" w:cs="Calibri"/>
        </w:rPr>
        <w:t>m</w:t>
      </w:r>
      <w:r w:rsidRPr="009A0DA6">
        <w:rPr>
          <w:rFonts w:ascii="Cambria" w:eastAsia="Calibri" w:hAnsi="Cambria" w:cs="Calibri"/>
          <w:spacing w:val="1"/>
        </w:rPr>
        <w:t>s</w:t>
      </w:r>
      <w:r w:rsidRPr="009A0DA6">
        <w:rPr>
          <w:rFonts w:ascii="Cambria" w:eastAsia="Calibri" w:hAnsi="Cambria" w:cs="Calibri"/>
        </w:rPr>
        <w:t>ta</w:t>
      </w:r>
      <w:r w:rsidRPr="009A0DA6">
        <w:rPr>
          <w:rFonts w:ascii="Cambria" w:eastAsia="Calibri" w:hAnsi="Cambria" w:cs="Calibri"/>
          <w:spacing w:val="-1"/>
        </w:rPr>
        <w:t>n</w:t>
      </w:r>
      <w:r w:rsidRPr="009A0DA6">
        <w:rPr>
          <w:rFonts w:ascii="Cambria" w:eastAsia="Calibri" w:hAnsi="Cambria" w:cs="Calibri"/>
        </w:rPr>
        <w:t>c</w:t>
      </w:r>
      <w:r w:rsidRPr="009A0DA6">
        <w:rPr>
          <w:rFonts w:ascii="Cambria" w:eastAsia="Calibri" w:hAnsi="Cambria" w:cs="Calibri"/>
          <w:spacing w:val="-3"/>
        </w:rPr>
        <w:t>e</w:t>
      </w:r>
      <w:r w:rsidRPr="009A0DA6">
        <w:rPr>
          <w:rFonts w:ascii="Cambria" w:eastAsia="Calibri" w:hAnsi="Cambria" w:cs="Calibri"/>
        </w:rPr>
        <w:t>s</w:t>
      </w:r>
      <w:r w:rsidRPr="009A0DA6">
        <w:rPr>
          <w:rFonts w:ascii="Cambria" w:eastAsia="Calibri" w:hAnsi="Cambria" w:cs="Calibri"/>
          <w:spacing w:val="1"/>
        </w:rPr>
        <w:t xml:space="preserve"> </w:t>
      </w:r>
      <w:r w:rsidRPr="009A0DA6">
        <w:rPr>
          <w:rFonts w:ascii="Cambria" w:eastAsia="Calibri" w:hAnsi="Cambria" w:cs="Calibri"/>
        </w:rPr>
        <w:t>th</w:t>
      </w:r>
      <w:r w:rsidRPr="009A0DA6">
        <w:rPr>
          <w:rFonts w:ascii="Cambria" w:eastAsia="Calibri" w:hAnsi="Cambria" w:cs="Calibri"/>
          <w:spacing w:val="-1"/>
        </w:rPr>
        <w:t>a</w:t>
      </w:r>
      <w:r w:rsidRPr="009A0DA6">
        <w:rPr>
          <w:rFonts w:ascii="Cambria" w:eastAsia="Calibri" w:hAnsi="Cambria" w:cs="Calibri"/>
        </w:rPr>
        <w:t>n</w:t>
      </w:r>
      <w:r w:rsidRPr="009A0DA6">
        <w:rPr>
          <w:rFonts w:ascii="Cambria" w:eastAsia="Calibri" w:hAnsi="Cambria" w:cs="Calibri"/>
          <w:spacing w:val="-1"/>
        </w:rPr>
        <w:t xml:space="preserve">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1"/>
        </w:rPr>
        <w:t xml:space="preserve"> P</w:t>
      </w:r>
      <w:r w:rsidRPr="009A0DA6">
        <w:rPr>
          <w:rFonts w:ascii="Cambria" w:eastAsia="Calibri" w:hAnsi="Cambria" w:cs="Calibri"/>
          <w:spacing w:val="1"/>
        </w:rPr>
        <w:t>S</w:t>
      </w:r>
      <w:r w:rsidRPr="009A0DA6">
        <w:rPr>
          <w:rFonts w:ascii="Cambria" w:eastAsia="Calibri" w:hAnsi="Cambria" w:cs="Calibri"/>
        </w:rPr>
        <w:t>D</w:t>
      </w:r>
      <w:r w:rsidRPr="009A0DA6">
        <w:rPr>
          <w:rFonts w:ascii="Cambria" w:eastAsia="Calibri" w:hAnsi="Cambria" w:cs="Calibri"/>
          <w:spacing w:val="1"/>
        </w:rPr>
        <w:t xml:space="preserve"> </w:t>
      </w:r>
      <w:r w:rsidRPr="009A0DA6">
        <w:rPr>
          <w:rFonts w:ascii="Cambria" w:eastAsia="Calibri" w:hAnsi="Cambria" w:cs="Calibri"/>
          <w:spacing w:val="-2"/>
        </w:rPr>
        <w:t>i</w:t>
      </w:r>
      <w:r w:rsidRPr="009A0DA6">
        <w:rPr>
          <w:rFonts w:ascii="Cambria" w:eastAsia="Calibri" w:hAnsi="Cambria" w:cs="Calibri"/>
        </w:rPr>
        <w:t>s. It</w:t>
      </w:r>
      <w:r w:rsidRPr="009A0DA6">
        <w:rPr>
          <w:rFonts w:ascii="Cambria" w:eastAsia="Calibri" w:hAnsi="Cambria" w:cs="Calibri"/>
          <w:spacing w:val="1"/>
        </w:rPr>
        <w:t xml:space="preserve"> </w:t>
      </w:r>
      <w:r w:rsidRPr="009A0DA6">
        <w:rPr>
          <w:rFonts w:ascii="Cambria" w:eastAsia="Calibri" w:hAnsi="Cambria" w:cs="Calibri"/>
          <w:spacing w:val="-1"/>
        </w:rPr>
        <w:t>ha</w:t>
      </w:r>
      <w:r w:rsidRPr="009A0DA6">
        <w:rPr>
          <w:rFonts w:ascii="Cambria" w:eastAsia="Calibri" w:hAnsi="Cambria" w:cs="Calibri"/>
        </w:rPr>
        <w:t>s</w:t>
      </w:r>
      <w:r w:rsidRPr="009A0DA6">
        <w:rPr>
          <w:rFonts w:ascii="Cambria" w:eastAsia="Calibri" w:hAnsi="Cambria" w:cs="Calibri"/>
          <w:spacing w:val="-2"/>
        </w:rPr>
        <w:t xml:space="preserve">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spacing w:val="-2"/>
        </w:rPr>
        <w:t>e</w:t>
      </w:r>
      <w:r w:rsidRPr="009A0DA6">
        <w:rPr>
          <w:rFonts w:ascii="Cambria" w:eastAsia="Calibri" w:hAnsi="Cambria" w:cs="Calibri"/>
        </w:rPr>
        <w:t>n</w:t>
      </w:r>
      <w:r w:rsidRPr="009A0DA6">
        <w:rPr>
          <w:rFonts w:ascii="Cambria" w:eastAsia="Calibri" w:hAnsi="Cambria" w:cs="Calibri"/>
          <w:spacing w:val="-1"/>
        </w:rPr>
        <w:t xml:space="preserve"> </w:t>
      </w:r>
      <w:r w:rsidRPr="009A0DA6">
        <w:rPr>
          <w:rFonts w:ascii="Cambria" w:eastAsia="Calibri" w:hAnsi="Cambria" w:cs="Calibri"/>
        </w:rPr>
        <w:t>p</w:t>
      </w:r>
      <w:r w:rsidRPr="009A0DA6">
        <w:rPr>
          <w:rFonts w:ascii="Cambria" w:eastAsia="Calibri" w:hAnsi="Cambria" w:cs="Calibri"/>
          <w:spacing w:val="1"/>
        </w:rPr>
        <w:t>r</w:t>
      </w:r>
      <w:r w:rsidRPr="009A0DA6">
        <w:rPr>
          <w:rFonts w:ascii="Cambria" w:eastAsia="Calibri" w:hAnsi="Cambria" w:cs="Calibri"/>
        </w:rPr>
        <w:t>es</w:t>
      </w:r>
      <w:r w:rsidRPr="009A0DA6">
        <w:rPr>
          <w:rFonts w:ascii="Cambria" w:eastAsia="Calibri" w:hAnsi="Cambria" w:cs="Calibri"/>
          <w:spacing w:val="1"/>
        </w:rPr>
        <w:t>s</w:t>
      </w:r>
      <w:r w:rsidRPr="009A0DA6">
        <w:rPr>
          <w:rFonts w:ascii="Cambria" w:eastAsia="Calibri" w:hAnsi="Cambria" w:cs="Calibri"/>
          <w:spacing w:val="-3"/>
        </w:rPr>
        <w:t>u</w:t>
      </w:r>
      <w:r w:rsidRPr="009A0DA6">
        <w:rPr>
          <w:rFonts w:ascii="Cambria" w:eastAsia="Calibri" w:hAnsi="Cambria" w:cs="Calibri"/>
          <w:spacing w:val="1"/>
        </w:rPr>
        <w:t>r</w:t>
      </w:r>
      <w:r w:rsidRPr="009A0DA6">
        <w:rPr>
          <w:rFonts w:ascii="Cambria" w:eastAsia="Calibri" w:hAnsi="Cambria" w:cs="Calibri"/>
        </w:rPr>
        <w:t xml:space="preserve">ed </w:t>
      </w:r>
      <w:r w:rsidRPr="009A0DA6">
        <w:rPr>
          <w:rFonts w:ascii="Cambria" w:eastAsia="Calibri" w:hAnsi="Cambria" w:cs="Calibri"/>
          <w:spacing w:val="-1"/>
        </w:rPr>
        <w:t>c</w:t>
      </w:r>
      <w:r w:rsidRPr="009A0DA6">
        <w:rPr>
          <w:rFonts w:ascii="Cambria" w:eastAsia="Calibri" w:hAnsi="Cambria" w:cs="Calibri"/>
        </w:rPr>
        <w:t>o</w:t>
      </w:r>
      <w:r w:rsidRPr="009A0DA6">
        <w:rPr>
          <w:rFonts w:ascii="Cambria" w:eastAsia="Calibri" w:hAnsi="Cambria" w:cs="Calibri"/>
          <w:spacing w:val="-1"/>
        </w:rPr>
        <w:t>ngr</w:t>
      </w:r>
      <w:r w:rsidRPr="009A0DA6">
        <w:rPr>
          <w:rFonts w:ascii="Cambria" w:eastAsia="Calibri" w:hAnsi="Cambria" w:cs="Calibri"/>
        </w:rPr>
        <w:t>eg</w:t>
      </w:r>
      <w:r w:rsidRPr="009A0DA6">
        <w:rPr>
          <w:rFonts w:ascii="Cambria" w:eastAsia="Calibri" w:hAnsi="Cambria" w:cs="Calibri"/>
          <w:spacing w:val="-1"/>
        </w:rPr>
        <w:t>a</w:t>
      </w:r>
      <w:r w:rsidRPr="009A0DA6">
        <w:rPr>
          <w:rFonts w:ascii="Cambria" w:eastAsia="Calibri" w:hAnsi="Cambria" w:cs="Calibri"/>
        </w:rPr>
        <w:t>tio</w:t>
      </w:r>
      <w:r w:rsidRPr="009A0DA6">
        <w:rPr>
          <w:rFonts w:ascii="Cambria" w:eastAsia="Calibri" w:hAnsi="Cambria" w:cs="Calibri"/>
          <w:spacing w:val="-1"/>
        </w:rPr>
        <w:t>n</w:t>
      </w:r>
      <w:r w:rsidRPr="009A0DA6">
        <w:rPr>
          <w:rFonts w:ascii="Cambria" w:eastAsia="Calibri" w:hAnsi="Cambria" w:cs="Calibri"/>
        </w:rPr>
        <w:t>s</w:t>
      </w:r>
      <w:r w:rsidRPr="009A0DA6">
        <w:rPr>
          <w:rFonts w:ascii="Cambria" w:eastAsia="Calibri" w:hAnsi="Cambria" w:cs="Calibri"/>
          <w:spacing w:val="-1"/>
        </w:rPr>
        <w:t xml:space="preserve"> </w:t>
      </w:r>
      <w:r w:rsidRPr="009A0DA6">
        <w:rPr>
          <w:rFonts w:ascii="Cambria" w:eastAsia="Calibri" w:hAnsi="Cambria" w:cs="Calibri"/>
        </w:rPr>
        <w:t>th</w:t>
      </w:r>
      <w:r w:rsidRPr="009A0DA6">
        <w:rPr>
          <w:rFonts w:ascii="Cambria" w:eastAsia="Calibri" w:hAnsi="Cambria" w:cs="Calibri"/>
          <w:spacing w:val="-1"/>
        </w:rPr>
        <w:t>a</w:t>
      </w:r>
      <w:r w:rsidRPr="009A0DA6">
        <w:rPr>
          <w:rFonts w:ascii="Cambria" w:eastAsia="Calibri" w:hAnsi="Cambria" w:cs="Calibri"/>
        </w:rPr>
        <w:t>t</w:t>
      </w:r>
      <w:r w:rsidRPr="009A0DA6">
        <w:rPr>
          <w:rFonts w:ascii="Cambria" w:eastAsia="Calibri" w:hAnsi="Cambria" w:cs="Calibri"/>
          <w:spacing w:val="1"/>
        </w:rPr>
        <w:t xml:space="preserve"> r</w:t>
      </w:r>
      <w:r w:rsidRPr="009A0DA6">
        <w:rPr>
          <w:rFonts w:ascii="Cambria" w:eastAsia="Calibri" w:hAnsi="Cambria" w:cs="Calibri"/>
        </w:rPr>
        <w:t>ef</w:t>
      </w:r>
      <w:r w:rsidRPr="009A0DA6">
        <w:rPr>
          <w:rFonts w:ascii="Cambria" w:eastAsia="Calibri" w:hAnsi="Cambria" w:cs="Calibri"/>
          <w:spacing w:val="-3"/>
        </w:rPr>
        <w:t>u</w:t>
      </w:r>
      <w:r w:rsidRPr="009A0DA6">
        <w:rPr>
          <w:rFonts w:ascii="Cambria" w:eastAsia="Calibri" w:hAnsi="Cambria" w:cs="Calibri"/>
        </w:rPr>
        <w:t>se</w:t>
      </w:r>
      <w:r w:rsidRPr="009A0DA6">
        <w:rPr>
          <w:rFonts w:ascii="Cambria" w:eastAsia="Calibri" w:hAnsi="Cambria" w:cs="Calibri"/>
          <w:spacing w:val="1"/>
        </w:rPr>
        <w:t xml:space="preserve"> </w:t>
      </w:r>
      <w:r w:rsidRPr="009A0DA6">
        <w:rPr>
          <w:rFonts w:ascii="Cambria" w:eastAsia="Calibri" w:hAnsi="Cambria" w:cs="Calibri"/>
        </w:rPr>
        <w:t>to</w:t>
      </w:r>
      <w:r w:rsidRPr="009A0DA6">
        <w:rPr>
          <w:rFonts w:ascii="Cambria" w:eastAsia="Calibri" w:hAnsi="Cambria" w:cs="Calibri"/>
          <w:spacing w:val="-2"/>
        </w:rPr>
        <w:t xml:space="preserve"> </w:t>
      </w:r>
      <w:r w:rsidRPr="009A0DA6">
        <w:rPr>
          <w:rFonts w:ascii="Cambria" w:eastAsia="Calibri" w:hAnsi="Cambria" w:cs="Calibri"/>
        </w:rPr>
        <w:t>com</w:t>
      </w:r>
      <w:r w:rsidRPr="009A0DA6">
        <w:rPr>
          <w:rFonts w:ascii="Cambria" w:eastAsia="Calibri" w:hAnsi="Cambria" w:cs="Calibri"/>
          <w:spacing w:val="-1"/>
        </w:rPr>
        <w:t>p</w:t>
      </w:r>
      <w:r w:rsidRPr="009A0DA6">
        <w:rPr>
          <w:rFonts w:ascii="Cambria" w:eastAsia="Calibri" w:hAnsi="Cambria" w:cs="Calibri"/>
        </w:rPr>
        <w:t xml:space="preserve">ly </w:t>
      </w:r>
      <w:r w:rsidRPr="009A0DA6">
        <w:rPr>
          <w:rFonts w:ascii="Cambria" w:eastAsia="Calibri" w:hAnsi="Cambria" w:cs="Calibri"/>
          <w:spacing w:val="1"/>
        </w:rPr>
        <w:t>w</w:t>
      </w:r>
      <w:r w:rsidRPr="009A0DA6">
        <w:rPr>
          <w:rFonts w:ascii="Cambria" w:eastAsia="Calibri" w:hAnsi="Cambria" w:cs="Calibri"/>
          <w:spacing w:val="-3"/>
        </w:rPr>
        <w:t>i</w:t>
      </w:r>
      <w:r w:rsidRPr="009A0DA6">
        <w:rPr>
          <w:rFonts w:ascii="Cambria" w:eastAsia="Calibri" w:hAnsi="Cambria" w:cs="Calibri"/>
        </w:rPr>
        <w:t xml:space="preserve">th </w:t>
      </w:r>
      <w:r w:rsidRPr="009A0DA6">
        <w:rPr>
          <w:rFonts w:ascii="Cambria" w:eastAsia="Calibri" w:hAnsi="Cambria" w:cs="Calibri"/>
          <w:spacing w:val="-3"/>
        </w:rPr>
        <w:t>i</w:t>
      </w:r>
      <w:r w:rsidRPr="009A0DA6">
        <w:rPr>
          <w:rFonts w:ascii="Cambria" w:eastAsia="Calibri" w:hAnsi="Cambria" w:cs="Calibri"/>
        </w:rPr>
        <w:t xml:space="preserve">ts </w:t>
      </w:r>
      <w:r w:rsidRPr="009A0DA6">
        <w:rPr>
          <w:rFonts w:ascii="Cambria" w:eastAsia="Calibri" w:hAnsi="Cambria" w:cs="Calibri"/>
          <w:spacing w:val="1"/>
        </w:rPr>
        <w:t>r</w:t>
      </w:r>
      <w:r w:rsidRPr="009A0DA6">
        <w:rPr>
          <w:rFonts w:ascii="Cambria" w:eastAsia="Calibri" w:hAnsi="Cambria" w:cs="Calibri"/>
        </w:rPr>
        <w:t>ec</w:t>
      </w:r>
      <w:r w:rsidRPr="009A0DA6">
        <w:rPr>
          <w:rFonts w:ascii="Cambria" w:eastAsia="Calibri" w:hAnsi="Cambria" w:cs="Calibri"/>
          <w:spacing w:val="-1"/>
        </w:rPr>
        <w:t>o</w:t>
      </w:r>
      <w:r w:rsidRPr="009A0DA6">
        <w:rPr>
          <w:rFonts w:ascii="Cambria" w:eastAsia="Calibri" w:hAnsi="Cambria" w:cs="Calibri"/>
          <w:spacing w:val="-2"/>
        </w:rPr>
        <w:t>m</w:t>
      </w:r>
      <w:r w:rsidRPr="009A0DA6">
        <w:rPr>
          <w:rFonts w:ascii="Cambria" w:eastAsia="Calibri" w:hAnsi="Cambria" w:cs="Calibri"/>
        </w:rPr>
        <w:t>men</w:t>
      </w:r>
      <w:r w:rsidRPr="009A0DA6">
        <w:rPr>
          <w:rFonts w:ascii="Cambria" w:eastAsia="Calibri" w:hAnsi="Cambria" w:cs="Calibri"/>
          <w:spacing w:val="-1"/>
        </w:rPr>
        <w:t>da</w:t>
      </w:r>
      <w:r w:rsidRPr="009A0DA6">
        <w:rPr>
          <w:rFonts w:ascii="Cambria" w:eastAsia="Calibri" w:hAnsi="Cambria" w:cs="Calibri"/>
        </w:rPr>
        <w:t>tio</w:t>
      </w:r>
      <w:r w:rsidRPr="009A0DA6">
        <w:rPr>
          <w:rFonts w:ascii="Cambria" w:eastAsia="Calibri" w:hAnsi="Cambria" w:cs="Calibri"/>
          <w:spacing w:val="-1"/>
        </w:rPr>
        <w:t>n</w:t>
      </w:r>
      <w:r w:rsidRPr="009A0DA6">
        <w:rPr>
          <w:rFonts w:ascii="Cambria" w:eastAsia="Calibri" w:hAnsi="Cambria" w:cs="Calibri"/>
        </w:rPr>
        <w:t>s</w:t>
      </w:r>
      <w:r w:rsidRPr="009A0DA6">
        <w:rPr>
          <w:rFonts w:ascii="Cambria" w:eastAsia="Calibri" w:hAnsi="Cambria" w:cs="Calibri"/>
          <w:spacing w:val="1"/>
        </w:rPr>
        <w:t xml:space="preserve"> </w:t>
      </w:r>
      <w:r w:rsidRPr="009A0DA6">
        <w:rPr>
          <w:rFonts w:ascii="Cambria" w:eastAsia="Calibri" w:hAnsi="Cambria" w:cs="Calibri"/>
          <w:spacing w:val="-1"/>
        </w:rPr>
        <w:t>b</w:t>
      </w:r>
      <w:r w:rsidRPr="009A0DA6">
        <w:rPr>
          <w:rFonts w:ascii="Cambria" w:eastAsia="Calibri" w:hAnsi="Cambria" w:cs="Calibri"/>
        </w:rPr>
        <w:t>y</w:t>
      </w:r>
      <w:r w:rsidRPr="009A0DA6">
        <w:rPr>
          <w:rFonts w:ascii="Cambria" w:eastAsia="Calibri" w:hAnsi="Cambria" w:cs="Calibri"/>
          <w:spacing w:val="-2"/>
        </w:rPr>
        <w:t xml:space="preserve"> </w:t>
      </w:r>
      <w:r w:rsidRPr="009A0DA6">
        <w:rPr>
          <w:rFonts w:ascii="Cambria" w:eastAsia="Calibri" w:hAnsi="Cambria" w:cs="Calibri"/>
        </w:rPr>
        <w:t>th</w:t>
      </w:r>
      <w:r w:rsidRPr="009A0DA6">
        <w:rPr>
          <w:rFonts w:ascii="Cambria" w:eastAsia="Calibri" w:hAnsi="Cambria" w:cs="Calibri"/>
          <w:spacing w:val="1"/>
        </w:rPr>
        <w:t>r</w:t>
      </w:r>
      <w:r w:rsidRPr="009A0DA6">
        <w:rPr>
          <w:rFonts w:ascii="Cambria" w:eastAsia="Calibri" w:hAnsi="Cambria" w:cs="Calibri"/>
        </w:rPr>
        <w:t>e</w:t>
      </w:r>
      <w:r w:rsidRPr="009A0DA6">
        <w:rPr>
          <w:rFonts w:ascii="Cambria" w:eastAsia="Calibri" w:hAnsi="Cambria" w:cs="Calibri"/>
          <w:spacing w:val="-3"/>
        </w:rPr>
        <w:t>a</w:t>
      </w:r>
      <w:r w:rsidRPr="009A0DA6">
        <w:rPr>
          <w:rFonts w:ascii="Cambria" w:eastAsia="Calibri" w:hAnsi="Cambria" w:cs="Calibri"/>
        </w:rPr>
        <w:t>teni</w:t>
      </w:r>
      <w:r w:rsidRPr="009A0DA6">
        <w:rPr>
          <w:rFonts w:ascii="Cambria" w:eastAsia="Calibri" w:hAnsi="Cambria" w:cs="Calibri"/>
          <w:spacing w:val="-1"/>
        </w:rPr>
        <w:t>n</w:t>
      </w:r>
      <w:r w:rsidRPr="009A0DA6">
        <w:rPr>
          <w:rFonts w:ascii="Cambria" w:eastAsia="Calibri" w:hAnsi="Cambria" w:cs="Calibri"/>
        </w:rPr>
        <w:t>g</w:t>
      </w:r>
      <w:r w:rsidRPr="009A0DA6">
        <w:rPr>
          <w:rFonts w:ascii="Cambria" w:eastAsia="Calibri" w:hAnsi="Cambria" w:cs="Calibri"/>
          <w:spacing w:val="-1"/>
        </w:rPr>
        <w:t xml:space="preserve"> </w:t>
      </w:r>
      <w:r w:rsidRPr="009A0DA6">
        <w:rPr>
          <w:rFonts w:ascii="Cambria" w:eastAsia="Calibri" w:hAnsi="Cambria" w:cs="Calibri"/>
          <w:spacing w:val="1"/>
        </w:rPr>
        <w:t>t</w:t>
      </w:r>
      <w:r w:rsidRPr="009A0DA6">
        <w:rPr>
          <w:rFonts w:ascii="Cambria" w:eastAsia="Calibri" w:hAnsi="Cambria" w:cs="Calibri"/>
        </w:rPr>
        <w:t>o c</w:t>
      </w:r>
      <w:r w:rsidRPr="009A0DA6">
        <w:rPr>
          <w:rFonts w:ascii="Cambria" w:eastAsia="Calibri" w:hAnsi="Cambria" w:cs="Calibri"/>
          <w:spacing w:val="-1"/>
        </w:rPr>
        <w:t>an</w:t>
      </w:r>
      <w:r w:rsidRPr="009A0DA6">
        <w:rPr>
          <w:rFonts w:ascii="Cambria" w:eastAsia="Calibri" w:hAnsi="Cambria" w:cs="Calibri"/>
        </w:rPr>
        <w:t xml:space="preserve">cel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2"/>
        </w:rPr>
        <w:t>i</w:t>
      </w:r>
      <w:r w:rsidRPr="009A0DA6">
        <w:rPr>
          <w:rFonts w:ascii="Cambria" w:eastAsia="Calibri" w:hAnsi="Cambria" w:cs="Calibri"/>
        </w:rPr>
        <w:t>r</w:t>
      </w:r>
      <w:r w:rsidRPr="009A0DA6">
        <w:rPr>
          <w:rFonts w:ascii="Cambria" w:eastAsia="Calibri" w:hAnsi="Cambria" w:cs="Calibri"/>
          <w:spacing w:val="1"/>
        </w:rPr>
        <w:t xml:space="preserve"> </w:t>
      </w:r>
      <w:r w:rsidRPr="009A0DA6">
        <w:rPr>
          <w:rFonts w:ascii="Cambria" w:eastAsia="Calibri" w:hAnsi="Cambria" w:cs="Calibri"/>
        </w:rPr>
        <w:t>ins</w:t>
      </w:r>
      <w:r w:rsidRPr="009A0DA6">
        <w:rPr>
          <w:rFonts w:ascii="Cambria" w:eastAsia="Calibri" w:hAnsi="Cambria" w:cs="Calibri"/>
          <w:spacing w:val="-3"/>
        </w:rPr>
        <w:t>u</w:t>
      </w:r>
      <w:r w:rsidRPr="009A0DA6">
        <w:rPr>
          <w:rFonts w:ascii="Cambria" w:eastAsia="Calibri" w:hAnsi="Cambria" w:cs="Calibri"/>
          <w:spacing w:val="-1"/>
        </w:rPr>
        <w:t>ran</w:t>
      </w:r>
      <w:r w:rsidRPr="009A0DA6">
        <w:rPr>
          <w:rFonts w:ascii="Cambria" w:eastAsia="Calibri" w:hAnsi="Cambria" w:cs="Calibri"/>
        </w:rPr>
        <w:t>ce.</w:t>
      </w:r>
      <w:r w:rsidRPr="009A0DA6">
        <w:rPr>
          <w:rFonts w:ascii="Cambria" w:eastAsia="Calibri" w:hAnsi="Cambria" w:cs="Calibri"/>
        </w:rPr>
        <w:br/>
      </w:r>
    </w:p>
    <w:p w14:paraId="20E1524C" w14:textId="77777777" w:rsidR="00194B18" w:rsidRPr="009A0DA6" w:rsidRDefault="00194B18" w:rsidP="00F55252">
      <w:pPr>
        <w:pStyle w:val="ListParagraph"/>
        <w:numPr>
          <w:ilvl w:val="3"/>
          <w:numId w:val="142"/>
        </w:numPr>
        <w:spacing w:after="120" w:line="240" w:lineRule="auto"/>
        <w:ind w:left="567" w:right="136" w:hanging="567"/>
        <w:rPr>
          <w:rFonts w:ascii="Cambria" w:eastAsia="Calibri" w:hAnsi="Cambria" w:cs="Calibri"/>
        </w:rPr>
      </w:pPr>
      <w:r w:rsidRPr="009A0DA6">
        <w:rPr>
          <w:rFonts w:ascii="Cambria" w:eastAsia="Calibri" w:hAnsi="Cambria" w:cs="Calibri"/>
        </w:rPr>
        <w:t>Th</w:t>
      </w:r>
      <w:r w:rsidRPr="009A0DA6">
        <w:rPr>
          <w:rFonts w:ascii="Cambria" w:eastAsia="Calibri" w:hAnsi="Cambria" w:cs="Calibri"/>
          <w:spacing w:val="-1"/>
        </w:rPr>
        <w:t>a</w:t>
      </w:r>
      <w:r w:rsidRPr="009A0DA6">
        <w:rPr>
          <w:rFonts w:ascii="Cambria" w:eastAsia="Calibri" w:hAnsi="Cambria" w:cs="Calibri"/>
        </w:rPr>
        <w:t>t</w:t>
      </w:r>
      <w:r w:rsidRPr="009A0DA6">
        <w:rPr>
          <w:rFonts w:ascii="Cambria" w:eastAsia="Calibri" w:hAnsi="Cambria" w:cs="Calibri"/>
          <w:spacing w:val="1"/>
        </w:rPr>
        <w:t xml:space="preserve"> </w:t>
      </w:r>
      <w:r w:rsidRPr="009A0DA6">
        <w:rPr>
          <w:rFonts w:ascii="Cambria" w:eastAsia="Calibri" w:hAnsi="Cambria" w:cs="Calibri"/>
          <w:spacing w:val="-1"/>
        </w:rPr>
        <w:t>a</w:t>
      </w:r>
      <w:r w:rsidRPr="009A0DA6">
        <w:rPr>
          <w:rFonts w:ascii="Cambria" w:eastAsia="Calibri" w:hAnsi="Cambria" w:cs="Calibri"/>
        </w:rPr>
        <w:t>c</w:t>
      </w:r>
      <w:r w:rsidRPr="009A0DA6">
        <w:rPr>
          <w:rFonts w:ascii="Cambria" w:eastAsia="Calibri" w:hAnsi="Cambria" w:cs="Calibri"/>
          <w:spacing w:val="-1"/>
        </w:rPr>
        <w:t>cu</w:t>
      </w:r>
      <w:r w:rsidRPr="009A0DA6">
        <w:rPr>
          <w:rFonts w:ascii="Cambria" w:eastAsia="Calibri" w:hAnsi="Cambria" w:cs="Calibri"/>
        </w:rPr>
        <w:t>sed pe</w:t>
      </w:r>
      <w:r w:rsidRPr="009A0DA6">
        <w:rPr>
          <w:rFonts w:ascii="Cambria" w:eastAsia="Calibri" w:hAnsi="Cambria" w:cs="Calibri"/>
          <w:spacing w:val="-1"/>
        </w:rPr>
        <w:t>r</w:t>
      </w:r>
      <w:r w:rsidRPr="009A0DA6">
        <w:rPr>
          <w:rFonts w:ascii="Cambria" w:eastAsia="Calibri" w:hAnsi="Cambria" w:cs="Calibri"/>
        </w:rPr>
        <w:t>sons h</w:t>
      </w:r>
      <w:r w:rsidRPr="009A0DA6">
        <w:rPr>
          <w:rFonts w:ascii="Cambria" w:eastAsia="Calibri" w:hAnsi="Cambria" w:cs="Calibri"/>
          <w:spacing w:val="-1"/>
        </w:rPr>
        <w:t>a</w:t>
      </w:r>
      <w:r w:rsidRPr="009A0DA6">
        <w:rPr>
          <w:rFonts w:ascii="Cambria" w:eastAsia="Calibri" w:hAnsi="Cambria" w:cs="Calibri"/>
        </w:rPr>
        <w:t>ve</w:t>
      </w:r>
      <w:r w:rsidRPr="009A0DA6">
        <w:rPr>
          <w:rFonts w:ascii="Cambria" w:eastAsia="Calibri" w:hAnsi="Cambria" w:cs="Calibri"/>
          <w:spacing w:val="-4"/>
        </w:rPr>
        <w:t xml:space="preserve"> </w:t>
      </w:r>
      <w:r w:rsidRPr="009A0DA6">
        <w:rPr>
          <w:rFonts w:ascii="Cambria" w:eastAsia="Calibri" w:hAnsi="Cambria" w:cs="Calibri"/>
        </w:rPr>
        <w:t xml:space="preserve">been </w:t>
      </w:r>
      <w:r w:rsidRPr="009A0DA6">
        <w:rPr>
          <w:rFonts w:ascii="Cambria" w:eastAsia="Calibri" w:hAnsi="Cambria" w:cs="Calibri"/>
          <w:spacing w:val="-1"/>
        </w:rPr>
        <w:t>d</w:t>
      </w:r>
      <w:r w:rsidRPr="009A0DA6">
        <w:rPr>
          <w:rFonts w:ascii="Cambria" w:eastAsia="Calibri" w:hAnsi="Cambria" w:cs="Calibri"/>
        </w:rPr>
        <w:t>en</w:t>
      </w:r>
      <w:r w:rsidRPr="009A0DA6">
        <w:rPr>
          <w:rFonts w:ascii="Cambria" w:eastAsia="Calibri" w:hAnsi="Cambria" w:cs="Calibri"/>
          <w:spacing w:val="-1"/>
        </w:rPr>
        <w:t>i</w:t>
      </w:r>
      <w:r w:rsidRPr="009A0DA6">
        <w:rPr>
          <w:rFonts w:ascii="Cambria" w:eastAsia="Calibri" w:hAnsi="Cambria" w:cs="Calibri"/>
        </w:rPr>
        <w:t xml:space="preserve">ed </w:t>
      </w:r>
      <w:r w:rsidRPr="009A0DA6">
        <w:rPr>
          <w:rFonts w:ascii="Cambria" w:eastAsia="Calibri" w:hAnsi="Cambria" w:cs="Calibri"/>
          <w:spacing w:val="1"/>
        </w:rPr>
        <w:t>r</w:t>
      </w:r>
      <w:r w:rsidRPr="009A0DA6">
        <w:rPr>
          <w:rFonts w:ascii="Cambria" w:eastAsia="Calibri" w:hAnsi="Cambria" w:cs="Calibri"/>
        </w:rPr>
        <w:t>i</w:t>
      </w:r>
      <w:r w:rsidRPr="009A0DA6">
        <w:rPr>
          <w:rFonts w:ascii="Cambria" w:eastAsia="Calibri" w:hAnsi="Cambria" w:cs="Calibri"/>
          <w:spacing w:val="-1"/>
        </w:rPr>
        <w:t>gh</w:t>
      </w:r>
      <w:r w:rsidRPr="009A0DA6">
        <w:rPr>
          <w:rFonts w:ascii="Cambria" w:eastAsia="Calibri" w:hAnsi="Cambria" w:cs="Calibri"/>
          <w:spacing w:val="-2"/>
        </w:rPr>
        <w:t>t</w:t>
      </w:r>
      <w:r w:rsidRPr="009A0DA6">
        <w:rPr>
          <w:rFonts w:ascii="Cambria" w:eastAsia="Calibri" w:hAnsi="Cambria" w:cs="Calibri"/>
        </w:rPr>
        <w:t>s</w:t>
      </w:r>
      <w:r w:rsidRPr="009A0DA6">
        <w:rPr>
          <w:rFonts w:ascii="Cambria" w:eastAsia="Calibri" w:hAnsi="Cambria" w:cs="Calibri"/>
          <w:spacing w:val="1"/>
        </w:rPr>
        <w:t xml:space="preserve"> </w:t>
      </w:r>
      <w:r w:rsidRPr="009A0DA6">
        <w:rPr>
          <w:rFonts w:ascii="Cambria" w:eastAsia="Calibri" w:hAnsi="Cambria" w:cs="Calibri"/>
          <w:spacing w:val="-1"/>
        </w:rPr>
        <w:t>p</w:t>
      </w:r>
      <w:r w:rsidRPr="009A0DA6">
        <w:rPr>
          <w:rFonts w:ascii="Cambria" w:eastAsia="Calibri" w:hAnsi="Cambria" w:cs="Calibri"/>
          <w:spacing w:val="-2"/>
        </w:rPr>
        <w:t>e</w:t>
      </w:r>
      <w:r w:rsidRPr="009A0DA6">
        <w:rPr>
          <w:rFonts w:ascii="Cambria" w:eastAsia="Calibri" w:hAnsi="Cambria" w:cs="Calibri"/>
          <w:spacing w:val="1"/>
        </w:rPr>
        <w:t>r</w:t>
      </w:r>
      <w:r w:rsidRPr="009A0DA6">
        <w:rPr>
          <w:rFonts w:ascii="Cambria" w:eastAsia="Calibri" w:hAnsi="Cambria" w:cs="Calibri"/>
        </w:rPr>
        <w:t>tai</w:t>
      </w:r>
      <w:r w:rsidRPr="009A0DA6">
        <w:rPr>
          <w:rFonts w:ascii="Cambria" w:eastAsia="Calibri" w:hAnsi="Cambria" w:cs="Calibri"/>
          <w:spacing w:val="-1"/>
        </w:rPr>
        <w:t>n</w:t>
      </w:r>
      <w:r w:rsidRPr="009A0DA6">
        <w:rPr>
          <w:rFonts w:ascii="Cambria" w:eastAsia="Calibri" w:hAnsi="Cambria" w:cs="Calibri"/>
        </w:rPr>
        <w:t>i</w:t>
      </w:r>
      <w:r w:rsidRPr="009A0DA6">
        <w:rPr>
          <w:rFonts w:ascii="Cambria" w:eastAsia="Calibri" w:hAnsi="Cambria" w:cs="Calibri"/>
          <w:spacing w:val="-1"/>
        </w:rPr>
        <w:t>n</w:t>
      </w:r>
      <w:r w:rsidRPr="009A0DA6">
        <w:rPr>
          <w:rFonts w:ascii="Cambria" w:eastAsia="Calibri" w:hAnsi="Cambria" w:cs="Calibri"/>
        </w:rPr>
        <w:t>g</w:t>
      </w:r>
      <w:r w:rsidRPr="009A0DA6">
        <w:rPr>
          <w:rFonts w:ascii="Cambria" w:eastAsia="Calibri" w:hAnsi="Cambria" w:cs="Calibri"/>
          <w:spacing w:val="-1"/>
        </w:rPr>
        <w:t xml:space="preserve"> </w:t>
      </w:r>
      <w:r w:rsidRPr="009A0DA6">
        <w:rPr>
          <w:rFonts w:ascii="Cambria" w:eastAsia="Calibri" w:hAnsi="Cambria" w:cs="Calibri"/>
          <w:spacing w:val="1"/>
        </w:rPr>
        <w:t>t</w:t>
      </w:r>
      <w:r w:rsidRPr="009A0DA6">
        <w:rPr>
          <w:rFonts w:ascii="Cambria" w:eastAsia="Calibri" w:hAnsi="Cambria" w:cs="Calibri"/>
        </w:rPr>
        <w:t xml:space="preserve">o </w:t>
      </w:r>
      <w:r w:rsidRPr="009A0DA6">
        <w:rPr>
          <w:rFonts w:ascii="Cambria" w:eastAsia="Calibri" w:hAnsi="Cambria" w:cs="Calibri"/>
          <w:spacing w:val="-1"/>
        </w:rPr>
        <w:t>du</w:t>
      </w:r>
      <w:r w:rsidRPr="009A0DA6">
        <w:rPr>
          <w:rFonts w:ascii="Cambria" w:eastAsia="Calibri" w:hAnsi="Cambria" w:cs="Calibri"/>
        </w:rPr>
        <w:t>e p</w:t>
      </w:r>
      <w:r w:rsidRPr="009A0DA6">
        <w:rPr>
          <w:rFonts w:ascii="Cambria" w:eastAsia="Calibri" w:hAnsi="Cambria" w:cs="Calibri"/>
          <w:spacing w:val="1"/>
        </w:rPr>
        <w:t>r</w:t>
      </w:r>
      <w:r w:rsidRPr="009A0DA6">
        <w:rPr>
          <w:rFonts w:ascii="Cambria" w:eastAsia="Calibri" w:hAnsi="Cambria" w:cs="Calibri"/>
        </w:rPr>
        <w:t>o</w:t>
      </w:r>
      <w:r w:rsidRPr="009A0DA6">
        <w:rPr>
          <w:rFonts w:ascii="Cambria" w:eastAsia="Calibri" w:hAnsi="Cambria" w:cs="Calibri"/>
          <w:spacing w:val="-1"/>
        </w:rPr>
        <w:t>c</w:t>
      </w:r>
      <w:r w:rsidRPr="009A0DA6">
        <w:rPr>
          <w:rFonts w:ascii="Cambria" w:eastAsia="Calibri" w:hAnsi="Cambria" w:cs="Calibri"/>
          <w:spacing w:val="-2"/>
        </w:rPr>
        <w:t>e</w:t>
      </w:r>
      <w:r w:rsidRPr="009A0DA6">
        <w:rPr>
          <w:rFonts w:ascii="Cambria" w:eastAsia="Calibri" w:hAnsi="Cambria" w:cs="Calibri"/>
        </w:rPr>
        <w:t>s</w:t>
      </w:r>
      <w:r w:rsidRPr="009A0DA6">
        <w:rPr>
          <w:rFonts w:ascii="Cambria" w:eastAsia="Calibri" w:hAnsi="Cambria" w:cs="Calibri"/>
          <w:spacing w:val="1"/>
        </w:rPr>
        <w:t>s</w:t>
      </w:r>
      <w:r w:rsidRPr="009A0DA6">
        <w:rPr>
          <w:rFonts w:ascii="Cambria" w:eastAsia="Calibri" w:hAnsi="Cambria" w:cs="Calibri"/>
        </w:rPr>
        <w:t>, in</w:t>
      </w:r>
      <w:r w:rsidRPr="009A0DA6">
        <w:rPr>
          <w:rFonts w:ascii="Cambria" w:eastAsia="Calibri" w:hAnsi="Cambria" w:cs="Calibri"/>
          <w:spacing w:val="-1"/>
        </w:rPr>
        <w:t>c</w:t>
      </w:r>
      <w:r w:rsidRPr="009A0DA6">
        <w:rPr>
          <w:rFonts w:ascii="Cambria" w:eastAsia="Calibri" w:hAnsi="Cambria" w:cs="Calibri"/>
        </w:rPr>
        <w:t>l</w:t>
      </w:r>
      <w:r w:rsidRPr="009A0DA6">
        <w:rPr>
          <w:rFonts w:ascii="Cambria" w:eastAsia="Calibri" w:hAnsi="Cambria" w:cs="Calibri"/>
          <w:spacing w:val="-1"/>
        </w:rPr>
        <w:t>ud</w:t>
      </w:r>
      <w:r w:rsidRPr="009A0DA6">
        <w:rPr>
          <w:rFonts w:ascii="Cambria" w:eastAsia="Calibri" w:hAnsi="Cambria" w:cs="Calibri"/>
        </w:rPr>
        <w:t>i</w:t>
      </w:r>
      <w:r w:rsidRPr="009A0DA6">
        <w:rPr>
          <w:rFonts w:ascii="Cambria" w:eastAsia="Calibri" w:hAnsi="Cambria" w:cs="Calibri"/>
          <w:spacing w:val="-1"/>
        </w:rPr>
        <w:t>n</w:t>
      </w:r>
      <w:r w:rsidRPr="009A0DA6">
        <w:rPr>
          <w:rFonts w:ascii="Cambria" w:eastAsia="Calibri" w:hAnsi="Cambria" w:cs="Calibri"/>
        </w:rPr>
        <w:t>g</w:t>
      </w:r>
      <w:r w:rsidRPr="009A0DA6">
        <w:rPr>
          <w:rFonts w:ascii="Cambria" w:eastAsia="Calibri" w:hAnsi="Cambria" w:cs="Calibri"/>
          <w:spacing w:val="-1"/>
        </w:rPr>
        <w:t xml:space="preserve">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e fol</w:t>
      </w:r>
      <w:r w:rsidRPr="009A0DA6">
        <w:rPr>
          <w:rFonts w:ascii="Cambria" w:eastAsia="Calibri" w:hAnsi="Cambria" w:cs="Calibri"/>
          <w:spacing w:val="-1"/>
        </w:rPr>
        <w:t>l</w:t>
      </w:r>
      <w:r w:rsidRPr="009A0DA6">
        <w:rPr>
          <w:rFonts w:ascii="Cambria" w:eastAsia="Calibri" w:hAnsi="Cambria" w:cs="Calibri"/>
        </w:rPr>
        <w:t>owi</w:t>
      </w:r>
      <w:r w:rsidRPr="009A0DA6">
        <w:rPr>
          <w:rFonts w:ascii="Cambria" w:eastAsia="Calibri" w:hAnsi="Cambria" w:cs="Calibri"/>
          <w:spacing w:val="-1"/>
        </w:rPr>
        <w:t>ng</w:t>
      </w:r>
      <w:r w:rsidRPr="009A0DA6">
        <w:rPr>
          <w:rFonts w:ascii="Cambria" w:eastAsia="Calibri" w:hAnsi="Cambria" w:cs="Calibri"/>
        </w:rPr>
        <w:t>:</w:t>
      </w:r>
    </w:p>
    <w:p w14:paraId="7F1F014D" w14:textId="77777777" w:rsidR="00194B18" w:rsidRPr="009A0DA6" w:rsidRDefault="00194B18" w:rsidP="00F55252">
      <w:pPr>
        <w:pStyle w:val="ListParagraph"/>
        <w:numPr>
          <w:ilvl w:val="1"/>
          <w:numId w:val="153"/>
        </w:numPr>
        <w:spacing w:after="120" w:line="240" w:lineRule="auto"/>
        <w:ind w:left="1134" w:right="-20" w:hanging="567"/>
        <w:rPr>
          <w:rFonts w:ascii="Cambria" w:eastAsia="Calibri" w:hAnsi="Cambria" w:cs="Calibri"/>
        </w:rPr>
      </w:pPr>
      <w:r w:rsidRPr="009A0DA6">
        <w:rPr>
          <w:rFonts w:ascii="Cambria" w:eastAsia="Calibri" w:hAnsi="Cambria" w:cs="Calibri"/>
        </w:rPr>
        <w:t xml:space="preserve">To </w:t>
      </w:r>
      <w:r w:rsidRPr="009A0DA6">
        <w:rPr>
          <w:rFonts w:ascii="Cambria" w:eastAsia="Calibri" w:hAnsi="Cambria" w:cs="Calibri"/>
          <w:spacing w:val="1"/>
        </w:rPr>
        <w:t>k</w:t>
      </w:r>
      <w:r w:rsidRPr="009A0DA6">
        <w:rPr>
          <w:rFonts w:ascii="Cambria" w:eastAsia="Calibri" w:hAnsi="Cambria" w:cs="Calibri"/>
          <w:spacing w:val="-1"/>
        </w:rPr>
        <w:t>n</w:t>
      </w:r>
      <w:r w:rsidRPr="009A0DA6">
        <w:rPr>
          <w:rFonts w:ascii="Cambria" w:eastAsia="Calibri" w:hAnsi="Cambria" w:cs="Calibri"/>
        </w:rPr>
        <w:t>ow all</w:t>
      </w:r>
      <w:r w:rsidRPr="009A0DA6">
        <w:rPr>
          <w:rFonts w:ascii="Cambria" w:eastAsia="Calibri" w:hAnsi="Cambria" w:cs="Calibri"/>
          <w:spacing w:val="-3"/>
        </w:rPr>
        <w:t xml:space="preserve">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e a</w:t>
      </w:r>
      <w:r w:rsidRPr="009A0DA6">
        <w:rPr>
          <w:rFonts w:ascii="Cambria" w:eastAsia="Calibri" w:hAnsi="Cambria" w:cs="Calibri"/>
          <w:spacing w:val="-1"/>
        </w:rPr>
        <w:t>c</w:t>
      </w:r>
      <w:r w:rsidRPr="009A0DA6">
        <w:rPr>
          <w:rFonts w:ascii="Cambria" w:eastAsia="Calibri" w:hAnsi="Cambria" w:cs="Calibri"/>
        </w:rPr>
        <w:t>c</w:t>
      </w:r>
      <w:r w:rsidRPr="009A0DA6">
        <w:rPr>
          <w:rFonts w:ascii="Cambria" w:eastAsia="Calibri" w:hAnsi="Cambria" w:cs="Calibri"/>
          <w:spacing w:val="-1"/>
        </w:rPr>
        <w:t>u</w:t>
      </w:r>
      <w:r w:rsidRPr="009A0DA6">
        <w:rPr>
          <w:rFonts w:ascii="Cambria" w:eastAsia="Calibri" w:hAnsi="Cambria" w:cs="Calibri"/>
        </w:rPr>
        <w:t>satio</w:t>
      </w:r>
      <w:r w:rsidRPr="009A0DA6">
        <w:rPr>
          <w:rFonts w:ascii="Cambria" w:eastAsia="Calibri" w:hAnsi="Cambria" w:cs="Calibri"/>
          <w:spacing w:val="-1"/>
        </w:rPr>
        <w:t>n</w:t>
      </w:r>
      <w:r w:rsidRPr="009A0DA6">
        <w:rPr>
          <w:rFonts w:ascii="Cambria" w:eastAsia="Calibri" w:hAnsi="Cambria" w:cs="Calibri"/>
        </w:rPr>
        <w:t>s</w:t>
      </w:r>
      <w:r w:rsidRPr="009A0DA6">
        <w:rPr>
          <w:rFonts w:ascii="Cambria" w:eastAsia="Calibri" w:hAnsi="Cambria" w:cs="Calibri"/>
          <w:spacing w:val="-2"/>
        </w:rPr>
        <w:t xml:space="preserve"> </w:t>
      </w:r>
      <w:r w:rsidRPr="009A0DA6">
        <w:rPr>
          <w:rFonts w:ascii="Cambria" w:eastAsia="Calibri" w:hAnsi="Cambria" w:cs="Calibri"/>
        </w:rPr>
        <w:t>a</w:t>
      </w:r>
      <w:r w:rsidRPr="009A0DA6">
        <w:rPr>
          <w:rFonts w:ascii="Cambria" w:eastAsia="Calibri" w:hAnsi="Cambria" w:cs="Calibri"/>
          <w:spacing w:val="-1"/>
        </w:rPr>
        <w:t>ga</w:t>
      </w:r>
      <w:r w:rsidRPr="009A0DA6">
        <w:rPr>
          <w:rFonts w:ascii="Cambria" w:eastAsia="Calibri" w:hAnsi="Cambria" w:cs="Calibri"/>
        </w:rPr>
        <w:t>i</w:t>
      </w:r>
      <w:r w:rsidRPr="009A0DA6">
        <w:rPr>
          <w:rFonts w:ascii="Cambria" w:eastAsia="Calibri" w:hAnsi="Cambria" w:cs="Calibri"/>
          <w:spacing w:val="-1"/>
        </w:rPr>
        <w:t>n</w:t>
      </w:r>
      <w:r w:rsidRPr="009A0DA6">
        <w:rPr>
          <w:rFonts w:ascii="Cambria" w:eastAsia="Calibri" w:hAnsi="Cambria" w:cs="Calibri"/>
        </w:rPr>
        <w:t>st</w:t>
      </w:r>
      <w:r w:rsidRPr="009A0DA6">
        <w:rPr>
          <w:rFonts w:ascii="Cambria" w:eastAsia="Calibri" w:hAnsi="Cambria" w:cs="Calibri"/>
          <w:spacing w:val="1"/>
        </w:rPr>
        <w:t xml:space="preserve"> t</w:t>
      </w:r>
      <w:r w:rsidRPr="009A0DA6">
        <w:rPr>
          <w:rFonts w:ascii="Cambria" w:eastAsia="Calibri" w:hAnsi="Cambria" w:cs="Calibri"/>
          <w:spacing w:val="-1"/>
        </w:rPr>
        <w:t>h</w:t>
      </w:r>
      <w:r w:rsidRPr="009A0DA6">
        <w:rPr>
          <w:rFonts w:ascii="Cambria" w:eastAsia="Calibri" w:hAnsi="Cambria" w:cs="Calibri"/>
        </w:rPr>
        <w:t>em</w:t>
      </w:r>
    </w:p>
    <w:p w14:paraId="6381E30D" w14:textId="77777777" w:rsidR="00194B18" w:rsidRPr="009A0DA6" w:rsidRDefault="00194B18" w:rsidP="00F55252">
      <w:pPr>
        <w:pStyle w:val="ListParagraph"/>
        <w:numPr>
          <w:ilvl w:val="1"/>
          <w:numId w:val="153"/>
        </w:numPr>
        <w:spacing w:after="120" w:line="240" w:lineRule="auto"/>
        <w:ind w:left="1134" w:right="-20" w:hanging="567"/>
        <w:rPr>
          <w:rFonts w:ascii="Cambria" w:eastAsia="Calibri" w:hAnsi="Cambria" w:cs="Calibri"/>
        </w:rPr>
      </w:pPr>
      <w:r w:rsidRPr="009A0DA6">
        <w:rPr>
          <w:rFonts w:ascii="Cambria" w:eastAsia="Calibri" w:hAnsi="Cambria" w:cs="Calibri"/>
        </w:rPr>
        <w:t>To fa</w:t>
      </w:r>
      <w:r w:rsidRPr="009A0DA6">
        <w:rPr>
          <w:rFonts w:ascii="Cambria" w:eastAsia="Calibri" w:hAnsi="Cambria" w:cs="Calibri"/>
          <w:spacing w:val="-1"/>
        </w:rPr>
        <w:t>c</w:t>
      </w:r>
      <w:r w:rsidRPr="009A0DA6">
        <w:rPr>
          <w:rFonts w:ascii="Cambria" w:eastAsia="Calibri" w:hAnsi="Cambria" w:cs="Calibri"/>
        </w:rPr>
        <w:t xml:space="preserve">e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2"/>
        </w:rPr>
        <w:t>i</w:t>
      </w:r>
      <w:r w:rsidRPr="009A0DA6">
        <w:rPr>
          <w:rFonts w:ascii="Cambria" w:eastAsia="Calibri" w:hAnsi="Cambria" w:cs="Calibri"/>
        </w:rPr>
        <w:t>r</w:t>
      </w:r>
      <w:r w:rsidRPr="009A0DA6">
        <w:rPr>
          <w:rFonts w:ascii="Cambria" w:eastAsia="Calibri" w:hAnsi="Cambria" w:cs="Calibri"/>
          <w:spacing w:val="1"/>
        </w:rPr>
        <w:t xml:space="preserve"> </w:t>
      </w:r>
      <w:r w:rsidRPr="009A0DA6">
        <w:rPr>
          <w:rFonts w:ascii="Cambria" w:eastAsia="Calibri" w:hAnsi="Cambria" w:cs="Calibri"/>
        </w:rPr>
        <w:t>a</w:t>
      </w:r>
      <w:r w:rsidRPr="009A0DA6">
        <w:rPr>
          <w:rFonts w:ascii="Cambria" w:eastAsia="Calibri" w:hAnsi="Cambria" w:cs="Calibri"/>
          <w:spacing w:val="-1"/>
        </w:rPr>
        <w:t>c</w:t>
      </w:r>
      <w:r w:rsidRPr="009A0DA6">
        <w:rPr>
          <w:rFonts w:ascii="Cambria" w:eastAsia="Calibri" w:hAnsi="Cambria" w:cs="Calibri"/>
        </w:rPr>
        <w:t>c</w:t>
      </w:r>
      <w:r w:rsidRPr="009A0DA6">
        <w:rPr>
          <w:rFonts w:ascii="Cambria" w:eastAsia="Calibri" w:hAnsi="Cambria" w:cs="Calibri"/>
          <w:spacing w:val="-1"/>
        </w:rPr>
        <w:t>u</w:t>
      </w:r>
      <w:r w:rsidRPr="009A0DA6">
        <w:rPr>
          <w:rFonts w:ascii="Cambria" w:eastAsia="Calibri" w:hAnsi="Cambria" w:cs="Calibri"/>
        </w:rPr>
        <w:t>s</w:t>
      </w:r>
      <w:r w:rsidRPr="009A0DA6">
        <w:rPr>
          <w:rFonts w:ascii="Cambria" w:eastAsia="Calibri" w:hAnsi="Cambria" w:cs="Calibri"/>
          <w:spacing w:val="-2"/>
        </w:rPr>
        <w:t>e</w:t>
      </w:r>
      <w:r w:rsidRPr="009A0DA6">
        <w:rPr>
          <w:rFonts w:ascii="Cambria" w:eastAsia="Calibri" w:hAnsi="Cambria" w:cs="Calibri"/>
          <w:spacing w:val="1"/>
        </w:rPr>
        <w:t>r</w:t>
      </w:r>
      <w:r w:rsidRPr="009A0DA6">
        <w:rPr>
          <w:rFonts w:ascii="Cambria" w:eastAsia="Calibri" w:hAnsi="Cambria" w:cs="Calibri"/>
        </w:rPr>
        <w:t>s</w:t>
      </w:r>
      <w:r w:rsidRPr="009A0DA6">
        <w:rPr>
          <w:rFonts w:ascii="Cambria" w:eastAsia="Calibri" w:hAnsi="Cambria" w:cs="Calibri"/>
          <w:spacing w:val="1"/>
        </w:rPr>
        <w:t xml:space="preserve"> </w:t>
      </w:r>
      <w:r w:rsidRPr="009A0DA6">
        <w:rPr>
          <w:rFonts w:ascii="Cambria" w:eastAsia="Calibri" w:hAnsi="Cambria" w:cs="Calibri"/>
          <w:spacing w:val="-2"/>
        </w:rPr>
        <w:t>(</w:t>
      </w:r>
      <w:r w:rsidRPr="009A0DA6">
        <w:rPr>
          <w:rFonts w:ascii="Cambria" w:eastAsia="Calibri" w:hAnsi="Cambria" w:cs="Calibri"/>
        </w:rPr>
        <w:t>exc</w:t>
      </w:r>
      <w:r w:rsidRPr="009A0DA6">
        <w:rPr>
          <w:rFonts w:ascii="Cambria" w:eastAsia="Calibri" w:hAnsi="Cambria" w:cs="Calibri"/>
          <w:spacing w:val="-2"/>
        </w:rPr>
        <w:t>e</w:t>
      </w:r>
      <w:r w:rsidRPr="009A0DA6">
        <w:rPr>
          <w:rFonts w:ascii="Cambria" w:eastAsia="Calibri" w:hAnsi="Cambria" w:cs="Calibri"/>
          <w:spacing w:val="-1"/>
        </w:rPr>
        <w:t>p</w:t>
      </w:r>
      <w:r w:rsidRPr="009A0DA6">
        <w:rPr>
          <w:rFonts w:ascii="Cambria" w:eastAsia="Calibri" w:hAnsi="Cambria" w:cs="Calibri"/>
        </w:rPr>
        <w:t>t</w:t>
      </w:r>
      <w:r w:rsidRPr="009A0DA6">
        <w:rPr>
          <w:rFonts w:ascii="Cambria" w:eastAsia="Calibri" w:hAnsi="Cambria" w:cs="Calibri"/>
          <w:spacing w:val="1"/>
        </w:rPr>
        <w:t xml:space="preserve"> </w:t>
      </w:r>
      <w:r w:rsidRPr="009A0DA6">
        <w:rPr>
          <w:rFonts w:ascii="Cambria" w:eastAsia="Calibri" w:hAnsi="Cambria" w:cs="Calibri"/>
        </w:rPr>
        <w:t>in</w:t>
      </w:r>
      <w:r w:rsidRPr="009A0DA6">
        <w:rPr>
          <w:rFonts w:ascii="Cambria" w:eastAsia="Calibri" w:hAnsi="Cambria" w:cs="Calibri"/>
          <w:spacing w:val="-1"/>
        </w:rPr>
        <w:t xml:space="preserve">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e c</w:t>
      </w:r>
      <w:r w:rsidRPr="009A0DA6">
        <w:rPr>
          <w:rFonts w:ascii="Cambria" w:eastAsia="Calibri" w:hAnsi="Cambria" w:cs="Calibri"/>
          <w:spacing w:val="-1"/>
        </w:rPr>
        <w:t>a</w:t>
      </w:r>
      <w:r w:rsidRPr="009A0DA6">
        <w:rPr>
          <w:rFonts w:ascii="Cambria" w:eastAsia="Calibri" w:hAnsi="Cambria" w:cs="Calibri"/>
        </w:rPr>
        <w:t>se</w:t>
      </w:r>
      <w:r w:rsidRPr="009A0DA6">
        <w:rPr>
          <w:rFonts w:ascii="Cambria" w:eastAsia="Calibri" w:hAnsi="Cambria" w:cs="Calibri"/>
          <w:spacing w:val="-2"/>
        </w:rPr>
        <w:t xml:space="preserve"> </w:t>
      </w:r>
      <w:r w:rsidRPr="009A0DA6">
        <w:rPr>
          <w:rFonts w:ascii="Cambria" w:eastAsia="Calibri" w:hAnsi="Cambria" w:cs="Calibri"/>
          <w:spacing w:val="1"/>
        </w:rPr>
        <w:t>w</w:t>
      </w:r>
      <w:r w:rsidRPr="009A0DA6">
        <w:rPr>
          <w:rFonts w:ascii="Cambria" w:eastAsia="Calibri" w:hAnsi="Cambria" w:cs="Calibri"/>
          <w:spacing w:val="-1"/>
        </w:rPr>
        <w:t>h</w:t>
      </w:r>
      <w:r w:rsidRPr="009A0DA6">
        <w:rPr>
          <w:rFonts w:ascii="Cambria" w:eastAsia="Calibri" w:hAnsi="Cambria" w:cs="Calibri"/>
          <w:spacing w:val="-2"/>
        </w:rPr>
        <w:t>e</w:t>
      </w:r>
      <w:r w:rsidRPr="009A0DA6">
        <w:rPr>
          <w:rFonts w:ascii="Cambria" w:eastAsia="Calibri" w:hAnsi="Cambria" w:cs="Calibri"/>
          <w:spacing w:val="1"/>
        </w:rPr>
        <w:t>r</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rPr>
        <w:t>the a</w:t>
      </w:r>
      <w:r w:rsidRPr="009A0DA6">
        <w:rPr>
          <w:rFonts w:ascii="Cambria" w:eastAsia="Calibri" w:hAnsi="Cambria" w:cs="Calibri"/>
          <w:spacing w:val="-4"/>
        </w:rPr>
        <w:t>c</w:t>
      </w:r>
      <w:r w:rsidRPr="009A0DA6">
        <w:rPr>
          <w:rFonts w:ascii="Cambria" w:eastAsia="Calibri" w:hAnsi="Cambria" w:cs="Calibri"/>
        </w:rPr>
        <w:t>c</w:t>
      </w:r>
      <w:r w:rsidRPr="009A0DA6">
        <w:rPr>
          <w:rFonts w:ascii="Cambria" w:eastAsia="Calibri" w:hAnsi="Cambria" w:cs="Calibri"/>
          <w:spacing w:val="-1"/>
        </w:rPr>
        <w:t>u</w:t>
      </w:r>
      <w:r w:rsidRPr="009A0DA6">
        <w:rPr>
          <w:rFonts w:ascii="Cambria" w:eastAsia="Calibri" w:hAnsi="Cambria" w:cs="Calibri"/>
        </w:rPr>
        <w:t>ser</w:t>
      </w:r>
      <w:r w:rsidRPr="009A0DA6">
        <w:rPr>
          <w:rFonts w:ascii="Cambria" w:eastAsia="Calibri" w:hAnsi="Cambria" w:cs="Calibri"/>
          <w:spacing w:val="2"/>
        </w:rPr>
        <w:t xml:space="preserve"> </w:t>
      </w:r>
      <w:r w:rsidRPr="009A0DA6">
        <w:rPr>
          <w:rFonts w:ascii="Cambria" w:eastAsia="Calibri" w:hAnsi="Cambria" w:cs="Calibri"/>
        </w:rPr>
        <w:t>is</w:t>
      </w:r>
      <w:r w:rsidRPr="009A0DA6">
        <w:rPr>
          <w:rFonts w:ascii="Cambria" w:eastAsia="Calibri" w:hAnsi="Cambria" w:cs="Calibri"/>
          <w:spacing w:val="-2"/>
        </w:rPr>
        <w:t xml:space="preserve"> </w:t>
      </w:r>
      <w:r w:rsidRPr="009A0DA6">
        <w:rPr>
          <w:rFonts w:ascii="Cambria" w:eastAsia="Calibri" w:hAnsi="Cambria" w:cs="Calibri"/>
        </w:rPr>
        <w:t xml:space="preserve">a </w:t>
      </w:r>
      <w:r w:rsidRPr="009A0DA6">
        <w:rPr>
          <w:rFonts w:ascii="Cambria" w:eastAsia="Calibri" w:hAnsi="Cambria" w:cs="Calibri"/>
          <w:spacing w:val="1"/>
        </w:rPr>
        <w:t>m</w:t>
      </w:r>
      <w:r w:rsidRPr="009A0DA6">
        <w:rPr>
          <w:rFonts w:ascii="Cambria" w:eastAsia="Calibri" w:hAnsi="Cambria" w:cs="Calibri"/>
        </w:rPr>
        <w:t>i</w:t>
      </w:r>
      <w:r w:rsidRPr="009A0DA6">
        <w:rPr>
          <w:rFonts w:ascii="Cambria" w:eastAsia="Calibri" w:hAnsi="Cambria" w:cs="Calibri"/>
          <w:spacing w:val="-1"/>
        </w:rPr>
        <w:t>n</w:t>
      </w:r>
      <w:r w:rsidRPr="009A0DA6">
        <w:rPr>
          <w:rFonts w:ascii="Cambria" w:eastAsia="Calibri" w:hAnsi="Cambria" w:cs="Calibri"/>
          <w:spacing w:val="-3"/>
        </w:rPr>
        <w:t>o</w:t>
      </w:r>
      <w:r w:rsidRPr="009A0DA6">
        <w:rPr>
          <w:rFonts w:ascii="Cambria" w:eastAsia="Calibri" w:hAnsi="Cambria" w:cs="Calibri"/>
          <w:spacing w:val="1"/>
        </w:rPr>
        <w:t>r</w:t>
      </w:r>
      <w:r w:rsidRPr="009A0DA6">
        <w:rPr>
          <w:rFonts w:ascii="Cambria" w:eastAsia="Calibri" w:hAnsi="Cambria" w:cs="Calibri"/>
        </w:rPr>
        <w:t>)</w:t>
      </w:r>
    </w:p>
    <w:p w14:paraId="08F06223" w14:textId="77777777" w:rsidR="00194B18" w:rsidRPr="009A0DA6" w:rsidRDefault="00194B18" w:rsidP="00F55252">
      <w:pPr>
        <w:pStyle w:val="ListParagraph"/>
        <w:numPr>
          <w:ilvl w:val="1"/>
          <w:numId w:val="153"/>
        </w:numPr>
        <w:spacing w:after="120" w:line="240" w:lineRule="auto"/>
        <w:ind w:left="1134" w:right="-20" w:hanging="567"/>
        <w:rPr>
          <w:rFonts w:ascii="Cambria" w:eastAsia="Calibri" w:hAnsi="Cambria" w:cs="Calibri"/>
        </w:rPr>
      </w:pPr>
      <w:r w:rsidRPr="009A0DA6">
        <w:rPr>
          <w:rFonts w:ascii="Cambria" w:eastAsia="Calibri" w:hAnsi="Cambria" w:cs="Calibri"/>
        </w:rPr>
        <w:t>To fa</w:t>
      </w:r>
      <w:r w:rsidRPr="009A0DA6">
        <w:rPr>
          <w:rFonts w:ascii="Cambria" w:eastAsia="Calibri" w:hAnsi="Cambria" w:cs="Calibri"/>
          <w:spacing w:val="-1"/>
        </w:rPr>
        <w:t>i</w:t>
      </w:r>
      <w:r w:rsidRPr="009A0DA6">
        <w:rPr>
          <w:rFonts w:ascii="Cambria" w:eastAsia="Calibri" w:hAnsi="Cambria" w:cs="Calibri"/>
        </w:rPr>
        <w:t>r</w:t>
      </w:r>
      <w:r w:rsidRPr="009A0DA6">
        <w:rPr>
          <w:rFonts w:ascii="Cambria" w:eastAsia="Calibri" w:hAnsi="Cambria" w:cs="Calibri"/>
          <w:spacing w:val="-1"/>
        </w:rPr>
        <w:t xml:space="preserve"> </w:t>
      </w:r>
      <w:r w:rsidRPr="009A0DA6">
        <w:rPr>
          <w:rFonts w:ascii="Cambria" w:eastAsia="Calibri" w:hAnsi="Cambria" w:cs="Calibri"/>
          <w:spacing w:val="1"/>
        </w:rPr>
        <w:t>r</w:t>
      </w:r>
      <w:r w:rsidRPr="009A0DA6">
        <w:rPr>
          <w:rFonts w:ascii="Cambria" w:eastAsia="Calibri" w:hAnsi="Cambria" w:cs="Calibri"/>
        </w:rPr>
        <w:t>ep</w:t>
      </w:r>
      <w:r w:rsidRPr="009A0DA6">
        <w:rPr>
          <w:rFonts w:ascii="Cambria" w:eastAsia="Calibri" w:hAnsi="Cambria" w:cs="Calibri"/>
          <w:spacing w:val="-2"/>
        </w:rPr>
        <w:t>r</w:t>
      </w:r>
      <w:r w:rsidRPr="009A0DA6">
        <w:rPr>
          <w:rFonts w:ascii="Cambria" w:eastAsia="Calibri" w:hAnsi="Cambria" w:cs="Calibri"/>
        </w:rPr>
        <w:t>esent</w:t>
      </w:r>
      <w:r w:rsidRPr="009A0DA6">
        <w:rPr>
          <w:rFonts w:ascii="Cambria" w:eastAsia="Calibri" w:hAnsi="Cambria" w:cs="Calibri"/>
          <w:spacing w:val="-3"/>
        </w:rPr>
        <w:t>a</w:t>
      </w:r>
      <w:r w:rsidRPr="009A0DA6">
        <w:rPr>
          <w:rFonts w:ascii="Cambria" w:eastAsia="Calibri" w:hAnsi="Cambria" w:cs="Calibri"/>
        </w:rPr>
        <w:t>tion</w:t>
      </w:r>
    </w:p>
    <w:p w14:paraId="08F18839" w14:textId="77777777" w:rsidR="00194B18" w:rsidRPr="009A0DA6" w:rsidRDefault="00194B18" w:rsidP="00F55252">
      <w:pPr>
        <w:pStyle w:val="ListParagraph"/>
        <w:numPr>
          <w:ilvl w:val="1"/>
          <w:numId w:val="153"/>
        </w:numPr>
        <w:spacing w:after="120" w:line="240" w:lineRule="auto"/>
        <w:ind w:left="1134" w:right="-20" w:hanging="567"/>
        <w:rPr>
          <w:rFonts w:ascii="Cambria" w:eastAsia="Calibri" w:hAnsi="Cambria" w:cs="Calibri"/>
        </w:rPr>
      </w:pPr>
      <w:r w:rsidRPr="009A0DA6">
        <w:rPr>
          <w:rFonts w:ascii="Cambria" w:eastAsia="Calibri" w:hAnsi="Cambria" w:cs="Calibri"/>
        </w:rPr>
        <w:t>To be p</w:t>
      </w:r>
      <w:r w:rsidRPr="009A0DA6">
        <w:rPr>
          <w:rFonts w:ascii="Cambria" w:eastAsia="Calibri" w:hAnsi="Cambria" w:cs="Calibri"/>
          <w:spacing w:val="-2"/>
        </w:rPr>
        <w:t>r</w:t>
      </w:r>
      <w:r w:rsidRPr="009A0DA6">
        <w:rPr>
          <w:rFonts w:ascii="Cambria" w:eastAsia="Calibri" w:hAnsi="Cambria" w:cs="Calibri"/>
        </w:rPr>
        <w:t>esumed</w:t>
      </w:r>
      <w:r w:rsidRPr="009A0DA6">
        <w:rPr>
          <w:rFonts w:ascii="Cambria" w:eastAsia="Calibri" w:hAnsi="Cambria" w:cs="Calibri"/>
          <w:spacing w:val="-2"/>
        </w:rPr>
        <w:t xml:space="preserve"> </w:t>
      </w:r>
      <w:r w:rsidRPr="009A0DA6">
        <w:rPr>
          <w:rFonts w:ascii="Cambria" w:eastAsia="Calibri" w:hAnsi="Cambria" w:cs="Calibri"/>
        </w:rPr>
        <w:t>in</w:t>
      </w:r>
      <w:r w:rsidRPr="009A0DA6">
        <w:rPr>
          <w:rFonts w:ascii="Cambria" w:eastAsia="Calibri" w:hAnsi="Cambria" w:cs="Calibri"/>
          <w:spacing w:val="-1"/>
        </w:rPr>
        <w:t>n</w:t>
      </w:r>
      <w:r w:rsidRPr="009A0DA6">
        <w:rPr>
          <w:rFonts w:ascii="Cambria" w:eastAsia="Calibri" w:hAnsi="Cambria" w:cs="Calibri"/>
        </w:rPr>
        <w:t>o</w:t>
      </w:r>
      <w:r w:rsidRPr="009A0DA6">
        <w:rPr>
          <w:rFonts w:ascii="Cambria" w:eastAsia="Calibri" w:hAnsi="Cambria" w:cs="Calibri"/>
          <w:spacing w:val="-1"/>
        </w:rPr>
        <w:t>c</w:t>
      </w:r>
      <w:r w:rsidRPr="009A0DA6">
        <w:rPr>
          <w:rFonts w:ascii="Cambria" w:eastAsia="Calibri" w:hAnsi="Cambria" w:cs="Calibri"/>
        </w:rPr>
        <w:t xml:space="preserve">ent </w:t>
      </w:r>
      <w:r w:rsidRPr="009A0DA6">
        <w:rPr>
          <w:rFonts w:ascii="Cambria" w:eastAsia="Calibri" w:hAnsi="Cambria" w:cs="Calibri"/>
          <w:spacing w:val="-3"/>
        </w:rPr>
        <w:t>u</w:t>
      </w:r>
      <w:r w:rsidRPr="009A0DA6">
        <w:rPr>
          <w:rFonts w:ascii="Cambria" w:eastAsia="Calibri" w:hAnsi="Cambria" w:cs="Calibri"/>
          <w:spacing w:val="-1"/>
        </w:rPr>
        <w:t>n</w:t>
      </w:r>
      <w:r w:rsidRPr="009A0DA6">
        <w:rPr>
          <w:rFonts w:ascii="Cambria" w:eastAsia="Calibri" w:hAnsi="Cambria" w:cs="Calibri"/>
        </w:rPr>
        <w:t xml:space="preserve">til proven </w:t>
      </w:r>
      <w:r w:rsidRPr="009A0DA6">
        <w:rPr>
          <w:rFonts w:ascii="Cambria" w:eastAsia="Calibri" w:hAnsi="Cambria" w:cs="Calibri"/>
          <w:spacing w:val="-1"/>
        </w:rPr>
        <w:t>gu</w:t>
      </w:r>
      <w:r w:rsidRPr="009A0DA6">
        <w:rPr>
          <w:rFonts w:ascii="Cambria" w:eastAsia="Calibri" w:hAnsi="Cambria" w:cs="Calibri"/>
        </w:rPr>
        <w:t>ilty</w:t>
      </w:r>
    </w:p>
    <w:p w14:paraId="3503AC54" w14:textId="46DC0074" w:rsidR="00194B18" w:rsidRPr="009A0DA6" w:rsidRDefault="00194B18" w:rsidP="004A186C">
      <w:pPr>
        <w:pStyle w:val="ListParagraph"/>
        <w:numPr>
          <w:ilvl w:val="1"/>
          <w:numId w:val="153"/>
        </w:numPr>
        <w:spacing w:after="0" w:line="240" w:lineRule="auto"/>
        <w:ind w:left="1134" w:right="-23" w:hanging="567"/>
        <w:rPr>
          <w:rFonts w:ascii="Cambria" w:eastAsia="Calibri" w:hAnsi="Cambria" w:cs="Calibri"/>
        </w:rPr>
      </w:pPr>
      <w:r w:rsidRPr="009A0DA6">
        <w:rPr>
          <w:rFonts w:ascii="Cambria" w:eastAsia="Calibri" w:hAnsi="Cambria" w:cs="Calibri"/>
        </w:rPr>
        <w:t>To</w:t>
      </w:r>
      <w:r w:rsidRPr="009A0DA6">
        <w:rPr>
          <w:rFonts w:ascii="Cambria" w:eastAsia="Calibri" w:hAnsi="Cambria" w:cs="Calibri"/>
          <w:spacing w:val="1"/>
        </w:rPr>
        <w:t xml:space="preserve"> </w:t>
      </w:r>
      <w:r w:rsidRPr="009A0DA6">
        <w:rPr>
          <w:rFonts w:ascii="Cambria" w:eastAsia="Calibri" w:hAnsi="Cambria" w:cs="Calibri"/>
          <w:spacing w:val="-1"/>
        </w:rPr>
        <w:t>app</w:t>
      </w:r>
      <w:r w:rsidRPr="009A0DA6">
        <w:rPr>
          <w:rFonts w:ascii="Cambria" w:eastAsia="Calibri" w:hAnsi="Cambria" w:cs="Calibri"/>
        </w:rPr>
        <w:t>eal</w:t>
      </w:r>
      <w:r w:rsidRPr="009A0DA6">
        <w:rPr>
          <w:rFonts w:ascii="Cambria" w:eastAsia="Calibri" w:hAnsi="Cambria" w:cs="Calibri"/>
          <w:spacing w:val="-1"/>
        </w:rPr>
        <w:t xml:space="preserve"> </w:t>
      </w:r>
      <w:r w:rsidRPr="009A0DA6">
        <w:rPr>
          <w:rFonts w:ascii="Cambria" w:eastAsia="Calibri" w:hAnsi="Cambria" w:cs="Calibri"/>
        </w:rPr>
        <w:t>a</w:t>
      </w:r>
      <w:r w:rsidRPr="009A0DA6">
        <w:rPr>
          <w:rFonts w:ascii="Cambria" w:eastAsia="Calibri" w:hAnsi="Cambria" w:cs="Calibri"/>
          <w:spacing w:val="-1"/>
        </w:rPr>
        <w:t>n</w:t>
      </w:r>
      <w:r w:rsidRPr="009A0DA6">
        <w:rPr>
          <w:rFonts w:ascii="Cambria" w:eastAsia="Calibri" w:hAnsi="Cambria" w:cs="Calibri"/>
        </w:rPr>
        <w:t xml:space="preserve">y </w:t>
      </w:r>
      <w:r w:rsidRPr="009A0DA6">
        <w:rPr>
          <w:rFonts w:ascii="Cambria" w:eastAsia="Calibri" w:hAnsi="Cambria" w:cs="Calibri"/>
          <w:spacing w:val="1"/>
        </w:rPr>
        <w:t>r</w:t>
      </w:r>
      <w:r w:rsidRPr="009A0DA6">
        <w:rPr>
          <w:rFonts w:ascii="Cambria" w:eastAsia="Calibri" w:hAnsi="Cambria" w:cs="Calibri"/>
          <w:spacing w:val="-1"/>
        </w:rPr>
        <w:t>u</w:t>
      </w:r>
      <w:r w:rsidRPr="009A0DA6">
        <w:rPr>
          <w:rFonts w:ascii="Cambria" w:eastAsia="Calibri" w:hAnsi="Cambria" w:cs="Calibri"/>
        </w:rPr>
        <w:t>li</w:t>
      </w:r>
      <w:r w:rsidRPr="009A0DA6">
        <w:rPr>
          <w:rFonts w:ascii="Cambria" w:eastAsia="Calibri" w:hAnsi="Cambria" w:cs="Calibri"/>
          <w:spacing w:val="-1"/>
        </w:rPr>
        <w:t>n</w:t>
      </w:r>
      <w:r w:rsidRPr="009A0DA6">
        <w:rPr>
          <w:rFonts w:ascii="Cambria" w:eastAsia="Calibri" w:hAnsi="Cambria" w:cs="Calibri"/>
        </w:rPr>
        <w:t>g</w:t>
      </w:r>
      <w:r w:rsidRPr="009A0DA6">
        <w:rPr>
          <w:rFonts w:ascii="Cambria" w:eastAsia="Calibri" w:hAnsi="Cambria" w:cs="Calibri"/>
          <w:spacing w:val="-1"/>
        </w:rPr>
        <w:t xml:space="preserve"> </w:t>
      </w:r>
      <w:r w:rsidRPr="009A0DA6">
        <w:rPr>
          <w:rFonts w:ascii="Cambria" w:eastAsia="Calibri" w:hAnsi="Cambria" w:cs="Calibri"/>
        </w:rPr>
        <w:t>a</w:t>
      </w:r>
      <w:r w:rsidRPr="009A0DA6">
        <w:rPr>
          <w:rFonts w:ascii="Cambria" w:eastAsia="Calibri" w:hAnsi="Cambria" w:cs="Calibri"/>
          <w:spacing w:val="-1"/>
        </w:rPr>
        <w:t>ga</w:t>
      </w:r>
      <w:r w:rsidRPr="009A0DA6">
        <w:rPr>
          <w:rFonts w:ascii="Cambria" w:eastAsia="Calibri" w:hAnsi="Cambria" w:cs="Calibri"/>
        </w:rPr>
        <w:t>i</w:t>
      </w:r>
      <w:r w:rsidRPr="009A0DA6">
        <w:rPr>
          <w:rFonts w:ascii="Cambria" w:eastAsia="Calibri" w:hAnsi="Cambria" w:cs="Calibri"/>
          <w:spacing w:val="-1"/>
        </w:rPr>
        <w:t>n</w:t>
      </w:r>
      <w:r w:rsidRPr="009A0DA6">
        <w:rPr>
          <w:rFonts w:ascii="Cambria" w:eastAsia="Calibri" w:hAnsi="Cambria" w:cs="Calibri"/>
          <w:spacing w:val="-2"/>
        </w:rPr>
        <w:t>s</w:t>
      </w:r>
      <w:r w:rsidRPr="009A0DA6">
        <w:rPr>
          <w:rFonts w:ascii="Cambria" w:eastAsia="Calibri" w:hAnsi="Cambria" w:cs="Calibri"/>
        </w:rPr>
        <w:t>t</w:t>
      </w:r>
      <w:r w:rsidRPr="009A0DA6">
        <w:rPr>
          <w:rFonts w:ascii="Cambria" w:eastAsia="Calibri" w:hAnsi="Cambria" w:cs="Calibri"/>
          <w:spacing w:val="1"/>
        </w:rPr>
        <w:t xml:space="preserve"> </w:t>
      </w:r>
      <w:r w:rsidRPr="009A0DA6">
        <w:rPr>
          <w:rFonts w:ascii="Cambria" w:eastAsia="Calibri" w:hAnsi="Cambria" w:cs="Calibri"/>
        </w:rPr>
        <w:t>them</w:t>
      </w:r>
      <w:r w:rsidRPr="009A0DA6">
        <w:rPr>
          <w:rFonts w:ascii="Cambria" w:eastAsia="Calibri" w:hAnsi="Cambria" w:cs="Calibri"/>
          <w:spacing w:val="-2"/>
        </w:rPr>
        <w:t xml:space="preserve"> </w:t>
      </w:r>
      <w:r w:rsidRPr="009A0DA6">
        <w:rPr>
          <w:rFonts w:ascii="Cambria" w:eastAsia="Calibri" w:hAnsi="Cambria" w:cs="Calibri"/>
          <w:spacing w:val="1"/>
        </w:rPr>
        <w:t>t</w:t>
      </w:r>
      <w:r w:rsidRPr="009A0DA6">
        <w:rPr>
          <w:rFonts w:ascii="Cambria" w:eastAsia="Calibri" w:hAnsi="Cambria" w:cs="Calibri"/>
        </w:rPr>
        <w:t xml:space="preserve">o </w:t>
      </w:r>
      <w:r w:rsidRPr="009A0DA6">
        <w:rPr>
          <w:rFonts w:ascii="Cambria" w:eastAsia="Calibri" w:hAnsi="Cambria" w:cs="Calibri"/>
          <w:spacing w:val="-1"/>
        </w:rPr>
        <w:t>a</w:t>
      </w:r>
      <w:r w:rsidRPr="009A0DA6">
        <w:rPr>
          <w:rFonts w:ascii="Cambria" w:eastAsia="Calibri" w:hAnsi="Cambria" w:cs="Calibri"/>
        </w:rPr>
        <w:t>n</w:t>
      </w:r>
      <w:r w:rsidRPr="009A0DA6">
        <w:rPr>
          <w:rFonts w:ascii="Cambria" w:eastAsia="Calibri" w:hAnsi="Cambria" w:cs="Calibri"/>
          <w:spacing w:val="-1"/>
        </w:rPr>
        <w:t xml:space="preserve"> </w:t>
      </w:r>
      <w:r w:rsidRPr="009A0DA6">
        <w:rPr>
          <w:rFonts w:ascii="Cambria" w:eastAsia="Calibri" w:hAnsi="Cambria" w:cs="Calibri"/>
        </w:rPr>
        <w:t>in</w:t>
      </w:r>
      <w:r w:rsidRPr="009A0DA6">
        <w:rPr>
          <w:rFonts w:ascii="Cambria" w:eastAsia="Calibri" w:hAnsi="Cambria" w:cs="Calibri"/>
          <w:spacing w:val="-1"/>
        </w:rPr>
        <w:t>d</w:t>
      </w:r>
      <w:r w:rsidRPr="009A0DA6">
        <w:rPr>
          <w:rFonts w:ascii="Cambria" w:eastAsia="Calibri" w:hAnsi="Cambria" w:cs="Calibri"/>
        </w:rPr>
        <w:t>epe</w:t>
      </w:r>
      <w:r w:rsidRPr="009A0DA6">
        <w:rPr>
          <w:rFonts w:ascii="Cambria" w:eastAsia="Calibri" w:hAnsi="Cambria" w:cs="Calibri"/>
          <w:spacing w:val="-1"/>
        </w:rPr>
        <w:t>nd</w:t>
      </w:r>
      <w:r w:rsidRPr="009A0DA6">
        <w:rPr>
          <w:rFonts w:ascii="Cambria" w:eastAsia="Calibri" w:hAnsi="Cambria" w:cs="Calibri"/>
        </w:rPr>
        <w:t>ent</w:t>
      </w:r>
      <w:r w:rsidRPr="009A0DA6">
        <w:rPr>
          <w:rFonts w:ascii="Cambria" w:eastAsia="Calibri" w:hAnsi="Cambria" w:cs="Calibri"/>
          <w:spacing w:val="-2"/>
        </w:rPr>
        <w:t xml:space="preserve"> t</w:t>
      </w:r>
      <w:r w:rsidRPr="009A0DA6">
        <w:rPr>
          <w:rFonts w:ascii="Cambria" w:eastAsia="Calibri" w:hAnsi="Cambria" w:cs="Calibri"/>
          <w:spacing w:val="1"/>
        </w:rPr>
        <w:t>r</w:t>
      </w:r>
      <w:r w:rsidRPr="009A0DA6">
        <w:rPr>
          <w:rFonts w:ascii="Cambria" w:eastAsia="Calibri" w:hAnsi="Cambria" w:cs="Calibri"/>
        </w:rPr>
        <w:t>i</w:t>
      </w:r>
      <w:r w:rsidRPr="009A0DA6">
        <w:rPr>
          <w:rFonts w:ascii="Cambria" w:eastAsia="Calibri" w:hAnsi="Cambria" w:cs="Calibri"/>
          <w:spacing w:val="-1"/>
        </w:rPr>
        <w:t>buna</w:t>
      </w:r>
      <w:r w:rsidRPr="009A0DA6">
        <w:rPr>
          <w:rFonts w:ascii="Cambria" w:eastAsia="Calibri" w:hAnsi="Cambria" w:cs="Calibri"/>
        </w:rPr>
        <w:t>l</w:t>
      </w:r>
      <w:r w:rsidR="00290C36" w:rsidRPr="009A0DA6">
        <w:rPr>
          <w:rFonts w:ascii="Cambria" w:eastAsia="Calibri" w:hAnsi="Cambria" w:cs="Calibri"/>
        </w:rPr>
        <w:t>.</w:t>
      </w:r>
    </w:p>
    <w:p w14:paraId="68F6E024" w14:textId="35F8B1FF" w:rsidR="00194B18" w:rsidRDefault="00194B18" w:rsidP="004A186C">
      <w:pPr>
        <w:spacing w:after="0" w:line="240" w:lineRule="auto"/>
        <w:ind w:left="567" w:right="-23"/>
        <w:rPr>
          <w:rFonts w:ascii="Cambria" w:eastAsia="Calibri" w:hAnsi="Cambria" w:cs="Calibri"/>
        </w:rPr>
      </w:pPr>
      <w:r w:rsidRPr="009A0DA6">
        <w:rPr>
          <w:rFonts w:ascii="Cambria" w:eastAsia="Calibri" w:hAnsi="Cambria" w:cs="Calibri"/>
        </w:rPr>
        <w:t>This is</w:t>
      </w:r>
      <w:r w:rsidRPr="009A0DA6">
        <w:rPr>
          <w:rFonts w:ascii="Cambria" w:eastAsia="Calibri" w:hAnsi="Cambria" w:cs="Calibri"/>
          <w:spacing w:val="1"/>
        </w:rPr>
        <w:t xml:space="preserve"> </w:t>
      </w:r>
      <w:r w:rsidRPr="009A0DA6">
        <w:rPr>
          <w:rFonts w:ascii="Cambria" w:eastAsia="Calibri" w:hAnsi="Cambria" w:cs="Calibri"/>
        </w:rPr>
        <w:t>of</w:t>
      </w:r>
      <w:r w:rsidRPr="009A0DA6">
        <w:rPr>
          <w:rFonts w:ascii="Cambria" w:eastAsia="Calibri" w:hAnsi="Cambria" w:cs="Calibri"/>
          <w:spacing w:val="-3"/>
        </w:rPr>
        <w:t xml:space="preserve"> </w:t>
      </w:r>
      <w:r w:rsidRPr="009A0DA6">
        <w:rPr>
          <w:rFonts w:ascii="Cambria" w:eastAsia="Calibri" w:hAnsi="Cambria" w:cs="Calibri"/>
        </w:rPr>
        <w:t>co</w:t>
      </w:r>
      <w:r w:rsidRPr="009A0DA6">
        <w:rPr>
          <w:rFonts w:ascii="Cambria" w:eastAsia="Calibri" w:hAnsi="Cambria" w:cs="Calibri"/>
          <w:spacing w:val="-1"/>
        </w:rPr>
        <w:t>n</w:t>
      </w:r>
      <w:r w:rsidRPr="009A0DA6">
        <w:rPr>
          <w:rFonts w:ascii="Cambria" w:eastAsia="Calibri" w:hAnsi="Cambria" w:cs="Calibri"/>
        </w:rPr>
        <w:t xml:space="preserve">cern </w:t>
      </w:r>
      <w:r w:rsidRPr="009A0DA6">
        <w:rPr>
          <w:rFonts w:ascii="Cambria" w:eastAsia="Calibri" w:hAnsi="Cambria" w:cs="Calibri"/>
          <w:spacing w:val="1"/>
        </w:rPr>
        <w:t>s</w:t>
      </w:r>
      <w:r w:rsidRPr="009A0DA6">
        <w:rPr>
          <w:rFonts w:ascii="Cambria" w:eastAsia="Calibri" w:hAnsi="Cambria" w:cs="Calibri"/>
        </w:rPr>
        <w:t>i</w:t>
      </w:r>
      <w:r w:rsidRPr="009A0DA6">
        <w:rPr>
          <w:rFonts w:ascii="Cambria" w:eastAsia="Calibri" w:hAnsi="Cambria" w:cs="Calibri"/>
          <w:spacing w:val="-1"/>
        </w:rPr>
        <w:t>n</w:t>
      </w:r>
      <w:r w:rsidRPr="009A0DA6">
        <w:rPr>
          <w:rFonts w:ascii="Cambria" w:eastAsia="Calibri" w:hAnsi="Cambria" w:cs="Calibri"/>
        </w:rPr>
        <w:t>ce,</w:t>
      </w:r>
      <w:r w:rsidRPr="009A0DA6">
        <w:rPr>
          <w:rFonts w:ascii="Cambria" w:eastAsia="Calibri" w:hAnsi="Cambria" w:cs="Calibri"/>
          <w:spacing w:val="-3"/>
        </w:rPr>
        <w:t xml:space="preserve"> </w:t>
      </w:r>
      <w:r w:rsidRPr="009A0DA6">
        <w:rPr>
          <w:rFonts w:ascii="Cambria" w:eastAsia="Calibri" w:hAnsi="Cambria" w:cs="Calibri"/>
        </w:rPr>
        <w:t>as</w:t>
      </w:r>
      <w:r w:rsidRPr="009A0DA6">
        <w:rPr>
          <w:rFonts w:ascii="Cambria" w:eastAsia="Calibri" w:hAnsi="Cambria" w:cs="Calibri"/>
          <w:spacing w:val="1"/>
        </w:rPr>
        <w:t xml:space="preserve"> </w:t>
      </w:r>
      <w:r w:rsidRPr="009A0DA6">
        <w:rPr>
          <w:rFonts w:ascii="Cambria" w:eastAsia="Calibri" w:hAnsi="Cambria" w:cs="Calibri"/>
          <w:spacing w:val="-2"/>
        </w:rPr>
        <w:t>t</w:t>
      </w:r>
      <w:r w:rsidRPr="009A0DA6">
        <w:rPr>
          <w:rFonts w:ascii="Cambria" w:eastAsia="Calibri" w:hAnsi="Cambria" w:cs="Calibri"/>
          <w:spacing w:val="-1"/>
        </w:rPr>
        <w:t>h</w:t>
      </w:r>
      <w:r w:rsidRPr="009A0DA6">
        <w:rPr>
          <w:rFonts w:ascii="Cambria" w:eastAsia="Calibri" w:hAnsi="Cambria" w:cs="Calibri"/>
        </w:rPr>
        <w:t>e Bib</w:t>
      </w:r>
      <w:r w:rsidRPr="009A0DA6">
        <w:rPr>
          <w:rFonts w:ascii="Cambria" w:eastAsia="Calibri" w:hAnsi="Cambria" w:cs="Calibri"/>
          <w:spacing w:val="-1"/>
        </w:rPr>
        <w:t>l</w:t>
      </w:r>
      <w:r w:rsidRPr="009A0DA6">
        <w:rPr>
          <w:rFonts w:ascii="Cambria" w:eastAsia="Calibri" w:hAnsi="Cambria" w:cs="Calibri"/>
        </w:rPr>
        <w:t xml:space="preserve">e </w:t>
      </w:r>
      <w:r w:rsidRPr="009A0DA6">
        <w:rPr>
          <w:rFonts w:ascii="Cambria" w:eastAsia="Calibri" w:hAnsi="Cambria" w:cs="Calibri"/>
          <w:spacing w:val="1"/>
        </w:rPr>
        <w:t>t</w:t>
      </w:r>
      <w:r w:rsidRPr="009A0DA6">
        <w:rPr>
          <w:rFonts w:ascii="Cambria" w:eastAsia="Calibri" w:hAnsi="Cambria" w:cs="Calibri"/>
        </w:rPr>
        <w:t>ea</w:t>
      </w:r>
      <w:r w:rsidRPr="009A0DA6">
        <w:rPr>
          <w:rFonts w:ascii="Cambria" w:eastAsia="Calibri" w:hAnsi="Cambria" w:cs="Calibri"/>
          <w:spacing w:val="-1"/>
        </w:rPr>
        <w:t>ch</w:t>
      </w:r>
      <w:r w:rsidRPr="009A0DA6">
        <w:rPr>
          <w:rFonts w:ascii="Cambria" w:eastAsia="Calibri" w:hAnsi="Cambria" w:cs="Calibri"/>
        </w:rPr>
        <w:t>es</w:t>
      </w:r>
      <w:r w:rsidRPr="009A0DA6">
        <w:rPr>
          <w:rFonts w:ascii="Cambria" w:eastAsia="Calibri" w:hAnsi="Cambria" w:cs="Calibri"/>
          <w:spacing w:val="-2"/>
        </w:rPr>
        <w:t xml:space="preserve"> </w:t>
      </w:r>
      <w:r w:rsidRPr="009A0DA6">
        <w:rPr>
          <w:rFonts w:ascii="Cambria" w:eastAsia="Calibri" w:hAnsi="Cambria" w:cs="Calibri"/>
        </w:rPr>
        <w:t>us,</w:t>
      </w:r>
      <w:r w:rsidRPr="009A0DA6">
        <w:rPr>
          <w:rFonts w:ascii="Cambria" w:eastAsia="Calibri" w:hAnsi="Cambria" w:cs="Calibri"/>
          <w:spacing w:val="1"/>
        </w:rPr>
        <w:t xml:space="preserve"> </w:t>
      </w:r>
      <w:r w:rsidRPr="009A0DA6">
        <w:rPr>
          <w:rFonts w:ascii="Cambria" w:eastAsia="Calibri" w:hAnsi="Cambria" w:cs="Calibri"/>
        </w:rPr>
        <w:t>f</w:t>
      </w:r>
      <w:r w:rsidRPr="009A0DA6">
        <w:rPr>
          <w:rFonts w:ascii="Cambria" w:eastAsia="Calibri" w:hAnsi="Cambria" w:cs="Calibri"/>
          <w:spacing w:val="-1"/>
        </w:rPr>
        <w:t>a</w:t>
      </w:r>
      <w:r w:rsidRPr="009A0DA6">
        <w:rPr>
          <w:rFonts w:ascii="Cambria" w:eastAsia="Calibri" w:hAnsi="Cambria" w:cs="Calibri"/>
        </w:rPr>
        <w:t>l</w:t>
      </w:r>
      <w:r w:rsidRPr="009A0DA6">
        <w:rPr>
          <w:rFonts w:ascii="Cambria" w:eastAsia="Calibri" w:hAnsi="Cambria" w:cs="Calibri"/>
          <w:spacing w:val="-2"/>
        </w:rPr>
        <w:t>s</w:t>
      </w:r>
      <w:r w:rsidRPr="009A0DA6">
        <w:rPr>
          <w:rFonts w:ascii="Cambria" w:eastAsia="Calibri" w:hAnsi="Cambria" w:cs="Calibri"/>
        </w:rPr>
        <w:t xml:space="preserve">e </w:t>
      </w:r>
      <w:r w:rsidRPr="009A0DA6">
        <w:rPr>
          <w:rFonts w:ascii="Cambria" w:eastAsia="Calibri" w:hAnsi="Cambria" w:cs="Calibri"/>
          <w:spacing w:val="-2"/>
        </w:rPr>
        <w:t>a</w:t>
      </w:r>
      <w:r w:rsidRPr="009A0DA6">
        <w:rPr>
          <w:rFonts w:ascii="Cambria" w:eastAsia="Calibri" w:hAnsi="Cambria" w:cs="Calibri"/>
        </w:rPr>
        <w:t>c</w:t>
      </w:r>
      <w:r w:rsidRPr="009A0DA6">
        <w:rPr>
          <w:rFonts w:ascii="Cambria" w:eastAsia="Calibri" w:hAnsi="Cambria" w:cs="Calibri"/>
          <w:spacing w:val="-1"/>
        </w:rPr>
        <w:t>cu</w:t>
      </w:r>
      <w:r w:rsidRPr="009A0DA6">
        <w:rPr>
          <w:rFonts w:ascii="Cambria" w:eastAsia="Calibri" w:hAnsi="Cambria" w:cs="Calibri"/>
        </w:rPr>
        <w:t>satio</w:t>
      </w:r>
      <w:r w:rsidRPr="009A0DA6">
        <w:rPr>
          <w:rFonts w:ascii="Cambria" w:eastAsia="Calibri" w:hAnsi="Cambria" w:cs="Calibri"/>
          <w:spacing w:val="-1"/>
        </w:rPr>
        <w:t>n</w:t>
      </w:r>
      <w:r w:rsidRPr="009A0DA6">
        <w:rPr>
          <w:rFonts w:ascii="Cambria" w:eastAsia="Calibri" w:hAnsi="Cambria" w:cs="Calibri"/>
        </w:rPr>
        <w:t>s</w:t>
      </w:r>
      <w:r w:rsidRPr="009A0DA6">
        <w:rPr>
          <w:rFonts w:ascii="Cambria" w:eastAsia="Calibri" w:hAnsi="Cambria" w:cs="Calibri"/>
          <w:spacing w:val="1"/>
        </w:rPr>
        <w:t xml:space="preserve"> </w:t>
      </w:r>
      <w:r w:rsidRPr="009A0DA6">
        <w:rPr>
          <w:rFonts w:ascii="Cambria" w:eastAsia="Calibri" w:hAnsi="Cambria" w:cs="Calibri"/>
          <w:spacing w:val="-1"/>
        </w:rPr>
        <w:t>d</w:t>
      </w:r>
      <w:r w:rsidRPr="009A0DA6">
        <w:rPr>
          <w:rFonts w:ascii="Cambria" w:eastAsia="Calibri" w:hAnsi="Cambria" w:cs="Calibri"/>
        </w:rPr>
        <w:t>o o</w:t>
      </w:r>
      <w:r w:rsidRPr="009A0DA6">
        <w:rPr>
          <w:rFonts w:ascii="Cambria" w:eastAsia="Calibri" w:hAnsi="Cambria" w:cs="Calibri"/>
          <w:spacing w:val="-1"/>
        </w:rPr>
        <w:t>c</w:t>
      </w:r>
      <w:r w:rsidRPr="009A0DA6">
        <w:rPr>
          <w:rFonts w:ascii="Cambria" w:eastAsia="Calibri" w:hAnsi="Cambria" w:cs="Calibri"/>
        </w:rPr>
        <w:t>c</w:t>
      </w:r>
      <w:r w:rsidRPr="009A0DA6">
        <w:rPr>
          <w:rFonts w:ascii="Cambria" w:eastAsia="Calibri" w:hAnsi="Cambria" w:cs="Calibri"/>
          <w:spacing w:val="-1"/>
        </w:rPr>
        <w:t>u</w:t>
      </w:r>
      <w:r w:rsidRPr="009A0DA6">
        <w:rPr>
          <w:rFonts w:ascii="Cambria" w:eastAsia="Calibri" w:hAnsi="Cambria" w:cs="Calibri"/>
        </w:rPr>
        <w:t>r</w:t>
      </w:r>
      <w:r w:rsidRPr="009A0DA6">
        <w:rPr>
          <w:rFonts w:ascii="Cambria" w:eastAsia="Calibri" w:hAnsi="Cambria" w:cs="Calibri"/>
          <w:spacing w:val="1"/>
        </w:rPr>
        <w:t xml:space="preserve"> (</w:t>
      </w:r>
      <w:r w:rsidRPr="009A0DA6">
        <w:rPr>
          <w:rFonts w:ascii="Cambria" w:eastAsia="Calibri" w:hAnsi="Cambria" w:cs="Calibri"/>
          <w:spacing w:val="-2"/>
        </w:rPr>
        <w:t>G</w:t>
      </w:r>
      <w:r w:rsidRPr="009A0DA6">
        <w:rPr>
          <w:rFonts w:ascii="Cambria" w:eastAsia="Calibri" w:hAnsi="Cambria" w:cs="Calibri"/>
        </w:rPr>
        <w:t>enes</w:t>
      </w:r>
      <w:r w:rsidRPr="009A0DA6">
        <w:rPr>
          <w:rFonts w:ascii="Cambria" w:eastAsia="Calibri" w:hAnsi="Cambria" w:cs="Calibri"/>
          <w:spacing w:val="-3"/>
        </w:rPr>
        <w:t>i</w:t>
      </w:r>
      <w:r w:rsidRPr="009A0DA6">
        <w:rPr>
          <w:rFonts w:ascii="Cambria" w:eastAsia="Calibri" w:hAnsi="Cambria" w:cs="Calibri"/>
        </w:rPr>
        <w:t>s</w:t>
      </w:r>
      <w:r w:rsidRPr="009A0DA6">
        <w:rPr>
          <w:rFonts w:ascii="Cambria" w:eastAsia="Calibri" w:hAnsi="Cambria" w:cs="Calibri"/>
          <w:spacing w:val="1"/>
        </w:rPr>
        <w:t xml:space="preserve"> </w:t>
      </w:r>
      <w:r w:rsidRPr="009A0DA6">
        <w:rPr>
          <w:rFonts w:ascii="Cambria" w:eastAsia="Calibri" w:hAnsi="Cambria" w:cs="Calibri"/>
          <w:spacing w:val="-2"/>
        </w:rPr>
        <w:t>3</w:t>
      </w:r>
      <w:r w:rsidRPr="009A0DA6">
        <w:rPr>
          <w:rFonts w:ascii="Cambria" w:eastAsia="Calibri" w:hAnsi="Cambria" w:cs="Calibri"/>
          <w:spacing w:val="1"/>
        </w:rPr>
        <w:t>5</w:t>
      </w:r>
      <w:r w:rsidRPr="009A0DA6">
        <w:rPr>
          <w:rFonts w:ascii="Cambria" w:eastAsia="Calibri" w:hAnsi="Cambria" w:cs="Calibri"/>
        </w:rPr>
        <w:t>;</w:t>
      </w:r>
      <w:r w:rsidRPr="009A0DA6">
        <w:rPr>
          <w:rFonts w:ascii="Cambria" w:eastAsia="Calibri" w:hAnsi="Cambria" w:cs="Calibri"/>
          <w:spacing w:val="-1"/>
        </w:rPr>
        <w:t xml:space="preserve"> </w:t>
      </w:r>
      <w:r w:rsidR="00290C36" w:rsidRPr="009A0DA6">
        <w:rPr>
          <w:rFonts w:ascii="Cambria" w:eastAsia="Calibri" w:hAnsi="Cambria" w:cs="Calibri"/>
          <w:spacing w:val="-1"/>
        </w:rPr>
        <w:br/>
      </w:r>
      <w:r w:rsidRPr="009A0DA6">
        <w:rPr>
          <w:rFonts w:ascii="Cambria" w:eastAsia="Calibri" w:hAnsi="Cambria" w:cs="Calibri"/>
        </w:rPr>
        <w:t>1</w:t>
      </w:r>
      <w:r w:rsidRPr="009A0DA6">
        <w:rPr>
          <w:rFonts w:ascii="Cambria" w:eastAsia="Calibri" w:hAnsi="Cambria" w:cs="Calibri"/>
          <w:spacing w:val="-1"/>
        </w:rPr>
        <w:t xml:space="preserve"> </w:t>
      </w:r>
      <w:r w:rsidRPr="009A0DA6">
        <w:rPr>
          <w:rFonts w:ascii="Cambria" w:eastAsia="Calibri" w:hAnsi="Cambria" w:cs="Calibri"/>
        </w:rPr>
        <w:t>Kin</w:t>
      </w:r>
      <w:r w:rsidRPr="009A0DA6">
        <w:rPr>
          <w:rFonts w:ascii="Cambria" w:eastAsia="Calibri" w:hAnsi="Cambria" w:cs="Calibri"/>
          <w:spacing w:val="-1"/>
        </w:rPr>
        <w:t>g</w:t>
      </w:r>
      <w:r w:rsidRPr="009A0DA6">
        <w:rPr>
          <w:rFonts w:ascii="Cambria" w:eastAsia="Calibri" w:hAnsi="Cambria" w:cs="Calibri"/>
        </w:rPr>
        <w:t>s</w:t>
      </w:r>
      <w:r w:rsidRPr="009A0DA6">
        <w:rPr>
          <w:rFonts w:ascii="Cambria" w:eastAsia="Calibri" w:hAnsi="Cambria" w:cs="Calibri"/>
          <w:spacing w:val="1"/>
        </w:rPr>
        <w:t xml:space="preserve"> </w:t>
      </w:r>
      <w:r w:rsidRPr="009A0DA6">
        <w:rPr>
          <w:rFonts w:ascii="Cambria" w:eastAsia="Calibri" w:hAnsi="Cambria" w:cs="Calibri"/>
          <w:spacing w:val="-2"/>
        </w:rPr>
        <w:t>2</w:t>
      </w:r>
      <w:r w:rsidRPr="009A0DA6">
        <w:rPr>
          <w:rFonts w:ascii="Cambria" w:eastAsia="Calibri" w:hAnsi="Cambria" w:cs="Calibri"/>
          <w:spacing w:val="1"/>
        </w:rPr>
        <w:t>1</w:t>
      </w:r>
      <w:r w:rsidRPr="009A0DA6">
        <w:rPr>
          <w:rFonts w:ascii="Cambria" w:eastAsia="Calibri" w:hAnsi="Cambria" w:cs="Calibri"/>
        </w:rPr>
        <w:t>;</w:t>
      </w:r>
      <w:r w:rsidRPr="009A0DA6">
        <w:rPr>
          <w:rFonts w:ascii="Cambria" w:eastAsia="Calibri" w:hAnsi="Cambria" w:cs="Calibri"/>
          <w:spacing w:val="-1"/>
        </w:rPr>
        <w:t xml:space="preserve"> </w:t>
      </w:r>
      <w:r w:rsidRPr="009A0DA6">
        <w:rPr>
          <w:rFonts w:ascii="Cambria" w:eastAsia="Calibri" w:hAnsi="Cambria" w:cs="Calibri"/>
        </w:rPr>
        <w:t>Exo</w:t>
      </w:r>
      <w:r w:rsidRPr="009A0DA6">
        <w:rPr>
          <w:rFonts w:ascii="Cambria" w:eastAsia="Calibri" w:hAnsi="Cambria" w:cs="Calibri"/>
          <w:spacing w:val="-1"/>
        </w:rPr>
        <w:t>du</w:t>
      </w:r>
      <w:r w:rsidRPr="009A0DA6">
        <w:rPr>
          <w:rFonts w:ascii="Cambria" w:eastAsia="Calibri" w:hAnsi="Cambria" w:cs="Calibri"/>
        </w:rPr>
        <w:t>s</w:t>
      </w:r>
      <w:r w:rsidRPr="009A0DA6">
        <w:rPr>
          <w:rFonts w:ascii="Cambria" w:eastAsia="Calibri" w:hAnsi="Cambria" w:cs="Calibri"/>
          <w:spacing w:val="-2"/>
        </w:rPr>
        <w:t xml:space="preserve"> </w:t>
      </w:r>
      <w:r w:rsidRPr="009A0DA6">
        <w:rPr>
          <w:rFonts w:ascii="Cambria" w:eastAsia="Calibri" w:hAnsi="Cambria" w:cs="Calibri"/>
          <w:spacing w:val="-1"/>
        </w:rPr>
        <w:t>2</w:t>
      </w:r>
      <w:r w:rsidRPr="009A0DA6">
        <w:rPr>
          <w:rFonts w:ascii="Cambria" w:eastAsia="Calibri" w:hAnsi="Cambria" w:cs="Calibri"/>
          <w:spacing w:val="1"/>
        </w:rPr>
        <w:t>0</w:t>
      </w:r>
      <w:r w:rsidRPr="009A0DA6">
        <w:rPr>
          <w:rFonts w:ascii="Cambria" w:eastAsia="Calibri" w:hAnsi="Cambria" w:cs="Calibri"/>
          <w:spacing w:val="-1"/>
        </w:rPr>
        <w:t>:</w:t>
      </w:r>
      <w:r w:rsidRPr="009A0DA6">
        <w:rPr>
          <w:rFonts w:ascii="Cambria" w:eastAsia="Calibri" w:hAnsi="Cambria" w:cs="Calibri"/>
          <w:spacing w:val="1"/>
        </w:rPr>
        <w:t>1</w:t>
      </w:r>
      <w:r w:rsidRPr="009A0DA6">
        <w:rPr>
          <w:rFonts w:ascii="Cambria" w:eastAsia="Calibri" w:hAnsi="Cambria" w:cs="Calibri"/>
          <w:spacing w:val="-2"/>
        </w:rPr>
        <w:t>6</w:t>
      </w:r>
      <w:r w:rsidRPr="009A0DA6">
        <w:rPr>
          <w:rFonts w:ascii="Cambria" w:eastAsia="Calibri" w:hAnsi="Cambria" w:cs="Calibri"/>
        </w:rPr>
        <w:t xml:space="preserve">; </w:t>
      </w:r>
      <w:r w:rsidRPr="009A0DA6">
        <w:rPr>
          <w:rFonts w:ascii="Cambria" w:eastAsia="Calibri" w:hAnsi="Cambria" w:cs="Calibri"/>
          <w:spacing w:val="1"/>
        </w:rPr>
        <w:t>2</w:t>
      </w:r>
      <w:r w:rsidRPr="009A0DA6">
        <w:rPr>
          <w:rFonts w:ascii="Cambria" w:eastAsia="Calibri" w:hAnsi="Cambria" w:cs="Calibri"/>
          <w:spacing w:val="-2"/>
        </w:rPr>
        <w:t>3</w:t>
      </w:r>
      <w:r w:rsidRPr="009A0DA6">
        <w:rPr>
          <w:rFonts w:ascii="Cambria" w:eastAsia="Calibri" w:hAnsi="Cambria" w:cs="Calibri"/>
          <w:spacing w:val="1"/>
        </w:rPr>
        <w:t>:1</w:t>
      </w:r>
      <w:r w:rsidRPr="009A0DA6">
        <w:rPr>
          <w:rFonts w:ascii="Cambria" w:eastAsia="Calibri" w:hAnsi="Cambria" w:cs="Calibri"/>
        </w:rPr>
        <w:t>,</w:t>
      </w:r>
      <w:r w:rsidRPr="009A0DA6">
        <w:rPr>
          <w:rFonts w:ascii="Cambria" w:eastAsia="Calibri" w:hAnsi="Cambria" w:cs="Calibri"/>
          <w:spacing w:val="-2"/>
        </w:rPr>
        <w:t xml:space="preserve"> </w:t>
      </w:r>
      <w:r w:rsidRPr="009A0DA6">
        <w:rPr>
          <w:rFonts w:ascii="Cambria" w:eastAsia="Calibri" w:hAnsi="Cambria" w:cs="Calibri"/>
          <w:spacing w:val="1"/>
        </w:rPr>
        <w:t>7</w:t>
      </w:r>
      <w:r w:rsidRPr="009A0DA6">
        <w:rPr>
          <w:rFonts w:ascii="Cambria" w:eastAsia="Calibri" w:hAnsi="Cambria" w:cs="Calibri"/>
        </w:rPr>
        <w:t>;</w:t>
      </w:r>
      <w:r w:rsidRPr="009A0DA6">
        <w:rPr>
          <w:rFonts w:ascii="Cambria" w:eastAsia="Calibri" w:hAnsi="Cambria" w:cs="Calibri"/>
          <w:spacing w:val="-1"/>
        </w:rPr>
        <w:t xml:space="preserve"> D</w:t>
      </w:r>
      <w:r w:rsidRPr="009A0DA6">
        <w:rPr>
          <w:rFonts w:ascii="Cambria" w:eastAsia="Calibri" w:hAnsi="Cambria" w:cs="Calibri"/>
        </w:rPr>
        <w:t>eut</w:t>
      </w:r>
      <w:r w:rsidRPr="009A0DA6">
        <w:rPr>
          <w:rFonts w:ascii="Cambria" w:eastAsia="Calibri" w:hAnsi="Cambria" w:cs="Calibri"/>
          <w:spacing w:val="-2"/>
        </w:rPr>
        <w:t>e</w:t>
      </w:r>
      <w:r w:rsidRPr="009A0DA6">
        <w:rPr>
          <w:rFonts w:ascii="Cambria" w:eastAsia="Calibri" w:hAnsi="Cambria" w:cs="Calibri"/>
          <w:spacing w:val="1"/>
        </w:rPr>
        <w:t>r</w:t>
      </w:r>
      <w:r w:rsidRPr="009A0DA6">
        <w:rPr>
          <w:rFonts w:ascii="Cambria" w:eastAsia="Calibri" w:hAnsi="Cambria" w:cs="Calibri"/>
        </w:rPr>
        <w:t>o</w:t>
      </w:r>
      <w:r w:rsidRPr="009A0DA6">
        <w:rPr>
          <w:rFonts w:ascii="Cambria" w:eastAsia="Calibri" w:hAnsi="Cambria" w:cs="Calibri"/>
          <w:spacing w:val="-1"/>
        </w:rPr>
        <w:t>n</w:t>
      </w:r>
      <w:r w:rsidRPr="009A0DA6">
        <w:rPr>
          <w:rFonts w:ascii="Cambria" w:eastAsia="Calibri" w:hAnsi="Cambria" w:cs="Calibri"/>
        </w:rPr>
        <w:t>omy</w:t>
      </w:r>
      <w:r w:rsidRPr="009A0DA6">
        <w:rPr>
          <w:rFonts w:ascii="Cambria" w:eastAsia="Calibri" w:hAnsi="Cambria" w:cs="Calibri"/>
          <w:spacing w:val="-2"/>
        </w:rPr>
        <w:t xml:space="preserve"> </w:t>
      </w:r>
      <w:r w:rsidRPr="009A0DA6">
        <w:rPr>
          <w:rFonts w:ascii="Cambria" w:eastAsia="Calibri" w:hAnsi="Cambria" w:cs="Calibri"/>
          <w:spacing w:val="1"/>
        </w:rPr>
        <w:t>1</w:t>
      </w:r>
      <w:r w:rsidRPr="009A0DA6">
        <w:rPr>
          <w:rFonts w:ascii="Cambria" w:eastAsia="Calibri" w:hAnsi="Cambria" w:cs="Calibri"/>
          <w:spacing w:val="-2"/>
        </w:rPr>
        <w:t>9</w:t>
      </w:r>
      <w:r w:rsidRPr="009A0DA6">
        <w:rPr>
          <w:rFonts w:ascii="Cambria" w:eastAsia="Calibri" w:hAnsi="Cambria" w:cs="Calibri"/>
          <w:spacing w:val="1"/>
        </w:rPr>
        <w:t>:</w:t>
      </w:r>
      <w:r w:rsidRPr="009A0DA6">
        <w:rPr>
          <w:rFonts w:ascii="Cambria" w:eastAsia="Calibri" w:hAnsi="Cambria" w:cs="Calibri"/>
          <w:spacing w:val="-2"/>
        </w:rPr>
        <w:t>1</w:t>
      </w:r>
      <w:r w:rsidRPr="009A0DA6">
        <w:rPr>
          <w:rFonts w:ascii="Cambria" w:eastAsia="Calibri" w:hAnsi="Cambria" w:cs="Calibri"/>
          <w:spacing w:val="3"/>
        </w:rPr>
        <w:t>5</w:t>
      </w:r>
      <w:r w:rsidRPr="009A0DA6">
        <w:rPr>
          <w:rFonts w:ascii="Cambria" w:eastAsia="Calibri" w:hAnsi="Cambria" w:cs="Calibri"/>
        </w:rPr>
        <w:sym w:font="Symbol" w:char="F02D"/>
      </w:r>
      <w:r w:rsidRPr="009A0DA6">
        <w:rPr>
          <w:rFonts w:ascii="Cambria" w:eastAsia="Calibri" w:hAnsi="Cambria" w:cs="Calibri"/>
          <w:spacing w:val="-2"/>
        </w:rPr>
        <w:t>2</w:t>
      </w:r>
      <w:r w:rsidRPr="009A0DA6">
        <w:rPr>
          <w:rFonts w:ascii="Cambria" w:eastAsia="Calibri" w:hAnsi="Cambria" w:cs="Calibri"/>
          <w:spacing w:val="1"/>
        </w:rPr>
        <w:t>1</w:t>
      </w:r>
      <w:r w:rsidRPr="009A0DA6">
        <w:rPr>
          <w:rFonts w:ascii="Cambria" w:eastAsia="Calibri" w:hAnsi="Cambria" w:cs="Calibri"/>
        </w:rPr>
        <w:t>;</w:t>
      </w:r>
      <w:r w:rsidRPr="009A0DA6">
        <w:rPr>
          <w:rFonts w:ascii="Cambria" w:eastAsia="Calibri" w:hAnsi="Cambria" w:cs="Calibri"/>
          <w:spacing w:val="-1"/>
        </w:rPr>
        <w:t xml:space="preserve"> </w:t>
      </w:r>
      <w:r w:rsidRPr="009A0DA6">
        <w:rPr>
          <w:rFonts w:ascii="Cambria" w:eastAsia="Calibri" w:hAnsi="Cambria" w:cs="Calibri"/>
        </w:rPr>
        <w:t>1</w:t>
      </w:r>
      <w:r w:rsidRPr="009A0DA6">
        <w:rPr>
          <w:rFonts w:ascii="Cambria" w:eastAsia="Calibri" w:hAnsi="Cambria" w:cs="Calibri"/>
          <w:spacing w:val="1"/>
        </w:rPr>
        <w:t xml:space="preserve"> T</w:t>
      </w:r>
      <w:r w:rsidRPr="009A0DA6">
        <w:rPr>
          <w:rFonts w:ascii="Cambria" w:eastAsia="Calibri" w:hAnsi="Cambria" w:cs="Calibri"/>
          <w:spacing w:val="-3"/>
        </w:rPr>
        <w:t>i</w:t>
      </w:r>
      <w:r w:rsidRPr="009A0DA6">
        <w:rPr>
          <w:rFonts w:ascii="Cambria" w:eastAsia="Calibri" w:hAnsi="Cambria" w:cs="Calibri"/>
        </w:rPr>
        <w:t>m</w:t>
      </w:r>
      <w:r w:rsidRPr="009A0DA6">
        <w:rPr>
          <w:rFonts w:ascii="Cambria" w:eastAsia="Calibri" w:hAnsi="Cambria" w:cs="Calibri"/>
          <w:spacing w:val="2"/>
        </w:rPr>
        <w:t>o</w:t>
      </w:r>
      <w:r w:rsidRPr="009A0DA6">
        <w:rPr>
          <w:rFonts w:ascii="Cambria" w:eastAsia="Calibri" w:hAnsi="Cambria" w:cs="Calibri"/>
        </w:rPr>
        <w:t>thy</w:t>
      </w:r>
      <w:r w:rsidRPr="009A0DA6">
        <w:rPr>
          <w:rFonts w:ascii="Cambria" w:eastAsia="Calibri" w:hAnsi="Cambria" w:cs="Calibri"/>
          <w:spacing w:val="-2"/>
        </w:rPr>
        <w:t xml:space="preserve"> </w:t>
      </w:r>
      <w:r w:rsidRPr="009A0DA6">
        <w:rPr>
          <w:rFonts w:ascii="Cambria" w:eastAsia="Calibri" w:hAnsi="Cambria" w:cs="Calibri"/>
          <w:spacing w:val="1"/>
        </w:rPr>
        <w:t>5</w:t>
      </w:r>
      <w:r w:rsidRPr="009A0DA6">
        <w:rPr>
          <w:rFonts w:ascii="Cambria" w:eastAsia="Calibri" w:hAnsi="Cambria" w:cs="Calibri"/>
          <w:spacing w:val="-1"/>
        </w:rPr>
        <w:t>:</w:t>
      </w:r>
      <w:r w:rsidRPr="009A0DA6">
        <w:rPr>
          <w:rFonts w:ascii="Cambria" w:eastAsia="Calibri" w:hAnsi="Cambria" w:cs="Calibri"/>
          <w:spacing w:val="1"/>
        </w:rPr>
        <w:t>1</w:t>
      </w:r>
      <w:r w:rsidRPr="009A0DA6">
        <w:rPr>
          <w:rFonts w:ascii="Cambria" w:eastAsia="Calibri" w:hAnsi="Cambria" w:cs="Calibri"/>
          <w:spacing w:val="-2"/>
        </w:rPr>
        <w:t>9</w:t>
      </w:r>
      <w:r w:rsidRPr="009A0DA6">
        <w:rPr>
          <w:rFonts w:ascii="Cambria" w:eastAsia="Calibri" w:hAnsi="Cambria" w:cs="Calibri"/>
        </w:rPr>
        <w:t xml:space="preserve">).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1"/>
        </w:rPr>
        <w:t xml:space="preserve"> ab</w:t>
      </w:r>
      <w:r w:rsidRPr="009A0DA6">
        <w:rPr>
          <w:rFonts w:ascii="Cambria" w:eastAsia="Calibri" w:hAnsi="Cambria" w:cs="Calibri"/>
        </w:rPr>
        <w:t xml:space="preserve">ove </w:t>
      </w:r>
      <w:r w:rsidRPr="009A0DA6">
        <w:rPr>
          <w:rFonts w:ascii="Cambria" w:eastAsia="Calibri" w:hAnsi="Cambria" w:cs="Calibri"/>
          <w:spacing w:val="1"/>
        </w:rPr>
        <w:t>r</w:t>
      </w:r>
      <w:r w:rsidRPr="009A0DA6">
        <w:rPr>
          <w:rFonts w:ascii="Cambria" w:eastAsia="Calibri" w:hAnsi="Cambria" w:cs="Calibri"/>
        </w:rPr>
        <w:t>i</w:t>
      </w:r>
      <w:r w:rsidRPr="009A0DA6">
        <w:rPr>
          <w:rFonts w:ascii="Cambria" w:eastAsia="Calibri" w:hAnsi="Cambria" w:cs="Calibri"/>
          <w:spacing w:val="-1"/>
        </w:rPr>
        <w:t>gh</w:t>
      </w:r>
      <w:r w:rsidRPr="009A0DA6">
        <w:rPr>
          <w:rFonts w:ascii="Cambria" w:eastAsia="Calibri" w:hAnsi="Cambria" w:cs="Calibri"/>
        </w:rPr>
        <w:t>t</w:t>
      </w:r>
      <w:r w:rsidRPr="009A0DA6">
        <w:rPr>
          <w:rFonts w:ascii="Cambria" w:eastAsia="Calibri" w:hAnsi="Cambria" w:cs="Calibri"/>
          <w:spacing w:val="2"/>
        </w:rPr>
        <w:t>s</w:t>
      </w:r>
      <w:r w:rsidRPr="009A0DA6">
        <w:rPr>
          <w:rFonts w:ascii="Cambria" w:eastAsia="Calibri" w:hAnsi="Cambria" w:cs="Calibri"/>
          <w:spacing w:val="-3"/>
        </w:rPr>
        <w:t>—</w:t>
      </w:r>
      <w:r w:rsidRPr="009A0DA6">
        <w:rPr>
          <w:rFonts w:ascii="Cambria" w:eastAsia="Calibri" w:hAnsi="Cambria" w:cs="Calibri"/>
        </w:rPr>
        <w:t>whi</w:t>
      </w:r>
      <w:r w:rsidRPr="009A0DA6">
        <w:rPr>
          <w:rFonts w:ascii="Cambria" w:eastAsia="Calibri" w:hAnsi="Cambria" w:cs="Calibri"/>
          <w:spacing w:val="-1"/>
        </w:rPr>
        <w:t>c</w:t>
      </w:r>
      <w:r w:rsidRPr="009A0DA6">
        <w:rPr>
          <w:rFonts w:ascii="Cambria" w:eastAsia="Calibri" w:hAnsi="Cambria" w:cs="Calibri"/>
        </w:rPr>
        <w:t xml:space="preserve">h </w:t>
      </w:r>
      <w:r w:rsidRPr="009A0DA6">
        <w:rPr>
          <w:rFonts w:ascii="Cambria" w:eastAsia="Calibri" w:hAnsi="Cambria" w:cs="Calibri"/>
          <w:spacing w:val="-1"/>
        </w:rPr>
        <w:t>p</w:t>
      </w:r>
      <w:r w:rsidRPr="009A0DA6">
        <w:rPr>
          <w:rFonts w:ascii="Cambria" w:eastAsia="Calibri" w:hAnsi="Cambria" w:cs="Calibri"/>
        </w:rPr>
        <w:t>e</w:t>
      </w:r>
      <w:r w:rsidRPr="009A0DA6">
        <w:rPr>
          <w:rFonts w:ascii="Cambria" w:eastAsia="Calibri" w:hAnsi="Cambria" w:cs="Calibri"/>
          <w:spacing w:val="1"/>
        </w:rPr>
        <w:t>r</w:t>
      </w:r>
      <w:r w:rsidRPr="009A0DA6">
        <w:rPr>
          <w:rFonts w:ascii="Cambria" w:eastAsia="Calibri" w:hAnsi="Cambria" w:cs="Calibri"/>
        </w:rPr>
        <w:t>ta</w:t>
      </w:r>
      <w:r w:rsidRPr="009A0DA6">
        <w:rPr>
          <w:rFonts w:ascii="Cambria" w:eastAsia="Calibri" w:hAnsi="Cambria" w:cs="Calibri"/>
          <w:spacing w:val="-3"/>
        </w:rPr>
        <w:t>i</w:t>
      </w:r>
      <w:r w:rsidRPr="009A0DA6">
        <w:rPr>
          <w:rFonts w:ascii="Cambria" w:eastAsia="Calibri" w:hAnsi="Cambria" w:cs="Calibri"/>
        </w:rPr>
        <w:t>n</w:t>
      </w:r>
      <w:r w:rsidRPr="009A0DA6">
        <w:rPr>
          <w:rFonts w:ascii="Cambria" w:eastAsia="Calibri" w:hAnsi="Cambria" w:cs="Calibri"/>
          <w:spacing w:val="-1"/>
        </w:rPr>
        <w:t xml:space="preserve"> </w:t>
      </w:r>
      <w:r w:rsidRPr="009A0DA6">
        <w:rPr>
          <w:rFonts w:ascii="Cambria" w:eastAsia="Calibri" w:hAnsi="Cambria" w:cs="Calibri"/>
          <w:spacing w:val="1"/>
        </w:rPr>
        <w:t>t</w:t>
      </w:r>
      <w:r w:rsidRPr="009A0DA6">
        <w:rPr>
          <w:rFonts w:ascii="Cambria" w:eastAsia="Calibri" w:hAnsi="Cambria" w:cs="Calibri"/>
        </w:rPr>
        <w:t xml:space="preserve">o </w:t>
      </w:r>
      <w:r w:rsidRPr="009A0DA6">
        <w:rPr>
          <w:rFonts w:ascii="Cambria" w:eastAsia="Calibri" w:hAnsi="Cambria" w:cs="Calibri"/>
          <w:spacing w:val="-1"/>
        </w:rPr>
        <w:t>na</w:t>
      </w:r>
      <w:r w:rsidRPr="009A0DA6">
        <w:rPr>
          <w:rFonts w:ascii="Cambria" w:eastAsia="Calibri" w:hAnsi="Cambria" w:cs="Calibri"/>
        </w:rPr>
        <w:t>tu</w:t>
      </w:r>
      <w:r w:rsidRPr="009A0DA6">
        <w:rPr>
          <w:rFonts w:ascii="Cambria" w:eastAsia="Calibri" w:hAnsi="Cambria" w:cs="Calibri"/>
          <w:spacing w:val="1"/>
        </w:rPr>
        <w:t>r</w:t>
      </w:r>
      <w:r w:rsidRPr="009A0DA6">
        <w:rPr>
          <w:rFonts w:ascii="Cambria" w:eastAsia="Calibri" w:hAnsi="Cambria" w:cs="Calibri"/>
          <w:spacing w:val="-1"/>
        </w:rPr>
        <w:t>a</w:t>
      </w:r>
      <w:r w:rsidRPr="009A0DA6">
        <w:rPr>
          <w:rFonts w:ascii="Cambria" w:eastAsia="Calibri" w:hAnsi="Cambria" w:cs="Calibri"/>
        </w:rPr>
        <w:t>l ju</w:t>
      </w:r>
      <w:r w:rsidRPr="009A0DA6">
        <w:rPr>
          <w:rFonts w:ascii="Cambria" w:eastAsia="Calibri" w:hAnsi="Cambria" w:cs="Calibri"/>
          <w:spacing w:val="-3"/>
        </w:rPr>
        <w:t>s</w:t>
      </w:r>
      <w:r w:rsidRPr="009A0DA6">
        <w:rPr>
          <w:rFonts w:ascii="Cambria" w:eastAsia="Calibri" w:hAnsi="Cambria" w:cs="Calibri"/>
        </w:rPr>
        <w:t xml:space="preserve">tice </w:t>
      </w:r>
      <w:r w:rsidRPr="009A0DA6">
        <w:rPr>
          <w:rFonts w:ascii="Cambria" w:eastAsia="Calibri" w:hAnsi="Cambria" w:cs="Calibri"/>
          <w:spacing w:val="-1"/>
        </w:rPr>
        <w:t>an</w:t>
      </w:r>
      <w:r w:rsidRPr="009A0DA6">
        <w:rPr>
          <w:rFonts w:ascii="Cambria" w:eastAsia="Calibri" w:hAnsi="Cambria" w:cs="Calibri"/>
        </w:rPr>
        <w:t>d A</w:t>
      </w:r>
      <w:r w:rsidRPr="009A0DA6">
        <w:rPr>
          <w:rFonts w:ascii="Cambria" w:eastAsia="Calibri" w:hAnsi="Cambria" w:cs="Calibri"/>
          <w:spacing w:val="-1"/>
        </w:rPr>
        <w:t>u</w:t>
      </w:r>
      <w:r w:rsidRPr="009A0DA6">
        <w:rPr>
          <w:rFonts w:ascii="Cambria" w:eastAsia="Calibri" w:hAnsi="Cambria" w:cs="Calibri"/>
        </w:rPr>
        <w:t>s</w:t>
      </w:r>
      <w:r w:rsidRPr="009A0DA6">
        <w:rPr>
          <w:rFonts w:ascii="Cambria" w:eastAsia="Calibri" w:hAnsi="Cambria" w:cs="Calibri"/>
          <w:spacing w:val="1"/>
        </w:rPr>
        <w:t>tr</w:t>
      </w:r>
      <w:r w:rsidRPr="009A0DA6">
        <w:rPr>
          <w:rFonts w:ascii="Cambria" w:eastAsia="Calibri" w:hAnsi="Cambria" w:cs="Calibri"/>
          <w:spacing w:val="-1"/>
        </w:rPr>
        <w:t>a</w:t>
      </w:r>
      <w:r w:rsidRPr="009A0DA6">
        <w:rPr>
          <w:rFonts w:ascii="Cambria" w:eastAsia="Calibri" w:hAnsi="Cambria" w:cs="Calibri"/>
        </w:rPr>
        <w:t>li</w:t>
      </w:r>
      <w:r w:rsidRPr="009A0DA6">
        <w:rPr>
          <w:rFonts w:ascii="Cambria" w:eastAsia="Calibri" w:hAnsi="Cambria" w:cs="Calibri"/>
          <w:spacing w:val="-1"/>
        </w:rPr>
        <w:t>a</w:t>
      </w:r>
      <w:r w:rsidRPr="009A0DA6">
        <w:rPr>
          <w:rFonts w:ascii="Cambria" w:eastAsia="Calibri" w:hAnsi="Cambria" w:cs="Calibri"/>
        </w:rPr>
        <w:t>n</w:t>
      </w:r>
      <w:r w:rsidRPr="009A0DA6">
        <w:rPr>
          <w:rFonts w:ascii="Cambria" w:eastAsia="Calibri" w:hAnsi="Cambria" w:cs="Calibri"/>
          <w:spacing w:val="-1"/>
        </w:rPr>
        <w:t xml:space="preserve"> </w:t>
      </w:r>
      <w:r w:rsidRPr="009A0DA6">
        <w:rPr>
          <w:rFonts w:ascii="Cambria" w:eastAsia="Calibri" w:hAnsi="Cambria" w:cs="Calibri"/>
        </w:rPr>
        <w:t>co</w:t>
      </w:r>
      <w:r w:rsidRPr="009A0DA6">
        <w:rPr>
          <w:rFonts w:ascii="Cambria" w:eastAsia="Calibri" w:hAnsi="Cambria" w:cs="Calibri"/>
          <w:spacing w:val="-2"/>
        </w:rPr>
        <w:t>m</w:t>
      </w:r>
      <w:r w:rsidRPr="009A0DA6">
        <w:rPr>
          <w:rFonts w:ascii="Cambria" w:eastAsia="Calibri" w:hAnsi="Cambria" w:cs="Calibri"/>
        </w:rPr>
        <w:t>mon l</w:t>
      </w:r>
      <w:r w:rsidRPr="009A0DA6">
        <w:rPr>
          <w:rFonts w:ascii="Cambria" w:eastAsia="Calibri" w:hAnsi="Cambria" w:cs="Calibri"/>
          <w:spacing w:val="-1"/>
        </w:rPr>
        <w:t>a</w:t>
      </w:r>
      <w:r w:rsidRPr="009A0DA6">
        <w:rPr>
          <w:rFonts w:ascii="Cambria" w:eastAsia="Calibri" w:hAnsi="Cambria" w:cs="Calibri"/>
          <w:spacing w:val="1"/>
        </w:rPr>
        <w:t>w</w:t>
      </w:r>
      <w:r w:rsidRPr="009A0DA6">
        <w:rPr>
          <w:rFonts w:ascii="Cambria" w:eastAsia="Calibri" w:hAnsi="Cambria" w:cs="Calibri"/>
          <w:spacing w:val="-1"/>
        </w:rPr>
        <w:t>—</w:t>
      </w:r>
      <w:r w:rsidRPr="009A0DA6">
        <w:rPr>
          <w:rFonts w:ascii="Cambria" w:eastAsia="Calibri" w:hAnsi="Cambria" w:cs="Calibri"/>
          <w:spacing w:val="-3"/>
        </w:rPr>
        <w:t>a</w:t>
      </w:r>
      <w:r w:rsidRPr="009A0DA6">
        <w:rPr>
          <w:rFonts w:ascii="Cambria" w:eastAsia="Calibri" w:hAnsi="Cambria" w:cs="Calibri"/>
          <w:spacing w:val="1"/>
        </w:rPr>
        <w:t>r</w:t>
      </w:r>
      <w:r w:rsidRPr="009A0DA6">
        <w:rPr>
          <w:rFonts w:ascii="Cambria" w:eastAsia="Calibri" w:hAnsi="Cambria" w:cs="Calibri"/>
        </w:rPr>
        <w:t>e b</w:t>
      </w:r>
      <w:r w:rsidRPr="009A0DA6">
        <w:rPr>
          <w:rFonts w:ascii="Cambria" w:eastAsia="Calibri" w:hAnsi="Cambria" w:cs="Calibri"/>
          <w:spacing w:val="-1"/>
        </w:rPr>
        <w:t>u</w:t>
      </w:r>
      <w:r w:rsidRPr="009A0DA6">
        <w:rPr>
          <w:rFonts w:ascii="Cambria" w:eastAsia="Calibri" w:hAnsi="Cambria" w:cs="Calibri"/>
        </w:rPr>
        <w:t>ilt</w:t>
      </w:r>
      <w:r w:rsidRPr="009A0DA6">
        <w:rPr>
          <w:rFonts w:ascii="Cambria" w:eastAsia="Calibri" w:hAnsi="Cambria" w:cs="Calibri"/>
          <w:spacing w:val="1"/>
        </w:rPr>
        <w:t xml:space="preserve"> </w:t>
      </w:r>
      <w:r w:rsidRPr="009A0DA6">
        <w:rPr>
          <w:rFonts w:ascii="Cambria" w:eastAsia="Calibri" w:hAnsi="Cambria" w:cs="Calibri"/>
        </w:rPr>
        <w:t>i</w:t>
      </w:r>
      <w:r w:rsidRPr="009A0DA6">
        <w:rPr>
          <w:rFonts w:ascii="Cambria" w:eastAsia="Calibri" w:hAnsi="Cambria" w:cs="Calibri"/>
          <w:spacing w:val="-1"/>
        </w:rPr>
        <w:t>n</w:t>
      </w:r>
      <w:r w:rsidRPr="009A0DA6">
        <w:rPr>
          <w:rFonts w:ascii="Cambria" w:eastAsia="Calibri" w:hAnsi="Cambria" w:cs="Calibri"/>
        </w:rPr>
        <w:t>to</w:t>
      </w:r>
      <w:r w:rsidRPr="009A0DA6">
        <w:rPr>
          <w:rFonts w:ascii="Cambria" w:eastAsia="Calibri" w:hAnsi="Cambria" w:cs="Calibri"/>
          <w:spacing w:val="-2"/>
        </w:rPr>
        <w:t xml:space="preserve"> </w:t>
      </w:r>
      <w:r w:rsidRPr="009A0DA6">
        <w:rPr>
          <w:rFonts w:ascii="Cambria" w:eastAsia="Calibri" w:hAnsi="Cambria" w:cs="Calibri"/>
        </w:rPr>
        <w:t>A</w:t>
      </w:r>
      <w:r w:rsidRPr="009A0DA6">
        <w:rPr>
          <w:rFonts w:ascii="Cambria" w:eastAsia="Calibri" w:hAnsi="Cambria" w:cs="Calibri"/>
          <w:spacing w:val="-1"/>
        </w:rPr>
        <w:t>u</w:t>
      </w:r>
      <w:r w:rsidRPr="009A0DA6">
        <w:rPr>
          <w:rFonts w:ascii="Cambria" w:eastAsia="Calibri" w:hAnsi="Cambria" w:cs="Calibri"/>
        </w:rPr>
        <w:t>s</w:t>
      </w:r>
      <w:r w:rsidRPr="009A0DA6">
        <w:rPr>
          <w:rFonts w:ascii="Cambria" w:eastAsia="Calibri" w:hAnsi="Cambria" w:cs="Calibri"/>
          <w:spacing w:val="-2"/>
        </w:rPr>
        <w:t>t</w:t>
      </w:r>
      <w:r w:rsidRPr="009A0DA6">
        <w:rPr>
          <w:rFonts w:ascii="Cambria" w:eastAsia="Calibri" w:hAnsi="Cambria" w:cs="Calibri"/>
          <w:spacing w:val="1"/>
        </w:rPr>
        <w:t>r</w:t>
      </w:r>
      <w:r w:rsidRPr="009A0DA6">
        <w:rPr>
          <w:rFonts w:ascii="Cambria" w:eastAsia="Calibri" w:hAnsi="Cambria" w:cs="Calibri"/>
          <w:spacing w:val="-1"/>
        </w:rPr>
        <w:t>a</w:t>
      </w:r>
      <w:r w:rsidRPr="009A0DA6">
        <w:rPr>
          <w:rFonts w:ascii="Cambria" w:eastAsia="Calibri" w:hAnsi="Cambria" w:cs="Calibri"/>
        </w:rPr>
        <w:t>li</w:t>
      </w:r>
      <w:r w:rsidRPr="009A0DA6">
        <w:rPr>
          <w:rFonts w:ascii="Cambria" w:eastAsia="Calibri" w:hAnsi="Cambria" w:cs="Calibri"/>
          <w:spacing w:val="-1"/>
        </w:rPr>
        <w:t>a</w:t>
      </w:r>
      <w:r w:rsidRPr="009A0DA6">
        <w:rPr>
          <w:rFonts w:ascii="Cambria" w:eastAsia="Calibri" w:hAnsi="Cambria" w:cs="Calibri"/>
        </w:rPr>
        <w:t>n</w:t>
      </w:r>
      <w:r w:rsidRPr="009A0DA6">
        <w:rPr>
          <w:rFonts w:ascii="Cambria" w:eastAsia="Calibri" w:hAnsi="Cambria" w:cs="Calibri"/>
          <w:spacing w:val="-1"/>
        </w:rPr>
        <w:t xml:space="preserve"> </w:t>
      </w:r>
      <w:r w:rsidRPr="009A0DA6">
        <w:rPr>
          <w:rFonts w:ascii="Cambria" w:eastAsia="Calibri" w:hAnsi="Cambria" w:cs="Calibri"/>
        </w:rPr>
        <w:t>law</w:t>
      </w:r>
      <w:r w:rsidRPr="009A0DA6">
        <w:rPr>
          <w:rFonts w:ascii="Cambria" w:eastAsia="Calibri" w:hAnsi="Cambria" w:cs="Calibri"/>
          <w:spacing w:val="-2"/>
        </w:rPr>
        <w:t xml:space="preserve"> </w:t>
      </w:r>
      <w:r w:rsidRPr="009A0DA6">
        <w:rPr>
          <w:rFonts w:ascii="Cambria" w:eastAsia="Calibri" w:hAnsi="Cambria" w:cs="Calibri"/>
        </w:rPr>
        <w:t>to p</w:t>
      </w:r>
      <w:r w:rsidRPr="009A0DA6">
        <w:rPr>
          <w:rFonts w:ascii="Cambria" w:eastAsia="Calibri" w:hAnsi="Cambria" w:cs="Calibri"/>
          <w:spacing w:val="1"/>
        </w:rPr>
        <w:t>r</w:t>
      </w:r>
      <w:r w:rsidRPr="009A0DA6">
        <w:rPr>
          <w:rFonts w:ascii="Cambria" w:eastAsia="Calibri" w:hAnsi="Cambria" w:cs="Calibri"/>
        </w:rPr>
        <w:t>ote</w:t>
      </w:r>
      <w:r w:rsidRPr="009A0DA6">
        <w:rPr>
          <w:rFonts w:ascii="Cambria" w:eastAsia="Calibri" w:hAnsi="Cambria" w:cs="Calibri"/>
          <w:spacing w:val="-3"/>
        </w:rPr>
        <w:t>c</w:t>
      </w:r>
      <w:r w:rsidRPr="009A0DA6">
        <w:rPr>
          <w:rFonts w:ascii="Cambria" w:eastAsia="Calibri" w:hAnsi="Cambria" w:cs="Calibri"/>
        </w:rPr>
        <w:t>t</w:t>
      </w:r>
      <w:r w:rsidRPr="009A0DA6">
        <w:rPr>
          <w:rFonts w:ascii="Cambria" w:eastAsia="Calibri" w:hAnsi="Cambria" w:cs="Calibri"/>
          <w:spacing w:val="1"/>
        </w:rPr>
        <w:t xml:space="preserve"> </w:t>
      </w:r>
      <w:r w:rsidRPr="009A0DA6">
        <w:rPr>
          <w:rFonts w:ascii="Cambria" w:eastAsia="Calibri" w:hAnsi="Cambria" w:cs="Calibri"/>
        </w:rPr>
        <w:t>the</w:t>
      </w:r>
      <w:r w:rsidRPr="009A0DA6">
        <w:rPr>
          <w:rFonts w:ascii="Cambria" w:eastAsia="Calibri" w:hAnsi="Cambria" w:cs="Calibri"/>
          <w:spacing w:val="-2"/>
        </w:rPr>
        <w:t xml:space="preserve"> </w:t>
      </w:r>
      <w:r w:rsidRPr="009A0DA6">
        <w:rPr>
          <w:rFonts w:ascii="Cambria" w:eastAsia="Calibri" w:hAnsi="Cambria" w:cs="Calibri"/>
        </w:rPr>
        <w:t>in</w:t>
      </w:r>
      <w:r w:rsidRPr="009A0DA6">
        <w:rPr>
          <w:rFonts w:ascii="Cambria" w:eastAsia="Calibri" w:hAnsi="Cambria" w:cs="Calibri"/>
          <w:spacing w:val="-1"/>
        </w:rPr>
        <w:t>n</w:t>
      </w:r>
      <w:r w:rsidRPr="009A0DA6">
        <w:rPr>
          <w:rFonts w:ascii="Cambria" w:eastAsia="Calibri" w:hAnsi="Cambria" w:cs="Calibri"/>
        </w:rPr>
        <w:t>o</w:t>
      </w:r>
      <w:r w:rsidRPr="009A0DA6">
        <w:rPr>
          <w:rFonts w:ascii="Cambria" w:eastAsia="Calibri" w:hAnsi="Cambria" w:cs="Calibri"/>
          <w:spacing w:val="-1"/>
        </w:rPr>
        <w:t>c</w:t>
      </w:r>
      <w:r w:rsidRPr="009A0DA6">
        <w:rPr>
          <w:rFonts w:ascii="Cambria" w:eastAsia="Calibri" w:hAnsi="Cambria" w:cs="Calibri"/>
        </w:rPr>
        <w:t>ent f</w:t>
      </w:r>
      <w:r w:rsidRPr="009A0DA6">
        <w:rPr>
          <w:rFonts w:ascii="Cambria" w:eastAsia="Calibri" w:hAnsi="Cambria" w:cs="Calibri"/>
          <w:spacing w:val="1"/>
        </w:rPr>
        <w:t>r</w:t>
      </w:r>
      <w:r w:rsidRPr="009A0DA6">
        <w:rPr>
          <w:rFonts w:ascii="Cambria" w:eastAsia="Calibri" w:hAnsi="Cambria" w:cs="Calibri"/>
          <w:spacing w:val="-3"/>
        </w:rPr>
        <w:t>o</w:t>
      </w:r>
      <w:r w:rsidRPr="009A0DA6">
        <w:rPr>
          <w:rFonts w:ascii="Cambria" w:eastAsia="Calibri" w:hAnsi="Cambria" w:cs="Calibri"/>
        </w:rPr>
        <w:t>m</w:t>
      </w:r>
      <w:r w:rsidRPr="009A0DA6">
        <w:rPr>
          <w:rFonts w:ascii="Cambria" w:eastAsia="Calibri" w:hAnsi="Cambria" w:cs="Calibri"/>
          <w:spacing w:val="1"/>
        </w:rPr>
        <w:t xml:space="preserve"> </w:t>
      </w:r>
      <w:r w:rsidRPr="009A0DA6">
        <w:rPr>
          <w:rFonts w:ascii="Cambria" w:eastAsia="Calibri" w:hAnsi="Cambria" w:cs="Calibri"/>
        </w:rPr>
        <w:t>suff</w:t>
      </w:r>
      <w:r w:rsidRPr="009A0DA6">
        <w:rPr>
          <w:rFonts w:ascii="Cambria" w:eastAsia="Calibri" w:hAnsi="Cambria" w:cs="Calibri"/>
          <w:spacing w:val="-3"/>
        </w:rPr>
        <w:t>e</w:t>
      </w:r>
      <w:r w:rsidRPr="009A0DA6">
        <w:rPr>
          <w:rFonts w:ascii="Cambria" w:eastAsia="Calibri" w:hAnsi="Cambria" w:cs="Calibri"/>
          <w:spacing w:val="1"/>
        </w:rPr>
        <w:t>r</w:t>
      </w:r>
      <w:r w:rsidRPr="009A0DA6">
        <w:rPr>
          <w:rFonts w:ascii="Cambria" w:eastAsia="Calibri" w:hAnsi="Cambria" w:cs="Calibri"/>
        </w:rPr>
        <w:t>i</w:t>
      </w:r>
      <w:r w:rsidRPr="009A0DA6">
        <w:rPr>
          <w:rFonts w:ascii="Cambria" w:eastAsia="Calibri" w:hAnsi="Cambria" w:cs="Calibri"/>
          <w:spacing w:val="-1"/>
        </w:rPr>
        <w:t>n</w:t>
      </w:r>
      <w:r w:rsidRPr="009A0DA6">
        <w:rPr>
          <w:rFonts w:ascii="Cambria" w:eastAsia="Calibri" w:hAnsi="Cambria" w:cs="Calibri"/>
        </w:rPr>
        <w:t>g</w:t>
      </w:r>
      <w:r w:rsidRPr="009A0DA6">
        <w:rPr>
          <w:rFonts w:ascii="Cambria" w:eastAsia="Calibri" w:hAnsi="Cambria" w:cs="Calibri"/>
          <w:spacing w:val="-1"/>
        </w:rPr>
        <w:t xml:space="preserve">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 xml:space="preserve">e </w:t>
      </w:r>
      <w:r w:rsidRPr="009A0DA6">
        <w:rPr>
          <w:rFonts w:ascii="Cambria" w:eastAsia="Calibri" w:hAnsi="Cambria" w:cs="Calibri"/>
          <w:spacing w:val="-2"/>
        </w:rPr>
        <w:t>g</w:t>
      </w:r>
      <w:r w:rsidRPr="009A0DA6">
        <w:rPr>
          <w:rFonts w:ascii="Cambria" w:eastAsia="Calibri" w:hAnsi="Cambria" w:cs="Calibri"/>
          <w:spacing w:val="1"/>
        </w:rPr>
        <w:t>r</w:t>
      </w:r>
      <w:r w:rsidRPr="009A0DA6">
        <w:rPr>
          <w:rFonts w:ascii="Cambria" w:eastAsia="Calibri" w:hAnsi="Cambria" w:cs="Calibri"/>
        </w:rPr>
        <w:t>oss</w:t>
      </w:r>
      <w:r w:rsidRPr="009A0DA6">
        <w:rPr>
          <w:rFonts w:ascii="Cambria" w:eastAsia="Calibri" w:hAnsi="Cambria" w:cs="Calibri"/>
          <w:spacing w:val="-2"/>
        </w:rPr>
        <w:t xml:space="preserve"> </w:t>
      </w:r>
      <w:r w:rsidRPr="009A0DA6">
        <w:rPr>
          <w:rFonts w:ascii="Cambria" w:eastAsia="Calibri" w:hAnsi="Cambria" w:cs="Calibri"/>
        </w:rPr>
        <w:t>inj</w:t>
      </w:r>
      <w:r w:rsidRPr="009A0DA6">
        <w:rPr>
          <w:rFonts w:ascii="Cambria" w:eastAsia="Calibri" w:hAnsi="Cambria" w:cs="Calibri"/>
          <w:spacing w:val="-1"/>
        </w:rPr>
        <w:t>u</w:t>
      </w:r>
      <w:r w:rsidRPr="009A0DA6">
        <w:rPr>
          <w:rFonts w:ascii="Cambria" w:eastAsia="Calibri" w:hAnsi="Cambria" w:cs="Calibri"/>
        </w:rPr>
        <w:t>s</w:t>
      </w:r>
      <w:r w:rsidRPr="009A0DA6">
        <w:rPr>
          <w:rFonts w:ascii="Cambria" w:eastAsia="Calibri" w:hAnsi="Cambria" w:cs="Calibri"/>
          <w:spacing w:val="-2"/>
        </w:rPr>
        <w:t>t</w:t>
      </w:r>
      <w:r w:rsidRPr="009A0DA6">
        <w:rPr>
          <w:rFonts w:ascii="Cambria" w:eastAsia="Calibri" w:hAnsi="Cambria" w:cs="Calibri"/>
        </w:rPr>
        <w:t>i</w:t>
      </w:r>
      <w:r w:rsidRPr="009A0DA6">
        <w:rPr>
          <w:rFonts w:ascii="Cambria" w:eastAsia="Calibri" w:hAnsi="Cambria" w:cs="Calibri"/>
          <w:spacing w:val="-1"/>
        </w:rPr>
        <w:t>c</w:t>
      </w:r>
      <w:r w:rsidRPr="009A0DA6">
        <w:rPr>
          <w:rFonts w:ascii="Cambria" w:eastAsia="Calibri" w:hAnsi="Cambria" w:cs="Calibri"/>
        </w:rPr>
        <w:t>e of w</w:t>
      </w:r>
      <w:r w:rsidRPr="009A0DA6">
        <w:rPr>
          <w:rFonts w:ascii="Cambria" w:eastAsia="Calibri" w:hAnsi="Cambria" w:cs="Calibri"/>
          <w:spacing w:val="1"/>
        </w:rPr>
        <w:t>r</w:t>
      </w:r>
      <w:r w:rsidRPr="009A0DA6">
        <w:rPr>
          <w:rFonts w:ascii="Cambria" w:eastAsia="Calibri" w:hAnsi="Cambria" w:cs="Calibri"/>
        </w:rPr>
        <w:t>o</w:t>
      </w:r>
      <w:r w:rsidRPr="009A0DA6">
        <w:rPr>
          <w:rFonts w:ascii="Cambria" w:eastAsia="Calibri" w:hAnsi="Cambria" w:cs="Calibri"/>
          <w:spacing w:val="-1"/>
        </w:rPr>
        <w:t>ng</w:t>
      </w:r>
      <w:r w:rsidRPr="009A0DA6">
        <w:rPr>
          <w:rFonts w:ascii="Cambria" w:eastAsia="Calibri" w:hAnsi="Cambria" w:cs="Calibri"/>
        </w:rPr>
        <w:t>f</w:t>
      </w:r>
      <w:r w:rsidRPr="009A0DA6">
        <w:rPr>
          <w:rFonts w:ascii="Cambria" w:eastAsia="Calibri" w:hAnsi="Cambria" w:cs="Calibri"/>
          <w:spacing w:val="-1"/>
        </w:rPr>
        <w:t>u</w:t>
      </w:r>
      <w:r w:rsidRPr="009A0DA6">
        <w:rPr>
          <w:rFonts w:ascii="Cambria" w:eastAsia="Calibri" w:hAnsi="Cambria" w:cs="Calibri"/>
        </w:rPr>
        <w:t>l c</w:t>
      </w:r>
      <w:r w:rsidRPr="009A0DA6">
        <w:rPr>
          <w:rFonts w:ascii="Cambria" w:eastAsia="Calibri" w:hAnsi="Cambria" w:cs="Calibri"/>
          <w:spacing w:val="-1"/>
        </w:rPr>
        <w:t>on</w:t>
      </w:r>
      <w:r w:rsidRPr="009A0DA6">
        <w:rPr>
          <w:rFonts w:ascii="Cambria" w:eastAsia="Calibri" w:hAnsi="Cambria" w:cs="Calibri"/>
        </w:rPr>
        <w:t>vi</w:t>
      </w:r>
      <w:r w:rsidRPr="009A0DA6">
        <w:rPr>
          <w:rFonts w:ascii="Cambria" w:eastAsia="Calibri" w:hAnsi="Cambria" w:cs="Calibri"/>
          <w:spacing w:val="-1"/>
        </w:rPr>
        <w:t>c</w:t>
      </w:r>
      <w:r w:rsidRPr="009A0DA6">
        <w:rPr>
          <w:rFonts w:ascii="Cambria" w:eastAsia="Calibri" w:hAnsi="Cambria" w:cs="Calibri"/>
        </w:rPr>
        <w:t>tio</w:t>
      </w:r>
      <w:r w:rsidRPr="009A0DA6">
        <w:rPr>
          <w:rFonts w:ascii="Cambria" w:eastAsia="Calibri" w:hAnsi="Cambria" w:cs="Calibri"/>
          <w:spacing w:val="-1"/>
        </w:rPr>
        <w:t>n</w:t>
      </w:r>
      <w:r w:rsidRPr="009A0DA6">
        <w:rPr>
          <w:rFonts w:ascii="Cambria" w:eastAsia="Calibri" w:hAnsi="Cambria" w:cs="Calibri"/>
        </w:rPr>
        <w:t xml:space="preserve">. The </w:t>
      </w:r>
      <w:r w:rsidRPr="009A0DA6">
        <w:rPr>
          <w:rFonts w:ascii="Cambria" w:eastAsia="Calibri" w:hAnsi="Cambria" w:cs="Calibri"/>
          <w:spacing w:val="-3"/>
        </w:rPr>
        <w:t>p</w:t>
      </w:r>
      <w:r w:rsidRPr="009A0DA6">
        <w:rPr>
          <w:rFonts w:ascii="Cambria" w:eastAsia="Calibri" w:hAnsi="Cambria" w:cs="Calibri"/>
          <w:spacing w:val="-1"/>
        </w:rPr>
        <w:t>r</w:t>
      </w:r>
      <w:r w:rsidRPr="009A0DA6">
        <w:rPr>
          <w:rFonts w:ascii="Cambria" w:eastAsia="Calibri" w:hAnsi="Cambria" w:cs="Calibri"/>
        </w:rPr>
        <w:t>i</w:t>
      </w:r>
      <w:r w:rsidRPr="009A0DA6">
        <w:rPr>
          <w:rFonts w:ascii="Cambria" w:eastAsia="Calibri" w:hAnsi="Cambria" w:cs="Calibri"/>
          <w:spacing w:val="-1"/>
        </w:rPr>
        <w:t>c</w:t>
      </w:r>
      <w:r w:rsidRPr="009A0DA6">
        <w:rPr>
          <w:rFonts w:ascii="Cambria" w:eastAsia="Calibri" w:hAnsi="Cambria" w:cs="Calibri"/>
        </w:rPr>
        <w:t>e of ig</w:t>
      </w:r>
      <w:r w:rsidRPr="009A0DA6">
        <w:rPr>
          <w:rFonts w:ascii="Cambria" w:eastAsia="Calibri" w:hAnsi="Cambria" w:cs="Calibri"/>
          <w:spacing w:val="-1"/>
        </w:rPr>
        <w:t>n</w:t>
      </w:r>
      <w:r w:rsidRPr="009A0DA6">
        <w:rPr>
          <w:rFonts w:ascii="Cambria" w:eastAsia="Calibri" w:hAnsi="Cambria" w:cs="Calibri"/>
        </w:rPr>
        <w:t>oring</w:t>
      </w:r>
      <w:r w:rsidRPr="009A0DA6">
        <w:rPr>
          <w:rFonts w:ascii="Cambria" w:eastAsia="Calibri" w:hAnsi="Cambria" w:cs="Calibri"/>
          <w:spacing w:val="-1"/>
        </w:rPr>
        <w:t xml:space="preserve"> </w:t>
      </w:r>
      <w:r w:rsidRPr="009A0DA6">
        <w:rPr>
          <w:rFonts w:ascii="Cambria" w:eastAsia="Calibri" w:hAnsi="Cambria" w:cs="Calibri"/>
          <w:spacing w:val="1"/>
        </w:rPr>
        <w:t>s</w:t>
      </w:r>
      <w:r w:rsidRPr="009A0DA6">
        <w:rPr>
          <w:rFonts w:ascii="Cambria" w:eastAsia="Calibri" w:hAnsi="Cambria" w:cs="Calibri"/>
          <w:spacing w:val="-1"/>
        </w:rPr>
        <w:t>u</w:t>
      </w:r>
      <w:r w:rsidRPr="009A0DA6">
        <w:rPr>
          <w:rFonts w:ascii="Cambria" w:eastAsia="Calibri" w:hAnsi="Cambria" w:cs="Calibri"/>
        </w:rPr>
        <w:t>ch</w:t>
      </w:r>
      <w:r w:rsidRPr="009A0DA6">
        <w:rPr>
          <w:rFonts w:ascii="Cambria" w:eastAsia="Calibri" w:hAnsi="Cambria" w:cs="Calibri"/>
          <w:spacing w:val="-1"/>
        </w:rPr>
        <w:t xml:space="preserve"> </w:t>
      </w:r>
      <w:r w:rsidRPr="009A0DA6">
        <w:rPr>
          <w:rFonts w:ascii="Cambria" w:eastAsia="Calibri" w:hAnsi="Cambria" w:cs="Calibri"/>
        </w:rPr>
        <w:t>p</w:t>
      </w:r>
      <w:r w:rsidRPr="009A0DA6">
        <w:rPr>
          <w:rFonts w:ascii="Cambria" w:eastAsia="Calibri" w:hAnsi="Cambria" w:cs="Calibri"/>
          <w:spacing w:val="1"/>
        </w:rPr>
        <w:t>r</w:t>
      </w:r>
      <w:r w:rsidRPr="009A0DA6">
        <w:rPr>
          <w:rFonts w:ascii="Cambria" w:eastAsia="Calibri" w:hAnsi="Cambria" w:cs="Calibri"/>
        </w:rPr>
        <w:t>i</w:t>
      </w:r>
      <w:r w:rsidRPr="009A0DA6">
        <w:rPr>
          <w:rFonts w:ascii="Cambria" w:eastAsia="Calibri" w:hAnsi="Cambria" w:cs="Calibri"/>
          <w:spacing w:val="-1"/>
        </w:rPr>
        <w:t>n</w:t>
      </w:r>
      <w:r w:rsidRPr="009A0DA6">
        <w:rPr>
          <w:rFonts w:ascii="Cambria" w:eastAsia="Calibri" w:hAnsi="Cambria" w:cs="Calibri"/>
        </w:rPr>
        <w:t>c</w:t>
      </w:r>
      <w:r w:rsidRPr="009A0DA6">
        <w:rPr>
          <w:rFonts w:ascii="Cambria" w:eastAsia="Calibri" w:hAnsi="Cambria" w:cs="Calibri"/>
          <w:spacing w:val="-1"/>
        </w:rPr>
        <w:t>ip</w:t>
      </w:r>
      <w:r w:rsidRPr="009A0DA6">
        <w:rPr>
          <w:rFonts w:ascii="Cambria" w:eastAsia="Calibri" w:hAnsi="Cambria" w:cs="Calibri"/>
          <w:spacing w:val="-3"/>
        </w:rPr>
        <w:t>l</w:t>
      </w:r>
      <w:r w:rsidRPr="009A0DA6">
        <w:rPr>
          <w:rFonts w:ascii="Cambria" w:eastAsia="Calibri" w:hAnsi="Cambria" w:cs="Calibri"/>
        </w:rPr>
        <w:t>es</w:t>
      </w:r>
      <w:r w:rsidRPr="009A0DA6">
        <w:rPr>
          <w:rFonts w:ascii="Cambria" w:eastAsia="Calibri" w:hAnsi="Cambria" w:cs="Calibri"/>
          <w:spacing w:val="1"/>
        </w:rPr>
        <w:t xml:space="preserve"> </w:t>
      </w:r>
      <w:r w:rsidRPr="009A0DA6">
        <w:rPr>
          <w:rFonts w:ascii="Cambria" w:eastAsia="Calibri" w:hAnsi="Cambria" w:cs="Calibri"/>
        </w:rPr>
        <w:t>is</w:t>
      </w:r>
      <w:r w:rsidRPr="009A0DA6">
        <w:rPr>
          <w:rFonts w:ascii="Cambria" w:eastAsia="Calibri" w:hAnsi="Cambria" w:cs="Calibri"/>
          <w:spacing w:val="-2"/>
        </w:rPr>
        <w:t xml:space="preserve"> </w:t>
      </w:r>
      <w:r w:rsidRPr="009A0DA6">
        <w:rPr>
          <w:rFonts w:ascii="Cambria" w:eastAsia="Calibri" w:hAnsi="Cambria" w:cs="Calibri"/>
        </w:rPr>
        <w:t>th</w:t>
      </w:r>
      <w:r w:rsidRPr="009A0DA6">
        <w:rPr>
          <w:rFonts w:ascii="Cambria" w:eastAsia="Calibri" w:hAnsi="Cambria" w:cs="Calibri"/>
          <w:spacing w:val="-1"/>
        </w:rPr>
        <w:t>a</w:t>
      </w:r>
      <w:r w:rsidRPr="009A0DA6">
        <w:rPr>
          <w:rFonts w:ascii="Cambria" w:eastAsia="Calibri" w:hAnsi="Cambria" w:cs="Calibri"/>
        </w:rPr>
        <w:t>t</w:t>
      </w:r>
      <w:r w:rsidRPr="009A0DA6">
        <w:rPr>
          <w:rFonts w:ascii="Cambria" w:eastAsia="Calibri" w:hAnsi="Cambria" w:cs="Calibri"/>
          <w:spacing w:val="1"/>
        </w:rPr>
        <w:t xml:space="preserve"> </w:t>
      </w:r>
      <w:r w:rsidRPr="009A0DA6">
        <w:rPr>
          <w:rFonts w:ascii="Cambria" w:eastAsia="Calibri" w:hAnsi="Cambria" w:cs="Calibri"/>
        </w:rPr>
        <w:t>in</w:t>
      </w:r>
      <w:r w:rsidRPr="009A0DA6">
        <w:rPr>
          <w:rFonts w:ascii="Cambria" w:eastAsia="Calibri" w:hAnsi="Cambria" w:cs="Calibri"/>
          <w:spacing w:val="-1"/>
        </w:rPr>
        <w:t xml:space="preserve"> </w:t>
      </w:r>
      <w:r w:rsidRPr="009A0DA6">
        <w:rPr>
          <w:rFonts w:ascii="Cambria" w:eastAsia="Calibri" w:hAnsi="Cambria" w:cs="Calibri"/>
        </w:rPr>
        <w:t>o</w:t>
      </w:r>
      <w:r w:rsidRPr="009A0DA6">
        <w:rPr>
          <w:rFonts w:ascii="Cambria" w:eastAsia="Calibri" w:hAnsi="Cambria" w:cs="Calibri"/>
          <w:spacing w:val="-1"/>
        </w:rPr>
        <w:t>u</w:t>
      </w:r>
      <w:r w:rsidRPr="009A0DA6">
        <w:rPr>
          <w:rFonts w:ascii="Cambria" w:eastAsia="Calibri" w:hAnsi="Cambria" w:cs="Calibri"/>
        </w:rPr>
        <w:t>r</w:t>
      </w:r>
      <w:r w:rsidRPr="009A0DA6">
        <w:rPr>
          <w:rFonts w:ascii="Cambria" w:eastAsia="Calibri" w:hAnsi="Cambria" w:cs="Calibri"/>
          <w:spacing w:val="-1"/>
        </w:rPr>
        <w:t xml:space="preserve"> </w:t>
      </w:r>
      <w:r w:rsidRPr="009A0DA6">
        <w:rPr>
          <w:rFonts w:ascii="Cambria" w:eastAsia="Calibri" w:hAnsi="Cambria" w:cs="Calibri"/>
        </w:rPr>
        <w:t>ze</w:t>
      </w:r>
      <w:r w:rsidRPr="009A0DA6">
        <w:rPr>
          <w:rFonts w:ascii="Cambria" w:eastAsia="Calibri" w:hAnsi="Cambria" w:cs="Calibri"/>
          <w:spacing w:val="-1"/>
        </w:rPr>
        <w:t>a</w:t>
      </w:r>
      <w:r w:rsidRPr="009A0DA6">
        <w:rPr>
          <w:rFonts w:ascii="Cambria" w:eastAsia="Calibri" w:hAnsi="Cambria" w:cs="Calibri"/>
        </w:rPr>
        <w:t>l to u</w:t>
      </w:r>
      <w:r w:rsidRPr="009A0DA6">
        <w:rPr>
          <w:rFonts w:ascii="Cambria" w:eastAsia="Calibri" w:hAnsi="Cambria" w:cs="Calibri"/>
          <w:spacing w:val="-1"/>
        </w:rPr>
        <w:t>p</w:t>
      </w:r>
      <w:r w:rsidRPr="009A0DA6">
        <w:rPr>
          <w:rFonts w:ascii="Cambria" w:eastAsia="Calibri" w:hAnsi="Cambria" w:cs="Calibri"/>
          <w:spacing w:val="-3"/>
        </w:rPr>
        <w:t>h</w:t>
      </w:r>
      <w:r w:rsidRPr="009A0DA6">
        <w:rPr>
          <w:rFonts w:ascii="Cambria" w:eastAsia="Calibri" w:hAnsi="Cambria" w:cs="Calibri"/>
        </w:rPr>
        <w:t>o</w:t>
      </w:r>
      <w:r w:rsidRPr="009A0DA6">
        <w:rPr>
          <w:rFonts w:ascii="Cambria" w:eastAsia="Calibri" w:hAnsi="Cambria" w:cs="Calibri"/>
          <w:spacing w:val="-1"/>
        </w:rPr>
        <w:t>l</w:t>
      </w:r>
      <w:r w:rsidRPr="009A0DA6">
        <w:rPr>
          <w:rFonts w:ascii="Cambria" w:eastAsia="Calibri" w:hAnsi="Cambria" w:cs="Calibri"/>
        </w:rPr>
        <w:t>d</w:t>
      </w:r>
      <w:r w:rsidRPr="009A0DA6">
        <w:rPr>
          <w:rFonts w:ascii="Cambria" w:eastAsia="Calibri" w:hAnsi="Cambria" w:cs="Calibri"/>
          <w:spacing w:val="-1"/>
        </w:rPr>
        <w:t xml:space="preserve"> </w:t>
      </w:r>
      <w:r w:rsidRPr="009A0DA6">
        <w:rPr>
          <w:rFonts w:ascii="Cambria" w:eastAsia="Calibri" w:hAnsi="Cambria" w:cs="Calibri"/>
        </w:rPr>
        <w:t>jus</w:t>
      </w:r>
      <w:r w:rsidRPr="009A0DA6">
        <w:rPr>
          <w:rFonts w:ascii="Cambria" w:eastAsia="Calibri" w:hAnsi="Cambria" w:cs="Calibri"/>
          <w:spacing w:val="1"/>
        </w:rPr>
        <w:t>t</w:t>
      </w:r>
      <w:r w:rsidRPr="009A0DA6">
        <w:rPr>
          <w:rFonts w:ascii="Cambria" w:eastAsia="Calibri" w:hAnsi="Cambria" w:cs="Calibri"/>
        </w:rPr>
        <w:t>i</w:t>
      </w:r>
      <w:r w:rsidRPr="009A0DA6">
        <w:rPr>
          <w:rFonts w:ascii="Cambria" w:eastAsia="Calibri" w:hAnsi="Cambria" w:cs="Calibri"/>
          <w:spacing w:val="-1"/>
        </w:rPr>
        <w:t>c</w:t>
      </w:r>
      <w:r w:rsidRPr="009A0DA6">
        <w:rPr>
          <w:rFonts w:ascii="Cambria" w:eastAsia="Calibri" w:hAnsi="Cambria" w:cs="Calibri"/>
        </w:rPr>
        <w:t xml:space="preserve">e </w:t>
      </w:r>
      <w:r w:rsidRPr="009A0DA6">
        <w:rPr>
          <w:rFonts w:ascii="Cambria" w:eastAsia="Calibri" w:hAnsi="Cambria" w:cs="Calibri"/>
          <w:spacing w:val="-1"/>
        </w:rPr>
        <w:t>w</w:t>
      </w:r>
      <w:r w:rsidRPr="009A0DA6">
        <w:rPr>
          <w:rFonts w:ascii="Cambria" w:eastAsia="Calibri" w:hAnsi="Cambria" w:cs="Calibri"/>
        </w:rPr>
        <w:t xml:space="preserve">e end up </w:t>
      </w:r>
      <w:r w:rsidRPr="009A0DA6">
        <w:rPr>
          <w:rFonts w:ascii="Cambria" w:eastAsia="Calibri" w:hAnsi="Cambria" w:cs="Calibri"/>
          <w:spacing w:val="-1"/>
        </w:rPr>
        <w:t>p</w:t>
      </w:r>
      <w:r w:rsidRPr="009A0DA6">
        <w:rPr>
          <w:rFonts w:ascii="Cambria" w:eastAsia="Calibri" w:hAnsi="Cambria" w:cs="Calibri"/>
        </w:rPr>
        <w:t>e</w:t>
      </w:r>
      <w:r w:rsidRPr="009A0DA6">
        <w:rPr>
          <w:rFonts w:ascii="Cambria" w:eastAsia="Calibri" w:hAnsi="Cambria" w:cs="Calibri"/>
          <w:spacing w:val="1"/>
        </w:rPr>
        <w:t>r</w:t>
      </w:r>
      <w:r w:rsidRPr="009A0DA6">
        <w:rPr>
          <w:rFonts w:ascii="Cambria" w:eastAsia="Calibri" w:hAnsi="Cambria" w:cs="Calibri"/>
          <w:spacing w:val="-1"/>
        </w:rPr>
        <w:t>p</w:t>
      </w:r>
      <w:r w:rsidRPr="009A0DA6">
        <w:rPr>
          <w:rFonts w:ascii="Cambria" w:eastAsia="Calibri" w:hAnsi="Cambria" w:cs="Calibri"/>
        </w:rPr>
        <w:t>e</w:t>
      </w:r>
      <w:r w:rsidRPr="009A0DA6">
        <w:rPr>
          <w:rFonts w:ascii="Cambria" w:eastAsia="Calibri" w:hAnsi="Cambria" w:cs="Calibri"/>
          <w:spacing w:val="-2"/>
        </w:rPr>
        <w:t>t</w:t>
      </w:r>
      <w:r w:rsidRPr="009A0DA6">
        <w:rPr>
          <w:rFonts w:ascii="Cambria" w:eastAsia="Calibri" w:hAnsi="Cambria" w:cs="Calibri"/>
          <w:spacing w:val="1"/>
        </w:rPr>
        <w:t>r</w:t>
      </w:r>
      <w:r w:rsidRPr="009A0DA6">
        <w:rPr>
          <w:rFonts w:ascii="Cambria" w:eastAsia="Calibri" w:hAnsi="Cambria" w:cs="Calibri"/>
          <w:spacing w:val="-1"/>
        </w:rPr>
        <w:t>a</w:t>
      </w:r>
      <w:r w:rsidRPr="009A0DA6">
        <w:rPr>
          <w:rFonts w:ascii="Cambria" w:eastAsia="Calibri" w:hAnsi="Cambria" w:cs="Calibri"/>
        </w:rPr>
        <w:t>ting i</w:t>
      </w:r>
      <w:r w:rsidRPr="009A0DA6">
        <w:rPr>
          <w:rFonts w:ascii="Cambria" w:eastAsia="Calibri" w:hAnsi="Cambria" w:cs="Calibri"/>
          <w:spacing w:val="-1"/>
        </w:rPr>
        <w:t>n</w:t>
      </w:r>
      <w:r w:rsidRPr="009A0DA6">
        <w:rPr>
          <w:rFonts w:ascii="Cambria" w:eastAsia="Calibri" w:hAnsi="Cambria" w:cs="Calibri"/>
        </w:rPr>
        <w:t>j</w:t>
      </w:r>
      <w:r w:rsidRPr="009A0DA6">
        <w:rPr>
          <w:rFonts w:ascii="Cambria" w:eastAsia="Calibri" w:hAnsi="Cambria" w:cs="Calibri"/>
          <w:spacing w:val="-1"/>
        </w:rPr>
        <w:t>u</w:t>
      </w:r>
      <w:r w:rsidRPr="009A0DA6">
        <w:rPr>
          <w:rFonts w:ascii="Cambria" w:eastAsia="Calibri" w:hAnsi="Cambria" w:cs="Calibri"/>
        </w:rPr>
        <w:t>s</w:t>
      </w:r>
      <w:r w:rsidRPr="009A0DA6">
        <w:rPr>
          <w:rFonts w:ascii="Cambria" w:eastAsia="Calibri" w:hAnsi="Cambria" w:cs="Calibri"/>
          <w:spacing w:val="1"/>
        </w:rPr>
        <w:t>t</w:t>
      </w:r>
      <w:r w:rsidRPr="009A0DA6">
        <w:rPr>
          <w:rFonts w:ascii="Cambria" w:eastAsia="Calibri" w:hAnsi="Cambria" w:cs="Calibri"/>
        </w:rPr>
        <w:t>i</w:t>
      </w:r>
      <w:r w:rsidRPr="009A0DA6">
        <w:rPr>
          <w:rFonts w:ascii="Cambria" w:eastAsia="Calibri" w:hAnsi="Cambria" w:cs="Calibri"/>
          <w:spacing w:val="-1"/>
        </w:rPr>
        <w:t>c</w:t>
      </w:r>
      <w:r w:rsidRPr="009A0DA6">
        <w:rPr>
          <w:rFonts w:ascii="Cambria" w:eastAsia="Calibri" w:hAnsi="Cambria" w:cs="Calibri"/>
        </w:rPr>
        <w:t>e,</w:t>
      </w:r>
      <w:r w:rsidRPr="009A0DA6">
        <w:rPr>
          <w:rFonts w:ascii="Cambria" w:eastAsia="Calibri" w:hAnsi="Cambria" w:cs="Calibri"/>
          <w:spacing w:val="-2"/>
        </w:rPr>
        <w:t xml:space="preserve"> </w:t>
      </w:r>
      <w:r w:rsidRPr="009A0DA6">
        <w:rPr>
          <w:rFonts w:ascii="Cambria" w:eastAsia="Calibri" w:hAnsi="Cambria" w:cs="Calibri"/>
        </w:rPr>
        <w:t>a</w:t>
      </w:r>
      <w:r w:rsidRPr="009A0DA6">
        <w:rPr>
          <w:rFonts w:ascii="Cambria" w:eastAsia="Calibri" w:hAnsi="Cambria" w:cs="Calibri"/>
          <w:spacing w:val="-1"/>
        </w:rPr>
        <w:t>n</w:t>
      </w:r>
      <w:r w:rsidRPr="009A0DA6">
        <w:rPr>
          <w:rFonts w:ascii="Cambria" w:eastAsia="Calibri" w:hAnsi="Cambria" w:cs="Calibri"/>
        </w:rPr>
        <w:t>d in</w:t>
      </w:r>
      <w:r w:rsidRPr="009A0DA6">
        <w:rPr>
          <w:rFonts w:ascii="Cambria" w:eastAsia="Calibri" w:hAnsi="Cambria" w:cs="Calibri"/>
          <w:spacing w:val="-1"/>
        </w:rPr>
        <w:t xml:space="preserve"> </w:t>
      </w:r>
      <w:r w:rsidRPr="009A0DA6">
        <w:rPr>
          <w:rFonts w:ascii="Cambria" w:eastAsia="Calibri" w:hAnsi="Cambria" w:cs="Calibri"/>
        </w:rPr>
        <w:t>o</w:t>
      </w:r>
      <w:r w:rsidRPr="009A0DA6">
        <w:rPr>
          <w:rFonts w:ascii="Cambria" w:eastAsia="Calibri" w:hAnsi="Cambria" w:cs="Calibri"/>
          <w:spacing w:val="-1"/>
        </w:rPr>
        <w:t>u</w:t>
      </w:r>
      <w:r w:rsidRPr="009A0DA6">
        <w:rPr>
          <w:rFonts w:ascii="Cambria" w:eastAsia="Calibri" w:hAnsi="Cambria" w:cs="Calibri"/>
        </w:rPr>
        <w:t>r</w:t>
      </w:r>
      <w:r w:rsidRPr="009A0DA6">
        <w:rPr>
          <w:rFonts w:ascii="Cambria" w:eastAsia="Calibri" w:hAnsi="Cambria" w:cs="Calibri"/>
          <w:spacing w:val="1"/>
        </w:rPr>
        <w:t xml:space="preserve"> </w:t>
      </w:r>
      <w:r w:rsidRPr="009A0DA6">
        <w:rPr>
          <w:rFonts w:ascii="Cambria" w:eastAsia="Calibri" w:hAnsi="Cambria" w:cs="Calibri"/>
        </w:rPr>
        <w:t>des</w:t>
      </w:r>
      <w:r w:rsidRPr="009A0DA6">
        <w:rPr>
          <w:rFonts w:ascii="Cambria" w:eastAsia="Calibri" w:hAnsi="Cambria" w:cs="Calibri"/>
          <w:spacing w:val="-2"/>
        </w:rPr>
        <w:t>i</w:t>
      </w:r>
      <w:r w:rsidRPr="009A0DA6">
        <w:rPr>
          <w:rFonts w:ascii="Cambria" w:eastAsia="Calibri" w:hAnsi="Cambria" w:cs="Calibri"/>
          <w:spacing w:val="1"/>
        </w:rPr>
        <w:t>r</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rPr>
        <w:t>to p</w:t>
      </w:r>
      <w:r w:rsidRPr="009A0DA6">
        <w:rPr>
          <w:rFonts w:ascii="Cambria" w:eastAsia="Calibri" w:hAnsi="Cambria" w:cs="Calibri"/>
          <w:spacing w:val="1"/>
        </w:rPr>
        <w:t>r</w:t>
      </w:r>
      <w:r w:rsidRPr="009A0DA6">
        <w:rPr>
          <w:rFonts w:ascii="Cambria" w:eastAsia="Calibri" w:hAnsi="Cambria" w:cs="Calibri"/>
        </w:rPr>
        <w:t>o</w:t>
      </w:r>
      <w:r w:rsidRPr="009A0DA6">
        <w:rPr>
          <w:rFonts w:ascii="Cambria" w:eastAsia="Calibri" w:hAnsi="Cambria" w:cs="Calibri"/>
          <w:spacing w:val="-2"/>
        </w:rPr>
        <w:t>t</w:t>
      </w:r>
      <w:r w:rsidRPr="009A0DA6">
        <w:rPr>
          <w:rFonts w:ascii="Cambria" w:eastAsia="Calibri" w:hAnsi="Cambria" w:cs="Calibri"/>
        </w:rPr>
        <w:t>ect i</w:t>
      </w:r>
      <w:r w:rsidRPr="009A0DA6">
        <w:rPr>
          <w:rFonts w:ascii="Cambria" w:eastAsia="Calibri" w:hAnsi="Cambria" w:cs="Calibri"/>
          <w:spacing w:val="-1"/>
        </w:rPr>
        <w:t>nn</w:t>
      </w:r>
      <w:r w:rsidRPr="009A0DA6">
        <w:rPr>
          <w:rFonts w:ascii="Cambria" w:eastAsia="Calibri" w:hAnsi="Cambria" w:cs="Calibri"/>
          <w:spacing w:val="-3"/>
        </w:rPr>
        <w:t>o</w:t>
      </w:r>
      <w:r w:rsidRPr="009A0DA6">
        <w:rPr>
          <w:rFonts w:ascii="Cambria" w:eastAsia="Calibri" w:hAnsi="Cambria" w:cs="Calibri"/>
        </w:rPr>
        <w:t>ce</w:t>
      </w:r>
      <w:r w:rsidRPr="009A0DA6">
        <w:rPr>
          <w:rFonts w:ascii="Cambria" w:eastAsia="Calibri" w:hAnsi="Cambria" w:cs="Calibri"/>
          <w:spacing w:val="-1"/>
        </w:rPr>
        <w:t>n</w:t>
      </w:r>
      <w:r w:rsidRPr="009A0DA6">
        <w:rPr>
          <w:rFonts w:ascii="Cambria" w:eastAsia="Calibri" w:hAnsi="Cambria" w:cs="Calibri"/>
        </w:rPr>
        <w:t>t</w:t>
      </w:r>
      <w:r w:rsidRPr="009A0DA6">
        <w:rPr>
          <w:rFonts w:ascii="Cambria" w:eastAsia="Calibri" w:hAnsi="Cambria" w:cs="Calibri"/>
          <w:spacing w:val="1"/>
        </w:rPr>
        <w:t xml:space="preserve"> </w:t>
      </w:r>
      <w:r w:rsidRPr="009A0DA6">
        <w:rPr>
          <w:rFonts w:ascii="Cambria" w:eastAsia="Calibri" w:hAnsi="Cambria" w:cs="Calibri"/>
        </w:rPr>
        <w:t>vi</w:t>
      </w:r>
      <w:r w:rsidRPr="009A0DA6">
        <w:rPr>
          <w:rFonts w:ascii="Cambria" w:eastAsia="Calibri" w:hAnsi="Cambria" w:cs="Calibri"/>
          <w:spacing w:val="-1"/>
        </w:rPr>
        <w:t>c</w:t>
      </w:r>
      <w:r w:rsidRPr="009A0DA6">
        <w:rPr>
          <w:rFonts w:ascii="Cambria" w:eastAsia="Calibri" w:hAnsi="Cambria" w:cs="Calibri"/>
        </w:rPr>
        <w:t>ti</w:t>
      </w:r>
      <w:r w:rsidRPr="009A0DA6">
        <w:rPr>
          <w:rFonts w:ascii="Cambria" w:eastAsia="Calibri" w:hAnsi="Cambria" w:cs="Calibri"/>
          <w:spacing w:val="-2"/>
        </w:rPr>
        <w:t>m</w:t>
      </w:r>
      <w:r w:rsidRPr="009A0DA6">
        <w:rPr>
          <w:rFonts w:ascii="Cambria" w:eastAsia="Calibri" w:hAnsi="Cambria" w:cs="Calibri"/>
        </w:rPr>
        <w:t>s</w:t>
      </w:r>
      <w:r w:rsidRPr="009A0DA6">
        <w:rPr>
          <w:rFonts w:ascii="Cambria" w:eastAsia="Calibri" w:hAnsi="Cambria" w:cs="Calibri"/>
          <w:spacing w:val="1"/>
        </w:rPr>
        <w:t xml:space="preserve"> </w:t>
      </w:r>
      <w:r w:rsidRPr="009A0DA6">
        <w:rPr>
          <w:rFonts w:ascii="Cambria" w:eastAsia="Calibri" w:hAnsi="Cambria" w:cs="Calibri"/>
          <w:spacing w:val="-2"/>
        </w:rPr>
        <w:t>w</w:t>
      </w:r>
      <w:r w:rsidRPr="009A0DA6">
        <w:rPr>
          <w:rFonts w:ascii="Cambria" w:eastAsia="Calibri" w:hAnsi="Cambria" w:cs="Calibri"/>
        </w:rPr>
        <w:t>e end up</w:t>
      </w:r>
      <w:r w:rsidRPr="009A0DA6">
        <w:rPr>
          <w:rFonts w:ascii="Cambria" w:eastAsia="Calibri" w:hAnsi="Cambria" w:cs="Calibri"/>
          <w:spacing w:val="-1"/>
        </w:rPr>
        <w:t xml:space="preserve"> </w:t>
      </w:r>
      <w:r w:rsidRPr="009A0DA6">
        <w:rPr>
          <w:rFonts w:ascii="Cambria" w:eastAsia="Calibri" w:hAnsi="Cambria" w:cs="Calibri"/>
        </w:rPr>
        <w:t>c</w:t>
      </w:r>
      <w:r w:rsidRPr="009A0DA6">
        <w:rPr>
          <w:rFonts w:ascii="Cambria" w:eastAsia="Calibri" w:hAnsi="Cambria" w:cs="Calibri"/>
          <w:spacing w:val="-1"/>
        </w:rPr>
        <w:t>r</w:t>
      </w:r>
      <w:r w:rsidRPr="009A0DA6">
        <w:rPr>
          <w:rFonts w:ascii="Cambria" w:eastAsia="Calibri" w:hAnsi="Cambria" w:cs="Calibri"/>
          <w:spacing w:val="-2"/>
        </w:rPr>
        <w:t>e</w:t>
      </w:r>
      <w:r w:rsidRPr="009A0DA6">
        <w:rPr>
          <w:rFonts w:ascii="Cambria" w:eastAsia="Calibri" w:hAnsi="Cambria" w:cs="Calibri"/>
          <w:spacing w:val="-1"/>
        </w:rPr>
        <w:t>a</w:t>
      </w:r>
      <w:r w:rsidRPr="009A0DA6">
        <w:rPr>
          <w:rFonts w:ascii="Cambria" w:eastAsia="Calibri" w:hAnsi="Cambria" w:cs="Calibri"/>
        </w:rPr>
        <w:t>ting</w:t>
      </w:r>
      <w:r w:rsidRPr="009A0DA6">
        <w:rPr>
          <w:rFonts w:ascii="Cambria" w:eastAsia="Calibri" w:hAnsi="Cambria" w:cs="Calibri"/>
          <w:spacing w:val="-1"/>
        </w:rPr>
        <w:t xml:space="preserve"> </w:t>
      </w:r>
      <w:r w:rsidRPr="009A0DA6">
        <w:rPr>
          <w:rFonts w:ascii="Cambria" w:eastAsia="Calibri" w:hAnsi="Cambria" w:cs="Calibri"/>
        </w:rPr>
        <w:t>new</w:t>
      </w:r>
      <w:r w:rsidRPr="009A0DA6">
        <w:rPr>
          <w:rFonts w:ascii="Cambria" w:eastAsia="Calibri" w:hAnsi="Cambria" w:cs="Calibri"/>
          <w:spacing w:val="1"/>
        </w:rPr>
        <w:t xml:space="preserve"> </w:t>
      </w:r>
      <w:r w:rsidRPr="009A0DA6">
        <w:rPr>
          <w:rFonts w:ascii="Cambria" w:eastAsia="Calibri" w:hAnsi="Cambria" w:cs="Calibri"/>
        </w:rPr>
        <w:t>o</w:t>
      </w:r>
      <w:r w:rsidRPr="009A0DA6">
        <w:rPr>
          <w:rFonts w:ascii="Cambria" w:eastAsia="Calibri" w:hAnsi="Cambria" w:cs="Calibri"/>
          <w:spacing w:val="-1"/>
        </w:rPr>
        <w:t>n</w:t>
      </w:r>
      <w:r w:rsidRPr="009A0DA6">
        <w:rPr>
          <w:rFonts w:ascii="Cambria" w:eastAsia="Calibri" w:hAnsi="Cambria" w:cs="Calibri"/>
        </w:rPr>
        <w:t>es.</w:t>
      </w:r>
    </w:p>
    <w:p w14:paraId="20D15802" w14:textId="77777777" w:rsidR="000018CD" w:rsidRPr="009A0DA6" w:rsidRDefault="000018CD" w:rsidP="004A186C">
      <w:pPr>
        <w:spacing w:after="0" w:line="240" w:lineRule="auto"/>
        <w:ind w:left="567" w:right="-23"/>
        <w:rPr>
          <w:rFonts w:ascii="Cambria" w:eastAsia="Calibri" w:hAnsi="Cambria" w:cs="Calibri"/>
        </w:rPr>
      </w:pPr>
    </w:p>
    <w:p w14:paraId="6201A5CF" w14:textId="77777777" w:rsidR="00194B18" w:rsidRPr="009A0DA6" w:rsidRDefault="00194B18" w:rsidP="00F55252">
      <w:pPr>
        <w:pStyle w:val="ListParagraph"/>
        <w:numPr>
          <w:ilvl w:val="0"/>
          <w:numId w:val="143"/>
        </w:numPr>
        <w:spacing w:after="120" w:line="240" w:lineRule="auto"/>
        <w:ind w:left="567" w:right="67" w:hanging="567"/>
        <w:rPr>
          <w:rFonts w:ascii="Cambria" w:eastAsia="Calibri" w:hAnsi="Cambria" w:cs="Calibri"/>
        </w:rPr>
      </w:pPr>
      <w:r w:rsidRPr="009A0DA6">
        <w:rPr>
          <w:rFonts w:ascii="Cambria" w:eastAsia="Calibri" w:hAnsi="Cambria" w:cs="Calibri"/>
        </w:rPr>
        <w:t>Th</w:t>
      </w:r>
      <w:r w:rsidRPr="009A0DA6">
        <w:rPr>
          <w:rFonts w:ascii="Cambria" w:eastAsia="Calibri" w:hAnsi="Cambria" w:cs="Calibri"/>
          <w:spacing w:val="-1"/>
        </w:rPr>
        <w:t>a</w:t>
      </w:r>
      <w:r w:rsidRPr="009A0DA6">
        <w:rPr>
          <w:rFonts w:ascii="Cambria" w:eastAsia="Calibri" w:hAnsi="Cambria" w:cs="Calibri"/>
        </w:rPr>
        <w:t>t</w:t>
      </w:r>
      <w:r w:rsidRPr="009A0DA6">
        <w:rPr>
          <w:rFonts w:ascii="Cambria" w:eastAsia="Calibri" w:hAnsi="Cambria" w:cs="Calibri"/>
          <w:spacing w:val="1"/>
        </w:rPr>
        <w:t xml:space="preserve"> </w:t>
      </w:r>
      <w:r w:rsidRPr="009A0DA6">
        <w:rPr>
          <w:rFonts w:ascii="Cambria" w:eastAsia="Calibri" w:hAnsi="Cambria" w:cs="Calibri"/>
        </w:rPr>
        <w:t>i</w:t>
      </w:r>
      <w:r w:rsidRPr="009A0DA6">
        <w:rPr>
          <w:rFonts w:ascii="Cambria" w:eastAsia="Calibri" w:hAnsi="Cambria" w:cs="Calibri"/>
          <w:spacing w:val="-1"/>
        </w:rPr>
        <w:t>nd</w:t>
      </w:r>
      <w:r w:rsidRPr="009A0DA6">
        <w:rPr>
          <w:rFonts w:ascii="Cambria" w:eastAsia="Calibri" w:hAnsi="Cambria" w:cs="Calibri"/>
        </w:rPr>
        <w:t>iv</w:t>
      </w:r>
      <w:r w:rsidRPr="009A0DA6">
        <w:rPr>
          <w:rFonts w:ascii="Cambria" w:eastAsia="Calibri" w:hAnsi="Cambria" w:cs="Calibri"/>
          <w:spacing w:val="-1"/>
        </w:rPr>
        <w:t>idua</w:t>
      </w:r>
      <w:r w:rsidRPr="009A0DA6">
        <w:rPr>
          <w:rFonts w:ascii="Cambria" w:eastAsia="Calibri" w:hAnsi="Cambria" w:cs="Calibri"/>
        </w:rPr>
        <w:t>ls h</w:t>
      </w:r>
      <w:r w:rsidRPr="009A0DA6">
        <w:rPr>
          <w:rFonts w:ascii="Cambria" w:eastAsia="Calibri" w:hAnsi="Cambria" w:cs="Calibri"/>
          <w:spacing w:val="-1"/>
        </w:rPr>
        <w:t>a</w:t>
      </w:r>
      <w:r w:rsidRPr="009A0DA6">
        <w:rPr>
          <w:rFonts w:ascii="Cambria" w:eastAsia="Calibri" w:hAnsi="Cambria" w:cs="Calibri"/>
        </w:rPr>
        <w:t>ve been</w:t>
      </w:r>
      <w:r w:rsidRPr="009A0DA6">
        <w:rPr>
          <w:rFonts w:ascii="Cambria" w:eastAsia="Calibri" w:hAnsi="Cambria" w:cs="Calibri"/>
          <w:spacing w:val="-3"/>
        </w:rPr>
        <w:t xml:space="preserve"> </w:t>
      </w:r>
      <w:r w:rsidRPr="009A0DA6">
        <w:rPr>
          <w:rFonts w:ascii="Cambria" w:eastAsia="Calibri" w:hAnsi="Cambria" w:cs="Calibri"/>
          <w:spacing w:val="-1"/>
        </w:rPr>
        <w:t>p</w:t>
      </w:r>
      <w:r w:rsidRPr="009A0DA6">
        <w:rPr>
          <w:rFonts w:ascii="Cambria" w:eastAsia="Calibri" w:hAnsi="Cambria" w:cs="Calibri"/>
          <w:spacing w:val="1"/>
        </w:rPr>
        <w:t>r</w:t>
      </w:r>
      <w:r w:rsidRPr="009A0DA6">
        <w:rPr>
          <w:rFonts w:ascii="Cambria" w:eastAsia="Calibri" w:hAnsi="Cambria" w:cs="Calibri"/>
        </w:rPr>
        <w:t>es</w:t>
      </w:r>
      <w:r w:rsidRPr="009A0DA6">
        <w:rPr>
          <w:rFonts w:ascii="Cambria" w:eastAsia="Calibri" w:hAnsi="Cambria" w:cs="Calibri"/>
          <w:spacing w:val="1"/>
        </w:rPr>
        <w:t>s</w:t>
      </w:r>
      <w:r w:rsidRPr="009A0DA6">
        <w:rPr>
          <w:rFonts w:ascii="Cambria" w:eastAsia="Calibri" w:hAnsi="Cambria" w:cs="Calibri"/>
          <w:spacing w:val="-3"/>
        </w:rPr>
        <w:t>u</w:t>
      </w:r>
      <w:r w:rsidRPr="009A0DA6">
        <w:rPr>
          <w:rFonts w:ascii="Cambria" w:eastAsia="Calibri" w:hAnsi="Cambria" w:cs="Calibri"/>
          <w:spacing w:val="1"/>
        </w:rPr>
        <w:t>r</w:t>
      </w:r>
      <w:r w:rsidRPr="009A0DA6">
        <w:rPr>
          <w:rFonts w:ascii="Cambria" w:eastAsia="Calibri" w:hAnsi="Cambria" w:cs="Calibri"/>
        </w:rPr>
        <w:t xml:space="preserve">ed </w:t>
      </w:r>
      <w:r w:rsidRPr="009A0DA6">
        <w:rPr>
          <w:rFonts w:ascii="Cambria" w:eastAsia="Calibri" w:hAnsi="Cambria" w:cs="Calibri"/>
          <w:spacing w:val="-1"/>
        </w:rPr>
        <w:t>b</w:t>
      </w:r>
      <w:r w:rsidRPr="009A0DA6">
        <w:rPr>
          <w:rFonts w:ascii="Cambria" w:eastAsia="Calibri" w:hAnsi="Cambria" w:cs="Calibri"/>
        </w:rPr>
        <w:t>y</w:t>
      </w:r>
      <w:r w:rsidRPr="009A0DA6">
        <w:rPr>
          <w:rFonts w:ascii="Cambria" w:eastAsia="Calibri" w:hAnsi="Cambria" w:cs="Calibri"/>
          <w:spacing w:val="-2"/>
        </w:rPr>
        <w:t xml:space="preserve"> </w:t>
      </w:r>
      <w:r w:rsidRPr="009A0DA6">
        <w:rPr>
          <w:rFonts w:ascii="Cambria" w:eastAsia="Calibri" w:hAnsi="Cambria" w:cs="Calibri"/>
        </w:rPr>
        <w:t>the</w:t>
      </w:r>
      <w:r w:rsidRPr="009A0DA6">
        <w:rPr>
          <w:rFonts w:ascii="Cambria" w:eastAsia="Calibri" w:hAnsi="Cambria" w:cs="Calibri"/>
          <w:spacing w:val="-2"/>
        </w:rPr>
        <w:t xml:space="preserve"> </w:t>
      </w:r>
      <w:r w:rsidRPr="009A0DA6">
        <w:rPr>
          <w:rFonts w:ascii="Cambria" w:eastAsia="Calibri" w:hAnsi="Cambria" w:cs="Calibri"/>
          <w:spacing w:val="1"/>
        </w:rPr>
        <w:t>P</w:t>
      </w:r>
      <w:r w:rsidRPr="009A0DA6">
        <w:rPr>
          <w:rFonts w:ascii="Cambria" w:eastAsia="Calibri" w:hAnsi="Cambria" w:cs="Calibri"/>
          <w:spacing w:val="-1"/>
        </w:rPr>
        <w:t>S</w:t>
      </w:r>
      <w:r w:rsidRPr="009A0DA6">
        <w:rPr>
          <w:rFonts w:ascii="Cambria" w:eastAsia="Calibri" w:hAnsi="Cambria" w:cs="Calibri"/>
        </w:rPr>
        <w:t>D</w:t>
      </w:r>
      <w:r w:rsidRPr="009A0DA6">
        <w:rPr>
          <w:rFonts w:ascii="Cambria" w:eastAsia="Calibri" w:hAnsi="Cambria" w:cs="Calibri"/>
          <w:spacing w:val="1"/>
        </w:rPr>
        <w:t xml:space="preserve"> t</w:t>
      </w:r>
      <w:r w:rsidRPr="009A0DA6">
        <w:rPr>
          <w:rFonts w:ascii="Cambria" w:eastAsia="Calibri" w:hAnsi="Cambria" w:cs="Calibri"/>
        </w:rPr>
        <w:t>o</w:t>
      </w:r>
      <w:r w:rsidRPr="009A0DA6">
        <w:rPr>
          <w:rFonts w:ascii="Cambria" w:eastAsia="Calibri" w:hAnsi="Cambria" w:cs="Calibri"/>
          <w:spacing w:val="-2"/>
        </w:rPr>
        <w:t xml:space="preserve"> </w:t>
      </w:r>
      <w:r w:rsidRPr="009A0DA6">
        <w:rPr>
          <w:rFonts w:ascii="Cambria" w:eastAsia="Calibri" w:hAnsi="Cambria" w:cs="Calibri"/>
        </w:rPr>
        <w:t>si</w:t>
      </w:r>
      <w:r w:rsidRPr="009A0DA6">
        <w:rPr>
          <w:rFonts w:ascii="Cambria" w:eastAsia="Calibri" w:hAnsi="Cambria" w:cs="Calibri"/>
          <w:spacing w:val="-3"/>
        </w:rPr>
        <w:t>g</w:t>
      </w:r>
      <w:r w:rsidRPr="009A0DA6">
        <w:rPr>
          <w:rFonts w:ascii="Cambria" w:eastAsia="Calibri" w:hAnsi="Cambria" w:cs="Calibri"/>
        </w:rPr>
        <w:t>n</w:t>
      </w:r>
      <w:r w:rsidRPr="009A0DA6">
        <w:rPr>
          <w:rFonts w:ascii="Cambria" w:eastAsia="Calibri" w:hAnsi="Cambria" w:cs="Calibri"/>
          <w:spacing w:val="-1"/>
        </w:rPr>
        <w:t xml:space="preserve"> </w:t>
      </w:r>
      <w:r w:rsidRPr="009A0DA6">
        <w:rPr>
          <w:rFonts w:ascii="Cambria" w:eastAsia="Calibri" w:hAnsi="Cambria" w:cs="Calibri"/>
          <w:spacing w:val="1"/>
        </w:rPr>
        <w:t>s</w:t>
      </w:r>
      <w:r w:rsidRPr="009A0DA6">
        <w:rPr>
          <w:rFonts w:ascii="Cambria" w:eastAsia="Calibri" w:hAnsi="Cambria" w:cs="Calibri"/>
        </w:rPr>
        <w:t>tat</w:t>
      </w:r>
      <w:r w:rsidRPr="009A0DA6">
        <w:rPr>
          <w:rFonts w:ascii="Cambria" w:eastAsia="Calibri" w:hAnsi="Cambria" w:cs="Calibri"/>
          <w:spacing w:val="-2"/>
        </w:rPr>
        <w:t>e</w:t>
      </w:r>
      <w:r w:rsidRPr="009A0DA6">
        <w:rPr>
          <w:rFonts w:ascii="Cambria" w:eastAsia="Calibri" w:hAnsi="Cambria" w:cs="Calibri"/>
        </w:rPr>
        <w:t>ments</w:t>
      </w:r>
      <w:r w:rsidRPr="009A0DA6">
        <w:rPr>
          <w:rFonts w:ascii="Cambria" w:eastAsia="Calibri" w:hAnsi="Cambria" w:cs="Calibri"/>
          <w:spacing w:val="-1"/>
        </w:rPr>
        <w:t xml:space="preserve"> </w:t>
      </w:r>
      <w:r w:rsidRPr="009A0DA6">
        <w:rPr>
          <w:rFonts w:ascii="Cambria" w:eastAsia="Calibri" w:hAnsi="Cambria" w:cs="Calibri"/>
          <w:spacing w:val="1"/>
        </w:rPr>
        <w:t>t</w:t>
      </w:r>
      <w:r w:rsidRPr="009A0DA6">
        <w:rPr>
          <w:rFonts w:ascii="Cambria" w:eastAsia="Calibri" w:hAnsi="Cambria" w:cs="Calibri"/>
          <w:spacing w:val="-1"/>
        </w:rPr>
        <w:t>ha</w:t>
      </w:r>
      <w:r w:rsidRPr="009A0DA6">
        <w:rPr>
          <w:rFonts w:ascii="Cambria" w:eastAsia="Calibri" w:hAnsi="Cambria" w:cs="Calibri"/>
        </w:rPr>
        <w:t>t</w:t>
      </w:r>
      <w:r w:rsidRPr="009A0DA6">
        <w:rPr>
          <w:rFonts w:ascii="Cambria" w:eastAsia="Calibri" w:hAnsi="Cambria" w:cs="Calibri"/>
          <w:spacing w:val="1"/>
        </w:rPr>
        <w:t xml:space="preserve"> </w:t>
      </w:r>
      <w:r w:rsidRPr="009A0DA6">
        <w:rPr>
          <w:rFonts w:ascii="Cambria" w:eastAsia="Calibri" w:hAnsi="Cambria" w:cs="Calibri"/>
        </w:rPr>
        <w:t>t</w:t>
      </w:r>
      <w:r w:rsidRPr="009A0DA6">
        <w:rPr>
          <w:rFonts w:ascii="Cambria" w:eastAsia="Calibri" w:hAnsi="Cambria" w:cs="Calibri"/>
          <w:spacing w:val="-3"/>
        </w:rPr>
        <w:t>h</w:t>
      </w:r>
      <w:r w:rsidRPr="009A0DA6">
        <w:rPr>
          <w:rFonts w:ascii="Cambria" w:eastAsia="Calibri" w:hAnsi="Cambria" w:cs="Calibri"/>
        </w:rPr>
        <w:t xml:space="preserve">ey </w:t>
      </w:r>
      <w:r w:rsidRPr="009A0DA6">
        <w:rPr>
          <w:rFonts w:ascii="Cambria" w:eastAsia="Calibri" w:hAnsi="Cambria" w:cs="Calibri"/>
          <w:spacing w:val="1"/>
        </w:rPr>
        <w:t>w</w:t>
      </w:r>
      <w:r w:rsidRPr="009A0DA6">
        <w:rPr>
          <w:rFonts w:ascii="Cambria" w:eastAsia="Calibri" w:hAnsi="Cambria" w:cs="Calibri"/>
        </w:rPr>
        <w:t>ill</w:t>
      </w:r>
      <w:r w:rsidRPr="009A0DA6">
        <w:rPr>
          <w:rFonts w:ascii="Cambria" w:eastAsia="Calibri" w:hAnsi="Cambria" w:cs="Calibri"/>
          <w:spacing w:val="-2"/>
        </w:rPr>
        <w:t xml:space="preserve"> </w:t>
      </w:r>
      <w:r w:rsidRPr="009A0DA6">
        <w:rPr>
          <w:rFonts w:ascii="Cambria" w:eastAsia="Calibri" w:hAnsi="Cambria" w:cs="Calibri"/>
          <w:spacing w:val="-1"/>
        </w:rPr>
        <w:t>n</w:t>
      </w:r>
      <w:r w:rsidRPr="009A0DA6">
        <w:rPr>
          <w:rFonts w:ascii="Cambria" w:eastAsia="Calibri" w:hAnsi="Cambria" w:cs="Calibri"/>
        </w:rPr>
        <w:t>ot att</w:t>
      </w:r>
      <w:r w:rsidRPr="009A0DA6">
        <w:rPr>
          <w:rFonts w:ascii="Cambria" w:eastAsia="Calibri" w:hAnsi="Cambria" w:cs="Calibri"/>
          <w:spacing w:val="1"/>
        </w:rPr>
        <w:t>e</w:t>
      </w:r>
      <w:r w:rsidRPr="009A0DA6">
        <w:rPr>
          <w:rFonts w:ascii="Cambria" w:eastAsia="Calibri" w:hAnsi="Cambria" w:cs="Calibri"/>
          <w:spacing w:val="-1"/>
        </w:rPr>
        <w:t>n</w:t>
      </w:r>
      <w:r w:rsidRPr="009A0DA6">
        <w:rPr>
          <w:rFonts w:ascii="Cambria" w:eastAsia="Calibri" w:hAnsi="Cambria" w:cs="Calibri"/>
        </w:rPr>
        <w:t>d</w:t>
      </w:r>
      <w:r w:rsidRPr="009A0DA6">
        <w:rPr>
          <w:rFonts w:ascii="Cambria" w:eastAsia="Calibri" w:hAnsi="Cambria" w:cs="Calibri"/>
          <w:spacing w:val="-1"/>
        </w:rPr>
        <w:t xml:space="preserve"> </w:t>
      </w:r>
      <w:r w:rsidRPr="009A0DA6">
        <w:rPr>
          <w:rFonts w:ascii="Cambria" w:eastAsia="Calibri" w:hAnsi="Cambria" w:cs="Calibri"/>
        </w:rPr>
        <w:t>div</w:t>
      </w:r>
      <w:r w:rsidRPr="009A0DA6">
        <w:rPr>
          <w:rFonts w:ascii="Cambria" w:eastAsia="Calibri" w:hAnsi="Cambria" w:cs="Calibri"/>
          <w:spacing w:val="-1"/>
        </w:rPr>
        <w:t>in</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rPr>
        <w:t>se</w:t>
      </w:r>
      <w:r w:rsidRPr="009A0DA6">
        <w:rPr>
          <w:rFonts w:ascii="Cambria" w:eastAsia="Calibri" w:hAnsi="Cambria" w:cs="Calibri"/>
          <w:spacing w:val="-1"/>
        </w:rPr>
        <w:t>r</w:t>
      </w:r>
      <w:r w:rsidRPr="009A0DA6">
        <w:rPr>
          <w:rFonts w:ascii="Cambria" w:eastAsia="Calibri" w:hAnsi="Cambria" w:cs="Calibri"/>
        </w:rPr>
        <w:t>vi</w:t>
      </w:r>
      <w:r w:rsidRPr="009A0DA6">
        <w:rPr>
          <w:rFonts w:ascii="Cambria" w:eastAsia="Calibri" w:hAnsi="Cambria" w:cs="Calibri"/>
          <w:spacing w:val="-1"/>
        </w:rPr>
        <w:t>c</w:t>
      </w:r>
      <w:r w:rsidRPr="009A0DA6">
        <w:rPr>
          <w:rFonts w:ascii="Cambria" w:eastAsia="Calibri" w:hAnsi="Cambria" w:cs="Calibri"/>
        </w:rPr>
        <w:t xml:space="preserve">e, </w:t>
      </w:r>
      <w:r w:rsidRPr="009A0DA6">
        <w:rPr>
          <w:rFonts w:ascii="Cambria" w:eastAsia="Calibri" w:hAnsi="Cambria" w:cs="Calibri"/>
          <w:spacing w:val="-2"/>
        </w:rPr>
        <w:t>o</w:t>
      </w:r>
      <w:r w:rsidRPr="009A0DA6">
        <w:rPr>
          <w:rFonts w:ascii="Cambria" w:eastAsia="Calibri" w:hAnsi="Cambria" w:cs="Calibri"/>
        </w:rPr>
        <w:t>r</w:t>
      </w:r>
      <w:r w:rsidRPr="009A0DA6">
        <w:rPr>
          <w:rFonts w:ascii="Cambria" w:eastAsia="Calibri" w:hAnsi="Cambria" w:cs="Calibri"/>
          <w:spacing w:val="6"/>
        </w:rPr>
        <w:t xml:space="preserve"> </w:t>
      </w:r>
      <w:r w:rsidRPr="009A0DA6">
        <w:rPr>
          <w:rFonts w:ascii="Cambria" w:eastAsia="Calibri" w:hAnsi="Cambria" w:cs="Calibri"/>
        </w:rPr>
        <w:t xml:space="preserve">will </w:t>
      </w:r>
      <w:r w:rsidRPr="009A0DA6">
        <w:rPr>
          <w:rFonts w:ascii="Cambria" w:eastAsia="Calibri" w:hAnsi="Cambria" w:cs="Calibri"/>
          <w:spacing w:val="-1"/>
        </w:rPr>
        <w:t>ab</w:t>
      </w:r>
      <w:r w:rsidRPr="009A0DA6">
        <w:rPr>
          <w:rFonts w:ascii="Cambria" w:eastAsia="Calibri" w:hAnsi="Cambria" w:cs="Calibri"/>
        </w:rPr>
        <w:t>i</w:t>
      </w:r>
      <w:r w:rsidRPr="009A0DA6">
        <w:rPr>
          <w:rFonts w:ascii="Cambria" w:eastAsia="Calibri" w:hAnsi="Cambria" w:cs="Calibri"/>
          <w:spacing w:val="-1"/>
        </w:rPr>
        <w:t>d</w:t>
      </w:r>
      <w:r w:rsidRPr="009A0DA6">
        <w:rPr>
          <w:rFonts w:ascii="Cambria" w:eastAsia="Calibri" w:hAnsi="Cambria" w:cs="Calibri"/>
        </w:rPr>
        <w:t>e by su</w:t>
      </w:r>
      <w:r w:rsidRPr="009A0DA6">
        <w:rPr>
          <w:rFonts w:ascii="Cambria" w:eastAsia="Calibri" w:hAnsi="Cambria" w:cs="Calibri"/>
          <w:spacing w:val="-1"/>
        </w:rPr>
        <w:t>c</w:t>
      </w:r>
      <w:r w:rsidRPr="009A0DA6">
        <w:rPr>
          <w:rFonts w:ascii="Cambria" w:eastAsia="Calibri" w:hAnsi="Cambria" w:cs="Calibri"/>
        </w:rPr>
        <w:t>h</w:t>
      </w:r>
      <w:r w:rsidRPr="009A0DA6">
        <w:rPr>
          <w:rFonts w:ascii="Cambria" w:eastAsia="Calibri" w:hAnsi="Cambria" w:cs="Calibri"/>
          <w:spacing w:val="-1"/>
        </w:rPr>
        <w:t xml:space="preserve"> </w:t>
      </w:r>
      <w:r w:rsidRPr="009A0DA6">
        <w:rPr>
          <w:rFonts w:ascii="Cambria" w:eastAsia="Calibri" w:hAnsi="Cambria" w:cs="Calibri"/>
        </w:rPr>
        <w:t>o</w:t>
      </w:r>
      <w:r w:rsidRPr="009A0DA6">
        <w:rPr>
          <w:rFonts w:ascii="Cambria" w:eastAsia="Calibri" w:hAnsi="Cambria" w:cs="Calibri"/>
          <w:spacing w:val="-1"/>
        </w:rPr>
        <w:t>n</w:t>
      </w:r>
      <w:r w:rsidRPr="009A0DA6">
        <w:rPr>
          <w:rFonts w:ascii="Cambria" w:eastAsia="Calibri" w:hAnsi="Cambria" w:cs="Calibri"/>
        </w:rPr>
        <w:t>e</w:t>
      </w:r>
      <w:r w:rsidRPr="009A0DA6">
        <w:rPr>
          <w:rFonts w:ascii="Cambria" w:eastAsia="Calibri" w:hAnsi="Cambria" w:cs="Calibri"/>
          <w:spacing w:val="1"/>
        </w:rPr>
        <w:t>r</w:t>
      </w:r>
      <w:r w:rsidRPr="009A0DA6">
        <w:rPr>
          <w:rFonts w:ascii="Cambria" w:eastAsia="Calibri" w:hAnsi="Cambria" w:cs="Calibri"/>
        </w:rPr>
        <w:t>o</w:t>
      </w:r>
      <w:r w:rsidRPr="009A0DA6">
        <w:rPr>
          <w:rFonts w:ascii="Cambria" w:eastAsia="Calibri" w:hAnsi="Cambria" w:cs="Calibri"/>
          <w:spacing w:val="-1"/>
        </w:rPr>
        <w:t>u</w:t>
      </w:r>
      <w:r w:rsidRPr="009A0DA6">
        <w:rPr>
          <w:rFonts w:ascii="Cambria" w:eastAsia="Calibri" w:hAnsi="Cambria" w:cs="Calibri"/>
        </w:rPr>
        <w:t>s</w:t>
      </w:r>
      <w:r w:rsidRPr="009A0DA6">
        <w:rPr>
          <w:rFonts w:ascii="Cambria" w:eastAsia="Calibri" w:hAnsi="Cambria" w:cs="Calibri"/>
          <w:spacing w:val="-1"/>
        </w:rPr>
        <w:t xml:space="preserve"> </w:t>
      </w:r>
      <w:r w:rsidRPr="009A0DA6">
        <w:rPr>
          <w:rFonts w:ascii="Cambria" w:eastAsia="Calibri" w:hAnsi="Cambria" w:cs="Calibri"/>
          <w:spacing w:val="1"/>
        </w:rPr>
        <w:t>r</w:t>
      </w:r>
      <w:r w:rsidRPr="009A0DA6">
        <w:rPr>
          <w:rFonts w:ascii="Cambria" w:eastAsia="Calibri" w:hAnsi="Cambria" w:cs="Calibri"/>
          <w:spacing w:val="-2"/>
        </w:rPr>
        <w:t>e</w:t>
      </w:r>
      <w:r w:rsidRPr="009A0DA6">
        <w:rPr>
          <w:rFonts w:ascii="Cambria" w:eastAsia="Calibri" w:hAnsi="Cambria" w:cs="Calibri"/>
        </w:rPr>
        <w:t>s</w:t>
      </w:r>
      <w:r w:rsidRPr="009A0DA6">
        <w:rPr>
          <w:rFonts w:ascii="Cambria" w:eastAsia="Calibri" w:hAnsi="Cambria" w:cs="Calibri"/>
          <w:spacing w:val="1"/>
        </w:rPr>
        <w:t>t</w:t>
      </w:r>
      <w:r w:rsidRPr="009A0DA6">
        <w:rPr>
          <w:rFonts w:ascii="Cambria" w:eastAsia="Calibri" w:hAnsi="Cambria" w:cs="Calibri"/>
          <w:spacing w:val="-1"/>
        </w:rPr>
        <w:t>r</w:t>
      </w:r>
      <w:r w:rsidRPr="009A0DA6">
        <w:rPr>
          <w:rFonts w:ascii="Cambria" w:eastAsia="Calibri" w:hAnsi="Cambria" w:cs="Calibri"/>
        </w:rPr>
        <w:t>i</w:t>
      </w:r>
      <w:r w:rsidRPr="009A0DA6">
        <w:rPr>
          <w:rFonts w:ascii="Cambria" w:eastAsia="Calibri" w:hAnsi="Cambria" w:cs="Calibri"/>
          <w:spacing w:val="-1"/>
        </w:rPr>
        <w:t>c</w:t>
      </w:r>
      <w:r w:rsidRPr="009A0DA6">
        <w:rPr>
          <w:rFonts w:ascii="Cambria" w:eastAsia="Calibri" w:hAnsi="Cambria" w:cs="Calibri"/>
        </w:rPr>
        <w:t>tio</w:t>
      </w:r>
      <w:r w:rsidRPr="009A0DA6">
        <w:rPr>
          <w:rFonts w:ascii="Cambria" w:eastAsia="Calibri" w:hAnsi="Cambria" w:cs="Calibri"/>
          <w:spacing w:val="-1"/>
        </w:rPr>
        <w:t>n</w:t>
      </w:r>
      <w:r w:rsidRPr="009A0DA6">
        <w:rPr>
          <w:rFonts w:ascii="Cambria" w:eastAsia="Calibri" w:hAnsi="Cambria" w:cs="Calibri"/>
        </w:rPr>
        <w:t>s</w:t>
      </w:r>
      <w:r w:rsidRPr="009A0DA6">
        <w:rPr>
          <w:rFonts w:ascii="Cambria" w:eastAsia="Calibri" w:hAnsi="Cambria" w:cs="Calibri"/>
          <w:spacing w:val="1"/>
        </w:rPr>
        <w:t xml:space="preserve"> </w:t>
      </w:r>
      <w:r w:rsidRPr="009A0DA6">
        <w:rPr>
          <w:rFonts w:ascii="Cambria" w:eastAsia="Calibri" w:hAnsi="Cambria" w:cs="Calibri"/>
        </w:rPr>
        <w:t>th</w:t>
      </w:r>
      <w:r w:rsidRPr="009A0DA6">
        <w:rPr>
          <w:rFonts w:ascii="Cambria" w:eastAsia="Calibri" w:hAnsi="Cambria" w:cs="Calibri"/>
          <w:spacing w:val="-1"/>
        </w:rPr>
        <w:t>a</w:t>
      </w:r>
      <w:r w:rsidRPr="009A0DA6">
        <w:rPr>
          <w:rFonts w:ascii="Cambria" w:eastAsia="Calibri" w:hAnsi="Cambria" w:cs="Calibri"/>
        </w:rPr>
        <w:t>t</w:t>
      </w:r>
      <w:r w:rsidRPr="009A0DA6">
        <w:rPr>
          <w:rFonts w:ascii="Cambria" w:eastAsia="Calibri" w:hAnsi="Cambria" w:cs="Calibri"/>
          <w:spacing w:val="1"/>
        </w:rPr>
        <w:t xml:space="preserve"> </w:t>
      </w:r>
      <w:r w:rsidRPr="009A0DA6">
        <w:rPr>
          <w:rFonts w:ascii="Cambria" w:eastAsia="Calibri" w:hAnsi="Cambria" w:cs="Calibri"/>
        </w:rPr>
        <w:t>they</w:t>
      </w:r>
      <w:r w:rsidRPr="009A0DA6">
        <w:rPr>
          <w:rFonts w:ascii="Cambria" w:eastAsia="Calibri" w:hAnsi="Cambria" w:cs="Calibri"/>
          <w:spacing w:val="-3"/>
        </w:rPr>
        <w:t xml:space="preserve"> </w:t>
      </w:r>
      <w:r w:rsidRPr="009A0DA6">
        <w:rPr>
          <w:rFonts w:ascii="Cambria" w:eastAsia="Calibri" w:hAnsi="Cambria" w:cs="Calibri"/>
        </w:rPr>
        <w:t xml:space="preserve">give </w:t>
      </w:r>
      <w:r w:rsidRPr="009A0DA6">
        <w:rPr>
          <w:rFonts w:ascii="Cambria" w:eastAsia="Calibri" w:hAnsi="Cambria" w:cs="Calibri"/>
          <w:spacing w:val="-1"/>
        </w:rPr>
        <w:t>u</w:t>
      </w:r>
      <w:r w:rsidRPr="009A0DA6">
        <w:rPr>
          <w:rFonts w:ascii="Cambria" w:eastAsia="Calibri" w:hAnsi="Cambria" w:cs="Calibri"/>
        </w:rPr>
        <w:t>p</w:t>
      </w:r>
      <w:r w:rsidRPr="009A0DA6">
        <w:rPr>
          <w:rFonts w:ascii="Cambria" w:eastAsia="Calibri" w:hAnsi="Cambria" w:cs="Calibri"/>
          <w:spacing w:val="-1"/>
        </w:rPr>
        <w:t xml:space="preserve"> </w:t>
      </w:r>
      <w:r w:rsidRPr="009A0DA6">
        <w:rPr>
          <w:rFonts w:ascii="Cambria" w:eastAsia="Calibri" w:hAnsi="Cambria" w:cs="Calibri"/>
        </w:rPr>
        <w:t>a</w:t>
      </w:r>
      <w:r w:rsidRPr="009A0DA6">
        <w:rPr>
          <w:rFonts w:ascii="Cambria" w:eastAsia="Calibri" w:hAnsi="Cambria" w:cs="Calibri"/>
          <w:spacing w:val="-2"/>
        </w:rPr>
        <w:t>tt</w:t>
      </w:r>
      <w:r w:rsidRPr="009A0DA6">
        <w:rPr>
          <w:rFonts w:ascii="Cambria" w:eastAsia="Calibri" w:hAnsi="Cambria" w:cs="Calibri"/>
        </w:rPr>
        <w:t>en</w:t>
      </w:r>
      <w:r w:rsidRPr="009A0DA6">
        <w:rPr>
          <w:rFonts w:ascii="Cambria" w:eastAsia="Calibri" w:hAnsi="Cambria" w:cs="Calibri"/>
          <w:spacing w:val="-1"/>
        </w:rPr>
        <w:t>d</w:t>
      </w:r>
      <w:r w:rsidRPr="009A0DA6">
        <w:rPr>
          <w:rFonts w:ascii="Cambria" w:eastAsia="Calibri" w:hAnsi="Cambria" w:cs="Calibri"/>
        </w:rPr>
        <w:t>i</w:t>
      </w:r>
      <w:r w:rsidRPr="009A0DA6">
        <w:rPr>
          <w:rFonts w:ascii="Cambria" w:eastAsia="Calibri" w:hAnsi="Cambria" w:cs="Calibri"/>
          <w:spacing w:val="-1"/>
        </w:rPr>
        <w:t>n</w:t>
      </w:r>
      <w:r w:rsidRPr="009A0DA6">
        <w:rPr>
          <w:rFonts w:ascii="Cambria" w:eastAsia="Calibri" w:hAnsi="Cambria" w:cs="Calibri"/>
          <w:spacing w:val="2"/>
        </w:rPr>
        <w:t>g</w:t>
      </w:r>
      <w:r w:rsidRPr="009A0DA6">
        <w:rPr>
          <w:rFonts w:ascii="Cambria" w:eastAsia="Calibri" w:hAnsi="Cambria" w:cs="Calibri"/>
        </w:rPr>
        <w:t>. F</w:t>
      </w:r>
      <w:r w:rsidRPr="009A0DA6">
        <w:rPr>
          <w:rFonts w:ascii="Cambria" w:eastAsia="Calibri" w:hAnsi="Cambria" w:cs="Calibri"/>
          <w:spacing w:val="-1"/>
        </w:rPr>
        <w:t>u</w:t>
      </w:r>
      <w:r w:rsidRPr="009A0DA6">
        <w:rPr>
          <w:rFonts w:ascii="Cambria" w:eastAsia="Calibri" w:hAnsi="Cambria" w:cs="Calibri"/>
          <w:spacing w:val="1"/>
        </w:rPr>
        <w:t>r</w:t>
      </w:r>
      <w:r w:rsidRPr="009A0DA6">
        <w:rPr>
          <w:rFonts w:ascii="Cambria" w:eastAsia="Calibri" w:hAnsi="Cambria" w:cs="Calibri"/>
        </w:rPr>
        <w:t>the</w:t>
      </w:r>
      <w:r w:rsidRPr="009A0DA6">
        <w:rPr>
          <w:rFonts w:ascii="Cambria" w:eastAsia="Calibri" w:hAnsi="Cambria" w:cs="Calibri"/>
          <w:spacing w:val="-1"/>
        </w:rPr>
        <w:t>r</w:t>
      </w:r>
      <w:r w:rsidRPr="009A0DA6">
        <w:rPr>
          <w:rFonts w:ascii="Cambria" w:eastAsia="Calibri" w:hAnsi="Cambria" w:cs="Calibri"/>
        </w:rPr>
        <w:t>mo</w:t>
      </w:r>
      <w:r w:rsidRPr="009A0DA6">
        <w:rPr>
          <w:rFonts w:ascii="Cambria" w:eastAsia="Calibri" w:hAnsi="Cambria" w:cs="Calibri"/>
          <w:spacing w:val="1"/>
        </w:rPr>
        <w:t>r</w:t>
      </w:r>
      <w:r w:rsidRPr="009A0DA6">
        <w:rPr>
          <w:rFonts w:ascii="Cambria" w:eastAsia="Calibri" w:hAnsi="Cambria" w:cs="Calibri"/>
        </w:rPr>
        <w:t>e,</w:t>
      </w:r>
      <w:r w:rsidRPr="009A0DA6">
        <w:rPr>
          <w:rFonts w:ascii="Cambria" w:eastAsia="Calibri" w:hAnsi="Cambria" w:cs="Calibri"/>
          <w:spacing w:val="-2"/>
        </w:rPr>
        <w:t xml:space="preserve"> </w:t>
      </w:r>
      <w:r w:rsidRPr="009A0DA6">
        <w:rPr>
          <w:rFonts w:ascii="Cambria" w:eastAsia="Calibri" w:hAnsi="Cambria" w:cs="Calibri"/>
          <w:spacing w:val="1"/>
        </w:rPr>
        <w:t>t</w:t>
      </w:r>
      <w:r w:rsidRPr="009A0DA6">
        <w:rPr>
          <w:rFonts w:ascii="Cambria" w:eastAsia="Calibri" w:hAnsi="Cambria" w:cs="Calibri"/>
          <w:spacing w:val="-1"/>
        </w:rPr>
        <w:t>ha</w:t>
      </w:r>
      <w:r w:rsidRPr="009A0DA6">
        <w:rPr>
          <w:rFonts w:ascii="Cambria" w:eastAsia="Calibri" w:hAnsi="Cambria" w:cs="Calibri"/>
        </w:rPr>
        <w:t>t</w:t>
      </w:r>
      <w:r w:rsidRPr="009A0DA6">
        <w:rPr>
          <w:rFonts w:ascii="Cambria" w:eastAsia="Calibri" w:hAnsi="Cambria" w:cs="Calibri"/>
          <w:spacing w:val="-1"/>
        </w:rPr>
        <w:t xml:space="preserve"> </w:t>
      </w:r>
      <w:r w:rsidRPr="009A0DA6">
        <w:rPr>
          <w:rFonts w:ascii="Cambria" w:eastAsia="Calibri" w:hAnsi="Cambria" w:cs="Calibri"/>
          <w:spacing w:val="-2"/>
        </w:rPr>
        <w:t>t</w:t>
      </w:r>
      <w:r w:rsidRPr="009A0DA6">
        <w:rPr>
          <w:rFonts w:ascii="Cambria" w:eastAsia="Calibri" w:hAnsi="Cambria" w:cs="Calibri"/>
          <w:spacing w:val="-1"/>
        </w:rPr>
        <w:t>h</w:t>
      </w:r>
      <w:r w:rsidRPr="009A0DA6">
        <w:rPr>
          <w:rFonts w:ascii="Cambria" w:eastAsia="Calibri" w:hAnsi="Cambria" w:cs="Calibri"/>
        </w:rPr>
        <w:t>is h</w:t>
      </w:r>
      <w:r w:rsidRPr="009A0DA6">
        <w:rPr>
          <w:rFonts w:ascii="Cambria" w:eastAsia="Calibri" w:hAnsi="Cambria" w:cs="Calibri"/>
          <w:spacing w:val="-1"/>
        </w:rPr>
        <w:t>a</w:t>
      </w:r>
      <w:r w:rsidRPr="009A0DA6">
        <w:rPr>
          <w:rFonts w:ascii="Cambria" w:eastAsia="Calibri" w:hAnsi="Cambria" w:cs="Calibri"/>
        </w:rPr>
        <w:t>s</w:t>
      </w:r>
      <w:r w:rsidRPr="009A0DA6">
        <w:rPr>
          <w:rFonts w:ascii="Cambria" w:eastAsia="Calibri" w:hAnsi="Cambria" w:cs="Calibri"/>
          <w:spacing w:val="1"/>
        </w:rPr>
        <w:t xml:space="preserve"> </w:t>
      </w:r>
      <w:r w:rsidRPr="009A0DA6">
        <w:rPr>
          <w:rFonts w:ascii="Cambria" w:eastAsia="Calibri" w:hAnsi="Cambria" w:cs="Calibri"/>
        </w:rPr>
        <w:t>taken</w:t>
      </w:r>
      <w:r w:rsidRPr="009A0DA6">
        <w:rPr>
          <w:rFonts w:ascii="Cambria" w:eastAsia="Calibri" w:hAnsi="Cambria" w:cs="Calibri"/>
          <w:spacing w:val="-3"/>
        </w:rPr>
        <w:t xml:space="preserve"> </w:t>
      </w:r>
      <w:r w:rsidRPr="009A0DA6">
        <w:rPr>
          <w:rFonts w:ascii="Cambria" w:eastAsia="Calibri" w:hAnsi="Cambria" w:cs="Calibri"/>
        </w:rPr>
        <w:t>pl</w:t>
      </w:r>
      <w:r w:rsidRPr="009A0DA6">
        <w:rPr>
          <w:rFonts w:ascii="Cambria" w:eastAsia="Calibri" w:hAnsi="Cambria" w:cs="Calibri"/>
          <w:spacing w:val="-1"/>
        </w:rPr>
        <w:t>a</w:t>
      </w:r>
      <w:r w:rsidRPr="009A0DA6">
        <w:rPr>
          <w:rFonts w:ascii="Cambria" w:eastAsia="Calibri" w:hAnsi="Cambria" w:cs="Calibri"/>
        </w:rPr>
        <w:t>ce even th</w:t>
      </w:r>
      <w:r w:rsidRPr="009A0DA6">
        <w:rPr>
          <w:rFonts w:ascii="Cambria" w:eastAsia="Calibri" w:hAnsi="Cambria" w:cs="Calibri"/>
          <w:spacing w:val="-1"/>
        </w:rPr>
        <w:t>oug</w:t>
      </w:r>
      <w:r w:rsidRPr="009A0DA6">
        <w:rPr>
          <w:rFonts w:ascii="Cambria" w:eastAsia="Calibri" w:hAnsi="Cambria" w:cs="Calibri"/>
        </w:rPr>
        <w:t>h</w:t>
      </w:r>
      <w:r w:rsidRPr="009A0DA6">
        <w:rPr>
          <w:rFonts w:ascii="Cambria" w:eastAsia="Calibri" w:hAnsi="Cambria" w:cs="Calibri"/>
          <w:spacing w:val="-1"/>
        </w:rPr>
        <w:t xml:space="preserve">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ese</w:t>
      </w:r>
      <w:r w:rsidRPr="009A0DA6">
        <w:rPr>
          <w:rFonts w:ascii="Cambria" w:eastAsia="Calibri" w:hAnsi="Cambria" w:cs="Calibri"/>
          <w:spacing w:val="1"/>
        </w:rPr>
        <w:t xml:space="preserve"> </w:t>
      </w:r>
      <w:r w:rsidRPr="009A0DA6">
        <w:rPr>
          <w:rFonts w:ascii="Cambria" w:eastAsia="Calibri" w:hAnsi="Cambria" w:cs="Calibri"/>
        </w:rPr>
        <w:t>i</w:t>
      </w:r>
      <w:r w:rsidRPr="009A0DA6">
        <w:rPr>
          <w:rFonts w:ascii="Cambria" w:eastAsia="Calibri" w:hAnsi="Cambria" w:cs="Calibri"/>
          <w:spacing w:val="-1"/>
        </w:rPr>
        <w:t>nd</w:t>
      </w:r>
      <w:r w:rsidRPr="009A0DA6">
        <w:rPr>
          <w:rFonts w:ascii="Cambria" w:eastAsia="Calibri" w:hAnsi="Cambria" w:cs="Calibri"/>
        </w:rPr>
        <w:t>iv</w:t>
      </w:r>
      <w:r w:rsidRPr="009A0DA6">
        <w:rPr>
          <w:rFonts w:ascii="Cambria" w:eastAsia="Calibri" w:hAnsi="Cambria" w:cs="Calibri"/>
          <w:spacing w:val="-1"/>
        </w:rPr>
        <w:t>idua</w:t>
      </w:r>
      <w:r w:rsidRPr="009A0DA6">
        <w:rPr>
          <w:rFonts w:ascii="Cambria" w:eastAsia="Calibri" w:hAnsi="Cambria" w:cs="Calibri"/>
        </w:rPr>
        <w:t>ls</w:t>
      </w:r>
      <w:r w:rsidRPr="009A0DA6">
        <w:rPr>
          <w:rFonts w:ascii="Cambria" w:eastAsia="Calibri" w:hAnsi="Cambria" w:cs="Calibri"/>
          <w:spacing w:val="2"/>
        </w:rPr>
        <w:t xml:space="preserve"> </w:t>
      </w:r>
      <w:r w:rsidRPr="009A0DA6">
        <w:rPr>
          <w:rFonts w:ascii="Cambria" w:eastAsia="Calibri" w:hAnsi="Cambria" w:cs="Calibri"/>
          <w:spacing w:val="-3"/>
        </w:rPr>
        <w:t>a</w:t>
      </w:r>
      <w:r w:rsidRPr="009A0DA6">
        <w:rPr>
          <w:rFonts w:ascii="Cambria" w:eastAsia="Calibri" w:hAnsi="Cambria" w:cs="Calibri"/>
          <w:spacing w:val="-1"/>
        </w:rPr>
        <w:t>r</w:t>
      </w:r>
      <w:r w:rsidRPr="009A0DA6">
        <w:rPr>
          <w:rFonts w:ascii="Cambria" w:eastAsia="Calibri" w:hAnsi="Cambria" w:cs="Calibri"/>
        </w:rPr>
        <w:t xml:space="preserve">e not </w:t>
      </w:r>
      <w:r w:rsidRPr="009A0DA6">
        <w:rPr>
          <w:rFonts w:ascii="Cambria" w:eastAsia="Calibri" w:hAnsi="Cambria" w:cs="Calibri"/>
          <w:spacing w:val="1"/>
        </w:rPr>
        <w:t>s</w:t>
      </w:r>
      <w:r w:rsidRPr="009A0DA6">
        <w:rPr>
          <w:rFonts w:ascii="Cambria" w:eastAsia="Calibri" w:hAnsi="Cambria" w:cs="Calibri"/>
          <w:spacing w:val="-1"/>
        </w:rPr>
        <w:t>ub</w:t>
      </w:r>
      <w:r w:rsidRPr="009A0DA6">
        <w:rPr>
          <w:rFonts w:ascii="Cambria" w:eastAsia="Calibri" w:hAnsi="Cambria" w:cs="Calibri"/>
        </w:rPr>
        <w:t>ject</w:t>
      </w:r>
      <w:r w:rsidRPr="009A0DA6">
        <w:rPr>
          <w:rFonts w:ascii="Cambria" w:eastAsia="Calibri" w:hAnsi="Cambria" w:cs="Calibri"/>
          <w:spacing w:val="-2"/>
        </w:rPr>
        <w:t xml:space="preserve"> </w:t>
      </w:r>
      <w:r w:rsidRPr="009A0DA6">
        <w:rPr>
          <w:rFonts w:ascii="Cambria" w:eastAsia="Calibri" w:hAnsi="Cambria" w:cs="Calibri"/>
          <w:spacing w:val="1"/>
        </w:rPr>
        <w:t>t</w:t>
      </w:r>
      <w:r w:rsidRPr="009A0DA6">
        <w:rPr>
          <w:rFonts w:ascii="Cambria" w:eastAsia="Calibri" w:hAnsi="Cambria" w:cs="Calibri"/>
        </w:rPr>
        <w:t xml:space="preserve">o </w:t>
      </w:r>
      <w:r w:rsidRPr="009A0DA6">
        <w:rPr>
          <w:rFonts w:ascii="Cambria" w:eastAsia="Calibri" w:hAnsi="Cambria" w:cs="Calibri"/>
          <w:spacing w:val="-1"/>
        </w:rPr>
        <w:t>an</w:t>
      </w:r>
      <w:r w:rsidRPr="009A0DA6">
        <w:rPr>
          <w:rFonts w:ascii="Cambria" w:eastAsia="Calibri" w:hAnsi="Cambria" w:cs="Calibri"/>
        </w:rPr>
        <w:t>y le</w:t>
      </w:r>
      <w:r w:rsidRPr="009A0DA6">
        <w:rPr>
          <w:rFonts w:ascii="Cambria" w:eastAsia="Calibri" w:hAnsi="Cambria" w:cs="Calibri"/>
          <w:spacing w:val="-1"/>
        </w:rPr>
        <w:t>ga</w:t>
      </w:r>
      <w:r w:rsidRPr="009A0DA6">
        <w:rPr>
          <w:rFonts w:ascii="Cambria" w:eastAsia="Calibri" w:hAnsi="Cambria" w:cs="Calibri"/>
        </w:rPr>
        <w:t xml:space="preserve">l </w:t>
      </w:r>
      <w:r w:rsidRPr="009A0DA6">
        <w:rPr>
          <w:rFonts w:ascii="Cambria" w:eastAsia="Calibri" w:hAnsi="Cambria" w:cs="Calibri"/>
          <w:spacing w:val="-3"/>
        </w:rPr>
        <w:t>o</w:t>
      </w:r>
      <w:r w:rsidRPr="009A0DA6">
        <w:rPr>
          <w:rFonts w:ascii="Cambria" w:eastAsia="Calibri" w:hAnsi="Cambria" w:cs="Calibri"/>
          <w:spacing w:val="1"/>
        </w:rPr>
        <w:t>r</w:t>
      </w:r>
      <w:r w:rsidRPr="009A0DA6">
        <w:rPr>
          <w:rFonts w:ascii="Cambria" w:eastAsia="Calibri" w:hAnsi="Cambria" w:cs="Calibri"/>
          <w:spacing w:val="-1"/>
        </w:rPr>
        <w:t>d</w:t>
      </w:r>
      <w:r w:rsidRPr="009A0DA6">
        <w:rPr>
          <w:rFonts w:ascii="Cambria" w:eastAsia="Calibri" w:hAnsi="Cambria" w:cs="Calibri"/>
        </w:rPr>
        <w:t>er</w:t>
      </w:r>
      <w:r w:rsidRPr="009A0DA6">
        <w:rPr>
          <w:rFonts w:ascii="Cambria" w:eastAsia="Calibri" w:hAnsi="Cambria" w:cs="Calibri"/>
          <w:spacing w:val="-1"/>
        </w:rPr>
        <w:t xml:space="preserve"> </w:t>
      </w:r>
      <w:r w:rsidRPr="009A0DA6">
        <w:rPr>
          <w:rFonts w:ascii="Cambria" w:eastAsia="Calibri" w:hAnsi="Cambria" w:cs="Calibri"/>
        </w:rPr>
        <w:t>f</w:t>
      </w:r>
      <w:r w:rsidRPr="009A0DA6">
        <w:rPr>
          <w:rFonts w:ascii="Cambria" w:eastAsia="Calibri" w:hAnsi="Cambria" w:cs="Calibri"/>
          <w:spacing w:val="1"/>
        </w:rPr>
        <w:t>r</w:t>
      </w:r>
      <w:r w:rsidRPr="009A0DA6">
        <w:rPr>
          <w:rFonts w:ascii="Cambria" w:eastAsia="Calibri" w:hAnsi="Cambria" w:cs="Calibri"/>
          <w:spacing w:val="-3"/>
        </w:rPr>
        <w:t>o</w:t>
      </w:r>
      <w:r w:rsidRPr="009A0DA6">
        <w:rPr>
          <w:rFonts w:ascii="Cambria" w:eastAsia="Calibri" w:hAnsi="Cambria" w:cs="Calibri"/>
        </w:rPr>
        <w:t>m</w:t>
      </w:r>
      <w:r w:rsidRPr="009A0DA6">
        <w:rPr>
          <w:rFonts w:ascii="Cambria" w:eastAsia="Calibri" w:hAnsi="Cambria" w:cs="Calibri"/>
          <w:spacing w:val="1"/>
        </w:rPr>
        <w:t xml:space="preserve"> </w:t>
      </w:r>
      <w:r w:rsidRPr="009A0DA6">
        <w:rPr>
          <w:rFonts w:ascii="Cambria" w:eastAsia="Calibri" w:hAnsi="Cambria" w:cs="Calibri"/>
          <w:spacing w:val="-1"/>
        </w:rPr>
        <w:t>an</w:t>
      </w:r>
      <w:r w:rsidRPr="009A0DA6">
        <w:rPr>
          <w:rFonts w:ascii="Cambria" w:eastAsia="Calibri" w:hAnsi="Cambria" w:cs="Calibri"/>
        </w:rPr>
        <w:t>y c</w:t>
      </w:r>
      <w:r w:rsidRPr="009A0DA6">
        <w:rPr>
          <w:rFonts w:ascii="Cambria" w:eastAsia="Calibri" w:hAnsi="Cambria" w:cs="Calibri"/>
          <w:spacing w:val="-1"/>
        </w:rPr>
        <w:t>i</w:t>
      </w:r>
      <w:r w:rsidRPr="009A0DA6">
        <w:rPr>
          <w:rFonts w:ascii="Cambria" w:eastAsia="Calibri" w:hAnsi="Cambria" w:cs="Calibri"/>
        </w:rPr>
        <w:t>vil a</w:t>
      </w:r>
      <w:r w:rsidRPr="009A0DA6">
        <w:rPr>
          <w:rFonts w:ascii="Cambria" w:eastAsia="Calibri" w:hAnsi="Cambria" w:cs="Calibri"/>
          <w:spacing w:val="-1"/>
        </w:rPr>
        <w:t>u</w:t>
      </w:r>
      <w:r w:rsidRPr="009A0DA6">
        <w:rPr>
          <w:rFonts w:ascii="Cambria" w:eastAsia="Calibri" w:hAnsi="Cambria" w:cs="Calibri"/>
        </w:rPr>
        <w:t>th</w:t>
      </w:r>
      <w:r w:rsidRPr="009A0DA6">
        <w:rPr>
          <w:rFonts w:ascii="Cambria" w:eastAsia="Calibri" w:hAnsi="Cambria" w:cs="Calibri"/>
          <w:spacing w:val="-1"/>
        </w:rPr>
        <w:t>o</w:t>
      </w:r>
      <w:r w:rsidRPr="009A0DA6">
        <w:rPr>
          <w:rFonts w:ascii="Cambria" w:eastAsia="Calibri" w:hAnsi="Cambria" w:cs="Calibri"/>
          <w:spacing w:val="1"/>
        </w:rPr>
        <w:t>r</w:t>
      </w:r>
      <w:r w:rsidRPr="009A0DA6">
        <w:rPr>
          <w:rFonts w:ascii="Cambria" w:eastAsia="Calibri" w:hAnsi="Cambria" w:cs="Calibri"/>
          <w:spacing w:val="-3"/>
        </w:rPr>
        <w:t>i</w:t>
      </w:r>
      <w:r w:rsidRPr="009A0DA6">
        <w:rPr>
          <w:rFonts w:ascii="Cambria" w:eastAsia="Calibri" w:hAnsi="Cambria" w:cs="Calibri"/>
          <w:spacing w:val="-2"/>
        </w:rPr>
        <w:t>t</w:t>
      </w:r>
      <w:r w:rsidRPr="009A0DA6">
        <w:rPr>
          <w:rFonts w:ascii="Cambria" w:eastAsia="Calibri" w:hAnsi="Cambria" w:cs="Calibri"/>
        </w:rPr>
        <w:t>y th</w:t>
      </w:r>
      <w:r w:rsidRPr="009A0DA6">
        <w:rPr>
          <w:rFonts w:ascii="Cambria" w:eastAsia="Calibri" w:hAnsi="Cambria" w:cs="Calibri"/>
          <w:spacing w:val="-1"/>
        </w:rPr>
        <w:t>a</w:t>
      </w:r>
      <w:r w:rsidRPr="009A0DA6">
        <w:rPr>
          <w:rFonts w:ascii="Cambria" w:eastAsia="Calibri" w:hAnsi="Cambria" w:cs="Calibri"/>
        </w:rPr>
        <w:t>t</w:t>
      </w:r>
      <w:r w:rsidRPr="009A0DA6">
        <w:rPr>
          <w:rFonts w:ascii="Cambria" w:eastAsia="Calibri" w:hAnsi="Cambria" w:cs="Calibri"/>
          <w:spacing w:val="1"/>
        </w:rPr>
        <w:t xml:space="preserve"> </w:t>
      </w:r>
      <w:r w:rsidRPr="009A0DA6">
        <w:rPr>
          <w:rFonts w:ascii="Cambria" w:eastAsia="Calibri" w:hAnsi="Cambria" w:cs="Calibri"/>
          <w:spacing w:val="-1"/>
        </w:rPr>
        <w:t>r</w:t>
      </w:r>
      <w:r w:rsidRPr="009A0DA6">
        <w:rPr>
          <w:rFonts w:ascii="Cambria" w:eastAsia="Calibri" w:hAnsi="Cambria" w:cs="Calibri"/>
        </w:rPr>
        <w:t>es</w:t>
      </w:r>
      <w:r w:rsidRPr="009A0DA6">
        <w:rPr>
          <w:rFonts w:ascii="Cambria" w:eastAsia="Calibri" w:hAnsi="Cambria" w:cs="Calibri"/>
          <w:spacing w:val="-1"/>
        </w:rPr>
        <w:t>t</w:t>
      </w:r>
      <w:r w:rsidRPr="009A0DA6">
        <w:rPr>
          <w:rFonts w:ascii="Cambria" w:eastAsia="Calibri" w:hAnsi="Cambria" w:cs="Calibri"/>
          <w:spacing w:val="1"/>
        </w:rPr>
        <w:t>r</w:t>
      </w:r>
      <w:r w:rsidRPr="009A0DA6">
        <w:rPr>
          <w:rFonts w:ascii="Cambria" w:eastAsia="Calibri" w:hAnsi="Cambria" w:cs="Calibri"/>
        </w:rPr>
        <w:t>i</w:t>
      </w:r>
      <w:r w:rsidRPr="009A0DA6">
        <w:rPr>
          <w:rFonts w:ascii="Cambria" w:eastAsia="Calibri" w:hAnsi="Cambria" w:cs="Calibri"/>
          <w:spacing w:val="-1"/>
        </w:rPr>
        <w:t>c</w:t>
      </w:r>
      <w:r w:rsidRPr="009A0DA6">
        <w:rPr>
          <w:rFonts w:ascii="Cambria" w:eastAsia="Calibri" w:hAnsi="Cambria" w:cs="Calibri"/>
        </w:rPr>
        <w:t>ts</w:t>
      </w:r>
      <w:r w:rsidRPr="009A0DA6">
        <w:rPr>
          <w:rFonts w:ascii="Cambria" w:eastAsia="Calibri" w:hAnsi="Cambria" w:cs="Calibri"/>
          <w:spacing w:val="-1"/>
        </w:rPr>
        <w:t xml:space="preserve">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eir</w:t>
      </w:r>
      <w:r w:rsidRPr="009A0DA6">
        <w:rPr>
          <w:rFonts w:ascii="Cambria" w:eastAsia="Calibri" w:hAnsi="Cambria" w:cs="Calibri"/>
          <w:spacing w:val="-1"/>
        </w:rPr>
        <w:t xml:space="preserve"> </w:t>
      </w:r>
      <w:r w:rsidRPr="009A0DA6">
        <w:rPr>
          <w:rFonts w:ascii="Cambria" w:eastAsia="Calibri" w:hAnsi="Cambria" w:cs="Calibri"/>
          <w:spacing w:val="1"/>
        </w:rPr>
        <w:t>m</w:t>
      </w:r>
      <w:r w:rsidRPr="009A0DA6">
        <w:rPr>
          <w:rFonts w:ascii="Cambria" w:eastAsia="Calibri" w:hAnsi="Cambria" w:cs="Calibri"/>
        </w:rPr>
        <w:t>o</w:t>
      </w:r>
      <w:r w:rsidRPr="009A0DA6">
        <w:rPr>
          <w:rFonts w:ascii="Cambria" w:eastAsia="Calibri" w:hAnsi="Cambria" w:cs="Calibri"/>
          <w:spacing w:val="-3"/>
        </w:rPr>
        <w:t>v</w:t>
      </w:r>
      <w:r w:rsidRPr="009A0DA6">
        <w:rPr>
          <w:rFonts w:ascii="Cambria" w:eastAsia="Calibri" w:hAnsi="Cambria" w:cs="Calibri"/>
          <w:spacing w:val="-2"/>
        </w:rPr>
        <w:t>e</w:t>
      </w:r>
      <w:r w:rsidRPr="009A0DA6">
        <w:rPr>
          <w:rFonts w:ascii="Cambria" w:eastAsia="Calibri" w:hAnsi="Cambria" w:cs="Calibri"/>
        </w:rPr>
        <w:t>ments or</w:t>
      </w:r>
      <w:r w:rsidRPr="009A0DA6">
        <w:rPr>
          <w:rFonts w:ascii="Cambria" w:eastAsia="Calibri" w:hAnsi="Cambria" w:cs="Calibri"/>
          <w:spacing w:val="1"/>
        </w:rPr>
        <w:t xml:space="preserve"> </w:t>
      </w:r>
      <w:r w:rsidRPr="009A0DA6">
        <w:rPr>
          <w:rFonts w:ascii="Cambria" w:eastAsia="Calibri" w:hAnsi="Cambria" w:cs="Calibri"/>
        </w:rPr>
        <w:t>the</w:t>
      </w:r>
      <w:r w:rsidRPr="009A0DA6">
        <w:rPr>
          <w:rFonts w:ascii="Cambria" w:eastAsia="Calibri" w:hAnsi="Cambria" w:cs="Calibri"/>
          <w:spacing w:val="-3"/>
        </w:rPr>
        <w:t>i</w:t>
      </w:r>
      <w:r w:rsidRPr="009A0DA6">
        <w:rPr>
          <w:rFonts w:ascii="Cambria" w:eastAsia="Calibri" w:hAnsi="Cambria" w:cs="Calibri"/>
        </w:rPr>
        <w:t>r</w:t>
      </w:r>
      <w:r w:rsidRPr="009A0DA6">
        <w:rPr>
          <w:rFonts w:ascii="Cambria" w:eastAsia="Calibri" w:hAnsi="Cambria" w:cs="Calibri"/>
          <w:spacing w:val="-1"/>
        </w:rPr>
        <w:t xml:space="preserve"> </w:t>
      </w:r>
      <w:r w:rsidRPr="009A0DA6">
        <w:rPr>
          <w:rFonts w:ascii="Cambria" w:eastAsia="Calibri" w:hAnsi="Cambria" w:cs="Calibri"/>
          <w:spacing w:val="1"/>
        </w:rPr>
        <w:t>r</w:t>
      </w:r>
      <w:r w:rsidRPr="009A0DA6">
        <w:rPr>
          <w:rFonts w:ascii="Cambria" w:eastAsia="Calibri" w:hAnsi="Cambria" w:cs="Calibri"/>
        </w:rPr>
        <w:t>i</w:t>
      </w:r>
      <w:r w:rsidRPr="009A0DA6">
        <w:rPr>
          <w:rFonts w:ascii="Cambria" w:eastAsia="Calibri" w:hAnsi="Cambria" w:cs="Calibri"/>
          <w:spacing w:val="-1"/>
        </w:rPr>
        <w:t>gh</w:t>
      </w:r>
      <w:r w:rsidRPr="009A0DA6">
        <w:rPr>
          <w:rFonts w:ascii="Cambria" w:eastAsia="Calibri" w:hAnsi="Cambria" w:cs="Calibri"/>
        </w:rPr>
        <w:t>t</w:t>
      </w:r>
      <w:r w:rsidRPr="009A0DA6">
        <w:rPr>
          <w:rFonts w:ascii="Cambria" w:eastAsia="Calibri" w:hAnsi="Cambria" w:cs="Calibri"/>
          <w:spacing w:val="1"/>
        </w:rPr>
        <w:t xml:space="preserve"> </w:t>
      </w:r>
      <w:r w:rsidRPr="009A0DA6">
        <w:rPr>
          <w:rFonts w:ascii="Cambria" w:eastAsia="Calibri" w:hAnsi="Cambria" w:cs="Calibri"/>
        </w:rPr>
        <w:t>to</w:t>
      </w:r>
      <w:r w:rsidRPr="009A0DA6">
        <w:rPr>
          <w:rFonts w:ascii="Cambria" w:eastAsia="Calibri" w:hAnsi="Cambria" w:cs="Calibri"/>
          <w:spacing w:val="2"/>
        </w:rPr>
        <w:t xml:space="preserve"> </w:t>
      </w:r>
      <w:r w:rsidRPr="009A0DA6">
        <w:rPr>
          <w:rFonts w:ascii="Cambria" w:eastAsia="Calibri" w:hAnsi="Cambria" w:cs="Calibri"/>
          <w:spacing w:val="-1"/>
        </w:rPr>
        <w:t>b</w:t>
      </w:r>
      <w:r w:rsidRPr="009A0DA6">
        <w:rPr>
          <w:rFonts w:ascii="Cambria" w:eastAsia="Calibri" w:hAnsi="Cambria" w:cs="Calibri"/>
        </w:rPr>
        <w:t>e</w:t>
      </w:r>
      <w:r w:rsidRPr="009A0DA6">
        <w:rPr>
          <w:rFonts w:ascii="Cambria" w:eastAsia="Calibri" w:hAnsi="Cambria" w:cs="Calibri"/>
          <w:spacing w:val="-2"/>
        </w:rPr>
        <w:t xml:space="preserve"> </w:t>
      </w:r>
      <w:r w:rsidRPr="009A0DA6">
        <w:rPr>
          <w:rFonts w:ascii="Cambria" w:eastAsia="Calibri" w:hAnsi="Cambria" w:cs="Calibri"/>
        </w:rPr>
        <w:t>p</w:t>
      </w:r>
      <w:r w:rsidRPr="009A0DA6">
        <w:rPr>
          <w:rFonts w:ascii="Cambria" w:eastAsia="Calibri" w:hAnsi="Cambria" w:cs="Calibri"/>
          <w:spacing w:val="1"/>
        </w:rPr>
        <w:t>r</w:t>
      </w:r>
      <w:r w:rsidRPr="009A0DA6">
        <w:rPr>
          <w:rFonts w:ascii="Cambria" w:eastAsia="Calibri" w:hAnsi="Cambria" w:cs="Calibri"/>
          <w:spacing w:val="-2"/>
        </w:rPr>
        <w:t>e</w:t>
      </w:r>
      <w:r w:rsidRPr="009A0DA6">
        <w:rPr>
          <w:rFonts w:ascii="Cambria" w:eastAsia="Calibri" w:hAnsi="Cambria" w:cs="Calibri"/>
        </w:rPr>
        <w:t>s</w:t>
      </w:r>
      <w:r w:rsidRPr="009A0DA6">
        <w:rPr>
          <w:rFonts w:ascii="Cambria" w:eastAsia="Calibri" w:hAnsi="Cambria" w:cs="Calibri"/>
          <w:spacing w:val="1"/>
        </w:rPr>
        <w:t>e</w:t>
      </w:r>
      <w:r w:rsidRPr="009A0DA6">
        <w:rPr>
          <w:rFonts w:ascii="Cambria" w:eastAsia="Calibri" w:hAnsi="Cambria" w:cs="Calibri"/>
          <w:spacing w:val="-1"/>
        </w:rPr>
        <w:t>n</w:t>
      </w:r>
      <w:r w:rsidRPr="009A0DA6">
        <w:rPr>
          <w:rFonts w:ascii="Cambria" w:eastAsia="Calibri" w:hAnsi="Cambria" w:cs="Calibri"/>
        </w:rPr>
        <w:t>t</w:t>
      </w:r>
      <w:r w:rsidRPr="009A0DA6">
        <w:rPr>
          <w:rFonts w:ascii="Cambria" w:eastAsia="Calibri" w:hAnsi="Cambria" w:cs="Calibri"/>
          <w:spacing w:val="-1"/>
        </w:rPr>
        <w:t xml:space="preserve"> </w:t>
      </w:r>
      <w:r w:rsidRPr="009A0DA6">
        <w:rPr>
          <w:rFonts w:ascii="Cambria" w:eastAsia="Calibri" w:hAnsi="Cambria" w:cs="Calibri"/>
        </w:rPr>
        <w:t>in</w:t>
      </w:r>
      <w:r w:rsidRPr="009A0DA6">
        <w:rPr>
          <w:rFonts w:ascii="Cambria" w:eastAsia="Calibri" w:hAnsi="Cambria" w:cs="Calibri"/>
          <w:spacing w:val="-1"/>
        </w:rPr>
        <w:t xml:space="preserve"> </w:t>
      </w:r>
      <w:r w:rsidRPr="009A0DA6">
        <w:rPr>
          <w:rFonts w:ascii="Cambria" w:eastAsia="Calibri" w:hAnsi="Cambria" w:cs="Calibri"/>
        </w:rPr>
        <w:t>p</w:t>
      </w:r>
      <w:r w:rsidRPr="009A0DA6">
        <w:rPr>
          <w:rFonts w:ascii="Cambria" w:eastAsia="Calibri" w:hAnsi="Cambria" w:cs="Calibri"/>
          <w:spacing w:val="-1"/>
        </w:rPr>
        <w:t>ub</w:t>
      </w:r>
      <w:r w:rsidRPr="009A0DA6">
        <w:rPr>
          <w:rFonts w:ascii="Cambria" w:eastAsia="Calibri" w:hAnsi="Cambria" w:cs="Calibri"/>
        </w:rPr>
        <w:t xml:space="preserve">lic </w:t>
      </w:r>
      <w:r w:rsidRPr="009A0DA6">
        <w:rPr>
          <w:rFonts w:ascii="Cambria" w:eastAsia="Calibri" w:hAnsi="Cambria" w:cs="Calibri"/>
          <w:spacing w:val="-1"/>
        </w:rPr>
        <w:t>p</w:t>
      </w:r>
      <w:r w:rsidRPr="009A0DA6">
        <w:rPr>
          <w:rFonts w:ascii="Cambria" w:eastAsia="Calibri" w:hAnsi="Cambria" w:cs="Calibri"/>
        </w:rPr>
        <w:t>l</w:t>
      </w:r>
      <w:r w:rsidRPr="009A0DA6">
        <w:rPr>
          <w:rFonts w:ascii="Cambria" w:eastAsia="Calibri" w:hAnsi="Cambria" w:cs="Calibri"/>
          <w:spacing w:val="-1"/>
        </w:rPr>
        <w:t>a</w:t>
      </w:r>
      <w:r w:rsidRPr="009A0DA6">
        <w:rPr>
          <w:rFonts w:ascii="Cambria" w:eastAsia="Calibri" w:hAnsi="Cambria" w:cs="Calibri"/>
        </w:rPr>
        <w:t>ce</w:t>
      </w:r>
      <w:r w:rsidRPr="009A0DA6">
        <w:rPr>
          <w:rFonts w:ascii="Cambria" w:eastAsia="Calibri" w:hAnsi="Cambria" w:cs="Calibri"/>
          <w:spacing w:val="1"/>
        </w:rPr>
        <w:t>s</w:t>
      </w:r>
      <w:r w:rsidRPr="009A0DA6">
        <w:rPr>
          <w:rFonts w:ascii="Cambria" w:eastAsia="Calibri" w:hAnsi="Cambria" w:cs="Calibri"/>
        </w:rPr>
        <w:t>. If su</w:t>
      </w:r>
      <w:r w:rsidRPr="009A0DA6">
        <w:rPr>
          <w:rFonts w:ascii="Cambria" w:eastAsia="Calibri" w:hAnsi="Cambria" w:cs="Calibri"/>
          <w:spacing w:val="-1"/>
        </w:rPr>
        <w:t>c</w:t>
      </w:r>
      <w:r w:rsidRPr="009A0DA6">
        <w:rPr>
          <w:rFonts w:ascii="Cambria" w:eastAsia="Calibri" w:hAnsi="Cambria" w:cs="Calibri"/>
        </w:rPr>
        <w:t>h</w:t>
      </w:r>
      <w:r w:rsidRPr="009A0DA6">
        <w:rPr>
          <w:rFonts w:ascii="Cambria" w:eastAsia="Calibri" w:hAnsi="Cambria" w:cs="Calibri"/>
          <w:spacing w:val="-1"/>
        </w:rPr>
        <w:t xml:space="preserve"> </w:t>
      </w:r>
      <w:r w:rsidRPr="009A0DA6">
        <w:rPr>
          <w:rFonts w:ascii="Cambria" w:eastAsia="Calibri" w:hAnsi="Cambria" w:cs="Calibri"/>
          <w:spacing w:val="1"/>
        </w:rPr>
        <w:t>r</w:t>
      </w:r>
      <w:r w:rsidRPr="009A0DA6">
        <w:rPr>
          <w:rFonts w:ascii="Cambria" w:eastAsia="Calibri" w:hAnsi="Cambria" w:cs="Calibri"/>
        </w:rPr>
        <w:t>e</w:t>
      </w:r>
      <w:r w:rsidRPr="009A0DA6">
        <w:rPr>
          <w:rFonts w:ascii="Cambria" w:eastAsia="Calibri" w:hAnsi="Cambria" w:cs="Calibri"/>
          <w:spacing w:val="-3"/>
        </w:rPr>
        <w:t>p</w:t>
      </w:r>
      <w:r w:rsidRPr="009A0DA6">
        <w:rPr>
          <w:rFonts w:ascii="Cambria" w:eastAsia="Calibri" w:hAnsi="Cambria" w:cs="Calibri"/>
        </w:rPr>
        <w:t>or</w:t>
      </w:r>
      <w:r w:rsidRPr="009A0DA6">
        <w:rPr>
          <w:rFonts w:ascii="Cambria" w:eastAsia="Calibri" w:hAnsi="Cambria" w:cs="Calibri"/>
          <w:spacing w:val="1"/>
        </w:rPr>
        <w:t>t</w:t>
      </w:r>
      <w:r w:rsidRPr="009A0DA6">
        <w:rPr>
          <w:rFonts w:ascii="Cambria" w:eastAsia="Calibri" w:hAnsi="Cambria" w:cs="Calibri"/>
        </w:rPr>
        <w:t>s</w:t>
      </w:r>
      <w:r w:rsidRPr="009A0DA6">
        <w:rPr>
          <w:rFonts w:ascii="Cambria" w:eastAsia="Calibri" w:hAnsi="Cambria" w:cs="Calibri"/>
          <w:spacing w:val="1"/>
        </w:rPr>
        <w:t xml:space="preserve"> </w:t>
      </w:r>
      <w:r w:rsidRPr="009A0DA6">
        <w:rPr>
          <w:rFonts w:ascii="Cambria" w:eastAsia="Calibri" w:hAnsi="Cambria" w:cs="Calibri"/>
          <w:spacing w:val="-3"/>
        </w:rPr>
        <w:t>a</w:t>
      </w:r>
      <w:r w:rsidRPr="009A0DA6">
        <w:rPr>
          <w:rFonts w:ascii="Cambria" w:eastAsia="Calibri" w:hAnsi="Cambria" w:cs="Calibri"/>
          <w:spacing w:val="1"/>
        </w:rPr>
        <w:t>r</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rPr>
        <w:t>t</w:t>
      </w:r>
      <w:r w:rsidRPr="009A0DA6">
        <w:rPr>
          <w:rFonts w:ascii="Cambria" w:eastAsia="Calibri" w:hAnsi="Cambria" w:cs="Calibri"/>
          <w:spacing w:val="1"/>
        </w:rPr>
        <w:t>ru</w:t>
      </w:r>
      <w:r w:rsidRPr="009A0DA6">
        <w:rPr>
          <w:rFonts w:ascii="Cambria" w:eastAsia="Calibri" w:hAnsi="Cambria" w:cs="Calibri"/>
        </w:rPr>
        <w:t>e</w:t>
      </w:r>
      <w:r w:rsidRPr="009A0DA6">
        <w:rPr>
          <w:rFonts w:ascii="Cambria" w:eastAsia="Calibri" w:hAnsi="Cambria" w:cs="Calibri"/>
          <w:spacing w:val="-2"/>
        </w:rPr>
        <w:t xml:space="preserve">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 xml:space="preserve">ey </w:t>
      </w:r>
      <w:r w:rsidRPr="009A0DA6">
        <w:rPr>
          <w:rFonts w:ascii="Cambria" w:eastAsia="Calibri" w:hAnsi="Cambria" w:cs="Calibri"/>
          <w:spacing w:val="-3"/>
        </w:rPr>
        <w:t>a</w:t>
      </w:r>
      <w:r w:rsidRPr="009A0DA6">
        <w:rPr>
          <w:rFonts w:ascii="Cambria" w:eastAsia="Calibri" w:hAnsi="Cambria" w:cs="Calibri"/>
          <w:spacing w:val="1"/>
        </w:rPr>
        <w:t>r</w:t>
      </w:r>
      <w:r w:rsidRPr="009A0DA6">
        <w:rPr>
          <w:rFonts w:ascii="Cambria" w:eastAsia="Calibri" w:hAnsi="Cambria" w:cs="Calibri"/>
        </w:rPr>
        <w:t>e of c</w:t>
      </w:r>
      <w:r w:rsidRPr="009A0DA6">
        <w:rPr>
          <w:rFonts w:ascii="Cambria" w:eastAsia="Calibri" w:hAnsi="Cambria" w:cs="Calibri"/>
          <w:spacing w:val="-3"/>
        </w:rPr>
        <w:t>o</w:t>
      </w:r>
      <w:r w:rsidRPr="009A0DA6">
        <w:rPr>
          <w:rFonts w:ascii="Cambria" w:eastAsia="Calibri" w:hAnsi="Cambria" w:cs="Calibri"/>
          <w:spacing w:val="-1"/>
        </w:rPr>
        <w:t>n</w:t>
      </w:r>
      <w:r w:rsidRPr="009A0DA6">
        <w:rPr>
          <w:rFonts w:ascii="Cambria" w:eastAsia="Calibri" w:hAnsi="Cambria" w:cs="Calibri"/>
        </w:rPr>
        <w:t>cern</w:t>
      </w:r>
      <w:r w:rsidRPr="009A0DA6">
        <w:rPr>
          <w:rFonts w:ascii="Cambria" w:eastAsia="Calibri" w:hAnsi="Cambria" w:cs="Calibri"/>
          <w:spacing w:val="2"/>
        </w:rPr>
        <w:t xml:space="preserve"> </w:t>
      </w:r>
      <w:r w:rsidRPr="009A0DA6">
        <w:rPr>
          <w:rFonts w:ascii="Cambria" w:eastAsia="Calibri" w:hAnsi="Cambria" w:cs="Calibri"/>
        </w:rPr>
        <w:t>for</w:t>
      </w:r>
      <w:r w:rsidRPr="009A0DA6">
        <w:rPr>
          <w:rFonts w:ascii="Cambria" w:eastAsia="Calibri" w:hAnsi="Cambria" w:cs="Calibri"/>
          <w:spacing w:val="-1"/>
        </w:rPr>
        <w:t xml:space="preserve"> </w:t>
      </w:r>
      <w:r w:rsidRPr="009A0DA6">
        <w:rPr>
          <w:rFonts w:ascii="Cambria" w:eastAsia="Calibri" w:hAnsi="Cambria" w:cs="Calibri"/>
        </w:rPr>
        <w:t>the fo</w:t>
      </w:r>
      <w:r w:rsidRPr="009A0DA6">
        <w:rPr>
          <w:rFonts w:ascii="Cambria" w:eastAsia="Calibri" w:hAnsi="Cambria" w:cs="Calibri"/>
          <w:spacing w:val="-1"/>
        </w:rPr>
        <w:t>l</w:t>
      </w:r>
      <w:r w:rsidRPr="009A0DA6">
        <w:rPr>
          <w:rFonts w:ascii="Cambria" w:eastAsia="Calibri" w:hAnsi="Cambria" w:cs="Calibri"/>
        </w:rPr>
        <w:t>l</w:t>
      </w:r>
      <w:r w:rsidRPr="009A0DA6">
        <w:rPr>
          <w:rFonts w:ascii="Cambria" w:eastAsia="Calibri" w:hAnsi="Cambria" w:cs="Calibri"/>
          <w:spacing w:val="-1"/>
        </w:rPr>
        <w:t>o</w:t>
      </w:r>
      <w:r w:rsidRPr="009A0DA6">
        <w:rPr>
          <w:rFonts w:ascii="Cambria" w:eastAsia="Calibri" w:hAnsi="Cambria" w:cs="Calibri"/>
        </w:rPr>
        <w:t>wing</w:t>
      </w:r>
      <w:r w:rsidRPr="009A0DA6">
        <w:rPr>
          <w:rFonts w:ascii="Cambria" w:eastAsia="Calibri" w:hAnsi="Cambria" w:cs="Calibri"/>
          <w:spacing w:val="-3"/>
        </w:rPr>
        <w:t xml:space="preserve"> </w:t>
      </w:r>
      <w:r w:rsidRPr="009A0DA6">
        <w:rPr>
          <w:rFonts w:ascii="Cambria" w:eastAsia="Calibri" w:hAnsi="Cambria" w:cs="Calibri"/>
          <w:spacing w:val="1"/>
        </w:rPr>
        <w:t>r</w:t>
      </w:r>
      <w:r w:rsidRPr="009A0DA6">
        <w:rPr>
          <w:rFonts w:ascii="Cambria" w:eastAsia="Calibri" w:hAnsi="Cambria" w:cs="Calibri"/>
        </w:rPr>
        <w:t>ea</w:t>
      </w:r>
      <w:r w:rsidRPr="009A0DA6">
        <w:rPr>
          <w:rFonts w:ascii="Cambria" w:eastAsia="Calibri" w:hAnsi="Cambria" w:cs="Calibri"/>
          <w:spacing w:val="-2"/>
        </w:rPr>
        <w:t>s</w:t>
      </w:r>
      <w:r w:rsidRPr="009A0DA6">
        <w:rPr>
          <w:rFonts w:ascii="Cambria" w:eastAsia="Calibri" w:hAnsi="Cambria" w:cs="Calibri"/>
        </w:rPr>
        <w:t>o</w:t>
      </w:r>
      <w:r w:rsidRPr="009A0DA6">
        <w:rPr>
          <w:rFonts w:ascii="Cambria" w:eastAsia="Calibri" w:hAnsi="Cambria" w:cs="Calibri"/>
          <w:spacing w:val="-1"/>
        </w:rPr>
        <w:t>n</w:t>
      </w:r>
      <w:r w:rsidRPr="009A0DA6">
        <w:rPr>
          <w:rFonts w:ascii="Cambria" w:eastAsia="Calibri" w:hAnsi="Cambria" w:cs="Calibri"/>
        </w:rPr>
        <w:t>s:</w:t>
      </w:r>
    </w:p>
    <w:p w14:paraId="7442E324" w14:textId="1A541EBD" w:rsidR="00194B18" w:rsidRPr="009A0DA6" w:rsidRDefault="00194B18" w:rsidP="004A186C">
      <w:pPr>
        <w:pStyle w:val="ListParagraph"/>
        <w:numPr>
          <w:ilvl w:val="1"/>
          <w:numId w:val="154"/>
        </w:numPr>
        <w:spacing w:after="120" w:line="240" w:lineRule="auto"/>
        <w:ind w:left="993" w:right="158" w:hanging="426"/>
        <w:rPr>
          <w:rFonts w:ascii="Cambria" w:eastAsia="Calibri" w:hAnsi="Cambria" w:cs="Calibri"/>
        </w:rPr>
      </w:pPr>
      <w:r w:rsidRPr="009A0DA6">
        <w:rPr>
          <w:rFonts w:ascii="Cambria" w:eastAsia="Calibri" w:hAnsi="Cambria" w:cs="Calibri"/>
          <w:spacing w:val="1"/>
        </w:rPr>
        <w:t>Pr</w:t>
      </w:r>
      <w:r w:rsidRPr="009A0DA6">
        <w:rPr>
          <w:rFonts w:ascii="Cambria" w:eastAsia="Calibri" w:hAnsi="Cambria" w:cs="Calibri"/>
          <w:spacing w:val="-2"/>
        </w:rPr>
        <w:t>e</w:t>
      </w:r>
      <w:r w:rsidRPr="009A0DA6">
        <w:rPr>
          <w:rFonts w:ascii="Cambria" w:eastAsia="Calibri" w:hAnsi="Cambria" w:cs="Calibri"/>
        </w:rPr>
        <w:t>ve</w:t>
      </w:r>
      <w:r w:rsidRPr="009A0DA6">
        <w:rPr>
          <w:rFonts w:ascii="Cambria" w:eastAsia="Calibri" w:hAnsi="Cambria" w:cs="Calibri"/>
          <w:spacing w:val="-1"/>
        </w:rPr>
        <w:t>n</w:t>
      </w:r>
      <w:r w:rsidRPr="009A0DA6">
        <w:rPr>
          <w:rFonts w:ascii="Cambria" w:eastAsia="Calibri" w:hAnsi="Cambria" w:cs="Calibri"/>
        </w:rPr>
        <w:t>ting</w:t>
      </w:r>
      <w:r w:rsidRPr="009A0DA6">
        <w:rPr>
          <w:rFonts w:ascii="Cambria" w:eastAsia="Calibri" w:hAnsi="Cambria" w:cs="Calibri"/>
          <w:spacing w:val="-1"/>
        </w:rPr>
        <w:t xml:space="preserve"> </w:t>
      </w:r>
      <w:r w:rsidRPr="009A0DA6">
        <w:rPr>
          <w:rFonts w:ascii="Cambria" w:eastAsia="Calibri" w:hAnsi="Cambria" w:cs="Calibri"/>
        </w:rPr>
        <w:t>peo</w:t>
      </w:r>
      <w:r w:rsidRPr="009A0DA6">
        <w:rPr>
          <w:rFonts w:ascii="Cambria" w:eastAsia="Calibri" w:hAnsi="Cambria" w:cs="Calibri"/>
          <w:spacing w:val="-1"/>
        </w:rPr>
        <w:t>p</w:t>
      </w:r>
      <w:r w:rsidRPr="009A0DA6">
        <w:rPr>
          <w:rFonts w:ascii="Cambria" w:eastAsia="Calibri" w:hAnsi="Cambria" w:cs="Calibri"/>
        </w:rPr>
        <w:t xml:space="preserve">le </w:t>
      </w:r>
      <w:r w:rsidRPr="009A0DA6">
        <w:rPr>
          <w:rFonts w:ascii="Cambria" w:eastAsia="Calibri" w:hAnsi="Cambria" w:cs="Calibri"/>
          <w:spacing w:val="-2"/>
        </w:rPr>
        <w:t>f</w:t>
      </w:r>
      <w:r w:rsidRPr="009A0DA6">
        <w:rPr>
          <w:rFonts w:ascii="Cambria" w:eastAsia="Calibri" w:hAnsi="Cambria" w:cs="Calibri"/>
          <w:spacing w:val="1"/>
        </w:rPr>
        <w:t>r</w:t>
      </w:r>
      <w:r w:rsidRPr="009A0DA6">
        <w:rPr>
          <w:rFonts w:ascii="Cambria" w:eastAsia="Calibri" w:hAnsi="Cambria" w:cs="Calibri"/>
        </w:rPr>
        <w:t>om</w:t>
      </w:r>
      <w:r w:rsidRPr="009A0DA6">
        <w:rPr>
          <w:rFonts w:ascii="Cambria" w:eastAsia="Calibri" w:hAnsi="Cambria" w:cs="Calibri"/>
          <w:spacing w:val="-2"/>
        </w:rPr>
        <w:t xml:space="preserve"> </w:t>
      </w:r>
      <w:r w:rsidRPr="009A0DA6">
        <w:rPr>
          <w:rFonts w:ascii="Cambria" w:eastAsia="Calibri" w:hAnsi="Cambria" w:cs="Calibri"/>
        </w:rPr>
        <w:t>at</w:t>
      </w:r>
      <w:r w:rsidRPr="009A0DA6">
        <w:rPr>
          <w:rFonts w:ascii="Cambria" w:eastAsia="Calibri" w:hAnsi="Cambria" w:cs="Calibri"/>
          <w:spacing w:val="-2"/>
        </w:rPr>
        <w:t>t</w:t>
      </w:r>
      <w:r w:rsidRPr="009A0DA6">
        <w:rPr>
          <w:rFonts w:ascii="Cambria" w:eastAsia="Calibri" w:hAnsi="Cambria" w:cs="Calibri"/>
        </w:rPr>
        <w:t>en</w:t>
      </w:r>
      <w:r w:rsidRPr="009A0DA6">
        <w:rPr>
          <w:rFonts w:ascii="Cambria" w:eastAsia="Calibri" w:hAnsi="Cambria" w:cs="Calibri"/>
          <w:spacing w:val="-1"/>
        </w:rPr>
        <w:t>d</w:t>
      </w:r>
      <w:r w:rsidRPr="009A0DA6">
        <w:rPr>
          <w:rFonts w:ascii="Cambria" w:eastAsia="Calibri" w:hAnsi="Cambria" w:cs="Calibri"/>
        </w:rPr>
        <w:t>i</w:t>
      </w:r>
      <w:r w:rsidRPr="009A0DA6">
        <w:rPr>
          <w:rFonts w:ascii="Cambria" w:eastAsia="Calibri" w:hAnsi="Cambria" w:cs="Calibri"/>
          <w:spacing w:val="-1"/>
        </w:rPr>
        <w:t>n</w:t>
      </w:r>
      <w:r w:rsidRPr="009A0DA6">
        <w:rPr>
          <w:rFonts w:ascii="Cambria" w:eastAsia="Calibri" w:hAnsi="Cambria" w:cs="Calibri"/>
        </w:rPr>
        <w:t>g</w:t>
      </w:r>
      <w:r w:rsidRPr="009A0DA6">
        <w:rPr>
          <w:rFonts w:ascii="Cambria" w:eastAsia="Calibri" w:hAnsi="Cambria" w:cs="Calibri"/>
          <w:spacing w:val="-1"/>
        </w:rPr>
        <w:t xml:space="preserve"> </w:t>
      </w:r>
      <w:r w:rsidRPr="009A0DA6">
        <w:rPr>
          <w:rFonts w:ascii="Cambria" w:eastAsia="Calibri" w:hAnsi="Cambria" w:cs="Calibri"/>
        </w:rPr>
        <w:t>p</w:t>
      </w:r>
      <w:r w:rsidRPr="009A0DA6">
        <w:rPr>
          <w:rFonts w:ascii="Cambria" w:eastAsia="Calibri" w:hAnsi="Cambria" w:cs="Calibri"/>
          <w:spacing w:val="-1"/>
        </w:rPr>
        <w:t>ub</w:t>
      </w:r>
      <w:r w:rsidRPr="009A0DA6">
        <w:rPr>
          <w:rFonts w:ascii="Cambria" w:eastAsia="Calibri" w:hAnsi="Cambria" w:cs="Calibri"/>
        </w:rPr>
        <w:t>lic wo</w:t>
      </w:r>
      <w:r w:rsidRPr="009A0DA6">
        <w:rPr>
          <w:rFonts w:ascii="Cambria" w:eastAsia="Calibri" w:hAnsi="Cambria" w:cs="Calibri"/>
          <w:spacing w:val="1"/>
        </w:rPr>
        <w:t>r</w:t>
      </w:r>
      <w:r w:rsidRPr="009A0DA6">
        <w:rPr>
          <w:rFonts w:ascii="Cambria" w:eastAsia="Calibri" w:hAnsi="Cambria" w:cs="Calibri"/>
        </w:rPr>
        <w:t>ship</w:t>
      </w:r>
      <w:r w:rsidRPr="009A0DA6">
        <w:rPr>
          <w:rFonts w:ascii="Cambria" w:eastAsia="Calibri" w:hAnsi="Cambria" w:cs="Calibri"/>
          <w:spacing w:val="-1"/>
        </w:rPr>
        <w:t xml:space="preserve"> </w:t>
      </w:r>
      <w:r w:rsidRPr="009A0DA6">
        <w:rPr>
          <w:rFonts w:ascii="Cambria" w:eastAsia="Calibri" w:hAnsi="Cambria" w:cs="Calibri"/>
        </w:rPr>
        <w:t>is</w:t>
      </w:r>
      <w:r w:rsidRPr="009A0DA6">
        <w:rPr>
          <w:rFonts w:ascii="Cambria" w:eastAsia="Calibri" w:hAnsi="Cambria" w:cs="Calibri"/>
          <w:spacing w:val="1"/>
        </w:rPr>
        <w:t xml:space="preserve"> </w:t>
      </w:r>
      <w:r w:rsidRPr="009A0DA6">
        <w:rPr>
          <w:rFonts w:ascii="Cambria" w:eastAsia="Calibri" w:hAnsi="Cambria" w:cs="Calibri"/>
          <w:spacing w:val="-1"/>
        </w:rPr>
        <w:t>u</w:t>
      </w:r>
      <w:r w:rsidRPr="009A0DA6">
        <w:rPr>
          <w:rFonts w:ascii="Cambria" w:eastAsia="Calibri" w:hAnsi="Cambria" w:cs="Calibri"/>
          <w:spacing w:val="-3"/>
        </w:rPr>
        <w:t>n</w:t>
      </w:r>
      <w:r w:rsidRPr="009A0DA6">
        <w:rPr>
          <w:rFonts w:ascii="Cambria" w:eastAsia="Calibri" w:hAnsi="Cambria" w:cs="Calibri"/>
          <w:spacing w:val="-1"/>
        </w:rPr>
        <w:t>p</w:t>
      </w:r>
      <w:r w:rsidRPr="009A0DA6">
        <w:rPr>
          <w:rFonts w:ascii="Cambria" w:eastAsia="Calibri" w:hAnsi="Cambria" w:cs="Calibri"/>
          <w:spacing w:val="1"/>
        </w:rPr>
        <w:t>r</w:t>
      </w:r>
      <w:r w:rsidRPr="009A0DA6">
        <w:rPr>
          <w:rFonts w:ascii="Cambria" w:eastAsia="Calibri" w:hAnsi="Cambria" w:cs="Calibri"/>
        </w:rPr>
        <w:t>ece</w:t>
      </w:r>
      <w:r w:rsidRPr="009A0DA6">
        <w:rPr>
          <w:rFonts w:ascii="Cambria" w:eastAsia="Calibri" w:hAnsi="Cambria" w:cs="Calibri"/>
          <w:spacing w:val="-1"/>
        </w:rPr>
        <w:t>d</w:t>
      </w:r>
      <w:r w:rsidRPr="009A0DA6">
        <w:rPr>
          <w:rFonts w:ascii="Cambria" w:eastAsia="Calibri" w:hAnsi="Cambria" w:cs="Calibri"/>
        </w:rPr>
        <w:t>ented</w:t>
      </w:r>
      <w:r w:rsidRPr="009A0DA6">
        <w:rPr>
          <w:rFonts w:ascii="Cambria" w:eastAsia="Calibri" w:hAnsi="Cambria" w:cs="Calibri"/>
          <w:spacing w:val="-1"/>
        </w:rPr>
        <w:t xml:space="preserve"> </w:t>
      </w:r>
      <w:r w:rsidRPr="009A0DA6">
        <w:rPr>
          <w:rFonts w:ascii="Cambria" w:eastAsia="Calibri" w:hAnsi="Cambria" w:cs="Calibri"/>
        </w:rPr>
        <w:t>in</w:t>
      </w:r>
      <w:r w:rsidRPr="009A0DA6">
        <w:rPr>
          <w:rFonts w:ascii="Cambria" w:eastAsia="Calibri" w:hAnsi="Cambria" w:cs="Calibri"/>
          <w:spacing w:val="-2"/>
        </w:rPr>
        <w:t xml:space="preserve"> </w:t>
      </w:r>
      <w:r w:rsidRPr="009A0DA6">
        <w:rPr>
          <w:rFonts w:ascii="Cambria" w:eastAsia="Calibri" w:hAnsi="Cambria" w:cs="Calibri"/>
        </w:rPr>
        <w:t>the h</w:t>
      </w:r>
      <w:r w:rsidRPr="009A0DA6">
        <w:rPr>
          <w:rFonts w:ascii="Cambria" w:eastAsia="Calibri" w:hAnsi="Cambria" w:cs="Calibri"/>
          <w:spacing w:val="-1"/>
        </w:rPr>
        <w:t>i</w:t>
      </w:r>
      <w:r w:rsidRPr="009A0DA6">
        <w:rPr>
          <w:rFonts w:ascii="Cambria" w:eastAsia="Calibri" w:hAnsi="Cambria" w:cs="Calibri"/>
          <w:spacing w:val="-2"/>
        </w:rPr>
        <w:t>s</w:t>
      </w:r>
      <w:r w:rsidRPr="009A0DA6">
        <w:rPr>
          <w:rFonts w:ascii="Cambria" w:eastAsia="Calibri" w:hAnsi="Cambria" w:cs="Calibri"/>
        </w:rPr>
        <w:t>to</w:t>
      </w:r>
      <w:r w:rsidRPr="009A0DA6">
        <w:rPr>
          <w:rFonts w:ascii="Cambria" w:eastAsia="Calibri" w:hAnsi="Cambria" w:cs="Calibri"/>
          <w:spacing w:val="1"/>
        </w:rPr>
        <w:t>r</w:t>
      </w:r>
      <w:r w:rsidRPr="009A0DA6">
        <w:rPr>
          <w:rFonts w:ascii="Cambria" w:eastAsia="Calibri" w:hAnsi="Cambria" w:cs="Calibri"/>
        </w:rPr>
        <w:t>y</w:t>
      </w:r>
      <w:r w:rsidRPr="009A0DA6">
        <w:rPr>
          <w:rFonts w:ascii="Cambria" w:eastAsia="Calibri" w:hAnsi="Cambria" w:cs="Calibri"/>
          <w:spacing w:val="-2"/>
        </w:rPr>
        <w:t xml:space="preserve"> </w:t>
      </w:r>
      <w:r w:rsidRPr="009A0DA6">
        <w:rPr>
          <w:rFonts w:ascii="Cambria" w:eastAsia="Calibri" w:hAnsi="Cambria" w:cs="Calibri"/>
        </w:rPr>
        <w:t>of the</w:t>
      </w:r>
      <w:r w:rsidRPr="009A0DA6">
        <w:rPr>
          <w:rFonts w:ascii="Cambria" w:eastAsia="Calibri" w:hAnsi="Cambria" w:cs="Calibri"/>
          <w:spacing w:val="4"/>
        </w:rPr>
        <w:t xml:space="preserve"> </w:t>
      </w:r>
      <w:r w:rsidR="00336CE0" w:rsidRPr="009A0DA6">
        <w:rPr>
          <w:rFonts w:ascii="Cambria" w:eastAsia="Calibri" w:hAnsi="Cambria" w:cs="Calibri"/>
        </w:rPr>
        <w:t>church</w:t>
      </w:r>
      <w:r w:rsidRPr="009A0DA6">
        <w:rPr>
          <w:rFonts w:ascii="Cambria" w:eastAsia="Calibri" w:hAnsi="Cambria" w:cs="Calibri"/>
        </w:rPr>
        <w:t xml:space="preserve">. </w:t>
      </w:r>
      <w:r w:rsidRPr="009A0DA6">
        <w:rPr>
          <w:rFonts w:ascii="Cambria" w:eastAsia="Calibri" w:hAnsi="Cambria" w:cs="Calibri"/>
          <w:spacing w:val="-2"/>
        </w:rPr>
        <w:t>E</w:t>
      </w:r>
      <w:r w:rsidRPr="009A0DA6">
        <w:rPr>
          <w:rFonts w:ascii="Cambria" w:eastAsia="Calibri" w:hAnsi="Cambria" w:cs="Calibri"/>
        </w:rPr>
        <w:t>ven exc</w:t>
      </w:r>
      <w:r w:rsidRPr="009A0DA6">
        <w:rPr>
          <w:rFonts w:ascii="Cambria" w:eastAsia="Calibri" w:hAnsi="Cambria" w:cs="Calibri"/>
          <w:spacing w:val="-1"/>
        </w:rPr>
        <w:t>o</w:t>
      </w:r>
      <w:r w:rsidRPr="009A0DA6">
        <w:rPr>
          <w:rFonts w:ascii="Cambria" w:eastAsia="Calibri" w:hAnsi="Cambria" w:cs="Calibri"/>
        </w:rPr>
        <w:t>m</w:t>
      </w:r>
      <w:r w:rsidRPr="009A0DA6">
        <w:rPr>
          <w:rFonts w:ascii="Cambria" w:eastAsia="Calibri" w:hAnsi="Cambria" w:cs="Calibri"/>
          <w:spacing w:val="1"/>
        </w:rPr>
        <w:t>m</w:t>
      </w:r>
      <w:r w:rsidRPr="009A0DA6">
        <w:rPr>
          <w:rFonts w:ascii="Cambria" w:eastAsia="Calibri" w:hAnsi="Cambria" w:cs="Calibri"/>
          <w:spacing w:val="-1"/>
        </w:rPr>
        <w:t>un</w:t>
      </w:r>
      <w:r w:rsidRPr="009A0DA6">
        <w:rPr>
          <w:rFonts w:ascii="Cambria" w:eastAsia="Calibri" w:hAnsi="Cambria" w:cs="Calibri"/>
        </w:rPr>
        <w:t>i</w:t>
      </w:r>
      <w:r w:rsidRPr="009A0DA6">
        <w:rPr>
          <w:rFonts w:ascii="Cambria" w:eastAsia="Calibri" w:hAnsi="Cambria" w:cs="Calibri"/>
          <w:spacing w:val="-1"/>
        </w:rPr>
        <w:t>ca</w:t>
      </w:r>
      <w:r w:rsidRPr="009A0DA6">
        <w:rPr>
          <w:rFonts w:ascii="Cambria" w:eastAsia="Calibri" w:hAnsi="Cambria" w:cs="Calibri"/>
        </w:rPr>
        <w:t>ted p</w:t>
      </w:r>
      <w:r w:rsidRPr="009A0DA6">
        <w:rPr>
          <w:rFonts w:ascii="Cambria" w:eastAsia="Calibri" w:hAnsi="Cambria" w:cs="Calibri"/>
          <w:spacing w:val="-3"/>
        </w:rPr>
        <w:t>e</w:t>
      </w:r>
      <w:r w:rsidRPr="009A0DA6">
        <w:rPr>
          <w:rFonts w:ascii="Cambria" w:eastAsia="Calibri" w:hAnsi="Cambria" w:cs="Calibri"/>
          <w:spacing w:val="1"/>
        </w:rPr>
        <w:t>r</w:t>
      </w:r>
      <w:r w:rsidRPr="009A0DA6">
        <w:rPr>
          <w:rFonts w:ascii="Cambria" w:eastAsia="Calibri" w:hAnsi="Cambria" w:cs="Calibri"/>
        </w:rPr>
        <w:t>so</w:t>
      </w:r>
      <w:r w:rsidRPr="009A0DA6">
        <w:rPr>
          <w:rFonts w:ascii="Cambria" w:eastAsia="Calibri" w:hAnsi="Cambria" w:cs="Calibri"/>
          <w:spacing w:val="-3"/>
        </w:rPr>
        <w:t>n</w:t>
      </w:r>
      <w:r w:rsidRPr="009A0DA6">
        <w:rPr>
          <w:rFonts w:ascii="Cambria" w:eastAsia="Calibri" w:hAnsi="Cambria" w:cs="Calibri"/>
        </w:rPr>
        <w:t>s</w:t>
      </w:r>
      <w:r w:rsidRPr="009A0DA6">
        <w:rPr>
          <w:rFonts w:ascii="Cambria" w:eastAsia="Calibri" w:hAnsi="Cambria" w:cs="Calibri"/>
          <w:spacing w:val="1"/>
        </w:rPr>
        <w:t xml:space="preserve"> </w:t>
      </w:r>
      <w:r w:rsidRPr="009A0DA6">
        <w:rPr>
          <w:rFonts w:ascii="Cambria" w:eastAsia="Calibri" w:hAnsi="Cambria" w:cs="Calibri"/>
          <w:spacing w:val="-3"/>
        </w:rPr>
        <w:t>a</w:t>
      </w:r>
      <w:r w:rsidRPr="009A0DA6">
        <w:rPr>
          <w:rFonts w:ascii="Cambria" w:eastAsia="Calibri" w:hAnsi="Cambria" w:cs="Calibri"/>
          <w:spacing w:val="1"/>
        </w:rPr>
        <w:t>r</w:t>
      </w:r>
      <w:r w:rsidRPr="009A0DA6">
        <w:rPr>
          <w:rFonts w:ascii="Cambria" w:eastAsia="Calibri" w:hAnsi="Cambria" w:cs="Calibri"/>
        </w:rPr>
        <w:t>e al</w:t>
      </w:r>
      <w:r w:rsidRPr="009A0DA6">
        <w:rPr>
          <w:rFonts w:ascii="Cambria" w:eastAsia="Calibri" w:hAnsi="Cambria" w:cs="Calibri"/>
          <w:spacing w:val="-1"/>
        </w:rPr>
        <w:t>l</w:t>
      </w:r>
      <w:r w:rsidRPr="009A0DA6">
        <w:rPr>
          <w:rFonts w:ascii="Cambria" w:eastAsia="Calibri" w:hAnsi="Cambria" w:cs="Calibri"/>
        </w:rPr>
        <w:t>o</w:t>
      </w:r>
      <w:r w:rsidRPr="009A0DA6">
        <w:rPr>
          <w:rFonts w:ascii="Cambria" w:eastAsia="Calibri" w:hAnsi="Cambria" w:cs="Calibri"/>
          <w:spacing w:val="-2"/>
        </w:rPr>
        <w:t>w</w:t>
      </w:r>
      <w:r w:rsidRPr="009A0DA6">
        <w:rPr>
          <w:rFonts w:ascii="Cambria" w:eastAsia="Calibri" w:hAnsi="Cambria" w:cs="Calibri"/>
        </w:rPr>
        <w:t>ed to a</w:t>
      </w:r>
      <w:r w:rsidRPr="009A0DA6">
        <w:rPr>
          <w:rFonts w:ascii="Cambria" w:eastAsia="Calibri" w:hAnsi="Cambria" w:cs="Calibri"/>
          <w:spacing w:val="-2"/>
        </w:rPr>
        <w:t>t</w:t>
      </w:r>
      <w:r w:rsidRPr="009A0DA6">
        <w:rPr>
          <w:rFonts w:ascii="Cambria" w:eastAsia="Calibri" w:hAnsi="Cambria" w:cs="Calibri"/>
        </w:rPr>
        <w:t>tend</w:t>
      </w:r>
      <w:r w:rsidRPr="009A0DA6">
        <w:rPr>
          <w:rFonts w:ascii="Cambria" w:eastAsia="Calibri" w:hAnsi="Cambria" w:cs="Calibri"/>
          <w:spacing w:val="-1"/>
        </w:rPr>
        <w:t xml:space="preserve"> </w:t>
      </w:r>
      <w:r w:rsidRPr="009A0DA6">
        <w:rPr>
          <w:rFonts w:ascii="Cambria" w:eastAsia="Calibri" w:hAnsi="Cambria" w:cs="Calibri"/>
        </w:rPr>
        <w:t>div</w:t>
      </w:r>
      <w:r w:rsidRPr="009A0DA6">
        <w:rPr>
          <w:rFonts w:ascii="Cambria" w:eastAsia="Calibri" w:hAnsi="Cambria" w:cs="Calibri"/>
          <w:spacing w:val="-1"/>
        </w:rPr>
        <w:t>in</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rPr>
        <w:t>se</w:t>
      </w:r>
      <w:r w:rsidRPr="009A0DA6">
        <w:rPr>
          <w:rFonts w:ascii="Cambria" w:eastAsia="Calibri" w:hAnsi="Cambria" w:cs="Calibri"/>
          <w:spacing w:val="1"/>
        </w:rPr>
        <w:t>r</w:t>
      </w:r>
      <w:r w:rsidRPr="009A0DA6">
        <w:rPr>
          <w:rFonts w:ascii="Cambria" w:eastAsia="Calibri" w:hAnsi="Cambria" w:cs="Calibri"/>
        </w:rPr>
        <w:t>vi</w:t>
      </w:r>
      <w:r w:rsidRPr="009A0DA6">
        <w:rPr>
          <w:rFonts w:ascii="Cambria" w:eastAsia="Calibri" w:hAnsi="Cambria" w:cs="Calibri"/>
          <w:spacing w:val="-1"/>
        </w:rPr>
        <w:t>c</w:t>
      </w:r>
      <w:r w:rsidRPr="009A0DA6">
        <w:rPr>
          <w:rFonts w:ascii="Cambria" w:eastAsia="Calibri" w:hAnsi="Cambria" w:cs="Calibri"/>
        </w:rPr>
        <w:t>e</w:t>
      </w:r>
      <w:r w:rsidRPr="009A0DA6">
        <w:rPr>
          <w:rFonts w:ascii="Cambria" w:eastAsia="Calibri" w:hAnsi="Cambria" w:cs="Calibri"/>
          <w:spacing w:val="-2"/>
        </w:rPr>
        <w:t xml:space="preserve"> </w:t>
      </w:r>
      <w:r w:rsidRPr="009A0DA6">
        <w:rPr>
          <w:rFonts w:ascii="Cambria" w:eastAsia="Calibri" w:hAnsi="Cambria" w:cs="Calibri"/>
          <w:spacing w:val="1"/>
        </w:rPr>
        <w:t>t</w:t>
      </w:r>
      <w:r w:rsidRPr="009A0DA6">
        <w:rPr>
          <w:rFonts w:ascii="Cambria" w:eastAsia="Calibri" w:hAnsi="Cambria" w:cs="Calibri"/>
        </w:rPr>
        <w:t>o</w:t>
      </w:r>
      <w:r w:rsidRPr="009A0DA6">
        <w:rPr>
          <w:rFonts w:ascii="Cambria" w:eastAsia="Calibri" w:hAnsi="Cambria" w:cs="Calibri"/>
          <w:spacing w:val="2"/>
        </w:rPr>
        <w:t xml:space="preserve"> </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3"/>
        </w:rPr>
        <w:t>a</w:t>
      </w:r>
      <w:r w:rsidRPr="009A0DA6">
        <w:rPr>
          <w:rFonts w:ascii="Cambria" w:eastAsia="Calibri" w:hAnsi="Cambria" w:cs="Calibri"/>
        </w:rPr>
        <w:t>r</w:t>
      </w:r>
      <w:r w:rsidRPr="009A0DA6">
        <w:rPr>
          <w:rFonts w:ascii="Cambria" w:eastAsia="Calibri" w:hAnsi="Cambria" w:cs="Calibri"/>
          <w:spacing w:val="1"/>
        </w:rPr>
        <w:t xml:space="preserve"> 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2"/>
        </w:rPr>
        <w:t xml:space="preserve"> </w:t>
      </w:r>
      <w:r w:rsidRPr="009A0DA6">
        <w:rPr>
          <w:rFonts w:ascii="Cambria" w:eastAsia="Calibri" w:hAnsi="Cambria" w:cs="Calibri"/>
          <w:spacing w:val="1"/>
        </w:rPr>
        <w:t>W</w:t>
      </w:r>
      <w:r w:rsidRPr="009A0DA6">
        <w:rPr>
          <w:rFonts w:ascii="Cambria" w:eastAsia="Calibri" w:hAnsi="Cambria" w:cs="Calibri"/>
        </w:rPr>
        <w:t>ord</w:t>
      </w:r>
      <w:r w:rsidRPr="009A0DA6">
        <w:rPr>
          <w:rFonts w:ascii="Cambria" w:eastAsia="Calibri" w:hAnsi="Cambria" w:cs="Calibri"/>
          <w:spacing w:val="-2"/>
        </w:rPr>
        <w:t xml:space="preserve"> </w:t>
      </w:r>
      <w:r w:rsidRPr="009A0DA6">
        <w:rPr>
          <w:rFonts w:ascii="Cambria" w:eastAsia="Calibri" w:hAnsi="Cambria" w:cs="Calibri"/>
        </w:rPr>
        <w:t>of</w:t>
      </w:r>
      <w:r w:rsidRPr="009A0DA6">
        <w:rPr>
          <w:rFonts w:ascii="Cambria" w:eastAsia="Calibri" w:hAnsi="Cambria" w:cs="Calibri"/>
          <w:spacing w:val="-2"/>
        </w:rPr>
        <w:t xml:space="preserve"> </w:t>
      </w:r>
      <w:r w:rsidRPr="009A0DA6">
        <w:rPr>
          <w:rFonts w:ascii="Cambria" w:eastAsia="Calibri" w:hAnsi="Cambria" w:cs="Calibri"/>
        </w:rPr>
        <w:t>God</w:t>
      </w:r>
      <w:r w:rsidRPr="009A0DA6">
        <w:rPr>
          <w:rFonts w:ascii="Cambria" w:eastAsia="Calibri" w:hAnsi="Cambria" w:cs="Calibri"/>
          <w:spacing w:val="-1"/>
        </w:rPr>
        <w:t xml:space="preserve"> </w:t>
      </w:r>
      <w:r w:rsidRPr="009A0DA6">
        <w:rPr>
          <w:rFonts w:ascii="Cambria" w:eastAsia="Calibri" w:hAnsi="Cambria" w:cs="Calibri"/>
          <w:spacing w:val="1"/>
        </w:rPr>
        <w:t>(</w:t>
      </w:r>
      <w:r w:rsidRPr="009A0DA6">
        <w:rPr>
          <w:rFonts w:ascii="Cambria" w:eastAsia="Calibri" w:hAnsi="Cambria" w:cs="Calibri"/>
        </w:rPr>
        <w:t xml:space="preserve">they </w:t>
      </w:r>
      <w:r w:rsidRPr="009A0DA6">
        <w:rPr>
          <w:rFonts w:ascii="Cambria" w:eastAsia="Calibri" w:hAnsi="Cambria" w:cs="Calibri"/>
          <w:spacing w:val="-3"/>
        </w:rPr>
        <w:t>a</w:t>
      </w:r>
      <w:r w:rsidRPr="009A0DA6">
        <w:rPr>
          <w:rFonts w:ascii="Cambria" w:eastAsia="Calibri" w:hAnsi="Cambria" w:cs="Calibri"/>
          <w:spacing w:val="1"/>
        </w:rPr>
        <w:t>r</w:t>
      </w:r>
      <w:r w:rsidRPr="009A0DA6">
        <w:rPr>
          <w:rFonts w:ascii="Cambria" w:eastAsia="Calibri" w:hAnsi="Cambria" w:cs="Calibri"/>
        </w:rPr>
        <w:t>e j</w:t>
      </w:r>
      <w:r w:rsidRPr="009A0DA6">
        <w:rPr>
          <w:rFonts w:ascii="Cambria" w:eastAsia="Calibri" w:hAnsi="Cambria" w:cs="Calibri"/>
          <w:spacing w:val="-3"/>
        </w:rPr>
        <w:t>u</w:t>
      </w:r>
      <w:r w:rsidRPr="009A0DA6">
        <w:rPr>
          <w:rFonts w:ascii="Cambria" w:eastAsia="Calibri" w:hAnsi="Cambria" w:cs="Calibri"/>
        </w:rPr>
        <w:t>st</w:t>
      </w:r>
      <w:r w:rsidRPr="009A0DA6">
        <w:rPr>
          <w:rFonts w:ascii="Cambria" w:eastAsia="Calibri" w:hAnsi="Cambria" w:cs="Calibri"/>
          <w:spacing w:val="1"/>
        </w:rPr>
        <w:t xml:space="preserve"> </w:t>
      </w:r>
      <w:r w:rsidRPr="009A0DA6">
        <w:rPr>
          <w:rFonts w:ascii="Cambria" w:eastAsia="Calibri" w:hAnsi="Cambria" w:cs="Calibri"/>
        </w:rPr>
        <w:t>n</w:t>
      </w:r>
      <w:r w:rsidRPr="009A0DA6">
        <w:rPr>
          <w:rFonts w:ascii="Cambria" w:eastAsia="Calibri" w:hAnsi="Cambria" w:cs="Calibri"/>
          <w:spacing w:val="-1"/>
        </w:rPr>
        <w:t>o</w:t>
      </w:r>
      <w:r w:rsidRPr="009A0DA6">
        <w:rPr>
          <w:rFonts w:ascii="Cambria" w:eastAsia="Calibri" w:hAnsi="Cambria" w:cs="Calibri"/>
        </w:rPr>
        <w:t xml:space="preserve">t </w:t>
      </w:r>
      <w:r w:rsidRPr="009A0DA6">
        <w:rPr>
          <w:rFonts w:ascii="Cambria" w:eastAsia="Calibri" w:hAnsi="Cambria" w:cs="Calibri"/>
          <w:spacing w:val="-1"/>
        </w:rPr>
        <w:t>a</w:t>
      </w:r>
      <w:r w:rsidRPr="009A0DA6">
        <w:rPr>
          <w:rFonts w:ascii="Cambria" w:eastAsia="Calibri" w:hAnsi="Cambria" w:cs="Calibri"/>
        </w:rPr>
        <w:t>llowed to c</w:t>
      </w:r>
      <w:r w:rsidRPr="009A0DA6">
        <w:rPr>
          <w:rFonts w:ascii="Cambria" w:eastAsia="Calibri" w:hAnsi="Cambria" w:cs="Calibri"/>
          <w:spacing w:val="-1"/>
        </w:rPr>
        <w:t>o</w:t>
      </w:r>
      <w:r w:rsidRPr="009A0DA6">
        <w:rPr>
          <w:rFonts w:ascii="Cambria" w:eastAsia="Calibri" w:hAnsi="Cambria" w:cs="Calibri"/>
          <w:spacing w:val="-2"/>
        </w:rPr>
        <w:t>m</w:t>
      </w:r>
      <w:r w:rsidRPr="009A0DA6">
        <w:rPr>
          <w:rFonts w:ascii="Cambria" w:eastAsia="Calibri" w:hAnsi="Cambria" w:cs="Calibri"/>
        </w:rPr>
        <w:t>mu</w:t>
      </w:r>
      <w:r w:rsidRPr="009A0DA6">
        <w:rPr>
          <w:rFonts w:ascii="Cambria" w:eastAsia="Calibri" w:hAnsi="Cambria" w:cs="Calibri"/>
          <w:spacing w:val="-1"/>
        </w:rPr>
        <w:t>n</w:t>
      </w:r>
      <w:r w:rsidRPr="009A0DA6">
        <w:rPr>
          <w:rFonts w:ascii="Cambria" w:eastAsia="Calibri" w:hAnsi="Cambria" w:cs="Calibri"/>
        </w:rPr>
        <w:t xml:space="preserve">e). </w:t>
      </w:r>
      <w:r w:rsidRPr="009A0DA6">
        <w:rPr>
          <w:rFonts w:ascii="Cambria" w:eastAsia="Calibri" w:hAnsi="Cambria" w:cs="Calibri"/>
          <w:spacing w:val="1"/>
        </w:rPr>
        <w:t>T</w:t>
      </w:r>
      <w:r w:rsidRPr="009A0DA6">
        <w:rPr>
          <w:rFonts w:ascii="Cambria" w:eastAsia="Calibri" w:hAnsi="Cambria" w:cs="Calibri"/>
          <w:spacing w:val="-3"/>
        </w:rPr>
        <w:t>h</w:t>
      </w:r>
      <w:r w:rsidRPr="009A0DA6">
        <w:rPr>
          <w:rFonts w:ascii="Cambria" w:eastAsia="Calibri" w:hAnsi="Cambria" w:cs="Calibri"/>
        </w:rPr>
        <w:t>e</w:t>
      </w:r>
      <w:r w:rsidRPr="009A0DA6">
        <w:rPr>
          <w:rFonts w:ascii="Cambria" w:eastAsia="Calibri" w:hAnsi="Cambria" w:cs="Calibri"/>
          <w:spacing w:val="-1"/>
        </w:rPr>
        <w:t xml:space="preserve"> </w:t>
      </w:r>
      <w:r w:rsidR="00336CE0" w:rsidRPr="009A0DA6">
        <w:rPr>
          <w:rFonts w:ascii="Cambria" w:eastAsia="Calibri" w:hAnsi="Cambria" w:cs="Calibri"/>
        </w:rPr>
        <w:t>church</w:t>
      </w:r>
      <w:r w:rsidRPr="009A0DA6">
        <w:rPr>
          <w:rFonts w:ascii="Cambria" w:eastAsia="Calibri" w:hAnsi="Cambria" w:cs="Calibri"/>
          <w:spacing w:val="-1"/>
        </w:rPr>
        <w:t xml:space="preserve"> </w:t>
      </w:r>
      <w:r w:rsidRPr="009A0DA6">
        <w:rPr>
          <w:rFonts w:ascii="Cambria" w:eastAsia="Calibri" w:hAnsi="Cambria" w:cs="Calibri"/>
        </w:rPr>
        <w:t>welc</w:t>
      </w:r>
      <w:r w:rsidRPr="009A0DA6">
        <w:rPr>
          <w:rFonts w:ascii="Cambria" w:eastAsia="Calibri" w:hAnsi="Cambria" w:cs="Calibri"/>
          <w:spacing w:val="-1"/>
        </w:rPr>
        <w:t>o</w:t>
      </w:r>
      <w:r w:rsidRPr="009A0DA6">
        <w:rPr>
          <w:rFonts w:ascii="Cambria" w:eastAsia="Calibri" w:hAnsi="Cambria" w:cs="Calibri"/>
          <w:spacing w:val="-2"/>
        </w:rPr>
        <w:t>m</w:t>
      </w:r>
      <w:r w:rsidRPr="009A0DA6">
        <w:rPr>
          <w:rFonts w:ascii="Cambria" w:eastAsia="Calibri" w:hAnsi="Cambria" w:cs="Calibri"/>
        </w:rPr>
        <w:t>es</w:t>
      </w:r>
      <w:r w:rsidRPr="009A0DA6">
        <w:rPr>
          <w:rFonts w:ascii="Cambria" w:eastAsia="Calibri" w:hAnsi="Cambria" w:cs="Calibri"/>
          <w:spacing w:val="1"/>
        </w:rPr>
        <w:t xml:space="preserve"> </w:t>
      </w:r>
      <w:r w:rsidRPr="009A0DA6">
        <w:rPr>
          <w:rFonts w:ascii="Cambria" w:eastAsia="Calibri" w:hAnsi="Cambria" w:cs="Calibri"/>
          <w:spacing w:val="-2"/>
        </w:rPr>
        <w:t>e</w:t>
      </w:r>
      <w:r w:rsidRPr="009A0DA6">
        <w:rPr>
          <w:rFonts w:ascii="Cambria" w:eastAsia="Calibri" w:hAnsi="Cambria" w:cs="Calibri"/>
        </w:rPr>
        <w:t>ve</w:t>
      </w:r>
      <w:r w:rsidRPr="009A0DA6">
        <w:rPr>
          <w:rFonts w:ascii="Cambria" w:eastAsia="Calibri" w:hAnsi="Cambria" w:cs="Calibri"/>
          <w:spacing w:val="1"/>
        </w:rPr>
        <w:t>r</w:t>
      </w:r>
      <w:r w:rsidRPr="009A0DA6">
        <w:rPr>
          <w:rFonts w:ascii="Cambria" w:eastAsia="Calibri" w:hAnsi="Cambria" w:cs="Calibri"/>
        </w:rPr>
        <w:t>y</w:t>
      </w:r>
      <w:r w:rsidRPr="009A0DA6">
        <w:rPr>
          <w:rFonts w:ascii="Cambria" w:eastAsia="Calibri" w:hAnsi="Cambria" w:cs="Calibri"/>
          <w:spacing w:val="-1"/>
        </w:rPr>
        <w:t>on</w:t>
      </w:r>
      <w:r w:rsidRPr="009A0DA6">
        <w:rPr>
          <w:rFonts w:ascii="Cambria" w:eastAsia="Calibri" w:hAnsi="Cambria" w:cs="Calibri"/>
        </w:rPr>
        <w:t>e</w:t>
      </w:r>
      <w:r w:rsidRPr="009A0DA6">
        <w:rPr>
          <w:rFonts w:ascii="Cambria" w:eastAsia="Calibri" w:hAnsi="Cambria" w:cs="Calibri"/>
          <w:spacing w:val="-2"/>
        </w:rPr>
        <w:t xml:space="preserve"> </w:t>
      </w:r>
      <w:r w:rsidRPr="009A0DA6">
        <w:rPr>
          <w:rFonts w:ascii="Cambria" w:eastAsia="Calibri" w:hAnsi="Cambria" w:cs="Calibri"/>
        </w:rPr>
        <w:t>in th</w:t>
      </w:r>
      <w:r w:rsidRPr="009A0DA6">
        <w:rPr>
          <w:rFonts w:ascii="Cambria" w:eastAsia="Calibri" w:hAnsi="Cambria" w:cs="Calibri"/>
          <w:spacing w:val="-1"/>
        </w:rPr>
        <w:t>i</w:t>
      </w:r>
      <w:r w:rsidRPr="009A0DA6">
        <w:rPr>
          <w:rFonts w:ascii="Cambria" w:eastAsia="Calibri" w:hAnsi="Cambria" w:cs="Calibri"/>
        </w:rPr>
        <w:t>s</w:t>
      </w:r>
      <w:r w:rsidRPr="009A0DA6">
        <w:rPr>
          <w:rFonts w:ascii="Cambria" w:eastAsia="Calibri" w:hAnsi="Cambria" w:cs="Calibri"/>
          <w:spacing w:val="-1"/>
        </w:rPr>
        <w:t xml:space="preserve"> </w:t>
      </w:r>
      <w:r w:rsidRPr="009A0DA6">
        <w:rPr>
          <w:rFonts w:ascii="Cambria" w:eastAsia="Calibri" w:hAnsi="Cambria" w:cs="Calibri"/>
        </w:rPr>
        <w:t>way be</w:t>
      </w:r>
      <w:r w:rsidRPr="009A0DA6">
        <w:rPr>
          <w:rFonts w:ascii="Cambria" w:eastAsia="Calibri" w:hAnsi="Cambria" w:cs="Calibri"/>
          <w:spacing w:val="-1"/>
        </w:rPr>
        <w:t>cau</w:t>
      </w:r>
      <w:r w:rsidRPr="009A0DA6">
        <w:rPr>
          <w:rFonts w:ascii="Cambria" w:eastAsia="Calibri" w:hAnsi="Cambria" w:cs="Calibri"/>
        </w:rPr>
        <w:t>se</w:t>
      </w:r>
      <w:r w:rsidRPr="009A0DA6">
        <w:rPr>
          <w:rFonts w:ascii="Cambria" w:eastAsia="Calibri" w:hAnsi="Cambria" w:cs="Calibri"/>
          <w:spacing w:val="1"/>
        </w:rPr>
        <w:t xml:space="preserve"> </w:t>
      </w:r>
      <w:r w:rsidRPr="009A0DA6">
        <w:rPr>
          <w:rFonts w:ascii="Cambria" w:eastAsia="Calibri" w:hAnsi="Cambria" w:cs="Calibri"/>
        </w:rPr>
        <w:t>it</w:t>
      </w:r>
      <w:r w:rsidRPr="009A0DA6">
        <w:rPr>
          <w:rFonts w:ascii="Cambria" w:eastAsia="Calibri" w:hAnsi="Cambria" w:cs="Calibri"/>
          <w:spacing w:val="-2"/>
        </w:rPr>
        <w:t xml:space="preserve"> </w:t>
      </w:r>
      <w:r w:rsidRPr="009A0DA6">
        <w:rPr>
          <w:rFonts w:ascii="Cambria" w:eastAsia="Calibri" w:hAnsi="Cambria" w:cs="Calibri"/>
        </w:rPr>
        <w:t>is</w:t>
      </w:r>
      <w:r w:rsidRPr="009A0DA6">
        <w:rPr>
          <w:rFonts w:ascii="Cambria" w:eastAsia="Calibri" w:hAnsi="Cambria" w:cs="Calibri"/>
          <w:spacing w:val="1"/>
        </w:rPr>
        <w:t xml:space="preserve"> </w:t>
      </w:r>
      <w:r w:rsidRPr="009A0DA6">
        <w:rPr>
          <w:rFonts w:ascii="Cambria" w:eastAsia="Calibri" w:hAnsi="Cambria" w:cs="Calibri"/>
          <w:spacing w:val="-1"/>
        </w:rPr>
        <w:t>n</w:t>
      </w:r>
      <w:r w:rsidRPr="009A0DA6">
        <w:rPr>
          <w:rFonts w:ascii="Cambria" w:eastAsia="Calibri" w:hAnsi="Cambria" w:cs="Calibri"/>
          <w:spacing w:val="-2"/>
        </w:rPr>
        <w:t>e</w:t>
      </w:r>
      <w:r w:rsidRPr="009A0DA6">
        <w:rPr>
          <w:rFonts w:ascii="Cambria" w:eastAsia="Calibri" w:hAnsi="Cambria" w:cs="Calibri"/>
        </w:rPr>
        <w:t>ither</w:t>
      </w:r>
      <w:r w:rsidRPr="009A0DA6">
        <w:rPr>
          <w:rFonts w:ascii="Cambria" w:eastAsia="Calibri" w:hAnsi="Cambria" w:cs="Calibri"/>
          <w:spacing w:val="1"/>
        </w:rPr>
        <w:t xml:space="preserve"> </w:t>
      </w:r>
      <w:r w:rsidRPr="009A0DA6">
        <w:rPr>
          <w:rFonts w:ascii="Cambria" w:eastAsia="Calibri" w:hAnsi="Cambria" w:cs="Calibri"/>
        </w:rPr>
        <w:t>a</w:t>
      </w:r>
      <w:r w:rsidRPr="009A0DA6">
        <w:rPr>
          <w:rFonts w:ascii="Cambria" w:eastAsia="Calibri" w:hAnsi="Cambria" w:cs="Calibri"/>
          <w:spacing w:val="-1"/>
        </w:rPr>
        <w:t xml:space="preserve"> </w:t>
      </w:r>
      <w:r w:rsidRPr="009A0DA6">
        <w:rPr>
          <w:rFonts w:ascii="Cambria" w:eastAsia="Calibri" w:hAnsi="Cambria" w:cs="Calibri"/>
        </w:rPr>
        <w:t>p</w:t>
      </w:r>
      <w:r w:rsidRPr="009A0DA6">
        <w:rPr>
          <w:rFonts w:ascii="Cambria" w:eastAsia="Calibri" w:hAnsi="Cambria" w:cs="Calibri"/>
          <w:spacing w:val="-1"/>
        </w:rPr>
        <w:t>o</w:t>
      </w:r>
      <w:r w:rsidRPr="009A0DA6">
        <w:rPr>
          <w:rFonts w:ascii="Cambria" w:eastAsia="Calibri" w:hAnsi="Cambria" w:cs="Calibri"/>
        </w:rPr>
        <w:t>lice f</w:t>
      </w:r>
      <w:r w:rsidRPr="009A0DA6">
        <w:rPr>
          <w:rFonts w:ascii="Cambria" w:eastAsia="Calibri" w:hAnsi="Cambria" w:cs="Calibri"/>
          <w:spacing w:val="-3"/>
        </w:rPr>
        <w:t>o</w:t>
      </w:r>
      <w:r w:rsidRPr="009A0DA6">
        <w:rPr>
          <w:rFonts w:ascii="Cambria" w:eastAsia="Calibri" w:hAnsi="Cambria" w:cs="Calibri"/>
          <w:spacing w:val="1"/>
        </w:rPr>
        <w:t>r</w:t>
      </w:r>
      <w:r w:rsidRPr="009A0DA6">
        <w:rPr>
          <w:rFonts w:ascii="Cambria" w:eastAsia="Calibri" w:hAnsi="Cambria" w:cs="Calibri"/>
        </w:rPr>
        <w:t xml:space="preserve">ce </w:t>
      </w:r>
      <w:r w:rsidRPr="009A0DA6">
        <w:rPr>
          <w:rFonts w:ascii="Cambria" w:eastAsia="Calibri" w:hAnsi="Cambria" w:cs="Calibri"/>
          <w:spacing w:val="-1"/>
        </w:rPr>
        <w:t>n</w:t>
      </w:r>
      <w:r w:rsidRPr="009A0DA6">
        <w:rPr>
          <w:rFonts w:ascii="Cambria" w:eastAsia="Calibri" w:hAnsi="Cambria" w:cs="Calibri"/>
          <w:spacing w:val="-3"/>
        </w:rPr>
        <w:t>o</w:t>
      </w:r>
      <w:r w:rsidRPr="009A0DA6">
        <w:rPr>
          <w:rFonts w:ascii="Cambria" w:eastAsia="Calibri" w:hAnsi="Cambria" w:cs="Calibri"/>
        </w:rPr>
        <w:t>r</w:t>
      </w:r>
      <w:r w:rsidRPr="009A0DA6">
        <w:rPr>
          <w:rFonts w:ascii="Cambria" w:eastAsia="Calibri" w:hAnsi="Cambria" w:cs="Calibri"/>
          <w:spacing w:val="1"/>
        </w:rPr>
        <w:t xml:space="preserve"> </w:t>
      </w:r>
      <w:r w:rsidRPr="009A0DA6">
        <w:rPr>
          <w:rFonts w:ascii="Cambria" w:eastAsia="Calibri" w:hAnsi="Cambria" w:cs="Calibri"/>
        </w:rPr>
        <w:t xml:space="preserve">a </w:t>
      </w:r>
      <w:r w:rsidRPr="009A0DA6">
        <w:rPr>
          <w:rFonts w:ascii="Cambria" w:eastAsia="Calibri" w:hAnsi="Cambria" w:cs="Calibri"/>
          <w:spacing w:val="-1"/>
        </w:rPr>
        <w:t>gu</w:t>
      </w:r>
      <w:r w:rsidRPr="009A0DA6">
        <w:rPr>
          <w:rFonts w:ascii="Cambria" w:eastAsia="Calibri" w:hAnsi="Cambria" w:cs="Calibri"/>
        </w:rPr>
        <w:t>ild</w:t>
      </w:r>
      <w:r w:rsidRPr="009A0DA6">
        <w:rPr>
          <w:rFonts w:ascii="Cambria" w:eastAsia="Calibri" w:hAnsi="Cambria" w:cs="Calibri"/>
          <w:spacing w:val="-1"/>
        </w:rPr>
        <w:t xml:space="preserve"> </w:t>
      </w:r>
      <w:r w:rsidRPr="009A0DA6">
        <w:rPr>
          <w:rFonts w:ascii="Cambria" w:eastAsia="Calibri" w:hAnsi="Cambria" w:cs="Calibri"/>
        </w:rPr>
        <w:t>for</w:t>
      </w:r>
      <w:r w:rsidRPr="009A0DA6">
        <w:rPr>
          <w:rFonts w:ascii="Cambria" w:eastAsia="Calibri" w:hAnsi="Cambria" w:cs="Calibri"/>
          <w:spacing w:val="1"/>
        </w:rPr>
        <w:t xml:space="preserve"> 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rPr>
        <w:t>mo</w:t>
      </w:r>
      <w:r w:rsidRPr="009A0DA6">
        <w:rPr>
          <w:rFonts w:ascii="Cambria" w:eastAsia="Calibri" w:hAnsi="Cambria" w:cs="Calibri"/>
          <w:spacing w:val="1"/>
        </w:rPr>
        <w:t>r</w:t>
      </w:r>
      <w:r w:rsidRPr="009A0DA6">
        <w:rPr>
          <w:rFonts w:ascii="Cambria" w:eastAsia="Calibri" w:hAnsi="Cambria" w:cs="Calibri"/>
          <w:spacing w:val="-1"/>
        </w:rPr>
        <w:t>a</w:t>
      </w:r>
      <w:r w:rsidRPr="009A0DA6">
        <w:rPr>
          <w:rFonts w:ascii="Cambria" w:eastAsia="Calibri" w:hAnsi="Cambria" w:cs="Calibri"/>
        </w:rPr>
        <w:t>lly</w:t>
      </w:r>
      <w:r w:rsidRPr="009A0DA6">
        <w:rPr>
          <w:rFonts w:ascii="Cambria" w:eastAsia="Calibri" w:hAnsi="Cambria" w:cs="Calibri"/>
          <w:spacing w:val="-2"/>
        </w:rPr>
        <w:t xml:space="preserve"> </w:t>
      </w:r>
      <w:r w:rsidRPr="009A0DA6">
        <w:rPr>
          <w:rFonts w:ascii="Cambria" w:eastAsia="Calibri" w:hAnsi="Cambria" w:cs="Calibri"/>
        </w:rPr>
        <w:t>su</w:t>
      </w:r>
      <w:r w:rsidRPr="009A0DA6">
        <w:rPr>
          <w:rFonts w:ascii="Cambria" w:eastAsia="Calibri" w:hAnsi="Cambria" w:cs="Calibri"/>
          <w:spacing w:val="-1"/>
        </w:rPr>
        <w:t>p</w:t>
      </w:r>
      <w:r w:rsidRPr="009A0DA6">
        <w:rPr>
          <w:rFonts w:ascii="Cambria" w:eastAsia="Calibri" w:hAnsi="Cambria" w:cs="Calibri"/>
        </w:rPr>
        <w:t>e</w:t>
      </w:r>
      <w:r w:rsidRPr="009A0DA6">
        <w:rPr>
          <w:rFonts w:ascii="Cambria" w:eastAsia="Calibri" w:hAnsi="Cambria" w:cs="Calibri"/>
          <w:spacing w:val="1"/>
        </w:rPr>
        <w:t>r</w:t>
      </w:r>
      <w:r w:rsidRPr="009A0DA6">
        <w:rPr>
          <w:rFonts w:ascii="Cambria" w:eastAsia="Calibri" w:hAnsi="Cambria" w:cs="Calibri"/>
          <w:spacing w:val="-3"/>
        </w:rPr>
        <w:t>i</w:t>
      </w:r>
      <w:r w:rsidRPr="009A0DA6">
        <w:rPr>
          <w:rFonts w:ascii="Cambria" w:eastAsia="Calibri" w:hAnsi="Cambria" w:cs="Calibri"/>
        </w:rPr>
        <w:t>or,</w:t>
      </w:r>
      <w:r w:rsidRPr="009A0DA6">
        <w:rPr>
          <w:rFonts w:ascii="Cambria" w:eastAsia="Calibri" w:hAnsi="Cambria" w:cs="Calibri"/>
          <w:spacing w:val="1"/>
        </w:rPr>
        <w:t xml:space="preserve"> </w:t>
      </w:r>
      <w:r w:rsidRPr="009A0DA6">
        <w:rPr>
          <w:rFonts w:ascii="Cambria" w:eastAsia="Calibri" w:hAnsi="Cambria" w:cs="Calibri"/>
          <w:spacing w:val="-1"/>
        </w:rPr>
        <w:t>bu</w:t>
      </w:r>
      <w:r w:rsidRPr="009A0DA6">
        <w:rPr>
          <w:rFonts w:ascii="Cambria" w:eastAsia="Calibri" w:hAnsi="Cambria" w:cs="Calibri"/>
        </w:rPr>
        <w:t>t</w:t>
      </w:r>
      <w:r w:rsidRPr="009A0DA6">
        <w:rPr>
          <w:rFonts w:ascii="Cambria" w:eastAsia="Calibri" w:hAnsi="Cambria" w:cs="Calibri"/>
          <w:spacing w:val="1"/>
        </w:rPr>
        <w:t xml:space="preserve"> </w:t>
      </w:r>
      <w:r w:rsidRPr="009A0DA6">
        <w:rPr>
          <w:rFonts w:ascii="Cambria" w:eastAsia="Calibri" w:hAnsi="Cambria" w:cs="Calibri"/>
        </w:rPr>
        <w:t>a</w:t>
      </w:r>
      <w:r w:rsidRPr="009A0DA6">
        <w:rPr>
          <w:rFonts w:ascii="Cambria" w:eastAsia="Calibri" w:hAnsi="Cambria" w:cs="Calibri"/>
          <w:spacing w:val="-1"/>
        </w:rPr>
        <w:t xml:space="preserve"> </w:t>
      </w:r>
      <w:r w:rsidRPr="009A0DA6">
        <w:rPr>
          <w:rFonts w:ascii="Cambria" w:eastAsia="Calibri" w:hAnsi="Cambria" w:cs="Calibri"/>
        </w:rPr>
        <w:t>h</w:t>
      </w:r>
      <w:r w:rsidRPr="009A0DA6">
        <w:rPr>
          <w:rFonts w:ascii="Cambria" w:eastAsia="Calibri" w:hAnsi="Cambria" w:cs="Calibri"/>
          <w:spacing w:val="-3"/>
        </w:rPr>
        <w:t>o</w:t>
      </w:r>
      <w:r w:rsidRPr="009A0DA6">
        <w:rPr>
          <w:rFonts w:ascii="Cambria" w:eastAsia="Calibri" w:hAnsi="Cambria" w:cs="Calibri"/>
        </w:rPr>
        <w:t>spit</w:t>
      </w:r>
      <w:r w:rsidRPr="009A0DA6">
        <w:rPr>
          <w:rFonts w:ascii="Cambria" w:eastAsia="Calibri" w:hAnsi="Cambria" w:cs="Calibri"/>
          <w:spacing w:val="-1"/>
        </w:rPr>
        <w:t>a</w:t>
      </w:r>
      <w:r w:rsidRPr="009A0DA6">
        <w:rPr>
          <w:rFonts w:ascii="Cambria" w:eastAsia="Calibri" w:hAnsi="Cambria" w:cs="Calibri"/>
        </w:rPr>
        <w:t>l for</w:t>
      </w:r>
      <w:r w:rsidRPr="009A0DA6">
        <w:rPr>
          <w:rFonts w:ascii="Cambria" w:eastAsia="Calibri" w:hAnsi="Cambria" w:cs="Calibri"/>
          <w:spacing w:val="-2"/>
        </w:rPr>
        <w:t xml:space="preserve"> </w:t>
      </w:r>
      <w:r w:rsidRPr="009A0DA6">
        <w:rPr>
          <w:rFonts w:ascii="Cambria" w:eastAsia="Calibri" w:hAnsi="Cambria" w:cs="Calibri"/>
          <w:spacing w:val="1"/>
        </w:rPr>
        <w:t>s</w:t>
      </w:r>
      <w:r w:rsidRPr="009A0DA6">
        <w:rPr>
          <w:rFonts w:ascii="Cambria" w:eastAsia="Calibri" w:hAnsi="Cambria" w:cs="Calibri"/>
        </w:rPr>
        <w:t>i</w:t>
      </w:r>
      <w:r w:rsidRPr="009A0DA6">
        <w:rPr>
          <w:rFonts w:ascii="Cambria" w:eastAsia="Calibri" w:hAnsi="Cambria" w:cs="Calibri"/>
          <w:spacing w:val="-1"/>
        </w:rPr>
        <w:t>nn</w:t>
      </w:r>
      <w:r w:rsidRPr="009A0DA6">
        <w:rPr>
          <w:rFonts w:ascii="Cambria" w:eastAsia="Calibri" w:hAnsi="Cambria" w:cs="Calibri"/>
        </w:rPr>
        <w:t>e</w:t>
      </w:r>
      <w:r w:rsidRPr="009A0DA6">
        <w:rPr>
          <w:rFonts w:ascii="Cambria" w:eastAsia="Calibri" w:hAnsi="Cambria" w:cs="Calibri"/>
          <w:spacing w:val="-1"/>
        </w:rPr>
        <w:t>r</w:t>
      </w:r>
      <w:r w:rsidRPr="009A0DA6">
        <w:rPr>
          <w:rFonts w:ascii="Cambria" w:eastAsia="Calibri" w:hAnsi="Cambria" w:cs="Calibri"/>
        </w:rPr>
        <w:t>s,</w:t>
      </w:r>
      <w:r w:rsidRPr="009A0DA6">
        <w:rPr>
          <w:rFonts w:ascii="Cambria" w:eastAsia="Calibri" w:hAnsi="Cambria" w:cs="Calibri"/>
          <w:spacing w:val="1"/>
        </w:rPr>
        <w:t xml:space="preserve"> </w:t>
      </w:r>
      <w:r w:rsidRPr="009A0DA6">
        <w:rPr>
          <w:rFonts w:ascii="Cambria" w:eastAsia="Calibri" w:hAnsi="Cambria" w:cs="Calibri"/>
          <w:spacing w:val="-1"/>
        </w:rPr>
        <w:t>an</w:t>
      </w:r>
      <w:r w:rsidRPr="009A0DA6">
        <w:rPr>
          <w:rFonts w:ascii="Cambria" w:eastAsia="Calibri" w:hAnsi="Cambria" w:cs="Calibri"/>
        </w:rPr>
        <w:t>d</w:t>
      </w:r>
      <w:r w:rsidRPr="009A0DA6">
        <w:rPr>
          <w:rFonts w:ascii="Cambria" w:eastAsia="Calibri" w:hAnsi="Cambria" w:cs="Calibri"/>
          <w:spacing w:val="-1"/>
        </w:rPr>
        <w:t xml:space="preserve">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rPr>
        <w:t>mo</w:t>
      </w:r>
      <w:r w:rsidRPr="009A0DA6">
        <w:rPr>
          <w:rFonts w:ascii="Cambria" w:eastAsia="Calibri" w:hAnsi="Cambria" w:cs="Calibri"/>
          <w:spacing w:val="1"/>
        </w:rPr>
        <w:t>r</w:t>
      </w:r>
      <w:r w:rsidRPr="009A0DA6">
        <w:rPr>
          <w:rFonts w:ascii="Cambria" w:eastAsia="Calibri" w:hAnsi="Cambria" w:cs="Calibri"/>
        </w:rPr>
        <w:t>e</w:t>
      </w:r>
      <w:r w:rsidRPr="009A0DA6">
        <w:rPr>
          <w:rFonts w:ascii="Cambria" w:eastAsia="Calibri" w:hAnsi="Cambria" w:cs="Calibri"/>
          <w:spacing w:val="-2"/>
        </w:rPr>
        <w:t xml:space="preserve"> </w:t>
      </w:r>
      <w:r w:rsidRPr="009A0DA6">
        <w:rPr>
          <w:rFonts w:ascii="Cambria" w:eastAsia="Calibri" w:hAnsi="Cambria" w:cs="Calibri"/>
        </w:rPr>
        <w:lastRenderedPageBreak/>
        <w:t>g</w:t>
      </w:r>
      <w:r w:rsidRPr="009A0DA6">
        <w:rPr>
          <w:rFonts w:ascii="Cambria" w:eastAsia="Calibri" w:hAnsi="Cambria" w:cs="Calibri"/>
          <w:spacing w:val="1"/>
        </w:rPr>
        <w:t>r</w:t>
      </w:r>
      <w:r w:rsidRPr="009A0DA6">
        <w:rPr>
          <w:rFonts w:ascii="Cambria" w:eastAsia="Calibri" w:hAnsi="Cambria" w:cs="Calibri"/>
        </w:rPr>
        <w:t>i</w:t>
      </w:r>
      <w:r w:rsidRPr="009A0DA6">
        <w:rPr>
          <w:rFonts w:ascii="Cambria" w:eastAsia="Calibri" w:hAnsi="Cambria" w:cs="Calibri"/>
          <w:spacing w:val="-2"/>
        </w:rPr>
        <w:t>e</w:t>
      </w:r>
      <w:r w:rsidRPr="009A0DA6">
        <w:rPr>
          <w:rFonts w:ascii="Cambria" w:eastAsia="Calibri" w:hAnsi="Cambria" w:cs="Calibri"/>
        </w:rPr>
        <w:t>vo</w:t>
      </w:r>
      <w:r w:rsidRPr="009A0DA6">
        <w:rPr>
          <w:rFonts w:ascii="Cambria" w:eastAsia="Calibri" w:hAnsi="Cambria" w:cs="Calibri"/>
          <w:spacing w:val="-1"/>
        </w:rPr>
        <w:t>u</w:t>
      </w:r>
      <w:r w:rsidRPr="009A0DA6">
        <w:rPr>
          <w:rFonts w:ascii="Cambria" w:eastAsia="Calibri" w:hAnsi="Cambria" w:cs="Calibri"/>
        </w:rPr>
        <w:t>sly</w:t>
      </w:r>
      <w:r w:rsidRPr="009A0DA6">
        <w:rPr>
          <w:rFonts w:ascii="Cambria" w:eastAsia="Calibri" w:hAnsi="Cambria" w:cs="Calibri"/>
          <w:spacing w:val="-2"/>
        </w:rPr>
        <w:t xml:space="preserve"> </w:t>
      </w:r>
      <w:r w:rsidRPr="009A0DA6">
        <w:rPr>
          <w:rFonts w:ascii="Cambria" w:eastAsia="Calibri" w:hAnsi="Cambria" w:cs="Calibri"/>
        </w:rPr>
        <w:t>a</w:t>
      </w:r>
      <w:r w:rsidRPr="009A0DA6">
        <w:rPr>
          <w:rFonts w:ascii="Cambria" w:eastAsia="Calibri" w:hAnsi="Cambria" w:cs="Calibri"/>
          <w:spacing w:val="-1"/>
        </w:rPr>
        <w:t xml:space="preserve"> </w:t>
      </w:r>
      <w:r w:rsidRPr="009A0DA6">
        <w:rPr>
          <w:rFonts w:ascii="Cambria" w:eastAsia="Calibri" w:hAnsi="Cambria" w:cs="Calibri"/>
        </w:rPr>
        <w:t>pe</w:t>
      </w:r>
      <w:r w:rsidRPr="009A0DA6">
        <w:rPr>
          <w:rFonts w:ascii="Cambria" w:eastAsia="Calibri" w:hAnsi="Cambria" w:cs="Calibri"/>
          <w:spacing w:val="1"/>
        </w:rPr>
        <w:t>r</w:t>
      </w:r>
      <w:r w:rsidRPr="009A0DA6">
        <w:rPr>
          <w:rFonts w:ascii="Cambria" w:eastAsia="Calibri" w:hAnsi="Cambria" w:cs="Calibri"/>
        </w:rPr>
        <w:t xml:space="preserve">son </w:t>
      </w:r>
      <w:r w:rsidRPr="009A0DA6">
        <w:rPr>
          <w:rFonts w:ascii="Cambria" w:eastAsia="Calibri" w:hAnsi="Cambria" w:cs="Calibri"/>
          <w:spacing w:val="-1"/>
        </w:rPr>
        <w:t>ha</w:t>
      </w:r>
      <w:r w:rsidRPr="009A0DA6">
        <w:rPr>
          <w:rFonts w:ascii="Cambria" w:eastAsia="Calibri" w:hAnsi="Cambria" w:cs="Calibri"/>
        </w:rPr>
        <w:t>s</w:t>
      </w:r>
      <w:r w:rsidRPr="009A0DA6">
        <w:rPr>
          <w:rFonts w:ascii="Cambria" w:eastAsia="Calibri" w:hAnsi="Cambria" w:cs="Calibri"/>
          <w:spacing w:val="-2"/>
        </w:rPr>
        <w:t xml:space="preserve"> </w:t>
      </w:r>
      <w:r w:rsidRPr="009A0DA6">
        <w:rPr>
          <w:rFonts w:ascii="Cambria" w:eastAsia="Calibri" w:hAnsi="Cambria" w:cs="Calibri"/>
          <w:spacing w:val="1"/>
        </w:rPr>
        <w:t>s</w:t>
      </w:r>
      <w:r w:rsidRPr="009A0DA6">
        <w:rPr>
          <w:rFonts w:ascii="Cambria" w:eastAsia="Calibri" w:hAnsi="Cambria" w:cs="Calibri"/>
        </w:rPr>
        <w:t>i</w:t>
      </w:r>
      <w:r w:rsidRPr="009A0DA6">
        <w:rPr>
          <w:rFonts w:ascii="Cambria" w:eastAsia="Calibri" w:hAnsi="Cambria" w:cs="Calibri"/>
          <w:spacing w:val="-1"/>
        </w:rPr>
        <w:t>nn</w:t>
      </w:r>
      <w:r w:rsidRPr="009A0DA6">
        <w:rPr>
          <w:rFonts w:ascii="Cambria" w:eastAsia="Calibri" w:hAnsi="Cambria" w:cs="Calibri"/>
        </w:rPr>
        <w:t xml:space="preserve">ed the </w:t>
      </w:r>
      <w:r w:rsidRPr="009A0DA6">
        <w:rPr>
          <w:rFonts w:ascii="Cambria" w:eastAsia="Calibri" w:hAnsi="Cambria" w:cs="Calibri"/>
          <w:spacing w:val="1"/>
        </w:rPr>
        <w:t>m</w:t>
      </w:r>
      <w:r w:rsidRPr="009A0DA6">
        <w:rPr>
          <w:rFonts w:ascii="Cambria" w:eastAsia="Calibri" w:hAnsi="Cambria" w:cs="Calibri"/>
          <w:spacing w:val="-1"/>
        </w:rPr>
        <w:t>o</w:t>
      </w:r>
      <w:r w:rsidRPr="009A0DA6">
        <w:rPr>
          <w:rFonts w:ascii="Cambria" w:eastAsia="Calibri" w:hAnsi="Cambria" w:cs="Calibri"/>
          <w:spacing w:val="1"/>
        </w:rPr>
        <w:t>r</w:t>
      </w:r>
      <w:r w:rsidRPr="009A0DA6">
        <w:rPr>
          <w:rFonts w:ascii="Cambria" w:eastAsia="Calibri" w:hAnsi="Cambria" w:cs="Calibri"/>
        </w:rPr>
        <w:t>e</w:t>
      </w:r>
      <w:r w:rsidRPr="009A0DA6">
        <w:rPr>
          <w:rFonts w:ascii="Cambria" w:eastAsia="Calibri" w:hAnsi="Cambria" w:cs="Calibri"/>
          <w:spacing w:val="-2"/>
        </w:rPr>
        <w:t xml:space="preserve"> </w:t>
      </w:r>
      <w:r w:rsidRPr="009A0DA6">
        <w:rPr>
          <w:rFonts w:ascii="Cambria" w:eastAsia="Calibri" w:hAnsi="Cambria" w:cs="Calibri"/>
        </w:rPr>
        <w:t>he or</w:t>
      </w:r>
      <w:r w:rsidRPr="009A0DA6">
        <w:rPr>
          <w:rFonts w:ascii="Cambria" w:eastAsia="Calibri" w:hAnsi="Cambria" w:cs="Calibri"/>
          <w:spacing w:val="-1"/>
        </w:rPr>
        <w:t xml:space="preserve"> </w:t>
      </w:r>
      <w:r w:rsidRPr="009A0DA6">
        <w:rPr>
          <w:rFonts w:ascii="Cambria" w:eastAsia="Calibri" w:hAnsi="Cambria" w:cs="Calibri"/>
          <w:spacing w:val="1"/>
        </w:rPr>
        <w:t>s</w:t>
      </w:r>
      <w:r w:rsidRPr="009A0DA6">
        <w:rPr>
          <w:rFonts w:ascii="Cambria" w:eastAsia="Calibri" w:hAnsi="Cambria" w:cs="Calibri"/>
          <w:spacing w:val="-1"/>
        </w:rPr>
        <w:t>h</w:t>
      </w:r>
      <w:r w:rsidRPr="009A0DA6">
        <w:rPr>
          <w:rFonts w:ascii="Cambria" w:eastAsia="Calibri" w:hAnsi="Cambria" w:cs="Calibri"/>
        </w:rPr>
        <w:t>e n</w:t>
      </w:r>
      <w:r w:rsidRPr="009A0DA6">
        <w:rPr>
          <w:rFonts w:ascii="Cambria" w:eastAsia="Calibri" w:hAnsi="Cambria" w:cs="Calibri"/>
          <w:spacing w:val="-2"/>
        </w:rPr>
        <w:t>e</w:t>
      </w:r>
      <w:r w:rsidRPr="009A0DA6">
        <w:rPr>
          <w:rFonts w:ascii="Cambria" w:eastAsia="Calibri" w:hAnsi="Cambria" w:cs="Calibri"/>
        </w:rPr>
        <w:t xml:space="preserve">eds </w:t>
      </w:r>
      <w:r w:rsidRPr="009A0DA6">
        <w:rPr>
          <w:rFonts w:ascii="Cambria" w:eastAsia="Calibri" w:hAnsi="Cambria" w:cs="Calibri"/>
          <w:spacing w:val="1"/>
        </w:rPr>
        <w:t>t</w:t>
      </w:r>
      <w:r w:rsidRPr="009A0DA6">
        <w:rPr>
          <w:rFonts w:ascii="Cambria" w:eastAsia="Calibri" w:hAnsi="Cambria" w:cs="Calibri"/>
        </w:rPr>
        <w:t>o</w:t>
      </w:r>
      <w:r w:rsidRPr="009A0DA6">
        <w:rPr>
          <w:rFonts w:ascii="Cambria" w:eastAsia="Calibri" w:hAnsi="Cambria" w:cs="Calibri"/>
          <w:spacing w:val="-3"/>
        </w:rPr>
        <w:t xml:space="preserve"> </w:t>
      </w:r>
      <w:r w:rsidRPr="009A0DA6">
        <w:rPr>
          <w:rFonts w:ascii="Cambria" w:eastAsia="Calibri" w:hAnsi="Cambria" w:cs="Calibri"/>
        </w:rPr>
        <w:t>h</w:t>
      </w:r>
      <w:r w:rsidRPr="009A0DA6">
        <w:rPr>
          <w:rFonts w:ascii="Cambria" w:eastAsia="Calibri" w:hAnsi="Cambria" w:cs="Calibri"/>
          <w:spacing w:val="-2"/>
        </w:rPr>
        <w:t>e</w:t>
      </w:r>
      <w:r w:rsidRPr="009A0DA6">
        <w:rPr>
          <w:rFonts w:ascii="Cambria" w:eastAsia="Calibri" w:hAnsi="Cambria" w:cs="Calibri"/>
          <w:spacing w:val="-1"/>
        </w:rPr>
        <w:t>a</w:t>
      </w:r>
      <w:r w:rsidRPr="009A0DA6">
        <w:rPr>
          <w:rFonts w:ascii="Cambria" w:eastAsia="Calibri" w:hAnsi="Cambria" w:cs="Calibri"/>
        </w:rPr>
        <w:t>r</w:t>
      </w:r>
      <w:r w:rsidRPr="009A0DA6">
        <w:rPr>
          <w:rFonts w:ascii="Cambria" w:eastAsia="Calibri" w:hAnsi="Cambria" w:cs="Calibri"/>
          <w:spacing w:val="1"/>
        </w:rPr>
        <w:t xml:space="preserve"> </w:t>
      </w:r>
      <w:r w:rsidRPr="009A0DA6">
        <w:rPr>
          <w:rFonts w:ascii="Cambria" w:eastAsia="Calibri" w:hAnsi="Cambria" w:cs="Calibri"/>
        </w:rPr>
        <w:t>Go</w:t>
      </w:r>
      <w:r w:rsidRPr="009A0DA6">
        <w:rPr>
          <w:rFonts w:ascii="Cambria" w:eastAsia="Calibri" w:hAnsi="Cambria" w:cs="Calibri"/>
          <w:spacing w:val="-1"/>
        </w:rPr>
        <w:t>d</w:t>
      </w:r>
      <w:r w:rsidRPr="009A0DA6">
        <w:rPr>
          <w:rFonts w:ascii="Cambria" w:eastAsia="Calibri" w:hAnsi="Cambria" w:cs="Calibri"/>
        </w:rPr>
        <w:t>’s</w:t>
      </w:r>
      <w:r w:rsidRPr="009A0DA6">
        <w:rPr>
          <w:rFonts w:ascii="Cambria" w:eastAsia="Calibri" w:hAnsi="Cambria" w:cs="Calibri"/>
          <w:spacing w:val="-1"/>
        </w:rPr>
        <w:t xml:space="preserve"> </w:t>
      </w:r>
      <w:r w:rsidRPr="009A0DA6">
        <w:rPr>
          <w:rFonts w:ascii="Cambria" w:eastAsia="Calibri" w:hAnsi="Cambria" w:cs="Calibri"/>
        </w:rPr>
        <w:t>Wo</w:t>
      </w:r>
      <w:r w:rsidRPr="009A0DA6">
        <w:rPr>
          <w:rFonts w:ascii="Cambria" w:eastAsia="Calibri" w:hAnsi="Cambria" w:cs="Calibri"/>
          <w:spacing w:val="1"/>
        </w:rPr>
        <w:t>r</w:t>
      </w:r>
      <w:r w:rsidRPr="009A0DA6">
        <w:rPr>
          <w:rFonts w:ascii="Cambria" w:eastAsia="Calibri" w:hAnsi="Cambria" w:cs="Calibri"/>
        </w:rPr>
        <w:t>d of</w:t>
      </w:r>
      <w:r w:rsidRPr="009A0DA6">
        <w:rPr>
          <w:rFonts w:ascii="Cambria" w:eastAsia="Calibri" w:hAnsi="Cambria" w:cs="Calibri"/>
          <w:spacing w:val="-2"/>
        </w:rPr>
        <w:t xml:space="preserve"> </w:t>
      </w:r>
      <w:r w:rsidRPr="009A0DA6">
        <w:rPr>
          <w:rFonts w:ascii="Cambria" w:eastAsia="Calibri" w:hAnsi="Cambria" w:cs="Calibri"/>
          <w:spacing w:val="1"/>
        </w:rPr>
        <w:t>L</w:t>
      </w:r>
      <w:r w:rsidRPr="009A0DA6">
        <w:rPr>
          <w:rFonts w:ascii="Cambria" w:eastAsia="Calibri" w:hAnsi="Cambria" w:cs="Calibri"/>
          <w:spacing w:val="-3"/>
        </w:rPr>
        <w:t>a</w:t>
      </w:r>
      <w:r w:rsidRPr="009A0DA6">
        <w:rPr>
          <w:rFonts w:ascii="Cambria" w:eastAsia="Calibri" w:hAnsi="Cambria" w:cs="Calibri"/>
        </w:rPr>
        <w:t>w</w:t>
      </w:r>
      <w:r w:rsidRPr="009A0DA6">
        <w:rPr>
          <w:rFonts w:ascii="Cambria" w:eastAsia="Calibri" w:hAnsi="Cambria" w:cs="Calibri"/>
          <w:spacing w:val="1"/>
        </w:rPr>
        <w:t xml:space="preserve"> </w:t>
      </w:r>
      <w:r w:rsidRPr="009A0DA6">
        <w:rPr>
          <w:rFonts w:ascii="Cambria" w:eastAsia="Calibri" w:hAnsi="Cambria" w:cs="Calibri"/>
          <w:spacing w:val="-1"/>
        </w:rPr>
        <w:t>an</w:t>
      </w:r>
      <w:r w:rsidRPr="009A0DA6">
        <w:rPr>
          <w:rFonts w:ascii="Cambria" w:eastAsia="Calibri" w:hAnsi="Cambria" w:cs="Calibri"/>
        </w:rPr>
        <w:t>d</w:t>
      </w:r>
      <w:r w:rsidRPr="009A0DA6">
        <w:rPr>
          <w:rFonts w:ascii="Cambria" w:eastAsia="Calibri" w:hAnsi="Cambria" w:cs="Calibri"/>
          <w:spacing w:val="-2"/>
        </w:rPr>
        <w:t xml:space="preserve"> </w:t>
      </w:r>
      <w:r w:rsidRPr="009A0DA6">
        <w:rPr>
          <w:rFonts w:ascii="Cambria" w:eastAsia="Calibri" w:hAnsi="Cambria" w:cs="Calibri"/>
        </w:rPr>
        <w:t>Gos</w:t>
      </w:r>
      <w:r w:rsidRPr="009A0DA6">
        <w:rPr>
          <w:rFonts w:ascii="Cambria" w:eastAsia="Calibri" w:hAnsi="Cambria" w:cs="Calibri"/>
          <w:spacing w:val="-1"/>
        </w:rPr>
        <w:t>p</w:t>
      </w:r>
      <w:r w:rsidRPr="009A0DA6">
        <w:rPr>
          <w:rFonts w:ascii="Cambria" w:eastAsia="Calibri" w:hAnsi="Cambria" w:cs="Calibri"/>
        </w:rPr>
        <w:t>el.</w:t>
      </w:r>
    </w:p>
    <w:p w14:paraId="4510E054" w14:textId="367691D2" w:rsidR="00194B18" w:rsidRPr="009A0DA6" w:rsidRDefault="00194B18" w:rsidP="004A186C">
      <w:pPr>
        <w:pStyle w:val="ListParagraph"/>
        <w:numPr>
          <w:ilvl w:val="1"/>
          <w:numId w:val="154"/>
        </w:numPr>
        <w:spacing w:after="120" w:line="240" w:lineRule="auto"/>
        <w:ind w:left="993" w:right="152" w:hanging="426"/>
        <w:rPr>
          <w:rFonts w:ascii="Cambria" w:eastAsia="Calibri" w:hAnsi="Cambria" w:cs="Calibri"/>
        </w:rPr>
      </w:pPr>
      <w:r w:rsidRPr="009A0DA6">
        <w:rPr>
          <w:rFonts w:ascii="Cambria" w:eastAsia="Calibri" w:hAnsi="Cambria" w:cs="Calibri"/>
        </w:rPr>
        <w:t>God</w:t>
      </w:r>
      <w:r w:rsidRPr="009A0DA6">
        <w:rPr>
          <w:rFonts w:ascii="Cambria" w:eastAsia="Calibri" w:hAnsi="Cambria" w:cs="Calibri"/>
          <w:spacing w:val="-1"/>
        </w:rPr>
        <w:t xml:space="preserve"> </w:t>
      </w:r>
      <w:r w:rsidRPr="009A0DA6">
        <w:rPr>
          <w:rFonts w:ascii="Cambria" w:eastAsia="Calibri" w:hAnsi="Cambria" w:cs="Calibri"/>
        </w:rPr>
        <w:t>h</w:t>
      </w:r>
      <w:r w:rsidRPr="009A0DA6">
        <w:rPr>
          <w:rFonts w:ascii="Cambria" w:eastAsia="Calibri" w:hAnsi="Cambria" w:cs="Calibri"/>
          <w:spacing w:val="-1"/>
        </w:rPr>
        <w:t>a</w:t>
      </w:r>
      <w:r w:rsidRPr="009A0DA6">
        <w:rPr>
          <w:rFonts w:ascii="Cambria" w:eastAsia="Calibri" w:hAnsi="Cambria" w:cs="Calibri"/>
        </w:rPr>
        <w:t>s</w:t>
      </w:r>
      <w:r w:rsidRPr="009A0DA6">
        <w:rPr>
          <w:rFonts w:ascii="Cambria" w:eastAsia="Calibri" w:hAnsi="Cambria" w:cs="Calibri"/>
          <w:spacing w:val="1"/>
        </w:rPr>
        <w:t xml:space="preserve"> </w:t>
      </w:r>
      <w:r w:rsidRPr="009A0DA6">
        <w:rPr>
          <w:rFonts w:ascii="Cambria" w:eastAsia="Calibri" w:hAnsi="Cambria" w:cs="Calibri"/>
        </w:rPr>
        <w:t>es</w:t>
      </w:r>
      <w:r w:rsidRPr="009A0DA6">
        <w:rPr>
          <w:rFonts w:ascii="Cambria" w:eastAsia="Calibri" w:hAnsi="Cambria" w:cs="Calibri"/>
          <w:spacing w:val="1"/>
        </w:rPr>
        <w:t>t</w:t>
      </w:r>
      <w:r w:rsidRPr="009A0DA6">
        <w:rPr>
          <w:rFonts w:ascii="Cambria" w:eastAsia="Calibri" w:hAnsi="Cambria" w:cs="Calibri"/>
          <w:spacing w:val="-1"/>
        </w:rPr>
        <w:t>ab</w:t>
      </w:r>
      <w:r w:rsidRPr="009A0DA6">
        <w:rPr>
          <w:rFonts w:ascii="Cambria" w:eastAsia="Calibri" w:hAnsi="Cambria" w:cs="Calibri"/>
        </w:rPr>
        <w:t>lished</w:t>
      </w:r>
      <w:r w:rsidRPr="009A0DA6">
        <w:rPr>
          <w:rFonts w:ascii="Cambria" w:eastAsia="Calibri" w:hAnsi="Cambria" w:cs="Calibri"/>
          <w:spacing w:val="-3"/>
        </w:rPr>
        <w:t xml:space="preserve">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e ci</w:t>
      </w:r>
      <w:r w:rsidRPr="009A0DA6">
        <w:rPr>
          <w:rFonts w:ascii="Cambria" w:eastAsia="Calibri" w:hAnsi="Cambria" w:cs="Calibri"/>
          <w:spacing w:val="-3"/>
        </w:rPr>
        <w:t>v</w:t>
      </w:r>
      <w:r w:rsidRPr="009A0DA6">
        <w:rPr>
          <w:rFonts w:ascii="Cambria" w:eastAsia="Calibri" w:hAnsi="Cambria" w:cs="Calibri"/>
        </w:rPr>
        <w:t>il a</w:t>
      </w:r>
      <w:r w:rsidRPr="009A0DA6">
        <w:rPr>
          <w:rFonts w:ascii="Cambria" w:eastAsia="Calibri" w:hAnsi="Cambria" w:cs="Calibri"/>
          <w:spacing w:val="-1"/>
        </w:rPr>
        <w:t>u</w:t>
      </w:r>
      <w:r w:rsidRPr="009A0DA6">
        <w:rPr>
          <w:rFonts w:ascii="Cambria" w:eastAsia="Calibri" w:hAnsi="Cambria" w:cs="Calibri"/>
        </w:rPr>
        <w:t>th</w:t>
      </w:r>
      <w:r w:rsidRPr="009A0DA6">
        <w:rPr>
          <w:rFonts w:ascii="Cambria" w:eastAsia="Calibri" w:hAnsi="Cambria" w:cs="Calibri"/>
          <w:spacing w:val="-1"/>
        </w:rPr>
        <w:t>o</w:t>
      </w:r>
      <w:r w:rsidRPr="009A0DA6">
        <w:rPr>
          <w:rFonts w:ascii="Cambria" w:eastAsia="Calibri" w:hAnsi="Cambria" w:cs="Calibri"/>
          <w:spacing w:val="1"/>
        </w:rPr>
        <w:t>r</w:t>
      </w:r>
      <w:r w:rsidRPr="009A0DA6">
        <w:rPr>
          <w:rFonts w:ascii="Cambria" w:eastAsia="Calibri" w:hAnsi="Cambria" w:cs="Calibri"/>
        </w:rPr>
        <w:t>itie</w:t>
      </w:r>
      <w:r w:rsidRPr="009A0DA6">
        <w:rPr>
          <w:rFonts w:ascii="Cambria" w:eastAsia="Calibri" w:hAnsi="Cambria" w:cs="Calibri"/>
          <w:spacing w:val="-2"/>
        </w:rPr>
        <w:t>s</w:t>
      </w:r>
      <w:r w:rsidRPr="009A0DA6">
        <w:rPr>
          <w:rFonts w:ascii="Cambria" w:eastAsia="Calibri" w:hAnsi="Cambria" w:cs="Calibri"/>
        </w:rPr>
        <w:t>, in</w:t>
      </w:r>
      <w:r w:rsidRPr="009A0DA6">
        <w:rPr>
          <w:rFonts w:ascii="Cambria" w:eastAsia="Calibri" w:hAnsi="Cambria" w:cs="Calibri"/>
          <w:spacing w:val="-1"/>
        </w:rPr>
        <w:t>c</w:t>
      </w:r>
      <w:r w:rsidRPr="009A0DA6">
        <w:rPr>
          <w:rFonts w:ascii="Cambria" w:eastAsia="Calibri" w:hAnsi="Cambria" w:cs="Calibri"/>
        </w:rPr>
        <w:t>l</w:t>
      </w:r>
      <w:r w:rsidRPr="009A0DA6">
        <w:rPr>
          <w:rFonts w:ascii="Cambria" w:eastAsia="Calibri" w:hAnsi="Cambria" w:cs="Calibri"/>
          <w:spacing w:val="-1"/>
        </w:rPr>
        <w:t>ud</w:t>
      </w:r>
      <w:r w:rsidRPr="009A0DA6">
        <w:rPr>
          <w:rFonts w:ascii="Cambria" w:eastAsia="Calibri" w:hAnsi="Cambria" w:cs="Calibri"/>
        </w:rPr>
        <w:t>i</w:t>
      </w:r>
      <w:r w:rsidRPr="009A0DA6">
        <w:rPr>
          <w:rFonts w:ascii="Cambria" w:eastAsia="Calibri" w:hAnsi="Cambria" w:cs="Calibri"/>
          <w:spacing w:val="-1"/>
        </w:rPr>
        <w:t>n</w:t>
      </w:r>
      <w:r w:rsidRPr="009A0DA6">
        <w:rPr>
          <w:rFonts w:ascii="Cambria" w:eastAsia="Calibri" w:hAnsi="Cambria" w:cs="Calibri"/>
        </w:rPr>
        <w:t>g</w:t>
      </w:r>
      <w:r w:rsidRPr="009A0DA6">
        <w:rPr>
          <w:rFonts w:ascii="Cambria" w:eastAsia="Calibri" w:hAnsi="Cambria" w:cs="Calibri"/>
          <w:spacing w:val="-1"/>
        </w:rPr>
        <w:t xml:space="preserve">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rPr>
        <w:t>c</w:t>
      </w:r>
      <w:r w:rsidRPr="009A0DA6">
        <w:rPr>
          <w:rFonts w:ascii="Cambria" w:eastAsia="Calibri" w:hAnsi="Cambria" w:cs="Calibri"/>
          <w:spacing w:val="-1"/>
        </w:rPr>
        <w:t>ou</w:t>
      </w:r>
      <w:r w:rsidRPr="009A0DA6">
        <w:rPr>
          <w:rFonts w:ascii="Cambria" w:eastAsia="Calibri" w:hAnsi="Cambria" w:cs="Calibri"/>
          <w:spacing w:val="1"/>
        </w:rPr>
        <w:t>r</w:t>
      </w:r>
      <w:r w:rsidRPr="009A0DA6">
        <w:rPr>
          <w:rFonts w:ascii="Cambria" w:eastAsia="Calibri" w:hAnsi="Cambria" w:cs="Calibri"/>
        </w:rPr>
        <w:t>ts</w:t>
      </w:r>
      <w:r w:rsidRPr="009A0DA6">
        <w:rPr>
          <w:rFonts w:ascii="Cambria" w:eastAsia="Calibri" w:hAnsi="Cambria" w:cs="Calibri"/>
          <w:spacing w:val="1"/>
        </w:rPr>
        <w:t xml:space="preserve"> </w:t>
      </w:r>
      <w:r w:rsidRPr="009A0DA6">
        <w:rPr>
          <w:rFonts w:ascii="Cambria" w:eastAsia="Calibri" w:hAnsi="Cambria" w:cs="Calibri"/>
        </w:rPr>
        <w:t>a</w:t>
      </w:r>
      <w:r w:rsidRPr="009A0DA6">
        <w:rPr>
          <w:rFonts w:ascii="Cambria" w:eastAsia="Calibri" w:hAnsi="Cambria" w:cs="Calibri"/>
          <w:spacing w:val="-1"/>
        </w:rPr>
        <w:t>n</w:t>
      </w:r>
      <w:r w:rsidRPr="009A0DA6">
        <w:rPr>
          <w:rFonts w:ascii="Cambria" w:eastAsia="Calibri" w:hAnsi="Cambria" w:cs="Calibri"/>
        </w:rPr>
        <w:t>d</w:t>
      </w:r>
      <w:r w:rsidRPr="009A0DA6">
        <w:rPr>
          <w:rFonts w:ascii="Cambria" w:eastAsia="Calibri" w:hAnsi="Cambria" w:cs="Calibri"/>
          <w:spacing w:val="-1"/>
        </w:rPr>
        <w:t xml:space="preserve"> </w:t>
      </w:r>
      <w:r w:rsidRPr="009A0DA6">
        <w:rPr>
          <w:rFonts w:ascii="Cambria" w:eastAsia="Calibri" w:hAnsi="Cambria" w:cs="Calibri"/>
        </w:rPr>
        <w:t>ju</w:t>
      </w:r>
      <w:r w:rsidRPr="009A0DA6">
        <w:rPr>
          <w:rFonts w:ascii="Cambria" w:eastAsia="Calibri" w:hAnsi="Cambria" w:cs="Calibri"/>
          <w:spacing w:val="-1"/>
        </w:rPr>
        <w:t>d</w:t>
      </w:r>
      <w:r w:rsidRPr="009A0DA6">
        <w:rPr>
          <w:rFonts w:ascii="Cambria" w:eastAsia="Calibri" w:hAnsi="Cambria" w:cs="Calibri"/>
        </w:rPr>
        <w:t>i</w:t>
      </w:r>
      <w:r w:rsidRPr="009A0DA6">
        <w:rPr>
          <w:rFonts w:ascii="Cambria" w:eastAsia="Calibri" w:hAnsi="Cambria" w:cs="Calibri"/>
          <w:spacing w:val="-1"/>
        </w:rPr>
        <w:t>c</w:t>
      </w:r>
      <w:r w:rsidRPr="009A0DA6">
        <w:rPr>
          <w:rFonts w:ascii="Cambria" w:eastAsia="Calibri" w:hAnsi="Cambria" w:cs="Calibri"/>
        </w:rPr>
        <w:t>i</w:t>
      </w:r>
      <w:r w:rsidRPr="009A0DA6">
        <w:rPr>
          <w:rFonts w:ascii="Cambria" w:eastAsia="Calibri" w:hAnsi="Cambria" w:cs="Calibri"/>
          <w:spacing w:val="-1"/>
        </w:rPr>
        <w:t>a</w:t>
      </w:r>
      <w:r w:rsidRPr="009A0DA6">
        <w:rPr>
          <w:rFonts w:ascii="Cambria" w:eastAsia="Calibri" w:hAnsi="Cambria" w:cs="Calibri"/>
        </w:rPr>
        <w:t>l sy</w:t>
      </w:r>
      <w:r w:rsidRPr="009A0DA6">
        <w:rPr>
          <w:rFonts w:ascii="Cambria" w:eastAsia="Calibri" w:hAnsi="Cambria" w:cs="Calibri"/>
          <w:spacing w:val="-2"/>
        </w:rPr>
        <w:t>s</w:t>
      </w:r>
      <w:r w:rsidRPr="009A0DA6">
        <w:rPr>
          <w:rFonts w:ascii="Cambria" w:eastAsia="Calibri" w:hAnsi="Cambria" w:cs="Calibri"/>
        </w:rPr>
        <w:t>tem</w:t>
      </w:r>
      <w:r w:rsidRPr="009A0DA6">
        <w:rPr>
          <w:rFonts w:ascii="Cambria" w:eastAsia="Calibri" w:hAnsi="Cambria" w:cs="Calibri"/>
          <w:spacing w:val="-3"/>
        </w:rPr>
        <w:t xml:space="preserve"> </w:t>
      </w:r>
      <w:r w:rsidRPr="009A0DA6">
        <w:rPr>
          <w:rFonts w:ascii="Cambria" w:eastAsia="Calibri" w:hAnsi="Cambria" w:cs="Calibri"/>
        </w:rPr>
        <w:t>of the l</w:t>
      </w:r>
      <w:r w:rsidRPr="009A0DA6">
        <w:rPr>
          <w:rFonts w:ascii="Cambria" w:eastAsia="Calibri" w:hAnsi="Cambria" w:cs="Calibri"/>
          <w:spacing w:val="-1"/>
        </w:rPr>
        <w:t>and</w:t>
      </w:r>
      <w:r w:rsidRPr="009A0DA6">
        <w:rPr>
          <w:rFonts w:ascii="Cambria" w:eastAsia="Calibri" w:hAnsi="Cambria" w:cs="Calibri"/>
        </w:rPr>
        <w:t>, as</w:t>
      </w:r>
      <w:r w:rsidRPr="009A0DA6">
        <w:rPr>
          <w:rFonts w:ascii="Cambria" w:eastAsia="Calibri" w:hAnsi="Cambria" w:cs="Calibri"/>
          <w:spacing w:val="1"/>
        </w:rPr>
        <w:t xml:space="preserve"> </w:t>
      </w:r>
      <w:r w:rsidRPr="009A0DA6">
        <w:rPr>
          <w:rFonts w:ascii="Cambria" w:eastAsia="Calibri" w:hAnsi="Cambria" w:cs="Calibri"/>
          <w:spacing w:val="-1"/>
        </w:rPr>
        <w:t>h</w:t>
      </w:r>
      <w:r w:rsidRPr="009A0DA6">
        <w:rPr>
          <w:rFonts w:ascii="Cambria" w:eastAsia="Calibri" w:hAnsi="Cambria" w:cs="Calibri"/>
        </w:rPr>
        <w:t>is</w:t>
      </w:r>
      <w:r w:rsidRPr="009A0DA6">
        <w:rPr>
          <w:rFonts w:ascii="Cambria" w:eastAsia="Calibri" w:hAnsi="Cambria" w:cs="Calibri"/>
          <w:spacing w:val="-2"/>
        </w:rPr>
        <w:t xml:space="preserve"> </w:t>
      </w:r>
      <w:r w:rsidRPr="009A0DA6">
        <w:rPr>
          <w:rFonts w:ascii="Cambria" w:eastAsia="Calibri" w:hAnsi="Cambria" w:cs="Calibri"/>
          <w:spacing w:val="1"/>
        </w:rPr>
        <w:t>m</w:t>
      </w:r>
      <w:r w:rsidRPr="009A0DA6">
        <w:rPr>
          <w:rFonts w:ascii="Cambria" w:eastAsia="Calibri" w:hAnsi="Cambria" w:cs="Calibri"/>
        </w:rPr>
        <w:t>ea</w:t>
      </w:r>
      <w:r w:rsidRPr="009A0DA6">
        <w:rPr>
          <w:rFonts w:ascii="Cambria" w:eastAsia="Calibri" w:hAnsi="Cambria" w:cs="Calibri"/>
          <w:spacing w:val="-4"/>
        </w:rPr>
        <w:t>n</w:t>
      </w:r>
      <w:r w:rsidRPr="009A0DA6">
        <w:rPr>
          <w:rFonts w:ascii="Cambria" w:eastAsia="Calibri" w:hAnsi="Cambria" w:cs="Calibri"/>
        </w:rPr>
        <w:t>s for</w:t>
      </w:r>
      <w:r w:rsidRPr="009A0DA6">
        <w:rPr>
          <w:rFonts w:ascii="Cambria" w:eastAsia="Calibri" w:hAnsi="Cambria" w:cs="Calibri"/>
          <w:spacing w:val="1"/>
        </w:rPr>
        <w:t xml:space="preserve"> </w:t>
      </w:r>
      <w:r w:rsidRPr="009A0DA6">
        <w:rPr>
          <w:rFonts w:ascii="Cambria" w:eastAsia="Calibri" w:hAnsi="Cambria" w:cs="Calibri"/>
          <w:spacing w:val="-1"/>
        </w:rPr>
        <w:t>p</w:t>
      </w:r>
      <w:r w:rsidRPr="009A0DA6">
        <w:rPr>
          <w:rFonts w:ascii="Cambria" w:eastAsia="Calibri" w:hAnsi="Cambria" w:cs="Calibri"/>
          <w:spacing w:val="1"/>
        </w:rPr>
        <w:t>r</w:t>
      </w:r>
      <w:r w:rsidRPr="009A0DA6">
        <w:rPr>
          <w:rFonts w:ascii="Cambria" w:eastAsia="Calibri" w:hAnsi="Cambria" w:cs="Calibri"/>
          <w:spacing w:val="-2"/>
        </w:rPr>
        <w:t>e</w:t>
      </w:r>
      <w:r w:rsidRPr="009A0DA6">
        <w:rPr>
          <w:rFonts w:ascii="Cambria" w:eastAsia="Calibri" w:hAnsi="Cambria" w:cs="Calibri"/>
        </w:rPr>
        <w:t>s</w:t>
      </w:r>
      <w:r w:rsidRPr="009A0DA6">
        <w:rPr>
          <w:rFonts w:ascii="Cambria" w:eastAsia="Calibri" w:hAnsi="Cambria" w:cs="Calibri"/>
          <w:spacing w:val="-2"/>
        </w:rPr>
        <w:t>e</w:t>
      </w:r>
      <w:r w:rsidRPr="009A0DA6">
        <w:rPr>
          <w:rFonts w:ascii="Cambria" w:eastAsia="Calibri" w:hAnsi="Cambria" w:cs="Calibri"/>
          <w:spacing w:val="1"/>
        </w:rPr>
        <w:t>r</w:t>
      </w:r>
      <w:r w:rsidRPr="009A0DA6">
        <w:rPr>
          <w:rFonts w:ascii="Cambria" w:eastAsia="Calibri" w:hAnsi="Cambria" w:cs="Calibri"/>
        </w:rPr>
        <w:t>vi</w:t>
      </w:r>
      <w:r w:rsidRPr="009A0DA6">
        <w:rPr>
          <w:rFonts w:ascii="Cambria" w:eastAsia="Calibri" w:hAnsi="Cambria" w:cs="Calibri"/>
          <w:spacing w:val="-1"/>
        </w:rPr>
        <w:t>n</w:t>
      </w:r>
      <w:r w:rsidRPr="009A0DA6">
        <w:rPr>
          <w:rFonts w:ascii="Cambria" w:eastAsia="Calibri" w:hAnsi="Cambria" w:cs="Calibri"/>
        </w:rPr>
        <w:t>g</w:t>
      </w:r>
      <w:r w:rsidRPr="009A0DA6">
        <w:rPr>
          <w:rFonts w:ascii="Cambria" w:eastAsia="Calibri" w:hAnsi="Cambria" w:cs="Calibri"/>
          <w:spacing w:val="-1"/>
        </w:rPr>
        <w:t xml:space="preserve"> </w:t>
      </w:r>
      <w:r w:rsidRPr="009A0DA6">
        <w:rPr>
          <w:rFonts w:ascii="Cambria" w:eastAsia="Calibri" w:hAnsi="Cambria" w:cs="Calibri"/>
        </w:rPr>
        <w:t>jus</w:t>
      </w:r>
      <w:r w:rsidRPr="009A0DA6">
        <w:rPr>
          <w:rFonts w:ascii="Cambria" w:eastAsia="Calibri" w:hAnsi="Cambria" w:cs="Calibri"/>
          <w:spacing w:val="1"/>
        </w:rPr>
        <w:t>t</w:t>
      </w:r>
      <w:r w:rsidRPr="009A0DA6">
        <w:rPr>
          <w:rFonts w:ascii="Cambria" w:eastAsia="Calibri" w:hAnsi="Cambria" w:cs="Calibri"/>
        </w:rPr>
        <w:t>i</w:t>
      </w:r>
      <w:r w:rsidRPr="009A0DA6">
        <w:rPr>
          <w:rFonts w:ascii="Cambria" w:eastAsia="Calibri" w:hAnsi="Cambria" w:cs="Calibri"/>
          <w:spacing w:val="-1"/>
        </w:rPr>
        <w:t>c</w:t>
      </w:r>
      <w:r w:rsidRPr="009A0DA6">
        <w:rPr>
          <w:rFonts w:ascii="Cambria" w:eastAsia="Calibri" w:hAnsi="Cambria" w:cs="Calibri"/>
        </w:rPr>
        <w:t>e,</w:t>
      </w:r>
      <w:r w:rsidRPr="009A0DA6">
        <w:rPr>
          <w:rFonts w:ascii="Cambria" w:eastAsia="Calibri" w:hAnsi="Cambria" w:cs="Calibri"/>
          <w:spacing w:val="-2"/>
        </w:rPr>
        <w:t xml:space="preserve"> </w:t>
      </w:r>
      <w:r w:rsidRPr="009A0DA6">
        <w:rPr>
          <w:rFonts w:ascii="Cambria" w:eastAsia="Calibri" w:hAnsi="Cambria" w:cs="Calibri"/>
        </w:rPr>
        <w:t>pe</w:t>
      </w:r>
      <w:r w:rsidRPr="009A0DA6">
        <w:rPr>
          <w:rFonts w:ascii="Cambria" w:eastAsia="Calibri" w:hAnsi="Cambria" w:cs="Calibri"/>
          <w:spacing w:val="-1"/>
        </w:rPr>
        <w:t>a</w:t>
      </w:r>
      <w:r w:rsidRPr="009A0DA6">
        <w:rPr>
          <w:rFonts w:ascii="Cambria" w:eastAsia="Calibri" w:hAnsi="Cambria" w:cs="Calibri"/>
          <w:spacing w:val="-3"/>
        </w:rPr>
        <w:t>c</w:t>
      </w:r>
      <w:r w:rsidRPr="009A0DA6">
        <w:rPr>
          <w:rFonts w:ascii="Cambria" w:eastAsia="Calibri" w:hAnsi="Cambria" w:cs="Calibri"/>
        </w:rPr>
        <w:t>e a</w:t>
      </w:r>
      <w:r w:rsidRPr="009A0DA6">
        <w:rPr>
          <w:rFonts w:ascii="Cambria" w:eastAsia="Calibri" w:hAnsi="Cambria" w:cs="Calibri"/>
          <w:spacing w:val="-1"/>
        </w:rPr>
        <w:t>n</w:t>
      </w:r>
      <w:r w:rsidRPr="009A0DA6">
        <w:rPr>
          <w:rFonts w:ascii="Cambria" w:eastAsia="Calibri" w:hAnsi="Cambria" w:cs="Calibri"/>
        </w:rPr>
        <w:t>d</w:t>
      </w:r>
      <w:r w:rsidRPr="009A0DA6">
        <w:rPr>
          <w:rFonts w:ascii="Cambria" w:eastAsia="Calibri" w:hAnsi="Cambria" w:cs="Calibri"/>
          <w:spacing w:val="-1"/>
        </w:rPr>
        <w:t xml:space="preserve"> </w:t>
      </w:r>
      <w:r w:rsidRPr="009A0DA6">
        <w:rPr>
          <w:rFonts w:ascii="Cambria" w:eastAsia="Calibri" w:hAnsi="Cambria" w:cs="Calibri"/>
        </w:rPr>
        <w:t>p</w:t>
      </w:r>
      <w:r w:rsidRPr="009A0DA6">
        <w:rPr>
          <w:rFonts w:ascii="Cambria" w:eastAsia="Calibri" w:hAnsi="Cambria" w:cs="Calibri"/>
          <w:spacing w:val="-1"/>
        </w:rPr>
        <w:t>ub</w:t>
      </w:r>
      <w:r w:rsidRPr="009A0DA6">
        <w:rPr>
          <w:rFonts w:ascii="Cambria" w:eastAsia="Calibri" w:hAnsi="Cambria" w:cs="Calibri"/>
        </w:rPr>
        <w:t>lic safety (R</w:t>
      </w:r>
      <w:r w:rsidRPr="009A0DA6">
        <w:rPr>
          <w:rFonts w:ascii="Cambria" w:eastAsia="Calibri" w:hAnsi="Cambria" w:cs="Calibri"/>
          <w:spacing w:val="-2"/>
        </w:rPr>
        <w:t>o</w:t>
      </w:r>
      <w:r w:rsidRPr="009A0DA6">
        <w:rPr>
          <w:rFonts w:ascii="Cambria" w:eastAsia="Calibri" w:hAnsi="Cambria" w:cs="Calibri"/>
        </w:rPr>
        <w:t>ma</w:t>
      </w:r>
      <w:r w:rsidRPr="009A0DA6">
        <w:rPr>
          <w:rFonts w:ascii="Cambria" w:eastAsia="Calibri" w:hAnsi="Cambria" w:cs="Calibri"/>
          <w:spacing w:val="-3"/>
        </w:rPr>
        <w:t>n</w:t>
      </w:r>
      <w:r w:rsidRPr="009A0DA6">
        <w:rPr>
          <w:rFonts w:ascii="Cambria" w:eastAsia="Calibri" w:hAnsi="Cambria" w:cs="Calibri"/>
        </w:rPr>
        <w:t>s</w:t>
      </w:r>
      <w:r w:rsidRPr="009A0DA6">
        <w:rPr>
          <w:rFonts w:ascii="Cambria" w:eastAsia="Calibri" w:hAnsi="Cambria" w:cs="Calibri"/>
          <w:spacing w:val="1"/>
        </w:rPr>
        <w:t xml:space="preserve"> </w:t>
      </w:r>
      <w:r w:rsidRPr="009A0DA6">
        <w:rPr>
          <w:rFonts w:ascii="Cambria" w:eastAsia="Calibri" w:hAnsi="Cambria" w:cs="Calibri"/>
          <w:spacing w:val="-2"/>
        </w:rPr>
        <w:t>1</w:t>
      </w:r>
      <w:r w:rsidRPr="009A0DA6">
        <w:rPr>
          <w:rFonts w:ascii="Cambria" w:eastAsia="Calibri" w:hAnsi="Cambria" w:cs="Calibri"/>
          <w:spacing w:val="1"/>
        </w:rPr>
        <w:t>3</w:t>
      </w:r>
      <w:r w:rsidRPr="009A0DA6">
        <w:rPr>
          <w:rFonts w:ascii="Cambria" w:eastAsia="Calibri" w:hAnsi="Cambria" w:cs="Calibri"/>
          <w:spacing w:val="-1"/>
        </w:rPr>
        <w:t>:</w:t>
      </w:r>
      <w:r w:rsidRPr="009A0DA6">
        <w:rPr>
          <w:rFonts w:ascii="Cambria" w:eastAsia="Calibri" w:hAnsi="Cambria" w:cs="Calibri"/>
          <w:spacing w:val="3"/>
        </w:rPr>
        <w:t>1</w:t>
      </w:r>
      <w:r w:rsidRPr="009A0DA6">
        <w:rPr>
          <w:rFonts w:ascii="Cambria" w:eastAsia="Calibri" w:hAnsi="Cambria" w:cs="Calibri"/>
        </w:rPr>
        <w:sym w:font="Symbol" w:char="F02D"/>
      </w:r>
      <w:r w:rsidRPr="009A0DA6">
        <w:rPr>
          <w:rFonts w:ascii="Cambria" w:eastAsia="Calibri" w:hAnsi="Cambria" w:cs="Calibri"/>
          <w:spacing w:val="-2"/>
        </w:rPr>
        <w:t>4</w:t>
      </w:r>
      <w:r w:rsidRPr="009A0DA6">
        <w:rPr>
          <w:rFonts w:ascii="Cambria" w:eastAsia="Calibri" w:hAnsi="Cambria" w:cs="Calibri"/>
        </w:rPr>
        <w:t>;</w:t>
      </w:r>
      <w:r w:rsidRPr="009A0DA6">
        <w:rPr>
          <w:rFonts w:ascii="Cambria" w:eastAsia="Calibri" w:hAnsi="Cambria" w:cs="Calibri"/>
          <w:spacing w:val="1"/>
        </w:rPr>
        <w:t xml:space="preserve"> </w:t>
      </w:r>
      <w:r w:rsidRPr="009A0DA6">
        <w:rPr>
          <w:rFonts w:ascii="Cambria" w:eastAsia="Calibri" w:hAnsi="Cambria" w:cs="Calibri"/>
        </w:rPr>
        <w:t>1</w:t>
      </w:r>
      <w:r w:rsidRPr="009A0DA6">
        <w:rPr>
          <w:rFonts w:ascii="Cambria" w:eastAsia="Calibri" w:hAnsi="Cambria" w:cs="Calibri"/>
          <w:spacing w:val="-1"/>
        </w:rPr>
        <w:t xml:space="preserve"> P</w:t>
      </w:r>
      <w:r w:rsidRPr="009A0DA6">
        <w:rPr>
          <w:rFonts w:ascii="Cambria" w:eastAsia="Calibri" w:hAnsi="Cambria" w:cs="Calibri"/>
        </w:rPr>
        <w:t>et</w:t>
      </w:r>
      <w:r w:rsidRPr="009A0DA6">
        <w:rPr>
          <w:rFonts w:ascii="Cambria" w:eastAsia="Calibri" w:hAnsi="Cambria" w:cs="Calibri"/>
          <w:spacing w:val="-2"/>
        </w:rPr>
        <w:t>e</w:t>
      </w:r>
      <w:r w:rsidRPr="009A0DA6">
        <w:rPr>
          <w:rFonts w:ascii="Cambria" w:eastAsia="Calibri" w:hAnsi="Cambria" w:cs="Calibri"/>
        </w:rPr>
        <w:t>r</w:t>
      </w:r>
      <w:r w:rsidRPr="009A0DA6">
        <w:rPr>
          <w:rFonts w:ascii="Cambria" w:eastAsia="Calibri" w:hAnsi="Cambria" w:cs="Calibri"/>
          <w:spacing w:val="1"/>
        </w:rPr>
        <w:t xml:space="preserve"> </w:t>
      </w:r>
      <w:r w:rsidRPr="009A0DA6">
        <w:rPr>
          <w:rFonts w:ascii="Cambria" w:eastAsia="Calibri" w:hAnsi="Cambria" w:cs="Calibri"/>
          <w:spacing w:val="-1"/>
        </w:rPr>
        <w:t>2</w:t>
      </w:r>
      <w:r w:rsidRPr="009A0DA6">
        <w:rPr>
          <w:rFonts w:ascii="Cambria" w:eastAsia="Calibri" w:hAnsi="Cambria" w:cs="Calibri"/>
          <w:spacing w:val="1"/>
        </w:rPr>
        <w:t>:</w:t>
      </w:r>
      <w:r w:rsidRPr="009A0DA6">
        <w:rPr>
          <w:rFonts w:ascii="Cambria" w:eastAsia="Calibri" w:hAnsi="Cambria" w:cs="Calibri"/>
          <w:spacing w:val="-2"/>
        </w:rPr>
        <w:t>1</w:t>
      </w:r>
      <w:r w:rsidRPr="009A0DA6">
        <w:rPr>
          <w:rFonts w:ascii="Cambria" w:eastAsia="Calibri" w:hAnsi="Cambria" w:cs="Calibri"/>
          <w:spacing w:val="1"/>
        </w:rPr>
        <w:t>3</w:t>
      </w:r>
      <w:r w:rsidRPr="009A0DA6">
        <w:rPr>
          <w:rFonts w:ascii="Cambria" w:eastAsia="Calibri" w:hAnsi="Cambria" w:cs="Calibri"/>
        </w:rPr>
        <w:sym w:font="Symbol" w:char="F02D"/>
      </w:r>
      <w:r w:rsidRPr="009A0DA6">
        <w:rPr>
          <w:rFonts w:ascii="Cambria" w:eastAsia="Calibri" w:hAnsi="Cambria" w:cs="Calibri"/>
          <w:spacing w:val="-2"/>
        </w:rPr>
        <w:t>1</w:t>
      </w:r>
      <w:r w:rsidRPr="009A0DA6">
        <w:rPr>
          <w:rFonts w:ascii="Cambria" w:eastAsia="Calibri" w:hAnsi="Cambria" w:cs="Calibri"/>
          <w:spacing w:val="1"/>
        </w:rPr>
        <w:t>4</w:t>
      </w:r>
      <w:r w:rsidRPr="009A0DA6">
        <w:rPr>
          <w:rFonts w:ascii="Cambria" w:eastAsia="Calibri" w:hAnsi="Cambria" w:cs="Calibri"/>
        </w:rPr>
        <w:t>).</w:t>
      </w:r>
      <w:r w:rsidRPr="009A0DA6">
        <w:rPr>
          <w:rFonts w:ascii="Cambria" w:eastAsia="Calibri" w:hAnsi="Cambria" w:cs="Calibri"/>
          <w:spacing w:val="-2"/>
        </w:rPr>
        <w:t xml:space="preserve"> </w:t>
      </w:r>
      <w:r w:rsidRPr="009A0DA6">
        <w:rPr>
          <w:rFonts w:ascii="Cambria" w:eastAsia="Calibri" w:hAnsi="Cambria" w:cs="Calibri"/>
        </w:rPr>
        <w:t>When</w:t>
      </w:r>
      <w:r w:rsidRPr="009A0DA6">
        <w:rPr>
          <w:rFonts w:ascii="Cambria" w:eastAsia="Calibri" w:hAnsi="Cambria" w:cs="Calibri"/>
          <w:spacing w:val="-1"/>
        </w:rPr>
        <w:t xml:space="preserve"> </w:t>
      </w:r>
      <w:r w:rsidRPr="009A0DA6">
        <w:rPr>
          <w:rFonts w:ascii="Cambria" w:eastAsia="Calibri" w:hAnsi="Cambria" w:cs="Calibri"/>
          <w:spacing w:val="2"/>
        </w:rPr>
        <w:t>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1"/>
        </w:rPr>
        <w:t xml:space="preserve"> </w:t>
      </w:r>
      <w:r w:rsidR="00336CE0" w:rsidRPr="009A0DA6">
        <w:rPr>
          <w:rFonts w:ascii="Cambria" w:eastAsia="Calibri" w:hAnsi="Cambria" w:cs="Calibri"/>
        </w:rPr>
        <w:t>church</w:t>
      </w:r>
      <w:r w:rsidRPr="009A0DA6">
        <w:rPr>
          <w:rFonts w:ascii="Cambria" w:eastAsia="Calibri" w:hAnsi="Cambria" w:cs="Calibri"/>
          <w:spacing w:val="-1"/>
        </w:rPr>
        <w:t xml:space="preserve"> </w:t>
      </w:r>
      <w:r w:rsidRPr="009A0DA6">
        <w:rPr>
          <w:rFonts w:ascii="Cambria" w:eastAsia="Calibri" w:hAnsi="Cambria" w:cs="Calibri"/>
          <w:spacing w:val="-2"/>
        </w:rPr>
        <w:t>t</w:t>
      </w:r>
      <w:r w:rsidRPr="009A0DA6">
        <w:rPr>
          <w:rFonts w:ascii="Cambria" w:eastAsia="Calibri" w:hAnsi="Cambria" w:cs="Calibri"/>
          <w:spacing w:val="1"/>
        </w:rPr>
        <w:t>r</w:t>
      </w:r>
      <w:r w:rsidRPr="009A0DA6">
        <w:rPr>
          <w:rFonts w:ascii="Cambria" w:eastAsia="Calibri" w:hAnsi="Cambria" w:cs="Calibri"/>
        </w:rPr>
        <w:t>ies</w:t>
      </w:r>
      <w:r w:rsidRPr="009A0DA6">
        <w:rPr>
          <w:rFonts w:ascii="Cambria" w:eastAsia="Calibri" w:hAnsi="Cambria" w:cs="Calibri"/>
          <w:spacing w:val="-1"/>
        </w:rPr>
        <w:t xml:space="preserve"> </w:t>
      </w:r>
      <w:r w:rsidRPr="009A0DA6">
        <w:rPr>
          <w:rFonts w:ascii="Cambria" w:eastAsia="Calibri" w:hAnsi="Cambria" w:cs="Calibri"/>
        </w:rPr>
        <w:t>to take ov</w:t>
      </w:r>
      <w:r w:rsidRPr="009A0DA6">
        <w:rPr>
          <w:rFonts w:ascii="Cambria" w:eastAsia="Calibri" w:hAnsi="Cambria" w:cs="Calibri"/>
          <w:spacing w:val="-2"/>
        </w:rPr>
        <w:t>e</w:t>
      </w:r>
      <w:r w:rsidRPr="009A0DA6">
        <w:rPr>
          <w:rFonts w:ascii="Cambria" w:eastAsia="Calibri" w:hAnsi="Cambria" w:cs="Calibri"/>
        </w:rPr>
        <w:t>r</w:t>
      </w:r>
      <w:r w:rsidRPr="009A0DA6">
        <w:rPr>
          <w:rFonts w:ascii="Cambria" w:eastAsia="Calibri" w:hAnsi="Cambria" w:cs="Calibri"/>
          <w:spacing w:val="1"/>
        </w:rPr>
        <w:t xml:space="preserve"> t</w:t>
      </w:r>
      <w:r w:rsidRPr="009A0DA6">
        <w:rPr>
          <w:rFonts w:ascii="Cambria" w:eastAsia="Calibri" w:hAnsi="Cambria" w:cs="Calibri"/>
          <w:spacing w:val="-1"/>
        </w:rPr>
        <w:t>h</w:t>
      </w:r>
      <w:r w:rsidRPr="009A0DA6">
        <w:rPr>
          <w:rFonts w:ascii="Cambria" w:eastAsia="Calibri" w:hAnsi="Cambria" w:cs="Calibri"/>
          <w:spacing w:val="-3"/>
        </w:rPr>
        <w:t>i</w:t>
      </w:r>
      <w:r w:rsidRPr="009A0DA6">
        <w:rPr>
          <w:rFonts w:ascii="Cambria" w:eastAsia="Calibri" w:hAnsi="Cambria" w:cs="Calibri"/>
        </w:rPr>
        <w:t>s</w:t>
      </w:r>
      <w:r w:rsidRPr="009A0DA6">
        <w:rPr>
          <w:rFonts w:ascii="Cambria" w:eastAsia="Calibri" w:hAnsi="Cambria" w:cs="Calibri"/>
          <w:spacing w:val="1"/>
        </w:rPr>
        <w:t xml:space="preserve"> </w:t>
      </w:r>
      <w:r w:rsidRPr="009A0DA6">
        <w:rPr>
          <w:rFonts w:ascii="Cambria" w:eastAsia="Calibri" w:hAnsi="Cambria" w:cs="Calibri"/>
          <w:spacing w:val="-1"/>
        </w:rPr>
        <w:t>r</w:t>
      </w:r>
      <w:r w:rsidRPr="009A0DA6">
        <w:rPr>
          <w:rFonts w:ascii="Cambria" w:eastAsia="Calibri" w:hAnsi="Cambria" w:cs="Calibri"/>
        </w:rPr>
        <w:t>espo</w:t>
      </w:r>
      <w:r w:rsidRPr="009A0DA6">
        <w:rPr>
          <w:rFonts w:ascii="Cambria" w:eastAsia="Calibri" w:hAnsi="Cambria" w:cs="Calibri"/>
          <w:spacing w:val="-1"/>
        </w:rPr>
        <w:t>n</w:t>
      </w:r>
      <w:r w:rsidRPr="009A0DA6">
        <w:rPr>
          <w:rFonts w:ascii="Cambria" w:eastAsia="Calibri" w:hAnsi="Cambria" w:cs="Calibri"/>
        </w:rPr>
        <w:t>sib</w:t>
      </w:r>
      <w:r w:rsidRPr="009A0DA6">
        <w:rPr>
          <w:rFonts w:ascii="Cambria" w:eastAsia="Calibri" w:hAnsi="Cambria" w:cs="Calibri"/>
          <w:spacing w:val="-1"/>
        </w:rPr>
        <w:t>i</w:t>
      </w:r>
      <w:r w:rsidRPr="009A0DA6">
        <w:rPr>
          <w:rFonts w:ascii="Cambria" w:eastAsia="Calibri" w:hAnsi="Cambria" w:cs="Calibri"/>
        </w:rPr>
        <w:t>lity</w:t>
      </w:r>
      <w:r w:rsidRPr="009A0DA6">
        <w:rPr>
          <w:rFonts w:ascii="Cambria" w:eastAsia="Calibri" w:hAnsi="Cambria" w:cs="Calibri"/>
          <w:spacing w:val="-2"/>
        </w:rPr>
        <w:t xml:space="preserve"> </w:t>
      </w:r>
      <w:r w:rsidRPr="009A0DA6">
        <w:rPr>
          <w:rFonts w:ascii="Cambria" w:eastAsia="Calibri" w:hAnsi="Cambria" w:cs="Calibri"/>
        </w:rPr>
        <w:t>for</w:t>
      </w:r>
      <w:r w:rsidRPr="009A0DA6">
        <w:rPr>
          <w:rFonts w:ascii="Cambria" w:eastAsia="Calibri" w:hAnsi="Cambria" w:cs="Calibri"/>
          <w:spacing w:val="1"/>
        </w:rPr>
        <w:t xml:space="preserve"> </w:t>
      </w:r>
      <w:r w:rsidRPr="009A0DA6">
        <w:rPr>
          <w:rFonts w:ascii="Cambria" w:eastAsia="Calibri" w:hAnsi="Cambria" w:cs="Calibri"/>
        </w:rPr>
        <w:t>i</w:t>
      </w:r>
      <w:r w:rsidRPr="009A0DA6">
        <w:rPr>
          <w:rFonts w:ascii="Cambria" w:eastAsia="Calibri" w:hAnsi="Cambria" w:cs="Calibri"/>
          <w:spacing w:val="-2"/>
        </w:rPr>
        <w:t>t</w:t>
      </w:r>
      <w:r w:rsidRPr="009A0DA6">
        <w:rPr>
          <w:rFonts w:ascii="Cambria" w:eastAsia="Calibri" w:hAnsi="Cambria" w:cs="Calibri"/>
        </w:rPr>
        <w:t>self, a</w:t>
      </w:r>
      <w:r w:rsidRPr="009A0DA6">
        <w:rPr>
          <w:rFonts w:ascii="Cambria" w:eastAsia="Calibri" w:hAnsi="Cambria" w:cs="Calibri"/>
          <w:spacing w:val="-1"/>
        </w:rPr>
        <w:t>n</w:t>
      </w:r>
      <w:r w:rsidRPr="009A0DA6">
        <w:rPr>
          <w:rFonts w:ascii="Cambria" w:eastAsia="Calibri" w:hAnsi="Cambria" w:cs="Calibri"/>
        </w:rPr>
        <w:t>d</w:t>
      </w:r>
      <w:r w:rsidRPr="009A0DA6">
        <w:rPr>
          <w:rFonts w:ascii="Cambria" w:eastAsia="Calibri" w:hAnsi="Cambria" w:cs="Calibri"/>
          <w:spacing w:val="-1"/>
        </w:rPr>
        <w:t xml:space="preserve"> </w:t>
      </w:r>
      <w:r w:rsidRPr="009A0DA6">
        <w:rPr>
          <w:rFonts w:ascii="Cambria" w:eastAsia="Calibri" w:hAnsi="Cambria" w:cs="Calibri"/>
        </w:rPr>
        <w:t>a</w:t>
      </w:r>
      <w:r w:rsidRPr="009A0DA6">
        <w:rPr>
          <w:rFonts w:ascii="Cambria" w:eastAsia="Calibri" w:hAnsi="Cambria" w:cs="Calibri"/>
          <w:spacing w:val="-1"/>
        </w:rPr>
        <w:t>pp</w:t>
      </w:r>
      <w:r w:rsidRPr="009A0DA6">
        <w:rPr>
          <w:rFonts w:ascii="Cambria" w:eastAsia="Calibri" w:hAnsi="Cambria" w:cs="Calibri"/>
        </w:rPr>
        <w:t>lies</w:t>
      </w:r>
      <w:r w:rsidRPr="009A0DA6">
        <w:rPr>
          <w:rFonts w:ascii="Cambria" w:eastAsia="Calibri" w:hAnsi="Cambria" w:cs="Calibri"/>
          <w:spacing w:val="-2"/>
        </w:rPr>
        <w:t xml:space="preserve"> </w:t>
      </w:r>
      <w:r w:rsidRPr="009A0DA6">
        <w:rPr>
          <w:rFonts w:ascii="Cambria" w:eastAsia="Calibri" w:hAnsi="Cambria" w:cs="Calibri"/>
        </w:rPr>
        <w:t>a d</w:t>
      </w:r>
      <w:r w:rsidRPr="009A0DA6">
        <w:rPr>
          <w:rFonts w:ascii="Cambria" w:eastAsia="Calibri" w:hAnsi="Cambria" w:cs="Calibri"/>
          <w:spacing w:val="-1"/>
        </w:rPr>
        <w:t>i</w:t>
      </w:r>
      <w:r w:rsidRPr="009A0DA6">
        <w:rPr>
          <w:rFonts w:ascii="Cambria" w:eastAsia="Calibri" w:hAnsi="Cambria" w:cs="Calibri"/>
        </w:rPr>
        <w:t>f</w:t>
      </w:r>
      <w:r w:rsidRPr="009A0DA6">
        <w:rPr>
          <w:rFonts w:ascii="Cambria" w:eastAsia="Calibri" w:hAnsi="Cambria" w:cs="Calibri"/>
          <w:spacing w:val="-3"/>
        </w:rPr>
        <w:t>f</w:t>
      </w:r>
      <w:r w:rsidRPr="009A0DA6">
        <w:rPr>
          <w:rFonts w:ascii="Cambria" w:eastAsia="Calibri" w:hAnsi="Cambria" w:cs="Calibri"/>
        </w:rPr>
        <w:t>e</w:t>
      </w:r>
      <w:r w:rsidRPr="009A0DA6">
        <w:rPr>
          <w:rFonts w:ascii="Cambria" w:eastAsia="Calibri" w:hAnsi="Cambria" w:cs="Calibri"/>
          <w:spacing w:val="1"/>
        </w:rPr>
        <w:t>r</w:t>
      </w:r>
      <w:r w:rsidRPr="009A0DA6">
        <w:rPr>
          <w:rFonts w:ascii="Cambria" w:eastAsia="Calibri" w:hAnsi="Cambria" w:cs="Calibri"/>
        </w:rPr>
        <w:t>ent</w:t>
      </w:r>
      <w:r w:rsidRPr="009A0DA6">
        <w:rPr>
          <w:rFonts w:ascii="Cambria" w:eastAsia="Calibri" w:hAnsi="Cambria" w:cs="Calibri"/>
          <w:spacing w:val="-2"/>
        </w:rPr>
        <w:t xml:space="preserve"> </w:t>
      </w:r>
      <w:r w:rsidRPr="009A0DA6">
        <w:rPr>
          <w:rFonts w:ascii="Cambria" w:eastAsia="Calibri" w:hAnsi="Cambria" w:cs="Calibri"/>
        </w:rPr>
        <w:t>s</w:t>
      </w:r>
      <w:r w:rsidRPr="009A0DA6">
        <w:rPr>
          <w:rFonts w:ascii="Cambria" w:eastAsia="Calibri" w:hAnsi="Cambria" w:cs="Calibri"/>
          <w:spacing w:val="1"/>
        </w:rPr>
        <w:t>t</w:t>
      </w:r>
      <w:r w:rsidRPr="009A0DA6">
        <w:rPr>
          <w:rFonts w:ascii="Cambria" w:eastAsia="Calibri" w:hAnsi="Cambria" w:cs="Calibri"/>
          <w:spacing w:val="-1"/>
        </w:rPr>
        <w:t>anda</w:t>
      </w:r>
      <w:r w:rsidRPr="009A0DA6">
        <w:rPr>
          <w:rFonts w:ascii="Cambria" w:eastAsia="Calibri" w:hAnsi="Cambria" w:cs="Calibri"/>
          <w:spacing w:val="1"/>
        </w:rPr>
        <w:t>r</w:t>
      </w:r>
      <w:r w:rsidRPr="009A0DA6">
        <w:rPr>
          <w:rFonts w:ascii="Cambria" w:eastAsia="Calibri" w:hAnsi="Cambria" w:cs="Calibri"/>
        </w:rPr>
        <w:t>d</w:t>
      </w:r>
      <w:r w:rsidRPr="009A0DA6">
        <w:rPr>
          <w:rFonts w:ascii="Cambria" w:eastAsia="Calibri" w:hAnsi="Cambria" w:cs="Calibri"/>
          <w:spacing w:val="-1"/>
        </w:rPr>
        <w:t xml:space="preserve"> </w:t>
      </w:r>
      <w:r w:rsidRPr="009A0DA6">
        <w:rPr>
          <w:rFonts w:ascii="Cambria" w:eastAsia="Calibri" w:hAnsi="Cambria" w:cs="Calibri"/>
          <w:spacing w:val="-2"/>
        </w:rPr>
        <w:t>f</w:t>
      </w:r>
      <w:r w:rsidRPr="009A0DA6">
        <w:rPr>
          <w:rFonts w:ascii="Cambria" w:eastAsia="Calibri" w:hAnsi="Cambria" w:cs="Calibri"/>
          <w:spacing w:val="1"/>
        </w:rPr>
        <w:t>r</w:t>
      </w:r>
      <w:r w:rsidRPr="009A0DA6">
        <w:rPr>
          <w:rFonts w:ascii="Cambria" w:eastAsia="Calibri" w:hAnsi="Cambria" w:cs="Calibri"/>
        </w:rPr>
        <w:t>om</w:t>
      </w:r>
      <w:r w:rsidRPr="009A0DA6">
        <w:rPr>
          <w:rFonts w:ascii="Cambria" w:eastAsia="Calibri" w:hAnsi="Cambria" w:cs="Calibri"/>
          <w:spacing w:val="-2"/>
        </w:rPr>
        <w:t xml:space="preserve"> </w:t>
      </w:r>
      <w:r w:rsidRPr="009A0DA6">
        <w:rPr>
          <w:rFonts w:ascii="Cambria" w:eastAsia="Calibri" w:hAnsi="Cambria" w:cs="Calibri"/>
          <w:spacing w:val="1"/>
        </w:rPr>
        <w:t>t</w:t>
      </w:r>
      <w:r w:rsidRPr="009A0DA6">
        <w:rPr>
          <w:rFonts w:ascii="Cambria" w:eastAsia="Calibri" w:hAnsi="Cambria" w:cs="Calibri"/>
          <w:spacing w:val="-1"/>
        </w:rPr>
        <w:t>ha</w:t>
      </w:r>
      <w:r w:rsidRPr="009A0DA6">
        <w:rPr>
          <w:rFonts w:ascii="Cambria" w:eastAsia="Calibri" w:hAnsi="Cambria" w:cs="Calibri"/>
        </w:rPr>
        <w:t>t</w:t>
      </w:r>
      <w:r w:rsidRPr="009A0DA6">
        <w:rPr>
          <w:rFonts w:ascii="Cambria" w:eastAsia="Calibri" w:hAnsi="Cambria" w:cs="Calibri"/>
          <w:spacing w:val="1"/>
        </w:rPr>
        <w:t xml:space="preserve"> </w:t>
      </w:r>
      <w:r w:rsidRPr="009A0DA6">
        <w:rPr>
          <w:rFonts w:ascii="Cambria" w:eastAsia="Calibri" w:hAnsi="Cambria" w:cs="Calibri"/>
        </w:rPr>
        <w:t>of</w:t>
      </w:r>
      <w:r w:rsidRPr="009A0DA6">
        <w:rPr>
          <w:rFonts w:ascii="Cambria" w:eastAsia="Calibri" w:hAnsi="Cambria" w:cs="Calibri"/>
          <w:spacing w:val="-3"/>
        </w:rPr>
        <w:t xml:space="preserve">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e civ</w:t>
      </w:r>
      <w:r w:rsidRPr="009A0DA6">
        <w:rPr>
          <w:rFonts w:ascii="Cambria" w:eastAsia="Calibri" w:hAnsi="Cambria" w:cs="Calibri"/>
          <w:spacing w:val="-1"/>
        </w:rPr>
        <w:t>i</w:t>
      </w:r>
      <w:r w:rsidRPr="009A0DA6">
        <w:rPr>
          <w:rFonts w:ascii="Cambria" w:eastAsia="Calibri" w:hAnsi="Cambria" w:cs="Calibri"/>
        </w:rPr>
        <w:t>l a</w:t>
      </w:r>
      <w:r w:rsidRPr="009A0DA6">
        <w:rPr>
          <w:rFonts w:ascii="Cambria" w:eastAsia="Calibri" w:hAnsi="Cambria" w:cs="Calibri"/>
          <w:spacing w:val="-1"/>
        </w:rPr>
        <w:t>u</w:t>
      </w:r>
      <w:r w:rsidRPr="009A0DA6">
        <w:rPr>
          <w:rFonts w:ascii="Cambria" w:eastAsia="Calibri" w:hAnsi="Cambria" w:cs="Calibri"/>
        </w:rPr>
        <w:t>th</w:t>
      </w:r>
      <w:r w:rsidRPr="009A0DA6">
        <w:rPr>
          <w:rFonts w:ascii="Cambria" w:eastAsia="Calibri" w:hAnsi="Cambria" w:cs="Calibri"/>
          <w:spacing w:val="-3"/>
        </w:rPr>
        <w:t>o</w:t>
      </w:r>
      <w:r w:rsidRPr="009A0DA6">
        <w:rPr>
          <w:rFonts w:ascii="Cambria" w:eastAsia="Calibri" w:hAnsi="Cambria" w:cs="Calibri"/>
          <w:spacing w:val="1"/>
        </w:rPr>
        <w:t>r</w:t>
      </w:r>
      <w:r w:rsidRPr="009A0DA6">
        <w:rPr>
          <w:rFonts w:ascii="Cambria" w:eastAsia="Calibri" w:hAnsi="Cambria" w:cs="Calibri"/>
        </w:rPr>
        <w:t>ities,</w:t>
      </w:r>
      <w:r w:rsidRPr="009A0DA6">
        <w:rPr>
          <w:rFonts w:ascii="Cambria" w:eastAsia="Calibri" w:hAnsi="Cambria" w:cs="Calibri"/>
          <w:spacing w:val="-2"/>
        </w:rPr>
        <w:t xml:space="preserve"> </w:t>
      </w:r>
      <w:r w:rsidRPr="009A0DA6">
        <w:rPr>
          <w:rFonts w:ascii="Cambria" w:eastAsia="Calibri" w:hAnsi="Cambria" w:cs="Calibri"/>
        </w:rPr>
        <w:t>it su</w:t>
      </w:r>
      <w:r w:rsidRPr="009A0DA6">
        <w:rPr>
          <w:rFonts w:ascii="Cambria" w:eastAsia="Calibri" w:hAnsi="Cambria" w:cs="Calibri"/>
          <w:spacing w:val="-1"/>
        </w:rPr>
        <w:t>b</w:t>
      </w:r>
      <w:r w:rsidRPr="009A0DA6">
        <w:rPr>
          <w:rFonts w:ascii="Cambria" w:eastAsia="Calibri" w:hAnsi="Cambria" w:cs="Calibri"/>
        </w:rPr>
        <w:t>ve</w:t>
      </w:r>
      <w:r w:rsidRPr="009A0DA6">
        <w:rPr>
          <w:rFonts w:ascii="Cambria" w:eastAsia="Calibri" w:hAnsi="Cambria" w:cs="Calibri"/>
          <w:spacing w:val="1"/>
        </w:rPr>
        <w:t>r</w:t>
      </w:r>
      <w:r w:rsidRPr="009A0DA6">
        <w:rPr>
          <w:rFonts w:ascii="Cambria" w:eastAsia="Calibri" w:hAnsi="Cambria" w:cs="Calibri"/>
          <w:spacing w:val="-2"/>
        </w:rPr>
        <w:t>t</w:t>
      </w:r>
      <w:r w:rsidRPr="009A0DA6">
        <w:rPr>
          <w:rFonts w:ascii="Cambria" w:eastAsia="Calibri" w:hAnsi="Cambria" w:cs="Calibri"/>
        </w:rPr>
        <w:t>s</w:t>
      </w:r>
      <w:r w:rsidRPr="009A0DA6">
        <w:rPr>
          <w:rFonts w:ascii="Cambria" w:eastAsia="Calibri" w:hAnsi="Cambria" w:cs="Calibri"/>
          <w:spacing w:val="1"/>
        </w:rPr>
        <w:t xml:space="preserve"> </w:t>
      </w:r>
      <w:r w:rsidRPr="009A0DA6">
        <w:rPr>
          <w:rFonts w:ascii="Cambria" w:eastAsia="Calibri" w:hAnsi="Cambria" w:cs="Calibri"/>
        </w:rPr>
        <w:t>the</w:t>
      </w:r>
      <w:r w:rsidRPr="009A0DA6">
        <w:rPr>
          <w:rFonts w:ascii="Cambria" w:eastAsia="Calibri" w:hAnsi="Cambria" w:cs="Calibri"/>
          <w:spacing w:val="-2"/>
        </w:rPr>
        <w:t xml:space="preserve"> </w:t>
      </w:r>
      <w:r w:rsidRPr="009A0DA6">
        <w:rPr>
          <w:rFonts w:ascii="Cambria" w:eastAsia="Calibri" w:hAnsi="Cambria" w:cs="Calibri"/>
        </w:rPr>
        <w:t>Go</w:t>
      </w:r>
      <w:r w:rsidRPr="009A0DA6">
        <w:rPr>
          <w:rFonts w:ascii="Cambria" w:eastAsia="Calibri" w:hAnsi="Cambria" w:cs="Calibri"/>
          <w:spacing w:val="-1"/>
        </w:rPr>
        <w:t>d</w:t>
      </w:r>
      <w:r w:rsidRPr="009A0DA6">
        <w:rPr>
          <w:rFonts w:ascii="Cambria" w:eastAsia="Calibri" w:hAnsi="Cambria" w:cs="Calibri"/>
        </w:rPr>
        <w:t>-</w:t>
      </w:r>
      <w:r w:rsidRPr="009A0DA6">
        <w:rPr>
          <w:rFonts w:ascii="Cambria" w:eastAsia="Calibri" w:hAnsi="Cambria" w:cs="Calibri"/>
          <w:spacing w:val="-1"/>
        </w:rPr>
        <w:t>g</w:t>
      </w:r>
      <w:r w:rsidRPr="009A0DA6">
        <w:rPr>
          <w:rFonts w:ascii="Cambria" w:eastAsia="Calibri" w:hAnsi="Cambria" w:cs="Calibri"/>
        </w:rPr>
        <w:t>iven</w:t>
      </w:r>
      <w:r w:rsidRPr="009A0DA6">
        <w:rPr>
          <w:rFonts w:ascii="Cambria" w:eastAsia="Calibri" w:hAnsi="Cambria" w:cs="Calibri"/>
          <w:spacing w:val="-1"/>
        </w:rPr>
        <w:t xml:space="preserve"> </w:t>
      </w:r>
      <w:r w:rsidRPr="009A0DA6">
        <w:rPr>
          <w:rFonts w:ascii="Cambria" w:eastAsia="Calibri" w:hAnsi="Cambria" w:cs="Calibri"/>
        </w:rPr>
        <w:t>a</w:t>
      </w:r>
      <w:r w:rsidRPr="009A0DA6">
        <w:rPr>
          <w:rFonts w:ascii="Cambria" w:eastAsia="Calibri" w:hAnsi="Cambria" w:cs="Calibri"/>
          <w:spacing w:val="-1"/>
        </w:rPr>
        <w:t>u</w:t>
      </w:r>
      <w:r w:rsidRPr="009A0DA6">
        <w:rPr>
          <w:rFonts w:ascii="Cambria" w:eastAsia="Calibri" w:hAnsi="Cambria" w:cs="Calibri"/>
          <w:spacing w:val="-2"/>
        </w:rPr>
        <w:t>t</w:t>
      </w:r>
      <w:r w:rsidRPr="009A0DA6">
        <w:rPr>
          <w:rFonts w:ascii="Cambria" w:eastAsia="Calibri" w:hAnsi="Cambria" w:cs="Calibri"/>
          <w:spacing w:val="-1"/>
        </w:rPr>
        <w:t>h</w:t>
      </w:r>
      <w:r w:rsidRPr="009A0DA6">
        <w:rPr>
          <w:rFonts w:ascii="Cambria" w:eastAsia="Calibri" w:hAnsi="Cambria" w:cs="Calibri"/>
        </w:rPr>
        <w:t>ority</w:t>
      </w:r>
      <w:r w:rsidRPr="009A0DA6">
        <w:rPr>
          <w:rFonts w:ascii="Cambria" w:eastAsia="Calibri" w:hAnsi="Cambria" w:cs="Calibri"/>
          <w:spacing w:val="1"/>
        </w:rPr>
        <w:t xml:space="preserve"> </w:t>
      </w:r>
      <w:r w:rsidRPr="009A0DA6">
        <w:rPr>
          <w:rFonts w:ascii="Cambria" w:eastAsia="Calibri" w:hAnsi="Cambria" w:cs="Calibri"/>
        </w:rPr>
        <w:t>of t</w:t>
      </w:r>
      <w:r w:rsidRPr="009A0DA6">
        <w:rPr>
          <w:rFonts w:ascii="Cambria" w:eastAsia="Calibri" w:hAnsi="Cambria" w:cs="Calibri"/>
          <w:spacing w:val="-3"/>
        </w:rPr>
        <w:t>h</w:t>
      </w:r>
      <w:r w:rsidRPr="009A0DA6">
        <w:rPr>
          <w:rFonts w:ascii="Cambria" w:eastAsia="Calibri" w:hAnsi="Cambria" w:cs="Calibri"/>
        </w:rPr>
        <w:t xml:space="preserve">e </w:t>
      </w:r>
      <w:r w:rsidRPr="009A0DA6">
        <w:rPr>
          <w:rFonts w:ascii="Cambria" w:eastAsia="Calibri" w:hAnsi="Cambria" w:cs="Calibri"/>
          <w:spacing w:val="1"/>
        </w:rPr>
        <w:t>s</w:t>
      </w:r>
      <w:r w:rsidRPr="009A0DA6">
        <w:rPr>
          <w:rFonts w:ascii="Cambria" w:eastAsia="Calibri" w:hAnsi="Cambria" w:cs="Calibri"/>
        </w:rPr>
        <w:t>t</w:t>
      </w:r>
      <w:r w:rsidRPr="009A0DA6">
        <w:rPr>
          <w:rFonts w:ascii="Cambria" w:eastAsia="Calibri" w:hAnsi="Cambria" w:cs="Calibri"/>
          <w:spacing w:val="-3"/>
        </w:rPr>
        <w:t>a</w:t>
      </w:r>
      <w:r w:rsidRPr="009A0DA6">
        <w:rPr>
          <w:rFonts w:ascii="Cambria" w:eastAsia="Calibri" w:hAnsi="Cambria" w:cs="Calibri"/>
        </w:rPr>
        <w:t>te. F</w:t>
      </w:r>
      <w:r w:rsidRPr="009A0DA6">
        <w:rPr>
          <w:rFonts w:ascii="Cambria" w:eastAsia="Calibri" w:hAnsi="Cambria" w:cs="Calibri"/>
          <w:spacing w:val="-1"/>
        </w:rPr>
        <w:t>ur</w:t>
      </w:r>
      <w:r w:rsidRPr="009A0DA6">
        <w:rPr>
          <w:rFonts w:ascii="Cambria" w:eastAsia="Calibri" w:hAnsi="Cambria" w:cs="Calibri"/>
        </w:rPr>
        <w:t>the</w:t>
      </w:r>
      <w:r w:rsidRPr="009A0DA6">
        <w:rPr>
          <w:rFonts w:ascii="Cambria" w:eastAsia="Calibri" w:hAnsi="Cambria" w:cs="Calibri"/>
          <w:spacing w:val="-1"/>
        </w:rPr>
        <w:t>r</w:t>
      </w:r>
      <w:r w:rsidRPr="009A0DA6">
        <w:rPr>
          <w:rFonts w:ascii="Cambria" w:eastAsia="Calibri" w:hAnsi="Cambria" w:cs="Calibri"/>
        </w:rPr>
        <w:t>mo</w:t>
      </w:r>
      <w:r w:rsidRPr="009A0DA6">
        <w:rPr>
          <w:rFonts w:ascii="Cambria" w:eastAsia="Calibri" w:hAnsi="Cambria" w:cs="Calibri"/>
          <w:spacing w:val="1"/>
        </w:rPr>
        <w:t>r</w:t>
      </w:r>
      <w:r w:rsidRPr="009A0DA6">
        <w:rPr>
          <w:rFonts w:ascii="Cambria" w:eastAsia="Calibri" w:hAnsi="Cambria" w:cs="Calibri"/>
        </w:rPr>
        <w:t>e,</w:t>
      </w:r>
      <w:r w:rsidRPr="009A0DA6">
        <w:rPr>
          <w:rFonts w:ascii="Cambria" w:eastAsia="Calibri" w:hAnsi="Cambria" w:cs="Calibri"/>
          <w:spacing w:val="-2"/>
        </w:rPr>
        <w:t xml:space="preserve"> </w:t>
      </w:r>
      <w:r w:rsidRPr="009A0DA6">
        <w:rPr>
          <w:rFonts w:ascii="Cambria" w:eastAsia="Calibri" w:hAnsi="Cambria" w:cs="Calibri"/>
        </w:rPr>
        <w:t>it</w:t>
      </w:r>
      <w:r w:rsidRPr="009A0DA6">
        <w:rPr>
          <w:rFonts w:ascii="Cambria" w:eastAsia="Calibri" w:hAnsi="Cambria" w:cs="Calibri"/>
          <w:spacing w:val="1"/>
        </w:rPr>
        <w:t xml:space="preserve"> </w:t>
      </w:r>
      <w:r w:rsidRPr="009A0DA6">
        <w:rPr>
          <w:rFonts w:ascii="Cambria" w:eastAsia="Calibri" w:hAnsi="Cambria" w:cs="Calibri"/>
          <w:spacing w:val="-1"/>
        </w:rPr>
        <w:t>und</w:t>
      </w:r>
      <w:r w:rsidRPr="009A0DA6">
        <w:rPr>
          <w:rFonts w:ascii="Cambria" w:eastAsia="Calibri" w:hAnsi="Cambria" w:cs="Calibri"/>
          <w:spacing w:val="-2"/>
        </w:rPr>
        <w:t>e</w:t>
      </w:r>
      <w:r w:rsidRPr="009A0DA6">
        <w:rPr>
          <w:rFonts w:ascii="Cambria" w:eastAsia="Calibri" w:hAnsi="Cambria" w:cs="Calibri"/>
          <w:spacing w:val="1"/>
        </w:rPr>
        <w:t>r</w:t>
      </w:r>
      <w:r w:rsidRPr="009A0DA6">
        <w:rPr>
          <w:rFonts w:ascii="Cambria" w:eastAsia="Calibri" w:hAnsi="Cambria" w:cs="Calibri"/>
        </w:rPr>
        <w:t>mines</w:t>
      </w:r>
      <w:r w:rsidRPr="009A0DA6">
        <w:rPr>
          <w:rFonts w:ascii="Cambria" w:eastAsia="Calibri" w:hAnsi="Cambria" w:cs="Calibri"/>
          <w:spacing w:val="-2"/>
        </w:rPr>
        <w:t xml:space="preserve"> </w:t>
      </w:r>
      <w:r w:rsidRPr="009A0DA6">
        <w:rPr>
          <w:rFonts w:ascii="Cambria" w:eastAsia="Calibri" w:hAnsi="Cambria" w:cs="Calibri"/>
        </w:rPr>
        <w:t>its</w:t>
      </w:r>
      <w:r w:rsidRPr="009A0DA6">
        <w:rPr>
          <w:rFonts w:ascii="Cambria" w:eastAsia="Calibri" w:hAnsi="Cambria" w:cs="Calibri"/>
          <w:spacing w:val="-1"/>
        </w:rPr>
        <w:t xml:space="preserve"> </w:t>
      </w:r>
      <w:r w:rsidRPr="009A0DA6">
        <w:rPr>
          <w:rFonts w:ascii="Cambria" w:eastAsia="Calibri" w:hAnsi="Cambria" w:cs="Calibri"/>
        </w:rPr>
        <w:t>o</w:t>
      </w:r>
      <w:r w:rsidRPr="009A0DA6">
        <w:rPr>
          <w:rFonts w:ascii="Cambria" w:eastAsia="Calibri" w:hAnsi="Cambria" w:cs="Calibri"/>
          <w:spacing w:val="-2"/>
        </w:rPr>
        <w:t>w</w:t>
      </w:r>
      <w:r w:rsidRPr="009A0DA6">
        <w:rPr>
          <w:rFonts w:ascii="Cambria" w:eastAsia="Calibri" w:hAnsi="Cambria" w:cs="Calibri"/>
        </w:rPr>
        <w:t>n</w:t>
      </w:r>
      <w:r w:rsidRPr="009A0DA6">
        <w:rPr>
          <w:rFonts w:ascii="Cambria" w:eastAsia="Calibri" w:hAnsi="Cambria" w:cs="Calibri"/>
          <w:spacing w:val="-1"/>
        </w:rPr>
        <w:t xml:space="preserve"> </w:t>
      </w:r>
      <w:r w:rsidRPr="009A0DA6">
        <w:rPr>
          <w:rFonts w:ascii="Cambria" w:eastAsia="Calibri" w:hAnsi="Cambria" w:cs="Calibri"/>
        </w:rPr>
        <w:t>Go</w:t>
      </w:r>
      <w:r w:rsidRPr="009A0DA6">
        <w:rPr>
          <w:rFonts w:ascii="Cambria" w:eastAsia="Calibri" w:hAnsi="Cambria" w:cs="Calibri"/>
          <w:spacing w:val="2"/>
        </w:rPr>
        <w:t>d</w:t>
      </w:r>
      <w:r w:rsidRPr="009A0DA6">
        <w:rPr>
          <w:rFonts w:ascii="Cambria" w:eastAsia="Calibri" w:hAnsi="Cambria" w:cs="Calibri"/>
        </w:rPr>
        <w:t>-</w:t>
      </w:r>
      <w:r w:rsidRPr="009A0DA6">
        <w:rPr>
          <w:rFonts w:ascii="Cambria" w:eastAsia="Calibri" w:hAnsi="Cambria" w:cs="Calibri"/>
          <w:spacing w:val="-1"/>
        </w:rPr>
        <w:t>g</w:t>
      </w:r>
      <w:r w:rsidRPr="009A0DA6">
        <w:rPr>
          <w:rFonts w:ascii="Cambria" w:eastAsia="Calibri" w:hAnsi="Cambria" w:cs="Calibri"/>
        </w:rPr>
        <w:t>iven</w:t>
      </w:r>
      <w:r w:rsidRPr="009A0DA6">
        <w:rPr>
          <w:rFonts w:ascii="Cambria" w:eastAsia="Calibri" w:hAnsi="Cambria" w:cs="Calibri"/>
          <w:spacing w:val="-1"/>
        </w:rPr>
        <w:t xml:space="preserve"> </w:t>
      </w:r>
      <w:r w:rsidRPr="009A0DA6">
        <w:rPr>
          <w:rFonts w:ascii="Cambria" w:eastAsia="Calibri" w:hAnsi="Cambria" w:cs="Calibri"/>
          <w:spacing w:val="1"/>
        </w:rPr>
        <w:t>r</w:t>
      </w:r>
      <w:r w:rsidRPr="009A0DA6">
        <w:rPr>
          <w:rFonts w:ascii="Cambria" w:eastAsia="Calibri" w:hAnsi="Cambria" w:cs="Calibri"/>
        </w:rPr>
        <w:t>o</w:t>
      </w:r>
      <w:r w:rsidRPr="009A0DA6">
        <w:rPr>
          <w:rFonts w:ascii="Cambria" w:eastAsia="Calibri" w:hAnsi="Cambria" w:cs="Calibri"/>
          <w:spacing w:val="-1"/>
        </w:rPr>
        <w:t>l</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rPr>
        <w:t>whi</w:t>
      </w:r>
      <w:r w:rsidRPr="009A0DA6">
        <w:rPr>
          <w:rFonts w:ascii="Cambria" w:eastAsia="Calibri" w:hAnsi="Cambria" w:cs="Calibri"/>
          <w:spacing w:val="-1"/>
        </w:rPr>
        <w:t>c</w:t>
      </w:r>
      <w:r w:rsidRPr="009A0DA6">
        <w:rPr>
          <w:rFonts w:ascii="Cambria" w:eastAsia="Calibri" w:hAnsi="Cambria" w:cs="Calibri"/>
        </w:rPr>
        <w:t>h</w:t>
      </w:r>
      <w:r w:rsidRPr="009A0DA6">
        <w:rPr>
          <w:rFonts w:ascii="Cambria" w:eastAsia="Calibri" w:hAnsi="Cambria" w:cs="Calibri"/>
          <w:spacing w:val="-1"/>
        </w:rPr>
        <w:t xml:space="preserve"> </w:t>
      </w:r>
      <w:r w:rsidRPr="009A0DA6">
        <w:rPr>
          <w:rFonts w:ascii="Cambria" w:eastAsia="Calibri" w:hAnsi="Cambria" w:cs="Calibri"/>
        </w:rPr>
        <w:t>is to b</w:t>
      </w:r>
      <w:r w:rsidRPr="009A0DA6">
        <w:rPr>
          <w:rFonts w:ascii="Cambria" w:eastAsia="Calibri" w:hAnsi="Cambria" w:cs="Calibri"/>
          <w:spacing w:val="1"/>
        </w:rPr>
        <w:t>r</w:t>
      </w:r>
      <w:r w:rsidRPr="009A0DA6">
        <w:rPr>
          <w:rFonts w:ascii="Cambria" w:eastAsia="Calibri" w:hAnsi="Cambria" w:cs="Calibri"/>
        </w:rPr>
        <w:t>i</w:t>
      </w:r>
      <w:r w:rsidRPr="009A0DA6">
        <w:rPr>
          <w:rFonts w:ascii="Cambria" w:eastAsia="Calibri" w:hAnsi="Cambria" w:cs="Calibri"/>
          <w:spacing w:val="-1"/>
        </w:rPr>
        <w:t>n</w:t>
      </w:r>
      <w:r w:rsidRPr="009A0DA6">
        <w:rPr>
          <w:rFonts w:ascii="Cambria" w:eastAsia="Calibri" w:hAnsi="Cambria" w:cs="Calibri"/>
        </w:rPr>
        <w:t>g</w:t>
      </w:r>
      <w:r w:rsidRPr="009A0DA6">
        <w:rPr>
          <w:rFonts w:ascii="Cambria" w:eastAsia="Calibri" w:hAnsi="Cambria" w:cs="Calibri"/>
          <w:spacing w:val="-1"/>
        </w:rPr>
        <w:t xml:space="preserve">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2"/>
        </w:rPr>
        <w:t xml:space="preserve"> </w:t>
      </w:r>
      <w:r w:rsidRPr="009A0DA6">
        <w:rPr>
          <w:rFonts w:ascii="Cambria" w:eastAsia="Calibri" w:hAnsi="Cambria" w:cs="Calibri"/>
        </w:rPr>
        <w:t>Good</w:t>
      </w:r>
      <w:r w:rsidRPr="009A0DA6">
        <w:rPr>
          <w:rFonts w:ascii="Cambria" w:eastAsia="Calibri" w:hAnsi="Cambria" w:cs="Calibri"/>
          <w:spacing w:val="-1"/>
        </w:rPr>
        <w:t xml:space="preserve"> </w:t>
      </w:r>
      <w:r w:rsidRPr="009A0DA6">
        <w:rPr>
          <w:rFonts w:ascii="Cambria" w:eastAsia="Calibri" w:hAnsi="Cambria" w:cs="Calibri"/>
        </w:rPr>
        <w:t>Ne</w:t>
      </w:r>
      <w:r w:rsidRPr="009A0DA6">
        <w:rPr>
          <w:rFonts w:ascii="Cambria" w:eastAsia="Calibri" w:hAnsi="Cambria" w:cs="Calibri"/>
          <w:spacing w:val="-2"/>
        </w:rPr>
        <w:t>w</w:t>
      </w:r>
      <w:r w:rsidRPr="009A0DA6">
        <w:rPr>
          <w:rFonts w:ascii="Cambria" w:eastAsia="Calibri" w:hAnsi="Cambria" w:cs="Calibri"/>
        </w:rPr>
        <w:t>s</w:t>
      </w:r>
      <w:r w:rsidRPr="009A0DA6">
        <w:rPr>
          <w:rFonts w:ascii="Cambria" w:eastAsia="Calibri" w:hAnsi="Cambria" w:cs="Calibri"/>
          <w:spacing w:val="1"/>
        </w:rPr>
        <w:t xml:space="preserve"> </w:t>
      </w:r>
      <w:r w:rsidRPr="009A0DA6">
        <w:rPr>
          <w:rFonts w:ascii="Cambria" w:eastAsia="Calibri" w:hAnsi="Cambria" w:cs="Calibri"/>
        </w:rPr>
        <w:t>to</w:t>
      </w:r>
      <w:r w:rsidRPr="009A0DA6">
        <w:rPr>
          <w:rFonts w:ascii="Cambria" w:eastAsia="Calibri" w:hAnsi="Cambria" w:cs="Calibri"/>
          <w:spacing w:val="-4"/>
        </w:rPr>
        <w:t xml:space="preserve"> </w:t>
      </w:r>
      <w:r w:rsidRPr="009A0DA6">
        <w:rPr>
          <w:rFonts w:ascii="Cambria" w:eastAsia="Calibri" w:hAnsi="Cambria" w:cs="Calibri"/>
        </w:rPr>
        <w:t>sin</w:t>
      </w:r>
      <w:r w:rsidRPr="009A0DA6">
        <w:rPr>
          <w:rFonts w:ascii="Cambria" w:eastAsia="Calibri" w:hAnsi="Cambria" w:cs="Calibri"/>
          <w:spacing w:val="-1"/>
        </w:rPr>
        <w:t>n</w:t>
      </w:r>
      <w:r w:rsidRPr="009A0DA6">
        <w:rPr>
          <w:rFonts w:ascii="Cambria" w:eastAsia="Calibri" w:hAnsi="Cambria" w:cs="Calibri"/>
        </w:rPr>
        <w:t>e</w:t>
      </w:r>
      <w:r w:rsidRPr="009A0DA6">
        <w:rPr>
          <w:rFonts w:ascii="Cambria" w:eastAsia="Calibri" w:hAnsi="Cambria" w:cs="Calibri"/>
          <w:spacing w:val="1"/>
        </w:rPr>
        <w:t>r</w:t>
      </w:r>
      <w:r w:rsidRPr="009A0DA6">
        <w:rPr>
          <w:rFonts w:ascii="Cambria" w:eastAsia="Calibri" w:hAnsi="Cambria" w:cs="Calibri"/>
        </w:rPr>
        <w:t>s.</w:t>
      </w:r>
    </w:p>
    <w:p w14:paraId="337AC0EC" w14:textId="77777777" w:rsidR="00194B18" w:rsidRPr="009A0DA6" w:rsidRDefault="00194B18" w:rsidP="004A186C">
      <w:pPr>
        <w:pStyle w:val="ListParagraph"/>
        <w:numPr>
          <w:ilvl w:val="1"/>
          <w:numId w:val="154"/>
        </w:numPr>
        <w:spacing w:after="120" w:line="240" w:lineRule="auto"/>
        <w:ind w:left="993" w:right="-20" w:hanging="426"/>
        <w:rPr>
          <w:rFonts w:ascii="Cambria" w:eastAsia="Calibri" w:hAnsi="Cambria" w:cs="Calibri"/>
        </w:rPr>
      </w:pPr>
      <w:r w:rsidRPr="009A0DA6">
        <w:rPr>
          <w:rFonts w:ascii="Cambria" w:eastAsia="Calibri" w:hAnsi="Cambria" w:cs="Calibri"/>
        </w:rPr>
        <w:t>In</w:t>
      </w:r>
      <w:r w:rsidRPr="009A0DA6">
        <w:rPr>
          <w:rFonts w:ascii="Cambria" w:eastAsia="Calibri" w:hAnsi="Cambria" w:cs="Calibri"/>
          <w:spacing w:val="-1"/>
        </w:rPr>
        <w:t xml:space="preserve"> </w:t>
      </w:r>
      <w:r w:rsidRPr="009A0DA6">
        <w:rPr>
          <w:rFonts w:ascii="Cambria" w:eastAsia="Calibri" w:hAnsi="Cambria" w:cs="Calibri"/>
        </w:rPr>
        <w:t>Quee</w:t>
      </w:r>
      <w:r w:rsidRPr="009A0DA6">
        <w:rPr>
          <w:rFonts w:ascii="Cambria" w:eastAsia="Calibri" w:hAnsi="Cambria" w:cs="Calibri"/>
          <w:spacing w:val="-1"/>
        </w:rPr>
        <w:t>n</w:t>
      </w:r>
      <w:r w:rsidRPr="009A0DA6">
        <w:rPr>
          <w:rFonts w:ascii="Cambria" w:eastAsia="Calibri" w:hAnsi="Cambria" w:cs="Calibri"/>
        </w:rPr>
        <w:t>sla</w:t>
      </w:r>
      <w:r w:rsidRPr="009A0DA6">
        <w:rPr>
          <w:rFonts w:ascii="Cambria" w:eastAsia="Calibri" w:hAnsi="Cambria" w:cs="Calibri"/>
          <w:spacing w:val="-1"/>
        </w:rPr>
        <w:t>n</w:t>
      </w:r>
      <w:r w:rsidRPr="009A0DA6">
        <w:rPr>
          <w:rFonts w:ascii="Cambria" w:eastAsia="Calibri" w:hAnsi="Cambria" w:cs="Calibri"/>
        </w:rPr>
        <w:t>d</w:t>
      </w:r>
      <w:r w:rsidRPr="009A0DA6">
        <w:rPr>
          <w:rFonts w:ascii="Cambria" w:eastAsia="Calibri" w:hAnsi="Cambria" w:cs="Calibri"/>
          <w:spacing w:val="-1"/>
        </w:rPr>
        <w:t xml:space="preserve"> </w:t>
      </w:r>
      <w:r w:rsidRPr="009A0DA6">
        <w:rPr>
          <w:rFonts w:ascii="Cambria" w:eastAsia="Calibri" w:hAnsi="Cambria" w:cs="Calibri"/>
        </w:rPr>
        <w:t>at</w:t>
      </w:r>
      <w:r w:rsidRPr="009A0DA6">
        <w:rPr>
          <w:rFonts w:ascii="Cambria" w:eastAsia="Calibri" w:hAnsi="Cambria" w:cs="Calibri"/>
          <w:spacing w:val="1"/>
        </w:rPr>
        <w:t xml:space="preserve"> </w:t>
      </w:r>
      <w:r w:rsidRPr="009A0DA6">
        <w:rPr>
          <w:rFonts w:ascii="Cambria" w:eastAsia="Calibri" w:hAnsi="Cambria" w:cs="Calibri"/>
        </w:rPr>
        <w:t>le</w:t>
      </w:r>
      <w:r w:rsidRPr="009A0DA6">
        <w:rPr>
          <w:rFonts w:ascii="Cambria" w:eastAsia="Calibri" w:hAnsi="Cambria" w:cs="Calibri"/>
          <w:spacing w:val="-1"/>
        </w:rPr>
        <w:t>a</w:t>
      </w:r>
      <w:r w:rsidRPr="009A0DA6">
        <w:rPr>
          <w:rFonts w:ascii="Cambria" w:eastAsia="Calibri" w:hAnsi="Cambria" w:cs="Calibri"/>
          <w:spacing w:val="-2"/>
        </w:rPr>
        <w:t>s</w:t>
      </w:r>
      <w:r w:rsidRPr="009A0DA6">
        <w:rPr>
          <w:rFonts w:ascii="Cambria" w:eastAsia="Calibri" w:hAnsi="Cambria" w:cs="Calibri"/>
        </w:rPr>
        <w:t>t,</w:t>
      </w:r>
      <w:r w:rsidRPr="009A0DA6">
        <w:rPr>
          <w:rFonts w:ascii="Cambria" w:eastAsia="Calibri" w:hAnsi="Cambria" w:cs="Calibri"/>
          <w:spacing w:val="1"/>
        </w:rPr>
        <w:t xml:space="preserve"> </w:t>
      </w:r>
      <w:r w:rsidRPr="009A0DA6">
        <w:rPr>
          <w:rFonts w:ascii="Cambria" w:eastAsia="Calibri" w:hAnsi="Cambria" w:cs="Calibri"/>
        </w:rPr>
        <w:t>su</w:t>
      </w:r>
      <w:r w:rsidRPr="009A0DA6">
        <w:rPr>
          <w:rFonts w:ascii="Cambria" w:eastAsia="Calibri" w:hAnsi="Cambria" w:cs="Calibri"/>
          <w:spacing w:val="-3"/>
        </w:rPr>
        <w:t>c</w:t>
      </w:r>
      <w:r w:rsidRPr="009A0DA6">
        <w:rPr>
          <w:rFonts w:ascii="Cambria" w:eastAsia="Calibri" w:hAnsi="Cambria" w:cs="Calibri"/>
        </w:rPr>
        <w:t>h</w:t>
      </w:r>
      <w:r w:rsidRPr="009A0DA6">
        <w:rPr>
          <w:rFonts w:ascii="Cambria" w:eastAsia="Calibri" w:hAnsi="Cambria" w:cs="Calibri"/>
          <w:spacing w:val="-1"/>
        </w:rPr>
        <w:t xml:space="preserve"> </w:t>
      </w:r>
      <w:r w:rsidRPr="009A0DA6">
        <w:rPr>
          <w:rFonts w:ascii="Cambria" w:eastAsia="Calibri" w:hAnsi="Cambria" w:cs="Calibri"/>
          <w:spacing w:val="1"/>
        </w:rPr>
        <w:t>m</w:t>
      </w:r>
      <w:r w:rsidRPr="009A0DA6">
        <w:rPr>
          <w:rFonts w:ascii="Cambria" w:eastAsia="Calibri" w:hAnsi="Cambria" w:cs="Calibri"/>
        </w:rPr>
        <w:t>eas</w:t>
      </w:r>
      <w:r w:rsidRPr="009A0DA6">
        <w:rPr>
          <w:rFonts w:ascii="Cambria" w:eastAsia="Calibri" w:hAnsi="Cambria" w:cs="Calibri"/>
          <w:spacing w:val="-1"/>
        </w:rPr>
        <w:t>ur</w:t>
      </w:r>
      <w:r w:rsidRPr="009A0DA6">
        <w:rPr>
          <w:rFonts w:ascii="Cambria" w:eastAsia="Calibri" w:hAnsi="Cambria" w:cs="Calibri"/>
        </w:rPr>
        <w:t>es</w:t>
      </w:r>
      <w:r w:rsidRPr="009A0DA6">
        <w:rPr>
          <w:rFonts w:ascii="Cambria" w:eastAsia="Calibri" w:hAnsi="Cambria" w:cs="Calibri"/>
          <w:spacing w:val="-1"/>
        </w:rPr>
        <w:t xml:space="preserve"> </w:t>
      </w:r>
      <w:r w:rsidRPr="009A0DA6">
        <w:rPr>
          <w:rFonts w:ascii="Cambria" w:eastAsia="Calibri" w:hAnsi="Cambria" w:cs="Calibri"/>
        </w:rPr>
        <w:t>may be in</w:t>
      </w:r>
      <w:r w:rsidRPr="009A0DA6">
        <w:rPr>
          <w:rFonts w:ascii="Cambria" w:eastAsia="Calibri" w:hAnsi="Cambria" w:cs="Calibri"/>
          <w:spacing w:val="-1"/>
        </w:rPr>
        <w:t xml:space="preserve"> </w:t>
      </w:r>
      <w:r w:rsidRPr="009A0DA6">
        <w:rPr>
          <w:rFonts w:ascii="Cambria" w:eastAsia="Calibri" w:hAnsi="Cambria" w:cs="Calibri"/>
          <w:spacing w:val="-3"/>
        </w:rPr>
        <w:t>b</w:t>
      </w:r>
      <w:r w:rsidRPr="009A0DA6">
        <w:rPr>
          <w:rFonts w:ascii="Cambria" w:eastAsia="Calibri" w:hAnsi="Cambria" w:cs="Calibri"/>
          <w:spacing w:val="1"/>
        </w:rPr>
        <w:t>r</w:t>
      </w:r>
      <w:r w:rsidRPr="009A0DA6">
        <w:rPr>
          <w:rFonts w:ascii="Cambria" w:eastAsia="Calibri" w:hAnsi="Cambria" w:cs="Calibri"/>
        </w:rPr>
        <w:t>e</w:t>
      </w:r>
      <w:r w:rsidRPr="009A0DA6">
        <w:rPr>
          <w:rFonts w:ascii="Cambria" w:eastAsia="Calibri" w:hAnsi="Cambria" w:cs="Calibri"/>
          <w:spacing w:val="-3"/>
        </w:rPr>
        <w:t>a</w:t>
      </w:r>
      <w:r w:rsidRPr="009A0DA6">
        <w:rPr>
          <w:rFonts w:ascii="Cambria" w:eastAsia="Calibri" w:hAnsi="Cambria" w:cs="Calibri"/>
        </w:rPr>
        <w:t>ch</w:t>
      </w:r>
      <w:r w:rsidRPr="009A0DA6">
        <w:rPr>
          <w:rFonts w:ascii="Cambria" w:eastAsia="Calibri" w:hAnsi="Cambria" w:cs="Calibri"/>
          <w:spacing w:val="-1"/>
        </w:rPr>
        <w:t xml:space="preserve"> </w:t>
      </w:r>
      <w:r w:rsidRPr="009A0DA6">
        <w:rPr>
          <w:rFonts w:ascii="Cambria" w:eastAsia="Calibri" w:hAnsi="Cambria" w:cs="Calibri"/>
        </w:rPr>
        <w:t xml:space="preserve">of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e c</w:t>
      </w:r>
      <w:r w:rsidRPr="009A0DA6">
        <w:rPr>
          <w:rFonts w:ascii="Cambria" w:eastAsia="Calibri" w:hAnsi="Cambria" w:cs="Calibri"/>
          <w:spacing w:val="1"/>
        </w:rPr>
        <w:t>r</w:t>
      </w:r>
      <w:r w:rsidRPr="009A0DA6">
        <w:rPr>
          <w:rFonts w:ascii="Cambria" w:eastAsia="Calibri" w:hAnsi="Cambria" w:cs="Calibri"/>
          <w:spacing w:val="-3"/>
        </w:rPr>
        <w:t>i</w:t>
      </w:r>
      <w:r w:rsidRPr="009A0DA6">
        <w:rPr>
          <w:rFonts w:ascii="Cambria" w:eastAsia="Calibri" w:hAnsi="Cambria" w:cs="Calibri"/>
        </w:rPr>
        <w:t>min</w:t>
      </w:r>
      <w:r w:rsidRPr="009A0DA6">
        <w:rPr>
          <w:rFonts w:ascii="Cambria" w:eastAsia="Calibri" w:hAnsi="Cambria" w:cs="Calibri"/>
          <w:spacing w:val="-1"/>
        </w:rPr>
        <w:t>a</w:t>
      </w:r>
      <w:r w:rsidRPr="009A0DA6">
        <w:rPr>
          <w:rFonts w:ascii="Cambria" w:eastAsia="Calibri" w:hAnsi="Cambria" w:cs="Calibri"/>
        </w:rPr>
        <w:t>l c</w:t>
      </w:r>
      <w:r w:rsidRPr="009A0DA6">
        <w:rPr>
          <w:rFonts w:ascii="Cambria" w:eastAsia="Calibri" w:hAnsi="Cambria" w:cs="Calibri"/>
          <w:spacing w:val="-1"/>
        </w:rPr>
        <w:t>od</w:t>
      </w:r>
      <w:r w:rsidRPr="009A0DA6">
        <w:rPr>
          <w:rFonts w:ascii="Cambria" w:eastAsia="Calibri" w:hAnsi="Cambria" w:cs="Calibri"/>
        </w:rPr>
        <w:t xml:space="preserve">e, </w:t>
      </w:r>
      <w:r w:rsidRPr="009A0DA6">
        <w:rPr>
          <w:rFonts w:ascii="Cambria" w:eastAsia="Calibri" w:hAnsi="Cambria" w:cs="Calibri"/>
          <w:spacing w:val="1"/>
        </w:rPr>
        <w:t>w</w:t>
      </w:r>
      <w:r w:rsidRPr="009A0DA6">
        <w:rPr>
          <w:rFonts w:ascii="Cambria" w:eastAsia="Calibri" w:hAnsi="Cambria" w:cs="Calibri"/>
          <w:spacing w:val="-1"/>
        </w:rPr>
        <w:t>h</w:t>
      </w:r>
      <w:r w:rsidRPr="009A0DA6">
        <w:rPr>
          <w:rFonts w:ascii="Cambria" w:eastAsia="Calibri" w:hAnsi="Cambria" w:cs="Calibri"/>
          <w:spacing w:val="-3"/>
        </w:rPr>
        <w:t>i</w:t>
      </w:r>
      <w:r w:rsidRPr="009A0DA6">
        <w:rPr>
          <w:rFonts w:ascii="Cambria" w:eastAsia="Calibri" w:hAnsi="Cambria" w:cs="Calibri"/>
        </w:rPr>
        <w:t>ch</w:t>
      </w:r>
      <w:r w:rsidRPr="009A0DA6">
        <w:rPr>
          <w:rFonts w:ascii="Cambria" w:eastAsia="Calibri" w:hAnsi="Cambria" w:cs="Calibri"/>
          <w:spacing w:val="-1"/>
        </w:rPr>
        <w:t xml:space="preserve"> </w:t>
      </w:r>
      <w:r w:rsidRPr="009A0DA6">
        <w:rPr>
          <w:rFonts w:ascii="Cambria" w:eastAsia="Calibri" w:hAnsi="Cambria" w:cs="Calibri"/>
          <w:spacing w:val="1"/>
        </w:rPr>
        <w:t>r</w:t>
      </w:r>
      <w:r w:rsidRPr="009A0DA6">
        <w:rPr>
          <w:rFonts w:ascii="Cambria" w:eastAsia="Calibri" w:hAnsi="Cambria" w:cs="Calibri"/>
        </w:rPr>
        <w:t>ea</w:t>
      </w:r>
      <w:r w:rsidRPr="009A0DA6">
        <w:rPr>
          <w:rFonts w:ascii="Cambria" w:eastAsia="Calibri" w:hAnsi="Cambria" w:cs="Calibri"/>
          <w:spacing w:val="-1"/>
        </w:rPr>
        <w:t>d</w:t>
      </w:r>
      <w:r w:rsidRPr="009A0DA6">
        <w:rPr>
          <w:rFonts w:ascii="Cambria" w:eastAsia="Calibri" w:hAnsi="Cambria" w:cs="Calibri"/>
        </w:rPr>
        <w:t>s:</w:t>
      </w:r>
      <w:r w:rsidRPr="009A0DA6">
        <w:rPr>
          <w:rFonts w:ascii="Cambria" w:eastAsia="Calibri" w:hAnsi="Cambria" w:cs="Calibri"/>
        </w:rPr>
        <w:br/>
        <w:t>(</w:t>
      </w:r>
      <w:r w:rsidRPr="009A0DA6">
        <w:rPr>
          <w:rFonts w:ascii="Cambria" w:eastAsia="Calibri" w:hAnsi="Cambria" w:cs="Calibri"/>
          <w:spacing w:val="1"/>
        </w:rPr>
        <w:t>1</w:t>
      </w:r>
      <w:r w:rsidRPr="009A0DA6">
        <w:rPr>
          <w:rFonts w:ascii="Cambria" w:eastAsia="Calibri" w:hAnsi="Cambria" w:cs="Calibri"/>
        </w:rPr>
        <w:t>)</w:t>
      </w:r>
      <w:r w:rsidRPr="009A0DA6">
        <w:rPr>
          <w:rFonts w:ascii="Cambria" w:eastAsia="Calibri" w:hAnsi="Cambria" w:cs="Calibri"/>
          <w:spacing w:val="1"/>
        </w:rPr>
        <w:t xml:space="preserve"> </w:t>
      </w:r>
      <w:r w:rsidRPr="009A0DA6">
        <w:rPr>
          <w:rFonts w:ascii="Cambria" w:eastAsia="Calibri" w:hAnsi="Cambria" w:cs="Calibri"/>
        </w:rPr>
        <w:t xml:space="preserve">A </w:t>
      </w:r>
      <w:r w:rsidRPr="009A0DA6">
        <w:rPr>
          <w:rFonts w:ascii="Cambria" w:eastAsia="Calibri" w:hAnsi="Cambria" w:cs="Calibri"/>
          <w:spacing w:val="-3"/>
        </w:rPr>
        <w:t>p</w:t>
      </w:r>
      <w:r w:rsidRPr="009A0DA6">
        <w:rPr>
          <w:rFonts w:ascii="Cambria" w:eastAsia="Calibri" w:hAnsi="Cambria" w:cs="Calibri"/>
        </w:rPr>
        <w:t>e</w:t>
      </w:r>
      <w:r w:rsidRPr="009A0DA6">
        <w:rPr>
          <w:rFonts w:ascii="Cambria" w:eastAsia="Calibri" w:hAnsi="Cambria" w:cs="Calibri"/>
          <w:spacing w:val="1"/>
        </w:rPr>
        <w:t>r</w:t>
      </w:r>
      <w:r w:rsidRPr="009A0DA6">
        <w:rPr>
          <w:rFonts w:ascii="Cambria" w:eastAsia="Calibri" w:hAnsi="Cambria" w:cs="Calibri"/>
        </w:rPr>
        <w:t>son</w:t>
      </w:r>
      <w:r w:rsidRPr="009A0DA6">
        <w:rPr>
          <w:rFonts w:ascii="Cambria" w:eastAsia="Calibri" w:hAnsi="Cambria" w:cs="Calibri"/>
          <w:spacing w:val="-3"/>
        </w:rPr>
        <w:t xml:space="preserve"> </w:t>
      </w:r>
      <w:r w:rsidRPr="009A0DA6">
        <w:rPr>
          <w:rFonts w:ascii="Cambria" w:eastAsia="Calibri" w:hAnsi="Cambria" w:cs="Calibri"/>
          <w:spacing w:val="1"/>
        </w:rPr>
        <w:t>(</w:t>
      </w:r>
      <w:r w:rsidRPr="009A0DA6">
        <w:rPr>
          <w:rFonts w:ascii="Cambria" w:eastAsia="Calibri" w:hAnsi="Cambria" w:cs="Calibri"/>
        </w:rPr>
        <w:t>the f</w:t>
      </w:r>
      <w:r w:rsidRPr="009A0DA6">
        <w:rPr>
          <w:rFonts w:ascii="Cambria" w:eastAsia="Calibri" w:hAnsi="Cambria" w:cs="Calibri"/>
          <w:spacing w:val="-3"/>
        </w:rPr>
        <w:t>i</w:t>
      </w:r>
      <w:r w:rsidRPr="009A0DA6">
        <w:rPr>
          <w:rFonts w:ascii="Cambria" w:eastAsia="Calibri" w:hAnsi="Cambria" w:cs="Calibri"/>
          <w:spacing w:val="1"/>
        </w:rPr>
        <w:t>r</w:t>
      </w:r>
      <w:r w:rsidRPr="009A0DA6">
        <w:rPr>
          <w:rFonts w:ascii="Cambria" w:eastAsia="Calibri" w:hAnsi="Cambria" w:cs="Calibri"/>
          <w:spacing w:val="-2"/>
        </w:rPr>
        <w:t>s</w:t>
      </w:r>
      <w:r w:rsidRPr="009A0DA6">
        <w:rPr>
          <w:rFonts w:ascii="Cambria" w:eastAsia="Calibri" w:hAnsi="Cambria" w:cs="Calibri"/>
        </w:rPr>
        <w:t>t</w:t>
      </w:r>
      <w:r w:rsidRPr="009A0DA6">
        <w:rPr>
          <w:rFonts w:ascii="Cambria" w:eastAsia="Calibri" w:hAnsi="Cambria" w:cs="Calibri"/>
          <w:spacing w:val="1"/>
        </w:rPr>
        <w:t xml:space="preserve"> </w:t>
      </w:r>
      <w:r w:rsidRPr="009A0DA6">
        <w:rPr>
          <w:rFonts w:ascii="Cambria" w:eastAsia="Calibri" w:hAnsi="Cambria" w:cs="Calibri"/>
          <w:spacing w:val="-1"/>
        </w:rPr>
        <w:t>p</w:t>
      </w:r>
      <w:r w:rsidRPr="009A0DA6">
        <w:rPr>
          <w:rFonts w:ascii="Cambria" w:eastAsia="Calibri" w:hAnsi="Cambria" w:cs="Calibri"/>
          <w:spacing w:val="-2"/>
        </w:rPr>
        <w:t>e</w:t>
      </w:r>
      <w:r w:rsidRPr="009A0DA6">
        <w:rPr>
          <w:rFonts w:ascii="Cambria" w:eastAsia="Calibri" w:hAnsi="Cambria" w:cs="Calibri"/>
          <w:spacing w:val="1"/>
        </w:rPr>
        <w:t>r</w:t>
      </w:r>
      <w:r w:rsidRPr="009A0DA6">
        <w:rPr>
          <w:rFonts w:ascii="Cambria" w:eastAsia="Calibri" w:hAnsi="Cambria" w:cs="Calibri"/>
        </w:rPr>
        <w:t>s</w:t>
      </w:r>
      <w:r w:rsidRPr="009A0DA6">
        <w:rPr>
          <w:rFonts w:ascii="Cambria" w:eastAsia="Calibri" w:hAnsi="Cambria" w:cs="Calibri"/>
          <w:spacing w:val="-3"/>
        </w:rPr>
        <w:t>o</w:t>
      </w:r>
      <w:r w:rsidRPr="009A0DA6">
        <w:rPr>
          <w:rFonts w:ascii="Cambria" w:eastAsia="Calibri" w:hAnsi="Cambria" w:cs="Calibri"/>
          <w:spacing w:val="-1"/>
        </w:rPr>
        <w:t>n</w:t>
      </w:r>
      <w:r w:rsidRPr="009A0DA6">
        <w:rPr>
          <w:rFonts w:ascii="Cambria" w:eastAsia="Calibri" w:hAnsi="Cambria" w:cs="Calibri"/>
        </w:rPr>
        <w:t>)</w:t>
      </w:r>
      <w:r w:rsidRPr="009A0DA6">
        <w:rPr>
          <w:rFonts w:ascii="Cambria" w:eastAsia="Calibri" w:hAnsi="Cambria" w:cs="Calibri"/>
          <w:spacing w:val="1"/>
        </w:rPr>
        <w:t xml:space="preserve"> </w:t>
      </w:r>
      <w:r w:rsidRPr="009A0DA6">
        <w:rPr>
          <w:rFonts w:ascii="Cambria" w:eastAsia="Calibri" w:hAnsi="Cambria" w:cs="Calibri"/>
        </w:rPr>
        <w:t>who t</w:t>
      </w:r>
      <w:r w:rsidRPr="009A0DA6">
        <w:rPr>
          <w:rFonts w:ascii="Cambria" w:eastAsia="Calibri" w:hAnsi="Cambria" w:cs="Calibri"/>
          <w:spacing w:val="-3"/>
        </w:rPr>
        <w:t>h</w:t>
      </w:r>
      <w:r w:rsidRPr="009A0DA6">
        <w:rPr>
          <w:rFonts w:ascii="Cambria" w:eastAsia="Calibri" w:hAnsi="Cambria" w:cs="Calibri"/>
          <w:spacing w:val="1"/>
        </w:rPr>
        <w:t>r</w:t>
      </w:r>
      <w:r w:rsidRPr="009A0DA6">
        <w:rPr>
          <w:rFonts w:ascii="Cambria" w:eastAsia="Calibri" w:hAnsi="Cambria" w:cs="Calibri"/>
        </w:rPr>
        <w:t>eate</w:t>
      </w:r>
      <w:r w:rsidRPr="009A0DA6">
        <w:rPr>
          <w:rFonts w:ascii="Cambria" w:eastAsia="Calibri" w:hAnsi="Cambria" w:cs="Calibri"/>
          <w:spacing w:val="-1"/>
        </w:rPr>
        <w:t>n</w:t>
      </w:r>
      <w:r w:rsidRPr="009A0DA6">
        <w:rPr>
          <w:rFonts w:ascii="Cambria" w:eastAsia="Calibri" w:hAnsi="Cambria" w:cs="Calibri"/>
        </w:rPr>
        <w:t>s</w:t>
      </w:r>
      <w:r w:rsidRPr="009A0DA6">
        <w:rPr>
          <w:rFonts w:ascii="Cambria" w:eastAsia="Calibri" w:hAnsi="Cambria" w:cs="Calibri"/>
          <w:spacing w:val="-2"/>
        </w:rPr>
        <w:t xml:space="preserve"> </w:t>
      </w:r>
      <w:r w:rsidRPr="009A0DA6">
        <w:rPr>
          <w:rFonts w:ascii="Cambria" w:eastAsia="Calibri" w:hAnsi="Cambria" w:cs="Calibri"/>
          <w:spacing w:val="1"/>
        </w:rPr>
        <w:t>t</w:t>
      </w:r>
      <w:r w:rsidRPr="009A0DA6">
        <w:rPr>
          <w:rFonts w:ascii="Cambria" w:eastAsia="Calibri" w:hAnsi="Cambria" w:cs="Calibri"/>
        </w:rPr>
        <w:t>o c</w:t>
      </w:r>
      <w:r w:rsidRPr="009A0DA6">
        <w:rPr>
          <w:rFonts w:ascii="Cambria" w:eastAsia="Calibri" w:hAnsi="Cambria" w:cs="Calibri"/>
          <w:spacing w:val="-1"/>
        </w:rPr>
        <w:t>au</w:t>
      </w:r>
      <w:r w:rsidRPr="009A0DA6">
        <w:rPr>
          <w:rFonts w:ascii="Cambria" w:eastAsia="Calibri" w:hAnsi="Cambria" w:cs="Calibri"/>
        </w:rPr>
        <w:t>se</w:t>
      </w:r>
      <w:r w:rsidRPr="009A0DA6">
        <w:rPr>
          <w:rFonts w:ascii="Cambria" w:eastAsia="Calibri" w:hAnsi="Cambria" w:cs="Calibri"/>
          <w:spacing w:val="-4"/>
        </w:rPr>
        <w:t xml:space="preserve"> </w:t>
      </w:r>
      <w:r w:rsidRPr="009A0DA6">
        <w:rPr>
          <w:rFonts w:ascii="Cambria" w:eastAsia="Calibri" w:hAnsi="Cambria" w:cs="Calibri"/>
        </w:rPr>
        <w:t>a</w:t>
      </w:r>
      <w:r w:rsidRPr="009A0DA6">
        <w:rPr>
          <w:rFonts w:ascii="Cambria" w:eastAsia="Calibri" w:hAnsi="Cambria" w:cs="Calibri"/>
          <w:spacing w:val="-1"/>
        </w:rPr>
        <w:t xml:space="preserve"> </w:t>
      </w:r>
      <w:r w:rsidRPr="009A0DA6">
        <w:rPr>
          <w:rFonts w:ascii="Cambria" w:eastAsia="Calibri" w:hAnsi="Cambria" w:cs="Calibri"/>
        </w:rPr>
        <w:t>det</w:t>
      </w:r>
      <w:r w:rsidRPr="009A0DA6">
        <w:rPr>
          <w:rFonts w:ascii="Cambria" w:eastAsia="Calibri" w:hAnsi="Cambria" w:cs="Calibri"/>
          <w:spacing w:val="1"/>
        </w:rPr>
        <w:t>r</w:t>
      </w:r>
      <w:r w:rsidRPr="009A0DA6">
        <w:rPr>
          <w:rFonts w:ascii="Cambria" w:eastAsia="Calibri" w:hAnsi="Cambria" w:cs="Calibri"/>
          <w:spacing w:val="-3"/>
        </w:rPr>
        <w:t>i</w:t>
      </w:r>
      <w:r w:rsidRPr="009A0DA6">
        <w:rPr>
          <w:rFonts w:ascii="Cambria" w:eastAsia="Calibri" w:hAnsi="Cambria" w:cs="Calibri"/>
        </w:rPr>
        <w:t>ment</w:t>
      </w:r>
      <w:r w:rsidRPr="009A0DA6">
        <w:rPr>
          <w:rFonts w:ascii="Cambria" w:eastAsia="Calibri" w:hAnsi="Cambria" w:cs="Calibri"/>
          <w:spacing w:val="1"/>
        </w:rPr>
        <w:t xml:space="preserve"> </w:t>
      </w:r>
      <w:r w:rsidRPr="009A0DA6">
        <w:rPr>
          <w:rFonts w:ascii="Cambria" w:eastAsia="Calibri" w:hAnsi="Cambria" w:cs="Calibri"/>
        </w:rPr>
        <w:t>to</w:t>
      </w:r>
      <w:r w:rsidRPr="009A0DA6">
        <w:rPr>
          <w:rFonts w:ascii="Cambria" w:eastAsia="Calibri" w:hAnsi="Cambria" w:cs="Calibri"/>
          <w:spacing w:val="-2"/>
        </w:rPr>
        <w:t xml:space="preserve"> </w:t>
      </w:r>
      <w:r w:rsidRPr="009A0DA6">
        <w:rPr>
          <w:rFonts w:ascii="Cambria" w:eastAsia="Calibri" w:hAnsi="Cambria" w:cs="Calibri"/>
        </w:rPr>
        <w:t xml:space="preserve">a </w:t>
      </w:r>
      <w:r w:rsidRPr="009A0DA6">
        <w:rPr>
          <w:rFonts w:ascii="Cambria" w:eastAsia="Calibri" w:hAnsi="Cambria" w:cs="Calibri"/>
          <w:spacing w:val="1"/>
        </w:rPr>
        <w:t>s</w:t>
      </w:r>
      <w:r w:rsidRPr="009A0DA6">
        <w:rPr>
          <w:rFonts w:ascii="Cambria" w:eastAsia="Calibri" w:hAnsi="Cambria" w:cs="Calibri"/>
        </w:rPr>
        <w:t>ec</w:t>
      </w:r>
      <w:r w:rsidRPr="009A0DA6">
        <w:rPr>
          <w:rFonts w:ascii="Cambria" w:eastAsia="Calibri" w:hAnsi="Cambria" w:cs="Calibri"/>
          <w:spacing w:val="-1"/>
        </w:rPr>
        <w:t>on</w:t>
      </w:r>
      <w:r w:rsidRPr="009A0DA6">
        <w:rPr>
          <w:rFonts w:ascii="Cambria" w:eastAsia="Calibri" w:hAnsi="Cambria" w:cs="Calibri"/>
        </w:rPr>
        <w:t>d</w:t>
      </w:r>
      <w:r w:rsidRPr="009A0DA6">
        <w:rPr>
          <w:rFonts w:ascii="Cambria" w:eastAsia="Calibri" w:hAnsi="Cambria" w:cs="Calibri"/>
          <w:spacing w:val="-1"/>
        </w:rPr>
        <w:t xml:space="preserve"> </w:t>
      </w:r>
      <w:r w:rsidRPr="009A0DA6">
        <w:rPr>
          <w:rFonts w:ascii="Cambria" w:eastAsia="Calibri" w:hAnsi="Cambria" w:cs="Calibri"/>
        </w:rPr>
        <w:t>p</w:t>
      </w:r>
      <w:r w:rsidRPr="009A0DA6">
        <w:rPr>
          <w:rFonts w:ascii="Cambria" w:eastAsia="Calibri" w:hAnsi="Cambria" w:cs="Calibri"/>
          <w:spacing w:val="-2"/>
        </w:rPr>
        <w:t>e</w:t>
      </w:r>
      <w:r w:rsidRPr="009A0DA6">
        <w:rPr>
          <w:rFonts w:ascii="Cambria" w:eastAsia="Calibri" w:hAnsi="Cambria" w:cs="Calibri"/>
          <w:spacing w:val="1"/>
        </w:rPr>
        <w:t>r</w:t>
      </w:r>
      <w:r w:rsidRPr="009A0DA6">
        <w:rPr>
          <w:rFonts w:ascii="Cambria" w:eastAsia="Calibri" w:hAnsi="Cambria" w:cs="Calibri"/>
        </w:rPr>
        <w:t>son</w:t>
      </w:r>
      <w:r w:rsidRPr="009A0DA6">
        <w:rPr>
          <w:rFonts w:ascii="Cambria" w:eastAsia="Calibri" w:hAnsi="Cambria" w:cs="Calibri"/>
          <w:spacing w:val="5"/>
        </w:rPr>
        <w:t xml:space="preserve"> </w:t>
      </w:r>
      <w:r w:rsidRPr="009A0DA6">
        <w:rPr>
          <w:rFonts w:ascii="Cambria" w:eastAsia="Calibri" w:hAnsi="Cambria" w:cs="Calibri"/>
          <w:u w:val="single" w:color="000000"/>
        </w:rPr>
        <w:t>w</w:t>
      </w:r>
      <w:r w:rsidRPr="009A0DA6">
        <w:rPr>
          <w:rFonts w:ascii="Cambria" w:eastAsia="Calibri" w:hAnsi="Cambria" w:cs="Calibri"/>
          <w:spacing w:val="-2"/>
          <w:u w:val="single" w:color="000000"/>
        </w:rPr>
        <w:t>i</w:t>
      </w:r>
      <w:r w:rsidRPr="009A0DA6">
        <w:rPr>
          <w:rFonts w:ascii="Cambria" w:eastAsia="Calibri" w:hAnsi="Cambria" w:cs="Calibri"/>
          <w:u w:val="single" w:color="000000"/>
        </w:rPr>
        <w:t>th i</w:t>
      </w:r>
      <w:r w:rsidRPr="009A0DA6">
        <w:rPr>
          <w:rFonts w:ascii="Cambria" w:eastAsia="Calibri" w:hAnsi="Cambria" w:cs="Calibri"/>
          <w:spacing w:val="-1"/>
          <w:u w:val="single" w:color="000000"/>
        </w:rPr>
        <w:t>n</w:t>
      </w:r>
      <w:r w:rsidRPr="009A0DA6">
        <w:rPr>
          <w:rFonts w:ascii="Cambria" w:eastAsia="Calibri" w:hAnsi="Cambria" w:cs="Calibri"/>
          <w:u w:val="single" w:color="000000"/>
        </w:rPr>
        <w:t>tent</w:t>
      </w:r>
      <w:r w:rsidRPr="009A0DA6">
        <w:rPr>
          <w:rFonts w:ascii="Cambria" w:eastAsia="Calibri" w:hAnsi="Cambria" w:cs="Calibri"/>
          <w:spacing w:val="-2"/>
          <w:u w:val="single" w:color="000000"/>
        </w:rPr>
        <w:t xml:space="preserve"> </w:t>
      </w:r>
      <w:r w:rsidRPr="009A0DA6">
        <w:rPr>
          <w:rFonts w:ascii="Cambria" w:eastAsia="Calibri" w:hAnsi="Cambria" w:cs="Calibri"/>
          <w:spacing w:val="1"/>
          <w:u w:val="single" w:color="000000"/>
        </w:rPr>
        <w:t>t</w:t>
      </w:r>
      <w:r w:rsidRPr="009A0DA6">
        <w:rPr>
          <w:rFonts w:ascii="Cambria" w:eastAsia="Calibri" w:hAnsi="Cambria" w:cs="Calibri"/>
          <w:u w:val="single" w:color="000000"/>
        </w:rPr>
        <w:t>o</w:t>
      </w:r>
      <w:r w:rsidRPr="009A0DA6">
        <w:rPr>
          <w:rFonts w:ascii="Cambria" w:eastAsia="Calibri" w:hAnsi="Cambria" w:cs="Calibri"/>
        </w:rPr>
        <w:t xml:space="preserve"> </w:t>
      </w:r>
      <w:r w:rsidRPr="009A0DA6">
        <w:rPr>
          <w:rFonts w:ascii="Cambria" w:eastAsia="Calibri" w:hAnsi="Cambria" w:cs="Calibri"/>
          <w:spacing w:val="-1"/>
          <w:u w:val="single" w:color="000000"/>
        </w:rPr>
        <w:t>p</w:t>
      </w:r>
      <w:r w:rsidRPr="009A0DA6">
        <w:rPr>
          <w:rFonts w:ascii="Cambria" w:eastAsia="Calibri" w:hAnsi="Cambria" w:cs="Calibri"/>
          <w:spacing w:val="1"/>
          <w:u w:val="single" w:color="000000"/>
        </w:rPr>
        <w:t>r</w:t>
      </w:r>
      <w:r w:rsidRPr="009A0DA6">
        <w:rPr>
          <w:rFonts w:ascii="Cambria" w:eastAsia="Calibri" w:hAnsi="Cambria" w:cs="Calibri"/>
          <w:u w:val="single" w:color="000000"/>
        </w:rPr>
        <w:t xml:space="preserve">event </w:t>
      </w:r>
      <w:r w:rsidRPr="009A0DA6">
        <w:rPr>
          <w:rFonts w:ascii="Cambria" w:eastAsia="Calibri" w:hAnsi="Cambria" w:cs="Calibri"/>
          <w:spacing w:val="-3"/>
          <w:u w:val="single" w:color="000000"/>
        </w:rPr>
        <w:t>o</w:t>
      </w:r>
      <w:r w:rsidRPr="009A0DA6">
        <w:rPr>
          <w:rFonts w:ascii="Cambria" w:eastAsia="Calibri" w:hAnsi="Cambria" w:cs="Calibri"/>
          <w:u w:val="single" w:color="000000"/>
        </w:rPr>
        <w:t>r</w:t>
      </w:r>
      <w:r w:rsidRPr="009A0DA6">
        <w:rPr>
          <w:rFonts w:ascii="Cambria" w:eastAsia="Calibri" w:hAnsi="Cambria" w:cs="Calibri"/>
          <w:spacing w:val="1"/>
          <w:u w:val="single" w:color="000000"/>
        </w:rPr>
        <w:t xml:space="preserve"> </w:t>
      </w:r>
      <w:r w:rsidRPr="009A0DA6">
        <w:rPr>
          <w:rFonts w:ascii="Cambria" w:eastAsia="Calibri" w:hAnsi="Cambria" w:cs="Calibri"/>
          <w:u w:val="single" w:color="000000"/>
        </w:rPr>
        <w:t>hi</w:t>
      </w:r>
      <w:r w:rsidRPr="009A0DA6">
        <w:rPr>
          <w:rFonts w:ascii="Cambria" w:eastAsia="Calibri" w:hAnsi="Cambria" w:cs="Calibri"/>
          <w:spacing w:val="-1"/>
          <w:u w:val="single" w:color="000000"/>
        </w:rPr>
        <w:t>nd</w:t>
      </w:r>
      <w:r w:rsidRPr="009A0DA6">
        <w:rPr>
          <w:rFonts w:ascii="Cambria" w:eastAsia="Calibri" w:hAnsi="Cambria" w:cs="Calibri"/>
          <w:spacing w:val="-2"/>
          <w:u w:val="single" w:color="000000"/>
        </w:rPr>
        <w:t>e</w:t>
      </w:r>
      <w:r w:rsidRPr="009A0DA6">
        <w:rPr>
          <w:rFonts w:ascii="Cambria" w:eastAsia="Calibri" w:hAnsi="Cambria" w:cs="Calibri"/>
          <w:u w:val="single" w:color="000000"/>
        </w:rPr>
        <w:t>r</w:t>
      </w:r>
      <w:r w:rsidRPr="009A0DA6">
        <w:rPr>
          <w:rFonts w:ascii="Cambria" w:eastAsia="Calibri" w:hAnsi="Cambria" w:cs="Calibri"/>
          <w:spacing w:val="1"/>
          <w:u w:val="single" w:color="000000"/>
        </w:rPr>
        <w:t xml:space="preserve"> </w:t>
      </w:r>
      <w:r w:rsidRPr="009A0DA6">
        <w:rPr>
          <w:rFonts w:ascii="Cambria" w:eastAsia="Calibri" w:hAnsi="Cambria" w:cs="Calibri"/>
          <w:u w:val="single" w:color="000000"/>
        </w:rPr>
        <w:t>a</w:t>
      </w:r>
      <w:r w:rsidRPr="009A0DA6">
        <w:rPr>
          <w:rFonts w:ascii="Cambria" w:eastAsia="Calibri" w:hAnsi="Cambria" w:cs="Calibri"/>
          <w:spacing w:val="-1"/>
          <w:u w:val="single" w:color="000000"/>
        </w:rPr>
        <w:t>n</w:t>
      </w:r>
      <w:r w:rsidRPr="009A0DA6">
        <w:rPr>
          <w:rFonts w:ascii="Cambria" w:eastAsia="Calibri" w:hAnsi="Cambria" w:cs="Calibri"/>
          <w:u w:val="single" w:color="000000"/>
        </w:rPr>
        <w:t>y p</w:t>
      </w:r>
      <w:r w:rsidRPr="009A0DA6">
        <w:rPr>
          <w:rFonts w:ascii="Cambria" w:eastAsia="Calibri" w:hAnsi="Cambria" w:cs="Calibri"/>
          <w:spacing w:val="-3"/>
          <w:u w:val="single" w:color="000000"/>
        </w:rPr>
        <w:t>e</w:t>
      </w:r>
      <w:r w:rsidRPr="009A0DA6">
        <w:rPr>
          <w:rFonts w:ascii="Cambria" w:eastAsia="Calibri" w:hAnsi="Cambria" w:cs="Calibri"/>
          <w:spacing w:val="1"/>
          <w:u w:val="single" w:color="000000"/>
        </w:rPr>
        <w:t>r</w:t>
      </w:r>
      <w:r w:rsidRPr="009A0DA6">
        <w:rPr>
          <w:rFonts w:ascii="Cambria" w:eastAsia="Calibri" w:hAnsi="Cambria" w:cs="Calibri"/>
          <w:spacing w:val="-2"/>
          <w:u w:val="single" w:color="000000"/>
        </w:rPr>
        <w:t>s</w:t>
      </w:r>
      <w:r w:rsidRPr="009A0DA6">
        <w:rPr>
          <w:rFonts w:ascii="Cambria" w:eastAsia="Calibri" w:hAnsi="Cambria" w:cs="Calibri"/>
          <w:u w:val="single" w:color="000000"/>
        </w:rPr>
        <w:t>on</w:t>
      </w:r>
      <w:r w:rsidRPr="009A0DA6">
        <w:rPr>
          <w:rFonts w:ascii="Cambria" w:eastAsia="Calibri" w:hAnsi="Cambria" w:cs="Calibri"/>
          <w:spacing w:val="-1"/>
          <w:u w:val="single" w:color="000000"/>
        </w:rPr>
        <w:t xml:space="preserve"> </w:t>
      </w:r>
      <w:r w:rsidRPr="009A0DA6">
        <w:rPr>
          <w:rFonts w:ascii="Cambria" w:eastAsia="Calibri" w:hAnsi="Cambria" w:cs="Calibri"/>
          <w:spacing w:val="1"/>
          <w:u w:val="single" w:color="000000"/>
        </w:rPr>
        <w:t>(</w:t>
      </w:r>
      <w:r w:rsidRPr="009A0DA6">
        <w:rPr>
          <w:rFonts w:ascii="Cambria" w:eastAsia="Calibri" w:hAnsi="Cambria" w:cs="Calibri"/>
          <w:u w:val="single" w:color="000000"/>
        </w:rPr>
        <w:t>the oth</w:t>
      </w:r>
      <w:r w:rsidRPr="009A0DA6">
        <w:rPr>
          <w:rFonts w:ascii="Cambria" w:eastAsia="Calibri" w:hAnsi="Cambria" w:cs="Calibri"/>
          <w:spacing w:val="-3"/>
          <w:u w:val="single" w:color="000000"/>
        </w:rPr>
        <w:t>e</w:t>
      </w:r>
      <w:r w:rsidRPr="009A0DA6">
        <w:rPr>
          <w:rFonts w:ascii="Cambria" w:eastAsia="Calibri" w:hAnsi="Cambria" w:cs="Calibri"/>
          <w:u w:val="single" w:color="000000"/>
        </w:rPr>
        <w:t>r</w:t>
      </w:r>
      <w:r w:rsidRPr="009A0DA6">
        <w:rPr>
          <w:rFonts w:ascii="Cambria" w:eastAsia="Calibri" w:hAnsi="Cambria" w:cs="Calibri"/>
          <w:spacing w:val="3"/>
          <w:u w:val="single" w:color="000000"/>
        </w:rPr>
        <w:t xml:space="preserve"> </w:t>
      </w:r>
      <w:r w:rsidRPr="009A0DA6">
        <w:rPr>
          <w:rFonts w:ascii="Cambria" w:eastAsia="Calibri" w:hAnsi="Cambria" w:cs="Calibri"/>
          <w:spacing w:val="-1"/>
          <w:u w:val="single" w:color="000000"/>
        </w:rPr>
        <w:t>p</w:t>
      </w:r>
      <w:r w:rsidRPr="009A0DA6">
        <w:rPr>
          <w:rFonts w:ascii="Cambria" w:eastAsia="Calibri" w:hAnsi="Cambria" w:cs="Calibri"/>
          <w:spacing w:val="-2"/>
          <w:u w:val="single" w:color="000000"/>
        </w:rPr>
        <w:t>e</w:t>
      </w:r>
      <w:r w:rsidRPr="009A0DA6">
        <w:rPr>
          <w:rFonts w:ascii="Cambria" w:eastAsia="Calibri" w:hAnsi="Cambria" w:cs="Calibri"/>
          <w:spacing w:val="1"/>
          <w:u w:val="single" w:color="000000"/>
        </w:rPr>
        <w:t>r</w:t>
      </w:r>
      <w:r w:rsidRPr="009A0DA6">
        <w:rPr>
          <w:rFonts w:ascii="Cambria" w:eastAsia="Calibri" w:hAnsi="Cambria" w:cs="Calibri"/>
          <w:u w:val="single" w:color="000000"/>
        </w:rPr>
        <w:t xml:space="preserve">son) </w:t>
      </w:r>
      <w:r w:rsidRPr="009A0DA6">
        <w:rPr>
          <w:rFonts w:ascii="Cambria" w:eastAsia="Calibri" w:hAnsi="Cambria" w:cs="Calibri"/>
          <w:spacing w:val="-3"/>
          <w:u w:val="single" w:color="000000"/>
        </w:rPr>
        <w:t>o</w:t>
      </w:r>
      <w:r w:rsidRPr="009A0DA6">
        <w:rPr>
          <w:rFonts w:ascii="Cambria" w:eastAsia="Calibri" w:hAnsi="Cambria" w:cs="Calibri"/>
          <w:u w:val="single" w:color="000000"/>
        </w:rPr>
        <w:t>ther</w:t>
      </w:r>
      <w:r w:rsidRPr="009A0DA6">
        <w:rPr>
          <w:rFonts w:ascii="Cambria" w:eastAsia="Calibri" w:hAnsi="Cambria" w:cs="Calibri"/>
          <w:spacing w:val="-1"/>
          <w:u w:val="single" w:color="000000"/>
        </w:rPr>
        <w:t xml:space="preserve"> </w:t>
      </w:r>
      <w:r w:rsidRPr="009A0DA6">
        <w:rPr>
          <w:rFonts w:ascii="Cambria" w:eastAsia="Calibri" w:hAnsi="Cambria" w:cs="Calibri"/>
          <w:spacing w:val="1"/>
          <w:u w:val="single" w:color="000000"/>
        </w:rPr>
        <w:t>t</w:t>
      </w:r>
      <w:r w:rsidRPr="009A0DA6">
        <w:rPr>
          <w:rFonts w:ascii="Cambria" w:eastAsia="Calibri" w:hAnsi="Cambria" w:cs="Calibri"/>
          <w:spacing w:val="-1"/>
          <w:u w:val="single" w:color="000000"/>
        </w:rPr>
        <w:t>ha</w:t>
      </w:r>
      <w:r w:rsidRPr="009A0DA6">
        <w:rPr>
          <w:rFonts w:ascii="Cambria" w:eastAsia="Calibri" w:hAnsi="Cambria" w:cs="Calibri"/>
          <w:u w:val="single" w:color="000000"/>
        </w:rPr>
        <w:t>n</w:t>
      </w:r>
      <w:r w:rsidRPr="009A0DA6">
        <w:rPr>
          <w:rFonts w:ascii="Cambria" w:eastAsia="Calibri" w:hAnsi="Cambria" w:cs="Calibri"/>
          <w:spacing w:val="-1"/>
          <w:u w:val="single" w:color="000000"/>
        </w:rPr>
        <w:t xml:space="preserve"> </w:t>
      </w:r>
      <w:r w:rsidRPr="009A0DA6">
        <w:rPr>
          <w:rFonts w:ascii="Cambria" w:eastAsia="Calibri" w:hAnsi="Cambria" w:cs="Calibri"/>
          <w:spacing w:val="1"/>
          <w:u w:val="single" w:color="000000"/>
        </w:rPr>
        <w:t>t</w:t>
      </w:r>
      <w:r w:rsidRPr="009A0DA6">
        <w:rPr>
          <w:rFonts w:ascii="Cambria" w:eastAsia="Calibri" w:hAnsi="Cambria" w:cs="Calibri"/>
          <w:spacing w:val="-1"/>
          <w:u w:val="single" w:color="000000"/>
        </w:rPr>
        <w:t>h</w:t>
      </w:r>
      <w:r w:rsidRPr="009A0DA6">
        <w:rPr>
          <w:rFonts w:ascii="Cambria" w:eastAsia="Calibri" w:hAnsi="Cambria" w:cs="Calibri"/>
          <w:u w:val="single" w:color="000000"/>
        </w:rPr>
        <w:t>e f</w:t>
      </w:r>
      <w:r w:rsidRPr="009A0DA6">
        <w:rPr>
          <w:rFonts w:ascii="Cambria" w:eastAsia="Calibri" w:hAnsi="Cambria" w:cs="Calibri"/>
          <w:spacing w:val="-2"/>
          <w:u w:val="single" w:color="000000"/>
        </w:rPr>
        <w:t>i</w:t>
      </w:r>
      <w:r w:rsidRPr="009A0DA6">
        <w:rPr>
          <w:rFonts w:ascii="Cambria" w:eastAsia="Calibri" w:hAnsi="Cambria" w:cs="Calibri"/>
          <w:spacing w:val="1"/>
          <w:u w:val="single" w:color="000000"/>
        </w:rPr>
        <w:t>r</w:t>
      </w:r>
      <w:r w:rsidRPr="009A0DA6">
        <w:rPr>
          <w:rFonts w:ascii="Cambria" w:eastAsia="Calibri" w:hAnsi="Cambria" w:cs="Calibri"/>
          <w:u w:val="single" w:color="000000"/>
        </w:rPr>
        <w:t>st</w:t>
      </w:r>
      <w:r w:rsidRPr="009A0DA6">
        <w:rPr>
          <w:rFonts w:ascii="Cambria" w:eastAsia="Calibri" w:hAnsi="Cambria" w:cs="Calibri"/>
          <w:spacing w:val="-2"/>
          <w:u w:val="single" w:color="000000"/>
        </w:rPr>
        <w:t xml:space="preserve"> </w:t>
      </w:r>
      <w:r w:rsidRPr="009A0DA6">
        <w:rPr>
          <w:rFonts w:ascii="Cambria" w:eastAsia="Calibri" w:hAnsi="Cambria" w:cs="Calibri"/>
          <w:u w:val="single" w:color="000000"/>
        </w:rPr>
        <w:t>pe</w:t>
      </w:r>
      <w:r w:rsidRPr="009A0DA6">
        <w:rPr>
          <w:rFonts w:ascii="Cambria" w:eastAsia="Calibri" w:hAnsi="Cambria" w:cs="Calibri"/>
          <w:spacing w:val="-2"/>
          <w:u w:val="single" w:color="000000"/>
        </w:rPr>
        <w:t>r</w:t>
      </w:r>
      <w:r w:rsidRPr="009A0DA6">
        <w:rPr>
          <w:rFonts w:ascii="Cambria" w:eastAsia="Calibri" w:hAnsi="Cambria" w:cs="Calibri"/>
          <w:u w:val="single" w:color="000000"/>
        </w:rPr>
        <w:t>son fr</w:t>
      </w:r>
      <w:r w:rsidRPr="009A0DA6">
        <w:rPr>
          <w:rFonts w:ascii="Cambria" w:eastAsia="Calibri" w:hAnsi="Cambria" w:cs="Calibri"/>
          <w:spacing w:val="-3"/>
          <w:u w:val="single" w:color="000000"/>
        </w:rPr>
        <w:t>o</w:t>
      </w:r>
      <w:r w:rsidRPr="009A0DA6">
        <w:rPr>
          <w:rFonts w:ascii="Cambria" w:eastAsia="Calibri" w:hAnsi="Cambria" w:cs="Calibri"/>
          <w:u w:val="single" w:color="000000"/>
        </w:rPr>
        <w:t>m</w:t>
      </w:r>
      <w:r w:rsidRPr="009A0DA6">
        <w:rPr>
          <w:rFonts w:ascii="Cambria" w:eastAsia="Calibri" w:hAnsi="Cambria" w:cs="Calibri"/>
          <w:spacing w:val="-1"/>
          <w:u w:val="single" w:color="000000"/>
        </w:rPr>
        <w:t xml:space="preserve"> d</w:t>
      </w:r>
      <w:r w:rsidRPr="009A0DA6">
        <w:rPr>
          <w:rFonts w:ascii="Cambria" w:eastAsia="Calibri" w:hAnsi="Cambria" w:cs="Calibri"/>
          <w:u w:val="single" w:color="000000"/>
        </w:rPr>
        <w:t>o</w:t>
      </w:r>
      <w:r w:rsidRPr="009A0DA6">
        <w:rPr>
          <w:rFonts w:ascii="Cambria" w:eastAsia="Calibri" w:hAnsi="Cambria" w:cs="Calibri"/>
          <w:spacing w:val="-1"/>
          <w:u w:val="single" w:color="000000"/>
        </w:rPr>
        <w:t>in</w:t>
      </w:r>
      <w:r w:rsidRPr="009A0DA6">
        <w:rPr>
          <w:rFonts w:ascii="Cambria" w:eastAsia="Calibri" w:hAnsi="Cambria" w:cs="Calibri"/>
          <w:u w:val="single" w:color="000000"/>
        </w:rPr>
        <w:t>g</w:t>
      </w:r>
      <w:r w:rsidRPr="009A0DA6">
        <w:rPr>
          <w:rFonts w:ascii="Cambria" w:eastAsia="Calibri" w:hAnsi="Cambria" w:cs="Calibri"/>
          <w:spacing w:val="-1"/>
          <w:u w:val="single" w:color="000000"/>
        </w:rPr>
        <w:t xml:space="preserve"> </w:t>
      </w:r>
      <w:r w:rsidRPr="009A0DA6">
        <w:rPr>
          <w:rFonts w:ascii="Cambria" w:eastAsia="Calibri" w:hAnsi="Cambria" w:cs="Calibri"/>
          <w:u w:val="single" w:color="000000"/>
        </w:rPr>
        <w:t>a</w:t>
      </w:r>
      <w:r w:rsidRPr="009A0DA6">
        <w:rPr>
          <w:rFonts w:ascii="Cambria" w:eastAsia="Calibri" w:hAnsi="Cambria" w:cs="Calibri"/>
          <w:spacing w:val="-1"/>
          <w:u w:val="single" w:color="000000"/>
        </w:rPr>
        <w:t>n</w:t>
      </w:r>
      <w:r w:rsidRPr="009A0DA6">
        <w:rPr>
          <w:rFonts w:ascii="Cambria" w:eastAsia="Calibri" w:hAnsi="Cambria" w:cs="Calibri"/>
          <w:u w:val="single" w:color="000000"/>
        </w:rPr>
        <w:t>y a</w:t>
      </w:r>
      <w:r w:rsidRPr="009A0DA6">
        <w:rPr>
          <w:rFonts w:ascii="Cambria" w:eastAsia="Calibri" w:hAnsi="Cambria" w:cs="Calibri"/>
          <w:spacing w:val="-1"/>
          <w:u w:val="single" w:color="000000"/>
        </w:rPr>
        <w:t>c</w:t>
      </w:r>
      <w:r w:rsidRPr="009A0DA6">
        <w:rPr>
          <w:rFonts w:ascii="Cambria" w:eastAsia="Calibri" w:hAnsi="Cambria" w:cs="Calibri"/>
          <w:u w:val="single" w:color="000000"/>
        </w:rPr>
        <w:t>t</w:t>
      </w:r>
      <w:r w:rsidRPr="009A0DA6">
        <w:rPr>
          <w:rFonts w:ascii="Cambria" w:eastAsia="Calibri" w:hAnsi="Cambria" w:cs="Calibri"/>
          <w:spacing w:val="1"/>
          <w:u w:val="single" w:color="000000"/>
        </w:rPr>
        <w:t xml:space="preserve"> </w:t>
      </w:r>
      <w:r w:rsidRPr="009A0DA6">
        <w:rPr>
          <w:rFonts w:ascii="Cambria" w:eastAsia="Calibri" w:hAnsi="Cambria" w:cs="Calibri"/>
          <w:u w:val="single" w:color="000000"/>
        </w:rPr>
        <w:t>whi</w:t>
      </w:r>
      <w:r w:rsidRPr="009A0DA6">
        <w:rPr>
          <w:rFonts w:ascii="Cambria" w:eastAsia="Calibri" w:hAnsi="Cambria" w:cs="Calibri"/>
          <w:spacing w:val="-1"/>
          <w:u w:val="single" w:color="000000"/>
        </w:rPr>
        <w:t>c</w:t>
      </w:r>
      <w:r w:rsidRPr="009A0DA6">
        <w:rPr>
          <w:rFonts w:ascii="Cambria" w:eastAsia="Calibri" w:hAnsi="Cambria" w:cs="Calibri"/>
          <w:u w:val="single" w:color="000000"/>
        </w:rPr>
        <w:t>h</w:t>
      </w:r>
      <w:r w:rsidRPr="009A0DA6">
        <w:rPr>
          <w:rFonts w:ascii="Cambria" w:eastAsia="Calibri" w:hAnsi="Cambria" w:cs="Calibri"/>
        </w:rPr>
        <w:t xml:space="preserve"> </w:t>
      </w:r>
      <w:r w:rsidRPr="009A0DA6">
        <w:rPr>
          <w:rFonts w:ascii="Cambria" w:eastAsia="Calibri" w:hAnsi="Cambria" w:cs="Calibri"/>
          <w:u w:val="single" w:color="000000"/>
        </w:rPr>
        <w:t>the oth</w:t>
      </w:r>
      <w:r w:rsidRPr="009A0DA6">
        <w:rPr>
          <w:rFonts w:ascii="Cambria" w:eastAsia="Calibri" w:hAnsi="Cambria" w:cs="Calibri"/>
          <w:spacing w:val="-3"/>
          <w:u w:val="single" w:color="000000"/>
        </w:rPr>
        <w:t>e</w:t>
      </w:r>
      <w:r w:rsidRPr="009A0DA6">
        <w:rPr>
          <w:rFonts w:ascii="Cambria" w:eastAsia="Calibri" w:hAnsi="Cambria" w:cs="Calibri"/>
          <w:u w:val="single" w:color="000000"/>
        </w:rPr>
        <w:t>r</w:t>
      </w:r>
      <w:r w:rsidRPr="009A0DA6">
        <w:rPr>
          <w:rFonts w:ascii="Cambria" w:eastAsia="Calibri" w:hAnsi="Cambria" w:cs="Calibri"/>
          <w:spacing w:val="1"/>
          <w:u w:val="single" w:color="000000"/>
        </w:rPr>
        <w:t xml:space="preserve"> </w:t>
      </w:r>
      <w:r w:rsidRPr="009A0DA6">
        <w:rPr>
          <w:rFonts w:ascii="Cambria" w:eastAsia="Calibri" w:hAnsi="Cambria" w:cs="Calibri"/>
          <w:u w:val="single" w:color="000000"/>
        </w:rPr>
        <w:t>p</w:t>
      </w:r>
      <w:r w:rsidRPr="009A0DA6">
        <w:rPr>
          <w:rFonts w:ascii="Cambria" w:eastAsia="Calibri" w:hAnsi="Cambria" w:cs="Calibri"/>
          <w:spacing w:val="-2"/>
          <w:u w:val="single" w:color="000000"/>
        </w:rPr>
        <w:t>e</w:t>
      </w:r>
      <w:r w:rsidRPr="009A0DA6">
        <w:rPr>
          <w:rFonts w:ascii="Cambria" w:eastAsia="Calibri" w:hAnsi="Cambria" w:cs="Calibri"/>
          <w:spacing w:val="1"/>
          <w:u w:val="single" w:color="000000"/>
        </w:rPr>
        <w:t>r</w:t>
      </w:r>
      <w:r w:rsidRPr="009A0DA6">
        <w:rPr>
          <w:rFonts w:ascii="Cambria" w:eastAsia="Calibri" w:hAnsi="Cambria" w:cs="Calibri"/>
          <w:u w:val="single" w:color="000000"/>
        </w:rPr>
        <w:t>son is l</w:t>
      </w:r>
      <w:r w:rsidRPr="009A0DA6">
        <w:rPr>
          <w:rFonts w:ascii="Cambria" w:eastAsia="Calibri" w:hAnsi="Cambria" w:cs="Calibri"/>
          <w:spacing w:val="-3"/>
          <w:u w:val="single" w:color="000000"/>
        </w:rPr>
        <w:t>a</w:t>
      </w:r>
      <w:r w:rsidRPr="009A0DA6">
        <w:rPr>
          <w:rFonts w:ascii="Cambria" w:eastAsia="Calibri" w:hAnsi="Cambria" w:cs="Calibri"/>
          <w:u w:val="single" w:color="000000"/>
        </w:rPr>
        <w:t>wfu</w:t>
      </w:r>
      <w:r w:rsidRPr="009A0DA6">
        <w:rPr>
          <w:rFonts w:ascii="Cambria" w:eastAsia="Calibri" w:hAnsi="Cambria" w:cs="Calibri"/>
          <w:spacing w:val="-1"/>
          <w:u w:val="single" w:color="000000"/>
        </w:rPr>
        <w:t>l</w:t>
      </w:r>
      <w:r w:rsidRPr="009A0DA6">
        <w:rPr>
          <w:rFonts w:ascii="Cambria" w:eastAsia="Calibri" w:hAnsi="Cambria" w:cs="Calibri"/>
          <w:u w:val="single" w:color="000000"/>
        </w:rPr>
        <w:t>ly</w:t>
      </w:r>
      <w:r w:rsidRPr="009A0DA6">
        <w:rPr>
          <w:rFonts w:ascii="Cambria" w:eastAsia="Calibri" w:hAnsi="Cambria" w:cs="Calibri"/>
          <w:spacing w:val="-3"/>
          <w:u w:val="single" w:color="000000"/>
        </w:rPr>
        <w:t xml:space="preserve"> </w:t>
      </w:r>
      <w:r w:rsidRPr="009A0DA6">
        <w:rPr>
          <w:rFonts w:ascii="Cambria" w:eastAsia="Calibri" w:hAnsi="Cambria" w:cs="Calibri"/>
          <w:u w:val="single" w:color="000000"/>
        </w:rPr>
        <w:t>entitled</w:t>
      </w:r>
      <w:r w:rsidRPr="009A0DA6">
        <w:rPr>
          <w:rFonts w:ascii="Cambria" w:eastAsia="Calibri" w:hAnsi="Cambria" w:cs="Calibri"/>
          <w:spacing w:val="-2"/>
          <w:u w:val="single" w:color="000000"/>
        </w:rPr>
        <w:t xml:space="preserve"> </w:t>
      </w:r>
      <w:r w:rsidRPr="009A0DA6">
        <w:rPr>
          <w:rFonts w:ascii="Cambria" w:eastAsia="Calibri" w:hAnsi="Cambria" w:cs="Calibri"/>
          <w:u w:val="single" w:color="000000"/>
        </w:rPr>
        <w:t>to do</w:t>
      </w:r>
      <w:r w:rsidRPr="009A0DA6">
        <w:rPr>
          <w:rFonts w:ascii="Cambria" w:eastAsia="Calibri" w:hAnsi="Cambria" w:cs="Calibri"/>
        </w:rPr>
        <w:t xml:space="preserve">, </w:t>
      </w:r>
      <w:r w:rsidRPr="009A0DA6">
        <w:rPr>
          <w:rFonts w:ascii="Cambria" w:eastAsia="Calibri" w:hAnsi="Cambria" w:cs="Calibri"/>
          <w:spacing w:val="-2"/>
        </w:rPr>
        <w:t>o</w:t>
      </w:r>
      <w:r w:rsidRPr="009A0DA6">
        <w:rPr>
          <w:rFonts w:ascii="Cambria" w:eastAsia="Calibri" w:hAnsi="Cambria" w:cs="Calibri"/>
        </w:rPr>
        <w:t>r</w:t>
      </w:r>
      <w:r w:rsidRPr="009A0DA6">
        <w:rPr>
          <w:rFonts w:ascii="Cambria" w:eastAsia="Calibri" w:hAnsi="Cambria" w:cs="Calibri"/>
          <w:spacing w:val="1"/>
        </w:rPr>
        <w:t xml:space="preserve"> w</w:t>
      </w:r>
      <w:r w:rsidRPr="009A0DA6">
        <w:rPr>
          <w:rFonts w:ascii="Cambria" w:eastAsia="Calibri" w:hAnsi="Cambria" w:cs="Calibri"/>
          <w:spacing w:val="-3"/>
        </w:rPr>
        <w:t>i</w:t>
      </w:r>
      <w:r w:rsidRPr="009A0DA6">
        <w:rPr>
          <w:rFonts w:ascii="Cambria" w:eastAsia="Calibri" w:hAnsi="Cambria" w:cs="Calibri"/>
        </w:rPr>
        <w:t>th i</w:t>
      </w:r>
      <w:r w:rsidRPr="009A0DA6">
        <w:rPr>
          <w:rFonts w:ascii="Cambria" w:eastAsia="Calibri" w:hAnsi="Cambria" w:cs="Calibri"/>
          <w:spacing w:val="-1"/>
        </w:rPr>
        <w:t>n</w:t>
      </w:r>
      <w:r w:rsidRPr="009A0DA6">
        <w:rPr>
          <w:rFonts w:ascii="Cambria" w:eastAsia="Calibri" w:hAnsi="Cambria" w:cs="Calibri"/>
        </w:rPr>
        <w:t>t</w:t>
      </w:r>
      <w:r w:rsidRPr="009A0DA6">
        <w:rPr>
          <w:rFonts w:ascii="Cambria" w:eastAsia="Calibri" w:hAnsi="Cambria" w:cs="Calibri"/>
          <w:spacing w:val="-2"/>
        </w:rPr>
        <w:t>e</w:t>
      </w:r>
      <w:r w:rsidRPr="009A0DA6">
        <w:rPr>
          <w:rFonts w:ascii="Cambria" w:eastAsia="Calibri" w:hAnsi="Cambria" w:cs="Calibri"/>
          <w:spacing w:val="-1"/>
        </w:rPr>
        <w:t>n</w:t>
      </w:r>
      <w:r w:rsidRPr="009A0DA6">
        <w:rPr>
          <w:rFonts w:ascii="Cambria" w:eastAsia="Calibri" w:hAnsi="Cambria" w:cs="Calibri"/>
        </w:rPr>
        <w:t>t</w:t>
      </w:r>
      <w:r w:rsidRPr="009A0DA6">
        <w:rPr>
          <w:rFonts w:ascii="Cambria" w:eastAsia="Calibri" w:hAnsi="Cambria" w:cs="Calibri"/>
          <w:spacing w:val="1"/>
        </w:rPr>
        <w:t xml:space="preserve"> </w:t>
      </w:r>
      <w:r w:rsidRPr="009A0DA6">
        <w:rPr>
          <w:rFonts w:ascii="Cambria" w:eastAsia="Calibri" w:hAnsi="Cambria" w:cs="Calibri"/>
        </w:rPr>
        <w:t>to c</w:t>
      </w:r>
      <w:r w:rsidRPr="009A0DA6">
        <w:rPr>
          <w:rFonts w:ascii="Cambria" w:eastAsia="Calibri" w:hAnsi="Cambria" w:cs="Calibri"/>
          <w:spacing w:val="-1"/>
        </w:rPr>
        <w:t>o</w:t>
      </w:r>
      <w:r w:rsidRPr="009A0DA6">
        <w:rPr>
          <w:rFonts w:ascii="Cambria" w:eastAsia="Calibri" w:hAnsi="Cambria" w:cs="Calibri"/>
        </w:rPr>
        <w:t>mpel</w:t>
      </w:r>
      <w:r w:rsidRPr="009A0DA6">
        <w:rPr>
          <w:rFonts w:ascii="Cambria" w:eastAsia="Calibri" w:hAnsi="Cambria" w:cs="Calibri"/>
          <w:spacing w:val="-3"/>
        </w:rPr>
        <w:t xml:space="preserve">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e ot</w:t>
      </w:r>
      <w:r w:rsidRPr="009A0DA6">
        <w:rPr>
          <w:rFonts w:ascii="Cambria" w:eastAsia="Calibri" w:hAnsi="Cambria" w:cs="Calibri"/>
          <w:spacing w:val="-3"/>
        </w:rPr>
        <w:t>h</w:t>
      </w:r>
      <w:r w:rsidRPr="009A0DA6">
        <w:rPr>
          <w:rFonts w:ascii="Cambria" w:eastAsia="Calibri" w:hAnsi="Cambria" w:cs="Calibri"/>
        </w:rPr>
        <w:t>er</w:t>
      </w:r>
      <w:r w:rsidRPr="009A0DA6">
        <w:rPr>
          <w:rFonts w:ascii="Cambria" w:eastAsia="Calibri" w:hAnsi="Cambria" w:cs="Calibri"/>
          <w:spacing w:val="1"/>
        </w:rPr>
        <w:t xml:space="preserve"> </w:t>
      </w:r>
      <w:r w:rsidRPr="009A0DA6">
        <w:rPr>
          <w:rFonts w:ascii="Cambria" w:eastAsia="Calibri" w:hAnsi="Cambria" w:cs="Calibri"/>
          <w:spacing w:val="-3"/>
        </w:rPr>
        <w:t>p</w:t>
      </w:r>
      <w:r w:rsidRPr="009A0DA6">
        <w:rPr>
          <w:rFonts w:ascii="Cambria" w:eastAsia="Calibri" w:hAnsi="Cambria" w:cs="Calibri"/>
        </w:rPr>
        <w:t>e</w:t>
      </w:r>
      <w:r w:rsidRPr="009A0DA6">
        <w:rPr>
          <w:rFonts w:ascii="Cambria" w:eastAsia="Calibri" w:hAnsi="Cambria" w:cs="Calibri"/>
          <w:spacing w:val="1"/>
        </w:rPr>
        <w:t>r</w:t>
      </w:r>
      <w:r w:rsidRPr="009A0DA6">
        <w:rPr>
          <w:rFonts w:ascii="Cambria" w:eastAsia="Calibri" w:hAnsi="Cambria" w:cs="Calibri"/>
          <w:spacing w:val="-2"/>
        </w:rPr>
        <w:t>s</w:t>
      </w:r>
      <w:r w:rsidRPr="009A0DA6">
        <w:rPr>
          <w:rFonts w:ascii="Cambria" w:eastAsia="Calibri" w:hAnsi="Cambria" w:cs="Calibri"/>
        </w:rPr>
        <w:t>on</w:t>
      </w:r>
      <w:r w:rsidRPr="009A0DA6">
        <w:rPr>
          <w:rFonts w:ascii="Cambria" w:eastAsia="Calibri" w:hAnsi="Cambria" w:cs="Calibri"/>
          <w:spacing w:val="-1"/>
        </w:rPr>
        <w:t xml:space="preserve"> </w:t>
      </w:r>
      <w:r w:rsidRPr="009A0DA6">
        <w:rPr>
          <w:rFonts w:ascii="Cambria" w:eastAsia="Calibri" w:hAnsi="Cambria" w:cs="Calibri"/>
          <w:spacing w:val="1"/>
        </w:rPr>
        <w:t>t</w:t>
      </w:r>
      <w:r w:rsidRPr="009A0DA6">
        <w:rPr>
          <w:rFonts w:ascii="Cambria" w:eastAsia="Calibri" w:hAnsi="Cambria" w:cs="Calibri"/>
        </w:rPr>
        <w:t xml:space="preserve">o </w:t>
      </w:r>
      <w:r w:rsidRPr="009A0DA6">
        <w:rPr>
          <w:rFonts w:ascii="Cambria" w:eastAsia="Calibri" w:hAnsi="Cambria" w:cs="Calibri"/>
          <w:spacing w:val="-1"/>
        </w:rPr>
        <w:t>d</w:t>
      </w:r>
      <w:r w:rsidRPr="009A0DA6">
        <w:rPr>
          <w:rFonts w:ascii="Cambria" w:eastAsia="Calibri" w:hAnsi="Cambria" w:cs="Calibri"/>
        </w:rPr>
        <w:t xml:space="preserve">o </w:t>
      </w:r>
      <w:r w:rsidRPr="009A0DA6">
        <w:rPr>
          <w:rFonts w:ascii="Cambria" w:eastAsia="Calibri" w:hAnsi="Cambria" w:cs="Calibri"/>
          <w:spacing w:val="-1"/>
        </w:rPr>
        <w:t>an</w:t>
      </w:r>
      <w:r w:rsidRPr="009A0DA6">
        <w:rPr>
          <w:rFonts w:ascii="Cambria" w:eastAsia="Calibri" w:hAnsi="Cambria" w:cs="Calibri"/>
        </w:rPr>
        <w:t>y a</w:t>
      </w:r>
      <w:r w:rsidRPr="009A0DA6">
        <w:rPr>
          <w:rFonts w:ascii="Cambria" w:eastAsia="Calibri" w:hAnsi="Cambria" w:cs="Calibri"/>
          <w:spacing w:val="-1"/>
        </w:rPr>
        <w:t>c</w:t>
      </w:r>
      <w:r w:rsidRPr="009A0DA6">
        <w:rPr>
          <w:rFonts w:ascii="Cambria" w:eastAsia="Calibri" w:hAnsi="Cambria" w:cs="Calibri"/>
        </w:rPr>
        <w:t>t whi</w:t>
      </w:r>
      <w:r w:rsidRPr="009A0DA6">
        <w:rPr>
          <w:rFonts w:ascii="Cambria" w:eastAsia="Calibri" w:hAnsi="Cambria" w:cs="Calibri"/>
          <w:spacing w:val="-1"/>
        </w:rPr>
        <w:t>c</w:t>
      </w:r>
      <w:r w:rsidRPr="009A0DA6">
        <w:rPr>
          <w:rFonts w:ascii="Cambria" w:eastAsia="Calibri" w:hAnsi="Cambria" w:cs="Calibri"/>
        </w:rPr>
        <w:t>h</w:t>
      </w:r>
      <w:r w:rsidRPr="009A0DA6">
        <w:rPr>
          <w:rFonts w:ascii="Cambria" w:eastAsia="Calibri" w:hAnsi="Cambria" w:cs="Calibri"/>
          <w:spacing w:val="-1"/>
        </w:rPr>
        <w:t xml:space="preserve">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e oth</w:t>
      </w:r>
      <w:r w:rsidRPr="009A0DA6">
        <w:rPr>
          <w:rFonts w:ascii="Cambria" w:eastAsia="Calibri" w:hAnsi="Cambria" w:cs="Calibri"/>
          <w:spacing w:val="-2"/>
        </w:rPr>
        <w:t>e</w:t>
      </w:r>
      <w:r w:rsidRPr="009A0DA6">
        <w:rPr>
          <w:rFonts w:ascii="Cambria" w:eastAsia="Calibri" w:hAnsi="Cambria" w:cs="Calibri"/>
        </w:rPr>
        <w:t>r</w:t>
      </w:r>
      <w:r w:rsidRPr="009A0DA6">
        <w:rPr>
          <w:rFonts w:ascii="Cambria" w:eastAsia="Calibri" w:hAnsi="Cambria" w:cs="Calibri"/>
          <w:spacing w:val="1"/>
        </w:rPr>
        <w:t xml:space="preserve"> </w:t>
      </w:r>
      <w:r w:rsidRPr="009A0DA6">
        <w:rPr>
          <w:rFonts w:ascii="Cambria" w:eastAsia="Calibri" w:hAnsi="Cambria" w:cs="Calibri"/>
        </w:rPr>
        <w:t>p</w:t>
      </w:r>
      <w:r w:rsidRPr="009A0DA6">
        <w:rPr>
          <w:rFonts w:ascii="Cambria" w:eastAsia="Calibri" w:hAnsi="Cambria" w:cs="Calibri"/>
          <w:spacing w:val="-2"/>
        </w:rPr>
        <w:t>e</w:t>
      </w:r>
      <w:r w:rsidRPr="009A0DA6">
        <w:rPr>
          <w:rFonts w:ascii="Cambria" w:eastAsia="Calibri" w:hAnsi="Cambria" w:cs="Calibri"/>
          <w:spacing w:val="1"/>
        </w:rPr>
        <w:t>r</w:t>
      </w:r>
      <w:r w:rsidRPr="009A0DA6">
        <w:rPr>
          <w:rFonts w:ascii="Cambria" w:eastAsia="Calibri" w:hAnsi="Cambria" w:cs="Calibri"/>
        </w:rPr>
        <w:t xml:space="preserve">son </w:t>
      </w:r>
      <w:r w:rsidRPr="009A0DA6">
        <w:rPr>
          <w:rFonts w:ascii="Cambria" w:eastAsia="Calibri" w:hAnsi="Cambria" w:cs="Calibri"/>
          <w:spacing w:val="-3"/>
        </w:rPr>
        <w:t>i</w:t>
      </w:r>
      <w:r w:rsidRPr="009A0DA6">
        <w:rPr>
          <w:rFonts w:ascii="Cambria" w:eastAsia="Calibri" w:hAnsi="Cambria" w:cs="Calibri"/>
        </w:rPr>
        <w:t>s</w:t>
      </w:r>
      <w:r w:rsidRPr="009A0DA6">
        <w:rPr>
          <w:rFonts w:ascii="Cambria" w:eastAsia="Calibri" w:hAnsi="Cambria" w:cs="Calibri"/>
          <w:spacing w:val="1"/>
        </w:rPr>
        <w:t xml:space="preserve"> </w:t>
      </w:r>
      <w:r w:rsidRPr="009A0DA6">
        <w:rPr>
          <w:rFonts w:ascii="Cambria" w:eastAsia="Calibri" w:hAnsi="Cambria" w:cs="Calibri"/>
        </w:rPr>
        <w:t>l</w:t>
      </w:r>
      <w:r w:rsidRPr="009A0DA6">
        <w:rPr>
          <w:rFonts w:ascii="Cambria" w:eastAsia="Calibri" w:hAnsi="Cambria" w:cs="Calibri"/>
          <w:spacing w:val="-3"/>
        </w:rPr>
        <w:t>a</w:t>
      </w:r>
      <w:r w:rsidRPr="009A0DA6">
        <w:rPr>
          <w:rFonts w:ascii="Cambria" w:eastAsia="Calibri" w:hAnsi="Cambria" w:cs="Calibri"/>
        </w:rPr>
        <w:t>wfu</w:t>
      </w:r>
      <w:r w:rsidRPr="009A0DA6">
        <w:rPr>
          <w:rFonts w:ascii="Cambria" w:eastAsia="Calibri" w:hAnsi="Cambria" w:cs="Calibri"/>
          <w:spacing w:val="-1"/>
        </w:rPr>
        <w:t>l</w:t>
      </w:r>
      <w:r w:rsidRPr="009A0DA6">
        <w:rPr>
          <w:rFonts w:ascii="Cambria" w:eastAsia="Calibri" w:hAnsi="Cambria" w:cs="Calibri"/>
        </w:rPr>
        <w:t>ly entitled</w:t>
      </w:r>
      <w:r w:rsidRPr="009A0DA6">
        <w:rPr>
          <w:rFonts w:ascii="Cambria" w:eastAsia="Calibri" w:hAnsi="Cambria" w:cs="Calibri"/>
          <w:spacing w:val="-3"/>
        </w:rPr>
        <w:t xml:space="preserve"> </w:t>
      </w:r>
      <w:r w:rsidRPr="009A0DA6">
        <w:rPr>
          <w:rFonts w:ascii="Cambria" w:eastAsia="Calibri" w:hAnsi="Cambria" w:cs="Calibri"/>
          <w:spacing w:val="1"/>
        </w:rPr>
        <w:t>t</w:t>
      </w:r>
      <w:r w:rsidRPr="009A0DA6">
        <w:rPr>
          <w:rFonts w:ascii="Cambria" w:eastAsia="Calibri" w:hAnsi="Cambria" w:cs="Calibri"/>
        </w:rPr>
        <w:t xml:space="preserve">o </w:t>
      </w:r>
      <w:r w:rsidRPr="009A0DA6">
        <w:rPr>
          <w:rFonts w:ascii="Cambria" w:eastAsia="Calibri" w:hAnsi="Cambria" w:cs="Calibri"/>
          <w:spacing w:val="-1"/>
        </w:rPr>
        <w:t>ab</w:t>
      </w:r>
      <w:r w:rsidRPr="009A0DA6">
        <w:rPr>
          <w:rFonts w:ascii="Cambria" w:eastAsia="Calibri" w:hAnsi="Cambria" w:cs="Calibri"/>
        </w:rPr>
        <w:t>s</w:t>
      </w:r>
      <w:r w:rsidRPr="009A0DA6">
        <w:rPr>
          <w:rFonts w:ascii="Cambria" w:eastAsia="Calibri" w:hAnsi="Cambria" w:cs="Calibri"/>
          <w:spacing w:val="1"/>
        </w:rPr>
        <w:t>t</w:t>
      </w:r>
      <w:r w:rsidRPr="009A0DA6">
        <w:rPr>
          <w:rFonts w:ascii="Cambria" w:eastAsia="Calibri" w:hAnsi="Cambria" w:cs="Calibri"/>
          <w:spacing w:val="-1"/>
        </w:rPr>
        <w:t>a</w:t>
      </w:r>
      <w:r w:rsidRPr="009A0DA6">
        <w:rPr>
          <w:rFonts w:ascii="Cambria" w:eastAsia="Calibri" w:hAnsi="Cambria" w:cs="Calibri"/>
        </w:rPr>
        <w:t>in</w:t>
      </w:r>
      <w:r w:rsidRPr="009A0DA6">
        <w:rPr>
          <w:rFonts w:ascii="Cambria" w:eastAsia="Calibri" w:hAnsi="Cambria" w:cs="Calibri"/>
          <w:spacing w:val="-1"/>
        </w:rPr>
        <w:t xml:space="preserve"> </w:t>
      </w:r>
      <w:r w:rsidRPr="009A0DA6">
        <w:rPr>
          <w:rFonts w:ascii="Cambria" w:eastAsia="Calibri" w:hAnsi="Cambria" w:cs="Calibri"/>
          <w:spacing w:val="-2"/>
        </w:rPr>
        <w:t>f</w:t>
      </w:r>
      <w:r w:rsidRPr="009A0DA6">
        <w:rPr>
          <w:rFonts w:ascii="Cambria" w:eastAsia="Calibri" w:hAnsi="Cambria" w:cs="Calibri"/>
          <w:spacing w:val="-1"/>
        </w:rPr>
        <w:t>r</w:t>
      </w:r>
      <w:r w:rsidRPr="009A0DA6">
        <w:rPr>
          <w:rFonts w:ascii="Cambria" w:eastAsia="Calibri" w:hAnsi="Cambria" w:cs="Calibri"/>
        </w:rPr>
        <w:t>om do</w:t>
      </w:r>
      <w:r w:rsidRPr="009A0DA6">
        <w:rPr>
          <w:rFonts w:ascii="Cambria" w:eastAsia="Calibri" w:hAnsi="Cambria" w:cs="Calibri"/>
          <w:spacing w:val="-1"/>
        </w:rPr>
        <w:t>ing</w:t>
      </w:r>
      <w:r w:rsidRPr="009A0DA6">
        <w:rPr>
          <w:rFonts w:ascii="Cambria" w:eastAsia="Calibri" w:hAnsi="Cambria" w:cs="Calibri"/>
        </w:rPr>
        <w:t>, or</w:t>
      </w:r>
      <w:r w:rsidRPr="009A0DA6">
        <w:rPr>
          <w:rFonts w:ascii="Cambria" w:eastAsia="Calibri" w:hAnsi="Cambria" w:cs="Calibri"/>
          <w:spacing w:val="-1"/>
        </w:rPr>
        <w:t xml:space="preserve"> </w:t>
      </w:r>
      <w:r w:rsidRPr="009A0DA6">
        <w:rPr>
          <w:rFonts w:ascii="Cambria" w:eastAsia="Calibri" w:hAnsi="Cambria" w:cs="Calibri"/>
        </w:rPr>
        <w:t>with i</w:t>
      </w:r>
      <w:r w:rsidRPr="009A0DA6">
        <w:rPr>
          <w:rFonts w:ascii="Cambria" w:eastAsia="Calibri" w:hAnsi="Cambria" w:cs="Calibri"/>
          <w:spacing w:val="-1"/>
        </w:rPr>
        <w:t>n</w:t>
      </w:r>
      <w:r w:rsidRPr="009A0DA6">
        <w:rPr>
          <w:rFonts w:ascii="Cambria" w:eastAsia="Calibri" w:hAnsi="Cambria" w:cs="Calibri"/>
          <w:spacing w:val="-2"/>
        </w:rPr>
        <w:t>t</w:t>
      </w:r>
      <w:r w:rsidRPr="009A0DA6">
        <w:rPr>
          <w:rFonts w:ascii="Cambria" w:eastAsia="Calibri" w:hAnsi="Cambria" w:cs="Calibri"/>
        </w:rPr>
        <w:t>ent to</w:t>
      </w:r>
      <w:r w:rsidRPr="009A0DA6">
        <w:rPr>
          <w:rFonts w:ascii="Cambria" w:eastAsia="Calibri" w:hAnsi="Cambria" w:cs="Calibri"/>
          <w:spacing w:val="-5"/>
        </w:rPr>
        <w:t xml:space="preserve"> </w:t>
      </w:r>
      <w:r w:rsidRPr="009A0DA6">
        <w:rPr>
          <w:rFonts w:ascii="Cambria" w:eastAsia="Calibri" w:hAnsi="Cambria" w:cs="Calibri"/>
        </w:rPr>
        <w:t>c</w:t>
      </w:r>
      <w:r w:rsidRPr="009A0DA6">
        <w:rPr>
          <w:rFonts w:ascii="Cambria" w:eastAsia="Calibri" w:hAnsi="Cambria" w:cs="Calibri"/>
          <w:spacing w:val="-1"/>
        </w:rPr>
        <w:t>au</w:t>
      </w:r>
      <w:r w:rsidRPr="009A0DA6">
        <w:rPr>
          <w:rFonts w:ascii="Cambria" w:eastAsia="Calibri" w:hAnsi="Cambria" w:cs="Calibri"/>
        </w:rPr>
        <w:t>se</w:t>
      </w:r>
      <w:r w:rsidRPr="009A0DA6">
        <w:rPr>
          <w:rFonts w:ascii="Cambria" w:eastAsia="Calibri" w:hAnsi="Cambria" w:cs="Calibri"/>
          <w:spacing w:val="1"/>
        </w:rPr>
        <w:t xml:space="preserve"> </w:t>
      </w:r>
      <w:r w:rsidRPr="009A0DA6">
        <w:rPr>
          <w:rFonts w:ascii="Cambria" w:eastAsia="Calibri" w:hAnsi="Cambria" w:cs="Calibri"/>
          <w:spacing w:val="-1"/>
        </w:rPr>
        <w:t>pu</w:t>
      </w:r>
      <w:r w:rsidRPr="009A0DA6">
        <w:rPr>
          <w:rFonts w:ascii="Cambria" w:eastAsia="Calibri" w:hAnsi="Cambria" w:cs="Calibri"/>
          <w:spacing w:val="2"/>
        </w:rPr>
        <w:t>b</w:t>
      </w:r>
      <w:r w:rsidRPr="009A0DA6">
        <w:rPr>
          <w:rFonts w:ascii="Cambria" w:eastAsia="Calibri" w:hAnsi="Cambria" w:cs="Calibri"/>
        </w:rPr>
        <w:t xml:space="preserve">lic </w:t>
      </w:r>
      <w:r w:rsidRPr="009A0DA6">
        <w:rPr>
          <w:rFonts w:ascii="Cambria" w:eastAsia="Calibri" w:hAnsi="Cambria" w:cs="Calibri"/>
          <w:spacing w:val="-1"/>
        </w:rPr>
        <w:t>a</w:t>
      </w:r>
      <w:r w:rsidRPr="009A0DA6">
        <w:rPr>
          <w:rFonts w:ascii="Cambria" w:eastAsia="Calibri" w:hAnsi="Cambria" w:cs="Calibri"/>
        </w:rPr>
        <w:t>l</w:t>
      </w:r>
      <w:r w:rsidRPr="009A0DA6">
        <w:rPr>
          <w:rFonts w:ascii="Cambria" w:eastAsia="Calibri" w:hAnsi="Cambria" w:cs="Calibri"/>
          <w:spacing w:val="-1"/>
        </w:rPr>
        <w:t>a</w:t>
      </w:r>
      <w:r w:rsidRPr="009A0DA6">
        <w:rPr>
          <w:rFonts w:ascii="Cambria" w:eastAsia="Calibri" w:hAnsi="Cambria" w:cs="Calibri"/>
          <w:spacing w:val="1"/>
        </w:rPr>
        <w:t>r</w:t>
      </w:r>
      <w:r w:rsidRPr="009A0DA6">
        <w:rPr>
          <w:rFonts w:ascii="Cambria" w:eastAsia="Calibri" w:hAnsi="Cambria" w:cs="Calibri"/>
        </w:rPr>
        <w:t>m or</w:t>
      </w:r>
      <w:r w:rsidRPr="009A0DA6">
        <w:rPr>
          <w:rFonts w:ascii="Cambria" w:eastAsia="Calibri" w:hAnsi="Cambria" w:cs="Calibri"/>
          <w:spacing w:val="1"/>
        </w:rPr>
        <w:t xml:space="preserve"> </w:t>
      </w:r>
      <w:r w:rsidRPr="009A0DA6">
        <w:rPr>
          <w:rFonts w:ascii="Cambria" w:eastAsia="Calibri" w:hAnsi="Cambria" w:cs="Calibri"/>
          <w:spacing w:val="-1"/>
        </w:rPr>
        <w:t>an</w:t>
      </w:r>
      <w:r w:rsidRPr="009A0DA6">
        <w:rPr>
          <w:rFonts w:ascii="Cambria" w:eastAsia="Calibri" w:hAnsi="Cambria" w:cs="Calibri"/>
        </w:rPr>
        <w:t>xiety,</w:t>
      </w:r>
      <w:r w:rsidRPr="009A0DA6">
        <w:rPr>
          <w:rFonts w:ascii="Cambria" w:eastAsia="Calibri" w:hAnsi="Cambria" w:cs="Calibri"/>
          <w:spacing w:val="-2"/>
        </w:rPr>
        <w:t xml:space="preserve"> </w:t>
      </w:r>
      <w:r w:rsidRPr="009A0DA6">
        <w:rPr>
          <w:rFonts w:ascii="Cambria" w:eastAsia="Calibri" w:hAnsi="Cambria" w:cs="Calibri"/>
        </w:rPr>
        <w:t>comm</w:t>
      </w:r>
      <w:r w:rsidRPr="009A0DA6">
        <w:rPr>
          <w:rFonts w:ascii="Cambria" w:eastAsia="Calibri" w:hAnsi="Cambria" w:cs="Calibri"/>
          <w:spacing w:val="-2"/>
        </w:rPr>
        <w:t>i</w:t>
      </w:r>
      <w:r w:rsidRPr="009A0DA6">
        <w:rPr>
          <w:rFonts w:ascii="Cambria" w:eastAsia="Calibri" w:hAnsi="Cambria" w:cs="Calibri"/>
        </w:rPr>
        <w:t>ts</w:t>
      </w:r>
      <w:r w:rsidRPr="009A0DA6">
        <w:rPr>
          <w:rFonts w:ascii="Cambria" w:eastAsia="Calibri" w:hAnsi="Cambria" w:cs="Calibri"/>
          <w:spacing w:val="1"/>
        </w:rPr>
        <w:t xml:space="preserve"> </w:t>
      </w:r>
      <w:r w:rsidRPr="009A0DA6">
        <w:rPr>
          <w:rFonts w:ascii="Cambria" w:eastAsia="Calibri" w:hAnsi="Cambria" w:cs="Calibri"/>
        </w:rPr>
        <w:t xml:space="preserve">a </w:t>
      </w:r>
      <w:r w:rsidRPr="009A0DA6">
        <w:rPr>
          <w:rFonts w:ascii="Cambria" w:eastAsia="Calibri" w:hAnsi="Cambria" w:cs="Calibri"/>
          <w:spacing w:val="-3"/>
        </w:rPr>
        <w:t>c</w:t>
      </w:r>
      <w:r w:rsidRPr="009A0DA6">
        <w:rPr>
          <w:rFonts w:ascii="Cambria" w:eastAsia="Calibri" w:hAnsi="Cambria" w:cs="Calibri"/>
          <w:spacing w:val="1"/>
        </w:rPr>
        <w:t>r</w:t>
      </w:r>
      <w:r w:rsidRPr="009A0DA6">
        <w:rPr>
          <w:rFonts w:ascii="Cambria" w:eastAsia="Calibri" w:hAnsi="Cambria" w:cs="Calibri"/>
        </w:rPr>
        <w:t>i</w:t>
      </w:r>
      <w:r w:rsidRPr="009A0DA6">
        <w:rPr>
          <w:rFonts w:ascii="Cambria" w:eastAsia="Calibri" w:hAnsi="Cambria" w:cs="Calibri"/>
          <w:spacing w:val="-2"/>
        </w:rPr>
        <w:t>m</w:t>
      </w:r>
      <w:r w:rsidRPr="009A0DA6">
        <w:rPr>
          <w:rFonts w:ascii="Cambria" w:eastAsia="Calibri" w:hAnsi="Cambria" w:cs="Calibri"/>
        </w:rPr>
        <w:t>e.</w:t>
      </w:r>
      <w:r w:rsidRPr="009A0DA6">
        <w:rPr>
          <w:rFonts w:ascii="Cambria" w:eastAsia="Calibri" w:hAnsi="Cambria" w:cs="Calibri"/>
        </w:rPr>
        <w:br/>
      </w:r>
      <w:r w:rsidRPr="009A0DA6">
        <w:rPr>
          <w:rFonts w:ascii="Cambria" w:eastAsia="Calibri" w:hAnsi="Cambria" w:cs="Calibri"/>
          <w:spacing w:val="1"/>
        </w:rPr>
        <w:t>M</w:t>
      </w:r>
      <w:r w:rsidRPr="009A0DA6">
        <w:rPr>
          <w:rFonts w:ascii="Cambria" w:eastAsia="Calibri" w:hAnsi="Cambria" w:cs="Calibri"/>
          <w:spacing w:val="-1"/>
        </w:rPr>
        <w:t>a</w:t>
      </w:r>
      <w:r w:rsidRPr="009A0DA6">
        <w:rPr>
          <w:rFonts w:ascii="Cambria" w:eastAsia="Calibri" w:hAnsi="Cambria" w:cs="Calibri"/>
        </w:rPr>
        <w:t>xim</w:t>
      </w:r>
      <w:r w:rsidRPr="009A0DA6">
        <w:rPr>
          <w:rFonts w:ascii="Cambria" w:eastAsia="Calibri" w:hAnsi="Cambria" w:cs="Calibri"/>
          <w:spacing w:val="-2"/>
        </w:rPr>
        <w:t>u</w:t>
      </w:r>
      <w:r w:rsidRPr="009A0DA6">
        <w:rPr>
          <w:rFonts w:ascii="Cambria" w:eastAsia="Calibri" w:hAnsi="Cambria" w:cs="Calibri"/>
        </w:rPr>
        <w:t>m</w:t>
      </w:r>
      <w:r w:rsidRPr="009A0DA6">
        <w:rPr>
          <w:rFonts w:ascii="Cambria" w:eastAsia="Calibri" w:hAnsi="Cambria" w:cs="Calibri"/>
          <w:spacing w:val="1"/>
        </w:rPr>
        <w:t xml:space="preserve"> </w:t>
      </w:r>
      <w:r w:rsidRPr="009A0DA6">
        <w:rPr>
          <w:rFonts w:ascii="Cambria" w:eastAsia="Calibri" w:hAnsi="Cambria" w:cs="Calibri"/>
          <w:spacing w:val="-1"/>
        </w:rPr>
        <w:t>p</w:t>
      </w:r>
      <w:r w:rsidRPr="009A0DA6">
        <w:rPr>
          <w:rFonts w:ascii="Cambria" w:eastAsia="Calibri" w:hAnsi="Cambria" w:cs="Calibri"/>
        </w:rPr>
        <w:t>en</w:t>
      </w:r>
      <w:r w:rsidRPr="009A0DA6">
        <w:rPr>
          <w:rFonts w:ascii="Cambria" w:eastAsia="Calibri" w:hAnsi="Cambria" w:cs="Calibri"/>
          <w:spacing w:val="-1"/>
        </w:rPr>
        <w:t>a</w:t>
      </w:r>
      <w:r w:rsidRPr="009A0DA6">
        <w:rPr>
          <w:rFonts w:ascii="Cambria" w:eastAsia="Calibri" w:hAnsi="Cambria" w:cs="Calibri"/>
        </w:rPr>
        <w:t>lt</w:t>
      </w:r>
      <w:r w:rsidRPr="009A0DA6">
        <w:rPr>
          <w:rFonts w:ascii="Cambria" w:eastAsia="Calibri" w:hAnsi="Cambria" w:cs="Calibri"/>
          <w:spacing w:val="1"/>
        </w:rPr>
        <w:t>y</w:t>
      </w:r>
      <w:r w:rsidRPr="009A0DA6">
        <w:rPr>
          <w:rFonts w:ascii="Cambria" w:eastAsia="Calibri" w:hAnsi="Cambria" w:cs="Calibri"/>
          <w:spacing w:val="-1"/>
        </w:rPr>
        <w:t>—</w:t>
      </w:r>
      <w:r w:rsidRPr="009A0DA6">
        <w:rPr>
          <w:rFonts w:ascii="Cambria" w:eastAsia="Calibri" w:hAnsi="Cambria" w:cs="Calibri"/>
        </w:rPr>
        <w:t>5</w:t>
      </w:r>
      <w:r w:rsidRPr="009A0DA6">
        <w:rPr>
          <w:rFonts w:ascii="Cambria" w:eastAsia="Calibri" w:hAnsi="Cambria" w:cs="Calibri"/>
          <w:spacing w:val="-1"/>
        </w:rPr>
        <w:t xml:space="preserve"> </w:t>
      </w:r>
      <w:r w:rsidRPr="009A0DA6">
        <w:rPr>
          <w:rFonts w:ascii="Cambria" w:eastAsia="Calibri" w:hAnsi="Cambria" w:cs="Calibri"/>
        </w:rPr>
        <w:t>yea</w:t>
      </w:r>
      <w:r w:rsidRPr="009A0DA6">
        <w:rPr>
          <w:rFonts w:ascii="Cambria" w:eastAsia="Calibri" w:hAnsi="Cambria" w:cs="Calibri"/>
          <w:spacing w:val="-2"/>
        </w:rPr>
        <w:t>r</w:t>
      </w:r>
      <w:r w:rsidRPr="009A0DA6">
        <w:rPr>
          <w:rFonts w:ascii="Cambria" w:eastAsia="Calibri" w:hAnsi="Cambria" w:cs="Calibri"/>
        </w:rPr>
        <w:t>s</w:t>
      </w:r>
      <w:r w:rsidRPr="009A0DA6">
        <w:rPr>
          <w:rFonts w:ascii="Cambria" w:eastAsia="Calibri" w:hAnsi="Cambria" w:cs="Calibri"/>
          <w:spacing w:val="1"/>
        </w:rPr>
        <w:t xml:space="preserve"> </w:t>
      </w:r>
      <w:r w:rsidRPr="009A0DA6">
        <w:rPr>
          <w:rFonts w:ascii="Cambria" w:eastAsia="Calibri" w:hAnsi="Cambria" w:cs="Calibri"/>
        </w:rPr>
        <w:t>impr</w:t>
      </w:r>
      <w:r w:rsidRPr="009A0DA6">
        <w:rPr>
          <w:rFonts w:ascii="Cambria" w:eastAsia="Calibri" w:hAnsi="Cambria" w:cs="Calibri"/>
          <w:spacing w:val="-2"/>
        </w:rPr>
        <w:t>i</w:t>
      </w:r>
      <w:r w:rsidRPr="009A0DA6">
        <w:rPr>
          <w:rFonts w:ascii="Cambria" w:eastAsia="Calibri" w:hAnsi="Cambria" w:cs="Calibri"/>
        </w:rPr>
        <w:t>sonme</w:t>
      </w:r>
      <w:r w:rsidRPr="009A0DA6">
        <w:rPr>
          <w:rFonts w:ascii="Cambria" w:eastAsia="Calibri" w:hAnsi="Cambria" w:cs="Calibri"/>
          <w:spacing w:val="-1"/>
        </w:rPr>
        <w:t>n</w:t>
      </w:r>
      <w:r w:rsidRPr="009A0DA6">
        <w:rPr>
          <w:rFonts w:ascii="Cambria" w:eastAsia="Calibri" w:hAnsi="Cambria" w:cs="Calibri"/>
        </w:rPr>
        <w:t>t.</w:t>
      </w:r>
      <w:r w:rsidRPr="009A0DA6">
        <w:rPr>
          <w:rFonts w:ascii="Cambria" w:eastAsia="Calibri" w:hAnsi="Cambria" w:cs="Calibri"/>
        </w:rPr>
        <w:br/>
        <w:t>(C</w:t>
      </w:r>
      <w:r w:rsidRPr="009A0DA6">
        <w:rPr>
          <w:rFonts w:ascii="Cambria" w:eastAsia="Calibri" w:hAnsi="Cambria" w:cs="Calibri"/>
          <w:spacing w:val="1"/>
        </w:rPr>
        <w:t>r</w:t>
      </w:r>
      <w:r w:rsidRPr="009A0DA6">
        <w:rPr>
          <w:rFonts w:ascii="Cambria" w:eastAsia="Calibri" w:hAnsi="Cambria" w:cs="Calibri"/>
        </w:rPr>
        <w:t>imi</w:t>
      </w:r>
      <w:r w:rsidRPr="009A0DA6">
        <w:rPr>
          <w:rFonts w:ascii="Cambria" w:eastAsia="Calibri" w:hAnsi="Cambria" w:cs="Calibri"/>
          <w:spacing w:val="-1"/>
        </w:rPr>
        <w:t>na</w:t>
      </w:r>
      <w:r w:rsidRPr="009A0DA6">
        <w:rPr>
          <w:rFonts w:ascii="Cambria" w:eastAsia="Calibri" w:hAnsi="Cambria" w:cs="Calibri"/>
        </w:rPr>
        <w:t>l Co</w:t>
      </w:r>
      <w:r w:rsidRPr="009A0DA6">
        <w:rPr>
          <w:rFonts w:ascii="Cambria" w:eastAsia="Calibri" w:hAnsi="Cambria" w:cs="Calibri"/>
          <w:spacing w:val="-1"/>
        </w:rPr>
        <w:t>d</w:t>
      </w:r>
      <w:r w:rsidRPr="009A0DA6">
        <w:rPr>
          <w:rFonts w:ascii="Cambria" w:eastAsia="Calibri" w:hAnsi="Cambria" w:cs="Calibri"/>
        </w:rPr>
        <w:t>e</w:t>
      </w:r>
      <w:r w:rsidRPr="009A0DA6">
        <w:rPr>
          <w:rFonts w:ascii="Cambria" w:eastAsia="Calibri" w:hAnsi="Cambria" w:cs="Calibri"/>
          <w:spacing w:val="-2"/>
        </w:rPr>
        <w:t xml:space="preserve"> </w:t>
      </w:r>
      <w:r w:rsidRPr="009A0DA6">
        <w:rPr>
          <w:rFonts w:ascii="Cambria" w:eastAsia="Calibri" w:hAnsi="Cambria" w:cs="Calibri"/>
          <w:spacing w:val="-1"/>
        </w:rPr>
        <w:t>1</w:t>
      </w:r>
      <w:r w:rsidRPr="009A0DA6">
        <w:rPr>
          <w:rFonts w:ascii="Cambria" w:eastAsia="Calibri" w:hAnsi="Cambria" w:cs="Calibri"/>
          <w:spacing w:val="1"/>
        </w:rPr>
        <w:t>8</w:t>
      </w:r>
      <w:r w:rsidRPr="009A0DA6">
        <w:rPr>
          <w:rFonts w:ascii="Cambria" w:eastAsia="Calibri" w:hAnsi="Cambria" w:cs="Calibri"/>
          <w:spacing w:val="-2"/>
        </w:rPr>
        <w:t>9</w:t>
      </w:r>
      <w:r w:rsidRPr="009A0DA6">
        <w:rPr>
          <w:rFonts w:ascii="Cambria" w:eastAsia="Calibri" w:hAnsi="Cambria" w:cs="Calibri"/>
        </w:rPr>
        <w:t>9</w:t>
      </w:r>
      <w:r w:rsidRPr="009A0DA6">
        <w:rPr>
          <w:rFonts w:ascii="Cambria" w:eastAsia="Calibri" w:hAnsi="Cambria" w:cs="Calibri"/>
          <w:spacing w:val="3"/>
        </w:rPr>
        <w:t xml:space="preserve"> </w:t>
      </w:r>
      <w:r w:rsidRPr="009A0DA6">
        <w:rPr>
          <w:rFonts w:ascii="Cambria" w:eastAsia="Calibri" w:hAnsi="Cambria" w:cs="Calibri"/>
        </w:rPr>
        <w:t>–</w:t>
      </w:r>
      <w:r w:rsidRPr="009A0DA6">
        <w:rPr>
          <w:rFonts w:ascii="Cambria" w:eastAsia="Calibri" w:hAnsi="Cambria" w:cs="Calibri"/>
          <w:spacing w:val="-1"/>
        </w:rPr>
        <w:t xml:space="preserve"> </w:t>
      </w:r>
      <w:r w:rsidRPr="009A0DA6">
        <w:rPr>
          <w:rFonts w:ascii="Cambria" w:eastAsia="Calibri" w:hAnsi="Cambria" w:cs="Calibri"/>
          <w:spacing w:val="1"/>
        </w:rPr>
        <w:t>S</w:t>
      </w:r>
      <w:r w:rsidRPr="009A0DA6">
        <w:rPr>
          <w:rFonts w:ascii="Cambria" w:eastAsia="Calibri" w:hAnsi="Cambria" w:cs="Calibri"/>
        </w:rPr>
        <w:t>e</w:t>
      </w:r>
      <w:r w:rsidRPr="009A0DA6">
        <w:rPr>
          <w:rFonts w:ascii="Cambria" w:eastAsia="Calibri" w:hAnsi="Cambria" w:cs="Calibri"/>
          <w:spacing w:val="-3"/>
        </w:rPr>
        <w:t>c</w:t>
      </w:r>
      <w:r w:rsidRPr="009A0DA6">
        <w:rPr>
          <w:rFonts w:ascii="Cambria" w:eastAsia="Calibri" w:hAnsi="Cambria" w:cs="Calibri"/>
        </w:rPr>
        <w:t>t</w:t>
      </w:r>
      <w:r w:rsidRPr="009A0DA6">
        <w:rPr>
          <w:rFonts w:ascii="Cambria" w:eastAsia="Calibri" w:hAnsi="Cambria" w:cs="Calibri"/>
          <w:spacing w:val="-1"/>
        </w:rPr>
        <w:t xml:space="preserve"> </w:t>
      </w:r>
      <w:r w:rsidRPr="009A0DA6">
        <w:rPr>
          <w:rFonts w:ascii="Cambria" w:eastAsia="Calibri" w:hAnsi="Cambria" w:cs="Calibri"/>
          <w:spacing w:val="1"/>
        </w:rPr>
        <w:t>3</w:t>
      </w:r>
      <w:r w:rsidRPr="009A0DA6">
        <w:rPr>
          <w:rFonts w:ascii="Cambria" w:eastAsia="Calibri" w:hAnsi="Cambria" w:cs="Calibri"/>
          <w:spacing w:val="-2"/>
        </w:rPr>
        <w:t>5</w:t>
      </w:r>
      <w:r w:rsidRPr="009A0DA6">
        <w:rPr>
          <w:rFonts w:ascii="Cambria" w:eastAsia="Calibri" w:hAnsi="Cambria" w:cs="Calibri"/>
        </w:rPr>
        <w:t>9</w:t>
      </w:r>
      <w:r w:rsidRPr="009A0DA6">
        <w:rPr>
          <w:rFonts w:ascii="Cambria" w:eastAsia="Calibri" w:hAnsi="Cambria" w:cs="Calibri"/>
          <w:spacing w:val="1"/>
        </w:rPr>
        <w:t xml:space="preserve"> T</w:t>
      </w:r>
      <w:r w:rsidRPr="009A0DA6">
        <w:rPr>
          <w:rFonts w:ascii="Cambria" w:eastAsia="Calibri" w:hAnsi="Cambria" w:cs="Calibri"/>
          <w:spacing w:val="-3"/>
        </w:rPr>
        <w:t>h</w:t>
      </w:r>
      <w:r w:rsidRPr="009A0DA6">
        <w:rPr>
          <w:rFonts w:ascii="Cambria" w:eastAsia="Calibri" w:hAnsi="Cambria" w:cs="Calibri"/>
          <w:spacing w:val="1"/>
        </w:rPr>
        <w:t>r</w:t>
      </w:r>
      <w:r w:rsidRPr="009A0DA6">
        <w:rPr>
          <w:rFonts w:ascii="Cambria" w:eastAsia="Calibri" w:hAnsi="Cambria" w:cs="Calibri"/>
        </w:rPr>
        <w:t>eats</w:t>
      </w:r>
      <w:r w:rsidRPr="009A0DA6">
        <w:rPr>
          <w:rFonts w:ascii="Cambria" w:eastAsia="Calibri" w:hAnsi="Cambria" w:cs="Calibri"/>
          <w:spacing w:val="-2"/>
        </w:rPr>
        <w:t xml:space="preserve"> </w:t>
      </w:r>
      <w:r w:rsidRPr="009A0DA6">
        <w:rPr>
          <w:rFonts w:ascii="Cambria" w:eastAsia="Calibri" w:hAnsi="Cambria" w:cs="Calibri"/>
        </w:rPr>
        <w:t>[emp</w:t>
      </w:r>
      <w:r w:rsidRPr="009A0DA6">
        <w:rPr>
          <w:rFonts w:ascii="Cambria" w:eastAsia="Calibri" w:hAnsi="Cambria" w:cs="Calibri"/>
          <w:spacing w:val="-1"/>
        </w:rPr>
        <w:t>ha</w:t>
      </w:r>
      <w:r w:rsidRPr="009A0DA6">
        <w:rPr>
          <w:rFonts w:ascii="Cambria" w:eastAsia="Calibri" w:hAnsi="Cambria" w:cs="Calibri"/>
        </w:rPr>
        <w:t>sis</w:t>
      </w:r>
      <w:r w:rsidRPr="009A0DA6">
        <w:rPr>
          <w:rFonts w:ascii="Cambria" w:eastAsia="Calibri" w:hAnsi="Cambria" w:cs="Calibri"/>
          <w:spacing w:val="-2"/>
        </w:rPr>
        <w:t xml:space="preserve"> </w:t>
      </w:r>
      <w:r w:rsidRPr="009A0DA6">
        <w:rPr>
          <w:rFonts w:ascii="Cambria" w:eastAsia="Calibri" w:hAnsi="Cambria" w:cs="Calibri"/>
        </w:rPr>
        <w:t>a</w:t>
      </w:r>
      <w:r w:rsidRPr="009A0DA6">
        <w:rPr>
          <w:rFonts w:ascii="Cambria" w:eastAsia="Calibri" w:hAnsi="Cambria" w:cs="Calibri"/>
          <w:spacing w:val="-1"/>
        </w:rPr>
        <w:t>dd</w:t>
      </w:r>
      <w:r w:rsidRPr="009A0DA6">
        <w:rPr>
          <w:rFonts w:ascii="Cambria" w:eastAsia="Calibri" w:hAnsi="Cambria" w:cs="Calibri"/>
        </w:rPr>
        <w:t>ed</w:t>
      </w:r>
      <w:r w:rsidRPr="009A0DA6">
        <w:rPr>
          <w:rFonts w:ascii="Cambria" w:eastAsia="Calibri" w:hAnsi="Cambria" w:cs="Calibri"/>
          <w:spacing w:val="-1"/>
        </w:rPr>
        <w:t>]</w:t>
      </w:r>
      <w:r w:rsidRPr="009A0DA6">
        <w:rPr>
          <w:rFonts w:ascii="Cambria" w:eastAsia="Calibri" w:hAnsi="Cambria" w:cs="Calibri"/>
        </w:rPr>
        <w:t>)</w:t>
      </w:r>
    </w:p>
    <w:p w14:paraId="0BB8A9D9" w14:textId="5DE44772" w:rsidR="00CE5065" w:rsidRPr="009A0DA6" w:rsidRDefault="00194B18" w:rsidP="004A186C">
      <w:pPr>
        <w:pStyle w:val="ListParagraph"/>
        <w:numPr>
          <w:ilvl w:val="1"/>
          <w:numId w:val="154"/>
        </w:numPr>
        <w:spacing w:after="120" w:line="240" w:lineRule="auto"/>
        <w:ind w:left="993" w:right="-20" w:hanging="426"/>
        <w:rPr>
          <w:rFonts w:ascii="Cambria" w:eastAsia="Calibri" w:hAnsi="Cambria" w:cs="Calibri"/>
        </w:rPr>
      </w:pPr>
      <w:r w:rsidRPr="009A0DA6">
        <w:rPr>
          <w:rFonts w:ascii="Cambria" w:eastAsia="Calibri" w:hAnsi="Cambria" w:cs="Calibri"/>
        </w:rPr>
        <w:t>F</w:t>
      </w:r>
      <w:r w:rsidRPr="009A0DA6">
        <w:rPr>
          <w:rFonts w:ascii="Cambria" w:eastAsia="Calibri" w:hAnsi="Cambria" w:cs="Calibri"/>
          <w:spacing w:val="-1"/>
        </w:rPr>
        <w:t>a</w:t>
      </w:r>
      <w:r w:rsidRPr="009A0DA6">
        <w:rPr>
          <w:rFonts w:ascii="Cambria" w:eastAsia="Calibri" w:hAnsi="Cambria" w:cs="Calibri"/>
        </w:rPr>
        <w:t>r</w:t>
      </w:r>
      <w:r w:rsidRPr="009A0DA6">
        <w:rPr>
          <w:rFonts w:ascii="Cambria" w:eastAsia="Calibri" w:hAnsi="Cambria" w:cs="Calibri"/>
          <w:spacing w:val="1"/>
        </w:rPr>
        <w:t xml:space="preserve"> </w:t>
      </w:r>
      <w:r w:rsidRPr="009A0DA6">
        <w:rPr>
          <w:rFonts w:ascii="Cambria" w:eastAsia="Calibri" w:hAnsi="Cambria" w:cs="Calibri"/>
        </w:rPr>
        <w:t>f</w:t>
      </w:r>
      <w:r w:rsidRPr="009A0DA6">
        <w:rPr>
          <w:rFonts w:ascii="Cambria" w:eastAsia="Calibri" w:hAnsi="Cambria" w:cs="Calibri"/>
          <w:spacing w:val="1"/>
        </w:rPr>
        <w:t>r</w:t>
      </w:r>
      <w:r w:rsidRPr="009A0DA6">
        <w:rPr>
          <w:rFonts w:ascii="Cambria" w:eastAsia="Calibri" w:hAnsi="Cambria" w:cs="Calibri"/>
          <w:spacing w:val="-3"/>
        </w:rPr>
        <w:t>o</w:t>
      </w:r>
      <w:r w:rsidRPr="009A0DA6">
        <w:rPr>
          <w:rFonts w:ascii="Cambria" w:eastAsia="Calibri" w:hAnsi="Cambria" w:cs="Calibri"/>
        </w:rPr>
        <w:t>m</w:t>
      </w:r>
      <w:r w:rsidRPr="009A0DA6">
        <w:rPr>
          <w:rFonts w:ascii="Cambria" w:eastAsia="Calibri" w:hAnsi="Cambria" w:cs="Calibri"/>
          <w:spacing w:val="1"/>
        </w:rPr>
        <w:t xml:space="preserve"> </w:t>
      </w:r>
      <w:r w:rsidRPr="009A0DA6">
        <w:rPr>
          <w:rFonts w:ascii="Cambria" w:eastAsia="Calibri" w:hAnsi="Cambria" w:cs="Calibri"/>
          <w:spacing w:val="-1"/>
        </w:rPr>
        <w:t>p</w:t>
      </w:r>
      <w:r w:rsidRPr="009A0DA6">
        <w:rPr>
          <w:rFonts w:ascii="Cambria" w:eastAsia="Calibri" w:hAnsi="Cambria" w:cs="Calibri"/>
          <w:spacing w:val="1"/>
        </w:rPr>
        <w:t>r</w:t>
      </w:r>
      <w:r w:rsidRPr="009A0DA6">
        <w:rPr>
          <w:rFonts w:ascii="Cambria" w:eastAsia="Calibri" w:hAnsi="Cambria" w:cs="Calibri"/>
          <w:spacing w:val="-3"/>
        </w:rPr>
        <w:t>o</w:t>
      </w:r>
      <w:r w:rsidRPr="009A0DA6">
        <w:rPr>
          <w:rFonts w:ascii="Cambria" w:eastAsia="Calibri" w:hAnsi="Cambria" w:cs="Calibri"/>
        </w:rPr>
        <w:t>tecti</w:t>
      </w:r>
      <w:r w:rsidRPr="009A0DA6">
        <w:rPr>
          <w:rFonts w:ascii="Cambria" w:eastAsia="Calibri" w:hAnsi="Cambria" w:cs="Calibri"/>
          <w:spacing w:val="-1"/>
        </w:rPr>
        <w:t>n</w:t>
      </w:r>
      <w:r w:rsidRPr="009A0DA6">
        <w:rPr>
          <w:rFonts w:ascii="Cambria" w:eastAsia="Calibri" w:hAnsi="Cambria" w:cs="Calibri"/>
        </w:rPr>
        <w:t>g</w:t>
      </w:r>
      <w:r w:rsidRPr="009A0DA6">
        <w:rPr>
          <w:rFonts w:ascii="Cambria" w:eastAsia="Calibri" w:hAnsi="Cambria" w:cs="Calibri"/>
          <w:spacing w:val="-1"/>
        </w:rPr>
        <w:t xml:space="preserve"> </w:t>
      </w:r>
      <w:r w:rsidRPr="009A0DA6">
        <w:rPr>
          <w:rFonts w:ascii="Cambria" w:eastAsia="Calibri" w:hAnsi="Cambria" w:cs="Calibri"/>
        </w:rPr>
        <w:t>p</w:t>
      </w:r>
      <w:r w:rsidRPr="009A0DA6">
        <w:rPr>
          <w:rFonts w:ascii="Cambria" w:eastAsia="Calibri" w:hAnsi="Cambria" w:cs="Calibri"/>
          <w:spacing w:val="-1"/>
        </w:rPr>
        <w:t>ub</w:t>
      </w:r>
      <w:r w:rsidRPr="009A0DA6">
        <w:rPr>
          <w:rFonts w:ascii="Cambria" w:eastAsia="Calibri" w:hAnsi="Cambria" w:cs="Calibri"/>
        </w:rPr>
        <w:t>lic</w:t>
      </w:r>
      <w:r w:rsidRPr="009A0DA6">
        <w:rPr>
          <w:rFonts w:ascii="Cambria" w:eastAsia="Calibri" w:hAnsi="Cambria" w:cs="Calibri"/>
          <w:spacing w:val="-1"/>
        </w:rPr>
        <w:t xml:space="preserve"> </w:t>
      </w:r>
      <w:r w:rsidRPr="009A0DA6">
        <w:rPr>
          <w:rFonts w:ascii="Cambria" w:eastAsia="Calibri" w:hAnsi="Cambria" w:cs="Calibri"/>
        </w:rPr>
        <w:t xml:space="preserve">safety, </w:t>
      </w:r>
      <w:r w:rsidRPr="009A0DA6">
        <w:rPr>
          <w:rFonts w:ascii="Cambria" w:eastAsia="Calibri" w:hAnsi="Cambria" w:cs="Calibri"/>
          <w:spacing w:val="1"/>
        </w:rPr>
        <w:t>t</w:t>
      </w:r>
      <w:r w:rsidRPr="009A0DA6">
        <w:rPr>
          <w:rFonts w:ascii="Cambria" w:eastAsia="Calibri" w:hAnsi="Cambria" w:cs="Calibri"/>
          <w:spacing w:val="-3"/>
        </w:rPr>
        <w:t>h</w:t>
      </w:r>
      <w:r w:rsidRPr="009A0DA6">
        <w:rPr>
          <w:rFonts w:ascii="Cambria" w:eastAsia="Calibri" w:hAnsi="Cambria" w:cs="Calibri"/>
        </w:rPr>
        <w:t>e</w:t>
      </w:r>
      <w:r w:rsidRPr="009A0DA6">
        <w:rPr>
          <w:rFonts w:ascii="Cambria" w:eastAsia="Calibri" w:hAnsi="Cambria" w:cs="Calibri"/>
          <w:spacing w:val="1"/>
        </w:rPr>
        <w:t>r</w:t>
      </w:r>
      <w:r w:rsidRPr="009A0DA6">
        <w:rPr>
          <w:rFonts w:ascii="Cambria" w:eastAsia="Calibri" w:hAnsi="Cambria" w:cs="Calibri"/>
        </w:rPr>
        <w:t>e</w:t>
      </w:r>
      <w:r w:rsidRPr="009A0DA6">
        <w:rPr>
          <w:rFonts w:ascii="Cambria" w:eastAsia="Calibri" w:hAnsi="Cambria" w:cs="Calibri"/>
          <w:spacing w:val="-2"/>
        </w:rPr>
        <w:t xml:space="preserve"> </w:t>
      </w:r>
      <w:r w:rsidRPr="009A0DA6">
        <w:rPr>
          <w:rFonts w:ascii="Cambria" w:eastAsia="Calibri" w:hAnsi="Cambria" w:cs="Calibri"/>
        </w:rPr>
        <w:t>is</w:t>
      </w:r>
      <w:r w:rsidRPr="009A0DA6">
        <w:rPr>
          <w:rFonts w:ascii="Cambria" w:eastAsia="Calibri" w:hAnsi="Cambria" w:cs="Calibri"/>
          <w:spacing w:val="1"/>
        </w:rPr>
        <w:t xml:space="preserve"> </w:t>
      </w:r>
      <w:r w:rsidRPr="009A0DA6">
        <w:rPr>
          <w:rFonts w:ascii="Cambria" w:eastAsia="Calibri" w:hAnsi="Cambria" w:cs="Calibri"/>
        </w:rPr>
        <w:t>evi</w:t>
      </w:r>
      <w:r w:rsidRPr="009A0DA6">
        <w:rPr>
          <w:rFonts w:ascii="Cambria" w:eastAsia="Calibri" w:hAnsi="Cambria" w:cs="Calibri"/>
          <w:spacing w:val="-3"/>
        </w:rPr>
        <w:t>d</w:t>
      </w:r>
      <w:r w:rsidRPr="009A0DA6">
        <w:rPr>
          <w:rFonts w:ascii="Cambria" w:eastAsia="Calibri" w:hAnsi="Cambria" w:cs="Calibri"/>
        </w:rPr>
        <w:t>en</w:t>
      </w:r>
      <w:r w:rsidRPr="009A0DA6">
        <w:rPr>
          <w:rFonts w:ascii="Cambria" w:eastAsia="Calibri" w:hAnsi="Cambria" w:cs="Calibri"/>
          <w:spacing w:val="-1"/>
        </w:rPr>
        <w:t>c</w:t>
      </w:r>
      <w:r w:rsidRPr="009A0DA6">
        <w:rPr>
          <w:rFonts w:ascii="Cambria" w:eastAsia="Calibri" w:hAnsi="Cambria" w:cs="Calibri"/>
        </w:rPr>
        <w:t xml:space="preserve">e </w:t>
      </w:r>
      <w:r w:rsidRPr="009A0DA6">
        <w:rPr>
          <w:rFonts w:ascii="Cambria" w:eastAsia="Calibri" w:hAnsi="Cambria" w:cs="Calibri"/>
          <w:spacing w:val="1"/>
        </w:rPr>
        <w:t>t</w:t>
      </w:r>
      <w:r w:rsidRPr="009A0DA6">
        <w:rPr>
          <w:rFonts w:ascii="Cambria" w:eastAsia="Calibri" w:hAnsi="Cambria" w:cs="Calibri"/>
        </w:rPr>
        <w:t>o</w:t>
      </w:r>
      <w:r w:rsidRPr="009A0DA6">
        <w:rPr>
          <w:rFonts w:ascii="Cambria" w:eastAsia="Calibri" w:hAnsi="Cambria" w:cs="Calibri"/>
          <w:spacing w:val="-1"/>
        </w:rPr>
        <w:t xml:space="preserve"> </w:t>
      </w:r>
      <w:r w:rsidRPr="009A0DA6">
        <w:rPr>
          <w:rFonts w:ascii="Cambria" w:eastAsia="Calibri" w:hAnsi="Cambria" w:cs="Calibri"/>
        </w:rPr>
        <w:t>su</w:t>
      </w:r>
      <w:r w:rsidRPr="009A0DA6">
        <w:rPr>
          <w:rFonts w:ascii="Cambria" w:eastAsia="Calibri" w:hAnsi="Cambria" w:cs="Calibri"/>
          <w:spacing w:val="-1"/>
        </w:rPr>
        <w:t>gg</w:t>
      </w:r>
      <w:r w:rsidRPr="009A0DA6">
        <w:rPr>
          <w:rFonts w:ascii="Cambria" w:eastAsia="Calibri" w:hAnsi="Cambria" w:cs="Calibri"/>
        </w:rPr>
        <w:t>est</w:t>
      </w:r>
      <w:r w:rsidRPr="009A0DA6">
        <w:rPr>
          <w:rFonts w:ascii="Cambria" w:eastAsia="Calibri" w:hAnsi="Cambria" w:cs="Calibri"/>
          <w:spacing w:val="1"/>
        </w:rPr>
        <w:t xml:space="preserve"> t</w:t>
      </w:r>
      <w:r w:rsidRPr="009A0DA6">
        <w:rPr>
          <w:rFonts w:ascii="Cambria" w:eastAsia="Calibri" w:hAnsi="Cambria" w:cs="Calibri"/>
          <w:spacing w:val="-1"/>
        </w:rPr>
        <w:t>ha</w:t>
      </w:r>
      <w:r w:rsidRPr="009A0DA6">
        <w:rPr>
          <w:rFonts w:ascii="Cambria" w:eastAsia="Calibri" w:hAnsi="Cambria" w:cs="Calibri"/>
        </w:rPr>
        <w:t>t</w:t>
      </w:r>
      <w:r w:rsidRPr="009A0DA6">
        <w:rPr>
          <w:rFonts w:ascii="Cambria" w:eastAsia="Calibri" w:hAnsi="Cambria" w:cs="Calibri"/>
          <w:spacing w:val="-2"/>
        </w:rPr>
        <w:t xml:space="preserve"> </w:t>
      </w:r>
      <w:r w:rsidRPr="009A0DA6">
        <w:rPr>
          <w:rFonts w:ascii="Cambria" w:eastAsia="Calibri" w:hAnsi="Cambria" w:cs="Calibri"/>
          <w:spacing w:val="1"/>
        </w:rPr>
        <w:t>m</w:t>
      </w:r>
      <w:r w:rsidRPr="009A0DA6">
        <w:rPr>
          <w:rFonts w:ascii="Cambria" w:eastAsia="Calibri" w:hAnsi="Cambria" w:cs="Calibri"/>
        </w:rPr>
        <w:t>e</w:t>
      </w:r>
      <w:r w:rsidRPr="009A0DA6">
        <w:rPr>
          <w:rFonts w:ascii="Cambria" w:eastAsia="Calibri" w:hAnsi="Cambria" w:cs="Calibri"/>
          <w:spacing w:val="-3"/>
        </w:rPr>
        <w:t>a</w:t>
      </w:r>
      <w:r w:rsidRPr="009A0DA6">
        <w:rPr>
          <w:rFonts w:ascii="Cambria" w:eastAsia="Calibri" w:hAnsi="Cambria" w:cs="Calibri"/>
        </w:rPr>
        <w:t>su</w:t>
      </w:r>
      <w:r w:rsidRPr="009A0DA6">
        <w:rPr>
          <w:rFonts w:ascii="Cambria" w:eastAsia="Calibri" w:hAnsi="Cambria" w:cs="Calibri"/>
          <w:spacing w:val="1"/>
        </w:rPr>
        <w:t>r</w:t>
      </w:r>
      <w:r w:rsidRPr="009A0DA6">
        <w:rPr>
          <w:rFonts w:ascii="Cambria" w:eastAsia="Calibri" w:hAnsi="Cambria" w:cs="Calibri"/>
          <w:spacing w:val="-2"/>
        </w:rPr>
        <w:t>e</w:t>
      </w:r>
      <w:r w:rsidRPr="009A0DA6">
        <w:rPr>
          <w:rFonts w:ascii="Cambria" w:eastAsia="Calibri" w:hAnsi="Cambria" w:cs="Calibri"/>
        </w:rPr>
        <w:t>s</w:t>
      </w:r>
      <w:r w:rsidRPr="009A0DA6">
        <w:rPr>
          <w:rFonts w:ascii="Cambria" w:eastAsia="Calibri" w:hAnsi="Cambria" w:cs="Calibri"/>
          <w:spacing w:val="1"/>
        </w:rPr>
        <w:t xml:space="preserve"> </w:t>
      </w:r>
      <w:r w:rsidRPr="009A0DA6">
        <w:rPr>
          <w:rFonts w:ascii="Cambria" w:eastAsia="Calibri" w:hAnsi="Cambria" w:cs="Calibri"/>
        </w:rPr>
        <w:t>th</w:t>
      </w:r>
      <w:r w:rsidRPr="009A0DA6">
        <w:rPr>
          <w:rFonts w:ascii="Cambria" w:eastAsia="Calibri" w:hAnsi="Cambria" w:cs="Calibri"/>
          <w:spacing w:val="-1"/>
        </w:rPr>
        <w:t>a</w:t>
      </w:r>
      <w:r w:rsidRPr="009A0DA6">
        <w:rPr>
          <w:rFonts w:ascii="Cambria" w:eastAsia="Calibri" w:hAnsi="Cambria" w:cs="Calibri"/>
        </w:rPr>
        <w:t>t</w:t>
      </w:r>
      <w:r w:rsidRPr="009A0DA6">
        <w:rPr>
          <w:rFonts w:ascii="Cambria" w:eastAsia="Calibri" w:hAnsi="Cambria" w:cs="Calibri"/>
          <w:spacing w:val="-2"/>
        </w:rPr>
        <w:t xml:space="preserve"> </w:t>
      </w:r>
      <w:r w:rsidRPr="009A0DA6">
        <w:rPr>
          <w:rFonts w:ascii="Cambria" w:eastAsia="Calibri" w:hAnsi="Cambria" w:cs="Calibri"/>
        </w:rPr>
        <w:t>isol</w:t>
      </w:r>
      <w:r w:rsidRPr="009A0DA6">
        <w:rPr>
          <w:rFonts w:ascii="Cambria" w:eastAsia="Calibri" w:hAnsi="Cambria" w:cs="Calibri"/>
          <w:spacing w:val="-1"/>
        </w:rPr>
        <w:t>a</w:t>
      </w:r>
      <w:r w:rsidRPr="009A0DA6">
        <w:rPr>
          <w:rFonts w:ascii="Cambria" w:eastAsia="Calibri" w:hAnsi="Cambria" w:cs="Calibri"/>
        </w:rPr>
        <w:t>te</w:t>
      </w:r>
      <w:r w:rsidRPr="009A0DA6">
        <w:rPr>
          <w:rFonts w:ascii="Cambria" w:eastAsia="Calibri" w:hAnsi="Cambria" w:cs="Calibri"/>
          <w:spacing w:val="1"/>
        </w:rPr>
        <w:t xml:space="preserve"> </w:t>
      </w:r>
      <w:r w:rsidRPr="009A0DA6">
        <w:rPr>
          <w:rFonts w:ascii="Cambria" w:eastAsia="Calibri" w:hAnsi="Cambria" w:cs="Calibri"/>
        </w:rPr>
        <w:t>kn</w:t>
      </w:r>
      <w:r w:rsidRPr="009A0DA6">
        <w:rPr>
          <w:rFonts w:ascii="Cambria" w:eastAsia="Calibri" w:hAnsi="Cambria" w:cs="Calibri"/>
          <w:spacing w:val="-3"/>
        </w:rPr>
        <w:t>o</w:t>
      </w:r>
      <w:r w:rsidRPr="009A0DA6">
        <w:rPr>
          <w:rFonts w:ascii="Cambria" w:eastAsia="Calibri" w:hAnsi="Cambria" w:cs="Calibri"/>
        </w:rPr>
        <w:t xml:space="preserve">wn </w:t>
      </w:r>
      <w:r w:rsidRPr="009A0DA6">
        <w:rPr>
          <w:rFonts w:ascii="Cambria" w:eastAsia="Calibri" w:hAnsi="Cambria" w:cs="Calibri"/>
          <w:spacing w:val="1"/>
        </w:rPr>
        <w:t>s</w:t>
      </w:r>
      <w:r w:rsidRPr="009A0DA6">
        <w:rPr>
          <w:rFonts w:ascii="Cambria" w:eastAsia="Calibri" w:hAnsi="Cambria" w:cs="Calibri"/>
          <w:spacing w:val="-2"/>
        </w:rPr>
        <w:t>e</w:t>
      </w:r>
      <w:r w:rsidRPr="009A0DA6">
        <w:rPr>
          <w:rFonts w:ascii="Cambria" w:eastAsia="Calibri" w:hAnsi="Cambria" w:cs="Calibri"/>
        </w:rPr>
        <w:t>x of</w:t>
      </w:r>
      <w:r w:rsidRPr="009A0DA6">
        <w:rPr>
          <w:rFonts w:ascii="Cambria" w:eastAsia="Calibri" w:hAnsi="Cambria" w:cs="Calibri"/>
          <w:spacing w:val="-1"/>
        </w:rPr>
        <w:t>f</w:t>
      </w:r>
      <w:r w:rsidRPr="009A0DA6">
        <w:rPr>
          <w:rFonts w:ascii="Cambria" w:eastAsia="Calibri" w:hAnsi="Cambria" w:cs="Calibri"/>
        </w:rPr>
        <w:t>en</w:t>
      </w:r>
      <w:r w:rsidRPr="009A0DA6">
        <w:rPr>
          <w:rFonts w:ascii="Cambria" w:eastAsia="Calibri" w:hAnsi="Cambria" w:cs="Calibri"/>
          <w:spacing w:val="-1"/>
        </w:rPr>
        <w:t>d</w:t>
      </w:r>
      <w:r w:rsidRPr="009A0DA6">
        <w:rPr>
          <w:rFonts w:ascii="Cambria" w:eastAsia="Calibri" w:hAnsi="Cambria" w:cs="Calibri"/>
        </w:rPr>
        <w:t>e</w:t>
      </w:r>
      <w:r w:rsidRPr="009A0DA6">
        <w:rPr>
          <w:rFonts w:ascii="Cambria" w:eastAsia="Calibri" w:hAnsi="Cambria" w:cs="Calibri"/>
          <w:spacing w:val="1"/>
        </w:rPr>
        <w:t>r</w:t>
      </w:r>
      <w:r w:rsidRPr="009A0DA6">
        <w:rPr>
          <w:rFonts w:ascii="Cambria" w:eastAsia="Calibri" w:hAnsi="Cambria" w:cs="Calibri"/>
        </w:rPr>
        <w:t>s</w:t>
      </w:r>
      <w:r w:rsidRPr="009A0DA6">
        <w:rPr>
          <w:rFonts w:ascii="Cambria" w:eastAsia="Calibri" w:hAnsi="Cambria" w:cs="Calibri"/>
          <w:spacing w:val="1"/>
        </w:rPr>
        <w:t xml:space="preserve"> </w:t>
      </w:r>
      <w:r w:rsidRPr="009A0DA6">
        <w:rPr>
          <w:rFonts w:ascii="Cambria" w:eastAsia="Calibri" w:hAnsi="Cambria" w:cs="Calibri"/>
          <w:spacing w:val="-1"/>
        </w:rPr>
        <w:t>an</w:t>
      </w:r>
      <w:r w:rsidRPr="009A0DA6">
        <w:rPr>
          <w:rFonts w:ascii="Cambria" w:eastAsia="Calibri" w:hAnsi="Cambria" w:cs="Calibri"/>
        </w:rPr>
        <w:t>d</w:t>
      </w:r>
      <w:r w:rsidRPr="009A0DA6">
        <w:rPr>
          <w:rFonts w:ascii="Cambria" w:eastAsia="Calibri" w:hAnsi="Cambria" w:cs="Calibri"/>
          <w:spacing w:val="-1"/>
        </w:rPr>
        <w:t xml:space="preserve"> </w:t>
      </w:r>
      <w:r w:rsidRPr="009A0DA6">
        <w:rPr>
          <w:rFonts w:ascii="Cambria" w:eastAsia="Calibri" w:hAnsi="Cambria" w:cs="Calibri"/>
        </w:rPr>
        <w:t>c</w:t>
      </w:r>
      <w:r w:rsidRPr="009A0DA6">
        <w:rPr>
          <w:rFonts w:ascii="Cambria" w:eastAsia="Calibri" w:hAnsi="Cambria" w:cs="Calibri"/>
          <w:spacing w:val="-1"/>
        </w:rPr>
        <w:t>u</w:t>
      </w:r>
      <w:r w:rsidRPr="009A0DA6">
        <w:rPr>
          <w:rFonts w:ascii="Cambria" w:eastAsia="Calibri" w:hAnsi="Cambria" w:cs="Calibri"/>
        </w:rPr>
        <w:t>t</w:t>
      </w:r>
      <w:r w:rsidRPr="009A0DA6">
        <w:rPr>
          <w:rFonts w:ascii="Cambria" w:eastAsia="Calibri" w:hAnsi="Cambria" w:cs="Calibri"/>
          <w:spacing w:val="-2"/>
        </w:rPr>
        <w:t xml:space="preserve">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em</w:t>
      </w:r>
      <w:r w:rsidRPr="009A0DA6">
        <w:rPr>
          <w:rFonts w:ascii="Cambria" w:eastAsia="Calibri" w:hAnsi="Cambria" w:cs="Calibri"/>
          <w:spacing w:val="-1"/>
        </w:rPr>
        <w:t xml:space="preserve"> </w:t>
      </w:r>
      <w:r w:rsidRPr="009A0DA6">
        <w:rPr>
          <w:rFonts w:ascii="Cambria" w:eastAsia="Calibri" w:hAnsi="Cambria" w:cs="Calibri"/>
        </w:rPr>
        <w:t>off</w:t>
      </w:r>
      <w:r w:rsidRPr="009A0DA6">
        <w:rPr>
          <w:rFonts w:ascii="Cambria" w:eastAsia="Calibri" w:hAnsi="Cambria" w:cs="Calibri"/>
          <w:spacing w:val="-2"/>
        </w:rPr>
        <w:t xml:space="preserve"> </w:t>
      </w:r>
      <w:r w:rsidRPr="009A0DA6">
        <w:rPr>
          <w:rFonts w:ascii="Cambria" w:eastAsia="Calibri" w:hAnsi="Cambria" w:cs="Calibri"/>
        </w:rPr>
        <w:t>f</w:t>
      </w:r>
      <w:r w:rsidRPr="009A0DA6">
        <w:rPr>
          <w:rFonts w:ascii="Cambria" w:eastAsia="Calibri" w:hAnsi="Cambria" w:cs="Calibri"/>
          <w:spacing w:val="1"/>
        </w:rPr>
        <w:t>r</w:t>
      </w:r>
      <w:r w:rsidRPr="009A0DA6">
        <w:rPr>
          <w:rFonts w:ascii="Cambria" w:eastAsia="Calibri" w:hAnsi="Cambria" w:cs="Calibri"/>
        </w:rPr>
        <w:t>om</w:t>
      </w:r>
      <w:r w:rsidRPr="009A0DA6">
        <w:rPr>
          <w:rFonts w:ascii="Cambria" w:eastAsia="Calibri" w:hAnsi="Cambria" w:cs="Calibri"/>
          <w:spacing w:val="-2"/>
        </w:rPr>
        <w:t xml:space="preserve"> </w:t>
      </w:r>
      <w:r w:rsidRPr="009A0DA6">
        <w:rPr>
          <w:rFonts w:ascii="Cambria" w:eastAsia="Calibri" w:hAnsi="Cambria" w:cs="Calibri"/>
        </w:rPr>
        <w:t xml:space="preserve">the </w:t>
      </w:r>
      <w:r w:rsidRPr="009A0DA6">
        <w:rPr>
          <w:rFonts w:ascii="Cambria" w:eastAsia="Calibri" w:hAnsi="Cambria" w:cs="Calibri"/>
          <w:spacing w:val="1"/>
        </w:rPr>
        <w:t>s</w:t>
      </w:r>
      <w:r w:rsidRPr="009A0DA6">
        <w:rPr>
          <w:rFonts w:ascii="Cambria" w:eastAsia="Calibri" w:hAnsi="Cambria" w:cs="Calibri"/>
          <w:spacing w:val="-1"/>
        </w:rPr>
        <w:t>upp</w:t>
      </w:r>
      <w:r w:rsidRPr="009A0DA6">
        <w:rPr>
          <w:rFonts w:ascii="Cambria" w:eastAsia="Calibri" w:hAnsi="Cambria" w:cs="Calibri"/>
        </w:rPr>
        <w:t>o</w:t>
      </w:r>
      <w:r w:rsidRPr="009A0DA6">
        <w:rPr>
          <w:rFonts w:ascii="Cambria" w:eastAsia="Calibri" w:hAnsi="Cambria" w:cs="Calibri"/>
          <w:spacing w:val="-2"/>
        </w:rPr>
        <w:t>r</w:t>
      </w:r>
      <w:r w:rsidRPr="009A0DA6">
        <w:rPr>
          <w:rFonts w:ascii="Cambria" w:eastAsia="Calibri" w:hAnsi="Cambria" w:cs="Calibri"/>
        </w:rPr>
        <w:t>t</w:t>
      </w:r>
      <w:r w:rsidRPr="009A0DA6">
        <w:rPr>
          <w:rFonts w:ascii="Cambria" w:eastAsia="Calibri" w:hAnsi="Cambria" w:cs="Calibri"/>
          <w:spacing w:val="1"/>
        </w:rPr>
        <w:t xml:space="preserve"> </w:t>
      </w:r>
      <w:r w:rsidRPr="009A0DA6">
        <w:rPr>
          <w:rFonts w:ascii="Cambria" w:eastAsia="Calibri" w:hAnsi="Cambria" w:cs="Calibri"/>
        </w:rPr>
        <w:t>of</w:t>
      </w:r>
      <w:r w:rsidRPr="009A0DA6">
        <w:rPr>
          <w:rFonts w:ascii="Cambria" w:eastAsia="Calibri" w:hAnsi="Cambria" w:cs="Calibri"/>
          <w:spacing w:val="-2"/>
        </w:rPr>
        <w:t xml:space="preserve"> </w:t>
      </w:r>
      <w:r w:rsidRPr="009A0DA6">
        <w:rPr>
          <w:rFonts w:ascii="Cambria" w:eastAsia="Calibri" w:hAnsi="Cambria" w:cs="Calibri"/>
        </w:rPr>
        <w:t>the c</w:t>
      </w:r>
      <w:r w:rsidRPr="009A0DA6">
        <w:rPr>
          <w:rFonts w:ascii="Cambria" w:eastAsia="Calibri" w:hAnsi="Cambria" w:cs="Calibri"/>
          <w:spacing w:val="-3"/>
        </w:rPr>
        <w:t>o</w:t>
      </w:r>
      <w:r w:rsidRPr="009A0DA6">
        <w:rPr>
          <w:rFonts w:ascii="Cambria" w:eastAsia="Calibri" w:hAnsi="Cambria" w:cs="Calibri"/>
        </w:rPr>
        <w:t>m</w:t>
      </w:r>
      <w:r w:rsidRPr="009A0DA6">
        <w:rPr>
          <w:rFonts w:ascii="Cambria" w:eastAsia="Calibri" w:hAnsi="Cambria" w:cs="Calibri"/>
          <w:spacing w:val="1"/>
        </w:rPr>
        <w:t>m</w:t>
      </w:r>
      <w:r w:rsidRPr="009A0DA6">
        <w:rPr>
          <w:rFonts w:ascii="Cambria" w:eastAsia="Calibri" w:hAnsi="Cambria" w:cs="Calibri"/>
          <w:spacing w:val="-1"/>
        </w:rPr>
        <w:t>un</w:t>
      </w:r>
      <w:r w:rsidRPr="009A0DA6">
        <w:rPr>
          <w:rFonts w:ascii="Cambria" w:eastAsia="Calibri" w:hAnsi="Cambria" w:cs="Calibri"/>
        </w:rPr>
        <w:t xml:space="preserve">ity </w:t>
      </w:r>
      <w:r w:rsidRPr="009A0DA6">
        <w:rPr>
          <w:rFonts w:ascii="Cambria" w:eastAsia="Calibri" w:hAnsi="Cambria" w:cs="Calibri"/>
          <w:u w:val="single" w:color="000000"/>
        </w:rPr>
        <w:t>sig</w:t>
      </w:r>
      <w:r w:rsidRPr="009A0DA6">
        <w:rPr>
          <w:rFonts w:ascii="Cambria" w:eastAsia="Calibri" w:hAnsi="Cambria" w:cs="Calibri"/>
          <w:spacing w:val="-1"/>
          <w:u w:val="single" w:color="000000"/>
        </w:rPr>
        <w:t>n</w:t>
      </w:r>
      <w:r w:rsidRPr="009A0DA6">
        <w:rPr>
          <w:rFonts w:ascii="Cambria" w:eastAsia="Calibri" w:hAnsi="Cambria" w:cs="Calibri"/>
          <w:u w:val="single" w:color="000000"/>
        </w:rPr>
        <w:t>if</w:t>
      </w:r>
      <w:r w:rsidRPr="009A0DA6">
        <w:rPr>
          <w:rFonts w:ascii="Cambria" w:eastAsia="Calibri" w:hAnsi="Cambria" w:cs="Calibri"/>
          <w:spacing w:val="-1"/>
          <w:u w:val="single" w:color="000000"/>
        </w:rPr>
        <w:t>i</w:t>
      </w:r>
      <w:r w:rsidRPr="009A0DA6">
        <w:rPr>
          <w:rFonts w:ascii="Cambria" w:eastAsia="Calibri" w:hAnsi="Cambria" w:cs="Calibri"/>
          <w:u w:val="single" w:color="000000"/>
        </w:rPr>
        <w:t>c</w:t>
      </w:r>
      <w:r w:rsidRPr="009A0DA6">
        <w:rPr>
          <w:rFonts w:ascii="Cambria" w:eastAsia="Calibri" w:hAnsi="Cambria" w:cs="Calibri"/>
          <w:spacing w:val="-1"/>
          <w:u w:val="single" w:color="000000"/>
        </w:rPr>
        <w:t>an</w:t>
      </w:r>
      <w:r w:rsidRPr="009A0DA6">
        <w:rPr>
          <w:rFonts w:ascii="Cambria" w:eastAsia="Calibri" w:hAnsi="Cambria" w:cs="Calibri"/>
          <w:u w:val="single" w:color="000000"/>
        </w:rPr>
        <w:t>tly i</w:t>
      </w:r>
      <w:r w:rsidRPr="009A0DA6">
        <w:rPr>
          <w:rFonts w:ascii="Cambria" w:eastAsia="Calibri" w:hAnsi="Cambria" w:cs="Calibri"/>
          <w:spacing w:val="-1"/>
          <w:u w:val="single" w:color="000000"/>
        </w:rPr>
        <w:t>n</w:t>
      </w:r>
      <w:r w:rsidRPr="009A0DA6">
        <w:rPr>
          <w:rFonts w:ascii="Cambria" w:eastAsia="Calibri" w:hAnsi="Cambria" w:cs="Calibri"/>
          <w:u w:val="single" w:color="000000"/>
        </w:rPr>
        <w:t>cr</w:t>
      </w:r>
      <w:r w:rsidRPr="009A0DA6">
        <w:rPr>
          <w:rFonts w:ascii="Cambria" w:eastAsia="Calibri" w:hAnsi="Cambria" w:cs="Calibri"/>
          <w:spacing w:val="-2"/>
          <w:u w:val="single" w:color="000000"/>
        </w:rPr>
        <w:t>e</w:t>
      </w:r>
      <w:r w:rsidRPr="009A0DA6">
        <w:rPr>
          <w:rFonts w:ascii="Cambria" w:eastAsia="Calibri" w:hAnsi="Cambria" w:cs="Calibri"/>
          <w:spacing w:val="-1"/>
          <w:u w:val="single" w:color="000000"/>
        </w:rPr>
        <w:t>a</w:t>
      </w:r>
      <w:r w:rsidRPr="009A0DA6">
        <w:rPr>
          <w:rFonts w:ascii="Cambria" w:eastAsia="Calibri" w:hAnsi="Cambria" w:cs="Calibri"/>
          <w:u w:val="single" w:color="000000"/>
        </w:rPr>
        <w:t>se</w:t>
      </w:r>
      <w:r w:rsidRPr="009A0DA6">
        <w:rPr>
          <w:rFonts w:ascii="Cambria" w:eastAsia="Calibri" w:hAnsi="Cambria" w:cs="Calibri"/>
          <w:spacing w:val="2"/>
        </w:rPr>
        <w:t xml:space="preserve"> </w:t>
      </w:r>
      <w:r w:rsidRPr="009A0DA6">
        <w:rPr>
          <w:rFonts w:ascii="Cambria" w:eastAsia="Calibri" w:hAnsi="Cambria" w:cs="Calibri"/>
        </w:rPr>
        <w:t>the</w:t>
      </w:r>
      <w:r w:rsidRPr="009A0DA6">
        <w:rPr>
          <w:rFonts w:ascii="Cambria" w:eastAsia="Calibri" w:hAnsi="Cambria" w:cs="Calibri"/>
          <w:spacing w:val="-3"/>
        </w:rPr>
        <w:t>i</w:t>
      </w:r>
      <w:r w:rsidRPr="009A0DA6">
        <w:rPr>
          <w:rFonts w:ascii="Cambria" w:eastAsia="Calibri" w:hAnsi="Cambria" w:cs="Calibri"/>
        </w:rPr>
        <w:t>r</w:t>
      </w:r>
      <w:r w:rsidRPr="009A0DA6">
        <w:rPr>
          <w:rFonts w:ascii="Cambria" w:eastAsia="Calibri" w:hAnsi="Cambria" w:cs="Calibri"/>
          <w:spacing w:val="1"/>
        </w:rPr>
        <w:t xml:space="preserve"> </w:t>
      </w:r>
      <w:r w:rsidRPr="009A0DA6">
        <w:rPr>
          <w:rFonts w:ascii="Cambria" w:eastAsia="Calibri" w:hAnsi="Cambria" w:cs="Calibri"/>
        </w:rPr>
        <w:t>c</w:t>
      </w:r>
      <w:r w:rsidRPr="009A0DA6">
        <w:rPr>
          <w:rFonts w:ascii="Cambria" w:eastAsia="Calibri" w:hAnsi="Cambria" w:cs="Calibri"/>
          <w:spacing w:val="-1"/>
        </w:rPr>
        <w:t>han</w:t>
      </w:r>
      <w:r w:rsidRPr="009A0DA6">
        <w:rPr>
          <w:rFonts w:ascii="Cambria" w:eastAsia="Calibri" w:hAnsi="Cambria" w:cs="Calibri"/>
        </w:rPr>
        <w:t xml:space="preserve">ce of </w:t>
      </w:r>
      <w:r w:rsidRPr="009A0DA6">
        <w:rPr>
          <w:rFonts w:ascii="Cambria" w:eastAsia="Calibri" w:hAnsi="Cambria" w:cs="Calibri"/>
          <w:spacing w:val="1"/>
        </w:rPr>
        <w:t>r</w:t>
      </w:r>
      <w:r w:rsidRPr="009A0DA6">
        <w:rPr>
          <w:rFonts w:ascii="Cambria" w:eastAsia="Calibri" w:hAnsi="Cambria" w:cs="Calibri"/>
        </w:rPr>
        <w:t>eof</w:t>
      </w:r>
      <w:r w:rsidRPr="009A0DA6">
        <w:rPr>
          <w:rFonts w:ascii="Cambria" w:eastAsia="Calibri" w:hAnsi="Cambria" w:cs="Calibri"/>
          <w:spacing w:val="-1"/>
        </w:rPr>
        <w:t>f</w:t>
      </w:r>
      <w:r w:rsidR="00BB1828" w:rsidRPr="009A0DA6">
        <w:rPr>
          <w:rFonts w:ascii="Cambria" w:eastAsia="Calibri" w:hAnsi="Cambria" w:cs="Calibri"/>
        </w:rPr>
        <w:t>ending.</w:t>
      </w:r>
      <w:r w:rsidRPr="009A0DA6">
        <w:rPr>
          <w:rStyle w:val="FootnoteReference"/>
          <w:rFonts w:ascii="Cambria" w:eastAsia="Calibri" w:hAnsi="Cambria" w:cs="Calibri"/>
        </w:rPr>
        <w:footnoteReference w:id="18"/>
      </w:r>
      <w:r w:rsidR="00BB1828" w:rsidRPr="009A0DA6">
        <w:rPr>
          <w:rFonts w:ascii="Cambria" w:eastAsia="Calibri" w:hAnsi="Cambria" w:cs="Calibri"/>
        </w:rPr>
        <w:t xml:space="preserve"> </w:t>
      </w:r>
      <w:r w:rsidRPr="009A0DA6">
        <w:rPr>
          <w:rFonts w:ascii="Cambria" w:eastAsia="Calibri" w:hAnsi="Cambria" w:cs="Calibri"/>
        </w:rPr>
        <w:t>This</w:t>
      </w:r>
      <w:r w:rsidRPr="009A0DA6">
        <w:rPr>
          <w:rFonts w:ascii="Cambria" w:eastAsia="Calibri" w:hAnsi="Cambria" w:cs="Calibri"/>
          <w:spacing w:val="-2"/>
        </w:rPr>
        <w:t xml:space="preserve"> </w:t>
      </w:r>
      <w:r w:rsidRPr="009A0DA6">
        <w:rPr>
          <w:rFonts w:ascii="Cambria" w:eastAsia="Calibri" w:hAnsi="Cambria" w:cs="Calibri"/>
        </w:rPr>
        <w:t>mea</w:t>
      </w:r>
      <w:r w:rsidRPr="009A0DA6">
        <w:rPr>
          <w:rFonts w:ascii="Cambria" w:eastAsia="Calibri" w:hAnsi="Cambria" w:cs="Calibri"/>
          <w:spacing w:val="-1"/>
        </w:rPr>
        <w:t>n</w:t>
      </w:r>
      <w:r w:rsidRPr="009A0DA6">
        <w:rPr>
          <w:rFonts w:ascii="Cambria" w:eastAsia="Calibri" w:hAnsi="Cambria" w:cs="Calibri"/>
        </w:rPr>
        <w:t>s</w:t>
      </w:r>
      <w:r w:rsidRPr="009A0DA6">
        <w:rPr>
          <w:rFonts w:ascii="Cambria" w:eastAsia="Calibri" w:hAnsi="Cambria" w:cs="Calibri"/>
          <w:spacing w:val="-1"/>
        </w:rPr>
        <w:t xml:space="preserve"> </w:t>
      </w:r>
      <w:r w:rsidRPr="009A0DA6">
        <w:rPr>
          <w:rFonts w:ascii="Cambria" w:eastAsia="Calibri" w:hAnsi="Cambria" w:cs="Calibri"/>
        </w:rPr>
        <w:t>t</w:t>
      </w:r>
      <w:r w:rsidRPr="009A0DA6">
        <w:rPr>
          <w:rFonts w:ascii="Cambria" w:eastAsia="Calibri" w:hAnsi="Cambria" w:cs="Calibri"/>
          <w:spacing w:val="-3"/>
        </w:rPr>
        <w:t>h</w:t>
      </w:r>
      <w:r w:rsidRPr="009A0DA6">
        <w:rPr>
          <w:rFonts w:ascii="Cambria" w:eastAsia="Calibri" w:hAnsi="Cambria" w:cs="Calibri"/>
          <w:spacing w:val="-1"/>
        </w:rPr>
        <w:t>a</w:t>
      </w:r>
      <w:r w:rsidRPr="009A0DA6">
        <w:rPr>
          <w:rFonts w:ascii="Cambria" w:eastAsia="Calibri" w:hAnsi="Cambria" w:cs="Calibri"/>
        </w:rPr>
        <w:t>t</w:t>
      </w:r>
      <w:r w:rsidRPr="009A0DA6">
        <w:rPr>
          <w:rFonts w:ascii="Cambria" w:eastAsia="Calibri" w:hAnsi="Cambria" w:cs="Calibri"/>
          <w:spacing w:val="1"/>
        </w:rPr>
        <w:t xml:space="preserve"> </w:t>
      </w:r>
      <w:r w:rsidRPr="009A0DA6">
        <w:rPr>
          <w:rFonts w:ascii="Cambria" w:eastAsia="Calibri" w:hAnsi="Cambria" w:cs="Calibri"/>
        </w:rPr>
        <w:t>excl</w:t>
      </w:r>
      <w:r w:rsidRPr="009A0DA6">
        <w:rPr>
          <w:rFonts w:ascii="Cambria" w:eastAsia="Calibri" w:hAnsi="Cambria" w:cs="Calibri"/>
          <w:spacing w:val="-1"/>
        </w:rPr>
        <w:t>ud</w:t>
      </w:r>
      <w:r w:rsidRPr="009A0DA6">
        <w:rPr>
          <w:rFonts w:ascii="Cambria" w:eastAsia="Calibri" w:hAnsi="Cambria" w:cs="Calibri"/>
        </w:rPr>
        <w:t>i</w:t>
      </w:r>
      <w:r w:rsidRPr="009A0DA6">
        <w:rPr>
          <w:rFonts w:ascii="Cambria" w:eastAsia="Calibri" w:hAnsi="Cambria" w:cs="Calibri"/>
          <w:spacing w:val="-1"/>
        </w:rPr>
        <w:t>n</w:t>
      </w:r>
      <w:r w:rsidRPr="009A0DA6">
        <w:rPr>
          <w:rFonts w:ascii="Cambria" w:eastAsia="Calibri" w:hAnsi="Cambria" w:cs="Calibri"/>
        </w:rPr>
        <w:t>g</w:t>
      </w:r>
      <w:r w:rsidRPr="009A0DA6">
        <w:rPr>
          <w:rFonts w:ascii="Cambria" w:eastAsia="Calibri" w:hAnsi="Cambria" w:cs="Calibri"/>
          <w:spacing w:val="-1"/>
        </w:rPr>
        <w:t xml:space="preserve"> </w:t>
      </w:r>
      <w:r w:rsidRPr="009A0DA6">
        <w:rPr>
          <w:rFonts w:ascii="Cambria" w:eastAsia="Calibri" w:hAnsi="Cambria" w:cs="Calibri"/>
          <w:spacing w:val="1"/>
        </w:rPr>
        <w:t>s</w:t>
      </w:r>
      <w:r w:rsidRPr="009A0DA6">
        <w:rPr>
          <w:rFonts w:ascii="Cambria" w:eastAsia="Calibri" w:hAnsi="Cambria" w:cs="Calibri"/>
          <w:spacing w:val="-1"/>
        </w:rPr>
        <w:t>u</w:t>
      </w:r>
      <w:r w:rsidRPr="009A0DA6">
        <w:rPr>
          <w:rFonts w:ascii="Cambria" w:eastAsia="Calibri" w:hAnsi="Cambria" w:cs="Calibri"/>
        </w:rPr>
        <w:t>ch</w:t>
      </w:r>
      <w:r w:rsidRPr="009A0DA6">
        <w:rPr>
          <w:rFonts w:ascii="Cambria" w:eastAsia="Calibri" w:hAnsi="Cambria" w:cs="Calibri"/>
          <w:spacing w:val="-1"/>
        </w:rPr>
        <w:t xml:space="preserve"> </w:t>
      </w:r>
      <w:r w:rsidRPr="009A0DA6">
        <w:rPr>
          <w:rFonts w:ascii="Cambria" w:eastAsia="Calibri" w:hAnsi="Cambria" w:cs="Calibri"/>
        </w:rPr>
        <w:t>peo</w:t>
      </w:r>
      <w:r w:rsidRPr="009A0DA6">
        <w:rPr>
          <w:rFonts w:ascii="Cambria" w:eastAsia="Calibri" w:hAnsi="Cambria" w:cs="Calibri"/>
          <w:spacing w:val="-1"/>
        </w:rPr>
        <w:t>p</w:t>
      </w:r>
      <w:r w:rsidRPr="009A0DA6">
        <w:rPr>
          <w:rFonts w:ascii="Cambria" w:eastAsia="Calibri" w:hAnsi="Cambria" w:cs="Calibri"/>
        </w:rPr>
        <w:t xml:space="preserve">le </w:t>
      </w:r>
      <w:r w:rsidRPr="009A0DA6">
        <w:rPr>
          <w:rFonts w:ascii="Cambria" w:eastAsia="Calibri" w:hAnsi="Cambria" w:cs="Calibri"/>
          <w:spacing w:val="-2"/>
        </w:rPr>
        <w:t>f</w:t>
      </w:r>
      <w:r w:rsidRPr="009A0DA6">
        <w:rPr>
          <w:rFonts w:ascii="Cambria" w:eastAsia="Calibri" w:hAnsi="Cambria" w:cs="Calibri"/>
          <w:spacing w:val="-1"/>
        </w:rPr>
        <w:t>r</w:t>
      </w:r>
      <w:r w:rsidRPr="009A0DA6">
        <w:rPr>
          <w:rFonts w:ascii="Cambria" w:eastAsia="Calibri" w:hAnsi="Cambria" w:cs="Calibri"/>
        </w:rPr>
        <w:t xml:space="preserve">om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 xml:space="preserve">e </w:t>
      </w:r>
      <w:r w:rsidRPr="009A0DA6">
        <w:rPr>
          <w:rFonts w:ascii="Cambria" w:eastAsia="Calibri" w:hAnsi="Cambria" w:cs="Calibri"/>
          <w:spacing w:val="-2"/>
        </w:rPr>
        <w:t>f</w:t>
      </w:r>
      <w:r w:rsidRPr="009A0DA6">
        <w:rPr>
          <w:rFonts w:ascii="Cambria" w:eastAsia="Calibri" w:hAnsi="Cambria" w:cs="Calibri"/>
        </w:rPr>
        <w:t>ellowship</w:t>
      </w:r>
      <w:r w:rsidRPr="009A0DA6">
        <w:rPr>
          <w:rFonts w:ascii="Cambria" w:eastAsia="Calibri" w:hAnsi="Cambria" w:cs="Calibri"/>
          <w:spacing w:val="-1"/>
        </w:rPr>
        <w:t xml:space="preserve"> </w:t>
      </w:r>
      <w:r w:rsidRPr="009A0DA6">
        <w:rPr>
          <w:rFonts w:ascii="Cambria" w:eastAsia="Calibri" w:hAnsi="Cambria" w:cs="Calibri"/>
        </w:rPr>
        <w:t>of</w:t>
      </w:r>
      <w:r w:rsidRPr="009A0DA6">
        <w:rPr>
          <w:rFonts w:ascii="Cambria" w:eastAsia="Calibri" w:hAnsi="Cambria" w:cs="Calibri"/>
          <w:spacing w:val="-2"/>
        </w:rPr>
        <w:t xml:space="preserve">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3"/>
        </w:rPr>
        <w:t xml:space="preserve"> </w:t>
      </w:r>
      <w:r w:rsidR="00336CE0" w:rsidRPr="009A0DA6">
        <w:rPr>
          <w:rFonts w:ascii="Cambria" w:eastAsia="Calibri" w:hAnsi="Cambria" w:cs="Calibri"/>
        </w:rPr>
        <w:t>church</w:t>
      </w:r>
      <w:r w:rsidRPr="009A0DA6">
        <w:rPr>
          <w:rFonts w:ascii="Cambria" w:eastAsia="Calibri" w:hAnsi="Cambria" w:cs="Calibri"/>
          <w:spacing w:val="-1"/>
        </w:rPr>
        <w:t xml:space="preserve"> n</w:t>
      </w:r>
      <w:r w:rsidRPr="009A0DA6">
        <w:rPr>
          <w:rFonts w:ascii="Cambria" w:eastAsia="Calibri" w:hAnsi="Cambria" w:cs="Calibri"/>
        </w:rPr>
        <w:t>ot o</w:t>
      </w:r>
      <w:r w:rsidRPr="009A0DA6">
        <w:rPr>
          <w:rFonts w:ascii="Cambria" w:eastAsia="Calibri" w:hAnsi="Cambria" w:cs="Calibri"/>
          <w:spacing w:val="-1"/>
        </w:rPr>
        <w:t>n</w:t>
      </w:r>
      <w:r w:rsidRPr="009A0DA6">
        <w:rPr>
          <w:rFonts w:ascii="Cambria" w:eastAsia="Calibri" w:hAnsi="Cambria" w:cs="Calibri"/>
        </w:rPr>
        <w:t>ly de</w:t>
      </w:r>
      <w:r w:rsidRPr="009A0DA6">
        <w:rPr>
          <w:rFonts w:ascii="Cambria" w:eastAsia="Calibri" w:hAnsi="Cambria" w:cs="Calibri"/>
          <w:spacing w:val="-1"/>
        </w:rPr>
        <w:t>p</w:t>
      </w:r>
      <w:r w:rsidRPr="009A0DA6">
        <w:rPr>
          <w:rFonts w:ascii="Cambria" w:eastAsia="Calibri" w:hAnsi="Cambria" w:cs="Calibri"/>
          <w:spacing w:val="1"/>
        </w:rPr>
        <w:t>r</w:t>
      </w:r>
      <w:r w:rsidRPr="009A0DA6">
        <w:rPr>
          <w:rFonts w:ascii="Cambria" w:eastAsia="Calibri" w:hAnsi="Cambria" w:cs="Calibri"/>
          <w:spacing w:val="-3"/>
        </w:rPr>
        <w:t>i</w:t>
      </w:r>
      <w:r w:rsidRPr="009A0DA6">
        <w:rPr>
          <w:rFonts w:ascii="Cambria" w:eastAsia="Calibri" w:hAnsi="Cambria" w:cs="Calibri"/>
        </w:rPr>
        <w:t>ves them</w:t>
      </w:r>
      <w:r w:rsidRPr="009A0DA6">
        <w:rPr>
          <w:rFonts w:ascii="Cambria" w:eastAsia="Calibri" w:hAnsi="Cambria" w:cs="Calibri"/>
          <w:spacing w:val="1"/>
        </w:rPr>
        <w:t xml:space="preserve"> </w:t>
      </w:r>
      <w:r w:rsidRPr="009A0DA6">
        <w:rPr>
          <w:rFonts w:ascii="Cambria" w:eastAsia="Calibri" w:hAnsi="Cambria" w:cs="Calibri"/>
        </w:rPr>
        <w:t>of</w:t>
      </w:r>
      <w:r w:rsidRPr="009A0DA6">
        <w:rPr>
          <w:rFonts w:ascii="Cambria" w:eastAsia="Calibri" w:hAnsi="Cambria" w:cs="Calibri"/>
          <w:spacing w:val="-2"/>
        </w:rPr>
        <w:t xml:space="preserve"> </w:t>
      </w:r>
      <w:r w:rsidRPr="009A0DA6">
        <w:rPr>
          <w:rFonts w:ascii="Cambria" w:eastAsia="Calibri" w:hAnsi="Cambria" w:cs="Calibri"/>
        </w:rPr>
        <w:t>Go</w:t>
      </w:r>
      <w:r w:rsidRPr="009A0DA6">
        <w:rPr>
          <w:rFonts w:ascii="Cambria" w:eastAsia="Calibri" w:hAnsi="Cambria" w:cs="Calibri"/>
          <w:spacing w:val="-1"/>
        </w:rPr>
        <w:t>d</w:t>
      </w:r>
      <w:r w:rsidRPr="009A0DA6">
        <w:rPr>
          <w:rFonts w:ascii="Cambria" w:eastAsia="Calibri" w:hAnsi="Cambria" w:cs="Calibri"/>
        </w:rPr>
        <w:t>’s</w:t>
      </w:r>
      <w:r w:rsidRPr="009A0DA6">
        <w:rPr>
          <w:rFonts w:ascii="Cambria" w:eastAsia="Calibri" w:hAnsi="Cambria" w:cs="Calibri"/>
          <w:spacing w:val="-1"/>
        </w:rPr>
        <w:t xml:space="preserve"> </w:t>
      </w:r>
      <w:r w:rsidRPr="009A0DA6">
        <w:rPr>
          <w:rFonts w:ascii="Cambria" w:eastAsia="Calibri" w:hAnsi="Cambria" w:cs="Calibri"/>
        </w:rPr>
        <w:t>Wo</w:t>
      </w:r>
      <w:r w:rsidRPr="009A0DA6">
        <w:rPr>
          <w:rFonts w:ascii="Cambria" w:eastAsia="Calibri" w:hAnsi="Cambria" w:cs="Calibri"/>
          <w:spacing w:val="1"/>
        </w:rPr>
        <w:t>r</w:t>
      </w:r>
      <w:r w:rsidRPr="009A0DA6">
        <w:rPr>
          <w:rFonts w:ascii="Cambria" w:eastAsia="Calibri" w:hAnsi="Cambria" w:cs="Calibri"/>
          <w:spacing w:val="-1"/>
        </w:rPr>
        <w:t>d</w:t>
      </w:r>
      <w:r w:rsidRPr="009A0DA6">
        <w:rPr>
          <w:rFonts w:ascii="Cambria" w:eastAsia="Calibri" w:hAnsi="Cambria" w:cs="Calibri"/>
        </w:rPr>
        <w:t xml:space="preserve">, </w:t>
      </w:r>
      <w:r w:rsidRPr="009A0DA6">
        <w:rPr>
          <w:rFonts w:ascii="Cambria" w:eastAsia="Calibri" w:hAnsi="Cambria" w:cs="Calibri"/>
          <w:spacing w:val="-2"/>
        </w:rPr>
        <w:t>i</w:t>
      </w:r>
      <w:r w:rsidRPr="009A0DA6">
        <w:rPr>
          <w:rFonts w:ascii="Cambria" w:eastAsia="Calibri" w:hAnsi="Cambria" w:cs="Calibri"/>
        </w:rPr>
        <w:t>t</w:t>
      </w:r>
      <w:r w:rsidRPr="009A0DA6">
        <w:rPr>
          <w:rFonts w:ascii="Cambria" w:eastAsia="Calibri" w:hAnsi="Cambria" w:cs="Calibri"/>
          <w:spacing w:val="1"/>
        </w:rPr>
        <w:t xml:space="preserve"> </w:t>
      </w:r>
      <w:r w:rsidRPr="009A0DA6">
        <w:rPr>
          <w:rFonts w:ascii="Cambria" w:eastAsia="Calibri" w:hAnsi="Cambria" w:cs="Calibri"/>
          <w:spacing w:val="-1"/>
        </w:rPr>
        <w:t>a</w:t>
      </w:r>
      <w:r w:rsidRPr="009A0DA6">
        <w:rPr>
          <w:rFonts w:ascii="Cambria" w:eastAsia="Calibri" w:hAnsi="Cambria" w:cs="Calibri"/>
        </w:rPr>
        <w:t>lso</w:t>
      </w:r>
      <w:r w:rsidRPr="009A0DA6">
        <w:rPr>
          <w:rFonts w:ascii="Cambria" w:eastAsia="Calibri" w:hAnsi="Cambria" w:cs="Calibri"/>
          <w:spacing w:val="-2"/>
        </w:rPr>
        <w:t xml:space="preserve"> </w:t>
      </w:r>
      <w:r w:rsidRPr="009A0DA6">
        <w:rPr>
          <w:rFonts w:ascii="Cambria" w:eastAsia="Calibri" w:hAnsi="Cambria" w:cs="Calibri"/>
        </w:rPr>
        <w:t>h</w:t>
      </w:r>
      <w:r w:rsidRPr="009A0DA6">
        <w:rPr>
          <w:rFonts w:ascii="Cambria" w:eastAsia="Calibri" w:hAnsi="Cambria" w:cs="Calibri"/>
          <w:spacing w:val="-1"/>
        </w:rPr>
        <w:t>a</w:t>
      </w:r>
      <w:r w:rsidRPr="009A0DA6">
        <w:rPr>
          <w:rFonts w:ascii="Cambria" w:eastAsia="Calibri" w:hAnsi="Cambria" w:cs="Calibri"/>
        </w:rPr>
        <w:t>s</w:t>
      </w:r>
      <w:r w:rsidRPr="009A0DA6">
        <w:rPr>
          <w:rFonts w:ascii="Cambria" w:eastAsia="Calibri" w:hAnsi="Cambria" w:cs="Calibri"/>
          <w:spacing w:val="1"/>
        </w:rPr>
        <w:t xml:space="preserve"> </w:t>
      </w:r>
      <w:r w:rsidRPr="009A0DA6">
        <w:rPr>
          <w:rFonts w:ascii="Cambria" w:eastAsia="Calibri" w:hAnsi="Cambria" w:cs="Calibri"/>
        </w:rPr>
        <w:t>the p</w:t>
      </w:r>
      <w:r w:rsidRPr="009A0DA6">
        <w:rPr>
          <w:rFonts w:ascii="Cambria" w:eastAsia="Calibri" w:hAnsi="Cambria" w:cs="Calibri"/>
          <w:spacing w:val="-1"/>
        </w:rPr>
        <w:t>o</w:t>
      </w:r>
      <w:r w:rsidRPr="009A0DA6">
        <w:rPr>
          <w:rFonts w:ascii="Cambria" w:eastAsia="Calibri" w:hAnsi="Cambria" w:cs="Calibri"/>
          <w:spacing w:val="-2"/>
        </w:rPr>
        <w:t>t</w:t>
      </w:r>
      <w:r w:rsidRPr="009A0DA6">
        <w:rPr>
          <w:rFonts w:ascii="Cambria" w:eastAsia="Calibri" w:hAnsi="Cambria" w:cs="Calibri"/>
        </w:rPr>
        <w:t>enti</w:t>
      </w:r>
      <w:r w:rsidRPr="009A0DA6">
        <w:rPr>
          <w:rFonts w:ascii="Cambria" w:eastAsia="Calibri" w:hAnsi="Cambria" w:cs="Calibri"/>
          <w:spacing w:val="-1"/>
        </w:rPr>
        <w:t>a</w:t>
      </w:r>
      <w:r w:rsidRPr="009A0DA6">
        <w:rPr>
          <w:rFonts w:ascii="Cambria" w:eastAsia="Calibri" w:hAnsi="Cambria" w:cs="Calibri"/>
        </w:rPr>
        <w:t>l</w:t>
      </w:r>
      <w:r w:rsidRPr="009A0DA6">
        <w:rPr>
          <w:rFonts w:ascii="Cambria" w:eastAsia="Calibri" w:hAnsi="Cambria" w:cs="Calibri"/>
          <w:spacing w:val="1"/>
        </w:rPr>
        <w:t xml:space="preserve"> </w:t>
      </w:r>
      <w:r w:rsidRPr="009A0DA6">
        <w:rPr>
          <w:rFonts w:ascii="Cambria" w:eastAsia="Calibri" w:hAnsi="Cambria" w:cs="Calibri"/>
        </w:rPr>
        <w:t>to</w:t>
      </w:r>
      <w:r w:rsidRPr="009A0DA6">
        <w:rPr>
          <w:rFonts w:ascii="Cambria" w:eastAsia="Calibri" w:hAnsi="Cambria" w:cs="Calibri"/>
          <w:spacing w:val="-2"/>
        </w:rPr>
        <w:t xml:space="preserve"> </w:t>
      </w:r>
      <w:r w:rsidRPr="009A0DA6">
        <w:rPr>
          <w:rFonts w:ascii="Cambria" w:eastAsia="Calibri" w:hAnsi="Cambria" w:cs="Calibri"/>
        </w:rPr>
        <w:t>en</w:t>
      </w:r>
      <w:r w:rsidRPr="009A0DA6">
        <w:rPr>
          <w:rFonts w:ascii="Cambria" w:eastAsia="Calibri" w:hAnsi="Cambria" w:cs="Calibri"/>
          <w:spacing w:val="-1"/>
        </w:rPr>
        <w:t>dang</w:t>
      </w:r>
      <w:r w:rsidRPr="009A0DA6">
        <w:rPr>
          <w:rFonts w:ascii="Cambria" w:eastAsia="Calibri" w:hAnsi="Cambria" w:cs="Calibri"/>
        </w:rPr>
        <w:t>er</w:t>
      </w:r>
      <w:r w:rsidRPr="009A0DA6">
        <w:rPr>
          <w:rFonts w:ascii="Cambria" w:eastAsia="Calibri" w:hAnsi="Cambria" w:cs="Calibri"/>
          <w:spacing w:val="1"/>
        </w:rPr>
        <w:t xml:space="preserve"> 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2"/>
        </w:rPr>
        <w:t xml:space="preserve"> </w:t>
      </w:r>
      <w:r w:rsidRPr="009A0DA6">
        <w:rPr>
          <w:rFonts w:ascii="Cambria" w:eastAsia="Calibri" w:hAnsi="Cambria" w:cs="Calibri"/>
        </w:rPr>
        <w:t>ge</w:t>
      </w:r>
      <w:r w:rsidRPr="009A0DA6">
        <w:rPr>
          <w:rFonts w:ascii="Cambria" w:eastAsia="Calibri" w:hAnsi="Cambria" w:cs="Calibri"/>
          <w:spacing w:val="-1"/>
        </w:rPr>
        <w:t>n</w:t>
      </w:r>
      <w:r w:rsidRPr="009A0DA6">
        <w:rPr>
          <w:rFonts w:ascii="Cambria" w:eastAsia="Calibri" w:hAnsi="Cambria" w:cs="Calibri"/>
        </w:rPr>
        <w:t>e</w:t>
      </w:r>
      <w:r w:rsidRPr="009A0DA6">
        <w:rPr>
          <w:rFonts w:ascii="Cambria" w:eastAsia="Calibri" w:hAnsi="Cambria" w:cs="Calibri"/>
          <w:spacing w:val="1"/>
        </w:rPr>
        <w:t>r</w:t>
      </w:r>
      <w:r w:rsidRPr="009A0DA6">
        <w:rPr>
          <w:rFonts w:ascii="Cambria" w:eastAsia="Calibri" w:hAnsi="Cambria" w:cs="Calibri"/>
          <w:spacing w:val="-1"/>
        </w:rPr>
        <w:t>a</w:t>
      </w:r>
      <w:r w:rsidRPr="009A0DA6">
        <w:rPr>
          <w:rFonts w:ascii="Cambria" w:eastAsia="Calibri" w:hAnsi="Cambria" w:cs="Calibri"/>
        </w:rPr>
        <w:t xml:space="preserve">l </w:t>
      </w:r>
      <w:r w:rsidRPr="009A0DA6">
        <w:rPr>
          <w:rFonts w:ascii="Cambria" w:eastAsia="Calibri" w:hAnsi="Cambria" w:cs="Calibri"/>
          <w:spacing w:val="1"/>
        </w:rPr>
        <w:t>p</w:t>
      </w:r>
      <w:r w:rsidRPr="009A0DA6">
        <w:rPr>
          <w:rFonts w:ascii="Cambria" w:eastAsia="Calibri" w:hAnsi="Cambria" w:cs="Calibri"/>
          <w:spacing w:val="-1"/>
        </w:rPr>
        <w:t>ub</w:t>
      </w:r>
      <w:r w:rsidRPr="009A0DA6">
        <w:rPr>
          <w:rFonts w:ascii="Cambria" w:eastAsia="Calibri" w:hAnsi="Cambria" w:cs="Calibri"/>
        </w:rPr>
        <w:t>lic.</w:t>
      </w:r>
    </w:p>
    <w:p w14:paraId="4B5C303C" w14:textId="40566911" w:rsidR="001547D3" w:rsidRDefault="001547D3" w:rsidP="00727D1E">
      <w:pPr>
        <w:pStyle w:val="NoSpacing"/>
        <w:rPr>
          <w:sz w:val="16"/>
        </w:rPr>
      </w:pPr>
    </w:p>
    <w:p w14:paraId="38D90085" w14:textId="77777777" w:rsidR="001547D3" w:rsidRPr="009A0DA6" w:rsidRDefault="001547D3" w:rsidP="00727D1E">
      <w:pPr>
        <w:pStyle w:val="NoSpacing"/>
        <w:rPr>
          <w:sz w:val="16"/>
        </w:rPr>
      </w:pPr>
    </w:p>
    <w:p w14:paraId="32B2CC38" w14:textId="77777777" w:rsidR="00727D1E" w:rsidRPr="009A0DA6" w:rsidRDefault="00727D1E" w:rsidP="00964A90">
      <w:pPr>
        <w:pStyle w:val="Heading3"/>
      </w:pPr>
      <w:r w:rsidRPr="009A0DA6">
        <w:t>agenda 2.3.11</w:t>
      </w:r>
    </w:p>
    <w:p w14:paraId="10515521" w14:textId="2F1382A3" w:rsidR="00727D1E" w:rsidRPr="009A0DA6" w:rsidRDefault="00201F24" w:rsidP="00727D1E">
      <w:pPr>
        <w:pStyle w:val="Heading2"/>
      </w:pPr>
      <w:bookmarkStart w:id="438" w:name="_Toc521954690"/>
      <w:r>
        <w:t>Change of</w:t>
      </w:r>
      <w:r w:rsidR="00727D1E" w:rsidRPr="009A0DA6">
        <w:t xml:space="preserve"> interpretation of complaint procedures</w:t>
      </w:r>
      <w:bookmarkEnd w:id="438"/>
    </w:p>
    <w:p w14:paraId="1B3B877A" w14:textId="77777777" w:rsidR="00727D1E" w:rsidRPr="009A0DA6" w:rsidRDefault="00727D1E" w:rsidP="00727D1E">
      <w:pPr>
        <w:pStyle w:val="NoSpacing"/>
      </w:pPr>
    </w:p>
    <w:p w14:paraId="55C92328" w14:textId="756B6FFC" w:rsidR="00727D1E" w:rsidRPr="009A0DA6" w:rsidRDefault="00BB1828" w:rsidP="00964A90">
      <w:pPr>
        <w:pStyle w:val="Heading3"/>
      </w:pPr>
      <w:r w:rsidRPr="009A0DA6">
        <w:t>proposed Motion</w:t>
      </w:r>
    </w:p>
    <w:p w14:paraId="205690D5" w14:textId="3D8D1C0B" w:rsidR="00727D1E" w:rsidRPr="009A0DA6" w:rsidRDefault="00727D1E" w:rsidP="00727D1E">
      <w:pPr>
        <w:pStyle w:val="NoSpacing"/>
      </w:pPr>
      <w:r w:rsidRPr="009A0DA6">
        <w:rPr>
          <w:i/>
        </w:rPr>
        <w:t xml:space="preserve">Submitted by </w:t>
      </w:r>
      <w:r w:rsidR="00312596" w:rsidRPr="009A0DA6">
        <w:rPr>
          <w:i/>
        </w:rPr>
        <w:t>St Peter’s Lutheran Church, Hobart</w:t>
      </w:r>
      <w:r w:rsidR="00BB1828" w:rsidRPr="009A0DA6">
        <w:rPr>
          <w:i/>
        </w:rPr>
        <w:t xml:space="preserve"> Tas</w:t>
      </w:r>
    </w:p>
    <w:p w14:paraId="33FF0EB3" w14:textId="77777777" w:rsidR="00727D1E" w:rsidRPr="001547D3" w:rsidRDefault="00727D1E" w:rsidP="00727D1E">
      <w:pPr>
        <w:pStyle w:val="NoSpacing"/>
        <w:rPr>
          <w:sz w:val="12"/>
        </w:rPr>
      </w:pPr>
    </w:p>
    <w:p w14:paraId="24BA5E89" w14:textId="77777777" w:rsidR="00BB1828" w:rsidRPr="009A0DA6" w:rsidRDefault="00BB1828" w:rsidP="00BB1828">
      <w:pPr>
        <w:spacing w:after="120" w:line="240" w:lineRule="auto"/>
        <w:rPr>
          <w:rFonts w:ascii="Cambria" w:hAnsi="Cambria" w:cs="Calibri"/>
          <w:color w:val="000000"/>
        </w:rPr>
      </w:pPr>
      <w:r w:rsidRPr="009A0DA6">
        <w:rPr>
          <w:rFonts w:ascii="Cambria" w:hAnsi="Cambria"/>
          <w:b/>
          <w:bCs/>
          <w:lang w:eastAsia="en-AU"/>
        </w:rPr>
        <w:t xml:space="preserve">BE IT RESOLVED </w:t>
      </w:r>
      <w:r w:rsidRPr="009A0DA6">
        <w:rPr>
          <w:rStyle w:val="NoSpacingChar"/>
        </w:rPr>
        <w:t>that the Standing Committee on Constitutions provides guidelines on the interpretation of complaint procedures to ensure that every attempt at reconciliation is made in keeping with scriptural principles, in particular, Matthew 18:15-20 and Galatians 6:1,  before any complaint is accepted for determination by the Tribunal.</w:t>
      </w:r>
    </w:p>
    <w:p w14:paraId="1CC9764D" w14:textId="77777777" w:rsidR="00BB1828" w:rsidRPr="009A0DA6" w:rsidRDefault="00BB1828" w:rsidP="001547D3">
      <w:pPr>
        <w:pStyle w:val="Heading3"/>
        <w:spacing w:after="0"/>
      </w:pPr>
      <w:r w:rsidRPr="009A0DA6">
        <w:t>REASONS FOR THE MOTION</w:t>
      </w:r>
    </w:p>
    <w:p w14:paraId="77CC3B37" w14:textId="5DF19D8C" w:rsidR="00BB1828" w:rsidRPr="001547D3" w:rsidRDefault="00BB1828" w:rsidP="00F55252">
      <w:pPr>
        <w:pStyle w:val="ListParagraph"/>
        <w:numPr>
          <w:ilvl w:val="3"/>
          <w:numId w:val="144"/>
        </w:numPr>
        <w:spacing w:after="0" w:line="240" w:lineRule="auto"/>
        <w:ind w:left="567" w:right="488" w:hanging="567"/>
        <w:rPr>
          <w:rStyle w:val="NoSpacingChar"/>
          <w:sz w:val="12"/>
        </w:rPr>
      </w:pPr>
      <w:r w:rsidRPr="009A0DA6">
        <w:rPr>
          <w:rFonts w:ascii="Cambria" w:eastAsia="Arial" w:hAnsi="Cambria" w:cs="Arial"/>
          <w:color w:val="2F2D2A"/>
        </w:rPr>
        <w:t>The</w:t>
      </w:r>
      <w:r w:rsidRPr="009A0DA6">
        <w:rPr>
          <w:rFonts w:ascii="Cambria" w:eastAsia="Arial" w:hAnsi="Cambria" w:cs="Arial"/>
          <w:color w:val="2F2D2A"/>
          <w:spacing w:val="-12"/>
        </w:rPr>
        <w:t xml:space="preserve"> </w:t>
      </w:r>
      <w:r w:rsidRPr="009A0DA6">
        <w:rPr>
          <w:rStyle w:val="NoSpacingChar"/>
        </w:rPr>
        <w:t xml:space="preserve">primary purpose of the church is to pursue a ministry of forgiveness and reconciliation through the Gospel of Jesus Christ. This means that Christ calls us to gently restore those who are caught in sin whenever this is possible </w:t>
      </w:r>
      <w:r w:rsidRPr="009A0DA6">
        <w:rPr>
          <w:rStyle w:val="NoSpacingChar"/>
        </w:rPr>
        <w:br/>
        <w:t>(Galatians 6:1).</w:t>
      </w:r>
      <w:r w:rsidRPr="009A0DA6">
        <w:rPr>
          <w:rStyle w:val="NoSpacingChar"/>
        </w:rPr>
        <w:br/>
      </w:r>
    </w:p>
    <w:p w14:paraId="7108A59D" w14:textId="102A2BC4" w:rsidR="00BB1828" w:rsidRPr="000018CD" w:rsidRDefault="00BB1828" w:rsidP="00F55252">
      <w:pPr>
        <w:pStyle w:val="ListParagraph"/>
        <w:numPr>
          <w:ilvl w:val="3"/>
          <w:numId w:val="144"/>
        </w:numPr>
        <w:spacing w:after="120" w:line="240" w:lineRule="auto"/>
        <w:ind w:left="567" w:right="488" w:hanging="567"/>
        <w:contextualSpacing w:val="0"/>
        <w:rPr>
          <w:rStyle w:val="NoSpacingChar"/>
          <w:rFonts w:eastAsia="Arial" w:cs="Arial"/>
        </w:rPr>
      </w:pPr>
      <w:r w:rsidRPr="009A0DA6">
        <w:rPr>
          <w:rFonts w:ascii="Cambria" w:eastAsia="Arial" w:hAnsi="Cambria" w:cs="Arial"/>
          <w:color w:val="2F2D2A"/>
        </w:rPr>
        <w:t>The</w:t>
      </w:r>
      <w:r w:rsidRPr="009A0DA6">
        <w:rPr>
          <w:rFonts w:ascii="Cambria" w:eastAsia="Arial" w:hAnsi="Cambria" w:cs="Arial"/>
          <w:color w:val="2F2D2A"/>
          <w:spacing w:val="-5"/>
        </w:rPr>
        <w:t xml:space="preserve"> </w:t>
      </w:r>
      <w:r w:rsidRPr="009A0DA6">
        <w:rPr>
          <w:rStyle w:val="NoSpacingChar"/>
        </w:rPr>
        <w:t>Constitution clearly provides f</w:t>
      </w:r>
      <w:r w:rsidR="008D2B65" w:rsidRPr="009A0DA6">
        <w:rPr>
          <w:rStyle w:val="NoSpacingChar"/>
        </w:rPr>
        <w:t>or reconciliation according to s</w:t>
      </w:r>
      <w:r w:rsidRPr="009A0DA6">
        <w:rPr>
          <w:rStyle w:val="NoSpacingChar"/>
        </w:rPr>
        <w:t xml:space="preserve">criptural principles. This basic approach must be reiterated in order to create a robust system that the Professional Standards Department is required to follow. The judicial system has been put in place for matters which cannot be resolved on the </w:t>
      </w:r>
      <w:r w:rsidRPr="009A0DA6">
        <w:rPr>
          <w:rStyle w:val="NoSpacingChar"/>
        </w:rPr>
        <w:lastRenderedPageBreak/>
        <w:t>basis of seeking reconciliation according to scriptural principles. The system cannot be allowed to by-pass that requirement. To do so is to neglect our God-given responsibility of forgiveness and reconciliation which in turn sows division and undermines the central purpose of the church.</w:t>
      </w:r>
    </w:p>
    <w:p w14:paraId="3CDDC60F" w14:textId="77777777" w:rsidR="000018CD" w:rsidRPr="004A186C" w:rsidRDefault="000018CD" w:rsidP="000018CD">
      <w:pPr>
        <w:pStyle w:val="ListParagraph"/>
        <w:spacing w:after="120" w:line="240" w:lineRule="auto"/>
        <w:ind w:left="567" w:right="488"/>
        <w:contextualSpacing w:val="0"/>
        <w:rPr>
          <w:rStyle w:val="NoSpacingChar"/>
          <w:rFonts w:eastAsia="Arial" w:cs="Arial"/>
        </w:rPr>
      </w:pPr>
    </w:p>
    <w:p w14:paraId="7774F863" w14:textId="77777777" w:rsidR="00727D1E" w:rsidRPr="009A0DA6" w:rsidRDefault="00312596" w:rsidP="00964A90">
      <w:pPr>
        <w:pStyle w:val="Heading3"/>
      </w:pPr>
      <w:r w:rsidRPr="009A0DA6">
        <w:t>Agenda 2.3.12</w:t>
      </w:r>
    </w:p>
    <w:p w14:paraId="5D69DCDB" w14:textId="58BA06ED" w:rsidR="00312596" w:rsidRPr="009A0DA6" w:rsidRDefault="00201F24" w:rsidP="00312596">
      <w:pPr>
        <w:pStyle w:val="Heading2"/>
      </w:pPr>
      <w:bookmarkStart w:id="439" w:name="_Toc521954691"/>
      <w:r>
        <w:t>E</w:t>
      </w:r>
      <w:r w:rsidR="00312596" w:rsidRPr="009A0DA6">
        <w:t xml:space="preserve">very effort is made to bring reconciliation and resolution before referral to the </w:t>
      </w:r>
      <w:r w:rsidR="006940AF">
        <w:t>T</w:t>
      </w:r>
      <w:r w:rsidR="00312596" w:rsidRPr="009A0DA6">
        <w:t>ribunal</w:t>
      </w:r>
      <w:bookmarkEnd w:id="439"/>
    </w:p>
    <w:p w14:paraId="414AB72B" w14:textId="77777777" w:rsidR="00312596" w:rsidRPr="009A0DA6" w:rsidRDefault="00312596" w:rsidP="00312596">
      <w:pPr>
        <w:pStyle w:val="NoSpacing"/>
      </w:pPr>
    </w:p>
    <w:p w14:paraId="6A61BEE4" w14:textId="407DD7DC" w:rsidR="00312596" w:rsidRPr="009A0DA6" w:rsidRDefault="00BB1828" w:rsidP="00964A90">
      <w:pPr>
        <w:pStyle w:val="Heading3"/>
      </w:pPr>
      <w:r w:rsidRPr="009A0DA6">
        <w:t>proposed motion</w:t>
      </w:r>
    </w:p>
    <w:p w14:paraId="42E51B9A" w14:textId="5916E245" w:rsidR="00312596" w:rsidRPr="009A0DA6" w:rsidRDefault="00BB1828" w:rsidP="00312596">
      <w:pPr>
        <w:pStyle w:val="NoSpacing"/>
      </w:pPr>
      <w:r w:rsidRPr="009A0DA6">
        <w:rPr>
          <w:i/>
        </w:rPr>
        <w:t>Submitted by LCA Victoria/</w:t>
      </w:r>
      <w:r w:rsidR="00312596" w:rsidRPr="009A0DA6">
        <w:rPr>
          <w:i/>
        </w:rPr>
        <w:t xml:space="preserve">Tasmania </w:t>
      </w:r>
      <w:r w:rsidRPr="009A0DA6">
        <w:rPr>
          <w:i/>
        </w:rPr>
        <w:t xml:space="preserve">District </w:t>
      </w:r>
      <w:r w:rsidR="00312596" w:rsidRPr="009A0DA6">
        <w:rPr>
          <w:i/>
        </w:rPr>
        <w:t>Pastors Conference</w:t>
      </w:r>
    </w:p>
    <w:p w14:paraId="6A60B690" w14:textId="77777777" w:rsidR="00312596" w:rsidRPr="009A0DA6" w:rsidRDefault="00312596" w:rsidP="00312596">
      <w:pPr>
        <w:pStyle w:val="NoSpacing"/>
        <w:rPr>
          <w:sz w:val="14"/>
        </w:rPr>
      </w:pPr>
    </w:p>
    <w:p w14:paraId="553D3732" w14:textId="48E70411" w:rsidR="00BB1828" w:rsidRPr="009A0DA6" w:rsidRDefault="00BB1828" w:rsidP="00BB1828">
      <w:pPr>
        <w:pStyle w:val="Standard"/>
        <w:shd w:val="clear" w:color="auto" w:fill="FFFFFF"/>
        <w:tabs>
          <w:tab w:val="left" w:pos="3596"/>
        </w:tabs>
        <w:suppressAutoHyphens w:val="0"/>
        <w:autoSpaceDN/>
        <w:spacing w:after="120" w:line="240" w:lineRule="auto"/>
        <w:rPr>
          <w:rFonts w:ascii="Cambria" w:hAnsi="Cambria"/>
        </w:rPr>
      </w:pPr>
      <w:r w:rsidRPr="009A0DA6">
        <w:rPr>
          <w:rFonts w:ascii="Cambria" w:hAnsi="Cambria"/>
          <w:b/>
          <w:bCs/>
          <w:lang w:eastAsia="en-AU"/>
        </w:rPr>
        <w:t xml:space="preserve">BE IT RESOLVED </w:t>
      </w:r>
      <w:r w:rsidRPr="009A0DA6">
        <w:rPr>
          <w:rFonts w:ascii="Cambria" w:eastAsia="Times New Roman" w:hAnsi="Cambria" w:cs="Times New Roman"/>
          <w:bCs/>
          <w:color w:val="000000"/>
          <w:lang w:eastAsia="en-AU"/>
        </w:rPr>
        <w:t xml:space="preserve">that in accordance with Matthew 18:15-20 and related passages as directed by article 10 of the Constitution of the Church, General Church Council ensure every effort in bringing about resolutions and reconciliation be exhausted before disputes are referred to the judicial system of the </w:t>
      </w:r>
      <w:r w:rsidR="00EA7B5F" w:rsidRPr="009A0DA6">
        <w:rPr>
          <w:rFonts w:ascii="Cambria" w:eastAsia="Times New Roman" w:hAnsi="Cambria" w:cs="Times New Roman"/>
          <w:bCs/>
          <w:color w:val="000000"/>
          <w:lang w:eastAsia="en-AU"/>
        </w:rPr>
        <w:t>C</w:t>
      </w:r>
      <w:r w:rsidR="00336CE0" w:rsidRPr="009A0DA6">
        <w:rPr>
          <w:rFonts w:ascii="Cambria" w:eastAsia="Times New Roman" w:hAnsi="Cambria" w:cs="Times New Roman"/>
          <w:bCs/>
          <w:color w:val="000000"/>
          <w:lang w:eastAsia="en-AU"/>
        </w:rPr>
        <w:t>hurch</w:t>
      </w:r>
      <w:r w:rsidRPr="009A0DA6">
        <w:rPr>
          <w:rFonts w:ascii="Cambria" w:eastAsia="Times New Roman" w:hAnsi="Cambria" w:cs="Times New Roman"/>
          <w:bCs/>
          <w:color w:val="000000"/>
          <w:lang w:eastAsia="en-AU"/>
        </w:rPr>
        <w:t xml:space="preserve"> for determination by a tribunal.</w:t>
      </w:r>
    </w:p>
    <w:p w14:paraId="287B5A1F" w14:textId="77777777" w:rsidR="00BB1828" w:rsidRPr="009A0DA6" w:rsidRDefault="00BB1828" w:rsidP="00CE5065">
      <w:pPr>
        <w:pStyle w:val="Heading3"/>
        <w:spacing w:after="0"/>
      </w:pPr>
      <w:r w:rsidRPr="009A0DA6">
        <w:t>REASONS FOR THE MOTION</w:t>
      </w:r>
    </w:p>
    <w:p w14:paraId="147411F1" w14:textId="77777777" w:rsidR="004A186C" w:rsidRPr="004A186C" w:rsidRDefault="00BB1828" w:rsidP="00786120">
      <w:pPr>
        <w:pStyle w:val="ListParagraph"/>
        <w:numPr>
          <w:ilvl w:val="0"/>
          <w:numId w:val="129"/>
        </w:numPr>
        <w:shd w:val="clear" w:color="auto" w:fill="FFFFFF"/>
        <w:suppressAutoHyphens/>
        <w:autoSpaceDN w:val="0"/>
        <w:spacing w:after="0" w:line="240" w:lineRule="auto"/>
        <w:ind w:left="567" w:hanging="567"/>
        <w:contextualSpacing w:val="0"/>
        <w:textAlignment w:val="baseline"/>
        <w:rPr>
          <w:rFonts w:ascii="Cambria" w:hAnsi="Cambria" w:cs="Arial"/>
          <w:color w:val="222222"/>
          <w:sz w:val="12"/>
          <w:szCs w:val="20"/>
        </w:rPr>
      </w:pPr>
      <w:r w:rsidRPr="004A186C">
        <w:rPr>
          <w:rFonts w:ascii="Cambria" w:hAnsi="Cambria" w:cs="Arial"/>
          <w:color w:val="222222"/>
          <w:szCs w:val="20"/>
        </w:rPr>
        <w:t>To protect the dignity of all parties involved with tribunal actions and to see that the fairest course of action is followed.</w:t>
      </w:r>
    </w:p>
    <w:p w14:paraId="7E5266F7" w14:textId="77777777" w:rsidR="004A186C" w:rsidRPr="004A186C" w:rsidRDefault="00BB1828" w:rsidP="00786120">
      <w:pPr>
        <w:pStyle w:val="ListParagraph"/>
        <w:numPr>
          <w:ilvl w:val="0"/>
          <w:numId w:val="129"/>
        </w:numPr>
        <w:shd w:val="clear" w:color="auto" w:fill="FFFFFF"/>
        <w:suppressAutoHyphens/>
        <w:autoSpaceDN w:val="0"/>
        <w:spacing w:after="0" w:line="240" w:lineRule="auto"/>
        <w:ind w:left="567" w:hanging="567"/>
        <w:contextualSpacing w:val="0"/>
        <w:textAlignment w:val="baseline"/>
        <w:rPr>
          <w:rFonts w:ascii="Cambria" w:hAnsi="Cambria"/>
        </w:rPr>
      </w:pPr>
      <w:r w:rsidRPr="004A186C">
        <w:rPr>
          <w:rFonts w:ascii="Cambria" w:hAnsi="Cambria" w:cs="Arial"/>
          <w:color w:val="222222"/>
          <w:szCs w:val="20"/>
        </w:rPr>
        <w:t>To act in a Christian and godly manner.</w:t>
      </w:r>
    </w:p>
    <w:p w14:paraId="0BB67BAB" w14:textId="1F5E438E" w:rsidR="00290C36" w:rsidRPr="004A186C" w:rsidRDefault="00BB1828" w:rsidP="00786120">
      <w:pPr>
        <w:pStyle w:val="ListParagraph"/>
        <w:numPr>
          <w:ilvl w:val="0"/>
          <w:numId w:val="129"/>
        </w:numPr>
        <w:shd w:val="clear" w:color="auto" w:fill="FFFFFF"/>
        <w:suppressAutoHyphens/>
        <w:autoSpaceDN w:val="0"/>
        <w:spacing w:after="0" w:line="240" w:lineRule="auto"/>
        <w:ind w:left="567" w:hanging="567"/>
        <w:contextualSpacing w:val="0"/>
        <w:textAlignment w:val="baseline"/>
        <w:rPr>
          <w:rFonts w:ascii="Cambria" w:hAnsi="Cambria"/>
          <w:sz w:val="40"/>
        </w:rPr>
      </w:pPr>
      <w:r w:rsidRPr="004A186C">
        <w:rPr>
          <w:rFonts w:ascii="Cambria" w:hAnsi="Cambria" w:cs="Arial"/>
          <w:color w:val="222222"/>
          <w:szCs w:val="20"/>
        </w:rPr>
        <w:t xml:space="preserve">To safeguard the mental and </w:t>
      </w:r>
      <w:r w:rsidRPr="009A0DA6">
        <w:rPr>
          <w:rStyle w:val="NoSpacingChar"/>
        </w:rPr>
        <w:t>emotional health of all parties during tribunal actions.</w:t>
      </w:r>
      <w:r w:rsidR="00CE5065" w:rsidRPr="009A0DA6">
        <w:rPr>
          <w:rStyle w:val="NoSpacingChar"/>
        </w:rPr>
        <w:br/>
      </w:r>
      <w:r w:rsidR="00CE5065" w:rsidRPr="009A0DA6">
        <w:rPr>
          <w:rStyle w:val="NoSpacingChar"/>
        </w:rPr>
        <w:br/>
      </w:r>
    </w:p>
    <w:p w14:paraId="14BD7A2C" w14:textId="77777777" w:rsidR="00727D1E" w:rsidRPr="009A0DA6" w:rsidRDefault="00312596" w:rsidP="00964A90">
      <w:pPr>
        <w:pStyle w:val="Heading3"/>
      </w:pPr>
      <w:r w:rsidRPr="009A0DA6">
        <w:t>agenda 2.3.13</w:t>
      </w:r>
    </w:p>
    <w:p w14:paraId="4404A5DA" w14:textId="766B9B49" w:rsidR="00727D1E" w:rsidRPr="009A0DA6" w:rsidRDefault="00312596" w:rsidP="00312596">
      <w:pPr>
        <w:pStyle w:val="Heading2"/>
      </w:pPr>
      <w:bookmarkStart w:id="440" w:name="_Toc521954692"/>
      <w:r w:rsidRPr="009A0DA6">
        <w:t>Adopt</w:t>
      </w:r>
      <w:r w:rsidR="00201F24">
        <w:t>ion of</w:t>
      </w:r>
      <w:r w:rsidRPr="009A0DA6">
        <w:t xml:space="preserve"> a congregation </w:t>
      </w:r>
      <w:r w:rsidR="00174A5E" w:rsidRPr="009A0DA6">
        <w:t>r</w:t>
      </w:r>
      <w:r w:rsidR="00BB1828" w:rsidRPr="009A0DA6">
        <w:t>isk assessment program</w:t>
      </w:r>
      <w:bookmarkEnd w:id="440"/>
    </w:p>
    <w:p w14:paraId="015B7B0F" w14:textId="77777777" w:rsidR="00312596" w:rsidRPr="009A0DA6" w:rsidRDefault="00312596" w:rsidP="00312596">
      <w:pPr>
        <w:pStyle w:val="NoSpacing"/>
      </w:pPr>
    </w:p>
    <w:p w14:paraId="2D8CA047" w14:textId="5C5B9C0E" w:rsidR="00312596" w:rsidRPr="009A0DA6" w:rsidRDefault="00BB1828" w:rsidP="00964A90">
      <w:pPr>
        <w:pStyle w:val="Heading3"/>
      </w:pPr>
      <w:r w:rsidRPr="009A0DA6">
        <w:t>proposed motion</w:t>
      </w:r>
    </w:p>
    <w:p w14:paraId="06ED959F" w14:textId="17653132" w:rsidR="00312596" w:rsidRPr="009A0DA6" w:rsidRDefault="00312596" w:rsidP="00312596">
      <w:pPr>
        <w:pStyle w:val="NoSpacing"/>
      </w:pPr>
      <w:r w:rsidRPr="009A0DA6">
        <w:rPr>
          <w:i/>
        </w:rPr>
        <w:t>Submitted by St Peter’s Lutheran Church, Hobart</w:t>
      </w:r>
      <w:r w:rsidR="00BB1828" w:rsidRPr="009A0DA6">
        <w:rPr>
          <w:i/>
        </w:rPr>
        <w:t xml:space="preserve"> Tas</w:t>
      </w:r>
    </w:p>
    <w:p w14:paraId="63919ADC" w14:textId="77777777" w:rsidR="00312596" w:rsidRPr="009A0DA6" w:rsidRDefault="00312596" w:rsidP="00312596">
      <w:pPr>
        <w:pStyle w:val="NoSpacing"/>
        <w:rPr>
          <w:sz w:val="14"/>
        </w:rPr>
      </w:pPr>
    </w:p>
    <w:p w14:paraId="02A1786D" w14:textId="33C77275" w:rsidR="00BB1828" w:rsidRPr="009A0DA6" w:rsidRDefault="00BB1828" w:rsidP="00BB1828">
      <w:pPr>
        <w:pStyle w:val="NoSpacing"/>
      </w:pPr>
      <w:r w:rsidRPr="009A0DA6">
        <w:rPr>
          <w:b/>
        </w:rPr>
        <w:t>BE IT RESOLVED</w:t>
      </w:r>
      <w:r w:rsidRPr="009A0DA6">
        <w:t xml:space="preserve"> that the Professional Standards Officer and Bishop of each District (in consultation with LCA</w:t>
      </w:r>
      <w:r w:rsidR="00290C36" w:rsidRPr="009A0DA6">
        <w:t xml:space="preserve"> Professional Standards Office)</w:t>
      </w:r>
      <w:r w:rsidRPr="009A0DA6">
        <w:t xml:space="preserve"> develop a program and timetable in their Districts to assist each congregation's Risk Assessment Group to identify and address existing and potential safety and other risks to that congregation.</w:t>
      </w:r>
    </w:p>
    <w:p w14:paraId="4EB22386" w14:textId="77777777" w:rsidR="00BB1828" w:rsidRPr="009A0DA6" w:rsidRDefault="00BB1828" w:rsidP="00BB1828">
      <w:pPr>
        <w:pStyle w:val="NoSpacing"/>
        <w:rPr>
          <w:sz w:val="14"/>
        </w:rPr>
      </w:pPr>
    </w:p>
    <w:p w14:paraId="07958F65" w14:textId="40671C36" w:rsidR="00BB1828" w:rsidRPr="009A0DA6" w:rsidRDefault="00BB1828" w:rsidP="00CE5065">
      <w:pPr>
        <w:pStyle w:val="Heading3"/>
        <w:spacing w:after="0"/>
      </w:pPr>
      <w:r w:rsidRPr="009A0DA6">
        <w:t>REASONS FOR THE MOTION</w:t>
      </w:r>
    </w:p>
    <w:p w14:paraId="324DDF45" w14:textId="77777777" w:rsidR="004A186C" w:rsidRPr="004A186C" w:rsidRDefault="00BB1828" w:rsidP="00786120">
      <w:pPr>
        <w:pStyle w:val="NoSpacing"/>
        <w:numPr>
          <w:ilvl w:val="3"/>
          <w:numId w:val="132"/>
        </w:numPr>
        <w:ind w:left="567" w:hanging="567"/>
        <w:rPr>
          <w:rStyle w:val="NoSpacingChar"/>
          <w:sz w:val="10"/>
        </w:rPr>
      </w:pPr>
      <w:r w:rsidRPr="009A0DA6">
        <w:t>God</w:t>
      </w:r>
      <w:r w:rsidRPr="009A0DA6">
        <w:rPr>
          <w:rStyle w:val="NoSpacingChar"/>
        </w:rPr>
        <w:t xml:space="preserve"> has established the civil authorities including the courts and judicial system as his means for preserving justice, peace and public safety. Increasing requirements from these authorities regarding every organisations' responsibility to ensure the safety of individuals in their organisation apply to the church's organisations as well, eve</w:t>
      </w:r>
      <w:r w:rsidR="004A186C">
        <w:rPr>
          <w:rStyle w:val="NoSpacingChar"/>
        </w:rPr>
        <w:t>n down to congregational level.</w:t>
      </w:r>
    </w:p>
    <w:p w14:paraId="2D26615C" w14:textId="3EAEBD8B" w:rsidR="00BB1828" w:rsidRPr="004A186C" w:rsidRDefault="00BB1828" w:rsidP="00786120">
      <w:pPr>
        <w:pStyle w:val="NoSpacing"/>
        <w:numPr>
          <w:ilvl w:val="3"/>
          <w:numId w:val="132"/>
        </w:numPr>
        <w:ind w:left="567" w:hanging="567"/>
        <w:rPr>
          <w:rStyle w:val="NoSpacingChar"/>
          <w:sz w:val="10"/>
        </w:rPr>
      </w:pPr>
      <w:r w:rsidRPr="009A0DA6">
        <w:t>Ho</w:t>
      </w:r>
      <w:r w:rsidRPr="009A0DA6">
        <w:rPr>
          <w:rStyle w:val="NoSpacingChar"/>
        </w:rPr>
        <w:t>wever, a lack of understanding and absence of agreed procedures/actions with congregations can sometimes promote fear of the unknown and an overreaction to a perceived risk. In some instances, this can lead to individuals being unnecessarily denied fellowship in the body of Christ.</w:t>
      </w:r>
    </w:p>
    <w:p w14:paraId="04A32C94" w14:textId="32414BC7" w:rsidR="00BB1828" w:rsidRPr="009A0DA6" w:rsidRDefault="00BB1828" w:rsidP="004A186C">
      <w:pPr>
        <w:pStyle w:val="NoSpacing"/>
        <w:numPr>
          <w:ilvl w:val="3"/>
          <w:numId w:val="132"/>
        </w:numPr>
        <w:ind w:left="567" w:hanging="567"/>
        <w:rPr>
          <w:sz w:val="10"/>
        </w:rPr>
      </w:pPr>
      <w:r w:rsidRPr="009A0DA6">
        <w:t xml:space="preserve">It is appropriate that those at local levels make the decisions relating to risks, their nature, seriousness and mitigation in relation to their own congregation. However, individual congregations do not necessarily have the knowledge and/or skills to </w:t>
      </w:r>
      <w:r w:rsidRPr="009A0DA6">
        <w:lastRenderedPageBreak/>
        <w:t>undertake a risk assessment, or to understand the legal require</w:t>
      </w:r>
      <w:r w:rsidR="004A186C">
        <w:t>ments of their state/territory.</w:t>
      </w:r>
    </w:p>
    <w:p w14:paraId="63EEE4EA" w14:textId="716E102E" w:rsidR="00312596" w:rsidRDefault="00BB1828" w:rsidP="004A186C">
      <w:pPr>
        <w:pStyle w:val="NoSpacing"/>
        <w:numPr>
          <w:ilvl w:val="3"/>
          <w:numId w:val="132"/>
        </w:numPr>
        <w:ind w:left="567" w:hanging="567"/>
      </w:pPr>
      <w:r w:rsidRPr="009A0DA6">
        <w:t>Coordinated leadership is required in this area to ensure that all congregations are supported in undertaking this risk assessment and mitigation exercise. By focusing on the issue at congregational level, it allows the District to educate, support and assist their congregations’ leaders and workers. This will then flow down to congregational members.</w:t>
      </w:r>
    </w:p>
    <w:p w14:paraId="266FA136" w14:textId="22AD5B8A" w:rsidR="000018CD" w:rsidRDefault="000018CD" w:rsidP="000018CD">
      <w:pPr>
        <w:pStyle w:val="NoSpacing"/>
        <w:ind w:left="1800"/>
      </w:pPr>
    </w:p>
    <w:p w14:paraId="6F9D87C2" w14:textId="77777777" w:rsidR="000018CD" w:rsidRPr="009A0DA6" w:rsidRDefault="000018CD" w:rsidP="000018CD">
      <w:pPr>
        <w:pStyle w:val="NoSpacing"/>
        <w:ind w:left="1800"/>
      </w:pPr>
    </w:p>
    <w:p w14:paraId="0CC5D331" w14:textId="77777777" w:rsidR="00727D1E" w:rsidRPr="009A0DA6" w:rsidRDefault="00312596" w:rsidP="00964A90">
      <w:pPr>
        <w:pStyle w:val="Heading3"/>
      </w:pPr>
      <w:r w:rsidRPr="009A0DA6">
        <w:t>agenda 2.3.14</w:t>
      </w:r>
    </w:p>
    <w:p w14:paraId="1C43B294" w14:textId="2729586D" w:rsidR="00727D1E" w:rsidRPr="009A0DA6" w:rsidRDefault="00201F24" w:rsidP="00312596">
      <w:pPr>
        <w:pStyle w:val="Heading2"/>
      </w:pPr>
      <w:bookmarkStart w:id="441" w:name="_Toc521954693"/>
      <w:r>
        <w:t>Examination of</w:t>
      </w:r>
      <w:r w:rsidR="006940AF">
        <w:t xml:space="preserve"> a</w:t>
      </w:r>
      <w:r w:rsidR="00312596" w:rsidRPr="009A0DA6">
        <w:t>venues to provide a pastoral support agency</w:t>
      </w:r>
      <w:bookmarkEnd w:id="441"/>
    </w:p>
    <w:p w14:paraId="6C269EF2" w14:textId="77777777" w:rsidR="00312596" w:rsidRPr="009A0DA6" w:rsidRDefault="00312596" w:rsidP="00312596">
      <w:pPr>
        <w:pStyle w:val="NoSpacing"/>
      </w:pPr>
    </w:p>
    <w:p w14:paraId="20AC992F" w14:textId="757075A9" w:rsidR="00312596" w:rsidRPr="009A0DA6" w:rsidRDefault="00BB1828" w:rsidP="00964A90">
      <w:pPr>
        <w:pStyle w:val="Heading3"/>
      </w:pPr>
      <w:r w:rsidRPr="009A0DA6">
        <w:t>proposed motion</w:t>
      </w:r>
    </w:p>
    <w:p w14:paraId="187D6FE0" w14:textId="3DDE0DB6" w:rsidR="00312596" w:rsidRPr="009A0DA6" w:rsidRDefault="00312596" w:rsidP="00312596">
      <w:pPr>
        <w:pStyle w:val="NoSpacing"/>
      </w:pPr>
      <w:r w:rsidRPr="009A0DA6">
        <w:rPr>
          <w:i/>
        </w:rPr>
        <w:t>Submitted by St Peter’s Lutheran Church, Hobart</w:t>
      </w:r>
      <w:r w:rsidR="00BB1828" w:rsidRPr="009A0DA6">
        <w:rPr>
          <w:i/>
        </w:rPr>
        <w:t xml:space="preserve"> Tas</w:t>
      </w:r>
    </w:p>
    <w:p w14:paraId="1F39A903" w14:textId="77777777" w:rsidR="00312596" w:rsidRPr="009A0DA6" w:rsidRDefault="00312596" w:rsidP="00BB1828">
      <w:pPr>
        <w:pStyle w:val="NoSpacing"/>
      </w:pPr>
    </w:p>
    <w:p w14:paraId="0063BD31" w14:textId="22E592C4" w:rsidR="00BB1828" w:rsidRPr="009A0DA6" w:rsidRDefault="00BB1828" w:rsidP="00BB1828">
      <w:pPr>
        <w:pStyle w:val="NoSpacing"/>
      </w:pPr>
      <w:r w:rsidRPr="009A0DA6">
        <w:rPr>
          <w:b/>
        </w:rPr>
        <w:t>BE IT RESOLVED</w:t>
      </w:r>
      <w:r w:rsidRPr="009A0DA6">
        <w:t xml:space="preserve"> that a thorough examination of avenues to provide support and assistance be conducted with a view to creating a body such as a pastoral guild to provide such support and advice to those accused of disciplinary matters.</w:t>
      </w:r>
    </w:p>
    <w:p w14:paraId="5C3C2A8A" w14:textId="77777777" w:rsidR="00BB1828" w:rsidRPr="009A0DA6" w:rsidRDefault="00BB1828" w:rsidP="00BB1828">
      <w:pPr>
        <w:pStyle w:val="NoSpacing"/>
      </w:pPr>
    </w:p>
    <w:p w14:paraId="0D5D9E2D" w14:textId="77777777" w:rsidR="00BB1828" w:rsidRPr="009A0DA6" w:rsidRDefault="00BB1828" w:rsidP="00CE5065">
      <w:pPr>
        <w:pStyle w:val="Heading3"/>
      </w:pPr>
      <w:r w:rsidRPr="009A0DA6">
        <w:t>REASONS FOR THE MOTION</w:t>
      </w:r>
    </w:p>
    <w:p w14:paraId="72D04C7D" w14:textId="25B46C4F" w:rsidR="00BB1828" w:rsidRPr="009A0DA6" w:rsidRDefault="00BB1828" w:rsidP="00F55252">
      <w:pPr>
        <w:pStyle w:val="NoSpacing"/>
        <w:numPr>
          <w:ilvl w:val="6"/>
          <w:numId w:val="132"/>
        </w:numPr>
        <w:ind w:left="567" w:hanging="567"/>
      </w:pPr>
      <w:r w:rsidRPr="009A0DA6">
        <w:t>A body does not exist to support and assist pastors and church workers should a co</w:t>
      </w:r>
      <w:r w:rsidR="000018CD">
        <w:t>mplaint be bought against them.</w:t>
      </w:r>
    </w:p>
    <w:p w14:paraId="48752CB6" w14:textId="49C54627" w:rsidR="00BB1828" w:rsidRPr="009A0DA6" w:rsidRDefault="00BB1828" w:rsidP="00F55252">
      <w:pPr>
        <w:pStyle w:val="NoSpacing"/>
        <w:numPr>
          <w:ilvl w:val="6"/>
          <w:numId w:val="132"/>
        </w:numPr>
        <w:ind w:left="567" w:hanging="567"/>
      </w:pPr>
      <w:r w:rsidRPr="009A0DA6">
        <w:t xml:space="preserve">Currently pastors and church workers are very vulnerable and could potentially incur significant expense in defending </w:t>
      </w:r>
      <w:r w:rsidR="000018CD">
        <w:t>themselves against allegations.</w:t>
      </w:r>
    </w:p>
    <w:p w14:paraId="5D9BA2C5" w14:textId="025ADA8F" w:rsidR="00BB1828" w:rsidRPr="009A0DA6" w:rsidRDefault="00BB1828" w:rsidP="00F55252">
      <w:pPr>
        <w:pStyle w:val="NoSpacing"/>
        <w:numPr>
          <w:ilvl w:val="6"/>
          <w:numId w:val="132"/>
        </w:numPr>
        <w:ind w:left="567" w:hanging="567"/>
      </w:pPr>
      <w:r w:rsidRPr="009A0DA6">
        <w:t xml:space="preserve">The church provides many resources to the Professional Standards </w:t>
      </w:r>
      <w:r w:rsidR="00290C36" w:rsidRPr="009A0DA6">
        <w:t>Department (PSD</w:t>
      </w:r>
      <w:r w:rsidRPr="009A0DA6">
        <w:t>) so that they can prosecute matters where allegations of misconduct have been made; however there are currently no resources available to ensure those accused can receive advice or defend matters. This has created an imbalance and results in the church failing in its duty of care towards its pastors and other church workers wh</w:t>
      </w:r>
      <w:r w:rsidR="000018CD">
        <w:t>ere allegations have been made.</w:t>
      </w:r>
    </w:p>
    <w:p w14:paraId="07A36851" w14:textId="0658BB14" w:rsidR="00BB1828" w:rsidRPr="009A0DA6" w:rsidRDefault="00BB1828" w:rsidP="00F55252">
      <w:pPr>
        <w:pStyle w:val="NoSpacing"/>
        <w:numPr>
          <w:ilvl w:val="6"/>
          <w:numId w:val="132"/>
        </w:numPr>
        <w:ind w:left="567" w:hanging="567"/>
      </w:pPr>
      <w:r w:rsidRPr="009A0DA6">
        <w:t>Given the lack of assistance currently available it also results in a la</w:t>
      </w:r>
      <w:r w:rsidR="00290C36" w:rsidRPr="009A0DA6">
        <w:t>ck of accountability for the PSD</w:t>
      </w:r>
      <w:r w:rsidRPr="009A0DA6">
        <w:t xml:space="preserve"> as those charged generally lack the resources to fight unjust allegations.</w:t>
      </w:r>
    </w:p>
    <w:p w14:paraId="227C9A52" w14:textId="21390C7D" w:rsidR="00CE5065" w:rsidRPr="006940AF" w:rsidRDefault="00CE5065" w:rsidP="00CE5065">
      <w:pPr>
        <w:pStyle w:val="NoSpacing"/>
        <w:rPr>
          <w:sz w:val="12"/>
        </w:rPr>
      </w:pPr>
    </w:p>
    <w:p w14:paraId="44E1414B" w14:textId="5DB8DF41" w:rsidR="00312596" w:rsidRDefault="00312596" w:rsidP="00312596">
      <w:pPr>
        <w:pStyle w:val="NoSpacing"/>
      </w:pPr>
    </w:p>
    <w:p w14:paraId="1859B594" w14:textId="77777777" w:rsidR="001547D3" w:rsidRPr="009A0DA6" w:rsidRDefault="001547D3" w:rsidP="00312596">
      <w:pPr>
        <w:pStyle w:val="NoSpacing"/>
      </w:pPr>
    </w:p>
    <w:p w14:paraId="1092BC2E" w14:textId="77777777" w:rsidR="00312596" w:rsidRPr="009A0DA6" w:rsidRDefault="00312596" w:rsidP="00964A90">
      <w:pPr>
        <w:pStyle w:val="Heading3"/>
      </w:pPr>
      <w:r w:rsidRPr="009A0DA6">
        <w:t>agenda 2.3.15</w:t>
      </w:r>
    </w:p>
    <w:p w14:paraId="6849F3B2" w14:textId="04302AA7" w:rsidR="0037789C" w:rsidRPr="009A0DA6" w:rsidRDefault="00312596" w:rsidP="00312596">
      <w:pPr>
        <w:pStyle w:val="Heading2"/>
      </w:pPr>
      <w:bookmarkStart w:id="442" w:name="_Toc521954694"/>
      <w:r w:rsidRPr="009A0DA6">
        <w:t xml:space="preserve">Provide support to pastors and church workers who appear before the </w:t>
      </w:r>
      <w:r w:rsidR="00201F24">
        <w:t>T</w:t>
      </w:r>
      <w:r w:rsidRPr="009A0DA6">
        <w:t>ribunal</w:t>
      </w:r>
      <w:bookmarkEnd w:id="442"/>
    </w:p>
    <w:p w14:paraId="7816DC56" w14:textId="77777777" w:rsidR="00312596" w:rsidRPr="009A0DA6" w:rsidRDefault="00312596" w:rsidP="00312596">
      <w:pPr>
        <w:pStyle w:val="NoSpacing"/>
      </w:pPr>
    </w:p>
    <w:p w14:paraId="200FC5EE" w14:textId="5F461D75" w:rsidR="00312596" w:rsidRPr="009A0DA6" w:rsidRDefault="00BB1828" w:rsidP="00964A90">
      <w:pPr>
        <w:pStyle w:val="Heading3"/>
      </w:pPr>
      <w:r w:rsidRPr="009A0DA6">
        <w:t>proposed motion</w:t>
      </w:r>
    </w:p>
    <w:p w14:paraId="18290A83" w14:textId="4242BA1F" w:rsidR="00312596" w:rsidRPr="009A0DA6" w:rsidRDefault="00BB1828" w:rsidP="00312596">
      <w:pPr>
        <w:pStyle w:val="NoSpacing"/>
        <w:rPr>
          <w:i/>
        </w:rPr>
      </w:pPr>
      <w:r w:rsidRPr="009A0DA6">
        <w:rPr>
          <w:i/>
        </w:rPr>
        <w:t>Submitted by LCA Victoria/</w:t>
      </w:r>
      <w:r w:rsidR="00312596" w:rsidRPr="009A0DA6">
        <w:rPr>
          <w:i/>
        </w:rPr>
        <w:t xml:space="preserve">Tasmania </w:t>
      </w:r>
      <w:r w:rsidRPr="009A0DA6">
        <w:rPr>
          <w:i/>
        </w:rPr>
        <w:t xml:space="preserve">District </w:t>
      </w:r>
      <w:r w:rsidR="00312596" w:rsidRPr="009A0DA6">
        <w:rPr>
          <w:i/>
        </w:rPr>
        <w:t>Pastors Conference</w:t>
      </w:r>
    </w:p>
    <w:p w14:paraId="00D51713" w14:textId="77777777" w:rsidR="00290C36" w:rsidRPr="009A0DA6" w:rsidRDefault="00290C36" w:rsidP="00312596">
      <w:pPr>
        <w:pStyle w:val="NoSpacing"/>
      </w:pPr>
    </w:p>
    <w:p w14:paraId="56393EAB" w14:textId="77777777" w:rsidR="00877D54" w:rsidRPr="009A0DA6" w:rsidRDefault="00877D54" w:rsidP="00877D54">
      <w:pPr>
        <w:spacing w:after="120" w:line="240" w:lineRule="auto"/>
        <w:ind w:right="573"/>
        <w:rPr>
          <w:rFonts w:ascii="Cambria" w:eastAsia="Times New Roman" w:hAnsi="Cambria" w:cs="Times New Roman"/>
          <w:bCs/>
          <w:color w:val="222222"/>
          <w:szCs w:val="20"/>
          <w:lang w:eastAsia="en-AU"/>
        </w:rPr>
      </w:pPr>
      <w:r w:rsidRPr="009A0DA6">
        <w:rPr>
          <w:rFonts w:ascii="Cambria" w:hAnsi="Cambria"/>
          <w:b/>
          <w:bCs/>
          <w:lang w:eastAsia="en-AU"/>
        </w:rPr>
        <w:t>BE IT RESOLVED</w:t>
      </w:r>
      <w:r w:rsidRPr="009A0DA6">
        <w:rPr>
          <w:rFonts w:ascii="Cambria" w:eastAsia="Times New Roman" w:hAnsi="Cambria" w:cs="Times New Roman"/>
          <w:bCs/>
          <w:color w:val="000000"/>
          <w:sz w:val="28"/>
          <w:lang w:eastAsia="en-AU"/>
        </w:rPr>
        <w:t xml:space="preserve"> </w:t>
      </w:r>
      <w:r w:rsidRPr="009A0DA6">
        <w:rPr>
          <w:rFonts w:ascii="Cambria" w:eastAsia="Times New Roman" w:hAnsi="Cambria" w:cs="Times New Roman"/>
          <w:bCs/>
          <w:color w:val="222222"/>
          <w:szCs w:val="20"/>
          <w:lang w:eastAsia="en-AU"/>
        </w:rPr>
        <w:t>th</w:t>
      </w:r>
      <w:r w:rsidRPr="009A0DA6">
        <w:rPr>
          <w:rStyle w:val="NoSpacingChar"/>
        </w:rPr>
        <w:t>at in the event of a matter proceeding to a tribunal hearing all parties are enabled and financially assisted to have an appropriate advisor to assist them in navigating the processes of the tribunal, and are provided with pastoral care throughout the process.</w:t>
      </w:r>
    </w:p>
    <w:p w14:paraId="6D26172F" w14:textId="77777777" w:rsidR="00877D54" w:rsidRPr="009A0DA6" w:rsidRDefault="00877D54" w:rsidP="00CE5065">
      <w:pPr>
        <w:pStyle w:val="Heading3"/>
      </w:pPr>
      <w:r w:rsidRPr="009A0DA6">
        <w:lastRenderedPageBreak/>
        <w:t>REASONS FOR THE MOTION</w:t>
      </w:r>
    </w:p>
    <w:p w14:paraId="695469F2" w14:textId="77A84451" w:rsidR="00877D54" w:rsidRPr="006940AF" w:rsidRDefault="00877D54" w:rsidP="00F55252">
      <w:pPr>
        <w:pStyle w:val="ListParagraph"/>
        <w:numPr>
          <w:ilvl w:val="0"/>
          <w:numId w:val="146"/>
        </w:numPr>
        <w:shd w:val="clear" w:color="auto" w:fill="FFFFFF"/>
        <w:suppressAutoHyphens/>
        <w:autoSpaceDN w:val="0"/>
        <w:spacing w:after="0" w:line="240" w:lineRule="auto"/>
        <w:ind w:left="567" w:hanging="567"/>
        <w:contextualSpacing w:val="0"/>
        <w:textAlignment w:val="baseline"/>
        <w:rPr>
          <w:rFonts w:ascii="Cambria" w:hAnsi="Cambria" w:cs="Arial"/>
          <w:color w:val="222222"/>
          <w:sz w:val="10"/>
          <w:szCs w:val="20"/>
        </w:rPr>
      </w:pPr>
      <w:r w:rsidRPr="009A0DA6">
        <w:rPr>
          <w:rFonts w:ascii="Cambria" w:hAnsi="Cambria" w:cs="Arial"/>
          <w:color w:val="222222"/>
          <w:szCs w:val="20"/>
        </w:rPr>
        <w:t>To protect the dignity of all parties involved with tribunal actions and to see that the faire</w:t>
      </w:r>
      <w:r w:rsidR="00290C36" w:rsidRPr="009A0DA6">
        <w:rPr>
          <w:rFonts w:ascii="Cambria" w:hAnsi="Cambria" w:cs="Arial"/>
          <w:color w:val="222222"/>
          <w:szCs w:val="20"/>
        </w:rPr>
        <w:t>st course of action is followed</w:t>
      </w:r>
    </w:p>
    <w:p w14:paraId="66715D20" w14:textId="47264057" w:rsidR="00877D54" w:rsidRPr="006940AF" w:rsidRDefault="00877D54" w:rsidP="00F55252">
      <w:pPr>
        <w:pStyle w:val="ListParagraph"/>
        <w:numPr>
          <w:ilvl w:val="0"/>
          <w:numId w:val="146"/>
        </w:numPr>
        <w:shd w:val="clear" w:color="auto" w:fill="FFFFFF"/>
        <w:suppressAutoHyphens/>
        <w:autoSpaceDN w:val="0"/>
        <w:spacing w:after="0" w:line="240" w:lineRule="auto"/>
        <w:ind w:left="567" w:hanging="567"/>
        <w:contextualSpacing w:val="0"/>
        <w:textAlignment w:val="baseline"/>
        <w:rPr>
          <w:rFonts w:ascii="Cambria" w:hAnsi="Cambria" w:cs="Arial"/>
          <w:color w:val="222222"/>
          <w:sz w:val="14"/>
          <w:szCs w:val="20"/>
        </w:rPr>
      </w:pPr>
      <w:r w:rsidRPr="009A0DA6">
        <w:rPr>
          <w:rFonts w:ascii="Cambria" w:hAnsi="Cambria" w:cs="Arial"/>
          <w:color w:val="222222"/>
          <w:szCs w:val="20"/>
        </w:rPr>
        <w:t xml:space="preserve">To act </w:t>
      </w:r>
      <w:r w:rsidR="00290C36" w:rsidRPr="009A0DA6">
        <w:rPr>
          <w:rFonts w:ascii="Cambria" w:hAnsi="Cambria" w:cs="Arial"/>
          <w:color w:val="222222"/>
          <w:szCs w:val="20"/>
        </w:rPr>
        <w:t>in a Christian and godly manner</w:t>
      </w:r>
    </w:p>
    <w:p w14:paraId="260E8A44" w14:textId="7DF09DFC" w:rsidR="00877D54" w:rsidRPr="000018CD" w:rsidRDefault="00877D54" w:rsidP="00F55252">
      <w:pPr>
        <w:pStyle w:val="ListParagraph"/>
        <w:numPr>
          <w:ilvl w:val="0"/>
          <w:numId w:val="146"/>
        </w:numPr>
        <w:spacing w:after="0" w:line="240" w:lineRule="auto"/>
        <w:ind w:left="567" w:right="473" w:hanging="567"/>
        <w:rPr>
          <w:rStyle w:val="NoSpacingChar"/>
          <w:rFonts w:eastAsia="Arial" w:cs="Arial"/>
          <w:sz w:val="24"/>
          <w:szCs w:val="21"/>
        </w:rPr>
      </w:pPr>
      <w:r w:rsidRPr="009A0DA6">
        <w:rPr>
          <w:rFonts w:ascii="Cambria" w:hAnsi="Cambria" w:cs="Arial"/>
          <w:color w:val="222222"/>
          <w:szCs w:val="20"/>
        </w:rPr>
        <w:t xml:space="preserve">To </w:t>
      </w:r>
      <w:r w:rsidRPr="009A0DA6">
        <w:rPr>
          <w:rStyle w:val="NoSpacingChar"/>
        </w:rPr>
        <w:t>safeguard the mental and emotional health of all parties during tribunal actions.</w:t>
      </w:r>
    </w:p>
    <w:p w14:paraId="12E9C9E8" w14:textId="2E524A87" w:rsidR="000018CD" w:rsidRDefault="000018CD" w:rsidP="000018CD">
      <w:pPr>
        <w:spacing w:after="0" w:line="240" w:lineRule="auto"/>
        <w:ind w:right="473"/>
        <w:rPr>
          <w:rFonts w:ascii="Cambria" w:eastAsia="Arial" w:hAnsi="Cambria" w:cs="Arial"/>
          <w:sz w:val="24"/>
          <w:szCs w:val="21"/>
        </w:rPr>
      </w:pPr>
    </w:p>
    <w:p w14:paraId="2601EF04" w14:textId="77777777" w:rsidR="000018CD" w:rsidRPr="000018CD" w:rsidRDefault="000018CD" w:rsidP="000018CD">
      <w:pPr>
        <w:spacing w:after="0" w:line="240" w:lineRule="auto"/>
        <w:ind w:right="473"/>
        <w:rPr>
          <w:rFonts w:ascii="Cambria" w:eastAsia="Arial" w:hAnsi="Cambria" w:cs="Arial"/>
          <w:sz w:val="24"/>
          <w:szCs w:val="21"/>
        </w:rPr>
      </w:pPr>
    </w:p>
    <w:p w14:paraId="23200C1E" w14:textId="77777777" w:rsidR="00312596" w:rsidRPr="009A0DA6" w:rsidRDefault="00312596" w:rsidP="00964A90">
      <w:pPr>
        <w:pStyle w:val="Heading3"/>
      </w:pPr>
      <w:r w:rsidRPr="009A0DA6">
        <w:t>agenda 2.3.16</w:t>
      </w:r>
    </w:p>
    <w:p w14:paraId="1F7DB2F1" w14:textId="1D1B4FF1" w:rsidR="00312596" w:rsidRPr="009A0DA6" w:rsidRDefault="00312596" w:rsidP="00312596">
      <w:pPr>
        <w:pStyle w:val="Heading2"/>
      </w:pPr>
      <w:bookmarkStart w:id="443" w:name="_Toc521954695"/>
      <w:r w:rsidRPr="009A0DA6">
        <w:t xml:space="preserve">Make available </w:t>
      </w:r>
      <w:r w:rsidR="00201F24">
        <w:t xml:space="preserve">the use of </w:t>
      </w:r>
      <w:r w:rsidR="00174A5E" w:rsidRPr="009A0DA6">
        <w:t>c</w:t>
      </w:r>
      <w:r w:rsidRPr="009A0DA6">
        <w:t xml:space="preserve">hild </w:t>
      </w:r>
      <w:r w:rsidR="00174A5E" w:rsidRPr="009A0DA6">
        <w:t>p</w:t>
      </w:r>
      <w:r w:rsidRPr="009A0DA6">
        <w:t xml:space="preserve">rotection </w:t>
      </w:r>
      <w:r w:rsidR="00174A5E" w:rsidRPr="009A0DA6">
        <w:t>t</w:t>
      </w:r>
      <w:r w:rsidRPr="009A0DA6">
        <w:t>raining from other denominations</w:t>
      </w:r>
      <w:bookmarkEnd w:id="443"/>
    </w:p>
    <w:p w14:paraId="34468B70" w14:textId="77777777" w:rsidR="00312596" w:rsidRPr="009A0DA6" w:rsidRDefault="00312596" w:rsidP="00312596">
      <w:pPr>
        <w:pStyle w:val="NoSpacing"/>
      </w:pPr>
    </w:p>
    <w:p w14:paraId="116010E5" w14:textId="50FDBF5A" w:rsidR="00312596" w:rsidRPr="009A0DA6" w:rsidRDefault="00877D54" w:rsidP="00964A90">
      <w:pPr>
        <w:pStyle w:val="Heading3"/>
      </w:pPr>
      <w:r w:rsidRPr="009A0DA6">
        <w:t>proposed motion</w:t>
      </w:r>
    </w:p>
    <w:p w14:paraId="2D74E66D" w14:textId="23B435D9" w:rsidR="00312596" w:rsidRPr="009A0DA6" w:rsidRDefault="00312596" w:rsidP="00312596">
      <w:pPr>
        <w:pStyle w:val="NoSpacing"/>
      </w:pPr>
      <w:r w:rsidRPr="009A0DA6">
        <w:rPr>
          <w:i/>
        </w:rPr>
        <w:t>Submitted by Calvary Lutheran Church, Rockhampton</w:t>
      </w:r>
      <w:r w:rsidR="00877D54" w:rsidRPr="009A0DA6">
        <w:rPr>
          <w:i/>
        </w:rPr>
        <w:t xml:space="preserve"> Qld</w:t>
      </w:r>
    </w:p>
    <w:p w14:paraId="78B8B724" w14:textId="7C4C0806" w:rsidR="00312596" w:rsidRPr="009A0DA6" w:rsidRDefault="00312596" w:rsidP="00312596">
      <w:pPr>
        <w:pStyle w:val="NoSpacing"/>
      </w:pPr>
    </w:p>
    <w:p w14:paraId="2F178C3F" w14:textId="13D01475" w:rsidR="00877D54" w:rsidRPr="009A0DA6" w:rsidRDefault="00877D54" w:rsidP="00877D54">
      <w:pPr>
        <w:pStyle w:val="NoSpacing"/>
      </w:pPr>
      <w:r w:rsidRPr="009A0DA6">
        <w:rPr>
          <w:b/>
        </w:rPr>
        <w:t>BE IT RESOLVED</w:t>
      </w:r>
      <w:r w:rsidRPr="009A0DA6">
        <w:t xml:space="preserve"> that we recognise and use child protection training provided by other denominations.</w:t>
      </w:r>
    </w:p>
    <w:p w14:paraId="30AD7D95" w14:textId="77777777" w:rsidR="00877D54" w:rsidRPr="009A0DA6" w:rsidRDefault="00877D54" w:rsidP="00877D54">
      <w:pPr>
        <w:pStyle w:val="NoSpacing"/>
      </w:pPr>
    </w:p>
    <w:p w14:paraId="356C192A" w14:textId="77777777" w:rsidR="00877D54" w:rsidRPr="009A0DA6" w:rsidRDefault="00877D54" w:rsidP="00CE5065">
      <w:pPr>
        <w:pStyle w:val="Heading3"/>
      </w:pPr>
      <w:r w:rsidRPr="009A0DA6">
        <w:t>REASONS FOR THE MOTION</w:t>
      </w:r>
    </w:p>
    <w:p w14:paraId="2F5368B4" w14:textId="415051A7" w:rsidR="00877D54" w:rsidRPr="009A0DA6" w:rsidRDefault="00290C36" w:rsidP="00877D54">
      <w:pPr>
        <w:pStyle w:val="NoSpacing"/>
      </w:pPr>
      <w:r w:rsidRPr="009A0DA6">
        <w:t xml:space="preserve">PSD and Child Protection: </w:t>
      </w:r>
      <w:r w:rsidR="00877D54" w:rsidRPr="009A0DA6">
        <w:t>In order to care for people in an appropriate way, we recognise the need to provide training in child protection and professional standards.</w:t>
      </w:r>
    </w:p>
    <w:p w14:paraId="5D3CDBCE" w14:textId="77777777" w:rsidR="00877D54" w:rsidRPr="009A0DA6" w:rsidRDefault="00877D54" w:rsidP="00877D54">
      <w:pPr>
        <w:pStyle w:val="NoSpacing"/>
      </w:pPr>
    </w:p>
    <w:p w14:paraId="62DFD0B0" w14:textId="3940F60E" w:rsidR="00877D54" w:rsidRPr="009A0DA6" w:rsidRDefault="00877D54" w:rsidP="00F55252">
      <w:pPr>
        <w:pStyle w:val="NoSpacing"/>
        <w:numPr>
          <w:ilvl w:val="0"/>
          <w:numId w:val="155"/>
        </w:numPr>
        <w:ind w:left="567" w:hanging="567"/>
      </w:pPr>
      <w:r w:rsidRPr="009A0DA6">
        <w:t>As all denominations would be doing child prot</w:t>
      </w:r>
      <w:r w:rsidR="00290C36" w:rsidRPr="009A0DA6">
        <w:t>ection t</w:t>
      </w:r>
      <w:r w:rsidRPr="009A0DA6">
        <w:t>raining, and the quality and content of training would be fairly similar, it seems likely that an ecumenical approach would be in order. However, training in other churches doesn’t se</w:t>
      </w:r>
      <w:r w:rsidR="000018CD">
        <w:t>em to be recognised by the LCA.</w:t>
      </w:r>
    </w:p>
    <w:p w14:paraId="21FFC1D9" w14:textId="37677AD7" w:rsidR="00877D54" w:rsidRPr="009A0DA6" w:rsidRDefault="00877D54" w:rsidP="00F55252">
      <w:pPr>
        <w:pStyle w:val="NoSpacing"/>
        <w:numPr>
          <w:ilvl w:val="0"/>
          <w:numId w:val="155"/>
        </w:numPr>
        <w:ind w:left="567" w:hanging="567"/>
      </w:pPr>
      <w:r w:rsidRPr="009A0DA6">
        <w:t>Especially in areas where the L</w:t>
      </w:r>
      <w:r w:rsidR="00290C36" w:rsidRPr="009A0DA6">
        <w:t>utheran c</w:t>
      </w:r>
      <w:r w:rsidRPr="009A0DA6">
        <w:t>hurch is isolated or a minority, and while other denominations provide training as well, it seems unreasonable that we should have to go to great expense and inconvenience to avail ou</w:t>
      </w:r>
      <w:r w:rsidR="000018CD">
        <w:t>rselves of 'Lutheran' training.</w:t>
      </w:r>
    </w:p>
    <w:p w14:paraId="1B0B1923" w14:textId="4B2EEE9F" w:rsidR="00877D54" w:rsidRPr="009A0DA6" w:rsidRDefault="00877D54" w:rsidP="00F55252">
      <w:pPr>
        <w:pStyle w:val="NoSpacing"/>
        <w:numPr>
          <w:ilvl w:val="0"/>
          <w:numId w:val="155"/>
        </w:numPr>
        <w:ind w:left="567" w:hanging="567"/>
      </w:pPr>
      <w:r w:rsidRPr="009A0DA6">
        <w:t>In the planning stages of child protection many years ago it was proposed that this training would be ecumenical.</w:t>
      </w:r>
    </w:p>
    <w:p w14:paraId="1EC95479" w14:textId="72960965" w:rsidR="00CE5065" w:rsidRPr="009A0DA6" w:rsidRDefault="00CE5065" w:rsidP="00CE5065">
      <w:pPr>
        <w:pStyle w:val="NoSpacing"/>
      </w:pPr>
    </w:p>
    <w:p w14:paraId="0BDCC252" w14:textId="77777777" w:rsidR="00877D54" w:rsidRPr="009A0DA6" w:rsidRDefault="00877D54" w:rsidP="00312596">
      <w:pPr>
        <w:pStyle w:val="NoSpacing"/>
      </w:pPr>
    </w:p>
    <w:p w14:paraId="19252FEC" w14:textId="77777777" w:rsidR="00312596" w:rsidRPr="009A0DA6" w:rsidRDefault="00312596" w:rsidP="00964A90">
      <w:pPr>
        <w:pStyle w:val="Heading3"/>
      </w:pPr>
      <w:r w:rsidRPr="009A0DA6">
        <w:t>Agenda 2.3.17</w:t>
      </w:r>
    </w:p>
    <w:p w14:paraId="42AC41F5" w14:textId="2B157CDE" w:rsidR="00312596" w:rsidRPr="009A0DA6" w:rsidRDefault="00201F24" w:rsidP="00312596">
      <w:pPr>
        <w:pStyle w:val="Heading2"/>
      </w:pPr>
      <w:bookmarkStart w:id="444" w:name="_Toc521954696"/>
      <w:r>
        <w:t xml:space="preserve">Recognition of </w:t>
      </w:r>
      <w:r w:rsidR="00877D54" w:rsidRPr="009A0DA6">
        <w:t>Aboriginal members</w:t>
      </w:r>
      <w:bookmarkEnd w:id="444"/>
    </w:p>
    <w:p w14:paraId="656B29F2" w14:textId="353A8B1D" w:rsidR="00312596" w:rsidRDefault="00312596" w:rsidP="00312596">
      <w:pPr>
        <w:pStyle w:val="NoSpacing"/>
      </w:pPr>
    </w:p>
    <w:p w14:paraId="21F7B4F9" w14:textId="24456819" w:rsidR="00507840" w:rsidRDefault="00507840" w:rsidP="00312596">
      <w:pPr>
        <w:pStyle w:val="NoSpacing"/>
      </w:pPr>
      <w:r>
        <w:t>(See also Agenda 2.4.14)</w:t>
      </w:r>
    </w:p>
    <w:p w14:paraId="15B74760" w14:textId="77777777" w:rsidR="00507840" w:rsidRPr="009A0DA6" w:rsidRDefault="00507840" w:rsidP="00312596">
      <w:pPr>
        <w:pStyle w:val="NoSpacing"/>
      </w:pPr>
    </w:p>
    <w:p w14:paraId="5B350FDD" w14:textId="5C5CCB60" w:rsidR="00312596" w:rsidRPr="009A0DA6" w:rsidRDefault="00877D54" w:rsidP="00964A90">
      <w:pPr>
        <w:pStyle w:val="Heading3"/>
      </w:pPr>
      <w:r w:rsidRPr="009A0DA6">
        <w:t>proposed motion</w:t>
      </w:r>
    </w:p>
    <w:p w14:paraId="1DAE8128" w14:textId="5F405012" w:rsidR="00312596" w:rsidRPr="009A0DA6" w:rsidRDefault="00312596" w:rsidP="00312596">
      <w:pPr>
        <w:pStyle w:val="NoSpacing"/>
      </w:pPr>
      <w:r w:rsidRPr="009A0DA6">
        <w:rPr>
          <w:i/>
        </w:rPr>
        <w:t>Submitted by Redeemer Lutheran Congregation, Toowoomba</w:t>
      </w:r>
      <w:r w:rsidR="00877D54" w:rsidRPr="009A0DA6">
        <w:rPr>
          <w:i/>
        </w:rPr>
        <w:t xml:space="preserve"> Qld</w:t>
      </w:r>
    </w:p>
    <w:p w14:paraId="4A9D9646" w14:textId="77777777" w:rsidR="00312596" w:rsidRPr="009A0DA6" w:rsidRDefault="00312596" w:rsidP="00312596">
      <w:pPr>
        <w:pStyle w:val="NoSpacing"/>
      </w:pPr>
    </w:p>
    <w:p w14:paraId="5B62FFC4" w14:textId="77777777" w:rsidR="00877D54" w:rsidRPr="009A0DA6" w:rsidRDefault="00877D54" w:rsidP="00877D54">
      <w:pPr>
        <w:shd w:val="clear" w:color="auto" w:fill="FFFFFF"/>
        <w:tabs>
          <w:tab w:val="left" w:pos="426"/>
        </w:tabs>
        <w:spacing w:after="120" w:line="240" w:lineRule="auto"/>
        <w:rPr>
          <w:rFonts w:ascii="Cambria" w:eastAsia="Arial" w:hAnsi="Cambria" w:cs="Arial"/>
        </w:rPr>
      </w:pPr>
      <w:r w:rsidRPr="009A0DA6">
        <w:rPr>
          <w:rFonts w:ascii="Cambria" w:hAnsi="Cambria"/>
          <w:b/>
          <w:bCs/>
          <w:lang w:eastAsia="en-AU"/>
        </w:rPr>
        <w:t>BE IT RESOLVED</w:t>
      </w:r>
      <w:r w:rsidRPr="009A0DA6">
        <w:rPr>
          <w:rFonts w:ascii="Cambria" w:eastAsia="Times New Roman" w:hAnsi="Cambria" w:cs="Times New Roman"/>
          <w:bCs/>
          <w:color w:val="000000"/>
          <w:lang w:eastAsia="en-AU"/>
        </w:rPr>
        <w:t xml:space="preserve"> </w:t>
      </w:r>
    </w:p>
    <w:p w14:paraId="7FFAE0C2" w14:textId="77777777" w:rsidR="00877D54" w:rsidRPr="009A0DA6" w:rsidRDefault="00877D54" w:rsidP="00F55252">
      <w:pPr>
        <w:pStyle w:val="ListParagraph"/>
        <w:numPr>
          <w:ilvl w:val="0"/>
          <w:numId w:val="147"/>
        </w:numPr>
        <w:spacing w:after="0" w:line="267" w:lineRule="exact"/>
        <w:ind w:left="567" w:right="-20" w:hanging="567"/>
        <w:rPr>
          <w:rFonts w:ascii="Cambria" w:eastAsia="Calibri" w:hAnsi="Cambria" w:cs="Calibri"/>
        </w:rPr>
      </w:pPr>
      <w:r w:rsidRPr="009A0DA6">
        <w:rPr>
          <w:rFonts w:ascii="Cambria" w:eastAsia="Calibri" w:hAnsi="Cambria" w:cs="Calibri"/>
          <w:position w:val="1"/>
        </w:rPr>
        <w:t>That</w:t>
      </w:r>
      <w:r w:rsidRPr="009A0DA6">
        <w:rPr>
          <w:rFonts w:ascii="Cambria" w:eastAsia="Calibri" w:hAnsi="Cambria" w:cs="Calibri"/>
          <w:spacing w:val="1"/>
          <w:position w:val="1"/>
        </w:rPr>
        <w:t xml:space="preserve"> </w:t>
      </w:r>
      <w:r w:rsidRPr="009A0DA6">
        <w:rPr>
          <w:rFonts w:ascii="Cambria" w:eastAsia="Calibri" w:hAnsi="Cambria" w:cs="Calibri"/>
          <w:position w:val="1"/>
        </w:rPr>
        <w:t>the</w:t>
      </w:r>
      <w:r w:rsidRPr="009A0DA6">
        <w:rPr>
          <w:rFonts w:ascii="Cambria" w:eastAsia="Calibri" w:hAnsi="Cambria" w:cs="Calibri"/>
          <w:spacing w:val="-2"/>
          <w:position w:val="1"/>
        </w:rPr>
        <w:t xml:space="preserve"> </w:t>
      </w:r>
      <w:r w:rsidRPr="009A0DA6">
        <w:rPr>
          <w:rFonts w:ascii="Cambria" w:eastAsia="Calibri" w:hAnsi="Cambria" w:cs="Calibri"/>
          <w:position w:val="1"/>
        </w:rPr>
        <w:t>A</w:t>
      </w:r>
      <w:r w:rsidRPr="009A0DA6">
        <w:rPr>
          <w:rFonts w:ascii="Cambria" w:eastAsia="Calibri" w:hAnsi="Cambria" w:cs="Calibri"/>
          <w:spacing w:val="-1"/>
          <w:position w:val="1"/>
        </w:rPr>
        <w:t>b</w:t>
      </w:r>
      <w:r w:rsidRPr="009A0DA6">
        <w:rPr>
          <w:rFonts w:ascii="Cambria" w:eastAsia="Calibri" w:hAnsi="Cambria" w:cs="Calibri"/>
          <w:spacing w:val="1"/>
          <w:position w:val="1"/>
        </w:rPr>
        <w:t>o</w:t>
      </w:r>
      <w:r w:rsidRPr="009A0DA6">
        <w:rPr>
          <w:rFonts w:ascii="Cambria" w:eastAsia="Calibri" w:hAnsi="Cambria" w:cs="Calibri"/>
          <w:position w:val="1"/>
        </w:rPr>
        <w:t>ri</w:t>
      </w:r>
      <w:r w:rsidRPr="009A0DA6">
        <w:rPr>
          <w:rFonts w:ascii="Cambria" w:eastAsia="Calibri" w:hAnsi="Cambria" w:cs="Calibri"/>
          <w:spacing w:val="-1"/>
          <w:position w:val="1"/>
        </w:rPr>
        <w:t>g</w:t>
      </w:r>
      <w:r w:rsidRPr="009A0DA6">
        <w:rPr>
          <w:rFonts w:ascii="Cambria" w:eastAsia="Calibri" w:hAnsi="Cambria" w:cs="Calibri"/>
          <w:position w:val="1"/>
        </w:rPr>
        <w:t>i</w:t>
      </w:r>
      <w:r w:rsidRPr="009A0DA6">
        <w:rPr>
          <w:rFonts w:ascii="Cambria" w:eastAsia="Calibri" w:hAnsi="Cambria" w:cs="Calibri"/>
          <w:spacing w:val="-1"/>
          <w:position w:val="1"/>
        </w:rPr>
        <w:t>n</w:t>
      </w:r>
      <w:r w:rsidRPr="009A0DA6">
        <w:rPr>
          <w:rFonts w:ascii="Cambria" w:eastAsia="Calibri" w:hAnsi="Cambria" w:cs="Calibri"/>
          <w:position w:val="1"/>
        </w:rPr>
        <w:t xml:space="preserve">al </w:t>
      </w:r>
      <w:r w:rsidRPr="009A0DA6">
        <w:rPr>
          <w:rFonts w:ascii="Cambria" w:eastAsia="Calibri" w:hAnsi="Cambria" w:cs="Calibri"/>
          <w:spacing w:val="-1"/>
          <w:position w:val="1"/>
        </w:rPr>
        <w:t>p</w:t>
      </w:r>
      <w:r w:rsidRPr="009A0DA6">
        <w:rPr>
          <w:rFonts w:ascii="Cambria" w:eastAsia="Calibri" w:hAnsi="Cambria" w:cs="Calibri"/>
          <w:position w:val="1"/>
        </w:rPr>
        <w:t>as</w:t>
      </w:r>
      <w:r w:rsidRPr="009A0DA6">
        <w:rPr>
          <w:rFonts w:ascii="Cambria" w:eastAsia="Calibri" w:hAnsi="Cambria" w:cs="Calibri"/>
          <w:spacing w:val="-2"/>
          <w:position w:val="1"/>
        </w:rPr>
        <w:t>t</w:t>
      </w:r>
      <w:r w:rsidRPr="009A0DA6">
        <w:rPr>
          <w:rFonts w:ascii="Cambria" w:eastAsia="Calibri" w:hAnsi="Cambria" w:cs="Calibri"/>
          <w:spacing w:val="1"/>
          <w:position w:val="1"/>
        </w:rPr>
        <w:t>o</w:t>
      </w:r>
      <w:r w:rsidRPr="009A0DA6">
        <w:rPr>
          <w:rFonts w:ascii="Cambria" w:eastAsia="Calibri" w:hAnsi="Cambria" w:cs="Calibri"/>
          <w:position w:val="1"/>
        </w:rPr>
        <w:t>rs</w:t>
      </w:r>
      <w:r w:rsidRPr="009A0DA6">
        <w:rPr>
          <w:rFonts w:ascii="Cambria" w:eastAsia="Calibri" w:hAnsi="Cambria" w:cs="Calibri"/>
          <w:spacing w:val="-2"/>
          <w:position w:val="1"/>
        </w:rPr>
        <w:t xml:space="preserve"> </w:t>
      </w:r>
      <w:r w:rsidRPr="009A0DA6">
        <w:rPr>
          <w:rFonts w:ascii="Cambria" w:eastAsia="Calibri" w:hAnsi="Cambria" w:cs="Calibri"/>
          <w:position w:val="1"/>
        </w:rPr>
        <w:t>and</w:t>
      </w:r>
      <w:r w:rsidRPr="009A0DA6">
        <w:rPr>
          <w:rFonts w:ascii="Cambria" w:eastAsia="Calibri" w:hAnsi="Cambria" w:cs="Calibri"/>
          <w:spacing w:val="-1"/>
          <w:position w:val="1"/>
        </w:rPr>
        <w:t xml:space="preserve"> </w:t>
      </w:r>
      <w:r w:rsidRPr="009A0DA6">
        <w:rPr>
          <w:rFonts w:ascii="Cambria" w:eastAsia="Calibri" w:hAnsi="Cambria" w:cs="Calibri"/>
          <w:position w:val="1"/>
        </w:rPr>
        <w:t>c</w:t>
      </w:r>
      <w:r w:rsidRPr="009A0DA6">
        <w:rPr>
          <w:rFonts w:ascii="Cambria" w:eastAsia="Calibri" w:hAnsi="Cambria" w:cs="Calibri"/>
          <w:spacing w:val="1"/>
          <w:position w:val="1"/>
        </w:rPr>
        <w:t>o</w:t>
      </w:r>
      <w:r w:rsidRPr="009A0DA6">
        <w:rPr>
          <w:rFonts w:ascii="Cambria" w:eastAsia="Calibri" w:hAnsi="Cambria" w:cs="Calibri"/>
          <w:spacing w:val="-1"/>
          <w:position w:val="1"/>
        </w:rPr>
        <w:t>ng</w:t>
      </w:r>
      <w:r w:rsidRPr="009A0DA6">
        <w:rPr>
          <w:rFonts w:ascii="Cambria" w:eastAsia="Calibri" w:hAnsi="Cambria" w:cs="Calibri"/>
          <w:position w:val="1"/>
        </w:rPr>
        <w:t>reg</w:t>
      </w:r>
      <w:r w:rsidRPr="009A0DA6">
        <w:rPr>
          <w:rFonts w:ascii="Cambria" w:eastAsia="Calibri" w:hAnsi="Cambria" w:cs="Calibri"/>
          <w:spacing w:val="-3"/>
          <w:position w:val="1"/>
        </w:rPr>
        <w:t>a</w:t>
      </w:r>
      <w:r w:rsidRPr="009A0DA6">
        <w:rPr>
          <w:rFonts w:ascii="Cambria" w:eastAsia="Calibri" w:hAnsi="Cambria" w:cs="Calibri"/>
          <w:position w:val="1"/>
        </w:rPr>
        <w:t>ti</w:t>
      </w:r>
      <w:r w:rsidRPr="009A0DA6">
        <w:rPr>
          <w:rFonts w:ascii="Cambria" w:eastAsia="Calibri" w:hAnsi="Cambria" w:cs="Calibri"/>
          <w:spacing w:val="1"/>
          <w:position w:val="1"/>
        </w:rPr>
        <w:t>o</w:t>
      </w:r>
      <w:r w:rsidRPr="009A0DA6">
        <w:rPr>
          <w:rFonts w:ascii="Cambria" w:eastAsia="Calibri" w:hAnsi="Cambria" w:cs="Calibri"/>
          <w:spacing w:val="-1"/>
          <w:position w:val="1"/>
        </w:rPr>
        <w:t>n</w:t>
      </w:r>
      <w:r w:rsidRPr="009A0DA6">
        <w:rPr>
          <w:rFonts w:ascii="Cambria" w:eastAsia="Calibri" w:hAnsi="Cambria" w:cs="Calibri"/>
          <w:position w:val="1"/>
        </w:rPr>
        <w:t>s</w:t>
      </w:r>
      <w:r w:rsidRPr="009A0DA6">
        <w:rPr>
          <w:rFonts w:ascii="Cambria" w:eastAsia="Calibri" w:hAnsi="Cambria" w:cs="Calibri"/>
          <w:spacing w:val="-2"/>
          <w:position w:val="1"/>
        </w:rPr>
        <w:t xml:space="preserve"> </w:t>
      </w:r>
      <w:r w:rsidRPr="009A0DA6">
        <w:rPr>
          <w:rFonts w:ascii="Cambria" w:eastAsia="Calibri" w:hAnsi="Cambria" w:cs="Calibri"/>
          <w:spacing w:val="1"/>
          <w:position w:val="1"/>
        </w:rPr>
        <w:t>o</w:t>
      </w:r>
      <w:r w:rsidRPr="009A0DA6">
        <w:rPr>
          <w:rFonts w:ascii="Cambria" w:eastAsia="Calibri" w:hAnsi="Cambria" w:cs="Calibri"/>
          <w:position w:val="1"/>
        </w:rPr>
        <w:t>f</w:t>
      </w:r>
      <w:r w:rsidRPr="009A0DA6">
        <w:rPr>
          <w:rFonts w:ascii="Cambria" w:eastAsia="Calibri" w:hAnsi="Cambria" w:cs="Calibri"/>
          <w:spacing w:val="-2"/>
          <w:position w:val="1"/>
        </w:rPr>
        <w:t xml:space="preserve"> </w:t>
      </w:r>
      <w:r w:rsidRPr="009A0DA6">
        <w:rPr>
          <w:rFonts w:ascii="Cambria" w:eastAsia="Calibri" w:hAnsi="Cambria" w:cs="Calibri"/>
          <w:position w:val="1"/>
        </w:rPr>
        <w:t>the</w:t>
      </w:r>
      <w:r w:rsidRPr="009A0DA6">
        <w:rPr>
          <w:rFonts w:ascii="Cambria" w:eastAsia="Calibri" w:hAnsi="Cambria" w:cs="Calibri"/>
          <w:spacing w:val="-2"/>
          <w:position w:val="1"/>
        </w:rPr>
        <w:t xml:space="preserve"> L</w:t>
      </w:r>
      <w:r w:rsidRPr="009A0DA6">
        <w:rPr>
          <w:rFonts w:ascii="Cambria" w:eastAsia="Calibri" w:hAnsi="Cambria" w:cs="Calibri"/>
          <w:position w:val="1"/>
        </w:rPr>
        <w:t>CA be</w:t>
      </w:r>
      <w:r w:rsidRPr="009A0DA6">
        <w:rPr>
          <w:rFonts w:ascii="Cambria" w:eastAsia="Calibri" w:hAnsi="Cambria" w:cs="Calibri"/>
          <w:spacing w:val="1"/>
          <w:position w:val="1"/>
        </w:rPr>
        <w:t xml:space="preserve"> </w:t>
      </w:r>
      <w:r w:rsidRPr="009A0DA6">
        <w:rPr>
          <w:rFonts w:ascii="Cambria" w:eastAsia="Calibri" w:hAnsi="Cambria" w:cs="Calibri"/>
          <w:spacing w:val="-1"/>
          <w:position w:val="1"/>
        </w:rPr>
        <w:t>g</w:t>
      </w:r>
      <w:r w:rsidRPr="009A0DA6">
        <w:rPr>
          <w:rFonts w:ascii="Cambria" w:eastAsia="Calibri" w:hAnsi="Cambria" w:cs="Calibri"/>
          <w:position w:val="1"/>
        </w:rPr>
        <w:t>ra</w:t>
      </w:r>
      <w:r w:rsidRPr="009A0DA6">
        <w:rPr>
          <w:rFonts w:ascii="Cambria" w:eastAsia="Calibri" w:hAnsi="Cambria" w:cs="Calibri"/>
          <w:spacing w:val="-1"/>
          <w:position w:val="1"/>
        </w:rPr>
        <w:t>n</w:t>
      </w:r>
      <w:r w:rsidRPr="009A0DA6">
        <w:rPr>
          <w:rFonts w:ascii="Cambria" w:eastAsia="Calibri" w:hAnsi="Cambria" w:cs="Calibri"/>
          <w:position w:val="1"/>
        </w:rPr>
        <w:t>t</w:t>
      </w:r>
      <w:r w:rsidRPr="009A0DA6">
        <w:rPr>
          <w:rFonts w:ascii="Cambria" w:eastAsia="Calibri" w:hAnsi="Cambria" w:cs="Calibri"/>
          <w:spacing w:val="1"/>
          <w:position w:val="1"/>
        </w:rPr>
        <w:t>e</w:t>
      </w:r>
      <w:r w:rsidRPr="009A0DA6">
        <w:rPr>
          <w:rFonts w:ascii="Cambria" w:eastAsia="Calibri" w:hAnsi="Cambria" w:cs="Calibri"/>
          <w:position w:val="1"/>
        </w:rPr>
        <w:t>d</w:t>
      </w:r>
      <w:r w:rsidRPr="009A0DA6">
        <w:rPr>
          <w:rFonts w:ascii="Cambria" w:eastAsia="Calibri" w:hAnsi="Cambria" w:cs="Calibri"/>
          <w:spacing w:val="-3"/>
          <w:position w:val="1"/>
        </w:rPr>
        <w:t xml:space="preserve"> </w:t>
      </w:r>
      <w:r w:rsidRPr="009A0DA6">
        <w:rPr>
          <w:rFonts w:ascii="Cambria" w:eastAsia="Calibri" w:hAnsi="Cambria" w:cs="Calibri"/>
          <w:position w:val="1"/>
        </w:rPr>
        <w:t>the</w:t>
      </w:r>
      <w:r w:rsidRPr="009A0DA6">
        <w:rPr>
          <w:rFonts w:ascii="Cambria" w:eastAsia="Calibri" w:hAnsi="Cambria" w:cs="Calibri"/>
          <w:spacing w:val="3"/>
          <w:position w:val="1"/>
        </w:rPr>
        <w:t xml:space="preserve"> </w:t>
      </w:r>
      <w:r w:rsidRPr="009A0DA6">
        <w:rPr>
          <w:rFonts w:ascii="Cambria" w:eastAsia="Calibri" w:hAnsi="Cambria" w:cs="Calibri"/>
          <w:position w:val="1"/>
        </w:rPr>
        <w:t>i</w:t>
      </w:r>
      <w:r w:rsidRPr="009A0DA6">
        <w:rPr>
          <w:rFonts w:ascii="Cambria" w:eastAsia="Calibri" w:hAnsi="Cambria" w:cs="Calibri"/>
          <w:spacing w:val="-1"/>
          <w:position w:val="1"/>
        </w:rPr>
        <w:t>n</w:t>
      </w:r>
      <w:r w:rsidRPr="009A0DA6">
        <w:rPr>
          <w:rFonts w:ascii="Cambria" w:eastAsia="Calibri" w:hAnsi="Cambria" w:cs="Calibri"/>
          <w:position w:val="1"/>
        </w:rPr>
        <w:t>-</w:t>
      </w:r>
      <w:r w:rsidRPr="009A0DA6">
        <w:rPr>
          <w:rFonts w:ascii="Cambria" w:eastAsia="Calibri" w:hAnsi="Cambria" w:cs="Calibri"/>
          <w:spacing w:val="-1"/>
          <w:position w:val="1"/>
        </w:rPr>
        <w:t>p</w:t>
      </w:r>
      <w:r w:rsidRPr="009A0DA6">
        <w:rPr>
          <w:rFonts w:ascii="Cambria" w:eastAsia="Calibri" w:hAnsi="Cambria" w:cs="Calibri"/>
          <w:position w:val="1"/>
        </w:rPr>
        <w:t>ri</w:t>
      </w:r>
      <w:r w:rsidRPr="009A0DA6">
        <w:rPr>
          <w:rFonts w:ascii="Cambria" w:eastAsia="Calibri" w:hAnsi="Cambria" w:cs="Calibri"/>
          <w:spacing w:val="-1"/>
          <w:position w:val="1"/>
        </w:rPr>
        <w:t>n</w:t>
      </w:r>
      <w:r w:rsidRPr="009A0DA6">
        <w:rPr>
          <w:rFonts w:ascii="Cambria" w:eastAsia="Calibri" w:hAnsi="Cambria" w:cs="Calibri"/>
          <w:position w:val="1"/>
        </w:rPr>
        <w:t>c</w:t>
      </w:r>
      <w:r w:rsidRPr="009A0DA6">
        <w:rPr>
          <w:rFonts w:ascii="Cambria" w:eastAsia="Calibri" w:hAnsi="Cambria" w:cs="Calibri"/>
          <w:spacing w:val="-3"/>
          <w:position w:val="1"/>
        </w:rPr>
        <w:t>i</w:t>
      </w:r>
      <w:r w:rsidRPr="009A0DA6">
        <w:rPr>
          <w:rFonts w:ascii="Cambria" w:eastAsia="Calibri" w:hAnsi="Cambria" w:cs="Calibri"/>
          <w:spacing w:val="-1"/>
          <w:position w:val="1"/>
        </w:rPr>
        <w:t>p</w:t>
      </w:r>
      <w:r w:rsidRPr="009A0DA6">
        <w:rPr>
          <w:rFonts w:ascii="Cambria" w:eastAsia="Calibri" w:hAnsi="Cambria" w:cs="Calibri"/>
          <w:position w:val="1"/>
        </w:rPr>
        <w:t>le ri</w:t>
      </w:r>
      <w:r w:rsidRPr="009A0DA6">
        <w:rPr>
          <w:rFonts w:ascii="Cambria" w:eastAsia="Calibri" w:hAnsi="Cambria" w:cs="Calibri"/>
          <w:spacing w:val="-1"/>
          <w:position w:val="1"/>
        </w:rPr>
        <w:t>gh</w:t>
      </w:r>
      <w:r w:rsidRPr="009A0DA6">
        <w:rPr>
          <w:rFonts w:ascii="Cambria" w:eastAsia="Calibri" w:hAnsi="Cambria" w:cs="Calibri"/>
          <w:position w:val="1"/>
        </w:rPr>
        <w:t>t:</w:t>
      </w:r>
    </w:p>
    <w:p w14:paraId="568D7B85" w14:textId="5D858D14" w:rsidR="00877D54" w:rsidRPr="009A0DA6" w:rsidRDefault="00877D54" w:rsidP="00F55252">
      <w:pPr>
        <w:pStyle w:val="ListParagraph"/>
        <w:numPr>
          <w:ilvl w:val="2"/>
          <w:numId w:val="148"/>
        </w:numPr>
        <w:spacing w:after="0" w:line="240" w:lineRule="auto"/>
        <w:ind w:left="1134" w:right="341" w:hanging="567"/>
        <w:rPr>
          <w:rFonts w:ascii="Cambria" w:eastAsia="Calibri" w:hAnsi="Cambria" w:cs="Calibri"/>
        </w:rPr>
      </w:pPr>
      <w:r w:rsidRPr="009A0DA6">
        <w:rPr>
          <w:rFonts w:ascii="Cambria" w:eastAsia="Calibri" w:hAnsi="Cambria" w:cs="Calibri"/>
        </w:rPr>
        <w:t>To</w:t>
      </w:r>
      <w:r w:rsidRPr="009A0DA6">
        <w:rPr>
          <w:rFonts w:ascii="Cambria" w:eastAsia="Calibri" w:hAnsi="Cambria" w:cs="Calibri"/>
          <w:spacing w:val="1"/>
        </w:rPr>
        <w:t xml:space="preserve"> </w:t>
      </w:r>
      <w:r w:rsidRPr="009A0DA6">
        <w:rPr>
          <w:rFonts w:ascii="Cambria" w:eastAsia="Calibri" w:hAnsi="Cambria" w:cs="Calibri"/>
          <w:spacing w:val="-2"/>
        </w:rPr>
        <w:t>s</w:t>
      </w:r>
      <w:r w:rsidRPr="009A0DA6">
        <w:rPr>
          <w:rFonts w:ascii="Cambria" w:eastAsia="Calibri" w:hAnsi="Cambria" w:cs="Calibri"/>
        </w:rPr>
        <w:t>end</w:t>
      </w:r>
      <w:r w:rsidRPr="009A0DA6">
        <w:rPr>
          <w:rFonts w:ascii="Cambria" w:eastAsia="Calibri" w:hAnsi="Cambria" w:cs="Calibri"/>
          <w:spacing w:val="-1"/>
        </w:rPr>
        <w:t xml:space="preserve"> </w:t>
      </w:r>
      <w:r w:rsidRPr="009A0DA6">
        <w:rPr>
          <w:rFonts w:ascii="Cambria" w:eastAsia="Calibri" w:hAnsi="Cambria" w:cs="Calibri"/>
        </w:rPr>
        <w:t>r</w:t>
      </w:r>
      <w:r w:rsidRPr="009A0DA6">
        <w:rPr>
          <w:rFonts w:ascii="Cambria" w:eastAsia="Calibri" w:hAnsi="Cambria" w:cs="Calibri"/>
          <w:spacing w:val="1"/>
        </w:rPr>
        <w:t>e</w:t>
      </w:r>
      <w:r w:rsidRPr="009A0DA6">
        <w:rPr>
          <w:rFonts w:ascii="Cambria" w:eastAsia="Calibri" w:hAnsi="Cambria" w:cs="Calibri"/>
          <w:spacing w:val="-1"/>
        </w:rPr>
        <w:t>p</w:t>
      </w:r>
      <w:r w:rsidRPr="009A0DA6">
        <w:rPr>
          <w:rFonts w:ascii="Cambria" w:eastAsia="Calibri" w:hAnsi="Cambria" w:cs="Calibri"/>
        </w:rPr>
        <w:t>r</w:t>
      </w:r>
      <w:r w:rsidRPr="009A0DA6">
        <w:rPr>
          <w:rFonts w:ascii="Cambria" w:eastAsia="Calibri" w:hAnsi="Cambria" w:cs="Calibri"/>
          <w:spacing w:val="-2"/>
        </w:rPr>
        <w:t>e</w:t>
      </w:r>
      <w:r w:rsidRPr="009A0DA6">
        <w:rPr>
          <w:rFonts w:ascii="Cambria" w:eastAsia="Calibri" w:hAnsi="Cambria" w:cs="Calibri"/>
        </w:rPr>
        <w:t>sentat</w:t>
      </w:r>
      <w:r w:rsidRPr="009A0DA6">
        <w:rPr>
          <w:rFonts w:ascii="Cambria" w:eastAsia="Calibri" w:hAnsi="Cambria" w:cs="Calibri"/>
          <w:spacing w:val="-2"/>
        </w:rPr>
        <w:t>i</w:t>
      </w:r>
      <w:r w:rsidRPr="009A0DA6">
        <w:rPr>
          <w:rFonts w:ascii="Cambria" w:eastAsia="Calibri" w:hAnsi="Cambria" w:cs="Calibri"/>
          <w:spacing w:val="1"/>
        </w:rPr>
        <w:t>v</w:t>
      </w:r>
      <w:r w:rsidRPr="009A0DA6">
        <w:rPr>
          <w:rFonts w:ascii="Cambria" w:eastAsia="Calibri" w:hAnsi="Cambria" w:cs="Calibri"/>
          <w:spacing w:val="-2"/>
        </w:rPr>
        <w:t>e</w:t>
      </w:r>
      <w:r w:rsidRPr="009A0DA6">
        <w:rPr>
          <w:rFonts w:ascii="Cambria" w:eastAsia="Calibri" w:hAnsi="Cambria" w:cs="Calibri"/>
        </w:rPr>
        <w:t xml:space="preserve">s </w:t>
      </w:r>
      <w:r w:rsidRPr="009A0DA6">
        <w:rPr>
          <w:rFonts w:ascii="Cambria" w:eastAsia="Calibri" w:hAnsi="Cambria" w:cs="Calibri"/>
          <w:spacing w:val="-1"/>
        </w:rPr>
        <w:t>t</w:t>
      </w:r>
      <w:r w:rsidRPr="009A0DA6">
        <w:rPr>
          <w:rFonts w:ascii="Cambria" w:eastAsia="Calibri" w:hAnsi="Cambria" w:cs="Calibri"/>
        </w:rPr>
        <w:t>o</w:t>
      </w:r>
      <w:r w:rsidRPr="009A0DA6">
        <w:rPr>
          <w:rFonts w:ascii="Cambria" w:eastAsia="Calibri" w:hAnsi="Cambria" w:cs="Calibri"/>
          <w:spacing w:val="-1"/>
        </w:rPr>
        <w:t xml:space="preserve"> p</w:t>
      </w:r>
      <w:r w:rsidRPr="009A0DA6">
        <w:rPr>
          <w:rFonts w:ascii="Cambria" w:eastAsia="Calibri" w:hAnsi="Cambria" w:cs="Calibri"/>
        </w:rPr>
        <w:t>ast</w:t>
      </w:r>
      <w:r w:rsidRPr="009A0DA6">
        <w:rPr>
          <w:rFonts w:ascii="Cambria" w:eastAsia="Calibri" w:hAnsi="Cambria" w:cs="Calibri"/>
          <w:spacing w:val="1"/>
        </w:rPr>
        <w:t>o</w:t>
      </w:r>
      <w:r w:rsidRPr="009A0DA6">
        <w:rPr>
          <w:rFonts w:ascii="Cambria" w:eastAsia="Calibri" w:hAnsi="Cambria" w:cs="Calibri"/>
        </w:rPr>
        <w:t>r</w:t>
      </w:r>
      <w:r w:rsidRPr="009A0DA6">
        <w:rPr>
          <w:rFonts w:ascii="Cambria" w:eastAsia="Calibri" w:hAnsi="Cambria" w:cs="Calibri"/>
          <w:spacing w:val="1"/>
        </w:rPr>
        <w:t xml:space="preserve">s </w:t>
      </w:r>
      <w:r w:rsidRPr="009A0DA6">
        <w:rPr>
          <w:rFonts w:ascii="Cambria" w:eastAsia="Calibri" w:hAnsi="Cambria" w:cs="Calibri"/>
        </w:rPr>
        <w:t>c</w:t>
      </w:r>
      <w:r w:rsidRPr="009A0DA6">
        <w:rPr>
          <w:rFonts w:ascii="Cambria" w:eastAsia="Calibri" w:hAnsi="Cambria" w:cs="Calibri"/>
          <w:spacing w:val="1"/>
        </w:rPr>
        <w:t>o</w:t>
      </w:r>
      <w:r w:rsidRPr="009A0DA6">
        <w:rPr>
          <w:rFonts w:ascii="Cambria" w:eastAsia="Calibri" w:hAnsi="Cambria" w:cs="Calibri"/>
          <w:spacing w:val="-1"/>
        </w:rPr>
        <w:t>n</w:t>
      </w:r>
      <w:r w:rsidRPr="009A0DA6">
        <w:rPr>
          <w:rFonts w:ascii="Cambria" w:eastAsia="Calibri" w:hAnsi="Cambria" w:cs="Calibri"/>
          <w:spacing w:val="-3"/>
        </w:rPr>
        <w:t>f</w:t>
      </w:r>
      <w:r w:rsidRPr="009A0DA6">
        <w:rPr>
          <w:rFonts w:ascii="Cambria" w:eastAsia="Calibri" w:hAnsi="Cambria" w:cs="Calibri"/>
        </w:rPr>
        <w:t>eren</w:t>
      </w:r>
      <w:r w:rsidRPr="009A0DA6">
        <w:rPr>
          <w:rFonts w:ascii="Cambria" w:eastAsia="Calibri" w:hAnsi="Cambria" w:cs="Calibri"/>
          <w:spacing w:val="-2"/>
        </w:rPr>
        <w:t>c</w:t>
      </w:r>
      <w:r w:rsidRPr="009A0DA6">
        <w:rPr>
          <w:rFonts w:ascii="Cambria" w:eastAsia="Calibri" w:hAnsi="Cambria" w:cs="Calibri"/>
        </w:rPr>
        <w:t>es</w:t>
      </w:r>
      <w:r w:rsidRPr="009A0DA6">
        <w:rPr>
          <w:rFonts w:ascii="Cambria" w:eastAsia="Calibri" w:hAnsi="Cambria" w:cs="Calibri"/>
          <w:spacing w:val="1"/>
        </w:rPr>
        <w:t xml:space="preserve"> </w:t>
      </w:r>
      <w:r w:rsidRPr="009A0DA6">
        <w:rPr>
          <w:rFonts w:ascii="Cambria" w:eastAsia="Calibri" w:hAnsi="Cambria" w:cs="Calibri"/>
        </w:rPr>
        <w:t>a</w:t>
      </w:r>
      <w:r w:rsidRPr="009A0DA6">
        <w:rPr>
          <w:rFonts w:ascii="Cambria" w:eastAsia="Calibri" w:hAnsi="Cambria" w:cs="Calibri"/>
          <w:spacing w:val="-1"/>
        </w:rPr>
        <w:t>n</w:t>
      </w:r>
      <w:r w:rsidRPr="009A0DA6">
        <w:rPr>
          <w:rFonts w:ascii="Cambria" w:eastAsia="Calibri" w:hAnsi="Cambria" w:cs="Calibri"/>
        </w:rPr>
        <w:t>d</w:t>
      </w:r>
      <w:r w:rsidRPr="009A0DA6">
        <w:rPr>
          <w:rFonts w:ascii="Cambria" w:eastAsia="Calibri" w:hAnsi="Cambria" w:cs="Calibri"/>
          <w:spacing w:val="-1"/>
        </w:rPr>
        <w:t xml:space="preserve"> </w:t>
      </w:r>
      <w:r w:rsidRPr="009A0DA6">
        <w:rPr>
          <w:rFonts w:ascii="Cambria" w:eastAsia="Calibri" w:hAnsi="Cambria" w:cs="Calibri"/>
          <w:spacing w:val="-2"/>
        </w:rPr>
        <w:t>s</w:t>
      </w:r>
      <w:r w:rsidRPr="009A0DA6">
        <w:rPr>
          <w:rFonts w:ascii="Cambria" w:eastAsia="Calibri" w:hAnsi="Cambria" w:cs="Calibri"/>
          <w:spacing w:val="1"/>
        </w:rPr>
        <w:t>y</w:t>
      </w:r>
      <w:r w:rsidRPr="009A0DA6">
        <w:rPr>
          <w:rFonts w:ascii="Cambria" w:eastAsia="Calibri" w:hAnsi="Cambria" w:cs="Calibri"/>
          <w:spacing w:val="-1"/>
        </w:rPr>
        <w:t>n</w:t>
      </w:r>
      <w:r w:rsidRPr="009A0DA6">
        <w:rPr>
          <w:rFonts w:ascii="Cambria" w:eastAsia="Calibri" w:hAnsi="Cambria" w:cs="Calibri"/>
          <w:spacing w:val="1"/>
        </w:rPr>
        <w:t>o</w:t>
      </w:r>
      <w:r w:rsidRPr="009A0DA6">
        <w:rPr>
          <w:rFonts w:ascii="Cambria" w:eastAsia="Calibri" w:hAnsi="Cambria" w:cs="Calibri"/>
          <w:spacing w:val="-1"/>
        </w:rPr>
        <w:t>d</w:t>
      </w:r>
      <w:r w:rsidRPr="009A0DA6">
        <w:rPr>
          <w:rFonts w:ascii="Cambria" w:eastAsia="Calibri" w:hAnsi="Cambria" w:cs="Calibri"/>
        </w:rPr>
        <w:t>ical</w:t>
      </w:r>
      <w:r w:rsidRPr="009A0DA6">
        <w:rPr>
          <w:rFonts w:ascii="Cambria" w:eastAsia="Calibri" w:hAnsi="Cambria" w:cs="Calibri"/>
          <w:spacing w:val="-2"/>
        </w:rPr>
        <w:t xml:space="preserve"> </w:t>
      </w:r>
      <w:r w:rsidRPr="009A0DA6">
        <w:rPr>
          <w:rFonts w:ascii="Cambria" w:eastAsia="Calibri" w:hAnsi="Cambria" w:cs="Calibri"/>
        </w:rPr>
        <w:t>c</w:t>
      </w:r>
      <w:r w:rsidRPr="009A0DA6">
        <w:rPr>
          <w:rFonts w:ascii="Cambria" w:eastAsia="Calibri" w:hAnsi="Cambria" w:cs="Calibri"/>
          <w:spacing w:val="1"/>
        </w:rPr>
        <w:t>o</w:t>
      </w:r>
      <w:r w:rsidRPr="009A0DA6">
        <w:rPr>
          <w:rFonts w:ascii="Cambria" w:eastAsia="Calibri" w:hAnsi="Cambria" w:cs="Calibri"/>
          <w:spacing w:val="-3"/>
        </w:rPr>
        <w:t>n</w:t>
      </w:r>
      <w:r w:rsidRPr="009A0DA6">
        <w:rPr>
          <w:rFonts w:ascii="Cambria" w:eastAsia="Calibri" w:hAnsi="Cambria" w:cs="Calibri"/>
          <w:spacing w:val="1"/>
        </w:rPr>
        <w:t>v</w:t>
      </w:r>
      <w:r w:rsidRPr="009A0DA6">
        <w:rPr>
          <w:rFonts w:ascii="Cambria" w:eastAsia="Calibri" w:hAnsi="Cambria" w:cs="Calibri"/>
        </w:rPr>
        <w:t>ent</w:t>
      </w:r>
      <w:r w:rsidRPr="009A0DA6">
        <w:rPr>
          <w:rFonts w:ascii="Cambria" w:eastAsia="Calibri" w:hAnsi="Cambria" w:cs="Calibri"/>
          <w:spacing w:val="-3"/>
        </w:rPr>
        <w:t>i</w:t>
      </w:r>
      <w:r w:rsidRPr="009A0DA6">
        <w:rPr>
          <w:rFonts w:ascii="Cambria" w:eastAsia="Calibri" w:hAnsi="Cambria" w:cs="Calibri"/>
          <w:spacing w:val="1"/>
        </w:rPr>
        <w:t>o</w:t>
      </w:r>
      <w:r w:rsidRPr="009A0DA6">
        <w:rPr>
          <w:rFonts w:ascii="Cambria" w:eastAsia="Calibri" w:hAnsi="Cambria" w:cs="Calibri"/>
          <w:spacing w:val="-1"/>
        </w:rPr>
        <w:t>n</w:t>
      </w:r>
      <w:r w:rsidRPr="009A0DA6">
        <w:rPr>
          <w:rFonts w:ascii="Cambria" w:eastAsia="Calibri" w:hAnsi="Cambria" w:cs="Calibri"/>
        </w:rPr>
        <w:t>s</w:t>
      </w:r>
      <w:r w:rsidRPr="009A0DA6">
        <w:rPr>
          <w:rFonts w:ascii="Cambria" w:eastAsia="Calibri" w:hAnsi="Cambria" w:cs="Calibri"/>
          <w:spacing w:val="-2"/>
        </w:rPr>
        <w:t xml:space="preserve"> </w:t>
      </w:r>
      <w:r w:rsidRPr="009A0DA6">
        <w:rPr>
          <w:rFonts w:ascii="Cambria" w:eastAsia="Calibri" w:hAnsi="Cambria" w:cs="Calibri"/>
        </w:rPr>
        <w:t>with</w:t>
      </w:r>
      <w:r w:rsidRPr="009A0DA6">
        <w:rPr>
          <w:rFonts w:ascii="Cambria" w:eastAsia="Calibri" w:hAnsi="Cambria" w:cs="Calibri"/>
          <w:spacing w:val="-2"/>
        </w:rPr>
        <w:t xml:space="preserve"> </w:t>
      </w:r>
      <w:r w:rsidRPr="009A0DA6">
        <w:rPr>
          <w:rFonts w:ascii="Cambria" w:eastAsia="Calibri" w:hAnsi="Cambria" w:cs="Calibri"/>
        </w:rPr>
        <w:t>the s</w:t>
      </w:r>
      <w:r w:rsidRPr="009A0DA6">
        <w:rPr>
          <w:rFonts w:ascii="Cambria" w:eastAsia="Calibri" w:hAnsi="Cambria" w:cs="Calibri"/>
          <w:spacing w:val="-3"/>
        </w:rPr>
        <w:t>a</w:t>
      </w:r>
      <w:r w:rsidRPr="009A0DA6">
        <w:rPr>
          <w:rFonts w:ascii="Cambria" w:eastAsia="Calibri" w:hAnsi="Cambria" w:cs="Calibri"/>
          <w:spacing w:val="1"/>
        </w:rPr>
        <w:t>m</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rPr>
        <w:t>ri</w:t>
      </w:r>
      <w:r w:rsidRPr="009A0DA6">
        <w:rPr>
          <w:rFonts w:ascii="Cambria" w:eastAsia="Calibri" w:hAnsi="Cambria" w:cs="Calibri"/>
          <w:spacing w:val="-1"/>
        </w:rPr>
        <w:t>gh</w:t>
      </w:r>
      <w:r w:rsidRPr="009A0DA6">
        <w:rPr>
          <w:rFonts w:ascii="Cambria" w:eastAsia="Calibri" w:hAnsi="Cambria" w:cs="Calibri"/>
          <w:spacing w:val="-2"/>
        </w:rPr>
        <w:t>t</w:t>
      </w:r>
      <w:r w:rsidRPr="009A0DA6">
        <w:rPr>
          <w:rFonts w:ascii="Cambria" w:eastAsia="Calibri" w:hAnsi="Cambria" w:cs="Calibri"/>
        </w:rPr>
        <w:t xml:space="preserve">s </w:t>
      </w:r>
      <w:r w:rsidRPr="009A0DA6">
        <w:rPr>
          <w:rFonts w:ascii="Cambria" w:eastAsia="Calibri" w:hAnsi="Cambria" w:cs="Calibri"/>
          <w:spacing w:val="-1"/>
        </w:rPr>
        <w:t>t</w:t>
      </w:r>
      <w:r w:rsidRPr="009A0DA6">
        <w:rPr>
          <w:rFonts w:ascii="Cambria" w:eastAsia="Calibri" w:hAnsi="Cambria" w:cs="Calibri"/>
        </w:rPr>
        <w:t>o</w:t>
      </w:r>
      <w:r w:rsidRPr="009A0DA6">
        <w:rPr>
          <w:rFonts w:ascii="Cambria" w:eastAsia="Calibri" w:hAnsi="Cambria" w:cs="Calibri"/>
          <w:spacing w:val="1"/>
        </w:rPr>
        <w:t xml:space="preserve"> </w:t>
      </w:r>
      <w:r w:rsidRPr="009A0DA6">
        <w:rPr>
          <w:rFonts w:ascii="Cambria" w:eastAsia="Calibri" w:hAnsi="Cambria" w:cs="Calibri"/>
        </w:rPr>
        <w:t>sp</w:t>
      </w:r>
      <w:r w:rsidRPr="009A0DA6">
        <w:rPr>
          <w:rFonts w:ascii="Cambria" w:eastAsia="Calibri" w:hAnsi="Cambria" w:cs="Calibri"/>
          <w:spacing w:val="-2"/>
        </w:rPr>
        <w:t>e</w:t>
      </w:r>
      <w:r w:rsidRPr="009A0DA6">
        <w:rPr>
          <w:rFonts w:ascii="Cambria" w:eastAsia="Calibri" w:hAnsi="Cambria" w:cs="Calibri"/>
        </w:rPr>
        <w:t>ak a</w:t>
      </w:r>
      <w:r w:rsidRPr="009A0DA6">
        <w:rPr>
          <w:rFonts w:ascii="Cambria" w:eastAsia="Calibri" w:hAnsi="Cambria" w:cs="Calibri"/>
          <w:spacing w:val="-1"/>
        </w:rPr>
        <w:t>n</w:t>
      </w:r>
      <w:r w:rsidRPr="009A0DA6">
        <w:rPr>
          <w:rFonts w:ascii="Cambria" w:eastAsia="Calibri" w:hAnsi="Cambria" w:cs="Calibri"/>
        </w:rPr>
        <w:t>d</w:t>
      </w:r>
      <w:r w:rsidRPr="009A0DA6">
        <w:rPr>
          <w:rFonts w:ascii="Cambria" w:eastAsia="Calibri" w:hAnsi="Cambria" w:cs="Calibri"/>
          <w:spacing w:val="-1"/>
        </w:rPr>
        <w:t xml:space="preserve"> </w:t>
      </w:r>
      <w:r w:rsidRPr="009A0DA6">
        <w:rPr>
          <w:rFonts w:ascii="Cambria" w:eastAsia="Calibri" w:hAnsi="Cambria" w:cs="Calibri"/>
          <w:spacing w:val="1"/>
        </w:rPr>
        <w:t>v</w:t>
      </w:r>
      <w:r w:rsidRPr="009A0DA6">
        <w:rPr>
          <w:rFonts w:ascii="Cambria" w:eastAsia="Calibri" w:hAnsi="Cambria" w:cs="Calibri"/>
          <w:spacing w:val="-1"/>
        </w:rPr>
        <w:t>o</w:t>
      </w:r>
      <w:r w:rsidRPr="009A0DA6">
        <w:rPr>
          <w:rFonts w:ascii="Cambria" w:eastAsia="Calibri" w:hAnsi="Cambria" w:cs="Calibri"/>
        </w:rPr>
        <w:t>te</w:t>
      </w:r>
      <w:r w:rsidRPr="009A0DA6">
        <w:rPr>
          <w:rFonts w:ascii="Cambria" w:eastAsia="Calibri" w:hAnsi="Cambria" w:cs="Calibri"/>
          <w:spacing w:val="1"/>
        </w:rPr>
        <w:t xml:space="preserve"> </w:t>
      </w:r>
      <w:r w:rsidRPr="009A0DA6">
        <w:rPr>
          <w:rFonts w:ascii="Cambria" w:eastAsia="Calibri" w:hAnsi="Cambria" w:cs="Calibri"/>
        </w:rPr>
        <w:t>as</w:t>
      </w:r>
      <w:r w:rsidRPr="009A0DA6">
        <w:rPr>
          <w:rFonts w:ascii="Cambria" w:eastAsia="Calibri" w:hAnsi="Cambria" w:cs="Calibri"/>
          <w:spacing w:val="-2"/>
        </w:rPr>
        <w:t xml:space="preserve"> </w:t>
      </w:r>
      <w:r w:rsidRPr="009A0DA6">
        <w:rPr>
          <w:rFonts w:ascii="Cambria" w:eastAsia="Calibri" w:hAnsi="Cambria" w:cs="Calibri"/>
        </w:rPr>
        <w:t>all</w:t>
      </w:r>
      <w:r w:rsidRPr="009A0DA6">
        <w:rPr>
          <w:rFonts w:ascii="Cambria" w:eastAsia="Calibri" w:hAnsi="Cambria" w:cs="Calibri"/>
          <w:spacing w:val="-2"/>
        </w:rPr>
        <w:t xml:space="preserve"> </w:t>
      </w:r>
      <w:r w:rsidRPr="009A0DA6">
        <w:rPr>
          <w:rFonts w:ascii="Cambria" w:eastAsia="Calibri" w:hAnsi="Cambria" w:cs="Calibri"/>
          <w:spacing w:val="1"/>
        </w:rPr>
        <w:t>o</w:t>
      </w:r>
      <w:r w:rsidRPr="009A0DA6">
        <w:rPr>
          <w:rFonts w:ascii="Cambria" w:eastAsia="Calibri" w:hAnsi="Cambria" w:cs="Calibri"/>
        </w:rPr>
        <w:t>ther</w:t>
      </w:r>
      <w:r w:rsidRPr="009A0DA6">
        <w:rPr>
          <w:rFonts w:ascii="Cambria" w:eastAsia="Calibri" w:hAnsi="Cambria" w:cs="Calibri"/>
          <w:spacing w:val="-2"/>
        </w:rPr>
        <w:t xml:space="preserve"> </w:t>
      </w:r>
      <w:r w:rsidRPr="009A0DA6">
        <w:rPr>
          <w:rFonts w:ascii="Cambria" w:eastAsia="Calibri" w:hAnsi="Cambria" w:cs="Calibri"/>
        </w:rPr>
        <w:t>dele</w:t>
      </w:r>
      <w:r w:rsidRPr="009A0DA6">
        <w:rPr>
          <w:rFonts w:ascii="Cambria" w:eastAsia="Calibri" w:hAnsi="Cambria" w:cs="Calibri"/>
          <w:spacing w:val="-3"/>
        </w:rPr>
        <w:t>g</w:t>
      </w:r>
      <w:r w:rsidRPr="009A0DA6">
        <w:rPr>
          <w:rFonts w:ascii="Cambria" w:eastAsia="Calibri" w:hAnsi="Cambria" w:cs="Calibri"/>
        </w:rPr>
        <w:t>at</w:t>
      </w:r>
      <w:r w:rsidRPr="009A0DA6">
        <w:rPr>
          <w:rFonts w:ascii="Cambria" w:eastAsia="Calibri" w:hAnsi="Cambria" w:cs="Calibri"/>
          <w:spacing w:val="1"/>
        </w:rPr>
        <w:t>es</w:t>
      </w:r>
      <w:r w:rsidRPr="009A0DA6">
        <w:rPr>
          <w:rFonts w:ascii="Cambria" w:eastAsia="Calibri" w:hAnsi="Cambria" w:cs="Calibri"/>
        </w:rPr>
        <w:t>,</w:t>
      </w:r>
      <w:r w:rsidRPr="009A0DA6">
        <w:rPr>
          <w:rFonts w:ascii="Cambria" w:eastAsia="Calibri" w:hAnsi="Cambria" w:cs="Calibri"/>
          <w:spacing w:val="-2"/>
        </w:rPr>
        <w:t xml:space="preserve"> </w:t>
      </w:r>
      <w:r w:rsidRPr="009A0DA6">
        <w:rPr>
          <w:rFonts w:ascii="Cambria" w:eastAsia="Calibri" w:hAnsi="Cambria" w:cs="Calibri"/>
        </w:rPr>
        <w:t>c</w:t>
      </w:r>
      <w:r w:rsidRPr="009A0DA6">
        <w:rPr>
          <w:rFonts w:ascii="Cambria" w:eastAsia="Calibri" w:hAnsi="Cambria" w:cs="Calibri"/>
          <w:spacing w:val="-1"/>
        </w:rPr>
        <w:t>om</w:t>
      </w:r>
      <w:r w:rsidRPr="009A0DA6">
        <w:rPr>
          <w:rFonts w:ascii="Cambria" w:eastAsia="Calibri" w:hAnsi="Cambria" w:cs="Calibri"/>
          <w:spacing w:val="1"/>
        </w:rPr>
        <w:t>m</w:t>
      </w:r>
      <w:r w:rsidRPr="009A0DA6">
        <w:rPr>
          <w:rFonts w:ascii="Cambria" w:eastAsia="Calibri" w:hAnsi="Cambria" w:cs="Calibri"/>
        </w:rPr>
        <w:t>ens</w:t>
      </w:r>
      <w:r w:rsidRPr="009A0DA6">
        <w:rPr>
          <w:rFonts w:ascii="Cambria" w:eastAsia="Calibri" w:hAnsi="Cambria" w:cs="Calibri"/>
          <w:spacing w:val="-1"/>
        </w:rPr>
        <w:t>u</w:t>
      </w:r>
      <w:r w:rsidRPr="009A0DA6">
        <w:rPr>
          <w:rFonts w:ascii="Cambria" w:eastAsia="Calibri" w:hAnsi="Cambria" w:cs="Calibri"/>
        </w:rPr>
        <w:t>ra</w:t>
      </w:r>
      <w:r w:rsidRPr="009A0DA6">
        <w:rPr>
          <w:rFonts w:ascii="Cambria" w:eastAsia="Calibri" w:hAnsi="Cambria" w:cs="Calibri"/>
          <w:spacing w:val="-2"/>
        </w:rPr>
        <w:t>t</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rPr>
        <w:t>w</w:t>
      </w:r>
      <w:r w:rsidRPr="009A0DA6">
        <w:rPr>
          <w:rFonts w:ascii="Cambria" w:eastAsia="Calibri" w:hAnsi="Cambria" w:cs="Calibri"/>
          <w:spacing w:val="-2"/>
        </w:rPr>
        <w:t>i</w:t>
      </w:r>
      <w:r w:rsidRPr="009A0DA6">
        <w:rPr>
          <w:rFonts w:ascii="Cambria" w:eastAsia="Calibri" w:hAnsi="Cambria" w:cs="Calibri"/>
        </w:rPr>
        <w:t xml:space="preserve">th </w:t>
      </w:r>
      <w:r w:rsidRPr="009A0DA6">
        <w:rPr>
          <w:rFonts w:ascii="Cambria" w:eastAsia="Calibri" w:hAnsi="Cambria" w:cs="Calibri"/>
          <w:spacing w:val="-2"/>
        </w:rPr>
        <w:t>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rPr>
        <w:t>le</w:t>
      </w:r>
      <w:r w:rsidRPr="009A0DA6">
        <w:rPr>
          <w:rFonts w:ascii="Cambria" w:eastAsia="Calibri" w:hAnsi="Cambria" w:cs="Calibri"/>
          <w:spacing w:val="-1"/>
        </w:rPr>
        <w:t>v</w:t>
      </w:r>
      <w:r w:rsidRPr="009A0DA6">
        <w:rPr>
          <w:rFonts w:ascii="Cambria" w:eastAsia="Calibri" w:hAnsi="Cambria" w:cs="Calibri"/>
        </w:rPr>
        <w:t>el</w:t>
      </w:r>
      <w:r w:rsidRPr="009A0DA6">
        <w:rPr>
          <w:rFonts w:ascii="Cambria" w:eastAsia="Calibri" w:hAnsi="Cambria" w:cs="Calibri"/>
          <w:spacing w:val="-1"/>
        </w:rPr>
        <w:t xml:space="preserve"> </w:t>
      </w:r>
      <w:r w:rsidRPr="009A0DA6">
        <w:rPr>
          <w:rFonts w:ascii="Cambria" w:eastAsia="Calibri" w:hAnsi="Cambria" w:cs="Calibri"/>
          <w:spacing w:val="1"/>
        </w:rPr>
        <w:t>o</w:t>
      </w:r>
      <w:r w:rsidRPr="009A0DA6">
        <w:rPr>
          <w:rFonts w:ascii="Cambria" w:eastAsia="Calibri" w:hAnsi="Cambria" w:cs="Calibri"/>
        </w:rPr>
        <w:t>f</w:t>
      </w:r>
      <w:r w:rsidRPr="009A0DA6">
        <w:rPr>
          <w:rFonts w:ascii="Cambria" w:eastAsia="Calibri" w:hAnsi="Cambria" w:cs="Calibri"/>
          <w:spacing w:val="2"/>
        </w:rPr>
        <w:t xml:space="preserve"> </w:t>
      </w:r>
      <w:r w:rsidRPr="009A0DA6">
        <w:rPr>
          <w:rFonts w:ascii="Cambria" w:eastAsia="Calibri" w:hAnsi="Cambria" w:cs="Calibri"/>
        </w:rPr>
        <w:t>rep</w:t>
      </w:r>
      <w:r w:rsidRPr="009A0DA6">
        <w:rPr>
          <w:rFonts w:ascii="Cambria" w:eastAsia="Calibri" w:hAnsi="Cambria" w:cs="Calibri"/>
          <w:spacing w:val="-3"/>
        </w:rPr>
        <w:t>r</w:t>
      </w:r>
      <w:r w:rsidRPr="009A0DA6">
        <w:rPr>
          <w:rFonts w:ascii="Cambria" w:eastAsia="Calibri" w:hAnsi="Cambria" w:cs="Calibri"/>
        </w:rPr>
        <w:t>es</w:t>
      </w:r>
      <w:r w:rsidRPr="009A0DA6">
        <w:rPr>
          <w:rFonts w:ascii="Cambria" w:eastAsia="Calibri" w:hAnsi="Cambria" w:cs="Calibri"/>
          <w:spacing w:val="1"/>
        </w:rPr>
        <w:t>e</w:t>
      </w:r>
      <w:r w:rsidRPr="009A0DA6">
        <w:rPr>
          <w:rFonts w:ascii="Cambria" w:eastAsia="Calibri" w:hAnsi="Cambria" w:cs="Calibri"/>
          <w:spacing w:val="-1"/>
        </w:rPr>
        <w:t>n</w:t>
      </w:r>
      <w:r w:rsidRPr="009A0DA6">
        <w:rPr>
          <w:rFonts w:ascii="Cambria" w:eastAsia="Calibri" w:hAnsi="Cambria" w:cs="Calibri"/>
        </w:rPr>
        <w:t>t</w:t>
      </w:r>
      <w:r w:rsidRPr="009A0DA6">
        <w:rPr>
          <w:rFonts w:ascii="Cambria" w:eastAsia="Calibri" w:hAnsi="Cambria" w:cs="Calibri"/>
          <w:spacing w:val="-2"/>
        </w:rPr>
        <w:t>a</w:t>
      </w:r>
      <w:r w:rsidRPr="009A0DA6">
        <w:rPr>
          <w:rFonts w:ascii="Cambria" w:eastAsia="Calibri" w:hAnsi="Cambria" w:cs="Calibri"/>
        </w:rPr>
        <w:t>ti</w:t>
      </w:r>
      <w:r w:rsidRPr="009A0DA6">
        <w:rPr>
          <w:rFonts w:ascii="Cambria" w:eastAsia="Calibri" w:hAnsi="Cambria" w:cs="Calibri"/>
          <w:spacing w:val="1"/>
        </w:rPr>
        <w:t>o</w:t>
      </w:r>
      <w:r w:rsidRPr="009A0DA6">
        <w:rPr>
          <w:rFonts w:ascii="Cambria" w:eastAsia="Calibri" w:hAnsi="Cambria" w:cs="Calibri"/>
        </w:rPr>
        <w:t>n</w:t>
      </w:r>
      <w:r w:rsidRPr="009A0DA6">
        <w:rPr>
          <w:rFonts w:ascii="Cambria" w:eastAsia="Calibri" w:hAnsi="Cambria" w:cs="Calibri"/>
          <w:spacing w:val="-3"/>
        </w:rPr>
        <w:t xml:space="preserve"> </w:t>
      </w:r>
      <w:r w:rsidRPr="009A0DA6">
        <w:rPr>
          <w:rFonts w:ascii="Cambria" w:eastAsia="Calibri" w:hAnsi="Cambria" w:cs="Calibri"/>
          <w:spacing w:val="-2"/>
        </w:rPr>
        <w:t>t</w:t>
      </w:r>
      <w:r w:rsidRPr="009A0DA6">
        <w:rPr>
          <w:rFonts w:ascii="Cambria" w:eastAsia="Calibri" w:hAnsi="Cambria" w:cs="Calibri"/>
          <w:spacing w:val="-1"/>
        </w:rPr>
        <w:t>h</w:t>
      </w:r>
      <w:r w:rsidRPr="009A0DA6">
        <w:rPr>
          <w:rFonts w:ascii="Cambria" w:eastAsia="Calibri" w:hAnsi="Cambria" w:cs="Calibri"/>
        </w:rPr>
        <w:t>at</w:t>
      </w:r>
      <w:r w:rsidRPr="009A0DA6">
        <w:rPr>
          <w:rFonts w:ascii="Cambria" w:eastAsia="Calibri" w:hAnsi="Cambria" w:cs="Calibri"/>
          <w:spacing w:val="1"/>
        </w:rPr>
        <w:t xml:space="preserve"> </w:t>
      </w:r>
      <w:r w:rsidRPr="009A0DA6">
        <w:rPr>
          <w:rFonts w:ascii="Cambria" w:eastAsia="Calibri" w:hAnsi="Cambria" w:cs="Calibri"/>
        </w:rPr>
        <w:t>is g</w:t>
      </w:r>
      <w:r w:rsidRPr="009A0DA6">
        <w:rPr>
          <w:rFonts w:ascii="Cambria" w:eastAsia="Calibri" w:hAnsi="Cambria" w:cs="Calibri"/>
          <w:spacing w:val="-1"/>
        </w:rPr>
        <w:t>r</w:t>
      </w:r>
      <w:r w:rsidRPr="009A0DA6">
        <w:rPr>
          <w:rFonts w:ascii="Cambria" w:eastAsia="Calibri" w:hAnsi="Cambria" w:cs="Calibri"/>
        </w:rPr>
        <w:t>a</w:t>
      </w:r>
      <w:r w:rsidRPr="009A0DA6">
        <w:rPr>
          <w:rFonts w:ascii="Cambria" w:eastAsia="Calibri" w:hAnsi="Cambria" w:cs="Calibri"/>
          <w:spacing w:val="-1"/>
        </w:rPr>
        <w:t>n</w:t>
      </w:r>
      <w:r w:rsidRPr="009A0DA6">
        <w:rPr>
          <w:rFonts w:ascii="Cambria" w:eastAsia="Calibri" w:hAnsi="Cambria" w:cs="Calibri"/>
        </w:rPr>
        <w:t>t</w:t>
      </w:r>
      <w:r w:rsidRPr="009A0DA6">
        <w:rPr>
          <w:rFonts w:ascii="Cambria" w:eastAsia="Calibri" w:hAnsi="Cambria" w:cs="Calibri"/>
          <w:spacing w:val="1"/>
        </w:rPr>
        <w:t>e</w:t>
      </w:r>
      <w:r w:rsidRPr="009A0DA6">
        <w:rPr>
          <w:rFonts w:ascii="Cambria" w:eastAsia="Calibri" w:hAnsi="Cambria" w:cs="Calibri"/>
        </w:rPr>
        <w:t>d</w:t>
      </w:r>
      <w:r w:rsidRPr="009A0DA6">
        <w:rPr>
          <w:rFonts w:ascii="Cambria" w:eastAsia="Calibri" w:hAnsi="Cambria" w:cs="Calibri"/>
          <w:spacing w:val="-3"/>
        </w:rPr>
        <w:t xml:space="preserve"> </w:t>
      </w:r>
      <w:r w:rsidRPr="009A0DA6">
        <w:rPr>
          <w:rFonts w:ascii="Cambria" w:eastAsia="Calibri" w:hAnsi="Cambria" w:cs="Calibri"/>
        </w:rPr>
        <w:t>to</w:t>
      </w:r>
      <w:r w:rsidRPr="009A0DA6">
        <w:rPr>
          <w:rFonts w:ascii="Cambria" w:eastAsia="Calibri" w:hAnsi="Cambria" w:cs="Calibri"/>
          <w:spacing w:val="-1"/>
        </w:rPr>
        <w:t xml:space="preserve">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 xml:space="preserve">e </w:t>
      </w:r>
      <w:r w:rsidRPr="009A0DA6">
        <w:rPr>
          <w:rFonts w:ascii="Cambria" w:eastAsia="Calibri" w:hAnsi="Cambria" w:cs="Calibri"/>
          <w:spacing w:val="1"/>
        </w:rPr>
        <w:t>o</w:t>
      </w:r>
      <w:r w:rsidRPr="009A0DA6">
        <w:rPr>
          <w:rFonts w:ascii="Cambria" w:eastAsia="Calibri" w:hAnsi="Cambria" w:cs="Calibri"/>
        </w:rPr>
        <w:t>ther p</w:t>
      </w:r>
      <w:r w:rsidRPr="009A0DA6">
        <w:rPr>
          <w:rFonts w:ascii="Cambria" w:eastAsia="Calibri" w:hAnsi="Cambria" w:cs="Calibri"/>
          <w:spacing w:val="-3"/>
        </w:rPr>
        <w:t>a</w:t>
      </w:r>
      <w:r w:rsidRPr="009A0DA6">
        <w:rPr>
          <w:rFonts w:ascii="Cambria" w:eastAsia="Calibri" w:hAnsi="Cambria" w:cs="Calibri"/>
        </w:rPr>
        <w:t>s</w:t>
      </w:r>
      <w:r w:rsidRPr="009A0DA6">
        <w:rPr>
          <w:rFonts w:ascii="Cambria" w:eastAsia="Calibri" w:hAnsi="Cambria" w:cs="Calibri"/>
          <w:spacing w:val="-2"/>
        </w:rPr>
        <w:t>t</w:t>
      </w:r>
      <w:r w:rsidRPr="009A0DA6">
        <w:rPr>
          <w:rFonts w:ascii="Cambria" w:eastAsia="Calibri" w:hAnsi="Cambria" w:cs="Calibri"/>
          <w:spacing w:val="1"/>
        </w:rPr>
        <w:t>o</w:t>
      </w:r>
      <w:r w:rsidRPr="009A0DA6">
        <w:rPr>
          <w:rFonts w:ascii="Cambria" w:eastAsia="Calibri" w:hAnsi="Cambria" w:cs="Calibri"/>
        </w:rPr>
        <w:t>rs and</w:t>
      </w:r>
      <w:r w:rsidRPr="009A0DA6">
        <w:rPr>
          <w:rFonts w:ascii="Cambria" w:eastAsia="Calibri" w:hAnsi="Cambria" w:cs="Calibri"/>
          <w:spacing w:val="-1"/>
        </w:rPr>
        <w:t xml:space="preserve"> </w:t>
      </w:r>
      <w:r w:rsidRPr="009A0DA6">
        <w:rPr>
          <w:rFonts w:ascii="Cambria" w:eastAsia="Calibri" w:hAnsi="Cambria" w:cs="Calibri"/>
        </w:rPr>
        <w:t>p</w:t>
      </w:r>
      <w:r w:rsidRPr="009A0DA6">
        <w:rPr>
          <w:rFonts w:ascii="Cambria" w:eastAsia="Calibri" w:hAnsi="Cambria" w:cs="Calibri"/>
          <w:spacing w:val="-2"/>
        </w:rPr>
        <w:t>e</w:t>
      </w:r>
      <w:r w:rsidRPr="009A0DA6">
        <w:rPr>
          <w:rFonts w:ascii="Cambria" w:eastAsia="Calibri" w:hAnsi="Cambria" w:cs="Calibri"/>
          <w:spacing w:val="1"/>
        </w:rPr>
        <w:t>o</w:t>
      </w:r>
      <w:r w:rsidRPr="009A0DA6">
        <w:rPr>
          <w:rFonts w:ascii="Cambria" w:eastAsia="Calibri" w:hAnsi="Cambria" w:cs="Calibri"/>
          <w:spacing w:val="-1"/>
        </w:rPr>
        <w:t>p</w:t>
      </w:r>
      <w:r w:rsidRPr="009A0DA6">
        <w:rPr>
          <w:rFonts w:ascii="Cambria" w:eastAsia="Calibri" w:hAnsi="Cambria" w:cs="Calibri"/>
        </w:rPr>
        <w:t>le</w:t>
      </w:r>
      <w:r w:rsidRPr="009A0DA6">
        <w:rPr>
          <w:rFonts w:ascii="Cambria" w:eastAsia="Calibri" w:hAnsi="Cambria" w:cs="Calibri"/>
          <w:spacing w:val="-1"/>
        </w:rPr>
        <w:t xml:space="preserve"> o</w:t>
      </w:r>
      <w:r w:rsidRPr="009A0DA6">
        <w:rPr>
          <w:rFonts w:ascii="Cambria" w:eastAsia="Calibri" w:hAnsi="Cambria" w:cs="Calibri"/>
        </w:rPr>
        <w:t xml:space="preserve">f </w:t>
      </w:r>
      <w:r w:rsidRPr="009A0DA6">
        <w:rPr>
          <w:rFonts w:ascii="Cambria" w:eastAsia="Calibri" w:hAnsi="Cambria" w:cs="Calibri"/>
          <w:spacing w:val="1"/>
        </w:rPr>
        <w:t>t</w:t>
      </w:r>
      <w:r w:rsidRPr="009A0DA6">
        <w:rPr>
          <w:rFonts w:ascii="Cambria" w:eastAsia="Calibri" w:hAnsi="Cambria" w:cs="Calibri"/>
          <w:spacing w:val="-1"/>
        </w:rPr>
        <w:t>h</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spacing w:val="1"/>
        </w:rPr>
        <w:t>L</w:t>
      </w:r>
      <w:r w:rsidRPr="009A0DA6">
        <w:rPr>
          <w:rFonts w:ascii="Cambria" w:eastAsia="Calibri" w:hAnsi="Cambria" w:cs="Calibri"/>
        </w:rPr>
        <w:t>C</w:t>
      </w:r>
      <w:r w:rsidRPr="009A0DA6">
        <w:rPr>
          <w:rFonts w:ascii="Cambria" w:eastAsia="Calibri" w:hAnsi="Cambria" w:cs="Calibri"/>
          <w:spacing w:val="-1"/>
        </w:rPr>
        <w:t>A</w:t>
      </w:r>
      <w:r w:rsidR="00290C36" w:rsidRPr="009A0DA6">
        <w:rPr>
          <w:rFonts w:ascii="Cambria" w:eastAsia="Calibri" w:hAnsi="Cambria" w:cs="Calibri"/>
        </w:rPr>
        <w:t>;</w:t>
      </w:r>
    </w:p>
    <w:p w14:paraId="34C10A4A" w14:textId="37CBB84C" w:rsidR="00CE5065" w:rsidRPr="0078070F" w:rsidRDefault="00877D54" w:rsidP="0078070F">
      <w:pPr>
        <w:pStyle w:val="ListParagraph"/>
        <w:numPr>
          <w:ilvl w:val="2"/>
          <w:numId w:val="148"/>
        </w:numPr>
        <w:spacing w:after="0" w:line="266" w:lineRule="exact"/>
        <w:ind w:left="1134" w:right="-20" w:hanging="567"/>
        <w:rPr>
          <w:rFonts w:ascii="Cambria" w:eastAsia="Calibri" w:hAnsi="Cambria" w:cs="Calibri"/>
        </w:rPr>
      </w:pPr>
      <w:r w:rsidRPr="009A0DA6">
        <w:rPr>
          <w:rFonts w:ascii="Cambria" w:eastAsia="Calibri" w:hAnsi="Cambria" w:cs="Calibri"/>
          <w:position w:val="1"/>
        </w:rPr>
        <w:lastRenderedPageBreak/>
        <w:t>To e</w:t>
      </w:r>
      <w:r w:rsidRPr="009A0DA6">
        <w:rPr>
          <w:rFonts w:ascii="Cambria" w:eastAsia="Calibri" w:hAnsi="Cambria" w:cs="Calibri"/>
          <w:spacing w:val="1"/>
          <w:position w:val="1"/>
        </w:rPr>
        <w:t>x</w:t>
      </w:r>
      <w:r w:rsidRPr="009A0DA6">
        <w:rPr>
          <w:rFonts w:ascii="Cambria" w:eastAsia="Calibri" w:hAnsi="Cambria" w:cs="Calibri"/>
          <w:position w:val="1"/>
        </w:rPr>
        <w:t>e</w:t>
      </w:r>
      <w:r w:rsidRPr="009A0DA6">
        <w:rPr>
          <w:rFonts w:ascii="Cambria" w:eastAsia="Calibri" w:hAnsi="Cambria" w:cs="Calibri"/>
          <w:spacing w:val="-2"/>
          <w:position w:val="1"/>
        </w:rPr>
        <w:t>r</w:t>
      </w:r>
      <w:r w:rsidRPr="009A0DA6">
        <w:rPr>
          <w:rFonts w:ascii="Cambria" w:eastAsia="Calibri" w:hAnsi="Cambria" w:cs="Calibri"/>
          <w:position w:val="1"/>
        </w:rPr>
        <w:t>cise</w:t>
      </w:r>
      <w:r w:rsidRPr="009A0DA6">
        <w:rPr>
          <w:rFonts w:ascii="Cambria" w:eastAsia="Calibri" w:hAnsi="Cambria" w:cs="Calibri"/>
          <w:spacing w:val="-1"/>
          <w:position w:val="1"/>
        </w:rPr>
        <w:t xml:space="preserve"> </w:t>
      </w:r>
      <w:r w:rsidRPr="009A0DA6">
        <w:rPr>
          <w:rFonts w:ascii="Cambria" w:eastAsia="Calibri" w:hAnsi="Cambria" w:cs="Calibri"/>
          <w:position w:val="1"/>
        </w:rPr>
        <w:t>th</w:t>
      </w:r>
      <w:r w:rsidRPr="009A0DA6">
        <w:rPr>
          <w:rFonts w:ascii="Cambria" w:eastAsia="Calibri" w:hAnsi="Cambria" w:cs="Calibri"/>
          <w:spacing w:val="-1"/>
          <w:position w:val="1"/>
        </w:rPr>
        <w:t>i</w:t>
      </w:r>
      <w:r w:rsidRPr="009A0DA6">
        <w:rPr>
          <w:rFonts w:ascii="Cambria" w:eastAsia="Calibri" w:hAnsi="Cambria" w:cs="Calibri"/>
          <w:position w:val="1"/>
        </w:rPr>
        <w:t>s ri</w:t>
      </w:r>
      <w:r w:rsidRPr="009A0DA6">
        <w:rPr>
          <w:rFonts w:ascii="Cambria" w:eastAsia="Calibri" w:hAnsi="Cambria" w:cs="Calibri"/>
          <w:spacing w:val="-1"/>
          <w:position w:val="1"/>
        </w:rPr>
        <w:t>gh</w:t>
      </w:r>
      <w:r w:rsidRPr="009A0DA6">
        <w:rPr>
          <w:rFonts w:ascii="Cambria" w:eastAsia="Calibri" w:hAnsi="Cambria" w:cs="Calibri"/>
          <w:position w:val="1"/>
        </w:rPr>
        <w:t>t</w:t>
      </w:r>
      <w:r w:rsidRPr="009A0DA6">
        <w:rPr>
          <w:rFonts w:ascii="Cambria" w:eastAsia="Calibri" w:hAnsi="Cambria" w:cs="Calibri"/>
          <w:spacing w:val="1"/>
          <w:position w:val="1"/>
        </w:rPr>
        <w:t xml:space="preserve"> </w:t>
      </w:r>
      <w:r w:rsidRPr="009A0DA6">
        <w:rPr>
          <w:rFonts w:ascii="Cambria" w:eastAsia="Calibri" w:hAnsi="Cambria" w:cs="Calibri"/>
          <w:spacing w:val="-3"/>
          <w:position w:val="1"/>
        </w:rPr>
        <w:t>r</w:t>
      </w:r>
      <w:r w:rsidRPr="009A0DA6">
        <w:rPr>
          <w:rFonts w:ascii="Cambria" w:eastAsia="Calibri" w:hAnsi="Cambria" w:cs="Calibri"/>
          <w:position w:val="1"/>
        </w:rPr>
        <w:t>ega</w:t>
      </w:r>
      <w:r w:rsidRPr="009A0DA6">
        <w:rPr>
          <w:rFonts w:ascii="Cambria" w:eastAsia="Calibri" w:hAnsi="Cambria" w:cs="Calibri"/>
          <w:spacing w:val="-3"/>
          <w:position w:val="1"/>
        </w:rPr>
        <w:t>r</w:t>
      </w:r>
      <w:r w:rsidRPr="009A0DA6">
        <w:rPr>
          <w:rFonts w:ascii="Cambria" w:eastAsia="Calibri" w:hAnsi="Cambria" w:cs="Calibri"/>
          <w:spacing w:val="-1"/>
          <w:position w:val="1"/>
        </w:rPr>
        <w:t>d</w:t>
      </w:r>
      <w:r w:rsidRPr="009A0DA6">
        <w:rPr>
          <w:rFonts w:ascii="Cambria" w:eastAsia="Calibri" w:hAnsi="Cambria" w:cs="Calibri"/>
          <w:position w:val="1"/>
        </w:rPr>
        <w:t>less</w:t>
      </w:r>
      <w:r w:rsidRPr="009A0DA6">
        <w:rPr>
          <w:rFonts w:ascii="Cambria" w:eastAsia="Calibri" w:hAnsi="Cambria" w:cs="Calibri"/>
          <w:spacing w:val="1"/>
          <w:position w:val="1"/>
        </w:rPr>
        <w:t xml:space="preserve"> o</w:t>
      </w:r>
      <w:r w:rsidRPr="009A0DA6">
        <w:rPr>
          <w:rFonts w:ascii="Cambria" w:eastAsia="Calibri" w:hAnsi="Cambria" w:cs="Calibri"/>
          <w:position w:val="1"/>
        </w:rPr>
        <w:t>f</w:t>
      </w:r>
      <w:r w:rsidRPr="009A0DA6">
        <w:rPr>
          <w:rFonts w:ascii="Cambria" w:eastAsia="Calibri" w:hAnsi="Cambria" w:cs="Calibri"/>
          <w:spacing w:val="-3"/>
          <w:position w:val="1"/>
        </w:rPr>
        <w:t xml:space="preserve"> </w:t>
      </w:r>
      <w:r w:rsidRPr="009A0DA6">
        <w:rPr>
          <w:rFonts w:ascii="Cambria" w:eastAsia="Calibri" w:hAnsi="Cambria" w:cs="Calibri"/>
          <w:spacing w:val="1"/>
          <w:position w:val="1"/>
        </w:rPr>
        <w:t>w</w:t>
      </w:r>
      <w:r w:rsidRPr="009A0DA6">
        <w:rPr>
          <w:rFonts w:ascii="Cambria" w:eastAsia="Calibri" w:hAnsi="Cambria" w:cs="Calibri"/>
          <w:spacing w:val="-1"/>
          <w:position w:val="1"/>
        </w:rPr>
        <w:t>h</w:t>
      </w:r>
      <w:r w:rsidRPr="009A0DA6">
        <w:rPr>
          <w:rFonts w:ascii="Cambria" w:eastAsia="Calibri" w:hAnsi="Cambria" w:cs="Calibri"/>
          <w:spacing w:val="-2"/>
          <w:position w:val="1"/>
        </w:rPr>
        <w:t>e</w:t>
      </w:r>
      <w:r w:rsidRPr="009A0DA6">
        <w:rPr>
          <w:rFonts w:ascii="Cambria" w:eastAsia="Calibri" w:hAnsi="Cambria" w:cs="Calibri"/>
          <w:position w:val="1"/>
        </w:rPr>
        <w:t>ther</w:t>
      </w:r>
      <w:r w:rsidRPr="009A0DA6">
        <w:rPr>
          <w:rFonts w:ascii="Cambria" w:eastAsia="Calibri" w:hAnsi="Cambria" w:cs="Calibri"/>
          <w:spacing w:val="-2"/>
          <w:position w:val="1"/>
        </w:rPr>
        <w:t xml:space="preserve"> </w:t>
      </w:r>
      <w:r w:rsidRPr="009A0DA6">
        <w:rPr>
          <w:rFonts w:ascii="Cambria" w:eastAsia="Calibri" w:hAnsi="Cambria" w:cs="Calibri"/>
          <w:position w:val="1"/>
        </w:rPr>
        <w:t>these</w:t>
      </w:r>
      <w:r w:rsidRPr="009A0DA6">
        <w:rPr>
          <w:rFonts w:ascii="Cambria" w:eastAsia="Calibri" w:hAnsi="Cambria" w:cs="Calibri"/>
          <w:spacing w:val="-1"/>
          <w:position w:val="1"/>
        </w:rPr>
        <w:t xml:space="preserve"> </w:t>
      </w:r>
      <w:r w:rsidRPr="009A0DA6">
        <w:rPr>
          <w:rFonts w:ascii="Cambria" w:eastAsia="Calibri" w:hAnsi="Cambria" w:cs="Calibri"/>
          <w:position w:val="1"/>
        </w:rPr>
        <w:t>c</w:t>
      </w:r>
      <w:r w:rsidRPr="009A0DA6">
        <w:rPr>
          <w:rFonts w:ascii="Cambria" w:eastAsia="Calibri" w:hAnsi="Cambria" w:cs="Calibri"/>
          <w:spacing w:val="1"/>
          <w:position w:val="1"/>
        </w:rPr>
        <w:t>o</w:t>
      </w:r>
      <w:r w:rsidRPr="009A0DA6">
        <w:rPr>
          <w:rFonts w:ascii="Cambria" w:eastAsia="Calibri" w:hAnsi="Cambria" w:cs="Calibri"/>
          <w:spacing w:val="-3"/>
          <w:position w:val="1"/>
        </w:rPr>
        <w:t>n</w:t>
      </w:r>
      <w:r w:rsidRPr="009A0DA6">
        <w:rPr>
          <w:rFonts w:ascii="Cambria" w:eastAsia="Calibri" w:hAnsi="Cambria" w:cs="Calibri"/>
          <w:spacing w:val="-1"/>
          <w:position w:val="1"/>
        </w:rPr>
        <w:t>g</w:t>
      </w:r>
      <w:r w:rsidRPr="009A0DA6">
        <w:rPr>
          <w:rFonts w:ascii="Cambria" w:eastAsia="Calibri" w:hAnsi="Cambria" w:cs="Calibri"/>
          <w:position w:val="1"/>
        </w:rPr>
        <w:t>reg</w:t>
      </w:r>
      <w:r w:rsidRPr="009A0DA6">
        <w:rPr>
          <w:rFonts w:ascii="Cambria" w:eastAsia="Calibri" w:hAnsi="Cambria" w:cs="Calibri"/>
          <w:spacing w:val="-1"/>
          <w:position w:val="1"/>
        </w:rPr>
        <w:t>a</w:t>
      </w:r>
      <w:r w:rsidRPr="009A0DA6">
        <w:rPr>
          <w:rFonts w:ascii="Cambria" w:eastAsia="Calibri" w:hAnsi="Cambria" w:cs="Calibri"/>
          <w:position w:val="1"/>
        </w:rPr>
        <w:t>ti</w:t>
      </w:r>
      <w:r w:rsidRPr="009A0DA6">
        <w:rPr>
          <w:rFonts w:ascii="Cambria" w:eastAsia="Calibri" w:hAnsi="Cambria" w:cs="Calibri"/>
          <w:spacing w:val="1"/>
          <w:position w:val="1"/>
        </w:rPr>
        <w:t>o</w:t>
      </w:r>
      <w:r w:rsidRPr="009A0DA6">
        <w:rPr>
          <w:rFonts w:ascii="Cambria" w:eastAsia="Calibri" w:hAnsi="Cambria" w:cs="Calibri"/>
          <w:spacing w:val="-1"/>
          <w:position w:val="1"/>
        </w:rPr>
        <w:t>n</w:t>
      </w:r>
      <w:r w:rsidRPr="009A0DA6">
        <w:rPr>
          <w:rFonts w:ascii="Cambria" w:eastAsia="Calibri" w:hAnsi="Cambria" w:cs="Calibri"/>
          <w:position w:val="1"/>
        </w:rPr>
        <w:t>s and</w:t>
      </w:r>
      <w:r w:rsidRPr="009A0DA6">
        <w:rPr>
          <w:rFonts w:ascii="Cambria" w:eastAsia="Calibri" w:hAnsi="Cambria" w:cs="Calibri"/>
          <w:spacing w:val="-1"/>
          <w:position w:val="1"/>
        </w:rPr>
        <w:t xml:space="preserve"> </w:t>
      </w:r>
      <w:r w:rsidRPr="009A0DA6">
        <w:rPr>
          <w:rFonts w:ascii="Cambria" w:eastAsia="Calibri" w:hAnsi="Cambria" w:cs="Calibri"/>
          <w:position w:val="1"/>
        </w:rPr>
        <w:t>pa</w:t>
      </w:r>
      <w:r w:rsidRPr="009A0DA6">
        <w:rPr>
          <w:rFonts w:ascii="Cambria" w:eastAsia="Calibri" w:hAnsi="Cambria" w:cs="Calibri"/>
          <w:spacing w:val="-3"/>
          <w:position w:val="1"/>
        </w:rPr>
        <w:t>s</w:t>
      </w:r>
      <w:r w:rsidRPr="009A0DA6">
        <w:rPr>
          <w:rFonts w:ascii="Cambria" w:eastAsia="Calibri" w:hAnsi="Cambria" w:cs="Calibri"/>
          <w:position w:val="1"/>
        </w:rPr>
        <w:t>t</w:t>
      </w:r>
      <w:r w:rsidRPr="009A0DA6">
        <w:rPr>
          <w:rFonts w:ascii="Cambria" w:eastAsia="Calibri" w:hAnsi="Cambria" w:cs="Calibri"/>
          <w:spacing w:val="1"/>
          <w:position w:val="1"/>
        </w:rPr>
        <w:t>o</w:t>
      </w:r>
      <w:r w:rsidRPr="009A0DA6">
        <w:rPr>
          <w:rFonts w:ascii="Cambria" w:eastAsia="Calibri" w:hAnsi="Cambria" w:cs="Calibri"/>
          <w:spacing w:val="-3"/>
          <w:position w:val="1"/>
        </w:rPr>
        <w:t>r</w:t>
      </w:r>
      <w:r w:rsidRPr="009A0DA6">
        <w:rPr>
          <w:rFonts w:ascii="Cambria" w:eastAsia="Calibri" w:hAnsi="Cambria" w:cs="Calibri"/>
          <w:position w:val="1"/>
        </w:rPr>
        <w:t>s</w:t>
      </w:r>
      <w:r w:rsidRPr="009A0DA6">
        <w:rPr>
          <w:rFonts w:ascii="Cambria" w:eastAsia="Calibri" w:hAnsi="Cambria" w:cs="Calibri"/>
          <w:spacing w:val="-2"/>
          <w:position w:val="1"/>
        </w:rPr>
        <w:t xml:space="preserve"> </w:t>
      </w:r>
      <w:r w:rsidRPr="009A0DA6">
        <w:rPr>
          <w:rFonts w:ascii="Cambria" w:eastAsia="Calibri" w:hAnsi="Cambria" w:cs="Calibri"/>
          <w:spacing w:val="1"/>
          <w:position w:val="1"/>
        </w:rPr>
        <w:t>m</w:t>
      </w:r>
      <w:r w:rsidRPr="009A0DA6">
        <w:rPr>
          <w:rFonts w:ascii="Cambria" w:eastAsia="Calibri" w:hAnsi="Cambria" w:cs="Calibri"/>
          <w:spacing w:val="-2"/>
          <w:position w:val="1"/>
        </w:rPr>
        <w:t>e</w:t>
      </w:r>
      <w:r w:rsidRPr="009A0DA6">
        <w:rPr>
          <w:rFonts w:ascii="Cambria" w:eastAsia="Calibri" w:hAnsi="Cambria" w:cs="Calibri"/>
          <w:position w:val="1"/>
        </w:rPr>
        <w:t>et</w:t>
      </w:r>
      <w:r w:rsidRPr="009A0DA6">
        <w:rPr>
          <w:rFonts w:ascii="Cambria" w:eastAsia="Calibri" w:hAnsi="Cambria" w:cs="Calibri"/>
          <w:spacing w:val="-1"/>
          <w:position w:val="1"/>
        </w:rPr>
        <w:t xml:space="preserve"> </w:t>
      </w:r>
      <w:r w:rsidRPr="009A0DA6">
        <w:rPr>
          <w:rFonts w:ascii="Cambria" w:eastAsia="Calibri" w:hAnsi="Cambria" w:cs="Calibri"/>
          <w:spacing w:val="1"/>
          <w:position w:val="1"/>
        </w:rPr>
        <w:t>o</w:t>
      </w:r>
      <w:r w:rsidRPr="009A0DA6">
        <w:rPr>
          <w:rFonts w:ascii="Cambria" w:eastAsia="Calibri" w:hAnsi="Cambria" w:cs="Calibri"/>
          <w:spacing w:val="-1"/>
          <w:position w:val="1"/>
        </w:rPr>
        <w:t>u</w:t>
      </w:r>
      <w:r w:rsidRPr="009A0DA6">
        <w:rPr>
          <w:rFonts w:ascii="Cambria" w:eastAsia="Calibri" w:hAnsi="Cambria" w:cs="Calibri"/>
          <w:position w:val="1"/>
        </w:rPr>
        <w:t>r cur</w:t>
      </w:r>
      <w:r w:rsidRPr="009A0DA6">
        <w:rPr>
          <w:rFonts w:ascii="Cambria" w:eastAsia="Calibri" w:hAnsi="Cambria" w:cs="Calibri"/>
          <w:spacing w:val="-1"/>
          <w:position w:val="1"/>
        </w:rPr>
        <w:t>r</w:t>
      </w:r>
      <w:r w:rsidRPr="009A0DA6">
        <w:rPr>
          <w:rFonts w:ascii="Cambria" w:eastAsia="Calibri" w:hAnsi="Cambria" w:cs="Calibri"/>
          <w:position w:val="1"/>
        </w:rPr>
        <w:t xml:space="preserve">ent </w:t>
      </w:r>
      <w:r w:rsidRPr="009A0DA6">
        <w:rPr>
          <w:rFonts w:ascii="Cambria" w:eastAsia="Calibri" w:hAnsi="Cambria" w:cs="Calibri"/>
        </w:rPr>
        <w:t>c</w:t>
      </w:r>
      <w:r w:rsidRPr="009A0DA6">
        <w:rPr>
          <w:rFonts w:ascii="Cambria" w:eastAsia="Calibri" w:hAnsi="Cambria" w:cs="Calibri"/>
          <w:spacing w:val="1"/>
        </w:rPr>
        <w:t>o</w:t>
      </w:r>
      <w:r w:rsidRPr="009A0DA6">
        <w:rPr>
          <w:rFonts w:ascii="Cambria" w:eastAsia="Calibri" w:hAnsi="Cambria" w:cs="Calibri"/>
          <w:spacing w:val="-1"/>
        </w:rPr>
        <w:t>n</w:t>
      </w:r>
      <w:r w:rsidRPr="009A0DA6">
        <w:rPr>
          <w:rFonts w:ascii="Cambria" w:eastAsia="Calibri" w:hAnsi="Cambria" w:cs="Calibri"/>
        </w:rPr>
        <w:t>stit</w:t>
      </w:r>
      <w:r w:rsidRPr="009A0DA6">
        <w:rPr>
          <w:rFonts w:ascii="Cambria" w:eastAsia="Calibri" w:hAnsi="Cambria" w:cs="Calibri"/>
          <w:spacing w:val="-3"/>
        </w:rPr>
        <w:t>u</w:t>
      </w:r>
      <w:r w:rsidRPr="009A0DA6">
        <w:rPr>
          <w:rFonts w:ascii="Cambria" w:eastAsia="Calibri" w:hAnsi="Cambria" w:cs="Calibri"/>
        </w:rPr>
        <w:t>ti</w:t>
      </w:r>
      <w:r w:rsidRPr="009A0DA6">
        <w:rPr>
          <w:rFonts w:ascii="Cambria" w:eastAsia="Calibri" w:hAnsi="Cambria" w:cs="Calibri"/>
          <w:spacing w:val="1"/>
        </w:rPr>
        <w:t>o</w:t>
      </w:r>
      <w:r w:rsidRPr="009A0DA6">
        <w:rPr>
          <w:rFonts w:ascii="Cambria" w:eastAsia="Calibri" w:hAnsi="Cambria" w:cs="Calibri"/>
          <w:spacing w:val="-1"/>
        </w:rPr>
        <w:t>n</w:t>
      </w:r>
      <w:r w:rsidRPr="009A0DA6">
        <w:rPr>
          <w:rFonts w:ascii="Cambria" w:eastAsia="Calibri" w:hAnsi="Cambria" w:cs="Calibri"/>
        </w:rPr>
        <w:t xml:space="preserve">al </w:t>
      </w:r>
      <w:r w:rsidRPr="009A0DA6">
        <w:rPr>
          <w:rFonts w:ascii="Cambria" w:eastAsia="Calibri" w:hAnsi="Cambria" w:cs="Calibri"/>
          <w:spacing w:val="-3"/>
        </w:rPr>
        <w:t>r</w:t>
      </w:r>
      <w:r w:rsidRPr="009A0DA6">
        <w:rPr>
          <w:rFonts w:ascii="Cambria" w:eastAsia="Calibri" w:hAnsi="Cambria" w:cs="Calibri"/>
        </w:rPr>
        <w:t>eq</w:t>
      </w:r>
      <w:r w:rsidRPr="009A0DA6">
        <w:rPr>
          <w:rFonts w:ascii="Cambria" w:eastAsia="Calibri" w:hAnsi="Cambria" w:cs="Calibri"/>
          <w:spacing w:val="-1"/>
        </w:rPr>
        <w:t>u</w:t>
      </w:r>
      <w:r w:rsidRPr="009A0DA6">
        <w:rPr>
          <w:rFonts w:ascii="Cambria" w:eastAsia="Calibri" w:hAnsi="Cambria" w:cs="Calibri"/>
        </w:rPr>
        <w:t>ir</w:t>
      </w:r>
      <w:r w:rsidRPr="009A0DA6">
        <w:rPr>
          <w:rFonts w:ascii="Cambria" w:eastAsia="Calibri" w:hAnsi="Cambria" w:cs="Calibri"/>
          <w:spacing w:val="-2"/>
        </w:rPr>
        <w:t>e</w:t>
      </w:r>
      <w:r w:rsidRPr="009A0DA6">
        <w:rPr>
          <w:rFonts w:ascii="Cambria" w:eastAsia="Calibri" w:hAnsi="Cambria" w:cs="Calibri"/>
          <w:spacing w:val="1"/>
        </w:rPr>
        <w:t>m</w:t>
      </w:r>
      <w:r w:rsidRPr="009A0DA6">
        <w:rPr>
          <w:rFonts w:ascii="Cambria" w:eastAsia="Calibri" w:hAnsi="Cambria" w:cs="Calibri"/>
        </w:rPr>
        <w:t>en</w:t>
      </w:r>
      <w:r w:rsidRPr="009A0DA6">
        <w:rPr>
          <w:rFonts w:ascii="Cambria" w:eastAsia="Calibri" w:hAnsi="Cambria" w:cs="Calibri"/>
          <w:spacing w:val="-2"/>
        </w:rPr>
        <w:t>t</w:t>
      </w:r>
      <w:r w:rsidRPr="009A0DA6">
        <w:rPr>
          <w:rFonts w:ascii="Cambria" w:eastAsia="Calibri" w:hAnsi="Cambria" w:cs="Calibri"/>
        </w:rPr>
        <w:t>s, since</w:t>
      </w:r>
      <w:r w:rsidRPr="009A0DA6">
        <w:rPr>
          <w:rFonts w:ascii="Cambria" w:eastAsia="Calibri" w:hAnsi="Cambria" w:cs="Calibri"/>
          <w:spacing w:val="-1"/>
        </w:rPr>
        <w:t xml:space="preserve"> </w:t>
      </w:r>
      <w:r w:rsidRPr="009A0DA6">
        <w:rPr>
          <w:rFonts w:ascii="Cambria" w:eastAsia="Calibri" w:hAnsi="Cambria" w:cs="Calibri"/>
        </w:rPr>
        <w:t>these</w:t>
      </w:r>
      <w:r w:rsidRPr="009A0DA6">
        <w:rPr>
          <w:rFonts w:ascii="Cambria" w:eastAsia="Calibri" w:hAnsi="Cambria" w:cs="Calibri"/>
          <w:spacing w:val="-1"/>
        </w:rPr>
        <w:t xml:space="preserve"> w</w:t>
      </w:r>
      <w:r w:rsidRPr="009A0DA6">
        <w:rPr>
          <w:rFonts w:ascii="Cambria" w:eastAsia="Calibri" w:hAnsi="Cambria" w:cs="Calibri"/>
        </w:rPr>
        <w:t>ere</w:t>
      </w:r>
      <w:r w:rsidRPr="009A0DA6">
        <w:rPr>
          <w:rFonts w:ascii="Cambria" w:eastAsia="Calibri" w:hAnsi="Cambria" w:cs="Calibri"/>
          <w:spacing w:val="1"/>
        </w:rPr>
        <w:t xml:space="preserve"> </w:t>
      </w:r>
      <w:r w:rsidRPr="009A0DA6">
        <w:rPr>
          <w:rFonts w:ascii="Cambria" w:eastAsia="Calibri" w:hAnsi="Cambria" w:cs="Calibri"/>
          <w:spacing w:val="-1"/>
        </w:rPr>
        <w:t>d</w:t>
      </w:r>
      <w:r w:rsidRPr="009A0DA6">
        <w:rPr>
          <w:rFonts w:ascii="Cambria" w:eastAsia="Calibri" w:hAnsi="Cambria" w:cs="Calibri"/>
          <w:spacing w:val="-2"/>
        </w:rPr>
        <w:t>e</w:t>
      </w:r>
      <w:r w:rsidRPr="009A0DA6">
        <w:rPr>
          <w:rFonts w:ascii="Cambria" w:eastAsia="Calibri" w:hAnsi="Cambria" w:cs="Calibri"/>
        </w:rPr>
        <w:t>si</w:t>
      </w:r>
      <w:r w:rsidRPr="009A0DA6">
        <w:rPr>
          <w:rFonts w:ascii="Cambria" w:eastAsia="Calibri" w:hAnsi="Cambria" w:cs="Calibri"/>
          <w:spacing w:val="-1"/>
        </w:rPr>
        <w:t>gn</w:t>
      </w:r>
      <w:r w:rsidRPr="009A0DA6">
        <w:rPr>
          <w:rFonts w:ascii="Cambria" w:eastAsia="Calibri" w:hAnsi="Cambria" w:cs="Calibri"/>
          <w:spacing w:val="-2"/>
        </w:rPr>
        <w:t>e</w:t>
      </w:r>
      <w:r w:rsidRPr="009A0DA6">
        <w:rPr>
          <w:rFonts w:ascii="Cambria" w:eastAsia="Calibri" w:hAnsi="Cambria" w:cs="Calibri"/>
        </w:rPr>
        <w:t>d</w:t>
      </w:r>
      <w:r w:rsidRPr="009A0DA6">
        <w:rPr>
          <w:rFonts w:ascii="Cambria" w:eastAsia="Calibri" w:hAnsi="Cambria" w:cs="Calibri"/>
          <w:spacing w:val="-1"/>
        </w:rPr>
        <w:t xml:space="preserve"> </w:t>
      </w:r>
      <w:r w:rsidRPr="009A0DA6">
        <w:rPr>
          <w:rFonts w:ascii="Cambria" w:eastAsia="Calibri" w:hAnsi="Cambria" w:cs="Calibri"/>
        </w:rPr>
        <w:t>f</w:t>
      </w:r>
      <w:r w:rsidRPr="009A0DA6">
        <w:rPr>
          <w:rFonts w:ascii="Cambria" w:eastAsia="Calibri" w:hAnsi="Cambria" w:cs="Calibri"/>
          <w:spacing w:val="1"/>
        </w:rPr>
        <w:t>o</w:t>
      </w:r>
      <w:r w:rsidRPr="009A0DA6">
        <w:rPr>
          <w:rFonts w:ascii="Cambria" w:eastAsia="Calibri" w:hAnsi="Cambria" w:cs="Calibri"/>
        </w:rPr>
        <w:t>r a</w:t>
      </w:r>
      <w:r w:rsidRPr="009A0DA6">
        <w:rPr>
          <w:rFonts w:ascii="Cambria" w:eastAsia="Calibri" w:hAnsi="Cambria" w:cs="Calibri"/>
          <w:spacing w:val="-2"/>
        </w:rPr>
        <w:t xml:space="preserve"> </w:t>
      </w:r>
      <w:r w:rsidR="00290C36" w:rsidRPr="009A0DA6">
        <w:rPr>
          <w:rFonts w:ascii="Cambria" w:eastAsia="Calibri" w:hAnsi="Cambria" w:cs="Calibri"/>
        </w:rPr>
        <w:t>W</w:t>
      </w:r>
      <w:r w:rsidRPr="009A0DA6">
        <w:rPr>
          <w:rFonts w:ascii="Cambria" w:eastAsia="Calibri" w:hAnsi="Cambria" w:cs="Calibri"/>
          <w:spacing w:val="1"/>
        </w:rPr>
        <w:t>e</w:t>
      </w:r>
      <w:r w:rsidRPr="009A0DA6">
        <w:rPr>
          <w:rFonts w:ascii="Cambria" w:eastAsia="Calibri" w:hAnsi="Cambria" w:cs="Calibri"/>
          <w:spacing w:val="-2"/>
        </w:rPr>
        <w:t>s</w:t>
      </w:r>
      <w:r w:rsidRPr="009A0DA6">
        <w:rPr>
          <w:rFonts w:ascii="Cambria" w:eastAsia="Calibri" w:hAnsi="Cambria" w:cs="Calibri"/>
        </w:rPr>
        <w:t>t</w:t>
      </w:r>
      <w:r w:rsidRPr="009A0DA6">
        <w:rPr>
          <w:rFonts w:ascii="Cambria" w:eastAsia="Calibri" w:hAnsi="Cambria" w:cs="Calibri"/>
          <w:spacing w:val="1"/>
        </w:rPr>
        <w:t>e</w:t>
      </w:r>
      <w:r w:rsidRPr="009A0DA6">
        <w:rPr>
          <w:rFonts w:ascii="Cambria" w:eastAsia="Calibri" w:hAnsi="Cambria" w:cs="Calibri"/>
        </w:rPr>
        <w:t>rn</w:t>
      </w:r>
      <w:r w:rsidRPr="009A0DA6">
        <w:rPr>
          <w:rFonts w:ascii="Cambria" w:eastAsia="Calibri" w:hAnsi="Cambria" w:cs="Calibri"/>
          <w:spacing w:val="-3"/>
        </w:rPr>
        <w:t xml:space="preserve"> </w:t>
      </w:r>
      <w:r w:rsidRPr="009A0DA6">
        <w:rPr>
          <w:rFonts w:ascii="Cambria" w:eastAsia="Calibri" w:hAnsi="Cambria" w:cs="Calibri"/>
        </w:rPr>
        <w:t>cu</w:t>
      </w:r>
      <w:r w:rsidRPr="009A0DA6">
        <w:rPr>
          <w:rFonts w:ascii="Cambria" w:eastAsia="Calibri" w:hAnsi="Cambria" w:cs="Calibri"/>
          <w:spacing w:val="-1"/>
        </w:rPr>
        <w:t>l</w:t>
      </w:r>
      <w:r w:rsidRPr="009A0DA6">
        <w:rPr>
          <w:rFonts w:ascii="Cambria" w:eastAsia="Calibri" w:hAnsi="Cambria" w:cs="Calibri"/>
        </w:rPr>
        <w:t>tur</w:t>
      </w:r>
      <w:r w:rsidRPr="009A0DA6">
        <w:rPr>
          <w:rFonts w:ascii="Cambria" w:eastAsia="Calibri" w:hAnsi="Cambria" w:cs="Calibri"/>
          <w:spacing w:val="-1"/>
        </w:rPr>
        <w:t>a</w:t>
      </w:r>
      <w:r w:rsidRPr="009A0DA6">
        <w:rPr>
          <w:rFonts w:ascii="Cambria" w:eastAsia="Calibri" w:hAnsi="Cambria" w:cs="Calibri"/>
        </w:rPr>
        <w:t xml:space="preserve">l </w:t>
      </w:r>
      <w:r w:rsidRPr="009A0DA6">
        <w:rPr>
          <w:rFonts w:ascii="Cambria" w:eastAsia="Calibri" w:hAnsi="Cambria" w:cs="Calibri"/>
          <w:spacing w:val="-2"/>
        </w:rPr>
        <w:t>c</w:t>
      </w:r>
      <w:r w:rsidRPr="009A0DA6">
        <w:rPr>
          <w:rFonts w:ascii="Cambria" w:eastAsia="Calibri" w:hAnsi="Cambria" w:cs="Calibri"/>
          <w:spacing w:val="-1"/>
        </w:rPr>
        <w:t>on</w:t>
      </w:r>
      <w:r w:rsidRPr="009A0DA6">
        <w:rPr>
          <w:rFonts w:ascii="Cambria" w:eastAsia="Calibri" w:hAnsi="Cambria" w:cs="Calibri"/>
        </w:rPr>
        <w:t>t</w:t>
      </w:r>
      <w:r w:rsidRPr="009A0DA6">
        <w:rPr>
          <w:rFonts w:ascii="Cambria" w:eastAsia="Calibri" w:hAnsi="Cambria" w:cs="Calibri"/>
          <w:spacing w:val="1"/>
        </w:rPr>
        <w:t>e</w:t>
      </w:r>
      <w:r w:rsidRPr="009A0DA6">
        <w:rPr>
          <w:rFonts w:ascii="Cambria" w:eastAsia="Calibri" w:hAnsi="Cambria" w:cs="Calibri"/>
        </w:rPr>
        <w:t>xt</w:t>
      </w:r>
      <w:r w:rsidRPr="009A0DA6">
        <w:rPr>
          <w:rFonts w:ascii="Cambria" w:eastAsia="Calibri" w:hAnsi="Cambria" w:cs="Calibri"/>
          <w:spacing w:val="1"/>
        </w:rPr>
        <w:t xml:space="preserve"> </w:t>
      </w:r>
      <w:r w:rsidRPr="009A0DA6">
        <w:rPr>
          <w:rFonts w:ascii="Cambria" w:eastAsia="Calibri" w:hAnsi="Cambria" w:cs="Calibri"/>
          <w:spacing w:val="4"/>
        </w:rPr>
        <w:t>a</w:t>
      </w:r>
      <w:r w:rsidRPr="009A0DA6">
        <w:rPr>
          <w:rFonts w:ascii="Cambria" w:eastAsia="Calibri" w:hAnsi="Cambria" w:cs="Calibri"/>
          <w:spacing w:val="-1"/>
        </w:rPr>
        <w:t>n</w:t>
      </w:r>
      <w:r w:rsidRPr="009A0DA6">
        <w:rPr>
          <w:rFonts w:ascii="Cambria" w:eastAsia="Calibri" w:hAnsi="Cambria" w:cs="Calibri"/>
        </w:rPr>
        <w:t>d</w:t>
      </w:r>
      <w:r w:rsidRPr="009A0DA6">
        <w:rPr>
          <w:rFonts w:ascii="Cambria" w:eastAsia="Calibri" w:hAnsi="Cambria" w:cs="Calibri"/>
          <w:spacing w:val="-3"/>
        </w:rPr>
        <w:t xml:space="preserve"> </w:t>
      </w:r>
      <w:r w:rsidRPr="009A0DA6">
        <w:rPr>
          <w:rFonts w:ascii="Cambria" w:eastAsia="Calibri" w:hAnsi="Cambria" w:cs="Calibri"/>
        </w:rPr>
        <w:t>are ill-fi</w:t>
      </w:r>
      <w:r w:rsidRPr="009A0DA6">
        <w:rPr>
          <w:rFonts w:ascii="Cambria" w:eastAsia="Calibri" w:hAnsi="Cambria" w:cs="Calibri"/>
          <w:spacing w:val="-2"/>
        </w:rPr>
        <w:t>t</w:t>
      </w:r>
      <w:r w:rsidRPr="009A0DA6">
        <w:rPr>
          <w:rFonts w:ascii="Cambria" w:eastAsia="Calibri" w:hAnsi="Cambria" w:cs="Calibri"/>
        </w:rPr>
        <w:t>t</w:t>
      </w:r>
      <w:r w:rsidRPr="009A0DA6">
        <w:rPr>
          <w:rFonts w:ascii="Cambria" w:eastAsia="Calibri" w:hAnsi="Cambria" w:cs="Calibri"/>
          <w:spacing w:val="1"/>
        </w:rPr>
        <w:t>e</w:t>
      </w:r>
      <w:r w:rsidRPr="009A0DA6">
        <w:rPr>
          <w:rFonts w:ascii="Cambria" w:eastAsia="Calibri" w:hAnsi="Cambria" w:cs="Calibri"/>
        </w:rPr>
        <w:t>d f</w:t>
      </w:r>
      <w:r w:rsidRPr="009A0DA6">
        <w:rPr>
          <w:rFonts w:ascii="Cambria" w:eastAsia="Calibri" w:hAnsi="Cambria" w:cs="Calibri"/>
          <w:spacing w:val="1"/>
        </w:rPr>
        <w:t>o</w:t>
      </w:r>
      <w:r w:rsidRPr="009A0DA6">
        <w:rPr>
          <w:rFonts w:ascii="Cambria" w:eastAsia="Calibri" w:hAnsi="Cambria" w:cs="Calibri"/>
        </w:rPr>
        <w:t>r t</w:t>
      </w:r>
      <w:r w:rsidRPr="009A0DA6">
        <w:rPr>
          <w:rFonts w:ascii="Cambria" w:eastAsia="Calibri" w:hAnsi="Cambria" w:cs="Calibri"/>
          <w:spacing w:val="-3"/>
        </w:rPr>
        <w:t>h</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rPr>
        <w:t>cu</w:t>
      </w:r>
      <w:r w:rsidRPr="009A0DA6">
        <w:rPr>
          <w:rFonts w:ascii="Cambria" w:eastAsia="Calibri" w:hAnsi="Cambria" w:cs="Calibri"/>
          <w:spacing w:val="-1"/>
        </w:rPr>
        <w:t>l</w:t>
      </w:r>
      <w:r w:rsidRPr="009A0DA6">
        <w:rPr>
          <w:rFonts w:ascii="Cambria" w:eastAsia="Calibri" w:hAnsi="Cambria" w:cs="Calibri"/>
        </w:rPr>
        <w:t>tur</w:t>
      </w:r>
      <w:r w:rsidRPr="009A0DA6">
        <w:rPr>
          <w:rFonts w:ascii="Cambria" w:eastAsia="Calibri" w:hAnsi="Cambria" w:cs="Calibri"/>
          <w:spacing w:val="-1"/>
        </w:rPr>
        <w:t>a</w:t>
      </w:r>
      <w:r w:rsidRPr="009A0DA6">
        <w:rPr>
          <w:rFonts w:ascii="Cambria" w:eastAsia="Calibri" w:hAnsi="Cambria" w:cs="Calibri"/>
        </w:rPr>
        <w:t>l</w:t>
      </w:r>
      <w:r w:rsidRPr="009A0DA6">
        <w:rPr>
          <w:rFonts w:ascii="Cambria" w:eastAsia="Calibri" w:hAnsi="Cambria" w:cs="Calibri"/>
          <w:spacing w:val="-2"/>
        </w:rPr>
        <w:t xml:space="preserve"> </w:t>
      </w:r>
      <w:r w:rsidRPr="009A0DA6">
        <w:rPr>
          <w:rFonts w:ascii="Cambria" w:eastAsia="Calibri" w:hAnsi="Cambria" w:cs="Calibri"/>
        </w:rPr>
        <w:t>c</w:t>
      </w:r>
      <w:r w:rsidRPr="009A0DA6">
        <w:rPr>
          <w:rFonts w:ascii="Cambria" w:eastAsia="Calibri" w:hAnsi="Cambria" w:cs="Calibri"/>
          <w:spacing w:val="1"/>
        </w:rPr>
        <w:t>o</w:t>
      </w:r>
      <w:r w:rsidRPr="009A0DA6">
        <w:rPr>
          <w:rFonts w:ascii="Cambria" w:eastAsia="Calibri" w:hAnsi="Cambria" w:cs="Calibri"/>
          <w:spacing w:val="-1"/>
        </w:rPr>
        <w:t>n</w:t>
      </w:r>
      <w:r w:rsidRPr="009A0DA6">
        <w:rPr>
          <w:rFonts w:ascii="Cambria" w:eastAsia="Calibri" w:hAnsi="Cambria" w:cs="Calibri"/>
          <w:spacing w:val="-2"/>
        </w:rPr>
        <w:t>t</w:t>
      </w:r>
      <w:r w:rsidRPr="009A0DA6">
        <w:rPr>
          <w:rFonts w:ascii="Cambria" w:eastAsia="Calibri" w:hAnsi="Cambria" w:cs="Calibri"/>
        </w:rPr>
        <w:t>e</w:t>
      </w:r>
      <w:r w:rsidRPr="009A0DA6">
        <w:rPr>
          <w:rFonts w:ascii="Cambria" w:eastAsia="Calibri" w:hAnsi="Cambria" w:cs="Calibri"/>
          <w:spacing w:val="1"/>
        </w:rPr>
        <w:t>x</w:t>
      </w:r>
      <w:r w:rsidRPr="009A0DA6">
        <w:rPr>
          <w:rFonts w:ascii="Cambria" w:eastAsia="Calibri" w:hAnsi="Cambria" w:cs="Calibri"/>
        </w:rPr>
        <w:t>t</w:t>
      </w:r>
      <w:r w:rsidRPr="009A0DA6">
        <w:rPr>
          <w:rFonts w:ascii="Cambria" w:eastAsia="Calibri" w:hAnsi="Cambria" w:cs="Calibri"/>
          <w:spacing w:val="-2"/>
        </w:rPr>
        <w:t xml:space="preserve"> </w:t>
      </w:r>
      <w:r w:rsidRPr="009A0DA6">
        <w:rPr>
          <w:rFonts w:ascii="Cambria" w:eastAsia="Calibri" w:hAnsi="Cambria" w:cs="Calibri"/>
          <w:spacing w:val="1"/>
        </w:rPr>
        <w:t>o</w:t>
      </w:r>
      <w:r w:rsidRPr="009A0DA6">
        <w:rPr>
          <w:rFonts w:ascii="Cambria" w:eastAsia="Calibri" w:hAnsi="Cambria" w:cs="Calibri"/>
        </w:rPr>
        <w:t>f</w:t>
      </w:r>
      <w:r w:rsidRPr="009A0DA6">
        <w:rPr>
          <w:rFonts w:ascii="Cambria" w:eastAsia="Calibri" w:hAnsi="Cambria" w:cs="Calibri"/>
          <w:spacing w:val="-4"/>
        </w:rPr>
        <w:t xml:space="preserve"> </w:t>
      </w:r>
      <w:r w:rsidRPr="009A0DA6">
        <w:rPr>
          <w:rFonts w:ascii="Cambria" w:eastAsia="Calibri" w:hAnsi="Cambria" w:cs="Calibri"/>
          <w:spacing w:val="1"/>
        </w:rPr>
        <w:t>m</w:t>
      </w:r>
      <w:r w:rsidRPr="009A0DA6">
        <w:rPr>
          <w:rFonts w:ascii="Cambria" w:eastAsia="Calibri" w:hAnsi="Cambria" w:cs="Calibri"/>
          <w:spacing w:val="-1"/>
        </w:rPr>
        <w:t>o</w:t>
      </w:r>
      <w:r w:rsidRPr="009A0DA6">
        <w:rPr>
          <w:rFonts w:ascii="Cambria" w:eastAsia="Calibri" w:hAnsi="Cambria" w:cs="Calibri"/>
        </w:rPr>
        <w:t>st</w:t>
      </w:r>
      <w:r w:rsidRPr="009A0DA6">
        <w:rPr>
          <w:rFonts w:ascii="Cambria" w:eastAsia="Calibri" w:hAnsi="Cambria" w:cs="Calibri"/>
          <w:spacing w:val="-1"/>
        </w:rPr>
        <w:t xml:space="preserve"> </w:t>
      </w:r>
      <w:r w:rsidRPr="009A0DA6">
        <w:rPr>
          <w:rFonts w:ascii="Cambria" w:eastAsia="Calibri" w:hAnsi="Cambria" w:cs="Calibri"/>
          <w:spacing w:val="1"/>
        </w:rPr>
        <w:t>o</w:t>
      </w:r>
      <w:r w:rsidRPr="009A0DA6">
        <w:rPr>
          <w:rFonts w:ascii="Cambria" w:eastAsia="Calibri" w:hAnsi="Cambria" w:cs="Calibri"/>
        </w:rPr>
        <w:t>f</w:t>
      </w:r>
      <w:r w:rsidRPr="009A0DA6">
        <w:rPr>
          <w:rFonts w:ascii="Cambria" w:eastAsia="Calibri" w:hAnsi="Cambria" w:cs="Calibri"/>
          <w:spacing w:val="-2"/>
        </w:rPr>
        <w:t xml:space="preserve"> </w:t>
      </w:r>
      <w:r w:rsidRPr="009A0DA6">
        <w:rPr>
          <w:rFonts w:ascii="Cambria" w:eastAsia="Calibri" w:hAnsi="Cambria" w:cs="Calibri"/>
          <w:spacing w:val="1"/>
        </w:rPr>
        <w:t>o</w:t>
      </w:r>
      <w:r w:rsidRPr="009A0DA6">
        <w:rPr>
          <w:rFonts w:ascii="Cambria" w:eastAsia="Calibri" w:hAnsi="Cambria" w:cs="Calibri"/>
          <w:spacing w:val="-1"/>
        </w:rPr>
        <w:t>u</w:t>
      </w:r>
      <w:r w:rsidRPr="009A0DA6">
        <w:rPr>
          <w:rFonts w:ascii="Cambria" w:eastAsia="Calibri" w:hAnsi="Cambria" w:cs="Calibri"/>
        </w:rPr>
        <w:t>r A</w:t>
      </w:r>
      <w:r w:rsidRPr="009A0DA6">
        <w:rPr>
          <w:rFonts w:ascii="Cambria" w:eastAsia="Calibri" w:hAnsi="Cambria" w:cs="Calibri"/>
          <w:spacing w:val="-1"/>
        </w:rPr>
        <w:t>b</w:t>
      </w:r>
      <w:r w:rsidRPr="009A0DA6">
        <w:rPr>
          <w:rFonts w:ascii="Cambria" w:eastAsia="Calibri" w:hAnsi="Cambria" w:cs="Calibri"/>
          <w:spacing w:val="1"/>
        </w:rPr>
        <w:t>o</w:t>
      </w:r>
      <w:r w:rsidRPr="009A0DA6">
        <w:rPr>
          <w:rFonts w:ascii="Cambria" w:eastAsia="Calibri" w:hAnsi="Cambria" w:cs="Calibri"/>
        </w:rPr>
        <w:t>ri</w:t>
      </w:r>
      <w:r w:rsidRPr="009A0DA6">
        <w:rPr>
          <w:rFonts w:ascii="Cambria" w:eastAsia="Calibri" w:hAnsi="Cambria" w:cs="Calibri"/>
          <w:spacing w:val="-1"/>
        </w:rPr>
        <w:t>g</w:t>
      </w:r>
      <w:r w:rsidRPr="009A0DA6">
        <w:rPr>
          <w:rFonts w:ascii="Cambria" w:eastAsia="Calibri" w:hAnsi="Cambria" w:cs="Calibri"/>
        </w:rPr>
        <w:t>i</w:t>
      </w:r>
      <w:r w:rsidRPr="009A0DA6">
        <w:rPr>
          <w:rFonts w:ascii="Cambria" w:eastAsia="Calibri" w:hAnsi="Cambria" w:cs="Calibri"/>
          <w:spacing w:val="-1"/>
        </w:rPr>
        <w:t>n</w:t>
      </w:r>
      <w:r w:rsidRPr="009A0DA6">
        <w:rPr>
          <w:rFonts w:ascii="Cambria" w:eastAsia="Calibri" w:hAnsi="Cambria" w:cs="Calibri"/>
        </w:rPr>
        <w:t>al</w:t>
      </w:r>
      <w:r w:rsidRPr="009A0DA6">
        <w:rPr>
          <w:rFonts w:ascii="Cambria" w:eastAsia="Calibri" w:hAnsi="Cambria" w:cs="Calibri"/>
          <w:spacing w:val="-2"/>
        </w:rPr>
        <w:t xml:space="preserve"> </w:t>
      </w:r>
      <w:r w:rsidRPr="009A0DA6">
        <w:rPr>
          <w:rFonts w:ascii="Cambria" w:eastAsia="Calibri" w:hAnsi="Cambria" w:cs="Calibri"/>
        </w:rPr>
        <w:t>c</w:t>
      </w:r>
      <w:r w:rsidRPr="009A0DA6">
        <w:rPr>
          <w:rFonts w:ascii="Cambria" w:eastAsia="Calibri" w:hAnsi="Cambria" w:cs="Calibri"/>
          <w:spacing w:val="-1"/>
        </w:rPr>
        <w:t>om</w:t>
      </w:r>
      <w:r w:rsidRPr="009A0DA6">
        <w:rPr>
          <w:rFonts w:ascii="Cambria" w:eastAsia="Calibri" w:hAnsi="Cambria" w:cs="Calibri"/>
          <w:spacing w:val="1"/>
        </w:rPr>
        <w:t>m</w:t>
      </w:r>
      <w:r w:rsidRPr="009A0DA6">
        <w:rPr>
          <w:rFonts w:ascii="Cambria" w:eastAsia="Calibri" w:hAnsi="Cambria" w:cs="Calibri"/>
          <w:spacing w:val="-1"/>
        </w:rPr>
        <w:t>un</w:t>
      </w:r>
      <w:r w:rsidR="00290C36" w:rsidRPr="009A0DA6">
        <w:rPr>
          <w:rFonts w:ascii="Cambria" w:eastAsia="Calibri" w:hAnsi="Cambria" w:cs="Calibri"/>
        </w:rPr>
        <w:t>ities;</w:t>
      </w:r>
      <w:r w:rsidR="0078070F">
        <w:rPr>
          <w:rFonts w:ascii="Cambria" w:eastAsia="Calibri" w:hAnsi="Cambria" w:cs="Calibri"/>
        </w:rPr>
        <w:br/>
      </w:r>
    </w:p>
    <w:p w14:paraId="02D7BC77" w14:textId="77777777" w:rsidR="00877D54" w:rsidRPr="009A0DA6" w:rsidRDefault="00877D54" w:rsidP="00F55252">
      <w:pPr>
        <w:pStyle w:val="ListParagraph"/>
        <w:numPr>
          <w:ilvl w:val="0"/>
          <w:numId w:val="147"/>
        </w:numPr>
        <w:spacing w:after="0" w:line="240" w:lineRule="auto"/>
        <w:ind w:left="567" w:right="455" w:hanging="567"/>
        <w:rPr>
          <w:rFonts w:ascii="Cambria" w:eastAsia="Calibri" w:hAnsi="Cambria" w:cs="Calibri"/>
        </w:rPr>
      </w:pPr>
      <w:r w:rsidRPr="009A0DA6">
        <w:rPr>
          <w:rFonts w:ascii="Cambria" w:eastAsia="Calibri" w:hAnsi="Cambria" w:cs="Calibri"/>
        </w:rPr>
        <w:t>That GCC</w:t>
      </w:r>
      <w:r w:rsidRPr="009A0DA6">
        <w:rPr>
          <w:rFonts w:ascii="Cambria" w:eastAsia="Calibri" w:hAnsi="Cambria" w:cs="Calibri"/>
          <w:spacing w:val="-2"/>
        </w:rPr>
        <w:t xml:space="preserve"> </w:t>
      </w:r>
      <w:r w:rsidRPr="009A0DA6">
        <w:rPr>
          <w:rFonts w:ascii="Cambria" w:eastAsia="Calibri" w:hAnsi="Cambria" w:cs="Calibri"/>
        </w:rPr>
        <w:t>f</w:t>
      </w:r>
      <w:r w:rsidRPr="009A0DA6">
        <w:rPr>
          <w:rFonts w:ascii="Cambria" w:eastAsia="Calibri" w:hAnsi="Cambria" w:cs="Calibri"/>
          <w:spacing w:val="1"/>
        </w:rPr>
        <w:t>o</w:t>
      </w:r>
      <w:r w:rsidRPr="009A0DA6">
        <w:rPr>
          <w:rFonts w:ascii="Cambria" w:eastAsia="Calibri" w:hAnsi="Cambria" w:cs="Calibri"/>
          <w:spacing w:val="-3"/>
        </w:rPr>
        <w:t>r</w:t>
      </w:r>
      <w:r w:rsidRPr="009A0DA6">
        <w:rPr>
          <w:rFonts w:ascii="Cambria" w:eastAsia="Calibri" w:hAnsi="Cambria" w:cs="Calibri"/>
        </w:rPr>
        <w:t>m</w:t>
      </w:r>
      <w:r w:rsidRPr="009A0DA6">
        <w:rPr>
          <w:rFonts w:ascii="Cambria" w:eastAsia="Calibri" w:hAnsi="Cambria" w:cs="Calibri"/>
          <w:spacing w:val="1"/>
        </w:rPr>
        <w:t xml:space="preserve"> </w:t>
      </w:r>
      <w:r w:rsidRPr="009A0DA6">
        <w:rPr>
          <w:rFonts w:ascii="Cambria" w:eastAsia="Calibri" w:hAnsi="Cambria" w:cs="Calibri"/>
        </w:rPr>
        <w:t>a</w:t>
      </w:r>
      <w:r w:rsidRPr="009A0DA6">
        <w:rPr>
          <w:rFonts w:ascii="Cambria" w:eastAsia="Calibri" w:hAnsi="Cambria" w:cs="Calibri"/>
          <w:spacing w:val="-2"/>
        </w:rPr>
        <w:t xml:space="preserve"> </w:t>
      </w:r>
      <w:r w:rsidRPr="009A0DA6">
        <w:rPr>
          <w:rFonts w:ascii="Cambria" w:eastAsia="Calibri" w:hAnsi="Cambria" w:cs="Calibri"/>
          <w:spacing w:val="1"/>
        </w:rPr>
        <w:t>t</w:t>
      </w:r>
      <w:r w:rsidRPr="009A0DA6">
        <w:rPr>
          <w:rFonts w:ascii="Cambria" w:eastAsia="Calibri" w:hAnsi="Cambria" w:cs="Calibri"/>
        </w:rPr>
        <w:t>ask</w:t>
      </w:r>
      <w:r w:rsidRPr="009A0DA6">
        <w:rPr>
          <w:rFonts w:ascii="Cambria" w:eastAsia="Calibri" w:hAnsi="Cambria" w:cs="Calibri"/>
          <w:spacing w:val="-2"/>
        </w:rPr>
        <w:t>f</w:t>
      </w:r>
      <w:r w:rsidRPr="009A0DA6">
        <w:rPr>
          <w:rFonts w:ascii="Cambria" w:eastAsia="Calibri" w:hAnsi="Cambria" w:cs="Calibri"/>
          <w:spacing w:val="1"/>
        </w:rPr>
        <w:t>o</w:t>
      </w:r>
      <w:r w:rsidRPr="009A0DA6">
        <w:rPr>
          <w:rFonts w:ascii="Cambria" w:eastAsia="Calibri" w:hAnsi="Cambria" w:cs="Calibri"/>
        </w:rPr>
        <w:t>r</w:t>
      </w:r>
      <w:r w:rsidRPr="009A0DA6">
        <w:rPr>
          <w:rFonts w:ascii="Cambria" w:eastAsia="Calibri" w:hAnsi="Cambria" w:cs="Calibri"/>
          <w:spacing w:val="-2"/>
        </w:rPr>
        <w:t>c</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rPr>
        <w:t>to</w:t>
      </w:r>
      <w:r w:rsidRPr="009A0DA6">
        <w:rPr>
          <w:rFonts w:ascii="Cambria" w:eastAsia="Calibri" w:hAnsi="Cambria" w:cs="Calibri"/>
          <w:spacing w:val="2"/>
        </w:rPr>
        <w:t xml:space="preserve"> </w:t>
      </w:r>
      <w:r w:rsidRPr="009A0DA6">
        <w:rPr>
          <w:rFonts w:ascii="Cambria" w:eastAsia="Calibri" w:hAnsi="Cambria" w:cs="Calibri"/>
          <w:spacing w:val="-2"/>
        </w:rPr>
        <w:t>c</w:t>
      </w:r>
      <w:r w:rsidRPr="009A0DA6">
        <w:rPr>
          <w:rFonts w:ascii="Cambria" w:eastAsia="Calibri" w:hAnsi="Cambria" w:cs="Calibri"/>
          <w:spacing w:val="1"/>
        </w:rPr>
        <w:t>o</w:t>
      </w:r>
      <w:r w:rsidRPr="009A0DA6">
        <w:rPr>
          <w:rFonts w:ascii="Cambria" w:eastAsia="Calibri" w:hAnsi="Cambria" w:cs="Calibri"/>
          <w:spacing w:val="-1"/>
        </w:rPr>
        <w:t>n</w:t>
      </w:r>
      <w:r w:rsidRPr="009A0DA6">
        <w:rPr>
          <w:rFonts w:ascii="Cambria" w:eastAsia="Calibri" w:hAnsi="Cambria" w:cs="Calibri"/>
        </w:rPr>
        <w:t>su</w:t>
      </w:r>
      <w:r w:rsidRPr="009A0DA6">
        <w:rPr>
          <w:rFonts w:ascii="Cambria" w:eastAsia="Calibri" w:hAnsi="Cambria" w:cs="Calibri"/>
          <w:spacing w:val="-1"/>
        </w:rPr>
        <w:t>l</w:t>
      </w:r>
      <w:r w:rsidRPr="009A0DA6">
        <w:rPr>
          <w:rFonts w:ascii="Cambria" w:eastAsia="Calibri" w:hAnsi="Cambria" w:cs="Calibri"/>
        </w:rPr>
        <w:t>t</w:t>
      </w:r>
      <w:r w:rsidRPr="009A0DA6">
        <w:rPr>
          <w:rFonts w:ascii="Cambria" w:eastAsia="Calibri" w:hAnsi="Cambria" w:cs="Calibri"/>
          <w:spacing w:val="-1"/>
        </w:rPr>
        <w:t xml:space="preserve"> </w:t>
      </w:r>
      <w:r w:rsidRPr="009A0DA6">
        <w:rPr>
          <w:rFonts w:ascii="Cambria" w:eastAsia="Calibri" w:hAnsi="Cambria" w:cs="Calibri"/>
        </w:rPr>
        <w:t>with</w:t>
      </w:r>
      <w:r w:rsidRPr="009A0DA6">
        <w:rPr>
          <w:rFonts w:ascii="Cambria" w:eastAsia="Calibri" w:hAnsi="Cambria" w:cs="Calibri"/>
          <w:spacing w:val="-2"/>
        </w:rPr>
        <w:t xml:space="preserve"> </w:t>
      </w:r>
      <w:r w:rsidRPr="009A0DA6">
        <w:rPr>
          <w:rFonts w:ascii="Cambria" w:eastAsia="Calibri" w:hAnsi="Cambria" w:cs="Calibri"/>
        </w:rPr>
        <w:t>the Stan</w:t>
      </w:r>
      <w:r w:rsidRPr="009A0DA6">
        <w:rPr>
          <w:rFonts w:ascii="Cambria" w:eastAsia="Calibri" w:hAnsi="Cambria" w:cs="Calibri"/>
          <w:spacing w:val="-1"/>
        </w:rPr>
        <w:t>d</w:t>
      </w:r>
      <w:r w:rsidRPr="009A0DA6">
        <w:rPr>
          <w:rFonts w:ascii="Cambria" w:eastAsia="Calibri" w:hAnsi="Cambria" w:cs="Calibri"/>
        </w:rPr>
        <w:t>i</w:t>
      </w:r>
      <w:r w:rsidRPr="009A0DA6">
        <w:rPr>
          <w:rFonts w:ascii="Cambria" w:eastAsia="Calibri" w:hAnsi="Cambria" w:cs="Calibri"/>
          <w:spacing w:val="-4"/>
        </w:rPr>
        <w:t>n</w:t>
      </w:r>
      <w:r w:rsidRPr="009A0DA6">
        <w:rPr>
          <w:rFonts w:ascii="Cambria" w:eastAsia="Calibri" w:hAnsi="Cambria" w:cs="Calibri"/>
        </w:rPr>
        <w:t>g</w:t>
      </w:r>
      <w:r w:rsidRPr="009A0DA6">
        <w:rPr>
          <w:rFonts w:ascii="Cambria" w:eastAsia="Calibri" w:hAnsi="Cambria" w:cs="Calibri"/>
          <w:spacing w:val="-1"/>
        </w:rPr>
        <w:t xml:space="preserve"> </w:t>
      </w:r>
      <w:r w:rsidRPr="009A0DA6">
        <w:rPr>
          <w:rFonts w:ascii="Cambria" w:eastAsia="Calibri" w:hAnsi="Cambria" w:cs="Calibri"/>
        </w:rPr>
        <w:t>C</w:t>
      </w:r>
      <w:r w:rsidRPr="009A0DA6">
        <w:rPr>
          <w:rFonts w:ascii="Cambria" w:eastAsia="Calibri" w:hAnsi="Cambria" w:cs="Calibri"/>
          <w:spacing w:val="-1"/>
        </w:rPr>
        <w:t>o</w:t>
      </w:r>
      <w:r w:rsidRPr="009A0DA6">
        <w:rPr>
          <w:rFonts w:ascii="Cambria" w:eastAsia="Calibri" w:hAnsi="Cambria" w:cs="Calibri"/>
          <w:spacing w:val="1"/>
        </w:rPr>
        <w:t>mm</w:t>
      </w:r>
      <w:r w:rsidRPr="009A0DA6">
        <w:rPr>
          <w:rFonts w:ascii="Cambria" w:eastAsia="Calibri" w:hAnsi="Cambria" w:cs="Calibri"/>
          <w:spacing w:val="-3"/>
        </w:rPr>
        <w:t>i</w:t>
      </w:r>
      <w:r w:rsidRPr="009A0DA6">
        <w:rPr>
          <w:rFonts w:ascii="Cambria" w:eastAsia="Calibri" w:hAnsi="Cambria" w:cs="Calibri"/>
        </w:rPr>
        <w:t>t</w:t>
      </w:r>
      <w:r w:rsidRPr="009A0DA6">
        <w:rPr>
          <w:rFonts w:ascii="Cambria" w:eastAsia="Calibri" w:hAnsi="Cambria" w:cs="Calibri"/>
          <w:spacing w:val="1"/>
        </w:rPr>
        <w:t>t</w:t>
      </w:r>
      <w:r w:rsidRPr="009A0DA6">
        <w:rPr>
          <w:rFonts w:ascii="Cambria" w:eastAsia="Calibri" w:hAnsi="Cambria" w:cs="Calibri"/>
          <w:spacing w:val="-2"/>
        </w:rPr>
        <w:t>e</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spacing w:val="1"/>
        </w:rPr>
        <w:t>o</w:t>
      </w:r>
      <w:r w:rsidRPr="009A0DA6">
        <w:rPr>
          <w:rFonts w:ascii="Cambria" w:eastAsia="Calibri" w:hAnsi="Cambria" w:cs="Calibri"/>
        </w:rPr>
        <w:t>n</w:t>
      </w:r>
      <w:r w:rsidRPr="009A0DA6">
        <w:rPr>
          <w:rFonts w:ascii="Cambria" w:eastAsia="Calibri" w:hAnsi="Cambria" w:cs="Calibri"/>
          <w:spacing w:val="-1"/>
        </w:rPr>
        <w:t xml:space="preserve"> </w:t>
      </w:r>
      <w:r w:rsidRPr="009A0DA6">
        <w:rPr>
          <w:rFonts w:ascii="Cambria" w:eastAsia="Calibri" w:hAnsi="Cambria" w:cs="Calibri"/>
          <w:spacing w:val="-2"/>
        </w:rPr>
        <w:t>C</w:t>
      </w:r>
      <w:r w:rsidRPr="009A0DA6">
        <w:rPr>
          <w:rFonts w:ascii="Cambria" w:eastAsia="Calibri" w:hAnsi="Cambria" w:cs="Calibri"/>
          <w:spacing w:val="1"/>
        </w:rPr>
        <w:t>o</w:t>
      </w:r>
      <w:r w:rsidRPr="009A0DA6">
        <w:rPr>
          <w:rFonts w:ascii="Cambria" w:eastAsia="Calibri" w:hAnsi="Cambria" w:cs="Calibri"/>
          <w:spacing w:val="-1"/>
        </w:rPr>
        <w:t>n</w:t>
      </w:r>
      <w:r w:rsidRPr="009A0DA6">
        <w:rPr>
          <w:rFonts w:ascii="Cambria" w:eastAsia="Calibri" w:hAnsi="Cambria" w:cs="Calibri"/>
        </w:rPr>
        <w:t>stitut</w:t>
      </w:r>
      <w:r w:rsidRPr="009A0DA6">
        <w:rPr>
          <w:rFonts w:ascii="Cambria" w:eastAsia="Calibri" w:hAnsi="Cambria" w:cs="Calibri"/>
          <w:spacing w:val="-2"/>
        </w:rPr>
        <w:t>i</w:t>
      </w:r>
      <w:r w:rsidRPr="009A0DA6">
        <w:rPr>
          <w:rFonts w:ascii="Cambria" w:eastAsia="Calibri" w:hAnsi="Cambria" w:cs="Calibri"/>
          <w:spacing w:val="1"/>
        </w:rPr>
        <w:t>o</w:t>
      </w:r>
      <w:r w:rsidRPr="009A0DA6">
        <w:rPr>
          <w:rFonts w:ascii="Cambria" w:eastAsia="Calibri" w:hAnsi="Cambria" w:cs="Calibri"/>
          <w:spacing w:val="-1"/>
        </w:rPr>
        <w:t>n</w:t>
      </w:r>
      <w:r w:rsidRPr="009A0DA6">
        <w:rPr>
          <w:rFonts w:ascii="Cambria" w:eastAsia="Calibri" w:hAnsi="Cambria" w:cs="Calibri"/>
        </w:rPr>
        <w:t>s, A</w:t>
      </w:r>
      <w:r w:rsidRPr="009A0DA6">
        <w:rPr>
          <w:rFonts w:ascii="Cambria" w:eastAsia="Calibri" w:hAnsi="Cambria" w:cs="Calibri"/>
          <w:spacing w:val="-3"/>
        </w:rPr>
        <w:t>B</w:t>
      </w:r>
      <w:r w:rsidRPr="009A0DA6">
        <w:rPr>
          <w:rFonts w:ascii="Cambria" w:eastAsia="Calibri" w:hAnsi="Cambria" w:cs="Calibri"/>
          <w:spacing w:val="1"/>
        </w:rPr>
        <w:t>M</w:t>
      </w:r>
      <w:r w:rsidRPr="009A0DA6">
        <w:rPr>
          <w:rFonts w:ascii="Cambria" w:eastAsia="Calibri" w:hAnsi="Cambria" w:cs="Calibri"/>
        </w:rPr>
        <w:t>I</w:t>
      </w:r>
      <w:r w:rsidRPr="009A0DA6">
        <w:rPr>
          <w:rFonts w:ascii="Cambria" w:eastAsia="Calibri" w:hAnsi="Cambria" w:cs="Calibri"/>
          <w:spacing w:val="-1"/>
        </w:rPr>
        <w:t>N</w:t>
      </w:r>
      <w:r w:rsidRPr="009A0DA6">
        <w:rPr>
          <w:rFonts w:ascii="Cambria" w:eastAsia="Calibri" w:hAnsi="Cambria" w:cs="Calibri"/>
        </w:rPr>
        <w:t>S</w:t>
      </w:r>
      <w:r w:rsidRPr="009A0DA6">
        <w:rPr>
          <w:rFonts w:ascii="Cambria" w:eastAsia="Calibri" w:hAnsi="Cambria" w:cs="Calibri"/>
          <w:spacing w:val="-1"/>
        </w:rPr>
        <w:t>A</w:t>
      </w:r>
      <w:r w:rsidRPr="009A0DA6">
        <w:rPr>
          <w:rFonts w:ascii="Cambria" w:eastAsia="Calibri" w:hAnsi="Cambria" w:cs="Calibri"/>
        </w:rPr>
        <w:t>, FR</w:t>
      </w:r>
      <w:r w:rsidRPr="009A0DA6">
        <w:rPr>
          <w:rFonts w:ascii="Cambria" w:eastAsia="Calibri" w:hAnsi="Cambria" w:cs="Calibri"/>
          <w:spacing w:val="-2"/>
        </w:rPr>
        <w:t>M</w:t>
      </w:r>
      <w:r w:rsidRPr="009A0DA6">
        <w:rPr>
          <w:rFonts w:ascii="Cambria" w:eastAsia="Calibri" w:hAnsi="Cambria" w:cs="Calibri"/>
        </w:rPr>
        <w:t>, H</w:t>
      </w:r>
      <w:r w:rsidRPr="009A0DA6">
        <w:rPr>
          <w:rFonts w:ascii="Cambria" w:eastAsia="Calibri" w:hAnsi="Cambria" w:cs="Calibri"/>
          <w:spacing w:val="1"/>
        </w:rPr>
        <w:t>o</w:t>
      </w:r>
      <w:r w:rsidRPr="009A0DA6">
        <w:rPr>
          <w:rFonts w:ascii="Cambria" w:eastAsia="Calibri" w:hAnsi="Cambria" w:cs="Calibri"/>
          <w:spacing w:val="-3"/>
        </w:rPr>
        <w:t>p</w:t>
      </w:r>
      <w:r w:rsidRPr="009A0DA6">
        <w:rPr>
          <w:rFonts w:ascii="Cambria" w:eastAsia="Calibri" w:hAnsi="Cambria" w:cs="Calibri"/>
          <w:spacing w:val="-2"/>
        </w:rPr>
        <w:t>e</w:t>
      </w:r>
      <w:r w:rsidRPr="009A0DA6">
        <w:rPr>
          <w:rFonts w:ascii="Cambria" w:eastAsia="Calibri" w:hAnsi="Cambria" w:cs="Calibri"/>
          <w:spacing w:val="1"/>
        </w:rPr>
        <w:t>v</w:t>
      </w:r>
      <w:r w:rsidRPr="009A0DA6">
        <w:rPr>
          <w:rFonts w:ascii="Cambria" w:eastAsia="Calibri" w:hAnsi="Cambria" w:cs="Calibri"/>
        </w:rPr>
        <w:t xml:space="preserve">ale </w:t>
      </w:r>
      <w:r w:rsidRPr="009A0DA6">
        <w:rPr>
          <w:rFonts w:ascii="Cambria" w:eastAsia="Calibri" w:hAnsi="Cambria" w:cs="Calibri"/>
          <w:spacing w:val="1"/>
        </w:rPr>
        <w:t>M</w:t>
      </w:r>
      <w:r w:rsidRPr="009A0DA6">
        <w:rPr>
          <w:rFonts w:ascii="Cambria" w:eastAsia="Calibri" w:hAnsi="Cambria" w:cs="Calibri"/>
        </w:rPr>
        <w:t>ission,</w:t>
      </w:r>
      <w:r w:rsidRPr="009A0DA6">
        <w:rPr>
          <w:rFonts w:ascii="Cambria" w:eastAsia="Calibri" w:hAnsi="Cambria" w:cs="Calibri"/>
          <w:spacing w:val="-2"/>
        </w:rPr>
        <w:t xml:space="preserve"> </w:t>
      </w:r>
      <w:r w:rsidRPr="009A0DA6">
        <w:rPr>
          <w:rFonts w:ascii="Cambria" w:eastAsia="Calibri" w:hAnsi="Cambria" w:cs="Calibri"/>
          <w:spacing w:val="1"/>
        </w:rPr>
        <w:t>o</w:t>
      </w:r>
      <w:r w:rsidRPr="009A0DA6">
        <w:rPr>
          <w:rFonts w:ascii="Cambria" w:eastAsia="Calibri" w:hAnsi="Cambria" w:cs="Calibri"/>
          <w:spacing w:val="-1"/>
        </w:rPr>
        <w:t>u</w:t>
      </w:r>
      <w:r w:rsidRPr="009A0DA6">
        <w:rPr>
          <w:rFonts w:ascii="Cambria" w:eastAsia="Calibri" w:hAnsi="Cambria" w:cs="Calibri"/>
        </w:rPr>
        <w:t>r</w:t>
      </w:r>
      <w:r w:rsidRPr="009A0DA6">
        <w:rPr>
          <w:rFonts w:ascii="Cambria" w:eastAsia="Calibri" w:hAnsi="Cambria" w:cs="Calibri"/>
          <w:spacing w:val="-2"/>
        </w:rPr>
        <w:t xml:space="preserve"> </w:t>
      </w:r>
      <w:r w:rsidRPr="009A0DA6">
        <w:rPr>
          <w:rFonts w:ascii="Cambria" w:eastAsia="Calibri" w:hAnsi="Cambria" w:cs="Calibri"/>
        </w:rPr>
        <w:t>A</w:t>
      </w:r>
      <w:r w:rsidRPr="009A0DA6">
        <w:rPr>
          <w:rFonts w:ascii="Cambria" w:eastAsia="Calibri" w:hAnsi="Cambria" w:cs="Calibri"/>
          <w:spacing w:val="-1"/>
        </w:rPr>
        <w:t>b</w:t>
      </w:r>
      <w:r w:rsidRPr="009A0DA6">
        <w:rPr>
          <w:rFonts w:ascii="Cambria" w:eastAsia="Calibri" w:hAnsi="Cambria" w:cs="Calibri"/>
          <w:spacing w:val="1"/>
        </w:rPr>
        <w:t>o</w:t>
      </w:r>
      <w:r w:rsidRPr="009A0DA6">
        <w:rPr>
          <w:rFonts w:ascii="Cambria" w:eastAsia="Calibri" w:hAnsi="Cambria" w:cs="Calibri"/>
        </w:rPr>
        <w:t>ri</w:t>
      </w:r>
      <w:r w:rsidRPr="009A0DA6">
        <w:rPr>
          <w:rFonts w:ascii="Cambria" w:eastAsia="Calibri" w:hAnsi="Cambria" w:cs="Calibri"/>
          <w:spacing w:val="-1"/>
        </w:rPr>
        <w:t>g</w:t>
      </w:r>
      <w:r w:rsidRPr="009A0DA6">
        <w:rPr>
          <w:rFonts w:ascii="Cambria" w:eastAsia="Calibri" w:hAnsi="Cambria" w:cs="Calibri"/>
        </w:rPr>
        <w:t>i</w:t>
      </w:r>
      <w:r w:rsidRPr="009A0DA6">
        <w:rPr>
          <w:rFonts w:ascii="Cambria" w:eastAsia="Calibri" w:hAnsi="Cambria" w:cs="Calibri"/>
          <w:spacing w:val="-1"/>
        </w:rPr>
        <w:t>n</w:t>
      </w:r>
      <w:r w:rsidRPr="009A0DA6">
        <w:rPr>
          <w:rFonts w:ascii="Cambria" w:eastAsia="Calibri" w:hAnsi="Cambria" w:cs="Calibri"/>
        </w:rPr>
        <w:t xml:space="preserve">al </w:t>
      </w:r>
      <w:r w:rsidRPr="009A0DA6">
        <w:rPr>
          <w:rFonts w:ascii="Cambria" w:eastAsia="Calibri" w:hAnsi="Cambria" w:cs="Calibri"/>
          <w:spacing w:val="-1"/>
        </w:rPr>
        <w:t>p</w:t>
      </w:r>
      <w:r w:rsidRPr="009A0DA6">
        <w:rPr>
          <w:rFonts w:ascii="Cambria" w:eastAsia="Calibri" w:hAnsi="Cambria" w:cs="Calibri"/>
        </w:rPr>
        <w:t>a</w:t>
      </w:r>
      <w:r w:rsidRPr="009A0DA6">
        <w:rPr>
          <w:rFonts w:ascii="Cambria" w:eastAsia="Calibri" w:hAnsi="Cambria" w:cs="Calibri"/>
          <w:spacing w:val="-2"/>
        </w:rPr>
        <w:t>s</w:t>
      </w:r>
      <w:r w:rsidRPr="009A0DA6">
        <w:rPr>
          <w:rFonts w:ascii="Cambria" w:eastAsia="Calibri" w:hAnsi="Cambria" w:cs="Calibri"/>
        </w:rPr>
        <w:t>t</w:t>
      </w:r>
      <w:r w:rsidRPr="009A0DA6">
        <w:rPr>
          <w:rFonts w:ascii="Cambria" w:eastAsia="Calibri" w:hAnsi="Cambria" w:cs="Calibri"/>
          <w:spacing w:val="1"/>
        </w:rPr>
        <w:t>o</w:t>
      </w:r>
      <w:r w:rsidRPr="009A0DA6">
        <w:rPr>
          <w:rFonts w:ascii="Cambria" w:eastAsia="Calibri" w:hAnsi="Cambria" w:cs="Calibri"/>
        </w:rPr>
        <w:t>rs,</w:t>
      </w:r>
      <w:r w:rsidRPr="009A0DA6">
        <w:rPr>
          <w:rFonts w:ascii="Cambria" w:eastAsia="Calibri" w:hAnsi="Cambria" w:cs="Calibri"/>
          <w:spacing w:val="-2"/>
        </w:rPr>
        <w:t xml:space="preserve"> </w:t>
      </w:r>
      <w:r w:rsidRPr="009A0DA6">
        <w:rPr>
          <w:rFonts w:ascii="Cambria" w:eastAsia="Calibri" w:hAnsi="Cambria" w:cs="Calibri"/>
        </w:rPr>
        <w:t>and</w:t>
      </w:r>
      <w:r w:rsidRPr="009A0DA6">
        <w:rPr>
          <w:rFonts w:ascii="Cambria" w:eastAsia="Calibri" w:hAnsi="Cambria" w:cs="Calibri"/>
          <w:spacing w:val="-1"/>
        </w:rPr>
        <w:t xml:space="preserve"> m</w:t>
      </w:r>
      <w:r w:rsidRPr="009A0DA6">
        <w:rPr>
          <w:rFonts w:ascii="Cambria" w:eastAsia="Calibri" w:hAnsi="Cambria" w:cs="Calibri"/>
        </w:rPr>
        <w:t>e</w:t>
      </w:r>
      <w:r w:rsidRPr="009A0DA6">
        <w:rPr>
          <w:rFonts w:ascii="Cambria" w:eastAsia="Calibri" w:hAnsi="Cambria" w:cs="Calibri"/>
          <w:spacing w:val="1"/>
        </w:rPr>
        <w:t>m</w:t>
      </w:r>
      <w:r w:rsidRPr="009A0DA6">
        <w:rPr>
          <w:rFonts w:ascii="Cambria" w:eastAsia="Calibri" w:hAnsi="Cambria" w:cs="Calibri"/>
          <w:spacing w:val="-3"/>
        </w:rPr>
        <w:t>b</w:t>
      </w:r>
      <w:r w:rsidRPr="009A0DA6">
        <w:rPr>
          <w:rFonts w:ascii="Cambria" w:eastAsia="Calibri" w:hAnsi="Cambria" w:cs="Calibri"/>
        </w:rPr>
        <w:t>ers</w:t>
      </w:r>
      <w:r w:rsidRPr="009A0DA6">
        <w:rPr>
          <w:rFonts w:ascii="Cambria" w:eastAsia="Calibri" w:hAnsi="Cambria" w:cs="Calibri"/>
          <w:spacing w:val="-1"/>
        </w:rPr>
        <w:t xml:space="preserve"> </w:t>
      </w:r>
      <w:r w:rsidRPr="009A0DA6">
        <w:rPr>
          <w:rFonts w:ascii="Cambria" w:eastAsia="Calibri" w:hAnsi="Cambria" w:cs="Calibri"/>
          <w:spacing w:val="1"/>
        </w:rPr>
        <w:t>o</w:t>
      </w:r>
      <w:r w:rsidRPr="009A0DA6">
        <w:rPr>
          <w:rFonts w:ascii="Cambria" w:eastAsia="Calibri" w:hAnsi="Cambria" w:cs="Calibri"/>
        </w:rPr>
        <w:t>f</w:t>
      </w:r>
      <w:r w:rsidRPr="009A0DA6">
        <w:rPr>
          <w:rFonts w:ascii="Cambria" w:eastAsia="Calibri" w:hAnsi="Cambria" w:cs="Calibri"/>
          <w:spacing w:val="-2"/>
        </w:rPr>
        <w:t xml:space="preserve"> </w:t>
      </w:r>
      <w:r w:rsidRPr="009A0DA6">
        <w:rPr>
          <w:rFonts w:ascii="Cambria" w:eastAsia="Calibri" w:hAnsi="Cambria" w:cs="Calibri"/>
          <w:spacing w:val="1"/>
        </w:rPr>
        <w:t>o</w:t>
      </w:r>
      <w:r w:rsidRPr="009A0DA6">
        <w:rPr>
          <w:rFonts w:ascii="Cambria" w:eastAsia="Calibri" w:hAnsi="Cambria" w:cs="Calibri"/>
          <w:spacing w:val="-1"/>
        </w:rPr>
        <w:t>u</w:t>
      </w:r>
      <w:r w:rsidRPr="009A0DA6">
        <w:rPr>
          <w:rFonts w:ascii="Cambria" w:eastAsia="Calibri" w:hAnsi="Cambria" w:cs="Calibri"/>
        </w:rPr>
        <w:t>r</w:t>
      </w:r>
      <w:r w:rsidRPr="009A0DA6">
        <w:rPr>
          <w:rFonts w:ascii="Cambria" w:eastAsia="Calibri" w:hAnsi="Cambria" w:cs="Calibri"/>
          <w:spacing w:val="-2"/>
        </w:rPr>
        <w:t xml:space="preserve"> </w:t>
      </w:r>
      <w:r w:rsidRPr="009A0DA6">
        <w:rPr>
          <w:rFonts w:ascii="Cambria" w:eastAsia="Calibri" w:hAnsi="Cambria" w:cs="Calibri"/>
        </w:rPr>
        <w:t>A</w:t>
      </w:r>
      <w:r w:rsidRPr="009A0DA6">
        <w:rPr>
          <w:rFonts w:ascii="Cambria" w:eastAsia="Calibri" w:hAnsi="Cambria" w:cs="Calibri"/>
          <w:spacing w:val="-1"/>
        </w:rPr>
        <w:t>b</w:t>
      </w:r>
      <w:r w:rsidRPr="009A0DA6">
        <w:rPr>
          <w:rFonts w:ascii="Cambria" w:eastAsia="Calibri" w:hAnsi="Cambria" w:cs="Calibri"/>
          <w:spacing w:val="1"/>
        </w:rPr>
        <w:t>o</w:t>
      </w:r>
      <w:r w:rsidRPr="009A0DA6">
        <w:rPr>
          <w:rFonts w:ascii="Cambria" w:eastAsia="Calibri" w:hAnsi="Cambria" w:cs="Calibri"/>
        </w:rPr>
        <w:t>ri</w:t>
      </w:r>
      <w:r w:rsidRPr="009A0DA6">
        <w:rPr>
          <w:rFonts w:ascii="Cambria" w:eastAsia="Calibri" w:hAnsi="Cambria" w:cs="Calibri"/>
          <w:spacing w:val="-1"/>
        </w:rPr>
        <w:t>g</w:t>
      </w:r>
      <w:r w:rsidRPr="009A0DA6">
        <w:rPr>
          <w:rFonts w:ascii="Cambria" w:eastAsia="Calibri" w:hAnsi="Cambria" w:cs="Calibri"/>
        </w:rPr>
        <w:t>i</w:t>
      </w:r>
      <w:r w:rsidRPr="009A0DA6">
        <w:rPr>
          <w:rFonts w:ascii="Cambria" w:eastAsia="Calibri" w:hAnsi="Cambria" w:cs="Calibri"/>
          <w:spacing w:val="-1"/>
        </w:rPr>
        <w:t>n</w:t>
      </w:r>
      <w:r w:rsidRPr="009A0DA6">
        <w:rPr>
          <w:rFonts w:ascii="Cambria" w:eastAsia="Calibri" w:hAnsi="Cambria" w:cs="Calibri"/>
        </w:rPr>
        <w:t>al c</w:t>
      </w:r>
      <w:r w:rsidRPr="009A0DA6">
        <w:rPr>
          <w:rFonts w:ascii="Cambria" w:eastAsia="Calibri" w:hAnsi="Cambria" w:cs="Calibri"/>
          <w:spacing w:val="1"/>
        </w:rPr>
        <w:t>o</w:t>
      </w:r>
      <w:r w:rsidRPr="009A0DA6">
        <w:rPr>
          <w:rFonts w:ascii="Cambria" w:eastAsia="Calibri" w:hAnsi="Cambria" w:cs="Calibri"/>
          <w:spacing w:val="-1"/>
        </w:rPr>
        <w:t>ng</w:t>
      </w:r>
      <w:r w:rsidRPr="009A0DA6">
        <w:rPr>
          <w:rFonts w:ascii="Cambria" w:eastAsia="Calibri" w:hAnsi="Cambria" w:cs="Calibri"/>
          <w:spacing w:val="3"/>
        </w:rPr>
        <w:t>r</w:t>
      </w:r>
      <w:r w:rsidRPr="009A0DA6">
        <w:rPr>
          <w:rFonts w:ascii="Cambria" w:eastAsia="Calibri" w:hAnsi="Cambria" w:cs="Calibri"/>
        </w:rPr>
        <w:t>eg</w:t>
      </w:r>
      <w:r w:rsidRPr="009A0DA6">
        <w:rPr>
          <w:rFonts w:ascii="Cambria" w:eastAsia="Calibri" w:hAnsi="Cambria" w:cs="Calibri"/>
          <w:spacing w:val="-3"/>
        </w:rPr>
        <w:t>a</w:t>
      </w:r>
      <w:r w:rsidRPr="009A0DA6">
        <w:rPr>
          <w:rFonts w:ascii="Cambria" w:eastAsia="Calibri" w:hAnsi="Cambria" w:cs="Calibri"/>
        </w:rPr>
        <w:t>ti</w:t>
      </w:r>
      <w:r w:rsidRPr="009A0DA6">
        <w:rPr>
          <w:rFonts w:ascii="Cambria" w:eastAsia="Calibri" w:hAnsi="Cambria" w:cs="Calibri"/>
          <w:spacing w:val="1"/>
        </w:rPr>
        <w:t>o</w:t>
      </w:r>
      <w:r w:rsidRPr="009A0DA6">
        <w:rPr>
          <w:rFonts w:ascii="Cambria" w:eastAsia="Calibri" w:hAnsi="Cambria" w:cs="Calibri"/>
          <w:spacing w:val="-1"/>
        </w:rPr>
        <w:t>n</w:t>
      </w:r>
      <w:r w:rsidRPr="009A0DA6">
        <w:rPr>
          <w:rFonts w:ascii="Cambria" w:eastAsia="Calibri" w:hAnsi="Cambria" w:cs="Calibri"/>
        </w:rPr>
        <w:t>s</w:t>
      </w:r>
      <w:r w:rsidRPr="009A0DA6">
        <w:rPr>
          <w:rFonts w:ascii="Cambria" w:eastAsia="Calibri" w:hAnsi="Cambria" w:cs="Calibri"/>
          <w:spacing w:val="-2"/>
        </w:rPr>
        <w:t xml:space="preserve"> t</w:t>
      </w:r>
      <w:r w:rsidRPr="009A0DA6">
        <w:rPr>
          <w:rFonts w:ascii="Cambria" w:eastAsia="Calibri" w:hAnsi="Cambria" w:cs="Calibri"/>
        </w:rPr>
        <w:t>o</w:t>
      </w:r>
      <w:r w:rsidRPr="009A0DA6">
        <w:rPr>
          <w:rFonts w:ascii="Cambria" w:eastAsia="Calibri" w:hAnsi="Cambria" w:cs="Calibri"/>
          <w:spacing w:val="1"/>
        </w:rPr>
        <w:t xml:space="preserve"> </w:t>
      </w:r>
      <w:r w:rsidRPr="009A0DA6">
        <w:rPr>
          <w:rFonts w:ascii="Cambria" w:eastAsia="Calibri" w:hAnsi="Cambria" w:cs="Calibri"/>
        </w:rPr>
        <w:t>d</w:t>
      </w:r>
      <w:r w:rsidRPr="009A0DA6">
        <w:rPr>
          <w:rFonts w:ascii="Cambria" w:eastAsia="Calibri" w:hAnsi="Cambria" w:cs="Calibri"/>
          <w:spacing w:val="-2"/>
        </w:rPr>
        <w:t>e</w:t>
      </w:r>
      <w:r w:rsidRPr="009A0DA6">
        <w:rPr>
          <w:rFonts w:ascii="Cambria" w:eastAsia="Calibri" w:hAnsi="Cambria" w:cs="Calibri"/>
          <w:spacing w:val="1"/>
        </w:rPr>
        <w:t>v</w:t>
      </w:r>
      <w:r w:rsidRPr="009A0DA6">
        <w:rPr>
          <w:rFonts w:ascii="Cambria" w:eastAsia="Calibri" w:hAnsi="Cambria" w:cs="Calibri"/>
        </w:rPr>
        <w:t>ise</w:t>
      </w:r>
      <w:r w:rsidRPr="009A0DA6">
        <w:rPr>
          <w:rFonts w:ascii="Cambria" w:eastAsia="Calibri" w:hAnsi="Cambria" w:cs="Calibri"/>
          <w:spacing w:val="-2"/>
        </w:rPr>
        <w:t xml:space="preserve"> </w:t>
      </w:r>
      <w:r w:rsidRPr="009A0DA6">
        <w:rPr>
          <w:rFonts w:ascii="Cambria" w:eastAsia="Calibri" w:hAnsi="Cambria" w:cs="Calibri"/>
        </w:rPr>
        <w:t>a</w:t>
      </w:r>
      <w:r w:rsidRPr="009A0DA6">
        <w:rPr>
          <w:rFonts w:ascii="Cambria" w:eastAsia="Calibri" w:hAnsi="Cambria" w:cs="Calibri"/>
          <w:spacing w:val="1"/>
        </w:rPr>
        <w:t xml:space="preserve"> </w:t>
      </w:r>
      <w:r w:rsidRPr="009A0DA6">
        <w:rPr>
          <w:rFonts w:ascii="Cambria" w:eastAsia="Calibri" w:hAnsi="Cambria" w:cs="Calibri"/>
        </w:rPr>
        <w:t>cu</w:t>
      </w:r>
      <w:r w:rsidRPr="009A0DA6">
        <w:rPr>
          <w:rFonts w:ascii="Cambria" w:eastAsia="Calibri" w:hAnsi="Cambria" w:cs="Calibri"/>
          <w:spacing w:val="-1"/>
        </w:rPr>
        <w:t>l</w:t>
      </w:r>
      <w:r w:rsidRPr="009A0DA6">
        <w:rPr>
          <w:rFonts w:ascii="Cambria" w:eastAsia="Calibri" w:hAnsi="Cambria" w:cs="Calibri"/>
        </w:rPr>
        <w:t>tur</w:t>
      </w:r>
      <w:r w:rsidRPr="009A0DA6">
        <w:rPr>
          <w:rFonts w:ascii="Cambria" w:eastAsia="Calibri" w:hAnsi="Cambria" w:cs="Calibri"/>
          <w:spacing w:val="-1"/>
        </w:rPr>
        <w:t>a</w:t>
      </w:r>
      <w:r w:rsidRPr="009A0DA6">
        <w:rPr>
          <w:rFonts w:ascii="Cambria" w:eastAsia="Calibri" w:hAnsi="Cambria" w:cs="Calibri"/>
        </w:rPr>
        <w:t>l</w:t>
      </w:r>
      <w:r w:rsidRPr="009A0DA6">
        <w:rPr>
          <w:rFonts w:ascii="Cambria" w:eastAsia="Calibri" w:hAnsi="Cambria" w:cs="Calibri"/>
          <w:spacing w:val="-3"/>
        </w:rPr>
        <w:t>l</w:t>
      </w:r>
      <w:r w:rsidRPr="009A0DA6">
        <w:rPr>
          <w:rFonts w:ascii="Cambria" w:eastAsia="Calibri" w:hAnsi="Cambria" w:cs="Calibri"/>
        </w:rPr>
        <w:t>y</w:t>
      </w:r>
      <w:r w:rsidRPr="009A0DA6">
        <w:rPr>
          <w:rFonts w:ascii="Cambria" w:eastAsia="Calibri" w:hAnsi="Cambria" w:cs="Calibri"/>
          <w:spacing w:val="1"/>
        </w:rPr>
        <w:t xml:space="preserve"> </w:t>
      </w:r>
      <w:r w:rsidRPr="009A0DA6">
        <w:rPr>
          <w:rFonts w:ascii="Cambria" w:eastAsia="Calibri" w:hAnsi="Cambria" w:cs="Calibri"/>
        </w:rPr>
        <w:t>ap</w:t>
      </w:r>
      <w:r w:rsidRPr="009A0DA6">
        <w:rPr>
          <w:rFonts w:ascii="Cambria" w:eastAsia="Calibri" w:hAnsi="Cambria" w:cs="Calibri"/>
          <w:spacing w:val="-1"/>
        </w:rPr>
        <w:t>p</w:t>
      </w:r>
      <w:r w:rsidRPr="009A0DA6">
        <w:rPr>
          <w:rFonts w:ascii="Cambria" w:eastAsia="Calibri" w:hAnsi="Cambria" w:cs="Calibri"/>
        </w:rPr>
        <w:t>r</w:t>
      </w:r>
      <w:r w:rsidRPr="009A0DA6">
        <w:rPr>
          <w:rFonts w:ascii="Cambria" w:eastAsia="Calibri" w:hAnsi="Cambria" w:cs="Calibri"/>
          <w:spacing w:val="-1"/>
        </w:rPr>
        <w:t>op</w:t>
      </w:r>
      <w:r w:rsidRPr="009A0DA6">
        <w:rPr>
          <w:rFonts w:ascii="Cambria" w:eastAsia="Calibri" w:hAnsi="Cambria" w:cs="Calibri"/>
        </w:rPr>
        <w:t>ri</w:t>
      </w:r>
      <w:r w:rsidRPr="009A0DA6">
        <w:rPr>
          <w:rFonts w:ascii="Cambria" w:eastAsia="Calibri" w:hAnsi="Cambria" w:cs="Calibri"/>
          <w:spacing w:val="-1"/>
        </w:rPr>
        <w:t>a</w:t>
      </w:r>
      <w:r w:rsidRPr="009A0DA6">
        <w:rPr>
          <w:rFonts w:ascii="Cambria" w:eastAsia="Calibri" w:hAnsi="Cambria" w:cs="Calibri"/>
        </w:rPr>
        <w:t xml:space="preserve">te </w:t>
      </w:r>
      <w:r w:rsidRPr="009A0DA6">
        <w:rPr>
          <w:rFonts w:ascii="Cambria" w:eastAsia="Calibri" w:hAnsi="Cambria" w:cs="Calibri"/>
          <w:spacing w:val="1"/>
        </w:rPr>
        <w:t>m</w:t>
      </w:r>
      <w:r w:rsidRPr="009A0DA6">
        <w:rPr>
          <w:rFonts w:ascii="Cambria" w:eastAsia="Calibri" w:hAnsi="Cambria" w:cs="Calibri"/>
        </w:rPr>
        <w:t>echa</w:t>
      </w:r>
      <w:r w:rsidRPr="009A0DA6">
        <w:rPr>
          <w:rFonts w:ascii="Cambria" w:eastAsia="Calibri" w:hAnsi="Cambria" w:cs="Calibri"/>
          <w:spacing w:val="-1"/>
        </w:rPr>
        <w:t>n</w:t>
      </w:r>
      <w:r w:rsidRPr="009A0DA6">
        <w:rPr>
          <w:rFonts w:ascii="Cambria" w:eastAsia="Calibri" w:hAnsi="Cambria" w:cs="Calibri"/>
        </w:rPr>
        <w:t>i</w:t>
      </w:r>
      <w:r w:rsidRPr="009A0DA6">
        <w:rPr>
          <w:rFonts w:ascii="Cambria" w:eastAsia="Calibri" w:hAnsi="Cambria" w:cs="Calibri"/>
          <w:spacing w:val="-3"/>
        </w:rPr>
        <w:t>s</w:t>
      </w:r>
      <w:r w:rsidRPr="009A0DA6">
        <w:rPr>
          <w:rFonts w:ascii="Cambria" w:eastAsia="Calibri" w:hAnsi="Cambria" w:cs="Calibri"/>
        </w:rPr>
        <w:t>m</w:t>
      </w:r>
      <w:r w:rsidRPr="009A0DA6">
        <w:rPr>
          <w:rFonts w:ascii="Cambria" w:eastAsia="Calibri" w:hAnsi="Cambria" w:cs="Calibri"/>
          <w:spacing w:val="1"/>
        </w:rPr>
        <w:t xml:space="preserve"> </w:t>
      </w:r>
      <w:r w:rsidRPr="009A0DA6">
        <w:rPr>
          <w:rFonts w:ascii="Cambria" w:eastAsia="Calibri" w:hAnsi="Cambria" w:cs="Calibri"/>
          <w:spacing w:val="-2"/>
        </w:rPr>
        <w:t>f</w:t>
      </w:r>
      <w:r w:rsidRPr="009A0DA6">
        <w:rPr>
          <w:rFonts w:ascii="Cambria" w:eastAsia="Calibri" w:hAnsi="Cambria" w:cs="Calibri"/>
          <w:spacing w:val="1"/>
        </w:rPr>
        <w:t>o</w:t>
      </w:r>
      <w:r w:rsidRPr="009A0DA6">
        <w:rPr>
          <w:rFonts w:ascii="Cambria" w:eastAsia="Calibri" w:hAnsi="Cambria" w:cs="Calibri"/>
        </w:rPr>
        <w:t>r:</w:t>
      </w:r>
    </w:p>
    <w:p w14:paraId="2965CAD1" w14:textId="1694D984" w:rsidR="00877D54" w:rsidRPr="009A0DA6" w:rsidRDefault="00290C36" w:rsidP="00F55252">
      <w:pPr>
        <w:pStyle w:val="ListParagraph"/>
        <w:numPr>
          <w:ilvl w:val="1"/>
          <w:numId w:val="147"/>
        </w:numPr>
        <w:spacing w:after="0" w:line="240" w:lineRule="auto"/>
        <w:ind w:left="1134" w:right="355" w:hanging="567"/>
        <w:rPr>
          <w:rFonts w:ascii="Cambria" w:eastAsia="Calibri" w:hAnsi="Cambria" w:cs="Calibri"/>
        </w:rPr>
      </w:pPr>
      <w:r w:rsidRPr="009A0DA6">
        <w:rPr>
          <w:rFonts w:ascii="Cambria" w:eastAsia="Calibri" w:hAnsi="Cambria" w:cs="Calibri"/>
          <w:spacing w:val="1"/>
        </w:rPr>
        <w:t>d</w:t>
      </w:r>
      <w:r w:rsidR="00877D54" w:rsidRPr="009A0DA6">
        <w:rPr>
          <w:rFonts w:ascii="Cambria" w:eastAsia="Calibri" w:hAnsi="Cambria" w:cs="Calibri"/>
        </w:rPr>
        <w:t>e</w:t>
      </w:r>
      <w:r w:rsidR="00877D54" w:rsidRPr="009A0DA6">
        <w:rPr>
          <w:rFonts w:ascii="Cambria" w:eastAsia="Calibri" w:hAnsi="Cambria" w:cs="Calibri"/>
          <w:spacing w:val="-1"/>
        </w:rPr>
        <w:t>t</w:t>
      </w:r>
      <w:r w:rsidR="00877D54" w:rsidRPr="009A0DA6">
        <w:rPr>
          <w:rFonts w:ascii="Cambria" w:eastAsia="Calibri" w:hAnsi="Cambria" w:cs="Calibri"/>
        </w:rPr>
        <w:t>er</w:t>
      </w:r>
      <w:r w:rsidR="00877D54" w:rsidRPr="009A0DA6">
        <w:rPr>
          <w:rFonts w:ascii="Cambria" w:eastAsia="Calibri" w:hAnsi="Cambria" w:cs="Calibri"/>
          <w:spacing w:val="1"/>
        </w:rPr>
        <w:t>m</w:t>
      </w:r>
      <w:r w:rsidR="00877D54" w:rsidRPr="009A0DA6">
        <w:rPr>
          <w:rFonts w:ascii="Cambria" w:eastAsia="Calibri" w:hAnsi="Cambria" w:cs="Calibri"/>
        </w:rPr>
        <w:t>i</w:t>
      </w:r>
      <w:r w:rsidR="00877D54" w:rsidRPr="009A0DA6">
        <w:rPr>
          <w:rFonts w:ascii="Cambria" w:eastAsia="Calibri" w:hAnsi="Cambria" w:cs="Calibri"/>
          <w:spacing w:val="-1"/>
        </w:rPr>
        <w:t>n</w:t>
      </w:r>
      <w:r w:rsidR="00877D54" w:rsidRPr="009A0DA6">
        <w:rPr>
          <w:rFonts w:ascii="Cambria" w:eastAsia="Calibri" w:hAnsi="Cambria" w:cs="Calibri"/>
        </w:rPr>
        <w:t>i</w:t>
      </w:r>
      <w:r w:rsidR="00877D54" w:rsidRPr="009A0DA6">
        <w:rPr>
          <w:rFonts w:ascii="Cambria" w:eastAsia="Calibri" w:hAnsi="Cambria" w:cs="Calibri"/>
          <w:spacing w:val="-1"/>
        </w:rPr>
        <w:t>n</w:t>
      </w:r>
      <w:r w:rsidR="00877D54" w:rsidRPr="009A0DA6">
        <w:rPr>
          <w:rFonts w:ascii="Cambria" w:eastAsia="Calibri" w:hAnsi="Cambria" w:cs="Calibri"/>
        </w:rPr>
        <w:t>g</w:t>
      </w:r>
      <w:r w:rsidR="00877D54" w:rsidRPr="009A0DA6">
        <w:rPr>
          <w:rFonts w:ascii="Cambria" w:eastAsia="Calibri" w:hAnsi="Cambria" w:cs="Calibri"/>
          <w:spacing w:val="-1"/>
        </w:rPr>
        <w:t xml:space="preserve"> </w:t>
      </w:r>
      <w:r w:rsidR="00877D54" w:rsidRPr="009A0DA6">
        <w:rPr>
          <w:rFonts w:ascii="Cambria" w:eastAsia="Calibri" w:hAnsi="Cambria" w:cs="Calibri"/>
          <w:spacing w:val="1"/>
        </w:rPr>
        <w:t>t</w:t>
      </w:r>
      <w:r w:rsidR="00877D54" w:rsidRPr="009A0DA6">
        <w:rPr>
          <w:rFonts w:ascii="Cambria" w:eastAsia="Calibri" w:hAnsi="Cambria" w:cs="Calibri"/>
          <w:spacing w:val="-3"/>
        </w:rPr>
        <w:t>h</w:t>
      </w:r>
      <w:r w:rsidR="00877D54" w:rsidRPr="009A0DA6">
        <w:rPr>
          <w:rFonts w:ascii="Cambria" w:eastAsia="Calibri" w:hAnsi="Cambria" w:cs="Calibri"/>
        </w:rPr>
        <w:t>e</w:t>
      </w:r>
      <w:r w:rsidR="00877D54" w:rsidRPr="009A0DA6">
        <w:rPr>
          <w:rFonts w:ascii="Cambria" w:eastAsia="Calibri" w:hAnsi="Cambria" w:cs="Calibri"/>
          <w:spacing w:val="1"/>
        </w:rPr>
        <w:t xml:space="preserve"> </w:t>
      </w:r>
      <w:r w:rsidR="00877D54" w:rsidRPr="009A0DA6">
        <w:rPr>
          <w:rFonts w:ascii="Cambria" w:eastAsia="Calibri" w:hAnsi="Cambria" w:cs="Calibri"/>
          <w:spacing w:val="-1"/>
        </w:rPr>
        <w:t>nu</w:t>
      </w:r>
      <w:r w:rsidR="00877D54" w:rsidRPr="009A0DA6">
        <w:rPr>
          <w:rFonts w:ascii="Cambria" w:eastAsia="Calibri" w:hAnsi="Cambria" w:cs="Calibri"/>
          <w:spacing w:val="1"/>
        </w:rPr>
        <w:t>m</w:t>
      </w:r>
      <w:r w:rsidR="00877D54" w:rsidRPr="009A0DA6">
        <w:rPr>
          <w:rFonts w:ascii="Cambria" w:eastAsia="Calibri" w:hAnsi="Cambria" w:cs="Calibri"/>
          <w:spacing w:val="-3"/>
        </w:rPr>
        <w:t>b</w:t>
      </w:r>
      <w:r w:rsidR="00877D54" w:rsidRPr="009A0DA6">
        <w:rPr>
          <w:rFonts w:ascii="Cambria" w:eastAsia="Calibri" w:hAnsi="Cambria" w:cs="Calibri"/>
        </w:rPr>
        <w:t>er</w:t>
      </w:r>
      <w:r w:rsidR="00877D54" w:rsidRPr="009A0DA6">
        <w:rPr>
          <w:rFonts w:ascii="Cambria" w:eastAsia="Calibri" w:hAnsi="Cambria" w:cs="Calibri"/>
          <w:spacing w:val="-1"/>
        </w:rPr>
        <w:t xml:space="preserve"> </w:t>
      </w:r>
      <w:r w:rsidR="00877D54" w:rsidRPr="009A0DA6">
        <w:rPr>
          <w:rFonts w:ascii="Cambria" w:eastAsia="Calibri" w:hAnsi="Cambria" w:cs="Calibri"/>
          <w:spacing w:val="1"/>
        </w:rPr>
        <w:t>o</w:t>
      </w:r>
      <w:r w:rsidR="00877D54" w:rsidRPr="009A0DA6">
        <w:rPr>
          <w:rFonts w:ascii="Cambria" w:eastAsia="Calibri" w:hAnsi="Cambria" w:cs="Calibri"/>
        </w:rPr>
        <w:t>f</w:t>
      </w:r>
      <w:r w:rsidR="00877D54" w:rsidRPr="009A0DA6">
        <w:rPr>
          <w:rFonts w:ascii="Cambria" w:eastAsia="Calibri" w:hAnsi="Cambria" w:cs="Calibri"/>
          <w:spacing w:val="-3"/>
        </w:rPr>
        <w:t xml:space="preserve"> </w:t>
      </w:r>
      <w:r w:rsidR="00877D54" w:rsidRPr="009A0DA6">
        <w:rPr>
          <w:rFonts w:ascii="Cambria" w:eastAsia="Calibri" w:hAnsi="Cambria" w:cs="Calibri"/>
        </w:rPr>
        <w:t>A</w:t>
      </w:r>
      <w:r w:rsidR="00877D54" w:rsidRPr="009A0DA6">
        <w:rPr>
          <w:rFonts w:ascii="Cambria" w:eastAsia="Calibri" w:hAnsi="Cambria" w:cs="Calibri"/>
          <w:spacing w:val="-1"/>
        </w:rPr>
        <w:t>b</w:t>
      </w:r>
      <w:r w:rsidR="00877D54" w:rsidRPr="009A0DA6">
        <w:rPr>
          <w:rFonts w:ascii="Cambria" w:eastAsia="Calibri" w:hAnsi="Cambria" w:cs="Calibri"/>
          <w:spacing w:val="1"/>
        </w:rPr>
        <w:t>o</w:t>
      </w:r>
      <w:r w:rsidR="00877D54" w:rsidRPr="009A0DA6">
        <w:rPr>
          <w:rFonts w:ascii="Cambria" w:eastAsia="Calibri" w:hAnsi="Cambria" w:cs="Calibri"/>
        </w:rPr>
        <w:t>ri</w:t>
      </w:r>
      <w:r w:rsidR="00877D54" w:rsidRPr="009A0DA6">
        <w:rPr>
          <w:rFonts w:ascii="Cambria" w:eastAsia="Calibri" w:hAnsi="Cambria" w:cs="Calibri"/>
          <w:spacing w:val="-1"/>
        </w:rPr>
        <w:t>g</w:t>
      </w:r>
      <w:r w:rsidR="00877D54" w:rsidRPr="009A0DA6">
        <w:rPr>
          <w:rFonts w:ascii="Cambria" w:eastAsia="Calibri" w:hAnsi="Cambria" w:cs="Calibri"/>
        </w:rPr>
        <w:t>i</w:t>
      </w:r>
      <w:r w:rsidR="00877D54" w:rsidRPr="009A0DA6">
        <w:rPr>
          <w:rFonts w:ascii="Cambria" w:eastAsia="Calibri" w:hAnsi="Cambria" w:cs="Calibri"/>
          <w:spacing w:val="-1"/>
        </w:rPr>
        <w:t>n</w:t>
      </w:r>
      <w:r w:rsidR="00877D54" w:rsidRPr="009A0DA6">
        <w:rPr>
          <w:rFonts w:ascii="Cambria" w:eastAsia="Calibri" w:hAnsi="Cambria" w:cs="Calibri"/>
        </w:rPr>
        <w:t>al rep</w:t>
      </w:r>
      <w:r w:rsidR="00877D54" w:rsidRPr="009A0DA6">
        <w:rPr>
          <w:rFonts w:ascii="Cambria" w:eastAsia="Calibri" w:hAnsi="Cambria" w:cs="Calibri"/>
          <w:spacing w:val="-1"/>
        </w:rPr>
        <w:t>r</w:t>
      </w:r>
      <w:r w:rsidR="00877D54" w:rsidRPr="009A0DA6">
        <w:rPr>
          <w:rFonts w:ascii="Cambria" w:eastAsia="Calibri" w:hAnsi="Cambria" w:cs="Calibri"/>
          <w:spacing w:val="-2"/>
        </w:rPr>
        <w:t>e</w:t>
      </w:r>
      <w:r w:rsidR="00877D54" w:rsidRPr="009A0DA6">
        <w:rPr>
          <w:rFonts w:ascii="Cambria" w:eastAsia="Calibri" w:hAnsi="Cambria" w:cs="Calibri"/>
        </w:rPr>
        <w:t>sentat</w:t>
      </w:r>
      <w:r w:rsidR="00877D54" w:rsidRPr="009A0DA6">
        <w:rPr>
          <w:rFonts w:ascii="Cambria" w:eastAsia="Calibri" w:hAnsi="Cambria" w:cs="Calibri"/>
          <w:spacing w:val="-2"/>
        </w:rPr>
        <w:t>i</w:t>
      </w:r>
      <w:r w:rsidR="00877D54" w:rsidRPr="009A0DA6">
        <w:rPr>
          <w:rFonts w:ascii="Cambria" w:eastAsia="Calibri" w:hAnsi="Cambria" w:cs="Calibri"/>
          <w:spacing w:val="1"/>
        </w:rPr>
        <w:t>v</w:t>
      </w:r>
      <w:r w:rsidR="00877D54" w:rsidRPr="009A0DA6">
        <w:rPr>
          <w:rFonts w:ascii="Cambria" w:eastAsia="Calibri" w:hAnsi="Cambria" w:cs="Calibri"/>
          <w:spacing w:val="-2"/>
        </w:rPr>
        <w:t>e</w:t>
      </w:r>
      <w:r w:rsidR="00877D54" w:rsidRPr="009A0DA6">
        <w:rPr>
          <w:rFonts w:ascii="Cambria" w:eastAsia="Calibri" w:hAnsi="Cambria" w:cs="Calibri"/>
        </w:rPr>
        <w:t xml:space="preserve">s </w:t>
      </w:r>
    </w:p>
    <w:p w14:paraId="41228680" w14:textId="4FFE78F8" w:rsidR="00877D54" w:rsidRPr="009A0DA6" w:rsidRDefault="00290C36" w:rsidP="00F55252">
      <w:pPr>
        <w:pStyle w:val="ListParagraph"/>
        <w:numPr>
          <w:ilvl w:val="1"/>
          <w:numId w:val="147"/>
        </w:numPr>
        <w:spacing w:after="0" w:line="240" w:lineRule="auto"/>
        <w:ind w:left="1134" w:right="355" w:hanging="567"/>
        <w:rPr>
          <w:rFonts w:ascii="Cambria" w:eastAsia="Calibri" w:hAnsi="Cambria" w:cs="Calibri"/>
        </w:rPr>
      </w:pPr>
      <w:r w:rsidRPr="009A0DA6">
        <w:rPr>
          <w:rFonts w:ascii="Cambria" w:eastAsia="Calibri" w:hAnsi="Cambria" w:cs="Calibri"/>
          <w:spacing w:val="1"/>
        </w:rPr>
        <w:t>d</w:t>
      </w:r>
      <w:r w:rsidR="00877D54" w:rsidRPr="009A0DA6">
        <w:rPr>
          <w:rFonts w:ascii="Cambria" w:eastAsia="Calibri" w:hAnsi="Cambria" w:cs="Calibri"/>
        </w:rPr>
        <w:t>e</w:t>
      </w:r>
      <w:r w:rsidR="00877D54" w:rsidRPr="009A0DA6">
        <w:rPr>
          <w:rFonts w:ascii="Cambria" w:eastAsia="Calibri" w:hAnsi="Cambria" w:cs="Calibri"/>
          <w:spacing w:val="-1"/>
        </w:rPr>
        <w:t>t</w:t>
      </w:r>
      <w:r w:rsidR="00877D54" w:rsidRPr="009A0DA6">
        <w:rPr>
          <w:rFonts w:ascii="Cambria" w:eastAsia="Calibri" w:hAnsi="Cambria" w:cs="Calibri"/>
        </w:rPr>
        <w:t>er</w:t>
      </w:r>
      <w:r w:rsidR="00877D54" w:rsidRPr="009A0DA6">
        <w:rPr>
          <w:rFonts w:ascii="Cambria" w:eastAsia="Calibri" w:hAnsi="Cambria" w:cs="Calibri"/>
          <w:spacing w:val="1"/>
        </w:rPr>
        <w:t>m</w:t>
      </w:r>
      <w:r w:rsidR="00877D54" w:rsidRPr="009A0DA6">
        <w:rPr>
          <w:rFonts w:ascii="Cambria" w:eastAsia="Calibri" w:hAnsi="Cambria" w:cs="Calibri"/>
        </w:rPr>
        <w:t>i</w:t>
      </w:r>
      <w:r w:rsidR="00877D54" w:rsidRPr="009A0DA6">
        <w:rPr>
          <w:rFonts w:ascii="Cambria" w:eastAsia="Calibri" w:hAnsi="Cambria" w:cs="Calibri"/>
          <w:spacing w:val="-1"/>
        </w:rPr>
        <w:t>n</w:t>
      </w:r>
      <w:r w:rsidR="00877D54" w:rsidRPr="009A0DA6">
        <w:rPr>
          <w:rFonts w:ascii="Cambria" w:eastAsia="Calibri" w:hAnsi="Cambria" w:cs="Calibri"/>
        </w:rPr>
        <w:t>i</w:t>
      </w:r>
      <w:r w:rsidR="00877D54" w:rsidRPr="009A0DA6">
        <w:rPr>
          <w:rFonts w:ascii="Cambria" w:eastAsia="Calibri" w:hAnsi="Cambria" w:cs="Calibri"/>
          <w:spacing w:val="-1"/>
        </w:rPr>
        <w:t>n</w:t>
      </w:r>
      <w:r w:rsidR="00877D54" w:rsidRPr="009A0DA6">
        <w:rPr>
          <w:rFonts w:ascii="Cambria" w:eastAsia="Calibri" w:hAnsi="Cambria" w:cs="Calibri"/>
        </w:rPr>
        <w:t>g</w:t>
      </w:r>
      <w:r w:rsidR="00877D54" w:rsidRPr="009A0DA6">
        <w:rPr>
          <w:rFonts w:ascii="Cambria" w:eastAsia="Calibri" w:hAnsi="Cambria" w:cs="Calibri"/>
          <w:spacing w:val="-1"/>
        </w:rPr>
        <w:t xml:space="preserve"> </w:t>
      </w:r>
      <w:r w:rsidR="00877D54" w:rsidRPr="009A0DA6">
        <w:rPr>
          <w:rFonts w:ascii="Cambria" w:eastAsia="Calibri" w:hAnsi="Cambria" w:cs="Calibri"/>
          <w:spacing w:val="1"/>
        </w:rPr>
        <w:t>t</w:t>
      </w:r>
      <w:r w:rsidR="00877D54" w:rsidRPr="009A0DA6">
        <w:rPr>
          <w:rFonts w:ascii="Cambria" w:eastAsia="Calibri" w:hAnsi="Cambria" w:cs="Calibri"/>
          <w:spacing w:val="-3"/>
        </w:rPr>
        <w:t>h</w:t>
      </w:r>
      <w:r w:rsidR="00877D54" w:rsidRPr="009A0DA6">
        <w:rPr>
          <w:rFonts w:ascii="Cambria" w:eastAsia="Calibri" w:hAnsi="Cambria" w:cs="Calibri"/>
        </w:rPr>
        <w:t>e</w:t>
      </w:r>
      <w:r w:rsidR="00877D54" w:rsidRPr="009A0DA6">
        <w:rPr>
          <w:rFonts w:ascii="Cambria" w:eastAsia="Calibri" w:hAnsi="Cambria" w:cs="Calibri"/>
          <w:spacing w:val="-1"/>
        </w:rPr>
        <w:t xml:space="preserve"> </w:t>
      </w:r>
      <w:r w:rsidR="00877D54" w:rsidRPr="009A0DA6">
        <w:rPr>
          <w:rFonts w:ascii="Cambria" w:eastAsia="Calibri" w:hAnsi="Cambria" w:cs="Calibri"/>
          <w:spacing w:val="1"/>
        </w:rPr>
        <w:t>m</w:t>
      </w:r>
      <w:r w:rsidR="00877D54" w:rsidRPr="009A0DA6">
        <w:rPr>
          <w:rFonts w:ascii="Cambria" w:eastAsia="Calibri" w:hAnsi="Cambria" w:cs="Calibri"/>
        </w:rPr>
        <w:t xml:space="preserve">eans </w:t>
      </w:r>
      <w:r w:rsidR="00877D54" w:rsidRPr="009A0DA6">
        <w:rPr>
          <w:rFonts w:ascii="Cambria" w:eastAsia="Calibri" w:hAnsi="Cambria" w:cs="Calibri"/>
          <w:spacing w:val="-3"/>
        </w:rPr>
        <w:t>b</w:t>
      </w:r>
      <w:r w:rsidR="00877D54" w:rsidRPr="009A0DA6">
        <w:rPr>
          <w:rFonts w:ascii="Cambria" w:eastAsia="Calibri" w:hAnsi="Cambria" w:cs="Calibri"/>
        </w:rPr>
        <w:t>y</w:t>
      </w:r>
      <w:r w:rsidR="00877D54" w:rsidRPr="009A0DA6">
        <w:rPr>
          <w:rFonts w:ascii="Cambria" w:eastAsia="Calibri" w:hAnsi="Cambria" w:cs="Calibri"/>
          <w:spacing w:val="-1"/>
        </w:rPr>
        <w:t xml:space="preserve"> </w:t>
      </w:r>
      <w:r w:rsidR="00877D54" w:rsidRPr="009A0DA6">
        <w:rPr>
          <w:rFonts w:ascii="Cambria" w:eastAsia="Calibri" w:hAnsi="Cambria" w:cs="Calibri"/>
        </w:rPr>
        <w:t>which</w:t>
      </w:r>
      <w:r w:rsidR="00877D54" w:rsidRPr="009A0DA6">
        <w:rPr>
          <w:rFonts w:ascii="Cambria" w:eastAsia="Calibri" w:hAnsi="Cambria" w:cs="Calibri"/>
          <w:spacing w:val="-1"/>
        </w:rPr>
        <w:t xml:space="preserve"> </w:t>
      </w:r>
      <w:r w:rsidR="00877D54" w:rsidRPr="009A0DA6">
        <w:rPr>
          <w:rFonts w:ascii="Cambria" w:eastAsia="Calibri" w:hAnsi="Cambria" w:cs="Calibri"/>
          <w:spacing w:val="1"/>
        </w:rPr>
        <w:t>t</w:t>
      </w:r>
      <w:r w:rsidR="00877D54" w:rsidRPr="009A0DA6">
        <w:rPr>
          <w:rFonts w:ascii="Cambria" w:eastAsia="Calibri" w:hAnsi="Cambria" w:cs="Calibri"/>
          <w:spacing w:val="-1"/>
        </w:rPr>
        <w:t>h</w:t>
      </w:r>
      <w:r w:rsidR="00877D54" w:rsidRPr="009A0DA6">
        <w:rPr>
          <w:rFonts w:ascii="Cambria" w:eastAsia="Calibri" w:hAnsi="Cambria" w:cs="Calibri"/>
          <w:spacing w:val="-2"/>
        </w:rPr>
        <w:t>e</w:t>
      </w:r>
      <w:r w:rsidR="00877D54" w:rsidRPr="009A0DA6">
        <w:rPr>
          <w:rFonts w:ascii="Cambria" w:eastAsia="Calibri" w:hAnsi="Cambria" w:cs="Calibri"/>
        </w:rPr>
        <w:t>y</w:t>
      </w:r>
      <w:r w:rsidR="00877D54" w:rsidRPr="009A0DA6">
        <w:rPr>
          <w:rFonts w:ascii="Cambria" w:eastAsia="Calibri" w:hAnsi="Cambria" w:cs="Calibri"/>
          <w:spacing w:val="1"/>
        </w:rPr>
        <w:t xml:space="preserve"> </w:t>
      </w:r>
      <w:r w:rsidR="00877D54" w:rsidRPr="009A0DA6">
        <w:rPr>
          <w:rFonts w:ascii="Cambria" w:eastAsia="Calibri" w:hAnsi="Cambria" w:cs="Calibri"/>
        </w:rPr>
        <w:t>are</w:t>
      </w:r>
      <w:r w:rsidR="00877D54" w:rsidRPr="009A0DA6">
        <w:rPr>
          <w:rFonts w:ascii="Cambria" w:eastAsia="Calibri" w:hAnsi="Cambria" w:cs="Calibri"/>
          <w:spacing w:val="-2"/>
        </w:rPr>
        <w:t xml:space="preserve"> </w:t>
      </w:r>
      <w:r w:rsidR="00877D54" w:rsidRPr="009A0DA6">
        <w:rPr>
          <w:rFonts w:ascii="Cambria" w:eastAsia="Calibri" w:hAnsi="Cambria" w:cs="Calibri"/>
        </w:rPr>
        <w:t>s</w:t>
      </w:r>
      <w:r w:rsidR="00877D54" w:rsidRPr="009A0DA6">
        <w:rPr>
          <w:rFonts w:ascii="Cambria" w:eastAsia="Calibri" w:hAnsi="Cambria" w:cs="Calibri"/>
          <w:spacing w:val="1"/>
        </w:rPr>
        <w:t>e</w:t>
      </w:r>
      <w:r w:rsidR="00877D54" w:rsidRPr="009A0DA6">
        <w:rPr>
          <w:rFonts w:ascii="Cambria" w:eastAsia="Calibri" w:hAnsi="Cambria" w:cs="Calibri"/>
          <w:spacing w:val="-3"/>
        </w:rPr>
        <w:t>l</w:t>
      </w:r>
      <w:r w:rsidR="00877D54" w:rsidRPr="009A0DA6">
        <w:rPr>
          <w:rFonts w:ascii="Cambria" w:eastAsia="Calibri" w:hAnsi="Cambria" w:cs="Calibri"/>
        </w:rPr>
        <w:t>ec</w:t>
      </w:r>
      <w:r w:rsidR="00877D54" w:rsidRPr="009A0DA6">
        <w:rPr>
          <w:rFonts w:ascii="Cambria" w:eastAsia="Calibri" w:hAnsi="Cambria" w:cs="Calibri"/>
          <w:spacing w:val="1"/>
        </w:rPr>
        <w:t>t</w:t>
      </w:r>
      <w:r w:rsidR="00877D54" w:rsidRPr="009A0DA6">
        <w:rPr>
          <w:rFonts w:ascii="Cambria" w:eastAsia="Calibri" w:hAnsi="Cambria" w:cs="Calibri"/>
        </w:rPr>
        <w:t>ed</w:t>
      </w:r>
    </w:p>
    <w:p w14:paraId="648EAD6C" w14:textId="554F4E7B" w:rsidR="00877D54" w:rsidRPr="009A0DA6" w:rsidRDefault="00290C36" w:rsidP="00F55252">
      <w:pPr>
        <w:pStyle w:val="ListParagraph"/>
        <w:numPr>
          <w:ilvl w:val="1"/>
          <w:numId w:val="147"/>
        </w:numPr>
        <w:spacing w:after="0" w:line="240" w:lineRule="auto"/>
        <w:ind w:left="1134" w:right="355" w:hanging="567"/>
        <w:rPr>
          <w:rFonts w:ascii="Cambria" w:eastAsia="Calibri" w:hAnsi="Cambria" w:cs="Calibri"/>
        </w:rPr>
      </w:pPr>
      <w:r w:rsidRPr="009A0DA6">
        <w:rPr>
          <w:rFonts w:ascii="Cambria" w:eastAsia="Calibri" w:hAnsi="Cambria" w:cs="Calibri"/>
        </w:rPr>
        <w:t>e</w:t>
      </w:r>
      <w:r w:rsidR="00877D54" w:rsidRPr="009A0DA6">
        <w:rPr>
          <w:rFonts w:ascii="Cambria" w:eastAsia="Calibri" w:hAnsi="Cambria" w:cs="Calibri"/>
        </w:rPr>
        <w:t>ns</w:t>
      </w:r>
      <w:r w:rsidR="00877D54" w:rsidRPr="009A0DA6">
        <w:rPr>
          <w:rFonts w:ascii="Cambria" w:eastAsia="Calibri" w:hAnsi="Cambria" w:cs="Calibri"/>
          <w:spacing w:val="-1"/>
        </w:rPr>
        <w:t>u</w:t>
      </w:r>
      <w:r w:rsidR="00877D54" w:rsidRPr="009A0DA6">
        <w:rPr>
          <w:rFonts w:ascii="Cambria" w:eastAsia="Calibri" w:hAnsi="Cambria" w:cs="Calibri"/>
        </w:rPr>
        <w:t>ri</w:t>
      </w:r>
      <w:r w:rsidR="00877D54" w:rsidRPr="009A0DA6">
        <w:rPr>
          <w:rFonts w:ascii="Cambria" w:eastAsia="Calibri" w:hAnsi="Cambria" w:cs="Calibri"/>
          <w:spacing w:val="-1"/>
        </w:rPr>
        <w:t>n</w:t>
      </w:r>
      <w:r w:rsidR="00877D54" w:rsidRPr="009A0DA6">
        <w:rPr>
          <w:rFonts w:ascii="Cambria" w:eastAsia="Calibri" w:hAnsi="Cambria" w:cs="Calibri"/>
        </w:rPr>
        <w:t>g</w:t>
      </w:r>
      <w:r w:rsidR="00877D54" w:rsidRPr="009A0DA6">
        <w:rPr>
          <w:rFonts w:ascii="Cambria" w:eastAsia="Calibri" w:hAnsi="Cambria" w:cs="Calibri"/>
          <w:spacing w:val="-1"/>
        </w:rPr>
        <w:t xml:space="preserve"> </w:t>
      </w:r>
      <w:r w:rsidR="00877D54" w:rsidRPr="009A0DA6">
        <w:rPr>
          <w:rFonts w:ascii="Cambria" w:eastAsia="Calibri" w:hAnsi="Cambria" w:cs="Calibri"/>
          <w:spacing w:val="1"/>
        </w:rPr>
        <w:t>t</w:t>
      </w:r>
      <w:r w:rsidR="00877D54" w:rsidRPr="009A0DA6">
        <w:rPr>
          <w:rFonts w:ascii="Cambria" w:eastAsia="Calibri" w:hAnsi="Cambria" w:cs="Calibri"/>
          <w:spacing w:val="-1"/>
        </w:rPr>
        <w:t>h</w:t>
      </w:r>
      <w:r w:rsidR="00877D54" w:rsidRPr="009A0DA6">
        <w:rPr>
          <w:rFonts w:ascii="Cambria" w:eastAsia="Calibri" w:hAnsi="Cambria" w:cs="Calibri"/>
        </w:rPr>
        <w:t>at</w:t>
      </w:r>
      <w:r w:rsidR="00877D54" w:rsidRPr="009A0DA6">
        <w:rPr>
          <w:rFonts w:ascii="Cambria" w:eastAsia="Calibri" w:hAnsi="Cambria" w:cs="Calibri"/>
          <w:spacing w:val="1"/>
        </w:rPr>
        <w:t xml:space="preserve"> </w:t>
      </w:r>
      <w:r w:rsidR="00877D54" w:rsidRPr="009A0DA6">
        <w:rPr>
          <w:rFonts w:ascii="Cambria" w:eastAsia="Calibri" w:hAnsi="Cambria" w:cs="Calibri"/>
        </w:rPr>
        <w:t>th</w:t>
      </w:r>
      <w:r w:rsidR="00877D54" w:rsidRPr="009A0DA6">
        <w:rPr>
          <w:rFonts w:ascii="Cambria" w:eastAsia="Calibri" w:hAnsi="Cambria" w:cs="Calibri"/>
          <w:spacing w:val="-2"/>
        </w:rPr>
        <w:t>e</w:t>
      </w:r>
      <w:r w:rsidR="00877D54" w:rsidRPr="009A0DA6">
        <w:rPr>
          <w:rFonts w:ascii="Cambria" w:eastAsia="Calibri" w:hAnsi="Cambria" w:cs="Calibri"/>
        </w:rPr>
        <w:t>y</w:t>
      </w:r>
      <w:r w:rsidR="00877D54" w:rsidRPr="009A0DA6">
        <w:rPr>
          <w:rFonts w:ascii="Cambria" w:eastAsia="Calibri" w:hAnsi="Cambria" w:cs="Calibri"/>
          <w:spacing w:val="1"/>
        </w:rPr>
        <w:t xml:space="preserve"> </w:t>
      </w:r>
      <w:r w:rsidR="00877D54" w:rsidRPr="009A0DA6">
        <w:rPr>
          <w:rFonts w:ascii="Cambria" w:eastAsia="Calibri" w:hAnsi="Cambria" w:cs="Calibri"/>
        </w:rPr>
        <w:t>h</w:t>
      </w:r>
      <w:r w:rsidR="00877D54" w:rsidRPr="009A0DA6">
        <w:rPr>
          <w:rFonts w:ascii="Cambria" w:eastAsia="Calibri" w:hAnsi="Cambria" w:cs="Calibri"/>
          <w:spacing w:val="-3"/>
        </w:rPr>
        <w:t>a</w:t>
      </w:r>
      <w:r w:rsidR="00877D54" w:rsidRPr="009A0DA6">
        <w:rPr>
          <w:rFonts w:ascii="Cambria" w:eastAsia="Calibri" w:hAnsi="Cambria" w:cs="Calibri"/>
          <w:spacing w:val="1"/>
        </w:rPr>
        <w:t>v</w:t>
      </w:r>
      <w:r w:rsidR="00877D54" w:rsidRPr="009A0DA6">
        <w:rPr>
          <w:rFonts w:ascii="Cambria" w:eastAsia="Calibri" w:hAnsi="Cambria" w:cs="Calibri"/>
        </w:rPr>
        <w:t>e</w:t>
      </w:r>
      <w:r w:rsidR="00877D54" w:rsidRPr="009A0DA6">
        <w:rPr>
          <w:rFonts w:ascii="Cambria" w:eastAsia="Calibri" w:hAnsi="Cambria" w:cs="Calibri"/>
          <w:spacing w:val="-1"/>
        </w:rPr>
        <w:t xml:space="preserve"> </w:t>
      </w:r>
      <w:r w:rsidR="00877D54" w:rsidRPr="009A0DA6">
        <w:rPr>
          <w:rFonts w:ascii="Cambria" w:eastAsia="Calibri" w:hAnsi="Cambria" w:cs="Calibri"/>
        </w:rPr>
        <w:t>the l</w:t>
      </w:r>
      <w:r w:rsidR="00877D54" w:rsidRPr="009A0DA6">
        <w:rPr>
          <w:rFonts w:ascii="Cambria" w:eastAsia="Calibri" w:hAnsi="Cambria" w:cs="Calibri"/>
          <w:spacing w:val="1"/>
        </w:rPr>
        <w:t>o</w:t>
      </w:r>
      <w:r w:rsidR="00877D54" w:rsidRPr="009A0DA6">
        <w:rPr>
          <w:rFonts w:ascii="Cambria" w:eastAsia="Calibri" w:hAnsi="Cambria" w:cs="Calibri"/>
          <w:spacing w:val="-1"/>
        </w:rPr>
        <w:t>g</w:t>
      </w:r>
      <w:r w:rsidR="00877D54" w:rsidRPr="009A0DA6">
        <w:rPr>
          <w:rFonts w:ascii="Cambria" w:eastAsia="Calibri" w:hAnsi="Cambria" w:cs="Calibri"/>
        </w:rPr>
        <w:t>i</w:t>
      </w:r>
      <w:r w:rsidR="00877D54" w:rsidRPr="009A0DA6">
        <w:rPr>
          <w:rFonts w:ascii="Cambria" w:eastAsia="Calibri" w:hAnsi="Cambria" w:cs="Calibri"/>
          <w:spacing w:val="-3"/>
        </w:rPr>
        <w:t>s</w:t>
      </w:r>
      <w:r w:rsidR="00877D54" w:rsidRPr="009A0DA6">
        <w:rPr>
          <w:rFonts w:ascii="Cambria" w:eastAsia="Calibri" w:hAnsi="Cambria" w:cs="Calibri"/>
        </w:rPr>
        <w:t>tical su</w:t>
      </w:r>
      <w:r w:rsidR="00877D54" w:rsidRPr="009A0DA6">
        <w:rPr>
          <w:rFonts w:ascii="Cambria" w:eastAsia="Calibri" w:hAnsi="Cambria" w:cs="Calibri"/>
          <w:spacing w:val="-1"/>
        </w:rPr>
        <w:t>pp</w:t>
      </w:r>
      <w:r w:rsidR="00877D54" w:rsidRPr="009A0DA6">
        <w:rPr>
          <w:rFonts w:ascii="Cambria" w:eastAsia="Calibri" w:hAnsi="Cambria" w:cs="Calibri"/>
          <w:spacing w:val="1"/>
        </w:rPr>
        <w:t>o</w:t>
      </w:r>
      <w:r w:rsidR="00877D54" w:rsidRPr="009A0DA6">
        <w:rPr>
          <w:rFonts w:ascii="Cambria" w:eastAsia="Calibri" w:hAnsi="Cambria" w:cs="Calibri"/>
          <w:spacing w:val="-3"/>
        </w:rPr>
        <w:t>r</w:t>
      </w:r>
      <w:r w:rsidR="00877D54" w:rsidRPr="009A0DA6">
        <w:rPr>
          <w:rFonts w:ascii="Cambria" w:eastAsia="Calibri" w:hAnsi="Cambria" w:cs="Calibri"/>
        </w:rPr>
        <w:t>t</w:t>
      </w:r>
      <w:r w:rsidR="00877D54" w:rsidRPr="009A0DA6">
        <w:rPr>
          <w:rFonts w:ascii="Cambria" w:eastAsia="Calibri" w:hAnsi="Cambria" w:cs="Calibri"/>
          <w:spacing w:val="1"/>
        </w:rPr>
        <w:t xml:space="preserve"> </w:t>
      </w:r>
      <w:r w:rsidR="00877D54" w:rsidRPr="009A0DA6">
        <w:rPr>
          <w:rFonts w:ascii="Cambria" w:eastAsia="Calibri" w:hAnsi="Cambria" w:cs="Calibri"/>
        </w:rPr>
        <w:t>th</w:t>
      </w:r>
      <w:r w:rsidR="00877D54" w:rsidRPr="009A0DA6">
        <w:rPr>
          <w:rFonts w:ascii="Cambria" w:eastAsia="Calibri" w:hAnsi="Cambria" w:cs="Calibri"/>
          <w:spacing w:val="-2"/>
        </w:rPr>
        <w:t>e</w:t>
      </w:r>
      <w:r w:rsidR="00877D54" w:rsidRPr="009A0DA6">
        <w:rPr>
          <w:rFonts w:ascii="Cambria" w:eastAsia="Calibri" w:hAnsi="Cambria" w:cs="Calibri"/>
        </w:rPr>
        <w:t>y</w:t>
      </w:r>
      <w:r w:rsidR="00877D54" w:rsidRPr="009A0DA6">
        <w:rPr>
          <w:rFonts w:ascii="Cambria" w:eastAsia="Calibri" w:hAnsi="Cambria" w:cs="Calibri"/>
          <w:spacing w:val="1"/>
        </w:rPr>
        <w:t xml:space="preserve"> </w:t>
      </w:r>
      <w:r w:rsidR="00877D54" w:rsidRPr="009A0DA6">
        <w:rPr>
          <w:rFonts w:ascii="Cambria" w:eastAsia="Calibri" w:hAnsi="Cambria" w:cs="Calibri"/>
        </w:rPr>
        <w:t>n</w:t>
      </w:r>
      <w:r w:rsidR="00877D54" w:rsidRPr="009A0DA6">
        <w:rPr>
          <w:rFonts w:ascii="Cambria" w:eastAsia="Calibri" w:hAnsi="Cambria" w:cs="Calibri"/>
          <w:spacing w:val="-2"/>
        </w:rPr>
        <w:t>e</w:t>
      </w:r>
      <w:r w:rsidR="00877D54" w:rsidRPr="009A0DA6">
        <w:rPr>
          <w:rFonts w:ascii="Cambria" w:eastAsia="Calibri" w:hAnsi="Cambria" w:cs="Calibri"/>
        </w:rPr>
        <w:t xml:space="preserve">ed to </w:t>
      </w:r>
      <w:r w:rsidR="00877D54" w:rsidRPr="009A0DA6">
        <w:rPr>
          <w:rFonts w:ascii="Cambria" w:eastAsia="Calibri" w:hAnsi="Cambria" w:cs="Calibri"/>
          <w:spacing w:val="-1"/>
        </w:rPr>
        <w:t>b</w:t>
      </w:r>
      <w:r w:rsidR="00877D54" w:rsidRPr="009A0DA6">
        <w:rPr>
          <w:rFonts w:ascii="Cambria" w:eastAsia="Calibri" w:hAnsi="Cambria" w:cs="Calibri"/>
        </w:rPr>
        <w:t>e</w:t>
      </w:r>
      <w:r w:rsidR="00877D54" w:rsidRPr="009A0DA6">
        <w:rPr>
          <w:rFonts w:ascii="Cambria" w:eastAsia="Calibri" w:hAnsi="Cambria" w:cs="Calibri"/>
          <w:spacing w:val="1"/>
        </w:rPr>
        <w:t xml:space="preserve"> </w:t>
      </w:r>
      <w:r w:rsidR="00877D54" w:rsidRPr="009A0DA6">
        <w:rPr>
          <w:rFonts w:ascii="Cambria" w:eastAsia="Calibri" w:hAnsi="Cambria" w:cs="Calibri"/>
        </w:rPr>
        <w:t>a</w:t>
      </w:r>
      <w:r w:rsidR="00877D54" w:rsidRPr="009A0DA6">
        <w:rPr>
          <w:rFonts w:ascii="Cambria" w:eastAsia="Calibri" w:hAnsi="Cambria" w:cs="Calibri"/>
          <w:spacing w:val="-1"/>
        </w:rPr>
        <w:t>b</w:t>
      </w:r>
      <w:r w:rsidR="00877D54" w:rsidRPr="009A0DA6">
        <w:rPr>
          <w:rFonts w:ascii="Cambria" w:eastAsia="Calibri" w:hAnsi="Cambria" w:cs="Calibri"/>
        </w:rPr>
        <w:t>le</w:t>
      </w:r>
      <w:r w:rsidR="00877D54" w:rsidRPr="009A0DA6">
        <w:rPr>
          <w:rFonts w:ascii="Cambria" w:eastAsia="Calibri" w:hAnsi="Cambria" w:cs="Calibri"/>
          <w:spacing w:val="-2"/>
        </w:rPr>
        <w:t xml:space="preserve"> t</w:t>
      </w:r>
      <w:r w:rsidR="00877D54" w:rsidRPr="009A0DA6">
        <w:rPr>
          <w:rFonts w:ascii="Cambria" w:eastAsia="Calibri" w:hAnsi="Cambria" w:cs="Calibri"/>
        </w:rPr>
        <w:t>o</w:t>
      </w:r>
      <w:r w:rsidR="00877D54" w:rsidRPr="009A0DA6">
        <w:rPr>
          <w:rFonts w:ascii="Cambria" w:eastAsia="Calibri" w:hAnsi="Cambria" w:cs="Calibri"/>
          <w:spacing w:val="1"/>
        </w:rPr>
        <w:t xml:space="preserve"> </w:t>
      </w:r>
      <w:r w:rsidR="00877D54" w:rsidRPr="009A0DA6">
        <w:rPr>
          <w:rFonts w:ascii="Cambria" w:eastAsia="Calibri" w:hAnsi="Cambria" w:cs="Calibri"/>
        </w:rPr>
        <w:t>a</w:t>
      </w:r>
      <w:r w:rsidR="00877D54" w:rsidRPr="009A0DA6">
        <w:rPr>
          <w:rFonts w:ascii="Cambria" w:eastAsia="Calibri" w:hAnsi="Cambria" w:cs="Calibri"/>
          <w:spacing w:val="-2"/>
        </w:rPr>
        <w:t>t</w:t>
      </w:r>
      <w:r w:rsidR="00877D54" w:rsidRPr="009A0DA6">
        <w:rPr>
          <w:rFonts w:ascii="Cambria" w:eastAsia="Calibri" w:hAnsi="Cambria" w:cs="Calibri"/>
        </w:rPr>
        <w:t>t</w:t>
      </w:r>
      <w:r w:rsidR="00877D54" w:rsidRPr="009A0DA6">
        <w:rPr>
          <w:rFonts w:ascii="Cambria" w:eastAsia="Calibri" w:hAnsi="Cambria" w:cs="Calibri"/>
          <w:spacing w:val="1"/>
        </w:rPr>
        <w:t>e</w:t>
      </w:r>
      <w:r w:rsidR="00877D54" w:rsidRPr="009A0DA6">
        <w:rPr>
          <w:rFonts w:ascii="Cambria" w:eastAsia="Calibri" w:hAnsi="Cambria" w:cs="Calibri"/>
          <w:spacing w:val="-1"/>
        </w:rPr>
        <w:t>n</w:t>
      </w:r>
      <w:r w:rsidR="00877D54" w:rsidRPr="009A0DA6">
        <w:rPr>
          <w:rFonts w:ascii="Cambria" w:eastAsia="Calibri" w:hAnsi="Cambria" w:cs="Calibri"/>
        </w:rPr>
        <w:t>d</w:t>
      </w:r>
      <w:r w:rsidRPr="009A0DA6">
        <w:rPr>
          <w:rFonts w:ascii="Cambria" w:eastAsia="Calibri" w:hAnsi="Cambria" w:cs="Calibri"/>
        </w:rPr>
        <w:t>;</w:t>
      </w:r>
    </w:p>
    <w:p w14:paraId="509FE8AB" w14:textId="052FBE88" w:rsidR="00877D54" w:rsidRPr="001547D3" w:rsidRDefault="00877D54" w:rsidP="00F55252">
      <w:pPr>
        <w:pStyle w:val="ListParagraph"/>
        <w:numPr>
          <w:ilvl w:val="0"/>
          <w:numId w:val="147"/>
        </w:numPr>
        <w:spacing w:after="120" w:line="240" w:lineRule="auto"/>
        <w:ind w:left="567" w:right="-20" w:hanging="567"/>
        <w:contextualSpacing w:val="0"/>
        <w:rPr>
          <w:rFonts w:ascii="Cambria" w:eastAsia="Calibri" w:hAnsi="Cambria" w:cs="Calibri"/>
          <w:sz w:val="10"/>
        </w:rPr>
      </w:pPr>
      <w:r w:rsidRPr="009A0DA6">
        <w:rPr>
          <w:rFonts w:ascii="Cambria" w:eastAsia="Calibri" w:hAnsi="Cambria" w:cs="Calibri"/>
          <w:position w:val="1"/>
        </w:rPr>
        <w:t xml:space="preserve">That </w:t>
      </w:r>
      <w:r w:rsidRPr="009A0DA6">
        <w:rPr>
          <w:rFonts w:ascii="Cambria" w:eastAsia="Calibri" w:hAnsi="Cambria" w:cs="Calibri"/>
          <w:spacing w:val="1"/>
          <w:position w:val="1"/>
        </w:rPr>
        <w:t>t</w:t>
      </w:r>
      <w:r w:rsidRPr="009A0DA6">
        <w:rPr>
          <w:rFonts w:ascii="Cambria" w:eastAsia="Calibri" w:hAnsi="Cambria" w:cs="Calibri"/>
          <w:spacing w:val="-1"/>
          <w:position w:val="1"/>
        </w:rPr>
        <w:t>h</w:t>
      </w:r>
      <w:r w:rsidRPr="009A0DA6">
        <w:rPr>
          <w:rFonts w:ascii="Cambria" w:eastAsia="Calibri" w:hAnsi="Cambria" w:cs="Calibri"/>
          <w:position w:val="1"/>
        </w:rPr>
        <w:t>is</w:t>
      </w:r>
      <w:r w:rsidRPr="009A0DA6">
        <w:rPr>
          <w:rFonts w:ascii="Cambria" w:eastAsia="Calibri" w:hAnsi="Cambria" w:cs="Calibri"/>
          <w:spacing w:val="-2"/>
          <w:position w:val="1"/>
        </w:rPr>
        <w:t xml:space="preserve"> </w:t>
      </w:r>
      <w:r w:rsidRPr="009A0DA6">
        <w:rPr>
          <w:rFonts w:ascii="Cambria" w:eastAsia="Calibri" w:hAnsi="Cambria" w:cs="Calibri"/>
          <w:position w:val="1"/>
        </w:rPr>
        <w:t>tas</w:t>
      </w:r>
      <w:r w:rsidRPr="009A0DA6">
        <w:rPr>
          <w:rFonts w:ascii="Cambria" w:eastAsia="Calibri" w:hAnsi="Cambria" w:cs="Calibri"/>
          <w:spacing w:val="1"/>
          <w:position w:val="1"/>
        </w:rPr>
        <w:t>k</w:t>
      </w:r>
      <w:r w:rsidRPr="009A0DA6">
        <w:rPr>
          <w:rFonts w:ascii="Cambria" w:eastAsia="Calibri" w:hAnsi="Cambria" w:cs="Calibri"/>
          <w:spacing w:val="-3"/>
          <w:position w:val="1"/>
        </w:rPr>
        <w:t>f</w:t>
      </w:r>
      <w:r w:rsidRPr="009A0DA6">
        <w:rPr>
          <w:rFonts w:ascii="Cambria" w:eastAsia="Calibri" w:hAnsi="Cambria" w:cs="Calibri"/>
          <w:spacing w:val="1"/>
          <w:position w:val="1"/>
        </w:rPr>
        <w:t>or</w:t>
      </w:r>
      <w:r w:rsidRPr="009A0DA6">
        <w:rPr>
          <w:rFonts w:ascii="Cambria" w:eastAsia="Calibri" w:hAnsi="Cambria" w:cs="Calibri"/>
          <w:spacing w:val="-2"/>
          <w:position w:val="1"/>
        </w:rPr>
        <w:t>c</w:t>
      </w:r>
      <w:r w:rsidRPr="009A0DA6">
        <w:rPr>
          <w:rFonts w:ascii="Cambria" w:eastAsia="Calibri" w:hAnsi="Cambria" w:cs="Calibri"/>
          <w:position w:val="1"/>
        </w:rPr>
        <w:t>e</w:t>
      </w:r>
      <w:r w:rsidRPr="009A0DA6">
        <w:rPr>
          <w:rFonts w:ascii="Cambria" w:eastAsia="Calibri" w:hAnsi="Cambria" w:cs="Calibri"/>
          <w:spacing w:val="1"/>
          <w:position w:val="1"/>
        </w:rPr>
        <w:t xml:space="preserve"> </w:t>
      </w:r>
      <w:r w:rsidRPr="009A0DA6">
        <w:rPr>
          <w:rFonts w:ascii="Cambria" w:eastAsia="Calibri" w:hAnsi="Cambria" w:cs="Calibri"/>
          <w:position w:val="1"/>
        </w:rPr>
        <w:t>re</w:t>
      </w:r>
      <w:r w:rsidRPr="009A0DA6">
        <w:rPr>
          <w:rFonts w:ascii="Cambria" w:eastAsia="Calibri" w:hAnsi="Cambria" w:cs="Calibri"/>
          <w:spacing w:val="-3"/>
          <w:position w:val="1"/>
        </w:rPr>
        <w:t>p</w:t>
      </w:r>
      <w:r w:rsidRPr="009A0DA6">
        <w:rPr>
          <w:rFonts w:ascii="Cambria" w:eastAsia="Calibri" w:hAnsi="Cambria" w:cs="Calibri"/>
          <w:spacing w:val="1"/>
          <w:position w:val="1"/>
        </w:rPr>
        <w:t>o</w:t>
      </w:r>
      <w:r w:rsidRPr="009A0DA6">
        <w:rPr>
          <w:rFonts w:ascii="Cambria" w:eastAsia="Calibri" w:hAnsi="Cambria" w:cs="Calibri"/>
          <w:position w:val="1"/>
        </w:rPr>
        <w:t>rt</w:t>
      </w:r>
      <w:r w:rsidRPr="009A0DA6">
        <w:rPr>
          <w:rFonts w:ascii="Cambria" w:eastAsia="Calibri" w:hAnsi="Cambria" w:cs="Calibri"/>
          <w:spacing w:val="1"/>
          <w:position w:val="1"/>
        </w:rPr>
        <w:t xml:space="preserve"> </w:t>
      </w:r>
      <w:r w:rsidRPr="009A0DA6">
        <w:rPr>
          <w:rFonts w:ascii="Cambria" w:eastAsia="Calibri" w:hAnsi="Cambria" w:cs="Calibri"/>
          <w:spacing w:val="-3"/>
          <w:position w:val="1"/>
        </w:rPr>
        <w:t>b</w:t>
      </w:r>
      <w:r w:rsidRPr="009A0DA6">
        <w:rPr>
          <w:rFonts w:ascii="Cambria" w:eastAsia="Calibri" w:hAnsi="Cambria" w:cs="Calibri"/>
          <w:position w:val="1"/>
        </w:rPr>
        <w:t>ack</w:t>
      </w:r>
      <w:r w:rsidRPr="009A0DA6">
        <w:rPr>
          <w:rFonts w:ascii="Cambria" w:eastAsia="Calibri" w:hAnsi="Cambria" w:cs="Calibri"/>
          <w:spacing w:val="1"/>
          <w:position w:val="1"/>
        </w:rPr>
        <w:t xml:space="preserve"> </w:t>
      </w:r>
      <w:r w:rsidRPr="009A0DA6">
        <w:rPr>
          <w:rFonts w:ascii="Cambria" w:eastAsia="Calibri" w:hAnsi="Cambria" w:cs="Calibri"/>
          <w:spacing w:val="-2"/>
          <w:position w:val="1"/>
        </w:rPr>
        <w:t>t</w:t>
      </w:r>
      <w:r w:rsidRPr="009A0DA6">
        <w:rPr>
          <w:rFonts w:ascii="Cambria" w:eastAsia="Calibri" w:hAnsi="Cambria" w:cs="Calibri"/>
          <w:position w:val="1"/>
        </w:rPr>
        <w:t>o</w:t>
      </w:r>
      <w:r w:rsidRPr="009A0DA6">
        <w:rPr>
          <w:rFonts w:ascii="Cambria" w:eastAsia="Calibri" w:hAnsi="Cambria" w:cs="Calibri"/>
          <w:spacing w:val="1"/>
          <w:position w:val="1"/>
        </w:rPr>
        <w:t xml:space="preserve"> </w:t>
      </w:r>
      <w:r w:rsidRPr="009A0DA6">
        <w:rPr>
          <w:rFonts w:ascii="Cambria" w:eastAsia="Calibri" w:hAnsi="Cambria" w:cs="Calibri"/>
          <w:spacing w:val="-3"/>
          <w:position w:val="1"/>
        </w:rPr>
        <w:t>S</w:t>
      </w:r>
      <w:r w:rsidRPr="009A0DA6">
        <w:rPr>
          <w:rFonts w:ascii="Cambria" w:eastAsia="Calibri" w:hAnsi="Cambria" w:cs="Calibri"/>
          <w:spacing w:val="1"/>
          <w:position w:val="1"/>
        </w:rPr>
        <w:t>y</w:t>
      </w:r>
      <w:r w:rsidRPr="009A0DA6">
        <w:rPr>
          <w:rFonts w:ascii="Cambria" w:eastAsia="Calibri" w:hAnsi="Cambria" w:cs="Calibri"/>
          <w:spacing w:val="-1"/>
          <w:position w:val="1"/>
        </w:rPr>
        <w:t>n</w:t>
      </w:r>
      <w:r w:rsidRPr="009A0DA6">
        <w:rPr>
          <w:rFonts w:ascii="Cambria" w:eastAsia="Calibri" w:hAnsi="Cambria" w:cs="Calibri"/>
          <w:spacing w:val="1"/>
          <w:position w:val="1"/>
        </w:rPr>
        <w:t>o</w:t>
      </w:r>
      <w:r w:rsidRPr="009A0DA6">
        <w:rPr>
          <w:rFonts w:ascii="Cambria" w:eastAsia="Calibri" w:hAnsi="Cambria" w:cs="Calibri"/>
          <w:position w:val="1"/>
        </w:rPr>
        <w:t>d</w:t>
      </w:r>
      <w:r w:rsidRPr="009A0DA6">
        <w:rPr>
          <w:rFonts w:ascii="Cambria" w:eastAsia="Calibri" w:hAnsi="Cambria" w:cs="Calibri"/>
          <w:spacing w:val="-3"/>
          <w:position w:val="1"/>
        </w:rPr>
        <w:t xml:space="preserve"> </w:t>
      </w:r>
      <w:r w:rsidRPr="009A0DA6">
        <w:rPr>
          <w:rFonts w:ascii="Cambria" w:eastAsia="Calibri" w:hAnsi="Cambria" w:cs="Calibri"/>
          <w:position w:val="1"/>
        </w:rPr>
        <w:t xml:space="preserve">with </w:t>
      </w:r>
      <w:r w:rsidRPr="009A0DA6">
        <w:rPr>
          <w:rFonts w:ascii="Cambria" w:eastAsia="Calibri" w:hAnsi="Cambria" w:cs="Calibri"/>
          <w:spacing w:val="1"/>
          <w:position w:val="1"/>
        </w:rPr>
        <w:t>t</w:t>
      </w:r>
      <w:r w:rsidRPr="009A0DA6">
        <w:rPr>
          <w:rFonts w:ascii="Cambria" w:eastAsia="Calibri" w:hAnsi="Cambria" w:cs="Calibri"/>
          <w:spacing w:val="-1"/>
          <w:position w:val="1"/>
        </w:rPr>
        <w:t>h</w:t>
      </w:r>
      <w:r w:rsidRPr="009A0DA6">
        <w:rPr>
          <w:rFonts w:ascii="Cambria" w:eastAsia="Calibri" w:hAnsi="Cambria" w:cs="Calibri"/>
          <w:position w:val="1"/>
        </w:rPr>
        <w:t>e</w:t>
      </w:r>
      <w:r w:rsidRPr="009A0DA6">
        <w:rPr>
          <w:rFonts w:ascii="Cambria" w:eastAsia="Calibri" w:hAnsi="Cambria" w:cs="Calibri"/>
          <w:spacing w:val="-2"/>
          <w:position w:val="1"/>
        </w:rPr>
        <w:t xml:space="preserve"> </w:t>
      </w:r>
      <w:r w:rsidRPr="009A0DA6">
        <w:rPr>
          <w:rFonts w:ascii="Cambria" w:eastAsia="Calibri" w:hAnsi="Cambria" w:cs="Calibri"/>
          <w:position w:val="1"/>
        </w:rPr>
        <w:t>ne</w:t>
      </w:r>
      <w:r w:rsidRPr="009A0DA6">
        <w:rPr>
          <w:rFonts w:ascii="Cambria" w:eastAsia="Calibri" w:hAnsi="Cambria" w:cs="Calibri"/>
          <w:spacing w:val="-2"/>
          <w:position w:val="1"/>
        </w:rPr>
        <w:t>ce</w:t>
      </w:r>
      <w:r w:rsidRPr="009A0DA6">
        <w:rPr>
          <w:rFonts w:ascii="Cambria" w:eastAsia="Calibri" w:hAnsi="Cambria" w:cs="Calibri"/>
          <w:position w:val="1"/>
        </w:rPr>
        <w:t>ssary</w:t>
      </w:r>
      <w:r w:rsidRPr="009A0DA6">
        <w:rPr>
          <w:rFonts w:ascii="Cambria" w:eastAsia="Calibri" w:hAnsi="Cambria" w:cs="Calibri"/>
          <w:spacing w:val="1"/>
          <w:position w:val="1"/>
        </w:rPr>
        <w:t xml:space="preserve"> </w:t>
      </w:r>
      <w:r w:rsidRPr="009A0DA6">
        <w:rPr>
          <w:rFonts w:ascii="Cambria" w:eastAsia="Calibri" w:hAnsi="Cambria" w:cs="Calibri"/>
          <w:spacing w:val="-2"/>
          <w:position w:val="1"/>
        </w:rPr>
        <w:t>c</w:t>
      </w:r>
      <w:r w:rsidRPr="009A0DA6">
        <w:rPr>
          <w:rFonts w:ascii="Cambria" w:eastAsia="Calibri" w:hAnsi="Cambria" w:cs="Calibri"/>
          <w:spacing w:val="1"/>
          <w:position w:val="1"/>
        </w:rPr>
        <w:t>o</w:t>
      </w:r>
      <w:r w:rsidRPr="009A0DA6">
        <w:rPr>
          <w:rFonts w:ascii="Cambria" w:eastAsia="Calibri" w:hAnsi="Cambria" w:cs="Calibri"/>
          <w:spacing w:val="-1"/>
          <w:position w:val="1"/>
        </w:rPr>
        <w:t>n</w:t>
      </w:r>
      <w:r w:rsidRPr="009A0DA6">
        <w:rPr>
          <w:rFonts w:ascii="Cambria" w:eastAsia="Calibri" w:hAnsi="Cambria" w:cs="Calibri"/>
          <w:position w:val="1"/>
        </w:rPr>
        <w:t>st</w:t>
      </w:r>
      <w:r w:rsidRPr="009A0DA6">
        <w:rPr>
          <w:rFonts w:ascii="Cambria" w:eastAsia="Calibri" w:hAnsi="Cambria" w:cs="Calibri"/>
          <w:spacing w:val="-2"/>
          <w:position w:val="1"/>
        </w:rPr>
        <w:t>i</w:t>
      </w:r>
      <w:r w:rsidRPr="009A0DA6">
        <w:rPr>
          <w:rFonts w:ascii="Cambria" w:eastAsia="Calibri" w:hAnsi="Cambria" w:cs="Calibri"/>
          <w:position w:val="1"/>
        </w:rPr>
        <w:t>tuti</w:t>
      </w:r>
      <w:r w:rsidRPr="009A0DA6">
        <w:rPr>
          <w:rFonts w:ascii="Cambria" w:eastAsia="Calibri" w:hAnsi="Cambria" w:cs="Calibri"/>
          <w:spacing w:val="1"/>
          <w:position w:val="1"/>
        </w:rPr>
        <w:t>o</w:t>
      </w:r>
      <w:r w:rsidRPr="009A0DA6">
        <w:rPr>
          <w:rFonts w:ascii="Cambria" w:eastAsia="Calibri" w:hAnsi="Cambria" w:cs="Calibri"/>
          <w:spacing w:val="-1"/>
          <w:position w:val="1"/>
        </w:rPr>
        <w:t>n</w:t>
      </w:r>
      <w:r w:rsidRPr="009A0DA6">
        <w:rPr>
          <w:rFonts w:ascii="Cambria" w:eastAsia="Calibri" w:hAnsi="Cambria" w:cs="Calibri"/>
          <w:position w:val="1"/>
        </w:rPr>
        <w:t>al a</w:t>
      </w:r>
      <w:r w:rsidRPr="009A0DA6">
        <w:rPr>
          <w:rFonts w:ascii="Cambria" w:eastAsia="Calibri" w:hAnsi="Cambria" w:cs="Calibri"/>
          <w:spacing w:val="-1"/>
          <w:position w:val="1"/>
        </w:rPr>
        <w:t>m</w:t>
      </w:r>
      <w:r w:rsidRPr="009A0DA6">
        <w:rPr>
          <w:rFonts w:ascii="Cambria" w:eastAsia="Calibri" w:hAnsi="Cambria" w:cs="Calibri"/>
          <w:position w:val="1"/>
        </w:rPr>
        <w:t>en</w:t>
      </w:r>
      <w:r w:rsidRPr="009A0DA6">
        <w:rPr>
          <w:rFonts w:ascii="Cambria" w:eastAsia="Calibri" w:hAnsi="Cambria" w:cs="Calibri"/>
          <w:spacing w:val="-1"/>
          <w:position w:val="1"/>
        </w:rPr>
        <w:t>d</w:t>
      </w:r>
      <w:r w:rsidRPr="009A0DA6">
        <w:rPr>
          <w:rFonts w:ascii="Cambria" w:eastAsia="Calibri" w:hAnsi="Cambria" w:cs="Calibri"/>
          <w:spacing w:val="1"/>
          <w:position w:val="1"/>
        </w:rPr>
        <w:t>m</w:t>
      </w:r>
      <w:r w:rsidRPr="009A0DA6">
        <w:rPr>
          <w:rFonts w:ascii="Cambria" w:eastAsia="Calibri" w:hAnsi="Cambria" w:cs="Calibri"/>
          <w:position w:val="1"/>
        </w:rPr>
        <w:t>ents</w:t>
      </w:r>
      <w:r w:rsidRPr="009A0DA6">
        <w:rPr>
          <w:rFonts w:ascii="Cambria" w:eastAsia="Calibri" w:hAnsi="Cambria" w:cs="Calibri"/>
          <w:spacing w:val="-1"/>
          <w:position w:val="1"/>
        </w:rPr>
        <w:t xml:space="preserve"> </w:t>
      </w:r>
      <w:r w:rsidRPr="009A0DA6">
        <w:rPr>
          <w:rFonts w:ascii="Cambria" w:eastAsia="Calibri" w:hAnsi="Cambria" w:cs="Calibri"/>
          <w:spacing w:val="-2"/>
          <w:position w:val="1"/>
        </w:rPr>
        <w:t>t</w:t>
      </w:r>
      <w:r w:rsidRPr="009A0DA6">
        <w:rPr>
          <w:rFonts w:ascii="Cambria" w:eastAsia="Calibri" w:hAnsi="Cambria" w:cs="Calibri"/>
          <w:position w:val="1"/>
        </w:rPr>
        <w:t>o</w:t>
      </w:r>
      <w:r w:rsidRPr="009A0DA6">
        <w:rPr>
          <w:rFonts w:ascii="Cambria" w:eastAsia="Calibri" w:hAnsi="Cambria" w:cs="Calibri"/>
          <w:spacing w:val="1"/>
          <w:position w:val="1"/>
        </w:rPr>
        <w:t xml:space="preserve"> e</w:t>
      </w:r>
      <w:r w:rsidRPr="009A0DA6">
        <w:rPr>
          <w:rFonts w:ascii="Cambria" w:eastAsia="Calibri" w:hAnsi="Cambria" w:cs="Calibri"/>
          <w:spacing w:val="-1"/>
          <w:position w:val="1"/>
        </w:rPr>
        <w:t>n</w:t>
      </w:r>
      <w:r w:rsidRPr="009A0DA6">
        <w:rPr>
          <w:rFonts w:ascii="Cambria" w:eastAsia="Calibri" w:hAnsi="Cambria" w:cs="Calibri"/>
          <w:position w:val="1"/>
        </w:rPr>
        <w:t>su</w:t>
      </w:r>
      <w:r w:rsidRPr="009A0DA6">
        <w:rPr>
          <w:rFonts w:ascii="Cambria" w:eastAsia="Calibri" w:hAnsi="Cambria" w:cs="Calibri"/>
          <w:spacing w:val="-3"/>
          <w:position w:val="1"/>
        </w:rPr>
        <w:t>r</w:t>
      </w:r>
      <w:r w:rsidRPr="009A0DA6">
        <w:rPr>
          <w:rFonts w:ascii="Cambria" w:eastAsia="Calibri" w:hAnsi="Cambria" w:cs="Calibri"/>
          <w:position w:val="1"/>
        </w:rPr>
        <w:t>e</w:t>
      </w:r>
      <w:r w:rsidRPr="009A0DA6">
        <w:rPr>
          <w:rFonts w:ascii="Cambria" w:eastAsia="Calibri" w:hAnsi="Cambria" w:cs="Calibri"/>
          <w:spacing w:val="1"/>
          <w:position w:val="1"/>
        </w:rPr>
        <w:t xml:space="preserve"> </w:t>
      </w:r>
      <w:r w:rsidRPr="009A0DA6">
        <w:rPr>
          <w:rFonts w:ascii="Cambria" w:eastAsia="Calibri" w:hAnsi="Cambria" w:cs="Calibri"/>
          <w:position w:val="1"/>
        </w:rPr>
        <w:t>that</w:t>
      </w:r>
      <w:r w:rsidRPr="009A0DA6">
        <w:rPr>
          <w:rFonts w:ascii="Cambria" w:eastAsia="Calibri" w:hAnsi="Cambria" w:cs="Calibri"/>
          <w:spacing w:val="-2"/>
          <w:position w:val="1"/>
        </w:rPr>
        <w:t xml:space="preserve"> </w:t>
      </w:r>
      <w:r w:rsidRPr="009A0DA6">
        <w:rPr>
          <w:rFonts w:ascii="Cambria" w:eastAsia="Calibri" w:hAnsi="Cambria" w:cs="Calibri"/>
          <w:spacing w:val="1"/>
          <w:position w:val="1"/>
        </w:rPr>
        <w:t>o</w:t>
      </w:r>
      <w:r w:rsidRPr="009A0DA6">
        <w:rPr>
          <w:rFonts w:ascii="Cambria" w:eastAsia="Calibri" w:hAnsi="Cambria" w:cs="Calibri"/>
          <w:spacing w:val="-1"/>
          <w:position w:val="1"/>
        </w:rPr>
        <w:t>u</w:t>
      </w:r>
      <w:r w:rsidRPr="009A0DA6">
        <w:rPr>
          <w:rFonts w:ascii="Cambria" w:eastAsia="Calibri" w:hAnsi="Cambria" w:cs="Calibri"/>
          <w:position w:val="1"/>
        </w:rPr>
        <w:t xml:space="preserve">r </w:t>
      </w:r>
      <w:r w:rsidRPr="009A0DA6">
        <w:rPr>
          <w:rFonts w:ascii="Cambria" w:eastAsia="Calibri" w:hAnsi="Cambria" w:cs="Calibri"/>
        </w:rPr>
        <w:t>A</w:t>
      </w:r>
      <w:r w:rsidRPr="009A0DA6">
        <w:rPr>
          <w:rFonts w:ascii="Cambria" w:eastAsia="Calibri" w:hAnsi="Cambria" w:cs="Calibri"/>
          <w:spacing w:val="-1"/>
        </w:rPr>
        <w:t>b</w:t>
      </w:r>
      <w:r w:rsidRPr="009A0DA6">
        <w:rPr>
          <w:rFonts w:ascii="Cambria" w:eastAsia="Calibri" w:hAnsi="Cambria" w:cs="Calibri"/>
          <w:spacing w:val="1"/>
        </w:rPr>
        <w:t>o</w:t>
      </w:r>
      <w:r w:rsidRPr="009A0DA6">
        <w:rPr>
          <w:rFonts w:ascii="Cambria" w:eastAsia="Calibri" w:hAnsi="Cambria" w:cs="Calibri"/>
        </w:rPr>
        <w:t>ri</w:t>
      </w:r>
      <w:r w:rsidRPr="009A0DA6">
        <w:rPr>
          <w:rFonts w:ascii="Cambria" w:eastAsia="Calibri" w:hAnsi="Cambria" w:cs="Calibri"/>
          <w:spacing w:val="-1"/>
        </w:rPr>
        <w:t>g</w:t>
      </w:r>
      <w:r w:rsidRPr="009A0DA6">
        <w:rPr>
          <w:rFonts w:ascii="Cambria" w:eastAsia="Calibri" w:hAnsi="Cambria" w:cs="Calibri"/>
        </w:rPr>
        <w:t>i</w:t>
      </w:r>
      <w:r w:rsidRPr="009A0DA6">
        <w:rPr>
          <w:rFonts w:ascii="Cambria" w:eastAsia="Calibri" w:hAnsi="Cambria" w:cs="Calibri"/>
          <w:spacing w:val="-1"/>
        </w:rPr>
        <w:t>n</w:t>
      </w:r>
      <w:r w:rsidRPr="009A0DA6">
        <w:rPr>
          <w:rFonts w:ascii="Cambria" w:eastAsia="Calibri" w:hAnsi="Cambria" w:cs="Calibri"/>
        </w:rPr>
        <w:t xml:space="preserve">al </w:t>
      </w:r>
      <w:r w:rsidRPr="009A0DA6">
        <w:rPr>
          <w:rFonts w:ascii="Cambria" w:eastAsia="Calibri" w:hAnsi="Cambria" w:cs="Calibri"/>
          <w:spacing w:val="-1"/>
        </w:rPr>
        <w:t>b</w:t>
      </w:r>
      <w:r w:rsidRPr="009A0DA6">
        <w:rPr>
          <w:rFonts w:ascii="Cambria" w:eastAsia="Calibri" w:hAnsi="Cambria" w:cs="Calibri"/>
        </w:rPr>
        <w:t>r</w:t>
      </w:r>
      <w:r w:rsidRPr="009A0DA6">
        <w:rPr>
          <w:rFonts w:ascii="Cambria" w:eastAsia="Calibri" w:hAnsi="Cambria" w:cs="Calibri"/>
          <w:spacing w:val="1"/>
        </w:rPr>
        <w:t>o</w:t>
      </w:r>
      <w:r w:rsidRPr="009A0DA6">
        <w:rPr>
          <w:rFonts w:ascii="Cambria" w:eastAsia="Calibri" w:hAnsi="Cambria" w:cs="Calibri"/>
        </w:rPr>
        <w:t>th</w:t>
      </w:r>
      <w:r w:rsidRPr="009A0DA6">
        <w:rPr>
          <w:rFonts w:ascii="Cambria" w:eastAsia="Calibri" w:hAnsi="Cambria" w:cs="Calibri"/>
          <w:spacing w:val="-2"/>
        </w:rPr>
        <w:t>e</w:t>
      </w:r>
      <w:r w:rsidRPr="009A0DA6">
        <w:rPr>
          <w:rFonts w:ascii="Cambria" w:eastAsia="Calibri" w:hAnsi="Cambria" w:cs="Calibri"/>
        </w:rPr>
        <w:t>rs and</w:t>
      </w:r>
      <w:r w:rsidRPr="009A0DA6">
        <w:rPr>
          <w:rFonts w:ascii="Cambria" w:eastAsia="Calibri" w:hAnsi="Cambria" w:cs="Calibri"/>
          <w:spacing w:val="-1"/>
        </w:rPr>
        <w:t xml:space="preserve"> </w:t>
      </w:r>
      <w:r w:rsidRPr="009A0DA6">
        <w:rPr>
          <w:rFonts w:ascii="Cambria" w:eastAsia="Calibri" w:hAnsi="Cambria" w:cs="Calibri"/>
        </w:rPr>
        <w:t>si</w:t>
      </w:r>
      <w:r w:rsidRPr="009A0DA6">
        <w:rPr>
          <w:rFonts w:ascii="Cambria" w:eastAsia="Calibri" w:hAnsi="Cambria" w:cs="Calibri"/>
          <w:spacing w:val="-2"/>
        </w:rPr>
        <w:t>s</w:t>
      </w:r>
      <w:r w:rsidRPr="009A0DA6">
        <w:rPr>
          <w:rFonts w:ascii="Cambria" w:eastAsia="Calibri" w:hAnsi="Cambria" w:cs="Calibri"/>
        </w:rPr>
        <w:t>t</w:t>
      </w:r>
      <w:r w:rsidRPr="009A0DA6">
        <w:rPr>
          <w:rFonts w:ascii="Cambria" w:eastAsia="Calibri" w:hAnsi="Cambria" w:cs="Calibri"/>
          <w:spacing w:val="1"/>
        </w:rPr>
        <w:t>e</w:t>
      </w:r>
      <w:r w:rsidRPr="009A0DA6">
        <w:rPr>
          <w:rFonts w:ascii="Cambria" w:eastAsia="Calibri" w:hAnsi="Cambria" w:cs="Calibri"/>
        </w:rPr>
        <w:t>rs a</w:t>
      </w:r>
      <w:r w:rsidRPr="009A0DA6">
        <w:rPr>
          <w:rFonts w:ascii="Cambria" w:eastAsia="Calibri" w:hAnsi="Cambria" w:cs="Calibri"/>
          <w:spacing w:val="-2"/>
        </w:rPr>
        <w:t>r</w:t>
      </w:r>
      <w:r w:rsidRPr="009A0DA6">
        <w:rPr>
          <w:rFonts w:ascii="Cambria" w:eastAsia="Calibri" w:hAnsi="Cambria" w:cs="Calibri"/>
        </w:rPr>
        <w:t>e</w:t>
      </w:r>
      <w:r w:rsidRPr="009A0DA6">
        <w:rPr>
          <w:rFonts w:ascii="Cambria" w:eastAsia="Calibri" w:hAnsi="Cambria" w:cs="Calibri"/>
          <w:spacing w:val="1"/>
        </w:rPr>
        <w:t xml:space="preserve"> </w:t>
      </w:r>
      <w:r w:rsidRPr="009A0DA6">
        <w:rPr>
          <w:rFonts w:ascii="Cambria" w:eastAsia="Calibri" w:hAnsi="Cambria" w:cs="Calibri"/>
        </w:rPr>
        <w:t>a</w:t>
      </w:r>
      <w:r w:rsidRPr="009A0DA6">
        <w:rPr>
          <w:rFonts w:ascii="Cambria" w:eastAsia="Calibri" w:hAnsi="Cambria" w:cs="Calibri"/>
          <w:spacing w:val="-1"/>
        </w:rPr>
        <w:t>b</w:t>
      </w:r>
      <w:r w:rsidRPr="009A0DA6">
        <w:rPr>
          <w:rFonts w:ascii="Cambria" w:eastAsia="Calibri" w:hAnsi="Cambria" w:cs="Calibri"/>
        </w:rPr>
        <w:t>le</w:t>
      </w:r>
      <w:r w:rsidRPr="009A0DA6">
        <w:rPr>
          <w:rFonts w:ascii="Cambria" w:eastAsia="Calibri" w:hAnsi="Cambria" w:cs="Calibri"/>
          <w:spacing w:val="-1"/>
        </w:rPr>
        <w:t xml:space="preserve"> </w:t>
      </w:r>
      <w:r w:rsidRPr="009A0DA6">
        <w:rPr>
          <w:rFonts w:ascii="Cambria" w:eastAsia="Calibri" w:hAnsi="Cambria" w:cs="Calibri"/>
        </w:rPr>
        <w:t>to</w:t>
      </w:r>
      <w:r w:rsidRPr="009A0DA6">
        <w:rPr>
          <w:rFonts w:ascii="Cambria" w:eastAsia="Calibri" w:hAnsi="Cambria" w:cs="Calibri"/>
          <w:spacing w:val="-1"/>
        </w:rPr>
        <w:t xml:space="preserve"> </w:t>
      </w:r>
      <w:r w:rsidRPr="009A0DA6">
        <w:rPr>
          <w:rFonts w:ascii="Cambria" w:eastAsia="Calibri" w:hAnsi="Cambria" w:cs="Calibri"/>
        </w:rPr>
        <w:t>s</w:t>
      </w:r>
      <w:r w:rsidRPr="009A0DA6">
        <w:rPr>
          <w:rFonts w:ascii="Cambria" w:eastAsia="Calibri" w:hAnsi="Cambria" w:cs="Calibri"/>
          <w:spacing w:val="1"/>
        </w:rPr>
        <w:t>e</w:t>
      </w:r>
      <w:r w:rsidRPr="009A0DA6">
        <w:rPr>
          <w:rFonts w:ascii="Cambria" w:eastAsia="Calibri" w:hAnsi="Cambria" w:cs="Calibri"/>
          <w:spacing w:val="-1"/>
        </w:rPr>
        <w:t>n</w:t>
      </w:r>
      <w:r w:rsidRPr="009A0DA6">
        <w:rPr>
          <w:rFonts w:ascii="Cambria" w:eastAsia="Calibri" w:hAnsi="Cambria" w:cs="Calibri"/>
        </w:rPr>
        <w:t>d</w:t>
      </w:r>
      <w:r w:rsidRPr="009A0DA6">
        <w:rPr>
          <w:rFonts w:ascii="Cambria" w:eastAsia="Calibri" w:hAnsi="Cambria" w:cs="Calibri"/>
          <w:spacing w:val="-1"/>
        </w:rPr>
        <w:t xml:space="preserve"> </w:t>
      </w:r>
      <w:r w:rsidRPr="009A0DA6">
        <w:rPr>
          <w:rFonts w:ascii="Cambria" w:eastAsia="Calibri" w:hAnsi="Cambria" w:cs="Calibri"/>
          <w:spacing w:val="-2"/>
        </w:rPr>
        <w:t>r</w:t>
      </w:r>
      <w:r w:rsidRPr="009A0DA6">
        <w:rPr>
          <w:rFonts w:ascii="Cambria" w:eastAsia="Calibri" w:hAnsi="Cambria" w:cs="Calibri"/>
        </w:rPr>
        <w:t>epr</w:t>
      </w:r>
      <w:r w:rsidRPr="009A0DA6">
        <w:rPr>
          <w:rFonts w:ascii="Cambria" w:eastAsia="Calibri" w:hAnsi="Cambria" w:cs="Calibri"/>
          <w:spacing w:val="-2"/>
        </w:rPr>
        <w:t>e</w:t>
      </w:r>
      <w:r w:rsidRPr="009A0DA6">
        <w:rPr>
          <w:rFonts w:ascii="Cambria" w:eastAsia="Calibri" w:hAnsi="Cambria" w:cs="Calibri"/>
        </w:rPr>
        <w:t>sentat</w:t>
      </w:r>
      <w:r w:rsidRPr="009A0DA6">
        <w:rPr>
          <w:rFonts w:ascii="Cambria" w:eastAsia="Calibri" w:hAnsi="Cambria" w:cs="Calibri"/>
          <w:spacing w:val="-2"/>
        </w:rPr>
        <w:t>i</w:t>
      </w:r>
      <w:r w:rsidRPr="009A0DA6">
        <w:rPr>
          <w:rFonts w:ascii="Cambria" w:eastAsia="Calibri" w:hAnsi="Cambria" w:cs="Calibri"/>
          <w:spacing w:val="1"/>
        </w:rPr>
        <w:t>v</w:t>
      </w:r>
      <w:r w:rsidRPr="009A0DA6">
        <w:rPr>
          <w:rFonts w:ascii="Cambria" w:eastAsia="Calibri" w:hAnsi="Cambria" w:cs="Calibri"/>
        </w:rPr>
        <w:t>es</w:t>
      </w:r>
      <w:r w:rsidRPr="009A0DA6">
        <w:rPr>
          <w:rFonts w:ascii="Cambria" w:eastAsia="Calibri" w:hAnsi="Cambria" w:cs="Calibri"/>
          <w:spacing w:val="-1"/>
        </w:rPr>
        <w:t xml:space="preserve"> </w:t>
      </w:r>
      <w:r w:rsidRPr="009A0DA6">
        <w:rPr>
          <w:rFonts w:ascii="Cambria" w:eastAsia="Calibri" w:hAnsi="Cambria" w:cs="Calibri"/>
        </w:rPr>
        <w:t>to</w:t>
      </w:r>
      <w:r w:rsidRPr="009A0DA6">
        <w:rPr>
          <w:rFonts w:ascii="Cambria" w:eastAsia="Calibri" w:hAnsi="Cambria" w:cs="Calibri"/>
          <w:spacing w:val="-1"/>
        </w:rPr>
        <w:t xml:space="preserve"> </w:t>
      </w:r>
      <w:r w:rsidRPr="009A0DA6">
        <w:rPr>
          <w:rFonts w:ascii="Cambria" w:eastAsia="Calibri" w:hAnsi="Cambria" w:cs="Calibri"/>
        </w:rPr>
        <w:t>pas</w:t>
      </w:r>
      <w:r w:rsidRPr="009A0DA6">
        <w:rPr>
          <w:rFonts w:ascii="Cambria" w:eastAsia="Calibri" w:hAnsi="Cambria" w:cs="Calibri"/>
          <w:spacing w:val="-2"/>
        </w:rPr>
        <w:t>t</w:t>
      </w:r>
      <w:r w:rsidRPr="009A0DA6">
        <w:rPr>
          <w:rFonts w:ascii="Cambria" w:eastAsia="Calibri" w:hAnsi="Cambria" w:cs="Calibri"/>
          <w:spacing w:val="1"/>
        </w:rPr>
        <w:t>o</w:t>
      </w:r>
      <w:r w:rsidRPr="009A0DA6">
        <w:rPr>
          <w:rFonts w:ascii="Cambria" w:eastAsia="Calibri" w:hAnsi="Cambria" w:cs="Calibri"/>
        </w:rPr>
        <w:t>r</w:t>
      </w:r>
      <w:r w:rsidRPr="009A0DA6">
        <w:rPr>
          <w:rFonts w:ascii="Cambria" w:eastAsia="Calibri" w:hAnsi="Cambria" w:cs="Calibri"/>
          <w:spacing w:val="2"/>
        </w:rPr>
        <w:t>s</w:t>
      </w:r>
      <w:r w:rsidRPr="009A0DA6">
        <w:rPr>
          <w:rFonts w:ascii="Cambria" w:eastAsia="Calibri" w:hAnsi="Cambria" w:cs="Calibri"/>
        </w:rPr>
        <w:t>’</w:t>
      </w:r>
      <w:r w:rsidRPr="009A0DA6">
        <w:rPr>
          <w:rFonts w:ascii="Cambria" w:eastAsia="Calibri" w:hAnsi="Cambria" w:cs="Calibri"/>
          <w:spacing w:val="1"/>
        </w:rPr>
        <w:t xml:space="preserve"> </w:t>
      </w:r>
      <w:r w:rsidRPr="009A0DA6">
        <w:rPr>
          <w:rFonts w:ascii="Cambria" w:eastAsia="Calibri" w:hAnsi="Cambria" w:cs="Calibri"/>
          <w:spacing w:val="-2"/>
        </w:rPr>
        <w:t>c</w:t>
      </w:r>
      <w:r w:rsidRPr="009A0DA6">
        <w:rPr>
          <w:rFonts w:ascii="Cambria" w:eastAsia="Calibri" w:hAnsi="Cambria" w:cs="Calibri"/>
          <w:spacing w:val="1"/>
        </w:rPr>
        <w:t>o</w:t>
      </w:r>
      <w:r w:rsidRPr="009A0DA6">
        <w:rPr>
          <w:rFonts w:ascii="Cambria" w:eastAsia="Calibri" w:hAnsi="Cambria" w:cs="Calibri"/>
          <w:spacing w:val="-1"/>
        </w:rPr>
        <w:t>n</w:t>
      </w:r>
      <w:r w:rsidRPr="009A0DA6">
        <w:rPr>
          <w:rFonts w:ascii="Cambria" w:eastAsia="Calibri" w:hAnsi="Cambria" w:cs="Calibri"/>
          <w:spacing w:val="-3"/>
        </w:rPr>
        <w:t>f</w:t>
      </w:r>
      <w:r w:rsidRPr="009A0DA6">
        <w:rPr>
          <w:rFonts w:ascii="Cambria" w:eastAsia="Calibri" w:hAnsi="Cambria" w:cs="Calibri"/>
        </w:rPr>
        <w:t>erences</w:t>
      </w:r>
      <w:r w:rsidRPr="009A0DA6">
        <w:rPr>
          <w:rFonts w:ascii="Cambria" w:eastAsia="Calibri" w:hAnsi="Cambria" w:cs="Calibri"/>
          <w:spacing w:val="-1"/>
        </w:rPr>
        <w:t xml:space="preserve"> </w:t>
      </w:r>
      <w:r w:rsidRPr="009A0DA6">
        <w:rPr>
          <w:rFonts w:ascii="Cambria" w:eastAsia="Calibri" w:hAnsi="Cambria" w:cs="Calibri"/>
        </w:rPr>
        <w:t>and</w:t>
      </w:r>
      <w:r w:rsidRPr="009A0DA6">
        <w:rPr>
          <w:rFonts w:ascii="Cambria" w:eastAsia="Calibri" w:hAnsi="Cambria" w:cs="Calibri"/>
          <w:spacing w:val="-1"/>
        </w:rPr>
        <w:t xml:space="preserve"> </w:t>
      </w:r>
      <w:r w:rsidRPr="009A0DA6">
        <w:rPr>
          <w:rFonts w:ascii="Cambria" w:eastAsia="Calibri" w:hAnsi="Cambria" w:cs="Calibri"/>
        </w:rPr>
        <w:t>s</w:t>
      </w:r>
      <w:r w:rsidRPr="009A0DA6">
        <w:rPr>
          <w:rFonts w:ascii="Cambria" w:eastAsia="Calibri" w:hAnsi="Cambria" w:cs="Calibri"/>
          <w:spacing w:val="1"/>
        </w:rPr>
        <w:t>y</w:t>
      </w:r>
      <w:r w:rsidRPr="009A0DA6">
        <w:rPr>
          <w:rFonts w:ascii="Cambria" w:eastAsia="Calibri" w:hAnsi="Cambria" w:cs="Calibri"/>
          <w:spacing w:val="-3"/>
        </w:rPr>
        <w:t>n</w:t>
      </w:r>
      <w:r w:rsidRPr="009A0DA6">
        <w:rPr>
          <w:rFonts w:ascii="Cambria" w:eastAsia="Calibri" w:hAnsi="Cambria" w:cs="Calibri"/>
          <w:spacing w:val="1"/>
        </w:rPr>
        <w:t>o</w:t>
      </w:r>
      <w:r w:rsidRPr="009A0DA6">
        <w:rPr>
          <w:rFonts w:ascii="Cambria" w:eastAsia="Calibri" w:hAnsi="Cambria" w:cs="Calibri"/>
          <w:spacing w:val="-1"/>
        </w:rPr>
        <w:t>d</w:t>
      </w:r>
      <w:r w:rsidRPr="009A0DA6">
        <w:rPr>
          <w:rFonts w:ascii="Cambria" w:eastAsia="Calibri" w:hAnsi="Cambria" w:cs="Calibri"/>
        </w:rPr>
        <w:t>ical c</w:t>
      </w:r>
      <w:r w:rsidRPr="009A0DA6">
        <w:rPr>
          <w:rFonts w:ascii="Cambria" w:eastAsia="Calibri" w:hAnsi="Cambria" w:cs="Calibri"/>
          <w:spacing w:val="1"/>
        </w:rPr>
        <w:t>o</w:t>
      </w:r>
      <w:r w:rsidRPr="009A0DA6">
        <w:rPr>
          <w:rFonts w:ascii="Cambria" w:eastAsia="Calibri" w:hAnsi="Cambria" w:cs="Calibri"/>
          <w:spacing w:val="-1"/>
        </w:rPr>
        <w:t>nv</w:t>
      </w:r>
      <w:r w:rsidRPr="009A0DA6">
        <w:rPr>
          <w:rFonts w:ascii="Cambria" w:eastAsia="Calibri" w:hAnsi="Cambria" w:cs="Calibri"/>
        </w:rPr>
        <w:t>enti</w:t>
      </w:r>
      <w:r w:rsidRPr="009A0DA6">
        <w:rPr>
          <w:rFonts w:ascii="Cambria" w:eastAsia="Calibri" w:hAnsi="Cambria" w:cs="Calibri"/>
          <w:spacing w:val="1"/>
        </w:rPr>
        <w:t>o</w:t>
      </w:r>
      <w:r w:rsidRPr="009A0DA6">
        <w:rPr>
          <w:rFonts w:ascii="Cambria" w:eastAsia="Calibri" w:hAnsi="Cambria" w:cs="Calibri"/>
          <w:spacing w:val="-1"/>
        </w:rPr>
        <w:t>n</w:t>
      </w:r>
      <w:r w:rsidRPr="009A0DA6">
        <w:rPr>
          <w:rFonts w:ascii="Cambria" w:eastAsia="Calibri" w:hAnsi="Cambria" w:cs="Calibri"/>
        </w:rPr>
        <w:t>s</w:t>
      </w:r>
      <w:r w:rsidRPr="009A0DA6">
        <w:rPr>
          <w:rFonts w:ascii="Cambria" w:eastAsia="Calibri" w:hAnsi="Cambria" w:cs="Calibri"/>
          <w:spacing w:val="-2"/>
        </w:rPr>
        <w:t xml:space="preserve"> </w:t>
      </w:r>
      <w:r w:rsidRPr="009A0DA6">
        <w:rPr>
          <w:rFonts w:ascii="Cambria" w:eastAsia="Calibri" w:hAnsi="Cambria" w:cs="Calibri"/>
        </w:rPr>
        <w:t>in the</w:t>
      </w:r>
      <w:r w:rsidRPr="009A0DA6">
        <w:rPr>
          <w:rFonts w:ascii="Cambria" w:eastAsia="Calibri" w:hAnsi="Cambria" w:cs="Calibri"/>
          <w:spacing w:val="-2"/>
        </w:rPr>
        <w:t xml:space="preserve"> </w:t>
      </w:r>
      <w:r w:rsidRPr="009A0DA6">
        <w:rPr>
          <w:rFonts w:ascii="Cambria" w:eastAsia="Calibri" w:hAnsi="Cambria" w:cs="Calibri"/>
        </w:rPr>
        <w:t>futu</w:t>
      </w:r>
      <w:r w:rsidRPr="009A0DA6">
        <w:rPr>
          <w:rFonts w:ascii="Cambria" w:eastAsia="Calibri" w:hAnsi="Cambria" w:cs="Calibri"/>
          <w:spacing w:val="-1"/>
        </w:rPr>
        <w:t>r</w:t>
      </w:r>
      <w:r w:rsidRPr="009A0DA6">
        <w:rPr>
          <w:rFonts w:ascii="Cambria" w:eastAsia="Calibri" w:hAnsi="Cambria" w:cs="Calibri"/>
        </w:rPr>
        <w:t>e.</w:t>
      </w:r>
      <w:r w:rsidR="001547D3">
        <w:rPr>
          <w:rFonts w:ascii="Cambria" w:eastAsia="Calibri" w:hAnsi="Cambria" w:cs="Calibri"/>
        </w:rPr>
        <w:br/>
      </w:r>
    </w:p>
    <w:p w14:paraId="29745724" w14:textId="77777777" w:rsidR="00877D54" w:rsidRPr="009A0DA6" w:rsidRDefault="00877D54" w:rsidP="00CE5065">
      <w:pPr>
        <w:pStyle w:val="Heading3"/>
      </w:pPr>
      <w:r w:rsidRPr="009A0DA6">
        <w:t>REASONS FOR THE MOTION</w:t>
      </w:r>
    </w:p>
    <w:p w14:paraId="20A67B2C" w14:textId="19D982F1" w:rsidR="00877D54" w:rsidRPr="009A0DA6" w:rsidRDefault="00877D54" w:rsidP="00877D54">
      <w:pPr>
        <w:pStyle w:val="NoSpacing"/>
      </w:pPr>
      <w:r w:rsidRPr="009A0DA6">
        <w:t>Our Aboriginal brothers and sisters in Christ are equal members with us of God’s church. Therefore we have a responsibility before God to treat them as such.</w:t>
      </w:r>
    </w:p>
    <w:p w14:paraId="488118AA" w14:textId="77777777" w:rsidR="00877D54" w:rsidRPr="009A0DA6" w:rsidRDefault="00877D54" w:rsidP="00877D54">
      <w:pPr>
        <w:pStyle w:val="NoSpacing"/>
      </w:pPr>
    </w:p>
    <w:p w14:paraId="2DD00FD1" w14:textId="71E4A1D1" w:rsidR="00877D54" w:rsidRPr="009A0DA6" w:rsidRDefault="00877D54" w:rsidP="00877D54">
      <w:pPr>
        <w:pStyle w:val="NoSpacing"/>
      </w:pPr>
      <w:r w:rsidRPr="009A0DA6">
        <w:t xml:space="preserve">The reason why Aborigines have been excluded from pastors conferences and synodical conventions in the past is because most of our Aboriginal pastors are SMPs with restricted calls, and most of our Aboriginal congregations are not properly constituted congregations of our </w:t>
      </w:r>
      <w:r w:rsidR="00336CE0" w:rsidRPr="009A0DA6">
        <w:t>church</w:t>
      </w:r>
      <w:r w:rsidRPr="009A0DA6">
        <w:t>. They therefore do not qualify for representation under our constitution. The issue here is not racial but cultural. Our current practice amounts to a kind of cultural imperialism in which we effectively say, “Because these Aborigines do not tick our whitefella boxes they do not have the right to be represented.” Such a practice is inconsistent with the nature of the church as the body of Christ, who died to welcome people of all races and cultures and nations into his kingdom. If these people do not fit our boxes, then we have a duty before God to create new boxes that fit with who they are, so that they can have a voice along with everyone else.</w:t>
      </w:r>
    </w:p>
    <w:p w14:paraId="3A7E4994" w14:textId="77777777" w:rsidR="00877D54" w:rsidRPr="009A0DA6" w:rsidRDefault="00877D54" w:rsidP="00877D54">
      <w:pPr>
        <w:pStyle w:val="NoSpacing"/>
      </w:pPr>
    </w:p>
    <w:p w14:paraId="21FB8DAF" w14:textId="12B5F6FE" w:rsidR="00877D54" w:rsidRPr="009A0DA6" w:rsidRDefault="00877D54" w:rsidP="00877D54">
      <w:pPr>
        <w:pStyle w:val="NoSpacing"/>
      </w:pPr>
      <w:r w:rsidRPr="009A0DA6">
        <w:t xml:space="preserve">It has sometimes been argued that many Aborigines feel out of place at pastors conferences and synodical conventions, and much of the business of convention is not of interest or concern for them. While there is some truth to this, some of them do feel </w:t>
      </w:r>
      <w:r w:rsidR="00290C36" w:rsidRPr="009A0DA6">
        <w:t>sufficiently at home at pastors</w:t>
      </w:r>
      <w:r w:rsidRPr="009A0DA6">
        <w:t xml:space="preserve"> conferences and synodical conventions that they can make a contribution and the rest will only start to feel at home if we welcome them as full participants. Furthermore, some of the business is very important to them, and they should have the right to speak and vote on these issues, without waiting for an invitation from us to do so. It is true that they may not always choose to send the full number of representatives to which they are entitled, or exercise their right to speak and vote. Nevertheless, it is important that we send them the message that we value their contribution, and will accord to them the same right to have their say as the rest of us whenever they choose to do so.</w:t>
      </w:r>
    </w:p>
    <w:p w14:paraId="1A9AE4DB" w14:textId="77777777" w:rsidR="00312596" w:rsidRPr="009A0DA6" w:rsidRDefault="00312596" w:rsidP="00312596">
      <w:pPr>
        <w:pStyle w:val="NoSpacing"/>
      </w:pPr>
    </w:p>
    <w:p w14:paraId="665695E9" w14:textId="24E423EA" w:rsidR="00CE5065" w:rsidRDefault="00CE5065">
      <w:pPr>
        <w:rPr>
          <w:rFonts w:ascii="Cambria" w:eastAsiaTheme="majorEastAsia" w:hAnsi="Cambria" w:cstheme="majorBidi"/>
          <w:b/>
          <w:caps/>
          <w:sz w:val="28"/>
          <w:szCs w:val="24"/>
        </w:rPr>
      </w:pPr>
    </w:p>
    <w:p w14:paraId="5F4298EE" w14:textId="5897E338" w:rsidR="000C601D" w:rsidRDefault="000C601D">
      <w:pPr>
        <w:rPr>
          <w:rFonts w:ascii="Cambria" w:eastAsiaTheme="majorEastAsia" w:hAnsi="Cambria" w:cstheme="majorBidi"/>
          <w:b/>
          <w:caps/>
          <w:sz w:val="28"/>
          <w:szCs w:val="24"/>
        </w:rPr>
      </w:pPr>
    </w:p>
    <w:p w14:paraId="55F4B6D5" w14:textId="77777777" w:rsidR="000C601D" w:rsidRDefault="000C601D">
      <w:pPr>
        <w:rPr>
          <w:rFonts w:ascii="Cambria" w:eastAsiaTheme="majorEastAsia" w:hAnsi="Cambria" w:cstheme="majorBidi"/>
          <w:b/>
          <w:caps/>
          <w:sz w:val="28"/>
          <w:szCs w:val="24"/>
        </w:rPr>
      </w:pPr>
    </w:p>
    <w:p w14:paraId="03B17821" w14:textId="0280927C" w:rsidR="00312596" w:rsidRPr="009A0DA6" w:rsidRDefault="000C601D" w:rsidP="00964A90">
      <w:pPr>
        <w:pStyle w:val="Heading3"/>
      </w:pPr>
      <w:r>
        <w:lastRenderedPageBreak/>
        <w:br/>
      </w:r>
      <w:r w:rsidR="00312596" w:rsidRPr="009A0DA6">
        <w:t>Agenda 2.3.18</w:t>
      </w:r>
    </w:p>
    <w:p w14:paraId="4A5A2BC8" w14:textId="14435072" w:rsidR="00312596" w:rsidRPr="009A0DA6" w:rsidRDefault="00312596" w:rsidP="00312596">
      <w:pPr>
        <w:pStyle w:val="Heading2"/>
      </w:pPr>
      <w:bookmarkStart w:id="445" w:name="_Toc521954697"/>
      <w:r w:rsidRPr="009A0DA6">
        <w:t xml:space="preserve">Change </w:t>
      </w:r>
      <w:r w:rsidR="00201F24">
        <w:t xml:space="preserve">the </w:t>
      </w:r>
      <w:r w:rsidRPr="009A0DA6">
        <w:t xml:space="preserve">name </w:t>
      </w:r>
      <w:r w:rsidR="00201F24">
        <w:t xml:space="preserve">of the church </w:t>
      </w:r>
      <w:r w:rsidRPr="009A0DA6">
        <w:t>to Lutheran Church of Australia and New Zealand</w:t>
      </w:r>
      <w:bookmarkEnd w:id="445"/>
    </w:p>
    <w:p w14:paraId="004E6E6D" w14:textId="77777777" w:rsidR="00312596" w:rsidRPr="009A0DA6" w:rsidRDefault="00312596" w:rsidP="00312596">
      <w:pPr>
        <w:pStyle w:val="NoSpacing"/>
      </w:pPr>
    </w:p>
    <w:p w14:paraId="5BEF0C1C" w14:textId="09EF9663" w:rsidR="00312596" w:rsidRPr="009A0DA6" w:rsidRDefault="00877D54" w:rsidP="00964A90">
      <w:pPr>
        <w:pStyle w:val="Heading3"/>
      </w:pPr>
      <w:r w:rsidRPr="009A0DA6">
        <w:t>proposed motion</w:t>
      </w:r>
    </w:p>
    <w:p w14:paraId="7CB07712" w14:textId="4DA6D574" w:rsidR="00312596" w:rsidRPr="009A0DA6" w:rsidRDefault="00312596" w:rsidP="00312596">
      <w:pPr>
        <w:pStyle w:val="NoSpacing"/>
      </w:pPr>
      <w:r w:rsidRPr="009A0DA6">
        <w:rPr>
          <w:i/>
        </w:rPr>
        <w:t>Submitted by Lutheran Church of New Zealand</w:t>
      </w:r>
      <w:r w:rsidR="00507840">
        <w:rPr>
          <w:i/>
        </w:rPr>
        <w:t xml:space="preserve"> </w:t>
      </w:r>
      <w:r w:rsidRPr="009A0DA6">
        <w:rPr>
          <w:i/>
        </w:rPr>
        <w:t>Council of Synod</w:t>
      </w:r>
    </w:p>
    <w:p w14:paraId="18D4E128" w14:textId="77777777" w:rsidR="00312596" w:rsidRPr="009A0DA6" w:rsidRDefault="00312596" w:rsidP="00312596">
      <w:pPr>
        <w:pStyle w:val="NoSpacing"/>
      </w:pPr>
    </w:p>
    <w:p w14:paraId="277A000F" w14:textId="77777777" w:rsidR="00290C36" w:rsidRPr="009A0DA6" w:rsidRDefault="00877D54" w:rsidP="00877D54">
      <w:pPr>
        <w:shd w:val="clear" w:color="auto" w:fill="FFFFFF"/>
        <w:spacing w:after="120" w:line="240" w:lineRule="auto"/>
        <w:rPr>
          <w:rFonts w:ascii="Cambria" w:eastAsia="Times New Roman" w:hAnsi="Cambria" w:cs="Times New Roman"/>
          <w:bCs/>
          <w:color w:val="000000"/>
          <w:lang w:eastAsia="en-AU"/>
        </w:rPr>
      </w:pPr>
      <w:r w:rsidRPr="009A0DA6">
        <w:rPr>
          <w:rFonts w:ascii="Cambria" w:hAnsi="Cambria"/>
          <w:b/>
          <w:bCs/>
          <w:lang w:eastAsia="en-AU"/>
        </w:rPr>
        <w:t>BE IT RESOLVED</w:t>
      </w:r>
      <w:r w:rsidRPr="009A0DA6">
        <w:rPr>
          <w:rFonts w:ascii="Cambria" w:eastAsia="Times New Roman" w:hAnsi="Cambria" w:cs="Times New Roman"/>
          <w:bCs/>
          <w:color w:val="000000"/>
          <w:lang w:eastAsia="en-AU"/>
        </w:rPr>
        <w:t xml:space="preserve"> </w:t>
      </w:r>
    </w:p>
    <w:p w14:paraId="33B7B254" w14:textId="0D020737" w:rsidR="00877D54" w:rsidRPr="009A0DA6" w:rsidRDefault="00877D54" w:rsidP="00877D54">
      <w:pPr>
        <w:shd w:val="clear" w:color="auto" w:fill="FFFFFF"/>
        <w:spacing w:after="120" w:line="240" w:lineRule="auto"/>
        <w:rPr>
          <w:rFonts w:ascii="Cambria" w:eastAsia="Times New Roman" w:hAnsi="Cambria" w:cs="Times New Roman"/>
          <w:bCs/>
          <w:color w:val="222222"/>
          <w:szCs w:val="20"/>
          <w:lang w:eastAsia="en-AU"/>
        </w:rPr>
      </w:pPr>
      <w:r w:rsidRPr="009A0DA6">
        <w:rPr>
          <w:rFonts w:ascii="Cambria" w:eastAsia="Times New Roman" w:hAnsi="Cambria" w:cs="Times New Roman"/>
          <w:bCs/>
          <w:color w:val="222222"/>
          <w:szCs w:val="20"/>
          <w:lang w:eastAsia="en-AU"/>
        </w:rPr>
        <w:t>that the name ‘Lutheran Church of Australia and New Zealand’ be endorsed as a recognised trade name of the ‘Lutheran Church of Australia’, and that the abbreviation LCANZ be endorsed as a recognised abbreviation of ‘Lutheran Churc</w:t>
      </w:r>
      <w:r w:rsidR="00290C36" w:rsidRPr="009A0DA6">
        <w:rPr>
          <w:rFonts w:ascii="Cambria" w:eastAsia="Times New Roman" w:hAnsi="Cambria" w:cs="Times New Roman"/>
          <w:bCs/>
          <w:color w:val="222222"/>
          <w:szCs w:val="20"/>
          <w:lang w:eastAsia="en-AU"/>
        </w:rPr>
        <w:t>h of Australia and New Zealand’;</w:t>
      </w:r>
    </w:p>
    <w:p w14:paraId="29411F87" w14:textId="13AD157D" w:rsidR="00877D54" w:rsidRPr="001547D3" w:rsidRDefault="00290C36" w:rsidP="00877D54">
      <w:pPr>
        <w:shd w:val="clear" w:color="auto" w:fill="FFFFFF"/>
        <w:spacing w:after="120" w:line="240" w:lineRule="auto"/>
        <w:rPr>
          <w:rFonts w:ascii="Cambria" w:eastAsia="Times New Roman" w:hAnsi="Cambria" w:cs="Times New Roman"/>
          <w:b/>
          <w:bCs/>
          <w:color w:val="222222"/>
          <w:sz w:val="12"/>
          <w:szCs w:val="20"/>
          <w:lang w:eastAsia="en-AU"/>
        </w:rPr>
      </w:pPr>
      <w:r w:rsidRPr="009A0DA6">
        <w:rPr>
          <w:rFonts w:ascii="Cambria" w:eastAsia="Times New Roman" w:hAnsi="Cambria" w:cs="Times New Roman"/>
          <w:bCs/>
          <w:color w:val="222222"/>
          <w:szCs w:val="20"/>
          <w:lang w:eastAsia="en-AU"/>
        </w:rPr>
        <w:t>t</w:t>
      </w:r>
      <w:r w:rsidR="00877D54" w:rsidRPr="009A0DA6">
        <w:rPr>
          <w:rFonts w:ascii="Cambria" w:eastAsia="Times New Roman" w:hAnsi="Cambria" w:cs="Times New Roman"/>
          <w:bCs/>
          <w:color w:val="222222"/>
          <w:szCs w:val="20"/>
          <w:lang w:eastAsia="en-AU"/>
        </w:rPr>
        <w:t>hat members and officials of the church be encouraged to use the name ‘Lutheran Church of Australia and New Zealand’ and the abbreviation ‘LCANZ’ whenever referring to the Lutheran Church of Australia as it encompasses both Australia and New Zealand.</w:t>
      </w:r>
      <w:r w:rsidR="001547D3">
        <w:rPr>
          <w:rFonts w:ascii="Cambria" w:eastAsia="Times New Roman" w:hAnsi="Cambria" w:cs="Times New Roman"/>
          <w:bCs/>
          <w:color w:val="222222"/>
          <w:szCs w:val="20"/>
          <w:lang w:eastAsia="en-AU"/>
        </w:rPr>
        <w:br/>
      </w:r>
    </w:p>
    <w:p w14:paraId="42633DCF" w14:textId="77777777" w:rsidR="00877D54" w:rsidRPr="009A0DA6" w:rsidRDefault="00877D54" w:rsidP="00CE5065">
      <w:pPr>
        <w:pStyle w:val="Heading3"/>
      </w:pPr>
      <w:r w:rsidRPr="009A0DA6">
        <w:t>REASONS FOR THE MOTION</w:t>
      </w:r>
    </w:p>
    <w:p w14:paraId="2191E6CD" w14:textId="77777777" w:rsidR="000C601D" w:rsidRDefault="00877D54" w:rsidP="004B03F8">
      <w:pPr>
        <w:pStyle w:val="ListParagraph"/>
        <w:numPr>
          <w:ilvl w:val="3"/>
          <w:numId w:val="86"/>
        </w:numPr>
        <w:shd w:val="clear" w:color="auto" w:fill="FFFFFF"/>
        <w:spacing w:after="200" w:line="240" w:lineRule="auto"/>
        <w:ind w:left="567" w:hanging="567"/>
        <w:rPr>
          <w:rFonts w:ascii="Cambria" w:hAnsi="Cambria" w:cs="Arial"/>
          <w:color w:val="222222"/>
          <w:szCs w:val="20"/>
          <w:shd w:val="clear" w:color="auto" w:fill="FFFFFF"/>
        </w:rPr>
      </w:pPr>
      <w:r w:rsidRPr="000C601D">
        <w:rPr>
          <w:rFonts w:ascii="Cambria" w:hAnsi="Cambria" w:cs="Arial"/>
          <w:color w:val="222222"/>
          <w:szCs w:val="20"/>
          <w:shd w:val="clear" w:color="auto" w:fill="FFFFFF"/>
        </w:rPr>
        <w:t xml:space="preserve">The Lutheran Church of Australia has member congregations in both Australia and New Zealand, and includes a District which is the </w:t>
      </w:r>
      <w:r w:rsidR="000C601D">
        <w:rPr>
          <w:rFonts w:ascii="Cambria" w:hAnsi="Cambria" w:cs="Arial"/>
          <w:color w:val="222222"/>
          <w:szCs w:val="20"/>
          <w:shd w:val="clear" w:color="auto" w:fill="FFFFFF"/>
        </w:rPr>
        <w:t>Lutheran Church of New Zealand.</w:t>
      </w:r>
    </w:p>
    <w:p w14:paraId="5E4FD5C3" w14:textId="3E56A39D" w:rsidR="000C601D" w:rsidRPr="000C601D" w:rsidRDefault="00877D54" w:rsidP="004B03F8">
      <w:pPr>
        <w:pStyle w:val="ListParagraph"/>
        <w:numPr>
          <w:ilvl w:val="3"/>
          <w:numId w:val="86"/>
        </w:numPr>
        <w:shd w:val="clear" w:color="auto" w:fill="FFFFFF"/>
        <w:spacing w:after="200" w:line="240" w:lineRule="auto"/>
        <w:ind w:left="567" w:hanging="567"/>
        <w:rPr>
          <w:rFonts w:ascii="Cambria" w:hAnsi="Cambria" w:cs="Arial"/>
          <w:color w:val="222222"/>
          <w:szCs w:val="20"/>
          <w:shd w:val="clear" w:color="auto" w:fill="FFFFFF"/>
        </w:rPr>
      </w:pPr>
      <w:r w:rsidRPr="000C601D">
        <w:rPr>
          <w:rFonts w:ascii="Cambria" w:hAnsi="Cambria" w:cs="Arial"/>
          <w:color w:val="222222"/>
          <w:szCs w:val="20"/>
          <w:shd w:val="clear" w:color="auto" w:fill="FFFFFF"/>
        </w:rPr>
        <w:t>The use of the name Lutheran Church of Australia is perceived to exclude the Lutheran Church of New Zealand and i</w:t>
      </w:r>
      <w:r w:rsidR="000C601D">
        <w:rPr>
          <w:rFonts w:ascii="Cambria" w:hAnsi="Cambria" w:cs="Arial"/>
          <w:color w:val="222222"/>
          <w:szCs w:val="20"/>
          <w:shd w:val="clear" w:color="auto" w:fill="FFFFFF"/>
        </w:rPr>
        <w:t>ts congregations.</w:t>
      </w:r>
    </w:p>
    <w:p w14:paraId="4A4F7C87" w14:textId="239F87E4" w:rsidR="00877D54" w:rsidRPr="000C601D" w:rsidRDefault="00877D54" w:rsidP="004B03F8">
      <w:pPr>
        <w:pStyle w:val="ListParagraph"/>
        <w:numPr>
          <w:ilvl w:val="3"/>
          <w:numId w:val="86"/>
        </w:numPr>
        <w:shd w:val="clear" w:color="auto" w:fill="FFFFFF"/>
        <w:spacing w:after="200" w:line="240" w:lineRule="auto"/>
        <w:ind w:left="567" w:hanging="567"/>
        <w:rPr>
          <w:rFonts w:ascii="Cambria" w:hAnsi="Cambria" w:cs="Arial"/>
          <w:color w:val="222222"/>
          <w:szCs w:val="20"/>
          <w:shd w:val="clear" w:color="auto" w:fill="FFFFFF"/>
        </w:rPr>
      </w:pPr>
      <w:r w:rsidRPr="000C601D">
        <w:rPr>
          <w:rFonts w:ascii="Cambria" w:hAnsi="Cambria" w:cs="Arial"/>
          <w:color w:val="222222"/>
          <w:szCs w:val="20"/>
          <w:shd w:val="clear" w:color="auto" w:fill="FFFFFF"/>
        </w:rPr>
        <w:t>Many officials of the church have already adopted</w:t>
      </w:r>
      <w:r w:rsidR="000C601D">
        <w:rPr>
          <w:rFonts w:ascii="Cambria" w:hAnsi="Cambria" w:cs="Arial"/>
          <w:color w:val="222222"/>
          <w:szCs w:val="20"/>
          <w:shd w:val="clear" w:color="auto" w:fill="FFFFFF"/>
        </w:rPr>
        <w:t xml:space="preserve"> the proposed usage or similar.</w:t>
      </w:r>
    </w:p>
    <w:p w14:paraId="6AE6DC1C" w14:textId="286CC9A9" w:rsidR="00877D54" w:rsidRPr="009A0DA6" w:rsidRDefault="00877D54" w:rsidP="00F55252">
      <w:pPr>
        <w:pStyle w:val="ListParagraph"/>
        <w:numPr>
          <w:ilvl w:val="3"/>
          <w:numId w:val="86"/>
        </w:numPr>
        <w:shd w:val="clear" w:color="auto" w:fill="FFFFFF"/>
        <w:spacing w:after="200" w:line="240" w:lineRule="auto"/>
        <w:ind w:left="567" w:hanging="567"/>
        <w:rPr>
          <w:rFonts w:ascii="Cambria" w:hAnsi="Cambria" w:cs="Arial"/>
          <w:color w:val="222222"/>
          <w:szCs w:val="20"/>
          <w:shd w:val="clear" w:color="auto" w:fill="FFFFFF"/>
        </w:rPr>
      </w:pPr>
      <w:r w:rsidRPr="009A0DA6">
        <w:rPr>
          <w:rFonts w:ascii="Cambria" w:hAnsi="Cambria" w:cs="Arial"/>
          <w:color w:val="222222"/>
          <w:szCs w:val="20"/>
          <w:shd w:val="clear" w:color="auto" w:fill="FFFFFF"/>
        </w:rPr>
        <w:t>The LCA Governance and Administration Review (The ‘Cleary Report’ 2014) recommended such a change of name. There was universal acceptance of this proposed name change by all the groups who participated in the second cons</w:t>
      </w:r>
      <w:r w:rsidR="000C601D">
        <w:rPr>
          <w:rFonts w:ascii="Cambria" w:hAnsi="Cambria" w:cs="Arial"/>
          <w:color w:val="222222"/>
          <w:szCs w:val="20"/>
          <w:shd w:val="clear" w:color="auto" w:fill="FFFFFF"/>
        </w:rPr>
        <w:t>ultation process of the review.</w:t>
      </w:r>
    </w:p>
    <w:p w14:paraId="516B87EE" w14:textId="697FDB50" w:rsidR="00877D54" w:rsidRPr="009A0DA6" w:rsidRDefault="00877D54" w:rsidP="00F55252">
      <w:pPr>
        <w:pStyle w:val="ListParagraph"/>
        <w:numPr>
          <w:ilvl w:val="3"/>
          <w:numId w:val="86"/>
        </w:numPr>
        <w:shd w:val="clear" w:color="auto" w:fill="FFFFFF"/>
        <w:spacing w:after="200" w:line="240" w:lineRule="auto"/>
        <w:ind w:left="567" w:hanging="567"/>
        <w:rPr>
          <w:rFonts w:ascii="Cambria" w:hAnsi="Cambria" w:cs="Arial"/>
          <w:color w:val="222222"/>
          <w:szCs w:val="20"/>
          <w:shd w:val="clear" w:color="auto" w:fill="FFFFFF"/>
        </w:rPr>
      </w:pPr>
      <w:r w:rsidRPr="009A0DA6">
        <w:rPr>
          <w:rFonts w:ascii="Cambria" w:hAnsi="Cambria" w:cs="Arial"/>
          <w:color w:val="222222"/>
          <w:szCs w:val="20"/>
          <w:shd w:val="clear" w:color="auto" w:fill="FFFFFF"/>
        </w:rPr>
        <w:t xml:space="preserve">The Lutheran Church of New Zealand at its 2014 Convention endorsed in principle </w:t>
      </w:r>
      <w:r w:rsidR="000C601D">
        <w:rPr>
          <w:rFonts w:ascii="Cambria" w:hAnsi="Cambria" w:cs="Arial"/>
          <w:color w:val="222222"/>
          <w:szCs w:val="20"/>
          <w:shd w:val="clear" w:color="auto" w:fill="FFFFFF"/>
        </w:rPr>
        <w:br/>
        <w:t>a change of name.</w:t>
      </w:r>
    </w:p>
    <w:p w14:paraId="526F57C4" w14:textId="3E40A39B" w:rsidR="00877D54" w:rsidRPr="009A0DA6" w:rsidRDefault="00877D54" w:rsidP="00F55252">
      <w:pPr>
        <w:pStyle w:val="ListParagraph"/>
        <w:numPr>
          <w:ilvl w:val="0"/>
          <w:numId w:val="86"/>
        </w:numPr>
        <w:shd w:val="clear" w:color="auto" w:fill="FFFFFF"/>
        <w:spacing w:after="200" w:line="240" w:lineRule="auto"/>
        <w:ind w:left="567" w:hanging="567"/>
        <w:rPr>
          <w:rFonts w:ascii="Cambria" w:hAnsi="Cambria" w:cs="Arial"/>
          <w:color w:val="222222"/>
          <w:szCs w:val="20"/>
          <w:shd w:val="clear" w:color="auto" w:fill="FFFFFF"/>
        </w:rPr>
      </w:pPr>
      <w:r w:rsidRPr="009A0DA6">
        <w:rPr>
          <w:rFonts w:ascii="Cambria" w:hAnsi="Cambria" w:cs="Arial"/>
          <w:color w:val="222222"/>
          <w:szCs w:val="20"/>
          <w:shd w:val="clear" w:color="auto" w:fill="FFFFFF"/>
        </w:rPr>
        <w:t xml:space="preserve">The proposed change in usage does not require any change to the Constitution of </w:t>
      </w:r>
      <w:r w:rsidR="000C601D">
        <w:rPr>
          <w:rFonts w:ascii="Cambria" w:hAnsi="Cambria" w:cs="Arial"/>
          <w:color w:val="222222"/>
          <w:szCs w:val="20"/>
          <w:shd w:val="clear" w:color="auto" w:fill="FFFFFF"/>
        </w:rPr>
        <w:br/>
        <w:t>the LCA.</w:t>
      </w:r>
    </w:p>
    <w:p w14:paraId="3B961989" w14:textId="076C98BA" w:rsidR="000C601D" w:rsidRDefault="00877D54" w:rsidP="000C601D">
      <w:pPr>
        <w:pStyle w:val="ListParagraph"/>
        <w:numPr>
          <w:ilvl w:val="0"/>
          <w:numId w:val="86"/>
        </w:numPr>
        <w:shd w:val="clear" w:color="auto" w:fill="FFFFFF"/>
        <w:spacing w:after="200" w:line="240" w:lineRule="auto"/>
        <w:ind w:left="567" w:hanging="567"/>
        <w:rPr>
          <w:rFonts w:ascii="Cambria" w:hAnsi="Cambria" w:cs="Arial"/>
          <w:color w:val="222222"/>
          <w:szCs w:val="20"/>
          <w:shd w:val="clear" w:color="auto" w:fill="FFFFFF"/>
        </w:rPr>
      </w:pPr>
      <w:r w:rsidRPr="009A0DA6">
        <w:rPr>
          <w:rFonts w:ascii="Cambria" w:hAnsi="Cambria" w:cs="Arial"/>
          <w:color w:val="222222"/>
          <w:szCs w:val="20"/>
          <w:shd w:val="clear" w:color="auto" w:fill="FFFFFF"/>
        </w:rPr>
        <w:t xml:space="preserve">The </w:t>
      </w:r>
      <w:r w:rsidRPr="009A0DA6">
        <w:rPr>
          <w:rStyle w:val="NoSpacingChar"/>
        </w:rPr>
        <w:t>names ‘Lutheran Church of Australia’ (LCA) and ‘Lutheran Church of New Zealand’ (LCNZ) may still be used where the context relates to the life of the church in one country</w:t>
      </w:r>
      <w:r w:rsidRPr="009A0DA6">
        <w:rPr>
          <w:rFonts w:ascii="Cambria" w:hAnsi="Cambria" w:cs="Arial"/>
          <w:color w:val="222222"/>
          <w:szCs w:val="20"/>
          <w:shd w:val="clear" w:color="auto" w:fill="FFFFFF"/>
        </w:rPr>
        <w:t>.</w:t>
      </w:r>
    </w:p>
    <w:p w14:paraId="6C2BCE91" w14:textId="773FA614" w:rsidR="000C601D" w:rsidRDefault="000C601D" w:rsidP="000C601D">
      <w:pPr>
        <w:shd w:val="clear" w:color="auto" w:fill="FFFFFF"/>
        <w:spacing w:after="200" w:line="240" w:lineRule="auto"/>
        <w:rPr>
          <w:rFonts w:ascii="Cambria" w:hAnsi="Cambria" w:cs="Arial"/>
          <w:color w:val="222222"/>
          <w:szCs w:val="20"/>
          <w:shd w:val="clear" w:color="auto" w:fill="FFFFFF"/>
        </w:rPr>
      </w:pPr>
    </w:p>
    <w:p w14:paraId="5FD352B6" w14:textId="77777777" w:rsidR="000C601D" w:rsidRPr="000C601D" w:rsidRDefault="000C601D" w:rsidP="000C601D">
      <w:pPr>
        <w:shd w:val="clear" w:color="auto" w:fill="FFFFFF"/>
        <w:spacing w:after="200" w:line="240" w:lineRule="auto"/>
        <w:rPr>
          <w:rFonts w:ascii="Cambria" w:hAnsi="Cambria" w:cs="Arial"/>
          <w:color w:val="222222"/>
          <w:szCs w:val="20"/>
          <w:shd w:val="clear" w:color="auto" w:fill="FFFFFF"/>
        </w:rPr>
      </w:pPr>
    </w:p>
    <w:p w14:paraId="2250D307" w14:textId="2A2FA0EE" w:rsidR="00312596" w:rsidRPr="009A0DA6" w:rsidRDefault="00312596" w:rsidP="00964A90">
      <w:pPr>
        <w:pStyle w:val="Heading3"/>
      </w:pPr>
      <w:r w:rsidRPr="009A0DA6">
        <w:t>Agenda 2.3.19</w:t>
      </w:r>
    </w:p>
    <w:p w14:paraId="11BC84FE" w14:textId="7A072F49" w:rsidR="00312596" w:rsidRPr="009A0DA6" w:rsidRDefault="00201F24" w:rsidP="00312596">
      <w:pPr>
        <w:pStyle w:val="Heading2"/>
      </w:pPr>
      <w:bookmarkStart w:id="446" w:name="_Toc521954698"/>
      <w:r>
        <w:t>College of Bishops to a</w:t>
      </w:r>
      <w:r w:rsidR="00312596" w:rsidRPr="009A0DA6">
        <w:t xml:space="preserve">ddress </w:t>
      </w:r>
      <w:r>
        <w:t xml:space="preserve">the </w:t>
      </w:r>
      <w:r w:rsidR="00312596" w:rsidRPr="009A0DA6">
        <w:t>serious shortage of pastors</w:t>
      </w:r>
      <w:bookmarkEnd w:id="446"/>
    </w:p>
    <w:p w14:paraId="0846C8C3" w14:textId="77777777" w:rsidR="00312596" w:rsidRPr="009A0DA6" w:rsidRDefault="00312596" w:rsidP="00312596">
      <w:pPr>
        <w:pStyle w:val="NoSpacing"/>
      </w:pPr>
    </w:p>
    <w:p w14:paraId="1E909511" w14:textId="30D00410" w:rsidR="00312596" w:rsidRPr="009A0DA6" w:rsidRDefault="00877D54" w:rsidP="00964A90">
      <w:pPr>
        <w:pStyle w:val="Heading3"/>
      </w:pPr>
      <w:r w:rsidRPr="009A0DA6">
        <w:t>proposed motion</w:t>
      </w:r>
    </w:p>
    <w:p w14:paraId="2BB377CE" w14:textId="4EC53477" w:rsidR="00312596" w:rsidRPr="009A0DA6" w:rsidRDefault="00312596" w:rsidP="00312596">
      <w:pPr>
        <w:pStyle w:val="NoSpacing"/>
      </w:pPr>
      <w:r w:rsidRPr="009A0DA6">
        <w:rPr>
          <w:i/>
        </w:rPr>
        <w:t>Submitted by St Paul’s Lutheran Church, Parkes</w:t>
      </w:r>
      <w:r w:rsidR="00877D54" w:rsidRPr="009A0DA6">
        <w:rPr>
          <w:i/>
        </w:rPr>
        <w:t xml:space="preserve"> NSW</w:t>
      </w:r>
    </w:p>
    <w:p w14:paraId="1F07F061" w14:textId="77777777" w:rsidR="00312596" w:rsidRPr="009A0DA6" w:rsidRDefault="00312596" w:rsidP="00877D54">
      <w:pPr>
        <w:pStyle w:val="NoSpacing"/>
      </w:pPr>
    </w:p>
    <w:p w14:paraId="641569B3" w14:textId="50F92800" w:rsidR="00877D54" w:rsidRPr="009A0DA6" w:rsidRDefault="00877D54" w:rsidP="00877D54">
      <w:pPr>
        <w:pStyle w:val="NoSpacing"/>
      </w:pPr>
      <w:r w:rsidRPr="009A0DA6">
        <w:rPr>
          <w:b/>
        </w:rPr>
        <w:t>BE IT RESOLVED</w:t>
      </w:r>
      <w:r w:rsidR="00290C36" w:rsidRPr="009A0DA6">
        <w:t>, w</w:t>
      </w:r>
      <w:r w:rsidRPr="009A0DA6">
        <w:t xml:space="preserve">hereas the serious shortage of pastors in the LCA, most apparent in rural parishes, </w:t>
      </w:r>
      <w:r w:rsidR="00290C36" w:rsidRPr="009A0DA6">
        <w:t>is</w:t>
      </w:r>
      <w:r w:rsidRPr="009A0DA6">
        <w:t xml:space="preserve"> projected to worsen, that the LCA/College of Bishops address this with utmost seriousness, not necessarily by the ordination of women but more empowerment be allowed lay people.</w:t>
      </w:r>
    </w:p>
    <w:p w14:paraId="21C2BBD9" w14:textId="77777777" w:rsidR="00877D54" w:rsidRPr="009A0DA6" w:rsidRDefault="00877D54" w:rsidP="00877D54">
      <w:pPr>
        <w:pStyle w:val="NoSpacing"/>
      </w:pPr>
    </w:p>
    <w:p w14:paraId="2484F562" w14:textId="77777777" w:rsidR="00877D54" w:rsidRPr="009A0DA6" w:rsidRDefault="00877D54" w:rsidP="00877D54">
      <w:pPr>
        <w:pStyle w:val="Subtitle"/>
      </w:pPr>
      <w:r w:rsidRPr="009A0DA6">
        <w:t>REASONS FOR THE MOTION</w:t>
      </w:r>
    </w:p>
    <w:p w14:paraId="1BC68606" w14:textId="77777777" w:rsidR="00877D54" w:rsidRPr="009A0DA6" w:rsidRDefault="00877D54" w:rsidP="00F55252">
      <w:pPr>
        <w:pStyle w:val="NoSpacing"/>
        <w:numPr>
          <w:ilvl w:val="0"/>
          <w:numId w:val="156"/>
        </w:numPr>
        <w:ind w:left="567" w:hanging="567"/>
      </w:pPr>
      <w:r w:rsidRPr="009A0DA6">
        <w:t>The serious shortage of clergy</w:t>
      </w:r>
    </w:p>
    <w:p w14:paraId="2A104A5B" w14:textId="5B0B5AA4" w:rsidR="00877D54" w:rsidRPr="009A0DA6" w:rsidRDefault="00877D54" w:rsidP="00F55252">
      <w:pPr>
        <w:pStyle w:val="NoSpacing"/>
        <w:numPr>
          <w:ilvl w:val="0"/>
          <w:numId w:val="156"/>
        </w:numPr>
        <w:ind w:left="567" w:hanging="567"/>
      </w:pPr>
      <w:r w:rsidRPr="009A0DA6">
        <w:t>The need to adequately serve vacant congregations.</w:t>
      </w:r>
    </w:p>
    <w:p w14:paraId="5DA12DBA" w14:textId="0B6424D8" w:rsidR="00CE5065" w:rsidRPr="009A0DA6" w:rsidRDefault="00CE5065" w:rsidP="00CE5065">
      <w:pPr>
        <w:pStyle w:val="NoSpacing"/>
      </w:pPr>
    </w:p>
    <w:p w14:paraId="1BE63801" w14:textId="43EF5BEB" w:rsidR="00CE5065" w:rsidRPr="009A0DA6" w:rsidRDefault="00CE5065" w:rsidP="00CE5065">
      <w:pPr>
        <w:pStyle w:val="NoSpacing"/>
      </w:pPr>
    </w:p>
    <w:p w14:paraId="1B7EF45B" w14:textId="36C04B40" w:rsidR="00231B8F" w:rsidRPr="009A0DA6" w:rsidRDefault="00231B8F" w:rsidP="00CE5065">
      <w:pPr>
        <w:pStyle w:val="NoSpacing"/>
      </w:pPr>
    </w:p>
    <w:p w14:paraId="0957D5B4" w14:textId="77777777" w:rsidR="00312596" w:rsidRPr="009A0DA6" w:rsidRDefault="00312596" w:rsidP="00964A90">
      <w:pPr>
        <w:pStyle w:val="Heading3"/>
      </w:pPr>
      <w:r w:rsidRPr="009A0DA6">
        <w:t>Agenda 2.3.20</w:t>
      </w:r>
    </w:p>
    <w:p w14:paraId="09AE1849" w14:textId="49D15AB2" w:rsidR="00312596" w:rsidRPr="009A0DA6" w:rsidRDefault="00231B8F" w:rsidP="00312596">
      <w:pPr>
        <w:pStyle w:val="Heading2"/>
      </w:pPr>
      <w:bookmarkStart w:id="447" w:name="_Toc521954699"/>
      <w:r w:rsidRPr="009A0DA6">
        <w:t>Dispens</w:t>
      </w:r>
      <w:r w:rsidR="00201F24">
        <w:t>ing</w:t>
      </w:r>
      <w:r w:rsidR="00312596" w:rsidRPr="009A0DA6">
        <w:t xml:space="preserve"> with </w:t>
      </w:r>
      <w:r w:rsidR="00201F24">
        <w:t xml:space="preserve">the </w:t>
      </w:r>
      <w:r w:rsidR="00312596" w:rsidRPr="009A0DA6">
        <w:t xml:space="preserve">title </w:t>
      </w:r>
      <w:r w:rsidR="00201F24">
        <w:t>of ‘</w:t>
      </w:r>
      <w:r w:rsidR="00312596" w:rsidRPr="009A0DA6">
        <w:t>Bishop</w:t>
      </w:r>
      <w:bookmarkEnd w:id="447"/>
      <w:r w:rsidR="00201F24">
        <w:t>’</w:t>
      </w:r>
    </w:p>
    <w:p w14:paraId="76E65D57" w14:textId="77777777" w:rsidR="00312596" w:rsidRPr="009A0DA6" w:rsidRDefault="00312596" w:rsidP="00312596">
      <w:pPr>
        <w:pStyle w:val="NoSpacing"/>
      </w:pPr>
    </w:p>
    <w:p w14:paraId="7E97D4FA" w14:textId="7A0513EB" w:rsidR="00312596" w:rsidRPr="009A0DA6" w:rsidRDefault="00877D54" w:rsidP="00964A90">
      <w:pPr>
        <w:pStyle w:val="Heading3"/>
      </w:pPr>
      <w:r w:rsidRPr="009A0DA6">
        <w:t>proposed motion</w:t>
      </w:r>
    </w:p>
    <w:p w14:paraId="21D27D1F" w14:textId="67843637" w:rsidR="00312596" w:rsidRPr="009A0DA6" w:rsidRDefault="00312596" w:rsidP="00312596">
      <w:pPr>
        <w:pStyle w:val="NoSpacing"/>
      </w:pPr>
      <w:r w:rsidRPr="009A0DA6">
        <w:rPr>
          <w:i/>
        </w:rPr>
        <w:t>Submitted by Christ Church, Murray Bridge</w:t>
      </w:r>
      <w:r w:rsidR="00877D54" w:rsidRPr="009A0DA6">
        <w:rPr>
          <w:i/>
        </w:rPr>
        <w:t xml:space="preserve"> SA</w:t>
      </w:r>
    </w:p>
    <w:p w14:paraId="2316E34F" w14:textId="77777777" w:rsidR="00312596" w:rsidRPr="009A0DA6" w:rsidRDefault="00312596" w:rsidP="00312596">
      <w:pPr>
        <w:pStyle w:val="NoSpacing"/>
        <w:rPr>
          <w:b/>
        </w:rPr>
      </w:pPr>
    </w:p>
    <w:p w14:paraId="3DC886C7" w14:textId="20224769" w:rsidR="00877D54" w:rsidRPr="009A0DA6" w:rsidRDefault="00877D54" w:rsidP="00877D54">
      <w:pPr>
        <w:pStyle w:val="NoSpacing"/>
      </w:pPr>
      <w:r w:rsidRPr="009A0DA6">
        <w:rPr>
          <w:b/>
        </w:rPr>
        <w:t>BE IT RESOLVED</w:t>
      </w:r>
      <w:r w:rsidRPr="009A0DA6">
        <w:t xml:space="preserve"> th</w:t>
      </w:r>
      <w:r w:rsidR="00231B8F" w:rsidRPr="009A0DA6">
        <w:t>at we dispense with the title 'B</w:t>
      </w:r>
      <w:r w:rsidRPr="009A0DA6">
        <w:t>ishop' for those in the leadership of the Lutheran Church of Australia and New Zealand and we replace it with another suitable title and that General Church Council bring back suitable titles to the next General Synod (some suggestions: General Leader, General Overseer, District Leader, District Overseer).</w:t>
      </w:r>
    </w:p>
    <w:p w14:paraId="1D863D34" w14:textId="77777777" w:rsidR="00877D54" w:rsidRPr="001547D3" w:rsidRDefault="00877D54" w:rsidP="00877D54">
      <w:pPr>
        <w:pStyle w:val="NoSpacing"/>
        <w:rPr>
          <w:sz w:val="14"/>
        </w:rPr>
      </w:pPr>
    </w:p>
    <w:p w14:paraId="50E7611A" w14:textId="77777777" w:rsidR="00877D54" w:rsidRPr="009A0DA6" w:rsidRDefault="00877D54" w:rsidP="00CE5065">
      <w:pPr>
        <w:pStyle w:val="Heading3"/>
      </w:pPr>
      <w:r w:rsidRPr="009A0DA6">
        <w:t>REASONS FOR THE MOTION</w:t>
      </w:r>
    </w:p>
    <w:p w14:paraId="1DF51698" w14:textId="6CD01BC7" w:rsidR="00B34F86" w:rsidRPr="001547D3" w:rsidRDefault="00877D54" w:rsidP="00F55252">
      <w:pPr>
        <w:pStyle w:val="NoSpacing"/>
        <w:numPr>
          <w:ilvl w:val="3"/>
          <w:numId w:val="155"/>
        </w:numPr>
        <w:ind w:left="567" w:hanging="567"/>
        <w:rPr>
          <w:sz w:val="14"/>
        </w:rPr>
      </w:pPr>
      <w:r w:rsidRPr="009A0DA6">
        <w:t xml:space="preserve">The word 'bishop' in today's Australia and New Zealand carries with it negative baggage, </w:t>
      </w:r>
      <w:r w:rsidR="00C3381F" w:rsidRPr="009A0DA6">
        <w:t>eg</w:t>
      </w:r>
      <w:r w:rsidRPr="009A0DA6">
        <w:t xml:space="preserve"> sexual misconduct and authoritarianism.</w:t>
      </w:r>
      <w:r w:rsidR="00B34F86" w:rsidRPr="009A0DA6">
        <w:br/>
      </w:r>
    </w:p>
    <w:p w14:paraId="77710723" w14:textId="2B5D26FD" w:rsidR="00B34F86" w:rsidRPr="001547D3" w:rsidRDefault="00877D54" w:rsidP="00F55252">
      <w:pPr>
        <w:pStyle w:val="NoSpacing"/>
        <w:numPr>
          <w:ilvl w:val="3"/>
          <w:numId w:val="155"/>
        </w:numPr>
        <w:ind w:left="567" w:hanging="567"/>
        <w:rPr>
          <w:sz w:val="14"/>
        </w:rPr>
      </w:pPr>
      <w:r w:rsidRPr="009A0DA6">
        <w:t>We believe it is counterproductive for mission. Why would the people we are seeking to reach want to be associated with what they see as an institution whose leaders' title carries such negativity?</w:t>
      </w:r>
      <w:r w:rsidR="00B34F86" w:rsidRPr="009A0DA6">
        <w:br/>
      </w:r>
    </w:p>
    <w:p w14:paraId="45CE4AA9" w14:textId="7C32C854" w:rsidR="00B34F86" w:rsidRPr="001547D3" w:rsidRDefault="00877D54" w:rsidP="00F55252">
      <w:pPr>
        <w:pStyle w:val="NoSpacing"/>
        <w:numPr>
          <w:ilvl w:val="3"/>
          <w:numId w:val="155"/>
        </w:numPr>
        <w:ind w:left="567" w:hanging="567"/>
        <w:rPr>
          <w:sz w:val="14"/>
        </w:rPr>
      </w:pPr>
      <w:r w:rsidRPr="009A0DA6">
        <w:t>The word 'Bishop' defined by dictionary.com is ' a member of the highest order of the ministry'. This does not agree with our theology. Jesus said; "You know that the rulers in this world Lord it over their people, and officials flaunt their authority over those under them. But among you it will be different. Whoever wants to be a leader among you must be the slave of everyone else. For even the Son of Man came not to be served but to serve others and give His life as a ransom for many ". (Mark 10:42</w:t>
      </w:r>
      <w:r w:rsidR="00B34F86" w:rsidRPr="009A0DA6">
        <w:sym w:font="Symbol" w:char="F02D"/>
      </w:r>
      <w:r w:rsidRPr="009A0DA6">
        <w:t>45)</w:t>
      </w:r>
      <w:r w:rsidR="00B34F86" w:rsidRPr="009A0DA6">
        <w:br/>
      </w:r>
    </w:p>
    <w:p w14:paraId="3026CFC6" w14:textId="3CF42CE9" w:rsidR="00877D54" w:rsidRPr="009A0DA6" w:rsidRDefault="00877D54" w:rsidP="00F55252">
      <w:pPr>
        <w:pStyle w:val="NoSpacing"/>
        <w:numPr>
          <w:ilvl w:val="3"/>
          <w:numId w:val="155"/>
        </w:numPr>
        <w:ind w:left="567" w:hanging="567"/>
      </w:pPr>
      <w:r w:rsidRPr="009A0DA6">
        <w:t>Might it be time, worldwide, to make a change from a world that has lost its meaning and carries so many negative and divisive feeling?  Let’s take the lead and use a term that allows us to fill it with meaning.</w:t>
      </w:r>
    </w:p>
    <w:p w14:paraId="7E6BC5E0" w14:textId="77777777" w:rsidR="00231B8F" w:rsidRPr="009A0DA6" w:rsidRDefault="00231B8F" w:rsidP="00231B8F">
      <w:pPr>
        <w:pStyle w:val="NoSpacing"/>
        <w:ind w:left="567"/>
      </w:pPr>
    </w:p>
    <w:p w14:paraId="401B0765" w14:textId="77777777" w:rsidR="00312596" w:rsidRPr="009A0DA6" w:rsidRDefault="00312596" w:rsidP="00312596">
      <w:pPr>
        <w:pStyle w:val="NoSpacing"/>
      </w:pPr>
    </w:p>
    <w:p w14:paraId="55746A4F" w14:textId="77777777" w:rsidR="00312596" w:rsidRPr="009A0DA6" w:rsidRDefault="00312596" w:rsidP="00964A90">
      <w:pPr>
        <w:pStyle w:val="Heading3"/>
      </w:pPr>
      <w:r w:rsidRPr="009A0DA6">
        <w:t>agenda 2.3.21</w:t>
      </w:r>
    </w:p>
    <w:p w14:paraId="6E1F330F" w14:textId="7CCDFAE9" w:rsidR="00312596" w:rsidRPr="009A0DA6" w:rsidRDefault="00312596" w:rsidP="00312596">
      <w:pPr>
        <w:pStyle w:val="Heading2"/>
      </w:pPr>
      <w:bookmarkStart w:id="448" w:name="_Toc521954700"/>
      <w:r w:rsidRPr="009A0DA6">
        <w:t>Mark 500</w:t>
      </w:r>
      <w:r w:rsidRPr="009A0DA6">
        <w:rPr>
          <w:vertAlign w:val="superscript"/>
        </w:rPr>
        <w:t>th</w:t>
      </w:r>
      <w:r w:rsidRPr="009A0DA6">
        <w:t xml:space="preserve"> </w:t>
      </w:r>
      <w:r w:rsidR="00174A5E" w:rsidRPr="009A0DA6">
        <w:t>a</w:t>
      </w:r>
      <w:r w:rsidRPr="009A0DA6">
        <w:t xml:space="preserve">nniversary of </w:t>
      </w:r>
      <w:r w:rsidR="00B34F86" w:rsidRPr="009A0DA6">
        <w:t>R</w:t>
      </w:r>
      <w:r w:rsidRPr="009A0DA6">
        <w:t>eformation</w:t>
      </w:r>
      <w:bookmarkEnd w:id="448"/>
    </w:p>
    <w:p w14:paraId="0D34155C" w14:textId="22241249" w:rsidR="00507840" w:rsidRDefault="00507840" w:rsidP="00507840">
      <w:pPr>
        <w:pStyle w:val="NoSpacing"/>
      </w:pPr>
    </w:p>
    <w:p w14:paraId="3F860289" w14:textId="67679E62" w:rsidR="000B3A2F" w:rsidRPr="009A0DA6" w:rsidRDefault="00B34F86" w:rsidP="00507840">
      <w:pPr>
        <w:pStyle w:val="Heading3"/>
      </w:pPr>
      <w:r w:rsidRPr="009A0DA6">
        <w:t>proposed motion</w:t>
      </w:r>
    </w:p>
    <w:p w14:paraId="131C1997" w14:textId="01FD6B23" w:rsidR="000B3A2F" w:rsidRPr="009A0DA6" w:rsidRDefault="000B3A2F" w:rsidP="000B3A2F">
      <w:pPr>
        <w:pStyle w:val="NoSpacing"/>
      </w:pPr>
      <w:r w:rsidRPr="009A0DA6">
        <w:rPr>
          <w:i/>
        </w:rPr>
        <w:t>Submitted by St John’s Lutheran Church, Geelong</w:t>
      </w:r>
      <w:r w:rsidR="00B34F86" w:rsidRPr="009A0DA6">
        <w:rPr>
          <w:i/>
        </w:rPr>
        <w:t xml:space="preserve"> Vic</w:t>
      </w:r>
    </w:p>
    <w:p w14:paraId="563AB768" w14:textId="26F1B523" w:rsidR="00507840" w:rsidRPr="004A186C" w:rsidRDefault="004A186C" w:rsidP="000B3A2F">
      <w:pPr>
        <w:pStyle w:val="NoSpacing"/>
        <w:rPr>
          <w:sz w:val="8"/>
        </w:rPr>
      </w:pPr>
      <w:r>
        <w:rPr>
          <w:sz w:val="2"/>
        </w:rPr>
        <w:t>]</w:t>
      </w:r>
    </w:p>
    <w:p w14:paraId="380E64D6" w14:textId="259AF1AA" w:rsidR="000B3A2F" w:rsidRDefault="00507840" w:rsidP="000B3A2F">
      <w:pPr>
        <w:pStyle w:val="NoSpacing"/>
      </w:pPr>
      <w:r w:rsidRPr="00507840">
        <w:t>(The anniversary will be marked during the Opening Service of Convention.)</w:t>
      </w:r>
    </w:p>
    <w:p w14:paraId="4435DB47" w14:textId="77777777" w:rsidR="00507840" w:rsidRPr="009A0DA6" w:rsidRDefault="00507840" w:rsidP="000B3A2F">
      <w:pPr>
        <w:pStyle w:val="NoSpacing"/>
      </w:pPr>
    </w:p>
    <w:p w14:paraId="621726F2" w14:textId="77777777" w:rsidR="00B34F86" w:rsidRPr="009A0DA6" w:rsidRDefault="00B34F86" w:rsidP="00B34F86">
      <w:pPr>
        <w:shd w:val="clear" w:color="auto" w:fill="FFFFFF"/>
        <w:tabs>
          <w:tab w:val="left" w:pos="3596"/>
        </w:tabs>
        <w:spacing w:after="120" w:line="240" w:lineRule="auto"/>
        <w:rPr>
          <w:rFonts w:ascii="Cambria" w:eastAsia="Times New Roman" w:hAnsi="Cambria" w:cs="Times New Roman"/>
          <w:bCs/>
          <w:color w:val="000000" w:themeColor="text1"/>
          <w:lang w:eastAsia="en-AU"/>
        </w:rPr>
      </w:pPr>
      <w:r w:rsidRPr="009A0DA6">
        <w:rPr>
          <w:rFonts w:ascii="Cambria" w:hAnsi="Cambria"/>
          <w:b/>
          <w:bCs/>
          <w:color w:val="000000" w:themeColor="text1"/>
          <w:lang w:eastAsia="en-AU"/>
        </w:rPr>
        <w:t>BE IT RESOLVED</w:t>
      </w:r>
      <w:r w:rsidRPr="009A0DA6">
        <w:rPr>
          <w:rFonts w:ascii="Cambria" w:eastAsia="Times New Roman" w:hAnsi="Cambria" w:cs="Times New Roman"/>
          <w:bCs/>
          <w:color w:val="000000" w:themeColor="text1"/>
          <w:lang w:eastAsia="en-AU"/>
        </w:rPr>
        <w:t xml:space="preserve"> </w:t>
      </w:r>
      <w:r w:rsidRPr="009A0DA6">
        <w:rPr>
          <w:rFonts w:ascii="Cambria" w:eastAsia="Arial" w:hAnsi="Cambria" w:cs="Arial"/>
          <w:color w:val="000000" w:themeColor="text1"/>
        </w:rPr>
        <w:t>that</w:t>
      </w:r>
      <w:r w:rsidRPr="009A0DA6">
        <w:rPr>
          <w:rFonts w:ascii="Cambria" w:eastAsia="Arial" w:hAnsi="Cambria" w:cs="Arial"/>
          <w:color w:val="000000" w:themeColor="text1"/>
          <w:spacing w:val="14"/>
        </w:rPr>
        <w:t xml:space="preserve"> </w:t>
      </w:r>
      <w:r w:rsidRPr="009A0DA6">
        <w:rPr>
          <w:rFonts w:ascii="Cambria" w:eastAsia="Arial" w:hAnsi="Cambria" w:cs="Arial"/>
          <w:color w:val="000000" w:themeColor="text1"/>
        </w:rPr>
        <w:t>Synod marks the 500</w:t>
      </w:r>
      <w:r w:rsidRPr="009A0DA6">
        <w:rPr>
          <w:rFonts w:ascii="Cambria" w:eastAsia="Arial" w:hAnsi="Cambria" w:cs="Arial"/>
          <w:color w:val="000000" w:themeColor="text1"/>
          <w:vertAlign w:val="superscript"/>
        </w:rPr>
        <w:t>th</w:t>
      </w:r>
      <w:r w:rsidRPr="009A0DA6">
        <w:rPr>
          <w:rFonts w:ascii="Cambria" w:eastAsia="Arial" w:hAnsi="Cambria" w:cs="Arial"/>
          <w:color w:val="000000" w:themeColor="text1"/>
        </w:rPr>
        <w:t xml:space="preserve"> Anniversary of the Reformation at this 19</w:t>
      </w:r>
      <w:r w:rsidRPr="009A0DA6">
        <w:rPr>
          <w:rFonts w:ascii="Cambria" w:eastAsia="Arial" w:hAnsi="Cambria" w:cs="Arial"/>
          <w:color w:val="000000" w:themeColor="text1"/>
          <w:vertAlign w:val="superscript"/>
        </w:rPr>
        <w:t>th</w:t>
      </w:r>
      <w:r w:rsidRPr="009A0DA6">
        <w:rPr>
          <w:rFonts w:ascii="Cambria" w:eastAsia="Arial" w:hAnsi="Cambria" w:cs="Arial"/>
          <w:color w:val="000000" w:themeColor="text1"/>
        </w:rPr>
        <w:t xml:space="preserve"> General Convention of Synod by publicly recording and minuting our gratitude to God for the principle of ‘Scripture Alone’ for all teaching in the church, which has also led us to the unity we have today (See LCA Constitution Article 2).</w:t>
      </w:r>
    </w:p>
    <w:p w14:paraId="2D3DF353" w14:textId="77777777" w:rsidR="00B34F86" w:rsidRPr="009A0DA6" w:rsidRDefault="00B34F86" w:rsidP="00CE5065">
      <w:pPr>
        <w:pStyle w:val="Heading3"/>
      </w:pPr>
      <w:r w:rsidRPr="009A0DA6">
        <w:lastRenderedPageBreak/>
        <w:t>REASONS FOR THE MOTION</w:t>
      </w:r>
    </w:p>
    <w:p w14:paraId="3CAC6FB9" w14:textId="539978ED" w:rsidR="00B34F86" w:rsidRDefault="005B418B" w:rsidP="00B34F86">
      <w:pPr>
        <w:spacing w:after="0" w:line="240" w:lineRule="auto"/>
        <w:ind w:right="189"/>
        <w:rPr>
          <w:rFonts w:ascii="Cambria" w:eastAsia="Arial" w:hAnsi="Cambria" w:cs="Arial"/>
        </w:rPr>
      </w:pPr>
      <w:r w:rsidRPr="009A0DA6">
        <w:rPr>
          <w:rFonts w:ascii="Cambria" w:eastAsia="Arial" w:hAnsi="Cambria" w:cs="Arial"/>
        </w:rPr>
        <w:t xml:space="preserve">This motion </w:t>
      </w:r>
      <w:r w:rsidR="00B34F86" w:rsidRPr="009A0DA6">
        <w:rPr>
          <w:rFonts w:ascii="Cambria" w:eastAsia="Arial" w:hAnsi="Cambria" w:cs="Arial"/>
        </w:rPr>
        <w:t>is to enable Synod to formally record the 500</w:t>
      </w:r>
      <w:r w:rsidR="00B34F86" w:rsidRPr="009A0DA6">
        <w:rPr>
          <w:rFonts w:ascii="Cambria" w:eastAsia="Arial" w:hAnsi="Cambria" w:cs="Arial"/>
          <w:vertAlign w:val="superscript"/>
        </w:rPr>
        <w:t>th</w:t>
      </w:r>
      <w:r w:rsidR="00B34F86" w:rsidRPr="009A0DA6">
        <w:rPr>
          <w:rFonts w:ascii="Cambria" w:eastAsia="Arial" w:hAnsi="Cambria" w:cs="Arial"/>
        </w:rPr>
        <w:t xml:space="preserve"> Anniversary of the Reformation, recognise the celebrations of this event across the LCA and acknowledge what has been done to have unity of Synod that we have today. It is also a call to the LCA to reflect on its foundations of the Reformation and the Union of Lutheran Synods in Australia in 1966. Both these events were founded on the principle of ‘Scripture alone’. This </w:t>
      </w:r>
      <w:r w:rsidRPr="009A0DA6">
        <w:rPr>
          <w:rFonts w:ascii="Cambria" w:eastAsia="Arial" w:hAnsi="Cambria" w:cs="Arial"/>
        </w:rPr>
        <w:t xml:space="preserve">motion </w:t>
      </w:r>
      <w:r w:rsidR="00B34F86" w:rsidRPr="009A0DA6">
        <w:rPr>
          <w:rFonts w:ascii="Cambria" w:eastAsia="Arial" w:hAnsi="Cambria" w:cs="Arial"/>
        </w:rPr>
        <w:t>includes an expression of gratefulness to God and recognises the faithful dedication; the hard work done that has brought us to where we are and the blessings and benefits to the church.</w:t>
      </w:r>
    </w:p>
    <w:p w14:paraId="41C10513" w14:textId="22A6B494" w:rsidR="000C601D" w:rsidRDefault="000C601D" w:rsidP="00B34F86">
      <w:pPr>
        <w:spacing w:after="0" w:line="240" w:lineRule="auto"/>
        <w:ind w:right="189"/>
        <w:rPr>
          <w:rFonts w:ascii="Cambria" w:eastAsia="Arial" w:hAnsi="Cambria" w:cs="Arial"/>
        </w:rPr>
      </w:pPr>
    </w:p>
    <w:p w14:paraId="706A525A" w14:textId="77777777" w:rsidR="000C601D" w:rsidRPr="009A0DA6" w:rsidRDefault="000C601D" w:rsidP="00B34F86">
      <w:pPr>
        <w:spacing w:after="0" w:line="240" w:lineRule="auto"/>
        <w:ind w:right="189"/>
        <w:rPr>
          <w:rFonts w:ascii="Cambria" w:eastAsia="Arial" w:hAnsi="Cambria" w:cs="Arial"/>
        </w:rPr>
      </w:pPr>
    </w:p>
    <w:p w14:paraId="6FE705F3" w14:textId="77777777" w:rsidR="000B3A2F" w:rsidRPr="009A0DA6" w:rsidRDefault="000B3A2F" w:rsidP="00964A90">
      <w:pPr>
        <w:pStyle w:val="Heading3"/>
      </w:pPr>
      <w:r w:rsidRPr="009A0DA6">
        <w:t>agenda 2.3.22</w:t>
      </w:r>
    </w:p>
    <w:p w14:paraId="0CDC3650" w14:textId="4C77F753" w:rsidR="000B3A2F" w:rsidRPr="009A0DA6" w:rsidRDefault="00201F24" w:rsidP="000B3A2F">
      <w:pPr>
        <w:pStyle w:val="Heading2"/>
      </w:pPr>
      <w:r>
        <w:t>Changes to the LCA national structure to be halted</w:t>
      </w:r>
    </w:p>
    <w:p w14:paraId="771C586D" w14:textId="612A086F" w:rsidR="000B3A2F" w:rsidRDefault="000B3A2F" w:rsidP="000B3A2F">
      <w:pPr>
        <w:pStyle w:val="NoSpacing"/>
      </w:pPr>
    </w:p>
    <w:p w14:paraId="24927BC5" w14:textId="74C0735E" w:rsidR="00507840" w:rsidRDefault="00507840" w:rsidP="000B3A2F">
      <w:pPr>
        <w:pStyle w:val="NoSpacing"/>
      </w:pPr>
      <w:r>
        <w:t>(See also Agenda 2.2.2)</w:t>
      </w:r>
    </w:p>
    <w:p w14:paraId="1616DE11" w14:textId="77777777" w:rsidR="00507840" w:rsidRPr="009A0DA6" w:rsidRDefault="00507840" w:rsidP="000B3A2F">
      <w:pPr>
        <w:pStyle w:val="NoSpacing"/>
      </w:pPr>
    </w:p>
    <w:p w14:paraId="157944BD" w14:textId="26A6D14C" w:rsidR="000B3A2F" w:rsidRPr="009A0DA6" w:rsidRDefault="00B34F86" w:rsidP="00964A90">
      <w:pPr>
        <w:pStyle w:val="Heading3"/>
      </w:pPr>
      <w:r w:rsidRPr="009A0DA6">
        <w:t>proposed motion</w:t>
      </w:r>
    </w:p>
    <w:p w14:paraId="684EB2F1" w14:textId="12744C79" w:rsidR="000B3A2F" w:rsidRPr="009A0DA6" w:rsidRDefault="000B3A2F" w:rsidP="000B3A2F">
      <w:pPr>
        <w:pStyle w:val="NoSpacing"/>
      </w:pPr>
      <w:r w:rsidRPr="009A0DA6">
        <w:rPr>
          <w:i/>
        </w:rPr>
        <w:t>Submitted by St John’s Lutheran Church, Dernancourt</w:t>
      </w:r>
      <w:r w:rsidR="00B34F86" w:rsidRPr="009A0DA6">
        <w:rPr>
          <w:i/>
        </w:rPr>
        <w:t xml:space="preserve"> SA</w:t>
      </w:r>
    </w:p>
    <w:p w14:paraId="2EEF5F69" w14:textId="77777777" w:rsidR="00B34F86" w:rsidRPr="006940AF" w:rsidRDefault="00B34F86" w:rsidP="00B34F86">
      <w:pPr>
        <w:shd w:val="clear" w:color="auto" w:fill="FFFFFF"/>
        <w:spacing w:after="120" w:line="240" w:lineRule="auto"/>
        <w:rPr>
          <w:rFonts w:ascii="Cambria" w:hAnsi="Cambria"/>
          <w:b/>
          <w:bCs/>
          <w:sz w:val="12"/>
          <w:lang w:eastAsia="en-AU"/>
        </w:rPr>
      </w:pPr>
    </w:p>
    <w:p w14:paraId="58761E7F" w14:textId="3338D316" w:rsidR="00B34F86" w:rsidRPr="009A0DA6" w:rsidRDefault="00B34F86" w:rsidP="00B34F86">
      <w:pPr>
        <w:shd w:val="clear" w:color="auto" w:fill="FFFFFF"/>
        <w:spacing w:after="120" w:line="240" w:lineRule="auto"/>
        <w:rPr>
          <w:rFonts w:ascii="Cambria" w:hAnsi="Cambria" w:cs="Lucida Sans Unicode"/>
          <w:color w:val="000000"/>
          <w:shd w:val="clear" w:color="auto" w:fill="FFFFFF"/>
        </w:rPr>
      </w:pPr>
      <w:r w:rsidRPr="009A0DA6">
        <w:rPr>
          <w:rFonts w:ascii="Cambria" w:hAnsi="Cambria"/>
          <w:b/>
          <w:bCs/>
          <w:lang w:eastAsia="en-AU"/>
        </w:rPr>
        <w:t>BE IT RESOLVED</w:t>
      </w:r>
      <w:r w:rsidRPr="009A0DA6">
        <w:rPr>
          <w:rFonts w:ascii="Cambria" w:eastAsia="Times New Roman" w:hAnsi="Cambria" w:cs="Times New Roman"/>
          <w:bCs/>
          <w:color w:val="000000"/>
          <w:lang w:eastAsia="en-AU"/>
        </w:rPr>
        <w:t xml:space="preserve"> </w:t>
      </w:r>
      <w:r w:rsidRPr="009A0DA6">
        <w:rPr>
          <w:rFonts w:ascii="Cambria" w:hAnsi="Cambria" w:cs="Lucida Sans Unicode"/>
          <w:color w:val="000000"/>
        </w:rPr>
        <w:t xml:space="preserve">that consideration of all </w:t>
      </w:r>
      <w:r w:rsidR="005B418B" w:rsidRPr="009A0DA6">
        <w:rPr>
          <w:rFonts w:ascii="Cambria" w:hAnsi="Cambria" w:cs="Lucida Sans Unicode"/>
          <w:color w:val="000000"/>
        </w:rPr>
        <w:t xml:space="preserve">motions </w:t>
      </w:r>
      <w:r w:rsidRPr="009A0DA6">
        <w:rPr>
          <w:rFonts w:ascii="Cambria" w:hAnsi="Cambria" w:cs="Lucida Sans Unicode"/>
          <w:color w:val="000000"/>
        </w:rPr>
        <w:t>that flow from the Governance and Administration Review be deferred until</w:t>
      </w:r>
      <w:r w:rsidRPr="009A0DA6">
        <w:rPr>
          <w:rFonts w:ascii="Cambria" w:hAnsi="Cambria" w:cs="Lucida Sans Unicode"/>
          <w:color w:val="000000"/>
          <w:shd w:val="clear" w:color="auto" w:fill="FFFFFF"/>
        </w:rPr>
        <w:t>:</w:t>
      </w:r>
    </w:p>
    <w:p w14:paraId="467CE366" w14:textId="77777777" w:rsidR="00B34F86" w:rsidRPr="009A0DA6" w:rsidRDefault="00B34F86" w:rsidP="00F55252">
      <w:pPr>
        <w:pStyle w:val="ListParagraph"/>
        <w:numPr>
          <w:ilvl w:val="0"/>
          <w:numId w:val="149"/>
        </w:numPr>
        <w:shd w:val="clear" w:color="auto" w:fill="FFFFFF"/>
        <w:spacing w:after="0" w:line="240" w:lineRule="auto"/>
        <w:ind w:left="567" w:hanging="567"/>
        <w:rPr>
          <w:rFonts w:ascii="Cambria" w:hAnsi="Cambria" w:cs="Lucida Sans Unicode"/>
          <w:color w:val="000000"/>
        </w:rPr>
      </w:pPr>
      <w:r w:rsidRPr="009A0DA6">
        <w:rPr>
          <w:rFonts w:ascii="Cambria" w:hAnsi="Cambria" w:cs="Lucida Sans Unicode"/>
          <w:color w:val="000000"/>
        </w:rPr>
        <w:t>the total cost of governance across the LCA is being reduced;</w:t>
      </w:r>
    </w:p>
    <w:p w14:paraId="402CA429" w14:textId="77777777" w:rsidR="00B34F86" w:rsidRPr="009A0DA6" w:rsidRDefault="00B34F86" w:rsidP="00F55252">
      <w:pPr>
        <w:pStyle w:val="ListParagraph"/>
        <w:numPr>
          <w:ilvl w:val="0"/>
          <w:numId w:val="149"/>
        </w:numPr>
        <w:shd w:val="clear" w:color="auto" w:fill="FFFFFF"/>
        <w:spacing w:after="0" w:line="240" w:lineRule="auto"/>
        <w:ind w:left="567" w:hanging="567"/>
        <w:rPr>
          <w:rFonts w:ascii="Cambria" w:hAnsi="Cambria" w:cs="Lucida Sans Unicode"/>
          <w:color w:val="000000"/>
        </w:rPr>
      </w:pPr>
      <w:r w:rsidRPr="009A0DA6">
        <w:rPr>
          <w:rFonts w:ascii="Cambria" w:hAnsi="Cambria" w:cs="Lucida Sans Unicode"/>
          <w:color w:val="000000"/>
        </w:rPr>
        <w:t>the relationship and roles of the National Church and Districts is addressed;</w:t>
      </w:r>
    </w:p>
    <w:p w14:paraId="0BA28626" w14:textId="77777777" w:rsidR="00B34F86" w:rsidRPr="009A0DA6" w:rsidRDefault="00B34F86" w:rsidP="00F55252">
      <w:pPr>
        <w:pStyle w:val="ListParagraph"/>
        <w:numPr>
          <w:ilvl w:val="0"/>
          <w:numId w:val="149"/>
        </w:numPr>
        <w:shd w:val="clear" w:color="auto" w:fill="FFFFFF"/>
        <w:spacing w:after="0" w:line="240" w:lineRule="auto"/>
        <w:ind w:left="567" w:hanging="567"/>
        <w:rPr>
          <w:rFonts w:ascii="Cambria" w:hAnsi="Cambria" w:cs="Lucida Sans Unicode"/>
          <w:color w:val="000000"/>
        </w:rPr>
      </w:pPr>
      <w:r w:rsidRPr="009A0DA6">
        <w:rPr>
          <w:rFonts w:ascii="Cambria" w:hAnsi="Cambria" w:cs="Lucida Sans Unicode"/>
          <w:color w:val="000000"/>
        </w:rPr>
        <w:t xml:space="preserve">the issue of sustainably financing the Districts and National Church is resolved;  </w:t>
      </w:r>
    </w:p>
    <w:p w14:paraId="75011DB1" w14:textId="77777777" w:rsidR="00B34F86" w:rsidRPr="009A0DA6" w:rsidRDefault="00B34F86" w:rsidP="00F55252">
      <w:pPr>
        <w:pStyle w:val="ListParagraph"/>
        <w:numPr>
          <w:ilvl w:val="0"/>
          <w:numId w:val="149"/>
        </w:numPr>
        <w:shd w:val="clear" w:color="auto" w:fill="FFFFFF"/>
        <w:spacing w:after="0" w:line="240" w:lineRule="auto"/>
        <w:ind w:left="567" w:hanging="567"/>
        <w:rPr>
          <w:rFonts w:ascii="Cambria" w:hAnsi="Cambria" w:cs="Lucida Sans Unicode"/>
          <w:color w:val="000000"/>
        </w:rPr>
      </w:pPr>
      <w:r w:rsidRPr="009A0DA6">
        <w:rPr>
          <w:rFonts w:ascii="Cambria" w:hAnsi="Cambria" w:cs="Lucida Sans Unicode"/>
          <w:color w:val="000000"/>
        </w:rPr>
        <w:t>the role of the Convention of Synod in electing boards and committees is upheld;</w:t>
      </w:r>
    </w:p>
    <w:p w14:paraId="46DD10DA" w14:textId="5C8B0505" w:rsidR="00B34F86" w:rsidRPr="009A0DA6" w:rsidRDefault="00B34F86" w:rsidP="00F55252">
      <w:pPr>
        <w:pStyle w:val="ListParagraph"/>
        <w:numPr>
          <w:ilvl w:val="0"/>
          <w:numId w:val="149"/>
        </w:numPr>
        <w:shd w:val="clear" w:color="auto" w:fill="FFFFFF"/>
        <w:tabs>
          <w:tab w:val="left" w:pos="3596"/>
        </w:tabs>
        <w:spacing w:after="120" w:line="240" w:lineRule="auto"/>
        <w:ind w:left="567" w:hanging="567"/>
        <w:rPr>
          <w:rFonts w:ascii="Cambria" w:eastAsia="Times New Roman" w:hAnsi="Cambria" w:cs="Times New Roman"/>
          <w:bCs/>
          <w:color w:val="222222"/>
          <w:sz w:val="10"/>
          <w:lang w:eastAsia="en-AU"/>
        </w:rPr>
      </w:pPr>
      <w:r w:rsidRPr="009A0DA6">
        <w:rPr>
          <w:rFonts w:ascii="Cambria" w:hAnsi="Cambria" w:cs="Lucida Sans Unicode"/>
          <w:color w:val="000000"/>
        </w:rPr>
        <w:t>the model for the General Church Council changes from a corporate to a churchly one.</w:t>
      </w:r>
      <w:r w:rsidRPr="009A0DA6">
        <w:rPr>
          <w:rFonts w:ascii="Cambria" w:hAnsi="Cambria" w:cs="Lucida Sans Unicode"/>
          <w:color w:val="000000"/>
        </w:rPr>
        <w:br/>
      </w:r>
    </w:p>
    <w:p w14:paraId="29DC5749" w14:textId="77777777" w:rsidR="00B34F86" w:rsidRPr="009A0DA6" w:rsidRDefault="00B34F86" w:rsidP="00355E83">
      <w:pPr>
        <w:pStyle w:val="Heading3"/>
        <w:spacing w:after="0"/>
      </w:pPr>
      <w:r w:rsidRPr="009A0DA6">
        <w:t>REASONS FOR THE MOTION</w:t>
      </w:r>
    </w:p>
    <w:p w14:paraId="050D4811" w14:textId="77777777" w:rsidR="00B34F86" w:rsidRPr="009A0DA6" w:rsidRDefault="00B34F86" w:rsidP="00F55252">
      <w:pPr>
        <w:numPr>
          <w:ilvl w:val="0"/>
          <w:numId w:val="150"/>
        </w:numPr>
        <w:spacing w:after="0" w:line="240" w:lineRule="auto"/>
        <w:ind w:left="567" w:hanging="567"/>
        <w:rPr>
          <w:rFonts w:ascii="Cambria" w:hAnsi="Cambria" w:cs="Lucida Sans Unicode"/>
        </w:rPr>
      </w:pPr>
      <w:r w:rsidRPr="009A0DA6">
        <w:rPr>
          <w:rFonts w:ascii="Cambria" w:hAnsi="Cambria" w:cs="Lucida Sans Unicode"/>
          <w:b/>
        </w:rPr>
        <w:t>What was targeted</w:t>
      </w:r>
      <w:r w:rsidRPr="009A0DA6">
        <w:rPr>
          <w:rFonts w:ascii="Cambria" w:hAnsi="Cambria" w:cs="Lucida Sans Unicode"/>
        </w:rPr>
        <w:t>?</w:t>
      </w:r>
    </w:p>
    <w:p w14:paraId="69925EA8" w14:textId="77777777" w:rsidR="00B34F86" w:rsidRPr="009A0DA6" w:rsidRDefault="00B34F86" w:rsidP="00B34F86">
      <w:pPr>
        <w:spacing w:after="0" w:line="240" w:lineRule="auto"/>
        <w:ind w:left="567"/>
        <w:rPr>
          <w:rFonts w:ascii="Cambria" w:hAnsi="Cambria" w:cs="Lucida Sans Unicode"/>
        </w:rPr>
      </w:pPr>
      <w:r w:rsidRPr="009A0DA6">
        <w:rPr>
          <w:rFonts w:ascii="Cambria" w:hAnsi="Cambria" w:cs="Lucida Sans Unicode"/>
        </w:rPr>
        <w:t xml:space="preserve">When the </w:t>
      </w:r>
      <w:r w:rsidRPr="009A0DA6">
        <w:rPr>
          <w:rFonts w:ascii="Cambria" w:hAnsi="Cambria" w:cs="Lucida Sans Unicode"/>
          <w:shd w:val="clear" w:color="auto" w:fill="FFFFFF"/>
        </w:rPr>
        <w:t>Governance and Administration Review (GAR)</w:t>
      </w:r>
      <w:r w:rsidRPr="009A0DA6">
        <w:rPr>
          <w:rFonts w:ascii="Cambria" w:hAnsi="Cambria" w:cs="Lucida Sans Unicode"/>
        </w:rPr>
        <w:t xml:space="preserve"> was established at the Novar Gardens Convention, the reason for the proposal included the following:</w:t>
      </w:r>
      <w:r w:rsidRPr="009A0DA6">
        <w:rPr>
          <w:rFonts w:ascii="Cambria" w:hAnsi="Cambria" w:cs="Lucida Sans Unicode"/>
        </w:rPr>
        <w:br/>
      </w:r>
      <w:r w:rsidRPr="009A0DA6">
        <w:rPr>
          <w:rFonts w:ascii="Cambria" w:hAnsi="Cambria" w:cs="Arial"/>
          <w:i/>
        </w:rPr>
        <w:t>The review will target:</w:t>
      </w:r>
    </w:p>
    <w:p w14:paraId="2F4652DC" w14:textId="2EE01586" w:rsidR="00B34F86" w:rsidRPr="009A0DA6" w:rsidRDefault="00B34F86" w:rsidP="00F55252">
      <w:pPr>
        <w:pStyle w:val="ListParagraph"/>
        <w:widowControl w:val="0"/>
        <w:numPr>
          <w:ilvl w:val="0"/>
          <w:numId w:val="151"/>
        </w:numPr>
        <w:autoSpaceDE w:val="0"/>
        <w:autoSpaceDN w:val="0"/>
        <w:adjustRightInd w:val="0"/>
        <w:spacing w:after="0" w:line="240" w:lineRule="auto"/>
        <w:ind w:left="1134" w:hanging="567"/>
        <w:rPr>
          <w:rFonts w:ascii="Cambria" w:hAnsi="Cambria" w:cs="Arial"/>
        </w:rPr>
      </w:pPr>
      <w:r w:rsidRPr="009A0DA6">
        <w:rPr>
          <w:rFonts w:ascii="Cambria" w:hAnsi="Cambria" w:cs="Arial"/>
          <w:i/>
        </w:rPr>
        <w:t>Reducing the human and financial resource quantum currently used for governance and</w:t>
      </w:r>
      <w:r w:rsidR="00355E83" w:rsidRPr="009A0DA6">
        <w:rPr>
          <w:rFonts w:ascii="Cambria" w:hAnsi="Cambria" w:cs="Arial"/>
          <w:i/>
        </w:rPr>
        <w:t xml:space="preserve"> </w:t>
      </w:r>
      <w:r w:rsidRPr="009A0DA6">
        <w:rPr>
          <w:rFonts w:ascii="Cambria" w:hAnsi="Cambria" w:cs="Arial"/>
          <w:i/>
        </w:rPr>
        <w:t>administration</w:t>
      </w:r>
    </w:p>
    <w:p w14:paraId="37E5971E" w14:textId="77777777" w:rsidR="00B34F86" w:rsidRPr="009A0DA6" w:rsidRDefault="00B34F86" w:rsidP="00F55252">
      <w:pPr>
        <w:pStyle w:val="ListParagraph"/>
        <w:widowControl w:val="0"/>
        <w:numPr>
          <w:ilvl w:val="0"/>
          <w:numId w:val="151"/>
        </w:numPr>
        <w:autoSpaceDE w:val="0"/>
        <w:autoSpaceDN w:val="0"/>
        <w:adjustRightInd w:val="0"/>
        <w:spacing w:after="0" w:line="240" w:lineRule="auto"/>
        <w:ind w:left="1134" w:hanging="567"/>
        <w:rPr>
          <w:rFonts w:ascii="Cambria" w:hAnsi="Cambria" w:cs="Arial"/>
        </w:rPr>
      </w:pPr>
      <w:r w:rsidRPr="009A0DA6">
        <w:rPr>
          <w:rFonts w:ascii="Cambria" w:hAnsi="Cambria" w:cs="Arial"/>
          <w:i/>
        </w:rPr>
        <w:t>Reducing the total number of LCA governing and administrative bodies through supported consolidation of responsibilities</w:t>
      </w:r>
    </w:p>
    <w:p w14:paraId="7DE32187" w14:textId="77777777" w:rsidR="00B34F86" w:rsidRPr="009A0DA6" w:rsidRDefault="00B34F86" w:rsidP="00F55252">
      <w:pPr>
        <w:pStyle w:val="ListParagraph"/>
        <w:widowControl w:val="0"/>
        <w:numPr>
          <w:ilvl w:val="0"/>
          <w:numId w:val="151"/>
        </w:numPr>
        <w:autoSpaceDE w:val="0"/>
        <w:autoSpaceDN w:val="0"/>
        <w:adjustRightInd w:val="0"/>
        <w:spacing w:after="0" w:line="240" w:lineRule="auto"/>
        <w:ind w:left="1134" w:hanging="567"/>
        <w:rPr>
          <w:rFonts w:ascii="Cambria" w:hAnsi="Cambria" w:cs="Arial"/>
        </w:rPr>
      </w:pPr>
      <w:r w:rsidRPr="009A0DA6">
        <w:rPr>
          <w:rFonts w:ascii="Cambria" w:hAnsi="Cambria" w:cs="Arial"/>
          <w:i/>
        </w:rPr>
        <w:t>Reducing the total cost of governance across the LCA including its Districts</w:t>
      </w:r>
    </w:p>
    <w:p w14:paraId="0D8A2AC3" w14:textId="77777777" w:rsidR="00B34F86" w:rsidRPr="009A0DA6" w:rsidRDefault="00B34F86" w:rsidP="00F55252">
      <w:pPr>
        <w:pStyle w:val="ListParagraph"/>
        <w:widowControl w:val="0"/>
        <w:numPr>
          <w:ilvl w:val="0"/>
          <w:numId w:val="151"/>
        </w:numPr>
        <w:autoSpaceDE w:val="0"/>
        <w:autoSpaceDN w:val="0"/>
        <w:adjustRightInd w:val="0"/>
        <w:spacing w:after="0" w:line="240" w:lineRule="auto"/>
        <w:ind w:left="1134" w:hanging="567"/>
        <w:rPr>
          <w:rFonts w:ascii="Cambria" w:hAnsi="Cambria" w:cs="Arial"/>
        </w:rPr>
      </w:pPr>
      <w:r w:rsidRPr="009A0DA6">
        <w:rPr>
          <w:rFonts w:ascii="Cambria" w:hAnsi="Cambria" w:cs="Arial"/>
          <w:i/>
        </w:rPr>
        <w:t>Reducing the total cost of administration across the LCA including its Districts</w:t>
      </w:r>
    </w:p>
    <w:p w14:paraId="089731EA" w14:textId="77777777" w:rsidR="00B34F86" w:rsidRPr="009A0DA6" w:rsidRDefault="00B34F86" w:rsidP="00F55252">
      <w:pPr>
        <w:pStyle w:val="ListParagraph"/>
        <w:widowControl w:val="0"/>
        <w:numPr>
          <w:ilvl w:val="0"/>
          <w:numId w:val="151"/>
        </w:numPr>
        <w:autoSpaceDE w:val="0"/>
        <w:autoSpaceDN w:val="0"/>
        <w:adjustRightInd w:val="0"/>
        <w:spacing w:after="0" w:line="240" w:lineRule="auto"/>
        <w:ind w:left="1134" w:hanging="567"/>
        <w:rPr>
          <w:rFonts w:ascii="Cambria" w:hAnsi="Cambria" w:cs="Arial"/>
        </w:rPr>
      </w:pPr>
      <w:r w:rsidRPr="009A0DA6">
        <w:rPr>
          <w:rFonts w:ascii="Cambria" w:hAnsi="Cambria" w:cs="Arial"/>
          <w:i/>
        </w:rPr>
        <w:t>Reducing the minimum number of people required to be on a committee</w:t>
      </w:r>
    </w:p>
    <w:p w14:paraId="2B62A4E4" w14:textId="77777777" w:rsidR="00B34F86" w:rsidRPr="009A0DA6" w:rsidRDefault="00B34F86" w:rsidP="00F55252">
      <w:pPr>
        <w:pStyle w:val="ListParagraph"/>
        <w:widowControl w:val="0"/>
        <w:numPr>
          <w:ilvl w:val="0"/>
          <w:numId w:val="151"/>
        </w:numPr>
        <w:autoSpaceDE w:val="0"/>
        <w:autoSpaceDN w:val="0"/>
        <w:adjustRightInd w:val="0"/>
        <w:spacing w:after="0" w:line="240" w:lineRule="auto"/>
        <w:ind w:left="1134" w:hanging="567"/>
        <w:rPr>
          <w:rFonts w:ascii="Cambria" w:hAnsi="Cambria" w:cs="Iskoola Pota"/>
        </w:rPr>
      </w:pPr>
      <w:r w:rsidRPr="009A0DA6">
        <w:rPr>
          <w:rFonts w:ascii="Cambria" w:hAnsi="Cambria" w:cs="Arial"/>
          <w:i/>
        </w:rPr>
        <w:t>Ensuring supporting administrative secretariats that are reflective of local needs</w:t>
      </w:r>
    </w:p>
    <w:p w14:paraId="025C923A" w14:textId="3C2A8B76" w:rsidR="00B34F86" w:rsidRPr="009A0DA6" w:rsidRDefault="00231B8F" w:rsidP="00B34F86">
      <w:pPr>
        <w:pStyle w:val="ListParagraph"/>
        <w:widowControl w:val="0"/>
        <w:autoSpaceDE w:val="0"/>
        <w:autoSpaceDN w:val="0"/>
        <w:adjustRightInd w:val="0"/>
        <w:spacing w:after="0" w:line="240" w:lineRule="auto"/>
        <w:ind w:left="1134"/>
        <w:rPr>
          <w:rFonts w:ascii="Cambria" w:hAnsi="Cambria" w:cs="Iskoola Pota"/>
        </w:rPr>
      </w:pPr>
      <w:r w:rsidRPr="009A0DA6">
        <w:rPr>
          <w:rFonts w:ascii="Cambria" w:hAnsi="Cambria" w:cs="Arial"/>
        </w:rPr>
        <w:t>(Book of Reports, p</w:t>
      </w:r>
      <w:r w:rsidR="00B34F86" w:rsidRPr="009A0DA6">
        <w:rPr>
          <w:rFonts w:ascii="Cambria" w:hAnsi="Cambria" w:cs="Arial"/>
        </w:rPr>
        <w:t>16)</w:t>
      </w:r>
    </w:p>
    <w:p w14:paraId="0F62D3B2" w14:textId="77777777" w:rsidR="00B34F86" w:rsidRPr="009A0DA6" w:rsidRDefault="00B34F86" w:rsidP="00B34F86">
      <w:pPr>
        <w:shd w:val="clear" w:color="auto" w:fill="FFFFFF"/>
        <w:spacing w:after="0" w:line="240" w:lineRule="auto"/>
        <w:ind w:left="426"/>
        <w:rPr>
          <w:rFonts w:ascii="Cambria" w:hAnsi="Cambria" w:cs="Iskoola Pota"/>
        </w:rPr>
      </w:pPr>
    </w:p>
    <w:p w14:paraId="346274EA" w14:textId="5DB54D49" w:rsidR="00B34F86" w:rsidRPr="009A0DA6" w:rsidRDefault="00B34F86" w:rsidP="00231B8F">
      <w:pPr>
        <w:shd w:val="clear" w:color="auto" w:fill="FFFFFF"/>
        <w:spacing w:after="0" w:line="240" w:lineRule="auto"/>
        <w:ind w:left="567"/>
        <w:rPr>
          <w:rFonts w:ascii="Cambria" w:hAnsi="Cambria" w:cs="Arial"/>
        </w:rPr>
      </w:pPr>
      <w:r w:rsidRPr="009A0DA6">
        <w:rPr>
          <w:rFonts w:ascii="Cambria" w:hAnsi="Cambria" w:cs="Iskoola Pota"/>
        </w:rPr>
        <w:t xml:space="preserve">In an earlier attempt at reform (2009), President Semmler stated: </w:t>
      </w:r>
      <w:r w:rsidRPr="009A0DA6">
        <w:rPr>
          <w:rFonts w:ascii="Cambria" w:hAnsi="Cambria" w:cs="Arial"/>
          <w:i/>
        </w:rPr>
        <w:t>The aim is not to increase any permanent or unnecessary bureaucracy.</w:t>
      </w:r>
    </w:p>
    <w:p w14:paraId="4B07373F" w14:textId="77777777" w:rsidR="00B34F86" w:rsidRPr="009A0DA6" w:rsidRDefault="00B34F86" w:rsidP="00231B8F">
      <w:pPr>
        <w:shd w:val="clear" w:color="auto" w:fill="FFFFFF"/>
        <w:spacing w:after="0" w:line="240" w:lineRule="auto"/>
        <w:ind w:left="567"/>
        <w:rPr>
          <w:rFonts w:ascii="Cambria" w:hAnsi="Cambria" w:cs="Iskoola Pota"/>
          <w:shd w:val="clear" w:color="auto" w:fill="FFFFFF"/>
        </w:rPr>
      </w:pPr>
    </w:p>
    <w:p w14:paraId="402C178B" w14:textId="1CFFA779" w:rsidR="00B34F86" w:rsidRPr="009A0DA6" w:rsidRDefault="00B34F86" w:rsidP="00231B8F">
      <w:pPr>
        <w:shd w:val="clear" w:color="auto" w:fill="FFFFFF"/>
        <w:spacing w:after="0" w:line="240" w:lineRule="auto"/>
        <w:ind w:left="567"/>
        <w:rPr>
          <w:rFonts w:ascii="Cambria" w:hAnsi="Cambria" w:cs="Arial"/>
        </w:rPr>
      </w:pPr>
      <w:r w:rsidRPr="009A0DA6">
        <w:rPr>
          <w:rFonts w:ascii="Cambria" w:hAnsi="Cambria" w:cs="Iskoola Pota"/>
          <w:shd w:val="clear" w:color="auto" w:fill="FFFFFF"/>
        </w:rPr>
        <w:t>The reality has proven different</w:t>
      </w:r>
      <w:r w:rsidR="0027799A" w:rsidRPr="009A0DA6">
        <w:rPr>
          <w:rFonts w:ascii="Cambria" w:hAnsi="Cambria" w:cs="Iskoola Pota"/>
          <w:shd w:val="clear" w:color="auto" w:fill="FFFFFF"/>
        </w:rPr>
        <w:t xml:space="preserve">. </w:t>
      </w:r>
      <w:r w:rsidRPr="009A0DA6">
        <w:rPr>
          <w:rFonts w:ascii="Cambria" w:hAnsi="Cambria" w:cs="Iskoola Pota"/>
        </w:rPr>
        <w:t>While the numbers employed in the LCA’s National Office for 2009 aren’t available, the more recent figures are:</w:t>
      </w:r>
    </w:p>
    <w:p w14:paraId="768FF481" w14:textId="77777777" w:rsidR="00B34F86" w:rsidRPr="009A0DA6" w:rsidRDefault="00B34F86" w:rsidP="00231B8F">
      <w:pPr>
        <w:shd w:val="clear" w:color="auto" w:fill="FFFFFF"/>
        <w:spacing w:after="0" w:line="240" w:lineRule="auto"/>
        <w:ind w:left="567"/>
        <w:rPr>
          <w:rFonts w:ascii="Cambria" w:hAnsi="Cambria" w:cs="Arial"/>
        </w:rPr>
      </w:pPr>
      <w:r w:rsidRPr="009A0DA6">
        <w:rPr>
          <w:rFonts w:ascii="Cambria" w:hAnsi="Cambria" w:cs="Iskoola Pota"/>
        </w:rPr>
        <w:t>2013 – 43 (24 FT, 19 PT)</w:t>
      </w:r>
    </w:p>
    <w:p w14:paraId="0BA3DDDF" w14:textId="77777777" w:rsidR="00B34F86" w:rsidRPr="009A0DA6" w:rsidRDefault="00B34F86" w:rsidP="00231B8F">
      <w:pPr>
        <w:shd w:val="clear" w:color="auto" w:fill="FFFFFF"/>
        <w:spacing w:after="0" w:line="240" w:lineRule="auto"/>
        <w:ind w:left="567"/>
        <w:rPr>
          <w:rFonts w:ascii="Cambria" w:hAnsi="Cambria" w:cs="Arial"/>
        </w:rPr>
      </w:pPr>
      <w:r w:rsidRPr="009A0DA6">
        <w:rPr>
          <w:rFonts w:ascii="Cambria" w:hAnsi="Cambria" w:cs="Iskoola Pota"/>
        </w:rPr>
        <w:t>2015 – 54 (25 FT, 29 PT)</w:t>
      </w:r>
    </w:p>
    <w:p w14:paraId="288361CB" w14:textId="77777777" w:rsidR="00B34F86" w:rsidRPr="009A0DA6" w:rsidRDefault="00B34F86" w:rsidP="00231B8F">
      <w:pPr>
        <w:shd w:val="clear" w:color="auto" w:fill="FFFFFF"/>
        <w:spacing w:after="0" w:line="240" w:lineRule="auto"/>
        <w:ind w:left="567"/>
        <w:rPr>
          <w:rFonts w:ascii="Cambria" w:hAnsi="Cambria" w:cs="Arial"/>
        </w:rPr>
      </w:pPr>
      <w:r w:rsidRPr="009A0DA6">
        <w:rPr>
          <w:rFonts w:ascii="Cambria" w:hAnsi="Cambria" w:cs="Iskoola Pota"/>
        </w:rPr>
        <w:t xml:space="preserve">2018 – 77 (41 FT, 36 PT) </w:t>
      </w:r>
    </w:p>
    <w:p w14:paraId="534B81E9" w14:textId="77777777" w:rsidR="00B34F86" w:rsidRPr="009A0DA6" w:rsidRDefault="00B34F86" w:rsidP="00231B8F">
      <w:pPr>
        <w:pStyle w:val="ListParagraph"/>
        <w:spacing w:after="0" w:line="240" w:lineRule="auto"/>
        <w:ind w:left="567"/>
        <w:rPr>
          <w:rFonts w:ascii="Cambria" w:hAnsi="Cambria" w:cs="Iskoola Pota"/>
        </w:rPr>
      </w:pPr>
      <w:r w:rsidRPr="009A0DA6">
        <w:rPr>
          <w:rFonts w:ascii="Cambria" w:hAnsi="Cambria" w:cs="Iskoola Pota"/>
        </w:rPr>
        <w:t>If the General Church Council (GCC) is focused on ‘reductions’, why do we have very significant increases in staffing?</w:t>
      </w:r>
    </w:p>
    <w:p w14:paraId="12C3A755" w14:textId="77777777" w:rsidR="00B34F86" w:rsidRPr="009A0DA6" w:rsidRDefault="00B34F86" w:rsidP="00B34F86">
      <w:pPr>
        <w:pStyle w:val="ListParagraph"/>
        <w:spacing w:after="0" w:line="240" w:lineRule="auto"/>
        <w:ind w:left="426"/>
        <w:rPr>
          <w:rFonts w:ascii="Cambria" w:hAnsi="Cambria" w:cs="Iskoola Pota"/>
        </w:rPr>
      </w:pPr>
    </w:p>
    <w:p w14:paraId="76F719A1" w14:textId="77777777" w:rsidR="00B34F86" w:rsidRPr="009A0DA6" w:rsidRDefault="00B34F86" w:rsidP="00F55252">
      <w:pPr>
        <w:numPr>
          <w:ilvl w:val="0"/>
          <w:numId w:val="148"/>
        </w:numPr>
        <w:spacing w:after="0" w:line="240" w:lineRule="auto"/>
        <w:ind w:left="567" w:hanging="567"/>
        <w:rPr>
          <w:rFonts w:ascii="Cambria" w:hAnsi="Cambria"/>
          <w:b/>
        </w:rPr>
      </w:pPr>
      <w:r w:rsidRPr="009A0DA6">
        <w:rPr>
          <w:rFonts w:ascii="Cambria" w:hAnsi="Cambria" w:cs="Lucida Sans Unicode"/>
          <w:b/>
        </w:rPr>
        <w:t>Unfinished business</w:t>
      </w:r>
    </w:p>
    <w:p w14:paraId="5B635EAD" w14:textId="247B396E" w:rsidR="00B34F86" w:rsidRPr="009A0DA6" w:rsidRDefault="00B34F86" w:rsidP="00B34F86">
      <w:pPr>
        <w:spacing w:after="0" w:line="240" w:lineRule="auto"/>
        <w:ind w:left="567"/>
        <w:rPr>
          <w:rFonts w:ascii="Cambria" w:hAnsi="Cambria" w:cs="Lucida Sans Unicode"/>
        </w:rPr>
      </w:pPr>
      <w:r w:rsidRPr="009A0DA6">
        <w:rPr>
          <w:rFonts w:ascii="Cambria" w:hAnsi="Cambria" w:cs="Lucida Sans Unicode"/>
        </w:rPr>
        <w:t>GAR Recommendation 24 reads:</w:t>
      </w:r>
      <w:r w:rsidRPr="009A0DA6">
        <w:rPr>
          <w:rFonts w:ascii="Cambria" w:hAnsi="Cambria" w:cs="Lucida Sans Unicode"/>
        </w:rPr>
        <w:br/>
      </w:r>
      <w:r w:rsidRPr="009A0DA6">
        <w:rPr>
          <w:rFonts w:ascii="Cambria" w:hAnsi="Cambria" w:cs="Arial"/>
          <w:i/>
        </w:rPr>
        <w:t>…  in accordance with the Strategic Priorities of the church and in the interests of access and equity, the GCC develops a proposal by which congregational funding of the church goes directly from congregations to the national church</w:t>
      </w:r>
      <w:r w:rsidR="0027799A" w:rsidRPr="009A0DA6">
        <w:rPr>
          <w:rFonts w:ascii="Cambria" w:hAnsi="Cambria" w:cs="Arial"/>
          <w:i/>
        </w:rPr>
        <w:t xml:space="preserve">. </w:t>
      </w:r>
      <w:r w:rsidRPr="009A0DA6">
        <w:rPr>
          <w:rFonts w:ascii="Cambria" w:hAnsi="Cambria" w:cs="Arial"/>
          <w:i/>
        </w:rPr>
        <w:br/>
      </w:r>
    </w:p>
    <w:p w14:paraId="009F26B6" w14:textId="73222005" w:rsidR="00B34F86" w:rsidRPr="009A0DA6" w:rsidRDefault="00B34F86" w:rsidP="00B34F86">
      <w:pPr>
        <w:spacing w:after="0" w:line="240" w:lineRule="auto"/>
        <w:ind w:left="567"/>
        <w:rPr>
          <w:rFonts w:ascii="Cambria" w:hAnsi="Cambria" w:cs="Lucida Sans Unicode"/>
        </w:rPr>
      </w:pPr>
      <w:r w:rsidRPr="009A0DA6">
        <w:rPr>
          <w:rFonts w:ascii="Cambria" w:hAnsi="Cambria" w:cs="Lucida Sans Unicode"/>
        </w:rPr>
        <w:t xml:space="preserve">The GCC did not accept this recommendation. Instead it undertook to produce an ‘options paper’ and implement any changes ‘in cooperation with the Districts’ </w:t>
      </w:r>
      <w:r w:rsidR="00231B8F" w:rsidRPr="009A0DA6">
        <w:rPr>
          <w:rFonts w:ascii="Cambria" w:hAnsi="Cambria" w:cs="Lucida Sans Unicode"/>
        </w:rPr>
        <w:br/>
      </w:r>
      <w:r w:rsidRPr="009A0DA6">
        <w:rPr>
          <w:rFonts w:ascii="Cambria" w:hAnsi="Cambria" w:cs="Lucida Sans Unicode"/>
        </w:rPr>
        <w:t>(2015 Book of Reports, p157)</w:t>
      </w:r>
      <w:r w:rsidR="0027799A" w:rsidRPr="009A0DA6">
        <w:rPr>
          <w:rFonts w:ascii="Cambria" w:hAnsi="Cambria" w:cs="Lucida Sans Unicode"/>
        </w:rPr>
        <w:t xml:space="preserve">. </w:t>
      </w:r>
      <w:r w:rsidRPr="009A0DA6">
        <w:rPr>
          <w:rFonts w:ascii="Cambria" w:hAnsi="Cambria" w:cs="Lucida Sans Unicode"/>
        </w:rPr>
        <w:t>The GCC’s decision appears to reflect an assessment that this chan</w:t>
      </w:r>
      <w:r w:rsidR="00231B8F" w:rsidRPr="009A0DA6">
        <w:rPr>
          <w:rFonts w:ascii="Cambria" w:hAnsi="Cambria" w:cs="Lucida Sans Unicode"/>
        </w:rPr>
        <w:t xml:space="preserve">ge is in the ‘too-hard basket’. </w:t>
      </w:r>
      <w:r w:rsidRPr="009A0DA6">
        <w:rPr>
          <w:rFonts w:ascii="Cambria" w:hAnsi="Cambria" w:cs="Lucida Sans Unicode"/>
        </w:rPr>
        <w:t>The question of the direction in which finances flow and how Districts and the National church should complement one another will be difficult to resolve by agreement between the parties involved</w:t>
      </w:r>
      <w:r w:rsidR="0027799A" w:rsidRPr="009A0DA6">
        <w:rPr>
          <w:rFonts w:ascii="Cambria" w:hAnsi="Cambria" w:cs="Lucida Sans Unicode"/>
        </w:rPr>
        <w:t xml:space="preserve">. </w:t>
      </w:r>
      <w:r w:rsidRPr="009A0DA6">
        <w:rPr>
          <w:rFonts w:ascii="Cambria" w:hAnsi="Cambria" w:cs="Lucida Sans Unicode"/>
        </w:rPr>
        <w:t>However, until such basic issues are addressed, and the relevant parties have agreed to a solution, a foundational pillar of any form of LCA governance and administration is lacking.</w:t>
      </w:r>
    </w:p>
    <w:p w14:paraId="749CB2E9" w14:textId="77777777" w:rsidR="00B34F86" w:rsidRPr="006940AF" w:rsidRDefault="00B34F86" w:rsidP="00B34F86">
      <w:pPr>
        <w:spacing w:after="0" w:line="240" w:lineRule="auto"/>
        <w:ind w:left="360"/>
        <w:rPr>
          <w:rFonts w:ascii="Cambria" w:hAnsi="Cambria" w:cs="Lucida Sans Unicode"/>
          <w:sz w:val="14"/>
        </w:rPr>
      </w:pPr>
    </w:p>
    <w:p w14:paraId="3A888796" w14:textId="77777777" w:rsidR="00B34F86" w:rsidRPr="009A0DA6" w:rsidRDefault="00B34F86" w:rsidP="00F55252">
      <w:pPr>
        <w:pStyle w:val="ListParagraph"/>
        <w:numPr>
          <w:ilvl w:val="0"/>
          <w:numId w:val="148"/>
        </w:numPr>
        <w:spacing w:after="0" w:line="240" w:lineRule="auto"/>
        <w:ind w:left="567" w:hanging="567"/>
        <w:rPr>
          <w:rFonts w:ascii="Cambria" w:hAnsi="Cambria" w:cs="Lucida Sans Unicode"/>
        </w:rPr>
      </w:pPr>
      <w:r w:rsidRPr="009A0DA6">
        <w:rPr>
          <w:rFonts w:ascii="Cambria" w:hAnsi="Cambria"/>
          <w:b/>
        </w:rPr>
        <w:t>Finances</w:t>
      </w:r>
    </w:p>
    <w:p w14:paraId="22C65CF0" w14:textId="71E603E7" w:rsidR="00B34F86" w:rsidRPr="009A0DA6" w:rsidRDefault="00B34F86" w:rsidP="00B34F86">
      <w:pPr>
        <w:spacing w:after="0" w:line="240" w:lineRule="auto"/>
        <w:ind w:left="567"/>
        <w:rPr>
          <w:rFonts w:ascii="Cambria" w:hAnsi="Cambria"/>
        </w:rPr>
      </w:pPr>
      <w:r w:rsidRPr="009A0DA6">
        <w:rPr>
          <w:rFonts w:ascii="Cambria" w:hAnsi="Cambria"/>
        </w:rPr>
        <w:t>Concern</w:t>
      </w:r>
      <w:r w:rsidRPr="009A0DA6">
        <w:rPr>
          <w:rFonts w:ascii="Cambria" w:hAnsi="Cambria"/>
          <w:shd w:val="clear" w:color="auto" w:fill="FFFFFF"/>
        </w:rPr>
        <w:t xml:space="preserve"> </w:t>
      </w:r>
      <w:r w:rsidRPr="009A0DA6">
        <w:rPr>
          <w:rFonts w:ascii="Cambria" w:hAnsi="Cambria"/>
        </w:rPr>
        <w:t xml:space="preserve">at declining finances </w:t>
      </w:r>
      <w:r w:rsidRPr="009A0DA6">
        <w:rPr>
          <w:rFonts w:ascii="Cambria" w:hAnsi="Cambria"/>
          <w:shd w:val="clear" w:color="auto" w:fill="FFFFFF"/>
        </w:rPr>
        <w:t>was</w:t>
      </w:r>
      <w:r w:rsidRPr="009A0DA6">
        <w:rPr>
          <w:rFonts w:ascii="Cambria" w:hAnsi="Cambria"/>
        </w:rPr>
        <w:t xml:space="preserve"> a crucial, it not the major, reason for undertaking the GAR</w:t>
      </w:r>
      <w:r w:rsidR="0027799A" w:rsidRPr="009A0DA6">
        <w:rPr>
          <w:rFonts w:ascii="Cambria" w:hAnsi="Cambria"/>
        </w:rPr>
        <w:t xml:space="preserve">. </w:t>
      </w:r>
      <w:r w:rsidRPr="009A0DA6">
        <w:rPr>
          <w:rFonts w:ascii="Cambria" w:hAnsi="Cambria"/>
        </w:rPr>
        <w:t xml:space="preserve">Instead of creating greater efficiencies and reducing </w:t>
      </w:r>
      <w:r w:rsidRPr="009A0DA6">
        <w:rPr>
          <w:rFonts w:ascii="Cambria" w:hAnsi="Cambria"/>
          <w:shd w:val="clear" w:color="auto" w:fill="FFFFFF"/>
        </w:rPr>
        <w:t xml:space="preserve">expenditure, there has been a sharp increase in LCA spending. This has been funded largely through the generosity of the Lutheran Laypeople’s League (LLL) </w:t>
      </w:r>
      <w:r w:rsidRPr="009A0DA6">
        <w:rPr>
          <w:rFonts w:ascii="Cambria" w:hAnsi="Cambria"/>
        </w:rPr>
        <w:t>–</w:t>
      </w:r>
      <w:r w:rsidRPr="009A0DA6">
        <w:rPr>
          <w:rFonts w:ascii="Cambria" w:hAnsi="Cambria"/>
          <w:shd w:val="clear" w:color="auto" w:fill="FFFFFF"/>
        </w:rPr>
        <w:t xml:space="preserve"> in the vicinity of $5,000,000 in 2016-17</w:t>
      </w:r>
      <w:r w:rsidR="0027799A" w:rsidRPr="009A0DA6">
        <w:rPr>
          <w:rFonts w:ascii="Cambria" w:hAnsi="Cambria"/>
          <w:shd w:val="clear" w:color="auto" w:fill="FFFFFF"/>
        </w:rPr>
        <w:t xml:space="preserve">. </w:t>
      </w:r>
      <w:r w:rsidRPr="009A0DA6">
        <w:rPr>
          <w:rFonts w:ascii="Cambria" w:hAnsi="Cambria"/>
        </w:rPr>
        <w:t xml:space="preserve">At a time when congregations and Districts are struggling financially, there is </w:t>
      </w:r>
      <w:r w:rsidRPr="009A0DA6">
        <w:rPr>
          <w:rFonts w:ascii="Cambria" w:hAnsi="Cambria"/>
          <w:shd w:val="clear" w:color="auto" w:fill="FFFFFF"/>
        </w:rPr>
        <w:t>increasing</w:t>
      </w:r>
      <w:r w:rsidRPr="009A0DA6">
        <w:rPr>
          <w:rFonts w:ascii="Cambria" w:hAnsi="Cambria"/>
        </w:rPr>
        <w:t xml:space="preserve"> expenditure by the National Church –</w:t>
      </w:r>
      <w:r w:rsidRPr="009A0DA6">
        <w:rPr>
          <w:rFonts w:ascii="Cambria" w:hAnsi="Cambria"/>
          <w:shd w:val="clear" w:color="auto" w:fill="FFFFFF"/>
        </w:rPr>
        <w:t xml:space="preserve"> </w:t>
      </w:r>
      <w:r w:rsidRPr="009A0DA6">
        <w:rPr>
          <w:rFonts w:ascii="Cambria" w:hAnsi="Cambria"/>
        </w:rPr>
        <w:t>expenditure that is beyond the control, influence or oversight of delegates</w:t>
      </w:r>
      <w:r w:rsidR="0027799A" w:rsidRPr="009A0DA6">
        <w:rPr>
          <w:rFonts w:ascii="Cambria" w:hAnsi="Cambria"/>
        </w:rPr>
        <w:t xml:space="preserve">. </w:t>
      </w:r>
      <w:r w:rsidR="00231B8F" w:rsidRPr="009A0DA6">
        <w:rPr>
          <w:rFonts w:ascii="Cambria" w:hAnsi="Cambria"/>
        </w:rPr>
        <w:t xml:space="preserve">Is this a healthy arrangement? </w:t>
      </w:r>
      <w:r w:rsidRPr="009A0DA6">
        <w:rPr>
          <w:rFonts w:ascii="Cambria" w:hAnsi="Cambria"/>
        </w:rPr>
        <w:t>While the LCA should be thankful to the LLL,</w:t>
      </w:r>
      <w:r w:rsidR="00231B8F" w:rsidRPr="009A0DA6">
        <w:rPr>
          <w:rFonts w:ascii="Cambria" w:hAnsi="Cambria"/>
        </w:rPr>
        <w:t xml:space="preserve"> is this approach sustainable? </w:t>
      </w:r>
      <w:r w:rsidRPr="009A0DA6">
        <w:rPr>
          <w:rFonts w:ascii="Cambria" w:hAnsi="Cambria"/>
        </w:rPr>
        <w:t xml:space="preserve">Shouldn’t LCA expenditure be more </w:t>
      </w:r>
      <w:r w:rsidRPr="009A0DA6">
        <w:rPr>
          <w:rFonts w:ascii="Cambria" w:hAnsi="Cambria"/>
          <w:shd w:val="clear" w:color="auto" w:fill="FFFFFF"/>
        </w:rPr>
        <w:t>in step</w:t>
      </w:r>
      <w:r w:rsidRPr="009A0DA6">
        <w:rPr>
          <w:rFonts w:ascii="Cambria" w:hAnsi="Cambria"/>
        </w:rPr>
        <w:t xml:space="preserve"> with congregational giving, and also more accountable to Convention?    </w:t>
      </w:r>
    </w:p>
    <w:p w14:paraId="2EE815B1" w14:textId="77777777" w:rsidR="00B34F86" w:rsidRPr="004A186C" w:rsidRDefault="00B34F86" w:rsidP="00B34F86">
      <w:pPr>
        <w:spacing w:after="0" w:line="240" w:lineRule="auto"/>
        <w:ind w:left="360"/>
        <w:rPr>
          <w:rFonts w:ascii="Cambria" w:hAnsi="Cambria"/>
          <w:sz w:val="12"/>
        </w:rPr>
      </w:pPr>
    </w:p>
    <w:p w14:paraId="1894EB1D" w14:textId="77777777" w:rsidR="00B34F86" w:rsidRPr="009A0DA6" w:rsidRDefault="00B34F86" w:rsidP="00F55252">
      <w:pPr>
        <w:numPr>
          <w:ilvl w:val="0"/>
          <w:numId w:val="148"/>
        </w:numPr>
        <w:spacing w:after="0" w:line="240" w:lineRule="auto"/>
        <w:ind w:left="567" w:hanging="567"/>
        <w:rPr>
          <w:rFonts w:ascii="Cambria" w:hAnsi="Cambria"/>
          <w:b/>
        </w:rPr>
      </w:pPr>
      <w:r w:rsidRPr="009A0DA6">
        <w:rPr>
          <w:rFonts w:ascii="Cambria" w:hAnsi="Cambria" w:cs="Lucida Sans Unicode"/>
          <w:b/>
        </w:rPr>
        <w:t>Composition of the General Church Council (GCC)</w:t>
      </w:r>
    </w:p>
    <w:p w14:paraId="581FBEAF" w14:textId="54428B0C" w:rsidR="00B34F86" w:rsidRPr="009A0DA6" w:rsidRDefault="00B34F86" w:rsidP="00231B8F">
      <w:pPr>
        <w:spacing w:after="0" w:line="240" w:lineRule="auto"/>
        <w:ind w:left="567"/>
        <w:rPr>
          <w:rFonts w:ascii="Cambria" w:hAnsi="Cambria" w:cs="Lucida Sans Unicode"/>
        </w:rPr>
      </w:pPr>
      <w:r w:rsidRPr="009A0DA6">
        <w:rPr>
          <w:rFonts w:ascii="Cambria" w:hAnsi="Cambria" w:cs="Lucida Sans Unicode"/>
        </w:rPr>
        <w:t>Under t</w:t>
      </w:r>
      <w:r w:rsidRPr="009A0DA6">
        <w:rPr>
          <w:rFonts w:ascii="Cambria" w:hAnsi="Cambria" w:cs="Lucida Sans Unicode"/>
          <w:color w:val="000000"/>
        </w:rPr>
        <w:t>he GAR recommendations,</w:t>
      </w:r>
      <w:r w:rsidRPr="009A0DA6">
        <w:rPr>
          <w:rFonts w:ascii="Cambria" w:hAnsi="Cambria" w:cs="Lucida Sans Unicode"/>
          <w:color w:val="000000"/>
          <w:shd w:val="clear" w:color="auto" w:fill="FFFFFF"/>
        </w:rPr>
        <w:t xml:space="preserve"> the</w:t>
      </w:r>
      <w:r w:rsidRPr="009A0DA6">
        <w:rPr>
          <w:rFonts w:ascii="Cambria" w:hAnsi="Cambria" w:cs="Lucida Sans Unicode"/>
          <w:color w:val="000000"/>
        </w:rPr>
        <w:t xml:space="preserve"> GCC becomes a body with ‘competencies’, not a representational one as currently</w:t>
      </w:r>
      <w:r w:rsidR="0027799A" w:rsidRPr="009A0DA6">
        <w:rPr>
          <w:rFonts w:ascii="Cambria" w:hAnsi="Cambria" w:cs="Lucida Sans Unicode"/>
          <w:color w:val="000000"/>
        </w:rPr>
        <w:t xml:space="preserve">. </w:t>
      </w:r>
      <w:r w:rsidRPr="009A0DA6">
        <w:rPr>
          <w:rFonts w:ascii="Cambria" w:hAnsi="Cambria" w:cs="Lucida Sans Unicode"/>
          <w:color w:val="000000"/>
        </w:rPr>
        <w:t>There are to be nine members: the Bishop, his Assistant and on</w:t>
      </w:r>
      <w:r w:rsidRPr="009A0DA6">
        <w:rPr>
          <w:rFonts w:ascii="Cambria" w:hAnsi="Cambria" w:cs="Lucida Sans Unicode"/>
        </w:rPr>
        <w:t>e pastor together with six laypeople</w:t>
      </w:r>
      <w:r w:rsidR="0027799A" w:rsidRPr="009A0DA6">
        <w:rPr>
          <w:rFonts w:ascii="Cambria" w:hAnsi="Cambria" w:cs="Lucida Sans Unicode"/>
        </w:rPr>
        <w:t xml:space="preserve">. </w:t>
      </w:r>
      <w:r w:rsidRPr="009A0DA6">
        <w:rPr>
          <w:rFonts w:ascii="Cambria" w:hAnsi="Cambria" w:cs="Lucida Sans Unicode"/>
        </w:rPr>
        <w:t>The laity must</w:t>
      </w:r>
      <w:r w:rsidR="00231B8F" w:rsidRPr="009A0DA6">
        <w:rPr>
          <w:rFonts w:ascii="Cambria" w:hAnsi="Cambria" w:cs="Lucida Sans Unicode"/>
        </w:rPr>
        <w:t xml:space="preserve"> include the following skills: </w:t>
      </w:r>
      <w:r w:rsidRPr="009A0DA6">
        <w:rPr>
          <w:rFonts w:ascii="Cambria" w:hAnsi="Cambria" w:cs="Arial"/>
          <w:i/>
        </w:rPr>
        <w:t xml:space="preserve">mission expertise and experience in a local context; legal/governance; financial/accounting; human resources; organisational and change-management experience </w:t>
      </w:r>
      <w:r w:rsidR="00231B8F" w:rsidRPr="009A0DA6">
        <w:rPr>
          <w:rFonts w:ascii="Cambria" w:hAnsi="Cambria" w:cs="Arial"/>
        </w:rPr>
        <w:t>(2015 Book of Reports, p</w:t>
      </w:r>
      <w:r w:rsidRPr="009A0DA6">
        <w:rPr>
          <w:rFonts w:ascii="Cambria" w:hAnsi="Cambria" w:cs="Arial"/>
        </w:rPr>
        <w:t>27)</w:t>
      </w:r>
      <w:r w:rsidR="0027799A" w:rsidRPr="009A0DA6">
        <w:rPr>
          <w:rFonts w:ascii="Cambria" w:hAnsi="Cambria" w:cs="Arial"/>
        </w:rPr>
        <w:t xml:space="preserve">. </w:t>
      </w:r>
      <w:r w:rsidRPr="009A0DA6">
        <w:rPr>
          <w:rFonts w:ascii="Cambria" w:hAnsi="Cambria" w:cs="Arial"/>
        </w:rPr>
        <w:t xml:space="preserve">   </w:t>
      </w:r>
    </w:p>
    <w:p w14:paraId="266FB366" w14:textId="77777777" w:rsidR="00B34F86" w:rsidRPr="009A0DA6" w:rsidRDefault="00B34F86" w:rsidP="00B34F86">
      <w:pPr>
        <w:spacing w:after="0" w:line="240" w:lineRule="auto"/>
        <w:ind w:left="567"/>
        <w:rPr>
          <w:rFonts w:ascii="Cambria" w:hAnsi="Cambria" w:cs="Iskoola Pota"/>
          <w:sz w:val="16"/>
        </w:rPr>
      </w:pPr>
    </w:p>
    <w:p w14:paraId="12C1AE88" w14:textId="0240E62D" w:rsidR="00B34F86" w:rsidRPr="009A0DA6" w:rsidRDefault="00B34F86" w:rsidP="00B34F86">
      <w:pPr>
        <w:spacing w:after="0" w:line="240" w:lineRule="auto"/>
        <w:ind w:left="567"/>
        <w:rPr>
          <w:rFonts w:ascii="Cambria" w:hAnsi="Cambria" w:cs="Iskoola Pota"/>
        </w:rPr>
      </w:pPr>
      <w:r w:rsidRPr="009A0DA6">
        <w:rPr>
          <w:rFonts w:ascii="Cambria" w:hAnsi="Cambria" w:cs="Iskoola Pota"/>
        </w:rPr>
        <w:t>Delegates get to elect six laypeople to the GCC – all names put forward by the Nominations committee (SCON)</w:t>
      </w:r>
      <w:r w:rsidR="0027799A" w:rsidRPr="009A0DA6">
        <w:rPr>
          <w:rFonts w:ascii="Cambria" w:hAnsi="Cambria" w:cs="Iskoola Pota"/>
        </w:rPr>
        <w:t xml:space="preserve">. </w:t>
      </w:r>
      <w:r w:rsidRPr="009A0DA6">
        <w:rPr>
          <w:rFonts w:ascii="Cambria" w:hAnsi="Cambria" w:cs="Iskoola Pota"/>
        </w:rPr>
        <w:t>Five of these six positions would fill the five competencies</w:t>
      </w:r>
      <w:r w:rsidR="0027799A" w:rsidRPr="009A0DA6">
        <w:rPr>
          <w:rFonts w:ascii="Cambria" w:hAnsi="Cambria" w:cs="Iskoola Pota"/>
        </w:rPr>
        <w:t xml:space="preserve">. </w:t>
      </w:r>
      <w:r w:rsidRPr="009A0DA6">
        <w:rPr>
          <w:rFonts w:ascii="Cambria" w:hAnsi="Cambria" w:cs="Iskoola Pota"/>
        </w:rPr>
        <w:t xml:space="preserve">The SCON also needs to ensure: </w:t>
      </w:r>
      <w:r w:rsidRPr="009A0DA6">
        <w:rPr>
          <w:rFonts w:ascii="Cambria" w:hAnsi="Cambria" w:cs="Arial"/>
          <w:i/>
        </w:rPr>
        <w:t xml:space="preserve">Due regard is given to geographic and gender balance to ensure that a broad cross-section of the interests and needs of the wider church are heard </w:t>
      </w:r>
      <w:r w:rsidRPr="009A0DA6">
        <w:rPr>
          <w:rFonts w:ascii="Cambria" w:hAnsi="Cambria" w:cs="Arial"/>
        </w:rPr>
        <w:t>(2015 Book of Reports, p 27)</w:t>
      </w:r>
      <w:r w:rsidR="0027799A" w:rsidRPr="009A0DA6">
        <w:rPr>
          <w:rFonts w:ascii="Cambria" w:hAnsi="Cambria" w:cs="Arial"/>
          <w:i/>
        </w:rPr>
        <w:t xml:space="preserve">. </w:t>
      </w:r>
      <w:r w:rsidRPr="009A0DA6">
        <w:rPr>
          <w:rFonts w:ascii="Cambria" w:hAnsi="Cambria" w:cs="Iskoola Pota"/>
        </w:rPr>
        <w:t>Finding suitable nominees would be a significant challenge for the SCON</w:t>
      </w:r>
      <w:r w:rsidR="0027799A" w:rsidRPr="009A0DA6">
        <w:rPr>
          <w:rFonts w:ascii="Cambria" w:hAnsi="Cambria" w:cs="Iskoola Pota"/>
        </w:rPr>
        <w:t xml:space="preserve">. </w:t>
      </w:r>
      <w:r w:rsidRPr="009A0DA6">
        <w:rPr>
          <w:rFonts w:ascii="Cambria" w:hAnsi="Cambria" w:cs="Iskoola Pota"/>
          <w:color w:val="000000"/>
        </w:rPr>
        <w:t>District Church Councils, or Synods, are better placed than the SCON would b</w:t>
      </w:r>
      <w:r w:rsidR="00231B8F" w:rsidRPr="009A0DA6">
        <w:rPr>
          <w:rFonts w:ascii="Cambria" w:hAnsi="Cambria" w:cs="Iskoola Pota"/>
          <w:color w:val="000000"/>
        </w:rPr>
        <w:t xml:space="preserve">e to suggest names for the GCC. </w:t>
      </w:r>
      <w:r w:rsidRPr="009A0DA6">
        <w:rPr>
          <w:rFonts w:ascii="Cambria" w:hAnsi="Cambria" w:cs="Iskoola Pota"/>
        </w:rPr>
        <w:t>R</w:t>
      </w:r>
      <w:r w:rsidRPr="009A0DA6">
        <w:rPr>
          <w:rFonts w:ascii="Cambria" w:hAnsi="Cambria" w:cs="Iskoola Pota"/>
          <w:color w:val="000000"/>
        </w:rPr>
        <w:t>emoving District representatives from the GCC appears a retrograde step</w:t>
      </w:r>
      <w:r w:rsidR="0027799A" w:rsidRPr="009A0DA6">
        <w:rPr>
          <w:rFonts w:ascii="Cambria" w:hAnsi="Cambria" w:cs="Iskoola Pota"/>
          <w:color w:val="000000"/>
        </w:rPr>
        <w:t xml:space="preserve">. </w:t>
      </w:r>
      <w:r w:rsidRPr="009A0DA6">
        <w:rPr>
          <w:rFonts w:ascii="Cambria" w:hAnsi="Cambria" w:cs="Iskoola Pota"/>
          <w:color w:val="000000"/>
        </w:rPr>
        <w:t>One reason for saying this is the GAR’s Recommendation 16 which seeks a review/reduction in the role of Districts in favour of a greater National one</w:t>
      </w:r>
      <w:r w:rsidR="0027799A" w:rsidRPr="009A0DA6">
        <w:rPr>
          <w:rFonts w:ascii="Cambria" w:hAnsi="Cambria" w:cs="Iskoola Pota"/>
          <w:color w:val="000000"/>
        </w:rPr>
        <w:t xml:space="preserve">. </w:t>
      </w:r>
      <w:r w:rsidRPr="009A0DA6">
        <w:rPr>
          <w:rFonts w:ascii="Cambria" w:hAnsi="Cambria" w:cs="Iskoola Pota"/>
          <w:color w:val="000000"/>
        </w:rPr>
        <w:t>If there are no longer District representatives on it, the new GCC will no longer see this change as being in the ‘too-hard basket’.</w:t>
      </w:r>
      <w:r w:rsidRPr="009A0DA6">
        <w:rPr>
          <w:rFonts w:ascii="Cambria" w:hAnsi="Cambria" w:cs="Iskoola Pota"/>
          <w:color w:val="000000"/>
        </w:rPr>
        <w:br/>
      </w:r>
    </w:p>
    <w:p w14:paraId="6A929C2C" w14:textId="66653980" w:rsidR="00B34F86" w:rsidRPr="009A0DA6" w:rsidRDefault="00B34F86" w:rsidP="00B34F86">
      <w:pPr>
        <w:spacing w:after="0" w:line="240" w:lineRule="auto"/>
        <w:ind w:left="567"/>
        <w:rPr>
          <w:rFonts w:ascii="Cambria" w:hAnsi="Cambria" w:cs="Iskoola Pota"/>
          <w:color w:val="000000"/>
        </w:rPr>
      </w:pPr>
      <w:r w:rsidRPr="009A0DA6">
        <w:rPr>
          <w:rFonts w:ascii="Cambria" w:hAnsi="Cambria" w:cs="Iskoola Pota"/>
        </w:rPr>
        <w:t>The GAR’s recommendations propose a corporate-style GCC similar to that of a company such as BHP whose shareholders focus on technical expertise when electing their board</w:t>
      </w:r>
      <w:r w:rsidR="0027799A" w:rsidRPr="009A0DA6">
        <w:rPr>
          <w:rFonts w:ascii="Cambria" w:hAnsi="Cambria" w:cs="Iskoola Pota"/>
        </w:rPr>
        <w:t xml:space="preserve">. </w:t>
      </w:r>
      <w:r w:rsidRPr="009A0DA6">
        <w:rPr>
          <w:rFonts w:ascii="Cambria" w:hAnsi="Cambria" w:cs="Iskoola Pota"/>
        </w:rPr>
        <w:t xml:space="preserve"> However, the purpose and goals of the LCA are very different from those of a company such as BHP. The proposed corporate-style GCC may lack the competence to integrate governance with our confessional theology. This could be catastrophic</w:t>
      </w:r>
      <w:r w:rsidRPr="009A0DA6">
        <w:rPr>
          <w:rFonts w:ascii="Cambria" w:hAnsi="Cambria" w:cs="Iskoola Pota"/>
          <w:color w:val="008000"/>
        </w:rPr>
        <w:t>.</w:t>
      </w:r>
      <w:r w:rsidRPr="009A0DA6">
        <w:rPr>
          <w:rFonts w:ascii="Cambria" w:hAnsi="Cambria" w:cs="Iskoola Pota"/>
          <w:color w:val="008000"/>
        </w:rPr>
        <w:br/>
      </w:r>
    </w:p>
    <w:p w14:paraId="110245B1" w14:textId="620E322F" w:rsidR="00B34F86" w:rsidRPr="009A0DA6" w:rsidRDefault="00B34F86" w:rsidP="00B34F86">
      <w:pPr>
        <w:spacing w:after="0" w:line="240" w:lineRule="auto"/>
        <w:ind w:left="567"/>
        <w:rPr>
          <w:rFonts w:ascii="Cambria" w:hAnsi="Cambria" w:cs="Arial"/>
        </w:rPr>
      </w:pPr>
      <w:r w:rsidRPr="009A0DA6">
        <w:rPr>
          <w:rFonts w:ascii="Cambria" w:hAnsi="Cambria" w:cs="Iskoola Pota"/>
          <w:color w:val="000000"/>
        </w:rPr>
        <w:lastRenderedPageBreak/>
        <w:t>Between Conventions the GCC has the churchly function of acting on behalf of the delegates</w:t>
      </w:r>
      <w:r w:rsidR="0027799A" w:rsidRPr="009A0DA6">
        <w:rPr>
          <w:rFonts w:ascii="Cambria" w:hAnsi="Cambria" w:cs="Iskoola Pota"/>
          <w:color w:val="000000"/>
        </w:rPr>
        <w:t xml:space="preserve">. </w:t>
      </w:r>
      <w:r w:rsidRPr="009A0DA6">
        <w:rPr>
          <w:rFonts w:ascii="Cambria" w:hAnsi="Cambria" w:cs="Iskoola Pota"/>
          <w:color w:val="000000"/>
        </w:rPr>
        <w:t>Apart from anything else, this means the GCC needs to be representative of the views of the parishes and pastors of Synod. Naturally, when necessary, it will seek the best available secular advice. If it is rep</w:t>
      </w:r>
      <w:r w:rsidR="00231B8F" w:rsidRPr="009A0DA6">
        <w:rPr>
          <w:rFonts w:ascii="Cambria" w:hAnsi="Cambria" w:cs="Iskoola Pota"/>
          <w:color w:val="000000"/>
        </w:rPr>
        <w:t>resentative of the wider, grass</w:t>
      </w:r>
      <w:r w:rsidRPr="009A0DA6">
        <w:rPr>
          <w:rFonts w:ascii="Cambria" w:hAnsi="Cambria" w:cs="Iskoola Pota"/>
          <w:color w:val="000000"/>
        </w:rPr>
        <w:t xml:space="preserve">roots </w:t>
      </w:r>
      <w:r w:rsidR="00336CE0" w:rsidRPr="009A0DA6">
        <w:rPr>
          <w:rFonts w:ascii="Cambria" w:hAnsi="Cambria" w:cs="Iskoola Pota"/>
          <w:color w:val="000000"/>
        </w:rPr>
        <w:t>church</w:t>
      </w:r>
      <w:r w:rsidRPr="009A0DA6">
        <w:rPr>
          <w:rFonts w:ascii="Cambria" w:hAnsi="Cambria" w:cs="Iskoola Pota"/>
          <w:color w:val="000000"/>
        </w:rPr>
        <w:t xml:space="preserve"> the GCC can be confident its decisions on such advice will be acceptable to delegates in Convention.</w:t>
      </w:r>
    </w:p>
    <w:p w14:paraId="1F38629B" w14:textId="77777777" w:rsidR="00B34F86" w:rsidRPr="004A186C" w:rsidRDefault="00B34F86" w:rsidP="00B34F86">
      <w:pPr>
        <w:spacing w:after="0" w:line="240" w:lineRule="auto"/>
        <w:ind w:left="360"/>
        <w:rPr>
          <w:rFonts w:ascii="Cambria" w:hAnsi="Cambria"/>
          <w:b/>
          <w:sz w:val="12"/>
        </w:rPr>
      </w:pPr>
    </w:p>
    <w:p w14:paraId="512B9CD7" w14:textId="77777777" w:rsidR="00B34F86" w:rsidRPr="009A0DA6" w:rsidRDefault="00B34F86" w:rsidP="00F55252">
      <w:pPr>
        <w:numPr>
          <w:ilvl w:val="0"/>
          <w:numId w:val="148"/>
        </w:numPr>
        <w:spacing w:after="0" w:line="240" w:lineRule="auto"/>
        <w:ind w:left="567" w:hanging="567"/>
        <w:rPr>
          <w:rFonts w:ascii="Cambria" w:hAnsi="Cambria"/>
          <w:b/>
        </w:rPr>
      </w:pPr>
      <w:r w:rsidRPr="009A0DA6">
        <w:rPr>
          <w:rFonts w:ascii="Cambria" w:hAnsi="Cambria" w:cs="Lucida Sans Unicode"/>
          <w:b/>
        </w:rPr>
        <w:t>Accountability</w:t>
      </w:r>
    </w:p>
    <w:p w14:paraId="112CB75B" w14:textId="21BEC074" w:rsidR="00B34F86" w:rsidRPr="009A0DA6" w:rsidRDefault="00B34F86" w:rsidP="00B34F86">
      <w:pPr>
        <w:shd w:val="clear" w:color="auto" w:fill="FFFFFF"/>
        <w:spacing w:after="0" w:line="240" w:lineRule="auto"/>
        <w:ind w:left="567"/>
        <w:rPr>
          <w:rFonts w:ascii="Cambria" w:hAnsi="Cambria" w:cs="Lucida Sans Unicode"/>
        </w:rPr>
      </w:pPr>
      <w:r w:rsidRPr="009A0DA6">
        <w:rPr>
          <w:rFonts w:ascii="Cambria" w:hAnsi="Cambria" w:cs="Lucida Sans Unicode"/>
        </w:rPr>
        <w:t>The GAR’s proposals mean the GCC is the only board elected at Synod. Delegates can’t nominate persons for GCC. Only the SCON can. B</w:t>
      </w:r>
      <w:r w:rsidRPr="009A0DA6">
        <w:rPr>
          <w:rFonts w:ascii="Cambria" w:hAnsi="Cambria" w:cs="Lucida Sans Unicode"/>
          <w:shd w:val="clear" w:color="auto" w:fill="FFFFFF"/>
        </w:rPr>
        <w:t xml:space="preserve">ut they in turn are appointed by the </w:t>
      </w:r>
      <w:r w:rsidRPr="009A0DA6">
        <w:rPr>
          <w:rFonts w:ascii="Cambria" w:hAnsi="Cambria" w:cs="Lucida Sans Unicode"/>
        </w:rPr>
        <w:t>GCC. Is this inbred arrangement a wise one?  How can Convention hold boards account</w:t>
      </w:r>
      <w:r w:rsidR="00231B8F" w:rsidRPr="009A0DA6">
        <w:rPr>
          <w:rFonts w:ascii="Cambria" w:hAnsi="Cambria" w:cs="Lucida Sans Unicode"/>
        </w:rPr>
        <w:t>-</w:t>
      </w:r>
      <w:r w:rsidRPr="009A0DA6">
        <w:rPr>
          <w:rFonts w:ascii="Cambria" w:hAnsi="Cambria" w:cs="Lucida Sans Unicode"/>
        </w:rPr>
        <w:t xml:space="preserve">able for </w:t>
      </w:r>
      <w:r w:rsidRPr="009A0DA6">
        <w:rPr>
          <w:rFonts w:ascii="Cambria" w:hAnsi="Cambria" w:cs="Lucida Sans Unicode"/>
          <w:color w:val="000000"/>
        </w:rPr>
        <w:t xml:space="preserve">funding of initiatives and programs if it has virtually no </w:t>
      </w:r>
      <w:r w:rsidRPr="009A0DA6">
        <w:rPr>
          <w:rFonts w:ascii="Cambria" w:hAnsi="Cambria" w:cs="Lucida Sans Unicode"/>
          <w:color w:val="000000"/>
          <w:shd w:val="clear" w:color="auto" w:fill="FFFFFF"/>
        </w:rPr>
        <w:t>ro</w:t>
      </w:r>
      <w:r w:rsidRPr="009A0DA6">
        <w:rPr>
          <w:rFonts w:ascii="Cambria" w:hAnsi="Cambria" w:cs="Lucida Sans Unicode"/>
          <w:shd w:val="clear" w:color="auto" w:fill="FFFFFF"/>
        </w:rPr>
        <w:t>le in</w:t>
      </w:r>
      <w:r w:rsidRPr="009A0DA6">
        <w:rPr>
          <w:rFonts w:ascii="Cambria" w:hAnsi="Cambria" w:cs="Lucida Sans Unicode"/>
        </w:rPr>
        <w:t xml:space="preserve"> electing them?</w:t>
      </w:r>
      <w:r w:rsidRPr="009A0DA6">
        <w:rPr>
          <w:rFonts w:ascii="Cambria" w:hAnsi="Cambria" w:cs="Lucida Sans Unicode"/>
        </w:rPr>
        <w:br/>
        <w:t>An example highlights the concerns. An Assistant to the Bishop – Public Theology has been app</w:t>
      </w:r>
      <w:r w:rsidRPr="009A0DA6">
        <w:rPr>
          <w:rFonts w:ascii="Cambria" w:hAnsi="Cambria" w:cs="Lucida Sans Unicode"/>
          <w:color w:val="000000"/>
        </w:rPr>
        <w:t>ointed (announced May 25, 2016). This position is fun</w:t>
      </w:r>
      <w:r w:rsidR="00231B8F" w:rsidRPr="009A0DA6">
        <w:rPr>
          <w:rFonts w:ascii="Cambria" w:hAnsi="Cambria" w:cs="Lucida Sans Unicode"/>
          <w:color w:val="000000"/>
        </w:rPr>
        <w:t>ded by the LLL ($152,000 in 2016;</w:t>
      </w:r>
      <w:r w:rsidRPr="009A0DA6">
        <w:rPr>
          <w:rFonts w:ascii="Cambria" w:hAnsi="Cambria" w:cs="Lucida Sans Unicode"/>
          <w:color w:val="000000"/>
        </w:rPr>
        <w:t>,</w:t>
      </w:r>
      <w:r w:rsidRPr="009A0DA6">
        <w:rPr>
          <w:rFonts w:ascii="Cambria" w:hAnsi="Cambria" w:cs="Lucida Sans Unicode"/>
        </w:rPr>
        <w:t xml:space="preserve"> </w:t>
      </w:r>
      <w:r w:rsidRPr="009A0DA6">
        <w:rPr>
          <w:rFonts w:ascii="Cambria" w:hAnsi="Cambria" w:cs="Lucida Sans Unicode"/>
          <w:color w:val="000000"/>
        </w:rPr>
        <w:t>$60,000 in 2017). Much of the Assistant’s work duplicates the role of the Commission on Social and Bioe</w:t>
      </w:r>
      <w:r w:rsidRPr="009A0DA6">
        <w:rPr>
          <w:rFonts w:ascii="Cambria" w:hAnsi="Cambria" w:cs="Lucida Sans Unicode"/>
        </w:rPr>
        <w:t xml:space="preserve">thical Questions. This is contrary to the goals of the GAR. Other tasks include drafting </w:t>
      </w:r>
      <w:r w:rsidR="00231B8F" w:rsidRPr="009A0DA6">
        <w:rPr>
          <w:rFonts w:ascii="Cambria" w:hAnsi="Cambria" w:cs="Lucida Sans Unicode"/>
          <w:i/>
        </w:rPr>
        <w:t>Heart</w:t>
      </w:r>
      <w:r w:rsidRPr="009A0DA6">
        <w:rPr>
          <w:rFonts w:ascii="Cambria" w:hAnsi="Cambria" w:cs="Lucida Sans Unicode"/>
          <w:i/>
        </w:rPr>
        <w:t>land eNews</w:t>
      </w:r>
      <w:r w:rsidRPr="009A0DA6">
        <w:rPr>
          <w:rFonts w:ascii="Cambria" w:hAnsi="Cambria" w:cs="Lucida Sans Unicode"/>
        </w:rPr>
        <w:t xml:space="preserve"> columns like the one on Harmony Day. With congregational giving decreasing, should delegates approve a review that allows initiatives like this?</w:t>
      </w:r>
    </w:p>
    <w:p w14:paraId="7B82C9F7" w14:textId="77777777" w:rsidR="00B34F86" w:rsidRPr="009A0DA6" w:rsidRDefault="00B34F86" w:rsidP="00B34F86">
      <w:pPr>
        <w:shd w:val="clear" w:color="auto" w:fill="FFFFFF"/>
        <w:spacing w:after="0" w:line="240" w:lineRule="auto"/>
        <w:ind w:left="567"/>
        <w:rPr>
          <w:rFonts w:ascii="Cambria" w:hAnsi="Cambria" w:cs="Lucida Sans Unicode"/>
        </w:rPr>
      </w:pPr>
    </w:p>
    <w:p w14:paraId="638AF380" w14:textId="77777777" w:rsidR="00B34F86" w:rsidRPr="009A0DA6" w:rsidRDefault="00B34F86" w:rsidP="00F55252">
      <w:pPr>
        <w:numPr>
          <w:ilvl w:val="0"/>
          <w:numId w:val="148"/>
        </w:numPr>
        <w:spacing w:after="0" w:line="240" w:lineRule="auto"/>
        <w:ind w:left="567" w:hanging="567"/>
        <w:rPr>
          <w:rFonts w:ascii="Cambria" w:hAnsi="Cambria"/>
          <w:b/>
        </w:rPr>
      </w:pPr>
      <w:r w:rsidRPr="009A0DA6">
        <w:rPr>
          <w:rFonts w:ascii="Cambria" w:hAnsi="Cambria" w:cs="Lucida Sans Unicode"/>
          <w:b/>
        </w:rPr>
        <w:t>Positive Alternatives</w:t>
      </w:r>
    </w:p>
    <w:p w14:paraId="64AC6F8E" w14:textId="77777777" w:rsidR="00B34F86" w:rsidRPr="009A0DA6" w:rsidRDefault="00B34F86" w:rsidP="00B34F86">
      <w:pPr>
        <w:spacing w:after="0" w:line="240" w:lineRule="auto"/>
        <w:ind w:firstLine="567"/>
        <w:rPr>
          <w:rFonts w:ascii="Cambria" w:hAnsi="Cambria"/>
          <w:b/>
        </w:rPr>
      </w:pPr>
      <w:r w:rsidRPr="009A0DA6">
        <w:rPr>
          <w:rFonts w:ascii="Cambria" w:hAnsi="Cambria" w:cs="Lucida Sans Unicode"/>
        </w:rPr>
        <w:t>It would be good to have a governance and administrative structure in the church:</w:t>
      </w:r>
    </w:p>
    <w:p w14:paraId="464096AB" w14:textId="77777777" w:rsidR="00B34F86" w:rsidRPr="009A0DA6" w:rsidRDefault="00B34F86" w:rsidP="00F55252">
      <w:pPr>
        <w:numPr>
          <w:ilvl w:val="1"/>
          <w:numId w:val="152"/>
        </w:numPr>
        <w:tabs>
          <w:tab w:val="clear" w:pos="1800"/>
        </w:tabs>
        <w:spacing w:after="0" w:line="240" w:lineRule="auto"/>
        <w:ind w:left="1134" w:hanging="567"/>
        <w:rPr>
          <w:rFonts w:ascii="Cambria" w:hAnsi="Cambria" w:cs="Lucida Sans Unicode"/>
          <w:color w:val="000000"/>
        </w:rPr>
      </w:pPr>
      <w:r w:rsidRPr="009A0DA6">
        <w:rPr>
          <w:rFonts w:ascii="Cambria" w:hAnsi="Cambria" w:cs="Lucida Sans Unicode"/>
        </w:rPr>
        <w:t>whe</w:t>
      </w:r>
      <w:r w:rsidRPr="009A0DA6">
        <w:rPr>
          <w:rFonts w:ascii="Cambria" w:hAnsi="Cambria" w:cs="Lucida Sans Unicode"/>
          <w:color w:val="000000"/>
        </w:rPr>
        <w:t>re the GCC and other committees are more accountable to Convention;</w:t>
      </w:r>
    </w:p>
    <w:p w14:paraId="36E0F02B" w14:textId="77777777" w:rsidR="00B34F86" w:rsidRPr="009A0DA6" w:rsidRDefault="00B34F86" w:rsidP="00F55252">
      <w:pPr>
        <w:numPr>
          <w:ilvl w:val="1"/>
          <w:numId w:val="152"/>
        </w:numPr>
        <w:tabs>
          <w:tab w:val="clear" w:pos="1800"/>
        </w:tabs>
        <w:spacing w:after="0" w:line="240" w:lineRule="auto"/>
        <w:ind w:left="1134" w:hanging="567"/>
        <w:rPr>
          <w:rFonts w:ascii="Cambria" w:hAnsi="Cambria" w:cs="Lucida Sans Unicode"/>
          <w:color w:val="000000"/>
        </w:rPr>
      </w:pPr>
      <w:r w:rsidRPr="009A0DA6">
        <w:rPr>
          <w:rFonts w:ascii="Cambria" w:hAnsi="Cambria" w:cs="Lucida Sans Unicode"/>
          <w:color w:val="000000"/>
        </w:rPr>
        <w:t>that is largely financed by members’ offerings;</w:t>
      </w:r>
    </w:p>
    <w:p w14:paraId="6E6A777D" w14:textId="4E978204" w:rsidR="00B34F86" w:rsidRPr="009A0DA6" w:rsidRDefault="00B34F86" w:rsidP="00F55252">
      <w:pPr>
        <w:numPr>
          <w:ilvl w:val="1"/>
          <w:numId w:val="152"/>
        </w:numPr>
        <w:tabs>
          <w:tab w:val="clear" w:pos="1800"/>
        </w:tabs>
        <w:spacing w:after="0" w:line="240" w:lineRule="auto"/>
        <w:ind w:left="1134" w:hanging="567"/>
        <w:rPr>
          <w:rFonts w:ascii="Cambria" w:hAnsi="Cambria" w:cs="Lucida Sans Unicode"/>
          <w:color w:val="000000"/>
        </w:rPr>
      </w:pPr>
      <w:r w:rsidRPr="009A0DA6">
        <w:rPr>
          <w:rFonts w:ascii="Cambria" w:hAnsi="Cambria" w:cs="Lucida Sans Unicode"/>
          <w:color w:val="000000"/>
        </w:rPr>
        <w:t>in which longstanding District–National c</w:t>
      </w:r>
      <w:r w:rsidR="00231B8F" w:rsidRPr="009A0DA6">
        <w:rPr>
          <w:rFonts w:ascii="Cambria" w:hAnsi="Cambria" w:cs="Lucida Sans Unicode"/>
          <w:color w:val="000000"/>
        </w:rPr>
        <w:t>hurch tensions are resolved;</w:t>
      </w:r>
    </w:p>
    <w:p w14:paraId="0576D666" w14:textId="77777777" w:rsidR="00B34F86" w:rsidRPr="009A0DA6" w:rsidRDefault="00B34F86" w:rsidP="00F55252">
      <w:pPr>
        <w:numPr>
          <w:ilvl w:val="1"/>
          <w:numId w:val="152"/>
        </w:numPr>
        <w:tabs>
          <w:tab w:val="clear" w:pos="1800"/>
        </w:tabs>
        <w:spacing w:after="0" w:line="240" w:lineRule="auto"/>
        <w:ind w:left="1134" w:hanging="567"/>
        <w:rPr>
          <w:rFonts w:ascii="Cambria" w:hAnsi="Cambria" w:cs="Lucida Sans Unicode"/>
          <w:color w:val="000000"/>
        </w:rPr>
      </w:pPr>
      <w:r w:rsidRPr="009A0DA6">
        <w:rPr>
          <w:rFonts w:ascii="Cambria" w:hAnsi="Cambria" w:cs="Lucida Sans Unicode"/>
          <w:color w:val="000000"/>
        </w:rPr>
        <w:t>where the GCC is</w:t>
      </w:r>
      <w:r w:rsidRPr="009A0DA6">
        <w:rPr>
          <w:rFonts w:ascii="Cambria" w:hAnsi="Cambria" w:cs="Iskoola Pota"/>
          <w:color w:val="000000"/>
        </w:rPr>
        <w:t xml:space="preserve"> representative of the parishes and pastors of Synod</w:t>
      </w:r>
      <w:r w:rsidRPr="009A0DA6">
        <w:rPr>
          <w:rFonts w:ascii="Cambria" w:hAnsi="Cambria" w:cs="Lucida Sans Unicode"/>
          <w:color w:val="000000"/>
        </w:rPr>
        <w:t xml:space="preserve">, and where churchly experience and involvement at the congregational level is strongly represented and appreciated; </w:t>
      </w:r>
    </w:p>
    <w:p w14:paraId="3B0BAE65" w14:textId="77777777" w:rsidR="00B34F86" w:rsidRPr="009A0DA6" w:rsidRDefault="00B34F86" w:rsidP="00F55252">
      <w:pPr>
        <w:numPr>
          <w:ilvl w:val="1"/>
          <w:numId w:val="152"/>
        </w:numPr>
        <w:tabs>
          <w:tab w:val="clear" w:pos="1800"/>
        </w:tabs>
        <w:spacing w:after="0" w:line="240" w:lineRule="auto"/>
        <w:ind w:left="1134" w:hanging="567"/>
        <w:rPr>
          <w:rFonts w:ascii="Cambria" w:hAnsi="Cambria" w:cs="Lucida Sans Unicode"/>
        </w:rPr>
      </w:pPr>
      <w:r w:rsidRPr="009A0DA6">
        <w:rPr>
          <w:rFonts w:ascii="Cambria" w:hAnsi="Cambria" w:cs="Lucida Sans Unicode"/>
          <w:color w:val="000000"/>
        </w:rPr>
        <w:t xml:space="preserve">that </w:t>
      </w:r>
      <w:r w:rsidRPr="009A0DA6">
        <w:rPr>
          <w:rFonts w:ascii="Cambria" w:hAnsi="Cambria" w:cs="Lucida Sans Unicode"/>
        </w:rPr>
        <w:t>treasures the church’s confessional theology, and ensures the Objects of the LCA’s Constitution form the foundation for governance and administration.</w:t>
      </w:r>
    </w:p>
    <w:p w14:paraId="4A2E1A07" w14:textId="77777777" w:rsidR="00B34F86" w:rsidRPr="009A0DA6" w:rsidRDefault="00B34F86" w:rsidP="00B34F86">
      <w:pPr>
        <w:spacing w:after="0" w:line="240" w:lineRule="auto"/>
        <w:ind w:left="426"/>
        <w:rPr>
          <w:rFonts w:ascii="Cambria" w:hAnsi="Cambria" w:cs="Lucida Sans Unicode"/>
        </w:rPr>
      </w:pPr>
    </w:p>
    <w:p w14:paraId="4E31EAE4" w14:textId="77777777" w:rsidR="00355E83" w:rsidRPr="009A0DA6" w:rsidRDefault="00355E83">
      <w:pPr>
        <w:rPr>
          <w:rFonts w:ascii="Cambria" w:eastAsiaTheme="majorEastAsia" w:hAnsi="Cambria" w:cstheme="majorBidi"/>
          <w:b/>
          <w:caps/>
          <w:sz w:val="28"/>
          <w:szCs w:val="24"/>
        </w:rPr>
      </w:pPr>
      <w:r w:rsidRPr="009A0DA6">
        <w:rPr>
          <w:rFonts w:ascii="Cambria" w:hAnsi="Cambria"/>
        </w:rPr>
        <w:br w:type="page"/>
      </w:r>
    </w:p>
    <w:p w14:paraId="4B835742" w14:textId="747C8C06" w:rsidR="00355E83" w:rsidRPr="009A0DA6" w:rsidRDefault="00355E83" w:rsidP="00355E83">
      <w:pPr>
        <w:pStyle w:val="Heading1"/>
      </w:pPr>
      <w:bookmarkStart w:id="449" w:name="_Toc521954702"/>
      <w:r w:rsidRPr="009A0DA6">
        <w:lastRenderedPageBreak/>
        <w:t>constitutional matters</w:t>
      </w:r>
      <w:bookmarkEnd w:id="449"/>
    </w:p>
    <w:p w14:paraId="7DB36E6A" w14:textId="77777777" w:rsidR="00355E83" w:rsidRPr="009A0DA6" w:rsidRDefault="00355E83" w:rsidP="00355E83">
      <w:pPr>
        <w:pStyle w:val="NoSpacing"/>
      </w:pPr>
    </w:p>
    <w:p w14:paraId="1E572D20" w14:textId="77777777" w:rsidR="00930400" w:rsidRPr="009A0DA6" w:rsidRDefault="00930400" w:rsidP="00930400">
      <w:pPr>
        <w:pStyle w:val="Heading3"/>
      </w:pPr>
      <w:r w:rsidRPr="009A0DA6">
        <w:t>Agenda 2.4</w:t>
      </w:r>
      <w:r>
        <w:t>.1</w:t>
      </w:r>
    </w:p>
    <w:p w14:paraId="116AE272" w14:textId="77777777" w:rsidR="00930400" w:rsidRPr="009A0DA6" w:rsidRDefault="00930400" w:rsidP="00930400">
      <w:pPr>
        <w:pStyle w:val="Heading2"/>
      </w:pPr>
      <w:bookmarkStart w:id="450" w:name="_Toc521954703"/>
      <w:r w:rsidRPr="009A0DA6">
        <w:t>Standing Committee on Constitutions</w:t>
      </w:r>
      <w:bookmarkEnd w:id="450"/>
      <w:r w:rsidRPr="009A0DA6">
        <w:t xml:space="preserve"> </w:t>
      </w:r>
    </w:p>
    <w:p w14:paraId="4C7DDD45" w14:textId="77777777" w:rsidR="00930400" w:rsidRPr="009A0DA6" w:rsidRDefault="00930400" w:rsidP="00930400">
      <w:pPr>
        <w:pStyle w:val="NoSpacing"/>
      </w:pPr>
    </w:p>
    <w:p w14:paraId="139E8034" w14:textId="77777777" w:rsidR="00930400" w:rsidRPr="009A0DA6" w:rsidRDefault="00930400" w:rsidP="00930400">
      <w:pPr>
        <w:pStyle w:val="Heading3"/>
      </w:pPr>
      <w:r w:rsidRPr="009A0DA6">
        <w:t>MEMBERS</w:t>
      </w:r>
      <w:r w:rsidRPr="009A0DA6">
        <w:tab/>
      </w:r>
    </w:p>
    <w:p w14:paraId="42A90017" w14:textId="77777777" w:rsidR="00930400" w:rsidRPr="009A0DA6" w:rsidRDefault="00930400" w:rsidP="00930400">
      <w:pPr>
        <w:spacing w:after="0"/>
        <w:rPr>
          <w:rFonts w:ascii="Cambria" w:hAnsi="Cambria"/>
        </w:rPr>
      </w:pPr>
      <w:r w:rsidRPr="009A0DA6">
        <w:rPr>
          <w:rFonts w:ascii="Cambria" w:hAnsi="Cambria"/>
        </w:rPr>
        <w:t>David Dreckow, (Chairman, Rev Tim Ebbs, Margaret Koch, Gilbert Materne, Rev Wally Schiller (Secretary), Faye Schmidt</w:t>
      </w:r>
      <w:r w:rsidRPr="009A0DA6">
        <w:rPr>
          <w:rFonts w:ascii="Cambria" w:hAnsi="Cambria"/>
        </w:rPr>
        <w:br/>
      </w:r>
    </w:p>
    <w:p w14:paraId="68754AD8" w14:textId="77777777" w:rsidR="00930400" w:rsidRPr="009A0DA6" w:rsidRDefault="00930400" w:rsidP="00930400">
      <w:pPr>
        <w:pStyle w:val="Heading3"/>
      </w:pPr>
      <w:r w:rsidRPr="009A0DA6">
        <w:t>PURPOSE</w:t>
      </w:r>
    </w:p>
    <w:p w14:paraId="76C52E29" w14:textId="77777777" w:rsidR="00930400" w:rsidRPr="009A0DA6" w:rsidRDefault="00930400" w:rsidP="00930400">
      <w:pPr>
        <w:spacing w:after="0" w:line="22" w:lineRule="atLeast"/>
        <w:contextualSpacing/>
        <w:rPr>
          <w:rFonts w:ascii="Cambria" w:hAnsi="Cambria" w:cs="Arial"/>
        </w:rPr>
      </w:pPr>
      <w:r w:rsidRPr="009A0DA6">
        <w:rPr>
          <w:rFonts w:ascii="Cambria" w:hAnsi="Cambria" w:cs="Arial"/>
        </w:rPr>
        <w:t>The chief purpose is to continue to serve the church in constitutional matters to ensure good order, as this enables people to work together in a way that is pleasing to our Lord and Saviour Jesus Christ.</w:t>
      </w:r>
      <w:r w:rsidRPr="009A0DA6">
        <w:rPr>
          <w:rFonts w:ascii="Cambria" w:hAnsi="Cambria" w:cs="Arial"/>
        </w:rPr>
        <w:br/>
      </w:r>
    </w:p>
    <w:p w14:paraId="0588D81B" w14:textId="77777777" w:rsidR="00930400" w:rsidRPr="009A0DA6" w:rsidRDefault="00930400" w:rsidP="00930400">
      <w:pPr>
        <w:pStyle w:val="Heading3"/>
      </w:pPr>
      <w:r w:rsidRPr="009A0DA6">
        <w:t>ACHIEVEMENTS AGAINST PLAN</w:t>
      </w:r>
    </w:p>
    <w:tbl>
      <w:tblPr>
        <w:tblStyle w:val="PlainTable2"/>
        <w:tblW w:w="8647" w:type="dxa"/>
        <w:tblLook w:val="04A0" w:firstRow="1" w:lastRow="0" w:firstColumn="1" w:lastColumn="0" w:noHBand="0" w:noVBand="1"/>
      </w:tblPr>
      <w:tblGrid>
        <w:gridCol w:w="1843"/>
        <w:gridCol w:w="2932"/>
        <w:gridCol w:w="3872"/>
      </w:tblGrid>
      <w:tr w:rsidR="00930400" w:rsidRPr="009A0DA6" w14:paraId="7706A65D" w14:textId="77777777" w:rsidTr="004A186C">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843" w:type="dxa"/>
            <w:vAlign w:val="center"/>
            <w:hideMark/>
          </w:tcPr>
          <w:p w14:paraId="6DD72500" w14:textId="77777777" w:rsidR="00930400" w:rsidRPr="00296DD9" w:rsidRDefault="00930400" w:rsidP="007E5E33">
            <w:pPr>
              <w:ind w:left="314" w:hanging="314"/>
              <w:rPr>
                <w:rFonts w:ascii="Cambria" w:hAnsi="Cambria" w:cs="Arial"/>
              </w:rPr>
            </w:pPr>
            <w:r w:rsidRPr="00296DD9">
              <w:rPr>
                <w:rFonts w:ascii="Cambria" w:hAnsi="Cambria" w:cs="Arial"/>
              </w:rPr>
              <w:t>Key Activities</w:t>
            </w:r>
          </w:p>
        </w:tc>
        <w:tc>
          <w:tcPr>
            <w:tcW w:w="2932" w:type="dxa"/>
            <w:vAlign w:val="center"/>
            <w:hideMark/>
          </w:tcPr>
          <w:p w14:paraId="71B35CBF" w14:textId="77777777" w:rsidR="00930400" w:rsidRPr="009A0DA6" w:rsidRDefault="00930400" w:rsidP="007E5E33">
            <w:pPr>
              <w:cnfStyle w:val="100000000000" w:firstRow="1"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Planned Annual Activities/Outcomes</w:t>
            </w:r>
          </w:p>
        </w:tc>
        <w:tc>
          <w:tcPr>
            <w:tcW w:w="3872" w:type="dxa"/>
            <w:vAlign w:val="center"/>
            <w:hideMark/>
          </w:tcPr>
          <w:p w14:paraId="08F9ED06" w14:textId="77777777" w:rsidR="00930400" w:rsidRPr="009A0DA6" w:rsidRDefault="00930400" w:rsidP="007E5E33">
            <w:pPr>
              <w:cnfStyle w:val="100000000000" w:firstRow="1"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Achievement of Annual Activities/Outcomes</w:t>
            </w:r>
          </w:p>
        </w:tc>
      </w:tr>
      <w:tr w:rsidR="00930400" w:rsidRPr="009A0DA6" w14:paraId="21E19010" w14:textId="77777777" w:rsidTr="004A186C">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843" w:type="dxa"/>
            <w:hideMark/>
          </w:tcPr>
          <w:p w14:paraId="55293DE9" w14:textId="69501A58" w:rsidR="00930400" w:rsidRPr="00296DD9" w:rsidRDefault="00296DD9" w:rsidP="00296DD9">
            <w:pPr>
              <w:pStyle w:val="ListParagraph"/>
              <w:widowControl w:val="0"/>
              <w:numPr>
                <w:ilvl w:val="3"/>
                <w:numId w:val="34"/>
              </w:numPr>
              <w:suppressAutoHyphens/>
              <w:spacing w:line="240" w:lineRule="auto"/>
              <w:ind w:left="0" w:firstLine="0"/>
              <w:rPr>
                <w:rFonts w:ascii="Cambria" w:hAnsi="Cambria" w:cs="Arial"/>
                <w:b w:val="0"/>
              </w:rPr>
            </w:pPr>
            <w:r>
              <w:rPr>
                <w:rFonts w:ascii="Cambria" w:hAnsi="Cambria" w:cs="Arial"/>
              </w:rPr>
              <w:br/>
            </w:r>
            <w:r w:rsidR="00930400" w:rsidRPr="00296DD9">
              <w:rPr>
                <w:rFonts w:ascii="Cambria" w:hAnsi="Cambria" w:cs="Arial"/>
              </w:rPr>
              <w:t>Model Constitution for Congregations</w:t>
            </w:r>
          </w:p>
        </w:tc>
        <w:tc>
          <w:tcPr>
            <w:tcW w:w="2932" w:type="dxa"/>
            <w:hideMark/>
          </w:tcPr>
          <w:p w14:paraId="2A3904DD" w14:textId="77777777" w:rsidR="00930400" w:rsidRPr="009A0DA6" w:rsidRDefault="00930400" w:rsidP="00AD09CB">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Provide model constitutions for Congregations and Parishes of the Church.</w:t>
            </w:r>
          </w:p>
          <w:p w14:paraId="687C575E" w14:textId="77777777" w:rsidR="00930400" w:rsidRPr="009A0DA6" w:rsidRDefault="00930400" w:rsidP="00AD09CB">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Hold Constitutional Forum. Recommend one be held approx every 3 years or when major changes affecting Districts need to be implemented.</w:t>
            </w:r>
          </w:p>
        </w:tc>
        <w:tc>
          <w:tcPr>
            <w:tcW w:w="3872" w:type="dxa"/>
          </w:tcPr>
          <w:p w14:paraId="05309D20" w14:textId="77777777" w:rsidR="00930400" w:rsidRPr="009A0DA6" w:rsidRDefault="00930400" w:rsidP="00AD09CB">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Constitutional Forum in 2017 brought together District EO, DCC representative, District Constitution Committee representatives and the LCA Constitutions Committee.</w:t>
            </w:r>
          </w:p>
          <w:p w14:paraId="35087E49" w14:textId="77777777" w:rsidR="00930400" w:rsidRPr="009A0DA6" w:rsidRDefault="00930400" w:rsidP="00AD09CB">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As a result a range of suggestions and recommendations were received for   the models provided to the Districts for distribution to Congregations and Parishes.</w:t>
            </w:r>
          </w:p>
        </w:tc>
      </w:tr>
      <w:tr w:rsidR="00930400" w:rsidRPr="009A0DA6" w14:paraId="3A211EA0" w14:textId="77777777" w:rsidTr="004A186C">
        <w:trPr>
          <w:trHeight w:val="267"/>
        </w:trPr>
        <w:tc>
          <w:tcPr>
            <w:cnfStyle w:val="001000000000" w:firstRow="0" w:lastRow="0" w:firstColumn="1" w:lastColumn="0" w:oddVBand="0" w:evenVBand="0" w:oddHBand="0" w:evenHBand="0" w:firstRowFirstColumn="0" w:firstRowLastColumn="0" w:lastRowFirstColumn="0" w:lastRowLastColumn="0"/>
            <w:tcW w:w="1843" w:type="dxa"/>
            <w:hideMark/>
          </w:tcPr>
          <w:p w14:paraId="65606B9C" w14:textId="0C957C88" w:rsidR="00930400" w:rsidRPr="00296DD9" w:rsidRDefault="00296DD9" w:rsidP="00296DD9">
            <w:pPr>
              <w:pStyle w:val="ListParagraph"/>
              <w:widowControl w:val="0"/>
              <w:numPr>
                <w:ilvl w:val="3"/>
                <w:numId w:val="34"/>
              </w:numPr>
              <w:suppressAutoHyphens/>
              <w:spacing w:line="240" w:lineRule="auto"/>
              <w:ind w:left="0" w:firstLine="0"/>
              <w:rPr>
                <w:rFonts w:ascii="Cambria" w:hAnsi="Cambria" w:cs="Arial"/>
              </w:rPr>
            </w:pPr>
            <w:r>
              <w:rPr>
                <w:rFonts w:ascii="Cambria" w:hAnsi="Cambria" w:cs="Arial"/>
              </w:rPr>
              <w:br/>
            </w:r>
            <w:r w:rsidR="00930400" w:rsidRPr="00296DD9">
              <w:rPr>
                <w:rFonts w:ascii="Cambria" w:hAnsi="Cambria" w:cs="Arial"/>
              </w:rPr>
              <w:t>Changes to Constitutions and Terms of Reference to various bodies due to the changes in the structure of the Church as a result of the Synod decision</w:t>
            </w:r>
          </w:p>
        </w:tc>
        <w:tc>
          <w:tcPr>
            <w:tcW w:w="2932" w:type="dxa"/>
            <w:hideMark/>
          </w:tcPr>
          <w:p w14:paraId="3F0D298C" w14:textId="77777777" w:rsidR="00930400" w:rsidRPr="009A0DA6" w:rsidRDefault="00930400" w:rsidP="00AD09CB">
            <w:pPr>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Review matters</w:t>
            </w:r>
            <w:r w:rsidRPr="009A0DA6">
              <w:rPr>
                <w:rFonts w:ascii="Cambria" w:hAnsi="Cambria" w:cs="Arial"/>
                <w:color w:val="FF0000"/>
              </w:rPr>
              <w:t xml:space="preserve"> </w:t>
            </w:r>
            <w:r w:rsidRPr="009A0DA6">
              <w:rPr>
                <w:rFonts w:ascii="Cambria" w:hAnsi="Cambria" w:cs="Arial"/>
              </w:rPr>
              <w:t xml:space="preserve">as requested by GCC in preparation for the new structures. </w:t>
            </w:r>
          </w:p>
          <w:p w14:paraId="76FFAC95" w14:textId="77777777" w:rsidR="00930400" w:rsidRPr="009A0DA6" w:rsidRDefault="00930400" w:rsidP="00AD09CB">
            <w:pPr>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To be completed prior to 2018 Synod.</w:t>
            </w:r>
          </w:p>
        </w:tc>
        <w:tc>
          <w:tcPr>
            <w:tcW w:w="3872" w:type="dxa"/>
            <w:hideMark/>
          </w:tcPr>
          <w:p w14:paraId="498CD055" w14:textId="77777777" w:rsidR="00930400" w:rsidRPr="009A0DA6" w:rsidRDefault="00930400" w:rsidP="00AD09CB">
            <w:pPr>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Critical work for next convention is still in progress and will be completed as it is received from GCC.</w:t>
            </w:r>
          </w:p>
        </w:tc>
      </w:tr>
      <w:tr w:rsidR="00930400" w:rsidRPr="009A0DA6" w14:paraId="195C3F89" w14:textId="77777777" w:rsidTr="004A186C">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843" w:type="dxa"/>
            <w:hideMark/>
          </w:tcPr>
          <w:p w14:paraId="23A0C07C" w14:textId="3F3BFE70" w:rsidR="00930400" w:rsidRPr="00296DD9" w:rsidRDefault="00A971D9" w:rsidP="00296DD9">
            <w:pPr>
              <w:pStyle w:val="ListParagraph"/>
              <w:widowControl w:val="0"/>
              <w:numPr>
                <w:ilvl w:val="3"/>
                <w:numId w:val="34"/>
              </w:numPr>
              <w:suppressAutoHyphens/>
              <w:spacing w:line="240" w:lineRule="auto"/>
              <w:ind w:left="0" w:firstLine="0"/>
              <w:rPr>
                <w:rFonts w:ascii="Cambria" w:hAnsi="Cambria" w:cs="Arial"/>
              </w:rPr>
            </w:pPr>
            <w:r>
              <w:rPr>
                <w:b w:val="0"/>
                <w:bCs w:val="0"/>
              </w:rPr>
              <w:br w:type="page"/>
            </w:r>
            <w:r w:rsidR="00296DD9" w:rsidRPr="00296DD9">
              <w:rPr>
                <w:rFonts w:ascii="Cambria" w:hAnsi="Cambria" w:cs="Arial"/>
              </w:rPr>
              <w:br/>
            </w:r>
            <w:r w:rsidR="00930400" w:rsidRPr="00296DD9">
              <w:rPr>
                <w:rFonts w:ascii="Cambria" w:hAnsi="Cambria" w:cs="Arial"/>
              </w:rPr>
              <w:t>Restructure the Constitution of the Church</w:t>
            </w:r>
          </w:p>
        </w:tc>
        <w:tc>
          <w:tcPr>
            <w:tcW w:w="2932" w:type="dxa"/>
            <w:hideMark/>
          </w:tcPr>
          <w:p w14:paraId="69051F26" w14:textId="77777777" w:rsidR="00930400" w:rsidRPr="004A186C" w:rsidRDefault="00930400" w:rsidP="00AD09CB">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4A186C">
              <w:rPr>
                <w:rFonts w:ascii="Cambria" w:hAnsi="Cambria" w:cs="Arial"/>
              </w:rPr>
              <w:t>3.1 Initiate Task force to review legal requirements and options for Structure of the Church.</w:t>
            </w:r>
          </w:p>
          <w:p w14:paraId="0488E74D" w14:textId="77777777" w:rsidR="00930400" w:rsidRPr="004A186C" w:rsidRDefault="00930400" w:rsidP="00AD09CB">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4A186C">
              <w:rPr>
                <w:rFonts w:ascii="Cambria" w:hAnsi="Cambria" w:cs="Arial"/>
              </w:rPr>
              <w:t>3.2 Work with GCC and relevant boards and Agencies of the Church to identify requirements.</w:t>
            </w:r>
          </w:p>
          <w:p w14:paraId="131E1711" w14:textId="77777777" w:rsidR="00930400" w:rsidRPr="004A186C" w:rsidRDefault="00930400" w:rsidP="00AD09CB">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4A186C">
              <w:rPr>
                <w:rFonts w:ascii="Cambria" w:hAnsi="Cambria" w:cs="Arial"/>
              </w:rPr>
              <w:t xml:space="preserve">3.3 Complete the project in the next triennium. </w:t>
            </w:r>
          </w:p>
        </w:tc>
        <w:tc>
          <w:tcPr>
            <w:tcW w:w="3872" w:type="dxa"/>
            <w:hideMark/>
          </w:tcPr>
          <w:p w14:paraId="0467B375" w14:textId="77777777" w:rsidR="00930400" w:rsidRPr="004A186C" w:rsidRDefault="00930400" w:rsidP="00AD09CB">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4A186C">
              <w:rPr>
                <w:rFonts w:ascii="Cambria" w:hAnsi="Cambria" w:cs="Arial"/>
              </w:rPr>
              <w:t>Some work has started on identifying areas of the constitution that require work to reflect current governance and management requirements and areas that require greater clarity. These include but are not limited to Definitions, Judicial process, By-laws, Rules for boards, committees, auxiliaries, Funds, Voting Rights, consistence of terminology, Rules for Transacting Business, etc..</w:t>
            </w:r>
          </w:p>
        </w:tc>
      </w:tr>
      <w:tr w:rsidR="00930400" w:rsidRPr="009A0DA6" w14:paraId="27935EB9" w14:textId="77777777" w:rsidTr="004A186C">
        <w:trPr>
          <w:trHeight w:val="267"/>
        </w:trPr>
        <w:tc>
          <w:tcPr>
            <w:cnfStyle w:val="001000000000" w:firstRow="0" w:lastRow="0" w:firstColumn="1" w:lastColumn="0" w:oddVBand="0" w:evenVBand="0" w:oddHBand="0" w:evenHBand="0" w:firstRowFirstColumn="0" w:firstRowLastColumn="0" w:lastRowFirstColumn="0" w:lastRowLastColumn="0"/>
            <w:tcW w:w="1843" w:type="dxa"/>
            <w:hideMark/>
          </w:tcPr>
          <w:p w14:paraId="02FE2ECF" w14:textId="62C94A61" w:rsidR="00930400" w:rsidRPr="00296DD9" w:rsidRDefault="00296DD9" w:rsidP="00296DD9">
            <w:pPr>
              <w:pStyle w:val="ListParagraph"/>
              <w:widowControl w:val="0"/>
              <w:numPr>
                <w:ilvl w:val="3"/>
                <w:numId w:val="34"/>
              </w:numPr>
              <w:suppressAutoHyphens/>
              <w:spacing w:line="240" w:lineRule="auto"/>
              <w:ind w:left="0" w:firstLine="0"/>
              <w:rPr>
                <w:rFonts w:ascii="Cambria" w:hAnsi="Cambria"/>
              </w:rPr>
            </w:pPr>
            <w:r w:rsidRPr="00296DD9">
              <w:rPr>
                <w:rFonts w:ascii="Cambria" w:hAnsi="Cambria"/>
              </w:rPr>
              <w:lastRenderedPageBreak/>
              <w:br/>
            </w:r>
            <w:r w:rsidR="00930400" w:rsidRPr="00296DD9">
              <w:rPr>
                <w:rFonts w:ascii="Cambria" w:hAnsi="Cambria"/>
              </w:rPr>
              <w:t xml:space="preserve">Rules for transacting Business </w:t>
            </w:r>
          </w:p>
        </w:tc>
        <w:tc>
          <w:tcPr>
            <w:tcW w:w="2932" w:type="dxa"/>
            <w:hideMark/>
          </w:tcPr>
          <w:p w14:paraId="6C566BFA" w14:textId="77777777" w:rsidR="00930400" w:rsidRPr="009A0DA6" w:rsidRDefault="00930400" w:rsidP="00AD09CB">
            <w:pPr>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Reformatting and making the rules easier to read and understand.</w:t>
            </w:r>
          </w:p>
        </w:tc>
        <w:tc>
          <w:tcPr>
            <w:tcW w:w="3872" w:type="dxa"/>
          </w:tcPr>
          <w:p w14:paraId="4A79392D" w14:textId="77777777" w:rsidR="00930400" w:rsidRPr="009A0DA6" w:rsidRDefault="00930400" w:rsidP="00AD09CB">
            <w:pPr>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Any change of content has been put on hold as requested by GCC due to proposed restructure of the Constitution of the Church. Draft easy reference version in progress.</w:t>
            </w:r>
          </w:p>
        </w:tc>
      </w:tr>
      <w:tr w:rsidR="00930400" w:rsidRPr="009A0DA6" w14:paraId="00A97F62" w14:textId="77777777" w:rsidTr="004A186C">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843" w:type="dxa"/>
            <w:hideMark/>
          </w:tcPr>
          <w:p w14:paraId="5BA59DD9" w14:textId="01F53FA2" w:rsidR="00930400" w:rsidRPr="00296DD9" w:rsidRDefault="00296DD9" w:rsidP="00296DD9">
            <w:pPr>
              <w:pStyle w:val="ListParagraph"/>
              <w:widowControl w:val="0"/>
              <w:numPr>
                <w:ilvl w:val="3"/>
                <w:numId w:val="34"/>
              </w:numPr>
              <w:suppressAutoHyphens/>
              <w:spacing w:line="240" w:lineRule="auto"/>
              <w:ind w:left="0" w:firstLine="0"/>
              <w:rPr>
                <w:rFonts w:ascii="Cambria" w:hAnsi="Cambria"/>
              </w:rPr>
            </w:pPr>
            <w:r w:rsidRPr="00296DD9">
              <w:rPr>
                <w:rFonts w:ascii="Cambria" w:hAnsi="Cambria"/>
                <w:iCs/>
              </w:rPr>
              <w:br/>
            </w:r>
            <w:r w:rsidR="00930400" w:rsidRPr="00296DD9">
              <w:rPr>
                <w:rFonts w:ascii="Cambria" w:hAnsi="Cambria"/>
                <w:iCs/>
              </w:rPr>
              <w:t>Aboriginal Representation – Synod Voting</w:t>
            </w:r>
          </w:p>
        </w:tc>
        <w:tc>
          <w:tcPr>
            <w:tcW w:w="2932" w:type="dxa"/>
            <w:hideMark/>
          </w:tcPr>
          <w:p w14:paraId="7BA561F9" w14:textId="77777777" w:rsidR="00930400" w:rsidRPr="009A0DA6" w:rsidRDefault="00930400" w:rsidP="00AD09CB">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 xml:space="preserve">Provide an option for Aboriginal community groups to be represented. </w:t>
            </w:r>
          </w:p>
        </w:tc>
        <w:tc>
          <w:tcPr>
            <w:tcW w:w="3872" w:type="dxa"/>
            <w:hideMark/>
          </w:tcPr>
          <w:p w14:paraId="12AC8CFD" w14:textId="77777777" w:rsidR="00930400" w:rsidRPr="009A0DA6" w:rsidRDefault="00930400" w:rsidP="00AD09CB">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 xml:space="preserve">Proposal for Aboriginal groups to be recognised as congregations of the Church has been provided to GCC. </w:t>
            </w:r>
          </w:p>
        </w:tc>
      </w:tr>
      <w:tr w:rsidR="00930400" w:rsidRPr="009A0DA6" w14:paraId="1463B04D" w14:textId="77777777" w:rsidTr="004A186C">
        <w:trPr>
          <w:trHeight w:val="267"/>
        </w:trPr>
        <w:tc>
          <w:tcPr>
            <w:cnfStyle w:val="001000000000" w:firstRow="0" w:lastRow="0" w:firstColumn="1" w:lastColumn="0" w:oddVBand="0" w:evenVBand="0" w:oddHBand="0" w:evenHBand="0" w:firstRowFirstColumn="0" w:firstRowLastColumn="0" w:lastRowFirstColumn="0" w:lastRowLastColumn="0"/>
            <w:tcW w:w="1843" w:type="dxa"/>
            <w:hideMark/>
          </w:tcPr>
          <w:p w14:paraId="0188924B" w14:textId="1B804695" w:rsidR="00930400" w:rsidRPr="00296DD9" w:rsidRDefault="00296DD9" w:rsidP="00296DD9">
            <w:pPr>
              <w:widowControl w:val="0"/>
              <w:numPr>
                <w:ilvl w:val="0"/>
                <w:numId w:val="34"/>
              </w:numPr>
              <w:suppressAutoHyphens/>
              <w:ind w:left="0" w:firstLine="0"/>
              <w:rPr>
                <w:rFonts w:ascii="Cambria" w:hAnsi="Cambria" w:cs="Arial"/>
              </w:rPr>
            </w:pPr>
            <w:r>
              <w:rPr>
                <w:rFonts w:ascii="Cambria" w:hAnsi="Cambria" w:cs="Arial"/>
              </w:rPr>
              <w:br/>
            </w:r>
            <w:r w:rsidR="00930400" w:rsidRPr="00296DD9">
              <w:rPr>
                <w:rFonts w:ascii="Cambria" w:hAnsi="Cambria" w:cs="Arial"/>
              </w:rPr>
              <w:t>Changes to Constitutions and Terms of Reference of various bodies due to the changes in the structure of the Church as a result of the Synod decision</w:t>
            </w:r>
          </w:p>
        </w:tc>
        <w:tc>
          <w:tcPr>
            <w:tcW w:w="2932" w:type="dxa"/>
            <w:hideMark/>
          </w:tcPr>
          <w:p w14:paraId="6F6109DB" w14:textId="018AD9C3" w:rsidR="00930400" w:rsidRPr="009A0DA6" w:rsidRDefault="00930400" w:rsidP="00AD09CB">
            <w:pPr>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Review various matters</w:t>
            </w:r>
            <w:r w:rsidRPr="009A0DA6">
              <w:rPr>
                <w:rFonts w:ascii="Cambria" w:hAnsi="Cambria" w:cs="Arial"/>
                <w:color w:val="FF0000"/>
              </w:rPr>
              <w:t xml:space="preserve"> </w:t>
            </w:r>
            <w:r w:rsidRPr="009A0DA6">
              <w:rPr>
                <w:rFonts w:ascii="Cambria" w:hAnsi="Cambria" w:cs="Arial"/>
              </w:rPr>
              <w:t>as requested by GCC in preparation for tria</w:t>
            </w:r>
            <w:r w:rsidR="00FF349B">
              <w:rPr>
                <w:rFonts w:ascii="Cambria" w:hAnsi="Cambria" w:cs="Arial"/>
              </w:rPr>
              <w:t>l</w:t>
            </w:r>
            <w:r w:rsidRPr="009A0DA6">
              <w:rPr>
                <w:rFonts w:ascii="Cambria" w:hAnsi="Cambria" w:cs="Arial"/>
              </w:rPr>
              <w:t>ling the new structures. To be completed prior to 2018 Synod.</w:t>
            </w:r>
          </w:p>
        </w:tc>
        <w:tc>
          <w:tcPr>
            <w:tcW w:w="3872" w:type="dxa"/>
            <w:hideMark/>
          </w:tcPr>
          <w:p w14:paraId="78C40E40" w14:textId="77777777" w:rsidR="00930400" w:rsidRPr="009A0DA6" w:rsidRDefault="00930400" w:rsidP="00AD09CB">
            <w:pPr>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Critical work for next convention is still in progress and will be completed as it is received from GCC.</w:t>
            </w:r>
          </w:p>
        </w:tc>
      </w:tr>
      <w:tr w:rsidR="00930400" w:rsidRPr="009A0DA6" w14:paraId="282ADEB4" w14:textId="77777777" w:rsidTr="004A186C">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843" w:type="dxa"/>
            <w:hideMark/>
          </w:tcPr>
          <w:p w14:paraId="4F6F47F9" w14:textId="19815648" w:rsidR="00930400" w:rsidRPr="00296DD9" w:rsidRDefault="00296DD9" w:rsidP="00296DD9">
            <w:pPr>
              <w:widowControl w:val="0"/>
              <w:numPr>
                <w:ilvl w:val="0"/>
                <w:numId w:val="34"/>
              </w:numPr>
              <w:suppressAutoHyphens/>
              <w:ind w:left="0" w:firstLine="0"/>
              <w:rPr>
                <w:rFonts w:ascii="Cambria" w:hAnsi="Cambria" w:cs="Arial"/>
              </w:rPr>
            </w:pPr>
            <w:r>
              <w:rPr>
                <w:rFonts w:ascii="Cambria" w:hAnsi="Cambria" w:cs="Arial"/>
              </w:rPr>
              <w:br/>
            </w:r>
            <w:r w:rsidR="00930400" w:rsidRPr="00296DD9">
              <w:rPr>
                <w:rFonts w:ascii="Cambria" w:hAnsi="Cambria" w:cs="Arial"/>
              </w:rPr>
              <w:t>Deal with matters as directed by GCC</w:t>
            </w:r>
          </w:p>
        </w:tc>
        <w:tc>
          <w:tcPr>
            <w:tcW w:w="2932" w:type="dxa"/>
          </w:tcPr>
          <w:p w14:paraId="7B28F8AA" w14:textId="77777777" w:rsidR="00930400" w:rsidRPr="009A0DA6" w:rsidRDefault="00930400" w:rsidP="00AD09CB">
            <w:pPr>
              <w:cnfStyle w:val="000000100000" w:firstRow="0" w:lastRow="0" w:firstColumn="0" w:lastColumn="0" w:oddVBand="0" w:evenVBand="0" w:oddHBand="1" w:evenHBand="0" w:firstRowFirstColumn="0" w:firstRowLastColumn="0" w:lastRowFirstColumn="0" w:lastRowLastColumn="0"/>
              <w:rPr>
                <w:rFonts w:ascii="Cambria" w:hAnsi="Cambria" w:cs="Arial"/>
              </w:rPr>
            </w:pPr>
          </w:p>
        </w:tc>
        <w:tc>
          <w:tcPr>
            <w:tcW w:w="3872" w:type="dxa"/>
          </w:tcPr>
          <w:p w14:paraId="6DD89076" w14:textId="77777777" w:rsidR="00930400" w:rsidRPr="009A0DA6" w:rsidRDefault="00930400" w:rsidP="00AD09CB">
            <w:pPr>
              <w:cnfStyle w:val="000000100000" w:firstRow="0" w:lastRow="0" w:firstColumn="0" w:lastColumn="0" w:oddVBand="0" w:evenVBand="0" w:oddHBand="1" w:evenHBand="0" w:firstRowFirstColumn="0" w:firstRowLastColumn="0" w:lastRowFirstColumn="0" w:lastRowLastColumn="0"/>
              <w:rPr>
                <w:rFonts w:ascii="Cambria" w:hAnsi="Cambria" w:cs="Arial"/>
              </w:rPr>
            </w:pPr>
          </w:p>
        </w:tc>
      </w:tr>
    </w:tbl>
    <w:p w14:paraId="0FAE5F28" w14:textId="3FB57E5B" w:rsidR="00930400" w:rsidRDefault="00930400" w:rsidP="00930400">
      <w:pPr>
        <w:pStyle w:val="NoSpacing"/>
        <w:rPr>
          <w:sz w:val="16"/>
        </w:rPr>
      </w:pPr>
    </w:p>
    <w:p w14:paraId="30BD4226" w14:textId="77777777" w:rsidR="004A186C" w:rsidRPr="00A971D9" w:rsidRDefault="004A186C" w:rsidP="00930400">
      <w:pPr>
        <w:pStyle w:val="NoSpacing"/>
        <w:rPr>
          <w:sz w:val="16"/>
        </w:rPr>
      </w:pPr>
    </w:p>
    <w:p w14:paraId="2F854B1D" w14:textId="77777777" w:rsidR="00930400" w:rsidRPr="009A0DA6" w:rsidRDefault="00930400" w:rsidP="00930400">
      <w:pPr>
        <w:pStyle w:val="Heading3"/>
        <w:rPr>
          <w:lang w:val="en-US" w:eastAsia="ja-JP"/>
        </w:rPr>
      </w:pPr>
      <w:r w:rsidRPr="009A0DA6">
        <w:t>Successes</w:t>
      </w:r>
    </w:p>
    <w:p w14:paraId="279F5940" w14:textId="77777777" w:rsidR="00930400" w:rsidRPr="009A0DA6" w:rsidRDefault="00930400" w:rsidP="00F55252">
      <w:pPr>
        <w:pStyle w:val="ListParagraph"/>
        <w:numPr>
          <w:ilvl w:val="0"/>
          <w:numId w:val="72"/>
        </w:numPr>
        <w:spacing w:after="0" w:line="240" w:lineRule="auto"/>
        <w:ind w:left="567" w:hanging="567"/>
        <w:rPr>
          <w:rFonts w:ascii="Cambria" w:hAnsi="Cambria"/>
        </w:rPr>
      </w:pPr>
      <w:r w:rsidRPr="009A0DA6">
        <w:rPr>
          <w:rFonts w:ascii="Cambria" w:hAnsi="Cambria"/>
        </w:rPr>
        <w:t xml:space="preserve">There is a good mix of skills and the current committee members work well together. </w:t>
      </w:r>
    </w:p>
    <w:p w14:paraId="272FAB31" w14:textId="77777777" w:rsidR="00930400" w:rsidRPr="009A0DA6" w:rsidRDefault="00930400" w:rsidP="00F55252">
      <w:pPr>
        <w:pStyle w:val="ListParagraph"/>
        <w:numPr>
          <w:ilvl w:val="0"/>
          <w:numId w:val="72"/>
        </w:numPr>
        <w:spacing w:after="0" w:line="240" w:lineRule="auto"/>
        <w:ind w:left="567" w:hanging="567"/>
        <w:rPr>
          <w:rFonts w:ascii="Cambria" w:hAnsi="Cambria"/>
        </w:rPr>
      </w:pPr>
      <w:r w:rsidRPr="009A0DA6">
        <w:rPr>
          <w:rFonts w:ascii="Cambria" w:hAnsi="Cambria"/>
        </w:rPr>
        <w:t xml:space="preserve">There is however still a vacancy for one pastor. </w:t>
      </w:r>
    </w:p>
    <w:p w14:paraId="6AC74074" w14:textId="77777777" w:rsidR="00930400" w:rsidRPr="009A0DA6" w:rsidRDefault="00930400" w:rsidP="00F55252">
      <w:pPr>
        <w:pStyle w:val="ListParagraph"/>
        <w:numPr>
          <w:ilvl w:val="0"/>
          <w:numId w:val="72"/>
        </w:numPr>
        <w:spacing w:after="0" w:line="240" w:lineRule="auto"/>
        <w:ind w:left="567" w:hanging="567"/>
        <w:rPr>
          <w:rFonts w:ascii="Cambria" w:hAnsi="Cambria"/>
        </w:rPr>
      </w:pPr>
      <w:r w:rsidRPr="009A0DA6">
        <w:rPr>
          <w:rFonts w:ascii="Cambria" w:hAnsi="Cambria"/>
        </w:rPr>
        <w:t>Administrative assistance provided by the LCA office had been very much appreciated but is taking time to get used to the help.</w:t>
      </w:r>
      <w:r w:rsidRPr="009A0DA6">
        <w:rPr>
          <w:rFonts w:ascii="Cambria" w:hAnsi="Cambria"/>
        </w:rPr>
        <w:br/>
      </w:r>
    </w:p>
    <w:p w14:paraId="7900912E" w14:textId="77777777" w:rsidR="00930400" w:rsidRPr="009A0DA6" w:rsidRDefault="00930400" w:rsidP="00930400">
      <w:pPr>
        <w:pStyle w:val="Heading3"/>
      </w:pPr>
      <w:r w:rsidRPr="009A0DA6">
        <w:t>Challenges and Lessons Learned</w:t>
      </w:r>
    </w:p>
    <w:p w14:paraId="25CE9968" w14:textId="77777777" w:rsidR="00930400" w:rsidRPr="009A0DA6" w:rsidRDefault="00930400" w:rsidP="00930400">
      <w:pPr>
        <w:spacing w:after="0" w:line="240" w:lineRule="auto"/>
        <w:rPr>
          <w:rFonts w:ascii="Cambria" w:hAnsi="Cambria"/>
        </w:rPr>
      </w:pPr>
      <w:r w:rsidRPr="009A0DA6">
        <w:rPr>
          <w:rFonts w:ascii="Cambria" w:hAnsi="Cambria"/>
        </w:rPr>
        <w:t xml:space="preserve">Challenges have mainly related to the Model Constitution. </w:t>
      </w:r>
    </w:p>
    <w:p w14:paraId="01E002D3" w14:textId="77777777" w:rsidR="00930400" w:rsidRPr="009A0DA6" w:rsidRDefault="00930400" w:rsidP="00930400">
      <w:pPr>
        <w:spacing w:after="0" w:line="240" w:lineRule="auto"/>
        <w:rPr>
          <w:rFonts w:ascii="Cambria" w:hAnsi="Cambria"/>
        </w:rPr>
      </w:pPr>
      <w:r w:rsidRPr="009A0DA6">
        <w:rPr>
          <w:rFonts w:ascii="Cambria" w:hAnsi="Cambria"/>
        </w:rPr>
        <w:t>Congregations are required to have a constitution that is acceptable to the church. The model has been prepared for this purpose.</w:t>
      </w:r>
    </w:p>
    <w:p w14:paraId="09D91C8A" w14:textId="77777777" w:rsidR="00930400" w:rsidRPr="00A971D9" w:rsidRDefault="00930400" w:rsidP="00930400">
      <w:pPr>
        <w:spacing w:after="0" w:line="240" w:lineRule="auto"/>
        <w:rPr>
          <w:rFonts w:ascii="Cambria" w:hAnsi="Cambria"/>
          <w:sz w:val="12"/>
        </w:rPr>
      </w:pPr>
    </w:p>
    <w:p w14:paraId="6928A357" w14:textId="4B8B0171" w:rsidR="00930400" w:rsidRPr="00296DD9" w:rsidRDefault="00296DD9" w:rsidP="00930400">
      <w:pPr>
        <w:spacing w:after="0" w:line="240" w:lineRule="auto"/>
        <w:rPr>
          <w:rFonts w:ascii="Cambria" w:hAnsi="Cambria"/>
        </w:rPr>
      </w:pPr>
      <w:r w:rsidRPr="00296DD9">
        <w:rPr>
          <w:rFonts w:ascii="Cambria" w:hAnsi="Cambria"/>
        </w:rPr>
        <w:t>It includes three</w:t>
      </w:r>
      <w:r w:rsidR="00930400" w:rsidRPr="00296DD9">
        <w:rPr>
          <w:rFonts w:ascii="Cambria" w:hAnsi="Cambria"/>
        </w:rPr>
        <w:t xml:space="preserve"> basic categories –</w:t>
      </w:r>
    </w:p>
    <w:p w14:paraId="570F1CD5" w14:textId="77777777" w:rsidR="00930400" w:rsidRPr="00296DD9" w:rsidRDefault="00930400" w:rsidP="00296DD9">
      <w:pPr>
        <w:pStyle w:val="ListParagraph"/>
        <w:numPr>
          <w:ilvl w:val="3"/>
          <w:numId w:val="34"/>
        </w:numPr>
        <w:spacing w:after="0" w:line="240" w:lineRule="auto"/>
        <w:ind w:left="851" w:hanging="851"/>
        <w:rPr>
          <w:rFonts w:ascii="Cambria" w:hAnsi="Cambria"/>
        </w:rPr>
      </w:pPr>
      <w:r w:rsidRPr="00296DD9">
        <w:rPr>
          <w:rFonts w:ascii="Cambria" w:hAnsi="Cambria"/>
        </w:rPr>
        <w:t xml:space="preserve">Clauses that cannot be changed because of the relationship to the church. </w:t>
      </w:r>
    </w:p>
    <w:p w14:paraId="79D1F8EF" w14:textId="77777777" w:rsidR="00930400" w:rsidRPr="00296DD9" w:rsidRDefault="00930400" w:rsidP="00296DD9">
      <w:pPr>
        <w:pStyle w:val="ListParagraph"/>
        <w:numPr>
          <w:ilvl w:val="3"/>
          <w:numId w:val="34"/>
        </w:numPr>
        <w:spacing w:after="0" w:line="240" w:lineRule="auto"/>
        <w:ind w:left="851" w:hanging="851"/>
        <w:rPr>
          <w:rFonts w:ascii="Cambria" w:hAnsi="Cambria"/>
        </w:rPr>
      </w:pPr>
      <w:r w:rsidRPr="00296DD9">
        <w:rPr>
          <w:rFonts w:ascii="Cambria" w:hAnsi="Cambria"/>
        </w:rPr>
        <w:t>Clauses that should not change to ensure consistency and unity across the church</w:t>
      </w:r>
    </w:p>
    <w:p w14:paraId="0747D5B3" w14:textId="77777777" w:rsidR="00930400" w:rsidRPr="00296DD9" w:rsidRDefault="00930400" w:rsidP="00296DD9">
      <w:pPr>
        <w:pStyle w:val="ListParagraph"/>
        <w:numPr>
          <w:ilvl w:val="3"/>
          <w:numId w:val="34"/>
        </w:numPr>
        <w:spacing w:after="0" w:line="240" w:lineRule="auto"/>
        <w:ind w:left="851" w:hanging="851"/>
        <w:rPr>
          <w:rFonts w:ascii="Cambria" w:hAnsi="Cambria"/>
        </w:rPr>
      </w:pPr>
      <w:r w:rsidRPr="00296DD9">
        <w:rPr>
          <w:rFonts w:ascii="Cambria" w:hAnsi="Cambria"/>
        </w:rPr>
        <w:t>Clauses that may need to be changed to suit the needs of the congregation to suit the local situation</w:t>
      </w:r>
    </w:p>
    <w:p w14:paraId="69DDE4A7" w14:textId="77777777" w:rsidR="00930400" w:rsidRPr="009A0DA6" w:rsidRDefault="00930400" w:rsidP="00930400">
      <w:pPr>
        <w:spacing w:after="0" w:line="240" w:lineRule="auto"/>
        <w:rPr>
          <w:rFonts w:ascii="Cambria" w:hAnsi="Cambria"/>
        </w:rPr>
      </w:pPr>
    </w:p>
    <w:p w14:paraId="0099D674" w14:textId="77777777" w:rsidR="00930400" w:rsidRPr="009A0DA6" w:rsidRDefault="00930400" w:rsidP="00930400">
      <w:pPr>
        <w:spacing w:after="0" w:line="240" w:lineRule="auto"/>
        <w:rPr>
          <w:rFonts w:ascii="Cambria" w:hAnsi="Cambria"/>
        </w:rPr>
      </w:pPr>
      <w:r w:rsidRPr="009A0DA6">
        <w:rPr>
          <w:rFonts w:ascii="Cambria" w:hAnsi="Cambria"/>
        </w:rPr>
        <w:t>SCoC needs to improve the communication and consultation with the Districts in matters that are relevant to them.</w:t>
      </w:r>
    </w:p>
    <w:p w14:paraId="28C4D651" w14:textId="77777777" w:rsidR="00930400" w:rsidRPr="009A0DA6" w:rsidRDefault="00930400" w:rsidP="00930400">
      <w:pPr>
        <w:spacing w:after="0" w:line="240" w:lineRule="auto"/>
        <w:rPr>
          <w:rFonts w:ascii="Cambria" w:hAnsi="Cambria"/>
        </w:rPr>
      </w:pPr>
    </w:p>
    <w:p w14:paraId="28A792BF" w14:textId="77777777" w:rsidR="004A186C" w:rsidRDefault="004A186C">
      <w:pPr>
        <w:rPr>
          <w:rFonts w:ascii="Cambria" w:eastAsiaTheme="majorEastAsia" w:hAnsi="Cambria" w:cstheme="majorBidi"/>
          <w:b/>
          <w:caps/>
          <w:sz w:val="28"/>
          <w:szCs w:val="24"/>
        </w:rPr>
      </w:pPr>
      <w:r>
        <w:br w:type="page"/>
      </w:r>
    </w:p>
    <w:p w14:paraId="225EA16B" w14:textId="5DD0A71B" w:rsidR="00930400" w:rsidRPr="009A0DA6" w:rsidRDefault="00930400" w:rsidP="00930400">
      <w:pPr>
        <w:pStyle w:val="Heading3"/>
      </w:pPr>
      <w:r w:rsidRPr="009A0DA6">
        <w:lastRenderedPageBreak/>
        <w:t>Risks</w:t>
      </w:r>
    </w:p>
    <w:tbl>
      <w:tblPr>
        <w:tblStyle w:val="PlainTable2"/>
        <w:tblW w:w="8788" w:type="dxa"/>
        <w:tblLook w:val="04A0" w:firstRow="1" w:lastRow="0" w:firstColumn="1" w:lastColumn="0" w:noHBand="0" w:noVBand="1"/>
      </w:tblPr>
      <w:tblGrid>
        <w:gridCol w:w="2835"/>
        <w:gridCol w:w="3118"/>
        <w:gridCol w:w="2835"/>
      </w:tblGrid>
      <w:tr w:rsidR="00930400" w:rsidRPr="009A0DA6" w14:paraId="0303660A" w14:textId="77777777" w:rsidTr="00AD09CB">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835" w:type="dxa"/>
            <w:vAlign w:val="center"/>
            <w:hideMark/>
          </w:tcPr>
          <w:p w14:paraId="2363497F" w14:textId="77777777" w:rsidR="00930400" w:rsidRPr="009A0DA6" w:rsidRDefault="00930400" w:rsidP="00FF349B">
            <w:pPr>
              <w:rPr>
                <w:rFonts w:ascii="Cambria" w:hAnsi="Cambria" w:cs="Arial"/>
              </w:rPr>
            </w:pPr>
            <w:r w:rsidRPr="009A0DA6">
              <w:rPr>
                <w:rFonts w:ascii="Cambria" w:hAnsi="Cambria" w:cs="Arial"/>
              </w:rPr>
              <w:t>Description of risk</w:t>
            </w:r>
          </w:p>
        </w:tc>
        <w:tc>
          <w:tcPr>
            <w:tcW w:w="3118" w:type="dxa"/>
            <w:vAlign w:val="center"/>
            <w:hideMark/>
          </w:tcPr>
          <w:p w14:paraId="33075123" w14:textId="77777777" w:rsidR="00930400" w:rsidRPr="009A0DA6" w:rsidRDefault="00930400" w:rsidP="00FF349B">
            <w:pPr>
              <w:cnfStyle w:val="100000000000" w:firstRow="1"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Likelihood of risk occurring and potential impact for the ministry and LCA</w:t>
            </w:r>
          </w:p>
        </w:tc>
        <w:tc>
          <w:tcPr>
            <w:tcW w:w="2835" w:type="dxa"/>
            <w:vAlign w:val="center"/>
            <w:hideMark/>
          </w:tcPr>
          <w:p w14:paraId="3AC06C31" w14:textId="77777777" w:rsidR="00930400" w:rsidRPr="009A0DA6" w:rsidRDefault="00930400" w:rsidP="00FF349B">
            <w:pPr>
              <w:cnfStyle w:val="100000000000" w:firstRow="1"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Summary of action to mitigate the risk</w:t>
            </w:r>
          </w:p>
        </w:tc>
      </w:tr>
      <w:tr w:rsidR="00930400" w:rsidRPr="009A0DA6" w14:paraId="6444CBCA" w14:textId="77777777" w:rsidTr="00AD09CB">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835" w:type="dxa"/>
          </w:tcPr>
          <w:p w14:paraId="346E3B57" w14:textId="77777777" w:rsidR="00930400" w:rsidRPr="009A0DA6" w:rsidRDefault="00930400" w:rsidP="00F55252">
            <w:pPr>
              <w:pStyle w:val="ListParagraph"/>
              <w:numPr>
                <w:ilvl w:val="0"/>
                <w:numId w:val="73"/>
              </w:numPr>
              <w:spacing w:line="240" w:lineRule="auto"/>
              <w:ind w:left="347" w:hanging="347"/>
              <w:rPr>
                <w:rFonts w:ascii="Cambria" w:hAnsi="Cambria"/>
                <w:b w:val="0"/>
              </w:rPr>
            </w:pPr>
            <w:r w:rsidRPr="009A0DA6">
              <w:rPr>
                <w:rFonts w:ascii="Cambria" w:hAnsi="Cambria"/>
              </w:rPr>
              <w:t xml:space="preserve">Model Constitutions. Clarification of the status of these Models is required -  </w:t>
            </w:r>
            <w:r w:rsidRPr="009A0DA6">
              <w:rPr>
                <w:rFonts w:ascii="Cambria" w:hAnsi="Cambria"/>
              </w:rPr>
              <w:br/>
              <w:t>Consistent information needs to be provided to Congregations when reviewing their constitution</w:t>
            </w:r>
          </w:p>
          <w:p w14:paraId="03E74ACF" w14:textId="77777777" w:rsidR="00930400" w:rsidRPr="009A0DA6" w:rsidRDefault="00930400" w:rsidP="00AD09CB">
            <w:pPr>
              <w:widowControl w:val="0"/>
              <w:suppressAutoHyphens/>
              <w:ind w:left="347" w:hanging="347"/>
              <w:rPr>
                <w:rFonts w:ascii="Cambria" w:hAnsi="Cambria" w:cs="Arial"/>
              </w:rPr>
            </w:pPr>
          </w:p>
        </w:tc>
        <w:tc>
          <w:tcPr>
            <w:tcW w:w="3118" w:type="dxa"/>
            <w:hideMark/>
          </w:tcPr>
          <w:p w14:paraId="5B2D9547" w14:textId="77777777" w:rsidR="00930400" w:rsidRPr="009A0DA6" w:rsidRDefault="00930400" w:rsidP="00AD09CB">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 xml:space="preserve">Impact is that inconsistent information is being provided to congregations. </w:t>
            </w:r>
          </w:p>
          <w:p w14:paraId="7EC4B9D4" w14:textId="77777777" w:rsidR="00930400" w:rsidRPr="009A0DA6" w:rsidRDefault="00930400" w:rsidP="00AD09CB">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Congregations reviewing their constitutions need not be confused by changes made to the Models by District Committees.</w:t>
            </w:r>
          </w:p>
        </w:tc>
        <w:tc>
          <w:tcPr>
            <w:tcW w:w="2835" w:type="dxa"/>
          </w:tcPr>
          <w:p w14:paraId="5C19EF94" w14:textId="77777777" w:rsidR="00930400" w:rsidRPr="009A0DA6" w:rsidRDefault="00930400" w:rsidP="00AD09CB">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Proposal and recommendation submitted to GCC.</w:t>
            </w:r>
          </w:p>
          <w:p w14:paraId="6A08DA74" w14:textId="77777777" w:rsidR="00930400" w:rsidRPr="009A0DA6" w:rsidRDefault="00930400" w:rsidP="00AD09CB">
            <w:pPr>
              <w:cnfStyle w:val="000000100000" w:firstRow="0" w:lastRow="0" w:firstColumn="0" w:lastColumn="0" w:oddVBand="0" w:evenVBand="0" w:oddHBand="1" w:evenHBand="0" w:firstRowFirstColumn="0" w:firstRowLastColumn="0" w:lastRowFirstColumn="0" w:lastRowLastColumn="0"/>
              <w:rPr>
                <w:rFonts w:ascii="Cambria" w:hAnsi="Cambria" w:cs="Arial"/>
              </w:rPr>
            </w:pPr>
          </w:p>
          <w:p w14:paraId="70B17E3D" w14:textId="77777777" w:rsidR="00930400" w:rsidRPr="009A0DA6" w:rsidRDefault="00930400" w:rsidP="00AD09CB">
            <w:pPr>
              <w:ind w:left="360"/>
              <w:cnfStyle w:val="000000100000" w:firstRow="0" w:lastRow="0" w:firstColumn="0" w:lastColumn="0" w:oddVBand="0" w:evenVBand="0" w:oddHBand="1" w:evenHBand="0" w:firstRowFirstColumn="0" w:firstRowLastColumn="0" w:lastRowFirstColumn="0" w:lastRowLastColumn="0"/>
              <w:rPr>
                <w:rFonts w:ascii="Cambria" w:hAnsi="Cambria" w:cs="Arial"/>
              </w:rPr>
            </w:pPr>
          </w:p>
        </w:tc>
      </w:tr>
      <w:tr w:rsidR="00930400" w:rsidRPr="009A0DA6" w14:paraId="729E7F36" w14:textId="77777777" w:rsidTr="00AD09CB">
        <w:trPr>
          <w:trHeight w:val="267"/>
        </w:trPr>
        <w:tc>
          <w:tcPr>
            <w:cnfStyle w:val="001000000000" w:firstRow="0" w:lastRow="0" w:firstColumn="1" w:lastColumn="0" w:oddVBand="0" w:evenVBand="0" w:oddHBand="0" w:evenHBand="0" w:firstRowFirstColumn="0" w:firstRowLastColumn="0" w:lastRowFirstColumn="0" w:lastRowLastColumn="0"/>
            <w:tcW w:w="2835" w:type="dxa"/>
          </w:tcPr>
          <w:p w14:paraId="3E4AF84C" w14:textId="77777777" w:rsidR="00930400" w:rsidRPr="009A0DA6" w:rsidRDefault="00930400" w:rsidP="00F55252">
            <w:pPr>
              <w:pStyle w:val="ListParagraph"/>
              <w:widowControl w:val="0"/>
              <w:numPr>
                <w:ilvl w:val="0"/>
                <w:numId w:val="73"/>
              </w:numPr>
              <w:suppressAutoHyphens/>
              <w:spacing w:line="240" w:lineRule="auto"/>
              <w:ind w:left="347" w:hanging="347"/>
              <w:rPr>
                <w:rFonts w:ascii="Cambria" w:hAnsi="Cambria" w:cs="Arial"/>
              </w:rPr>
            </w:pPr>
            <w:r w:rsidRPr="009A0DA6">
              <w:rPr>
                <w:rFonts w:ascii="Cambria" w:hAnsi="Cambria" w:cs="Arial"/>
              </w:rPr>
              <w:t>Status of decisions of Convention of Synod</w:t>
            </w:r>
          </w:p>
          <w:p w14:paraId="5D24555F" w14:textId="77777777" w:rsidR="00930400" w:rsidRPr="009A0DA6" w:rsidRDefault="00930400" w:rsidP="00AD09CB">
            <w:pPr>
              <w:widowControl w:val="0"/>
              <w:suppressAutoHyphens/>
              <w:ind w:left="347" w:hanging="347"/>
              <w:rPr>
                <w:rFonts w:ascii="Cambria" w:hAnsi="Cambria" w:cs="Arial"/>
              </w:rPr>
            </w:pPr>
          </w:p>
          <w:p w14:paraId="55EC0E94" w14:textId="77777777" w:rsidR="00930400" w:rsidRPr="009A0DA6" w:rsidRDefault="00930400" w:rsidP="00AD09CB">
            <w:pPr>
              <w:widowControl w:val="0"/>
              <w:suppressAutoHyphens/>
              <w:ind w:left="347" w:hanging="347"/>
              <w:rPr>
                <w:rFonts w:ascii="Cambria" w:hAnsi="Cambria" w:cs="Arial"/>
              </w:rPr>
            </w:pPr>
          </w:p>
        </w:tc>
        <w:tc>
          <w:tcPr>
            <w:tcW w:w="3118" w:type="dxa"/>
            <w:hideMark/>
          </w:tcPr>
          <w:p w14:paraId="5BF82146" w14:textId="77777777" w:rsidR="00930400" w:rsidRPr="009A0DA6" w:rsidRDefault="00930400" w:rsidP="00AD09CB">
            <w:pPr>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The impact of proposals that are in principle the same as previously presented and rejected has distracted the Church from its Objects in Article 3. in the Constitution of the Church.</w:t>
            </w:r>
          </w:p>
        </w:tc>
        <w:tc>
          <w:tcPr>
            <w:tcW w:w="2835" w:type="dxa"/>
            <w:hideMark/>
          </w:tcPr>
          <w:p w14:paraId="59216EA4" w14:textId="77777777" w:rsidR="00930400" w:rsidRPr="009A0DA6" w:rsidRDefault="00930400" w:rsidP="00AD09CB">
            <w:pPr>
              <w:cnfStyle w:val="000000000000" w:firstRow="0" w:lastRow="0" w:firstColumn="0" w:lastColumn="0" w:oddVBand="0" w:evenVBand="0" w:oddHBand="0" w:evenHBand="0" w:firstRowFirstColumn="0" w:firstRowLastColumn="0" w:lastRowFirstColumn="0" w:lastRowLastColumn="0"/>
              <w:rPr>
                <w:rFonts w:ascii="Cambria" w:hAnsi="Cambria"/>
              </w:rPr>
            </w:pPr>
            <w:r w:rsidRPr="009A0DA6">
              <w:rPr>
                <w:rFonts w:ascii="Cambria" w:hAnsi="Cambria"/>
              </w:rPr>
              <w:t xml:space="preserve">Constitutional clarity is required regarding proposals being presented to Convention that are in principle the same as those resolved at the previous Convention. </w:t>
            </w:r>
          </w:p>
        </w:tc>
      </w:tr>
      <w:tr w:rsidR="00930400" w:rsidRPr="009A0DA6" w14:paraId="21E20DD8" w14:textId="77777777" w:rsidTr="00AD09CB">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835" w:type="dxa"/>
            <w:hideMark/>
          </w:tcPr>
          <w:p w14:paraId="45834190" w14:textId="77777777" w:rsidR="00930400" w:rsidRPr="009A0DA6" w:rsidRDefault="00930400" w:rsidP="00F55252">
            <w:pPr>
              <w:pStyle w:val="ListParagraph"/>
              <w:widowControl w:val="0"/>
              <w:numPr>
                <w:ilvl w:val="0"/>
                <w:numId w:val="73"/>
              </w:numPr>
              <w:suppressAutoHyphens/>
              <w:spacing w:line="240" w:lineRule="auto"/>
              <w:ind w:left="347" w:hanging="347"/>
              <w:rPr>
                <w:rFonts w:ascii="Cambria" w:hAnsi="Cambria" w:cs="Arial"/>
              </w:rPr>
            </w:pPr>
            <w:r w:rsidRPr="009A0DA6">
              <w:rPr>
                <w:rFonts w:ascii="Cambria" w:hAnsi="Cambria" w:cs="Arial"/>
              </w:rPr>
              <w:t>Judicial Process - there are gaps in the current constitution relating to pastors</w:t>
            </w:r>
          </w:p>
        </w:tc>
        <w:tc>
          <w:tcPr>
            <w:tcW w:w="3118" w:type="dxa"/>
            <w:hideMark/>
          </w:tcPr>
          <w:p w14:paraId="57771065" w14:textId="77777777" w:rsidR="00930400" w:rsidRPr="009A0DA6" w:rsidRDefault="00930400" w:rsidP="00AD09CB">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The steps of the process are not clear and must be in accordance with Scripture. There needs to be the appropriate balance of discipline, pastoral care whilst complying with legislation.</w:t>
            </w:r>
          </w:p>
        </w:tc>
        <w:tc>
          <w:tcPr>
            <w:tcW w:w="2835" w:type="dxa"/>
            <w:hideMark/>
          </w:tcPr>
          <w:p w14:paraId="0DBCDFCA" w14:textId="77777777" w:rsidR="00930400" w:rsidRPr="009A0DA6" w:rsidRDefault="00930400" w:rsidP="00AD09CB">
            <w:pPr>
              <w:cnfStyle w:val="000000100000" w:firstRow="0" w:lastRow="0" w:firstColumn="0" w:lastColumn="0" w:oddVBand="0" w:evenVBand="0" w:oddHBand="1" w:evenHBand="0" w:firstRowFirstColumn="0" w:firstRowLastColumn="0" w:lastRowFirstColumn="0" w:lastRowLastColumn="0"/>
              <w:rPr>
                <w:rFonts w:ascii="Cambria" w:hAnsi="Cambria"/>
              </w:rPr>
            </w:pPr>
            <w:r w:rsidRPr="009A0DA6">
              <w:rPr>
                <w:rFonts w:ascii="Cambria" w:hAnsi="Cambria"/>
              </w:rPr>
              <w:t>Constitutional changes are required when appropriate advice and response is received from College of Bishops. Proposal submitted to GCC.</w:t>
            </w:r>
          </w:p>
        </w:tc>
      </w:tr>
    </w:tbl>
    <w:p w14:paraId="7839D98D" w14:textId="77777777" w:rsidR="00930400" w:rsidRPr="009A0DA6" w:rsidRDefault="00930400" w:rsidP="00930400">
      <w:pPr>
        <w:pStyle w:val="NoSpacing"/>
      </w:pPr>
    </w:p>
    <w:p w14:paraId="5E5BFE5E" w14:textId="77777777" w:rsidR="00930400" w:rsidRPr="009A0DA6" w:rsidRDefault="00930400" w:rsidP="00930400">
      <w:pPr>
        <w:pStyle w:val="Heading3"/>
        <w:rPr>
          <w:lang w:val="en-US" w:eastAsia="ja-JP"/>
        </w:rPr>
      </w:pPr>
      <w:r w:rsidRPr="009A0DA6">
        <w:t xml:space="preserve">Alignment to LCA Strategic Direction </w:t>
      </w:r>
      <w:r>
        <w:t>2013–2018</w:t>
      </w:r>
    </w:p>
    <w:p w14:paraId="0A3A37A4" w14:textId="77777777" w:rsidR="00930400" w:rsidRPr="009A0DA6" w:rsidRDefault="00930400" w:rsidP="00930400">
      <w:pPr>
        <w:rPr>
          <w:rFonts w:ascii="Cambria" w:hAnsi="Cambria"/>
        </w:rPr>
      </w:pPr>
      <w:r w:rsidRPr="009A0DA6">
        <w:rPr>
          <w:rFonts w:ascii="Cambria" w:hAnsi="Cambria"/>
        </w:rPr>
        <w:t>The work of SCoC is largely directed by GCC and would therefore align with the LCA Strategic Directions.</w:t>
      </w:r>
    </w:p>
    <w:p w14:paraId="767539BC" w14:textId="77777777" w:rsidR="00930400" w:rsidRPr="009A0DA6" w:rsidRDefault="00930400" w:rsidP="00930400">
      <w:pPr>
        <w:pStyle w:val="Heading3"/>
      </w:pPr>
      <w:r w:rsidRPr="009A0DA6">
        <w:t>Cooperating LCA Boards and Agencies</w:t>
      </w:r>
    </w:p>
    <w:p w14:paraId="0A34D31E" w14:textId="77777777" w:rsidR="00930400" w:rsidRPr="009A0DA6" w:rsidRDefault="00930400" w:rsidP="00930400">
      <w:pPr>
        <w:spacing w:after="0" w:line="240" w:lineRule="auto"/>
        <w:rPr>
          <w:rFonts w:ascii="Cambria" w:hAnsi="Cambria" w:cs="Arial"/>
        </w:rPr>
      </w:pPr>
      <w:r w:rsidRPr="009A0DA6">
        <w:rPr>
          <w:rFonts w:ascii="Cambria" w:hAnsi="Cambria" w:cs="Arial"/>
        </w:rPr>
        <w:t>Any board or agency of the church that requires changes to constitutions. Generally good cooperation, however it has been a challenge regarding the Districts use Model Constitutions.</w:t>
      </w:r>
    </w:p>
    <w:p w14:paraId="2793D614" w14:textId="77777777" w:rsidR="00930400" w:rsidRPr="009A0DA6" w:rsidRDefault="00930400" w:rsidP="00930400">
      <w:pPr>
        <w:pStyle w:val="NoSpacing"/>
      </w:pPr>
    </w:p>
    <w:p w14:paraId="6D888F3C" w14:textId="77777777" w:rsidR="00930400" w:rsidRPr="009A0DA6" w:rsidRDefault="00930400" w:rsidP="00930400">
      <w:pPr>
        <w:pStyle w:val="Heading3"/>
        <w:rPr>
          <w:lang w:val="en-US" w:eastAsia="ja-JP"/>
        </w:rPr>
      </w:pPr>
      <w:r w:rsidRPr="009A0DA6">
        <w:t>Financial Performance</w:t>
      </w:r>
    </w:p>
    <w:p w14:paraId="2AEBE610" w14:textId="77777777" w:rsidR="00930400" w:rsidRPr="009A0DA6" w:rsidRDefault="00930400" w:rsidP="00930400">
      <w:pPr>
        <w:spacing w:after="0" w:line="240" w:lineRule="auto"/>
        <w:rPr>
          <w:rFonts w:ascii="Cambria" w:hAnsi="Cambria" w:cs="Arial"/>
        </w:rPr>
      </w:pPr>
      <w:r w:rsidRPr="009A0DA6">
        <w:rPr>
          <w:rFonts w:ascii="Cambria" w:hAnsi="Cambria" w:cs="Arial"/>
        </w:rPr>
        <w:t>The SCoC’s budget requirement is for costs covered by the LCA for:</w:t>
      </w:r>
    </w:p>
    <w:p w14:paraId="36E5B1A1" w14:textId="77777777" w:rsidR="00930400" w:rsidRPr="009A0DA6" w:rsidRDefault="00930400" w:rsidP="00F55252">
      <w:pPr>
        <w:pStyle w:val="ListParagraph"/>
        <w:numPr>
          <w:ilvl w:val="0"/>
          <w:numId w:val="74"/>
        </w:numPr>
        <w:spacing w:after="0" w:line="240" w:lineRule="auto"/>
        <w:ind w:left="567" w:hanging="567"/>
        <w:rPr>
          <w:rFonts w:ascii="Cambria" w:hAnsi="Cambria" w:cs="Arial"/>
        </w:rPr>
      </w:pPr>
      <w:r w:rsidRPr="009A0DA6">
        <w:rPr>
          <w:rFonts w:ascii="Cambria" w:hAnsi="Cambria" w:cs="Arial"/>
        </w:rPr>
        <w:t>travel and accommodation for interstate committee members attending regular meetings</w:t>
      </w:r>
    </w:p>
    <w:p w14:paraId="24DC41B6" w14:textId="77777777" w:rsidR="00930400" w:rsidRPr="009A0DA6" w:rsidRDefault="00930400" w:rsidP="00F55252">
      <w:pPr>
        <w:pStyle w:val="ListParagraph"/>
        <w:numPr>
          <w:ilvl w:val="0"/>
          <w:numId w:val="74"/>
        </w:numPr>
        <w:spacing w:after="0" w:line="240" w:lineRule="auto"/>
        <w:ind w:left="567" w:hanging="567"/>
        <w:rPr>
          <w:rFonts w:ascii="Cambria" w:hAnsi="Cambria" w:cs="Arial"/>
        </w:rPr>
      </w:pPr>
      <w:r w:rsidRPr="009A0DA6">
        <w:rPr>
          <w:rFonts w:ascii="Cambria" w:hAnsi="Cambria" w:cs="Arial"/>
        </w:rPr>
        <w:t>travel and accommodation for those who attended the Constitutional Forum in 2017</w:t>
      </w:r>
    </w:p>
    <w:p w14:paraId="30D19CE3" w14:textId="77777777" w:rsidR="00930400" w:rsidRPr="009A0DA6" w:rsidRDefault="00930400" w:rsidP="00F55252">
      <w:pPr>
        <w:pStyle w:val="ListParagraph"/>
        <w:numPr>
          <w:ilvl w:val="0"/>
          <w:numId w:val="74"/>
        </w:numPr>
        <w:spacing w:after="0" w:line="240" w:lineRule="auto"/>
        <w:ind w:left="567" w:hanging="567"/>
        <w:rPr>
          <w:rFonts w:ascii="Cambria" w:hAnsi="Cambria" w:cs="Arial"/>
        </w:rPr>
      </w:pPr>
      <w:r w:rsidRPr="009A0DA6">
        <w:rPr>
          <w:rFonts w:ascii="Cambria" w:hAnsi="Cambria" w:cs="Arial"/>
        </w:rPr>
        <w:t>Secretarial support provided to the committee by the LCA</w:t>
      </w:r>
    </w:p>
    <w:p w14:paraId="5C3E3DAD" w14:textId="77777777" w:rsidR="00930400" w:rsidRDefault="00930400">
      <w:pPr>
        <w:rPr>
          <w:rFonts w:ascii="Cambria" w:eastAsiaTheme="majorEastAsia" w:hAnsi="Cambria" w:cstheme="majorBidi"/>
          <w:b/>
          <w:caps/>
          <w:sz w:val="28"/>
          <w:szCs w:val="24"/>
        </w:rPr>
      </w:pPr>
      <w:r>
        <w:br w:type="page"/>
      </w:r>
    </w:p>
    <w:p w14:paraId="7F60E463" w14:textId="6914C108" w:rsidR="000B3A2F" w:rsidRPr="009A0DA6" w:rsidRDefault="000B3A2F" w:rsidP="00964A90">
      <w:pPr>
        <w:pStyle w:val="Heading3"/>
      </w:pPr>
      <w:bookmarkStart w:id="451" w:name="_Hlk522191696"/>
      <w:r w:rsidRPr="009A0DA6">
        <w:lastRenderedPageBreak/>
        <w:t>agenda 2.4.2</w:t>
      </w:r>
    </w:p>
    <w:p w14:paraId="432696D6" w14:textId="4B764B6E" w:rsidR="000B3A2F" w:rsidRPr="009A0DA6" w:rsidRDefault="000B3A2F" w:rsidP="000B3A2F">
      <w:pPr>
        <w:pStyle w:val="Heading2"/>
      </w:pPr>
      <w:bookmarkStart w:id="452" w:name="_Toc521954704"/>
      <w:r w:rsidRPr="009A0DA6">
        <w:t xml:space="preserve">Constitutional </w:t>
      </w:r>
      <w:r w:rsidR="005139CD" w:rsidRPr="009A0DA6">
        <w:t>c</w:t>
      </w:r>
      <w:r w:rsidRPr="009A0DA6">
        <w:t>hange</w:t>
      </w:r>
      <w:r w:rsidR="005139CD" w:rsidRPr="009A0DA6">
        <w:t>s</w:t>
      </w:r>
      <w:r w:rsidRPr="009A0DA6">
        <w:t xml:space="preserve">: ACNC </w:t>
      </w:r>
      <w:r w:rsidR="00174A5E" w:rsidRPr="009A0DA6">
        <w:t>r</w:t>
      </w:r>
      <w:r w:rsidRPr="009A0DA6">
        <w:t>equirements</w:t>
      </w:r>
      <w:bookmarkEnd w:id="452"/>
    </w:p>
    <w:p w14:paraId="3A7566BC" w14:textId="77777777" w:rsidR="000B3A2F" w:rsidRPr="009A0DA6" w:rsidRDefault="000B3A2F" w:rsidP="000B3A2F">
      <w:pPr>
        <w:pStyle w:val="NoSpacing"/>
      </w:pPr>
    </w:p>
    <w:p w14:paraId="44F30FB7" w14:textId="77777777" w:rsidR="000B3A2F" w:rsidRPr="009A0DA6" w:rsidRDefault="005139CD" w:rsidP="00964A90">
      <w:pPr>
        <w:pStyle w:val="Heading3"/>
      </w:pPr>
      <w:r w:rsidRPr="009A0DA6">
        <w:t>proposed Motion</w:t>
      </w:r>
    </w:p>
    <w:p w14:paraId="396FCBCE" w14:textId="77777777" w:rsidR="005139CD" w:rsidRPr="009A0DA6" w:rsidRDefault="005139CD" w:rsidP="005139CD">
      <w:pPr>
        <w:shd w:val="clear" w:color="auto" w:fill="FFFFFF"/>
        <w:spacing w:after="0" w:line="240" w:lineRule="auto"/>
        <w:rPr>
          <w:rFonts w:ascii="Cambria" w:eastAsia="Times New Roman" w:hAnsi="Cambria" w:cs="Times New Roman"/>
          <w:bCs/>
          <w:color w:val="222222"/>
          <w:lang w:eastAsia="en-AU"/>
        </w:rPr>
      </w:pPr>
      <w:r w:rsidRPr="009A0DA6">
        <w:rPr>
          <w:rFonts w:ascii="Cambria" w:hAnsi="Cambria"/>
          <w:b/>
          <w:bCs/>
          <w:lang w:eastAsia="en-AU"/>
        </w:rPr>
        <w:t>BE IT RESOLVED</w:t>
      </w:r>
      <w:r w:rsidRPr="009A0DA6">
        <w:rPr>
          <w:rFonts w:ascii="Cambria" w:eastAsia="Times New Roman" w:hAnsi="Cambria" w:cs="Times New Roman"/>
          <w:bCs/>
          <w:color w:val="000000"/>
          <w:lang w:eastAsia="en-AU"/>
        </w:rPr>
        <w:t xml:space="preserve"> </w:t>
      </w:r>
      <w:r w:rsidRPr="009A0DA6">
        <w:rPr>
          <w:rFonts w:ascii="Cambria" w:eastAsia="Times New Roman" w:hAnsi="Cambria" w:cs="Times New Roman"/>
          <w:bCs/>
          <w:color w:val="222222"/>
          <w:lang w:eastAsia="en-AU"/>
        </w:rPr>
        <w:t xml:space="preserve">that </w:t>
      </w:r>
      <w:r w:rsidRPr="009A0DA6">
        <w:rPr>
          <w:rFonts w:ascii="Cambria" w:eastAsia="Times New Roman" w:hAnsi="Cambria" w:cs="Times New Roman"/>
          <w:b/>
          <w:bCs/>
          <w:color w:val="222222"/>
          <w:lang w:eastAsia="en-AU"/>
        </w:rPr>
        <w:t>Article 4 Objects</w:t>
      </w:r>
      <w:r w:rsidRPr="009A0DA6">
        <w:rPr>
          <w:rFonts w:ascii="Cambria" w:eastAsia="Times New Roman" w:hAnsi="Cambria" w:cs="Times New Roman"/>
          <w:bCs/>
          <w:color w:val="222222"/>
          <w:lang w:eastAsia="en-AU"/>
        </w:rPr>
        <w:t xml:space="preserve"> of the Model Constitution for a Congregation be amended with the addition of new sub-clauses 4.1.5 and 4.2 as follows (words to be deleted – </w:t>
      </w:r>
      <w:r w:rsidRPr="009A0DA6">
        <w:rPr>
          <w:rFonts w:ascii="Cambria" w:eastAsia="Times New Roman" w:hAnsi="Cambria" w:cs="Times New Roman"/>
          <w:bCs/>
          <w:strike/>
          <w:color w:val="222222"/>
          <w:lang w:eastAsia="en-AU"/>
        </w:rPr>
        <w:t>strikethrough</w:t>
      </w:r>
      <w:r w:rsidRPr="009A0DA6">
        <w:rPr>
          <w:rFonts w:ascii="Cambria" w:eastAsia="Times New Roman" w:hAnsi="Cambria" w:cs="Times New Roman"/>
          <w:bCs/>
          <w:color w:val="222222"/>
          <w:lang w:eastAsia="en-AU"/>
        </w:rPr>
        <w:t xml:space="preserve">; words to be added – </w:t>
      </w:r>
      <w:r w:rsidRPr="009A0DA6">
        <w:rPr>
          <w:rFonts w:ascii="Cambria" w:eastAsia="Times New Roman" w:hAnsi="Cambria" w:cs="Times New Roman"/>
          <w:b/>
          <w:bCs/>
          <w:color w:val="222222"/>
          <w:lang w:eastAsia="en-AU"/>
        </w:rPr>
        <w:t>bold</w:t>
      </w:r>
      <w:r w:rsidRPr="009A0DA6">
        <w:rPr>
          <w:rFonts w:ascii="Cambria" w:eastAsia="Times New Roman" w:hAnsi="Cambria" w:cs="Times New Roman"/>
          <w:bCs/>
          <w:color w:val="222222"/>
          <w:lang w:eastAsia="en-AU"/>
        </w:rPr>
        <w:t>):</w:t>
      </w:r>
    </w:p>
    <w:p w14:paraId="10EA7C53" w14:textId="77777777" w:rsidR="005139CD" w:rsidRPr="004A186C" w:rsidRDefault="005139CD" w:rsidP="005139CD">
      <w:pPr>
        <w:shd w:val="clear" w:color="auto" w:fill="FFFFFF"/>
        <w:spacing w:after="0" w:line="240" w:lineRule="auto"/>
        <w:rPr>
          <w:rFonts w:ascii="Cambria" w:eastAsia="Times New Roman" w:hAnsi="Cambria" w:cs="Times New Roman"/>
          <w:bCs/>
          <w:color w:val="222222"/>
          <w:sz w:val="10"/>
          <w:lang w:eastAsia="en-AU"/>
        </w:rPr>
      </w:pPr>
    </w:p>
    <w:p w14:paraId="0EB03181" w14:textId="257FC23A" w:rsidR="005139CD" w:rsidRPr="009A0DA6" w:rsidRDefault="005139CD" w:rsidP="005139CD">
      <w:pPr>
        <w:tabs>
          <w:tab w:val="left" w:pos="709"/>
          <w:tab w:val="left" w:pos="1559"/>
          <w:tab w:val="left" w:pos="2552"/>
          <w:tab w:val="left" w:pos="3544"/>
          <w:tab w:val="left" w:pos="4536"/>
        </w:tabs>
        <w:spacing w:after="0" w:line="240" w:lineRule="auto"/>
        <w:jc w:val="center"/>
        <w:rPr>
          <w:rFonts w:ascii="Cambria" w:eastAsia="Times New Roman" w:hAnsi="Cambria" w:cs="Times New Roman"/>
          <w:b/>
          <w:noProof/>
          <w:sz w:val="10"/>
          <w:szCs w:val="10"/>
          <w:lang w:eastAsia="ja-JP"/>
        </w:rPr>
      </w:pPr>
      <w:r w:rsidRPr="009A0DA6">
        <w:rPr>
          <w:rFonts w:ascii="Cambria" w:eastAsia="Times New Roman" w:hAnsi="Cambria" w:cs="Times New Roman"/>
          <w:b/>
          <w:noProof/>
        </w:rPr>
        <w:t>ARTICLE  4</w:t>
      </w:r>
      <w:r w:rsidR="0027799A" w:rsidRPr="009A0DA6">
        <w:rPr>
          <w:rFonts w:ascii="Cambria" w:eastAsia="Times New Roman" w:hAnsi="Cambria" w:cs="Times New Roman"/>
          <w:b/>
          <w:noProof/>
        </w:rPr>
        <w:t xml:space="preserve">. </w:t>
      </w:r>
      <w:r w:rsidR="004A186C">
        <w:rPr>
          <w:rFonts w:ascii="Cambria" w:eastAsia="Times New Roman" w:hAnsi="Cambria" w:cs="Times New Roman"/>
          <w:b/>
          <w:noProof/>
        </w:rPr>
        <w:t xml:space="preserve"> OBJECTS</w:t>
      </w:r>
    </w:p>
    <w:p w14:paraId="1867E1EE" w14:textId="0769B6C1" w:rsidR="005139CD" w:rsidRPr="009A0DA6" w:rsidRDefault="005139CD" w:rsidP="00CB1007">
      <w:pPr>
        <w:tabs>
          <w:tab w:val="left" w:pos="1418"/>
          <w:tab w:val="left" w:pos="1559"/>
          <w:tab w:val="left" w:pos="2552"/>
          <w:tab w:val="left" w:pos="3544"/>
          <w:tab w:val="left" w:pos="4536"/>
        </w:tabs>
        <w:spacing w:after="0" w:line="240" w:lineRule="auto"/>
        <w:ind w:left="567" w:hanging="567"/>
        <w:rPr>
          <w:rFonts w:ascii="Cambria" w:eastAsia="Times New Roman" w:hAnsi="Cambria" w:cs="Times New Roman"/>
          <w:noProof/>
        </w:rPr>
      </w:pPr>
      <w:r w:rsidRPr="009A0DA6">
        <w:rPr>
          <w:rFonts w:ascii="Cambria" w:eastAsia="Times New Roman" w:hAnsi="Cambria" w:cs="Times New Roman"/>
          <w:noProof/>
        </w:rPr>
        <w:t>4.1</w:t>
      </w:r>
      <w:r w:rsidRPr="009A0DA6">
        <w:rPr>
          <w:rFonts w:ascii="Cambria" w:eastAsia="Times New Roman" w:hAnsi="Cambria" w:cs="Times New Roman"/>
          <w:noProof/>
        </w:rPr>
        <w:tab/>
        <w:t>The Objects o</w:t>
      </w:r>
      <w:r w:rsidR="00CB1007">
        <w:rPr>
          <w:rFonts w:ascii="Cambria" w:eastAsia="Times New Roman" w:hAnsi="Cambria" w:cs="Times New Roman"/>
          <w:noProof/>
        </w:rPr>
        <w:t>f the Congregation are to</w:t>
      </w:r>
      <w:r w:rsidR="00CB1007">
        <w:rPr>
          <w:rFonts w:ascii="Cambria" w:eastAsia="Times New Roman" w:hAnsi="Cambria" w:cs="Times New Roman"/>
          <w:noProof/>
        </w:rPr>
        <w:br/>
        <w:t>4.1.1</w:t>
      </w:r>
      <w:r w:rsidR="00CB1007">
        <w:rPr>
          <w:rFonts w:ascii="Cambria" w:eastAsia="Times New Roman" w:hAnsi="Cambria" w:cs="Times New Roman"/>
          <w:noProof/>
        </w:rPr>
        <w:tab/>
      </w:r>
      <w:r w:rsidRPr="009A0DA6">
        <w:rPr>
          <w:rFonts w:ascii="Cambria" w:eastAsia="Times New Roman" w:hAnsi="Cambria" w:cs="Times New Roman"/>
          <w:noProof/>
        </w:rPr>
        <w:t>glorify the Triune God in its worship and in its work;</w:t>
      </w:r>
    </w:p>
    <w:p w14:paraId="6453268C" w14:textId="77777777" w:rsidR="005139CD" w:rsidRPr="009A0DA6" w:rsidRDefault="005139CD" w:rsidP="005139CD">
      <w:pPr>
        <w:tabs>
          <w:tab w:val="left" w:pos="567"/>
          <w:tab w:val="left" w:pos="1418"/>
          <w:tab w:val="left" w:pos="2552"/>
          <w:tab w:val="left" w:pos="3544"/>
          <w:tab w:val="left" w:pos="4536"/>
        </w:tabs>
        <w:spacing w:after="0" w:line="240" w:lineRule="auto"/>
        <w:ind w:left="1418" w:hanging="1418"/>
        <w:rPr>
          <w:rFonts w:ascii="Cambria" w:eastAsia="Times New Roman" w:hAnsi="Cambria" w:cs="Times New Roman"/>
          <w:noProof/>
        </w:rPr>
      </w:pPr>
      <w:r w:rsidRPr="009A0DA6">
        <w:rPr>
          <w:rFonts w:ascii="Cambria" w:eastAsia="Times New Roman" w:hAnsi="Cambria" w:cs="Times New Roman"/>
          <w:noProof/>
        </w:rPr>
        <w:tab/>
        <w:t>4.1.2</w:t>
      </w:r>
      <w:r w:rsidRPr="009A0DA6">
        <w:rPr>
          <w:rFonts w:ascii="Cambria" w:eastAsia="Times New Roman" w:hAnsi="Cambria" w:cs="Times New Roman"/>
          <w:noProof/>
        </w:rPr>
        <w:tab/>
        <w:t>bear witness to the Lord Jesus Christ through the proclamation of the Gospel in accordance with the Confession and practice of the Church;</w:t>
      </w:r>
    </w:p>
    <w:p w14:paraId="64FAC6D0" w14:textId="77777777" w:rsidR="005139CD" w:rsidRPr="009A0DA6" w:rsidRDefault="005139CD" w:rsidP="005139CD">
      <w:pPr>
        <w:tabs>
          <w:tab w:val="left" w:pos="567"/>
          <w:tab w:val="left" w:pos="1418"/>
          <w:tab w:val="left" w:pos="2552"/>
          <w:tab w:val="left" w:pos="3544"/>
          <w:tab w:val="left" w:pos="4536"/>
        </w:tabs>
        <w:spacing w:after="0" w:line="240" w:lineRule="auto"/>
        <w:ind w:left="1418" w:hanging="1418"/>
        <w:rPr>
          <w:rFonts w:ascii="Cambria" w:eastAsia="Times New Roman" w:hAnsi="Cambria" w:cs="Times New Roman"/>
          <w:noProof/>
        </w:rPr>
      </w:pPr>
      <w:r w:rsidRPr="009A0DA6">
        <w:rPr>
          <w:rFonts w:ascii="Cambria" w:eastAsia="Times New Roman" w:hAnsi="Cambria" w:cs="Times New Roman"/>
          <w:noProof/>
        </w:rPr>
        <w:tab/>
        <w:t>4.1.3</w:t>
      </w:r>
      <w:r w:rsidRPr="009A0DA6">
        <w:rPr>
          <w:rFonts w:ascii="Cambria" w:eastAsia="Times New Roman" w:hAnsi="Cambria" w:cs="Times New Roman"/>
          <w:noProof/>
        </w:rPr>
        <w:tab/>
        <w:t>gather into the Congregation such persons as are, or desire to become, members of the Church for their edification through the Word and the Sacraments;</w:t>
      </w:r>
    </w:p>
    <w:p w14:paraId="03AA005E" w14:textId="77777777" w:rsidR="005139CD" w:rsidRPr="009A0DA6" w:rsidRDefault="005139CD" w:rsidP="005139CD">
      <w:pPr>
        <w:tabs>
          <w:tab w:val="left" w:pos="567"/>
          <w:tab w:val="left" w:pos="1418"/>
          <w:tab w:val="left" w:pos="2552"/>
          <w:tab w:val="left" w:pos="3544"/>
          <w:tab w:val="left" w:pos="4536"/>
        </w:tabs>
        <w:spacing w:after="0" w:line="240" w:lineRule="auto"/>
        <w:ind w:left="1418" w:hanging="1418"/>
        <w:rPr>
          <w:rFonts w:ascii="Cambria" w:eastAsia="Times New Roman" w:hAnsi="Cambria" w:cs="Times New Roman"/>
          <w:noProof/>
        </w:rPr>
      </w:pPr>
      <w:r w:rsidRPr="009A0DA6">
        <w:rPr>
          <w:rFonts w:ascii="Cambria" w:eastAsia="Times New Roman" w:hAnsi="Cambria" w:cs="Times New Roman"/>
          <w:noProof/>
        </w:rPr>
        <w:tab/>
        <w:t>4.1.4</w:t>
      </w:r>
      <w:r w:rsidRPr="009A0DA6">
        <w:rPr>
          <w:rFonts w:ascii="Cambria" w:eastAsia="Times New Roman" w:hAnsi="Cambria" w:cs="Times New Roman"/>
          <w:noProof/>
        </w:rPr>
        <w:tab/>
        <w:t>help the members to dedicate their God-given spiritual, material and physical gifts to the service of their Lord;</w:t>
      </w:r>
    </w:p>
    <w:p w14:paraId="2BDCD1B8" w14:textId="77777777" w:rsidR="005139CD" w:rsidRPr="009A0DA6" w:rsidRDefault="005139CD" w:rsidP="005139CD">
      <w:pPr>
        <w:tabs>
          <w:tab w:val="left" w:pos="567"/>
          <w:tab w:val="left" w:pos="1418"/>
          <w:tab w:val="left" w:pos="2552"/>
          <w:tab w:val="left" w:pos="3544"/>
          <w:tab w:val="left" w:pos="4536"/>
        </w:tabs>
        <w:spacing w:after="0" w:line="240" w:lineRule="auto"/>
        <w:ind w:left="1418" w:hanging="1418"/>
        <w:rPr>
          <w:rFonts w:ascii="Cambria" w:eastAsia="Times New Roman" w:hAnsi="Cambria" w:cs="Times New Roman"/>
          <w:b/>
          <w:noProof/>
        </w:rPr>
      </w:pPr>
      <w:r w:rsidRPr="009A0DA6">
        <w:rPr>
          <w:rFonts w:ascii="Cambria" w:eastAsia="Times New Roman" w:hAnsi="Cambria" w:cs="Times New Roman"/>
          <w:b/>
          <w:noProof/>
        </w:rPr>
        <w:tab/>
        <w:t>4.1.5</w:t>
      </w:r>
      <w:r w:rsidRPr="009A0DA6">
        <w:rPr>
          <w:rFonts w:ascii="Cambria" w:eastAsia="Times New Roman" w:hAnsi="Cambria" w:cs="Times New Roman"/>
          <w:b/>
          <w:noProof/>
        </w:rPr>
        <w:tab/>
        <w:t>enable the members to reach out into the community in their daily lives and in their congregational activities as bearers of the Gospel;</w:t>
      </w:r>
    </w:p>
    <w:p w14:paraId="516642D4" w14:textId="77777777" w:rsidR="005139CD" w:rsidRPr="009A0DA6" w:rsidRDefault="005139CD" w:rsidP="005139CD">
      <w:pPr>
        <w:tabs>
          <w:tab w:val="left" w:pos="567"/>
          <w:tab w:val="left" w:pos="1418"/>
          <w:tab w:val="left" w:pos="2552"/>
          <w:tab w:val="left" w:pos="3544"/>
          <w:tab w:val="left" w:pos="4536"/>
        </w:tabs>
        <w:spacing w:after="0" w:line="240" w:lineRule="auto"/>
        <w:ind w:left="1418" w:hanging="1418"/>
        <w:rPr>
          <w:rFonts w:ascii="Cambria" w:eastAsia="Times New Roman" w:hAnsi="Cambria" w:cs="Times New Roman"/>
          <w:noProof/>
        </w:rPr>
      </w:pPr>
      <w:r w:rsidRPr="009A0DA6">
        <w:rPr>
          <w:rFonts w:ascii="Cambria" w:eastAsia="Times New Roman" w:hAnsi="Cambria" w:cs="Times New Roman"/>
          <w:noProof/>
        </w:rPr>
        <w:tab/>
        <w:t>4.1.</w:t>
      </w:r>
      <w:r w:rsidRPr="009A0DA6">
        <w:rPr>
          <w:rFonts w:ascii="Cambria" w:eastAsia="Times New Roman" w:hAnsi="Cambria" w:cs="Times New Roman"/>
          <w:strike/>
          <w:noProof/>
        </w:rPr>
        <w:t>5</w:t>
      </w:r>
      <w:r w:rsidRPr="009A0DA6">
        <w:rPr>
          <w:rFonts w:ascii="Cambria" w:eastAsia="Times New Roman" w:hAnsi="Cambria" w:cs="Times New Roman"/>
          <w:b/>
          <w:noProof/>
        </w:rPr>
        <w:t>6</w:t>
      </w:r>
      <w:r w:rsidRPr="009A0DA6">
        <w:rPr>
          <w:rFonts w:ascii="Cambria" w:eastAsia="Times New Roman" w:hAnsi="Cambria" w:cs="Times New Roman"/>
          <w:noProof/>
        </w:rPr>
        <w:tab/>
        <w:t>minister to human need in the name of Jesus Christ our Lord in the spirit of Christian charity and service;</w:t>
      </w:r>
    </w:p>
    <w:p w14:paraId="5B1EA7B0" w14:textId="77777777" w:rsidR="005139CD" w:rsidRPr="009A0DA6" w:rsidRDefault="005139CD" w:rsidP="005139CD">
      <w:pPr>
        <w:tabs>
          <w:tab w:val="left" w:pos="567"/>
          <w:tab w:val="left" w:pos="1418"/>
          <w:tab w:val="left" w:pos="2552"/>
          <w:tab w:val="left" w:pos="3544"/>
          <w:tab w:val="left" w:pos="4536"/>
        </w:tabs>
        <w:spacing w:after="0" w:line="240" w:lineRule="auto"/>
        <w:ind w:left="1418" w:hanging="1418"/>
        <w:rPr>
          <w:rFonts w:ascii="Cambria" w:eastAsia="Times New Roman" w:hAnsi="Cambria" w:cs="Times New Roman"/>
          <w:noProof/>
        </w:rPr>
      </w:pPr>
      <w:r w:rsidRPr="009A0DA6">
        <w:rPr>
          <w:rFonts w:ascii="Cambria" w:eastAsia="Times New Roman" w:hAnsi="Cambria" w:cs="Times New Roman"/>
          <w:noProof/>
        </w:rPr>
        <w:tab/>
        <w:t>4.1.</w:t>
      </w:r>
      <w:r w:rsidRPr="009A0DA6">
        <w:rPr>
          <w:rFonts w:ascii="Cambria" w:eastAsia="Times New Roman" w:hAnsi="Cambria" w:cs="Times New Roman"/>
          <w:noProof/>
          <w:u w:val="single"/>
        </w:rPr>
        <w:t>6</w:t>
      </w:r>
      <w:r w:rsidRPr="009A0DA6">
        <w:rPr>
          <w:rFonts w:ascii="Cambria" w:eastAsia="Times New Roman" w:hAnsi="Cambria" w:cs="Times New Roman"/>
          <w:b/>
          <w:noProof/>
        </w:rPr>
        <w:t>7</w:t>
      </w:r>
      <w:r w:rsidRPr="009A0DA6">
        <w:rPr>
          <w:rFonts w:ascii="Cambria" w:eastAsia="Times New Roman" w:hAnsi="Cambria" w:cs="Times New Roman"/>
          <w:noProof/>
        </w:rPr>
        <w:tab/>
        <w:t>exercise discipline over its members in conformity with the Scriptures and the Confession of the Congregation;</w:t>
      </w:r>
    </w:p>
    <w:p w14:paraId="421401A0" w14:textId="77777777" w:rsidR="005139CD" w:rsidRPr="009A0DA6" w:rsidRDefault="005139CD" w:rsidP="005139CD">
      <w:pPr>
        <w:tabs>
          <w:tab w:val="left" w:pos="567"/>
          <w:tab w:val="left" w:pos="1418"/>
          <w:tab w:val="left" w:pos="2552"/>
          <w:tab w:val="left" w:pos="3544"/>
          <w:tab w:val="left" w:pos="4536"/>
        </w:tabs>
        <w:spacing w:after="0" w:line="240" w:lineRule="auto"/>
        <w:ind w:left="1418" w:hanging="1418"/>
        <w:rPr>
          <w:rFonts w:ascii="Cambria" w:eastAsia="Times New Roman" w:hAnsi="Cambria" w:cs="Times New Roman"/>
          <w:noProof/>
        </w:rPr>
      </w:pPr>
      <w:r w:rsidRPr="009A0DA6">
        <w:rPr>
          <w:rFonts w:ascii="Cambria" w:eastAsia="Times New Roman" w:hAnsi="Cambria" w:cs="Times New Roman"/>
          <w:noProof/>
        </w:rPr>
        <w:tab/>
        <w:t>4.1.</w:t>
      </w:r>
      <w:r w:rsidRPr="009A0DA6">
        <w:rPr>
          <w:rFonts w:ascii="Cambria" w:eastAsia="Times New Roman" w:hAnsi="Cambria" w:cs="Times New Roman"/>
          <w:strike/>
          <w:noProof/>
        </w:rPr>
        <w:t>7</w:t>
      </w:r>
      <w:r w:rsidRPr="009A0DA6">
        <w:rPr>
          <w:rFonts w:ascii="Cambria" w:eastAsia="Times New Roman" w:hAnsi="Cambria" w:cs="Times New Roman"/>
          <w:b/>
          <w:noProof/>
        </w:rPr>
        <w:t>8</w:t>
      </w:r>
      <w:r w:rsidRPr="009A0DA6">
        <w:rPr>
          <w:rFonts w:ascii="Cambria" w:eastAsia="Times New Roman" w:hAnsi="Cambria" w:cs="Times New Roman"/>
          <w:noProof/>
        </w:rPr>
        <w:tab/>
        <w:t>join with the Church and the District in building and extending the Kingdom of God;  and</w:t>
      </w:r>
    </w:p>
    <w:p w14:paraId="148F262D" w14:textId="5E466C84" w:rsidR="005139CD" w:rsidRPr="009A0DA6" w:rsidRDefault="005139CD" w:rsidP="005139CD">
      <w:pPr>
        <w:tabs>
          <w:tab w:val="left" w:pos="567"/>
          <w:tab w:val="left" w:pos="1418"/>
          <w:tab w:val="left" w:pos="2552"/>
          <w:tab w:val="left" w:pos="3544"/>
          <w:tab w:val="left" w:pos="4536"/>
        </w:tabs>
        <w:spacing w:after="0" w:line="240" w:lineRule="auto"/>
        <w:ind w:left="1418" w:hanging="1418"/>
        <w:rPr>
          <w:rFonts w:ascii="Cambria" w:eastAsia="Times New Roman" w:hAnsi="Cambria" w:cs="Times New Roman"/>
          <w:noProof/>
          <w:sz w:val="10"/>
          <w:szCs w:val="10"/>
        </w:rPr>
      </w:pPr>
      <w:r w:rsidRPr="009A0DA6">
        <w:rPr>
          <w:rFonts w:ascii="Cambria" w:eastAsia="Times New Roman" w:hAnsi="Cambria" w:cs="Times New Roman"/>
          <w:noProof/>
        </w:rPr>
        <w:tab/>
        <w:t>4.1.</w:t>
      </w:r>
      <w:r w:rsidRPr="009A0DA6">
        <w:rPr>
          <w:rFonts w:ascii="Cambria" w:eastAsia="Times New Roman" w:hAnsi="Cambria" w:cs="Times New Roman"/>
          <w:strike/>
          <w:noProof/>
        </w:rPr>
        <w:t>8</w:t>
      </w:r>
      <w:r w:rsidRPr="009A0DA6">
        <w:rPr>
          <w:rFonts w:ascii="Cambria" w:eastAsia="Times New Roman" w:hAnsi="Cambria" w:cs="Times New Roman"/>
          <w:b/>
          <w:noProof/>
        </w:rPr>
        <w:t>9</w:t>
      </w:r>
      <w:r w:rsidRPr="009A0DA6">
        <w:rPr>
          <w:rFonts w:ascii="Cambria" w:eastAsia="Times New Roman" w:hAnsi="Cambria" w:cs="Times New Roman"/>
          <w:noProof/>
        </w:rPr>
        <w:tab/>
        <w:t>acquire, dispose of or otherwise deal with real and personal property in the interest of the work of the Church and the Congregation.</w:t>
      </w:r>
    </w:p>
    <w:p w14:paraId="52B85806" w14:textId="77777777" w:rsidR="00284D80" w:rsidRPr="009A0DA6" w:rsidRDefault="005139CD" w:rsidP="00284D80">
      <w:pPr>
        <w:tabs>
          <w:tab w:val="left" w:pos="567"/>
          <w:tab w:val="left" w:pos="1559"/>
          <w:tab w:val="left" w:pos="2552"/>
          <w:tab w:val="left" w:pos="3544"/>
          <w:tab w:val="left" w:pos="4536"/>
        </w:tabs>
        <w:spacing w:after="0" w:line="240" w:lineRule="auto"/>
        <w:ind w:left="1559" w:hanging="1559"/>
        <w:rPr>
          <w:rFonts w:ascii="Cambria" w:hAnsi="Cambria"/>
          <w:b/>
          <w:noProof/>
        </w:rPr>
      </w:pPr>
      <w:r w:rsidRPr="009A0DA6">
        <w:rPr>
          <w:rFonts w:ascii="Cambria" w:hAnsi="Cambria"/>
          <w:b/>
          <w:noProof/>
        </w:rPr>
        <w:t>4.2</w:t>
      </w:r>
      <w:r w:rsidRPr="009A0DA6">
        <w:rPr>
          <w:rFonts w:ascii="Cambria" w:hAnsi="Cambria"/>
          <w:b/>
          <w:noProof/>
        </w:rPr>
        <w:tab/>
        <w:t>Not-for-Profit</w:t>
      </w:r>
    </w:p>
    <w:p w14:paraId="0515C98E" w14:textId="77777777" w:rsidR="005139CD" w:rsidRPr="009A0DA6" w:rsidRDefault="00284D80" w:rsidP="00284D80">
      <w:pPr>
        <w:tabs>
          <w:tab w:val="left" w:pos="567"/>
          <w:tab w:val="left" w:pos="1418"/>
          <w:tab w:val="left" w:pos="2552"/>
          <w:tab w:val="left" w:pos="3544"/>
          <w:tab w:val="left" w:pos="4536"/>
        </w:tabs>
        <w:spacing w:after="0" w:line="240" w:lineRule="auto"/>
        <w:ind w:left="1418" w:hanging="1418"/>
        <w:rPr>
          <w:rFonts w:ascii="Cambria" w:hAnsi="Cambria"/>
          <w:b/>
          <w:noProof/>
        </w:rPr>
      </w:pPr>
      <w:r w:rsidRPr="009A0DA6">
        <w:rPr>
          <w:rFonts w:ascii="Cambria" w:hAnsi="Cambria"/>
          <w:b/>
          <w:noProof/>
        </w:rPr>
        <w:tab/>
        <w:t>4</w:t>
      </w:r>
      <w:r w:rsidR="005139CD" w:rsidRPr="009A0DA6">
        <w:rPr>
          <w:rFonts w:ascii="Cambria" w:eastAsia="Times New Roman" w:hAnsi="Cambria" w:cs="Times New Roman"/>
          <w:b/>
          <w:noProof/>
          <w:color w:val="000000"/>
        </w:rPr>
        <w:t>.2.1</w:t>
      </w:r>
      <w:r w:rsidR="005139CD" w:rsidRPr="009A0DA6">
        <w:rPr>
          <w:rFonts w:ascii="Cambria" w:eastAsia="Times New Roman" w:hAnsi="Cambria" w:cs="Times New Roman"/>
          <w:b/>
          <w:noProof/>
          <w:color w:val="000000"/>
        </w:rPr>
        <w:tab/>
        <w:t>The property and income of the Congregation shall be applied solely towards the promotion of the objects or purposes of the Church and no part of that property or income may be paid or otherwise distributed, directly or indirectly, to members of the Congregation, except in good faith in the promotion of those objects or purposes.</w:t>
      </w:r>
    </w:p>
    <w:p w14:paraId="2FE20B3A" w14:textId="77777777" w:rsidR="005139CD" w:rsidRPr="009A0DA6" w:rsidRDefault="005139CD" w:rsidP="005139CD">
      <w:pPr>
        <w:spacing w:after="0" w:line="240" w:lineRule="auto"/>
        <w:ind w:left="1418" w:hanging="851"/>
        <w:rPr>
          <w:rFonts w:ascii="Cambria" w:hAnsi="Cambria"/>
          <w:b/>
          <w:noProof/>
        </w:rPr>
      </w:pPr>
      <w:r w:rsidRPr="009A0DA6">
        <w:rPr>
          <w:rFonts w:ascii="Cambria" w:hAnsi="Cambria"/>
          <w:b/>
          <w:noProof/>
        </w:rPr>
        <w:t>4.2.2</w:t>
      </w:r>
      <w:r w:rsidRPr="009A0DA6">
        <w:rPr>
          <w:rFonts w:ascii="Cambria" w:hAnsi="Cambria"/>
          <w:b/>
          <w:noProof/>
        </w:rPr>
        <w:tab/>
      </w:r>
      <w:r w:rsidRPr="009A0DA6">
        <w:rPr>
          <w:rFonts w:ascii="Cambria" w:eastAsia="Times New Roman" w:hAnsi="Cambria" w:cs="Times New Roman"/>
          <w:b/>
          <w:noProof/>
          <w:color w:val="000000"/>
        </w:rPr>
        <w:t>A payment may be made to a member out of the funds of the Congregation only if it is authorised under the following clause 4.2.3.</w:t>
      </w:r>
    </w:p>
    <w:p w14:paraId="0DD58438" w14:textId="77777777" w:rsidR="005139CD" w:rsidRPr="009A0DA6" w:rsidRDefault="005139CD" w:rsidP="005139CD">
      <w:pPr>
        <w:spacing w:after="0" w:line="240" w:lineRule="auto"/>
        <w:ind w:left="1418" w:hanging="851"/>
        <w:rPr>
          <w:rFonts w:ascii="Cambria" w:hAnsi="Cambria"/>
          <w:b/>
          <w:noProof/>
          <w:sz w:val="10"/>
          <w:szCs w:val="10"/>
        </w:rPr>
      </w:pPr>
      <w:r w:rsidRPr="009A0DA6">
        <w:rPr>
          <w:rFonts w:ascii="Cambria" w:hAnsi="Cambria"/>
          <w:b/>
          <w:noProof/>
        </w:rPr>
        <w:t>4.2.3</w:t>
      </w:r>
      <w:r w:rsidRPr="009A0DA6">
        <w:rPr>
          <w:rFonts w:ascii="Cambria" w:hAnsi="Cambria"/>
          <w:b/>
          <w:noProof/>
        </w:rPr>
        <w:tab/>
      </w:r>
      <w:r w:rsidRPr="009A0DA6">
        <w:rPr>
          <w:rFonts w:ascii="Cambria" w:eastAsia="Times New Roman" w:hAnsi="Cambria" w:cs="Times New Roman"/>
          <w:b/>
          <w:noProof/>
          <w:color w:val="000000"/>
        </w:rPr>
        <w:t>A payment to a member out of the funds of the Congregation is authorised if it is</w:t>
      </w:r>
    </w:p>
    <w:p w14:paraId="533E0B25" w14:textId="77777777" w:rsidR="005139CD" w:rsidRPr="009A0DA6" w:rsidRDefault="005139CD" w:rsidP="005139CD">
      <w:pPr>
        <w:tabs>
          <w:tab w:val="left" w:pos="709"/>
          <w:tab w:val="left" w:pos="1418"/>
          <w:tab w:val="left" w:pos="3544"/>
          <w:tab w:val="left" w:pos="4536"/>
        </w:tabs>
        <w:spacing w:after="0" w:line="240" w:lineRule="auto"/>
        <w:ind w:left="2268" w:hanging="2268"/>
        <w:rPr>
          <w:rFonts w:ascii="Cambria" w:eastAsia="Times New Roman" w:hAnsi="Cambria" w:cs="Times New Roman"/>
          <w:b/>
          <w:noProof/>
          <w:color w:val="000000"/>
        </w:rPr>
      </w:pPr>
      <w:r w:rsidRPr="009A0DA6">
        <w:rPr>
          <w:rFonts w:ascii="Cambria" w:eastAsia="Times New Roman" w:hAnsi="Cambria" w:cs="Times New Roman"/>
          <w:b/>
          <w:noProof/>
          <w:color w:val="000000"/>
        </w:rPr>
        <w:tab/>
      </w:r>
      <w:r w:rsidRPr="009A0DA6">
        <w:rPr>
          <w:rFonts w:ascii="Cambria" w:eastAsia="Times New Roman" w:hAnsi="Cambria" w:cs="Times New Roman"/>
          <w:b/>
          <w:noProof/>
          <w:color w:val="000000"/>
        </w:rPr>
        <w:tab/>
        <w:t>4.2.3.1</w:t>
      </w:r>
      <w:r w:rsidRPr="009A0DA6">
        <w:rPr>
          <w:rFonts w:ascii="Cambria" w:eastAsia="Times New Roman" w:hAnsi="Cambria" w:cs="Times New Roman"/>
          <w:b/>
          <w:noProof/>
          <w:color w:val="000000"/>
        </w:rPr>
        <w:tab/>
        <w:t>the payment in good faith to the member as reasonable remuneration for any services provided to the Congregation, or for goods supplied to the Congregation, in the ordinary course of business; or</w:t>
      </w:r>
    </w:p>
    <w:p w14:paraId="0E3E6A21" w14:textId="77777777" w:rsidR="005139CD" w:rsidRPr="009A0DA6" w:rsidRDefault="005139CD" w:rsidP="005139CD">
      <w:pPr>
        <w:tabs>
          <w:tab w:val="left" w:pos="709"/>
          <w:tab w:val="left" w:pos="1418"/>
          <w:tab w:val="left" w:pos="3544"/>
          <w:tab w:val="left" w:pos="4536"/>
        </w:tabs>
        <w:spacing w:after="0" w:line="240" w:lineRule="auto"/>
        <w:ind w:left="2268" w:hanging="2268"/>
        <w:rPr>
          <w:rFonts w:ascii="Cambria" w:eastAsia="Times New Roman" w:hAnsi="Cambria" w:cs="Times New Roman"/>
          <w:b/>
          <w:noProof/>
          <w:color w:val="000000"/>
        </w:rPr>
      </w:pPr>
      <w:r w:rsidRPr="009A0DA6">
        <w:rPr>
          <w:rFonts w:ascii="Cambria" w:eastAsia="Times New Roman" w:hAnsi="Cambria" w:cs="Times New Roman"/>
          <w:b/>
          <w:noProof/>
          <w:color w:val="000000"/>
        </w:rPr>
        <w:tab/>
      </w:r>
      <w:r w:rsidRPr="009A0DA6">
        <w:rPr>
          <w:rFonts w:ascii="Cambria" w:eastAsia="Times New Roman" w:hAnsi="Cambria" w:cs="Times New Roman"/>
          <w:b/>
          <w:noProof/>
          <w:color w:val="000000"/>
        </w:rPr>
        <w:tab/>
        <w:t>4.2.3.2</w:t>
      </w:r>
      <w:r w:rsidRPr="009A0DA6">
        <w:rPr>
          <w:rFonts w:ascii="Cambria" w:eastAsia="Times New Roman" w:hAnsi="Cambria" w:cs="Times New Roman"/>
          <w:b/>
          <w:noProof/>
          <w:color w:val="000000"/>
        </w:rPr>
        <w:tab/>
        <w:t>the payment of interest, on money borrowed by the Congregation from the member, at a rate not greater than the cash rate published from time to time by the Reserve Bank of Australia;  or</w:t>
      </w:r>
    </w:p>
    <w:p w14:paraId="0B7A25BF" w14:textId="77777777" w:rsidR="005139CD" w:rsidRPr="009A0DA6" w:rsidRDefault="005139CD" w:rsidP="005139CD">
      <w:pPr>
        <w:tabs>
          <w:tab w:val="left" w:pos="709"/>
          <w:tab w:val="left" w:pos="1418"/>
          <w:tab w:val="left" w:pos="3544"/>
          <w:tab w:val="left" w:pos="4536"/>
        </w:tabs>
        <w:spacing w:after="0" w:line="240" w:lineRule="auto"/>
        <w:ind w:left="2268" w:hanging="2268"/>
        <w:rPr>
          <w:rFonts w:ascii="Cambria" w:eastAsia="Times New Roman" w:hAnsi="Cambria" w:cs="Times New Roman"/>
          <w:b/>
          <w:noProof/>
          <w:color w:val="000000"/>
        </w:rPr>
      </w:pPr>
      <w:r w:rsidRPr="009A0DA6">
        <w:rPr>
          <w:rFonts w:ascii="Cambria" w:eastAsia="Times New Roman" w:hAnsi="Cambria" w:cs="Times New Roman"/>
          <w:b/>
          <w:noProof/>
          <w:color w:val="000000"/>
        </w:rPr>
        <w:tab/>
      </w:r>
      <w:r w:rsidRPr="009A0DA6">
        <w:rPr>
          <w:rFonts w:ascii="Cambria" w:eastAsia="Times New Roman" w:hAnsi="Cambria" w:cs="Times New Roman"/>
          <w:b/>
          <w:noProof/>
          <w:color w:val="000000"/>
        </w:rPr>
        <w:tab/>
        <w:t>4.2.3.3</w:t>
      </w:r>
      <w:r w:rsidRPr="009A0DA6">
        <w:rPr>
          <w:rFonts w:ascii="Cambria" w:eastAsia="Times New Roman" w:hAnsi="Cambria" w:cs="Times New Roman"/>
          <w:b/>
          <w:noProof/>
          <w:color w:val="000000"/>
        </w:rPr>
        <w:tab/>
        <w:t>the payment of reasonable rent to the member for premises leased by the member to the Congregation;  or</w:t>
      </w:r>
    </w:p>
    <w:p w14:paraId="6806B4E0" w14:textId="77777777" w:rsidR="005139CD" w:rsidRPr="009A0DA6" w:rsidRDefault="005139CD" w:rsidP="005139CD">
      <w:pPr>
        <w:tabs>
          <w:tab w:val="left" w:pos="709"/>
          <w:tab w:val="left" w:pos="1418"/>
          <w:tab w:val="left" w:pos="3544"/>
          <w:tab w:val="left" w:pos="4536"/>
        </w:tabs>
        <w:spacing w:after="0" w:line="240" w:lineRule="auto"/>
        <w:ind w:left="2268" w:hanging="2268"/>
        <w:rPr>
          <w:rFonts w:ascii="Cambria" w:eastAsia="Times New Roman" w:hAnsi="Cambria" w:cs="Times New Roman"/>
          <w:b/>
          <w:noProof/>
          <w:color w:val="000000"/>
        </w:rPr>
      </w:pPr>
      <w:r w:rsidRPr="009A0DA6">
        <w:rPr>
          <w:rFonts w:ascii="Cambria" w:eastAsia="Times New Roman" w:hAnsi="Cambria" w:cs="Times New Roman"/>
          <w:b/>
          <w:noProof/>
          <w:color w:val="000000"/>
        </w:rPr>
        <w:tab/>
      </w:r>
      <w:r w:rsidRPr="009A0DA6">
        <w:rPr>
          <w:rFonts w:ascii="Cambria" w:eastAsia="Times New Roman" w:hAnsi="Cambria" w:cs="Times New Roman"/>
          <w:b/>
          <w:noProof/>
          <w:color w:val="000000"/>
        </w:rPr>
        <w:tab/>
        <w:t>4.2.3.4</w:t>
      </w:r>
      <w:r w:rsidRPr="009A0DA6">
        <w:rPr>
          <w:rFonts w:ascii="Cambria" w:eastAsia="Times New Roman" w:hAnsi="Cambria" w:cs="Times New Roman"/>
          <w:b/>
          <w:noProof/>
          <w:color w:val="000000"/>
        </w:rPr>
        <w:tab/>
        <w:t>the reimbursement of reasonable expenses properly incurred by the member on behalf of the Congregation;  or</w:t>
      </w:r>
    </w:p>
    <w:p w14:paraId="6455E0D2" w14:textId="77777777" w:rsidR="005139CD" w:rsidRPr="009A0DA6" w:rsidRDefault="005139CD" w:rsidP="005139CD">
      <w:pPr>
        <w:tabs>
          <w:tab w:val="left" w:pos="709"/>
          <w:tab w:val="left" w:pos="1418"/>
          <w:tab w:val="left" w:pos="3544"/>
          <w:tab w:val="left" w:pos="4536"/>
        </w:tabs>
        <w:spacing w:after="0" w:line="240" w:lineRule="auto"/>
        <w:ind w:left="2268" w:hanging="2268"/>
        <w:rPr>
          <w:rFonts w:ascii="Cambria" w:eastAsia="Times New Roman" w:hAnsi="Cambria" w:cs="Times New Roman"/>
          <w:b/>
          <w:noProof/>
          <w:color w:val="000000"/>
        </w:rPr>
      </w:pPr>
      <w:r w:rsidRPr="009A0DA6">
        <w:rPr>
          <w:rFonts w:ascii="Cambria" w:eastAsia="Times New Roman" w:hAnsi="Cambria" w:cs="Times New Roman"/>
          <w:b/>
          <w:noProof/>
          <w:color w:val="000000"/>
        </w:rPr>
        <w:tab/>
      </w:r>
      <w:r w:rsidRPr="009A0DA6">
        <w:rPr>
          <w:rFonts w:ascii="Cambria" w:eastAsia="Times New Roman" w:hAnsi="Cambria" w:cs="Times New Roman"/>
          <w:b/>
          <w:noProof/>
          <w:color w:val="000000"/>
        </w:rPr>
        <w:tab/>
        <w:t>4.2.3.5</w:t>
      </w:r>
      <w:r w:rsidRPr="009A0DA6">
        <w:rPr>
          <w:rFonts w:ascii="Cambria" w:eastAsia="Times New Roman" w:hAnsi="Cambria" w:cs="Times New Roman"/>
          <w:b/>
          <w:noProof/>
          <w:color w:val="000000"/>
        </w:rPr>
        <w:tab/>
        <w:t>making a payment or providing a benefit to a member in carrying out the objects of the Congregation for charitable purposes.</w:t>
      </w:r>
    </w:p>
    <w:p w14:paraId="5EDC0E5D" w14:textId="77777777" w:rsidR="005139CD" w:rsidRPr="009A0DA6" w:rsidRDefault="005139CD" w:rsidP="005139CD">
      <w:pPr>
        <w:shd w:val="clear" w:color="auto" w:fill="FFFFFF"/>
        <w:spacing w:after="0" w:line="240" w:lineRule="auto"/>
        <w:rPr>
          <w:rFonts w:ascii="Cambria" w:eastAsia="Times New Roman" w:hAnsi="Cambria" w:cs="Times New Roman"/>
          <w:bCs/>
          <w:color w:val="222222"/>
          <w:lang w:eastAsia="en-AU"/>
        </w:rPr>
      </w:pPr>
      <w:r w:rsidRPr="009A0DA6">
        <w:rPr>
          <w:rFonts w:ascii="Cambria" w:eastAsia="Times New Roman" w:hAnsi="Cambria" w:cs="Times New Roman"/>
          <w:b/>
          <w:bCs/>
          <w:color w:val="222222"/>
          <w:lang w:eastAsia="en-AU"/>
        </w:rPr>
        <w:lastRenderedPageBreak/>
        <w:t xml:space="preserve">BE  IT  FURTHER  RESOLVED  </w:t>
      </w:r>
      <w:r w:rsidRPr="009A0DA6">
        <w:rPr>
          <w:rFonts w:ascii="Cambria" w:eastAsia="Times New Roman" w:hAnsi="Cambria" w:cs="Times New Roman"/>
          <w:bCs/>
          <w:color w:val="222222"/>
          <w:lang w:eastAsia="en-AU"/>
        </w:rPr>
        <w:t xml:space="preserve">that </w:t>
      </w:r>
      <w:r w:rsidRPr="009A0DA6">
        <w:rPr>
          <w:rFonts w:ascii="Cambria" w:eastAsia="Times New Roman" w:hAnsi="Cambria" w:cs="Times New Roman"/>
          <w:b/>
          <w:bCs/>
          <w:color w:val="222222"/>
          <w:lang w:eastAsia="en-AU"/>
        </w:rPr>
        <w:t>Article 4 Objects</w:t>
      </w:r>
      <w:r w:rsidRPr="009A0DA6">
        <w:rPr>
          <w:rFonts w:ascii="Cambria" w:eastAsia="Times New Roman" w:hAnsi="Cambria" w:cs="Times New Roman"/>
          <w:bCs/>
          <w:color w:val="222222"/>
          <w:lang w:eastAsia="en-AU"/>
        </w:rPr>
        <w:t xml:space="preserve"> of the Model Constitution for a Parish be amended with the addition of a new sub-clause 4.2 as follows (words to be deleted – </w:t>
      </w:r>
      <w:r w:rsidRPr="009A0DA6">
        <w:rPr>
          <w:rFonts w:ascii="Cambria" w:eastAsia="Times New Roman" w:hAnsi="Cambria" w:cs="Times New Roman"/>
          <w:bCs/>
          <w:strike/>
          <w:color w:val="222222"/>
          <w:lang w:eastAsia="en-AU"/>
        </w:rPr>
        <w:t>strikethrough</w:t>
      </w:r>
      <w:r w:rsidRPr="009A0DA6">
        <w:rPr>
          <w:rFonts w:ascii="Cambria" w:eastAsia="Times New Roman" w:hAnsi="Cambria" w:cs="Times New Roman"/>
          <w:bCs/>
          <w:color w:val="222222"/>
          <w:lang w:eastAsia="en-AU"/>
        </w:rPr>
        <w:t xml:space="preserve">;  words to be added – </w:t>
      </w:r>
      <w:r w:rsidRPr="009A0DA6">
        <w:rPr>
          <w:rFonts w:ascii="Cambria" w:eastAsia="Times New Roman" w:hAnsi="Cambria" w:cs="Times New Roman"/>
          <w:b/>
          <w:bCs/>
          <w:color w:val="222222"/>
          <w:lang w:eastAsia="en-AU"/>
        </w:rPr>
        <w:t>bold</w:t>
      </w:r>
      <w:r w:rsidRPr="009A0DA6">
        <w:rPr>
          <w:rFonts w:ascii="Cambria" w:eastAsia="Times New Roman" w:hAnsi="Cambria" w:cs="Times New Roman"/>
          <w:bCs/>
          <w:color w:val="222222"/>
          <w:lang w:eastAsia="en-AU"/>
        </w:rPr>
        <w:t>):</w:t>
      </w:r>
    </w:p>
    <w:p w14:paraId="3B1FDF53" w14:textId="77777777" w:rsidR="005139CD" w:rsidRPr="009A0DA6" w:rsidRDefault="005139CD" w:rsidP="005139CD">
      <w:pPr>
        <w:shd w:val="clear" w:color="auto" w:fill="FFFFFF"/>
        <w:spacing w:after="0" w:line="240" w:lineRule="auto"/>
        <w:rPr>
          <w:rFonts w:ascii="Cambria" w:eastAsia="Times New Roman" w:hAnsi="Cambria" w:cs="Times New Roman"/>
          <w:bCs/>
          <w:color w:val="222222"/>
          <w:lang w:eastAsia="en-AU"/>
        </w:rPr>
      </w:pPr>
    </w:p>
    <w:p w14:paraId="093A99F1" w14:textId="25CEB2E8" w:rsidR="005139CD" w:rsidRPr="004A186C" w:rsidRDefault="005139CD" w:rsidP="004A186C">
      <w:pPr>
        <w:tabs>
          <w:tab w:val="left" w:pos="709"/>
          <w:tab w:val="left" w:pos="1559"/>
          <w:tab w:val="left" w:pos="2552"/>
          <w:tab w:val="left" w:pos="3544"/>
          <w:tab w:val="left" w:pos="4536"/>
        </w:tabs>
        <w:spacing w:after="0" w:line="240" w:lineRule="auto"/>
        <w:jc w:val="center"/>
        <w:rPr>
          <w:rFonts w:ascii="Cambria" w:eastAsia="Times New Roman" w:hAnsi="Cambria" w:cs="Times New Roman"/>
          <w:b/>
          <w:noProof/>
        </w:rPr>
      </w:pPr>
      <w:r w:rsidRPr="009A0DA6">
        <w:rPr>
          <w:rFonts w:ascii="Cambria" w:eastAsia="Times New Roman" w:hAnsi="Cambria" w:cs="Times New Roman"/>
          <w:b/>
          <w:noProof/>
        </w:rPr>
        <w:t>ARTICLE  4</w:t>
      </w:r>
      <w:r w:rsidR="0027799A" w:rsidRPr="009A0DA6">
        <w:rPr>
          <w:rFonts w:ascii="Cambria" w:eastAsia="Times New Roman" w:hAnsi="Cambria" w:cs="Times New Roman"/>
          <w:b/>
          <w:noProof/>
        </w:rPr>
        <w:t xml:space="preserve">. </w:t>
      </w:r>
      <w:r w:rsidR="004A186C">
        <w:rPr>
          <w:rFonts w:ascii="Cambria" w:eastAsia="Times New Roman" w:hAnsi="Cambria" w:cs="Times New Roman"/>
          <w:b/>
          <w:noProof/>
        </w:rPr>
        <w:t xml:space="preserve"> OBJECTS</w:t>
      </w:r>
    </w:p>
    <w:p w14:paraId="61CFE2D8" w14:textId="5271DB62" w:rsidR="005139CD" w:rsidRPr="009A0DA6" w:rsidRDefault="005139CD" w:rsidP="00355E83">
      <w:pPr>
        <w:tabs>
          <w:tab w:val="left" w:pos="567"/>
          <w:tab w:val="left" w:pos="1559"/>
          <w:tab w:val="left" w:pos="2552"/>
          <w:tab w:val="left" w:pos="3544"/>
          <w:tab w:val="left" w:pos="4536"/>
        </w:tabs>
        <w:spacing w:after="0" w:line="240" w:lineRule="auto"/>
        <w:ind w:left="567" w:hanging="567"/>
        <w:rPr>
          <w:rFonts w:ascii="Cambria" w:eastAsia="Times New Roman" w:hAnsi="Cambria" w:cs="Times New Roman"/>
          <w:noProof/>
          <w:sz w:val="10"/>
        </w:rPr>
      </w:pPr>
      <w:r w:rsidRPr="009A0DA6">
        <w:rPr>
          <w:rFonts w:ascii="Cambria" w:eastAsia="Times New Roman" w:hAnsi="Cambria" w:cs="Times New Roman"/>
          <w:noProof/>
        </w:rPr>
        <w:t>4.1</w:t>
      </w:r>
      <w:r w:rsidRPr="009A0DA6">
        <w:rPr>
          <w:rFonts w:ascii="Cambria" w:eastAsia="Times New Roman" w:hAnsi="Cambria" w:cs="Times New Roman"/>
          <w:noProof/>
        </w:rPr>
        <w:tab/>
        <w:t>The Parish, consisting of congregations which are members of the Church, has as its objects to</w:t>
      </w:r>
      <w:r w:rsidRPr="009A0DA6">
        <w:rPr>
          <w:rFonts w:ascii="Cambria" w:eastAsia="Times New Roman" w:hAnsi="Cambria" w:cs="Times New Roman"/>
          <w:noProof/>
        </w:rPr>
        <w:br/>
        <w:t>4.1.1</w:t>
      </w:r>
      <w:r w:rsidRPr="009A0DA6">
        <w:rPr>
          <w:rFonts w:ascii="Cambria" w:eastAsia="Times New Roman" w:hAnsi="Cambria" w:cs="Times New Roman"/>
          <w:noProof/>
        </w:rPr>
        <w:tab/>
        <w:t>assist its member-congregations in promoting their objects and to this end to</w:t>
      </w:r>
    </w:p>
    <w:p w14:paraId="7F3E7080" w14:textId="77777777" w:rsidR="005139CD" w:rsidRPr="009A0DA6" w:rsidRDefault="005139CD" w:rsidP="005139CD">
      <w:pPr>
        <w:tabs>
          <w:tab w:val="left" w:pos="709"/>
          <w:tab w:val="left" w:pos="1418"/>
          <w:tab w:val="left" w:pos="2268"/>
          <w:tab w:val="left" w:pos="3544"/>
          <w:tab w:val="left" w:pos="4536"/>
        </w:tabs>
        <w:spacing w:after="0" w:line="240" w:lineRule="auto"/>
        <w:ind w:left="2268" w:hanging="2268"/>
        <w:rPr>
          <w:rFonts w:ascii="Cambria" w:eastAsia="Times New Roman" w:hAnsi="Cambria" w:cs="Times New Roman"/>
          <w:noProof/>
        </w:rPr>
      </w:pPr>
      <w:r w:rsidRPr="009A0DA6">
        <w:rPr>
          <w:rFonts w:ascii="Cambria" w:eastAsia="Times New Roman" w:hAnsi="Cambria" w:cs="Times New Roman"/>
          <w:noProof/>
        </w:rPr>
        <w:tab/>
      </w:r>
      <w:r w:rsidRPr="009A0DA6">
        <w:rPr>
          <w:rFonts w:ascii="Cambria" w:eastAsia="Times New Roman" w:hAnsi="Cambria" w:cs="Times New Roman"/>
          <w:noProof/>
        </w:rPr>
        <w:tab/>
        <w:t>4.1.1.1</w:t>
      </w:r>
      <w:r w:rsidRPr="009A0DA6">
        <w:rPr>
          <w:rFonts w:ascii="Cambria" w:eastAsia="Times New Roman" w:hAnsi="Cambria" w:cs="Times New Roman"/>
          <w:noProof/>
        </w:rPr>
        <w:tab/>
        <w:t>call a pastor or pastors or church workers for the benefit of the Parish and the Church, and to determine the terms under which they shall serve with the Parish;</w:t>
      </w:r>
    </w:p>
    <w:p w14:paraId="196EDE41" w14:textId="77777777" w:rsidR="005139CD" w:rsidRPr="009A0DA6" w:rsidRDefault="005139CD" w:rsidP="005139CD">
      <w:pPr>
        <w:tabs>
          <w:tab w:val="left" w:pos="709"/>
          <w:tab w:val="left" w:pos="1418"/>
          <w:tab w:val="left" w:pos="2268"/>
          <w:tab w:val="left" w:pos="3544"/>
          <w:tab w:val="left" w:pos="4536"/>
        </w:tabs>
        <w:spacing w:after="0" w:line="240" w:lineRule="auto"/>
        <w:ind w:left="2268" w:hanging="2268"/>
        <w:rPr>
          <w:rFonts w:ascii="Cambria" w:eastAsia="Times New Roman" w:hAnsi="Cambria" w:cs="Times New Roman"/>
          <w:noProof/>
        </w:rPr>
      </w:pPr>
      <w:r w:rsidRPr="009A0DA6">
        <w:rPr>
          <w:rFonts w:ascii="Cambria" w:eastAsia="Times New Roman" w:hAnsi="Cambria" w:cs="Times New Roman"/>
          <w:noProof/>
        </w:rPr>
        <w:tab/>
      </w:r>
      <w:r w:rsidRPr="009A0DA6">
        <w:rPr>
          <w:rFonts w:ascii="Cambria" w:eastAsia="Times New Roman" w:hAnsi="Cambria" w:cs="Times New Roman"/>
          <w:noProof/>
        </w:rPr>
        <w:tab/>
        <w:t>4.1.1.2</w:t>
      </w:r>
      <w:r w:rsidRPr="009A0DA6">
        <w:rPr>
          <w:rFonts w:ascii="Cambria" w:eastAsia="Times New Roman" w:hAnsi="Cambria" w:cs="Times New Roman"/>
          <w:noProof/>
        </w:rPr>
        <w:tab/>
        <w:t>hold, purchase or take on lease real and personal property, and to sell, exchange, mortgage, borrow, lease or build, and otherwise deal with all property as may from time to time be determined upon by the members of the Parish in accordance with the rules of the Parish;</w:t>
      </w:r>
    </w:p>
    <w:p w14:paraId="4D5131EA" w14:textId="77777777" w:rsidR="005139CD" w:rsidRPr="009A0DA6" w:rsidRDefault="005139CD" w:rsidP="005139CD">
      <w:pPr>
        <w:tabs>
          <w:tab w:val="left" w:pos="709"/>
          <w:tab w:val="left" w:pos="1418"/>
          <w:tab w:val="left" w:pos="2268"/>
          <w:tab w:val="left" w:pos="3544"/>
          <w:tab w:val="left" w:pos="4536"/>
        </w:tabs>
        <w:spacing w:after="0" w:line="240" w:lineRule="auto"/>
        <w:ind w:left="2268" w:hanging="2268"/>
        <w:rPr>
          <w:rFonts w:ascii="Cambria" w:eastAsia="Times New Roman" w:hAnsi="Cambria" w:cs="Times New Roman"/>
          <w:noProof/>
          <w:sz w:val="10"/>
        </w:rPr>
      </w:pPr>
      <w:r w:rsidRPr="009A0DA6">
        <w:rPr>
          <w:rFonts w:ascii="Cambria" w:eastAsia="Times New Roman" w:hAnsi="Cambria" w:cs="Times New Roman"/>
          <w:noProof/>
        </w:rPr>
        <w:tab/>
      </w:r>
      <w:r w:rsidRPr="009A0DA6">
        <w:rPr>
          <w:rFonts w:ascii="Cambria" w:eastAsia="Times New Roman" w:hAnsi="Cambria" w:cs="Times New Roman"/>
          <w:noProof/>
        </w:rPr>
        <w:tab/>
        <w:t>4.1.1.3</w:t>
      </w:r>
      <w:r w:rsidRPr="009A0DA6">
        <w:rPr>
          <w:rFonts w:ascii="Cambria" w:eastAsia="Times New Roman" w:hAnsi="Cambria" w:cs="Times New Roman"/>
          <w:noProof/>
        </w:rPr>
        <w:tab/>
        <w:t>appoint such office-bearers and representatives as the Parish may desire from time to time;  and</w:t>
      </w:r>
    </w:p>
    <w:p w14:paraId="3EF4B0BB" w14:textId="77777777" w:rsidR="005139CD" w:rsidRPr="009A0DA6" w:rsidRDefault="005139CD" w:rsidP="005139CD">
      <w:pPr>
        <w:tabs>
          <w:tab w:val="left" w:pos="709"/>
          <w:tab w:val="left" w:pos="1418"/>
          <w:tab w:val="left" w:pos="2552"/>
          <w:tab w:val="left" w:pos="3544"/>
          <w:tab w:val="left" w:pos="4536"/>
        </w:tabs>
        <w:spacing w:after="0" w:line="240" w:lineRule="auto"/>
        <w:ind w:left="1418" w:hanging="1418"/>
        <w:rPr>
          <w:rFonts w:ascii="Cambria" w:eastAsia="Times New Roman" w:hAnsi="Cambria" w:cs="Times New Roman"/>
          <w:noProof/>
          <w:sz w:val="10"/>
        </w:rPr>
      </w:pPr>
      <w:r w:rsidRPr="009A0DA6">
        <w:rPr>
          <w:rFonts w:ascii="Cambria" w:eastAsia="Times New Roman" w:hAnsi="Cambria" w:cs="Times New Roman"/>
          <w:noProof/>
        </w:rPr>
        <w:tab/>
        <w:t>4.1.2</w:t>
      </w:r>
      <w:r w:rsidRPr="009A0DA6">
        <w:rPr>
          <w:rFonts w:ascii="Cambria" w:eastAsia="Times New Roman" w:hAnsi="Cambria" w:cs="Times New Roman"/>
          <w:noProof/>
        </w:rPr>
        <w:tab/>
        <w:t>promote the objects of the Church within its sphere.</w:t>
      </w:r>
      <w:r w:rsidRPr="009A0DA6">
        <w:rPr>
          <w:rFonts w:ascii="Cambria" w:eastAsia="Times New Roman" w:hAnsi="Cambria" w:cs="Times New Roman"/>
          <w:noProof/>
        </w:rPr>
        <w:br/>
      </w:r>
    </w:p>
    <w:p w14:paraId="4C2CBDCA" w14:textId="38970396" w:rsidR="005139CD" w:rsidRPr="009A0DA6" w:rsidRDefault="005139CD" w:rsidP="005139CD">
      <w:pPr>
        <w:tabs>
          <w:tab w:val="left" w:pos="709"/>
          <w:tab w:val="left" w:pos="1559"/>
          <w:tab w:val="left" w:pos="2552"/>
          <w:tab w:val="left" w:pos="3544"/>
          <w:tab w:val="left" w:pos="4536"/>
        </w:tabs>
        <w:spacing w:after="0" w:line="240" w:lineRule="auto"/>
        <w:ind w:left="1559" w:hanging="1559"/>
        <w:rPr>
          <w:rFonts w:ascii="Cambria" w:eastAsia="Times New Roman" w:hAnsi="Cambria" w:cs="Times New Roman"/>
          <w:noProof/>
          <w:sz w:val="10"/>
        </w:rPr>
      </w:pPr>
      <w:r w:rsidRPr="009A0DA6">
        <w:rPr>
          <w:rFonts w:ascii="Cambria" w:eastAsia="Times New Roman" w:hAnsi="Cambria" w:cs="Times New Roman"/>
          <w:b/>
          <w:noProof/>
          <w:color w:val="000000"/>
        </w:rPr>
        <w:t>4.2</w:t>
      </w:r>
      <w:r w:rsidRPr="009A0DA6">
        <w:rPr>
          <w:rFonts w:ascii="Cambria" w:eastAsia="Times New Roman" w:hAnsi="Cambria" w:cs="Times New Roman"/>
          <w:b/>
          <w:noProof/>
          <w:color w:val="000000"/>
        </w:rPr>
        <w:tab/>
        <w:t>Not-for-Profit</w:t>
      </w:r>
    </w:p>
    <w:p w14:paraId="6B79CFA3" w14:textId="77777777" w:rsidR="005139CD" w:rsidRPr="009A0DA6" w:rsidRDefault="005139CD" w:rsidP="005139CD">
      <w:pPr>
        <w:tabs>
          <w:tab w:val="left" w:pos="709"/>
          <w:tab w:val="left" w:pos="1418"/>
          <w:tab w:val="left" w:pos="2552"/>
          <w:tab w:val="left" w:pos="3544"/>
          <w:tab w:val="left" w:pos="4536"/>
        </w:tabs>
        <w:spacing w:after="0" w:line="240" w:lineRule="auto"/>
        <w:ind w:left="1418" w:hanging="1418"/>
        <w:rPr>
          <w:rFonts w:ascii="Cambria" w:eastAsia="Times New Roman" w:hAnsi="Cambria" w:cs="Times New Roman"/>
          <w:noProof/>
        </w:rPr>
      </w:pPr>
      <w:r w:rsidRPr="009A0DA6">
        <w:rPr>
          <w:rFonts w:ascii="Cambria" w:eastAsia="Times New Roman" w:hAnsi="Cambria" w:cs="Times New Roman"/>
          <w:noProof/>
        </w:rPr>
        <w:tab/>
      </w:r>
      <w:r w:rsidRPr="009A0DA6">
        <w:rPr>
          <w:rFonts w:ascii="Cambria" w:eastAsia="Times New Roman" w:hAnsi="Cambria" w:cs="Times New Roman"/>
          <w:b/>
          <w:noProof/>
          <w:color w:val="000000"/>
        </w:rPr>
        <w:t>4.2.1</w:t>
      </w:r>
      <w:r w:rsidRPr="009A0DA6">
        <w:rPr>
          <w:rFonts w:ascii="Cambria" w:eastAsia="Times New Roman" w:hAnsi="Cambria" w:cs="Times New Roman"/>
          <w:b/>
          <w:noProof/>
          <w:color w:val="000000"/>
        </w:rPr>
        <w:tab/>
        <w:t>The property and income of the Parish shall be applied solely towards the promotion of the objects or purposes of the Church and no part of that property or income may be paid or otherwise distributed, directly or indirectly, to members of the member-congregations of the Parish, except in good faith in the promotion of those objects or purposes.</w:t>
      </w:r>
    </w:p>
    <w:p w14:paraId="3B1F9794" w14:textId="77777777" w:rsidR="005139CD" w:rsidRPr="009A0DA6" w:rsidRDefault="005139CD" w:rsidP="005139CD">
      <w:pPr>
        <w:tabs>
          <w:tab w:val="left" w:pos="709"/>
          <w:tab w:val="left" w:pos="1418"/>
          <w:tab w:val="left" w:pos="2552"/>
          <w:tab w:val="left" w:pos="3544"/>
          <w:tab w:val="left" w:pos="4536"/>
        </w:tabs>
        <w:spacing w:after="0" w:line="240" w:lineRule="auto"/>
        <w:ind w:left="1418" w:hanging="1418"/>
        <w:rPr>
          <w:rFonts w:ascii="Cambria" w:eastAsia="Times New Roman" w:hAnsi="Cambria" w:cs="Times New Roman"/>
          <w:noProof/>
        </w:rPr>
      </w:pPr>
      <w:r w:rsidRPr="009A0DA6">
        <w:rPr>
          <w:rFonts w:ascii="Cambria" w:eastAsia="Times New Roman" w:hAnsi="Cambria" w:cs="Times New Roman"/>
          <w:noProof/>
        </w:rPr>
        <w:tab/>
      </w:r>
      <w:r w:rsidRPr="009A0DA6">
        <w:rPr>
          <w:rFonts w:ascii="Cambria" w:eastAsia="Times New Roman" w:hAnsi="Cambria" w:cs="Times New Roman"/>
          <w:b/>
          <w:noProof/>
          <w:color w:val="000000"/>
        </w:rPr>
        <w:t>4.2.2</w:t>
      </w:r>
      <w:r w:rsidRPr="009A0DA6">
        <w:rPr>
          <w:rFonts w:ascii="Cambria" w:eastAsia="Times New Roman" w:hAnsi="Cambria" w:cs="Times New Roman"/>
          <w:b/>
          <w:noProof/>
          <w:color w:val="000000"/>
        </w:rPr>
        <w:tab/>
        <w:t>A payment may be made to a member out of the funds of the Parish only if it is authorised under the following clause 4.2.3.</w:t>
      </w:r>
    </w:p>
    <w:p w14:paraId="4606C9E1" w14:textId="77777777" w:rsidR="005139CD" w:rsidRPr="009A0DA6" w:rsidRDefault="005139CD" w:rsidP="005139CD">
      <w:pPr>
        <w:tabs>
          <w:tab w:val="left" w:pos="709"/>
          <w:tab w:val="left" w:pos="1418"/>
          <w:tab w:val="left" w:pos="2552"/>
          <w:tab w:val="left" w:pos="3544"/>
          <w:tab w:val="left" w:pos="4536"/>
        </w:tabs>
        <w:spacing w:after="0" w:line="240" w:lineRule="auto"/>
        <w:ind w:left="1418" w:hanging="1418"/>
        <w:rPr>
          <w:rFonts w:ascii="Cambria" w:eastAsia="Times New Roman" w:hAnsi="Cambria" w:cs="Times New Roman"/>
          <w:noProof/>
          <w:sz w:val="10"/>
          <w:szCs w:val="10"/>
        </w:rPr>
      </w:pPr>
      <w:r w:rsidRPr="009A0DA6">
        <w:rPr>
          <w:rFonts w:ascii="Cambria" w:eastAsia="Times New Roman" w:hAnsi="Cambria" w:cs="Times New Roman"/>
          <w:noProof/>
        </w:rPr>
        <w:tab/>
      </w:r>
      <w:r w:rsidRPr="009A0DA6">
        <w:rPr>
          <w:rFonts w:ascii="Cambria" w:eastAsia="Times New Roman" w:hAnsi="Cambria" w:cs="Times New Roman"/>
          <w:b/>
          <w:noProof/>
          <w:color w:val="000000"/>
        </w:rPr>
        <w:t>4.2.3</w:t>
      </w:r>
      <w:r w:rsidRPr="009A0DA6">
        <w:rPr>
          <w:rFonts w:ascii="Cambria" w:eastAsia="Times New Roman" w:hAnsi="Cambria" w:cs="Times New Roman"/>
          <w:b/>
          <w:noProof/>
          <w:color w:val="000000"/>
        </w:rPr>
        <w:tab/>
        <w:t>A payment to a member out of the funds of the Parish is authorised if it is</w:t>
      </w:r>
    </w:p>
    <w:p w14:paraId="0D7B90A9" w14:textId="77777777" w:rsidR="005139CD" w:rsidRPr="009A0DA6" w:rsidRDefault="005139CD" w:rsidP="005139CD">
      <w:pPr>
        <w:tabs>
          <w:tab w:val="left" w:pos="709"/>
          <w:tab w:val="left" w:pos="1418"/>
          <w:tab w:val="left" w:pos="3119"/>
          <w:tab w:val="left" w:pos="3544"/>
          <w:tab w:val="left" w:pos="4536"/>
        </w:tabs>
        <w:spacing w:after="0" w:line="240" w:lineRule="auto"/>
        <w:ind w:left="2268" w:hanging="2268"/>
        <w:rPr>
          <w:rFonts w:ascii="Cambria" w:eastAsia="Times New Roman" w:hAnsi="Cambria" w:cs="Times New Roman"/>
          <w:b/>
          <w:noProof/>
          <w:color w:val="000000"/>
        </w:rPr>
      </w:pPr>
      <w:r w:rsidRPr="009A0DA6">
        <w:rPr>
          <w:rFonts w:ascii="Cambria" w:eastAsia="Times New Roman" w:hAnsi="Cambria" w:cs="Times New Roman"/>
          <w:b/>
          <w:noProof/>
          <w:color w:val="000000"/>
        </w:rPr>
        <w:tab/>
      </w:r>
      <w:r w:rsidRPr="009A0DA6">
        <w:rPr>
          <w:rFonts w:ascii="Cambria" w:eastAsia="Times New Roman" w:hAnsi="Cambria" w:cs="Times New Roman"/>
          <w:b/>
          <w:noProof/>
          <w:color w:val="000000"/>
        </w:rPr>
        <w:tab/>
        <w:t>4.2.3.1</w:t>
      </w:r>
      <w:r w:rsidRPr="009A0DA6">
        <w:rPr>
          <w:rFonts w:ascii="Cambria" w:eastAsia="Times New Roman" w:hAnsi="Cambria" w:cs="Times New Roman"/>
          <w:b/>
          <w:noProof/>
          <w:color w:val="000000"/>
        </w:rPr>
        <w:tab/>
        <w:t>the payment in good faith to the member as reasonable remuneration for any services provided to the Parish, or for goods supplied to the Parish, in the ordinary course of business; or</w:t>
      </w:r>
    </w:p>
    <w:p w14:paraId="586967A7" w14:textId="77777777" w:rsidR="005139CD" w:rsidRPr="009A0DA6" w:rsidRDefault="005139CD" w:rsidP="005139CD">
      <w:pPr>
        <w:tabs>
          <w:tab w:val="left" w:pos="709"/>
          <w:tab w:val="left" w:pos="1418"/>
          <w:tab w:val="left" w:pos="3119"/>
          <w:tab w:val="left" w:pos="3544"/>
          <w:tab w:val="left" w:pos="4536"/>
        </w:tabs>
        <w:spacing w:after="0" w:line="240" w:lineRule="auto"/>
        <w:ind w:left="2268" w:hanging="2268"/>
        <w:rPr>
          <w:rFonts w:ascii="Cambria" w:eastAsia="Times New Roman" w:hAnsi="Cambria" w:cs="Times New Roman"/>
          <w:b/>
          <w:noProof/>
          <w:color w:val="000000"/>
        </w:rPr>
      </w:pPr>
      <w:r w:rsidRPr="009A0DA6">
        <w:rPr>
          <w:rFonts w:ascii="Cambria" w:eastAsia="Times New Roman" w:hAnsi="Cambria" w:cs="Times New Roman"/>
          <w:b/>
          <w:noProof/>
          <w:color w:val="000000"/>
        </w:rPr>
        <w:tab/>
      </w:r>
      <w:r w:rsidRPr="009A0DA6">
        <w:rPr>
          <w:rFonts w:ascii="Cambria" w:eastAsia="Times New Roman" w:hAnsi="Cambria" w:cs="Times New Roman"/>
          <w:b/>
          <w:noProof/>
          <w:color w:val="000000"/>
        </w:rPr>
        <w:tab/>
        <w:t>4.2.3.2</w:t>
      </w:r>
      <w:r w:rsidRPr="009A0DA6">
        <w:rPr>
          <w:rFonts w:ascii="Cambria" w:eastAsia="Times New Roman" w:hAnsi="Cambria" w:cs="Times New Roman"/>
          <w:b/>
          <w:noProof/>
          <w:color w:val="000000"/>
        </w:rPr>
        <w:tab/>
        <w:t>the payment of interest, on money borrowed by the Parish from the member, at a rate not greater than the cash rate published from time to time by the Reserve Bank of Australia;  or</w:t>
      </w:r>
    </w:p>
    <w:p w14:paraId="5EBA5DB7" w14:textId="77777777" w:rsidR="005139CD" w:rsidRPr="009A0DA6" w:rsidRDefault="005139CD" w:rsidP="005139CD">
      <w:pPr>
        <w:tabs>
          <w:tab w:val="left" w:pos="709"/>
          <w:tab w:val="left" w:pos="1418"/>
          <w:tab w:val="left" w:pos="3119"/>
          <w:tab w:val="left" w:pos="3544"/>
          <w:tab w:val="left" w:pos="4536"/>
        </w:tabs>
        <w:spacing w:after="0" w:line="240" w:lineRule="auto"/>
        <w:ind w:left="2268" w:hanging="2268"/>
        <w:rPr>
          <w:rFonts w:ascii="Cambria" w:eastAsia="Times New Roman" w:hAnsi="Cambria" w:cs="Times New Roman"/>
          <w:b/>
          <w:noProof/>
          <w:color w:val="000000"/>
        </w:rPr>
      </w:pPr>
      <w:r w:rsidRPr="009A0DA6">
        <w:rPr>
          <w:rFonts w:ascii="Cambria" w:eastAsia="Times New Roman" w:hAnsi="Cambria" w:cs="Times New Roman"/>
          <w:b/>
          <w:noProof/>
          <w:color w:val="000000"/>
        </w:rPr>
        <w:tab/>
      </w:r>
      <w:r w:rsidRPr="009A0DA6">
        <w:rPr>
          <w:rFonts w:ascii="Cambria" w:eastAsia="Times New Roman" w:hAnsi="Cambria" w:cs="Times New Roman"/>
          <w:b/>
          <w:noProof/>
          <w:color w:val="000000"/>
        </w:rPr>
        <w:tab/>
        <w:t>4.2.3.3</w:t>
      </w:r>
      <w:r w:rsidRPr="009A0DA6">
        <w:rPr>
          <w:rFonts w:ascii="Cambria" w:eastAsia="Times New Roman" w:hAnsi="Cambria" w:cs="Times New Roman"/>
          <w:b/>
          <w:noProof/>
          <w:color w:val="000000"/>
        </w:rPr>
        <w:tab/>
        <w:t>the payment of reasonable rent to the member for premises leased by the member to the Parish;  or</w:t>
      </w:r>
    </w:p>
    <w:p w14:paraId="2EAA0C79" w14:textId="77777777" w:rsidR="005139CD" w:rsidRPr="009A0DA6" w:rsidRDefault="005139CD" w:rsidP="005139CD">
      <w:pPr>
        <w:tabs>
          <w:tab w:val="left" w:pos="709"/>
          <w:tab w:val="left" w:pos="1418"/>
          <w:tab w:val="left" w:pos="3119"/>
          <w:tab w:val="left" w:pos="3544"/>
          <w:tab w:val="left" w:pos="4536"/>
        </w:tabs>
        <w:spacing w:after="0" w:line="240" w:lineRule="auto"/>
        <w:ind w:left="2268" w:hanging="2268"/>
        <w:rPr>
          <w:rFonts w:ascii="Cambria" w:eastAsia="Times New Roman" w:hAnsi="Cambria" w:cs="Times New Roman"/>
          <w:b/>
          <w:noProof/>
          <w:color w:val="000000"/>
        </w:rPr>
      </w:pPr>
      <w:r w:rsidRPr="009A0DA6">
        <w:rPr>
          <w:rFonts w:ascii="Cambria" w:eastAsia="Times New Roman" w:hAnsi="Cambria" w:cs="Times New Roman"/>
          <w:b/>
          <w:noProof/>
          <w:color w:val="000000"/>
        </w:rPr>
        <w:tab/>
      </w:r>
      <w:r w:rsidRPr="009A0DA6">
        <w:rPr>
          <w:rFonts w:ascii="Cambria" w:eastAsia="Times New Roman" w:hAnsi="Cambria" w:cs="Times New Roman"/>
          <w:b/>
          <w:noProof/>
          <w:color w:val="000000"/>
        </w:rPr>
        <w:tab/>
        <w:t>4.2.3.4</w:t>
      </w:r>
      <w:r w:rsidRPr="009A0DA6">
        <w:rPr>
          <w:rFonts w:ascii="Cambria" w:eastAsia="Times New Roman" w:hAnsi="Cambria" w:cs="Times New Roman"/>
          <w:b/>
          <w:noProof/>
          <w:color w:val="000000"/>
        </w:rPr>
        <w:tab/>
        <w:t>the reimbursement of reasonable expenses properly incurred by the member on behalf of the Parish.</w:t>
      </w:r>
    </w:p>
    <w:p w14:paraId="4CAD5360" w14:textId="77777777" w:rsidR="005139CD" w:rsidRPr="009A0DA6" w:rsidRDefault="005139CD" w:rsidP="005139CD">
      <w:pPr>
        <w:shd w:val="clear" w:color="auto" w:fill="FFFFFF"/>
        <w:spacing w:after="0" w:line="240" w:lineRule="auto"/>
        <w:rPr>
          <w:rFonts w:ascii="Cambria" w:eastAsia="Times New Roman" w:hAnsi="Cambria" w:cs="Times New Roman"/>
          <w:b/>
          <w:bCs/>
          <w:color w:val="222222"/>
          <w:lang w:eastAsia="en-AU"/>
        </w:rPr>
      </w:pPr>
    </w:p>
    <w:p w14:paraId="3064666A" w14:textId="14EB7404" w:rsidR="005139CD" w:rsidRPr="009A0DA6" w:rsidRDefault="005139CD" w:rsidP="005139CD">
      <w:pPr>
        <w:shd w:val="clear" w:color="auto" w:fill="FFFFFF"/>
        <w:spacing w:after="0" w:line="240" w:lineRule="auto"/>
        <w:rPr>
          <w:rFonts w:ascii="Cambria" w:eastAsia="Times New Roman" w:hAnsi="Cambria" w:cs="Times New Roman"/>
          <w:bCs/>
          <w:color w:val="222222"/>
          <w:lang w:eastAsia="en-AU"/>
        </w:rPr>
      </w:pPr>
      <w:r w:rsidRPr="009A0DA6">
        <w:rPr>
          <w:rFonts w:ascii="Cambria" w:eastAsia="Times New Roman" w:hAnsi="Cambria" w:cs="Times New Roman"/>
          <w:b/>
          <w:bCs/>
          <w:color w:val="222222"/>
          <w:lang w:eastAsia="en-AU"/>
        </w:rPr>
        <w:t xml:space="preserve">BE  IT  FURTHER  RESOLVED  </w:t>
      </w:r>
      <w:r w:rsidRPr="009A0DA6">
        <w:rPr>
          <w:rFonts w:ascii="Cambria" w:eastAsia="Times New Roman" w:hAnsi="Cambria" w:cs="Times New Roman"/>
          <w:bCs/>
          <w:color w:val="222222"/>
          <w:lang w:eastAsia="en-AU"/>
        </w:rPr>
        <w:t xml:space="preserve">that </w:t>
      </w:r>
      <w:r w:rsidRPr="009A0DA6">
        <w:rPr>
          <w:rFonts w:ascii="Cambria" w:eastAsia="Times New Roman" w:hAnsi="Cambria" w:cs="Times New Roman"/>
          <w:b/>
          <w:bCs/>
          <w:color w:val="222222"/>
          <w:lang w:eastAsia="en-AU"/>
        </w:rPr>
        <w:t>Article 11 Dissolution</w:t>
      </w:r>
      <w:r w:rsidRPr="009A0DA6">
        <w:rPr>
          <w:rFonts w:ascii="Cambria" w:eastAsia="Times New Roman" w:hAnsi="Cambria" w:cs="Times New Roman"/>
          <w:bCs/>
          <w:color w:val="222222"/>
          <w:lang w:eastAsia="en-AU"/>
        </w:rPr>
        <w:t xml:space="preserve"> of the Model Constitution for a Congregation be amended as follows (words to be deleted – </w:t>
      </w:r>
      <w:r w:rsidRPr="009A0DA6">
        <w:rPr>
          <w:rFonts w:ascii="Cambria" w:eastAsia="Times New Roman" w:hAnsi="Cambria" w:cs="Times New Roman"/>
          <w:bCs/>
          <w:strike/>
          <w:color w:val="222222"/>
          <w:lang w:eastAsia="en-AU"/>
        </w:rPr>
        <w:t>strikethrough</w:t>
      </w:r>
      <w:r w:rsidRPr="009A0DA6">
        <w:rPr>
          <w:rFonts w:ascii="Cambria" w:eastAsia="Times New Roman" w:hAnsi="Cambria" w:cs="Times New Roman"/>
          <w:bCs/>
          <w:color w:val="222222"/>
          <w:lang w:eastAsia="en-AU"/>
        </w:rPr>
        <w:t xml:space="preserve">;  words to be added – </w:t>
      </w:r>
      <w:r w:rsidRPr="009A0DA6">
        <w:rPr>
          <w:rFonts w:ascii="Cambria" w:eastAsia="Times New Roman" w:hAnsi="Cambria" w:cs="Times New Roman"/>
          <w:b/>
          <w:bCs/>
          <w:color w:val="222222"/>
          <w:lang w:eastAsia="en-AU"/>
        </w:rPr>
        <w:t>bold</w:t>
      </w:r>
      <w:r w:rsidRPr="009A0DA6">
        <w:rPr>
          <w:rFonts w:ascii="Cambria" w:eastAsia="Times New Roman" w:hAnsi="Cambria" w:cs="Times New Roman"/>
          <w:bCs/>
          <w:color w:val="222222"/>
          <w:lang w:eastAsia="en-AU"/>
        </w:rPr>
        <w:t>):</w:t>
      </w:r>
    </w:p>
    <w:p w14:paraId="16B9B080" w14:textId="1E8F1819" w:rsidR="005139CD" w:rsidRPr="009A0DA6" w:rsidRDefault="005139CD" w:rsidP="005139CD">
      <w:pPr>
        <w:tabs>
          <w:tab w:val="left" w:pos="709"/>
          <w:tab w:val="left" w:pos="1559"/>
          <w:tab w:val="left" w:pos="2552"/>
          <w:tab w:val="left" w:pos="3544"/>
          <w:tab w:val="left" w:pos="4536"/>
        </w:tabs>
        <w:spacing w:after="0" w:line="240" w:lineRule="auto"/>
        <w:jc w:val="center"/>
        <w:rPr>
          <w:rFonts w:ascii="Cambria" w:eastAsia="Times New Roman" w:hAnsi="Cambria" w:cs="Times New Roman"/>
          <w:b/>
          <w:sz w:val="10"/>
          <w:szCs w:val="10"/>
          <w:lang w:eastAsia="ja-JP"/>
        </w:rPr>
      </w:pPr>
      <w:r w:rsidRPr="009A0DA6">
        <w:rPr>
          <w:rFonts w:ascii="Cambria" w:eastAsia="Times New Roman" w:hAnsi="Cambria" w:cs="Times New Roman"/>
          <w:b/>
        </w:rPr>
        <w:t>ARTICLE  11</w:t>
      </w:r>
      <w:r w:rsidR="0027799A" w:rsidRPr="009A0DA6">
        <w:rPr>
          <w:rFonts w:ascii="Cambria" w:eastAsia="Times New Roman" w:hAnsi="Cambria" w:cs="Times New Roman"/>
          <w:b/>
        </w:rPr>
        <w:t xml:space="preserve">. </w:t>
      </w:r>
      <w:r w:rsidR="004A186C">
        <w:rPr>
          <w:rFonts w:ascii="Cambria" w:eastAsia="Times New Roman" w:hAnsi="Cambria" w:cs="Times New Roman"/>
          <w:b/>
        </w:rPr>
        <w:t xml:space="preserve"> DISSOLUTION</w:t>
      </w:r>
    </w:p>
    <w:p w14:paraId="709A6D79" w14:textId="3128BF54" w:rsidR="005139CD" w:rsidRPr="009A0DA6" w:rsidRDefault="005139CD" w:rsidP="008A6D7D">
      <w:pPr>
        <w:tabs>
          <w:tab w:val="left" w:pos="1418"/>
          <w:tab w:val="left" w:pos="2552"/>
          <w:tab w:val="left" w:pos="3544"/>
          <w:tab w:val="left" w:pos="4536"/>
        </w:tabs>
        <w:spacing w:after="0" w:line="240" w:lineRule="auto"/>
        <w:ind w:left="570" w:hanging="570"/>
        <w:rPr>
          <w:rFonts w:ascii="Cambria" w:eastAsia="Times New Roman" w:hAnsi="Cambria" w:cs="Times New Roman"/>
        </w:rPr>
      </w:pPr>
      <w:r w:rsidRPr="009A0DA6">
        <w:rPr>
          <w:rFonts w:ascii="Cambria" w:eastAsia="Times New Roman" w:hAnsi="Cambria" w:cs="Times New Roman"/>
        </w:rPr>
        <w:t>11.1</w:t>
      </w:r>
      <w:r w:rsidRPr="009A0DA6">
        <w:rPr>
          <w:rFonts w:ascii="Cambria" w:eastAsia="Times New Roman" w:hAnsi="Cambria" w:cs="Times New Roman"/>
        </w:rPr>
        <w:tab/>
      </w:r>
      <w:r w:rsidRPr="009A0DA6">
        <w:rPr>
          <w:rFonts w:ascii="Cambria" w:eastAsia="Times New Roman" w:hAnsi="Cambria" w:cs="Times New Roman"/>
          <w:b/>
        </w:rPr>
        <w:t>A special resolution is required if it is proposed that the Congregation dissolve and</w:t>
      </w:r>
      <w:r w:rsidRPr="009A0DA6">
        <w:rPr>
          <w:rFonts w:ascii="Cambria" w:eastAsia="Times New Roman" w:hAnsi="Cambria" w:cs="Times New Roman"/>
        </w:rPr>
        <w:t xml:space="preserve"> </w:t>
      </w:r>
      <w:r w:rsidRPr="009A0DA6">
        <w:rPr>
          <w:rFonts w:ascii="Cambria" w:eastAsia="Times New Roman" w:hAnsi="Cambria" w:cs="Times New Roman"/>
          <w:strike/>
        </w:rPr>
        <w:t>A</w:t>
      </w:r>
      <w:r w:rsidRPr="009A0DA6">
        <w:rPr>
          <w:rFonts w:ascii="Cambria" w:eastAsia="Times New Roman" w:hAnsi="Cambria" w:cs="Times New Roman"/>
          <w:b/>
        </w:rPr>
        <w:t>a</w:t>
      </w:r>
      <w:r w:rsidRPr="009A0DA6">
        <w:rPr>
          <w:rFonts w:ascii="Cambria" w:eastAsia="Times New Roman" w:hAnsi="Cambria" w:cs="Times New Roman"/>
        </w:rPr>
        <w:t xml:space="preserve">ny </w:t>
      </w:r>
      <w:r w:rsidRPr="009A0DA6">
        <w:rPr>
          <w:rFonts w:ascii="Cambria" w:eastAsia="Times New Roman" w:hAnsi="Cambria" w:cs="Times New Roman"/>
          <w:b/>
        </w:rPr>
        <w:t>such</w:t>
      </w:r>
      <w:r w:rsidRPr="009A0DA6">
        <w:rPr>
          <w:rFonts w:ascii="Cambria" w:eastAsia="Times New Roman" w:hAnsi="Cambria" w:cs="Times New Roman"/>
        </w:rPr>
        <w:t xml:space="preserve"> resolution for dissolution shall be made according to the following procedure:</w:t>
      </w:r>
      <w:r w:rsidRPr="009A0DA6">
        <w:rPr>
          <w:rFonts w:ascii="Cambria" w:eastAsia="Times New Roman" w:hAnsi="Cambria" w:cs="Times New Roman"/>
        </w:rPr>
        <w:br/>
        <w:t>11.1.1</w:t>
      </w:r>
      <w:r w:rsidRPr="009A0DA6">
        <w:rPr>
          <w:rFonts w:ascii="Cambria" w:eastAsia="Times New Roman" w:hAnsi="Cambria" w:cs="Times New Roman"/>
        </w:rPr>
        <w:tab/>
      </w:r>
      <w:r w:rsidRPr="009A0DA6">
        <w:rPr>
          <w:rFonts w:ascii="Cambria" w:eastAsia="Times New Roman" w:hAnsi="Cambria" w:cs="Times New Roman"/>
          <w:b/>
        </w:rPr>
        <w:t>Written</w:t>
      </w:r>
      <w:r w:rsidRPr="009A0DA6">
        <w:rPr>
          <w:rFonts w:ascii="Cambria" w:eastAsia="Times New Roman" w:hAnsi="Cambria" w:cs="Times New Roman"/>
        </w:rPr>
        <w:t xml:space="preserve"> </w:t>
      </w:r>
      <w:r w:rsidRPr="009A0DA6">
        <w:rPr>
          <w:rFonts w:ascii="Cambria" w:eastAsia="Times New Roman" w:hAnsi="Cambria" w:cs="Times New Roman"/>
          <w:strike/>
        </w:rPr>
        <w:t>N</w:t>
      </w:r>
      <w:r w:rsidRPr="009A0DA6">
        <w:rPr>
          <w:rFonts w:ascii="Cambria" w:eastAsia="Times New Roman" w:hAnsi="Cambria" w:cs="Times New Roman"/>
          <w:b/>
        </w:rPr>
        <w:t>n</w:t>
      </w:r>
      <w:r w:rsidRPr="009A0DA6">
        <w:rPr>
          <w:rFonts w:ascii="Cambria" w:eastAsia="Times New Roman" w:hAnsi="Cambria" w:cs="Times New Roman"/>
        </w:rPr>
        <w:t>otice of a motion to dissolve the Congregation shall be given to the</w:t>
      </w:r>
      <w:r w:rsidR="008A6D7D">
        <w:rPr>
          <w:rFonts w:ascii="Cambria" w:eastAsia="Times New Roman" w:hAnsi="Cambria" w:cs="Times New Roman"/>
        </w:rPr>
        <w:br/>
      </w:r>
      <w:r w:rsidRPr="009A0DA6">
        <w:rPr>
          <w:rFonts w:ascii="Cambria" w:eastAsia="Times New Roman" w:hAnsi="Cambria" w:cs="Times New Roman"/>
        </w:rPr>
        <w:t xml:space="preserve"> </w:t>
      </w:r>
      <w:r w:rsidR="008A6D7D">
        <w:rPr>
          <w:rFonts w:ascii="Cambria" w:eastAsia="Times New Roman" w:hAnsi="Cambria" w:cs="Times New Roman"/>
        </w:rPr>
        <w:tab/>
      </w:r>
      <w:r w:rsidRPr="009A0DA6">
        <w:rPr>
          <w:rFonts w:ascii="Cambria" w:eastAsia="Times New Roman" w:hAnsi="Cambria" w:cs="Times New Roman"/>
        </w:rPr>
        <w:t>members of the Congregation.</w:t>
      </w:r>
    </w:p>
    <w:p w14:paraId="6F66A162" w14:textId="77777777" w:rsidR="005139CD" w:rsidRPr="009A0DA6" w:rsidRDefault="005139CD" w:rsidP="005139CD">
      <w:pPr>
        <w:tabs>
          <w:tab w:val="left" w:pos="567"/>
          <w:tab w:val="left" w:pos="1418"/>
          <w:tab w:val="left" w:pos="2552"/>
          <w:tab w:val="left" w:pos="3544"/>
          <w:tab w:val="left" w:pos="4536"/>
        </w:tabs>
        <w:spacing w:after="0" w:line="240" w:lineRule="auto"/>
        <w:ind w:left="1418" w:hanging="1418"/>
        <w:rPr>
          <w:rFonts w:ascii="Cambria" w:eastAsia="Times New Roman" w:hAnsi="Cambria" w:cs="Times New Roman"/>
        </w:rPr>
      </w:pPr>
      <w:r w:rsidRPr="009A0DA6">
        <w:rPr>
          <w:rFonts w:ascii="Cambria" w:eastAsia="Times New Roman" w:hAnsi="Cambria" w:cs="Times New Roman"/>
        </w:rPr>
        <w:tab/>
        <w:t>11.1.2</w:t>
      </w:r>
      <w:r w:rsidRPr="009A0DA6">
        <w:rPr>
          <w:rFonts w:ascii="Cambria" w:eastAsia="Times New Roman" w:hAnsi="Cambria" w:cs="Times New Roman"/>
        </w:rPr>
        <w:tab/>
        <w:t>The motion shall be presented to the Congregation only after the Bishop of the District has been consulted.</w:t>
      </w:r>
    </w:p>
    <w:p w14:paraId="4F4A1221" w14:textId="77777777" w:rsidR="005139CD" w:rsidRPr="009A0DA6" w:rsidRDefault="005139CD" w:rsidP="005139CD">
      <w:pPr>
        <w:tabs>
          <w:tab w:val="left" w:pos="567"/>
          <w:tab w:val="left" w:pos="1418"/>
          <w:tab w:val="left" w:pos="2552"/>
          <w:tab w:val="left" w:pos="3544"/>
          <w:tab w:val="left" w:pos="4536"/>
        </w:tabs>
        <w:spacing w:after="0" w:line="240" w:lineRule="auto"/>
        <w:ind w:left="1418" w:hanging="1418"/>
        <w:rPr>
          <w:rFonts w:ascii="Cambria" w:eastAsia="Times New Roman" w:hAnsi="Cambria" w:cs="Times New Roman"/>
        </w:rPr>
      </w:pPr>
      <w:r w:rsidRPr="009A0DA6">
        <w:rPr>
          <w:rFonts w:ascii="Cambria" w:eastAsia="Times New Roman" w:hAnsi="Cambria" w:cs="Times New Roman"/>
        </w:rPr>
        <w:lastRenderedPageBreak/>
        <w:tab/>
        <w:t>11.1.3</w:t>
      </w:r>
      <w:r w:rsidRPr="009A0DA6">
        <w:rPr>
          <w:rFonts w:ascii="Cambria" w:eastAsia="Times New Roman" w:hAnsi="Cambria" w:cs="Times New Roman"/>
        </w:rPr>
        <w:tab/>
        <w:t>At least thirty [30] days written notice of a meeting, specifying the intention to dissolve as a special motion, shall be given to all the voting members of the Congregation.</w:t>
      </w:r>
    </w:p>
    <w:p w14:paraId="67A65A9F" w14:textId="77777777" w:rsidR="005139CD" w:rsidRPr="009A0DA6" w:rsidRDefault="005139CD" w:rsidP="005139CD">
      <w:pPr>
        <w:tabs>
          <w:tab w:val="left" w:pos="567"/>
          <w:tab w:val="left" w:pos="1418"/>
          <w:tab w:val="left" w:pos="2552"/>
          <w:tab w:val="left" w:pos="3544"/>
          <w:tab w:val="left" w:pos="4536"/>
        </w:tabs>
        <w:spacing w:after="0" w:line="240" w:lineRule="auto"/>
        <w:ind w:left="1418" w:hanging="1418"/>
        <w:rPr>
          <w:rFonts w:ascii="Cambria" w:eastAsia="Times New Roman" w:hAnsi="Cambria" w:cs="Times New Roman"/>
        </w:rPr>
      </w:pPr>
      <w:r w:rsidRPr="009A0DA6">
        <w:rPr>
          <w:rFonts w:ascii="Cambria" w:eastAsia="Times New Roman" w:hAnsi="Cambria" w:cs="Times New Roman"/>
        </w:rPr>
        <w:tab/>
        <w:t>11.1.4</w:t>
      </w:r>
      <w:r w:rsidRPr="009A0DA6">
        <w:rPr>
          <w:rFonts w:ascii="Cambria" w:eastAsia="Times New Roman" w:hAnsi="Cambria" w:cs="Times New Roman"/>
        </w:rPr>
        <w:tab/>
        <w:t>The motion shall require a majority of three-quarters [3/4] of all the voting members of the Congregation</w:t>
      </w:r>
      <w:r w:rsidRPr="009A0DA6">
        <w:rPr>
          <w:rFonts w:ascii="Cambria" w:eastAsia="Times New Roman" w:hAnsi="Cambria" w:cs="Times New Roman"/>
          <w:b/>
        </w:rPr>
        <w:t xml:space="preserve"> for determination at a general meeting</w:t>
      </w:r>
      <w:r w:rsidRPr="009A0DA6">
        <w:rPr>
          <w:rFonts w:ascii="Cambria" w:eastAsia="Times New Roman" w:hAnsi="Cambria" w:cs="Times New Roman"/>
        </w:rPr>
        <w:t>.</w:t>
      </w:r>
    </w:p>
    <w:p w14:paraId="73EF6F68" w14:textId="77777777" w:rsidR="005139CD" w:rsidRPr="009A0DA6" w:rsidRDefault="005139CD" w:rsidP="005139CD">
      <w:pPr>
        <w:tabs>
          <w:tab w:val="left" w:pos="567"/>
          <w:tab w:val="left" w:pos="1418"/>
          <w:tab w:val="left" w:pos="2552"/>
          <w:tab w:val="left" w:pos="3544"/>
          <w:tab w:val="left" w:pos="4536"/>
        </w:tabs>
        <w:spacing w:after="0" w:line="240" w:lineRule="auto"/>
        <w:ind w:left="1418" w:hanging="1418"/>
        <w:rPr>
          <w:rFonts w:ascii="Cambria" w:eastAsia="Times New Roman" w:hAnsi="Cambria" w:cs="Times New Roman"/>
        </w:rPr>
      </w:pPr>
      <w:r w:rsidRPr="009A0DA6">
        <w:rPr>
          <w:rFonts w:ascii="Cambria" w:eastAsia="Times New Roman" w:hAnsi="Cambria" w:cs="Times New Roman"/>
        </w:rPr>
        <w:tab/>
        <w:t>11.1.5</w:t>
      </w:r>
      <w:r w:rsidRPr="009A0DA6">
        <w:rPr>
          <w:rFonts w:ascii="Cambria" w:eastAsia="Times New Roman" w:hAnsi="Cambria" w:cs="Times New Roman"/>
        </w:rPr>
        <w:tab/>
      </w:r>
      <w:r w:rsidRPr="009A0DA6">
        <w:rPr>
          <w:rFonts w:ascii="Cambria" w:eastAsia="Times New Roman" w:hAnsi="Cambria" w:cs="Times New Roman"/>
          <w:b/>
        </w:rPr>
        <w:t>The result, if carried by at least the required majority, shall be declared as being carried as a special resolution</w:t>
      </w:r>
      <w:r w:rsidRPr="009A0DA6">
        <w:rPr>
          <w:rFonts w:ascii="Cambria" w:eastAsia="Times New Roman" w:hAnsi="Cambria" w:cs="Times New Roman"/>
        </w:rPr>
        <w:t>.</w:t>
      </w:r>
    </w:p>
    <w:p w14:paraId="4391ED54" w14:textId="77777777" w:rsidR="005139CD" w:rsidRPr="009A0DA6" w:rsidRDefault="005139CD" w:rsidP="005139CD">
      <w:pPr>
        <w:tabs>
          <w:tab w:val="left" w:pos="567"/>
          <w:tab w:val="left" w:pos="1418"/>
          <w:tab w:val="left" w:pos="2552"/>
          <w:tab w:val="left" w:pos="3544"/>
          <w:tab w:val="left" w:pos="4536"/>
        </w:tabs>
        <w:spacing w:after="0" w:line="240" w:lineRule="auto"/>
        <w:ind w:left="1418" w:hanging="1418"/>
        <w:rPr>
          <w:rFonts w:ascii="Cambria" w:eastAsia="Times New Roman" w:hAnsi="Cambria" w:cs="Times New Roman"/>
        </w:rPr>
      </w:pPr>
      <w:r w:rsidRPr="009A0DA6">
        <w:rPr>
          <w:rFonts w:ascii="Cambria" w:eastAsia="Times New Roman" w:hAnsi="Cambria" w:cs="Times New Roman"/>
        </w:rPr>
        <w:tab/>
        <w:t>11.1.</w:t>
      </w:r>
      <w:r w:rsidRPr="009A0DA6">
        <w:rPr>
          <w:rFonts w:ascii="Cambria" w:eastAsia="Times New Roman" w:hAnsi="Cambria" w:cs="Times New Roman"/>
          <w:strike/>
        </w:rPr>
        <w:t>5</w:t>
      </w:r>
      <w:r w:rsidRPr="009A0DA6">
        <w:rPr>
          <w:rFonts w:ascii="Cambria" w:eastAsia="Times New Roman" w:hAnsi="Cambria" w:cs="Times New Roman"/>
          <w:b/>
        </w:rPr>
        <w:t>6</w:t>
      </w:r>
      <w:r w:rsidRPr="009A0DA6">
        <w:rPr>
          <w:rFonts w:ascii="Cambria" w:eastAsia="Times New Roman" w:hAnsi="Cambria" w:cs="Times New Roman"/>
        </w:rPr>
        <w:tab/>
        <w:t>The decision shall only become operative after the sanction of the Church Council of the District has been obtained.</w:t>
      </w:r>
    </w:p>
    <w:p w14:paraId="504A95CB" w14:textId="77777777" w:rsidR="005139CD" w:rsidRPr="009A0DA6" w:rsidRDefault="005139CD" w:rsidP="005139CD">
      <w:pPr>
        <w:tabs>
          <w:tab w:val="left" w:pos="567"/>
          <w:tab w:val="left" w:pos="1418"/>
          <w:tab w:val="left" w:pos="2552"/>
          <w:tab w:val="left" w:pos="3544"/>
          <w:tab w:val="left" w:pos="4536"/>
        </w:tabs>
        <w:spacing w:after="0" w:line="240" w:lineRule="auto"/>
        <w:ind w:left="1418" w:hanging="1418"/>
        <w:rPr>
          <w:rFonts w:ascii="Cambria" w:eastAsia="Times New Roman" w:hAnsi="Cambria" w:cs="Times New Roman"/>
          <w:sz w:val="10"/>
          <w:szCs w:val="10"/>
        </w:rPr>
      </w:pPr>
      <w:r w:rsidRPr="009A0DA6">
        <w:rPr>
          <w:rFonts w:ascii="Cambria" w:eastAsia="Times New Roman" w:hAnsi="Cambria" w:cs="Times New Roman"/>
        </w:rPr>
        <w:tab/>
        <w:t>11.1.</w:t>
      </w:r>
      <w:r w:rsidRPr="009A0DA6">
        <w:rPr>
          <w:rFonts w:ascii="Cambria" w:eastAsia="Times New Roman" w:hAnsi="Cambria" w:cs="Times New Roman"/>
          <w:strike/>
        </w:rPr>
        <w:t>6</w:t>
      </w:r>
      <w:r w:rsidRPr="009A0DA6">
        <w:rPr>
          <w:rFonts w:ascii="Cambria" w:eastAsia="Times New Roman" w:hAnsi="Cambria" w:cs="Times New Roman"/>
          <w:b/>
        </w:rPr>
        <w:t>7</w:t>
      </w:r>
      <w:r w:rsidRPr="009A0DA6">
        <w:rPr>
          <w:rFonts w:ascii="Cambria" w:eastAsia="Times New Roman" w:hAnsi="Cambria" w:cs="Times New Roman"/>
        </w:rPr>
        <w:tab/>
        <w:t>Once the decision has been made to dissolve the Congregation according to the above procedure, a date for dissolution shall be set contingent upon all matters pertaining to dissolution and the transference of all titles and other assets of the Congregation being effected according to law.</w:t>
      </w:r>
    </w:p>
    <w:p w14:paraId="58616443" w14:textId="363A7C8B" w:rsidR="005139CD" w:rsidRPr="009A0DA6" w:rsidRDefault="005139CD" w:rsidP="005139CD">
      <w:pPr>
        <w:tabs>
          <w:tab w:val="left" w:pos="567"/>
          <w:tab w:val="left" w:pos="1559"/>
          <w:tab w:val="left" w:pos="2552"/>
          <w:tab w:val="left" w:pos="3544"/>
          <w:tab w:val="left" w:pos="4536"/>
        </w:tabs>
        <w:spacing w:after="0" w:line="240" w:lineRule="auto"/>
        <w:ind w:left="567" w:hanging="567"/>
        <w:rPr>
          <w:rFonts w:ascii="Cambria" w:eastAsia="Times New Roman" w:hAnsi="Cambria" w:cs="Times New Roman"/>
          <w:noProof/>
        </w:rPr>
      </w:pPr>
      <w:r w:rsidRPr="009A0DA6">
        <w:rPr>
          <w:rFonts w:ascii="Cambria" w:eastAsia="Times New Roman" w:hAnsi="Cambria" w:cs="Times New Roman"/>
          <w:noProof/>
        </w:rPr>
        <w:t>11.2</w:t>
      </w:r>
      <w:r w:rsidRPr="009A0DA6">
        <w:rPr>
          <w:rFonts w:ascii="Cambria" w:eastAsia="Times New Roman" w:hAnsi="Cambria" w:cs="Times New Roman"/>
          <w:noProof/>
        </w:rPr>
        <w:tab/>
        <w:t>In the event of such dissolution, the Congregation may give indication regarding the use of its assets by the District and/or the Church</w:t>
      </w:r>
      <w:r w:rsidR="0027799A" w:rsidRPr="009A0DA6">
        <w:rPr>
          <w:rFonts w:ascii="Cambria" w:eastAsia="Times New Roman" w:hAnsi="Cambria" w:cs="Times New Roman"/>
          <w:noProof/>
        </w:rPr>
        <w:t xml:space="preserve">. </w:t>
      </w:r>
      <w:r w:rsidRPr="009A0DA6">
        <w:rPr>
          <w:rFonts w:ascii="Cambria" w:eastAsia="Times New Roman" w:hAnsi="Cambria" w:cs="Times New Roman"/>
          <w:b/>
          <w:noProof/>
        </w:rPr>
        <w:t>Any surplus assets which remain after such dissolution and the satisfaction of all debts and liabilities shall be transferred to one or more Lutheran organisations with similar purposes, that are charitable at law and which are not carried on for the profit or gain of individual members</w:t>
      </w:r>
      <w:r w:rsidR="0027799A" w:rsidRPr="009A0DA6">
        <w:rPr>
          <w:rFonts w:ascii="Cambria" w:eastAsia="Times New Roman" w:hAnsi="Cambria" w:cs="Times New Roman"/>
          <w:b/>
          <w:noProof/>
        </w:rPr>
        <w:t xml:space="preserve">. </w:t>
      </w:r>
      <w:r w:rsidRPr="009A0DA6">
        <w:rPr>
          <w:rFonts w:ascii="Cambria" w:eastAsia="Times New Roman" w:hAnsi="Cambria" w:cs="Times New Roman"/>
          <w:noProof/>
        </w:rPr>
        <w:t>Where no such indication is given, if any surplus remains following the winding up of the Congregation, the surplus shall not be paid to or distributed amongst members, but be transferred to the District absolutely.</w:t>
      </w:r>
    </w:p>
    <w:p w14:paraId="2B503E2D" w14:textId="77777777" w:rsidR="005139CD" w:rsidRPr="009A0DA6" w:rsidRDefault="005139CD" w:rsidP="005139CD">
      <w:pPr>
        <w:tabs>
          <w:tab w:val="left" w:pos="709"/>
          <w:tab w:val="left" w:pos="1559"/>
          <w:tab w:val="left" w:pos="2552"/>
          <w:tab w:val="left" w:pos="3544"/>
          <w:tab w:val="left" w:pos="4536"/>
        </w:tabs>
        <w:spacing w:after="0" w:line="240" w:lineRule="auto"/>
        <w:rPr>
          <w:rFonts w:ascii="Cambria" w:eastAsia="Times New Roman" w:hAnsi="Cambria" w:cs="Times New Roman"/>
        </w:rPr>
      </w:pPr>
    </w:p>
    <w:p w14:paraId="406E0409" w14:textId="77777777" w:rsidR="005139CD" w:rsidRPr="009A0DA6" w:rsidRDefault="005139CD" w:rsidP="005139CD">
      <w:pPr>
        <w:shd w:val="clear" w:color="auto" w:fill="FFFFFF"/>
        <w:spacing w:after="0" w:line="240" w:lineRule="auto"/>
        <w:rPr>
          <w:rFonts w:ascii="Cambria" w:eastAsia="Times New Roman" w:hAnsi="Cambria" w:cs="Times New Roman"/>
          <w:bCs/>
          <w:color w:val="222222"/>
          <w:lang w:eastAsia="en-AU"/>
        </w:rPr>
      </w:pPr>
      <w:r w:rsidRPr="009A0DA6">
        <w:rPr>
          <w:rFonts w:ascii="Cambria" w:eastAsia="Times New Roman" w:hAnsi="Cambria" w:cs="Times New Roman"/>
          <w:b/>
          <w:bCs/>
          <w:color w:val="222222"/>
          <w:lang w:eastAsia="en-AU"/>
        </w:rPr>
        <w:t xml:space="preserve">BE  IT  FURTHER  RESOLVED  </w:t>
      </w:r>
      <w:r w:rsidRPr="009A0DA6">
        <w:rPr>
          <w:rFonts w:ascii="Cambria" w:eastAsia="Times New Roman" w:hAnsi="Cambria" w:cs="Times New Roman"/>
          <w:bCs/>
          <w:color w:val="222222"/>
          <w:lang w:eastAsia="en-AU"/>
        </w:rPr>
        <w:t xml:space="preserve">that </w:t>
      </w:r>
      <w:r w:rsidRPr="009A0DA6">
        <w:rPr>
          <w:rFonts w:ascii="Cambria" w:eastAsia="Times New Roman" w:hAnsi="Cambria" w:cs="Times New Roman"/>
          <w:b/>
          <w:bCs/>
          <w:color w:val="222222"/>
          <w:lang w:eastAsia="en-AU"/>
        </w:rPr>
        <w:t>Article 11 Dissolution</w:t>
      </w:r>
      <w:r w:rsidRPr="009A0DA6">
        <w:rPr>
          <w:rFonts w:ascii="Cambria" w:eastAsia="Times New Roman" w:hAnsi="Cambria" w:cs="Times New Roman"/>
          <w:bCs/>
          <w:color w:val="222222"/>
          <w:lang w:eastAsia="en-AU"/>
        </w:rPr>
        <w:t xml:space="preserve"> of the Model Constitution for a Parish be amended with the additions as follows (words to be deleted – </w:t>
      </w:r>
      <w:r w:rsidRPr="009A0DA6">
        <w:rPr>
          <w:rFonts w:ascii="Cambria" w:eastAsia="Times New Roman" w:hAnsi="Cambria" w:cs="Times New Roman"/>
          <w:bCs/>
          <w:strike/>
          <w:color w:val="222222"/>
          <w:lang w:eastAsia="en-AU"/>
        </w:rPr>
        <w:t>strikethrough</w:t>
      </w:r>
      <w:r w:rsidRPr="009A0DA6">
        <w:rPr>
          <w:rFonts w:ascii="Cambria" w:eastAsia="Times New Roman" w:hAnsi="Cambria" w:cs="Times New Roman"/>
          <w:bCs/>
          <w:color w:val="222222"/>
          <w:lang w:eastAsia="en-AU"/>
        </w:rPr>
        <w:t xml:space="preserve">;  words to be added – </w:t>
      </w:r>
      <w:r w:rsidRPr="009A0DA6">
        <w:rPr>
          <w:rFonts w:ascii="Cambria" w:eastAsia="Times New Roman" w:hAnsi="Cambria" w:cs="Times New Roman"/>
          <w:b/>
          <w:bCs/>
          <w:color w:val="222222"/>
          <w:lang w:eastAsia="en-AU"/>
        </w:rPr>
        <w:t>bold</w:t>
      </w:r>
      <w:r w:rsidRPr="009A0DA6">
        <w:rPr>
          <w:rFonts w:ascii="Cambria" w:eastAsia="Times New Roman" w:hAnsi="Cambria" w:cs="Times New Roman"/>
          <w:bCs/>
          <w:color w:val="222222"/>
          <w:lang w:eastAsia="en-AU"/>
        </w:rPr>
        <w:t>):</w:t>
      </w:r>
    </w:p>
    <w:p w14:paraId="426FFBC6" w14:textId="6ECB6295" w:rsidR="005139CD" w:rsidRPr="004A186C" w:rsidRDefault="005139CD" w:rsidP="004A186C">
      <w:pPr>
        <w:tabs>
          <w:tab w:val="left" w:pos="709"/>
          <w:tab w:val="left" w:pos="1559"/>
          <w:tab w:val="left" w:pos="2552"/>
          <w:tab w:val="left" w:pos="3544"/>
          <w:tab w:val="left" w:pos="4536"/>
        </w:tabs>
        <w:spacing w:after="0" w:line="240" w:lineRule="auto"/>
        <w:jc w:val="center"/>
        <w:rPr>
          <w:rFonts w:ascii="Cambria" w:eastAsia="Times New Roman" w:hAnsi="Cambria" w:cs="Times New Roman"/>
          <w:b/>
          <w:noProof/>
        </w:rPr>
      </w:pPr>
      <w:r w:rsidRPr="009A0DA6">
        <w:rPr>
          <w:rFonts w:ascii="Cambria" w:eastAsia="Times New Roman" w:hAnsi="Cambria" w:cs="Times New Roman"/>
          <w:b/>
          <w:noProof/>
        </w:rPr>
        <w:t>ARTICLE  11</w:t>
      </w:r>
      <w:r w:rsidR="0027799A" w:rsidRPr="009A0DA6">
        <w:rPr>
          <w:rFonts w:ascii="Cambria" w:eastAsia="Times New Roman" w:hAnsi="Cambria" w:cs="Times New Roman"/>
          <w:b/>
          <w:noProof/>
        </w:rPr>
        <w:t xml:space="preserve">. </w:t>
      </w:r>
      <w:r w:rsidR="004A186C">
        <w:rPr>
          <w:rFonts w:ascii="Cambria" w:eastAsia="Times New Roman" w:hAnsi="Cambria" w:cs="Times New Roman"/>
          <w:b/>
          <w:noProof/>
        </w:rPr>
        <w:t xml:space="preserve"> DISSOLUTION</w:t>
      </w:r>
    </w:p>
    <w:p w14:paraId="5D1AA81B" w14:textId="77777777" w:rsidR="005139CD" w:rsidRPr="009A0DA6" w:rsidRDefault="005139CD" w:rsidP="005139CD">
      <w:pPr>
        <w:tabs>
          <w:tab w:val="left" w:pos="567"/>
          <w:tab w:val="left" w:pos="1559"/>
          <w:tab w:val="left" w:pos="2552"/>
          <w:tab w:val="left" w:pos="3544"/>
          <w:tab w:val="left" w:pos="4536"/>
        </w:tabs>
        <w:spacing w:after="0" w:line="240" w:lineRule="auto"/>
        <w:ind w:left="567" w:hanging="567"/>
        <w:rPr>
          <w:rFonts w:ascii="Cambria" w:eastAsia="Times New Roman" w:hAnsi="Cambria" w:cs="Times New Roman"/>
          <w:noProof/>
          <w:sz w:val="10"/>
          <w:szCs w:val="10"/>
        </w:rPr>
      </w:pPr>
      <w:r w:rsidRPr="009A0DA6">
        <w:rPr>
          <w:rFonts w:ascii="Cambria" w:eastAsia="Times New Roman" w:hAnsi="Cambria" w:cs="Times New Roman"/>
          <w:noProof/>
        </w:rPr>
        <w:t>11.1</w:t>
      </w:r>
      <w:r w:rsidRPr="009A0DA6">
        <w:rPr>
          <w:rFonts w:ascii="Cambria" w:eastAsia="Times New Roman" w:hAnsi="Cambria" w:cs="Times New Roman"/>
          <w:noProof/>
        </w:rPr>
        <w:tab/>
      </w:r>
      <w:r w:rsidRPr="009A0DA6">
        <w:rPr>
          <w:rFonts w:ascii="Cambria" w:eastAsia="Times New Roman" w:hAnsi="Cambria" w:cs="Times New Roman"/>
          <w:b/>
          <w:noProof/>
        </w:rPr>
        <w:t>A special resolution is required if it is proposed that the Parish dissolve and</w:t>
      </w:r>
      <w:r w:rsidRPr="009A0DA6">
        <w:rPr>
          <w:rFonts w:ascii="Cambria" w:eastAsia="Times New Roman" w:hAnsi="Cambria" w:cs="Times New Roman"/>
          <w:noProof/>
        </w:rPr>
        <w:t xml:space="preserve"> </w:t>
      </w:r>
      <w:r w:rsidRPr="009A0DA6">
        <w:rPr>
          <w:rFonts w:ascii="Cambria" w:eastAsia="Times New Roman" w:hAnsi="Cambria" w:cs="Times New Roman"/>
          <w:strike/>
          <w:noProof/>
        </w:rPr>
        <w:t>A</w:t>
      </w:r>
      <w:r w:rsidRPr="009A0DA6">
        <w:rPr>
          <w:rFonts w:ascii="Cambria" w:eastAsia="Times New Roman" w:hAnsi="Cambria" w:cs="Times New Roman"/>
          <w:b/>
          <w:noProof/>
        </w:rPr>
        <w:t>a</w:t>
      </w:r>
      <w:r w:rsidRPr="009A0DA6">
        <w:rPr>
          <w:rFonts w:ascii="Cambria" w:eastAsia="Times New Roman" w:hAnsi="Cambria" w:cs="Times New Roman"/>
          <w:noProof/>
        </w:rPr>
        <w:t xml:space="preserve">ny </w:t>
      </w:r>
      <w:r w:rsidRPr="009A0DA6">
        <w:rPr>
          <w:rFonts w:ascii="Cambria" w:eastAsia="Times New Roman" w:hAnsi="Cambria" w:cs="Times New Roman"/>
          <w:b/>
          <w:noProof/>
        </w:rPr>
        <w:t>such</w:t>
      </w:r>
      <w:r w:rsidRPr="009A0DA6">
        <w:rPr>
          <w:rFonts w:ascii="Cambria" w:eastAsia="Times New Roman" w:hAnsi="Cambria" w:cs="Times New Roman"/>
          <w:noProof/>
        </w:rPr>
        <w:t xml:space="preserve"> resolution for dissolution shall be made according to the following procedure:</w:t>
      </w:r>
      <w:r w:rsidRPr="009A0DA6">
        <w:rPr>
          <w:rFonts w:ascii="Cambria" w:eastAsia="Times New Roman" w:hAnsi="Cambria" w:cs="Times New Roman"/>
          <w:noProof/>
        </w:rPr>
        <w:br/>
      </w:r>
    </w:p>
    <w:p w14:paraId="62AFF118" w14:textId="77777777" w:rsidR="005139CD" w:rsidRPr="009A0DA6" w:rsidRDefault="005139CD" w:rsidP="005139CD">
      <w:pPr>
        <w:tabs>
          <w:tab w:val="left" w:pos="567"/>
          <w:tab w:val="left" w:pos="1418"/>
          <w:tab w:val="left" w:pos="2552"/>
          <w:tab w:val="left" w:pos="3544"/>
          <w:tab w:val="left" w:pos="4536"/>
        </w:tabs>
        <w:spacing w:after="0" w:line="240" w:lineRule="auto"/>
        <w:ind w:left="1418" w:hanging="1418"/>
        <w:rPr>
          <w:rFonts w:ascii="Cambria" w:eastAsia="Times New Roman" w:hAnsi="Cambria" w:cs="Times New Roman"/>
          <w:noProof/>
        </w:rPr>
      </w:pPr>
      <w:r w:rsidRPr="009A0DA6">
        <w:rPr>
          <w:rFonts w:ascii="Cambria" w:eastAsia="Times New Roman" w:hAnsi="Cambria" w:cs="Times New Roman"/>
          <w:noProof/>
        </w:rPr>
        <w:tab/>
        <w:t>11.1.1</w:t>
      </w:r>
      <w:r w:rsidRPr="009A0DA6">
        <w:rPr>
          <w:rFonts w:ascii="Cambria" w:eastAsia="Times New Roman" w:hAnsi="Cambria" w:cs="Times New Roman"/>
          <w:noProof/>
        </w:rPr>
        <w:tab/>
      </w:r>
      <w:r w:rsidRPr="009A0DA6">
        <w:rPr>
          <w:rFonts w:ascii="Cambria" w:eastAsia="Times New Roman" w:hAnsi="Cambria" w:cs="Times New Roman"/>
          <w:b/>
          <w:noProof/>
        </w:rPr>
        <w:t>Written</w:t>
      </w:r>
      <w:r w:rsidRPr="009A0DA6">
        <w:rPr>
          <w:rFonts w:ascii="Cambria" w:eastAsia="Times New Roman" w:hAnsi="Cambria" w:cs="Times New Roman"/>
          <w:noProof/>
        </w:rPr>
        <w:t xml:space="preserve"> </w:t>
      </w:r>
      <w:r w:rsidRPr="009A0DA6">
        <w:rPr>
          <w:rFonts w:ascii="Cambria" w:eastAsia="Times New Roman" w:hAnsi="Cambria" w:cs="Times New Roman"/>
          <w:strike/>
          <w:noProof/>
        </w:rPr>
        <w:t>N</w:t>
      </w:r>
      <w:r w:rsidRPr="009A0DA6">
        <w:rPr>
          <w:rFonts w:ascii="Cambria" w:eastAsia="Times New Roman" w:hAnsi="Cambria" w:cs="Times New Roman"/>
          <w:b/>
          <w:noProof/>
        </w:rPr>
        <w:t>n</w:t>
      </w:r>
      <w:r w:rsidRPr="009A0DA6">
        <w:rPr>
          <w:rFonts w:ascii="Cambria" w:eastAsia="Times New Roman" w:hAnsi="Cambria" w:cs="Times New Roman"/>
          <w:noProof/>
        </w:rPr>
        <w:t>otice of a motion to dissolve the Parish shall be given to the member-congregations of the Parish.</w:t>
      </w:r>
    </w:p>
    <w:p w14:paraId="12C10508" w14:textId="77777777" w:rsidR="005139CD" w:rsidRPr="009A0DA6" w:rsidRDefault="005139CD" w:rsidP="005139CD">
      <w:pPr>
        <w:tabs>
          <w:tab w:val="left" w:pos="567"/>
          <w:tab w:val="left" w:pos="1418"/>
          <w:tab w:val="left" w:pos="2552"/>
          <w:tab w:val="left" w:pos="3544"/>
          <w:tab w:val="left" w:pos="4536"/>
        </w:tabs>
        <w:spacing w:after="0" w:line="240" w:lineRule="auto"/>
        <w:ind w:left="1418" w:hanging="1418"/>
        <w:rPr>
          <w:rFonts w:ascii="Cambria" w:eastAsia="Times New Roman" w:hAnsi="Cambria" w:cs="Times New Roman"/>
          <w:noProof/>
        </w:rPr>
      </w:pPr>
      <w:r w:rsidRPr="009A0DA6">
        <w:rPr>
          <w:rFonts w:ascii="Cambria" w:eastAsia="Times New Roman" w:hAnsi="Cambria" w:cs="Times New Roman"/>
          <w:noProof/>
        </w:rPr>
        <w:tab/>
        <w:t>11.1.2</w:t>
      </w:r>
      <w:r w:rsidRPr="009A0DA6">
        <w:rPr>
          <w:rFonts w:ascii="Cambria" w:eastAsia="Times New Roman" w:hAnsi="Cambria" w:cs="Times New Roman"/>
          <w:noProof/>
        </w:rPr>
        <w:tab/>
        <w:t>The motion shall be presented to the member-congregations only after the Bishop of the District has been consulted.</w:t>
      </w:r>
    </w:p>
    <w:p w14:paraId="11EAB92F" w14:textId="77777777" w:rsidR="005139CD" w:rsidRPr="009A0DA6" w:rsidRDefault="005139CD" w:rsidP="005139CD">
      <w:pPr>
        <w:tabs>
          <w:tab w:val="left" w:pos="567"/>
          <w:tab w:val="left" w:pos="1418"/>
          <w:tab w:val="left" w:pos="2552"/>
          <w:tab w:val="left" w:pos="3544"/>
          <w:tab w:val="left" w:pos="4536"/>
        </w:tabs>
        <w:spacing w:after="0" w:line="240" w:lineRule="auto"/>
        <w:ind w:left="1418" w:hanging="1418"/>
        <w:rPr>
          <w:rFonts w:ascii="Cambria" w:eastAsia="Times New Roman" w:hAnsi="Cambria" w:cs="Times New Roman"/>
          <w:noProof/>
        </w:rPr>
      </w:pPr>
      <w:r w:rsidRPr="009A0DA6">
        <w:rPr>
          <w:rFonts w:ascii="Cambria" w:eastAsia="Times New Roman" w:hAnsi="Cambria" w:cs="Times New Roman"/>
          <w:noProof/>
        </w:rPr>
        <w:tab/>
        <w:t>11.1.3</w:t>
      </w:r>
      <w:r w:rsidRPr="009A0DA6">
        <w:rPr>
          <w:rFonts w:ascii="Cambria" w:eastAsia="Times New Roman" w:hAnsi="Cambria" w:cs="Times New Roman"/>
          <w:noProof/>
        </w:rPr>
        <w:tab/>
        <w:t>At least thirty [30] days written notice of a meeting, specifying the intention to dissolve as a special motion, shall be given to all the voting members of the Parish.</w:t>
      </w:r>
    </w:p>
    <w:p w14:paraId="74CEF92B" w14:textId="77777777" w:rsidR="005139CD" w:rsidRPr="009A0DA6" w:rsidRDefault="005139CD" w:rsidP="005139CD">
      <w:pPr>
        <w:tabs>
          <w:tab w:val="left" w:pos="567"/>
          <w:tab w:val="left" w:pos="1418"/>
          <w:tab w:val="left" w:pos="2552"/>
          <w:tab w:val="left" w:pos="3544"/>
          <w:tab w:val="left" w:pos="4536"/>
        </w:tabs>
        <w:spacing w:after="0" w:line="240" w:lineRule="auto"/>
        <w:ind w:left="1418" w:hanging="1418"/>
        <w:rPr>
          <w:rFonts w:ascii="Cambria" w:eastAsia="Times New Roman" w:hAnsi="Cambria" w:cs="Times New Roman"/>
          <w:noProof/>
        </w:rPr>
      </w:pPr>
      <w:r w:rsidRPr="009A0DA6">
        <w:rPr>
          <w:rFonts w:ascii="Cambria" w:eastAsia="Times New Roman" w:hAnsi="Cambria" w:cs="Times New Roman"/>
          <w:noProof/>
        </w:rPr>
        <w:tab/>
        <w:t>11.1.4</w:t>
      </w:r>
      <w:r w:rsidRPr="009A0DA6">
        <w:rPr>
          <w:rFonts w:ascii="Cambria" w:eastAsia="Times New Roman" w:hAnsi="Cambria" w:cs="Times New Roman"/>
          <w:noProof/>
        </w:rPr>
        <w:tab/>
        <w:t>The motion shall require a majority of three-quarters [3/4] of all the voting members of the Parish</w:t>
      </w:r>
      <w:r w:rsidRPr="009A0DA6">
        <w:rPr>
          <w:rFonts w:ascii="Cambria" w:eastAsia="Times New Roman" w:hAnsi="Cambria" w:cs="Times New Roman"/>
          <w:b/>
        </w:rPr>
        <w:t xml:space="preserve"> </w:t>
      </w:r>
      <w:r w:rsidRPr="009A0DA6">
        <w:rPr>
          <w:rFonts w:ascii="Cambria" w:eastAsia="Times New Roman" w:hAnsi="Cambria" w:cs="Times New Roman"/>
          <w:b/>
          <w:noProof/>
        </w:rPr>
        <w:t>for determination at a general meeting</w:t>
      </w:r>
      <w:r w:rsidRPr="009A0DA6">
        <w:rPr>
          <w:rFonts w:ascii="Cambria" w:eastAsia="Times New Roman" w:hAnsi="Cambria" w:cs="Times New Roman"/>
          <w:noProof/>
        </w:rPr>
        <w:t>.</w:t>
      </w:r>
    </w:p>
    <w:p w14:paraId="4339D032" w14:textId="77777777" w:rsidR="005139CD" w:rsidRPr="009A0DA6" w:rsidRDefault="005139CD" w:rsidP="005139CD">
      <w:pPr>
        <w:tabs>
          <w:tab w:val="left" w:pos="567"/>
          <w:tab w:val="left" w:pos="1418"/>
          <w:tab w:val="left" w:pos="2552"/>
          <w:tab w:val="left" w:pos="3544"/>
          <w:tab w:val="left" w:pos="4536"/>
        </w:tabs>
        <w:spacing w:after="0" w:line="240" w:lineRule="auto"/>
        <w:ind w:left="1418" w:hanging="1418"/>
        <w:rPr>
          <w:rFonts w:ascii="Cambria" w:eastAsia="Times New Roman" w:hAnsi="Cambria" w:cs="Times New Roman"/>
          <w:b/>
          <w:noProof/>
        </w:rPr>
      </w:pPr>
      <w:r w:rsidRPr="009A0DA6">
        <w:rPr>
          <w:rFonts w:ascii="Cambria" w:eastAsia="Times New Roman" w:hAnsi="Cambria" w:cs="Times New Roman"/>
          <w:b/>
          <w:noProof/>
        </w:rPr>
        <w:tab/>
        <w:t>11.1.5</w:t>
      </w:r>
      <w:r w:rsidRPr="009A0DA6">
        <w:rPr>
          <w:rFonts w:ascii="Cambria" w:eastAsia="Times New Roman" w:hAnsi="Cambria" w:cs="Times New Roman"/>
          <w:b/>
          <w:noProof/>
        </w:rPr>
        <w:tab/>
        <w:t>The result, if carried by at least the required majority, shall be declared as being carried as a special resolution.</w:t>
      </w:r>
    </w:p>
    <w:p w14:paraId="1BF4E575" w14:textId="77777777" w:rsidR="005139CD" w:rsidRPr="009A0DA6" w:rsidRDefault="005139CD" w:rsidP="005139CD">
      <w:pPr>
        <w:tabs>
          <w:tab w:val="left" w:pos="567"/>
          <w:tab w:val="left" w:pos="1418"/>
          <w:tab w:val="left" w:pos="2552"/>
          <w:tab w:val="left" w:pos="3544"/>
          <w:tab w:val="left" w:pos="4536"/>
        </w:tabs>
        <w:spacing w:after="0" w:line="240" w:lineRule="auto"/>
        <w:ind w:left="1418" w:hanging="1418"/>
        <w:rPr>
          <w:rFonts w:ascii="Cambria" w:eastAsia="Times New Roman" w:hAnsi="Cambria" w:cs="Times New Roman"/>
          <w:noProof/>
        </w:rPr>
      </w:pPr>
      <w:r w:rsidRPr="009A0DA6">
        <w:rPr>
          <w:rFonts w:ascii="Cambria" w:eastAsia="Times New Roman" w:hAnsi="Cambria" w:cs="Times New Roman"/>
          <w:noProof/>
        </w:rPr>
        <w:tab/>
        <w:t>11.1.</w:t>
      </w:r>
      <w:r w:rsidRPr="009A0DA6">
        <w:rPr>
          <w:rFonts w:ascii="Cambria" w:eastAsia="Times New Roman" w:hAnsi="Cambria" w:cs="Times New Roman"/>
          <w:strike/>
          <w:noProof/>
        </w:rPr>
        <w:t>5</w:t>
      </w:r>
      <w:r w:rsidRPr="009A0DA6">
        <w:rPr>
          <w:rFonts w:ascii="Cambria" w:eastAsia="Times New Roman" w:hAnsi="Cambria" w:cs="Times New Roman"/>
          <w:b/>
          <w:noProof/>
        </w:rPr>
        <w:t>6</w:t>
      </w:r>
      <w:r w:rsidRPr="009A0DA6">
        <w:rPr>
          <w:rFonts w:ascii="Cambria" w:eastAsia="Times New Roman" w:hAnsi="Cambria" w:cs="Times New Roman"/>
          <w:noProof/>
        </w:rPr>
        <w:tab/>
        <w:t>The decision shall only become operative after the sanction of the Church Council of the District has been obtained.</w:t>
      </w:r>
    </w:p>
    <w:p w14:paraId="1D13846F" w14:textId="77777777" w:rsidR="005139CD" w:rsidRPr="009A0DA6" w:rsidRDefault="005139CD" w:rsidP="005139CD">
      <w:pPr>
        <w:tabs>
          <w:tab w:val="left" w:pos="567"/>
          <w:tab w:val="left" w:pos="1418"/>
          <w:tab w:val="left" w:pos="2552"/>
          <w:tab w:val="left" w:pos="3544"/>
          <w:tab w:val="left" w:pos="4536"/>
        </w:tabs>
        <w:spacing w:after="0" w:line="240" w:lineRule="auto"/>
        <w:ind w:left="1418" w:hanging="1418"/>
        <w:rPr>
          <w:rFonts w:ascii="Cambria" w:eastAsia="Times New Roman" w:hAnsi="Cambria" w:cs="Times New Roman"/>
          <w:noProof/>
        </w:rPr>
      </w:pPr>
      <w:r w:rsidRPr="009A0DA6">
        <w:rPr>
          <w:rFonts w:ascii="Cambria" w:eastAsia="Times New Roman" w:hAnsi="Cambria" w:cs="Times New Roman"/>
          <w:noProof/>
        </w:rPr>
        <w:tab/>
        <w:t>11.1.</w:t>
      </w:r>
      <w:r w:rsidRPr="009A0DA6">
        <w:rPr>
          <w:rFonts w:ascii="Cambria" w:eastAsia="Times New Roman" w:hAnsi="Cambria" w:cs="Times New Roman"/>
          <w:strike/>
          <w:noProof/>
        </w:rPr>
        <w:t>6</w:t>
      </w:r>
      <w:r w:rsidRPr="009A0DA6">
        <w:rPr>
          <w:rFonts w:ascii="Cambria" w:eastAsia="Times New Roman" w:hAnsi="Cambria" w:cs="Times New Roman"/>
          <w:b/>
          <w:noProof/>
        </w:rPr>
        <w:t>7</w:t>
      </w:r>
      <w:r w:rsidRPr="009A0DA6">
        <w:rPr>
          <w:rFonts w:ascii="Cambria" w:eastAsia="Times New Roman" w:hAnsi="Cambria" w:cs="Times New Roman"/>
          <w:noProof/>
        </w:rPr>
        <w:tab/>
        <w:t>Once the decision has been made to dissolve the Parish according to the above procedure, a date for dissolution shall be set contingent upon all matters pertaining to dissolution and the transference of all titles and other assets of the Parish being effected according to law.</w:t>
      </w:r>
    </w:p>
    <w:p w14:paraId="10CC6261" w14:textId="13C37563" w:rsidR="005139CD" w:rsidRPr="009A0DA6" w:rsidRDefault="005139CD" w:rsidP="005139CD">
      <w:pPr>
        <w:tabs>
          <w:tab w:val="left" w:pos="567"/>
          <w:tab w:val="left" w:pos="1559"/>
          <w:tab w:val="left" w:pos="2552"/>
          <w:tab w:val="left" w:pos="3544"/>
          <w:tab w:val="left" w:pos="4536"/>
        </w:tabs>
        <w:spacing w:after="0" w:line="240" w:lineRule="auto"/>
        <w:ind w:left="567" w:hanging="567"/>
        <w:rPr>
          <w:rFonts w:ascii="Cambria" w:eastAsia="Times New Roman" w:hAnsi="Cambria" w:cs="Times New Roman"/>
          <w:noProof/>
        </w:rPr>
      </w:pPr>
      <w:r w:rsidRPr="009A0DA6">
        <w:rPr>
          <w:rFonts w:ascii="Cambria" w:eastAsia="Times New Roman" w:hAnsi="Cambria" w:cs="Times New Roman"/>
          <w:noProof/>
        </w:rPr>
        <w:t>11.2</w:t>
      </w:r>
      <w:r w:rsidRPr="009A0DA6">
        <w:rPr>
          <w:rFonts w:ascii="Cambria" w:eastAsia="Times New Roman" w:hAnsi="Cambria" w:cs="Times New Roman"/>
          <w:noProof/>
        </w:rPr>
        <w:tab/>
        <w:t>In the event of such dissolution, the Parish may give indication regarding the use of any Parish-owned assets by the District and/or the Church</w:t>
      </w:r>
      <w:r w:rsidR="0027799A" w:rsidRPr="009A0DA6">
        <w:rPr>
          <w:rFonts w:ascii="Cambria" w:eastAsia="Times New Roman" w:hAnsi="Cambria" w:cs="Times New Roman"/>
          <w:noProof/>
        </w:rPr>
        <w:t xml:space="preserve">. </w:t>
      </w:r>
      <w:r w:rsidRPr="009A0DA6">
        <w:rPr>
          <w:rFonts w:ascii="Cambria" w:eastAsia="Times New Roman" w:hAnsi="Cambria" w:cs="Times New Roman"/>
          <w:b/>
          <w:noProof/>
        </w:rPr>
        <w:t>Any surplus assets which remain after such dissolution and the satisfaction of all debts and liabilities shall be transferred to one or more Lutheran organisations with similar purposes, that are charitable at law and which are not carried on for the profit or gain of individual members</w:t>
      </w:r>
      <w:r w:rsidR="0027799A" w:rsidRPr="009A0DA6">
        <w:rPr>
          <w:rFonts w:ascii="Cambria" w:eastAsia="Times New Roman" w:hAnsi="Cambria" w:cs="Times New Roman"/>
          <w:b/>
          <w:noProof/>
        </w:rPr>
        <w:t xml:space="preserve">. </w:t>
      </w:r>
      <w:r w:rsidRPr="009A0DA6">
        <w:rPr>
          <w:rFonts w:ascii="Cambria" w:eastAsia="Times New Roman" w:hAnsi="Cambria" w:cs="Times New Roman"/>
          <w:noProof/>
        </w:rPr>
        <w:t>Where no such indication is given, if any surplus remains following the winding up of the Parish, the surplus shall not be paid to or distributed amongst members, but be transferred to the District absolutely</w:t>
      </w:r>
      <w:r w:rsidR="0027799A" w:rsidRPr="009A0DA6">
        <w:rPr>
          <w:rFonts w:ascii="Cambria" w:eastAsia="Times New Roman" w:hAnsi="Cambria" w:cs="Times New Roman"/>
          <w:noProof/>
        </w:rPr>
        <w:t xml:space="preserve">. </w:t>
      </w:r>
      <w:r w:rsidRPr="009A0DA6">
        <w:rPr>
          <w:rFonts w:ascii="Cambria" w:eastAsia="Times New Roman" w:hAnsi="Cambria" w:cs="Times New Roman"/>
          <w:noProof/>
        </w:rPr>
        <w:t>Any assets of the member-congregations are not subject to this clause.</w:t>
      </w:r>
    </w:p>
    <w:p w14:paraId="33E183F8" w14:textId="77777777" w:rsidR="005139CD" w:rsidRPr="009A0DA6" w:rsidRDefault="005139CD" w:rsidP="005139CD">
      <w:pPr>
        <w:shd w:val="clear" w:color="auto" w:fill="FFFFFF"/>
        <w:spacing w:after="0" w:line="240" w:lineRule="auto"/>
        <w:rPr>
          <w:rFonts w:ascii="Cambria" w:eastAsia="Times New Roman" w:hAnsi="Cambria" w:cs="Times New Roman"/>
          <w:bCs/>
          <w:color w:val="222222"/>
          <w:lang w:eastAsia="en-AU"/>
        </w:rPr>
      </w:pPr>
      <w:r w:rsidRPr="009A0DA6">
        <w:rPr>
          <w:rFonts w:ascii="Cambria" w:eastAsia="Times New Roman" w:hAnsi="Cambria" w:cs="Times New Roman"/>
          <w:b/>
          <w:bCs/>
          <w:color w:val="222222"/>
          <w:lang w:eastAsia="en-AU"/>
        </w:rPr>
        <w:lastRenderedPageBreak/>
        <w:t xml:space="preserve">BE  IT  FURTHER  RESOLVED  </w:t>
      </w:r>
      <w:r w:rsidRPr="009A0DA6">
        <w:rPr>
          <w:rFonts w:ascii="Cambria" w:eastAsia="Times New Roman" w:hAnsi="Cambria" w:cs="Times New Roman"/>
          <w:bCs/>
          <w:color w:val="222222"/>
          <w:lang w:eastAsia="en-AU"/>
        </w:rPr>
        <w:t xml:space="preserve">that </w:t>
      </w:r>
      <w:r w:rsidRPr="009A0DA6">
        <w:rPr>
          <w:rFonts w:ascii="Cambria" w:eastAsia="Times New Roman" w:hAnsi="Cambria" w:cs="Times New Roman"/>
          <w:b/>
          <w:bCs/>
          <w:color w:val="222222"/>
          <w:lang w:eastAsia="en-AU"/>
        </w:rPr>
        <w:t>Article 13 Alterations to the Constitution and Matters requiring a Special Resolution</w:t>
      </w:r>
      <w:r w:rsidRPr="009A0DA6">
        <w:rPr>
          <w:rFonts w:ascii="Cambria" w:eastAsia="Times New Roman" w:hAnsi="Cambria" w:cs="Times New Roman"/>
          <w:bCs/>
          <w:color w:val="222222"/>
          <w:lang w:eastAsia="en-AU"/>
        </w:rPr>
        <w:t xml:space="preserve"> in the Model Constitution for a Congregation be amended as follows (words to be deleted – </w:t>
      </w:r>
      <w:r w:rsidRPr="009A0DA6">
        <w:rPr>
          <w:rFonts w:ascii="Cambria" w:eastAsia="Times New Roman" w:hAnsi="Cambria" w:cs="Times New Roman"/>
          <w:bCs/>
          <w:strike/>
          <w:color w:val="222222"/>
          <w:lang w:eastAsia="en-AU"/>
        </w:rPr>
        <w:t>strikethrough</w:t>
      </w:r>
      <w:r w:rsidRPr="009A0DA6">
        <w:rPr>
          <w:rFonts w:ascii="Cambria" w:eastAsia="Times New Roman" w:hAnsi="Cambria" w:cs="Times New Roman"/>
          <w:bCs/>
          <w:color w:val="222222"/>
          <w:lang w:eastAsia="en-AU"/>
        </w:rPr>
        <w:t xml:space="preserve">;  words to be added – </w:t>
      </w:r>
      <w:r w:rsidRPr="009A0DA6">
        <w:rPr>
          <w:rFonts w:ascii="Cambria" w:eastAsia="Times New Roman" w:hAnsi="Cambria" w:cs="Times New Roman"/>
          <w:b/>
          <w:bCs/>
          <w:color w:val="222222"/>
          <w:lang w:eastAsia="en-AU"/>
        </w:rPr>
        <w:t>bold</w:t>
      </w:r>
      <w:r w:rsidRPr="009A0DA6">
        <w:rPr>
          <w:rFonts w:ascii="Cambria" w:eastAsia="Times New Roman" w:hAnsi="Cambria" w:cs="Times New Roman"/>
          <w:bCs/>
          <w:color w:val="222222"/>
          <w:lang w:eastAsia="en-AU"/>
        </w:rPr>
        <w:t>):</w:t>
      </w:r>
    </w:p>
    <w:p w14:paraId="6D90971C" w14:textId="77777777" w:rsidR="005139CD" w:rsidRPr="009A0DA6" w:rsidRDefault="005139CD" w:rsidP="005139CD">
      <w:pPr>
        <w:tabs>
          <w:tab w:val="left" w:pos="709"/>
          <w:tab w:val="left" w:pos="1559"/>
          <w:tab w:val="left" w:pos="2552"/>
          <w:tab w:val="left" w:pos="3544"/>
          <w:tab w:val="left" w:pos="4536"/>
        </w:tabs>
        <w:spacing w:after="0" w:line="240" w:lineRule="auto"/>
        <w:jc w:val="center"/>
        <w:rPr>
          <w:rFonts w:ascii="Cambria" w:eastAsia="Times New Roman" w:hAnsi="Cambria" w:cs="Times New Roman"/>
          <w:b/>
        </w:rPr>
      </w:pPr>
    </w:p>
    <w:p w14:paraId="6A0A8D2D" w14:textId="73E7B8DF" w:rsidR="005139CD" w:rsidRPr="004A186C" w:rsidRDefault="005139CD" w:rsidP="004A186C">
      <w:pPr>
        <w:tabs>
          <w:tab w:val="left" w:pos="709"/>
          <w:tab w:val="left" w:pos="1559"/>
          <w:tab w:val="left" w:pos="2552"/>
          <w:tab w:val="left" w:pos="3544"/>
          <w:tab w:val="left" w:pos="4536"/>
        </w:tabs>
        <w:spacing w:after="0" w:line="240" w:lineRule="auto"/>
        <w:jc w:val="center"/>
        <w:rPr>
          <w:rFonts w:ascii="Cambria" w:eastAsia="Times New Roman" w:hAnsi="Cambria" w:cs="Times New Roman"/>
          <w:b/>
          <w:strike/>
          <w:color w:val="000000"/>
        </w:rPr>
      </w:pPr>
      <w:r w:rsidRPr="009A0DA6">
        <w:rPr>
          <w:rFonts w:ascii="Cambria" w:eastAsia="Times New Roman" w:hAnsi="Cambria" w:cs="Times New Roman"/>
          <w:b/>
        </w:rPr>
        <w:t>ARTICLE  13</w:t>
      </w:r>
      <w:r w:rsidR="0027799A" w:rsidRPr="009A0DA6">
        <w:rPr>
          <w:rFonts w:ascii="Cambria" w:eastAsia="Times New Roman" w:hAnsi="Cambria" w:cs="Times New Roman"/>
          <w:b/>
        </w:rPr>
        <w:t xml:space="preserve">. </w:t>
      </w:r>
      <w:r w:rsidRPr="009A0DA6">
        <w:rPr>
          <w:rFonts w:ascii="Cambria" w:eastAsia="Times New Roman" w:hAnsi="Cambria" w:cs="Times New Roman"/>
          <w:b/>
        </w:rPr>
        <w:t xml:space="preserve"> </w:t>
      </w:r>
      <w:r w:rsidR="004B29FF" w:rsidRPr="009A0DA6">
        <w:rPr>
          <w:rFonts w:ascii="Cambria" w:eastAsia="Times New Roman" w:hAnsi="Cambria" w:cs="Times New Roman"/>
          <w:b/>
        </w:rPr>
        <w:t>ALTERATIONS TO</w:t>
      </w:r>
      <w:r w:rsidRPr="009A0DA6">
        <w:rPr>
          <w:rFonts w:ascii="Cambria" w:eastAsia="Times New Roman" w:hAnsi="Cambria" w:cs="Times New Roman"/>
          <w:b/>
        </w:rPr>
        <w:t xml:space="preserve">  THE  CONSTITUTION </w:t>
      </w:r>
      <w:r w:rsidRPr="009A0DA6">
        <w:rPr>
          <w:rFonts w:ascii="Cambria" w:eastAsia="Times New Roman" w:hAnsi="Cambria" w:cs="Times New Roman"/>
          <w:b/>
          <w:color w:val="000000"/>
        </w:rPr>
        <w:t xml:space="preserve"> </w:t>
      </w:r>
      <w:r w:rsidRPr="009A0DA6">
        <w:rPr>
          <w:rFonts w:ascii="Cambria" w:eastAsia="Times New Roman" w:hAnsi="Cambria" w:cs="Times New Roman"/>
          <w:b/>
          <w:strike/>
          <w:color w:val="000000"/>
        </w:rPr>
        <w:t>AND  MATTERS  REQUI</w:t>
      </w:r>
      <w:r w:rsidR="004A186C">
        <w:rPr>
          <w:rFonts w:ascii="Cambria" w:eastAsia="Times New Roman" w:hAnsi="Cambria" w:cs="Times New Roman"/>
          <w:b/>
          <w:strike/>
          <w:color w:val="000000"/>
        </w:rPr>
        <w:t>RING  A  SPECIAL  RESOLUTION</w:t>
      </w:r>
    </w:p>
    <w:p w14:paraId="31D6DFCD" w14:textId="77777777" w:rsidR="005139CD" w:rsidRPr="009A0DA6" w:rsidRDefault="005139CD" w:rsidP="005139CD">
      <w:pPr>
        <w:tabs>
          <w:tab w:val="left" w:pos="567"/>
          <w:tab w:val="left" w:pos="1559"/>
          <w:tab w:val="left" w:pos="2552"/>
          <w:tab w:val="left" w:pos="3544"/>
          <w:tab w:val="left" w:pos="4536"/>
        </w:tabs>
        <w:spacing w:after="0" w:line="240" w:lineRule="auto"/>
        <w:ind w:left="567" w:hanging="567"/>
        <w:rPr>
          <w:rFonts w:ascii="Cambria" w:eastAsia="Times New Roman" w:hAnsi="Cambria" w:cs="Times New Roman"/>
          <w:strike/>
          <w:color w:val="000000"/>
          <w:sz w:val="10"/>
        </w:rPr>
      </w:pPr>
      <w:r w:rsidRPr="009A0DA6">
        <w:rPr>
          <w:rFonts w:ascii="Cambria" w:eastAsia="Times New Roman" w:hAnsi="Cambria" w:cs="Times New Roman"/>
          <w:color w:val="000000"/>
        </w:rPr>
        <w:t>13.1</w:t>
      </w:r>
      <w:r w:rsidRPr="009A0DA6">
        <w:rPr>
          <w:rFonts w:ascii="Cambria" w:eastAsia="Times New Roman" w:hAnsi="Cambria" w:cs="Times New Roman"/>
          <w:color w:val="000000"/>
        </w:rPr>
        <w:tab/>
      </w:r>
      <w:r w:rsidRPr="009A0DA6">
        <w:rPr>
          <w:rFonts w:ascii="Cambria" w:eastAsia="Times New Roman" w:hAnsi="Cambria" w:cs="Times New Roman"/>
          <w:strike/>
          <w:color w:val="000000"/>
        </w:rPr>
        <w:t>A special resolution is required if it is proposed that the Congregation do any of the following:</w:t>
      </w:r>
    </w:p>
    <w:p w14:paraId="1B5476E5" w14:textId="77777777" w:rsidR="005139CD" w:rsidRPr="009A0DA6" w:rsidRDefault="005139CD" w:rsidP="005139CD">
      <w:pPr>
        <w:tabs>
          <w:tab w:val="left" w:pos="567"/>
          <w:tab w:val="left" w:pos="1418"/>
          <w:tab w:val="left" w:pos="2552"/>
          <w:tab w:val="left" w:pos="3544"/>
          <w:tab w:val="left" w:pos="4536"/>
        </w:tabs>
        <w:spacing w:after="0" w:line="240" w:lineRule="auto"/>
        <w:ind w:left="1418" w:hanging="1418"/>
        <w:rPr>
          <w:rFonts w:ascii="Cambria" w:eastAsia="Times New Roman" w:hAnsi="Cambria" w:cs="Times New Roman"/>
          <w:strike/>
          <w:color w:val="000000"/>
        </w:rPr>
      </w:pPr>
      <w:r w:rsidRPr="009A0DA6">
        <w:rPr>
          <w:rFonts w:ascii="Cambria" w:eastAsia="Times New Roman" w:hAnsi="Cambria" w:cs="Times New Roman"/>
          <w:strike/>
          <w:color w:val="000000"/>
        </w:rPr>
        <w:tab/>
        <w:t>13.1.1</w:t>
      </w:r>
      <w:r w:rsidRPr="009A0DA6">
        <w:rPr>
          <w:rFonts w:ascii="Cambria" w:eastAsia="Times New Roman" w:hAnsi="Cambria" w:cs="Times New Roman"/>
          <w:strike/>
          <w:color w:val="000000"/>
        </w:rPr>
        <w:tab/>
        <w:t>to amend, alter, add to or repeal its Constitution, including changing the name of the Congregation, except as hereinafter provided in the following clause 13.5 and subject to the preceding clause 3.1.4;  or</w:t>
      </w:r>
    </w:p>
    <w:p w14:paraId="1261E43E" w14:textId="77777777" w:rsidR="005139CD" w:rsidRPr="009A0DA6" w:rsidRDefault="005139CD" w:rsidP="004B29FF">
      <w:pPr>
        <w:tabs>
          <w:tab w:val="left" w:pos="567"/>
          <w:tab w:val="left" w:pos="2552"/>
          <w:tab w:val="left" w:pos="3544"/>
          <w:tab w:val="left" w:pos="4536"/>
        </w:tabs>
        <w:spacing w:after="0" w:line="240" w:lineRule="auto"/>
        <w:ind w:left="567" w:hanging="1418"/>
        <w:rPr>
          <w:rFonts w:ascii="Cambria" w:eastAsia="Times New Roman" w:hAnsi="Cambria" w:cs="Times New Roman"/>
          <w:color w:val="000000"/>
        </w:rPr>
      </w:pPr>
      <w:r w:rsidRPr="009A0DA6">
        <w:rPr>
          <w:rFonts w:ascii="Cambria" w:eastAsia="Times New Roman" w:hAnsi="Cambria" w:cs="Times New Roman"/>
          <w:color w:val="000000"/>
        </w:rPr>
        <w:tab/>
        <w:t>The Congregation may resolve to amend, alter, add to or repeal its Constitution, including changing the name of the Congregation, except as hereinafter provided in the following clause 13.</w:t>
      </w:r>
      <w:r w:rsidRPr="009A0DA6">
        <w:rPr>
          <w:rFonts w:ascii="Cambria" w:eastAsia="Times New Roman" w:hAnsi="Cambria" w:cs="Times New Roman"/>
          <w:strike/>
          <w:color w:val="000000"/>
        </w:rPr>
        <w:t>5</w:t>
      </w:r>
      <w:r w:rsidRPr="009A0DA6">
        <w:rPr>
          <w:rFonts w:ascii="Cambria" w:eastAsia="Times New Roman" w:hAnsi="Cambria" w:cs="Times New Roman"/>
          <w:b/>
          <w:color w:val="000000"/>
        </w:rPr>
        <w:t>4</w:t>
      </w:r>
      <w:r w:rsidRPr="009A0DA6">
        <w:rPr>
          <w:rFonts w:ascii="Cambria" w:eastAsia="Times New Roman" w:hAnsi="Cambria" w:cs="Times New Roman"/>
          <w:color w:val="000000"/>
        </w:rPr>
        <w:t xml:space="preserve"> and subject to the preceding clause 3.1.4</w:t>
      </w:r>
      <w:r w:rsidRPr="009A0DA6">
        <w:rPr>
          <w:rFonts w:ascii="Cambria" w:eastAsia="Times New Roman" w:hAnsi="Cambria" w:cs="Times New Roman"/>
          <w:strike/>
          <w:color w:val="000000"/>
        </w:rPr>
        <w:t>;  or</w:t>
      </w:r>
    </w:p>
    <w:p w14:paraId="507DE914" w14:textId="77777777" w:rsidR="005139CD" w:rsidRPr="009A0DA6" w:rsidRDefault="005139CD" w:rsidP="005139CD">
      <w:pPr>
        <w:tabs>
          <w:tab w:val="left" w:pos="567"/>
          <w:tab w:val="left" w:pos="1418"/>
          <w:tab w:val="left" w:pos="2552"/>
          <w:tab w:val="left" w:pos="3544"/>
          <w:tab w:val="left" w:pos="4536"/>
        </w:tabs>
        <w:spacing w:after="0" w:line="240" w:lineRule="auto"/>
        <w:ind w:left="1418" w:hanging="1418"/>
        <w:rPr>
          <w:rFonts w:ascii="Cambria" w:eastAsia="Times New Roman" w:hAnsi="Cambria" w:cs="Times New Roman"/>
          <w:strike/>
          <w:color w:val="000000"/>
        </w:rPr>
      </w:pPr>
      <w:r w:rsidRPr="009A0DA6">
        <w:rPr>
          <w:rFonts w:ascii="Cambria" w:eastAsia="Times New Roman" w:hAnsi="Cambria" w:cs="Times New Roman"/>
          <w:strike/>
          <w:color w:val="000000"/>
        </w:rPr>
        <w:tab/>
        <w:t>13.1.2</w:t>
      </w:r>
      <w:r w:rsidRPr="009A0DA6">
        <w:rPr>
          <w:rFonts w:ascii="Cambria" w:eastAsia="Times New Roman" w:hAnsi="Cambria" w:cs="Times New Roman"/>
          <w:strike/>
          <w:color w:val="000000"/>
        </w:rPr>
        <w:tab/>
        <w:t>to approve the terms of an amalgamation with one or more other incorporated associations;  or</w:t>
      </w:r>
    </w:p>
    <w:p w14:paraId="096373D8" w14:textId="77777777" w:rsidR="005139CD" w:rsidRPr="009A0DA6" w:rsidRDefault="005139CD" w:rsidP="005139CD">
      <w:pPr>
        <w:tabs>
          <w:tab w:val="left" w:pos="567"/>
          <w:tab w:val="left" w:pos="1418"/>
          <w:tab w:val="left" w:pos="2552"/>
          <w:tab w:val="left" w:pos="3544"/>
          <w:tab w:val="left" w:pos="4536"/>
        </w:tabs>
        <w:spacing w:after="0" w:line="240" w:lineRule="auto"/>
        <w:ind w:left="1418" w:hanging="1418"/>
        <w:rPr>
          <w:rFonts w:ascii="Cambria" w:eastAsia="Times New Roman" w:hAnsi="Cambria" w:cs="Times New Roman"/>
          <w:strike/>
          <w:color w:val="000000"/>
        </w:rPr>
      </w:pPr>
      <w:r w:rsidRPr="009A0DA6">
        <w:rPr>
          <w:rFonts w:ascii="Cambria" w:eastAsia="Times New Roman" w:hAnsi="Cambria" w:cs="Times New Roman"/>
          <w:strike/>
          <w:color w:val="000000"/>
        </w:rPr>
        <w:tab/>
        <w:t>13.1.3</w:t>
      </w:r>
      <w:r w:rsidRPr="009A0DA6">
        <w:rPr>
          <w:rFonts w:ascii="Cambria" w:eastAsia="Times New Roman" w:hAnsi="Cambria" w:cs="Times New Roman"/>
          <w:strike/>
          <w:color w:val="000000"/>
        </w:rPr>
        <w:tab/>
        <w:t>to be wound up voluntarily;  or</w:t>
      </w:r>
    </w:p>
    <w:p w14:paraId="475FD533" w14:textId="77777777" w:rsidR="005139CD" w:rsidRPr="009A0DA6" w:rsidRDefault="005139CD" w:rsidP="005139CD">
      <w:pPr>
        <w:tabs>
          <w:tab w:val="left" w:pos="567"/>
          <w:tab w:val="left" w:pos="1418"/>
          <w:tab w:val="left" w:pos="2552"/>
          <w:tab w:val="left" w:pos="3544"/>
          <w:tab w:val="left" w:pos="4536"/>
        </w:tabs>
        <w:spacing w:after="0" w:line="240" w:lineRule="auto"/>
        <w:ind w:left="1418" w:hanging="1418"/>
        <w:rPr>
          <w:rFonts w:ascii="Cambria" w:eastAsia="Times New Roman" w:hAnsi="Cambria" w:cs="Times New Roman"/>
          <w:color w:val="000000"/>
          <w:sz w:val="10"/>
        </w:rPr>
      </w:pPr>
      <w:r w:rsidRPr="009A0DA6">
        <w:rPr>
          <w:rFonts w:ascii="Cambria" w:eastAsia="Times New Roman" w:hAnsi="Cambria" w:cs="Times New Roman"/>
          <w:strike/>
          <w:color w:val="000000"/>
        </w:rPr>
        <w:tab/>
        <w:t>13.1.4</w:t>
      </w:r>
      <w:r w:rsidRPr="009A0DA6">
        <w:rPr>
          <w:rFonts w:ascii="Cambria" w:eastAsia="Times New Roman" w:hAnsi="Cambria" w:cs="Times New Roman"/>
          <w:strike/>
          <w:color w:val="000000"/>
        </w:rPr>
        <w:tab/>
        <w:t>to cancel its incorporation.</w:t>
      </w:r>
      <w:r w:rsidR="004B29FF" w:rsidRPr="009A0DA6">
        <w:rPr>
          <w:rFonts w:ascii="Cambria" w:eastAsia="Times New Roman" w:hAnsi="Cambria" w:cs="Times New Roman"/>
          <w:strike/>
          <w:color w:val="000000"/>
        </w:rPr>
        <w:br/>
      </w:r>
    </w:p>
    <w:p w14:paraId="4282D40D" w14:textId="77777777" w:rsidR="005139CD" w:rsidRPr="009A0DA6" w:rsidRDefault="005139CD" w:rsidP="004B29FF">
      <w:pPr>
        <w:tabs>
          <w:tab w:val="left" w:pos="567"/>
          <w:tab w:val="left" w:pos="1560"/>
          <w:tab w:val="left" w:pos="2552"/>
          <w:tab w:val="left" w:pos="3544"/>
          <w:tab w:val="left" w:pos="4536"/>
        </w:tabs>
        <w:spacing w:after="0" w:line="240" w:lineRule="auto"/>
        <w:ind w:left="709" w:hanging="709"/>
        <w:rPr>
          <w:rFonts w:ascii="Cambria" w:eastAsia="Times New Roman" w:hAnsi="Cambria" w:cs="Times New Roman"/>
          <w:strike/>
          <w:color w:val="000000"/>
          <w:sz w:val="10"/>
        </w:rPr>
      </w:pPr>
      <w:r w:rsidRPr="009A0DA6">
        <w:rPr>
          <w:rFonts w:ascii="Cambria" w:eastAsia="Times New Roman" w:hAnsi="Cambria" w:cs="Times New Roman"/>
          <w:strike/>
          <w:color w:val="000000"/>
        </w:rPr>
        <w:t>13.2</w:t>
      </w:r>
      <w:r w:rsidRPr="009A0DA6">
        <w:rPr>
          <w:rFonts w:ascii="Cambria" w:eastAsia="Times New Roman" w:hAnsi="Cambria" w:cs="Times New Roman"/>
          <w:strike/>
          <w:color w:val="000000"/>
        </w:rPr>
        <w:tab/>
        <w:t>A special resolution is only passed if it is passed</w:t>
      </w:r>
      <w:r w:rsidR="004B29FF" w:rsidRPr="009A0DA6">
        <w:rPr>
          <w:rFonts w:ascii="Cambria" w:eastAsia="Times New Roman" w:hAnsi="Cambria" w:cs="Times New Roman"/>
          <w:strike/>
          <w:color w:val="000000"/>
        </w:rPr>
        <w:br/>
      </w:r>
    </w:p>
    <w:p w14:paraId="300DDE5A" w14:textId="77777777" w:rsidR="005139CD" w:rsidRPr="009A0DA6" w:rsidRDefault="005139CD" w:rsidP="004B29FF">
      <w:pPr>
        <w:tabs>
          <w:tab w:val="left" w:pos="567"/>
          <w:tab w:val="left" w:pos="1418"/>
          <w:tab w:val="left" w:pos="2552"/>
          <w:tab w:val="left" w:pos="3544"/>
          <w:tab w:val="left" w:pos="4536"/>
        </w:tabs>
        <w:spacing w:after="0" w:line="240" w:lineRule="auto"/>
        <w:rPr>
          <w:rFonts w:ascii="Cambria" w:eastAsia="Times New Roman" w:hAnsi="Cambria" w:cs="Times New Roman"/>
          <w:strike/>
          <w:color w:val="000000"/>
        </w:rPr>
      </w:pPr>
      <w:r w:rsidRPr="009A0DA6">
        <w:rPr>
          <w:rFonts w:ascii="Cambria" w:eastAsia="Times New Roman" w:hAnsi="Cambria" w:cs="Times New Roman"/>
          <w:strike/>
          <w:color w:val="000000"/>
        </w:rPr>
        <w:tab/>
        <w:t>13.2.1</w:t>
      </w:r>
      <w:r w:rsidRPr="009A0DA6">
        <w:rPr>
          <w:rFonts w:ascii="Cambria" w:eastAsia="Times New Roman" w:hAnsi="Cambria" w:cs="Times New Roman"/>
          <w:strike/>
          <w:color w:val="000000"/>
        </w:rPr>
        <w:tab/>
        <w:t>after having been given as a written notice to all voting members;</w:t>
      </w:r>
    </w:p>
    <w:p w14:paraId="1F17DE31" w14:textId="77777777" w:rsidR="005139CD" w:rsidRPr="009A0DA6" w:rsidRDefault="005139CD" w:rsidP="004B29FF">
      <w:pPr>
        <w:tabs>
          <w:tab w:val="left" w:pos="567"/>
          <w:tab w:val="left" w:pos="1418"/>
          <w:tab w:val="left" w:pos="2552"/>
          <w:tab w:val="left" w:pos="3544"/>
          <w:tab w:val="left" w:pos="4536"/>
        </w:tabs>
        <w:spacing w:after="0" w:line="240" w:lineRule="auto"/>
        <w:rPr>
          <w:rFonts w:ascii="Cambria" w:eastAsia="Times New Roman" w:hAnsi="Cambria" w:cs="Times New Roman"/>
          <w:strike/>
          <w:color w:val="000000"/>
        </w:rPr>
      </w:pPr>
      <w:r w:rsidRPr="009A0DA6">
        <w:rPr>
          <w:rFonts w:ascii="Cambria" w:eastAsia="Times New Roman" w:hAnsi="Cambria" w:cs="Times New Roman"/>
          <w:strike/>
          <w:color w:val="000000"/>
        </w:rPr>
        <w:tab/>
        <w:t>13.2.2</w:t>
      </w:r>
      <w:r w:rsidRPr="009A0DA6">
        <w:rPr>
          <w:rFonts w:ascii="Cambria" w:eastAsia="Times New Roman" w:hAnsi="Cambria" w:cs="Times New Roman"/>
          <w:strike/>
          <w:color w:val="000000"/>
        </w:rPr>
        <w:tab/>
        <w:t>at a general meeting of the Congregation;</w:t>
      </w:r>
    </w:p>
    <w:p w14:paraId="71B3B9D1" w14:textId="77777777" w:rsidR="005139CD" w:rsidRPr="009A0DA6" w:rsidRDefault="005139CD" w:rsidP="004B29FF">
      <w:pPr>
        <w:tabs>
          <w:tab w:val="left" w:pos="567"/>
          <w:tab w:val="left" w:pos="1418"/>
          <w:tab w:val="left" w:pos="2552"/>
          <w:tab w:val="left" w:pos="3544"/>
          <w:tab w:val="left" w:pos="4536"/>
        </w:tabs>
        <w:spacing w:after="0" w:line="240" w:lineRule="auto"/>
        <w:ind w:left="1418" w:hanging="1418"/>
        <w:rPr>
          <w:rFonts w:ascii="Cambria" w:eastAsia="Times New Roman" w:hAnsi="Cambria" w:cs="Times New Roman"/>
          <w:strike/>
          <w:color w:val="000000"/>
        </w:rPr>
      </w:pPr>
      <w:r w:rsidRPr="009A0DA6">
        <w:rPr>
          <w:rFonts w:ascii="Cambria" w:eastAsia="Times New Roman" w:hAnsi="Cambria" w:cs="Times New Roman"/>
          <w:strike/>
          <w:color w:val="000000"/>
        </w:rPr>
        <w:tab/>
        <w:t>13.2.3</w:t>
      </w:r>
      <w:r w:rsidRPr="009A0DA6">
        <w:rPr>
          <w:rFonts w:ascii="Cambria" w:eastAsia="Times New Roman" w:hAnsi="Cambria" w:cs="Times New Roman"/>
          <w:strike/>
          <w:color w:val="000000"/>
        </w:rPr>
        <w:tab/>
        <w:t>by the votes of not less than three-quarters [3/4] of the voting members of the Congregation who cast a vote at the meeting;  and</w:t>
      </w:r>
    </w:p>
    <w:p w14:paraId="16EC73B9" w14:textId="77777777" w:rsidR="005139CD" w:rsidRPr="009A0DA6" w:rsidRDefault="005139CD" w:rsidP="004B29FF">
      <w:pPr>
        <w:tabs>
          <w:tab w:val="left" w:pos="567"/>
          <w:tab w:val="left" w:pos="1418"/>
          <w:tab w:val="left" w:pos="2552"/>
          <w:tab w:val="left" w:pos="3544"/>
          <w:tab w:val="left" w:pos="4536"/>
        </w:tabs>
        <w:spacing w:after="0" w:line="240" w:lineRule="auto"/>
        <w:rPr>
          <w:rFonts w:ascii="Cambria" w:eastAsia="Times New Roman" w:hAnsi="Cambria" w:cs="Times New Roman"/>
          <w:strike/>
          <w:color w:val="000000"/>
          <w:sz w:val="10"/>
        </w:rPr>
      </w:pPr>
      <w:r w:rsidRPr="009A0DA6">
        <w:rPr>
          <w:rFonts w:ascii="Cambria" w:eastAsia="Times New Roman" w:hAnsi="Cambria" w:cs="Times New Roman"/>
          <w:strike/>
          <w:color w:val="000000"/>
        </w:rPr>
        <w:tab/>
        <w:t>13.2.4</w:t>
      </w:r>
      <w:r w:rsidRPr="009A0DA6">
        <w:rPr>
          <w:rFonts w:ascii="Cambria" w:eastAsia="Times New Roman" w:hAnsi="Cambria" w:cs="Times New Roman"/>
          <w:strike/>
          <w:color w:val="000000"/>
        </w:rPr>
        <w:tab/>
        <w:t>by being declared as being carried as a special resolution.</w:t>
      </w:r>
    </w:p>
    <w:p w14:paraId="08205029" w14:textId="77777777" w:rsidR="005139CD" w:rsidRPr="009A0DA6" w:rsidRDefault="005139CD" w:rsidP="00284D80">
      <w:pPr>
        <w:tabs>
          <w:tab w:val="left" w:pos="567"/>
          <w:tab w:val="left" w:pos="1559"/>
          <w:tab w:val="left" w:pos="2552"/>
          <w:tab w:val="left" w:pos="3544"/>
          <w:tab w:val="left" w:pos="4536"/>
        </w:tabs>
        <w:spacing w:after="0" w:line="240" w:lineRule="auto"/>
        <w:ind w:left="567" w:hanging="567"/>
        <w:rPr>
          <w:rFonts w:ascii="Cambria" w:eastAsia="Times New Roman" w:hAnsi="Cambria" w:cs="Times New Roman"/>
          <w:color w:val="000000"/>
        </w:rPr>
      </w:pPr>
      <w:r w:rsidRPr="009A0DA6">
        <w:rPr>
          <w:rFonts w:ascii="Cambria" w:eastAsia="Times New Roman" w:hAnsi="Cambria" w:cs="Times New Roman"/>
          <w:color w:val="000000"/>
        </w:rPr>
        <w:t>13.</w:t>
      </w:r>
      <w:r w:rsidRPr="009A0DA6">
        <w:rPr>
          <w:rFonts w:ascii="Cambria" w:eastAsia="Times New Roman" w:hAnsi="Cambria" w:cs="Times New Roman"/>
          <w:strike/>
          <w:color w:val="000000"/>
        </w:rPr>
        <w:t>3</w:t>
      </w:r>
      <w:r w:rsidRPr="009A0DA6">
        <w:rPr>
          <w:rFonts w:ascii="Cambria" w:eastAsia="Times New Roman" w:hAnsi="Cambria" w:cs="Times New Roman"/>
          <w:b/>
          <w:color w:val="000000"/>
        </w:rPr>
        <w:t>2</w:t>
      </w:r>
      <w:r w:rsidRPr="009A0DA6">
        <w:rPr>
          <w:rFonts w:ascii="Cambria" w:eastAsia="Times New Roman" w:hAnsi="Cambria" w:cs="Times New Roman"/>
          <w:color w:val="000000"/>
        </w:rPr>
        <w:tab/>
        <w:t>Notice of the proposed amendment, alteration, addition or repeal shall be presented in writing and shall be read to the Congregation at a duly called meeting of the Congregation held at least twenty one [21] days earlier or be published to the Congregation at least twenty one [21] days prior to the meeting.</w:t>
      </w:r>
    </w:p>
    <w:p w14:paraId="5AAFE11A" w14:textId="77777777" w:rsidR="005139CD" w:rsidRPr="009A0DA6" w:rsidRDefault="005139CD" w:rsidP="004B29FF">
      <w:pPr>
        <w:tabs>
          <w:tab w:val="left" w:pos="567"/>
          <w:tab w:val="left" w:pos="1559"/>
          <w:tab w:val="left" w:pos="2552"/>
          <w:tab w:val="left" w:pos="3544"/>
          <w:tab w:val="left" w:pos="4536"/>
        </w:tabs>
        <w:spacing w:after="0" w:line="240" w:lineRule="auto"/>
        <w:ind w:left="567" w:hanging="567"/>
        <w:rPr>
          <w:rFonts w:ascii="Cambria" w:eastAsia="Times New Roman" w:hAnsi="Cambria" w:cs="Times New Roman"/>
          <w:color w:val="000000"/>
        </w:rPr>
      </w:pPr>
      <w:r w:rsidRPr="009A0DA6">
        <w:rPr>
          <w:rFonts w:ascii="Cambria" w:eastAsia="Times New Roman" w:hAnsi="Cambria" w:cs="Times New Roman"/>
          <w:color w:val="000000"/>
        </w:rPr>
        <w:t>13.</w:t>
      </w:r>
      <w:r w:rsidRPr="009A0DA6">
        <w:rPr>
          <w:rFonts w:ascii="Cambria" w:eastAsia="Times New Roman" w:hAnsi="Cambria" w:cs="Times New Roman"/>
          <w:strike/>
          <w:color w:val="000000"/>
        </w:rPr>
        <w:t>4</w:t>
      </w:r>
      <w:r w:rsidRPr="009A0DA6">
        <w:rPr>
          <w:rFonts w:ascii="Cambria" w:eastAsia="Times New Roman" w:hAnsi="Cambria" w:cs="Times New Roman"/>
          <w:b/>
          <w:color w:val="000000"/>
        </w:rPr>
        <w:t>3</w:t>
      </w:r>
      <w:r w:rsidRPr="009A0DA6">
        <w:rPr>
          <w:rFonts w:ascii="Cambria" w:eastAsia="Times New Roman" w:hAnsi="Cambria" w:cs="Times New Roman"/>
          <w:color w:val="000000"/>
        </w:rPr>
        <w:tab/>
        <w:t xml:space="preserve">In addition to any other requirement of this Constitution and of the Act, the quorum for </w:t>
      </w:r>
      <w:r w:rsidRPr="009A0DA6">
        <w:rPr>
          <w:rFonts w:ascii="Cambria" w:eastAsia="Times New Roman" w:hAnsi="Cambria" w:cs="Times New Roman"/>
          <w:b/>
          <w:color w:val="000000"/>
        </w:rPr>
        <w:t>such</w:t>
      </w:r>
      <w:r w:rsidRPr="009A0DA6">
        <w:rPr>
          <w:rFonts w:ascii="Cambria" w:eastAsia="Times New Roman" w:hAnsi="Cambria" w:cs="Times New Roman"/>
          <w:color w:val="000000"/>
        </w:rPr>
        <w:t xml:space="preserve"> a meeting </w:t>
      </w:r>
      <w:r w:rsidRPr="009A0DA6">
        <w:rPr>
          <w:rFonts w:ascii="Cambria" w:eastAsia="Times New Roman" w:hAnsi="Cambria" w:cs="Times New Roman"/>
          <w:strike/>
          <w:color w:val="000000"/>
        </w:rPr>
        <w:t>held to consider a special resolution</w:t>
      </w:r>
      <w:r w:rsidRPr="009A0DA6">
        <w:rPr>
          <w:rFonts w:ascii="Cambria" w:eastAsia="Times New Roman" w:hAnsi="Cambria" w:cs="Times New Roman"/>
          <w:color w:val="000000"/>
        </w:rPr>
        <w:t xml:space="preserve"> shall be one-quarter [1/4] of the members entitled to vote and the result of such a ballot shall be recorded in the minutes.</w:t>
      </w:r>
    </w:p>
    <w:p w14:paraId="285B82BB" w14:textId="77777777" w:rsidR="005139CD" w:rsidRPr="009A0DA6" w:rsidRDefault="005139CD" w:rsidP="004B29FF">
      <w:pPr>
        <w:tabs>
          <w:tab w:val="left" w:pos="567"/>
          <w:tab w:val="left" w:pos="1559"/>
          <w:tab w:val="left" w:pos="2552"/>
          <w:tab w:val="left" w:pos="3544"/>
          <w:tab w:val="left" w:pos="4536"/>
        </w:tabs>
        <w:spacing w:after="0" w:line="240" w:lineRule="auto"/>
        <w:ind w:left="567" w:hanging="567"/>
        <w:rPr>
          <w:rFonts w:ascii="Cambria" w:eastAsia="Times New Roman" w:hAnsi="Cambria" w:cs="Times New Roman"/>
          <w:color w:val="000000"/>
        </w:rPr>
      </w:pPr>
      <w:r w:rsidRPr="009A0DA6">
        <w:rPr>
          <w:rFonts w:ascii="Cambria" w:eastAsia="Times New Roman" w:hAnsi="Cambria" w:cs="Times New Roman"/>
          <w:color w:val="000000"/>
        </w:rPr>
        <w:t>13.</w:t>
      </w:r>
      <w:r w:rsidRPr="009A0DA6">
        <w:rPr>
          <w:rFonts w:ascii="Cambria" w:eastAsia="Times New Roman" w:hAnsi="Cambria" w:cs="Times New Roman"/>
          <w:strike/>
          <w:color w:val="000000"/>
        </w:rPr>
        <w:t>5</w:t>
      </w:r>
      <w:r w:rsidRPr="009A0DA6">
        <w:rPr>
          <w:rFonts w:ascii="Cambria" w:eastAsia="Times New Roman" w:hAnsi="Cambria" w:cs="Times New Roman"/>
          <w:b/>
          <w:color w:val="000000"/>
        </w:rPr>
        <w:t>4</w:t>
      </w:r>
      <w:r w:rsidRPr="009A0DA6">
        <w:rPr>
          <w:rFonts w:ascii="Cambria" w:eastAsia="Times New Roman" w:hAnsi="Cambria" w:cs="Times New Roman"/>
          <w:color w:val="000000"/>
        </w:rPr>
        <w:tab/>
        <w:t>Notwithstanding anything else in this Constitution, Article 2. and clause 13.</w:t>
      </w:r>
      <w:r w:rsidRPr="009A0DA6">
        <w:rPr>
          <w:rFonts w:ascii="Cambria" w:eastAsia="Times New Roman" w:hAnsi="Cambria" w:cs="Times New Roman"/>
          <w:strike/>
          <w:color w:val="000000"/>
        </w:rPr>
        <w:t>5</w:t>
      </w:r>
      <w:r w:rsidRPr="009A0DA6">
        <w:rPr>
          <w:rFonts w:ascii="Cambria" w:eastAsia="Times New Roman" w:hAnsi="Cambria" w:cs="Times New Roman"/>
          <w:b/>
          <w:color w:val="000000"/>
        </w:rPr>
        <w:t>4</w:t>
      </w:r>
      <w:r w:rsidRPr="009A0DA6">
        <w:rPr>
          <w:rFonts w:ascii="Cambria" w:eastAsia="Times New Roman" w:hAnsi="Cambria" w:cs="Times New Roman"/>
          <w:color w:val="000000"/>
        </w:rPr>
        <w:t xml:space="preserve"> of this Constitution shall be considered fundamental and shall not be amended, altered, added to or repealed so as to alter their intent and meaning.</w:t>
      </w:r>
    </w:p>
    <w:p w14:paraId="59B30311" w14:textId="77777777" w:rsidR="005139CD" w:rsidRPr="009A0DA6" w:rsidRDefault="005139CD" w:rsidP="005139CD">
      <w:pPr>
        <w:shd w:val="clear" w:color="auto" w:fill="FFFFFF"/>
        <w:spacing w:after="0" w:line="240" w:lineRule="auto"/>
        <w:rPr>
          <w:rFonts w:ascii="Cambria" w:eastAsia="Times New Roman" w:hAnsi="Cambria" w:cs="Times New Roman"/>
          <w:b/>
          <w:bCs/>
          <w:color w:val="222222"/>
          <w:lang w:eastAsia="en-AU"/>
        </w:rPr>
      </w:pPr>
    </w:p>
    <w:p w14:paraId="438999CA" w14:textId="77777777" w:rsidR="005139CD" w:rsidRPr="009A0DA6" w:rsidRDefault="005139CD" w:rsidP="005139CD">
      <w:pPr>
        <w:shd w:val="clear" w:color="auto" w:fill="FFFFFF"/>
        <w:spacing w:after="0" w:line="240" w:lineRule="auto"/>
        <w:rPr>
          <w:rFonts w:ascii="Cambria" w:eastAsia="Times New Roman" w:hAnsi="Cambria" w:cs="Times New Roman"/>
          <w:bCs/>
          <w:color w:val="222222"/>
          <w:lang w:eastAsia="en-AU"/>
        </w:rPr>
      </w:pPr>
      <w:r w:rsidRPr="009A0DA6">
        <w:rPr>
          <w:rFonts w:ascii="Cambria" w:eastAsia="Times New Roman" w:hAnsi="Cambria" w:cs="Times New Roman"/>
          <w:b/>
          <w:bCs/>
          <w:color w:val="222222"/>
          <w:lang w:eastAsia="en-AU"/>
        </w:rPr>
        <w:t xml:space="preserve">BE  IT  FURTHER  RESOLVED  </w:t>
      </w:r>
      <w:r w:rsidRPr="009A0DA6">
        <w:rPr>
          <w:rFonts w:ascii="Cambria" w:eastAsia="Times New Roman" w:hAnsi="Cambria" w:cs="Times New Roman"/>
          <w:bCs/>
          <w:color w:val="222222"/>
          <w:lang w:eastAsia="en-AU"/>
        </w:rPr>
        <w:t xml:space="preserve">that </w:t>
      </w:r>
      <w:r w:rsidRPr="009A0DA6">
        <w:rPr>
          <w:rFonts w:ascii="Cambria" w:eastAsia="Times New Roman" w:hAnsi="Cambria" w:cs="Times New Roman"/>
          <w:b/>
          <w:bCs/>
          <w:color w:val="222222"/>
          <w:lang w:eastAsia="en-AU"/>
        </w:rPr>
        <w:t>Article 13 Alterations to the Constitution and Matters requiring a Special Resolution</w:t>
      </w:r>
      <w:r w:rsidRPr="009A0DA6">
        <w:rPr>
          <w:rFonts w:ascii="Cambria" w:eastAsia="Times New Roman" w:hAnsi="Cambria" w:cs="Times New Roman"/>
          <w:bCs/>
          <w:color w:val="222222"/>
          <w:lang w:eastAsia="en-AU"/>
        </w:rPr>
        <w:t xml:space="preserve"> of the Model Constitution for a Parish be amended as follows (words to be deleted – </w:t>
      </w:r>
      <w:r w:rsidRPr="009A0DA6">
        <w:rPr>
          <w:rFonts w:ascii="Cambria" w:eastAsia="Times New Roman" w:hAnsi="Cambria" w:cs="Times New Roman"/>
          <w:bCs/>
          <w:strike/>
          <w:color w:val="222222"/>
          <w:lang w:eastAsia="en-AU"/>
        </w:rPr>
        <w:t>strikethrough</w:t>
      </w:r>
      <w:r w:rsidRPr="009A0DA6">
        <w:rPr>
          <w:rFonts w:ascii="Cambria" w:eastAsia="Times New Roman" w:hAnsi="Cambria" w:cs="Times New Roman"/>
          <w:bCs/>
          <w:color w:val="222222"/>
          <w:lang w:eastAsia="en-AU"/>
        </w:rPr>
        <w:t xml:space="preserve">;  words to be added – </w:t>
      </w:r>
      <w:r w:rsidRPr="009A0DA6">
        <w:rPr>
          <w:rFonts w:ascii="Cambria" w:eastAsia="Times New Roman" w:hAnsi="Cambria" w:cs="Times New Roman"/>
          <w:b/>
          <w:bCs/>
          <w:color w:val="222222"/>
          <w:lang w:eastAsia="en-AU"/>
        </w:rPr>
        <w:t>bold</w:t>
      </w:r>
      <w:r w:rsidRPr="009A0DA6">
        <w:rPr>
          <w:rFonts w:ascii="Cambria" w:eastAsia="Times New Roman" w:hAnsi="Cambria" w:cs="Times New Roman"/>
          <w:bCs/>
          <w:color w:val="222222"/>
          <w:lang w:eastAsia="en-AU"/>
        </w:rPr>
        <w:t>):</w:t>
      </w:r>
    </w:p>
    <w:p w14:paraId="10DDA278" w14:textId="77777777" w:rsidR="004B29FF" w:rsidRPr="009A0DA6" w:rsidRDefault="004B29FF" w:rsidP="005139CD">
      <w:pPr>
        <w:tabs>
          <w:tab w:val="left" w:pos="709"/>
          <w:tab w:val="left" w:pos="1559"/>
          <w:tab w:val="left" w:pos="2552"/>
          <w:tab w:val="left" w:pos="3544"/>
          <w:tab w:val="left" w:pos="4536"/>
        </w:tabs>
        <w:spacing w:after="0" w:line="240" w:lineRule="auto"/>
        <w:jc w:val="center"/>
        <w:rPr>
          <w:rFonts w:ascii="Cambria" w:eastAsia="Times New Roman" w:hAnsi="Cambria" w:cs="Times New Roman"/>
          <w:b/>
        </w:rPr>
      </w:pPr>
    </w:p>
    <w:p w14:paraId="3E4C1A8A" w14:textId="38202362" w:rsidR="004B29FF" w:rsidRPr="004A186C" w:rsidRDefault="005139CD" w:rsidP="004A186C">
      <w:pPr>
        <w:tabs>
          <w:tab w:val="left" w:pos="709"/>
          <w:tab w:val="left" w:pos="1559"/>
          <w:tab w:val="left" w:pos="2552"/>
          <w:tab w:val="left" w:pos="3544"/>
          <w:tab w:val="left" w:pos="4536"/>
        </w:tabs>
        <w:spacing w:after="0" w:line="240" w:lineRule="auto"/>
        <w:jc w:val="center"/>
        <w:rPr>
          <w:rFonts w:ascii="Cambria" w:eastAsia="Times New Roman" w:hAnsi="Cambria" w:cs="Times New Roman"/>
          <w:b/>
          <w:strike/>
          <w:color w:val="000000"/>
        </w:rPr>
      </w:pPr>
      <w:r w:rsidRPr="009A0DA6">
        <w:rPr>
          <w:rFonts w:ascii="Cambria" w:eastAsia="Times New Roman" w:hAnsi="Cambria" w:cs="Times New Roman"/>
          <w:b/>
        </w:rPr>
        <w:t>ARTICLE  13</w:t>
      </w:r>
      <w:r w:rsidR="0027799A" w:rsidRPr="009A0DA6">
        <w:rPr>
          <w:rFonts w:ascii="Cambria" w:eastAsia="Times New Roman" w:hAnsi="Cambria" w:cs="Times New Roman"/>
          <w:b/>
        </w:rPr>
        <w:t xml:space="preserve">. </w:t>
      </w:r>
      <w:r w:rsidRPr="009A0DA6">
        <w:rPr>
          <w:rFonts w:ascii="Cambria" w:eastAsia="Times New Roman" w:hAnsi="Cambria" w:cs="Times New Roman"/>
          <w:b/>
        </w:rPr>
        <w:t xml:space="preserve"> ALTERATIONS  TO  THE  CONSTITUTION </w:t>
      </w:r>
      <w:r w:rsidRPr="009A0DA6">
        <w:rPr>
          <w:rFonts w:ascii="Cambria" w:eastAsia="Times New Roman" w:hAnsi="Cambria" w:cs="Times New Roman"/>
          <w:b/>
          <w:color w:val="000000"/>
        </w:rPr>
        <w:t xml:space="preserve"> </w:t>
      </w:r>
      <w:r w:rsidRPr="009A0DA6">
        <w:rPr>
          <w:rFonts w:ascii="Cambria" w:eastAsia="Times New Roman" w:hAnsi="Cambria" w:cs="Times New Roman"/>
          <w:b/>
          <w:strike/>
          <w:color w:val="000000"/>
        </w:rPr>
        <w:t>AND  MATTERS  REQUIRING  A</w:t>
      </w:r>
      <w:r w:rsidR="004A186C">
        <w:rPr>
          <w:rFonts w:ascii="Cambria" w:eastAsia="Times New Roman" w:hAnsi="Cambria" w:cs="Times New Roman"/>
          <w:b/>
          <w:strike/>
          <w:color w:val="000000"/>
        </w:rPr>
        <w:t xml:space="preserve">  SPECIAL  RESOLUTION</w:t>
      </w:r>
    </w:p>
    <w:p w14:paraId="08A308A9" w14:textId="77777777" w:rsidR="004B29FF" w:rsidRPr="009A0DA6" w:rsidRDefault="005139CD" w:rsidP="00284D80">
      <w:pPr>
        <w:tabs>
          <w:tab w:val="left" w:pos="567"/>
          <w:tab w:val="left" w:pos="1559"/>
          <w:tab w:val="left" w:pos="2552"/>
          <w:tab w:val="left" w:pos="3544"/>
          <w:tab w:val="left" w:pos="4536"/>
        </w:tabs>
        <w:spacing w:after="0" w:line="240" w:lineRule="auto"/>
        <w:ind w:left="567" w:hanging="567"/>
        <w:rPr>
          <w:rFonts w:ascii="Cambria" w:eastAsia="Times New Roman" w:hAnsi="Cambria" w:cs="Times New Roman"/>
          <w:strike/>
          <w:color w:val="000000"/>
        </w:rPr>
      </w:pPr>
      <w:r w:rsidRPr="009A0DA6">
        <w:rPr>
          <w:rFonts w:ascii="Cambria" w:eastAsia="Times New Roman" w:hAnsi="Cambria" w:cs="Times New Roman"/>
          <w:color w:val="000000"/>
        </w:rPr>
        <w:t>13.1</w:t>
      </w:r>
      <w:r w:rsidRPr="009A0DA6">
        <w:rPr>
          <w:rFonts w:ascii="Cambria" w:eastAsia="Times New Roman" w:hAnsi="Cambria" w:cs="Times New Roman"/>
          <w:color w:val="000000"/>
        </w:rPr>
        <w:tab/>
      </w:r>
      <w:r w:rsidRPr="009A0DA6">
        <w:rPr>
          <w:rFonts w:ascii="Cambria" w:eastAsia="Times New Roman" w:hAnsi="Cambria" w:cs="Times New Roman"/>
          <w:strike/>
          <w:color w:val="000000"/>
        </w:rPr>
        <w:t>A special resolution is required if it is proposed that the Parish do any of the following:</w:t>
      </w:r>
    </w:p>
    <w:p w14:paraId="718FFDC7" w14:textId="77777777" w:rsidR="005139CD" w:rsidRPr="009A0DA6" w:rsidRDefault="005139CD" w:rsidP="004B29FF">
      <w:pPr>
        <w:tabs>
          <w:tab w:val="left" w:pos="567"/>
          <w:tab w:val="left" w:pos="1418"/>
          <w:tab w:val="left" w:pos="2552"/>
          <w:tab w:val="left" w:pos="3544"/>
          <w:tab w:val="left" w:pos="4536"/>
        </w:tabs>
        <w:spacing w:after="0" w:line="240" w:lineRule="auto"/>
        <w:ind w:left="1418" w:hanging="1418"/>
        <w:rPr>
          <w:rFonts w:ascii="Cambria" w:eastAsia="Times New Roman" w:hAnsi="Cambria" w:cs="Times New Roman"/>
          <w:strike/>
          <w:color w:val="000000"/>
        </w:rPr>
      </w:pPr>
      <w:r w:rsidRPr="009A0DA6">
        <w:rPr>
          <w:rFonts w:ascii="Cambria" w:eastAsia="Times New Roman" w:hAnsi="Cambria" w:cs="Times New Roman"/>
          <w:strike/>
          <w:color w:val="000000"/>
        </w:rPr>
        <w:tab/>
        <w:t>13.1.1</w:t>
      </w:r>
      <w:r w:rsidRPr="009A0DA6">
        <w:rPr>
          <w:rFonts w:ascii="Cambria" w:eastAsia="Times New Roman" w:hAnsi="Cambria" w:cs="Times New Roman"/>
          <w:strike/>
          <w:color w:val="000000"/>
        </w:rPr>
        <w:tab/>
        <w:t>to amend, alter, add to or repeal its Constitution, including changing the name of the Parish, except as hereinafter provided in the following clause 13.5 and subject to the preceding clause 3.1.4;  or</w:t>
      </w:r>
    </w:p>
    <w:p w14:paraId="3C07B8F3" w14:textId="77777777" w:rsidR="005139CD" w:rsidRPr="009A0DA6" w:rsidRDefault="005139CD" w:rsidP="004B29FF">
      <w:pPr>
        <w:tabs>
          <w:tab w:val="left" w:pos="567"/>
          <w:tab w:val="left" w:pos="1560"/>
          <w:tab w:val="left" w:pos="2552"/>
          <w:tab w:val="left" w:pos="3544"/>
          <w:tab w:val="left" w:pos="4536"/>
        </w:tabs>
        <w:spacing w:after="0" w:line="240" w:lineRule="auto"/>
        <w:ind w:left="567" w:hanging="567"/>
        <w:rPr>
          <w:rFonts w:ascii="Cambria" w:eastAsia="Times New Roman" w:hAnsi="Cambria" w:cs="Times New Roman"/>
          <w:color w:val="000000"/>
        </w:rPr>
      </w:pPr>
      <w:r w:rsidRPr="009A0DA6">
        <w:rPr>
          <w:rFonts w:ascii="Cambria" w:eastAsia="Times New Roman" w:hAnsi="Cambria" w:cs="Times New Roman"/>
          <w:color w:val="000000"/>
        </w:rPr>
        <w:tab/>
        <w:t>The Parish may resolve to amend, alter, add to or repeal its Constitution, including changing the name of the Parish, except as hereinafter provided in the following clause 13.</w:t>
      </w:r>
      <w:r w:rsidRPr="009A0DA6">
        <w:rPr>
          <w:rFonts w:ascii="Cambria" w:eastAsia="Times New Roman" w:hAnsi="Cambria" w:cs="Times New Roman"/>
          <w:strike/>
          <w:color w:val="000000"/>
        </w:rPr>
        <w:t>5</w:t>
      </w:r>
      <w:r w:rsidRPr="009A0DA6">
        <w:rPr>
          <w:rFonts w:ascii="Cambria" w:eastAsia="Times New Roman" w:hAnsi="Cambria" w:cs="Times New Roman"/>
          <w:b/>
          <w:color w:val="000000"/>
        </w:rPr>
        <w:t>4</w:t>
      </w:r>
      <w:r w:rsidRPr="009A0DA6">
        <w:rPr>
          <w:rFonts w:ascii="Cambria" w:eastAsia="Times New Roman" w:hAnsi="Cambria" w:cs="Times New Roman"/>
          <w:color w:val="000000"/>
        </w:rPr>
        <w:t xml:space="preserve"> and subject to the preceding clause 3.1.4</w:t>
      </w:r>
      <w:r w:rsidRPr="009A0DA6">
        <w:rPr>
          <w:rFonts w:ascii="Cambria" w:eastAsia="Times New Roman" w:hAnsi="Cambria" w:cs="Times New Roman"/>
          <w:strike/>
          <w:color w:val="000000"/>
        </w:rPr>
        <w:t>;  or</w:t>
      </w:r>
    </w:p>
    <w:p w14:paraId="0F4F0D49" w14:textId="77777777" w:rsidR="005139CD" w:rsidRPr="009A0DA6" w:rsidRDefault="005139CD" w:rsidP="004B29FF">
      <w:pPr>
        <w:tabs>
          <w:tab w:val="left" w:pos="567"/>
          <w:tab w:val="left" w:pos="1418"/>
          <w:tab w:val="left" w:pos="2552"/>
          <w:tab w:val="left" w:pos="3544"/>
          <w:tab w:val="left" w:pos="4536"/>
        </w:tabs>
        <w:spacing w:after="0" w:line="240" w:lineRule="auto"/>
        <w:ind w:left="1418" w:hanging="1418"/>
        <w:rPr>
          <w:rFonts w:ascii="Cambria" w:eastAsia="Times New Roman" w:hAnsi="Cambria" w:cs="Times New Roman"/>
          <w:strike/>
          <w:color w:val="000000"/>
        </w:rPr>
      </w:pPr>
      <w:r w:rsidRPr="009A0DA6">
        <w:rPr>
          <w:rFonts w:ascii="Cambria" w:eastAsia="Times New Roman" w:hAnsi="Cambria" w:cs="Times New Roman"/>
          <w:strike/>
          <w:color w:val="000000"/>
        </w:rPr>
        <w:tab/>
        <w:t>13.1.2</w:t>
      </w:r>
      <w:r w:rsidRPr="009A0DA6">
        <w:rPr>
          <w:rFonts w:ascii="Cambria" w:eastAsia="Times New Roman" w:hAnsi="Cambria" w:cs="Times New Roman"/>
          <w:strike/>
          <w:color w:val="000000"/>
        </w:rPr>
        <w:tab/>
        <w:t>to approve the terms of an amalgamation with one or more other incorporated associations;  or</w:t>
      </w:r>
    </w:p>
    <w:p w14:paraId="66BD562D" w14:textId="77777777" w:rsidR="005139CD" w:rsidRPr="009A0DA6" w:rsidRDefault="005139CD" w:rsidP="004B29FF">
      <w:pPr>
        <w:tabs>
          <w:tab w:val="left" w:pos="567"/>
          <w:tab w:val="left" w:pos="1418"/>
          <w:tab w:val="left" w:pos="2552"/>
          <w:tab w:val="left" w:pos="3544"/>
          <w:tab w:val="left" w:pos="4536"/>
        </w:tabs>
        <w:spacing w:after="0" w:line="240" w:lineRule="auto"/>
        <w:ind w:left="1418" w:hanging="1418"/>
        <w:rPr>
          <w:rFonts w:ascii="Cambria" w:eastAsia="Times New Roman" w:hAnsi="Cambria" w:cs="Times New Roman"/>
          <w:strike/>
          <w:color w:val="000000"/>
        </w:rPr>
      </w:pPr>
      <w:r w:rsidRPr="009A0DA6">
        <w:rPr>
          <w:rFonts w:ascii="Cambria" w:eastAsia="Times New Roman" w:hAnsi="Cambria" w:cs="Times New Roman"/>
          <w:strike/>
          <w:color w:val="000000"/>
        </w:rPr>
        <w:tab/>
        <w:t>13.1.3</w:t>
      </w:r>
      <w:r w:rsidRPr="009A0DA6">
        <w:rPr>
          <w:rFonts w:ascii="Cambria" w:eastAsia="Times New Roman" w:hAnsi="Cambria" w:cs="Times New Roman"/>
          <w:strike/>
          <w:color w:val="000000"/>
        </w:rPr>
        <w:tab/>
        <w:t>to be wound up voluntarily;  or</w:t>
      </w:r>
    </w:p>
    <w:p w14:paraId="089FE015" w14:textId="77777777" w:rsidR="004B29FF" w:rsidRPr="009A0DA6" w:rsidRDefault="005139CD" w:rsidP="00284D80">
      <w:pPr>
        <w:tabs>
          <w:tab w:val="left" w:pos="567"/>
          <w:tab w:val="left" w:pos="1418"/>
          <w:tab w:val="left" w:pos="2552"/>
          <w:tab w:val="left" w:pos="3544"/>
          <w:tab w:val="left" w:pos="4536"/>
        </w:tabs>
        <w:spacing w:after="0" w:line="240" w:lineRule="auto"/>
        <w:ind w:left="1418" w:hanging="1418"/>
        <w:rPr>
          <w:rFonts w:ascii="Cambria" w:eastAsia="Times New Roman" w:hAnsi="Cambria" w:cs="Times New Roman"/>
          <w:color w:val="000000"/>
        </w:rPr>
      </w:pPr>
      <w:r w:rsidRPr="009A0DA6">
        <w:rPr>
          <w:rFonts w:ascii="Cambria" w:eastAsia="Times New Roman" w:hAnsi="Cambria" w:cs="Times New Roman"/>
          <w:strike/>
          <w:color w:val="000000"/>
        </w:rPr>
        <w:tab/>
        <w:t>13.1.4</w:t>
      </w:r>
      <w:r w:rsidRPr="009A0DA6">
        <w:rPr>
          <w:rFonts w:ascii="Cambria" w:eastAsia="Times New Roman" w:hAnsi="Cambria" w:cs="Times New Roman"/>
          <w:strike/>
          <w:color w:val="000000"/>
        </w:rPr>
        <w:tab/>
        <w:t>to cancel its incorporation.</w:t>
      </w:r>
    </w:p>
    <w:p w14:paraId="78643009" w14:textId="77777777" w:rsidR="005139CD" w:rsidRPr="009A0DA6" w:rsidRDefault="005139CD" w:rsidP="004B29FF">
      <w:pPr>
        <w:tabs>
          <w:tab w:val="left" w:pos="567"/>
          <w:tab w:val="left" w:pos="1560"/>
          <w:tab w:val="left" w:pos="2552"/>
          <w:tab w:val="left" w:pos="3544"/>
          <w:tab w:val="left" w:pos="4536"/>
        </w:tabs>
        <w:spacing w:after="0" w:line="240" w:lineRule="auto"/>
        <w:ind w:left="709" w:hanging="709"/>
        <w:rPr>
          <w:rFonts w:ascii="Cambria" w:eastAsia="Times New Roman" w:hAnsi="Cambria" w:cs="Times New Roman"/>
          <w:strike/>
          <w:color w:val="000000"/>
        </w:rPr>
      </w:pPr>
      <w:r w:rsidRPr="009A0DA6">
        <w:rPr>
          <w:rFonts w:ascii="Cambria" w:eastAsia="Times New Roman" w:hAnsi="Cambria" w:cs="Times New Roman"/>
          <w:strike/>
          <w:color w:val="000000"/>
        </w:rPr>
        <w:t>13.2</w:t>
      </w:r>
      <w:r w:rsidRPr="009A0DA6">
        <w:rPr>
          <w:rFonts w:ascii="Cambria" w:eastAsia="Times New Roman" w:hAnsi="Cambria" w:cs="Times New Roman"/>
          <w:strike/>
          <w:color w:val="000000"/>
        </w:rPr>
        <w:tab/>
        <w:t>A special resolution is only passed if it is passed</w:t>
      </w:r>
    </w:p>
    <w:p w14:paraId="3693C221" w14:textId="77777777" w:rsidR="005139CD" w:rsidRPr="009A0DA6" w:rsidRDefault="005139CD" w:rsidP="004B29FF">
      <w:pPr>
        <w:tabs>
          <w:tab w:val="left" w:pos="567"/>
          <w:tab w:val="left" w:pos="1418"/>
          <w:tab w:val="left" w:pos="2552"/>
          <w:tab w:val="left" w:pos="3544"/>
          <w:tab w:val="left" w:pos="4536"/>
        </w:tabs>
        <w:spacing w:after="0" w:line="240" w:lineRule="auto"/>
        <w:ind w:left="1418" w:hanging="1418"/>
        <w:rPr>
          <w:rFonts w:ascii="Cambria" w:eastAsia="Times New Roman" w:hAnsi="Cambria" w:cs="Times New Roman"/>
          <w:strike/>
          <w:color w:val="000000"/>
        </w:rPr>
      </w:pPr>
      <w:r w:rsidRPr="009A0DA6">
        <w:rPr>
          <w:rFonts w:ascii="Cambria" w:eastAsia="Times New Roman" w:hAnsi="Cambria" w:cs="Times New Roman"/>
          <w:strike/>
          <w:color w:val="000000"/>
        </w:rPr>
        <w:lastRenderedPageBreak/>
        <w:tab/>
        <w:t>13.2.1</w:t>
      </w:r>
      <w:r w:rsidRPr="009A0DA6">
        <w:rPr>
          <w:rFonts w:ascii="Cambria" w:eastAsia="Times New Roman" w:hAnsi="Cambria" w:cs="Times New Roman"/>
          <w:strike/>
          <w:color w:val="000000"/>
        </w:rPr>
        <w:tab/>
        <w:t>after having been given as a written notice to all voting members;</w:t>
      </w:r>
    </w:p>
    <w:p w14:paraId="5D8B4560" w14:textId="77777777" w:rsidR="005139CD" w:rsidRPr="009A0DA6" w:rsidRDefault="005139CD" w:rsidP="004B29FF">
      <w:pPr>
        <w:tabs>
          <w:tab w:val="left" w:pos="567"/>
          <w:tab w:val="left" w:pos="1418"/>
          <w:tab w:val="left" w:pos="2552"/>
          <w:tab w:val="left" w:pos="3544"/>
          <w:tab w:val="left" w:pos="4536"/>
        </w:tabs>
        <w:spacing w:after="0" w:line="240" w:lineRule="auto"/>
        <w:ind w:left="1418" w:hanging="1418"/>
        <w:rPr>
          <w:rFonts w:ascii="Cambria" w:eastAsia="Times New Roman" w:hAnsi="Cambria" w:cs="Times New Roman"/>
          <w:strike/>
          <w:color w:val="000000"/>
        </w:rPr>
      </w:pPr>
      <w:r w:rsidRPr="009A0DA6">
        <w:rPr>
          <w:rFonts w:ascii="Cambria" w:eastAsia="Times New Roman" w:hAnsi="Cambria" w:cs="Times New Roman"/>
          <w:strike/>
          <w:color w:val="000000"/>
        </w:rPr>
        <w:tab/>
        <w:t>13.2.2</w:t>
      </w:r>
      <w:r w:rsidRPr="009A0DA6">
        <w:rPr>
          <w:rFonts w:ascii="Cambria" w:eastAsia="Times New Roman" w:hAnsi="Cambria" w:cs="Times New Roman"/>
          <w:strike/>
          <w:color w:val="000000"/>
        </w:rPr>
        <w:tab/>
        <w:t>at a general meeting of the Parish;</w:t>
      </w:r>
    </w:p>
    <w:p w14:paraId="42F16877" w14:textId="77777777" w:rsidR="005139CD" w:rsidRPr="009A0DA6" w:rsidRDefault="005139CD" w:rsidP="004B29FF">
      <w:pPr>
        <w:tabs>
          <w:tab w:val="left" w:pos="567"/>
          <w:tab w:val="left" w:pos="1418"/>
          <w:tab w:val="left" w:pos="2552"/>
          <w:tab w:val="left" w:pos="3544"/>
          <w:tab w:val="left" w:pos="4536"/>
        </w:tabs>
        <w:spacing w:after="0" w:line="240" w:lineRule="auto"/>
        <w:ind w:left="1418" w:hanging="1418"/>
        <w:rPr>
          <w:rFonts w:ascii="Cambria" w:eastAsia="Times New Roman" w:hAnsi="Cambria" w:cs="Times New Roman"/>
          <w:strike/>
          <w:color w:val="000000"/>
        </w:rPr>
      </w:pPr>
      <w:r w:rsidRPr="009A0DA6">
        <w:rPr>
          <w:rFonts w:ascii="Cambria" w:eastAsia="Times New Roman" w:hAnsi="Cambria" w:cs="Times New Roman"/>
          <w:strike/>
          <w:color w:val="000000"/>
        </w:rPr>
        <w:tab/>
        <w:t>13.2.3</w:t>
      </w:r>
      <w:r w:rsidRPr="009A0DA6">
        <w:rPr>
          <w:rFonts w:ascii="Cambria" w:eastAsia="Times New Roman" w:hAnsi="Cambria" w:cs="Times New Roman"/>
          <w:strike/>
          <w:color w:val="000000"/>
        </w:rPr>
        <w:tab/>
        <w:t>by the votes of not less than three-quarters [3/4] of the voting members of the Parish who cast a vote at the meeting;  and</w:t>
      </w:r>
    </w:p>
    <w:p w14:paraId="424168FC" w14:textId="77777777" w:rsidR="004B29FF" w:rsidRPr="009A0DA6" w:rsidRDefault="005139CD" w:rsidP="00284D80">
      <w:pPr>
        <w:tabs>
          <w:tab w:val="left" w:pos="567"/>
          <w:tab w:val="left" w:pos="1418"/>
          <w:tab w:val="left" w:pos="2552"/>
          <w:tab w:val="left" w:pos="3544"/>
          <w:tab w:val="left" w:pos="4536"/>
        </w:tabs>
        <w:spacing w:after="0" w:line="240" w:lineRule="auto"/>
        <w:ind w:left="1418" w:hanging="1418"/>
        <w:rPr>
          <w:rFonts w:ascii="Cambria" w:eastAsia="Times New Roman" w:hAnsi="Cambria" w:cs="Times New Roman"/>
          <w:strike/>
          <w:color w:val="000000"/>
        </w:rPr>
      </w:pPr>
      <w:r w:rsidRPr="009A0DA6">
        <w:rPr>
          <w:rFonts w:ascii="Cambria" w:eastAsia="Times New Roman" w:hAnsi="Cambria" w:cs="Times New Roman"/>
          <w:strike/>
          <w:color w:val="000000"/>
        </w:rPr>
        <w:tab/>
        <w:t>13.2.4</w:t>
      </w:r>
      <w:r w:rsidRPr="009A0DA6">
        <w:rPr>
          <w:rFonts w:ascii="Cambria" w:eastAsia="Times New Roman" w:hAnsi="Cambria" w:cs="Times New Roman"/>
          <w:strike/>
          <w:color w:val="000000"/>
        </w:rPr>
        <w:tab/>
        <w:t>by being declared as being carried as a special resolution.</w:t>
      </w:r>
    </w:p>
    <w:p w14:paraId="62655786" w14:textId="77777777" w:rsidR="004B29FF" w:rsidRPr="009A0DA6" w:rsidRDefault="005139CD" w:rsidP="00284D80">
      <w:pPr>
        <w:tabs>
          <w:tab w:val="left" w:pos="567"/>
          <w:tab w:val="left" w:pos="1559"/>
          <w:tab w:val="left" w:pos="2552"/>
          <w:tab w:val="left" w:pos="3544"/>
          <w:tab w:val="left" w:pos="4536"/>
        </w:tabs>
        <w:spacing w:after="0" w:line="240" w:lineRule="auto"/>
        <w:ind w:left="567" w:hanging="567"/>
        <w:rPr>
          <w:rFonts w:ascii="Cambria" w:eastAsia="Times New Roman" w:hAnsi="Cambria" w:cs="Times New Roman"/>
          <w:color w:val="000000"/>
        </w:rPr>
      </w:pPr>
      <w:r w:rsidRPr="009A0DA6">
        <w:rPr>
          <w:rFonts w:ascii="Cambria" w:eastAsia="Times New Roman" w:hAnsi="Cambria" w:cs="Times New Roman"/>
          <w:color w:val="000000"/>
        </w:rPr>
        <w:t>13.</w:t>
      </w:r>
      <w:r w:rsidRPr="009A0DA6">
        <w:rPr>
          <w:rFonts w:ascii="Cambria" w:eastAsia="Times New Roman" w:hAnsi="Cambria" w:cs="Times New Roman"/>
          <w:strike/>
          <w:color w:val="000000"/>
        </w:rPr>
        <w:t>3</w:t>
      </w:r>
      <w:r w:rsidRPr="009A0DA6">
        <w:rPr>
          <w:rFonts w:ascii="Cambria" w:eastAsia="Times New Roman" w:hAnsi="Cambria" w:cs="Times New Roman"/>
          <w:b/>
          <w:color w:val="000000"/>
        </w:rPr>
        <w:t>2</w:t>
      </w:r>
      <w:r w:rsidRPr="009A0DA6">
        <w:rPr>
          <w:rFonts w:ascii="Cambria" w:eastAsia="Times New Roman" w:hAnsi="Cambria" w:cs="Times New Roman"/>
          <w:color w:val="000000"/>
        </w:rPr>
        <w:tab/>
        <w:t>Notice of the proposed amendment, alteration, addition or repeal shall be presented in writing and shall be read to the Parish at a duly called meeting of the Parish held at least twenty one [21] days earlier or be published to the member-congregations at least twenty one [21] days prior to the meeting.</w:t>
      </w:r>
    </w:p>
    <w:p w14:paraId="64DB908F" w14:textId="77777777" w:rsidR="004B29FF" w:rsidRPr="009A0DA6" w:rsidRDefault="005139CD" w:rsidP="00284D80">
      <w:pPr>
        <w:tabs>
          <w:tab w:val="left" w:pos="567"/>
          <w:tab w:val="left" w:pos="1559"/>
          <w:tab w:val="left" w:pos="2552"/>
          <w:tab w:val="left" w:pos="3544"/>
          <w:tab w:val="left" w:pos="4536"/>
        </w:tabs>
        <w:spacing w:after="0" w:line="240" w:lineRule="auto"/>
        <w:ind w:left="567" w:hanging="567"/>
        <w:rPr>
          <w:rFonts w:ascii="Cambria" w:eastAsia="Times New Roman" w:hAnsi="Cambria" w:cs="Times New Roman"/>
          <w:color w:val="000000"/>
        </w:rPr>
      </w:pPr>
      <w:r w:rsidRPr="009A0DA6">
        <w:rPr>
          <w:rFonts w:ascii="Cambria" w:eastAsia="Times New Roman" w:hAnsi="Cambria" w:cs="Times New Roman"/>
          <w:color w:val="000000"/>
        </w:rPr>
        <w:t>13.</w:t>
      </w:r>
      <w:r w:rsidRPr="009A0DA6">
        <w:rPr>
          <w:rFonts w:ascii="Cambria" w:eastAsia="Times New Roman" w:hAnsi="Cambria" w:cs="Times New Roman"/>
          <w:strike/>
          <w:color w:val="000000"/>
        </w:rPr>
        <w:t>4</w:t>
      </w:r>
      <w:r w:rsidRPr="009A0DA6">
        <w:rPr>
          <w:rFonts w:ascii="Cambria" w:eastAsia="Times New Roman" w:hAnsi="Cambria" w:cs="Times New Roman"/>
          <w:b/>
          <w:color w:val="000000"/>
        </w:rPr>
        <w:t>3</w:t>
      </w:r>
      <w:r w:rsidRPr="009A0DA6">
        <w:rPr>
          <w:rFonts w:ascii="Cambria" w:eastAsia="Times New Roman" w:hAnsi="Cambria" w:cs="Times New Roman"/>
          <w:color w:val="000000"/>
        </w:rPr>
        <w:tab/>
        <w:t xml:space="preserve">In addition to any other requirement of this Constitution and of the Act, the quorum for </w:t>
      </w:r>
      <w:r w:rsidRPr="009A0DA6">
        <w:rPr>
          <w:rFonts w:ascii="Cambria" w:eastAsia="Times New Roman" w:hAnsi="Cambria" w:cs="Times New Roman"/>
          <w:b/>
          <w:color w:val="000000"/>
        </w:rPr>
        <w:t>such</w:t>
      </w:r>
      <w:r w:rsidRPr="009A0DA6">
        <w:rPr>
          <w:rFonts w:ascii="Cambria" w:eastAsia="Times New Roman" w:hAnsi="Cambria" w:cs="Times New Roman"/>
          <w:color w:val="000000"/>
        </w:rPr>
        <w:t xml:space="preserve"> a meeting </w:t>
      </w:r>
      <w:r w:rsidRPr="009A0DA6">
        <w:rPr>
          <w:rFonts w:ascii="Cambria" w:eastAsia="Times New Roman" w:hAnsi="Cambria" w:cs="Times New Roman"/>
          <w:strike/>
          <w:color w:val="000000"/>
        </w:rPr>
        <w:t>held to consider a special resolution</w:t>
      </w:r>
      <w:r w:rsidRPr="009A0DA6">
        <w:rPr>
          <w:rFonts w:ascii="Cambria" w:eastAsia="Times New Roman" w:hAnsi="Cambria" w:cs="Times New Roman"/>
          <w:color w:val="000000"/>
        </w:rPr>
        <w:t xml:space="preserve"> shall be one-quarter [1/4] of the members entitled to vote and the result of such a ballot shall be recorded in the minutes.</w:t>
      </w:r>
    </w:p>
    <w:p w14:paraId="5645B8D5" w14:textId="77777777" w:rsidR="005139CD" w:rsidRPr="009A0DA6" w:rsidRDefault="005139CD" w:rsidP="004B29FF">
      <w:pPr>
        <w:tabs>
          <w:tab w:val="left" w:pos="567"/>
          <w:tab w:val="left" w:pos="1559"/>
          <w:tab w:val="left" w:pos="2552"/>
          <w:tab w:val="left" w:pos="3544"/>
          <w:tab w:val="left" w:pos="4536"/>
        </w:tabs>
        <w:spacing w:after="0" w:line="240" w:lineRule="auto"/>
        <w:ind w:left="567" w:hanging="567"/>
        <w:rPr>
          <w:rFonts w:ascii="Cambria" w:eastAsia="Times New Roman" w:hAnsi="Cambria" w:cs="Times New Roman"/>
          <w:color w:val="000000"/>
        </w:rPr>
      </w:pPr>
      <w:r w:rsidRPr="009A0DA6">
        <w:rPr>
          <w:rFonts w:ascii="Cambria" w:eastAsia="Times New Roman" w:hAnsi="Cambria" w:cs="Times New Roman"/>
          <w:color w:val="000000"/>
        </w:rPr>
        <w:t>13.</w:t>
      </w:r>
      <w:r w:rsidRPr="009A0DA6">
        <w:rPr>
          <w:rFonts w:ascii="Cambria" w:eastAsia="Times New Roman" w:hAnsi="Cambria" w:cs="Times New Roman"/>
          <w:strike/>
          <w:color w:val="000000"/>
        </w:rPr>
        <w:t>5</w:t>
      </w:r>
      <w:r w:rsidRPr="009A0DA6">
        <w:rPr>
          <w:rFonts w:ascii="Cambria" w:eastAsia="Times New Roman" w:hAnsi="Cambria" w:cs="Times New Roman"/>
          <w:b/>
          <w:color w:val="000000"/>
        </w:rPr>
        <w:t>4</w:t>
      </w:r>
      <w:r w:rsidRPr="009A0DA6">
        <w:rPr>
          <w:rFonts w:ascii="Cambria" w:eastAsia="Times New Roman" w:hAnsi="Cambria" w:cs="Times New Roman"/>
          <w:color w:val="000000"/>
        </w:rPr>
        <w:tab/>
        <w:t>Notwithstanding anything else in this Constitution, Article 2. and clause 13.</w:t>
      </w:r>
      <w:r w:rsidRPr="009A0DA6">
        <w:rPr>
          <w:rFonts w:ascii="Cambria" w:eastAsia="Times New Roman" w:hAnsi="Cambria" w:cs="Times New Roman"/>
          <w:strike/>
          <w:color w:val="000000"/>
        </w:rPr>
        <w:t>5</w:t>
      </w:r>
      <w:r w:rsidRPr="009A0DA6">
        <w:rPr>
          <w:rFonts w:ascii="Cambria" w:eastAsia="Times New Roman" w:hAnsi="Cambria" w:cs="Times New Roman"/>
          <w:b/>
          <w:color w:val="000000"/>
        </w:rPr>
        <w:t>4</w:t>
      </w:r>
      <w:r w:rsidRPr="009A0DA6">
        <w:rPr>
          <w:rFonts w:ascii="Cambria" w:eastAsia="Times New Roman" w:hAnsi="Cambria" w:cs="Times New Roman"/>
          <w:color w:val="000000"/>
        </w:rPr>
        <w:t xml:space="preserve"> of this Constitution shall be considered fundamental and shall not be amended, altered, added to or repealed so as to alter their intent and meaning.</w:t>
      </w:r>
    </w:p>
    <w:p w14:paraId="4BD09906" w14:textId="77777777" w:rsidR="005139CD" w:rsidRPr="009A0DA6" w:rsidRDefault="005139CD" w:rsidP="005139CD">
      <w:pPr>
        <w:shd w:val="clear" w:color="auto" w:fill="FFFFFF"/>
        <w:spacing w:after="0" w:line="240" w:lineRule="auto"/>
        <w:rPr>
          <w:rFonts w:ascii="Cambria" w:eastAsia="Times New Roman" w:hAnsi="Cambria" w:cs="Times New Roman"/>
          <w:bCs/>
          <w:color w:val="222222"/>
          <w:lang w:eastAsia="en-AU"/>
        </w:rPr>
      </w:pPr>
    </w:p>
    <w:p w14:paraId="1C8B4643" w14:textId="77777777" w:rsidR="005139CD" w:rsidRPr="009A0DA6" w:rsidRDefault="005139CD" w:rsidP="00355E83">
      <w:pPr>
        <w:pStyle w:val="Heading3"/>
        <w:rPr>
          <w:rFonts w:eastAsia="SimSun" w:cs="F"/>
        </w:rPr>
      </w:pPr>
      <w:r w:rsidRPr="009A0DA6">
        <w:t>REASONS FOR THE MOTION</w:t>
      </w:r>
    </w:p>
    <w:p w14:paraId="488A8257" w14:textId="4EBDE2BD" w:rsidR="000B3A2F" w:rsidRPr="009A0DA6" w:rsidRDefault="005139CD" w:rsidP="00284D80">
      <w:pPr>
        <w:shd w:val="clear" w:color="auto" w:fill="FFFFFF"/>
        <w:spacing w:after="0" w:line="240" w:lineRule="auto"/>
        <w:rPr>
          <w:rFonts w:ascii="Cambria" w:hAnsi="Cambria" w:cs="Arial"/>
          <w:color w:val="222222"/>
          <w:shd w:val="clear" w:color="auto" w:fill="FFFFFF"/>
        </w:rPr>
      </w:pPr>
      <w:r w:rsidRPr="009A0DA6">
        <w:rPr>
          <w:rFonts w:ascii="Cambria" w:hAnsi="Cambria" w:cs="Arial"/>
          <w:color w:val="222222"/>
          <w:shd w:val="clear" w:color="auto" w:fill="FFFFFF"/>
        </w:rPr>
        <w:t>These amendments to these constitutions have been made necessary for the most part in order to effect compliance with the requirements of the Australian Charities and Not-for-profits Commission (ACNC).</w:t>
      </w:r>
    </w:p>
    <w:p w14:paraId="65B03DE1" w14:textId="3542DD0C" w:rsidR="00355E83" w:rsidRPr="009A0DA6" w:rsidRDefault="00355E83" w:rsidP="00284D80">
      <w:pPr>
        <w:shd w:val="clear" w:color="auto" w:fill="FFFFFF"/>
        <w:spacing w:after="0" w:line="240" w:lineRule="auto"/>
        <w:rPr>
          <w:rFonts w:ascii="Cambria" w:hAnsi="Cambria" w:cs="Arial"/>
          <w:color w:val="222222"/>
          <w:shd w:val="clear" w:color="auto" w:fill="FFFFFF"/>
        </w:rPr>
      </w:pPr>
    </w:p>
    <w:p w14:paraId="6DABBE8D" w14:textId="77777777" w:rsidR="004A186C" w:rsidRPr="009A0DA6" w:rsidRDefault="004A186C" w:rsidP="00284D80">
      <w:pPr>
        <w:shd w:val="clear" w:color="auto" w:fill="FFFFFF"/>
        <w:spacing w:after="0" w:line="240" w:lineRule="auto"/>
        <w:rPr>
          <w:rFonts w:ascii="Cambria" w:hAnsi="Cambria" w:cs="Arial"/>
          <w:color w:val="222222"/>
          <w:shd w:val="clear" w:color="auto" w:fill="FFFFFF"/>
        </w:rPr>
      </w:pPr>
    </w:p>
    <w:p w14:paraId="04B714C2" w14:textId="77777777" w:rsidR="000B3A2F" w:rsidRPr="009A0DA6" w:rsidRDefault="000B3A2F" w:rsidP="000B3A2F">
      <w:pPr>
        <w:pStyle w:val="NoSpacing"/>
      </w:pPr>
    </w:p>
    <w:p w14:paraId="7EA3FF16" w14:textId="77777777" w:rsidR="000B3A2F" w:rsidRPr="009A0DA6" w:rsidRDefault="000B3A2F" w:rsidP="00964A90">
      <w:pPr>
        <w:pStyle w:val="Heading3"/>
      </w:pPr>
      <w:r w:rsidRPr="009A0DA6">
        <w:t>agenda 2.4.3</w:t>
      </w:r>
    </w:p>
    <w:p w14:paraId="747DDA10" w14:textId="1DCAA18B" w:rsidR="000B3A2F" w:rsidRPr="009A0DA6" w:rsidRDefault="000B3A2F" w:rsidP="000B3A2F">
      <w:pPr>
        <w:pStyle w:val="Heading2"/>
      </w:pPr>
      <w:bookmarkStart w:id="453" w:name="_Toc521954705"/>
      <w:r w:rsidRPr="009A0DA6">
        <w:t xml:space="preserve">Constitutional </w:t>
      </w:r>
      <w:r w:rsidR="00284D80" w:rsidRPr="009A0DA6">
        <w:t>c</w:t>
      </w:r>
      <w:r w:rsidRPr="009A0DA6">
        <w:t>hange</w:t>
      </w:r>
      <w:r w:rsidR="00284D80" w:rsidRPr="009A0DA6">
        <w:t>s</w:t>
      </w:r>
      <w:r w:rsidRPr="009A0DA6">
        <w:t xml:space="preserve">: Alternate </w:t>
      </w:r>
      <w:r w:rsidR="00174A5E" w:rsidRPr="009A0DA6">
        <w:t>l</w:t>
      </w:r>
      <w:r w:rsidRPr="009A0DA6">
        <w:t xml:space="preserve">ay </w:t>
      </w:r>
      <w:r w:rsidR="00174A5E" w:rsidRPr="009A0DA6">
        <w:t>d</w:t>
      </w:r>
      <w:r w:rsidRPr="009A0DA6">
        <w:t>elegates</w:t>
      </w:r>
      <w:bookmarkEnd w:id="453"/>
    </w:p>
    <w:p w14:paraId="1B238762" w14:textId="77777777" w:rsidR="000B3A2F" w:rsidRPr="009A0DA6" w:rsidRDefault="000B3A2F" w:rsidP="000B3A2F">
      <w:pPr>
        <w:pStyle w:val="NoSpacing"/>
      </w:pPr>
    </w:p>
    <w:p w14:paraId="3D0D7FE9" w14:textId="77777777" w:rsidR="000B3A2F" w:rsidRPr="009A0DA6" w:rsidRDefault="006F7DEE" w:rsidP="00964A90">
      <w:pPr>
        <w:pStyle w:val="Heading3"/>
      </w:pPr>
      <w:r w:rsidRPr="009A0DA6">
        <w:t>proposed motion</w:t>
      </w:r>
    </w:p>
    <w:p w14:paraId="3A07308E" w14:textId="77777777" w:rsidR="006F7DEE" w:rsidRPr="009A0DA6" w:rsidRDefault="006F7DEE" w:rsidP="006F7DEE">
      <w:pPr>
        <w:shd w:val="clear" w:color="auto" w:fill="FFFFFF"/>
        <w:spacing w:after="0" w:line="240" w:lineRule="auto"/>
        <w:rPr>
          <w:rFonts w:ascii="Cambria" w:eastAsia="Times New Roman" w:hAnsi="Cambria" w:cs="Times New Roman"/>
          <w:bCs/>
          <w:color w:val="222222"/>
          <w:lang w:eastAsia="en-AU"/>
        </w:rPr>
      </w:pPr>
      <w:r w:rsidRPr="009A0DA6">
        <w:rPr>
          <w:rFonts w:ascii="Cambria" w:hAnsi="Cambria"/>
          <w:b/>
          <w:bCs/>
          <w:lang w:eastAsia="en-AU"/>
        </w:rPr>
        <w:t>BE IT RESOLVED</w:t>
      </w:r>
      <w:r w:rsidRPr="009A0DA6">
        <w:rPr>
          <w:rFonts w:ascii="Cambria" w:eastAsia="Times New Roman" w:hAnsi="Cambria" w:cs="Times New Roman"/>
          <w:bCs/>
          <w:color w:val="000000"/>
          <w:lang w:eastAsia="en-AU"/>
        </w:rPr>
        <w:t xml:space="preserve"> </w:t>
      </w:r>
      <w:r w:rsidRPr="009A0DA6">
        <w:rPr>
          <w:rFonts w:ascii="Cambria" w:eastAsia="Times New Roman" w:hAnsi="Cambria" w:cs="Times New Roman"/>
          <w:bCs/>
          <w:color w:val="222222"/>
          <w:lang w:eastAsia="en-AU"/>
        </w:rPr>
        <w:t xml:space="preserve">that </w:t>
      </w:r>
      <w:r w:rsidRPr="009A0DA6">
        <w:rPr>
          <w:rFonts w:ascii="Cambria" w:eastAsia="Times New Roman" w:hAnsi="Cambria" w:cs="Times New Roman"/>
          <w:b/>
          <w:bCs/>
          <w:color w:val="222222"/>
          <w:lang w:eastAsia="en-AU"/>
        </w:rPr>
        <w:t>Article 7 The General Synod</w:t>
      </w:r>
      <w:r w:rsidRPr="009A0DA6">
        <w:rPr>
          <w:rFonts w:ascii="Cambria" w:eastAsia="Times New Roman" w:hAnsi="Cambria" w:cs="Times New Roman"/>
          <w:bCs/>
          <w:color w:val="222222"/>
          <w:lang w:eastAsia="en-AU"/>
        </w:rPr>
        <w:t xml:space="preserve"> of the Constitution of the Church be amended to remove the second sentence of clause 7.6 as follows (words to be deleted – </w:t>
      </w:r>
      <w:r w:rsidRPr="009A0DA6">
        <w:rPr>
          <w:rFonts w:ascii="Cambria" w:eastAsia="Times New Roman" w:hAnsi="Cambria" w:cs="Times New Roman"/>
          <w:bCs/>
          <w:strike/>
          <w:color w:val="222222"/>
          <w:lang w:eastAsia="en-AU"/>
        </w:rPr>
        <w:t>strikethrough</w:t>
      </w:r>
      <w:r w:rsidRPr="009A0DA6">
        <w:rPr>
          <w:rFonts w:ascii="Cambria" w:eastAsia="Times New Roman" w:hAnsi="Cambria" w:cs="Times New Roman"/>
          <w:bCs/>
          <w:color w:val="222222"/>
          <w:lang w:eastAsia="en-AU"/>
        </w:rPr>
        <w:t>):</w:t>
      </w:r>
    </w:p>
    <w:p w14:paraId="40DE9240" w14:textId="77777777" w:rsidR="006F7DEE" w:rsidRPr="00D4753A" w:rsidRDefault="006F7DEE" w:rsidP="006F7DEE">
      <w:pPr>
        <w:shd w:val="clear" w:color="auto" w:fill="FFFFFF"/>
        <w:spacing w:after="0" w:line="240" w:lineRule="auto"/>
        <w:rPr>
          <w:rFonts w:ascii="Cambria" w:eastAsia="Times New Roman" w:hAnsi="Cambria" w:cs="Times New Roman"/>
          <w:b/>
          <w:bCs/>
          <w:color w:val="222222"/>
          <w:sz w:val="14"/>
          <w:lang w:eastAsia="en-AU"/>
        </w:rPr>
      </w:pPr>
    </w:p>
    <w:p w14:paraId="359D72D9" w14:textId="3CA8CF96" w:rsidR="006F7DEE" w:rsidRPr="009A0DA6" w:rsidRDefault="006F7DEE" w:rsidP="006F7DEE">
      <w:pPr>
        <w:tabs>
          <w:tab w:val="left" w:pos="567"/>
          <w:tab w:val="left" w:pos="1985"/>
          <w:tab w:val="left" w:pos="3119"/>
          <w:tab w:val="left" w:pos="4536"/>
          <w:tab w:val="left" w:pos="5670"/>
        </w:tabs>
        <w:spacing w:after="0" w:line="240" w:lineRule="auto"/>
        <w:ind w:left="567" w:hanging="567"/>
        <w:rPr>
          <w:rFonts w:ascii="Cambria" w:eastAsia="Times New Roman" w:hAnsi="Cambria" w:cs="Times New Roman"/>
          <w:lang w:eastAsia="en-AU"/>
        </w:rPr>
      </w:pPr>
      <w:r w:rsidRPr="009A0DA6">
        <w:rPr>
          <w:rFonts w:ascii="Cambria" w:eastAsia="Times New Roman" w:hAnsi="Cambria" w:cs="Times New Roman"/>
          <w:lang w:eastAsia="en-AU"/>
        </w:rPr>
        <w:t>7.6</w:t>
      </w:r>
      <w:r w:rsidRPr="009A0DA6">
        <w:rPr>
          <w:rFonts w:ascii="Cambria" w:eastAsia="Times New Roman" w:hAnsi="Cambria" w:cs="Times New Roman"/>
          <w:lang w:eastAsia="en-AU"/>
        </w:rPr>
        <w:tab/>
        <w:t>In the absence of a delegate at a convention of the General Synod the right to vote may be accorded to an alternate appointed in a manner laid down in the By-laws to exercise that right</w:t>
      </w:r>
      <w:r w:rsidR="0027799A" w:rsidRPr="009A0DA6">
        <w:rPr>
          <w:rFonts w:ascii="Cambria" w:eastAsia="Times New Roman" w:hAnsi="Cambria" w:cs="Times New Roman"/>
          <w:lang w:eastAsia="en-AU"/>
        </w:rPr>
        <w:t xml:space="preserve">. </w:t>
      </w:r>
      <w:r w:rsidRPr="009A0DA6">
        <w:rPr>
          <w:rFonts w:ascii="Cambria" w:eastAsia="Times New Roman" w:hAnsi="Cambria" w:cs="Times New Roman"/>
          <w:strike/>
          <w:lang w:eastAsia="en-AU"/>
        </w:rPr>
        <w:t>The By-laws may provide that the alternate for a lay delegate of a parish need not necessarily be a lay member.</w:t>
      </w:r>
    </w:p>
    <w:p w14:paraId="744BC140" w14:textId="77777777" w:rsidR="006F7DEE" w:rsidRPr="00D4753A" w:rsidRDefault="006F7DEE" w:rsidP="006F7DEE">
      <w:pPr>
        <w:shd w:val="clear" w:color="auto" w:fill="FFFFFF"/>
        <w:spacing w:after="0" w:line="240" w:lineRule="auto"/>
        <w:rPr>
          <w:rFonts w:ascii="Cambria" w:eastAsia="Times New Roman" w:hAnsi="Cambria" w:cs="Times New Roman"/>
          <w:b/>
          <w:bCs/>
          <w:color w:val="222222"/>
          <w:sz w:val="18"/>
          <w:lang w:eastAsia="en-AU"/>
        </w:rPr>
      </w:pPr>
    </w:p>
    <w:p w14:paraId="1941ACF6" w14:textId="77777777" w:rsidR="006F7DEE" w:rsidRPr="009A0DA6" w:rsidRDefault="006F7DEE" w:rsidP="006F7DEE">
      <w:pPr>
        <w:shd w:val="clear" w:color="auto" w:fill="FFFFFF"/>
        <w:spacing w:after="0" w:line="240" w:lineRule="auto"/>
        <w:rPr>
          <w:rFonts w:ascii="Cambria" w:eastAsia="Times New Roman" w:hAnsi="Cambria" w:cs="Times New Roman"/>
          <w:bCs/>
          <w:color w:val="222222"/>
          <w:lang w:eastAsia="en-AU"/>
        </w:rPr>
      </w:pPr>
      <w:r w:rsidRPr="009A0DA6">
        <w:rPr>
          <w:rFonts w:ascii="Cambria" w:eastAsia="Times New Roman" w:hAnsi="Cambria" w:cs="Times New Roman"/>
          <w:b/>
          <w:bCs/>
          <w:color w:val="222222"/>
          <w:lang w:eastAsia="en-AU"/>
        </w:rPr>
        <w:t xml:space="preserve">BE  IT  FURTHER  RESOLVED  </w:t>
      </w:r>
      <w:r w:rsidRPr="009A0DA6">
        <w:rPr>
          <w:rFonts w:ascii="Cambria" w:eastAsia="Times New Roman" w:hAnsi="Cambria" w:cs="Times New Roman"/>
          <w:bCs/>
          <w:color w:val="222222"/>
          <w:lang w:eastAsia="en-AU"/>
        </w:rPr>
        <w:t xml:space="preserve">that </w:t>
      </w:r>
      <w:r w:rsidRPr="009A0DA6">
        <w:rPr>
          <w:rFonts w:ascii="Cambria" w:eastAsia="Times New Roman" w:hAnsi="Cambria" w:cs="Times New Roman"/>
          <w:b/>
          <w:bCs/>
          <w:color w:val="222222"/>
          <w:lang w:eastAsia="en-AU"/>
        </w:rPr>
        <w:t>Section 7 The General Synod</w:t>
      </w:r>
      <w:r w:rsidRPr="009A0DA6">
        <w:rPr>
          <w:rFonts w:ascii="Cambria" w:eastAsia="Times New Roman" w:hAnsi="Cambria" w:cs="Times New Roman"/>
          <w:bCs/>
          <w:color w:val="222222"/>
          <w:lang w:eastAsia="en-AU"/>
        </w:rPr>
        <w:t xml:space="preserve"> of the By-laws of the Church be amended in clause 7.1.4 as follows (words to be deleted – </w:t>
      </w:r>
      <w:r w:rsidRPr="009A0DA6">
        <w:rPr>
          <w:rFonts w:ascii="Cambria" w:eastAsia="Times New Roman" w:hAnsi="Cambria" w:cs="Times New Roman"/>
          <w:bCs/>
          <w:strike/>
          <w:color w:val="222222"/>
          <w:lang w:eastAsia="en-AU"/>
        </w:rPr>
        <w:t>strikethrough</w:t>
      </w:r>
      <w:r w:rsidRPr="009A0DA6">
        <w:rPr>
          <w:rFonts w:ascii="Cambria" w:eastAsia="Times New Roman" w:hAnsi="Cambria" w:cs="Times New Roman"/>
          <w:bCs/>
          <w:color w:val="222222"/>
          <w:lang w:eastAsia="en-AU"/>
        </w:rPr>
        <w:t xml:space="preserve">;  words to be added – </w:t>
      </w:r>
      <w:r w:rsidRPr="009A0DA6">
        <w:rPr>
          <w:rFonts w:ascii="Cambria" w:eastAsia="Times New Roman" w:hAnsi="Cambria" w:cs="Times New Roman"/>
          <w:b/>
          <w:bCs/>
          <w:color w:val="222222"/>
          <w:lang w:eastAsia="en-AU"/>
        </w:rPr>
        <w:t>bold</w:t>
      </w:r>
      <w:r w:rsidRPr="009A0DA6">
        <w:rPr>
          <w:rFonts w:ascii="Cambria" w:eastAsia="Times New Roman" w:hAnsi="Cambria" w:cs="Times New Roman"/>
          <w:bCs/>
          <w:color w:val="222222"/>
          <w:lang w:eastAsia="en-AU"/>
        </w:rPr>
        <w:t>):</w:t>
      </w:r>
    </w:p>
    <w:p w14:paraId="079524D3" w14:textId="77777777" w:rsidR="006F7DEE" w:rsidRPr="009A0DA6" w:rsidRDefault="006F7DEE" w:rsidP="006F7DEE">
      <w:pPr>
        <w:tabs>
          <w:tab w:val="left" w:pos="851"/>
          <w:tab w:val="left" w:pos="1985"/>
          <w:tab w:val="left" w:pos="3119"/>
          <w:tab w:val="left" w:pos="4536"/>
          <w:tab w:val="left" w:pos="5670"/>
        </w:tabs>
        <w:spacing w:after="0" w:line="240" w:lineRule="auto"/>
        <w:ind w:left="426" w:hanging="426"/>
        <w:rPr>
          <w:rFonts w:ascii="Cambria" w:eastAsia="Times New Roman" w:hAnsi="Cambria" w:cs="Times New Roman"/>
          <w:b/>
          <w:lang w:eastAsia="en-AU"/>
        </w:rPr>
      </w:pPr>
    </w:p>
    <w:p w14:paraId="7FB262C1" w14:textId="77777777" w:rsidR="006F7DEE" w:rsidRPr="009A0DA6" w:rsidRDefault="006F7DEE" w:rsidP="006F7DEE">
      <w:pPr>
        <w:tabs>
          <w:tab w:val="left" w:pos="851"/>
          <w:tab w:val="left" w:pos="1985"/>
          <w:tab w:val="left" w:pos="3119"/>
          <w:tab w:val="left" w:pos="4536"/>
          <w:tab w:val="left" w:pos="5670"/>
        </w:tabs>
        <w:spacing w:after="0" w:line="240" w:lineRule="auto"/>
        <w:ind w:left="426" w:hanging="426"/>
        <w:rPr>
          <w:rFonts w:ascii="Cambria" w:eastAsia="Times New Roman" w:hAnsi="Cambria" w:cs="Times New Roman"/>
          <w:sz w:val="10"/>
          <w:szCs w:val="10"/>
          <w:lang w:eastAsia="en-AU"/>
        </w:rPr>
      </w:pPr>
      <w:r w:rsidRPr="009A0DA6">
        <w:rPr>
          <w:rFonts w:ascii="Cambria" w:eastAsia="Times New Roman" w:hAnsi="Cambria" w:cs="Times New Roman"/>
          <w:b/>
          <w:lang w:eastAsia="en-AU"/>
        </w:rPr>
        <w:t>Alternates</w:t>
      </w:r>
      <w:r w:rsidRPr="009A0DA6">
        <w:rPr>
          <w:rFonts w:ascii="Cambria" w:eastAsia="Times New Roman" w:hAnsi="Cambria" w:cs="Times New Roman"/>
          <w:b/>
          <w:lang w:eastAsia="en-AU"/>
        </w:rPr>
        <w:br/>
      </w:r>
    </w:p>
    <w:p w14:paraId="7983777A" w14:textId="59E25666" w:rsidR="006F7DEE" w:rsidRDefault="006F7DEE" w:rsidP="006F7DEE">
      <w:pPr>
        <w:tabs>
          <w:tab w:val="left" w:pos="1985"/>
          <w:tab w:val="left" w:pos="3119"/>
          <w:tab w:val="left" w:pos="4536"/>
          <w:tab w:val="left" w:pos="5670"/>
        </w:tabs>
        <w:spacing w:after="0" w:line="240" w:lineRule="auto"/>
        <w:ind w:left="567" w:hanging="567"/>
        <w:rPr>
          <w:rFonts w:ascii="Cambria" w:eastAsia="Times New Roman" w:hAnsi="Cambria" w:cs="Times New Roman"/>
          <w:iCs/>
          <w:lang w:eastAsia="en-AU"/>
        </w:rPr>
      </w:pPr>
      <w:r w:rsidRPr="009A0DA6">
        <w:rPr>
          <w:rFonts w:ascii="Cambria" w:eastAsia="Times New Roman" w:hAnsi="Cambria" w:cs="Times New Roman"/>
          <w:lang w:eastAsia="en-AU"/>
        </w:rPr>
        <w:t>7.1.4</w:t>
      </w:r>
      <w:r w:rsidRPr="009A0DA6">
        <w:rPr>
          <w:rFonts w:ascii="Cambria" w:eastAsia="Times New Roman" w:hAnsi="Cambria" w:cs="Times New Roman"/>
          <w:lang w:eastAsia="en-AU"/>
        </w:rPr>
        <w:tab/>
        <w:t>When an elected lay</w:t>
      </w:r>
      <w:r w:rsidRPr="009A0DA6">
        <w:rPr>
          <w:rFonts w:ascii="Cambria" w:eastAsia="Times New Roman" w:hAnsi="Cambria" w:cs="Times New Roman"/>
          <w:b/>
          <w:lang w:eastAsia="en-AU"/>
        </w:rPr>
        <w:t xml:space="preserve"> </w:t>
      </w:r>
      <w:r w:rsidRPr="009A0DA6">
        <w:rPr>
          <w:rFonts w:ascii="Cambria" w:eastAsia="Times New Roman" w:hAnsi="Cambria" w:cs="Times New Roman"/>
          <w:lang w:eastAsia="en-AU"/>
        </w:rPr>
        <w:t xml:space="preserve">delegate cannot attend a convention of the General Synod and the parish cannot find a substitute from its midst, the parish may request </w:t>
      </w:r>
      <w:r w:rsidRPr="009A0DA6">
        <w:rPr>
          <w:rFonts w:ascii="Cambria" w:eastAsia="Times New Roman" w:hAnsi="Cambria" w:cs="Times New Roman"/>
          <w:strike/>
          <w:lang w:eastAsia="en-AU"/>
        </w:rPr>
        <w:t xml:space="preserve">permission from </w:t>
      </w:r>
      <w:r w:rsidRPr="009A0DA6">
        <w:rPr>
          <w:rFonts w:ascii="Cambria" w:eastAsia="Times New Roman" w:hAnsi="Cambria" w:cs="Times New Roman"/>
          <w:lang w:eastAsia="en-AU"/>
        </w:rPr>
        <w:t xml:space="preserve">the Bishop of the District to </w:t>
      </w:r>
      <w:r w:rsidRPr="009A0DA6">
        <w:rPr>
          <w:rFonts w:ascii="Cambria" w:eastAsia="Times New Roman" w:hAnsi="Cambria" w:cs="Times New Roman"/>
          <w:strike/>
          <w:lang w:eastAsia="en-AU"/>
        </w:rPr>
        <w:t>appoint its pastor, should the pastor not be a pastor delegate, or</w:t>
      </w:r>
      <w:r w:rsidRPr="009A0DA6">
        <w:rPr>
          <w:rFonts w:ascii="Cambria" w:eastAsia="Times New Roman" w:hAnsi="Cambria" w:cs="Times New Roman"/>
          <w:b/>
          <w:strike/>
          <w:lang w:eastAsia="en-AU"/>
        </w:rPr>
        <w:t xml:space="preserve"> </w:t>
      </w:r>
      <w:r w:rsidRPr="009A0DA6">
        <w:rPr>
          <w:rFonts w:ascii="Cambria" w:eastAsia="Times New Roman" w:hAnsi="Cambria" w:cs="Times New Roman"/>
          <w:strike/>
          <w:lang w:eastAsia="en-AU"/>
        </w:rPr>
        <w:t>a member from another parish, to act as the alternate for its elected lay</w:t>
      </w:r>
      <w:r w:rsidRPr="009A0DA6">
        <w:rPr>
          <w:rFonts w:ascii="Cambria" w:eastAsia="Times New Roman" w:hAnsi="Cambria" w:cs="Times New Roman"/>
          <w:b/>
          <w:strike/>
          <w:lang w:eastAsia="en-AU"/>
        </w:rPr>
        <w:t xml:space="preserve"> </w:t>
      </w:r>
      <w:r w:rsidRPr="009A0DA6">
        <w:rPr>
          <w:rFonts w:ascii="Cambria" w:eastAsia="Times New Roman" w:hAnsi="Cambria" w:cs="Times New Roman"/>
          <w:strike/>
          <w:lang w:eastAsia="en-AU"/>
        </w:rPr>
        <w:t>delegate at such convention.</w:t>
      </w:r>
      <w:r w:rsidRPr="009A0DA6">
        <w:rPr>
          <w:rFonts w:ascii="Cambria" w:eastAsia="Times New Roman" w:hAnsi="Cambria" w:cs="Times New Roman"/>
          <w:b/>
          <w:iCs/>
        </w:rPr>
        <w:t xml:space="preserve"> </w:t>
      </w:r>
      <w:r w:rsidRPr="009A0DA6">
        <w:rPr>
          <w:rFonts w:ascii="Cambria" w:eastAsia="Times New Roman" w:hAnsi="Cambria" w:cs="Times New Roman"/>
          <w:b/>
          <w:iCs/>
          <w:lang w:eastAsia="en-AU"/>
        </w:rPr>
        <w:t>recommend to the parish an alternate lay delegate for consideration as its appointed delegate</w:t>
      </w:r>
      <w:r w:rsidRPr="009A0DA6">
        <w:rPr>
          <w:rFonts w:ascii="Cambria" w:eastAsia="Times New Roman" w:hAnsi="Cambria" w:cs="Times New Roman"/>
          <w:iCs/>
          <w:lang w:eastAsia="en-AU"/>
        </w:rPr>
        <w:t>.</w:t>
      </w:r>
    </w:p>
    <w:p w14:paraId="5B197D4A" w14:textId="77777777" w:rsidR="004A186C" w:rsidRPr="009A0DA6" w:rsidRDefault="004A186C" w:rsidP="006F7DEE">
      <w:pPr>
        <w:tabs>
          <w:tab w:val="left" w:pos="1985"/>
          <w:tab w:val="left" w:pos="3119"/>
          <w:tab w:val="left" w:pos="4536"/>
          <w:tab w:val="left" w:pos="5670"/>
        </w:tabs>
        <w:spacing w:after="0" w:line="240" w:lineRule="auto"/>
        <w:ind w:left="567" w:hanging="567"/>
        <w:rPr>
          <w:rFonts w:ascii="Cambria" w:eastAsia="Times New Roman" w:hAnsi="Cambria" w:cs="Times New Roman"/>
          <w:lang w:eastAsia="en-AU"/>
        </w:rPr>
      </w:pPr>
    </w:p>
    <w:p w14:paraId="593EC911" w14:textId="77777777" w:rsidR="006F7DEE" w:rsidRPr="009A0DA6" w:rsidRDefault="006F7DEE" w:rsidP="004A186C">
      <w:pPr>
        <w:pStyle w:val="Heading3"/>
        <w:spacing w:after="0"/>
        <w:rPr>
          <w:rFonts w:eastAsia="SimSun" w:cs="F"/>
        </w:rPr>
      </w:pPr>
      <w:r w:rsidRPr="009A0DA6">
        <w:t>REASONS FOR THE MOTION</w:t>
      </w:r>
    </w:p>
    <w:p w14:paraId="1FB0F7B9" w14:textId="77777777" w:rsidR="00936958" w:rsidRPr="00936958" w:rsidRDefault="00936958" w:rsidP="004A186C">
      <w:pPr>
        <w:pStyle w:val="NoSpacing"/>
        <w:rPr>
          <w:rFonts w:ascii="Segoe UI" w:hAnsi="Segoe UI" w:cs="Segoe UI"/>
          <w:sz w:val="23"/>
          <w:szCs w:val="23"/>
          <w:lang w:eastAsia="en-AU"/>
        </w:rPr>
      </w:pPr>
      <w:r w:rsidRPr="00936958">
        <w:rPr>
          <w:bdr w:val="none" w:sz="0" w:space="0" w:color="auto" w:frame="1"/>
          <w:lang w:eastAsia="en-AU"/>
        </w:rPr>
        <w:t>A principle of the</w:t>
      </w:r>
      <w:r w:rsidRPr="00936958">
        <w:rPr>
          <w:rFonts w:ascii="Century Gothic" w:hAnsi="Century Gothic"/>
          <w:bdr w:val="none" w:sz="0" w:space="0" w:color="auto" w:frame="1"/>
          <w:lang w:eastAsia="en-AU"/>
        </w:rPr>
        <w:t> </w:t>
      </w:r>
      <w:r w:rsidRPr="00936958">
        <w:rPr>
          <w:bdr w:val="none" w:sz="0" w:space="0" w:color="auto" w:frame="1"/>
          <w:lang w:eastAsia="en-AU"/>
        </w:rPr>
        <w:t xml:space="preserve">1966 Constituting Constitution established a ratio of one pastor delegate to every two lay delegates to General Synod. Currently Section 7.1.4, provides for a parish to request the Bishop of their District to appoint their pastor as their Alternate Delegate. This </w:t>
      </w:r>
      <w:r w:rsidRPr="00936958">
        <w:rPr>
          <w:bdr w:val="none" w:sz="0" w:space="0" w:color="auto" w:frame="1"/>
          <w:lang w:eastAsia="en-AU"/>
        </w:rPr>
        <w:lastRenderedPageBreak/>
        <w:t>was often convenient in the past as the General Pastors Conference and General Synod were held at the same time and so there could be cost savings to the Parish in regard to travel costs.</w:t>
      </w:r>
    </w:p>
    <w:p w14:paraId="631C45A7" w14:textId="77777777" w:rsidR="00936958" w:rsidRPr="004A186C" w:rsidRDefault="00936958" w:rsidP="00936958">
      <w:pPr>
        <w:pStyle w:val="NoSpacing"/>
        <w:rPr>
          <w:rFonts w:ascii="Segoe UI" w:hAnsi="Segoe UI" w:cs="Segoe UI"/>
          <w:sz w:val="11"/>
          <w:szCs w:val="23"/>
          <w:lang w:eastAsia="en-AU"/>
        </w:rPr>
      </w:pPr>
      <w:r w:rsidRPr="004A186C">
        <w:rPr>
          <w:sz w:val="10"/>
          <w:bdr w:val="none" w:sz="0" w:space="0" w:color="auto" w:frame="1"/>
          <w:lang w:eastAsia="en-AU"/>
        </w:rPr>
        <w:t> </w:t>
      </w:r>
    </w:p>
    <w:p w14:paraId="4EA90284" w14:textId="77777777" w:rsidR="00936958" w:rsidRPr="00936958" w:rsidRDefault="00936958" w:rsidP="00936958">
      <w:pPr>
        <w:pStyle w:val="NoSpacing"/>
        <w:rPr>
          <w:rFonts w:ascii="Segoe UI" w:hAnsi="Segoe UI" w:cs="Segoe UI"/>
          <w:sz w:val="23"/>
          <w:szCs w:val="23"/>
          <w:lang w:eastAsia="en-AU"/>
        </w:rPr>
      </w:pPr>
      <w:r w:rsidRPr="00936958">
        <w:rPr>
          <w:bdr w:val="none" w:sz="0" w:space="0" w:color="auto" w:frame="1"/>
          <w:lang w:eastAsia="en-AU"/>
        </w:rPr>
        <w:t>However, the original intent was that lay people should be encouraged to be involved in the service of Synod and mechanisms put in place to enable this to occur.</w:t>
      </w:r>
    </w:p>
    <w:p w14:paraId="44D25C8B" w14:textId="77777777" w:rsidR="00936958" w:rsidRPr="004A186C" w:rsidRDefault="00936958" w:rsidP="00936958">
      <w:pPr>
        <w:pStyle w:val="NoSpacing"/>
        <w:rPr>
          <w:rFonts w:ascii="Segoe UI" w:hAnsi="Segoe UI" w:cs="Segoe UI"/>
          <w:sz w:val="2"/>
          <w:szCs w:val="23"/>
          <w:lang w:eastAsia="en-AU"/>
        </w:rPr>
      </w:pPr>
      <w:r w:rsidRPr="004A186C">
        <w:rPr>
          <w:sz w:val="10"/>
          <w:bdr w:val="none" w:sz="0" w:space="0" w:color="auto" w:frame="1"/>
          <w:lang w:eastAsia="en-AU"/>
        </w:rPr>
        <w:t> </w:t>
      </w:r>
    </w:p>
    <w:p w14:paraId="6EF8A12A" w14:textId="6133A172" w:rsidR="00936958" w:rsidRPr="00936958" w:rsidRDefault="005A2015" w:rsidP="00936958">
      <w:pPr>
        <w:pStyle w:val="NoSpacing"/>
        <w:rPr>
          <w:rFonts w:ascii="Segoe UI" w:hAnsi="Segoe UI" w:cs="Segoe UI"/>
          <w:sz w:val="23"/>
          <w:szCs w:val="23"/>
          <w:lang w:eastAsia="en-AU"/>
        </w:rPr>
      </w:pPr>
      <w:r>
        <w:rPr>
          <w:bdr w:val="none" w:sz="0" w:space="0" w:color="auto" w:frame="1"/>
          <w:lang w:eastAsia="en-AU"/>
        </w:rPr>
        <w:t>Also, an aim is to remove any perception that there could be an imbalance in the required ratio of pastors to lay delegates.</w:t>
      </w:r>
      <w:r w:rsidR="00936958" w:rsidRPr="00936958">
        <w:rPr>
          <w:bdr w:val="none" w:sz="0" w:space="0" w:color="auto" w:frame="1"/>
          <w:lang w:eastAsia="en-AU"/>
        </w:rPr>
        <w:br/>
      </w:r>
      <w:r w:rsidR="00936958" w:rsidRPr="004A186C">
        <w:rPr>
          <w:sz w:val="10"/>
          <w:bdr w:val="none" w:sz="0" w:space="0" w:color="auto" w:frame="1"/>
          <w:lang w:eastAsia="en-AU"/>
        </w:rPr>
        <w:br/>
      </w:r>
      <w:r w:rsidR="00936958" w:rsidRPr="00936958">
        <w:rPr>
          <w:bdr w:val="none" w:sz="0" w:space="0" w:color="auto" w:frame="1"/>
          <w:lang w:eastAsia="en-AU"/>
        </w:rPr>
        <w:t>The proposed change to Section 7.1.4, and a corresponding change to Article 7.6 of the Constitution of the Church, will a</w:t>
      </w:r>
      <w:r>
        <w:rPr>
          <w:bdr w:val="none" w:sz="0" w:space="0" w:color="auto" w:frame="1"/>
          <w:lang w:eastAsia="en-AU"/>
        </w:rPr>
        <w:t xml:space="preserve">ddress this issue by requiring </w:t>
      </w:r>
      <w:r w:rsidR="00936958" w:rsidRPr="00936958">
        <w:rPr>
          <w:bdr w:val="none" w:sz="0" w:space="0" w:color="auto" w:frame="1"/>
          <w:lang w:eastAsia="en-AU"/>
        </w:rPr>
        <w:t>the District Bishop to nominate to a parish/congregation an Alternate Lay Delegate should a parish/</w:t>
      </w:r>
      <w:r w:rsidR="00F34C07">
        <w:rPr>
          <w:bdr w:val="none" w:sz="0" w:space="0" w:color="auto" w:frame="1"/>
          <w:lang w:eastAsia="en-AU"/>
        </w:rPr>
        <w:t xml:space="preserve"> </w:t>
      </w:r>
      <w:r w:rsidR="00936958" w:rsidRPr="00936958">
        <w:rPr>
          <w:bdr w:val="none" w:sz="0" w:space="0" w:color="auto" w:frame="1"/>
          <w:lang w:eastAsia="en-AU"/>
        </w:rPr>
        <w:t>congregation be unable to nominate a Lay Delegate from their own membership.</w:t>
      </w:r>
    </w:p>
    <w:p w14:paraId="4854F3BC" w14:textId="77777777" w:rsidR="004C0EDE" w:rsidRPr="009A0DA6" w:rsidRDefault="004C0EDE" w:rsidP="005B418B">
      <w:pPr>
        <w:pStyle w:val="NoSpacing"/>
      </w:pPr>
    </w:p>
    <w:p w14:paraId="59A63217" w14:textId="6EC64465" w:rsidR="000B3A2F" w:rsidRPr="004A186C" w:rsidRDefault="000B3A2F" w:rsidP="000B3A2F">
      <w:pPr>
        <w:pStyle w:val="NoSpacing"/>
        <w:rPr>
          <w:i/>
          <w:sz w:val="42"/>
        </w:rPr>
      </w:pPr>
      <w:r w:rsidRPr="009A0DA6">
        <w:rPr>
          <w:i/>
        </w:rPr>
        <w:t xml:space="preserve"> </w:t>
      </w:r>
    </w:p>
    <w:p w14:paraId="57DC71D9" w14:textId="77777777" w:rsidR="000B3A2F" w:rsidRPr="009A0DA6" w:rsidRDefault="000B3A2F" w:rsidP="00964A90">
      <w:pPr>
        <w:pStyle w:val="Heading3"/>
      </w:pPr>
      <w:r w:rsidRPr="009A0DA6">
        <w:t>agenda 2.4.4</w:t>
      </w:r>
    </w:p>
    <w:p w14:paraId="3F087556" w14:textId="32495E45" w:rsidR="000B3A2F" w:rsidRPr="009A0DA6" w:rsidRDefault="000B3A2F" w:rsidP="000B3A2F">
      <w:pPr>
        <w:pStyle w:val="Heading2"/>
      </w:pPr>
      <w:bookmarkStart w:id="454" w:name="_Toc521954706"/>
      <w:r w:rsidRPr="009A0DA6">
        <w:t xml:space="preserve">Constitutional </w:t>
      </w:r>
      <w:r w:rsidR="00284D80" w:rsidRPr="009A0DA6">
        <w:t>c</w:t>
      </w:r>
      <w:r w:rsidRPr="009A0DA6">
        <w:t>hange</w:t>
      </w:r>
      <w:r w:rsidR="00284D80" w:rsidRPr="009A0DA6">
        <w:t>s</w:t>
      </w:r>
      <w:r w:rsidRPr="009A0DA6">
        <w:t xml:space="preserve">: Change </w:t>
      </w:r>
      <w:r w:rsidR="00174A5E" w:rsidRPr="009A0DA6">
        <w:t>c</w:t>
      </w:r>
      <w:r w:rsidRPr="009A0DA6">
        <w:t xml:space="preserve">ouncil to </w:t>
      </w:r>
      <w:r w:rsidR="00174A5E" w:rsidRPr="009A0DA6">
        <w:t>b</w:t>
      </w:r>
      <w:r w:rsidRPr="009A0DA6">
        <w:t>oard</w:t>
      </w:r>
      <w:bookmarkEnd w:id="454"/>
    </w:p>
    <w:p w14:paraId="428A4679" w14:textId="2EC317BB" w:rsidR="000B3A2F" w:rsidRDefault="000B3A2F" w:rsidP="000B3A2F">
      <w:pPr>
        <w:pStyle w:val="NoSpacing"/>
        <w:rPr>
          <w:sz w:val="16"/>
        </w:rPr>
      </w:pPr>
    </w:p>
    <w:p w14:paraId="0D7225F2" w14:textId="076C228B" w:rsidR="00296DD9" w:rsidRDefault="00296DD9" w:rsidP="000B3A2F">
      <w:pPr>
        <w:pStyle w:val="NoSpacing"/>
      </w:pPr>
      <w:r>
        <w:t>(See also Agenda 2.2.1)</w:t>
      </w:r>
    </w:p>
    <w:p w14:paraId="5A75D9F4" w14:textId="77777777" w:rsidR="00296DD9" w:rsidRPr="009A0DA6" w:rsidRDefault="00296DD9" w:rsidP="000B3A2F">
      <w:pPr>
        <w:pStyle w:val="NoSpacing"/>
        <w:rPr>
          <w:sz w:val="16"/>
        </w:rPr>
      </w:pPr>
    </w:p>
    <w:p w14:paraId="4DBE6ED1" w14:textId="77777777" w:rsidR="000B3A2F" w:rsidRPr="009A0DA6" w:rsidRDefault="006F7DEE" w:rsidP="00964A90">
      <w:pPr>
        <w:pStyle w:val="Heading3"/>
      </w:pPr>
      <w:r w:rsidRPr="009A0DA6">
        <w:t>proposed motion</w:t>
      </w:r>
    </w:p>
    <w:p w14:paraId="3C12F0B8" w14:textId="65EE6335" w:rsidR="006F7DEE" w:rsidRPr="009A0DA6" w:rsidRDefault="006F7DEE" w:rsidP="006F7DEE">
      <w:pPr>
        <w:shd w:val="clear" w:color="auto" w:fill="FFFFFF"/>
        <w:spacing w:after="0" w:line="240" w:lineRule="auto"/>
        <w:rPr>
          <w:rFonts w:ascii="Cambria" w:eastAsia="Times New Roman" w:hAnsi="Cambria" w:cs="Times New Roman"/>
          <w:bCs/>
          <w:color w:val="222222"/>
          <w:lang w:eastAsia="en-AU"/>
        </w:rPr>
      </w:pPr>
      <w:r w:rsidRPr="009A0DA6">
        <w:rPr>
          <w:rFonts w:ascii="Cambria" w:hAnsi="Cambria"/>
          <w:b/>
          <w:bCs/>
          <w:lang w:eastAsia="en-AU"/>
        </w:rPr>
        <w:t>BE IT RESOLVED</w:t>
      </w:r>
      <w:r w:rsidRPr="009A0DA6">
        <w:rPr>
          <w:rFonts w:ascii="Cambria" w:eastAsia="Times New Roman" w:hAnsi="Cambria" w:cs="Times New Roman"/>
          <w:bCs/>
          <w:color w:val="000000"/>
          <w:lang w:eastAsia="en-AU"/>
        </w:rPr>
        <w:t xml:space="preserve"> </w:t>
      </w:r>
      <w:r w:rsidRPr="009A0DA6">
        <w:rPr>
          <w:rFonts w:ascii="Cambria" w:hAnsi="Cambria"/>
          <w:b/>
          <w:bCs/>
          <w:lang w:eastAsia="en-AU"/>
        </w:rPr>
        <w:t>BE IT RESOLVED</w:t>
      </w:r>
      <w:r w:rsidRPr="009A0DA6">
        <w:rPr>
          <w:rFonts w:ascii="Cambria" w:eastAsia="Times New Roman" w:hAnsi="Cambria" w:cs="Times New Roman"/>
          <w:bCs/>
          <w:color w:val="000000"/>
          <w:lang w:eastAsia="en-AU"/>
        </w:rPr>
        <w:t xml:space="preserve"> </w:t>
      </w:r>
      <w:r w:rsidRPr="009A0DA6">
        <w:rPr>
          <w:rFonts w:ascii="Cambria" w:eastAsia="Times New Roman" w:hAnsi="Cambria" w:cs="Times New Roman"/>
          <w:bCs/>
          <w:color w:val="222222"/>
          <w:lang w:eastAsia="en-AU"/>
        </w:rPr>
        <w:t xml:space="preserve">that the </w:t>
      </w:r>
      <w:r w:rsidRPr="009A0DA6">
        <w:rPr>
          <w:rFonts w:ascii="Cambria" w:eastAsia="Times New Roman" w:hAnsi="Cambria" w:cs="Times New Roman"/>
          <w:b/>
          <w:bCs/>
          <w:color w:val="222222"/>
          <w:lang w:eastAsia="en-AU"/>
        </w:rPr>
        <w:t>Constitution of the Church</w:t>
      </w:r>
      <w:r w:rsidRPr="009A0DA6">
        <w:rPr>
          <w:rFonts w:ascii="Cambria" w:eastAsia="Times New Roman" w:hAnsi="Cambria" w:cs="Times New Roman"/>
          <w:bCs/>
          <w:color w:val="222222"/>
          <w:lang w:eastAsia="en-AU"/>
        </w:rPr>
        <w:t xml:space="preserve"> and the </w:t>
      </w:r>
      <w:r w:rsidRPr="009A0DA6">
        <w:rPr>
          <w:rFonts w:ascii="Cambria" w:eastAsia="Times New Roman" w:hAnsi="Cambria" w:cs="Times New Roman"/>
          <w:b/>
          <w:bCs/>
          <w:color w:val="222222"/>
          <w:lang w:eastAsia="en-AU"/>
        </w:rPr>
        <w:t>By-laws of the Church</w:t>
      </w:r>
      <w:r w:rsidRPr="009A0DA6">
        <w:rPr>
          <w:rFonts w:ascii="Cambria" w:eastAsia="Times New Roman" w:hAnsi="Cambria" w:cs="Times New Roman"/>
          <w:bCs/>
          <w:color w:val="222222"/>
          <w:lang w:eastAsia="en-AU"/>
        </w:rPr>
        <w:t xml:space="preserve"> be amended to replace the title “General Church Council” with the title “General Church Board” in the following instances, including those which m</w:t>
      </w:r>
      <w:r w:rsidR="004C0EDE" w:rsidRPr="009A0DA6">
        <w:rPr>
          <w:rFonts w:ascii="Cambria" w:eastAsia="Times New Roman" w:hAnsi="Cambria" w:cs="Times New Roman"/>
          <w:bCs/>
          <w:color w:val="222222"/>
          <w:lang w:eastAsia="en-AU"/>
        </w:rPr>
        <w:t>ay be included in other motions:</w:t>
      </w:r>
    </w:p>
    <w:p w14:paraId="3DA9AA2C" w14:textId="77777777" w:rsidR="006F7DEE" w:rsidRPr="009A0DA6" w:rsidRDefault="006F7DEE" w:rsidP="006F7DEE">
      <w:pPr>
        <w:shd w:val="clear" w:color="auto" w:fill="FFFFFF"/>
        <w:spacing w:after="0" w:line="240" w:lineRule="auto"/>
        <w:rPr>
          <w:rFonts w:ascii="Cambria" w:eastAsia="Times New Roman" w:hAnsi="Cambria" w:cs="Times New Roman"/>
          <w:bCs/>
          <w:color w:val="222222"/>
          <w:sz w:val="10"/>
          <w:lang w:eastAsia="en-AU"/>
        </w:rPr>
      </w:pPr>
    </w:p>
    <w:p w14:paraId="30F21FF8" w14:textId="77777777" w:rsidR="006F7DEE" w:rsidRPr="009A0DA6" w:rsidRDefault="006F7DEE" w:rsidP="006F7DEE">
      <w:pPr>
        <w:shd w:val="clear" w:color="auto" w:fill="FFFFFF"/>
        <w:spacing w:after="0" w:line="240" w:lineRule="auto"/>
        <w:rPr>
          <w:rFonts w:ascii="Cambria" w:eastAsia="Times New Roman" w:hAnsi="Cambria" w:cs="Times New Roman"/>
          <w:lang w:eastAsia="en-AU"/>
        </w:rPr>
      </w:pPr>
      <w:r w:rsidRPr="009A0DA6">
        <w:rPr>
          <w:rFonts w:ascii="Cambria" w:eastAsia="Times New Roman" w:hAnsi="Cambria" w:cs="Times New Roman"/>
          <w:lang w:eastAsia="en-AU"/>
        </w:rPr>
        <w:t>Article 5.2;  Article 7.2.3;  Article 7.2.9;  Article 7.4.2;  Article 7.9;  Article 7.10.1;  Article 7.10.2;  Article 7.11;  Article 8.3.1;  Article 8.3.2;  Article 8.3.3;  Article 8.8;  Article 8.9;  Article 8.10;  Article 8.11;  Article 9.2;  Article 13.3;  Section 5.1.2.3;  Section 5.2.1.5;  Section 5.6.2.1;  Section 5.6.3.3;  Section 7.1.2.3;  Section 7.1.7.2;  Section 7.2.1;  Section 7.2.2.5;  Section 7.2.3;  Section 7.2.4;  Section 7.2.9.1;  Section 7.3.30;  Section 7.4;  Section 7.4.3;  Section 7.4.4;  Section 7.4.5.1;  Section 7.4.8;  Section 7.5.2;  Section 7.5.4;  Section 7.5.5;  Section 7.6.1;  Section 7.6.1.1;  Section 7.6.1.2;  Section 7.6.1.3;  Section 7.6.1.5;  Section 7.7.1;  Section 7.7.2;  Section 7.7.3;  Section 7.7.4.3;  Section 8.1.2;  Section 8.1.3;  Section 8.1.8;  Section 8.1.9.2;  Section 8.2.1.1.12;  Section 8.2.2.2;  Section 8.3.1.5;  Section 8.4.1;  Section 8.4.3;  Section 8.4.4.1;  Section 8.4.4.2;  Section 8.4.4.2.1;  Section 8.4.4.2.2;  Section 8.4.4.2.6;  Section 8.4.4.3;  Section 8.6.3.7;  Section 8.6.3.8;  Section 8.7.7.3;  Section 8.7.11.1;  Section 8.7.11.2;  Section 8.7.11.3;  Section 8.7.11.4;  Section 8.7.11.5;  Section 8.7.11.6;  Section 8.7.11.7;  Section 8.7.11.9;  Section 8.7.11.11;  Section 8.7.13;  Section 8.8.1.1;  Section 8.8.1.2;  Section 8.8.1.3;  Section 8.8.2.1;  Section 8.9.3;  Section 8.10.2;  Section 8.10.3.2;  Section 8.10.4;  Section 9.3.1;  Section 9.5.1;  Section 9.5.2;  Section 10.3.5.2;  Section 10.3.8.5;  Section 10.3.14;  Section 10.3.16;  Section 10.3.17;  Section 10.3.17.1;  Section 10.3.18 and Section 10.3.20.</w:t>
      </w:r>
    </w:p>
    <w:p w14:paraId="53C13998" w14:textId="77777777" w:rsidR="006F7DEE" w:rsidRPr="009A0DA6" w:rsidRDefault="006F7DEE" w:rsidP="006F7DEE">
      <w:pPr>
        <w:shd w:val="clear" w:color="auto" w:fill="FFFFFF"/>
        <w:spacing w:after="0" w:line="240" w:lineRule="auto"/>
        <w:rPr>
          <w:rFonts w:ascii="Cambria" w:eastAsia="Times New Roman" w:hAnsi="Cambria" w:cs="Times New Roman"/>
          <w:sz w:val="16"/>
          <w:lang w:eastAsia="en-AU"/>
        </w:rPr>
      </w:pPr>
    </w:p>
    <w:p w14:paraId="36CB6784" w14:textId="783BEB6A" w:rsidR="006F7DEE" w:rsidRPr="009A0DA6" w:rsidRDefault="006F7DEE" w:rsidP="006F7DEE">
      <w:pPr>
        <w:shd w:val="clear" w:color="auto" w:fill="FFFFFF"/>
        <w:spacing w:after="0" w:line="240" w:lineRule="auto"/>
        <w:rPr>
          <w:rFonts w:ascii="Cambria" w:eastAsia="Times New Roman" w:hAnsi="Cambria" w:cs="Times New Roman"/>
          <w:bCs/>
          <w:color w:val="222222"/>
          <w:lang w:eastAsia="en-AU"/>
        </w:rPr>
      </w:pPr>
      <w:r w:rsidRPr="009A0DA6">
        <w:rPr>
          <w:rFonts w:ascii="Cambria" w:eastAsia="Times New Roman" w:hAnsi="Cambria" w:cs="Times New Roman"/>
          <w:b/>
          <w:bCs/>
          <w:color w:val="222222"/>
          <w:lang w:eastAsia="en-AU"/>
        </w:rPr>
        <w:t xml:space="preserve">BE  IT  FURTHER  RESOLVED  </w:t>
      </w:r>
      <w:r w:rsidRPr="009A0DA6">
        <w:rPr>
          <w:rFonts w:ascii="Cambria" w:eastAsia="Times New Roman" w:hAnsi="Cambria" w:cs="Times New Roman"/>
          <w:bCs/>
          <w:color w:val="222222"/>
          <w:lang w:eastAsia="en-AU"/>
        </w:rPr>
        <w:t xml:space="preserve">that the By-laws of the Church, the </w:t>
      </w:r>
      <w:r w:rsidRPr="009A0DA6">
        <w:rPr>
          <w:rFonts w:ascii="Cambria" w:eastAsia="Times New Roman" w:hAnsi="Cambria" w:cs="Times New Roman"/>
          <w:b/>
          <w:bCs/>
          <w:color w:val="222222"/>
          <w:lang w:eastAsia="en-AU"/>
        </w:rPr>
        <w:t>Constitution of the Districts</w:t>
      </w:r>
      <w:r w:rsidRPr="009A0DA6">
        <w:rPr>
          <w:rFonts w:ascii="Cambria" w:eastAsia="Times New Roman" w:hAnsi="Cambria" w:cs="Times New Roman"/>
          <w:bCs/>
          <w:color w:val="222222"/>
          <w:lang w:eastAsia="en-AU"/>
        </w:rPr>
        <w:t xml:space="preserve"> and the </w:t>
      </w:r>
      <w:r w:rsidRPr="009A0DA6">
        <w:rPr>
          <w:rFonts w:ascii="Cambria" w:eastAsia="Times New Roman" w:hAnsi="Cambria" w:cs="Times New Roman"/>
          <w:b/>
          <w:bCs/>
          <w:color w:val="222222"/>
          <w:lang w:eastAsia="en-AU"/>
        </w:rPr>
        <w:t>By-laws Part A of the Districts</w:t>
      </w:r>
      <w:r w:rsidRPr="009A0DA6">
        <w:rPr>
          <w:rFonts w:ascii="Cambria" w:eastAsia="Times New Roman" w:hAnsi="Cambria" w:cs="Times New Roman"/>
          <w:bCs/>
          <w:color w:val="222222"/>
          <w:lang w:eastAsia="en-AU"/>
        </w:rPr>
        <w:t xml:space="preserve"> be amended to replace the title “General Church Council” with the title “General Church Board” in the following instances, including those which m</w:t>
      </w:r>
      <w:r w:rsidR="004C0EDE" w:rsidRPr="009A0DA6">
        <w:rPr>
          <w:rFonts w:ascii="Cambria" w:eastAsia="Times New Roman" w:hAnsi="Cambria" w:cs="Times New Roman"/>
          <w:bCs/>
          <w:color w:val="222222"/>
          <w:lang w:eastAsia="en-AU"/>
        </w:rPr>
        <w:t>ay be included in other motions:</w:t>
      </w:r>
    </w:p>
    <w:p w14:paraId="344F10FD" w14:textId="77777777" w:rsidR="006F7DEE" w:rsidRPr="009A0DA6" w:rsidRDefault="006F7DEE" w:rsidP="006F7DEE">
      <w:pPr>
        <w:shd w:val="clear" w:color="auto" w:fill="FFFFFF"/>
        <w:spacing w:after="0" w:line="240" w:lineRule="auto"/>
        <w:rPr>
          <w:rFonts w:ascii="Cambria" w:eastAsia="Times New Roman" w:hAnsi="Cambria" w:cs="Times New Roman"/>
          <w:bCs/>
          <w:color w:val="222222"/>
          <w:sz w:val="10"/>
          <w:lang w:eastAsia="en-AU"/>
        </w:rPr>
      </w:pPr>
    </w:p>
    <w:p w14:paraId="584B922D" w14:textId="21C3D6BE" w:rsidR="006F7DEE" w:rsidRPr="009A0DA6" w:rsidRDefault="006F7DEE" w:rsidP="006F7DEE">
      <w:pPr>
        <w:shd w:val="clear" w:color="auto" w:fill="FFFFFF"/>
        <w:spacing w:after="0" w:line="240" w:lineRule="auto"/>
        <w:rPr>
          <w:rFonts w:ascii="Cambria" w:eastAsia="Times New Roman" w:hAnsi="Cambria" w:cs="Times New Roman"/>
          <w:lang w:eastAsia="en-AU"/>
        </w:rPr>
      </w:pPr>
      <w:r w:rsidRPr="009A0DA6">
        <w:rPr>
          <w:rFonts w:ascii="Cambria" w:eastAsia="Times New Roman" w:hAnsi="Cambria" w:cs="Times New Roman"/>
          <w:lang w:eastAsia="en-AU"/>
        </w:rPr>
        <w:t>Note: at the beginning; Article 11.2.1; Article 11.2.3.4;  Article 11.3.1;  Article 11.3.2.4;  Article 11.3.3;  Article 12.1;  Article 13.1;  Article 13.2;  Section 7.2.6 and Section 8.5.2.</w:t>
      </w:r>
    </w:p>
    <w:p w14:paraId="7111F92F" w14:textId="77777777" w:rsidR="004C0EDE" w:rsidRPr="009A0DA6" w:rsidRDefault="004C0EDE" w:rsidP="006F7DEE">
      <w:pPr>
        <w:shd w:val="clear" w:color="auto" w:fill="FFFFFF"/>
        <w:spacing w:after="0" w:line="240" w:lineRule="auto"/>
        <w:rPr>
          <w:rFonts w:ascii="Cambria" w:eastAsia="Times New Roman" w:hAnsi="Cambria" w:cs="Times New Roman"/>
          <w:sz w:val="12"/>
          <w:lang w:eastAsia="en-AU"/>
        </w:rPr>
      </w:pPr>
    </w:p>
    <w:p w14:paraId="65B99EEB" w14:textId="77777777" w:rsidR="006F7DEE" w:rsidRPr="009A0DA6" w:rsidRDefault="006F7DEE" w:rsidP="004C0EDE">
      <w:pPr>
        <w:pStyle w:val="Heading3"/>
        <w:spacing w:after="0"/>
      </w:pPr>
      <w:r w:rsidRPr="009A0DA6">
        <w:t>REASONS FOR THE MOTION</w:t>
      </w:r>
    </w:p>
    <w:p w14:paraId="6B4883B2" w14:textId="1443AA4A" w:rsidR="006F7DEE" w:rsidRDefault="006F7DEE" w:rsidP="004C0EDE">
      <w:pPr>
        <w:shd w:val="clear" w:color="auto" w:fill="FFFFFF"/>
        <w:spacing w:after="0" w:line="240" w:lineRule="auto"/>
        <w:rPr>
          <w:rFonts w:ascii="Cambria" w:hAnsi="Cambria" w:cs="Arial"/>
          <w:color w:val="222222"/>
          <w:shd w:val="clear" w:color="auto" w:fill="FFFFFF"/>
        </w:rPr>
      </w:pPr>
      <w:r w:rsidRPr="009A0DA6">
        <w:rPr>
          <w:rFonts w:ascii="Cambria" w:hAnsi="Cambria" w:cs="Arial"/>
          <w:color w:val="222222"/>
          <w:shd w:val="clear" w:color="auto" w:fill="FFFFFF"/>
        </w:rPr>
        <w:t xml:space="preserve"> As a result of the proposed governance changes, the view is that the word “board” is more appropriate for this body which is the overall governing body of the Church under the Synod.</w:t>
      </w:r>
    </w:p>
    <w:p w14:paraId="5D4CB2D3" w14:textId="626E29E5" w:rsidR="000B3A2F" w:rsidRDefault="000B3A2F" w:rsidP="004A186C">
      <w:pPr>
        <w:pStyle w:val="Heading3"/>
        <w:spacing w:after="0"/>
      </w:pPr>
      <w:r w:rsidRPr="009A0DA6">
        <w:lastRenderedPageBreak/>
        <w:t>agenda 2.4.5</w:t>
      </w:r>
    </w:p>
    <w:p w14:paraId="374A1739" w14:textId="77777777" w:rsidR="00786120" w:rsidRPr="00786120" w:rsidRDefault="00786120" w:rsidP="00786120">
      <w:pPr>
        <w:pStyle w:val="NoSpacing"/>
        <w:rPr>
          <w:sz w:val="8"/>
        </w:rPr>
      </w:pPr>
    </w:p>
    <w:p w14:paraId="62753CA4" w14:textId="77777777" w:rsidR="000B3A2F" w:rsidRPr="009A0DA6" w:rsidRDefault="001C7AAD" w:rsidP="004A186C">
      <w:pPr>
        <w:pStyle w:val="Heading2"/>
      </w:pPr>
      <w:bookmarkStart w:id="455" w:name="_Toc521954707"/>
      <w:r w:rsidRPr="009A0DA6">
        <w:t xml:space="preserve">Constitutional </w:t>
      </w:r>
      <w:r w:rsidR="00284D80" w:rsidRPr="009A0DA6">
        <w:t>c</w:t>
      </w:r>
      <w:r w:rsidRPr="009A0DA6">
        <w:t>hange</w:t>
      </w:r>
      <w:r w:rsidR="00284D80" w:rsidRPr="009A0DA6">
        <w:t>s</w:t>
      </w:r>
      <w:r w:rsidRPr="009A0DA6">
        <w:t xml:space="preserve">: </w:t>
      </w:r>
      <w:r w:rsidR="0055189F" w:rsidRPr="009A0DA6">
        <w:t>Care for children and the vulnerable</w:t>
      </w:r>
      <w:bookmarkEnd w:id="455"/>
    </w:p>
    <w:p w14:paraId="46A4404F" w14:textId="77777777" w:rsidR="001C7AAD" w:rsidRPr="009A0DA6" w:rsidRDefault="001C7AAD" w:rsidP="001C7AAD">
      <w:pPr>
        <w:pStyle w:val="NoSpacing"/>
        <w:rPr>
          <w:sz w:val="6"/>
        </w:rPr>
      </w:pPr>
    </w:p>
    <w:p w14:paraId="264403A6" w14:textId="77777777" w:rsidR="001C7AAD" w:rsidRPr="009A0DA6" w:rsidRDefault="0055189F" w:rsidP="004C0EDE">
      <w:pPr>
        <w:pStyle w:val="Heading3"/>
        <w:spacing w:after="0"/>
      </w:pPr>
      <w:r w:rsidRPr="009A0DA6">
        <w:t>proposED Motion</w:t>
      </w:r>
    </w:p>
    <w:p w14:paraId="0ADBC559" w14:textId="77777777" w:rsidR="0055189F" w:rsidRPr="009A0DA6" w:rsidRDefault="0055189F" w:rsidP="004C0EDE">
      <w:pPr>
        <w:shd w:val="clear" w:color="auto" w:fill="FFFFFF"/>
        <w:spacing w:after="0" w:line="240" w:lineRule="auto"/>
        <w:rPr>
          <w:rFonts w:ascii="Cambria" w:eastAsia="Times New Roman" w:hAnsi="Cambria" w:cs="Times New Roman"/>
          <w:bCs/>
          <w:color w:val="222222"/>
          <w:lang w:eastAsia="en-AU"/>
        </w:rPr>
      </w:pPr>
      <w:r w:rsidRPr="009A0DA6">
        <w:rPr>
          <w:rFonts w:ascii="Cambria" w:hAnsi="Cambria"/>
          <w:b/>
          <w:bCs/>
          <w:lang w:eastAsia="en-AU"/>
        </w:rPr>
        <w:t>BE IT RESOLVED</w:t>
      </w:r>
      <w:r w:rsidRPr="009A0DA6">
        <w:rPr>
          <w:rFonts w:ascii="Cambria" w:eastAsia="Times New Roman" w:hAnsi="Cambria" w:cs="Times New Roman"/>
          <w:b/>
          <w:bCs/>
          <w:color w:val="222222"/>
          <w:lang w:eastAsia="en-AU"/>
        </w:rPr>
        <w:t xml:space="preserve"> </w:t>
      </w:r>
      <w:r w:rsidRPr="009A0DA6">
        <w:rPr>
          <w:rFonts w:ascii="Cambria" w:eastAsia="Times New Roman" w:hAnsi="Cambria" w:cs="Times New Roman"/>
          <w:bCs/>
          <w:color w:val="222222"/>
          <w:lang w:eastAsia="en-AU"/>
        </w:rPr>
        <w:t xml:space="preserve">that </w:t>
      </w:r>
      <w:r w:rsidRPr="009A0DA6">
        <w:rPr>
          <w:rFonts w:ascii="Cambria" w:eastAsia="Times New Roman" w:hAnsi="Cambria" w:cs="Times New Roman"/>
          <w:b/>
          <w:bCs/>
          <w:color w:val="222222"/>
          <w:lang w:eastAsia="en-AU"/>
        </w:rPr>
        <w:t>Article 3 Objects</w:t>
      </w:r>
      <w:r w:rsidRPr="009A0DA6">
        <w:rPr>
          <w:rFonts w:ascii="Cambria" w:eastAsia="Times New Roman" w:hAnsi="Cambria" w:cs="Times New Roman"/>
          <w:bCs/>
          <w:color w:val="222222"/>
          <w:lang w:eastAsia="en-AU"/>
        </w:rPr>
        <w:t xml:space="preserve"> of the Constitution of the Church be amended in sub-clause 3.1.14 to include provisions for the care of children and the vulnerable as follows (words to be deleted – </w:t>
      </w:r>
      <w:r w:rsidRPr="009A0DA6">
        <w:rPr>
          <w:rFonts w:ascii="Cambria" w:eastAsia="Times New Roman" w:hAnsi="Cambria" w:cs="Times New Roman"/>
          <w:bCs/>
          <w:strike/>
          <w:color w:val="222222"/>
          <w:lang w:eastAsia="en-AU"/>
        </w:rPr>
        <w:t>strikethrough</w:t>
      </w:r>
      <w:r w:rsidRPr="009A0DA6">
        <w:rPr>
          <w:rFonts w:ascii="Cambria" w:eastAsia="Times New Roman" w:hAnsi="Cambria" w:cs="Times New Roman"/>
          <w:bCs/>
          <w:color w:val="222222"/>
          <w:lang w:eastAsia="en-AU"/>
        </w:rPr>
        <w:t xml:space="preserve">;  words to be added – </w:t>
      </w:r>
      <w:r w:rsidRPr="009A0DA6">
        <w:rPr>
          <w:rFonts w:ascii="Cambria" w:eastAsia="Times New Roman" w:hAnsi="Cambria" w:cs="Times New Roman"/>
          <w:b/>
          <w:bCs/>
          <w:color w:val="222222"/>
          <w:lang w:eastAsia="en-AU"/>
        </w:rPr>
        <w:t>bold</w:t>
      </w:r>
      <w:r w:rsidRPr="009A0DA6">
        <w:rPr>
          <w:rFonts w:ascii="Cambria" w:eastAsia="Times New Roman" w:hAnsi="Cambria" w:cs="Times New Roman"/>
          <w:bCs/>
          <w:color w:val="222222"/>
          <w:lang w:eastAsia="en-AU"/>
        </w:rPr>
        <w:t>):</w:t>
      </w:r>
    </w:p>
    <w:p w14:paraId="2C2EA201" w14:textId="77777777" w:rsidR="0055189F" w:rsidRPr="009A0DA6" w:rsidRDefault="0055189F" w:rsidP="0055189F">
      <w:pPr>
        <w:shd w:val="clear" w:color="auto" w:fill="FFFFFF"/>
        <w:spacing w:after="0" w:line="240" w:lineRule="auto"/>
        <w:rPr>
          <w:rFonts w:ascii="Cambria" w:eastAsia="Times New Roman" w:hAnsi="Cambria" w:cs="Times New Roman"/>
          <w:bCs/>
          <w:color w:val="222222"/>
          <w:sz w:val="6"/>
          <w:lang w:eastAsia="en-AU"/>
        </w:rPr>
      </w:pPr>
    </w:p>
    <w:p w14:paraId="1409BC75" w14:textId="64F03A24" w:rsidR="0055189F" w:rsidRPr="009A0DA6" w:rsidRDefault="0055189F" w:rsidP="0055189F">
      <w:pPr>
        <w:tabs>
          <w:tab w:val="left" w:pos="851"/>
          <w:tab w:val="left" w:pos="1985"/>
          <w:tab w:val="left" w:pos="3119"/>
          <w:tab w:val="left" w:pos="4536"/>
          <w:tab w:val="left" w:pos="5670"/>
        </w:tabs>
        <w:spacing w:after="0" w:line="240" w:lineRule="auto"/>
        <w:jc w:val="center"/>
        <w:rPr>
          <w:rFonts w:ascii="Cambria" w:eastAsia="Times New Roman" w:hAnsi="Cambria" w:cs="Times New Roman"/>
          <w:b/>
          <w:lang w:eastAsia="en-AU"/>
        </w:rPr>
      </w:pPr>
      <w:r w:rsidRPr="009A0DA6">
        <w:rPr>
          <w:rFonts w:ascii="Cambria" w:eastAsia="Times New Roman" w:hAnsi="Cambria" w:cs="Times New Roman"/>
          <w:b/>
          <w:lang w:eastAsia="en-AU"/>
        </w:rPr>
        <w:t>ARTICLE  3</w:t>
      </w:r>
      <w:r w:rsidR="0027799A" w:rsidRPr="009A0DA6">
        <w:rPr>
          <w:rFonts w:ascii="Cambria" w:eastAsia="Times New Roman" w:hAnsi="Cambria" w:cs="Times New Roman"/>
          <w:b/>
          <w:lang w:eastAsia="en-AU"/>
        </w:rPr>
        <w:t xml:space="preserve">. </w:t>
      </w:r>
      <w:r w:rsidRPr="009A0DA6">
        <w:rPr>
          <w:rFonts w:ascii="Cambria" w:eastAsia="Times New Roman" w:hAnsi="Cambria" w:cs="Times New Roman"/>
          <w:b/>
          <w:lang w:eastAsia="en-AU"/>
        </w:rPr>
        <w:t xml:space="preserve"> OBJECTS</w:t>
      </w:r>
    </w:p>
    <w:p w14:paraId="25430D1C" w14:textId="77777777" w:rsidR="0055189F" w:rsidRPr="009A0DA6" w:rsidRDefault="0055189F" w:rsidP="004C0EDE">
      <w:pPr>
        <w:tabs>
          <w:tab w:val="left" w:pos="284"/>
          <w:tab w:val="left" w:pos="1985"/>
          <w:tab w:val="left" w:pos="3119"/>
          <w:tab w:val="left" w:pos="4536"/>
          <w:tab w:val="left" w:pos="5670"/>
        </w:tabs>
        <w:spacing w:after="0" w:line="240" w:lineRule="auto"/>
        <w:ind w:left="426" w:hanging="426"/>
        <w:rPr>
          <w:rFonts w:ascii="Cambria" w:eastAsia="Times New Roman" w:hAnsi="Cambria" w:cs="Times New Roman"/>
          <w:lang w:eastAsia="en-AU"/>
        </w:rPr>
      </w:pPr>
      <w:r w:rsidRPr="009A0DA6">
        <w:rPr>
          <w:rFonts w:ascii="Cambria" w:eastAsia="Times New Roman" w:hAnsi="Cambria" w:cs="Times New Roman"/>
          <w:lang w:eastAsia="en-AU"/>
        </w:rPr>
        <w:t>3.1</w:t>
      </w:r>
      <w:r w:rsidRPr="009A0DA6">
        <w:rPr>
          <w:rFonts w:ascii="Cambria" w:eastAsia="Times New Roman" w:hAnsi="Cambria" w:cs="Times New Roman"/>
          <w:lang w:eastAsia="en-AU"/>
        </w:rPr>
        <w:tab/>
        <w:t>The Objects of the Church are to</w:t>
      </w:r>
    </w:p>
    <w:p w14:paraId="185ABE1F" w14:textId="77777777" w:rsidR="0055189F" w:rsidRPr="009A0DA6" w:rsidRDefault="0055189F" w:rsidP="004C0EDE">
      <w:pPr>
        <w:tabs>
          <w:tab w:val="left" w:pos="426"/>
          <w:tab w:val="left" w:pos="1134"/>
          <w:tab w:val="left" w:pos="3119"/>
          <w:tab w:val="left" w:pos="4536"/>
          <w:tab w:val="left" w:pos="5670"/>
        </w:tabs>
        <w:spacing w:after="0" w:line="240" w:lineRule="auto"/>
        <w:ind w:left="1134" w:hanging="1134"/>
        <w:rPr>
          <w:rFonts w:ascii="Cambria" w:eastAsia="Times New Roman" w:hAnsi="Cambria" w:cs="Times New Roman"/>
          <w:lang w:eastAsia="en-AU"/>
        </w:rPr>
      </w:pPr>
      <w:r w:rsidRPr="009A0DA6">
        <w:rPr>
          <w:rFonts w:ascii="Cambria" w:eastAsia="Times New Roman" w:hAnsi="Cambria" w:cs="Times New Roman"/>
          <w:lang w:eastAsia="en-AU"/>
        </w:rPr>
        <w:tab/>
        <w:t>3.1.1</w:t>
      </w:r>
      <w:r w:rsidRPr="009A0DA6">
        <w:rPr>
          <w:rFonts w:ascii="Cambria" w:eastAsia="Times New Roman" w:hAnsi="Cambria" w:cs="Times New Roman"/>
          <w:lang w:eastAsia="en-AU"/>
        </w:rPr>
        <w:tab/>
        <w:t>fulfil the mission of the Christian Church in the world by proclaiming the Word of God and administering the Sacraments in accordance with the Confession of the Church laid down in the preceding Article 2;</w:t>
      </w:r>
    </w:p>
    <w:p w14:paraId="6C3C61A8" w14:textId="77777777" w:rsidR="0055189F" w:rsidRPr="009A0DA6" w:rsidRDefault="0055189F" w:rsidP="004C0EDE">
      <w:pPr>
        <w:tabs>
          <w:tab w:val="left" w:pos="426"/>
          <w:tab w:val="left" w:pos="1134"/>
          <w:tab w:val="left" w:pos="3119"/>
          <w:tab w:val="left" w:pos="4536"/>
          <w:tab w:val="left" w:pos="5670"/>
        </w:tabs>
        <w:spacing w:after="0" w:line="240" w:lineRule="auto"/>
        <w:ind w:left="1134" w:hanging="1134"/>
        <w:rPr>
          <w:rFonts w:ascii="Cambria" w:eastAsia="Times New Roman" w:hAnsi="Cambria" w:cs="Times New Roman"/>
          <w:lang w:eastAsia="en-AU"/>
        </w:rPr>
      </w:pPr>
      <w:r w:rsidRPr="009A0DA6">
        <w:rPr>
          <w:rFonts w:ascii="Cambria" w:eastAsia="Times New Roman" w:hAnsi="Cambria" w:cs="Times New Roman"/>
          <w:lang w:eastAsia="en-AU"/>
        </w:rPr>
        <w:tab/>
        <w:t>3.1.2</w:t>
      </w:r>
      <w:r w:rsidRPr="009A0DA6">
        <w:rPr>
          <w:rFonts w:ascii="Cambria" w:eastAsia="Times New Roman" w:hAnsi="Cambria" w:cs="Times New Roman"/>
          <w:lang w:eastAsia="en-AU"/>
        </w:rPr>
        <w:tab/>
        <w:t>unite in one body Evangelical Lutheran congregations in Australia and New Zealand for the more effective work of the Church;</w:t>
      </w:r>
    </w:p>
    <w:p w14:paraId="637B6549" w14:textId="77777777" w:rsidR="0055189F" w:rsidRPr="009A0DA6" w:rsidRDefault="0055189F" w:rsidP="004C0EDE">
      <w:pPr>
        <w:tabs>
          <w:tab w:val="left" w:pos="426"/>
          <w:tab w:val="left" w:pos="1134"/>
          <w:tab w:val="left" w:pos="3119"/>
          <w:tab w:val="left" w:pos="4536"/>
          <w:tab w:val="left" w:pos="5670"/>
        </w:tabs>
        <w:spacing w:after="0" w:line="240" w:lineRule="auto"/>
        <w:ind w:left="1134" w:hanging="1134"/>
        <w:rPr>
          <w:rFonts w:ascii="Cambria" w:eastAsia="Times New Roman" w:hAnsi="Cambria" w:cs="Times New Roman"/>
          <w:lang w:eastAsia="en-AU"/>
        </w:rPr>
      </w:pPr>
      <w:r w:rsidRPr="009A0DA6">
        <w:rPr>
          <w:rFonts w:ascii="Cambria" w:eastAsia="Times New Roman" w:hAnsi="Cambria" w:cs="Times New Roman"/>
          <w:lang w:eastAsia="en-AU"/>
        </w:rPr>
        <w:tab/>
        <w:t>3.1.3</w:t>
      </w:r>
      <w:r w:rsidRPr="009A0DA6">
        <w:rPr>
          <w:rFonts w:ascii="Cambria" w:eastAsia="Times New Roman" w:hAnsi="Cambria" w:cs="Times New Roman"/>
          <w:lang w:eastAsia="en-AU"/>
        </w:rPr>
        <w:tab/>
        <w:t>promote and maintain true Christian unity in the bond of peace;</w:t>
      </w:r>
    </w:p>
    <w:p w14:paraId="0FE99A15" w14:textId="77777777" w:rsidR="0055189F" w:rsidRPr="009A0DA6" w:rsidRDefault="0055189F" w:rsidP="004C0EDE">
      <w:pPr>
        <w:tabs>
          <w:tab w:val="left" w:pos="426"/>
          <w:tab w:val="left" w:pos="1134"/>
          <w:tab w:val="left" w:pos="3119"/>
          <w:tab w:val="left" w:pos="4536"/>
          <w:tab w:val="left" w:pos="5670"/>
        </w:tabs>
        <w:spacing w:after="0" w:line="240" w:lineRule="auto"/>
        <w:ind w:left="1134" w:hanging="1134"/>
        <w:rPr>
          <w:rFonts w:ascii="Cambria" w:eastAsia="Times New Roman" w:hAnsi="Cambria" w:cs="Times New Roman"/>
          <w:lang w:eastAsia="en-AU"/>
        </w:rPr>
      </w:pPr>
      <w:r w:rsidRPr="009A0DA6">
        <w:rPr>
          <w:rFonts w:ascii="Cambria" w:eastAsia="Times New Roman" w:hAnsi="Cambria" w:cs="Times New Roman"/>
          <w:lang w:eastAsia="en-AU"/>
        </w:rPr>
        <w:tab/>
        <w:t>3.1.4</w:t>
      </w:r>
      <w:r w:rsidRPr="009A0DA6">
        <w:rPr>
          <w:rFonts w:ascii="Cambria" w:eastAsia="Times New Roman" w:hAnsi="Cambria" w:cs="Times New Roman"/>
          <w:lang w:eastAsia="en-AU"/>
        </w:rPr>
        <w:tab/>
        <w:t>ensure that preaching, teaching and practice in the Church are in conformity with the Confession of the Church;</w:t>
      </w:r>
    </w:p>
    <w:p w14:paraId="0FC8D513" w14:textId="77777777" w:rsidR="0055189F" w:rsidRPr="009A0DA6" w:rsidRDefault="0055189F" w:rsidP="004C0EDE">
      <w:pPr>
        <w:tabs>
          <w:tab w:val="left" w:pos="426"/>
          <w:tab w:val="left" w:pos="1134"/>
          <w:tab w:val="left" w:pos="3119"/>
          <w:tab w:val="left" w:pos="4536"/>
          <w:tab w:val="left" w:pos="5670"/>
        </w:tabs>
        <w:spacing w:after="0" w:line="240" w:lineRule="auto"/>
        <w:ind w:left="1134" w:hanging="1134"/>
        <w:rPr>
          <w:rFonts w:ascii="Cambria" w:eastAsia="Times New Roman" w:hAnsi="Cambria" w:cs="Times New Roman"/>
          <w:lang w:eastAsia="en-AU"/>
        </w:rPr>
      </w:pPr>
      <w:r w:rsidRPr="009A0DA6">
        <w:rPr>
          <w:rFonts w:ascii="Cambria" w:eastAsia="Times New Roman" w:hAnsi="Cambria" w:cs="Times New Roman"/>
          <w:lang w:eastAsia="en-AU"/>
        </w:rPr>
        <w:tab/>
        <w:t>3.1.5</w:t>
      </w:r>
      <w:r w:rsidRPr="009A0DA6">
        <w:rPr>
          <w:rFonts w:ascii="Cambria" w:eastAsia="Times New Roman" w:hAnsi="Cambria" w:cs="Times New Roman"/>
          <w:lang w:eastAsia="en-AU"/>
        </w:rPr>
        <w:tab/>
        <w:t>provide pastors and teachers and other church workers for service in the Church and its congregations, and for this purpose to establish and maintain institutions for their training;</w:t>
      </w:r>
    </w:p>
    <w:p w14:paraId="26A2EB48" w14:textId="77777777" w:rsidR="0055189F" w:rsidRPr="009A0DA6" w:rsidRDefault="0055189F" w:rsidP="004C0EDE">
      <w:pPr>
        <w:tabs>
          <w:tab w:val="left" w:pos="426"/>
          <w:tab w:val="left" w:pos="1134"/>
          <w:tab w:val="left" w:pos="3119"/>
          <w:tab w:val="left" w:pos="4536"/>
          <w:tab w:val="left" w:pos="5670"/>
        </w:tabs>
        <w:spacing w:after="0" w:line="240" w:lineRule="auto"/>
        <w:ind w:left="1134" w:hanging="1134"/>
        <w:rPr>
          <w:rFonts w:ascii="Cambria" w:eastAsia="Times New Roman" w:hAnsi="Cambria" w:cs="Times New Roman"/>
          <w:lang w:eastAsia="en-AU"/>
        </w:rPr>
      </w:pPr>
      <w:r w:rsidRPr="009A0DA6">
        <w:rPr>
          <w:rFonts w:ascii="Cambria" w:eastAsia="Times New Roman" w:hAnsi="Cambria" w:cs="Times New Roman"/>
          <w:lang w:eastAsia="en-AU"/>
        </w:rPr>
        <w:tab/>
        <w:t>3.1.6</w:t>
      </w:r>
      <w:r w:rsidRPr="009A0DA6">
        <w:rPr>
          <w:rFonts w:ascii="Cambria" w:eastAsia="Times New Roman" w:hAnsi="Cambria" w:cs="Times New Roman"/>
          <w:lang w:eastAsia="en-AU"/>
        </w:rPr>
        <w:tab/>
        <w:t>encourage every congregation to carry out its mission to its local community;</w:t>
      </w:r>
    </w:p>
    <w:p w14:paraId="5328F788" w14:textId="77777777" w:rsidR="0055189F" w:rsidRPr="009A0DA6" w:rsidRDefault="0055189F" w:rsidP="004C0EDE">
      <w:pPr>
        <w:tabs>
          <w:tab w:val="left" w:pos="426"/>
          <w:tab w:val="left" w:pos="1134"/>
          <w:tab w:val="left" w:pos="3119"/>
          <w:tab w:val="left" w:pos="4536"/>
          <w:tab w:val="left" w:pos="5670"/>
        </w:tabs>
        <w:spacing w:after="0" w:line="240" w:lineRule="auto"/>
        <w:ind w:left="1134" w:hanging="1134"/>
        <w:rPr>
          <w:rFonts w:ascii="Cambria" w:eastAsia="Times New Roman" w:hAnsi="Cambria" w:cs="Times New Roman"/>
          <w:lang w:eastAsia="en-AU"/>
        </w:rPr>
      </w:pPr>
      <w:r w:rsidRPr="009A0DA6">
        <w:rPr>
          <w:rFonts w:ascii="Cambria" w:eastAsia="Times New Roman" w:hAnsi="Cambria" w:cs="Times New Roman"/>
          <w:lang w:eastAsia="en-AU"/>
        </w:rPr>
        <w:tab/>
        <w:t>3.1.7</w:t>
      </w:r>
      <w:r w:rsidRPr="009A0DA6">
        <w:rPr>
          <w:rFonts w:ascii="Cambria" w:eastAsia="Times New Roman" w:hAnsi="Cambria" w:cs="Times New Roman"/>
          <w:lang w:eastAsia="en-AU"/>
        </w:rPr>
        <w:tab/>
        <w:t>establish, develop and support new congregations where it is not possible for individual congregations to do so;</w:t>
      </w:r>
    </w:p>
    <w:p w14:paraId="65ACF618" w14:textId="77777777" w:rsidR="0055189F" w:rsidRPr="009A0DA6" w:rsidRDefault="0055189F" w:rsidP="004C0EDE">
      <w:pPr>
        <w:tabs>
          <w:tab w:val="left" w:pos="426"/>
          <w:tab w:val="left" w:pos="1134"/>
          <w:tab w:val="left" w:pos="3119"/>
          <w:tab w:val="left" w:pos="4536"/>
          <w:tab w:val="left" w:pos="5670"/>
        </w:tabs>
        <w:spacing w:after="0" w:line="240" w:lineRule="auto"/>
        <w:ind w:left="1134" w:hanging="1134"/>
        <w:rPr>
          <w:rFonts w:ascii="Cambria" w:eastAsia="Times New Roman" w:hAnsi="Cambria" w:cs="Times New Roman"/>
          <w:lang w:eastAsia="en-AU"/>
        </w:rPr>
      </w:pPr>
      <w:r w:rsidRPr="009A0DA6">
        <w:rPr>
          <w:rFonts w:ascii="Cambria" w:eastAsia="Times New Roman" w:hAnsi="Cambria" w:cs="Times New Roman"/>
          <w:lang w:eastAsia="en-AU"/>
        </w:rPr>
        <w:tab/>
        <w:t>3.1.8</w:t>
      </w:r>
      <w:r w:rsidRPr="009A0DA6">
        <w:rPr>
          <w:rFonts w:ascii="Cambria" w:eastAsia="Times New Roman" w:hAnsi="Cambria" w:cs="Times New Roman"/>
          <w:lang w:eastAsia="en-AU"/>
        </w:rPr>
        <w:tab/>
        <w:t>support and cooperate with selected churches in other lands as they seek to carry out their mission;</w:t>
      </w:r>
    </w:p>
    <w:p w14:paraId="3769E0D1" w14:textId="77777777" w:rsidR="0055189F" w:rsidRPr="009A0DA6" w:rsidRDefault="0055189F" w:rsidP="004C0EDE">
      <w:pPr>
        <w:tabs>
          <w:tab w:val="left" w:pos="426"/>
          <w:tab w:val="left" w:pos="1134"/>
          <w:tab w:val="left" w:pos="3119"/>
          <w:tab w:val="left" w:pos="4536"/>
          <w:tab w:val="left" w:pos="5670"/>
        </w:tabs>
        <w:spacing w:after="0" w:line="240" w:lineRule="auto"/>
        <w:ind w:left="1134" w:hanging="1134"/>
        <w:rPr>
          <w:rFonts w:ascii="Cambria" w:eastAsia="Times New Roman" w:hAnsi="Cambria" w:cs="Times New Roman"/>
          <w:lang w:eastAsia="en-AU"/>
        </w:rPr>
      </w:pPr>
      <w:r w:rsidRPr="009A0DA6">
        <w:rPr>
          <w:rFonts w:ascii="Cambria" w:eastAsia="Times New Roman" w:hAnsi="Cambria" w:cs="Times New Roman"/>
          <w:lang w:eastAsia="en-AU"/>
        </w:rPr>
        <w:tab/>
        <w:t>3.1.9</w:t>
      </w:r>
      <w:r w:rsidRPr="009A0DA6">
        <w:rPr>
          <w:rFonts w:ascii="Cambria" w:eastAsia="Times New Roman" w:hAnsi="Cambria" w:cs="Times New Roman"/>
          <w:lang w:eastAsia="en-AU"/>
        </w:rPr>
        <w:tab/>
        <w:t>dialogue with other Christian church bodies;</w:t>
      </w:r>
    </w:p>
    <w:p w14:paraId="73E2938E" w14:textId="77777777" w:rsidR="0055189F" w:rsidRPr="009A0DA6" w:rsidRDefault="0055189F" w:rsidP="004C0EDE">
      <w:pPr>
        <w:tabs>
          <w:tab w:val="left" w:pos="426"/>
          <w:tab w:val="left" w:pos="1134"/>
          <w:tab w:val="left" w:pos="3119"/>
          <w:tab w:val="left" w:pos="4536"/>
          <w:tab w:val="left" w:pos="5670"/>
        </w:tabs>
        <w:spacing w:after="0" w:line="240" w:lineRule="auto"/>
        <w:ind w:left="1134" w:hanging="1134"/>
        <w:rPr>
          <w:rFonts w:ascii="Cambria" w:eastAsia="Times New Roman" w:hAnsi="Cambria" w:cs="Times New Roman"/>
          <w:lang w:eastAsia="en-AU"/>
        </w:rPr>
      </w:pPr>
      <w:r w:rsidRPr="009A0DA6">
        <w:rPr>
          <w:rFonts w:ascii="Cambria" w:eastAsia="Times New Roman" w:hAnsi="Cambria" w:cs="Times New Roman"/>
          <w:lang w:eastAsia="en-AU"/>
        </w:rPr>
        <w:tab/>
        <w:t>3.1.10</w:t>
      </w:r>
      <w:r w:rsidRPr="009A0DA6">
        <w:rPr>
          <w:rFonts w:ascii="Cambria" w:eastAsia="Times New Roman" w:hAnsi="Cambria" w:cs="Times New Roman"/>
          <w:lang w:eastAsia="en-AU"/>
        </w:rPr>
        <w:tab/>
        <w:t>establish and maintain schools and other institutions and to foster all other means whereby the members of the congregations receive Christian education;</w:t>
      </w:r>
    </w:p>
    <w:p w14:paraId="5643A26D" w14:textId="77777777" w:rsidR="0055189F" w:rsidRPr="009A0DA6" w:rsidRDefault="0055189F" w:rsidP="004C0EDE">
      <w:pPr>
        <w:tabs>
          <w:tab w:val="left" w:pos="426"/>
          <w:tab w:val="left" w:pos="1134"/>
          <w:tab w:val="left" w:pos="3119"/>
          <w:tab w:val="left" w:pos="4536"/>
          <w:tab w:val="left" w:pos="5670"/>
        </w:tabs>
        <w:spacing w:after="0" w:line="240" w:lineRule="auto"/>
        <w:ind w:left="1134" w:hanging="1134"/>
        <w:rPr>
          <w:rFonts w:ascii="Cambria" w:eastAsia="Times New Roman" w:hAnsi="Cambria" w:cs="Times New Roman"/>
          <w:lang w:eastAsia="en-AU"/>
        </w:rPr>
      </w:pPr>
      <w:r w:rsidRPr="009A0DA6">
        <w:rPr>
          <w:rFonts w:ascii="Cambria" w:eastAsia="Times New Roman" w:hAnsi="Cambria" w:cs="Times New Roman"/>
          <w:lang w:eastAsia="en-AU"/>
        </w:rPr>
        <w:tab/>
        <w:t>3.1.11</w:t>
      </w:r>
      <w:r w:rsidRPr="009A0DA6">
        <w:rPr>
          <w:rFonts w:ascii="Cambria" w:eastAsia="Times New Roman" w:hAnsi="Cambria" w:cs="Times New Roman"/>
          <w:lang w:eastAsia="en-AU"/>
        </w:rPr>
        <w:tab/>
        <w:t>cultivate uniformity in worship, ecclesiastical practice and customs in accord with the principles laid down in Article X. of the Formula of Concord;</w:t>
      </w:r>
    </w:p>
    <w:p w14:paraId="7BBB028A" w14:textId="77777777" w:rsidR="0055189F" w:rsidRPr="009A0DA6" w:rsidRDefault="0055189F" w:rsidP="004C0EDE">
      <w:pPr>
        <w:tabs>
          <w:tab w:val="left" w:pos="426"/>
          <w:tab w:val="left" w:pos="1134"/>
          <w:tab w:val="left" w:pos="3119"/>
          <w:tab w:val="left" w:pos="4536"/>
          <w:tab w:val="left" w:pos="5670"/>
        </w:tabs>
        <w:spacing w:after="0" w:line="240" w:lineRule="auto"/>
        <w:ind w:left="1134" w:hanging="1134"/>
        <w:rPr>
          <w:rFonts w:ascii="Cambria" w:eastAsia="Times New Roman" w:hAnsi="Cambria" w:cs="Times New Roman"/>
          <w:lang w:eastAsia="en-AU"/>
        </w:rPr>
      </w:pPr>
      <w:r w:rsidRPr="009A0DA6">
        <w:rPr>
          <w:rFonts w:ascii="Cambria" w:eastAsia="Times New Roman" w:hAnsi="Cambria" w:cs="Times New Roman"/>
          <w:lang w:eastAsia="en-AU"/>
        </w:rPr>
        <w:tab/>
        <w:t>3.1.12</w:t>
      </w:r>
      <w:r w:rsidRPr="009A0DA6">
        <w:rPr>
          <w:rFonts w:ascii="Cambria" w:eastAsia="Times New Roman" w:hAnsi="Cambria" w:cs="Times New Roman"/>
          <w:lang w:eastAsia="en-AU"/>
        </w:rPr>
        <w:tab/>
        <w:t>publish, procure, and distribute literature compatible with the Confession and principles of the Church;</w:t>
      </w:r>
    </w:p>
    <w:p w14:paraId="505D6B42" w14:textId="77777777" w:rsidR="0055189F" w:rsidRPr="009A0DA6" w:rsidRDefault="0055189F" w:rsidP="004C0EDE">
      <w:pPr>
        <w:tabs>
          <w:tab w:val="left" w:pos="426"/>
          <w:tab w:val="left" w:pos="1134"/>
          <w:tab w:val="left" w:pos="3119"/>
          <w:tab w:val="left" w:pos="4536"/>
          <w:tab w:val="left" w:pos="5670"/>
        </w:tabs>
        <w:spacing w:after="0" w:line="240" w:lineRule="auto"/>
        <w:ind w:left="1134" w:hanging="1134"/>
        <w:rPr>
          <w:rFonts w:ascii="Cambria" w:eastAsia="Times New Roman" w:hAnsi="Cambria" w:cs="Times New Roman"/>
          <w:lang w:eastAsia="en-AU"/>
        </w:rPr>
      </w:pPr>
      <w:r w:rsidRPr="009A0DA6">
        <w:rPr>
          <w:rFonts w:ascii="Cambria" w:eastAsia="Times New Roman" w:hAnsi="Cambria" w:cs="Times New Roman"/>
          <w:lang w:eastAsia="en-AU"/>
        </w:rPr>
        <w:tab/>
        <w:t>3.1.13</w:t>
      </w:r>
      <w:r w:rsidRPr="009A0DA6">
        <w:rPr>
          <w:rFonts w:ascii="Cambria" w:eastAsia="Times New Roman" w:hAnsi="Cambria" w:cs="Times New Roman"/>
          <w:lang w:eastAsia="en-AU"/>
        </w:rPr>
        <w:tab/>
        <w:t>minister to human need in the name of Jesus Christ our Lord in the spirit of Christian love and service, and to provide institutions and agencies for this purpose; and</w:t>
      </w:r>
    </w:p>
    <w:p w14:paraId="2AE89806" w14:textId="77777777" w:rsidR="0055189F" w:rsidRPr="009A0DA6" w:rsidRDefault="0055189F" w:rsidP="004C0EDE">
      <w:pPr>
        <w:tabs>
          <w:tab w:val="left" w:pos="426"/>
          <w:tab w:val="left" w:pos="1134"/>
          <w:tab w:val="left" w:pos="3119"/>
          <w:tab w:val="left" w:pos="4536"/>
          <w:tab w:val="left" w:pos="5670"/>
        </w:tabs>
        <w:spacing w:after="0" w:line="240" w:lineRule="auto"/>
        <w:ind w:left="1134" w:hanging="1134"/>
        <w:rPr>
          <w:rFonts w:ascii="Cambria" w:eastAsia="Times New Roman" w:hAnsi="Cambria" w:cs="Times New Roman"/>
          <w:strike/>
          <w:lang w:eastAsia="en-AU"/>
        </w:rPr>
      </w:pPr>
      <w:r w:rsidRPr="009A0DA6">
        <w:rPr>
          <w:rFonts w:ascii="Cambria" w:eastAsia="Times New Roman" w:hAnsi="Cambria" w:cs="Times New Roman"/>
          <w:lang w:eastAsia="en-AU"/>
        </w:rPr>
        <w:tab/>
      </w:r>
      <w:r w:rsidRPr="009A0DA6">
        <w:rPr>
          <w:rFonts w:ascii="Cambria" w:eastAsia="Times New Roman" w:hAnsi="Cambria" w:cs="Times New Roman"/>
          <w:strike/>
          <w:lang w:eastAsia="en-AU"/>
        </w:rPr>
        <w:t>3.1.14</w:t>
      </w:r>
      <w:r w:rsidRPr="009A0DA6">
        <w:rPr>
          <w:rFonts w:ascii="Cambria" w:eastAsia="Times New Roman" w:hAnsi="Cambria" w:cs="Times New Roman"/>
          <w:strike/>
          <w:lang w:eastAsia="en-AU"/>
        </w:rPr>
        <w:tab/>
        <w:t>take such action as is necessary for the protection of the congregations, pastors, teachers and other church workers in the performance of their duties and the maintenance of their rights.</w:t>
      </w:r>
    </w:p>
    <w:p w14:paraId="381CD7E0" w14:textId="77777777" w:rsidR="0055189F" w:rsidRPr="009A0DA6" w:rsidRDefault="0055189F" w:rsidP="004C0EDE">
      <w:pPr>
        <w:tabs>
          <w:tab w:val="left" w:pos="426"/>
          <w:tab w:val="left" w:pos="1134"/>
          <w:tab w:val="left" w:pos="3119"/>
        </w:tabs>
        <w:spacing w:after="0" w:line="240" w:lineRule="auto"/>
        <w:ind w:left="1134" w:hanging="1134"/>
        <w:rPr>
          <w:rFonts w:ascii="Cambria" w:eastAsiaTheme="minorEastAsia" w:hAnsi="Cambria" w:cs="Arial"/>
          <w:b/>
          <w:sz w:val="10"/>
          <w:szCs w:val="10"/>
          <w:lang w:eastAsia="ja-JP"/>
        </w:rPr>
      </w:pPr>
      <w:r w:rsidRPr="009A0DA6">
        <w:rPr>
          <w:rFonts w:ascii="Cambria" w:hAnsi="Cambria" w:cs="Arial"/>
          <w:b/>
        </w:rPr>
        <w:tab/>
        <w:t>3.1.14</w:t>
      </w:r>
      <w:r w:rsidRPr="009A0DA6">
        <w:rPr>
          <w:rFonts w:ascii="Cambria" w:hAnsi="Cambria" w:cs="Arial"/>
          <w:b/>
        </w:rPr>
        <w:tab/>
        <w:t>maintain and promote a culture of care in all areas of the Church and its activities, so that all people, especially the vulnerable such as children and the aged, are protected against any form of spiritual, emotional, physical a</w:t>
      </w:r>
      <w:r w:rsidR="00926CFA" w:rsidRPr="009A0DA6">
        <w:rPr>
          <w:rFonts w:ascii="Cambria" w:hAnsi="Cambria" w:cs="Arial"/>
          <w:b/>
        </w:rPr>
        <w:t>nd sexual abuse by ensuring that</w:t>
      </w:r>
    </w:p>
    <w:p w14:paraId="459280F8" w14:textId="77777777" w:rsidR="0055189F" w:rsidRPr="009A0DA6" w:rsidRDefault="0055189F" w:rsidP="004C0EDE">
      <w:pPr>
        <w:tabs>
          <w:tab w:val="left" w:pos="1985"/>
        </w:tabs>
        <w:spacing w:after="0" w:line="240" w:lineRule="auto"/>
        <w:ind w:left="1985" w:hanging="851"/>
        <w:rPr>
          <w:rFonts w:ascii="Cambria" w:hAnsi="Cambria" w:cs="Arial"/>
          <w:b/>
        </w:rPr>
      </w:pPr>
      <w:r w:rsidRPr="009A0DA6">
        <w:rPr>
          <w:rFonts w:ascii="Cambria" w:hAnsi="Cambria" w:cs="Arial"/>
          <w:b/>
        </w:rPr>
        <w:t>3.1.14.1</w:t>
      </w:r>
      <w:r w:rsidRPr="009A0DA6">
        <w:rPr>
          <w:rFonts w:ascii="Cambria" w:hAnsi="Cambria" w:cs="Arial"/>
          <w:b/>
        </w:rPr>
        <w:tab/>
        <w:t>appropriate governance and leadership structures are in place;</w:t>
      </w:r>
    </w:p>
    <w:p w14:paraId="206A86B5" w14:textId="77777777" w:rsidR="0055189F" w:rsidRPr="009A0DA6" w:rsidRDefault="0055189F" w:rsidP="004C0EDE">
      <w:pPr>
        <w:tabs>
          <w:tab w:val="left" w:pos="1985"/>
        </w:tabs>
        <w:spacing w:after="0" w:line="240" w:lineRule="auto"/>
        <w:ind w:left="1985" w:hanging="851"/>
        <w:rPr>
          <w:rFonts w:ascii="Cambria" w:hAnsi="Cambria" w:cs="Arial"/>
          <w:b/>
        </w:rPr>
      </w:pPr>
      <w:r w:rsidRPr="009A0DA6">
        <w:rPr>
          <w:rFonts w:ascii="Cambria" w:hAnsi="Cambria" w:cs="Arial"/>
          <w:b/>
        </w:rPr>
        <w:t>3.1.14.2</w:t>
      </w:r>
      <w:r w:rsidRPr="009A0DA6">
        <w:rPr>
          <w:rFonts w:ascii="Cambria" w:hAnsi="Cambria" w:cs="Arial"/>
          <w:b/>
        </w:rPr>
        <w:tab/>
        <w:t xml:space="preserve">policies and procedures are appropriately prescribed; </w:t>
      </w:r>
    </w:p>
    <w:p w14:paraId="31BE94B6" w14:textId="77777777" w:rsidR="0055189F" w:rsidRPr="009A0DA6" w:rsidRDefault="0055189F" w:rsidP="004C0EDE">
      <w:pPr>
        <w:tabs>
          <w:tab w:val="left" w:pos="1985"/>
        </w:tabs>
        <w:spacing w:after="0" w:line="240" w:lineRule="auto"/>
        <w:ind w:left="1985" w:hanging="851"/>
        <w:rPr>
          <w:rFonts w:ascii="Cambria" w:hAnsi="Cambria" w:cs="Arial"/>
          <w:b/>
        </w:rPr>
      </w:pPr>
      <w:r w:rsidRPr="009A0DA6">
        <w:rPr>
          <w:rFonts w:ascii="Cambria" w:hAnsi="Cambria" w:cs="Arial"/>
          <w:b/>
        </w:rPr>
        <w:t>3.1.14.3</w:t>
      </w:r>
      <w:r w:rsidRPr="009A0DA6">
        <w:rPr>
          <w:rFonts w:ascii="Cambria" w:hAnsi="Cambria" w:cs="Arial"/>
          <w:b/>
        </w:rPr>
        <w:tab/>
        <w:t>a culture of safety and care for children and all people is actively encouraged and practiced; and</w:t>
      </w:r>
    </w:p>
    <w:p w14:paraId="775BE47A" w14:textId="6730C4F2" w:rsidR="0055189F" w:rsidRPr="009A0DA6" w:rsidRDefault="0055189F" w:rsidP="004C0EDE">
      <w:pPr>
        <w:tabs>
          <w:tab w:val="left" w:pos="1985"/>
          <w:tab w:val="left" w:pos="4536"/>
          <w:tab w:val="left" w:pos="5670"/>
        </w:tabs>
        <w:spacing w:after="0" w:line="240" w:lineRule="auto"/>
        <w:ind w:left="1985" w:hanging="851"/>
        <w:rPr>
          <w:rFonts w:ascii="Cambria" w:eastAsia="Times New Roman" w:hAnsi="Cambria" w:cs="Times New Roman"/>
          <w:b/>
          <w:lang w:eastAsia="en-AU"/>
        </w:rPr>
      </w:pPr>
      <w:r w:rsidRPr="009A0DA6">
        <w:rPr>
          <w:rFonts w:ascii="Cambria" w:eastAsia="Times New Roman" w:hAnsi="Cambria" w:cs="Arial"/>
          <w:b/>
          <w:lang w:eastAsia="en-AU"/>
        </w:rPr>
        <w:t>3.1.14.4</w:t>
      </w:r>
      <w:r w:rsidRPr="009A0DA6">
        <w:rPr>
          <w:rFonts w:ascii="Cambria" w:eastAsia="Times New Roman" w:hAnsi="Cambria" w:cs="Arial"/>
          <w:b/>
          <w:lang w:eastAsia="en-AU"/>
        </w:rPr>
        <w:tab/>
        <w:t>the well-being of congregations, pastors, teachers and other</w:t>
      </w:r>
      <w:r w:rsidRPr="009A0DA6">
        <w:rPr>
          <w:rFonts w:ascii="Cambria" w:eastAsia="Times New Roman" w:hAnsi="Cambria" w:cs="Times New Roman"/>
          <w:b/>
          <w:lang w:eastAsia="en-AU"/>
        </w:rPr>
        <w:t xml:space="preserve"> church workers in the performance of their duties and the maintenance of their rights is supported and promoted.</w:t>
      </w:r>
    </w:p>
    <w:p w14:paraId="44FE4E8C" w14:textId="1990A07B" w:rsidR="0055189F" w:rsidRPr="009A0DA6" w:rsidRDefault="004A186C" w:rsidP="004C0EDE">
      <w:pPr>
        <w:pStyle w:val="Heading3"/>
        <w:spacing w:after="0"/>
      </w:pPr>
      <w:r w:rsidRPr="004A186C">
        <w:rPr>
          <w:sz w:val="8"/>
        </w:rPr>
        <w:br/>
      </w:r>
      <w:r w:rsidR="0055189F" w:rsidRPr="009A0DA6">
        <w:t>REASONS FOR THE MOTION</w:t>
      </w:r>
    </w:p>
    <w:p w14:paraId="18DD4A32" w14:textId="77777777" w:rsidR="0055189F" w:rsidRPr="009A0DA6" w:rsidRDefault="0055189F" w:rsidP="004C0EDE">
      <w:pPr>
        <w:shd w:val="clear" w:color="auto" w:fill="FFFFFF"/>
        <w:spacing w:after="0" w:line="240" w:lineRule="auto"/>
        <w:rPr>
          <w:rFonts w:ascii="Cambria" w:hAnsi="Cambria" w:cs="Arial"/>
          <w:color w:val="222222"/>
          <w:shd w:val="clear" w:color="auto" w:fill="FFFFFF"/>
        </w:rPr>
      </w:pPr>
      <w:r w:rsidRPr="009A0DA6">
        <w:rPr>
          <w:rFonts w:ascii="Cambria" w:hAnsi="Cambria" w:cs="Arial"/>
          <w:color w:val="222222"/>
          <w:shd w:val="clear" w:color="auto" w:fill="FFFFFF"/>
        </w:rPr>
        <w:t>The need for due concern for the well-being of children, the aged and vulnerable people has been well accepted and expected in society and this amendment gives witness to the intent of the Church to demonstrate its support of this goal.</w:t>
      </w:r>
    </w:p>
    <w:p w14:paraId="0B81537F" w14:textId="3928F10C" w:rsidR="001C7AAD" w:rsidRPr="009A0DA6" w:rsidRDefault="001C7AAD" w:rsidP="00964A90">
      <w:pPr>
        <w:pStyle w:val="Heading3"/>
      </w:pPr>
      <w:r w:rsidRPr="009A0DA6">
        <w:lastRenderedPageBreak/>
        <w:t>agenda 2.4.6</w:t>
      </w:r>
    </w:p>
    <w:p w14:paraId="7B6CE2E9" w14:textId="77777777" w:rsidR="001C7AAD" w:rsidRPr="009A0DA6" w:rsidRDefault="001C7AAD" w:rsidP="001C7AAD">
      <w:pPr>
        <w:pStyle w:val="Heading2"/>
      </w:pPr>
      <w:bookmarkStart w:id="456" w:name="_Toc521954708"/>
      <w:r w:rsidRPr="009A0DA6">
        <w:t xml:space="preserve">Constitutional </w:t>
      </w:r>
      <w:r w:rsidR="00284D80" w:rsidRPr="009A0DA6">
        <w:t>c</w:t>
      </w:r>
      <w:r w:rsidRPr="009A0DA6">
        <w:t>hange</w:t>
      </w:r>
      <w:r w:rsidR="00284D80" w:rsidRPr="009A0DA6">
        <w:t>s</w:t>
      </w:r>
      <w:r w:rsidRPr="009A0DA6">
        <w:t xml:space="preserve">: </w:t>
      </w:r>
      <w:r w:rsidR="0055189F" w:rsidRPr="009A0DA6">
        <w:t>Care for children and the vulnerable – Congregation</w:t>
      </w:r>
      <w:bookmarkEnd w:id="456"/>
      <w:r w:rsidR="0055189F" w:rsidRPr="009A0DA6">
        <w:t xml:space="preserve"> </w:t>
      </w:r>
    </w:p>
    <w:p w14:paraId="1B49F231" w14:textId="77777777" w:rsidR="001C7AAD" w:rsidRPr="009A0DA6" w:rsidRDefault="001C7AAD" w:rsidP="001C7AAD">
      <w:pPr>
        <w:pStyle w:val="NoSpacing"/>
      </w:pPr>
    </w:p>
    <w:p w14:paraId="7EDD0ADA" w14:textId="77777777" w:rsidR="001C7AAD" w:rsidRPr="009A0DA6" w:rsidRDefault="0055189F" w:rsidP="00964A90">
      <w:pPr>
        <w:pStyle w:val="Heading3"/>
      </w:pPr>
      <w:r w:rsidRPr="009A0DA6">
        <w:t>proposED Motion</w:t>
      </w:r>
    </w:p>
    <w:p w14:paraId="0496AD49" w14:textId="77777777" w:rsidR="0055189F" w:rsidRPr="009A0DA6" w:rsidRDefault="0055189F" w:rsidP="0055189F">
      <w:pPr>
        <w:shd w:val="clear" w:color="auto" w:fill="FFFFFF"/>
        <w:spacing w:after="0" w:line="240" w:lineRule="auto"/>
        <w:rPr>
          <w:rFonts w:ascii="Cambria" w:eastAsia="Times New Roman" w:hAnsi="Cambria" w:cs="Times New Roman"/>
          <w:bCs/>
          <w:color w:val="222222"/>
          <w:lang w:eastAsia="en-AU"/>
        </w:rPr>
      </w:pPr>
      <w:r w:rsidRPr="009A0DA6">
        <w:rPr>
          <w:rFonts w:ascii="Cambria" w:hAnsi="Cambria"/>
          <w:b/>
          <w:bCs/>
          <w:lang w:eastAsia="en-AU"/>
        </w:rPr>
        <w:t>BE IT RESOLVED</w:t>
      </w:r>
      <w:r w:rsidRPr="009A0DA6">
        <w:rPr>
          <w:rFonts w:ascii="Cambria" w:eastAsia="Times New Roman" w:hAnsi="Cambria" w:cs="Times New Roman"/>
          <w:bCs/>
          <w:color w:val="000000"/>
          <w:lang w:eastAsia="en-AU"/>
        </w:rPr>
        <w:t xml:space="preserve"> </w:t>
      </w:r>
      <w:r w:rsidRPr="009A0DA6">
        <w:rPr>
          <w:rFonts w:ascii="Cambria" w:eastAsia="Times New Roman" w:hAnsi="Cambria" w:cs="Times New Roman"/>
          <w:bCs/>
          <w:color w:val="222222"/>
          <w:lang w:eastAsia="en-AU"/>
        </w:rPr>
        <w:t xml:space="preserve">that </w:t>
      </w:r>
      <w:r w:rsidRPr="009A0DA6">
        <w:rPr>
          <w:rFonts w:ascii="Cambria" w:eastAsia="Times New Roman" w:hAnsi="Cambria" w:cs="Times New Roman"/>
          <w:b/>
          <w:bCs/>
          <w:color w:val="222222"/>
          <w:lang w:eastAsia="en-AU"/>
        </w:rPr>
        <w:t>Article 4 Objects</w:t>
      </w:r>
      <w:r w:rsidRPr="009A0DA6">
        <w:rPr>
          <w:rFonts w:ascii="Cambria" w:eastAsia="Times New Roman" w:hAnsi="Cambria" w:cs="Times New Roman"/>
          <w:bCs/>
          <w:color w:val="222222"/>
          <w:lang w:eastAsia="en-AU"/>
        </w:rPr>
        <w:t xml:space="preserve"> of the Model Constitution for a Congregation be amended with the addition of sub-clause 4.1.10 to include provisions for the care of children and the vulnerable as follows (words to be added – </w:t>
      </w:r>
      <w:r w:rsidRPr="009A0DA6">
        <w:rPr>
          <w:rFonts w:ascii="Cambria" w:eastAsia="Times New Roman" w:hAnsi="Cambria" w:cs="Times New Roman"/>
          <w:b/>
          <w:bCs/>
          <w:color w:val="222222"/>
          <w:lang w:eastAsia="en-AU"/>
        </w:rPr>
        <w:t>bold</w:t>
      </w:r>
      <w:r w:rsidRPr="009A0DA6">
        <w:rPr>
          <w:rFonts w:ascii="Cambria" w:eastAsia="Times New Roman" w:hAnsi="Cambria" w:cs="Times New Roman"/>
          <w:bCs/>
          <w:color w:val="222222"/>
          <w:lang w:eastAsia="en-AU"/>
        </w:rPr>
        <w:t>):</w:t>
      </w:r>
    </w:p>
    <w:p w14:paraId="23827821" w14:textId="77777777" w:rsidR="0055189F" w:rsidRPr="009A0DA6" w:rsidRDefault="0055189F" w:rsidP="0055189F">
      <w:pPr>
        <w:shd w:val="clear" w:color="auto" w:fill="FFFFFF"/>
        <w:spacing w:after="0" w:line="240" w:lineRule="auto"/>
        <w:rPr>
          <w:rFonts w:ascii="Cambria" w:eastAsia="Times New Roman" w:hAnsi="Cambria" w:cs="Times New Roman"/>
          <w:bCs/>
          <w:color w:val="222222"/>
          <w:lang w:eastAsia="en-AU"/>
        </w:rPr>
      </w:pPr>
    </w:p>
    <w:p w14:paraId="5F474836" w14:textId="07CA552B" w:rsidR="0055189F" w:rsidRPr="009A0DA6" w:rsidRDefault="0055189F" w:rsidP="0055189F">
      <w:pPr>
        <w:tabs>
          <w:tab w:val="left" w:pos="709"/>
          <w:tab w:val="left" w:pos="1559"/>
          <w:tab w:val="left" w:pos="2552"/>
          <w:tab w:val="left" w:pos="3544"/>
          <w:tab w:val="left" w:pos="4536"/>
        </w:tabs>
        <w:spacing w:after="0" w:line="240" w:lineRule="auto"/>
        <w:jc w:val="center"/>
        <w:rPr>
          <w:rFonts w:ascii="Cambria" w:eastAsia="Times New Roman" w:hAnsi="Cambria" w:cs="Times New Roman"/>
          <w:b/>
          <w:noProof/>
        </w:rPr>
      </w:pPr>
      <w:r w:rsidRPr="009A0DA6">
        <w:rPr>
          <w:rFonts w:ascii="Cambria" w:eastAsia="Times New Roman" w:hAnsi="Cambria" w:cs="Times New Roman"/>
          <w:b/>
          <w:noProof/>
        </w:rPr>
        <w:t>ARTICLE  4</w:t>
      </w:r>
      <w:r w:rsidR="0027799A" w:rsidRPr="009A0DA6">
        <w:rPr>
          <w:rFonts w:ascii="Cambria" w:eastAsia="Times New Roman" w:hAnsi="Cambria" w:cs="Times New Roman"/>
          <w:b/>
          <w:noProof/>
        </w:rPr>
        <w:t xml:space="preserve">. </w:t>
      </w:r>
      <w:r w:rsidRPr="009A0DA6">
        <w:rPr>
          <w:rFonts w:ascii="Cambria" w:eastAsia="Times New Roman" w:hAnsi="Cambria" w:cs="Times New Roman"/>
          <w:b/>
          <w:noProof/>
        </w:rPr>
        <w:t xml:space="preserve"> OBJECTS</w:t>
      </w:r>
    </w:p>
    <w:p w14:paraId="4CAA1F56" w14:textId="77777777" w:rsidR="0055189F" w:rsidRPr="009A0DA6" w:rsidRDefault="0055189F" w:rsidP="0055189F">
      <w:pPr>
        <w:tabs>
          <w:tab w:val="left" w:pos="709"/>
          <w:tab w:val="left" w:pos="1559"/>
          <w:tab w:val="left" w:pos="2552"/>
          <w:tab w:val="left" w:pos="3544"/>
          <w:tab w:val="left" w:pos="4536"/>
        </w:tabs>
        <w:spacing w:after="0" w:line="240" w:lineRule="auto"/>
        <w:jc w:val="center"/>
        <w:rPr>
          <w:rFonts w:ascii="Cambria" w:eastAsia="Times New Roman" w:hAnsi="Cambria" w:cs="Times New Roman"/>
          <w:b/>
          <w:noProof/>
          <w:sz w:val="10"/>
          <w:lang w:eastAsia="ja-JP"/>
        </w:rPr>
      </w:pPr>
    </w:p>
    <w:p w14:paraId="358114FD" w14:textId="77777777" w:rsidR="0055189F" w:rsidRPr="009A0DA6" w:rsidRDefault="0055189F" w:rsidP="0055189F">
      <w:pPr>
        <w:tabs>
          <w:tab w:val="left" w:pos="709"/>
          <w:tab w:val="left" w:pos="1559"/>
          <w:tab w:val="left" w:pos="2552"/>
          <w:tab w:val="left" w:pos="3544"/>
          <w:tab w:val="left" w:pos="4536"/>
        </w:tabs>
        <w:spacing w:after="0" w:line="240" w:lineRule="auto"/>
        <w:ind w:left="567" w:hanging="567"/>
        <w:rPr>
          <w:rFonts w:ascii="Cambria" w:eastAsia="Times New Roman" w:hAnsi="Cambria" w:cs="Times New Roman"/>
          <w:noProof/>
        </w:rPr>
      </w:pPr>
      <w:r w:rsidRPr="009A0DA6">
        <w:rPr>
          <w:rFonts w:ascii="Cambria" w:eastAsia="Times New Roman" w:hAnsi="Cambria" w:cs="Times New Roman"/>
          <w:noProof/>
        </w:rPr>
        <w:t>4.1</w:t>
      </w:r>
      <w:r w:rsidRPr="009A0DA6">
        <w:rPr>
          <w:rFonts w:ascii="Cambria" w:eastAsia="Times New Roman" w:hAnsi="Cambria" w:cs="Times New Roman"/>
          <w:noProof/>
        </w:rPr>
        <w:tab/>
        <w:t>The Objects of the Congregation are to</w:t>
      </w:r>
    </w:p>
    <w:p w14:paraId="340EF338" w14:textId="77777777" w:rsidR="0055189F" w:rsidRPr="009A0DA6" w:rsidRDefault="0055189F" w:rsidP="0055189F">
      <w:pPr>
        <w:tabs>
          <w:tab w:val="left" w:pos="567"/>
          <w:tab w:val="left" w:pos="1418"/>
          <w:tab w:val="left" w:pos="2552"/>
          <w:tab w:val="left" w:pos="3544"/>
          <w:tab w:val="left" w:pos="4536"/>
        </w:tabs>
        <w:spacing w:after="0" w:line="240" w:lineRule="auto"/>
        <w:ind w:left="1418" w:hanging="1418"/>
        <w:rPr>
          <w:rFonts w:ascii="Cambria" w:eastAsia="Times New Roman" w:hAnsi="Cambria" w:cs="Times New Roman"/>
          <w:noProof/>
        </w:rPr>
      </w:pPr>
      <w:r w:rsidRPr="009A0DA6">
        <w:rPr>
          <w:rFonts w:ascii="Cambria" w:eastAsia="Times New Roman" w:hAnsi="Cambria" w:cs="Times New Roman"/>
          <w:noProof/>
        </w:rPr>
        <w:tab/>
        <w:t>4.1.1</w:t>
      </w:r>
      <w:r w:rsidRPr="009A0DA6">
        <w:rPr>
          <w:rFonts w:ascii="Cambria" w:eastAsia="Times New Roman" w:hAnsi="Cambria" w:cs="Times New Roman"/>
          <w:noProof/>
        </w:rPr>
        <w:tab/>
        <w:t>glorify the Triune God in its worship and in its work;</w:t>
      </w:r>
    </w:p>
    <w:p w14:paraId="3C9585DC" w14:textId="77777777" w:rsidR="0055189F" w:rsidRPr="009A0DA6" w:rsidRDefault="0055189F" w:rsidP="0055189F">
      <w:pPr>
        <w:tabs>
          <w:tab w:val="left" w:pos="567"/>
          <w:tab w:val="left" w:pos="1418"/>
          <w:tab w:val="left" w:pos="2552"/>
          <w:tab w:val="left" w:pos="3544"/>
          <w:tab w:val="left" w:pos="4536"/>
        </w:tabs>
        <w:spacing w:after="0" w:line="240" w:lineRule="auto"/>
        <w:ind w:left="1418" w:hanging="1418"/>
        <w:rPr>
          <w:rFonts w:ascii="Cambria" w:eastAsia="Times New Roman" w:hAnsi="Cambria" w:cs="Times New Roman"/>
          <w:noProof/>
        </w:rPr>
      </w:pPr>
      <w:r w:rsidRPr="009A0DA6">
        <w:rPr>
          <w:rFonts w:ascii="Cambria" w:eastAsia="Times New Roman" w:hAnsi="Cambria" w:cs="Times New Roman"/>
          <w:noProof/>
        </w:rPr>
        <w:tab/>
        <w:t>4.1.2</w:t>
      </w:r>
      <w:r w:rsidRPr="009A0DA6">
        <w:rPr>
          <w:rFonts w:ascii="Cambria" w:eastAsia="Times New Roman" w:hAnsi="Cambria" w:cs="Times New Roman"/>
          <w:noProof/>
        </w:rPr>
        <w:tab/>
        <w:t>bear witness to the Lord Jesus Christ through the proclamation of the Gospel in accordance with the Confession and practice of the Church;</w:t>
      </w:r>
    </w:p>
    <w:p w14:paraId="4F3D0C95" w14:textId="77777777" w:rsidR="0055189F" w:rsidRPr="009A0DA6" w:rsidRDefault="0055189F" w:rsidP="0055189F">
      <w:pPr>
        <w:tabs>
          <w:tab w:val="left" w:pos="567"/>
          <w:tab w:val="left" w:pos="1418"/>
          <w:tab w:val="left" w:pos="2552"/>
          <w:tab w:val="left" w:pos="3544"/>
          <w:tab w:val="left" w:pos="4536"/>
        </w:tabs>
        <w:spacing w:after="0" w:line="240" w:lineRule="auto"/>
        <w:ind w:left="1418" w:hanging="1418"/>
        <w:rPr>
          <w:rFonts w:ascii="Cambria" w:eastAsia="Times New Roman" w:hAnsi="Cambria" w:cs="Times New Roman"/>
          <w:noProof/>
        </w:rPr>
      </w:pPr>
      <w:r w:rsidRPr="009A0DA6">
        <w:rPr>
          <w:rFonts w:ascii="Cambria" w:eastAsia="Times New Roman" w:hAnsi="Cambria" w:cs="Times New Roman"/>
          <w:noProof/>
        </w:rPr>
        <w:tab/>
        <w:t>4.1.3</w:t>
      </w:r>
      <w:r w:rsidRPr="009A0DA6">
        <w:rPr>
          <w:rFonts w:ascii="Cambria" w:eastAsia="Times New Roman" w:hAnsi="Cambria" w:cs="Times New Roman"/>
          <w:noProof/>
        </w:rPr>
        <w:tab/>
        <w:t>gather into the Congregation such persons as are, or desire to become, members of the Church for their edification through the Word and the Sacraments;</w:t>
      </w:r>
    </w:p>
    <w:p w14:paraId="74188ACA" w14:textId="77777777" w:rsidR="0055189F" w:rsidRPr="009A0DA6" w:rsidRDefault="0055189F" w:rsidP="0055189F">
      <w:pPr>
        <w:tabs>
          <w:tab w:val="left" w:pos="567"/>
          <w:tab w:val="left" w:pos="1418"/>
          <w:tab w:val="left" w:pos="2552"/>
          <w:tab w:val="left" w:pos="3544"/>
          <w:tab w:val="left" w:pos="4536"/>
        </w:tabs>
        <w:spacing w:after="0" w:line="240" w:lineRule="auto"/>
        <w:ind w:left="1418" w:hanging="1418"/>
        <w:rPr>
          <w:rFonts w:ascii="Cambria" w:eastAsia="Times New Roman" w:hAnsi="Cambria" w:cs="Times New Roman"/>
          <w:noProof/>
        </w:rPr>
      </w:pPr>
      <w:r w:rsidRPr="009A0DA6">
        <w:rPr>
          <w:rFonts w:ascii="Cambria" w:eastAsia="Times New Roman" w:hAnsi="Cambria" w:cs="Times New Roman"/>
          <w:noProof/>
        </w:rPr>
        <w:tab/>
        <w:t>4.1.4</w:t>
      </w:r>
      <w:r w:rsidRPr="009A0DA6">
        <w:rPr>
          <w:rFonts w:ascii="Cambria" w:eastAsia="Times New Roman" w:hAnsi="Cambria" w:cs="Times New Roman"/>
          <w:noProof/>
        </w:rPr>
        <w:tab/>
        <w:t>help the members to dedicate their God-given spiritual, material and physical gifts to the service of their Lord;</w:t>
      </w:r>
    </w:p>
    <w:p w14:paraId="6C915F57" w14:textId="77777777" w:rsidR="0055189F" w:rsidRPr="009A0DA6" w:rsidRDefault="0055189F" w:rsidP="0055189F">
      <w:pPr>
        <w:tabs>
          <w:tab w:val="left" w:pos="567"/>
          <w:tab w:val="left" w:pos="1418"/>
          <w:tab w:val="left" w:pos="2552"/>
          <w:tab w:val="left" w:pos="3544"/>
          <w:tab w:val="left" w:pos="4536"/>
        </w:tabs>
        <w:spacing w:after="0" w:line="240" w:lineRule="auto"/>
        <w:ind w:left="1418" w:hanging="1418"/>
        <w:rPr>
          <w:rFonts w:ascii="Cambria" w:eastAsia="Times New Roman" w:hAnsi="Cambria" w:cs="Times New Roman"/>
          <w:noProof/>
        </w:rPr>
      </w:pPr>
      <w:r w:rsidRPr="009A0DA6">
        <w:rPr>
          <w:rFonts w:ascii="Cambria" w:eastAsia="Times New Roman" w:hAnsi="Cambria" w:cs="Times New Roman"/>
          <w:noProof/>
        </w:rPr>
        <w:tab/>
        <w:t>4.1.5</w:t>
      </w:r>
      <w:r w:rsidRPr="009A0DA6">
        <w:rPr>
          <w:rFonts w:ascii="Cambria" w:eastAsia="Times New Roman" w:hAnsi="Cambria" w:cs="Times New Roman"/>
          <w:noProof/>
        </w:rPr>
        <w:tab/>
        <w:t>enable the members to reach out into the community in their daily lives and in their</w:t>
      </w:r>
      <w:r w:rsidRPr="009A0DA6">
        <w:rPr>
          <w:rFonts w:ascii="Cambria" w:eastAsia="Times New Roman" w:hAnsi="Cambria" w:cs="Times New Roman"/>
          <w:b/>
          <w:noProof/>
        </w:rPr>
        <w:t xml:space="preserve"> </w:t>
      </w:r>
      <w:r w:rsidRPr="009A0DA6">
        <w:rPr>
          <w:rFonts w:ascii="Cambria" w:eastAsia="Times New Roman" w:hAnsi="Cambria" w:cs="Times New Roman"/>
          <w:noProof/>
        </w:rPr>
        <w:t>congregational activities as bearers of the Gospel;</w:t>
      </w:r>
    </w:p>
    <w:p w14:paraId="20038578" w14:textId="77777777" w:rsidR="0055189F" w:rsidRPr="009A0DA6" w:rsidRDefault="0055189F" w:rsidP="0055189F">
      <w:pPr>
        <w:tabs>
          <w:tab w:val="left" w:pos="567"/>
          <w:tab w:val="left" w:pos="1418"/>
          <w:tab w:val="left" w:pos="2552"/>
          <w:tab w:val="left" w:pos="3544"/>
          <w:tab w:val="left" w:pos="4536"/>
        </w:tabs>
        <w:spacing w:after="0" w:line="240" w:lineRule="auto"/>
        <w:ind w:left="1418" w:hanging="1418"/>
        <w:rPr>
          <w:rFonts w:ascii="Cambria" w:eastAsia="Times New Roman" w:hAnsi="Cambria" w:cs="Times New Roman"/>
          <w:noProof/>
        </w:rPr>
      </w:pPr>
      <w:r w:rsidRPr="009A0DA6">
        <w:rPr>
          <w:rFonts w:ascii="Cambria" w:eastAsia="Times New Roman" w:hAnsi="Cambria" w:cs="Times New Roman"/>
          <w:noProof/>
        </w:rPr>
        <w:tab/>
        <w:t>4.1.6</w:t>
      </w:r>
      <w:r w:rsidRPr="009A0DA6">
        <w:rPr>
          <w:rFonts w:ascii="Cambria" w:eastAsia="Times New Roman" w:hAnsi="Cambria" w:cs="Times New Roman"/>
          <w:noProof/>
        </w:rPr>
        <w:tab/>
        <w:t>minister to human need in the name of Jesus Christ our Lord in the spirit of Christian charity and service;</w:t>
      </w:r>
    </w:p>
    <w:p w14:paraId="4223FF9F" w14:textId="77777777" w:rsidR="0055189F" w:rsidRPr="009A0DA6" w:rsidRDefault="0055189F" w:rsidP="0055189F">
      <w:pPr>
        <w:tabs>
          <w:tab w:val="left" w:pos="567"/>
          <w:tab w:val="left" w:pos="1418"/>
          <w:tab w:val="left" w:pos="2552"/>
          <w:tab w:val="left" w:pos="3544"/>
          <w:tab w:val="left" w:pos="4536"/>
        </w:tabs>
        <w:spacing w:after="0" w:line="240" w:lineRule="auto"/>
        <w:ind w:left="1418" w:hanging="1418"/>
        <w:rPr>
          <w:rFonts w:ascii="Cambria" w:eastAsia="Times New Roman" w:hAnsi="Cambria" w:cs="Times New Roman"/>
          <w:noProof/>
        </w:rPr>
      </w:pPr>
      <w:r w:rsidRPr="009A0DA6">
        <w:rPr>
          <w:rFonts w:ascii="Cambria" w:eastAsia="Times New Roman" w:hAnsi="Cambria" w:cs="Times New Roman"/>
          <w:noProof/>
        </w:rPr>
        <w:tab/>
        <w:t>4.1.7</w:t>
      </w:r>
      <w:r w:rsidRPr="009A0DA6">
        <w:rPr>
          <w:rFonts w:ascii="Cambria" w:eastAsia="Times New Roman" w:hAnsi="Cambria" w:cs="Times New Roman"/>
          <w:noProof/>
        </w:rPr>
        <w:tab/>
        <w:t>exercise discipline over its members in conformity with the Scriptures and the Confession of the Congregation;</w:t>
      </w:r>
    </w:p>
    <w:p w14:paraId="7A1244FC" w14:textId="77777777" w:rsidR="0055189F" w:rsidRPr="009A0DA6" w:rsidRDefault="0055189F" w:rsidP="0055189F">
      <w:pPr>
        <w:tabs>
          <w:tab w:val="left" w:pos="567"/>
          <w:tab w:val="left" w:pos="1418"/>
          <w:tab w:val="left" w:pos="2552"/>
          <w:tab w:val="left" w:pos="3544"/>
          <w:tab w:val="left" w:pos="4536"/>
        </w:tabs>
        <w:spacing w:after="0" w:line="240" w:lineRule="auto"/>
        <w:ind w:left="1418" w:hanging="1418"/>
        <w:rPr>
          <w:rFonts w:ascii="Cambria" w:eastAsia="Times New Roman" w:hAnsi="Cambria" w:cs="Times New Roman"/>
          <w:noProof/>
        </w:rPr>
      </w:pPr>
      <w:r w:rsidRPr="009A0DA6">
        <w:rPr>
          <w:rFonts w:ascii="Cambria" w:eastAsia="Times New Roman" w:hAnsi="Cambria" w:cs="Times New Roman"/>
          <w:noProof/>
        </w:rPr>
        <w:tab/>
        <w:t>4.1.8</w:t>
      </w:r>
      <w:r w:rsidRPr="009A0DA6">
        <w:rPr>
          <w:rFonts w:ascii="Cambria" w:eastAsia="Times New Roman" w:hAnsi="Cambria" w:cs="Times New Roman"/>
          <w:noProof/>
        </w:rPr>
        <w:tab/>
        <w:t>join with the Church and the District in building and extending the Kingdom of God;  and</w:t>
      </w:r>
    </w:p>
    <w:p w14:paraId="29ED69AA" w14:textId="77777777" w:rsidR="0055189F" w:rsidRPr="009A0DA6" w:rsidRDefault="0055189F" w:rsidP="0055189F">
      <w:pPr>
        <w:tabs>
          <w:tab w:val="left" w:pos="567"/>
          <w:tab w:val="left" w:pos="1418"/>
          <w:tab w:val="left" w:pos="2552"/>
          <w:tab w:val="left" w:pos="3544"/>
          <w:tab w:val="left" w:pos="4536"/>
        </w:tabs>
        <w:spacing w:after="0" w:line="240" w:lineRule="auto"/>
        <w:ind w:left="1418" w:hanging="1418"/>
        <w:rPr>
          <w:rFonts w:ascii="Cambria" w:eastAsia="Times New Roman" w:hAnsi="Cambria" w:cs="Times New Roman"/>
          <w:noProof/>
        </w:rPr>
      </w:pPr>
      <w:r w:rsidRPr="009A0DA6">
        <w:rPr>
          <w:rFonts w:ascii="Cambria" w:eastAsia="Times New Roman" w:hAnsi="Cambria" w:cs="Times New Roman"/>
          <w:noProof/>
        </w:rPr>
        <w:tab/>
        <w:t>4.1.9</w:t>
      </w:r>
      <w:r w:rsidRPr="009A0DA6">
        <w:rPr>
          <w:rFonts w:ascii="Cambria" w:eastAsia="Times New Roman" w:hAnsi="Cambria" w:cs="Times New Roman"/>
          <w:noProof/>
        </w:rPr>
        <w:tab/>
        <w:t>acquire, dispose of or otherwise deal with real and personal property in the interest of the work of the Church and the Congregation.</w:t>
      </w:r>
    </w:p>
    <w:p w14:paraId="13FB6AD0" w14:textId="77777777" w:rsidR="0055189F" w:rsidRPr="009A0DA6" w:rsidRDefault="0055189F" w:rsidP="0055189F">
      <w:pPr>
        <w:tabs>
          <w:tab w:val="left" w:pos="567"/>
          <w:tab w:val="left" w:pos="1418"/>
          <w:tab w:val="left" w:pos="2552"/>
          <w:tab w:val="left" w:pos="3544"/>
          <w:tab w:val="left" w:pos="4536"/>
        </w:tabs>
        <w:spacing w:after="0" w:line="240" w:lineRule="auto"/>
        <w:ind w:left="1418" w:hanging="1418"/>
        <w:rPr>
          <w:rFonts w:ascii="Cambria" w:hAnsi="Cambria" w:cs="Arial"/>
          <w:b/>
        </w:rPr>
      </w:pPr>
      <w:r w:rsidRPr="009A0DA6">
        <w:rPr>
          <w:rFonts w:ascii="Cambria" w:eastAsia="Times New Roman" w:hAnsi="Cambria" w:cs="Times New Roman"/>
          <w:b/>
          <w:noProof/>
        </w:rPr>
        <w:tab/>
        <w:t>4.1.10</w:t>
      </w:r>
      <w:r w:rsidRPr="009A0DA6">
        <w:rPr>
          <w:rFonts w:ascii="Cambria" w:eastAsia="Times New Roman" w:hAnsi="Cambria" w:cs="Times New Roman"/>
          <w:b/>
          <w:noProof/>
        </w:rPr>
        <w:tab/>
      </w:r>
      <w:r w:rsidRPr="009A0DA6">
        <w:rPr>
          <w:rFonts w:ascii="Cambria" w:hAnsi="Cambria" w:cs="Arial"/>
          <w:b/>
        </w:rPr>
        <w:t>maintain and promote a culture of care in all areas of the Congregation and its activities, so that all people, especially the vulnerable such as children and the aged, are protected against any form of spiritual, emotional, physical and sexual abuse by ensuring that</w:t>
      </w:r>
    </w:p>
    <w:p w14:paraId="2F3D6F0D" w14:textId="77777777" w:rsidR="0055189F" w:rsidRPr="009A0DA6" w:rsidRDefault="0055189F" w:rsidP="0055189F">
      <w:pPr>
        <w:tabs>
          <w:tab w:val="left" w:pos="709"/>
          <w:tab w:val="left" w:pos="2410"/>
          <w:tab w:val="left" w:pos="3544"/>
          <w:tab w:val="left" w:pos="4536"/>
        </w:tabs>
        <w:spacing w:after="0" w:line="240" w:lineRule="auto"/>
        <w:ind w:left="2410" w:hanging="992"/>
        <w:rPr>
          <w:rFonts w:ascii="Cambria" w:hAnsi="Cambria" w:cs="Arial"/>
          <w:b/>
        </w:rPr>
      </w:pPr>
      <w:r w:rsidRPr="009A0DA6">
        <w:rPr>
          <w:rFonts w:ascii="Cambria" w:eastAsia="Times New Roman" w:hAnsi="Cambria" w:cs="Times New Roman"/>
          <w:b/>
          <w:noProof/>
        </w:rPr>
        <w:t>4.1.10.1</w:t>
      </w:r>
      <w:r w:rsidRPr="009A0DA6">
        <w:rPr>
          <w:rFonts w:ascii="Cambria" w:eastAsia="Times New Roman" w:hAnsi="Cambria" w:cs="Times New Roman"/>
          <w:b/>
          <w:noProof/>
        </w:rPr>
        <w:tab/>
      </w:r>
      <w:r w:rsidRPr="009A0DA6">
        <w:rPr>
          <w:rFonts w:ascii="Cambria" w:hAnsi="Cambria" w:cs="Arial"/>
          <w:b/>
        </w:rPr>
        <w:t>appropriate governance and leadership structures are in place;</w:t>
      </w:r>
    </w:p>
    <w:p w14:paraId="62DA161E" w14:textId="77777777" w:rsidR="0055189F" w:rsidRPr="009A0DA6" w:rsidRDefault="0055189F" w:rsidP="0055189F">
      <w:pPr>
        <w:tabs>
          <w:tab w:val="left" w:pos="709"/>
          <w:tab w:val="left" w:pos="2410"/>
          <w:tab w:val="left" w:pos="3544"/>
          <w:tab w:val="left" w:pos="4536"/>
        </w:tabs>
        <w:spacing w:after="0" w:line="240" w:lineRule="auto"/>
        <w:ind w:left="2410" w:hanging="992"/>
        <w:rPr>
          <w:rFonts w:ascii="Cambria" w:hAnsi="Cambria" w:cs="Arial"/>
          <w:b/>
        </w:rPr>
      </w:pPr>
      <w:r w:rsidRPr="009A0DA6">
        <w:rPr>
          <w:rFonts w:ascii="Cambria" w:eastAsia="Times New Roman" w:hAnsi="Cambria" w:cs="Times New Roman"/>
          <w:b/>
          <w:noProof/>
        </w:rPr>
        <w:t>4.1.10.2</w:t>
      </w:r>
      <w:r w:rsidRPr="009A0DA6">
        <w:rPr>
          <w:rFonts w:ascii="Cambria" w:eastAsia="Times New Roman" w:hAnsi="Cambria" w:cs="Times New Roman"/>
          <w:b/>
          <w:noProof/>
        </w:rPr>
        <w:tab/>
      </w:r>
      <w:r w:rsidRPr="009A0DA6">
        <w:rPr>
          <w:rFonts w:ascii="Cambria" w:hAnsi="Cambria" w:cs="Arial"/>
          <w:b/>
        </w:rPr>
        <w:t>policies and procedures are appropriately prescribed;</w:t>
      </w:r>
    </w:p>
    <w:p w14:paraId="638F7947" w14:textId="77777777" w:rsidR="0055189F" w:rsidRPr="009A0DA6" w:rsidRDefault="0055189F" w:rsidP="0055189F">
      <w:pPr>
        <w:tabs>
          <w:tab w:val="left" w:pos="709"/>
          <w:tab w:val="left" w:pos="2410"/>
          <w:tab w:val="left" w:pos="3544"/>
          <w:tab w:val="left" w:pos="4536"/>
        </w:tabs>
        <w:spacing w:after="0" w:line="240" w:lineRule="auto"/>
        <w:ind w:left="2410" w:hanging="992"/>
        <w:rPr>
          <w:rFonts w:ascii="Cambria" w:hAnsi="Cambria" w:cs="Arial"/>
          <w:b/>
        </w:rPr>
      </w:pPr>
      <w:r w:rsidRPr="009A0DA6">
        <w:rPr>
          <w:rFonts w:ascii="Cambria" w:eastAsia="Times New Roman" w:hAnsi="Cambria" w:cs="Times New Roman"/>
          <w:b/>
          <w:noProof/>
        </w:rPr>
        <w:t>4.1.10.3</w:t>
      </w:r>
      <w:r w:rsidRPr="009A0DA6">
        <w:rPr>
          <w:rFonts w:ascii="Cambria" w:eastAsia="Times New Roman" w:hAnsi="Cambria" w:cs="Times New Roman"/>
          <w:b/>
          <w:noProof/>
        </w:rPr>
        <w:tab/>
      </w:r>
      <w:r w:rsidRPr="009A0DA6">
        <w:rPr>
          <w:rFonts w:ascii="Cambria" w:hAnsi="Cambria" w:cs="Arial"/>
          <w:b/>
        </w:rPr>
        <w:t>a culture of safety and care for children and all people is actively encouraged and practiced; and</w:t>
      </w:r>
    </w:p>
    <w:p w14:paraId="122C86B7" w14:textId="77777777" w:rsidR="0055189F" w:rsidRPr="009A0DA6" w:rsidRDefault="0055189F" w:rsidP="0055189F">
      <w:pPr>
        <w:tabs>
          <w:tab w:val="left" w:pos="709"/>
          <w:tab w:val="left" w:pos="2410"/>
          <w:tab w:val="left" w:pos="3544"/>
          <w:tab w:val="left" w:pos="4536"/>
        </w:tabs>
        <w:spacing w:after="0" w:line="240" w:lineRule="auto"/>
        <w:ind w:left="2410" w:hanging="992"/>
        <w:rPr>
          <w:rFonts w:ascii="Cambria" w:hAnsi="Cambria" w:cs="Arial"/>
          <w:b/>
        </w:rPr>
      </w:pPr>
      <w:r w:rsidRPr="009A0DA6">
        <w:rPr>
          <w:rFonts w:ascii="Cambria" w:eastAsia="Times New Roman" w:hAnsi="Cambria" w:cs="Times New Roman"/>
          <w:b/>
          <w:noProof/>
        </w:rPr>
        <w:t>4.1.10.4</w:t>
      </w:r>
      <w:r w:rsidRPr="009A0DA6">
        <w:rPr>
          <w:rFonts w:ascii="Cambria" w:eastAsia="Times New Roman" w:hAnsi="Cambria" w:cs="Times New Roman"/>
          <w:b/>
          <w:noProof/>
        </w:rPr>
        <w:tab/>
      </w:r>
      <w:r w:rsidRPr="009A0DA6">
        <w:rPr>
          <w:rFonts w:ascii="Cambria" w:eastAsia="Times New Roman" w:hAnsi="Cambria" w:cs="Arial"/>
          <w:b/>
          <w:lang w:eastAsia="en-AU"/>
        </w:rPr>
        <w:t>the well-being of pastors, teachers and other</w:t>
      </w:r>
      <w:r w:rsidRPr="009A0DA6">
        <w:rPr>
          <w:rFonts w:ascii="Cambria" w:eastAsia="Times New Roman" w:hAnsi="Cambria" w:cs="Times New Roman"/>
          <w:b/>
          <w:lang w:eastAsia="en-AU"/>
        </w:rPr>
        <w:t xml:space="preserve"> church workers in the performance of their duties and the maintenance of their rights is supported and promoted.</w:t>
      </w:r>
    </w:p>
    <w:p w14:paraId="5138DFDD" w14:textId="77777777" w:rsidR="0055189F" w:rsidRPr="009A0DA6" w:rsidRDefault="0055189F" w:rsidP="0055189F">
      <w:pPr>
        <w:shd w:val="clear" w:color="auto" w:fill="FFFFFF"/>
        <w:spacing w:after="0" w:line="240" w:lineRule="auto"/>
        <w:rPr>
          <w:rFonts w:ascii="Cambria" w:eastAsia="Times New Roman" w:hAnsi="Cambria" w:cs="Times New Roman"/>
          <w:bCs/>
          <w:color w:val="222222"/>
          <w:lang w:eastAsia="en-AU"/>
        </w:rPr>
      </w:pPr>
    </w:p>
    <w:p w14:paraId="0DF102C5" w14:textId="77777777" w:rsidR="0055189F" w:rsidRPr="009A0DA6" w:rsidRDefault="0055189F" w:rsidP="00355E83">
      <w:pPr>
        <w:pStyle w:val="Heading3"/>
      </w:pPr>
      <w:r w:rsidRPr="009A0DA6">
        <w:t>REASONS FOR THE MOTION</w:t>
      </w:r>
    </w:p>
    <w:p w14:paraId="1E5E89D9" w14:textId="77777777" w:rsidR="0055189F" w:rsidRPr="009A0DA6" w:rsidRDefault="0055189F" w:rsidP="0055189F">
      <w:pPr>
        <w:shd w:val="clear" w:color="auto" w:fill="FFFFFF"/>
        <w:spacing w:after="0" w:line="240" w:lineRule="auto"/>
        <w:rPr>
          <w:rFonts w:ascii="Cambria" w:hAnsi="Cambria" w:cs="Arial"/>
          <w:color w:val="222222"/>
          <w:shd w:val="clear" w:color="auto" w:fill="FFFFFF"/>
        </w:rPr>
      </w:pPr>
      <w:r w:rsidRPr="009A0DA6">
        <w:rPr>
          <w:rFonts w:ascii="Cambria" w:hAnsi="Cambria" w:cs="Arial"/>
          <w:color w:val="222222"/>
          <w:shd w:val="clear" w:color="auto" w:fill="FFFFFF"/>
        </w:rPr>
        <w:t>The need for due concern for the wellbeing of children, the aged and vulnerable people has been well accepted and expected in society and this amendment gives witness to the intent of the Church to demonstrate its support for this goal.</w:t>
      </w:r>
    </w:p>
    <w:p w14:paraId="2BDB17FC" w14:textId="77777777" w:rsidR="001C7AAD" w:rsidRPr="009A0DA6" w:rsidRDefault="001C7AAD" w:rsidP="001C7AAD">
      <w:pPr>
        <w:pStyle w:val="NoSpacing"/>
      </w:pPr>
      <w:r w:rsidRPr="009A0DA6">
        <w:rPr>
          <w:i/>
        </w:rPr>
        <w:t xml:space="preserve"> </w:t>
      </w:r>
    </w:p>
    <w:p w14:paraId="1988130D" w14:textId="054E0684" w:rsidR="004C0EDE" w:rsidRPr="009A0DA6" w:rsidRDefault="004C0EDE">
      <w:pPr>
        <w:rPr>
          <w:rFonts w:ascii="Cambria" w:eastAsiaTheme="majorEastAsia" w:hAnsi="Cambria" w:cstheme="majorBidi"/>
          <w:b/>
          <w:caps/>
          <w:sz w:val="28"/>
          <w:szCs w:val="24"/>
        </w:rPr>
      </w:pPr>
    </w:p>
    <w:p w14:paraId="0F33E356" w14:textId="49388D0D" w:rsidR="001C7AAD" w:rsidRPr="009A0DA6" w:rsidRDefault="001C7AAD" w:rsidP="00964A90">
      <w:pPr>
        <w:pStyle w:val="Heading3"/>
      </w:pPr>
      <w:r w:rsidRPr="009A0DA6">
        <w:lastRenderedPageBreak/>
        <w:t>agenda 2.4.7</w:t>
      </w:r>
    </w:p>
    <w:p w14:paraId="54A503FA" w14:textId="77777777" w:rsidR="001C7AAD" w:rsidRPr="009A0DA6" w:rsidRDefault="001C7AAD" w:rsidP="001C7AAD">
      <w:pPr>
        <w:pStyle w:val="Heading2"/>
      </w:pPr>
      <w:bookmarkStart w:id="457" w:name="_Toc521954709"/>
      <w:r w:rsidRPr="009A0DA6">
        <w:t xml:space="preserve">Constitutional </w:t>
      </w:r>
      <w:r w:rsidR="00284D80" w:rsidRPr="009A0DA6">
        <w:t>c</w:t>
      </w:r>
      <w:r w:rsidRPr="009A0DA6">
        <w:t>hange</w:t>
      </w:r>
      <w:r w:rsidR="00284D80" w:rsidRPr="009A0DA6">
        <w:t>s</w:t>
      </w:r>
      <w:r w:rsidRPr="009A0DA6">
        <w:t>: Consultant right to speak</w:t>
      </w:r>
      <w:bookmarkEnd w:id="457"/>
    </w:p>
    <w:p w14:paraId="59966E54" w14:textId="77777777" w:rsidR="001C7AAD" w:rsidRPr="009A0DA6" w:rsidRDefault="001C7AAD" w:rsidP="001C7AAD">
      <w:pPr>
        <w:pStyle w:val="NoSpacing"/>
      </w:pPr>
    </w:p>
    <w:p w14:paraId="7B13648E" w14:textId="77777777" w:rsidR="001C7AAD" w:rsidRPr="009A0DA6" w:rsidRDefault="0055189F" w:rsidP="00964A90">
      <w:pPr>
        <w:pStyle w:val="Heading3"/>
      </w:pPr>
      <w:r w:rsidRPr="009A0DA6">
        <w:t>proposed motion</w:t>
      </w:r>
    </w:p>
    <w:p w14:paraId="18EC2C1A" w14:textId="77777777" w:rsidR="0055189F" w:rsidRPr="009A0DA6" w:rsidRDefault="0055189F" w:rsidP="0055189F">
      <w:pPr>
        <w:shd w:val="clear" w:color="auto" w:fill="FFFFFF"/>
        <w:spacing w:after="0" w:line="240" w:lineRule="auto"/>
        <w:rPr>
          <w:rFonts w:ascii="Cambria" w:eastAsia="Times New Roman" w:hAnsi="Cambria" w:cs="Times New Roman"/>
          <w:bCs/>
          <w:color w:val="222222"/>
          <w:lang w:eastAsia="en-AU"/>
        </w:rPr>
      </w:pPr>
      <w:r w:rsidRPr="009A0DA6">
        <w:rPr>
          <w:rFonts w:ascii="Cambria" w:hAnsi="Cambria"/>
          <w:b/>
          <w:bCs/>
          <w:lang w:eastAsia="en-AU"/>
        </w:rPr>
        <w:t>BE IT RESOLVED</w:t>
      </w:r>
      <w:r w:rsidRPr="009A0DA6">
        <w:rPr>
          <w:rFonts w:ascii="Cambria" w:eastAsia="Times New Roman" w:hAnsi="Cambria" w:cs="Times New Roman"/>
          <w:bCs/>
          <w:color w:val="000000"/>
          <w:lang w:eastAsia="en-AU"/>
        </w:rPr>
        <w:t xml:space="preserve"> </w:t>
      </w:r>
      <w:r w:rsidRPr="009A0DA6">
        <w:rPr>
          <w:rFonts w:ascii="Cambria" w:eastAsia="Times New Roman" w:hAnsi="Cambria" w:cs="Times New Roman"/>
          <w:bCs/>
          <w:color w:val="222222"/>
          <w:lang w:eastAsia="en-AU"/>
        </w:rPr>
        <w:t xml:space="preserve">that </w:t>
      </w:r>
      <w:r w:rsidRPr="009A0DA6">
        <w:rPr>
          <w:rFonts w:ascii="Cambria" w:eastAsia="Times New Roman" w:hAnsi="Cambria" w:cs="Times New Roman"/>
          <w:b/>
          <w:bCs/>
          <w:color w:val="222222"/>
          <w:lang w:eastAsia="en-AU"/>
        </w:rPr>
        <w:t>Section 7 The General Synod</w:t>
      </w:r>
      <w:r w:rsidRPr="009A0DA6">
        <w:rPr>
          <w:rFonts w:ascii="Cambria" w:eastAsia="Times New Roman" w:hAnsi="Cambria" w:cs="Times New Roman"/>
          <w:bCs/>
          <w:color w:val="222222"/>
          <w:lang w:eastAsia="en-AU"/>
        </w:rPr>
        <w:t xml:space="preserve"> of the By-laws of the Church be amended in clause 7.1.7.1 as follows (words to be added – </w:t>
      </w:r>
      <w:r w:rsidRPr="009A0DA6">
        <w:rPr>
          <w:rFonts w:ascii="Cambria" w:eastAsia="Times New Roman" w:hAnsi="Cambria" w:cs="Times New Roman"/>
          <w:b/>
          <w:bCs/>
          <w:color w:val="222222"/>
          <w:lang w:eastAsia="en-AU"/>
        </w:rPr>
        <w:t>bold</w:t>
      </w:r>
      <w:r w:rsidRPr="009A0DA6">
        <w:rPr>
          <w:rFonts w:ascii="Cambria" w:eastAsia="Times New Roman" w:hAnsi="Cambria" w:cs="Times New Roman"/>
          <w:bCs/>
          <w:color w:val="222222"/>
          <w:lang w:eastAsia="en-AU"/>
        </w:rPr>
        <w:t>):</w:t>
      </w:r>
    </w:p>
    <w:p w14:paraId="37648E41" w14:textId="77777777" w:rsidR="0055189F" w:rsidRPr="009A0DA6" w:rsidRDefault="0055189F" w:rsidP="0055189F">
      <w:pPr>
        <w:shd w:val="clear" w:color="auto" w:fill="FFFFFF"/>
        <w:spacing w:after="0" w:line="240" w:lineRule="auto"/>
        <w:rPr>
          <w:rFonts w:ascii="Cambria" w:eastAsia="Times New Roman" w:hAnsi="Cambria" w:cs="Times New Roman"/>
          <w:b/>
          <w:bCs/>
          <w:color w:val="222222"/>
          <w:lang w:eastAsia="en-AU"/>
        </w:rPr>
      </w:pPr>
    </w:p>
    <w:p w14:paraId="27B21EEB" w14:textId="77777777" w:rsidR="0055189F" w:rsidRPr="009A0DA6" w:rsidRDefault="0055189F" w:rsidP="0055189F">
      <w:pPr>
        <w:tabs>
          <w:tab w:val="left" w:pos="284"/>
          <w:tab w:val="left" w:pos="851"/>
          <w:tab w:val="left" w:pos="2268"/>
        </w:tabs>
        <w:spacing w:after="0" w:line="240" w:lineRule="auto"/>
        <w:ind w:left="851" w:hanging="851"/>
        <w:rPr>
          <w:rFonts w:ascii="Cambria" w:eastAsia="Times New Roman" w:hAnsi="Cambria" w:cs="Arial"/>
          <w:iCs/>
        </w:rPr>
      </w:pPr>
      <w:r w:rsidRPr="009A0DA6">
        <w:rPr>
          <w:rFonts w:ascii="Cambria" w:eastAsia="Times New Roman" w:hAnsi="Cambria" w:cs="Arial"/>
          <w:iCs/>
        </w:rPr>
        <w:t>7.1.7.1</w:t>
      </w:r>
      <w:r w:rsidRPr="009A0DA6">
        <w:rPr>
          <w:rFonts w:ascii="Cambria" w:eastAsia="Times New Roman" w:hAnsi="Cambria" w:cs="Arial"/>
          <w:iCs/>
        </w:rPr>
        <w:tab/>
        <w:t xml:space="preserve">Any executive officer of a board of the Church not elected as a delegate shall have the right to attend a convention of the General Synod as a consultant </w:t>
      </w:r>
      <w:r w:rsidRPr="009A0DA6">
        <w:rPr>
          <w:rFonts w:ascii="Cambria" w:eastAsia="Times New Roman" w:hAnsi="Cambria" w:cs="Arial"/>
          <w:b/>
          <w:iCs/>
        </w:rPr>
        <w:t>with the right to speak</w:t>
      </w:r>
      <w:r w:rsidRPr="009A0DA6">
        <w:rPr>
          <w:rFonts w:ascii="Cambria" w:eastAsia="Times New Roman" w:hAnsi="Cambria" w:cs="Arial"/>
          <w:iCs/>
        </w:rPr>
        <w:t>.</w:t>
      </w:r>
    </w:p>
    <w:p w14:paraId="7758E5E6" w14:textId="77777777" w:rsidR="0055189F" w:rsidRPr="009A0DA6" w:rsidRDefault="0055189F" w:rsidP="0055189F">
      <w:pPr>
        <w:spacing w:after="0" w:line="240" w:lineRule="auto"/>
        <w:ind w:right="573" w:firstLine="6"/>
        <w:rPr>
          <w:rFonts w:ascii="Cambria" w:eastAsia="Times New Roman" w:hAnsi="Cambria" w:cs="Times New Roman"/>
          <w:bCs/>
          <w:color w:val="222222"/>
          <w:lang w:eastAsia="en-AU"/>
        </w:rPr>
      </w:pPr>
    </w:p>
    <w:p w14:paraId="2878A22A" w14:textId="77777777" w:rsidR="0055189F" w:rsidRPr="009A0DA6" w:rsidRDefault="0055189F" w:rsidP="00355E83">
      <w:pPr>
        <w:pStyle w:val="Heading3"/>
      </w:pPr>
      <w:r w:rsidRPr="009A0DA6">
        <w:t>REASONS FOR THE MOTION</w:t>
      </w:r>
    </w:p>
    <w:p w14:paraId="7BB4C0AF" w14:textId="77777777" w:rsidR="0055189F" w:rsidRPr="009A0DA6" w:rsidRDefault="0055189F" w:rsidP="0055189F">
      <w:pPr>
        <w:shd w:val="clear" w:color="auto" w:fill="FFFFFF"/>
        <w:spacing w:after="0" w:line="240" w:lineRule="auto"/>
        <w:rPr>
          <w:rFonts w:ascii="Cambria" w:hAnsi="Cambria" w:cs="Arial"/>
          <w:color w:val="222222"/>
          <w:shd w:val="clear" w:color="auto" w:fill="FFFFFF"/>
        </w:rPr>
      </w:pPr>
      <w:r w:rsidRPr="009A0DA6">
        <w:rPr>
          <w:rFonts w:ascii="Cambria" w:hAnsi="Cambria" w:cs="Arial"/>
          <w:color w:val="222222"/>
          <w:shd w:val="clear" w:color="auto" w:fill="FFFFFF"/>
        </w:rPr>
        <w:t>Consultants can best serve the General Synod by being able to speak.</w:t>
      </w:r>
    </w:p>
    <w:p w14:paraId="4DAEAF41" w14:textId="77777777" w:rsidR="004C0EDE" w:rsidRPr="009A0DA6" w:rsidRDefault="004C0EDE" w:rsidP="001C7AAD">
      <w:pPr>
        <w:pStyle w:val="NoSpacing"/>
        <w:rPr>
          <w:i/>
        </w:rPr>
      </w:pPr>
    </w:p>
    <w:p w14:paraId="55B537AE" w14:textId="77777777" w:rsidR="004C0EDE" w:rsidRPr="009A0DA6" w:rsidRDefault="004C0EDE" w:rsidP="001C7AAD">
      <w:pPr>
        <w:pStyle w:val="NoSpacing"/>
        <w:rPr>
          <w:i/>
        </w:rPr>
      </w:pPr>
    </w:p>
    <w:p w14:paraId="6050EF6F" w14:textId="3069C82A" w:rsidR="001C7AAD" w:rsidRDefault="001C7AAD" w:rsidP="001C7AAD">
      <w:pPr>
        <w:pStyle w:val="NoSpacing"/>
        <w:rPr>
          <w:i/>
        </w:rPr>
      </w:pPr>
      <w:r w:rsidRPr="009A0DA6">
        <w:rPr>
          <w:i/>
        </w:rPr>
        <w:t xml:space="preserve"> </w:t>
      </w:r>
    </w:p>
    <w:p w14:paraId="6530C0A8" w14:textId="77777777" w:rsidR="00786120" w:rsidRPr="009A0DA6" w:rsidRDefault="00786120" w:rsidP="001C7AAD">
      <w:pPr>
        <w:pStyle w:val="NoSpacing"/>
      </w:pPr>
    </w:p>
    <w:p w14:paraId="1BFE6AE4" w14:textId="77777777" w:rsidR="001C7AAD" w:rsidRPr="009A0DA6" w:rsidRDefault="001C7AAD" w:rsidP="00964A90">
      <w:pPr>
        <w:pStyle w:val="Heading3"/>
      </w:pPr>
      <w:r w:rsidRPr="009A0DA6">
        <w:t>agenda 2.4.8</w:t>
      </w:r>
    </w:p>
    <w:p w14:paraId="0A576015" w14:textId="76374CF7" w:rsidR="001C7AAD" w:rsidRPr="009A0DA6" w:rsidRDefault="001C7AAD" w:rsidP="001C7AAD">
      <w:pPr>
        <w:pStyle w:val="Heading2"/>
      </w:pPr>
      <w:bookmarkStart w:id="458" w:name="_Toc521954710"/>
      <w:r w:rsidRPr="009A0DA6">
        <w:t xml:space="preserve">Constitutional </w:t>
      </w:r>
      <w:r w:rsidR="00284D80" w:rsidRPr="009A0DA6">
        <w:t>c</w:t>
      </w:r>
      <w:r w:rsidRPr="009A0DA6">
        <w:t>hange</w:t>
      </w:r>
      <w:r w:rsidR="00284D80" w:rsidRPr="009A0DA6">
        <w:t>s</w:t>
      </w:r>
      <w:r w:rsidRPr="009A0DA6">
        <w:t xml:space="preserve">: Funds removal from </w:t>
      </w:r>
      <w:r w:rsidR="00296DD9">
        <w:br/>
      </w:r>
      <w:r w:rsidRPr="009A0DA6">
        <w:t>by-laws</w:t>
      </w:r>
      <w:bookmarkEnd w:id="458"/>
    </w:p>
    <w:p w14:paraId="3E5AA7EB" w14:textId="7FB81948" w:rsidR="00296DD9" w:rsidRPr="009A0DA6" w:rsidRDefault="00296DD9" w:rsidP="001C7AAD">
      <w:pPr>
        <w:pStyle w:val="NoSpacing"/>
      </w:pPr>
    </w:p>
    <w:p w14:paraId="0BE78273" w14:textId="77777777" w:rsidR="001C7AAD" w:rsidRPr="009A0DA6" w:rsidRDefault="001C7AAD" w:rsidP="00964A90">
      <w:pPr>
        <w:pStyle w:val="Heading3"/>
      </w:pPr>
      <w:r w:rsidRPr="009A0DA6">
        <w:t>propos</w:t>
      </w:r>
      <w:r w:rsidR="0055189F" w:rsidRPr="009A0DA6">
        <w:t>ed motion</w:t>
      </w:r>
    </w:p>
    <w:p w14:paraId="2646CA46" w14:textId="77777777" w:rsidR="0055189F" w:rsidRPr="009A0DA6" w:rsidRDefault="0055189F" w:rsidP="0055189F">
      <w:pPr>
        <w:shd w:val="clear" w:color="auto" w:fill="FFFFFF"/>
        <w:spacing w:after="0" w:line="240" w:lineRule="auto"/>
        <w:rPr>
          <w:rFonts w:ascii="Cambria" w:eastAsia="Times New Roman" w:hAnsi="Cambria" w:cs="Times New Roman"/>
          <w:bCs/>
          <w:color w:val="222222"/>
          <w:lang w:eastAsia="en-AU"/>
        </w:rPr>
      </w:pPr>
      <w:r w:rsidRPr="009A0DA6">
        <w:rPr>
          <w:rFonts w:ascii="Cambria" w:hAnsi="Cambria"/>
          <w:b/>
          <w:bCs/>
          <w:lang w:eastAsia="en-AU"/>
        </w:rPr>
        <w:t>BE IT RESOLVED</w:t>
      </w:r>
      <w:r w:rsidRPr="009A0DA6">
        <w:rPr>
          <w:rFonts w:ascii="Cambria" w:eastAsia="Times New Roman" w:hAnsi="Cambria" w:cs="Times New Roman"/>
          <w:bCs/>
          <w:color w:val="000000"/>
          <w:lang w:eastAsia="en-AU"/>
        </w:rPr>
        <w:t xml:space="preserve"> </w:t>
      </w:r>
      <w:r w:rsidRPr="009A0DA6">
        <w:rPr>
          <w:rFonts w:ascii="Cambria" w:eastAsia="Times New Roman" w:hAnsi="Cambria" w:cs="Times New Roman"/>
          <w:bCs/>
          <w:color w:val="222222"/>
          <w:lang w:eastAsia="en-AU"/>
        </w:rPr>
        <w:t xml:space="preserve">that </w:t>
      </w:r>
      <w:r w:rsidRPr="009A0DA6">
        <w:rPr>
          <w:rFonts w:ascii="Cambria" w:eastAsia="Times New Roman" w:hAnsi="Cambria" w:cs="Times New Roman"/>
          <w:b/>
          <w:bCs/>
          <w:color w:val="222222"/>
          <w:lang w:eastAsia="en-AU"/>
        </w:rPr>
        <w:t>Section 11 By-laws</w:t>
      </w:r>
      <w:r w:rsidRPr="009A0DA6">
        <w:rPr>
          <w:rFonts w:ascii="Cambria" w:eastAsia="Times New Roman" w:hAnsi="Cambria" w:cs="Times New Roman"/>
          <w:bCs/>
          <w:color w:val="222222"/>
          <w:lang w:eastAsia="en-AU"/>
        </w:rPr>
        <w:t xml:space="preserve"> be amended as follows (words to be deleted – </w:t>
      </w:r>
      <w:r w:rsidRPr="009A0DA6">
        <w:rPr>
          <w:rFonts w:ascii="Cambria" w:eastAsia="Times New Roman" w:hAnsi="Cambria" w:cs="Times New Roman"/>
          <w:bCs/>
          <w:strike/>
          <w:color w:val="222222"/>
          <w:lang w:eastAsia="en-AU"/>
        </w:rPr>
        <w:t>strikethrough</w:t>
      </w:r>
      <w:r w:rsidRPr="009A0DA6">
        <w:rPr>
          <w:rFonts w:ascii="Cambria" w:eastAsia="Times New Roman" w:hAnsi="Cambria" w:cs="Times New Roman"/>
          <w:bCs/>
          <w:color w:val="222222"/>
          <w:lang w:eastAsia="en-AU"/>
        </w:rPr>
        <w:t xml:space="preserve">;  words to be added – </w:t>
      </w:r>
      <w:r w:rsidRPr="009A0DA6">
        <w:rPr>
          <w:rFonts w:ascii="Cambria" w:eastAsia="Times New Roman" w:hAnsi="Cambria" w:cs="Times New Roman"/>
          <w:b/>
          <w:bCs/>
          <w:color w:val="222222"/>
          <w:lang w:eastAsia="en-AU"/>
        </w:rPr>
        <w:t>bold</w:t>
      </w:r>
      <w:r w:rsidRPr="009A0DA6">
        <w:rPr>
          <w:rFonts w:ascii="Cambria" w:eastAsia="Times New Roman" w:hAnsi="Cambria" w:cs="Times New Roman"/>
          <w:bCs/>
          <w:color w:val="222222"/>
          <w:lang w:eastAsia="en-AU"/>
        </w:rPr>
        <w:t>):</w:t>
      </w:r>
    </w:p>
    <w:p w14:paraId="04CA9C80" w14:textId="77777777" w:rsidR="0055189F" w:rsidRPr="009A0DA6" w:rsidRDefault="0055189F" w:rsidP="0055189F">
      <w:pPr>
        <w:shd w:val="clear" w:color="auto" w:fill="FFFFFF"/>
        <w:spacing w:after="0" w:line="240" w:lineRule="auto"/>
        <w:rPr>
          <w:rFonts w:ascii="Cambria" w:eastAsia="Times New Roman" w:hAnsi="Cambria" w:cs="Times New Roman"/>
          <w:bCs/>
          <w:color w:val="222222"/>
          <w:lang w:eastAsia="en-AU"/>
        </w:rPr>
      </w:pPr>
    </w:p>
    <w:p w14:paraId="6BE28F66" w14:textId="30C7CE46" w:rsidR="0055189F" w:rsidRPr="009A0DA6" w:rsidRDefault="0055189F" w:rsidP="0055189F">
      <w:pPr>
        <w:tabs>
          <w:tab w:val="left" w:pos="851"/>
          <w:tab w:val="left" w:pos="1985"/>
          <w:tab w:val="left" w:pos="3119"/>
          <w:tab w:val="left" w:pos="4536"/>
          <w:tab w:val="left" w:pos="5670"/>
        </w:tabs>
        <w:spacing w:after="0" w:line="240" w:lineRule="auto"/>
        <w:jc w:val="center"/>
        <w:rPr>
          <w:rFonts w:ascii="Cambria" w:eastAsia="Times New Roman" w:hAnsi="Cambria" w:cs="Times New Roman"/>
          <w:b/>
          <w:lang w:eastAsia="en-AU"/>
        </w:rPr>
      </w:pPr>
      <w:r w:rsidRPr="009A0DA6">
        <w:rPr>
          <w:rFonts w:ascii="Cambria" w:eastAsia="Times New Roman" w:hAnsi="Cambria" w:cs="Times New Roman"/>
          <w:b/>
          <w:lang w:eastAsia="en-AU"/>
        </w:rPr>
        <w:t>SECTION  11</w:t>
      </w:r>
      <w:r w:rsidR="0027799A" w:rsidRPr="009A0DA6">
        <w:rPr>
          <w:rFonts w:ascii="Cambria" w:eastAsia="Times New Roman" w:hAnsi="Cambria" w:cs="Times New Roman"/>
          <w:b/>
          <w:lang w:eastAsia="en-AU"/>
        </w:rPr>
        <w:t xml:space="preserve">. </w:t>
      </w:r>
      <w:r w:rsidRPr="009A0DA6">
        <w:rPr>
          <w:rFonts w:ascii="Cambria" w:eastAsia="Times New Roman" w:hAnsi="Cambria" w:cs="Times New Roman"/>
          <w:b/>
          <w:lang w:eastAsia="en-AU"/>
        </w:rPr>
        <w:t xml:space="preserve"> BY-LAWS</w:t>
      </w:r>
    </w:p>
    <w:p w14:paraId="6DA41F08" w14:textId="77777777" w:rsidR="0055189F" w:rsidRPr="009A0DA6" w:rsidRDefault="0055189F" w:rsidP="0055189F">
      <w:pPr>
        <w:tabs>
          <w:tab w:val="left" w:pos="851"/>
          <w:tab w:val="left" w:pos="1985"/>
          <w:tab w:val="left" w:pos="3119"/>
          <w:tab w:val="left" w:pos="4536"/>
          <w:tab w:val="left" w:pos="5670"/>
        </w:tabs>
        <w:spacing w:after="0" w:line="240" w:lineRule="auto"/>
        <w:jc w:val="center"/>
        <w:rPr>
          <w:rFonts w:ascii="Cambria" w:eastAsia="Times New Roman" w:hAnsi="Cambria" w:cs="Times New Roman"/>
          <w:b/>
          <w:sz w:val="10"/>
          <w:szCs w:val="10"/>
          <w:lang w:eastAsia="en-AU"/>
        </w:rPr>
      </w:pPr>
    </w:p>
    <w:p w14:paraId="4C477429" w14:textId="77777777" w:rsidR="0055189F" w:rsidRPr="009A0DA6" w:rsidRDefault="0055189F" w:rsidP="0055189F">
      <w:pPr>
        <w:tabs>
          <w:tab w:val="left" w:pos="567"/>
          <w:tab w:val="left" w:pos="1985"/>
          <w:tab w:val="left" w:pos="3119"/>
          <w:tab w:val="left" w:pos="4536"/>
          <w:tab w:val="left" w:pos="5670"/>
        </w:tabs>
        <w:spacing w:after="0" w:line="240" w:lineRule="auto"/>
        <w:ind w:left="567" w:hanging="567"/>
        <w:rPr>
          <w:rFonts w:ascii="Cambria" w:eastAsia="Times New Roman" w:hAnsi="Cambria" w:cs="Times New Roman"/>
          <w:strike/>
          <w:lang w:eastAsia="en-AU"/>
        </w:rPr>
      </w:pPr>
      <w:r w:rsidRPr="009A0DA6">
        <w:rPr>
          <w:rFonts w:ascii="Cambria" w:eastAsia="Times New Roman" w:hAnsi="Cambria" w:cs="Times New Roman"/>
          <w:strike/>
          <w:lang w:eastAsia="en-AU"/>
        </w:rPr>
        <w:t>11.2</w:t>
      </w:r>
      <w:r w:rsidRPr="009A0DA6">
        <w:rPr>
          <w:rFonts w:ascii="Cambria" w:eastAsia="Times New Roman" w:hAnsi="Cambria" w:cs="Times New Roman"/>
          <w:strike/>
          <w:lang w:eastAsia="en-AU"/>
        </w:rPr>
        <w:tab/>
        <w:t>The rules governing each Fund of the Church are By-laws of the Church.</w:t>
      </w:r>
    </w:p>
    <w:p w14:paraId="6C402547" w14:textId="77777777" w:rsidR="0055189F" w:rsidRPr="009A0DA6" w:rsidRDefault="0055189F" w:rsidP="0055189F">
      <w:pPr>
        <w:tabs>
          <w:tab w:val="left" w:pos="851"/>
          <w:tab w:val="left" w:pos="1985"/>
          <w:tab w:val="left" w:pos="3119"/>
          <w:tab w:val="left" w:pos="4536"/>
          <w:tab w:val="left" w:pos="5670"/>
        </w:tabs>
        <w:spacing w:after="0" w:line="240" w:lineRule="auto"/>
        <w:ind w:left="567" w:hanging="567"/>
        <w:rPr>
          <w:rFonts w:ascii="Cambria" w:eastAsia="Times New Roman" w:hAnsi="Cambria" w:cs="Times New Roman"/>
          <w:lang w:eastAsia="en-AU"/>
        </w:rPr>
      </w:pPr>
      <w:r w:rsidRPr="009A0DA6">
        <w:rPr>
          <w:rFonts w:ascii="Cambria" w:eastAsia="Times New Roman" w:hAnsi="Cambria" w:cs="Times New Roman"/>
          <w:lang w:eastAsia="en-AU"/>
        </w:rPr>
        <w:t>11.</w:t>
      </w:r>
      <w:r w:rsidRPr="009A0DA6">
        <w:rPr>
          <w:rFonts w:ascii="Cambria" w:eastAsia="Times New Roman" w:hAnsi="Cambria" w:cs="Times New Roman"/>
          <w:strike/>
          <w:lang w:eastAsia="en-AU"/>
        </w:rPr>
        <w:t>3</w:t>
      </w:r>
      <w:r w:rsidRPr="009A0DA6">
        <w:rPr>
          <w:rFonts w:ascii="Cambria" w:eastAsia="Times New Roman" w:hAnsi="Cambria" w:cs="Times New Roman"/>
          <w:b/>
          <w:lang w:eastAsia="en-AU"/>
        </w:rPr>
        <w:t>2</w:t>
      </w:r>
      <w:r w:rsidRPr="009A0DA6">
        <w:rPr>
          <w:rFonts w:ascii="Cambria" w:eastAsia="Times New Roman" w:hAnsi="Cambria" w:cs="Times New Roman"/>
          <w:lang w:eastAsia="en-AU"/>
        </w:rPr>
        <w:tab/>
        <w:t>The Constitution and By-laws Part A of Districts laid down by the Church in pursuance of Article 9.2 of the Constitution of the Church are By-laws of the Church.</w:t>
      </w:r>
    </w:p>
    <w:p w14:paraId="73E31392" w14:textId="77777777" w:rsidR="00AD3E1B" w:rsidRPr="009A0DA6" w:rsidRDefault="00AD3E1B" w:rsidP="0055189F">
      <w:pPr>
        <w:pStyle w:val="Subtitle"/>
      </w:pPr>
    </w:p>
    <w:p w14:paraId="6972AEC3" w14:textId="77777777" w:rsidR="0055189F" w:rsidRPr="009A0DA6" w:rsidRDefault="0055189F" w:rsidP="00FB59B1">
      <w:pPr>
        <w:pStyle w:val="Heading3"/>
      </w:pPr>
      <w:r w:rsidRPr="009A0DA6">
        <w:t>REASONS FOR THE MOTION</w:t>
      </w:r>
    </w:p>
    <w:p w14:paraId="6FA7703D" w14:textId="77777777" w:rsidR="00AD3E1B" w:rsidRPr="009A0DA6" w:rsidRDefault="00AD3E1B" w:rsidP="00AD3E1B">
      <w:pPr>
        <w:pStyle w:val="NoSpacing"/>
        <w:rPr>
          <w:sz w:val="10"/>
          <w:szCs w:val="10"/>
        </w:rPr>
      </w:pPr>
    </w:p>
    <w:p w14:paraId="0589C89A" w14:textId="6AC6097F" w:rsidR="0055189F" w:rsidRPr="009A0DA6" w:rsidRDefault="0055189F" w:rsidP="0055189F">
      <w:pPr>
        <w:shd w:val="clear" w:color="auto" w:fill="FFFFFF"/>
        <w:spacing w:after="0" w:line="240" w:lineRule="auto"/>
        <w:rPr>
          <w:rFonts w:ascii="Cambria" w:hAnsi="Cambria" w:cs="Arial"/>
          <w:color w:val="222222"/>
          <w:shd w:val="clear" w:color="auto" w:fill="FFFFFF"/>
        </w:rPr>
      </w:pPr>
      <w:r w:rsidRPr="009A0DA6">
        <w:rPr>
          <w:rFonts w:ascii="Cambria" w:hAnsi="Cambria" w:cs="Arial"/>
          <w:color w:val="222222"/>
          <w:shd w:val="clear" w:color="auto" w:fill="FFFFFF"/>
        </w:rPr>
        <w:t>The By-laws that provide the rules for the Funds of the Church do not warrant being placed before Synod for approval and update</w:t>
      </w:r>
      <w:r w:rsidR="0027799A" w:rsidRPr="009A0DA6">
        <w:rPr>
          <w:rFonts w:ascii="Cambria" w:hAnsi="Cambria" w:cs="Arial"/>
          <w:color w:val="222222"/>
          <w:shd w:val="clear" w:color="auto" w:fill="FFFFFF"/>
        </w:rPr>
        <w:t xml:space="preserve">. </w:t>
      </w:r>
      <w:r w:rsidRPr="009A0DA6">
        <w:rPr>
          <w:rFonts w:ascii="Cambria" w:hAnsi="Cambria" w:cs="Arial"/>
          <w:color w:val="222222"/>
          <w:shd w:val="clear" w:color="auto" w:fill="FFFFFF"/>
        </w:rPr>
        <w:t>Often they require minor adjustment in a timely fashion and this can easily be done by the General Church Board upon the advice of the Standing Committee on Constitutions.</w:t>
      </w:r>
    </w:p>
    <w:p w14:paraId="11E179EA" w14:textId="2425E67A" w:rsidR="001C7AAD" w:rsidRPr="009A0DA6" w:rsidRDefault="001C7AAD" w:rsidP="001C7AAD">
      <w:pPr>
        <w:pStyle w:val="NoSpacing"/>
      </w:pPr>
    </w:p>
    <w:p w14:paraId="518F60A7" w14:textId="77777777" w:rsidR="00786120" w:rsidRDefault="00786120">
      <w:pPr>
        <w:rPr>
          <w:rFonts w:ascii="Cambria" w:eastAsiaTheme="majorEastAsia" w:hAnsi="Cambria" w:cstheme="majorBidi"/>
          <w:b/>
          <w:caps/>
          <w:sz w:val="28"/>
          <w:szCs w:val="24"/>
        </w:rPr>
      </w:pPr>
      <w:r>
        <w:br w:type="page"/>
      </w:r>
    </w:p>
    <w:p w14:paraId="120EC1CE" w14:textId="1A5BDF39" w:rsidR="001C7AAD" w:rsidRPr="009A0DA6" w:rsidRDefault="001C7AAD" w:rsidP="00964A90">
      <w:pPr>
        <w:pStyle w:val="Heading3"/>
      </w:pPr>
      <w:r w:rsidRPr="009A0DA6">
        <w:lastRenderedPageBreak/>
        <w:t>agenda 2.4.9</w:t>
      </w:r>
    </w:p>
    <w:p w14:paraId="5B2DAD5D" w14:textId="0060D235" w:rsidR="001C7AAD" w:rsidRPr="009A0DA6" w:rsidRDefault="001C7AAD" w:rsidP="001C7AAD">
      <w:pPr>
        <w:pStyle w:val="Heading2"/>
      </w:pPr>
      <w:bookmarkStart w:id="459" w:name="_Toc521954711"/>
      <w:r w:rsidRPr="009A0DA6">
        <w:t xml:space="preserve">Constitutional </w:t>
      </w:r>
      <w:r w:rsidR="00284D80" w:rsidRPr="009A0DA6">
        <w:t>c</w:t>
      </w:r>
      <w:r w:rsidRPr="009A0DA6">
        <w:t>hange</w:t>
      </w:r>
      <w:r w:rsidR="00284D80" w:rsidRPr="009A0DA6">
        <w:t>s</w:t>
      </w:r>
      <w:r w:rsidRPr="009A0DA6">
        <w:t xml:space="preserve">: General </w:t>
      </w:r>
      <w:r w:rsidR="002A18E0">
        <w:t>S</w:t>
      </w:r>
      <w:r w:rsidRPr="009A0DA6">
        <w:t>ynod composition</w:t>
      </w:r>
      <w:bookmarkEnd w:id="459"/>
    </w:p>
    <w:p w14:paraId="0260A51A" w14:textId="77777777" w:rsidR="001C7AAD" w:rsidRPr="009A0DA6" w:rsidRDefault="001C7AAD" w:rsidP="001C7AAD">
      <w:pPr>
        <w:pStyle w:val="NoSpacing"/>
      </w:pPr>
    </w:p>
    <w:p w14:paraId="50AA8187" w14:textId="77777777" w:rsidR="001C7AAD" w:rsidRPr="009A0DA6" w:rsidRDefault="00AD3E1B" w:rsidP="00964A90">
      <w:pPr>
        <w:pStyle w:val="Heading3"/>
      </w:pPr>
      <w:r w:rsidRPr="009A0DA6">
        <w:t>proposed motion</w:t>
      </w:r>
    </w:p>
    <w:p w14:paraId="57D3D66B" w14:textId="77777777" w:rsidR="00284D80" w:rsidRPr="009A0DA6" w:rsidRDefault="00284D80" w:rsidP="00284D80">
      <w:pPr>
        <w:shd w:val="clear" w:color="auto" w:fill="FFFFFF"/>
        <w:spacing w:after="0" w:line="240" w:lineRule="auto"/>
        <w:rPr>
          <w:rFonts w:ascii="Cambria" w:eastAsia="Times New Roman" w:hAnsi="Cambria" w:cs="Times New Roman"/>
          <w:bCs/>
          <w:color w:val="222222"/>
          <w:lang w:eastAsia="en-AU"/>
        </w:rPr>
      </w:pPr>
      <w:r w:rsidRPr="009A0DA6">
        <w:rPr>
          <w:rFonts w:ascii="Cambria" w:hAnsi="Cambria"/>
          <w:b/>
          <w:bCs/>
          <w:lang w:eastAsia="en-AU"/>
        </w:rPr>
        <w:t>BE IT RESOLVED</w:t>
      </w:r>
      <w:r w:rsidRPr="009A0DA6">
        <w:rPr>
          <w:rFonts w:ascii="Cambria" w:eastAsia="Times New Roman" w:hAnsi="Cambria" w:cs="Times New Roman"/>
          <w:bCs/>
          <w:color w:val="000000"/>
          <w:lang w:eastAsia="en-AU"/>
        </w:rPr>
        <w:t xml:space="preserve"> </w:t>
      </w:r>
      <w:r w:rsidRPr="009A0DA6">
        <w:rPr>
          <w:rFonts w:ascii="Cambria" w:eastAsia="Times New Roman" w:hAnsi="Cambria" w:cs="Times New Roman"/>
          <w:bCs/>
          <w:color w:val="222222"/>
          <w:lang w:eastAsia="en-AU"/>
        </w:rPr>
        <w:t xml:space="preserve">that </w:t>
      </w:r>
      <w:r w:rsidRPr="009A0DA6">
        <w:rPr>
          <w:rFonts w:ascii="Cambria" w:eastAsia="Times New Roman" w:hAnsi="Cambria" w:cs="Times New Roman"/>
          <w:b/>
          <w:bCs/>
          <w:color w:val="222222"/>
          <w:lang w:eastAsia="en-AU"/>
        </w:rPr>
        <w:t>Article 7 The General Synod</w:t>
      </w:r>
      <w:r w:rsidRPr="009A0DA6">
        <w:rPr>
          <w:rFonts w:ascii="Cambria" w:eastAsia="Times New Roman" w:hAnsi="Cambria" w:cs="Times New Roman"/>
          <w:bCs/>
          <w:color w:val="222222"/>
          <w:lang w:eastAsia="en-AU"/>
        </w:rPr>
        <w:t xml:space="preserve"> of the Constitution of the Church be amended as follows (words to be deleted – </w:t>
      </w:r>
      <w:r w:rsidRPr="009A0DA6">
        <w:rPr>
          <w:rFonts w:ascii="Cambria" w:eastAsia="Times New Roman" w:hAnsi="Cambria" w:cs="Times New Roman"/>
          <w:bCs/>
          <w:strike/>
          <w:color w:val="222222"/>
          <w:lang w:eastAsia="en-AU"/>
        </w:rPr>
        <w:t>strikethrough</w:t>
      </w:r>
      <w:r w:rsidRPr="009A0DA6">
        <w:rPr>
          <w:rFonts w:ascii="Cambria" w:eastAsia="Times New Roman" w:hAnsi="Cambria" w:cs="Times New Roman"/>
          <w:bCs/>
          <w:color w:val="222222"/>
          <w:lang w:eastAsia="en-AU"/>
        </w:rPr>
        <w:t xml:space="preserve">;  words to be added – </w:t>
      </w:r>
      <w:r w:rsidRPr="009A0DA6">
        <w:rPr>
          <w:rFonts w:ascii="Cambria" w:eastAsia="Times New Roman" w:hAnsi="Cambria" w:cs="Times New Roman"/>
          <w:b/>
          <w:bCs/>
          <w:color w:val="222222"/>
          <w:lang w:eastAsia="en-AU"/>
        </w:rPr>
        <w:t>bold</w:t>
      </w:r>
      <w:r w:rsidRPr="009A0DA6">
        <w:rPr>
          <w:rFonts w:ascii="Cambria" w:eastAsia="Times New Roman" w:hAnsi="Cambria" w:cs="Times New Roman"/>
          <w:bCs/>
          <w:color w:val="222222"/>
          <w:lang w:eastAsia="en-AU"/>
        </w:rPr>
        <w:t>):</w:t>
      </w:r>
    </w:p>
    <w:p w14:paraId="74D5AECB" w14:textId="77777777" w:rsidR="00284D80" w:rsidRPr="009A0DA6" w:rsidRDefault="00284D80" w:rsidP="00284D80">
      <w:pPr>
        <w:shd w:val="clear" w:color="auto" w:fill="FFFFFF"/>
        <w:spacing w:after="0" w:line="240" w:lineRule="auto"/>
        <w:rPr>
          <w:rFonts w:ascii="Cambria" w:eastAsia="Times New Roman" w:hAnsi="Cambria" w:cs="Times New Roman"/>
          <w:bCs/>
          <w:color w:val="222222"/>
          <w:lang w:eastAsia="en-AU"/>
        </w:rPr>
      </w:pPr>
    </w:p>
    <w:p w14:paraId="449F9F7A" w14:textId="74D2F998" w:rsidR="00284D80" w:rsidRPr="009A0DA6" w:rsidRDefault="00284D80" w:rsidP="00284D80">
      <w:pPr>
        <w:tabs>
          <w:tab w:val="left" w:pos="851"/>
          <w:tab w:val="left" w:pos="1985"/>
          <w:tab w:val="left" w:pos="3119"/>
          <w:tab w:val="left" w:pos="4536"/>
          <w:tab w:val="left" w:pos="5670"/>
        </w:tabs>
        <w:spacing w:after="0" w:line="240" w:lineRule="auto"/>
        <w:jc w:val="center"/>
        <w:rPr>
          <w:rFonts w:ascii="Cambria" w:eastAsia="Times New Roman" w:hAnsi="Cambria" w:cs="Times New Roman"/>
          <w:b/>
          <w:lang w:eastAsia="en-AU"/>
        </w:rPr>
      </w:pPr>
      <w:r w:rsidRPr="009A0DA6">
        <w:rPr>
          <w:rFonts w:ascii="Cambria" w:eastAsia="Times New Roman" w:hAnsi="Cambria" w:cs="Times New Roman"/>
          <w:b/>
          <w:lang w:eastAsia="en-AU"/>
        </w:rPr>
        <w:t>ARTICLE  7</w:t>
      </w:r>
      <w:r w:rsidR="0027799A" w:rsidRPr="009A0DA6">
        <w:rPr>
          <w:rFonts w:ascii="Cambria" w:eastAsia="Times New Roman" w:hAnsi="Cambria" w:cs="Times New Roman"/>
          <w:b/>
          <w:lang w:eastAsia="en-AU"/>
        </w:rPr>
        <w:t xml:space="preserve">. </w:t>
      </w:r>
      <w:r w:rsidRPr="009A0DA6">
        <w:rPr>
          <w:rFonts w:ascii="Cambria" w:eastAsia="Times New Roman" w:hAnsi="Cambria" w:cs="Times New Roman"/>
          <w:b/>
          <w:lang w:eastAsia="en-AU"/>
        </w:rPr>
        <w:t>THE GENERAL SYNOD</w:t>
      </w:r>
    </w:p>
    <w:p w14:paraId="3AB5DD5E" w14:textId="77777777" w:rsidR="00284D80" w:rsidRPr="009A0DA6" w:rsidRDefault="00284D80" w:rsidP="00284D80">
      <w:pPr>
        <w:tabs>
          <w:tab w:val="left" w:pos="851"/>
          <w:tab w:val="left" w:pos="1985"/>
          <w:tab w:val="left" w:pos="3119"/>
          <w:tab w:val="left" w:pos="4536"/>
          <w:tab w:val="left" w:pos="5670"/>
        </w:tabs>
        <w:spacing w:after="0" w:line="240" w:lineRule="auto"/>
        <w:jc w:val="center"/>
        <w:rPr>
          <w:rFonts w:ascii="Cambria" w:eastAsia="Times New Roman" w:hAnsi="Cambria" w:cs="Times New Roman"/>
          <w:sz w:val="10"/>
          <w:szCs w:val="10"/>
          <w:lang w:eastAsia="en-AU"/>
        </w:rPr>
      </w:pPr>
    </w:p>
    <w:p w14:paraId="6DFA3504" w14:textId="77777777" w:rsidR="00284D80" w:rsidRPr="009A0DA6" w:rsidRDefault="00284D80" w:rsidP="00284D80">
      <w:pPr>
        <w:tabs>
          <w:tab w:val="left" w:pos="567"/>
          <w:tab w:val="left" w:pos="1985"/>
          <w:tab w:val="left" w:pos="3119"/>
          <w:tab w:val="left" w:pos="4536"/>
          <w:tab w:val="left" w:pos="5670"/>
        </w:tabs>
        <w:spacing w:after="0" w:line="240" w:lineRule="auto"/>
        <w:ind w:left="567" w:hanging="567"/>
        <w:rPr>
          <w:rFonts w:ascii="Cambria" w:eastAsia="Times New Roman" w:hAnsi="Cambria" w:cs="Times New Roman"/>
          <w:lang w:eastAsia="en-AU"/>
        </w:rPr>
      </w:pPr>
      <w:r w:rsidRPr="009A0DA6">
        <w:rPr>
          <w:rFonts w:ascii="Cambria" w:eastAsia="Times New Roman" w:hAnsi="Cambria" w:cs="Times New Roman"/>
          <w:lang w:eastAsia="en-AU"/>
        </w:rPr>
        <w:t>7.1</w:t>
      </w:r>
      <w:r w:rsidRPr="009A0DA6">
        <w:rPr>
          <w:rFonts w:ascii="Cambria" w:eastAsia="Times New Roman" w:hAnsi="Cambria" w:cs="Times New Roman"/>
          <w:lang w:eastAsia="en-AU"/>
        </w:rPr>
        <w:tab/>
        <w:t>The power of the Church shall be exercised through the General Synod, which shall be the highest constitutional authority of the Church, with power to direct and control those to whom it has entrusted tasks or has delegated authority.</w:t>
      </w:r>
    </w:p>
    <w:p w14:paraId="32D0BA70" w14:textId="77777777" w:rsidR="00284D80" w:rsidRPr="009A0DA6" w:rsidRDefault="00284D80" w:rsidP="00284D80">
      <w:pPr>
        <w:tabs>
          <w:tab w:val="left" w:pos="567"/>
          <w:tab w:val="left" w:pos="1985"/>
          <w:tab w:val="left" w:pos="3119"/>
          <w:tab w:val="left" w:pos="4536"/>
          <w:tab w:val="left" w:pos="5670"/>
        </w:tabs>
        <w:spacing w:after="0" w:line="240" w:lineRule="auto"/>
        <w:ind w:left="567" w:hanging="567"/>
        <w:rPr>
          <w:rFonts w:ascii="Cambria" w:eastAsia="Times New Roman" w:hAnsi="Cambria" w:cs="Times New Roman"/>
          <w:lang w:eastAsia="en-AU"/>
        </w:rPr>
      </w:pPr>
      <w:r w:rsidRPr="009A0DA6">
        <w:rPr>
          <w:rFonts w:ascii="Cambria" w:eastAsia="Times New Roman" w:hAnsi="Cambria" w:cs="Times New Roman"/>
          <w:lang w:eastAsia="en-AU"/>
        </w:rPr>
        <w:t>7.2</w:t>
      </w:r>
      <w:r w:rsidRPr="009A0DA6">
        <w:rPr>
          <w:rFonts w:ascii="Cambria" w:eastAsia="Times New Roman" w:hAnsi="Cambria" w:cs="Times New Roman"/>
          <w:lang w:eastAsia="en-AU"/>
        </w:rPr>
        <w:tab/>
        <w:t>The General Synod shall consist of</w:t>
      </w:r>
    </w:p>
    <w:p w14:paraId="0C8D2864" w14:textId="77777777" w:rsidR="00284D80" w:rsidRPr="009A0DA6" w:rsidRDefault="00284D80" w:rsidP="00284D80">
      <w:pPr>
        <w:tabs>
          <w:tab w:val="left" w:pos="567"/>
          <w:tab w:val="left" w:pos="1418"/>
          <w:tab w:val="left" w:pos="3119"/>
          <w:tab w:val="left" w:pos="4536"/>
          <w:tab w:val="left" w:pos="5670"/>
        </w:tabs>
        <w:spacing w:after="0" w:line="240" w:lineRule="auto"/>
        <w:ind w:left="1418" w:hanging="1418"/>
        <w:rPr>
          <w:rFonts w:ascii="Cambria" w:eastAsia="Times New Roman" w:hAnsi="Cambria" w:cs="Times New Roman"/>
          <w:lang w:eastAsia="en-AU"/>
        </w:rPr>
      </w:pPr>
      <w:r w:rsidRPr="009A0DA6">
        <w:rPr>
          <w:rFonts w:ascii="Cambria" w:eastAsia="Times New Roman" w:hAnsi="Cambria" w:cs="Times New Roman"/>
          <w:lang w:eastAsia="en-AU"/>
        </w:rPr>
        <w:tab/>
        <w:t>7.2.1</w:t>
      </w:r>
      <w:r w:rsidRPr="009A0DA6">
        <w:rPr>
          <w:rFonts w:ascii="Cambria" w:eastAsia="Times New Roman" w:hAnsi="Cambria" w:cs="Times New Roman"/>
          <w:lang w:eastAsia="en-AU"/>
        </w:rPr>
        <w:tab/>
        <w:t>lay delegates of the congregations;</w:t>
      </w:r>
    </w:p>
    <w:p w14:paraId="1E5345AB" w14:textId="77777777" w:rsidR="00284D80" w:rsidRPr="009A0DA6" w:rsidRDefault="00284D80" w:rsidP="00284D80">
      <w:pPr>
        <w:tabs>
          <w:tab w:val="left" w:pos="567"/>
          <w:tab w:val="left" w:pos="1418"/>
          <w:tab w:val="left" w:pos="3119"/>
          <w:tab w:val="left" w:pos="4536"/>
          <w:tab w:val="left" w:pos="5670"/>
        </w:tabs>
        <w:spacing w:after="0" w:line="240" w:lineRule="auto"/>
        <w:ind w:left="1418" w:hanging="1418"/>
        <w:rPr>
          <w:rFonts w:ascii="Cambria" w:eastAsia="Times New Roman" w:hAnsi="Cambria" w:cs="Times New Roman"/>
          <w:lang w:eastAsia="en-AU"/>
        </w:rPr>
      </w:pPr>
      <w:r w:rsidRPr="009A0DA6">
        <w:rPr>
          <w:rFonts w:ascii="Cambria" w:eastAsia="Times New Roman" w:hAnsi="Cambria" w:cs="Times New Roman"/>
          <w:lang w:eastAsia="en-AU"/>
        </w:rPr>
        <w:tab/>
        <w:t>7.2.2</w:t>
      </w:r>
      <w:r w:rsidRPr="009A0DA6">
        <w:rPr>
          <w:rFonts w:ascii="Cambria" w:eastAsia="Times New Roman" w:hAnsi="Cambria" w:cs="Times New Roman"/>
          <w:lang w:eastAsia="en-AU"/>
        </w:rPr>
        <w:tab/>
        <w:t>pastor delegates;</w:t>
      </w:r>
    </w:p>
    <w:p w14:paraId="7BA47394" w14:textId="77777777" w:rsidR="00284D80" w:rsidRPr="009A0DA6" w:rsidRDefault="00284D80" w:rsidP="00284D80">
      <w:pPr>
        <w:tabs>
          <w:tab w:val="left" w:pos="567"/>
          <w:tab w:val="left" w:pos="1418"/>
          <w:tab w:val="left" w:pos="3119"/>
          <w:tab w:val="left" w:pos="4536"/>
          <w:tab w:val="left" w:pos="5670"/>
        </w:tabs>
        <w:spacing w:after="0" w:line="240" w:lineRule="auto"/>
        <w:ind w:left="1418" w:hanging="1418"/>
        <w:rPr>
          <w:rFonts w:ascii="Cambria" w:eastAsia="Times New Roman" w:hAnsi="Cambria" w:cs="Times New Roman"/>
          <w:lang w:eastAsia="en-AU"/>
        </w:rPr>
      </w:pPr>
      <w:r w:rsidRPr="009A0DA6">
        <w:rPr>
          <w:rFonts w:ascii="Cambria" w:eastAsia="Times New Roman" w:hAnsi="Cambria" w:cs="Times New Roman"/>
          <w:lang w:eastAsia="en-AU"/>
        </w:rPr>
        <w:tab/>
        <w:t>7.2.3</w:t>
      </w:r>
      <w:r w:rsidRPr="009A0DA6">
        <w:rPr>
          <w:rFonts w:ascii="Cambria" w:eastAsia="Times New Roman" w:hAnsi="Cambria" w:cs="Times New Roman"/>
          <w:lang w:eastAsia="en-AU"/>
        </w:rPr>
        <w:tab/>
        <w:t>the members of the General Church Council;</w:t>
      </w:r>
    </w:p>
    <w:p w14:paraId="6EF2F963" w14:textId="77777777" w:rsidR="00284D80" w:rsidRPr="009A0DA6" w:rsidRDefault="00284D80" w:rsidP="00284D80">
      <w:pPr>
        <w:tabs>
          <w:tab w:val="left" w:pos="567"/>
          <w:tab w:val="left" w:pos="1418"/>
          <w:tab w:val="left" w:pos="3119"/>
          <w:tab w:val="left" w:pos="4536"/>
          <w:tab w:val="left" w:pos="5670"/>
        </w:tabs>
        <w:spacing w:after="0" w:line="240" w:lineRule="auto"/>
        <w:ind w:left="1418" w:hanging="1418"/>
        <w:rPr>
          <w:rFonts w:ascii="Cambria" w:eastAsia="Times New Roman" w:hAnsi="Cambria" w:cs="Times New Roman"/>
          <w:strike/>
          <w:lang w:eastAsia="en-AU"/>
        </w:rPr>
      </w:pPr>
      <w:r w:rsidRPr="009A0DA6">
        <w:rPr>
          <w:rFonts w:ascii="Cambria" w:eastAsia="Times New Roman" w:hAnsi="Cambria" w:cs="Times New Roman"/>
          <w:strike/>
          <w:lang w:eastAsia="en-AU"/>
        </w:rPr>
        <w:tab/>
        <w:t>7.2.4</w:t>
      </w:r>
      <w:r w:rsidRPr="009A0DA6">
        <w:rPr>
          <w:rFonts w:ascii="Cambria" w:eastAsia="Times New Roman" w:hAnsi="Cambria" w:cs="Times New Roman"/>
          <w:strike/>
          <w:lang w:eastAsia="en-AU"/>
        </w:rPr>
        <w:tab/>
        <w:t xml:space="preserve">all executive officers who are serving the Church, unless already eligible under  7.2.1, 7.2.2, or 7.2.3; </w:t>
      </w:r>
    </w:p>
    <w:p w14:paraId="7A563848" w14:textId="77777777" w:rsidR="00284D80" w:rsidRPr="009A0DA6" w:rsidRDefault="00284D80" w:rsidP="00284D80">
      <w:pPr>
        <w:tabs>
          <w:tab w:val="left" w:pos="567"/>
          <w:tab w:val="left" w:pos="1418"/>
          <w:tab w:val="left" w:pos="3119"/>
          <w:tab w:val="left" w:pos="4536"/>
          <w:tab w:val="left" w:pos="5670"/>
        </w:tabs>
        <w:spacing w:after="0" w:line="240" w:lineRule="auto"/>
        <w:ind w:left="1418" w:hanging="1418"/>
        <w:rPr>
          <w:rFonts w:ascii="Cambria" w:eastAsia="Times New Roman" w:hAnsi="Cambria" w:cs="Times New Roman"/>
          <w:lang w:eastAsia="en-AU"/>
        </w:rPr>
      </w:pPr>
      <w:r w:rsidRPr="009A0DA6">
        <w:rPr>
          <w:rFonts w:ascii="Cambria" w:eastAsia="Times New Roman" w:hAnsi="Cambria" w:cs="Times New Roman"/>
          <w:lang w:eastAsia="en-AU"/>
        </w:rPr>
        <w:tab/>
        <w:t>7.2.</w:t>
      </w:r>
      <w:r w:rsidRPr="009A0DA6">
        <w:rPr>
          <w:rFonts w:ascii="Cambria" w:eastAsia="Times New Roman" w:hAnsi="Cambria" w:cs="Times New Roman"/>
          <w:strike/>
          <w:lang w:eastAsia="en-AU"/>
        </w:rPr>
        <w:t>5</w:t>
      </w:r>
      <w:r w:rsidRPr="009A0DA6">
        <w:rPr>
          <w:rFonts w:ascii="Cambria" w:eastAsia="Times New Roman" w:hAnsi="Cambria" w:cs="Times New Roman"/>
          <w:b/>
          <w:lang w:eastAsia="en-AU"/>
        </w:rPr>
        <w:t>4</w:t>
      </w:r>
      <w:r w:rsidRPr="009A0DA6">
        <w:rPr>
          <w:rFonts w:ascii="Cambria" w:eastAsia="Times New Roman" w:hAnsi="Cambria" w:cs="Times New Roman"/>
          <w:lang w:eastAsia="en-AU"/>
        </w:rPr>
        <w:tab/>
        <w:t xml:space="preserve">chairpersons of </w:t>
      </w:r>
      <w:r w:rsidRPr="009A0DA6">
        <w:rPr>
          <w:rFonts w:ascii="Cambria" w:eastAsia="Times New Roman" w:hAnsi="Cambria" w:cs="Times New Roman"/>
          <w:strike/>
          <w:lang w:eastAsia="en-AU"/>
        </w:rPr>
        <w:t>B</w:t>
      </w:r>
      <w:r w:rsidRPr="009A0DA6">
        <w:rPr>
          <w:rFonts w:ascii="Cambria" w:eastAsia="Times New Roman" w:hAnsi="Cambria" w:cs="Times New Roman"/>
          <w:b/>
          <w:lang w:eastAsia="en-AU"/>
        </w:rPr>
        <w:t>b</w:t>
      </w:r>
      <w:r w:rsidRPr="009A0DA6">
        <w:rPr>
          <w:rFonts w:ascii="Cambria" w:eastAsia="Times New Roman" w:hAnsi="Cambria" w:cs="Times New Roman"/>
          <w:lang w:eastAsia="en-AU"/>
        </w:rPr>
        <w:t xml:space="preserve">oards unless already eligible under 7.2.1, 7.2.2, </w:t>
      </w:r>
      <w:r w:rsidRPr="009A0DA6">
        <w:rPr>
          <w:rFonts w:ascii="Cambria" w:eastAsia="Times New Roman" w:hAnsi="Cambria" w:cs="Times New Roman"/>
          <w:b/>
          <w:lang w:eastAsia="en-AU"/>
        </w:rPr>
        <w:t xml:space="preserve">or </w:t>
      </w:r>
      <w:r w:rsidRPr="009A0DA6">
        <w:rPr>
          <w:rFonts w:ascii="Cambria" w:eastAsia="Times New Roman" w:hAnsi="Cambria" w:cs="Times New Roman"/>
          <w:lang w:eastAsia="en-AU"/>
        </w:rPr>
        <w:t>7.2.3</w:t>
      </w:r>
      <w:r w:rsidRPr="009A0DA6">
        <w:rPr>
          <w:rFonts w:ascii="Cambria" w:eastAsia="Times New Roman" w:hAnsi="Cambria" w:cs="Times New Roman"/>
          <w:strike/>
          <w:lang w:eastAsia="en-AU"/>
        </w:rPr>
        <w:t>, or 7.2.4</w:t>
      </w:r>
      <w:r w:rsidRPr="009A0DA6">
        <w:rPr>
          <w:rFonts w:ascii="Cambria" w:eastAsia="Times New Roman" w:hAnsi="Cambria" w:cs="Times New Roman"/>
          <w:lang w:eastAsia="en-AU"/>
        </w:rPr>
        <w:t>;</w:t>
      </w:r>
    </w:p>
    <w:p w14:paraId="58BA22F5" w14:textId="77777777" w:rsidR="00284D80" w:rsidRPr="009A0DA6" w:rsidRDefault="00284D80" w:rsidP="00284D80">
      <w:pPr>
        <w:tabs>
          <w:tab w:val="left" w:pos="567"/>
          <w:tab w:val="left" w:pos="1418"/>
          <w:tab w:val="left" w:pos="3119"/>
          <w:tab w:val="left" w:pos="4536"/>
          <w:tab w:val="left" w:pos="5670"/>
        </w:tabs>
        <w:spacing w:after="0" w:line="240" w:lineRule="auto"/>
        <w:ind w:left="1418" w:hanging="1418"/>
        <w:rPr>
          <w:rFonts w:ascii="Cambria" w:eastAsia="Times New Roman" w:hAnsi="Cambria" w:cs="Times New Roman"/>
          <w:lang w:eastAsia="en-AU"/>
        </w:rPr>
      </w:pPr>
      <w:r w:rsidRPr="009A0DA6">
        <w:rPr>
          <w:rFonts w:ascii="Cambria" w:eastAsia="Times New Roman" w:hAnsi="Cambria" w:cs="Times New Roman"/>
          <w:lang w:eastAsia="en-AU"/>
        </w:rPr>
        <w:tab/>
        <w:t>7.2.</w:t>
      </w:r>
      <w:r w:rsidRPr="009A0DA6">
        <w:rPr>
          <w:rFonts w:ascii="Cambria" w:eastAsia="Times New Roman" w:hAnsi="Cambria" w:cs="Times New Roman"/>
          <w:strike/>
          <w:lang w:eastAsia="en-AU"/>
        </w:rPr>
        <w:t>6</w:t>
      </w:r>
      <w:r w:rsidRPr="009A0DA6">
        <w:rPr>
          <w:rFonts w:ascii="Cambria" w:eastAsia="Times New Roman" w:hAnsi="Cambria" w:cs="Times New Roman"/>
          <w:b/>
          <w:lang w:eastAsia="en-AU"/>
        </w:rPr>
        <w:t>5</w:t>
      </w:r>
      <w:r w:rsidRPr="009A0DA6">
        <w:rPr>
          <w:rFonts w:ascii="Cambria" w:eastAsia="Times New Roman" w:hAnsi="Cambria" w:cs="Times New Roman"/>
          <w:lang w:eastAsia="en-AU"/>
        </w:rPr>
        <w:tab/>
        <w:t xml:space="preserve">all Bishops unless already eligible under 7.2.2, </w:t>
      </w:r>
      <w:r w:rsidRPr="009A0DA6">
        <w:rPr>
          <w:rFonts w:ascii="Cambria" w:eastAsia="Times New Roman" w:hAnsi="Cambria" w:cs="Times New Roman"/>
          <w:b/>
          <w:lang w:eastAsia="en-AU"/>
        </w:rPr>
        <w:t xml:space="preserve">or </w:t>
      </w:r>
      <w:r w:rsidRPr="009A0DA6">
        <w:rPr>
          <w:rFonts w:ascii="Cambria" w:eastAsia="Times New Roman" w:hAnsi="Cambria" w:cs="Times New Roman"/>
          <w:lang w:eastAsia="en-AU"/>
        </w:rPr>
        <w:t>7.2.3</w:t>
      </w:r>
      <w:r w:rsidRPr="009A0DA6">
        <w:rPr>
          <w:rFonts w:ascii="Cambria" w:eastAsia="Times New Roman" w:hAnsi="Cambria" w:cs="Times New Roman"/>
          <w:strike/>
          <w:lang w:eastAsia="en-AU"/>
        </w:rPr>
        <w:t>, or 7.2.4</w:t>
      </w:r>
      <w:r w:rsidRPr="009A0DA6">
        <w:rPr>
          <w:rFonts w:ascii="Cambria" w:eastAsia="Times New Roman" w:hAnsi="Cambria" w:cs="Times New Roman"/>
          <w:lang w:eastAsia="en-AU"/>
        </w:rPr>
        <w:t>;</w:t>
      </w:r>
    </w:p>
    <w:p w14:paraId="77DBF422" w14:textId="77777777" w:rsidR="00284D80" w:rsidRPr="009A0DA6" w:rsidRDefault="00284D80" w:rsidP="00284D80">
      <w:pPr>
        <w:tabs>
          <w:tab w:val="left" w:pos="567"/>
          <w:tab w:val="left" w:pos="1418"/>
          <w:tab w:val="left" w:pos="3119"/>
          <w:tab w:val="left" w:pos="4536"/>
          <w:tab w:val="left" w:pos="5670"/>
        </w:tabs>
        <w:spacing w:after="0" w:line="240" w:lineRule="auto"/>
        <w:ind w:left="1418" w:hanging="1418"/>
        <w:rPr>
          <w:rFonts w:ascii="Cambria" w:eastAsia="Times New Roman" w:hAnsi="Cambria" w:cs="Times New Roman"/>
          <w:lang w:eastAsia="en-AU"/>
        </w:rPr>
      </w:pPr>
      <w:r w:rsidRPr="009A0DA6">
        <w:rPr>
          <w:rFonts w:ascii="Cambria" w:eastAsia="Times New Roman" w:hAnsi="Cambria" w:cs="Times New Roman"/>
          <w:lang w:eastAsia="en-AU"/>
        </w:rPr>
        <w:tab/>
        <w:t>7.2.</w:t>
      </w:r>
      <w:r w:rsidRPr="009A0DA6">
        <w:rPr>
          <w:rFonts w:ascii="Cambria" w:eastAsia="Times New Roman" w:hAnsi="Cambria" w:cs="Times New Roman"/>
          <w:u w:val="single"/>
          <w:lang w:eastAsia="en-AU"/>
        </w:rPr>
        <w:t>7</w:t>
      </w:r>
      <w:r w:rsidRPr="009A0DA6">
        <w:rPr>
          <w:rFonts w:ascii="Cambria" w:eastAsia="Times New Roman" w:hAnsi="Cambria" w:cs="Times New Roman"/>
          <w:b/>
          <w:lang w:eastAsia="en-AU"/>
        </w:rPr>
        <w:t>6</w:t>
      </w:r>
      <w:r w:rsidRPr="009A0DA6">
        <w:rPr>
          <w:rFonts w:ascii="Cambria" w:eastAsia="Times New Roman" w:hAnsi="Cambria" w:cs="Times New Roman"/>
          <w:lang w:eastAsia="en-AU"/>
        </w:rPr>
        <w:tab/>
        <w:t>one [1] secondary and one [1] primary school principal elected from each region of Lutheran Education Australia by the principals of that region;</w:t>
      </w:r>
    </w:p>
    <w:p w14:paraId="4C31A21B" w14:textId="77777777" w:rsidR="00284D80" w:rsidRPr="009A0DA6" w:rsidRDefault="00284D80" w:rsidP="00284D80">
      <w:pPr>
        <w:tabs>
          <w:tab w:val="left" w:pos="567"/>
          <w:tab w:val="left" w:pos="1418"/>
          <w:tab w:val="left" w:pos="3119"/>
          <w:tab w:val="left" w:pos="4536"/>
          <w:tab w:val="left" w:pos="5670"/>
        </w:tabs>
        <w:spacing w:after="0" w:line="240" w:lineRule="auto"/>
        <w:ind w:left="1418" w:hanging="1418"/>
        <w:rPr>
          <w:rFonts w:ascii="Cambria" w:eastAsia="Times New Roman" w:hAnsi="Cambria" w:cs="Times New Roman"/>
          <w:lang w:eastAsia="en-AU"/>
        </w:rPr>
      </w:pPr>
      <w:r w:rsidRPr="009A0DA6">
        <w:rPr>
          <w:rFonts w:ascii="Cambria" w:eastAsia="Times New Roman" w:hAnsi="Cambria" w:cs="Times New Roman"/>
          <w:lang w:eastAsia="en-AU"/>
        </w:rPr>
        <w:tab/>
        <w:t>7.2.</w:t>
      </w:r>
      <w:r w:rsidRPr="009A0DA6">
        <w:rPr>
          <w:rFonts w:ascii="Cambria" w:eastAsia="Times New Roman" w:hAnsi="Cambria" w:cs="Times New Roman"/>
          <w:strike/>
          <w:lang w:eastAsia="en-AU"/>
        </w:rPr>
        <w:t>8</w:t>
      </w:r>
      <w:r w:rsidRPr="009A0DA6">
        <w:rPr>
          <w:rFonts w:ascii="Cambria" w:eastAsia="Times New Roman" w:hAnsi="Cambria" w:cs="Times New Roman"/>
          <w:b/>
          <w:lang w:eastAsia="en-AU"/>
        </w:rPr>
        <w:t>7</w:t>
      </w:r>
      <w:r w:rsidRPr="009A0DA6">
        <w:rPr>
          <w:rFonts w:ascii="Cambria" w:eastAsia="Times New Roman" w:hAnsi="Cambria" w:cs="Times New Roman"/>
          <w:lang w:eastAsia="en-AU"/>
        </w:rPr>
        <w:tab/>
        <w:t>past Bishops of the Church; and</w:t>
      </w:r>
    </w:p>
    <w:p w14:paraId="2724B310" w14:textId="77777777" w:rsidR="00284D80" w:rsidRPr="009A0DA6" w:rsidRDefault="00284D80" w:rsidP="00284D80">
      <w:pPr>
        <w:tabs>
          <w:tab w:val="left" w:pos="567"/>
          <w:tab w:val="left" w:pos="1418"/>
          <w:tab w:val="left" w:pos="3119"/>
          <w:tab w:val="left" w:pos="4536"/>
          <w:tab w:val="left" w:pos="5670"/>
        </w:tabs>
        <w:spacing w:after="0" w:line="240" w:lineRule="auto"/>
        <w:ind w:left="1418" w:hanging="1418"/>
        <w:rPr>
          <w:rFonts w:ascii="Cambria" w:eastAsia="Times New Roman" w:hAnsi="Cambria" w:cs="Times New Roman"/>
          <w:lang w:eastAsia="en-AU"/>
        </w:rPr>
      </w:pPr>
      <w:r w:rsidRPr="009A0DA6">
        <w:rPr>
          <w:rFonts w:ascii="Cambria" w:eastAsia="Times New Roman" w:hAnsi="Cambria" w:cs="Times New Roman"/>
          <w:lang w:eastAsia="en-AU"/>
        </w:rPr>
        <w:tab/>
        <w:t>7.2.</w:t>
      </w:r>
      <w:r w:rsidRPr="009A0DA6">
        <w:rPr>
          <w:rFonts w:ascii="Cambria" w:eastAsia="Times New Roman" w:hAnsi="Cambria" w:cs="Times New Roman"/>
          <w:strike/>
          <w:lang w:eastAsia="en-AU"/>
        </w:rPr>
        <w:t>9</w:t>
      </w:r>
      <w:r w:rsidRPr="009A0DA6">
        <w:rPr>
          <w:rFonts w:ascii="Cambria" w:eastAsia="Times New Roman" w:hAnsi="Cambria" w:cs="Times New Roman"/>
          <w:b/>
          <w:lang w:eastAsia="en-AU"/>
        </w:rPr>
        <w:t>8</w:t>
      </w:r>
      <w:r w:rsidRPr="009A0DA6">
        <w:rPr>
          <w:rFonts w:ascii="Cambria" w:eastAsia="Times New Roman" w:hAnsi="Cambria" w:cs="Times New Roman"/>
          <w:lang w:eastAsia="en-AU"/>
        </w:rPr>
        <w:tab/>
        <w:t>three [3] pastors emeriti nominated by the General Church Council</w:t>
      </w:r>
    </w:p>
    <w:p w14:paraId="45F62AB4" w14:textId="77777777" w:rsidR="00284D80" w:rsidRPr="009A0DA6" w:rsidRDefault="00284D80" w:rsidP="00284D80">
      <w:pPr>
        <w:tabs>
          <w:tab w:val="left" w:pos="1418"/>
          <w:tab w:val="left" w:pos="3119"/>
          <w:tab w:val="left" w:pos="4536"/>
          <w:tab w:val="left" w:pos="5670"/>
        </w:tabs>
        <w:spacing w:after="0" w:line="240" w:lineRule="auto"/>
        <w:ind w:left="1418" w:hanging="1418"/>
        <w:rPr>
          <w:rFonts w:ascii="Cambria" w:eastAsia="Times New Roman" w:hAnsi="Cambria" w:cs="Times New Roman"/>
          <w:lang w:eastAsia="en-AU"/>
        </w:rPr>
      </w:pPr>
      <w:r w:rsidRPr="009A0DA6">
        <w:rPr>
          <w:rFonts w:ascii="Cambria" w:eastAsia="Times New Roman" w:hAnsi="Cambria" w:cs="Times New Roman"/>
          <w:lang w:eastAsia="en-AU"/>
        </w:rPr>
        <w:tab/>
        <w:t>who shall comprise the voting members.</w:t>
      </w:r>
    </w:p>
    <w:p w14:paraId="0FD11695" w14:textId="77777777" w:rsidR="00284D80" w:rsidRPr="009A0DA6" w:rsidRDefault="00284D80" w:rsidP="00284D80">
      <w:pPr>
        <w:spacing w:after="0" w:line="240" w:lineRule="auto"/>
        <w:ind w:right="573" w:firstLine="6"/>
        <w:rPr>
          <w:rFonts w:ascii="Cambria" w:eastAsia="Times New Roman" w:hAnsi="Cambria" w:cs="Times New Roman"/>
          <w:bCs/>
          <w:color w:val="222222"/>
          <w:lang w:eastAsia="en-AU"/>
        </w:rPr>
      </w:pPr>
    </w:p>
    <w:p w14:paraId="635C07C7" w14:textId="77777777" w:rsidR="00284D80" w:rsidRPr="009A0DA6" w:rsidRDefault="00284D80" w:rsidP="00355E83">
      <w:pPr>
        <w:pStyle w:val="Heading3"/>
        <w:rPr>
          <w:rFonts w:eastAsia="SimSun" w:cs="F"/>
        </w:rPr>
      </w:pPr>
      <w:r w:rsidRPr="009A0DA6">
        <w:t>REASONS FOR THE MOTION</w:t>
      </w:r>
    </w:p>
    <w:p w14:paraId="26DA69C3" w14:textId="77777777" w:rsidR="005B418B" w:rsidRPr="009A0DA6" w:rsidRDefault="005B418B" w:rsidP="005B418B">
      <w:pPr>
        <w:pStyle w:val="NoSpacing"/>
      </w:pPr>
      <w:r w:rsidRPr="009A0DA6">
        <w:t>The proposed motion seeks to:</w:t>
      </w:r>
    </w:p>
    <w:p w14:paraId="2418142A" w14:textId="77777777" w:rsidR="005B418B" w:rsidRPr="009A0DA6" w:rsidRDefault="005B418B" w:rsidP="00F55252">
      <w:pPr>
        <w:pStyle w:val="NoSpacing"/>
        <w:numPr>
          <w:ilvl w:val="0"/>
          <w:numId w:val="306"/>
        </w:numPr>
        <w:ind w:left="567" w:hanging="567"/>
      </w:pPr>
      <w:r w:rsidRPr="009A0DA6">
        <w:t xml:space="preserve">address conflicts of interest which arise when executive officers vote on matters in which they have a direct interest, or may be perceived to have an interest; and </w:t>
      </w:r>
    </w:p>
    <w:p w14:paraId="4ACA5D2F" w14:textId="77777777" w:rsidR="005B418B" w:rsidRPr="009A0DA6" w:rsidRDefault="005B418B" w:rsidP="00F55252">
      <w:pPr>
        <w:pStyle w:val="NoSpacing"/>
        <w:numPr>
          <w:ilvl w:val="0"/>
          <w:numId w:val="306"/>
        </w:numPr>
        <w:ind w:left="567" w:hanging="567"/>
      </w:pPr>
      <w:r w:rsidRPr="009A0DA6">
        <w:t>apply good governance principles in making a distinction between governance and management.</w:t>
      </w:r>
    </w:p>
    <w:p w14:paraId="5065AA51" w14:textId="77777777" w:rsidR="005B418B" w:rsidRPr="009A0DA6" w:rsidRDefault="005B418B" w:rsidP="005B418B">
      <w:pPr>
        <w:pStyle w:val="NoSpacing"/>
      </w:pPr>
    </w:p>
    <w:p w14:paraId="6743C1E3" w14:textId="72D3E550" w:rsidR="005B418B" w:rsidRPr="009A0DA6" w:rsidRDefault="005B418B" w:rsidP="005B418B">
      <w:pPr>
        <w:pStyle w:val="NoSpacing"/>
      </w:pPr>
      <w:r w:rsidRPr="009A0DA6">
        <w:t>The second proposed motion</w:t>
      </w:r>
      <w:r w:rsidR="00FF011D">
        <w:t xml:space="preserve"> (Agenda 2.4.7)</w:t>
      </w:r>
      <w:r w:rsidRPr="009A0DA6">
        <w:t xml:space="preserve"> recognises that, while not having a vote, executive officers should have the right to speak and contribute to the matters being discussed by the General Convention of Synod.</w:t>
      </w:r>
    </w:p>
    <w:p w14:paraId="2D7200DA" w14:textId="77777777" w:rsidR="005B418B" w:rsidRPr="009A0DA6" w:rsidRDefault="005B418B" w:rsidP="005B418B">
      <w:pPr>
        <w:pStyle w:val="NoSpacing"/>
      </w:pPr>
    </w:p>
    <w:p w14:paraId="09976771" w14:textId="77777777" w:rsidR="005B418B" w:rsidRPr="009A0DA6" w:rsidRDefault="005B418B" w:rsidP="005B418B">
      <w:pPr>
        <w:pStyle w:val="NoSpacing"/>
      </w:pPr>
      <w:r w:rsidRPr="009A0DA6">
        <w:t>The current Executive Officer positions are:</w:t>
      </w:r>
    </w:p>
    <w:p w14:paraId="10680F07" w14:textId="77777777" w:rsidR="005B418B" w:rsidRPr="009A0DA6" w:rsidRDefault="005B418B" w:rsidP="00F55252">
      <w:pPr>
        <w:pStyle w:val="NoSpacing"/>
        <w:numPr>
          <w:ilvl w:val="0"/>
          <w:numId w:val="307"/>
        </w:numPr>
        <w:ind w:left="567" w:hanging="567"/>
      </w:pPr>
      <w:r w:rsidRPr="009A0DA6">
        <w:t>Executive Officer of the Church</w:t>
      </w:r>
    </w:p>
    <w:p w14:paraId="03154322" w14:textId="77777777" w:rsidR="005B418B" w:rsidRPr="009A0DA6" w:rsidRDefault="005B418B" w:rsidP="00F55252">
      <w:pPr>
        <w:pStyle w:val="NoSpacing"/>
        <w:numPr>
          <w:ilvl w:val="0"/>
          <w:numId w:val="307"/>
        </w:numPr>
        <w:ind w:left="567" w:hanging="567"/>
      </w:pPr>
      <w:r w:rsidRPr="009A0DA6">
        <w:t>Executive Officer – Local Mission</w:t>
      </w:r>
    </w:p>
    <w:p w14:paraId="61BD1CAE" w14:textId="77777777" w:rsidR="005B418B" w:rsidRPr="009A0DA6" w:rsidRDefault="005B418B" w:rsidP="00F55252">
      <w:pPr>
        <w:pStyle w:val="NoSpacing"/>
        <w:numPr>
          <w:ilvl w:val="0"/>
          <w:numId w:val="307"/>
        </w:numPr>
        <w:ind w:left="567" w:hanging="567"/>
      </w:pPr>
      <w:r w:rsidRPr="009A0DA6">
        <w:t xml:space="preserve">Director, Child Youth and Family Ministry (Grow Ministries) </w:t>
      </w:r>
    </w:p>
    <w:p w14:paraId="2F023B4C" w14:textId="77777777" w:rsidR="005B418B" w:rsidRPr="009A0DA6" w:rsidRDefault="005B418B" w:rsidP="00F55252">
      <w:pPr>
        <w:pStyle w:val="NoSpacing"/>
        <w:numPr>
          <w:ilvl w:val="0"/>
          <w:numId w:val="307"/>
        </w:numPr>
        <w:ind w:left="567" w:hanging="567"/>
      </w:pPr>
      <w:r w:rsidRPr="009A0DA6">
        <w:t>Assistant to the Bishop – International Mission</w:t>
      </w:r>
    </w:p>
    <w:p w14:paraId="03A9954D" w14:textId="77777777" w:rsidR="005B418B" w:rsidRPr="009A0DA6" w:rsidRDefault="005B418B" w:rsidP="00F55252">
      <w:pPr>
        <w:pStyle w:val="NoSpacing"/>
        <w:numPr>
          <w:ilvl w:val="0"/>
          <w:numId w:val="307"/>
        </w:numPr>
        <w:ind w:left="567" w:hanging="567"/>
      </w:pPr>
      <w:r w:rsidRPr="009A0DA6">
        <w:t>Director, Lutheran Archives</w:t>
      </w:r>
    </w:p>
    <w:p w14:paraId="1BD1516A" w14:textId="77777777" w:rsidR="005B418B" w:rsidRPr="009A0DA6" w:rsidRDefault="005B418B" w:rsidP="00F55252">
      <w:pPr>
        <w:pStyle w:val="NoSpacing"/>
        <w:numPr>
          <w:ilvl w:val="0"/>
          <w:numId w:val="307"/>
        </w:numPr>
        <w:ind w:left="567" w:hanging="567"/>
      </w:pPr>
      <w:r w:rsidRPr="009A0DA6">
        <w:t>Executive Director, Lutheran Education Australia</w:t>
      </w:r>
    </w:p>
    <w:p w14:paraId="482D09F4" w14:textId="77777777" w:rsidR="005B418B" w:rsidRPr="009A0DA6" w:rsidRDefault="005B418B" w:rsidP="00F55252">
      <w:pPr>
        <w:pStyle w:val="NoSpacing"/>
        <w:numPr>
          <w:ilvl w:val="0"/>
          <w:numId w:val="307"/>
        </w:numPr>
        <w:ind w:left="567" w:hanging="567"/>
      </w:pPr>
      <w:r w:rsidRPr="009A0DA6">
        <w:t>Principal, Australian Lutheran College</w:t>
      </w:r>
    </w:p>
    <w:p w14:paraId="02E3A332" w14:textId="77777777" w:rsidR="005B418B" w:rsidRPr="009A0DA6" w:rsidRDefault="005B418B" w:rsidP="00F55252">
      <w:pPr>
        <w:pStyle w:val="NoSpacing"/>
        <w:numPr>
          <w:ilvl w:val="0"/>
          <w:numId w:val="307"/>
        </w:numPr>
        <w:ind w:left="567" w:hanging="567"/>
      </w:pPr>
      <w:r w:rsidRPr="009A0DA6">
        <w:t xml:space="preserve">Director, Lutheran Media </w:t>
      </w:r>
    </w:p>
    <w:p w14:paraId="6DC08581" w14:textId="77777777" w:rsidR="00AD3E1B" w:rsidRPr="009A0DA6" w:rsidRDefault="00AD3E1B" w:rsidP="00284D80">
      <w:pPr>
        <w:pStyle w:val="NoSpacing"/>
      </w:pPr>
    </w:p>
    <w:p w14:paraId="61CF745A" w14:textId="77777777" w:rsidR="001C7AAD" w:rsidRPr="009A0DA6" w:rsidRDefault="001C7AAD" w:rsidP="001C7AAD">
      <w:pPr>
        <w:pStyle w:val="NoSpacing"/>
      </w:pPr>
    </w:p>
    <w:p w14:paraId="76DF0A16" w14:textId="77777777" w:rsidR="004C0EDE" w:rsidRPr="009A0DA6" w:rsidRDefault="004C0EDE">
      <w:pPr>
        <w:rPr>
          <w:rFonts w:ascii="Cambria" w:eastAsiaTheme="majorEastAsia" w:hAnsi="Cambria" w:cstheme="majorBidi"/>
          <w:b/>
          <w:caps/>
          <w:sz w:val="28"/>
          <w:szCs w:val="24"/>
        </w:rPr>
      </w:pPr>
      <w:r w:rsidRPr="009A0DA6">
        <w:rPr>
          <w:rFonts w:ascii="Cambria" w:hAnsi="Cambria"/>
        </w:rPr>
        <w:br w:type="page"/>
      </w:r>
    </w:p>
    <w:p w14:paraId="6EAF8971" w14:textId="521E7E45" w:rsidR="001C7AAD" w:rsidRPr="009A0DA6" w:rsidRDefault="001C7AAD" w:rsidP="00964A90">
      <w:pPr>
        <w:pStyle w:val="Heading3"/>
      </w:pPr>
      <w:r w:rsidRPr="009A0DA6">
        <w:lastRenderedPageBreak/>
        <w:t>agenda 2.4.1</w:t>
      </w:r>
      <w:r w:rsidR="000C3458" w:rsidRPr="009A0DA6">
        <w:t>0</w:t>
      </w:r>
    </w:p>
    <w:p w14:paraId="5F38B1B4" w14:textId="77777777" w:rsidR="001C7AAD" w:rsidRPr="009A0DA6" w:rsidRDefault="001C7AAD" w:rsidP="001C7AAD">
      <w:pPr>
        <w:pStyle w:val="Heading2"/>
      </w:pPr>
      <w:bookmarkStart w:id="460" w:name="_Toc521954712"/>
      <w:r w:rsidRPr="009A0DA6">
        <w:t xml:space="preserve">Constitutional </w:t>
      </w:r>
      <w:r w:rsidR="00284D80" w:rsidRPr="009A0DA6">
        <w:t>c</w:t>
      </w:r>
      <w:r w:rsidRPr="009A0DA6">
        <w:t>hange</w:t>
      </w:r>
      <w:r w:rsidR="00284D80" w:rsidRPr="009A0DA6">
        <w:t>s</w:t>
      </w:r>
      <w:r w:rsidRPr="009A0DA6">
        <w:t>: Interpretation</w:t>
      </w:r>
      <w:bookmarkEnd w:id="460"/>
    </w:p>
    <w:p w14:paraId="1D0637C2" w14:textId="77777777" w:rsidR="001C7AAD" w:rsidRPr="009A0DA6" w:rsidRDefault="001C7AAD" w:rsidP="001C7AAD">
      <w:pPr>
        <w:pStyle w:val="NoSpacing"/>
      </w:pPr>
    </w:p>
    <w:p w14:paraId="1295E080" w14:textId="77777777" w:rsidR="001C7AAD" w:rsidRPr="009A0DA6" w:rsidRDefault="00185BF6" w:rsidP="00964A90">
      <w:pPr>
        <w:pStyle w:val="Heading3"/>
      </w:pPr>
      <w:r w:rsidRPr="009A0DA6">
        <w:t>proposed motion</w:t>
      </w:r>
    </w:p>
    <w:p w14:paraId="10B5546D" w14:textId="77777777" w:rsidR="00185BF6" w:rsidRPr="009A0DA6" w:rsidRDefault="00185BF6" w:rsidP="00185BF6">
      <w:pPr>
        <w:shd w:val="clear" w:color="auto" w:fill="FFFFFF"/>
        <w:spacing w:after="0" w:line="240" w:lineRule="auto"/>
        <w:rPr>
          <w:rFonts w:ascii="Cambria" w:eastAsia="Times New Roman" w:hAnsi="Cambria" w:cs="Times New Roman"/>
          <w:bCs/>
          <w:color w:val="222222"/>
          <w:lang w:eastAsia="en-AU"/>
        </w:rPr>
      </w:pPr>
      <w:r w:rsidRPr="009A0DA6">
        <w:rPr>
          <w:rFonts w:ascii="Cambria" w:hAnsi="Cambria"/>
          <w:b/>
          <w:bCs/>
          <w:lang w:eastAsia="en-AU"/>
        </w:rPr>
        <w:t>BE IT RESOLVED</w:t>
      </w:r>
      <w:r w:rsidRPr="009A0DA6">
        <w:rPr>
          <w:rFonts w:ascii="Cambria" w:eastAsia="Times New Roman" w:hAnsi="Cambria" w:cs="Times New Roman"/>
          <w:bCs/>
          <w:color w:val="000000"/>
          <w:lang w:eastAsia="en-AU"/>
        </w:rPr>
        <w:t xml:space="preserve"> </w:t>
      </w:r>
      <w:r w:rsidRPr="009A0DA6">
        <w:rPr>
          <w:rFonts w:ascii="Cambria" w:eastAsia="Times New Roman" w:hAnsi="Cambria" w:cs="Times New Roman"/>
          <w:bCs/>
          <w:color w:val="222222"/>
          <w:lang w:eastAsia="en-AU"/>
        </w:rPr>
        <w:t xml:space="preserve">that </w:t>
      </w:r>
      <w:r w:rsidRPr="009A0DA6">
        <w:rPr>
          <w:rFonts w:ascii="Cambria" w:eastAsia="Times New Roman" w:hAnsi="Cambria" w:cs="Times New Roman"/>
          <w:b/>
          <w:bCs/>
          <w:color w:val="222222"/>
          <w:lang w:eastAsia="en-AU"/>
        </w:rPr>
        <w:t>Article 1 Name and Interpretation</w:t>
      </w:r>
      <w:r w:rsidRPr="009A0DA6">
        <w:rPr>
          <w:rFonts w:ascii="Cambria" w:eastAsia="Times New Roman" w:hAnsi="Cambria" w:cs="Times New Roman"/>
          <w:bCs/>
          <w:color w:val="222222"/>
          <w:lang w:eastAsia="en-AU"/>
        </w:rPr>
        <w:t xml:space="preserve"> of the Constitution of the Church be amended to include a new sub-clause 1.2.3 and that the subsequent clauses be renumbered accordingly as follows (words to be deleted – </w:t>
      </w:r>
      <w:r w:rsidRPr="009A0DA6">
        <w:rPr>
          <w:rFonts w:ascii="Cambria" w:eastAsia="Times New Roman" w:hAnsi="Cambria" w:cs="Times New Roman"/>
          <w:bCs/>
          <w:strike/>
          <w:color w:val="222222"/>
          <w:lang w:eastAsia="en-AU"/>
        </w:rPr>
        <w:t>strikethrough</w:t>
      </w:r>
      <w:r w:rsidRPr="009A0DA6">
        <w:rPr>
          <w:rFonts w:ascii="Cambria" w:eastAsia="Times New Roman" w:hAnsi="Cambria" w:cs="Times New Roman"/>
          <w:bCs/>
          <w:color w:val="222222"/>
          <w:lang w:eastAsia="en-AU"/>
        </w:rPr>
        <w:t xml:space="preserve">; words to be added – </w:t>
      </w:r>
      <w:r w:rsidRPr="009A0DA6">
        <w:rPr>
          <w:rFonts w:ascii="Cambria" w:eastAsia="Times New Roman" w:hAnsi="Cambria" w:cs="Times New Roman"/>
          <w:b/>
          <w:bCs/>
          <w:color w:val="222222"/>
          <w:lang w:eastAsia="en-AU"/>
        </w:rPr>
        <w:t>bold</w:t>
      </w:r>
      <w:r w:rsidRPr="009A0DA6">
        <w:rPr>
          <w:rFonts w:ascii="Cambria" w:eastAsia="Times New Roman" w:hAnsi="Cambria" w:cs="Times New Roman"/>
          <w:bCs/>
          <w:color w:val="222222"/>
          <w:lang w:eastAsia="en-AU"/>
        </w:rPr>
        <w:t>):</w:t>
      </w:r>
    </w:p>
    <w:p w14:paraId="177485BC" w14:textId="77777777" w:rsidR="00185BF6" w:rsidRPr="009A0DA6" w:rsidRDefault="00185BF6" w:rsidP="00185BF6">
      <w:pPr>
        <w:shd w:val="clear" w:color="auto" w:fill="FFFFFF"/>
        <w:spacing w:after="0" w:line="240" w:lineRule="auto"/>
        <w:rPr>
          <w:rFonts w:ascii="Cambria" w:eastAsia="Times New Roman" w:hAnsi="Cambria" w:cs="Times New Roman"/>
          <w:b/>
          <w:bCs/>
          <w:color w:val="222222"/>
          <w:lang w:eastAsia="en-AU"/>
        </w:rPr>
      </w:pPr>
    </w:p>
    <w:p w14:paraId="6C3B303F" w14:textId="09BEE5F2" w:rsidR="00185BF6" w:rsidRPr="009A0DA6" w:rsidRDefault="00185BF6" w:rsidP="00185BF6">
      <w:pPr>
        <w:tabs>
          <w:tab w:val="left" w:pos="851"/>
          <w:tab w:val="left" w:pos="1985"/>
          <w:tab w:val="left" w:pos="3119"/>
          <w:tab w:val="left" w:pos="4536"/>
          <w:tab w:val="left" w:pos="5670"/>
        </w:tabs>
        <w:spacing w:after="0" w:line="240" w:lineRule="auto"/>
        <w:jc w:val="center"/>
        <w:rPr>
          <w:rFonts w:ascii="Cambria" w:eastAsia="Times New Roman" w:hAnsi="Cambria" w:cs="Times New Roman"/>
          <w:b/>
          <w:lang w:eastAsia="en-AU"/>
        </w:rPr>
      </w:pPr>
      <w:r w:rsidRPr="009A0DA6">
        <w:rPr>
          <w:rFonts w:ascii="Cambria" w:eastAsia="Times New Roman" w:hAnsi="Cambria" w:cs="Times New Roman"/>
          <w:b/>
          <w:lang w:eastAsia="en-AU"/>
        </w:rPr>
        <w:t>ARTICLE  1</w:t>
      </w:r>
      <w:r w:rsidR="0027799A" w:rsidRPr="009A0DA6">
        <w:rPr>
          <w:rFonts w:ascii="Cambria" w:eastAsia="Times New Roman" w:hAnsi="Cambria" w:cs="Times New Roman"/>
          <w:b/>
          <w:lang w:eastAsia="en-AU"/>
        </w:rPr>
        <w:t xml:space="preserve">. </w:t>
      </w:r>
      <w:r w:rsidRPr="009A0DA6">
        <w:rPr>
          <w:rFonts w:ascii="Cambria" w:eastAsia="Times New Roman" w:hAnsi="Cambria" w:cs="Times New Roman"/>
          <w:b/>
          <w:lang w:eastAsia="en-AU"/>
        </w:rPr>
        <w:t>NAME AND INTERPRETATION</w:t>
      </w:r>
    </w:p>
    <w:p w14:paraId="35B6CE82" w14:textId="77777777" w:rsidR="00185BF6" w:rsidRPr="009A0DA6" w:rsidRDefault="00185BF6" w:rsidP="00185BF6">
      <w:pPr>
        <w:tabs>
          <w:tab w:val="left" w:pos="851"/>
          <w:tab w:val="left" w:pos="1985"/>
          <w:tab w:val="left" w:pos="3119"/>
          <w:tab w:val="left" w:pos="4536"/>
          <w:tab w:val="left" w:pos="5670"/>
        </w:tabs>
        <w:spacing w:after="0" w:line="240" w:lineRule="auto"/>
        <w:jc w:val="center"/>
        <w:rPr>
          <w:rFonts w:ascii="Cambria" w:eastAsia="Times New Roman" w:hAnsi="Cambria" w:cs="Times New Roman"/>
          <w:sz w:val="12"/>
          <w:lang w:eastAsia="en-AU"/>
        </w:rPr>
      </w:pPr>
    </w:p>
    <w:p w14:paraId="411D212D" w14:textId="77777777" w:rsidR="00185BF6" w:rsidRPr="009A0DA6" w:rsidRDefault="00185BF6" w:rsidP="00185BF6">
      <w:pPr>
        <w:tabs>
          <w:tab w:val="left" w:pos="567"/>
          <w:tab w:val="left" w:pos="1985"/>
          <w:tab w:val="left" w:pos="3119"/>
          <w:tab w:val="left" w:pos="4536"/>
          <w:tab w:val="left" w:pos="5670"/>
        </w:tabs>
        <w:spacing w:after="0" w:line="240" w:lineRule="auto"/>
        <w:ind w:left="567" w:hanging="567"/>
        <w:rPr>
          <w:rFonts w:ascii="Cambria" w:eastAsia="Times New Roman" w:hAnsi="Cambria" w:cs="Times New Roman"/>
          <w:lang w:eastAsia="en-AU"/>
        </w:rPr>
      </w:pPr>
      <w:r w:rsidRPr="009A0DA6">
        <w:rPr>
          <w:rFonts w:ascii="Cambria" w:eastAsia="Times New Roman" w:hAnsi="Cambria" w:cs="Times New Roman"/>
          <w:lang w:eastAsia="en-AU"/>
        </w:rPr>
        <w:t>1.1</w:t>
      </w:r>
      <w:r w:rsidRPr="009A0DA6">
        <w:rPr>
          <w:rFonts w:ascii="Cambria" w:eastAsia="Times New Roman" w:hAnsi="Cambria" w:cs="Times New Roman"/>
          <w:lang w:eastAsia="en-AU"/>
        </w:rPr>
        <w:tab/>
        <w:t>The name of this Church is LUTHERAN CHURCH OF AUSTRALIA INC., hereinafter called ‘the Church’.</w:t>
      </w:r>
    </w:p>
    <w:p w14:paraId="158E8DEC" w14:textId="77777777" w:rsidR="00185BF6" w:rsidRPr="009A0DA6" w:rsidRDefault="00185BF6" w:rsidP="00185BF6">
      <w:pPr>
        <w:tabs>
          <w:tab w:val="left" w:pos="567"/>
          <w:tab w:val="left" w:pos="1985"/>
          <w:tab w:val="left" w:pos="3119"/>
          <w:tab w:val="left" w:pos="4536"/>
          <w:tab w:val="left" w:pos="5670"/>
        </w:tabs>
        <w:spacing w:after="0" w:line="240" w:lineRule="auto"/>
        <w:ind w:left="567" w:hanging="567"/>
        <w:rPr>
          <w:rFonts w:ascii="Cambria" w:eastAsia="Times New Roman" w:hAnsi="Cambria" w:cs="Times New Roman"/>
          <w:lang w:eastAsia="en-AU"/>
        </w:rPr>
      </w:pPr>
      <w:r w:rsidRPr="009A0DA6">
        <w:rPr>
          <w:rFonts w:ascii="Cambria" w:eastAsia="Times New Roman" w:hAnsi="Cambria" w:cs="Times New Roman"/>
          <w:lang w:eastAsia="en-AU"/>
        </w:rPr>
        <w:t>1.2</w:t>
      </w:r>
      <w:r w:rsidRPr="009A0DA6">
        <w:rPr>
          <w:rFonts w:ascii="Cambria" w:eastAsia="Times New Roman" w:hAnsi="Cambria" w:cs="Times New Roman"/>
          <w:lang w:eastAsia="en-AU"/>
        </w:rPr>
        <w:tab/>
        <w:t>In this Constitution and the By-laws made there under, unless the context or subject matter otherwise requires:</w:t>
      </w:r>
    </w:p>
    <w:p w14:paraId="18E750A8" w14:textId="77777777" w:rsidR="00185BF6" w:rsidRPr="009A0DA6" w:rsidRDefault="00185BF6" w:rsidP="00185BF6">
      <w:pPr>
        <w:tabs>
          <w:tab w:val="left" w:pos="567"/>
          <w:tab w:val="left" w:pos="1418"/>
          <w:tab w:val="left" w:pos="3119"/>
          <w:tab w:val="left" w:pos="4536"/>
          <w:tab w:val="left" w:pos="5670"/>
        </w:tabs>
        <w:spacing w:after="0" w:line="240" w:lineRule="auto"/>
        <w:ind w:left="1418" w:hanging="1418"/>
        <w:rPr>
          <w:rFonts w:ascii="Cambria" w:eastAsia="Times New Roman" w:hAnsi="Cambria" w:cs="Times New Roman"/>
          <w:lang w:eastAsia="en-AU"/>
        </w:rPr>
      </w:pPr>
      <w:r w:rsidRPr="009A0DA6">
        <w:rPr>
          <w:rFonts w:ascii="Cambria" w:eastAsia="Times New Roman" w:hAnsi="Cambria" w:cs="Times New Roman"/>
          <w:lang w:eastAsia="en-AU"/>
        </w:rPr>
        <w:tab/>
        <w:t>1.2.1</w:t>
      </w:r>
      <w:r w:rsidRPr="009A0DA6">
        <w:rPr>
          <w:rFonts w:ascii="Cambria" w:eastAsia="Times New Roman" w:hAnsi="Cambria" w:cs="Times New Roman"/>
          <w:lang w:eastAsia="en-AU"/>
        </w:rPr>
        <w:tab/>
        <w:t>‘church worker’ means any person whose name is listed on the Register of Church Workers provided for in the By-laws of the Church;</w:t>
      </w:r>
    </w:p>
    <w:p w14:paraId="7D0E002A" w14:textId="77777777" w:rsidR="00185BF6" w:rsidRPr="009A0DA6" w:rsidRDefault="00185BF6" w:rsidP="00185BF6">
      <w:pPr>
        <w:tabs>
          <w:tab w:val="left" w:pos="567"/>
          <w:tab w:val="left" w:pos="1418"/>
          <w:tab w:val="left" w:pos="3119"/>
          <w:tab w:val="left" w:pos="4536"/>
          <w:tab w:val="left" w:pos="5670"/>
        </w:tabs>
        <w:spacing w:after="0" w:line="240" w:lineRule="auto"/>
        <w:ind w:left="1418" w:hanging="1418"/>
        <w:rPr>
          <w:rFonts w:ascii="Cambria" w:eastAsia="Times New Roman" w:hAnsi="Cambria" w:cs="Times New Roman"/>
          <w:lang w:eastAsia="en-AU"/>
        </w:rPr>
      </w:pPr>
      <w:r w:rsidRPr="009A0DA6">
        <w:rPr>
          <w:rFonts w:ascii="Cambria" w:eastAsia="Times New Roman" w:hAnsi="Cambria" w:cs="Times New Roman"/>
          <w:lang w:eastAsia="en-AU"/>
        </w:rPr>
        <w:tab/>
        <w:t>1.2.2</w:t>
      </w:r>
      <w:r w:rsidRPr="009A0DA6">
        <w:rPr>
          <w:rFonts w:ascii="Cambria" w:eastAsia="Times New Roman" w:hAnsi="Cambria" w:cs="Times New Roman"/>
          <w:lang w:eastAsia="en-AU"/>
        </w:rPr>
        <w:tab/>
        <w:t>‘congregation’ means a group of persons adhering to the Lutheran Faith who regularly meet for the administration of the Means of Grace and who have constituted themselves as an organised body by the adoption of a constitution;</w:t>
      </w:r>
    </w:p>
    <w:p w14:paraId="1D2941DF" w14:textId="49DD2C22" w:rsidR="00185BF6" w:rsidRPr="009A0DA6" w:rsidRDefault="00185BF6" w:rsidP="00185BF6">
      <w:pPr>
        <w:tabs>
          <w:tab w:val="left" w:pos="567"/>
          <w:tab w:val="left" w:pos="1418"/>
          <w:tab w:val="left" w:pos="3119"/>
          <w:tab w:val="left" w:pos="4536"/>
          <w:tab w:val="left" w:pos="5670"/>
        </w:tabs>
        <w:spacing w:after="0" w:line="240" w:lineRule="auto"/>
        <w:ind w:left="1418" w:hanging="1418"/>
        <w:rPr>
          <w:rFonts w:ascii="Cambria" w:eastAsia="Times New Roman" w:hAnsi="Cambria" w:cs="Times New Roman"/>
          <w:b/>
          <w:lang w:eastAsia="en-AU"/>
        </w:rPr>
      </w:pPr>
      <w:r w:rsidRPr="009A0DA6">
        <w:rPr>
          <w:rFonts w:ascii="Cambria" w:eastAsia="Times New Roman" w:hAnsi="Cambria" w:cs="Times New Roman"/>
          <w:b/>
          <w:lang w:eastAsia="en-AU"/>
        </w:rPr>
        <w:tab/>
        <w:t>1.2.3</w:t>
      </w:r>
      <w:r w:rsidRPr="009A0DA6">
        <w:rPr>
          <w:rFonts w:ascii="Cambria" w:eastAsia="Times New Roman" w:hAnsi="Cambria" w:cs="Times New Roman"/>
          <w:b/>
          <w:lang w:eastAsia="en-AU"/>
        </w:rPr>
        <w:tab/>
        <w:t>‘Evangelical Lutheran Church’ means a generic reference to churches throughout the world which proclaim the Gospel of Jesus Christ as understood and co</w:t>
      </w:r>
      <w:r w:rsidR="008A6D7D">
        <w:rPr>
          <w:rFonts w:ascii="Cambria" w:eastAsia="Times New Roman" w:hAnsi="Cambria" w:cs="Times New Roman"/>
          <w:b/>
          <w:lang w:eastAsia="en-AU"/>
        </w:rPr>
        <w:t xml:space="preserve">nfessed in the Book of Concord of </w:t>
      </w:r>
      <w:r w:rsidRPr="009A0DA6">
        <w:rPr>
          <w:rFonts w:ascii="Cambria" w:eastAsia="Times New Roman" w:hAnsi="Cambria" w:cs="Times New Roman"/>
          <w:b/>
          <w:lang w:eastAsia="en-AU"/>
        </w:rPr>
        <w:t>1580;</w:t>
      </w:r>
    </w:p>
    <w:p w14:paraId="52D0D02B" w14:textId="77777777" w:rsidR="00185BF6" w:rsidRPr="009A0DA6" w:rsidRDefault="00185BF6" w:rsidP="00185BF6">
      <w:pPr>
        <w:tabs>
          <w:tab w:val="left" w:pos="567"/>
          <w:tab w:val="left" w:pos="1418"/>
          <w:tab w:val="left" w:pos="3119"/>
          <w:tab w:val="left" w:pos="4536"/>
          <w:tab w:val="left" w:pos="5670"/>
        </w:tabs>
        <w:spacing w:after="0" w:line="240" w:lineRule="auto"/>
        <w:ind w:left="1418" w:hanging="1418"/>
        <w:rPr>
          <w:rFonts w:ascii="Cambria" w:eastAsia="Times New Roman" w:hAnsi="Cambria" w:cs="Times New Roman"/>
          <w:lang w:eastAsia="en-AU"/>
        </w:rPr>
      </w:pPr>
      <w:r w:rsidRPr="009A0DA6">
        <w:rPr>
          <w:rFonts w:ascii="Cambria" w:eastAsia="Times New Roman" w:hAnsi="Cambria" w:cs="Times New Roman"/>
          <w:lang w:eastAsia="en-AU"/>
        </w:rPr>
        <w:tab/>
        <w:t>1.2.</w:t>
      </w:r>
      <w:r w:rsidRPr="009A0DA6">
        <w:rPr>
          <w:rFonts w:ascii="Cambria" w:eastAsia="Times New Roman" w:hAnsi="Cambria" w:cs="Times New Roman"/>
          <w:strike/>
          <w:lang w:eastAsia="en-AU"/>
        </w:rPr>
        <w:t>3</w:t>
      </w:r>
      <w:r w:rsidRPr="009A0DA6">
        <w:rPr>
          <w:rFonts w:ascii="Cambria" w:eastAsia="Times New Roman" w:hAnsi="Cambria" w:cs="Times New Roman"/>
          <w:b/>
          <w:lang w:eastAsia="en-AU"/>
        </w:rPr>
        <w:t>4</w:t>
      </w:r>
      <w:r w:rsidRPr="009A0DA6">
        <w:rPr>
          <w:rFonts w:ascii="Cambria" w:eastAsia="Times New Roman" w:hAnsi="Cambria" w:cs="Times New Roman"/>
          <w:lang w:eastAsia="en-AU"/>
        </w:rPr>
        <w:tab/>
        <w:t>‘lay member’ means any member of a congregation of the Church other than a pastor;</w:t>
      </w:r>
    </w:p>
    <w:p w14:paraId="2FCED864" w14:textId="77777777" w:rsidR="00185BF6" w:rsidRPr="009A0DA6" w:rsidRDefault="00185BF6" w:rsidP="00185BF6">
      <w:pPr>
        <w:tabs>
          <w:tab w:val="left" w:pos="567"/>
          <w:tab w:val="left" w:pos="1418"/>
          <w:tab w:val="left" w:pos="3119"/>
          <w:tab w:val="left" w:pos="4536"/>
          <w:tab w:val="left" w:pos="5670"/>
        </w:tabs>
        <w:spacing w:after="0" w:line="240" w:lineRule="auto"/>
        <w:ind w:left="1418" w:hanging="1418"/>
        <w:rPr>
          <w:rFonts w:ascii="Cambria" w:eastAsia="Times New Roman" w:hAnsi="Cambria" w:cs="Times New Roman"/>
          <w:lang w:eastAsia="en-AU"/>
        </w:rPr>
      </w:pPr>
      <w:r w:rsidRPr="009A0DA6">
        <w:rPr>
          <w:rFonts w:ascii="Cambria" w:eastAsia="Times New Roman" w:hAnsi="Cambria" w:cs="Times New Roman"/>
          <w:lang w:eastAsia="en-AU"/>
        </w:rPr>
        <w:tab/>
        <w:t>1.2.</w:t>
      </w:r>
      <w:r w:rsidRPr="009A0DA6">
        <w:rPr>
          <w:rFonts w:ascii="Cambria" w:eastAsia="Times New Roman" w:hAnsi="Cambria" w:cs="Times New Roman"/>
          <w:strike/>
          <w:lang w:eastAsia="en-AU"/>
        </w:rPr>
        <w:t>4</w:t>
      </w:r>
      <w:r w:rsidRPr="009A0DA6">
        <w:rPr>
          <w:rFonts w:ascii="Cambria" w:eastAsia="Times New Roman" w:hAnsi="Cambria" w:cs="Times New Roman"/>
          <w:b/>
          <w:lang w:eastAsia="en-AU"/>
        </w:rPr>
        <w:t>5</w:t>
      </w:r>
      <w:r w:rsidRPr="009A0DA6">
        <w:rPr>
          <w:rFonts w:ascii="Cambria" w:eastAsia="Times New Roman" w:hAnsi="Cambria" w:cs="Times New Roman"/>
          <w:lang w:eastAsia="en-AU"/>
        </w:rPr>
        <w:tab/>
        <w:t>‘parish’ means a congregation or a group of congregations forming an entity which is served by one or more pastors;</w:t>
      </w:r>
    </w:p>
    <w:p w14:paraId="2D5034D8" w14:textId="77777777" w:rsidR="00185BF6" w:rsidRPr="009A0DA6" w:rsidRDefault="00185BF6" w:rsidP="00185BF6">
      <w:pPr>
        <w:tabs>
          <w:tab w:val="left" w:pos="567"/>
          <w:tab w:val="left" w:pos="1418"/>
          <w:tab w:val="left" w:pos="3119"/>
          <w:tab w:val="left" w:pos="4536"/>
          <w:tab w:val="left" w:pos="5670"/>
        </w:tabs>
        <w:spacing w:after="0" w:line="240" w:lineRule="auto"/>
        <w:ind w:left="1418" w:hanging="1418"/>
        <w:rPr>
          <w:rFonts w:ascii="Cambria" w:eastAsia="Times New Roman" w:hAnsi="Cambria" w:cs="Times New Roman"/>
          <w:lang w:eastAsia="en-AU"/>
        </w:rPr>
      </w:pPr>
      <w:r w:rsidRPr="009A0DA6">
        <w:rPr>
          <w:rFonts w:ascii="Cambria" w:eastAsia="Times New Roman" w:hAnsi="Cambria" w:cs="Times New Roman"/>
          <w:lang w:eastAsia="en-AU"/>
        </w:rPr>
        <w:tab/>
        <w:t>1.2.</w:t>
      </w:r>
      <w:r w:rsidRPr="009A0DA6">
        <w:rPr>
          <w:rFonts w:ascii="Cambria" w:eastAsia="Times New Roman" w:hAnsi="Cambria" w:cs="Times New Roman"/>
          <w:strike/>
          <w:lang w:eastAsia="en-AU"/>
        </w:rPr>
        <w:t>5</w:t>
      </w:r>
      <w:r w:rsidRPr="009A0DA6">
        <w:rPr>
          <w:rFonts w:ascii="Cambria" w:eastAsia="Times New Roman" w:hAnsi="Cambria" w:cs="Times New Roman"/>
          <w:b/>
          <w:lang w:eastAsia="en-AU"/>
        </w:rPr>
        <w:t>6</w:t>
      </w:r>
      <w:r w:rsidRPr="009A0DA6">
        <w:rPr>
          <w:rFonts w:ascii="Cambria" w:eastAsia="Times New Roman" w:hAnsi="Cambria" w:cs="Times New Roman"/>
          <w:lang w:eastAsia="en-AU"/>
        </w:rPr>
        <w:tab/>
        <w:t>‘pastor’ or ‘member of the Ministry’ means any person ordained to the Holy Ministry according to the rites and practice of the Evangelical Lutheran Church who has been received into the Ministry of the Church according to Article 5.1;</w:t>
      </w:r>
    </w:p>
    <w:p w14:paraId="79080500" w14:textId="77777777" w:rsidR="00185BF6" w:rsidRPr="009A0DA6" w:rsidRDefault="00185BF6" w:rsidP="00185BF6">
      <w:pPr>
        <w:tabs>
          <w:tab w:val="left" w:pos="567"/>
          <w:tab w:val="left" w:pos="1418"/>
          <w:tab w:val="left" w:pos="3119"/>
          <w:tab w:val="left" w:pos="4536"/>
          <w:tab w:val="left" w:pos="5670"/>
        </w:tabs>
        <w:spacing w:after="0" w:line="240" w:lineRule="auto"/>
        <w:ind w:left="1418" w:hanging="1418"/>
        <w:rPr>
          <w:rFonts w:ascii="Cambria" w:eastAsia="Times New Roman" w:hAnsi="Cambria" w:cs="Times New Roman"/>
          <w:lang w:eastAsia="en-AU"/>
        </w:rPr>
      </w:pPr>
      <w:r w:rsidRPr="009A0DA6">
        <w:rPr>
          <w:rFonts w:ascii="Cambria" w:eastAsia="Times New Roman" w:hAnsi="Cambria" w:cs="Times New Roman"/>
          <w:lang w:eastAsia="en-AU"/>
        </w:rPr>
        <w:tab/>
        <w:t>1.2.</w:t>
      </w:r>
      <w:r w:rsidRPr="009A0DA6">
        <w:rPr>
          <w:rFonts w:ascii="Cambria" w:eastAsia="Times New Roman" w:hAnsi="Cambria" w:cs="Times New Roman"/>
          <w:strike/>
          <w:lang w:eastAsia="en-AU"/>
        </w:rPr>
        <w:t>6</w:t>
      </w:r>
      <w:r w:rsidRPr="009A0DA6">
        <w:rPr>
          <w:rFonts w:ascii="Cambria" w:eastAsia="Times New Roman" w:hAnsi="Cambria" w:cs="Times New Roman"/>
          <w:b/>
          <w:lang w:eastAsia="en-AU"/>
        </w:rPr>
        <w:t>7</w:t>
      </w:r>
      <w:r w:rsidRPr="009A0DA6">
        <w:rPr>
          <w:rFonts w:ascii="Cambria" w:eastAsia="Times New Roman" w:hAnsi="Cambria" w:cs="Times New Roman"/>
          <w:lang w:eastAsia="en-AU"/>
        </w:rPr>
        <w:tab/>
        <w:t>‘teacher’ means any pastor or lay member called or appointed by the Church or by any of its Districts or congregations to serve on the teaching staff of a school or educational institution established and maintained by the Church or District or congregation;</w:t>
      </w:r>
    </w:p>
    <w:p w14:paraId="43B4DC97" w14:textId="77777777" w:rsidR="00185BF6" w:rsidRPr="009A0DA6" w:rsidRDefault="00185BF6" w:rsidP="00185BF6">
      <w:pPr>
        <w:tabs>
          <w:tab w:val="left" w:pos="567"/>
          <w:tab w:val="left" w:pos="1418"/>
          <w:tab w:val="left" w:pos="3119"/>
          <w:tab w:val="left" w:pos="4536"/>
          <w:tab w:val="left" w:pos="5670"/>
        </w:tabs>
        <w:spacing w:after="0" w:line="240" w:lineRule="auto"/>
        <w:ind w:left="1418" w:hanging="1418"/>
        <w:rPr>
          <w:rFonts w:ascii="Cambria" w:eastAsia="Times New Roman" w:hAnsi="Cambria" w:cs="Times New Roman"/>
          <w:lang w:eastAsia="en-AU"/>
        </w:rPr>
      </w:pPr>
      <w:r w:rsidRPr="009A0DA6">
        <w:rPr>
          <w:rFonts w:ascii="Cambria" w:eastAsia="Times New Roman" w:hAnsi="Cambria" w:cs="Times New Roman"/>
          <w:lang w:eastAsia="en-AU"/>
        </w:rPr>
        <w:tab/>
        <w:t>1.2.</w:t>
      </w:r>
      <w:r w:rsidRPr="009A0DA6">
        <w:rPr>
          <w:rFonts w:ascii="Cambria" w:eastAsia="Times New Roman" w:hAnsi="Cambria" w:cs="Times New Roman"/>
          <w:strike/>
          <w:lang w:eastAsia="en-AU"/>
        </w:rPr>
        <w:t>7</w:t>
      </w:r>
      <w:r w:rsidRPr="009A0DA6">
        <w:rPr>
          <w:rFonts w:ascii="Cambria" w:eastAsia="Times New Roman" w:hAnsi="Cambria" w:cs="Times New Roman"/>
          <w:b/>
          <w:lang w:eastAsia="en-AU"/>
        </w:rPr>
        <w:t>8</w:t>
      </w:r>
      <w:r w:rsidRPr="009A0DA6">
        <w:rPr>
          <w:rFonts w:ascii="Cambria" w:eastAsia="Times New Roman" w:hAnsi="Cambria" w:cs="Times New Roman"/>
          <w:lang w:eastAsia="en-AU"/>
        </w:rPr>
        <w:tab/>
        <w:t>'the Act' means the Associations Incorporation Act 1985 (SA) as amended from time to time and includes any replacement of that Act or any provisions substituted for, and all regulations and statutory instruments issued under, that Act;  and</w:t>
      </w:r>
    </w:p>
    <w:p w14:paraId="0C7F75FC" w14:textId="44F2E74C" w:rsidR="00185BF6" w:rsidRDefault="00185BF6" w:rsidP="00185BF6">
      <w:pPr>
        <w:tabs>
          <w:tab w:val="left" w:pos="567"/>
          <w:tab w:val="left" w:pos="1418"/>
          <w:tab w:val="left" w:pos="3119"/>
          <w:tab w:val="left" w:pos="4536"/>
          <w:tab w:val="left" w:pos="5670"/>
        </w:tabs>
        <w:spacing w:after="0" w:line="240" w:lineRule="auto"/>
        <w:ind w:left="1418" w:hanging="1418"/>
        <w:rPr>
          <w:rFonts w:ascii="Cambria" w:eastAsia="Times New Roman" w:hAnsi="Cambria" w:cs="Times New Roman"/>
          <w:lang w:eastAsia="en-AU"/>
        </w:rPr>
      </w:pPr>
      <w:r w:rsidRPr="009A0DA6">
        <w:rPr>
          <w:rFonts w:ascii="Cambria" w:eastAsia="Times New Roman" w:hAnsi="Cambria" w:cs="Times New Roman"/>
          <w:lang w:eastAsia="en-AU"/>
        </w:rPr>
        <w:tab/>
        <w:t>1.2.</w:t>
      </w:r>
      <w:r w:rsidRPr="009A0DA6">
        <w:rPr>
          <w:rFonts w:ascii="Cambria" w:eastAsia="Times New Roman" w:hAnsi="Cambria" w:cs="Times New Roman"/>
          <w:strike/>
          <w:lang w:eastAsia="en-AU"/>
        </w:rPr>
        <w:t>8</w:t>
      </w:r>
      <w:r w:rsidRPr="009A0DA6">
        <w:rPr>
          <w:rFonts w:ascii="Cambria" w:eastAsia="Times New Roman" w:hAnsi="Cambria" w:cs="Times New Roman"/>
          <w:b/>
          <w:lang w:eastAsia="en-AU"/>
        </w:rPr>
        <w:t>9</w:t>
      </w:r>
      <w:r w:rsidRPr="009A0DA6">
        <w:rPr>
          <w:rFonts w:ascii="Cambria" w:eastAsia="Times New Roman" w:hAnsi="Cambria" w:cs="Times New Roman"/>
          <w:lang w:eastAsia="en-AU"/>
        </w:rPr>
        <w:tab/>
        <w:t>words importing the singular number shall be deemed to include the plural number.</w:t>
      </w:r>
    </w:p>
    <w:p w14:paraId="35A02B5F" w14:textId="5CACB067" w:rsidR="008A6D7D" w:rsidRPr="008A6D7D" w:rsidRDefault="008A6D7D" w:rsidP="00185BF6">
      <w:pPr>
        <w:tabs>
          <w:tab w:val="left" w:pos="567"/>
          <w:tab w:val="left" w:pos="1418"/>
          <w:tab w:val="left" w:pos="3119"/>
          <w:tab w:val="left" w:pos="4536"/>
          <w:tab w:val="left" w:pos="5670"/>
        </w:tabs>
        <w:spacing w:after="0" w:line="240" w:lineRule="auto"/>
        <w:ind w:left="1418" w:hanging="1418"/>
        <w:rPr>
          <w:rFonts w:ascii="Cambria" w:eastAsia="Times New Roman" w:hAnsi="Cambria" w:cs="Times New Roman"/>
          <w:lang w:eastAsia="en-AU"/>
        </w:rPr>
      </w:pPr>
    </w:p>
    <w:p w14:paraId="7D073EEF" w14:textId="4C0C5900" w:rsidR="008A6D7D" w:rsidRDefault="008A6D7D" w:rsidP="008A6D7D">
      <w:pPr>
        <w:shd w:val="clear" w:color="auto" w:fill="FFFFFF"/>
        <w:rPr>
          <w:rFonts w:ascii="Cambria" w:eastAsia="Times New Roman" w:hAnsi="Cambria" w:cs="Times New Roman"/>
          <w:bCs/>
          <w:lang w:eastAsia="en-AU"/>
        </w:rPr>
      </w:pPr>
      <w:r w:rsidRPr="008A6D7D">
        <w:rPr>
          <w:rFonts w:ascii="Cambria" w:eastAsia="Times New Roman" w:hAnsi="Cambria" w:cs="Times New Roman"/>
          <w:b/>
          <w:bCs/>
          <w:lang w:eastAsia="en-AU"/>
        </w:rPr>
        <w:t>BE IT FURTHER RESOLVED</w:t>
      </w:r>
      <w:r w:rsidRPr="008A6D7D">
        <w:rPr>
          <w:rFonts w:ascii="Cambria" w:eastAsia="Times New Roman" w:hAnsi="Cambria" w:cs="Times New Roman"/>
          <w:bCs/>
          <w:lang w:eastAsia="en-AU"/>
        </w:rPr>
        <w:t xml:space="preserve">  that the same item of interpretation be included in the Model Constitution for a Congregation and the Model Constitution for a Parish. </w:t>
      </w:r>
    </w:p>
    <w:p w14:paraId="10BF3476" w14:textId="77777777" w:rsidR="008A6D7D" w:rsidRPr="008A6D7D" w:rsidRDefault="008A6D7D" w:rsidP="008A6D7D">
      <w:pPr>
        <w:shd w:val="clear" w:color="auto" w:fill="FFFFFF"/>
        <w:rPr>
          <w:rFonts w:ascii="Cambria" w:eastAsia="Times New Roman" w:hAnsi="Cambria" w:cs="Times New Roman"/>
          <w:bCs/>
          <w:sz w:val="2"/>
          <w:lang w:eastAsia="en-AU"/>
        </w:rPr>
      </w:pPr>
    </w:p>
    <w:p w14:paraId="2D97FA54" w14:textId="77777777" w:rsidR="00185BF6" w:rsidRPr="009A0DA6" w:rsidRDefault="00185BF6" w:rsidP="00355E83">
      <w:pPr>
        <w:pStyle w:val="Heading3"/>
        <w:rPr>
          <w:rFonts w:eastAsia="SimSun" w:cs="F"/>
        </w:rPr>
      </w:pPr>
      <w:r w:rsidRPr="009A0DA6">
        <w:t>REASONS FOR THE MOTION</w:t>
      </w:r>
    </w:p>
    <w:p w14:paraId="3E14634B" w14:textId="340ED8A5" w:rsidR="00185BF6" w:rsidRPr="009A0DA6" w:rsidRDefault="00185BF6" w:rsidP="00185BF6">
      <w:pPr>
        <w:shd w:val="clear" w:color="auto" w:fill="FFFFFF"/>
        <w:spacing w:after="0" w:line="240" w:lineRule="auto"/>
        <w:rPr>
          <w:rFonts w:ascii="Cambria" w:hAnsi="Cambria" w:cs="Arial"/>
          <w:color w:val="222222"/>
          <w:shd w:val="clear" w:color="auto" w:fill="FFFFFF"/>
        </w:rPr>
      </w:pPr>
      <w:r w:rsidRPr="009A0DA6">
        <w:rPr>
          <w:rFonts w:ascii="Cambria" w:hAnsi="Cambria" w:cs="Arial"/>
          <w:color w:val="222222"/>
          <w:shd w:val="clear" w:color="auto" w:fill="FFFFFF"/>
        </w:rPr>
        <w:t>There is a need to define this generic term to ensure that it is not confused with the name of any specific individual Lutheran church body</w:t>
      </w:r>
      <w:r w:rsidR="0027799A" w:rsidRPr="009A0DA6">
        <w:rPr>
          <w:rFonts w:ascii="Cambria" w:hAnsi="Cambria" w:cs="Arial"/>
          <w:color w:val="222222"/>
          <w:shd w:val="clear" w:color="auto" w:fill="FFFFFF"/>
        </w:rPr>
        <w:t xml:space="preserve">. </w:t>
      </w:r>
    </w:p>
    <w:p w14:paraId="2F3210B5" w14:textId="77777777" w:rsidR="001C7AAD" w:rsidRPr="009A0DA6" w:rsidRDefault="001C7AAD" w:rsidP="001C7AAD">
      <w:pPr>
        <w:pStyle w:val="NoSpacing"/>
      </w:pPr>
    </w:p>
    <w:p w14:paraId="4CAF9530" w14:textId="77777777" w:rsidR="004C0EDE" w:rsidRPr="009A0DA6" w:rsidRDefault="004C0EDE">
      <w:pPr>
        <w:rPr>
          <w:rFonts w:ascii="Cambria" w:eastAsiaTheme="majorEastAsia" w:hAnsi="Cambria" w:cstheme="majorBidi"/>
          <w:b/>
          <w:caps/>
          <w:sz w:val="28"/>
          <w:szCs w:val="24"/>
        </w:rPr>
      </w:pPr>
      <w:r w:rsidRPr="009A0DA6">
        <w:rPr>
          <w:rFonts w:ascii="Cambria" w:hAnsi="Cambria"/>
        </w:rPr>
        <w:br w:type="page"/>
      </w:r>
    </w:p>
    <w:p w14:paraId="2EB7CF24" w14:textId="6592D2D8" w:rsidR="001C7AAD" w:rsidRPr="009A0DA6" w:rsidRDefault="001C7AAD" w:rsidP="00964A90">
      <w:pPr>
        <w:pStyle w:val="Heading3"/>
      </w:pPr>
      <w:r w:rsidRPr="009A0DA6">
        <w:lastRenderedPageBreak/>
        <w:t>agenda 2.4.1</w:t>
      </w:r>
      <w:r w:rsidR="000C3458" w:rsidRPr="009A0DA6">
        <w:t>1</w:t>
      </w:r>
    </w:p>
    <w:p w14:paraId="5C925452" w14:textId="77777777" w:rsidR="001C7AAD" w:rsidRPr="009A0DA6" w:rsidRDefault="001C7AAD" w:rsidP="001C7AAD">
      <w:pPr>
        <w:pStyle w:val="Heading2"/>
      </w:pPr>
      <w:bookmarkStart w:id="461" w:name="_Toc521954713"/>
      <w:r w:rsidRPr="009A0DA6">
        <w:t xml:space="preserve">Constitutional </w:t>
      </w:r>
      <w:r w:rsidR="00075925" w:rsidRPr="009A0DA6">
        <w:t>c</w:t>
      </w:r>
      <w:r w:rsidRPr="009A0DA6">
        <w:t>hange</w:t>
      </w:r>
      <w:r w:rsidR="00075925" w:rsidRPr="009A0DA6">
        <w:t>s</w:t>
      </w:r>
      <w:r w:rsidRPr="009A0DA6">
        <w:t xml:space="preserve">: Judicial </w:t>
      </w:r>
      <w:r w:rsidR="00185BF6" w:rsidRPr="009A0DA6">
        <w:t>s</w:t>
      </w:r>
      <w:r w:rsidRPr="009A0DA6">
        <w:t>ystem</w:t>
      </w:r>
      <w:bookmarkEnd w:id="461"/>
    </w:p>
    <w:p w14:paraId="74B9A920" w14:textId="77777777" w:rsidR="001C7AAD" w:rsidRPr="00786120" w:rsidRDefault="001C7AAD" w:rsidP="001C7AAD">
      <w:pPr>
        <w:pStyle w:val="NoSpacing"/>
        <w:rPr>
          <w:sz w:val="10"/>
        </w:rPr>
      </w:pPr>
    </w:p>
    <w:p w14:paraId="119A1A94" w14:textId="77777777" w:rsidR="001C7AAD" w:rsidRPr="009A0DA6" w:rsidRDefault="00185BF6" w:rsidP="00964A90">
      <w:pPr>
        <w:pStyle w:val="Heading3"/>
      </w:pPr>
      <w:r w:rsidRPr="009A0DA6">
        <w:t>proposed motion</w:t>
      </w:r>
    </w:p>
    <w:p w14:paraId="20724D8B" w14:textId="5EB63AC5" w:rsidR="00185BF6" w:rsidRPr="009A0DA6" w:rsidRDefault="00185BF6" w:rsidP="00185BF6">
      <w:pPr>
        <w:shd w:val="clear" w:color="auto" w:fill="FFFFFF"/>
        <w:spacing w:after="0" w:line="240" w:lineRule="auto"/>
        <w:rPr>
          <w:rFonts w:ascii="Cambria" w:eastAsia="Times New Roman" w:hAnsi="Cambria" w:cs="Times New Roman"/>
          <w:bCs/>
          <w:color w:val="222222"/>
          <w:lang w:eastAsia="en-AU"/>
        </w:rPr>
      </w:pPr>
      <w:r w:rsidRPr="001A7664">
        <w:rPr>
          <w:rFonts w:ascii="Cambria" w:eastAsia="Times New Roman" w:hAnsi="Cambria" w:cs="Times New Roman"/>
          <w:b/>
          <w:bCs/>
          <w:color w:val="222222"/>
          <w:lang w:eastAsia="en-AU"/>
        </w:rPr>
        <w:t>BE IT RESOLVED</w:t>
      </w:r>
      <w:r w:rsidRPr="001A7664">
        <w:rPr>
          <w:rFonts w:ascii="Cambria" w:eastAsia="Times New Roman" w:hAnsi="Cambria" w:cs="Times New Roman"/>
          <w:bCs/>
          <w:color w:val="222222"/>
          <w:lang w:eastAsia="en-AU"/>
        </w:rPr>
        <w:t xml:space="preserve"> </w:t>
      </w:r>
      <w:r w:rsidRPr="001A7664">
        <w:rPr>
          <w:rFonts w:ascii="Cambria" w:hAnsi="Cambria"/>
        </w:rPr>
        <w:t xml:space="preserve">that a new Section 10.3 be </w:t>
      </w:r>
      <w:r w:rsidR="001A7664" w:rsidRPr="001A7664">
        <w:rPr>
          <w:rFonts w:ascii="Cambria" w:hAnsi="Cambria"/>
        </w:rPr>
        <w:t>included in the By-Laws of the C</w:t>
      </w:r>
      <w:r w:rsidRPr="001A7664">
        <w:rPr>
          <w:rFonts w:ascii="Cambria" w:hAnsi="Cambria"/>
        </w:rPr>
        <w:t xml:space="preserve">hurch to provide </w:t>
      </w:r>
      <w:r w:rsidR="001A7664" w:rsidRPr="001A7664">
        <w:rPr>
          <w:rFonts w:ascii="Cambria" w:hAnsi="Cambria"/>
        </w:rPr>
        <w:t xml:space="preserve">for </w:t>
      </w:r>
      <w:r w:rsidRPr="001A7664">
        <w:rPr>
          <w:rFonts w:ascii="Cambria" w:hAnsi="Cambria"/>
        </w:rPr>
        <w:t xml:space="preserve">procedures as a consequence of any actions in pursuit of Article </w:t>
      </w:r>
      <w:r w:rsidRPr="001A7664">
        <w:rPr>
          <w:rFonts w:ascii="Cambria" w:hAnsi="Cambria"/>
          <w:b/>
        </w:rPr>
        <w:t>10.1.2</w:t>
      </w:r>
      <w:r w:rsidRPr="001A7664">
        <w:rPr>
          <w:rFonts w:ascii="Cambria" w:hAnsi="Cambria"/>
        </w:rPr>
        <w:t xml:space="preserve"> of the Constitution of the Church and that the existing </w:t>
      </w:r>
      <w:r w:rsidR="001A7664" w:rsidRPr="001A7664">
        <w:rPr>
          <w:rFonts w:ascii="Cambria" w:hAnsi="Cambria"/>
        </w:rPr>
        <w:t xml:space="preserve">Section </w:t>
      </w:r>
      <w:r w:rsidRPr="001A7664">
        <w:rPr>
          <w:rFonts w:ascii="Cambria" w:hAnsi="Cambria"/>
        </w:rPr>
        <w:t xml:space="preserve">10.3 be renumbered </w:t>
      </w:r>
      <w:r w:rsidR="001A7664" w:rsidRPr="001A7664">
        <w:rPr>
          <w:rFonts w:ascii="Cambria" w:hAnsi="Cambria"/>
        </w:rPr>
        <w:t xml:space="preserve">Section </w:t>
      </w:r>
      <w:r w:rsidRPr="001A7664">
        <w:rPr>
          <w:rFonts w:ascii="Cambria" w:hAnsi="Cambria"/>
        </w:rPr>
        <w:t xml:space="preserve">10.4 as follows (words to be deleted – </w:t>
      </w:r>
      <w:r w:rsidRPr="001A7664">
        <w:rPr>
          <w:rFonts w:ascii="Cambria" w:hAnsi="Cambria"/>
          <w:strike/>
        </w:rPr>
        <w:t>strikethrough</w:t>
      </w:r>
      <w:r w:rsidRPr="001A7664">
        <w:rPr>
          <w:rFonts w:ascii="Cambria" w:hAnsi="Cambria"/>
        </w:rPr>
        <w:t xml:space="preserve">; words to be added – </w:t>
      </w:r>
      <w:r w:rsidRPr="001A7664">
        <w:rPr>
          <w:rFonts w:ascii="Cambria" w:hAnsi="Cambria"/>
          <w:b/>
        </w:rPr>
        <w:t>bold</w:t>
      </w:r>
      <w:r w:rsidRPr="001A7664">
        <w:rPr>
          <w:rFonts w:ascii="Cambria" w:hAnsi="Cambria"/>
        </w:rPr>
        <w:t>.)</w:t>
      </w:r>
    </w:p>
    <w:p w14:paraId="5C15974D" w14:textId="77777777" w:rsidR="00185BF6" w:rsidRPr="009A0DA6" w:rsidRDefault="00185BF6" w:rsidP="00185BF6">
      <w:pPr>
        <w:tabs>
          <w:tab w:val="left" w:pos="851"/>
          <w:tab w:val="left" w:pos="1985"/>
          <w:tab w:val="left" w:pos="3119"/>
          <w:tab w:val="left" w:pos="4536"/>
          <w:tab w:val="left" w:pos="5670"/>
        </w:tabs>
        <w:spacing w:after="0" w:line="240" w:lineRule="auto"/>
        <w:ind w:left="851" w:right="26" w:hanging="851"/>
        <w:rPr>
          <w:rFonts w:ascii="Cambria" w:eastAsia="Times New Roman" w:hAnsi="Cambria" w:cs="Times New Roman"/>
          <w:sz w:val="12"/>
          <w:lang w:eastAsia="en-AU"/>
        </w:rPr>
      </w:pPr>
    </w:p>
    <w:p w14:paraId="69C67EC4" w14:textId="6AE26E12" w:rsidR="001A7664" w:rsidRDefault="00185BF6" w:rsidP="00786120">
      <w:pPr>
        <w:tabs>
          <w:tab w:val="left" w:pos="851"/>
          <w:tab w:val="left" w:pos="1985"/>
          <w:tab w:val="left" w:pos="3119"/>
          <w:tab w:val="left" w:pos="4536"/>
          <w:tab w:val="left" w:pos="5670"/>
        </w:tabs>
        <w:spacing w:after="0" w:line="240" w:lineRule="auto"/>
        <w:ind w:right="26"/>
        <w:jc w:val="center"/>
        <w:rPr>
          <w:rFonts w:ascii="Cambria" w:eastAsia="Times New Roman" w:hAnsi="Cambria" w:cs="Times New Roman"/>
          <w:b/>
          <w:lang w:eastAsia="en-AU"/>
        </w:rPr>
      </w:pPr>
      <w:r w:rsidRPr="009A0DA6">
        <w:rPr>
          <w:rFonts w:ascii="Cambria" w:eastAsia="Times New Roman" w:hAnsi="Cambria" w:cs="Times New Roman"/>
          <w:b/>
          <w:lang w:eastAsia="en-AU"/>
        </w:rPr>
        <w:t>SECTION 10.3   ECCLESIASTICAL  DISCIPLINE  BY  THE  CHURCH  AGAINST  A  PASTOR</w:t>
      </w:r>
      <w:r w:rsidR="001A7664">
        <w:rPr>
          <w:rFonts w:ascii="Cambria" w:eastAsia="Times New Roman" w:hAnsi="Cambria" w:cs="Times New Roman"/>
          <w:b/>
          <w:sz w:val="12"/>
          <w:lang w:eastAsia="en-AU"/>
        </w:rPr>
        <w:br/>
      </w:r>
      <w:r w:rsidRPr="009A0DA6">
        <w:rPr>
          <w:rFonts w:ascii="Cambria" w:eastAsia="Times New Roman" w:hAnsi="Cambria" w:cs="Times New Roman"/>
          <w:b/>
          <w:lang w:eastAsia="en-AU"/>
        </w:rPr>
        <w:t>10.3.1</w:t>
      </w:r>
      <w:r w:rsidRPr="009A0DA6">
        <w:rPr>
          <w:rFonts w:ascii="Cambria" w:eastAsia="Times New Roman" w:hAnsi="Cambria" w:cs="Times New Roman"/>
          <w:b/>
          <w:lang w:eastAsia="en-AU"/>
        </w:rPr>
        <w:tab/>
        <w:t>Subject to the nature of the complaint and a</w:t>
      </w:r>
      <w:r w:rsidR="001A7664">
        <w:rPr>
          <w:rFonts w:ascii="Cambria" w:eastAsia="Times New Roman" w:hAnsi="Cambria" w:cs="Times New Roman"/>
          <w:b/>
          <w:lang w:eastAsia="en-AU"/>
        </w:rPr>
        <w:t xml:space="preserve">ny legal requirements, before a </w:t>
      </w:r>
    </w:p>
    <w:p w14:paraId="77ACE8CB" w14:textId="4745A128" w:rsidR="00185BF6" w:rsidRPr="009A0DA6" w:rsidRDefault="001A7664" w:rsidP="001A7664">
      <w:pPr>
        <w:tabs>
          <w:tab w:val="left" w:pos="851"/>
          <w:tab w:val="left" w:pos="1985"/>
          <w:tab w:val="left" w:pos="3119"/>
          <w:tab w:val="left" w:pos="4536"/>
          <w:tab w:val="left" w:pos="5670"/>
        </w:tabs>
        <w:spacing w:after="0" w:line="240" w:lineRule="auto"/>
        <w:ind w:left="851" w:right="26" w:hanging="131"/>
        <w:rPr>
          <w:rFonts w:ascii="Cambria" w:eastAsia="Times New Roman" w:hAnsi="Cambria" w:cs="Times New Roman"/>
          <w:b/>
          <w:lang w:eastAsia="en-AU"/>
        </w:rPr>
      </w:pPr>
      <w:r>
        <w:rPr>
          <w:rFonts w:ascii="Cambria" w:eastAsia="Times New Roman" w:hAnsi="Cambria" w:cs="Times New Roman"/>
          <w:b/>
          <w:lang w:eastAsia="en-AU"/>
        </w:rPr>
        <w:tab/>
      </w:r>
      <w:r w:rsidR="00185BF6" w:rsidRPr="009A0DA6">
        <w:rPr>
          <w:rFonts w:ascii="Cambria" w:eastAsia="Times New Roman" w:hAnsi="Cambria" w:cs="Times New Roman"/>
          <w:b/>
          <w:lang w:eastAsia="en-AU"/>
        </w:rPr>
        <w:t>matter is dealt with by the Chu</w:t>
      </w:r>
      <w:r>
        <w:rPr>
          <w:rFonts w:ascii="Cambria" w:eastAsia="Times New Roman" w:hAnsi="Cambria" w:cs="Times New Roman"/>
          <w:b/>
          <w:lang w:eastAsia="en-AU"/>
        </w:rPr>
        <w:t>rch in pursuance of Article 10.1</w:t>
      </w:r>
      <w:r w:rsidR="00185BF6" w:rsidRPr="009A0DA6">
        <w:rPr>
          <w:rFonts w:ascii="Cambria" w:eastAsia="Times New Roman" w:hAnsi="Cambria" w:cs="Times New Roman"/>
          <w:b/>
          <w:lang w:eastAsia="en-AU"/>
        </w:rPr>
        <w:t>.2 of the Constitution, the person or persons alleging a fault against a pastor</w:t>
      </w:r>
    </w:p>
    <w:p w14:paraId="3F6BA4E3" w14:textId="77777777" w:rsidR="00185BF6" w:rsidRPr="009A0DA6" w:rsidRDefault="00185BF6" w:rsidP="00185BF6">
      <w:pPr>
        <w:tabs>
          <w:tab w:val="left" w:pos="851"/>
          <w:tab w:val="left" w:pos="3119"/>
          <w:tab w:val="left" w:pos="4536"/>
          <w:tab w:val="left" w:pos="5670"/>
        </w:tabs>
        <w:spacing w:after="0" w:line="240" w:lineRule="auto"/>
        <w:ind w:left="1843" w:right="26" w:hanging="1843"/>
        <w:rPr>
          <w:rFonts w:ascii="Cambria" w:eastAsia="Times New Roman" w:hAnsi="Cambria" w:cs="Times New Roman"/>
          <w:b/>
          <w:lang w:eastAsia="en-AU"/>
        </w:rPr>
      </w:pPr>
      <w:r w:rsidRPr="009A0DA6">
        <w:rPr>
          <w:rFonts w:ascii="Cambria" w:eastAsia="Times New Roman" w:hAnsi="Cambria" w:cs="Times New Roman"/>
          <w:b/>
          <w:lang w:eastAsia="en-AU"/>
        </w:rPr>
        <w:tab/>
        <w:t>10.3.1.1</w:t>
      </w:r>
      <w:r w:rsidRPr="009A0DA6">
        <w:rPr>
          <w:rFonts w:ascii="Cambria" w:eastAsia="Times New Roman" w:hAnsi="Cambria" w:cs="Times New Roman"/>
          <w:b/>
          <w:lang w:eastAsia="en-AU"/>
        </w:rPr>
        <w:tab/>
        <w:t>shall first, in personal admonition consistent with the Scriptures, endeavour to convince the pastor of such fault;  and</w:t>
      </w:r>
    </w:p>
    <w:p w14:paraId="1FA17D19" w14:textId="77777777" w:rsidR="00185BF6" w:rsidRPr="009A0DA6" w:rsidRDefault="00185BF6" w:rsidP="00185BF6">
      <w:pPr>
        <w:tabs>
          <w:tab w:val="left" w:pos="851"/>
          <w:tab w:val="left" w:pos="3119"/>
          <w:tab w:val="left" w:pos="4536"/>
          <w:tab w:val="left" w:pos="5670"/>
        </w:tabs>
        <w:spacing w:after="0" w:line="240" w:lineRule="auto"/>
        <w:ind w:left="1843" w:right="26" w:hanging="1843"/>
        <w:rPr>
          <w:rFonts w:ascii="Cambria" w:eastAsia="Times New Roman" w:hAnsi="Cambria" w:cs="Times New Roman"/>
          <w:b/>
          <w:lang w:eastAsia="en-AU"/>
        </w:rPr>
      </w:pPr>
      <w:r w:rsidRPr="009A0DA6">
        <w:rPr>
          <w:rFonts w:ascii="Cambria" w:eastAsia="Times New Roman" w:hAnsi="Cambria" w:cs="Times New Roman"/>
          <w:b/>
          <w:lang w:eastAsia="en-AU"/>
        </w:rPr>
        <w:tab/>
        <w:t>10.3.1.2</w:t>
      </w:r>
      <w:r w:rsidRPr="009A0DA6">
        <w:rPr>
          <w:rFonts w:ascii="Cambria" w:eastAsia="Times New Roman" w:hAnsi="Cambria" w:cs="Times New Roman"/>
          <w:b/>
          <w:lang w:eastAsia="en-AU"/>
        </w:rPr>
        <w:tab/>
        <w:t>shall, if unsuccessful, make the same endeavour in the presence of witnesses.</w:t>
      </w:r>
    </w:p>
    <w:p w14:paraId="1148D963" w14:textId="77777777" w:rsidR="00185BF6" w:rsidRPr="009A0DA6" w:rsidRDefault="00185BF6" w:rsidP="00185BF6">
      <w:pPr>
        <w:tabs>
          <w:tab w:val="left" w:pos="851"/>
          <w:tab w:val="left" w:pos="1985"/>
          <w:tab w:val="left" w:pos="3119"/>
          <w:tab w:val="left" w:pos="4536"/>
          <w:tab w:val="left" w:pos="5670"/>
        </w:tabs>
        <w:spacing w:after="0" w:line="240" w:lineRule="auto"/>
        <w:ind w:left="851" w:right="26" w:hanging="851"/>
        <w:rPr>
          <w:rFonts w:ascii="Cambria" w:eastAsia="Times New Roman" w:hAnsi="Cambria" w:cs="Times New Roman"/>
          <w:b/>
          <w:lang w:eastAsia="en-AU"/>
        </w:rPr>
      </w:pPr>
      <w:r w:rsidRPr="009A0DA6">
        <w:rPr>
          <w:rFonts w:ascii="Cambria" w:eastAsia="Times New Roman" w:hAnsi="Cambria" w:cs="Times New Roman"/>
          <w:b/>
          <w:lang w:eastAsia="en-AU"/>
        </w:rPr>
        <w:t>10.3.2</w:t>
      </w:r>
      <w:r w:rsidRPr="009A0DA6">
        <w:rPr>
          <w:rFonts w:ascii="Cambria" w:eastAsia="Times New Roman" w:hAnsi="Cambria" w:cs="Times New Roman"/>
          <w:b/>
          <w:lang w:eastAsia="en-AU"/>
        </w:rPr>
        <w:tab/>
        <w:t>A matter pursuant to Article 10.1.2 of the Constitution shall, subject to the provisions of the preceding Section 10.3.1, be dealt with as follows:</w:t>
      </w:r>
    </w:p>
    <w:p w14:paraId="32C8725F" w14:textId="77777777" w:rsidR="00185BF6" w:rsidRPr="009A0DA6" w:rsidRDefault="00185BF6" w:rsidP="00185BF6">
      <w:pPr>
        <w:tabs>
          <w:tab w:val="left" w:pos="851"/>
          <w:tab w:val="left" w:pos="1985"/>
          <w:tab w:val="left" w:pos="3119"/>
          <w:tab w:val="left" w:pos="4536"/>
          <w:tab w:val="left" w:pos="5670"/>
        </w:tabs>
        <w:spacing w:after="0" w:line="240" w:lineRule="auto"/>
        <w:ind w:left="1985" w:right="26" w:hanging="1985"/>
        <w:rPr>
          <w:rFonts w:ascii="Cambria" w:eastAsia="Times New Roman" w:hAnsi="Cambria" w:cs="Times New Roman"/>
          <w:b/>
          <w:lang w:eastAsia="en-AU"/>
        </w:rPr>
      </w:pPr>
      <w:r w:rsidRPr="009A0DA6">
        <w:rPr>
          <w:rFonts w:ascii="Cambria" w:eastAsia="Times New Roman" w:hAnsi="Cambria" w:cs="Times New Roman"/>
          <w:b/>
          <w:lang w:eastAsia="en-AU"/>
        </w:rPr>
        <w:tab/>
        <w:t>10.3.2.1</w:t>
      </w:r>
      <w:r w:rsidRPr="009A0DA6">
        <w:rPr>
          <w:rFonts w:ascii="Cambria" w:eastAsia="Times New Roman" w:hAnsi="Cambria" w:cs="Times New Roman"/>
          <w:b/>
          <w:lang w:eastAsia="en-AU"/>
        </w:rPr>
        <w:tab/>
        <w:t xml:space="preserve">A written allegation against the pastor, signed by not less than two [2] voting members of the Church, shall be lodged with the Bishop of the respective District and the College of Bishops. </w:t>
      </w:r>
    </w:p>
    <w:p w14:paraId="4ED88452" w14:textId="77777777" w:rsidR="00185BF6" w:rsidRPr="009A0DA6" w:rsidRDefault="00185BF6" w:rsidP="00185BF6">
      <w:pPr>
        <w:tabs>
          <w:tab w:val="left" w:pos="851"/>
          <w:tab w:val="left" w:pos="1985"/>
          <w:tab w:val="left" w:pos="3119"/>
          <w:tab w:val="left" w:pos="4536"/>
          <w:tab w:val="left" w:pos="5670"/>
        </w:tabs>
        <w:spacing w:after="0" w:line="240" w:lineRule="auto"/>
        <w:ind w:left="1985" w:right="26" w:hanging="1985"/>
        <w:rPr>
          <w:rFonts w:ascii="Cambria" w:eastAsia="Times New Roman" w:hAnsi="Cambria" w:cs="Times New Roman"/>
          <w:b/>
          <w:lang w:eastAsia="en-AU"/>
        </w:rPr>
      </w:pPr>
      <w:r w:rsidRPr="009A0DA6">
        <w:rPr>
          <w:rFonts w:ascii="Cambria" w:eastAsia="Times New Roman" w:hAnsi="Cambria" w:cs="Times New Roman"/>
          <w:b/>
          <w:lang w:eastAsia="en-AU"/>
        </w:rPr>
        <w:tab/>
        <w:t>10.3.2.2</w:t>
      </w:r>
      <w:r w:rsidRPr="009A0DA6">
        <w:rPr>
          <w:rFonts w:ascii="Cambria" w:eastAsia="Times New Roman" w:hAnsi="Cambria" w:cs="Times New Roman"/>
          <w:b/>
          <w:lang w:eastAsia="en-AU"/>
        </w:rPr>
        <w:tab/>
        <w:t xml:space="preserve">Notice of the allegation shall be given to the pastor, who shall be invited to attend a meeting with the Bishop of the respective District and respond to the allegation made. </w:t>
      </w:r>
    </w:p>
    <w:p w14:paraId="63592783" w14:textId="77777777" w:rsidR="00185BF6" w:rsidRPr="009A0DA6" w:rsidRDefault="00185BF6" w:rsidP="00185BF6">
      <w:pPr>
        <w:tabs>
          <w:tab w:val="left" w:pos="851"/>
          <w:tab w:val="left" w:pos="1985"/>
          <w:tab w:val="left" w:pos="3119"/>
          <w:tab w:val="left" w:pos="4536"/>
          <w:tab w:val="left" w:pos="5670"/>
        </w:tabs>
        <w:spacing w:after="0" w:line="240" w:lineRule="auto"/>
        <w:ind w:left="1985" w:right="26" w:hanging="1985"/>
        <w:rPr>
          <w:rFonts w:ascii="Cambria" w:eastAsia="Times New Roman" w:hAnsi="Cambria" w:cs="Times New Roman"/>
          <w:b/>
          <w:lang w:eastAsia="en-AU"/>
        </w:rPr>
      </w:pPr>
      <w:r w:rsidRPr="009A0DA6">
        <w:rPr>
          <w:rFonts w:ascii="Cambria" w:eastAsia="Times New Roman" w:hAnsi="Cambria" w:cs="Times New Roman"/>
          <w:b/>
          <w:lang w:eastAsia="en-AU"/>
        </w:rPr>
        <w:tab/>
        <w:t>10.3.2.3</w:t>
      </w:r>
      <w:r w:rsidRPr="009A0DA6">
        <w:rPr>
          <w:rFonts w:ascii="Cambria" w:eastAsia="Times New Roman" w:hAnsi="Cambria" w:cs="Times New Roman"/>
          <w:b/>
          <w:lang w:eastAsia="en-AU"/>
        </w:rPr>
        <w:tab/>
        <w:t>If the matter is not settled, the Bishop of the respective District and the College of Bishops</w:t>
      </w:r>
    </w:p>
    <w:p w14:paraId="6E4DB1BE" w14:textId="77777777" w:rsidR="00185BF6" w:rsidRPr="009A0DA6" w:rsidRDefault="00185BF6" w:rsidP="00185BF6">
      <w:pPr>
        <w:tabs>
          <w:tab w:val="left" w:pos="851"/>
          <w:tab w:val="left" w:pos="1985"/>
          <w:tab w:val="left" w:pos="3119"/>
          <w:tab w:val="left" w:pos="4536"/>
          <w:tab w:val="left" w:pos="5670"/>
        </w:tabs>
        <w:spacing w:after="0" w:line="240" w:lineRule="auto"/>
        <w:ind w:left="3119" w:right="26" w:hanging="3119"/>
        <w:rPr>
          <w:rFonts w:ascii="Cambria" w:eastAsia="Times New Roman" w:hAnsi="Cambria" w:cs="Times New Roman"/>
          <w:b/>
          <w:lang w:eastAsia="en-AU"/>
        </w:rPr>
      </w:pPr>
      <w:r w:rsidRPr="009A0DA6">
        <w:rPr>
          <w:rFonts w:ascii="Cambria" w:eastAsia="Times New Roman" w:hAnsi="Cambria" w:cs="Times New Roman"/>
          <w:b/>
          <w:lang w:eastAsia="en-AU"/>
        </w:rPr>
        <w:tab/>
      </w:r>
      <w:r w:rsidRPr="009A0DA6">
        <w:rPr>
          <w:rFonts w:ascii="Cambria" w:eastAsia="Times New Roman" w:hAnsi="Cambria" w:cs="Times New Roman"/>
          <w:b/>
          <w:lang w:eastAsia="en-AU"/>
        </w:rPr>
        <w:tab/>
        <w:t>10.3.2.3.1</w:t>
      </w:r>
      <w:r w:rsidRPr="009A0DA6">
        <w:rPr>
          <w:rFonts w:ascii="Cambria" w:eastAsia="Times New Roman" w:hAnsi="Cambria" w:cs="Times New Roman"/>
          <w:b/>
          <w:lang w:eastAsia="en-AU"/>
        </w:rPr>
        <w:tab/>
        <w:t>shall satisfy themselves that the intent of the procedure stated in the preceding Section 10.3.1 has been followed, where appropriate;  and</w:t>
      </w:r>
    </w:p>
    <w:p w14:paraId="35A8A81B" w14:textId="77777777" w:rsidR="00185BF6" w:rsidRPr="009A0DA6" w:rsidRDefault="00185BF6" w:rsidP="00185BF6">
      <w:pPr>
        <w:tabs>
          <w:tab w:val="left" w:pos="851"/>
          <w:tab w:val="left" w:pos="1985"/>
          <w:tab w:val="left" w:pos="3119"/>
          <w:tab w:val="left" w:pos="4536"/>
          <w:tab w:val="left" w:pos="5670"/>
        </w:tabs>
        <w:spacing w:after="0" w:line="240" w:lineRule="auto"/>
        <w:ind w:left="3119" w:right="26" w:hanging="3119"/>
        <w:rPr>
          <w:rFonts w:ascii="Cambria" w:eastAsia="Times New Roman" w:hAnsi="Cambria" w:cs="Times New Roman"/>
          <w:b/>
          <w:lang w:eastAsia="en-AU"/>
        </w:rPr>
      </w:pPr>
      <w:r w:rsidRPr="009A0DA6">
        <w:rPr>
          <w:rFonts w:ascii="Cambria" w:eastAsia="Times New Roman" w:hAnsi="Cambria" w:cs="Times New Roman"/>
          <w:b/>
          <w:lang w:eastAsia="en-AU"/>
        </w:rPr>
        <w:tab/>
      </w:r>
      <w:r w:rsidRPr="009A0DA6">
        <w:rPr>
          <w:rFonts w:ascii="Cambria" w:eastAsia="Times New Roman" w:hAnsi="Cambria" w:cs="Times New Roman"/>
          <w:b/>
          <w:lang w:eastAsia="en-AU"/>
        </w:rPr>
        <w:tab/>
        <w:t>10.3.2.3.2</w:t>
      </w:r>
      <w:r w:rsidRPr="009A0DA6">
        <w:rPr>
          <w:rFonts w:ascii="Cambria" w:eastAsia="Times New Roman" w:hAnsi="Cambria" w:cs="Times New Roman"/>
          <w:b/>
          <w:lang w:eastAsia="en-AU"/>
        </w:rPr>
        <w:tab/>
        <w:t>shall cause the allegation to be investigated, a report prepared and provided to all parties together with appropriate pastoral care;  and</w:t>
      </w:r>
    </w:p>
    <w:p w14:paraId="2245E4CF" w14:textId="77777777" w:rsidR="00185BF6" w:rsidRPr="009A0DA6" w:rsidRDefault="00185BF6" w:rsidP="00185BF6">
      <w:pPr>
        <w:tabs>
          <w:tab w:val="left" w:pos="851"/>
          <w:tab w:val="left" w:pos="1985"/>
          <w:tab w:val="left" w:pos="3119"/>
          <w:tab w:val="left" w:pos="4536"/>
          <w:tab w:val="left" w:pos="5670"/>
        </w:tabs>
        <w:spacing w:after="0" w:line="240" w:lineRule="auto"/>
        <w:ind w:left="3119" w:right="26" w:hanging="3119"/>
        <w:rPr>
          <w:rFonts w:ascii="Cambria" w:eastAsia="Times New Roman" w:hAnsi="Cambria" w:cs="Times New Roman"/>
          <w:b/>
          <w:lang w:eastAsia="en-AU"/>
        </w:rPr>
      </w:pPr>
      <w:r w:rsidRPr="009A0DA6">
        <w:rPr>
          <w:rFonts w:ascii="Cambria" w:eastAsia="Times New Roman" w:hAnsi="Cambria" w:cs="Times New Roman"/>
          <w:b/>
          <w:lang w:eastAsia="en-AU"/>
        </w:rPr>
        <w:tab/>
      </w:r>
      <w:r w:rsidRPr="009A0DA6">
        <w:rPr>
          <w:rFonts w:ascii="Cambria" w:eastAsia="Times New Roman" w:hAnsi="Cambria" w:cs="Times New Roman"/>
          <w:b/>
          <w:lang w:eastAsia="en-AU"/>
        </w:rPr>
        <w:tab/>
        <w:t>10.3.2.3.3</w:t>
      </w:r>
      <w:r w:rsidRPr="009A0DA6">
        <w:rPr>
          <w:rFonts w:ascii="Cambria" w:eastAsia="Times New Roman" w:hAnsi="Cambria" w:cs="Times New Roman"/>
          <w:b/>
          <w:lang w:eastAsia="en-AU"/>
        </w:rPr>
        <w:tab/>
        <w:t>if, after responses from the parties involved, the investigation determines the allegation be sustained, shall endeavour to convince the pastor of such fault and the necessary subsequent action that may follow;  or</w:t>
      </w:r>
    </w:p>
    <w:p w14:paraId="6E679A3C" w14:textId="77777777" w:rsidR="00185BF6" w:rsidRPr="009A0DA6" w:rsidRDefault="00185BF6" w:rsidP="00185BF6">
      <w:pPr>
        <w:tabs>
          <w:tab w:val="left" w:pos="851"/>
          <w:tab w:val="left" w:pos="1985"/>
          <w:tab w:val="left" w:pos="3119"/>
          <w:tab w:val="left" w:pos="4536"/>
          <w:tab w:val="left" w:pos="5670"/>
        </w:tabs>
        <w:spacing w:after="0" w:line="240" w:lineRule="auto"/>
        <w:ind w:left="3119" w:right="26" w:hanging="3119"/>
        <w:rPr>
          <w:rFonts w:ascii="Cambria" w:eastAsia="Times New Roman" w:hAnsi="Cambria" w:cs="Times New Roman"/>
          <w:b/>
          <w:lang w:eastAsia="en-AU"/>
        </w:rPr>
      </w:pPr>
      <w:r w:rsidRPr="009A0DA6">
        <w:rPr>
          <w:rFonts w:ascii="Cambria" w:eastAsia="Times New Roman" w:hAnsi="Cambria" w:cs="Times New Roman"/>
          <w:b/>
          <w:lang w:eastAsia="en-AU"/>
        </w:rPr>
        <w:tab/>
      </w:r>
      <w:r w:rsidRPr="009A0DA6">
        <w:rPr>
          <w:rFonts w:ascii="Cambria" w:eastAsia="Times New Roman" w:hAnsi="Cambria" w:cs="Times New Roman"/>
          <w:b/>
          <w:lang w:eastAsia="en-AU"/>
        </w:rPr>
        <w:tab/>
        <w:t>10.3.2.3.4</w:t>
      </w:r>
      <w:r w:rsidRPr="009A0DA6">
        <w:rPr>
          <w:rFonts w:ascii="Cambria" w:eastAsia="Times New Roman" w:hAnsi="Cambria" w:cs="Times New Roman"/>
          <w:b/>
          <w:lang w:eastAsia="en-AU"/>
        </w:rPr>
        <w:tab/>
        <w:t>if they are unsuccessful in this endeavour, shall submit the allegation to the Tribunal.</w:t>
      </w:r>
    </w:p>
    <w:p w14:paraId="1794E31D" w14:textId="5A1E050C" w:rsidR="00185BF6" w:rsidRPr="009A0DA6" w:rsidRDefault="00185BF6" w:rsidP="001A7664">
      <w:pPr>
        <w:tabs>
          <w:tab w:val="left" w:pos="1985"/>
          <w:tab w:val="left" w:pos="4536"/>
          <w:tab w:val="left" w:pos="5670"/>
        </w:tabs>
        <w:spacing w:after="0" w:line="240" w:lineRule="auto"/>
        <w:ind w:left="1985" w:right="26" w:hanging="1134"/>
        <w:rPr>
          <w:rFonts w:ascii="Cambria" w:eastAsia="Times New Roman" w:hAnsi="Cambria" w:cs="Times New Roman"/>
          <w:b/>
          <w:lang w:eastAsia="en-AU"/>
        </w:rPr>
      </w:pPr>
      <w:r w:rsidRPr="009A0DA6">
        <w:rPr>
          <w:rFonts w:ascii="Cambria" w:eastAsia="Times New Roman" w:hAnsi="Cambria" w:cs="Times New Roman"/>
          <w:b/>
          <w:lang w:eastAsia="en-AU"/>
        </w:rPr>
        <w:t>10.3.2.4</w:t>
      </w:r>
      <w:r w:rsidRPr="009A0DA6">
        <w:rPr>
          <w:rFonts w:ascii="Cambria" w:eastAsia="Times New Roman" w:hAnsi="Cambria" w:cs="Times New Roman"/>
          <w:b/>
          <w:lang w:eastAsia="en-AU"/>
        </w:rPr>
        <w:tab/>
        <w:t>If the preceding stages of Section 10.3 cannot be carried out because the erring pastor does not submit to the discipline of the Bishop of the respective District, the College of Bishops at a duly called meeting may declare such a person to no longer be on the Roll of Pastors.</w:t>
      </w:r>
    </w:p>
    <w:p w14:paraId="45D997FE" w14:textId="067E2375" w:rsidR="00185BF6" w:rsidRPr="009A0DA6" w:rsidRDefault="00185BF6" w:rsidP="00185BF6">
      <w:pPr>
        <w:tabs>
          <w:tab w:val="left" w:pos="851"/>
          <w:tab w:val="left" w:pos="1985"/>
          <w:tab w:val="left" w:pos="3119"/>
          <w:tab w:val="left" w:pos="4536"/>
          <w:tab w:val="left" w:pos="5670"/>
        </w:tabs>
        <w:spacing w:after="0" w:line="240" w:lineRule="auto"/>
        <w:ind w:left="851" w:right="26" w:hanging="851"/>
        <w:rPr>
          <w:rFonts w:ascii="Cambria" w:eastAsia="Times New Roman" w:hAnsi="Cambria" w:cs="Times New Roman"/>
          <w:b/>
          <w:lang w:eastAsia="en-AU"/>
        </w:rPr>
      </w:pPr>
      <w:r w:rsidRPr="009A0DA6">
        <w:rPr>
          <w:rFonts w:ascii="Cambria" w:eastAsia="Times New Roman" w:hAnsi="Cambria" w:cs="Times New Roman"/>
          <w:b/>
          <w:lang w:eastAsia="en-AU"/>
        </w:rPr>
        <w:t>10.3.3</w:t>
      </w:r>
      <w:r w:rsidRPr="009A0DA6">
        <w:rPr>
          <w:rFonts w:ascii="Cambria" w:eastAsia="Times New Roman" w:hAnsi="Cambria" w:cs="Times New Roman"/>
          <w:b/>
          <w:lang w:eastAsia="en-AU"/>
        </w:rPr>
        <w:tab/>
        <w:t>Any two of the voting members who made the written allegation or any pastor against whom it was made may within thirty [30] days lodge an Appeal in writing with the Bishop of the respective District against a decision relating to ecclesiastical discipline</w:t>
      </w:r>
      <w:r w:rsidR="0027799A" w:rsidRPr="009A0DA6">
        <w:rPr>
          <w:rFonts w:ascii="Cambria" w:eastAsia="Times New Roman" w:hAnsi="Cambria" w:cs="Times New Roman"/>
          <w:b/>
          <w:lang w:eastAsia="en-AU"/>
        </w:rPr>
        <w:t xml:space="preserve">. </w:t>
      </w:r>
      <w:r w:rsidRPr="009A0DA6">
        <w:rPr>
          <w:rFonts w:ascii="Cambria" w:eastAsia="Times New Roman" w:hAnsi="Cambria" w:cs="Times New Roman"/>
          <w:b/>
          <w:lang w:eastAsia="en-AU"/>
        </w:rPr>
        <w:t>Thereupon the Bishop shall act in the manner laid down in the following Section 10.3.5.</w:t>
      </w:r>
    </w:p>
    <w:p w14:paraId="47A8B78D" w14:textId="0DDEF210" w:rsidR="00185BF6" w:rsidRPr="009A0DA6" w:rsidRDefault="00185BF6" w:rsidP="00185BF6">
      <w:pPr>
        <w:tabs>
          <w:tab w:val="left" w:pos="851"/>
          <w:tab w:val="left" w:pos="1985"/>
          <w:tab w:val="left" w:pos="3119"/>
          <w:tab w:val="left" w:pos="4536"/>
          <w:tab w:val="left" w:pos="5670"/>
        </w:tabs>
        <w:spacing w:after="0" w:line="240" w:lineRule="auto"/>
        <w:ind w:left="851" w:right="26" w:hanging="851"/>
        <w:rPr>
          <w:rFonts w:ascii="Cambria" w:eastAsia="Times New Roman" w:hAnsi="Cambria" w:cs="Times New Roman"/>
          <w:b/>
          <w:lang w:eastAsia="en-AU"/>
        </w:rPr>
      </w:pPr>
      <w:r w:rsidRPr="009A0DA6">
        <w:rPr>
          <w:rFonts w:ascii="Cambria" w:eastAsia="Times New Roman" w:hAnsi="Cambria" w:cs="Times New Roman"/>
          <w:b/>
          <w:lang w:eastAsia="en-AU"/>
        </w:rPr>
        <w:t>10.3.4</w:t>
      </w:r>
      <w:r w:rsidRPr="009A0DA6">
        <w:rPr>
          <w:rFonts w:ascii="Cambria" w:eastAsia="Times New Roman" w:hAnsi="Cambria" w:cs="Times New Roman"/>
          <w:b/>
          <w:lang w:eastAsia="en-AU"/>
        </w:rPr>
        <w:tab/>
        <w:t>Upon the receipt of an appeal pursuant to the preceding Section 10.3.3, the Bishop of the respective District shall endeavour to meet the intent stated in the preceding Section 10.1</w:t>
      </w:r>
      <w:r w:rsidR="0027799A" w:rsidRPr="009A0DA6">
        <w:rPr>
          <w:rFonts w:ascii="Cambria" w:eastAsia="Times New Roman" w:hAnsi="Cambria" w:cs="Times New Roman"/>
          <w:b/>
          <w:lang w:eastAsia="en-AU"/>
        </w:rPr>
        <w:t xml:space="preserve">. </w:t>
      </w:r>
      <w:r w:rsidRPr="009A0DA6">
        <w:rPr>
          <w:rFonts w:ascii="Cambria" w:eastAsia="Times New Roman" w:hAnsi="Cambria" w:cs="Times New Roman"/>
          <w:b/>
          <w:lang w:eastAsia="en-AU"/>
        </w:rPr>
        <w:t>If successful, the Bishop of the respective District shall record that the case is closed</w:t>
      </w:r>
      <w:r w:rsidR="0027799A" w:rsidRPr="009A0DA6">
        <w:rPr>
          <w:rFonts w:ascii="Cambria" w:eastAsia="Times New Roman" w:hAnsi="Cambria" w:cs="Times New Roman"/>
          <w:b/>
          <w:lang w:eastAsia="en-AU"/>
        </w:rPr>
        <w:t xml:space="preserve">. </w:t>
      </w:r>
      <w:r w:rsidRPr="009A0DA6">
        <w:rPr>
          <w:rFonts w:ascii="Cambria" w:eastAsia="Times New Roman" w:hAnsi="Cambria" w:cs="Times New Roman"/>
          <w:b/>
          <w:lang w:eastAsia="en-AU"/>
        </w:rPr>
        <w:t>If unsuccessful, the Bishop of the respective District may, in his discretion</w:t>
      </w:r>
    </w:p>
    <w:p w14:paraId="2E96729E" w14:textId="77777777" w:rsidR="00185BF6" w:rsidRPr="009A0DA6" w:rsidRDefault="00185BF6" w:rsidP="00185BF6">
      <w:pPr>
        <w:tabs>
          <w:tab w:val="left" w:pos="851"/>
          <w:tab w:val="left" w:pos="1985"/>
          <w:tab w:val="left" w:pos="3119"/>
          <w:tab w:val="left" w:pos="4536"/>
          <w:tab w:val="left" w:pos="5670"/>
        </w:tabs>
        <w:spacing w:after="0" w:line="240" w:lineRule="auto"/>
        <w:ind w:left="1985" w:right="26" w:hanging="1985"/>
        <w:rPr>
          <w:rFonts w:ascii="Cambria" w:eastAsia="Times New Roman" w:hAnsi="Cambria" w:cs="Times New Roman"/>
          <w:b/>
          <w:lang w:eastAsia="en-AU"/>
        </w:rPr>
      </w:pPr>
      <w:r w:rsidRPr="009A0DA6">
        <w:rPr>
          <w:rFonts w:ascii="Cambria" w:eastAsia="Times New Roman" w:hAnsi="Cambria" w:cs="Times New Roman"/>
          <w:b/>
          <w:lang w:eastAsia="en-AU"/>
        </w:rPr>
        <w:lastRenderedPageBreak/>
        <w:tab/>
        <w:t>10.3.4.1</w:t>
      </w:r>
      <w:r w:rsidRPr="009A0DA6">
        <w:rPr>
          <w:rFonts w:ascii="Cambria" w:eastAsia="Times New Roman" w:hAnsi="Cambria" w:cs="Times New Roman"/>
          <w:b/>
          <w:lang w:eastAsia="en-AU"/>
        </w:rPr>
        <w:tab/>
        <w:t>submit the appeal to the Tribunal Administrator for referral to a Tribunal for determination; or</w:t>
      </w:r>
    </w:p>
    <w:p w14:paraId="5CB7DB6F" w14:textId="77777777" w:rsidR="00185BF6" w:rsidRPr="009A0DA6" w:rsidRDefault="00185BF6" w:rsidP="00185BF6">
      <w:pPr>
        <w:tabs>
          <w:tab w:val="left" w:pos="851"/>
          <w:tab w:val="left" w:pos="1985"/>
          <w:tab w:val="left" w:pos="3119"/>
          <w:tab w:val="left" w:pos="4536"/>
          <w:tab w:val="left" w:pos="5670"/>
        </w:tabs>
        <w:spacing w:after="0" w:line="240" w:lineRule="auto"/>
        <w:ind w:left="1985" w:right="26" w:hanging="1985"/>
        <w:rPr>
          <w:rFonts w:ascii="Cambria" w:eastAsia="Times New Roman" w:hAnsi="Cambria" w:cs="Times New Roman"/>
          <w:b/>
          <w:lang w:eastAsia="en-AU"/>
        </w:rPr>
      </w:pPr>
      <w:r w:rsidRPr="009A0DA6">
        <w:rPr>
          <w:rFonts w:ascii="Cambria" w:eastAsia="Times New Roman" w:hAnsi="Cambria" w:cs="Times New Roman"/>
          <w:b/>
          <w:lang w:eastAsia="en-AU"/>
        </w:rPr>
        <w:tab/>
        <w:t>10.3.4.2</w:t>
      </w:r>
      <w:r w:rsidRPr="009A0DA6">
        <w:rPr>
          <w:rFonts w:ascii="Cambria" w:eastAsia="Times New Roman" w:hAnsi="Cambria" w:cs="Times New Roman"/>
          <w:b/>
          <w:lang w:eastAsia="en-AU"/>
        </w:rPr>
        <w:tab/>
        <w:t>submit a complaint against the person or persons lodging the allegation pursuant to Article 10.1.3 of the Constitution; or</w:t>
      </w:r>
    </w:p>
    <w:p w14:paraId="146A0878" w14:textId="77777777" w:rsidR="00185BF6" w:rsidRPr="009A0DA6" w:rsidRDefault="00185BF6" w:rsidP="00185BF6">
      <w:pPr>
        <w:tabs>
          <w:tab w:val="left" w:pos="851"/>
          <w:tab w:val="left" w:pos="1985"/>
          <w:tab w:val="left" w:pos="3119"/>
          <w:tab w:val="left" w:pos="4536"/>
          <w:tab w:val="left" w:pos="5670"/>
        </w:tabs>
        <w:spacing w:after="0" w:line="240" w:lineRule="auto"/>
        <w:ind w:left="1985" w:right="26" w:hanging="1985"/>
        <w:rPr>
          <w:rFonts w:ascii="Cambria" w:eastAsia="Times New Roman" w:hAnsi="Cambria" w:cs="Times New Roman"/>
          <w:b/>
          <w:lang w:eastAsia="en-AU"/>
        </w:rPr>
      </w:pPr>
      <w:r w:rsidRPr="009A0DA6">
        <w:rPr>
          <w:rFonts w:ascii="Cambria" w:eastAsia="Times New Roman" w:hAnsi="Cambria" w:cs="Times New Roman"/>
          <w:b/>
          <w:lang w:eastAsia="en-AU"/>
        </w:rPr>
        <w:tab/>
        <w:t>10.3.4.3</w:t>
      </w:r>
      <w:r w:rsidRPr="009A0DA6">
        <w:rPr>
          <w:rFonts w:ascii="Cambria" w:eastAsia="Times New Roman" w:hAnsi="Cambria" w:cs="Times New Roman"/>
          <w:b/>
          <w:lang w:eastAsia="en-AU"/>
        </w:rPr>
        <w:tab/>
        <w:t>take no further action; or</w:t>
      </w:r>
    </w:p>
    <w:p w14:paraId="42D3A096" w14:textId="77777777" w:rsidR="00185BF6" w:rsidRPr="009A0DA6" w:rsidRDefault="00185BF6" w:rsidP="00185BF6">
      <w:pPr>
        <w:tabs>
          <w:tab w:val="left" w:pos="851"/>
          <w:tab w:val="left" w:pos="1985"/>
          <w:tab w:val="left" w:pos="3119"/>
          <w:tab w:val="left" w:pos="4536"/>
          <w:tab w:val="left" w:pos="5670"/>
        </w:tabs>
        <w:spacing w:after="0" w:line="240" w:lineRule="auto"/>
        <w:ind w:left="1985" w:right="26" w:hanging="1985"/>
        <w:rPr>
          <w:rFonts w:ascii="Cambria" w:eastAsia="Times New Roman" w:hAnsi="Cambria" w:cs="Times New Roman"/>
          <w:b/>
          <w:lang w:eastAsia="en-AU"/>
        </w:rPr>
      </w:pPr>
      <w:r w:rsidRPr="009A0DA6">
        <w:rPr>
          <w:rFonts w:ascii="Cambria" w:eastAsia="Times New Roman" w:hAnsi="Cambria" w:cs="Times New Roman"/>
          <w:b/>
          <w:lang w:eastAsia="en-AU"/>
        </w:rPr>
        <w:tab/>
        <w:t>10.3.4.4</w:t>
      </w:r>
      <w:r w:rsidRPr="009A0DA6">
        <w:rPr>
          <w:rFonts w:ascii="Cambria" w:eastAsia="Times New Roman" w:hAnsi="Cambria" w:cs="Times New Roman"/>
          <w:b/>
          <w:lang w:eastAsia="en-AU"/>
        </w:rPr>
        <w:tab/>
        <w:t>take such other steps as he considers pastorally appropriate.</w:t>
      </w:r>
    </w:p>
    <w:p w14:paraId="4BC46EC9" w14:textId="39D76A59" w:rsidR="00185BF6" w:rsidRPr="009A0DA6" w:rsidRDefault="00185BF6" w:rsidP="00185BF6">
      <w:pPr>
        <w:tabs>
          <w:tab w:val="left" w:pos="851"/>
          <w:tab w:val="left" w:pos="1985"/>
          <w:tab w:val="left" w:pos="3119"/>
          <w:tab w:val="left" w:pos="4536"/>
          <w:tab w:val="left" w:pos="5670"/>
        </w:tabs>
        <w:spacing w:after="0" w:line="240" w:lineRule="auto"/>
        <w:ind w:left="851" w:right="26" w:hanging="851"/>
        <w:rPr>
          <w:rFonts w:ascii="Cambria" w:eastAsia="Times New Roman" w:hAnsi="Cambria" w:cs="Times New Roman"/>
          <w:b/>
          <w:lang w:eastAsia="en-AU"/>
        </w:rPr>
      </w:pPr>
      <w:r w:rsidRPr="009A0DA6">
        <w:rPr>
          <w:rFonts w:ascii="Cambria" w:eastAsia="Times New Roman" w:hAnsi="Cambria" w:cs="Times New Roman"/>
          <w:b/>
          <w:lang w:eastAsia="en-AU"/>
        </w:rPr>
        <w:t>10.3.5</w:t>
      </w:r>
      <w:r w:rsidRPr="009A0DA6">
        <w:rPr>
          <w:rFonts w:ascii="Cambria" w:eastAsia="Times New Roman" w:hAnsi="Cambria" w:cs="Times New Roman"/>
          <w:b/>
          <w:lang w:eastAsia="en-AU"/>
        </w:rPr>
        <w:tab/>
        <w:t>The provisions of this Section 10.3 are in addition to any provision of the constitution and By-laws of the Church in relation to ecclesiastical discipline</w:t>
      </w:r>
      <w:r w:rsidR="0027799A" w:rsidRPr="009A0DA6">
        <w:rPr>
          <w:rFonts w:ascii="Cambria" w:eastAsia="Times New Roman" w:hAnsi="Cambria" w:cs="Times New Roman"/>
          <w:b/>
          <w:lang w:eastAsia="en-AU"/>
        </w:rPr>
        <w:t xml:space="preserve">. </w:t>
      </w:r>
      <w:r w:rsidRPr="009A0DA6">
        <w:rPr>
          <w:rFonts w:ascii="Cambria" w:eastAsia="Times New Roman" w:hAnsi="Cambria" w:cs="Times New Roman"/>
          <w:b/>
          <w:lang w:eastAsia="en-AU"/>
        </w:rPr>
        <w:t>If there is any inconsistency between the two which cannot be resolved by the application of the preceding sentence, the provisions of this Section 10.3 shall have precedence to the extent of the conflict.</w:t>
      </w:r>
    </w:p>
    <w:p w14:paraId="49DAFC1F" w14:textId="77777777" w:rsidR="00185BF6" w:rsidRPr="009A0DA6" w:rsidRDefault="00185BF6" w:rsidP="00185BF6">
      <w:pPr>
        <w:tabs>
          <w:tab w:val="left" w:pos="851"/>
          <w:tab w:val="left" w:pos="1985"/>
          <w:tab w:val="left" w:pos="3119"/>
          <w:tab w:val="left" w:pos="4536"/>
          <w:tab w:val="left" w:pos="5670"/>
        </w:tabs>
        <w:spacing w:after="0" w:line="240" w:lineRule="auto"/>
        <w:ind w:right="26"/>
        <w:rPr>
          <w:rFonts w:ascii="Cambria" w:eastAsia="Times New Roman" w:hAnsi="Cambria" w:cs="Times New Roman"/>
          <w:sz w:val="8"/>
          <w:lang w:eastAsia="en-AU"/>
        </w:rPr>
      </w:pPr>
    </w:p>
    <w:p w14:paraId="710708B3" w14:textId="77777777" w:rsidR="00185BF6" w:rsidRPr="009A0DA6" w:rsidRDefault="00185BF6" w:rsidP="00185BF6">
      <w:pPr>
        <w:tabs>
          <w:tab w:val="left" w:pos="851"/>
          <w:tab w:val="left" w:pos="1985"/>
          <w:tab w:val="left" w:pos="3119"/>
          <w:tab w:val="left" w:pos="4536"/>
          <w:tab w:val="left" w:pos="5670"/>
        </w:tabs>
        <w:spacing w:after="0" w:line="240" w:lineRule="auto"/>
        <w:ind w:right="26"/>
        <w:jc w:val="center"/>
        <w:rPr>
          <w:rFonts w:ascii="Cambria" w:eastAsia="Times New Roman" w:hAnsi="Cambria" w:cs="Times New Roman"/>
          <w:lang w:eastAsia="en-AU"/>
        </w:rPr>
      </w:pPr>
      <w:r w:rsidRPr="009A0DA6">
        <w:rPr>
          <w:rFonts w:ascii="Cambria" w:eastAsia="Times New Roman" w:hAnsi="Cambria" w:cs="Times New Roman"/>
          <w:b/>
          <w:lang w:eastAsia="en-AU"/>
        </w:rPr>
        <w:t>SECTION 10.</w:t>
      </w:r>
      <w:r w:rsidRPr="009A0DA6">
        <w:rPr>
          <w:rFonts w:ascii="Cambria" w:eastAsia="Times New Roman" w:hAnsi="Cambria" w:cs="Times New Roman"/>
          <w:b/>
          <w:strike/>
          <w:lang w:eastAsia="en-AU"/>
        </w:rPr>
        <w:t>3</w:t>
      </w:r>
      <w:r w:rsidRPr="009A0DA6">
        <w:rPr>
          <w:rFonts w:ascii="Cambria" w:eastAsia="Times New Roman" w:hAnsi="Cambria" w:cs="Times New Roman"/>
          <w:b/>
          <w:u w:val="single"/>
          <w:lang w:eastAsia="en-AU"/>
        </w:rPr>
        <w:t>4</w:t>
      </w:r>
      <w:r w:rsidRPr="009A0DA6">
        <w:rPr>
          <w:rFonts w:ascii="Cambria" w:eastAsia="Times New Roman" w:hAnsi="Cambria" w:cs="Times New Roman"/>
          <w:b/>
          <w:lang w:eastAsia="en-AU"/>
        </w:rPr>
        <w:t xml:space="preserve">   THE  JUDICIAL  SYSTEM  OF  THE  CHURCH</w:t>
      </w:r>
    </w:p>
    <w:p w14:paraId="35E5BA42" w14:textId="14A6DF4E" w:rsidR="00185BF6" w:rsidRDefault="00185BF6" w:rsidP="00185BF6">
      <w:pPr>
        <w:shd w:val="clear" w:color="auto" w:fill="FFFFFF"/>
        <w:spacing w:after="0" w:line="240" w:lineRule="auto"/>
        <w:rPr>
          <w:rFonts w:ascii="Cambria" w:eastAsia="Times New Roman" w:hAnsi="Cambria" w:cs="Times New Roman"/>
          <w:b/>
          <w:bCs/>
          <w:color w:val="222222"/>
          <w:sz w:val="10"/>
          <w:lang w:eastAsia="en-AU"/>
        </w:rPr>
      </w:pPr>
    </w:p>
    <w:p w14:paraId="60D17B31" w14:textId="77777777" w:rsidR="00786120" w:rsidRPr="00786120" w:rsidRDefault="00786120" w:rsidP="00185BF6">
      <w:pPr>
        <w:shd w:val="clear" w:color="auto" w:fill="FFFFFF"/>
        <w:spacing w:after="0" w:line="240" w:lineRule="auto"/>
        <w:rPr>
          <w:rFonts w:ascii="Cambria" w:eastAsia="Times New Roman" w:hAnsi="Cambria" w:cs="Times New Roman"/>
          <w:b/>
          <w:bCs/>
          <w:color w:val="222222"/>
          <w:sz w:val="6"/>
          <w:lang w:eastAsia="en-AU"/>
        </w:rPr>
      </w:pPr>
    </w:p>
    <w:p w14:paraId="492739F0" w14:textId="77777777" w:rsidR="00185BF6" w:rsidRPr="009A0DA6" w:rsidRDefault="00185BF6" w:rsidP="00786120">
      <w:pPr>
        <w:pStyle w:val="Heading3"/>
        <w:spacing w:after="0"/>
      </w:pPr>
      <w:r w:rsidRPr="009A0DA6">
        <w:t>REASONS FOR THE MOTION</w:t>
      </w:r>
    </w:p>
    <w:p w14:paraId="4C84977A" w14:textId="2952BD2B" w:rsidR="00185BF6" w:rsidRPr="009A0DA6" w:rsidRDefault="001A7664" w:rsidP="00786120">
      <w:pPr>
        <w:pStyle w:val="NoSpacing"/>
      </w:pPr>
      <w:r>
        <w:t>There is currently no provision in the By-laws for the manner in which any action again</w:t>
      </w:r>
      <w:r w:rsidR="00FF349B">
        <w:t xml:space="preserve">st a pastor can be carried out. </w:t>
      </w:r>
      <w:r>
        <w:t>The inclusion of the new Section 10.3 provides a set of procedures which reflects the same as the procedures in Section 10.2 in respect of action by a congregation.</w:t>
      </w:r>
    </w:p>
    <w:p w14:paraId="70176C58" w14:textId="047BC36F" w:rsidR="004C0EDE" w:rsidRDefault="004C0EDE" w:rsidP="001C7AAD">
      <w:pPr>
        <w:pStyle w:val="NoSpacing"/>
      </w:pPr>
    </w:p>
    <w:p w14:paraId="1B0527DB" w14:textId="2FD6CEAE" w:rsidR="00786120" w:rsidRDefault="00786120" w:rsidP="001C7AAD">
      <w:pPr>
        <w:pStyle w:val="NoSpacing"/>
      </w:pPr>
    </w:p>
    <w:p w14:paraId="5EC3C60C" w14:textId="77777777" w:rsidR="00786120" w:rsidRPr="00786120" w:rsidRDefault="00786120" w:rsidP="001C7AAD">
      <w:pPr>
        <w:pStyle w:val="NoSpacing"/>
        <w:rPr>
          <w:sz w:val="52"/>
        </w:rPr>
      </w:pPr>
    </w:p>
    <w:p w14:paraId="15B3F316" w14:textId="3FDFA307" w:rsidR="001C7AAD" w:rsidRPr="009A0DA6" w:rsidRDefault="001C7AAD" w:rsidP="00964A90">
      <w:pPr>
        <w:pStyle w:val="Heading3"/>
      </w:pPr>
      <w:r w:rsidRPr="009A0DA6">
        <w:t>agenda 2.4.1</w:t>
      </w:r>
      <w:r w:rsidR="000C3458" w:rsidRPr="009A0DA6">
        <w:t>2</w:t>
      </w:r>
    </w:p>
    <w:p w14:paraId="33814100" w14:textId="369B47F2" w:rsidR="001C7AAD" w:rsidRPr="009A0DA6" w:rsidRDefault="001C7AAD" w:rsidP="001C7AAD">
      <w:pPr>
        <w:pStyle w:val="Heading2"/>
      </w:pPr>
      <w:bookmarkStart w:id="462" w:name="_Toc521954714"/>
      <w:r w:rsidRPr="009A0DA6">
        <w:t xml:space="preserve">Constitutional </w:t>
      </w:r>
      <w:r w:rsidR="00075925" w:rsidRPr="009A0DA6">
        <w:t>c</w:t>
      </w:r>
      <w:r w:rsidRPr="009A0DA6">
        <w:t>hange</w:t>
      </w:r>
      <w:r w:rsidR="00075925" w:rsidRPr="009A0DA6">
        <w:t>s</w:t>
      </w:r>
      <w:r w:rsidRPr="009A0DA6">
        <w:t xml:space="preserve">: Lay </w:t>
      </w:r>
      <w:r w:rsidR="00BD228D" w:rsidRPr="009A0DA6">
        <w:t>w</w:t>
      </w:r>
      <w:r w:rsidRPr="009A0DA6">
        <w:t xml:space="preserve">orker </w:t>
      </w:r>
      <w:r w:rsidR="00185BF6" w:rsidRPr="009A0DA6">
        <w:t>s</w:t>
      </w:r>
      <w:r w:rsidRPr="009A0DA6">
        <w:t>ection</w:t>
      </w:r>
      <w:bookmarkEnd w:id="462"/>
    </w:p>
    <w:p w14:paraId="00A764B6" w14:textId="77777777" w:rsidR="001C7AAD" w:rsidRPr="00786120" w:rsidRDefault="001C7AAD" w:rsidP="001C7AAD">
      <w:pPr>
        <w:pStyle w:val="NoSpacing"/>
        <w:rPr>
          <w:sz w:val="10"/>
        </w:rPr>
      </w:pPr>
    </w:p>
    <w:p w14:paraId="30CF4713" w14:textId="77777777" w:rsidR="001C7AAD" w:rsidRPr="009A0DA6" w:rsidRDefault="001C7AAD" w:rsidP="00964A90">
      <w:pPr>
        <w:pStyle w:val="Heading3"/>
      </w:pPr>
      <w:r w:rsidRPr="009A0DA6">
        <w:t>propos</w:t>
      </w:r>
      <w:r w:rsidR="00185BF6" w:rsidRPr="009A0DA6">
        <w:t>ed motion</w:t>
      </w:r>
    </w:p>
    <w:p w14:paraId="175BC03C" w14:textId="77777777" w:rsidR="00185BF6" w:rsidRPr="009A0DA6" w:rsidRDefault="00185BF6" w:rsidP="00185BF6">
      <w:pPr>
        <w:shd w:val="clear" w:color="auto" w:fill="FFFFFF"/>
        <w:spacing w:after="0" w:line="240" w:lineRule="auto"/>
        <w:rPr>
          <w:rFonts w:ascii="Cambria" w:eastAsia="Times New Roman" w:hAnsi="Cambria" w:cs="Times New Roman"/>
          <w:bCs/>
          <w:color w:val="222222"/>
          <w:lang w:eastAsia="en-AU"/>
        </w:rPr>
      </w:pPr>
      <w:r w:rsidRPr="009A0DA6">
        <w:rPr>
          <w:rFonts w:ascii="Cambria" w:hAnsi="Cambria"/>
          <w:b/>
          <w:bCs/>
          <w:lang w:eastAsia="en-AU"/>
        </w:rPr>
        <w:t>BE IT RESOLVED</w:t>
      </w:r>
      <w:r w:rsidRPr="009A0DA6">
        <w:rPr>
          <w:rFonts w:ascii="Cambria" w:eastAsia="Times New Roman" w:hAnsi="Cambria" w:cs="Times New Roman"/>
          <w:bCs/>
          <w:color w:val="000000"/>
          <w:lang w:eastAsia="en-AU"/>
        </w:rPr>
        <w:t xml:space="preserve"> </w:t>
      </w:r>
      <w:r w:rsidRPr="009A0DA6">
        <w:rPr>
          <w:rFonts w:ascii="Cambria" w:eastAsia="Times New Roman" w:hAnsi="Cambria" w:cs="Times New Roman"/>
          <w:bCs/>
          <w:color w:val="222222"/>
          <w:lang w:eastAsia="en-AU"/>
        </w:rPr>
        <w:t xml:space="preserve">that the </w:t>
      </w:r>
      <w:r w:rsidRPr="009A0DA6">
        <w:rPr>
          <w:rFonts w:ascii="Cambria" w:eastAsia="Times New Roman" w:hAnsi="Cambria" w:cs="Times New Roman"/>
          <w:b/>
          <w:bCs/>
          <w:color w:val="222222"/>
          <w:lang w:eastAsia="en-AU"/>
        </w:rPr>
        <w:t xml:space="preserve">By-laws of the Church, Section 8.9 Lay Workers </w:t>
      </w:r>
      <w:r w:rsidRPr="009A0DA6">
        <w:rPr>
          <w:rFonts w:ascii="Cambria" w:eastAsia="Times New Roman" w:hAnsi="Cambria" w:cs="Times New Roman"/>
          <w:bCs/>
          <w:color w:val="222222"/>
          <w:lang w:eastAsia="en-AU"/>
        </w:rPr>
        <w:t xml:space="preserve">be amended as follows (words to be deleted – </w:t>
      </w:r>
      <w:r w:rsidRPr="009A0DA6">
        <w:rPr>
          <w:rFonts w:ascii="Cambria" w:eastAsia="Times New Roman" w:hAnsi="Cambria" w:cs="Times New Roman"/>
          <w:bCs/>
          <w:strike/>
          <w:color w:val="222222"/>
          <w:lang w:eastAsia="en-AU"/>
        </w:rPr>
        <w:t>strikethrough</w:t>
      </w:r>
      <w:r w:rsidRPr="009A0DA6">
        <w:rPr>
          <w:rFonts w:ascii="Cambria" w:eastAsia="Times New Roman" w:hAnsi="Cambria" w:cs="Times New Roman"/>
          <w:bCs/>
          <w:color w:val="222222"/>
          <w:lang w:eastAsia="en-AU"/>
        </w:rPr>
        <w:t xml:space="preserve">;  words to be added – </w:t>
      </w:r>
      <w:r w:rsidRPr="009A0DA6">
        <w:rPr>
          <w:rFonts w:ascii="Cambria" w:eastAsia="Times New Roman" w:hAnsi="Cambria" w:cs="Times New Roman"/>
          <w:b/>
          <w:bCs/>
          <w:color w:val="222222"/>
          <w:lang w:eastAsia="en-AU"/>
        </w:rPr>
        <w:t>bold</w:t>
      </w:r>
      <w:r w:rsidRPr="009A0DA6">
        <w:rPr>
          <w:rFonts w:ascii="Cambria" w:eastAsia="Times New Roman" w:hAnsi="Cambria" w:cs="Times New Roman"/>
          <w:bCs/>
          <w:color w:val="222222"/>
          <w:lang w:eastAsia="en-AU"/>
        </w:rPr>
        <w:t>):</w:t>
      </w:r>
    </w:p>
    <w:p w14:paraId="35EA7A14" w14:textId="77777777" w:rsidR="00185BF6" w:rsidRPr="009A0DA6" w:rsidRDefault="00185BF6" w:rsidP="00185BF6">
      <w:pPr>
        <w:shd w:val="clear" w:color="auto" w:fill="FFFFFF"/>
        <w:spacing w:after="0" w:line="240" w:lineRule="auto"/>
        <w:rPr>
          <w:rFonts w:ascii="Cambria" w:eastAsia="Times New Roman" w:hAnsi="Cambria" w:cs="Times New Roman"/>
          <w:b/>
          <w:bCs/>
          <w:color w:val="222222"/>
          <w:lang w:eastAsia="en-AU"/>
        </w:rPr>
      </w:pPr>
    </w:p>
    <w:p w14:paraId="7F5A1CE7" w14:textId="77777777" w:rsidR="00185BF6" w:rsidRPr="009A0DA6" w:rsidRDefault="00185BF6" w:rsidP="00185BF6">
      <w:pPr>
        <w:tabs>
          <w:tab w:val="left" w:pos="851"/>
          <w:tab w:val="left" w:pos="1985"/>
          <w:tab w:val="left" w:pos="3119"/>
          <w:tab w:val="left" w:pos="4536"/>
          <w:tab w:val="left" w:pos="5670"/>
        </w:tabs>
        <w:spacing w:after="0" w:line="240" w:lineRule="auto"/>
        <w:ind w:left="426" w:hanging="426"/>
        <w:jc w:val="center"/>
        <w:rPr>
          <w:rFonts w:ascii="Cambria" w:eastAsia="Times New Roman" w:hAnsi="Cambria" w:cs="Times New Roman"/>
          <w:b/>
          <w:lang w:eastAsia="en-AU"/>
        </w:rPr>
      </w:pPr>
      <w:r w:rsidRPr="009A0DA6">
        <w:rPr>
          <w:rFonts w:ascii="Cambria" w:eastAsia="Times New Roman" w:hAnsi="Cambria" w:cs="Times New Roman"/>
          <w:b/>
          <w:lang w:eastAsia="en-AU"/>
        </w:rPr>
        <w:t>SECTION  8.9   LAY  WORKERS</w:t>
      </w:r>
    </w:p>
    <w:p w14:paraId="74778201" w14:textId="5C7D7D4C" w:rsidR="00185BF6" w:rsidRPr="009A0DA6" w:rsidRDefault="00185BF6" w:rsidP="00185BF6">
      <w:pPr>
        <w:tabs>
          <w:tab w:val="left" w:pos="1985"/>
          <w:tab w:val="left" w:pos="3119"/>
          <w:tab w:val="left" w:pos="4536"/>
          <w:tab w:val="left" w:pos="5670"/>
        </w:tabs>
        <w:spacing w:after="0" w:line="240" w:lineRule="auto"/>
        <w:ind w:left="567" w:hanging="567"/>
        <w:rPr>
          <w:rFonts w:ascii="Cambria" w:eastAsia="Times New Roman" w:hAnsi="Cambria" w:cs="Times New Roman"/>
          <w:lang w:eastAsia="en-AU"/>
        </w:rPr>
      </w:pPr>
      <w:r w:rsidRPr="009A0DA6">
        <w:rPr>
          <w:rFonts w:ascii="Cambria" w:eastAsia="Times New Roman" w:hAnsi="Cambria" w:cs="Times New Roman"/>
          <w:lang w:eastAsia="en-AU"/>
        </w:rPr>
        <w:t>8.9.1</w:t>
      </w:r>
      <w:r w:rsidRPr="009A0DA6">
        <w:rPr>
          <w:rFonts w:ascii="Cambria" w:eastAsia="Times New Roman" w:hAnsi="Cambria" w:cs="Times New Roman"/>
          <w:lang w:eastAsia="en-AU"/>
        </w:rPr>
        <w:tab/>
        <w:t xml:space="preserve">There shall be a Roll of Lay Workers kept by the </w:t>
      </w:r>
      <w:r w:rsidRPr="009A0DA6">
        <w:rPr>
          <w:rFonts w:ascii="Cambria" w:eastAsia="Times New Roman" w:hAnsi="Cambria" w:cs="Times New Roman"/>
          <w:strike/>
          <w:lang w:eastAsia="en-AU"/>
        </w:rPr>
        <w:t>Board for Lay Ministry</w:t>
      </w:r>
      <w:r w:rsidRPr="009A0DA6">
        <w:rPr>
          <w:rFonts w:ascii="Cambria" w:eastAsia="Times New Roman" w:hAnsi="Cambria" w:cs="Times New Roman"/>
          <w:b/>
          <w:lang w:eastAsia="en-AU"/>
        </w:rPr>
        <w:t>Church Worker Support Department</w:t>
      </w:r>
      <w:r w:rsidR="0027799A" w:rsidRPr="009A0DA6">
        <w:rPr>
          <w:rFonts w:ascii="Cambria" w:eastAsia="Times New Roman" w:hAnsi="Cambria" w:cs="Times New Roman"/>
          <w:lang w:eastAsia="en-AU"/>
        </w:rPr>
        <w:t xml:space="preserve">. </w:t>
      </w:r>
      <w:r w:rsidRPr="009A0DA6">
        <w:rPr>
          <w:rFonts w:ascii="Cambria" w:eastAsia="Times New Roman" w:hAnsi="Cambria" w:cs="Times New Roman"/>
          <w:lang w:eastAsia="en-AU"/>
        </w:rPr>
        <w:t>The Roll shall list the qualifications of Lay Workers.</w:t>
      </w:r>
    </w:p>
    <w:p w14:paraId="27C35780" w14:textId="77777777" w:rsidR="00185BF6" w:rsidRPr="009A0DA6" w:rsidRDefault="00185BF6" w:rsidP="00185BF6">
      <w:pPr>
        <w:tabs>
          <w:tab w:val="left" w:pos="1985"/>
          <w:tab w:val="left" w:pos="3119"/>
          <w:tab w:val="left" w:pos="4536"/>
          <w:tab w:val="left" w:pos="5670"/>
        </w:tabs>
        <w:spacing w:after="0" w:line="240" w:lineRule="auto"/>
        <w:ind w:left="567" w:hanging="567"/>
        <w:rPr>
          <w:rFonts w:ascii="Cambria" w:eastAsia="Times New Roman" w:hAnsi="Cambria" w:cs="Times New Roman"/>
          <w:lang w:eastAsia="en-AU"/>
        </w:rPr>
      </w:pPr>
      <w:r w:rsidRPr="009A0DA6">
        <w:rPr>
          <w:rFonts w:ascii="Cambria" w:eastAsia="Times New Roman" w:hAnsi="Cambria" w:cs="Times New Roman"/>
          <w:lang w:eastAsia="en-AU"/>
        </w:rPr>
        <w:t>8.9.2</w:t>
      </w:r>
      <w:r w:rsidRPr="009A0DA6">
        <w:rPr>
          <w:rFonts w:ascii="Cambria" w:eastAsia="Times New Roman" w:hAnsi="Cambria" w:cs="Times New Roman"/>
          <w:lang w:eastAsia="en-AU"/>
        </w:rPr>
        <w:tab/>
        <w:t>The prerequisites for listing on the Roll of Lay Workers are:</w:t>
      </w:r>
    </w:p>
    <w:p w14:paraId="0C009C26" w14:textId="77777777" w:rsidR="00185BF6" w:rsidRPr="009A0DA6" w:rsidRDefault="00185BF6" w:rsidP="00185BF6">
      <w:pPr>
        <w:tabs>
          <w:tab w:val="left" w:pos="567"/>
          <w:tab w:val="left" w:pos="1418"/>
          <w:tab w:val="left" w:pos="1985"/>
          <w:tab w:val="left" w:pos="3119"/>
          <w:tab w:val="left" w:pos="4536"/>
          <w:tab w:val="left" w:pos="5670"/>
        </w:tabs>
        <w:spacing w:after="0" w:line="240" w:lineRule="auto"/>
        <w:ind w:left="1418" w:hanging="1418"/>
        <w:rPr>
          <w:rFonts w:ascii="Cambria" w:eastAsia="Times New Roman" w:hAnsi="Cambria" w:cs="Times New Roman"/>
          <w:lang w:eastAsia="en-AU"/>
        </w:rPr>
      </w:pPr>
      <w:r w:rsidRPr="009A0DA6">
        <w:rPr>
          <w:rFonts w:ascii="Cambria" w:eastAsia="Times New Roman" w:hAnsi="Cambria" w:cs="Times New Roman"/>
          <w:lang w:eastAsia="en-AU"/>
        </w:rPr>
        <w:tab/>
        <w:t>8.9.2.1</w:t>
      </w:r>
      <w:r w:rsidRPr="009A0DA6">
        <w:rPr>
          <w:rFonts w:ascii="Cambria" w:eastAsia="Times New Roman" w:hAnsi="Cambria" w:cs="Times New Roman"/>
          <w:lang w:eastAsia="en-AU"/>
        </w:rPr>
        <w:tab/>
        <w:t>The Lay Worker shall</w:t>
      </w:r>
    </w:p>
    <w:p w14:paraId="0E731EB2" w14:textId="77777777" w:rsidR="00185BF6" w:rsidRPr="009A0DA6" w:rsidRDefault="00185BF6" w:rsidP="00185BF6">
      <w:pPr>
        <w:tabs>
          <w:tab w:val="left" w:pos="851"/>
          <w:tab w:val="left" w:pos="1418"/>
          <w:tab w:val="left" w:pos="2268"/>
          <w:tab w:val="left" w:pos="4536"/>
          <w:tab w:val="left" w:pos="5670"/>
        </w:tabs>
        <w:spacing w:after="0" w:line="240" w:lineRule="auto"/>
        <w:ind w:left="2268" w:hanging="2268"/>
        <w:rPr>
          <w:rFonts w:ascii="Cambria" w:eastAsia="Times New Roman" w:hAnsi="Cambria" w:cs="Times New Roman"/>
          <w:lang w:eastAsia="en-AU"/>
        </w:rPr>
      </w:pPr>
      <w:r w:rsidRPr="009A0DA6">
        <w:rPr>
          <w:rFonts w:ascii="Cambria" w:eastAsia="Times New Roman" w:hAnsi="Cambria" w:cs="Times New Roman"/>
          <w:lang w:eastAsia="en-AU"/>
        </w:rPr>
        <w:tab/>
      </w:r>
      <w:r w:rsidRPr="009A0DA6">
        <w:rPr>
          <w:rFonts w:ascii="Cambria" w:eastAsia="Times New Roman" w:hAnsi="Cambria" w:cs="Times New Roman"/>
          <w:lang w:eastAsia="en-AU"/>
        </w:rPr>
        <w:tab/>
        <w:t>8.9.2.1.1</w:t>
      </w:r>
      <w:r w:rsidRPr="009A0DA6">
        <w:rPr>
          <w:rFonts w:ascii="Cambria" w:eastAsia="Times New Roman" w:hAnsi="Cambria" w:cs="Times New Roman"/>
          <w:lang w:eastAsia="en-AU"/>
        </w:rPr>
        <w:tab/>
        <w:t>be a practising member of the Church;</w:t>
      </w:r>
    </w:p>
    <w:p w14:paraId="716D51AD" w14:textId="77777777" w:rsidR="00185BF6" w:rsidRPr="009A0DA6" w:rsidRDefault="00185BF6" w:rsidP="00185BF6">
      <w:pPr>
        <w:tabs>
          <w:tab w:val="left" w:pos="851"/>
          <w:tab w:val="left" w:pos="1418"/>
          <w:tab w:val="left" w:pos="2268"/>
          <w:tab w:val="left" w:pos="4536"/>
          <w:tab w:val="left" w:pos="5670"/>
        </w:tabs>
        <w:spacing w:after="0" w:line="240" w:lineRule="auto"/>
        <w:ind w:left="2268" w:hanging="2268"/>
        <w:rPr>
          <w:rFonts w:ascii="Cambria" w:eastAsia="Times New Roman" w:hAnsi="Cambria" w:cs="Times New Roman"/>
          <w:lang w:eastAsia="en-AU"/>
        </w:rPr>
      </w:pPr>
      <w:r w:rsidRPr="009A0DA6">
        <w:rPr>
          <w:rFonts w:ascii="Cambria" w:eastAsia="Times New Roman" w:hAnsi="Cambria" w:cs="Times New Roman"/>
          <w:lang w:eastAsia="en-AU"/>
        </w:rPr>
        <w:tab/>
      </w:r>
      <w:r w:rsidRPr="009A0DA6">
        <w:rPr>
          <w:rFonts w:ascii="Cambria" w:eastAsia="Times New Roman" w:hAnsi="Cambria" w:cs="Times New Roman"/>
          <w:lang w:eastAsia="en-AU"/>
        </w:rPr>
        <w:tab/>
        <w:t>8.9.2.1.2</w:t>
      </w:r>
      <w:r w:rsidRPr="009A0DA6">
        <w:rPr>
          <w:rFonts w:ascii="Cambria" w:eastAsia="Times New Roman" w:hAnsi="Cambria" w:cs="Times New Roman"/>
          <w:lang w:eastAsia="en-AU"/>
        </w:rPr>
        <w:tab/>
        <w:t xml:space="preserve">have met the minimum requirements as determined by the </w:t>
      </w:r>
      <w:r w:rsidRPr="009A0DA6">
        <w:rPr>
          <w:rFonts w:ascii="Cambria" w:eastAsia="Times New Roman" w:hAnsi="Cambria" w:cs="Times New Roman"/>
          <w:strike/>
          <w:lang w:eastAsia="en-AU"/>
        </w:rPr>
        <w:t>Board for Lay Ministry</w:t>
      </w:r>
      <w:r w:rsidRPr="009A0DA6">
        <w:rPr>
          <w:rFonts w:ascii="Cambria" w:eastAsia="Times New Roman" w:hAnsi="Cambria" w:cs="Times New Roman"/>
          <w:b/>
          <w:lang w:eastAsia="en-AU"/>
        </w:rPr>
        <w:t>Church Worker Support Department</w:t>
      </w:r>
      <w:r w:rsidRPr="009A0DA6">
        <w:rPr>
          <w:rFonts w:ascii="Cambria" w:eastAsia="Times New Roman" w:hAnsi="Cambria" w:cs="Times New Roman"/>
          <w:lang w:eastAsia="en-AU"/>
        </w:rPr>
        <w:t xml:space="preserve"> and approved by the Church;  and</w:t>
      </w:r>
    </w:p>
    <w:p w14:paraId="09E350D6" w14:textId="77777777" w:rsidR="00185BF6" w:rsidRPr="009A0DA6" w:rsidRDefault="00185BF6" w:rsidP="00185BF6">
      <w:pPr>
        <w:tabs>
          <w:tab w:val="left" w:pos="851"/>
          <w:tab w:val="left" w:pos="1418"/>
          <w:tab w:val="left" w:pos="2268"/>
          <w:tab w:val="left" w:pos="4536"/>
          <w:tab w:val="left" w:pos="5670"/>
        </w:tabs>
        <w:spacing w:after="0" w:line="240" w:lineRule="auto"/>
        <w:ind w:left="2268" w:hanging="2268"/>
        <w:rPr>
          <w:rFonts w:ascii="Cambria" w:eastAsia="Times New Roman" w:hAnsi="Cambria" w:cs="Times New Roman"/>
          <w:lang w:eastAsia="en-AU"/>
        </w:rPr>
      </w:pPr>
      <w:r w:rsidRPr="009A0DA6">
        <w:rPr>
          <w:rFonts w:ascii="Cambria" w:eastAsia="Times New Roman" w:hAnsi="Cambria" w:cs="Times New Roman"/>
          <w:lang w:eastAsia="en-AU"/>
        </w:rPr>
        <w:tab/>
      </w:r>
      <w:r w:rsidRPr="009A0DA6">
        <w:rPr>
          <w:rFonts w:ascii="Cambria" w:eastAsia="Times New Roman" w:hAnsi="Cambria" w:cs="Times New Roman"/>
          <w:lang w:eastAsia="en-AU"/>
        </w:rPr>
        <w:tab/>
        <w:t>8.9.2.1.3</w:t>
      </w:r>
      <w:r w:rsidRPr="009A0DA6">
        <w:rPr>
          <w:rFonts w:ascii="Cambria" w:eastAsia="Times New Roman" w:hAnsi="Cambria" w:cs="Times New Roman"/>
          <w:lang w:eastAsia="en-AU"/>
        </w:rPr>
        <w:tab/>
        <w:t>have been accepted for intended full-time or part-time service in the Church.</w:t>
      </w:r>
    </w:p>
    <w:p w14:paraId="70A0E64D" w14:textId="77777777" w:rsidR="00185BF6" w:rsidRPr="009A0DA6" w:rsidRDefault="00185BF6" w:rsidP="00185BF6">
      <w:pPr>
        <w:tabs>
          <w:tab w:val="left" w:pos="567"/>
          <w:tab w:val="left" w:pos="1418"/>
          <w:tab w:val="left" w:pos="3119"/>
          <w:tab w:val="left" w:pos="4536"/>
          <w:tab w:val="left" w:pos="5670"/>
        </w:tabs>
        <w:spacing w:after="0" w:line="240" w:lineRule="auto"/>
        <w:ind w:left="1418" w:hanging="1418"/>
        <w:rPr>
          <w:rFonts w:ascii="Cambria" w:eastAsia="Times New Roman" w:hAnsi="Cambria" w:cs="Times New Roman"/>
          <w:lang w:eastAsia="en-AU"/>
        </w:rPr>
      </w:pPr>
      <w:r w:rsidRPr="009A0DA6">
        <w:rPr>
          <w:rFonts w:ascii="Cambria" w:eastAsia="Times New Roman" w:hAnsi="Cambria" w:cs="Times New Roman"/>
          <w:lang w:eastAsia="en-AU"/>
        </w:rPr>
        <w:tab/>
        <w:t>8.9.2.2</w:t>
      </w:r>
      <w:r w:rsidRPr="009A0DA6">
        <w:rPr>
          <w:rFonts w:ascii="Cambria" w:eastAsia="Times New Roman" w:hAnsi="Cambria" w:cs="Times New Roman"/>
          <w:lang w:eastAsia="en-AU"/>
        </w:rPr>
        <w:tab/>
        <w:t>The position of a Lay Worker shall be</w:t>
      </w:r>
    </w:p>
    <w:p w14:paraId="67AFF987" w14:textId="77777777" w:rsidR="00185BF6" w:rsidRPr="009A0DA6" w:rsidRDefault="00185BF6" w:rsidP="00185BF6">
      <w:pPr>
        <w:tabs>
          <w:tab w:val="left" w:pos="851"/>
          <w:tab w:val="left" w:pos="1418"/>
          <w:tab w:val="left" w:pos="3119"/>
          <w:tab w:val="left" w:pos="4536"/>
          <w:tab w:val="left" w:pos="5670"/>
        </w:tabs>
        <w:spacing w:after="0" w:line="240" w:lineRule="auto"/>
        <w:ind w:left="2268" w:hanging="2268"/>
        <w:rPr>
          <w:rFonts w:ascii="Cambria" w:eastAsia="Times New Roman" w:hAnsi="Cambria" w:cs="Times New Roman"/>
          <w:lang w:eastAsia="en-AU"/>
        </w:rPr>
      </w:pPr>
      <w:r w:rsidRPr="009A0DA6">
        <w:rPr>
          <w:rFonts w:ascii="Cambria" w:eastAsia="Times New Roman" w:hAnsi="Cambria" w:cs="Times New Roman"/>
          <w:lang w:eastAsia="en-AU"/>
        </w:rPr>
        <w:tab/>
      </w:r>
      <w:r w:rsidRPr="009A0DA6">
        <w:rPr>
          <w:rFonts w:ascii="Cambria" w:eastAsia="Times New Roman" w:hAnsi="Cambria" w:cs="Times New Roman"/>
          <w:lang w:eastAsia="en-AU"/>
        </w:rPr>
        <w:tab/>
        <w:t>8.9.2.2.1</w:t>
      </w:r>
      <w:r w:rsidRPr="009A0DA6">
        <w:rPr>
          <w:rFonts w:ascii="Cambria" w:eastAsia="Times New Roman" w:hAnsi="Cambria" w:cs="Times New Roman"/>
          <w:lang w:eastAsia="en-AU"/>
        </w:rPr>
        <w:tab/>
        <w:t>one involving a level of responsibility determined by the Church;</w:t>
      </w:r>
    </w:p>
    <w:p w14:paraId="65049D10" w14:textId="77777777" w:rsidR="00185BF6" w:rsidRPr="009A0DA6" w:rsidRDefault="00185BF6" w:rsidP="00185BF6">
      <w:pPr>
        <w:tabs>
          <w:tab w:val="left" w:pos="851"/>
          <w:tab w:val="left" w:pos="1418"/>
          <w:tab w:val="left" w:pos="3119"/>
          <w:tab w:val="left" w:pos="4536"/>
          <w:tab w:val="left" w:pos="5670"/>
        </w:tabs>
        <w:spacing w:after="0" w:line="240" w:lineRule="auto"/>
        <w:ind w:left="2268" w:hanging="2268"/>
        <w:rPr>
          <w:rFonts w:ascii="Cambria" w:eastAsia="Times New Roman" w:hAnsi="Cambria" w:cs="Times New Roman"/>
          <w:lang w:eastAsia="en-AU"/>
        </w:rPr>
      </w:pPr>
      <w:r w:rsidRPr="009A0DA6">
        <w:rPr>
          <w:rFonts w:ascii="Cambria" w:eastAsia="Times New Roman" w:hAnsi="Cambria" w:cs="Times New Roman"/>
          <w:lang w:eastAsia="en-AU"/>
        </w:rPr>
        <w:tab/>
      </w:r>
      <w:r w:rsidRPr="009A0DA6">
        <w:rPr>
          <w:rFonts w:ascii="Cambria" w:eastAsia="Times New Roman" w:hAnsi="Cambria" w:cs="Times New Roman"/>
          <w:lang w:eastAsia="en-AU"/>
        </w:rPr>
        <w:tab/>
        <w:t>8.9.2.2.2</w:t>
      </w:r>
      <w:r w:rsidRPr="009A0DA6">
        <w:rPr>
          <w:rFonts w:ascii="Cambria" w:eastAsia="Times New Roman" w:hAnsi="Cambria" w:cs="Times New Roman"/>
          <w:lang w:eastAsia="en-AU"/>
        </w:rPr>
        <w:tab/>
        <w:t>established by the Church, a department or board of the Church, by a District of the Church or a committee of a District, by an Auxiliary of the Church, or by a congregation of the Church;  and</w:t>
      </w:r>
    </w:p>
    <w:p w14:paraId="7D0A53AA" w14:textId="77777777" w:rsidR="00185BF6" w:rsidRPr="009A0DA6" w:rsidRDefault="00185BF6" w:rsidP="00185BF6">
      <w:pPr>
        <w:tabs>
          <w:tab w:val="left" w:pos="851"/>
          <w:tab w:val="left" w:pos="1418"/>
          <w:tab w:val="left" w:pos="3119"/>
          <w:tab w:val="left" w:pos="4536"/>
          <w:tab w:val="left" w:pos="5670"/>
        </w:tabs>
        <w:spacing w:after="0" w:line="240" w:lineRule="auto"/>
        <w:ind w:left="2268" w:hanging="2268"/>
        <w:rPr>
          <w:rFonts w:ascii="Cambria" w:eastAsia="Times New Roman" w:hAnsi="Cambria" w:cs="Times New Roman"/>
          <w:lang w:eastAsia="en-AU"/>
        </w:rPr>
      </w:pPr>
      <w:r w:rsidRPr="009A0DA6">
        <w:rPr>
          <w:rFonts w:ascii="Cambria" w:eastAsia="Times New Roman" w:hAnsi="Cambria" w:cs="Times New Roman"/>
          <w:lang w:eastAsia="en-AU"/>
        </w:rPr>
        <w:tab/>
      </w:r>
      <w:r w:rsidRPr="009A0DA6">
        <w:rPr>
          <w:rFonts w:ascii="Cambria" w:eastAsia="Times New Roman" w:hAnsi="Cambria" w:cs="Times New Roman"/>
          <w:lang w:eastAsia="en-AU"/>
        </w:rPr>
        <w:tab/>
        <w:t>8.9.2.2.3</w:t>
      </w:r>
      <w:r w:rsidRPr="009A0DA6">
        <w:rPr>
          <w:rFonts w:ascii="Cambria" w:eastAsia="Times New Roman" w:hAnsi="Cambria" w:cs="Times New Roman"/>
          <w:lang w:eastAsia="en-AU"/>
        </w:rPr>
        <w:tab/>
        <w:t>one to which no industrial award applies.</w:t>
      </w:r>
    </w:p>
    <w:p w14:paraId="10388D55" w14:textId="77777777" w:rsidR="00185BF6" w:rsidRPr="009A0DA6" w:rsidRDefault="00185BF6" w:rsidP="00185BF6">
      <w:pPr>
        <w:tabs>
          <w:tab w:val="left" w:pos="567"/>
          <w:tab w:val="left" w:pos="1985"/>
          <w:tab w:val="left" w:pos="3119"/>
          <w:tab w:val="left" w:pos="4536"/>
          <w:tab w:val="left" w:pos="5670"/>
        </w:tabs>
        <w:spacing w:after="0" w:line="240" w:lineRule="auto"/>
        <w:ind w:left="567" w:hanging="567"/>
        <w:rPr>
          <w:rFonts w:ascii="Cambria" w:eastAsia="Times New Roman" w:hAnsi="Cambria" w:cs="Times New Roman"/>
          <w:lang w:eastAsia="en-AU"/>
        </w:rPr>
      </w:pPr>
      <w:r w:rsidRPr="009A0DA6">
        <w:rPr>
          <w:rFonts w:ascii="Cambria" w:eastAsia="Times New Roman" w:hAnsi="Cambria" w:cs="Times New Roman"/>
          <w:lang w:eastAsia="en-AU"/>
        </w:rPr>
        <w:t>8.9.3</w:t>
      </w:r>
      <w:r w:rsidRPr="009A0DA6">
        <w:rPr>
          <w:rFonts w:ascii="Cambria" w:eastAsia="Times New Roman" w:hAnsi="Cambria" w:cs="Times New Roman"/>
          <w:lang w:eastAsia="en-AU"/>
        </w:rPr>
        <w:tab/>
        <w:t xml:space="preserve">The </w:t>
      </w:r>
      <w:r w:rsidRPr="009A0DA6">
        <w:rPr>
          <w:rFonts w:ascii="Cambria" w:eastAsia="Times New Roman" w:hAnsi="Cambria" w:cs="Times New Roman"/>
          <w:strike/>
          <w:lang w:eastAsia="en-AU"/>
        </w:rPr>
        <w:t>Executive of the General Church Council shall, in consultation with the Board for Lay Ministry,</w:t>
      </w:r>
      <w:r w:rsidRPr="009A0DA6">
        <w:rPr>
          <w:rFonts w:ascii="Cambria" w:eastAsia="Times New Roman" w:hAnsi="Cambria" w:cs="Times New Roman"/>
          <w:b/>
          <w:lang w:eastAsia="en-AU"/>
        </w:rPr>
        <w:t xml:space="preserve"> Church Worker Support Department shall</w:t>
      </w:r>
      <w:r w:rsidRPr="009A0DA6">
        <w:rPr>
          <w:rFonts w:ascii="Cambria" w:eastAsia="Times New Roman" w:hAnsi="Cambria" w:cs="Times New Roman"/>
          <w:lang w:eastAsia="en-AU"/>
        </w:rPr>
        <w:t xml:space="preserve"> determine that the person filling any such position is eligible for inclusion on such Roll in accordance with the preceding Section 8.9.2.1.</w:t>
      </w:r>
    </w:p>
    <w:p w14:paraId="6492B0FF" w14:textId="77777777" w:rsidR="00185BF6" w:rsidRPr="009A0DA6" w:rsidRDefault="00185BF6" w:rsidP="00185BF6">
      <w:pPr>
        <w:shd w:val="clear" w:color="auto" w:fill="FFFFFF"/>
        <w:spacing w:after="0" w:line="240" w:lineRule="auto"/>
        <w:rPr>
          <w:rFonts w:ascii="Cambria" w:eastAsia="Times New Roman" w:hAnsi="Cambria" w:cs="Times New Roman"/>
          <w:bCs/>
          <w:color w:val="222222"/>
          <w:sz w:val="14"/>
          <w:lang w:eastAsia="en-AU"/>
        </w:rPr>
      </w:pPr>
    </w:p>
    <w:p w14:paraId="6A9D0C89" w14:textId="77777777" w:rsidR="00185BF6" w:rsidRPr="009A0DA6" w:rsidRDefault="00185BF6" w:rsidP="00786120">
      <w:pPr>
        <w:pStyle w:val="Heading3"/>
        <w:spacing w:after="0"/>
        <w:rPr>
          <w:rFonts w:eastAsia="SimSun" w:cs="F"/>
        </w:rPr>
      </w:pPr>
      <w:r w:rsidRPr="009A0DA6">
        <w:t>REASONS FOR THE MOTION</w:t>
      </w:r>
    </w:p>
    <w:p w14:paraId="0BC29710" w14:textId="161D352C" w:rsidR="00185BF6" w:rsidRPr="009A0DA6" w:rsidRDefault="00185BF6" w:rsidP="00786120">
      <w:pPr>
        <w:shd w:val="clear" w:color="auto" w:fill="FFFFFF"/>
        <w:spacing w:after="0" w:line="240" w:lineRule="auto"/>
        <w:rPr>
          <w:rFonts w:ascii="Cambria" w:hAnsi="Cambria" w:cs="Arial"/>
          <w:color w:val="222222"/>
          <w:shd w:val="clear" w:color="auto" w:fill="FFFFFF"/>
        </w:rPr>
      </w:pPr>
      <w:r w:rsidRPr="009A0DA6">
        <w:rPr>
          <w:rFonts w:ascii="Cambria" w:hAnsi="Cambria" w:cs="Arial"/>
          <w:color w:val="222222"/>
          <w:shd w:val="clear" w:color="auto" w:fill="FFFFFF"/>
        </w:rPr>
        <w:t>This amendment gives effect to the change of the name of the Board for Lay Ministry to Church Worker Support Department</w:t>
      </w:r>
      <w:r w:rsidR="0027799A" w:rsidRPr="009A0DA6">
        <w:rPr>
          <w:rFonts w:ascii="Cambria" w:hAnsi="Cambria" w:cs="Arial"/>
          <w:color w:val="222222"/>
          <w:shd w:val="clear" w:color="auto" w:fill="FFFFFF"/>
        </w:rPr>
        <w:t xml:space="preserve">. </w:t>
      </w:r>
    </w:p>
    <w:p w14:paraId="3D1A3AB5" w14:textId="5EEC4241" w:rsidR="001C7AAD" w:rsidRPr="009A0DA6" w:rsidRDefault="001C7AAD" w:rsidP="00964A90">
      <w:pPr>
        <w:pStyle w:val="Heading3"/>
      </w:pPr>
      <w:r w:rsidRPr="009A0DA6">
        <w:lastRenderedPageBreak/>
        <w:t>agenda 2.4.1</w:t>
      </w:r>
      <w:r w:rsidR="000C3458" w:rsidRPr="009A0DA6">
        <w:t>3</w:t>
      </w:r>
    </w:p>
    <w:p w14:paraId="324B11E3" w14:textId="77777777" w:rsidR="001C7AAD" w:rsidRPr="009A0DA6" w:rsidRDefault="001C7AAD" w:rsidP="001C7AAD">
      <w:pPr>
        <w:pStyle w:val="Heading2"/>
      </w:pPr>
      <w:bookmarkStart w:id="463" w:name="_Toc521954715"/>
      <w:r w:rsidRPr="009A0DA6">
        <w:t xml:space="preserve">Constitutional </w:t>
      </w:r>
      <w:r w:rsidR="00075925" w:rsidRPr="009A0DA6">
        <w:t>c</w:t>
      </w:r>
      <w:r w:rsidRPr="009A0DA6">
        <w:t>hange</w:t>
      </w:r>
      <w:r w:rsidR="00075925" w:rsidRPr="009A0DA6">
        <w:t>s</w:t>
      </w:r>
      <w:r w:rsidRPr="009A0DA6">
        <w:t xml:space="preserve">: </w:t>
      </w:r>
      <w:r w:rsidR="00454D5F" w:rsidRPr="009A0DA6">
        <w:t>Determinations of majority</w:t>
      </w:r>
      <w:bookmarkEnd w:id="463"/>
    </w:p>
    <w:p w14:paraId="04FA0D08" w14:textId="4E63BE98" w:rsidR="001C7AAD" w:rsidRDefault="001C7AAD" w:rsidP="001C7AAD">
      <w:pPr>
        <w:pStyle w:val="NoSpacing"/>
      </w:pPr>
    </w:p>
    <w:p w14:paraId="6393B36B" w14:textId="2A390EEE" w:rsidR="00296DD9" w:rsidRDefault="00296DD9" w:rsidP="001C7AAD">
      <w:pPr>
        <w:pStyle w:val="NoSpacing"/>
      </w:pPr>
      <w:r>
        <w:t>(See also Agenda 2.3.9)</w:t>
      </w:r>
    </w:p>
    <w:p w14:paraId="69FE95BA" w14:textId="77777777" w:rsidR="00296DD9" w:rsidRPr="009A0DA6" w:rsidRDefault="00296DD9" w:rsidP="001C7AAD">
      <w:pPr>
        <w:pStyle w:val="NoSpacing"/>
      </w:pPr>
    </w:p>
    <w:p w14:paraId="07D29E09" w14:textId="77777777" w:rsidR="001C7AAD" w:rsidRPr="009A0DA6" w:rsidRDefault="00454D5F" w:rsidP="00964A90">
      <w:pPr>
        <w:pStyle w:val="Heading3"/>
      </w:pPr>
      <w:r w:rsidRPr="009A0DA6">
        <w:t>proposed motion</w:t>
      </w:r>
    </w:p>
    <w:p w14:paraId="0D0998CA" w14:textId="77777777" w:rsidR="00454D5F" w:rsidRPr="009A0DA6" w:rsidRDefault="00454D5F" w:rsidP="00454D5F">
      <w:pPr>
        <w:shd w:val="clear" w:color="auto" w:fill="FFFFFF"/>
        <w:spacing w:after="0" w:line="240" w:lineRule="auto"/>
        <w:rPr>
          <w:rFonts w:ascii="Cambria" w:eastAsia="Times New Roman" w:hAnsi="Cambria" w:cs="Times New Roman"/>
          <w:bCs/>
          <w:color w:val="222222"/>
          <w:lang w:eastAsia="en-AU"/>
        </w:rPr>
      </w:pPr>
      <w:r w:rsidRPr="009A0DA6">
        <w:rPr>
          <w:rFonts w:ascii="Cambria" w:hAnsi="Cambria"/>
          <w:b/>
          <w:bCs/>
          <w:lang w:eastAsia="en-AU"/>
        </w:rPr>
        <w:t>BE IT RESOLVED</w:t>
      </w:r>
      <w:r w:rsidRPr="009A0DA6">
        <w:rPr>
          <w:rFonts w:ascii="Cambria" w:eastAsia="Times New Roman" w:hAnsi="Cambria" w:cs="Times New Roman"/>
          <w:bCs/>
          <w:color w:val="000000"/>
          <w:lang w:eastAsia="en-AU"/>
        </w:rPr>
        <w:t xml:space="preserve"> </w:t>
      </w:r>
      <w:r w:rsidRPr="009A0DA6">
        <w:rPr>
          <w:rFonts w:ascii="Cambria" w:eastAsia="Times New Roman" w:hAnsi="Cambria" w:cs="Times New Roman"/>
          <w:bCs/>
          <w:color w:val="222222"/>
          <w:lang w:eastAsia="en-AU"/>
        </w:rPr>
        <w:t xml:space="preserve">that </w:t>
      </w:r>
      <w:r w:rsidRPr="009A0DA6">
        <w:rPr>
          <w:rFonts w:ascii="Cambria" w:eastAsia="Times New Roman" w:hAnsi="Cambria" w:cs="Times New Roman"/>
          <w:b/>
          <w:bCs/>
          <w:color w:val="222222"/>
          <w:lang w:eastAsia="en-AU"/>
        </w:rPr>
        <w:t>Article 13 Alterations to Constitution</w:t>
      </w:r>
      <w:r w:rsidRPr="009A0DA6">
        <w:rPr>
          <w:rFonts w:ascii="Cambria" w:eastAsia="Times New Roman" w:hAnsi="Cambria" w:cs="Times New Roman"/>
          <w:bCs/>
          <w:color w:val="222222"/>
          <w:lang w:eastAsia="en-AU"/>
        </w:rPr>
        <w:t xml:space="preserve"> of the Constitution of the Church be amended as follows (words to be deleted – </w:t>
      </w:r>
      <w:r w:rsidRPr="009A0DA6">
        <w:rPr>
          <w:rFonts w:ascii="Cambria" w:eastAsia="Times New Roman" w:hAnsi="Cambria" w:cs="Times New Roman"/>
          <w:bCs/>
          <w:strike/>
          <w:color w:val="222222"/>
          <w:lang w:eastAsia="en-AU"/>
        </w:rPr>
        <w:t>strikethrough</w:t>
      </w:r>
      <w:r w:rsidRPr="009A0DA6">
        <w:rPr>
          <w:rFonts w:ascii="Cambria" w:eastAsia="Times New Roman" w:hAnsi="Cambria" w:cs="Times New Roman"/>
          <w:bCs/>
          <w:color w:val="222222"/>
          <w:lang w:eastAsia="en-AU"/>
        </w:rPr>
        <w:t xml:space="preserve">; words to be added – </w:t>
      </w:r>
      <w:r w:rsidRPr="009A0DA6">
        <w:rPr>
          <w:rFonts w:ascii="Cambria" w:eastAsia="Times New Roman" w:hAnsi="Cambria" w:cs="Times New Roman"/>
          <w:b/>
          <w:bCs/>
          <w:color w:val="222222"/>
          <w:lang w:eastAsia="en-AU"/>
        </w:rPr>
        <w:t>bold</w:t>
      </w:r>
      <w:r w:rsidRPr="009A0DA6">
        <w:rPr>
          <w:rFonts w:ascii="Cambria" w:eastAsia="Times New Roman" w:hAnsi="Cambria" w:cs="Times New Roman"/>
          <w:bCs/>
          <w:color w:val="222222"/>
          <w:lang w:eastAsia="en-AU"/>
        </w:rPr>
        <w:t>):</w:t>
      </w:r>
    </w:p>
    <w:p w14:paraId="1759B711" w14:textId="476C0FDD" w:rsidR="00454D5F" w:rsidRPr="009A0DA6" w:rsidRDefault="00454D5F" w:rsidP="00454D5F">
      <w:pPr>
        <w:tabs>
          <w:tab w:val="left" w:pos="851"/>
          <w:tab w:val="left" w:pos="1985"/>
          <w:tab w:val="left" w:pos="3119"/>
          <w:tab w:val="left" w:pos="4536"/>
          <w:tab w:val="left" w:pos="5670"/>
        </w:tabs>
        <w:spacing w:after="0" w:line="240" w:lineRule="auto"/>
        <w:jc w:val="center"/>
        <w:rPr>
          <w:rFonts w:ascii="Cambria" w:eastAsia="Times New Roman" w:hAnsi="Cambria" w:cs="Times New Roman"/>
          <w:b/>
          <w:lang w:eastAsia="en-AU"/>
        </w:rPr>
      </w:pPr>
      <w:r w:rsidRPr="009A0DA6">
        <w:rPr>
          <w:rFonts w:ascii="Cambria" w:eastAsia="Times New Roman" w:hAnsi="Cambria" w:cs="Times New Roman"/>
          <w:b/>
          <w:lang w:eastAsia="en-AU"/>
        </w:rPr>
        <w:t>ARTICLE  13</w:t>
      </w:r>
      <w:r w:rsidR="0027799A" w:rsidRPr="009A0DA6">
        <w:rPr>
          <w:rFonts w:ascii="Cambria" w:eastAsia="Times New Roman" w:hAnsi="Cambria" w:cs="Times New Roman"/>
          <w:b/>
          <w:lang w:eastAsia="en-AU"/>
        </w:rPr>
        <w:t xml:space="preserve">. </w:t>
      </w:r>
      <w:r w:rsidRPr="009A0DA6">
        <w:rPr>
          <w:rFonts w:ascii="Cambria" w:eastAsia="Times New Roman" w:hAnsi="Cambria" w:cs="Times New Roman"/>
          <w:b/>
          <w:lang w:eastAsia="en-AU"/>
        </w:rPr>
        <w:t xml:space="preserve"> ALTERATIONS TO CONSTITUTION</w:t>
      </w:r>
    </w:p>
    <w:p w14:paraId="4F58B609" w14:textId="77777777" w:rsidR="00454D5F" w:rsidRPr="009A0DA6" w:rsidRDefault="00454D5F" w:rsidP="00454D5F">
      <w:pPr>
        <w:tabs>
          <w:tab w:val="left" w:pos="567"/>
          <w:tab w:val="left" w:pos="1985"/>
          <w:tab w:val="left" w:pos="3119"/>
          <w:tab w:val="left" w:pos="4536"/>
          <w:tab w:val="left" w:pos="5670"/>
        </w:tabs>
        <w:spacing w:after="0" w:line="240" w:lineRule="auto"/>
        <w:ind w:left="567" w:hanging="567"/>
        <w:rPr>
          <w:rFonts w:ascii="Cambria" w:eastAsia="Times New Roman" w:hAnsi="Cambria" w:cs="Times New Roman"/>
          <w:lang w:eastAsia="en-AU"/>
        </w:rPr>
      </w:pPr>
      <w:r w:rsidRPr="009A0DA6">
        <w:rPr>
          <w:rFonts w:ascii="Cambria" w:eastAsia="Times New Roman" w:hAnsi="Cambria" w:cs="Times New Roman"/>
          <w:lang w:eastAsia="en-AU"/>
        </w:rPr>
        <w:t>13.1</w:t>
      </w:r>
      <w:r w:rsidRPr="009A0DA6">
        <w:rPr>
          <w:rFonts w:ascii="Cambria" w:eastAsia="Times New Roman" w:hAnsi="Cambria" w:cs="Times New Roman"/>
          <w:lang w:eastAsia="en-AU"/>
        </w:rPr>
        <w:tab/>
        <w:t>The Church at a convention of the General Synod may amend, alter, add to or repeal any of the rules, except Article 2. and Article 13.1, which shall be considered fundamental and unalterable in their intent and meaning.</w:t>
      </w:r>
    </w:p>
    <w:p w14:paraId="194C55D5" w14:textId="77777777" w:rsidR="00454D5F" w:rsidRPr="009A0DA6" w:rsidRDefault="00454D5F" w:rsidP="00454D5F">
      <w:pPr>
        <w:tabs>
          <w:tab w:val="left" w:pos="567"/>
          <w:tab w:val="left" w:pos="1985"/>
          <w:tab w:val="left" w:pos="3119"/>
          <w:tab w:val="left" w:pos="4536"/>
          <w:tab w:val="left" w:pos="5670"/>
        </w:tabs>
        <w:spacing w:after="0" w:line="240" w:lineRule="auto"/>
        <w:ind w:left="567" w:hanging="567"/>
        <w:rPr>
          <w:rFonts w:ascii="Cambria" w:eastAsia="Times New Roman" w:hAnsi="Cambria" w:cs="Times New Roman"/>
          <w:lang w:eastAsia="en-AU"/>
        </w:rPr>
      </w:pPr>
      <w:r w:rsidRPr="009A0DA6">
        <w:rPr>
          <w:rFonts w:ascii="Cambria" w:eastAsia="Times New Roman" w:hAnsi="Cambria" w:cs="Times New Roman"/>
          <w:lang w:eastAsia="en-AU"/>
        </w:rPr>
        <w:t>13.2</w:t>
      </w:r>
      <w:r w:rsidRPr="009A0DA6">
        <w:rPr>
          <w:rFonts w:ascii="Cambria" w:eastAsia="Times New Roman" w:hAnsi="Cambria" w:cs="Times New Roman"/>
          <w:lang w:eastAsia="en-AU"/>
        </w:rPr>
        <w:tab/>
        <w:t xml:space="preserve">Notice of any such motion to amend, alter, add to or repeal any of the rules shall be given on the agenda of the convention, and any motion to amend, alter, add or repeal shall require a two-thirds majority of </w:t>
      </w:r>
      <w:r w:rsidRPr="009A0DA6">
        <w:rPr>
          <w:rFonts w:ascii="Cambria" w:eastAsia="Times New Roman" w:hAnsi="Cambria" w:cs="Times New Roman"/>
          <w:strike/>
          <w:lang w:eastAsia="en-AU"/>
        </w:rPr>
        <w:t>all</w:t>
      </w:r>
      <w:r w:rsidRPr="009A0DA6">
        <w:rPr>
          <w:rFonts w:ascii="Cambria" w:eastAsia="Times New Roman" w:hAnsi="Cambria" w:cs="Times New Roman"/>
          <w:lang w:eastAsia="en-AU"/>
        </w:rPr>
        <w:t xml:space="preserve"> the delegates </w:t>
      </w:r>
      <w:r w:rsidRPr="009A0DA6">
        <w:rPr>
          <w:rFonts w:ascii="Cambria" w:eastAsia="Times New Roman" w:hAnsi="Cambria" w:cs="Times New Roman"/>
          <w:strike/>
          <w:lang w:eastAsia="en-AU"/>
        </w:rPr>
        <w:t>registered</w:t>
      </w:r>
      <w:r w:rsidRPr="009A0DA6">
        <w:rPr>
          <w:rFonts w:ascii="Cambria" w:eastAsia="Times New Roman" w:hAnsi="Cambria" w:cs="Times New Roman"/>
          <w:b/>
          <w:lang w:eastAsia="en-AU"/>
        </w:rPr>
        <w:t>voting</w:t>
      </w:r>
      <w:r w:rsidRPr="009A0DA6">
        <w:rPr>
          <w:rFonts w:ascii="Cambria" w:eastAsia="Times New Roman" w:hAnsi="Cambria" w:cs="Times New Roman"/>
          <w:lang w:eastAsia="en-AU"/>
        </w:rPr>
        <w:t xml:space="preserve"> at the convention.</w:t>
      </w:r>
    </w:p>
    <w:p w14:paraId="208588B3" w14:textId="5C25DDC6" w:rsidR="00454D5F" w:rsidRPr="009A0DA6" w:rsidRDefault="00454D5F" w:rsidP="00454D5F">
      <w:pPr>
        <w:tabs>
          <w:tab w:val="left" w:pos="567"/>
          <w:tab w:val="left" w:pos="1985"/>
          <w:tab w:val="left" w:pos="3119"/>
          <w:tab w:val="left" w:pos="4536"/>
          <w:tab w:val="left" w:pos="5670"/>
        </w:tabs>
        <w:spacing w:after="0" w:line="240" w:lineRule="auto"/>
        <w:ind w:left="567" w:hanging="567"/>
        <w:rPr>
          <w:rFonts w:ascii="Cambria" w:eastAsia="Times New Roman" w:hAnsi="Cambria" w:cs="Times New Roman"/>
          <w:lang w:eastAsia="en-AU"/>
        </w:rPr>
      </w:pPr>
      <w:r w:rsidRPr="009A0DA6">
        <w:rPr>
          <w:rFonts w:ascii="Cambria" w:eastAsia="Times New Roman" w:hAnsi="Cambria" w:cs="Times New Roman"/>
          <w:lang w:eastAsia="en-AU"/>
        </w:rPr>
        <w:t>13.3</w:t>
      </w:r>
      <w:r w:rsidRPr="009A0DA6">
        <w:rPr>
          <w:rFonts w:ascii="Cambria" w:eastAsia="Times New Roman" w:hAnsi="Cambria" w:cs="Times New Roman"/>
          <w:lang w:eastAsia="en-AU"/>
        </w:rPr>
        <w:tab/>
        <w:t>In the case of Australian Lutheran College, special permission is granted to the General Church Council to amend, alter, add to or repeal any of the rules of the College where Government legislation and/or requirements demand an urgent response</w:t>
      </w:r>
      <w:r w:rsidR="0027799A" w:rsidRPr="009A0DA6">
        <w:rPr>
          <w:rFonts w:ascii="Cambria" w:eastAsia="Times New Roman" w:hAnsi="Cambria" w:cs="Times New Roman"/>
          <w:lang w:eastAsia="en-AU"/>
        </w:rPr>
        <w:t xml:space="preserve">. </w:t>
      </w:r>
      <w:r w:rsidRPr="009A0DA6">
        <w:rPr>
          <w:rFonts w:ascii="Cambria" w:eastAsia="Times New Roman" w:hAnsi="Cambria" w:cs="Times New Roman"/>
          <w:lang w:eastAsia="en-AU"/>
        </w:rPr>
        <w:t>Such changes shall be submitted to the next convention of the General Synod for ratification.</w:t>
      </w:r>
    </w:p>
    <w:p w14:paraId="3DD9F6F8" w14:textId="77777777" w:rsidR="00454D5F" w:rsidRPr="009A0DA6" w:rsidRDefault="00454D5F" w:rsidP="00454D5F">
      <w:pPr>
        <w:tabs>
          <w:tab w:val="left" w:pos="851"/>
          <w:tab w:val="left" w:pos="1985"/>
          <w:tab w:val="left" w:pos="3119"/>
          <w:tab w:val="left" w:pos="4536"/>
          <w:tab w:val="left" w:pos="5670"/>
        </w:tabs>
        <w:spacing w:after="0" w:line="240" w:lineRule="auto"/>
        <w:ind w:left="851" w:hanging="851"/>
        <w:rPr>
          <w:rFonts w:ascii="Cambria" w:eastAsia="Times New Roman" w:hAnsi="Cambria" w:cs="Times New Roman"/>
          <w:lang w:eastAsia="en-AU"/>
        </w:rPr>
      </w:pPr>
    </w:p>
    <w:p w14:paraId="6DE46DEB" w14:textId="77777777" w:rsidR="00454D5F" w:rsidRPr="009A0DA6" w:rsidRDefault="00454D5F" w:rsidP="00454D5F">
      <w:pPr>
        <w:tabs>
          <w:tab w:val="left" w:pos="284"/>
          <w:tab w:val="left" w:pos="851"/>
          <w:tab w:val="left" w:pos="2268"/>
        </w:tabs>
        <w:spacing w:after="0" w:line="240" w:lineRule="auto"/>
        <w:rPr>
          <w:rFonts w:ascii="Cambria" w:eastAsia="Times New Roman" w:hAnsi="Cambria" w:cs="Times New Roman"/>
        </w:rPr>
      </w:pPr>
      <w:r w:rsidRPr="009A0DA6">
        <w:rPr>
          <w:rFonts w:ascii="Cambria" w:eastAsia="Times New Roman" w:hAnsi="Cambria" w:cs="Times New Roman"/>
          <w:b/>
          <w:bCs/>
          <w:color w:val="222222"/>
          <w:lang w:eastAsia="en-AU"/>
        </w:rPr>
        <w:t>BE IT FURTHER  RESOLVED</w:t>
      </w:r>
      <w:r w:rsidRPr="009A0DA6">
        <w:rPr>
          <w:rFonts w:ascii="Cambria" w:eastAsia="Times New Roman" w:hAnsi="Cambria" w:cs="Times New Roman"/>
          <w:bCs/>
          <w:color w:val="222222"/>
          <w:lang w:eastAsia="en-AU"/>
        </w:rPr>
        <w:t xml:space="preserve">  that </w:t>
      </w:r>
      <w:r w:rsidRPr="009A0DA6">
        <w:rPr>
          <w:rFonts w:ascii="Cambria" w:eastAsia="Times New Roman" w:hAnsi="Cambria" w:cs="Times New Roman"/>
          <w:b/>
        </w:rPr>
        <w:t>Section 7.3 Procedure in Transacting Business</w:t>
      </w:r>
      <w:r w:rsidRPr="009A0DA6">
        <w:rPr>
          <w:rFonts w:ascii="Cambria" w:eastAsia="Times New Roman" w:hAnsi="Cambria" w:cs="Times New Roman"/>
        </w:rPr>
        <w:t xml:space="preserve"> of the By-laws of the Church be amended as follows (words to be omitted – </w:t>
      </w:r>
      <w:r w:rsidRPr="009A0DA6">
        <w:rPr>
          <w:rFonts w:ascii="Cambria" w:eastAsia="Times New Roman" w:hAnsi="Cambria" w:cs="Times New Roman"/>
          <w:strike/>
        </w:rPr>
        <w:t>strike-through</w:t>
      </w:r>
      <w:r w:rsidRPr="009A0DA6">
        <w:rPr>
          <w:rFonts w:ascii="Cambria" w:eastAsia="Times New Roman" w:hAnsi="Cambria" w:cs="Times New Roman"/>
        </w:rPr>
        <w:t xml:space="preserve">;  words to be added – </w:t>
      </w:r>
      <w:r w:rsidRPr="009A0DA6">
        <w:rPr>
          <w:rFonts w:ascii="Cambria" w:eastAsia="Times New Roman" w:hAnsi="Cambria" w:cs="Times New Roman"/>
          <w:b/>
        </w:rPr>
        <w:t>bold</w:t>
      </w:r>
      <w:r w:rsidRPr="009A0DA6">
        <w:rPr>
          <w:rFonts w:ascii="Cambria" w:eastAsia="Times New Roman" w:hAnsi="Cambria" w:cs="Times New Roman"/>
        </w:rPr>
        <w:t xml:space="preserve">): </w:t>
      </w:r>
    </w:p>
    <w:p w14:paraId="6F59CACD" w14:textId="77777777" w:rsidR="00454D5F" w:rsidRPr="009A0DA6" w:rsidRDefault="00454D5F" w:rsidP="00454D5F">
      <w:pPr>
        <w:tabs>
          <w:tab w:val="left" w:pos="284"/>
          <w:tab w:val="left" w:pos="851"/>
          <w:tab w:val="left" w:pos="2268"/>
        </w:tabs>
        <w:spacing w:after="0" w:line="240" w:lineRule="auto"/>
        <w:rPr>
          <w:rFonts w:ascii="Cambria" w:eastAsia="Times New Roman" w:hAnsi="Cambria" w:cs="Times New Roman"/>
          <w:sz w:val="18"/>
          <w:lang w:eastAsia="ja-JP"/>
        </w:rPr>
      </w:pPr>
    </w:p>
    <w:p w14:paraId="62C6132E" w14:textId="77777777" w:rsidR="00454D5F" w:rsidRPr="009A0DA6" w:rsidRDefault="00454D5F" w:rsidP="00454D5F">
      <w:pPr>
        <w:tabs>
          <w:tab w:val="left" w:pos="851"/>
          <w:tab w:val="left" w:pos="3119"/>
          <w:tab w:val="left" w:pos="4536"/>
          <w:tab w:val="left" w:pos="5670"/>
        </w:tabs>
        <w:spacing w:after="0" w:line="240" w:lineRule="auto"/>
        <w:ind w:left="1985" w:hanging="1985"/>
        <w:rPr>
          <w:rFonts w:ascii="Cambria" w:eastAsia="Times New Roman" w:hAnsi="Cambria" w:cs="Times New Roman"/>
          <w:lang w:eastAsia="en-AU"/>
        </w:rPr>
      </w:pPr>
      <w:r w:rsidRPr="009A0DA6">
        <w:rPr>
          <w:rFonts w:ascii="Cambria" w:eastAsia="Times New Roman" w:hAnsi="Cambria" w:cs="Times New Roman"/>
          <w:lang w:eastAsia="en-AU"/>
        </w:rPr>
        <w:t>7.3.28</w:t>
      </w:r>
      <w:r w:rsidRPr="009A0DA6">
        <w:rPr>
          <w:rFonts w:ascii="Cambria" w:eastAsia="Times New Roman" w:hAnsi="Cambria" w:cs="Times New Roman"/>
          <w:lang w:eastAsia="en-AU"/>
        </w:rPr>
        <w:tab/>
        <w:t>7.3.28.1</w:t>
      </w:r>
      <w:r w:rsidRPr="009A0DA6">
        <w:rPr>
          <w:rFonts w:ascii="Cambria" w:eastAsia="Times New Roman" w:hAnsi="Cambria" w:cs="Times New Roman"/>
          <w:lang w:eastAsia="en-AU"/>
        </w:rPr>
        <w:tab/>
        <w:t>Matters of conscience and of doctrine shall have precedence over other matters and any rules relating to time limits and number of times a person may speak may be suspended by the ruling of the Chairperson or by a majority of those delegates voting.</w:t>
      </w:r>
    </w:p>
    <w:p w14:paraId="63DABD86" w14:textId="44B135ED" w:rsidR="00454D5F" w:rsidRPr="009A0DA6" w:rsidRDefault="00454D5F" w:rsidP="00454D5F">
      <w:pPr>
        <w:tabs>
          <w:tab w:val="left" w:pos="851"/>
          <w:tab w:val="left" w:pos="1985"/>
          <w:tab w:val="left" w:pos="3119"/>
          <w:tab w:val="left" w:pos="4536"/>
          <w:tab w:val="left" w:pos="5670"/>
        </w:tabs>
        <w:spacing w:after="0" w:line="240" w:lineRule="auto"/>
        <w:ind w:left="1985" w:hanging="1985"/>
        <w:rPr>
          <w:rFonts w:ascii="Cambria" w:eastAsia="Times New Roman" w:hAnsi="Cambria" w:cs="Times New Roman"/>
          <w:lang w:eastAsia="en-AU"/>
        </w:rPr>
      </w:pPr>
      <w:r w:rsidRPr="009A0DA6">
        <w:rPr>
          <w:rFonts w:ascii="Cambria" w:eastAsia="Times New Roman" w:hAnsi="Cambria" w:cs="Times New Roman"/>
          <w:lang w:eastAsia="en-AU"/>
        </w:rPr>
        <w:tab/>
        <w:t>7.3.28.2</w:t>
      </w:r>
      <w:r w:rsidRPr="009A0DA6">
        <w:rPr>
          <w:rFonts w:ascii="Cambria" w:eastAsia="Times New Roman" w:hAnsi="Cambria" w:cs="Times New Roman"/>
          <w:lang w:eastAsia="en-AU"/>
        </w:rPr>
        <w:tab/>
        <w:t xml:space="preserve">A matter deemed to be of a theological and confessional nature which has been referred to the </w:t>
      </w:r>
      <w:r w:rsidR="0027799A" w:rsidRPr="009A0DA6">
        <w:rPr>
          <w:rFonts w:ascii="Cambria" w:eastAsia="Times New Roman" w:hAnsi="Cambria" w:cs="Times New Roman"/>
          <w:lang w:eastAsia="en-AU"/>
        </w:rPr>
        <w:t>General Pastors Conference</w:t>
      </w:r>
      <w:r w:rsidRPr="009A0DA6">
        <w:rPr>
          <w:rFonts w:ascii="Cambria" w:eastAsia="Times New Roman" w:hAnsi="Cambria" w:cs="Times New Roman"/>
          <w:lang w:eastAsia="en-AU"/>
        </w:rPr>
        <w:t xml:space="preserve"> for consideration shall be considered by the convention only after a recommendation has been received from the </w:t>
      </w:r>
      <w:r w:rsidR="0027799A" w:rsidRPr="009A0DA6">
        <w:rPr>
          <w:rFonts w:ascii="Cambria" w:eastAsia="Times New Roman" w:hAnsi="Cambria" w:cs="Times New Roman"/>
          <w:lang w:eastAsia="en-AU"/>
        </w:rPr>
        <w:t>General Pastors Conference</w:t>
      </w:r>
      <w:r w:rsidRPr="009A0DA6">
        <w:rPr>
          <w:rFonts w:ascii="Cambria" w:eastAsia="Times New Roman" w:hAnsi="Cambria" w:cs="Times New Roman"/>
          <w:lang w:eastAsia="en-AU"/>
        </w:rPr>
        <w:t>.</w:t>
      </w:r>
    </w:p>
    <w:p w14:paraId="59A5BA82" w14:textId="77777777" w:rsidR="00454D5F" w:rsidRPr="009A0DA6" w:rsidRDefault="00454D5F" w:rsidP="00454D5F">
      <w:pPr>
        <w:tabs>
          <w:tab w:val="left" w:pos="851"/>
          <w:tab w:val="left" w:pos="1985"/>
          <w:tab w:val="left" w:pos="3119"/>
          <w:tab w:val="left" w:pos="4536"/>
          <w:tab w:val="left" w:pos="5670"/>
        </w:tabs>
        <w:spacing w:after="0" w:line="240" w:lineRule="auto"/>
        <w:ind w:left="1985" w:hanging="1985"/>
        <w:rPr>
          <w:rFonts w:ascii="Cambria" w:eastAsia="Times New Roman" w:hAnsi="Cambria" w:cs="Times New Roman"/>
          <w:lang w:eastAsia="en-AU"/>
        </w:rPr>
      </w:pPr>
      <w:r w:rsidRPr="009A0DA6">
        <w:rPr>
          <w:rFonts w:ascii="Cambria" w:eastAsia="Times New Roman" w:hAnsi="Cambria" w:cs="Times New Roman"/>
          <w:lang w:eastAsia="en-AU"/>
        </w:rPr>
        <w:tab/>
        <w:t>7.3.28.3</w:t>
      </w:r>
      <w:r w:rsidRPr="009A0DA6">
        <w:rPr>
          <w:rFonts w:ascii="Cambria" w:eastAsia="Times New Roman" w:hAnsi="Cambria" w:cs="Times New Roman"/>
          <w:lang w:eastAsia="en-AU"/>
        </w:rPr>
        <w:tab/>
      </w:r>
      <w:r w:rsidRPr="009A0DA6">
        <w:rPr>
          <w:rFonts w:ascii="Cambria" w:eastAsia="Times New Roman" w:hAnsi="Cambria" w:cs="Arial"/>
          <w:lang w:eastAsia="en-AU"/>
        </w:rPr>
        <w:t xml:space="preserve">For a resolution on a matter of doctrine </w:t>
      </w:r>
      <w:r w:rsidRPr="009A0DA6">
        <w:rPr>
          <w:rFonts w:ascii="Cambria" w:eastAsia="Times New Roman" w:hAnsi="Cambria" w:cs="Arial"/>
          <w:bCs/>
          <w:lang w:eastAsia="en-AU"/>
        </w:rPr>
        <w:t xml:space="preserve">to </w:t>
      </w:r>
      <w:r w:rsidRPr="009A0DA6">
        <w:rPr>
          <w:rFonts w:ascii="Cambria" w:eastAsia="Times New Roman" w:hAnsi="Cambria" w:cs="Arial"/>
          <w:lang w:eastAsia="en-AU"/>
        </w:rPr>
        <w:t xml:space="preserve">be deemed to be the official position of the Church </w:t>
      </w:r>
      <w:r w:rsidRPr="009A0DA6">
        <w:rPr>
          <w:rFonts w:ascii="Cambria" w:eastAsia="Times New Roman" w:hAnsi="Cambria" w:cs="Arial"/>
          <w:bCs/>
          <w:lang w:eastAsia="en-AU"/>
        </w:rPr>
        <w:t>it shall require</w:t>
      </w:r>
      <w:r w:rsidRPr="009A0DA6">
        <w:rPr>
          <w:rFonts w:ascii="Cambria" w:eastAsia="Times New Roman" w:hAnsi="Cambria" w:cs="Arial"/>
          <w:lang w:eastAsia="en-AU"/>
        </w:rPr>
        <w:t xml:space="preserve"> a two-thirds </w:t>
      </w:r>
      <w:r w:rsidRPr="009A0DA6">
        <w:rPr>
          <w:rFonts w:ascii="Cambria" w:eastAsia="Times New Roman" w:hAnsi="Cambria" w:cs="Arial"/>
          <w:bCs/>
          <w:lang w:eastAsia="en-AU"/>
        </w:rPr>
        <w:t>majority</w:t>
      </w:r>
      <w:r w:rsidRPr="009A0DA6">
        <w:rPr>
          <w:rFonts w:ascii="Cambria" w:eastAsia="Times New Roman" w:hAnsi="Cambria" w:cs="Arial"/>
          <w:lang w:eastAsia="en-AU"/>
        </w:rPr>
        <w:t xml:space="preserve"> of </w:t>
      </w:r>
      <w:r w:rsidRPr="009A0DA6">
        <w:rPr>
          <w:rFonts w:ascii="Cambria" w:eastAsia="Times New Roman" w:hAnsi="Cambria" w:cs="Arial"/>
          <w:strike/>
          <w:lang w:eastAsia="en-AU"/>
        </w:rPr>
        <w:t>all</w:t>
      </w:r>
      <w:r w:rsidRPr="009A0DA6">
        <w:rPr>
          <w:rFonts w:ascii="Cambria" w:eastAsia="Times New Roman" w:hAnsi="Cambria" w:cs="Arial"/>
          <w:lang w:eastAsia="en-AU"/>
        </w:rPr>
        <w:t xml:space="preserve"> the </w:t>
      </w:r>
      <w:r w:rsidRPr="009A0DA6">
        <w:rPr>
          <w:rFonts w:ascii="Cambria" w:eastAsia="Times New Roman" w:hAnsi="Cambria" w:cs="Arial"/>
          <w:strike/>
          <w:lang w:eastAsia="en-AU"/>
        </w:rPr>
        <w:t>registered</w:t>
      </w:r>
      <w:r w:rsidRPr="009A0DA6">
        <w:rPr>
          <w:rFonts w:ascii="Cambria" w:eastAsia="Times New Roman" w:hAnsi="Cambria" w:cs="Arial"/>
          <w:lang w:eastAsia="en-AU"/>
        </w:rPr>
        <w:t xml:space="preserve"> delegates </w:t>
      </w:r>
      <w:r w:rsidRPr="009A0DA6">
        <w:rPr>
          <w:rFonts w:ascii="Cambria" w:eastAsia="Times New Roman" w:hAnsi="Cambria" w:cs="Arial"/>
          <w:b/>
          <w:lang w:eastAsia="en-AU"/>
        </w:rPr>
        <w:t>voting</w:t>
      </w:r>
      <w:r w:rsidRPr="009A0DA6">
        <w:rPr>
          <w:rFonts w:ascii="Cambria" w:eastAsia="Times New Roman" w:hAnsi="Cambria" w:cs="Arial"/>
          <w:lang w:eastAsia="en-AU"/>
        </w:rPr>
        <w:t xml:space="preserve"> at the convention.</w:t>
      </w:r>
      <w:r w:rsidRPr="009A0DA6">
        <w:rPr>
          <w:rFonts w:ascii="Cambria" w:eastAsia="Times New Roman" w:hAnsi="Cambria" w:cs="Times New Roman"/>
          <w:lang w:eastAsia="en-AU"/>
        </w:rPr>
        <w:t xml:space="preserve"> </w:t>
      </w:r>
    </w:p>
    <w:p w14:paraId="45F0FE98" w14:textId="77777777" w:rsidR="00454D5F" w:rsidRPr="009A0DA6" w:rsidRDefault="00454D5F" w:rsidP="00454D5F">
      <w:pPr>
        <w:tabs>
          <w:tab w:val="left" w:pos="851"/>
          <w:tab w:val="left" w:pos="1985"/>
          <w:tab w:val="left" w:pos="3119"/>
          <w:tab w:val="left" w:pos="4536"/>
          <w:tab w:val="left" w:pos="5670"/>
        </w:tabs>
        <w:spacing w:after="0" w:line="240" w:lineRule="auto"/>
        <w:ind w:left="851" w:hanging="851"/>
        <w:rPr>
          <w:rFonts w:ascii="Cambria" w:eastAsia="Times New Roman" w:hAnsi="Cambria" w:cs="Times New Roman"/>
          <w:lang w:eastAsia="en-AU"/>
        </w:rPr>
      </w:pPr>
      <w:r w:rsidRPr="009A0DA6">
        <w:rPr>
          <w:rFonts w:ascii="Cambria" w:eastAsia="Times New Roman" w:hAnsi="Cambria" w:cs="Times New Roman"/>
          <w:lang w:eastAsia="en-AU"/>
        </w:rPr>
        <w:t>7.3.29</w:t>
      </w:r>
      <w:r w:rsidRPr="009A0DA6">
        <w:rPr>
          <w:rFonts w:ascii="Cambria" w:eastAsia="Times New Roman" w:hAnsi="Cambria" w:cs="Times New Roman"/>
          <w:lang w:eastAsia="en-AU"/>
        </w:rPr>
        <w:tab/>
        <w:t xml:space="preserve">Any of the By-laws in Section 7.3 may, if the need arises, be suspended in respect to any business of the convention, by a two-thirds majority of those delegates </w:t>
      </w:r>
      <w:r w:rsidRPr="009A0DA6">
        <w:rPr>
          <w:rFonts w:ascii="Cambria" w:eastAsia="Times New Roman" w:hAnsi="Cambria" w:cs="Times New Roman"/>
          <w:strike/>
          <w:lang w:eastAsia="en-AU"/>
        </w:rPr>
        <w:t>present</w:t>
      </w:r>
      <w:r w:rsidRPr="009A0DA6">
        <w:rPr>
          <w:rFonts w:ascii="Cambria" w:eastAsia="Times New Roman" w:hAnsi="Cambria" w:cs="Times New Roman"/>
          <w:b/>
          <w:lang w:eastAsia="en-AU"/>
        </w:rPr>
        <w:t>voting</w:t>
      </w:r>
      <w:r w:rsidRPr="009A0DA6">
        <w:rPr>
          <w:rFonts w:ascii="Cambria" w:eastAsia="Times New Roman" w:hAnsi="Cambria" w:cs="Times New Roman"/>
          <w:lang w:eastAsia="en-AU"/>
        </w:rPr>
        <w:t>.</w:t>
      </w:r>
    </w:p>
    <w:p w14:paraId="4963E03D" w14:textId="77777777" w:rsidR="00454D5F" w:rsidRPr="009A0DA6" w:rsidRDefault="00454D5F" w:rsidP="00454D5F">
      <w:pPr>
        <w:tabs>
          <w:tab w:val="left" w:pos="851"/>
          <w:tab w:val="left" w:pos="1985"/>
          <w:tab w:val="left" w:pos="3119"/>
          <w:tab w:val="left" w:pos="4536"/>
          <w:tab w:val="left" w:pos="5670"/>
        </w:tabs>
        <w:spacing w:after="0" w:line="240" w:lineRule="auto"/>
        <w:ind w:left="851" w:hanging="851"/>
        <w:rPr>
          <w:rFonts w:ascii="Cambria" w:eastAsia="Times New Roman" w:hAnsi="Cambria" w:cs="Times New Roman"/>
          <w:lang w:eastAsia="en-AU"/>
        </w:rPr>
      </w:pPr>
      <w:r w:rsidRPr="009A0DA6">
        <w:rPr>
          <w:rFonts w:ascii="Cambria" w:eastAsia="Times New Roman" w:hAnsi="Cambria" w:cs="Times New Roman"/>
          <w:lang w:eastAsia="en-AU"/>
        </w:rPr>
        <w:t>7.4.2</w:t>
      </w:r>
      <w:r w:rsidRPr="009A0DA6">
        <w:rPr>
          <w:rFonts w:ascii="Cambria" w:eastAsia="Times New Roman" w:hAnsi="Cambria" w:cs="Times New Roman"/>
          <w:lang w:eastAsia="en-AU"/>
        </w:rPr>
        <w:tab/>
        <w:t>The method of electing the Bishop and thereafter the Assistant Bishop of the Church shall be as follows:</w:t>
      </w:r>
    </w:p>
    <w:p w14:paraId="179E67E4" w14:textId="7DE74313" w:rsidR="00454D5F" w:rsidRPr="009A0DA6" w:rsidRDefault="00454D5F" w:rsidP="00454D5F">
      <w:pPr>
        <w:tabs>
          <w:tab w:val="left" w:pos="851"/>
          <w:tab w:val="left" w:pos="1985"/>
          <w:tab w:val="left" w:pos="3119"/>
          <w:tab w:val="left" w:pos="4536"/>
          <w:tab w:val="left" w:pos="5670"/>
        </w:tabs>
        <w:spacing w:after="0" w:line="240" w:lineRule="auto"/>
        <w:ind w:left="1985" w:hanging="1985"/>
        <w:rPr>
          <w:rFonts w:ascii="Cambria" w:eastAsia="Times New Roman" w:hAnsi="Cambria" w:cs="Times New Roman"/>
          <w:lang w:eastAsia="en-AU"/>
        </w:rPr>
      </w:pPr>
      <w:r w:rsidRPr="009A0DA6">
        <w:rPr>
          <w:rFonts w:ascii="Cambria" w:eastAsia="Times New Roman" w:hAnsi="Cambria" w:cs="Times New Roman"/>
          <w:lang w:eastAsia="en-AU"/>
        </w:rPr>
        <w:tab/>
        <w:t>7.4.2.1</w:t>
      </w:r>
      <w:r w:rsidRPr="009A0DA6">
        <w:rPr>
          <w:rFonts w:ascii="Cambria" w:eastAsia="Times New Roman" w:hAnsi="Cambria" w:cs="Times New Roman"/>
          <w:lang w:eastAsia="en-AU"/>
        </w:rPr>
        <w:tab/>
        <w:t>The names of the nominees chosen in accordance with the preceding Section 7.4.1 shall be submitted in the manner laid down in the following Section 7.4.4 to the convention of the General Synod at which such elections are to take place, and shall stand as the list of nominees unless the convention determines by resolution after the reading of the relevant nominations that additional nomination or nominations may be made</w:t>
      </w:r>
      <w:r w:rsidR="0027799A" w:rsidRPr="009A0DA6">
        <w:rPr>
          <w:rFonts w:ascii="Cambria" w:eastAsia="Times New Roman" w:hAnsi="Cambria" w:cs="Times New Roman"/>
          <w:lang w:eastAsia="en-AU"/>
        </w:rPr>
        <w:t xml:space="preserve">. </w:t>
      </w:r>
      <w:r w:rsidRPr="009A0DA6">
        <w:rPr>
          <w:rFonts w:ascii="Cambria" w:eastAsia="Times New Roman" w:hAnsi="Cambria" w:cs="Times New Roman"/>
          <w:lang w:eastAsia="en-AU"/>
        </w:rPr>
        <w:t xml:space="preserve">For inclusion on the list each proposed additional nomination shall separately require a majority of those delegates </w:t>
      </w:r>
      <w:r w:rsidRPr="009A0DA6">
        <w:rPr>
          <w:rFonts w:ascii="Cambria" w:eastAsia="Times New Roman" w:hAnsi="Cambria" w:cs="Times New Roman"/>
          <w:strike/>
          <w:lang w:eastAsia="en-AU"/>
        </w:rPr>
        <w:t>present</w:t>
      </w:r>
      <w:r w:rsidRPr="009A0DA6">
        <w:rPr>
          <w:rFonts w:ascii="Cambria" w:eastAsia="Times New Roman" w:hAnsi="Cambria" w:cs="Times New Roman"/>
          <w:b/>
          <w:lang w:eastAsia="en-AU"/>
        </w:rPr>
        <w:t>voting</w:t>
      </w:r>
      <w:r w:rsidRPr="009A0DA6">
        <w:rPr>
          <w:rFonts w:ascii="Cambria" w:eastAsia="Times New Roman" w:hAnsi="Cambria" w:cs="Times New Roman"/>
          <w:lang w:eastAsia="en-AU"/>
        </w:rPr>
        <w:t>, the vote being taken y show of hands.</w:t>
      </w:r>
    </w:p>
    <w:p w14:paraId="3304669A" w14:textId="77777777" w:rsidR="00454D5F" w:rsidRPr="009A0DA6" w:rsidRDefault="00454D5F" w:rsidP="00454D5F">
      <w:pPr>
        <w:tabs>
          <w:tab w:val="left" w:pos="851"/>
          <w:tab w:val="left" w:pos="1985"/>
          <w:tab w:val="left" w:pos="3119"/>
          <w:tab w:val="left" w:pos="4536"/>
          <w:tab w:val="left" w:pos="5670"/>
        </w:tabs>
        <w:spacing w:after="0" w:line="240" w:lineRule="auto"/>
        <w:ind w:left="851" w:hanging="851"/>
        <w:rPr>
          <w:rFonts w:ascii="Cambria" w:eastAsia="Times New Roman" w:hAnsi="Cambria" w:cs="Times New Roman"/>
          <w:lang w:eastAsia="en-AU"/>
        </w:rPr>
      </w:pPr>
    </w:p>
    <w:p w14:paraId="4AE0F471" w14:textId="77777777" w:rsidR="00454D5F" w:rsidRPr="009A0DA6" w:rsidRDefault="00454D5F" w:rsidP="00454D5F">
      <w:pPr>
        <w:tabs>
          <w:tab w:val="left" w:pos="284"/>
          <w:tab w:val="left" w:pos="851"/>
          <w:tab w:val="left" w:pos="2268"/>
        </w:tabs>
        <w:spacing w:after="0" w:line="240" w:lineRule="auto"/>
        <w:rPr>
          <w:rFonts w:ascii="Cambria" w:eastAsia="Times New Roman" w:hAnsi="Cambria" w:cs="Times New Roman"/>
        </w:rPr>
      </w:pPr>
      <w:r w:rsidRPr="009A0DA6">
        <w:rPr>
          <w:rFonts w:ascii="Cambria" w:eastAsia="Times New Roman" w:hAnsi="Cambria" w:cs="Times New Roman"/>
          <w:b/>
          <w:bCs/>
          <w:color w:val="222222"/>
          <w:lang w:eastAsia="en-AU"/>
        </w:rPr>
        <w:lastRenderedPageBreak/>
        <w:t>BE IT FURTHER RESOLVED</w:t>
      </w:r>
      <w:r w:rsidRPr="009A0DA6">
        <w:rPr>
          <w:rFonts w:ascii="Cambria" w:eastAsia="Times New Roman" w:hAnsi="Cambria" w:cs="Times New Roman"/>
          <w:bCs/>
          <w:color w:val="222222"/>
          <w:lang w:eastAsia="en-AU"/>
        </w:rPr>
        <w:t xml:space="preserve"> that </w:t>
      </w:r>
      <w:r w:rsidRPr="009A0DA6">
        <w:rPr>
          <w:rFonts w:ascii="Cambria" w:eastAsia="Times New Roman" w:hAnsi="Cambria" w:cs="Times New Roman"/>
          <w:b/>
        </w:rPr>
        <w:t>Article 13 Alterations to the Constitution</w:t>
      </w:r>
      <w:r w:rsidRPr="009A0DA6">
        <w:rPr>
          <w:rFonts w:ascii="Cambria" w:eastAsia="Times New Roman" w:hAnsi="Cambria" w:cs="Times New Roman"/>
        </w:rPr>
        <w:t xml:space="preserve"> of the Constitution of the Districts be amended as follows (words to be omitted – </w:t>
      </w:r>
      <w:r w:rsidRPr="009A0DA6">
        <w:rPr>
          <w:rFonts w:ascii="Cambria" w:eastAsia="Times New Roman" w:hAnsi="Cambria" w:cs="Times New Roman"/>
          <w:strike/>
        </w:rPr>
        <w:t>strike-through</w:t>
      </w:r>
      <w:r w:rsidRPr="009A0DA6">
        <w:rPr>
          <w:rFonts w:ascii="Cambria" w:eastAsia="Times New Roman" w:hAnsi="Cambria" w:cs="Times New Roman"/>
        </w:rPr>
        <w:t xml:space="preserve">; words to be added – </w:t>
      </w:r>
      <w:r w:rsidRPr="009A0DA6">
        <w:rPr>
          <w:rFonts w:ascii="Cambria" w:eastAsia="Times New Roman" w:hAnsi="Cambria" w:cs="Times New Roman"/>
          <w:b/>
        </w:rPr>
        <w:t>bold</w:t>
      </w:r>
      <w:r w:rsidRPr="009A0DA6">
        <w:rPr>
          <w:rFonts w:ascii="Cambria" w:eastAsia="Times New Roman" w:hAnsi="Cambria" w:cs="Times New Roman"/>
        </w:rPr>
        <w:t xml:space="preserve">): </w:t>
      </w:r>
    </w:p>
    <w:p w14:paraId="330E6C5E" w14:textId="77777777" w:rsidR="00454D5F" w:rsidRPr="009A0DA6" w:rsidRDefault="00454D5F" w:rsidP="00454D5F">
      <w:pPr>
        <w:tabs>
          <w:tab w:val="left" w:pos="284"/>
          <w:tab w:val="left" w:pos="851"/>
          <w:tab w:val="left" w:pos="2268"/>
        </w:tabs>
        <w:spacing w:after="0" w:line="240" w:lineRule="auto"/>
        <w:rPr>
          <w:rFonts w:ascii="Cambria" w:eastAsia="Times New Roman" w:hAnsi="Cambria" w:cs="Times New Roman"/>
          <w:lang w:eastAsia="ja-JP"/>
        </w:rPr>
      </w:pPr>
    </w:p>
    <w:p w14:paraId="4B601968" w14:textId="5DE54FA0" w:rsidR="00454D5F" w:rsidRPr="009A0DA6" w:rsidRDefault="00454D5F" w:rsidP="00454D5F">
      <w:pPr>
        <w:tabs>
          <w:tab w:val="left" w:pos="851"/>
          <w:tab w:val="left" w:pos="1985"/>
          <w:tab w:val="left" w:pos="3119"/>
          <w:tab w:val="left" w:pos="4536"/>
          <w:tab w:val="left" w:pos="5670"/>
        </w:tabs>
        <w:spacing w:after="0" w:line="240" w:lineRule="auto"/>
        <w:jc w:val="center"/>
        <w:rPr>
          <w:rFonts w:ascii="Cambria" w:eastAsia="Times New Roman" w:hAnsi="Cambria" w:cs="Times New Roman"/>
          <w:b/>
          <w:noProof/>
          <w:lang w:eastAsia="en-AU"/>
        </w:rPr>
      </w:pPr>
      <w:r w:rsidRPr="009A0DA6">
        <w:rPr>
          <w:rFonts w:ascii="Cambria" w:eastAsia="Times New Roman" w:hAnsi="Cambria" w:cs="Times New Roman"/>
          <w:b/>
          <w:noProof/>
          <w:lang w:eastAsia="en-AU"/>
        </w:rPr>
        <w:t>Article  13</w:t>
      </w:r>
      <w:r w:rsidR="0027799A" w:rsidRPr="009A0DA6">
        <w:rPr>
          <w:rFonts w:ascii="Cambria" w:eastAsia="Times New Roman" w:hAnsi="Cambria" w:cs="Times New Roman"/>
          <w:b/>
          <w:noProof/>
          <w:lang w:eastAsia="en-AU"/>
        </w:rPr>
        <w:t xml:space="preserve">. </w:t>
      </w:r>
      <w:r w:rsidRPr="009A0DA6">
        <w:rPr>
          <w:rFonts w:ascii="Cambria" w:eastAsia="Times New Roman" w:hAnsi="Cambria" w:cs="Times New Roman"/>
          <w:b/>
          <w:noProof/>
          <w:lang w:eastAsia="en-AU"/>
        </w:rPr>
        <w:t xml:space="preserve"> ALTERATIONS  TO  THE  CONSTITUTION</w:t>
      </w:r>
    </w:p>
    <w:p w14:paraId="40BB7AA8" w14:textId="77777777" w:rsidR="00454D5F" w:rsidRPr="009A0DA6" w:rsidRDefault="00454D5F" w:rsidP="00454D5F">
      <w:pPr>
        <w:tabs>
          <w:tab w:val="left" w:pos="851"/>
          <w:tab w:val="left" w:pos="1985"/>
          <w:tab w:val="left" w:pos="3119"/>
          <w:tab w:val="left" w:pos="4536"/>
          <w:tab w:val="left" w:pos="5670"/>
        </w:tabs>
        <w:spacing w:after="0" w:line="240" w:lineRule="auto"/>
        <w:jc w:val="center"/>
        <w:rPr>
          <w:rFonts w:ascii="Cambria" w:eastAsia="Times New Roman" w:hAnsi="Cambria" w:cs="Times New Roman"/>
          <w:noProof/>
          <w:sz w:val="10"/>
          <w:szCs w:val="10"/>
          <w:lang w:eastAsia="en-AU"/>
        </w:rPr>
      </w:pPr>
    </w:p>
    <w:p w14:paraId="735D4AA2" w14:textId="77777777" w:rsidR="00454D5F" w:rsidRPr="009A0DA6" w:rsidRDefault="00454D5F" w:rsidP="00454D5F">
      <w:pPr>
        <w:tabs>
          <w:tab w:val="left" w:pos="567"/>
          <w:tab w:val="left" w:pos="1985"/>
          <w:tab w:val="left" w:pos="3119"/>
          <w:tab w:val="left" w:pos="4536"/>
          <w:tab w:val="left" w:pos="5670"/>
        </w:tabs>
        <w:spacing w:after="0" w:line="240" w:lineRule="auto"/>
        <w:ind w:left="567" w:hanging="567"/>
        <w:rPr>
          <w:rFonts w:ascii="Cambria" w:eastAsia="Times New Roman" w:hAnsi="Cambria" w:cs="Times New Roman"/>
          <w:noProof/>
          <w:lang w:eastAsia="en-AU"/>
        </w:rPr>
      </w:pPr>
      <w:r w:rsidRPr="009A0DA6">
        <w:rPr>
          <w:rFonts w:ascii="Cambria" w:eastAsia="Times New Roman" w:hAnsi="Cambria" w:cs="Times New Roman"/>
          <w:noProof/>
          <w:lang w:eastAsia="en-AU"/>
        </w:rPr>
        <w:t>13.1</w:t>
      </w:r>
      <w:r w:rsidRPr="009A0DA6">
        <w:rPr>
          <w:rFonts w:ascii="Cambria" w:eastAsia="Times New Roman" w:hAnsi="Cambria" w:cs="Times New Roman"/>
          <w:noProof/>
          <w:lang w:eastAsia="en-AU"/>
        </w:rPr>
        <w:tab/>
        <w:t>The District, through its Synod, in accordance with the procedure laid down in the By-laws of the Church may petition the Church or its General Church Council, to amend, alter, add to or repeal any of the rules, except Article 2. and Article 13.1 of the Constitution, which shall be considered fundamental and unalterable in their intent and meaning.</w:t>
      </w:r>
    </w:p>
    <w:p w14:paraId="5D050D41" w14:textId="639EAAC6" w:rsidR="00454D5F" w:rsidRPr="009A0DA6" w:rsidRDefault="00454D5F" w:rsidP="00454D5F">
      <w:pPr>
        <w:tabs>
          <w:tab w:val="left" w:pos="567"/>
          <w:tab w:val="left" w:pos="1985"/>
          <w:tab w:val="left" w:pos="3119"/>
          <w:tab w:val="left" w:pos="4536"/>
          <w:tab w:val="left" w:pos="5670"/>
        </w:tabs>
        <w:spacing w:after="0" w:line="240" w:lineRule="auto"/>
        <w:ind w:left="567" w:hanging="567"/>
        <w:rPr>
          <w:rFonts w:ascii="Cambria" w:eastAsia="Times New Roman" w:hAnsi="Cambria" w:cs="Times New Roman"/>
          <w:noProof/>
          <w:lang w:eastAsia="en-AU"/>
        </w:rPr>
      </w:pPr>
      <w:r w:rsidRPr="009A0DA6">
        <w:rPr>
          <w:rFonts w:ascii="Cambria" w:eastAsia="Times New Roman" w:hAnsi="Cambria" w:cs="Times New Roman"/>
          <w:noProof/>
          <w:lang w:eastAsia="en-AU"/>
        </w:rPr>
        <w:t>13.2</w:t>
      </w:r>
      <w:r w:rsidRPr="009A0DA6">
        <w:rPr>
          <w:rFonts w:ascii="Cambria" w:eastAsia="Times New Roman" w:hAnsi="Cambria" w:cs="Times New Roman"/>
          <w:noProof/>
          <w:lang w:eastAsia="en-AU"/>
        </w:rPr>
        <w:tab/>
      </w:r>
      <w:r w:rsidRPr="009A0DA6">
        <w:rPr>
          <w:rFonts w:ascii="Cambria" w:eastAsia="Times New Roman" w:hAnsi="Cambria" w:cs="Arial"/>
          <w:noProof/>
          <w:lang w:eastAsia="en-AU"/>
        </w:rPr>
        <w:t xml:space="preserve">Notice of any </w:t>
      </w:r>
      <w:r w:rsidRPr="009A0DA6">
        <w:rPr>
          <w:rFonts w:ascii="Cambria" w:eastAsia="Times New Roman" w:hAnsi="Cambria" w:cs="Arial"/>
          <w:bCs/>
          <w:noProof/>
          <w:lang w:eastAsia="en-AU"/>
        </w:rPr>
        <w:t>motion to</w:t>
      </w:r>
      <w:r w:rsidRPr="009A0DA6">
        <w:rPr>
          <w:rFonts w:ascii="Cambria" w:eastAsia="Times New Roman" w:hAnsi="Cambria" w:cs="Arial"/>
          <w:noProof/>
          <w:lang w:eastAsia="en-AU"/>
        </w:rPr>
        <w:t xml:space="preserve"> amend, alter, add to or repeal any of the rules shall be given on the agenda of the convention, and any such motion shall require a two-thirds majority of</w:t>
      </w:r>
      <w:r w:rsidRPr="009A0DA6">
        <w:rPr>
          <w:rFonts w:ascii="Cambria" w:eastAsia="Times New Roman" w:hAnsi="Cambria" w:cs="Arial"/>
          <w:bCs/>
          <w:noProof/>
          <w:lang w:eastAsia="en-AU"/>
        </w:rPr>
        <w:t xml:space="preserve"> </w:t>
      </w:r>
      <w:r w:rsidRPr="009A0DA6">
        <w:rPr>
          <w:rFonts w:ascii="Cambria" w:eastAsia="Times New Roman" w:hAnsi="Cambria" w:cs="Arial"/>
          <w:bCs/>
          <w:strike/>
          <w:noProof/>
          <w:lang w:eastAsia="en-AU"/>
        </w:rPr>
        <w:t>all</w:t>
      </w:r>
      <w:r w:rsidRPr="009A0DA6">
        <w:rPr>
          <w:rFonts w:ascii="Cambria" w:eastAsia="Times New Roman" w:hAnsi="Cambria" w:cs="Arial"/>
          <w:bCs/>
          <w:iCs/>
          <w:strike/>
          <w:noProof/>
          <w:lang w:eastAsia="en-AU"/>
        </w:rPr>
        <w:t xml:space="preserve"> </w:t>
      </w:r>
      <w:r w:rsidRPr="009A0DA6">
        <w:rPr>
          <w:rFonts w:ascii="Cambria" w:eastAsia="Times New Roman" w:hAnsi="Cambria" w:cs="Arial"/>
          <w:bCs/>
          <w:iCs/>
          <w:noProof/>
          <w:lang w:eastAsia="en-AU"/>
        </w:rPr>
        <w:t xml:space="preserve">the </w:t>
      </w:r>
      <w:r w:rsidRPr="009A0DA6">
        <w:rPr>
          <w:rFonts w:ascii="Cambria" w:eastAsia="Times New Roman" w:hAnsi="Cambria" w:cs="Arial"/>
          <w:strike/>
          <w:noProof/>
          <w:lang w:eastAsia="en-AU"/>
        </w:rPr>
        <w:t xml:space="preserve">registered </w:t>
      </w:r>
      <w:r w:rsidRPr="009A0DA6">
        <w:rPr>
          <w:rFonts w:ascii="Cambria" w:eastAsia="Times New Roman" w:hAnsi="Cambria" w:cs="Arial"/>
          <w:noProof/>
          <w:color w:val="000000" w:themeColor="text1"/>
          <w:lang w:eastAsia="en-AU"/>
        </w:rPr>
        <w:t xml:space="preserve">delegates </w:t>
      </w:r>
      <w:r w:rsidRPr="009A0DA6">
        <w:rPr>
          <w:rFonts w:ascii="Cambria" w:eastAsia="Times New Roman" w:hAnsi="Cambria" w:cs="Arial"/>
          <w:b/>
          <w:noProof/>
          <w:color w:val="000000" w:themeColor="text1"/>
          <w:lang w:eastAsia="en-AU"/>
        </w:rPr>
        <w:t>voting</w:t>
      </w:r>
      <w:r w:rsidRPr="009A0DA6">
        <w:rPr>
          <w:rFonts w:ascii="Cambria" w:eastAsia="Times New Roman" w:hAnsi="Cambria" w:cs="Arial"/>
          <w:noProof/>
          <w:color w:val="000000" w:themeColor="text1"/>
          <w:lang w:eastAsia="en-AU"/>
        </w:rPr>
        <w:t xml:space="preserve"> at </w:t>
      </w:r>
      <w:r w:rsidRPr="009A0DA6">
        <w:rPr>
          <w:rFonts w:ascii="Cambria" w:eastAsia="Times New Roman" w:hAnsi="Cambria" w:cs="Arial"/>
          <w:noProof/>
          <w:lang w:eastAsia="en-AU"/>
        </w:rPr>
        <w:t>the convention, unless the motion relates to an amendment, alteration, addition or repeal already approved or recommended by General Synod or General Church Council of the Church, in which case the motion shall require a majority of those voting</w:t>
      </w:r>
      <w:r w:rsidR="0027799A" w:rsidRPr="009A0DA6">
        <w:rPr>
          <w:rFonts w:ascii="Cambria" w:eastAsia="Times New Roman" w:hAnsi="Cambria" w:cs="Arial"/>
          <w:noProof/>
          <w:lang w:eastAsia="en-AU"/>
        </w:rPr>
        <w:t xml:space="preserve">. </w:t>
      </w:r>
    </w:p>
    <w:p w14:paraId="25DA5FBD" w14:textId="77777777" w:rsidR="00454D5F" w:rsidRPr="009A0DA6" w:rsidRDefault="00454D5F" w:rsidP="00454D5F">
      <w:pPr>
        <w:tabs>
          <w:tab w:val="left" w:pos="851"/>
          <w:tab w:val="left" w:pos="1985"/>
          <w:tab w:val="left" w:pos="3119"/>
          <w:tab w:val="left" w:pos="4536"/>
          <w:tab w:val="left" w:pos="5670"/>
        </w:tabs>
        <w:spacing w:after="0" w:line="240" w:lineRule="auto"/>
        <w:ind w:left="851" w:hanging="851"/>
        <w:rPr>
          <w:rFonts w:ascii="Cambria" w:eastAsia="Times New Roman" w:hAnsi="Cambria" w:cs="Times New Roman"/>
          <w:noProof/>
          <w:lang w:eastAsia="en-AU"/>
        </w:rPr>
      </w:pPr>
    </w:p>
    <w:p w14:paraId="4597A96E" w14:textId="55D49BF3" w:rsidR="00454D5F" w:rsidRPr="009A0DA6" w:rsidRDefault="00FF011D" w:rsidP="00454D5F">
      <w:pPr>
        <w:tabs>
          <w:tab w:val="left" w:pos="284"/>
          <w:tab w:val="left" w:pos="851"/>
          <w:tab w:val="left" w:pos="2268"/>
        </w:tabs>
        <w:spacing w:after="0" w:line="240" w:lineRule="auto"/>
        <w:rPr>
          <w:rFonts w:ascii="Cambria" w:eastAsia="Times New Roman" w:hAnsi="Cambria" w:cs="Times New Roman"/>
        </w:rPr>
      </w:pPr>
      <w:r>
        <w:rPr>
          <w:rFonts w:ascii="Cambria" w:eastAsia="Times New Roman" w:hAnsi="Cambria" w:cs="Times New Roman"/>
          <w:b/>
          <w:bCs/>
          <w:color w:val="222222"/>
          <w:lang w:eastAsia="en-AU"/>
        </w:rPr>
        <w:t>BE</w:t>
      </w:r>
      <w:r w:rsidR="00454D5F" w:rsidRPr="009A0DA6">
        <w:rPr>
          <w:rFonts w:ascii="Cambria" w:eastAsia="Times New Roman" w:hAnsi="Cambria" w:cs="Times New Roman"/>
          <w:b/>
          <w:bCs/>
          <w:color w:val="222222"/>
          <w:lang w:eastAsia="en-AU"/>
        </w:rPr>
        <w:t xml:space="preserve"> IT FURTHER  RESOLVED</w:t>
      </w:r>
      <w:r w:rsidR="00454D5F" w:rsidRPr="009A0DA6">
        <w:rPr>
          <w:rFonts w:ascii="Cambria" w:eastAsia="Times New Roman" w:hAnsi="Cambria" w:cs="Times New Roman"/>
          <w:bCs/>
          <w:color w:val="222222"/>
          <w:lang w:eastAsia="en-AU"/>
        </w:rPr>
        <w:t xml:space="preserve">  that </w:t>
      </w:r>
      <w:r w:rsidR="00454D5F" w:rsidRPr="009A0DA6">
        <w:rPr>
          <w:rFonts w:ascii="Cambria" w:eastAsia="Times New Roman" w:hAnsi="Cambria" w:cs="Times New Roman"/>
          <w:b/>
        </w:rPr>
        <w:t>Section 7</w:t>
      </w:r>
      <w:r w:rsidR="00454D5F" w:rsidRPr="009A0DA6">
        <w:rPr>
          <w:rFonts w:ascii="Cambria" w:eastAsia="Times New Roman" w:hAnsi="Cambria" w:cs="Times New Roman"/>
        </w:rPr>
        <w:t xml:space="preserve"> </w:t>
      </w:r>
      <w:r w:rsidR="00454D5F" w:rsidRPr="009A0DA6">
        <w:rPr>
          <w:rFonts w:ascii="Cambria" w:eastAsia="Times New Roman" w:hAnsi="Cambria" w:cs="Times New Roman"/>
          <w:b/>
        </w:rPr>
        <w:t>Procedure in Transacting Business</w:t>
      </w:r>
      <w:r w:rsidR="00454D5F" w:rsidRPr="009A0DA6">
        <w:rPr>
          <w:rFonts w:ascii="Cambria" w:eastAsia="Times New Roman" w:hAnsi="Cambria" w:cs="Times New Roman"/>
        </w:rPr>
        <w:t xml:space="preserve"> of the By-laws of the Constitution of the Districts be amended as follows (words to be omitted – </w:t>
      </w:r>
      <w:r w:rsidR="00454D5F" w:rsidRPr="009A0DA6">
        <w:rPr>
          <w:rFonts w:ascii="Cambria" w:eastAsia="Times New Roman" w:hAnsi="Cambria" w:cs="Times New Roman"/>
          <w:strike/>
        </w:rPr>
        <w:t>strike-through</w:t>
      </w:r>
      <w:r w:rsidR="00454D5F" w:rsidRPr="009A0DA6">
        <w:rPr>
          <w:rFonts w:ascii="Cambria" w:eastAsia="Times New Roman" w:hAnsi="Cambria" w:cs="Times New Roman"/>
        </w:rPr>
        <w:t xml:space="preserve">;  words to be added – </w:t>
      </w:r>
      <w:r w:rsidR="00454D5F" w:rsidRPr="009A0DA6">
        <w:rPr>
          <w:rFonts w:ascii="Cambria" w:eastAsia="Times New Roman" w:hAnsi="Cambria" w:cs="Times New Roman"/>
          <w:b/>
        </w:rPr>
        <w:t>bold</w:t>
      </w:r>
      <w:r w:rsidR="00454D5F" w:rsidRPr="009A0DA6">
        <w:rPr>
          <w:rFonts w:ascii="Cambria" w:eastAsia="Times New Roman" w:hAnsi="Cambria" w:cs="Times New Roman"/>
        </w:rPr>
        <w:t xml:space="preserve">): </w:t>
      </w:r>
    </w:p>
    <w:p w14:paraId="664BBDA5" w14:textId="77777777" w:rsidR="00454D5F" w:rsidRPr="009A0DA6" w:rsidRDefault="00454D5F" w:rsidP="00454D5F">
      <w:pPr>
        <w:tabs>
          <w:tab w:val="left" w:pos="284"/>
          <w:tab w:val="left" w:pos="851"/>
          <w:tab w:val="left" w:pos="2268"/>
        </w:tabs>
        <w:spacing w:after="0" w:line="240" w:lineRule="auto"/>
        <w:rPr>
          <w:rFonts w:ascii="Cambria" w:eastAsia="Times New Roman" w:hAnsi="Cambria" w:cs="Times New Roman"/>
          <w:lang w:eastAsia="ja-JP"/>
        </w:rPr>
      </w:pPr>
    </w:p>
    <w:p w14:paraId="02B7573C" w14:textId="77777777" w:rsidR="00454D5F" w:rsidRPr="009A0DA6" w:rsidRDefault="00454D5F" w:rsidP="00454D5F">
      <w:pPr>
        <w:tabs>
          <w:tab w:val="left" w:pos="567"/>
          <w:tab w:val="left" w:pos="1418"/>
          <w:tab w:val="left" w:pos="3119"/>
          <w:tab w:val="left" w:pos="4536"/>
          <w:tab w:val="left" w:pos="5670"/>
        </w:tabs>
        <w:spacing w:after="0" w:line="240" w:lineRule="auto"/>
        <w:ind w:left="1418" w:hanging="1418"/>
        <w:rPr>
          <w:rFonts w:ascii="Cambria" w:eastAsia="Times New Roman" w:hAnsi="Cambria" w:cs="Times New Roman"/>
          <w:noProof/>
          <w:lang w:eastAsia="en-AU"/>
        </w:rPr>
      </w:pPr>
      <w:r w:rsidRPr="009A0DA6">
        <w:rPr>
          <w:rFonts w:ascii="Cambria" w:eastAsia="Times New Roman" w:hAnsi="Cambria" w:cs="Times New Roman"/>
          <w:noProof/>
          <w:lang w:eastAsia="en-AU"/>
        </w:rPr>
        <w:tab/>
        <w:t>7.3.29</w:t>
      </w:r>
      <w:r w:rsidRPr="009A0DA6">
        <w:rPr>
          <w:rFonts w:ascii="Cambria" w:eastAsia="Times New Roman" w:hAnsi="Cambria" w:cs="Times New Roman"/>
          <w:noProof/>
          <w:lang w:eastAsia="en-AU"/>
        </w:rPr>
        <w:tab/>
        <w:t xml:space="preserve">Any of the By-laws in Section 7.3 may, if the need arises, be suspended in respect to any business of the convention by a two-thirds majority of those delegates </w:t>
      </w:r>
      <w:r w:rsidRPr="009A0DA6">
        <w:rPr>
          <w:rFonts w:ascii="Cambria" w:eastAsia="Times New Roman" w:hAnsi="Cambria" w:cs="Times New Roman"/>
          <w:strike/>
          <w:noProof/>
          <w:lang w:eastAsia="en-AU"/>
        </w:rPr>
        <w:t>present</w:t>
      </w:r>
      <w:r w:rsidRPr="009A0DA6">
        <w:rPr>
          <w:rFonts w:ascii="Cambria" w:eastAsia="Times New Roman" w:hAnsi="Cambria" w:cs="Times New Roman"/>
          <w:b/>
          <w:noProof/>
          <w:lang w:eastAsia="en-AU"/>
        </w:rPr>
        <w:t>voting</w:t>
      </w:r>
      <w:r w:rsidRPr="009A0DA6">
        <w:rPr>
          <w:rFonts w:ascii="Cambria" w:eastAsia="Times New Roman" w:hAnsi="Cambria" w:cs="Times New Roman"/>
          <w:noProof/>
          <w:lang w:eastAsia="en-AU"/>
        </w:rPr>
        <w:t>.</w:t>
      </w:r>
    </w:p>
    <w:p w14:paraId="4E9A48AD" w14:textId="77777777" w:rsidR="00454D5F" w:rsidRPr="009A0DA6" w:rsidRDefault="00454D5F" w:rsidP="00454D5F">
      <w:pPr>
        <w:tabs>
          <w:tab w:val="left" w:pos="851"/>
          <w:tab w:val="left" w:pos="1985"/>
          <w:tab w:val="left" w:pos="3119"/>
          <w:tab w:val="left" w:pos="4536"/>
          <w:tab w:val="left" w:pos="5670"/>
        </w:tabs>
        <w:spacing w:after="0" w:line="240" w:lineRule="auto"/>
        <w:rPr>
          <w:rFonts w:ascii="Cambria" w:eastAsia="Times New Roman" w:hAnsi="Cambria" w:cs="Times New Roman"/>
          <w:b/>
          <w:noProof/>
          <w:lang w:eastAsia="en-AU"/>
        </w:rPr>
      </w:pPr>
      <w:r w:rsidRPr="009A0DA6">
        <w:rPr>
          <w:rFonts w:ascii="Cambria" w:eastAsia="Times New Roman" w:hAnsi="Cambria" w:cs="Times New Roman"/>
          <w:b/>
          <w:noProof/>
          <w:lang w:eastAsia="en-AU"/>
        </w:rPr>
        <w:t>Elections</w:t>
      </w:r>
    </w:p>
    <w:p w14:paraId="10505A17" w14:textId="77777777" w:rsidR="00454D5F" w:rsidRPr="009A0DA6" w:rsidRDefault="00454D5F" w:rsidP="00454D5F">
      <w:pPr>
        <w:tabs>
          <w:tab w:val="left" w:pos="567"/>
          <w:tab w:val="left" w:pos="1985"/>
          <w:tab w:val="left" w:pos="3119"/>
          <w:tab w:val="left" w:pos="4536"/>
          <w:tab w:val="left" w:pos="5670"/>
        </w:tabs>
        <w:spacing w:after="0" w:line="240" w:lineRule="auto"/>
        <w:ind w:left="567" w:hanging="567"/>
        <w:rPr>
          <w:rFonts w:ascii="Cambria" w:eastAsia="Times New Roman" w:hAnsi="Cambria" w:cs="Times New Roman"/>
          <w:noProof/>
          <w:lang w:eastAsia="en-AU"/>
        </w:rPr>
      </w:pPr>
      <w:r w:rsidRPr="009A0DA6">
        <w:rPr>
          <w:rFonts w:ascii="Cambria" w:eastAsia="Times New Roman" w:hAnsi="Cambria" w:cs="Times New Roman"/>
          <w:noProof/>
          <w:lang w:eastAsia="en-AU"/>
        </w:rPr>
        <w:t>7.5</w:t>
      </w:r>
      <w:r w:rsidRPr="009A0DA6">
        <w:rPr>
          <w:rFonts w:ascii="Cambria" w:eastAsia="Times New Roman" w:hAnsi="Cambria" w:cs="Times New Roman"/>
          <w:noProof/>
          <w:lang w:eastAsia="en-AU"/>
        </w:rPr>
        <w:tab/>
        <w:t>The method of electing the Bishop and thereafter in their order the Assistant Bishops of the District shall be as follows:</w:t>
      </w:r>
    </w:p>
    <w:p w14:paraId="759CD787" w14:textId="7B13FADD" w:rsidR="00454D5F" w:rsidRPr="009A0DA6" w:rsidRDefault="00454D5F" w:rsidP="00454D5F">
      <w:pPr>
        <w:tabs>
          <w:tab w:val="left" w:pos="567"/>
          <w:tab w:val="left" w:pos="1418"/>
          <w:tab w:val="left" w:pos="3119"/>
          <w:tab w:val="left" w:pos="4536"/>
          <w:tab w:val="left" w:pos="5670"/>
        </w:tabs>
        <w:spacing w:after="0" w:line="240" w:lineRule="auto"/>
        <w:ind w:left="1418" w:hanging="1418"/>
        <w:rPr>
          <w:rFonts w:ascii="Cambria" w:eastAsia="Times New Roman" w:hAnsi="Cambria" w:cs="Times New Roman"/>
          <w:noProof/>
          <w:lang w:eastAsia="en-AU"/>
        </w:rPr>
      </w:pPr>
      <w:r w:rsidRPr="009A0DA6">
        <w:rPr>
          <w:rFonts w:ascii="Cambria" w:eastAsia="Times New Roman" w:hAnsi="Cambria" w:cs="Times New Roman"/>
          <w:noProof/>
          <w:lang w:eastAsia="en-AU"/>
        </w:rPr>
        <w:tab/>
        <w:t>7.5.1</w:t>
      </w:r>
      <w:r w:rsidRPr="009A0DA6">
        <w:rPr>
          <w:rFonts w:ascii="Cambria" w:eastAsia="Times New Roman" w:hAnsi="Cambria" w:cs="Times New Roman"/>
          <w:noProof/>
          <w:lang w:eastAsia="en-AU"/>
        </w:rPr>
        <w:tab/>
        <w:t>The names of the nominees of the Pastors' Conference shall be submitted to the convention of the Synod at which such elections are to take place, and shall stand as the list of nominees unless the convention determines by resolution after the reading of the relevant nominations that additional nomination or nominations may be made</w:t>
      </w:r>
      <w:r w:rsidR="0027799A" w:rsidRPr="009A0DA6">
        <w:rPr>
          <w:rFonts w:ascii="Cambria" w:eastAsia="Times New Roman" w:hAnsi="Cambria" w:cs="Times New Roman"/>
          <w:noProof/>
          <w:lang w:eastAsia="en-AU"/>
        </w:rPr>
        <w:t xml:space="preserve">. </w:t>
      </w:r>
      <w:r w:rsidRPr="009A0DA6">
        <w:rPr>
          <w:rFonts w:ascii="Cambria" w:eastAsia="Times New Roman" w:hAnsi="Cambria" w:cs="Times New Roman"/>
          <w:noProof/>
          <w:lang w:eastAsia="en-AU"/>
        </w:rPr>
        <w:t xml:space="preserve">For inclusion on the list each proposed additional nomination shall separately require a majority of those delegates </w:t>
      </w:r>
      <w:r w:rsidRPr="009A0DA6">
        <w:rPr>
          <w:rFonts w:ascii="Cambria" w:eastAsia="Times New Roman" w:hAnsi="Cambria" w:cs="Times New Roman"/>
          <w:strike/>
          <w:noProof/>
          <w:lang w:eastAsia="en-AU"/>
        </w:rPr>
        <w:t>present</w:t>
      </w:r>
      <w:r w:rsidRPr="009A0DA6">
        <w:rPr>
          <w:rFonts w:ascii="Cambria" w:eastAsia="Times New Roman" w:hAnsi="Cambria" w:cs="Times New Roman"/>
          <w:b/>
          <w:noProof/>
          <w:lang w:eastAsia="en-AU"/>
        </w:rPr>
        <w:t>voting</w:t>
      </w:r>
      <w:r w:rsidRPr="009A0DA6">
        <w:rPr>
          <w:rFonts w:ascii="Cambria" w:eastAsia="Times New Roman" w:hAnsi="Cambria" w:cs="Times New Roman"/>
          <w:noProof/>
          <w:lang w:eastAsia="en-AU"/>
        </w:rPr>
        <w:t xml:space="preserve">, the vote being taken by show of hands. </w:t>
      </w:r>
    </w:p>
    <w:p w14:paraId="1D055892" w14:textId="77777777" w:rsidR="00454D5F" w:rsidRPr="009A0DA6" w:rsidRDefault="00454D5F" w:rsidP="00454D5F">
      <w:pPr>
        <w:spacing w:after="0" w:line="240" w:lineRule="auto"/>
        <w:ind w:right="573" w:firstLine="6"/>
        <w:rPr>
          <w:rFonts w:ascii="Cambria" w:eastAsia="Times New Roman" w:hAnsi="Cambria" w:cs="Times New Roman"/>
          <w:bCs/>
          <w:color w:val="222222"/>
          <w:lang w:eastAsia="en-AU"/>
        </w:rPr>
      </w:pPr>
    </w:p>
    <w:p w14:paraId="71239CB2" w14:textId="77777777" w:rsidR="00454D5F" w:rsidRPr="009A0DA6" w:rsidRDefault="00454D5F" w:rsidP="00786120">
      <w:pPr>
        <w:pStyle w:val="Heading3"/>
        <w:spacing w:after="0"/>
        <w:rPr>
          <w:rFonts w:eastAsia="SimSun" w:cs="F"/>
        </w:rPr>
      </w:pPr>
      <w:r w:rsidRPr="009A0DA6">
        <w:t>REASONS FOR THE MOTION</w:t>
      </w:r>
    </w:p>
    <w:p w14:paraId="6D5D5986" w14:textId="77777777" w:rsidR="005B418B" w:rsidRPr="009A0DA6" w:rsidRDefault="005B418B" w:rsidP="00786120">
      <w:pPr>
        <w:pStyle w:val="NoSpacing"/>
      </w:pPr>
      <w:r w:rsidRPr="009A0DA6">
        <w:t>It has been identified that there are anomalies and/or inconsistencies in the Constitution methodology for determining the outcome of a vote. The Constitution and/or By-Laws currently include the following provisions:</w:t>
      </w:r>
    </w:p>
    <w:p w14:paraId="314056C7" w14:textId="170B94C3" w:rsidR="005B418B" w:rsidRPr="009A0DA6" w:rsidRDefault="005B418B" w:rsidP="00F55252">
      <w:pPr>
        <w:pStyle w:val="NoSpacing"/>
        <w:numPr>
          <w:ilvl w:val="0"/>
          <w:numId w:val="308"/>
        </w:numPr>
        <w:ind w:left="567" w:hanging="567"/>
      </w:pPr>
      <w:r w:rsidRPr="009A0DA6">
        <w:t xml:space="preserve">shall require a majority of three-quarters of all the </w:t>
      </w:r>
      <w:r w:rsidRPr="009A0DA6">
        <w:rPr>
          <w:b/>
          <w:bCs/>
          <w:i/>
          <w:iCs/>
        </w:rPr>
        <w:t xml:space="preserve">registered delegates </w:t>
      </w:r>
      <w:r w:rsidR="009E4431">
        <w:rPr>
          <w:b/>
          <w:bCs/>
          <w:i/>
          <w:iCs/>
        </w:rPr>
        <w:t>of the General Synod</w:t>
      </w:r>
      <w:r w:rsidRPr="009A0DA6">
        <w:t xml:space="preserve"> (LCA Constitution Article 11.1.3 - Dissolution).</w:t>
      </w:r>
    </w:p>
    <w:p w14:paraId="0C4DE14B" w14:textId="77777777" w:rsidR="005B418B" w:rsidRPr="009A0DA6" w:rsidRDefault="005B418B" w:rsidP="00F55252">
      <w:pPr>
        <w:pStyle w:val="NoSpacing"/>
        <w:numPr>
          <w:ilvl w:val="0"/>
          <w:numId w:val="308"/>
        </w:numPr>
        <w:ind w:left="567" w:hanging="567"/>
      </w:pPr>
      <w:r w:rsidRPr="009A0DA6">
        <w:t>shall require a two-thirds majority of all delegates registered at the Convention (LCA Constitution Article 13.2 - Alterations to Constitution).</w:t>
      </w:r>
    </w:p>
    <w:p w14:paraId="22C8BB49" w14:textId="77777777" w:rsidR="005B418B" w:rsidRPr="009A0DA6" w:rsidRDefault="005B418B" w:rsidP="00F55252">
      <w:pPr>
        <w:pStyle w:val="NoSpacing"/>
        <w:numPr>
          <w:ilvl w:val="0"/>
          <w:numId w:val="308"/>
        </w:numPr>
        <w:ind w:left="567" w:hanging="567"/>
      </w:pPr>
      <w:r w:rsidRPr="009A0DA6">
        <w:t>Unless otherwise stipulated a majority of those delegates voting shall decide the motion (LCA By-Laws Article 7.3.26.2 – Procedure in Transacting Business)</w:t>
      </w:r>
    </w:p>
    <w:p w14:paraId="09C5AC79" w14:textId="77777777" w:rsidR="005B418B" w:rsidRPr="009A0DA6" w:rsidRDefault="005B418B" w:rsidP="00F55252">
      <w:pPr>
        <w:pStyle w:val="NoSpacing"/>
        <w:numPr>
          <w:ilvl w:val="0"/>
          <w:numId w:val="308"/>
        </w:numPr>
        <w:ind w:left="567" w:hanging="567"/>
      </w:pPr>
      <w:r w:rsidRPr="009A0DA6">
        <w:t>Rules relating to time limits and speakers may be suspended….by a majority of those delegates voting (LCA By-Laws Article 7.3.28.1 – Procedure in Transacting Business)</w:t>
      </w:r>
    </w:p>
    <w:p w14:paraId="7F766656" w14:textId="77777777" w:rsidR="005B418B" w:rsidRPr="009A0DA6" w:rsidRDefault="005B418B" w:rsidP="00F55252">
      <w:pPr>
        <w:pStyle w:val="NoSpacing"/>
        <w:numPr>
          <w:ilvl w:val="0"/>
          <w:numId w:val="308"/>
        </w:numPr>
        <w:ind w:left="567" w:hanging="567"/>
      </w:pPr>
      <w:r w:rsidRPr="009A0DA6">
        <w:t>…of a theological and confessional nature…two thirds majority of all the registered delegates at the convention (LCA By-Laws Article 7.3.28.3 – Procedure in Transacting Business)</w:t>
      </w:r>
    </w:p>
    <w:p w14:paraId="7C40DCE9" w14:textId="77777777" w:rsidR="005B418B" w:rsidRPr="009A0DA6" w:rsidRDefault="005B418B" w:rsidP="00F55252">
      <w:pPr>
        <w:pStyle w:val="NoSpacing"/>
        <w:numPr>
          <w:ilvl w:val="0"/>
          <w:numId w:val="308"/>
        </w:numPr>
        <w:ind w:left="567" w:hanging="567"/>
      </w:pPr>
      <w:r w:rsidRPr="009A0DA6">
        <w:t xml:space="preserve">two-thirds majority of those delegates present (LCA By-Laws Article 7.3.29 – Procedure in Transacting Business) </w:t>
      </w:r>
    </w:p>
    <w:p w14:paraId="5F67D798" w14:textId="77777777" w:rsidR="005B418B" w:rsidRPr="009A0DA6" w:rsidRDefault="005B418B" w:rsidP="005B418B">
      <w:pPr>
        <w:pStyle w:val="NoSpacing"/>
      </w:pPr>
    </w:p>
    <w:p w14:paraId="2DC6D349" w14:textId="77777777" w:rsidR="005B418B" w:rsidRPr="009A0DA6" w:rsidRDefault="005B418B" w:rsidP="005B418B">
      <w:pPr>
        <w:pStyle w:val="NoSpacing"/>
      </w:pPr>
      <w:r w:rsidRPr="009A0DA6">
        <w:t>This proposed motion will introduce a consistent approach to the voting process. It is also consistent with the method of voting in the general community.</w:t>
      </w:r>
    </w:p>
    <w:p w14:paraId="72A88DD1" w14:textId="00D9D68E" w:rsidR="001C7AAD" w:rsidRPr="009A0DA6" w:rsidRDefault="001C7AAD" w:rsidP="00964A90">
      <w:pPr>
        <w:pStyle w:val="Heading3"/>
      </w:pPr>
      <w:r w:rsidRPr="009A0DA6">
        <w:lastRenderedPageBreak/>
        <w:t>agenda 2.4.</w:t>
      </w:r>
      <w:r w:rsidR="00634B13" w:rsidRPr="009A0DA6">
        <w:t>1</w:t>
      </w:r>
      <w:r w:rsidR="000C3458" w:rsidRPr="009A0DA6">
        <w:t>4</w:t>
      </w:r>
    </w:p>
    <w:p w14:paraId="4755794C" w14:textId="77777777" w:rsidR="001C7AAD" w:rsidRPr="009A0DA6" w:rsidRDefault="001C7AAD" w:rsidP="001C7AAD">
      <w:pPr>
        <w:pStyle w:val="Heading2"/>
      </w:pPr>
      <w:bookmarkStart w:id="464" w:name="_Toc521954716"/>
      <w:r w:rsidRPr="009A0DA6">
        <w:t xml:space="preserve">Constitutional </w:t>
      </w:r>
      <w:r w:rsidR="00075925" w:rsidRPr="009A0DA6">
        <w:t>c</w:t>
      </w:r>
      <w:r w:rsidRPr="009A0DA6">
        <w:t>hange</w:t>
      </w:r>
      <w:r w:rsidR="00075925" w:rsidRPr="009A0DA6">
        <w:t>s</w:t>
      </w:r>
      <w:r w:rsidRPr="009A0DA6">
        <w:t xml:space="preserve">: </w:t>
      </w:r>
      <w:r w:rsidR="00634B13" w:rsidRPr="009A0DA6">
        <w:t>Membership</w:t>
      </w:r>
      <w:bookmarkEnd w:id="464"/>
    </w:p>
    <w:p w14:paraId="351B2184" w14:textId="66C2F588" w:rsidR="001C7AAD" w:rsidRDefault="001C7AAD" w:rsidP="001C7AAD">
      <w:pPr>
        <w:pStyle w:val="NoSpacing"/>
      </w:pPr>
    </w:p>
    <w:p w14:paraId="60525100" w14:textId="5403760B" w:rsidR="00296DD9" w:rsidRDefault="00296DD9" w:rsidP="001C7AAD">
      <w:pPr>
        <w:pStyle w:val="NoSpacing"/>
      </w:pPr>
      <w:r>
        <w:t>(See also Agenda 2.3.17)</w:t>
      </w:r>
    </w:p>
    <w:p w14:paraId="23D46721" w14:textId="77777777" w:rsidR="00296DD9" w:rsidRPr="009A0DA6" w:rsidRDefault="00296DD9" w:rsidP="001C7AAD">
      <w:pPr>
        <w:pStyle w:val="NoSpacing"/>
      </w:pPr>
    </w:p>
    <w:p w14:paraId="6CE194AD" w14:textId="77777777" w:rsidR="001C7AAD" w:rsidRPr="009A0DA6" w:rsidRDefault="00454D5F" w:rsidP="00964A90">
      <w:pPr>
        <w:pStyle w:val="Heading3"/>
      </w:pPr>
      <w:r w:rsidRPr="009A0DA6">
        <w:t>proposed motion</w:t>
      </w:r>
    </w:p>
    <w:p w14:paraId="2E894219" w14:textId="77777777" w:rsidR="00454D5F" w:rsidRPr="009A0DA6" w:rsidRDefault="00454D5F" w:rsidP="00454D5F">
      <w:pPr>
        <w:shd w:val="clear" w:color="auto" w:fill="FFFFFF"/>
        <w:tabs>
          <w:tab w:val="left" w:pos="3596"/>
        </w:tabs>
        <w:spacing w:line="240" w:lineRule="auto"/>
        <w:rPr>
          <w:rFonts w:ascii="Cambria" w:eastAsia="Times New Roman" w:hAnsi="Cambria" w:cs="Times New Roman"/>
          <w:bCs/>
          <w:color w:val="222222"/>
          <w:lang w:eastAsia="en-AU"/>
        </w:rPr>
      </w:pPr>
      <w:r w:rsidRPr="009A0DA6">
        <w:rPr>
          <w:rFonts w:ascii="Cambria" w:hAnsi="Cambria"/>
          <w:b/>
          <w:bCs/>
          <w:lang w:eastAsia="en-AU"/>
        </w:rPr>
        <w:t>BE IT RESOLVED</w:t>
      </w:r>
      <w:r w:rsidRPr="009A0DA6">
        <w:rPr>
          <w:rFonts w:ascii="Cambria" w:eastAsia="Times New Roman" w:hAnsi="Cambria" w:cs="Times New Roman"/>
          <w:bCs/>
          <w:color w:val="000000"/>
          <w:lang w:eastAsia="en-AU"/>
        </w:rPr>
        <w:t xml:space="preserve"> </w:t>
      </w:r>
      <w:r w:rsidRPr="009A0DA6">
        <w:rPr>
          <w:rFonts w:ascii="Cambria" w:eastAsia="Times New Roman" w:hAnsi="Cambria" w:cs="Times New Roman"/>
          <w:bCs/>
          <w:color w:val="222222"/>
          <w:lang w:eastAsia="en-AU"/>
        </w:rPr>
        <w:t xml:space="preserve">that </w:t>
      </w:r>
      <w:r w:rsidRPr="009A0DA6">
        <w:rPr>
          <w:rFonts w:ascii="Cambria" w:eastAsia="Times New Roman" w:hAnsi="Cambria" w:cs="Times New Roman"/>
          <w:b/>
          <w:bCs/>
          <w:color w:val="222222"/>
          <w:lang w:eastAsia="en-AU"/>
        </w:rPr>
        <w:t>Article 4 Membership</w:t>
      </w:r>
      <w:r w:rsidRPr="009A0DA6">
        <w:rPr>
          <w:rFonts w:ascii="Cambria" w:eastAsia="Times New Roman" w:hAnsi="Cambria" w:cs="Times New Roman"/>
          <w:bCs/>
          <w:color w:val="222222"/>
          <w:lang w:eastAsia="en-AU"/>
        </w:rPr>
        <w:t xml:space="preserve"> of the Constitution of the Church be amended to include a new clause 4.2 and that the existing clauses 4.2 and 4.3 be renumbered 4.3 and 4.4 as follows:</w:t>
      </w:r>
    </w:p>
    <w:p w14:paraId="62B9820F" w14:textId="3ACF6628" w:rsidR="00454D5F" w:rsidRPr="009A0DA6" w:rsidRDefault="00454D5F" w:rsidP="00454D5F">
      <w:pPr>
        <w:tabs>
          <w:tab w:val="left" w:pos="851"/>
          <w:tab w:val="left" w:pos="1985"/>
          <w:tab w:val="left" w:pos="3119"/>
          <w:tab w:val="left" w:pos="4536"/>
          <w:tab w:val="left" w:pos="5670"/>
        </w:tabs>
        <w:spacing w:after="0" w:line="240" w:lineRule="auto"/>
        <w:jc w:val="center"/>
        <w:rPr>
          <w:rFonts w:ascii="Cambria" w:eastAsia="Times New Roman" w:hAnsi="Cambria" w:cs="Times New Roman"/>
          <w:b/>
          <w:lang w:eastAsia="en-AU"/>
        </w:rPr>
      </w:pPr>
      <w:r w:rsidRPr="009A0DA6">
        <w:rPr>
          <w:rFonts w:ascii="Cambria" w:eastAsia="Times New Roman" w:hAnsi="Cambria" w:cs="Times New Roman"/>
          <w:b/>
          <w:lang w:eastAsia="en-AU"/>
        </w:rPr>
        <w:t>ARTICLE  4</w:t>
      </w:r>
      <w:r w:rsidR="0027799A" w:rsidRPr="009A0DA6">
        <w:rPr>
          <w:rFonts w:ascii="Cambria" w:eastAsia="Times New Roman" w:hAnsi="Cambria" w:cs="Times New Roman"/>
          <w:b/>
          <w:lang w:eastAsia="en-AU"/>
        </w:rPr>
        <w:t xml:space="preserve">. </w:t>
      </w:r>
      <w:r w:rsidRPr="009A0DA6">
        <w:rPr>
          <w:rFonts w:ascii="Cambria" w:eastAsia="Times New Roman" w:hAnsi="Cambria" w:cs="Times New Roman"/>
          <w:b/>
          <w:lang w:eastAsia="en-AU"/>
        </w:rPr>
        <w:t xml:space="preserve"> MEMBERSHIP</w:t>
      </w:r>
    </w:p>
    <w:p w14:paraId="01BF7682" w14:textId="77777777" w:rsidR="00454D5F" w:rsidRPr="009A0DA6" w:rsidRDefault="00454D5F" w:rsidP="00454D5F">
      <w:pPr>
        <w:tabs>
          <w:tab w:val="left" w:pos="851"/>
          <w:tab w:val="left" w:pos="1985"/>
          <w:tab w:val="left" w:pos="3119"/>
          <w:tab w:val="left" w:pos="4536"/>
          <w:tab w:val="left" w:pos="5670"/>
        </w:tabs>
        <w:spacing w:after="0" w:line="240" w:lineRule="auto"/>
        <w:jc w:val="center"/>
        <w:rPr>
          <w:rFonts w:ascii="Cambria" w:eastAsia="Times New Roman" w:hAnsi="Cambria" w:cs="Times New Roman"/>
          <w:sz w:val="10"/>
          <w:szCs w:val="10"/>
          <w:lang w:eastAsia="en-AU"/>
        </w:rPr>
      </w:pPr>
    </w:p>
    <w:p w14:paraId="293212C6" w14:textId="20CCCBD6" w:rsidR="00454D5F" w:rsidRPr="009A0DA6" w:rsidRDefault="00454D5F" w:rsidP="00454D5F">
      <w:pPr>
        <w:tabs>
          <w:tab w:val="left" w:pos="1985"/>
          <w:tab w:val="left" w:pos="3119"/>
          <w:tab w:val="left" w:pos="4536"/>
          <w:tab w:val="left" w:pos="5670"/>
        </w:tabs>
        <w:spacing w:after="0" w:line="240" w:lineRule="auto"/>
        <w:ind w:left="567" w:hanging="567"/>
        <w:rPr>
          <w:rFonts w:ascii="Cambria" w:eastAsia="Times New Roman" w:hAnsi="Cambria" w:cs="Times New Roman"/>
          <w:lang w:eastAsia="en-AU"/>
        </w:rPr>
      </w:pPr>
      <w:r w:rsidRPr="009A0DA6">
        <w:rPr>
          <w:rFonts w:ascii="Cambria" w:eastAsia="Times New Roman" w:hAnsi="Cambria" w:cs="Times New Roman"/>
          <w:lang w:eastAsia="en-AU"/>
        </w:rPr>
        <w:t>4.1</w:t>
      </w:r>
      <w:r w:rsidRPr="009A0DA6">
        <w:rPr>
          <w:rFonts w:ascii="Cambria" w:eastAsia="Times New Roman" w:hAnsi="Cambria" w:cs="Times New Roman"/>
          <w:lang w:eastAsia="en-AU"/>
        </w:rPr>
        <w:tab/>
        <w:t>The membership of the Church shall consist of congregations of baptised members</w:t>
      </w:r>
      <w:r w:rsidR="0027799A" w:rsidRPr="009A0DA6">
        <w:rPr>
          <w:rFonts w:ascii="Cambria" w:eastAsia="Times New Roman" w:hAnsi="Cambria" w:cs="Times New Roman"/>
          <w:lang w:eastAsia="en-AU"/>
        </w:rPr>
        <w:t xml:space="preserve">. </w:t>
      </w:r>
      <w:r w:rsidRPr="009A0DA6">
        <w:rPr>
          <w:rFonts w:ascii="Cambria" w:eastAsia="Times New Roman" w:hAnsi="Cambria" w:cs="Times New Roman"/>
          <w:lang w:eastAsia="en-AU"/>
        </w:rPr>
        <w:t>Such congregations shall</w:t>
      </w:r>
    </w:p>
    <w:p w14:paraId="0106FC98" w14:textId="77777777" w:rsidR="00454D5F" w:rsidRPr="009A0DA6" w:rsidRDefault="00454D5F" w:rsidP="00454D5F">
      <w:pPr>
        <w:tabs>
          <w:tab w:val="left" w:pos="1418"/>
          <w:tab w:val="left" w:pos="1985"/>
          <w:tab w:val="left" w:pos="3119"/>
          <w:tab w:val="left" w:pos="4536"/>
          <w:tab w:val="left" w:pos="5670"/>
        </w:tabs>
        <w:spacing w:after="0" w:line="240" w:lineRule="auto"/>
        <w:ind w:left="1985" w:hanging="1418"/>
        <w:rPr>
          <w:rFonts w:ascii="Cambria" w:eastAsia="Times New Roman" w:hAnsi="Cambria" w:cs="Times New Roman"/>
          <w:lang w:eastAsia="en-AU"/>
        </w:rPr>
      </w:pPr>
      <w:r w:rsidRPr="009A0DA6">
        <w:rPr>
          <w:rFonts w:ascii="Cambria" w:eastAsia="Times New Roman" w:hAnsi="Cambria" w:cs="Times New Roman"/>
          <w:lang w:eastAsia="en-AU"/>
        </w:rPr>
        <w:tab/>
        <w:t>4.1.1</w:t>
      </w:r>
      <w:r w:rsidRPr="009A0DA6">
        <w:rPr>
          <w:rFonts w:ascii="Cambria" w:eastAsia="Times New Roman" w:hAnsi="Cambria" w:cs="Times New Roman"/>
          <w:lang w:eastAsia="en-AU"/>
        </w:rPr>
        <w:tab/>
        <w:t>accept and hold the Confession of the Church;</w:t>
      </w:r>
    </w:p>
    <w:p w14:paraId="0415025A" w14:textId="77777777" w:rsidR="00454D5F" w:rsidRPr="009A0DA6" w:rsidRDefault="00454D5F" w:rsidP="00454D5F">
      <w:pPr>
        <w:tabs>
          <w:tab w:val="left" w:pos="1418"/>
          <w:tab w:val="left" w:pos="1985"/>
          <w:tab w:val="left" w:pos="3119"/>
          <w:tab w:val="left" w:pos="4536"/>
          <w:tab w:val="left" w:pos="5670"/>
        </w:tabs>
        <w:spacing w:after="0" w:line="240" w:lineRule="auto"/>
        <w:ind w:left="1985" w:hanging="1418"/>
        <w:rPr>
          <w:rFonts w:ascii="Cambria" w:eastAsia="Times New Roman" w:hAnsi="Cambria" w:cs="Times New Roman"/>
          <w:lang w:eastAsia="en-AU"/>
        </w:rPr>
      </w:pPr>
      <w:r w:rsidRPr="009A0DA6">
        <w:rPr>
          <w:rFonts w:ascii="Cambria" w:eastAsia="Times New Roman" w:hAnsi="Cambria" w:cs="Times New Roman"/>
          <w:lang w:eastAsia="en-AU"/>
        </w:rPr>
        <w:tab/>
        <w:t>4.1.2</w:t>
      </w:r>
      <w:r w:rsidRPr="009A0DA6">
        <w:rPr>
          <w:rFonts w:ascii="Cambria" w:eastAsia="Times New Roman" w:hAnsi="Cambria" w:cs="Times New Roman"/>
          <w:lang w:eastAsia="en-AU"/>
        </w:rPr>
        <w:tab/>
        <w:t>accept the Constitution and By-laws of the Church;</w:t>
      </w:r>
    </w:p>
    <w:p w14:paraId="3507F3D7" w14:textId="77777777" w:rsidR="00454D5F" w:rsidRPr="009A0DA6" w:rsidRDefault="00454D5F" w:rsidP="00454D5F">
      <w:pPr>
        <w:tabs>
          <w:tab w:val="left" w:pos="1418"/>
          <w:tab w:val="left" w:pos="1985"/>
          <w:tab w:val="left" w:pos="3119"/>
          <w:tab w:val="left" w:pos="4536"/>
          <w:tab w:val="left" w:pos="5670"/>
        </w:tabs>
        <w:spacing w:after="0" w:line="240" w:lineRule="auto"/>
        <w:ind w:left="1985" w:hanging="1418"/>
        <w:rPr>
          <w:rFonts w:ascii="Cambria" w:eastAsia="Times New Roman" w:hAnsi="Cambria" w:cs="Times New Roman"/>
          <w:lang w:eastAsia="en-AU"/>
        </w:rPr>
      </w:pPr>
      <w:r w:rsidRPr="009A0DA6">
        <w:rPr>
          <w:rFonts w:ascii="Cambria" w:eastAsia="Times New Roman" w:hAnsi="Cambria" w:cs="Times New Roman"/>
          <w:lang w:eastAsia="en-AU"/>
        </w:rPr>
        <w:tab/>
        <w:t>4.1.3</w:t>
      </w:r>
      <w:r w:rsidRPr="009A0DA6">
        <w:rPr>
          <w:rFonts w:ascii="Cambria" w:eastAsia="Times New Roman" w:hAnsi="Cambria" w:cs="Times New Roman"/>
          <w:lang w:eastAsia="en-AU"/>
        </w:rPr>
        <w:tab/>
        <w:t>submit a Constitution and By-laws acceptable to the Church;  and</w:t>
      </w:r>
    </w:p>
    <w:p w14:paraId="0D224679" w14:textId="77777777" w:rsidR="00454D5F" w:rsidRPr="009A0DA6" w:rsidRDefault="00454D5F" w:rsidP="00454D5F">
      <w:pPr>
        <w:tabs>
          <w:tab w:val="left" w:pos="1418"/>
          <w:tab w:val="left" w:pos="1985"/>
          <w:tab w:val="left" w:pos="3119"/>
          <w:tab w:val="left" w:pos="4536"/>
          <w:tab w:val="left" w:pos="5670"/>
        </w:tabs>
        <w:spacing w:after="0" w:line="240" w:lineRule="auto"/>
        <w:ind w:left="1985" w:hanging="1418"/>
        <w:rPr>
          <w:rFonts w:ascii="Cambria" w:eastAsia="Times New Roman" w:hAnsi="Cambria" w:cs="Times New Roman"/>
          <w:lang w:eastAsia="en-AU"/>
        </w:rPr>
      </w:pPr>
      <w:r w:rsidRPr="009A0DA6">
        <w:rPr>
          <w:rFonts w:ascii="Cambria" w:eastAsia="Times New Roman" w:hAnsi="Cambria" w:cs="Times New Roman"/>
          <w:lang w:eastAsia="en-AU"/>
        </w:rPr>
        <w:tab/>
        <w:t>4.1.4</w:t>
      </w:r>
      <w:r w:rsidRPr="009A0DA6">
        <w:rPr>
          <w:rFonts w:ascii="Cambria" w:eastAsia="Times New Roman" w:hAnsi="Cambria" w:cs="Times New Roman"/>
          <w:lang w:eastAsia="en-AU"/>
        </w:rPr>
        <w:tab/>
        <w:t>undertake to participate in the work of the Church and to promote its Objects.</w:t>
      </w:r>
    </w:p>
    <w:p w14:paraId="76F64F75" w14:textId="77777777" w:rsidR="00454D5F" w:rsidRPr="009A0DA6" w:rsidRDefault="00454D5F" w:rsidP="00454D5F">
      <w:pPr>
        <w:tabs>
          <w:tab w:val="left" w:pos="1985"/>
          <w:tab w:val="left" w:pos="3119"/>
          <w:tab w:val="left" w:pos="4536"/>
          <w:tab w:val="left" w:pos="5670"/>
        </w:tabs>
        <w:spacing w:after="0" w:line="240" w:lineRule="auto"/>
        <w:ind w:left="567" w:hanging="567"/>
        <w:rPr>
          <w:rFonts w:ascii="Cambria" w:eastAsia="Times New Roman" w:hAnsi="Cambria" w:cs="Times New Roman"/>
          <w:lang w:eastAsia="en-AU"/>
        </w:rPr>
      </w:pPr>
      <w:r w:rsidRPr="009A0DA6">
        <w:rPr>
          <w:rFonts w:ascii="Cambria" w:eastAsia="Times New Roman" w:hAnsi="Cambria" w:cs="Times New Roman"/>
          <w:lang w:eastAsia="en-AU"/>
        </w:rPr>
        <w:tab/>
        <w:t>Such member-congregations shall be recorded in the official Roll of Congregations and shall exercise their membership rights in accordance with the representation requirements outlined in the following Article 7.3.1.</w:t>
      </w:r>
    </w:p>
    <w:p w14:paraId="6253263D" w14:textId="77777777" w:rsidR="00454D5F" w:rsidRPr="009A0DA6" w:rsidRDefault="00454D5F" w:rsidP="00454D5F">
      <w:pPr>
        <w:tabs>
          <w:tab w:val="left" w:pos="1985"/>
          <w:tab w:val="left" w:pos="3119"/>
          <w:tab w:val="left" w:pos="4536"/>
          <w:tab w:val="left" w:pos="5670"/>
        </w:tabs>
        <w:spacing w:after="0" w:line="240" w:lineRule="auto"/>
        <w:ind w:left="567" w:hanging="567"/>
        <w:rPr>
          <w:rFonts w:ascii="Cambria" w:eastAsia="Times New Roman" w:hAnsi="Cambria" w:cs="Times New Roman"/>
          <w:b/>
          <w:lang w:eastAsia="en-AU"/>
        </w:rPr>
      </w:pPr>
      <w:r w:rsidRPr="009A0DA6">
        <w:rPr>
          <w:rFonts w:ascii="Cambria" w:eastAsia="Times New Roman" w:hAnsi="Cambria" w:cs="Times New Roman"/>
          <w:b/>
          <w:lang w:eastAsia="en-AU"/>
        </w:rPr>
        <w:t>4.2</w:t>
      </w:r>
      <w:r w:rsidRPr="009A0DA6">
        <w:rPr>
          <w:rFonts w:ascii="Cambria" w:eastAsia="Times New Roman" w:hAnsi="Cambria" w:cs="Times New Roman"/>
          <w:b/>
          <w:lang w:eastAsia="en-AU"/>
        </w:rPr>
        <w:tab/>
        <w:t>In cases where baptised Christians have been accepted by the Church as members of the Church and where they gather together as a body that is not formally constituted, such a body shall be enabled to participate in a similar way as a congregation of the Church provided that it</w:t>
      </w:r>
    </w:p>
    <w:p w14:paraId="2AEED597" w14:textId="77777777" w:rsidR="00454D5F" w:rsidRPr="009A0DA6" w:rsidRDefault="00454D5F" w:rsidP="00454D5F">
      <w:pPr>
        <w:tabs>
          <w:tab w:val="left" w:pos="567"/>
          <w:tab w:val="left" w:pos="1418"/>
          <w:tab w:val="left" w:pos="3119"/>
          <w:tab w:val="left" w:pos="4536"/>
          <w:tab w:val="left" w:pos="5670"/>
        </w:tabs>
        <w:spacing w:after="0" w:line="240" w:lineRule="auto"/>
        <w:ind w:left="1418" w:hanging="1418"/>
        <w:rPr>
          <w:rFonts w:ascii="Cambria" w:eastAsia="Times New Roman" w:hAnsi="Cambria" w:cs="Times New Roman"/>
          <w:b/>
          <w:lang w:eastAsia="en-AU"/>
        </w:rPr>
      </w:pPr>
      <w:r w:rsidRPr="009A0DA6">
        <w:rPr>
          <w:rFonts w:ascii="Cambria" w:eastAsia="Times New Roman" w:hAnsi="Cambria" w:cs="Times New Roman"/>
          <w:b/>
          <w:lang w:eastAsia="en-AU"/>
        </w:rPr>
        <w:tab/>
        <w:t>4.2.1</w:t>
      </w:r>
      <w:r w:rsidRPr="009A0DA6">
        <w:rPr>
          <w:rFonts w:ascii="Cambria" w:eastAsia="Times New Roman" w:hAnsi="Cambria" w:cs="Times New Roman"/>
          <w:b/>
          <w:lang w:eastAsia="en-AU"/>
        </w:rPr>
        <w:tab/>
        <w:t>engages with and gains the approval of the College of Bishops and the General Church Board by providing to them</w:t>
      </w:r>
    </w:p>
    <w:p w14:paraId="2784DD1F" w14:textId="4C546A0F" w:rsidR="00454D5F" w:rsidRPr="009A0DA6" w:rsidRDefault="00454D5F" w:rsidP="00454D5F">
      <w:pPr>
        <w:tabs>
          <w:tab w:val="left" w:pos="851"/>
          <w:tab w:val="left" w:pos="1418"/>
          <w:tab w:val="left" w:pos="2268"/>
          <w:tab w:val="left" w:pos="4536"/>
          <w:tab w:val="left" w:pos="5670"/>
        </w:tabs>
        <w:spacing w:after="0" w:line="240" w:lineRule="auto"/>
        <w:ind w:left="2268" w:hanging="2268"/>
        <w:rPr>
          <w:rFonts w:ascii="Cambria" w:eastAsia="Times New Roman" w:hAnsi="Cambria" w:cs="Times New Roman"/>
          <w:b/>
          <w:lang w:eastAsia="en-AU"/>
        </w:rPr>
      </w:pPr>
      <w:r w:rsidRPr="009A0DA6">
        <w:rPr>
          <w:rFonts w:ascii="Cambria" w:eastAsia="Times New Roman" w:hAnsi="Cambria" w:cs="Times New Roman"/>
          <w:b/>
          <w:lang w:eastAsia="en-AU"/>
        </w:rPr>
        <w:tab/>
      </w:r>
      <w:r w:rsidRPr="009A0DA6">
        <w:rPr>
          <w:rFonts w:ascii="Cambria" w:eastAsia="Times New Roman" w:hAnsi="Cambria" w:cs="Times New Roman"/>
          <w:b/>
          <w:lang w:eastAsia="en-AU"/>
        </w:rPr>
        <w:tab/>
        <w:t>4.2.1.1</w:t>
      </w:r>
      <w:r w:rsidRPr="009A0DA6">
        <w:rPr>
          <w:rFonts w:ascii="Cambria" w:eastAsia="Times New Roman" w:hAnsi="Cambria" w:cs="Times New Roman"/>
          <w:b/>
          <w:lang w:eastAsia="en-AU"/>
        </w:rPr>
        <w:tab/>
        <w:t xml:space="preserve">an indication </w:t>
      </w:r>
      <w:r w:rsidR="004B2BB9" w:rsidRPr="009A0DA6">
        <w:rPr>
          <w:rFonts w:ascii="Cambria" w:eastAsia="Times New Roman" w:hAnsi="Cambria" w:cs="Times New Roman"/>
          <w:b/>
          <w:lang w:eastAsia="en-AU"/>
        </w:rPr>
        <w:t xml:space="preserve">in writing </w:t>
      </w:r>
      <w:r w:rsidRPr="009A0DA6">
        <w:rPr>
          <w:rFonts w:ascii="Cambria" w:eastAsia="Times New Roman" w:hAnsi="Cambria" w:cs="Times New Roman"/>
          <w:b/>
          <w:lang w:eastAsia="en-AU"/>
        </w:rPr>
        <w:t>that it accepts and holds to the Confession of the Church;</w:t>
      </w:r>
    </w:p>
    <w:p w14:paraId="2F23AAE1" w14:textId="15778B4F" w:rsidR="00454D5F" w:rsidRPr="009A0DA6" w:rsidRDefault="00454D5F" w:rsidP="00454D5F">
      <w:pPr>
        <w:tabs>
          <w:tab w:val="left" w:pos="851"/>
          <w:tab w:val="left" w:pos="1418"/>
          <w:tab w:val="left" w:pos="2268"/>
          <w:tab w:val="left" w:pos="4536"/>
          <w:tab w:val="left" w:pos="5670"/>
        </w:tabs>
        <w:spacing w:after="0" w:line="240" w:lineRule="auto"/>
        <w:ind w:left="2268" w:hanging="2268"/>
        <w:rPr>
          <w:rFonts w:ascii="Cambria" w:eastAsia="Times New Roman" w:hAnsi="Cambria" w:cs="Times New Roman"/>
          <w:b/>
          <w:lang w:eastAsia="en-AU"/>
        </w:rPr>
      </w:pPr>
      <w:r w:rsidRPr="009A0DA6">
        <w:rPr>
          <w:rFonts w:ascii="Cambria" w:eastAsia="Times New Roman" w:hAnsi="Cambria" w:cs="Times New Roman"/>
          <w:b/>
          <w:lang w:eastAsia="en-AU"/>
        </w:rPr>
        <w:tab/>
      </w:r>
      <w:r w:rsidRPr="009A0DA6">
        <w:rPr>
          <w:rFonts w:ascii="Cambria" w:eastAsia="Times New Roman" w:hAnsi="Cambria" w:cs="Times New Roman"/>
          <w:b/>
          <w:lang w:eastAsia="en-AU"/>
        </w:rPr>
        <w:tab/>
        <w:t>4.2.1.2</w:t>
      </w:r>
      <w:r w:rsidRPr="009A0DA6">
        <w:rPr>
          <w:rFonts w:ascii="Cambria" w:eastAsia="Times New Roman" w:hAnsi="Cambria" w:cs="Times New Roman"/>
          <w:b/>
          <w:lang w:eastAsia="en-AU"/>
        </w:rPr>
        <w:tab/>
        <w:t xml:space="preserve">an indication </w:t>
      </w:r>
      <w:r w:rsidR="004B2BB9" w:rsidRPr="009A0DA6">
        <w:rPr>
          <w:rFonts w:ascii="Cambria" w:eastAsia="Times New Roman" w:hAnsi="Cambria" w:cs="Times New Roman"/>
          <w:b/>
          <w:lang w:eastAsia="en-AU"/>
        </w:rPr>
        <w:t xml:space="preserve">in writing </w:t>
      </w:r>
      <w:r w:rsidRPr="009A0DA6">
        <w:rPr>
          <w:rFonts w:ascii="Cambria" w:eastAsia="Times New Roman" w:hAnsi="Cambria" w:cs="Times New Roman"/>
          <w:b/>
          <w:lang w:eastAsia="en-AU"/>
        </w:rPr>
        <w:t xml:space="preserve">that it accepts the Constitution and By-laws of the Church; </w:t>
      </w:r>
    </w:p>
    <w:p w14:paraId="065F518F" w14:textId="77777777" w:rsidR="00454D5F" w:rsidRPr="009A0DA6" w:rsidRDefault="00454D5F" w:rsidP="00454D5F">
      <w:pPr>
        <w:tabs>
          <w:tab w:val="left" w:pos="851"/>
          <w:tab w:val="left" w:pos="1418"/>
          <w:tab w:val="left" w:pos="2268"/>
          <w:tab w:val="left" w:pos="4536"/>
          <w:tab w:val="left" w:pos="5670"/>
        </w:tabs>
        <w:spacing w:after="0" w:line="240" w:lineRule="auto"/>
        <w:ind w:left="2268" w:hanging="2268"/>
        <w:rPr>
          <w:rFonts w:ascii="Cambria" w:eastAsia="Times New Roman" w:hAnsi="Cambria" w:cs="Times New Roman"/>
          <w:b/>
          <w:lang w:eastAsia="en-AU"/>
        </w:rPr>
      </w:pPr>
      <w:r w:rsidRPr="009A0DA6">
        <w:rPr>
          <w:rFonts w:ascii="Cambria" w:eastAsia="Times New Roman" w:hAnsi="Cambria" w:cs="Times New Roman"/>
          <w:b/>
          <w:lang w:eastAsia="en-AU"/>
        </w:rPr>
        <w:tab/>
      </w:r>
      <w:r w:rsidRPr="009A0DA6">
        <w:rPr>
          <w:rFonts w:ascii="Cambria" w:eastAsia="Times New Roman" w:hAnsi="Cambria" w:cs="Times New Roman"/>
          <w:b/>
          <w:lang w:eastAsia="en-AU"/>
        </w:rPr>
        <w:tab/>
        <w:t>4.2.1.3</w:t>
      </w:r>
      <w:r w:rsidRPr="009A0DA6">
        <w:rPr>
          <w:rFonts w:ascii="Cambria" w:eastAsia="Times New Roman" w:hAnsi="Cambria" w:cs="Times New Roman"/>
          <w:b/>
          <w:lang w:eastAsia="en-AU"/>
        </w:rPr>
        <w:tab/>
        <w:t>evidence of its situation to indicate the extent to which it functions in a similar way to that of a congregation of the Church while not yet constituted as such;  and</w:t>
      </w:r>
    </w:p>
    <w:p w14:paraId="11C889EF" w14:textId="77777777" w:rsidR="00454D5F" w:rsidRPr="009A0DA6" w:rsidRDefault="00454D5F" w:rsidP="00454D5F">
      <w:pPr>
        <w:tabs>
          <w:tab w:val="left" w:pos="851"/>
          <w:tab w:val="left" w:pos="1418"/>
          <w:tab w:val="left" w:pos="2268"/>
          <w:tab w:val="left" w:pos="4536"/>
          <w:tab w:val="left" w:pos="5670"/>
        </w:tabs>
        <w:spacing w:after="0" w:line="240" w:lineRule="auto"/>
        <w:ind w:left="2268" w:hanging="2268"/>
        <w:rPr>
          <w:rFonts w:ascii="Cambria" w:eastAsia="Times New Roman" w:hAnsi="Cambria" w:cs="Times New Roman"/>
          <w:b/>
          <w:lang w:eastAsia="en-AU"/>
        </w:rPr>
      </w:pPr>
      <w:r w:rsidRPr="009A0DA6">
        <w:rPr>
          <w:rFonts w:ascii="Cambria" w:eastAsia="Times New Roman" w:hAnsi="Cambria" w:cs="Times New Roman"/>
          <w:b/>
          <w:lang w:eastAsia="en-AU"/>
        </w:rPr>
        <w:tab/>
      </w:r>
      <w:r w:rsidRPr="009A0DA6">
        <w:rPr>
          <w:rFonts w:ascii="Cambria" w:eastAsia="Times New Roman" w:hAnsi="Cambria" w:cs="Times New Roman"/>
          <w:b/>
          <w:lang w:eastAsia="en-AU"/>
        </w:rPr>
        <w:tab/>
        <w:t>4.2.1.4</w:t>
      </w:r>
      <w:r w:rsidRPr="009A0DA6">
        <w:rPr>
          <w:rFonts w:ascii="Cambria" w:eastAsia="Times New Roman" w:hAnsi="Cambria" w:cs="Times New Roman"/>
          <w:b/>
          <w:lang w:eastAsia="en-AU"/>
        </w:rPr>
        <w:tab/>
        <w:t>such other evidence as may be requested;  and then</w:t>
      </w:r>
    </w:p>
    <w:p w14:paraId="55604507" w14:textId="77777777" w:rsidR="00454D5F" w:rsidRPr="009A0DA6" w:rsidRDefault="00454D5F" w:rsidP="00454D5F">
      <w:pPr>
        <w:tabs>
          <w:tab w:val="left" w:pos="567"/>
          <w:tab w:val="left" w:pos="1418"/>
          <w:tab w:val="left" w:pos="3119"/>
          <w:tab w:val="left" w:pos="4536"/>
          <w:tab w:val="left" w:pos="5670"/>
        </w:tabs>
        <w:spacing w:after="0" w:line="240" w:lineRule="auto"/>
        <w:ind w:left="1418" w:hanging="1418"/>
        <w:rPr>
          <w:rFonts w:ascii="Cambria" w:eastAsia="Times New Roman" w:hAnsi="Cambria" w:cs="Times New Roman"/>
          <w:b/>
          <w:lang w:eastAsia="en-AU"/>
        </w:rPr>
      </w:pPr>
      <w:r w:rsidRPr="009A0DA6">
        <w:rPr>
          <w:rFonts w:ascii="Cambria" w:eastAsia="Times New Roman" w:hAnsi="Cambria" w:cs="Times New Roman"/>
          <w:b/>
          <w:lang w:eastAsia="en-AU"/>
        </w:rPr>
        <w:tab/>
        <w:t>4.2.2</w:t>
      </w:r>
      <w:r w:rsidRPr="009A0DA6">
        <w:rPr>
          <w:rFonts w:ascii="Cambria" w:eastAsia="Times New Roman" w:hAnsi="Cambria" w:cs="Times New Roman"/>
          <w:b/>
          <w:lang w:eastAsia="en-AU"/>
        </w:rPr>
        <w:tab/>
        <w:t>be acknowledged by the General Church Board as a member of the Church in a similar way to that of a constituted congregation by entering into a documented agreement.</w:t>
      </w:r>
    </w:p>
    <w:p w14:paraId="69450804" w14:textId="77777777" w:rsidR="00454D5F" w:rsidRPr="009A0DA6" w:rsidRDefault="00454D5F" w:rsidP="00454D5F">
      <w:pPr>
        <w:tabs>
          <w:tab w:val="left" w:pos="567"/>
          <w:tab w:val="left" w:pos="1985"/>
          <w:tab w:val="left" w:pos="3119"/>
          <w:tab w:val="left" w:pos="4536"/>
          <w:tab w:val="left" w:pos="5670"/>
        </w:tabs>
        <w:spacing w:after="0" w:line="240" w:lineRule="auto"/>
        <w:ind w:left="567" w:hanging="567"/>
        <w:rPr>
          <w:rFonts w:ascii="Cambria" w:eastAsia="Times New Roman" w:hAnsi="Cambria" w:cs="Times New Roman"/>
          <w:b/>
          <w:lang w:eastAsia="en-AU"/>
        </w:rPr>
      </w:pPr>
      <w:r w:rsidRPr="009A0DA6">
        <w:rPr>
          <w:rFonts w:ascii="Cambria" w:eastAsia="Times New Roman" w:hAnsi="Cambria" w:cs="Times New Roman"/>
          <w:b/>
          <w:lang w:eastAsia="en-AU"/>
        </w:rPr>
        <w:tab/>
        <w:t>Upon the satisfaction of the requirements in clauses 4.2.1 and 4.2.2, the Church shall accept such a body into membership and the body shall then be recorded in the official Roll of Congregations in a specified category and accorded the membership rights of a congregation of the Church and the relevant District.</w:t>
      </w:r>
    </w:p>
    <w:p w14:paraId="18515F91" w14:textId="77777777" w:rsidR="00454D5F" w:rsidRPr="009A0DA6" w:rsidRDefault="00454D5F" w:rsidP="00454D5F">
      <w:pPr>
        <w:tabs>
          <w:tab w:val="left" w:pos="567"/>
          <w:tab w:val="left" w:pos="1985"/>
          <w:tab w:val="left" w:pos="3119"/>
          <w:tab w:val="left" w:pos="4536"/>
          <w:tab w:val="left" w:pos="5670"/>
        </w:tabs>
        <w:spacing w:after="0" w:line="240" w:lineRule="auto"/>
        <w:ind w:left="567" w:hanging="567"/>
        <w:rPr>
          <w:rFonts w:ascii="Cambria" w:eastAsia="Times New Roman" w:hAnsi="Cambria" w:cs="Times New Roman"/>
          <w:lang w:eastAsia="en-AU"/>
        </w:rPr>
      </w:pPr>
      <w:r w:rsidRPr="009A0DA6">
        <w:rPr>
          <w:rFonts w:ascii="Cambria" w:eastAsia="Times New Roman" w:hAnsi="Cambria" w:cs="Times New Roman"/>
          <w:lang w:eastAsia="en-AU"/>
        </w:rPr>
        <w:t>4.</w:t>
      </w:r>
      <w:r w:rsidRPr="009A0DA6">
        <w:rPr>
          <w:rFonts w:ascii="Cambria" w:eastAsia="Times New Roman" w:hAnsi="Cambria" w:cs="Times New Roman"/>
          <w:strike/>
          <w:lang w:eastAsia="en-AU"/>
        </w:rPr>
        <w:t>2</w:t>
      </w:r>
      <w:r w:rsidRPr="009A0DA6">
        <w:rPr>
          <w:rFonts w:ascii="Cambria" w:eastAsia="Times New Roman" w:hAnsi="Cambria" w:cs="Times New Roman"/>
          <w:b/>
          <w:lang w:eastAsia="en-AU"/>
        </w:rPr>
        <w:t>3</w:t>
      </w:r>
      <w:r w:rsidRPr="009A0DA6">
        <w:rPr>
          <w:rFonts w:ascii="Cambria" w:eastAsia="Times New Roman" w:hAnsi="Cambria" w:cs="Times New Roman"/>
          <w:lang w:eastAsia="en-AU"/>
        </w:rPr>
        <w:tab/>
        <w:t>Membership in the Church may be terminated by action of the congregation or by action of the Church as prescribed in the By-laws.</w:t>
      </w:r>
    </w:p>
    <w:p w14:paraId="04CBF68D" w14:textId="77777777" w:rsidR="00454D5F" w:rsidRPr="009A0DA6" w:rsidRDefault="00454D5F" w:rsidP="00454D5F">
      <w:pPr>
        <w:tabs>
          <w:tab w:val="left" w:pos="567"/>
          <w:tab w:val="left" w:pos="1985"/>
          <w:tab w:val="left" w:pos="3119"/>
          <w:tab w:val="left" w:pos="4536"/>
          <w:tab w:val="left" w:pos="5670"/>
        </w:tabs>
        <w:spacing w:after="0" w:line="240" w:lineRule="auto"/>
        <w:ind w:left="567" w:hanging="567"/>
        <w:rPr>
          <w:rFonts w:ascii="Cambria" w:eastAsia="Times New Roman" w:hAnsi="Cambria" w:cs="Times New Roman"/>
          <w:lang w:eastAsia="en-AU"/>
        </w:rPr>
      </w:pPr>
      <w:r w:rsidRPr="009A0DA6">
        <w:rPr>
          <w:rFonts w:ascii="Cambria" w:eastAsia="Times New Roman" w:hAnsi="Cambria" w:cs="Times New Roman"/>
          <w:lang w:eastAsia="en-AU"/>
        </w:rPr>
        <w:t>4.</w:t>
      </w:r>
      <w:r w:rsidRPr="009A0DA6">
        <w:rPr>
          <w:rFonts w:ascii="Cambria" w:eastAsia="Times New Roman" w:hAnsi="Cambria" w:cs="Times New Roman"/>
          <w:strike/>
          <w:lang w:eastAsia="en-AU"/>
        </w:rPr>
        <w:t>3</w:t>
      </w:r>
      <w:r w:rsidRPr="009A0DA6">
        <w:rPr>
          <w:rFonts w:ascii="Cambria" w:eastAsia="Times New Roman" w:hAnsi="Cambria" w:cs="Times New Roman"/>
          <w:b/>
          <w:lang w:eastAsia="en-AU"/>
        </w:rPr>
        <w:t>4</w:t>
      </w:r>
      <w:r w:rsidRPr="009A0DA6">
        <w:rPr>
          <w:rFonts w:ascii="Cambria" w:eastAsia="Times New Roman" w:hAnsi="Cambria" w:cs="Times New Roman"/>
          <w:lang w:eastAsia="en-AU"/>
        </w:rPr>
        <w:tab/>
        <w:t>A congregation which terminates its membership, or whose membership is terminated by action of the Church, shall have no claim upon the Church or the property or funds of the Church;  but nothing herein contained prevents the Church from giving effect to any decision, award, or recommendation made by any Church tribunal in accordance with the By-laws in consequence of any such termination of membership.</w:t>
      </w:r>
    </w:p>
    <w:p w14:paraId="1FBE2D88" w14:textId="77777777" w:rsidR="00454D5F" w:rsidRPr="009A0DA6" w:rsidRDefault="00454D5F" w:rsidP="00454D5F">
      <w:pPr>
        <w:tabs>
          <w:tab w:val="left" w:pos="567"/>
          <w:tab w:val="left" w:pos="1418"/>
          <w:tab w:val="left" w:pos="2268"/>
          <w:tab w:val="left" w:pos="3119"/>
          <w:tab w:val="left" w:pos="3969"/>
          <w:tab w:val="left" w:pos="7088"/>
        </w:tabs>
        <w:spacing w:after="0" w:line="240" w:lineRule="auto"/>
        <w:rPr>
          <w:rFonts w:ascii="Cambria" w:eastAsia="Times New Roman" w:hAnsi="Cambria" w:cs="Times New Roman"/>
          <w:lang w:eastAsia="ja-JP"/>
        </w:rPr>
      </w:pPr>
    </w:p>
    <w:p w14:paraId="5DE5779F" w14:textId="77777777" w:rsidR="00454D5F" w:rsidRPr="009A0DA6" w:rsidRDefault="00454D5F" w:rsidP="00454D5F">
      <w:pPr>
        <w:shd w:val="clear" w:color="auto" w:fill="FFFFFF"/>
        <w:tabs>
          <w:tab w:val="left" w:pos="3596"/>
        </w:tabs>
        <w:spacing w:line="240" w:lineRule="auto"/>
        <w:rPr>
          <w:rFonts w:ascii="Cambria" w:eastAsia="Times New Roman" w:hAnsi="Cambria" w:cs="Times New Roman"/>
          <w:bCs/>
          <w:color w:val="222222"/>
          <w:lang w:eastAsia="en-AU"/>
        </w:rPr>
      </w:pPr>
      <w:r w:rsidRPr="009A0DA6">
        <w:rPr>
          <w:rFonts w:ascii="Cambria" w:eastAsia="Times New Roman" w:hAnsi="Cambria" w:cs="Times New Roman"/>
          <w:b/>
          <w:bCs/>
          <w:color w:val="222222"/>
          <w:lang w:eastAsia="en-AU"/>
        </w:rPr>
        <w:t>BE  IT  FURTHER RESOLVED</w:t>
      </w:r>
      <w:r w:rsidRPr="009A0DA6">
        <w:rPr>
          <w:rFonts w:ascii="Cambria" w:eastAsia="Times New Roman" w:hAnsi="Cambria" w:cs="Times New Roman"/>
          <w:bCs/>
          <w:color w:val="222222"/>
          <w:lang w:eastAsia="en-AU"/>
        </w:rPr>
        <w:t xml:space="preserve"> that </w:t>
      </w:r>
      <w:r w:rsidRPr="009A0DA6">
        <w:rPr>
          <w:rFonts w:ascii="Cambria" w:eastAsia="Times New Roman" w:hAnsi="Cambria" w:cs="Times New Roman"/>
          <w:b/>
          <w:bCs/>
          <w:color w:val="222222"/>
          <w:lang w:eastAsia="en-AU"/>
        </w:rPr>
        <w:t>Article 4 Membership</w:t>
      </w:r>
      <w:r w:rsidRPr="009A0DA6">
        <w:rPr>
          <w:rFonts w:ascii="Cambria" w:eastAsia="Times New Roman" w:hAnsi="Cambria" w:cs="Times New Roman"/>
          <w:bCs/>
          <w:color w:val="222222"/>
          <w:lang w:eastAsia="en-AU"/>
        </w:rPr>
        <w:t xml:space="preserve"> of the Constitutions of the Districts be amended as follows (words to be deleted – </w:t>
      </w:r>
      <w:r w:rsidRPr="009A0DA6">
        <w:rPr>
          <w:rFonts w:ascii="Cambria" w:eastAsia="Times New Roman" w:hAnsi="Cambria" w:cs="Times New Roman"/>
          <w:bCs/>
          <w:strike/>
          <w:color w:val="222222"/>
          <w:lang w:eastAsia="en-AU"/>
        </w:rPr>
        <w:t>strikethrough</w:t>
      </w:r>
      <w:r w:rsidRPr="009A0DA6">
        <w:rPr>
          <w:rFonts w:ascii="Cambria" w:eastAsia="Times New Roman" w:hAnsi="Cambria" w:cs="Times New Roman"/>
          <w:bCs/>
          <w:color w:val="222222"/>
          <w:lang w:eastAsia="en-AU"/>
        </w:rPr>
        <w:t xml:space="preserve">;  words to be added – </w:t>
      </w:r>
      <w:r w:rsidRPr="009A0DA6">
        <w:rPr>
          <w:rFonts w:ascii="Cambria" w:eastAsia="Times New Roman" w:hAnsi="Cambria" w:cs="Times New Roman"/>
          <w:b/>
          <w:bCs/>
          <w:color w:val="222222"/>
          <w:lang w:eastAsia="en-AU"/>
        </w:rPr>
        <w:t>bold</w:t>
      </w:r>
      <w:r w:rsidRPr="009A0DA6">
        <w:rPr>
          <w:rFonts w:ascii="Cambria" w:eastAsia="Times New Roman" w:hAnsi="Cambria" w:cs="Times New Roman"/>
          <w:bCs/>
          <w:color w:val="222222"/>
          <w:lang w:eastAsia="en-AU"/>
        </w:rPr>
        <w:t>):</w:t>
      </w:r>
    </w:p>
    <w:p w14:paraId="0D3BE18D" w14:textId="77777777" w:rsidR="00D4753A" w:rsidRDefault="00D4753A" w:rsidP="00454D5F">
      <w:pPr>
        <w:tabs>
          <w:tab w:val="left" w:pos="851"/>
          <w:tab w:val="left" w:pos="1985"/>
          <w:tab w:val="left" w:pos="3119"/>
          <w:tab w:val="left" w:pos="4536"/>
          <w:tab w:val="left" w:pos="5670"/>
        </w:tabs>
        <w:spacing w:after="0" w:line="240" w:lineRule="auto"/>
        <w:jc w:val="center"/>
        <w:rPr>
          <w:rFonts w:ascii="Cambria" w:eastAsia="Times New Roman" w:hAnsi="Cambria" w:cs="Times New Roman"/>
          <w:b/>
          <w:noProof/>
          <w:lang w:eastAsia="en-AU"/>
        </w:rPr>
      </w:pPr>
    </w:p>
    <w:p w14:paraId="472AF7F6" w14:textId="054A44BE" w:rsidR="00454D5F" w:rsidRPr="009A0DA6" w:rsidRDefault="00454D5F" w:rsidP="00454D5F">
      <w:pPr>
        <w:tabs>
          <w:tab w:val="left" w:pos="851"/>
          <w:tab w:val="left" w:pos="1985"/>
          <w:tab w:val="left" w:pos="3119"/>
          <w:tab w:val="left" w:pos="4536"/>
          <w:tab w:val="left" w:pos="5670"/>
        </w:tabs>
        <w:spacing w:after="0" w:line="240" w:lineRule="auto"/>
        <w:jc w:val="center"/>
        <w:rPr>
          <w:rFonts w:ascii="Cambria" w:eastAsia="Times New Roman" w:hAnsi="Cambria" w:cs="Times New Roman"/>
          <w:b/>
          <w:noProof/>
          <w:lang w:eastAsia="en-AU"/>
        </w:rPr>
      </w:pPr>
      <w:r w:rsidRPr="009A0DA6">
        <w:rPr>
          <w:rFonts w:ascii="Cambria" w:eastAsia="Times New Roman" w:hAnsi="Cambria" w:cs="Times New Roman"/>
          <w:b/>
          <w:noProof/>
          <w:lang w:eastAsia="en-AU"/>
        </w:rPr>
        <w:t>Article  4</w:t>
      </w:r>
      <w:r w:rsidR="0027799A" w:rsidRPr="009A0DA6">
        <w:rPr>
          <w:rFonts w:ascii="Cambria" w:eastAsia="Times New Roman" w:hAnsi="Cambria" w:cs="Times New Roman"/>
          <w:b/>
          <w:noProof/>
          <w:lang w:eastAsia="en-AU"/>
        </w:rPr>
        <w:t xml:space="preserve">. </w:t>
      </w:r>
      <w:r w:rsidRPr="009A0DA6">
        <w:rPr>
          <w:rFonts w:ascii="Cambria" w:eastAsia="Times New Roman" w:hAnsi="Cambria" w:cs="Times New Roman"/>
          <w:b/>
          <w:noProof/>
          <w:lang w:eastAsia="en-AU"/>
        </w:rPr>
        <w:t xml:space="preserve"> MEMBERSHIP</w:t>
      </w:r>
    </w:p>
    <w:p w14:paraId="5677731B" w14:textId="77777777" w:rsidR="00454D5F" w:rsidRPr="009A0DA6" w:rsidRDefault="00454D5F" w:rsidP="00454D5F">
      <w:pPr>
        <w:tabs>
          <w:tab w:val="left" w:pos="851"/>
          <w:tab w:val="left" w:pos="1985"/>
          <w:tab w:val="left" w:pos="3119"/>
          <w:tab w:val="left" w:pos="4536"/>
          <w:tab w:val="left" w:pos="5670"/>
        </w:tabs>
        <w:spacing w:after="0" w:line="240" w:lineRule="auto"/>
        <w:jc w:val="center"/>
        <w:rPr>
          <w:rFonts w:ascii="Cambria" w:eastAsia="Times New Roman" w:hAnsi="Cambria" w:cs="Times New Roman"/>
          <w:noProof/>
          <w:sz w:val="10"/>
          <w:szCs w:val="10"/>
          <w:lang w:eastAsia="en-AU"/>
        </w:rPr>
      </w:pPr>
    </w:p>
    <w:p w14:paraId="3F87AB60" w14:textId="7B143F24" w:rsidR="00454D5F" w:rsidRPr="009A0DA6" w:rsidRDefault="00454D5F" w:rsidP="00454D5F">
      <w:pPr>
        <w:tabs>
          <w:tab w:val="left" w:pos="567"/>
          <w:tab w:val="left" w:pos="1985"/>
          <w:tab w:val="left" w:pos="3119"/>
          <w:tab w:val="left" w:pos="4536"/>
          <w:tab w:val="left" w:pos="5670"/>
        </w:tabs>
        <w:spacing w:after="0" w:line="240" w:lineRule="auto"/>
        <w:ind w:left="567" w:hanging="567"/>
        <w:rPr>
          <w:rFonts w:ascii="Cambria" w:eastAsia="Times New Roman" w:hAnsi="Cambria" w:cs="Times New Roman"/>
          <w:noProof/>
          <w:lang w:eastAsia="en-AU"/>
        </w:rPr>
      </w:pPr>
      <w:r w:rsidRPr="009A0DA6">
        <w:rPr>
          <w:rFonts w:ascii="Cambria" w:eastAsia="Times New Roman" w:hAnsi="Cambria" w:cs="Times New Roman"/>
          <w:noProof/>
          <w:lang w:eastAsia="en-AU"/>
        </w:rPr>
        <w:t>4.1</w:t>
      </w:r>
      <w:r w:rsidRPr="009A0DA6">
        <w:rPr>
          <w:rFonts w:ascii="Cambria" w:eastAsia="Times New Roman" w:hAnsi="Cambria" w:cs="Times New Roman"/>
          <w:noProof/>
          <w:lang w:eastAsia="en-AU"/>
        </w:rPr>
        <w:tab/>
        <w:t xml:space="preserve">The membership of the District shall </w:t>
      </w:r>
      <w:r w:rsidRPr="009A0DA6">
        <w:rPr>
          <w:rFonts w:ascii="Cambria" w:eastAsia="Times New Roman" w:hAnsi="Cambria" w:cs="Times New Roman"/>
          <w:strike/>
          <w:noProof/>
          <w:lang w:eastAsia="en-AU"/>
        </w:rPr>
        <w:t>consist of</w:t>
      </w:r>
      <w:r w:rsidRPr="009A0DA6">
        <w:rPr>
          <w:rFonts w:ascii="Cambria" w:eastAsia="Times New Roman" w:hAnsi="Cambria" w:cs="Times New Roman"/>
          <w:b/>
          <w:noProof/>
          <w:lang w:eastAsia="en-AU"/>
        </w:rPr>
        <w:t>include</w:t>
      </w:r>
      <w:r w:rsidRPr="009A0DA6">
        <w:rPr>
          <w:rFonts w:ascii="Cambria" w:eastAsia="Times New Roman" w:hAnsi="Cambria" w:cs="Times New Roman"/>
          <w:noProof/>
          <w:lang w:eastAsia="en-AU"/>
        </w:rPr>
        <w:t xml:space="preserve"> congregations of baptised members</w:t>
      </w:r>
      <w:r w:rsidR="0027799A" w:rsidRPr="009A0DA6">
        <w:rPr>
          <w:rFonts w:ascii="Cambria" w:eastAsia="Times New Roman" w:hAnsi="Cambria" w:cs="Times New Roman"/>
          <w:noProof/>
          <w:lang w:eastAsia="en-AU"/>
        </w:rPr>
        <w:t xml:space="preserve">. </w:t>
      </w:r>
      <w:r w:rsidRPr="009A0DA6">
        <w:rPr>
          <w:rFonts w:ascii="Cambria" w:eastAsia="Times New Roman" w:hAnsi="Cambria" w:cs="Times New Roman"/>
          <w:noProof/>
          <w:lang w:eastAsia="en-AU"/>
        </w:rPr>
        <w:t xml:space="preserve">Such congregations shall </w:t>
      </w:r>
    </w:p>
    <w:p w14:paraId="52C6502D" w14:textId="77777777" w:rsidR="00454D5F" w:rsidRPr="009A0DA6" w:rsidRDefault="00454D5F" w:rsidP="00454D5F">
      <w:pPr>
        <w:tabs>
          <w:tab w:val="left" w:pos="567"/>
          <w:tab w:val="left" w:pos="1418"/>
          <w:tab w:val="left" w:pos="3119"/>
          <w:tab w:val="left" w:pos="4536"/>
          <w:tab w:val="left" w:pos="5670"/>
        </w:tabs>
        <w:spacing w:after="0" w:line="240" w:lineRule="auto"/>
        <w:ind w:left="1418" w:hanging="1418"/>
        <w:rPr>
          <w:rFonts w:ascii="Cambria" w:eastAsia="Times New Roman" w:hAnsi="Cambria" w:cs="Times New Roman"/>
          <w:noProof/>
          <w:lang w:eastAsia="en-AU"/>
        </w:rPr>
      </w:pPr>
      <w:r w:rsidRPr="009A0DA6">
        <w:rPr>
          <w:rFonts w:ascii="Cambria" w:eastAsia="Times New Roman" w:hAnsi="Cambria" w:cs="Times New Roman"/>
          <w:noProof/>
          <w:lang w:eastAsia="en-AU"/>
        </w:rPr>
        <w:tab/>
        <w:t>4.1.1</w:t>
      </w:r>
      <w:r w:rsidRPr="009A0DA6">
        <w:rPr>
          <w:rFonts w:ascii="Cambria" w:eastAsia="Times New Roman" w:hAnsi="Cambria" w:cs="Times New Roman"/>
          <w:noProof/>
          <w:lang w:eastAsia="en-AU"/>
        </w:rPr>
        <w:tab/>
        <w:t>accept and hold the Confession of the Church;</w:t>
      </w:r>
    </w:p>
    <w:p w14:paraId="1CFEA112" w14:textId="77777777" w:rsidR="00454D5F" w:rsidRPr="009A0DA6" w:rsidRDefault="00454D5F" w:rsidP="00454D5F">
      <w:pPr>
        <w:tabs>
          <w:tab w:val="left" w:pos="567"/>
          <w:tab w:val="left" w:pos="1418"/>
          <w:tab w:val="left" w:pos="3119"/>
          <w:tab w:val="left" w:pos="4536"/>
          <w:tab w:val="left" w:pos="5670"/>
        </w:tabs>
        <w:spacing w:after="0" w:line="240" w:lineRule="auto"/>
        <w:ind w:left="1418" w:hanging="1418"/>
        <w:rPr>
          <w:rFonts w:ascii="Cambria" w:eastAsia="Times New Roman" w:hAnsi="Cambria" w:cs="Times New Roman"/>
          <w:noProof/>
          <w:lang w:eastAsia="en-AU"/>
        </w:rPr>
      </w:pPr>
      <w:r w:rsidRPr="009A0DA6">
        <w:rPr>
          <w:rFonts w:ascii="Cambria" w:eastAsia="Times New Roman" w:hAnsi="Cambria" w:cs="Times New Roman"/>
          <w:noProof/>
          <w:lang w:eastAsia="en-AU"/>
        </w:rPr>
        <w:tab/>
        <w:t>4.1.2</w:t>
      </w:r>
      <w:r w:rsidRPr="009A0DA6">
        <w:rPr>
          <w:rFonts w:ascii="Cambria" w:eastAsia="Times New Roman" w:hAnsi="Cambria" w:cs="Times New Roman"/>
          <w:noProof/>
          <w:lang w:eastAsia="en-AU"/>
        </w:rPr>
        <w:tab/>
        <w:t>accept the Constitution and By-Laws of the Church and the District;</w:t>
      </w:r>
    </w:p>
    <w:p w14:paraId="6F75F765" w14:textId="77777777" w:rsidR="00454D5F" w:rsidRPr="009A0DA6" w:rsidRDefault="00454D5F" w:rsidP="00454D5F">
      <w:pPr>
        <w:tabs>
          <w:tab w:val="left" w:pos="567"/>
          <w:tab w:val="left" w:pos="1418"/>
          <w:tab w:val="left" w:pos="3119"/>
          <w:tab w:val="left" w:pos="4536"/>
          <w:tab w:val="left" w:pos="5670"/>
        </w:tabs>
        <w:spacing w:after="0" w:line="240" w:lineRule="auto"/>
        <w:ind w:left="1418" w:hanging="1418"/>
        <w:rPr>
          <w:rFonts w:ascii="Cambria" w:eastAsia="Times New Roman" w:hAnsi="Cambria" w:cs="Times New Roman"/>
          <w:noProof/>
          <w:lang w:eastAsia="en-AU"/>
        </w:rPr>
      </w:pPr>
      <w:r w:rsidRPr="009A0DA6">
        <w:rPr>
          <w:rFonts w:ascii="Cambria" w:eastAsia="Times New Roman" w:hAnsi="Cambria" w:cs="Times New Roman"/>
          <w:noProof/>
          <w:lang w:eastAsia="en-AU"/>
        </w:rPr>
        <w:tab/>
        <w:t>4.1.3</w:t>
      </w:r>
      <w:r w:rsidRPr="009A0DA6">
        <w:rPr>
          <w:rFonts w:ascii="Cambria" w:eastAsia="Times New Roman" w:hAnsi="Cambria" w:cs="Times New Roman"/>
          <w:noProof/>
          <w:lang w:eastAsia="en-AU"/>
        </w:rPr>
        <w:tab/>
        <w:t>submit a Constitution and By-Laws acceptable to the Church and the District;  and</w:t>
      </w:r>
    </w:p>
    <w:p w14:paraId="1BA0BEF3" w14:textId="77777777" w:rsidR="00454D5F" w:rsidRPr="009A0DA6" w:rsidRDefault="00454D5F" w:rsidP="00454D5F">
      <w:pPr>
        <w:tabs>
          <w:tab w:val="left" w:pos="567"/>
          <w:tab w:val="left" w:pos="1418"/>
          <w:tab w:val="left" w:pos="3119"/>
          <w:tab w:val="left" w:pos="4536"/>
          <w:tab w:val="left" w:pos="5670"/>
        </w:tabs>
        <w:spacing w:after="0" w:line="240" w:lineRule="auto"/>
        <w:ind w:left="1418" w:hanging="1418"/>
        <w:rPr>
          <w:rFonts w:ascii="Cambria" w:eastAsia="Times New Roman" w:hAnsi="Cambria" w:cs="Times New Roman"/>
          <w:noProof/>
          <w:lang w:eastAsia="en-AU"/>
        </w:rPr>
      </w:pPr>
      <w:r w:rsidRPr="009A0DA6">
        <w:rPr>
          <w:rFonts w:ascii="Cambria" w:eastAsia="Times New Roman" w:hAnsi="Cambria" w:cs="Times New Roman"/>
          <w:noProof/>
          <w:lang w:eastAsia="en-AU"/>
        </w:rPr>
        <w:tab/>
        <w:t>4.1.4</w:t>
      </w:r>
      <w:r w:rsidRPr="009A0DA6">
        <w:rPr>
          <w:rFonts w:ascii="Cambria" w:eastAsia="Times New Roman" w:hAnsi="Cambria" w:cs="Times New Roman"/>
          <w:noProof/>
          <w:lang w:eastAsia="en-AU"/>
        </w:rPr>
        <w:tab/>
        <w:t xml:space="preserve">undertake to participate in the work of the Church and the District and to promote their Objects. </w:t>
      </w:r>
    </w:p>
    <w:p w14:paraId="00CA416E" w14:textId="77777777" w:rsidR="00454D5F" w:rsidRPr="009A0DA6" w:rsidRDefault="00454D5F" w:rsidP="00454D5F">
      <w:pPr>
        <w:tabs>
          <w:tab w:val="left" w:pos="567"/>
          <w:tab w:val="left" w:pos="1985"/>
          <w:tab w:val="left" w:pos="3119"/>
          <w:tab w:val="left" w:pos="4536"/>
          <w:tab w:val="left" w:pos="5670"/>
        </w:tabs>
        <w:spacing w:after="0" w:line="240" w:lineRule="auto"/>
        <w:ind w:left="567" w:hanging="567"/>
        <w:rPr>
          <w:rFonts w:ascii="Cambria" w:eastAsia="Times New Roman" w:hAnsi="Cambria" w:cs="Times New Roman"/>
          <w:noProof/>
          <w:lang w:eastAsia="en-AU"/>
        </w:rPr>
      </w:pPr>
      <w:r w:rsidRPr="009A0DA6">
        <w:rPr>
          <w:rFonts w:ascii="Cambria" w:eastAsia="Times New Roman" w:hAnsi="Cambria" w:cs="Times New Roman"/>
          <w:noProof/>
          <w:lang w:eastAsia="en-AU"/>
        </w:rPr>
        <w:tab/>
        <w:t>Such member congregations shall be recorded in the official Roll of Congregations of the District</w:t>
      </w:r>
      <w:r w:rsidRPr="009A0DA6">
        <w:rPr>
          <w:rFonts w:ascii="Cambria" w:eastAsia="Times New Roman" w:hAnsi="Cambria" w:cs="Times New Roman"/>
          <w:b/>
          <w:noProof/>
          <w:lang w:eastAsia="en-AU"/>
        </w:rPr>
        <w:t xml:space="preserve"> </w:t>
      </w:r>
      <w:r w:rsidRPr="009A0DA6">
        <w:rPr>
          <w:rFonts w:ascii="Cambria" w:eastAsia="Times New Roman" w:hAnsi="Cambria" w:cs="Times New Roman"/>
          <w:noProof/>
          <w:lang w:eastAsia="en-AU"/>
        </w:rPr>
        <w:t>and shall exercise their membership rights in accordance with the representation requirements outlined in the following Article 7.2.1.</w:t>
      </w:r>
    </w:p>
    <w:p w14:paraId="6A3CC192" w14:textId="77777777" w:rsidR="00454D5F" w:rsidRPr="009A0DA6" w:rsidRDefault="00454D5F" w:rsidP="00454D5F">
      <w:pPr>
        <w:tabs>
          <w:tab w:val="left" w:pos="567"/>
          <w:tab w:val="left" w:pos="1985"/>
          <w:tab w:val="left" w:pos="3119"/>
          <w:tab w:val="left" w:pos="4536"/>
          <w:tab w:val="left" w:pos="5670"/>
        </w:tabs>
        <w:spacing w:after="0" w:line="240" w:lineRule="auto"/>
        <w:ind w:left="1985" w:hanging="1985"/>
        <w:rPr>
          <w:rFonts w:ascii="Cambria" w:eastAsia="Times New Roman" w:hAnsi="Cambria" w:cs="Times New Roman"/>
          <w:noProof/>
          <w:lang w:eastAsia="en-AU"/>
        </w:rPr>
      </w:pPr>
      <w:r w:rsidRPr="009A0DA6">
        <w:rPr>
          <w:rFonts w:ascii="Cambria" w:eastAsia="Times New Roman" w:hAnsi="Cambria" w:cs="Times New Roman"/>
          <w:noProof/>
          <w:lang w:eastAsia="en-AU"/>
        </w:rPr>
        <w:t>4.2</w:t>
      </w:r>
      <w:r w:rsidRPr="009A0DA6">
        <w:rPr>
          <w:rFonts w:ascii="Cambria" w:eastAsia="Times New Roman" w:hAnsi="Cambria" w:cs="Times New Roman"/>
          <w:noProof/>
          <w:lang w:eastAsia="en-AU"/>
        </w:rPr>
        <w:tab/>
        <w:t xml:space="preserve">The District shall consist of </w:t>
      </w:r>
    </w:p>
    <w:p w14:paraId="37DAE91D" w14:textId="77777777" w:rsidR="00454D5F" w:rsidRPr="009A0DA6" w:rsidRDefault="00454D5F" w:rsidP="00454D5F">
      <w:pPr>
        <w:tabs>
          <w:tab w:val="left" w:pos="567"/>
          <w:tab w:val="left" w:pos="1418"/>
          <w:tab w:val="left" w:pos="3119"/>
          <w:tab w:val="left" w:pos="4536"/>
          <w:tab w:val="left" w:pos="5670"/>
        </w:tabs>
        <w:spacing w:after="0" w:line="240" w:lineRule="auto"/>
        <w:ind w:left="1418" w:hanging="1418"/>
        <w:rPr>
          <w:rFonts w:ascii="Cambria" w:eastAsia="Times New Roman" w:hAnsi="Cambria" w:cs="Times New Roman"/>
          <w:noProof/>
          <w:lang w:eastAsia="en-AU"/>
        </w:rPr>
      </w:pPr>
      <w:r w:rsidRPr="009A0DA6">
        <w:rPr>
          <w:rFonts w:ascii="Cambria" w:eastAsia="Times New Roman" w:hAnsi="Cambria" w:cs="Times New Roman"/>
          <w:noProof/>
          <w:lang w:eastAsia="en-AU"/>
        </w:rPr>
        <w:tab/>
      </w:r>
      <w:r w:rsidRPr="009A0DA6">
        <w:rPr>
          <w:rFonts w:ascii="Cambria" w:eastAsia="Times New Roman" w:hAnsi="Cambria" w:cs="Times New Roman"/>
          <w:b/>
          <w:noProof/>
          <w:lang w:eastAsia="en-AU"/>
        </w:rPr>
        <w:t>4.2.1</w:t>
      </w:r>
      <w:r w:rsidRPr="009A0DA6">
        <w:rPr>
          <w:rFonts w:ascii="Cambria" w:eastAsia="Times New Roman" w:hAnsi="Cambria" w:cs="Times New Roman"/>
          <w:noProof/>
          <w:lang w:eastAsia="en-AU"/>
        </w:rPr>
        <w:tab/>
        <w:t>the congregations which are members of the Church in the area of the District;  and</w:t>
      </w:r>
    </w:p>
    <w:p w14:paraId="642DD221" w14:textId="77777777" w:rsidR="00454D5F" w:rsidRPr="009A0DA6" w:rsidRDefault="00454D5F" w:rsidP="00454D5F">
      <w:pPr>
        <w:tabs>
          <w:tab w:val="left" w:pos="567"/>
          <w:tab w:val="left" w:pos="1418"/>
          <w:tab w:val="left" w:pos="3119"/>
          <w:tab w:val="left" w:pos="4536"/>
          <w:tab w:val="left" w:pos="5670"/>
        </w:tabs>
        <w:spacing w:after="0" w:line="240" w:lineRule="auto"/>
        <w:ind w:left="1418" w:hanging="1418"/>
        <w:rPr>
          <w:rFonts w:ascii="Cambria" w:eastAsia="Times New Roman" w:hAnsi="Cambria" w:cs="Times New Roman"/>
          <w:b/>
          <w:noProof/>
          <w:lang w:eastAsia="en-AU"/>
        </w:rPr>
      </w:pPr>
      <w:r w:rsidRPr="009A0DA6">
        <w:rPr>
          <w:rFonts w:ascii="Cambria" w:eastAsia="Times New Roman" w:hAnsi="Cambria" w:cs="Times New Roman"/>
          <w:noProof/>
          <w:lang w:eastAsia="en-AU"/>
        </w:rPr>
        <w:tab/>
      </w:r>
      <w:r w:rsidRPr="009A0DA6">
        <w:rPr>
          <w:rFonts w:ascii="Cambria" w:eastAsia="Times New Roman" w:hAnsi="Cambria" w:cs="Times New Roman"/>
          <w:b/>
          <w:noProof/>
          <w:lang w:eastAsia="en-AU"/>
        </w:rPr>
        <w:t>4.2.2</w:t>
      </w:r>
      <w:r w:rsidRPr="009A0DA6">
        <w:rPr>
          <w:rFonts w:ascii="Cambria" w:eastAsia="Times New Roman" w:hAnsi="Cambria" w:cs="Times New Roman"/>
          <w:b/>
          <w:noProof/>
          <w:lang w:eastAsia="en-AU"/>
        </w:rPr>
        <w:tab/>
        <w:t>other bodies in the area of the District which are accepted as members of the Church pursuant to Article 4.2 of the Constitution of the Church.</w:t>
      </w:r>
    </w:p>
    <w:p w14:paraId="4CE31899" w14:textId="77777777" w:rsidR="00454D5F" w:rsidRPr="009A0DA6" w:rsidRDefault="00454D5F" w:rsidP="00454D5F">
      <w:pPr>
        <w:tabs>
          <w:tab w:val="left" w:pos="567"/>
          <w:tab w:val="left" w:pos="1418"/>
          <w:tab w:val="left" w:pos="3119"/>
          <w:tab w:val="left" w:pos="4536"/>
          <w:tab w:val="left" w:pos="5670"/>
        </w:tabs>
        <w:spacing w:after="0" w:line="240" w:lineRule="auto"/>
        <w:ind w:left="567" w:hanging="567"/>
        <w:rPr>
          <w:rFonts w:ascii="Cambria" w:eastAsia="Times New Roman" w:hAnsi="Cambria" w:cs="Times New Roman"/>
          <w:noProof/>
          <w:lang w:eastAsia="en-AU"/>
        </w:rPr>
      </w:pPr>
      <w:r w:rsidRPr="009A0DA6">
        <w:rPr>
          <w:rFonts w:ascii="Cambria" w:eastAsia="Times New Roman" w:hAnsi="Cambria" w:cs="Times New Roman"/>
          <w:noProof/>
          <w:lang w:eastAsia="en-AU"/>
        </w:rPr>
        <w:t>4.3</w:t>
      </w:r>
      <w:r w:rsidRPr="009A0DA6">
        <w:rPr>
          <w:rFonts w:ascii="Cambria" w:eastAsia="Times New Roman" w:hAnsi="Cambria" w:cs="Times New Roman"/>
          <w:noProof/>
          <w:lang w:eastAsia="en-AU"/>
        </w:rPr>
        <w:tab/>
        <w:t>Membership in the Church may be terminated by action of the congregation or by action of the Church, as prescribed by the By-laws of the Church.</w:t>
      </w:r>
    </w:p>
    <w:p w14:paraId="3F3392E7" w14:textId="77777777" w:rsidR="00454D5F" w:rsidRPr="009A0DA6" w:rsidRDefault="00454D5F" w:rsidP="00454D5F">
      <w:pPr>
        <w:tabs>
          <w:tab w:val="left" w:pos="567"/>
          <w:tab w:val="left" w:pos="1418"/>
          <w:tab w:val="left" w:pos="3119"/>
          <w:tab w:val="left" w:pos="4536"/>
          <w:tab w:val="left" w:pos="5670"/>
        </w:tabs>
        <w:spacing w:after="0" w:line="240" w:lineRule="auto"/>
        <w:ind w:left="567" w:hanging="567"/>
        <w:rPr>
          <w:rFonts w:ascii="Cambria" w:eastAsia="Times New Roman" w:hAnsi="Cambria" w:cs="Times New Roman"/>
          <w:noProof/>
          <w:lang w:eastAsia="en-AU"/>
        </w:rPr>
      </w:pPr>
      <w:r w:rsidRPr="009A0DA6">
        <w:rPr>
          <w:rFonts w:ascii="Cambria" w:eastAsia="Times New Roman" w:hAnsi="Cambria" w:cs="Times New Roman"/>
          <w:noProof/>
          <w:lang w:eastAsia="en-AU"/>
        </w:rPr>
        <w:t>4.4</w:t>
      </w:r>
      <w:r w:rsidRPr="009A0DA6">
        <w:rPr>
          <w:rFonts w:ascii="Cambria" w:eastAsia="Times New Roman" w:hAnsi="Cambria" w:cs="Times New Roman"/>
          <w:noProof/>
          <w:lang w:eastAsia="en-AU"/>
        </w:rPr>
        <w:tab/>
        <w:t>A congregation which terminates its membership, or whose membership is terminated by action of the Church, shall have no claim upon the Church or District or the property or funds of the Church and of the District;  but nothing herein contained prevents the Church from giving effect to any decision, award or recommendation made by any Church tribunal in accordance with the By-laws in consequence of any such termination of membership.</w:t>
      </w:r>
    </w:p>
    <w:p w14:paraId="38978248" w14:textId="77777777" w:rsidR="00454D5F" w:rsidRPr="009A0DA6" w:rsidRDefault="00454D5F" w:rsidP="00454D5F">
      <w:pPr>
        <w:spacing w:after="0" w:line="240" w:lineRule="auto"/>
        <w:ind w:right="573" w:firstLine="6"/>
        <w:rPr>
          <w:rFonts w:ascii="Cambria" w:eastAsia="Times New Roman" w:hAnsi="Cambria" w:cs="Times New Roman"/>
          <w:bCs/>
          <w:color w:val="222222"/>
          <w:lang w:eastAsia="en-AU"/>
        </w:rPr>
      </w:pPr>
    </w:p>
    <w:p w14:paraId="276DE03F" w14:textId="77777777" w:rsidR="00454D5F" w:rsidRPr="009A0DA6" w:rsidRDefault="00454D5F" w:rsidP="00355E83">
      <w:pPr>
        <w:pStyle w:val="Heading3"/>
        <w:rPr>
          <w:rFonts w:eastAsia="SimSun" w:cs="F"/>
        </w:rPr>
      </w:pPr>
      <w:r w:rsidRPr="009A0DA6">
        <w:t>REASONS FOR THE MOTION</w:t>
      </w:r>
    </w:p>
    <w:p w14:paraId="707E85CE" w14:textId="304ED8A1" w:rsidR="00454D5F" w:rsidRPr="009A0DA6" w:rsidRDefault="00454D5F" w:rsidP="00454D5F">
      <w:pPr>
        <w:spacing w:after="120" w:line="240" w:lineRule="auto"/>
        <w:rPr>
          <w:rFonts w:ascii="Cambria" w:hAnsi="Cambria"/>
        </w:rPr>
      </w:pPr>
      <w:r w:rsidRPr="009A0DA6">
        <w:rPr>
          <w:rFonts w:ascii="Cambria" w:hAnsi="Cambria"/>
        </w:rPr>
        <w:t xml:space="preserve">It has been recognised for some time that the LCA needs to address the issue of how to grow the full participation of Aboriginal Lutherans in the life and mission of the </w:t>
      </w:r>
      <w:r w:rsidR="00336CE0" w:rsidRPr="009A0DA6">
        <w:rPr>
          <w:rFonts w:ascii="Cambria" w:hAnsi="Cambria"/>
        </w:rPr>
        <w:t>church</w:t>
      </w:r>
      <w:r w:rsidRPr="009A0DA6">
        <w:rPr>
          <w:rFonts w:ascii="Cambria" w:hAnsi="Cambria"/>
        </w:rPr>
        <w:t xml:space="preserve">, particularly in respect of their representation at a </w:t>
      </w:r>
      <w:r w:rsidR="00C67D2A" w:rsidRPr="009A0DA6">
        <w:rPr>
          <w:rFonts w:ascii="Cambria" w:hAnsi="Cambria"/>
        </w:rPr>
        <w:t>synodical</w:t>
      </w:r>
      <w:r w:rsidRPr="009A0DA6">
        <w:rPr>
          <w:rFonts w:ascii="Cambria" w:hAnsi="Cambria"/>
        </w:rPr>
        <w:t xml:space="preserve"> level. </w:t>
      </w:r>
    </w:p>
    <w:p w14:paraId="40E02FAA" w14:textId="77777777" w:rsidR="00454D5F" w:rsidRPr="009A0DA6" w:rsidRDefault="00454D5F" w:rsidP="00454D5F">
      <w:pPr>
        <w:spacing w:after="120" w:line="240" w:lineRule="auto"/>
        <w:rPr>
          <w:rFonts w:ascii="Cambria" w:hAnsi="Cambria"/>
        </w:rPr>
      </w:pPr>
      <w:r w:rsidRPr="009A0DA6">
        <w:rPr>
          <w:rFonts w:ascii="Cambria" w:hAnsi="Cambria"/>
        </w:rPr>
        <w:t>The FRM Board requested the General Church Council (GCC) to consider this matter and a Queensland congregation has submitted a proposal for the 2018 General Convention of Synod to grant Aboriginal pastors and congregations the right to speak and vote at pastors’ conferences and synodical conventions.</w:t>
      </w:r>
    </w:p>
    <w:p w14:paraId="73916219" w14:textId="21CB4056" w:rsidR="00454D5F" w:rsidRPr="009A0DA6" w:rsidRDefault="00454D5F" w:rsidP="00454D5F">
      <w:pPr>
        <w:spacing w:after="120" w:line="240" w:lineRule="auto"/>
        <w:rPr>
          <w:rFonts w:ascii="Cambria" w:hAnsi="Cambria"/>
        </w:rPr>
      </w:pPr>
      <w:r w:rsidRPr="009A0DA6">
        <w:rPr>
          <w:rFonts w:ascii="Cambria" w:hAnsi="Cambria"/>
        </w:rPr>
        <w:t>This issue is not a new one</w:t>
      </w:r>
      <w:r w:rsidR="0027799A" w:rsidRPr="009A0DA6">
        <w:rPr>
          <w:rFonts w:ascii="Cambria" w:hAnsi="Cambria"/>
        </w:rPr>
        <w:t xml:space="preserve">. </w:t>
      </w:r>
      <w:r w:rsidRPr="009A0DA6">
        <w:rPr>
          <w:rFonts w:ascii="Cambria" w:hAnsi="Cambria"/>
        </w:rPr>
        <w:t>In 2000, “Guidelines on the relationship of Aboriginal pastors and Aboriginal congregations to the Lutheran Church of Australia” was developed and this was adopted at the 2000 Convention of General Synod</w:t>
      </w:r>
      <w:r w:rsidR="0027799A" w:rsidRPr="009A0DA6">
        <w:rPr>
          <w:rFonts w:ascii="Cambria" w:hAnsi="Cambria"/>
        </w:rPr>
        <w:t xml:space="preserve">. </w:t>
      </w:r>
      <w:r w:rsidRPr="009A0DA6">
        <w:rPr>
          <w:rFonts w:ascii="Cambria" w:hAnsi="Cambria"/>
        </w:rPr>
        <w:t>It was prepared as an interim step towards achieving a longer term objective of Aboriginal Lutheran Christians in the various locations where they live formally constituting themselves as congregations.</w:t>
      </w:r>
    </w:p>
    <w:p w14:paraId="2B6D5504" w14:textId="0A7D96CB" w:rsidR="00454D5F" w:rsidRPr="009A0DA6" w:rsidRDefault="00454D5F" w:rsidP="00454D5F">
      <w:pPr>
        <w:spacing w:after="120" w:line="240" w:lineRule="auto"/>
        <w:rPr>
          <w:rFonts w:ascii="Cambria" w:hAnsi="Cambria"/>
        </w:rPr>
      </w:pPr>
      <w:r w:rsidRPr="009A0DA6">
        <w:rPr>
          <w:rFonts w:ascii="Cambria" w:hAnsi="Cambria"/>
        </w:rPr>
        <w:t xml:space="preserve">This objective hasn’t been achieved and, because the </w:t>
      </w:r>
      <w:r w:rsidR="00336CE0" w:rsidRPr="009A0DA6">
        <w:rPr>
          <w:rFonts w:ascii="Cambria" w:hAnsi="Cambria"/>
        </w:rPr>
        <w:t>church</w:t>
      </w:r>
      <w:r w:rsidRPr="009A0DA6">
        <w:rPr>
          <w:rFonts w:ascii="Cambria" w:hAnsi="Cambria"/>
        </w:rPr>
        <w:t xml:space="preserve"> consists of member congregations and many Aboriginal Lutherans are not members of a recognised constituted congregation, Aboriginal Lutherans have been significantly under-represented in the </w:t>
      </w:r>
      <w:r w:rsidR="00336CE0" w:rsidRPr="009A0DA6">
        <w:rPr>
          <w:rFonts w:ascii="Cambria" w:hAnsi="Cambria"/>
        </w:rPr>
        <w:t>church</w:t>
      </w:r>
      <w:r w:rsidRPr="009A0DA6">
        <w:rPr>
          <w:rFonts w:ascii="Cambria" w:hAnsi="Cambria"/>
        </w:rPr>
        <w:t>’s decision-making forums.</w:t>
      </w:r>
    </w:p>
    <w:p w14:paraId="1C633EB7" w14:textId="06979889" w:rsidR="00454D5F" w:rsidRPr="009A0DA6" w:rsidRDefault="00454D5F" w:rsidP="00454D5F">
      <w:pPr>
        <w:spacing w:after="120" w:line="240" w:lineRule="auto"/>
        <w:rPr>
          <w:rFonts w:ascii="Cambria" w:hAnsi="Cambria"/>
        </w:rPr>
      </w:pPr>
      <w:r w:rsidRPr="009A0DA6">
        <w:rPr>
          <w:rFonts w:ascii="Cambria" w:hAnsi="Cambria"/>
        </w:rPr>
        <w:t>In an effort to address this issue, the Standing Committee on Constitutions (SCoC) has prepared a motion to amend Article 4 “Membership” of the Constitution (and complementary changes to the Model Constitution for a District in the By-laws of the Church)</w:t>
      </w:r>
      <w:r w:rsidR="0027799A" w:rsidRPr="009A0DA6">
        <w:rPr>
          <w:rFonts w:ascii="Cambria" w:hAnsi="Cambria"/>
        </w:rPr>
        <w:t xml:space="preserve">. </w:t>
      </w:r>
      <w:r w:rsidRPr="009A0DA6">
        <w:rPr>
          <w:rFonts w:ascii="Cambria" w:hAnsi="Cambria"/>
        </w:rPr>
        <w:t xml:space="preserve">The principle underpinning the proposed amendment to Article 4 is that the </w:t>
      </w:r>
      <w:r w:rsidR="00336CE0" w:rsidRPr="009A0DA6">
        <w:rPr>
          <w:rFonts w:ascii="Cambria" w:hAnsi="Cambria"/>
        </w:rPr>
        <w:t>church</w:t>
      </w:r>
      <w:r w:rsidRPr="009A0DA6">
        <w:rPr>
          <w:rFonts w:ascii="Cambria" w:hAnsi="Cambria"/>
        </w:rPr>
        <w:t xml:space="preserve"> adopts this practice to recognise the context of Aboriginal congregations, while maintaining proper process and good order.</w:t>
      </w:r>
    </w:p>
    <w:p w14:paraId="2669B82A" w14:textId="01F02ADC" w:rsidR="00454D5F" w:rsidRPr="009A0DA6" w:rsidRDefault="00454D5F" w:rsidP="00454D5F">
      <w:pPr>
        <w:spacing w:after="120" w:line="240" w:lineRule="auto"/>
        <w:rPr>
          <w:rFonts w:ascii="Cambria" w:hAnsi="Cambria"/>
        </w:rPr>
      </w:pPr>
      <w:r w:rsidRPr="009A0DA6">
        <w:rPr>
          <w:rFonts w:ascii="Cambria" w:hAnsi="Cambria"/>
        </w:rPr>
        <w:t xml:space="preserve">In drafting these additions to the membership clauses, the </w:t>
      </w:r>
      <w:r w:rsidRPr="009A0DA6">
        <w:rPr>
          <w:rFonts w:ascii="Cambria" w:eastAsia="Times New Roman" w:hAnsi="Cambria" w:cs="Calibri"/>
          <w:lang w:eastAsia="en-AU" w:bidi="he-IL"/>
        </w:rPr>
        <w:t>SCoC</w:t>
      </w:r>
      <w:r w:rsidRPr="009A0DA6">
        <w:rPr>
          <w:rFonts w:ascii="Cambria" w:hAnsi="Cambria"/>
        </w:rPr>
        <w:t xml:space="preserve"> has taken account of the guidelines adopted by the 2000 General Convention of Synod mentioned above</w:t>
      </w:r>
      <w:r w:rsidR="0027799A" w:rsidRPr="009A0DA6">
        <w:rPr>
          <w:rFonts w:ascii="Cambria" w:hAnsi="Cambria"/>
        </w:rPr>
        <w:t xml:space="preserve">. </w:t>
      </w:r>
      <w:r w:rsidRPr="009A0DA6">
        <w:rPr>
          <w:rFonts w:ascii="Cambria" w:hAnsi="Cambria"/>
        </w:rPr>
        <w:t xml:space="preserve">The first </w:t>
      </w:r>
      <w:r w:rsidRPr="009A0DA6">
        <w:rPr>
          <w:rFonts w:ascii="Cambria" w:hAnsi="Cambria"/>
        </w:rPr>
        <w:lastRenderedPageBreak/>
        <w:t xml:space="preserve">clause of the guidelines stated that:  In addition to Aboriginal Christians who are already members of constituted LCA congregations, baptised Aboriginals under the pastoral care of or served by pastors called or assigned by an Aboriginal ministry board of the LCA or its District </w:t>
      </w:r>
      <w:r w:rsidRPr="009A0DA6">
        <w:rPr>
          <w:rFonts w:ascii="Cambria" w:hAnsi="Cambria"/>
          <w:b/>
        </w:rPr>
        <w:t>are members of the LCA</w:t>
      </w:r>
      <w:r w:rsidRPr="009A0DA6">
        <w:rPr>
          <w:rFonts w:ascii="Cambria" w:hAnsi="Cambria"/>
        </w:rPr>
        <w:t xml:space="preserve"> (emphasis added).</w:t>
      </w:r>
    </w:p>
    <w:p w14:paraId="40CAFA40" w14:textId="77777777" w:rsidR="00454D5F" w:rsidRPr="009A0DA6" w:rsidRDefault="00454D5F" w:rsidP="00454D5F">
      <w:pPr>
        <w:spacing w:after="120" w:line="240" w:lineRule="auto"/>
        <w:rPr>
          <w:rFonts w:ascii="Cambria" w:hAnsi="Cambria"/>
        </w:rPr>
      </w:pPr>
      <w:r w:rsidRPr="009A0DA6">
        <w:rPr>
          <w:rFonts w:ascii="Cambria" w:hAnsi="Cambria"/>
        </w:rPr>
        <w:t>The first sentence in the draft new clause 4.2 has implicitly drawn on this 2000 Synod resolution.</w:t>
      </w:r>
    </w:p>
    <w:p w14:paraId="45EF3EAB" w14:textId="08FD4A61" w:rsidR="00454D5F" w:rsidRPr="009A0DA6" w:rsidRDefault="00454D5F" w:rsidP="00454D5F">
      <w:pPr>
        <w:spacing w:after="120" w:line="240" w:lineRule="auto"/>
        <w:rPr>
          <w:rFonts w:ascii="Cambria" w:hAnsi="Cambria"/>
        </w:rPr>
      </w:pPr>
      <w:r w:rsidRPr="009A0DA6">
        <w:rPr>
          <w:rFonts w:ascii="Cambria" w:hAnsi="Cambria"/>
        </w:rPr>
        <w:t xml:space="preserve">That said, the wording has been prepared so that it does not specifically identify any particular group as the subject of the clause, but on the other hand has endeavoured to include sufficient ‘checks and balances’ to ensure the </w:t>
      </w:r>
      <w:r w:rsidR="00336CE0" w:rsidRPr="009A0DA6">
        <w:rPr>
          <w:rFonts w:ascii="Cambria" w:hAnsi="Cambria"/>
        </w:rPr>
        <w:t>church</w:t>
      </w:r>
      <w:r w:rsidRPr="009A0DA6">
        <w:rPr>
          <w:rFonts w:ascii="Cambria" w:hAnsi="Cambria"/>
        </w:rPr>
        <w:t>’s current membership is not broadened so widely as to accept any self-identified worshipping community.</w:t>
      </w:r>
    </w:p>
    <w:p w14:paraId="064402A9" w14:textId="77777777" w:rsidR="00454D5F" w:rsidRPr="009A0DA6" w:rsidRDefault="00454D5F" w:rsidP="00454D5F">
      <w:pPr>
        <w:spacing w:after="120" w:line="240" w:lineRule="auto"/>
        <w:rPr>
          <w:rFonts w:ascii="Cambria" w:hAnsi="Cambria"/>
        </w:rPr>
      </w:pPr>
      <w:r w:rsidRPr="009A0DA6">
        <w:rPr>
          <w:rFonts w:ascii="Cambria" w:hAnsi="Cambria"/>
          <w:b/>
        </w:rPr>
        <w:t>It is very important to note</w:t>
      </w:r>
      <w:r w:rsidRPr="009A0DA6">
        <w:rPr>
          <w:rFonts w:ascii="Cambria" w:hAnsi="Cambria"/>
        </w:rPr>
        <w:t xml:space="preserve"> that this proposed motion serves only to provide the constitutional mechanism to enable the outcome sought.</w:t>
      </w:r>
    </w:p>
    <w:p w14:paraId="7A26CD61" w14:textId="4D46D76C" w:rsidR="00454D5F" w:rsidRPr="009A0DA6" w:rsidRDefault="00454D5F" w:rsidP="00454D5F">
      <w:pPr>
        <w:spacing w:after="120" w:line="240" w:lineRule="auto"/>
        <w:rPr>
          <w:rFonts w:ascii="Cambria" w:hAnsi="Cambria"/>
        </w:rPr>
      </w:pPr>
      <w:r w:rsidRPr="009A0DA6">
        <w:rPr>
          <w:rFonts w:ascii="Cambria" w:hAnsi="Cambria"/>
        </w:rPr>
        <w:t xml:space="preserve">During the next synodical term the </w:t>
      </w:r>
      <w:r w:rsidR="00336CE0" w:rsidRPr="009A0DA6">
        <w:rPr>
          <w:rFonts w:ascii="Cambria" w:hAnsi="Cambria"/>
        </w:rPr>
        <w:t>church</w:t>
      </w:r>
      <w:r w:rsidRPr="009A0DA6">
        <w:rPr>
          <w:rFonts w:ascii="Cambria" w:hAnsi="Cambria"/>
        </w:rPr>
        <w:t xml:space="preserve"> will work with and alongside our Aboriginal brothers and sisters through a consultation process to resolve the issues of how the constitutional provision will be applied in practice to turn the principle into a reality</w:t>
      </w:r>
      <w:r w:rsidR="0027799A" w:rsidRPr="009A0DA6">
        <w:rPr>
          <w:rFonts w:ascii="Cambria" w:hAnsi="Cambria"/>
        </w:rPr>
        <w:t xml:space="preserve">. </w:t>
      </w:r>
      <w:r w:rsidRPr="009A0DA6">
        <w:rPr>
          <w:rFonts w:ascii="Cambria" w:hAnsi="Cambria"/>
        </w:rPr>
        <w:t>This will include identifying the ‘bodies’ referred to in the draft clause, determining the basis of their delegate entitlement to General and District Synods, and establishing how best to facilitate their full participation in these forums.</w:t>
      </w:r>
    </w:p>
    <w:p w14:paraId="3DA20716" w14:textId="77777777" w:rsidR="00454D5F" w:rsidRPr="009A0DA6" w:rsidRDefault="00454D5F" w:rsidP="00454D5F">
      <w:pPr>
        <w:spacing w:after="120" w:line="240" w:lineRule="auto"/>
        <w:rPr>
          <w:rFonts w:ascii="Cambria" w:hAnsi="Cambria"/>
        </w:rPr>
      </w:pPr>
      <w:r w:rsidRPr="009A0DA6">
        <w:rPr>
          <w:rFonts w:ascii="Cambria" w:hAnsi="Cambria"/>
        </w:rPr>
        <w:t>The intention is that, if the General Convention of Synod adopts the proposal in regard to the Reconciliation Action Plan, the process for its development will incorporate discussion about these and other matters that may be identified.</w:t>
      </w:r>
    </w:p>
    <w:p w14:paraId="0BF6B2C8" w14:textId="1847952A" w:rsidR="001C7AAD" w:rsidRPr="009A0DA6" w:rsidRDefault="001C7AAD" w:rsidP="001C7AAD">
      <w:pPr>
        <w:pStyle w:val="NoSpacing"/>
      </w:pPr>
    </w:p>
    <w:p w14:paraId="0D322522" w14:textId="57C737A8" w:rsidR="004C0EDE" w:rsidRPr="009A0DA6" w:rsidRDefault="004C0EDE" w:rsidP="001C7AAD">
      <w:pPr>
        <w:pStyle w:val="NoSpacing"/>
      </w:pPr>
    </w:p>
    <w:p w14:paraId="10AF0B9D" w14:textId="64BFFA1E" w:rsidR="004C0EDE" w:rsidRDefault="004C0EDE" w:rsidP="001C7AAD">
      <w:pPr>
        <w:pStyle w:val="NoSpacing"/>
      </w:pPr>
    </w:p>
    <w:p w14:paraId="33EB3C92" w14:textId="77777777" w:rsidR="00786120" w:rsidRPr="009A0DA6" w:rsidRDefault="00786120" w:rsidP="001C7AAD">
      <w:pPr>
        <w:pStyle w:val="NoSpacing"/>
      </w:pPr>
    </w:p>
    <w:p w14:paraId="123569B1" w14:textId="28269E34" w:rsidR="00634B13" w:rsidRPr="009A0DA6" w:rsidRDefault="00634B13" w:rsidP="00964A90">
      <w:pPr>
        <w:pStyle w:val="Heading3"/>
      </w:pPr>
      <w:r w:rsidRPr="009A0DA6">
        <w:t>agenda 2.4.1</w:t>
      </w:r>
      <w:r w:rsidR="000C3458" w:rsidRPr="009A0DA6">
        <w:t>5</w:t>
      </w:r>
    </w:p>
    <w:p w14:paraId="26246645" w14:textId="77777777" w:rsidR="00634B13" w:rsidRPr="009A0DA6" w:rsidRDefault="00634B13" w:rsidP="00634B13">
      <w:pPr>
        <w:pStyle w:val="Heading2"/>
      </w:pPr>
      <w:bookmarkStart w:id="465" w:name="_Toc521954717"/>
      <w:r w:rsidRPr="009A0DA6">
        <w:t xml:space="preserve">Constitutional </w:t>
      </w:r>
      <w:r w:rsidR="00075925" w:rsidRPr="009A0DA6">
        <w:t>ch</w:t>
      </w:r>
      <w:r w:rsidRPr="009A0DA6">
        <w:t>ange</w:t>
      </w:r>
      <w:r w:rsidR="00075925" w:rsidRPr="009A0DA6">
        <w:t>s</w:t>
      </w:r>
      <w:r w:rsidRPr="009A0DA6">
        <w:t>: Model for a parish</w:t>
      </w:r>
      <w:bookmarkEnd w:id="465"/>
    </w:p>
    <w:p w14:paraId="5D743D08" w14:textId="77777777" w:rsidR="00634B13" w:rsidRPr="009A0DA6" w:rsidRDefault="00634B13" w:rsidP="00634B13">
      <w:pPr>
        <w:pStyle w:val="NoSpacing"/>
      </w:pPr>
    </w:p>
    <w:p w14:paraId="4F563F30" w14:textId="77777777" w:rsidR="00634B13" w:rsidRPr="009A0DA6" w:rsidRDefault="00454D5F" w:rsidP="00964A90">
      <w:pPr>
        <w:pStyle w:val="Heading3"/>
      </w:pPr>
      <w:r w:rsidRPr="009A0DA6">
        <w:t>proposed motion</w:t>
      </w:r>
    </w:p>
    <w:p w14:paraId="615BE10F" w14:textId="77777777" w:rsidR="00454D5F" w:rsidRPr="009A0DA6" w:rsidRDefault="00454D5F" w:rsidP="00454D5F">
      <w:pPr>
        <w:shd w:val="clear" w:color="auto" w:fill="FFFFFF"/>
        <w:spacing w:after="0" w:line="240" w:lineRule="auto"/>
        <w:rPr>
          <w:rFonts w:ascii="Cambria" w:eastAsia="Times New Roman" w:hAnsi="Cambria" w:cs="Times New Roman"/>
          <w:bCs/>
          <w:color w:val="222222"/>
          <w:lang w:eastAsia="en-AU"/>
        </w:rPr>
      </w:pPr>
      <w:r w:rsidRPr="009A0DA6">
        <w:rPr>
          <w:rFonts w:ascii="Cambria" w:hAnsi="Cambria"/>
          <w:b/>
          <w:bCs/>
          <w:szCs w:val="24"/>
          <w:lang w:eastAsia="en-AU"/>
        </w:rPr>
        <w:t>BE IT RESOLVED</w:t>
      </w:r>
      <w:r w:rsidRPr="009A0DA6">
        <w:rPr>
          <w:rFonts w:ascii="Cambria" w:eastAsia="Times New Roman" w:hAnsi="Cambria" w:cs="Times New Roman"/>
          <w:bCs/>
          <w:color w:val="000000"/>
          <w:szCs w:val="24"/>
          <w:lang w:eastAsia="en-AU"/>
        </w:rPr>
        <w:t xml:space="preserve"> </w:t>
      </w:r>
      <w:r w:rsidRPr="009A0DA6">
        <w:rPr>
          <w:rFonts w:ascii="Cambria" w:eastAsia="Times New Roman" w:hAnsi="Cambria" w:cs="Times New Roman"/>
          <w:bCs/>
          <w:color w:val="222222"/>
          <w:lang w:eastAsia="en-AU"/>
        </w:rPr>
        <w:t xml:space="preserve">that </w:t>
      </w:r>
      <w:r w:rsidRPr="009A0DA6">
        <w:rPr>
          <w:rFonts w:ascii="Cambria" w:eastAsia="Times New Roman" w:hAnsi="Cambria" w:cs="Times New Roman"/>
          <w:b/>
          <w:bCs/>
          <w:color w:val="222222"/>
          <w:lang w:eastAsia="en-AU"/>
        </w:rPr>
        <w:t>Article 3 Objects</w:t>
      </w:r>
      <w:r w:rsidRPr="009A0DA6">
        <w:rPr>
          <w:rFonts w:ascii="Cambria" w:eastAsia="Times New Roman" w:hAnsi="Cambria" w:cs="Times New Roman"/>
          <w:bCs/>
          <w:color w:val="222222"/>
          <w:lang w:eastAsia="en-AU"/>
        </w:rPr>
        <w:t xml:space="preserve"> of the Model Constitution for a Parish be amended in the first line of clause 3.1 to read as follows (words to be added – </w:t>
      </w:r>
      <w:r w:rsidRPr="009A0DA6">
        <w:rPr>
          <w:rFonts w:ascii="Cambria" w:eastAsia="Times New Roman" w:hAnsi="Cambria" w:cs="Times New Roman"/>
          <w:b/>
          <w:bCs/>
          <w:color w:val="222222"/>
          <w:lang w:eastAsia="en-AU"/>
        </w:rPr>
        <w:t>bold</w:t>
      </w:r>
      <w:r w:rsidRPr="009A0DA6">
        <w:rPr>
          <w:rFonts w:ascii="Cambria" w:eastAsia="Times New Roman" w:hAnsi="Cambria" w:cs="Times New Roman"/>
          <w:bCs/>
          <w:color w:val="222222"/>
          <w:lang w:eastAsia="en-AU"/>
        </w:rPr>
        <w:t>):</w:t>
      </w:r>
    </w:p>
    <w:p w14:paraId="1CD5F9E2" w14:textId="77777777" w:rsidR="00454D5F" w:rsidRPr="009A0DA6" w:rsidRDefault="00454D5F" w:rsidP="00454D5F">
      <w:pPr>
        <w:shd w:val="clear" w:color="auto" w:fill="FFFFFF"/>
        <w:spacing w:after="0" w:line="240" w:lineRule="auto"/>
        <w:rPr>
          <w:rFonts w:ascii="Cambria" w:eastAsia="Times New Roman" w:hAnsi="Cambria" w:cs="Times New Roman"/>
          <w:b/>
          <w:bCs/>
          <w:color w:val="222222"/>
          <w:sz w:val="20"/>
          <w:szCs w:val="20"/>
          <w:lang w:eastAsia="en-AU"/>
        </w:rPr>
      </w:pPr>
    </w:p>
    <w:p w14:paraId="57E00920" w14:textId="77777777" w:rsidR="00454D5F" w:rsidRPr="009A0DA6" w:rsidRDefault="00454D5F" w:rsidP="00454D5F">
      <w:pPr>
        <w:tabs>
          <w:tab w:val="left" w:pos="709"/>
          <w:tab w:val="left" w:pos="1559"/>
          <w:tab w:val="left" w:pos="2552"/>
          <w:tab w:val="left" w:pos="3544"/>
          <w:tab w:val="left" w:pos="4536"/>
        </w:tabs>
        <w:spacing w:after="0" w:line="240" w:lineRule="auto"/>
        <w:ind w:left="709" w:hanging="709"/>
        <w:rPr>
          <w:rFonts w:ascii="Cambria" w:eastAsia="Times New Roman" w:hAnsi="Cambria" w:cs="Times New Roman"/>
          <w:noProof/>
          <w:szCs w:val="20"/>
          <w:lang w:eastAsia="ja-JP"/>
        </w:rPr>
      </w:pPr>
      <w:r w:rsidRPr="009A0DA6">
        <w:rPr>
          <w:rFonts w:ascii="Cambria" w:eastAsia="Times New Roman" w:hAnsi="Cambria" w:cs="Times New Roman"/>
          <w:noProof/>
          <w:szCs w:val="20"/>
        </w:rPr>
        <w:t>3.1</w:t>
      </w:r>
      <w:r w:rsidRPr="009A0DA6">
        <w:rPr>
          <w:rFonts w:ascii="Cambria" w:eastAsia="Times New Roman" w:hAnsi="Cambria" w:cs="Times New Roman"/>
          <w:noProof/>
          <w:szCs w:val="20"/>
        </w:rPr>
        <w:tab/>
        <w:t xml:space="preserve">The Parish, </w:t>
      </w:r>
      <w:r w:rsidRPr="009A0DA6">
        <w:rPr>
          <w:rFonts w:ascii="Cambria" w:eastAsia="Times New Roman" w:hAnsi="Cambria" w:cs="Times New Roman"/>
          <w:strike/>
          <w:noProof/>
          <w:szCs w:val="20"/>
        </w:rPr>
        <w:t>as a member</w:t>
      </w:r>
      <w:r w:rsidRPr="009A0DA6">
        <w:rPr>
          <w:rFonts w:ascii="Cambria" w:eastAsia="Times New Roman" w:hAnsi="Cambria" w:cs="Times New Roman"/>
          <w:noProof/>
          <w:szCs w:val="20"/>
        </w:rPr>
        <w:t xml:space="preserve"> </w:t>
      </w:r>
      <w:r w:rsidRPr="009A0DA6">
        <w:rPr>
          <w:rFonts w:ascii="Cambria" w:eastAsia="Times New Roman" w:hAnsi="Cambria" w:cs="Times New Roman"/>
          <w:b/>
          <w:noProof/>
          <w:szCs w:val="20"/>
        </w:rPr>
        <w:t>consisting of congregations which are members</w:t>
      </w:r>
      <w:r w:rsidRPr="009A0DA6">
        <w:rPr>
          <w:rFonts w:ascii="Cambria" w:eastAsia="Times New Roman" w:hAnsi="Cambria" w:cs="Times New Roman"/>
          <w:noProof/>
          <w:szCs w:val="20"/>
        </w:rPr>
        <w:t xml:space="preserve"> of the Church and of the District,</w:t>
      </w:r>
    </w:p>
    <w:p w14:paraId="48CAE90A" w14:textId="77777777" w:rsidR="00454D5F" w:rsidRPr="009A0DA6" w:rsidRDefault="00454D5F" w:rsidP="00454D5F">
      <w:pPr>
        <w:spacing w:after="0" w:line="240" w:lineRule="auto"/>
        <w:ind w:right="573" w:firstLine="6"/>
        <w:rPr>
          <w:rFonts w:ascii="Cambria" w:eastAsia="Times New Roman" w:hAnsi="Cambria" w:cs="Times New Roman"/>
          <w:bCs/>
          <w:color w:val="222222"/>
          <w:szCs w:val="24"/>
          <w:lang w:eastAsia="en-AU"/>
        </w:rPr>
      </w:pPr>
    </w:p>
    <w:p w14:paraId="2B5B0B5C" w14:textId="77777777" w:rsidR="00454D5F" w:rsidRPr="009A0DA6" w:rsidRDefault="00454D5F" w:rsidP="00355E83">
      <w:pPr>
        <w:pStyle w:val="Heading3"/>
      </w:pPr>
      <w:r w:rsidRPr="009A0DA6">
        <w:t>REASONS FOR THE MOTION</w:t>
      </w:r>
    </w:p>
    <w:p w14:paraId="5ECFA362" w14:textId="77777777" w:rsidR="00454D5F" w:rsidRPr="009A0DA6" w:rsidRDefault="00454D5F" w:rsidP="00454D5F">
      <w:pPr>
        <w:shd w:val="clear" w:color="auto" w:fill="FFFFFF"/>
        <w:spacing w:after="0" w:line="240" w:lineRule="auto"/>
        <w:rPr>
          <w:rFonts w:ascii="Cambria" w:hAnsi="Cambria" w:cs="Arial"/>
          <w:color w:val="222222"/>
          <w:shd w:val="clear" w:color="auto" w:fill="FFFFFF"/>
        </w:rPr>
      </w:pPr>
      <w:r w:rsidRPr="009A0DA6">
        <w:rPr>
          <w:rFonts w:ascii="Cambria" w:hAnsi="Cambria" w:cs="Arial"/>
          <w:color w:val="222222"/>
          <w:shd w:val="clear" w:color="auto" w:fill="FFFFFF"/>
        </w:rPr>
        <w:t xml:space="preserve">This change is necessary to ensure the correct understanding that it is congregations which are members of the Church and the District, and not the Parish as a body. </w:t>
      </w:r>
    </w:p>
    <w:p w14:paraId="5EBBD412" w14:textId="77777777" w:rsidR="00454D5F" w:rsidRPr="009A0DA6" w:rsidRDefault="00454D5F" w:rsidP="00454D5F">
      <w:pPr>
        <w:tabs>
          <w:tab w:val="left" w:pos="567"/>
          <w:tab w:val="left" w:pos="1276"/>
          <w:tab w:val="left" w:pos="1701"/>
        </w:tabs>
        <w:spacing w:after="0" w:line="22" w:lineRule="atLeast"/>
        <w:rPr>
          <w:rFonts w:ascii="Cambria" w:hAnsi="Cambria"/>
        </w:rPr>
      </w:pPr>
    </w:p>
    <w:p w14:paraId="6A813DE7" w14:textId="5FDADA6B" w:rsidR="00634B13" w:rsidRDefault="00634B13" w:rsidP="00634B13">
      <w:pPr>
        <w:pStyle w:val="NoSpacing"/>
      </w:pPr>
    </w:p>
    <w:p w14:paraId="69FA13E2" w14:textId="77777777" w:rsidR="009323C8" w:rsidRPr="009A0DA6" w:rsidRDefault="009323C8" w:rsidP="00634B13">
      <w:pPr>
        <w:pStyle w:val="NoSpacing"/>
      </w:pPr>
    </w:p>
    <w:p w14:paraId="5180163F" w14:textId="77777777" w:rsidR="00786120" w:rsidRDefault="00786120">
      <w:pPr>
        <w:rPr>
          <w:rFonts w:ascii="Cambria" w:eastAsiaTheme="majorEastAsia" w:hAnsi="Cambria" w:cstheme="majorBidi"/>
          <w:b/>
          <w:caps/>
          <w:sz w:val="28"/>
          <w:szCs w:val="24"/>
        </w:rPr>
      </w:pPr>
      <w:r>
        <w:br w:type="page"/>
      </w:r>
    </w:p>
    <w:p w14:paraId="7B30AE8A" w14:textId="627F878D" w:rsidR="00634B13" w:rsidRPr="009A0DA6" w:rsidRDefault="00634B13" w:rsidP="00964A90">
      <w:pPr>
        <w:pStyle w:val="Heading3"/>
      </w:pPr>
      <w:r w:rsidRPr="009A0DA6">
        <w:lastRenderedPageBreak/>
        <w:t>agenda 2.4.1</w:t>
      </w:r>
      <w:r w:rsidR="000C3458" w:rsidRPr="009A0DA6">
        <w:t>6</w:t>
      </w:r>
    </w:p>
    <w:p w14:paraId="15A4EC5B" w14:textId="346A2ED2" w:rsidR="00634B13" w:rsidRPr="009A0DA6" w:rsidRDefault="00634B13" w:rsidP="00634B13">
      <w:pPr>
        <w:pStyle w:val="Heading2"/>
      </w:pPr>
      <w:bookmarkStart w:id="466" w:name="_Toc521954718"/>
      <w:r w:rsidRPr="009A0DA6">
        <w:t xml:space="preserve">Constitutional </w:t>
      </w:r>
      <w:r w:rsidR="00075925" w:rsidRPr="009A0DA6">
        <w:t>c</w:t>
      </w:r>
      <w:r w:rsidRPr="009A0DA6">
        <w:t>hange</w:t>
      </w:r>
      <w:r w:rsidR="00075925" w:rsidRPr="009A0DA6">
        <w:t>s</w:t>
      </w:r>
      <w:r w:rsidRPr="009A0DA6">
        <w:t>: Pastors Conference</w:t>
      </w:r>
      <w:bookmarkEnd w:id="466"/>
    </w:p>
    <w:p w14:paraId="730C1B39" w14:textId="77777777" w:rsidR="00634B13" w:rsidRPr="009A0DA6" w:rsidRDefault="00634B13" w:rsidP="00634B13">
      <w:pPr>
        <w:pStyle w:val="NoSpacing"/>
      </w:pPr>
    </w:p>
    <w:p w14:paraId="327D5471" w14:textId="77777777" w:rsidR="00634B13" w:rsidRPr="009A0DA6" w:rsidRDefault="00075925" w:rsidP="00964A90">
      <w:pPr>
        <w:pStyle w:val="Heading3"/>
      </w:pPr>
      <w:r w:rsidRPr="009A0DA6">
        <w:t>proposed motion</w:t>
      </w:r>
    </w:p>
    <w:p w14:paraId="3569B78A" w14:textId="778F31F6" w:rsidR="00075925" w:rsidRPr="009A0DA6" w:rsidRDefault="00075925" w:rsidP="00075925">
      <w:pPr>
        <w:shd w:val="clear" w:color="auto" w:fill="FFFFFF"/>
        <w:spacing w:after="0" w:line="240" w:lineRule="auto"/>
        <w:rPr>
          <w:rFonts w:ascii="Cambria" w:eastAsia="Times New Roman" w:hAnsi="Cambria" w:cs="Times New Roman"/>
          <w:bCs/>
          <w:color w:val="222222"/>
          <w:lang w:eastAsia="en-AU"/>
        </w:rPr>
      </w:pPr>
      <w:r w:rsidRPr="009A0DA6">
        <w:rPr>
          <w:rFonts w:ascii="Cambria" w:hAnsi="Cambria"/>
          <w:b/>
          <w:bCs/>
          <w:lang w:eastAsia="en-AU"/>
        </w:rPr>
        <w:t>BE IT RESOLVED</w:t>
      </w:r>
      <w:r w:rsidRPr="009A0DA6">
        <w:rPr>
          <w:rFonts w:ascii="Cambria" w:eastAsia="Times New Roman" w:hAnsi="Cambria" w:cs="Times New Roman"/>
          <w:bCs/>
          <w:color w:val="000000"/>
          <w:lang w:eastAsia="en-AU"/>
        </w:rPr>
        <w:t xml:space="preserve"> </w:t>
      </w:r>
      <w:r w:rsidRPr="009A0DA6">
        <w:rPr>
          <w:rFonts w:ascii="Cambria" w:eastAsia="Times New Roman" w:hAnsi="Cambria" w:cs="Times New Roman"/>
          <w:bCs/>
          <w:color w:val="222222"/>
          <w:lang w:eastAsia="en-AU"/>
        </w:rPr>
        <w:t xml:space="preserve">that </w:t>
      </w:r>
      <w:r w:rsidRPr="009A0DA6">
        <w:rPr>
          <w:rFonts w:ascii="Cambria" w:eastAsia="Times New Roman" w:hAnsi="Cambria" w:cs="Times New Roman"/>
          <w:b/>
          <w:bCs/>
          <w:color w:val="222222"/>
          <w:lang w:eastAsia="en-AU"/>
        </w:rPr>
        <w:t xml:space="preserve">Section 5.6 </w:t>
      </w:r>
      <w:r w:rsidR="0027799A" w:rsidRPr="009A0DA6">
        <w:rPr>
          <w:rFonts w:ascii="Cambria" w:eastAsia="Times New Roman" w:hAnsi="Cambria" w:cs="Times New Roman"/>
          <w:b/>
          <w:bCs/>
          <w:color w:val="222222"/>
          <w:lang w:eastAsia="en-AU"/>
        </w:rPr>
        <w:t>General Pastors Conference</w:t>
      </w:r>
      <w:r w:rsidRPr="009A0DA6">
        <w:rPr>
          <w:rFonts w:ascii="Cambria" w:eastAsia="Times New Roman" w:hAnsi="Cambria" w:cs="Times New Roman"/>
          <w:bCs/>
          <w:color w:val="222222"/>
          <w:lang w:eastAsia="en-AU"/>
        </w:rPr>
        <w:t xml:space="preserve"> of the By-laws of the Church be amended to clarify the role of the Pastors’ Conference in respect of Synod as follows (words to be deleted – </w:t>
      </w:r>
      <w:r w:rsidRPr="009A0DA6">
        <w:rPr>
          <w:rFonts w:ascii="Cambria" w:eastAsia="Times New Roman" w:hAnsi="Cambria" w:cs="Times New Roman"/>
          <w:bCs/>
          <w:strike/>
          <w:color w:val="222222"/>
          <w:lang w:eastAsia="en-AU"/>
        </w:rPr>
        <w:t>strikethrough</w:t>
      </w:r>
      <w:r w:rsidRPr="009A0DA6">
        <w:rPr>
          <w:rFonts w:ascii="Cambria" w:eastAsia="Times New Roman" w:hAnsi="Cambria" w:cs="Times New Roman"/>
          <w:bCs/>
          <w:color w:val="222222"/>
          <w:lang w:eastAsia="en-AU"/>
        </w:rPr>
        <w:t xml:space="preserve">;  words to be added – </w:t>
      </w:r>
      <w:r w:rsidRPr="009A0DA6">
        <w:rPr>
          <w:rFonts w:ascii="Cambria" w:eastAsia="Times New Roman" w:hAnsi="Cambria" w:cs="Times New Roman"/>
          <w:b/>
          <w:bCs/>
          <w:color w:val="222222"/>
          <w:lang w:eastAsia="en-AU"/>
        </w:rPr>
        <w:t>bold</w:t>
      </w:r>
      <w:r w:rsidRPr="009A0DA6">
        <w:rPr>
          <w:rFonts w:ascii="Cambria" w:eastAsia="Times New Roman" w:hAnsi="Cambria" w:cs="Times New Roman"/>
          <w:bCs/>
          <w:color w:val="222222"/>
          <w:lang w:eastAsia="en-AU"/>
        </w:rPr>
        <w:t>):</w:t>
      </w:r>
    </w:p>
    <w:p w14:paraId="33B2FA22" w14:textId="77777777" w:rsidR="00075925" w:rsidRPr="009A0DA6" w:rsidRDefault="00075925" w:rsidP="00075925">
      <w:pPr>
        <w:shd w:val="clear" w:color="auto" w:fill="FFFFFF"/>
        <w:spacing w:after="0" w:line="240" w:lineRule="auto"/>
        <w:rPr>
          <w:rFonts w:ascii="Cambria" w:eastAsia="Times New Roman" w:hAnsi="Cambria" w:cs="Times New Roman"/>
          <w:bCs/>
          <w:color w:val="222222"/>
          <w:lang w:eastAsia="en-AU"/>
        </w:rPr>
      </w:pPr>
    </w:p>
    <w:p w14:paraId="7432AB63" w14:textId="062A5180" w:rsidR="00075925" w:rsidRPr="009A0DA6" w:rsidRDefault="0027799A" w:rsidP="00075925">
      <w:pPr>
        <w:tabs>
          <w:tab w:val="left" w:pos="851"/>
          <w:tab w:val="left" w:pos="1985"/>
          <w:tab w:val="left" w:pos="3119"/>
          <w:tab w:val="left" w:pos="4536"/>
          <w:tab w:val="left" w:pos="5670"/>
        </w:tabs>
        <w:spacing w:after="0" w:line="240" w:lineRule="auto"/>
        <w:jc w:val="center"/>
        <w:rPr>
          <w:rFonts w:ascii="Cambria" w:eastAsia="Times New Roman" w:hAnsi="Cambria" w:cs="Times New Roman"/>
          <w:b/>
          <w:lang w:eastAsia="en-AU"/>
        </w:rPr>
      </w:pPr>
      <w:r w:rsidRPr="009A0DA6">
        <w:rPr>
          <w:rFonts w:ascii="Cambria" w:eastAsia="Times New Roman" w:hAnsi="Cambria" w:cs="Times New Roman"/>
          <w:b/>
          <w:lang w:eastAsia="en-AU"/>
        </w:rPr>
        <w:t>SECTION  5.6   GENERAL  PASTORS</w:t>
      </w:r>
      <w:r w:rsidR="00075925" w:rsidRPr="009A0DA6">
        <w:rPr>
          <w:rFonts w:ascii="Cambria" w:eastAsia="Times New Roman" w:hAnsi="Cambria" w:cs="Times New Roman"/>
          <w:b/>
          <w:lang w:eastAsia="en-AU"/>
        </w:rPr>
        <w:t xml:space="preserve">  CONFERENCE</w:t>
      </w:r>
    </w:p>
    <w:p w14:paraId="56E5E847" w14:textId="77777777" w:rsidR="00075925" w:rsidRPr="009A0DA6" w:rsidRDefault="00075925" w:rsidP="00075925">
      <w:pPr>
        <w:tabs>
          <w:tab w:val="left" w:pos="851"/>
          <w:tab w:val="left" w:pos="1985"/>
          <w:tab w:val="left" w:pos="3119"/>
          <w:tab w:val="left" w:pos="4536"/>
          <w:tab w:val="left" w:pos="5670"/>
        </w:tabs>
        <w:spacing w:after="0" w:line="240" w:lineRule="auto"/>
        <w:jc w:val="center"/>
        <w:rPr>
          <w:rFonts w:ascii="Cambria" w:eastAsia="Times New Roman" w:hAnsi="Cambria" w:cs="Times New Roman"/>
          <w:sz w:val="10"/>
          <w:szCs w:val="10"/>
          <w:lang w:eastAsia="en-AU"/>
        </w:rPr>
      </w:pPr>
    </w:p>
    <w:p w14:paraId="4D0CDA9D" w14:textId="354D7D54" w:rsidR="00075925" w:rsidRPr="009A0DA6" w:rsidRDefault="00075925" w:rsidP="00075925">
      <w:pPr>
        <w:tabs>
          <w:tab w:val="left" w:pos="851"/>
          <w:tab w:val="left" w:pos="1985"/>
          <w:tab w:val="left" w:pos="3119"/>
          <w:tab w:val="left" w:pos="4536"/>
          <w:tab w:val="left" w:pos="5670"/>
        </w:tabs>
        <w:spacing w:after="0" w:line="240" w:lineRule="auto"/>
        <w:ind w:left="851" w:hanging="851"/>
        <w:rPr>
          <w:rFonts w:ascii="Cambria" w:eastAsia="Times New Roman" w:hAnsi="Cambria" w:cs="Times New Roman"/>
          <w:lang w:eastAsia="en-AU"/>
        </w:rPr>
      </w:pPr>
      <w:r w:rsidRPr="009A0DA6">
        <w:rPr>
          <w:rFonts w:ascii="Cambria" w:eastAsia="Times New Roman" w:hAnsi="Cambria" w:cs="Times New Roman"/>
          <w:lang w:eastAsia="en-AU"/>
        </w:rPr>
        <w:t>5.6.1</w:t>
      </w:r>
      <w:r w:rsidRPr="009A0DA6">
        <w:rPr>
          <w:rFonts w:ascii="Cambria" w:eastAsia="Times New Roman" w:hAnsi="Cambria" w:cs="Times New Roman"/>
          <w:lang w:eastAsia="en-AU"/>
        </w:rPr>
        <w:tab/>
        <w:t xml:space="preserve">The duties of the </w:t>
      </w:r>
      <w:r w:rsidR="0027799A" w:rsidRPr="009A0DA6">
        <w:rPr>
          <w:rFonts w:ascii="Cambria" w:eastAsia="Times New Roman" w:hAnsi="Cambria" w:cs="Times New Roman"/>
          <w:lang w:eastAsia="en-AU"/>
        </w:rPr>
        <w:t>General Pastors Conference</w:t>
      </w:r>
      <w:r w:rsidRPr="009A0DA6">
        <w:rPr>
          <w:rFonts w:ascii="Cambria" w:eastAsia="Times New Roman" w:hAnsi="Cambria" w:cs="Times New Roman"/>
          <w:lang w:eastAsia="en-AU"/>
        </w:rPr>
        <w:t xml:space="preserve"> shall be to</w:t>
      </w:r>
    </w:p>
    <w:p w14:paraId="012B8551" w14:textId="77777777" w:rsidR="00075925" w:rsidRPr="009A0DA6" w:rsidRDefault="00075925" w:rsidP="00075925">
      <w:pPr>
        <w:tabs>
          <w:tab w:val="left" w:pos="851"/>
          <w:tab w:val="left" w:pos="1985"/>
          <w:tab w:val="left" w:pos="3119"/>
          <w:tab w:val="left" w:pos="4536"/>
          <w:tab w:val="left" w:pos="5670"/>
        </w:tabs>
        <w:spacing w:after="0" w:line="240" w:lineRule="auto"/>
        <w:ind w:left="1985" w:hanging="1985"/>
        <w:rPr>
          <w:rFonts w:ascii="Cambria" w:eastAsia="Times New Roman" w:hAnsi="Cambria" w:cs="Times New Roman"/>
          <w:lang w:eastAsia="en-AU"/>
        </w:rPr>
      </w:pPr>
      <w:r w:rsidRPr="009A0DA6">
        <w:rPr>
          <w:rFonts w:ascii="Cambria" w:eastAsia="Times New Roman" w:hAnsi="Cambria" w:cs="Times New Roman"/>
          <w:lang w:eastAsia="en-AU"/>
        </w:rPr>
        <w:tab/>
        <w:t>5.6.1.1</w:t>
      </w:r>
      <w:r w:rsidRPr="009A0DA6">
        <w:rPr>
          <w:rFonts w:ascii="Cambria" w:eastAsia="Times New Roman" w:hAnsi="Cambria" w:cs="Times New Roman"/>
          <w:lang w:eastAsia="en-AU"/>
        </w:rPr>
        <w:tab/>
        <w:t>give guidance in matters of doctrine and confession;</w:t>
      </w:r>
    </w:p>
    <w:p w14:paraId="7DA62474" w14:textId="77777777" w:rsidR="00075925" w:rsidRPr="009A0DA6" w:rsidRDefault="00075925" w:rsidP="00075925">
      <w:pPr>
        <w:tabs>
          <w:tab w:val="left" w:pos="851"/>
          <w:tab w:val="left" w:pos="1985"/>
          <w:tab w:val="left" w:pos="3119"/>
          <w:tab w:val="left" w:pos="4536"/>
          <w:tab w:val="left" w:pos="5670"/>
        </w:tabs>
        <w:spacing w:after="0" w:line="240" w:lineRule="auto"/>
        <w:ind w:left="1985" w:hanging="1985"/>
        <w:rPr>
          <w:rFonts w:ascii="Cambria" w:eastAsia="Times New Roman" w:hAnsi="Cambria" w:cs="Times New Roman"/>
          <w:lang w:eastAsia="en-AU"/>
        </w:rPr>
      </w:pPr>
      <w:r w:rsidRPr="009A0DA6">
        <w:rPr>
          <w:rFonts w:ascii="Cambria" w:eastAsia="Times New Roman" w:hAnsi="Cambria" w:cs="Times New Roman"/>
          <w:lang w:eastAsia="en-AU"/>
        </w:rPr>
        <w:tab/>
        <w:t>5.6.1.2</w:t>
      </w:r>
      <w:r w:rsidRPr="009A0DA6">
        <w:rPr>
          <w:rFonts w:ascii="Cambria" w:eastAsia="Times New Roman" w:hAnsi="Cambria" w:cs="Times New Roman"/>
          <w:lang w:eastAsia="en-AU"/>
        </w:rPr>
        <w:tab/>
        <w:t>foster theological studies by all members of the Ministry;</w:t>
      </w:r>
    </w:p>
    <w:p w14:paraId="69D1608A" w14:textId="77777777" w:rsidR="00075925" w:rsidRPr="009A0DA6" w:rsidRDefault="00075925" w:rsidP="00075925">
      <w:pPr>
        <w:tabs>
          <w:tab w:val="left" w:pos="851"/>
          <w:tab w:val="left" w:pos="1985"/>
          <w:tab w:val="left" w:pos="3119"/>
          <w:tab w:val="left" w:pos="4536"/>
          <w:tab w:val="left" w:pos="5670"/>
        </w:tabs>
        <w:spacing w:after="0" w:line="240" w:lineRule="auto"/>
        <w:ind w:left="1985" w:hanging="1985"/>
        <w:rPr>
          <w:rFonts w:ascii="Cambria" w:eastAsia="Times New Roman" w:hAnsi="Cambria" w:cs="Times New Roman"/>
          <w:lang w:eastAsia="en-AU"/>
        </w:rPr>
      </w:pPr>
      <w:r w:rsidRPr="009A0DA6">
        <w:rPr>
          <w:rFonts w:ascii="Cambria" w:eastAsia="Times New Roman" w:hAnsi="Cambria" w:cs="Times New Roman"/>
          <w:lang w:eastAsia="en-AU"/>
        </w:rPr>
        <w:tab/>
        <w:t>5.6.1.3</w:t>
      </w:r>
      <w:r w:rsidRPr="009A0DA6">
        <w:rPr>
          <w:rFonts w:ascii="Cambria" w:eastAsia="Times New Roman" w:hAnsi="Cambria" w:cs="Times New Roman"/>
          <w:lang w:eastAsia="en-AU"/>
        </w:rPr>
        <w:tab/>
        <w:t>stimulate and give guidance to the members of the Ministry in the work of their calling;</w:t>
      </w:r>
    </w:p>
    <w:p w14:paraId="207170D1" w14:textId="77777777" w:rsidR="00075925" w:rsidRPr="009A0DA6" w:rsidRDefault="00075925" w:rsidP="00075925">
      <w:pPr>
        <w:tabs>
          <w:tab w:val="left" w:pos="851"/>
          <w:tab w:val="left" w:pos="1985"/>
          <w:tab w:val="left" w:pos="3119"/>
          <w:tab w:val="left" w:pos="4536"/>
          <w:tab w:val="left" w:pos="5670"/>
        </w:tabs>
        <w:spacing w:after="0" w:line="240" w:lineRule="auto"/>
        <w:ind w:left="1985" w:hanging="1985"/>
        <w:rPr>
          <w:rFonts w:ascii="Cambria" w:eastAsia="Times New Roman" w:hAnsi="Cambria" w:cs="Times New Roman"/>
          <w:lang w:eastAsia="en-AU"/>
        </w:rPr>
      </w:pPr>
      <w:r w:rsidRPr="009A0DA6">
        <w:rPr>
          <w:rFonts w:ascii="Cambria" w:eastAsia="Times New Roman" w:hAnsi="Cambria" w:cs="Times New Roman"/>
          <w:lang w:eastAsia="en-AU"/>
        </w:rPr>
        <w:tab/>
        <w:t>5.6.1.4</w:t>
      </w:r>
      <w:r w:rsidRPr="009A0DA6">
        <w:rPr>
          <w:rFonts w:ascii="Cambria" w:eastAsia="Times New Roman" w:hAnsi="Cambria" w:cs="Times New Roman"/>
          <w:lang w:eastAsia="en-AU"/>
        </w:rPr>
        <w:tab/>
        <w:t>foster fellowship between the members of the Ministry; and</w:t>
      </w:r>
    </w:p>
    <w:p w14:paraId="3B01BDDE" w14:textId="77777777" w:rsidR="00075925" w:rsidRPr="009A0DA6" w:rsidRDefault="00075925" w:rsidP="00075925">
      <w:pPr>
        <w:tabs>
          <w:tab w:val="left" w:pos="851"/>
          <w:tab w:val="left" w:pos="1985"/>
          <w:tab w:val="left" w:pos="3119"/>
          <w:tab w:val="left" w:pos="4536"/>
          <w:tab w:val="left" w:pos="5670"/>
        </w:tabs>
        <w:spacing w:after="0" w:line="240" w:lineRule="auto"/>
        <w:ind w:left="1985" w:hanging="1985"/>
        <w:rPr>
          <w:rFonts w:ascii="Cambria" w:eastAsia="Times New Roman" w:hAnsi="Cambria" w:cs="Times New Roman"/>
          <w:lang w:eastAsia="en-AU"/>
        </w:rPr>
      </w:pPr>
      <w:r w:rsidRPr="009A0DA6">
        <w:rPr>
          <w:rFonts w:ascii="Cambria" w:eastAsia="Times New Roman" w:hAnsi="Cambria" w:cs="Times New Roman"/>
          <w:lang w:eastAsia="en-AU"/>
        </w:rPr>
        <w:tab/>
        <w:t>5.6.1.5</w:t>
      </w:r>
      <w:r w:rsidRPr="009A0DA6">
        <w:rPr>
          <w:rFonts w:ascii="Cambria" w:eastAsia="Times New Roman" w:hAnsi="Cambria" w:cs="Times New Roman"/>
          <w:lang w:eastAsia="en-AU"/>
        </w:rPr>
        <w:tab/>
        <w:t>consider matters relating to the well-being of the Church.</w:t>
      </w:r>
    </w:p>
    <w:p w14:paraId="4CDDD37A" w14:textId="0C37E850" w:rsidR="00075925" w:rsidRPr="009A0DA6" w:rsidRDefault="00075925" w:rsidP="00075925">
      <w:pPr>
        <w:tabs>
          <w:tab w:val="left" w:pos="851"/>
          <w:tab w:val="left" w:pos="1985"/>
          <w:tab w:val="left" w:pos="3119"/>
          <w:tab w:val="left" w:pos="4536"/>
          <w:tab w:val="left" w:pos="5670"/>
        </w:tabs>
        <w:spacing w:after="0" w:line="240" w:lineRule="auto"/>
        <w:ind w:left="851" w:hanging="851"/>
        <w:rPr>
          <w:rFonts w:ascii="Cambria" w:eastAsia="Times New Roman" w:hAnsi="Cambria" w:cs="Times New Roman"/>
          <w:lang w:eastAsia="en-AU"/>
        </w:rPr>
      </w:pPr>
      <w:r w:rsidRPr="009A0DA6">
        <w:rPr>
          <w:rFonts w:ascii="Cambria" w:eastAsia="Times New Roman" w:hAnsi="Cambria" w:cs="Times New Roman"/>
          <w:lang w:eastAsia="en-AU"/>
        </w:rPr>
        <w:t>5.6.2</w:t>
      </w:r>
      <w:r w:rsidRPr="009A0DA6">
        <w:rPr>
          <w:rFonts w:ascii="Cambria" w:eastAsia="Times New Roman" w:hAnsi="Cambria" w:cs="Times New Roman"/>
          <w:lang w:eastAsia="en-AU"/>
        </w:rPr>
        <w:tab/>
        <w:t xml:space="preserve">The </w:t>
      </w:r>
      <w:r w:rsidR="0027799A" w:rsidRPr="009A0DA6">
        <w:rPr>
          <w:rFonts w:ascii="Cambria" w:eastAsia="Times New Roman" w:hAnsi="Cambria" w:cs="Times New Roman"/>
          <w:lang w:eastAsia="en-AU"/>
        </w:rPr>
        <w:t>General Pastors Conference</w:t>
      </w:r>
      <w:r w:rsidRPr="009A0DA6">
        <w:rPr>
          <w:rFonts w:ascii="Cambria" w:eastAsia="Times New Roman" w:hAnsi="Cambria" w:cs="Times New Roman"/>
          <w:lang w:eastAsia="en-AU"/>
        </w:rPr>
        <w:t xml:space="preserve"> shall serve as a theological adviser to the General Synod and in fulfilment of such function</w:t>
      </w:r>
    </w:p>
    <w:p w14:paraId="7506C363" w14:textId="77777777" w:rsidR="00075925" w:rsidRPr="009A0DA6" w:rsidRDefault="00075925" w:rsidP="00075925">
      <w:pPr>
        <w:tabs>
          <w:tab w:val="left" w:pos="851"/>
          <w:tab w:val="left" w:pos="1985"/>
          <w:tab w:val="left" w:pos="3119"/>
          <w:tab w:val="left" w:pos="4536"/>
          <w:tab w:val="left" w:pos="5670"/>
        </w:tabs>
        <w:spacing w:after="0" w:line="240" w:lineRule="auto"/>
        <w:ind w:left="1985" w:hanging="1985"/>
        <w:rPr>
          <w:rFonts w:ascii="Cambria" w:eastAsia="Times New Roman" w:hAnsi="Cambria" w:cs="Times New Roman"/>
          <w:lang w:eastAsia="en-AU"/>
        </w:rPr>
      </w:pPr>
      <w:r w:rsidRPr="009A0DA6">
        <w:rPr>
          <w:rFonts w:ascii="Cambria" w:eastAsia="Times New Roman" w:hAnsi="Cambria" w:cs="Times New Roman"/>
          <w:lang w:eastAsia="en-AU"/>
        </w:rPr>
        <w:tab/>
        <w:t>5.6.2.1</w:t>
      </w:r>
      <w:r w:rsidRPr="009A0DA6">
        <w:rPr>
          <w:rFonts w:ascii="Cambria" w:eastAsia="Times New Roman" w:hAnsi="Cambria" w:cs="Times New Roman"/>
          <w:lang w:eastAsia="en-AU"/>
        </w:rPr>
        <w:tab/>
        <w:t>shall consider those questions, issues and statements of a theological and confessional nature which appear on the agenda of the convention of the General Synod and are referred to it by the General Church Council;</w:t>
      </w:r>
    </w:p>
    <w:p w14:paraId="1F82A587" w14:textId="77777777" w:rsidR="00075925" w:rsidRPr="009A0DA6" w:rsidRDefault="00075925" w:rsidP="00075925">
      <w:pPr>
        <w:tabs>
          <w:tab w:val="left" w:pos="851"/>
          <w:tab w:val="left" w:pos="1985"/>
          <w:tab w:val="left" w:pos="3119"/>
          <w:tab w:val="left" w:pos="4536"/>
          <w:tab w:val="left" w:pos="5670"/>
        </w:tabs>
        <w:spacing w:after="0" w:line="240" w:lineRule="auto"/>
        <w:ind w:left="1985" w:hanging="1985"/>
        <w:rPr>
          <w:rFonts w:ascii="Cambria" w:eastAsia="Times New Roman" w:hAnsi="Cambria" w:cs="Times New Roman"/>
          <w:b/>
          <w:lang w:eastAsia="en-AU"/>
        </w:rPr>
      </w:pPr>
      <w:r w:rsidRPr="009A0DA6">
        <w:rPr>
          <w:rFonts w:ascii="Cambria" w:eastAsia="Times New Roman" w:hAnsi="Cambria" w:cs="Times New Roman"/>
          <w:lang w:eastAsia="en-AU"/>
        </w:rPr>
        <w:tab/>
      </w:r>
      <w:r w:rsidRPr="009A0DA6">
        <w:rPr>
          <w:rFonts w:ascii="Cambria" w:eastAsia="Times New Roman" w:hAnsi="Cambria" w:cs="Times New Roman"/>
          <w:b/>
          <w:lang w:eastAsia="en-AU"/>
        </w:rPr>
        <w:t>5.6.2.2</w:t>
      </w:r>
      <w:r w:rsidRPr="009A0DA6">
        <w:rPr>
          <w:rFonts w:ascii="Cambria" w:eastAsia="Times New Roman" w:hAnsi="Cambria" w:cs="Times New Roman"/>
          <w:b/>
          <w:lang w:eastAsia="en-AU"/>
        </w:rPr>
        <w:tab/>
        <w:t>shall recommend one or more of the following actions with respect to a question, issue or statement referred to in 5.6.2.1, namely:</w:t>
      </w:r>
    </w:p>
    <w:p w14:paraId="7214E98E" w14:textId="77777777" w:rsidR="00075925" w:rsidRPr="009A0DA6" w:rsidRDefault="00075925" w:rsidP="00075925">
      <w:pPr>
        <w:tabs>
          <w:tab w:val="left" w:pos="851"/>
          <w:tab w:val="left" w:pos="1985"/>
          <w:tab w:val="left" w:pos="3119"/>
          <w:tab w:val="left" w:pos="4536"/>
          <w:tab w:val="left" w:pos="5670"/>
        </w:tabs>
        <w:spacing w:after="0" w:line="240" w:lineRule="auto"/>
        <w:ind w:left="1985" w:hanging="1985"/>
        <w:rPr>
          <w:rFonts w:ascii="Cambria" w:eastAsia="Times New Roman" w:hAnsi="Cambria" w:cs="Times New Roman"/>
          <w:b/>
          <w:lang w:eastAsia="en-AU"/>
        </w:rPr>
      </w:pPr>
      <w:r w:rsidRPr="009A0DA6">
        <w:rPr>
          <w:rFonts w:ascii="Cambria" w:eastAsia="Times New Roman" w:hAnsi="Cambria" w:cs="Times New Roman"/>
          <w:b/>
          <w:lang w:eastAsia="en-AU"/>
        </w:rPr>
        <w:tab/>
      </w:r>
      <w:r w:rsidRPr="009A0DA6">
        <w:rPr>
          <w:rFonts w:ascii="Cambria" w:eastAsia="Times New Roman" w:hAnsi="Cambria" w:cs="Times New Roman"/>
          <w:b/>
          <w:lang w:eastAsia="en-AU"/>
        </w:rPr>
        <w:tab/>
        <w:t>5.6.2.2.1</w:t>
      </w:r>
      <w:r w:rsidRPr="009A0DA6">
        <w:rPr>
          <w:rFonts w:ascii="Cambria" w:eastAsia="Times New Roman" w:hAnsi="Cambria" w:cs="Times New Roman"/>
          <w:b/>
          <w:lang w:eastAsia="en-AU"/>
        </w:rPr>
        <w:tab/>
        <w:t>agreement or rejection;</w:t>
      </w:r>
    </w:p>
    <w:p w14:paraId="2750F1A9" w14:textId="77777777" w:rsidR="00075925" w:rsidRPr="009A0DA6" w:rsidRDefault="00075925" w:rsidP="00075925">
      <w:pPr>
        <w:tabs>
          <w:tab w:val="left" w:pos="851"/>
          <w:tab w:val="left" w:pos="1985"/>
          <w:tab w:val="left" w:pos="3119"/>
          <w:tab w:val="left" w:pos="4536"/>
          <w:tab w:val="left" w:pos="5670"/>
        </w:tabs>
        <w:spacing w:after="0" w:line="240" w:lineRule="auto"/>
        <w:ind w:left="1985" w:hanging="1985"/>
        <w:rPr>
          <w:rFonts w:ascii="Cambria" w:eastAsia="Times New Roman" w:hAnsi="Cambria" w:cs="Times New Roman"/>
          <w:b/>
          <w:lang w:eastAsia="en-AU"/>
        </w:rPr>
      </w:pPr>
      <w:r w:rsidRPr="009A0DA6">
        <w:rPr>
          <w:rFonts w:ascii="Cambria" w:eastAsia="Times New Roman" w:hAnsi="Cambria" w:cs="Times New Roman"/>
          <w:b/>
          <w:lang w:eastAsia="en-AU"/>
        </w:rPr>
        <w:tab/>
      </w:r>
      <w:r w:rsidRPr="009A0DA6">
        <w:rPr>
          <w:rFonts w:ascii="Cambria" w:eastAsia="Times New Roman" w:hAnsi="Cambria" w:cs="Times New Roman"/>
          <w:b/>
          <w:lang w:eastAsia="en-AU"/>
        </w:rPr>
        <w:tab/>
        <w:t>5.6.2.2.2</w:t>
      </w:r>
      <w:r w:rsidRPr="009A0DA6">
        <w:rPr>
          <w:rFonts w:ascii="Cambria" w:eastAsia="Times New Roman" w:hAnsi="Cambria" w:cs="Times New Roman"/>
          <w:b/>
          <w:lang w:eastAsia="en-AU"/>
        </w:rPr>
        <w:tab/>
        <w:t xml:space="preserve">amendments; </w:t>
      </w:r>
    </w:p>
    <w:p w14:paraId="6753AAA5" w14:textId="77777777" w:rsidR="00075925" w:rsidRPr="009A0DA6" w:rsidRDefault="00075925" w:rsidP="00075925">
      <w:pPr>
        <w:tabs>
          <w:tab w:val="left" w:pos="851"/>
          <w:tab w:val="left" w:pos="1985"/>
          <w:tab w:val="left" w:pos="3119"/>
          <w:tab w:val="left" w:pos="4536"/>
          <w:tab w:val="left" w:pos="5670"/>
        </w:tabs>
        <w:spacing w:after="0" w:line="240" w:lineRule="auto"/>
        <w:ind w:left="1985" w:hanging="1985"/>
        <w:rPr>
          <w:rFonts w:ascii="Cambria" w:eastAsia="Times New Roman" w:hAnsi="Cambria" w:cs="Times New Roman"/>
          <w:b/>
          <w:lang w:eastAsia="en-AU"/>
        </w:rPr>
      </w:pPr>
      <w:r w:rsidRPr="009A0DA6">
        <w:rPr>
          <w:rFonts w:ascii="Cambria" w:eastAsia="Times New Roman" w:hAnsi="Cambria" w:cs="Times New Roman"/>
          <w:b/>
          <w:lang w:eastAsia="en-AU"/>
        </w:rPr>
        <w:tab/>
      </w:r>
      <w:r w:rsidRPr="009A0DA6">
        <w:rPr>
          <w:rFonts w:ascii="Cambria" w:eastAsia="Times New Roman" w:hAnsi="Cambria" w:cs="Times New Roman"/>
          <w:b/>
          <w:lang w:eastAsia="en-AU"/>
        </w:rPr>
        <w:tab/>
        <w:t>5.6.2.2.3</w:t>
      </w:r>
      <w:r w:rsidRPr="009A0DA6">
        <w:rPr>
          <w:rFonts w:ascii="Cambria" w:eastAsia="Times New Roman" w:hAnsi="Cambria" w:cs="Times New Roman"/>
          <w:b/>
          <w:lang w:eastAsia="en-AU"/>
        </w:rPr>
        <w:tab/>
        <w:t>corrections;</w:t>
      </w:r>
    </w:p>
    <w:p w14:paraId="0FC67C5F" w14:textId="77777777" w:rsidR="00075925" w:rsidRPr="009A0DA6" w:rsidRDefault="00075925" w:rsidP="00075925">
      <w:pPr>
        <w:tabs>
          <w:tab w:val="left" w:pos="851"/>
          <w:tab w:val="left" w:pos="1985"/>
          <w:tab w:val="left" w:pos="3119"/>
          <w:tab w:val="left" w:pos="4536"/>
          <w:tab w:val="left" w:pos="5670"/>
        </w:tabs>
        <w:spacing w:after="0" w:line="240" w:lineRule="auto"/>
        <w:ind w:left="1985" w:hanging="1985"/>
        <w:rPr>
          <w:rFonts w:ascii="Cambria" w:eastAsia="Times New Roman" w:hAnsi="Cambria" w:cs="Times New Roman"/>
          <w:b/>
          <w:lang w:eastAsia="en-AU"/>
        </w:rPr>
      </w:pPr>
      <w:r w:rsidRPr="009A0DA6">
        <w:rPr>
          <w:rFonts w:ascii="Cambria" w:eastAsia="Times New Roman" w:hAnsi="Cambria" w:cs="Times New Roman"/>
          <w:b/>
          <w:lang w:eastAsia="en-AU"/>
        </w:rPr>
        <w:tab/>
      </w:r>
      <w:r w:rsidRPr="009A0DA6">
        <w:rPr>
          <w:rFonts w:ascii="Cambria" w:eastAsia="Times New Roman" w:hAnsi="Cambria" w:cs="Times New Roman"/>
          <w:b/>
          <w:lang w:eastAsia="en-AU"/>
        </w:rPr>
        <w:tab/>
        <w:t>5.6.2.2.4</w:t>
      </w:r>
      <w:r w:rsidRPr="009A0DA6">
        <w:rPr>
          <w:rFonts w:ascii="Cambria" w:eastAsia="Times New Roman" w:hAnsi="Cambria" w:cs="Times New Roman"/>
          <w:b/>
          <w:lang w:eastAsia="en-AU"/>
        </w:rPr>
        <w:tab/>
        <w:t xml:space="preserve">additions; or </w:t>
      </w:r>
    </w:p>
    <w:p w14:paraId="4C9E08BA" w14:textId="77777777" w:rsidR="00075925" w:rsidRPr="009A0DA6" w:rsidRDefault="00075925" w:rsidP="00075925">
      <w:pPr>
        <w:tabs>
          <w:tab w:val="left" w:pos="851"/>
          <w:tab w:val="left" w:pos="1985"/>
          <w:tab w:val="left" w:pos="3119"/>
          <w:tab w:val="left" w:pos="4536"/>
          <w:tab w:val="left" w:pos="5670"/>
        </w:tabs>
        <w:spacing w:after="0" w:line="240" w:lineRule="auto"/>
        <w:ind w:left="1985" w:hanging="1985"/>
        <w:rPr>
          <w:rFonts w:ascii="Cambria" w:eastAsia="Times New Roman" w:hAnsi="Cambria" w:cs="Times New Roman"/>
          <w:b/>
          <w:lang w:eastAsia="en-AU"/>
        </w:rPr>
      </w:pPr>
      <w:r w:rsidRPr="009A0DA6">
        <w:rPr>
          <w:rFonts w:ascii="Cambria" w:eastAsia="Times New Roman" w:hAnsi="Cambria" w:cs="Times New Roman"/>
          <w:b/>
          <w:lang w:eastAsia="en-AU"/>
        </w:rPr>
        <w:tab/>
      </w:r>
      <w:r w:rsidRPr="009A0DA6">
        <w:rPr>
          <w:rFonts w:ascii="Cambria" w:eastAsia="Times New Roman" w:hAnsi="Cambria" w:cs="Times New Roman"/>
          <w:b/>
          <w:lang w:eastAsia="en-AU"/>
        </w:rPr>
        <w:tab/>
        <w:t>5.6.2.2.5</w:t>
      </w:r>
      <w:r w:rsidRPr="009A0DA6">
        <w:rPr>
          <w:rFonts w:ascii="Cambria" w:eastAsia="Times New Roman" w:hAnsi="Cambria" w:cs="Times New Roman"/>
          <w:b/>
          <w:lang w:eastAsia="en-AU"/>
        </w:rPr>
        <w:tab/>
        <w:t>advice or explanations; and</w:t>
      </w:r>
    </w:p>
    <w:p w14:paraId="65C19498" w14:textId="1B45C059" w:rsidR="00075925" w:rsidRPr="009A0DA6" w:rsidRDefault="00075925" w:rsidP="00075925">
      <w:pPr>
        <w:tabs>
          <w:tab w:val="left" w:pos="851"/>
          <w:tab w:val="left" w:pos="1985"/>
          <w:tab w:val="left" w:pos="3119"/>
          <w:tab w:val="left" w:pos="4536"/>
          <w:tab w:val="left" w:pos="5670"/>
        </w:tabs>
        <w:spacing w:after="0" w:line="240" w:lineRule="auto"/>
        <w:ind w:left="1985" w:hanging="1985"/>
        <w:rPr>
          <w:rFonts w:ascii="Cambria" w:eastAsia="Times New Roman" w:hAnsi="Cambria" w:cs="Times New Roman"/>
          <w:strike/>
          <w:lang w:eastAsia="en-AU"/>
        </w:rPr>
      </w:pPr>
      <w:r w:rsidRPr="009A0DA6">
        <w:rPr>
          <w:rFonts w:ascii="Cambria" w:eastAsia="Times New Roman" w:hAnsi="Cambria" w:cs="Times New Roman"/>
          <w:lang w:eastAsia="en-AU"/>
        </w:rPr>
        <w:tab/>
        <w:t>5.6.2.</w:t>
      </w:r>
      <w:r w:rsidRPr="009A0DA6">
        <w:rPr>
          <w:rFonts w:ascii="Cambria" w:eastAsia="Times New Roman" w:hAnsi="Cambria" w:cs="Times New Roman"/>
          <w:strike/>
          <w:lang w:eastAsia="en-AU"/>
        </w:rPr>
        <w:t>2</w:t>
      </w:r>
      <w:r w:rsidRPr="009A0DA6">
        <w:rPr>
          <w:rFonts w:ascii="Cambria" w:eastAsia="Times New Roman" w:hAnsi="Cambria" w:cs="Times New Roman"/>
          <w:b/>
          <w:lang w:eastAsia="en-AU"/>
        </w:rPr>
        <w:t>3</w:t>
      </w:r>
      <w:r w:rsidRPr="009A0DA6">
        <w:rPr>
          <w:rFonts w:ascii="Cambria" w:eastAsia="Times New Roman" w:hAnsi="Cambria" w:cs="Times New Roman"/>
          <w:lang w:eastAsia="en-AU"/>
        </w:rPr>
        <w:tab/>
        <w:t>may voice its opinion with regard to the advisability or non-advisability of dealing with any such question or issue or of adopting a particular statement</w:t>
      </w:r>
      <w:r w:rsidRPr="009A0DA6">
        <w:rPr>
          <w:rFonts w:ascii="Cambria" w:eastAsia="Times New Roman" w:hAnsi="Cambria" w:cs="Times New Roman"/>
          <w:strike/>
          <w:lang w:eastAsia="en-AU"/>
        </w:rPr>
        <w:t>;</w:t>
      </w:r>
      <w:r w:rsidRPr="009A0DA6">
        <w:rPr>
          <w:rFonts w:ascii="Cambria" w:eastAsia="Times New Roman" w:hAnsi="Cambria" w:cs="Times New Roman"/>
          <w:b/>
          <w:lang w:eastAsia="en-AU"/>
        </w:rPr>
        <w:t xml:space="preserve"> or motion</w:t>
      </w:r>
      <w:r w:rsidR="0027799A" w:rsidRPr="009A0DA6">
        <w:rPr>
          <w:rFonts w:ascii="Cambria" w:eastAsia="Times New Roman" w:hAnsi="Cambria" w:cs="Times New Roman"/>
          <w:b/>
          <w:lang w:eastAsia="en-AU"/>
        </w:rPr>
        <w:t xml:space="preserve">. </w:t>
      </w:r>
      <w:r w:rsidRPr="009A0DA6">
        <w:rPr>
          <w:rFonts w:ascii="Cambria" w:eastAsia="Times New Roman" w:hAnsi="Cambria" w:cs="Times New Roman"/>
          <w:strike/>
          <w:lang w:eastAsia="en-AU"/>
        </w:rPr>
        <w:t>and</w:t>
      </w:r>
    </w:p>
    <w:p w14:paraId="4E6E80EE" w14:textId="77777777" w:rsidR="00075925" w:rsidRPr="009A0DA6" w:rsidRDefault="00075925" w:rsidP="00075925">
      <w:pPr>
        <w:tabs>
          <w:tab w:val="left" w:pos="851"/>
          <w:tab w:val="left" w:pos="1985"/>
          <w:tab w:val="left" w:pos="3119"/>
          <w:tab w:val="left" w:pos="4536"/>
          <w:tab w:val="left" w:pos="5670"/>
        </w:tabs>
        <w:spacing w:after="0" w:line="240" w:lineRule="auto"/>
        <w:ind w:left="1985" w:hanging="1985"/>
        <w:rPr>
          <w:rFonts w:ascii="Cambria" w:eastAsia="Times New Roman" w:hAnsi="Cambria" w:cs="Times New Roman"/>
          <w:lang w:eastAsia="en-AU"/>
        </w:rPr>
      </w:pPr>
      <w:r w:rsidRPr="009A0DA6">
        <w:rPr>
          <w:rFonts w:ascii="Cambria" w:eastAsia="Times New Roman" w:hAnsi="Cambria" w:cs="Times New Roman"/>
          <w:strike/>
          <w:lang w:eastAsia="en-AU"/>
        </w:rPr>
        <w:tab/>
        <w:t>5.6.2.3</w:t>
      </w:r>
      <w:r w:rsidRPr="009A0DA6">
        <w:rPr>
          <w:rFonts w:ascii="Cambria" w:eastAsia="Times New Roman" w:hAnsi="Cambria" w:cs="Times New Roman"/>
          <w:strike/>
          <w:lang w:eastAsia="en-AU"/>
        </w:rPr>
        <w:tab/>
        <w:t>may recommend amendments, corrections, additions or explanations concerning proposed statements.</w:t>
      </w:r>
    </w:p>
    <w:p w14:paraId="00551204" w14:textId="77777777" w:rsidR="00075925" w:rsidRPr="009A0DA6" w:rsidRDefault="00075925" w:rsidP="00075925">
      <w:pPr>
        <w:spacing w:after="0" w:line="240" w:lineRule="auto"/>
        <w:ind w:right="573" w:firstLine="6"/>
        <w:rPr>
          <w:rFonts w:ascii="Cambria" w:eastAsia="Times New Roman" w:hAnsi="Cambria" w:cs="Times New Roman"/>
          <w:bCs/>
          <w:color w:val="222222"/>
          <w:lang w:eastAsia="en-AU"/>
        </w:rPr>
      </w:pPr>
    </w:p>
    <w:p w14:paraId="5AA0D7FA" w14:textId="77777777" w:rsidR="00075925" w:rsidRPr="009A0DA6" w:rsidRDefault="00075925" w:rsidP="00355E83">
      <w:pPr>
        <w:pStyle w:val="Heading3"/>
      </w:pPr>
      <w:r w:rsidRPr="009A0DA6">
        <w:t>REASONS FOR THE MOTION</w:t>
      </w:r>
    </w:p>
    <w:p w14:paraId="4636DC99" w14:textId="265D48E0" w:rsidR="00075925" w:rsidRPr="009A0DA6" w:rsidRDefault="00075925" w:rsidP="00075925">
      <w:pPr>
        <w:shd w:val="clear" w:color="auto" w:fill="FFFFFF"/>
        <w:spacing w:after="0" w:line="240" w:lineRule="auto"/>
        <w:rPr>
          <w:rFonts w:ascii="Cambria" w:hAnsi="Cambria" w:cs="Arial"/>
          <w:color w:val="222222"/>
          <w:shd w:val="clear" w:color="auto" w:fill="FFFFFF"/>
        </w:rPr>
      </w:pPr>
      <w:r w:rsidRPr="009A0DA6">
        <w:rPr>
          <w:rFonts w:ascii="Cambria" w:hAnsi="Cambria" w:cs="Arial"/>
          <w:color w:val="222222"/>
          <w:shd w:val="clear" w:color="auto" w:fill="FFFFFF"/>
        </w:rPr>
        <w:t>There has been a lack of clarity and consistency in the description of what is required of the Pastors’ Conference in respect of advice and recommendations to Synod.</w:t>
      </w:r>
    </w:p>
    <w:p w14:paraId="63C16DBF" w14:textId="7D406E4A" w:rsidR="004C0EDE" w:rsidRPr="009A0DA6" w:rsidRDefault="004C0EDE" w:rsidP="00075925">
      <w:pPr>
        <w:shd w:val="clear" w:color="auto" w:fill="FFFFFF"/>
        <w:spacing w:after="0" w:line="240" w:lineRule="auto"/>
        <w:rPr>
          <w:rFonts w:ascii="Cambria" w:hAnsi="Cambria" w:cs="Arial"/>
          <w:color w:val="222222"/>
          <w:shd w:val="clear" w:color="auto" w:fill="FFFFFF"/>
        </w:rPr>
      </w:pPr>
    </w:p>
    <w:p w14:paraId="2BD3FB1B" w14:textId="77777777" w:rsidR="004C0EDE" w:rsidRPr="009A0DA6" w:rsidRDefault="004C0EDE" w:rsidP="00075925">
      <w:pPr>
        <w:shd w:val="clear" w:color="auto" w:fill="FFFFFF"/>
        <w:spacing w:after="0" w:line="240" w:lineRule="auto"/>
        <w:rPr>
          <w:rFonts w:ascii="Cambria" w:hAnsi="Cambria" w:cs="Arial"/>
          <w:color w:val="222222"/>
          <w:shd w:val="clear" w:color="auto" w:fill="FFFFFF"/>
        </w:rPr>
      </w:pPr>
    </w:p>
    <w:p w14:paraId="41B9A842" w14:textId="77777777" w:rsidR="00634B13" w:rsidRPr="009A0DA6" w:rsidRDefault="00634B13" w:rsidP="00634B13">
      <w:pPr>
        <w:pStyle w:val="NoSpacing"/>
      </w:pPr>
    </w:p>
    <w:p w14:paraId="392C77D2" w14:textId="77777777" w:rsidR="00786120" w:rsidRDefault="00786120">
      <w:pPr>
        <w:rPr>
          <w:rFonts w:ascii="Cambria" w:eastAsiaTheme="majorEastAsia" w:hAnsi="Cambria" w:cstheme="majorBidi"/>
          <w:b/>
          <w:caps/>
          <w:sz w:val="28"/>
          <w:szCs w:val="24"/>
        </w:rPr>
      </w:pPr>
      <w:r>
        <w:br w:type="page"/>
      </w:r>
    </w:p>
    <w:p w14:paraId="0A78BB2E" w14:textId="39E2498D" w:rsidR="00634B13" w:rsidRPr="009A0DA6" w:rsidRDefault="00634B13" w:rsidP="00964A90">
      <w:pPr>
        <w:pStyle w:val="Heading3"/>
      </w:pPr>
      <w:r w:rsidRPr="009A0DA6">
        <w:lastRenderedPageBreak/>
        <w:t>agenda 2.4.1</w:t>
      </w:r>
      <w:r w:rsidR="000C3458" w:rsidRPr="009A0DA6">
        <w:t>7</w:t>
      </w:r>
    </w:p>
    <w:p w14:paraId="54B186F6" w14:textId="5A8EC1DA" w:rsidR="00634B13" w:rsidRPr="009A0DA6" w:rsidRDefault="00634B13" w:rsidP="00634B13">
      <w:pPr>
        <w:pStyle w:val="Heading2"/>
      </w:pPr>
      <w:bookmarkStart w:id="467" w:name="_Toc521954719"/>
      <w:r w:rsidRPr="009A0DA6">
        <w:t xml:space="preserve">Constitutional </w:t>
      </w:r>
      <w:r w:rsidR="00075925" w:rsidRPr="009A0DA6">
        <w:t>c</w:t>
      </w:r>
      <w:r w:rsidRPr="009A0DA6">
        <w:t>hange</w:t>
      </w:r>
      <w:r w:rsidR="00075925" w:rsidRPr="009A0DA6">
        <w:t>s</w:t>
      </w:r>
      <w:r w:rsidRPr="009A0DA6">
        <w:t>: Pastors Transfer and Support Fund</w:t>
      </w:r>
      <w:bookmarkEnd w:id="467"/>
    </w:p>
    <w:p w14:paraId="39936E7F" w14:textId="77777777" w:rsidR="00634B13" w:rsidRPr="009A0DA6" w:rsidRDefault="00634B13" w:rsidP="00634B13">
      <w:pPr>
        <w:pStyle w:val="NoSpacing"/>
      </w:pPr>
    </w:p>
    <w:p w14:paraId="6802E3E3" w14:textId="77777777" w:rsidR="00634B13" w:rsidRPr="009A0DA6" w:rsidRDefault="00075925" w:rsidP="00964A90">
      <w:pPr>
        <w:pStyle w:val="Heading3"/>
      </w:pPr>
      <w:r w:rsidRPr="009A0DA6">
        <w:t>proposED motion</w:t>
      </w:r>
    </w:p>
    <w:p w14:paraId="1CC576C8" w14:textId="77777777" w:rsidR="00075925" w:rsidRPr="009A0DA6" w:rsidRDefault="00075925" w:rsidP="00075925">
      <w:pPr>
        <w:shd w:val="clear" w:color="auto" w:fill="FFFFFF"/>
        <w:spacing w:after="0" w:line="240" w:lineRule="auto"/>
        <w:rPr>
          <w:rFonts w:ascii="Cambria" w:eastAsia="Times New Roman" w:hAnsi="Cambria" w:cs="Times New Roman"/>
          <w:bCs/>
          <w:color w:val="222222"/>
          <w:lang w:eastAsia="en-AU"/>
        </w:rPr>
      </w:pPr>
      <w:r w:rsidRPr="009A0DA6">
        <w:rPr>
          <w:rFonts w:ascii="Cambria" w:hAnsi="Cambria"/>
          <w:b/>
          <w:bCs/>
          <w:szCs w:val="24"/>
          <w:lang w:eastAsia="en-AU"/>
        </w:rPr>
        <w:t>BE IT RESOLVED</w:t>
      </w:r>
      <w:r w:rsidRPr="009A0DA6">
        <w:rPr>
          <w:rFonts w:ascii="Cambria" w:eastAsia="Times New Roman" w:hAnsi="Cambria" w:cs="Times New Roman"/>
          <w:bCs/>
          <w:color w:val="000000"/>
          <w:szCs w:val="24"/>
          <w:lang w:eastAsia="en-AU"/>
        </w:rPr>
        <w:t xml:space="preserve"> </w:t>
      </w:r>
      <w:r w:rsidRPr="009A0DA6">
        <w:rPr>
          <w:rFonts w:ascii="Cambria" w:eastAsia="Times New Roman" w:hAnsi="Cambria" w:cs="Times New Roman"/>
          <w:bCs/>
          <w:color w:val="222222"/>
          <w:lang w:eastAsia="en-AU"/>
        </w:rPr>
        <w:t xml:space="preserve">that the By-laws for the </w:t>
      </w:r>
      <w:r w:rsidRPr="009A0DA6">
        <w:rPr>
          <w:rFonts w:ascii="Cambria" w:eastAsia="Times New Roman" w:hAnsi="Cambria" w:cs="Times New Roman"/>
          <w:b/>
          <w:bCs/>
          <w:color w:val="222222"/>
          <w:lang w:eastAsia="en-AU"/>
        </w:rPr>
        <w:t>LCA Pastors’ Transfer and Support Fund</w:t>
      </w:r>
      <w:r w:rsidRPr="009A0DA6">
        <w:rPr>
          <w:rFonts w:ascii="Cambria" w:eastAsia="Times New Roman" w:hAnsi="Cambria" w:cs="Times New Roman"/>
          <w:bCs/>
          <w:color w:val="222222"/>
          <w:lang w:eastAsia="en-AU"/>
        </w:rPr>
        <w:t xml:space="preserve"> be amended in clause 4.1 as follows (words to be deleted – </w:t>
      </w:r>
      <w:r w:rsidRPr="009A0DA6">
        <w:rPr>
          <w:rFonts w:ascii="Cambria" w:eastAsia="Times New Roman" w:hAnsi="Cambria" w:cs="Times New Roman"/>
          <w:bCs/>
          <w:strike/>
          <w:color w:val="222222"/>
          <w:lang w:eastAsia="en-AU"/>
        </w:rPr>
        <w:t>strikethrough</w:t>
      </w:r>
      <w:r w:rsidRPr="009A0DA6">
        <w:rPr>
          <w:rFonts w:ascii="Cambria" w:eastAsia="Times New Roman" w:hAnsi="Cambria" w:cs="Times New Roman"/>
          <w:bCs/>
          <w:color w:val="222222"/>
          <w:lang w:eastAsia="en-AU"/>
        </w:rPr>
        <w:t xml:space="preserve">; words to be added – </w:t>
      </w:r>
      <w:r w:rsidRPr="009A0DA6">
        <w:rPr>
          <w:rFonts w:ascii="Cambria" w:eastAsia="Times New Roman" w:hAnsi="Cambria" w:cs="Times New Roman"/>
          <w:b/>
          <w:bCs/>
          <w:color w:val="222222"/>
          <w:lang w:eastAsia="en-AU"/>
        </w:rPr>
        <w:t>bold</w:t>
      </w:r>
      <w:r w:rsidRPr="009A0DA6">
        <w:rPr>
          <w:rFonts w:ascii="Cambria" w:eastAsia="Times New Roman" w:hAnsi="Cambria" w:cs="Times New Roman"/>
          <w:bCs/>
          <w:color w:val="222222"/>
          <w:lang w:eastAsia="en-AU"/>
        </w:rPr>
        <w:t>):</w:t>
      </w:r>
    </w:p>
    <w:p w14:paraId="5E6A93B9" w14:textId="77777777" w:rsidR="00075925" w:rsidRPr="009A0DA6" w:rsidRDefault="00075925" w:rsidP="00075925">
      <w:pPr>
        <w:shd w:val="clear" w:color="auto" w:fill="FFFFFF"/>
        <w:spacing w:after="0" w:line="240" w:lineRule="auto"/>
        <w:rPr>
          <w:rFonts w:ascii="Cambria" w:eastAsia="Times New Roman" w:hAnsi="Cambria" w:cs="Times New Roman"/>
          <w:bCs/>
          <w:color w:val="222222"/>
          <w:lang w:eastAsia="en-AU"/>
        </w:rPr>
      </w:pPr>
    </w:p>
    <w:p w14:paraId="39B1FB78" w14:textId="77777777" w:rsidR="00075925" w:rsidRPr="009A0DA6" w:rsidRDefault="00075925" w:rsidP="00075925">
      <w:pPr>
        <w:tabs>
          <w:tab w:val="left" w:pos="567"/>
          <w:tab w:val="left" w:pos="1418"/>
          <w:tab w:val="left" w:pos="2268"/>
          <w:tab w:val="left" w:pos="3119"/>
          <w:tab w:val="left" w:pos="3969"/>
        </w:tabs>
        <w:spacing w:after="0" w:line="240" w:lineRule="auto"/>
        <w:jc w:val="center"/>
        <w:rPr>
          <w:rFonts w:ascii="Cambria" w:eastAsia="Times New Roman" w:hAnsi="Cambria" w:cs="Arial"/>
          <w:b/>
          <w:sz w:val="10"/>
          <w:lang w:eastAsia="ja-JP"/>
        </w:rPr>
      </w:pPr>
      <w:r w:rsidRPr="009A0DA6">
        <w:rPr>
          <w:rFonts w:ascii="Cambria" w:eastAsia="Times New Roman" w:hAnsi="Cambria" w:cs="Arial"/>
          <w:b/>
        </w:rPr>
        <w:t>LCA PASTORS’ TRANSFER AND SUPPORT FUND</w:t>
      </w:r>
      <w:r w:rsidRPr="009A0DA6">
        <w:rPr>
          <w:rFonts w:ascii="Cambria" w:eastAsia="Times New Roman" w:hAnsi="Cambria" w:cs="Arial"/>
          <w:b/>
        </w:rPr>
        <w:br/>
      </w:r>
    </w:p>
    <w:p w14:paraId="7C090D92" w14:textId="7B7A84D9" w:rsidR="00075925" w:rsidRPr="009A0DA6" w:rsidRDefault="00075925" w:rsidP="00075925">
      <w:pPr>
        <w:tabs>
          <w:tab w:val="left" w:pos="567"/>
          <w:tab w:val="left" w:pos="1418"/>
          <w:tab w:val="left" w:pos="2268"/>
          <w:tab w:val="left" w:pos="3119"/>
          <w:tab w:val="left" w:pos="3969"/>
        </w:tabs>
        <w:spacing w:after="0" w:line="240" w:lineRule="auto"/>
        <w:jc w:val="center"/>
        <w:rPr>
          <w:rFonts w:ascii="Cambria" w:eastAsia="Times New Roman" w:hAnsi="Cambria" w:cs="Arial"/>
          <w:b/>
          <w:sz w:val="10"/>
        </w:rPr>
      </w:pPr>
      <w:r w:rsidRPr="009A0DA6">
        <w:rPr>
          <w:rFonts w:ascii="Cambria" w:eastAsia="Times New Roman" w:hAnsi="Cambria" w:cs="Arial"/>
          <w:b/>
        </w:rPr>
        <w:t>1</w:t>
      </w:r>
      <w:r w:rsidR="0027799A" w:rsidRPr="009A0DA6">
        <w:rPr>
          <w:rFonts w:ascii="Cambria" w:eastAsia="Times New Roman" w:hAnsi="Cambria" w:cs="Arial"/>
          <w:b/>
        </w:rPr>
        <w:t xml:space="preserve">. </w:t>
      </w:r>
      <w:r w:rsidRPr="009A0DA6">
        <w:rPr>
          <w:rFonts w:ascii="Cambria" w:eastAsia="Times New Roman" w:hAnsi="Cambria" w:cs="Arial"/>
          <w:b/>
        </w:rPr>
        <w:t>NAME</w:t>
      </w:r>
      <w:r w:rsidRPr="009A0DA6">
        <w:rPr>
          <w:rFonts w:ascii="Cambria" w:eastAsia="Times New Roman" w:hAnsi="Cambria" w:cs="Arial"/>
          <w:b/>
        </w:rPr>
        <w:br/>
      </w:r>
    </w:p>
    <w:p w14:paraId="025A9839" w14:textId="77777777" w:rsidR="00075925" w:rsidRPr="009A0DA6" w:rsidRDefault="00075925" w:rsidP="00075925">
      <w:pPr>
        <w:tabs>
          <w:tab w:val="left" w:pos="567"/>
          <w:tab w:val="left" w:pos="1418"/>
          <w:tab w:val="left" w:pos="2268"/>
          <w:tab w:val="left" w:pos="3119"/>
          <w:tab w:val="left" w:pos="3969"/>
        </w:tabs>
        <w:spacing w:after="0" w:line="240" w:lineRule="auto"/>
        <w:ind w:left="567" w:hanging="567"/>
        <w:rPr>
          <w:rFonts w:ascii="Cambria" w:eastAsia="Times New Roman" w:hAnsi="Cambria" w:cs="Arial"/>
        </w:rPr>
      </w:pPr>
      <w:r w:rsidRPr="009A0DA6">
        <w:rPr>
          <w:rFonts w:ascii="Cambria" w:eastAsia="Times New Roman" w:hAnsi="Cambria" w:cs="Arial"/>
        </w:rPr>
        <w:t>1.1</w:t>
      </w:r>
      <w:r w:rsidRPr="009A0DA6">
        <w:rPr>
          <w:rFonts w:ascii="Cambria" w:eastAsia="Times New Roman" w:hAnsi="Cambria" w:cs="Arial"/>
        </w:rPr>
        <w:tab/>
        <w:t xml:space="preserve">The name of the Fund shall be LCA PASTORS’ TRANSFER </w:t>
      </w:r>
      <w:smartTag w:uri="urn:schemas-microsoft-com:office:smarttags" w:element="stockticker">
        <w:r w:rsidRPr="009A0DA6">
          <w:rPr>
            <w:rFonts w:ascii="Cambria" w:eastAsia="Times New Roman" w:hAnsi="Cambria" w:cs="Arial"/>
          </w:rPr>
          <w:t>AND</w:t>
        </w:r>
      </w:smartTag>
      <w:r w:rsidRPr="009A0DA6">
        <w:rPr>
          <w:rFonts w:ascii="Cambria" w:eastAsia="Times New Roman" w:hAnsi="Cambria" w:cs="Arial"/>
        </w:rPr>
        <w:t xml:space="preserve"> SUPPORT FUND.</w:t>
      </w:r>
    </w:p>
    <w:p w14:paraId="688E71AF" w14:textId="77777777" w:rsidR="00075925" w:rsidRPr="009A0DA6" w:rsidRDefault="00075925" w:rsidP="00075925">
      <w:pPr>
        <w:tabs>
          <w:tab w:val="left" w:pos="567"/>
          <w:tab w:val="left" w:pos="1418"/>
          <w:tab w:val="left" w:pos="2268"/>
          <w:tab w:val="left" w:pos="3119"/>
          <w:tab w:val="left" w:pos="3969"/>
        </w:tabs>
        <w:spacing w:after="0" w:line="240" w:lineRule="auto"/>
        <w:ind w:left="567" w:hanging="567"/>
        <w:rPr>
          <w:rFonts w:ascii="Cambria" w:eastAsia="Times New Roman" w:hAnsi="Cambria" w:cs="Arial"/>
        </w:rPr>
      </w:pPr>
    </w:p>
    <w:p w14:paraId="3BAC4282" w14:textId="1E37A8D0" w:rsidR="00075925" w:rsidRPr="009A0DA6" w:rsidRDefault="00075925" w:rsidP="00075925">
      <w:pPr>
        <w:tabs>
          <w:tab w:val="left" w:pos="567"/>
          <w:tab w:val="left" w:pos="1418"/>
          <w:tab w:val="left" w:pos="2268"/>
          <w:tab w:val="left" w:pos="3119"/>
          <w:tab w:val="left" w:pos="3969"/>
        </w:tabs>
        <w:spacing w:after="0" w:line="240" w:lineRule="auto"/>
        <w:jc w:val="center"/>
        <w:rPr>
          <w:rFonts w:ascii="Cambria" w:eastAsia="Times New Roman" w:hAnsi="Cambria" w:cs="Arial"/>
          <w:sz w:val="10"/>
          <w:szCs w:val="10"/>
        </w:rPr>
      </w:pPr>
      <w:r w:rsidRPr="009A0DA6">
        <w:rPr>
          <w:rFonts w:ascii="Cambria" w:eastAsia="Times New Roman" w:hAnsi="Cambria" w:cs="Arial"/>
          <w:b/>
        </w:rPr>
        <w:t>4</w:t>
      </w:r>
      <w:r w:rsidR="0027799A" w:rsidRPr="009A0DA6">
        <w:rPr>
          <w:rFonts w:ascii="Cambria" w:eastAsia="Times New Roman" w:hAnsi="Cambria" w:cs="Arial"/>
          <w:b/>
        </w:rPr>
        <w:t xml:space="preserve">. </w:t>
      </w:r>
      <w:r w:rsidRPr="009A0DA6">
        <w:rPr>
          <w:rFonts w:ascii="Cambria" w:eastAsia="Times New Roman" w:hAnsi="Cambria" w:cs="Arial"/>
          <w:b/>
        </w:rPr>
        <w:t>PAYMENTS FOR TRANSFERS</w:t>
      </w:r>
      <w:r w:rsidRPr="009A0DA6">
        <w:rPr>
          <w:rFonts w:ascii="Cambria" w:eastAsia="Times New Roman" w:hAnsi="Cambria" w:cs="Arial"/>
          <w:b/>
        </w:rPr>
        <w:br/>
      </w:r>
    </w:p>
    <w:p w14:paraId="5A805057" w14:textId="2E8ED69C" w:rsidR="00075925" w:rsidRPr="009A0DA6" w:rsidRDefault="00075925" w:rsidP="00075925">
      <w:pPr>
        <w:tabs>
          <w:tab w:val="left" w:pos="567"/>
          <w:tab w:val="left" w:pos="1418"/>
          <w:tab w:val="left" w:pos="2268"/>
          <w:tab w:val="left" w:pos="3119"/>
          <w:tab w:val="left" w:pos="3969"/>
        </w:tabs>
        <w:spacing w:after="0" w:line="240" w:lineRule="auto"/>
        <w:ind w:left="567" w:hanging="567"/>
        <w:rPr>
          <w:rFonts w:ascii="Cambria" w:eastAsia="Times New Roman" w:hAnsi="Cambria" w:cs="Arial"/>
        </w:rPr>
      </w:pPr>
      <w:r w:rsidRPr="009A0DA6">
        <w:rPr>
          <w:rFonts w:ascii="Cambria" w:eastAsia="Times New Roman" w:hAnsi="Cambria" w:cs="Arial"/>
        </w:rPr>
        <w:t>4.1</w:t>
      </w:r>
      <w:r w:rsidRPr="009A0DA6">
        <w:rPr>
          <w:rFonts w:ascii="Cambria" w:eastAsia="Times New Roman" w:hAnsi="Cambria" w:cs="Arial"/>
        </w:rPr>
        <w:tab/>
        <w:t>The following provisions shall apply to all transfers, unless otherwise provided for in these rules or otherwise deter</w:t>
      </w:r>
      <w:r w:rsidR="00AC77C5" w:rsidRPr="009A0DA6">
        <w:rPr>
          <w:rFonts w:ascii="Cambria" w:eastAsia="Times New Roman" w:hAnsi="Cambria" w:cs="Arial"/>
        </w:rPr>
        <w:t>TR</w:t>
      </w:r>
      <w:r w:rsidRPr="009A0DA6">
        <w:rPr>
          <w:rFonts w:ascii="Cambria" w:eastAsia="Times New Roman" w:hAnsi="Cambria" w:cs="Arial"/>
        </w:rPr>
        <w:t xml:space="preserve">mined in particular cases by the General Church </w:t>
      </w:r>
      <w:r w:rsidRPr="009A0DA6">
        <w:rPr>
          <w:rFonts w:ascii="Cambria" w:eastAsia="Times New Roman" w:hAnsi="Cambria" w:cs="Arial"/>
          <w:strike/>
        </w:rPr>
        <w:t>Council</w:t>
      </w:r>
      <w:r w:rsidRPr="009A0DA6">
        <w:rPr>
          <w:rFonts w:ascii="Cambria" w:eastAsia="Times New Roman" w:hAnsi="Cambria" w:cs="Arial"/>
          <w:b/>
        </w:rPr>
        <w:t>Board</w:t>
      </w:r>
      <w:r w:rsidRPr="009A0DA6">
        <w:rPr>
          <w:rFonts w:ascii="Cambria" w:eastAsia="Times New Roman" w:hAnsi="Cambria" w:cs="Arial"/>
        </w:rPr>
        <w:t>.</w:t>
      </w:r>
    </w:p>
    <w:p w14:paraId="0796EEA7" w14:textId="288DBCE1" w:rsidR="00075925" w:rsidRPr="009A0DA6" w:rsidRDefault="00075925" w:rsidP="00075925">
      <w:pPr>
        <w:tabs>
          <w:tab w:val="left" w:pos="567"/>
          <w:tab w:val="left" w:pos="1418"/>
          <w:tab w:val="left" w:pos="2268"/>
          <w:tab w:val="left" w:pos="3119"/>
          <w:tab w:val="left" w:pos="3969"/>
        </w:tabs>
        <w:spacing w:after="0" w:line="240" w:lineRule="auto"/>
        <w:ind w:left="1418" w:hanging="1418"/>
        <w:rPr>
          <w:rFonts w:ascii="Cambria" w:eastAsia="Times New Roman" w:hAnsi="Cambria" w:cs="Arial"/>
        </w:rPr>
      </w:pPr>
      <w:r w:rsidRPr="009A0DA6">
        <w:rPr>
          <w:rFonts w:ascii="Cambria" w:eastAsia="Times New Roman" w:hAnsi="Cambria" w:cs="Arial"/>
        </w:rPr>
        <w:tab/>
        <w:t>4.1.1</w:t>
      </w:r>
      <w:r w:rsidRPr="009A0DA6">
        <w:rPr>
          <w:rFonts w:ascii="Cambria" w:eastAsia="Times New Roman" w:hAnsi="Cambria" w:cs="Arial"/>
        </w:rPr>
        <w:tab/>
        <w:t>The pastor concerned shall obtain quotes for the cost of removal from the preferred suppliers as advised by the Church</w:t>
      </w:r>
      <w:r w:rsidR="0027799A" w:rsidRPr="009A0DA6">
        <w:rPr>
          <w:rFonts w:ascii="Cambria" w:eastAsia="Times New Roman" w:hAnsi="Cambria" w:cs="Arial"/>
        </w:rPr>
        <w:t xml:space="preserve">. </w:t>
      </w:r>
      <w:r w:rsidRPr="009A0DA6">
        <w:rPr>
          <w:rFonts w:ascii="Cambria" w:eastAsia="Times New Roman" w:hAnsi="Cambria" w:cs="Arial"/>
        </w:rPr>
        <w:t>The determination of the quote to be accepted shall be made by the Office of the Bishop.</w:t>
      </w:r>
    </w:p>
    <w:p w14:paraId="444E365D" w14:textId="77777777" w:rsidR="00075925" w:rsidRPr="009A0DA6" w:rsidRDefault="00075925" w:rsidP="00075925">
      <w:pPr>
        <w:tabs>
          <w:tab w:val="left" w:pos="567"/>
          <w:tab w:val="left" w:pos="1418"/>
          <w:tab w:val="left" w:pos="2268"/>
          <w:tab w:val="left" w:pos="3119"/>
          <w:tab w:val="left" w:pos="3969"/>
        </w:tabs>
        <w:spacing w:after="0" w:line="240" w:lineRule="auto"/>
        <w:ind w:left="1418" w:hanging="1418"/>
        <w:rPr>
          <w:rFonts w:ascii="Cambria" w:eastAsia="Times New Roman" w:hAnsi="Cambria" w:cs="Arial"/>
        </w:rPr>
      </w:pPr>
      <w:r w:rsidRPr="009A0DA6">
        <w:rPr>
          <w:rFonts w:ascii="Cambria" w:eastAsia="Times New Roman" w:hAnsi="Cambria" w:cs="Arial"/>
        </w:rPr>
        <w:tab/>
        <w:t>4.1.2</w:t>
      </w:r>
      <w:r w:rsidRPr="009A0DA6">
        <w:rPr>
          <w:rFonts w:ascii="Cambria" w:eastAsia="Times New Roman" w:hAnsi="Cambria" w:cs="Arial"/>
        </w:rPr>
        <w:tab/>
        <w:t>The travelling expenses of a pastor and family shall be borne by the Fund in the following manner:</w:t>
      </w:r>
    </w:p>
    <w:p w14:paraId="07886262" w14:textId="77777777" w:rsidR="00075925" w:rsidRPr="009A0DA6" w:rsidRDefault="00075925" w:rsidP="00075925">
      <w:pPr>
        <w:tabs>
          <w:tab w:val="left" w:pos="567"/>
          <w:tab w:val="left" w:pos="1418"/>
          <w:tab w:val="left" w:pos="2268"/>
          <w:tab w:val="left" w:pos="3119"/>
          <w:tab w:val="left" w:pos="3969"/>
        </w:tabs>
        <w:spacing w:after="0" w:line="240" w:lineRule="auto"/>
        <w:ind w:left="2268" w:hanging="2268"/>
        <w:rPr>
          <w:rFonts w:ascii="Cambria" w:eastAsia="Times New Roman" w:hAnsi="Cambria" w:cs="Arial"/>
        </w:rPr>
      </w:pPr>
      <w:r w:rsidRPr="009A0DA6">
        <w:rPr>
          <w:rFonts w:ascii="Cambria" w:eastAsia="Times New Roman" w:hAnsi="Cambria" w:cs="Arial"/>
        </w:rPr>
        <w:tab/>
      </w:r>
      <w:r w:rsidRPr="009A0DA6">
        <w:rPr>
          <w:rFonts w:ascii="Cambria" w:eastAsia="Times New Roman" w:hAnsi="Cambria" w:cs="Arial"/>
        </w:rPr>
        <w:tab/>
        <w:t>4.1.2.1</w:t>
      </w:r>
      <w:r w:rsidRPr="009A0DA6">
        <w:rPr>
          <w:rFonts w:ascii="Cambria" w:eastAsia="Times New Roman" w:hAnsi="Cambria" w:cs="Arial"/>
        </w:rPr>
        <w:tab/>
        <w:t>If not travelling by private car, economy fares shall be paid.</w:t>
      </w:r>
    </w:p>
    <w:p w14:paraId="1632FFDA" w14:textId="77777777" w:rsidR="00075925" w:rsidRPr="009A0DA6" w:rsidRDefault="00075925" w:rsidP="00075925">
      <w:pPr>
        <w:tabs>
          <w:tab w:val="left" w:pos="567"/>
          <w:tab w:val="left" w:pos="1418"/>
          <w:tab w:val="left" w:pos="2268"/>
          <w:tab w:val="left" w:pos="3119"/>
          <w:tab w:val="left" w:pos="3969"/>
        </w:tabs>
        <w:spacing w:after="0" w:line="240" w:lineRule="auto"/>
        <w:ind w:left="2268" w:hanging="2268"/>
        <w:rPr>
          <w:rFonts w:ascii="Cambria" w:eastAsia="Times New Roman" w:hAnsi="Cambria" w:cs="Arial"/>
        </w:rPr>
      </w:pPr>
      <w:r w:rsidRPr="009A0DA6">
        <w:rPr>
          <w:rFonts w:ascii="Cambria" w:eastAsia="Times New Roman" w:hAnsi="Cambria" w:cs="Arial"/>
        </w:rPr>
        <w:tab/>
      </w:r>
      <w:r w:rsidRPr="009A0DA6">
        <w:rPr>
          <w:rFonts w:ascii="Cambria" w:eastAsia="Times New Roman" w:hAnsi="Cambria" w:cs="Arial"/>
        </w:rPr>
        <w:tab/>
        <w:t>4.1.2.2</w:t>
      </w:r>
      <w:r w:rsidRPr="009A0DA6">
        <w:rPr>
          <w:rFonts w:ascii="Cambria" w:eastAsia="Times New Roman" w:hAnsi="Cambria" w:cs="Arial"/>
        </w:rPr>
        <w:tab/>
        <w:t>If travelling by car, payment at the current rate per kilometre laid down in the Schedule of Salaries, the distance being reckoned by the shortest practicable route.</w:t>
      </w:r>
    </w:p>
    <w:p w14:paraId="3D8E1527" w14:textId="77777777" w:rsidR="00075925" w:rsidRPr="009A0DA6" w:rsidRDefault="00075925" w:rsidP="00075925">
      <w:pPr>
        <w:tabs>
          <w:tab w:val="left" w:pos="567"/>
          <w:tab w:val="left" w:pos="1418"/>
          <w:tab w:val="left" w:pos="2268"/>
          <w:tab w:val="left" w:pos="3119"/>
          <w:tab w:val="left" w:pos="3969"/>
        </w:tabs>
        <w:spacing w:after="0" w:line="240" w:lineRule="auto"/>
        <w:ind w:left="2268" w:hanging="2268"/>
        <w:rPr>
          <w:rFonts w:ascii="Cambria" w:eastAsia="Times New Roman" w:hAnsi="Cambria" w:cs="Arial"/>
        </w:rPr>
      </w:pPr>
      <w:r w:rsidRPr="009A0DA6">
        <w:rPr>
          <w:rFonts w:ascii="Cambria" w:eastAsia="Times New Roman" w:hAnsi="Cambria" w:cs="Arial"/>
        </w:rPr>
        <w:tab/>
      </w:r>
      <w:r w:rsidRPr="009A0DA6">
        <w:rPr>
          <w:rFonts w:ascii="Cambria" w:eastAsia="Times New Roman" w:hAnsi="Cambria" w:cs="Arial"/>
        </w:rPr>
        <w:tab/>
        <w:t>4.1.2.3</w:t>
      </w:r>
      <w:r w:rsidRPr="009A0DA6">
        <w:rPr>
          <w:rFonts w:ascii="Cambria" w:eastAsia="Times New Roman" w:hAnsi="Cambria" w:cs="Arial"/>
        </w:rPr>
        <w:tab/>
        <w:t>Reasonable additional expenses incurred for living costs and accommodation during a long-distance transfer shall be paid at the discretion of the Office of the Bishop, upon submission of a statement of expenses.</w:t>
      </w:r>
    </w:p>
    <w:p w14:paraId="0ECE5389" w14:textId="77777777" w:rsidR="00075925" w:rsidRPr="009A0DA6" w:rsidRDefault="00075925" w:rsidP="00075925">
      <w:pPr>
        <w:tabs>
          <w:tab w:val="left" w:pos="567"/>
          <w:tab w:val="left" w:pos="1418"/>
          <w:tab w:val="left" w:pos="2268"/>
          <w:tab w:val="left" w:pos="3119"/>
          <w:tab w:val="left" w:pos="3969"/>
        </w:tabs>
        <w:spacing w:after="0" w:line="240" w:lineRule="auto"/>
        <w:ind w:left="1418" w:hanging="1418"/>
        <w:rPr>
          <w:rFonts w:ascii="Cambria" w:eastAsia="Times New Roman" w:hAnsi="Cambria" w:cs="Arial"/>
        </w:rPr>
      </w:pPr>
      <w:r w:rsidRPr="009A0DA6">
        <w:rPr>
          <w:rFonts w:ascii="Cambria" w:eastAsia="Times New Roman" w:hAnsi="Cambria" w:cs="Arial"/>
        </w:rPr>
        <w:tab/>
        <w:t>4.1.3</w:t>
      </w:r>
      <w:r w:rsidRPr="009A0DA6">
        <w:rPr>
          <w:rFonts w:ascii="Cambria" w:eastAsia="Times New Roman" w:hAnsi="Cambria" w:cs="Arial"/>
        </w:rPr>
        <w:tab/>
        <w:t xml:space="preserve">The costs of travelling and removal shall be payable for transfer from the place of residence of the vacated charge to the place of residence of the next charge. </w:t>
      </w:r>
    </w:p>
    <w:p w14:paraId="1C67647F" w14:textId="77777777" w:rsidR="00075925" w:rsidRPr="009A0DA6" w:rsidRDefault="00075925" w:rsidP="00075925">
      <w:pPr>
        <w:tabs>
          <w:tab w:val="left" w:pos="567"/>
          <w:tab w:val="left" w:pos="1418"/>
          <w:tab w:val="left" w:pos="2268"/>
          <w:tab w:val="left" w:pos="3119"/>
          <w:tab w:val="left" w:pos="3969"/>
        </w:tabs>
        <w:spacing w:after="0" w:line="240" w:lineRule="auto"/>
        <w:ind w:left="1418" w:hanging="1418"/>
        <w:rPr>
          <w:rFonts w:ascii="Cambria" w:eastAsia="Times New Roman" w:hAnsi="Cambria" w:cs="Arial"/>
        </w:rPr>
      </w:pPr>
      <w:r w:rsidRPr="009A0DA6">
        <w:rPr>
          <w:rFonts w:ascii="Cambria" w:eastAsia="Times New Roman" w:hAnsi="Cambria" w:cs="Arial"/>
        </w:rPr>
        <w:tab/>
        <w:t>4.1.4</w:t>
      </w:r>
      <w:r w:rsidRPr="009A0DA6">
        <w:rPr>
          <w:rFonts w:ascii="Cambria" w:eastAsia="Times New Roman" w:hAnsi="Cambria" w:cs="Arial"/>
        </w:rPr>
        <w:tab/>
        <w:t xml:space="preserve">There shall be a cap on the value of household goods covered by transit insurance through this Fund, with the amount set by the </w:t>
      </w:r>
      <w:r w:rsidRPr="009A0DA6">
        <w:rPr>
          <w:rFonts w:ascii="Cambria" w:eastAsia="Times New Roman" w:hAnsi="Cambria" w:cs="Arial"/>
          <w:strike/>
        </w:rPr>
        <w:t>Commission on Salaries</w:t>
      </w:r>
      <w:r w:rsidRPr="009A0DA6">
        <w:rPr>
          <w:rFonts w:ascii="Cambria" w:eastAsia="Times New Roman" w:hAnsi="Cambria" w:cs="Arial"/>
          <w:b/>
        </w:rPr>
        <w:t>Office of the Bishop</w:t>
      </w:r>
      <w:r w:rsidRPr="009A0DA6">
        <w:rPr>
          <w:rFonts w:ascii="Cambria" w:eastAsia="Times New Roman" w:hAnsi="Cambria" w:cs="Arial"/>
        </w:rPr>
        <w:t xml:space="preserve"> every three years and changed annually in line with the generic </w:t>
      </w:r>
      <w:smartTag w:uri="urn:schemas-microsoft-com:office:smarttags" w:element="stockticker">
        <w:r w:rsidRPr="009A0DA6">
          <w:rPr>
            <w:rFonts w:ascii="Cambria" w:eastAsia="Times New Roman" w:hAnsi="Cambria" w:cs="Arial"/>
          </w:rPr>
          <w:t>CPI</w:t>
        </w:r>
      </w:smartTag>
      <w:r w:rsidRPr="009A0DA6">
        <w:rPr>
          <w:rFonts w:ascii="Cambria" w:eastAsia="Times New Roman" w:hAnsi="Cambria" w:cs="Arial"/>
        </w:rPr>
        <w:t xml:space="preserve"> figure in the interim years. </w:t>
      </w:r>
    </w:p>
    <w:p w14:paraId="458718AE" w14:textId="77777777" w:rsidR="00075925" w:rsidRPr="009A0DA6" w:rsidRDefault="00075925" w:rsidP="00075925">
      <w:pPr>
        <w:tabs>
          <w:tab w:val="left" w:pos="567"/>
          <w:tab w:val="left" w:pos="1418"/>
          <w:tab w:val="left" w:pos="2268"/>
          <w:tab w:val="left" w:pos="3119"/>
          <w:tab w:val="left" w:pos="3969"/>
        </w:tabs>
        <w:spacing w:after="0" w:line="240" w:lineRule="auto"/>
        <w:ind w:left="1418" w:hanging="1418"/>
        <w:rPr>
          <w:rFonts w:ascii="Cambria" w:eastAsia="Times New Roman" w:hAnsi="Cambria" w:cs="Arial"/>
        </w:rPr>
      </w:pPr>
      <w:r w:rsidRPr="009A0DA6">
        <w:rPr>
          <w:rFonts w:ascii="Cambria" w:eastAsia="Times New Roman" w:hAnsi="Cambria" w:cs="Arial"/>
        </w:rPr>
        <w:tab/>
        <w:t>4.1.5</w:t>
      </w:r>
      <w:r w:rsidRPr="009A0DA6">
        <w:rPr>
          <w:rFonts w:ascii="Cambria" w:eastAsia="Times New Roman" w:hAnsi="Cambria" w:cs="Arial"/>
        </w:rPr>
        <w:tab/>
        <w:t>At the discretion of the Office of the Bishop, travel costs to a maximum of $400 shall be paid for the relocation of a second car when a pastor relocates to a new position within the Church.</w:t>
      </w:r>
    </w:p>
    <w:p w14:paraId="6ACA9C0E" w14:textId="77777777" w:rsidR="00075925" w:rsidRPr="009A0DA6" w:rsidRDefault="00075925" w:rsidP="00075925">
      <w:pPr>
        <w:tabs>
          <w:tab w:val="left" w:pos="567"/>
          <w:tab w:val="left" w:pos="1418"/>
          <w:tab w:val="left" w:pos="2268"/>
          <w:tab w:val="left" w:pos="3119"/>
          <w:tab w:val="left" w:pos="3969"/>
        </w:tabs>
        <w:spacing w:after="0" w:line="240" w:lineRule="auto"/>
        <w:ind w:left="1418" w:hanging="1418"/>
        <w:rPr>
          <w:rFonts w:ascii="Cambria" w:eastAsia="Times New Roman" w:hAnsi="Cambria" w:cs="Arial"/>
        </w:rPr>
      </w:pPr>
      <w:r w:rsidRPr="009A0DA6">
        <w:rPr>
          <w:rFonts w:ascii="Cambria" w:eastAsia="Times New Roman" w:hAnsi="Cambria" w:cs="Arial"/>
          <w:b/>
        </w:rPr>
        <w:tab/>
        <w:t>4.1.6</w:t>
      </w:r>
      <w:r w:rsidRPr="009A0DA6">
        <w:rPr>
          <w:rFonts w:ascii="Cambria" w:eastAsia="Times New Roman" w:hAnsi="Cambria" w:cs="Arial"/>
          <w:b/>
        </w:rPr>
        <w:tab/>
        <w:t>There shall be a cap on the volume of transferred household goods paid for by the Fund, with the amount set by the Office of the Bishop and reviewed at least once every three years.</w:t>
      </w:r>
    </w:p>
    <w:p w14:paraId="79D1C4E9" w14:textId="77777777" w:rsidR="00075925" w:rsidRPr="009A0DA6" w:rsidRDefault="00075925" w:rsidP="00075925">
      <w:pPr>
        <w:spacing w:after="0" w:line="240" w:lineRule="auto"/>
        <w:ind w:right="573" w:firstLine="6"/>
        <w:rPr>
          <w:rFonts w:ascii="Cambria" w:eastAsia="Times New Roman" w:hAnsi="Cambria" w:cs="Times New Roman"/>
          <w:bCs/>
          <w:color w:val="222222"/>
          <w:szCs w:val="24"/>
          <w:lang w:eastAsia="en-AU"/>
        </w:rPr>
      </w:pPr>
    </w:p>
    <w:p w14:paraId="7F7C1A59" w14:textId="77777777" w:rsidR="00075925" w:rsidRPr="009A0DA6" w:rsidRDefault="00075925" w:rsidP="00355E83">
      <w:pPr>
        <w:pStyle w:val="Heading3"/>
        <w:rPr>
          <w:rFonts w:eastAsia="SimSun" w:cs="F"/>
        </w:rPr>
      </w:pPr>
      <w:r w:rsidRPr="00D5015A">
        <w:t>REASONS FOR THE MOTION</w:t>
      </w:r>
    </w:p>
    <w:p w14:paraId="6C4D3BB4" w14:textId="7F77F724" w:rsidR="00D5015A" w:rsidRPr="00A462B6" w:rsidRDefault="00296DD9" w:rsidP="00D5015A">
      <w:pPr>
        <w:rPr>
          <w:rFonts w:ascii="Cambria" w:hAnsi="Cambria"/>
        </w:rPr>
      </w:pPr>
      <w:r w:rsidRPr="00296DD9">
        <w:rPr>
          <w:rStyle w:val="NoSpacingChar"/>
        </w:rPr>
        <w:t xml:space="preserve">The cap has been introduced to ensure that the Pastors Transfer and Support Fund remains sustainable and there is certainty about the expenditure covered by the fund. </w:t>
      </w:r>
      <w:r w:rsidR="00D5015A" w:rsidRPr="00296DD9">
        <w:rPr>
          <w:rStyle w:val="NoSpacingChar"/>
        </w:rPr>
        <w:t>This</w:t>
      </w:r>
      <w:r w:rsidR="00D5015A">
        <w:rPr>
          <w:rFonts w:ascii="Cambria" w:hAnsi="Cambria"/>
        </w:rPr>
        <w:t xml:space="preserve"> expenditure reflects the principle of basing decisions on what is the average in the community, which is reflected when setting Pastor Remuneration, Pastor Housing and other benefits.</w:t>
      </w:r>
    </w:p>
    <w:p w14:paraId="0CF4DB70" w14:textId="259D53A0" w:rsidR="00634B13" w:rsidRPr="00D5015A" w:rsidRDefault="00634B13" w:rsidP="00964A90">
      <w:pPr>
        <w:pStyle w:val="Heading3"/>
      </w:pPr>
      <w:r w:rsidRPr="00D5015A">
        <w:lastRenderedPageBreak/>
        <w:t>agenda 2.4.</w:t>
      </w:r>
      <w:r w:rsidR="000C3458" w:rsidRPr="00D5015A">
        <w:t>18</w:t>
      </w:r>
    </w:p>
    <w:p w14:paraId="28930CF7" w14:textId="77777777" w:rsidR="00634B13" w:rsidRPr="00D5015A" w:rsidRDefault="00634B13" w:rsidP="00634B13">
      <w:pPr>
        <w:pStyle w:val="Heading2"/>
      </w:pPr>
      <w:bookmarkStart w:id="468" w:name="_Toc521954720"/>
      <w:r w:rsidRPr="00D5015A">
        <w:t xml:space="preserve">Constitutional </w:t>
      </w:r>
      <w:r w:rsidR="00DC2E03" w:rsidRPr="00D5015A">
        <w:t>c</w:t>
      </w:r>
      <w:r w:rsidRPr="00D5015A">
        <w:t>hange</w:t>
      </w:r>
      <w:r w:rsidR="00DC2E03" w:rsidRPr="00D5015A">
        <w:t>s</w:t>
      </w:r>
      <w:r w:rsidRPr="00D5015A">
        <w:t>: Student Fund</w:t>
      </w:r>
      <w:bookmarkEnd w:id="468"/>
    </w:p>
    <w:p w14:paraId="2C6518D4" w14:textId="77777777" w:rsidR="00634B13" w:rsidRPr="00D5015A" w:rsidRDefault="00634B13" w:rsidP="00634B13">
      <w:pPr>
        <w:pStyle w:val="NoSpacing"/>
      </w:pPr>
    </w:p>
    <w:p w14:paraId="3D76403A" w14:textId="77777777" w:rsidR="00634B13" w:rsidRPr="00D5015A" w:rsidRDefault="00075925" w:rsidP="00964A90">
      <w:pPr>
        <w:pStyle w:val="Heading3"/>
      </w:pPr>
      <w:r w:rsidRPr="00D5015A">
        <w:t>proposed motion</w:t>
      </w:r>
    </w:p>
    <w:p w14:paraId="733282D7" w14:textId="77777777" w:rsidR="00075925" w:rsidRPr="00D5015A" w:rsidRDefault="00075925" w:rsidP="00075925">
      <w:pPr>
        <w:shd w:val="clear" w:color="auto" w:fill="FFFFFF"/>
        <w:spacing w:after="0" w:line="240" w:lineRule="auto"/>
        <w:rPr>
          <w:rFonts w:ascii="Cambria" w:eastAsia="Times New Roman" w:hAnsi="Cambria" w:cs="Times New Roman"/>
          <w:bCs/>
          <w:color w:val="222222"/>
          <w:lang w:eastAsia="en-AU"/>
        </w:rPr>
      </w:pPr>
      <w:r w:rsidRPr="00D5015A">
        <w:rPr>
          <w:rFonts w:ascii="Cambria" w:hAnsi="Cambria"/>
          <w:b/>
          <w:bCs/>
          <w:lang w:eastAsia="en-AU"/>
        </w:rPr>
        <w:t>BE IT RESOLVED</w:t>
      </w:r>
      <w:r w:rsidRPr="00D5015A">
        <w:rPr>
          <w:rFonts w:ascii="Cambria" w:eastAsia="Times New Roman" w:hAnsi="Cambria" w:cs="Times New Roman"/>
          <w:bCs/>
          <w:color w:val="000000"/>
          <w:lang w:eastAsia="en-AU"/>
        </w:rPr>
        <w:t xml:space="preserve"> </w:t>
      </w:r>
      <w:r w:rsidRPr="00D5015A">
        <w:rPr>
          <w:rFonts w:ascii="Cambria" w:eastAsia="Times New Roman" w:hAnsi="Cambria" w:cs="Times New Roman"/>
          <w:bCs/>
          <w:color w:val="222222"/>
          <w:lang w:eastAsia="en-AU"/>
        </w:rPr>
        <w:t xml:space="preserve">that the By-laws for the </w:t>
      </w:r>
      <w:r w:rsidRPr="00D5015A">
        <w:rPr>
          <w:rFonts w:ascii="Cambria" w:eastAsia="Times New Roman" w:hAnsi="Cambria" w:cs="Times New Roman"/>
          <w:b/>
          <w:bCs/>
          <w:color w:val="222222"/>
          <w:lang w:eastAsia="en-AU"/>
        </w:rPr>
        <w:t>Lutheran Church of Australia Student Fund</w:t>
      </w:r>
      <w:r w:rsidRPr="00D5015A">
        <w:rPr>
          <w:rFonts w:ascii="Cambria" w:eastAsia="Times New Roman" w:hAnsi="Cambria" w:cs="Times New Roman"/>
          <w:bCs/>
          <w:color w:val="222222"/>
          <w:lang w:eastAsia="en-AU"/>
        </w:rPr>
        <w:t xml:space="preserve"> be amended as follows (words to be deleted – </w:t>
      </w:r>
      <w:r w:rsidRPr="00D5015A">
        <w:rPr>
          <w:rFonts w:ascii="Cambria" w:eastAsia="Times New Roman" w:hAnsi="Cambria" w:cs="Times New Roman"/>
          <w:bCs/>
          <w:strike/>
          <w:color w:val="222222"/>
          <w:lang w:eastAsia="en-AU"/>
        </w:rPr>
        <w:t>strikethrough</w:t>
      </w:r>
      <w:r w:rsidRPr="00D5015A">
        <w:rPr>
          <w:rFonts w:ascii="Cambria" w:eastAsia="Times New Roman" w:hAnsi="Cambria" w:cs="Times New Roman"/>
          <w:bCs/>
          <w:color w:val="222222"/>
          <w:lang w:eastAsia="en-AU"/>
        </w:rPr>
        <w:t xml:space="preserve">;  words to be added – </w:t>
      </w:r>
      <w:r w:rsidRPr="00D5015A">
        <w:rPr>
          <w:rFonts w:ascii="Cambria" w:eastAsia="Times New Roman" w:hAnsi="Cambria" w:cs="Times New Roman"/>
          <w:b/>
          <w:bCs/>
          <w:color w:val="222222"/>
          <w:lang w:eastAsia="en-AU"/>
        </w:rPr>
        <w:t>bold</w:t>
      </w:r>
      <w:r w:rsidRPr="00D5015A">
        <w:rPr>
          <w:rFonts w:ascii="Cambria" w:eastAsia="Times New Roman" w:hAnsi="Cambria" w:cs="Times New Roman"/>
          <w:bCs/>
          <w:color w:val="222222"/>
          <w:lang w:eastAsia="en-AU"/>
        </w:rPr>
        <w:t>):</w:t>
      </w:r>
    </w:p>
    <w:p w14:paraId="73D268B7" w14:textId="77777777" w:rsidR="00075925" w:rsidRPr="00D5015A" w:rsidRDefault="00075925" w:rsidP="00075925">
      <w:pPr>
        <w:shd w:val="clear" w:color="auto" w:fill="FFFFFF"/>
        <w:spacing w:after="0" w:line="240" w:lineRule="auto"/>
        <w:rPr>
          <w:rFonts w:ascii="Cambria" w:eastAsia="Times New Roman" w:hAnsi="Cambria" w:cs="Times New Roman"/>
          <w:bCs/>
          <w:color w:val="222222"/>
          <w:lang w:eastAsia="en-AU"/>
        </w:rPr>
      </w:pPr>
    </w:p>
    <w:p w14:paraId="6A0822FF" w14:textId="77777777" w:rsidR="00075925" w:rsidRPr="00D5015A" w:rsidRDefault="00075925" w:rsidP="00075925">
      <w:pPr>
        <w:tabs>
          <w:tab w:val="left" w:pos="567"/>
          <w:tab w:val="left" w:pos="1418"/>
          <w:tab w:val="left" w:pos="2268"/>
          <w:tab w:val="left" w:pos="3119"/>
          <w:tab w:val="left" w:pos="3969"/>
        </w:tabs>
        <w:spacing w:after="0" w:line="240" w:lineRule="auto"/>
        <w:jc w:val="center"/>
        <w:rPr>
          <w:rFonts w:ascii="Cambria" w:eastAsia="Times New Roman" w:hAnsi="Cambria" w:cs="Times New Roman"/>
          <w:noProof/>
          <w:lang w:eastAsia="en-AU"/>
        </w:rPr>
      </w:pPr>
      <w:r w:rsidRPr="00D5015A">
        <w:rPr>
          <w:rFonts w:ascii="Cambria" w:eastAsia="Times New Roman" w:hAnsi="Cambria" w:cs="Times New Roman"/>
          <w:b/>
          <w:noProof/>
          <w:lang w:eastAsia="en-AU"/>
        </w:rPr>
        <w:t>LUTHERAN  CHURCH  OF  AUSTRALIA  STUDENT  FUND</w:t>
      </w:r>
    </w:p>
    <w:p w14:paraId="55338DD7" w14:textId="77777777" w:rsidR="00075925" w:rsidRPr="00D5015A" w:rsidRDefault="00075925" w:rsidP="00075925">
      <w:pPr>
        <w:tabs>
          <w:tab w:val="left" w:pos="567"/>
          <w:tab w:val="left" w:pos="1418"/>
          <w:tab w:val="left" w:pos="2268"/>
          <w:tab w:val="left" w:pos="3119"/>
          <w:tab w:val="left" w:pos="3969"/>
        </w:tabs>
        <w:spacing w:after="0" w:line="240" w:lineRule="exact"/>
        <w:jc w:val="center"/>
        <w:rPr>
          <w:rFonts w:ascii="Cambria" w:eastAsia="Times New Roman" w:hAnsi="Cambria" w:cs="Times New Roman"/>
          <w:noProof/>
          <w:lang w:eastAsia="en-AU"/>
        </w:rPr>
      </w:pPr>
      <w:r w:rsidRPr="00D5015A">
        <w:rPr>
          <w:rFonts w:ascii="Cambria" w:eastAsia="Times New Roman" w:hAnsi="Cambria" w:cs="Times New Roman"/>
          <w:noProof/>
          <w:lang w:eastAsia="en-AU"/>
        </w:rPr>
        <w:t>Adopted 1972, Amended 2009</w:t>
      </w:r>
    </w:p>
    <w:p w14:paraId="35D55EF4" w14:textId="77777777" w:rsidR="00075925" w:rsidRPr="00D5015A" w:rsidRDefault="00075925" w:rsidP="00075925">
      <w:pPr>
        <w:tabs>
          <w:tab w:val="left" w:pos="567"/>
          <w:tab w:val="left" w:pos="1418"/>
          <w:tab w:val="left" w:pos="2268"/>
          <w:tab w:val="left" w:pos="3119"/>
          <w:tab w:val="left" w:pos="3969"/>
        </w:tabs>
        <w:spacing w:after="0" w:line="240" w:lineRule="exact"/>
        <w:rPr>
          <w:rFonts w:ascii="Cambria" w:eastAsia="Times New Roman" w:hAnsi="Cambria" w:cs="Times New Roman"/>
          <w:noProof/>
          <w:sz w:val="10"/>
          <w:szCs w:val="10"/>
          <w:lang w:eastAsia="en-AU"/>
        </w:rPr>
      </w:pPr>
    </w:p>
    <w:p w14:paraId="55A8750E" w14:textId="22FEB012" w:rsidR="00075925" w:rsidRPr="00D5015A" w:rsidRDefault="00075925" w:rsidP="00075925">
      <w:pPr>
        <w:tabs>
          <w:tab w:val="left" w:pos="567"/>
          <w:tab w:val="left" w:pos="1418"/>
          <w:tab w:val="left" w:pos="2268"/>
          <w:tab w:val="left" w:pos="3119"/>
          <w:tab w:val="left" w:pos="3969"/>
        </w:tabs>
        <w:spacing w:after="0" w:line="240" w:lineRule="auto"/>
        <w:jc w:val="center"/>
        <w:rPr>
          <w:rFonts w:ascii="Cambria" w:eastAsia="Times New Roman" w:hAnsi="Cambria" w:cs="Arial"/>
          <w:b/>
          <w:noProof/>
          <w:lang w:eastAsia="en-AU"/>
        </w:rPr>
      </w:pPr>
      <w:r w:rsidRPr="00D5015A">
        <w:rPr>
          <w:rFonts w:ascii="Cambria" w:eastAsia="Times New Roman" w:hAnsi="Cambria" w:cs="Arial"/>
          <w:b/>
          <w:noProof/>
          <w:lang w:eastAsia="en-AU"/>
        </w:rPr>
        <w:t>1</w:t>
      </w:r>
      <w:r w:rsidR="0027799A" w:rsidRPr="00D5015A">
        <w:rPr>
          <w:rFonts w:ascii="Cambria" w:eastAsia="Times New Roman" w:hAnsi="Cambria" w:cs="Arial"/>
          <w:b/>
          <w:noProof/>
          <w:lang w:eastAsia="en-AU"/>
        </w:rPr>
        <w:t xml:space="preserve">. </w:t>
      </w:r>
      <w:r w:rsidRPr="00D5015A">
        <w:rPr>
          <w:rFonts w:ascii="Cambria" w:eastAsia="Times New Roman" w:hAnsi="Cambria" w:cs="Arial"/>
          <w:b/>
          <w:noProof/>
          <w:lang w:eastAsia="en-AU"/>
        </w:rPr>
        <w:t>NAME</w:t>
      </w:r>
    </w:p>
    <w:p w14:paraId="3A9F7FB0" w14:textId="77777777" w:rsidR="00075925" w:rsidRPr="00D5015A" w:rsidRDefault="00075925" w:rsidP="00075925">
      <w:pPr>
        <w:tabs>
          <w:tab w:val="left" w:pos="567"/>
          <w:tab w:val="left" w:pos="1418"/>
          <w:tab w:val="left" w:pos="2268"/>
          <w:tab w:val="left" w:pos="3119"/>
          <w:tab w:val="left" w:pos="3969"/>
        </w:tabs>
        <w:spacing w:after="0" w:line="240" w:lineRule="auto"/>
        <w:ind w:left="567" w:hanging="567"/>
        <w:rPr>
          <w:rFonts w:ascii="Cambria" w:eastAsia="Times New Roman" w:hAnsi="Cambria" w:cs="Arial"/>
          <w:b/>
          <w:noProof/>
          <w:lang w:eastAsia="en-AU"/>
        </w:rPr>
      </w:pPr>
      <w:r w:rsidRPr="00D5015A">
        <w:rPr>
          <w:rFonts w:ascii="Cambria" w:eastAsia="Times New Roman" w:hAnsi="Cambria" w:cs="Arial"/>
          <w:noProof/>
          <w:lang w:eastAsia="en-AU"/>
        </w:rPr>
        <w:t>1.1</w:t>
      </w:r>
      <w:r w:rsidRPr="00D5015A">
        <w:rPr>
          <w:rFonts w:ascii="Cambria" w:eastAsia="Times New Roman" w:hAnsi="Cambria" w:cs="Arial"/>
          <w:noProof/>
          <w:lang w:eastAsia="en-AU"/>
        </w:rPr>
        <w:tab/>
        <w:t>The name of the Fund shall be LUTHERAN  CHURCH  OF  AUSTRALIA  STUDENT  FUND, hereinafter referred to as “the Fund”.</w:t>
      </w:r>
    </w:p>
    <w:p w14:paraId="0B63290C" w14:textId="77777777" w:rsidR="00D5015A" w:rsidRPr="00786120" w:rsidRDefault="00D5015A" w:rsidP="00075925">
      <w:pPr>
        <w:tabs>
          <w:tab w:val="left" w:pos="567"/>
          <w:tab w:val="left" w:pos="1418"/>
          <w:tab w:val="left" w:pos="2268"/>
          <w:tab w:val="left" w:pos="3119"/>
          <w:tab w:val="left" w:pos="3969"/>
        </w:tabs>
        <w:spacing w:after="0" w:line="240" w:lineRule="auto"/>
        <w:rPr>
          <w:rFonts w:ascii="Cambria" w:eastAsia="Times New Roman" w:hAnsi="Cambria" w:cs="Arial"/>
          <w:noProof/>
          <w:sz w:val="10"/>
          <w:szCs w:val="10"/>
          <w:lang w:eastAsia="en-AU"/>
        </w:rPr>
      </w:pPr>
    </w:p>
    <w:p w14:paraId="559E7BCA" w14:textId="0C91B388" w:rsidR="00075925" w:rsidRPr="00D5015A" w:rsidRDefault="00075925" w:rsidP="00075925">
      <w:pPr>
        <w:tabs>
          <w:tab w:val="left" w:pos="567"/>
          <w:tab w:val="left" w:pos="1418"/>
          <w:tab w:val="left" w:pos="2268"/>
          <w:tab w:val="left" w:pos="3119"/>
          <w:tab w:val="left" w:pos="3969"/>
        </w:tabs>
        <w:spacing w:after="0" w:line="240" w:lineRule="auto"/>
        <w:jc w:val="center"/>
        <w:rPr>
          <w:rFonts w:ascii="Cambria" w:eastAsia="Times New Roman" w:hAnsi="Cambria" w:cs="Arial"/>
          <w:noProof/>
          <w:lang w:eastAsia="en-AU"/>
        </w:rPr>
      </w:pPr>
      <w:r w:rsidRPr="00D5015A">
        <w:rPr>
          <w:rFonts w:ascii="Cambria" w:eastAsia="Times New Roman" w:hAnsi="Cambria" w:cs="Arial"/>
          <w:b/>
          <w:noProof/>
          <w:lang w:eastAsia="en-AU"/>
        </w:rPr>
        <w:t>2</w:t>
      </w:r>
      <w:r w:rsidR="0027799A" w:rsidRPr="00D5015A">
        <w:rPr>
          <w:rFonts w:ascii="Cambria" w:eastAsia="Times New Roman" w:hAnsi="Cambria" w:cs="Arial"/>
          <w:b/>
          <w:noProof/>
          <w:lang w:eastAsia="en-AU"/>
        </w:rPr>
        <w:t xml:space="preserve">. </w:t>
      </w:r>
      <w:r w:rsidRPr="00D5015A">
        <w:rPr>
          <w:rFonts w:ascii="Cambria" w:eastAsia="Times New Roman" w:hAnsi="Cambria" w:cs="Arial"/>
          <w:b/>
          <w:noProof/>
          <w:lang w:eastAsia="en-AU"/>
        </w:rPr>
        <w:t>OBJECT</w:t>
      </w:r>
    </w:p>
    <w:p w14:paraId="3BFFD710" w14:textId="77777777" w:rsidR="00075925" w:rsidRPr="00D5015A" w:rsidRDefault="00075925" w:rsidP="00075925">
      <w:pPr>
        <w:tabs>
          <w:tab w:val="left" w:pos="567"/>
          <w:tab w:val="left" w:pos="1418"/>
          <w:tab w:val="left" w:pos="2268"/>
          <w:tab w:val="left" w:pos="3119"/>
          <w:tab w:val="left" w:pos="3969"/>
        </w:tabs>
        <w:spacing w:after="0" w:line="240" w:lineRule="auto"/>
        <w:ind w:left="567" w:hanging="567"/>
        <w:rPr>
          <w:rFonts w:ascii="Cambria" w:eastAsia="Times New Roman" w:hAnsi="Cambria" w:cs="Arial"/>
          <w:noProof/>
          <w:lang w:eastAsia="en-AU"/>
        </w:rPr>
      </w:pPr>
      <w:r w:rsidRPr="00D5015A">
        <w:rPr>
          <w:rFonts w:ascii="Cambria" w:eastAsia="Times New Roman" w:hAnsi="Cambria" w:cs="Arial"/>
          <w:noProof/>
          <w:lang w:eastAsia="en-AU"/>
        </w:rPr>
        <w:t>2.1</w:t>
      </w:r>
      <w:r w:rsidRPr="00D5015A">
        <w:rPr>
          <w:rFonts w:ascii="Cambria" w:eastAsia="Times New Roman" w:hAnsi="Cambria" w:cs="Arial"/>
          <w:noProof/>
          <w:lang w:eastAsia="en-AU"/>
        </w:rPr>
        <w:tab/>
        <w:t>The object of the Fund is to assist students who propose to train or are training at Australian Lutheran College (ALC) for service in the Church, to an extent that they are not prevented from entering into such service through their own inability to meet in full the cost of the training involved, or through their inability to secure assistance from other quarters.</w:t>
      </w:r>
    </w:p>
    <w:p w14:paraId="60EA631E" w14:textId="77777777" w:rsidR="00075925" w:rsidRPr="00786120" w:rsidRDefault="00075925" w:rsidP="00075925">
      <w:pPr>
        <w:tabs>
          <w:tab w:val="left" w:pos="567"/>
          <w:tab w:val="left" w:pos="1418"/>
          <w:tab w:val="left" w:pos="2268"/>
          <w:tab w:val="left" w:pos="3119"/>
          <w:tab w:val="left" w:pos="3969"/>
        </w:tabs>
        <w:spacing w:after="0" w:line="240" w:lineRule="auto"/>
        <w:rPr>
          <w:rFonts w:ascii="Cambria" w:eastAsia="Times New Roman" w:hAnsi="Cambria" w:cs="Arial"/>
          <w:noProof/>
          <w:sz w:val="10"/>
          <w:szCs w:val="10"/>
          <w:lang w:eastAsia="en-AU"/>
        </w:rPr>
      </w:pPr>
    </w:p>
    <w:p w14:paraId="1AE95BBB" w14:textId="5BFF5B8A" w:rsidR="00075925" w:rsidRPr="00D5015A" w:rsidRDefault="00075925" w:rsidP="00075925">
      <w:pPr>
        <w:tabs>
          <w:tab w:val="left" w:pos="567"/>
          <w:tab w:val="left" w:pos="1418"/>
          <w:tab w:val="left" w:pos="2268"/>
          <w:tab w:val="left" w:pos="3119"/>
          <w:tab w:val="left" w:pos="3969"/>
        </w:tabs>
        <w:spacing w:after="0" w:line="240" w:lineRule="auto"/>
        <w:ind w:left="720" w:hanging="720"/>
        <w:jc w:val="center"/>
        <w:rPr>
          <w:rFonts w:ascii="Cambria" w:eastAsia="Times New Roman" w:hAnsi="Cambria" w:cs="Arial"/>
          <w:noProof/>
          <w:lang w:eastAsia="en-AU"/>
        </w:rPr>
      </w:pPr>
      <w:r w:rsidRPr="00D5015A">
        <w:rPr>
          <w:rFonts w:ascii="Cambria" w:eastAsia="Times New Roman" w:hAnsi="Cambria" w:cs="Arial"/>
          <w:b/>
          <w:noProof/>
          <w:lang w:eastAsia="en-AU"/>
        </w:rPr>
        <w:t>3</w:t>
      </w:r>
      <w:r w:rsidR="0027799A" w:rsidRPr="00D5015A">
        <w:rPr>
          <w:rFonts w:ascii="Cambria" w:eastAsia="Times New Roman" w:hAnsi="Cambria" w:cs="Arial"/>
          <w:b/>
          <w:noProof/>
          <w:lang w:eastAsia="en-AU"/>
        </w:rPr>
        <w:t xml:space="preserve">. </w:t>
      </w:r>
      <w:r w:rsidRPr="00D5015A">
        <w:rPr>
          <w:rFonts w:ascii="Cambria" w:eastAsia="Times New Roman" w:hAnsi="Cambria" w:cs="Arial"/>
          <w:b/>
          <w:noProof/>
          <w:lang w:eastAsia="en-AU"/>
        </w:rPr>
        <w:t>FINANCES</w:t>
      </w:r>
    </w:p>
    <w:p w14:paraId="0570C2A5" w14:textId="77777777" w:rsidR="00075925" w:rsidRPr="00D5015A" w:rsidRDefault="00075925" w:rsidP="00075925">
      <w:pPr>
        <w:tabs>
          <w:tab w:val="left" w:pos="567"/>
          <w:tab w:val="left" w:pos="1418"/>
          <w:tab w:val="left" w:pos="2268"/>
          <w:tab w:val="left" w:pos="3119"/>
          <w:tab w:val="left" w:pos="3969"/>
        </w:tabs>
        <w:spacing w:after="0" w:line="240" w:lineRule="auto"/>
        <w:ind w:left="720" w:hanging="720"/>
        <w:rPr>
          <w:rFonts w:ascii="Cambria" w:eastAsia="Times New Roman" w:hAnsi="Cambria" w:cs="Arial"/>
          <w:noProof/>
          <w:lang w:eastAsia="en-AU"/>
        </w:rPr>
      </w:pPr>
      <w:r w:rsidRPr="00D5015A">
        <w:rPr>
          <w:rFonts w:ascii="Cambria" w:eastAsia="Times New Roman" w:hAnsi="Cambria" w:cs="Arial"/>
          <w:noProof/>
          <w:lang w:eastAsia="en-AU"/>
        </w:rPr>
        <w:t>3.1</w:t>
      </w:r>
      <w:r w:rsidRPr="00D5015A">
        <w:rPr>
          <w:rFonts w:ascii="Cambria" w:eastAsia="Times New Roman" w:hAnsi="Cambria" w:cs="Arial"/>
          <w:noProof/>
          <w:lang w:eastAsia="en-AU"/>
        </w:rPr>
        <w:tab/>
        <w:t>The Fund shall derive its income from</w:t>
      </w:r>
    </w:p>
    <w:p w14:paraId="51E7DFC6" w14:textId="77777777" w:rsidR="00075925" w:rsidRPr="00D5015A" w:rsidRDefault="00075925" w:rsidP="00075925">
      <w:pPr>
        <w:tabs>
          <w:tab w:val="left" w:pos="567"/>
          <w:tab w:val="left" w:pos="1418"/>
          <w:tab w:val="left" w:pos="2268"/>
          <w:tab w:val="left" w:pos="3119"/>
          <w:tab w:val="left" w:pos="3969"/>
        </w:tabs>
        <w:spacing w:after="0" w:line="240" w:lineRule="auto"/>
        <w:ind w:left="1418" w:hanging="1418"/>
        <w:rPr>
          <w:rFonts w:ascii="Cambria" w:eastAsia="Times New Roman" w:hAnsi="Cambria" w:cs="Arial"/>
          <w:noProof/>
          <w:lang w:eastAsia="en-AU"/>
        </w:rPr>
      </w:pPr>
      <w:r w:rsidRPr="00D5015A">
        <w:rPr>
          <w:rFonts w:ascii="Cambria" w:eastAsia="Times New Roman" w:hAnsi="Cambria" w:cs="Arial"/>
          <w:noProof/>
          <w:lang w:eastAsia="en-AU"/>
        </w:rPr>
        <w:tab/>
        <w:t>3.1.1</w:t>
      </w:r>
      <w:r w:rsidRPr="00D5015A">
        <w:rPr>
          <w:rFonts w:ascii="Cambria" w:eastAsia="Times New Roman" w:hAnsi="Cambria" w:cs="Arial"/>
          <w:noProof/>
          <w:lang w:eastAsia="en-AU"/>
        </w:rPr>
        <w:tab/>
        <w:t>interest and income from the existing Fund;</w:t>
      </w:r>
    </w:p>
    <w:p w14:paraId="478092BC" w14:textId="77777777" w:rsidR="00075925" w:rsidRPr="00D5015A" w:rsidRDefault="00075925" w:rsidP="00075925">
      <w:pPr>
        <w:tabs>
          <w:tab w:val="left" w:pos="567"/>
          <w:tab w:val="left" w:pos="1418"/>
          <w:tab w:val="left" w:pos="2268"/>
          <w:tab w:val="left" w:pos="3119"/>
          <w:tab w:val="left" w:pos="3969"/>
        </w:tabs>
        <w:spacing w:after="0" w:line="240" w:lineRule="auto"/>
        <w:ind w:left="1418" w:hanging="1418"/>
        <w:rPr>
          <w:rFonts w:ascii="Cambria" w:eastAsia="Times New Roman" w:hAnsi="Cambria" w:cs="Arial"/>
          <w:noProof/>
          <w:lang w:eastAsia="en-AU"/>
        </w:rPr>
      </w:pPr>
      <w:r w:rsidRPr="00D5015A">
        <w:rPr>
          <w:rFonts w:ascii="Cambria" w:eastAsia="Times New Roman" w:hAnsi="Cambria" w:cs="Arial"/>
          <w:noProof/>
          <w:lang w:eastAsia="en-AU"/>
        </w:rPr>
        <w:tab/>
        <w:t>3.1.2</w:t>
      </w:r>
      <w:r w:rsidRPr="00D5015A">
        <w:rPr>
          <w:rFonts w:ascii="Cambria" w:eastAsia="Times New Roman" w:hAnsi="Cambria" w:cs="Arial"/>
          <w:noProof/>
          <w:lang w:eastAsia="en-AU"/>
        </w:rPr>
        <w:tab/>
        <w:t>sponsorships provided by individuals, congregations, or organisations;  and</w:t>
      </w:r>
    </w:p>
    <w:p w14:paraId="2A8A0E0A" w14:textId="77777777" w:rsidR="00075925" w:rsidRPr="00D5015A" w:rsidRDefault="00075925" w:rsidP="00075925">
      <w:pPr>
        <w:tabs>
          <w:tab w:val="left" w:pos="567"/>
          <w:tab w:val="left" w:pos="1418"/>
          <w:tab w:val="left" w:pos="2268"/>
          <w:tab w:val="left" w:pos="3119"/>
          <w:tab w:val="left" w:pos="3969"/>
        </w:tabs>
        <w:spacing w:after="0" w:line="240" w:lineRule="auto"/>
        <w:ind w:left="1418" w:hanging="1418"/>
        <w:rPr>
          <w:rFonts w:ascii="Cambria" w:eastAsia="Times New Roman" w:hAnsi="Cambria" w:cs="Arial"/>
          <w:noProof/>
          <w:lang w:eastAsia="en-AU"/>
        </w:rPr>
      </w:pPr>
      <w:r w:rsidRPr="00D5015A">
        <w:rPr>
          <w:rFonts w:ascii="Cambria" w:eastAsia="Times New Roman" w:hAnsi="Cambria" w:cs="Arial"/>
          <w:noProof/>
          <w:lang w:eastAsia="en-AU"/>
        </w:rPr>
        <w:tab/>
        <w:t>3.1.3</w:t>
      </w:r>
      <w:r w:rsidRPr="00D5015A">
        <w:rPr>
          <w:rFonts w:ascii="Cambria" w:eastAsia="Times New Roman" w:hAnsi="Cambria" w:cs="Arial"/>
          <w:noProof/>
          <w:lang w:eastAsia="en-AU"/>
        </w:rPr>
        <w:tab/>
        <w:t>donations, devises, and bequests from members of the Church and other approved sources.</w:t>
      </w:r>
    </w:p>
    <w:p w14:paraId="0D496403" w14:textId="77777777" w:rsidR="00075925" w:rsidRPr="00786120" w:rsidRDefault="00075925" w:rsidP="00075925">
      <w:pPr>
        <w:tabs>
          <w:tab w:val="left" w:pos="567"/>
          <w:tab w:val="left" w:pos="1418"/>
          <w:tab w:val="left" w:pos="2268"/>
          <w:tab w:val="left" w:pos="3119"/>
          <w:tab w:val="left" w:pos="3969"/>
        </w:tabs>
        <w:spacing w:after="0" w:line="240" w:lineRule="auto"/>
        <w:rPr>
          <w:rFonts w:ascii="Cambria" w:eastAsia="Times New Roman" w:hAnsi="Cambria" w:cs="Arial"/>
          <w:noProof/>
          <w:sz w:val="10"/>
          <w:szCs w:val="10"/>
          <w:lang w:eastAsia="en-AU"/>
        </w:rPr>
      </w:pPr>
    </w:p>
    <w:p w14:paraId="538E7A6A" w14:textId="18D52C16" w:rsidR="00075925" w:rsidRPr="00D5015A" w:rsidRDefault="00075925" w:rsidP="00075925">
      <w:pPr>
        <w:tabs>
          <w:tab w:val="left" w:pos="567"/>
          <w:tab w:val="left" w:pos="1418"/>
          <w:tab w:val="left" w:pos="2268"/>
          <w:tab w:val="left" w:pos="3119"/>
          <w:tab w:val="left" w:pos="3969"/>
        </w:tabs>
        <w:spacing w:after="0" w:line="240" w:lineRule="auto"/>
        <w:ind w:left="720" w:hanging="720"/>
        <w:jc w:val="center"/>
        <w:rPr>
          <w:rFonts w:ascii="Cambria" w:eastAsia="Times New Roman" w:hAnsi="Cambria" w:cs="Arial"/>
          <w:noProof/>
          <w:lang w:eastAsia="en-AU"/>
        </w:rPr>
      </w:pPr>
      <w:r w:rsidRPr="00D5015A">
        <w:rPr>
          <w:rFonts w:ascii="Cambria" w:eastAsia="Times New Roman" w:hAnsi="Cambria" w:cs="Arial"/>
          <w:b/>
          <w:noProof/>
          <w:lang w:eastAsia="en-AU"/>
        </w:rPr>
        <w:t>4</w:t>
      </w:r>
      <w:r w:rsidR="0027799A" w:rsidRPr="00D5015A">
        <w:rPr>
          <w:rFonts w:ascii="Cambria" w:eastAsia="Times New Roman" w:hAnsi="Cambria" w:cs="Arial"/>
          <w:b/>
          <w:noProof/>
          <w:lang w:eastAsia="en-AU"/>
        </w:rPr>
        <w:t xml:space="preserve">. </w:t>
      </w:r>
      <w:r w:rsidRPr="00D5015A">
        <w:rPr>
          <w:rFonts w:ascii="Cambria" w:eastAsia="Times New Roman" w:hAnsi="Cambria" w:cs="Arial"/>
          <w:b/>
          <w:noProof/>
          <w:lang w:eastAsia="en-AU"/>
        </w:rPr>
        <w:t>GENERAL  ADMINISTRATION</w:t>
      </w:r>
    </w:p>
    <w:p w14:paraId="1BFB1E9C" w14:textId="069825C4" w:rsidR="00075925" w:rsidRPr="00D5015A" w:rsidRDefault="00075925" w:rsidP="00075925">
      <w:pPr>
        <w:tabs>
          <w:tab w:val="left" w:pos="567"/>
          <w:tab w:val="left" w:pos="1418"/>
          <w:tab w:val="left" w:pos="2268"/>
          <w:tab w:val="left" w:pos="3119"/>
          <w:tab w:val="left" w:pos="3969"/>
        </w:tabs>
        <w:spacing w:after="0" w:line="240" w:lineRule="auto"/>
        <w:ind w:left="1418" w:hanging="1418"/>
        <w:rPr>
          <w:rFonts w:ascii="Cambria" w:eastAsia="Times New Roman" w:hAnsi="Cambria" w:cs="Arial"/>
          <w:noProof/>
          <w:lang w:eastAsia="en-AU"/>
        </w:rPr>
      </w:pPr>
      <w:r w:rsidRPr="00D5015A">
        <w:rPr>
          <w:rFonts w:ascii="Cambria" w:eastAsia="Times New Roman" w:hAnsi="Cambria" w:cs="Arial"/>
          <w:noProof/>
          <w:lang w:eastAsia="en-AU"/>
        </w:rPr>
        <w:t>4.1</w:t>
      </w:r>
      <w:r w:rsidRPr="00D5015A">
        <w:rPr>
          <w:rFonts w:ascii="Cambria" w:eastAsia="Times New Roman" w:hAnsi="Cambria" w:cs="Arial"/>
          <w:noProof/>
          <w:lang w:eastAsia="en-AU"/>
        </w:rPr>
        <w:tab/>
        <w:t>4.1.1</w:t>
      </w:r>
      <w:r w:rsidRPr="00D5015A">
        <w:rPr>
          <w:rFonts w:ascii="Cambria" w:eastAsia="Times New Roman" w:hAnsi="Cambria" w:cs="Arial"/>
          <w:noProof/>
          <w:lang w:eastAsia="en-AU"/>
        </w:rPr>
        <w:tab/>
        <w:t xml:space="preserve">The Fund shall be administered by a </w:t>
      </w:r>
      <w:r w:rsidRPr="00D5015A">
        <w:rPr>
          <w:rFonts w:ascii="Cambria" w:eastAsia="Times New Roman" w:hAnsi="Cambria" w:cs="Arial"/>
          <w:noProof/>
          <w:color w:val="000000"/>
          <w:lang w:eastAsia="en-AU"/>
        </w:rPr>
        <w:t xml:space="preserve">Student Fund Committee appointed by the </w:t>
      </w:r>
      <w:smartTag w:uri="urn:schemas-microsoft-com:office:smarttags" w:element="stockticker">
        <w:r w:rsidRPr="00D5015A">
          <w:rPr>
            <w:rFonts w:ascii="Cambria" w:eastAsia="Times New Roman" w:hAnsi="Cambria" w:cs="Arial"/>
            <w:noProof/>
            <w:color w:val="000000"/>
            <w:lang w:eastAsia="en-AU"/>
          </w:rPr>
          <w:t>ALC</w:t>
        </w:r>
      </w:smartTag>
      <w:r w:rsidRPr="00D5015A">
        <w:rPr>
          <w:rFonts w:ascii="Cambria" w:eastAsia="Times New Roman" w:hAnsi="Cambria" w:cs="Arial"/>
          <w:noProof/>
          <w:color w:val="000000"/>
          <w:lang w:eastAsia="en-AU"/>
        </w:rPr>
        <w:t xml:space="preserve"> Board of Directors</w:t>
      </w:r>
      <w:r w:rsidR="0027799A" w:rsidRPr="00D5015A">
        <w:rPr>
          <w:rFonts w:ascii="Cambria" w:eastAsia="Times New Roman" w:hAnsi="Cambria" w:cs="Arial"/>
          <w:noProof/>
          <w:lang w:eastAsia="en-AU"/>
        </w:rPr>
        <w:t xml:space="preserve">. </w:t>
      </w:r>
    </w:p>
    <w:p w14:paraId="0BD201F2" w14:textId="55966839" w:rsidR="00075925" w:rsidRPr="00D5015A" w:rsidRDefault="00075925" w:rsidP="00075925">
      <w:pPr>
        <w:tabs>
          <w:tab w:val="left" w:pos="567"/>
          <w:tab w:val="left" w:pos="1418"/>
          <w:tab w:val="left" w:pos="2268"/>
          <w:tab w:val="left" w:pos="3119"/>
          <w:tab w:val="left" w:pos="3969"/>
        </w:tabs>
        <w:spacing w:after="0" w:line="240" w:lineRule="auto"/>
        <w:ind w:left="1418" w:hanging="1418"/>
        <w:rPr>
          <w:rFonts w:ascii="Cambria" w:eastAsia="Times New Roman" w:hAnsi="Cambria" w:cs="Arial"/>
          <w:noProof/>
          <w:color w:val="000000"/>
          <w:lang w:eastAsia="en-AU"/>
        </w:rPr>
      </w:pPr>
      <w:r w:rsidRPr="00D5015A">
        <w:rPr>
          <w:rFonts w:ascii="Cambria" w:eastAsia="Times New Roman" w:hAnsi="Cambria" w:cs="Arial"/>
          <w:noProof/>
          <w:lang w:eastAsia="en-AU"/>
        </w:rPr>
        <w:tab/>
        <w:t>4.1.2</w:t>
      </w:r>
      <w:r w:rsidRPr="00D5015A">
        <w:rPr>
          <w:rFonts w:ascii="Cambria" w:eastAsia="Times New Roman" w:hAnsi="Cambria" w:cs="Arial"/>
          <w:noProof/>
          <w:lang w:eastAsia="en-AU"/>
        </w:rPr>
        <w:tab/>
        <w:t xml:space="preserve">In the exercise of any discretionary power granted to it by these rules, the Student Fund Committee may seek the guidance of the </w:t>
      </w:r>
      <w:r w:rsidRPr="00D5015A">
        <w:rPr>
          <w:rFonts w:ascii="Cambria" w:eastAsia="Times New Roman" w:hAnsi="Cambria" w:cs="Arial"/>
          <w:noProof/>
          <w:color w:val="000000"/>
          <w:lang w:eastAsia="en-AU"/>
        </w:rPr>
        <w:t>Board</w:t>
      </w:r>
      <w:r w:rsidR="0027799A" w:rsidRPr="00D5015A">
        <w:rPr>
          <w:rFonts w:ascii="Cambria" w:eastAsia="Times New Roman" w:hAnsi="Cambria" w:cs="Arial"/>
          <w:noProof/>
          <w:color w:val="000000"/>
          <w:lang w:eastAsia="en-AU"/>
        </w:rPr>
        <w:t xml:space="preserve">. </w:t>
      </w:r>
    </w:p>
    <w:p w14:paraId="12A14808" w14:textId="77777777" w:rsidR="00075925" w:rsidRPr="00D5015A" w:rsidRDefault="00075925" w:rsidP="00075925">
      <w:pPr>
        <w:tabs>
          <w:tab w:val="left" w:pos="567"/>
          <w:tab w:val="left" w:pos="1418"/>
          <w:tab w:val="left" w:pos="2268"/>
          <w:tab w:val="left" w:pos="3119"/>
          <w:tab w:val="left" w:pos="3969"/>
        </w:tabs>
        <w:spacing w:after="0" w:line="240" w:lineRule="auto"/>
        <w:ind w:left="1418" w:hanging="1418"/>
        <w:rPr>
          <w:rFonts w:ascii="Cambria" w:eastAsia="Times New Roman" w:hAnsi="Cambria" w:cs="Arial"/>
          <w:noProof/>
          <w:lang w:eastAsia="en-AU"/>
        </w:rPr>
      </w:pPr>
      <w:r w:rsidRPr="00D5015A">
        <w:rPr>
          <w:rFonts w:ascii="Cambria" w:eastAsia="Times New Roman" w:hAnsi="Cambria" w:cs="Arial"/>
          <w:noProof/>
          <w:color w:val="000000"/>
          <w:lang w:eastAsia="en-AU"/>
        </w:rPr>
        <w:tab/>
        <w:t>4.1.3</w:t>
      </w:r>
      <w:r w:rsidRPr="00D5015A">
        <w:rPr>
          <w:rFonts w:ascii="Cambria" w:eastAsia="Times New Roman" w:hAnsi="Cambria" w:cs="Arial"/>
          <w:noProof/>
          <w:color w:val="000000"/>
          <w:lang w:eastAsia="en-AU"/>
        </w:rPr>
        <w:tab/>
        <w:t xml:space="preserve">The Student Fund Committee shall report annually to the General Church Council through the </w:t>
      </w:r>
      <w:smartTag w:uri="urn:schemas-microsoft-com:office:smarttags" w:element="stockticker">
        <w:r w:rsidRPr="00D5015A">
          <w:rPr>
            <w:rFonts w:ascii="Cambria" w:eastAsia="Times New Roman" w:hAnsi="Cambria" w:cs="Arial"/>
            <w:noProof/>
            <w:color w:val="000000"/>
            <w:lang w:eastAsia="en-AU"/>
          </w:rPr>
          <w:t>ALC</w:t>
        </w:r>
      </w:smartTag>
      <w:r w:rsidRPr="00D5015A">
        <w:rPr>
          <w:rFonts w:ascii="Cambria" w:eastAsia="Times New Roman" w:hAnsi="Cambria" w:cs="Arial"/>
          <w:noProof/>
          <w:color w:val="000000"/>
          <w:lang w:eastAsia="en-AU"/>
        </w:rPr>
        <w:t xml:space="preserve"> Board</w:t>
      </w:r>
      <w:r w:rsidRPr="00D5015A">
        <w:rPr>
          <w:rFonts w:ascii="Cambria" w:eastAsia="Times New Roman" w:hAnsi="Cambria" w:cs="Arial"/>
          <w:noProof/>
          <w:lang w:eastAsia="en-AU"/>
        </w:rPr>
        <w:t xml:space="preserve">. </w:t>
      </w:r>
    </w:p>
    <w:p w14:paraId="50550757" w14:textId="77777777" w:rsidR="00075925" w:rsidRPr="00786120" w:rsidRDefault="00075925" w:rsidP="00075925">
      <w:pPr>
        <w:tabs>
          <w:tab w:val="left" w:pos="567"/>
          <w:tab w:val="left" w:pos="1418"/>
          <w:tab w:val="left" w:pos="2268"/>
          <w:tab w:val="left" w:pos="3119"/>
          <w:tab w:val="left" w:pos="3969"/>
        </w:tabs>
        <w:spacing w:after="0" w:line="240" w:lineRule="auto"/>
        <w:rPr>
          <w:rFonts w:ascii="Cambria" w:eastAsia="Times New Roman" w:hAnsi="Cambria" w:cs="Arial"/>
          <w:noProof/>
          <w:sz w:val="10"/>
          <w:szCs w:val="10"/>
          <w:lang w:eastAsia="en-AU"/>
        </w:rPr>
      </w:pPr>
    </w:p>
    <w:p w14:paraId="6907636E" w14:textId="786A5CD1" w:rsidR="00075925" w:rsidRPr="00D5015A" w:rsidRDefault="00075925" w:rsidP="00075925">
      <w:pPr>
        <w:tabs>
          <w:tab w:val="left" w:pos="567"/>
          <w:tab w:val="left" w:pos="1418"/>
          <w:tab w:val="left" w:pos="2268"/>
          <w:tab w:val="left" w:pos="3119"/>
          <w:tab w:val="left" w:pos="3969"/>
        </w:tabs>
        <w:spacing w:after="0" w:line="240" w:lineRule="auto"/>
        <w:ind w:left="720" w:hanging="720"/>
        <w:jc w:val="center"/>
        <w:rPr>
          <w:rFonts w:ascii="Cambria" w:eastAsia="Times New Roman" w:hAnsi="Cambria" w:cs="Arial"/>
          <w:b/>
          <w:noProof/>
          <w:lang w:eastAsia="en-AU"/>
        </w:rPr>
      </w:pPr>
      <w:r w:rsidRPr="00D5015A">
        <w:rPr>
          <w:rFonts w:ascii="Cambria" w:eastAsia="Times New Roman" w:hAnsi="Cambria" w:cs="Arial"/>
          <w:b/>
          <w:noProof/>
          <w:lang w:eastAsia="en-AU"/>
        </w:rPr>
        <w:t>5</w:t>
      </w:r>
      <w:r w:rsidR="0027799A" w:rsidRPr="00D5015A">
        <w:rPr>
          <w:rFonts w:ascii="Cambria" w:eastAsia="Times New Roman" w:hAnsi="Cambria" w:cs="Arial"/>
          <w:b/>
          <w:noProof/>
          <w:lang w:eastAsia="en-AU"/>
        </w:rPr>
        <w:t xml:space="preserve">. </w:t>
      </w:r>
      <w:r w:rsidRPr="00D5015A">
        <w:rPr>
          <w:rFonts w:ascii="Cambria" w:eastAsia="Times New Roman" w:hAnsi="Cambria" w:cs="Arial"/>
          <w:b/>
          <w:noProof/>
          <w:lang w:eastAsia="en-AU"/>
        </w:rPr>
        <w:t>ACCOUNTING  AND  SERVICING</w:t>
      </w:r>
    </w:p>
    <w:p w14:paraId="5B7E5018" w14:textId="77777777" w:rsidR="00075925" w:rsidRPr="00D5015A" w:rsidRDefault="00075925" w:rsidP="00075925">
      <w:pPr>
        <w:tabs>
          <w:tab w:val="left" w:pos="567"/>
          <w:tab w:val="left" w:pos="1418"/>
          <w:tab w:val="left" w:pos="2268"/>
          <w:tab w:val="left" w:pos="3119"/>
          <w:tab w:val="left" w:pos="3969"/>
        </w:tabs>
        <w:spacing w:after="0" w:line="240" w:lineRule="auto"/>
        <w:ind w:left="1418" w:hanging="1418"/>
        <w:rPr>
          <w:rFonts w:ascii="Cambria" w:eastAsia="Times New Roman" w:hAnsi="Cambria" w:cs="Arial"/>
          <w:noProof/>
          <w:lang w:eastAsia="en-AU"/>
        </w:rPr>
      </w:pPr>
      <w:r w:rsidRPr="00D5015A">
        <w:rPr>
          <w:rFonts w:ascii="Cambria" w:eastAsia="Times New Roman" w:hAnsi="Cambria" w:cs="Arial"/>
          <w:noProof/>
          <w:lang w:eastAsia="en-AU"/>
        </w:rPr>
        <w:t>5.1</w:t>
      </w:r>
      <w:r w:rsidRPr="00D5015A">
        <w:rPr>
          <w:rFonts w:ascii="Cambria" w:eastAsia="Times New Roman" w:hAnsi="Cambria" w:cs="Arial"/>
          <w:noProof/>
          <w:lang w:eastAsia="en-AU"/>
        </w:rPr>
        <w:tab/>
        <w:t>5.1.1</w:t>
      </w:r>
      <w:r w:rsidRPr="00D5015A">
        <w:rPr>
          <w:rFonts w:ascii="Cambria" w:eastAsia="Times New Roman" w:hAnsi="Cambria" w:cs="Arial"/>
          <w:noProof/>
          <w:lang w:eastAsia="en-AU"/>
        </w:rPr>
        <w:tab/>
        <w:t xml:space="preserve">The accounting and servicing of the Fund shall be undertaken by the </w:t>
      </w:r>
      <w:smartTag w:uri="urn:schemas-microsoft-com:office:smarttags" w:element="stockticker">
        <w:r w:rsidRPr="00D5015A">
          <w:rPr>
            <w:rFonts w:ascii="Cambria" w:eastAsia="Times New Roman" w:hAnsi="Cambria" w:cs="Arial"/>
            <w:noProof/>
            <w:lang w:eastAsia="en-AU"/>
          </w:rPr>
          <w:t>ALC</w:t>
        </w:r>
      </w:smartTag>
      <w:r w:rsidRPr="00D5015A">
        <w:rPr>
          <w:rFonts w:ascii="Cambria" w:eastAsia="Times New Roman" w:hAnsi="Cambria" w:cs="Arial"/>
          <w:noProof/>
          <w:lang w:eastAsia="en-AU"/>
        </w:rPr>
        <w:t xml:space="preserve"> Business Office according to the instructions of the Student Fund Committee.</w:t>
      </w:r>
    </w:p>
    <w:p w14:paraId="17D3A075" w14:textId="77777777" w:rsidR="00075925" w:rsidRPr="00D5015A" w:rsidRDefault="00075925" w:rsidP="00075925">
      <w:pPr>
        <w:tabs>
          <w:tab w:val="left" w:pos="567"/>
          <w:tab w:val="left" w:pos="1418"/>
          <w:tab w:val="left" w:pos="2268"/>
          <w:tab w:val="left" w:pos="3119"/>
          <w:tab w:val="left" w:pos="3969"/>
        </w:tabs>
        <w:spacing w:after="0" w:line="240" w:lineRule="auto"/>
        <w:ind w:left="1418" w:hanging="1418"/>
        <w:rPr>
          <w:rFonts w:ascii="Cambria" w:eastAsia="Times New Roman" w:hAnsi="Cambria" w:cs="Arial"/>
          <w:noProof/>
          <w:lang w:eastAsia="en-AU"/>
        </w:rPr>
      </w:pPr>
      <w:r w:rsidRPr="00D5015A">
        <w:rPr>
          <w:rFonts w:ascii="Cambria" w:eastAsia="Times New Roman" w:hAnsi="Cambria" w:cs="Arial"/>
          <w:noProof/>
          <w:lang w:eastAsia="en-AU"/>
        </w:rPr>
        <w:tab/>
        <w:t>5.1.2</w:t>
      </w:r>
      <w:r w:rsidRPr="00D5015A">
        <w:rPr>
          <w:rFonts w:ascii="Cambria" w:eastAsia="Times New Roman" w:hAnsi="Cambria" w:cs="Arial"/>
          <w:noProof/>
          <w:lang w:eastAsia="en-AU"/>
        </w:rPr>
        <w:tab/>
        <w:t>Financial statements shall be produced and audited annually for submission to the General Church Council and subsequently to General Convention.</w:t>
      </w:r>
    </w:p>
    <w:p w14:paraId="2CBF6606" w14:textId="77777777" w:rsidR="00075925" w:rsidRPr="00786120" w:rsidRDefault="00075925" w:rsidP="00075925">
      <w:pPr>
        <w:tabs>
          <w:tab w:val="left" w:pos="567"/>
          <w:tab w:val="left" w:pos="1418"/>
          <w:tab w:val="left" w:pos="2268"/>
          <w:tab w:val="left" w:pos="3119"/>
          <w:tab w:val="left" w:pos="3969"/>
        </w:tabs>
        <w:spacing w:after="0" w:line="240" w:lineRule="auto"/>
        <w:ind w:left="720" w:hanging="720"/>
        <w:rPr>
          <w:rFonts w:ascii="Cambria" w:eastAsia="Times New Roman" w:hAnsi="Cambria" w:cs="Arial"/>
          <w:noProof/>
          <w:sz w:val="10"/>
          <w:szCs w:val="10"/>
          <w:lang w:eastAsia="en-AU"/>
        </w:rPr>
      </w:pPr>
    </w:p>
    <w:p w14:paraId="45B9AC87" w14:textId="41EE5EF2" w:rsidR="00075925" w:rsidRPr="00D5015A" w:rsidRDefault="00075925" w:rsidP="00075925">
      <w:pPr>
        <w:tabs>
          <w:tab w:val="left" w:pos="567"/>
          <w:tab w:val="left" w:pos="1418"/>
          <w:tab w:val="left" w:pos="2268"/>
          <w:tab w:val="left" w:pos="3119"/>
          <w:tab w:val="left" w:pos="3969"/>
        </w:tabs>
        <w:spacing w:after="0" w:line="240" w:lineRule="auto"/>
        <w:ind w:left="720" w:hanging="720"/>
        <w:jc w:val="center"/>
        <w:rPr>
          <w:rFonts w:ascii="Cambria" w:eastAsia="Times New Roman" w:hAnsi="Cambria" w:cs="Arial"/>
          <w:noProof/>
          <w:lang w:eastAsia="en-AU"/>
        </w:rPr>
      </w:pPr>
      <w:r w:rsidRPr="00D5015A">
        <w:rPr>
          <w:rFonts w:ascii="Cambria" w:eastAsia="Times New Roman" w:hAnsi="Cambria" w:cs="Arial"/>
          <w:b/>
          <w:noProof/>
          <w:lang w:eastAsia="en-AU"/>
        </w:rPr>
        <w:t>6</w:t>
      </w:r>
      <w:r w:rsidR="0027799A" w:rsidRPr="00D5015A">
        <w:rPr>
          <w:rFonts w:ascii="Cambria" w:eastAsia="Times New Roman" w:hAnsi="Cambria" w:cs="Arial"/>
          <w:b/>
          <w:noProof/>
          <w:lang w:eastAsia="en-AU"/>
        </w:rPr>
        <w:t xml:space="preserve">. </w:t>
      </w:r>
      <w:r w:rsidRPr="00D5015A">
        <w:rPr>
          <w:rFonts w:ascii="Cambria" w:eastAsia="Times New Roman" w:hAnsi="Cambria" w:cs="Arial"/>
          <w:b/>
          <w:noProof/>
          <w:lang w:eastAsia="en-AU"/>
        </w:rPr>
        <w:t>ASSISTANCE</w:t>
      </w:r>
    </w:p>
    <w:p w14:paraId="7F1C814B" w14:textId="77777777" w:rsidR="00075925" w:rsidRPr="00D5015A" w:rsidRDefault="00075925" w:rsidP="00075925">
      <w:pPr>
        <w:tabs>
          <w:tab w:val="left" w:pos="567"/>
          <w:tab w:val="left" w:pos="1418"/>
          <w:tab w:val="left" w:pos="2268"/>
          <w:tab w:val="left" w:pos="3119"/>
          <w:tab w:val="left" w:pos="3969"/>
        </w:tabs>
        <w:spacing w:after="0" w:line="240" w:lineRule="auto"/>
        <w:ind w:left="1418" w:hanging="1418"/>
        <w:rPr>
          <w:rFonts w:ascii="Cambria" w:eastAsia="Times New Roman" w:hAnsi="Cambria" w:cs="Arial"/>
          <w:noProof/>
          <w:lang w:eastAsia="en-AU"/>
        </w:rPr>
      </w:pPr>
      <w:r w:rsidRPr="00D5015A">
        <w:rPr>
          <w:rFonts w:ascii="Cambria" w:eastAsia="Times New Roman" w:hAnsi="Cambria" w:cs="Arial"/>
          <w:noProof/>
          <w:lang w:eastAsia="en-AU"/>
        </w:rPr>
        <w:t>6.1</w:t>
      </w:r>
      <w:r w:rsidRPr="00D5015A">
        <w:rPr>
          <w:rFonts w:ascii="Cambria" w:eastAsia="Times New Roman" w:hAnsi="Cambria" w:cs="Arial"/>
          <w:noProof/>
          <w:lang w:eastAsia="en-AU"/>
        </w:rPr>
        <w:tab/>
        <w:t>6.1.1</w:t>
      </w:r>
      <w:r w:rsidRPr="00D5015A">
        <w:rPr>
          <w:rFonts w:ascii="Cambria" w:eastAsia="Times New Roman" w:hAnsi="Cambria" w:cs="Arial"/>
          <w:noProof/>
          <w:lang w:eastAsia="en-AU"/>
        </w:rPr>
        <w:tab/>
        <w:t xml:space="preserve">Assistance from the Fund shall be </w:t>
      </w:r>
      <w:r w:rsidRPr="00D5015A">
        <w:rPr>
          <w:rFonts w:ascii="Cambria" w:eastAsia="Times New Roman" w:hAnsi="Cambria" w:cs="Arial"/>
          <w:strike/>
          <w:noProof/>
          <w:lang w:eastAsia="en-AU"/>
        </w:rPr>
        <w:t>granted</w:t>
      </w:r>
      <w:r w:rsidRPr="00D5015A">
        <w:rPr>
          <w:rFonts w:ascii="Cambria" w:eastAsia="Times New Roman" w:hAnsi="Cambria" w:cs="Arial"/>
          <w:b/>
          <w:noProof/>
          <w:lang w:eastAsia="en-AU"/>
        </w:rPr>
        <w:t>provided</w:t>
      </w:r>
      <w:r w:rsidRPr="00D5015A">
        <w:rPr>
          <w:rFonts w:ascii="Cambria" w:eastAsia="Times New Roman" w:hAnsi="Cambria" w:cs="Arial"/>
          <w:noProof/>
          <w:lang w:eastAsia="en-AU"/>
        </w:rPr>
        <w:t xml:space="preserve"> only to such persons and to such an extent as is consistent with the limitations laid down in the object of the Fund. </w:t>
      </w:r>
    </w:p>
    <w:p w14:paraId="03991AAD" w14:textId="77777777" w:rsidR="00075925" w:rsidRPr="00D5015A" w:rsidRDefault="00075925" w:rsidP="00075925">
      <w:pPr>
        <w:tabs>
          <w:tab w:val="left" w:pos="567"/>
          <w:tab w:val="left" w:pos="1418"/>
          <w:tab w:val="left" w:pos="2268"/>
          <w:tab w:val="left" w:pos="3119"/>
          <w:tab w:val="left" w:pos="3969"/>
        </w:tabs>
        <w:spacing w:after="0" w:line="240" w:lineRule="auto"/>
        <w:ind w:left="1418" w:hanging="1418"/>
        <w:rPr>
          <w:rFonts w:ascii="Cambria" w:eastAsia="Times New Roman" w:hAnsi="Cambria" w:cs="Arial"/>
          <w:noProof/>
          <w:lang w:eastAsia="en-AU"/>
        </w:rPr>
      </w:pPr>
      <w:r w:rsidRPr="00D5015A">
        <w:rPr>
          <w:rFonts w:ascii="Cambria" w:eastAsia="Times New Roman" w:hAnsi="Cambria" w:cs="Arial"/>
          <w:noProof/>
          <w:lang w:eastAsia="en-AU"/>
        </w:rPr>
        <w:tab/>
        <w:t>6.1.</w:t>
      </w:r>
      <w:r w:rsidRPr="00D5015A">
        <w:rPr>
          <w:rFonts w:ascii="Cambria" w:eastAsia="Times New Roman" w:hAnsi="Cambria" w:cs="Arial"/>
          <w:b/>
          <w:noProof/>
          <w:lang w:eastAsia="en-AU"/>
        </w:rPr>
        <w:t>2</w:t>
      </w:r>
      <w:r w:rsidRPr="00D5015A">
        <w:rPr>
          <w:rFonts w:ascii="Cambria" w:eastAsia="Times New Roman" w:hAnsi="Cambria" w:cs="Arial"/>
          <w:noProof/>
          <w:lang w:eastAsia="en-AU"/>
        </w:rPr>
        <w:tab/>
        <w:t xml:space="preserve">The Student Fund Committee shall not be under obligation to </w:t>
      </w:r>
      <w:r w:rsidRPr="00D5015A">
        <w:rPr>
          <w:rFonts w:ascii="Cambria" w:eastAsia="Times New Roman" w:hAnsi="Cambria" w:cs="Arial"/>
          <w:strike/>
          <w:noProof/>
          <w:lang w:eastAsia="en-AU"/>
        </w:rPr>
        <w:t>grant</w:t>
      </w:r>
      <w:r w:rsidRPr="00D5015A">
        <w:rPr>
          <w:rFonts w:ascii="Cambria" w:eastAsia="Times New Roman" w:hAnsi="Cambria" w:cs="Arial"/>
          <w:b/>
          <w:noProof/>
          <w:lang w:eastAsia="en-AU"/>
        </w:rPr>
        <w:t>provide</w:t>
      </w:r>
      <w:r w:rsidRPr="00D5015A">
        <w:rPr>
          <w:rFonts w:ascii="Cambria" w:eastAsia="Times New Roman" w:hAnsi="Cambria" w:cs="Arial"/>
          <w:noProof/>
          <w:lang w:eastAsia="en-AU"/>
        </w:rPr>
        <w:t xml:space="preserve"> assistance to every applicant.</w:t>
      </w:r>
    </w:p>
    <w:p w14:paraId="23A11F37" w14:textId="77777777" w:rsidR="00075925" w:rsidRPr="00D5015A" w:rsidRDefault="00075925" w:rsidP="00075925">
      <w:pPr>
        <w:tabs>
          <w:tab w:val="left" w:pos="567"/>
          <w:tab w:val="left" w:pos="1418"/>
          <w:tab w:val="left" w:pos="2268"/>
          <w:tab w:val="left" w:pos="3119"/>
          <w:tab w:val="left" w:pos="3969"/>
        </w:tabs>
        <w:spacing w:after="0" w:line="240" w:lineRule="auto"/>
        <w:ind w:left="1418" w:hanging="1418"/>
        <w:rPr>
          <w:rFonts w:ascii="Cambria" w:eastAsia="Times New Roman" w:hAnsi="Cambria" w:cs="Arial"/>
          <w:noProof/>
          <w:lang w:eastAsia="en-AU"/>
        </w:rPr>
      </w:pPr>
      <w:r w:rsidRPr="00D5015A">
        <w:rPr>
          <w:rFonts w:ascii="Cambria" w:eastAsia="Times New Roman" w:hAnsi="Cambria" w:cs="Arial"/>
          <w:noProof/>
          <w:lang w:eastAsia="en-AU"/>
        </w:rPr>
        <w:tab/>
        <w:t>6.1.</w:t>
      </w:r>
      <w:r w:rsidRPr="00D5015A">
        <w:rPr>
          <w:rFonts w:ascii="Cambria" w:eastAsia="Times New Roman" w:hAnsi="Cambria" w:cs="Arial"/>
          <w:strike/>
          <w:noProof/>
          <w:lang w:eastAsia="en-AU"/>
        </w:rPr>
        <w:t>2</w:t>
      </w:r>
      <w:r w:rsidRPr="00D5015A">
        <w:rPr>
          <w:rFonts w:ascii="Cambria" w:eastAsia="Times New Roman" w:hAnsi="Cambria" w:cs="Arial"/>
          <w:b/>
          <w:noProof/>
          <w:lang w:eastAsia="en-AU"/>
        </w:rPr>
        <w:t>3</w:t>
      </w:r>
      <w:r w:rsidRPr="00D5015A">
        <w:rPr>
          <w:rFonts w:ascii="Cambria" w:eastAsia="Times New Roman" w:hAnsi="Cambria" w:cs="Arial"/>
          <w:noProof/>
          <w:lang w:eastAsia="en-AU"/>
        </w:rPr>
        <w:tab/>
        <w:t xml:space="preserve">Assistance shall generally be </w:t>
      </w:r>
      <w:r w:rsidRPr="00D5015A">
        <w:rPr>
          <w:rFonts w:ascii="Cambria" w:eastAsia="Times New Roman" w:hAnsi="Cambria" w:cs="Arial"/>
          <w:strike/>
          <w:noProof/>
          <w:lang w:eastAsia="en-AU"/>
        </w:rPr>
        <w:t>granted</w:t>
      </w:r>
      <w:r w:rsidRPr="00D5015A">
        <w:rPr>
          <w:rFonts w:ascii="Cambria" w:eastAsia="Times New Roman" w:hAnsi="Cambria" w:cs="Arial"/>
          <w:b/>
          <w:noProof/>
          <w:lang w:eastAsia="en-AU"/>
        </w:rPr>
        <w:t>provided</w:t>
      </w:r>
      <w:r w:rsidRPr="00D5015A">
        <w:rPr>
          <w:rFonts w:ascii="Cambria" w:eastAsia="Times New Roman" w:hAnsi="Cambria" w:cs="Arial"/>
          <w:noProof/>
          <w:lang w:eastAsia="en-AU"/>
        </w:rPr>
        <w:t xml:space="preserve"> only </w:t>
      </w:r>
      <w:r w:rsidRPr="00D5015A">
        <w:rPr>
          <w:rFonts w:ascii="Cambria" w:eastAsia="Times New Roman" w:hAnsi="Cambria" w:cs="Arial"/>
          <w:strike/>
          <w:noProof/>
          <w:lang w:eastAsia="en-AU"/>
        </w:rPr>
        <w:t>for the courses laid down by the Church as the</w:t>
      </w:r>
      <w:r w:rsidRPr="00D5015A">
        <w:rPr>
          <w:rFonts w:ascii="Cambria" w:eastAsia="Times New Roman" w:hAnsi="Cambria" w:cs="Arial"/>
          <w:b/>
          <w:noProof/>
          <w:lang w:eastAsia="en-AU"/>
        </w:rPr>
        <w:t>when the applicant is undertaking</w:t>
      </w:r>
      <w:r w:rsidRPr="00D5015A">
        <w:rPr>
          <w:rFonts w:ascii="Cambria" w:eastAsia="Times New Roman" w:hAnsi="Cambria" w:cs="Arial"/>
          <w:noProof/>
          <w:lang w:eastAsia="en-AU"/>
        </w:rPr>
        <w:t xml:space="preserve"> training necessary for the service </w:t>
      </w:r>
      <w:r w:rsidRPr="00D5015A">
        <w:rPr>
          <w:rFonts w:ascii="Cambria" w:eastAsia="Times New Roman" w:hAnsi="Cambria" w:cs="Arial"/>
          <w:b/>
          <w:noProof/>
          <w:lang w:eastAsia="en-AU"/>
        </w:rPr>
        <w:t>in the Church</w:t>
      </w:r>
      <w:r w:rsidRPr="00D5015A">
        <w:rPr>
          <w:rFonts w:ascii="Cambria" w:eastAsia="Times New Roman" w:hAnsi="Cambria" w:cs="Arial"/>
          <w:noProof/>
          <w:lang w:eastAsia="en-AU"/>
        </w:rPr>
        <w:t xml:space="preserve"> into which the applicant proposes to enter.</w:t>
      </w:r>
    </w:p>
    <w:p w14:paraId="77373594" w14:textId="77777777" w:rsidR="00075925" w:rsidRPr="00D5015A" w:rsidRDefault="00075925" w:rsidP="00075925">
      <w:pPr>
        <w:tabs>
          <w:tab w:val="left" w:pos="567"/>
          <w:tab w:val="left" w:pos="1418"/>
          <w:tab w:val="left" w:pos="2268"/>
          <w:tab w:val="left" w:pos="3119"/>
          <w:tab w:val="left" w:pos="3969"/>
        </w:tabs>
        <w:spacing w:after="0" w:line="240" w:lineRule="auto"/>
        <w:ind w:left="1418" w:hanging="1418"/>
        <w:rPr>
          <w:rFonts w:ascii="Cambria" w:eastAsia="Times New Roman" w:hAnsi="Cambria" w:cs="Arial"/>
          <w:noProof/>
          <w:lang w:eastAsia="en-AU"/>
        </w:rPr>
      </w:pPr>
      <w:r w:rsidRPr="00D5015A">
        <w:rPr>
          <w:rFonts w:ascii="Cambria" w:eastAsia="Times New Roman" w:hAnsi="Cambria" w:cs="Arial"/>
          <w:noProof/>
          <w:lang w:eastAsia="en-AU"/>
        </w:rPr>
        <w:tab/>
        <w:t>6.1.</w:t>
      </w:r>
      <w:r w:rsidRPr="00D5015A">
        <w:rPr>
          <w:rFonts w:ascii="Cambria" w:eastAsia="Times New Roman" w:hAnsi="Cambria" w:cs="Arial"/>
          <w:strike/>
          <w:noProof/>
          <w:lang w:eastAsia="en-AU"/>
        </w:rPr>
        <w:t>3</w:t>
      </w:r>
      <w:r w:rsidRPr="00D5015A">
        <w:rPr>
          <w:rFonts w:ascii="Cambria" w:eastAsia="Times New Roman" w:hAnsi="Cambria" w:cs="Arial"/>
          <w:b/>
          <w:noProof/>
          <w:lang w:eastAsia="en-AU"/>
        </w:rPr>
        <w:t>4</w:t>
      </w:r>
      <w:r w:rsidRPr="00D5015A">
        <w:rPr>
          <w:rFonts w:ascii="Cambria" w:eastAsia="Times New Roman" w:hAnsi="Cambria" w:cs="Arial"/>
          <w:noProof/>
          <w:lang w:eastAsia="en-AU"/>
        </w:rPr>
        <w:tab/>
        <w:t>Assistance shall be available as loans or grants for individual or family expenses associated with studying at ALC.</w:t>
      </w:r>
    </w:p>
    <w:p w14:paraId="1C0F5C3D" w14:textId="77777777" w:rsidR="00075925" w:rsidRPr="00D5015A" w:rsidRDefault="00075925" w:rsidP="00075925">
      <w:pPr>
        <w:tabs>
          <w:tab w:val="left" w:pos="567"/>
          <w:tab w:val="left" w:pos="1418"/>
          <w:tab w:val="left" w:pos="2268"/>
          <w:tab w:val="left" w:pos="3119"/>
          <w:tab w:val="left" w:pos="3969"/>
        </w:tabs>
        <w:spacing w:after="0" w:line="240" w:lineRule="auto"/>
        <w:ind w:left="1418" w:hanging="1418"/>
        <w:rPr>
          <w:rFonts w:ascii="Cambria" w:eastAsia="Times New Roman" w:hAnsi="Cambria" w:cs="Arial"/>
          <w:strike/>
          <w:noProof/>
          <w:lang w:eastAsia="en-AU"/>
        </w:rPr>
      </w:pPr>
      <w:r w:rsidRPr="00D5015A">
        <w:rPr>
          <w:rFonts w:ascii="Cambria" w:eastAsia="Times New Roman" w:hAnsi="Cambria" w:cs="Arial"/>
          <w:strike/>
          <w:noProof/>
          <w:lang w:eastAsia="en-AU"/>
        </w:rPr>
        <w:tab/>
        <w:t>6.1.4</w:t>
      </w:r>
      <w:r w:rsidRPr="00D5015A">
        <w:rPr>
          <w:rFonts w:ascii="Cambria" w:eastAsia="Times New Roman" w:hAnsi="Cambria" w:cs="Arial"/>
          <w:strike/>
          <w:noProof/>
          <w:lang w:eastAsia="en-AU"/>
        </w:rPr>
        <w:tab/>
        <w:t>Supplementary assistance in exceptional circumstances may upon application be granted at the discretion of the Student Fund Committee.</w:t>
      </w:r>
    </w:p>
    <w:p w14:paraId="1452522D" w14:textId="77777777" w:rsidR="00075925" w:rsidRPr="00D5015A" w:rsidRDefault="00075925" w:rsidP="00075925">
      <w:pPr>
        <w:tabs>
          <w:tab w:val="left" w:pos="567"/>
          <w:tab w:val="left" w:pos="1418"/>
          <w:tab w:val="left" w:pos="2268"/>
          <w:tab w:val="left" w:pos="3119"/>
          <w:tab w:val="left" w:pos="3969"/>
        </w:tabs>
        <w:spacing w:after="0" w:line="240" w:lineRule="auto"/>
        <w:ind w:left="1418" w:hanging="1418"/>
        <w:rPr>
          <w:rFonts w:ascii="Cambria" w:eastAsia="Times New Roman" w:hAnsi="Cambria" w:cs="Arial"/>
          <w:noProof/>
          <w:lang w:eastAsia="en-AU"/>
        </w:rPr>
      </w:pPr>
      <w:r w:rsidRPr="00D5015A">
        <w:rPr>
          <w:rFonts w:ascii="Cambria" w:eastAsia="Times New Roman" w:hAnsi="Cambria" w:cs="Arial"/>
          <w:noProof/>
          <w:lang w:eastAsia="en-AU"/>
        </w:rPr>
        <w:lastRenderedPageBreak/>
        <w:tab/>
        <w:t>6.1.5</w:t>
      </w:r>
      <w:r w:rsidRPr="00D5015A">
        <w:rPr>
          <w:rFonts w:ascii="Cambria" w:eastAsia="Times New Roman" w:hAnsi="Cambria" w:cs="Arial"/>
          <w:noProof/>
          <w:lang w:eastAsia="en-AU"/>
        </w:rPr>
        <w:tab/>
        <w:t>The amount of assistance shall be determined at the discretion of the Student Fund Committee, subject to any provisions laid down in these rules.</w:t>
      </w:r>
    </w:p>
    <w:p w14:paraId="35273CCC" w14:textId="26A3C2E2" w:rsidR="00075925" w:rsidRPr="00D5015A" w:rsidRDefault="00075925" w:rsidP="00075925">
      <w:pPr>
        <w:tabs>
          <w:tab w:val="left" w:pos="567"/>
          <w:tab w:val="left" w:pos="1418"/>
          <w:tab w:val="left" w:pos="2268"/>
          <w:tab w:val="left" w:pos="3119"/>
          <w:tab w:val="left" w:pos="3969"/>
        </w:tabs>
        <w:spacing w:after="0" w:line="240" w:lineRule="auto"/>
        <w:ind w:left="1418" w:hanging="1418"/>
        <w:rPr>
          <w:rFonts w:ascii="Cambria" w:eastAsia="Times New Roman" w:hAnsi="Cambria" w:cs="Arial"/>
          <w:noProof/>
          <w:lang w:eastAsia="en-AU"/>
        </w:rPr>
      </w:pPr>
      <w:r w:rsidRPr="00D5015A">
        <w:rPr>
          <w:rFonts w:ascii="Cambria" w:eastAsia="Times New Roman" w:hAnsi="Cambria" w:cs="Arial"/>
          <w:noProof/>
          <w:lang w:eastAsia="en-AU"/>
        </w:rPr>
        <w:tab/>
        <w:t>6.1.6</w:t>
      </w:r>
      <w:r w:rsidRPr="00D5015A">
        <w:rPr>
          <w:rFonts w:ascii="Cambria" w:eastAsia="Times New Roman" w:hAnsi="Cambria" w:cs="Arial"/>
          <w:noProof/>
          <w:lang w:eastAsia="en-AU"/>
        </w:rPr>
        <w:tab/>
        <w:t xml:space="preserve">Moneys </w:t>
      </w:r>
      <w:r w:rsidRPr="00D5015A">
        <w:rPr>
          <w:rFonts w:ascii="Cambria" w:eastAsia="Times New Roman" w:hAnsi="Cambria" w:cs="Arial"/>
          <w:strike/>
          <w:noProof/>
          <w:lang w:eastAsia="en-AU"/>
        </w:rPr>
        <w:t>granted</w:t>
      </w:r>
      <w:r w:rsidRPr="00D5015A">
        <w:rPr>
          <w:rFonts w:ascii="Cambria" w:eastAsia="Times New Roman" w:hAnsi="Cambria" w:cs="Arial"/>
          <w:b/>
          <w:noProof/>
          <w:lang w:eastAsia="en-AU"/>
        </w:rPr>
        <w:t>provided</w:t>
      </w:r>
      <w:r w:rsidRPr="00D5015A">
        <w:rPr>
          <w:rFonts w:ascii="Cambria" w:eastAsia="Times New Roman" w:hAnsi="Cambria" w:cs="Arial"/>
          <w:noProof/>
          <w:lang w:eastAsia="en-AU"/>
        </w:rPr>
        <w:t xml:space="preserve"> shall generally be paid directly to ALC</w:t>
      </w:r>
      <w:r w:rsidR="0027799A" w:rsidRPr="00D5015A">
        <w:rPr>
          <w:rFonts w:ascii="Cambria" w:eastAsia="Times New Roman" w:hAnsi="Cambria" w:cs="Arial"/>
          <w:noProof/>
          <w:lang w:eastAsia="en-AU"/>
        </w:rPr>
        <w:t xml:space="preserve">. </w:t>
      </w:r>
      <w:r w:rsidRPr="00D5015A">
        <w:rPr>
          <w:rFonts w:ascii="Cambria" w:eastAsia="Times New Roman" w:hAnsi="Cambria" w:cs="Arial"/>
          <w:noProof/>
          <w:lang w:eastAsia="en-AU"/>
        </w:rPr>
        <w:t>Where that is not the case for particular reasons, students are to meet their ALC expenses as a first priority.</w:t>
      </w:r>
    </w:p>
    <w:p w14:paraId="3D543DA5" w14:textId="77777777" w:rsidR="00075925" w:rsidRPr="00D5015A" w:rsidRDefault="00075925" w:rsidP="00075925">
      <w:pPr>
        <w:tabs>
          <w:tab w:val="left" w:pos="567"/>
          <w:tab w:val="left" w:pos="1418"/>
          <w:tab w:val="left" w:pos="2268"/>
          <w:tab w:val="left" w:pos="3119"/>
          <w:tab w:val="left" w:pos="3969"/>
        </w:tabs>
        <w:spacing w:after="0" w:line="240" w:lineRule="auto"/>
        <w:ind w:left="1418" w:hanging="1418"/>
        <w:rPr>
          <w:rFonts w:ascii="Cambria" w:eastAsia="Times New Roman" w:hAnsi="Cambria" w:cs="Arial"/>
          <w:noProof/>
          <w:lang w:eastAsia="en-AU"/>
        </w:rPr>
      </w:pPr>
      <w:r w:rsidRPr="00D5015A">
        <w:rPr>
          <w:rFonts w:ascii="Cambria" w:eastAsia="Times New Roman" w:hAnsi="Cambria" w:cs="Arial"/>
          <w:noProof/>
          <w:lang w:eastAsia="en-AU"/>
        </w:rPr>
        <w:tab/>
        <w:t>6.1.7</w:t>
      </w:r>
      <w:r w:rsidRPr="00D5015A">
        <w:rPr>
          <w:rFonts w:ascii="Cambria" w:eastAsia="Times New Roman" w:hAnsi="Cambria" w:cs="Arial"/>
          <w:noProof/>
          <w:lang w:eastAsia="en-AU"/>
        </w:rPr>
        <w:tab/>
        <w:t>Assistance shall be provided only after careful assessment of the student’s ability to cope with his/her proposed course.</w:t>
      </w:r>
    </w:p>
    <w:p w14:paraId="63CDAD1E" w14:textId="77777777" w:rsidR="00075925" w:rsidRPr="00D5015A" w:rsidRDefault="00075925" w:rsidP="00075925">
      <w:pPr>
        <w:tabs>
          <w:tab w:val="left" w:pos="567"/>
          <w:tab w:val="left" w:pos="1418"/>
          <w:tab w:val="left" w:pos="2268"/>
          <w:tab w:val="left" w:pos="3119"/>
          <w:tab w:val="left" w:pos="3969"/>
        </w:tabs>
        <w:spacing w:after="0" w:line="240" w:lineRule="auto"/>
        <w:ind w:left="1418" w:hanging="1418"/>
        <w:rPr>
          <w:rFonts w:ascii="Cambria" w:eastAsia="Times New Roman" w:hAnsi="Cambria" w:cs="Arial"/>
          <w:strike/>
          <w:noProof/>
          <w:lang w:eastAsia="en-AU"/>
        </w:rPr>
      </w:pPr>
      <w:r w:rsidRPr="00D5015A">
        <w:rPr>
          <w:rFonts w:ascii="Cambria" w:eastAsia="Times New Roman" w:hAnsi="Cambria" w:cs="Arial"/>
          <w:strike/>
          <w:noProof/>
          <w:lang w:eastAsia="en-AU"/>
        </w:rPr>
        <w:tab/>
        <w:t>6.1.8</w:t>
      </w:r>
      <w:r w:rsidRPr="00D5015A">
        <w:rPr>
          <w:rFonts w:ascii="Cambria" w:eastAsia="Times New Roman" w:hAnsi="Cambria" w:cs="Arial"/>
          <w:strike/>
          <w:noProof/>
          <w:lang w:eastAsia="en-AU"/>
        </w:rPr>
        <w:tab/>
        <w:t>In cases where there is doubt about ability or the likelihood of achieving aims, applications for assistance shall be deferred.</w:t>
      </w:r>
    </w:p>
    <w:p w14:paraId="6477515B" w14:textId="77777777" w:rsidR="00075925" w:rsidRPr="00786120" w:rsidRDefault="00075925" w:rsidP="00075925">
      <w:pPr>
        <w:tabs>
          <w:tab w:val="left" w:pos="567"/>
          <w:tab w:val="left" w:pos="1418"/>
          <w:tab w:val="left" w:pos="2268"/>
          <w:tab w:val="left" w:pos="3119"/>
          <w:tab w:val="left" w:pos="3969"/>
        </w:tabs>
        <w:spacing w:after="0" w:line="240" w:lineRule="auto"/>
        <w:rPr>
          <w:rFonts w:ascii="Cambria" w:eastAsia="Times New Roman" w:hAnsi="Cambria" w:cs="Arial"/>
          <w:noProof/>
          <w:sz w:val="10"/>
          <w:szCs w:val="10"/>
          <w:lang w:eastAsia="en-AU"/>
        </w:rPr>
      </w:pPr>
    </w:p>
    <w:p w14:paraId="5078FAC1" w14:textId="63661023" w:rsidR="00075925" w:rsidRPr="00D5015A" w:rsidRDefault="00075925" w:rsidP="00075925">
      <w:pPr>
        <w:tabs>
          <w:tab w:val="left" w:pos="567"/>
          <w:tab w:val="left" w:pos="1418"/>
          <w:tab w:val="left" w:pos="2268"/>
          <w:tab w:val="left" w:pos="3119"/>
          <w:tab w:val="left" w:pos="3969"/>
        </w:tabs>
        <w:spacing w:after="0" w:line="240" w:lineRule="auto"/>
        <w:ind w:left="720" w:hanging="720"/>
        <w:jc w:val="center"/>
        <w:rPr>
          <w:rFonts w:ascii="Cambria" w:eastAsia="Times New Roman" w:hAnsi="Cambria" w:cs="Arial"/>
          <w:b/>
          <w:noProof/>
          <w:lang w:eastAsia="en-AU"/>
        </w:rPr>
      </w:pPr>
      <w:r w:rsidRPr="00D5015A">
        <w:rPr>
          <w:rFonts w:ascii="Cambria" w:eastAsia="Times New Roman" w:hAnsi="Cambria" w:cs="Arial"/>
          <w:b/>
          <w:noProof/>
          <w:lang w:eastAsia="en-AU"/>
        </w:rPr>
        <w:t>7</w:t>
      </w:r>
      <w:r w:rsidR="0027799A" w:rsidRPr="00D5015A">
        <w:rPr>
          <w:rFonts w:ascii="Cambria" w:eastAsia="Times New Roman" w:hAnsi="Cambria" w:cs="Arial"/>
          <w:b/>
          <w:noProof/>
          <w:lang w:eastAsia="en-AU"/>
        </w:rPr>
        <w:t xml:space="preserve">. </w:t>
      </w:r>
      <w:r w:rsidRPr="00D5015A">
        <w:rPr>
          <w:rFonts w:ascii="Cambria" w:eastAsia="Times New Roman" w:hAnsi="Cambria" w:cs="Arial"/>
          <w:b/>
          <w:noProof/>
          <w:lang w:eastAsia="en-AU"/>
        </w:rPr>
        <w:t>APPLICATIONS</w:t>
      </w:r>
    </w:p>
    <w:p w14:paraId="4C38B121" w14:textId="77777777" w:rsidR="00075925" w:rsidRPr="00D5015A" w:rsidRDefault="00075925" w:rsidP="00075925">
      <w:pPr>
        <w:tabs>
          <w:tab w:val="left" w:pos="567"/>
          <w:tab w:val="left" w:pos="1418"/>
          <w:tab w:val="left" w:pos="2268"/>
          <w:tab w:val="left" w:pos="3119"/>
          <w:tab w:val="left" w:pos="3969"/>
        </w:tabs>
        <w:spacing w:after="0" w:line="240" w:lineRule="auto"/>
        <w:ind w:left="1418" w:hanging="1418"/>
        <w:rPr>
          <w:rFonts w:ascii="Cambria" w:eastAsia="Times New Roman" w:hAnsi="Cambria" w:cs="Arial"/>
          <w:noProof/>
          <w:lang w:eastAsia="en-AU"/>
        </w:rPr>
      </w:pPr>
      <w:r w:rsidRPr="00D5015A">
        <w:rPr>
          <w:rFonts w:ascii="Cambria" w:eastAsia="Times New Roman" w:hAnsi="Cambria" w:cs="Arial"/>
          <w:noProof/>
          <w:lang w:eastAsia="en-AU"/>
        </w:rPr>
        <w:t>7.1</w:t>
      </w:r>
      <w:r w:rsidRPr="00D5015A">
        <w:rPr>
          <w:rFonts w:ascii="Cambria" w:eastAsia="Times New Roman" w:hAnsi="Cambria" w:cs="Arial"/>
          <w:noProof/>
          <w:lang w:eastAsia="en-AU"/>
        </w:rPr>
        <w:tab/>
        <w:t>7.1.1</w:t>
      </w:r>
      <w:r w:rsidRPr="00D5015A">
        <w:rPr>
          <w:rFonts w:ascii="Cambria" w:eastAsia="Times New Roman" w:hAnsi="Cambria" w:cs="Arial"/>
          <w:noProof/>
          <w:lang w:eastAsia="en-AU"/>
        </w:rPr>
        <w:tab/>
        <w:t xml:space="preserve">Applications are to be made through the </w:t>
      </w:r>
      <w:r w:rsidRPr="00D5015A">
        <w:rPr>
          <w:rFonts w:ascii="Cambria" w:eastAsia="Times New Roman" w:hAnsi="Cambria" w:cs="Arial"/>
          <w:b/>
          <w:noProof/>
          <w:lang w:eastAsia="en-AU"/>
        </w:rPr>
        <w:t xml:space="preserve">ALC </w:t>
      </w:r>
      <w:r w:rsidRPr="00D5015A">
        <w:rPr>
          <w:rFonts w:ascii="Cambria" w:eastAsia="Times New Roman" w:hAnsi="Cambria" w:cs="Arial"/>
          <w:noProof/>
          <w:lang w:eastAsia="en-AU"/>
        </w:rPr>
        <w:t>Business Office.</w:t>
      </w:r>
    </w:p>
    <w:p w14:paraId="35F011DC" w14:textId="77777777" w:rsidR="00075925" w:rsidRPr="00D5015A" w:rsidRDefault="00075925" w:rsidP="00075925">
      <w:pPr>
        <w:tabs>
          <w:tab w:val="left" w:pos="567"/>
          <w:tab w:val="left" w:pos="1418"/>
          <w:tab w:val="left" w:pos="2268"/>
          <w:tab w:val="left" w:pos="3119"/>
          <w:tab w:val="left" w:pos="3969"/>
        </w:tabs>
        <w:spacing w:after="0" w:line="240" w:lineRule="auto"/>
        <w:ind w:left="1418" w:hanging="1418"/>
        <w:rPr>
          <w:rFonts w:ascii="Cambria" w:eastAsia="Times New Roman" w:hAnsi="Cambria" w:cs="Arial"/>
          <w:noProof/>
          <w:lang w:eastAsia="en-AU"/>
        </w:rPr>
      </w:pPr>
      <w:r w:rsidRPr="00D5015A">
        <w:rPr>
          <w:rFonts w:ascii="Cambria" w:eastAsia="Times New Roman" w:hAnsi="Cambria" w:cs="Arial"/>
          <w:noProof/>
          <w:lang w:eastAsia="en-AU"/>
        </w:rPr>
        <w:tab/>
        <w:t>7.1.2</w:t>
      </w:r>
      <w:r w:rsidRPr="00D5015A">
        <w:rPr>
          <w:rFonts w:ascii="Cambria" w:eastAsia="Times New Roman" w:hAnsi="Cambria" w:cs="Arial"/>
          <w:noProof/>
          <w:lang w:eastAsia="en-AU"/>
        </w:rPr>
        <w:tab/>
        <w:t xml:space="preserve">Application forms are </w:t>
      </w:r>
      <w:r w:rsidRPr="00D5015A">
        <w:rPr>
          <w:rFonts w:ascii="Cambria" w:eastAsia="Times New Roman" w:hAnsi="Cambria" w:cs="Arial"/>
          <w:strike/>
          <w:noProof/>
          <w:lang w:eastAsia="en-AU"/>
        </w:rPr>
        <w:t>available from</w:t>
      </w:r>
      <w:r w:rsidRPr="00D5015A">
        <w:rPr>
          <w:rFonts w:ascii="Cambria" w:eastAsia="Times New Roman" w:hAnsi="Cambria" w:cs="Arial"/>
          <w:b/>
          <w:noProof/>
          <w:lang w:eastAsia="en-AU"/>
        </w:rPr>
        <w:t>provided by</w:t>
      </w:r>
      <w:r w:rsidRPr="00D5015A">
        <w:rPr>
          <w:rFonts w:ascii="Cambria" w:eastAsia="Times New Roman" w:hAnsi="Cambria" w:cs="Arial"/>
          <w:noProof/>
          <w:lang w:eastAsia="en-AU"/>
        </w:rPr>
        <w:t xml:space="preserve"> the </w:t>
      </w:r>
      <w:r w:rsidRPr="00D5015A">
        <w:rPr>
          <w:rFonts w:ascii="Cambria" w:eastAsia="Times New Roman" w:hAnsi="Cambria" w:cs="Arial"/>
          <w:b/>
          <w:noProof/>
          <w:lang w:eastAsia="en-AU"/>
        </w:rPr>
        <w:t xml:space="preserve">ALC </w:t>
      </w:r>
      <w:r w:rsidRPr="00D5015A">
        <w:rPr>
          <w:rFonts w:ascii="Cambria" w:eastAsia="Times New Roman" w:hAnsi="Cambria" w:cs="Arial"/>
          <w:noProof/>
          <w:lang w:eastAsia="en-AU"/>
        </w:rPr>
        <w:t xml:space="preserve">Business </w:t>
      </w:r>
      <w:r w:rsidRPr="00D5015A">
        <w:rPr>
          <w:rFonts w:ascii="Cambria" w:eastAsia="Times New Roman" w:hAnsi="Cambria" w:cs="Arial"/>
          <w:strike/>
          <w:noProof/>
          <w:lang w:eastAsia="en-AU"/>
        </w:rPr>
        <w:t>Administrator</w:t>
      </w:r>
      <w:r w:rsidRPr="00D5015A">
        <w:rPr>
          <w:rFonts w:ascii="Cambria" w:eastAsia="Times New Roman" w:hAnsi="Cambria" w:cs="Arial"/>
          <w:b/>
          <w:noProof/>
          <w:lang w:eastAsia="en-AU"/>
        </w:rPr>
        <w:t>Manager</w:t>
      </w:r>
      <w:r w:rsidRPr="00D5015A">
        <w:rPr>
          <w:rFonts w:ascii="Cambria" w:eastAsia="Times New Roman" w:hAnsi="Cambria" w:cs="Arial"/>
          <w:noProof/>
          <w:lang w:eastAsia="en-AU"/>
        </w:rPr>
        <w:t>.</w:t>
      </w:r>
    </w:p>
    <w:p w14:paraId="55E9FAB7" w14:textId="77777777" w:rsidR="00075925" w:rsidRPr="00D5015A" w:rsidRDefault="00075925" w:rsidP="00075925">
      <w:pPr>
        <w:tabs>
          <w:tab w:val="left" w:pos="567"/>
          <w:tab w:val="left" w:pos="1418"/>
          <w:tab w:val="left" w:pos="2268"/>
          <w:tab w:val="left" w:pos="3119"/>
          <w:tab w:val="left" w:pos="3969"/>
        </w:tabs>
        <w:spacing w:after="0" w:line="240" w:lineRule="auto"/>
        <w:ind w:left="1418" w:hanging="1418"/>
        <w:rPr>
          <w:rFonts w:ascii="Cambria" w:eastAsia="Times New Roman" w:hAnsi="Cambria" w:cs="Arial"/>
          <w:noProof/>
          <w:lang w:eastAsia="en-AU"/>
        </w:rPr>
      </w:pPr>
      <w:r w:rsidRPr="00D5015A">
        <w:rPr>
          <w:rFonts w:ascii="Cambria" w:eastAsia="Times New Roman" w:hAnsi="Cambria" w:cs="Arial"/>
          <w:noProof/>
          <w:lang w:eastAsia="en-AU"/>
        </w:rPr>
        <w:tab/>
        <w:t>7.1.3</w:t>
      </w:r>
      <w:r w:rsidRPr="00D5015A">
        <w:rPr>
          <w:rFonts w:ascii="Cambria" w:eastAsia="Times New Roman" w:hAnsi="Cambria" w:cs="Arial"/>
          <w:noProof/>
          <w:lang w:eastAsia="en-AU"/>
        </w:rPr>
        <w:tab/>
        <w:t xml:space="preserve">When an application is received the </w:t>
      </w:r>
      <w:r w:rsidRPr="00D5015A">
        <w:rPr>
          <w:rFonts w:ascii="Cambria" w:eastAsia="Times New Roman" w:hAnsi="Cambria" w:cs="Arial"/>
          <w:b/>
          <w:noProof/>
          <w:lang w:eastAsia="en-AU"/>
        </w:rPr>
        <w:t xml:space="preserve">relevant ALC </w:t>
      </w:r>
      <w:r w:rsidRPr="00D5015A">
        <w:rPr>
          <w:rFonts w:ascii="Cambria" w:eastAsia="Times New Roman" w:hAnsi="Cambria" w:cs="Arial"/>
          <w:noProof/>
          <w:lang w:eastAsia="en-AU"/>
        </w:rPr>
        <w:t xml:space="preserve">Head of School is informed, and the guidelines agreed to by the </w:t>
      </w:r>
      <w:r w:rsidRPr="00D5015A">
        <w:rPr>
          <w:rFonts w:ascii="Cambria" w:eastAsia="Times New Roman" w:hAnsi="Cambria" w:cs="Arial"/>
          <w:strike/>
          <w:noProof/>
          <w:lang w:eastAsia="en-AU"/>
        </w:rPr>
        <w:t>Management</w:t>
      </w:r>
      <w:r w:rsidRPr="00D5015A">
        <w:rPr>
          <w:rFonts w:ascii="Cambria" w:eastAsia="Times New Roman" w:hAnsi="Cambria" w:cs="Arial"/>
          <w:b/>
          <w:noProof/>
          <w:lang w:eastAsia="en-AU"/>
        </w:rPr>
        <w:t>ALC Leadership</w:t>
      </w:r>
      <w:r w:rsidRPr="00D5015A">
        <w:rPr>
          <w:rFonts w:ascii="Cambria" w:eastAsia="Times New Roman" w:hAnsi="Cambria" w:cs="Arial"/>
          <w:noProof/>
          <w:lang w:eastAsia="en-AU"/>
        </w:rPr>
        <w:t xml:space="preserve"> Team are followed.</w:t>
      </w:r>
    </w:p>
    <w:p w14:paraId="0C441780" w14:textId="77777777" w:rsidR="00075925" w:rsidRPr="00786120" w:rsidRDefault="00075925" w:rsidP="00075925">
      <w:pPr>
        <w:tabs>
          <w:tab w:val="left" w:pos="567"/>
          <w:tab w:val="left" w:pos="1418"/>
          <w:tab w:val="left" w:pos="2268"/>
          <w:tab w:val="left" w:pos="3119"/>
          <w:tab w:val="left" w:pos="3969"/>
        </w:tabs>
        <w:spacing w:after="0" w:line="240" w:lineRule="auto"/>
        <w:ind w:left="1134" w:hanging="1134"/>
        <w:rPr>
          <w:rFonts w:ascii="Cambria" w:eastAsia="Times New Roman" w:hAnsi="Cambria" w:cs="Arial"/>
          <w:noProof/>
          <w:sz w:val="10"/>
          <w:szCs w:val="10"/>
          <w:lang w:eastAsia="en-AU"/>
        </w:rPr>
      </w:pPr>
    </w:p>
    <w:p w14:paraId="2B4634E3" w14:textId="78453E14" w:rsidR="00075925" w:rsidRPr="00D5015A" w:rsidRDefault="00075925" w:rsidP="00075925">
      <w:pPr>
        <w:tabs>
          <w:tab w:val="left" w:pos="567"/>
          <w:tab w:val="left" w:pos="1418"/>
          <w:tab w:val="left" w:pos="2268"/>
          <w:tab w:val="left" w:pos="3119"/>
          <w:tab w:val="left" w:pos="3969"/>
        </w:tabs>
        <w:spacing w:after="0" w:line="240" w:lineRule="auto"/>
        <w:jc w:val="center"/>
        <w:rPr>
          <w:rFonts w:ascii="Cambria" w:eastAsia="Times New Roman" w:hAnsi="Cambria" w:cs="Arial"/>
          <w:noProof/>
          <w:lang w:eastAsia="en-AU"/>
        </w:rPr>
      </w:pPr>
      <w:r w:rsidRPr="00D5015A">
        <w:rPr>
          <w:rFonts w:ascii="Cambria" w:eastAsia="Times New Roman" w:hAnsi="Cambria" w:cs="Arial"/>
          <w:b/>
          <w:noProof/>
          <w:lang w:eastAsia="en-AU"/>
        </w:rPr>
        <w:t>8</w:t>
      </w:r>
      <w:r w:rsidR="0027799A" w:rsidRPr="00D5015A">
        <w:rPr>
          <w:rFonts w:ascii="Cambria" w:eastAsia="Times New Roman" w:hAnsi="Cambria" w:cs="Arial"/>
          <w:b/>
          <w:noProof/>
          <w:lang w:eastAsia="en-AU"/>
        </w:rPr>
        <w:t xml:space="preserve">. </w:t>
      </w:r>
      <w:r w:rsidRPr="00D5015A">
        <w:rPr>
          <w:rFonts w:ascii="Cambria" w:eastAsia="Times New Roman" w:hAnsi="Cambria" w:cs="Arial"/>
          <w:b/>
          <w:noProof/>
          <w:lang w:eastAsia="en-AU"/>
        </w:rPr>
        <w:t>CONDITIONS</w:t>
      </w:r>
    </w:p>
    <w:p w14:paraId="3F67A276" w14:textId="77777777" w:rsidR="00075925" w:rsidRPr="00D5015A" w:rsidRDefault="00075925" w:rsidP="00075925">
      <w:pPr>
        <w:tabs>
          <w:tab w:val="left" w:pos="567"/>
          <w:tab w:val="left" w:pos="1418"/>
          <w:tab w:val="left" w:pos="2268"/>
          <w:tab w:val="left" w:pos="3119"/>
          <w:tab w:val="left" w:pos="3969"/>
        </w:tabs>
        <w:spacing w:after="0" w:line="240" w:lineRule="auto"/>
        <w:rPr>
          <w:rFonts w:ascii="Cambria" w:eastAsia="Times New Roman" w:hAnsi="Cambria" w:cs="Arial"/>
          <w:noProof/>
          <w:lang w:eastAsia="en-AU"/>
        </w:rPr>
      </w:pPr>
      <w:r w:rsidRPr="00D5015A">
        <w:rPr>
          <w:rFonts w:ascii="Cambria" w:eastAsia="Times New Roman" w:hAnsi="Cambria" w:cs="Arial"/>
          <w:noProof/>
          <w:lang w:eastAsia="en-AU"/>
        </w:rPr>
        <w:t>8.1</w:t>
      </w:r>
      <w:r w:rsidRPr="00D5015A">
        <w:rPr>
          <w:rFonts w:ascii="Cambria" w:eastAsia="Times New Roman" w:hAnsi="Cambria" w:cs="Arial"/>
          <w:noProof/>
          <w:lang w:eastAsia="en-AU"/>
        </w:rPr>
        <w:tab/>
      </w:r>
      <w:r w:rsidRPr="00D5015A">
        <w:rPr>
          <w:rFonts w:ascii="Cambria" w:eastAsia="Times New Roman" w:hAnsi="Cambria" w:cs="Arial"/>
          <w:b/>
          <w:noProof/>
          <w:lang w:eastAsia="en-AU"/>
        </w:rPr>
        <w:t>Grants</w:t>
      </w:r>
    </w:p>
    <w:p w14:paraId="05D052FA" w14:textId="77777777" w:rsidR="00075925" w:rsidRPr="00D5015A" w:rsidRDefault="00075925" w:rsidP="00075925">
      <w:pPr>
        <w:tabs>
          <w:tab w:val="left" w:pos="567"/>
          <w:tab w:val="left" w:pos="1418"/>
          <w:tab w:val="left" w:pos="2268"/>
          <w:tab w:val="left" w:pos="3119"/>
          <w:tab w:val="left" w:pos="3969"/>
        </w:tabs>
        <w:spacing w:after="0" w:line="240" w:lineRule="auto"/>
        <w:ind w:left="1418" w:hanging="1418"/>
        <w:rPr>
          <w:rFonts w:ascii="Cambria" w:eastAsia="Times New Roman" w:hAnsi="Cambria" w:cs="Arial"/>
          <w:noProof/>
          <w:lang w:eastAsia="en-AU"/>
        </w:rPr>
      </w:pPr>
      <w:r w:rsidRPr="00D5015A">
        <w:rPr>
          <w:rFonts w:ascii="Cambria" w:eastAsia="Times New Roman" w:hAnsi="Cambria" w:cs="Arial"/>
          <w:noProof/>
          <w:lang w:eastAsia="en-AU"/>
        </w:rPr>
        <w:tab/>
        <w:t>8.1.1</w:t>
      </w:r>
      <w:r w:rsidRPr="00D5015A">
        <w:rPr>
          <w:rFonts w:ascii="Cambria" w:eastAsia="Times New Roman" w:hAnsi="Cambria" w:cs="Arial"/>
          <w:noProof/>
          <w:lang w:eastAsia="en-AU"/>
        </w:rPr>
        <w:tab/>
        <w:t xml:space="preserve">If a student does not enter service within the Church, </w:t>
      </w:r>
      <w:r w:rsidRPr="00D5015A">
        <w:rPr>
          <w:rFonts w:ascii="Cambria" w:eastAsia="Times New Roman" w:hAnsi="Cambria" w:cs="Arial"/>
          <w:b/>
          <w:noProof/>
          <w:lang w:eastAsia="en-AU"/>
        </w:rPr>
        <w:t>or any of its agencies, in a role related to their studies,</w:t>
      </w:r>
      <w:r w:rsidRPr="00D5015A">
        <w:rPr>
          <w:rFonts w:ascii="Cambria" w:eastAsia="Times New Roman" w:hAnsi="Cambria" w:cs="Arial"/>
          <w:noProof/>
          <w:lang w:eastAsia="en-AU"/>
        </w:rPr>
        <w:t xml:space="preserve"> the total amount of assistance </w:t>
      </w:r>
      <w:r w:rsidRPr="00D5015A">
        <w:rPr>
          <w:rFonts w:ascii="Cambria" w:eastAsia="Times New Roman" w:hAnsi="Cambria" w:cs="Arial"/>
          <w:b/>
          <w:noProof/>
          <w:lang w:eastAsia="en-AU"/>
        </w:rPr>
        <w:t xml:space="preserve">by way of grants </w:t>
      </w:r>
      <w:r w:rsidRPr="00D5015A">
        <w:rPr>
          <w:rFonts w:ascii="Cambria" w:eastAsia="Times New Roman" w:hAnsi="Cambria" w:cs="Arial"/>
          <w:noProof/>
          <w:lang w:eastAsia="en-AU"/>
        </w:rPr>
        <w:t>received by that student shall be repayable immediately.</w:t>
      </w:r>
    </w:p>
    <w:p w14:paraId="240BE696" w14:textId="77777777" w:rsidR="00075925" w:rsidRPr="00D5015A" w:rsidRDefault="00075925" w:rsidP="00075925">
      <w:pPr>
        <w:tabs>
          <w:tab w:val="left" w:pos="567"/>
          <w:tab w:val="left" w:pos="1418"/>
          <w:tab w:val="left" w:pos="2268"/>
          <w:tab w:val="left" w:pos="3119"/>
          <w:tab w:val="left" w:pos="3969"/>
        </w:tabs>
        <w:spacing w:after="0" w:line="240" w:lineRule="auto"/>
        <w:ind w:left="1418" w:hanging="1418"/>
        <w:rPr>
          <w:rFonts w:ascii="Cambria" w:eastAsia="Times New Roman" w:hAnsi="Cambria" w:cs="Arial"/>
          <w:noProof/>
          <w:lang w:eastAsia="en-AU"/>
        </w:rPr>
      </w:pPr>
      <w:r w:rsidRPr="00D5015A">
        <w:rPr>
          <w:rFonts w:ascii="Cambria" w:eastAsia="Times New Roman" w:hAnsi="Cambria" w:cs="Arial"/>
          <w:noProof/>
          <w:lang w:eastAsia="en-AU"/>
        </w:rPr>
        <w:tab/>
        <w:t>8.1.2</w:t>
      </w:r>
      <w:r w:rsidRPr="00D5015A">
        <w:rPr>
          <w:rFonts w:ascii="Cambria" w:eastAsia="Times New Roman" w:hAnsi="Cambria" w:cs="Arial"/>
          <w:noProof/>
          <w:lang w:eastAsia="en-AU"/>
        </w:rPr>
        <w:tab/>
        <w:t xml:space="preserve">Upon entering service within the Church, </w:t>
      </w:r>
      <w:r w:rsidRPr="00D5015A">
        <w:rPr>
          <w:rFonts w:ascii="Cambria" w:eastAsia="Times New Roman" w:hAnsi="Cambria" w:cs="Arial"/>
          <w:b/>
          <w:noProof/>
          <w:lang w:eastAsia="en-AU"/>
        </w:rPr>
        <w:t>or any of its agancies,</w:t>
      </w:r>
      <w:r w:rsidRPr="00D5015A">
        <w:rPr>
          <w:rFonts w:ascii="Cambria" w:eastAsia="Times New Roman" w:hAnsi="Cambria" w:cs="Arial"/>
          <w:noProof/>
          <w:lang w:eastAsia="en-AU"/>
        </w:rPr>
        <w:t xml:space="preserve"> a proportionate amount of the total assistance shall be written off for every completed year of service.</w:t>
      </w:r>
    </w:p>
    <w:p w14:paraId="7799D0F2" w14:textId="77777777" w:rsidR="00075925" w:rsidRPr="00D5015A" w:rsidRDefault="00075925" w:rsidP="00075925">
      <w:pPr>
        <w:tabs>
          <w:tab w:val="left" w:pos="567"/>
          <w:tab w:val="left" w:pos="1418"/>
          <w:tab w:val="left" w:pos="2268"/>
          <w:tab w:val="left" w:pos="3119"/>
          <w:tab w:val="left" w:pos="3969"/>
        </w:tabs>
        <w:spacing w:after="0" w:line="240" w:lineRule="auto"/>
        <w:ind w:left="1418" w:hanging="1418"/>
        <w:rPr>
          <w:rFonts w:ascii="Cambria" w:eastAsia="Times New Roman" w:hAnsi="Cambria" w:cs="Arial"/>
          <w:noProof/>
          <w:lang w:eastAsia="en-AU"/>
        </w:rPr>
      </w:pPr>
      <w:r w:rsidRPr="00D5015A">
        <w:rPr>
          <w:rFonts w:ascii="Cambria" w:eastAsia="Times New Roman" w:hAnsi="Cambria" w:cs="Arial"/>
          <w:noProof/>
          <w:lang w:eastAsia="en-AU"/>
        </w:rPr>
        <w:tab/>
        <w:t>8.1.3</w:t>
      </w:r>
      <w:r w:rsidRPr="00D5015A">
        <w:rPr>
          <w:rFonts w:ascii="Cambria" w:eastAsia="Times New Roman" w:hAnsi="Cambria" w:cs="Arial"/>
          <w:noProof/>
          <w:lang w:eastAsia="en-AU"/>
        </w:rPr>
        <w:tab/>
        <w:t>The total amount of assistance shall be written off after the completion of five [5] years minimum of full-time service in the Church,</w:t>
      </w:r>
      <w:r w:rsidRPr="00D5015A">
        <w:rPr>
          <w:rFonts w:ascii="Cambria" w:eastAsia="Times New Roman" w:hAnsi="Cambria" w:cs="Arial"/>
          <w:b/>
          <w:noProof/>
          <w:lang w:eastAsia="en-AU"/>
        </w:rPr>
        <w:t xml:space="preserve"> or any of its agencies,</w:t>
      </w:r>
      <w:r w:rsidRPr="00D5015A">
        <w:rPr>
          <w:rFonts w:ascii="Cambria" w:eastAsia="Times New Roman" w:hAnsi="Cambria" w:cs="Arial"/>
          <w:noProof/>
          <w:lang w:eastAsia="en-AU"/>
        </w:rPr>
        <w:t xml:space="preserve"> or the equivalent thereof if part-time work only is available.</w:t>
      </w:r>
    </w:p>
    <w:p w14:paraId="62F1C68D" w14:textId="77777777" w:rsidR="00075925" w:rsidRPr="00D5015A" w:rsidRDefault="00075925" w:rsidP="00075925">
      <w:pPr>
        <w:tabs>
          <w:tab w:val="left" w:pos="567"/>
          <w:tab w:val="left" w:pos="1418"/>
          <w:tab w:val="left" w:pos="2268"/>
          <w:tab w:val="left" w:pos="3119"/>
          <w:tab w:val="left" w:pos="3969"/>
        </w:tabs>
        <w:spacing w:after="0" w:line="240" w:lineRule="auto"/>
        <w:ind w:left="1418" w:hanging="1418"/>
        <w:rPr>
          <w:rFonts w:ascii="Cambria" w:eastAsia="Times New Roman" w:hAnsi="Cambria" w:cs="Arial"/>
          <w:b/>
          <w:noProof/>
          <w:lang w:eastAsia="en-AU"/>
        </w:rPr>
      </w:pPr>
      <w:r w:rsidRPr="00D5015A">
        <w:rPr>
          <w:rFonts w:ascii="Cambria" w:eastAsia="Times New Roman" w:hAnsi="Cambria" w:cs="Arial"/>
          <w:b/>
          <w:noProof/>
          <w:lang w:eastAsia="en-AU"/>
        </w:rPr>
        <w:tab/>
        <w:t>8.1.4</w:t>
      </w:r>
      <w:r w:rsidRPr="00D5015A">
        <w:rPr>
          <w:rFonts w:ascii="Cambria" w:eastAsia="Times New Roman" w:hAnsi="Cambria" w:cs="Arial"/>
          <w:b/>
          <w:noProof/>
          <w:lang w:eastAsia="en-AU"/>
        </w:rPr>
        <w:tab/>
        <w:t>If a student resigns from service within the Church or any of its agencies before completion of 5 years full-time service, any outstanding grants will immediately become a loan, and an agreement will be documented, and a repayment schedule agreed upon.</w:t>
      </w:r>
    </w:p>
    <w:p w14:paraId="705B0C20" w14:textId="77777777" w:rsidR="00075925" w:rsidRPr="00D5015A" w:rsidRDefault="00075925" w:rsidP="00075925">
      <w:pPr>
        <w:tabs>
          <w:tab w:val="left" w:pos="567"/>
          <w:tab w:val="left" w:pos="1418"/>
          <w:tab w:val="left" w:pos="2268"/>
          <w:tab w:val="left" w:pos="3119"/>
          <w:tab w:val="left" w:pos="3969"/>
        </w:tabs>
        <w:spacing w:after="0" w:line="240" w:lineRule="auto"/>
        <w:rPr>
          <w:rFonts w:ascii="Cambria" w:eastAsia="Times New Roman" w:hAnsi="Cambria" w:cs="Arial"/>
          <w:noProof/>
          <w:lang w:eastAsia="en-AU"/>
        </w:rPr>
      </w:pPr>
      <w:r w:rsidRPr="00D5015A">
        <w:rPr>
          <w:rFonts w:ascii="Cambria" w:eastAsia="Times New Roman" w:hAnsi="Cambria" w:cs="Arial"/>
          <w:noProof/>
          <w:lang w:eastAsia="en-AU"/>
        </w:rPr>
        <w:t>8.2</w:t>
      </w:r>
      <w:r w:rsidRPr="00D5015A">
        <w:rPr>
          <w:rFonts w:ascii="Cambria" w:eastAsia="Times New Roman" w:hAnsi="Cambria" w:cs="Arial"/>
          <w:noProof/>
          <w:lang w:eastAsia="en-AU"/>
        </w:rPr>
        <w:tab/>
      </w:r>
      <w:r w:rsidRPr="00D5015A">
        <w:rPr>
          <w:rFonts w:ascii="Cambria" w:eastAsia="Times New Roman" w:hAnsi="Cambria" w:cs="Arial"/>
          <w:b/>
          <w:noProof/>
          <w:lang w:eastAsia="en-AU"/>
        </w:rPr>
        <w:t>Loans</w:t>
      </w:r>
    </w:p>
    <w:p w14:paraId="6FED1FF5" w14:textId="77777777" w:rsidR="00075925" w:rsidRPr="00D5015A" w:rsidRDefault="00075925" w:rsidP="00075925">
      <w:pPr>
        <w:tabs>
          <w:tab w:val="left" w:pos="567"/>
          <w:tab w:val="left" w:pos="1418"/>
          <w:tab w:val="left" w:pos="2268"/>
          <w:tab w:val="left" w:pos="3119"/>
          <w:tab w:val="left" w:pos="3969"/>
        </w:tabs>
        <w:spacing w:after="0" w:line="240" w:lineRule="auto"/>
        <w:ind w:left="1418" w:hanging="1418"/>
        <w:rPr>
          <w:rFonts w:ascii="Cambria" w:eastAsia="Times New Roman" w:hAnsi="Cambria" w:cs="Arial"/>
          <w:noProof/>
          <w:lang w:eastAsia="en-AU"/>
        </w:rPr>
      </w:pPr>
      <w:r w:rsidRPr="00D5015A">
        <w:rPr>
          <w:rFonts w:ascii="Cambria" w:eastAsia="Times New Roman" w:hAnsi="Cambria" w:cs="Arial"/>
          <w:noProof/>
          <w:lang w:eastAsia="en-AU"/>
        </w:rPr>
        <w:tab/>
        <w:t>8.2.1</w:t>
      </w:r>
      <w:r w:rsidRPr="00D5015A">
        <w:rPr>
          <w:rFonts w:ascii="Cambria" w:eastAsia="Times New Roman" w:hAnsi="Cambria" w:cs="Arial"/>
          <w:noProof/>
          <w:lang w:eastAsia="en-AU"/>
        </w:rPr>
        <w:tab/>
        <w:t>Repayment of the loan shall be agreed to in writing prior to the loan being advanced.</w:t>
      </w:r>
    </w:p>
    <w:p w14:paraId="76EFEF6A" w14:textId="77777777" w:rsidR="00075925" w:rsidRPr="00D5015A" w:rsidRDefault="00075925" w:rsidP="00075925">
      <w:pPr>
        <w:tabs>
          <w:tab w:val="left" w:pos="567"/>
          <w:tab w:val="left" w:pos="1418"/>
          <w:tab w:val="left" w:pos="2268"/>
          <w:tab w:val="left" w:pos="3119"/>
          <w:tab w:val="left" w:pos="3969"/>
        </w:tabs>
        <w:spacing w:after="0" w:line="240" w:lineRule="auto"/>
        <w:ind w:left="1418" w:hanging="1418"/>
        <w:rPr>
          <w:rFonts w:ascii="Cambria" w:eastAsia="Times New Roman" w:hAnsi="Cambria" w:cs="Arial"/>
          <w:noProof/>
          <w:lang w:eastAsia="en-AU"/>
        </w:rPr>
      </w:pPr>
      <w:r w:rsidRPr="00D5015A">
        <w:rPr>
          <w:rFonts w:ascii="Cambria" w:eastAsia="Times New Roman" w:hAnsi="Cambria" w:cs="Arial"/>
          <w:noProof/>
          <w:lang w:eastAsia="en-AU"/>
        </w:rPr>
        <w:tab/>
        <w:t>8.2.2</w:t>
      </w:r>
      <w:r w:rsidRPr="00D5015A">
        <w:rPr>
          <w:rFonts w:ascii="Cambria" w:eastAsia="Times New Roman" w:hAnsi="Cambria" w:cs="Arial"/>
          <w:noProof/>
          <w:lang w:eastAsia="en-AU"/>
        </w:rPr>
        <w:tab/>
        <w:t xml:space="preserve">If the agreed repayment schedule cannot be adhered to the borrower shall immediately advise the </w:t>
      </w:r>
      <w:smartTag w:uri="urn:schemas-microsoft-com:office:smarttags" w:element="stockticker">
        <w:r w:rsidRPr="00D5015A">
          <w:rPr>
            <w:rFonts w:ascii="Cambria" w:eastAsia="Times New Roman" w:hAnsi="Cambria" w:cs="Arial"/>
            <w:noProof/>
            <w:lang w:eastAsia="en-AU"/>
          </w:rPr>
          <w:t>ALC</w:t>
        </w:r>
      </w:smartTag>
      <w:r w:rsidRPr="00D5015A">
        <w:rPr>
          <w:rFonts w:ascii="Cambria" w:eastAsia="Times New Roman" w:hAnsi="Cambria" w:cs="Arial"/>
          <w:noProof/>
          <w:lang w:eastAsia="en-AU"/>
        </w:rPr>
        <w:t xml:space="preserve"> Business </w:t>
      </w:r>
      <w:r w:rsidRPr="00D5015A">
        <w:rPr>
          <w:rFonts w:ascii="Cambria" w:eastAsia="Times New Roman" w:hAnsi="Cambria" w:cs="Arial"/>
          <w:strike/>
          <w:noProof/>
          <w:lang w:eastAsia="en-AU"/>
        </w:rPr>
        <w:t>Administrator</w:t>
      </w:r>
      <w:r w:rsidRPr="00D5015A">
        <w:rPr>
          <w:rFonts w:ascii="Cambria" w:eastAsia="Times New Roman" w:hAnsi="Cambria" w:cs="Arial"/>
          <w:b/>
          <w:noProof/>
          <w:lang w:eastAsia="en-AU"/>
        </w:rPr>
        <w:t>Manager</w:t>
      </w:r>
      <w:r w:rsidRPr="00D5015A">
        <w:rPr>
          <w:rFonts w:ascii="Cambria" w:eastAsia="Times New Roman" w:hAnsi="Cambria" w:cs="Arial"/>
          <w:noProof/>
          <w:lang w:eastAsia="en-AU"/>
        </w:rPr>
        <w:t xml:space="preserve"> whereupon both shall agree to a revised course of action and the Business </w:t>
      </w:r>
      <w:r w:rsidRPr="00D5015A">
        <w:rPr>
          <w:rFonts w:ascii="Cambria" w:eastAsia="Times New Roman" w:hAnsi="Cambria" w:cs="Arial"/>
          <w:strike/>
          <w:noProof/>
          <w:lang w:eastAsia="en-AU"/>
        </w:rPr>
        <w:t>Administrator</w:t>
      </w:r>
      <w:r w:rsidRPr="00D5015A">
        <w:rPr>
          <w:rFonts w:ascii="Cambria" w:eastAsia="Times New Roman" w:hAnsi="Cambria" w:cs="Arial"/>
          <w:b/>
          <w:noProof/>
          <w:lang w:eastAsia="en-AU"/>
        </w:rPr>
        <w:t>Manager</w:t>
      </w:r>
      <w:r w:rsidRPr="00D5015A">
        <w:rPr>
          <w:rFonts w:ascii="Cambria" w:eastAsia="Times New Roman" w:hAnsi="Cambria" w:cs="Arial"/>
          <w:noProof/>
          <w:lang w:eastAsia="en-AU"/>
        </w:rPr>
        <w:t xml:space="preserve"> shall report such arrangement to the Student Fund Committee.</w:t>
      </w:r>
    </w:p>
    <w:p w14:paraId="6DC0A79F" w14:textId="1D98ED9A" w:rsidR="00075925" w:rsidRPr="00D5015A" w:rsidRDefault="00075925" w:rsidP="00075925">
      <w:pPr>
        <w:tabs>
          <w:tab w:val="left" w:pos="567"/>
          <w:tab w:val="left" w:pos="1418"/>
          <w:tab w:val="left" w:pos="2268"/>
          <w:tab w:val="left" w:pos="3119"/>
          <w:tab w:val="left" w:pos="3969"/>
        </w:tabs>
        <w:spacing w:after="0" w:line="240" w:lineRule="auto"/>
        <w:ind w:left="1418" w:hanging="1418"/>
        <w:rPr>
          <w:rFonts w:ascii="Cambria" w:eastAsia="Times New Roman" w:hAnsi="Cambria" w:cs="Arial"/>
          <w:noProof/>
          <w:lang w:eastAsia="en-AU"/>
        </w:rPr>
      </w:pPr>
      <w:r w:rsidRPr="00D5015A">
        <w:rPr>
          <w:rFonts w:ascii="Cambria" w:eastAsia="Times New Roman" w:hAnsi="Cambria" w:cs="Arial"/>
          <w:noProof/>
          <w:lang w:eastAsia="en-AU"/>
        </w:rPr>
        <w:tab/>
        <w:t>8.2.3</w:t>
      </w:r>
      <w:r w:rsidRPr="00D5015A">
        <w:rPr>
          <w:rFonts w:ascii="Cambria" w:eastAsia="Times New Roman" w:hAnsi="Cambria" w:cs="Arial"/>
          <w:noProof/>
          <w:lang w:eastAsia="en-AU"/>
        </w:rPr>
        <w:tab/>
        <w:t>In the event that there is a default in repayment without the aforementioned notification the loan may incur an interest rate charge</w:t>
      </w:r>
      <w:r w:rsidR="0027799A" w:rsidRPr="00D5015A">
        <w:rPr>
          <w:rFonts w:ascii="Cambria" w:eastAsia="Times New Roman" w:hAnsi="Cambria" w:cs="Arial"/>
          <w:noProof/>
          <w:lang w:eastAsia="en-AU"/>
        </w:rPr>
        <w:t xml:space="preserve">. </w:t>
      </w:r>
      <w:r w:rsidRPr="00D5015A">
        <w:rPr>
          <w:rFonts w:ascii="Cambria" w:eastAsia="Times New Roman" w:hAnsi="Cambria" w:cs="Arial"/>
          <w:noProof/>
          <w:lang w:eastAsia="en-AU"/>
        </w:rPr>
        <w:t>The minimum interest rate to be charged shall be the current church loan rate.</w:t>
      </w:r>
    </w:p>
    <w:p w14:paraId="12EB712E" w14:textId="77777777" w:rsidR="00075925" w:rsidRPr="00786120" w:rsidRDefault="00075925" w:rsidP="00075925">
      <w:pPr>
        <w:tabs>
          <w:tab w:val="left" w:pos="567"/>
          <w:tab w:val="left" w:pos="1418"/>
          <w:tab w:val="left" w:pos="2268"/>
          <w:tab w:val="left" w:pos="3119"/>
          <w:tab w:val="left" w:pos="3969"/>
        </w:tabs>
        <w:spacing w:after="0" w:line="240" w:lineRule="auto"/>
        <w:rPr>
          <w:rFonts w:ascii="Cambria" w:eastAsia="Times New Roman" w:hAnsi="Cambria" w:cs="Arial"/>
          <w:noProof/>
          <w:sz w:val="10"/>
          <w:szCs w:val="10"/>
          <w:lang w:eastAsia="en-AU"/>
        </w:rPr>
      </w:pPr>
    </w:p>
    <w:p w14:paraId="6D61B345" w14:textId="428E08E9" w:rsidR="00075925" w:rsidRPr="00D5015A" w:rsidRDefault="00075925" w:rsidP="00075925">
      <w:pPr>
        <w:tabs>
          <w:tab w:val="left" w:pos="567"/>
          <w:tab w:val="left" w:pos="1418"/>
          <w:tab w:val="left" w:pos="2268"/>
          <w:tab w:val="left" w:pos="3119"/>
          <w:tab w:val="left" w:pos="3969"/>
        </w:tabs>
        <w:spacing w:after="0" w:line="240" w:lineRule="auto"/>
        <w:jc w:val="center"/>
        <w:rPr>
          <w:rFonts w:ascii="Cambria" w:eastAsia="Times New Roman" w:hAnsi="Cambria" w:cs="Arial"/>
          <w:noProof/>
          <w:lang w:eastAsia="en-AU"/>
        </w:rPr>
      </w:pPr>
      <w:r w:rsidRPr="00D5015A">
        <w:rPr>
          <w:rFonts w:ascii="Cambria" w:eastAsia="Times New Roman" w:hAnsi="Cambria" w:cs="Arial"/>
          <w:b/>
          <w:noProof/>
          <w:lang w:eastAsia="en-AU"/>
        </w:rPr>
        <w:t>9</w:t>
      </w:r>
      <w:r w:rsidR="0027799A" w:rsidRPr="00D5015A">
        <w:rPr>
          <w:rFonts w:ascii="Cambria" w:eastAsia="Times New Roman" w:hAnsi="Cambria" w:cs="Arial"/>
          <w:b/>
          <w:noProof/>
          <w:lang w:eastAsia="en-AU"/>
        </w:rPr>
        <w:t xml:space="preserve">. </w:t>
      </w:r>
      <w:r w:rsidRPr="00D5015A">
        <w:rPr>
          <w:rFonts w:ascii="Cambria" w:eastAsia="Times New Roman" w:hAnsi="Cambria" w:cs="Arial"/>
          <w:b/>
          <w:noProof/>
          <w:lang w:eastAsia="en-AU"/>
        </w:rPr>
        <w:t>REPORT  TO  SPONSORS</w:t>
      </w:r>
    </w:p>
    <w:p w14:paraId="58275BCC" w14:textId="30D54E1A" w:rsidR="00075925" w:rsidRPr="00D5015A" w:rsidRDefault="00075925" w:rsidP="00075925">
      <w:pPr>
        <w:tabs>
          <w:tab w:val="left" w:pos="567"/>
          <w:tab w:val="left" w:pos="1418"/>
          <w:tab w:val="left" w:pos="2268"/>
          <w:tab w:val="left" w:pos="3119"/>
          <w:tab w:val="left" w:pos="3969"/>
        </w:tabs>
        <w:spacing w:after="0" w:line="240" w:lineRule="auto"/>
        <w:ind w:left="567" w:hanging="567"/>
        <w:rPr>
          <w:rFonts w:ascii="Cambria" w:eastAsia="Times New Roman" w:hAnsi="Cambria" w:cs="Arial"/>
          <w:noProof/>
          <w:lang w:eastAsia="en-AU"/>
        </w:rPr>
      </w:pPr>
      <w:r w:rsidRPr="00D5015A">
        <w:rPr>
          <w:rFonts w:ascii="Cambria" w:eastAsia="Times New Roman" w:hAnsi="Cambria" w:cs="Arial"/>
          <w:noProof/>
          <w:lang w:eastAsia="en-AU"/>
        </w:rPr>
        <w:t>9.1</w:t>
      </w:r>
      <w:r w:rsidRPr="00D5015A">
        <w:rPr>
          <w:rFonts w:ascii="Cambria" w:eastAsia="Times New Roman" w:hAnsi="Cambria" w:cs="Arial"/>
          <w:noProof/>
          <w:lang w:eastAsia="en-AU"/>
        </w:rPr>
        <w:tab/>
        <w:t xml:space="preserve">A report shall be forwarded annually by the Student Fund to any sponsor of an assisted student </w:t>
      </w:r>
      <w:r w:rsidRPr="00D5015A">
        <w:rPr>
          <w:rFonts w:ascii="Cambria" w:eastAsia="Times New Roman" w:hAnsi="Cambria" w:cs="Arial"/>
          <w:b/>
          <w:noProof/>
          <w:lang w:eastAsia="en-AU"/>
        </w:rPr>
        <w:t>upon request</w:t>
      </w:r>
      <w:r w:rsidRPr="00D5015A">
        <w:rPr>
          <w:rFonts w:ascii="Cambria" w:eastAsia="Times New Roman" w:hAnsi="Cambria" w:cs="Arial"/>
          <w:noProof/>
          <w:lang w:eastAsia="en-AU"/>
        </w:rPr>
        <w:t>.</w:t>
      </w:r>
    </w:p>
    <w:p w14:paraId="78F97327" w14:textId="77777777" w:rsidR="00075925" w:rsidRPr="00D5015A" w:rsidRDefault="00075925" w:rsidP="00075925">
      <w:pPr>
        <w:tabs>
          <w:tab w:val="left" w:pos="567"/>
          <w:tab w:val="left" w:pos="1418"/>
          <w:tab w:val="left" w:pos="2268"/>
          <w:tab w:val="left" w:pos="3119"/>
          <w:tab w:val="left" w:pos="3969"/>
        </w:tabs>
        <w:spacing w:after="0" w:line="240" w:lineRule="auto"/>
        <w:rPr>
          <w:rFonts w:ascii="Cambria" w:eastAsia="Times New Roman" w:hAnsi="Cambria" w:cs="Times New Roman"/>
          <w:noProof/>
          <w:lang w:eastAsia="en-AU"/>
        </w:rPr>
      </w:pPr>
    </w:p>
    <w:p w14:paraId="14C39B67" w14:textId="77777777" w:rsidR="00075925" w:rsidRPr="00D5015A" w:rsidRDefault="00075925" w:rsidP="00075925">
      <w:pPr>
        <w:tabs>
          <w:tab w:val="left" w:pos="567"/>
          <w:tab w:val="left" w:pos="1134"/>
          <w:tab w:val="left" w:pos="1701"/>
          <w:tab w:val="left" w:pos="2268"/>
          <w:tab w:val="left" w:pos="2835"/>
          <w:tab w:val="left" w:pos="3402"/>
        </w:tabs>
        <w:spacing w:after="0" w:line="240" w:lineRule="auto"/>
        <w:rPr>
          <w:rFonts w:ascii="Cambria" w:eastAsia="Times New Roman" w:hAnsi="Cambria" w:cs="Times New Roman"/>
          <w:lang w:eastAsia="ja-JP"/>
        </w:rPr>
      </w:pPr>
      <w:r w:rsidRPr="00D5015A">
        <w:rPr>
          <w:rFonts w:ascii="Cambria" w:eastAsia="Times New Roman" w:hAnsi="Cambria" w:cs="Times New Roman"/>
        </w:rPr>
        <w:t xml:space="preserve">In reviewing the proposed changes to the rules of this Fund, the SCoC was of the view that in clause 3.1.3 the word “devises”, which means the act of transmitting or giving real property by will, should be retained as it continues to have relevance should such an act occur in the future. </w:t>
      </w:r>
    </w:p>
    <w:p w14:paraId="2F2D7830" w14:textId="77777777" w:rsidR="00075925" w:rsidRPr="00D5015A" w:rsidRDefault="00075925" w:rsidP="00075925">
      <w:pPr>
        <w:autoSpaceDE w:val="0"/>
        <w:autoSpaceDN w:val="0"/>
        <w:adjustRightInd w:val="0"/>
        <w:spacing w:after="0" w:line="240" w:lineRule="auto"/>
        <w:rPr>
          <w:rFonts w:ascii="Cambria" w:eastAsiaTheme="minorEastAsia" w:hAnsi="Cambria" w:cs="Arial"/>
          <w:bCs/>
          <w:color w:val="000000"/>
        </w:rPr>
      </w:pPr>
    </w:p>
    <w:p w14:paraId="7E68A4FF" w14:textId="79FD85B5" w:rsidR="00075925" w:rsidRPr="00D5015A" w:rsidRDefault="00265A2C" w:rsidP="00355E83">
      <w:pPr>
        <w:pStyle w:val="Heading3"/>
      </w:pPr>
      <w:r w:rsidRPr="00D5015A">
        <w:t>REASON</w:t>
      </w:r>
      <w:r w:rsidR="00786120">
        <w:t>S</w:t>
      </w:r>
      <w:r w:rsidR="00075925" w:rsidRPr="00D5015A">
        <w:t xml:space="preserve"> FOR THE MOTION</w:t>
      </w:r>
    </w:p>
    <w:p w14:paraId="0F8EC97E" w14:textId="21183A8F" w:rsidR="00075925" w:rsidRPr="00D5015A" w:rsidRDefault="00075925" w:rsidP="00075925">
      <w:pPr>
        <w:pStyle w:val="Standard"/>
        <w:shd w:val="clear" w:color="auto" w:fill="FFFFFF"/>
        <w:tabs>
          <w:tab w:val="left" w:pos="3596"/>
        </w:tabs>
        <w:spacing w:after="0" w:line="240" w:lineRule="auto"/>
        <w:rPr>
          <w:rFonts w:ascii="Cambria" w:hAnsi="Cambria"/>
        </w:rPr>
      </w:pPr>
      <w:r w:rsidRPr="00D5015A">
        <w:rPr>
          <w:rFonts w:ascii="Cambria" w:hAnsi="Cambria"/>
        </w:rPr>
        <w:t xml:space="preserve">The Rules of the LCA Student Fund, need to be amended to align with the proposed changes at Australian Lutheran College, including </w:t>
      </w:r>
      <w:r w:rsidR="00FF4780" w:rsidRPr="00D5015A">
        <w:rPr>
          <w:rFonts w:ascii="Cambria" w:hAnsi="Cambria"/>
        </w:rPr>
        <w:t>its</w:t>
      </w:r>
      <w:r w:rsidRPr="00D5015A">
        <w:rPr>
          <w:rFonts w:ascii="Cambria" w:hAnsi="Cambria"/>
        </w:rPr>
        <w:t xml:space="preserve"> constitution. </w:t>
      </w:r>
    </w:p>
    <w:p w14:paraId="412AF885" w14:textId="7EB6D629" w:rsidR="00634B13" w:rsidRPr="002A18E0" w:rsidRDefault="00634B13" w:rsidP="00964A90">
      <w:pPr>
        <w:pStyle w:val="Heading3"/>
      </w:pPr>
      <w:r w:rsidRPr="002A18E0">
        <w:lastRenderedPageBreak/>
        <w:t>agenda 2.4.</w:t>
      </w:r>
      <w:r w:rsidR="000C3458" w:rsidRPr="002A18E0">
        <w:t>19</w:t>
      </w:r>
    </w:p>
    <w:p w14:paraId="288CF00B" w14:textId="77777777" w:rsidR="00634B13" w:rsidRPr="002A18E0" w:rsidRDefault="00634B13" w:rsidP="00634B13">
      <w:pPr>
        <w:pStyle w:val="Heading2"/>
      </w:pPr>
      <w:bookmarkStart w:id="469" w:name="_Toc521954721"/>
      <w:r w:rsidRPr="002A18E0">
        <w:t xml:space="preserve">Constitutional </w:t>
      </w:r>
      <w:r w:rsidR="00D545E8" w:rsidRPr="002A18E0">
        <w:t>c</w:t>
      </w:r>
      <w:r w:rsidRPr="002A18E0">
        <w:t>hange</w:t>
      </w:r>
      <w:r w:rsidR="00D545E8" w:rsidRPr="002A18E0">
        <w:t>s</w:t>
      </w:r>
      <w:r w:rsidRPr="002A18E0">
        <w:t>: Vicarage Trust Fund</w:t>
      </w:r>
      <w:bookmarkEnd w:id="469"/>
    </w:p>
    <w:p w14:paraId="41E194C9" w14:textId="77777777" w:rsidR="00634B13" w:rsidRPr="002A18E0" w:rsidRDefault="00634B13" w:rsidP="00634B13">
      <w:pPr>
        <w:pStyle w:val="NoSpacing"/>
      </w:pPr>
    </w:p>
    <w:p w14:paraId="0615C51B" w14:textId="77777777" w:rsidR="00634B13" w:rsidRPr="002A18E0" w:rsidRDefault="00D545E8" w:rsidP="00964A90">
      <w:pPr>
        <w:pStyle w:val="Heading3"/>
      </w:pPr>
      <w:r w:rsidRPr="002A18E0">
        <w:t>proposED MOTION</w:t>
      </w:r>
    </w:p>
    <w:p w14:paraId="3FB9C195" w14:textId="77777777" w:rsidR="00D545E8" w:rsidRPr="002A18E0" w:rsidRDefault="00D545E8" w:rsidP="00D545E8">
      <w:pPr>
        <w:shd w:val="clear" w:color="auto" w:fill="FFFFFF"/>
        <w:spacing w:after="0" w:line="240" w:lineRule="auto"/>
        <w:rPr>
          <w:rFonts w:ascii="Cambria" w:eastAsia="Times New Roman" w:hAnsi="Cambria" w:cs="Times New Roman"/>
          <w:bCs/>
          <w:color w:val="222222"/>
          <w:lang w:eastAsia="en-AU"/>
        </w:rPr>
      </w:pPr>
      <w:r w:rsidRPr="002A18E0">
        <w:rPr>
          <w:rFonts w:ascii="Cambria" w:hAnsi="Cambria"/>
          <w:b/>
          <w:bCs/>
          <w:lang w:eastAsia="en-AU"/>
        </w:rPr>
        <w:t>BE IT RESOLVED</w:t>
      </w:r>
      <w:r w:rsidRPr="002A18E0">
        <w:rPr>
          <w:rFonts w:ascii="Cambria" w:eastAsia="Times New Roman" w:hAnsi="Cambria" w:cs="Times New Roman"/>
          <w:bCs/>
          <w:color w:val="000000"/>
          <w:lang w:eastAsia="en-AU"/>
        </w:rPr>
        <w:t xml:space="preserve"> </w:t>
      </w:r>
      <w:r w:rsidRPr="002A18E0">
        <w:rPr>
          <w:rFonts w:ascii="Cambria" w:eastAsia="Times New Roman" w:hAnsi="Cambria" w:cs="Times New Roman"/>
          <w:bCs/>
          <w:color w:val="222222"/>
          <w:lang w:eastAsia="en-AU"/>
        </w:rPr>
        <w:t xml:space="preserve">that the By-laws for the </w:t>
      </w:r>
      <w:r w:rsidRPr="002A18E0">
        <w:rPr>
          <w:rFonts w:ascii="Cambria" w:eastAsia="Times New Roman" w:hAnsi="Cambria" w:cs="Times New Roman"/>
          <w:b/>
          <w:bCs/>
          <w:color w:val="222222"/>
          <w:lang w:eastAsia="en-AU"/>
        </w:rPr>
        <w:t>LCA Vicarage Trust Fund Terms of Reference</w:t>
      </w:r>
      <w:r w:rsidRPr="002A18E0">
        <w:rPr>
          <w:rFonts w:ascii="Cambria" w:eastAsia="Times New Roman" w:hAnsi="Cambria" w:cs="Times New Roman"/>
          <w:bCs/>
          <w:color w:val="222222"/>
          <w:lang w:eastAsia="en-AU"/>
        </w:rPr>
        <w:t xml:space="preserve"> be amended as follows (words to be deleted – </w:t>
      </w:r>
      <w:r w:rsidRPr="002A18E0">
        <w:rPr>
          <w:rFonts w:ascii="Cambria" w:eastAsia="Times New Roman" w:hAnsi="Cambria" w:cs="Times New Roman"/>
          <w:bCs/>
          <w:strike/>
          <w:color w:val="222222"/>
          <w:lang w:eastAsia="en-AU"/>
        </w:rPr>
        <w:t>strikethrough</w:t>
      </w:r>
      <w:r w:rsidRPr="002A18E0">
        <w:rPr>
          <w:rFonts w:ascii="Cambria" w:eastAsia="Times New Roman" w:hAnsi="Cambria" w:cs="Times New Roman"/>
          <w:bCs/>
          <w:color w:val="222222"/>
          <w:lang w:eastAsia="en-AU"/>
        </w:rPr>
        <w:t xml:space="preserve">; words to be added – </w:t>
      </w:r>
      <w:r w:rsidRPr="002A18E0">
        <w:rPr>
          <w:rFonts w:ascii="Cambria" w:eastAsia="Times New Roman" w:hAnsi="Cambria" w:cs="Times New Roman"/>
          <w:b/>
          <w:bCs/>
          <w:color w:val="222222"/>
          <w:lang w:eastAsia="en-AU"/>
        </w:rPr>
        <w:t>bold</w:t>
      </w:r>
      <w:r w:rsidRPr="002A18E0">
        <w:rPr>
          <w:rFonts w:ascii="Cambria" w:eastAsia="Times New Roman" w:hAnsi="Cambria" w:cs="Times New Roman"/>
          <w:bCs/>
          <w:color w:val="222222"/>
          <w:lang w:eastAsia="en-AU"/>
        </w:rPr>
        <w:t>):</w:t>
      </w:r>
    </w:p>
    <w:p w14:paraId="54444233" w14:textId="77777777" w:rsidR="00D545E8" w:rsidRPr="002A18E0" w:rsidRDefault="00D545E8" w:rsidP="00D545E8">
      <w:pPr>
        <w:shd w:val="clear" w:color="auto" w:fill="FFFFFF"/>
        <w:spacing w:after="0" w:line="240" w:lineRule="auto"/>
        <w:rPr>
          <w:rFonts w:ascii="Cambria" w:eastAsia="Times New Roman" w:hAnsi="Cambria" w:cs="Times New Roman"/>
          <w:bCs/>
          <w:color w:val="222222"/>
          <w:lang w:eastAsia="en-AU"/>
        </w:rPr>
      </w:pPr>
    </w:p>
    <w:p w14:paraId="59AC8CE5" w14:textId="77777777" w:rsidR="00D545E8" w:rsidRPr="002A18E0" w:rsidRDefault="00D545E8" w:rsidP="00D545E8">
      <w:pPr>
        <w:tabs>
          <w:tab w:val="left" w:pos="567"/>
          <w:tab w:val="left" w:pos="1134"/>
          <w:tab w:val="left" w:pos="1701"/>
          <w:tab w:val="left" w:pos="2268"/>
          <w:tab w:val="left" w:pos="2835"/>
          <w:tab w:val="left" w:pos="3402"/>
        </w:tabs>
        <w:spacing w:after="0"/>
        <w:jc w:val="center"/>
        <w:rPr>
          <w:rFonts w:ascii="Cambria" w:eastAsiaTheme="minorEastAsia" w:hAnsi="Cambria" w:cs="Arial"/>
          <w:b/>
          <w:lang w:eastAsia="ja-JP"/>
        </w:rPr>
      </w:pPr>
      <w:r w:rsidRPr="002A18E0">
        <w:rPr>
          <w:rFonts w:ascii="Cambria" w:hAnsi="Cambria" w:cs="Arial"/>
          <w:b/>
        </w:rPr>
        <w:t>LCA VICARAGE TRUST FUND TERMS OF REFERENCE</w:t>
      </w:r>
    </w:p>
    <w:p w14:paraId="4BA61C62" w14:textId="77777777" w:rsidR="00D545E8" w:rsidRPr="002A18E0" w:rsidRDefault="00D545E8" w:rsidP="00D545E8">
      <w:pPr>
        <w:tabs>
          <w:tab w:val="left" w:pos="567"/>
          <w:tab w:val="left" w:pos="1134"/>
          <w:tab w:val="left" w:pos="1701"/>
          <w:tab w:val="left" w:pos="2268"/>
          <w:tab w:val="left" w:pos="2835"/>
          <w:tab w:val="left" w:pos="3402"/>
        </w:tabs>
        <w:spacing w:after="0"/>
        <w:jc w:val="center"/>
        <w:rPr>
          <w:rFonts w:ascii="Cambria" w:hAnsi="Cambria"/>
          <w:i/>
        </w:rPr>
      </w:pPr>
      <w:r w:rsidRPr="002A18E0">
        <w:rPr>
          <w:rFonts w:ascii="Cambria" w:hAnsi="Cambria"/>
          <w:i/>
        </w:rPr>
        <w:t>adopted by GCC July 2005, Synod 2009</w:t>
      </w:r>
      <w:r w:rsidRPr="002A18E0">
        <w:rPr>
          <w:rFonts w:ascii="Cambria" w:hAnsi="Cambria"/>
          <w:i/>
        </w:rPr>
        <w:br/>
      </w:r>
    </w:p>
    <w:p w14:paraId="3E9BCAB8" w14:textId="77777777" w:rsidR="00D545E8" w:rsidRPr="002A18E0" w:rsidRDefault="00D545E8" w:rsidP="00D545E8">
      <w:pPr>
        <w:tabs>
          <w:tab w:val="left" w:pos="567"/>
          <w:tab w:val="left" w:pos="1134"/>
          <w:tab w:val="left" w:pos="1701"/>
          <w:tab w:val="left" w:pos="2268"/>
          <w:tab w:val="left" w:pos="2835"/>
          <w:tab w:val="left" w:pos="3402"/>
        </w:tabs>
        <w:spacing w:after="0"/>
        <w:jc w:val="center"/>
        <w:rPr>
          <w:rFonts w:ascii="Cambria" w:hAnsi="Cambria" w:cs="Arial"/>
          <w:b/>
        </w:rPr>
      </w:pPr>
      <w:r w:rsidRPr="002A18E0">
        <w:rPr>
          <w:rFonts w:ascii="Cambria" w:hAnsi="Cambria" w:cs="Arial"/>
          <w:b/>
        </w:rPr>
        <w:t>NAME</w:t>
      </w:r>
    </w:p>
    <w:p w14:paraId="79BCDCFE" w14:textId="4FE0F288" w:rsidR="00D545E8" w:rsidRPr="00FF4780" w:rsidRDefault="00D545E8" w:rsidP="00F55252">
      <w:pPr>
        <w:pStyle w:val="ListParagraph"/>
        <w:numPr>
          <w:ilvl w:val="2"/>
          <w:numId w:val="326"/>
        </w:numPr>
        <w:tabs>
          <w:tab w:val="left" w:pos="567"/>
          <w:tab w:val="left" w:pos="1134"/>
          <w:tab w:val="left" w:pos="1701"/>
          <w:tab w:val="left" w:pos="2268"/>
          <w:tab w:val="left" w:pos="2835"/>
          <w:tab w:val="left" w:pos="3402"/>
        </w:tabs>
        <w:spacing w:after="0"/>
        <w:rPr>
          <w:rFonts w:ascii="Cambria" w:hAnsi="Cambria"/>
        </w:rPr>
      </w:pPr>
      <w:r w:rsidRPr="00FF4780">
        <w:rPr>
          <w:rFonts w:ascii="Cambria" w:hAnsi="Cambria"/>
        </w:rPr>
        <w:t>The Fund shall be known as the LCA VICARAGE TRUST FUND.</w:t>
      </w:r>
      <w:r w:rsidRPr="00FF4780">
        <w:rPr>
          <w:rFonts w:ascii="Cambria" w:hAnsi="Cambria"/>
        </w:rPr>
        <w:br/>
      </w:r>
    </w:p>
    <w:p w14:paraId="5D76E88B" w14:textId="77777777" w:rsidR="00D545E8" w:rsidRPr="002A18E0" w:rsidRDefault="00D545E8" w:rsidP="00D545E8">
      <w:pPr>
        <w:tabs>
          <w:tab w:val="left" w:pos="567"/>
          <w:tab w:val="left" w:pos="1134"/>
          <w:tab w:val="left" w:pos="1701"/>
          <w:tab w:val="left" w:pos="2268"/>
          <w:tab w:val="left" w:pos="2835"/>
          <w:tab w:val="left" w:pos="3402"/>
        </w:tabs>
        <w:spacing w:after="0"/>
        <w:jc w:val="center"/>
        <w:rPr>
          <w:rFonts w:ascii="Cambria" w:hAnsi="Cambria" w:cs="Arial"/>
          <w:b/>
        </w:rPr>
      </w:pPr>
      <w:r w:rsidRPr="002A18E0">
        <w:rPr>
          <w:rFonts w:ascii="Cambria" w:hAnsi="Cambria" w:cs="Arial"/>
          <w:b/>
        </w:rPr>
        <w:t>PURPOSE</w:t>
      </w:r>
    </w:p>
    <w:p w14:paraId="35C40878" w14:textId="592798FD" w:rsidR="00D545E8" w:rsidRPr="002A18E0" w:rsidRDefault="00FF4780" w:rsidP="00D545E8">
      <w:pPr>
        <w:tabs>
          <w:tab w:val="left" w:pos="567"/>
          <w:tab w:val="left" w:pos="1134"/>
          <w:tab w:val="left" w:pos="1701"/>
          <w:tab w:val="left" w:pos="2268"/>
          <w:tab w:val="left" w:pos="2835"/>
          <w:tab w:val="left" w:pos="3402"/>
        </w:tabs>
        <w:spacing w:after="0"/>
        <w:ind w:left="567" w:hanging="567"/>
        <w:rPr>
          <w:rFonts w:ascii="Cambria" w:hAnsi="Cambria"/>
        </w:rPr>
      </w:pPr>
      <w:r>
        <w:rPr>
          <w:rFonts w:ascii="Cambria" w:hAnsi="Cambria"/>
        </w:rPr>
        <w:t xml:space="preserve">2.1 </w:t>
      </w:r>
      <w:r>
        <w:rPr>
          <w:rFonts w:ascii="Cambria" w:hAnsi="Cambria"/>
        </w:rPr>
        <w:tab/>
      </w:r>
      <w:r w:rsidR="00D545E8" w:rsidRPr="002A18E0">
        <w:rPr>
          <w:rFonts w:ascii="Cambria" w:hAnsi="Cambria"/>
        </w:rPr>
        <w:t>The Fund exists to</w:t>
      </w:r>
    </w:p>
    <w:p w14:paraId="3C85B39E" w14:textId="5E4005B3" w:rsidR="00D545E8" w:rsidRPr="002A18E0" w:rsidRDefault="00FF4780" w:rsidP="00FF4780">
      <w:pPr>
        <w:tabs>
          <w:tab w:val="left" w:pos="567"/>
          <w:tab w:val="left" w:pos="1418"/>
          <w:tab w:val="left" w:pos="1701"/>
          <w:tab w:val="left" w:pos="2268"/>
          <w:tab w:val="left" w:pos="2835"/>
          <w:tab w:val="left" w:pos="3402"/>
        </w:tabs>
        <w:spacing w:after="0" w:line="240" w:lineRule="auto"/>
        <w:ind w:left="1418" w:hanging="851"/>
        <w:rPr>
          <w:rFonts w:ascii="Cambria" w:hAnsi="Cambria"/>
        </w:rPr>
      </w:pPr>
      <w:r>
        <w:rPr>
          <w:rFonts w:ascii="Cambria" w:hAnsi="Cambria"/>
        </w:rPr>
        <w:t>2.1.1</w:t>
      </w:r>
      <w:r>
        <w:rPr>
          <w:rFonts w:ascii="Cambria" w:hAnsi="Cambria"/>
        </w:rPr>
        <w:tab/>
      </w:r>
      <w:r w:rsidR="00D545E8" w:rsidRPr="002A18E0">
        <w:rPr>
          <w:rFonts w:ascii="Cambria" w:hAnsi="Cambria"/>
        </w:rPr>
        <w:t xml:space="preserve">provide support to the School of Pastoral Theology students of Australian Lutheran College undertaking field education and formation as part of their program in preparation for ordination in the Church;  </w:t>
      </w:r>
    </w:p>
    <w:p w14:paraId="70488DEF" w14:textId="0F5C2D3C" w:rsidR="00D545E8" w:rsidRPr="002A18E0" w:rsidRDefault="00D545E8" w:rsidP="00FF4780">
      <w:pPr>
        <w:tabs>
          <w:tab w:val="left" w:pos="567"/>
          <w:tab w:val="left" w:pos="1418"/>
          <w:tab w:val="left" w:pos="1701"/>
          <w:tab w:val="left" w:pos="2268"/>
          <w:tab w:val="left" w:pos="2835"/>
          <w:tab w:val="left" w:pos="3402"/>
        </w:tabs>
        <w:spacing w:after="0" w:line="240" w:lineRule="auto"/>
        <w:ind w:left="1418" w:hanging="851"/>
        <w:rPr>
          <w:rFonts w:ascii="Cambria" w:hAnsi="Cambria"/>
          <w:b/>
        </w:rPr>
      </w:pPr>
      <w:r w:rsidRPr="002A18E0">
        <w:rPr>
          <w:rFonts w:ascii="Cambria" w:hAnsi="Cambria"/>
        </w:rPr>
        <w:tab/>
      </w:r>
      <w:r w:rsidR="00FF4780">
        <w:rPr>
          <w:rFonts w:ascii="Cambria" w:hAnsi="Cambria"/>
          <w:b/>
        </w:rPr>
        <w:t xml:space="preserve">2.1.2 </w:t>
      </w:r>
      <w:r w:rsidR="00FF4780">
        <w:rPr>
          <w:rFonts w:ascii="Cambria" w:hAnsi="Cambria"/>
          <w:b/>
        </w:rPr>
        <w:tab/>
      </w:r>
      <w:r w:rsidRPr="002A18E0">
        <w:rPr>
          <w:rFonts w:ascii="Cambria" w:hAnsi="Cambria"/>
          <w:b/>
        </w:rPr>
        <w:t xml:space="preserve">provide support to other persons approved by the Lutheran Church of Australia for field education and formation in preparation for ordination.; </w:t>
      </w:r>
      <w:r w:rsidRPr="002A18E0">
        <w:rPr>
          <w:rFonts w:ascii="Cambria" w:hAnsi="Cambria"/>
        </w:rPr>
        <w:t>and</w:t>
      </w:r>
    </w:p>
    <w:p w14:paraId="2A7A0C5A" w14:textId="5D627301" w:rsidR="00D545E8" w:rsidRPr="002A18E0" w:rsidRDefault="00D545E8" w:rsidP="00FF4780">
      <w:pPr>
        <w:tabs>
          <w:tab w:val="left" w:pos="567"/>
          <w:tab w:val="left" w:pos="1418"/>
          <w:tab w:val="left" w:pos="1701"/>
          <w:tab w:val="left" w:pos="2268"/>
          <w:tab w:val="left" w:pos="2835"/>
          <w:tab w:val="left" w:pos="3402"/>
        </w:tabs>
        <w:spacing w:after="0" w:line="240" w:lineRule="auto"/>
        <w:ind w:left="1418" w:hanging="851"/>
        <w:rPr>
          <w:rFonts w:ascii="Cambria" w:hAnsi="Cambria"/>
        </w:rPr>
      </w:pPr>
      <w:r w:rsidRPr="002A18E0">
        <w:rPr>
          <w:rFonts w:ascii="Cambria" w:hAnsi="Cambria"/>
        </w:rPr>
        <w:tab/>
      </w:r>
      <w:r w:rsidR="00FF4780">
        <w:rPr>
          <w:rFonts w:ascii="Cambria" w:hAnsi="Cambria"/>
        </w:rPr>
        <w:t>2.1.</w:t>
      </w:r>
      <w:r w:rsidR="00FF4780">
        <w:rPr>
          <w:rFonts w:ascii="Cambria" w:hAnsi="Cambria"/>
          <w:strike/>
        </w:rPr>
        <w:t>2</w:t>
      </w:r>
      <w:r w:rsidR="00FF4780" w:rsidRPr="00FF4780">
        <w:rPr>
          <w:rFonts w:ascii="Cambria" w:hAnsi="Cambria"/>
          <w:b/>
        </w:rPr>
        <w:t>3</w:t>
      </w:r>
      <w:r w:rsidRPr="002A18E0">
        <w:rPr>
          <w:rFonts w:ascii="Cambria" w:hAnsi="Cambria"/>
        </w:rPr>
        <w:tab/>
        <w:t>provide opportunities for individuals or groups to contribute to the Fund.</w:t>
      </w:r>
    </w:p>
    <w:p w14:paraId="27389C5B" w14:textId="77777777" w:rsidR="00D545E8" w:rsidRPr="002A18E0" w:rsidRDefault="00D545E8" w:rsidP="00D545E8">
      <w:pPr>
        <w:tabs>
          <w:tab w:val="left" w:pos="567"/>
          <w:tab w:val="left" w:pos="1134"/>
          <w:tab w:val="left" w:pos="1701"/>
          <w:tab w:val="left" w:pos="2268"/>
          <w:tab w:val="left" w:pos="2835"/>
          <w:tab w:val="left" w:pos="3402"/>
        </w:tabs>
        <w:spacing w:after="0"/>
        <w:jc w:val="center"/>
        <w:rPr>
          <w:rFonts w:ascii="Cambria" w:hAnsi="Cambria" w:cs="Arial"/>
          <w:b/>
        </w:rPr>
      </w:pPr>
    </w:p>
    <w:p w14:paraId="41D329B9" w14:textId="77777777" w:rsidR="00D545E8" w:rsidRPr="002A18E0" w:rsidRDefault="00D545E8" w:rsidP="00D545E8">
      <w:pPr>
        <w:tabs>
          <w:tab w:val="left" w:pos="567"/>
          <w:tab w:val="left" w:pos="1134"/>
          <w:tab w:val="left" w:pos="1701"/>
          <w:tab w:val="left" w:pos="2268"/>
          <w:tab w:val="left" w:pos="2835"/>
          <w:tab w:val="left" w:pos="3402"/>
        </w:tabs>
        <w:spacing w:after="0"/>
        <w:jc w:val="center"/>
        <w:rPr>
          <w:rFonts w:ascii="Cambria" w:hAnsi="Cambria" w:cs="Arial"/>
          <w:b/>
        </w:rPr>
      </w:pPr>
      <w:r w:rsidRPr="002A18E0">
        <w:rPr>
          <w:rFonts w:ascii="Cambria" w:hAnsi="Cambria" w:cs="Arial"/>
          <w:b/>
        </w:rPr>
        <w:t>F</w:t>
      </w:r>
      <w:r w:rsidR="005443C4" w:rsidRPr="002A18E0">
        <w:rPr>
          <w:rFonts w:ascii="Cambria" w:hAnsi="Cambria" w:cs="Arial"/>
          <w:b/>
        </w:rPr>
        <w:t xml:space="preserve">UND IN </w:t>
      </w:r>
      <w:r w:rsidRPr="002A18E0">
        <w:rPr>
          <w:rFonts w:ascii="Cambria" w:hAnsi="Cambria" w:cs="Arial"/>
          <w:b/>
        </w:rPr>
        <w:t>PERPETUITY</w:t>
      </w:r>
    </w:p>
    <w:p w14:paraId="5CF46FCD" w14:textId="2DDCEDBD" w:rsidR="00D545E8" w:rsidRPr="002A18E0" w:rsidRDefault="00D545E8" w:rsidP="00D545E8">
      <w:pPr>
        <w:tabs>
          <w:tab w:val="left" w:pos="567"/>
          <w:tab w:val="left" w:pos="1134"/>
          <w:tab w:val="left" w:pos="1701"/>
          <w:tab w:val="left" w:pos="2268"/>
          <w:tab w:val="left" w:pos="2835"/>
          <w:tab w:val="left" w:pos="3402"/>
        </w:tabs>
        <w:spacing w:after="0"/>
        <w:ind w:left="567" w:hanging="567"/>
        <w:rPr>
          <w:rFonts w:ascii="Cambria" w:hAnsi="Cambria"/>
        </w:rPr>
      </w:pPr>
      <w:r w:rsidRPr="002A18E0">
        <w:rPr>
          <w:rFonts w:ascii="Cambria" w:hAnsi="Cambria"/>
        </w:rPr>
        <w:t>3.</w:t>
      </w:r>
      <w:r w:rsidR="00FF4780">
        <w:rPr>
          <w:rFonts w:ascii="Cambria" w:hAnsi="Cambria"/>
        </w:rPr>
        <w:t>1</w:t>
      </w:r>
      <w:r w:rsidRPr="002A18E0">
        <w:rPr>
          <w:rFonts w:ascii="Cambria" w:hAnsi="Cambria"/>
        </w:rPr>
        <w:tab/>
        <w:t>The Fund shall be a perpetual Fund, with only the interest generated from investment of the principal available for expenditure on achieving the purpose of the Fund.</w:t>
      </w:r>
    </w:p>
    <w:p w14:paraId="28720442" w14:textId="77777777" w:rsidR="00D545E8" w:rsidRPr="002A18E0" w:rsidRDefault="00D545E8" w:rsidP="00D545E8">
      <w:pPr>
        <w:tabs>
          <w:tab w:val="left" w:pos="567"/>
          <w:tab w:val="left" w:pos="1134"/>
          <w:tab w:val="left" w:pos="1701"/>
          <w:tab w:val="left" w:pos="2268"/>
          <w:tab w:val="left" w:pos="2835"/>
          <w:tab w:val="left" w:pos="3402"/>
        </w:tabs>
        <w:spacing w:after="0"/>
        <w:jc w:val="center"/>
        <w:rPr>
          <w:rFonts w:ascii="Cambria" w:hAnsi="Cambria" w:cs="Arial"/>
          <w:b/>
        </w:rPr>
      </w:pPr>
    </w:p>
    <w:p w14:paraId="391A2A53" w14:textId="77777777" w:rsidR="00D545E8" w:rsidRPr="002A18E0" w:rsidRDefault="00D545E8" w:rsidP="00D545E8">
      <w:pPr>
        <w:tabs>
          <w:tab w:val="left" w:pos="567"/>
          <w:tab w:val="left" w:pos="1134"/>
          <w:tab w:val="left" w:pos="1701"/>
          <w:tab w:val="left" w:pos="2268"/>
          <w:tab w:val="left" w:pos="2835"/>
          <w:tab w:val="left" w:pos="3402"/>
        </w:tabs>
        <w:spacing w:after="0"/>
        <w:jc w:val="center"/>
        <w:rPr>
          <w:rFonts w:ascii="Cambria" w:hAnsi="Cambria" w:cs="Arial"/>
          <w:b/>
        </w:rPr>
      </w:pPr>
      <w:r w:rsidRPr="002A18E0">
        <w:rPr>
          <w:rFonts w:ascii="Cambria" w:hAnsi="Cambria" w:cs="Arial"/>
          <w:b/>
        </w:rPr>
        <w:t>ADMINISTRATION</w:t>
      </w:r>
    </w:p>
    <w:p w14:paraId="3BD67D88" w14:textId="0F993DA3" w:rsidR="00D545E8" w:rsidRPr="002A18E0" w:rsidRDefault="00D545E8" w:rsidP="00D545E8">
      <w:pPr>
        <w:tabs>
          <w:tab w:val="left" w:pos="567"/>
          <w:tab w:val="left" w:pos="1134"/>
          <w:tab w:val="left" w:pos="1701"/>
          <w:tab w:val="left" w:pos="2268"/>
          <w:tab w:val="left" w:pos="2835"/>
          <w:tab w:val="left" w:pos="3402"/>
        </w:tabs>
        <w:spacing w:after="0"/>
        <w:ind w:left="567" w:hanging="567"/>
        <w:rPr>
          <w:rFonts w:ascii="Cambria" w:hAnsi="Cambria"/>
        </w:rPr>
      </w:pPr>
      <w:r w:rsidRPr="002A18E0">
        <w:rPr>
          <w:rFonts w:ascii="Cambria" w:hAnsi="Cambria"/>
        </w:rPr>
        <w:t>4.</w:t>
      </w:r>
      <w:r w:rsidR="00FF4780">
        <w:rPr>
          <w:rFonts w:ascii="Cambria" w:hAnsi="Cambria"/>
        </w:rPr>
        <w:t>1</w:t>
      </w:r>
      <w:r w:rsidRPr="002A18E0">
        <w:rPr>
          <w:rFonts w:ascii="Cambria" w:hAnsi="Cambria"/>
        </w:rPr>
        <w:tab/>
        <w:t>The Fund shall be administered by the College of Bishops, through the Office of the Bishop, to assist the Australian Lutheran College Vicarage program</w:t>
      </w:r>
      <w:r w:rsidR="0027799A" w:rsidRPr="002A18E0">
        <w:rPr>
          <w:rFonts w:ascii="Cambria" w:hAnsi="Cambria"/>
        </w:rPr>
        <w:t xml:space="preserve">. </w:t>
      </w:r>
      <w:r w:rsidRPr="002A18E0">
        <w:rPr>
          <w:rFonts w:ascii="Cambria" w:hAnsi="Cambria"/>
        </w:rPr>
        <w:t>Donations to this fund, from time to time, can be sought by the College of Bishops according to the need of the vicarage program.</w:t>
      </w:r>
    </w:p>
    <w:p w14:paraId="2E9A99E8" w14:textId="77777777" w:rsidR="00D545E8" w:rsidRPr="002A18E0" w:rsidRDefault="00D545E8" w:rsidP="00D545E8">
      <w:pPr>
        <w:tabs>
          <w:tab w:val="left" w:pos="567"/>
          <w:tab w:val="left" w:pos="1134"/>
          <w:tab w:val="left" w:pos="1701"/>
          <w:tab w:val="left" w:pos="2268"/>
          <w:tab w:val="left" w:pos="2835"/>
          <w:tab w:val="left" w:pos="3402"/>
        </w:tabs>
        <w:spacing w:after="0"/>
        <w:jc w:val="center"/>
        <w:rPr>
          <w:rFonts w:ascii="Cambria" w:hAnsi="Cambria" w:cs="Arial"/>
          <w:b/>
        </w:rPr>
      </w:pPr>
    </w:p>
    <w:p w14:paraId="7C0F2867" w14:textId="77777777" w:rsidR="00D545E8" w:rsidRPr="002A18E0" w:rsidRDefault="00D545E8" w:rsidP="00D545E8">
      <w:pPr>
        <w:tabs>
          <w:tab w:val="left" w:pos="567"/>
          <w:tab w:val="left" w:pos="1134"/>
          <w:tab w:val="left" w:pos="1701"/>
          <w:tab w:val="left" w:pos="2268"/>
          <w:tab w:val="left" w:pos="2835"/>
          <w:tab w:val="left" w:pos="3402"/>
        </w:tabs>
        <w:spacing w:after="0"/>
        <w:jc w:val="center"/>
        <w:rPr>
          <w:rFonts w:ascii="Cambria" w:hAnsi="Cambria" w:cs="Arial"/>
          <w:b/>
        </w:rPr>
      </w:pPr>
      <w:r w:rsidRPr="002A18E0">
        <w:rPr>
          <w:rFonts w:ascii="Cambria" w:hAnsi="Cambria" w:cs="Arial"/>
          <w:b/>
        </w:rPr>
        <w:t>PROMOTION</w:t>
      </w:r>
    </w:p>
    <w:p w14:paraId="6C8DF06D" w14:textId="04DE3EC1" w:rsidR="00D545E8" w:rsidRPr="002A18E0" w:rsidRDefault="00D545E8" w:rsidP="00D545E8">
      <w:pPr>
        <w:tabs>
          <w:tab w:val="left" w:pos="567"/>
          <w:tab w:val="left" w:pos="1134"/>
          <w:tab w:val="left" w:pos="1701"/>
          <w:tab w:val="left" w:pos="2268"/>
          <w:tab w:val="left" w:pos="2835"/>
          <w:tab w:val="left" w:pos="3402"/>
        </w:tabs>
        <w:spacing w:after="0"/>
        <w:ind w:left="567" w:hanging="567"/>
        <w:rPr>
          <w:rFonts w:ascii="Cambria" w:hAnsi="Cambria"/>
        </w:rPr>
      </w:pPr>
      <w:r w:rsidRPr="002A18E0">
        <w:rPr>
          <w:rFonts w:ascii="Cambria" w:hAnsi="Cambria"/>
        </w:rPr>
        <w:t>5.</w:t>
      </w:r>
      <w:r w:rsidR="00FF4780">
        <w:rPr>
          <w:rFonts w:ascii="Cambria" w:hAnsi="Cambria"/>
        </w:rPr>
        <w:t>1</w:t>
      </w:r>
      <w:r w:rsidRPr="002A18E0">
        <w:rPr>
          <w:rFonts w:ascii="Cambria" w:hAnsi="Cambria"/>
        </w:rPr>
        <w:tab/>
        <w:t>The Board of Directors of Australian Lutheran College shall promote the Fund within the Church with a view to increasing the capital base.</w:t>
      </w:r>
    </w:p>
    <w:p w14:paraId="1C4D6CED" w14:textId="77777777" w:rsidR="00D545E8" w:rsidRPr="002A18E0" w:rsidRDefault="00D545E8" w:rsidP="00D545E8">
      <w:pPr>
        <w:spacing w:after="0" w:line="240" w:lineRule="auto"/>
        <w:ind w:right="573" w:firstLine="6"/>
        <w:rPr>
          <w:rFonts w:ascii="Cambria" w:eastAsia="Times New Roman" w:hAnsi="Cambria" w:cs="Times New Roman"/>
          <w:bCs/>
          <w:color w:val="222222"/>
          <w:lang w:eastAsia="en-AU"/>
        </w:rPr>
      </w:pPr>
    </w:p>
    <w:p w14:paraId="1C1F8001" w14:textId="00FBE948" w:rsidR="00D545E8" w:rsidRPr="002A18E0" w:rsidRDefault="00D545E8" w:rsidP="00355E83">
      <w:pPr>
        <w:pStyle w:val="Heading3"/>
        <w:rPr>
          <w:rFonts w:eastAsia="SimSun" w:cs="F"/>
        </w:rPr>
      </w:pPr>
      <w:r w:rsidRPr="002A18E0">
        <w:t>REASONS FOR THE MOTION</w:t>
      </w:r>
    </w:p>
    <w:p w14:paraId="7F7E672C" w14:textId="77777777" w:rsidR="00D545E8" w:rsidRPr="009A0DA6" w:rsidRDefault="00D545E8" w:rsidP="00D545E8">
      <w:pPr>
        <w:spacing w:after="0" w:line="240" w:lineRule="auto"/>
        <w:rPr>
          <w:rFonts w:ascii="Cambria" w:hAnsi="Cambria" w:cs="Lucida Sans Unicode"/>
        </w:rPr>
      </w:pPr>
      <w:r w:rsidRPr="002A18E0">
        <w:rPr>
          <w:rFonts w:ascii="Cambria" w:hAnsi="Cambria"/>
        </w:rPr>
        <w:t>A change to the Purpose of the fund to widen its scope and ability to be used for those preparing for ordination.</w:t>
      </w:r>
    </w:p>
    <w:bookmarkEnd w:id="451"/>
    <w:p w14:paraId="2F4907C2" w14:textId="77777777" w:rsidR="00D545E8" w:rsidRPr="009A0DA6" w:rsidRDefault="00D545E8" w:rsidP="00D545E8">
      <w:pPr>
        <w:shd w:val="clear" w:color="auto" w:fill="FFFFFF"/>
        <w:tabs>
          <w:tab w:val="left" w:pos="426"/>
          <w:tab w:val="left" w:pos="3596"/>
          <w:tab w:val="right" w:pos="10206"/>
        </w:tabs>
        <w:spacing w:after="0" w:line="22" w:lineRule="atLeast"/>
        <w:rPr>
          <w:rFonts w:ascii="Cambria" w:hAnsi="Cambria"/>
          <w:i/>
        </w:rPr>
      </w:pPr>
    </w:p>
    <w:p w14:paraId="1FBB7239" w14:textId="77777777" w:rsidR="00D545E8" w:rsidRPr="009A0DA6" w:rsidRDefault="00D545E8" w:rsidP="00634B13">
      <w:pPr>
        <w:pStyle w:val="NoSpacing"/>
      </w:pPr>
    </w:p>
    <w:p w14:paraId="7519B8E4" w14:textId="49E694FB" w:rsidR="00634B13" w:rsidRPr="009A0DA6" w:rsidRDefault="00634B13" w:rsidP="00634B13">
      <w:pPr>
        <w:pStyle w:val="NoSpacing"/>
      </w:pPr>
    </w:p>
    <w:p w14:paraId="2DEE2D50" w14:textId="6C55BD9C" w:rsidR="00343D9F" w:rsidRPr="009A0DA6" w:rsidRDefault="00343D9F" w:rsidP="00634B13">
      <w:pPr>
        <w:pStyle w:val="NoSpacing"/>
      </w:pPr>
    </w:p>
    <w:p w14:paraId="3057F412" w14:textId="00BEB8B6" w:rsidR="00343D9F" w:rsidRPr="009A0DA6" w:rsidRDefault="00343D9F" w:rsidP="00634B13">
      <w:pPr>
        <w:pStyle w:val="NoSpacing"/>
      </w:pPr>
    </w:p>
    <w:p w14:paraId="2FC0CB00" w14:textId="33F0A9A8" w:rsidR="00343D9F" w:rsidRPr="009A0DA6" w:rsidRDefault="00343D9F" w:rsidP="00634B13">
      <w:pPr>
        <w:pStyle w:val="NoSpacing"/>
      </w:pPr>
    </w:p>
    <w:p w14:paraId="32A94FEC" w14:textId="74787B3B" w:rsidR="00343D9F" w:rsidRPr="009A0DA6" w:rsidRDefault="00343D9F" w:rsidP="00634B13">
      <w:pPr>
        <w:pStyle w:val="NoSpacing"/>
      </w:pPr>
    </w:p>
    <w:p w14:paraId="4D1C8703" w14:textId="4DC1C5CC" w:rsidR="00343D9F" w:rsidRPr="009A0DA6" w:rsidRDefault="00343D9F" w:rsidP="00634B13">
      <w:pPr>
        <w:pStyle w:val="NoSpacing"/>
      </w:pPr>
    </w:p>
    <w:p w14:paraId="1DCE039F" w14:textId="5EA1E664" w:rsidR="00343D9F" w:rsidRPr="009A0DA6" w:rsidRDefault="00343D9F" w:rsidP="00634B13">
      <w:pPr>
        <w:pStyle w:val="NoSpacing"/>
      </w:pPr>
    </w:p>
    <w:p w14:paraId="041075EE" w14:textId="192E1259" w:rsidR="00343D9F" w:rsidRPr="009A0DA6" w:rsidRDefault="00343D9F" w:rsidP="00634B13">
      <w:pPr>
        <w:pStyle w:val="NoSpacing"/>
      </w:pPr>
    </w:p>
    <w:p w14:paraId="178297EE" w14:textId="0C3611CC" w:rsidR="00343D9F" w:rsidRPr="009A0DA6" w:rsidRDefault="00343D9F" w:rsidP="00634B13">
      <w:pPr>
        <w:pStyle w:val="NoSpacing"/>
      </w:pPr>
    </w:p>
    <w:p w14:paraId="5BDEC972" w14:textId="77777777" w:rsidR="001551C0" w:rsidRPr="002E592D" w:rsidRDefault="001551C0" w:rsidP="001551C0">
      <w:pPr>
        <w:pStyle w:val="Heading3"/>
      </w:pPr>
      <w:r w:rsidRPr="002E592D">
        <w:lastRenderedPageBreak/>
        <w:t>agenda 2.5.1</w:t>
      </w:r>
    </w:p>
    <w:p w14:paraId="0CE2F528" w14:textId="77777777" w:rsidR="001551C0" w:rsidRPr="002E592D" w:rsidRDefault="001551C0" w:rsidP="001551C0">
      <w:pPr>
        <w:pStyle w:val="Heading2"/>
      </w:pPr>
      <w:bookmarkStart w:id="470" w:name="_Toc521954722"/>
      <w:r w:rsidRPr="002E592D">
        <w:t>Board of Support for Pastoral Ministry</w:t>
      </w:r>
      <w:bookmarkEnd w:id="470"/>
    </w:p>
    <w:p w14:paraId="79E3B1BB" w14:textId="77777777" w:rsidR="001551C0" w:rsidRPr="00786120" w:rsidRDefault="001551C0" w:rsidP="001551C0">
      <w:pPr>
        <w:pStyle w:val="NoSpacing"/>
        <w:rPr>
          <w:sz w:val="12"/>
        </w:rPr>
      </w:pPr>
    </w:p>
    <w:p w14:paraId="2F264799" w14:textId="77777777" w:rsidR="001551C0" w:rsidRPr="002E592D" w:rsidRDefault="001551C0" w:rsidP="001551C0">
      <w:pPr>
        <w:pStyle w:val="Heading3"/>
        <w:rPr>
          <w:color w:val="000000" w:themeColor="text1"/>
          <w:szCs w:val="28"/>
        </w:rPr>
      </w:pPr>
      <w:r w:rsidRPr="002E592D">
        <w:t>MEMBERS</w:t>
      </w:r>
    </w:p>
    <w:p w14:paraId="6A958B60" w14:textId="77777777" w:rsidR="001551C0" w:rsidRPr="002E592D" w:rsidRDefault="001551C0" w:rsidP="001551C0">
      <w:pPr>
        <w:spacing w:after="0" w:line="22" w:lineRule="atLeast"/>
        <w:contextualSpacing/>
        <w:rPr>
          <w:rFonts w:ascii="Cambria" w:hAnsi="Cambria"/>
          <w:sz w:val="16"/>
        </w:rPr>
      </w:pPr>
      <w:r w:rsidRPr="002E592D">
        <w:rPr>
          <w:rFonts w:ascii="Cambria" w:hAnsi="Cambria"/>
        </w:rPr>
        <w:t>Sara Bayha, Rev David Eckermann (chair), Joan Grosse, Terry Helbig, Margaret</w:t>
      </w:r>
      <w:r w:rsidRPr="009A0DA6">
        <w:rPr>
          <w:rFonts w:ascii="Cambria" w:hAnsi="Cambria"/>
        </w:rPr>
        <w:t xml:space="preserve"> Mayer, Rev Eugene Minge, Rev Nigel Rosenzweig, Rev Dr Stephen Pietsch and Bishop John Henderson</w:t>
      </w:r>
      <w:r w:rsidRPr="009A0DA6">
        <w:rPr>
          <w:rFonts w:ascii="Cambria" w:hAnsi="Cambria"/>
        </w:rPr>
        <w:br/>
      </w:r>
    </w:p>
    <w:p w14:paraId="0610D711" w14:textId="77777777" w:rsidR="001551C0" w:rsidRPr="009A0DA6" w:rsidRDefault="001551C0" w:rsidP="001551C0">
      <w:pPr>
        <w:pStyle w:val="Heading3"/>
      </w:pPr>
      <w:r w:rsidRPr="009A0DA6">
        <w:t>PURPOSE</w:t>
      </w:r>
    </w:p>
    <w:p w14:paraId="4F175DF3" w14:textId="77777777" w:rsidR="001551C0" w:rsidRPr="002E592D" w:rsidRDefault="001551C0" w:rsidP="001551C0">
      <w:pPr>
        <w:spacing w:after="0" w:line="22" w:lineRule="atLeast"/>
        <w:rPr>
          <w:rFonts w:ascii="Cambria" w:hAnsi="Cambria"/>
          <w:sz w:val="16"/>
        </w:rPr>
      </w:pPr>
      <w:r w:rsidRPr="009A0DA6">
        <w:rPr>
          <w:rFonts w:ascii="Cambria" w:hAnsi="Cambria"/>
        </w:rPr>
        <w:t xml:space="preserve">The Board for Support of Pastoral Ministry is an Advisory Board to the College of Bishops to help them in their pastoral care of the pastors of the LCA and their families. The board receives advice and requests from the College of Bishops, and acts on them. </w:t>
      </w:r>
      <w:r w:rsidRPr="009A0DA6">
        <w:rPr>
          <w:rFonts w:ascii="Cambria" w:hAnsi="Cambria"/>
        </w:rPr>
        <w:br/>
      </w:r>
    </w:p>
    <w:p w14:paraId="4E7C04A6" w14:textId="77777777" w:rsidR="001551C0" w:rsidRPr="009A0DA6" w:rsidRDefault="001551C0" w:rsidP="001551C0">
      <w:pPr>
        <w:pStyle w:val="Heading3"/>
      </w:pPr>
      <w:r w:rsidRPr="009A0DA6">
        <w:t>BACKGROUND</w:t>
      </w:r>
    </w:p>
    <w:p w14:paraId="06CB3830" w14:textId="77777777" w:rsidR="001551C0" w:rsidRPr="009A0DA6" w:rsidRDefault="001551C0" w:rsidP="001551C0">
      <w:pPr>
        <w:rPr>
          <w:rFonts w:ascii="Cambria" w:hAnsi="Cambria"/>
        </w:rPr>
      </w:pPr>
      <w:r w:rsidRPr="009A0DA6">
        <w:rPr>
          <w:rFonts w:ascii="Cambria" w:hAnsi="Cambria"/>
        </w:rPr>
        <w:t>This will be the final report of the Board for Support of Pastoral Ministry (BSPM). After Synod, the responsibility for providing support for pastors and their families will reside with the Church Worker Support Department. The chair of BSPM wishes to thank all those who have served as members or consultants of the Board over the years of its existence. Their efforts and input has been much appreciated.</w:t>
      </w:r>
    </w:p>
    <w:p w14:paraId="3D3741C9" w14:textId="77777777" w:rsidR="001551C0" w:rsidRPr="009A0DA6" w:rsidRDefault="001551C0" w:rsidP="001551C0">
      <w:pPr>
        <w:rPr>
          <w:rFonts w:ascii="Cambria" w:hAnsi="Cambria"/>
        </w:rPr>
      </w:pPr>
      <w:r w:rsidRPr="009A0DA6">
        <w:rPr>
          <w:rFonts w:ascii="Cambria" w:hAnsi="Cambria"/>
        </w:rPr>
        <w:t>During the last synodical term, the BSPM has continued its work of supporting the College of Bishops in its role of providing support and encouragement to the pastors of the LCA and their families. During this synodical term, this support has been achieved through the following means:</w:t>
      </w:r>
    </w:p>
    <w:p w14:paraId="0BE38647" w14:textId="77777777" w:rsidR="001551C0" w:rsidRPr="002E592D" w:rsidRDefault="001551C0" w:rsidP="00786120">
      <w:pPr>
        <w:numPr>
          <w:ilvl w:val="0"/>
          <w:numId w:val="79"/>
        </w:numPr>
        <w:tabs>
          <w:tab w:val="clear" w:pos="1080"/>
        </w:tabs>
        <w:spacing w:after="120" w:line="276" w:lineRule="auto"/>
        <w:ind w:left="567" w:hanging="567"/>
        <w:contextualSpacing/>
        <w:rPr>
          <w:rFonts w:ascii="Cambria" w:hAnsi="Cambria"/>
          <w:sz w:val="8"/>
          <w:szCs w:val="10"/>
        </w:rPr>
      </w:pPr>
      <w:r w:rsidRPr="009A0DA6">
        <w:rPr>
          <w:rFonts w:ascii="Cambria" w:hAnsi="Cambria"/>
        </w:rPr>
        <w:t>Phone calls by members of BSPM to pastors, including those celebrating major anniversaries of their ordination. This has been received very positively by recipients, often with surprise that the LCA has remembered them in this way.</w:t>
      </w:r>
      <w:r w:rsidRPr="009A0DA6">
        <w:rPr>
          <w:rFonts w:ascii="Cambria" w:hAnsi="Cambria"/>
        </w:rPr>
        <w:br/>
      </w:r>
    </w:p>
    <w:p w14:paraId="32A3057F" w14:textId="77777777" w:rsidR="001551C0" w:rsidRPr="002E592D" w:rsidRDefault="001551C0" w:rsidP="00786120">
      <w:pPr>
        <w:numPr>
          <w:ilvl w:val="0"/>
          <w:numId w:val="79"/>
        </w:numPr>
        <w:tabs>
          <w:tab w:val="clear" w:pos="1080"/>
        </w:tabs>
        <w:spacing w:after="120" w:line="276" w:lineRule="auto"/>
        <w:ind w:left="567" w:hanging="567"/>
        <w:contextualSpacing/>
        <w:rPr>
          <w:rFonts w:ascii="Cambria" w:hAnsi="Cambria"/>
          <w:sz w:val="8"/>
          <w:szCs w:val="10"/>
        </w:rPr>
      </w:pPr>
      <w:r w:rsidRPr="009A0DA6">
        <w:rPr>
          <w:rFonts w:ascii="Cambria" w:hAnsi="Cambria"/>
        </w:rPr>
        <w:t>Produced a report on ‘Pastoral Supervision’, which has been sent to the College of Bishops, in regard to options for a mentoring and support program that might reduce the likelihood of pastoral burnout among the pastors of the LCA. While some support for individuals is available in most Districts, there is no common structure or mechanism for a general level of support for pastors. Therefore there is a continuing issue of pastors who are stressed and/or suffering burnout in the LCA. Many congregations and parishes are often not sufficiently aware of these problems.</w:t>
      </w:r>
      <w:r w:rsidRPr="009A0DA6">
        <w:rPr>
          <w:rFonts w:ascii="Cambria" w:hAnsi="Cambria"/>
        </w:rPr>
        <w:br/>
      </w:r>
    </w:p>
    <w:p w14:paraId="3316995A" w14:textId="77777777" w:rsidR="001551C0" w:rsidRPr="002E592D" w:rsidRDefault="001551C0" w:rsidP="00786120">
      <w:pPr>
        <w:numPr>
          <w:ilvl w:val="0"/>
          <w:numId w:val="79"/>
        </w:numPr>
        <w:tabs>
          <w:tab w:val="clear" w:pos="1080"/>
        </w:tabs>
        <w:spacing w:after="120" w:line="276" w:lineRule="auto"/>
        <w:ind w:left="567" w:hanging="567"/>
        <w:contextualSpacing/>
        <w:rPr>
          <w:rFonts w:ascii="Cambria" w:hAnsi="Cambria"/>
          <w:sz w:val="8"/>
          <w:szCs w:val="10"/>
        </w:rPr>
      </w:pPr>
      <w:r w:rsidRPr="009A0DA6">
        <w:rPr>
          <w:rFonts w:ascii="Cambria" w:hAnsi="Cambria"/>
        </w:rPr>
        <w:t>Met with the Manager of the new Church Worker Support Department to facilitate the incorporation of BSPM into that Department.</w:t>
      </w:r>
      <w:r w:rsidRPr="009A0DA6">
        <w:rPr>
          <w:rFonts w:ascii="Cambria" w:hAnsi="Cambria"/>
        </w:rPr>
        <w:br/>
      </w:r>
    </w:p>
    <w:p w14:paraId="0505DEBA" w14:textId="77777777" w:rsidR="001551C0" w:rsidRPr="002E592D" w:rsidRDefault="001551C0" w:rsidP="00786120">
      <w:pPr>
        <w:numPr>
          <w:ilvl w:val="0"/>
          <w:numId w:val="79"/>
        </w:numPr>
        <w:tabs>
          <w:tab w:val="clear" w:pos="1080"/>
        </w:tabs>
        <w:spacing w:after="120" w:line="276" w:lineRule="auto"/>
        <w:ind w:left="567" w:hanging="567"/>
        <w:contextualSpacing/>
        <w:rPr>
          <w:rFonts w:ascii="Cambria" w:hAnsi="Cambria"/>
          <w:sz w:val="8"/>
          <w:szCs w:val="10"/>
        </w:rPr>
      </w:pPr>
      <w:r w:rsidRPr="009A0DA6">
        <w:rPr>
          <w:rFonts w:ascii="Cambria" w:hAnsi="Cambria"/>
        </w:rPr>
        <w:t>Investigated the setting up of a Facebook page with items and information concerning pastoral support.</w:t>
      </w:r>
      <w:r w:rsidRPr="009A0DA6">
        <w:rPr>
          <w:rFonts w:ascii="Cambria" w:hAnsi="Cambria"/>
        </w:rPr>
        <w:br/>
      </w:r>
    </w:p>
    <w:p w14:paraId="4D3E2E8E" w14:textId="77777777" w:rsidR="001551C0" w:rsidRPr="002E592D" w:rsidRDefault="001551C0" w:rsidP="00786120">
      <w:pPr>
        <w:numPr>
          <w:ilvl w:val="0"/>
          <w:numId w:val="79"/>
        </w:numPr>
        <w:tabs>
          <w:tab w:val="clear" w:pos="1080"/>
        </w:tabs>
        <w:spacing w:after="120" w:line="276" w:lineRule="auto"/>
        <w:ind w:left="567" w:hanging="567"/>
        <w:contextualSpacing/>
        <w:rPr>
          <w:rFonts w:ascii="Cambria" w:hAnsi="Cambria"/>
          <w:sz w:val="8"/>
          <w:szCs w:val="10"/>
        </w:rPr>
      </w:pPr>
      <w:r w:rsidRPr="009A0DA6">
        <w:rPr>
          <w:rFonts w:ascii="Cambria" w:hAnsi="Cambria"/>
        </w:rPr>
        <w:t>Hosted an annual breakfast for the College of Bishops as a small token of the church’s support for them in their often difficult task.</w:t>
      </w:r>
      <w:r w:rsidRPr="009A0DA6">
        <w:rPr>
          <w:rFonts w:ascii="Cambria" w:hAnsi="Cambria"/>
        </w:rPr>
        <w:br/>
      </w:r>
    </w:p>
    <w:p w14:paraId="658CE523" w14:textId="77777777" w:rsidR="001551C0" w:rsidRPr="002E592D" w:rsidRDefault="001551C0" w:rsidP="00786120">
      <w:pPr>
        <w:numPr>
          <w:ilvl w:val="0"/>
          <w:numId w:val="79"/>
        </w:numPr>
        <w:tabs>
          <w:tab w:val="clear" w:pos="1080"/>
        </w:tabs>
        <w:spacing w:after="120" w:line="276" w:lineRule="auto"/>
        <w:ind w:left="567" w:hanging="567"/>
        <w:contextualSpacing/>
        <w:rPr>
          <w:rFonts w:ascii="Cambria" w:hAnsi="Cambria"/>
          <w:sz w:val="8"/>
          <w:szCs w:val="10"/>
        </w:rPr>
      </w:pPr>
      <w:r w:rsidRPr="009A0DA6">
        <w:rPr>
          <w:rFonts w:ascii="Cambria" w:hAnsi="Cambria"/>
        </w:rPr>
        <w:t>One member of BSPM was appointed to the committee overseeing the Student Assistance Fund of Australian Lutheran College. This Fund provides limited financial support for needy pastoral students and their families while studying at ALC.</w:t>
      </w:r>
      <w:r w:rsidRPr="009A0DA6">
        <w:rPr>
          <w:rFonts w:ascii="Cambria" w:hAnsi="Cambria"/>
        </w:rPr>
        <w:br/>
      </w:r>
    </w:p>
    <w:p w14:paraId="351EBE6B" w14:textId="777BE569" w:rsidR="002E592D" w:rsidRPr="002E592D" w:rsidRDefault="001551C0" w:rsidP="00786120">
      <w:pPr>
        <w:numPr>
          <w:ilvl w:val="0"/>
          <w:numId w:val="79"/>
        </w:numPr>
        <w:tabs>
          <w:tab w:val="clear" w:pos="1080"/>
        </w:tabs>
        <w:spacing w:after="120" w:line="276" w:lineRule="auto"/>
        <w:ind w:left="567" w:hanging="567"/>
        <w:contextualSpacing/>
        <w:rPr>
          <w:rFonts w:ascii="Cambria" w:hAnsi="Cambria"/>
          <w:sz w:val="10"/>
        </w:rPr>
      </w:pPr>
      <w:r w:rsidRPr="002E592D">
        <w:rPr>
          <w:rFonts w:ascii="Cambria" w:hAnsi="Cambria"/>
        </w:rPr>
        <w:t>Investigated the need for ongoing support of pastors’ widows.</w:t>
      </w:r>
      <w:r w:rsidR="002E592D">
        <w:rPr>
          <w:rFonts w:ascii="Cambria" w:hAnsi="Cambria"/>
        </w:rPr>
        <w:br/>
      </w:r>
    </w:p>
    <w:p w14:paraId="3C1DDC73" w14:textId="352DB252" w:rsidR="001551C0" w:rsidRPr="002E592D" w:rsidRDefault="001551C0" w:rsidP="00786120">
      <w:pPr>
        <w:numPr>
          <w:ilvl w:val="0"/>
          <w:numId w:val="79"/>
        </w:numPr>
        <w:tabs>
          <w:tab w:val="clear" w:pos="1080"/>
        </w:tabs>
        <w:spacing w:after="120" w:line="276" w:lineRule="auto"/>
        <w:ind w:left="567" w:hanging="567"/>
        <w:contextualSpacing/>
        <w:rPr>
          <w:rFonts w:ascii="Cambria" w:hAnsi="Cambria"/>
        </w:rPr>
      </w:pPr>
      <w:r w:rsidRPr="002E592D">
        <w:rPr>
          <w:rFonts w:ascii="Cambria" w:hAnsi="Cambria"/>
        </w:rPr>
        <w:t>Studied the ALITE Report on Pastoral Ministry in the LCA which was released in 2017. This report confirms much of what BSPM has identified as problems confronting pastors in the LCA.</w:t>
      </w:r>
    </w:p>
    <w:p w14:paraId="609EEDD5" w14:textId="77777777" w:rsidR="001551C0" w:rsidRPr="009A0DA6" w:rsidRDefault="001551C0" w:rsidP="001551C0">
      <w:pPr>
        <w:pStyle w:val="Heading3"/>
      </w:pPr>
      <w:r w:rsidRPr="009A0DA6">
        <w:lastRenderedPageBreak/>
        <w:t>Successes</w:t>
      </w:r>
    </w:p>
    <w:p w14:paraId="4C16FE36" w14:textId="77777777" w:rsidR="001551C0" w:rsidRPr="009A0DA6" w:rsidRDefault="001551C0" w:rsidP="009334B2">
      <w:pPr>
        <w:numPr>
          <w:ilvl w:val="0"/>
          <w:numId w:val="80"/>
        </w:numPr>
        <w:tabs>
          <w:tab w:val="left" w:pos="3053"/>
        </w:tabs>
        <w:spacing w:after="0" w:line="240" w:lineRule="auto"/>
        <w:ind w:left="567" w:hanging="567"/>
        <w:contextualSpacing/>
        <w:rPr>
          <w:rFonts w:ascii="Cambria" w:hAnsi="Cambria"/>
        </w:rPr>
      </w:pPr>
      <w:r w:rsidRPr="009A0DA6">
        <w:rPr>
          <w:rFonts w:ascii="Cambria" w:hAnsi="Cambria"/>
        </w:rPr>
        <w:t>The completion of the report on ‘Pastoral Supervision’.</w:t>
      </w:r>
    </w:p>
    <w:p w14:paraId="292344CC" w14:textId="2400288C" w:rsidR="001551C0" w:rsidRPr="00786120" w:rsidRDefault="001551C0" w:rsidP="009334B2">
      <w:pPr>
        <w:numPr>
          <w:ilvl w:val="0"/>
          <w:numId w:val="80"/>
        </w:numPr>
        <w:tabs>
          <w:tab w:val="left" w:pos="3053"/>
        </w:tabs>
        <w:spacing w:after="0" w:line="240" w:lineRule="auto"/>
        <w:ind w:left="567" w:hanging="567"/>
        <w:contextualSpacing/>
        <w:rPr>
          <w:rFonts w:ascii="Cambria" w:hAnsi="Cambria"/>
          <w:sz w:val="12"/>
        </w:rPr>
      </w:pPr>
      <w:r w:rsidRPr="009A0DA6">
        <w:rPr>
          <w:rFonts w:ascii="Cambria" w:hAnsi="Cambria"/>
        </w:rPr>
        <w:t>The very positive response by pastors to their receipt of personal phone calls at difficult times, and also on significant anniversaries of their ordination.</w:t>
      </w:r>
      <w:r w:rsidR="00786120">
        <w:rPr>
          <w:rFonts w:ascii="Cambria" w:hAnsi="Cambria"/>
        </w:rPr>
        <w:br/>
      </w:r>
    </w:p>
    <w:p w14:paraId="4912FE28" w14:textId="77777777" w:rsidR="001551C0" w:rsidRPr="009A0DA6" w:rsidRDefault="001551C0" w:rsidP="001551C0">
      <w:pPr>
        <w:pStyle w:val="Heading3"/>
      </w:pPr>
      <w:r w:rsidRPr="009A0DA6">
        <w:t>Challenges and Lessons Learned</w:t>
      </w:r>
    </w:p>
    <w:p w14:paraId="78AD1946" w14:textId="77777777" w:rsidR="001551C0" w:rsidRPr="009A0DA6" w:rsidRDefault="001551C0" w:rsidP="009334B2">
      <w:pPr>
        <w:spacing w:after="120"/>
        <w:rPr>
          <w:rFonts w:ascii="Cambria" w:hAnsi="Cambria"/>
        </w:rPr>
      </w:pPr>
      <w:r w:rsidRPr="009A0DA6">
        <w:rPr>
          <w:rFonts w:ascii="Cambria" w:hAnsi="Cambria"/>
        </w:rPr>
        <w:t>The problem of burn-out among pastors and lay-workers is a continuing one for the LCA. The need for support is great. BSPM is now likely to be replaced with an Advisory Committee for Support to Pastoral and Lay Ministry as part of the Church Worker Support Department. This Department will be responsible not only for pastors and their families, but also all lay church workers and their families. Perhaps now is a good time for the Church Worker Support Department to re-evaluate the best way to provide this much needed support for church workers and their families.</w:t>
      </w:r>
    </w:p>
    <w:p w14:paraId="23AF7CFB" w14:textId="77777777" w:rsidR="001551C0" w:rsidRPr="009A0DA6" w:rsidRDefault="001551C0" w:rsidP="001551C0">
      <w:pPr>
        <w:pStyle w:val="Heading3"/>
      </w:pPr>
      <w:r w:rsidRPr="009A0DA6">
        <w:t xml:space="preserve">Alignment to LCA Strategic Direction </w:t>
      </w:r>
      <w:r>
        <w:t>2013–2018</w:t>
      </w:r>
    </w:p>
    <w:p w14:paraId="1E5A680D" w14:textId="77777777" w:rsidR="001551C0" w:rsidRPr="009A0DA6" w:rsidRDefault="001551C0" w:rsidP="001551C0">
      <w:pPr>
        <w:rPr>
          <w:rFonts w:ascii="Cambria" w:hAnsi="Cambria"/>
        </w:rPr>
      </w:pPr>
      <w:r w:rsidRPr="009A0DA6">
        <w:rPr>
          <w:rFonts w:ascii="Cambria" w:hAnsi="Cambria"/>
        </w:rPr>
        <w:t>Where the Strategic Direction has been applicable for our work, BSPM has aligned with that direction. BSPM has been committed to the overall goal of encouraging the ongoing work of the LCA to effectively share the Gospel of Christ with individuals and communities.</w:t>
      </w:r>
    </w:p>
    <w:p w14:paraId="0D567D6A" w14:textId="77777777" w:rsidR="001551C0" w:rsidRPr="009A0DA6" w:rsidRDefault="001551C0" w:rsidP="001551C0">
      <w:pPr>
        <w:pStyle w:val="Heading3"/>
      </w:pPr>
      <w:r w:rsidRPr="009A0DA6">
        <w:t>Cooperating LCA Boards and Agencies</w:t>
      </w:r>
    </w:p>
    <w:p w14:paraId="4A15F1F2" w14:textId="77777777" w:rsidR="001551C0" w:rsidRPr="00786120" w:rsidRDefault="001551C0" w:rsidP="001551C0">
      <w:pPr>
        <w:spacing w:after="0"/>
        <w:rPr>
          <w:rFonts w:ascii="Cambria" w:hAnsi="Cambria"/>
          <w:sz w:val="12"/>
        </w:rPr>
      </w:pPr>
      <w:r w:rsidRPr="009A0DA6">
        <w:rPr>
          <w:rFonts w:ascii="Cambria" w:hAnsi="Cambria"/>
        </w:rPr>
        <w:t>BSPM interacts mainly with the College of Bishops, since both have a responsibility for pastoral care. BSPM has appreciated the time that the Manager of the Church Worker Support Department has spent at BSPM meetings, although there has really been little impact on the workings of BSPM by the development of the new structures during this past synodical term. BSPM has continued on as usual in providing support to the College of Bishops in their work of caring for the Pastors (and their families) in the LCA.</w:t>
      </w:r>
      <w:r w:rsidRPr="009A0DA6">
        <w:rPr>
          <w:rFonts w:ascii="Cambria" w:hAnsi="Cambria"/>
        </w:rPr>
        <w:br/>
      </w:r>
    </w:p>
    <w:p w14:paraId="46EFB1B9" w14:textId="77777777" w:rsidR="001551C0" w:rsidRPr="009A0DA6" w:rsidRDefault="001551C0" w:rsidP="001551C0">
      <w:pPr>
        <w:pStyle w:val="Heading3"/>
      </w:pPr>
      <w:r w:rsidRPr="009A0DA6">
        <w:t>FINANCIAL PERFORMANCE</w:t>
      </w:r>
    </w:p>
    <w:p w14:paraId="7481D3C1" w14:textId="77777777" w:rsidR="001551C0" w:rsidRPr="009A0DA6" w:rsidRDefault="001551C0" w:rsidP="001551C0">
      <w:pPr>
        <w:spacing w:after="0" w:line="22" w:lineRule="atLeast"/>
        <w:rPr>
          <w:rFonts w:ascii="Cambria" w:hAnsi="Cambria" w:cs="Arial"/>
        </w:rPr>
      </w:pPr>
      <w:r w:rsidRPr="009A0DA6">
        <w:rPr>
          <w:rFonts w:ascii="Cambria" w:hAnsi="Cambria" w:cs="Arial"/>
        </w:rPr>
        <w:t>The board does not have a budget and requires no financial support from the LCA.</w:t>
      </w:r>
    </w:p>
    <w:p w14:paraId="720E7C60" w14:textId="6B2008A4" w:rsidR="001551C0" w:rsidRPr="00786120" w:rsidRDefault="001551C0" w:rsidP="00964A90">
      <w:pPr>
        <w:pStyle w:val="Heading3"/>
        <w:rPr>
          <w:sz w:val="48"/>
          <w:szCs w:val="22"/>
        </w:rPr>
      </w:pPr>
    </w:p>
    <w:p w14:paraId="599EC029" w14:textId="77777777" w:rsidR="001551C0" w:rsidRPr="009A0DA6" w:rsidRDefault="001551C0" w:rsidP="001551C0">
      <w:pPr>
        <w:pStyle w:val="Heading3"/>
      </w:pPr>
      <w:r w:rsidRPr="009A0DA6">
        <w:t>agenda 2.6</w:t>
      </w:r>
      <w:r>
        <w:t>.1</w:t>
      </w:r>
    </w:p>
    <w:p w14:paraId="3A3EC7F3" w14:textId="77777777" w:rsidR="001551C0" w:rsidRPr="009A0DA6" w:rsidRDefault="001551C0" w:rsidP="001551C0">
      <w:pPr>
        <w:pStyle w:val="Heading2"/>
      </w:pPr>
      <w:bookmarkStart w:id="471" w:name="_Toc521954723"/>
      <w:r w:rsidRPr="009A0DA6">
        <w:t>Standing Committee on Nominations</w:t>
      </w:r>
      <w:bookmarkEnd w:id="471"/>
    </w:p>
    <w:p w14:paraId="15899411" w14:textId="77777777" w:rsidR="001551C0" w:rsidRPr="00786120" w:rsidRDefault="001551C0" w:rsidP="001551C0">
      <w:pPr>
        <w:pStyle w:val="NoSpacing"/>
        <w:rPr>
          <w:sz w:val="12"/>
        </w:rPr>
      </w:pPr>
    </w:p>
    <w:p w14:paraId="5A01FB09" w14:textId="77777777" w:rsidR="001551C0" w:rsidRPr="009A0DA6" w:rsidRDefault="001551C0" w:rsidP="001551C0">
      <w:pPr>
        <w:pStyle w:val="Heading3"/>
      </w:pPr>
      <w:r w:rsidRPr="009A0DA6">
        <w:t>BACKGROUND</w:t>
      </w:r>
    </w:p>
    <w:p w14:paraId="19085E37" w14:textId="77777777" w:rsidR="001551C0" w:rsidRPr="009A0DA6" w:rsidRDefault="001551C0" w:rsidP="001551C0">
      <w:pPr>
        <w:rPr>
          <w:rFonts w:ascii="Cambria" w:hAnsi="Cambria"/>
        </w:rPr>
      </w:pPr>
      <w:r w:rsidRPr="009A0DA6">
        <w:rPr>
          <w:rFonts w:ascii="Cambria" w:hAnsi="Cambria"/>
        </w:rPr>
        <w:t>The Standing Committee on Nominations (SCoN) was formed by the GCC as a permanent committee of the LCA, following the 2015 Synod decision 2015:0203. Fourteen meetings have been held by SCoN since forming in June 2016 utilising a mix of mediums such as face to face, teleconference calls and Skype for Business; predominantly to accommodate the extreme geographical diversity of the committee but also to test the boundaries on what is practically possible when considering nominations for other committees. Email is also used between meetings to maintain communications and occasionally conduct ad-hoc business.</w:t>
      </w:r>
    </w:p>
    <w:p w14:paraId="71132491" w14:textId="77777777" w:rsidR="001551C0" w:rsidRPr="009A0DA6" w:rsidRDefault="001551C0" w:rsidP="001551C0">
      <w:pPr>
        <w:rPr>
          <w:rFonts w:ascii="Cambria" w:hAnsi="Cambria"/>
        </w:rPr>
      </w:pPr>
      <w:r w:rsidRPr="009A0DA6">
        <w:rPr>
          <w:rFonts w:ascii="Cambria" w:hAnsi="Cambria"/>
        </w:rPr>
        <w:t>It is worth noting that whilst one member has been deployed/posted overseas as a member of the Australian Defence Force for much of their time on the committee, they have continued to make a valuable contribution to the work of SCoN via Skype and e-mail.</w:t>
      </w:r>
    </w:p>
    <w:p w14:paraId="066EBE8C" w14:textId="77777777" w:rsidR="001551C0" w:rsidRPr="009A0DA6" w:rsidRDefault="001551C0" w:rsidP="001551C0">
      <w:pPr>
        <w:pStyle w:val="Heading3"/>
      </w:pPr>
      <w:r w:rsidRPr="009A0DA6">
        <w:t>MEMBERS</w:t>
      </w:r>
    </w:p>
    <w:p w14:paraId="6190BBAD" w14:textId="77777777" w:rsidR="001551C0" w:rsidRPr="009A0DA6" w:rsidRDefault="001551C0" w:rsidP="001551C0">
      <w:pPr>
        <w:rPr>
          <w:rFonts w:ascii="Cambria" w:hAnsi="Cambria"/>
        </w:rPr>
      </w:pPr>
      <w:r w:rsidRPr="009A0DA6">
        <w:rPr>
          <w:rFonts w:ascii="Cambria" w:hAnsi="Cambria"/>
        </w:rPr>
        <w:t xml:space="preserve">Jill Hobden: GCC appointment as Chair (14), Margit Hubbers (11), Kathy Mildred (14), Colleen Fitzpatrick (14), Margaret Koch (12), Simeon Prucha (11) Rev David Wear (12) </w:t>
      </w:r>
    </w:p>
    <w:p w14:paraId="087CCC3E" w14:textId="77777777" w:rsidR="001551C0" w:rsidRPr="009A0DA6" w:rsidRDefault="001551C0" w:rsidP="001551C0">
      <w:pPr>
        <w:pStyle w:val="Heading3"/>
      </w:pPr>
      <w:r w:rsidRPr="009A0DA6">
        <w:lastRenderedPageBreak/>
        <w:t>ACTIVITIES</w:t>
      </w:r>
    </w:p>
    <w:p w14:paraId="36B42BAF" w14:textId="77777777" w:rsidR="001551C0" w:rsidRPr="009A0DA6" w:rsidRDefault="001551C0" w:rsidP="009334B2">
      <w:pPr>
        <w:pStyle w:val="ListParagraph"/>
        <w:numPr>
          <w:ilvl w:val="0"/>
          <w:numId w:val="78"/>
        </w:numPr>
        <w:spacing w:after="120" w:line="240" w:lineRule="auto"/>
        <w:ind w:left="567" w:hanging="567"/>
        <w:rPr>
          <w:rFonts w:ascii="Cambria" w:hAnsi="Cambria"/>
          <w:sz w:val="10"/>
          <w:szCs w:val="10"/>
        </w:rPr>
      </w:pPr>
      <w:r w:rsidRPr="009A0DA6">
        <w:rPr>
          <w:rFonts w:ascii="Cambria" w:hAnsi="Cambria"/>
        </w:rPr>
        <w:t>The nomination form has been redesigned to allow SCoN to ensure that committees represent elements of church membership such as diversity of geographical location, age, gender, city or rural congregation, while meeting the principal object of ensuring that we have skills based governing bodies.</w:t>
      </w:r>
      <w:r w:rsidRPr="009A0DA6">
        <w:rPr>
          <w:rFonts w:ascii="Cambria" w:hAnsi="Cambria"/>
        </w:rPr>
        <w:br/>
      </w:r>
    </w:p>
    <w:p w14:paraId="38FCA527" w14:textId="77777777" w:rsidR="001551C0" w:rsidRPr="009A0DA6" w:rsidRDefault="001551C0" w:rsidP="009334B2">
      <w:pPr>
        <w:pStyle w:val="ListParagraph"/>
        <w:numPr>
          <w:ilvl w:val="0"/>
          <w:numId w:val="78"/>
        </w:numPr>
        <w:spacing w:after="120" w:line="240" w:lineRule="auto"/>
        <w:ind w:left="567" w:hanging="567"/>
        <w:rPr>
          <w:rFonts w:ascii="Cambria" w:hAnsi="Cambria"/>
          <w:sz w:val="10"/>
          <w:szCs w:val="10"/>
        </w:rPr>
      </w:pPr>
      <w:r w:rsidRPr="009A0DA6">
        <w:rPr>
          <w:rFonts w:ascii="Cambria" w:hAnsi="Cambria"/>
        </w:rPr>
        <w:t>Processes for receiving and reviewing nominations were developed.</w:t>
      </w:r>
      <w:r w:rsidRPr="009A0DA6">
        <w:rPr>
          <w:rFonts w:ascii="Cambria" w:hAnsi="Cambria"/>
        </w:rPr>
        <w:br/>
      </w:r>
    </w:p>
    <w:p w14:paraId="4F589512" w14:textId="77777777" w:rsidR="001551C0" w:rsidRPr="009A0DA6" w:rsidRDefault="001551C0" w:rsidP="009334B2">
      <w:pPr>
        <w:pStyle w:val="ListParagraph"/>
        <w:numPr>
          <w:ilvl w:val="0"/>
          <w:numId w:val="78"/>
        </w:numPr>
        <w:spacing w:after="120" w:line="240" w:lineRule="auto"/>
        <w:ind w:left="567" w:hanging="567"/>
        <w:rPr>
          <w:rFonts w:ascii="Cambria" w:hAnsi="Cambria"/>
          <w:sz w:val="10"/>
          <w:szCs w:val="10"/>
        </w:rPr>
      </w:pPr>
      <w:r w:rsidRPr="009A0DA6">
        <w:rPr>
          <w:rFonts w:ascii="Cambria" w:hAnsi="Cambria"/>
        </w:rPr>
        <w:t xml:space="preserve">Advertisements were placed widely using the LCA e-news and </w:t>
      </w:r>
      <w:r w:rsidRPr="009A0DA6">
        <w:rPr>
          <w:rFonts w:ascii="Cambria" w:hAnsi="Cambria"/>
          <w:i/>
        </w:rPr>
        <w:t>The Lutheran</w:t>
      </w:r>
      <w:r w:rsidRPr="009A0DA6">
        <w:rPr>
          <w:rFonts w:ascii="Cambria" w:hAnsi="Cambria"/>
        </w:rPr>
        <w:t xml:space="preserve"> for expressions of interest/ nominations for the new Board for Local Mission and its five committees (Lutheran Media; Ministry with the Ageing; Cross Cultural Ministry; Child, Youth &amp; Family Ministry; and New &amp; Renewing Churches). These were reviewed by SCoN with the assistance of the Executive Officer, Local Mission and recommendations for appointment made to the appointing bodies.</w:t>
      </w:r>
      <w:r w:rsidRPr="009A0DA6">
        <w:rPr>
          <w:rFonts w:ascii="Cambria" w:hAnsi="Cambria"/>
        </w:rPr>
        <w:br/>
      </w:r>
    </w:p>
    <w:p w14:paraId="145BAD75" w14:textId="77777777" w:rsidR="001551C0" w:rsidRPr="009A0DA6" w:rsidRDefault="001551C0" w:rsidP="009334B2">
      <w:pPr>
        <w:pStyle w:val="ListParagraph"/>
        <w:numPr>
          <w:ilvl w:val="0"/>
          <w:numId w:val="78"/>
        </w:numPr>
        <w:spacing w:after="120" w:line="240" w:lineRule="auto"/>
        <w:ind w:left="567" w:hanging="567"/>
        <w:rPr>
          <w:rFonts w:ascii="Cambria" w:hAnsi="Cambria"/>
          <w:sz w:val="10"/>
          <w:szCs w:val="10"/>
        </w:rPr>
      </w:pPr>
      <w:r w:rsidRPr="009A0DA6">
        <w:rPr>
          <w:rFonts w:ascii="Cambria" w:hAnsi="Cambria"/>
        </w:rPr>
        <w:t>Nominations were sought to fill casual vacancies of various LCA entities including the Board for Lutheran Education, Committee for New and Renewing Churches, Committee for International Mission and recommendations for appointment were made to the particular appointing bodies.</w:t>
      </w:r>
      <w:r w:rsidRPr="009A0DA6">
        <w:rPr>
          <w:rFonts w:ascii="Cambria" w:hAnsi="Cambria"/>
        </w:rPr>
        <w:br/>
      </w:r>
    </w:p>
    <w:p w14:paraId="1C1A13C9" w14:textId="77777777" w:rsidR="001551C0" w:rsidRPr="009A0DA6" w:rsidRDefault="001551C0" w:rsidP="009334B2">
      <w:pPr>
        <w:pStyle w:val="ListParagraph"/>
        <w:numPr>
          <w:ilvl w:val="0"/>
          <w:numId w:val="78"/>
        </w:numPr>
        <w:spacing w:after="120" w:line="240" w:lineRule="auto"/>
        <w:ind w:left="567" w:hanging="567"/>
        <w:rPr>
          <w:rFonts w:ascii="Cambria" w:hAnsi="Cambria"/>
          <w:sz w:val="10"/>
          <w:szCs w:val="10"/>
        </w:rPr>
      </w:pPr>
      <w:r w:rsidRPr="009A0DA6">
        <w:rPr>
          <w:rFonts w:ascii="Cambria" w:hAnsi="Cambria"/>
        </w:rPr>
        <w:t>A talent bank has been established to hold details of nominees who have indicated that they were open to being considered for other entity positions where their skills were identified as a need of that entity.</w:t>
      </w:r>
      <w:r w:rsidRPr="009A0DA6">
        <w:rPr>
          <w:rFonts w:ascii="Cambria" w:hAnsi="Cambria"/>
        </w:rPr>
        <w:br/>
      </w:r>
    </w:p>
    <w:p w14:paraId="2F75B4ED" w14:textId="77777777" w:rsidR="001551C0" w:rsidRPr="009A0DA6" w:rsidRDefault="001551C0" w:rsidP="009334B2">
      <w:pPr>
        <w:pStyle w:val="ListParagraph"/>
        <w:numPr>
          <w:ilvl w:val="0"/>
          <w:numId w:val="78"/>
        </w:numPr>
        <w:spacing w:after="120" w:line="240" w:lineRule="auto"/>
        <w:ind w:left="567" w:hanging="567"/>
        <w:rPr>
          <w:rFonts w:ascii="Cambria" w:hAnsi="Cambria"/>
          <w:sz w:val="10"/>
          <w:szCs w:val="10"/>
        </w:rPr>
      </w:pPr>
      <w:r w:rsidRPr="009A0DA6">
        <w:rPr>
          <w:rFonts w:ascii="Cambria" w:hAnsi="Cambria"/>
        </w:rPr>
        <w:t>SCoN members consulted with all LCA entities to establish their skills needs, develop a skills matrix and introduce the work of SCoN.</w:t>
      </w:r>
      <w:r w:rsidRPr="009A0DA6">
        <w:rPr>
          <w:rFonts w:ascii="Cambria" w:hAnsi="Cambria"/>
        </w:rPr>
        <w:br/>
      </w:r>
    </w:p>
    <w:p w14:paraId="51AAB6B2" w14:textId="77777777" w:rsidR="001551C0" w:rsidRPr="009A0DA6" w:rsidRDefault="001551C0" w:rsidP="009334B2">
      <w:pPr>
        <w:pStyle w:val="ListParagraph"/>
        <w:numPr>
          <w:ilvl w:val="0"/>
          <w:numId w:val="78"/>
        </w:numPr>
        <w:spacing w:after="120" w:line="240" w:lineRule="auto"/>
        <w:ind w:left="567" w:hanging="567"/>
        <w:rPr>
          <w:rFonts w:ascii="Cambria" w:hAnsi="Cambria"/>
          <w:sz w:val="10"/>
          <w:szCs w:val="10"/>
        </w:rPr>
      </w:pPr>
      <w:r w:rsidRPr="009A0DA6">
        <w:rPr>
          <w:rFonts w:ascii="Cambria" w:hAnsi="Cambria"/>
        </w:rPr>
        <w:t>A nominations webpage was created as part of the 2018 Synod website. This contains an introductory explanation, Frequently Asked Questions, links to the nomination form, and terms of reference for the church entities requiring governance body members.</w:t>
      </w:r>
      <w:r w:rsidRPr="009A0DA6">
        <w:rPr>
          <w:rFonts w:ascii="Cambria" w:hAnsi="Cambria"/>
        </w:rPr>
        <w:br/>
      </w:r>
    </w:p>
    <w:p w14:paraId="1D2FB943" w14:textId="77777777" w:rsidR="001551C0" w:rsidRPr="009A0DA6" w:rsidRDefault="001551C0" w:rsidP="009334B2">
      <w:pPr>
        <w:pStyle w:val="ListParagraph"/>
        <w:numPr>
          <w:ilvl w:val="0"/>
          <w:numId w:val="78"/>
        </w:numPr>
        <w:spacing w:after="120" w:line="240" w:lineRule="auto"/>
        <w:ind w:left="567" w:hanging="567"/>
        <w:rPr>
          <w:rFonts w:ascii="Cambria" w:hAnsi="Cambria"/>
        </w:rPr>
      </w:pPr>
      <w:r w:rsidRPr="009A0DA6">
        <w:rPr>
          <w:rFonts w:ascii="Cambria" w:hAnsi="Cambria"/>
        </w:rPr>
        <w:t>A SCoN member was invited to speak at a Grow Leadership Training session in December 2017.</w:t>
      </w:r>
    </w:p>
    <w:p w14:paraId="4AE2F6B6" w14:textId="77777777" w:rsidR="001551C0" w:rsidRPr="009A0DA6" w:rsidRDefault="001551C0" w:rsidP="001551C0">
      <w:pPr>
        <w:pStyle w:val="Heading3"/>
      </w:pPr>
      <w:r w:rsidRPr="009A0DA6">
        <w:t>successes</w:t>
      </w:r>
    </w:p>
    <w:p w14:paraId="001F86E0" w14:textId="77777777" w:rsidR="001551C0" w:rsidRPr="009A0DA6" w:rsidRDefault="001551C0" w:rsidP="009334B2">
      <w:pPr>
        <w:spacing w:after="120"/>
        <w:rPr>
          <w:rFonts w:ascii="Cambria" w:hAnsi="Cambria"/>
        </w:rPr>
      </w:pPr>
      <w:r w:rsidRPr="009A0DA6">
        <w:rPr>
          <w:rFonts w:ascii="Cambria" w:hAnsi="Cambria"/>
        </w:rPr>
        <w:t xml:space="preserve">The General Convention of Synod in 2015 approved significant changes to the way that SCoN works. New procedures have had to be developed and implemented. </w:t>
      </w:r>
    </w:p>
    <w:p w14:paraId="54860249" w14:textId="77777777" w:rsidR="001551C0" w:rsidRPr="009A0DA6" w:rsidRDefault="001551C0" w:rsidP="009334B2">
      <w:pPr>
        <w:spacing w:after="120"/>
        <w:rPr>
          <w:rFonts w:ascii="Cambria" w:hAnsi="Cambria"/>
        </w:rPr>
      </w:pPr>
      <w:r w:rsidRPr="009A0DA6">
        <w:rPr>
          <w:rFonts w:ascii="Cambria" w:hAnsi="Cambria"/>
        </w:rPr>
        <w:t>Following the General Convention of Synod, the Department for Local Mission board and committees needed to be appointed. The new procedures were trialled during this process. Almost all recommendations made for appointment by the committee were accepted by the appointing bodies. The committee also developed a set of Frequently Asked Questions to assist in the nominations process.</w:t>
      </w:r>
    </w:p>
    <w:p w14:paraId="34128C3B" w14:textId="77777777" w:rsidR="001551C0" w:rsidRPr="009A0DA6" w:rsidRDefault="001551C0" w:rsidP="009334B2">
      <w:pPr>
        <w:spacing w:after="120"/>
        <w:rPr>
          <w:rFonts w:ascii="Cambria" w:hAnsi="Cambria"/>
        </w:rPr>
      </w:pPr>
      <w:r w:rsidRPr="009A0DA6">
        <w:rPr>
          <w:rFonts w:ascii="Cambria" w:hAnsi="Cambria"/>
        </w:rPr>
        <w:t>It was determined that a member of SCoN should visit each board, council, commission and committee to share with them information about the new nomination process and to discuss with them the particular skill set required by that group. This was undertaken and appreciated by those involved. One of the outcomes of this process was that a member of SCoN was invited to attend the Grow Leadership Training seminar to speak with the trainees about the nominations process and the opportunities this provides for serving the church.</w:t>
      </w:r>
    </w:p>
    <w:p w14:paraId="469A6FE7" w14:textId="77777777" w:rsidR="001551C0" w:rsidRPr="009A0DA6" w:rsidRDefault="001551C0" w:rsidP="001551C0">
      <w:pPr>
        <w:pStyle w:val="Heading3"/>
      </w:pPr>
      <w:r w:rsidRPr="009A0DA6">
        <w:t>challenges and lessons learned</w:t>
      </w:r>
    </w:p>
    <w:p w14:paraId="2DC3BACC" w14:textId="77777777" w:rsidR="001551C0" w:rsidRPr="009A0DA6" w:rsidRDefault="001551C0" w:rsidP="009334B2">
      <w:pPr>
        <w:spacing w:after="120"/>
        <w:rPr>
          <w:rFonts w:ascii="Cambria" w:hAnsi="Cambria"/>
        </w:rPr>
      </w:pPr>
      <w:r w:rsidRPr="009A0DA6">
        <w:rPr>
          <w:rFonts w:ascii="Cambria" w:hAnsi="Cambria"/>
        </w:rPr>
        <w:t>There have been some challenges communicating effectively to the wider church the implementation of the changes to the nominations process from a representational model to a skills-based model, etc.</w:t>
      </w:r>
    </w:p>
    <w:p w14:paraId="48E201B2" w14:textId="77777777" w:rsidR="001551C0" w:rsidRPr="009A0DA6" w:rsidRDefault="001551C0" w:rsidP="009334B2">
      <w:pPr>
        <w:spacing w:after="120"/>
        <w:rPr>
          <w:rFonts w:ascii="Cambria" w:hAnsi="Cambria"/>
        </w:rPr>
      </w:pPr>
      <w:r w:rsidRPr="009A0DA6">
        <w:rPr>
          <w:rFonts w:ascii="Cambria" w:hAnsi="Cambria"/>
        </w:rPr>
        <w:lastRenderedPageBreak/>
        <w:t xml:space="preserve">SCoN has identified some challenges in ensuring that there is a gender balance on all committees. Consideration has been given to age, gender, locality (District, rural, remote and metropolitan) in recommending appointments. SCoN is submitting a proposal to the 2018 Convention of Synod recommending the appointment of suitable young people to LCA entities. </w:t>
      </w:r>
    </w:p>
    <w:p w14:paraId="2167DE7C" w14:textId="77777777" w:rsidR="001551C0" w:rsidRPr="009A0DA6" w:rsidRDefault="001551C0" w:rsidP="009334B2">
      <w:pPr>
        <w:spacing w:after="120"/>
        <w:rPr>
          <w:rFonts w:ascii="Cambria" w:hAnsi="Cambria"/>
        </w:rPr>
      </w:pPr>
      <w:r w:rsidRPr="009A0DA6">
        <w:rPr>
          <w:rFonts w:ascii="Cambria" w:hAnsi="Cambria"/>
        </w:rPr>
        <w:t>There has been no cap on the length of service on committees. When members have been on a committee for decades, a lack of succession planning can result in a significant hiatus occurring when the incumbent eventually retires. It also precludes younger people from having an opportunity to serve.</w:t>
      </w:r>
    </w:p>
    <w:p w14:paraId="28CF0634" w14:textId="77777777" w:rsidR="001551C0" w:rsidRPr="009A0DA6" w:rsidRDefault="001551C0" w:rsidP="009334B2">
      <w:pPr>
        <w:spacing w:after="120"/>
        <w:rPr>
          <w:rFonts w:ascii="Cambria" w:hAnsi="Cambria"/>
          <w:i/>
        </w:rPr>
      </w:pPr>
      <w:r w:rsidRPr="009A0DA6">
        <w:rPr>
          <w:rStyle w:val="Emphasis"/>
          <w:rFonts w:ascii="Cambria" w:hAnsi="Cambria"/>
        </w:rPr>
        <w:t xml:space="preserve">The nature of our church membership is gradually changing as a reflection of the changing social structures in the communities in which we live. </w:t>
      </w:r>
      <w:r w:rsidRPr="009A0DA6">
        <w:rPr>
          <w:rFonts w:ascii="Cambria" w:hAnsi="Cambria"/>
        </w:rPr>
        <w:t>Membership is much more fluid, and previous formalities for being received into membership and record keeping are no longer practiced in all congregations – or maybe even valued. When the Constitution requires specific qualifications for membership, the current practices do not always support these requirements. Consideration may need to be given to how membership is defined.</w:t>
      </w:r>
    </w:p>
    <w:p w14:paraId="292DB37C" w14:textId="77777777" w:rsidR="001551C0" w:rsidRPr="009A0DA6" w:rsidRDefault="001551C0" w:rsidP="009334B2">
      <w:pPr>
        <w:spacing w:after="120"/>
        <w:rPr>
          <w:rFonts w:ascii="Cambria" w:hAnsi="Cambria"/>
        </w:rPr>
      </w:pPr>
      <w:r w:rsidRPr="009A0DA6">
        <w:rPr>
          <w:rFonts w:ascii="Cambria" w:hAnsi="Cambria"/>
        </w:rPr>
        <w:t>It is sad to see the lack of indigenous representation on church entities. As a committee we are aware that many of our indigenous Lutherans are in fact disenfranchised by this.</w:t>
      </w:r>
    </w:p>
    <w:p w14:paraId="594B7788" w14:textId="77777777" w:rsidR="001551C0" w:rsidRPr="009A0DA6" w:rsidRDefault="001551C0" w:rsidP="001551C0">
      <w:pPr>
        <w:pStyle w:val="Heading3"/>
      </w:pPr>
      <w:r w:rsidRPr="009A0DA6">
        <w:t>risks</w:t>
      </w:r>
    </w:p>
    <w:tbl>
      <w:tblPr>
        <w:tblStyle w:val="PlainTable2"/>
        <w:tblW w:w="8931" w:type="dxa"/>
        <w:tblLook w:val="00A0" w:firstRow="1" w:lastRow="0" w:firstColumn="1" w:lastColumn="0" w:noHBand="0" w:noVBand="0"/>
      </w:tblPr>
      <w:tblGrid>
        <w:gridCol w:w="2410"/>
        <w:gridCol w:w="2268"/>
        <w:gridCol w:w="4253"/>
      </w:tblGrid>
      <w:tr w:rsidR="001551C0" w:rsidRPr="009A0DA6" w14:paraId="6B106423" w14:textId="77777777" w:rsidTr="002E59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7F7F7F" w:themeColor="text1" w:themeTint="80"/>
              <w:right w:val="nil"/>
            </w:tcBorders>
            <w:vAlign w:val="center"/>
            <w:hideMark/>
          </w:tcPr>
          <w:p w14:paraId="3F35944B" w14:textId="77777777" w:rsidR="001551C0" w:rsidRPr="009A0DA6" w:rsidRDefault="001551C0" w:rsidP="00FF349B">
            <w:pPr>
              <w:rPr>
                <w:rFonts w:ascii="Cambria" w:hAnsi="Cambria"/>
              </w:rPr>
            </w:pPr>
            <w:r w:rsidRPr="009A0DA6">
              <w:rPr>
                <w:rFonts w:ascii="Cambria" w:hAnsi="Cambria"/>
              </w:rPr>
              <w:t>Description of Risk</w:t>
            </w:r>
          </w:p>
        </w:tc>
        <w:tc>
          <w:tcPr>
            <w:cnfStyle w:val="000010000000" w:firstRow="0" w:lastRow="0" w:firstColumn="0" w:lastColumn="0" w:oddVBand="1" w:evenVBand="0" w:oddHBand="0" w:evenHBand="0" w:firstRowFirstColumn="0" w:firstRowLastColumn="0" w:lastRowFirstColumn="0" w:lastRowLastColumn="0"/>
            <w:tcW w:w="2268" w:type="dxa"/>
            <w:tcBorders>
              <w:top w:val="single" w:sz="4" w:space="0" w:color="7F7F7F" w:themeColor="text1" w:themeTint="80"/>
              <w:left w:val="nil"/>
              <w:right w:val="nil"/>
            </w:tcBorders>
            <w:vAlign w:val="center"/>
            <w:hideMark/>
          </w:tcPr>
          <w:p w14:paraId="0586CCB4" w14:textId="77777777" w:rsidR="001551C0" w:rsidRPr="009A0DA6" w:rsidRDefault="001551C0" w:rsidP="00FF349B">
            <w:pPr>
              <w:rPr>
                <w:rFonts w:ascii="Cambria" w:hAnsi="Cambria"/>
              </w:rPr>
            </w:pPr>
            <w:r w:rsidRPr="009A0DA6">
              <w:rPr>
                <w:rFonts w:ascii="Cambria" w:hAnsi="Cambria"/>
              </w:rPr>
              <w:t xml:space="preserve">Likelihood of risk occurring and potential impact for the LCA </w:t>
            </w:r>
          </w:p>
        </w:tc>
        <w:tc>
          <w:tcPr>
            <w:cnfStyle w:val="000001000000" w:firstRow="0" w:lastRow="0" w:firstColumn="0" w:lastColumn="0" w:oddVBand="0" w:evenVBand="1" w:oddHBand="0" w:evenHBand="0" w:firstRowFirstColumn="0" w:firstRowLastColumn="0" w:lastRowFirstColumn="0" w:lastRowLastColumn="0"/>
            <w:tcW w:w="4253" w:type="dxa"/>
            <w:tcBorders>
              <w:top w:val="single" w:sz="4" w:space="0" w:color="7F7F7F" w:themeColor="text1" w:themeTint="80"/>
              <w:left w:val="nil"/>
              <w:right w:val="nil"/>
            </w:tcBorders>
            <w:vAlign w:val="center"/>
            <w:hideMark/>
          </w:tcPr>
          <w:p w14:paraId="1F67C57F" w14:textId="77777777" w:rsidR="001551C0" w:rsidRPr="009A0DA6" w:rsidRDefault="001551C0" w:rsidP="00FF349B">
            <w:pPr>
              <w:rPr>
                <w:rFonts w:ascii="Cambria" w:hAnsi="Cambria"/>
              </w:rPr>
            </w:pPr>
            <w:r w:rsidRPr="009A0DA6">
              <w:rPr>
                <w:rFonts w:ascii="Cambria" w:hAnsi="Cambria"/>
              </w:rPr>
              <w:t>Summary of action to mitigate the risk</w:t>
            </w:r>
          </w:p>
        </w:tc>
      </w:tr>
      <w:tr w:rsidR="001551C0" w:rsidRPr="009A0DA6" w14:paraId="52E10F9C" w14:textId="77777777" w:rsidTr="002E59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right w:val="nil"/>
            </w:tcBorders>
            <w:hideMark/>
          </w:tcPr>
          <w:p w14:paraId="6EDE8C19" w14:textId="77777777" w:rsidR="001551C0" w:rsidRPr="009A0DA6" w:rsidRDefault="001551C0" w:rsidP="00AD09CB">
            <w:pPr>
              <w:rPr>
                <w:rFonts w:ascii="Cambria" w:hAnsi="Cambria"/>
                <w:b w:val="0"/>
              </w:rPr>
            </w:pPr>
            <w:r w:rsidRPr="009A0DA6">
              <w:rPr>
                <w:rFonts w:ascii="Cambria" w:hAnsi="Cambria"/>
              </w:rPr>
              <w:t>Unsuitable candidates are not identified</w:t>
            </w:r>
          </w:p>
        </w:tc>
        <w:tc>
          <w:tcPr>
            <w:cnfStyle w:val="000010000000" w:firstRow="0" w:lastRow="0" w:firstColumn="0" w:lastColumn="0" w:oddVBand="1" w:evenVBand="0" w:oddHBand="0" w:evenHBand="0" w:firstRowFirstColumn="0" w:firstRowLastColumn="0" w:lastRowFirstColumn="0" w:lastRowLastColumn="0"/>
            <w:tcW w:w="2268" w:type="dxa"/>
            <w:tcBorders>
              <w:left w:val="nil"/>
              <w:right w:val="nil"/>
            </w:tcBorders>
            <w:hideMark/>
          </w:tcPr>
          <w:p w14:paraId="6AB17ECF" w14:textId="77777777" w:rsidR="001551C0" w:rsidRPr="009A0DA6" w:rsidRDefault="001551C0" w:rsidP="00AD09CB">
            <w:pPr>
              <w:jc w:val="center"/>
              <w:rPr>
                <w:rFonts w:ascii="Cambria" w:hAnsi="Cambria"/>
              </w:rPr>
            </w:pPr>
            <w:r w:rsidRPr="009A0DA6">
              <w:rPr>
                <w:rFonts w:ascii="Cambria" w:hAnsi="Cambria"/>
              </w:rPr>
              <w:t>Medium</w:t>
            </w:r>
          </w:p>
        </w:tc>
        <w:tc>
          <w:tcPr>
            <w:cnfStyle w:val="000001000000" w:firstRow="0" w:lastRow="0" w:firstColumn="0" w:lastColumn="0" w:oddVBand="0" w:evenVBand="1" w:oddHBand="0" w:evenHBand="0" w:firstRowFirstColumn="0" w:firstRowLastColumn="0" w:lastRowFirstColumn="0" w:lastRowLastColumn="0"/>
            <w:tcW w:w="4253" w:type="dxa"/>
            <w:tcBorders>
              <w:left w:val="nil"/>
              <w:right w:val="nil"/>
            </w:tcBorders>
            <w:hideMark/>
          </w:tcPr>
          <w:p w14:paraId="365AC269" w14:textId="77777777" w:rsidR="001551C0" w:rsidRPr="009A0DA6" w:rsidRDefault="001551C0" w:rsidP="00AD09CB">
            <w:pPr>
              <w:rPr>
                <w:rFonts w:ascii="Cambria" w:hAnsi="Cambria"/>
              </w:rPr>
            </w:pPr>
            <w:r w:rsidRPr="009A0DA6">
              <w:rPr>
                <w:rFonts w:ascii="Cambria" w:hAnsi="Cambria"/>
              </w:rPr>
              <w:t>Referees are checked if in doubt</w:t>
            </w:r>
          </w:p>
        </w:tc>
      </w:tr>
      <w:tr w:rsidR="001551C0" w:rsidRPr="009A0DA6" w14:paraId="53DC8A96" w14:textId="77777777" w:rsidTr="002E592D">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7F7F7F" w:themeColor="text1" w:themeTint="80"/>
              <w:bottom w:val="single" w:sz="4" w:space="0" w:color="7F7F7F" w:themeColor="text1" w:themeTint="80"/>
              <w:right w:val="nil"/>
            </w:tcBorders>
            <w:hideMark/>
          </w:tcPr>
          <w:p w14:paraId="1F20A8DE" w14:textId="77777777" w:rsidR="001551C0" w:rsidRPr="009A0DA6" w:rsidRDefault="001551C0" w:rsidP="00AD09CB">
            <w:pPr>
              <w:rPr>
                <w:rFonts w:ascii="Cambria" w:hAnsi="Cambria"/>
              </w:rPr>
            </w:pPr>
            <w:r w:rsidRPr="009A0DA6">
              <w:rPr>
                <w:rFonts w:ascii="Cambria" w:hAnsi="Cambria"/>
              </w:rPr>
              <w:t>Privacy of personal information not adequately protected</w:t>
            </w:r>
          </w:p>
        </w:tc>
        <w:tc>
          <w:tcPr>
            <w:cnfStyle w:val="000010000000" w:firstRow="0" w:lastRow="0" w:firstColumn="0" w:lastColumn="0" w:oddVBand="1" w:evenVBand="0" w:oddHBand="0" w:evenHBand="0" w:firstRowFirstColumn="0" w:firstRowLastColumn="0" w:lastRowFirstColumn="0" w:lastRowLastColumn="0"/>
            <w:tcW w:w="2268" w:type="dxa"/>
            <w:tcBorders>
              <w:top w:val="single" w:sz="4" w:space="0" w:color="7F7F7F" w:themeColor="text1" w:themeTint="80"/>
              <w:left w:val="nil"/>
              <w:bottom w:val="single" w:sz="4" w:space="0" w:color="7F7F7F" w:themeColor="text1" w:themeTint="80"/>
              <w:right w:val="nil"/>
            </w:tcBorders>
            <w:hideMark/>
          </w:tcPr>
          <w:p w14:paraId="42FB1448" w14:textId="77777777" w:rsidR="001551C0" w:rsidRPr="009A0DA6" w:rsidRDefault="001551C0" w:rsidP="00AD09CB">
            <w:pPr>
              <w:jc w:val="center"/>
              <w:rPr>
                <w:rFonts w:ascii="Cambria" w:hAnsi="Cambria"/>
              </w:rPr>
            </w:pPr>
            <w:r w:rsidRPr="009A0DA6">
              <w:rPr>
                <w:rFonts w:ascii="Cambria" w:hAnsi="Cambria"/>
              </w:rPr>
              <w:t>Low</w:t>
            </w:r>
          </w:p>
        </w:tc>
        <w:tc>
          <w:tcPr>
            <w:cnfStyle w:val="000001000000" w:firstRow="0" w:lastRow="0" w:firstColumn="0" w:lastColumn="0" w:oddVBand="0" w:evenVBand="1" w:oddHBand="0" w:evenHBand="0" w:firstRowFirstColumn="0" w:firstRowLastColumn="0" w:lastRowFirstColumn="0" w:lastRowLastColumn="0"/>
            <w:tcW w:w="4253" w:type="dxa"/>
            <w:tcBorders>
              <w:top w:val="single" w:sz="4" w:space="0" w:color="7F7F7F" w:themeColor="text1" w:themeTint="80"/>
              <w:left w:val="nil"/>
              <w:bottom w:val="single" w:sz="4" w:space="0" w:color="7F7F7F" w:themeColor="text1" w:themeTint="80"/>
              <w:right w:val="nil"/>
            </w:tcBorders>
            <w:hideMark/>
          </w:tcPr>
          <w:p w14:paraId="3545DA82" w14:textId="77777777" w:rsidR="001551C0" w:rsidRPr="009A0DA6" w:rsidRDefault="001551C0" w:rsidP="00AD09CB">
            <w:pPr>
              <w:rPr>
                <w:rFonts w:ascii="Cambria" w:hAnsi="Cambria"/>
              </w:rPr>
            </w:pPr>
            <w:r w:rsidRPr="009A0DA6">
              <w:rPr>
                <w:rFonts w:ascii="Cambria" w:hAnsi="Cambria"/>
              </w:rPr>
              <w:t>LCA use of SharePoint as a secure portal. Committee members have an obligation to keep personal data confidential at all times</w:t>
            </w:r>
          </w:p>
        </w:tc>
      </w:tr>
      <w:tr w:rsidR="001551C0" w:rsidRPr="009A0DA6" w14:paraId="0BDDF4EC" w14:textId="77777777" w:rsidTr="002E59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right w:val="nil"/>
            </w:tcBorders>
            <w:hideMark/>
          </w:tcPr>
          <w:p w14:paraId="4EBD82C5" w14:textId="77777777" w:rsidR="001551C0" w:rsidRPr="009A0DA6" w:rsidRDefault="001551C0" w:rsidP="00AD09CB">
            <w:pPr>
              <w:rPr>
                <w:rFonts w:ascii="Cambria" w:hAnsi="Cambria"/>
              </w:rPr>
            </w:pPr>
            <w:r w:rsidRPr="009A0DA6">
              <w:rPr>
                <w:rFonts w:ascii="Cambria" w:hAnsi="Cambria"/>
              </w:rPr>
              <w:t xml:space="preserve">The over representation of older people on church entities </w:t>
            </w:r>
          </w:p>
        </w:tc>
        <w:tc>
          <w:tcPr>
            <w:cnfStyle w:val="000010000000" w:firstRow="0" w:lastRow="0" w:firstColumn="0" w:lastColumn="0" w:oddVBand="1" w:evenVBand="0" w:oddHBand="0" w:evenHBand="0" w:firstRowFirstColumn="0" w:firstRowLastColumn="0" w:lastRowFirstColumn="0" w:lastRowLastColumn="0"/>
            <w:tcW w:w="2268" w:type="dxa"/>
            <w:tcBorders>
              <w:left w:val="nil"/>
              <w:right w:val="nil"/>
            </w:tcBorders>
            <w:hideMark/>
          </w:tcPr>
          <w:p w14:paraId="574E9715" w14:textId="77777777" w:rsidR="001551C0" w:rsidRPr="009A0DA6" w:rsidRDefault="001551C0" w:rsidP="00AD09CB">
            <w:pPr>
              <w:jc w:val="center"/>
              <w:rPr>
                <w:rFonts w:ascii="Cambria" w:hAnsi="Cambria"/>
              </w:rPr>
            </w:pPr>
            <w:r w:rsidRPr="009A0DA6">
              <w:rPr>
                <w:rFonts w:ascii="Cambria" w:hAnsi="Cambria"/>
              </w:rPr>
              <w:t>Medium</w:t>
            </w:r>
          </w:p>
        </w:tc>
        <w:tc>
          <w:tcPr>
            <w:cnfStyle w:val="000001000000" w:firstRow="0" w:lastRow="0" w:firstColumn="0" w:lastColumn="0" w:oddVBand="0" w:evenVBand="1" w:oddHBand="0" w:evenHBand="0" w:firstRowFirstColumn="0" w:firstRowLastColumn="0" w:lastRowFirstColumn="0" w:lastRowLastColumn="0"/>
            <w:tcW w:w="4253" w:type="dxa"/>
            <w:tcBorders>
              <w:left w:val="nil"/>
              <w:right w:val="nil"/>
            </w:tcBorders>
            <w:hideMark/>
          </w:tcPr>
          <w:p w14:paraId="7D06E075" w14:textId="77777777" w:rsidR="001551C0" w:rsidRPr="009A0DA6" w:rsidRDefault="001551C0" w:rsidP="00AD09CB">
            <w:pPr>
              <w:rPr>
                <w:rFonts w:ascii="Cambria" w:hAnsi="Cambria"/>
              </w:rPr>
            </w:pPr>
            <w:r w:rsidRPr="009A0DA6">
              <w:rPr>
                <w:rFonts w:ascii="Cambria" w:hAnsi="Cambria"/>
              </w:rPr>
              <w:t>Proposal to synod re membership of people aged 30 or under on church entities</w:t>
            </w:r>
          </w:p>
        </w:tc>
      </w:tr>
      <w:tr w:rsidR="001551C0" w:rsidRPr="009A0DA6" w14:paraId="4141DF05" w14:textId="77777777" w:rsidTr="002E592D">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7F7F7F" w:themeColor="text1" w:themeTint="80"/>
              <w:bottom w:val="single" w:sz="4" w:space="0" w:color="7F7F7F" w:themeColor="text1" w:themeTint="80"/>
              <w:right w:val="nil"/>
            </w:tcBorders>
            <w:hideMark/>
          </w:tcPr>
          <w:p w14:paraId="5D09C47E" w14:textId="77777777" w:rsidR="001551C0" w:rsidRPr="009A0DA6" w:rsidRDefault="001551C0" w:rsidP="00AD09CB">
            <w:pPr>
              <w:rPr>
                <w:rFonts w:ascii="Cambria" w:hAnsi="Cambria"/>
              </w:rPr>
            </w:pPr>
            <w:r w:rsidRPr="009A0DA6">
              <w:rPr>
                <w:rFonts w:ascii="Cambria" w:hAnsi="Cambria"/>
              </w:rPr>
              <w:t>The lack of a prescribed length of term on any board or committee</w:t>
            </w:r>
          </w:p>
        </w:tc>
        <w:tc>
          <w:tcPr>
            <w:cnfStyle w:val="000010000000" w:firstRow="0" w:lastRow="0" w:firstColumn="0" w:lastColumn="0" w:oddVBand="1" w:evenVBand="0" w:oddHBand="0" w:evenHBand="0" w:firstRowFirstColumn="0" w:firstRowLastColumn="0" w:lastRowFirstColumn="0" w:lastRowLastColumn="0"/>
            <w:tcW w:w="2268" w:type="dxa"/>
            <w:tcBorders>
              <w:top w:val="single" w:sz="4" w:space="0" w:color="7F7F7F" w:themeColor="text1" w:themeTint="80"/>
              <w:left w:val="nil"/>
              <w:bottom w:val="single" w:sz="4" w:space="0" w:color="7F7F7F" w:themeColor="text1" w:themeTint="80"/>
              <w:right w:val="nil"/>
            </w:tcBorders>
            <w:hideMark/>
          </w:tcPr>
          <w:p w14:paraId="5AC40FE8" w14:textId="77777777" w:rsidR="001551C0" w:rsidRPr="009A0DA6" w:rsidRDefault="001551C0" w:rsidP="00AD09CB">
            <w:pPr>
              <w:jc w:val="center"/>
              <w:rPr>
                <w:rFonts w:ascii="Cambria" w:hAnsi="Cambria"/>
              </w:rPr>
            </w:pPr>
            <w:r w:rsidRPr="009A0DA6">
              <w:rPr>
                <w:rFonts w:ascii="Cambria" w:hAnsi="Cambria"/>
              </w:rPr>
              <w:t>Medium</w:t>
            </w:r>
          </w:p>
        </w:tc>
        <w:tc>
          <w:tcPr>
            <w:cnfStyle w:val="000001000000" w:firstRow="0" w:lastRow="0" w:firstColumn="0" w:lastColumn="0" w:oddVBand="0" w:evenVBand="1" w:oddHBand="0" w:evenHBand="0" w:firstRowFirstColumn="0" w:firstRowLastColumn="0" w:lastRowFirstColumn="0" w:lastRowLastColumn="0"/>
            <w:tcW w:w="4253" w:type="dxa"/>
            <w:tcBorders>
              <w:top w:val="single" w:sz="4" w:space="0" w:color="7F7F7F" w:themeColor="text1" w:themeTint="80"/>
              <w:left w:val="nil"/>
              <w:bottom w:val="single" w:sz="4" w:space="0" w:color="7F7F7F" w:themeColor="text1" w:themeTint="80"/>
              <w:right w:val="nil"/>
            </w:tcBorders>
            <w:hideMark/>
          </w:tcPr>
          <w:p w14:paraId="2EA313F8" w14:textId="77777777" w:rsidR="001551C0" w:rsidRPr="009A0DA6" w:rsidRDefault="001551C0" w:rsidP="00AD09CB">
            <w:pPr>
              <w:rPr>
                <w:rFonts w:ascii="Cambria" w:hAnsi="Cambria"/>
              </w:rPr>
            </w:pPr>
            <w:r w:rsidRPr="009A0DA6">
              <w:rPr>
                <w:rFonts w:ascii="Cambria" w:hAnsi="Cambria"/>
              </w:rPr>
              <w:t>There is a recommendation from the governance review that there be a 9-year maximum membership</w:t>
            </w:r>
          </w:p>
        </w:tc>
      </w:tr>
      <w:tr w:rsidR="001551C0" w:rsidRPr="009A0DA6" w14:paraId="0C258127" w14:textId="77777777" w:rsidTr="002E59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right w:val="nil"/>
            </w:tcBorders>
            <w:hideMark/>
          </w:tcPr>
          <w:p w14:paraId="17159910" w14:textId="77777777" w:rsidR="001551C0" w:rsidRPr="009A0DA6" w:rsidRDefault="001551C0" w:rsidP="00AD09CB">
            <w:pPr>
              <w:rPr>
                <w:rFonts w:ascii="Cambria" w:hAnsi="Cambria"/>
              </w:rPr>
            </w:pPr>
            <w:r w:rsidRPr="009A0DA6">
              <w:rPr>
                <w:rFonts w:ascii="Cambria" w:hAnsi="Cambria"/>
              </w:rPr>
              <w:t>Succession planning for church entities</w:t>
            </w:r>
          </w:p>
        </w:tc>
        <w:tc>
          <w:tcPr>
            <w:cnfStyle w:val="000010000000" w:firstRow="0" w:lastRow="0" w:firstColumn="0" w:lastColumn="0" w:oddVBand="1" w:evenVBand="0" w:oddHBand="0" w:evenHBand="0" w:firstRowFirstColumn="0" w:firstRowLastColumn="0" w:lastRowFirstColumn="0" w:lastRowLastColumn="0"/>
            <w:tcW w:w="2268" w:type="dxa"/>
            <w:tcBorders>
              <w:left w:val="nil"/>
              <w:right w:val="nil"/>
            </w:tcBorders>
            <w:hideMark/>
          </w:tcPr>
          <w:p w14:paraId="329DB0E9" w14:textId="77777777" w:rsidR="001551C0" w:rsidRPr="009A0DA6" w:rsidRDefault="001551C0" w:rsidP="00AD09CB">
            <w:pPr>
              <w:jc w:val="center"/>
              <w:rPr>
                <w:rFonts w:ascii="Cambria" w:hAnsi="Cambria"/>
              </w:rPr>
            </w:pPr>
            <w:r w:rsidRPr="009A0DA6">
              <w:rPr>
                <w:rFonts w:ascii="Cambria" w:hAnsi="Cambria"/>
              </w:rPr>
              <w:t>Medium</w:t>
            </w:r>
          </w:p>
        </w:tc>
        <w:tc>
          <w:tcPr>
            <w:cnfStyle w:val="000001000000" w:firstRow="0" w:lastRow="0" w:firstColumn="0" w:lastColumn="0" w:oddVBand="0" w:evenVBand="1" w:oddHBand="0" w:evenHBand="0" w:firstRowFirstColumn="0" w:firstRowLastColumn="0" w:lastRowFirstColumn="0" w:lastRowLastColumn="0"/>
            <w:tcW w:w="4253" w:type="dxa"/>
            <w:tcBorders>
              <w:left w:val="nil"/>
              <w:right w:val="nil"/>
            </w:tcBorders>
            <w:hideMark/>
          </w:tcPr>
          <w:p w14:paraId="6698BA07" w14:textId="77777777" w:rsidR="001551C0" w:rsidRPr="009A0DA6" w:rsidRDefault="001551C0" w:rsidP="00AD09CB">
            <w:pPr>
              <w:rPr>
                <w:rFonts w:ascii="Cambria" w:hAnsi="Cambria"/>
              </w:rPr>
            </w:pPr>
            <w:r w:rsidRPr="009A0DA6">
              <w:rPr>
                <w:rFonts w:ascii="Cambria" w:hAnsi="Cambria"/>
              </w:rPr>
              <w:t>The adoption of the skills matrices and maximum terms on entities will ensure that there is an awareness of the need to ensure that succession planning becomes a reality.</w:t>
            </w:r>
          </w:p>
        </w:tc>
      </w:tr>
      <w:tr w:rsidR="001551C0" w:rsidRPr="009A0DA6" w14:paraId="131D72E2" w14:textId="77777777" w:rsidTr="002E592D">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7F7F7F" w:themeColor="text1" w:themeTint="80"/>
              <w:bottom w:val="single" w:sz="4" w:space="0" w:color="7F7F7F" w:themeColor="text1" w:themeTint="80"/>
              <w:right w:val="nil"/>
            </w:tcBorders>
            <w:hideMark/>
          </w:tcPr>
          <w:p w14:paraId="15D86A25" w14:textId="77777777" w:rsidR="001551C0" w:rsidRPr="009A0DA6" w:rsidRDefault="001551C0" w:rsidP="00AD09CB">
            <w:pPr>
              <w:rPr>
                <w:rFonts w:ascii="Cambria" w:hAnsi="Cambria"/>
              </w:rPr>
            </w:pPr>
            <w:r w:rsidRPr="009A0DA6">
              <w:rPr>
                <w:rFonts w:ascii="Cambria" w:hAnsi="Cambria"/>
              </w:rPr>
              <w:t>Loss of organisational memory/knowledge</w:t>
            </w:r>
          </w:p>
        </w:tc>
        <w:tc>
          <w:tcPr>
            <w:cnfStyle w:val="000010000000" w:firstRow="0" w:lastRow="0" w:firstColumn="0" w:lastColumn="0" w:oddVBand="1" w:evenVBand="0" w:oddHBand="0" w:evenHBand="0" w:firstRowFirstColumn="0" w:firstRowLastColumn="0" w:lastRowFirstColumn="0" w:lastRowLastColumn="0"/>
            <w:tcW w:w="2268" w:type="dxa"/>
            <w:tcBorders>
              <w:top w:val="single" w:sz="4" w:space="0" w:color="7F7F7F" w:themeColor="text1" w:themeTint="80"/>
              <w:left w:val="nil"/>
              <w:bottom w:val="single" w:sz="4" w:space="0" w:color="7F7F7F" w:themeColor="text1" w:themeTint="80"/>
              <w:right w:val="nil"/>
            </w:tcBorders>
            <w:hideMark/>
          </w:tcPr>
          <w:p w14:paraId="2A6CD107" w14:textId="77777777" w:rsidR="001551C0" w:rsidRPr="009A0DA6" w:rsidRDefault="001551C0" w:rsidP="00AD09CB">
            <w:pPr>
              <w:jc w:val="center"/>
              <w:rPr>
                <w:rFonts w:ascii="Cambria" w:hAnsi="Cambria"/>
              </w:rPr>
            </w:pPr>
            <w:r w:rsidRPr="009A0DA6">
              <w:rPr>
                <w:rFonts w:ascii="Cambria" w:hAnsi="Cambria"/>
              </w:rPr>
              <w:t>Medium</w:t>
            </w:r>
          </w:p>
        </w:tc>
        <w:tc>
          <w:tcPr>
            <w:cnfStyle w:val="000001000000" w:firstRow="0" w:lastRow="0" w:firstColumn="0" w:lastColumn="0" w:oddVBand="0" w:evenVBand="1" w:oddHBand="0" w:evenHBand="0" w:firstRowFirstColumn="0" w:firstRowLastColumn="0" w:lastRowFirstColumn="0" w:lastRowLastColumn="0"/>
            <w:tcW w:w="4253" w:type="dxa"/>
            <w:tcBorders>
              <w:top w:val="single" w:sz="4" w:space="0" w:color="7F7F7F" w:themeColor="text1" w:themeTint="80"/>
              <w:left w:val="nil"/>
              <w:bottom w:val="single" w:sz="4" w:space="0" w:color="7F7F7F" w:themeColor="text1" w:themeTint="80"/>
              <w:right w:val="nil"/>
            </w:tcBorders>
            <w:hideMark/>
          </w:tcPr>
          <w:p w14:paraId="2B9BCD3D" w14:textId="77777777" w:rsidR="001551C0" w:rsidRPr="009A0DA6" w:rsidRDefault="001551C0" w:rsidP="00AD09CB">
            <w:pPr>
              <w:rPr>
                <w:rFonts w:ascii="Cambria" w:hAnsi="Cambria"/>
              </w:rPr>
            </w:pPr>
            <w:r w:rsidRPr="009A0DA6">
              <w:rPr>
                <w:rFonts w:ascii="Cambria" w:hAnsi="Cambria"/>
              </w:rPr>
              <w:t>Increasing familiarity with technology eg SharePoint and where information can be accessed</w:t>
            </w:r>
          </w:p>
        </w:tc>
      </w:tr>
      <w:tr w:rsidR="001551C0" w:rsidRPr="009A0DA6" w14:paraId="09BAF026" w14:textId="77777777" w:rsidTr="002E59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right w:val="nil"/>
            </w:tcBorders>
            <w:hideMark/>
          </w:tcPr>
          <w:p w14:paraId="6BCCF3C8" w14:textId="77777777" w:rsidR="001551C0" w:rsidRPr="009A0DA6" w:rsidRDefault="001551C0" w:rsidP="00AD09CB">
            <w:pPr>
              <w:rPr>
                <w:rFonts w:ascii="Cambria" w:hAnsi="Cambria"/>
              </w:rPr>
            </w:pPr>
            <w:r w:rsidRPr="009A0DA6">
              <w:rPr>
                <w:rFonts w:ascii="Cambria" w:hAnsi="Cambria"/>
              </w:rPr>
              <w:t>Standard of record keeping in congregations means that it is not always possible to access information on the status of a person’s membership</w:t>
            </w:r>
          </w:p>
        </w:tc>
        <w:tc>
          <w:tcPr>
            <w:cnfStyle w:val="000010000000" w:firstRow="0" w:lastRow="0" w:firstColumn="0" w:lastColumn="0" w:oddVBand="1" w:evenVBand="0" w:oddHBand="0" w:evenHBand="0" w:firstRowFirstColumn="0" w:firstRowLastColumn="0" w:lastRowFirstColumn="0" w:lastRowLastColumn="0"/>
            <w:tcW w:w="2268" w:type="dxa"/>
            <w:tcBorders>
              <w:left w:val="nil"/>
              <w:right w:val="nil"/>
            </w:tcBorders>
            <w:hideMark/>
          </w:tcPr>
          <w:p w14:paraId="30B13BE3" w14:textId="77777777" w:rsidR="001551C0" w:rsidRPr="009A0DA6" w:rsidRDefault="001551C0" w:rsidP="00AD09CB">
            <w:pPr>
              <w:jc w:val="center"/>
              <w:rPr>
                <w:rFonts w:ascii="Cambria" w:hAnsi="Cambria"/>
              </w:rPr>
            </w:pPr>
            <w:r w:rsidRPr="009A0DA6">
              <w:rPr>
                <w:rFonts w:ascii="Cambria" w:hAnsi="Cambria"/>
              </w:rPr>
              <w:t>Medium/ High</w:t>
            </w:r>
          </w:p>
        </w:tc>
        <w:tc>
          <w:tcPr>
            <w:cnfStyle w:val="000001000000" w:firstRow="0" w:lastRow="0" w:firstColumn="0" w:lastColumn="0" w:oddVBand="0" w:evenVBand="1" w:oddHBand="0" w:evenHBand="0" w:firstRowFirstColumn="0" w:firstRowLastColumn="0" w:lastRowFirstColumn="0" w:lastRowLastColumn="0"/>
            <w:tcW w:w="4253" w:type="dxa"/>
            <w:tcBorders>
              <w:left w:val="nil"/>
              <w:right w:val="nil"/>
            </w:tcBorders>
            <w:hideMark/>
          </w:tcPr>
          <w:p w14:paraId="1A53539A" w14:textId="77777777" w:rsidR="001551C0" w:rsidRPr="009A0DA6" w:rsidRDefault="001551C0" w:rsidP="00AD09CB">
            <w:pPr>
              <w:rPr>
                <w:rFonts w:ascii="Cambria" w:hAnsi="Cambria"/>
              </w:rPr>
            </w:pPr>
            <w:r w:rsidRPr="009A0DA6">
              <w:rPr>
                <w:rFonts w:ascii="Cambria" w:hAnsi="Cambria"/>
              </w:rPr>
              <w:t>We continue to ask for the required documentation, and also question what is required for good governance</w:t>
            </w:r>
          </w:p>
        </w:tc>
      </w:tr>
    </w:tbl>
    <w:p w14:paraId="6286FF27" w14:textId="77777777" w:rsidR="001551C0" w:rsidRPr="009A0DA6" w:rsidRDefault="001551C0" w:rsidP="001551C0">
      <w:pPr>
        <w:pStyle w:val="Heading3"/>
        <w:rPr>
          <w:szCs w:val="28"/>
          <w:lang w:val="en-US" w:eastAsia="ja-JP"/>
        </w:rPr>
      </w:pPr>
      <w:r w:rsidRPr="009A0DA6">
        <w:lastRenderedPageBreak/>
        <w:t xml:space="preserve">Alignment to LCA Strategic Direction </w:t>
      </w:r>
      <w:r>
        <w:t>2013–2018</w:t>
      </w:r>
    </w:p>
    <w:p w14:paraId="6FF7785F" w14:textId="77777777" w:rsidR="001551C0" w:rsidRPr="009A0DA6" w:rsidRDefault="001551C0" w:rsidP="001551C0">
      <w:pPr>
        <w:spacing w:after="0" w:line="240" w:lineRule="auto"/>
        <w:ind w:left="567" w:hanging="567"/>
        <w:rPr>
          <w:rFonts w:ascii="Cambria" w:hAnsi="Cambria"/>
        </w:rPr>
      </w:pPr>
      <w:r w:rsidRPr="009A0DA6">
        <w:rPr>
          <w:rFonts w:ascii="Cambria" w:hAnsi="Cambria"/>
        </w:rPr>
        <w:t>3.2</w:t>
      </w:r>
      <w:r w:rsidRPr="009A0DA6">
        <w:rPr>
          <w:rFonts w:ascii="Cambria" w:hAnsi="Cambria"/>
        </w:rPr>
        <w:tab/>
        <w:t>Communications and Engagement</w:t>
      </w:r>
    </w:p>
    <w:p w14:paraId="03D1C25C" w14:textId="77777777" w:rsidR="001551C0" w:rsidRPr="009A0DA6" w:rsidRDefault="001551C0" w:rsidP="001551C0">
      <w:pPr>
        <w:spacing w:after="0" w:line="240" w:lineRule="auto"/>
        <w:ind w:left="1134" w:hanging="567"/>
        <w:rPr>
          <w:rFonts w:ascii="Cambria" w:hAnsi="Cambria"/>
        </w:rPr>
      </w:pPr>
      <w:r w:rsidRPr="009A0DA6">
        <w:rPr>
          <w:rFonts w:ascii="Cambria" w:hAnsi="Cambria"/>
        </w:rPr>
        <w:t xml:space="preserve">3.2.3 </w:t>
      </w:r>
      <w:r w:rsidRPr="009A0DA6">
        <w:rPr>
          <w:rFonts w:ascii="Cambria" w:hAnsi="Cambria"/>
        </w:rPr>
        <w:tab/>
        <w:t>Improve collaboration between the ministries of the church to establish and integration of communications around the theme ‘Where love comes to life’.</w:t>
      </w:r>
    </w:p>
    <w:p w14:paraId="211A01FD" w14:textId="77777777" w:rsidR="001551C0" w:rsidRPr="009A0DA6" w:rsidRDefault="001551C0" w:rsidP="001551C0">
      <w:pPr>
        <w:spacing w:after="0" w:line="240" w:lineRule="auto"/>
        <w:ind w:left="1134" w:hanging="567"/>
        <w:rPr>
          <w:rFonts w:ascii="Cambria" w:hAnsi="Cambria"/>
        </w:rPr>
      </w:pPr>
      <w:r w:rsidRPr="009A0DA6">
        <w:rPr>
          <w:rFonts w:ascii="Cambria" w:hAnsi="Cambria"/>
        </w:rPr>
        <w:t xml:space="preserve">3.2.4 </w:t>
      </w:r>
      <w:r w:rsidRPr="009A0DA6">
        <w:rPr>
          <w:rFonts w:ascii="Cambria" w:hAnsi="Cambria"/>
        </w:rPr>
        <w:tab/>
        <w:t>Achieve internal church communication that is efficient, coordinated and relevant</w:t>
      </w:r>
    </w:p>
    <w:p w14:paraId="7DCB1415" w14:textId="77777777" w:rsidR="001551C0" w:rsidRPr="009A0DA6" w:rsidRDefault="001551C0" w:rsidP="001551C0">
      <w:pPr>
        <w:tabs>
          <w:tab w:val="left" w:pos="567"/>
        </w:tabs>
        <w:spacing w:after="0" w:line="240" w:lineRule="auto"/>
        <w:rPr>
          <w:rFonts w:ascii="Cambria" w:hAnsi="Cambria"/>
        </w:rPr>
      </w:pPr>
      <w:r w:rsidRPr="009A0DA6">
        <w:rPr>
          <w:rFonts w:ascii="Cambria" w:hAnsi="Cambria"/>
        </w:rPr>
        <w:t xml:space="preserve">3.3 </w:t>
      </w:r>
      <w:r w:rsidRPr="009A0DA6">
        <w:rPr>
          <w:rFonts w:ascii="Cambria" w:hAnsi="Cambria"/>
        </w:rPr>
        <w:tab/>
        <w:t>Assets and resources</w:t>
      </w:r>
    </w:p>
    <w:p w14:paraId="72CE6D46" w14:textId="77777777" w:rsidR="001551C0" w:rsidRPr="009A0DA6" w:rsidRDefault="001551C0" w:rsidP="001551C0">
      <w:pPr>
        <w:spacing w:after="120" w:line="240" w:lineRule="auto"/>
        <w:ind w:left="1134" w:hanging="567"/>
        <w:rPr>
          <w:rFonts w:ascii="Cambria" w:hAnsi="Cambria"/>
        </w:rPr>
      </w:pPr>
      <w:r w:rsidRPr="009A0DA6">
        <w:rPr>
          <w:rFonts w:ascii="Cambria" w:hAnsi="Cambria"/>
        </w:rPr>
        <w:t>3.3.4  Encourage greater support for the work of the church using new and innovative approaches</w:t>
      </w:r>
    </w:p>
    <w:p w14:paraId="74431C2C" w14:textId="77777777" w:rsidR="001551C0" w:rsidRPr="009A0DA6" w:rsidRDefault="001551C0" w:rsidP="001551C0">
      <w:pPr>
        <w:pStyle w:val="Heading3"/>
      </w:pPr>
      <w:r w:rsidRPr="009A0DA6">
        <w:t>Cooperating LCA Boards and Agencies</w:t>
      </w:r>
    </w:p>
    <w:p w14:paraId="4D9CCD07" w14:textId="77777777" w:rsidR="001551C0" w:rsidRPr="009A0DA6" w:rsidRDefault="001551C0" w:rsidP="001551C0">
      <w:pPr>
        <w:pStyle w:val="NoSpacing"/>
      </w:pPr>
      <w:r w:rsidRPr="009A0DA6">
        <w:t>GCC, BLM, LCA Bishop – Liaising regarding recommendations for appointment.</w:t>
      </w:r>
    </w:p>
    <w:p w14:paraId="137267ED" w14:textId="77777777" w:rsidR="001551C0" w:rsidRPr="009A0DA6" w:rsidRDefault="001551C0" w:rsidP="001551C0">
      <w:pPr>
        <w:pStyle w:val="NoSpacing"/>
      </w:pPr>
      <w:r w:rsidRPr="009A0DA6">
        <w:t>All entities of the LCA requiring skilled members for their governing body – Consulting to establish their skills needs and advertising as widely as possible to find the best people.</w:t>
      </w:r>
    </w:p>
    <w:p w14:paraId="2709B588" w14:textId="77777777" w:rsidR="001551C0" w:rsidRPr="009A0DA6" w:rsidRDefault="001551C0" w:rsidP="001551C0">
      <w:pPr>
        <w:pStyle w:val="NoSpacing"/>
      </w:pPr>
    </w:p>
    <w:p w14:paraId="3A85F25B" w14:textId="77777777" w:rsidR="001551C0" w:rsidRPr="009A0DA6" w:rsidRDefault="001551C0" w:rsidP="001551C0">
      <w:pPr>
        <w:pStyle w:val="Heading3"/>
        <w:rPr>
          <w:szCs w:val="28"/>
          <w:lang w:val="en-US" w:eastAsia="ja-JP"/>
        </w:rPr>
      </w:pPr>
      <w:r w:rsidRPr="009A0DA6">
        <w:t>Financial Performance</w:t>
      </w:r>
    </w:p>
    <w:p w14:paraId="3FAF5FA1" w14:textId="77777777" w:rsidR="001551C0" w:rsidRPr="009A0DA6" w:rsidRDefault="001551C0" w:rsidP="001551C0">
      <w:pPr>
        <w:pStyle w:val="NoSpacing"/>
      </w:pPr>
      <w:r w:rsidRPr="009A0DA6">
        <w:t>SCoN does not have a budget to manage and its meeting costs are met by the LCA: these include travel and accommodation for members travelling to attend regular meetings and secretarial support.</w:t>
      </w:r>
    </w:p>
    <w:p w14:paraId="4483E7E9" w14:textId="37371509" w:rsidR="001551C0" w:rsidRDefault="001551C0" w:rsidP="00964A90">
      <w:pPr>
        <w:pStyle w:val="Heading3"/>
      </w:pPr>
    </w:p>
    <w:p w14:paraId="572EBBAE" w14:textId="1AE63643" w:rsidR="002E592D" w:rsidRDefault="002E592D" w:rsidP="002E592D">
      <w:pPr>
        <w:pStyle w:val="NoSpacing"/>
      </w:pPr>
    </w:p>
    <w:p w14:paraId="0CBC7AEA" w14:textId="0F8F52D5" w:rsidR="00786120" w:rsidRDefault="00786120" w:rsidP="002E592D">
      <w:pPr>
        <w:pStyle w:val="NoSpacing"/>
      </w:pPr>
    </w:p>
    <w:p w14:paraId="08697D77" w14:textId="77777777" w:rsidR="00786120" w:rsidRDefault="00786120" w:rsidP="002E592D">
      <w:pPr>
        <w:pStyle w:val="NoSpacing"/>
      </w:pPr>
    </w:p>
    <w:p w14:paraId="3D0EF240" w14:textId="3D36B277" w:rsidR="00930400" w:rsidRPr="009A0DA6" w:rsidRDefault="00930400" w:rsidP="00930400">
      <w:pPr>
        <w:pStyle w:val="Heading3"/>
      </w:pPr>
      <w:r w:rsidRPr="009A0DA6">
        <w:t>agenda 2.7</w:t>
      </w:r>
      <w:r>
        <w:t>.1</w:t>
      </w:r>
    </w:p>
    <w:p w14:paraId="017048A9" w14:textId="77777777" w:rsidR="00930400" w:rsidRPr="009A0DA6" w:rsidRDefault="00930400" w:rsidP="00930400">
      <w:pPr>
        <w:pStyle w:val="Heading2"/>
      </w:pPr>
      <w:bookmarkStart w:id="472" w:name="_Toc521954724"/>
      <w:r w:rsidRPr="009A0DA6">
        <w:t>Suomi Conference</w:t>
      </w:r>
      <w:bookmarkEnd w:id="472"/>
    </w:p>
    <w:p w14:paraId="4BA032D7" w14:textId="77777777" w:rsidR="00930400" w:rsidRPr="009A0DA6" w:rsidRDefault="00930400" w:rsidP="00930400">
      <w:pPr>
        <w:pStyle w:val="NoSpacing"/>
      </w:pPr>
    </w:p>
    <w:p w14:paraId="5BCB4BD4" w14:textId="77777777" w:rsidR="00930400" w:rsidRPr="009A0DA6" w:rsidRDefault="00930400" w:rsidP="00930400">
      <w:pPr>
        <w:pStyle w:val="Heading3"/>
      </w:pPr>
      <w:r w:rsidRPr="009A0DA6">
        <w:t>MEMBERS</w:t>
      </w:r>
    </w:p>
    <w:p w14:paraId="2128F4A3" w14:textId="77777777" w:rsidR="00930400" w:rsidRPr="009A0DA6" w:rsidRDefault="00930400" w:rsidP="00930400">
      <w:pPr>
        <w:rPr>
          <w:rFonts w:ascii="Cambria" w:hAnsi="Cambria" w:cs="Times New Roman"/>
        </w:rPr>
      </w:pPr>
      <w:r w:rsidRPr="009A0DA6">
        <w:rPr>
          <w:rFonts w:ascii="Cambria" w:hAnsi="Cambria" w:cs="Times New Roman"/>
        </w:rPr>
        <w:t xml:space="preserve">Matti Hirvela, Paivi Hargreaves, Janne Pekkarinen, Tuula Kuusela, Ian Vainikka and Russell Veerhuis </w:t>
      </w:r>
    </w:p>
    <w:p w14:paraId="3B3DC4EA" w14:textId="26B8F6AE" w:rsidR="00930400" w:rsidRPr="009A0DA6" w:rsidRDefault="00930400" w:rsidP="00930400">
      <w:pPr>
        <w:rPr>
          <w:rFonts w:ascii="Cambria" w:hAnsi="Cambria" w:cs="Times New Roman"/>
        </w:rPr>
      </w:pPr>
      <w:r w:rsidRPr="009A0DA6">
        <w:rPr>
          <w:rFonts w:ascii="Cambria" w:hAnsi="Cambria" w:cs="Times New Roman"/>
        </w:rPr>
        <w:t>We acknowledge the retirement of the Suomi Conference Chair of m</w:t>
      </w:r>
      <w:r w:rsidR="00FF349B">
        <w:rPr>
          <w:rFonts w:ascii="Cambria" w:hAnsi="Cambria" w:cs="Times New Roman"/>
        </w:rPr>
        <w:t xml:space="preserve">any years, Bishop Emeritus Rev </w:t>
      </w:r>
      <w:r w:rsidRPr="009A0DA6">
        <w:rPr>
          <w:rFonts w:ascii="Cambria" w:hAnsi="Cambria" w:cs="Times New Roman"/>
        </w:rPr>
        <w:t xml:space="preserve">Mark Lieschke. </w:t>
      </w:r>
    </w:p>
    <w:p w14:paraId="4BB82B96" w14:textId="77777777" w:rsidR="00930400" w:rsidRPr="009A0DA6" w:rsidRDefault="00930400" w:rsidP="00930400">
      <w:pPr>
        <w:pStyle w:val="Heading3"/>
      </w:pPr>
      <w:r w:rsidRPr="009A0DA6">
        <w:t>PURPOSE</w:t>
      </w:r>
    </w:p>
    <w:p w14:paraId="736CE684" w14:textId="77777777" w:rsidR="00930400" w:rsidRPr="009A0DA6" w:rsidRDefault="00930400" w:rsidP="00930400">
      <w:pPr>
        <w:rPr>
          <w:rFonts w:ascii="Cambria" w:hAnsi="Cambria" w:cs="Times New Roman"/>
        </w:rPr>
      </w:pPr>
      <w:r w:rsidRPr="009A0DA6">
        <w:rPr>
          <w:rFonts w:ascii="Cambria" w:hAnsi="Cambria" w:cs="Times New Roman"/>
        </w:rPr>
        <w:t xml:space="preserve">Suomi Conference was established in 1968 as the result of a meeting between Finnish pastors serving in the LCA, and the then LCA office holders. The main reason for its establishment was to assist the thousands of Finnish immigrants to Australia to assimilate into the life of the LCA, and specifically to: </w:t>
      </w:r>
    </w:p>
    <w:p w14:paraId="33D44BAB" w14:textId="77777777" w:rsidR="00930400" w:rsidRPr="009A0DA6" w:rsidRDefault="00930400" w:rsidP="00F55252">
      <w:pPr>
        <w:pStyle w:val="ListParagraph"/>
        <w:numPr>
          <w:ilvl w:val="0"/>
          <w:numId w:val="74"/>
        </w:numPr>
        <w:ind w:left="567" w:hanging="567"/>
        <w:rPr>
          <w:rFonts w:ascii="Cambria" w:hAnsi="Cambria" w:cs="Times New Roman"/>
        </w:rPr>
      </w:pPr>
      <w:r w:rsidRPr="009A0DA6">
        <w:rPr>
          <w:rFonts w:ascii="Cambria" w:hAnsi="Cambria" w:cs="Times New Roman"/>
        </w:rPr>
        <w:t xml:space="preserve">promote and support ministry among people who identify themselves as Finnish in Australia and New Zealand; and </w:t>
      </w:r>
    </w:p>
    <w:p w14:paraId="7267A062" w14:textId="113FDAF1" w:rsidR="00930400" w:rsidRDefault="00930400" w:rsidP="00F55252">
      <w:pPr>
        <w:pStyle w:val="ListParagraph"/>
        <w:numPr>
          <w:ilvl w:val="0"/>
          <w:numId w:val="74"/>
        </w:numPr>
        <w:ind w:left="567" w:hanging="567"/>
        <w:rPr>
          <w:rFonts w:ascii="Cambria" w:hAnsi="Cambria" w:cs="Times New Roman"/>
        </w:rPr>
      </w:pPr>
      <w:r w:rsidRPr="009A0DA6">
        <w:rPr>
          <w:rFonts w:ascii="Cambria" w:hAnsi="Cambria" w:cs="Times New Roman"/>
        </w:rPr>
        <w:t xml:space="preserve">facilitate partnerships between Finnish and English-speaking congregations by which people of Finnish origin may be retained in the church and integrated into the wider ministry of the church. </w:t>
      </w:r>
    </w:p>
    <w:p w14:paraId="59BEFD55" w14:textId="60091BDA" w:rsidR="00FF349B" w:rsidRDefault="00FF349B" w:rsidP="00FF349B">
      <w:pPr>
        <w:rPr>
          <w:rFonts w:ascii="Cambria" w:hAnsi="Cambria" w:cs="Times New Roman"/>
        </w:rPr>
      </w:pPr>
    </w:p>
    <w:p w14:paraId="587E6471" w14:textId="570A0189" w:rsidR="00FF349B" w:rsidRDefault="00FF349B" w:rsidP="00FF349B">
      <w:pPr>
        <w:rPr>
          <w:rFonts w:ascii="Cambria" w:hAnsi="Cambria" w:cs="Times New Roman"/>
        </w:rPr>
      </w:pPr>
    </w:p>
    <w:p w14:paraId="35E9CE32" w14:textId="77777777" w:rsidR="00FF349B" w:rsidRPr="00FF349B" w:rsidRDefault="00FF349B" w:rsidP="00FF349B">
      <w:pPr>
        <w:rPr>
          <w:rFonts w:ascii="Cambria" w:hAnsi="Cambria" w:cs="Times New Roman"/>
        </w:rPr>
      </w:pPr>
    </w:p>
    <w:p w14:paraId="0C80B176" w14:textId="77777777" w:rsidR="00930400" w:rsidRPr="009A0DA6" w:rsidRDefault="00930400" w:rsidP="00930400">
      <w:pPr>
        <w:pStyle w:val="Heading3"/>
      </w:pPr>
      <w:r w:rsidRPr="009A0DA6">
        <w:lastRenderedPageBreak/>
        <w:t xml:space="preserve">ACHIEVEMENTS IN SYNODICAL PERIOD AGAINST PLAN </w:t>
      </w:r>
    </w:p>
    <w:p w14:paraId="4024B809" w14:textId="77777777" w:rsidR="00930400" w:rsidRPr="009A0DA6" w:rsidRDefault="00930400" w:rsidP="00930400">
      <w:pPr>
        <w:spacing w:after="0" w:line="240" w:lineRule="auto"/>
        <w:rPr>
          <w:rFonts w:ascii="Cambria" w:hAnsi="Cambria" w:cs="Times New Roman"/>
        </w:rPr>
      </w:pPr>
      <w:r w:rsidRPr="009A0DA6">
        <w:rPr>
          <w:rFonts w:ascii="Cambria" w:hAnsi="Cambria" w:cs="Times New Roman"/>
        </w:rPr>
        <w:t xml:space="preserve">Assimilation into the LCA Key outcome </w:t>
      </w:r>
    </w:p>
    <w:p w14:paraId="5BB505A3" w14:textId="77777777" w:rsidR="00930400" w:rsidRPr="009A0DA6" w:rsidRDefault="00930400" w:rsidP="00930400">
      <w:pPr>
        <w:spacing w:after="0" w:line="240" w:lineRule="auto"/>
        <w:rPr>
          <w:rFonts w:ascii="Cambria" w:hAnsi="Cambria" w:cs="Times New Roman"/>
        </w:rPr>
      </w:pPr>
      <w:r w:rsidRPr="009A0DA6">
        <w:rPr>
          <w:rFonts w:ascii="Cambria" w:hAnsi="Cambria" w:cs="Times New Roman"/>
        </w:rPr>
        <w:t xml:space="preserve">Few activities with LCA congregations: </w:t>
      </w:r>
    </w:p>
    <w:p w14:paraId="4AA62C49" w14:textId="08384A51" w:rsidR="00930400" w:rsidRPr="009A0DA6" w:rsidRDefault="00930400" w:rsidP="00F55252">
      <w:pPr>
        <w:pStyle w:val="ListParagraph"/>
        <w:numPr>
          <w:ilvl w:val="0"/>
          <w:numId w:val="74"/>
        </w:numPr>
        <w:spacing w:after="0" w:line="240" w:lineRule="auto"/>
        <w:ind w:left="567" w:hanging="567"/>
        <w:rPr>
          <w:rFonts w:ascii="Cambria" w:hAnsi="Cambria" w:cs="Times New Roman"/>
        </w:rPr>
      </w:pPr>
      <w:r w:rsidRPr="009A0DA6">
        <w:rPr>
          <w:rFonts w:ascii="Cambria" w:hAnsi="Cambria" w:cs="Times New Roman"/>
        </w:rPr>
        <w:t>Becomi</w:t>
      </w:r>
      <w:r w:rsidR="00FF349B">
        <w:rPr>
          <w:rFonts w:ascii="Cambria" w:hAnsi="Cambria" w:cs="Times New Roman"/>
        </w:rPr>
        <w:t>ng financially self-supporting k</w:t>
      </w:r>
      <w:r w:rsidRPr="009A0DA6">
        <w:rPr>
          <w:rFonts w:ascii="Cambria" w:hAnsi="Cambria" w:cs="Times New Roman"/>
        </w:rPr>
        <w:t xml:space="preserve">ey outcome </w:t>
      </w:r>
    </w:p>
    <w:p w14:paraId="63FDBFD7" w14:textId="77777777" w:rsidR="00930400" w:rsidRPr="009A0DA6" w:rsidRDefault="00930400" w:rsidP="00F55252">
      <w:pPr>
        <w:pStyle w:val="ListParagraph"/>
        <w:numPr>
          <w:ilvl w:val="0"/>
          <w:numId w:val="74"/>
        </w:numPr>
        <w:spacing w:after="0" w:line="240" w:lineRule="auto"/>
        <w:ind w:left="567" w:hanging="567"/>
        <w:rPr>
          <w:rFonts w:ascii="Cambria" w:hAnsi="Cambria" w:cs="Times New Roman"/>
        </w:rPr>
      </w:pPr>
      <w:r w:rsidRPr="009A0DA6">
        <w:rPr>
          <w:rFonts w:ascii="Cambria" w:hAnsi="Cambria" w:cs="Times New Roman"/>
        </w:rPr>
        <w:t xml:space="preserve">Congregations challenged to take greater responsibility for finances. Melbourne congregation has leveraged its assets with a view of long term viability </w:t>
      </w:r>
      <w:r w:rsidRPr="009A0DA6">
        <w:rPr>
          <w:rFonts w:ascii="Cambria" w:hAnsi="Cambria" w:cs="Times New Roman"/>
        </w:rPr>
        <w:br/>
      </w:r>
    </w:p>
    <w:p w14:paraId="18B57459" w14:textId="77777777" w:rsidR="00930400" w:rsidRPr="009A0DA6" w:rsidRDefault="00930400" w:rsidP="00930400">
      <w:pPr>
        <w:pStyle w:val="Heading3"/>
      </w:pPr>
      <w:r w:rsidRPr="009A0DA6">
        <w:t xml:space="preserve">SUCCESSES </w:t>
      </w:r>
    </w:p>
    <w:p w14:paraId="043D3AA0" w14:textId="77777777" w:rsidR="00930400" w:rsidRPr="009A0DA6" w:rsidRDefault="00930400" w:rsidP="00F55252">
      <w:pPr>
        <w:pStyle w:val="ListParagraph"/>
        <w:numPr>
          <w:ilvl w:val="6"/>
          <w:numId w:val="75"/>
        </w:numPr>
        <w:spacing w:after="120" w:line="240" w:lineRule="auto"/>
        <w:ind w:left="567" w:hanging="567"/>
        <w:rPr>
          <w:rFonts w:ascii="Cambria" w:hAnsi="Cambria" w:cs="Times New Roman"/>
        </w:rPr>
      </w:pPr>
      <w:r w:rsidRPr="009A0DA6">
        <w:rPr>
          <w:rFonts w:ascii="Cambria" w:hAnsi="Cambria" w:cs="Times New Roman"/>
        </w:rPr>
        <w:t xml:space="preserve">Continued acknowledgement of the need to address ministry to second- and third- generation of Finnish Australians </w:t>
      </w:r>
    </w:p>
    <w:p w14:paraId="3BFEB9C2" w14:textId="77777777" w:rsidR="00930400" w:rsidRPr="009A0DA6" w:rsidRDefault="00930400" w:rsidP="00F55252">
      <w:pPr>
        <w:pStyle w:val="ListParagraph"/>
        <w:numPr>
          <w:ilvl w:val="6"/>
          <w:numId w:val="75"/>
        </w:numPr>
        <w:spacing w:after="120" w:line="240" w:lineRule="auto"/>
        <w:ind w:left="567" w:hanging="567"/>
        <w:rPr>
          <w:rFonts w:ascii="Cambria" w:hAnsi="Cambria" w:cs="Times New Roman"/>
        </w:rPr>
      </w:pPr>
      <w:r w:rsidRPr="009A0DA6">
        <w:rPr>
          <w:rFonts w:ascii="Cambria" w:hAnsi="Cambria" w:cs="Times New Roman"/>
        </w:rPr>
        <w:t xml:space="preserve">Greater recognition of the need to work together as congregations, rather than compete with one another </w:t>
      </w:r>
    </w:p>
    <w:p w14:paraId="362912B5" w14:textId="77777777" w:rsidR="00930400" w:rsidRPr="009A0DA6" w:rsidRDefault="00930400" w:rsidP="00F55252">
      <w:pPr>
        <w:pStyle w:val="ListParagraph"/>
        <w:numPr>
          <w:ilvl w:val="6"/>
          <w:numId w:val="75"/>
        </w:numPr>
        <w:spacing w:after="120" w:line="240" w:lineRule="auto"/>
        <w:ind w:left="567" w:hanging="567"/>
        <w:rPr>
          <w:rFonts w:ascii="Cambria" w:hAnsi="Cambria" w:cs="Times New Roman"/>
        </w:rPr>
      </w:pPr>
      <w:r w:rsidRPr="009A0DA6">
        <w:rPr>
          <w:rFonts w:ascii="Cambria" w:hAnsi="Cambria" w:cs="Times New Roman"/>
        </w:rPr>
        <w:t xml:space="preserve">Pastors ongoing participation and engagement with other LCA pastors </w:t>
      </w:r>
    </w:p>
    <w:p w14:paraId="60BF6B51" w14:textId="77777777" w:rsidR="00930400" w:rsidRPr="009A0DA6" w:rsidRDefault="00930400" w:rsidP="00F55252">
      <w:pPr>
        <w:pStyle w:val="ListParagraph"/>
        <w:numPr>
          <w:ilvl w:val="6"/>
          <w:numId w:val="75"/>
        </w:numPr>
        <w:spacing w:after="120" w:line="240" w:lineRule="auto"/>
        <w:ind w:left="567" w:hanging="567"/>
        <w:rPr>
          <w:rFonts w:ascii="Cambria" w:hAnsi="Cambria" w:cs="Times New Roman"/>
        </w:rPr>
      </w:pPr>
      <w:r w:rsidRPr="009A0DA6">
        <w:rPr>
          <w:rFonts w:ascii="Cambria" w:hAnsi="Cambria" w:cs="Times New Roman"/>
        </w:rPr>
        <w:t xml:space="preserve">Annual Suomi Conference Summer Camps </w:t>
      </w:r>
      <w:r w:rsidRPr="009A0DA6">
        <w:rPr>
          <w:rFonts w:ascii="Cambria" w:hAnsi="Cambria" w:cs="Times New Roman"/>
        </w:rPr>
        <w:br/>
      </w:r>
    </w:p>
    <w:p w14:paraId="2A84D9CB" w14:textId="77777777" w:rsidR="00930400" w:rsidRPr="009A0DA6" w:rsidRDefault="00930400" w:rsidP="00930400">
      <w:pPr>
        <w:pStyle w:val="Heading3"/>
      </w:pPr>
      <w:r w:rsidRPr="009A0DA6">
        <w:t xml:space="preserve">CHALLENGES, AND LESSONS LEARNT </w:t>
      </w:r>
    </w:p>
    <w:p w14:paraId="45A412A5" w14:textId="77777777" w:rsidR="00930400" w:rsidRPr="009A0DA6" w:rsidRDefault="00930400" w:rsidP="00F55252">
      <w:pPr>
        <w:pStyle w:val="ListParagraph"/>
        <w:numPr>
          <w:ilvl w:val="6"/>
          <w:numId w:val="76"/>
        </w:numPr>
        <w:ind w:left="567" w:hanging="567"/>
        <w:rPr>
          <w:rFonts w:ascii="Cambria" w:hAnsi="Cambria" w:cs="Times New Roman"/>
        </w:rPr>
      </w:pPr>
      <w:r w:rsidRPr="009A0DA6">
        <w:rPr>
          <w:rFonts w:ascii="Cambria" w:hAnsi="Cambria" w:cs="Times New Roman"/>
        </w:rPr>
        <w:t xml:space="preserve">Future viability of some congregations due to financial restraints </w:t>
      </w:r>
    </w:p>
    <w:p w14:paraId="426C0BDF" w14:textId="77777777" w:rsidR="00930400" w:rsidRPr="009A0DA6" w:rsidRDefault="00930400" w:rsidP="00F55252">
      <w:pPr>
        <w:pStyle w:val="ListParagraph"/>
        <w:numPr>
          <w:ilvl w:val="6"/>
          <w:numId w:val="76"/>
        </w:numPr>
        <w:ind w:left="567" w:hanging="567"/>
        <w:rPr>
          <w:rFonts w:ascii="Cambria" w:hAnsi="Cambria" w:cs="Times New Roman"/>
        </w:rPr>
      </w:pPr>
      <w:r w:rsidRPr="009A0DA6">
        <w:rPr>
          <w:rFonts w:ascii="Cambria" w:hAnsi="Cambria" w:cs="Times New Roman"/>
        </w:rPr>
        <w:t xml:space="preserve">Pastors based on the Eastern seaboard needing to serve Adelaide and Perth congregations </w:t>
      </w:r>
    </w:p>
    <w:p w14:paraId="4610523D" w14:textId="77777777" w:rsidR="00930400" w:rsidRPr="009A0DA6" w:rsidRDefault="00930400" w:rsidP="00F55252">
      <w:pPr>
        <w:pStyle w:val="ListParagraph"/>
        <w:numPr>
          <w:ilvl w:val="6"/>
          <w:numId w:val="76"/>
        </w:numPr>
        <w:ind w:left="567" w:hanging="567"/>
        <w:rPr>
          <w:rFonts w:ascii="Cambria" w:hAnsi="Cambria" w:cs="Times New Roman"/>
        </w:rPr>
      </w:pPr>
      <w:r w:rsidRPr="009A0DA6">
        <w:rPr>
          <w:rFonts w:ascii="Cambria" w:hAnsi="Cambria" w:cs="Times New Roman"/>
        </w:rPr>
        <w:t xml:space="preserve">Ongoing reluctance of congregations to assimilate with English-speaking congregations </w:t>
      </w:r>
    </w:p>
    <w:p w14:paraId="7B2FBB09" w14:textId="77777777" w:rsidR="00930400" w:rsidRPr="009A0DA6" w:rsidRDefault="00930400" w:rsidP="00930400">
      <w:pPr>
        <w:pStyle w:val="Heading3"/>
      </w:pPr>
      <w:r w:rsidRPr="009A0DA6">
        <w:t xml:space="preserve">RISKS </w:t>
      </w:r>
    </w:p>
    <w:p w14:paraId="7127300B" w14:textId="77777777" w:rsidR="00930400" w:rsidRPr="009A0DA6" w:rsidRDefault="00930400" w:rsidP="00F55252">
      <w:pPr>
        <w:pStyle w:val="ListParagraph"/>
        <w:numPr>
          <w:ilvl w:val="6"/>
          <w:numId w:val="77"/>
        </w:numPr>
        <w:ind w:left="567" w:hanging="567"/>
        <w:rPr>
          <w:rFonts w:ascii="Cambria" w:hAnsi="Cambria" w:cs="Times New Roman"/>
        </w:rPr>
      </w:pPr>
      <w:r w:rsidRPr="009A0DA6">
        <w:rPr>
          <w:rFonts w:ascii="Cambria" w:hAnsi="Cambria" w:cs="Times New Roman"/>
        </w:rPr>
        <w:t xml:space="preserve">Suomi Conference congregations’ unrealistic reliance on Evangelical Lutheran Church of Finland for ongoing financial support; congregations continually being challenged to take greater responsibility for the future, especially in the light of the recent Evangelical Lutheran Church of Finland’s announcement to phase out funding with the next 10 years </w:t>
      </w:r>
    </w:p>
    <w:p w14:paraId="076B05DE" w14:textId="77777777" w:rsidR="00930400" w:rsidRPr="009A0DA6" w:rsidRDefault="00930400" w:rsidP="00F55252">
      <w:pPr>
        <w:pStyle w:val="ListParagraph"/>
        <w:numPr>
          <w:ilvl w:val="6"/>
          <w:numId w:val="77"/>
        </w:numPr>
        <w:ind w:left="567" w:hanging="567"/>
        <w:rPr>
          <w:rFonts w:ascii="Cambria" w:hAnsi="Cambria" w:cs="Times New Roman"/>
        </w:rPr>
      </w:pPr>
      <w:r w:rsidRPr="009A0DA6">
        <w:rPr>
          <w:rFonts w:ascii="Cambria" w:hAnsi="Cambria" w:cs="Times New Roman"/>
        </w:rPr>
        <w:t xml:space="preserve">Ageing first generation immigrants; ongoing reminders to congregations of their need for support and participation in services. </w:t>
      </w:r>
    </w:p>
    <w:p w14:paraId="2FCCD078" w14:textId="77777777" w:rsidR="00930400" w:rsidRPr="009A0DA6" w:rsidRDefault="00930400" w:rsidP="00930400">
      <w:pPr>
        <w:pStyle w:val="Heading3"/>
      </w:pPr>
      <w:r w:rsidRPr="009A0DA6">
        <w:t xml:space="preserve">ALIGNMENT TO LCA STRATEGIC DIRECTION 2018–2021 </w:t>
      </w:r>
    </w:p>
    <w:p w14:paraId="5F66559F" w14:textId="77777777" w:rsidR="00930400" w:rsidRPr="009A0DA6" w:rsidRDefault="00930400" w:rsidP="00F55252">
      <w:pPr>
        <w:pStyle w:val="ListParagraph"/>
        <w:numPr>
          <w:ilvl w:val="3"/>
          <w:numId w:val="15"/>
        </w:numPr>
        <w:ind w:left="567" w:hanging="567"/>
        <w:rPr>
          <w:rFonts w:ascii="Cambria" w:hAnsi="Cambria" w:cs="Times New Roman"/>
        </w:rPr>
      </w:pPr>
      <w:r w:rsidRPr="009A0DA6">
        <w:rPr>
          <w:rFonts w:ascii="Cambria" w:hAnsi="Cambria" w:cs="Times New Roman"/>
        </w:rPr>
        <w:t xml:space="preserve">Regular worship opportunities in Finnish to encourage and challenge people to grow as God’s people. </w:t>
      </w:r>
    </w:p>
    <w:p w14:paraId="73EFA048" w14:textId="0ABFFD2D" w:rsidR="00930400" w:rsidRPr="009A0DA6" w:rsidRDefault="00930400" w:rsidP="00F55252">
      <w:pPr>
        <w:pStyle w:val="ListParagraph"/>
        <w:numPr>
          <w:ilvl w:val="3"/>
          <w:numId w:val="15"/>
        </w:numPr>
        <w:ind w:left="567" w:hanging="567"/>
        <w:rPr>
          <w:rFonts w:ascii="Cambria" w:hAnsi="Cambria" w:cs="Times New Roman"/>
        </w:rPr>
      </w:pPr>
      <w:r w:rsidRPr="009A0DA6">
        <w:rPr>
          <w:rFonts w:ascii="Cambria" w:hAnsi="Cambria" w:cs="Times New Roman"/>
        </w:rPr>
        <w:t xml:space="preserve">Suomi Conference Executive identifying ways of supporting congregations in their ministry. Increased awareness of the Finnish services and gatherings through media, </w:t>
      </w:r>
      <w:r w:rsidR="009334B2" w:rsidRPr="009A0DA6">
        <w:rPr>
          <w:rFonts w:ascii="Cambria" w:hAnsi="Cambria" w:cs="Times New Roman"/>
        </w:rPr>
        <w:t>i.e.</w:t>
      </w:r>
      <w:r w:rsidRPr="009A0DA6">
        <w:rPr>
          <w:rFonts w:ascii="Cambria" w:hAnsi="Cambria" w:cs="Times New Roman"/>
        </w:rPr>
        <w:t xml:space="preserve"> Finnish Newspaper, websites and Facebook. </w:t>
      </w:r>
    </w:p>
    <w:p w14:paraId="4AE4DD19" w14:textId="77777777" w:rsidR="00930400" w:rsidRPr="009A0DA6" w:rsidRDefault="00930400" w:rsidP="00930400">
      <w:pPr>
        <w:pStyle w:val="Heading3"/>
      </w:pPr>
      <w:r w:rsidRPr="009A0DA6">
        <w:t xml:space="preserve">FINANCIAL PERFORMANCE </w:t>
      </w:r>
    </w:p>
    <w:tbl>
      <w:tblPr>
        <w:tblStyle w:val="TableGrid"/>
        <w:tblW w:w="8784"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1843"/>
        <w:gridCol w:w="1843"/>
        <w:gridCol w:w="1559"/>
      </w:tblGrid>
      <w:tr w:rsidR="00930400" w:rsidRPr="009A0DA6" w14:paraId="03D855B5" w14:textId="77777777" w:rsidTr="00AD09CB">
        <w:tc>
          <w:tcPr>
            <w:tcW w:w="3539" w:type="dxa"/>
          </w:tcPr>
          <w:p w14:paraId="4902D422" w14:textId="77777777" w:rsidR="00930400" w:rsidRPr="009A0DA6" w:rsidRDefault="00930400" w:rsidP="00AD09CB">
            <w:pPr>
              <w:rPr>
                <w:rFonts w:ascii="Cambria" w:eastAsia="Times New Roman" w:hAnsi="Cambria" w:cs="Times New Roman"/>
                <w:lang w:eastAsia="en-AU"/>
              </w:rPr>
            </w:pPr>
            <w:r w:rsidRPr="009A0DA6">
              <w:rPr>
                <w:rFonts w:ascii="Cambria" w:eastAsia="Times New Roman" w:hAnsi="Cambria" w:cs="Times New Roman"/>
                <w:lang w:eastAsia="en-AU"/>
              </w:rPr>
              <w:t>Alignment to LCA Strategic Priorities</w:t>
            </w:r>
          </w:p>
          <w:p w14:paraId="0C910435" w14:textId="77777777" w:rsidR="00930400" w:rsidRPr="009A0DA6" w:rsidRDefault="00930400" w:rsidP="00AD09CB">
            <w:pPr>
              <w:rPr>
                <w:rFonts w:ascii="Cambria" w:hAnsi="Cambria" w:cstheme="minorHAnsi"/>
              </w:rPr>
            </w:pPr>
            <w:r w:rsidRPr="009A0DA6">
              <w:rPr>
                <w:rFonts w:ascii="Cambria" w:eastAsia="Times New Roman" w:hAnsi="Cambria" w:cs="Times New Roman"/>
                <w:lang w:eastAsia="en-AU"/>
              </w:rPr>
              <w:t>Expenditure</w:t>
            </w:r>
          </w:p>
        </w:tc>
        <w:tc>
          <w:tcPr>
            <w:tcW w:w="1843" w:type="dxa"/>
          </w:tcPr>
          <w:p w14:paraId="325B0F4A" w14:textId="77777777" w:rsidR="00930400" w:rsidRPr="009A0DA6" w:rsidRDefault="00930400" w:rsidP="00AD09CB">
            <w:pPr>
              <w:jc w:val="right"/>
              <w:rPr>
                <w:rFonts w:ascii="Cambria" w:hAnsi="Cambria" w:cstheme="minorHAnsi"/>
              </w:rPr>
            </w:pPr>
            <w:r w:rsidRPr="009A0DA6">
              <w:rPr>
                <w:rFonts w:ascii="Cambria" w:eastAsia="Times New Roman" w:hAnsi="Cambria" w:cs="Times New Roman"/>
                <w:b/>
                <w:lang w:eastAsia="en-AU"/>
              </w:rPr>
              <w:t xml:space="preserve">2017 </w:t>
            </w:r>
          </w:p>
        </w:tc>
        <w:tc>
          <w:tcPr>
            <w:tcW w:w="1843" w:type="dxa"/>
          </w:tcPr>
          <w:p w14:paraId="6A665FE6" w14:textId="77777777" w:rsidR="00930400" w:rsidRPr="009A0DA6" w:rsidRDefault="00930400" w:rsidP="00AD09CB">
            <w:pPr>
              <w:jc w:val="right"/>
              <w:rPr>
                <w:rFonts w:ascii="Cambria" w:eastAsia="Times New Roman" w:hAnsi="Cambria" w:cs="Times New Roman"/>
                <w:b/>
                <w:lang w:eastAsia="en-AU"/>
              </w:rPr>
            </w:pPr>
            <w:r w:rsidRPr="009A0DA6">
              <w:rPr>
                <w:rFonts w:ascii="Cambria" w:eastAsia="Times New Roman" w:hAnsi="Cambria" w:cs="Times New Roman"/>
                <w:b/>
                <w:lang w:eastAsia="en-AU"/>
              </w:rPr>
              <w:t xml:space="preserve">2016 </w:t>
            </w:r>
          </w:p>
        </w:tc>
        <w:tc>
          <w:tcPr>
            <w:tcW w:w="1559" w:type="dxa"/>
          </w:tcPr>
          <w:p w14:paraId="7479E879" w14:textId="77777777" w:rsidR="00930400" w:rsidRPr="009A0DA6" w:rsidRDefault="00930400" w:rsidP="00AD09CB">
            <w:pPr>
              <w:jc w:val="right"/>
              <w:rPr>
                <w:rFonts w:ascii="Cambria" w:eastAsia="Times New Roman" w:hAnsi="Cambria" w:cs="Times New Roman"/>
                <w:b/>
                <w:lang w:eastAsia="en-AU"/>
              </w:rPr>
            </w:pPr>
            <w:r w:rsidRPr="009A0DA6">
              <w:rPr>
                <w:rFonts w:ascii="Cambria" w:eastAsia="Times New Roman" w:hAnsi="Cambria" w:cs="Times New Roman"/>
                <w:b/>
                <w:lang w:eastAsia="en-AU"/>
              </w:rPr>
              <w:t xml:space="preserve">2015 </w:t>
            </w:r>
          </w:p>
        </w:tc>
      </w:tr>
      <w:tr w:rsidR="00930400" w:rsidRPr="009A0DA6" w14:paraId="43BEAE3E" w14:textId="77777777" w:rsidTr="00AD09CB">
        <w:tc>
          <w:tcPr>
            <w:tcW w:w="3539" w:type="dxa"/>
          </w:tcPr>
          <w:p w14:paraId="1D5CBC06" w14:textId="77777777" w:rsidR="00930400" w:rsidRPr="009A0DA6" w:rsidRDefault="00930400" w:rsidP="00AD09CB">
            <w:pPr>
              <w:rPr>
                <w:rFonts w:ascii="Cambria" w:eastAsia="Times New Roman" w:hAnsi="Cambria" w:cs="Times New Roman"/>
                <w:lang w:eastAsia="en-AU"/>
              </w:rPr>
            </w:pPr>
            <w:r w:rsidRPr="009A0DA6">
              <w:rPr>
                <w:rFonts w:ascii="Cambria" w:eastAsia="Times New Roman" w:hAnsi="Cambria" w:cs="Times New Roman"/>
                <w:lang w:eastAsia="en-AU"/>
              </w:rPr>
              <w:t>1. Growing as God's people</w:t>
            </w:r>
          </w:p>
        </w:tc>
        <w:tc>
          <w:tcPr>
            <w:tcW w:w="1843" w:type="dxa"/>
          </w:tcPr>
          <w:p w14:paraId="09A5FFA9" w14:textId="77777777" w:rsidR="00930400" w:rsidRPr="009A0DA6" w:rsidRDefault="00930400" w:rsidP="00AD09CB">
            <w:pPr>
              <w:jc w:val="right"/>
              <w:rPr>
                <w:rFonts w:ascii="Cambria" w:hAnsi="Cambria" w:cstheme="minorHAnsi"/>
              </w:rPr>
            </w:pPr>
            <w:r w:rsidRPr="009A0DA6">
              <w:rPr>
                <w:rFonts w:ascii="Cambria" w:eastAsia="Times New Roman" w:hAnsi="Cambria" w:cs="Times New Roman"/>
                <w:lang w:eastAsia="en-AU"/>
              </w:rPr>
              <w:t>14,984</w:t>
            </w:r>
          </w:p>
        </w:tc>
        <w:tc>
          <w:tcPr>
            <w:tcW w:w="1843" w:type="dxa"/>
          </w:tcPr>
          <w:p w14:paraId="404DA2D4" w14:textId="77777777" w:rsidR="00930400" w:rsidRPr="009A0DA6" w:rsidRDefault="00930400" w:rsidP="00AD09CB">
            <w:pPr>
              <w:jc w:val="right"/>
              <w:rPr>
                <w:rFonts w:ascii="Cambria" w:eastAsia="Times New Roman" w:hAnsi="Cambria" w:cs="Times New Roman"/>
                <w:lang w:eastAsia="en-AU"/>
              </w:rPr>
            </w:pPr>
            <w:r w:rsidRPr="009A0DA6">
              <w:rPr>
                <w:rFonts w:ascii="Cambria" w:eastAsia="Times New Roman" w:hAnsi="Cambria" w:cs="Times New Roman"/>
                <w:lang w:eastAsia="en-AU"/>
              </w:rPr>
              <w:t>23,878</w:t>
            </w:r>
          </w:p>
        </w:tc>
        <w:tc>
          <w:tcPr>
            <w:tcW w:w="1559" w:type="dxa"/>
          </w:tcPr>
          <w:p w14:paraId="7D6C6DD6" w14:textId="77777777" w:rsidR="00930400" w:rsidRPr="009A0DA6" w:rsidRDefault="00930400" w:rsidP="00AD09CB">
            <w:pPr>
              <w:jc w:val="right"/>
              <w:rPr>
                <w:rFonts w:ascii="Cambria" w:eastAsia="Times New Roman" w:hAnsi="Cambria" w:cs="Times New Roman"/>
                <w:lang w:eastAsia="en-AU"/>
              </w:rPr>
            </w:pPr>
            <w:r w:rsidRPr="009A0DA6">
              <w:rPr>
                <w:rFonts w:ascii="Cambria" w:eastAsia="Times New Roman" w:hAnsi="Cambria" w:cs="Times New Roman"/>
                <w:lang w:eastAsia="en-AU"/>
              </w:rPr>
              <w:t>16,427</w:t>
            </w:r>
          </w:p>
        </w:tc>
      </w:tr>
      <w:tr w:rsidR="00930400" w:rsidRPr="009A0DA6" w14:paraId="351A464C" w14:textId="77777777" w:rsidTr="00AD09CB">
        <w:tc>
          <w:tcPr>
            <w:tcW w:w="3539" w:type="dxa"/>
          </w:tcPr>
          <w:p w14:paraId="052F51F9" w14:textId="77777777" w:rsidR="00930400" w:rsidRPr="009A0DA6" w:rsidRDefault="00930400" w:rsidP="00AD09CB">
            <w:pPr>
              <w:rPr>
                <w:rFonts w:ascii="Cambria" w:eastAsia="Times New Roman" w:hAnsi="Cambria" w:cs="Times New Roman"/>
                <w:lang w:eastAsia="en-AU"/>
              </w:rPr>
            </w:pPr>
            <w:r w:rsidRPr="009A0DA6">
              <w:rPr>
                <w:rFonts w:ascii="Cambria" w:eastAsia="Times New Roman" w:hAnsi="Cambria" w:cs="Times New Roman"/>
                <w:lang w:eastAsia="en-AU"/>
              </w:rPr>
              <w:t>2. Going as God's people</w:t>
            </w:r>
          </w:p>
        </w:tc>
        <w:tc>
          <w:tcPr>
            <w:tcW w:w="1843" w:type="dxa"/>
          </w:tcPr>
          <w:p w14:paraId="036881F2" w14:textId="77777777" w:rsidR="00930400" w:rsidRPr="009A0DA6" w:rsidRDefault="00930400" w:rsidP="00AD09CB">
            <w:pPr>
              <w:jc w:val="right"/>
              <w:rPr>
                <w:rFonts w:ascii="Cambria" w:hAnsi="Cambria" w:cstheme="minorHAnsi"/>
              </w:rPr>
            </w:pPr>
            <w:r w:rsidRPr="009A0DA6">
              <w:rPr>
                <w:rFonts w:ascii="Cambria" w:eastAsia="Times New Roman" w:hAnsi="Cambria" w:cs="Times New Roman"/>
                <w:lang w:eastAsia="en-AU"/>
              </w:rPr>
              <w:t>97,575</w:t>
            </w:r>
          </w:p>
        </w:tc>
        <w:tc>
          <w:tcPr>
            <w:tcW w:w="1843" w:type="dxa"/>
          </w:tcPr>
          <w:p w14:paraId="5B4DD523" w14:textId="77777777" w:rsidR="00930400" w:rsidRPr="009A0DA6" w:rsidRDefault="00930400" w:rsidP="00AD09CB">
            <w:pPr>
              <w:jc w:val="right"/>
              <w:rPr>
                <w:rFonts w:ascii="Cambria" w:eastAsia="Times New Roman" w:hAnsi="Cambria" w:cs="Times New Roman"/>
                <w:lang w:eastAsia="en-AU"/>
              </w:rPr>
            </w:pPr>
            <w:r w:rsidRPr="009A0DA6">
              <w:rPr>
                <w:rFonts w:ascii="Cambria" w:eastAsia="Times New Roman" w:hAnsi="Cambria" w:cs="Times New Roman"/>
                <w:lang w:eastAsia="en-AU"/>
              </w:rPr>
              <w:t>76,919</w:t>
            </w:r>
          </w:p>
        </w:tc>
        <w:tc>
          <w:tcPr>
            <w:tcW w:w="1559" w:type="dxa"/>
          </w:tcPr>
          <w:p w14:paraId="53F690B5" w14:textId="77777777" w:rsidR="00930400" w:rsidRPr="009A0DA6" w:rsidRDefault="00930400" w:rsidP="00AD09CB">
            <w:pPr>
              <w:jc w:val="right"/>
              <w:rPr>
                <w:rFonts w:ascii="Cambria" w:eastAsia="Times New Roman" w:hAnsi="Cambria" w:cs="Times New Roman"/>
                <w:lang w:eastAsia="en-AU"/>
              </w:rPr>
            </w:pPr>
            <w:r w:rsidRPr="009A0DA6">
              <w:rPr>
                <w:rFonts w:ascii="Cambria" w:eastAsia="Times New Roman" w:hAnsi="Cambria" w:cs="Times New Roman"/>
                <w:lang w:eastAsia="en-AU"/>
              </w:rPr>
              <w:t>78,942</w:t>
            </w:r>
          </w:p>
        </w:tc>
      </w:tr>
      <w:tr w:rsidR="00930400" w:rsidRPr="009A0DA6" w14:paraId="007A36D8" w14:textId="77777777" w:rsidTr="00AD09CB">
        <w:tc>
          <w:tcPr>
            <w:tcW w:w="3539" w:type="dxa"/>
          </w:tcPr>
          <w:p w14:paraId="4C07A395" w14:textId="77777777" w:rsidR="00930400" w:rsidRPr="009A0DA6" w:rsidRDefault="00930400" w:rsidP="00AD09CB">
            <w:pPr>
              <w:rPr>
                <w:rFonts w:ascii="Cambria" w:eastAsia="Times New Roman" w:hAnsi="Cambria" w:cs="Times New Roman"/>
                <w:lang w:eastAsia="en-AU"/>
              </w:rPr>
            </w:pPr>
            <w:r w:rsidRPr="009A0DA6">
              <w:rPr>
                <w:rFonts w:ascii="Cambria" w:eastAsia="Times New Roman" w:hAnsi="Cambria" w:cs="Times New Roman"/>
                <w:lang w:eastAsia="en-AU"/>
              </w:rPr>
              <w:t>3. Enable us to Go &amp; Grow</w:t>
            </w:r>
          </w:p>
        </w:tc>
        <w:tc>
          <w:tcPr>
            <w:tcW w:w="1843" w:type="dxa"/>
          </w:tcPr>
          <w:p w14:paraId="5C1B5A07" w14:textId="77777777" w:rsidR="00930400" w:rsidRPr="009A0DA6" w:rsidRDefault="00930400" w:rsidP="00AD09CB">
            <w:pPr>
              <w:jc w:val="right"/>
              <w:rPr>
                <w:rFonts w:ascii="Cambria" w:hAnsi="Cambria" w:cstheme="minorHAnsi"/>
              </w:rPr>
            </w:pPr>
            <w:r w:rsidRPr="009A0DA6">
              <w:rPr>
                <w:rFonts w:ascii="Cambria" w:eastAsia="Times New Roman" w:hAnsi="Cambria" w:cs="Times New Roman"/>
                <w:lang w:eastAsia="en-AU"/>
              </w:rPr>
              <w:t>117,546</w:t>
            </w:r>
          </w:p>
        </w:tc>
        <w:tc>
          <w:tcPr>
            <w:tcW w:w="1843" w:type="dxa"/>
          </w:tcPr>
          <w:p w14:paraId="2059A2A6" w14:textId="77777777" w:rsidR="00930400" w:rsidRPr="009A0DA6" w:rsidRDefault="00930400" w:rsidP="00AD09CB">
            <w:pPr>
              <w:jc w:val="right"/>
              <w:rPr>
                <w:rFonts w:ascii="Cambria" w:eastAsia="Times New Roman" w:hAnsi="Cambria" w:cs="Times New Roman"/>
                <w:lang w:eastAsia="en-AU"/>
              </w:rPr>
            </w:pPr>
            <w:r w:rsidRPr="009A0DA6">
              <w:rPr>
                <w:rFonts w:ascii="Cambria" w:eastAsia="Times New Roman" w:hAnsi="Cambria" w:cs="Times New Roman"/>
                <w:lang w:eastAsia="en-AU"/>
              </w:rPr>
              <w:t>105,250</w:t>
            </w:r>
          </w:p>
        </w:tc>
        <w:tc>
          <w:tcPr>
            <w:tcW w:w="1559" w:type="dxa"/>
          </w:tcPr>
          <w:p w14:paraId="29C1878F" w14:textId="77777777" w:rsidR="00930400" w:rsidRPr="009A0DA6" w:rsidRDefault="00930400" w:rsidP="00AD09CB">
            <w:pPr>
              <w:jc w:val="right"/>
              <w:rPr>
                <w:rFonts w:ascii="Cambria" w:eastAsia="Times New Roman" w:hAnsi="Cambria" w:cs="Times New Roman"/>
                <w:lang w:eastAsia="en-AU"/>
              </w:rPr>
            </w:pPr>
            <w:r w:rsidRPr="009A0DA6">
              <w:rPr>
                <w:rFonts w:ascii="Cambria" w:eastAsia="Times New Roman" w:hAnsi="Cambria" w:cs="Times New Roman"/>
                <w:lang w:eastAsia="en-AU"/>
              </w:rPr>
              <w:t>103,280</w:t>
            </w:r>
          </w:p>
        </w:tc>
      </w:tr>
      <w:tr w:rsidR="00930400" w:rsidRPr="009A0DA6" w14:paraId="0C0F2913" w14:textId="77777777" w:rsidTr="00AD09CB">
        <w:tc>
          <w:tcPr>
            <w:tcW w:w="3539" w:type="dxa"/>
          </w:tcPr>
          <w:p w14:paraId="6B96B14A" w14:textId="77777777" w:rsidR="00930400" w:rsidRPr="009A0DA6" w:rsidRDefault="00930400" w:rsidP="00AD09CB">
            <w:pPr>
              <w:rPr>
                <w:rFonts w:ascii="Cambria" w:eastAsia="Times New Roman" w:hAnsi="Cambria" w:cs="Times New Roman"/>
                <w:b/>
                <w:bCs/>
                <w:lang w:eastAsia="en-AU"/>
              </w:rPr>
            </w:pPr>
            <w:r w:rsidRPr="009A0DA6">
              <w:rPr>
                <w:rFonts w:ascii="Cambria" w:eastAsia="Times New Roman" w:hAnsi="Cambria" w:cs="Times New Roman"/>
                <w:b/>
                <w:bCs/>
                <w:lang w:eastAsia="en-AU"/>
              </w:rPr>
              <w:t>Total:</w:t>
            </w:r>
          </w:p>
        </w:tc>
        <w:tc>
          <w:tcPr>
            <w:tcW w:w="1843" w:type="dxa"/>
          </w:tcPr>
          <w:p w14:paraId="0F1C6643" w14:textId="77777777" w:rsidR="00930400" w:rsidRPr="009A0DA6" w:rsidRDefault="00930400" w:rsidP="00AD09CB">
            <w:pPr>
              <w:jc w:val="right"/>
              <w:rPr>
                <w:rFonts w:ascii="Cambria" w:hAnsi="Cambria" w:cstheme="minorHAnsi"/>
              </w:rPr>
            </w:pPr>
            <w:r w:rsidRPr="009A0DA6">
              <w:rPr>
                <w:rFonts w:ascii="Cambria" w:eastAsia="Times New Roman" w:hAnsi="Cambria" w:cs="Times New Roman"/>
                <w:b/>
                <w:bCs/>
                <w:lang w:eastAsia="en-AU"/>
              </w:rPr>
              <w:t>230,105</w:t>
            </w:r>
          </w:p>
        </w:tc>
        <w:tc>
          <w:tcPr>
            <w:tcW w:w="1843" w:type="dxa"/>
          </w:tcPr>
          <w:p w14:paraId="4F8BD974" w14:textId="77777777" w:rsidR="00930400" w:rsidRPr="009A0DA6" w:rsidRDefault="00930400" w:rsidP="00AD09CB">
            <w:pPr>
              <w:jc w:val="right"/>
              <w:rPr>
                <w:rFonts w:ascii="Cambria" w:eastAsia="Times New Roman" w:hAnsi="Cambria" w:cs="Times New Roman"/>
                <w:b/>
                <w:bCs/>
                <w:lang w:eastAsia="en-AU"/>
              </w:rPr>
            </w:pPr>
            <w:r w:rsidRPr="009A0DA6">
              <w:rPr>
                <w:rFonts w:ascii="Cambria" w:eastAsia="Times New Roman" w:hAnsi="Cambria" w:cs="Times New Roman"/>
                <w:b/>
                <w:bCs/>
                <w:lang w:eastAsia="en-AU"/>
              </w:rPr>
              <w:t>206,047</w:t>
            </w:r>
          </w:p>
        </w:tc>
        <w:tc>
          <w:tcPr>
            <w:tcW w:w="1559" w:type="dxa"/>
          </w:tcPr>
          <w:p w14:paraId="43220B0F" w14:textId="77777777" w:rsidR="00930400" w:rsidRPr="009A0DA6" w:rsidRDefault="00930400" w:rsidP="00AD09CB">
            <w:pPr>
              <w:jc w:val="right"/>
              <w:rPr>
                <w:rFonts w:ascii="Cambria" w:eastAsia="Times New Roman" w:hAnsi="Cambria" w:cs="Times New Roman"/>
                <w:b/>
                <w:bCs/>
                <w:lang w:eastAsia="en-AU"/>
              </w:rPr>
            </w:pPr>
            <w:r w:rsidRPr="009A0DA6">
              <w:rPr>
                <w:rFonts w:ascii="Cambria" w:eastAsia="Times New Roman" w:hAnsi="Cambria" w:cs="Times New Roman"/>
                <w:b/>
                <w:bCs/>
                <w:lang w:eastAsia="en-AU"/>
              </w:rPr>
              <w:t>198,649</w:t>
            </w:r>
          </w:p>
        </w:tc>
      </w:tr>
    </w:tbl>
    <w:p w14:paraId="3CA78396" w14:textId="77777777" w:rsidR="00930400" w:rsidRPr="009A0DA6" w:rsidRDefault="00930400" w:rsidP="00930400">
      <w:pPr>
        <w:rPr>
          <w:rFonts w:ascii="Cambria" w:hAnsi="Cambria"/>
        </w:rPr>
      </w:pPr>
    </w:p>
    <w:p w14:paraId="3B6AEA81" w14:textId="77777777" w:rsidR="002E592D" w:rsidRDefault="002E592D">
      <w:pPr>
        <w:rPr>
          <w:rFonts w:ascii="Cambria" w:eastAsiaTheme="majorEastAsia" w:hAnsi="Cambria" w:cstheme="majorBidi"/>
          <w:b/>
          <w:caps/>
          <w:sz w:val="28"/>
          <w:szCs w:val="24"/>
        </w:rPr>
      </w:pPr>
      <w:r>
        <w:br w:type="page"/>
      </w:r>
    </w:p>
    <w:p w14:paraId="5C4460F4" w14:textId="36E2F201" w:rsidR="00930400" w:rsidRPr="009A0DA6" w:rsidRDefault="00930400" w:rsidP="00930400">
      <w:pPr>
        <w:pStyle w:val="Heading3"/>
      </w:pPr>
      <w:r w:rsidRPr="009A0DA6">
        <w:lastRenderedPageBreak/>
        <w:t>agenda 3.1</w:t>
      </w:r>
    </w:p>
    <w:p w14:paraId="4648648E" w14:textId="77777777" w:rsidR="00930400" w:rsidRPr="009A0DA6" w:rsidRDefault="00930400" w:rsidP="00930400">
      <w:pPr>
        <w:pStyle w:val="Heading2"/>
      </w:pPr>
      <w:bookmarkStart w:id="473" w:name="_Toc521954725"/>
      <w:r w:rsidRPr="009A0DA6">
        <w:t>Board for Children, Youth and Family Ministry</w:t>
      </w:r>
      <w:bookmarkEnd w:id="473"/>
    </w:p>
    <w:p w14:paraId="62467559" w14:textId="77777777" w:rsidR="00930400" w:rsidRPr="009A0DA6" w:rsidRDefault="00930400" w:rsidP="00930400">
      <w:pPr>
        <w:pStyle w:val="NoSpacing"/>
      </w:pPr>
    </w:p>
    <w:p w14:paraId="4410C866" w14:textId="77777777" w:rsidR="00930400" w:rsidRPr="009A0DA6" w:rsidRDefault="00930400" w:rsidP="00930400">
      <w:pPr>
        <w:pStyle w:val="Heading3"/>
      </w:pPr>
      <w:r w:rsidRPr="009A0DA6">
        <w:t>MEMBERS</w:t>
      </w:r>
    </w:p>
    <w:p w14:paraId="52E4CE90" w14:textId="77777777" w:rsidR="00930400" w:rsidRPr="009A0DA6" w:rsidRDefault="00930400" w:rsidP="00786120">
      <w:pPr>
        <w:pStyle w:val="NoSpacing"/>
      </w:pPr>
      <w:r w:rsidRPr="009A0DA6">
        <w:rPr>
          <w:b/>
        </w:rPr>
        <w:t>Board for Child Youth and Family Ministry:</w:t>
      </w:r>
      <w:r w:rsidRPr="009A0DA6">
        <w:t xml:space="preserve">  Aaron Glover, Grant Hermann, Pastor Tim Jarick, Pastor Lee Kroehn, Paula Nitschke, Tim Wiebusch (Chairperson). </w:t>
      </w:r>
    </w:p>
    <w:p w14:paraId="2ED55E87" w14:textId="77777777" w:rsidR="00930400" w:rsidRPr="009A0DA6" w:rsidRDefault="00930400" w:rsidP="00786120">
      <w:pPr>
        <w:pStyle w:val="NoSpacing"/>
      </w:pPr>
      <w:r w:rsidRPr="009A0DA6">
        <w:t>Consultants: Jodi Brook, Ann Dohnt, Emma Graetz.</w:t>
      </w:r>
    </w:p>
    <w:p w14:paraId="4A983051" w14:textId="77777777" w:rsidR="00930400" w:rsidRPr="009A0DA6" w:rsidRDefault="00930400" w:rsidP="00786120">
      <w:pPr>
        <w:pStyle w:val="NoSpacing"/>
      </w:pPr>
      <w:r w:rsidRPr="009A0DA6">
        <w:rPr>
          <w:b/>
        </w:rPr>
        <w:t>Committee for Child, Youth and Family Ministry</w:t>
      </w:r>
      <w:r w:rsidRPr="009A0DA6">
        <w:t xml:space="preserve">: Emma Graetz, Pastor Tim Jarick, Pastor Lee Kroehn, Paul Nitschke (Chairperson), Joanne Schache, Ray Soekov, Andrew Traeger. </w:t>
      </w:r>
    </w:p>
    <w:p w14:paraId="4B827402" w14:textId="20B17C24" w:rsidR="00930400" w:rsidRPr="00786120" w:rsidRDefault="00930400" w:rsidP="00786120">
      <w:pPr>
        <w:pStyle w:val="NoSpacing"/>
        <w:rPr>
          <w:sz w:val="10"/>
          <w:szCs w:val="10"/>
        </w:rPr>
      </w:pPr>
      <w:r w:rsidRPr="009A0DA6">
        <w:t>Consultants: Jodi Brook</w:t>
      </w:r>
      <w:r w:rsidR="00FF349B">
        <w:t>, Matthew Thomas, Fiona Weckert</w:t>
      </w:r>
      <w:r w:rsidR="00786120">
        <w:br/>
      </w:r>
    </w:p>
    <w:p w14:paraId="66A94FBC" w14:textId="77777777" w:rsidR="00930400" w:rsidRPr="009A0DA6" w:rsidRDefault="00930400" w:rsidP="00930400">
      <w:pPr>
        <w:pStyle w:val="Heading3"/>
        <w:rPr>
          <w:rFonts w:cs="Arial"/>
          <w:i/>
        </w:rPr>
      </w:pPr>
      <w:r w:rsidRPr="009A0DA6">
        <w:t>Background</w:t>
      </w:r>
    </w:p>
    <w:p w14:paraId="0864C56E" w14:textId="77777777" w:rsidR="00930400" w:rsidRPr="009A0DA6" w:rsidRDefault="00930400" w:rsidP="00930400">
      <w:pPr>
        <w:spacing w:before="120" w:after="120" w:line="240" w:lineRule="auto"/>
        <w:contextualSpacing/>
        <w:rPr>
          <w:rFonts w:ascii="Cambria" w:hAnsi="Cambria" w:cs="Arial"/>
        </w:rPr>
      </w:pPr>
      <w:r w:rsidRPr="009A0DA6">
        <w:rPr>
          <w:rFonts w:ascii="Cambria" w:hAnsi="Cambria" w:cs="Arial"/>
        </w:rPr>
        <w:t>The Board for Child, Youth and Family Ministry (BCYFM) was established at General Synod 2013, with the ministry name of “Grow Ministries” being launched at that time. This saw both a consolidation of the former Board for Youth and Family Ministry and Faith Inkubators Australia Management Committee. This included the establishment of a new skill based board with a broader and more holistic Terms of Reference for Child, Youth and Family Ministry.</w:t>
      </w:r>
    </w:p>
    <w:p w14:paraId="1CF6B02E" w14:textId="77777777" w:rsidR="00930400" w:rsidRPr="00786120" w:rsidRDefault="00930400" w:rsidP="00930400">
      <w:pPr>
        <w:spacing w:before="120" w:after="120" w:line="240" w:lineRule="auto"/>
        <w:contextualSpacing/>
        <w:rPr>
          <w:rFonts w:ascii="Cambria" w:hAnsi="Cambria" w:cs="Arial"/>
          <w:sz w:val="10"/>
          <w:szCs w:val="10"/>
        </w:rPr>
      </w:pPr>
    </w:p>
    <w:p w14:paraId="3ED1966C" w14:textId="77777777" w:rsidR="00930400" w:rsidRPr="009A0DA6" w:rsidRDefault="00930400" w:rsidP="00930400">
      <w:pPr>
        <w:spacing w:before="120" w:after="120" w:line="240" w:lineRule="auto"/>
        <w:contextualSpacing/>
        <w:rPr>
          <w:rFonts w:ascii="Cambria" w:hAnsi="Cambria" w:cs="Arial"/>
        </w:rPr>
      </w:pPr>
      <w:r w:rsidRPr="009A0DA6">
        <w:rPr>
          <w:rFonts w:ascii="Cambria" w:hAnsi="Cambria" w:cs="Arial"/>
        </w:rPr>
        <w:t>The BCYFM Strategic Plan V1.0 – 2015–2018 was approved by General Church Council (GCC) in June 2014 with ‘in principle’ agreement to support (financially) the remainder of the plan, which included a detailed resourcing model, subject to funding availability. Around 66% of the funding is provided through LLL and Openbook grants via the GCC. The remainder is generated through programs and seeking support from the church for its work.</w:t>
      </w:r>
    </w:p>
    <w:p w14:paraId="0984928B" w14:textId="77777777" w:rsidR="00930400" w:rsidRPr="00786120" w:rsidRDefault="00930400" w:rsidP="00930400">
      <w:pPr>
        <w:spacing w:before="120" w:after="120" w:line="240" w:lineRule="auto"/>
        <w:contextualSpacing/>
        <w:rPr>
          <w:rFonts w:ascii="Cambria" w:hAnsi="Cambria" w:cs="Arial"/>
          <w:sz w:val="10"/>
          <w:szCs w:val="10"/>
        </w:rPr>
      </w:pPr>
    </w:p>
    <w:p w14:paraId="3DF681CA" w14:textId="77777777" w:rsidR="00930400" w:rsidRPr="009A0DA6" w:rsidRDefault="00930400" w:rsidP="00930400">
      <w:pPr>
        <w:spacing w:before="120" w:after="120" w:line="240" w:lineRule="auto"/>
        <w:contextualSpacing/>
        <w:rPr>
          <w:rFonts w:ascii="Cambria" w:hAnsi="Cambria" w:cs="Arial"/>
        </w:rPr>
      </w:pPr>
      <w:r w:rsidRPr="009A0DA6">
        <w:rPr>
          <w:rFonts w:ascii="Cambria" w:hAnsi="Cambria" w:cs="Arial"/>
        </w:rPr>
        <w:t>In March 2017 the BCYFM Strategic Plan was reviewed and renamed Strategic Direction in preparation for the establishment of the new Board for Local Mission and Committee for Child, Youth and Family Ministry.</w:t>
      </w:r>
    </w:p>
    <w:p w14:paraId="34DDEB10" w14:textId="77777777" w:rsidR="00930400" w:rsidRPr="00786120" w:rsidRDefault="00930400" w:rsidP="00930400">
      <w:pPr>
        <w:spacing w:before="120" w:after="120" w:line="240" w:lineRule="auto"/>
        <w:contextualSpacing/>
        <w:rPr>
          <w:rFonts w:ascii="Cambria" w:hAnsi="Cambria" w:cs="Arial"/>
          <w:sz w:val="10"/>
          <w:szCs w:val="10"/>
        </w:rPr>
      </w:pPr>
    </w:p>
    <w:p w14:paraId="408FA5FF" w14:textId="77777777" w:rsidR="00930400" w:rsidRPr="009A0DA6" w:rsidRDefault="00930400" w:rsidP="00930400">
      <w:pPr>
        <w:spacing w:before="120" w:after="120" w:line="240" w:lineRule="auto"/>
        <w:contextualSpacing/>
        <w:rPr>
          <w:rFonts w:ascii="Cambria" w:hAnsi="Cambria"/>
          <w:bCs/>
        </w:rPr>
      </w:pPr>
      <w:r w:rsidRPr="009A0DA6">
        <w:rPr>
          <w:rFonts w:ascii="Cambria" w:hAnsi="Cambria"/>
          <w:b/>
          <w:bCs/>
        </w:rPr>
        <w:t xml:space="preserve">Our Vision: </w:t>
      </w:r>
      <w:r w:rsidRPr="009A0DA6">
        <w:rPr>
          <w:rFonts w:ascii="Cambria" w:hAnsi="Cambria"/>
          <w:bCs/>
        </w:rPr>
        <w:t>For the LCA to have a shared understanding of the guiding principles for effective child, youth and family ministry and their undergirding practices, systems and strategies and to be inspired to Grow as God’s people.</w:t>
      </w:r>
    </w:p>
    <w:p w14:paraId="61DFF1AA" w14:textId="77777777" w:rsidR="00930400" w:rsidRPr="009A0DA6" w:rsidRDefault="00930400" w:rsidP="00786120">
      <w:pPr>
        <w:pStyle w:val="Heading3"/>
      </w:pPr>
      <w:r w:rsidRPr="009A0DA6">
        <w:t>Achievement against Plan</w:t>
      </w:r>
    </w:p>
    <w:tbl>
      <w:tblPr>
        <w:tblStyle w:val="PlainTable2"/>
        <w:tblW w:w="8647" w:type="dxa"/>
        <w:tblLook w:val="04A0" w:firstRow="1" w:lastRow="0" w:firstColumn="1" w:lastColumn="0" w:noHBand="0" w:noVBand="1"/>
      </w:tblPr>
      <w:tblGrid>
        <w:gridCol w:w="2145"/>
        <w:gridCol w:w="3251"/>
        <w:gridCol w:w="3251"/>
      </w:tblGrid>
      <w:tr w:rsidR="00930400" w:rsidRPr="009A0DA6" w14:paraId="4975C5B1" w14:textId="77777777" w:rsidTr="00786120">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145" w:type="dxa"/>
            <w:vAlign w:val="center"/>
          </w:tcPr>
          <w:p w14:paraId="27C980BC" w14:textId="77777777" w:rsidR="00930400" w:rsidRPr="009A0DA6" w:rsidRDefault="00930400" w:rsidP="00FF349B">
            <w:pPr>
              <w:spacing w:before="120" w:after="120"/>
              <w:contextualSpacing/>
              <w:rPr>
                <w:rFonts w:ascii="Cambria" w:hAnsi="Cambria" w:cs="Arial"/>
                <w:b w:val="0"/>
              </w:rPr>
            </w:pPr>
            <w:r w:rsidRPr="009A0DA6">
              <w:rPr>
                <w:rFonts w:ascii="Cambria" w:hAnsi="Cambria" w:cs="Arial"/>
              </w:rPr>
              <w:t>Objectives</w:t>
            </w:r>
          </w:p>
        </w:tc>
        <w:tc>
          <w:tcPr>
            <w:tcW w:w="3251" w:type="dxa"/>
            <w:vAlign w:val="center"/>
          </w:tcPr>
          <w:p w14:paraId="785C7832" w14:textId="77777777" w:rsidR="00930400" w:rsidRPr="009A0DA6" w:rsidRDefault="00930400" w:rsidP="00FF349B">
            <w:pPr>
              <w:spacing w:before="120" w:after="120"/>
              <w:ind w:left="175" w:hanging="175"/>
              <w:contextualSpacing/>
              <w:cnfStyle w:val="100000000000" w:firstRow="1" w:lastRow="0" w:firstColumn="0" w:lastColumn="0" w:oddVBand="0" w:evenVBand="0" w:oddHBand="0" w:evenHBand="0" w:firstRowFirstColumn="0" w:firstRowLastColumn="0" w:lastRowFirstColumn="0" w:lastRowLastColumn="0"/>
              <w:rPr>
                <w:rFonts w:ascii="Cambria" w:hAnsi="Cambria" w:cs="Arial"/>
                <w:b w:val="0"/>
              </w:rPr>
            </w:pPr>
            <w:r w:rsidRPr="009A0DA6">
              <w:rPr>
                <w:rFonts w:ascii="Cambria" w:hAnsi="Cambria" w:cs="Arial"/>
              </w:rPr>
              <w:t>Planned Annual Activities/Outcomes</w:t>
            </w:r>
          </w:p>
        </w:tc>
        <w:tc>
          <w:tcPr>
            <w:tcW w:w="3251" w:type="dxa"/>
            <w:vAlign w:val="center"/>
          </w:tcPr>
          <w:p w14:paraId="0E7C1672" w14:textId="77777777" w:rsidR="00930400" w:rsidRPr="009A0DA6" w:rsidRDefault="00930400" w:rsidP="00FF349B">
            <w:pPr>
              <w:spacing w:before="120" w:after="120"/>
              <w:ind w:left="176" w:hanging="176"/>
              <w:contextualSpacing/>
              <w:cnfStyle w:val="100000000000" w:firstRow="1" w:lastRow="0" w:firstColumn="0" w:lastColumn="0" w:oddVBand="0" w:evenVBand="0" w:oddHBand="0" w:evenHBand="0" w:firstRowFirstColumn="0" w:firstRowLastColumn="0" w:lastRowFirstColumn="0" w:lastRowLastColumn="0"/>
              <w:rPr>
                <w:rFonts w:ascii="Cambria" w:hAnsi="Cambria" w:cs="Arial"/>
                <w:b w:val="0"/>
              </w:rPr>
            </w:pPr>
            <w:r w:rsidRPr="009A0DA6">
              <w:rPr>
                <w:rFonts w:ascii="Cambria" w:hAnsi="Cambria" w:cs="Arial"/>
              </w:rPr>
              <w:t>Achievement of Annual Activities/Outcomes</w:t>
            </w:r>
          </w:p>
        </w:tc>
      </w:tr>
      <w:tr w:rsidR="00930400" w:rsidRPr="009A0DA6" w14:paraId="1141FD2B" w14:textId="77777777" w:rsidTr="00786120">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145" w:type="dxa"/>
          </w:tcPr>
          <w:p w14:paraId="462DEC92" w14:textId="77777777" w:rsidR="00930400" w:rsidRPr="009A0DA6" w:rsidRDefault="00930400" w:rsidP="00AD09CB">
            <w:pPr>
              <w:widowControl w:val="0"/>
              <w:suppressAutoHyphens/>
              <w:spacing w:before="120" w:after="120"/>
              <w:contextualSpacing/>
              <w:rPr>
                <w:rFonts w:ascii="Cambria" w:hAnsi="Cambria"/>
                <w:b w:val="0"/>
              </w:rPr>
            </w:pPr>
            <w:r w:rsidRPr="009A0DA6">
              <w:rPr>
                <w:rFonts w:ascii="Cambria" w:hAnsi="Cambria"/>
              </w:rPr>
              <w:t>GROW COACHING</w:t>
            </w:r>
          </w:p>
          <w:p w14:paraId="6AD96BA3" w14:textId="77777777" w:rsidR="00930400" w:rsidRPr="009A0DA6" w:rsidRDefault="00930400" w:rsidP="00AD09CB">
            <w:pPr>
              <w:widowControl w:val="0"/>
              <w:suppressAutoHyphens/>
              <w:spacing w:before="120" w:after="120"/>
              <w:contextualSpacing/>
              <w:rPr>
                <w:rFonts w:ascii="Cambria" w:hAnsi="Cambria" w:cs="Arial"/>
              </w:rPr>
            </w:pPr>
            <w:r w:rsidRPr="009A0DA6">
              <w:rPr>
                <w:rFonts w:ascii="Cambria" w:hAnsi="Cambria"/>
              </w:rPr>
              <w:t>Strategic Priority 1: To encourage, support and promote the development of healthy cultures of faith formation practice for the renewal of congregations within the LCA.</w:t>
            </w:r>
          </w:p>
        </w:tc>
        <w:tc>
          <w:tcPr>
            <w:tcW w:w="3251" w:type="dxa"/>
          </w:tcPr>
          <w:p w14:paraId="32033ACF" w14:textId="77777777" w:rsidR="00930400" w:rsidRPr="009A0DA6" w:rsidRDefault="00930400" w:rsidP="00F55252">
            <w:pPr>
              <w:pStyle w:val="ListParagraph"/>
              <w:numPr>
                <w:ilvl w:val="0"/>
                <w:numId w:val="159"/>
              </w:numPr>
              <w:spacing w:after="120" w:line="240" w:lineRule="auto"/>
              <w:ind w:left="176" w:hanging="176"/>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Identify and seek commitment of CYFM practitioners to develop national coaching resource pool.</w:t>
            </w:r>
          </w:p>
          <w:p w14:paraId="40F3F4EF" w14:textId="77777777" w:rsidR="00930400" w:rsidRPr="009A0DA6" w:rsidRDefault="00930400" w:rsidP="00F55252">
            <w:pPr>
              <w:pStyle w:val="ListParagraph"/>
              <w:numPr>
                <w:ilvl w:val="0"/>
                <w:numId w:val="159"/>
              </w:numPr>
              <w:spacing w:before="120" w:after="120" w:line="240" w:lineRule="auto"/>
              <w:ind w:left="175" w:hanging="175"/>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Conduct Train the Trainer workshop for national pool of resource practitioners.</w:t>
            </w:r>
          </w:p>
          <w:p w14:paraId="6A085794" w14:textId="77777777" w:rsidR="00930400" w:rsidRPr="009A0DA6" w:rsidRDefault="00930400" w:rsidP="00F55252">
            <w:pPr>
              <w:pStyle w:val="ListParagraph"/>
              <w:numPr>
                <w:ilvl w:val="0"/>
                <w:numId w:val="159"/>
              </w:numPr>
              <w:spacing w:before="120" w:after="120" w:line="240" w:lineRule="auto"/>
              <w:ind w:left="175" w:hanging="175"/>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Work intensively with grow coaching congregations</w:t>
            </w:r>
          </w:p>
          <w:p w14:paraId="5D14B20A" w14:textId="77777777" w:rsidR="00930400" w:rsidRPr="009A0DA6" w:rsidRDefault="00930400" w:rsidP="00F55252">
            <w:pPr>
              <w:pStyle w:val="ListParagraph"/>
              <w:numPr>
                <w:ilvl w:val="0"/>
                <w:numId w:val="158"/>
              </w:numPr>
              <w:spacing w:before="120" w:after="120" w:line="240" w:lineRule="auto"/>
              <w:ind w:left="175" w:hanging="175"/>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Share best methods and experiences in using Grow resources.</w:t>
            </w:r>
          </w:p>
          <w:p w14:paraId="7DFF0B56" w14:textId="77777777" w:rsidR="00930400" w:rsidRPr="009A0DA6" w:rsidRDefault="00930400" w:rsidP="00F55252">
            <w:pPr>
              <w:pStyle w:val="ListParagraph"/>
              <w:numPr>
                <w:ilvl w:val="0"/>
                <w:numId w:val="158"/>
              </w:numPr>
              <w:spacing w:before="120" w:after="120" w:line="240" w:lineRule="auto"/>
              <w:ind w:left="175" w:hanging="175"/>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In 2015, establish three pilot Grow Coaching clusters (each comprising of 3 congregations).</w:t>
            </w:r>
          </w:p>
          <w:p w14:paraId="3C62DD0D" w14:textId="216AF268" w:rsidR="00930400" w:rsidRPr="00FF349B" w:rsidRDefault="00930400" w:rsidP="00FF349B">
            <w:pPr>
              <w:pStyle w:val="ListParagraph"/>
              <w:numPr>
                <w:ilvl w:val="0"/>
                <w:numId w:val="158"/>
              </w:numPr>
              <w:spacing w:before="120" w:after="120" w:line="240" w:lineRule="auto"/>
              <w:ind w:left="175" w:hanging="175"/>
              <w:cnfStyle w:val="000000100000" w:firstRow="0" w:lastRow="0" w:firstColumn="0" w:lastColumn="0" w:oddVBand="0" w:evenVBand="0" w:oddHBand="1" w:evenHBand="0" w:firstRowFirstColumn="0" w:firstRowLastColumn="0" w:lastRowFirstColumn="0" w:lastRowLastColumn="0"/>
              <w:rPr>
                <w:rFonts w:ascii="Cambria" w:hAnsi="Cambria" w:cs="Arial"/>
              </w:rPr>
            </w:pPr>
            <w:r w:rsidRPr="00FF349B">
              <w:rPr>
                <w:rFonts w:ascii="Cambria" w:hAnsi="Cambria" w:cs="Arial"/>
              </w:rPr>
              <w:t xml:space="preserve">At the conclusion of the pilot coaching clusters, review </w:t>
            </w:r>
            <w:r w:rsidRPr="00FF349B">
              <w:rPr>
                <w:rFonts w:ascii="Cambria" w:hAnsi="Cambria" w:cs="Arial"/>
              </w:rPr>
              <w:lastRenderedPageBreak/>
              <w:t xml:space="preserve">outline before beginning new clusters </w:t>
            </w:r>
          </w:p>
          <w:p w14:paraId="37C70A79" w14:textId="77777777" w:rsidR="00930400" w:rsidRPr="009A0DA6" w:rsidRDefault="00930400" w:rsidP="00F55252">
            <w:pPr>
              <w:pStyle w:val="ListParagraph"/>
              <w:numPr>
                <w:ilvl w:val="0"/>
                <w:numId w:val="158"/>
              </w:numPr>
              <w:spacing w:before="120" w:after="120" w:line="240" w:lineRule="auto"/>
              <w:ind w:left="175" w:hanging="175"/>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Establish an additional three clusters (each comprising of 3 congregations) in 2017</w:t>
            </w:r>
          </w:p>
        </w:tc>
        <w:tc>
          <w:tcPr>
            <w:tcW w:w="3251" w:type="dxa"/>
          </w:tcPr>
          <w:p w14:paraId="69E99A1F" w14:textId="77777777" w:rsidR="00930400" w:rsidRPr="009A0DA6" w:rsidRDefault="00930400" w:rsidP="00F55252">
            <w:pPr>
              <w:pStyle w:val="ListParagraph"/>
              <w:numPr>
                <w:ilvl w:val="0"/>
                <w:numId w:val="158"/>
              </w:numPr>
              <w:spacing w:before="120" w:after="120" w:line="240" w:lineRule="auto"/>
              <w:ind w:left="176" w:hanging="176"/>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lastRenderedPageBreak/>
              <w:t>Practitioners have been identified and trained to support Grow Coaching in local settings by Dr David Anderson in November 2016.</w:t>
            </w:r>
          </w:p>
          <w:p w14:paraId="41CA931E" w14:textId="77777777" w:rsidR="00930400" w:rsidRPr="009A0DA6" w:rsidRDefault="00930400" w:rsidP="00F55252">
            <w:pPr>
              <w:pStyle w:val="ListParagraph"/>
              <w:numPr>
                <w:ilvl w:val="0"/>
                <w:numId w:val="158"/>
              </w:numPr>
              <w:spacing w:before="120" w:after="120" w:line="240" w:lineRule="auto"/>
              <w:ind w:left="176" w:hanging="176"/>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 xml:space="preserve">Pilot Grow Coaching clusters conclude at the end of 2017 after participating in 6 coaching cluster workshops over a period of two years as well as receiving individual congregational coaching. </w:t>
            </w:r>
          </w:p>
          <w:p w14:paraId="137AC968" w14:textId="77777777" w:rsidR="00930400" w:rsidRPr="009A0DA6" w:rsidRDefault="00930400" w:rsidP="00F55252">
            <w:pPr>
              <w:pStyle w:val="ListParagraph"/>
              <w:numPr>
                <w:ilvl w:val="0"/>
                <w:numId w:val="158"/>
              </w:numPr>
              <w:spacing w:before="120" w:after="120" w:line="240" w:lineRule="auto"/>
              <w:ind w:left="176" w:hanging="176"/>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Coaching outline reviewed at the end of 2016 and significant changes made.</w:t>
            </w:r>
          </w:p>
          <w:p w14:paraId="688D56A6" w14:textId="77777777" w:rsidR="00930400" w:rsidRPr="009A0DA6" w:rsidRDefault="00930400" w:rsidP="00F55252">
            <w:pPr>
              <w:pStyle w:val="ListParagraph"/>
              <w:numPr>
                <w:ilvl w:val="0"/>
                <w:numId w:val="158"/>
              </w:numPr>
              <w:spacing w:before="120" w:after="120" w:line="240" w:lineRule="auto"/>
              <w:ind w:left="176" w:hanging="176"/>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 xml:space="preserve">One new coaching cluster was formed in 2016 and two new coaching clusters formed in </w:t>
            </w:r>
            <w:r w:rsidRPr="009A0DA6">
              <w:rPr>
                <w:rFonts w:ascii="Cambria" w:hAnsi="Cambria" w:cs="Arial"/>
              </w:rPr>
              <w:lastRenderedPageBreak/>
              <w:t>2017 (a total of 10 congregations involved).</w:t>
            </w:r>
          </w:p>
        </w:tc>
      </w:tr>
      <w:tr w:rsidR="00930400" w:rsidRPr="009A0DA6" w14:paraId="47A7CDA0" w14:textId="77777777" w:rsidTr="00786120">
        <w:trPr>
          <w:trHeight w:val="267"/>
        </w:trPr>
        <w:tc>
          <w:tcPr>
            <w:cnfStyle w:val="001000000000" w:firstRow="0" w:lastRow="0" w:firstColumn="1" w:lastColumn="0" w:oddVBand="0" w:evenVBand="0" w:oddHBand="0" w:evenHBand="0" w:firstRowFirstColumn="0" w:firstRowLastColumn="0" w:lastRowFirstColumn="0" w:lastRowLastColumn="0"/>
            <w:tcW w:w="2145" w:type="dxa"/>
          </w:tcPr>
          <w:p w14:paraId="2B9A0C73" w14:textId="77777777" w:rsidR="00930400" w:rsidRPr="009A0DA6" w:rsidRDefault="00930400" w:rsidP="00AD09CB">
            <w:pPr>
              <w:widowControl w:val="0"/>
              <w:suppressAutoHyphens/>
              <w:spacing w:before="120" w:after="120"/>
              <w:contextualSpacing/>
              <w:rPr>
                <w:rFonts w:ascii="Cambria" w:hAnsi="Cambria" w:cs="Arial"/>
                <w:b w:val="0"/>
              </w:rPr>
            </w:pPr>
            <w:r w:rsidRPr="009A0DA6">
              <w:rPr>
                <w:rFonts w:ascii="Cambria" w:hAnsi="Cambria" w:cs="Arial"/>
              </w:rPr>
              <w:lastRenderedPageBreak/>
              <w:t>GROW RESOURCES</w:t>
            </w:r>
          </w:p>
          <w:p w14:paraId="4FDC6999" w14:textId="77777777" w:rsidR="00930400" w:rsidRPr="009A0DA6" w:rsidRDefault="00930400" w:rsidP="00AD09CB">
            <w:pPr>
              <w:widowControl w:val="0"/>
              <w:suppressAutoHyphens/>
              <w:spacing w:before="120" w:after="120"/>
              <w:contextualSpacing/>
              <w:rPr>
                <w:rFonts w:ascii="Cambria" w:hAnsi="Cambria" w:cs="Arial"/>
                <w:b w:val="0"/>
              </w:rPr>
            </w:pPr>
            <w:r w:rsidRPr="009A0DA6">
              <w:rPr>
                <w:rFonts w:ascii="Cambria" w:hAnsi="Cambria" w:cs="Arial"/>
              </w:rPr>
              <w:t>Strategic Priority 2: To identify, evaluate and develop suitable child, youth and family resources for the LCA context for use by congregations and their families.</w:t>
            </w:r>
          </w:p>
          <w:p w14:paraId="55CBF9E8" w14:textId="77777777" w:rsidR="00930400" w:rsidRPr="009A0DA6" w:rsidRDefault="00930400" w:rsidP="00AD09CB">
            <w:pPr>
              <w:spacing w:before="120" w:after="120"/>
              <w:contextualSpacing/>
              <w:rPr>
                <w:rFonts w:ascii="Cambria" w:hAnsi="Cambria" w:cs="Arial"/>
              </w:rPr>
            </w:pPr>
          </w:p>
        </w:tc>
        <w:tc>
          <w:tcPr>
            <w:tcW w:w="3251" w:type="dxa"/>
          </w:tcPr>
          <w:p w14:paraId="0D3F25A2" w14:textId="77777777" w:rsidR="00930400" w:rsidRPr="009A0DA6" w:rsidRDefault="00930400" w:rsidP="00F55252">
            <w:pPr>
              <w:pStyle w:val="ListParagraph"/>
              <w:numPr>
                <w:ilvl w:val="0"/>
                <w:numId w:val="159"/>
              </w:numPr>
              <w:spacing w:after="120" w:line="240" w:lineRule="auto"/>
              <w:ind w:left="176" w:hanging="176"/>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 xml:space="preserve">Develop, publish and promote </w:t>
            </w:r>
            <w:r w:rsidRPr="009A0DA6">
              <w:rPr>
                <w:rFonts w:ascii="Cambria" w:hAnsi="Cambria" w:cs="Arial"/>
                <w:b/>
              </w:rPr>
              <w:t>Growing Faith at Home</w:t>
            </w:r>
            <w:r w:rsidRPr="009A0DA6">
              <w:rPr>
                <w:rFonts w:ascii="Cambria" w:hAnsi="Cambria" w:cs="Arial"/>
              </w:rPr>
              <w:t xml:space="preserve"> each year.</w:t>
            </w:r>
          </w:p>
          <w:p w14:paraId="4A935DFD" w14:textId="77777777" w:rsidR="00930400" w:rsidRPr="009A0DA6" w:rsidRDefault="00930400" w:rsidP="00F55252">
            <w:pPr>
              <w:pStyle w:val="ListParagraph"/>
              <w:numPr>
                <w:ilvl w:val="0"/>
                <w:numId w:val="159"/>
              </w:numPr>
              <w:spacing w:before="120" w:after="120" w:line="240" w:lineRule="auto"/>
              <w:ind w:left="175" w:hanging="175"/>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 xml:space="preserve">Consider the development of a mobile application for </w:t>
            </w:r>
            <w:r w:rsidRPr="009A0DA6">
              <w:rPr>
                <w:rFonts w:ascii="Cambria" w:hAnsi="Cambria" w:cs="Arial"/>
                <w:b/>
              </w:rPr>
              <w:t xml:space="preserve">Growing Faith Home </w:t>
            </w:r>
            <w:r w:rsidRPr="009A0DA6">
              <w:rPr>
                <w:rFonts w:ascii="Cambria" w:hAnsi="Cambria" w:cs="Arial"/>
              </w:rPr>
              <w:t>resource.</w:t>
            </w:r>
          </w:p>
          <w:p w14:paraId="12899E36" w14:textId="77777777" w:rsidR="00930400" w:rsidRPr="009A0DA6" w:rsidRDefault="00930400" w:rsidP="00F55252">
            <w:pPr>
              <w:pStyle w:val="ListParagraph"/>
              <w:numPr>
                <w:ilvl w:val="0"/>
                <w:numId w:val="159"/>
              </w:numPr>
              <w:spacing w:before="120" w:after="120" w:line="240" w:lineRule="auto"/>
              <w:ind w:left="175" w:hanging="175"/>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 xml:space="preserve">Review existing </w:t>
            </w:r>
            <w:r w:rsidRPr="009A0DA6">
              <w:rPr>
                <w:rFonts w:ascii="Cambria" w:hAnsi="Cambria" w:cs="Arial"/>
                <w:b/>
              </w:rPr>
              <w:t>Faith Trail</w:t>
            </w:r>
            <w:r w:rsidRPr="009A0DA6">
              <w:rPr>
                <w:rFonts w:ascii="Cambria" w:hAnsi="Cambria" w:cs="Arial"/>
              </w:rPr>
              <w:t xml:space="preserve"> Markers</w:t>
            </w:r>
          </w:p>
          <w:p w14:paraId="4487354A" w14:textId="77777777" w:rsidR="00930400" w:rsidRPr="009A0DA6" w:rsidRDefault="00930400" w:rsidP="00F55252">
            <w:pPr>
              <w:pStyle w:val="ListParagraph"/>
              <w:numPr>
                <w:ilvl w:val="0"/>
                <w:numId w:val="159"/>
              </w:numPr>
              <w:spacing w:before="120" w:after="120" w:line="240" w:lineRule="auto"/>
              <w:ind w:left="175" w:hanging="175"/>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 xml:space="preserve">Develop and pilot </w:t>
            </w:r>
            <w:r w:rsidRPr="009A0DA6">
              <w:rPr>
                <w:rFonts w:ascii="Cambria" w:hAnsi="Cambria" w:cs="Arial"/>
                <w:b/>
              </w:rPr>
              <w:t>Faith Trail</w:t>
            </w:r>
            <w:r w:rsidRPr="009A0DA6">
              <w:rPr>
                <w:rFonts w:ascii="Cambria" w:hAnsi="Cambria" w:cs="Arial"/>
              </w:rPr>
              <w:t xml:space="preserve"> First Communion resource.</w:t>
            </w:r>
          </w:p>
          <w:p w14:paraId="12143027" w14:textId="77777777" w:rsidR="00930400" w:rsidRPr="009A0DA6" w:rsidRDefault="00930400" w:rsidP="00F55252">
            <w:pPr>
              <w:pStyle w:val="ListParagraph"/>
              <w:numPr>
                <w:ilvl w:val="0"/>
                <w:numId w:val="159"/>
              </w:numPr>
              <w:spacing w:before="120" w:after="120" w:line="240" w:lineRule="auto"/>
              <w:ind w:left="175" w:hanging="175"/>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 xml:space="preserve">Develop </w:t>
            </w:r>
            <w:r w:rsidRPr="009A0DA6">
              <w:rPr>
                <w:rFonts w:ascii="Cambria" w:hAnsi="Cambria" w:cs="Arial"/>
                <w:b/>
              </w:rPr>
              <w:t>Faith Trail</w:t>
            </w:r>
            <w:r w:rsidRPr="009A0DA6">
              <w:rPr>
                <w:rFonts w:ascii="Cambria" w:hAnsi="Cambria" w:cs="Arial"/>
              </w:rPr>
              <w:t xml:space="preserve"> Markers for High School age students.</w:t>
            </w:r>
            <w:r w:rsidRPr="009A0DA6">
              <w:rPr>
                <w:rStyle w:val="FootnoteReference"/>
                <w:rFonts w:ascii="Cambria" w:hAnsi="Cambria" w:cs="Arial"/>
              </w:rPr>
              <w:footnoteReference w:id="19"/>
            </w:r>
          </w:p>
          <w:p w14:paraId="2B87FA99" w14:textId="77777777" w:rsidR="00930400" w:rsidRPr="009A0DA6" w:rsidRDefault="00930400" w:rsidP="00F55252">
            <w:pPr>
              <w:pStyle w:val="ListParagraph"/>
              <w:numPr>
                <w:ilvl w:val="0"/>
                <w:numId w:val="159"/>
              </w:numPr>
              <w:spacing w:before="120" w:after="120" w:line="240" w:lineRule="auto"/>
              <w:ind w:left="175" w:hanging="175"/>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Directly support district training initiatives.</w:t>
            </w:r>
          </w:p>
          <w:p w14:paraId="1AA57C6D" w14:textId="77777777" w:rsidR="00930400" w:rsidRPr="009A0DA6" w:rsidRDefault="00930400" w:rsidP="00F55252">
            <w:pPr>
              <w:pStyle w:val="ListParagraph"/>
              <w:numPr>
                <w:ilvl w:val="0"/>
                <w:numId w:val="159"/>
              </w:numPr>
              <w:spacing w:before="120" w:after="120" w:line="240" w:lineRule="auto"/>
              <w:ind w:left="175" w:hanging="175"/>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Develop GIFT (Generations in Faith Together) resources (four each year to fit in with church year seasons).</w:t>
            </w:r>
          </w:p>
          <w:p w14:paraId="59A327F4" w14:textId="77777777" w:rsidR="00930400" w:rsidRPr="009A0DA6" w:rsidRDefault="00930400" w:rsidP="00F55252">
            <w:pPr>
              <w:pStyle w:val="ListParagraph"/>
              <w:numPr>
                <w:ilvl w:val="0"/>
                <w:numId w:val="159"/>
              </w:numPr>
              <w:spacing w:before="120" w:after="120" w:line="240" w:lineRule="auto"/>
              <w:ind w:left="175" w:hanging="175"/>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 xml:space="preserve">Develop online portal (blog or the like) of resources—updating regularly. </w:t>
            </w:r>
          </w:p>
          <w:p w14:paraId="6340AAFB" w14:textId="77777777" w:rsidR="00930400" w:rsidRPr="009A0DA6" w:rsidRDefault="00930400" w:rsidP="00F55252">
            <w:pPr>
              <w:pStyle w:val="ListParagraph"/>
              <w:numPr>
                <w:ilvl w:val="0"/>
                <w:numId w:val="159"/>
              </w:numPr>
              <w:spacing w:before="120" w:after="120" w:line="240" w:lineRule="auto"/>
              <w:ind w:left="175" w:hanging="175"/>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 xml:space="preserve">Work with Commission on Worship (CoW) to develop a pool of children’s activity sheets and </w:t>
            </w:r>
            <w:r w:rsidRPr="009A0DA6">
              <w:rPr>
                <w:rFonts w:ascii="Cambria" w:hAnsi="Cambria" w:cs="Arial"/>
                <w:b/>
              </w:rPr>
              <w:t>children’s addresses.</w:t>
            </w:r>
            <w:r w:rsidRPr="009A0DA6">
              <w:rPr>
                <w:rFonts w:ascii="Cambria" w:hAnsi="Cambria" w:cs="Arial"/>
              </w:rPr>
              <w:t xml:space="preserve"> </w:t>
            </w:r>
          </w:p>
          <w:p w14:paraId="42EC5C3D" w14:textId="77777777" w:rsidR="00930400" w:rsidRPr="009A0DA6" w:rsidRDefault="00930400" w:rsidP="00F55252">
            <w:pPr>
              <w:pStyle w:val="ListParagraph"/>
              <w:numPr>
                <w:ilvl w:val="0"/>
                <w:numId w:val="159"/>
              </w:numPr>
              <w:spacing w:before="120" w:after="120" w:line="240" w:lineRule="auto"/>
              <w:ind w:left="175" w:hanging="175"/>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Help congregations develop all-age worship strategies and resources.</w:t>
            </w:r>
          </w:p>
          <w:p w14:paraId="009B7013" w14:textId="77777777" w:rsidR="00930400" w:rsidRPr="009A0DA6" w:rsidRDefault="00930400" w:rsidP="00F55252">
            <w:pPr>
              <w:pStyle w:val="ListParagraph"/>
              <w:numPr>
                <w:ilvl w:val="0"/>
                <w:numId w:val="159"/>
              </w:numPr>
              <w:spacing w:before="120" w:after="120" w:line="240" w:lineRule="auto"/>
              <w:ind w:left="175" w:hanging="175"/>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Develop YouTube videos that support the guiding principles of CYFM that can be utilised by small groups.</w:t>
            </w:r>
            <w:r w:rsidRPr="009A0DA6">
              <w:rPr>
                <w:rStyle w:val="FootnoteReference"/>
                <w:rFonts w:ascii="Cambria" w:hAnsi="Cambria" w:cs="Arial"/>
              </w:rPr>
              <w:footnoteReference w:id="20"/>
            </w:r>
          </w:p>
          <w:p w14:paraId="66272932" w14:textId="77777777" w:rsidR="00930400" w:rsidRPr="009A0DA6" w:rsidRDefault="00930400" w:rsidP="00F55252">
            <w:pPr>
              <w:pStyle w:val="ListParagraph"/>
              <w:numPr>
                <w:ilvl w:val="0"/>
                <w:numId w:val="159"/>
              </w:numPr>
              <w:spacing w:before="120" w:after="120" w:line="240" w:lineRule="auto"/>
              <w:ind w:left="175" w:hanging="175"/>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Collate report to summarise the Confirmation survey information followed by the development of a Confirmation Resource Framework (including new and existing resources).</w:t>
            </w:r>
          </w:p>
        </w:tc>
        <w:tc>
          <w:tcPr>
            <w:tcW w:w="3251" w:type="dxa"/>
          </w:tcPr>
          <w:p w14:paraId="07644806" w14:textId="77777777" w:rsidR="00930400" w:rsidRPr="009A0DA6" w:rsidRDefault="00930400" w:rsidP="00F55252">
            <w:pPr>
              <w:pStyle w:val="ListParagraph"/>
              <w:numPr>
                <w:ilvl w:val="0"/>
                <w:numId w:val="159"/>
              </w:numPr>
              <w:spacing w:before="120" w:after="120" w:line="240" w:lineRule="auto"/>
              <w:ind w:left="176" w:hanging="176"/>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b/>
              </w:rPr>
              <w:t>Growing Faith Home</w:t>
            </w:r>
            <w:r w:rsidRPr="009A0DA6">
              <w:rPr>
                <w:rFonts w:ascii="Cambria" w:hAnsi="Cambria" w:cs="Arial"/>
              </w:rPr>
              <w:t xml:space="preserve"> continues to be developed and updated each year. Annual subscription continues to grow</w:t>
            </w:r>
          </w:p>
          <w:p w14:paraId="2D2BB97D" w14:textId="77777777" w:rsidR="00930400" w:rsidRPr="009A0DA6" w:rsidRDefault="00930400" w:rsidP="00F55252">
            <w:pPr>
              <w:pStyle w:val="ListParagraph"/>
              <w:numPr>
                <w:ilvl w:val="0"/>
                <w:numId w:val="159"/>
              </w:numPr>
              <w:spacing w:before="120" w:after="120" w:line="240" w:lineRule="auto"/>
              <w:ind w:left="176" w:hanging="176"/>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 xml:space="preserve">First stage of </w:t>
            </w:r>
            <w:r w:rsidRPr="009A0DA6">
              <w:rPr>
                <w:rFonts w:ascii="Cambria" w:hAnsi="Cambria" w:cs="Arial"/>
                <w:b/>
              </w:rPr>
              <w:t>Growing Faith at Home app</w:t>
            </w:r>
            <w:r w:rsidRPr="009A0DA6">
              <w:rPr>
                <w:rFonts w:ascii="Cambria" w:hAnsi="Cambria" w:cs="Arial"/>
              </w:rPr>
              <w:t xml:space="preserve"> development have been completed with testing to begin in 2018.</w:t>
            </w:r>
          </w:p>
          <w:p w14:paraId="0177C9CE" w14:textId="77777777" w:rsidR="00930400" w:rsidRPr="009A0DA6" w:rsidRDefault="00930400" w:rsidP="00F55252">
            <w:pPr>
              <w:pStyle w:val="ListParagraph"/>
              <w:numPr>
                <w:ilvl w:val="0"/>
                <w:numId w:val="159"/>
              </w:numPr>
              <w:spacing w:before="120" w:after="120" w:line="240" w:lineRule="auto"/>
              <w:ind w:left="176" w:hanging="176"/>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b/>
              </w:rPr>
              <w:t xml:space="preserve">Faith Trail </w:t>
            </w:r>
            <w:r w:rsidRPr="009A0DA6">
              <w:rPr>
                <w:rFonts w:ascii="Cambria" w:hAnsi="Cambria" w:cs="Arial"/>
              </w:rPr>
              <w:t>Review of existing resources has been completed but waiting to be implemented</w:t>
            </w:r>
            <w:r w:rsidRPr="009A0DA6">
              <w:rPr>
                <w:rFonts w:ascii="Cambria" w:hAnsi="Cambria" w:cs="Arial"/>
                <w:b/>
              </w:rPr>
              <w:t>. Faith Trail</w:t>
            </w:r>
            <w:r w:rsidRPr="009A0DA6">
              <w:rPr>
                <w:rFonts w:ascii="Cambria" w:hAnsi="Cambria" w:cs="Arial"/>
              </w:rPr>
              <w:t xml:space="preserve"> First Communion resource completed in mid-2016 and now available on website.</w:t>
            </w:r>
          </w:p>
          <w:p w14:paraId="6B858BB2" w14:textId="77777777" w:rsidR="00930400" w:rsidRPr="009A0DA6" w:rsidRDefault="00930400" w:rsidP="00F55252">
            <w:pPr>
              <w:pStyle w:val="ListParagraph"/>
              <w:numPr>
                <w:ilvl w:val="0"/>
                <w:numId w:val="159"/>
              </w:numPr>
              <w:spacing w:before="120" w:after="120" w:line="240" w:lineRule="auto"/>
              <w:ind w:left="176" w:hanging="176"/>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 xml:space="preserve">An additional resource called </w:t>
            </w:r>
            <w:r w:rsidRPr="009A0DA6">
              <w:rPr>
                <w:rFonts w:ascii="Cambria" w:hAnsi="Cambria" w:cs="Arial"/>
                <w:b/>
              </w:rPr>
              <w:t>Growing Faith Moments</w:t>
            </w:r>
            <w:r w:rsidRPr="009A0DA6">
              <w:rPr>
                <w:rFonts w:ascii="Cambria" w:hAnsi="Cambria" w:cs="Arial"/>
              </w:rPr>
              <w:t xml:space="preserve"> has also been developed to complement both Growing Faith at Home and Faith Trail.</w:t>
            </w:r>
          </w:p>
          <w:p w14:paraId="7D4D1DC7" w14:textId="77777777" w:rsidR="00930400" w:rsidRPr="009A0DA6" w:rsidRDefault="00930400" w:rsidP="00F55252">
            <w:pPr>
              <w:pStyle w:val="ListParagraph"/>
              <w:numPr>
                <w:ilvl w:val="0"/>
                <w:numId w:val="159"/>
              </w:numPr>
              <w:spacing w:before="120" w:after="120" w:line="240" w:lineRule="auto"/>
              <w:ind w:left="176" w:hanging="176"/>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b/>
              </w:rPr>
              <w:t>GIFT</w:t>
            </w:r>
            <w:r w:rsidRPr="009A0DA6">
              <w:rPr>
                <w:rFonts w:ascii="Cambria" w:hAnsi="Cambria" w:cs="Arial"/>
              </w:rPr>
              <w:t xml:space="preserve"> (Generations in Faith Together) intergenerational resource continues to be popular. Regularly seeing new congregations ordering resources. Themes include: Advent, Lent, Pentecost, Trinity, Prayer, Baptism, Martin Luther.</w:t>
            </w:r>
          </w:p>
          <w:p w14:paraId="127C5940" w14:textId="77777777" w:rsidR="00930400" w:rsidRPr="009A0DA6" w:rsidRDefault="00930400" w:rsidP="00F55252">
            <w:pPr>
              <w:pStyle w:val="ListParagraph"/>
              <w:numPr>
                <w:ilvl w:val="0"/>
                <w:numId w:val="159"/>
              </w:numPr>
              <w:spacing w:before="120" w:after="120" w:line="240" w:lineRule="auto"/>
              <w:ind w:left="176" w:hanging="176"/>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Blog and Pinterest Page set up and updated regularly.</w:t>
            </w:r>
          </w:p>
          <w:p w14:paraId="4778ACC3" w14:textId="77777777" w:rsidR="00930400" w:rsidRPr="009A0DA6" w:rsidRDefault="00930400" w:rsidP="00F55252">
            <w:pPr>
              <w:pStyle w:val="ListParagraph"/>
              <w:numPr>
                <w:ilvl w:val="0"/>
                <w:numId w:val="159"/>
              </w:numPr>
              <w:spacing w:before="120" w:after="120" w:line="240" w:lineRule="auto"/>
              <w:ind w:left="176" w:hanging="176"/>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 xml:space="preserve">Partnership with CoW was developed in 2017 to prepare a children’s addresses for each Sunday of the year. </w:t>
            </w:r>
          </w:p>
          <w:p w14:paraId="7B889DBC" w14:textId="77777777" w:rsidR="00930400" w:rsidRPr="009A0DA6" w:rsidRDefault="00930400" w:rsidP="00F55252">
            <w:pPr>
              <w:pStyle w:val="ListParagraph"/>
              <w:numPr>
                <w:ilvl w:val="0"/>
                <w:numId w:val="159"/>
              </w:numPr>
              <w:spacing w:before="120" w:after="120" w:line="240" w:lineRule="auto"/>
              <w:ind w:left="176" w:hanging="176"/>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Confirmation Survey report was received and funding sought to begin a three stage Confirmation Resource Project.</w:t>
            </w:r>
          </w:p>
          <w:p w14:paraId="431840E3" w14:textId="77777777" w:rsidR="00930400" w:rsidRPr="009A0DA6" w:rsidRDefault="00930400" w:rsidP="00F55252">
            <w:pPr>
              <w:pStyle w:val="ListParagraph"/>
              <w:numPr>
                <w:ilvl w:val="0"/>
                <w:numId w:val="159"/>
              </w:numPr>
              <w:spacing w:before="120" w:after="120" w:line="240" w:lineRule="auto"/>
              <w:ind w:left="176" w:hanging="176"/>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 xml:space="preserve">Stage 1 of the Confirmation Resource Framework has </w:t>
            </w:r>
            <w:r w:rsidRPr="009A0DA6">
              <w:rPr>
                <w:rFonts w:ascii="Cambria" w:hAnsi="Cambria" w:cs="Arial"/>
              </w:rPr>
              <w:lastRenderedPageBreak/>
              <w:t>been completed. This project is ongoing.</w:t>
            </w:r>
          </w:p>
          <w:p w14:paraId="147E2D98" w14:textId="77777777" w:rsidR="00930400" w:rsidRPr="009A0DA6" w:rsidRDefault="00930400" w:rsidP="00F55252">
            <w:pPr>
              <w:pStyle w:val="ListParagraph"/>
              <w:numPr>
                <w:ilvl w:val="0"/>
                <w:numId w:val="159"/>
              </w:numPr>
              <w:spacing w:before="120" w:after="120" w:line="240" w:lineRule="auto"/>
              <w:ind w:left="176" w:hanging="176"/>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 xml:space="preserve">Throughout the last three years it has been identified that a young adult Bible study resource was needed. As a result Volume 1 of </w:t>
            </w:r>
            <w:r w:rsidRPr="009A0DA6">
              <w:rPr>
                <w:rFonts w:ascii="Cambria" w:hAnsi="Cambria" w:cs="Arial"/>
                <w:b/>
              </w:rPr>
              <w:t>Talking Points</w:t>
            </w:r>
            <w:r w:rsidRPr="009A0DA6">
              <w:rPr>
                <w:rFonts w:ascii="Cambria" w:hAnsi="Cambria" w:cs="Arial"/>
              </w:rPr>
              <w:t xml:space="preserve"> was completed at the end of 2017. </w:t>
            </w:r>
          </w:p>
        </w:tc>
      </w:tr>
      <w:tr w:rsidR="00930400" w:rsidRPr="009A0DA6" w14:paraId="0DE08762" w14:textId="77777777" w:rsidTr="00786120">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145" w:type="dxa"/>
          </w:tcPr>
          <w:p w14:paraId="0B884FD1" w14:textId="77777777" w:rsidR="00930400" w:rsidRPr="009A0DA6" w:rsidRDefault="00930400" w:rsidP="00AD09CB">
            <w:pPr>
              <w:widowControl w:val="0"/>
              <w:suppressAutoHyphens/>
              <w:spacing w:before="120" w:after="120"/>
              <w:contextualSpacing/>
              <w:rPr>
                <w:rFonts w:ascii="Cambria" w:hAnsi="Cambria" w:cs="Arial"/>
                <w:b w:val="0"/>
              </w:rPr>
            </w:pPr>
            <w:r w:rsidRPr="009A0DA6">
              <w:rPr>
                <w:rFonts w:ascii="Cambria" w:hAnsi="Cambria" w:cs="Arial"/>
              </w:rPr>
              <w:lastRenderedPageBreak/>
              <w:t>GROW LEADERSHIP</w:t>
            </w:r>
          </w:p>
          <w:p w14:paraId="076AAC7E" w14:textId="77777777" w:rsidR="00930400" w:rsidRPr="009A0DA6" w:rsidRDefault="00930400" w:rsidP="00AD09CB">
            <w:pPr>
              <w:widowControl w:val="0"/>
              <w:suppressAutoHyphens/>
              <w:spacing w:before="120" w:after="120"/>
              <w:contextualSpacing/>
              <w:rPr>
                <w:rFonts w:ascii="Cambria" w:hAnsi="Cambria" w:cs="Arial"/>
              </w:rPr>
            </w:pPr>
            <w:r w:rsidRPr="009A0DA6">
              <w:rPr>
                <w:rFonts w:ascii="Cambria" w:hAnsi="Cambria" w:cs="Arial"/>
              </w:rPr>
              <w:t>Strategic Priority 3: To support and encourage young adults as they develop their leadership potential.</w:t>
            </w:r>
          </w:p>
        </w:tc>
        <w:tc>
          <w:tcPr>
            <w:tcW w:w="3251" w:type="dxa"/>
          </w:tcPr>
          <w:p w14:paraId="22680DA8" w14:textId="77777777" w:rsidR="00930400" w:rsidRPr="009A0DA6" w:rsidRDefault="00930400" w:rsidP="00F55252">
            <w:pPr>
              <w:numPr>
                <w:ilvl w:val="0"/>
                <w:numId w:val="160"/>
              </w:numPr>
              <w:spacing w:before="120" w:after="120"/>
              <w:ind w:left="175" w:hanging="175"/>
              <w:contextualSpacing/>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Facilitate Youth Forum in 2015 prior to National Convention.</w:t>
            </w:r>
          </w:p>
          <w:p w14:paraId="0CE09C22" w14:textId="77777777" w:rsidR="00930400" w:rsidRPr="009A0DA6" w:rsidRDefault="00930400" w:rsidP="00F55252">
            <w:pPr>
              <w:numPr>
                <w:ilvl w:val="0"/>
                <w:numId w:val="160"/>
              </w:numPr>
              <w:spacing w:before="120" w:after="120"/>
              <w:ind w:left="175" w:hanging="175"/>
              <w:contextualSpacing/>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Develop a National Young Adult Leadership Development framework.</w:t>
            </w:r>
          </w:p>
          <w:p w14:paraId="1FD27D60" w14:textId="77777777" w:rsidR="00930400" w:rsidRPr="009A0DA6" w:rsidRDefault="00930400" w:rsidP="00F55252">
            <w:pPr>
              <w:pStyle w:val="ListParagraph"/>
              <w:numPr>
                <w:ilvl w:val="0"/>
                <w:numId w:val="160"/>
              </w:numPr>
              <w:spacing w:before="120" w:after="120" w:line="240" w:lineRule="auto"/>
              <w:ind w:left="175" w:hanging="175"/>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Recruitment of participants for Grow Leadership Program called Cultivate.</w:t>
            </w:r>
          </w:p>
        </w:tc>
        <w:tc>
          <w:tcPr>
            <w:tcW w:w="3251" w:type="dxa"/>
          </w:tcPr>
          <w:p w14:paraId="6920881D" w14:textId="77777777" w:rsidR="00930400" w:rsidRPr="009A0DA6" w:rsidRDefault="00930400" w:rsidP="00F55252">
            <w:pPr>
              <w:pStyle w:val="ListParagraph"/>
              <w:numPr>
                <w:ilvl w:val="0"/>
                <w:numId w:val="160"/>
              </w:numPr>
              <w:spacing w:before="120" w:after="120" w:line="240" w:lineRule="auto"/>
              <w:ind w:left="176" w:hanging="176"/>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National Youth Forum was held in Adelaide in April 2015 with the recommended 12 participants. Topics and guest speakers were relevant and varied.</w:t>
            </w:r>
          </w:p>
          <w:p w14:paraId="2012C23D" w14:textId="77777777" w:rsidR="00930400" w:rsidRPr="009A0DA6" w:rsidRDefault="00930400" w:rsidP="00F55252">
            <w:pPr>
              <w:pStyle w:val="ListParagraph"/>
              <w:numPr>
                <w:ilvl w:val="0"/>
                <w:numId w:val="160"/>
              </w:numPr>
              <w:spacing w:before="120" w:after="120" w:line="240" w:lineRule="auto"/>
              <w:ind w:left="176" w:hanging="176"/>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Framework for Grow Leadership, Cultivate Program was developed in consultation with our LCA ministry partners.</w:t>
            </w:r>
          </w:p>
          <w:p w14:paraId="0AB261C0" w14:textId="77777777" w:rsidR="00930400" w:rsidRPr="009A0DA6" w:rsidRDefault="00930400" w:rsidP="00F55252">
            <w:pPr>
              <w:pStyle w:val="ListParagraph"/>
              <w:numPr>
                <w:ilvl w:val="0"/>
                <w:numId w:val="160"/>
              </w:numPr>
              <w:spacing w:before="120" w:after="120" w:line="240" w:lineRule="auto"/>
              <w:ind w:left="176" w:hanging="176"/>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Partnership with International Mission was established to provide participation of young international leaders in the program as well as an overseas mid-program Stretch &amp; Grow Experience.</w:t>
            </w:r>
          </w:p>
          <w:p w14:paraId="785CB014" w14:textId="77777777" w:rsidR="00930400" w:rsidRPr="009A0DA6" w:rsidRDefault="00930400" w:rsidP="00F55252">
            <w:pPr>
              <w:pStyle w:val="ListParagraph"/>
              <w:numPr>
                <w:ilvl w:val="0"/>
                <w:numId w:val="160"/>
              </w:numPr>
              <w:spacing w:before="120" w:after="120" w:line="240" w:lineRule="auto"/>
              <w:ind w:left="176" w:hanging="176"/>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Nine local and four international participants recruited for 2017 program.</w:t>
            </w:r>
          </w:p>
          <w:p w14:paraId="16DBEB5A" w14:textId="77777777" w:rsidR="00930400" w:rsidRPr="009A0DA6" w:rsidRDefault="00930400" w:rsidP="00F55252">
            <w:pPr>
              <w:pStyle w:val="ListParagraph"/>
              <w:numPr>
                <w:ilvl w:val="0"/>
                <w:numId w:val="160"/>
              </w:numPr>
              <w:spacing w:before="120" w:after="120" w:line="240" w:lineRule="auto"/>
              <w:ind w:left="176" w:hanging="176"/>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Cultivate Leadership Program pilot facilitated during 2017. Almost all participants have taken next steps in leadership in the LCA and beyond.</w:t>
            </w:r>
          </w:p>
        </w:tc>
      </w:tr>
      <w:tr w:rsidR="00930400" w:rsidRPr="009A0DA6" w14:paraId="2FA8F3EF" w14:textId="77777777" w:rsidTr="00786120">
        <w:trPr>
          <w:trHeight w:val="252"/>
        </w:trPr>
        <w:tc>
          <w:tcPr>
            <w:cnfStyle w:val="001000000000" w:firstRow="0" w:lastRow="0" w:firstColumn="1" w:lastColumn="0" w:oddVBand="0" w:evenVBand="0" w:oddHBand="0" w:evenHBand="0" w:firstRowFirstColumn="0" w:firstRowLastColumn="0" w:lastRowFirstColumn="0" w:lastRowLastColumn="0"/>
            <w:tcW w:w="2145" w:type="dxa"/>
          </w:tcPr>
          <w:p w14:paraId="79B66A1A" w14:textId="7CC811C8" w:rsidR="00930400" w:rsidRPr="009A0DA6" w:rsidRDefault="00930400" w:rsidP="00AD09CB">
            <w:pPr>
              <w:spacing w:before="120" w:after="120"/>
              <w:contextualSpacing/>
              <w:rPr>
                <w:rFonts w:ascii="Cambria" w:hAnsi="Cambria"/>
                <w:b w:val="0"/>
              </w:rPr>
            </w:pPr>
            <w:r w:rsidRPr="009A0DA6">
              <w:rPr>
                <w:rFonts w:ascii="Cambria" w:hAnsi="Cambria"/>
              </w:rPr>
              <w:t>GROW TRAINING &amp; COMMUNI</w:t>
            </w:r>
            <w:r w:rsidR="00FF349B">
              <w:rPr>
                <w:rFonts w:ascii="Cambria" w:hAnsi="Cambria"/>
              </w:rPr>
              <w:t>-</w:t>
            </w:r>
            <w:r w:rsidRPr="009A0DA6">
              <w:rPr>
                <w:rFonts w:ascii="Cambria" w:hAnsi="Cambria"/>
              </w:rPr>
              <w:t>CATIONS</w:t>
            </w:r>
          </w:p>
          <w:p w14:paraId="66116DCA" w14:textId="77777777" w:rsidR="00930400" w:rsidRPr="009A0DA6" w:rsidRDefault="00930400" w:rsidP="00AD09CB">
            <w:pPr>
              <w:widowControl w:val="0"/>
              <w:suppressAutoHyphens/>
              <w:spacing w:before="120" w:after="120"/>
              <w:contextualSpacing/>
              <w:rPr>
                <w:rFonts w:ascii="Cambria" w:hAnsi="Cambria" w:cs="Arial"/>
              </w:rPr>
            </w:pPr>
            <w:r w:rsidRPr="009A0DA6">
              <w:rPr>
                <w:rFonts w:ascii="Cambria" w:hAnsi="Cambria"/>
              </w:rPr>
              <w:t>Strategic Priority 4: To encourage, support and promote an awareness of the guiding principles and practices of effective child, youth and family ministry in the homes, congregations and schools in the LCA.</w:t>
            </w:r>
          </w:p>
        </w:tc>
        <w:tc>
          <w:tcPr>
            <w:tcW w:w="3251" w:type="dxa"/>
          </w:tcPr>
          <w:p w14:paraId="45ADD272" w14:textId="77777777" w:rsidR="00930400" w:rsidRPr="009A0DA6" w:rsidRDefault="00930400" w:rsidP="00F55252">
            <w:pPr>
              <w:numPr>
                <w:ilvl w:val="0"/>
                <w:numId w:val="158"/>
              </w:numPr>
              <w:spacing w:before="120" w:after="120"/>
              <w:ind w:left="175" w:hanging="175"/>
              <w:contextualSpacing/>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Facilitate training in each District.</w:t>
            </w:r>
          </w:p>
          <w:p w14:paraId="386F471E" w14:textId="77777777" w:rsidR="00930400" w:rsidRPr="009A0DA6" w:rsidRDefault="00930400" w:rsidP="00F55252">
            <w:pPr>
              <w:numPr>
                <w:ilvl w:val="0"/>
                <w:numId w:val="158"/>
              </w:numPr>
              <w:spacing w:before="120" w:after="120"/>
              <w:ind w:left="175" w:hanging="175"/>
              <w:contextualSpacing/>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Development of website as first port of call for information about best practice CYFM in the LCA.</w:t>
            </w:r>
          </w:p>
          <w:p w14:paraId="20080C5D" w14:textId="77777777" w:rsidR="00930400" w:rsidRPr="009A0DA6" w:rsidRDefault="00930400" w:rsidP="00F55252">
            <w:pPr>
              <w:numPr>
                <w:ilvl w:val="0"/>
                <w:numId w:val="158"/>
              </w:numPr>
              <w:spacing w:before="120" w:after="120"/>
              <w:ind w:left="175" w:hanging="175"/>
              <w:contextualSpacing/>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Promote and support Grassroots Cert IV CYFM Training unit.</w:t>
            </w:r>
          </w:p>
          <w:p w14:paraId="6FCF03AE" w14:textId="77777777" w:rsidR="00930400" w:rsidRPr="009A0DA6" w:rsidRDefault="00930400" w:rsidP="00F55252">
            <w:pPr>
              <w:numPr>
                <w:ilvl w:val="0"/>
                <w:numId w:val="158"/>
              </w:numPr>
              <w:spacing w:before="120" w:after="120"/>
              <w:ind w:left="175" w:hanging="175"/>
              <w:contextualSpacing/>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Use the NCLS to research the needs of ministry to CYFM to help strengthen their identity to and understanding of the Lutheran Church of Australia.</w:t>
            </w:r>
          </w:p>
          <w:p w14:paraId="73CD1761" w14:textId="77777777" w:rsidR="00930400" w:rsidRPr="009A0DA6" w:rsidRDefault="00930400" w:rsidP="00F55252">
            <w:pPr>
              <w:numPr>
                <w:ilvl w:val="0"/>
                <w:numId w:val="158"/>
              </w:numPr>
              <w:spacing w:before="120" w:after="120"/>
              <w:ind w:left="175" w:hanging="175"/>
              <w:contextualSpacing/>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 xml:space="preserve">Regular communication and education for ministry practitioners through </w:t>
            </w:r>
            <w:r w:rsidRPr="009A0DA6">
              <w:rPr>
                <w:rFonts w:ascii="Cambria" w:hAnsi="Cambria" w:cs="Arial"/>
                <w:i/>
              </w:rPr>
              <w:t>On Your Hearts</w:t>
            </w:r>
            <w:r w:rsidRPr="009A0DA6">
              <w:rPr>
                <w:rFonts w:ascii="Cambria" w:hAnsi="Cambria" w:cs="Arial"/>
              </w:rPr>
              <w:t xml:space="preserve"> eNews.</w:t>
            </w:r>
          </w:p>
          <w:p w14:paraId="1E06D71B" w14:textId="77777777" w:rsidR="00930400" w:rsidRPr="009A0DA6" w:rsidRDefault="00930400" w:rsidP="00F55252">
            <w:pPr>
              <w:numPr>
                <w:ilvl w:val="0"/>
                <w:numId w:val="158"/>
              </w:numPr>
              <w:spacing w:before="120" w:after="120"/>
              <w:ind w:left="175" w:hanging="175"/>
              <w:contextualSpacing/>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lastRenderedPageBreak/>
              <w:t>Regular communication and resourcing for families and congregations through Facebook and Pinterest.</w:t>
            </w:r>
          </w:p>
          <w:p w14:paraId="0776EBD2" w14:textId="77777777" w:rsidR="00930400" w:rsidRPr="009A0DA6" w:rsidRDefault="00930400" w:rsidP="00F55252">
            <w:pPr>
              <w:pStyle w:val="ListParagraph"/>
              <w:numPr>
                <w:ilvl w:val="0"/>
                <w:numId w:val="158"/>
              </w:numPr>
              <w:spacing w:before="120" w:after="120" w:line="240" w:lineRule="auto"/>
              <w:ind w:left="175" w:hanging="175"/>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 xml:space="preserve">Sharing of stories with </w:t>
            </w:r>
            <w:r w:rsidRPr="009A0DA6">
              <w:rPr>
                <w:rFonts w:ascii="Cambria" w:hAnsi="Cambria" w:cs="Arial"/>
                <w:i/>
              </w:rPr>
              <w:t>The Lutheran</w:t>
            </w:r>
            <w:r w:rsidRPr="009A0DA6">
              <w:rPr>
                <w:rFonts w:ascii="Cambria" w:hAnsi="Cambria" w:cs="Arial"/>
              </w:rPr>
              <w:t xml:space="preserve"> regarding culture shift and the guiding principles.</w:t>
            </w:r>
          </w:p>
        </w:tc>
        <w:tc>
          <w:tcPr>
            <w:tcW w:w="3251" w:type="dxa"/>
          </w:tcPr>
          <w:p w14:paraId="784195ED" w14:textId="77777777" w:rsidR="00930400" w:rsidRPr="009A0DA6" w:rsidRDefault="00930400" w:rsidP="00F55252">
            <w:pPr>
              <w:pStyle w:val="ListParagraph"/>
              <w:numPr>
                <w:ilvl w:val="0"/>
                <w:numId w:val="158"/>
              </w:numPr>
              <w:spacing w:before="120" w:after="120" w:line="240" w:lineRule="auto"/>
              <w:ind w:left="176" w:hanging="176"/>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lastRenderedPageBreak/>
              <w:t>Regular reporting provided to LCA General Synod and District Synods.</w:t>
            </w:r>
          </w:p>
          <w:p w14:paraId="07219F9C" w14:textId="42FE6BA2" w:rsidR="00930400" w:rsidRPr="009A0DA6" w:rsidRDefault="00930400" w:rsidP="00F55252">
            <w:pPr>
              <w:pStyle w:val="ListParagraph"/>
              <w:numPr>
                <w:ilvl w:val="0"/>
                <w:numId w:val="158"/>
              </w:numPr>
              <w:spacing w:before="120" w:after="120" w:line="240" w:lineRule="auto"/>
              <w:ind w:left="176" w:hanging="176"/>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 xml:space="preserve">Grow Ministries participated in district training events in SA, </w:t>
            </w:r>
            <w:r w:rsidR="00E72999">
              <w:rPr>
                <w:rFonts w:ascii="Cambria" w:hAnsi="Cambria" w:cs="Arial"/>
              </w:rPr>
              <w:t>Qld</w:t>
            </w:r>
            <w:r w:rsidRPr="009A0DA6">
              <w:rPr>
                <w:rFonts w:ascii="Cambria" w:hAnsi="Cambria" w:cs="Arial"/>
              </w:rPr>
              <w:t xml:space="preserve"> and </w:t>
            </w:r>
            <w:r w:rsidR="00E72999">
              <w:rPr>
                <w:rFonts w:ascii="Cambria" w:hAnsi="Cambria" w:cs="Arial"/>
              </w:rPr>
              <w:t>Vic</w:t>
            </w:r>
            <w:r w:rsidRPr="009A0DA6">
              <w:rPr>
                <w:rFonts w:ascii="Cambria" w:hAnsi="Cambria" w:cs="Arial"/>
              </w:rPr>
              <w:t xml:space="preserve"> in 2015, 2016 &amp; 2017 with increased numbers attending workshops from year-to-year.</w:t>
            </w:r>
          </w:p>
          <w:p w14:paraId="2FF4D68D" w14:textId="77777777" w:rsidR="00930400" w:rsidRPr="009A0DA6" w:rsidRDefault="00930400" w:rsidP="00F55252">
            <w:pPr>
              <w:pStyle w:val="ListParagraph"/>
              <w:numPr>
                <w:ilvl w:val="0"/>
                <w:numId w:val="158"/>
              </w:numPr>
              <w:spacing w:before="120" w:after="120" w:line="240" w:lineRule="auto"/>
              <w:ind w:left="176" w:hanging="176"/>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Increased information available on website.</w:t>
            </w:r>
          </w:p>
          <w:p w14:paraId="5ED79F82" w14:textId="77777777" w:rsidR="00930400" w:rsidRPr="009A0DA6" w:rsidRDefault="00930400" w:rsidP="00F55252">
            <w:pPr>
              <w:pStyle w:val="ListParagraph"/>
              <w:numPr>
                <w:ilvl w:val="0"/>
                <w:numId w:val="158"/>
              </w:numPr>
              <w:spacing w:before="120" w:after="120" w:line="240" w:lineRule="auto"/>
              <w:ind w:left="176" w:hanging="176"/>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Continue to support Grassroots in updating content and delivery of CYFM training unit.</w:t>
            </w:r>
          </w:p>
          <w:p w14:paraId="110F3896" w14:textId="77777777" w:rsidR="00930400" w:rsidRPr="009A0DA6" w:rsidRDefault="00930400" w:rsidP="00F55252">
            <w:pPr>
              <w:pStyle w:val="ListParagraph"/>
              <w:numPr>
                <w:ilvl w:val="0"/>
                <w:numId w:val="158"/>
              </w:numPr>
              <w:spacing w:before="120" w:after="120" w:line="240" w:lineRule="auto"/>
              <w:ind w:left="176" w:hanging="176"/>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 xml:space="preserve">More than ten Regional Grow Ministries Training events, based on introducing the 10 </w:t>
            </w:r>
            <w:r w:rsidRPr="009A0DA6">
              <w:rPr>
                <w:rFonts w:ascii="Cambria" w:hAnsi="Cambria" w:cs="Arial"/>
              </w:rPr>
              <w:lastRenderedPageBreak/>
              <w:t>Guiding Principles, have taken place around Australia.</w:t>
            </w:r>
          </w:p>
          <w:p w14:paraId="0FFA9DB9" w14:textId="77777777" w:rsidR="00930400" w:rsidRPr="009A0DA6" w:rsidRDefault="00930400" w:rsidP="00F55252">
            <w:pPr>
              <w:pStyle w:val="ListParagraph"/>
              <w:numPr>
                <w:ilvl w:val="0"/>
                <w:numId w:val="158"/>
              </w:numPr>
              <w:spacing w:before="120" w:after="120" w:line="240" w:lineRule="auto"/>
              <w:ind w:left="176" w:hanging="176"/>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 xml:space="preserve">Regularly recommending family and congregational resources through our digital communications. </w:t>
            </w:r>
            <w:r w:rsidRPr="009A0DA6">
              <w:rPr>
                <w:rFonts w:ascii="Cambria" w:hAnsi="Cambria" w:cs="Arial"/>
              </w:rPr>
              <w:br/>
              <w:t>1000 subscribers to eNews</w:t>
            </w:r>
            <w:r w:rsidRPr="009A0DA6">
              <w:rPr>
                <w:rFonts w:ascii="Cambria" w:hAnsi="Cambria" w:cs="Arial"/>
              </w:rPr>
              <w:br/>
              <w:t>500 friends of Facebook</w:t>
            </w:r>
            <w:r w:rsidRPr="009A0DA6">
              <w:rPr>
                <w:rFonts w:ascii="Cambria" w:hAnsi="Cambria" w:cs="Arial"/>
              </w:rPr>
              <w:br/>
              <w:t>260 followers on Pinterest.</w:t>
            </w:r>
          </w:p>
          <w:p w14:paraId="1C8183C6" w14:textId="77777777" w:rsidR="00930400" w:rsidRPr="009A0DA6" w:rsidRDefault="00930400" w:rsidP="00F55252">
            <w:pPr>
              <w:pStyle w:val="ListParagraph"/>
              <w:numPr>
                <w:ilvl w:val="0"/>
                <w:numId w:val="158"/>
              </w:numPr>
              <w:spacing w:before="120" w:after="120" w:line="240" w:lineRule="auto"/>
              <w:ind w:left="176" w:hanging="176"/>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 xml:space="preserve">Regular article have appeared in </w:t>
            </w:r>
            <w:r w:rsidRPr="009A0DA6">
              <w:rPr>
                <w:rFonts w:ascii="Cambria" w:hAnsi="Cambria" w:cs="Arial"/>
                <w:i/>
              </w:rPr>
              <w:t>The Lutheran</w:t>
            </w:r>
            <w:r w:rsidRPr="009A0DA6">
              <w:rPr>
                <w:rFonts w:ascii="Cambria" w:hAnsi="Cambria" w:cs="Arial"/>
              </w:rPr>
              <w:t xml:space="preserve"> Go and Grow section.</w:t>
            </w:r>
          </w:p>
        </w:tc>
      </w:tr>
    </w:tbl>
    <w:p w14:paraId="7FA2E9B8" w14:textId="77777777" w:rsidR="00930400" w:rsidRPr="009A0DA6" w:rsidRDefault="00930400" w:rsidP="00930400">
      <w:pPr>
        <w:spacing w:before="120" w:after="120" w:line="240" w:lineRule="auto"/>
        <w:contextualSpacing/>
        <w:rPr>
          <w:rFonts w:ascii="Cambria" w:hAnsi="Cambria"/>
          <w:b/>
        </w:rPr>
      </w:pPr>
    </w:p>
    <w:p w14:paraId="27ED2624" w14:textId="77777777" w:rsidR="00930400" w:rsidRPr="009A0DA6" w:rsidRDefault="00930400" w:rsidP="00930400">
      <w:pPr>
        <w:pStyle w:val="Heading3"/>
      </w:pPr>
      <w:r w:rsidRPr="009A0DA6">
        <w:t>Successes</w:t>
      </w:r>
    </w:p>
    <w:p w14:paraId="4FDCF4F1" w14:textId="77777777" w:rsidR="00930400" w:rsidRPr="009A0DA6" w:rsidRDefault="00930400" w:rsidP="00F55252">
      <w:pPr>
        <w:numPr>
          <w:ilvl w:val="0"/>
          <w:numId w:val="157"/>
        </w:numPr>
        <w:spacing w:before="120" w:after="120" w:line="240" w:lineRule="auto"/>
        <w:ind w:left="567" w:hanging="567"/>
        <w:contextualSpacing/>
        <w:rPr>
          <w:rFonts w:ascii="Cambria" w:hAnsi="Cambria"/>
        </w:rPr>
      </w:pPr>
      <w:r w:rsidRPr="009A0DA6">
        <w:rPr>
          <w:rFonts w:ascii="Cambria" w:hAnsi="Cambria"/>
        </w:rPr>
        <w:t>Development of the GROW Leadership Program to include the Cult</w:t>
      </w:r>
      <w:r>
        <w:rPr>
          <w:rFonts w:ascii="Cambria" w:hAnsi="Cambria"/>
        </w:rPr>
        <w:t>ivate Leadership Program (2017 and</w:t>
      </w:r>
      <w:r w:rsidRPr="009A0DA6">
        <w:rPr>
          <w:rFonts w:ascii="Cambria" w:hAnsi="Cambria"/>
        </w:rPr>
        <w:t xml:space="preserve"> 2019) and the National Youth Forum (2015 &amp; 2018).</w:t>
      </w:r>
    </w:p>
    <w:p w14:paraId="6AAD8E6D" w14:textId="77777777" w:rsidR="00930400" w:rsidRPr="009A0DA6" w:rsidRDefault="00930400" w:rsidP="00F55252">
      <w:pPr>
        <w:numPr>
          <w:ilvl w:val="0"/>
          <w:numId w:val="157"/>
        </w:numPr>
        <w:spacing w:before="120" w:after="120" w:line="240" w:lineRule="auto"/>
        <w:ind w:left="567" w:hanging="567"/>
        <w:contextualSpacing/>
        <w:rPr>
          <w:rFonts w:ascii="Cambria" w:hAnsi="Cambria"/>
        </w:rPr>
      </w:pPr>
      <w:r w:rsidRPr="009A0DA6">
        <w:rPr>
          <w:rFonts w:ascii="Cambria" w:hAnsi="Cambria"/>
        </w:rPr>
        <w:t xml:space="preserve">Continuation of Grow Coaching clusters and review of Grow Coaching Framework—with support of Dr David Anderson in late 2016. </w:t>
      </w:r>
    </w:p>
    <w:p w14:paraId="1F3DD360" w14:textId="77777777" w:rsidR="00930400" w:rsidRPr="009A0DA6" w:rsidRDefault="00930400" w:rsidP="00F55252">
      <w:pPr>
        <w:numPr>
          <w:ilvl w:val="0"/>
          <w:numId w:val="157"/>
        </w:numPr>
        <w:spacing w:before="120" w:after="120" w:line="240" w:lineRule="auto"/>
        <w:ind w:left="567" w:hanging="567"/>
        <w:contextualSpacing/>
        <w:rPr>
          <w:rFonts w:ascii="Cambria" w:hAnsi="Cambria"/>
        </w:rPr>
      </w:pPr>
      <w:r w:rsidRPr="009A0DA6">
        <w:rPr>
          <w:rFonts w:ascii="Cambria" w:hAnsi="Cambria"/>
        </w:rPr>
        <w:t>First stage development of Growing Faith at Home App completed.</w:t>
      </w:r>
    </w:p>
    <w:p w14:paraId="21E2D34F" w14:textId="77777777" w:rsidR="00930400" w:rsidRPr="009A0DA6" w:rsidRDefault="00930400" w:rsidP="00F55252">
      <w:pPr>
        <w:numPr>
          <w:ilvl w:val="0"/>
          <w:numId w:val="157"/>
        </w:numPr>
        <w:spacing w:before="120" w:after="120" w:line="240" w:lineRule="auto"/>
        <w:ind w:left="567" w:hanging="567"/>
        <w:contextualSpacing/>
        <w:rPr>
          <w:rFonts w:ascii="Cambria" w:hAnsi="Cambria"/>
        </w:rPr>
      </w:pPr>
      <w:r w:rsidRPr="009A0DA6">
        <w:rPr>
          <w:rFonts w:ascii="Cambria" w:hAnsi="Cambria"/>
        </w:rPr>
        <w:t>Development and completion of new resources including First Communion Faith Trail marker, Mentoring Resource, Growing Faith Moments for all ages (birth—death), Talking Points young adult group study, Vol 1.</w:t>
      </w:r>
    </w:p>
    <w:p w14:paraId="15D1317A" w14:textId="77777777" w:rsidR="00930400" w:rsidRPr="009A0DA6" w:rsidRDefault="00930400" w:rsidP="00F55252">
      <w:pPr>
        <w:numPr>
          <w:ilvl w:val="0"/>
          <w:numId w:val="157"/>
        </w:numPr>
        <w:spacing w:before="120" w:after="120" w:line="240" w:lineRule="auto"/>
        <w:ind w:left="567" w:hanging="567"/>
        <w:contextualSpacing/>
        <w:rPr>
          <w:rFonts w:ascii="Cambria" w:hAnsi="Cambria"/>
        </w:rPr>
      </w:pPr>
      <w:r w:rsidRPr="009A0DA6">
        <w:rPr>
          <w:rFonts w:ascii="Cambria" w:hAnsi="Cambria"/>
        </w:rPr>
        <w:t>Continued development of website including regular updates and the establishment of a blog page that our eNews regularly links to.</w:t>
      </w:r>
    </w:p>
    <w:p w14:paraId="1563DC81" w14:textId="77777777" w:rsidR="00930400" w:rsidRPr="009A0DA6" w:rsidRDefault="00930400" w:rsidP="00F55252">
      <w:pPr>
        <w:numPr>
          <w:ilvl w:val="0"/>
          <w:numId w:val="157"/>
        </w:numPr>
        <w:spacing w:before="120" w:after="120" w:line="240" w:lineRule="auto"/>
        <w:ind w:left="567" w:hanging="567"/>
        <w:contextualSpacing/>
        <w:rPr>
          <w:rFonts w:ascii="Cambria" w:hAnsi="Cambria"/>
        </w:rPr>
      </w:pPr>
      <w:r w:rsidRPr="009A0DA6">
        <w:rPr>
          <w:rFonts w:ascii="Cambria" w:hAnsi="Cambria"/>
        </w:rPr>
        <w:t>Completion of Confirmation survey report, receipt of recommendations and funding to develop the Confirmation Resource Framework.</w:t>
      </w:r>
    </w:p>
    <w:p w14:paraId="330F09C5" w14:textId="77777777" w:rsidR="00930400" w:rsidRPr="009A0DA6" w:rsidRDefault="00930400" w:rsidP="00930400">
      <w:pPr>
        <w:pStyle w:val="Heading3"/>
      </w:pPr>
      <w:r w:rsidRPr="009A0DA6">
        <w:t>Challenges and Lessons Learned</w:t>
      </w:r>
    </w:p>
    <w:p w14:paraId="62F69A4A" w14:textId="77777777" w:rsidR="00930400" w:rsidRPr="009A0DA6" w:rsidRDefault="00930400" w:rsidP="00930400">
      <w:pPr>
        <w:pStyle w:val="Subtitle"/>
      </w:pPr>
      <w:r w:rsidRPr="009A0DA6">
        <w:t>Challenges</w:t>
      </w:r>
    </w:p>
    <w:p w14:paraId="2989ECEA" w14:textId="77777777" w:rsidR="00930400" w:rsidRPr="009A0DA6" w:rsidRDefault="00930400" w:rsidP="00F55252">
      <w:pPr>
        <w:numPr>
          <w:ilvl w:val="0"/>
          <w:numId w:val="161"/>
        </w:numPr>
        <w:spacing w:before="120" w:after="120" w:line="240" w:lineRule="auto"/>
        <w:ind w:left="567" w:hanging="567"/>
        <w:contextualSpacing/>
        <w:rPr>
          <w:rFonts w:ascii="Cambria" w:hAnsi="Cambria"/>
        </w:rPr>
      </w:pPr>
      <w:r w:rsidRPr="009A0DA6">
        <w:rPr>
          <w:rFonts w:ascii="Cambria" w:hAnsi="Cambria"/>
        </w:rPr>
        <w:t>The challenge of developing eResources (mobile app and videos—as mentioned above) with current resources and staff expertise.</w:t>
      </w:r>
    </w:p>
    <w:p w14:paraId="2B52934B" w14:textId="77777777" w:rsidR="00930400" w:rsidRPr="009A0DA6" w:rsidRDefault="00930400" w:rsidP="00F55252">
      <w:pPr>
        <w:numPr>
          <w:ilvl w:val="0"/>
          <w:numId w:val="161"/>
        </w:numPr>
        <w:spacing w:before="120" w:after="120" w:line="240" w:lineRule="auto"/>
        <w:ind w:left="567" w:hanging="567"/>
        <w:contextualSpacing/>
        <w:rPr>
          <w:rFonts w:ascii="Cambria" w:hAnsi="Cambria"/>
        </w:rPr>
      </w:pPr>
      <w:r w:rsidRPr="009A0DA6">
        <w:rPr>
          <w:rFonts w:ascii="Cambria" w:hAnsi="Cambria"/>
        </w:rPr>
        <w:t>The challenge of communicating our vision to the wider membership of the LCA in an increasingly ‘busy’ space where each department of the LCA is seeking to engage and educate a similar audience. Working more closely with LCA Communications to tackle this challenge.</w:t>
      </w:r>
    </w:p>
    <w:p w14:paraId="19E96643" w14:textId="77777777" w:rsidR="00930400" w:rsidRPr="009A0DA6" w:rsidRDefault="00930400" w:rsidP="00F55252">
      <w:pPr>
        <w:numPr>
          <w:ilvl w:val="0"/>
          <w:numId w:val="161"/>
        </w:numPr>
        <w:spacing w:before="120" w:after="120" w:line="240" w:lineRule="auto"/>
        <w:ind w:left="567" w:hanging="567"/>
        <w:contextualSpacing/>
        <w:rPr>
          <w:rFonts w:ascii="Cambria" w:hAnsi="Cambria"/>
        </w:rPr>
      </w:pPr>
      <w:r w:rsidRPr="009A0DA6">
        <w:rPr>
          <w:rFonts w:ascii="Cambria" w:hAnsi="Cambria"/>
        </w:rPr>
        <w:t>The lack of certainty of funding to support Grow Ministries four year Strategic Plan (and beyond 2018) results in annual challenges that leads to uncertainty for ministry staff and the capacity of the board to implement longer term initiatives with certainty.</w:t>
      </w:r>
    </w:p>
    <w:p w14:paraId="2A04CCCB" w14:textId="6E3BE8AC" w:rsidR="00930400" w:rsidRPr="009A0DA6" w:rsidRDefault="00930400" w:rsidP="00930400">
      <w:pPr>
        <w:pStyle w:val="Subtitle"/>
      </w:pPr>
      <w:r w:rsidRPr="009A0DA6">
        <w:t>Lessons Learned</w:t>
      </w:r>
    </w:p>
    <w:p w14:paraId="153140EB" w14:textId="77777777" w:rsidR="00930400" w:rsidRPr="009A0DA6" w:rsidRDefault="00930400" w:rsidP="00F55252">
      <w:pPr>
        <w:numPr>
          <w:ilvl w:val="0"/>
          <w:numId w:val="161"/>
        </w:numPr>
        <w:spacing w:before="120" w:after="120" w:line="240" w:lineRule="auto"/>
        <w:ind w:left="567" w:hanging="567"/>
        <w:contextualSpacing/>
        <w:rPr>
          <w:rFonts w:ascii="Cambria" w:hAnsi="Cambria"/>
          <w:b/>
        </w:rPr>
      </w:pPr>
      <w:r w:rsidRPr="009A0DA6">
        <w:rPr>
          <w:rFonts w:ascii="Cambria" w:hAnsi="Cambria"/>
        </w:rPr>
        <w:t>Regular Grow Coaching evaluation was conducted with the pilot congregations to ensure that content met the needs and outcomes for future Grow Coaching clusters.</w:t>
      </w:r>
    </w:p>
    <w:p w14:paraId="1D94418D" w14:textId="77777777" w:rsidR="00930400" w:rsidRPr="009A0DA6" w:rsidRDefault="00930400" w:rsidP="00F55252">
      <w:pPr>
        <w:numPr>
          <w:ilvl w:val="0"/>
          <w:numId w:val="161"/>
        </w:numPr>
        <w:spacing w:before="120" w:after="120" w:line="240" w:lineRule="auto"/>
        <w:ind w:left="567" w:hanging="567"/>
        <w:contextualSpacing/>
        <w:rPr>
          <w:rFonts w:ascii="Cambria" w:hAnsi="Cambria"/>
          <w:b/>
        </w:rPr>
      </w:pPr>
      <w:r w:rsidRPr="009A0DA6">
        <w:rPr>
          <w:rFonts w:ascii="Cambria" w:hAnsi="Cambria"/>
        </w:rPr>
        <w:t>Conducted Confirmation Ministry research (pastors, leaders, parents and students participated) in 2015. Recommendations received in 2016. Project began in late 2017.</w:t>
      </w:r>
    </w:p>
    <w:p w14:paraId="5BA39151" w14:textId="77777777" w:rsidR="00930400" w:rsidRPr="009A0DA6" w:rsidRDefault="00930400" w:rsidP="00F55252">
      <w:pPr>
        <w:numPr>
          <w:ilvl w:val="0"/>
          <w:numId w:val="161"/>
        </w:numPr>
        <w:spacing w:before="120" w:after="120" w:line="240" w:lineRule="auto"/>
        <w:ind w:left="567" w:hanging="567"/>
        <w:contextualSpacing/>
        <w:rPr>
          <w:rFonts w:ascii="Cambria" w:hAnsi="Cambria"/>
          <w:b/>
        </w:rPr>
      </w:pPr>
      <w:r w:rsidRPr="009A0DA6">
        <w:rPr>
          <w:rFonts w:ascii="Cambria" w:hAnsi="Cambria"/>
        </w:rPr>
        <w:t>Regular training and resource evaluation is conducted to ensure feedback is received to support continuous improvement. Implementation of the recommendations of the comprehensive evaluation of CYFM completed in 2013.</w:t>
      </w:r>
    </w:p>
    <w:p w14:paraId="2D0ABB20" w14:textId="77777777" w:rsidR="00930400" w:rsidRPr="009A0DA6" w:rsidRDefault="00930400" w:rsidP="00930400">
      <w:pPr>
        <w:spacing w:before="120" w:after="120" w:line="240" w:lineRule="auto"/>
        <w:contextualSpacing/>
        <w:rPr>
          <w:rFonts w:ascii="Cambria" w:hAnsi="Cambria"/>
          <w:b/>
        </w:rPr>
      </w:pPr>
    </w:p>
    <w:p w14:paraId="383A0EDB" w14:textId="77777777" w:rsidR="00786120" w:rsidRDefault="00786120">
      <w:pPr>
        <w:rPr>
          <w:rFonts w:ascii="Cambria" w:eastAsiaTheme="majorEastAsia" w:hAnsi="Cambria" w:cstheme="majorBidi"/>
          <w:b/>
          <w:caps/>
          <w:sz w:val="28"/>
          <w:szCs w:val="24"/>
        </w:rPr>
      </w:pPr>
      <w:r>
        <w:br w:type="page"/>
      </w:r>
    </w:p>
    <w:p w14:paraId="0FB98748" w14:textId="7236B7E7" w:rsidR="00930400" w:rsidRPr="009A0DA6" w:rsidRDefault="00930400" w:rsidP="00930400">
      <w:pPr>
        <w:pStyle w:val="Heading3"/>
      </w:pPr>
      <w:r w:rsidRPr="009A0DA6">
        <w:lastRenderedPageBreak/>
        <w:t>Risks</w:t>
      </w:r>
    </w:p>
    <w:tbl>
      <w:tblPr>
        <w:tblStyle w:val="PlainTable2"/>
        <w:tblW w:w="8561" w:type="dxa"/>
        <w:tblLook w:val="04A0" w:firstRow="1" w:lastRow="0" w:firstColumn="1" w:lastColumn="0" w:noHBand="0" w:noVBand="1"/>
      </w:tblPr>
      <w:tblGrid>
        <w:gridCol w:w="2835"/>
        <w:gridCol w:w="3061"/>
        <w:gridCol w:w="2665"/>
      </w:tblGrid>
      <w:tr w:rsidR="00930400" w:rsidRPr="009A0DA6" w14:paraId="055E53E9" w14:textId="77777777" w:rsidTr="00AD09CB">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5B8781AA" w14:textId="77777777" w:rsidR="00930400" w:rsidRPr="009A0DA6" w:rsidRDefault="00930400" w:rsidP="00FF349B">
            <w:pPr>
              <w:spacing w:before="120" w:after="120"/>
              <w:contextualSpacing/>
              <w:rPr>
                <w:rFonts w:ascii="Cambria" w:hAnsi="Cambria" w:cs="Arial"/>
                <w:b w:val="0"/>
              </w:rPr>
            </w:pPr>
            <w:r w:rsidRPr="009A0DA6">
              <w:rPr>
                <w:rFonts w:ascii="Cambria" w:hAnsi="Cambria" w:cs="Arial"/>
              </w:rPr>
              <w:t>Description of risk</w:t>
            </w:r>
          </w:p>
        </w:tc>
        <w:tc>
          <w:tcPr>
            <w:tcW w:w="3061" w:type="dxa"/>
            <w:vAlign w:val="center"/>
          </w:tcPr>
          <w:p w14:paraId="78862C8C" w14:textId="77777777" w:rsidR="00930400" w:rsidRPr="009A0DA6" w:rsidRDefault="00930400" w:rsidP="00FF349B">
            <w:pPr>
              <w:spacing w:before="120" w:after="120"/>
              <w:contextualSpacing/>
              <w:cnfStyle w:val="100000000000" w:firstRow="1" w:lastRow="0" w:firstColumn="0" w:lastColumn="0" w:oddVBand="0" w:evenVBand="0" w:oddHBand="0" w:evenHBand="0" w:firstRowFirstColumn="0" w:firstRowLastColumn="0" w:lastRowFirstColumn="0" w:lastRowLastColumn="0"/>
              <w:rPr>
                <w:rFonts w:ascii="Cambria" w:hAnsi="Cambria" w:cs="Arial"/>
                <w:b w:val="0"/>
              </w:rPr>
            </w:pPr>
            <w:r w:rsidRPr="009A0DA6">
              <w:rPr>
                <w:rFonts w:ascii="Cambria" w:hAnsi="Cambria" w:cs="Arial"/>
              </w:rPr>
              <w:t>Likelihood of risk occurring and potential impact for the ministry and LCA</w:t>
            </w:r>
          </w:p>
        </w:tc>
        <w:tc>
          <w:tcPr>
            <w:tcW w:w="2665" w:type="dxa"/>
            <w:vAlign w:val="center"/>
          </w:tcPr>
          <w:p w14:paraId="4E67F63D" w14:textId="77777777" w:rsidR="00930400" w:rsidRPr="009A0DA6" w:rsidRDefault="00930400" w:rsidP="00FF349B">
            <w:pPr>
              <w:spacing w:before="120" w:after="120"/>
              <w:contextualSpacing/>
              <w:cnfStyle w:val="100000000000" w:firstRow="1" w:lastRow="0" w:firstColumn="0" w:lastColumn="0" w:oddVBand="0" w:evenVBand="0" w:oddHBand="0" w:evenHBand="0" w:firstRowFirstColumn="0" w:firstRowLastColumn="0" w:lastRowFirstColumn="0" w:lastRowLastColumn="0"/>
              <w:rPr>
                <w:rFonts w:ascii="Cambria" w:hAnsi="Cambria" w:cs="Arial"/>
                <w:b w:val="0"/>
              </w:rPr>
            </w:pPr>
            <w:r w:rsidRPr="009A0DA6">
              <w:rPr>
                <w:rFonts w:ascii="Cambria" w:hAnsi="Cambria" w:cs="Arial"/>
              </w:rPr>
              <w:t>Summary of action to mitigate the risk</w:t>
            </w:r>
          </w:p>
        </w:tc>
      </w:tr>
      <w:tr w:rsidR="00930400" w:rsidRPr="009A0DA6" w14:paraId="2D868ED9" w14:textId="77777777" w:rsidTr="00AD09CB">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835" w:type="dxa"/>
          </w:tcPr>
          <w:p w14:paraId="0EC5CBA4" w14:textId="77777777" w:rsidR="00930400" w:rsidRPr="009A0DA6" w:rsidRDefault="00930400" w:rsidP="00AD09CB">
            <w:pPr>
              <w:widowControl w:val="0"/>
              <w:suppressAutoHyphens/>
              <w:spacing w:before="120" w:after="120"/>
              <w:contextualSpacing/>
              <w:rPr>
                <w:rFonts w:ascii="Cambria" w:hAnsi="Cambria" w:cs="Arial"/>
              </w:rPr>
            </w:pPr>
            <w:r w:rsidRPr="009A0DA6">
              <w:rPr>
                <w:rFonts w:ascii="Cambria" w:hAnsi="Cambria" w:cs="Arial"/>
              </w:rPr>
              <w:t>Sustainability and reliance on LLL funding to deliver the Strategic Plan.</w:t>
            </w:r>
          </w:p>
        </w:tc>
        <w:tc>
          <w:tcPr>
            <w:tcW w:w="3061" w:type="dxa"/>
          </w:tcPr>
          <w:p w14:paraId="55221CAE" w14:textId="77777777" w:rsidR="00930400" w:rsidRPr="009A0DA6" w:rsidRDefault="00930400" w:rsidP="00AD09CB">
            <w:pPr>
              <w:spacing w:before="120" w:after="120"/>
              <w:contextualSpacing/>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Funding is an annual challenge that affects staff morale and program development.</w:t>
            </w:r>
          </w:p>
        </w:tc>
        <w:tc>
          <w:tcPr>
            <w:tcW w:w="2665" w:type="dxa"/>
          </w:tcPr>
          <w:p w14:paraId="18B331B4" w14:textId="77777777" w:rsidR="00930400" w:rsidRPr="009A0DA6" w:rsidRDefault="00930400" w:rsidP="00AD09CB">
            <w:pPr>
              <w:spacing w:before="120" w:after="120"/>
              <w:contextualSpacing/>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Request for allocation to GCC from LLL Grants and to consider multi-year funding model.</w:t>
            </w:r>
          </w:p>
        </w:tc>
      </w:tr>
      <w:tr w:rsidR="00930400" w:rsidRPr="009A0DA6" w14:paraId="20D1AE43" w14:textId="77777777" w:rsidTr="00AD09CB">
        <w:trPr>
          <w:trHeight w:val="267"/>
        </w:trPr>
        <w:tc>
          <w:tcPr>
            <w:cnfStyle w:val="001000000000" w:firstRow="0" w:lastRow="0" w:firstColumn="1" w:lastColumn="0" w:oddVBand="0" w:evenVBand="0" w:oddHBand="0" w:evenHBand="0" w:firstRowFirstColumn="0" w:firstRowLastColumn="0" w:lastRowFirstColumn="0" w:lastRowLastColumn="0"/>
            <w:tcW w:w="2835" w:type="dxa"/>
          </w:tcPr>
          <w:p w14:paraId="1E22E71D" w14:textId="77777777" w:rsidR="00930400" w:rsidRPr="009A0DA6" w:rsidRDefault="00930400" w:rsidP="00AD09CB">
            <w:pPr>
              <w:widowControl w:val="0"/>
              <w:suppressAutoHyphens/>
              <w:spacing w:before="120" w:after="120"/>
              <w:contextualSpacing/>
              <w:rPr>
                <w:rFonts w:ascii="Cambria" w:hAnsi="Cambria" w:cs="Arial"/>
              </w:rPr>
            </w:pPr>
            <w:r w:rsidRPr="009A0DA6">
              <w:rPr>
                <w:rFonts w:ascii="Cambria" w:hAnsi="Cambria" w:cs="Arial"/>
              </w:rPr>
              <w:t>Communication of vision to wider membership of the LCA in an increasingly ‘busy’ space where each department of the LCA is seeking to engage and educate the same audience.</w:t>
            </w:r>
          </w:p>
        </w:tc>
        <w:tc>
          <w:tcPr>
            <w:tcW w:w="3061" w:type="dxa"/>
          </w:tcPr>
          <w:p w14:paraId="3C08F391" w14:textId="77777777" w:rsidR="00930400" w:rsidRPr="009A0DA6" w:rsidRDefault="00930400" w:rsidP="00AD09CB">
            <w:pPr>
              <w:spacing w:before="120" w:after="120"/>
              <w:contextualSpacing/>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LCA not aware of our vision and the support available to them could lead to limited take up of resources and training.</w:t>
            </w:r>
          </w:p>
        </w:tc>
        <w:tc>
          <w:tcPr>
            <w:tcW w:w="2665" w:type="dxa"/>
          </w:tcPr>
          <w:p w14:paraId="3E74C5B6" w14:textId="77777777" w:rsidR="00930400" w:rsidRPr="009A0DA6" w:rsidRDefault="00930400" w:rsidP="00AD09CB">
            <w:pPr>
              <w:spacing w:before="120" w:after="120"/>
              <w:contextualSpacing/>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Request for audit (review) of how each department of the LCA engages with membership of the LCA and develop a more systematic approach to overall communication.</w:t>
            </w:r>
          </w:p>
        </w:tc>
      </w:tr>
    </w:tbl>
    <w:p w14:paraId="2716FD55" w14:textId="77777777" w:rsidR="00930400" w:rsidRPr="009A0DA6" w:rsidRDefault="00930400" w:rsidP="00930400">
      <w:pPr>
        <w:spacing w:before="120" w:after="120" w:line="240" w:lineRule="auto"/>
        <w:contextualSpacing/>
        <w:rPr>
          <w:rFonts w:ascii="Cambria" w:hAnsi="Cambria"/>
          <w:b/>
        </w:rPr>
      </w:pPr>
    </w:p>
    <w:p w14:paraId="38017A2D" w14:textId="77777777" w:rsidR="00930400" w:rsidRPr="009A0DA6" w:rsidRDefault="00930400" w:rsidP="00930400">
      <w:pPr>
        <w:pStyle w:val="Heading3"/>
      </w:pPr>
      <w:r w:rsidRPr="009A0DA6">
        <w:t xml:space="preserve">Alignment to LCA Strategic Direction </w:t>
      </w:r>
      <w:r>
        <w:t>2013–2018</w:t>
      </w:r>
    </w:p>
    <w:p w14:paraId="2BB8D116" w14:textId="77777777" w:rsidR="00930400" w:rsidRPr="009A0DA6" w:rsidRDefault="00930400" w:rsidP="00930400">
      <w:pPr>
        <w:spacing w:before="120" w:after="120" w:line="240" w:lineRule="auto"/>
        <w:contextualSpacing/>
        <w:rPr>
          <w:rFonts w:ascii="Cambria" w:hAnsi="Cambria"/>
        </w:rPr>
      </w:pPr>
      <w:r w:rsidRPr="009A0DA6">
        <w:rPr>
          <w:rFonts w:ascii="Cambria" w:hAnsi="Cambria"/>
        </w:rPr>
        <w:t>The activities outlined above, are consistent with the BCYFM Strategic Plan, which is contributing to the achievement of the following LCA Strategic Priorities:</w:t>
      </w:r>
    </w:p>
    <w:p w14:paraId="6C3A106E" w14:textId="77777777" w:rsidR="00930400" w:rsidRPr="009A0DA6" w:rsidRDefault="00930400" w:rsidP="00930400">
      <w:pPr>
        <w:widowControl w:val="0"/>
        <w:suppressAutoHyphens/>
        <w:spacing w:before="120" w:after="120" w:line="240" w:lineRule="auto"/>
        <w:contextualSpacing/>
        <w:rPr>
          <w:rFonts w:ascii="Cambria" w:hAnsi="Cambria"/>
          <w:b/>
        </w:rPr>
      </w:pPr>
    </w:p>
    <w:p w14:paraId="0A954B31" w14:textId="77777777" w:rsidR="00930400" w:rsidRPr="009A0DA6" w:rsidRDefault="00930400" w:rsidP="00930400">
      <w:pPr>
        <w:widowControl w:val="0"/>
        <w:suppressAutoHyphens/>
        <w:spacing w:before="120" w:after="120" w:line="240" w:lineRule="auto"/>
        <w:contextualSpacing/>
        <w:rPr>
          <w:rFonts w:ascii="Cambria" w:hAnsi="Cambria"/>
          <w:b/>
        </w:rPr>
      </w:pPr>
      <w:r w:rsidRPr="009A0DA6">
        <w:rPr>
          <w:rFonts w:ascii="Cambria" w:hAnsi="Cambria"/>
          <w:b/>
        </w:rPr>
        <w:t>Grow Ministries Strategic Priority 1: GROW COACHING</w:t>
      </w:r>
    </w:p>
    <w:p w14:paraId="1C725AC3" w14:textId="77777777" w:rsidR="00930400" w:rsidRPr="009A0DA6" w:rsidRDefault="00930400" w:rsidP="00930400">
      <w:pPr>
        <w:widowControl w:val="0"/>
        <w:suppressAutoHyphens/>
        <w:spacing w:before="120" w:after="120" w:line="240" w:lineRule="auto"/>
        <w:contextualSpacing/>
        <w:rPr>
          <w:rFonts w:ascii="Cambria" w:hAnsi="Cambria"/>
        </w:rPr>
      </w:pPr>
      <w:r w:rsidRPr="009A0DA6">
        <w:rPr>
          <w:rFonts w:ascii="Cambria" w:hAnsi="Cambria"/>
        </w:rPr>
        <w:t xml:space="preserve">Grow Coaching consists of several cluster training events and intensive congregational follow-up. It is through these events that our coaching congregations learn about the Grow Ministries 10 Guiding Principles and how they relate to intergenerational ministry. Through Grow Coaching we aim to support and equip these communities to use new, innovative and collaborative mission-orientated approaches in their changed and changing mission fields— </w:t>
      </w:r>
    </w:p>
    <w:p w14:paraId="6A10BB03" w14:textId="77777777" w:rsidR="00930400" w:rsidRPr="009A0DA6" w:rsidRDefault="00930400" w:rsidP="00930400">
      <w:pPr>
        <w:widowControl w:val="0"/>
        <w:suppressAutoHyphens/>
        <w:spacing w:before="120" w:after="120" w:line="240" w:lineRule="auto"/>
        <w:contextualSpacing/>
        <w:rPr>
          <w:rFonts w:ascii="Cambria" w:hAnsi="Cambria"/>
        </w:rPr>
      </w:pPr>
      <w:r w:rsidRPr="009A0DA6">
        <w:rPr>
          <w:rFonts w:ascii="Cambria" w:hAnsi="Cambria"/>
          <w:b/>
        </w:rPr>
        <w:t xml:space="preserve">LCA Strategic Priority 2 - Goal 3. </w:t>
      </w:r>
      <w:r w:rsidRPr="009A0DA6">
        <w:rPr>
          <w:rFonts w:ascii="Cambria" w:hAnsi="Cambria"/>
        </w:rPr>
        <w:t>Grow Coaching also includes:</w:t>
      </w:r>
    </w:p>
    <w:p w14:paraId="1EE34991" w14:textId="77777777" w:rsidR="00930400" w:rsidRPr="009A0DA6" w:rsidRDefault="00930400" w:rsidP="00F55252">
      <w:pPr>
        <w:numPr>
          <w:ilvl w:val="1"/>
          <w:numId w:val="165"/>
        </w:numPr>
        <w:spacing w:before="120" w:after="120" w:line="240" w:lineRule="auto"/>
        <w:ind w:left="567" w:hanging="567"/>
        <w:contextualSpacing/>
        <w:rPr>
          <w:rFonts w:ascii="Cambria" w:hAnsi="Cambria"/>
        </w:rPr>
      </w:pPr>
      <w:r w:rsidRPr="009A0DA6">
        <w:rPr>
          <w:rFonts w:ascii="Cambria" w:hAnsi="Cambria"/>
        </w:rPr>
        <w:t xml:space="preserve">Encouraging congregations to worship in a way that recognises people (children, youth and adults) receive and respond to God’s grace in different ways. </w:t>
      </w:r>
      <w:r w:rsidRPr="009A0DA6">
        <w:rPr>
          <w:rFonts w:ascii="Cambria" w:hAnsi="Cambria"/>
          <w:b/>
        </w:rPr>
        <w:t>LCA Strategic Priority 1 - Goal 2</w:t>
      </w:r>
    </w:p>
    <w:p w14:paraId="108A1399" w14:textId="77777777" w:rsidR="00930400" w:rsidRPr="009A0DA6" w:rsidRDefault="00930400" w:rsidP="00F55252">
      <w:pPr>
        <w:numPr>
          <w:ilvl w:val="1"/>
          <w:numId w:val="165"/>
        </w:numPr>
        <w:spacing w:before="120" w:after="120" w:line="240" w:lineRule="auto"/>
        <w:ind w:left="567" w:hanging="567"/>
        <w:contextualSpacing/>
        <w:rPr>
          <w:rFonts w:ascii="Cambria" w:hAnsi="Cambria"/>
        </w:rPr>
      </w:pPr>
      <w:r w:rsidRPr="009A0DA6">
        <w:rPr>
          <w:rFonts w:ascii="Cambria" w:hAnsi="Cambria"/>
        </w:rPr>
        <w:t xml:space="preserve">Making readily available study-related resources ( including the Taking Faith Home, GIFT, Faith Trail, Talking Points and other recommended resources) to be used by individuals, families and communities to assist them in their ‘growing as God’s people’ and their implementation of effective intergenerational ministry. </w:t>
      </w:r>
      <w:r w:rsidRPr="009A0DA6">
        <w:rPr>
          <w:rFonts w:ascii="Cambria" w:hAnsi="Cambria"/>
          <w:b/>
        </w:rPr>
        <w:t>LCA Strategic Priority 1 - Goal 3</w:t>
      </w:r>
    </w:p>
    <w:p w14:paraId="1C1E98D8" w14:textId="77777777" w:rsidR="00930400" w:rsidRPr="009A0DA6" w:rsidRDefault="00930400" w:rsidP="00F55252">
      <w:pPr>
        <w:numPr>
          <w:ilvl w:val="1"/>
          <w:numId w:val="165"/>
        </w:numPr>
        <w:spacing w:before="120" w:after="120" w:line="240" w:lineRule="auto"/>
        <w:ind w:left="567" w:hanging="567"/>
        <w:contextualSpacing/>
        <w:rPr>
          <w:rFonts w:ascii="Cambria" w:hAnsi="Cambria"/>
        </w:rPr>
      </w:pPr>
      <w:r w:rsidRPr="009A0DA6">
        <w:rPr>
          <w:rFonts w:ascii="Cambria" w:hAnsi="Cambria"/>
        </w:rPr>
        <w:t xml:space="preserve">Develop a missional culture where individuals, families and communities are inspired, passionate and active in sharing the gospel in word and action. </w:t>
      </w:r>
      <w:r w:rsidRPr="009A0DA6">
        <w:rPr>
          <w:rFonts w:ascii="Cambria" w:hAnsi="Cambria"/>
          <w:b/>
        </w:rPr>
        <w:t>LCA Strategic Priority 2 – Goal 1</w:t>
      </w:r>
    </w:p>
    <w:p w14:paraId="5CDA5C27" w14:textId="77777777" w:rsidR="00930400" w:rsidRPr="009A0DA6" w:rsidRDefault="00930400" w:rsidP="00F55252">
      <w:pPr>
        <w:numPr>
          <w:ilvl w:val="1"/>
          <w:numId w:val="165"/>
        </w:numPr>
        <w:spacing w:before="120" w:after="120" w:line="240" w:lineRule="auto"/>
        <w:ind w:left="567" w:hanging="567"/>
        <w:contextualSpacing/>
        <w:rPr>
          <w:rFonts w:ascii="Cambria" w:hAnsi="Cambria"/>
        </w:rPr>
      </w:pPr>
      <w:r w:rsidRPr="009A0DA6">
        <w:rPr>
          <w:rFonts w:ascii="Cambria" w:hAnsi="Cambria"/>
        </w:rPr>
        <w:t xml:space="preserve">Encourage strong missional-orientated leaders by supporting pastors, lay workers and other leaders to be effective ministers of Christ in a changing world. </w:t>
      </w:r>
      <w:r w:rsidRPr="009A0DA6">
        <w:rPr>
          <w:rFonts w:ascii="Cambria" w:hAnsi="Cambria"/>
          <w:b/>
        </w:rPr>
        <w:t>LCA Strategic Priority 2 – Goal 2</w:t>
      </w:r>
    </w:p>
    <w:p w14:paraId="400E1B29" w14:textId="77777777" w:rsidR="00930400" w:rsidRPr="009A0DA6" w:rsidRDefault="00930400" w:rsidP="00930400">
      <w:pPr>
        <w:widowControl w:val="0"/>
        <w:suppressAutoHyphens/>
        <w:spacing w:before="120" w:after="120" w:line="240" w:lineRule="auto"/>
        <w:contextualSpacing/>
        <w:rPr>
          <w:rFonts w:ascii="Cambria" w:hAnsi="Cambria" w:cs="Arial"/>
          <w:b/>
        </w:rPr>
      </w:pPr>
    </w:p>
    <w:p w14:paraId="7834C94F" w14:textId="0FB31E0C" w:rsidR="00930400" w:rsidRPr="009A0DA6" w:rsidRDefault="00930400" w:rsidP="00930400">
      <w:pPr>
        <w:widowControl w:val="0"/>
        <w:suppressAutoHyphens/>
        <w:spacing w:before="120" w:after="120" w:line="240" w:lineRule="auto"/>
        <w:contextualSpacing/>
        <w:rPr>
          <w:rFonts w:ascii="Cambria" w:hAnsi="Cambria" w:cs="Arial"/>
          <w:b/>
        </w:rPr>
      </w:pPr>
      <w:r w:rsidRPr="009A0DA6">
        <w:rPr>
          <w:rFonts w:ascii="Cambria" w:hAnsi="Cambria" w:cs="Arial"/>
          <w:b/>
        </w:rPr>
        <w:t>Grow Ministries Strategic Priority: GROW RESOURCES</w:t>
      </w:r>
    </w:p>
    <w:p w14:paraId="1C1BDE9A" w14:textId="77777777" w:rsidR="00930400" w:rsidRPr="009A0DA6" w:rsidRDefault="00930400" w:rsidP="00F55252">
      <w:pPr>
        <w:numPr>
          <w:ilvl w:val="0"/>
          <w:numId w:val="162"/>
        </w:numPr>
        <w:spacing w:before="120" w:after="120" w:line="240" w:lineRule="auto"/>
        <w:ind w:left="567" w:hanging="567"/>
        <w:contextualSpacing/>
        <w:rPr>
          <w:rFonts w:ascii="Cambria" w:hAnsi="Cambria"/>
          <w:b/>
        </w:rPr>
      </w:pPr>
      <w:r w:rsidRPr="009A0DA6">
        <w:rPr>
          <w:rFonts w:ascii="Cambria" w:hAnsi="Cambria"/>
        </w:rPr>
        <w:t>Grow Ministries continues to develop new and update current resources that help to:</w:t>
      </w:r>
    </w:p>
    <w:p w14:paraId="74377A02" w14:textId="77777777" w:rsidR="00930400" w:rsidRPr="009A0DA6" w:rsidRDefault="00930400" w:rsidP="00F55252">
      <w:pPr>
        <w:numPr>
          <w:ilvl w:val="1"/>
          <w:numId w:val="166"/>
        </w:numPr>
        <w:spacing w:before="120" w:after="120" w:line="240" w:lineRule="auto"/>
        <w:ind w:left="709" w:hanging="142"/>
        <w:contextualSpacing/>
        <w:rPr>
          <w:rFonts w:ascii="Cambria" w:hAnsi="Cambria"/>
        </w:rPr>
      </w:pPr>
      <w:r w:rsidRPr="009A0DA6">
        <w:rPr>
          <w:rFonts w:ascii="Cambria" w:hAnsi="Cambria"/>
        </w:rPr>
        <w:t xml:space="preserve">Develop a passionate faith in individuals, families and communities shaped by a growing understanding of God’s word, nurtured and sustained in prayer and worship. </w:t>
      </w:r>
      <w:r w:rsidRPr="009A0DA6">
        <w:rPr>
          <w:rFonts w:ascii="Cambria" w:hAnsi="Cambria"/>
          <w:b/>
        </w:rPr>
        <w:t>LCA Strategic Priority 1 - Goal 1</w:t>
      </w:r>
      <w:r w:rsidRPr="009A0DA6">
        <w:rPr>
          <w:rFonts w:ascii="Cambria" w:hAnsi="Cambria"/>
        </w:rPr>
        <w:t>.</w:t>
      </w:r>
      <w:r w:rsidRPr="009A0DA6">
        <w:rPr>
          <w:rFonts w:ascii="Cambria" w:hAnsi="Cambria"/>
          <w:b/>
        </w:rPr>
        <w:t xml:space="preserve"> </w:t>
      </w:r>
      <w:r w:rsidRPr="009A0DA6">
        <w:rPr>
          <w:rFonts w:ascii="Cambria" w:hAnsi="Cambria"/>
        </w:rPr>
        <w:t>These include: Growing Faith Home (including new mobile ap), Growing Faith Moments, GIFT (Generations in Faith Together), Faith Trail, Mentoring Resource, Talking Points, First Communion and Confirmation Resources.</w:t>
      </w:r>
    </w:p>
    <w:p w14:paraId="0F50842F" w14:textId="77777777" w:rsidR="00930400" w:rsidRPr="009A0DA6" w:rsidRDefault="00930400" w:rsidP="00F55252">
      <w:pPr>
        <w:numPr>
          <w:ilvl w:val="1"/>
          <w:numId w:val="166"/>
        </w:numPr>
        <w:spacing w:before="120" w:after="120" w:line="240" w:lineRule="auto"/>
        <w:ind w:left="709" w:hanging="142"/>
        <w:contextualSpacing/>
        <w:rPr>
          <w:rFonts w:ascii="Cambria" w:hAnsi="Cambria"/>
        </w:rPr>
      </w:pPr>
      <w:r w:rsidRPr="009A0DA6">
        <w:rPr>
          <w:rFonts w:ascii="Cambria" w:hAnsi="Cambria"/>
        </w:rPr>
        <w:t xml:space="preserve">Encourage worship that recognises people (including children and young people) receive and respond to God’s grace in different ways and that encourages intergenerational worship. </w:t>
      </w:r>
      <w:r w:rsidRPr="009A0DA6">
        <w:rPr>
          <w:rFonts w:ascii="Cambria" w:hAnsi="Cambria"/>
          <w:b/>
        </w:rPr>
        <w:t>LCA Strategic Priority 1 - Goal 2</w:t>
      </w:r>
      <w:r w:rsidRPr="009A0DA6">
        <w:rPr>
          <w:rFonts w:ascii="Cambria" w:hAnsi="Cambria"/>
        </w:rPr>
        <w:t xml:space="preserve">. Particularly through </w:t>
      </w:r>
      <w:r w:rsidRPr="009A0DA6">
        <w:rPr>
          <w:rFonts w:ascii="Cambria" w:hAnsi="Cambria"/>
        </w:rPr>
        <w:lastRenderedPageBreak/>
        <w:t>our GIFT (Generations in Faith Together) and Growing Faith Home and our new Children’s address resources.</w:t>
      </w:r>
    </w:p>
    <w:p w14:paraId="1EEBB074" w14:textId="77777777" w:rsidR="00930400" w:rsidRPr="009A0DA6" w:rsidRDefault="00930400" w:rsidP="00F55252">
      <w:pPr>
        <w:numPr>
          <w:ilvl w:val="1"/>
          <w:numId w:val="166"/>
        </w:numPr>
        <w:spacing w:before="120" w:after="120" w:line="240" w:lineRule="auto"/>
        <w:ind w:left="709" w:hanging="142"/>
        <w:contextualSpacing/>
        <w:rPr>
          <w:rFonts w:ascii="Cambria" w:hAnsi="Cambria"/>
          <w:b/>
        </w:rPr>
      </w:pPr>
      <w:r w:rsidRPr="009A0DA6">
        <w:rPr>
          <w:rFonts w:ascii="Cambria" w:hAnsi="Cambria"/>
        </w:rPr>
        <w:t xml:space="preserve">Develop proactive strategies to seek and open new mission fields to which God is leading us. </w:t>
      </w:r>
      <w:r w:rsidRPr="009A0DA6">
        <w:rPr>
          <w:rFonts w:ascii="Cambria" w:hAnsi="Cambria"/>
          <w:b/>
        </w:rPr>
        <w:t xml:space="preserve">LCA Strategic Priority 2 – Goal 4. </w:t>
      </w:r>
      <w:r w:rsidRPr="009A0DA6">
        <w:rPr>
          <w:rFonts w:ascii="Cambria" w:hAnsi="Cambria"/>
        </w:rPr>
        <w:t>We are seeking to develop and resource initiatives that engage youth and young adults, including; National Youth Forum, Talking Points resource, Mentoring resource, leading workshops district CYFM training events that encourage re-thinking of how we do ministry with young people and their families.</w:t>
      </w:r>
    </w:p>
    <w:p w14:paraId="52DD2084" w14:textId="77777777" w:rsidR="00930400" w:rsidRPr="009A0DA6" w:rsidRDefault="00930400" w:rsidP="00F55252">
      <w:pPr>
        <w:numPr>
          <w:ilvl w:val="1"/>
          <w:numId w:val="166"/>
        </w:numPr>
        <w:spacing w:before="120" w:after="120" w:line="240" w:lineRule="auto"/>
        <w:ind w:left="709" w:hanging="142"/>
        <w:contextualSpacing/>
        <w:rPr>
          <w:rFonts w:ascii="Cambria" w:hAnsi="Cambria"/>
          <w:b/>
        </w:rPr>
      </w:pPr>
      <w:r w:rsidRPr="009A0DA6">
        <w:rPr>
          <w:rFonts w:ascii="Cambria" w:hAnsi="Cambria"/>
        </w:rPr>
        <w:t xml:space="preserve">Support existing communities to be active in mission. </w:t>
      </w:r>
      <w:r w:rsidRPr="009A0DA6">
        <w:rPr>
          <w:rFonts w:ascii="Cambria" w:hAnsi="Cambria"/>
          <w:b/>
        </w:rPr>
        <w:t xml:space="preserve">LCA Strategic Priority 2- Goal 6. </w:t>
      </w:r>
      <w:r w:rsidRPr="009A0DA6">
        <w:rPr>
          <w:rFonts w:ascii="Cambria" w:hAnsi="Cambria"/>
        </w:rPr>
        <w:t xml:space="preserve">We continue to be proactive in the digital space to support communities to reach out through online resources. </w:t>
      </w:r>
    </w:p>
    <w:p w14:paraId="083541A5" w14:textId="77777777" w:rsidR="00930400" w:rsidRPr="002E592D" w:rsidRDefault="00930400" w:rsidP="00930400">
      <w:pPr>
        <w:widowControl w:val="0"/>
        <w:suppressAutoHyphens/>
        <w:spacing w:before="120" w:after="120" w:line="240" w:lineRule="auto"/>
        <w:contextualSpacing/>
        <w:rPr>
          <w:rFonts w:ascii="Cambria" w:hAnsi="Cambria" w:cs="Arial"/>
          <w:b/>
          <w:sz w:val="12"/>
        </w:rPr>
      </w:pPr>
    </w:p>
    <w:p w14:paraId="7E241AAC" w14:textId="77777777" w:rsidR="00930400" w:rsidRPr="009A0DA6" w:rsidRDefault="00930400" w:rsidP="00930400">
      <w:pPr>
        <w:widowControl w:val="0"/>
        <w:suppressAutoHyphens/>
        <w:spacing w:before="120" w:after="120" w:line="240" w:lineRule="auto"/>
        <w:contextualSpacing/>
        <w:rPr>
          <w:rFonts w:ascii="Cambria" w:hAnsi="Cambria" w:cs="Arial"/>
          <w:b/>
        </w:rPr>
      </w:pPr>
      <w:r w:rsidRPr="009A0DA6">
        <w:rPr>
          <w:rFonts w:ascii="Cambria" w:hAnsi="Cambria" w:cs="Arial"/>
          <w:b/>
        </w:rPr>
        <w:t>Grow Ministries Strategic Priority 3: GROW LEADERSHIP</w:t>
      </w:r>
    </w:p>
    <w:p w14:paraId="4A20407B" w14:textId="77777777" w:rsidR="00930400" w:rsidRPr="009A0DA6" w:rsidRDefault="00930400" w:rsidP="00F55252">
      <w:pPr>
        <w:numPr>
          <w:ilvl w:val="0"/>
          <w:numId w:val="162"/>
        </w:numPr>
        <w:spacing w:before="120" w:after="120" w:line="240" w:lineRule="auto"/>
        <w:ind w:left="567" w:hanging="567"/>
        <w:contextualSpacing/>
        <w:rPr>
          <w:rFonts w:ascii="Cambria" w:hAnsi="Cambria" w:cs="Arial"/>
        </w:rPr>
      </w:pPr>
      <w:r w:rsidRPr="009A0DA6">
        <w:rPr>
          <w:rFonts w:ascii="Cambria" w:hAnsi="Cambria" w:cs="Arial"/>
        </w:rPr>
        <w:t xml:space="preserve">Grow Leadership is a new initiative that will provide opportunities for leadership development and mentoring for the youth and young adults of the LCA and our LCA International Mission partner churches  Activities of Grow Leadership will include; Cultivate Leadership Program and National Youth Forum. </w:t>
      </w:r>
    </w:p>
    <w:p w14:paraId="52567C3C" w14:textId="77777777" w:rsidR="00930400" w:rsidRPr="009A0DA6" w:rsidRDefault="00930400" w:rsidP="00F55252">
      <w:pPr>
        <w:numPr>
          <w:ilvl w:val="1"/>
          <w:numId w:val="167"/>
        </w:numPr>
        <w:spacing w:before="120" w:after="120" w:line="240" w:lineRule="auto"/>
        <w:ind w:left="709" w:hanging="142"/>
        <w:contextualSpacing/>
        <w:rPr>
          <w:rFonts w:ascii="Cambria" w:hAnsi="Cambria"/>
        </w:rPr>
      </w:pPr>
      <w:r w:rsidRPr="009A0DA6">
        <w:rPr>
          <w:rFonts w:ascii="Cambria" w:hAnsi="Cambria"/>
        </w:rPr>
        <w:t xml:space="preserve">We will be seeking the support of lay leaders, pastors and lay workers to act as mentors for the participants of Cultivate Leadership Program and believe this will be beneficial for the young person as well as those that provide mentoring. </w:t>
      </w:r>
      <w:r w:rsidRPr="009A0DA6">
        <w:rPr>
          <w:rFonts w:ascii="Cambria" w:hAnsi="Cambria"/>
          <w:b/>
        </w:rPr>
        <w:t>LCA Strategic Priority 1 - Goal 1.</w:t>
      </w:r>
    </w:p>
    <w:p w14:paraId="5AE8E38F" w14:textId="77777777" w:rsidR="00930400" w:rsidRPr="009A0DA6" w:rsidRDefault="00930400" w:rsidP="00F55252">
      <w:pPr>
        <w:numPr>
          <w:ilvl w:val="1"/>
          <w:numId w:val="167"/>
        </w:numPr>
        <w:spacing w:before="120" w:after="120" w:line="240" w:lineRule="auto"/>
        <w:ind w:left="709" w:hanging="142"/>
        <w:contextualSpacing/>
        <w:rPr>
          <w:rFonts w:ascii="Cambria" w:hAnsi="Cambria"/>
          <w:b/>
        </w:rPr>
      </w:pPr>
      <w:r w:rsidRPr="009A0DA6">
        <w:rPr>
          <w:rFonts w:ascii="Cambria" w:hAnsi="Cambria"/>
        </w:rPr>
        <w:t xml:space="preserve">The Cultivate Leadership Program will be a part-time commitment for a period of 11 months. It will consist of two 3-4 day face-to-face intensives, regular one-on-one mentoring, participation in a stretching experience and a minimum of 18 hours of local congregational leadership. Preference will be given to participants aged between 18 and 25, but consideration will be given to participants of all ages. We believe Grow Leadership will help to identify and fast-track the development of potential leaders for the LCA and support emerging leaders in their ongoing leadership development. </w:t>
      </w:r>
      <w:r w:rsidRPr="009A0DA6">
        <w:rPr>
          <w:rFonts w:ascii="Cambria" w:hAnsi="Cambria"/>
          <w:b/>
        </w:rPr>
        <w:t>LCA Strategic Priority 3- (A) Governance and Leadership</w:t>
      </w:r>
    </w:p>
    <w:p w14:paraId="336ED604" w14:textId="77777777" w:rsidR="00930400" w:rsidRPr="009A0DA6" w:rsidRDefault="00930400" w:rsidP="00930400">
      <w:pPr>
        <w:pStyle w:val="NoSpacing"/>
        <w:rPr>
          <w:b/>
        </w:rPr>
      </w:pPr>
      <w:r w:rsidRPr="009A0DA6">
        <w:rPr>
          <w:b/>
        </w:rPr>
        <w:t>Grow Ministries Strategic Priority 4: GROW TRAINING &amp; COMMUNICATIONS</w:t>
      </w:r>
    </w:p>
    <w:p w14:paraId="3E1534F7" w14:textId="77777777" w:rsidR="00930400" w:rsidRPr="009A0DA6" w:rsidRDefault="00930400" w:rsidP="00F55252">
      <w:pPr>
        <w:pStyle w:val="ListParagraph"/>
        <w:numPr>
          <w:ilvl w:val="0"/>
          <w:numId w:val="162"/>
        </w:numPr>
        <w:spacing w:after="120" w:line="240" w:lineRule="auto"/>
        <w:ind w:left="567" w:hanging="567"/>
        <w:rPr>
          <w:rFonts w:ascii="Cambria" w:hAnsi="Cambria"/>
        </w:rPr>
      </w:pPr>
      <w:r w:rsidRPr="009A0DA6">
        <w:rPr>
          <w:rFonts w:ascii="Cambria" w:hAnsi="Cambria"/>
        </w:rPr>
        <w:t xml:space="preserve">Through our regular Re-thinking Child, Youth and Family Ministry Training and Do What Matters Workshop, as well as our regular communication through On Your Hearts and our Facebook page we are developing a passionate faith in individuals, families and communities shaped by a growing understanding of God’s word, nurtured and sustained in prayer and worship. </w:t>
      </w:r>
      <w:r w:rsidRPr="009A0DA6">
        <w:rPr>
          <w:rFonts w:ascii="Cambria" w:hAnsi="Cambria"/>
          <w:b/>
        </w:rPr>
        <w:t xml:space="preserve">LCA Strategic Priority 1 - Goal 1. </w:t>
      </w:r>
      <w:r w:rsidRPr="009A0DA6">
        <w:rPr>
          <w:rFonts w:ascii="Cambria" w:hAnsi="Cambria"/>
        </w:rPr>
        <w:t xml:space="preserve">Through this training and communication, we are also developing a strong culture of service in individuals, families and communities, both locally and overseas, as a natural outworking of an active faith. </w:t>
      </w:r>
      <w:r w:rsidRPr="009A0DA6">
        <w:rPr>
          <w:rFonts w:ascii="Cambria" w:hAnsi="Cambria"/>
          <w:b/>
        </w:rPr>
        <w:t xml:space="preserve">LCA Strategic Priority 1 – Goal 3. </w:t>
      </w:r>
      <w:r w:rsidRPr="009A0DA6">
        <w:rPr>
          <w:rFonts w:ascii="Cambria" w:hAnsi="Cambria"/>
        </w:rPr>
        <w:t xml:space="preserve">And supporting and equipping communities to use new, innovative and collaborative mission-oriented approaches in changed and changing mission fields. </w:t>
      </w:r>
      <w:r w:rsidRPr="009A0DA6">
        <w:rPr>
          <w:rFonts w:ascii="Cambria" w:hAnsi="Cambria"/>
          <w:b/>
        </w:rPr>
        <w:t>LCA Strategic Priority 2—Goal 3.</w:t>
      </w:r>
    </w:p>
    <w:p w14:paraId="4E9DB595" w14:textId="77777777" w:rsidR="00930400" w:rsidRPr="009A0DA6" w:rsidRDefault="00930400" w:rsidP="00F55252">
      <w:pPr>
        <w:pStyle w:val="ListParagraph"/>
        <w:numPr>
          <w:ilvl w:val="0"/>
          <w:numId w:val="162"/>
        </w:numPr>
        <w:spacing w:before="120" w:after="120" w:line="240" w:lineRule="auto"/>
        <w:ind w:left="709" w:hanging="142"/>
        <w:rPr>
          <w:rFonts w:ascii="Cambria" w:hAnsi="Cambria"/>
          <w:b/>
        </w:rPr>
      </w:pPr>
      <w:r w:rsidRPr="009A0DA6">
        <w:rPr>
          <w:rFonts w:ascii="Cambria" w:hAnsi="Cambria"/>
        </w:rPr>
        <w:t xml:space="preserve">Intergenerational Ministry—experiencing communion with God and spiritually growing together in love and service—is key to our whole ministry as outlined in our 10 Guiding Principles. These guiding principles help to develop a missional culture where individuals, families and communities are inspired, passionate and active in sharing the gospel in word and action. </w:t>
      </w:r>
      <w:r w:rsidRPr="009A0DA6">
        <w:rPr>
          <w:rFonts w:ascii="Cambria" w:hAnsi="Cambria"/>
          <w:b/>
        </w:rPr>
        <w:t xml:space="preserve">LCA Strategic Priority 2 – Goal 1. </w:t>
      </w:r>
    </w:p>
    <w:p w14:paraId="134BE468" w14:textId="77777777" w:rsidR="00930400" w:rsidRPr="009A0DA6" w:rsidRDefault="00930400" w:rsidP="00930400">
      <w:pPr>
        <w:spacing w:before="120" w:after="120" w:line="240" w:lineRule="auto"/>
        <w:contextualSpacing/>
        <w:rPr>
          <w:rFonts w:ascii="Cambria" w:hAnsi="Cambria"/>
          <w:b/>
        </w:rPr>
      </w:pPr>
    </w:p>
    <w:p w14:paraId="1432D936" w14:textId="77777777" w:rsidR="00786120" w:rsidRDefault="00786120">
      <w:pPr>
        <w:rPr>
          <w:rFonts w:ascii="Cambria" w:eastAsiaTheme="majorEastAsia" w:hAnsi="Cambria" w:cstheme="majorBidi"/>
          <w:b/>
          <w:caps/>
          <w:sz w:val="28"/>
          <w:szCs w:val="24"/>
        </w:rPr>
      </w:pPr>
      <w:r>
        <w:br w:type="page"/>
      </w:r>
    </w:p>
    <w:p w14:paraId="61862400" w14:textId="35763DEF" w:rsidR="00930400" w:rsidRPr="009A0DA6" w:rsidRDefault="00930400" w:rsidP="00930400">
      <w:pPr>
        <w:pStyle w:val="Heading3"/>
      </w:pPr>
      <w:r w:rsidRPr="009A0DA6">
        <w:lastRenderedPageBreak/>
        <w:t>Cooperating LCA Boards and Agencies</w:t>
      </w:r>
    </w:p>
    <w:tbl>
      <w:tblPr>
        <w:tblStyle w:val="PlainTable2"/>
        <w:tblW w:w="8647" w:type="dxa"/>
        <w:tblLook w:val="04A0" w:firstRow="1" w:lastRow="0" w:firstColumn="1" w:lastColumn="0" w:noHBand="0" w:noVBand="1"/>
      </w:tblPr>
      <w:tblGrid>
        <w:gridCol w:w="2268"/>
        <w:gridCol w:w="6379"/>
      </w:tblGrid>
      <w:tr w:rsidR="00930400" w:rsidRPr="009A0DA6" w14:paraId="026656AA" w14:textId="77777777" w:rsidTr="00AD09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21FF302" w14:textId="77777777" w:rsidR="00930400" w:rsidRPr="009A0DA6" w:rsidRDefault="00930400" w:rsidP="00AD09CB">
            <w:pPr>
              <w:spacing w:before="120" w:after="120"/>
              <w:contextualSpacing/>
              <w:rPr>
                <w:rFonts w:ascii="Cambria" w:hAnsi="Cambria" w:cs="Arial"/>
                <w:lang w:val="en-US"/>
              </w:rPr>
            </w:pPr>
            <w:r w:rsidRPr="009A0DA6">
              <w:rPr>
                <w:rFonts w:ascii="Cambria" w:hAnsi="Cambria" w:cs="Arial"/>
              </w:rPr>
              <w:t>Board for Local Mission (BLMiss)</w:t>
            </w:r>
          </w:p>
        </w:tc>
        <w:tc>
          <w:tcPr>
            <w:tcW w:w="6379" w:type="dxa"/>
          </w:tcPr>
          <w:p w14:paraId="4EBA79DA" w14:textId="77777777" w:rsidR="00930400" w:rsidRPr="009A0DA6" w:rsidRDefault="00930400" w:rsidP="00F55252">
            <w:pPr>
              <w:pStyle w:val="ListParagraph"/>
              <w:numPr>
                <w:ilvl w:val="0"/>
                <w:numId w:val="164"/>
              </w:numPr>
              <w:spacing w:before="120" w:after="120" w:line="240" w:lineRule="auto"/>
              <w:ind w:left="176" w:hanging="176"/>
              <w:cnfStyle w:val="100000000000" w:firstRow="1" w:lastRow="0" w:firstColumn="0" w:lastColumn="0" w:oddVBand="0" w:evenVBand="0" w:oddHBand="0" w:evenHBand="0" w:firstRowFirstColumn="0" w:firstRowLastColumn="0" w:lastRowFirstColumn="0" w:lastRowLastColumn="0"/>
              <w:rPr>
                <w:rFonts w:ascii="Cambria" w:hAnsi="Cambria" w:cs="Arial"/>
                <w:b w:val="0"/>
              </w:rPr>
            </w:pPr>
            <w:r w:rsidRPr="009A0DA6">
              <w:rPr>
                <w:rFonts w:ascii="Cambria" w:hAnsi="Cambria" w:cs="Arial"/>
                <w:b w:val="0"/>
              </w:rPr>
              <w:t>BCYFM continues to engage with BfLM in relation to their RENEW focus to discuss how we can support this program with Grow Resources.</w:t>
            </w:r>
          </w:p>
          <w:p w14:paraId="62E19036" w14:textId="77777777" w:rsidR="00930400" w:rsidRPr="009A0DA6" w:rsidRDefault="00930400" w:rsidP="00F55252">
            <w:pPr>
              <w:pStyle w:val="ListParagraph"/>
              <w:numPr>
                <w:ilvl w:val="0"/>
                <w:numId w:val="163"/>
              </w:numPr>
              <w:spacing w:before="120" w:after="120" w:line="240" w:lineRule="auto"/>
              <w:ind w:left="176" w:hanging="176"/>
              <w:cnfStyle w:val="100000000000" w:firstRow="1"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b w:val="0"/>
              </w:rPr>
              <w:t>BCYFM continues to engage with BfLM in relation to their NEW focus to discuss how we can share some of their resources with the congregations involved in Grow Coaching.</w:t>
            </w:r>
          </w:p>
        </w:tc>
      </w:tr>
      <w:tr w:rsidR="00930400" w:rsidRPr="009A0DA6" w14:paraId="281B6D47" w14:textId="77777777" w:rsidTr="00AD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B177294" w14:textId="77777777" w:rsidR="00930400" w:rsidRPr="009A0DA6" w:rsidRDefault="00930400" w:rsidP="00AD09CB">
            <w:pPr>
              <w:spacing w:before="120" w:after="120"/>
              <w:contextualSpacing/>
              <w:rPr>
                <w:rFonts w:ascii="Cambria" w:hAnsi="Cambria" w:cs="Arial"/>
              </w:rPr>
            </w:pPr>
            <w:r w:rsidRPr="009A0DA6">
              <w:rPr>
                <w:rFonts w:ascii="Cambria" w:hAnsi="Cambria" w:cs="Arial"/>
              </w:rPr>
              <w:t>District Child, Youth and Family Ministry and Mission and Ministry Departments</w:t>
            </w:r>
          </w:p>
        </w:tc>
        <w:tc>
          <w:tcPr>
            <w:tcW w:w="6379" w:type="dxa"/>
          </w:tcPr>
          <w:p w14:paraId="3D9361CC" w14:textId="77777777" w:rsidR="00930400" w:rsidRPr="009A0DA6" w:rsidRDefault="00930400" w:rsidP="00F55252">
            <w:pPr>
              <w:pStyle w:val="ListParagraph"/>
              <w:numPr>
                <w:ilvl w:val="0"/>
                <w:numId w:val="164"/>
              </w:numPr>
              <w:spacing w:before="120" w:after="120" w:line="240" w:lineRule="auto"/>
              <w:ind w:left="176" w:hanging="176"/>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BCYFM facilitates an annual Reference Group meeting with District CYFM Directors (or equivalents) for mutual encouragement and support.</w:t>
            </w:r>
          </w:p>
          <w:p w14:paraId="5A1BAB45" w14:textId="77777777" w:rsidR="00930400" w:rsidRPr="009A0DA6" w:rsidRDefault="00930400" w:rsidP="00F55252">
            <w:pPr>
              <w:pStyle w:val="ListParagraph"/>
              <w:numPr>
                <w:ilvl w:val="0"/>
                <w:numId w:val="164"/>
              </w:numPr>
              <w:spacing w:before="120" w:after="120" w:line="240" w:lineRule="auto"/>
              <w:ind w:left="176" w:hanging="176"/>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Grow Ministries regularly participates in District CYFM Training Events by leading workshops.</w:t>
            </w:r>
          </w:p>
          <w:p w14:paraId="72865FF0" w14:textId="77777777" w:rsidR="00930400" w:rsidRPr="009A0DA6" w:rsidRDefault="00930400" w:rsidP="00F55252">
            <w:pPr>
              <w:pStyle w:val="ListParagraph"/>
              <w:numPr>
                <w:ilvl w:val="0"/>
                <w:numId w:val="163"/>
              </w:numPr>
              <w:spacing w:before="120" w:after="120" w:line="240" w:lineRule="auto"/>
              <w:ind w:left="176" w:hanging="176"/>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Grow Ministries regularly participates in presentations and interactive displays at District Conventions.</w:t>
            </w:r>
          </w:p>
        </w:tc>
      </w:tr>
      <w:tr w:rsidR="00930400" w:rsidRPr="009A0DA6" w14:paraId="6595EC11" w14:textId="77777777" w:rsidTr="00AD09CB">
        <w:tc>
          <w:tcPr>
            <w:cnfStyle w:val="001000000000" w:firstRow="0" w:lastRow="0" w:firstColumn="1" w:lastColumn="0" w:oddVBand="0" w:evenVBand="0" w:oddHBand="0" w:evenHBand="0" w:firstRowFirstColumn="0" w:firstRowLastColumn="0" w:lastRowFirstColumn="0" w:lastRowLastColumn="0"/>
            <w:tcW w:w="2268" w:type="dxa"/>
          </w:tcPr>
          <w:p w14:paraId="3F3C16A2" w14:textId="77777777" w:rsidR="00930400" w:rsidRPr="009A0DA6" w:rsidRDefault="00930400" w:rsidP="00AD09CB">
            <w:pPr>
              <w:spacing w:before="120" w:after="120"/>
              <w:contextualSpacing/>
              <w:rPr>
                <w:rFonts w:ascii="Cambria" w:hAnsi="Cambria" w:cs="Arial"/>
              </w:rPr>
            </w:pPr>
            <w:r w:rsidRPr="009A0DA6">
              <w:rPr>
                <w:rFonts w:ascii="Cambria" w:hAnsi="Cambria" w:cs="Arial"/>
              </w:rPr>
              <w:t>Committee for International Mission</w:t>
            </w:r>
          </w:p>
        </w:tc>
        <w:tc>
          <w:tcPr>
            <w:tcW w:w="6379" w:type="dxa"/>
          </w:tcPr>
          <w:p w14:paraId="7F3D1685" w14:textId="77777777" w:rsidR="00930400" w:rsidRPr="009A0DA6" w:rsidRDefault="00930400" w:rsidP="00F55252">
            <w:pPr>
              <w:pStyle w:val="ListParagraph"/>
              <w:numPr>
                <w:ilvl w:val="0"/>
                <w:numId w:val="164"/>
              </w:numPr>
              <w:spacing w:before="120" w:after="120" w:line="240" w:lineRule="auto"/>
              <w:ind w:left="176" w:hanging="176"/>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BCYFM has worked closely in 2016 to develop a partnership with International Mission for the Grow Leadership Stretch and Grow experience—trip to Cambodia in 2017.</w:t>
            </w:r>
          </w:p>
        </w:tc>
      </w:tr>
      <w:tr w:rsidR="00930400" w:rsidRPr="009A0DA6" w14:paraId="088B2E46" w14:textId="77777777" w:rsidTr="00AD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38E3CD7" w14:textId="77777777" w:rsidR="00930400" w:rsidRPr="009A0DA6" w:rsidRDefault="00930400" w:rsidP="00AD09CB">
            <w:pPr>
              <w:spacing w:before="120" w:after="120"/>
              <w:contextualSpacing/>
              <w:rPr>
                <w:rFonts w:ascii="Cambria" w:hAnsi="Cambria" w:cs="Arial"/>
              </w:rPr>
            </w:pPr>
            <w:r w:rsidRPr="009A0DA6">
              <w:rPr>
                <w:rFonts w:ascii="Cambria" w:hAnsi="Cambria" w:cs="Arial"/>
              </w:rPr>
              <w:t>Australian Lutheran College (ALC) Grassroots</w:t>
            </w:r>
          </w:p>
        </w:tc>
        <w:tc>
          <w:tcPr>
            <w:tcW w:w="6379" w:type="dxa"/>
          </w:tcPr>
          <w:p w14:paraId="42C0D6D4" w14:textId="77777777" w:rsidR="00930400" w:rsidRPr="009A0DA6" w:rsidRDefault="00930400" w:rsidP="00F55252">
            <w:pPr>
              <w:pStyle w:val="ListParagraph"/>
              <w:numPr>
                <w:ilvl w:val="0"/>
                <w:numId w:val="163"/>
              </w:numPr>
              <w:spacing w:before="120" w:after="120" w:line="240" w:lineRule="auto"/>
              <w:ind w:left="176" w:hanging="176"/>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BCYFM has supported ALC Grassroots in updating and facilitating its Home and Church in Partnership Unit as part of the Certificate IV in Christian Ministry and Theology.</w:t>
            </w:r>
          </w:p>
          <w:p w14:paraId="7AFE4ADE" w14:textId="77777777" w:rsidR="00930400" w:rsidRPr="009A0DA6" w:rsidRDefault="00930400" w:rsidP="00F55252">
            <w:pPr>
              <w:pStyle w:val="ListParagraph"/>
              <w:numPr>
                <w:ilvl w:val="0"/>
                <w:numId w:val="164"/>
              </w:numPr>
              <w:spacing w:before="120" w:after="120" w:line="240" w:lineRule="auto"/>
              <w:ind w:left="176" w:hanging="176"/>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ALC Grassroots has assisted BCYFM in the development of the Grow Leadership Scope Document and has been involved in leading some of the Grow Leadership workshops.</w:t>
            </w:r>
          </w:p>
        </w:tc>
      </w:tr>
      <w:tr w:rsidR="00930400" w:rsidRPr="009A0DA6" w14:paraId="17FD25B7" w14:textId="77777777" w:rsidTr="00AD09CB">
        <w:tc>
          <w:tcPr>
            <w:cnfStyle w:val="001000000000" w:firstRow="0" w:lastRow="0" w:firstColumn="1" w:lastColumn="0" w:oddVBand="0" w:evenVBand="0" w:oddHBand="0" w:evenHBand="0" w:firstRowFirstColumn="0" w:firstRowLastColumn="0" w:lastRowFirstColumn="0" w:lastRowLastColumn="0"/>
            <w:tcW w:w="2268" w:type="dxa"/>
          </w:tcPr>
          <w:p w14:paraId="5E7ADE36" w14:textId="77777777" w:rsidR="00930400" w:rsidRPr="009A0DA6" w:rsidRDefault="00930400" w:rsidP="00AD09CB">
            <w:pPr>
              <w:spacing w:before="120" w:after="120"/>
              <w:contextualSpacing/>
              <w:rPr>
                <w:rFonts w:ascii="Cambria" w:hAnsi="Cambria" w:cs="Arial"/>
              </w:rPr>
            </w:pPr>
            <w:r w:rsidRPr="009A0DA6">
              <w:rPr>
                <w:rFonts w:ascii="Cambria" w:hAnsi="Cambria" w:cs="Arial"/>
              </w:rPr>
              <w:t>Board for Lutheran Education Australia (BLEA)</w:t>
            </w:r>
          </w:p>
        </w:tc>
        <w:tc>
          <w:tcPr>
            <w:tcW w:w="6379" w:type="dxa"/>
          </w:tcPr>
          <w:p w14:paraId="2AABB2F5" w14:textId="77777777" w:rsidR="00930400" w:rsidRPr="009A0DA6" w:rsidRDefault="00930400" w:rsidP="00F55252">
            <w:pPr>
              <w:pStyle w:val="ListParagraph"/>
              <w:numPr>
                <w:ilvl w:val="0"/>
                <w:numId w:val="164"/>
              </w:numPr>
              <w:spacing w:before="120" w:after="120" w:line="240" w:lineRule="auto"/>
              <w:ind w:left="176" w:hanging="176"/>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 xml:space="preserve">Grow Ministries  has actively engaged with LEA to assist with the distribution of the </w:t>
            </w:r>
            <w:r w:rsidRPr="009A0DA6">
              <w:rPr>
                <w:rFonts w:ascii="Cambria" w:hAnsi="Cambria" w:cs="Arial"/>
                <w:i/>
              </w:rPr>
              <w:t>Grow Together</w:t>
            </w:r>
            <w:r w:rsidRPr="009A0DA6">
              <w:rPr>
                <w:rFonts w:ascii="Cambria" w:hAnsi="Cambria" w:cs="Arial"/>
              </w:rPr>
              <w:t xml:space="preserve"> family newsletter in Lutheran schools and to continually consult regarding suitable classroom devotion resources and youth ministry resources.</w:t>
            </w:r>
          </w:p>
        </w:tc>
      </w:tr>
      <w:tr w:rsidR="00930400" w:rsidRPr="009A0DA6" w14:paraId="529102FC" w14:textId="77777777" w:rsidTr="00AD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59CA69C" w14:textId="77777777" w:rsidR="00930400" w:rsidRPr="009A0DA6" w:rsidRDefault="00930400" w:rsidP="00AD09CB">
            <w:pPr>
              <w:spacing w:before="120" w:after="120"/>
              <w:contextualSpacing/>
              <w:rPr>
                <w:rFonts w:ascii="Cambria" w:hAnsi="Cambria" w:cs="Arial"/>
              </w:rPr>
            </w:pPr>
            <w:r w:rsidRPr="009A0DA6">
              <w:rPr>
                <w:rFonts w:ascii="Cambria" w:hAnsi="Cambria" w:cs="Arial"/>
              </w:rPr>
              <w:t>Board for Lutheran Media Ministry (BLMM)</w:t>
            </w:r>
          </w:p>
        </w:tc>
        <w:tc>
          <w:tcPr>
            <w:tcW w:w="6379" w:type="dxa"/>
          </w:tcPr>
          <w:p w14:paraId="45B0934D" w14:textId="77777777" w:rsidR="00930400" w:rsidRPr="009A0DA6" w:rsidRDefault="00930400" w:rsidP="00F55252">
            <w:pPr>
              <w:pStyle w:val="ListParagraph"/>
              <w:numPr>
                <w:ilvl w:val="0"/>
                <w:numId w:val="164"/>
              </w:numPr>
              <w:spacing w:before="120" w:after="120" w:line="240" w:lineRule="auto"/>
              <w:ind w:left="176" w:hanging="176"/>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Grow Ministries continues to partner with and support Lutheran Media with resources for them to use in the development of their online Advent &amp; Lenten Calendars.</w:t>
            </w:r>
          </w:p>
          <w:p w14:paraId="220FC8A4" w14:textId="77777777" w:rsidR="00930400" w:rsidRPr="009A0DA6" w:rsidRDefault="00930400" w:rsidP="00F55252">
            <w:pPr>
              <w:pStyle w:val="ListParagraph"/>
              <w:numPr>
                <w:ilvl w:val="0"/>
                <w:numId w:val="164"/>
              </w:numPr>
              <w:spacing w:before="120" w:after="120" w:line="240" w:lineRule="auto"/>
              <w:ind w:left="176" w:hanging="176"/>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Grow Ministries takes an interest in the development of Lutheran Media’s Face2Face videos in order to recommend via our new Talking Points resource and Pinterest Page.</w:t>
            </w:r>
          </w:p>
        </w:tc>
      </w:tr>
      <w:tr w:rsidR="00930400" w:rsidRPr="009A0DA6" w14:paraId="74B5E347" w14:textId="77777777" w:rsidTr="00AD09CB">
        <w:tc>
          <w:tcPr>
            <w:cnfStyle w:val="001000000000" w:firstRow="0" w:lastRow="0" w:firstColumn="1" w:lastColumn="0" w:oddVBand="0" w:evenVBand="0" w:oddHBand="0" w:evenHBand="0" w:firstRowFirstColumn="0" w:firstRowLastColumn="0" w:lastRowFirstColumn="0" w:lastRowLastColumn="0"/>
            <w:tcW w:w="2268" w:type="dxa"/>
          </w:tcPr>
          <w:p w14:paraId="202C5B5C" w14:textId="77777777" w:rsidR="00930400" w:rsidRPr="009A0DA6" w:rsidRDefault="00930400" w:rsidP="00AD09CB">
            <w:pPr>
              <w:spacing w:before="120" w:after="120"/>
              <w:contextualSpacing/>
              <w:rPr>
                <w:rFonts w:ascii="Cambria" w:hAnsi="Cambria" w:cs="Arial"/>
              </w:rPr>
            </w:pPr>
            <w:r w:rsidRPr="009A0DA6">
              <w:rPr>
                <w:rFonts w:ascii="Cambria" w:hAnsi="Cambria" w:cs="Arial"/>
              </w:rPr>
              <w:t>LCA Communications</w:t>
            </w:r>
          </w:p>
        </w:tc>
        <w:tc>
          <w:tcPr>
            <w:tcW w:w="6379" w:type="dxa"/>
          </w:tcPr>
          <w:p w14:paraId="60B99BC8" w14:textId="77777777" w:rsidR="00930400" w:rsidRPr="009A0DA6" w:rsidRDefault="00930400" w:rsidP="00F55252">
            <w:pPr>
              <w:pStyle w:val="ListParagraph"/>
              <w:numPr>
                <w:ilvl w:val="0"/>
                <w:numId w:val="164"/>
              </w:numPr>
              <w:spacing w:before="120" w:after="120" w:line="240" w:lineRule="auto"/>
              <w:ind w:left="176" w:hanging="176"/>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 xml:space="preserve">Grow Ministries actively contributes to LCA publications including </w:t>
            </w:r>
            <w:r w:rsidRPr="009A0DA6">
              <w:rPr>
                <w:rFonts w:ascii="Cambria" w:hAnsi="Cambria" w:cs="Arial"/>
                <w:i/>
              </w:rPr>
              <w:t>The Lutheran</w:t>
            </w:r>
            <w:r w:rsidRPr="009A0DA6">
              <w:rPr>
                <w:rFonts w:ascii="Cambria" w:hAnsi="Cambria" w:cs="Arial"/>
              </w:rPr>
              <w:t xml:space="preserve">, eNews and has integrated former websites into the LCA website. </w:t>
            </w:r>
          </w:p>
          <w:p w14:paraId="4B9A2CCF" w14:textId="77777777" w:rsidR="00930400" w:rsidRPr="009A0DA6" w:rsidRDefault="00930400" w:rsidP="00F55252">
            <w:pPr>
              <w:pStyle w:val="ListParagraph"/>
              <w:numPr>
                <w:ilvl w:val="0"/>
                <w:numId w:val="164"/>
              </w:numPr>
              <w:spacing w:before="120" w:after="120" w:line="240" w:lineRule="auto"/>
              <w:ind w:left="176" w:hanging="176"/>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All communications have the LCA Where Love Comes to Life logo.</w:t>
            </w:r>
          </w:p>
        </w:tc>
      </w:tr>
      <w:tr w:rsidR="00930400" w:rsidRPr="009A0DA6" w14:paraId="1CE2C91A" w14:textId="77777777" w:rsidTr="00AD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0DD1215" w14:textId="77777777" w:rsidR="00930400" w:rsidRPr="009A0DA6" w:rsidRDefault="00930400" w:rsidP="00AD09CB">
            <w:pPr>
              <w:spacing w:before="120" w:after="120"/>
              <w:contextualSpacing/>
              <w:rPr>
                <w:rFonts w:ascii="Cambria" w:hAnsi="Cambria" w:cs="Arial"/>
              </w:rPr>
            </w:pPr>
            <w:r w:rsidRPr="009A0DA6">
              <w:rPr>
                <w:rFonts w:ascii="Cambria" w:hAnsi="Cambria" w:cs="Arial"/>
              </w:rPr>
              <w:t>Executive Officer of the Church (EOC)</w:t>
            </w:r>
          </w:p>
        </w:tc>
        <w:tc>
          <w:tcPr>
            <w:tcW w:w="6379" w:type="dxa"/>
          </w:tcPr>
          <w:p w14:paraId="3C0B69B3" w14:textId="77777777" w:rsidR="00930400" w:rsidRPr="009A0DA6" w:rsidRDefault="00930400" w:rsidP="00F55252">
            <w:pPr>
              <w:pStyle w:val="ListParagraph"/>
              <w:numPr>
                <w:ilvl w:val="0"/>
                <w:numId w:val="164"/>
              </w:numPr>
              <w:spacing w:before="120" w:after="120" w:line="240" w:lineRule="auto"/>
              <w:ind w:left="176" w:hanging="176"/>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Support the changes to governance arrangements and reporting, along with implementing requests.</w:t>
            </w:r>
          </w:p>
        </w:tc>
      </w:tr>
    </w:tbl>
    <w:p w14:paraId="4349BDEA" w14:textId="77777777" w:rsidR="00930400" w:rsidRPr="009A0DA6" w:rsidRDefault="00930400" w:rsidP="00930400">
      <w:pPr>
        <w:spacing w:before="120" w:after="120" w:line="240" w:lineRule="auto"/>
        <w:contextualSpacing/>
        <w:rPr>
          <w:rFonts w:ascii="Cambria" w:hAnsi="Cambria"/>
          <w:b/>
        </w:rPr>
      </w:pPr>
    </w:p>
    <w:p w14:paraId="0F250614" w14:textId="77777777" w:rsidR="002E592D" w:rsidRDefault="002E592D">
      <w:pPr>
        <w:rPr>
          <w:rFonts w:ascii="Cambria" w:eastAsiaTheme="majorEastAsia" w:hAnsi="Cambria" w:cstheme="majorBidi"/>
          <w:b/>
          <w:caps/>
          <w:sz w:val="28"/>
          <w:szCs w:val="24"/>
        </w:rPr>
      </w:pPr>
      <w:r>
        <w:br w:type="page"/>
      </w:r>
    </w:p>
    <w:p w14:paraId="7F07A12E" w14:textId="6B8602C4" w:rsidR="00930400" w:rsidRPr="009A0DA6" w:rsidRDefault="00930400" w:rsidP="00930400">
      <w:pPr>
        <w:pStyle w:val="Heading3"/>
      </w:pPr>
      <w:r w:rsidRPr="009A0DA6">
        <w:lastRenderedPageBreak/>
        <w:t>Financial Performance</w:t>
      </w:r>
    </w:p>
    <w:p w14:paraId="62BF667B" w14:textId="77777777" w:rsidR="00930400" w:rsidRPr="009A0DA6" w:rsidRDefault="00930400" w:rsidP="00930400">
      <w:pPr>
        <w:pStyle w:val="NoSpacing"/>
        <w:rPr>
          <w:b/>
        </w:rPr>
      </w:pPr>
      <w:r w:rsidRPr="009A0DA6">
        <w:rPr>
          <w:b/>
        </w:rPr>
        <w:t>INCOME &amp; EXPENDITURE</w:t>
      </w:r>
    </w:p>
    <w:tbl>
      <w:tblPr>
        <w:tblStyle w:val="TableGrid"/>
        <w:tblW w:w="919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4"/>
        <w:gridCol w:w="1913"/>
        <w:gridCol w:w="1913"/>
        <w:gridCol w:w="1913"/>
      </w:tblGrid>
      <w:tr w:rsidR="00930400" w:rsidRPr="009A0DA6" w14:paraId="0BDB63EF" w14:textId="77777777" w:rsidTr="00AD09CB">
        <w:tc>
          <w:tcPr>
            <w:tcW w:w="3454" w:type="dxa"/>
          </w:tcPr>
          <w:p w14:paraId="63CB77CA" w14:textId="77777777" w:rsidR="00930400" w:rsidRPr="009A0DA6" w:rsidRDefault="00930400" w:rsidP="00AD09CB">
            <w:pPr>
              <w:spacing w:before="120" w:after="120"/>
              <w:contextualSpacing/>
              <w:rPr>
                <w:rFonts w:ascii="Cambria" w:hAnsi="Cambria" w:cs="Arial"/>
                <w:b/>
              </w:rPr>
            </w:pPr>
            <w:r w:rsidRPr="009A0DA6">
              <w:rPr>
                <w:rFonts w:ascii="Cambria" w:hAnsi="Cambria" w:cs="Arial"/>
                <w:b/>
              </w:rPr>
              <w:t>Alignment to LCA Strategic Priorities</w:t>
            </w:r>
          </w:p>
        </w:tc>
        <w:tc>
          <w:tcPr>
            <w:tcW w:w="1913" w:type="dxa"/>
            <w:shd w:val="clear" w:color="auto" w:fill="auto"/>
          </w:tcPr>
          <w:p w14:paraId="0FBF6AEF" w14:textId="7C91804B" w:rsidR="00930400" w:rsidRPr="009A0DA6" w:rsidRDefault="00930400" w:rsidP="0009771E">
            <w:pPr>
              <w:spacing w:before="120" w:after="120"/>
              <w:contextualSpacing/>
              <w:jc w:val="center"/>
              <w:rPr>
                <w:rFonts w:ascii="Cambria" w:hAnsi="Cambria" w:cs="Arial"/>
                <w:b/>
              </w:rPr>
            </w:pPr>
            <w:r w:rsidRPr="009A0DA6">
              <w:rPr>
                <w:rFonts w:ascii="Cambria" w:hAnsi="Cambria" w:cs="Arial"/>
                <w:b/>
              </w:rPr>
              <w:t xml:space="preserve">2017 </w:t>
            </w:r>
          </w:p>
        </w:tc>
        <w:tc>
          <w:tcPr>
            <w:tcW w:w="1913" w:type="dxa"/>
          </w:tcPr>
          <w:p w14:paraId="3D76118A" w14:textId="4BAF4930" w:rsidR="00930400" w:rsidRPr="009A0DA6" w:rsidRDefault="00930400" w:rsidP="0009771E">
            <w:pPr>
              <w:spacing w:before="120" w:after="120"/>
              <w:contextualSpacing/>
              <w:jc w:val="center"/>
              <w:rPr>
                <w:rFonts w:ascii="Cambria" w:hAnsi="Cambria" w:cs="Arial"/>
                <w:b/>
              </w:rPr>
            </w:pPr>
            <w:r w:rsidRPr="009A0DA6">
              <w:rPr>
                <w:rFonts w:ascii="Cambria" w:hAnsi="Cambria" w:cs="Arial"/>
                <w:b/>
              </w:rPr>
              <w:t xml:space="preserve">2016 </w:t>
            </w:r>
          </w:p>
        </w:tc>
        <w:tc>
          <w:tcPr>
            <w:tcW w:w="1913" w:type="dxa"/>
          </w:tcPr>
          <w:p w14:paraId="758BB63E" w14:textId="1007FB36" w:rsidR="00930400" w:rsidRPr="009A0DA6" w:rsidRDefault="00930400" w:rsidP="0009771E">
            <w:pPr>
              <w:spacing w:before="120" w:after="120"/>
              <w:contextualSpacing/>
              <w:jc w:val="center"/>
              <w:rPr>
                <w:rFonts w:ascii="Cambria" w:hAnsi="Cambria" w:cs="Arial"/>
                <w:b/>
              </w:rPr>
            </w:pPr>
            <w:r w:rsidRPr="009A0DA6">
              <w:rPr>
                <w:rFonts w:ascii="Cambria" w:hAnsi="Cambria" w:cs="Arial"/>
                <w:b/>
              </w:rPr>
              <w:t xml:space="preserve">2015 </w:t>
            </w:r>
          </w:p>
        </w:tc>
      </w:tr>
      <w:tr w:rsidR="00930400" w:rsidRPr="009A0DA6" w14:paraId="2A6D7257" w14:textId="77777777" w:rsidTr="00AD09CB">
        <w:tc>
          <w:tcPr>
            <w:tcW w:w="3454" w:type="dxa"/>
          </w:tcPr>
          <w:p w14:paraId="7A958197" w14:textId="77777777" w:rsidR="00930400" w:rsidRPr="009A0DA6" w:rsidRDefault="00930400" w:rsidP="00AD09CB">
            <w:pPr>
              <w:spacing w:before="120" w:after="120"/>
              <w:contextualSpacing/>
              <w:rPr>
                <w:rFonts w:ascii="Cambria" w:hAnsi="Cambria" w:cs="Arial"/>
                <w:b/>
              </w:rPr>
            </w:pPr>
            <w:r w:rsidRPr="009A0DA6">
              <w:rPr>
                <w:rFonts w:ascii="Cambria" w:hAnsi="Cambria" w:cs="Arial"/>
                <w:b/>
              </w:rPr>
              <w:t>Expenditure</w:t>
            </w:r>
          </w:p>
        </w:tc>
        <w:tc>
          <w:tcPr>
            <w:tcW w:w="1913" w:type="dxa"/>
            <w:shd w:val="clear" w:color="auto" w:fill="auto"/>
          </w:tcPr>
          <w:p w14:paraId="54997FC8" w14:textId="77777777" w:rsidR="00930400" w:rsidRPr="009A0DA6" w:rsidRDefault="00930400" w:rsidP="00AD09CB">
            <w:pPr>
              <w:spacing w:before="120" w:after="120"/>
              <w:contextualSpacing/>
              <w:jc w:val="center"/>
              <w:rPr>
                <w:rFonts w:ascii="Cambria" w:hAnsi="Cambria" w:cs="Arial"/>
                <w:b/>
              </w:rPr>
            </w:pPr>
          </w:p>
        </w:tc>
        <w:tc>
          <w:tcPr>
            <w:tcW w:w="1913" w:type="dxa"/>
          </w:tcPr>
          <w:p w14:paraId="1FC7F44C" w14:textId="77777777" w:rsidR="00930400" w:rsidRPr="009A0DA6" w:rsidRDefault="00930400" w:rsidP="00AD09CB">
            <w:pPr>
              <w:spacing w:before="120" w:after="120"/>
              <w:contextualSpacing/>
              <w:jc w:val="center"/>
              <w:rPr>
                <w:rFonts w:ascii="Cambria" w:hAnsi="Cambria" w:cs="Arial"/>
                <w:b/>
              </w:rPr>
            </w:pPr>
          </w:p>
        </w:tc>
        <w:tc>
          <w:tcPr>
            <w:tcW w:w="1913" w:type="dxa"/>
          </w:tcPr>
          <w:p w14:paraId="54F3DCE0" w14:textId="77777777" w:rsidR="00930400" w:rsidRPr="009A0DA6" w:rsidRDefault="00930400" w:rsidP="00AD09CB">
            <w:pPr>
              <w:spacing w:before="120" w:after="120"/>
              <w:contextualSpacing/>
              <w:jc w:val="center"/>
              <w:rPr>
                <w:rFonts w:ascii="Cambria" w:hAnsi="Cambria" w:cs="Arial"/>
                <w:b/>
              </w:rPr>
            </w:pPr>
          </w:p>
        </w:tc>
      </w:tr>
      <w:tr w:rsidR="00930400" w:rsidRPr="009A0DA6" w14:paraId="0FA472CC" w14:textId="77777777" w:rsidTr="00AD09CB">
        <w:tc>
          <w:tcPr>
            <w:tcW w:w="3454" w:type="dxa"/>
          </w:tcPr>
          <w:p w14:paraId="43C83BD6" w14:textId="77777777" w:rsidR="00930400" w:rsidRPr="009A0DA6" w:rsidRDefault="00930400" w:rsidP="00AD09CB">
            <w:pPr>
              <w:spacing w:before="120" w:after="120"/>
              <w:contextualSpacing/>
              <w:rPr>
                <w:rFonts w:ascii="Cambria" w:hAnsi="Cambria" w:cs="Arial"/>
              </w:rPr>
            </w:pPr>
            <w:r w:rsidRPr="009A0DA6">
              <w:rPr>
                <w:rFonts w:ascii="Cambria" w:hAnsi="Cambria" w:cs="Arial"/>
              </w:rPr>
              <w:t>1 Growing as God’s People</w:t>
            </w:r>
          </w:p>
        </w:tc>
        <w:tc>
          <w:tcPr>
            <w:tcW w:w="1913" w:type="dxa"/>
            <w:shd w:val="clear" w:color="auto" w:fill="auto"/>
          </w:tcPr>
          <w:p w14:paraId="73AC5E7A" w14:textId="77777777" w:rsidR="00930400" w:rsidRPr="009A0DA6" w:rsidRDefault="00930400" w:rsidP="00AD09CB">
            <w:pPr>
              <w:spacing w:before="120" w:after="120"/>
              <w:contextualSpacing/>
              <w:jc w:val="right"/>
              <w:rPr>
                <w:rFonts w:ascii="Cambria" w:hAnsi="Cambria" w:cs="Arial"/>
              </w:rPr>
            </w:pPr>
            <w:r w:rsidRPr="009A0DA6">
              <w:rPr>
                <w:rFonts w:ascii="Cambria" w:hAnsi="Cambria" w:cs="Arial"/>
              </w:rPr>
              <w:t>272,746</w:t>
            </w:r>
          </w:p>
        </w:tc>
        <w:tc>
          <w:tcPr>
            <w:tcW w:w="1913" w:type="dxa"/>
          </w:tcPr>
          <w:p w14:paraId="36B15114" w14:textId="77777777" w:rsidR="00930400" w:rsidRPr="009A0DA6" w:rsidRDefault="00930400" w:rsidP="00AD09CB">
            <w:pPr>
              <w:spacing w:before="120" w:after="120"/>
              <w:contextualSpacing/>
              <w:jc w:val="right"/>
              <w:rPr>
                <w:rFonts w:ascii="Cambria" w:hAnsi="Cambria" w:cs="Arial"/>
              </w:rPr>
            </w:pPr>
            <w:r w:rsidRPr="009A0DA6">
              <w:rPr>
                <w:rFonts w:ascii="Cambria" w:hAnsi="Cambria" w:cs="Arial"/>
              </w:rPr>
              <w:t>304,011</w:t>
            </w:r>
          </w:p>
        </w:tc>
        <w:tc>
          <w:tcPr>
            <w:tcW w:w="1913" w:type="dxa"/>
          </w:tcPr>
          <w:p w14:paraId="4B802F53" w14:textId="77777777" w:rsidR="00930400" w:rsidRPr="009A0DA6" w:rsidRDefault="00930400" w:rsidP="00AD09CB">
            <w:pPr>
              <w:spacing w:before="120" w:after="120"/>
              <w:contextualSpacing/>
              <w:jc w:val="right"/>
              <w:rPr>
                <w:rFonts w:ascii="Cambria" w:hAnsi="Cambria" w:cs="Arial"/>
              </w:rPr>
            </w:pPr>
            <w:r w:rsidRPr="009A0DA6">
              <w:rPr>
                <w:rFonts w:ascii="Cambria" w:hAnsi="Cambria" w:cs="Arial"/>
              </w:rPr>
              <w:t>258,911</w:t>
            </w:r>
          </w:p>
        </w:tc>
      </w:tr>
      <w:tr w:rsidR="00930400" w:rsidRPr="009A0DA6" w14:paraId="0BB2A1EE" w14:textId="77777777" w:rsidTr="00AD09CB">
        <w:tc>
          <w:tcPr>
            <w:tcW w:w="3454" w:type="dxa"/>
          </w:tcPr>
          <w:p w14:paraId="32D4C850" w14:textId="77777777" w:rsidR="00930400" w:rsidRPr="009A0DA6" w:rsidRDefault="00930400" w:rsidP="00AD09CB">
            <w:pPr>
              <w:spacing w:before="120" w:after="120"/>
              <w:contextualSpacing/>
              <w:rPr>
                <w:rFonts w:ascii="Cambria" w:hAnsi="Cambria" w:cs="Arial"/>
              </w:rPr>
            </w:pPr>
            <w:r w:rsidRPr="009A0DA6">
              <w:rPr>
                <w:rFonts w:ascii="Cambria" w:hAnsi="Cambria" w:cs="Arial"/>
              </w:rPr>
              <w:t>2 Going as God’s People</w:t>
            </w:r>
          </w:p>
        </w:tc>
        <w:tc>
          <w:tcPr>
            <w:tcW w:w="1913" w:type="dxa"/>
            <w:shd w:val="clear" w:color="auto" w:fill="auto"/>
          </w:tcPr>
          <w:p w14:paraId="2815747D" w14:textId="77777777" w:rsidR="00930400" w:rsidRPr="009A0DA6" w:rsidRDefault="00930400" w:rsidP="00AD09CB">
            <w:pPr>
              <w:spacing w:before="120" w:after="120"/>
              <w:contextualSpacing/>
              <w:jc w:val="right"/>
              <w:rPr>
                <w:rFonts w:ascii="Cambria" w:hAnsi="Cambria" w:cs="Arial"/>
              </w:rPr>
            </w:pPr>
            <w:r w:rsidRPr="009A0DA6">
              <w:rPr>
                <w:rFonts w:ascii="Cambria" w:hAnsi="Cambria" w:cs="Arial"/>
              </w:rPr>
              <w:t>97,409</w:t>
            </w:r>
          </w:p>
        </w:tc>
        <w:tc>
          <w:tcPr>
            <w:tcW w:w="1913" w:type="dxa"/>
          </w:tcPr>
          <w:p w14:paraId="5A22A791" w14:textId="77777777" w:rsidR="00930400" w:rsidRPr="009A0DA6" w:rsidRDefault="00930400" w:rsidP="00AD09CB">
            <w:pPr>
              <w:spacing w:before="120" w:after="120"/>
              <w:contextualSpacing/>
              <w:jc w:val="right"/>
              <w:rPr>
                <w:rFonts w:ascii="Cambria" w:hAnsi="Cambria" w:cs="Arial"/>
              </w:rPr>
            </w:pPr>
            <w:r w:rsidRPr="009A0DA6">
              <w:rPr>
                <w:rFonts w:ascii="Cambria" w:hAnsi="Cambria" w:cs="Arial"/>
              </w:rPr>
              <w:t>108,575</w:t>
            </w:r>
          </w:p>
        </w:tc>
        <w:tc>
          <w:tcPr>
            <w:tcW w:w="1913" w:type="dxa"/>
          </w:tcPr>
          <w:p w14:paraId="7E833C70" w14:textId="77777777" w:rsidR="00930400" w:rsidRPr="009A0DA6" w:rsidRDefault="00930400" w:rsidP="00AD09CB">
            <w:pPr>
              <w:spacing w:before="120" w:after="120"/>
              <w:contextualSpacing/>
              <w:jc w:val="right"/>
              <w:rPr>
                <w:rFonts w:ascii="Cambria" w:hAnsi="Cambria" w:cs="Arial"/>
              </w:rPr>
            </w:pPr>
            <w:r w:rsidRPr="009A0DA6">
              <w:rPr>
                <w:rFonts w:ascii="Cambria" w:hAnsi="Cambria" w:cs="Arial"/>
              </w:rPr>
              <w:t>92,468</w:t>
            </w:r>
          </w:p>
        </w:tc>
      </w:tr>
      <w:tr w:rsidR="00930400" w:rsidRPr="009A0DA6" w14:paraId="2A218D2D" w14:textId="77777777" w:rsidTr="00AD09CB">
        <w:tc>
          <w:tcPr>
            <w:tcW w:w="3454" w:type="dxa"/>
          </w:tcPr>
          <w:p w14:paraId="5EFAEA12" w14:textId="77777777" w:rsidR="00930400" w:rsidRPr="009A0DA6" w:rsidRDefault="00930400" w:rsidP="00AD09CB">
            <w:pPr>
              <w:spacing w:before="120" w:after="120"/>
              <w:contextualSpacing/>
              <w:rPr>
                <w:rFonts w:ascii="Cambria" w:hAnsi="Cambria" w:cs="Arial"/>
              </w:rPr>
            </w:pPr>
            <w:r w:rsidRPr="009A0DA6">
              <w:rPr>
                <w:rFonts w:ascii="Cambria" w:hAnsi="Cambria" w:cs="Arial"/>
              </w:rPr>
              <w:t>3 Enable us to Go &amp; Grow</w:t>
            </w:r>
          </w:p>
        </w:tc>
        <w:tc>
          <w:tcPr>
            <w:tcW w:w="1913" w:type="dxa"/>
            <w:shd w:val="clear" w:color="auto" w:fill="auto"/>
          </w:tcPr>
          <w:p w14:paraId="5AF2A0BC" w14:textId="77777777" w:rsidR="00930400" w:rsidRPr="009A0DA6" w:rsidRDefault="00930400" w:rsidP="00AD09CB">
            <w:pPr>
              <w:spacing w:before="120" w:after="120"/>
              <w:contextualSpacing/>
              <w:jc w:val="right"/>
              <w:rPr>
                <w:rFonts w:ascii="Cambria" w:hAnsi="Cambria" w:cs="Arial"/>
              </w:rPr>
            </w:pPr>
            <w:r w:rsidRPr="009A0DA6">
              <w:rPr>
                <w:rFonts w:ascii="Cambria" w:hAnsi="Cambria" w:cs="Arial"/>
              </w:rPr>
              <w:t>19,482</w:t>
            </w:r>
          </w:p>
        </w:tc>
        <w:tc>
          <w:tcPr>
            <w:tcW w:w="1913" w:type="dxa"/>
          </w:tcPr>
          <w:p w14:paraId="290D313A" w14:textId="77777777" w:rsidR="00930400" w:rsidRPr="009A0DA6" w:rsidRDefault="00930400" w:rsidP="00AD09CB">
            <w:pPr>
              <w:spacing w:before="120" w:after="120"/>
              <w:contextualSpacing/>
              <w:jc w:val="right"/>
              <w:rPr>
                <w:rFonts w:ascii="Cambria" w:hAnsi="Cambria" w:cs="Arial"/>
              </w:rPr>
            </w:pPr>
            <w:r w:rsidRPr="009A0DA6">
              <w:rPr>
                <w:rFonts w:ascii="Cambria" w:hAnsi="Cambria" w:cs="Arial"/>
              </w:rPr>
              <w:t>21,715</w:t>
            </w:r>
          </w:p>
        </w:tc>
        <w:tc>
          <w:tcPr>
            <w:tcW w:w="1913" w:type="dxa"/>
          </w:tcPr>
          <w:p w14:paraId="7A264B3E" w14:textId="77777777" w:rsidR="00930400" w:rsidRPr="009A0DA6" w:rsidRDefault="00930400" w:rsidP="00AD09CB">
            <w:pPr>
              <w:spacing w:before="120" w:after="120"/>
              <w:contextualSpacing/>
              <w:jc w:val="right"/>
              <w:rPr>
                <w:rFonts w:ascii="Cambria" w:hAnsi="Cambria" w:cs="Arial"/>
              </w:rPr>
            </w:pPr>
            <w:r w:rsidRPr="009A0DA6">
              <w:rPr>
                <w:rFonts w:ascii="Cambria" w:hAnsi="Cambria" w:cs="Arial"/>
              </w:rPr>
              <w:t>18,494</w:t>
            </w:r>
          </w:p>
        </w:tc>
      </w:tr>
      <w:tr w:rsidR="00930400" w:rsidRPr="009A0DA6" w14:paraId="5EF9EB43" w14:textId="77777777" w:rsidTr="00AD09CB">
        <w:tc>
          <w:tcPr>
            <w:tcW w:w="3454" w:type="dxa"/>
          </w:tcPr>
          <w:p w14:paraId="6431B05E" w14:textId="77777777" w:rsidR="00930400" w:rsidRPr="009A0DA6" w:rsidRDefault="00930400" w:rsidP="00AD09CB">
            <w:pPr>
              <w:spacing w:before="120" w:after="120"/>
              <w:contextualSpacing/>
              <w:jc w:val="right"/>
              <w:rPr>
                <w:rFonts w:ascii="Cambria" w:hAnsi="Cambria" w:cs="Arial"/>
                <w:b/>
              </w:rPr>
            </w:pPr>
            <w:r w:rsidRPr="009A0DA6">
              <w:rPr>
                <w:rFonts w:ascii="Cambria" w:hAnsi="Cambria" w:cs="Arial"/>
                <w:b/>
              </w:rPr>
              <w:t>Total</w:t>
            </w:r>
          </w:p>
        </w:tc>
        <w:tc>
          <w:tcPr>
            <w:tcW w:w="1913" w:type="dxa"/>
            <w:shd w:val="clear" w:color="auto" w:fill="auto"/>
          </w:tcPr>
          <w:p w14:paraId="6147E8C1" w14:textId="77777777" w:rsidR="00930400" w:rsidRPr="009A0DA6" w:rsidRDefault="00930400" w:rsidP="00AD09CB">
            <w:pPr>
              <w:spacing w:before="120" w:after="120"/>
              <w:contextualSpacing/>
              <w:jc w:val="right"/>
              <w:rPr>
                <w:rFonts w:ascii="Cambria" w:hAnsi="Cambria" w:cs="Arial"/>
              </w:rPr>
            </w:pPr>
            <w:r w:rsidRPr="009A0DA6">
              <w:rPr>
                <w:rFonts w:ascii="Cambria" w:hAnsi="Cambria" w:cs="Arial"/>
                <w:b/>
              </w:rPr>
              <w:t>389,638</w:t>
            </w:r>
          </w:p>
        </w:tc>
        <w:tc>
          <w:tcPr>
            <w:tcW w:w="1913" w:type="dxa"/>
          </w:tcPr>
          <w:p w14:paraId="1EB90F74" w14:textId="77777777" w:rsidR="00930400" w:rsidRPr="009A0DA6" w:rsidRDefault="00930400" w:rsidP="00AD09CB">
            <w:pPr>
              <w:spacing w:before="120" w:after="120"/>
              <w:contextualSpacing/>
              <w:jc w:val="right"/>
              <w:rPr>
                <w:rFonts w:ascii="Cambria" w:hAnsi="Cambria" w:cs="Arial"/>
                <w:b/>
              </w:rPr>
            </w:pPr>
            <w:r w:rsidRPr="009A0DA6">
              <w:rPr>
                <w:rFonts w:ascii="Cambria" w:hAnsi="Cambria" w:cs="Arial"/>
                <w:b/>
              </w:rPr>
              <w:t>434,301</w:t>
            </w:r>
          </w:p>
        </w:tc>
        <w:tc>
          <w:tcPr>
            <w:tcW w:w="1913" w:type="dxa"/>
          </w:tcPr>
          <w:p w14:paraId="3C9298BA" w14:textId="77777777" w:rsidR="00930400" w:rsidRPr="009A0DA6" w:rsidRDefault="00930400" w:rsidP="00AD09CB">
            <w:pPr>
              <w:spacing w:before="120" w:after="120"/>
              <w:contextualSpacing/>
              <w:jc w:val="right"/>
              <w:rPr>
                <w:rFonts w:ascii="Cambria" w:hAnsi="Cambria" w:cs="Arial"/>
              </w:rPr>
            </w:pPr>
            <w:r w:rsidRPr="009A0DA6">
              <w:rPr>
                <w:rFonts w:ascii="Cambria" w:hAnsi="Cambria" w:cs="Arial"/>
                <w:b/>
              </w:rPr>
              <w:t>369,873</w:t>
            </w:r>
          </w:p>
        </w:tc>
      </w:tr>
    </w:tbl>
    <w:p w14:paraId="34C3656C" w14:textId="1A66DDE6" w:rsidR="00930400" w:rsidRDefault="00930400" w:rsidP="00930400">
      <w:pPr>
        <w:spacing w:before="120" w:after="120" w:line="240" w:lineRule="auto"/>
        <w:contextualSpacing/>
        <w:rPr>
          <w:rFonts w:ascii="Cambria" w:hAnsi="Cambria" w:cs="Arial"/>
          <w:b/>
        </w:rPr>
      </w:pPr>
    </w:p>
    <w:p w14:paraId="775B6F9B" w14:textId="09D59036" w:rsidR="002E592D" w:rsidRDefault="002E592D" w:rsidP="00930400">
      <w:pPr>
        <w:spacing w:before="120" w:after="120" w:line="240" w:lineRule="auto"/>
        <w:contextualSpacing/>
        <w:rPr>
          <w:rFonts w:ascii="Cambria" w:hAnsi="Cambria" w:cs="Arial"/>
          <w:b/>
        </w:rPr>
      </w:pPr>
    </w:p>
    <w:p w14:paraId="610A27AE" w14:textId="7DC3A8DB" w:rsidR="002E592D" w:rsidRDefault="002E592D" w:rsidP="00930400">
      <w:pPr>
        <w:spacing w:before="120" w:after="120" w:line="240" w:lineRule="auto"/>
        <w:contextualSpacing/>
        <w:rPr>
          <w:rFonts w:ascii="Cambria" w:hAnsi="Cambria" w:cs="Arial"/>
          <w:b/>
        </w:rPr>
      </w:pPr>
    </w:p>
    <w:p w14:paraId="5631DB42" w14:textId="51B55D00" w:rsidR="00786120" w:rsidRDefault="00786120" w:rsidP="00930400">
      <w:pPr>
        <w:spacing w:before="120" w:after="120" w:line="240" w:lineRule="auto"/>
        <w:contextualSpacing/>
        <w:rPr>
          <w:rFonts w:ascii="Cambria" w:hAnsi="Cambria" w:cs="Arial"/>
          <w:b/>
        </w:rPr>
      </w:pPr>
    </w:p>
    <w:p w14:paraId="35BDA3AA" w14:textId="77777777" w:rsidR="00786120" w:rsidRPr="009A0DA6" w:rsidRDefault="00786120" w:rsidP="00930400">
      <w:pPr>
        <w:spacing w:before="120" w:after="120" w:line="240" w:lineRule="auto"/>
        <w:contextualSpacing/>
        <w:rPr>
          <w:rFonts w:ascii="Cambria" w:hAnsi="Cambria" w:cs="Arial"/>
          <w:b/>
        </w:rPr>
      </w:pPr>
    </w:p>
    <w:p w14:paraId="4716B248" w14:textId="77777777" w:rsidR="00930400" w:rsidRPr="009A0DA6" w:rsidRDefault="00930400" w:rsidP="00930400">
      <w:pPr>
        <w:pStyle w:val="Heading3"/>
      </w:pPr>
      <w:r w:rsidRPr="009A0DA6">
        <w:t>agenda 3.2</w:t>
      </w:r>
    </w:p>
    <w:p w14:paraId="4CC24A06" w14:textId="77777777" w:rsidR="00930400" w:rsidRPr="009A0DA6" w:rsidRDefault="00930400" w:rsidP="00930400">
      <w:pPr>
        <w:pStyle w:val="Heading2"/>
      </w:pPr>
      <w:bookmarkStart w:id="474" w:name="_Toc521954726"/>
      <w:r w:rsidRPr="009A0DA6">
        <w:t>Financial Report: Board for Children, Youth and Family Ministry</w:t>
      </w:r>
      <w:bookmarkEnd w:id="474"/>
    </w:p>
    <w:p w14:paraId="549EA829" w14:textId="77777777" w:rsidR="00930400" w:rsidRPr="009A0DA6" w:rsidRDefault="00930400" w:rsidP="00930400">
      <w:pPr>
        <w:pStyle w:val="NoSpacing"/>
      </w:pPr>
    </w:p>
    <w:p w14:paraId="65A620E2" w14:textId="77777777" w:rsidR="00930400" w:rsidRPr="009A0DA6" w:rsidRDefault="00930400" w:rsidP="00296DD9">
      <w:pPr>
        <w:pStyle w:val="NoSpacing"/>
        <w:rPr>
          <w:b/>
        </w:rPr>
      </w:pPr>
      <w:r w:rsidRPr="009A0DA6">
        <w:rPr>
          <w:b/>
        </w:rPr>
        <w:t xml:space="preserve">INDIVIDUAL DEPARTMENTAL FINANCIAL REPORT </w:t>
      </w:r>
    </w:p>
    <w:p w14:paraId="31485ED6" w14:textId="542CC6F3" w:rsidR="00930400" w:rsidRPr="009A0DA6" w:rsidRDefault="00930400" w:rsidP="00930400">
      <w:pPr>
        <w:pStyle w:val="NoSpacing"/>
        <w:rPr>
          <w:b/>
          <w:sz w:val="12"/>
        </w:rPr>
      </w:pPr>
      <w:r w:rsidRPr="009A0DA6">
        <w:rPr>
          <w:b/>
          <w:sz w:val="2"/>
          <w:szCs w:val="2"/>
        </w:rPr>
        <w:br/>
      </w:r>
      <w:r w:rsidR="00FF7E8B" w:rsidRPr="009A0DA6">
        <w:rPr>
          <w:b/>
        </w:rPr>
        <w:t>FOR THE PERIODS ENDING 31 DECEMBER</w:t>
      </w:r>
      <w:r w:rsidR="00FF7E8B" w:rsidRPr="009A0DA6">
        <w:rPr>
          <w:b/>
        </w:rPr>
        <w:br/>
      </w:r>
    </w:p>
    <w:p w14:paraId="406AFE53"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b/>
        </w:rPr>
      </w:pPr>
      <w:r w:rsidRPr="009A0DA6">
        <w:rPr>
          <w:rFonts w:ascii="Cambria" w:hAnsi="Cambria" w:cstheme="minorHAnsi"/>
          <w:b/>
        </w:rPr>
        <w:tab/>
        <w:t>2017</w:t>
      </w:r>
      <w:r w:rsidRPr="009A0DA6">
        <w:rPr>
          <w:rFonts w:ascii="Cambria" w:hAnsi="Cambria" w:cstheme="minorHAnsi"/>
          <w:b/>
        </w:rPr>
        <w:tab/>
        <w:t>2016</w:t>
      </w:r>
      <w:r w:rsidRPr="009A0DA6">
        <w:rPr>
          <w:rFonts w:ascii="Cambria" w:hAnsi="Cambria" w:cstheme="minorHAnsi"/>
          <w:b/>
        </w:rPr>
        <w:tab/>
        <w:t>2015</w:t>
      </w:r>
    </w:p>
    <w:p w14:paraId="63AB9409"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b/>
        </w:rPr>
        <w:t>Income</w:t>
      </w:r>
    </w:p>
    <w:p w14:paraId="485B0DF6"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Appeals, donations and bequests</w:t>
      </w:r>
      <w:r w:rsidRPr="009A0DA6">
        <w:rPr>
          <w:rFonts w:ascii="Cambria" w:hAnsi="Cambria" w:cstheme="minorHAnsi"/>
        </w:rPr>
        <w:tab/>
        <w:t>2,540</w:t>
      </w:r>
      <w:r w:rsidRPr="009A0DA6">
        <w:rPr>
          <w:rFonts w:ascii="Cambria" w:hAnsi="Cambria" w:cstheme="minorHAnsi"/>
        </w:rPr>
        <w:tab/>
        <w:t>1,329</w:t>
      </w:r>
      <w:r w:rsidRPr="009A0DA6">
        <w:rPr>
          <w:rFonts w:ascii="Cambria" w:hAnsi="Cambria" w:cstheme="minorHAnsi"/>
        </w:rPr>
        <w:tab/>
        <w:t>656</w:t>
      </w:r>
    </w:p>
    <w:p w14:paraId="68337766"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Investment and rental income</w:t>
      </w:r>
      <w:r w:rsidRPr="009A0DA6">
        <w:rPr>
          <w:rFonts w:ascii="Cambria" w:hAnsi="Cambria" w:cstheme="minorHAnsi"/>
        </w:rPr>
        <w:tab/>
        <w:t>9,835</w:t>
      </w:r>
      <w:r w:rsidRPr="009A0DA6">
        <w:rPr>
          <w:rFonts w:ascii="Cambria" w:hAnsi="Cambria" w:cstheme="minorHAnsi"/>
        </w:rPr>
        <w:tab/>
        <w:t>7,702</w:t>
      </w:r>
      <w:r w:rsidRPr="009A0DA6">
        <w:rPr>
          <w:rFonts w:ascii="Cambria" w:hAnsi="Cambria" w:cstheme="minorHAnsi"/>
        </w:rPr>
        <w:tab/>
        <w:t>5,872</w:t>
      </w:r>
    </w:p>
    <w:p w14:paraId="19786683" w14:textId="132A4B3A"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LCA grants and allocations</w:t>
      </w:r>
      <w:r w:rsidRPr="009A0DA6">
        <w:rPr>
          <w:rFonts w:ascii="Cambria" w:hAnsi="Cambria" w:cstheme="minorHAnsi"/>
        </w:rPr>
        <w:tab/>
        <w:t>102,408</w:t>
      </w:r>
      <w:r w:rsidRPr="009A0DA6">
        <w:rPr>
          <w:rFonts w:ascii="Cambria" w:hAnsi="Cambria" w:cstheme="minorHAnsi"/>
        </w:rPr>
        <w:tab/>
        <w:t>58,408</w:t>
      </w:r>
      <w:r w:rsidRPr="009A0DA6">
        <w:rPr>
          <w:rFonts w:ascii="Cambria" w:hAnsi="Cambria" w:cstheme="minorHAnsi"/>
        </w:rPr>
        <w:tab/>
      </w:r>
      <w:r w:rsidR="00296DD9">
        <w:rPr>
          <w:rFonts w:ascii="Cambria" w:hAnsi="Cambria" w:cstheme="minorHAnsi"/>
        </w:rPr>
        <w:t>56</w:t>
      </w:r>
      <w:r w:rsidRPr="009A0DA6">
        <w:rPr>
          <w:rFonts w:ascii="Cambria" w:hAnsi="Cambria" w:cstheme="minorHAnsi"/>
        </w:rPr>
        <w:t>,</w:t>
      </w:r>
      <w:r w:rsidR="00296DD9">
        <w:rPr>
          <w:rFonts w:ascii="Cambria" w:hAnsi="Cambria" w:cstheme="minorHAnsi"/>
        </w:rPr>
        <w:t>907</w:t>
      </w:r>
    </w:p>
    <w:p w14:paraId="3B017CFE" w14:textId="5C977DE5"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LCA other income</w:t>
      </w:r>
      <w:r w:rsidRPr="009A0DA6">
        <w:rPr>
          <w:rFonts w:ascii="Cambria" w:hAnsi="Cambria" w:cstheme="minorHAnsi"/>
        </w:rPr>
        <w:tab/>
        <w:t>276,000</w:t>
      </w:r>
      <w:r w:rsidRPr="009A0DA6">
        <w:rPr>
          <w:rFonts w:ascii="Cambria" w:hAnsi="Cambria" w:cstheme="minorHAnsi"/>
        </w:rPr>
        <w:tab/>
        <w:t>262,000</w:t>
      </w:r>
      <w:r w:rsidRPr="009A0DA6">
        <w:rPr>
          <w:rFonts w:ascii="Cambria" w:hAnsi="Cambria" w:cstheme="minorHAnsi"/>
        </w:rPr>
        <w:tab/>
        <w:t>259,000</w:t>
      </w:r>
    </w:p>
    <w:p w14:paraId="4324E81A"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Trading income</w:t>
      </w:r>
      <w:r w:rsidRPr="009A0DA6">
        <w:rPr>
          <w:rFonts w:ascii="Cambria" w:hAnsi="Cambria" w:cstheme="minorHAnsi"/>
        </w:rPr>
        <w:tab/>
        <w:t>60,713</w:t>
      </w:r>
      <w:r w:rsidRPr="009A0DA6">
        <w:rPr>
          <w:rFonts w:ascii="Cambria" w:hAnsi="Cambria" w:cstheme="minorHAnsi"/>
        </w:rPr>
        <w:tab/>
        <w:t>29,409</w:t>
      </w:r>
      <w:r w:rsidRPr="009A0DA6">
        <w:rPr>
          <w:rFonts w:ascii="Cambria" w:hAnsi="Cambria" w:cstheme="minorHAnsi"/>
        </w:rPr>
        <w:tab/>
        <w:t>65,215</w:t>
      </w:r>
    </w:p>
    <w:p w14:paraId="79E90063"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b/>
        </w:rPr>
      </w:pPr>
      <w:r w:rsidRPr="009A0DA6">
        <w:rPr>
          <w:rFonts w:ascii="Cambria" w:hAnsi="Cambria" w:cstheme="minorHAnsi"/>
          <w:b/>
        </w:rPr>
        <w:tab/>
        <w:t>451,496</w:t>
      </w:r>
      <w:r w:rsidRPr="009A0DA6">
        <w:rPr>
          <w:rFonts w:ascii="Cambria" w:hAnsi="Cambria" w:cstheme="minorHAnsi"/>
          <w:b/>
        </w:rPr>
        <w:tab/>
        <w:t>358,848</w:t>
      </w:r>
      <w:r w:rsidRPr="009A0DA6">
        <w:rPr>
          <w:rFonts w:ascii="Cambria" w:hAnsi="Cambria" w:cstheme="minorHAnsi"/>
          <w:b/>
        </w:rPr>
        <w:tab/>
        <w:t>386,840</w:t>
      </w:r>
    </w:p>
    <w:p w14:paraId="7AC0D916"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b/>
        </w:rPr>
        <w:t>Expenditure</w:t>
      </w:r>
    </w:p>
    <w:p w14:paraId="53551C66"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Administration costs</w:t>
      </w:r>
      <w:r w:rsidRPr="009A0DA6">
        <w:rPr>
          <w:rFonts w:ascii="Cambria" w:hAnsi="Cambria" w:cstheme="minorHAnsi"/>
        </w:rPr>
        <w:tab/>
        <w:t>4,687</w:t>
      </w:r>
      <w:r w:rsidRPr="009A0DA6">
        <w:rPr>
          <w:rFonts w:ascii="Cambria" w:hAnsi="Cambria" w:cstheme="minorHAnsi"/>
        </w:rPr>
        <w:tab/>
        <w:t>13,899</w:t>
      </w:r>
      <w:r w:rsidRPr="009A0DA6">
        <w:rPr>
          <w:rFonts w:ascii="Cambria" w:hAnsi="Cambria" w:cstheme="minorHAnsi"/>
        </w:rPr>
        <w:tab/>
        <w:t>11,917</w:t>
      </w:r>
    </w:p>
    <w:p w14:paraId="032F5531"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Asset costs</w:t>
      </w:r>
      <w:r w:rsidRPr="009A0DA6">
        <w:rPr>
          <w:rFonts w:ascii="Cambria" w:hAnsi="Cambria" w:cstheme="minorHAnsi"/>
        </w:rPr>
        <w:tab/>
        <w:t>217</w:t>
      </w:r>
      <w:r w:rsidRPr="009A0DA6">
        <w:rPr>
          <w:rFonts w:ascii="Cambria" w:hAnsi="Cambria" w:cstheme="minorHAnsi"/>
        </w:rPr>
        <w:tab/>
        <w:t>12,928</w:t>
      </w:r>
      <w:r w:rsidRPr="009A0DA6">
        <w:rPr>
          <w:rFonts w:ascii="Cambria" w:hAnsi="Cambria" w:cstheme="minorHAnsi"/>
        </w:rPr>
        <w:tab/>
        <w:t>11,493</w:t>
      </w:r>
    </w:p>
    <w:p w14:paraId="49E3EE00"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Consulting expenses</w:t>
      </w:r>
      <w:r w:rsidRPr="009A0DA6">
        <w:rPr>
          <w:rFonts w:ascii="Cambria" w:hAnsi="Cambria" w:cstheme="minorHAnsi"/>
        </w:rPr>
        <w:tab/>
        <w:t>4,701</w:t>
      </w:r>
      <w:r w:rsidRPr="009A0DA6">
        <w:rPr>
          <w:rFonts w:ascii="Cambria" w:hAnsi="Cambria" w:cstheme="minorHAnsi"/>
        </w:rPr>
        <w:tab/>
        <w:t>8,305</w:t>
      </w:r>
      <w:r w:rsidRPr="009A0DA6">
        <w:rPr>
          <w:rFonts w:ascii="Cambria" w:hAnsi="Cambria" w:cstheme="minorHAnsi"/>
        </w:rPr>
        <w:tab/>
        <w:t>9,995</w:t>
      </w:r>
    </w:p>
    <w:p w14:paraId="482E4E7E"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Depreciation expense</w:t>
      </w:r>
      <w:r w:rsidRPr="009A0DA6">
        <w:rPr>
          <w:rFonts w:ascii="Cambria" w:hAnsi="Cambria" w:cstheme="minorHAnsi"/>
        </w:rPr>
        <w:tab/>
        <w:t>1,035</w:t>
      </w:r>
      <w:r w:rsidRPr="009A0DA6">
        <w:rPr>
          <w:rFonts w:ascii="Cambria" w:hAnsi="Cambria" w:cstheme="minorHAnsi"/>
        </w:rPr>
        <w:tab/>
        <w:t>1,035</w:t>
      </w:r>
      <w:r w:rsidRPr="009A0DA6">
        <w:rPr>
          <w:rFonts w:ascii="Cambria" w:hAnsi="Cambria" w:cstheme="minorHAnsi"/>
        </w:rPr>
        <w:tab/>
      </w:r>
    </w:p>
    <w:p w14:paraId="3386161C"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Employee expenses</w:t>
      </w:r>
      <w:r w:rsidRPr="009A0DA6">
        <w:rPr>
          <w:rFonts w:ascii="Cambria" w:hAnsi="Cambria" w:cstheme="minorHAnsi"/>
        </w:rPr>
        <w:tab/>
        <w:t>234,384</w:t>
      </w:r>
      <w:r w:rsidRPr="009A0DA6">
        <w:rPr>
          <w:rFonts w:ascii="Cambria" w:hAnsi="Cambria" w:cstheme="minorHAnsi"/>
        </w:rPr>
        <w:tab/>
        <w:t>256,510</w:t>
      </w:r>
      <w:r w:rsidRPr="009A0DA6">
        <w:rPr>
          <w:rFonts w:ascii="Cambria" w:hAnsi="Cambria" w:cstheme="minorHAnsi"/>
        </w:rPr>
        <w:tab/>
        <w:t>208,257</w:t>
      </w:r>
    </w:p>
    <w:p w14:paraId="3A0AFDF3"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Governance costs</w:t>
      </w:r>
      <w:r w:rsidRPr="009A0DA6">
        <w:rPr>
          <w:rFonts w:ascii="Cambria" w:hAnsi="Cambria" w:cstheme="minorHAnsi"/>
        </w:rPr>
        <w:tab/>
        <w:t>5,351</w:t>
      </w:r>
      <w:r w:rsidRPr="009A0DA6">
        <w:rPr>
          <w:rFonts w:ascii="Cambria" w:hAnsi="Cambria" w:cstheme="minorHAnsi"/>
        </w:rPr>
        <w:tab/>
        <w:t>9,395</w:t>
      </w:r>
      <w:r w:rsidRPr="009A0DA6">
        <w:rPr>
          <w:rFonts w:ascii="Cambria" w:hAnsi="Cambria" w:cstheme="minorHAnsi"/>
        </w:rPr>
        <w:tab/>
        <w:t>17,817</w:t>
      </w:r>
    </w:p>
    <w:p w14:paraId="52BD1B95"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LCA other expenditure and reimbursements</w:t>
      </w:r>
      <w:r w:rsidRPr="009A0DA6">
        <w:rPr>
          <w:rFonts w:ascii="Cambria" w:hAnsi="Cambria" w:cstheme="minorHAnsi"/>
        </w:rPr>
        <w:tab/>
        <w:t>17,410</w:t>
      </w:r>
      <w:r w:rsidRPr="009A0DA6">
        <w:rPr>
          <w:rFonts w:ascii="Cambria" w:hAnsi="Cambria" w:cstheme="minorHAnsi"/>
        </w:rPr>
        <w:tab/>
        <w:t>11,728</w:t>
      </w:r>
      <w:r w:rsidRPr="009A0DA6">
        <w:rPr>
          <w:rFonts w:ascii="Cambria" w:hAnsi="Cambria" w:cstheme="minorHAnsi"/>
        </w:rPr>
        <w:tab/>
        <w:t>4,528</w:t>
      </w:r>
    </w:p>
    <w:p w14:paraId="3BD807D5"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Ministry expenses</w:t>
      </w:r>
      <w:r w:rsidRPr="009A0DA6">
        <w:rPr>
          <w:rFonts w:ascii="Cambria" w:hAnsi="Cambria" w:cstheme="minorHAnsi"/>
        </w:rPr>
        <w:tab/>
        <w:t>59,878</w:t>
      </w:r>
      <w:r w:rsidRPr="009A0DA6">
        <w:rPr>
          <w:rFonts w:ascii="Cambria" w:hAnsi="Cambria" w:cstheme="minorHAnsi"/>
        </w:rPr>
        <w:tab/>
        <w:t>59,635</w:t>
      </w:r>
      <w:r w:rsidRPr="009A0DA6">
        <w:rPr>
          <w:rFonts w:ascii="Cambria" w:hAnsi="Cambria" w:cstheme="minorHAnsi"/>
        </w:rPr>
        <w:tab/>
        <w:t>47,828</w:t>
      </w:r>
    </w:p>
    <w:p w14:paraId="69B15503"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Project costs</w:t>
      </w:r>
      <w:r w:rsidRPr="009A0DA6">
        <w:rPr>
          <w:rFonts w:ascii="Cambria" w:hAnsi="Cambria" w:cstheme="minorHAnsi"/>
        </w:rPr>
        <w:tab/>
        <w:t>17,288</w:t>
      </w:r>
      <w:r w:rsidRPr="009A0DA6">
        <w:rPr>
          <w:rFonts w:ascii="Cambria" w:hAnsi="Cambria" w:cstheme="minorHAnsi"/>
        </w:rPr>
        <w:tab/>
        <w:t>1,075</w:t>
      </w:r>
      <w:r w:rsidRPr="009A0DA6">
        <w:rPr>
          <w:rFonts w:ascii="Cambria" w:hAnsi="Cambria" w:cstheme="minorHAnsi"/>
        </w:rPr>
        <w:tab/>
      </w:r>
    </w:p>
    <w:p w14:paraId="53173DBD"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Promotion and marketing costs</w:t>
      </w:r>
      <w:r w:rsidRPr="009A0DA6">
        <w:rPr>
          <w:rFonts w:ascii="Cambria" w:hAnsi="Cambria" w:cstheme="minorHAnsi"/>
        </w:rPr>
        <w:tab/>
        <w:t>16,009</w:t>
      </w:r>
      <w:r w:rsidRPr="009A0DA6">
        <w:rPr>
          <w:rFonts w:ascii="Cambria" w:hAnsi="Cambria" w:cstheme="minorHAnsi"/>
        </w:rPr>
        <w:tab/>
        <w:t>20,551</w:t>
      </w:r>
      <w:r w:rsidRPr="009A0DA6">
        <w:rPr>
          <w:rFonts w:ascii="Cambria" w:hAnsi="Cambria" w:cstheme="minorHAnsi"/>
        </w:rPr>
        <w:tab/>
        <w:t>28,339</w:t>
      </w:r>
    </w:p>
    <w:p w14:paraId="3DA859D8"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Travelling expenses</w:t>
      </w:r>
      <w:r w:rsidRPr="009A0DA6">
        <w:rPr>
          <w:rFonts w:ascii="Cambria" w:hAnsi="Cambria" w:cstheme="minorHAnsi"/>
        </w:rPr>
        <w:tab/>
        <w:t>28,678</w:t>
      </w:r>
      <w:r w:rsidRPr="009A0DA6">
        <w:rPr>
          <w:rFonts w:ascii="Cambria" w:hAnsi="Cambria" w:cstheme="minorHAnsi"/>
        </w:rPr>
        <w:tab/>
        <w:t>50,016</w:t>
      </w:r>
      <w:r w:rsidRPr="009A0DA6">
        <w:rPr>
          <w:rFonts w:ascii="Cambria" w:hAnsi="Cambria" w:cstheme="minorHAnsi"/>
        </w:rPr>
        <w:tab/>
        <w:t>29,699</w:t>
      </w:r>
    </w:p>
    <w:p w14:paraId="7E8B99AB"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b/>
        </w:rPr>
      </w:pPr>
      <w:r w:rsidRPr="009A0DA6">
        <w:rPr>
          <w:rFonts w:ascii="Cambria" w:hAnsi="Cambria" w:cstheme="minorHAnsi"/>
          <w:b/>
        </w:rPr>
        <w:tab/>
        <w:t>389,638</w:t>
      </w:r>
      <w:r w:rsidRPr="009A0DA6">
        <w:rPr>
          <w:rFonts w:ascii="Cambria" w:hAnsi="Cambria" w:cstheme="minorHAnsi"/>
          <w:b/>
        </w:rPr>
        <w:tab/>
        <w:t>445,077</w:t>
      </w:r>
      <w:r w:rsidRPr="009A0DA6">
        <w:rPr>
          <w:rFonts w:ascii="Cambria" w:hAnsi="Cambria" w:cstheme="minorHAnsi"/>
          <w:b/>
        </w:rPr>
        <w:tab/>
        <w:t>369,873</w:t>
      </w:r>
    </w:p>
    <w:p w14:paraId="4C932C08"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rPr>
      </w:pPr>
    </w:p>
    <w:p w14:paraId="450D12EF"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bCs/>
        </w:rPr>
      </w:pPr>
      <w:r w:rsidRPr="009A0DA6">
        <w:rPr>
          <w:rFonts w:ascii="Cambria" w:hAnsi="Cambria" w:cstheme="minorHAnsi"/>
        </w:rPr>
        <w:t>Operating Surplus for the year</w:t>
      </w:r>
      <w:r w:rsidRPr="009A0DA6">
        <w:rPr>
          <w:rFonts w:ascii="Cambria" w:hAnsi="Cambria" w:cstheme="minorHAnsi"/>
        </w:rPr>
        <w:tab/>
        <w:t>61,858</w:t>
      </w:r>
      <w:r w:rsidRPr="009A0DA6">
        <w:rPr>
          <w:rFonts w:ascii="Cambria" w:hAnsi="Cambria" w:cstheme="minorHAnsi"/>
          <w:bCs/>
        </w:rPr>
        <w:tab/>
        <w:t>(86,229)</w:t>
      </w:r>
      <w:r w:rsidRPr="009A0DA6">
        <w:rPr>
          <w:rFonts w:ascii="Cambria" w:hAnsi="Cambria" w:cstheme="minorHAnsi"/>
        </w:rPr>
        <w:tab/>
        <w:t>16,967</w:t>
      </w:r>
    </w:p>
    <w:p w14:paraId="219C4779"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LCA Transfers</w:t>
      </w:r>
      <w:r w:rsidRPr="009A0DA6">
        <w:rPr>
          <w:rFonts w:ascii="Cambria" w:hAnsi="Cambria" w:cstheme="minorHAnsi"/>
        </w:rPr>
        <w:tab/>
        <w:t>22,377</w:t>
      </w:r>
      <w:r w:rsidRPr="009A0DA6">
        <w:rPr>
          <w:rFonts w:ascii="Cambria" w:hAnsi="Cambria" w:cstheme="minorHAnsi"/>
        </w:rPr>
        <w:tab/>
        <w:t>7,833</w:t>
      </w:r>
      <w:r w:rsidRPr="009A0DA6">
        <w:rPr>
          <w:rFonts w:ascii="Cambria" w:hAnsi="Cambria" w:cstheme="minorHAnsi"/>
        </w:rPr>
        <w:tab/>
        <w:t>(28,694)</w:t>
      </w:r>
    </w:p>
    <w:p w14:paraId="036EAEF9"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b/>
          <w:bCs/>
        </w:rPr>
      </w:pPr>
      <w:r w:rsidRPr="009A0DA6">
        <w:rPr>
          <w:rFonts w:ascii="Cambria" w:hAnsi="Cambria" w:cstheme="minorHAnsi"/>
          <w:b/>
        </w:rPr>
        <w:t>Surplus after transfers</w:t>
      </w:r>
      <w:r w:rsidRPr="009A0DA6">
        <w:rPr>
          <w:rFonts w:ascii="Cambria" w:hAnsi="Cambria" w:cstheme="minorHAnsi"/>
          <w:b/>
        </w:rPr>
        <w:tab/>
        <w:t>$84,235</w:t>
      </w:r>
      <w:r w:rsidRPr="009A0DA6">
        <w:rPr>
          <w:rFonts w:ascii="Cambria" w:hAnsi="Cambria" w:cstheme="minorHAnsi"/>
          <w:b/>
          <w:bCs/>
        </w:rPr>
        <w:tab/>
        <w:t>$(78,396)</w:t>
      </w:r>
      <w:r w:rsidRPr="009A0DA6">
        <w:rPr>
          <w:rFonts w:ascii="Cambria" w:hAnsi="Cambria" w:cstheme="minorHAnsi"/>
          <w:b/>
        </w:rPr>
        <w:tab/>
        <w:t>$(11,727)</w:t>
      </w:r>
    </w:p>
    <w:p w14:paraId="483B3AE8"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b/>
          <w:highlight w:val="yellow"/>
        </w:rPr>
      </w:pPr>
    </w:p>
    <w:p w14:paraId="234FB5D1"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b/>
        </w:rPr>
      </w:pPr>
      <w:r w:rsidRPr="009A0DA6">
        <w:rPr>
          <w:rFonts w:ascii="Cambria" w:hAnsi="Cambria" w:cstheme="minorHAnsi"/>
          <w:b/>
        </w:rPr>
        <w:t>ACCUMULATED FUNDS</w:t>
      </w:r>
    </w:p>
    <w:p w14:paraId="43FEDD1B"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 xml:space="preserve">Opening balance 1 January </w:t>
      </w:r>
      <w:r w:rsidRPr="009A0DA6">
        <w:rPr>
          <w:rFonts w:ascii="Cambria" w:hAnsi="Cambria" w:cstheme="minorHAnsi"/>
        </w:rPr>
        <w:tab/>
        <w:t>93,818</w:t>
      </w:r>
      <w:r w:rsidRPr="009A0DA6">
        <w:rPr>
          <w:rFonts w:ascii="Cambria" w:hAnsi="Cambria" w:cstheme="minorHAnsi"/>
        </w:rPr>
        <w:tab/>
        <w:t>172,214</w:t>
      </w:r>
      <w:r w:rsidRPr="009A0DA6">
        <w:rPr>
          <w:rFonts w:ascii="Cambria" w:hAnsi="Cambria" w:cstheme="minorHAnsi"/>
        </w:rPr>
        <w:tab/>
        <w:t>175,682</w:t>
      </w:r>
    </w:p>
    <w:p w14:paraId="237527E8"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 xml:space="preserve">Operating Surplus for the year </w:t>
      </w:r>
      <w:r w:rsidRPr="009A0DA6">
        <w:rPr>
          <w:rFonts w:ascii="Cambria" w:hAnsi="Cambria" w:cstheme="minorHAnsi"/>
        </w:rPr>
        <w:tab/>
        <w:t>84,235</w:t>
      </w:r>
      <w:r w:rsidRPr="009A0DA6">
        <w:rPr>
          <w:rFonts w:ascii="Cambria" w:hAnsi="Cambria" w:cstheme="minorHAnsi"/>
        </w:rPr>
        <w:tab/>
        <w:t>(78,396)</w:t>
      </w:r>
      <w:r w:rsidRPr="009A0DA6">
        <w:rPr>
          <w:rFonts w:ascii="Cambria" w:hAnsi="Cambria" w:cstheme="minorHAnsi"/>
        </w:rPr>
        <w:tab/>
      </w:r>
      <w:r w:rsidRPr="009A0DA6">
        <w:rPr>
          <w:rFonts w:ascii="Cambria" w:hAnsi="Cambria" w:cstheme="minorHAnsi"/>
          <w:b/>
        </w:rPr>
        <w:t>(11,727)</w:t>
      </w:r>
    </w:p>
    <w:p w14:paraId="6088B39D"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bCs/>
        </w:rPr>
      </w:pPr>
      <w:r w:rsidRPr="009A0DA6">
        <w:rPr>
          <w:rFonts w:ascii="Cambria" w:hAnsi="Cambria" w:cstheme="minorHAnsi"/>
        </w:rPr>
        <w:t>Add distribution of gain on asset count</w:t>
      </w:r>
      <w:r w:rsidRPr="009A0DA6">
        <w:rPr>
          <w:rFonts w:ascii="Cambria" w:hAnsi="Cambria" w:cstheme="minorHAnsi"/>
        </w:rPr>
        <w:tab/>
        <w:t>0</w:t>
      </w:r>
      <w:r w:rsidRPr="009A0DA6">
        <w:rPr>
          <w:rFonts w:ascii="Cambria" w:hAnsi="Cambria" w:cstheme="minorHAnsi"/>
        </w:rPr>
        <w:tab/>
      </w:r>
      <w:r w:rsidRPr="009A0DA6">
        <w:rPr>
          <w:rFonts w:ascii="Cambria" w:hAnsi="Cambria" w:cstheme="minorHAnsi"/>
          <w:bCs/>
        </w:rPr>
        <w:t>0</w:t>
      </w:r>
      <w:r w:rsidRPr="009A0DA6">
        <w:rPr>
          <w:rFonts w:ascii="Cambria" w:hAnsi="Cambria" w:cstheme="minorHAnsi"/>
          <w:bCs/>
        </w:rPr>
        <w:tab/>
        <w:t>8,260</w:t>
      </w:r>
    </w:p>
    <w:p w14:paraId="775F810C"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b/>
          <w:bCs/>
        </w:rPr>
      </w:pPr>
      <w:r w:rsidRPr="009A0DA6">
        <w:rPr>
          <w:rFonts w:ascii="Cambria" w:hAnsi="Cambria" w:cstheme="minorHAnsi"/>
          <w:b/>
        </w:rPr>
        <w:t>Closing balance 31 December 2017</w:t>
      </w:r>
      <w:r w:rsidRPr="009A0DA6">
        <w:rPr>
          <w:rFonts w:ascii="Cambria" w:hAnsi="Cambria" w:cstheme="minorHAnsi"/>
          <w:b/>
        </w:rPr>
        <w:tab/>
        <w:t>$178,053</w:t>
      </w:r>
      <w:r w:rsidRPr="009A0DA6">
        <w:rPr>
          <w:rFonts w:ascii="Cambria" w:hAnsi="Cambria" w:cstheme="minorHAnsi"/>
          <w:b/>
          <w:bCs/>
        </w:rPr>
        <w:tab/>
        <w:t>$93,818</w:t>
      </w:r>
      <w:r w:rsidRPr="009A0DA6">
        <w:rPr>
          <w:rFonts w:ascii="Cambria" w:hAnsi="Cambria" w:cstheme="minorHAnsi"/>
          <w:b/>
        </w:rPr>
        <w:tab/>
        <w:t>$172,214</w:t>
      </w:r>
    </w:p>
    <w:p w14:paraId="786EBD84" w14:textId="77777777" w:rsidR="00930400" w:rsidRPr="009A0DA6" w:rsidRDefault="00930400" w:rsidP="00930400">
      <w:pPr>
        <w:pStyle w:val="Heading3"/>
      </w:pPr>
      <w:r w:rsidRPr="009A0DA6">
        <w:lastRenderedPageBreak/>
        <w:t>Agenda 4.1</w:t>
      </w:r>
    </w:p>
    <w:p w14:paraId="4B697C2B" w14:textId="77777777" w:rsidR="00930400" w:rsidRPr="009A0DA6" w:rsidRDefault="00930400" w:rsidP="00930400">
      <w:pPr>
        <w:pStyle w:val="Heading2"/>
      </w:pPr>
      <w:bookmarkStart w:id="475" w:name="_Toc521954727"/>
      <w:r w:rsidRPr="009A0DA6">
        <w:t>Board for Mission</w:t>
      </w:r>
      <w:bookmarkEnd w:id="475"/>
      <w:r w:rsidRPr="009A0DA6">
        <w:t xml:space="preserve"> </w:t>
      </w:r>
    </w:p>
    <w:p w14:paraId="28CD6A58" w14:textId="77777777" w:rsidR="00930400" w:rsidRPr="002E592D" w:rsidRDefault="00930400" w:rsidP="00930400">
      <w:pPr>
        <w:pStyle w:val="NoSpacing"/>
        <w:rPr>
          <w:sz w:val="8"/>
        </w:rPr>
      </w:pPr>
    </w:p>
    <w:p w14:paraId="6B757AF2" w14:textId="77777777" w:rsidR="00930400" w:rsidRPr="009A0DA6" w:rsidRDefault="00930400" w:rsidP="00930400">
      <w:pPr>
        <w:pStyle w:val="Heading3"/>
      </w:pPr>
      <w:r w:rsidRPr="009A0DA6">
        <w:t>MEMBERS</w:t>
      </w:r>
    </w:p>
    <w:p w14:paraId="6BE51413" w14:textId="7DA6E7E7" w:rsidR="00930400" w:rsidRDefault="00930400" w:rsidP="00FF349B">
      <w:pPr>
        <w:pStyle w:val="NoSpacing"/>
      </w:pPr>
      <w:r w:rsidRPr="009A0DA6">
        <w:t>Peter Hage, John Henderson, Robert Hoff, Chey Mattner (resigned), Anita Synnott (interim Chair), St</w:t>
      </w:r>
      <w:r w:rsidR="00FF349B">
        <w:t xml:space="preserve">even Wilksch (Chair, resigned) </w:t>
      </w:r>
      <w:r w:rsidR="00FF349B">
        <w:br/>
      </w:r>
      <w:r w:rsidRPr="009A0DA6">
        <w:rPr>
          <w:b/>
        </w:rPr>
        <w:t>Consultants</w:t>
      </w:r>
      <w:r w:rsidRPr="009A0DA6">
        <w:t>: Glenice Hartwich, Tania Nelson</w:t>
      </w:r>
    </w:p>
    <w:p w14:paraId="071B799D" w14:textId="77777777" w:rsidR="00FF349B" w:rsidRPr="00FF349B" w:rsidRDefault="00FF349B" w:rsidP="00FF349B">
      <w:pPr>
        <w:pStyle w:val="NoSpacing"/>
      </w:pPr>
    </w:p>
    <w:p w14:paraId="4E4010E4" w14:textId="77777777" w:rsidR="00930400" w:rsidRPr="009A0DA6" w:rsidRDefault="00930400" w:rsidP="00930400">
      <w:pPr>
        <w:pStyle w:val="Heading3"/>
      </w:pPr>
      <w:r w:rsidRPr="009A0DA6">
        <w:t>Background</w:t>
      </w:r>
    </w:p>
    <w:p w14:paraId="0AD4DB90" w14:textId="77777777" w:rsidR="00930400" w:rsidRPr="009A0DA6" w:rsidRDefault="00930400" w:rsidP="00930400">
      <w:pPr>
        <w:spacing w:before="120" w:after="120" w:line="240" w:lineRule="auto"/>
        <w:contextualSpacing/>
        <w:rPr>
          <w:rFonts w:ascii="Cambria" w:eastAsia="Times New Roman" w:hAnsi="Cambria" w:cstheme="minorHAnsi"/>
          <w:noProof/>
          <w:spacing w:val="-8"/>
        </w:rPr>
      </w:pPr>
      <w:r w:rsidRPr="009A0DA6">
        <w:rPr>
          <w:rFonts w:ascii="Cambria" w:eastAsia="Times New Roman" w:hAnsi="Cambria" w:cstheme="minorHAnsi"/>
          <w:noProof/>
          <w:spacing w:val="-8"/>
        </w:rPr>
        <w:t xml:space="preserve">The LCA Department for International Mission is part of the Office of the Bishop. </w:t>
      </w:r>
    </w:p>
    <w:p w14:paraId="22F7E9E6" w14:textId="77777777" w:rsidR="00930400" w:rsidRPr="009A0DA6" w:rsidRDefault="00930400" w:rsidP="00930400">
      <w:pPr>
        <w:shd w:val="clear" w:color="auto" w:fill="FFFFFF"/>
        <w:tabs>
          <w:tab w:val="left" w:pos="567"/>
          <w:tab w:val="left" w:pos="1134"/>
          <w:tab w:val="left" w:pos="1701"/>
          <w:tab w:val="left" w:pos="2268"/>
          <w:tab w:val="left" w:pos="2835"/>
          <w:tab w:val="left" w:pos="3402"/>
        </w:tabs>
        <w:spacing w:before="120" w:after="120" w:line="240" w:lineRule="auto"/>
        <w:ind w:left="567" w:hanging="567"/>
        <w:contextualSpacing/>
        <w:rPr>
          <w:rFonts w:ascii="Cambria" w:eastAsia="Times New Roman" w:hAnsi="Cambria" w:cstheme="minorHAnsi"/>
          <w:noProof/>
          <w:spacing w:val="-2"/>
        </w:rPr>
      </w:pPr>
      <w:r w:rsidRPr="009A0DA6">
        <w:rPr>
          <w:rFonts w:ascii="Cambria" w:eastAsia="Times New Roman" w:hAnsi="Cambria" w:cstheme="minorHAnsi"/>
          <w:noProof/>
          <w:spacing w:val="-2"/>
        </w:rPr>
        <w:t>The committee supports the LCA Bishop and will assist him carry out the following objects:</w:t>
      </w:r>
    </w:p>
    <w:p w14:paraId="1BD4D414" w14:textId="77777777" w:rsidR="00930400" w:rsidRPr="009A0DA6" w:rsidRDefault="00930400" w:rsidP="00F55252">
      <w:pPr>
        <w:pStyle w:val="ListParagraph"/>
        <w:numPr>
          <w:ilvl w:val="1"/>
          <w:numId w:val="179"/>
        </w:numPr>
        <w:spacing w:before="120" w:after="120" w:line="240" w:lineRule="auto"/>
        <w:ind w:left="567" w:hanging="567"/>
        <w:rPr>
          <w:rFonts w:ascii="Cambria" w:eastAsia="Times New Roman" w:hAnsi="Cambria" w:cstheme="minorHAnsi"/>
          <w:noProof/>
        </w:rPr>
      </w:pPr>
      <w:r w:rsidRPr="009A0DA6">
        <w:rPr>
          <w:rFonts w:ascii="Cambria" w:eastAsia="Times New Roman" w:hAnsi="Cambria" w:cstheme="minorHAnsi"/>
          <w:noProof/>
        </w:rPr>
        <w:t xml:space="preserve">accompany the international partner churches of the LCA as we together fulfill the mission command of Christ to 'go and make disciples of all peoples, baptising them in the name of the Father and of the Son and of the Holy Spirit, and teaching them to keep all that Christ has commanded' (Matthew 28:19,20; also Mark 16:15; </w:t>
      </w:r>
      <w:r w:rsidRPr="009A0DA6">
        <w:rPr>
          <w:rFonts w:ascii="Cambria" w:eastAsia="Times New Roman" w:hAnsi="Cambria" w:cstheme="minorHAnsi"/>
          <w:noProof/>
        </w:rPr>
        <w:br/>
        <w:t>Luke 24:46</w:t>
      </w:r>
      <w:r w:rsidRPr="009A0DA6">
        <w:rPr>
          <w:rFonts w:ascii="Cambria" w:eastAsia="Times New Roman" w:hAnsi="Cambria" w:cstheme="minorHAnsi"/>
          <w:noProof/>
        </w:rPr>
        <w:sym w:font="Symbol" w:char="F02D"/>
      </w:r>
      <w:r w:rsidRPr="009A0DA6">
        <w:rPr>
          <w:rFonts w:ascii="Cambria" w:eastAsia="Times New Roman" w:hAnsi="Cambria" w:cstheme="minorHAnsi"/>
          <w:noProof/>
        </w:rPr>
        <w:t>48; Acts 1:8);</w:t>
      </w:r>
    </w:p>
    <w:p w14:paraId="4ED8CD98" w14:textId="214D7FC3" w:rsidR="00930400" w:rsidRPr="009A0DA6" w:rsidRDefault="00930400" w:rsidP="00F55252">
      <w:pPr>
        <w:pStyle w:val="ListParagraph"/>
        <w:numPr>
          <w:ilvl w:val="1"/>
          <w:numId w:val="179"/>
        </w:numPr>
        <w:spacing w:before="120" w:after="120" w:line="240" w:lineRule="auto"/>
        <w:ind w:left="567" w:hanging="567"/>
        <w:rPr>
          <w:rFonts w:ascii="Cambria" w:eastAsia="Times New Roman" w:hAnsi="Cambria" w:cstheme="minorHAnsi"/>
          <w:noProof/>
        </w:rPr>
      </w:pPr>
      <w:r w:rsidRPr="009A0DA6">
        <w:rPr>
          <w:rFonts w:ascii="Cambria" w:eastAsia="Times New Roman" w:hAnsi="Cambria" w:cstheme="minorHAnsi"/>
          <w:noProof/>
        </w:rPr>
        <w:t>promote awareness of, interest in, and support for, the work of the church’s inter</w:t>
      </w:r>
      <w:r w:rsidR="00FF349B">
        <w:rPr>
          <w:rFonts w:ascii="Cambria" w:eastAsia="Times New Roman" w:hAnsi="Cambria" w:cstheme="minorHAnsi"/>
          <w:noProof/>
        </w:rPr>
        <w:t>-</w:t>
      </w:r>
      <w:r w:rsidRPr="009A0DA6">
        <w:rPr>
          <w:rFonts w:ascii="Cambria" w:eastAsia="Times New Roman" w:hAnsi="Cambria" w:cstheme="minorHAnsi"/>
          <w:noProof/>
        </w:rPr>
        <w:t>national partners as we together carry out God’s mission in their local contexts; and</w:t>
      </w:r>
    </w:p>
    <w:p w14:paraId="6E542140" w14:textId="77777777" w:rsidR="00930400" w:rsidRPr="009A0DA6" w:rsidRDefault="00930400" w:rsidP="00F55252">
      <w:pPr>
        <w:pStyle w:val="ListParagraph"/>
        <w:numPr>
          <w:ilvl w:val="1"/>
          <w:numId w:val="179"/>
        </w:numPr>
        <w:spacing w:before="120" w:after="120" w:line="240" w:lineRule="auto"/>
        <w:ind w:left="567" w:hanging="567"/>
        <w:rPr>
          <w:rFonts w:ascii="Cambria" w:eastAsia="Times New Roman" w:hAnsi="Cambria" w:cstheme="minorHAnsi"/>
          <w:noProof/>
        </w:rPr>
      </w:pPr>
      <w:r w:rsidRPr="009A0DA6">
        <w:rPr>
          <w:rFonts w:ascii="Cambria" w:eastAsia="Times New Roman" w:hAnsi="Cambria" w:cstheme="minorHAnsi"/>
          <w:noProof/>
        </w:rPr>
        <w:t>develop strategies and priorities for the church’s engagement with overseas churches in support of mission in their local context.</w:t>
      </w:r>
    </w:p>
    <w:p w14:paraId="2C8C76B5" w14:textId="77777777" w:rsidR="00930400" w:rsidRPr="009A0DA6" w:rsidRDefault="00930400" w:rsidP="00F55252">
      <w:pPr>
        <w:pStyle w:val="ListParagraph"/>
        <w:numPr>
          <w:ilvl w:val="1"/>
          <w:numId w:val="179"/>
        </w:numPr>
        <w:spacing w:before="120" w:after="120" w:line="240" w:lineRule="auto"/>
        <w:ind w:left="567" w:hanging="567"/>
        <w:rPr>
          <w:rFonts w:ascii="Cambria" w:eastAsia="Times New Roman" w:hAnsi="Cambria" w:cstheme="minorHAnsi"/>
          <w:noProof/>
        </w:rPr>
      </w:pPr>
      <w:r w:rsidRPr="009A0DA6">
        <w:rPr>
          <w:rFonts w:ascii="Cambria" w:eastAsia="Times New Roman" w:hAnsi="Cambria" w:cstheme="minorHAnsi"/>
          <w:noProof/>
        </w:rPr>
        <w:t>represent the church in relations with international church bodies and other agencies in connection with the LCA’s mission.</w:t>
      </w:r>
    </w:p>
    <w:p w14:paraId="23B2CB4F" w14:textId="77777777" w:rsidR="00930400" w:rsidRPr="002E592D" w:rsidRDefault="00930400" w:rsidP="00930400">
      <w:pPr>
        <w:spacing w:before="120" w:after="120" w:line="240" w:lineRule="auto"/>
        <w:contextualSpacing/>
        <w:rPr>
          <w:rFonts w:ascii="Cambria" w:eastAsia="Times New Roman" w:hAnsi="Cambria" w:cstheme="minorHAnsi"/>
          <w:noProof/>
          <w:spacing w:val="-8"/>
          <w:sz w:val="2"/>
        </w:rPr>
      </w:pPr>
    </w:p>
    <w:p w14:paraId="1D2E491A" w14:textId="201485A7" w:rsidR="00930400" w:rsidRPr="00766B14" w:rsidRDefault="00766B14" w:rsidP="00766B14">
      <w:pPr>
        <w:pStyle w:val="NoSpacing"/>
      </w:pPr>
      <w:r>
        <w:t xml:space="preserve">The work for the Committee for International Mission (which replaced the Board for Mission in 2016), </w:t>
      </w:r>
      <w:r w:rsidR="00930400" w:rsidRPr="00766B14">
        <w:t>is carried out by the staff and volunteers of LCA International Mission and members of the LCA, in partnership with international Lutheran churches and mission agencies working in PNG, Singapore, Malaysia (East and West), Indonesia, Thailand, Cambodia, Myanmar and Burundi.</w:t>
      </w:r>
    </w:p>
    <w:p w14:paraId="13B73527" w14:textId="77777777" w:rsidR="00930400" w:rsidRPr="002E592D" w:rsidRDefault="00930400" w:rsidP="00930400">
      <w:pPr>
        <w:spacing w:before="120" w:after="120" w:line="240" w:lineRule="auto"/>
        <w:contextualSpacing/>
        <w:rPr>
          <w:rFonts w:ascii="Cambria" w:hAnsi="Cambria" w:cstheme="minorHAnsi"/>
          <w:b/>
          <w:sz w:val="6"/>
        </w:rPr>
      </w:pPr>
    </w:p>
    <w:p w14:paraId="767ED050" w14:textId="77777777" w:rsidR="00930400" w:rsidRPr="009A0DA6" w:rsidRDefault="00930400" w:rsidP="00930400">
      <w:pPr>
        <w:pStyle w:val="Heading3"/>
      </w:pPr>
      <w:r w:rsidRPr="009A0DA6">
        <w:t>Achievement against Plan</w:t>
      </w:r>
    </w:p>
    <w:p w14:paraId="7A0A8146" w14:textId="77777777" w:rsidR="00930400" w:rsidRPr="009A0DA6" w:rsidRDefault="00930400" w:rsidP="00930400">
      <w:pPr>
        <w:pStyle w:val="Subtitle"/>
      </w:pPr>
      <w:r w:rsidRPr="009A0DA6">
        <w:t>Goal 1</w:t>
      </w:r>
    </w:p>
    <w:p w14:paraId="000E5025" w14:textId="77777777" w:rsidR="00930400" w:rsidRPr="009A0DA6" w:rsidRDefault="00930400" w:rsidP="00930400">
      <w:pPr>
        <w:spacing w:before="120" w:after="120" w:line="240" w:lineRule="auto"/>
        <w:contextualSpacing/>
        <w:rPr>
          <w:rFonts w:ascii="Cambria" w:hAnsi="Cambria" w:cstheme="minorHAnsi"/>
        </w:rPr>
      </w:pPr>
      <w:r w:rsidRPr="009A0DA6">
        <w:rPr>
          <w:rFonts w:ascii="Cambria" w:hAnsi="Cambria" w:cstheme="minorHAnsi"/>
          <w:b/>
        </w:rPr>
        <w:t>Through the work of the Holy Spirit and in partnership with others bring the life-changing news of the gospel to people overseas and cross-culturally in Australia</w:t>
      </w:r>
    </w:p>
    <w:p w14:paraId="40255CB4" w14:textId="77777777" w:rsidR="00930400" w:rsidRPr="009A0DA6" w:rsidRDefault="00930400" w:rsidP="00930400">
      <w:pPr>
        <w:spacing w:before="120" w:after="120" w:line="240" w:lineRule="auto"/>
        <w:contextualSpacing/>
        <w:rPr>
          <w:rFonts w:ascii="Cambria" w:hAnsi="Cambria" w:cstheme="minorHAnsi"/>
        </w:rPr>
      </w:pPr>
      <w:r w:rsidRPr="009A0DA6">
        <w:rPr>
          <w:rFonts w:ascii="Cambria" w:hAnsi="Cambria" w:cstheme="minorHAnsi"/>
          <w:b/>
        </w:rPr>
        <w:t>Planned Annual Activities/Outcomes</w:t>
      </w:r>
    </w:p>
    <w:p w14:paraId="7462473F" w14:textId="77777777" w:rsidR="00930400" w:rsidRPr="009A0DA6" w:rsidRDefault="00930400" w:rsidP="00F55252">
      <w:pPr>
        <w:pStyle w:val="ListParagraph"/>
        <w:numPr>
          <w:ilvl w:val="0"/>
          <w:numId w:val="173"/>
        </w:numPr>
        <w:spacing w:before="120" w:after="120" w:line="240" w:lineRule="auto"/>
        <w:ind w:left="567" w:hanging="567"/>
        <w:rPr>
          <w:rFonts w:ascii="Cambria" w:hAnsi="Cambria" w:cstheme="minorHAnsi"/>
          <w:b/>
        </w:rPr>
      </w:pPr>
      <w:r w:rsidRPr="009A0DA6">
        <w:rPr>
          <w:rFonts w:ascii="Cambria" w:hAnsi="Cambria" w:cstheme="minorHAnsi"/>
        </w:rPr>
        <w:t>An increased number of people are equipped to proclaim Christ and as a result an increased number of people come to faith in Jesus Christ</w:t>
      </w:r>
    </w:p>
    <w:p w14:paraId="79542BE7" w14:textId="77777777" w:rsidR="00930400" w:rsidRPr="009A0DA6" w:rsidRDefault="00930400" w:rsidP="002E592D">
      <w:pPr>
        <w:spacing w:after="0" w:line="240" w:lineRule="auto"/>
        <w:contextualSpacing/>
        <w:rPr>
          <w:rFonts w:ascii="Cambria" w:hAnsi="Cambria" w:cstheme="minorHAnsi"/>
          <w:b/>
        </w:rPr>
      </w:pPr>
      <w:r w:rsidRPr="009A0DA6">
        <w:rPr>
          <w:rFonts w:ascii="Cambria" w:hAnsi="Cambria" w:cstheme="minorHAnsi"/>
          <w:b/>
        </w:rPr>
        <w:t>Achievement of Annual Activities/Outcomes</w:t>
      </w:r>
    </w:p>
    <w:p w14:paraId="623299C8" w14:textId="77777777" w:rsidR="00FF349B" w:rsidRDefault="00930400" w:rsidP="00F55252">
      <w:pPr>
        <w:pStyle w:val="ListParagraph"/>
        <w:numPr>
          <w:ilvl w:val="0"/>
          <w:numId w:val="168"/>
        </w:numPr>
        <w:spacing w:after="0" w:line="240" w:lineRule="auto"/>
        <w:ind w:left="567" w:hanging="567"/>
        <w:rPr>
          <w:rFonts w:ascii="Cambria" w:hAnsi="Cambria" w:cstheme="minorHAnsi"/>
        </w:rPr>
      </w:pPr>
      <w:r w:rsidRPr="009A0DA6">
        <w:rPr>
          <w:rFonts w:ascii="Cambria" w:hAnsi="Cambria" w:cstheme="minorHAnsi"/>
          <w:b/>
        </w:rPr>
        <w:t>Strengthening of partnerships in the gospel</w:t>
      </w:r>
      <w:r w:rsidRPr="009A0DA6">
        <w:rPr>
          <w:rFonts w:ascii="Cambria" w:hAnsi="Cambria" w:cstheme="minorHAnsi"/>
        </w:rPr>
        <w:t xml:space="preserve"> with Lutheran churches and mission agencies in Burundi, Cambodia, Indonesia, Malaysia (East and West), Myanmar, Papua New Guinea, Singapore and Thailand through the following activities: regular annual attendance at joint consultations for partner church forums in all partner church relationships; Visits to the ministries and missions of the overseas partner churches; attendance of Bishop John Henderson and Glenice Hartwich at the LWF Assembly in Windhoek Namibia in 2017; representation by Robyn Kuchel at Women’s conference in Indonesia, and by Mr Peter Schirmer at Reformation commemorations in Indonesia in 2017: representation at Martin Luther Seminary (Lae, PNG) Reformation Commem</w:t>
      </w:r>
      <w:r w:rsidR="00FF349B">
        <w:rPr>
          <w:rFonts w:ascii="Cambria" w:hAnsi="Cambria" w:cstheme="minorHAnsi"/>
        </w:rPr>
        <w:t>-</w:t>
      </w:r>
      <w:r w:rsidRPr="009A0DA6">
        <w:rPr>
          <w:rFonts w:ascii="Cambria" w:hAnsi="Cambria" w:cstheme="minorHAnsi"/>
        </w:rPr>
        <w:t xml:space="preserve">oration by Rev John and Tresma Strelan; attendance by Bishop John Henderson and Glenice Hartwich at the Asian Church Leaders Conference in Manila in 2017; Visits to Australia and the LCA in 2017 by ELC-PNG leaders, Rev Naoki Sugioka (Mission </w:t>
      </w:r>
      <w:r w:rsidR="00FF349B">
        <w:rPr>
          <w:rFonts w:ascii="Cambria" w:hAnsi="Cambria" w:cstheme="minorHAnsi"/>
        </w:rPr>
        <w:br/>
      </w:r>
    </w:p>
    <w:p w14:paraId="2D252C0A" w14:textId="768833A8" w:rsidR="00930400" w:rsidRPr="009A0DA6" w:rsidRDefault="00930400" w:rsidP="00FF349B">
      <w:pPr>
        <w:pStyle w:val="ListParagraph"/>
        <w:spacing w:after="0" w:line="240" w:lineRule="auto"/>
        <w:ind w:left="567"/>
        <w:rPr>
          <w:rFonts w:ascii="Cambria" w:hAnsi="Cambria" w:cstheme="minorHAnsi"/>
        </w:rPr>
      </w:pPr>
      <w:r w:rsidRPr="009A0DA6">
        <w:rPr>
          <w:rFonts w:ascii="Cambria" w:hAnsi="Cambria" w:cstheme="minorHAnsi"/>
        </w:rPr>
        <w:lastRenderedPageBreak/>
        <w:t xml:space="preserve">director) of the Kiniki Evangelical Lutheran Church (Japan) and Rev Dr Traugott Farnbacher (Evangelical Lutheran Church in Bavaria / Mission One World). </w:t>
      </w:r>
      <w:r w:rsidRPr="009A0DA6">
        <w:rPr>
          <w:rFonts w:ascii="Cambria" w:hAnsi="Cambria" w:cstheme="minorHAnsi"/>
        </w:rPr>
        <w:br/>
      </w:r>
    </w:p>
    <w:p w14:paraId="06173D80" w14:textId="77777777" w:rsidR="00930400" w:rsidRPr="00D4753A" w:rsidRDefault="00930400" w:rsidP="00F55252">
      <w:pPr>
        <w:pStyle w:val="ListParagraph"/>
        <w:numPr>
          <w:ilvl w:val="0"/>
          <w:numId w:val="168"/>
        </w:numPr>
        <w:spacing w:before="120" w:after="120" w:line="240" w:lineRule="auto"/>
        <w:ind w:left="567" w:hanging="567"/>
        <w:rPr>
          <w:rFonts w:ascii="Cambria" w:hAnsi="Cambria" w:cstheme="minorHAnsi"/>
          <w:sz w:val="8"/>
        </w:rPr>
      </w:pPr>
      <w:r w:rsidRPr="009A0DA6">
        <w:rPr>
          <w:rFonts w:ascii="Cambria" w:hAnsi="Cambria" w:cstheme="minorHAnsi"/>
          <w:b/>
        </w:rPr>
        <w:t>Scholarships</w:t>
      </w:r>
      <w:r w:rsidRPr="009A0DA6">
        <w:rPr>
          <w:rFonts w:ascii="Cambria" w:hAnsi="Cambria" w:cstheme="minorHAnsi"/>
        </w:rPr>
        <w:t xml:space="preserve"> </w:t>
      </w:r>
      <w:r w:rsidRPr="009A0DA6">
        <w:rPr>
          <w:rFonts w:ascii="Cambria" w:hAnsi="Cambria" w:cstheme="minorHAnsi"/>
          <w:b/>
        </w:rPr>
        <w:t xml:space="preserve">In-country </w:t>
      </w:r>
      <w:r w:rsidRPr="009A0DA6">
        <w:rPr>
          <w:rFonts w:ascii="Cambria" w:hAnsi="Cambria" w:cstheme="minorHAnsi"/>
        </w:rPr>
        <w:t xml:space="preserve">provided to partners in PNG, Indonesia, Myanmar, Cambodia, Thailand and Burundi. </w:t>
      </w:r>
      <w:r w:rsidRPr="009A0DA6">
        <w:rPr>
          <w:rFonts w:ascii="Cambria" w:hAnsi="Cambria" w:cstheme="minorHAnsi"/>
          <w:b/>
        </w:rPr>
        <w:t>2015</w:t>
      </w:r>
      <w:r w:rsidRPr="009A0DA6">
        <w:rPr>
          <w:rFonts w:ascii="Cambria" w:hAnsi="Cambria" w:cstheme="minorHAnsi"/>
        </w:rPr>
        <w:t xml:space="preserve">: 10; </w:t>
      </w:r>
      <w:r w:rsidRPr="009A0DA6">
        <w:rPr>
          <w:rFonts w:ascii="Cambria" w:hAnsi="Cambria" w:cstheme="minorHAnsi"/>
          <w:b/>
        </w:rPr>
        <w:t>2016</w:t>
      </w:r>
      <w:r w:rsidRPr="009A0DA6">
        <w:rPr>
          <w:rFonts w:ascii="Cambria" w:hAnsi="Cambria" w:cstheme="minorHAnsi"/>
        </w:rPr>
        <w:t xml:space="preserve">: 11 </w:t>
      </w:r>
      <w:r w:rsidRPr="009A0DA6">
        <w:rPr>
          <w:rFonts w:ascii="Cambria" w:hAnsi="Cambria" w:cstheme="minorHAnsi"/>
          <w:b/>
        </w:rPr>
        <w:t>2017</w:t>
      </w:r>
      <w:r w:rsidRPr="009A0DA6">
        <w:rPr>
          <w:rFonts w:ascii="Cambria" w:hAnsi="Cambria" w:cstheme="minorHAnsi"/>
        </w:rPr>
        <w:t>: 12</w:t>
      </w:r>
      <w:r w:rsidRPr="009A0DA6">
        <w:rPr>
          <w:rFonts w:ascii="Cambria" w:hAnsi="Cambria" w:cstheme="minorHAnsi"/>
        </w:rPr>
        <w:br/>
      </w:r>
    </w:p>
    <w:p w14:paraId="449EFE03" w14:textId="77777777" w:rsidR="00930400" w:rsidRPr="00D4753A" w:rsidRDefault="00930400" w:rsidP="00F55252">
      <w:pPr>
        <w:pStyle w:val="ListParagraph"/>
        <w:numPr>
          <w:ilvl w:val="0"/>
          <w:numId w:val="168"/>
        </w:numPr>
        <w:spacing w:before="120" w:after="120" w:line="240" w:lineRule="auto"/>
        <w:ind w:left="567" w:hanging="567"/>
        <w:rPr>
          <w:rFonts w:ascii="Cambria" w:hAnsi="Cambria" w:cstheme="minorHAnsi"/>
          <w:sz w:val="8"/>
        </w:rPr>
      </w:pPr>
      <w:r w:rsidRPr="009A0DA6">
        <w:rPr>
          <w:rFonts w:ascii="Cambria" w:hAnsi="Cambria" w:cstheme="minorHAnsi"/>
          <w:b/>
        </w:rPr>
        <w:t>Scholarships in Australia</w:t>
      </w:r>
      <w:r w:rsidRPr="009A0DA6">
        <w:rPr>
          <w:rFonts w:ascii="Cambria" w:hAnsi="Cambria" w:cstheme="minorHAnsi"/>
        </w:rPr>
        <w:t xml:space="preserve"> (at ALC and in Lutheran schools) to partners from Indonesia, Singapore, Nepal, Malaysia, Japan and Cambodia. </w:t>
      </w:r>
      <w:r w:rsidRPr="009A0DA6">
        <w:rPr>
          <w:rFonts w:ascii="Cambria" w:hAnsi="Cambria" w:cstheme="minorHAnsi"/>
          <w:b/>
        </w:rPr>
        <w:t>2015</w:t>
      </w:r>
      <w:r w:rsidRPr="009A0DA6">
        <w:rPr>
          <w:rFonts w:ascii="Cambria" w:hAnsi="Cambria" w:cstheme="minorHAnsi"/>
        </w:rPr>
        <w:t xml:space="preserve">: 5; </w:t>
      </w:r>
      <w:r w:rsidRPr="009A0DA6">
        <w:rPr>
          <w:rFonts w:ascii="Cambria" w:hAnsi="Cambria" w:cstheme="minorHAnsi"/>
          <w:b/>
        </w:rPr>
        <w:t>2016</w:t>
      </w:r>
      <w:r w:rsidRPr="009A0DA6">
        <w:rPr>
          <w:rFonts w:ascii="Cambria" w:hAnsi="Cambria" w:cstheme="minorHAnsi"/>
        </w:rPr>
        <w:t xml:space="preserve">: 8 (and 15 guests for Luther@500 conference); </w:t>
      </w:r>
      <w:r w:rsidRPr="009A0DA6">
        <w:rPr>
          <w:rFonts w:ascii="Cambria" w:hAnsi="Cambria" w:cstheme="minorHAnsi"/>
          <w:b/>
        </w:rPr>
        <w:t>2017</w:t>
      </w:r>
      <w:r w:rsidRPr="009A0DA6">
        <w:rPr>
          <w:rFonts w:ascii="Cambria" w:hAnsi="Cambria" w:cstheme="minorHAnsi"/>
        </w:rPr>
        <w:t>: 6</w:t>
      </w:r>
      <w:r w:rsidRPr="009A0DA6">
        <w:rPr>
          <w:rFonts w:ascii="Cambria" w:hAnsi="Cambria" w:cstheme="minorHAnsi"/>
        </w:rPr>
        <w:br/>
      </w:r>
    </w:p>
    <w:p w14:paraId="2283A0DE" w14:textId="77777777" w:rsidR="00930400" w:rsidRPr="00D4753A" w:rsidRDefault="00930400" w:rsidP="00F55252">
      <w:pPr>
        <w:pStyle w:val="ListParagraph"/>
        <w:numPr>
          <w:ilvl w:val="0"/>
          <w:numId w:val="168"/>
        </w:numPr>
        <w:spacing w:before="120" w:after="120" w:line="240" w:lineRule="auto"/>
        <w:ind w:left="567" w:hanging="567"/>
        <w:rPr>
          <w:rFonts w:ascii="Cambria" w:hAnsi="Cambria" w:cstheme="minorHAnsi"/>
          <w:sz w:val="10"/>
        </w:rPr>
      </w:pPr>
      <w:r w:rsidRPr="00DE6169">
        <w:rPr>
          <w:rFonts w:ascii="Cambria" w:hAnsi="Cambria" w:cstheme="minorHAnsi"/>
        </w:rPr>
        <w:t>Targeted sho</w:t>
      </w:r>
      <w:r w:rsidRPr="009A0DA6">
        <w:rPr>
          <w:rFonts w:ascii="Cambria" w:hAnsi="Cambria" w:cstheme="minorHAnsi"/>
        </w:rPr>
        <w:t xml:space="preserve">rt-term scholarships in Australia in </w:t>
      </w:r>
      <w:r w:rsidRPr="009A0DA6">
        <w:rPr>
          <w:rFonts w:ascii="Cambria" w:hAnsi="Cambria" w:cstheme="minorHAnsi"/>
          <w:b/>
        </w:rPr>
        <w:t>Reconciliation Ministry</w:t>
      </w:r>
      <w:r w:rsidRPr="009A0DA6">
        <w:rPr>
          <w:rFonts w:ascii="Cambria" w:hAnsi="Cambria" w:cstheme="minorHAnsi"/>
        </w:rPr>
        <w:t xml:space="preserve"> for pastors and lecturers from Lutheran churches in Indonesia and Japan</w:t>
      </w:r>
      <w:r w:rsidRPr="009A0DA6">
        <w:rPr>
          <w:rFonts w:ascii="Cambria" w:hAnsi="Cambria" w:cstheme="minorHAnsi"/>
        </w:rPr>
        <w:br/>
      </w:r>
    </w:p>
    <w:p w14:paraId="2EBF2E14" w14:textId="77777777" w:rsidR="00930400" w:rsidRPr="009A0DA6" w:rsidRDefault="00930400" w:rsidP="00F55252">
      <w:pPr>
        <w:pStyle w:val="ListParagraph"/>
        <w:numPr>
          <w:ilvl w:val="0"/>
          <w:numId w:val="168"/>
        </w:numPr>
        <w:spacing w:before="120" w:after="120" w:line="240" w:lineRule="auto"/>
        <w:ind w:left="567" w:hanging="567"/>
        <w:rPr>
          <w:rFonts w:ascii="Cambria" w:hAnsi="Cambria" w:cstheme="minorHAnsi"/>
        </w:rPr>
      </w:pPr>
      <w:r w:rsidRPr="009A0DA6">
        <w:rPr>
          <w:rFonts w:ascii="Cambria" w:hAnsi="Cambria" w:cstheme="minorHAnsi"/>
          <w:b/>
        </w:rPr>
        <w:t>LCA pastors and lay people, ALC lecturers teaching in overseas mission contexts</w:t>
      </w:r>
      <w:r w:rsidRPr="009A0DA6">
        <w:rPr>
          <w:rFonts w:ascii="Cambria" w:hAnsi="Cambria" w:cstheme="minorHAnsi"/>
        </w:rPr>
        <w:t xml:space="preserve">: </w:t>
      </w:r>
      <w:r w:rsidRPr="009A0DA6">
        <w:rPr>
          <w:rFonts w:ascii="Cambria" w:hAnsi="Cambria" w:cstheme="minorHAnsi"/>
          <w:b/>
        </w:rPr>
        <w:t>2015</w:t>
      </w:r>
      <w:r w:rsidRPr="009A0DA6">
        <w:rPr>
          <w:rFonts w:ascii="Cambria" w:hAnsi="Cambria" w:cstheme="minorHAnsi"/>
        </w:rPr>
        <w:t xml:space="preserve">: Michael Hauser commenced as full-time lay lecturer at Martin Luther Seminary in Lae, PNG; training in Reconciliation Ministry in Malaysia; training in Lutheran education in Indonesia; </w:t>
      </w:r>
      <w:r w:rsidRPr="009A0DA6">
        <w:rPr>
          <w:rFonts w:ascii="Cambria" w:hAnsi="Cambria" w:cstheme="minorHAnsi"/>
          <w:b/>
        </w:rPr>
        <w:t>2016</w:t>
      </w:r>
      <w:r w:rsidRPr="009A0DA6">
        <w:rPr>
          <w:rFonts w:ascii="Cambria" w:hAnsi="Cambria" w:cstheme="minorHAnsi"/>
        </w:rPr>
        <w:t xml:space="preserve">: training in Reconciliation Ministry in Indonesia; training in Lutheran education in Indonesia; 3 month lecturing in PNG at Ogelbeng Seminary; short course at Lutheran Seminary in Thailand; Lutheran Spirituality course in Singapore </w:t>
      </w:r>
      <w:r w:rsidRPr="009A0DA6">
        <w:rPr>
          <w:rFonts w:ascii="Cambria" w:hAnsi="Cambria" w:cstheme="minorHAnsi"/>
          <w:b/>
        </w:rPr>
        <w:t xml:space="preserve">2017: </w:t>
      </w:r>
      <w:r w:rsidRPr="009A0DA6">
        <w:rPr>
          <w:rFonts w:ascii="Cambria" w:hAnsi="Cambria" w:cstheme="minorHAnsi"/>
        </w:rPr>
        <w:t xml:space="preserve">short course for Reformation event in Malaysia; training in Lutheran education in Indonesia and Malaysia; teaching for Reformation event in PNG. </w:t>
      </w:r>
    </w:p>
    <w:p w14:paraId="77578F67" w14:textId="77777777" w:rsidR="00930400" w:rsidRPr="009A0DA6" w:rsidRDefault="00930400" w:rsidP="00930400">
      <w:pPr>
        <w:spacing w:before="120" w:after="120" w:line="240" w:lineRule="auto"/>
        <w:ind w:left="567"/>
        <w:contextualSpacing/>
        <w:rPr>
          <w:rFonts w:ascii="Cambria" w:hAnsi="Cambria" w:cstheme="minorHAnsi"/>
        </w:rPr>
      </w:pPr>
      <w:r w:rsidRPr="009A0DA6">
        <w:rPr>
          <w:rFonts w:ascii="Cambria" w:hAnsi="Cambria" w:cstheme="minorHAnsi"/>
        </w:rPr>
        <w:t>In</w:t>
      </w:r>
      <w:r w:rsidRPr="009A0DA6">
        <w:rPr>
          <w:rFonts w:ascii="Cambria" w:hAnsi="Cambria" w:cstheme="minorHAnsi"/>
          <w:b/>
        </w:rPr>
        <w:t xml:space="preserve"> 2016 Pastor Greg Schiller </w:t>
      </w:r>
      <w:r w:rsidRPr="009A0DA6">
        <w:rPr>
          <w:rFonts w:ascii="Cambria" w:hAnsi="Cambria" w:cstheme="minorHAnsi"/>
        </w:rPr>
        <w:t>returned to Australia after</w:t>
      </w:r>
      <w:r w:rsidRPr="009A0DA6">
        <w:rPr>
          <w:rFonts w:ascii="Cambria" w:hAnsi="Cambria" w:cstheme="minorHAnsi"/>
          <w:b/>
        </w:rPr>
        <w:t xml:space="preserve"> </w:t>
      </w:r>
      <w:r w:rsidRPr="009A0DA6">
        <w:rPr>
          <w:rFonts w:ascii="Cambria" w:hAnsi="Cambria" w:cstheme="minorHAnsi"/>
        </w:rPr>
        <w:t xml:space="preserve">more than 30 years of service as a missionary/lecturer/mentor working together with the Evangelical Lutheran Church in PNG. We give thanks to God for Greg and his gift of service. </w:t>
      </w:r>
    </w:p>
    <w:p w14:paraId="55F81E21" w14:textId="31288509" w:rsidR="00FF349B" w:rsidRDefault="00930400" w:rsidP="00FF349B">
      <w:pPr>
        <w:spacing w:before="120" w:after="120" w:line="240" w:lineRule="auto"/>
        <w:ind w:left="567"/>
        <w:contextualSpacing/>
        <w:rPr>
          <w:rFonts w:ascii="Cambria" w:hAnsi="Cambria" w:cstheme="minorHAnsi"/>
        </w:rPr>
      </w:pPr>
      <w:r w:rsidRPr="009A0DA6">
        <w:rPr>
          <w:rFonts w:ascii="Cambria" w:hAnsi="Cambria" w:cstheme="minorHAnsi"/>
        </w:rPr>
        <w:t>We give thanks to God for the following people who have served in the LCA International Mission</w:t>
      </w:r>
      <w:r w:rsidRPr="009A0DA6">
        <w:rPr>
          <w:rFonts w:ascii="Cambria" w:hAnsi="Cambria" w:cstheme="minorHAnsi"/>
          <w:b/>
        </w:rPr>
        <w:t xml:space="preserve"> Volunteers in Mission program </w:t>
      </w:r>
      <w:r w:rsidRPr="009A0DA6">
        <w:rPr>
          <w:rFonts w:ascii="Cambria" w:hAnsi="Cambria" w:cstheme="minorHAnsi"/>
        </w:rPr>
        <w:t xml:space="preserve">together with our overseas partner churches and in Australia: </w:t>
      </w:r>
      <w:r w:rsidRPr="009A0DA6">
        <w:rPr>
          <w:rFonts w:ascii="Cambria" w:hAnsi="Cambria" w:cstheme="minorHAnsi"/>
          <w:b/>
        </w:rPr>
        <w:t>2015:</w:t>
      </w:r>
      <w:r w:rsidRPr="009A0DA6">
        <w:rPr>
          <w:rFonts w:ascii="Cambria" w:hAnsi="Cambria" w:cstheme="minorHAnsi"/>
        </w:rPr>
        <w:t xml:space="preserve"> </w:t>
      </w:r>
      <w:r w:rsidRPr="009A0DA6">
        <w:rPr>
          <w:rFonts w:ascii="Cambria" w:hAnsi="Cambria" w:cstheme="minorHAnsi"/>
          <w:b/>
        </w:rPr>
        <w:t>Indonesia</w:t>
      </w:r>
      <w:r w:rsidRPr="009A0DA6">
        <w:rPr>
          <w:rFonts w:ascii="Cambria" w:hAnsi="Cambria" w:cstheme="minorHAnsi"/>
        </w:rPr>
        <w:t xml:space="preserve">, John and Mal Morgan, Helen Schubert, Rev Paul Lohe, Andy and Michelle Broom and daughters Catherine and Elizabeth, Matt Higgins and Anna Reichenbach; </w:t>
      </w:r>
      <w:r w:rsidRPr="009A0DA6">
        <w:rPr>
          <w:rFonts w:ascii="Cambria" w:hAnsi="Cambria" w:cstheme="minorHAnsi"/>
          <w:b/>
        </w:rPr>
        <w:t>Cambodia</w:t>
      </w:r>
      <w:r w:rsidRPr="009A0DA6">
        <w:rPr>
          <w:rFonts w:ascii="Cambria" w:hAnsi="Cambria" w:cstheme="minorHAnsi"/>
        </w:rPr>
        <w:t xml:space="preserve">, Barbara Smith; </w:t>
      </w:r>
      <w:r w:rsidRPr="009A0DA6">
        <w:rPr>
          <w:rFonts w:ascii="Cambria" w:hAnsi="Cambria" w:cstheme="minorHAnsi"/>
          <w:b/>
        </w:rPr>
        <w:t xml:space="preserve">Malaysia </w:t>
      </w:r>
      <w:r w:rsidRPr="009A0DA6">
        <w:rPr>
          <w:rFonts w:ascii="Cambria" w:hAnsi="Cambria" w:cstheme="minorHAnsi"/>
        </w:rPr>
        <w:t xml:space="preserve">Di Welk; </w:t>
      </w:r>
      <w:r w:rsidRPr="009A0DA6">
        <w:rPr>
          <w:rFonts w:ascii="Cambria" w:hAnsi="Cambria" w:cstheme="minorHAnsi"/>
          <w:b/>
        </w:rPr>
        <w:t xml:space="preserve">PNG </w:t>
      </w:r>
      <w:r w:rsidRPr="009A0DA6">
        <w:rPr>
          <w:rFonts w:ascii="Cambria" w:hAnsi="Cambria" w:cstheme="minorHAnsi"/>
        </w:rPr>
        <w:t xml:space="preserve">Dr Greg (and Christine) Lockwood. </w:t>
      </w:r>
      <w:r w:rsidRPr="009A0DA6">
        <w:rPr>
          <w:rFonts w:ascii="Cambria" w:hAnsi="Cambria" w:cstheme="minorHAnsi"/>
          <w:b/>
        </w:rPr>
        <w:t>2016:</w:t>
      </w:r>
      <w:r w:rsidRPr="009A0DA6">
        <w:rPr>
          <w:rFonts w:ascii="Cambria" w:hAnsi="Cambria" w:cstheme="minorHAnsi"/>
        </w:rPr>
        <w:t xml:space="preserve"> </w:t>
      </w:r>
      <w:r w:rsidRPr="009A0DA6">
        <w:rPr>
          <w:rFonts w:ascii="Cambria" w:hAnsi="Cambria" w:cstheme="minorHAnsi"/>
          <w:b/>
        </w:rPr>
        <w:t>Malaysia</w:t>
      </w:r>
      <w:r w:rsidRPr="009A0DA6">
        <w:rPr>
          <w:rFonts w:ascii="Cambria" w:hAnsi="Cambria" w:cstheme="minorHAnsi"/>
        </w:rPr>
        <w:t xml:space="preserve"> Kate Wilson, </w:t>
      </w:r>
      <w:r w:rsidRPr="009A0DA6">
        <w:rPr>
          <w:rFonts w:ascii="Cambria" w:hAnsi="Cambria" w:cstheme="minorHAnsi"/>
          <w:b/>
        </w:rPr>
        <w:t>Cambodia</w:t>
      </w:r>
      <w:r w:rsidRPr="009A0DA6">
        <w:rPr>
          <w:rFonts w:ascii="Cambria" w:hAnsi="Cambria" w:cstheme="minorHAnsi"/>
        </w:rPr>
        <w:t>, Barbara Smith, Sybil and Devon Dutschke</w:t>
      </w:r>
      <w:r w:rsidRPr="009A0DA6">
        <w:rPr>
          <w:rFonts w:ascii="Cambria" w:hAnsi="Cambria" w:cstheme="minorHAnsi"/>
          <w:b/>
        </w:rPr>
        <w:t xml:space="preserve"> Indonesia</w:t>
      </w:r>
      <w:r w:rsidRPr="009A0DA6">
        <w:rPr>
          <w:rFonts w:ascii="Cambria" w:hAnsi="Cambria" w:cstheme="minorHAnsi"/>
        </w:rPr>
        <w:t xml:space="preserve"> John and Mal Morgan; </w:t>
      </w:r>
      <w:r w:rsidRPr="009A0DA6">
        <w:rPr>
          <w:rFonts w:ascii="Cambria" w:hAnsi="Cambria" w:cstheme="minorHAnsi"/>
          <w:b/>
        </w:rPr>
        <w:t>Thailand</w:t>
      </w:r>
      <w:r w:rsidRPr="009A0DA6">
        <w:rPr>
          <w:rFonts w:ascii="Cambria" w:hAnsi="Cambria" w:cstheme="minorHAnsi"/>
        </w:rPr>
        <w:t xml:space="preserve"> Brittany Whitfield, Hanna Schmidt and Dr Greg (and Christine) Lockwood; </w:t>
      </w:r>
      <w:r w:rsidRPr="009A0DA6">
        <w:rPr>
          <w:rFonts w:ascii="Cambria" w:hAnsi="Cambria" w:cstheme="minorHAnsi"/>
          <w:b/>
        </w:rPr>
        <w:t>Myanmar</w:t>
      </w:r>
      <w:r w:rsidRPr="009A0DA6">
        <w:rPr>
          <w:rFonts w:ascii="Cambria" w:hAnsi="Cambria" w:cstheme="minorHAnsi"/>
        </w:rPr>
        <w:t xml:space="preserve">: Kathy and Emily Bentead, Peter Ellis PNG; </w:t>
      </w:r>
      <w:r w:rsidRPr="009A0DA6">
        <w:rPr>
          <w:rFonts w:ascii="Cambria" w:hAnsi="Cambria" w:cstheme="minorHAnsi"/>
          <w:b/>
        </w:rPr>
        <w:t>Singapore</w:t>
      </w:r>
      <w:r w:rsidRPr="009A0DA6">
        <w:rPr>
          <w:rFonts w:ascii="Cambria" w:hAnsi="Cambria" w:cstheme="minorHAnsi"/>
        </w:rPr>
        <w:t xml:space="preserve">, Dr John Kleinig; </w:t>
      </w:r>
      <w:r w:rsidRPr="009A0DA6">
        <w:rPr>
          <w:rFonts w:ascii="Cambria" w:hAnsi="Cambria" w:cstheme="minorHAnsi"/>
          <w:b/>
        </w:rPr>
        <w:t>2017: Indonesia</w:t>
      </w:r>
      <w:r w:rsidRPr="009A0DA6">
        <w:rPr>
          <w:rFonts w:ascii="Cambria" w:hAnsi="Cambria" w:cstheme="minorHAnsi"/>
        </w:rPr>
        <w:t xml:space="preserve"> Rosemary Winderlich, Tracy Smith and Belinda Peterson, Mal and John Morgan </w:t>
      </w:r>
      <w:r w:rsidRPr="009A0DA6">
        <w:rPr>
          <w:rFonts w:ascii="Cambria" w:hAnsi="Cambria" w:cstheme="minorHAnsi"/>
          <w:b/>
        </w:rPr>
        <w:t xml:space="preserve">PNG </w:t>
      </w:r>
      <w:r w:rsidRPr="009A0DA6">
        <w:rPr>
          <w:rFonts w:ascii="Cambria" w:hAnsi="Cambria" w:cstheme="minorHAnsi"/>
        </w:rPr>
        <w:t xml:space="preserve">Allan Hall, </w:t>
      </w:r>
      <w:r w:rsidRPr="009A0DA6">
        <w:rPr>
          <w:rFonts w:ascii="Cambria" w:hAnsi="Cambria" w:cstheme="minorHAnsi"/>
          <w:b/>
        </w:rPr>
        <w:t xml:space="preserve">Sabah </w:t>
      </w:r>
      <w:r w:rsidRPr="009A0DA6">
        <w:rPr>
          <w:rFonts w:ascii="Cambria" w:hAnsi="Cambria" w:cstheme="minorHAnsi"/>
        </w:rPr>
        <w:t>Sarah Dumid</w:t>
      </w:r>
      <w:r w:rsidRPr="009A0DA6">
        <w:rPr>
          <w:rFonts w:ascii="Cambria" w:hAnsi="Cambria" w:cstheme="minorHAnsi"/>
          <w:b/>
        </w:rPr>
        <w:t xml:space="preserve"> Thailand</w:t>
      </w:r>
      <w:r w:rsidRPr="009A0DA6">
        <w:rPr>
          <w:rFonts w:ascii="Cambria" w:hAnsi="Cambria" w:cstheme="minorHAnsi"/>
        </w:rPr>
        <w:t xml:space="preserve"> Georgia Anker </w:t>
      </w:r>
      <w:r w:rsidRPr="009A0DA6">
        <w:rPr>
          <w:rFonts w:ascii="Cambria" w:hAnsi="Cambria" w:cstheme="minorHAnsi"/>
          <w:b/>
        </w:rPr>
        <w:t>Cambodia</w:t>
      </w:r>
      <w:r w:rsidRPr="009A0DA6">
        <w:rPr>
          <w:rFonts w:ascii="Cambria" w:hAnsi="Cambria" w:cstheme="minorHAnsi"/>
        </w:rPr>
        <w:t>, Barbara Smith</w:t>
      </w:r>
      <w:r w:rsidR="00FF349B">
        <w:rPr>
          <w:rFonts w:ascii="Cambria" w:hAnsi="Cambria" w:cstheme="minorHAnsi"/>
        </w:rPr>
        <w:t>.</w:t>
      </w:r>
    </w:p>
    <w:p w14:paraId="7A846D8D" w14:textId="77777777" w:rsidR="00FF349B" w:rsidRPr="009A0DA6" w:rsidRDefault="00FF349B" w:rsidP="00FF349B">
      <w:pPr>
        <w:spacing w:before="120" w:after="120" w:line="240" w:lineRule="auto"/>
        <w:ind w:left="567"/>
        <w:contextualSpacing/>
        <w:rPr>
          <w:rFonts w:ascii="Cambria" w:hAnsi="Cambria" w:cstheme="minorHAnsi"/>
        </w:rPr>
      </w:pPr>
    </w:p>
    <w:p w14:paraId="33797FC9" w14:textId="77777777" w:rsidR="00930400" w:rsidRPr="009A0DA6" w:rsidRDefault="00930400" w:rsidP="00930400">
      <w:pPr>
        <w:spacing w:before="120" w:after="120" w:line="240" w:lineRule="auto"/>
        <w:ind w:left="567"/>
        <w:contextualSpacing/>
        <w:rPr>
          <w:rFonts w:ascii="Cambria" w:hAnsi="Cambria" w:cstheme="minorHAnsi"/>
        </w:rPr>
      </w:pPr>
      <w:r w:rsidRPr="009A0DA6">
        <w:rPr>
          <w:rFonts w:ascii="Cambria" w:hAnsi="Cambria" w:cstheme="minorHAnsi"/>
        </w:rPr>
        <w:t xml:space="preserve">In </w:t>
      </w:r>
      <w:r w:rsidRPr="009A0DA6">
        <w:rPr>
          <w:rFonts w:ascii="Cambria" w:hAnsi="Cambria" w:cstheme="minorHAnsi"/>
          <w:b/>
        </w:rPr>
        <w:t xml:space="preserve">2016 </w:t>
      </w:r>
      <w:r w:rsidRPr="009A0DA6">
        <w:rPr>
          <w:rFonts w:ascii="Cambria" w:hAnsi="Cambria" w:cstheme="minorHAnsi"/>
        </w:rPr>
        <w:t xml:space="preserve">Nick Schwarz together with wife Meagan, returned to Australia after 7 years as an LCA International Mission volunteer, serving as a research assistant and assistant director of the Melanesian Institute in Goroka, PNG. We give thanks to God for Nick (and Meagan) and his gift of service. </w:t>
      </w:r>
    </w:p>
    <w:p w14:paraId="57281FC1" w14:textId="77777777" w:rsidR="00930400" w:rsidRPr="009A0DA6" w:rsidRDefault="00930400" w:rsidP="00930400">
      <w:pPr>
        <w:spacing w:before="120" w:after="120" w:line="240" w:lineRule="auto"/>
        <w:ind w:left="567"/>
        <w:contextualSpacing/>
        <w:rPr>
          <w:rFonts w:ascii="Cambria" w:hAnsi="Cambria" w:cstheme="minorHAnsi"/>
        </w:rPr>
      </w:pPr>
      <w:r w:rsidRPr="009A0DA6">
        <w:rPr>
          <w:rFonts w:ascii="Cambria" w:hAnsi="Cambria" w:cstheme="minorHAnsi"/>
        </w:rPr>
        <w:t xml:space="preserve">Colin and Ruth Hayter (PNG), Warren and Marianne Schirmer (Cambodia) and David Pietsch (Cambodia) have served as </w:t>
      </w:r>
      <w:r w:rsidRPr="009A0DA6">
        <w:rPr>
          <w:rFonts w:ascii="Cambria" w:hAnsi="Cambria" w:cstheme="minorHAnsi"/>
          <w:b/>
        </w:rPr>
        <w:t>LCA International Mission Program Assistants</w:t>
      </w:r>
      <w:r w:rsidRPr="009A0DA6">
        <w:rPr>
          <w:rFonts w:ascii="Cambria" w:hAnsi="Cambria" w:cstheme="minorHAnsi"/>
        </w:rPr>
        <w:t xml:space="preserve"> on a volunteer basis. Mr Peter Nitschke and the team of stamp cleaners for the </w:t>
      </w:r>
      <w:r w:rsidRPr="009A0DA6">
        <w:rPr>
          <w:rFonts w:ascii="Cambria" w:hAnsi="Cambria" w:cstheme="minorHAnsi"/>
          <w:b/>
        </w:rPr>
        <w:t>Stamps for Mission</w:t>
      </w:r>
      <w:r w:rsidRPr="009A0DA6">
        <w:rPr>
          <w:rFonts w:ascii="Cambria" w:hAnsi="Cambria" w:cstheme="minorHAnsi"/>
        </w:rPr>
        <w:t xml:space="preserve"> program have continued to provide funds for mission work, through the sale of used stamps. We thank God for these people and their gift of service.</w:t>
      </w:r>
    </w:p>
    <w:p w14:paraId="395711DF" w14:textId="77777777" w:rsidR="00930400" w:rsidRPr="00D4753A" w:rsidRDefault="00930400" w:rsidP="00F55252">
      <w:pPr>
        <w:pStyle w:val="ListParagraph"/>
        <w:numPr>
          <w:ilvl w:val="0"/>
          <w:numId w:val="168"/>
        </w:numPr>
        <w:spacing w:before="120" w:after="120" w:line="240" w:lineRule="auto"/>
        <w:ind w:left="567" w:hanging="567"/>
        <w:rPr>
          <w:rFonts w:ascii="Cambria" w:hAnsi="Cambria" w:cstheme="minorHAnsi"/>
          <w:b/>
          <w:sz w:val="10"/>
        </w:rPr>
      </w:pPr>
      <w:r w:rsidRPr="009A0DA6">
        <w:rPr>
          <w:rFonts w:ascii="Cambria" w:hAnsi="Cambria" w:cstheme="minorHAnsi"/>
        </w:rPr>
        <w:t xml:space="preserve">The </w:t>
      </w:r>
      <w:r w:rsidRPr="009A0DA6">
        <w:rPr>
          <w:rFonts w:ascii="Cambria" w:hAnsi="Cambria" w:cstheme="minorHAnsi"/>
          <w:b/>
        </w:rPr>
        <w:t>School service learning program</w:t>
      </w:r>
      <w:r w:rsidRPr="009A0DA6">
        <w:rPr>
          <w:rFonts w:ascii="Cambria" w:hAnsi="Cambria" w:cstheme="minorHAnsi"/>
        </w:rPr>
        <w:t xml:space="preserve"> has grown to include active partnerships with Australian Lutheran schools and schools and programs of Lutheran churches in Papua New Guinea (1), Indonesia (6), Malaysia (2) and Cambodia (2). These partnerships provide valuable learning experiences and growth in faith for all people involved in the partnerships. </w:t>
      </w:r>
      <w:r w:rsidRPr="009A0DA6">
        <w:rPr>
          <w:rFonts w:ascii="Cambria" w:hAnsi="Cambria" w:cstheme="minorHAnsi"/>
        </w:rPr>
        <w:br/>
      </w:r>
    </w:p>
    <w:p w14:paraId="5C555AEC" w14:textId="77777777" w:rsidR="00930400" w:rsidRPr="00DE6169" w:rsidRDefault="00930400" w:rsidP="00F55252">
      <w:pPr>
        <w:pStyle w:val="ListParagraph"/>
        <w:numPr>
          <w:ilvl w:val="0"/>
          <w:numId w:val="168"/>
        </w:numPr>
        <w:spacing w:before="120" w:after="120" w:line="240" w:lineRule="auto"/>
        <w:ind w:left="567" w:hanging="567"/>
        <w:rPr>
          <w:rFonts w:ascii="Cambria" w:hAnsi="Cambria" w:cstheme="minorHAnsi"/>
          <w:sz w:val="4"/>
        </w:rPr>
      </w:pPr>
      <w:r w:rsidRPr="009A0DA6">
        <w:rPr>
          <w:rFonts w:ascii="Cambria" w:hAnsi="Cambria" w:cstheme="minorHAnsi"/>
        </w:rPr>
        <w:t xml:space="preserve">The </w:t>
      </w:r>
      <w:r w:rsidRPr="009A0DA6">
        <w:rPr>
          <w:rFonts w:ascii="Cambria" w:hAnsi="Cambria" w:cstheme="minorHAnsi"/>
          <w:b/>
        </w:rPr>
        <w:t>congregational mission partnership program</w:t>
      </w:r>
      <w:r w:rsidRPr="009A0DA6">
        <w:rPr>
          <w:rFonts w:ascii="Cambria" w:hAnsi="Cambria" w:cstheme="minorHAnsi"/>
        </w:rPr>
        <w:t xml:space="preserve"> has grown to include the following LCA/NZ congregations and their partner church relationships and offering prayer, mission visits and active support : Barmera (SA), Dernancourt (SA), Epping (NSW), Woden (ACT), Ringwood (Vic) in </w:t>
      </w:r>
      <w:r w:rsidRPr="009A0DA6">
        <w:rPr>
          <w:rFonts w:ascii="Cambria" w:hAnsi="Cambria" w:cstheme="minorHAnsi"/>
          <w:b/>
        </w:rPr>
        <w:t>Cambodia</w:t>
      </w:r>
      <w:r w:rsidRPr="009A0DA6">
        <w:rPr>
          <w:rFonts w:ascii="Cambria" w:hAnsi="Cambria" w:cstheme="minorHAnsi"/>
        </w:rPr>
        <w:t xml:space="preserve">; Bridgewater (SA), Wellington </w:t>
      </w:r>
      <w:r w:rsidRPr="009A0DA6">
        <w:rPr>
          <w:rFonts w:ascii="Cambria" w:hAnsi="Cambria" w:cstheme="minorHAnsi"/>
        </w:rPr>
        <w:lastRenderedPageBreak/>
        <w:t xml:space="preserve">(NZ) in </w:t>
      </w:r>
      <w:r w:rsidRPr="009A0DA6">
        <w:rPr>
          <w:rFonts w:ascii="Cambria" w:hAnsi="Cambria" w:cstheme="minorHAnsi"/>
          <w:b/>
        </w:rPr>
        <w:t>Thailand</w:t>
      </w:r>
      <w:r w:rsidRPr="009A0DA6">
        <w:rPr>
          <w:rFonts w:ascii="Cambria" w:hAnsi="Cambria" w:cstheme="minorHAnsi"/>
        </w:rPr>
        <w:t xml:space="preserve">; Grampians parish (Vic), Hahndorf St Pauls (SA), Horsham (Vic), Ringwood (Vic), Ipswich (Qld) in </w:t>
      </w:r>
      <w:r w:rsidRPr="009A0DA6">
        <w:rPr>
          <w:rFonts w:ascii="Cambria" w:hAnsi="Cambria" w:cstheme="minorHAnsi"/>
          <w:b/>
        </w:rPr>
        <w:t>PNG</w:t>
      </w:r>
      <w:r w:rsidRPr="009A0DA6">
        <w:rPr>
          <w:rFonts w:ascii="Cambria" w:hAnsi="Cambria" w:cstheme="minorHAnsi"/>
        </w:rPr>
        <w:t xml:space="preserve">; Manawatu(NZ), SHWALLY (SA) in </w:t>
      </w:r>
      <w:r w:rsidRPr="009A0DA6">
        <w:rPr>
          <w:rFonts w:ascii="Cambria" w:hAnsi="Cambria" w:cstheme="minorHAnsi"/>
          <w:b/>
        </w:rPr>
        <w:t>Malaysia</w:t>
      </w:r>
      <w:r w:rsidRPr="009A0DA6">
        <w:rPr>
          <w:rFonts w:ascii="Cambria" w:hAnsi="Cambria" w:cstheme="minorHAnsi"/>
        </w:rPr>
        <w:t xml:space="preserve">; and Ipswich (Qld) in </w:t>
      </w:r>
      <w:r w:rsidRPr="009A0DA6">
        <w:rPr>
          <w:rFonts w:ascii="Cambria" w:hAnsi="Cambria" w:cstheme="minorHAnsi"/>
          <w:b/>
        </w:rPr>
        <w:t>Myanmar</w:t>
      </w:r>
      <w:r w:rsidRPr="009A0DA6">
        <w:rPr>
          <w:rFonts w:ascii="Cambria" w:hAnsi="Cambria" w:cstheme="minorHAnsi"/>
        </w:rPr>
        <w:t xml:space="preserve">. In addition 20 LCA congregations have nominated a member to serve as an LCA International Mission </w:t>
      </w:r>
      <w:r w:rsidRPr="009A0DA6">
        <w:rPr>
          <w:rFonts w:ascii="Cambria" w:hAnsi="Cambria" w:cstheme="minorHAnsi"/>
          <w:b/>
        </w:rPr>
        <w:t>congregational representative</w:t>
      </w:r>
      <w:r w:rsidRPr="009A0DA6">
        <w:rPr>
          <w:rFonts w:ascii="Cambria" w:hAnsi="Cambria" w:cstheme="minorHAnsi"/>
        </w:rPr>
        <w:t xml:space="preserve"> to invite their members to ‘Go and Grow’.</w:t>
      </w:r>
      <w:r w:rsidRPr="009A0DA6">
        <w:rPr>
          <w:rFonts w:ascii="Cambria" w:hAnsi="Cambria" w:cstheme="minorHAnsi"/>
        </w:rPr>
        <w:br/>
      </w:r>
    </w:p>
    <w:p w14:paraId="518DF171" w14:textId="77777777" w:rsidR="00930400" w:rsidRPr="00DE6169" w:rsidRDefault="00930400" w:rsidP="00F55252">
      <w:pPr>
        <w:pStyle w:val="ListParagraph"/>
        <w:numPr>
          <w:ilvl w:val="0"/>
          <w:numId w:val="168"/>
        </w:numPr>
        <w:spacing w:before="120" w:after="120" w:line="240" w:lineRule="auto"/>
        <w:ind w:left="567" w:hanging="567"/>
        <w:rPr>
          <w:rFonts w:ascii="Cambria" w:hAnsi="Cambria" w:cstheme="minorHAnsi"/>
          <w:sz w:val="12"/>
        </w:rPr>
      </w:pPr>
      <w:r w:rsidRPr="009A0DA6">
        <w:rPr>
          <w:rFonts w:ascii="Cambria" w:hAnsi="Cambria" w:cstheme="minorHAnsi"/>
        </w:rPr>
        <w:t xml:space="preserve">The LCA International Mission schools and congregational partnership programs and the volunteers in mission program enable people (young and older) to be aware of and to engage more personally in God’s mission through our long established relationships with overseas partner churches (Go and Grow). </w:t>
      </w:r>
      <w:r w:rsidRPr="009A0DA6">
        <w:rPr>
          <w:rFonts w:ascii="Cambria" w:hAnsi="Cambria" w:cstheme="minorHAnsi"/>
        </w:rPr>
        <w:br/>
      </w:r>
    </w:p>
    <w:p w14:paraId="4D74507F" w14:textId="77777777" w:rsidR="00930400" w:rsidRPr="00DE6169" w:rsidRDefault="00930400" w:rsidP="00F55252">
      <w:pPr>
        <w:pStyle w:val="ListParagraph"/>
        <w:numPr>
          <w:ilvl w:val="0"/>
          <w:numId w:val="168"/>
        </w:numPr>
        <w:spacing w:before="120" w:after="120" w:line="240" w:lineRule="auto"/>
        <w:ind w:left="567" w:hanging="567"/>
        <w:rPr>
          <w:rFonts w:ascii="Cambria" w:hAnsi="Cambria" w:cstheme="minorHAnsi"/>
          <w:sz w:val="10"/>
        </w:rPr>
      </w:pPr>
      <w:r w:rsidRPr="009A0DA6">
        <w:rPr>
          <w:rFonts w:ascii="Cambria" w:hAnsi="Cambria" w:cstheme="minorHAnsi"/>
        </w:rPr>
        <w:t xml:space="preserve">Support for the </w:t>
      </w:r>
      <w:r w:rsidRPr="009A0DA6">
        <w:rPr>
          <w:rFonts w:ascii="Cambria" w:hAnsi="Cambria" w:cstheme="minorHAnsi"/>
          <w:b/>
        </w:rPr>
        <w:t>production of Lutheran theological literature</w:t>
      </w:r>
      <w:r w:rsidRPr="009A0DA6">
        <w:rPr>
          <w:rFonts w:ascii="Cambria" w:hAnsi="Cambria" w:cstheme="minorHAnsi"/>
        </w:rPr>
        <w:t xml:space="preserve"> has continued strongly in partnership with Indonesian Lutheran churches and is strengthened through the LCA International Mission Sabbatical scholarship program in which Indonesian seminary lecturers are required to prepare material for publication in the ‘Lutheran Identity’ series. </w:t>
      </w:r>
      <w:r w:rsidRPr="009A0DA6">
        <w:rPr>
          <w:rFonts w:ascii="Cambria" w:hAnsi="Cambria" w:cstheme="minorHAnsi"/>
        </w:rPr>
        <w:br/>
      </w:r>
    </w:p>
    <w:p w14:paraId="0240E6D1" w14:textId="77777777" w:rsidR="00930400" w:rsidRPr="00DE6169" w:rsidRDefault="00930400" w:rsidP="00F55252">
      <w:pPr>
        <w:pStyle w:val="ListParagraph"/>
        <w:numPr>
          <w:ilvl w:val="0"/>
          <w:numId w:val="168"/>
        </w:numPr>
        <w:spacing w:before="120" w:after="120" w:line="240" w:lineRule="auto"/>
        <w:ind w:left="567" w:hanging="567"/>
        <w:rPr>
          <w:rFonts w:ascii="Cambria" w:hAnsi="Cambria" w:cstheme="minorHAnsi"/>
          <w:sz w:val="12"/>
        </w:rPr>
      </w:pPr>
      <w:r w:rsidRPr="009A0DA6">
        <w:rPr>
          <w:rFonts w:ascii="Cambria" w:hAnsi="Cambria" w:cstheme="minorHAnsi"/>
        </w:rPr>
        <w:t>With the support from LCA International Mission and some overseas partner churches, the former LCA publication, ‘</w:t>
      </w:r>
      <w:r w:rsidRPr="009A0DA6">
        <w:rPr>
          <w:rFonts w:ascii="Cambria" w:hAnsi="Cambria" w:cstheme="minorHAnsi"/>
          <w:b/>
        </w:rPr>
        <w:t>Growing as God’s People’</w:t>
      </w:r>
      <w:r w:rsidRPr="009A0DA6">
        <w:rPr>
          <w:rFonts w:ascii="Cambria" w:hAnsi="Cambria" w:cstheme="minorHAnsi"/>
        </w:rPr>
        <w:t xml:space="preserve"> has now been translated into the Chinese, Malaysian, Indonesia and Lisu languages and a request has been received to also translate this into the Burmese language with the support of the Ipswich (Old) congregation. In addition the English version has now been revised with new artwork, re-edited by Rev David Strelan (one of the original LCA authors) and reprinted. </w:t>
      </w:r>
      <w:r w:rsidRPr="009A0DA6">
        <w:rPr>
          <w:rFonts w:ascii="Cambria" w:hAnsi="Cambria" w:cstheme="minorHAnsi"/>
        </w:rPr>
        <w:br/>
      </w:r>
    </w:p>
    <w:p w14:paraId="0EE388C4" w14:textId="77777777" w:rsidR="00930400" w:rsidRPr="00DE6169" w:rsidRDefault="00930400" w:rsidP="00F55252">
      <w:pPr>
        <w:pStyle w:val="ListParagraph"/>
        <w:numPr>
          <w:ilvl w:val="0"/>
          <w:numId w:val="168"/>
        </w:numPr>
        <w:spacing w:before="120" w:after="120" w:line="240" w:lineRule="auto"/>
        <w:ind w:left="567" w:hanging="567"/>
        <w:rPr>
          <w:rFonts w:ascii="Cambria" w:hAnsi="Cambria" w:cstheme="minorHAnsi"/>
          <w:sz w:val="12"/>
        </w:rPr>
      </w:pPr>
      <w:r w:rsidRPr="009A0DA6">
        <w:rPr>
          <w:rFonts w:ascii="Cambria" w:hAnsi="Cambria" w:cstheme="minorHAnsi"/>
          <w:b/>
        </w:rPr>
        <w:t>Consultancy in Lutheran education.</w:t>
      </w:r>
      <w:r w:rsidRPr="009A0DA6">
        <w:rPr>
          <w:rFonts w:ascii="Cambria" w:hAnsi="Cambria" w:cstheme="minorHAnsi"/>
        </w:rPr>
        <w:t xml:space="preserve"> Since 2012 support from LCA International Mission in Indonesia has focussed on their Lutheran schools and development of the capacity of their school leaders. Education consultant, Dr Neville Highett and other LEA consultants, have offered seminars in Indonesia and in Australia which have focussed on developing the skills of principals and their staff to work collaboratively with their community on school improvement planning. Discussions commenced in 2017 for the expansion of this form of partnership assistance to be implemented in the Lutheran Education department of the ELC-PNG.</w:t>
      </w:r>
      <w:r w:rsidRPr="009A0DA6">
        <w:rPr>
          <w:rFonts w:ascii="Cambria" w:hAnsi="Cambria" w:cstheme="minorHAnsi"/>
        </w:rPr>
        <w:br/>
      </w:r>
    </w:p>
    <w:p w14:paraId="4A027A75" w14:textId="77777777" w:rsidR="00930400" w:rsidRPr="00DE6169" w:rsidRDefault="00930400" w:rsidP="00F55252">
      <w:pPr>
        <w:pStyle w:val="ListParagraph"/>
        <w:numPr>
          <w:ilvl w:val="0"/>
          <w:numId w:val="168"/>
        </w:numPr>
        <w:spacing w:before="120" w:after="120" w:line="240" w:lineRule="auto"/>
        <w:ind w:left="567" w:hanging="567"/>
        <w:rPr>
          <w:rFonts w:ascii="Cambria" w:hAnsi="Cambria" w:cstheme="minorHAnsi"/>
          <w:sz w:val="10"/>
        </w:rPr>
      </w:pPr>
      <w:r w:rsidRPr="009A0DA6">
        <w:rPr>
          <w:rFonts w:ascii="Cambria" w:hAnsi="Cambria" w:cstheme="minorHAnsi"/>
        </w:rPr>
        <w:t>LCA International Mission funds received from the LLL International Mission Fund has also been given to ALWS for support of the Centre for Development and Disaster Risk Management in Indonesia.</w:t>
      </w:r>
      <w:r w:rsidRPr="009A0DA6">
        <w:rPr>
          <w:rFonts w:ascii="Cambria" w:hAnsi="Cambria" w:cstheme="minorHAnsi"/>
        </w:rPr>
        <w:br/>
      </w:r>
    </w:p>
    <w:p w14:paraId="5C20AE46" w14:textId="77777777" w:rsidR="00930400" w:rsidRPr="00DE6169" w:rsidRDefault="00930400" w:rsidP="00F55252">
      <w:pPr>
        <w:pStyle w:val="ListParagraph"/>
        <w:numPr>
          <w:ilvl w:val="0"/>
          <w:numId w:val="168"/>
        </w:numPr>
        <w:spacing w:before="120" w:after="120" w:line="240" w:lineRule="auto"/>
        <w:ind w:left="567" w:hanging="567"/>
        <w:rPr>
          <w:rFonts w:ascii="Cambria" w:hAnsi="Cambria" w:cstheme="minorHAnsi"/>
          <w:sz w:val="12"/>
        </w:rPr>
      </w:pPr>
      <w:r w:rsidRPr="009A0DA6">
        <w:rPr>
          <w:rFonts w:ascii="Cambria" w:hAnsi="Cambria" w:cstheme="minorHAnsi"/>
        </w:rPr>
        <w:t xml:space="preserve">LCA International Mission support for and involvement in the </w:t>
      </w:r>
      <w:r w:rsidRPr="009A0DA6">
        <w:rPr>
          <w:rFonts w:ascii="Cambria" w:hAnsi="Cambria" w:cstheme="minorHAnsi"/>
          <w:b/>
        </w:rPr>
        <w:t>Grow Leadership ‘Cultivating Young leaders’</w:t>
      </w:r>
      <w:r w:rsidRPr="009A0DA6">
        <w:rPr>
          <w:rFonts w:ascii="Cambria" w:hAnsi="Cambria" w:cstheme="minorHAnsi"/>
        </w:rPr>
        <w:t xml:space="preserve"> program in 2017 included funding 4 international participants in the program (2 from Indonesia and 2 from Cambodia), and all costs for all LCA and overseas participants and Grow leaders to travel to Cambodia and join together with the Lutheran Church in Cambodia for the ‘Stretch and Grow’ component.</w:t>
      </w:r>
      <w:r w:rsidRPr="009A0DA6">
        <w:rPr>
          <w:rFonts w:ascii="Cambria" w:hAnsi="Cambria" w:cstheme="minorHAnsi"/>
        </w:rPr>
        <w:br/>
      </w:r>
    </w:p>
    <w:p w14:paraId="6CCA901D" w14:textId="77777777" w:rsidR="00930400" w:rsidRPr="009A0DA6" w:rsidRDefault="00930400" w:rsidP="00F55252">
      <w:pPr>
        <w:pStyle w:val="ListParagraph"/>
        <w:numPr>
          <w:ilvl w:val="0"/>
          <w:numId w:val="168"/>
        </w:numPr>
        <w:spacing w:before="120" w:after="120" w:line="240" w:lineRule="auto"/>
        <w:ind w:left="567" w:hanging="567"/>
        <w:rPr>
          <w:rFonts w:ascii="Cambria" w:hAnsi="Cambria" w:cstheme="minorHAnsi"/>
        </w:rPr>
      </w:pPr>
      <w:r w:rsidRPr="009A0DA6">
        <w:rPr>
          <w:rFonts w:ascii="Cambria" w:hAnsi="Cambria" w:cstheme="minorHAnsi"/>
        </w:rPr>
        <w:t>Direct support for outreach and theological training particularly in Myanmar, Thailand, Malaysia and Cambodia has seen many people baptised and come to a saving faith in Jesus Christ.</w:t>
      </w:r>
    </w:p>
    <w:p w14:paraId="32079CD3" w14:textId="77777777" w:rsidR="00930400" w:rsidRPr="009A0DA6" w:rsidRDefault="00930400" w:rsidP="00930400">
      <w:pPr>
        <w:pStyle w:val="Subtitle"/>
      </w:pPr>
      <w:r w:rsidRPr="009A0DA6">
        <w:t>Goal 2</w:t>
      </w:r>
    </w:p>
    <w:p w14:paraId="691820E5" w14:textId="77777777" w:rsidR="00930400" w:rsidRPr="009A0DA6" w:rsidRDefault="00930400" w:rsidP="00930400">
      <w:pPr>
        <w:spacing w:before="120" w:after="120" w:line="240" w:lineRule="auto"/>
        <w:contextualSpacing/>
        <w:rPr>
          <w:rFonts w:ascii="Cambria" w:hAnsi="Cambria" w:cstheme="minorHAnsi"/>
          <w:b/>
        </w:rPr>
      </w:pPr>
      <w:r w:rsidRPr="009A0DA6">
        <w:rPr>
          <w:rFonts w:ascii="Cambria" w:hAnsi="Cambria" w:cstheme="minorHAnsi"/>
          <w:b/>
        </w:rPr>
        <w:t>Commence with the transition of the Board for Mission to the Committee for International Mission under the Office of the Bishop</w:t>
      </w:r>
    </w:p>
    <w:p w14:paraId="5DB2CDA7" w14:textId="77777777" w:rsidR="00930400" w:rsidRPr="009A0DA6" w:rsidRDefault="00930400" w:rsidP="00930400">
      <w:pPr>
        <w:spacing w:before="120" w:after="120" w:line="240" w:lineRule="auto"/>
        <w:contextualSpacing/>
        <w:rPr>
          <w:rFonts w:ascii="Cambria" w:hAnsi="Cambria" w:cstheme="minorHAnsi"/>
          <w:b/>
        </w:rPr>
      </w:pPr>
      <w:r w:rsidRPr="009A0DA6">
        <w:rPr>
          <w:rFonts w:ascii="Cambria" w:hAnsi="Cambria" w:cstheme="minorHAnsi"/>
          <w:b/>
        </w:rPr>
        <w:t>Planned Annual Activities/Outcomes</w:t>
      </w:r>
    </w:p>
    <w:p w14:paraId="2F885F0E" w14:textId="77777777" w:rsidR="00930400" w:rsidRPr="00DE6169" w:rsidRDefault="00930400" w:rsidP="00F55252">
      <w:pPr>
        <w:pStyle w:val="ListParagraph"/>
        <w:numPr>
          <w:ilvl w:val="0"/>
          <w:numId w:val="170"/>
        </w:numPr>
        <w:spacing w:before="120" w:after="120" w:line="240" w:lineRule="auto"/>
        <w:ind w:left="567" w:hanging="567"/>
        <w:rPr>
          <w:rFonts w:ascii="Cambria" w:hAnsi="Cambria" w:cstheme="minorHAnsi"/>
          <w:sz w:val="12"/>
        </w:rPr>
      </w:pPr>
      <w:r w:rsidRPr="009A0DA6">
        <w:rPr>
          <w:rFonts w:ascii="Cambria" w:hAnsi="Cambria" w:cstheme="minorHAnsi"/>
        </w:rPr>
        <w:t xml:space="preserve">Restructuring of the work of LCA International Mission office and successful orientation of two new Program Officers </w:t>
      </w:r>
      <w:r w:rsidRPr="009A0DA6">
        <w:rPr>
          <w:rFonts w:ascii="Cambria" w:hAnsi="Cambria" w:cstheme="minorHAnsi"/>
        </w:rPr>
        <w:br/>
      </w:r>
    </w:p>
    <w:p w14:paraId="1DB35855" w14:textId="77777777" w:rsidR="00930400" w:rsidRPr="00DE6169" w:rsidRDefault="00930400" w:rsidP="00F55252">
      <w:pPr>
        <w:pStyle w:val="ListParagraph"/>
        <w:numPr>
          <w:ilvl w:val="0"/>
          <w:numId w:val="170"/>
        </w:numPr>
        <w:spacing w:before="120" w:after="120" w:line="240" w:lineRule="auto"/>
        <w:ind w:left="567" w:hanging="567"/>
        <w:rPr>
          <w:rFonts w:ascii="Cambria" w:hAnsi="Cambria" w:cstheme="minorHAnsi"/>
          <w:sz w:val="12"/>
        </w:rPr>
      </w:pPr>
      <w:r w:rsidRPr="009A0DA6">
        <w:rPr>
          <w:rFonts w:ascii="Cambria" w:hAnsi="Cambria" w:cstheme="minorHAnsi"/>
        </w:rPr>
        <w:t>Successful transition from Board for Mission to Committee for International Mission</w:t>
      </w:r>
      <w:r w:rsidRPr="009A0DA6">
        <w:rPr>
          <w:rFonts w:ascii="Cambria" w:hAnsi="Cambria" w:cstheme="minorHAnsi"/>
        </w:rPr>
        <w:br/>
      </w:r>
    </w:p>
    <w:p w14:paraId="045069DB" w14:textId="77777777" w:rsidR="00930400" w:rsidRPr="009A0DA6" w:rsidRDefault="00930400" w:rsidP="00F55252">
      <w:pPr>
        <w:pStyle w:val="ListParagraph"/>
        <w:numPr>
          <w:ilvl w:val="0"/>
          <w:numId w:val="170"/>
        </w:numPr>
        <w:spacing w:before="120" w:after="120" w:line="240" w:lineRule="auto"/>
        <w:ind w:left="567" w:hanging="567"/>
        <w:rPr>
          <w:rFonts w:ascii="Cambria" w:hAnsi="Cambria" w:cstheme="minorHAnsi"/>
        </w:rPr>
      </w:pPr>
      <w:r w:rsidRPr="009A0DA6">
        <w:rPr>
          <w:rFonts w:ascii="Cambria" w:hAnsi="Cambria" w:cstheme="minorHAnsi"/>
        </w:rPr>
        <w:lastRenderedPageBreak/>
        <w:t>The governance of LBTA and management of the staff of LBTA is finalised by a decision of the GCC; and proposals from the GCC decision regarding the operations of LBTA are enacted</w:t>
      </w:r>
    </w:p>
    <w:p w14:paraId="1BF9BA25" w14:textId="07443DBC" w:rsidR="00930400" w:rsidRPr="009A0DA6" w:rsidRDefault="00930400" w:rsidP="00930400">
      <w:pPr>
        <w:spacing w:before="120" w:after="120" w:line="240" w:lineRule="auto"/>
        <w:contextualSpacing/>
        <w:rPr>
          <w:rFonts w:ascii="Cambria" w:hAnsi="Cambria" w:cstheme="minorHAnsi"/>
          <w:b/>
        </w:rPr>
      </w:pPr>
      <w:r w:rsidRPr="009A0DA6">
        <w:rPr>
          <w:rFonts w:ascii="Cambria" w:hAnsi="Cambria" w:cstheme="minorHAnsi"/>
          <w:b/>
        </w:rPr>
        <w:t>Achievement of Annual Activities/Outcomes</w:t>
      </w:r>
    </w:p>
    <w:p w14:paraId="5666F123" w14:textId="77777777" w:rsidR="00930400" w:rsidRPr="00DE6169" w:rsidRDefault="00930400" w:rsidP="00F55252">
      <w:pPr>
        <w:pStyle w:val="ListParagraph"/>
        <w:numPr>
          <w:ilvl w:val="0"/>
          <w:numId w:val="170"/>
        </w:numPr>
        <w:spacing w:before="120" w:after="120" w:line="240" w:lineRule="auto"/>
        <w:ind w:left="567" w:hanging="567"/>
        <w:rPr>
          <w:rFonts w:ascii="Cambria" w:hAnsi="Cambria" w:cstheme="minorHAnsi"/>
          <w:sz w:val="12"/>
        </w:rPr>
      </w:pPr>
      <w:r w:rsidRPr="009A0DA6">
        <w:rPr>
          <w:rFonts w:ascii="Cambria" w:hAnsi="Cambria" w:cstheme="minorHAnsi"/>
        </w:rPr>
        <w:t>Assistant to the Bishop – International Mission (formerly Mission Director) leads the LCA International Mission team under the Office of the Bishop. The restructuring of the office of LCA International Mission is completed, with the successful orientation of new Program Officers, Ms Erin Kerber and Mr Nevin Nitschke. Administration duties of the office are carried out by LCA administration support services and through the revised roles of the program officers</w:t>
      </w:r>
      <w:r w:rsidRPr="009A0DA6">
        <w:rPr>
          <w:rFonts w:ascii="Cambria" w:hAnsi="Cambria" w:cstheme="minorHAnsi"/>
        </w:rPr>
        <w:br/>
      </w:r>
    </w:p>
    <w:p w14:paraId="463DA16F" w14:textId="77777777" w:rsidR="00930400" w:rsidRPr="00DE6169" w:rsidRDefault="00930400" w:rsidP="00F55252">
      <w:pPr>
        <w:pStyle w:val="ListParagraph"/>
        <w:numPr>
          <w:ilvl w:val="0"/>
          <w:numId w:val="170"/>
        </w:numPr>
        <w:spacing w:before="120" w:after="120" w:line="240" w:lineRule="auto"/>
        <w:ind w:left="567" w:hanging="567"/>
        <w:rPr>
          <w:rFonts w:ascii="Cambria" w:hAnsi="Cambria" w:cstheme="minorHAnsi"/>
          <w:sz w:val="12"/>
        </w:rPr>
      </w:pPr>
      <w:r w:rsidRPr="009A0DA6">
        <w:rPr>
          <w:rFonts w:ascii="Cambria" w:hAnsi="Cambria" w:cstheme="minorHAnsi"/>
        </w:rPr>
        <w:t>Committee for International Mission now operates as an advisory group</w:t>
      </w:r>
      <w:r w:rsidRPr="009A0DA6">
        <w:rPr>
          <w:rFonts w:ascii="Cambria" w:hAnsi="Cambria" w:cstheme="minorHAnsi"/>
        </w:rPr>
        <w:br/>
      </w:r>
    </w:p>
    <w:p w14:paraId="4566F15F" w14:textId="77777777" w:rsidR="00930400" w:rsidRPr="009A0DA6" w:rsidRDefault="00930400" w:rsidP="00F55252">
      <w:pPr>
        <w:pStyle w:val="ListParagraph"/>
        <w:numPr>
          <w:ilvl w:val="0"/>
          <w:numId w:val="170"/>
        </w:numPr>
        <w:spacing w:before="120" w:after="120" w:line="240" w:lineRule="auto"/>
        <w:ind w:left="567" w:hanging="567"/>
        <w:rPr>
          <w:rFonts w:ascii="Cambria" w:hAnsi="Cambria" w:cstheme="minorHAnsi"/>
        </w:rPr>
      </w:pPr>
      <w:r w:rsidRPr="009A0DA6">
        <w:rPr>
          <w:rFonts w:ascii="Cambria" w:hAnsi="Cambria" w:cstheme="minorHAnsi"/>
        </w:rPr>
        <w:t>Review of the operations of Lutheran Bible Translators Australia (LBTA) led to the wind up of LBTA and the transitioning of LBTA staff to sole membership of Wycliffe. This transition has been completed. Hanna Schulz continues as a bible translator for the Kope language group (and other associated groups) in PNG, and Margaret Mickan has retired from long term literacy work for the Kriol language in the NT. Currently other LCA members are preparing for full time service with Wycliffe. A worship service on 10</w:t>
      </w:r>
      <w:r w:rsidRPr="009A0DA6">
        <w:rPr>
          <w:rFonts w:ascii="Cambria" w:hAnsi="Cambria" w:cstheme="minorHAnsi"/>
          <w:vertAlign w:val="superscript"/>
        </w:rPr>
        <w:t>th</w:t>
      </w:r>
      <w:r w:rsidRPr="009A0DA6">
        <w:rPr>
          <w:rFonts w:ascii="Cambria" w:hAnsi="Cambria" w:cstheme="minorHAnsi"/>
        </w:rPr>
        <w:t xml:space="preserve"> September 2017 at St Paul’s Ferryden Park, SA, was held to give thanks to God for the work of Bible translation in the LCA and to give thanks to, and recognise the faithful service of both the translators and members of the former LBTA committee.</w:t>
      </w:r>
    </w:p>
    <w:p w14:paraId="19469F62" w14:textId="77777777" w:rsidR="00930400" w:rsidRPr="009A0DA6" w:rsidRDefault="00930400" w:rsidP="00930400">
      <w:pPr>
        <w:pStyle w:val="Subtitle"/>
      </w:pPr>
      <w:r w:rsidRPr="009A0DA6">
        <w:t>Goal 3</w:t>
      </w:r>
    </w:p>
    <w:p w14:paraId="455D2C39" w14:textId="77777777" w:rsidR="00930400" w:rsidRPr="009A0DA6" w:rsidRDefault="00930400" w:rsidP="00930400">
      <w:pPr>
        <w:spacing w:before="120" w:after="120" w:line="240" w:lineRule="auto"/>
        <w:contextualSpacing/>
        <w:rPr>
          <w:rFonts w:ascii="Cambria" w:hAnsi="Cambria" w:cstheme="minorHAnsi"/>
          <w:b/>
        </w:rPr>
      </w:pPr>
      <w:r w:rsidRPr="009A0DA6">
        <w:rPr>
          <w:rFonts w:ascii="Cambria" w:hAnsi="Cambria" w:cstheme="minorHAnsi"/>
          <w:b/>
        </w:rPr>
        <w:t>Continue with the existing relationships with partner churches, people and the programs and projects in Papua New Guinea, Singapore, Malaysia (East and West), Indonesia, Thailand, Cambodia, Myanmar and Australia</w:t>
      </w:r>
    </w:p>
    <w:p w14:paraId="22765456" w14:textId="77777777" w:rsidR="00930400" w:rsidRPr="009A0DA6" w:rsidRDefault="00930400" w:rsidP="00930400">
      <w:pPr>
        <w:spacing w:before="120" w:after="120" w:line="240" w:lineRule="auto"/>
        <w:contextualSpacing/>
        <w:rPr>
          <w:rFonts w:ascii="Cambria" w:hAnsi="Cambria" w:cstheme="minorHAnsi"/>
          <w:b/>
        </w:rPr>
      </w:pPr>
      <w:r w:rsidRPr="009A0DA6">
        <w:rPr>
          <w:rFonts w:ascii="Cambria" w:hAnsi="Cambria" w:cstheme="minorHAnsi"/>
          <w:b/>
        </w:rPr>
        <w:t>Planned Annual Activities/Outcomes</w:t>
      </w:r>
    </w:p>
    <w:p w14:paraId="308E219D" w14:textId="77777777" w:rsidR="00930400" w:rsidRPr="00DE6169" w:rsidRDefault="00930400" w:rsidP="00F55252">
      <w:pPr>
        <w:pStyle w:val="ListParagraph"/>
        <w:numPr>
          <w:ilvl w:val="0"/>
          <w:numId w:val="171"/>
        </w:numPr>
        <w:spacing w:before="120" w:after="120" w:line="240" w:lineRule="auto"/>
        <w:ind w:left="567" w:hanging="567"/>
        <w:rPr>
          <w:rFonts w:ascii="Cambria" w:hAnsi="Cambria" w:cstheme="minorHAnsi"/>
          <w:sz w:val="12"/>
        </w:rPr>
      </w:pPr>
      <w:r w:rsidRPr="009A0DA6">
        <w:rPr>
          <w:rFonts w:ascii="Cambria" w:hAnsi="Cambria" w:cstheme="minorHAnsi"/>
        </w:rPr>
        <w:t>Meetings and communication between leadership of partner churches and their specific ministry leaders regarding agreed partnership goals.</w:t>
      </w:r>
      <w:r w:rsidRPr="009A0DA6">
        <w:rPr>
          <w:rFonts w:ascii="Cambria" w:hAnsi="Cambria" w:cstheme="minorHAnsi"/>
        </w:rPr>
        <w:br/>
      </w:r>
    </w:p>
    <w:p w14:paraId="57AC4A9E" w14:textId="77777777" w:rsidR="00930400" w:rsidRPr="009A0DA6" w:rsidRDefault="00930400" w:rsidP="00F55252">
      <w:pPr>
        <w:pStyle w:val="ListParagraph"/>
        <w:numPr>
          <w:ilvl w:val="0"/>
          <w:numId w:val="171"/>
        </w:numPr>
        <w:spacing w:before="120" w:after="120" w:line="240" w:lineRule="auto"/>
        <w:ind w:left="567" w:hanging="567"/>
        <w:rPr>
          <w:rFonts w:ascii="Cambria" w:hAnsi="Cambria" w:cstheme="minorHAnsi"/>
        </w:rPr>
      </w:pPr>
      <w:r w:rsidRPr="009A0DA6">
        <w:rPr>
          <w:rFonts w:ascii="Cambria" w:hAnsi="Cambria" w:cstheme="minorHAnsi"/>
        </w:rPr>
        <w:t>Signed Memorandum of Understandings between the specific partner churches based on the agreed goals and taking into consideration ‘best practice for partnerships as outlined in the LCA document ’Understanding partnerships in the LCA’.</w:t>
      </w:r>
    </w:p>
    <w:p w14:paraId="07B76D4A" w14:textId="77777777" w:rsidR="00930400" w:rsidRPr="009A0DA6" w:rsidRDefault="00930400" w:rsidP="00930400">
      <w:pPr>
        <w:spacing w:before="120" w:after="120" w:line="240" w:lineRule="auto"/>
        <w:contextualSpacing/>
        <w:rPr>
          <w:rFonts w:ascii="Cambria" w:hAnsi="Cambria" w:cstheme="minorHAnsi"/>
          <w:b/>
        </w:rPr>
      </w:pPr>
      <w:r w:rsidRPr="009A0DA6">
        <w:rPr>
          <w:rFonts w:ascii="Cambria" w:hAnsi="Cambria" w:cstheme="minorHAnsi"/>
          <w:b/>
        </w:rPr>
        <w:t>Achievement of Annual Activities/Outcomes</w:t>
      </w:r>
    </w:p>
    <w:p w14:paraId="22E853DA" w14:textId="77777777" w:rsidR="00930400" w:rsidRPr="00DE6169" w:rsidRDefault="00930400" w:rsidP="00F55252">
      <w:pPr>
        <w:pStyle w:val="ListParagraph"/>
        <w:numPr>
          <w:ilvl w:val="0"/>
          <w:numId w:val="171"/>
        </w:numPr>
        <w:spacing w:before="120" w:after="120" w:line="240" w:lineRule="auto"/>
        <w:ind w:left="567" w:hanging="567"/>
        <w:rPr>
          <w:rFonts w:ascii="Cambria" w:hAnsi="Cambria" w:cstheme="minorHAnsi"/>
          <w:sz w:val="12"/>
        </w:rPr>
      </w:pPr>
      <w:r w:rsidRPr="009A0DA6">
        <w:rPr>
          <w:rFonts w:ascii="Cambria" w:hAnsi="Cambria" w:cstheme="minorHAnsi"/>
        </w:rPr>
        <w:t>The outcomes of the work of the Holy Spirit with the LCA and its international mission partners are documented in the outcomes of Strategic Priority 1 as listed above</w:t>
      </w:r>
      <w:r w:rsidRPr="009A0DA6">
        <w:rPr>
          <w:rFonts w:ascii="Cambria" w:hAnsi="Cambria" w:cstheme="minorHAnsi"/>
        </w:rPr>
        <w:br/>
      </w:r>
    </w:p>
    <w:p w14:paraId="45E58CDD" w14:textId="77777777" w:rsidR="00930400" w:rsidRPr="00DE6169" w:rsidRDefault="00930400" w:rsidP="00F55252">
      <w:pPr>
        <w:pStyle w:val="ListParagraph"/>
        <w:numPr>
          <w:ilvl w:val="0"/>
          <w:numId w:val="171"/>
        </w:numPr>
        <w:spacing w:before="120" w:after="120" w:line="240" w:lineRule="auto"/>
        <w:ind w:left="567" w:hanging="567"/>
        <w:rPr>
          <w:rFonts w:ascii="Cambria" w:hAnsi="Cambria" w:cstheme="minorHAnsi"/>
          <w:sz w:val="12"/>
        </w:rPr>
      </w:pPr>
      <w:r w:rsidRPr="00DE6169">
        <w:rPr>
          <w:rFonts w:ascii="Cambria" w:hAnsi="Cambria" w:cstheme="minorHAnsi"/>
        </w:rPr>
        <w:t>Annual p</w:t>
      </w:r>
      <w:r w:rsidRPr="009A0DA6">
        <w:rPr>
          <w:rFonts w:ascii="Cambria" w:hAnsi="Cambria" w:cstheme="minorHAnsi"/>
        </w:rPr>
        <w:t>artnership meetings in-country for all partner church relationships and with mission networks</w:t>
      </w:r>
      <w:r w:rsidRPr="009A0DA6">
        <w:rPr>
          <w:rFonts w:ascii="Cambria" w:hAnsi="Cambria" w:cstheme="minorHAnsi"/>
        </w:rPr>
        <w:br/>
      </w:r>
    </w:p>
    <w:p w14:paraId="1259DCBE" w14:textId="77777777" w:rsidR="00930400" w:rsidRPr="00DE6169" w:rsidRDefault="00930400" w:rsidP="00F55252">
      <w:pPr>
        <w:pStyle w:val="ListParagraph"/>
        <w:numPr>
          <w:ilvl w:val="0"/>
          <w:numId w:val="171"/>
        </w:numPr>
        <w:spacing w:before="120" w:after="120" w:line="240" w:lineRule="auto"/>
        <w:ind w:left="567" w:hanging="567"/>
        <w:rPr>
          <w:rFonts w:ascii="Cambria" w:hAnsi="Cambria" w:cstheme="minorHAnsi"/>
          <w:sz w:val="12"/>
        </w:rPr>
      </w:pPr>
      <w:r w:rsidRPr="009A0DA6">
        <w:rPr>
          <w:rFonts w:ascii="Cambria" w:hAnsi="Cambria" w:cstheme="minorHAnsi"/>
        </w:rPr>
        <w:t>Documentation has been developed for funding applications and program reporting by partner churches</w:t>
      </w:r>
      <w:r w:rsidRPr="009A0DA6">
        <w:rPr>
          <w:rFonts w:ascii="Cambria" w:hAnsi="Cambria" w:cstheme="minorHAnsi"/>
        </w:rPr>
        <w:br/>
      </w:r>
    </w:p>
    <w:p w14:paraId="1C76326D" w14:textId="77777777" w:rsidR="00930400" w:rsidRPr="009A0DA6" w:rsidRDefault="00930400" w:rsidP="00F55252">
      <w:pPr>
        <w:pStyle w:val="ListParagraph"/>
        <w:numPr>
          <w:ilvl w:val="0"/>
          <w:numId w:val="171"/>
        </w:numPr>
        <w:spacing w:before="120" w:after="120" w:line="240" w:lineRule="auto"/>
        <w:ind w:left="567" w:hanging="567"/>
        <w:rPr>
          <w:rFonts w:ascii="Cambria" w:hAnsi="Cambria" w:cstheme="minorHAnsi"/>
        </w:rPr>
      </w:pPr>
      <w:r w:rsidRPr="009A0DA6">
        <w:rPr>
          <w:rFonts w:ascii="Cambria" w:hAnsi="Cambria" w:cstheme="minorHAnsi"/>
        </w:rPr>
        <w:t xml:space="preserve">Given the sensitivity required in signing MoU’s with another church on a church to church level, developments have taken place (at the request of overseas partner churches) for MoU’s signed between the ELC Bavaria/ Mission One World and LCA International Mission; and Lutheran Education Australia and Lutheran Education Malaysia (a department of the Lutheran Church in Malaysia). </w:t>
      </w:r>
    </w:p>
    <w:p w14:paraId="7D794B6C" w14:textId="77777777" w:rsidR="00930400" w:rsidRPr="009A0DA6" w:rsidRDefault="00930400" w:rsidP="00930400">
      <w:pPr>
        <w:pStyle w:val="Subtitle"/>
      </w:pPr>
      <w:r w:rsidRPr="009A0DA6">
        <w:t>Goal 4</w:t>
      </w:r>
    </w:p>
    <w:p w14:paraId="314F678B" w14:textId="77777777" w:rsidR="00930400" w:rsidRPr="009A0DA6" w:rsidRDefault="00930400" w:rsidP="00930400">
      <w:pPr>
        <w:spacing w:before="120" w:after="120" w:line="240" w:lineRule="auto"/>
        <w:contextualSpacing/>
        <w:rPr>
          <w:rFonts w:ascii="Cambria" w:hAnsi="Cambria" w:cstheme="minorHAnsi"/>
          <w:b/>
        </w:rPr>
      </w:pPr>
      <w:r w:rsidRPr="009A0DA6">
        <w:rPr>
          <w:rFonts w:ascii="Cambria" w:hAnsi="Cambria" w:cstheme="minorHAnsi"/>
          <w:b/>
        </w:rPr>
        <w:t>Explore how the mission partnership in PNG can be altered to reduce risk and improve effectiveness</w:t>
      </w:r>
    </w:p>
    <w:p w14:paraId="4E441C55" w14:textId="77777777" w:rsidR="00930400" w:rsidRPr="00DE6169" w:rsidRDefault="00930400" w:rsidP="00930400">
      <w:pPr>
        <w:spacing w:before="120" w:after="120" w:line="240" w:lineRule="auto"/>
        <w:contextualSpacing/>
        <w:rPr>
          <w:rFonts w:ascii="Cambria" w:hAnsi="Cambria" w:cstheme="minorHAnsi"/>
          <w:b/>
          <w:sz w:val="10"/>
        </w:rPr>
      </w:pPr>
    </w:p>
    <w:p w14:paraId="4DB394BF" w14:textId="77777777" w:rsidR="00FF349B" w:rsidRDefault="00FF349B" w:rsidP="00930400">
      <w:pPr>
        <w:spacing w:before="120" w:after="120" w:line="240" w:lineRule="auto"/>
        <w:contextualSpacing/>
        <w:rPr>
          <w:rFonts w:ascii="Cambria" w:hAnsi="Cambria" w:cstheme="minorHAnsi"/>
          <w:b/>
        </w:rPr>
      </w:pPr>
    </w:p>
    <w:p w14:paraId="25FFC4BE" w14:textId="6138737E" w:rsidR="00930400" w:rsidRPr="009A0DA6" w:rsidRDefault="00930400" w:rsidP="00930400">
      <w:pPr>
        <w:spacing w:before="120" w:after="120" w:line="240" w:lineRule="auto"/>
        <w:contextualSpacing/>
        <w:rPr>
          <w:rFonts w:ascii="Cambria" w:hAnsi="Cambria" w:cstheme="minorHAnsi"/>
          <w:b/>
        </w:rPr>
      </w:pPr>
      <w:r w:rsidRPr="009A0DA6">
        <w:rPr>
          <w:rFonts w:ascii="Cambria" w:hAnsi="Cambria" w:cstheme="minorHAnsi"/>
          <w:b/>
        </w:rPr>
        <w:lastRenderedPageBreak/>
        <w:t>Planned Annual Activities/Outcomes</w:t>
      </w:r>
    </w:p>
    <w:p w14:paraId="602B7B06" w14:textId="77777777" w:rsidR="00930400" w:rsidRPr="009A0DA6" w:rsidRDefault="00930400" w:rsidP="00F55252">
      <w:pPr>
        <w:pStyle w:val="ListParagraph"/>
        <w:numPr>
          <w:ilvl w:val="0"/>
          <w:numId w:val="172"/>
        </w:numPr>
        <w:spacing w:before="120" w:after="120" w:line="240" w:lineRule="auto"/>
        <w:ind w:left="567" w:hanging="567"/>
        <w:rPr>
          <w:rFonts w:ascii="Cambria" w:hAnsi="Cambria" w:cstheme="minorHAnsi"/>
        </w:rPr>
      </w:pPr>
      <w:r w:rsidRPr="009A0DA6">
        <w:rPr>
          <w:rFonts w:ascii="Cambria" w:hAnsi="Cambria" w:cstheme="minorHAnsi"/>
        </w:rPr>
        <w:t>Commence discussions with ELC-PNG leadership regarding their understanding of partnership (past, present and future)</w:t>
      </w:r>
      <w:r w:rsidRPr="009A0DA6">
        <w:rPr>
          <w:rFonts w:ascii="Cambria" w:hAnsi="Cambria" w:cstheme="minorHAnsi"/>
        </w:rPr>
        <w:br/>
      </w:r>
    </w:p>
    <w:p w14:paraId="7F1B7263" w14:textId="77777777" w:rsidR="00930400" w:rsidRPr="009A0DA6" w:rsidRDefault="00930400" w:rsidP="00F55252">
      <w:pPr>
        <w:pStyle w:val="ListParagraph"/>
        <w:numPr>
          <w:ilvl w:val="0"/>
          <w:numId w:val="172"/>
        </w:numPr>
        <w:spacing w:before="120" w:after="120" w:line="240" w:lineRule="auto"/>
        <w:ind w:left="567" w:hanging="567"/>
        <w:rPr>
          <w:rFonts w:ascii="Cambria" w:hAnsi="Cambria" w:cstheme="minorHAnsi"/>
        </w:rPr>
      </w:pPr>
      <w:r w:rsidRPr="009A0DA6">
        <w:rPr>
          <w:rFonts w:ascii="Cambria" w:hAnsi="Cambria" w:cstheme="minorHAnsi"/>
        </w:rPr>
        <w:t>Commence discussions with the Lutheran Overseas Partner Church members together with the leadership of ELC-PNG and its other overseas partners to determine ways to work collaboratively in support of and in partnership with ELCPNG; and with the view that this is a work in progress.</w:t>
      </w:r>
      <w:r w:rsidRPr="009A0DA6">
        <w:rPr>
          <w:rFonts w:ascii="Cambria" w:hAnsi="Cambria" w:cstheme="minorHAnsi"/>
        </w:rPr>
        <w:br/>
      </w:r>
    </w:p>
    <w:p w14:paraId="5B003EAB" w14:textId="77777777" w:rsidR="00930400" w:rsidRPr="009A0DA6" w:rsidRDefault="00930400" w:rsidP="00F55252">
      <w:pPr>
        <w:pStyle w:val="ListParagraph"/>
        <w:numPr>
          <w:ilvl w:val="0"/>
          <w:numId w:val="172"/>
        </w:numPr>
        <w:spacing w:before="120" w:after="120" w:line="240" w:lineRule="auto"/>
        <w:ind w:left="567" w:hanging="567"/>
        <w:rPr>
          <w:rFonts w:ascii="Cambria" w:hAnsi="Cambria" w:cstheme="minorHAnsi"/>
        </w:rPr>
      </w:pPr>
      <w:r w:rsidRPr="009A0DA6">
        <w:rPr>
          <w:rFonts w:ascii="Cambria" w:hAnsi="Cambria" w:cstheme="minorHAnsi"/>
        </w:rPr>
        <w:t>Establishment of a bilateral and renewed multilateral partnership agreements relating to ministry and mission in PNG</w:t>
      </w:r>
    </w:p>
    <w:p w14:paraId="337105F5" w14:textId="77777777" w:rsidR="00930400" w:rsidRPr="009A0DA6" w:rsidRDefault="00930400" w:rsidP="00930400">
      <w:pPr>
        <w:spacing w:before="120" w:after="120" w:line="240" w:lineRule="auto"/>
        <w:contextualSpacing/>
        <w:rPr>
          <w:rFonts w:ascii="Cambria" w:hAnsi="Cambria" w:cstheme="minorHAnsi"/>
          <w:b/>
        </w:rPr>
      </w:pPr>
      <w:r w:rsidRPr="009A0DA6">
        <w:rPr>
          <w:rFonts w:ascii="Cambria" w:hAnsi="Cambria" w:cstheme="minorHAnsi"/>
          <w:b/>
        </w:rPr>
        <w:t>Achievement of Annual Activities/Outcomes</w:t>
      </w:r>
    </w:p>
    <w:p w14:paraId="11FE47B2" w14:textId="21640F62" w:rsidR="00930400" w:rsidRPr="00DE6169" w:rsidRDefault="00930400" w:rsidP="00F55252">
      <w:pPr>
        <w:pStyle w:val="ListParagraph"/>
        <w:numPr>
          <w:ilvl w:val="0"/>
          <w:numId w:val="171"/>
        </w:numPr>
        <w:spacing w:before="120" w:after="120" w:line="240" w:lineRule="auto"/>
        <w:ind w:left="567" w:hanging="567"/>
        <w:rPr>
          <w:rFonts w:ascii="Cambria" w:hAnsi="Cambria" w:cstheme="minorHAnsi"/>
          <w:sz w:val="12"/>
        </w:rPr>
      </w:pPr>
      <w:r w:rsidRPr="009A0DA6">
        <w:rPr>
          <w:rFonts w:ascii="Cambria" w:hAnsi="Cambria" w:cstheme="minorHAnsi"/>
        </w:rPr>
        <w:t>The June 2017 visit of ELC-PNG Bishop Jack Urame, Church Secretary - Mr Bernard Kaisom and Director of Inter-Church Relations and Ecumenism - Rev Kinim Siloi to the LCA provided opportunity to have constructive discussions with the new leadership of the ELC-PNG</w:t>
      </w:r>
      <w:r w:rsidR="00DE6169">
        <w:rPr>
          <w:rFonts w:ascii="Cambria" w:hAnsi="Cambria" w:cstheme="minorHAnsi"/>
        </w:rPr>
        <w:br/>
      </w:r>
    </w:p>
    <w:p w14:paraId="63113A46" w14:textId="16AEF8FF" w:rsidR="00930400" w:rsidRPr="00DE6169" w:rsidRDefault="00930400" w:rsidP="00F55252">
      <w:pPr>
        <w:pStyle w:val="ListParagraph"/>
        <w:numPr>
          <w:ilvl w:val="0"/>
          <w:numId w:val="171"/>
        </w:numPr>
        <w:spacing w:before="120" w:after="120" w:line="240" w:lineRule="auto"/>
        <w:ind w:left="567" w:hanging="567"/>
        <w:rPr>
          <w:rFonts w:ascii="Cambria" w:hAnsi="Cambria" w:cstheme="minorHAnsi"/>
          <w:sz w:val="12"/>
        </w:rPr>
      </w:pPr>
      <w:r w:rsidRPr="009A0DA6">
        <w:rPr>
          <w:rFonts w:ascii="Cambria" w:hAnsi="Cambria" w:cstheme="minorHAnsi"/>
        </w:rPr>
        <w:t xml:space="preserve">Discussions on effective ways of partnering in the gospel in PNG continue with sensitivity and together with other Lutheran overseas partner churches who form the collective of LOPC and who have continued to meet in PNG on an annual basis at the ELC-PNG Partner’s Forum and Consultation </w:t>
      </w:r>
      <w:r w:rsidR="00DE6169">
        <w:rPr>
          <w:rFonts w:ascii="Cambria" w:hAnsi="Cambria" w:cstheme="minorHAnsi"/>
        </w:rPr>
        <w:br/>
      </w:r>
    </w:p>
    <w:p w14:paraId="26F57BA1" w14:textId="77777777" w:rsidR="00930400" w:rsidRPr="009A0DA6" w:rsidRDefault="00930400" w:rsidP="00F55252">
      <w:pPr>
        <w:pStyle w:val="ListParagraph"/>
        <w:numPr>
          <w:ilvl w:val="0"/>
          <w:numId w:val="171"/>
        </w:numPr>
        <w:spacing w:before="120" w:after="120" w:line="240" w:lineRule="auto"/>
        <w:ind w:left="567" w:hanging="567"/>
        <w:rPr>
          <w:rFonts w:ascii="Cambria" w:hAnsi="Cambria" w:cstheme="minorHAnsi"/>
        </w:rPr>
      </w:pPr>
      <w:r w:rsidRPr="009A0DA6">
        <w:rPr>
          <w:rFonts w:ascii="Cambria" w:hAnsi="Cambria" w:cstheme="minorHAnsi"/>
        </w:rPr>
        <w:t>Discussions and research is underway for the development of a new bilateral partnership agreement with LCA and ELC-PNG, also at the request of Bishop Jack Urame</w:t>
      </w:r>
    </w:p>
    <w:p w14:paraId="32948E0E" w14:textId="77777777" w:rsidR="00930400" w:rsidRPr="009A0DA6" w:rsidRDefault="00930400" w:rsidP="00930400">
      <w:pPr>
        <w:pStyle w:val="Subtitle"/>
      </w:pPr>
      <w:r w:rsidRPr="009A0DA6">
        <w:t>Goal 5</w:t>
      </w:r>
    </w:p>
    <w:p w14:paraId="081A7C44" w14:textId="77777777" w:rsidR="00930400" w:rsidRPr="009A0DA6" w:rsidRDefault="00930400" w:rsidP="00930400">
      <w:pPr>
        <w:spacing w:before="120" w:after="120" w:line="240" w:lineRule="auto"/>
        <w:contextualSpacing/>
        <w:rPr>
          <w:rFonts w:ascii="Cambria" w:hAnsi="Cambria" w:cstheme="minorHAnsi"/>
          <w:b/>
        </w:rPr>
      </w:pPr>
      <w:r w:rsidRPr="009A0DA6">
        <w:rPr>
          <w:rFonts w:ascii="Cambria" w:hAnsi="Cambria" w:cstheme="minorHAnsi"/>
          <w:b/>
        </w:rPr>
        <w:t>Develop general criteria to assist in discerning when the LCA would seek to build a partnership or presence in mission in a new country</w:t>
      </w:r>
    </w:p>
    <w:p w14:paraId="7B1DF39F" w14:textId="77777777" w:rsidR="00930400" w:rsidRPr="00DE6169" w:rsidRDefault="00930400" w:rsidP="00930400">
      <w:pPr>
        <w:spacing w:before="120" w:after="120" w:line="240" w:lineRule="auto"/>
        <w:contextualSpacing/>
        <w:rPr>
          <w:rFonts w:ascii="Cambria" w:hAnsi="Cambria" w:cstheme="minorHAnsi"/>
          <w:b/>
          <w:sz w:val="10"/>
        </w:rPr>
      </w:pPr>
    </w:p>
    <w:p w14:paraId="4718206F" w14:textId="77777777" w:rsidR="00930400" w:rsidRPr="009A0DA6" w:rsidRDefault="00930400" w:rsidP="00930400">
      <w:pPr>
        <w:spacing w:before="120" w:after="120" w:line="240" w:lineRule="auto"/>
        <w:contextualSpacing/>
        <w:rPr>
          <w:rFonts w:ascii="Cambria" w:hAnsi="Cambria" w:cstheme="minorHAnsi"/>
          <w:b/>
        </w:rPr>
      </w:pPr>
      <w:r w:rsidRPr="009A0DA6">
        <w:rPr>
          <w:rFonts w:ascii="Cambria" w:hAnsi="Cambria" w:cstheme="minorHAnsi"/>
          <w:b/>
        </w:rPr>
        <w:t>Planned Annual Activities/Outcomes</w:t>
      </w:r>
    </w:p>
    <w:p w14:paraId="03A11DF7" w14:textId="77777777" w:rsidR="00930400" w:rsidRPr="00DE6169" w:rsidRDefault="00930400" w:rsidP="00F55252">
      <w:pPr>
        <w:pStyle w:val="ListParagraph"/>
        <w:numPr>
          <w:ilvl w:val="0"/>
          <w:numId w:val="169"/>
        </w:numPr>
        <w:spacing w:before="120" w:after="120" w:line="240" w:lineRule="auto"/>
        <w:ind w:left="567" w:hanging="567"/>
        <w:rPr>
          <w:rFonts w:ascii="Cambria" w:hAnsi="Cambria" w:cstheme="minorHAnsi"/>
          <w:sz w:val="12"/>
        </w:rPr>
      </w:pPr>
      <w:r w:rsidRPr="009A0DA6">
        <w:rPr>
          <w:rFonts w:ascii="Cambria" w:hAnsi="Cambria" w:cstheme="minorHAnsi"/>
        </w:rPr>
        <w:t>Documents which list criteria and guidelines for determining the suitability and sustainability when invited to establish a new international mission partnership/ program</w:t>
      </w:r>
      <w:r w:rsidRPr="009A0DA6">
        <w:rPr>
          <w:rFonts w:ascii="Cambria" w:hAnsi="Cambria" w:cstheme="minorHAnsi"/>
        </w:rPr>
        <w:br/>
      </w:r>
    </w:p>
    <w:p w14:paraId="570745D3" w14:textId="77777777" w:rsidR="00930400" w:rsidRPr="009A0DA6" w:rsidRDefault="00930400" w:rsidP="00F55252">
      <w:pPr>
        <w:pStyle w:val="ListParagraph"/>
        <w:numPr>
          <w:ilvl w:val="0"/>
          <w:numId w:val="169"/>
        </w:numPr>
        <w:spacing w:before="120" w:after="120" w:line="240" w:lineRule="auto"/>
        <w:ind w:left="567" w:hanging="567"/>
        <w:rPr>
          <w:rFonts w:ascii="Cambria" w:hAnsi="Cambria" w:cstheme="minorHAnsi"/>
        </w:rPr>
      </w:pPr>
      <w:r w:rsidRPr="009A0DA6">
        <w:rPr>
          <w:rFonts w:ascii="Cambria" w:hAnsi="Cambria" w:cstheme="minorHAnsi"/>
        </w:rPr>
        <w:t>Documents which enable LCA International Mission staff to monitor and determine the effectiveness of existing international partnership programs</w:t>
      </w:r>
    </w:p>
    <w:p w14:paraId="4D0E993A" w14:textId="77777777" w:rsidR="00930400" w:rsidRPr="009A0DA6" w:rsidRDefault="00930400" w:rsidP="00930400">
      <w:pPr>
        <w:spacing w:before="120" w:after="120" w:line="240" w:lineRule="auto"/>
        <w:contextualSpacing/>
        <w:rPr>
          <w:rFonts w:ascii="Cambria" w:hAnsi="Cambria" w:cstheme="minorHAnsi"/>
          <w:b/>
        </w:rPr>
      </w:pPr>
      <w:r w:rsidRPr="009A0DA6">
        <w:rPr>
          <w:rFonts w:ascii="Cambria" w:hAnsi="Cambria" w:cstheme="minorHAnsi"/>
          <w:b/>
        </w:rPr>
        <w:t>Achievement of Annual Activities/Outcomes</w:t>
      </w:r>
    </w:p>
    <w:p w14:paraId="44191D49" w14:textId="77777777" w:rsidR="00930400" w:rsidRPr="00DE6169" w:rsidRDefault="00930400" w:rsidP="00F55252">
      <w:pPr>
        <w:pStyle w:val="ListParagraph"/>
        <w:numPr>
          <w:ilvl w:val="0"/>
          <w:numId w:val="174"/>
        </w:numPr>
        <w:spacing w:before="120" w:after="120" w:line="240" w:lineRule="auto"/>
        <w:ind w:left="567" w:hanging="567"/>
        <w:rPr>
          <w:rFonts w:ascii="Cambria" w:hAnsi="Cambria" w:cstheme="minorHAnsi"/>
          <w:b/>
          <w:sz w:val="12"/>
        </w:rPr>
      </w:pPr>
      <w:r w:rsidRPr="009A0DA6">
        <w:rPr>
          <w:rFonts w:ascii="Cambria" w:hAnsi="Cambria" w:cstheme="minorHAnsi"/>
        </w:rPr>
        <w:t>A portfolio of documents for establishing, accessing and monitoring partnerships and programs with our overseas partner churches and for LCA congregation and school partnerships and volunteers is being developed and refined, to ensure partnerships which are: theologically grounded; nurture holistic and reciprocal relationships; enable innovation and creativity; operate in a culture of care; enable growing capacity; and provide reflective practice.</w:t>
      </w:r>
      <w:r w:rsidRPr="009A0DA6">
        <w:rPr>
          <w:rFonts w:ascii="Cambria" w:hAnsi="Cambria" w:cstheme="minorHAnsi"/>
        </w:rPr>
        <w:br/>
      </w:r>
    </w:p>
    <w:p w14:paraId="128563D9" w14:textId="77777777" w:rsidR="00930400" w:rsidRPr="009A0DA6" w:rsidRDefault="00930400" w:rsidP="00F55252">
      <w:pPr>
        <w:pStyle w:val="ListParagraph"/>
        <w:numPr>
          <w:ilvl w:val="0"/>
          <w:numId w:val="174"/>
        </w:numPr>
        <w:spacing w:before="120" w:after="120" w:line="240" w:lineRule="auto"/>
        <w:ind w:left="567" w:hanging="567"/>
        <w:rPr>
          <w:rFonts w:ascii="Cambria" w:hAnsi="Cambria" w:cstheme="minorHAnsi"/>
          <w:b/>
        </w:rPr>
      </w:pPr>
      <w:r w:rsidRPr="009A0DA6">
        <w:rPr>
          <w:rFonts w:ascii="Cambria" w:hAnsi="Cambria" w:cstheme="minorHAnsi"/>
        </w:rPr>
        <w:t>Detailed 100-page Country Plans document revised and updated</w:t>
      </w:r>
    </w:p>
    <w:p w14:paraId="225425A5" w14:textId="77777777" w:rsidR="00930400" w:rsidRPr="00DE6169" w:rsidRDefault="00930400" w:rsidP="00930400">
      <w:pPr>
        <w:spacing w:before="120" w:after="120" w:line="240" w:lineRule="auto"/>
        <w:contextualSpacing/>
        <w:rPr>
          <w:rFonts w:ascii="Cambria" w:hAnsi="Cambria" w:cstheme="minorHAnsi"/>
          <w:b/>
          <w:sz w:val="2"/>
        </w:rPr>
      </w:pPr>
    </w:p>
    <w:p w14:paraId="1134EC0F" w14:textId="77777777" w:rsidR="00930400" w:rsidRPr="009A0DA6" w:rsidRDefault="00930400" w:rsidP="00930400">
      <w:pPr>
        <w:pStyle w:val="Subtitle"/>
      </w:pPr>
      <w:r w:rsidRPr="009A0DA6">
        <w:t>Goal 6</w:t>
      </w:r>
    </w:p>
    <w:p w14:paraId="3650A902" w14:textId="77777777" w:rsidR="00930400" w:rsidRPr="009A0DA6" w:rsidRDefault="00930400" w:rsidP="00930400">
      <w:pPr>
        <w:spacing w:before="120" w:after="120" w:line="240" w:lineRule="auto"/>
        <w:contextualSpacing/>
        <w:rPr>
          <w:rFonts w:ascii="Cambria" w:hAnsi="Cambria" w:cstheme="minorHAnsi"/>
          <w:b/>
        </w:rPr>
      </w:pPr>
      <w:r w:rsidRPr="009A0DA6">
        <w:rPr>
          <w:rFonts w:ascii="Cambria" w:hAnsi="Cambria" w:cstheme="minorHAnsi"/>
          <w:b/>
        </w:rPr>
        <w:t>Building on the feasibility report prepared by Dr Ken Bartel (November 2012) and the initial relationship established by Rev Neville Otto with LUCCEA, determine if there are suitable partners for establishing relationships for working in mission in Africa</w:t>
      </w:r>
    </w:p>
    <w:p w14:paraId="4F7075FC" w14:textId="77777777" w:rsidR="00930400" w:rsidRPr="00DE6169" w:rsidRDefault="00930400" w:rsidP="00930400">
      <w:pPr>
        <w:spacing w:before="120" w:after="120" w:line="240" w:lineRule="auto"/>
        <w:contextualSpacing/>
        <w:rPr>
          <w:rFonts w:ascii="Cambria" w:hAnsi="Cambria" w:cstheme="minorHAnsi"/>
          <w:b/>
          <w:sz w:val="10"/>
        </w:rPr>
      </w:pPr>
    </w:p>
    <w:p w14:paraId="526B8CAA" w14:textId="77777777" w:rsidR="00FF349B" w:rsidRDefault="00FF349B" w:rsidP="00930400">
      <w:pPr>
        <w:spacing w:before="120" w:after="120" w:line="240" w:lineRule="auto"/>
        <w:contextualSpacing/>
        <w:rPr>
          <w:rFonts w:ascii="Cambria" w:hAnsi="Cambria" w:cstheme="minorHAnsi"/>
          <w:b/>
        </w:rPr>
      </w:pPr>
    </w:p>
    <w:p w14:paraId="32DCCDA8" w14:textId="77777777" w:rsidR="00FF349B" w:rsidRDefault="00FF349B" w:rsidP="00930400">
      <w:pPr>
        <w:spacing w:before="120" w:after="120" w:line="240" w:lineRule="auto"/>
        <w:contextualSpacing/>
        <w:rPr>
          <w:rFonts w:ascii="Cambria" w:hAnsi="Cambria" w:cstheme="minorHAnsi"/>
          <w:b/>
        </w:rPr>
      </w:pPr>
    </w:p>
    <w:p w14:paraId="286B3098" w14:textId="5FE6C33C" w:rsidR="00930400" w:rsidRPr="009A0DA6" w:rsidRDefault="00930400" w:rsidP="00930400">
      <w:pPr>
        <w:spacing w:before="120" w:after="120" w:line="240" w:lineRule="auto"/>
        <w:contextualSpacing/>
        <w:rPr>
          <w:rFonts w:ascii="Cambria" w:hAnsi="Cambria" w:cstheme="minorHAnsi"/>
          <w:b/>
        </w:rPr>
      </w:pPr>
      <w:r w:rsidRPr="009A0DA6">
        <w:rPr>
          <w:rFonts w:ascii="Cambria" w:hAnsi="Cambria" w:cstheme="minorHAnsi"/>
          <w:b/>
        </w:rPr>
        <w:lastRenderedPageBreak/>
        <w:t>Planned Annual Activities/Outcomes</w:t>
      </w:r>
    </w:p>
    <w:p w14:paraId="33340E36" w14:textId="77777777" w:rsidR="00930400" w:rsidRPr="00DE6169" w:rsidRDefault="00930400" w:rsidP="00F55252">
      <w:pPr>
        <w:pStyle w:val="ListParagraph"/>
        <w:numPr>
          <w:ilvl w:val="0"/>
          <w:numId w:val="169"/>
        </w:numPr>
        <w:spacing w:before="120" w:after="120" w:line="240" w:lineRule="auto"/>
        <w:ind w:left="567" w:hanging="567"/>
        <w:rPr>
          <w:rFonts w:ascii="Cambria" w:hAnsi="Cambria" w:cstheme="minorHAnsi"/>
          <w:sz w:val="12"/>
        </w:rPr>
      </w:pPr>
      <w:r w:rsidRPr="009A0DA6">
        <w:rPr>
          <w:rFonts w:ascii="Cambria" w:hAnsi="Cambria" w:cstheme="minorHAnsi"/>
        </w:rPr>
        <w:t>Recommence discussions with LUCCEA, other international mission churches and agencies, and LCA African communities regarding possibilities for future working in mission in Africa</w:t>
      </w:r>
      <w:r w:rsidRPr="009A0DA6">
        <w:rPr>
          <w:rFonts w:ascii="Cambria" w:hAnsi="Cambria" w:cstheme="minorHAnsi"/>
        </w:rPr>
        <w:br/>
      </w:r>
    </w:p>
    <w:p w14:paraId="6F120308" w14:textId="77777777" w:rsidR="00930400" w:rsidRPr="009A0DA6" w:rsidRDefault="00930400" w:rsidP="00F55252">
      <w:pPr>
        <w:pStyle w:val="ListParagraph"/>
        <w:numPr>
          <w:ilvl w:val="0"/>
          <w:numId w:val="169"/>
        </w:numPr>
        <w:spacing w:before="120" w:after="120" w:line="240" w:lineRule="auto"/>
        <w:ind w:left="567" w:hanging="567"/>
        <w:rPr>
          <w:rFonts w:ascii="Cambria" w:hAnsi="Cambria" w:cstheme="minorHAnsi"/>
        </w:rPr>
      </w:pPr>
      <w:r w:rsidRPr="009A0DA6">
        <w:rPr>
          <w:rFonts w:ascii="Cambria" w:hAnsi="Cambria" w:cstheme="minorHAnsi"/>
        </w:rPr>
        <w:t>Recommendation/s prepared in regard to the feasibility of the establishment of mission partnerships on the African continent together with the LCA</w:t>
      </w:r>
    </w:p>
    <w:p w14:paraId="210B4CCF" w14:textId="77777777" w:rsidR="00930400" w:rsidRPr="009A0DA6" w:rsidRDefault="00930400" w:rsidP="00930400">
      <w:pPr>
        <w:spacing w:before="120" w:after="120" w:line="240" w:lineRule="auto"/>
        <w:contextualSpacing/>
        <w:rPr>
          <w:rFonts w:ascii="Cambria" w:hAnsi="Cambria" w:cstheme="minorHAnsi"/>
          <w:b/>
        </w:rPr>
      </w:pPr>
      <w:r w:rsidRPr="009A0DA6">
        <w:rPr>
          <w:rFonts w:ascii="Cambria" w:hAnsi="Cambria" w:cstheme="minorHAnsi"/>
          <w:b/>
        </w:rPr>
        <w:t>Achievement of Annual Activities/Outcomes</w:t>
      </w:r>
    </w:p>
    <w:p w14:paraId="498E6143" w14:textId="77777777" w:rsidR="00930400" w:rsidRPr="00DE6169" w:rsidRDefault="00930400" w:rsidP="00F55252">
      <w:pPr>
        <w:pStyle w:val="ListParagraph"/>
        <w:numPr>
          <w:ilvl w:val="0"/>
          <w:numId w:val="178"/>
        </w:numPr>
        <w:spacing w:before="120" w:after="120" w:line="240" w:lineRule="auto"/>
        <w:ind w:left="567" w:hanging="567"/>
        <w:rPr>
          <w:rFonts w:ascii="Cambria" w:hAnsi="Cambria"/>
          <w:sz w:val="12"/>
        </w:rPr>
      </w:pPr>
      <w:r w:rsidRPr="009A0DA6">
        <w:rPr>
          <w:rFonts w:ascii="Cambria" w:hAnsi="Cambria"/>
        </w:rPr>
        <w:t>The committee discussed the directive of Strategic Goal 6 and recommends that LCA International Mission does not have the capacity to carry out Strategic Goal 6 and that is not to be a priority in the current situation</w:t>
      </w:r>
      <w:r w:rsidRPr="009A0DA6">
        <w:rPr>
          <w:rFonts w:ascii="Cambria" w:hAnsi="Cambria"/>
        </w:rPr>
        <w:br/>
      </w:r>
    </w:p>
    <w:p w14:paraId="76362CCA" w14:textId="77777777" w:rsidR="00930400" w:rsidRPr="009A0DA6" w:rsidRDefault="00930400" w:rsidP="00F55252">
      <w:pPr>
        <w:pStyle w:val="ListParagraph"/>
        <w:numPr>
          <w:ilvl w:val="0"/>
          <w:numId w:val="178"/>
        </w:numPr>
        <w:spacing w:before="120" w:after="120" w:line="240" w:lineRule="auto"/>
        <w:ind w:left="567" w:hanging="567"/>
        <w:rPr>
          <w:rFonts w:ascii="Cambria" w:hAnsi="Cambria" w:cstheme="minorHAnsi"/>
        </w:rPr>
      </w:pPr>
      <w:r w:rsidRPr="009A0DA6">
        <w:rPr>
          <w:rFonts w:ascii="Cambria" w:hAnsi="Cambria" w:cstheme="minorHAnsi"/>
        </w:rPr>
        <w:t>The possibility of formal relationships with partners in the African continent will be assessed using the list of criteria for determining suitability and sustainability using documents which are currently being finalised.</w:t>
      </w:r>
    </w:p>
    <w:p w14:paraId="08C7AD1F" w14:textId="77777777" w:rsidR="00930400" w:rsidRPr="009A0DA6" w:rsidRDefault="00930400" w:rsidP="00930400">
      <w:pPr>
        <w:pStyle w:val="Heading3"/>
      </w:pPr>
      <w:r w:rsidRPr="009A0DA6">
        <w:t>Successes</w:t>
      </w:r>
    </w:p>
    <w:p w14:paraId="6F4940CC" w14:textId="77777777" w:rsidR="00930400" w:rsidRPr="009A0DA6" w:rsidRDefault="00930400" w:rsidP="00F55252">
      <w:pPr>
        <w:pStyle w:val="ListParagraph"/>
        <w:numPr>
          <w:ilvl w:val="0"/>
          <w:numId w:val="175"/>
        </w:numPr>
        <w:spacing w:before="120" w:after="120" w:line="240" w:lineRule="auto"/>
        <w:ind w:left="567" w:hanging="567"/>
        <w:rPr>
          <w:rFonts w:ascii="Cambria" w:hAnsi="Cambria" w:cstheme="minorHAnsi"/>
        </w:rPr>
      </w:pPr>
      <w:r w:rsidRPr="009A0DA6">
        <w:rPr>
          <w:rFonts w:ascii="Cambria" w:hAnsi="Cambria" w:cstheme="minorHAnsi"/>
        </w:rPr>
        <w:t>People coming to know Jesus as their Lord and Saviour and being baptised into the family of God</w:t>
      </w:r>
    </w:p>
    <w:p w14:paraId="6847B756" w14:textId="77777777" w:rsidR="00930400" w:rsidRPr="009A0DA6" w:rsidRDefault="00930400" w:rsidP="00F55252">
      <w:pPr>
        <w:pStyle w:val="ListParagraph"/>
        <w:numPr>
          <w:ilvl w:val="0"/>
          <w:numId w:val="175"/>
        </w:numPr>
        <w:spacing w:before="120" w:after="120" w:line="240" w:lineRule="auto"/>
        <w:ind w:left="567" w:hanging="567"/>
        <w:rPr>
          <w:rFonts w:ascii="Cambria" w:hAnsi="Cambria" w:cstheme="minorHAnsi"/>
        </w:rPr>
      </w:pPr>
      <w:r w:rsidRPr="009A0DA6">
        <w:rPr>
          <w:rFonts w:ascii="Cambria" w:hAnsi="Cambria" w:cstheme="minorHAnsi"/>
        </w:rPr>
        <w:t>Restructuring of the office of LCA International Mission and successful continuation of the orientation of Program Officer into the complex relationships of the LCA’s international mission partnership/relationships</w:t>
      </w:r>
    </w:p>
    <w:p w14:paraId="2251475E" w14:textId="77777777" w:rsidR="00930400" w:rsidRPr="009A0DA6" w:rsidRDefault="00930400" w:rsidP="00F55252">
      <w:pPr>
        <w:pStyle w:val="ListParagraph"/>
        <w:numPr>
          <w:ilvl w:val="0"/>
          <w:numId w:val="175"/>
        </w:numPr>
        <w:spacing w:before="120" w:after="120" w:line="240" w:lineRule="auto"/>
        <w:ind w:left="567" w:hanging="567"/>
        <w:rPr>
          <w:rFonts w:ascii="Cambria" w:hAnsi="Cambria" w:cstheme="minorHAnsi"/>
        </w:rPr>
      </w:pPr>
      <w:r w:rsidRPr="009A0DA6">
        <w:rPr>
          <w:rFonts w:ascii="Cambria" w:hAnsi="Cambria" w:cstheme="minorHAnsi"/>
        </w:rPr>
        <w:t>Expansion of the congregational and schools partnership programs and the volunteers in mission program</w:t>
      </w:r>
    </w:p>
    <w:p w14:paraId="232BB4EC" w14:textId="77777777" w:rsidR="00930400" w:rsidRPr="009A0DA6" w:rsidRDefault="00930400" w:rsidP="00F55252">
      <w:pPr>
        <w:pStyle w:val="ListParagraph"/>
        <w:numPr>
          <w:ilvl w:val="0"/>
          <w:numId w:val="175"/>
        </w:numPr>
        <w:spacing w:before="120" w:after="120" w:line="240" w:lineRule="auto"/>
        <w:ind w:left="567" w:hanging="567"/>
        <w:rPr>
          <w:rFonts w:ascii="Cambria" w:hAnsi="Cambria" w:cstheme="minorHAnsi"/>
        </w:rPr>
      </w:pPr>
      <w:r w:rsidRPr="009A0DA6">
        <w:rPr>
          <w:rFonts w:ascii="Cambria" w:hAnsi="Cambria" w:cstheme="minorHAnsi"/>
        </w:rPr>
        <w:t>Publication of Lutheran theological material for overseas partners</w:t>
      </w:r>
    </w:p>
    <w:p w14:paraId="5EC8780E" w14:textId="77777777" w:rsidR="00930400" w:rsidRPr="009A0DA6" w:rsidRDefault="00930400" w:rsidP="00F55252">
      <w:pPr>
        <w:pStyle w:val="ListParagraph"/>
        <w:numPr>
          <w:ilvl w:val="0"/>
          <w:numId w:val="175"/>
        </w:numPr>
        <w:spacing w:before="120" w:after="120" w:line="240" w:lineRule="auto"/>
        <w:ind w:left="567" w:hanging="567"/>
        <w:rPr>
          <w:rFonts w:ascii="Cambria" w:hAnsi="Cambria" w:cstheme="minorHAnsi"/>
        </w:rPr>
      </w:pPr>
      <w:r w:rsidRPr="009A0DA6">
        <w:rPr>
          <w:rFonts w:ascii="Cambria" w:hAnsi="Cambria" w:cstheme="minorHAnsi"/>
        </w:rPr>
        <w:t>Publication of ‘Growing as God’s people’ into a growing number of languages</w:t>
      </w:r>
    </w:p>
    <w:p w14:paraId="4BB2A560" w14:textId="77777777" w:rsidR="00930400" w:rsidRPr="009A0DA6" w:rsidRDefault="00930400" w:rsidP="00F55252">
      <w:pPr>
        <w:pStyle w:val="ListParagraph"/>
        <w:numPr>
          <w:ilvl w:val="0"/>
          <w:numId w:val="175"/>
        </w:numPr>
        <w:spacing w:before="120" w:after="120" w:line="240" w:lineRule="auto"/>
        <w:ind w:left="567" w:hanging="567"/>
        <w:rPr>
          <w:rFonts w:ascii="Cambria" w:hAnsi="Cambria" w:cstheme="minorHAnsi"/>
        </w:rPr>
      </w:pPr>
      <w:r w:rsidRPr="009A0DA6">
        <w:rPr>
          <w:rFonts w:ascii="Cambria" w:hAnsi="Cambria" w:cstheme="minorHAnsi"/>
        </w:rPr>
        <w:t>Partnership with Reconciliation Ministries department to provide ‘targeted’ scholarships in reconciliation ministry</w:t>
      </w:r>
    </w:p>
    <w:p w14:paraId="1F7F2A1F" w14:textId="77777777" w:rsidR="00930400" w:rsidRPr="009A0DA6" w:rsidRDefault="00930400" w:rsidP="00F55252">
      <w:pPr>
        <w:pStyle w:val="ListParagraph"/>
        <w:numPr>
          <w:ilvl w:val="0"/>
          <w:numId w:val="175"/>
        </w:numPr>
        <w:spacing w:before="120" w:after="120" w:line="240" w:lineRule="auto"/>
        <w:ind w:left="567" w:hanging="567"/>
        <w:rPr>
          <w:rFonts w:ascii="Cambria" w:hAnsi="Cambria" w:cstheme="minorHAnsi"/>
        </w:rPr>
      </w:pPr>
      <w:r w:rsidRPr="009A0DA6">
        <w:rPr>
          <w:rFonts w:ascii="Cambria" w:hAnsi="Cambria" w:cstheme="minorHAnsi"/>
        </w:rPr>
        <w:t>Partnership with Grow Ministries in the Cultivating Young Leaders program</w:t>
      </w:r>
    </w:p>
    <w:p w14:paraId="6C7F9D5C" w14:textId="77777777" w:rsidR="00930400" w:rsidRPr="009A0DA6" w:rsidRDefault="00930400" w:rsidP="00F55252">
      <w:pPr>
        <w:pStyle w:val="ListParagraph"/>
        <w:numPr>
          <w:ilvl w:val="0"/>
          <w:numId w:val="175"/>
        </w:numPr>
        <w:spacing w:before="120" w:after="120" w:line="240" w:lineRule="auto"/>
        <w:ind w:left="567" w:hanging="567"/>
        <w:rPr>
          <w:rFonts w:ascii="Cambria" w:hAnsi="Cambria" w:cstheme="minorHAnsi"/>
        </w:rPr>
      </w:pPr>
      <w:r w:rsidRPr="009A0DA6">
        <w:rPr>
          <w:rFonts w:ascii="Cambria" w:hAnsi="Cambria" w:cstheme="minorHAnsi"/>
        </w:rPr>
        <w:t>Partnership with ALC to develop new forms of scholarships and for providing theological training for our overseas partners</w:t>
      </w:r>
    </w:p>
    <w:p w14:paraId="76C4B1CD" w14:textId="77777777" w:rsidR="00930400" w:rsidRPr="009A0DA6" w:rsidRDefault="00930400" w:rsidP="00F55252">
      <w:pPr>
        <w:pStyle w:val="ListParagraph"/>
        <w:numPr>
          <w:ilvl w:val="0"/>
          <w:numId w:val="175"/>
        </w:numPr>
        <w:spacing w:before="120" w:after="120" w:line="240" w:lineRule="auto"/>
        <w:ind w:left="567" w:hanging="567"/>
        <w:rPr>
          <w:rFonts w:ascii="Cambria" w:hAnsi="Cambria" w:cstheme="minorHAnsi"/>
        </w:rPr>
      </w:pPr>
      <w:r w:rsidRPr="009A0DA6">
        <w:rPr>
          <w:rFonts w:ascii="Cambria" w:hAnsi="Cambria" w:cstheme="minorHAnsi"/>
        </w:rPr>
        <w:t>Successful transition from Board for Mission to Committee for International Mission</w:t>
      </w:r>
    </w:p>
    <w:p w14:paraId="72E60E84" w14:textId="77777777" w:rsidR="00930400" w:rsidRPr="009A0DA6" w:rsidRDefault="00930400" w:rsidP="00F55252">
      <w:pPr>
        <w:pStyle w:val="ListParagraph"/>
        <w:numPr>
          <w:ilvl w:val="0"/>
          <w:numId w:val="175"/>
        </w:numPr>
        <w:spacing w:before="120" w:after="120" w:line="240" w:lineRule="auto"/>
        <w:ind w:left="567" w:hanging="567"/>
        <w:rPr>
          <w:rFonts w:ascii="Cambria" w:hAnsi="Cambria" w:cstheme="minorHAnsi"/>
        </w:rPr>
      </w:pPr>
      <w:r w:rsidRPr="009A0DA6">
        <w:rPr>
          <w:rFonts w:ascii="Cambria" w:hAnsi="Cambria" w:cstheme="minorHAnsi"/>
        </w:rPr>
        <w:t>Support from individuals and congregations for specific scholarships and programs</w:t>
      </w:r>
    </w:p>
    <w:p w14:paraId="7EC7C055" w14:textId="77777777" w:rsidR="00930400" w:rsidRPr="009A0DA6" w:rsidRDefault="00930400" w:rsidP="00F55252">
      <w:pPr>
        <w:pStyle w:val="ListParagraph"/>
        <w:numPr>
          <w:ilvl w:val="0"/>
          <w:numId w:val="175"/>
        </w:numPr>
        <w:spacing w:before="120" w:after="120" w:line="240" w:lineRule="auto"/>
        <w:ind w:left="567" w:hanging="567"/>
        <w:rPr>
          <w:rFonts w:ascii="Cambria" w:hAnsi="Cambria" w:cstheme="minorHAnsi"/>
        </w:rPr>
      </w:pPr>
      <w:r w:rsidRPr="009A0DA6">
        <w:rPr>
          <w:rFonts w:ascii="Cambria" w:hAnsi="Cambria" w:cstheme="minorHAnsi"/>
        </w:rPr>
        <w:t>Development of new and the strengthening of the methods of communication for LCA International Mission with the members of the LCA</w:t>
      </w:r>
    </w:p>
    <w:p w14:paraId="502A69C0" w14:textId="77777777" w:rsidR="00930400" w:rsidRPr="009A0DA6" w:rsidRDefault="00930400" w:rsidP="00930400">
      <w:pPr>
        <w:pStyle w:val="Heading3"/>
      </w:pPr>
      <w:r w:rsidRPr="009A0DA6">
        <w:t>Challenges and Lessons Learned</w:t>
      </w:r>
    </w:p>
    <w:p w14:paraId="0627C1BF" w14:textId="77777777" w:rsidR="00930400" w:rsidRPr="009A0DA6" w:rsidRDefault="00930400" w:rsidP="00F55252">
      <w:pPr>
        <w:pStyle w:val="ListParagraph"/>
        <w:numPr>
          <w:ilvl w:val="0"/>
          <w:numId w:val="176"/>
        </w:numPr>
        <w:spacing w:before="120" w:after="120" w:line="240" w:lineRule="auto"/>
        <w:rPr>
          <w:rFonts w:ascii="Cambria" w:hAnsi="Cambria" w:cstheme="minorHAnsi"/>
        </w:rPr>
      </w:pPr>
      <w:r w:rsidRPr="009A0DA6">
        <w:rPr>
          <w:rFonts w:ascii="Cambria" w:hAnsi="Cambria" w:cstheme="minorHAnsi"/>
        </w:rPr>
        <w:t>Need for more efficient and prompt support in the area of administration assistance under the new LCA structure. We understand that this is a work in progress.</w:t>
      </w:r>
    </w:p>
    <w:p w14:paraId="3E406B71" w14:textId="77777777" w:rsidR="00930400" w:rsidRPr="009A0DA6" w:rsidRDefault="00930400" w:rsidP="00F55252">
      <w:pPr>
        <w:pStyle w:val="ListParagraph"/>
        <w:numPr>
          <w:ilvl w:val="0"/>
          <w:numId w:val="176"/>
        </w:numPr>
        <w:spacing w:before="120" w:after="120" w:line="240" w:lineRule="auto"/>
        <w:rPr>
          <w:rFonts w:ascii="Cambria" w:hAnsi="Cambria" w:cstheme="minorHAnsi"/>
        </w:rPr>
      </w:pPr>
      <w:r w:rsidRPr="009A0DA6">
        <w:rPr>
          <w:rFonts w:ascii="Cambria" w:hAnsi="Cambria" w:cstheme="minorHAnsi"/>
        </w:rPr>
        <w:t>Loss of members to the Committee for International Mission</w:t>
      </w:r>
    </w:p>
    <w:p w14:paraId="4866AA96" w14:textId="77777777" w:rsidR="00930400" w:rsidRPr="009A0DA6" w:rsidRDefault="00930400" w:rsidP="00F55252">
      <w:pPr>
        <w:pStyle w:val="ListParagraph"/>
        <w:numPr>
          <w:ilvl w:val="0"/>
          <w:numId w:val="176"/>
        </w:numPr>
        <w:spacing w:before="120" w:after="120" w:line="240" w:lineRule="auto"/>
        <w:rPr>
          <w:rFonts w:ascii="Cambria" w:hAnsi="Cambria" w:cstheme="minorHAnsi"/>
        </w:rPr>
      </w:pPr>
      <w:r w:rsidRPr="009A0DA6">
        <w:rPr>
          <w:rFonts w:ascii="Cambria" w:hAnsi="Cambria" w:cstheme="minorHAnsi"/>
        </w:rPr>
        <w:t>Orientation of the members of the Committee for International Mission to the responsibilities of the role under the new structure</w:t>
      </w:r>
    </w:p>
    <w:p w14:paraId="7761AF7A" w14:textId="77777777" w:rsidR="00786120" w:rsidRDefault="00786120">
      <w:pPr>
        <w:rPr>
          <w:rFonts w:ascii="Cambria" w:eastAsiaTheme="majorEastAsia" w:hAnsi="Cambria" w:cstheme="majorBidi"/>
          <w:b/>
          <w:caps/>
          <w:sz w:val="28"/>
          <w:szCs w:val="24"/>
        </w:rPr>
      </w:pPr>
      <w:r>
        <w:br w:type="page"/>
      </w:r>
    </w:p>
    <w:p w14:paraId="25AB22D9" w14:textId="473C825B" w:rsidR="00930400" w:rsidRPr="009A0DA6" w:rsidRDefault="00930400" w:rsidP="00930400">
      <w:pPr>
        <w:pStyle w:val="Heading3"/>
      </w:pPr>
      <w:r w:rsidRPr="009A0DA6">
        <w:lastRenderedPageBreak/>
        <w:t>Risks</w:t>
      </w:r>
    </w:p>
    <w:tbl>
      <w:tblPr>
        <w:tblStyle w:val="PlainTable2"/>
        <w:tblW w:w="8618" w:type="dxa"/>
        <w:tblLook w:val="04A0" w:firstRow="1" w:lastRow="0" w:firstColumn="1" w:lastColumn="0" w:noHBand="0" w:noVBand="1"/>
      </w:tblPr>
      <w:tblGrid>
        <w:gridCol w:w="2835"/>
        <w:gridCol w:w="2835"/>
        <w:gridCol w:w="2948"/>
      </w:tblGrid>
      <w:tr w:rsidR="00930400" w:rsidRPr="009A0DA6" w14:paraId="770A3BC9" w14:textId="77777777" w:rsidTr="00AD09CB">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835" w:type="dxa"/>
          </w:tcPr>
          <w:p w14:paraId="316496F4" w14:textId="77777777" w:rsidR="00930400" w:rsidRPr="009A0DA6" w:rsidRDefault="00930400" w:rsidP="00AD09CB">
            <w:pPr>
              <w:spacing w:before="120" w:after="120"/>
              <w:contextualSpacing/>
              <w:rPr>
                <w:rFonts w:ascii="Cambria" w:hAnsi="Cambria" w:cstheme="minorHAnsi"/>
                <w:b w:val="0"/>
              </w:rPr>
            </w:pPr>
            <w:r w:rsidRPr="009A0DA6">
              <w:rPr>
                <w:rFonts w:ascii="Cambria" w:hAnsi="Cambria" w:cstheme="minorHAnsi"/>
              </w:rPr>
              <w:t>Description of risk</w:t>
            </w:r>
          </w:p>
        </w:tc>
        <w:tc>
          <w:tcPr>
            <w:tcW w:w="2835" w:type="dxa"/>
          </w:tcPr>
          <w:p w14:paraId="7AFFEA59" w14:textId="77777777" w:rsidR="00930400" w:rsidRPr="009A0DA6" w:rsidRDefault="00930400" w:rsidP="00AD09CB">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rPr>
            </w:pPr>
            <w:r w:rsidRPr="009A0DA6">
              <w:rPr>
                <w:rFonts w:ascii="Cambria" w:hAnsi="Cambria" w:cstheme="minorHAnsi"/>
              </w:rPr>
              <w:t>Likelihood of risk occurring and potential impact for the ministry and LCA</w:t>
            </w:r>
          </w:p>
        </w:tc>
        <w:tc>
          <w:tcPr>
            <w:tcW w:w="2948" w:type="dxa"/>
          </w:tcPr>
          <w:p w14:paraId="46CE651F" w14:textId="77777777" w:rsidR="00930400" w:rsidRPr="009A0DA6" w:rsidRDefault="00930400" w:rsidP="00AD09CB">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rPr>
            </w:pPr>
            <w:r w:rsidRPr="009A0DA6">
              <w:rPr>
                <w:rFonts w:ascii="Cambria" w:hAnsi="Cambria" w:cstheme="minorHAnsi"/>
              </w:rPr>
              <w:t>Summary of action to mitigate the risk</w:t>
            </w:r>
          </w:p>
        </w:tc>
      </w:tr>
      <w:tr w:rsidR="00930400" w:rsidRPr="009A0DA6" w14:paraId="3FF60CC0" w14:textId="77777777" w:rsidTr="00AD09CB">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835" w:type="dxa"/>
          </w:tcPr>
          <w:p w14:paraId="5EA492F1" w14:textId="77777777" w:rsidR="00930400" w:rsidRPr="009A0DA6" w:rsidRDefault="00930400" w:rsidP="00AD09CB">
            <w:pPr>
              <w:spacing w:before="120" w:after="120"/>
              <w:contextualSpacing/>
              <w:rPr>
                <w:rFonts w:ascii="Cambria" w:hAnsi="Cambria" w:cstheme="minorHAnsi"/>
              </w:rPr>
            </w:pPr>
            <w:r w:rsidRPr="009A0DA6">
              <w:rPr>
                <w:rFonts w:ascii="Cambria" w:hAnsi="Cambria" w:cstheme="minorHAnsi"/>
              </w:rPr>
              <w:t>Individuals (pastors and people), congregations and organisations developing their ‘own’ mission programs – seen as being from the LCA but not abiding by all LCA policies, professional standards and guidelines, and acting without due respect for our long established international relationships. These situations can also place team members and individuals in other countries at risk of harm and abuse and can cause harm to the reputation of the LCA.</w:t>
            </w:r>
          </w:p>
        </w:tc>
        <w:tc>
          <w:tcPr>
            <w:tcW w:w="2835" w:type="dxa"/>
          </w:tcPr>
          <w:p w14:paraId="6AA60A61" w14:textId="77777777" w:rsidR="00930400" w:rsidRPr="009A0DA6" w:rsidRDefault="00930400" w:rsidP="00AD09CB">
            <w:pPr>
              <w:spacing w:before="120" w:after="120"/>
              <w:contextualSpacing/>
              <w:cnfStyle w:val="000000100000" w:firstRow="0" w:lastRow="0" w:firstColumn="0" w:lastColumn="0" w:oddVBand="0" w:evenVBand="0" w:oddHBand="1" w:evenHBand="0" w:firstRowFirstColumn="0" w:firstRowLastColumn="0" w:lastRowFirstColumn="0" w:lastRowLastColumn="0"/>
              <w:rPr>
                <w:rFonts w:ascii="Cambria" w:hAnsi="Cambria" w:cstheme="minorHAnsi"/>
              </w:rPr>
            </w:pPr>
            <w:r w:rsidRPr="009A0DA6">
              <w:rPr>
                <w:rFonts w:ascii="Cambria" w:hAnsi="Cambria" w:cstheme="minorHAnsi"/>
              </w:rPr>
              <w:t xml:space="preserve">This situation - of others acting independently of the LCA is already a reality within the LCA and some international partnerships. </w:t>
            </w:r>
          </w:p>
          <w:p w14:paraId="7EE91B7A" w14:textId="77777777" w:rsidR="00930400" w:rsidRPr="009A0DA6" w:rsidRDefault="00930400" w:rsidP="00AD09CB">
            <w:pPr>
              <w:spacing w:before="120" w:after="120"/>
              <w:contextualSpacing/>
              <w:cnfStyle w:val="000000100000" w:firstRow="0" w:lastRow="0" w:firstColumn="0" w:lastColumn="0" w:oddVBand="0" w:evenVBand="0" w:oddHBand="1" w:evenHBand="0" w:firstRowFirstColumn="0" w:firstRowLastColumn="0" w:lastRowFirstColumn="0" w:lastRowLastColumn="0"/>
              <w:rPr>
                <w:rFonts w:ascii="Cambria" w:hAnsi="Cambria" w:cstheme="minorHAnsi"/>
              </w:rPr>
            </w:pPr>
          </w:p>
          <w:p w14:paraId="4FD01B45" w14:textId="77777777" w:rsidR="00930400" w:rsidRPr="009A0DA6" w:rsidRDefault="00930400" w:rsidP="00AD09CB">
            <w:pPr>
              <w:spacing w:before="120" w:after="120"/>
              <w:contextualSpacing/>
              <w:cnfStyle w:val="000000100000" w:firstRow="0" w:lastRow="0" w:firstColumn="0" w:lastColumn="0" w:oddVBand="0" w:evenVBand="0" w:oddHBand="1" w:evenHBand="0" w:firstRowFirstColumn="0" w:firstRowLastColumn="0" w:lastRowFirstColumn="0" w:lastRowLastColumn="0"/>
              <w:rPr>
                <w:rFonts w:ascii="Cambria" w:hAnsi="Cambria" w:cstheme="minorHAnsi"/>
              </w:rPr>
            </w:pPr>
            <w:r w:rsidRPr="009A0DA6">
              <w:rPr>
                <w:rFonts w:ascii="Cambria" w:hAnsi="Cambria" w:cstheme="minorHAnsi"/>
              </w:rPr>
              <w:t>Without due attention to professional standards and attention to cultural and partnership sensitivities, some of these people are placing people, our international relationships and the LCA reputation at risk when and if some issue/s present themselves.</w:t>
            </w:r>
          </w:p>
        </w:tc>
        <w:tc>
          <w:tcPr>
            <w:tcW w:w="2948" w:type="dxa"/>
          </w:tcPr>
          <w:p w14:paraId="7DB2FAF5" w14:textId="77777777" w:rsidR="00930400" w:rsidRPr="009A0DA6" w:rsidRDefault="00930400" w:rsidP="00AD09CB">
            <w:pPr>
              <w:spacing w:before="120" w:after="120"/>
              <w:contextualSpacing/>
              <w:cnfStyle w:val="000000100000" w:firstRow="0" w:lastRow="0" w:firstColumn="0" w:lastColumn="0" w:oddVBand="0" w:evenVBand="0" w:oddHBand="1" w:evenHBand="0" w:firstRowFirstColumn="0" w:firstRowLastColumn="0" w:lastRowFirstColumn="0" w:lastRowLastColumn="0"/>
              <w:rPr>
                <w:rFonts w:ascii="Cambria" w:hAnsi="Cambria" w:cstheme="minorHAnsi"/>
              </w:rPr>
            </w:pPr>
            <w:r w:rsidRPr="009A0DA6">
              <w:rPr>
                <w:rFonts w:ascii="Cambria" w:hAnsi="Cambria" w:cstheme="minorHAnsi"/>
              </w:rPr>
              <w:t>Proactively continue to promote best practice in professional standards and cultural sensitivity.</w:t>
            </w:r>
          </w:p>
          <w:p w14:paraId="5652817D" w14:textId="77777777" w:rsidR="00930400" w:rsidRPr="009A0DA6" w:rsidRDefault="00930400" w:rsidP="00AD09CB">
            <w:pPr>
              <w:spacing w:before="120" w:after="120"/>
              <w:contextualSpacing/>
              <w:cnfStyle w:val="000000100000" w:firstRow="0" w:lastRow="0" w:firstColumn="0" w:lastColumn="0" w:oddVBand="0" w:evenVBand="0" w:oddHBand="1" w:evenHBand="0" w:firstRowFirstColumn="0" w:firstRowLastColumn="0" w:lastRowFirstColumn="0" w:lastRowLastColumn="0"/>
              <w:rPr>
                <w:rFonts w:ascii="Cambria" w:hAnsi="Cambria" w:cstheme="minorHAnsi"/>
              </w:rPr>
            </w:pPr>
            <w:r w:rsidRPr="009A0DA6">
              <w:rPr>
                <w:rFonts w:ascii="Cambria" w:hAnsi="Cambria" w:cstheme="minorHAnsi"/>
              </w:rPr>
              <w:t>Continue to provide information and teaching in best practice in these matters to individuals, congregations and schools of the LCA.</w:t>
            </w:r>
          </w:p>
          <w:p w14:paraId="363E753F" w14:textId="77777777" w:rsidR="00930400" w:rsidRPr="009A0DA6" w:rsidRDefault="00930400" w:rsidP="00AD09CB">
            <w:pPr>
              <w:spacing w:before="120" w:after="120"/>
              <w:contextualSpacing/>
              <w:cnfStyle w:val="000000100000" w:firstRow="0" w:lastRow="0" w:firstColumn="0" w:lastColumn="0" w:oddVBand="0" w:evenVBand="0" w:oddHBand="1" w:evenHBand="0" w:firstRowFirstColumn="0" w:firstRowLastColumn="0" w:lastRowFirstColumn="0" w:lastRowLastColumn="0"/>
              <w:rPr>
                <w:rFonts w:ascii="Cambria" w:hAnsi="Cambria" w:cstheme="minorHAnsi"/>
              </w:rPr>
            </w:pPr>
          </w:p>
          <w:p w14:paraId="1524CDC0" w14:textId="77777777" w:rsidR="00930400" w:rsidRPr="009A0DA6" w:rsidRDefault="00930400" w:rsidP="00AD09CB">
            <w:pPr>
              <w:spacing w:before="120" w:after="120"/>
              <w:contextualSpacing/>
              <w:cnfStyle w:val="000000100000" w:firstRow="0" w:lastRow="0" w:firstColumn="0" w:lastColumn="0" w:oddVBand="0" w:evenVBand="0" w:oddHBand="1" w:evenHBand="0" w:firstRowFirstColumn="0" w:firstRowLastColumn="0" w:lastRowFirstColumn="0" w:lastRowLastColumn="0"/>
              <w:rPr>
                <w:rFonts w:ascii="Cambria" w:hAnsi="Cambria" w:cstheme="minorHAnsi"/>
              </w:rPr>
            </w:pPr>
            <w:r w:rsidRPr="009A0DA6">
              <w:rPr>
                <w:rFonts w:ascii="Cambria" w:hAnsi="Cambria" w:cstheme="minorHAnsi"/>
              </w:rPr>
              <w:t xml:space="preserve">This is also an issue which needs to be considered by the GCC as a matter of concern and for ‘pastoral discipline’. </w:t>
            </w:r>
          </w:p>
        </w:tc>
      </w:tr>
      <w:tr w:rsidR="00930400" w:rsidRPr="009A0DA6" w14:paraId="4B3E36D3" w14:textId="77777777" w:rsidTr="00AD09CB">
        <w:trPr>
          <w:trHeight w:val="267"/>
        </w:trPr>
        <w:tc>
          <w:tcPr>
            <w:cnfStyle w:val="001000000000" w:firstRow="0" w:lastRow="0" w:firstColumn="1" w:lastColumn="0" w:oddVBand="0" w:evenVBand="0" w:oddHBand="0" w:evenHBand="0" w:firstRowFirstColumn="0" w:firstRowLastColumn="0" w:lastRowFirstColumn="0" w:lastRowLastColumn="0"/>
            <w:tcW w:w="2835" w:type="dxa"/>
          </w:tcPr>
          <w:p w14:paraId="5D53FEF6" w14:textId="40495D83" w:rsidR="00930400" w:rsidRPr="009A0DA6" w:rsidRDefault="00930400" w:rsidP="00AD09CB">
            <w:pPr>
              <w:widowControl w:val="0"/>
              <w:suppressAutoHyphens/>
              <w:spacing w:before="120" w:after="120"/>
              <w:contextualSpacing/>
              <w:rPr>
                <w:rFonts w:ascii="Cambria" w:hAnsi="Cambria" w:cstheme="minorHAnsi"/>
              </w:rPr>
            </w:pPr>
            <w:r w:rsidRPr="009A0DA6">
              <w:rPr>
                <w:rFonts w:ascii="Cambria" w:hAnsi="Cambria" w:cstheme="minorHAnsi"/>
              </w:rPr>
              <w:t>Potential internal conflict within ministries/ departments of the partner churches could affect the opportunities to partnering in effective ways.</w:t>
            </w:r>
          </w:p>
        </w:tc>
        <w:tc>
          <w:tcPr>
            <w:tcW w:w="2835" w:type="dxa"/>
          </w:tcPr>
          <w:p w14:paraId="7A68FBB4" w14:textId="77777777" w:rsidR="00930400" w:rsidRPr="009A0DA6" w:rsidRDefault="00930400" w:rsidP="00AD09CB">
            <w:pPr>
              <w:spacing w:before="120" w:after="120"/>
              <w:contextualSpacing/>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sidRPr="009A0DA6">
              <w:rPr>
                <w:rFonts w:ascii="Cambria" w:hAnsi="Cambria" w:cstheme="minorHAnsi"/>
              </w:rPr>
              <w:t>This is always very likely. Funding needs can be affected – and sometimes even decreased due to staff losses in a particular country/ministry.</w:t>
            </w:r>
          </w:p>
        </w:tc>
        <w:tc>
          <w:tcPr>
            <w:tcW w:w="2948" w:type="dxa"/>
          </w:tcPr>
          <w:p w14:paraId="288D2E84" w14:textId="77777777" w:rsidR="00930400" w:rsidRPr="009A0DA6" w:rsidRDefault="00930400" w:rsidP="00AD09CB">
            <w:pPr>
              <w:spacing w:before="120" w:after="120"/>
              <w:contextualSpacing/>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sidRPr="009A0DA6">
              <w:rPr>
                <w:rFonts w:ascii="Cambria" w:hAnsi="Cambria" w:cstheme="minorHAnsi"/>
              </w:rPr>
              <w:t>Continue to maintain good/healthy relationships with partner churches and respective ministry leaders and other international mission partners in the various countries, in order to fully understand the situation/s as best as it is possible. This means continuing face to face visits where deeper relationships are formed and where a more accurate understanding of situations can be gained.</w:t>
            </w:r>
          </w:p>
        </w:tc>
      </w:tr>
      <w:tr w:rsidR="00930400" w:rsidRPr="009A0DA6" w14:paraId="25FA7E12" w14:textId="77777777" w:rsidTr="00AD09CB">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835" w:type="dxa"/>
          </w:tcPr>
          <w:p w14:paraId="2CCA1153" w14:textId="77777777" w:rsidR="00930400" w:rsidRPr="009A0DA6" w:rsidRDefault="00930400" w:rsidP="00AD09CB">
            <w:pPr>
              <w:widowControl w:val="0"/>
              <w:suppressAutoHyphens/>
              <w:spacing w:before="120" w:after="120"/>
              <w:contextualSpacing/>
              <w:rPr>
                <w:rFonts w:ascii="Cambria" w:hAnsi="Cambria" w:cstheme="minorHAnsi"/>
              </w:rPr>
            </w:pPr>
            <w:r w:rsidRPr="009A0DA6">
              <w:rPr>
                <w:rFonts w:ascii="Cambria" w:hAnsi="Cambria" w:cstheme="minorHAnsi"/>
              </w:rPr>
              <w:t>Decreasing membership in the LCA could mean a decrease in donations and funding for international mission partnerships.</w:t>
            </w:r>
          </w:p>
        </w:tc>
        <w:tc>
          <w:tcPr>
            <w:tcW w:w="2835" w:type="dxa"/>
          </w:tcPr>
          <w:p w14:paraId="5F075A5E" w14:textId="77777777" w:rsidR="00930400" w:rsidRPr="009A0DA6" w:rsidRDefault="00930400" w:rsidP="00AD09CB">
            <w:pPr>
              <w:spacing w:before="120" w:after="120"/>
              <w:contextualSpacing/>
              <w:cnfStyle w:val="000000100000" w:firstRow="0" w:lastRow="0" w:firstColumn="0" w:lastColumn="0" w:oddVBand="0" w:evenVBand="0" w:oddHBand="1" w:evenHBand="0" w:firstRowFirstColumn="0" w:firstRowLastColumn="0" w:lastRowFirstColumn="0" w:lastRowLastColumn="0"/>
              <w:rPr>
                <w:rFonts w:ascii="Cambria" w:hAnsi="Cambria" w:cstheme="minorHAnsi"/>
              </w:rPr>
            </w:pPr>
            <w:r w:rsidRPr="009A0DA6">
              <w:rPr>
                <w:rFonts w:ascii="Cambria" w:hAnsi="Cambria" w:cstheme="minorHAnsi"/>
              </w:rPr>
              <w:t xml:space="preserve">The active membership of the LCA is decreasing. </w:t>
            </w:r>
          </w:p>
        </w:tc>
        <w:tc>
          <w:tcPr>
            <w:tcW w:w="2948" w:type="dxa"/>
          </w:tcPr>
          <w:p w14:paraId="3822B159" w14:textId="77777777" w:rsidR="00930400" w:rsidRPr="009A0DA6" w:rsidRDefault="00930400" w:rsidP="00AD09CB">
            <w:pPr>
              <w:spacing w:before="120" w:after="120"/>
              <w:contextualSpacing/>
              <w:cnfStyle w:val="000000100000" w:firstRow="0" w:lastRow="0" w:firstColumn="0" w:lastColumn="0" w:oddVBand="0" w:evenVBand="0" w:oddHBand="1" w:evenHBand="0" w:firstRowFirstColumn="0" w:firstRowLastColumn="0" w:lastRowFirstColumn="0" w:lastRowLastColumn="0"/>
              <w:rPr>
                <w:rFonts w:ascii="Cambria" w:hAnsi="Cambria" w:cstheme="minorHAnsi"/>
              </w:rPr>
            </w:pPr>
            <w:r w:rsidRPr="009A0DA6">
              <w:rPr>
                <w:rFonts w:ascii="Cambria" w:hAnsi="Cambria" w:cstheme="minorHAnsi"/>
              </w:rPr>
              <w:t>Continue to share the stories of the LCA’s engagement in international mission. Invite congregations, schools and individuals to partner in and with LCA International Mission and in partnership with our overseas partner churches. Regular and targeted promotion of specific ministry and mission opportunities.</w:t>
            </w:r>
          </w:p>
        </w:tc>
      </w:tr>
    </w:tbl>
    <w:p w14:paraId="15C3511B" w14:textId="77777777" w:rsidR="00930400" w:rsidRPr="009A0DA6" w:rsidRDefault="00930400" w:rsidP="00930400">
      <w:pPr>
        <w:spacing w:before="120" w:after="120" w:line="240" w:lineRule="auto"/>
        <w:contextualSpacing/>
        <w:rPr>
          <w:rFonts w:ascii="Cambria" w:hAnsi="Cambria" w:cstheme="minorHAnsi"/>
          <w:b/>
        </w:rPr>
      </w:pPr>
    </w:p>
    <w:p w14:paraId="010B471D" w14:textId="77777777" w:rsidR="00930400" w:rsidRPr="009A0DA6" w:rsidRDefault="00930400" w:rsidP="00786120">
      <w:pPr>
        <w:pStyle w:val="Heading3"/>
        <w:spacing w:after="0"/>
      </w:pPr>
      <w:r w:rsidRPr="009A0DA6">
        <w:lastRenderedPageBreak/>
        <w:t xml:space="preserve">Alignment to LCA Strategic Direction </w:t>
      </w:r>
      <w:r>
        <w:t>2013–2018</w:t>
      </w:r>
    </w:p>
    <w:p w14:paraId="28B3CFE5" w14:textId="77777777" w:rsidR="00930400" w:rsidRPr="00D4753A" w:rsidRDefault="00930400" w:rsidP="00786120">
      <w:pPr>
        <w:pStyle w:val="ListParagraph"/>
        <w:numPr>
          <w:ilvl w:val="0"/>
          <w:numId w:val="177"/>
        </w:numPr>
        <w:spacing w:after="0" w:line="240" w:lineRule="auto"/>
        <w:ind w:left="567" w:hanging="567"/>
        <w:rPr>
          <w:rFonts w:ascii="Cambria" w:hAnsi="Cambria" w:cstheme="minorHAnsi"/>
          <w:b/>
          <w:sz w:val="10"/>
        </w:rPr>
      </w:pPr>
      <w:r w:rsidRPr="009A0DA6">
        <w:rPr>
          <w:rFonts w:ascii="Cambria" w:hAnsi="Cambria" w:cstheme="minorHAnsi"/>
        </w:rPr>
        <w:t>Increased number of people coming to know Jesus and make him known – particularly in Cambodia, Thailand, Malaysia and Myanmar (LCA Strategic Priority 2. Goal 2 – point 5: Support the growth of new mission fields which God has already opened to us) and (LCA Strategic Priority 2. Goal 2 – point 7 – Continued support for overseas ministries carried out through effective church to church partnerships)</w:t>
      </w:r>
      <w:r w:rsidRPr="009A0DA6">
        <w:rPr>
          <w:rFonts w:ascii="Cambria" w:hAnsi="Cambria" w:cstheme="minorHAnsi"/>
        </w:rPr>
        <w:br/>
      </w:r>
    </w:p>
    <w:p w14:paraId="153B4C0D" w14:textId="77777777" w:rsidR="00930400" w:rsidRPr="00D4753A" w:rsidRDefault="00930400" w:rsidP="00F55252">
      <w:pPr>
        <w:pStyle w:val="ListParagraph"/>
        <w:numPr>
          <w:ilvl w:val="0"/>
          <w:numId w:val="177"/>
        </w:numPr>
        <w:spacing w:before="120" w:after="120" w:line="240" w:lineRule="auto"/>
        <w:ind w:left="567" w:hanging="567"/>
        <w:rPr>
          <w:rFonts w:ascii="Cambria" w:hAnsi="Cambria" w:cstheme="minorHAnsi"/>
          <w:b/>
          <w:sz w:val="10"/>
        </w:rPr>
      </w:pPr>
      <w:r w:rsidRPr="009A0DA6">
        <w:rPr>
          <w:rFonts w:ascii="Cambria" w:hAnsi="Cambria" w:cstheme="minorHAnsi"/>
        </w:rPr>
        <w:t>Writing and publication of ‘Lutheran Identity’ material in Indonesia, support for the translation and printing of ‘Growing as God’s people’ into other languages (LCA Strategic Priority 2. Goal 2 – point 7 – Continued support for overseas ministries carried out through effective church to church partnerships)</w:t>
      </w:r>
      <w:r w:rsidRPr="009A0DA6">
        <w:rPr>
          <w:rFonts w:ascii="Cambria" w:hAnsi="Cambria" w:cstheme="minorHAnsi"/>
        </w:rPr>
        <w:br/>
      </w:r>
    </w:p>
    <w:p w14:paraId="1EE1551F" w14:textId="77777777" w:rsidR="00930400" w:rsidRPr="00786120" w:rsidRDefault="00930400" w:rsidP="00F55252">
      <w:pPr>
        <w:pStyle w:val="ListParagraph"/>
        <w:numPr>
          <w:ilvl w:val="0"/>
          <w:numId w:val="177"/>
        </w:numPr>
        <w:spacing w:before="120" w:after="120" w:line="240" w:lineRule="auto"/>
        <w:ind w:left="567" w:hanging="567"/>
        <w:rPr>
          <w:rFonts w:ascii="Cambria" w:hAnsi="Cambria" w:cstheme="minorHAnsi"/>
          <w:b/>
          <w:sz w:val="10"/>
          <w:szCs w:val="10"/>
        </w:rPr>
      </w:pPr>
      <w:r w:rsidRPr="009A0DA6">
        <w:rPr>
          <w:rFonts w:ascii="Cambria" w:hAnsi="Cambria" w:cstheme="minorHAnsi"/>
        </w:rPr>
        <w:t>Evidenced reform of Lutheran education and schools in Indonesia and initial discussions with ELC-PNG to adopt this form of partnership for the Lutheran Education department in PNG (LCA Strategic Priority 2. Goal 2 – point 7 – Continued support for overseas ministries carried out through effective church to church partnerships)</w:t>
      </w:r>
      <w:r w:rsidRPr="009A0DA6">
        <w:rPr>
          <w:rFonts w:ascii="Cambria" w:hAnsi="Cambria" w:cstheme="minorHAnsi"/>
        </w:rPr>
        <w:br/>
      </w:r>
    </w:p>
    <w:p w14:paraId="458B3F8B" w14:textId="77777777" w:rsidR="00930400" w:rsidRPr="00786120" w:rsidRDefault="00930400" w:rsidP="00F55252">
      <w:pPr>
        <w:pStyle w:val="ListParagraph"/>
        <w:numPr>
          <w:ilvl w:val="0"/>
          <w:numId w:val="177"/>
        </w:numPr>
        <w:spacing w:before="120" w:after="120" w:line="240" w:lineRule="auto"/>
        <w:ind w:left="567" w:hanging="567"/>
        <w:rPr>
          <w:rFonts w:ascii="Cambria" w:hAnsi="Cambria" w:cstheme="minorHAnsi"/>
          <w:b/>
          <w:sz w:val="10"/>
          <w:szCs w:val="10"/>
        </w:rPr>
      </w:pPr>
      <w:r w:rsidRPr="009A0DA6">
        <w:rPr>
          <w:rFonts w:ascii="Cambria" w:hAnsi="Cambria" w:cstheme="minorHAnsi"/>
        </w:rPr>
        <w:t>Theological training and capacity building in all partner churches (LCA Strategic Priority 2. Goal 2 – point 7 – Continued support for overseas ministries carried out through effective church to church partnerships)</w:t>
      </w:r>
      <w:r w:rsidRPr="009A0DA6">
        <w:rPr>
          <w:rFonts w:ascii="Cambria" w:hAnsi="Cambria" w:cstheme="minorHAnsi"/>
        </w:rPr>
        <w:br/>
      </w:r>
    </w:p>
    <w:p w14:paraId="0A119F50" w14:textId="77777777" w:rsidR="00930400" w:rsidRPr="00786120" w:rsidRDefault="00930400" w:rsidP="00F55252">
      <w:pPr>
        <w:pStyle w:val="ListParagraph"/>
        <w:numPr>
          <w:ilvl w:val="0"/>
          <w:numId w:val="177"/>
        </w:numPr>
        <w:spacing w:before="120" w:after="120" w:line="240" w:lineRule="auto"/>
        <w:ind w:left="567" w:hanging="567"/>
        <w:rPr>
          <w:rFonts w:ascii="Cambria" w:hAnsi="Cambria" w:cstheme="minorHAnsi"/>
          <w:b/>
          <w:sz w:val="10"/>
          <w:szCs w:val="10"/>
        </w:rPr>
      </w:pPr>
      <w:r w:rsidRPr="009A0DA6">
        <w:rPr>
          <w:rFonts w:ascii="Cambria" w:hAnsi="Cambria" w:cstheme="minorHAnsi"/>
        </w:rPr>
        <w:t>Michael Hauser as lay theologian at Martin Luther Seminary, Lae, PNG (LCA Strategic Priority 2. Goal 2 – point 7 – Continued support for overseas ministries carried out through effective church to church partnerships)</w:t>
      </w:r>
      <w:r w:rsidRPr="009A0DA6">
        <w:rPr>
          <w:rFonts w:ascii="Cambria" w:hAnsi="Cambria" w:cstheme="minorHAnsi"/>
        </w:rPr>
        <w:br/>
      </w:r>
    </w:p>
    <w:p w14:paraId="611979C1" w14:textId="77777777" w:rsidR="00930400" w:rsidRPr="00786120" w:rsidRDefault="00930400" w:rsidP="00F55252">
      <w:pPr>
        <w:pStyle w:val="ListParagraph"/>
        <w:numPr>
          <w:ilvl w:val="0"/>
          <w:numId w:val="177"/>
        </w:numPr>
        <w:spacing w:before="120" w:after="120" w:line="240" w:lineRule="auto"/>
        <w:ind w:left="567" w:hanging="567"/>
        <w:rPr>
          <w:rFonts w:ascii="Cambria" w:hAnsi="Cambria" w:cstheme="minorHAnsi"/>
          <w:b/>
          <w:sz w:val="10"/>
          <w:szCs w:val="10"/>
        </w:rPr>
      </w:pPr>
      <w:r w:rsidRPr="009A0DA6">
        <w:rPr>
          <w:rFonts w:ascii="Cambria" w:hAnsi="Cambria" w:cstheme="minorHAnsi"/>
        </w:rPr>
        <w:t>Growing number of volunteers serving overseas in and with our partner churches and an increase in congregational mission partnerships (LCA Strategic Priority 1. Grow as God’s people - 3. Develop a strong culture of service in individuals, families and communities both locally and overseas, as a natural outworking of an active faith) (LCA Strategic Priority 2. Go as God’s people – 1. Develop a missional culture where individuals, families and communities are inspired, passionate and active in sharing the gospel in word and action)</w:t>
      </w:r>
      <w:r w:rsidRPr="009A0DA6">
        <w:rPr>
          <w:rFonts w:ascii="Cambria" w:hAnsi="Cambria" w:cstheme="minorHAnsi"/>
        </w:rPr>
        <w:br/>
      </w:r>
    </w:p>
    <w:p w14:paraId="2960DC13" w14:textId="77777777" w:rsidR="00930400" w:rsidRPr="00786120" w:rsidRDefault="00930400" w:rsidP="00F55252">
      <w:pPr>
        <w:pStyle w:val="ListParagraph"/>
        <w:numPr>
          <w:ilvl w:val="0"/>
          <w:numId w:val="177"/>
        </w:numPr>
        <w:spacing w:before="120" w:after="120" w:line="240" w:lineRule="auto"/>
        <w:ind w:left="567" w:hanging="567"/>
        <w:rPr>
          <w:rFonts w:ascii="Cambria" w:hAnsi="Cambria" w:cstheme="minorHAnsi"/>
          <w:sz w:val="10"/>
          <w:szCs w:val="10"/>
        </w:rPr>
      </w:pPr>
      <w:r w:rsidRPr="009A0DA6">
        <w:rPr>
          <w:rFonts w:ascii="Cambria" w:hAnsi="Cambria" w:cstheme="minorHAnsi"/>
        </w:rPr>
        <w:t xml:space="preserve">Continuing development of the Scholarship program – offering scholarships both in Australia and in-country (overseas) which help pastors and leaders to grow in faith and in their understanding of ‘Lutheran’ theology. And exploration of new ways of delivery of scholarship through ALC by ‘Distance’ (LCA Strategic Priority 2. Goal 2. – Encourage strong missional orientated leadership by supporting pastor, lay workers and other leaders to be effective ministers of Christ in a changing world) </w:t>
      </w:r>
      <w:r w:rsidRPr="009A0DA6">
        <w:rPr>
          <w:rFonts w:ascii="Cambria" w:hAnsi="Cambria" w:cstheme="minorHAnsi"/>
        </w:rPr>
        <w:br/>
      </w:r>
    </w:p>
    <w:p w14:paraId="03E77B28" w14:textId="77777777" w:rsidR="00930400" w:rsidRPr="00786120" w:rsidRDefault="00930400" w:rsidP="00F55252">
      <w:pPr>
        <w:pStyle w:val="ListParagraph"/>
        <w:numPr>
          <w:ilvl w:val="0"/>
          <w:numId w:val="177"/>
        </w:numPr>
        <w:spacing w:before="120" w:after="120" w:line="240" w:lineRule="auto"/>
        <w:ind w:left="567" w:hanging="567"/>
        <w:rPr>
          <w:rFonts w:ascii="Cambria" w:hAnsi="Cambria" w:cstheme="minorHAnsi"/>
          <w:sz w:val="10"/>
          <w:szCs w:val="10"/>
        </w:rPr>
      </w:pPr>
      <w:r w:rsidRPr="009A0DA6">
        <w:rPr>
          <w:rFonts w:ascii="Cambria" w:hAnsi="Cambria" w:cstheme="minorHAnsi"/>
        </w:rPr>
        <w:t>The development and implementation of a new structure for the Committee for International Mission and new management and staffing structure for the office of LCA International Mission. Review of LBTA and the wind up of the LBTA as a committee of the LCA. (LCA Strategic Priority 3. Enable us to Grow and Go. Governance and Leadership: A3 Improve Governance and Management structures)</w:t>
      </w:r>
      <w:r w:rsidRPr="009A0DA6">
        <w:rPr>
          <w:rFonts w:ascii="Cambria" w:hAnsi="Cambria" w:cstheme="minorHAnsi"/>
        </w:rPr>
        <w:br/>
      </w:r>
    </w:p>
    <w:p w14:paraId="626C4E20" w14:textId="23F66CDD" w:rsidR="00930400" w:rsidRPr="00786120" w:rsidRDefault="00930400" w:rsidP="00F55252">
      <w:pPr>
        <w:pStyle w:val="ListParagraph"/>
        <w:numPr>
          <w:ilvl w:val="0"/>
          <w:numId w:val="177"/>
        </w:numPr>
        <w:spacing w:before="120" w:after="120" w:line="240" w:lineRule="auto"/>
        <w:ind w:left="567" w:hanging="567"/>
        <w:rPr>
          <w:rFonts w:ascii="Cambria" w:hAnsi="Cambria" w:cstheme="minorHAnsi"/>
          <w:sz w:val="12"/>
        </w:rPr>
      </w:pPr>
      <w:r w:rsidRPr="009A0DA6">
        <w:rPr>
          <w:rFonts w:ascii="Cambria" w:hAnsi="Cambria" w:cstheme="minorHAnsi"/>
        </w:rPr>
        <w:t>Enactment of the ‘LCA International Mission Communications and Engagement Plan 2015–2018’ (LCA Strategic Priority 3. Enable us to ‘Grow and Go’: B Communication and Engagement. B1 Increase enthusiasm for Mission by sharing how life is coming to life…)</w:t>
      </w:r>
      <w:r w:rsidR="00786120">
        <w:rPr>
          <w:rFonts w:ascii="Cambria" w:hAnsi="Cambria" w:cstheme="minorHAnsi"/>
        </w:rPr>
        <w:br/>
      </w:r>
    </w:p>
    <w:p w14:paraId="6FFDFBFC" w14:textId="7995D407" w:rsidR="00930400" w:rsidRPr="009A0DA6" w:rsidRDefault="00930400" w:rsidP="00786120">
      <w:pPr>
        <w:pStyle w:val="Heading3"/>
        <w:spacing w:after="0"/>
      </w:pPr>
      <w:r w:rsidRPr="009A0DA6">
        <w:t>Cooperating LCA Boards and Agencies</w:t>
      </w:r>
    </w:p>
    <w:tbl>
      <w:tblPr>
        <w:tblStyle w:val="PlainTable2"/>
        <w:tblW w:w="8789" w:type="dxa"/>
        <w:tblLayout w:type="fixed"/>
        <w:tblLook w:val="04A0" w:firstRow="1" w:lastRow="0" w:firstColumn="1" w:lastColumn="0" w:noHBand="0" w:noVBand="1"/>
      </w:tblPr>
      <w:tblGrid>
        <w:gridCol w:w="1560"/>
        <w:gridCol w:w="7229"/>
      </w:tblGrid>
      <w:tr w:rsidR="00930400" w:rsidRPr="009A0DA6" w14:paraId="2DEAA932" w14:textId="77777777" w:rsidTr="007861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7DB8F4FE" w14:textId="77777777" w:rsidR="00930400" w:rsidRPr="009A0DA6" w:rsidRDefault="00930400" w:rsidP="00786120">
            <w:pPr>
              <w:rPr>
                <w:rFonts w:ascii="Cambria" w:hAnsi="Cambria" w:cstheme="minorHAnsi"/>
              </w:rPr>
            </w:pPr>
            <w:r w:rsidRPr="009A0DA6">
              <w:rPr>
                <w:rFonts w:ascii="Cambria" w:hAnsi="Cambria" w:cstheme="minorHAnsi"/>
              </w:rPr>
              <w:t>Office of the Bishop</w:t>
            </w:r>
          </w:p>
          <w:p w14:paraId="3B9BBD9E" w14:textId="77777777" w:rsidR="00930400" w:rsidRPr="009A0DA6" w:rsidRDefault="00930400" w:rsidP="00786120">
            <w:pPr>
              <w:ind w:left="360"/>
              <w:rPr>
                <w:rFonts w:ascii="Cambria" w:hAnsi="Cambria" w:cstheme="minorHAnsi"/>
              </w:rPr>
            </w:pPr>
          </w:p>
        </w:tc>
        <w:tc>
          <w:tcPr>
            <w:tcW w:w="7229" w:type="dxa"/>
          </w:tcPr>
          <w:p w14:paraId="60C62E4A" w14:textId="77777777" w:rsidR="00930400" w:rsidRPr="009A0DA6" w:rsidRDefault="00930400" w:rsidP="00786120">
            <w:pPr>
              <w:cnfStyle w:val="100000000000" w:firstRow="1" w:lastRow="0" w:firstColumn="0" w:lastColumn="0" w:oddVBand="0" w:evenVBand="0" w:oddHBand="0" w:evenHBand="0" w:firstRowFirstColumn="0" w:firstRowLastColumn="0" w:lastRowFirstColumn="0" w:lastRowLastColumn="0"/>
              <w:rPr>
                <w:rFonts w:ascii="Cambria" w:hAnsi="Cambria" w:cstheme="minorHAnsi"/>
                <w:b w:val="0"/>
              </w:rPr>
            </w:pPr>
            <w:r w:rsidRPr="009A0DA6">
              <w:rPr>
                <w:rFonts w:ascii="Cambria" w:hAnsi="Cambria" w:cstheme="minorHAnsi"/>
                <w:b w:val="0"/>
              </w:rPr>
              <w:t>LCA International Mission now works in and under the Office of the Bishop. This requires meetings of the Assistant to the Bishop – International Mission with both the Bishop and Secretary of the LCA for updates/ reporting on the international relationships and various situations. The Bishop is a member of the Committee for International Mission. Preparation and hosting of international guests.</w:t>
            </w:r>
          </w:p>
        </w:tc>
      </w:tr>
      <w:tr w:rsidR="00930400" w:rsidRPr="009A0DA6" w14:paraId="11545BE8" w14:textId="77777777" w:rsidTr="007861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1E69B49D" w14:textId="77777777" w:rsidR="00930400" w:rsidRPr="009A0DA6" w:rsidRDefault="00930400" w:rsidP="00786120">
            <w:pPr>
              <w:rPr>
                <w:rFonts w:ascii="Cambria" w:hAnsi="Cambria" w:cstheme="minorHAnsi"/>
              </w:rPr>
            </w:pPr>
            <w:r w:rsidRPr="009A0DA6">
              <w:rPr>
                <w:rFonts w:ascii="Cambria" w:hAnsi="Cambria" w:cstheme="minorHAnsi"/>
              </w:rPr>
              <w:lastRenderedPageBreak/>
              <w:t>Australian Lutheran College (ALC)</w:t>
            </w:r>
          </w:p>
        </w:tc>
        <w:tc>
          <w:tcPr>
            <w:tcW w:w="7229" w:type="dxa"/>
          </w:tcPr>
          <w:p w14:paraId="5842AF85" w14:textId="77777777" w:rsidR="00930400" w:rsidRPr="009A0DA6" w:rsidRDefault="00930400" w:rsidP="00786120">
            <w:pPr>
              <w:cnfStyle w:val="000000100000" w:firstRow="0" w:lastRow="0" w:firstColumn="0" w:lastColumn="0" w:oddVBand="0" w:evenVBand="0" w:oddHBand="1" w:evenHBand="0" w:firstRowFirstColumn="0" w:firstRowLastColumn="0" w:lastRowFirstColumn="0" w:lastRowLastColumn="0"/>
              <w:rPr>
                <w:rFonts w:ascii="Cambria" w:hAnsi="Cambria" w:cstheme="minorHAnsi"/>
              </w:rPr>
            </w:pPr>
            <w:r w:rsidRPr="009A0DA6">
              <w:rPr>
                <w:rFonts w:ascii="Cambria" w:hAnsi="Cambria" w:cstheme="minorHAnsi"/>
              </w:rPr>
              <w:t>ALC lecturers for overseas teaching assignments; working together to support scholarship recipients in Adelaide at ALC; development of new forms for providing scholarships (ie by ’Distance’); preliminary discussions on developing ALC ‘Hubs’ in overseas theological training institutions; given the opportunity to present to the graduating class of ALC on the LCA’s international mission program; and orientation for the SMP’s during their courses at ALC.</w:t>
            </w:r>
          </w:p>
        </w:tc>
      </w:tr>
      <w:tr w:rsidR="00930400" w:rsidRPr="009A0DA6" w14:paraId="36FD657C" w14:textId="77777777" w:rsidTr="00786120">
        <w:tc>
          <w:tcPr>
            <w:cnfStyle w:val="001000000000" w:firstRow="0" w:lastRow="0" w:firstColumn="1" w:lastColumn="0" w:oddVBand="0" w:evenVBand="0" w:oddHBand="0" w:evenHBand="0" w:firstRowFirstColumn="0" w:firstRowLastColumn="0" w:lastRowFirstColumn="0" w:lastRowLastColumn="0"/>
            <w:tcW w:w="1560" w:type="dxa"/>
          </w:tcPr>
          <w:p w14:paraId="6C569DE8" w14:textId="77777777" w:rsidR="00930400" w:rsidRPr="009A0DA6" w:rsidRDefault="00930400" w:rsidP="00786120">
            <w:pPr>
              <w:rPr>
                <w:rFonts w:ascii="Cambria" w:hAnsi="Cambria" w:cstheme="minorHAnsi"/>
              </w:rPr>
            </w:pPr>
            <w:r w:rsidRPr="009A0DA6">
              <w:rPr>
                <w:rFonts w:ascii="Cambria" w:hAnsi="Cambria" w:cstheme="minorHAnsi"/>
              </w:rPr>
              <w:t>Board for Local Mission (BLM)</w:t>
            </w:r>
          </w:p>
        </w:tc>
        <w:tc>
          <w:tcPr>
            <w:tcW w:w="7229" w:type="dxa"/>
          </w:tcPr>
          <w:p w14:paraId="51F4CA30" w14:textId="77777777" w:rsidR="00930400" w:rsidRPr="009A0DA6" w:rsidRDefault="00930400" w:rsidP="00786120">
            <w:pPr>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sidRPr="009A0DA6">
              <w:rPr>
                <w:rFonts w:ascii="Cambria" w:hAnsi="Cambria" w:cstheme="minorHAnsi"/>
              </w:rPr>
              <w:t xml:space="preserve">Assistant to the Bishop – International Mission is a consultant to the Committee for Cross-cultural ministry (a subcommittee of the Board for Local Mission). The executive officer of the Board for Local Mission is a consultant to the Committee for International Mission. </w:t>
            </w:r>
          </w:p>
        </w:tc>
      </w:tr>
      <w:tr w:rsidR="00930400" w:rsidRPr="009A0DA6" w14:paraId="750440E5" w14:textId="77777777" w:rsidTr="005F21CD">
        <w:trPr>
          <w:cnfStyle w:val="000000100000" w:firstRow="0" w:lastRow="0" w:firstColumn="0" w:lastColumn="0" w:oddVBand="0" w:evenVBand="0" w:oddHBand="1" w:evenHBand="0" w:firstRowFirstColumn="0" w:firstRowLastColumn="0" w:lastRowFirstColumn="0" w:lastRowLastColumn="0"/>
          <w:trHeight w:val="1376"/>
        </w:trPr>
        <w:tc>
          <w:tcPr>
            <w:cnfStyle w:val="001000000000" w:firstRow="0" w:lastRow="0" w:firstColumn="1" w:lastColumn="0" w:oddVBand="0" w:evenVBand="0" w:oddHBand="0" w:evenHBand="0" w:firstRowFirstColumn="0" w:firstRowLastColumn="0" w:lastRowFirstColumn="0" w:lastRowLastColumn="0"/>
            <w:tcW w:w="1560" w:type="dxa"/>
          </w:tcPr>
          <w:p w14:paraId="322B1BEA" w14:textId="77777777" w:rsidR="00930400" w:rsidRPr="009A0DA6" w:rsidRDefault="00930400" w:rsidP="00786120">
            <w:pPr>
              <w:rPr>
                <w:rFonts w:ascii="Cambria" w:hAnsi="Cambria" w:cstheme="minorHAnsi"/>
              </w:rPr>
            </w:pPr>
            <w:r w:rsidRPr="009A0DA6">
              <w:rPr>
                <w:rFonts w:ascii="Cambria" w:hAnsi="Cambria" w:cstheme="minorHAnsi"/>
              </w:rPr>
              <w:t>Grow Ministries</w:t>
            </w:r>
          </w:p>
        </w:tc>
        <w:tc>
          <w:tcPr>
            <w:tcW w:w="7229" w:type="dxa"/>
          </w:tcPr>
          <w:p w14:paraId="3ADABFFE" w14:textId="642F7D37" w:rsidR="00930400" w:rsidRPr="009A0DA6" w:rsidRDefault="00930400" w:rsidP="00786120">
            <w:pPr>
              <w:cnfStyle w:val="000000100000" w:firstRow="0" w:lastRow="0" w:firstColumn="0" w:lastColumn="0" w:oddVBand="0" w:evenVBand="0" w:oddHBand="1" w:evenHBand="0" w:firstRowFirstColumn="0" w:firstRowLastColumn="0" w:lastRowFirstColumn="0" w:lastRowLastColumn="0"/>
              <w:rPr>
                <w:rFonts w:ascii="Cambria" w:hAnsi="Cambria" w:cstheme="minorHAnsi"/>
              </w:rPr>
            </w:pPr>
            <w:r w:rsidRPr="009A0DA6">
              <w:rPr>
                <w:rFonts w:ascii="Cambria" w:hAnsi="Cambria" w:cstheme="minorHAnsi"/>
              </w:rPr>
              <w:t>LCA International Mission provided funding, and ministry and cultural training support to Grow Ministries’ staff and participants in the Grow Leadership program to visit Cambodia and participate in the Stretch and Grow segment of this program in 2016/2017. In addition LCA International Mission provided the funds for 4 international participants (2 from Indonesia and Cambodia) in the program to attend all sections</w:t>
            </w:r>
          </w:p>
        </w:tc>
      </w:tr>
      <w:tr w:rsidR="00930400" w:rsidRPr="009A0DA6" w14:paraId="4CD433FC" w14:textId="77777777" w:rsidTr="00786120">
        <w:tc>
          <w:tcPr>
            <w:cnfStyle w:val="001000000000" w:firstRow="0" w:lastRow="0" w:firstColumn="1" w:lastColumn="0" w:oddVBand="0" w:evenVBand="0" w:oddHBand="0" w:evenHBand="0" w:firstRowFirstColumn="0" w:firstRowLastColumn="0" w:lastRowFirstColumn="0" w:lastRowLastColumn="0"/>
            <w:tcW w:w="1560" w:type="dxa"/>
          </w:tcPr>
          <w:p w14:paraId="3F3A984A" w14:textId="77777777" w:rsidR="00930400" w:rsidRPr="009A0DA6" w:rsidRDefault="00930400" w:rsidP="00786120">
            <w:pPr>
              <w:rPr>
                <w:rFonts w:ascii="Cambria" w:hAnsi="Cambria" w:cstheme="minorHAnsi"/>
              </w:rPr>
            </w:pPr>
            <w:r w:rsidRPr="009A0DA6">
              <w:rPr>
                <w:rFonts w:ascii="Cambria" w:hAnsi="Cambria" w:cstheme="minorHAnsi"/>
              </w:rPr>
              <w:t>Lutheran Education Australia (LEA)</w:t>
            </w:r>
          </w:p>
        </w:tc>
        <w:tc>
          <w:tcPr>
            <w:tcW w:w="7229" w:type="dxa"/>
          </w:tcPr>
          <w:p w14:paraId="45F1158A" w14:textId="77777777" w:rsidR="00930400" w:rsidRPr="009A0DA6" w:rsidRDefault="00930400" w:rsidP="00786120">
            <w:pPr>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sidRPr="009A0DA6">
              <w:rPr>
                <w:rFonts w:ascii="Cambria" w:hAnsi="Cambria" w:cstheme="minorHAnsi"/>
              </w:rPr>
              <w:t>Worked together with LEA in and through their provision of consultancy in education to our overseas partner churches. LEA Board Chairman, Dr Neville Highett providing mentoring to the LWF National Education Secretary for Indonesian Lutheran Churches; in Malaysia with consultancy in the establishment of a Lutheran school system (Lutheran Education Malaysia), in providing the learning activities for LCA International Mission education scholarship recipients: and in ongoing discussions and preparation of appropriate resources to support the School service learning programs / partnerships between LCA International Mission partner churches and LEA schools. Mr Stephen Kroker (LEA Finance Secretary) has served as the Finance Secretary to LCA International Mission.</w:t>
            </w:r>
          </w:p>
        </w:tc>
      </w:tr>
      <w:tr w:rsidR="00930400" w:rsidRPr="009A0DA6" w14:paraId="6C619E45" w14:textId="77777777" w:rsidTr="007861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03DB371F" w14:textId="33F4B7AE" w:rsidR="00930400" w:rsidRPr="009A0DA6" w:rsidRDefault="00930400" w:rsidP="00786120">
            <w:pPr>
              <w:rPr>
                <w:rFonts w:ascii="Cambria" w:hAnsi="Cambria" w:cstheme="minorHAnsi"/>
              </w:rPr>
            </w:pPr>
            <w:r w:rsidRPr="009A0DA6">
              <w:rPr>
                <w:rFonts w:ascii="Cambria" w:hAnsi="Cambria" w:cstheme="minorHAnsi"/>
              </w:rPr>
              <w:t>Recon</w:t>
            </w:r>
            <w:r w:rsidR="00786120">
              <w:rPr>
                <w:rFonts w:ascii="Cambria" w:hAnsi="Cambria" w:cstheme="minorHAnsi"/>
              </w:rPr>
              <w:t>-</w:t>
            </w:r>
            <w:r w:rsidRPr="009A0DA6">
              <w:rPr>
                <w:rFonts w:ascii="Cambria" w:hAnsi="Cambria" w:cstheme="minorHAnsi"/>
              </w:rPr>
              <w:t>ciliation Ministries</w:t>
            </w:r>
          </w:p>
        </w:tc>
        <w:tc>
          <w:tcPr>
            <w:tcW w:w="7229" w:type="dxa"/>
          </w:tcPr>
          <w:p w14:paraId="0BDE5B4F" w14:textId="77777777" w:rsidR="00930400" w:rsidRPr="009A0DA6" w:rsidRDefault="00930400" w:rsidP="00786120">
            <w:pPr>
              <w:cnfStyle w:val="000000100000" w:firstRow="0" w:lastRow="0" w:firstColumn="0" w:lastColumn="0" w:oddVBand="0" w:evenVBand="0" w:oddHBand="1" w:evenHBand="0" w:firstRowFirstColumn="0" w:firstRowLastColumn="0" w:lastRowFirstColumn="0" w:lastRowLastColumn="0"/>
              <w:rPr>
                <w:rFonts w:ascii="Cambria" w:hAnsi="Cambria" w:cstheme="minorHAnsi"/>
              </w:rPr>
            </w:pPr>
            <w:r w:rsidRPr="009A0DA6">
              <w:rPr>
                <w:rFonts w:ascii="Cambria" w:hAnsi="Cambria" w:cstheme="minorHAnsi"/>
              </w:rPr>
              <w:t>Worked together with Rev Paul Kerber to provide successful ’targeted’ scholarships in Reconciliation Ministry, and on-going support in this ministry for overseas partner churches.</w:t>
            </w:r>
          </w:p>
        </w:tc>
      </w:tr>
      <w:tr w:rsidR="00930400" w:rsidRPr="009A0DA6" w14:paraId="70226F15" w14:textId="77777777" w:rsidTr="00786120">
        <w:tc>
          <w:tcPr>
            <w:cnfStyle w:val="001000000000" w:firstRow="0" w:lastRow="0" w:firstColumn="1" w:lastColumn="0" w:oddVBand="0" w:evenVBand="0" w:oddHBand="0" w:evenHBand="0" w:firstRowFirstColumn="0" w:firstRowLastColumn="0" w:lastRowFirstColumn="0" w:lastRowLastColumn="0"/>
            <w:tcW w:w="1560" w:type="dxa"/>
          </w:tcPr>
          <w:p w14:paraId="78019C39" w14:textId="77777777" w:rsidR="00930400" w:rsidRPr="009A0DA6" w:rsidRDefault="00930400" w:rsidP="00786120">
            <w:pPr>
              <w:rPr>
                <w:rFonts w:ascii="Cambria" w:hAnsi="Cambria" w:cstheme="minorHAnsi"/>
              </w:rPr>
            </w:pPr>
            <w:r w:rsidRPr="009A0DA6">
              <w:rPr>
                <w:rFonts w:ascii="Cambria" w:hAnsi="Cambria" w:cstheme="minorHAnsi"/>
              </w:rPr>
              <w:t>Australian Lutheran World Service (ALWS)</w:t>
            </w:r>
          </w:p>
        </w:tc>
        <w:tc>
          <w:tcPr>
            <w:tcW w:w="7229" w:type="dxa"/>
          </w:tcPr>
          <w:p w14:paraId="70D32AEB" w14:textId="77777777" w:rsidR="00930400" w:rsidRPr="009A0DA6" w:rsidRDefault="00930400" w:rsidP="00786120">
            <w:pPr>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sidRPr="009A0DA6">
              <w:rPr>
                <w:rFonts w:ascii="Cambria" w:hAnsi="Cambria" w:cstheme="minorHAnsi"/>
              </w:rPr>
              <w:t>Work together ALWS in the areas of School Service Learning (and including LEA) shared resources where possible; in the facilitation of program funding for the Centre for Disaster Risk Management and Community Development program in Indonesia. ALWS also works in and with the ELC-PNG. Chair of ALWS board serves on the Committee for International Mission.</w:t>
            </w:r>
          </w:p>
        </w:tc>
      </w:tr>
      <w:tr w:rsidR="00930400" w:rsidRPr="009A0DA6" w14:paraId="2E8AE0EC" w14:textId="77777777" w:rsidTr="007861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740C6040" w14:textId="066FF1C6" w:rsidR="00930400" w:rsidRPr="009A0DA6" w:rsidRDefault="00930400" w:rsidP="00786120">
            <w:pPr>
              <w:rPr>
                <w:rFonts w:ascii="Cambria" w:hAnsi="Cambria" w:cstheme="minorHAnsi"/>
              </w:rPr>
            </w:pPr>
            <w:r w:rsidRPr="009A0DA6">
              <w:rPr>
                <w:rFonts w:ascii="Cambria" w:hAnsi="Cambria" w:cstheme="minorHAnsi"/>
              </w:rPr>
              <w:t>LCA Comm</w:t>
            </w:r>
            <w:r w:rsidR="00786120">
              <w:rPr>
                <w:rFonts w:ascii="Cambria" w:hAnsi="Cambria" w:cstheme="minorHAnsi"/>
              </w:rPr>
              <w:t>-</w:t>
            </w:r>
            <w:r w:rsidRPr="009A0DA6">
              <w:rPr>
                <w:rFonts w:ascii="Cambria" w:hAnsi="Cambria" w:cstheme="minorHAnsi"/>
              </w:rPr>
              <w:t>unications</w:t>
            </w:r>
          </w:p>
        </w:tc>
        <w:tc>
          <w:tcPr>
            <w:tcW w:w="7229" w:type="dxa"/>
          </w:tcPr>
          <w:p w14:paraId="19D57F8C" w14:textId="2E5B5088" w:rsidR="00930400" w:rsidRPr="009A0DA6" w:rsidRDefault="00930400" w:rsidP="00A0565F">
            <w:pPr>
              <w:cnfStyle w:val="000000100000" w:firstRow="0" w:lastRow="0" w:firstColumn="0" w:lastColumn="0" w:oddVBand="0" w:evenVBand="0" w:oddHBand="1" w:evenHBand="0" w:firstRowFirstColumn="0" w:firstRowLastColumn="0" w:lastRowFirstColumn="0" w:lastRowLastColumn="0"/>
              <w:rPr>
                <w:rFonts w:ascii="Cambria" w:hAnsi="Cambria" w:cstheme="minorHAnsi"/>
              </w:rPr>
            </w:pPr>
            <w:r w:rsidRPr="009A0DA6">
              <w:rPr>
                <w:rFonts w:ascii="Cambria" w:hAnsi="Cambria" w:cstheme="minorHAnsi"/>
              </w:rPr>
              <w:t xml:space="preserve">Linda Macqueen (LCA Communications Manager), Lisa McIntosh and LCA Communications staff have a vital partnership with LCA International Mission. This involves advice, development of resources, and opportunities to share the stories of God’s activity in his mission in the world through </w:t>
            </w:r>
            <w:r w:rsidRPr="009A0DA6">
              <w:rPr>
                <w:rFonts w:ascii="Cambria" w:hAnsi="Cambria" w:cstheme="minorHAnsi"/>
                <w:i/>
              </w:rPr>
              <w:t>The Lutheran,</w:t>
            </w:r>
            <w:r w:rsidR="00A0565F">
              <w:rPr>
                <w:rFonts w:ascii="Cambria" w:hAnsi="Cambria" w:cstheme="minorHAnsi"/>
              </w:rPr>
              <w:t xml:space="preserve"> e</w:t>
            </w:r>
            <w:r w:rsidRPr="009A0DA6">
              <w:rPr>
                <w:rFonts w:ascii="Cambria" w:hAnsi="Cambria" w:cstheme="minorHAnsi"/>
              </w:rPr>
              <w:t xml:space="preserve">News, LCA website, ‘Story of the Week’, Go and Grow (in </w:t>
            </w:r>
            <w:r w:rsidRPr="00A0565F">
              <w:rPr>
                <w:rFonts w:ascii="Cambria" w:hAnsi="Cambria" w:cstheme="minorHAnsi"/>
                <w:i/>
              </w:rPr>
              <w:t>The Lutheran</w:t>
            </w:r>
            <w:r w:rsidRPr="009A0DA6">
              <w:rPr>
                <w:rFonts w:ascii="Cambria" w:hAnsi="Cambria" w:cstheme="minorHAnsi"/>
              </w:rPr>
              <w:t xml:space="preserve">) as well as help in graphic design and editing of the </w:t>
            </w:r>
            <w:r w:rsidRPr="009A0DA6">
              <w:rPr>
                <w:rFonts w:ascii="Cambria" w:hAnsi="Cambria" w:cstheme="minorHAnsi"/>
                <w:i/>
              </w:rPr>
              <w:t>Border Crossings</w:t>
            </w:r>
            <w:r w:rsidRPr="009A0DA6">
              <w:rPr>
                <w:rFonts w:ascii="Cambria" w:hAnsi="Cambria" w:cstheme="minorHAnsi"/>
              </w:rPr>
              <w:t xml:space="preserve"> magazine and the LCA International Mission website </w:t>
            </w:r>
            <w:hyperlink r:id="rId31" w:history="1">
              <w:r w:rsidRPr="00995084">
                <w:rPr>
                  <w:rStyle w:val="Hyperlink"/>
                  <w:rFonts w:ascii="Cambria" w:hAnsi="Cambria" w:cstheme="minorHAnsi"/>
                  <w:color w:val="auto"/>
                  <w:u w:val="none"/>
                </w:rPr>
                <w:t>www.lcamission.org.au</w:t>
              </w:r>
            </w:hyperlink>
          </w:p>
        </w:tc>
      </w:tr>
    </w:tbl>
    <w:p w14:paraId="20E38704" w14:textId="1A4A8DAE" w:rsidR="00930400" w:rsidRPr="00D4753A" w:rsidRDefault="00930400" w:rsidP="00930400">
      <w:pPr>
        <w:spacing w:before="120" w:after="120" w:line="240" w:lineRule="auto"/>
        <w:contextualSpacing/>
        <w:rPr>
          <w:rFonts w:ascii="Cambria" w:hAnsi="Cambria" w:cstheme="minorHAnsi"/>
          <w:b/>
          <w:sz w:val="2"/>
        </w:rPr>
      </w:pPr>
    </w:p>
    <w:p w14:paraId="53BF70A8" w14:textId="430B59F7" w:rsidR="00930400" w:rsidRPr="009A0DA6" w:rsidRDefault="00930400" w:rsidP="00786120">
      <w:pPr>
        <w:pStyle w:val="Heading3"/>
        <w:spacing w:after="0"/>
      </w:pPr>
      <w:r w:rsidRPr="009A0DA6">
        <w:t>Financial Performance</w:t>
      </w:r>
    </w:p>
    <w:tbl>
      <w:tblPr>
        <w:tblStyle w:val="TableGrid"/>
        <w:tblW w:w="859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1785"/>
        <w:gridCol w:w="1932"/>
        <w:gridCol w:w="1754"/>
      </w:tblGrid>
      <w:tr w:rsidR="00930400" w:rsidRPr="009A0DA6" w14:paraId="5DEFCD5B" w14:textId="77777777" w:rsidTr="00AD09CB">
        <w:tc>
          <w:tcPr>
            <w:tcW w:w="3119" w:type="dxa"/>
          </w:tcPr>
          <w:p w14:paraId="7251AC74" w14:textId="77777777" w:rsidR="00930400" w:rsidRPr="009A0DA6" w:rsidRDefault="00930400" w:rsidP="00AD09CB">
            <w:pPr>
              <w:spacing w:before="120" w:after="120"/>
              <w:contextualSpacing/>
              <w:rPr>
                <w:rFonts w:ascii="Cambria" w:hAnsi="Cambria" w:cstheme="minorHAnsi"/>
                <w:b/>
              </w:rPr>
            </w:pPr>
            <w:r w:rsidRPr="009A0DA6">
              <w:rPr>
                <w:rFonts w:ascii="Cambria" w:hAnsi="Cambria" w:cstheme="minorHAnsi"/>
                <w:b/>
              </w:rPr>
              <w:t>Alignment to LCA Strategic Priorities</w:t>
            </w:r>
          </w:p>
        </w:tc>
        <w:tc>
          <w:tcPr>
            <w:tcW w:w="1785" w:type="dxa"/>
          </w:tcPr>
          <w:p w14:paraId="4251CCA9" w14:textId="77777777" w:rsidR="00930400" w:rsidRPr="009A0DA6" w:rsidRDefault="00930400" w:rsidP="00AD09CB">
            <w:pPr>
              <w:spacing w:before="120" w:after="120"/>
              <w:contextualSpacing/>
              <w:jc w:val="right"/>
              <w:rPr>
                <w:rFonts w:ascii="Cambria" w:hAnsi="Cambria" w:cstheme="minorHAnsi"/>
                <w:b/>
              </w:rPr>
            </w:pPr>
            <w:r w:rsidRPr="009A0DA6">
              <w:rPr>
                <w:rFonts w:ascii="Cambria" w:hAnsi="Cambria" w:cstheme="minorHAnsi"/>
                <w:b/>
              </w:rPr>
              <w:t xml:space="preserve">2017 </w:t>
            </w:r>
          </w:p>
        </w:tc>
        <w:tc>
          <w:tcPr>
            <w:tcW w:w="1932" w:type="dxa"/>
          </w:tcPr>
          <w:p w14:paraId="5725463C" w14:textId="77777777" w:rsidR="00930400" w:rsidRPr="009A0DA6" w:rsidRDefault="00930400" w:rsidP="00AD09CB">
            <w:pPr>
              <w:spacing w:before="120" w:after="120"/>
              <w:contextualSpacing/>
              <w:jc w:val="right"/>
              <w:rPr>
                <w:rFonts w:ascii="Cambria" w:hAnsi="Cambria" w:cstheme="minorHAnsi"/>
                <w:b/>
              </w:rPr>
            </w:pPr>
            <w:r w:rsidRPr="009A0DA6">
              <w:rPr>
                <w:rFonts w:ascii="Cambria" w:hAnsi="Cambria" w:cstheme="minorHAnsi"/>
                <w:b/>
              </w:rPr>
              <w:t xml:space="preserve">2016 </w:t>
            </w:r>
          </w:p>
        </w:tc>
        <w:tc>
          <w:tcPr>
            <w:tcW w:w="1754" w:type="dxa"/>
          </w:tcPr>
          <w:p w14:paraId="4C0459A4" w14:textId="77777777" w:rsidR="00930400" w:rsidRPr="009A0DA6" w:rsidRDefault="00930400" w:rsidP="00AD09CB">
            <w:pPr>
              <w:spacing w:before="120" w:after="120"/>
              <w:contextualSpacing/>
              <w:jc w:val="right"/>
              <w:rPr>
                <w:rFonts w:ascii="Cambria" w:hAnsi="Cambria" w:cstheme="minorHAnsi"/>
                <w:b/>
              </w:rPr>
            </w:pPr>
            <w:r w:rsidRPr="009A0DA6">
              <w:rPr>
                <w:rFonts w:ascii="Cambria" w:hAnsi="Cambria" w:cstheme="minorHAnsi"/>
                <w:b/>
              </w:rPr>
              <w:t xml:space="preserve">2015 </w:t>
            </w:r>
          </w:p>
        </w:tc>
      </w:tr>
      <w:tr w:rsidR="00930400" w:rsidRPr="009A0DA6" w14:paraId="0125AE68" w14:textId="77777777" w:rsidTr="00AD09CB">
        <w:tc>
          <w:tcPr>
            <w:tcW w:w="3119" w:type="dxa"/>
          </w:tcPr>
          <w:p w14:paraId="53A601A9" w14:textId="77777777" w:rsidR="00930400" w:rsidRPr="009A0DA6" w:rsidRDefault="00930400" w:rsidP="00AD09CB">
            <w:pPr>
              <w:spacing w:before="120" w:after="120"/>
              <w:contextualSpacing/>
              <w:rPr>
                <w:rFonts w:ascii="Cambria" w:hAnsi="Cambria" w:cstheme="minorHAnsi"/>
                <w:b/>
              </w:rPr>
            </w:pPr>
            <w:r w:rsidRPr="009A0DA6">
              <w:rPr>
                <w:rFonts w:ascii="Cambria" w:hAnsi="Cambria" w:cstheme="minorHAnsi"/>
                <w:b/>
              </w:rPr>
              <w:t>Expenditure</w:t>
            </w:r>
          </w:p>
        </w:tc>
        <w:tc>
          <w:tcPr>
            <w:tcW w:w="1785" w:type="dxa"/>
          </w:tcPr>
          <w:p w14:paraId="229A95ED" w14:textId="77777777" w:rsidR="00930400" w:rsidRPr="009A0DA6" w:rsidRDefault="00930400" w:rsidP="00AD09CB">
            <w:pPr>
              <w:spacing w:before="120" w:after="120"/>
              <w:contextualSpacing/>
              <w:jc w:val="right"/>
              <w:rPr>
                <w:rFonts w:ascii="Cambria" w:hAnsi="Cambria" w:cstheme="minorHAnsi"/>
                <w:b/>
              </w:rPr>
            </w:pPr>
          </w:p>
        </w:tc>
        <w:tc>
          <w:tcPr>
            <w:tcW w:w="1932" w:type="dxa"/>
          </w:tcPr>
          <w:p w14:paraId="1F765D4C" w14:textId="77777777" w:rsidR="00930400" w:rsidRPr="009A0DA6" w:rsidRDefault="00930400" w:rsidP="00AD09CB">
            <w:pPr>
              <w:spacing w:before="120" w:after="120"/>
              <w:contextualSpacing/>
              <w:jc w:val="right"/>
              <w:rPr>
                <w:rFonts w:ascii="Cambria" w:hAnsi="Cambria" w:cstheme="minorHAnsi"/>
                <w:b/>
              </w:rPr>
            </w:pPr>
          </w:p>
        </w:tc>
        <w:tc>
          <w:tcPr>
            <w:tcW w:w="1754" w:type="dxa"/>
          </w:tcPr>
          <w:p w14:paraId="1AE5E8EE" w14:textId="77777777" w:rsidR="00930400" w:rsidRPr="009A0DA6" w:rsidRDefault="00930400" w:rsidP="00AD09CB">
            <w:pPr>
              <w:spacing w:before="120" w:after="120"/>
              <w:contextualSpacing/>
              <w:jc w:val="right"/>
              <w:rPr>
                <w:rFonts w:ascii="Cambria" w:hAnsi="Cambria" w:cstheme="minorHAnsi"/>
                <w:b/>
              </w:rPr>
            </w:pPr>
          </w:p>
        </w:tc>
      </w:tr>
      <w:tr w:rsidR="00930400" w:rsidRPr="009A0DA6" w14:paraId="608EDACC" w14:textId="77777777" w:rsidTr="00AD09CB">
        <w:tc>
          <w:tcPr>
            <w:tcW w:w="3119" w:type="dxa"/>
          </w:tcPr>
          <w:p w14:paraId="1DA08B3F" w14:textId="77777777" w:rsidR="00930400" w:rsidRPr="009A0DA6" w:rsidRDefault="00930400" w:rsidP="00AD09CB">
            <w:pPr>
              <w:spacing w:before="120" w:after="120"/>
              <w:contextualSpacing/>
              <w:rPr>
                <w:rFonts w:ascii="Cambria" w:hAnsi="Cambria" w:cstheme="minorHAnsi"/>
              </w:rPr>
            </w:pPr>
            <w:r w:rsidRPr="009A0DA6">
              <w:rPr>
                <w:rFonts w:ascii="Cambria" w:hAnsi="Cambria" w:cstheme="minorHAnsi"/>
              </w:rPr>
              <w:t>1 Growing as God’s People</w:t>
            </w:r>
          </w:p>
        </w:tc>
        <w:tc>
          <w:tcPr>
            <w:tcW w:w="1785" w:type="dxa"/>
          </w:tcPr>
          <w:p w14:paraId="330AC3F5" w14:textId="77777777" w:rsidR="00930400" w:rsidRPr="009A0DA6" w:rsidRDefault="00930400" w:rsidP="00AD09CB">
            <w:pPr>
              <w:spacing w:before="120" w:after="120"/>
              <w:contextualSpacing/>
              <w:jc w:val="right"/>
              <w:rPr>
                <w:rFonts w:ascii="Cambria" w:hAnsi="Cambria" w:cstheme="minorHAnsi"/>
              </w:rPr>
            </w:pPr>
            <w:r w:rsidRPr="009A0DA6">
              <w:rPr>
                <w:rFonts w:ascii="Cambria" w:hAnsi="Cambria" w:cstheme="minorHAnsi"/>
              </w:rPr>
              <w:t>495,629</w:t>
            </w:r>
          </w:p>
        </w:tc>
        <w:tc>
          <w:tcPr>
            <w:tcW w:w="1932" w:type="dxa"/>
          </w:tcPr>
          <w:p w14:paraId="3F0C6BB4" w14:textId="77777777" w:rsidR="00930400" w:rsidRPr="009A0DA6" w:rsidRDefault="00930400" w:rsidP="00AD09CB">
            <w:pPr>
              <w:spacing w:before="120" w:after="120"/>
              <w:contextualSpacing/>
              <w:jc w:val="right"/>
              <w:rPr>
                <w:rFonts w:ascii="Cambria" w:hAnsi="Cambria" w:cstheme="minorHAnsi"/>
              </w:rPr>
            </w:pPr>
            <w:r w:rsidRPr="009A0DA6">
              <w:rPr>
                <w:rFonts w:ascii="Cambria" w:hAnsi="Cambria" w:cstheme="minorHAnsi"/>
              </w:rPr>
              <w:t>691,728</w:t>
            </w:r>
          </w:p>
        </w:tc>
        <w:tc>
          <w:tcPr>
            <w:tcW w:w="1754" w:type="dxa"/>
          </w:tcPr>
          <w:p w14:paraId="5A8CA47B" w14:textId="77777777" w:rsidR="00930400" w:rsidRPr="009A0DA6" w:rsidRDefault="00930400" w:rsidP="00AD09CB">
            <w:pPr>
              <w:spacing w:before="120" w:after="120"/>
              <w:contextualSpacing/>
              <w:jc w:val="right"/>
              <w:rPr>
                <w:rFonts w:ascii="Cambria" w:hAnsi="Cambria" w:cstheme="minorHAnsi"/>
              </w:rPr>
            </w:pPr>
            <w:r w:rsidRPr="009A0DA6">
              <w:rPr>
                <w:rFonts w:ascii="Cambria" w:hAnsi="Cambria" w:cstheme="minorHAnsi"/>
              </w:rPr>
              <w:t>646,037</w:t>
            </w:r>
          </w:p>
        </w:tc>
      </w:tr>
      <w:tr w:rsidR="00930400" w:rsidRPr="009A0DA6" w14:paraId="13748237" w14:textId="77777777" w:rsidTr="00AD09CB">
        <w:tc>
          <w:tcPr>
            <w:tcW w:w="3119" w:type="dxa"/>
          </w:tcPr>
          <w:p w14:paraId="636CB553" w14:textId="77777777" w:rsidR="00930400" w:rsidRPr="009A0DA6" w:rsidRDefault="00930400" w:rsidP="00AD09CB">
            <w:pPr>
              <w:spacing w:before="120" w:after="120"/>
              <w:contextualSpacing/>
              <w:rPr>
                <w:rFonts w:ascii="Cambria" w:hAnsi="Cambria" w:cstheme="minorHAnsi"/>
              </w:rPr>
            </w:pPr>
            <w:r w:rsidRPr="009A0DA6">
              <w:rPr>
                <w:rFonts w:ascii="Cambria" w:hAnsi="Cambria" w:cstheme="minorHAnsi"/>
              </w:rPr>
              <w:t>2 Going as God’s People</w:t>
            </w:r>
          </w:p>
        </w:tc>
        <w:tc>
          <w:tcPr>
            <w:tcW w:w="1785" w:type="dxa"/>
          </w:tcPr>
          <w:p w14:paraId="5C751C99" w14:textId="77777777" w:rsidR="00930400" w:rsidRPr="009A0DA6" w:rsidRDefault="00930400" w:rsidP="00AD09CB">
            <w:pPr>
              <w:spacing w:before="120" w:after="120"/>
              <w:contextualSpacing/>
              <w:jc w:val="right"/>
              <w:rPr>
                <w:rFonts w:ascii="Cambria" w:hAnsi="Cambria" w:cstheme="minorHAnsi"/>
              </w:rPr>
            </w:pPr>
            <w:r w:rsidRPr="009A0DA6">
              <w:rPr>
                <w:rFonts w:ascii="Cambria" w:hAnsi="Cambria" w:cstheme="minorHAnsi"/>
              </w:rPr>
              <w:t>557,583</w:t>
            </w:r>
          </w:p>
        </w:tc>
        <w:tc>
          <w:tcPr>
            <w:tcW w:w="1932" w:type="dxa"/>
          </w:tcPr>
          <w:p w14:paraId="13D7058F" w14:textId="77777777" w:rsidR="00930400" w:rsidRPr="009A0DA6" w:rsidRDefault="00930400" w:rsidP="00AD09CB">
            <w:pPr>
              <w:spacing w:before="120" w:after="120"/>
              <w:contextualSpacing/>
              <w:jc w:val="right"/>
              <w:rPr>
                <w:rFonts w:ascii="Cambria" w:hAnsi="Cambria" w:cstheme="minorHAnsi"/>
              </w:rPr>
            </w:pPr>
            <w:r w:rsidRPr="009A0DA6">
              <w:rPr>
                <w:rFonts w:ascii="Cambria" w:hAnsi="Cambria" w:cstheme="minorHAnsi"/>
              </w:rPr>
              <w:t>778,194</w:t>
            </w:r>
          </w:p>
        </w:tc>
        <w:tc>
          <w:tcPr>
            <w:tcW w:w="1754" w:type="dxa"/>
          </w:tcPr>
          <w:p w14:paraId="3AFCE89C" w14:textId="77777777" w:rsidR="00930400" w:rsidRPr="009A0DA6" w:rsidRDefault="00930400" w:rsidP="00AD09CB">
            <w:pPr>
              <w:spacing w:before="120" w:after="120"/>
              <w:contextualSpacing/>
              <w:jc w:val="right"/>
              <w:rPr>
                <w:rFonts w:ascii="Cambria" w:hAnsi="Cambria" w:cstheme="minorHAnsi"/>
              </w:rPr>
            </w:pPr>
            <w:r w:rsidRPr="009A0DA6">
              <w:rPr>
                <w:rFonts w:ascii="Cambria" w:hAnsi="Cambria" w:cstheme="minorHAnsi"/>
              </w:rPr>
              <w:t>726,792</w:t>
            </w:r>
          </w:p>
        </w:tc>
      </w:tr>
      <w:tr w:rsidR="00930400" w:rsidRPr="009A0DA6" w14:paraId="34C85A8C" w14:textId="77777777" w:rsidTr="00AD09CB">
        <w:tc>
          <w:tcPr>
            <w:tcW w:w="3119" w:type="dxa"/>
          </w:tcPr>
          <w:p w14:paraId="77B42DC7" w14:textId="77777777" w:rsidR="00930400" w:rsidRPr="009A0DA6" w:rsidRDefault="00930400" w:rsidP="00AD09CB">
            <w:pPr>
              <w:spacing w:before="120" w:after="120"/>
              <w:contextualSpacing/>
              <w:rPr>
                <w:rFonts w:ascii="Cambria" w:hAnsi="Cambria" w:cstheme="minorHAnsi"/>
              </w:rPr>
            </w:pPr>
            <w:r w:rsidRPr="009A0DA6">
              <w:rPr>
                <w:rFonts w:ascii="Cambria" w:hAnsi="Cambria" w:cstheme="minorHAnsi"/>
              </w:rPr>
              <w:t>3 Enable us to Go &amp; Grow</w:t>
            </w:r>
          </w:p>
        </w:tc>
        <w:tc>
          <w:tcPr>
            <w:tcW w:w="1785" w:type="dxa"/>
          </w:tcPr>
          <w:p w14:paraId="564D152A" w14:textId="77777777" w:rsidR="00930400" w:rsidRPr="009A0DA6" w:rsidRDefault="00930400" w:rsidP="00AD09CB">
            <w:pPr>
              <w:spacing w:before="120" w:after="120"/>
              <w:contextualSpacing/>
              <w:jc w:val="right"/>
              <w:rPr>
                <w:rFonts w:ascii="Cambria" w:hAnsi="Cambria" w:cstheme="minorHAnsi"/>
              </w:rPr>
            </w:pPr>
            <w:r w:rsidRPr="009A0DA6">
              <w:rPr>
                <w:rFonts w:ascii="Cambria" w:hAnsi="Cambria" w:cstheme="minorHAnsi"/>
              </w:rPr>
              <w:t>185,861</w:t>
            </w:r>
          </w:p>
        </w:tc>
        <w:tc>
          <w:tcPr>
            <w:tcW w:w="1932" w:type="dxa"/>
          </w:tcPr>
          <w:p w14:paraId="6631DF6C" w14:textId="77777777" w:rsidR="00930400" w:rsidRPr="009A0DA6" w:rsidRDefault="00930400" w:rsidP="00AD09CB">
            <w:pPr>
              <w:spacing w:before="120" w:after="120"/>
              <w:contextualSpacing/>
              <w:jc w:val="right"/>
              <w:rPr>
                <w:rFonts w:ascii="Cambria" w:hAnsi="Cambria" w:cstheme="minorHAnsi"/>
              </w:rPr>
            </w:pPr>
            <w:r w:rsidRPr="009A0DA6">
              <w:rPr>
                <w:rFonts w:ascii="Cambria" w:hAnsi="Cambria" w:cstheme="minorHAnsi"/>
              </w:rPr>
              <w:t>259,398</w:t>
            </w:r>
          </w:p>
        </w:tc>
        <w:tc>
          <w:tcPr>
            <w:tcW w:w="1754" w:type="dxa"/>
          </w:tcPr>
          <w:p w14:paraId="2255130B" w14:textId="77777777" w:rsidR="00930400" w:rsidRPr="009A0DA6" w:rsidRDefault="00930400" w:rsidP="00AD09CB">
            <w:pPr>
              <w:spacing w:before="120" w:after="120"/>
              <w:contextualSpacing/>
              <w:jc w:val="right"/>
              <w:rPr>
                <w:rFonts w:ascii="Cambria" w:hAnsi="Cambria" w:cstheme="minorHAnsi"/>
              </w:rPr>
            </w:pPr>
            <w:r w:rsidRPr="009A0DA6">
              <w:rPr>
                <w:rFonts w:ascii="Cambria" w:hAnsi="Cambria" w:cstheme="minorHAnsi"/>
              </w:rPr>
              <w:t>242,264</w:t>
            </w:r>
          </w:p>
        </w:tc>
      </w:tr>
      <w:tr w:rsidR="00930400" w:rsidRPr="009A0DA6" w14:paraId="40597477" w14:textId="77777777" w:rsidTr="00AD09CB">
        <w:tc>
          <w:tcPr>
            <w:tcW w:w="3119" w:type="dxa"/>
          </w:tcPr>
          <w:p w14:paraId="054686A1" w14:textId="77777777" w:rsidR="00930400" w:rsidRPr="00766B14" w:rsidRDefault="00930400" w:rsidP="00AD09CB">
            <w:pPr>
              <w:spacing w:before="120" w:after="120"/>
              <w:contextualSpacing/>
              <w:rPr>
                <w:rFonts w:ascii="Cambria" w:hAnsi="Cambria" w:cstheme="minorHAnsi"/>
                <w:b/>
              </w:rPr>
            </w:pPr>
            <w:r w:rsidRPr="00766B14">
              <w:rPr>
                <w:rFonts w:ascii="Cambria" w:hAnsi="Cambria" w:cstheme="minorHAnsi"/>
                <w:b/>
              </w:rPr>
              <w:t>Total</w:t>
            </w:r>
          </w:p>
        </w:tc>
        <w:tc>
          <w:tcPr>
            <w:tcW w:w="1785" w:type="dxa"/>
          </w:tcPr>
          <w:p w14:paraId="7DA772D3" w14:textId="77777777" w:rsidR="00930400" w:rsidRPr="009A0DA6" w:rsidRDefault="00930400" w:rsidP="00AD09CB">
            <w:pPr>
              <w:spacing w:before="120" w:after="120"/>
              <w:contextualSpacing/>
              <w:jc w:val="right"/>
              <w:rPr>
                <w:rFonts w:ascii="Cambria" w:hAnsi="Cambria" w:cstheme="minorHAnsi"/>
              </w:rPr>
            </w:pPr>
            <w:r w:rsidRPr="009A0DA6">
              <w:rPr>
                <w:rFonts w:ascii="Cambria" w:hAnsi="Cambria" w:cstheme="minorHAnsi"/>
              </w:rPr>
              <w:t>1,239,073</w:t>
            </w:r>
          </w:p>
        </w:tc>
        <w:tc>
          <w:tcPr>
            <w:tcW w:w="1932" w:type="dxa"/>
          </w:tcPr>
          <w:p w14:paraId="1BED0C87" w14:textId="77777777" w:rsidR="00930400" w:rsidRPr="009A0DA6" w:rsidRDefault="00930400" w:rsidP="00AD09CB">
            <w:pPr>
              <w:spacing w:before="120" w:after="120"/>
              <w:contextualSpacing/>
              <w:jc w:val="right"/>
              <w:rPr>
                <w:rFonts w:ascii="Cambria" w:hAnsi="Cambria" w:cstheme="minorHAnsi"/>
              </w:rPr>
            </w:pPr>
            <w:r w:rsidRPr="009A0DA6">
              <w:rPr>
                <w:rFonts w:ascii="Cambria" w:hAnsi="Cambria" w:cstheme="minorHAnsi"/>
              </w:rPr>
              <w:t>1,729,320</w:t>
            </w:r>
          </w:p>
        </w:tc>
        <w:tc>
          <w:tcPr>
            <w:tcW w:w="1754" w:type="dxa"/>
          </w:tcPr>
          <w:p w14:paraId="700664E4" w14:textId="77777777" w:rsidR="00930400" w:rsidRPr="009A0DA6" w:rsidRDefault="00930400" w:rsidP="00AD09CB">
            <w:pPr>
              <w:spacing w:before="120" w:after="120"/>
              <w:contextualSpacing/>
              <w:jc w:val="right"/>
              <w:rPr>
                <w:rFonts w:ascii="Cambria" w:hAnsi="Cambria" w:cstheme="minorHAnsi"/>
              </w:rPr>
            </w:pPr>
            <w:r w:rsidRPr="009A0DA6">
              <w:rPr>
                <w:rFonts w:ascii="Cambria" w:hAnsi="Cambria" w:cstheme="minorHAnsi"/>
              </w:rPr>
              <w:t>1,615,093</w:t>
            </w:r>
          </w:p>
        </w:tc>
      </w:tr>
    </w:tbl>
    <w:p w14:paraId="7A8D52B1" w14:textId="2D070A36" w:rsidR="00930400" w:rsidRPr="009A0DA6" w:rsidRDefault="00930400" w:rsidP="00930400">
      <w:pPr>
        <w:pStyle w:val="Heading3"/>
      </w:pPr>
      <w:r w:rsidRPr="009A0DA6">
        <w:lastRenderedPageBreak/>
        <w:t>AGenda 4.2</w:t>
      </w:r>
    </w:p>
    <w:p w14:paraId="1AAA4C89" w14:textId="77777777" w:rsidR="00930400" w:rsidRPr="009A0DA6" w:rsidRDefault="00930400" w:rsidP="00930400">
      <w:pPr>
        <w:pStyle w:val="Heading2"/>
      </w:pPr>
      <w:bookmarkStart w:id="476" w:name="_Toc521954728"/>
      <w:r w:rsidRPr="009A0DA6">
        <w:t>Financial Report: Board for Mission</w:t>
      </w:r>
      <w:bookmarkEnd w:id="476"/>
    </w:p>
    <w:p w14:paraId="1246DD8B" w14:textId="77777777" w:rsidR="00930400" w:rsidRPr="009A0DA6" w:rsidRDefault="00930400" w:rsidP="00930400">
      <w:pPr>
        <w:pStyle w:val="NoSpacing"/>
      </w:pPr>
    </w:p>
    <w:p w14:paraId="43ADD2B2" w14:textId="77777777" w:rsidR="00930400" w:rsidRPr="009A0DA6" w:rsidRDefault="00930400" w:rsidP="00766B14">
      <w:pPr>
        <w:pStyle w:val="NoSpacing"/>
        <w:rPr>
          <w:b/>
        </w:rPr>
      </w:pPr>
      <w:r w:rsidRPr="009A0DA6">
        <w:rPr>
          <w:b/>
        </w:rPr>
        <w:t xml:space="preserve">INDIVIDUAL DEPARTMENTAL FINANCIAL REPORT </w:t>
      </w:r>
    </w:p>
    <w:p w14:paraId="7E78CF27" w14:textId="1EBD6846" w:rsidR="00930400" w:rsidRPr="009A0DA6" w:rsidRDefault="00930400" w:rsidP="00930400">
      <w:pPr>
        <w:pStyle w:val="NoSpacing"/>
        <w:rPr>
          <w:rFonts w:eastAsia="Times New Roman" w:cs="Times New Roman"/>
          <w:lang w:val="en-GB" w:eastAsia="en-AU"/>
        </w:rPr>
      </w:pPr>
      <w:r w:rsidRPr="009A0DA6">
        <w:rPr>
          <w:b/>
          <w:sz w:val="2"/>
          <w:szCs w:val="2"/>
        </w:rPr>
        <w:br/>
      </w:r>
      <w:r w:rsidR="00FF7E8B" w:rsidRPr="009A0DA6">
        <w:rPr>
          <w:b/>
        </w:rPr>
        <w:t>FOR THE PERIODS ENDING 31 DECEMBER</w:t>
      </w:r>
      <w:r w:rsidR="00FF7E8B" w:rsidRPr="009A0DA6">
        <w:rPr>
          <w:b/>
        </w:rPr>
        <w:br/>
      </w:r>
    </w:p>
    <w:p w14:paraId="7BAFF8DC"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b/>
        </w:rPr>
      </w:pPr>
      <w:r w:rsidRPr="009A0DA6">
        <w:rPr>
          <w:rFonts w:ascii="Cambria" w:hAnsi="Cambria" w:cstheme="minorHAnsi"/>
          <w:b/>
        </w:rPr>
        <w:tab/>
        <w:t>2017</w:t>
      </w:r>
      <w:r w:rsidRPr="009A0DA6">
        <w:rPr>
          <w:rFonts w:ascii="Cambria" w:hAnsi="Cambria" w:cstheme="minorHAnsi"/>
          <w:b/>
        </w:rPr>
        <w:tab/>
        <w:t>2016</w:t>
      </w:r>
      <w:r w:rsidRPr="009A0DA6">
        <w:rPr>
          <w:rFonts w:ascii="Cambria" w:hAnsi="Cambria" w:cstheme="minorHAnsi"/>
          <w:b/>
        </w:rPr>
        <w:tab/>
        <w:t>2015</w:t>
      </w:r>
    </w:p>
    <w:p w14:paraId="28EB0D21"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b/>
        </w:rPr>
        <w:t>Income</w:t>
      </w:r>
    </w:p>
    <w:p w14:paraId="5C63728B"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Appeals, donations and bequests</w:t>
      </w:r>
      <w:r w:rsidRPr="009A0DA6">
        <w:rPr>
          <w:rFonts w:ascii="Cambria" w:hAnsi="Cambria" w:cstheme="minorHAnsi"/>
        </w:rPr>
        <w:tab/>
        <w:t>515,940</w:t>
      </w:r>
      <w:r w:rsidRPr="009A0DA6">
        <w:rPr>
          <w:rFonts w:ascii="Cambria" w:hAnsi="Cambria" w:cstheme="minorHAnsi"/>
        </w:rPr>
        <w:tab/>
        <w:t>873,697</w:t>
      </w:r>
      <w:r w:rsidRPr="009A0DA6">
        <w:rPr>
          <w:rFonts w:ascii="Cambria" w:hAnsi="Cambria" w:cstheme="minorHAnsi"/>
        </w:rPr>
        <w:tab/>
        <w:t>265,468</w:t>
      </w:r>
    </w:p>
    <w:p w14:paraId="6E2E2A3E"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Investment and rental income</w:t>
      </w:r>
      <w:r w:rsidRPr="009A0DA6">
        <w:rPr>
          <w:rFonts w:ascii="Cambria" w:hAnsi="Cambria" w:cstheme="minorHAnsi"/>
        </w:rPr>
        <w:tab/>
        <w:t>58,223</w:t>
      </w:r>
      <w:r w:rsidRPr="009A0DA6">
        <w:rPr>
          <w:rFonts w:ascii="Cambria" w:hAnsi="Cambria" w:cstheme="minorHAnsi"/>
        </w:rPr>
        <w:tab/>
        <w:t>66,365</w:t>
      </w:r>
      <w:r w:rsidRPr="009A0DA6">
        <w:rPr>
          <w:rFonts w:ascii="Cambria" w:hAnsi="Cambria" w:cstheme="minorHAnsi"/>
        </w:rPr>
        <w:tab/>
        <w:t>77,080</w:t>
      </w:r>
    </w:p>
    <w:p w14:paraId="7C176E00"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LCA income</w:t>
      </w:r>
      <w:r w:rsidRPr="009A0DA6">
        <w:rPr>
          <w:rFonts w:ascii="Cambria" w:hAnsi="Cambria" w:cstheme="minorHAnsi"/>
        </w:rPr>
        <w:tab/>
        <w:t>245,705</w:t>
      </w:r>
      <w:r w:rsidRPr="009A0DA6">
        <w:rPr>
          <w:rFonts w:ascii="Cambria" w:hAnsi="Cambria" w:cstheme="minorHAnsi"/>
        </w:rPr>
        <w:tab/>
        <w:t>302,317</w:t>
      </w:r>
      <w:r w:rsidRPr="009A0DA6">
        <w:rPr>
          <w:rFonts w:ascii="Cambria" w:hAnsi="Cambria" w:cstheme="minorHAnsi"/>
        </w:rPr>
        <w:tab/>
        <w:t>526,534</w:t>
      </w:r>
    </w:p>
    <w:p w14:paraId="29E40258"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LCA allocations</w:t>
      </w:r>
      <w:r w:rsidRPr="009A0DA6">
        <w:rPr>
          <w:rFonts w:ascii="Cambria" w:hAnsi="Cambria" w:cstheme="minorHAnsi"/>
        </w:rPr>
        <w:tab/>
        <w:t>530,000</w:t>
      </w:r>
      <w:r w:rsidRPr="009A0DA6">
        <w:rPr>
          <w:rFonts w:ascii="Cambria" w:hAnsi="Cambria" w:cstheme="minorHAnsi"/>
        </w:rPr>
        <w:tab/>
        <w:t>500,000</w:t>
      </w:r>
      <w:r w:rsidRPr="009A0DA6">
        <w:rPr>
          <w:rFonts w:ascii="Cambria" w:hAnsi="Cambria" w:cstheme="minorHAnsi"/>
        </w:rPr>
        <w:tab/>
        <w:t>500,000</w:t>
      </w:r>
    </w:p>
    <w:p w14:paraId="2B3AA5B0"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Reimbursements</w:t>
      </w:r>
      <w:r w:rsidRPr="009A0DA6">
        <w:rPr>
          <w:rFonts w:ascii="Cambria" w:hAnsi="Cambria" w:cstheme="minorHAnsi"/>
        </w:rPr>
        <w:tab/>
        <w:t>167,465</w:t>
      </w:r>
      <w:r w:rsidRPr="009A0DA6">
        <w:rPr>
          <w:rFonts w:ascii="Cambria" w:hAnsi="Cambria" w:cstheme="minorHAnsi"/>
        </w:rPr>
        <w:tab/>
        <w:t>161,670</w:t>
      </w:r>
      <w:r w:rsidRPr="009A0DA6">
        <w:rPr>
          <w:rFonts w:ascii="Cambria" w:hAnsi="Cambria" w:cstheme="minorHAnsi"/>
        </w:rPr>
        <w:tab/>
        <w:t>174,068</w:t>
      </w:r>
    </w:p>
    <w:p w14:paraId="03F321DD"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b/>
        </w:rPr>
      </w:pPr>
      <w:r w:rsidRPr="009A0DA6">
        <w:rPr>
          <w:rFonts w:ascii="Cambria" w:hAnsi="Cambria" w:cstheme="minorHAnsi"/>
          <w:b/>
        </w:rPr>
        <w:tab/>
        <w:t>1,517,333</w:t>
      </w:r>
      <w:r w:rsidRPr="009A0DA6">
        <w:rPr>
          <w:rFonts w:ascii="Cambria" w:hAnsi="Cambria" w:cstheme="minorHAnsi"/>
          <w:b/>
        </w:rPr>
        <w:tab/>
        <w:t>1,904,049</w:t>
      </w:r>
      <w:r w:rsidRPr="009A0DA6">
        <w:rPr>
          <w:rFonts w:ascii="Cambria" w:hAnsi="Cambria" w:cstheme="minorHAnsi"/>
          <w:b/>
        </w:rPr>
        <w:tab/>
        <w:t>1,543,150</w:t>
      </w:r>
    </w:p>
    <w:p w14:paraId="2166D55B"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b/>
        </w:rPr>
        <w:t>Expenditure</w:t>
      </w:r>
    </w:p>
    <w:p w14:paraId="0113D523"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Administration costs</w:t>
      </w:r>
      <w:r w:rsidRPr="009A0DA6">
        <w:rPr>
          <w:rFonts w:ascii="Cambria" w:hAnsi="Cambria" w:cstheme="minorHAnsi"/>
        </w:rPr>
        <w:tab/>
        <w:t>35,969</w:t>
      </w:r>
      <w:r w:rsidRPr="009A0DA6">
        <w:rPr>
          <w:rFonts w:ascii="Cambria" w:hAnsi="Cambria" w:cstheme="minorHAnsi"/>
        </w:rPr>
        <w:tab/>
        <w:t>26,250</w:t>
      </w:r>
      <w:r w:rsidRPr="009A0DA6">
        <w:rPr>
          <w:rFonts w:ascii="Cambria" w:hAnsi="Cambria" w:cstheme="minorHAnsi"/>
        </w:rPr>
        <w:tab/>
        <w:t>36,136</w:t>
      </w:r>
    </w:p>
    <w:p w14:paraId="70E4415B"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Asset costs</w:t>
      </w:r>
      <w:r w:rsidRPr="009A0DA6">
        <w:rPr>
          <w:rFonts w:ascii="Cambria" w:hAnsi="Cambria" w:cstheme="minorHAnsi"/>
        </w:rPr>
        <w:tab/>
        <w:t>10,703</w:t>
      </w:r>
      <w:r w:rsidRPr="009A0DA6">
        <w:rPr>
          <w:rFonts w:ascii="Cambria" w:hAnsi="Cambria" w:cstheme="minorHAnsi"/>
        </w:rPr>
        <w:tab/>
        <w:t>10,286</w:t>
      </w:r>
      <w:r w:rsidRPr="009A0DA6">
        <w:rPr>
          <w:rFonts w:ascii="Cambria" w:hAnsi="Cambria" w:cstheme="minorHAnsi"/>
        </w:rPr>
        <w:tab/>
        <w:t>14,178</w:t>
      </w:r>
    </w:p>
    <w:p w14:paraId="7FAC2F40"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Consulting expenses</w:t>
      </w:r>
      <w:r w:rsidRPr="009A0DA6">
        <w:rPr>
          <w:rFonts w:ascii="Cambria" w:hAnsi="Cambria" w:cstheme="minorHAnsi"/>
        </w:rPr>
        <w:tab/>
        <w:t>1,301</w:t>
      </w:r>
      <w:r w:rsidRPr="009A0DA6">
        <w:rPr>
          <w:rFonts w:ascii="Cambria" w:hAnsi="Cambria" w:cstheme="minorHAnsi"/>
        </w:rPr>
        <w:tab/>
        <w:t>5,393</w:t>
      </w:r>
      <w:r w:rsidRPr="009A0DA6">
        <w:rPr>
          <w:rFonts w:ascii="Cambria" w:hAnsi="Cambria" w:cstheme="minorHAnsi"/>
        </w:rPr>
        <w:tab/>
        <w:t>13,097</w:t>
      </w:r>
    </w:p>
    <w:p w14:paraId="0B9DA4E9"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Depreciation expenses</w:t>
      </w:r>
      <w:r w:rsidRPr="009A0DA6">
        <w:rPr>
          <w:rFonts w:ascii="Cambria" w:hAnsi="Cambria" w:cstheme="minorHAnsi"/>
        </w:rPr>
        <w:tab/>
      </w:r>
      <w:r w:rsidRPr="009A0DA6">
        <w:rPr>
          <w:rFonts w:ascii="Cambria" w:hAnsi="Cambria" w:cstheme="minorHAnsi"/>
        </w:rPr>
        <w:tab/>
        <w:t>1,247</w:t>
      </w:r>
      <w:r w:rsidRPr="009A0DA6">
        <w:rPr>
          <w:rFonts w:ascii="Cambria" w:hAnsi="Cambria" w:cstheme="minorHAnsi"/>
        </w:rPr>
        <w:tab/>
        <w:t>0</w:t>
      </w:r>
    </w:p>
    <w:p w14:paraId="39CC3F75"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Employee expenses</w:t>
      </w:r>
      <w:r w:rsidRPr="009A0DA6">
        <w:rPr>
          <w:rFonts w:ascii="Cambria" w:hAnsi="Cambria" w:cstheme="minorHAnsi"/>
        </w:rPr>
        <w:tab/>
        <w:t>647,426</w:t>
      </w:r>
      <w:r w:rsidRPr="009A0DA6">
        <w:rPr>
          <w:rFonts w:ascii="Cambria" w:hAnsi="Cambria" w:cstheme="minorHAnsi"/>
        </w:rPr>
        <w:tab/>
        <w:t>647,426</w:t>
      </w:r>
      <w:r w:rsidRPr="009A0DA6">
        <w:rPr>
          <w:rFonts w:ascii="Cambria" w:hAnsi="Cambria" w:cstheme="minorHAnsi"/>
        </w:rPr>
        <w:tab/>
        <w:t>697,496</w:t>
      </w:r>
    </w:p>
    <w:p w14:paraId="6BAB49E9"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Governance costs</w:t>
      </w:r>
      <w:r w:rsidRPr="009A0DA6">
        <w:rPr>
          <w:rFonts w:ascii="Cambria" w:hAnsi="Cambria" w:cstheme="minorHAnsi"/>
        </w:rPr>
        <w:tab/>
        <w:t>11,008</w:t>
      </w:r>
      <w:r w:rsidRPr="009A0DA6">
        <w:rPr>
          <w:rFonts w:ascii="Cambria" w:hAnsi="Cambria" w:cstheme="minorHAnsi"/>
        </w:rPr>
        <w:tab/>
        <w:t>17,117</w:t>
      </w:r>
      <w:r w:rsidRPr="009A0DA6">
        <w:rPr>
          <w:rFonts w:ascii="Cambria" w:hAnsi="Cambria" w:cstheme="minorHAnsi"/>
        </w:rPr>
        <w:tab/>
        <w:t>17,047</w:t>
      </w:r>
    </w:p>
    <w:p w14:paraId="253F6AC1"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LCA other expenditure</w:t>
      </w:r>
      <w:r w:rsidRPr="009A0DA6">
        <w:rPr>
          <w:rFonts w:ascii="Cambria" w:hAnsi="Cambria" w:cstheme="minorHAnsi"/>
        </w:rPr>
        <w:tab/>
        <w:t>19,251</w:t>
      </w:r>
      <w:r w:rsidRPr="009A0DA6">
        <w:rPr>
          <w:rFonts w:ascii="Cambria" w:hAnsi="Cambria" w:cstheme="minorHAnsi"/>
        </w:rPr>
        <w:tab/>
        <w:t>15,126</w:t>
      </w:r>
      <w:r w:rsidRPr="009A0DA6">
        <w:rPr>
          <w:rFonts w:ascii="Cambria" w:hAnsi="Cambria" w:cstheme="minorHAnsi"/>
        </w:rPr>
        <w:tab/>
        <w:t>9,852</w:t>
      </w:r>
    </w:p>
    <w:p w14:paraId="0CEF3260"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Project costs</w:t>
      </w:r>
      <w:r w:rsidRPr="009A0DA6">
        <w:rPr>
          <w:rFonts w:ascii="Cambria" w:hAnsi="Cambria" w:cstheme="minorHAnsi"/>
        </w:rPr>
        <w:tab/>
        <w:t>509,613</w:t>
      </w:r>
      <w:r w:rsidRPr="009A0DA6">
        <w:rPr>
          <w:rFonts w:ascii="Cambria" w:hAnsi="Cambria" w:cstheme="minorHAnsi"/>
        </w:rPr>
        <w:tab/>
        <w:t>577,085</w:t>
      </w:r>
      <w:r w:rsidRPr="009A0DA6">
        <w:rPr>
          <w:rFonts w:ascii="Cambria" w:hAnsi="Cambria" w:cstheme="minorHAnsi"/>
        </w:rPr>
        <w:tab/>
        <w:t>508,132</w:t>
      </w:r>
    </w:p>
    <w:p w14:paraId="4F6C528F"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Promotion and marketing costs</w:t>
      </w:r>
      <w:r w:rsidRPr="009A0DA6">
        <w:rPr>
          <w:rFonts w:ascii="Cambria" w:hAnsi="Cambria" w:cstheme="minorHAnsi"/>
        </w:rPr>
        <w:tab/>
        <w:t>225,318</w:t>
      </w:r>
      <w:r w:rsidRPr="009A0DA6">
        <w:rPr>
          <w:rFonts w:ascii="Cambria" w:hAnsi="Cambria" w:cstheme="minorHAnsi"/>
        </w:rPr>
        <w:tab/>
        <w:t>243,850</w:t>
      </w:r>
      <w:r w:rsidRPr="009A0DA6">
        <w:rPr>
          <w:rFonts w:ascii="Cambria" w:hAnsi="Cambria" w:cstheme="minorHAnsi"/>
        </w:rPr>
        <w:tab/>
        <w:t>194,881</w:t>
      </w:r>
    </w:p>
    <w:p w14:paraId="09A80EF2"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Travelling expenses</w:t>
      </w:r>
      <w:r w:rsidRPr="009A0DA6">
        <w:rPr>
          <w:rFonts w:ascii="Cambria" w:hAnsi="Cambria" w:cstheme="minorHAnsi"/>
        </w:rPr>
        <w:tab/>
        <w:t>74,847</w:t>
      </w:r>
      <w:r w:rsidRPr="009A0DA6">
        <w:rPr>
          <w:rFonts w:ascii="Cambria" w:hAnsi="Cambria" w:cstheme="minorHAnsi"/>
        </w:rPr>
        <w:tab/>
        <w:t>107,667</w:t>
      </w:r>
      <w:r w:rsidRPr="009A0DA6">
        <w:rPr>
          <w:rFonts w:ascii="Cambria" w:hAnsi="Cambria" w:cstheme="minorHAnsi"/>
        </w:rPr>
        <w:tab/>
        <w:t>124,274</w:t>
      </w:r>
    </w:p>
    <w:p w14:paraId="0F5208F9"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b/>
        </w:rPr>
      </w:pPr>
      <w:r w:rsidRPr="009A0DA6">
        <w:rPr>
          <w:rFonts w:ascii="Cambria" w:hAnsi="Cambria" w:cstheme="minorHAnsi"/>
          <w:b/>
        </w:rPr>
        <w:tab/>
        <w:t>1,535,436</w:t>
      </w:r>
      <w:r w:rsidRPr="009A0DA6">
        <w:rPr>
          <w:rFonts w:ascii="Cambria" w:hAnsi="Cambria" w:cstheme="minorHAnsi"/>
          <w:b/>
        </w:rPr>
        <w:tab/>
        <w:t>1,729,320</w:t>
      </w:r>
      <w:r w:rsidRPr="009A0DA6">
        <w:rPr>
          <w:rFonts w:ascii="Cambria" w:hAnsi="Cambria" w:cstheme="minorHAnsi"/>
          <w:b/>
        </w:rPr>
        <w:tab/>
        <w:t>1,615,093</w:t>
      </w:r>
    </w:p>
    <w:p w14:paraId="592EEEA1"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b/>
        </w:rPr>
      </w:pPr>
    </w:p>
    <w:p w14:paraId="78857CD6"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Operating (Deficit) for the year</w:t>
      </w:r>
      <w:r w:rsidRPr="009A0DA6">
        <w:rPr>
          <w:rFonts w:ascii="Cambria" w:hAnsi="Cambria" w:cstheme="minorHAnsi"/>
        </w:rPr>
        <w:tab/>
        <w:t>(18,103)</w:t>
      </w:r>
      <w:r w:rsidRPr="009A0DA6">
        <w:rPr>
          <w:rFonts w:ascii="Cambria" w:hAnsi="Cambria" w:cstheme="minorHAnsi"/>
        </w:rPr>
        <w:tab/>
      </w:r>
      <w:r w:rsidRPr="009A0DA6">
        <w:rPr>
          <w:rFonts w:ascii="Cambria" w:hAnsi="Cambria" w:cstheme="minorHAnsi"/>
          <w:bCs/>
        </w:rPr>
        <w:t>174,729</w:t>
      </w:r>
      <w:r w:rsidRPr="009A0DA6">
        <w:rPr>
          <w:rFonts w:ascii="Cambria" w:hAnsi="Cambria" w:cstheme="minorHAnsi"/>
        </w:rPr>
        <w:tab/>
        <w:t>(71,943)</w:t>
      </w:r>
    </w:p>
    <w:p w14:paraId="34132297"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LCA transfers</w:t>
      </w:r>
      <w:r w:rsidRPr="009A0DA6">
        <w:rPr>
          <w:rFonts w:ascii="Cambria" w:hAnsi="Cambria" w:cstheme="minorHAnsi"/>
        </w:rPr>
        <w:tab/>
        <w:t>184,527</w:t>
      </w:r>
      <w:r w:rsidRPr="009A0DA6">
        <w:rPr>
          <w:rFonts w:ascii="Cambria" w:hAnsi="Cambria" w:cstheme="minorHAnsi"/>
        </w:rPr>
        <w:tab/>
        <w:t>66,421</w:t>
      </w:r>
      <w:r w:rsidRPr="009A0DA6">
        <w:rPr>
          <w:rFonts w:ascii="Cambria" w:hAnsi="Cambria" w:cstheme="minorHAnsi"/>
        </w:rPr>
        <w:tab/>
        <w:t>986</w:t>
      </w:r>
    </w:p>
    <w:p w14:paraId="5D22D6A4"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b/>
        </w:rPr>
      </w:pPr>
      <w:r w:rsidRPr="009A0DA6">
        <w:rPr>
          <w:rFonts w:ascii="Cambria" w:hAnsi="Cambria" w:cstheme="minorHAnsi"/>
          <w:b/>
        </w:rPr>
        <w:t>Surplus (Deficit) after transfers</w:t>
      </w:r>
      <w:r w:rsidRPr="009A0DA6">
        <w:rPr>
          <w:rFonts w:ascii="Cambria" w:hAnsi="Cambria" w:cstheme="minorHAnsi"/>
          <w:b/>
        </w:rPr>
        <w:tab/>
        <w:t>$173,123</w:t>
      </w:r>
      <w:r w:rsidRPr="009A0DA6">
        <w:rPr>
          <w:rFonts w:ascii="Cambria" w:hAnsi="Cambria" w:cstheme="minorHAnsi"/>
          <w:b/>
        </w:rPr>
        <w:tab/>
      </w:r>
      <w:r w:rsidRPr="009A0DA6">
        <w:rPr>
          <w:rFonts w:ascii="Cambria" w:hAnsi="Cambria" w:cstheme="minorHAnsi"/>
          <w:b/>
          <w:u w:color="000000"/>
        </w:rPr>
        <w:t>$4,799</w:t>
      </w:r>
      <w:r w:rsidRPr="009A0DA6">
        <w:rPr>
          <w:rFonts w:ascii="Cambria" w:hAnsi="Cambria" w:cstheme="minorHAnsi"/>
          <w:b/>
        </w:rPr>
        <w:tab/>
        <w:t>$(17,614)</w:t>
      </w:r>
    </w:p>
    <w:p w14:paraId="1C913EFA"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b/>
        </w:rPr>
      </w:pPr>
    </w:p>
    <w:p w14:paraId="0B29B7CB"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b/>
        </w:rPr>
      </w:pPr>
    </w:p>
    <w:p w14:paraId="5A7C9859"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b/>
        </w:rPr>
      </w:pPr>
      <w:r w:rsidRPr="009A0DA6">
        <w:rPr>
          <w:rFonts w:ascii="Cambria" w:hAnsi="Cambria" w:cstheme="minorHAnsi"/>
          <w:b/>
        </w:rPr>
        <w:t>ACCUMULATED FUNDS &amp; RESERVES</w:t>
      </w:r>
    </w:p>
    <w:p w14:paraId="78ED719C"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Opening balance 1 January 2017</w:t>
      </w:r>
      <w:r w:rsidRPr="009A0DA6">
        <w:rPr>
          <w:rFonts w:ascii="Cambria" w:hAnsi="Cambria" w:cstheme="minorHAnsi"/>
        </w:rPr>
        <w:tab/>
        <w:t>1,383,244</w:t>
      </w:r>
      <w:r w:rsidRPr="009A0DA6">
        <w:rPr>
          <w:rFonts w:ascii="Cambria" w:hAnsi="Cambria" w:cstheme="minorHAnsi"/>
        </w:rPr>
        <w:tab/>
        <w:t>529,129</w:t>
      </w:r>
      <w:r w:rsidRPr="009A0DA6">
        <w:rPr>
          <w:rFonts w:ascii="Cambria" w:hAnsi="Cambria" w:cstheme="minorHAnsi"/>
        </w:rPr>
        <w:tab/>
        <w:t>580,363</w:t>
      </w:r>
    </w:p>
    <w:p w14:paraId="482C615C"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Add: Interest added direct to legacy accounts</w:t>
      </w:r>
      <w:r w:rsidRPr="009A0DA6">
        <w:rPr>
          <w:rFonts w:ascii="Cambria" w:hAnsi="Cambria" w:cstheme="minorHAnsi"/>
        </w:rPr>
        <w:tab/>
        <w:t>7,438</w:t>
      </w:r>
      <w:r w:rsidRPr="009A0DA6">
        <w:rPr>
          <w:rFonts w:ascii="Cambria" w:hAnsi="Cambria" w:cstheme="minorHAnsi"/>
        </w:rPr>
        <w:tab/>
        <w:t>8,176</w:t>
      </w:r>
      <w:r w:rsidRPr="009A0DA6">
        <w:rPr>
          <w:rFonts w:ascii="Cambria" w:hAnsi="Cambria" w:cstheme="minorHAnsi"/>
        </w:rPr>
        <w:tab/>
        <w:t>8,983</w:t>
      </w:r>
    </w:p>
    <w:p w14:paraId="699FF1A4"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Gain on sale distribution of fixed assets</w:t>
      </w:r>
      <w:r w:rsidRPr="009A0DA6">
        <w:rPr>
          <w:rFonts w:ascii="Cambria" w:hAnsi="Cambria" w:cstheme="minorHAnsi"/>
        </w:rPr>
        <w:tab/>
        <w:t>0</w:t>
      </w:r>
      <w:r w:rsidRPr="009A0DA6">
        <w:rPr>
          <w:rFonts w:ascii="Cambria" w:hAnsi="Cambria" w:cstheme="minorHAnsi"/>
        </w:rPr>
        <w:tab/>
        <w:t>671,210</w:t>
      </w:r>
      <w:r w:rsidRPr="009A0DA6">
        <w:rPr>
          <w:rFonts w:ascii="Cambria" w:hAnsi="Cambria" w:cstheme="minorHAnsi"/>
        </w:rPr>
        <w:tab/>
        <w:t>7,750</w:t>
      </w:r>
    </w:p>
    <w:p w14:paraId="38061E02"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Operating (Deficit) for the year</w:t>
      </w:r>
      <w:r w:rsidRPr="009A0DA6">
        <w:rPr>
          <w:rFonts w:ascii="Cambria" w:hAnsi="Cambria" w:cstheme="minorHAnsi"/>
        </w:rPr>
        <w:tab/>
        <w:t>(18,103)</w:t>
      </w:r>
      <w:r w:rsidRPr="009A0DA6">
        <w:rPr>
          <w:rFonts w:ascii="Cambria" w:hAnsi="Cambria" w:cstheme="minorHAnsi"/>
        </w:rPr>
        <w:tab/>
      </w:r>
      <w:r w:rsidRPr="009A0DA6">
        <w:rPr>
          <w:rFonts w:ascii="Cambria" w:hAnsi="Cambria" w:cstheme="minorHAnsi"/>
          <w:bCs/>
        </w:rPr>
        <w:t>174,729</w:t>
      </w:r>
      <w:r w:rsidRPr="009A0DA6">
        <w:rPr>
          <w:rFonts w:ascii="Cambria" w:hAnsi="Cambria" w:cstheme="minorHAnsi"/>
        </w:rPr>
        <w:tab/>
        <w:t>(67,967)</w:t>
      </w:r>
    </w:p>
    <w:p w14:paraId="5DBA0F1D"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b/>
        </w:rPr>
      </w:pPr>
      <w:r w:rsidRPr="009A0DA6">
        <w:rPr>
          <w:rFonts w:ascii="Cambria" w:hAnsi="Cambria" w:cstheme="minorHAnsi"/>
          <w:b/>
        </w:rPr>
        <w:t>Closing balance 31 December 2017</w:t>
      </w:r>
      <w:r w:rsidRPr="009A0DA6">
        <w:rPr>
          <w:rStyle w:val="EndnoteReference"/>
          <w:rFonts w:ascii="Cambria" w:eastAsiaTheme="majorEastAsia" w:hAnsi="Cambria" w:cstheme="minorHAnsi"/>
          <w:b/>
        </w:rPr>
        <w:endnoteReference w:id="1"/>
      </w:r>
      <w:r w:rsidRPr="009A0DA6">
        <w:rPr>
          <w:rFonts w:ascii="Cambria" w:hAnsi="Cambria" w:cstheme="minorHAnsi"/>
          <w:b/>
        </w:rPr>
        <w:tab/>
      </w:r>
      <w:bookmarkStart w:id="477" w:name="_Hlk515029839"/>
      <w:r w:rsidRPr="009A0DA6">
        <w:rPr>
          <w:rFonts w:ascii="Cambria" w:hAnsi="Cambria" w:cstheme="minorHAnsi"/>
          <w:b/>
        </w:rPr>
        <w:t>$1,372,</w:t>
      </w:r>
      <w:bookmarkEnd w:id="477"/>
      <w:r w:rsidRPr="009A0DA6">
        <w:rPr>
          <w:rFonts w:ascii="Cambria" w:hAnsi="Cambria" w:cstheme="minorHAnsi"/>
          <w:b/>
        </w:rPr>
        <w:t>579</w:t>
      </w:r>
      <w:r w:rsidRPr="009A0DA6">
        <w:rPr>
          <w:rFonts w:ascii="Cambria" w:hAnsi="Cambria" w:cstheme="minorHAnsi"/>
          <w:b/>
        </w:rPr>
        <w:tab/>
      </w:r>
      <w:r w:rsidRPr="009A0DA6">
        <w:rPr>
          <w:rFonts w:ascii="Cambria" w:hAnsi="Cambria" w:cstheme="minorHAnsi"/>
          <w:b/>
          <w:bCs/>
        </w:rPr>
        <w:t>$1,383,244</w:t>
      </w:r>
      <w:r w:rsidRPr="009A0DA6">
        <w:rPr>
          <w:rFonts w:ascii="Cambria" w:hAnsi="Cambria" w:cstheme="minorHAnsi"/>
          <w:b/>
        </w:rPr>
        <w:tab/>
        <w:t>$529,129</w:t>
      </w:r>
    </w:p>
    <w:p w14:paraId="45E2A3F3"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b/>
        </w:rPr>
      </w:pPr>
    </w:p>
    <w:p w14:paraId="22B88802"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b/>
        </w:rPr>
      </w:pPr>
      <w:r w:rsidRPr="009A0DA6">
        <w:rPr>
          <w:rStyle w:val="FootnoteReference"/>
          <w:rFonts w:ascii="Cambria" w:hAnsi="Cambria" w:cstheme="minorHAnsi"/>
        </w:rPr>
        <w:footnoteRef/>
      </w:r>
      <w:r w:rsidRPr="009A0DA6">
        <w:rPr>
          <w:rFonts w:ascii="Cambria" w:hAnsi="Cambria" w:cstheme="minorHAnsi"/>
        </w:rPr>
        <w:t xml:space="preserve">  Total balance consists of BFM Accumulated Funds as well as Legacy accounts:  Board for Mission, Board for Mission – South Korea and General Mission.</w:t>
      </w:r>
    </w:p>
    <w:p w14:paraId="101B0A81" w14:textId="77777777" w:rsidR="00930400" w:rsidRPr="00930400" w:rsidRDefault="00930400" w:rsidP="00930400">
      <w:pPr>
        <w:pStyle w:val="NoSpacing"/>
      </w:pPr>
    </w:p>
    <w:p w14:paraId="362EDFE6" w14:textId="77777777" w:rsidR="00DE6169" w:rsidRDefault="00DE6169">
      <w:pPr>
        <w:rPr>
          <w:rFonts w:ascii="Cambria" w:eastAsiaTheme="majorEastAsia" w:hAnsi="Cambria" w:cstheme="majorBidi"/>
          <w:b/>
          <w:caps/>
          <w:sz w:val="28"/>
          <w:szCs w:val="24"/>
        </w:rPr>
      </w:pPr>
      <w:r>
        <w:br w:type="page"/>
      </w:r>
    </w:p>
    <w:p w14:paraId="488C8639" w14:textId="0BC59697" w:rsidR="00930400" w:rsidRPr="009A0DA6" w:rsidRDefault="00930400" w:rsidP="00930400">
      <w:pPr>
        <w:pStyle w:val="Heading3"/>
      </w:pPr>
      <w:r w:rsidRPr="009A0DA6">
        <w:lastRenderedPageBreak/>
        <w:t>agenda 4.3</w:t>
      </w:r>
    </w:p>
    <w:p w14:paraId="52060582" w14:textId="77777777" w:rsidR="00930400" w:rsidRPr="009A0DA6" w:rsidRDefault="00930400" w:rsidP="00930400">
      <w:pPr>
        <w:pStyle w:val="Heading2"/>
      </w:pPr>
      <w:bookmarkStart w:id="478" w:name="_Toc521954729"/>
      <w:r w:rsidRPr="009A0DA6">
        <w:t>Financial Report: Lutheran Bible Translators Australia</w:t>
      </w:r>
      <w:bookmarkEnd w:id="478"/>
    </w:p>
    <w:p w14:paraId="4C0E2D09" w14:textId="77777777" w:rsidR="00930400" w:rsidRPr="009A0DA6" w:rsidRDefault="00930400" w:rsidP="00930400">
      <w:pPr>
        <w:pStyle w:val="NoSpacing"/>
        <w:rPr>
          <w:lang w:val="en-GB" w:eastAsia="en-AU"/>
        </w:rPr>
      </w:pPr>
    </w:p>
    <w:p w14:paraId="56E27FD2" w14:textId="77777777" w:rsidR="00930400" w:rsidRPr="009A0DA6" w:rsidRDefault="00930400" w:rsidP="00766B14">
      <w:pPr>
        <w:pStyle w:val="NoSpacing"/>
        <w:rPr>
          <w:b/>
        </w:rPr>
      </w:pPr>
      <w:r w:rsidRPr="009A0DA6">
        <w:rPr>
          <w:lang w:val="en-GB" w:eastAsia="en-AU"/>
        </w:rPr>
        <w:br/>
      </w:r>
      <w:r w:rsidRPr="009A0DA6">
        <w:rPr>
          <w:b/>
        </w:rPr>
        <w:t xml:space="preserve">INDIVIDUAL DEPARTMENTAL FINANCIAL REPORT </w:t>
      </w:r>
    </w:p>
    <w:p w14:paraId="4A4E750E" w14:textId="74D5E6F7" w:rsidR="00930400" w:rsidRPr="009A0DA6" w:rsidRDefault="00930400" w:rsidP="00930400">
      <w:pPr>
        <w:pStyle w:val="NoSpacing"/>
        <w:rPr>
          <w:b/>
          <w:sz w:val="12"/>
        </w:rPr>
      </w:pPr>
      <w:r w:rsidRPr="009A0DA6">
        <w:rPr>
          <w:b/>
          <w:sz w:val="2"/>
          <w:szCs w:val="2"/>
        </w:rPr>
        <w:br/>
      </w:r>
      <w:r w:rsidR="00FF7E8B" w:rsidRPr="009A0DA6">
        <w:rPr>
          <w:b/>
        </w:rPr>
        <w:t>FOR THE PERIODS ENDING 31 DECEMBER</w:t>
      </w:r>
      <w:r w:rsidR="00FF7E8B" w:rsidRPr="009A0DA6">
        <w:rPr>
          <w:b/>
        </w:rPr>
        <w:br/>
      </w:r>
    </w:p>
    <w:p w14:paraId="3EED64CA"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b/>
        </w:rPr>
      </w:pPr>
      <w:r w:rsidRPr="009A0DA6">
        <w:rPr>
          <w:rFonts w:ascii="Cambria" w:hAnsi="Cambria" w:cstheme="minorHAnsi"/>
          <w:b/>
        </w:rPr>
        <w:tab/>
        <w:t>2017</w:t>
      </w:r>
      <w:r w:rsidRPr="009A0DA6">
        <w:rPr>
          <w:rFonts w:ascii="Cambria" w:hAnsi="Cambria" w:cstheme="minorHAnsi"/>
          <w:b/>
        </w:rPr>
        <w:tab/>
        <w:t>2016</w:t>
      </w:r>
      <w:r w:rsidRPr="009A0DA6">
        <w:rPr>
          <w:rFonts w:ascii="Cambria" w:hAnsi="Cambria" w:cstheme="minorHAnsi"/>
          <w:b/>
        </w:rPr>
        <w:tab/>
        <w:t>2015</w:t>
      </w:r>
    </w:p>
    <w:p w14:paraId="344076E5"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b/>
        </w:rPr>
        <w:t>Income</w:t>
      </w:r>
    </w:p>
    <w:p w14:paraId="281DFD0B"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Appeals, donations and bequests</w:t>
      </w:r>
      <w:r w:rsidRPr="009A0DA6">
        <w:rPr>
          <w:rFonts w:ascii="Cambria" w:hAnsi="Cambria" w:cstheme="minorHAnsi"/>
        </w:rPr>
        <w:tab/>
        <w:t>7,882</w:t>
      </w:r>
      <w:r w:rsidRPr="009A0DA6">
        <w:rPr>
          <w:rFonts w:ascii="Cambria" w:hAnsi="Cambria" w:cstheme="minorHAnsi"/>
        </w:rPr>
        <w:tab/>
        <w:t>60,884</w:t>
      </w:r>
      <w:r w:rsidRPr="009A0DA6">
        <w:rPr>
          <w:rFonts w:ascii="Cambria" w:hAnsi="Cambria" w:cstheme="minorHAnsi"/>
        </w:rPr>
        <w:tab/>
        <w:t>74,938</w:t>
      </w:r>
    </w:p>
    <w:p w14:paraId="21815E46"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Investment and rental income</w:t>
      </w:r>
      <w:r w:rsidRPr="009A0DA6">
        <w:rPr>
          <w:rFonts w:ascii="Cambria" w:hAnsi="Cambria" w:cstheme="minorHAnsi"/>
        </w:rPr>
        <w:tab/>
        <w:t>2,461</w:t>
      </w:r>
      <w:r w:rsidRPr="009A0DA6">
        <w:rPr>
          <w:rFonts w:ascii="Cambria" w:hAnsi="Cambria" w:cstheme="minorHAnsi"/>
        </w:rPr>
        <w:tab/>
        <w:t>2,625</w:t>
      </w:r>
      <w:r w:rsidRPr="009A0DA6">
        <w:rPr>
          <w:rFonts w:ascii="Cambria" w:hAnsi="Cambria" w:cstheme="minorHAnsi"/>
        </w:rPr>
        <w:tab/>
        <w:t>2,969</w:t>
      </w:r>
    </w:p>
    <w:p w14:paraId="7B0A5DA5"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LCA income</w:t>
      </w:r>
      <w:r w:rsidRPr="009A0DA6">
        <w:rPr>
          <w:rFonts w:ascii="Cambria" w:hAnsi="Cambria" w:cstheme="minorHAnsi"/>
        </w:rPr>
        <w:tab/>
        <w:t>5,945</w:t>
      </w:r>
      <w:r w:rsidRPr="009A0DA6">
        <w:rPr>
          <w:rFonts w:ascii="Cambria" w:hAnsi="Cambria" w:cstheme="minorHAnsi"/>
        </w:rPr>
        <w:tab/>
        <w:t>0</w:t>
      </w:r>
      <w:r w:rsidRPr="009A0DA6">
        <w:rPr>
          <w:rFonts w:ascii="Cambria" w:hAnsi="Cambria" w:cstheme="minorHAnsi"/>
        </w:rPr>
        <w:tab/>
        <w:t>11,000</w:t>
      </w:r>
    </w:p>
    <w:p w14:paraId="57B78850"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LCA other allocations</w:t>
      </w:r>
      <w:r w:rsidRPr="009A0DA6">
        <w:rPr>
          <w:rFonts w:ascii="Cambria" w:hAnsi="Cambria" w:cstheme="minorHAnsi"/>
        </w:rPr>
        <w:tab/>
        <w:t>20,000</w:t>
      </w:r>
      <w:r w:rsidRPr="009A0DA6">
        <w:rPr>
          <w:rFonts w:ascii="Cambria" w:hAnsi="Cambria" w:cstheme="minorHAnsi"/>
        </w:rPr>
        <w:tab/>
        <w:t>20,000</w:t>
      </w:r>
      <w:r w:rsidRPr="009A0DA6">
        <w:rPr>
          <w:rFonts w:ascii="Cambria" w:hAnsi="Cambria" w:cstheme="minorHAnsi"/>
        </w:rPr>
        <w:tab/>
        <w:t>20,000</w:t>
      </w:r>
    </w:p>
    <w:p w14:paraId="36F54B31"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b/>
        </w:rPr>
      </w:pPr>
      <w:r w:rsidRPr="009A0DA6">
        <w:rPr>
          <w:rFonts w:ascii="Cambria" w:hAnsi="Cambria" w:cstheme="minorHAnsi"/>
          <w:b/>
        </w:rPr>
        <w:tab/>
        <w:t>36,288</w:t>
      </w:r>
      <w:r w:rsidRPr="009A0DA6">
        <w:rPr>
          <w:rFonts w:ascii="Cambria" w:hAnsi="Cambria" w:cstheme="minorHAnsi"/>
          <w:b/>
        </w:rPr>
        <w:tab/>
        <w:t>83,509</w:t>
      </w:r>
      <w:r w:rsidRPr="009A0DA6">
        <w:rPr>
          <w:rFonts w:ascii="Cambria" w:hAnsi="Cambria" w:cstheme="minorHAnsi"/>
          <w:b/>
        </w:rPr>
        <w:tab/>
        <w:t>108,907</w:t>
      </w:r>
    </w:p>
    <w:p w14:paraId="7B526061"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b/>
        </w:rPr>
        <w:t>Expenditure</w:t>
      </w:r>
    </w:p>
    <w:p w14:paraId="22485151"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Administration costs</w:t>
      </w:r>
      <w:r w:rsidRPr="009A0DA6">
        <w:rPr>
          <w:rFonts w:ascii="Cambria" w:hAnsi="Cambria" w:cstheme="minorHAnsi"/>
        </w:rPr>
        <w:tab/>
        <w:t>1,132</w:t>
      </w:r>
      <w:r w:rsidRPr="009A0DA6">
        <w:rPr>
          <w:rFonts w:ascii="Cambria" w:hAnsi="Cambria" w:cstheme="minorHAnsi"/>
        </w:rPr>
        <w:tab/>
      </w:r>
      <w:r w:rsidRPr="009A0DA6">
        <w:rPr>
          <w:rFonts w:ascii="Cambria" w:hAnsi="Cambria" w:cstheme="minorHAnsi"/>
          <w:spacing w:val="1"/>
        </w:rPr>
        <w:t>2,32</w:t>
      </w:r>
      <w:r w:rsidRPr="009A0DA6">
        <w:rPr>
          <w:rFonts w:ascii="Cambria" w:hAnsi="Cambria" w:cstheme="minorHAnsi"/>
        </w:rPr>
        <w:t>1</w:t>
      </w:r>
      <w:r w:rsidRPr="009A0DA6">
        <w:rPr>
          <w:rFonts w:ascii="Cambria" w:hAnsi="Cambria" w:cstheme="minorHAnsi"/>
        </w:rPr>
        <w:tab/>
        <w:t>221</w:t>
      </w:r>
    </w:p>
    <w:p w14:paraId="4B644F71"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Asset costs</w:t>
      </w:r>
      <w:r w:rsidRPr="009A0DA6">
        <w:rPr>
          <w:rFonts w:ascii="Cambria" w:hAnsi="Cambria" w:cstheme="minorHAnsi"/>
        </w:rPr>
        <w:tab/>
        <w:t>0</w:t>
      </w:r>
      <w:r w:rsidRPr="009A0DA6">
        <w:rPr>
          <w:rFonts w:ascii="Cambria" w:hAnsi="Cambria" w:cstheme="minorHAnsi"/>
        </w:rPr>
        <w:tab/>
        <w:t>36</w:t>
      </w:r>
      <w:r w:rsidRPr="009A0DA6">
        <w:rPr>
          <w:rFonts w:ascii="Cambria" w:hAnsi="Cambria" w:cstheme="minorHAnsi"/>
        </w:rPr>
        <w:tab/>
        <w:t>0</w:t>
      </w:r>
    </w:p>
    <w:p w14:paraId="624872AC"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Consulting expenses</w:t>
      </w:r>
      <w:r w:rsidRPr="009A0DA6">
        <w:rPr>
          <w:rFonts w:ascii="Cambria" w:hAnsi="Cambria" w:cstheme="minorHAnsi"/>
        </w:rPr>
        <w:tab/>
        <w:t>833</w:t>
      </w:r>
      <w:r w:rsidRPr="009A0DA6">
        <w:rPr>
          <w:rFonts w:ascii="Cambria" w:hAnsi="Cambria" w:cstheme="minorHAnsi"/>
        </w:rPr>
        <w:tab/>
        <w:t>833</w:t>
      </w:r>
      <w:r w:rsidRPr="009A0DA6">
        <w:rPr>
          <w:rFonts w:ascii="Cambria" w:hAnsi="Cambria" w:cstheme="minorHAnsi"/>
        </w:rPr>
        <w:tab/>
        <w:t>833</w:t>
      </w:r>
    </w:p>
    <w:p w14:paraId="10641B69"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Employee expenses</w:t>
      </w:r>
      <w:r w:rsidRPr="009A0DA6">
        <w:rPr>
          <w:rFonts w:ascii="Cambria" w:hAnsi="Cambria" w:cstheme="minorHAnsi"/>
        </w:rPr>
        <w:tab/>
        <w:t>62,573</w:t>
      </w:r>
      <w:r w:rsidRPr="009A0DA6">
        <w:rPr>
          <w:rFonts w:ascii="Cambria" w:hAnsi="Cambria" w:cstheme="minorHAnsi"/>
        </w:rPr>
        <w:tab/>
      </w:r>
      <w:r w:rsidRPr="009A0DA6">
        <w:rPr>
          <w:rFonts w:ascii="Cambria" w:hAnsi="Cambria" w:cstheme="minorHAnsi"/>
          <w:spacing w:val="1"/>
        </w:rPr>
        <w:t>96,1</w:t>
      </w:r>
      <w:r w:rsidRPr="009A0DA6">
        <w:rPr>
          <w:rFonts w:ascii="Cambria" w:hAnsi="Cambria" w:cstheme="minorHAnsi"/>
          <w:spacing w:val="-1"/>
        </w:rPr>
        <w:t>6</w:t>
      </w:r>
      <w:r w:rsidRPr="009A0DA6">
        <w:rPr>
          <w:rFonts w:ascii="Cambria" w:hAnsi="Cambria" w:cstheme="minorHAnsi"/>
        </w:rPr>
        <w:t>9</w:t>
      </w:r>
      <w:r w:rsidRPr="009A0DA6">
        <w:rPr>
          <w:rFonts w:ascii="Cambria" w:hAnsi="Cambria" w:cstheme="minorHAnsi"/>
        </w:rPr>
        <w:tab/>
        <w:t>93,264</w:t>
      </w:r>
    </w:p>
    <w:p w14:paraId="6B7C4656"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Promotion and marketing costs</w:t>
      </w:r>
      <w:r w:rsidRPr="009A0DA6">
        <w:rPr>
          <w:rFonts w:ascii="Cambria" w:hAnsi="Cambria" w:cstheme="minorHAnsi"/>
        </w:rPr>
        <w:tab/>
      </w:r>
      <w:r w:rsidRPr="009A0DA6">
        <w:rPr>
          <w:rFonts w:ascii="Cambria" w:hAnsi="Cambria" w:cstheme="minorHAnsi"/>
        </w:rPr>
        <w:tab/>
      </w:r>
      <w:r w:rsidRPr="009A0DA6">
        <w:rPr>
          <w:rFonts w:ascii="Cambria" w:hAnsi="Cambria" w:cstheme="minorHAnsi"/>
        </w:rPr>
        <w:tab/>
        <w:t>473</w:t>
      </w:r>
    </w:p>
    <w:p w14:paraId="19A33E1E"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 xml:space="preserve">Project costs </w:t>
      </w:r>
      <w:r w:rsidRPr="009A0DA6">
        <w:rPr>
          <w:rFonts w:ascii="Cambria" w:hAnsi="Cambria" w:cstheme="minorHAnsi"/>
        </w:rPr>
        <w:tab/>
        <w:t>582</w:t>
      </w:r>
      <w:r w:rsidRPr="009A0DA6">
        <w:rPr>
          <w:rFonts w:ascii="Cambria" w:hAnsi="Cambria" w:cstheme="minorHAnsi"/>
        </w:rPr>
        <w:tab/>
        <w:t>1,931</w:t>
      </w:r>
      <w:r w:rsidRPr="009A0DA6">
        <w:rPr>
          <w:rFonts w:ascii="Cambria" w:hAnsi="Cambria" w:cstheme="minorHAnsi"/>
        </w:rPr>
        <w:tab/>
        <w:t>473</w:t>
      </w:r>
    </w:p>
    <w:p w14:paraId="2692B587"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Travelling expenses</w:t>
      </w:r>
      <w:r w:rsidRPr="009A0DA6">
        <w:rPr>
          <w:rFonts w:ascii="Cambria" w:hAnsi="Cambria" w:cstheme="minorHAnsi"/>
        </w:rPr>
        <w:tab/>
        <w:t>4,276</w:t>
      </w:r>
      <w:r w:rsidRPr="009A0DA6">
        <w:rPr>
          <w:rFonts w:ascii="Cambria" w:hAnsi="Cambria" w:cstheme="minorHAnsi"/>
        </w:rPr>
        <w:tab/>
        <w:t>4,771</w:t>
      </w:r>
      <w:r w:rsidRPr="009A0DA6">
        <w:rPr>
          <w:rFonts w:ascii="Cambria" w:hAnsi="Cambria" w:cstheme="minorHAnsi"/>
        </w:rPr>
        <w:tab/>
        <w:t>11,140</w:t>
      </w:r>
    </w:p>
    <w:p w14:paraId="654AD176"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b/>
        </w:rPr>
      </w:pPr>
      <w:r w:rsidRPr="009A0DA6">
        <w:rPr>
          <w:rFonts w:ascii="Cambria" w:hAnsi="Cambria" w:cstheme="minorHAnsi"/>
          <w:b/>
        </w:rPr>
        <w:tab/>
        <w:t>69,396</w:t>
      </w:r>
      <w:r w:rsidRPr="009A0DA6">
        <w:rPr>
          <w:rFonts w:ascii="Cambria" w:hAnsi="Cambria" w:cstheme="minorHAnsi"/>
          <w:b/>
        </w:rPr>
        <w:tab/>
      </w:r>
      <w:r w:rsidRPr="009A0DA6">
        <w:rPr>
          <w:rFonts w:ascii="Cambria" w:hAnsi="Cambria" w:cstheme="minorHAnsi"/>
          <w:b/>
          <w:spacing w:val="1"/>
          <w:w w:val="99"/>
        </w:rPr>
        <w:t>106,</w:t>
      </w:r>
      <w:r w:rsidRPr="009A0DA6">
        <w:rPr>
          <w:rFonts w:ascii="Cambria" w:hAnsi="Cambria" w:cstheme="minorHAnsi"/>
          <w:b/>
          <w:spacing w:val="-1"/>
          <w:w w:val="99"/>
        </w:rPr>
        <w:t>6</w:t>
      </w:r>
      <w:r w:rsidRPr="009A0DA6">
        <w:rPr>
          <w:rFonts w:ascii="Cambria" w:hAnsi="Cambria" w:cstheme="minorHAnsi"/>
          <w:b/>
          <w:spacing w:val="1"/>
          <w:w w:val="99"/>
        </w:rPr>
        <w:t>0</w:t>
      </w:r>
      <w:r w:rsidRPr="009A0DA6">
        <w:rPr>
          <w:rFonts w:ascii="Cambria" w:hAnsi="Cambria" w:cstheme="minorHAnsi"/>
          <w:b/>
          <w:w w:val="99"/>
        </w:rPr>
        <w:t>0</w:t>
      </w:r>
      <w:r w:rsidRPr="009A0DA6">
        <w:rPr>
          <w:rFonts w:ascii="Cambria" w:hAnsi="Cambria" w:cstheme="minorHAnsi"/>
          <w:b/>
        </w:rPr>
        <w:tab/>
        <w:t>106,404</w:t>
      </w:r>
    </w:p>
    <w:p w14:paraId="02527868"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b/>
        </w:rPr>
      </w:pPr>
      <w:r w:rsidRPr="009A0DA6">
        <w:rPr>
          <w:rFonts w:ascii="Cambria" w:hAnsi="Cambria" w:cstheme="minorHAnsi"/>
          <w:b/>
        </w:rPr>
        <w:t>Operating (Deficit) for the year</w:t>
      </w:r>
      <w:r w:rsidRPr="009A0DA6">
        <w:rPr>
          <w:rFonts w:ascii="Cambria" w:hAnsi="Cambria" w:cstheme="minorHAnsi"/>
          <w:b/>
        </w:rPr>
        <w:tab/>
        <w:t>$(33,108)</w:t>
      </w:r>
      <w:r w:rsidRPr="009A0DA6">
        <w:rPr>
          <w:rFonts w:ascii="Cambria" w:hAnsi="Cambria" w:cstheme="minorHAnsi"/>
          <w:b/>
        </w:rPr>
        <w:tab/>
      </w:r>
      <w:r w:rsidRPr="009A0DA6">
        <w:rPr>
          <w:rFonts w:ascii="Cambria" w:hAnsi="Cambria" w:cstheme="minorHAnsi"/>
          <w:b/>
          <w:spacing w:val="1"/>
          <w:u w:color="000000"/>
        </w:rPr>
        <w:t>$(23</w:t>
      </w:r>
      <w:r w:rsidRPr="009A0DA6">
        <w:rPr>
          <w:rFonts w:ascii="Cambria" w:hAnsi="Cambria" w:cstheme="minorHAnsi"/>
          <w:b/>
          <w:spacing w:val="-2"/>
          <w:u w:color="000000"/>
        </w:rPr>
        <w:t>,</w:t>
      </w:r>
      <w:r w:rsidRPr="009A0DA6">
        <w:rPr>
          <w:rFonts w:ascii="Cambria" w:hAnsi="Cambria" w:cstheme="minorHAnsi"/>
          <w:b/>
          <w:spacing w:val="1"/>
          <w:u w:color="000000"/>
        </w:rPr>
        <w:t>091</w:t>
      </w:r>
      <w:r w:rsidRPr="009A0DA6">
        <w:rPr>
          <w:rFonts w:ascii="Cambria" w:hAnsi="Cambria" w:cstheme="minorHAnsi"/>
          <w:b/>
          <w:u w:color="000000"/>
        </w:rPr>
        <w:t>)</w:t>
      </w:r>
      <w:r w:rsidRPr="009A0DA6">
        <w:rPr>
          <w:rFonts w:ascii="Cambria" w:hAnsi="Cambria" w:cstheme="minorHAnsi"/>
          <w:b/>
        </w:rPr>
        <w:tab/>
        <w:t>$2,503</w:t>
      </w:r>
    </w:p>
    <w:p w14:paraId="30E1EDC5"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b/>
        </w:rPr>
      </w:pPr>
    </w:p>
    <w:p w14:paraId="666B7D0D"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b/>
        </w:rPr>
      </w:pPr>
      <w:r w:rsidRPr="009A0DA6">
        <w:rPr>
          <w:rFonts w:ascii="Cambria" w:hAnsi="Cambria" w:cstheme="minorHAnsi"/>
          <w:b/>
        </w:rPr>
        <w:t>ACCUMULATED FUNDS</w:t>
      </w:r>
    </w:p>
    <w:p w14:paraId="44A94E70"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 xml:space="preserve">Opening balance 1 January </w:t>
      </w:r>
      <w:r w:rsidRPr="009A0DA6">
        <w:rPr>
          <w:rFonts w:ascii="Cambria" w:hAnsi="Cambria" w:cstheme="minorHAnsi"/>
        </w:rPr>
        <w:tab/>
        <w:t>(56,948)</w:t>
      </w:r>
      <w:r w:rsidRPr="009A0DA6">
        <w:rPr>
          <w:rFonts w:ascii="Cambria" w:hAnsi="Cambria" w:cstheme="minorHAnsi"/>
        </w:rPr>
        <w:tab/>
      </w:r>
      <w:r w:rsidRPr="009A0DA6">
        <w:rPr>
          <w:rFonts w:ascii="Cambria" w:hAnsi="Cambria" w:cstheme="minorHAnsi"/>
          <w:spacing w:val="1"/>
        </w:rPr>
        <w:t>(33,</w:t>
      </w:r>
      <w:r w:rsidRPr="009A0DA6">
        <w:rPr>
          <w:rFonts w:ascii="Cambria" w:hAnsi="Cambria" w:cstheme="minorHAnsi"/>
          <w:spacing w:val="-1"/>
        </w:rPr>
        <w:t>8</w:t>
      </w:r>
      <w:r w:rsidRPr="009A0DA6">
        <w:rPr>
          <w:rFonts w:ascii="Cambria" w:hAnsi="Cambria" w:cstheme="minorHAnsi"/>
          <w:spacing w:val="1"/>
        </w:rPr>
        <w:t>57</w:t>
      </w:r>
      <w:r w:rsidRPr="009A0DA6">
        <w:rPr>
          <w:rFonts w:ascii="Cambria" w:hAnsi="Cambria" w:cstheme="minorHAnsi"/>
        </w:rPr>
        <w:t>)</w:t>
      </w:r>
      <w:r w:rsidRPr="009A0DA6">
        <w:rPr>
          <w:rFonts w:ascii="Cambria" w:hAnsi="Cambria" w:cstheme="minorHAnsi"/>
        </w:rPr>
        <w:tab/>
        <w:t>(36,360)</w:t>
      </w:r>
    </w:p>
    <w:p w14:paraId="2E32FC0D"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Operating (Deficit) for the year</w:t>
      </w:r>
      <w:r w:rsidRPr="009A0DA6">
        <w:rPr>
          <w:rFonts w:ascii="Cambria" w:hAnsi="Cambria" w:cstheme="minorHAnsi"/>
        </w:rPr>
        <w:tab/>
        <w:t>(33,108)</w:t>
      </w:r>
      <w:r w:rsidRPr="009A0DA6">
        <w:rPr>
          <w:rFonts w:ascii="Cambria" w:hAnsi="Cambria" w:cstheme="minorHAnsi"/>
        </w:rPr>
        <w:tab/>
      </w:r>
      <w:r w:rsidRPr="009A0DA6">
        <w:rPr>
          <w:rFonts w:ascii="Cambria" w:hAnsi="Cambria" w:cstheme="minorHAnsi"/>
          <w:spacing w:val="1"/>
          <w:u w:color="000000"/>
        </w:rPr>
        <w:t>(23</w:t>
      </w:r>
      <w:r w:rsidRPr="009A0DA6">
        <w:rPr>
          <w:rFonts w:ascii="Cambria" w:hAnsi="Cambria" w:cstheme="minorHAnsi"/>
          <w:spacing w:val="-2"/>
          <w:u w:color="000000"/>
        </w:rPr>
        <w:t>,</w:t>
      </w:r>
      <w:r w:rsidRPr="009A0DA6">
        <w:rPr>
          <w:rFonts w:ascii="Cambria" w:hAnsi="Cambria" w:cstheme="minorHAnsi"/>
          <w:spacing w:val="1"/>
          <w:u w:color="000000"/>
        </w:rPr>
        <w:t>091</w:t>
      </w:r>
      <w:r w:rsidRPr="009A0DA6">
        <w:rPr>
          <w:rFonts w:ascii="Cambria" w:hAnsi="Cambria" w:cstheme="minorHAnsi"/>
          <w:u w:color="000000"/>
        </w:rPr>
        <w:t>)</w:t>
      </w:r>
      <w:r w:rsidRPr="009A0DA6">
        <w:rPr>
          <w:rFonts w:ascii="Cambria" w:hAnsi="Cambria" w:cstheme="minorHAnsi"/>
        </w:rPr>
        <w:tab/>
        <w:t>2,503</w:t>
      </w:r>
    </w:p>
    <w:p w14:paraId="74FC3EA2"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b/>
        </w:rPr>
      </w:pPr>
      <w:r w:rsidRPr="009A0DA6">
        <w:rPr>
          <w:rFonts w:ascii="Cambria" w:hAnsi="Cambria" w:cstheme="minorHAnsi"/>
          <w:b/>
        </w:rPr>
        <w:t>Closing balance 31 December 2017</w:t>
      </w:r>
      <w:r w:rsidRPr="009A0DA6">
        <w:rPr>
          <w:rFonts w:ascii="Cambria" w:hAnsi="Cambria" w:cstheme="minorHAnsi"/>
          <w:b/>
        </w:rPr>
        <w:tab/>
        <w:t>$(90,056)</w:t>
      </w:r>
      <w:r w:rsidRPr="009A0DA6">
        <w:rPr>
          <w:rFonts w:ascii="Cambria" w:hAnsi="Cambria" w:cstheme="minorHAnsi"/>
          <w:b/>
        </w:rPr>
        <w:tab/>
      </w:r>
      <w:r w:rsidRPr="009A0DA6">
        <w:rPr>
          <w:rFonts w:ascii="Cambria" w:hAnsi="Cambria" w:cstheme="minorHAnsi"/>
          <w:b/>
          <w:spacing w:val="1"/>
          <w:u w:color="000000"/>
        </w:rPr>
        <w:t>$(56</w:t>
      </w:r>
      <w:r w:rsidRPr="009A0DA6">
        <w:rPr>
          <w:rFonts w:ascii="Cambria" w:hAnsi="Cambria" w:cstheme="minorHAnsi"/>
          <w:b/>
          <w:spacing w:val="-2"/>
          <w:u w:color="000000"/>
        </w:rPr>
        <w:t>,</w:t>
      </w:r>
      <w:r w:rsidRPr="009A0DA6">
        <w:rPr>
          <w:rFonts w:ascii="Cambria" w:hAnsi="Cambria" w:cstheme="minorHAnsi"/>
          <w:b/>
          <w:spacing w:val="1"/>
          <w:u w:color="000000"/>
        </w:rPr>
        <w:t>94</w:t>
      </w:r>
      <w:r w:rsidRPr="009A0DA6">
        <w:rPr>
          <w:rFonts w:ascii="Cambria" w:hAnsi="Cambria" w:cstheme="minorHAnsi"/>
          <w:b/>
          <w:spacing w:val="-1"/>
          <w:u w:color="000000"/>
        </w:rPr>
        <w:t>8</w:t>
      </w:r>
      <w:r w:rsidRPr="009A0DA6">
        <w:rPr>
          <w:rFonts w:ascii="Cambria" w:hAnsi="Cambria" w:cstheme="minorHAnsi"/>
          <w:b/>
          <w:u w:color="000000"/>
        </w:rPr>
        <w:t>)</w:t>
      </w:r>
      <w:r w:rsidRPr="009A0DA6">
        <w:rPr>
          <w:rFonts w:ascii="Cambria" w:hAnsi="Cambria" w:cstheme="minorHAnsi"/>
          <w:b/>
        </w:rPr>
        <w:tab/>
        <w:t>$(33,857)</w:t>
      </w:r>
    </w:p>
    <w:p w14:paraId="0BFBCABC"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rPr>
      </w:pPr>
    </w:p>
    <w:p w14:paraId="559D47C4"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b/>
        </w:rPr>
      </w:pPr>
      <w:r w:rsidRPr="009A0DA6">
        <w:rPr>
          <w:rFonts w:ascii="Cambria" w:hAnsi="Cambria" w:cstheme="minorHAnsi"/>
          <w:b/>
        </w:rPr>
        <w:t>RESERVES</w:t>
      </w:r>
    </w:p>
    <w:p w14:paraId="0DD71042"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 xml:space="preserve">Opening balance 1 January </w:t>
      </w:r>
      <w:r w:rsidRPr="009A0DA6">
        <w:rPr>
          <w:rFonts w:ascii="Cambria" w:hAnsi="Cambria" w:cstheme="minorHAnsi"/>
        </w:rPr>
        <w:tab/>
        <w:t>138,502</w:t>
      </w:r>
      <w:r w:rsidRPr="009A0DA6">
        <w:rPr>
          <w:rFonts w:ascii="Cambria" w:hAnsi="Cambria" w:cstheme="minorHAnsi"/>
        </w:rPr>
        <w:tab/>
      </w:r>
      <w:r w:rsidRPr="009A0DA6">
        <w:rPr>
          <w:rFonts w:ascii="Cambria" w:hAnsi="Cambria" w:cstheme="minorHAnsi"/>
          <w:spacing w:val="1"/>
        </w:rPr>
        <w:t>134,</w:t>
      </w:r>
      <w:r w:rsidRPr="009A0DA6">
        <w:rPr>
          <w:rFonts w:ascii="Cambria" w:hAnsi="Cambria" w:cstheme="minorHAnsi"/>
          <w:spacing w:val="-1"/>
        </w:rPr>
        <w:t>6</w:t>
      </w:r>
      <w:r w:rsidRPr="009A0DA6">
        <w:rPr>
          <w:rFonts w:ascii="Cambria" w:hAnsi="Cambria" w:cstheme="minorHAnsi"/>
          <w:spacing w:val="1"/>
        </w:rPr>
        <w:t>2</w:t>
      </w:r>
      <w:r w:rsidRPr="009A0DA6">
        <w:rPr>
          <w:rFonts w:ascii="Cambria" w:hAnsi="Cambria" w:cstheme="minorHAnsi"/>
        </w:rPr>
        <w:t>3</w:t>
      </w:r>
      <w:r w:rsidRPr="009A0DA6">
        <w:rPr>
          <w:rFonts w:ascii="Cambria" w:hAnsi="Cambria" w:cstheme="minorHAnsi"/>
        </w:rPr>
        <w:tab/>
        <w:t>130,227</w:t>
      </w:r>
    </w:p>
    <w:p w14:paraId="0E977697"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Add: Interest added</w:t>
      </w:r>
      <w:r w:rsidRPr="009A0DA6">
        <w:rPr>
          <w:rFonts w:ascii="Cambria" w:hAnsi="Cambria" w:cstheme="minorHAnsi"/>
        </w:rPr>
        <w:tab/>
        <w:t>3,639</w:t>
      </w:r>
      <w:r w:rsidRPr="009A0DA6">
        <w:rPr>
          <w:rFonts w:ascii="Cambria" w:hAnsi="Cambria" w:cstheme="minorHAnsi"/>
        </w:rPr>
        <w:tab/>
      </w:r>
      <w:r w:rsidRPr="009A0DA6">
        <w:rPr>
          <w:rFonts w:ascii="Cambria" w:hAnsi="Cambria" w:cstheme="minorHAnsi"/>
          <w:spacing w:val="1"/>
        </w:rPr>
        <w:t>3,87</w:t>
      </w:r>
      <w:r w:rsidRPr="009A0DA6">
        <w:rPr>
          <w:rFonts w:ascii="Cambria" w:hAnsi="Cambria" w:cstheme="minorHAnsi"/>
        </w:rPr>
        <w:t>9</w:t>
      </w:r>
      <w:r w:rsidRPr="009A0DA6">
        <w:rPr>
          <w:rFonts w:ascii="Cambria" w:hAnsi="Cambria" w:cstheme="minorHAnsi"/>
        </w:rPr>
        <w:tab/>
        <w:t>4,396</w:t>
      </w:r>
    </w:p>
    <w:p w14:paraId="63AD44B0"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b/>
        </w:rPr>
      </w:pPr>
      <w:r w:rsidRPr="009A0DA6">
        <w:rPr>
          <w:rFonts w:ascii="Cambria" w:hAnsi="Cambria" w:cstheme="minorHAnsi"/>
          <w:b/>
        </w:rPr>
        <w:t>Closing balance 31 December 2017</w:t>
      </w:r>
      <w:r w:rsidRPr="009A0DA6">
        <w:rPr>
          <w:rFonts w:ascii="Cambria" w:hAnsi="Cambria" w:cstheme="minorHAnsi"/>
          <w:b/>
        </w:rPr>
        <w:tab/>
        <w:t>$142,141</w:t>
      </w:r>
      <w:r w:rsidRPr="009A0DA6">
        <w:rPr>
          <w:rFonts w:ascii="Cambria" w:hAnsi="Cambria" w:cstheme="minorHAnsi"/>
          <w:b/>
        </w:rPr>
        <w:tab/>
      </w:r>
      <w:r w:rsidRPr="009A0DA6">
        <w:rPr>
          <w:rFonts w:ascii="Cambria" w:hAnsi="Cambria" w:cstheme="minorHAnsi"/>
          <w:b/>
          <w:spacing w:val="1"/>
          <w:u w:color="000000"/>
        </w:rPr>
        <w:t>$138</w:t>
      </w:r>
      <w:r w:rsidRPr="009A0DA6">
        <w:rPr>
          <w:rFonts w:ascii="Cambria" w:hAnsi="Cambria" w:cstheme="minorHAnsi"/>
          <w:b/>
          <w:spacing w:val="-2"/>
          <w:u w:color="000000"/>
        </w:rPr>
        <w:t>,</w:t>
      </w:r>
      <w:r w:rsidRPr="009A0DA6">
        <w:rPr>
          <w:rFonts w:ascii="Cambria" w:hAnsi="Cambria" w:cstheme="minorHAnsi"/>
          <w:b/>
          <w:spacing w:val="1"/>
          <w:u w:color="000000"/>
        </w:rPr>
        <w:t>50</w:t>
      </w:r>
      <w:r w:rsidRPr="009A0DA6">
        <w:rPr>
          <w:rFonts w:ascii="Cambria" w:hAnsi="Cambria" w:cstheme="minorHAnsi"/>
          <w:b/>
          <w:u w:color="000000"/>
        </w:rPr>
        <w:t>2</w:t>
      </w:r>
      <w:r w:rsidRPr="009A0DA6">
        <w:rPr>
          <w:rFonts w:ascii="Cambria" w:hAnsi="Cambria" w:cstheme="minorHAnsi"/>
          <w:b/>
        </w:rPr>
        <w:tab/>
        <w:t>$134,623</w:t>
      </w:r>
    </w:p>
    <w:p w14:paraId="0930F8DF" w14:textId="77777777" w:rsidR="00930400" w:rsidRPr="009A0DA6" w:rsidRDefault="00930400" w:rsidP="00930400">
      <w:pPr>
        <w:tabs>
          <w:tab w:val="right" w:pos="5954"/>
          <w:tab w:val="right" w:pos="7371"/>
          <w:tab w:val="right" w:pos="8789"/>
        </w:tabs>
        <w:spacing w:before="120" w:after="120" w:line="240" w:lineRule="auto"/>
        <w:contextualSpacing/>
        <w:jc w:val="center"/>
        <w:rPr>
          <w:rFonts w:ascii="Cambria" w:hAnsi="Cambria" w:cstheme="minorHAnsi"/>
        </w:rPr>
      </w:pPr>
    </w:p>
    <w:p w14:paraId="36C829D3"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b/>
        </w:rPr>
      </w:pPr>
      <w:r w:rsidRPr="009A0DA6">
        <w:rPr>
          <w:rFonts w:ascii="Cambria" w:hAnsi="Cambria" w:cstheme="minorHAnsi"/>
          <w:b/>
        </w:rPr>
        <w:t xml:space="preserve">Net value of Accumulated Funds and Reserves </w:t>
      </w:r>
      <w:r w:rsidRPr="009A0DA6">
        <w:rPr>
          <w:rFonts w:ascii="Cambria" w:hAnsi="Cambria" w:cstheme="minorHAnsi"/>
          <w:b/>
        </w:rPr>
        <w:tab/>
        <w:t>$52,085</w:t>
      </w:r>
      <w:r w:rsidRPr="009A0DA6">
        <w:rPr>
          <w:rFonts w:ascii="Cambria" w:hAnsi="Cambria" w:cstheme="minorHAnsi"/>
          <w:b/>
        </w:rPr>
        <w:tab/>
        <w:t>$81,554</w:t>
      </w:r>
      <w:r w:rsidRPr="009A0DA6">
        <w:rPr>
          <w:rFonts w:ascii="Cambria" w:hAnsi="Cambria" w:cstheme="minorHAnsi"/>
          <w:b/>
        </w:rPr>
        <w:tab/>
        <w:t>$100,766</w:t>
      </w:r>
    </w:p>
    <w:p w14:paraId="7508B67E" w14:textId="5AF4AE22" w:rsidR="00930400" w:rsidRDefault="00930400" w:rsidP="00964A90">
      <w:pPr>
        <w:pStyle w:val="Heading3"/>
        <w:rPr>
          <w:highlight w:val="red"/>
        </w:rPr>
      </w:pPr>
    </w:p>
    <w:p w14:paraId="77C92650" w14:textId="7ACFD4B4" w:rsidR="00930400" w:rsidRDefault="00930400" w:rsidP="00930400">
      <w:pPr>
        <w:pStyle w:val="NoSpacing"/>
        <w:rPr>
          <w:highlight w:val="red"/>
        </w:rPr>
      </w:pPr>
    </w:p>
    <w:p w14:paraId="121FF128" w14:textId="6E73576E" w:rsidR="00930400" w:rsidRDefault="00930400" w:rsidP="00930400">
      <w:pPr>
        <w:pStyle w:val="NoSpacing"/>
        <w:rPr>
          <w:highlight w:val="red"/>
        </w:rPr>
      </w:pPr>
    </w:p>
    <w:p w14:paraId="03866D1C" w14:textId="77777777" w:rsidR="00DE6169" w:rsidRDefault="00DE6169">
      <w:pPr>
        <w:rPr>
          <w:rFonts w:ascii="Cambria" w:eastAsiaTheme="majorEastAsia" w:hAnsi="Cambria" w:cstheme="majorBidi"/>
          <w:b/>
          <w:caps/>
          <w:sz w:val="28"/>
          <w:szCs w:val="24"/>
        </w:rPr>
      </w:pPr>
      <w:r>
        <w:br w:type="page"/>
      </w:r>
    </w:p>
    <w:p w14:paraId="1DFE57CD" w14:textId="3F503823" w:rsidR="00930400" w:rsidRPr="009A0DA6" w:rsidRDefault="00930400" w:rsidP="00930400">
      <w:pPr>
        <w:pStyle w:val="Heading3"/>
      </w:pPr>
      <w:r w:rsidRPr="009A0DA6">
        <w:lastRenderedPageBreak/>
        <w:t>agenda 5.1</w:t>
      </w:r>
    </w:p>
    <w:p w14:paraId="417B28BE" w14:textId="77777777" w:rsidR="00930400" w:rsidRPr="009A0DA6" w:rsidRDefault="00930400" w:rsidP="00930400">
      <w:pPr>
        <w:pStyle w:val="Heading2"/>
      </w:pPr>
      <w:bookmarkStart w:id="479" w:name="_Toc521954730"/>
      <w:r w:rsidRPr="009A0DA6">
        <w:t>Board for Local Mission</w:t>
      </w:r>
      <w:bookmarkEnd w:id="479"/>
    </w:p>
    <w:p w14:paraId="2CD6CFA0" w14:textId="77777777" w:rsidR="00930400" w:rsidRPr="009A0DA6" w:rsidRDefault="00930400" w:rsidP="00930400">
      <w:pPr>
        <w:pStyle w:val="NoSpacing"/>
      </w:pPr>
    </w:p>
    <w:p w14:paraId="47E7F55B" w14:textId="77777777" w:rsidR="00930400" w:rsidRPr="009A0DA6" w:rsidRDefault="00930400" w:rsidP="00930400">
      <w:pPr>
        <w:pStyle w:val="Heading3"/>
      </w:pPr>
      <w:r w:rsidRPr="009A0DA6">
        <w:t>List of members</w:t>
      </w:r>
    </w:p>
    <w:p w14:paraId="28BC81CC" w14:textId="7599CF29" w:rsidR="00930400" w:rsidRPr="009A0DA6" w:rsidRDefault="00930400" w:rsidP="00930400">
      <w:pPr>
        <w:spacing w:before="120" w:after="120" w:line="240" w:lineRule="auto"/>
        <w:contextualSpacing/>
        <w:rPr>
          <w:rFonts w:ascii="Cambria" w:hAnsi="Cambria"/>
          <w:b/>
        </w:rPr>
      </w:pPr>
      <w:r w:rsidRPr="009A0DA6">
        <w:rPr>
          <w:rFonts w:ascii="Cambria" w:hAnsi="Cambria"/>
          <w:b/>
        </w:rPr>
        <w:t>Board for Lutheran Aged Care Australia (Jan</w:t>
      </w:r>
      <w:r w:rsidR="00766B14">
        <w:rPr>
          <w:rFonts w:ascii="Cambria" w:hAnsi="Cambria"/>
          <w:b/>
        </w:rPr>
        <w:t>uary</w:t>
      </w:r>
      <w:r w:rsidRPr="009A0DA6">
        <w:rPr>
          <w:rFonts w:ascii="Cambria" w:hAnsi="Cambria"/>
          <w:b/>
        </w:rPr>
        <w:t xml:space="preserve"> 2015</w:t>
      </w:r>
      <w:r w:rsidR="00766B14">
        <w:rPr>
          <w:rFonts w:ascii="Cambria" w:hAnsi="Cambria"/>
          <w:b/>
        </w:rPr>
        <w:sym w:font="Symbol" w:char="F02D"/>
      </w:r>
      <w:r w:rsidRPr="009A0DA6">
        <w:rPr>
          <w:rFonts w:ascii="Cambria" w:hAnsi="Cambria"/>
          <w:b/>
        </w:rPr>
        <w:t>May 2016)</w:t>
      </w:r>
    </w:p>
    <w:p w14:paraId="62CC2B80" w14:textId="77777777" w:rsidR="00930400" w:rsidRPr="009A0DA6" w:rsidRDefault="00930400" w:rsidP="00930400">
      <w:pPr>
        <w:spacing w:before="120" w:after="120" w:line="240" w:lineRule="auto"/>
        <w:contextualSpacing/>
        <w:rPr>
          <w:rFonts w:ascii="Cambria" w:hAnsi="Cambria"/>
        </w:rPr>
      </w:pPr>
      <w:r w:rsidRPr="009A0DA6">
        <w:rPr>
          <w:rFonts w:ascii="Cambria" w:hAnsi="Cambria"/>
        </w:rPr>
        <w:t>Richard Bartholomaeus, Colleen Fitzpatrick, Brigit Goetz, Matt Johns, Jacquie Kelly, Paul Semmler, Gordon Wegener</w:t>
      </w:r>
    </w:p>
    <w:p w14:paraId="4DADB6C6" w14:textId="77777777" w:rsidR="00930400" w:rsidRPr="009A0DA6" w:rsidRDefault="00930400" w:rsidP="00930400">
      <w:pPr>
        <w:spacing w:before="120" w:after="120" w:line="240" w:lineRule="auto"/>
        <w:contextualSpacing/>
        <w:rPr>
          <w:rFonts w:ascii="Cambria" w:hAnsi="Cambria"/>
          <w:b/>
        </w:rPr>
      </w:pPr>
    </w:p>
    <w:p w14:paraId="1C49ABA4" w14:textId="761BFE9C" w:rsidR="00930400" w:rsidRPr="009A0DA6" w:rsidRDefault="00930400" w:rsidP="00930400">
      <w:pPr>
        <w:spacing w:before="120" w:after="120" w:line="240" w:lineRule="auto"/>
        <w:contextualSpacing/>
        <w:rPr>
          <w:rFonts w:ascii="Cambria" w:hAnsi="Cambria"/>
          <w:b/>
        </w:rPr>
      </w:pPr>
      <w:r w:rsidRPr="009A0DA6">
        <w:rPr>
          <w:rFonts w:ascii="Cambria" w:hAnsi="Cambria"/>
          <w:b/>
          <w:i/>
        </w:rPr>
        <w:t xml:space="preserve">Interim </w:t>
      </w:r>
      <w:r w:rsidRPr="009A0DA6">
        <w:rPr>
          <w:rFonts w:ascii="Cambria" w:hAnsi="Cambria"/>
          <w:b/>
        </w:rPr>
        <w:t>Board for Local Mission (Jan</w:t>
      </w:r>
      <w:r w:rsidR="00766B14">
        <w:rPr>
          <w:rFonts w:ascii="Cambria" w:hAnsi="Cambria"/>
          <w:b/>
        </w:rPr>
        <w:t>uary</w:t>
      </w:r>
      <w:r w:rsidRPr="009A0DA6">
        <w:rPr>
          <w:rFonts w:ascii="Cambria" w:hAnsi="Cambria"/>
          <w:b/>
        </w:rPr>
        <w:t xml:space="preserve"> 2015</w:t>
      </w:r>
      <w:r w:rsidR="00766B14">
        <w:rPr>
          <w:rFonts w:ascii="Cambria" w:hAnsi="Cambria"/>
          <w:b/>
        </w:rPr>
        <w:sym w:font="Symbol" w:char="F02D"/>
      </w:r>
      <w:r w:rsidRPr="009A0DA6">
        <w:rPr>
          <w:rFonts w:ascii="Cambria" w:hAnsi="Cambria"/>
          <w:b/>
        </w:rPr>
        <w:t>Mar</w:t>
      </w:r>
      <w:r w:rsidR="00766B14">
        <w:rPr>
          <w:rFonts w:ascii="Cambria" w:hAnsi="Cambria"/>
          <w:b/>
        </w:rPr>
        <w:t>ch</w:t>
      </w:r>
      <w:r w:rsidRPr="009A0DA6">
        <w:rPr>
          <w:rFonts w:ascii="Cambria" w:hAnsi="Cambria"/>
          <w:b/>
        </w:rPr>
        <w:t xml:space="preserve"> 2017)</w:t>
      </w:r>
      <w:r w:rsidRPr="009A0DA6">
        <w:rPr>
          <w:rFonts w:ascii="Cambria" w:hAnsi="Cambria"/>
          <w:b/>
        </w:rPr>
        <w:tab/>
      </w:r>
    </w:p>
    <w:p w14:paraId="514A60A9" w14:textId="36936D0D" w:rsidR="00930400" w:rsidRPr="009A0DA6" w:rsidRDefault="00930400" w:rsidP="00930400">
      <w:pPr>
        <w:spacing w:before="120" w:after="120" w:line="240" w:lineRule="auto"/>
        <w:contextualSpacing/>
        <w:rPr>
          <w:rFonts w:ascii="Cambria" w:hAnsi="Cambria"/>
          <w:b/>
        </w:rPr>
      </w:pPr>
      <w:r w:rsidRPr="009A0DA6">
        <w:rPr>
          <w:rFonts w:ascii="Cambria" w:hAnsi="Cambria"/>
        </w:rPr>
        <w:t>David Altus, Robert Edwards, Sophie Gerrie, Nathan Hedt</w:t>
      </w:r>
      <w:r w:rsidRPr="009A0DA6">
        <w:rPr>
          <w:rFonts w:ascii="Cambria" w:hAnsi="Cambria"/>
          <w:b/>
        </w:rPr>
        <w:t xml:space="preserve">, </w:t>
      </w:r>
      <w:r w:rsidRPr="009A0DA6">
        <w:rPr>
          <w:rFonts w:ascii="Cambria" w:hAnsi="Cambria"/>
        </w:rPr>
        <w:t>John Henderson (ex officio), Brett Kennett, Carolyn Niewand, Steen Olsen, John O’Keefe, Ian Pertzel, Mark Whitfield</w:t>
      </w:r>
      <w:r w:rsidR="00766B14">
        <w:rPr>
          <w:rFonts w:ascii="Cambria" w:hAnsi="Cambria"/>
        </w:rPr>
        <w:t>,</w:t>
      </w:r>
      <w:r w:rsidRPr="009A0DA6">
        <w:rPr>
          <w:rFonts w:ascii="Cambria" w:hAnsi="Cambria"/>
        </w:rPr>
        <w:t xml:space="preserve"> </w:t>
      </w:r>
      <w:r w:rsidR="00766B14" w:rsidRPr="009A0DA6">
        <w:rPr>
          <w:rFonts w:ascii="Cambria" w:hAnsi="Cambria"/>
        </w:rPr>
        <w:t>Geo</w:t>
      </w:r>
      <w:r w:rsidRPr="009A0DA6">
        <w:rPr>
          <w:rFonts w:ascii="Cambria" w:hAnsi="Cambria"/>
        </w:rPr>
        <w:t>rgina Preston, Danielle Robinson, Mark Schultz, Luke Spilsbury Monika Tropiano (Chair)</w:t>
      </w:r>
    </w:p>
    <w:p w14:paraId="2D6B0212" w14:textId="77777777" w:rsidR="00930400" w:rsidRPr="009A0DA6" w:rsidRDefault="00930400" w:rsidP="00930400">
      <w:pPr>
        <w:tabs>
          <w:tab w:val="left" w:pos="3048"/>
          <w:tab w:val="left" w:pos="6043"/>
        </w:tabs>
        <w:spacing w:before="120" w:after="120" w:line="240" w:lineRule="auto"/>
        <w:contextualSpacing/>
        <w:rPr>
          <w:rFonts w:ascii="Cambria" w:hAnsi="Cambria"/>
          <w:b/>
        </w:rPr>
      </w:pPr>
    </w:p>
    <w:p w14:paraId="7D3B3BBC" w14:textId="1FC62DA5" w:rsidR="00930400" w:rsidRPr="009A0DA6" w:rsidRDefault="00930400" w:rsidP="00930400">
      <w:pPr>
        <w:tabs>
          <w:tab w:val="left" w:pos="3048"/>
          <w:tab w:val="left" w:pos="6043"/>
        </w:tabs>
        <w:spacing w:before="120" w:after="120" w:line="240" w:lineRule="auto"/>
        <w:contextualSpacing/>
        <w:rPr>
          <w:rFonts w:ascii="Cambria" w:hAnsi="Cambria"/>
          <w:b/>
        </w:rPr>
      </w:pPr>
      <w:r w:rsidRPr="009A0DA6">
        <w:rPr>
          <w:rFonts w:ascii="Cambria" w:hAnsi="Cambria"/>
          <w:b/>
        </w:rPr>
        <w:t>(Mar</w:t>
      </w:r>
      <w:r w:rsidR="00766B14">
        <w:rPr>
          <w:rFonts w:ascii="Cambria" w:hAnsi="Cambria"/>
          <w:b/>
        </w:rPr>
        <w:t>ch</w:t>
      </w:r>
      <w:r w:rsidRPr="009A0DA6">
        <w:rPr>
          <w:rFonts w:ascii="Cambria" w:hAnsi="Cambria"/>
          <w:b/>
        </w:rPr>
        <w:t xml:space="preserve"> 2017</w:t>
      </w:r>
      <w:r w:rsidR="00766B14">
        <w:rPr>
          <w:rFonts w:ascii="Cambria" w:hAnsi="Cambria"/>
          <w:b/>
        </w:rPr>
        <w:sym w:font="Symbol" w:char="F02D"/>
      </w:r>
      <w:r w:rsidRPr="009A0DA6">
        <w:rPr>
          <w:rFonts w:ascii="Cambria" w:hAnsi="Cambria"/>
          <w:b/>
        </w:rPr>
        <w:t xml:space="preserve"> present)</w:t>
      </w:r>
    </w:p>
    <w:p w14:paraId="646F9B46" w14:textId="050753D3" w:rsidR="00930400" w:rsidRPr="009A0DA6" w:rsidRDefault="00930400" w:rsidP="00930400">
      <w:pPr>
        <w:tabs>
          <w:tab w:val="left" w:pos="3048"/>
          <w:tab w:val="left" w:pos="6043"/>
        </w:tabs>
        <w:spacing w:before="120" w:after="120" w:line="240" w:lineRule="auto"/>
        <w:contextualSpacing/>
        <w:rPr>
          <w:rFonts w:ascii="Cambria" w:hAnsi="Cambria"/>
        </w:rPr>
      </w:pPr>
      <w:r w:rsidRPr="009A0DA6">
        <w:rPr>
          <w:rFonts w:ascii="Cambria" w:hAnsi="Cambria"/>
        </w:rPr>
        <w:t>Matthew Bishop, John Henderson (ex officio)</w:t>
      </w:r>
      <w:r w:rsidRPr="009A0DA6">
        <w:rPr>
          <w:rFonts w:ascii="Cambria" w:hAnsi="Cambria"/>
          <w:b/>
        </w:rPr>
        <w:t xml:space="preserve">, </w:t>
      </w:r>
      <w:r w:rsidRPr="009A0DA6">
        <w:rPr>
          <w:rFonts w:ascii="Cambria" w:hAnsi="Cambria"/>
        </w:rPr>
        <w:t>Des Kalisch</w:t>
      </w:r>
      <w:r w:rsidRPr="009A0DA6">
        <w:rPr>
          <w:rFonts w:ascii="Cambria" w:hAnsi="Cambria"/>
          <w:b/>
        </w:rPr>
        <w:t xml:space="preserve">, </w:t>
      </w:r>
      <w:r w:rsidRPr="009A0DA6">
        <w:rPr>
          <w:rFonts w:ascii="Cambria" w:hAnsi="Cambria"/>
        </w:rPr>
        <w:t>Robyn Oatey, Danielle Robinson, Monika Tropiano (Chair), Sonia Weidenbach</w:t>
      </w:r>
      <w:r w:rsidR="0009771E">
        <w:rPr>
          <w:rFonts w:ascii="Cambria" w:hAnsi="Cambria"/>
        </w:rPr>
        <w:t>, Tania Nelson (Consultant)</w:t>
      </w:r>
    </w:p>
    <w:p w14:paraId="28A4AF90" w14:textId="77777777" w:rsidR="00930400" w:rsidRPr="009A0DA6" w:rsidRDefault="00930400" w:rsidP="00930400">
      <w:pPr>
        <w:tabs>
          <w:tab w:val="left" w:pos="3048"/>
          <w:tab w:val="left" w:pos="6043"/>
        </w:tabs>
        <w:spacing w:before="120" w:after="120" w:line="240" w:lineRule="auto"/>
        <w:contextualSpacing/>
        <w:rPr>
          <w:rFonts w:ascii="Cambria" w:hAnsi="Cambria"/>
        </w:rPr>
      </w:pPr>
    </w:p>
    <w:p w14:paraId="50EFE6B3" w14:textId="77777777" w:rsidR="00930400" w:rsidRPr="009A0DA6" w:rsidRDefault="00930400" w:rsidP="00930400">
      <w:pPr>
        <w:pStyle w:val="Heading3"/>
        <w:rPr>
          <w:rFonts w:cs="Arial"/>
          <w:i/>
        </w:rPr>
      </w:pPr>
      <w:r w:rsidRPr="009A0DA6">
        <w:t>Background</w:t>
      </w:r>
    </w:p>
    <w:p w14:paraId="1E72547F" w14:textId="77777777" w:rsidR="00930400" w:rsidRPr="009A0DA6" w:rsidRDefault="00930400" w:rsidP="00930400">
      <w:pPr>
        <w:spacing w:before="120" w:after="120" w:line="240" w:lineRule="auto"/>
        <w:contextualSpacing/>
        <w:rPr>
          <w:rFonts w:ascii="Cambria" w:hAnsi="Cambria"/>
        </w:rPr>
      </w:pPr>
      <w:r w:rsidRPr="009A0DA6">
        <w:rPr>
          <w:rFonts w:ascii="Cambria" w:hAnsi="Cambria"/>
        </w:rPr>
        <w:t>The Board for Local Mission was established, in March 2017, as part of the trial restructure of the governance of national church functions. LCA Local Mission includes the following departments:</w:t>
      </w:r>
    </w:p>
    <w:p w14:paraId="23203C18" w14:textId="77777777" w:rsidR="00930400" w:rsidRPr="009A0DA6" w:rsidRDefault="00930400" w:rsidP="00F55252">
      <w:pPr>
        <w:pStyle w:val="ListParagraph"/>
        <w:numPr>
          <w:ilvl w:val="0"/>
          <w:numId w:val="180"/>
        </w:numPr>
        <w:spacing w:before="120" w:after="120" w:line="240" w:lineRule="auto"/>
        <w:ind w:left="567" w:hanging="567"/>
        <w:rPr>
          <w:rFonts w:ascii="Cambria" w:hAnsi="Cambria"/>
        </w:rPr>
      </w:pPr>
      <w:r w:rsidRPr="009A0DA6">
        <w:rPr>
          <w:rFonts w:ascii="Cambria" w:hAnsi="Cambria"/>
        </w:rPr>
        <w:t>Child Youth and Family Ministry</w:t>
      </w:r>
    </w:p>
    <w:p w14:paraId="26AE21CA" w14:textId="77777777" w:rsidR="00930400" w:rsidRPr="009A0DA6" w:rsidRDefault="00930400" w:rsidP="00F55252">
      <w:pPr>
        <w:pStyle w:val="ListParagraph"/>
        <w:numPr>
          <w:ilvl w:val="0"/>
          <w:numId w:val="180"/>
        </w:numPr>
        <w:spacing w:before="120" w:after="120" w:line="240" w:lineRule="auto"/>
        <w:ind w:left="567" w:hanging="567"/>
        <w:rPr>
          <w:rFonts w:ascii="Cambria" w:hAnsi="Cambria"/>
        </w:rPr>
      </w:pPr>
      <w:r w:rsidRPr="009A0DA6">
        <w:rPr>
          <w:rFonts w:ascii="Cambria" w:hAnsi="Cambria"/>
        </w:rPr>
        <w:t>Cross-Cultural Ministry</w:t>
      </w:r>
    </w:p>
    <w:p w14:paraId="0152F749" w14:textId="77777777" w:rsidR="00930400" w:rsidRPr="009A0DA6" w:rsidRDefault="00930400" w:rsidP="00F55252">
      <w:pPr>
        <w:pStyle w:val="ListParagraph"/>
        <w:numPr>
          <w:ilvl w:val="0"/>
          <w:numId w:val="180"/>
        </w:numPr>
        <w:spacing w:before="120" w:after="120" w:line="240" w:lineRule="auto"/>
        <w:ind w:left="567" w:hanging="567"/>
        <w:rPr>
          <w:rFonts w:ascii="Cambria" w:hAnsi="Cambria"/>
        </w:rPr>
      </w:pPr>
      <w:r w:rsidRPr="009A0DA6">
        <w:rPr>
          <w:rFonts w:ascii="Cambria" w:hAnsi="Cambria"/>
        </w:rPr>
        <w:t>Lutheran Media</w:t>
      </w:r>
    </w:p>
    <w:p w14:paraId="66E56822" w14:textId="77777777" w:rsidR="00930400" w:rsidRPr="009A0DA6" w:rsidRDefault="00930400" w:rsidP="00F55252">
      <w:pPr>
        <w:pStyle w:val="ListParagraph"/>
        <w:numPr>
          <w:ilvl w:val="0"/>
          <w:numId w:val="180"/>
        </w:numPr>
        <w:spacing w:before="120" w:after="120" w:line="240" w:lineRule="auto"/>
        <w:ind w:left="567" w:hanging="567"/>
        <w:rPr>
          <w:rFonts w:ascii="Cambria" w:hAnsi="Cambria"/>
        </w:rPr>
      </w:pPr>
      <w:r w:rsidRPr="009A0DA6">
        <w:rPr>
          <w:rFonts w:ascii="Cambria" w:hAnsi="Cambria"/>
        </w:rPr>
        <w:t>Ministry with the Ageing</w:t>
      </w:r>
    </w:p>
    <w:p w14:paraId="09D8DE89" w14:textId="77777777" w:rsidR="00930400" w:rsidRPr="009A0DA6" w:rsidRDefault="00930400" w:rsidP="00F55252">
      <w:pPr>
        <w:pStyle w:val="ListParagraph"/>
        <w:numPr>
          <w:ilvl w:val="0"/>
          <w:numId w:val="180"/>
        </w:numPr>
        <w:spacing w:before="120" w:after="120" w:line="240" w:lineRule="auto"/>
        <w:ind w:left="567" w:hanging="567"/>
        <w:rPr>
          <w:rFonts w:ascii="Cambria" w:hAnsi="Cambria"/>
        </w:rPr>
      </w:pPr>
      <w:r w:rsidRPr="009A0DA6">
        <w:rPr>
          <w:rFonts w:ascii="Cambria" w:hAnsi="Cambria"/>
        </w:rPr>
        <w:t>New and Renewing Churches</w:t>
      </w:r>
    </w:p>
    <w:p w14:paraId="5FDDE836" w14:textId="77777777" w:rsidR="00930400" w:rsidRPr="009A0DA6" w:rsidRDefault="00930400" w:rsidP="00930400">
      <w:pPr>
        <w:spacing w:before="120" w:after="120" w:line="240" w:lineRule="auto"/>
        <w:contextualSpacing/>
        <w:rPr>
          <w:rFonts w:ascii="Cambria" w:hAnsi="Cambria"/>
        </w:rPr>
      </w:pPr>
      <w:r w:rsidRPr="009A0DA6">
        <w:rPr>
          <w:rFonts w:ascii="Cambria" w:hAnsi="Cambria"/>
        </w:rPr>
        <w:t>The Board provides governance oversight of these departments in conjunction with its advisory committees:</w:t>
      </w:r>
    </w:p>
    <w:p w14:paraId="5F225388" w14:textId="77777777" w:rsidR="00930400" w:rsidRPr="009A0DA6" w:rsidRDefault="00930400" w:rsidP="00F55252">
      <w:pPr>
        <w:pStyle w:val="ListParagraph"/>
        <w:numPr>
          <w:ilvl w:val="0"/>
          <w:numId w:val="181"/>
        </w:numPr>
        <w:spacing w:before="120" w:after="120" w:line="240" w:lineRule="auto"/>
        <w:ind w:left="567" w:hanging="567"/>
        <w:rPr>
          <w:rFonts w:ascii="Cambria" w:hAnsi="Cambria"/>
        </w:rPr>
      </w:pPr>
      <w:r w:rsidRPr="009A0DA6">
        <w:rPr>
          <w:rFonts w:ascii="Cambria" w:hAnsi="Cambria"/>
        </w:rPr>
        <w:t>Committee for Child Youth and Family Ministry</w:t>
      </w:r>
    </w:p>
    <w:p w14:paraId="42EB622C" w14:textId="77777777" w:rsidR="00930400" w:rsidRPr="009A0DA6" w:rsidRDefault="00930400" w:rsidP="00F55252">
      <w:pPr>
        <w:pStyle w:val="ListParagraph"/>
        <w:numPr>
          <w:ilvl w:val="0"/>
          <w:numId w:val="181"/>
        </w:numPr>
        <w:spacing w:before="120" w:after="120" w:line="240" w:lineRule="auto"/>
        <w:ind w:left="567" w:hanging="567"/>
        <w:rPr>
          <w:rFonts w:ascii="Cambria" w:hAnsi="Cambria"/>
        </w:rPr>
      </w:pPr>
      <w:r w:rsidRPr="009A0DA6">
        <w:rPr>
          <w:rFonts w:ascii="Cambria" w:hAnsi="Cambria"/>
        </w:rPr>
        <w:t>Committee for Cross-Cultural Ministry</w:t>
      </w:r>
    </w:p>
    <w:p w14:paraId="5B21FCB0" w14:textId="77777777" w:rsidR="00930400" w:rsidRPr="009A0DA6" w:rsidRDefault="00930400" w:rsidP="00F55252">
      <w:pPr>
        <w:pStyle w:val="ListParagraph"/>
        <w:numPr>
          <w:ilvl w:val="0"/>
          <w:numId w:val="181"/>
        </w:numPr>
        <w:spacing w:before="120" w:after="120" w:line="240" w:lineRule="auto"/>
        <w:ind w:left="567" w:hanging="567"/>
        <w:rPr>
          <w:rFonts w:ascii="Cambria" w:hAnsi="Cambria"/>
        </w:rPr>
      </w:pPr>
      <w:r w:rsidRPr="009A0DA6">
        <w:rPr>
          <w:rFonts w:ascii="Cambria" w:hAnsi="Cambria"/>
        </w:rPr>
        <w:t>Committee for Lutheran Media</w:t>
      </w:r>
    </w:p>
    <w:p w14:paraId="41E7C973" w14:textId="77777777" w:rsidR="00930400" w:rsidRPr="009A0DA6" w:rsidRDefault="00930400" w:rsidP="00F55252">
      <w:pPr>
        <w:pStyle w:val="ListParagraph"/>
        <w:numPr>
          <w:ilvl w:val="0"/>
          <w:numId w:val="181"/>
        </w:numPr>
        <w:spacing w:before="120" w:after="120" w:line="240" w:lineRule="auto"/>
        <w:ind w:left="567" w:hanging="567"/>
        <w:rPr>
          <w:rFonts w:ascii="Cambria" w:hAnsi="Cambria"/>
        </w:rPr>
      </w:pPr>
      <w:r w:rsidRPr="009A0DA6">
        <w:rPr>
          <w:rFonts w:ascii="Cambria" w:hAnsi="Cambria"/>
        </w:rPr>
        <w:t>Committee for Ministry with the Ageing</w:t>
      </w:r>
    </w:p>
    <w:p w14:paraId="74280EA0" w14:textId="77777777" w:rsidR="00930400" w:rsidRPr="009A0DA6" w:rsidRDefault="00930400" w:rsidP="00F55252">
      <w:pPr>
        <w:pStyle w:val="ListParagraph"/>
        <w:numPr>
          <w:ilvl w:val="0"/>
          <w:numId w:val="181"/>
        </w:numPr>
        <w:spacing w:before="120" w:after="120" w:line="240" w:lineRule="auto"/>
        <w:ind w:left="567" w:hanging="567"/>
        <w:rPr>
          <w:rFonts w:ascii="Cambria" w:hAnsi="Cambria"/>
        </w:rPr>
      </w:pPr>
      <w:r w:rsidRPr="009A0DA6">
        <w:rPr>
          <w:rFonts w:ascii="Cambria" w:hAnsi="Cambria"/>
        </w:rPr>
        <w:t>Committee for New and Renewing Churches</w:t>
      </w:r>
    </w:p>
    <w:p w14:paraId="3FC605C3" w14:textId="77777777" w:rsidR="00930400" w:rsidRPr="009A0DA6" w:rsidRDefault="00930400" w:rsidP="00930400">
      <w:pPr>
        <w:pStyle w:val="ListParagraph"/>
        <w:spacing w:before="120" w:after="120" w:line="240" w:lineRule="auto"/>
        <w:ind w:left="0"/>
        <w:rPr>
          <w:rFonts w:ascii="Cambria" w:hAnsi="Cambria"/>
        </w:rPr>
      </w:pPr>
    </w:p>
    <w:p w14:paraId="2AD7EA93" w14:textId="77777777" w:rsidR="00930400" w:rsidRPr="009A0DA6" w:rsidRDefault="00930400" w:rsidP="00930400">
      <w:pPr>
        <w:pStyle w:val="ListParagraph"/>
        <w:spacing w:before="120" w:after="120" w:line="240" w:lineRule="auto"/>
        <w:ind w:left="0"/>
        <w:rPr>
          <w:rFonts w:ascii="Cambria" w:hAnsi="Cambria"/>
        </w:rPr>
      </w:pPr>
      <w:r w:rsidRPr="009A0DA6">
        <w:rPr>
          <w:rFonts w:ascii="Cambria" w:hAnsi="Cambria"/>
        </w:rPr>
        <w:t>Within this synodical period the following governance transitions occurred:</w:t>
      </w:r>
    </w:p>
    <w:p w14:paraId="384ECFFC" w14:textId="77777777" w:rsidR="00930400" w:rsidRPr="009A0DA6" w:rsidRDefault="00930400" w:rsidP="00F55252">
      <w:pPr>
        <w:pStyle w:val="ListParagraph"/>
        <w:numPr>
          <w:ilvl w:val="0"/>
          <w:numId w:val="182"/>
        </w:numPr>
        <w:spacing w:before="120" w:after="120" w:line="240" w:lineRule="auto"/>
        <w:ind w:left="567" w:hanging="567"/>
        <w:rPr>
          <w:rFonts w:ascii="Cambria" w:hAnsi="Cambria"/>
        </w:rPr>
      </w:pPr>
      <w:r w:rsidRPr="009A0DA6">
        <w:rPr>
          <w:rFonts w:ascii="Cambria" w:hAnsi="Cambria"/>
        </w:rPr>
        <w:t>Board for Child Youth and Family Ministry became a committee of the Board for Local Mission in 2017</w:t>
      </w:r>
    </w:p>
    <w:p w14:paraId="428DD46F" w14:textId="77777777" w:rsidR="00930400" w:rsidRPr="009A0DA6" w:rsidRDefault="00930400" w:rsidP="00F55252">
      <w:pPr>
        <w:pStyle w:val="ListParagraph"/>
        <w:numPr>
          <w:ilvl w:val="0"/>
          <w:numId w:val="182"/>
        </w:numPr>
        <w:spacing w:before="120" w:after="120" w:line="240" w:lineRule="auto"/>
        <w:ind w:left="567" w:hanging="567"/>
        <w:rPr>
          <w:rFonts w:ascii="Cambria" w:hAnsi="Cambria"/>
        </w:rPr>
      </w:pPr>
      <w:r w:rsidRPr="009A0DA6">
        <w:rPr>
          <w:rFonts w:ascii="Cambria" w:hAnsi="Cambria"/>
        </w:rPr>
        <w:t>Interim Board for Local Mission became two committees of the Board for Local Mission, namely Committee for Cross-Cultural Ministry and Committee for New and Renewing Churches in 2017</w:t>
      </w:r>
    </w:p>
    <w:p w14:paraId="561B70A7" w14:textId="77777777" w:rsidR="00930400" w:rsidRPr="009A0DA6" w:rsidRDefault="00930400" w:rsidP="00F55252">
      <w:pPr>
        <w:pStyle w:val="ListParagraph"/>
        <w:numPr>
          <w:ilvl w:val="0"/>
          <w:numId w:val="182"/>
        </w:numPr>
        <w:spacing w:before="120" w:after="120" w:line="240" w:lineRule="auto"/>
        <w:ind w:left="567" w:hanging="567"/>
        <w:rPr>
          <w:rFonts w:ascii="Cambria" w:hAnsi="Cambria"/>
        </w:rPr>
      </w:pPr>
      <w:r w:rsidRPr="009A0DA6">
        <w:rPr>
          <w:rFonts w:ascii="Cambria" w:hAnsi="Cambria"/>
        </w:rPr>
        <w:t>Board for Media Ministry became a committee of the Board for Local Mission in 2017</w:t>
      </w:r>
    </w:p>
    <w:p w14:paraId="75BD97B2" w14:textId="77777777" w:rsidR="00930400" w:rsidRPr="009A0DA6" w:rsidRDefault="00930400" w:rsidP="00F55252">
      <w:pPr>
        <w:pStyle w:val="ListParagraph"/>
        <w:numPr>
          <w:ilvl w:val="0"/>
          <w:numId w:val="182"/>
        </w:numPr>
        <w:spacing w:before="120" w:after="120" w:line="240" w:lineRule="auto"/>
        <w:ind w:left="567" w:hanging="567"/>
        <w:rPr>
          <w:rFonts w:ascii="Cambria" w:hAnsi="Cambria"/>
        </w:rPr>
      </w:pPr>
      <w:r w:rsidRPr="009A0DA6">
        <w:rPr>
          <w:rFonts w:ascii="Cambria" w:hAnsi="Cambria"/>
        </w:rPr>
        <w:t>Board for Lutheran Aged Care Australia became a committee of the Board for Local Mission in 2016.</w:t>
      </w:r>
    </w:p>
    <w:p w14:paraId="0571907D" w14:textId="77777777" w:rsidR="00930400" w:rsidRPr="009A0DA6" w:rsidRDefault="00930400" w:rsidP="00930400">
      <w:pPr>
        <w:pStyle w:val="Heading3"/>
      </w:pPr>
      <w:r w:rsidRPr="009A0DA6">
        <w:t>Achievement against Plan</w:t>
      </w:r>
    </w:p>
    <w:p w14:paraId="70C0B298" w14:textId="77777777" w:rsidR="00930400" w:rsidRPr="009A0DA6" w:rsidRDefault="00930400" w:rsidP="00930400">
      <w:pPr>
        <w:spacing w:before="120" w:after="120" w:line="240" w:lineRule="auto"/>
        <w:contextualSpacing/>
        <w:rPr>
          <w:rFonts w:ascii="Cambria" w:hAnsi="Cambria" w:cs="Arial"/>
        </w:rPr>
      </w:pPr>
      <w:r w:rsidRPr="009A0DA6">
        <w:rPr>
          <w:rFonts w:ascii="Cambria" w:hAnsi="Cambria" w:cs="Arial"/>
        </w:rPr>
        <w:t xml:space="preserve">The following achievements reflect the work of Cross-Cultural Ministry, Ministry with the Ageing, and New and Renewing Churches. The work of Grow Ministries and Lutheran Media is captured in the reports of the former Board for Child Youth and Family Ministry and the former Board for Media Ministry respectively. </w:t>
      </w:r>
    </w:p>
    <w:p w14:paraId="2B907159" w14:textId="77777777" w:rsidR="00930400" w:rsidRPr="009A0DA6" w:rsidRDefault="00930400" w:rsidP="00930400">
      <w:pPr>
        <w:spacing w:before="120" w:after="120" w:line="240" w:lineRule="auto"/>
        <w:contextualSpacing/>
        <w:rPr>
          <w:rFonts w:ascii="Cambria" w:hAnsi="Cambria" w:cs="Arial"/>
        </w:rPr>
      </w:pPr>
    </w:p>
    <w:p w14:paraId="5F592E2F" w14:textId="77777777" w:rsidR="00930400" w:rsidRPr="009A0DA6" w:rsidRDefault="00930400" w:rsidP="00930400">
      <w:pPr>
        <w:spacing w:before="120" w:after="120" w:line="240" w:lineRule="auto"/>
        <w:contextualSpacing/>
        <w:rPr>
          <w:rFonts w:ascii="Cambria" w:hAnsi="Cambria" w:cs="Arial"/>
          <w:b/>
        </w:rPr>
      </w:pPr>
      <w:r w:rsidRPr="009A0DA6">
        <w:rPr>
          <w:rFonts w:ascii="Cambria" w:hAnsi="Cambria" w:cs="Arial"/>
          <w:b/>
          <w:i/>
        </w:rPr>
        <w:lastRenderedPageBreak/>
        <w:t xml:space="preserve">Interim </w:t>
      </w:r>
      <w:r w:rsidRPr="009A0DA6">
        <w:rPr>
          <w:rFonts w:ascii="Cambria" w:hAnsi="Cambria" w:cs="Arial"/>
          <w:b/>
        </w:rPr>
        <w:t xml:space="preserve">Board for Local Mission, </w:t>
      </w:r>
      <w:r w:rsidRPr="009A0DA6">
        <w:rPr>
          <w:rFonts w:ascii="Cambria" w:hAnsi="Cambria" w:cs="Arial"/>
          <w:b/>
          <w:i/>
        </w:rPr>
        <w:t>former</w:t>
      </w:r>
      <w:r w:rsidRPr="009A0DA6">
        <w:rPr>
          <w:rFonts w:ascii="Cambria" w:hAnsi="Cambria" w:cs="Arial"/>
          <w:b/>
        </w:rPr>
        <w:t xml:space="preserve"> Board for Lutheran Aged Care Australia </w:t>
      </w:r>
      <w:r w:rsidRPr="009A0DA6">
        <w:rPr>
          <w:rFonts w:ascii="Cambria" w:hAnsi="Cambria" w:cs="Arial"/>
          <w:b/>
          <w:u w:val="single"/>
        </w:rPr>
        <w:t>and</w:t>
      </w:r>
      <w:r w:rsidRPr="009A0DA6">
        <w:rPr>
          <w:rFonts w:ascii="Cambria" w:hAnsi="Cambria" w:cs="Arial"/>
          <w:b/>
        </w:rPr>
        <w:t xml:space="preserve"> Board for Local Mission</w:t>
      </w:r>
    </w:p>
    <w:p w14:paraId="7B4DAC85" w14:textId="77777777" w:rsidR="00930400" w:rsidRPr="009A0DA6" w:rsidRDefault="00930400" w:rsidP="00930400">
      <w:pPr>
        <w:spacing w:before="120" w:after="120" w:line="240" w:lineRule="auto"/>
        <w:contextualSpacing/>
        <w:rPr>
          <w:rFonts w:ascii="Cambria" w:hAnsi="Cambria" w:cs="Arial"/>
        </w:rPr>
      </w:pPr>
      <w:r w:rsidRPr="009A0DA6">
        <w:rPr>
          <w:rFonts w:ascii="Cambria" w:hAnsi="Cambria" w:cs="Arial"/>
        </w:rPr>
        <w:t xml:space="preserve">Objective – Develop a passionate faith in individuals, families and communities shaped by a growing understanding of God’s Word, nurtured and sustained in prayer and worship. </w:t>
      </w:r>
      <w:r w:rsidRPr="009A0DA6">
        <w:rPr>
          <w:rFonts w:ascii="Cambria" w:hAnsi="Cambria" w:cs="Arial"/>
        </w:rPr>
        <w:br/>
        <w:t>(LCA strategic priority 1.1)</w:t>
      </w:r>
    </w:p>
    <w:p w14:paraId="6DE05649" w14:textId="77777777" w:rsidR="00930400" w:rsidRPr="009A0DA6" w:rsidRDefault="00930400" w:rsidP="00F55252">
      <w:pPr>
        <w:pStyle w:val="ListParagraph"/>
        <w:numPr>
          <w:ilvl w:val="0"/>
          <w:numId w:val="185"/>
        </w:numPr>
        <w:spacing w:before="120" w:after="120" w:line="240" w:lineRule="auto"/>
        <w:ind w:left="567" w:hanging="567"/>
        <w:rPr>
          <w:rFonts w:ascii="Cambria" w:hAnsi="Cambria" w:cs="Arial"/>
        </w:rPr>
      </w:pPr>
      <w:r w:rsidRPr="009A0DA6">
        <w:rPr>
          <w:rFonts w:ascii="Cambria" w:hAnsi="Cambria" w:cs="Arial"/>
        </w:rPr>
        <w:t>Activities/Outcomes - partner with congregations, encourage successful practitioners to work with apprentices, encourage the growth of mentoring, support the annual Lead Pastors retreat, create web-based and social media access to best-practice resources</w:t>
      </w:r>
      <w:r w:rsidRPr="009A0DA6">
        <w:rPr>
          <w:rFonts w:ascii="Cambria" w:hAnsi="Cambria" w:cs="Arial"/>
        </w:rPr>
        <w:br/>
      </w:r>
    </w:p>
    <w:p w14:paraId="525B24FB" w14:textId="77777777" w:rsidR="00930400" w:rsidRPr="009A0DA6" w:rsidRDefault="00930400" w:rsidP="00F55252">
      <w:pPr>
        <w:pStyle w:val="ListParagraph"/>
        <w:numPr>
          <w:ilvl w:val="0"/>
          <w:numId w:val="185"/>
        </w:numPr>
        <w:spacing w:before="120" w:after="120" w:line="240" w:lineRule="auto"/>
        <w:ind w:left="567" w:hanging="567"/>
        <w:rPr>
          <w:rFonts w:ascii="Cambria" w:hAnsi="Cambria" w:cs="Arial"/>
        </w:rPr>
      </w:pPr>
      <w:r w:rsidRPr="009A0DA6">
        <w:rPr>
          <w:rFonts w:ascii="Cambria" w:hAnsi="Cambria" w:cs="Arial"/>
        </w:rPr>
        <w:t>Achievements – eleven sending congregations supported; a Church Planting Mentor/Mission Facilitator employed who supports and mentors missional communities; support for Lead Pastors retreat; expansion of webpages; provision of resources based on best practice; formation of a One Loving God steering committee</w:t>
      </w:r>
    </w:p>
    <w:p w14:paraId="0DA691C5" w14:textId="77777777" w:rsidR="00930400" w:rsidRPr="009A0DA6" w:rsidRDefault="00930400" w:rsidP="00930400">
      <w:pPr>
        <w:spacing w:before="120" w:after="120" w:line="240" w:lineRule="auto"/>
        <w:contextualSpacing/>
        <w:rPr>
          <w:rFonts w:ascii="Cambria" w:hAnsi="Cambria" w:cs="Arial"/>
        </w:rPr>
      </w:pPr>
      <w:r w:rsidRPr="009A0DA6">
        <w:rPr>
          <w:rFonts w:ascii="Cambria" w:hAnsi="Cambria" w:cs="Arial"/>
        </w:rPr>
        <w:t xml:space="preserve">Objective – Develop a missional culture where individuals, families and communities are inspired, passionate and active in sharing the gospel in word and action. </w:t>
      </w:r>
      <w:r w:rsidRPr="009A0DA6">
        <w:rPr>
          <w:rFonts w:ascii="Cambria" w:hAnsi="Cambria" w:cs="Arial"/>
        </w:rPr>
        <w:br/>
        <w:t>(LCA strategic priority 2.1)</w:t>
      </w:r>
    </w:p>
    <w:p w14:paraId="4A32EB36" w14:textId="77777777" w:rsidR="00930400" w:rsidRPr="009A0DA6" w:rsidRDefault="00930400" w:rsidP="00F55252">
      <w:pPr>
        <w:pStyle w:val="ListParagraph"/>
        <w:numPr>
          <w:ilvl w:val="0"/>
          <w:numId w:val="186"/>
        </w:numPr>
        <w:spacing w:before="120" w:after="120" w:line="240" w:lineRule="auto"/>
        <w:ind w:left="567" w:hanging="567"/>
        <w:rPr>
          <w:rFonts w:ascii="Cambria" w:hAnsi="Cambria" w:cs="Arial"/>
        </w:rPr>
      </w:pPr>
      <w:r w:rsidRPr="009A0DA6">
        <w:rPr>
          <w:rFonts w:ascii="Cambria" w:hAnsi="Cambria" w:cs="Arial"/>
        </w:rPr>
        <w:t>Activities/Outcomes – study culture change in communities, develop a Lutheran understanding of mission, convene a gathering to develop a missional framework, promote the LCA strategic direction</w:t>
      </w:r>
      <w:r w:rsidRPr="009A0DA6">
        <w:rPr>
          <w:rFonts w:ascii="Cambria" w:hAnsi="Cambria" w:cs="Arial"/>
        </w:rPr>
        <w:br/>
      </w:r>
    </w:p>
    <w:p w14:paraId="1E765CBF" w14:textId="77777777" w:rsidR="00930400" w:rsidRPr="009A0DA6" w:rsidRDefault="00930400" w:rsidP="00F55252">
      <w:pPr>
        <w:pStyle w:val="ListParagraph"/>
        <w:numPr>
          <w:ilvl w:val="0"/>
          <w:numId w:val="186"/>
        </w:numPr>
        <w:spacing w:before="120" w:after="120" w:line="240" w:lineRule="auto"/>
        <w:ind w:left="567" w:hanging="567"/>
        <w:rPr>
          <w:rFonts w:ascii="Cambria" w:hAnsi="Cambria" w:cs="Arial"/>
        </w:rPr>
      </w:pPr>
      <w:r w:rsidRPr="009A0DA6">
        <w:rPr>
          <w:rFonts w:ascii="Cambria" w:hAnsi="Cambria" w:cs="Arial"/>
        </w:rPr>
        <w:t>Achievements – research conducted on church planting in other Christian traditions; publication of the interim board’s ‘Strategic Direction 2014-2015 and beyond’ which provides a basis for mission and promotes the LCA strategic direction, provision of training regarding relational evangelism</w:t>
      </w:r>
    </w:p>
    <w:p w14:paraId="3DD0D4F7" w14:textId="77777777" w:rsidR="00930400" w:rsidRPr="009A0DA6" w:rsidRDefault="00930400" w:rsidP="00930400">
      <w:pPr>
        <w:spacing w:before="120" w:after="120" w:line="240" w:lineRule="auto"/>
        <w:contextualSpacing/>
        <w:rPr>
          <w:rFonts w:ascii="Cambria" w:hAnsi="Cambria" w:cs="Arial"/>
        </w:rPr>
      </w:pPr>
      <w:r w:rsidRPr="009A0DA6">
        <w:rPr>
          <w:rFonts w:ascii="Cambria" w:hAnsi="Cambria" w:cs="Arial"/>
        </w:rPr>
        <w:t xml:space="preserve">Objective – Encourage strong missional-oriented leadership by supporting pastors, lay workers and other leaders to be effective ministers of Christ in a changing world. </w:t>
      </w:r>
    </w:p>
    <w:p w14:paraId="0F86EFCF" w14:textId="77777777" w:rsidR="00930400" w:rsidRPr="009A0DA6" w:rsidRDefault="00930400" w:rsidP="00930400">
      <w:pPr>
        <w:spacing w:before="120" w:after="120" w:line="240" w:lineRule="auto"/>
        <w:contextualSpacing/>
        <w:rPr>
          <w:rFonts w:ascii="Cambria" w:hAnsi="Cambria" w:cs="Arial"/>
        </w:rPr>
      </w:pPr>
      <w:r w:rsidRPr="009A0DA6">
        <w:rPr>
          <w:rFonts w:ascii="Cambria" w:hAnsi="Cambria" w:cs="Arial"/>
        </w:rPr>
        <w:t>(LCA strategic priority 2.2)</w:t>
      </w:r>
    </w:p>
    <w:p w14:paraId="46AA9724" w14:textId="77777777" w:rsidR="00930400" w:rsidRPr="009A0DA6" w:rsidRDefault="00930400" w:rsidP="00F55252">
      <w:pPr>
        <w:pStyle w:val="ListParagraph"/>
        <w:numPr>
          <w:ilvl w:val="0"/>
          <w:numId w:val="187"/>
        </w:numPr>
        <w:spacing w:before="120" w:after="120" w:line="240" w:lineRule="auto"/>
        <w:ind w:left="567" w:hanging="567"/>
        <w:rPr>
          <w:rFonts w:ascii="Cambria" w:hAnsi="Cambria" w:cs="Arial"/>
        </w:rPr>
      </w:pPr>
      <w:r w:rsidRPr="009A0DA6">
        <w:rPr>
          <w:rFonts w:ascii="Cambria" w:hAnsi="Cambria" w:cs="Arial"/>
        </w:rPr>
        <w:t>Activities/Outcomes – formation and training in church planting, identify leaders for church planting programs, monitor training of specific ministry pastors of ethnic communities, identify future pastors and leaders of African and Asian communities, provide resources, collaborate with other agencies</w:t>
      </w:r>
      <w:r w:rsidRPr="009A0DA6">
        <w:rPr>
          <w:rFonts w:ascii="Cambria" w:hAnsi="Cambria" w:cs="Arial"/>
        </w:rPr>
        <w:br/>
      </w:r>
    </w:p>
    <w:p w14:paraId="197509BC" w14:textId="77777777" w:rsidR="00930400" w:rsidRPr="009A0DA6" w:rsidRDefault="00930400" w:rsidP="00F55252">
      <w:pPr>
        <w:pStyle w:val="ListParagraph"/>
        <w:numPr>
          <w:ilvl w:val="0"/>
          <w:numId w:val="187"/>
        </w:numPr>
        <w:spacing w:before="120" w:after="120" w:line="240" w:lineRule="auto"/>
        <w:ind w:left="567" w:hanging="567"/>
        <w:rPr>
          <w:rFonts w:ascii="Cambria" w:hAnsi="Cambria" w:cs="Arial"/>
        </w:rPr>
      </w:pPr>
      <w:r w:rsidRPr="009A0DA6">
        <w:rPr>
          <w:rFonts w:ascii="Cambria" w:hAnsi="Cambria" w:cs="Arial"/>
        </w:rPr>
        <w:t>Achievements – local church planting leaders are identified, supported and mentored; formation and training undertaken with leaders of Sending Churches; conferences and events scheduled to encourage and equip missional-oriented leadership; print and media resources developed</w:t>
      </w:r>
    </w:p>
    <w:p w14:paraId="3A0339FA" w14:textId="77777777" w:rsidR="00930400" w:rsidRPr="009A0DA6" w:rsidRDefault="00930400" w:rsidP="00930400">
      <w:pPr>
        <w:spacing w:before="120" w:after="120" w:line="240" w:lineRule="auto"/>
        <w:contextualSpacing/>
        <w:rPr>
          <w:rFonts w:ascii="Cambria" w:hAnsi="Cambria" w:cs="Arial"/>
        </w:rPr>
      </w:pPr>
      <w:r w:rsidRPr="009A0DA6">
        <w:rPr>
          <w:rFonts w:ascii="Cambria" w:hAnsi="Cambria" w:cs="Arial"/>
        </w:rPr>
        <w:t xml:space="preserve">Objective – Support and equip communities to use new, innovative and collaborative mission-oriented approaches in changed and changing mission fields. </w:t>
      </w:r>
      <w:r w:rsidRPr="009A0DA6">
        <w:rPr>
          <w:rFonts w:ascii="Cambria" w:hAnsi="Cambria" w:cs="Arial"/>
        </w:rPr>
        <w:br/>
        <w:t>(LCA strategic priority 2.3)</w:t>
      </w:r>
    </w:p>
    <w:p w14:paraId="28D40D01" w14:textId="77777777" w:rsidR="00930400" w:rsidRPr="009A0DA6" w:rsidRDefault="00930400" w:rsidP="00F55252">
      <w:pPr>
        <w:pStyle w:val="ListParagraph"/>
        <w:numPr>
          <w:ilvl w:val="0"/>
          <w:numId w:val="188"/>
        </w:numPr>
        <w:spacing w:before="120" w:after="120" w:line="240" w:lineRule="auto"/>
        <w:ind w:left="567" w:hanging="567"/>
        <w:rPr>
          <w:rFonts w:ascii="Cambria" w:hAnsi="Cambria" w:cs="Arial"/>
        </w:rPr>
      </w:pPr>
      <w:r w:rsidRPr="009A0DA6">
        <w:rPr>
          <w:rFonts w:ascii="Cambria" w:hAnsi="Cambria" w:cs="Arial"/>
        </w:rPr>
        <w:t>Activities/Outcomes – collaborate with and encourage Lutheran Education in mission, encourage the hosting of mission initiatives, share innovative and collaborative approaches to mission</w:t>
      </w:r>
      <w:r w:rsidRPr="009A0DA6">
        <w:rPr>
          <w:rFonts w:ascii="Cambria" w:hAnsi="Cambria" w:cs="Arial"/>
        </w:rPr>
        <w:br/>
      </w:r>
    </w:p>
    <w:p w14:paraId="6A03A964" w14:textId="77777777" w:rsidR="00930400" w:rsidRPr="009A0DA6" w:rsidRDefault="00930400" w:rsidP="00F55252">
      <w:pPr>
        <w:pStyle w:val="ListParagraph"/>
        <w:numPr>
          <w:ilvl w:val="0"/>
          <w:numId w:val="188"/>
        </w:numPr>
        <w:spacing w:before="120" w:after="120" w:line="240" w:lineRule="auto"/>
        <w:ind w:left="567" w:hanging="567"/>
        <w:rPr>
          <w:rFonts w:ascii="Cambria" w:hAnsi="Cambria" w:cs="Arial"/>
        </w:rPr>
      </w:pPr>
      <w:r w:rsidRPr="009A0DA6">
        <w:rPr>
          <w:rFonts w:ascii="Cambria" w:hAnsi="Cambria" w:cs="Arial"/>
        </w:rPr>
        <w:t>Achievements – Three joint LEA and Local Mission conferences held in the three Lutheran education regions</w:t>
      </w:r>
    </w:p>
    <w:p w14:paraId="29864CDA" w14:textId="3D82DAB2" w:rsidR="00930400" w:rsidRDefault="00930400" w:rsidP="00930400">
      <w:pPr>
        <w:spacing w:before="120" w:after="120" w:line="240" w:lineRule="auto"/>
        <w:contextualSpacing/>
        <w:rPr>
          <w:rFonts w:ascii="Cambria" w:hAnsi="Cambria" w:cs="Arial"/>
        </w:rPr>
      </w:pPr>
      <w:r w:rsidRPr="009A0DA6">
        <w:rPr>
          <w:rFonts w:ascii="Cambria" w:hAnsi="Cambria" w:cs="Arial"/>
        </w:rPr>
        <w:t xml:space="preserve">Objective – Develop proactive strategies to seek and open new mission fields to which God is leading </w:t>
      </w:r>
      <w:r w:rsidR="00E900C3">
        <w:rPr>
          <w:rFonts w:ascii="Cambria" w:hAnsi="Cambria" w:cs="Arial"/>
        </w:rPr>
        <w:t>us. (LCA strategic priority 2.4)</w:t>
      </w:r>
    </w:p>
    <w:p w14:paraId="600CBE1F" w14:textId="7F7038B5" w:rsidR="00E900C3" w:rsidRDefault="00E900C3" w:rsidP="00930400">
      <w:pPr>
        <w:spacing w:before="120" w:after="120" w:line="240" w:lineRule="auto"/>
        <w:contextualSpacing/>
        <w:rPr>
          <w:rFonts w:ascii="Cambria" w:hAnsi="Cambria" w:cs="Arial"/>
        </w:rPr>
      </w:pPr>
    </w:p>
    <w:p w14:paraId="0F3C64A1" w14:textId="77777777" w:rsidR="00E900C3" w:rsidRPr="009A0DA6" w:rsidRDefault="00E900C3" w:rsidP="00930400">
      <w:pPr>
        <w:spacing w:before="120" w:after="120" w:line="240" w:lineRule="auto"/>
        <w:contextualSpacing/>
        <w:rPr>
          <w:rFonts w:ascii="Cambria" w:hAnsi="Cambria" w:cs="Arial"/>
        </w:rPr>
      </w:pPr>
    </w:p>
    <w:p w14:paraId="203F13C6" w14:textId="77777777" w:rsidR="00930400" w:rsidRPr="009A0DA6" w:rsidRDefault="00930400" w:rsidP="00F55252">
      <w:pPr>
        <w:pStyle w:val="ListParagraph"/>
        <w:numPr>
          <w:ilvl w:val="0"/>
          <w:numId w:val="189"/>
        </w:numPr>
        <w:spacing w:before="120" w:after="120" w:line="240" w:lineRule="auto"/>
        <w:ind w:left="567" w:hanging="567"/>
        <w:rPr>
          <w:rFonts w:ascii="Cambria" w:hAnsi="Cambria" w:cs="Arial"/>
        </w:rPr>
      </w:pPr>
      <w:r w:rsidRPr="009A0DA6">
        <w:rPr>
          <w:rFonts w:ascii="Cambria" w:hAnsi="Cambria" w:cs="Arial"/>
        </w:rPr>
        <w:lastRenderedPageBreak/>
        <w:t xml:space="preserve">Activities/Outcomes – form healthy sending churches, support African and Asian ministry programs, increase mission-focused staffing, facilitate the planting of churches that plant churches, collaborate with Child Youth and Family Ministry  </w:t>
      </w:r>
      <w:r w:rsidRPr="009A0DA6">
        <w:rPr>
          <w:rFonts w:ascii="Cambria" w:hAnsi="Cambria" w:cs="Arial"/>
        </w:rPr>
        <w:br/>
      </w:r>
    </w:p>
    <w:p w14:paraId="2EE65ED5" w14:textId="77777777" w:rsidR="00930400" w:rsidRPr="009A0DA6" w:rsidRDefault="00930400" w:rsidP="00F55252">
      <w:pPr>
        <w:pStyle w:val="ListParagraph"/>
        <w:numPr>
          <w:ilvl w:val="0"/>
          <w:numId w:val="189"/>
        </w:numPr>
        <w:spacing w:before="120" w:after="120" w:line="240" w:lineRule="auto"/>
        <w:ind w:left="567" w:hanging="567"/>
        <w:rPr>
          <w:rFonts w:ascii="Cambria" w:hAnsi="Cambria" w:cs="Arial"/>
        </w:rPr>
      </w:pPr>
      <w:r w:rsidRPr="009A0DA6">
        <w:rPr>
          <w:rFonts w:ascii="Cambria" w:hAnsi="Cambria" w:cs="Arial"/>
        </w:rPr>
        <w:t>Achievements – eleven sending churches formed and supported; ministry grants provided to African and Asian communities; increased hours to Church Planter and Mission Facilitator; Executive Officer – Local Mission employed; church plant leaders mentored</w:t>
      </w:r>
    </w:p>
    <w:p w14:paraId="56D0EB4B" w14:textId="77777777" w:rsidR="00930400" w:rsidRPr="009A0DA6" w:rsidRDefault="00930400" w:rsidP="00930400">
      <w:pPr>
        <w:spacing w:before="120" w:after="120" w:line="240" w:lineRule="auto"/>
        <w:contextualSpacing/>
        <w:rPr>
          <w:rFonts w:ascii="Cambria" w:hAnsi="Cambria" w:cs="Arial"/>
        </w:rPr>
      </w:pPr>
      <w:r w:rsidRPr="009A0DA6">
        <w:rPr>
          <w:rFonts w:ascii="Cambria" w:hAnsi="Cambria" w:cs="Arial"/>
        </w:rPr>
        <w:t>Objective – Support the development and growth of new mission fields which God has already opened to us. (LCA strategic priority 2.5)</w:t>
      </w:r>
    </w:p>
    <w:p w14:paraId="27DF74E3" w14:textId="77777777" w:rsidR="00930400" w:rsidRPr="009A0DA6" w:rsidRDefault="00930400" w:rsidP="00F55252">
      <w:pPr>
        <w:pStyle w:val="ListParagraph"/>
        <w:numPr>
          <w:ilvl w:val="0"/>
          <w:numId w:val="190"/>
        </w:numPr>
        <w:spacing w:before="120" w:after="120" w:line="240" w:lineRule="auto"/>
        <w:ind w:left="567" w:hanging="567"/>
        <w:rPr>
          <w:rFonts w:ascii="Cambria" w:hAnsi="Cambria" w:cs="Arial"/>
        </w:rPr>
      </w:pPr>
      <w:r w:rsidRPr="009A0DA6">
        <w:rPr>
          <w:rFonts w:ascii="Cambria" w:hAnsi="Cambria" w:cs="Arial"/>
        </w:rPr>
        <w:t>Activities/Outcomes – provide mission personnel to assist local mission fields, coordinate prayer support</w:t>
      </w:r>
      <w:r w:rsidRPr="009A0DA6">
        <w:rPr>
          <w:rFonts w:ascii="Cambria" w:hAnsi="Cambria" w:cs="Arial"/>
        </w:rPr>
        <w:br/>
      </w:r>
    </w:p>
    <w:p w14:paraId="4293FDBC" w14:textId="77777777" w:rsidR="00930400" w:rsidRPr="009A0DA6" w:rsidRDefault="00930400" w:rsidP="00F55252">
      <w:pPr>
        <w:pStyle w:val="ListParagraph"/>
        <w:numPr>
          <w:ilvl w:val="0"/>
          <w:numId w:val="190"/>
        </w:numPr>
        <w:spacing w:before="120" w:after="120" w:line="240" w:lineRule="auto"/>
        <w:ind w:left="567" w:hanging="567"/>
        <w:rPr>
          <w:rFonts w:ascii="Cambria" w:hAnsi="Cambria" w:cs="Arial"/>
        </w:rPr>
      </w:pPr>
      <w:r w:rsidRPr="009A0DA6">
        <w:rPr>
          <w:rFonts w:ascii="Cambria" w:hAnsi="Cambria" w:cs="Arial"/>
        </w:rPr>
        <w:t>Achievements – Church Planter and Mission Facilitator is a resource person for grassroots ministry</w:t>
      </w:r>
    </w:p>
    <w:p w14:paraId="4279E3E6" w14:textId="77777777" w:rsidR="00930400" w:rsidRPr="009A0DA6" w:rsidRDefault="00930400" w:rsidP="00930400">
      <w:pPr>
        <w:spacing w:before="120" w:after="120" w:line="240" w:lineRule="auto"/>
        <w:contextualSpacing/>
        <w:rPr>
          <w:rFonts w:ascii="Cambria" w:hAnsi="Cambria" w:cs="Arial"/>
        </w:rPr>
      </w:pPr>
      <w:r w:rsidRPr="009A0DA6">
        <w:rPr>
          <w:rFonts w:ascii="Cambria" w:hAnsi="Cambria" w:cs="Arial"/>
        </w:rPr>
        <w:t>Objective – Support existing communities to be active in mission. (LCA strategic priority 2.6)</w:t>
      </w:r>
    </w:p>
    <w:p w14:paraId="5928B6C9" w14:textId="77777777" w:rsidR="00930400" w:rsidRPr="009A0DA6" w:rsidRDefault="00930400" w:rsidP="00F55252">
      <w:pPr>
        <w:pStyle w:val="ListParagraph"/>
        <w:numPr>
          <w:ilvl w:val="0"/>
          <w:numId w:val="191"/>
        </w:numPr>
        <w:tabs>
          <w:tab w:val="left" w:pos="709"/>
        </w:tabs>
        <w:spacing w:before="120" w:after="120" w:line="240" w:lineRule="auto"/>
        <w:ind w:left="567" w:hanging="567"/>
        <w:rPr>
          <w:rFonts w:ascii="Cambria" w:hAnsi="Cambria" w:cs="Arial"/>
        </w:rPr>
      </w:pPr>
      <w:r w:rsidRPr="009A0DA6">
        <w:rPr>
          <w:rFonts w:ascii="Cambria" w:hAnsi="Cambria" w:cs="Arial"/>
        </w:rPr>
        <w:t>Activities/Outcomes – work with the Districts to support congregational renewal</w:t>
      </w:r>
      <w:r w:rsidRPr="009A0DA6">
        <w:rPr>
          <w:rFonts w:ascii="Cambria" w:hAnsi="Cambria" w:cs="Arial"/>
        </w:rPr>
        <w:br/>
      </w:r>
    </w:p>
    <w:p w14:paraId="09F91AC2" w14:textId="77777777" w:rsidR="00930400" w:rsidRPr="009A0DA6" w:rsidRDefault="00930400" w:rsidP="00F55252">
      <w:pPr>
        <w:pStyle w:val="ListParagraph"/>
        <w:numPr>
          <w:ilvl w:val="0"/>
          <w:numId w:val="191"/>
        </w:numPr>
        <w:tabs>
          <w:tab w:val="left" w:pos="709"/>
        </w:tabs>
        <w:spacing w:before="120" w:after="120" w:line="240" w:lineRule="auto"/>
        <w:ind w:left="567" w:hanging="567"/>
        <w:rPr>
          <w:rFonts w:ascii="Cambria" w:hAnsi="Cambria" w:cs="Arial"/>
        </w:rPr>
      </w:pPr>
      <w:r w:rsidRPr="009A0DA6">
        <w:rPr>
          <w:rFonts w:ascii="Cambria" w:hAnsi="Cambria" w:cs="Arial"/>
        </w:rPr>
        <w:t>Achievements – collaboration with the Districts is via the District Mission Directors</w:t>
      </w:r>
    </w:p>
    <w:p w14:paraId="348440DF" w14:textId="77777777" w:rsidR="00930400" w:rsidRPr="009A0DA6" w:rsidRDefault="00930400" w:rsidP="00930400">
      <w:pPr>
        <w:spacing w:before="120" w:after="120" w:line="240" w:lineRule="auto"/>
        <w:contextualSpacing/>
        <w:rPr>
          <w:rFonts w:ascii="Cambria" w:hAnsi="Cambria" w:cs="Arial"/>
        </w:rPr>
      </w:pPr>
      <w:r w:rsidRPr="009A0DA6">
        <w:rPr>
          <w:rFonts w:ascii="Cambria" w:hAnsi="Cambria" w:cs="Arial"/>
        </w:rPr>
        <w:t>Objective – Improve capability and performance of our leaders. (LCA strategic priority 3.1.1)</w:t>
      </w:r>
    </w:p>
    <w:p w14:paraId="50B96DEC" w14:textId="77777777" w:rsidR="00930400" w:rsidRPr="009A0DA6" w:rsidRDefault="00930400" w:rsidP="00F55252">
      <w:pPr>
        <w:pStyle w:val="ListParagraph"/>
        <w:numPr>
          <w:ilvl w:val="0"/>
          <w:numId w:val="192"/>
        </w:numPr>
        <w:spacing w:before="120" w:after="120" w:line="240" w:lineRule="auto"/>
        <w:ind w:left="567" w:hanging="567"/>
        <w:rPr>
          <w:rFonts w:ascii="Cambria" w:hAnsi="Cambria" w:cs="Arial"/>
        </w:rPr>
      </w:pPr>
      <w:r w:rsidRPr="009A0DA6">
        <w:rPr>
          <w:rFonts w:ascii="Cambria" w:hAnsi="Cambria" w:cs="Arial"/>
        </w:rPr>
        <w:t>Activities/Outcomes – advocate on ageing issues on behalf of the LCA</w:t>
      </w:r>
      <w:r w:rsidRPr="009A0DA6">
        <w:rPr>
          <w:rFonts w:ascii="Cambria" w:hAnsi="Cambria" w:cs="Arial"/>
        </w:rPr>
        <w:br/>
      </w:r>
    </w:p>
    <w:p w14:paraId="74BAD870" w14:textId="77777777" w:rsidR="00930400" w:rsidRPr="009A0DA6" w:rsidRDefault="00930400" w:rsidP="00F55252">
      <w:pPr>
        <w:pStyle w:val="ListParagraph"/>
        <w:numPr>
          <w:ilvl w:val="0"/>
          <w:numId w:val="192"/>
        </w:numPr>
        <w:spacing w:before="120" w:after="120" w:line="240" w:lineRule="auto"/>
        <w:ind w:left="567" w:hanging="567"/>
        <w:rPr>
          <w:rFonts w:ascii="Cambria" w:hAnsi="Cambria" w:cs="Arial"/>
        </w:rPr>
      </w:pPr>
      <w:r w:rsidRPr="009A0DA6">
        <w:rPr>
          <w:rFonts w:ascii="Cambria" w:hAnsi="Cambria" w:cs="Arial"/>
        </w:rPr>
        <w:t>Achievements – continued representation on the National Aged Care Alliance; support for Lutheran Aged Care and Community Services Governance Dialogue</w:t>
      </w:r>
    </w:p>
    <w:p w14:paraId="3F0E3B7F" w14:textId="77777777" w:rsidR="00930400" w:rsidRPr="009A0DA6" w:rsidRDefault="00930400" w:rsidP="00930400">
      <w:pPr>
        <w:spacing w:before="120" w:after="120" w:line="240" w:lineRule="auto"/>
        <w:contextualSpacing/>
        <w:rPr>
          <w:rFonts w:ascii="Cambria" w:hAnsi="Cambria" w:cs="Arial"/>
        </w:rPr>
      </w:pPr>
      <w:r w:rsidRPr="009A0DA6">
        <w:rPr>
          <w:rFonts w:ascii="Cambria" w:hAnsi="Cambria" w:cs="Arial"/>
        </w:rPr>
        <w:t>Objective – Increase enthusiasm for how love is coming to life through individuals, families and communities. (LCA strategic priority 3.2.1)</w:t>
      </w:r>
    </w:p>
    <w:p w14:paraId="200D45E3" w14:textId="77777777" w:rsidR="00930400" w:rsidRPr="009A0DA6" w:rsidRDefault="00930400" w:rsidP="00F55252">
      <w:pPr>
        <w:pStyle w:val="ListParagraph"/>
        <w:numPr>
          <w:ilvl w:val="0"/>
          <w:numId w:val="193"/>
        </w:numPr>
        <w:spacing w:before="120" w:after="120" w:line="240" w:lineRule="auto"/>
        <w:ind w:left="567" w:hanging="567"/>
        <w:rPr>
          <w:rFonts w:ascii="Cambria" w:hAnsi="Cambria" w:cs="Arial"/>
        </w:rPr>
      </w:pPr>
      <w:r w:rsidRPr="009A0DA6">
        <w:rPr>
          <w:rFonts w:ascii="Cambria" w:hAnsi="Cambria" w:cs="Arial"/>
        </w:rPr>
        <w:t>Activities/Outcomes – develop multi-media strategy for communicating</w:t>
      </w:r>
      <w:r w:rsidRPr="009A0DA6">
        <w:rPr>
          <w:rFonts w:ascii="Cambria" w:hAnsi="Cambria" w:cs="Arial"/>
        </w:rPr>
        <w:br/>
      </w:r>
    </w:p>
    <w:p w14:paraId="383EEBA2" w14:textId="77777777" w:rsidR="00930400" w:rsidRPr="009A0DA6" w:rsidRDefault="00930400" w:rsidP="00F55252">
      <w:pPr>
        <w:pStyle w:val="ListParagraph"/>
        <w:numPr>
          <w:ilvl w:val="0"/>
          <w:numId w:val="193"/>
        </w:numPr>
        <w:spacing w:before="120" w:after="120" w:line="240" w:lineRule="auto"/>
        <w:ind w:left="567" w:hanging="567"/>
        <w:rPr>
          <w:rFonts w:ascii="Cambria" w:hAnsi="Cambria" w:cs="Arial"/>
        </w:rPr>
      </w:pPr>
      <w:r w:rsidRPr="009A0DA6">
        <w:rPr>
          <w:rFonts w:ascii="Cambria" w:hAnsi="Cambria" w:cs="Arial"/>
        </w:rPr>
        <w:t>Achievements – web and social media resourcing has increased; a Ministry with the Ageing enewsletter is produced quarterly</w:t>
      </w:r>
    </w:p>
    <w:p w14:paraId="60E27B58" w14:textId="77777777" w:rsidR="00930400" w:rsidRPr="009A0DA6" w:rsidRDefault="00930400" w:rsidP="00930400">
      <w:pPr>
        <w:spacing w:before="120" w:after="120" w:line="240" w:lineRule="auto"/>
        <w:contextualSpacing/>
        <w:rPr>
          <w:rFonts w:ascii="Cambria" w:hAnsi="Cambria" w:cs="Arial"/>
          <w:b/>
        </w:rPr>
      </w:pPr>
    </w:p>
    <w:p w14:paraId="6BA2C279" w14:textId="77777777" w:rsidR="00930400" w:rsidRPr="009A0DA6" w:rsidRDefault="00930400" w:rsidP="00930400">
      <w:pPr>
        <w:spacing w:before="120" w:after="120" w:line="240" w:lineRule="auto"/>
        <w:contextualSpacing/>
        <w:rPr>
          <w:rFonts w:ascii="Cambria" w:hAnsi="Cambria" w:cs="Arial"/>
          <w:b/>
        </w:rPr>
      </w:pPr>
      <w:r w:rsidRPr="009A0DA6">
        <w:rPr>
          <w:rFonts w:ascii="Cambria" w:hAnsi="Cambria" w:cs="Arial"/>
          <w:b/>
        </w:rPr>
        <w:t>Board for Child Youth and Family Ministry</w:t>
      </w:r>
    </w:p>
    <w:p w14:paraId="79F4D65E" w14:textId="07EC4819" w:rsidR="00930400" w:rsidRPr="009A0DA6" w:rsidRDefault="00930400" w:rsidP="00930400">
      <w:pPr>
        <w:spacing w:before="120" w:after="120" w:line="240" w:lineRule="auto"/>
        <w:contextualSpacing/>
        <w:rPr>
          <w:rFonts w:ascii="Cambria" w:hAnsi="Cambria" w:cs="Arial"/>
        </w:rPr>
      </w:pPr>
      <w:r w:rsidRPr="009A0DA6">
        <w:rPr>
          <w:rFonts w:ascii="Cambria" w:hAnsi="Cambria" w:cs="Arial"/>
        </w:rPr>
        <w:t>(See separate report from the former Board for Child Youth and Family Ministry</w:t>
      </w:r>
      <w:r w:rsidR="00A60838">
        <w:rPr>
          <w:rFonts w:ascii="Cambria" w:hAnsi="Cambria" w:cs="Arial"/>
        </w:rPr>
        <w:t xml:space="preserve">, </w:t>
      </w:r>
      <w:r w:rsidR="00A60838">
        <w:rPr>
          <w:rFonts w:ascii="Cambria" w:hAnsi="Cambria" w:cs="Arial"/>
        </w:rPr>
        <w:br/>
        <w:t>Agenda 3.1)</w:t>
      </w:r>
    </w:p>
    <w:p w14:paraId="40D0D9AC" w14:textId="77777777" w:rsidR="00930400" w:rsidRPr="009A0DA6" w:rsidRDefault="00930400" w:rsidP="00930400">
      <w:pPr>
        <w:spacing w:before="120" w:after="120" w:line="240" w:lineRule="auto"/>
        <w:contextualSpacing/>
        <w:rPr>
          <w:rFonts w:ascii="Cambria" w:hAnsi="Cambria" w:cs="Arial"/>
          <w:b/>
        </w:rPr>
      </w:pPr>
      <w:r w:rsidRPr="009A0DA6">
        <w:rPr>
          <w:rFonts w:ascii="Cambria" w:hAnsi="Cambria" w:cs="Arial"/>
          <w:b/>
        </w:rPr>
        <w:t>Board for Media Ministry</w:t>
      </w:r>
    </w:p>
    <w:p w14:paraId="2D44D785" w14:textId="0C19B28E" w:rsidR="00930400" w:rsidRDefault="00930400" w:rsidP="00930400">
      <w:pPr>
        <w:spacing w:before="120" w:after="120" w:line="240" w:lineRule="auto"/>
        <w:contextualSpacing/>
        <w:rPr>
          <w:rFonts w:ascii="Cambria" w:hAnsi="Cambria" w:cs="Arial"/>
        </w:rPr>
      </w:pPr>
      <w:r w:rsidRPr="009A0DA6">
        <w:rPr>
          <w:rFonts w:ascii="Cambria" w:hAnsi="Cambria" w:cs="Arial"/>
        </w:rPr>
        <w:t>(See separate report from the f</w:t>
      </w:r>
      <w:r w:rsidR="00FF349B">
        <w:rPr>
          <w:rFonts w:ascii="Cambria" w:hAnsi="Cambria" w:cs="Arial"/>
        </w:rPr>
        <w:t>ormer Board for Media Ministry</w:t>
      </w:r>
      <w:r w:rsidR="00A60838">
        <w:rPr>
          <w:rFonts w:ascii="Cambria" w:hAnsi="Cambria" w:cs="Arial"/>
        </w:rPr>
        <w:t>, Agenda 9.1</w:t>
      </w:r>
      <w:r w:rsidR="00FF349B">
        <w:rPr>
          <w:rFonts w:ascii="Cambria" w:hAnsi="Cambria" w:cs="Arial"/>
        </w:rPr>
        <w:t>)</w:t>
      </w:r>
    </w:p>
    <w:p w14:paraId="5AFB957E" w14:textId="77777777" w:rsidR="00A60838" w:rsidRPr="00FF349B" w:rsidRDefault="00A60838" w:rsidP="00930400">
      <w:pPr>
        <w:spacing w:before="120" w:after="120" w:line="240" w:lineRule="auto"/>
        <w:contextualSpacing/>
        <w:rPr>
          <w:rFonts w:ascii="Cambria" w:hAnsi="Cambria" w:cs="Arial"/>
        </w:rPr>
      </w:pPr>
    </w:p>
    <w:p w14:paraId="450CC389" w14:textId="77777777" w:rsidR="00930400" w:rsidRPr="009A0DA6" w:rsidRDefault="00930400" w:rsidP="00930400">
      <w:pPr>
        <w:pStyle w:val="Heading3"/>
      </w:pPr>
      <w:r w:rsidRPr="009A0DA6">
        <w:t>Successes</w:t>
      </w:r>
    </w:p>
    <w:p w14:paraId="15B63DC8" w14:textId="77777777" w:rsidR="00930400" w:rsidRPr="009A0DA6" w:rsidRDefault="00930400" w:rsidP="00F55252">
      <w:pPr>
        <w:pStyle w:val="ListParagraph"/>
        <w:numPr>
          <w:ilvl w:val="0"/>
          <w:numId w:val="183"/>
        </w:numPr>
        <w:spacing w:before="120" w:after="120" w:line="240" w:lineRule="auto"/>
        <w:ind w:left="567" w:hanging="567"/>
        <w:rPr>
          <w:rFonts w:ascii="Cambria" w:hAnsi="Cambria"/>
          <w:i/>
        </w:rPr>
      </w:pPr>
      <w:r w:rsidRPr="009A0DA6">
        <w:rPr>
          <w:rFonts w:ascii="Cambria" w:hAnsi="Cambria"/>
        </w:rPr>
        <w:t>Eleven sending church leaders trained and supported</w:t>
      </w:r>
    </w:p>
    <w:p w14:paraId="0B6CE16C" w14:textId="77777777" w:rsidR="00930400" w:rsidRPr="009A0DA6" w:rsidRDefault="00930400" w:rsidP="00F55252">
      <w:pPr>
        <w:pStyle w:val="ListParagraph"/>
        <w:numPr>
          <w:ilvl w:val="0"/>
          <w:numId w:val="183"/>
        </w:numPr>
        <w:spacing w:before="120" w:after="120" w:line="240" w:lineRule="auto"/>
        <w:ind w:left="567" w:hanging="567"/>
        <w:rPr>
          <w:rFonts w:ascii="Cambria" w:hAnsi="Cambria"/>
          <w:i/>
        </w:rPr>
      </w:pPr>
      <w:r w:rsidRPr="009A0DA6">
        <w:rPr>
          <w:rFonts w:ascii="Cambria" w:hAnsi="Cambria"/>
        </w:rPr>
        <w:t>Leaders of three church plants mentored</w:t>
      </w:r>
    </w:p>
    <w:p w14:paraId="6B10B5D0" w14:textId="77777777" w:rsidR="00930400" w:rsidRPr="009A0DA6" w:rsidRDefault="00930400" w:rsidP="00F55252">
      <w:pPr>
        <w:pStyle w:val="ListParagraph"/>
        <w:numPr>
          <w:ilvl w:val="0"/>
          <w:numId w:val="183"/>
        </w:numPr>
        <w:spacing w:before="120" w:after="120" w:line="240" w:lineRule="auto"/>
        <w:ind w:left="567" w:hanging="567"/>
        <w:rPr>
          <w:rFonts w:ascii="Cambria" w:hAnsi="Cambria"/>
          <w:i/>
        </w:rPr>
      </w:pPr>
      <w:r w:rsidRPr="009A0DA6">
        <w:rPr>
          <w:rFonts w:ascii="Cambria" w:hAnsi="Cambria"/>
        </w:rPr>
        <w:t>Eight cross-cultural congregations financially supported</w:t>
      </w:r>
    </w:p>
    <w:p w14:paraId="7B1BD4A2" w14:textId="77777777" w:rsidR="00930400" w:rsidRPr="009A0DA6" w:rsidRDefault="00930400" w:rsidP="00F55252">
      <w:pPr>
        <w:pStyle w:val="ListParagraph"/>
        <w:numPr>
          <w:ilvl w:val="0"/>
          <w:numId w:val="183"/>
        </w:numPr>
        <w:spacing w:before="120" w:after="120" w:line="240" w:lineRule="auto"/>
        <w:ind w:left="567" w:hanging="567"/>
        <w:rPr>
          <w:rFonts w:ascii="Cambria" w:hAnsi="Cambria"/>
          <w:i/>
        </w:rPr>
      </w:pPr>
      <w:r w:rsidRPr="009A0DA6">
        <w:rPr>
          <w:rFonts w:ascii="Cambria" w:hAnsi="Cambria"/>
        </w:rPr>
        <w:t>Increase in mission-focused personnel in the New and Renewing Churches department to support mission locally</w:t>
      </w:r>
    </w:p>
    <w:p w14:paraId="75B95697" w14:textId="77777777" w:rsidR="00930400" w:rsidRPr="009A0DA6" w:rsidRDefault="00930400" w:rsidP="00F55252">
      <w:pPr>
        <w:pStyle w:val="ListParagraph"/>
        <w:numPr>
          <w:ilvl w:val="0"/>
          <w:numId w:val="183"/>
        </w:numPr>
        <w:spacing w:before="120" w:after="120" w:line="240" w:lineRule="auto"/>
        <w:ind w:left="567" w:hanging="567"/>
        <w:rPr>
          <w:rFonts w:ascii="Cambria" w:hAnsi="Cambria"/>
          <w:i/>
        </w:rPr>
      </w:pPr>
      <w:r w:rsidRPr="009A0DA6">
        <w:rPr>
          <w:rFonts w:ascii="Cambria" w:hAnsi="Cambria"/>
        </w:rPr>
        <w:t>Print and media resources developed (for example, Sent: Seeking the orphans of God; New Life New Love; Ministry with the Ageing eNewsletter; local mission webpages developed)</w:t>
      </w:r>
    </w:p>
    <w:p w14:paraId="623BD5EA" w14:textId="77777777" w:rsidR="00930400" w:rsidRPr="009A0DA6" w:rsidRDefault="00930400" w:rsidP="00F55252">
      <w:pPr>
        <w:pStyle w:val="ListParagraph"/>
        <w:numPr>
          <w:ilvl w:val="0"/>
          <w:numId w:val="183"/>
        </w:numPr>
        <w:spacing w:before="120" w:after="120" w:line="240" w:lineRule="auto"/>
        <w:ind w:left="567" w:hanging="567"/>
        <w:rPr>
          <w:rFonts w:ascii="Cambria" w:hAnsi="Cambria"/>
          <w:i/>
        </w:rPr>
      </w:pPr>
      <w:r w:rsidRPr="009A0DA6">
        <w:rPr>
          <w:rFonts w:ascii="Cambria" w:hAnsi="Cambria"/>
        </w:rPr>
        <w:t>Conferences and events held (for example, Thriving in Change conference with Dr Pat Keifert; Sent conferences and events)</w:t>
      </w:r>
    </w:p>
    <w:p w14:paraId="2C8A63FA" w14:textId="77777777" w:rsidR="00930400" w:rsidRPr="009A0DA6" w:rsidRDefault="00930400" w:rsidP="00F55252">
      <w:pPr>
        <w:pStyle w:val="ListParagraph"/>
        <w:numPr>
          <w:ilvl w:val="0"/>
          <w:numId w:val="183"/>
        </w:numPr>
        <w:spacing w:before="120" w:after="120" w:line="240" w:lineRule="auto"/>
        <w:ind w:left="567" w:hanging="567"/>
        <w:rPr>
          <w:rFonts w:ascii="Cambria" w:hAnsi="Cambria"/>
          <w:i/>
        </w:rPr>
      </w:pPr>
      <w:r w:rsidRPr="009A0DA6">
        <w:rPr>
          <w:rFonts w:ascii="Cambria" w:hAnsi="Cambria"/>
        </w:rPr>
        <w:t>Move to competency-based board in March 2017</w:t>
      </w:r>
    </w:p>
    <w:p w14:paraId="542A2BDC" w14:textId="77777777" w:rsidR="00930400" w:rsidRPr="009A0DA6" w:rsidRDefault="00930400" w:rsidP="00F55252">
      <w:pPr>
        <w:pStyle w:val="ListParagraph"/>
        <w:numPr>
          <w:ilvl w:val="0"/>
          <w:numId w:val="183"/>
        </w:numPr>
        <w:spacing w:before="120" w:after="120" w:line="240" w:lineRule="auto"/>
        <w:ind w:left="567" w:hanging="567"/>
        <w:rPr>
          <w:rFonts w:ascii="Cambria" w:hAnsi="Cambria"/>
          <w:i/>
        </w:rPr>
      </w:pPr>
      <w:r w:rsidRPr="009A0DA6">
        <w:rPr>
          <w:rFonts w:ascii="Cambria" w:hAnsi="Cambria"/>
        </w:rPr>
        <w:lastRenderedPageBreak/>
        <w:t>Delegating the generative and grassroots activities of the board to the advisory committees so that the board can concentrate on good stewardship of available resources</w:t>
      </w:r>
    </w:p>
    <w:p w14:paraId="70E1800B" w14:textId="77777777" w:rsidR="00930400" w:rsidRPr="009A0DA6" w:rsidRDefault="00930400" w:rsidP="00F55252">
      <w:pPr>
        <w:pStyle w:val="ListParagraph"/>
        <w:numPr>
          <w:ilvl w:val="0"/>
          <w:numId w:val="183"/>
        </w:numPr>
        <w:spacing w:before="120" w:after="120" w:line="240" w:lineRule="auto"/>
        <w:ind w:left="567" w:hanging="567"/>
        <w:rPr>
          <w:rFonts w:ascii="Cambria" w:hAnsi="Cambria"/>
          <w:i/>
        </w:rPr>
      </w:pPr>
      <w:r w:rsidRPr="009A0DA6">
        <w:rPr>
          <w:rFonts w:ascii="Cambria" w:hAnsi="Cambria"/>
        </w:rPr>
        <w:t>Employment of Executive Officer – Local Mission, and employment of Pastor for New and Renewing Churches</w:t>
      </w:r>
    </w:p>
    <w:p w14:paraId="15FA2022" w14:textId="77777777" w:rsidR="00930400" w:rsidRPr="009A0DA6" w:rsidRDefault="00930400" w:rsidP="00F55252">
      <w:pPr>
        <w:pStyle w:val="ListParagraph"/>
        <w:numPr>
          <w:ilvl w:val="0"/>
          <w:numId w:val="183"/>
        </w:numPr>
        <w:spacing w:before="120" w:after="120" w:line="240" w:lineRule="auto"/>
        <w:ind w:left="567" w:hanging="567"/>
        <w:rPr>
          <w:rFonts w:ascii="Cambria" w:hAnsi="Cambria"/>
        </w:rPr>
      </w:pPr>
      <w:r w:rsidRPr="009A0DA6">
        <w:rPr>
          <w:rFonts w:ascii="Cambria" w:hAnsi="Cambria"/>
        </w:rPr>
        <w:t>Formation of the Local Mission Leadership Team</w:t>
      </w:r>
    </w:p>
    <w:p w14:paraId="37AF6ED3" w14:textId="77777777" w:rsidR="00930400" w:rsidRPr="009A0DA6" w:rsidRDefault="00930400" w:rsidP="00F55252">
      <w:pPr>
        <w:pStyle w:val="ListParagraph"/>
        <w:numPr>
          <w:ilvl w:val="0"/>
          <w:numId w:val="183"/>
        </w:numPr>
        <w:spacing w:before="120" w:after="120" w:line="240" w:lineRule="auto"/>
        <w:ind w:left="567" w:hanging="567"/>
        <w:rPr>
          <w:rFonts w:ascii="Cambria" w:hAnsi="Cambria"/>
        </w:rPr>
      </w:pPr>
      <w:r w:rsidRPr="009A0DA6">
        <w:rPr>
          <w:rFonts w:ascii="Cambria" w:hAnsi="Cambria"/>
        </w:rPr>
        <w:t xml:space="preserve">Development of Ministry with the Ageing web presence </w:t>
      </w:r>
    </w:p>
    <w:p w14:paraId="603B7083" w14:textId="77777777" w:rsidR="00930400" w:rsidRPr="009A0DA6" w:rsidRDefault="00930400" w:rsidP="00930400">
      <w:pPr>
        <w:pStyle w:val="ListParagraph"/>
        <w:spacing w:before="120" w:after="120" w:line="240" w:lineRule="auto"/>
        <w:rPr>
          <w:rFonts w:ascii="Cambria" w:hAnsi="Cambria"/>
          <w:i/>
        </w:rPr>
      </w:pPr>
    </w:p>
    <w:p w14:paraId="635845F4" w14:textId="77777777" w:rsidR="00930400" w:rsidRPr="009A0DA6" w:rsidRDefault="00930400" w:rsidP="00930400">
      <w:pPr>
        <w:pStyle w:val="Heading3"/>
      </w:pPr>
      <w:r w:rsidRPr="009A0DA6">
        <w:t>Challenges and Lessons Learned</w:t>
      </w:r>
    </w:p>
    <w:p w14:paraId="4C807EDA" w14:textId="77777777" w:rsidR="00930400" w:rsidRPr="009A0DA6" w:rsidRDefault="00930400" w:rsidP="00F55252">
      <w:pPr>
        <w:pStyle w:val="ListParagraph"/>
        <w:numPr>
          <w:ilvl w:val="0"/>
          <w:numId w:val="184"/>
        </w:numPr>
        <w:spacing w:before="120" w:after="120" w:line="240" w:lineRule="auto"/>
        <w:ind w:left="567" w:hanging="567"/>
        <w:rPr>
          <w:rFonts w:ascii="Cambria" w:hAnsi="Cambria"/>
          <w:i/>
        </w:rPr>
      </w:pPr>
      <w:r w:rsidRPr="009A0DA6">
        <w:rPr>
          <w:rFonts w:ascii="Cambria" w:hAnsi="Cambria"/>
        </w:rPr>
        <w:t>Missional cultural change takes time and there is no ‘one size fits all’ solution.</w:t>
      </w:r>
    </w:p>
    <w:p w14:paraId="788F4988" w14:textId="77777777" w:rsidR="00930400" w:rsidRPr="009A0DA6" w:rsidRDefault="00930400" w:rsidP="00F55252">
      <w:pPr>
        <w:pStyle w:val="ListParagraph"/>
        <w:numPr>
          <w:ilvl w:val="0"/>
          <w:numId w:val="184"/>
        </w:numPr>
        <w:spacing w:before="120" w:after="120" w:line="240" w:lineRule="auto"/>
        <w:ind w:left="567" w:hanging="567"/>
        <w:rPr>
          <w:rFonts w:ascii="Cambria" w:hAnsi="Cambria"/>
          <w:i/>
        </w:rPr>
      </w:pPr>
      <w:r w:rsidRPr="009A0DA6">
        <w:rPr>
          <w:rFonts w:ascii="Cambria" w:hAnsi="Cambria"/>
        </w:rPr>
        <w:t>Leaders (lay and pastors) play a key role in missional cultural change.</w:t>
      </w:r>
    </w:p>
    <w:p w14:paraId="2C04EC88" w14:textId="77777777" w:rsidR="00930400" w:rsidRPr="009A0DA6" w:rsidRDefault="00930400" w:rsidP="00F55252">
      <w:pPr>
        <w:pStyle w:val="ListParagraph"/>
        <w:numPr>
          <w:ilvl w:val="0"/>
          <w:numId w:val="184"/>
        </w:numPr>
        <w:spacing w:before="120" w:after="120" w:line="240" w:lineRule="auto"/>
        <w:ind w:left="567" w:hanging="567"/>
        <w:rPr>
          <w:rFonts w:ascii="Cambria" w:hAnsi="Cambria"/>
          <w:i/>
        </w:rPr>
      </w:pPr>
      <w:r w:rsidRPr="009A0DA6">
        <w:rPr>
          <w:rFonts w:ascii="Cambria" w:hAnsi="Cambria"/>
        </w:rPr>
        <w:t>The harvest is plentiful and the labourers are few, therefore we are praying for labourers and helping the church to see themselves in this role.</w:t>
      </w:r>
    </w:p>
    <w:p w14:paraId="53F2D647" w14:textId="77777777" w:rsidR="00930400" w:rsidRPr="009A0DA6" w:rsidRDefault="00930400" w:rsidP="00F55252">
      <w:pPr>
        <w:pStyle w:val="ListParagraph"/>
        <w:numPr>
          <w:ilvl w:val="0"/>
          <w:numId w:val="184"/>
        </w:numPr>
        <w:spacing w:before="120" w:after="120" w:line="240" w:lineRule="auto"/>
        <w:ind w:left="567" w:hanging="567"/>
        <w:rPr>
          <w:rFonts w:ascii="Cambria" w:hAnsi="Cambria"/>
        </w:rPr>
      </w:pPr>
      <w:r w:rsidRPr="009A0DA6">
        <w:rPr>
          <w:rFonts w:ascii="Cambria" w:hAnsi="Cambria"/>
        </w:rPr>
        <w:t>The need to respect the culture of the people and their way of organising their congregational life and worship, yet also dialoguing to open opportunities.</w:t>
      </w:r>
    </w:p>
    <w:p w14:paraId="26133677" w14:textId="77777777" w:rsidR="00930400" w:rsidRPr="009A0DA6" w:rsidRDefault="00930400" w:rsidP="00F55252">
      <w:pPr>
        <w:pStyle w:val="ListParagraph"/>
        <w:numPr>
          <w:ilvl w:val="0"/>
          <w:numId w:val="184"/>
        </w:numPr>
        <w:spacing w:before="120" w:after="120" w:line="240" w:lineRule="auto"/>
        <w:ind w:left="567" w:hanging="567"/>
        <w:rPr>
          <w:rFonts w:ascii="Cambria" w:hAnsi="Cambria"/>
        </w:rPr>
      </w:pPr>
      <w:r w:rsidRPr="009A0DA6">
        <w:rPr>
          <w:rFonts w:ascii="Cambria" w:hAnsi="Cambria"/>
        </w:rPr>
        <w:t>Important that the board not become a ‘cash cow’ when the key to success will always be local responsibility.</w:t>
      </w:r>
    </w:p>
    <w:p w14:paraId="4A1D3072" w14:textId="77777777" w:rsidR="00930400" w:rsidRPr="009A0DA6" w:rsidRDefault="00930400" w:rsidP="00F55252">
      <w:pPr>
        <w:pStyle w:val="ListParagraph"/>
        <w:numPr>
          <w:ilvl w:val="0"/>
          <w:numId w:val="184"/>
        </w:numPr>
        <w:spacing w:before="120" w:after="120" w:line="240" w:lineRule="auto"/>
        <w:ind w:left="567" w:hanging="567"/>
        <w:rPr>
          <w:rFonts w:ascii="Cambria" w:hAnsi="Cambria"/>
        </w:rPr>
      </w:pPr>
      <w:r w:rsidRPr="009A0DA6">
        <w:rPr>
          <w:rFonts w:ascii="Cambria" w:hAnsi="Cambria"/>
        </w:rPr>
        <w:t>Need to integrate the activities of all our mission focussed committees and staff.</w:t>
      </w:r>
      <w:r w:rsidRPr="009A0DA6">
        <w:rPr>
          <w:rFonts w:ascii="Cambria" w:hAnsi="Cambria"/>
        </w:rPr>
        <w:br/>
      </w:r>
    </w:p>
    <w:p w14:paraId="5CD86E9D" w14:textId="77777777" w:rsidR="00930400" w:rsidRPr="009A0DA6" w:rsidRDefault="00930400" w:rsidP="00930400">
      <w:pPr>
        <w:pStyle w:val="Heading3"/>
      </w:pPr>
      <w:r w:rsidRPr="009A0DA6">
        <w:t>Risks</w:t>
      </w:r>
    </w:p>
    <w:tbl>
      <w:tblPr>
        <w:tblStyle w:val="PlainTable2"/>
        <w:tblW w:w="8504" w:type="dxa"/>
        <w:tblLook w:val="04A0" w:firstRow="1" w:lastRow="0" w:firstColumn="1" w:lastColumn="0" w:noHBand="0" w:noVBand="1"/>
      </w:tblPr>
      <w:tblGrid>
        <w:gridCol w:w="2551"/>
        <w:gridCol w:w="2551"/>
        <w:gridCol w:w="3402"/>
      </w:tblGrid>
      <w:tr w:rsidR="00930400" w:rsidRPr="009A0DA6" w14:paraId="6ABF7026" w14:textId="77777777" w:rsidTr="00AD09CB">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551" w:type="dxa"/>
            <w:vAlign w:val="center"/>
          </w:tcPr>
          <w:p w14:paraId="761857C5" w14:textId="77777777" w:rsidR="00930400" w:rsidRPr="009A0DA6" w:rsidRDefault="00930400" w:rsidP="00E900C3">
            <w:pPr>
              <w:spacing w:before="120" w:after="120"/>
              <w:contextualSpacing/>
              <w:rPr>
                <w:rFonts w:ascii="Cambria" w:hAnsi="Cambria" w:cs="Arial"/>
              </w:rPr>
            </w:pPr>
            <w:r w:rsidRPr="009A0DA6">
              <w:rPr>
                <w:rFonts w:ascii="Cambria" w:hAnsi="Cambria" w:cs="Arial"/>
              </w:rPr>
              <w:t>Description of risk</w:t>
            </w:r>
          </w:p>
        </w:tc>
        <w:tc>
          <w:tcPr>
            <w:tcW w:w="2551" w:type="dxa"/>
            <w:vAlign w:val="center"/>
          </w:tcPr>
          <w:p w14:paraId="1EEC1F7F" w14:textId="77777777" w:rsidR="00930400" w:rsidRPr="009A0DA6" w:rsidRDefault="00930400" w:rsidP="00E900C3">
            <w:pPr>
              <w:spacing w:before="120" w:after="120"/>
              <w:contextualSpacing/>
              <w:cnfStyle w:val="100000000000" w:firstRow="1" w:lastRow="0" w:firstColumn="0" w:lastColumn="0" w:oddVBand="0" w:evenVBand="0" w:oddHBand="0" w:evenHBand="0" w:firstRowFirstColumn="0" w:firstRowLastColumn="0" w:lastRowFirstColumn="0" w:lastRowLastColumn="0"/>
              <w:rPr>
                <w:rFonts w:ascii="Cambria" w:hAnsi="Cambria" w:cs="Arial"/>
                <w:b w:val="0"/>
              </w:rPr>
            </w:pPr>
            <w:r w:rsidRPr="009A0DA6">
              <w:rPr>
                <w:rFonts w:ascii="Cambria" w:hAnsi="Cambria" w:cs="Arial"/>
              </w:rPr>
              <w:t>Likelihood of risk occurring and potential impact for the ministry and LCA</w:t>
            </w:r>
          </w:p>
        </w:tc>
        <w:tc>
          <w:tcPr>
            <w:tcW w:w="3402" w:type="dxa"/>
            <w:vAlign w:val="center"/>
          </w:tcPr>
          <w:p w14:paraId="63811996" w14:textId="77777777" w:rsidR="00930400" w:rsidRPr="009A0DA6" w:rsidRDefault="00930400" w:rsidP="00E900C3">
            <w:pPr>
              <w:spacing w:before="120" w:after="120"/>
              <w:contextualSpacing/>
              <w:cnfStyle w:val="100000000000" w:firstRow="1" w:lastRow="0" w:firstColumn="0" w:lastColumn="0" w:oddVBand="0" w:evenVBand="0" w:oddHBand="0" w:evenHBand="0" w:firstRowFirstColumn="0" w:firstRowLastColumn="0" w:lastRowFirstColumn="0" w:lastRowLastColumn="0"/>
              <w:rPr>
                <w:rFonts w:ascii="Cambria" w:hAnsi="Cambria" w:cs="Arial"/>
                <w:b w:val="0"/>
              </w:rPr>
            </w:pPr>
            <w:r w:rsidRPr="009A0DA6">
              <w:rPr>
                <w:rFonts w:ascii="Cambria" w:hAnsi="Cambria" w:cs="Arial"/>
              </w:rPr>
              <w:t>Summary of action to mitigate the risk</w:t>
            </w:r>
          </w:p>
        </w:tc>
      </w:tr>
      <w:tr w:rsidR="00930400" w:rsidRPr="009A0DA6" w14:paraId="72470EAB" w14:textId="77777777" w:rsidTr="00AD09CB">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551" w:type="dxa"/>
          </w:tcPr>
          <w:p w14:paraId="4D3E47C8" w14:textId="77777777" w:rsidR="00930400" w:rsidRPr="00DE6169" w:rsidRDefault="00930400" w:rsidP="00AD09CB">
            <w:pPr>
              <w:widowControl w:val="0"/>
              <w:suppressAutoHyphens/>
              <w:spacing w:before="120" w:after="120"/>
              <w:contextualSpacing/>
              <w:rPr>
                <w:rFonts w:ascii="Cambria" w:hAnsi="Cambria" w:cs="Arial"/>
              </w:rPr>
            </w:pPr>
            <w:r w:rsidRPr="00DE6169">
              <w:rPr>
                <w:rFonts w:ascii="Cambria" w:hAnsi="Cambria" w:cs="Arial"/>
              </w:rPr>
              <w:t>Operational - ageing pastorate as well as a scarcity of pastor leaders</w:t>
            </w:r>
          </w:p>
        </w:tc>
        <w:tc>
          <w:tcPr>
            <w:tcW w:w="2551" w:type="dxa"/>
          </w:tcPr>
          <w:p w14:paraId="6954A5A9" w14:textId="77777777" w:rsidR="00930400" w:rsidRPr="009A0DA6" w:rsidRDefault="00930400" w:rsidP="00AD09CB">
            <w:pPr>
              <w:spacing w:before="120" w:after="120"/>
              <w:contextualSpacing/>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High likelihood and impact</w:t>
            </w:r>
          </w:p>
        </w:tc>
        <w:tc>
          <w:tcPr>
            <w:tcW w:w="3402" w:type="dxa"/>
          </w:tcPr>
          <w:p w14:paraId="6F6434B6" w14:textId="77777777" w:rsidR="00930400" w:rsidRPr="009A0DA6" w:rsidRDefault="00930400" w:rsidP="00AD09CB">
            <w:pPr>
              <w:spacing w:before="120" w:after="120"/>
              <w:contextualSpacing/>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The training provided has a strong focus on empowering lay leadership, however the Board for Local Mission cannot directly mitigate this risk.</w:t>
            </w:r>
          </w:p>
        </w:tc>
      </w:tr>
      <w:tr w:rsidR="00930400" w:rsidRPr="009A0DA6" w14:paraId="18BD74C8" w14:textId="77777777" w:rsidTr="00AD09CB">
        <w:trPr>
          <w:trHeight w:val="267"/>
        </w:trPr>
        <w:tc>
          <w:tcPr>
            <w:cnfStyle w:val="001000000000" w:firstRow="0" w:lastRow="0" w:firstColumn="1" w:lastColumn="0" w:oddVBand="0" w:evenVBand="0" w:oddHBand="0" w:evenHBand="0" w:firstRowFirstColumn="0" w:firstRowLastColumn="0" w:lastRowFirstColumn="0" w:lastRowLastColumn="0"/>
            <w:tcW w:w="2551" w:type="dxa"/>
          </w:tcPr>
          <w:p w14:paraId="2B0AAD55" w14:textId="77777777" w:rsidR="00930400" w:rsidRPr="00DE6169" w:rsidRDefault="00930400" w:rsidP="00AD09CB">
            <w:pPr>
              <w:widowControl w:val="0"/>
              <w:suppressAutoHyphens/>
              <w:spacing w:before="120" w:after="120"/>
              <w:contextualSpacing/>
              <w:rPr>
                <w:rFonts w:ascii="Cambria" w:hAnsi="Cambria" w:cs="Arial"/>
              </w:rPr>
            </w:pPr>
            <w:r w:rsidRPr="00DE6169">
              <w:rPr>
                <w:rFonts w:ascii="Cambria" w:hAnsi="Cambria" w:cs="Arial"/>
              </w:rPr>
              <w:t>Operational – appropriate identification and training of church planters and evangelists is provided</w:t>
            </w:r>
          </w:p>
        </w:tc>
        <w:tc>
          <w:tcPr>
            <w:tcW w:w="2551" w:type="dxa"/>
          </w:tcPr>
          <w:p w14:paraId="53A86F6B" w14:textId="77777777" w:rsidR="00930400" w:rsidRPr="009A0DA6" w:rsidRDefault="00930400" w:rsidP="00AD09CB">
            <w:pPr>
              <w:spacing w:before="120" w:after="120"/>
              <w:contextualSpacing/>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Low risk, though the provision of appropriate training is a capacity issue for both New and Renewing Churches and ALC</w:t>
            </w:r>
          </w:p>
        </w:tc>
        <w:tc>
          <w:tcPr>
            <w:tcW w:w="3402" w:type="dxa"/>
          </w:tcPr>
          <w:p w14:paraId="7FC73808" w14:textId="77777777" w:rsidR="00930400" w:rsidRPr="009A0DA6" w:rsidRDefault="00930400" w:rsidP="00AD09CB">
            <w:pPr>
              <w:spacing w:before="120" w:after="120"/>
              <w:contextualSpacing/>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The New and Renewing Churches department is working with Australian Lutheran College to ensure a pathway for the training of church planters and evangelists</w:t>
            </w:r>
          </w:p>
        </w:tc>
      </w:tr>
      <w:tr w:rsidR="00930400" w:rsidRPr="009A0DA6" w14:paraId="5F9D4353" w14:textId="77777777" w:rsidTr="00AD09CB">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551" w:type="dxa"/>
          </w:tcPr>
          <w:p w14:paraId="3735E975" w14:textId="77777777" w:rsidR="00930400" w:rsidRPr="00DE6169" w:rsidRDefault="00930400" w:rsidP="00AD09CB">
            <w:pPr>
              <w:widowControl w:val="0"/>
              <w:suppressAutoHyphens/>
              <w:spacing w:before="120" w:after="120"/>
              <w:contextualSpacing/>
              <w:rPr>
                <w:rFonts w:ascii="Cambria" w:hAnsi="Cambria" w:cs="Arial"/>
              </w:rPr>
            </w:pPr>
            <w:r w:rsidRPr="00DE6169">
              <w:rPr>
                <w:rFonts w:ascii="Cambria" w:hAnsi="Cambria" w:cs="Arial"/>
              </w:rPr>
              <w:t>Operational - the capacity of Ministry with the Ageing to adequately support Lutheran Aged Care facilities in their ministry</w:t>
            </w:r>
          </w:p>
          <w:p w14:paraId="2A4A0E50" w14:textId="77777777" w:rsidR="00930400" w:rsidRPr="00DE6169" w:rsidRDefault="00930400" w:rsidP="00AD09CB">
            <w:pPr>
              <w:widowControl w:val="0"/>
              <w:suppressAutoHyphens/>
              <w:spacing w:before="120" w:after="120"/>
              <w:contextualSpacing/>
              <w:rPr>
                <w:rFonts w:ascii="Cambria" w:hAnsi="Cambria" w:cs="Arial"/>
              </w:rPr>
            </w:pPr>
          </w:p>
        </w:tc>
        <w:tc>
          <w:tcPr>
            <w:tcW w:w="2551" w:type="dxa"/>
          </w:tcPr>
          <w:p w14:paraId="7613E09C" w14:textId="77777777" w:rsidR="00930400" w:rsidRPr="009A0DA6" w:rsidRDefault="00930400" w:rsidP="00AD09CB">
            <w:pPr>
              <w:spacing w:before="120" w:after="120"/>
              <w:contextualSpacing/>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Medium risk, due to limited personnel employed in this area</w:t>
            </w:r>
          </w:p>
        </w:tc>
        <w:tc>
          <w:tcPr>
            <w:tcW w:w="3402" w:type="dxa"/>
          </w:tcPr>
          <w:p w14:paraId="739CC0CC" w14:textId="77777777" w:rsidR="00930400" w:rsidRPr="009A0DA6" w:rsidRDefault="00930400" w:rsidP="00AD09CB">
            <w:pPr>
              <w:spacing w:before="120" w:after="120"/>
              <w:contextualSpacing/>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 xml:space="preserve">The LCA has conducted a Lutheran Aged Care and Community Services Governance Dialogue. Recommendations from the governance dialogue report may relieve Ministry with the Ageing of responsibilities regarding Aged Care advocacy and allow the department to further concentrate on congregational ministry with and to the aged. </w:t>
            </w:r>
          </w:p>
        </w:tc>
      </w:tr>
      <w:tr w:rsidR="00930400" w:rsidRPr="009A0DA6" w14:paraId="4386C06A" w14:textId="77777777" w:rsidTr="00AD09CB">
        <w:trPr>
          <w:trHeight w:val="267"/>
        </w:trPr>
        <w:tc>
          <w:tcPr>
            <w:cnfStyle w:val="001000000000" w:firstRow="0" w:lastRow="0" w:firstColumn="1" w:lastColumn="0" w:oddVBand="0" w:evenVBand="0" w:oddHBand="0" w:evenHBand="0" w:firstRowFirstColumn="0" w:firstRowLastColumn="0" w:lastRowFirstColumn="0" w:lastRowLastColumn="0"/>
            <w:tcW w:w="2551" w:type="dxa"/>
          </w:tcPr>
          <w:p w14:paraId="2F2CB2AD" w14:textId="77777777" w:rsidR="00930400" w:rsidRPr="00DE6169" w:rsidRDefault="00930400" w:rsidP="00AD09CB">
            <w:pPr>
              <w:widowControl w:val="0"/>
              <w:suppressAutoHyphens/>
              <w:spacing w:before="120" w:after="120"/>
              <w:contextualSpacing/>
              <w:rPr>
                <w:rFonts w:ascii="Cambria" w:hAnsi="Cambria" w:cs="Arial"/>
              </w:rPr>
            </w:pPr>
            <w:r w:rsidRPr="00DE6169">
              <w:rPr>
                <w:rFonts w:ascii="Cambria" w:hAnsi="Cambria" w:cs="Arial"/>
              </w:rPr>
              <w:t>Fiduciary – difficulty in having effective fiscal oversight due to the quality of financial reporting</w:t>
            </w:r>
          </w:p>
        </w:tc>
        <w:tc>
          <w:tcPr>
            <w:tcW w:w="2551" w:type="dxa"/>
          </w:tcPr>
          <w:p w14:paraId="60CF636C" w14:textId="77777777" w:rsidR="00930400" w:rsidRPr="009A0DA6" w:rsidRDefault="00930400" w:rsidP="00AD09CB">
            <w:pPr>
              <w:spacing w:before="120" w:after="120"/>
              <w:contextualSpacing/>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High likelihood; medium impact</w:t>
            </w:r>
          </w:p>
        </w:tc>
        <w:tc>
          <w:tcPr>
            <w:tcW w:w="3402" w:type="dxa"/>
          </w:tcPr>
          <w:p w14:paraId="0F261881" w14:textId="77777777" w:rsidR="00930400" w:rsidRPr="009A0DA6" w:rsidRDefault="00930400" w:rsidP="00AD09CB">
            <w:pPr>
              <w:spacing w:before="120" w:after="120"/>
              <w:contextualSpacing/>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The National Office is implementing the use of new financial software to ensure more accurate reporting.</w:t>
            </w:r>
          </w:p>
        </w:tc>
      </w:tr>
    </w:tbl>
    <w:p w14:paraId="23907B26" w14:textId="77777777" w:rsidR="00930400" w:rsidRPr="009A0DA6" w:rsidRDefault="00930400" w:rsidP="00930400">
      <w:pPr>
        <w:spacing w:before="120" w:after="120" w:line="240" w:lineRule="auto"/>
        <w:contextualSpacing/>
        <w:rPr>
          <w:rFonts w:ascii="Cambria" w:hAnsi="Cambria"/>
        </w:rPr>
      </w:pPr>
    </w:p>
    <w:p w14:paraId="78D13612" w14:textId="77777777" w:rsidR="00930400" w:rsidRPr="009A0DA6" w:rsidRDefault="00930400" w:rsidP="00930400">
      <w:pPr>
        <w:pStyle w:val="Heading3"/>
      </w:pPr>
      <w:r w:rsidRPr="009A0DA6">
        <w:lastRenderedPageBreak/>
        <w:t xml:space="preserve">Alignment to LCA Strategic Direction </w:t>
      </w:r>
      <w:r>
        <w:t>2013–2018</w:t>
      </w:r>
    </w:p>
    <w:p w14:paraId="0D144581" w14:textId="19624A9C" w:rsidR="00930400" w:rsidRPr="009A0DA6" w:rsidRDefault="00930400" w:rsidP="00930400">
      <w:pPr>
        <w:spacing w:before="120" w:after="120" w:line="240" w:lineRule="auto"/>
        <w:contextualSpacing/>
        <w:rPr>
          <w:rFonts w:ascii="Cambria" w:hAnsi="Cambria"/>
        </w:rPr>
      </w:pPr>
      <w:r w:rsidRPr="009A0DA6">
        <w:rPr>
          <w:rFonts w:ascii="Cambria" w:hAnsi="Cambria"/>
        </w:rPr>
        <w:t>The Board for Local Mission has the same vision, purpose and values as the LCA. The objectives and activities therefore grow out of the strategic priorities adopted by the LCA in its Strategic Direction 2013</w:t>
      </w:r>
      <w:r w:rsidR="00766B14">
        <w:rPr>
          <w:rFonts w:ascii="Cambria" w:hAnsi="Cambria"/>
        </w:rPr>
        <w:sym w:font="Symbol" w:char="F02D"/>
      </w:r>
      <w:r w:rsidRPr="009A0DA6">
        <w:rPr>
          <w:rFonts w:ascii="Cambria" w:hAnsi="Cambria"/>
        </w:rPr>
        <w:t xml:space="preserve">2018. See section on the alignment to the LCA Strategic Direction. </w:t>
      </w:r>
      <w:r w:rsidR="005F21CD">
        <w:rPr>
          <w:rFonts w:ascii="Cambria" w:hAnsi="Cambria"/>
        </w:rPr>
        <w:br/>
      </w:r>
    </w:p>
    <w:p w14:paraId="70E70C52" w14:textId="77777777" w:rsidR="00930400" w:rsidRPr="009A0DA6" w:rsidRDefault="00930400" w:rsidP="00930400">
      <w:pPr>
        <w:pStyle w:val="Heading3"/>
      </w:pPr>
      <w:r w:rsidRPr="009A0DA6">
        <w:t>Cooperating LCA Boards and Agencies</w:t>
      </w:r>
    </w:p>
    <w:tbl>
      <w:tblPr>
        <w:tblStyle w:val="PlainTable2"/>
        <w:tblW w:w="8647" w:type="dxa"/>
        <w:tblLook w:val="04A0" w:firstRow="1" w:lastRow="0" w:firstColumn="1" w:lastColumn="0" w:noHBand="0" w:noVBand="1"/>
      </w:tblPr>
      <w:tblGrid>
        <w:gridCol w:w="1985"/>
        <w:gridCol w:w="6662"/>
      </w:tblGrid>
      <w:tr w:rsidR="00930400" w:rsidRPr="009A0DA6" w14:paraId="1E52C041" w14:textId="77777777" w:rsidTr="00AD09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AD0AAC9" w14:textId="77777777" w:rsidR="00930400" w:rsidRPr="009A0DA6" w:rsidRDefault="00930400" w:rsidP="00AD09CB">
            <w:pPr>
              <w:spacing w:before="120" w:after="120"/>
              <w:contextualSpacing/>
              <w:rPr>
                <w:rFonts w:ascii="Cambria" w:hAnsi="Cambria" w:cs="Arial"/>
              </w:rPr>
            </w:pPr>
            <w:r w:rsidRPr="009A0DA6">
              <w:rPr>
                <w:rFonts w:ascii="Cambria" w:hAnsi="Cambria" w:cs="Arial"/>
              </w:rPr>
              <w:t>Lutheran Education Australia</w:t>
            </w:r>
          </w:p>
        </w:tc>
        <w:tc>
          <w:tcPr>
            <w:tcW w:w="6662" w:type="dxa"/>
          </w:tcPr>
          <w:p w14:paraId="6234CABE" w14:textId="77777777" w:rsidR="00930400" w:rsidRPr="009A0DA6" w:rsidRDefault="00930400" w:rsidP="00AD09CB">
            <w:pPr>
              <w:spacing w:before="120" w:after="120"/>
              <w:contextualSpacing/>
              <w:cnfStyle w:val="100000000000" w:firstRow="1" w:lastRow="0" w:firstColumn="0" w:lastColumn="0" w:oddVBand="0" w:evenVBand="0" w:oddHBand="0" w:evenHBand="0" w:firstRowFirstColumn="0" w:firstRowLastColumn="0" w:lastRowFirstColumn="0" w:lastRowLastColumn="0"/>
              <w:rPr>
                <w:rFonts w:ascii="Cambria" w:hAnsi="Cambria" w:cs="Arial"/>
                <w:b w:val="0"/>
              </w:rPr>
            </w:pPr>
            <w:r w:rsidRPr="009A0DA6">
              <w:rPr>
                <w:rFonts w:ascii="Cambria" w:hAnsi="Cambria" w:cs="Arial"/>
                <w:b w:val="0"/>
              </w:rPr>
              <w:t>The New and Renewing Churches department assisted in three missional conferences held in the three Lutheran Education regions.</w:t>
            </w:r>
          </w:p>
        </w:tc>
      </w:tr>
      <w:tr w:rsidR="00930400" w:rsidRPr="009A0DA6" w14:paraId="6E8E0ABC" w14:textId="77777777" w:rsidTr="00AD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7A6404C" w14:textId="77777777" w:rsidR="00930400" w:rsidRPr="009A0DA6" w:rsidRDefault="00930400" w:rsidP="00AD09CB">
            <w:pPr>
              <w:spacing w:before="120" w:after="120"/>
              <w:contextualSpacing/>
              <w:rPr>
                <w:rFonts w:ascii="Cambria" w:hAnsi="Cambria" w:cs="Arial"/>
              </w:rPr>
            </w:pPr>
            <w:r w:rsidRPr="009A0DA6">
              <w:rPr>
                <w:rFonts w:ascii="Cambria" w:hAnsi="Cambria" w:cs="Arial"/>
              </w:rPr>
              <w:t>International Mission</w:t>
            </w:r>
          </w:p>
        </w:tc>
        <w:tc>
          <w:tcPr>
            <w:tcW w:w="6662" w:type="dxa"/>
          </w:tcPr>
          <w:p w14:paraId="6FFD96C6" w14:textId="77777777" w:rsidR="00930400" w:rsidRPr="009A0DA6" w:rsidRDefault="00930400" w:rsidP="00AD09CB">
            <w:pPr>
              <w:spacing w:before="120" w:after="120"/>
              <w:contextualSpacing/>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The Assistant to the Bishop – International Mission is a consultant to the Committee for Cross-Cultural Ministry. The Executive Officer – Local Mission is a consultant to the Committee for International Mission.</w:t>
            </w:r>
          </w:p>
        </w:tc>
      </w:tr>
      <w:tr w:rsidR="00930400" w:rsidRPr="009A0DA6" w14:paraId="7C00392C" w14:textId="77777777" w:rsidTr="00AD09CB">
        <w:tc>
          <w:tcPr>
            <w:cnfStyle w:val="001000000000" w:firstRow="0" w:lastRow="0" w:firstColumn="1" w:lastColumn="0" w:oddVBand="0" w:evenVBand="0" w:oddHBand="0" w:evenHBand="0" w:firstRowFirstColumn="0" w:firstRowLastColumn="0" w:lastRowFirstColumn="0" w:lastRowLastColumn="0"/>
            <w:tcW w:w="1985" w:type="dxa"/>
          </w:tcPr>
          <w:p w14:paraId="5A3EC236" w14:textId="77777777" w:rsidR="00930400" w:rsidRPr="009A0DA6" w:rsidRDefault="00930400" w:rsidP="00AD09CB">
            <w:pPr>
              <w:spacing w:before="120" w:after="120"/>
              <w:contextualSpacing/>
              <w:rPr>
                <w:rFonts w:ascii="Cambria" w:hAnsi="Cambria" w:cs="Arial"/>
              </w:rPr>
            </w:pPr>
            <w:r w:rsidRPr="009A0DA6">
              <w:rPr>
                <w:rFonts w:ascii="Cambria" w:hAnsi="Cambria" w:cs="Arial"/>
              </w:rPr>
              <w:t>Lutheran Media</w:t>
            </w:r>
          </w:p>
        </w:tc>
        <w:tc>
          <w:tcPr>
            <w:tcW w:w="6662" w:type="dxa"/>
          </w:tcPr>
          <w:p w14:paraId="34AD6B75" w14:textId="77777777" w:rsidR="00930400" w:rsidRPr="009A0DA6" w:rsidRDefault="00930400" w:rsidP="00AD09CB">
            <w:pPr>
              <w:spacing w:before="120" w:after="120"/>
              <w:contextualSpacing/>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Development of videos on dementia</w:t>
            </w:r>
          </w:p>
        </w:tc>
      </w:tr>
      <w:tr w:rsidR="00930400" w:rsidRPr="009A0DA6" w14:paraId="0947FC17" w14:textId="77777777" w:rsidTr="00AD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F9E4CBD" w14:textId="77777777" w:rsidR="00930400" w:rsidRPr="009A0DA6" w:rsidRDefault="00930400" w:rsidP="00AD09CB">
            <w:pPr>
              <w:spacing w:before="120" w:after="120"/>
              <w:contextualSpacing/>
              <w:rPr>
                <w:rFonts w:ascii="Cambria" w:hAnsi="Cambria" w:cs="Arial"/>
              </w:rPr>
            </w:pPr>
            <w:r w:rsidRPr="009A0DA6">
              <w:rPr>
                <w:rFonts w:ascii="Cambria" w:hAnsi="Cambria" w:cs="Arial"/>
              </w:rPr>
              <w:t>Grow Ministries</w:t>
            </w:r>
          </w:p>
        </w:tc>
        <w:tc>
          <w:tcPr>
            <w:tcW w:w="6662" w:type="dxa"/>
          </w:tcPr>
          <w:p w14:paraId="66F2BCF5" w14:textId="77777777" w:rsidR="00930400" w:rsidRPr="009A0DA6" w:rsidRDefault="00930400" w:rsidP="00AD09CB">
            <w:pPr>
              <w:spacing w:before="120" w:after="120"/>
              <w:contextualSpacing/>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 xml:space="preserve">New and Renewing Churches and Grow Ministries seek to cross-promote and complement the training that is provided by each department. </w:t>
            </w:r>
          </w:p>
        </w:tc>
      </w:tr>
      <w:tr w:rsidR="00930400" w:rsidRPr="009A0DA6" w14:paraId="2E73F060" w14:textId="77777777" w:rsidTr="00AD09CB">
        <w:tc>
          <w:tcPr>
            <w:cnfStyle w:val="001000000000" w:firstRow="0" w:lastRow="0" w:firstColumn="1" w:lastColumn="0" w:oddVBand="0" w:evenVBand="0" w:oddHBand="0" w:evenHBand="0" w:firstRowFirstColumn="0" w:firstRowLastColumn="0" w:lastRowFirstColumn="0" w:lastRowLastColumn="0"/>
            <w:tcW w:w="1985" w:type="dxa"/>
          </w:tcPr>
          <w:p w14:paraId="299EC637" w14:textId="77777777" w:rsidR="00930400" w:rsidRPr="009A0DA6" w:rsidRDefault="00930400" w:rsidP="00AD09CB">
            <w:pPr>
              <w:spacing w:before="120" w:after="120"/>
              <w:contextualSpacing/>
              <w:rPr>
                <w:rFonts w:ascii="Cambria" w:hAnsi="Cambria" w:cs="Arial"/>
              </w:rPr>
            </w:pPr>
            <w:r w:rsidRPr="009A0DA6">
              <w:rPr>
                <w:rFonts w:ascii="Cambria" w:hAnsi="Cambria" w:cs="Arial"/>
              </w:rPr>
              <w:t>Australian Lutheran College</w:t>
            </w:r>
          </w:p>
        </w:tc>
        <w:tc>
          <w:tcPr>
            <w:tcW w:w="6662" w:type="dxa"/>
          </w:tcPr>
          <w:p w14:paraId="4B26E6E0" w14:textId="77777777" w:rsidR="00930400" w:rsidRPr="009A0DA6" w:rsidRDefault="00930400" w:rsidP="00AD09CB">
            <w:pPr>
              <w:spacing w:before="120" w:after="120"/>
              <w:contextualSpacing/>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 xml:space="preserve">Cooperation in the development of two missional units for ALC’s Certificate IV in Christian Ministry and Theology </w:t>
            </w:r>
          </w:p>
        </w:tc>
      </w:tr>
      <w:tr w:rsidR="00930400" w:rsidRPr="009A0DA6" w14:paraId="504C19BF" w14:textId="77777777" w:rsidTr="00AD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0D953EA" w14:textId="77777777" w:rsidR="00930400" w:rsidRPr="009A0DA6" w:rsidRDefault="00930400" w:rsidP="00AD09CB">
            <w:pPr>
              <w:spacing w:before="120" w:after="120"/>
              <w:contextualSpacing/>
              <w:rPr>
                <w:rFonts w:ascii="Cambria" w:hAnsi="Cambria" w:cs="Arial"/>
              </w:rPr>
            </w:pPr>
            <w:r w:rsidRPr="009A0DA6">
              <w:rPr>
                <w:rFonts w:ascii="Cambria" w:hAnsi="Cambria" w:cs="Arial"/>
              </w:rPr>
              <w:t>Communications</w:t>
            </w:r>
          </w:p>
        </w:tc>
        <w:tc>
          <w:tcPr>
            <w:tcW w:w="6662" w:type="dxa"/>
          </w:tcPr>
          <w:p w14:paraId="1C7504F6" w14:textId="77777777" w:rsidR="00930400" w:rsidRPr="009A0DA6" w:rsidRDefault="00930400" w:rsidP="00AD09CB">
            <w:pPr>
              <w:spacing w:before="120" w:after="120"/>
              <w:contextualSpacing/>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 xml:space="preserve">Communications provide assistance in the promotion of Local Mission across the departments </w:t>
            </w:r>
          </w:p>
        </w:tc>
      </w:tr>
    </w:tbl>
    <w:p w14:paraId="1284A010" w14:textId="77777777" w:rsidR="00930400" w:rsidRPr="009A0DA6" w:rsidRDefault="00930400" w:rsidP="00930400">
      <w:pPr>
        <w:spacing w:before="120" w:after="120" w:line="240" w:lineRule="auto"/>
        <w:contextualSpacing/>
        <w:rPr>
          <w:rFonts w:ascii="Cambria" w:hAnsi="Cambria"/>
        </w:rPr>
      </w:pPr>
    </w:p>
    <w:p w14:paraId="04FD39F7" w14:textId="77777777" w:rsidR="00930400" w:rsidRPr="009A0DA6" w:rsidRDefault="00930400" w:rsidP="00930400">
      <w:pPr>
        <w:spacing w:before="120" w:after="120" w:line="240" w:lineRule="auto"/>
        <w:contextualSpacing/>
        <w:rPr>
          <w:rFonts w:ascii="Cambria" w:hAnsi="Cambria"/>
        </w:rPr>
      </w:pPr>
      <w:r w:rsidRPr="009A0DA6">
        <w:rPr>
          <w:rFonts w:ascii="Cambria" w:hAnsi="Cambria"/>
        </w:rPr>
        <w:t xml:space="preserve">Note that as a result of the trial restructure Local Mission now includes Cross-Cultural Ministry, Grow Ministries, Lutheran Media, Ministry with the Ageing and New and Renewing Churches. Therefore cooperation also occurs across the Local Mission departments. </w:t>
      </w:r>
    </w:p>
    <w:p w14:paraId="01A57C65" w14:textId="77777777" w:rsidR="00930400" w:rsidRPr="009A0DA6" w:rsidRDefault="00930400" w:rsidP="00930400">
      <w:pPr>
        <w:spacing w:before="120" w:after="120" w:line="240" w:lineRule="auto"/>
        <w:contextualSpacing/>
        <w:rPr>
          <w:rFonts w:ascii="Cambria" w:hAnsi="Cambria"/>
          <w:b/>
        </w:rPr>
      </w:pPr>
    </w:p>
    <w:p w14:paraId="44A1E2FE" w14:textId="77777777" w:rsidR="00930400" w:rsidRPr="009A0DA6" w:rsidRDefault="00930400" w:rsidP="00930400">
      <w:pPr>
        <w:pStyle w:val="Heading3"/>
      </w:pPr>
      <w:r w:rsidRPr="009A0DA6">
        <w:t>Financial Performance</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2"/>
        <w:gridCol w:w="1496"/>
        <w:gridCol w:w="1496"/>
        <w:gridCol w:w="1684"/>
      </w:tblGrid>
      <w:tr w:rsidR="00930400" w:rsidRPr="009A0DA6" w14:paraId="028CB9D0" w14:textId="77777777" w:rsidTr="00AD09CB">
        <w:tc>
          <w:tcPr>
            <w:tcW w:w="3262" w:type="dxa"/>
          </w:tcPr>
          <w:p w14:paraId="118DFBE0" w14:textId="77777777" w:rsidR="00930400" w:rsidRPr="009A0DA6" w:rsidRDefault="00930400" w:rsidP="00AD09CB">
            <w:pPr>
              <w:spacing w:before="120" w:after="120"/>
              <w:contextualSpacing/>
              <w:rPr>
                <w:rFonts w:ascii="Cambria" w:hAnsi="Cambria" w:cs="Arial"/>
                <w:b/>
              </w:rPr>
            </w:pPr>
            <w:r w:rsidRPr="009A0DA6">
              <w:rPr>
                <w:rFonts w:ascii="Cambria" w:hAnsi="Cambria" w:cs="Arial"/>
                <w:b/>
              </w:rPr>
              <w:t>Alignment to LCA Strategic Priorities</w:t>
            </w:r>
          </w:p>
        </w:tc>
        <w:tc>
          <w:tcPr>
            <w:tcW w:w="1496" w:type="dxa"/>
          </w:tcPr>
          <w:p w14:paraId="0F0477E6" w14:textId="240DE20E" w:rsidR="00930400" w:rsidRPr="009A0DA6" w:rsidRDefault="00766B14" w:rsidP="00AD09CB">
            <w:pPr>
              <w:spacing w:before="120" w:after="120"/>
              <w:contextualSpacing/>
              <w:jc w:val="center"/>
              <w:rPr>
                <w:rFonts w:ascii="Cambria" w:hAnsi="Cambria" w:cs="Arial"/>
                <w:b/>
              </w:rPr>
            </w:pPr>
            <w:r>
              <w:rPr>
                <w:rFonts w:ascii="Cambria" w:hAnsi="Cambria" w:cs="Arial"/>
                <w:b/>
              </w:rPr>
              <w:t>2015</w:t>
            </w:r>
          </w:p>
        </w:tc>
        <w:tc>
          <w:tcPr>
            <w:tcW w:w="1496" w:type="dxa"/>
          </w:tcPr>
          <w:p w14:paraId="39787CE2" w14:textId="34749D62" w:rsidR="00930400" w:rsidRPr="009A0DA6" w:rsidRDefault="00766B14" w:rsidP="00AD09CB">
            <w:pPr>
              <w:spacing w:before="120" w:after="120"/>
              <w:contextualSpacing/>
              <w:jc w:val="center"/>
              <w:rPr>
                <w:rFonts w:ascii="Cambria" w:hAnsi="Cambria" w:cs="Arial"/>
                <w:b/>
              </w:rPr>
            </w:pPr>
            <w:r>
              <w:rPr>
                <w:rFonts w:ascii="Cambria" w:hAnsi="Cambria" w:cs="Arial"/>
                <w:b/>
              </w:rPr>
              <w:t>2016</w:t>
            </w:r>
          </w:p>
        </w:tc>
        <w:tc>
          <w:tcPr>
            <w:tcW w:w="1684" w:type="dxa"/>
          </w:tcPr>
          <w:p w14:paraId="5E5BCB22" w14:textId="33294CDB" w:rsidR="00930400" w:rsidRPr="009A0DA6" w:rsidRDefault="00766B14" w:rsidP="00AD09CB">
            <w:pPr>
              <w:spacing w:before="120" w:after="120"/>
              <w:contextualSpacing/>
              <w:jc w:val="center"/>
              <w:rPr>
                <w:rFonts w:ascii="Cambria" w:hAnsi="Cambria" w:cs="Arial"/>
                <w:b/>
              </w:rPr>
            </w:pPr>
            <w:r>
              <w:rPr>
                <w:rFonts w:ascii="Cambria" w:hAnsi="Cambria" w:cs="Arial"/>
                <w:b/>
              </w:rPr>
              <w:t>2017</w:t>
            </w:r>
          </w:p>
        </w:tc>
      </w:tr>
      <w:tr w:rsidR="00930400" w:rsidRPr="009A0DA6" w14:paraId="1EB16FEF" w14:textId="77777777" w:rsidTr="00AD09CB">
        <w:tc>
          <w:tcPr>
            <w:tcW w:w="3262" w:type="dxa"/>
          </w:tcPr>
          <w:p w14:paraId="6BC10799" w14:textId="77777777" w:rsidR="00930400" w:rsidRPr="009A0DA6" w:rsidRDefault="00930400" w:rsidP="00AD09CB">
            <w:pPr>
              <w:spacing w:before="120" w:after="120"/>
              <w:contextualSpacing/>
              <w:rPr>
                <w:rFonts w:ascii="Cambria" w:hAnsi="Cambria" w:cs="Arial"/>
                <w:b/>
              </w:rPr>
            </w:pPr>
            <w:r w:rsidRPr="009A0DA6">
              <w:rPr>
                <w:rFonts w:ascii="Cambria" w:hAnsi="Cambria" w:cs="Arial"/>
                <w:b/>
              </w:rPr>
              <w:t>Expenditure</w:t>
            </w:r>
          </w:p>
        </w:tc>
        <w:tc>
          <w:tcPr>
            <w:tcW w:w="1496" w:type="dxa"/>
          </w:tcPr>
          <w:p w14:paraId="674D6AC6" w14:textId="77777777" w:rsidR="00930400" w:rsidRPr="009A0DA6" w:rsidRDefault="00930400" w:rsidP="00AD09CB">
            <w:pPr>
              <w:spacing w:before="120" w:after="120"/>
              <w:contextualSpacing/>
              <w:jc w:val="center"/>
              <w:rPr>
                <w:rFonts w:ascii="Cambria" w:hAnsi="Cambria" w:cs="Arial"/>
                <w:b/>
              </w:rPr>
            </w:pPr>
          </w:p>
        </w:tc>
        <w:tc>
          <w:tcPr>
            <w:tcW w:w="1496" w:type="dxa"/>
          </w:tcPr>
          <w:p w14:paraId="200617F5" w14:textId="77777777" w:rsidR="00930400" w:rsidRPr="009A0DA6" w:rsidRDefault="00930400" w:rsidP="00AD09CB">
            <w:pPr>
              <w:spacing w:before="120" w:after="120"/>
              <w:contextualSpacing/>
              <w:jc w:val="center"/>
              <w:rPr>
                <w:rFonts w:ascii="Cambria" w:hAnsi="Cambria" w:cs="Arial"/>
                <w:b/>
              </w:rPr>
            </w:pPr>
          </w:p>
        </w:tc>
        <w:tc>
          <w:tcPr>
            <w:tcW w:w="1684" w:type="dxa"/>
          </w:tcPr>
          <w:p w14:paraId="24D1C64E" w14:textId="77777777" w:rsidR="00930400" w:rsidRPr="009A0DA6" w:rsidRDefault="00930400" w:rsidP="00AD09CB">
            <w:pPr>
              <w:spacing w:before="120" w:after="120"/>
              <w:contextualSpacing/>
              <w:jc w:val="center"/>
              <w:rPr>
                <w:rFonts w:ascii="Cambria" w:hAnsi="Cambria" w:cs="Arial"/>
                <w:b/>
              </w:rPr>
            </w:pPr>
          </w:p>
        </w:tc>
      </w:tr>
      <w:tr w:rsidR="00930400" w:rsidRPr="009A0DA6" w14:paraId="1B8E82F5" w14:textId="77777777" w:rsidTr="00AD09CB">
        <w:tc>
          <w:tcPr>
            <w:tcW w:w="3262" w:type="dxa"/>
          </w:tcPr>
          <w:p w14:paraId="181FF640" w14:textId="77777777" w:rsidR="00930400" w:rsidRPr="009A0DA6" w:rsidRDefault="00930400" w:rsidP="00AD09CB">
            <w:pPr>
              <w:spacing w:before="120" w:after="120"/>
              <w:contextualSpacing/>
              <w:rPr>
                <w:rFonts w:ascii="Cambria" w:hAnsi="Cambria" w:cs="Arial"/>
              </w:rPr>
            </w:pPr>
            <w:r w:rsidRPr="009A0DA6">
              <w:rPr>
                <w:rFonts w:ascii="Cambria" w:hAnsi="Cambria" w:cs="Arial"/>
              </w:rPr>
              <w:t>1 Growing as God’s People</w:t>
            </w:r>
          </w:p>
        </w:tc>
        <w:tc>
          <w:tcPr>
            <w:tcW w:w="1496" w:type="dxa"/>
          </w:tcPr>
          <w:p w14:paraId="1D36A13C" w14:textId="77777777" w:rsidR="00930400" w:rsidRPr="009A0DA6" w:rsidRDefault="00930400" w:rsidP="00AD09CB">
            <w:pPr>
              <w:spacing w:before="120" w:after="120"/>
              <w:contextualSpacing/>
              <w:jc w:val="center"/>
              <w:rPr>
                <w:rFonts w:ascii="Cambria" w:hAnsi="Cambria" w:cs="Arial"/>
              </w:rPr>
            </w:pPr>
            <w:r w:rsidRPr="009A0DA6">
              <w:rPr>
                <w:rFonts w:ascii="Cambria" w:hAnsi="Cambria" w:cs="Arial"/>
              </w:rPr>
              <w:t>$387,843</w:t>
            </w:r>
          </w:p>
        </w:tc>
        <w:tc>
          <w:tcPr>
            <w:tcW w:w="1496" w:type="dxa"/>
          </w:tcPr>
          <w:p w14:paraId="53D4462D" w14:textId="77777777" w:rsidR="00930400" w:rsidRPr="009A0DA6" w:rsidRDefault="00930400" w:rsidP="00AD09CB">
            <w:pPr>
              <w:spacing w:before="120" w:after="120"/>
              <w:contextualSpacing/>
              <w:jc w:val="center"/>
              <w:rPr>
                <w:rFonts w:ascii="Cambria" w:hAnsi="Cambria" w:cs="Arial"/>
              </w:rPr>
            </w:pPr>
            <w:r w:rsidRPr="009A0DA6">
              <w:rPr>
                <w:rFonts w:ascii="Cambria" w:hAnsi="Cambria" w:cs="Arial"/>
              </w:rPr>
              <w:t>$389,959</w:t>
            </w:r>
          </w:p>
        </w:tc>
        <w:tc>
          <w:tcPr>
            <w:tcW w:w="1684" w:type="dxa"/>
          </w:tcPr>
          <w:p w14:paraId="1194FBDA" w14:textId="48CB4A34" w:rsidR="00930400" w:rsidRPr="009A0DA6" w:rsidRDefault="00766B14" w:rsidP="00AD09CB">
            <w:pPr>
              <w:spacing w:before="120" w:after="120"/>
              <w:contextualSpacing/>
              <w:jc w:val="center"/>
              <w:rPr>
                <w:rFonts w:ascii="Cambria" w:hAnsi="Cambria" w:cs="Arial"/>
              </w:rPr>
            </w:pPr>
            <w:r>
              <w:rPr>
                <w:rFonts w:ascii="Cambria" w:hAnsi="Cambria" w:cs="Arial"/>
              </w:rPr>
              <w:t>$475,267</w:t>
            </w:r>
          </w:p>
        </w:tc>
      </w:tr>
      <w:tr w:rsidR="00930400" w:rsidRPr="009A0DA6" w14:paraId="16280D9F" w14:textId="77777777" w:rsidTr="00AD09CB">
        <w:tc>
          <w:tcPr>
            <w:tcW w:w="3262" w:type="dxa"/>
          </w:tcPr>
          <w:p w14:paraId="4542C3A6" w14:textId="77777777" w:rsidR="00930400" w:rsidRPr="009A0DA6" w:rsidRDefault="00930400" w:rsidP="00AD09CB">
            <w:pPr>
              <w:spacing w:before="120" w:after="120"/>
              <w:contextualSpacing/>
              <w:rPr>
                <w:rFonts w:ascii="Cambria" w:hAnsi="Cambria" w:cs="Arial"/>
              </w:rPr>
            </w:pPr>
            <w:r w:rsidRPr="009A0DA6">
              <w:rPr>
                <w:rFonts w:ascii="Cambria" w:hAnsi="Cambria" w:cs="Arial"/>
              </w:rPr>
              <w:t>2 Going as God’s People</w:t>
            </w:r>
          </w:p>
        </w:tc>
        <w:tc>
          <w:tcPr>
            <w:tcW w:w="1496" w:type="dxa"/>
          </w:tcPr>
          <w:p w14:paraId="2D589E8F" w14:textId="77777777" w:rsidR="00930400" w:rsidRPr="009A0DA6" w:rsidRDefault="00930400" w:rsidP="00AD09CB">
            <w:pPr>
              <w:spacing w:before="120" w:after="120"/>
              <w:contextualSpacing/>
              <w:jc w:val="center"/>
              <w:rPr>
                <w:rFonts w:ascii="Cambria" w:hAnsi="Cambria" w:cs="Arial"/>
              </w:rPr>
            </w:pPr>
            <w:r w:rsidRPr="009A0DA6">
              <w:rPr>
                <w:rFonts w:ascii="Cambria" w:hAnsi="Cambria" w:cs="Arial"/>
              </w:rPr>
              <w:t>$387,843</w:t>
            </w:r>
          </w:p>
        </w:tc>
        <w:tc>
          <w:tcPr>
            <w:tcW w:w="1496" w:type="dxa"/>
          </w:tcPr>
          <w:p w14:paraId="3BC792F7" w14:textId="77777777" w:rsidR="00930400" w:rsidRPr="009A0DA6" w:rsidRDefault="00930400" w:rsidP="00AD09CB">
            <w:pPr>
              <w:spacing w:before="120" w:after="120"/>
              <w:contextualSpacing/>
              <w:jc w:val="center"/>
              <w:rPr>
                <w:rFonts w:ascii="Cambria" w:hAnsi="Cambria" w:cs="Arial"/>
              </w:rPr>
            </w:pPr>
            <w:r w:rsidRPr="009A0DA6">
              <w:rPr>
                <w:rFonts w:ascii="Cambria" w:hAnsi="Cambria" w:cs="Arial"/>
              </w:rPr>
              <w:t>$389,959</w:t>
            </w:r>
          </w:p>
        </w:tc>
        <w:tc>
          <w:tcPr>
            <w:tcW w:w="1684" w:type="dxa"/>
          </w:tcPr>
          <w:p w14:paraId="725DDE5A" w14:textId="10D06C47" w:rsidR="00930400" w:rsidRPr="009A0DA6" w:rsidRDefault="00930400" w:rsidP="00AD09CB">
            <w:pPr>
              <w:spacing w:before="120" w:after="120"/>
              <w:contextualSpacing/>
              <w:jc w:val="center"/>
              <w:rPr>
                <w:rFonts w:ascii="Cambria" w:hAnsi="Cambria" w:cs="Arial"/>
              </w:rPr>
            </w:pPr>
            <w:r w:rsidRPr="009A0DA6">
              <w:rPr>
                <w:rFonts w:ascii="Cambria" w:hAnsi="Cambria" w:cs="Arial"/>
              </w:rPr>
              <w:t>$475,266</w:t>
            </w:r>
          </w:p>
        </w:tc>
      </w:tr>
      <w:tr w:rsidR="00930400" w:rsidRPr="009A0DA6" w14:paraId="2DA7C9E0" w14:textId="77777777" w:rsidTr="00AD09CB">
        <w:tc>
          <w:tcPr>
            <w:tcW w:w="3262" w:type="dxa"/>
          </w:tcPr>
          <w:p w14:paraId="199F4808" w14:textId="77777777" w:rsidR="00930400" w:rsidRPr="009A0DA6" w:rsidRDefault="00930400" w:rsidP="00AD09CB">
            <w:pPr>
              <w:spacing w:before="120" w:after="120"/>
              <w:contextualSpacing/>
              <w:rPr>
                <w:rFonts w:ascii="Cambria" w:hAnsi="Cambria" w:cs="Arial"/>
              </w:rPr>
            </w:pPr>
            <w:r w:rsidRPr="009A0DA6">
              <w:rPr>
                <w:rFonts w:ascii="Cambria" w:hAnsi="Cambria" w:cs="Arial"/>
              </w:rPr>
              <w:t>3 Enable us to Go &amp; Grow</w:t>
            </w:r>
          </w:p>
        </w:tc>
        <w:tc>
          <w:tcPr>
            <w:tcW w:w="1496" w:type="dxa"/>
          </w:tcPr>
          <w:p w14:paraId="0E9B2863" w14:textId="77777777" w:rsidR="00930400" w:rsidRPr="009A0DA6" w:rsidRDefault="00930400" w:rsidP="00AD09CB">
            <w:pPr>
              <w:spacing w:before="120" w:after="120"/>
              <w:contextualSpacing/>
              <w:jc w:val="center"/>
              <w:rPr>
                <w:rFonts w:ascii="Cambria" w:hAnsi="Cambria" w:cs="Arial"/>
              </w:rPr>
            </w:pPr>
          </w:p>
        </w:tc>
        <w:tc>
          <w:tcPr>
            <w:tcW w:w="1496" w:type="dxa"/>
          </w:tcPr>
          <w:p w14:paraId="71690A65" w14:textId="77777777" w:rsidR="00930400" w:rsidRPr="009A0DA6" w:rsidRDefault="00930400" w:rsidP="00AD09CB">
            <w:pPr>
              <w:spacing w:before="120" w:after="120"/>
              <w:contextualSpacing/>
              <w:jc w:val="center"/>
              <w:rPr>
                <w:rFonts w:ascii="Cambria" w:hAnsi="Cambria" w:cs="Arial"/>
              </w:rPr>
            </w:pPr>
          </w:p>
        </w:tc>
        <w:tc>
          <w:tcPr>
            <w:tcW w:w="1684" w:type="dxa"/>
          </w:tcPr>
          <w:p w14:paraId="65C0B9E1" w14:textId="77777777" w:rsidR="00930400" w:rsidRPr="009A0DA6" w:rsidRDefault="00930400" w:rsidP="00AD09CB">
            <w:pPr>
              <w:spacing w:before="120" w:after="120"/>
              <w:contextualSpacing/>
              <w:jc w:val="center"/>
              <w:rPr>
                <w:rFonts w:ascii="Cambria" w:hAnsi="Cambria" w:cs="Arial"/>
              </w:rPr>
            </w:pPr>
          </w:p>
        </w:tc>
      </w:tr>
      <w:tr w:rsidR="00930400" w:rsidRPr="009A0DA6" w14:paraId="55AEFBFA" w14:textId="77777777" w:rsidTr="00AD09CB">
        <w:tc>
          <w:tcPr>
            <w:tcW w:w="3262" w:type="dxa"/>
          </w:tcPr>
          <w:p w14:paraId="18F867C0" w14:textId="77777777" w:rsidR="00930400" w:rsidRPr="00766B14" w:rsidRDefault="00930400" w:rsidP="00AD09CB">
            <w:pPr>
              <w:spacing w:before="120" w:after="120"/>
              <w:contextualSpacing/>
              <w:rPr>
                <w:rFonts w:ascii="Cambria" w:hAnsi="Cambria" w:cs="Arial"/>
                <w:b/>
              </w:rPr>
            </w:pPr>
            <w:r w:rsidRPr="00766B14">
              <w:rPr>
                <w:rFonts w:ascii="Cambria" w:hAnsi="Cambria" w:cs="Arial"/>
                <w:b/>
              </w:rPr>
              <w:t>Total</w:t>
            </w:r>
          </w:p>
        </w:tc>
        <w:tc>
          <w:tcPr>
            <w:tcW w:w="1496" w:type="dxa"/>
          </w:tcPr>
          <w:p w14:paraId="0CB0EE45" w14:textId="77777777" w:rsidR="00930400" w:rsidRPr="009A0DA6" w:rsidRDefault="00930400" w:rsidP="00AD09CB">
            <w:pPr>
              <w:spacing w:before="120" w:after="120"/>
              <w:contextualSpacing/>
              <w:jc w:val="center"/>
              <w:rPr>
                <w:rFonts w:ascii="Cambria" w:hAnsi="Cambria" w:cs="Arial"/>
              </w:rPr>
            </w:pPr>
            <w:r w:rsidRPr="009A0DA6">
              <w:rPr>
                <w:rFonts w:ascii="Cambria" w:hAnsi="Cambria" w:cs="Arial"/>
              </w:rPr>
              <w:t>$775,686</w:t>
            </w:r>
          </w:p>
        </w:tc>
        <w:tc>
          <w:tcPr>
            <w:tcW w:w="1496" w:type="dxa"/>
          </w:tcPr>
          <w:p w14:paraId="7AB18569" w14:textId="77777777" w:rsidR="00930400" w:rsidRPr="009A0DA6" w:rsidRDefault="00930400" w:rsidP="00AD09CB">
            <w:pPr>
              <w:spacing w:before="120" w:after="120"/>
              <w:contextualSpacing/>
              <w:jc w:val="center"/>
              <w:rPr>
                <w:rFonts w:ascii="Cambria" w:hAnsi="Cambria" w:cs="Arial"/>
              </w:rPr>
            </w:pPr>
            <w:r w:rsidRPr="009A0DA6">
              <w:rPr>
                <w:rFonts w:ascii="Cambria" w:hAnsi="Cambria" w:cs="Arial"/>
              </w:rPr>
              <w:t>$779,918</w:t>
            </w:r>
          </w:p>
        </w:tc>
        <w:tc>
          <w:tcPr>
            <w:tcW w:w="1684" w:type="dxa"/>
          </w:tcPr>
          <w:p w14:paraId="0757FDC4" w14:textId="3397E93D" w:rsidR="00930400" w:rsidRPr="009A0DA6" w:rsidRDefault="00930400" w:rsidP="00AD09CB">
            <w:pPr>
              <w:spacing w:before="120" w:after="120"/>
              <w:contextualSpacing/>
              <w:jc w:val="center"/>
              <w:rPr>
                <w:rFonts w:ascii="Cambria" w:hAnsi="Cambria" w:cs="Arial"/>
              </w:rPr>
            </w:pPr>
            <w:r w:rsidRPr="009A0DA6">
              <w:rPr>
                <w:rFonts w:ascii="Cambria" w:hAnsi="Cambria" w:cs="Arial"/>
              </w:rPr>
              <w:t>$950,533</w:t>
            </w:r>
          </w:p>
        </w:tc>
      </w:tr>
    </w:tbl>
    <w:p w14:paraId="2492905C" w14:textId="77777777" w:rsidR="00930400" w:rsidRPr="009A0DA6" w:rsidRDefault="00930400" w:rsidP="00930400">
      <w:pPr>
        <w:spacing w:before="120" w:after="120" w:line="240" w:lineRule="auto"/>
        <w:contextualSpacing/>
        <w:rPr>
          <w:rFonts w:ascii="Cambria" w:hAnsi="Cambria"/>
        </w:rPr>
      </w:pPr>
    </w:p>
    <w:p w14:paraId="4AC6BB65" w14:textId="77777777" w:rsidR="00DE6169" w:rsidRDefault="00DE6169">
      <w:pPr>
        <w:rPr>
          <w:rFonts w:ascii="Cambria" w:eastAsiaTheme="majorEastAsia" w:hAnsi="Cambria" w:cstheme="majorBidi"/>
          <w:b/>
          <w:caps/>
          <w:sz w:val="28"/>
          <w:szCs w:val="24"/>
        </w:rPr>
      </w:pPr>
      <w:r>
        <w:br w:type="page"/>
      </w:r>
    </w:p>
    <w:p w14:paraId="6229535A" w14:textId="57148F35" w:rsidR="00930400" w:rsidRPr="009A0DA6" w:rsidRDefault="00930400" w:rsidP="00930400">
      <w:pPr>
        <w:pStyle w:val="Heading3"/>
      </w:pPr>
      <w:r w:rsidRPr="009A0DA6">
        <w:lastRenderedPageBreak/>
        <w:t>agenda 5.2</w:t>
      </w:r>
    </w:p>
    <w:p w14:paraId="666F895F" w14:textId="77777777" w:rsidR="00930400" w:rsidRPr="009A0DA6" w:rsidRDefault="00930400" w:rsidP="00930400">
      <w:pPr>
        <w:pStyle w:val="Heading2"/>
      </w:pPr>
      <w:bookmarkStart w:id="480" w:name="_Toc521954731"/>
      <w:r w:rsidRPr="009A0DA6">
        <w:t>Financial Report: Board for Local Mission</w:t>
      </w:r>
      <w:bookmarkEnd w:id="480"/>
    </w:p>
    <w:p w14:paraId="5FF5EE02" w14:textId="77777777" w:rsidR="00930400" w:rsidRPr="009A0DA6" w:rsidRDefault="00930400" w:rsidP="00930400">
      <w:pPr>
        <w:pStyle w:val="HEADINGBOR"/>
        <w:pBdr>
          <w:bottom w:val="none" w:sz="0" w:space="0" w:color="auto"/>
        </w:pBdr>
        <w:spacing w:before="120" w:after="120" w:line="240" w:lineRule="auto"/>
        <w:ind w:left="0" w:firstLine="0"/>
        <w:contextualSpacing/>
        <w:rPr>
          <w:rFonts w:ascii="Cambria" w:hAnsi="Cambria"/>
          <w:color w:val="auto"/>
          <w:sz w:val="22"/>
          <w:szCs w:val="22"/>
          <w:lang w:val="en-GB" w:eastAsia="en-AU"/>
        </w:rPr>
      </w:pPr>
    </w:p>
    <w:p w14:paraId="78B89D29" w14:textId="77777777" w:rsidR="00930400" w:rsidRPr="009A0DA6" w:rsidRDefault="00930400" w:rsidP="00766B14">
      <w:pPr>
        <w:pStyle w:val="NoSpacing"/>
        <w:rPr>
          <w:b/>
        </w:rPr>
      </w:pPr>
      <w:r w:rsidRPr="009A0DA6">
        <w:rPr>
          <w:b/>
        </w:rPr>
        <w:t xml:space="preserve">INDIVIDUAL DEPARTMENTAL FINANCIAL REPORT </w:t>
      </w:r>
    </w:p>
    <w:p w14:paraId="5D723750" w14:textId="69CBC576" w:rsidR="00930400" w:rsidRPr="009A0DA6" w:rsidRDefault="00930400" w:rsidP="00930400">
      <w:pPr>
        <w:pStyle w:val="NoSpacing"/>
        <w:rPr>
          <w:b/>
          <w:sz w:val="12"/>
        </w:rPr>
      </w:pPr>
      <w:r w:rsidRPr="009A0DA6">
        <w:rPr>
          <w:b/>
          <w:sz w:val="2"/>
          <w:szCs w:val="2"/>
        </w:rPr>
        <w:br/>
      </w:r>
      <w:r w:rsidR="00FF7E8B" w:rsidRPr="009A0DA6">
        <w:rPr>
          <w:b/>
        </w:rPr>
        <w:t>FOR THE PERIODS ENDING 31 DECEMBER</w:t>
      </w:r>
      <w:r w:rsidR="00FF7E8B" w:rsidRPr="009A0DA6">
        <w:rPr>
          <w:b/>
        </w:rPr>
        <w:br/>
      </w:r>
    </w:p>
    <w:p w14:paraId="01C0D700"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b/>
        </w:rPr>
      </w:pPr>
      <w:r w:rsidRPr="009A0DA6">
        <w:rPr>
          <w:rFonts w:ascii="Cambria" w:hAnsi="Cambria" w:cstheme="minorHAnsi"/>
          <w:b/>
        </w:rPr>
        <w:tab/>
        <w:t>2017</w:t>
      </w:r>
      <w:r w:rsidRPr="009A0DA6">
        <w:rPr>
          <w:rFonts w:ascii="Cambria" w:hAnsi="Cambria" w:cstheme="minorHAnsi"/>
          <w:b/>
        </w:rPr>
        <w:tab/>
        <w:t>2016</w:t>
      </w:r>
      <w:r w:rsidRPr="009A0DA6">
        <w:rPr>
          <w:rFonts w:ascii="Cambria" w:hAnsi="Cambria" w:cstheme="minorHAnsi"/>
          <w:b/>
        </w:rPr>
        <w:tab/>
        <w:t>2015</w:t>
      </w:r>
    </w:p>
    <w:p w14:paraId="5E04D3CB"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b/>
        </w:rPr>
        <w:t>Income</w:t>
      </w:r>
      <w:r w:rsidRPr="009A0DA6">
        <w:rPr>
          <w:rFonts w:ascii="Cambria" w:hAnsi="Cambria" w:cstheme="minorHAnsi"/>
        </w:rPr>
        <w:tab/>
      </w:r>
    </w:p>
    <w:p w14:paraId="7A3E06CF"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Appeals, Donations &amp; Bequests</w:t>
      </w:r>
      <w:r w:rsidRPr="009A0DA6">
        <w:rPr>
          <w:rFonts w:ascii="Cambria" w:hAnsi="Cambria" w:cstheme="minorHAnsi"/>
        </w:rPr>
        <w:tab/>
        <w:t>0</w:t>
      </w:r>
      <w:r w:rsidRPr="009A0DA6">
        <w:rPr>
          <w:rFonts w:ascii="Cambria" w:hAnsi="Cambria" w:cstheme="minorHAnsi"/>
        </w:rPr>
        <w:tab/>
        <w:t>26,159</w:t>
      </w:r>
      <w:r w:rsidRPr="009A0DA6">
        <w:rPr>
          <w:rFonts w:ascii="Cambria" w:hAnsi="Cambria" w:cstheme="minorHAnsi"/>
        </w:rPr>
        <w:tab/>
        <w:t>500</w:t>
      </w:r>
    </w:p>
    <w:p w14:paraId="389831E7"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Investment and rental income</w:t>
      </w:r>
      <w:r w:rsidRPr="009A0DA6">
        <w:rPr>
          <w:rFonts w:ascii="Cambria" w:hAnsi="Cambria" w:cstheme="minorHAnsi"/>
        </w:rPr>
        <w:tab/>
        <w:t>264</w:t>
      </w:r>
      <w:r w:rsidRPr="009A0DA6">
        <w:rPr>
          <w:rFonts w:ascii="Cambria" w:hAnsi="Cambria" w:cstheme="minorHAnsi"/>
        </w:rPr>
        <w:tab/>
        <w:t>312</w:t>
      </w:r>
      <w:r w:rsidRPr="009A0DA6">
        <w:rPr>
          <w:rFonts w:ascii="Cambria" w:hAnsi="Cambria" w:cstheme="minorHAnsi"/>
        </w:rPr>
        <w:tab/>
        <w:t>29,863</w:t>
      </w:r>
    </w:p>
    <w:p w14:paraId="41BF4AC0"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LCA income</w:t>
      </w:r>
      <w:r w:rsidRPr="009A0DA6">
        <w:rPr>
          <w:rFonts w:ascii="Cambria" w:hAnsi="Cambria" w:cstheme="minorHAnsi"/>
        </w:rPr>
        <w:tab/>
        <w:t>773,450</w:t>
      </w:r>
      <w:r w:rsidRPr="009A0DA6">
        <w:rPr>
          <w:rFonts w:ascii="Cambria" w:hAnsi="Cambria" w:cstheme="minorHAnsi"/>
        </w:rPr>
        <w:tab/>
        <w:t>540,933</w:t>
      </w:r>
      <w:r w:rsidRPr="009A0DA6">
        <w:rPr>
          <w:rFonts w:ascii="Cambria" w:hAnsi="Cambria" w:cstheme="minorHAnsi"/>
        </w:rPr>
        <w:tab/>
        <w:t>463,390</w:t>
      </w:r>
    </w:p>
    <w:p w14:paraId="62A38DCD"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LCA allocations</w:t>
      </w:r>
      <w:r w:rsidRPr="009A0DA6">
        <w:rPr>
          <w:rFonts w:ascii="Cambria" w:hAnsi="Cambria" w:cstheme="minorHAnsi"/>
        </w:rPr>
        <w:tab/>
        <w:t>171,108</w:t>
      </w:r>
      <w:r w:rsidRPr="009A0DA6">
        <w:rPr>
          <w:rFonts w:ascii="Cambria" w:hAnsi="Cambria" w:cstheme="minorHAnsi"/>
        </w:rPr>
        <w:tab/>
        <w:t>150,000</w:t>
      </w:r>
      <w:r w:rsidRPr="009A0DA6">
        <w:rPr>
          <w:rFonts w:ascii="Cambria" w:hAnsi="Cambria" w:cstheme="minorHAnsi"/>
        </w:rPr>
        <w:tab/>
        <w:t>163,300</w:t>
      </w:r>
    </w:p>
    <w:p w14:paraId="3783DA73"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Reimbursements</w:t>
      </w:r>
      <w:r w:rsidRPr="009A0DA6">
        <w:rPr>
          <w:rFonts w:ascii="Cambria" w:hAnsi="Cambria" w:cstheme="minorHAnsi"/>
        </w:rPr>
        <w:tab/>
        <w:t>6,500</w:t>
      </w:r>
      <w:r w:rsidRPr="009A0DA6">
        <w:rPr>
          <w:rFonts w:ascii="Cambria" w:hAnsi="Cambria" w:cstheme="minorHAnsi"/>
        </w:rPr>
        <w:tab/>
        <w:t>6,117</w:t>
      </w:r>
      <w:r w:rsidRPr="009A0DA6">
        <w:rPr>
          <w:rFonts w:ascii="Cambria" w:hAnsi="Cambria" w:cstheme="minorHAnsi"/>
        </w:rPr>
        <w:tab/>
        <w:t>0</w:t>
      </w:r>
    </w:p>
    <w:p w14:paraId="5860339C"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Trading income</w:t>
      </w:r>
      <w:r w:rsidRPr="009A0DA6">
        <w:rPr>
          <w:rFonts w:ascii="Cambria" w:hAnsi="Cambria" w:cstheme="minorHAnsi"/>
        </w:rPr>
        <w:tab/>
        <w:t>41,450</w:t>
      </w:r>
      <w:r w:rsidRPr="009A0DA6">
        <w:rPr>
          <w:rFonts w:ascii="Cambria" w:hAnsi="Cambria" w:cstheme="minorHAnsi"/>
        </w:rPr>
        <w:tab/>
        <w:t>0</w:t>
      </w:r>
      <w:r w:rsidRPr="009A0DA6">
        <w:rPr>
          <w:rFonts w:ascii="Cambria" w:hAnsi="Cambria" w:cstheme="minorHAnsi"/>
        </w:rPr>
        <w:tab/>
        <w:t>0</w:t>
      </w:r>
    </w:p>
    <w:p w14:paraId="7DA8CC99"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b/>
        </w:rPr>
      </w:pPr>
      <w:r w:rsidRPr="009A0DA6">
        <w:rPr>
          <w:rFonts w:ascii="Cambria" w:hAnsi="Cambria" w:cstheme="minorHAnsi"/>
          <w:b/>
        </w:rPr>
        <w:tab/>
        <w:t>1,006,673</w:t>
      </w:r>
      <w:r w:rsidRPr="009A0DA6">
        <w:rPr>
          <w:rFonts w:ascii="Cambria" w:hAnsi="Cambria" w:cstheme="minorHAnsi"/>
          <w:b/>
        </w:rPr>
        <w:tab/>
        <w:t>723,521</w:t>
      </w:r>
      <w:r w:rsidRPr="009A0DA6">
        <w:rPr>
          <w:rFonts w:ascii="Cambria" w:hAnsi="Cambria" w:cstheme="minorHAnsi"/>
          <w:b/>
        </w:rPr>
        <w:tab/>
        <w:t>656,873</w:t>
      </w:r>
    </w:p>
    <w:p w14:paraId="4FBDFD1F"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b/>
        </w:rPr>
        <w:t>Expenditure</w:t>
      </w:r>
    </w:p>
    <w:p w14:paraId="46A46BB2"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Administration costs</w:t>
      </w:r>
      <w:r w:rsidRPr="009A0DA6">
        <w:rPr>
          <w:rFonts w:ascii="Cambria" w:hAnsi="Cambria" w:cstheme="minorHAnsi"/>
        </w:rPr>
        <w:tab/>
        <w:t>47,207</w:t>
      </w:r>
      <w:r w:rsidRPr="009A0DA6">
        <w:rPr>
          <w:rFonts w:ascii="Cambria" w:hAnsi="Cambria" w:cstheme="minorHAnsi"/>
        </w:rPr>
        <w:tab/>
        <w:t>19,847</w:t>
      </w:r>
      <w:r w:rsidRPr="009A0DA6">
        <w:rPr>
          <w:rFonts w:ascii="Cambria" w:hAnsi="Cambria" w:cstheme="minorHAnsi"/>
        </w:rPr>
        <w:tab/>
        <w:t>23,933</w:t>
      </w:r>
    </w:p>
    <w:p w14:paraId="2CC478E9"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Asset costs</w:t>
      </w:r>
      <w:r w:rsidRPr="009A0DA6">
        <w:rPr>
          <w:rFonts w:ascii="Cambria" w:hAnsi="Cambria" w:cstheme="minorHAnsi"/>
        </w:rPr>
        <w:tab/>
        <w:t>287</w:t>
      </w:r>
      <w:r w:rsidRPr="009A0DA6">
        <w:rPr>
          <w:rFonts w:ascii="Cambria" w:hAnsi="Cambria" w:cstheme="minorHAnsi"/>
        </w:rPr>
        <w:tab/>
        <w:t>12,059</w:t>
      </w:r>
      <w:r w:rsidRPr="009A0DA6">
        <w:rPr>
          <w:rFonts w:ascii="Cambria" w:hAnsi="Cambria" w:cstheme="minorHAnsi"/>
        </w:rPr>
        <w:tab/>
        <w:t>9,681</w:t>
      </w:r>
    </w:p>
    <w:p w14:paraId="085F560B"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 xml:space="preserve">Consulting </w:t>
      </w:r>
      <w:r w:rsidRPr="009A0DA6">
        <w:rPr>
          <w:rFonts w:ascii="Cambria" w:hAnsi="Cambria" w:cstheme="minorHAnsi"/>
        </w:rPr>
        <w:tab/>
        <w:t>1,833</w:t>
      </w:r>
      <w:r w:rsidRPr="009A0DA6">
        <w:rPr>
          <w:rFonts w:ascii="Cambria" w:hAnsi="Cambria" w:cstheme="minorHAnsi"/>
        </w:rPr>
        <w:tab/>
        <w:t>833</w:t>
      </w:r>
      <w:r w:rsidRPr="009A0DA6">
        <w:rPr>
          <w:rFonts w:ascii="Cambria" w:hAnsi="Cambria" w:cstheme="minorHAnsi"/>
        </w:rPr>
        <w:tab/>
        <w:t>833</w:t>
      </w:r>
    </w:p>
    <w:p w14:paraId="4C749DD7"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Depreciation expense</w:t>
      </w:r>
      <w:r w:rsidRPr="009A0DA6">
        <w:rPr>
          <w:rFonts w:ascii="Cambria" w:hAnsi="Cambria" w:cstheme="minorHAnsi"/>
        </w:rPr>
        <w:tab/>
        <w:t>1,011</w:t>
      </w:r>
      <w:r w:rsidRPr="009A0DA6">
        <w:rPr>
          <w:rFonts w:ascii="Cambria" w:hAnsi="Cambria" w:cstheme="minorHAnsi"/>
        </w:rPr>
        <w:tab/>
        <w:t xml:space="preserve">36 </w:t>
      </w:r>
      <w:r w:rsidRPr="009A0DA6">
        <w:rPr>
          <w:rFonts w:ascii="Cambria" w:hAnsi="Cambria" w:cstheme="minorHAnsi"/>
        </w:rPr>
        <w:tab/>
        <w:t>0</w:t>
      </w:r>
    </w:p>
    <w:p w14:paraId="30D823A3"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Employee expenses</w:t>
      </w:r>
      <w:r w:rsidRPr="009A0DA6">
        <w:rPr>
          <w:rFonts w:ascii="Cambria" w:hAnsi="Cambria" w:cstheme="minorHAnsi"/>
        </w:rPr>
        <w:tab/>
        <w:t>365,503</w:t>
      </w:r>
      <w:r w:rsidRPr="009A0DA6">
        <w:rPr>
          <w:rFonts w:ascii="Cambria" w:hAnsi="Cambria" w:cstheme="minorHAnsi"/>
        </w:rPr>
        <w:tab/>
        <w:t>242,048</w:t>
      </w:r>
      <w:r w:rsidRPr="009A0DA6">
        <w:rPr>
          <w:rFonts w:ascii="Cambria" w:hAnsi="Cambria" w:cstheme="minorHAnsi"/>
        </w:rPr>
        <w:tab/>
        <w:t>176,329</w:t>
      </w:r>
    </w:p>
    <w:p w14:paraId="6EDBF895"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Governance costs</w:t>
      </w:r>
      <w:r w:rsidRPr="009A0DA6">
        <w:rPr>
          <w:rFonts w:ascii="Cambria" w:hAnsi="Cambria" w:cstheme="minorHAnsi"/>
        </w:rPr>
        <w:tab/>
        <w:t>23,148</w:t>
      </w:r>
      <w:r w:rsidRPr="009A0DA6">
        <w:rPr>
          <w:rFonts w:ascii="Cambria" w:hAnsi="Cambria" w:cstheme="minorHAnsi"/>
        </w:rPr>
        <w:tab/>
        <w:t>0</w:t>
      </w:r>
      <w:r w:rsidRPr="009A0DA6">
        <w:rPr>
          <w:rFonts w:ascii="Cambria" w:hAnsi="Cambria" w:cstheme="minorHAnsi"/>
        </w:rPr>
        <w:tab/>
        <w:t>0</w:t>
      </w:r>
    </w:p>
    <w:p w14:paraId="07DC5A34"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LCA other expenditure and reimbursements</w:t>
      </w:r>
      <w:r w:rsidRPr="009A0DA6">
        <w:rPr>
          <w:rFonts w:ascii="Cambria" w:hAnsi="Cambria" w:cstheme="minorHAnsi"/>
        </w:rPr>
        <w:tab/>
        <w:t>7,735</w:t>
      </w:r>
      <w:r w:rsidRPr="009A0DA6">
        <w:rPr>
          <w:rFonts w:ascii="Cambria" w:hAnsi="Cambria" w:cstheme="minorHAnsi"/>
        </w:rPr>
        <w:tab/>
        <w:t xml:space="preserve">2,407 </w:t>
      </w:r>
      <w:r w:rsidRPr="009A0DA6">
        <w:rPr>
          <w:rFonts w:ascii="Cambria" w:hAnsi="Cambria" w:cstheme="minorHAnsi"/>
        </w:rPr>
        <w:tab/>
        <w:t>1,407</w:t>
      </w:r>
    </w:p>
    <w:p w14:paraId="2B7D29ED"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Ministry expenses</w:t>
      </w:r>
      <w:r w:rsidRPr="009A0DA6">
        <w:rPr>
          <w:rFonts w:ascii="Cambria" w:hAnsi="Cambria" w:cstheme="minorHAnsi"/>
        </w:rPr>
        <w:tab/>
        <w:t>422,003</w:t>
      </w:r>
      <w:r w:rsidRPr="009A0DA6">
        <w:rPr>
          <w:rFonts w:ascii="Cambria" w:hAnsi="Cambria" w:cstheme="minorHAnsi"/>
        </w:rPr>
        <w:tab/>
        <w:t xml:space="preserve">391,003 </w:t>
      </w:r>
      <w:r w:rsidRPr="009A0DA6">
        <w:rPr>
          <w:rFonts w:ascii="Cambria" w:hAnsi="Cambria" w:cstheme="minorHAnsi"/>
        </w:rPr>
        <w:tab/>
        <w:t>379,725</w:t>
      </w:r>
    </w:p>
    <w:p w14:paraId="7BBE22F0"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Project costs</w:t>
      </w:r>
      <w:r w:rsidRPr="009A0DA6">
        <w:rPr>
          <w:rFonts w:ascii="Cambria" w:hAnsi="Cambria" w:cstheme="minorHAnsi"/>
        </w:rPr>
        <w:tab/>
        <w:t>56,381</w:t>
      </w:r>
      <w:r w:rsidRPr="009A0DA6">
        <w:rPr>
          <w:rFonts w:ascii="Cambria" w:hAnsi="Cambria" w:cstheme="minorHAnsi"/>
        </w:rPr>
        <w:tab/>
        <w:t>456</w:t>
      </w:r>
      <w:r w:rsidRPr="009A0DA6">
        <w:rPr>
          <w:rFonts w:ascii="Cambria" w:hAnsi="Cambria" w:cstheme="minorHAnsi"/>
        </w:rPr>
        <w:tab/>
        <w:t>0</w:t>
      </w:r>
    </w:p>
    <w:p w14:paraId="484F5A15"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Promotion and marketing costs</w:t>
      </w:r>
      <w:r w:rsidRPr="009A0DA6">
        <w:rPr>
          <w:rFonts w:ascii="Cambria" w:hAnsi="Cambria" w:cstheme="minorHAnsi"/>
        </w:rPr>
        <w:tab/>
        <w:t>16,515</w:t>
      </w:r>
      <w:r w:rsidRPr="009A0DA6">
        <w:rPr>
          <w:rFonts w:ascii="Cambria" w:hAnsi="Cambria" w:cstheme="minorHAnsi"/>
        </w:rPr>
        <w:tab/>
        <w:t>53,339</w:t>
      </w:r>
      <w:r w:rsidRPr="009A0DA6">
        <w:rPr>
          <w:rFonts w:ascii="Cambria" w:hAnsi="Cambria" w:cstheme="minorHAnsi"/>
        </w:rPr>
        <w:tab/>
        <w:t>14,503</w:t>
      </w:r>
    </w:p>
    <w:p w14:paraId="273FAC13"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Travelling expenses</w:t>
      </w:r>
      <w:r w:rsidRPr="009A0DA6">
        <w:rPr>
          <w:rFonts w:ascii="Cambria" w:hAnsi="Cambria" w:cstheme="minorHAnsi"/>
        </w:rPr>
        <w:tab/>
        <w:t>65,050</w:t>
      </w:r>
      <w:r w:rsidRPr="009A0DA6">
        <w:rPr>
          <w:rFonts w:ascii="Cambria" w:hAnsi="Cambria" w:cstheme="minorHAnsi"/>
        </w:rPr>
        <w:tab/>
        <w:t>63,115</w:t>
      </w:r>
      <w:r w:rsidRPr="009A0DA6">
        <w:rPr>
          <w:rFonts w:ascii="Cambria" w:hAnsi="Cambria" w:cstheme="minorHAnsi"/>
        </w:rPr>
        <w:tab/>
        <w:t>69,062</w:t>
      </w:r>
    </w:p>
    <w:p w14:paraId="50B92394"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b/>
        </w:rPr>
      </w:pPr>
      <w:r w:rsidRPr="009A0DA6">
        <w:rPr>
          <w:rFonts w:ascii="Cambria" w:hAnsi="Cambria" w:cstheme="minorHAnsi"/>
          <w:b/>
        </w:rPr>
        <w:tab/>
        <w:t>1,006,673</w:t>
      </w:r>
      <w:r w:rsidRPr="009A0DA6">
        <w:rPr>
          <w:rFonts w:ascii="Cambria" w:hAnsi="Cambria" w:cstheme="minorHAnsi"/>
          <w:b/>
        </w:rPr>
        <w:tab/>
        <w:t>785,143</w:t>
      </w:r>
      <w:r w:rsidRPr="009A0DA6">
        <w:rPr>
          <w:rFonts w:ascii="Cambria" w:hAnsi="Cambria" w:cstheme="minorHAnsi"/>
          <w:b/>
        </w:rPr>
        <w:tab/>
        <w:t>675,473</w:t>
      </w:r>
    </w:p>
    <w:p w14:paraId="6996B3F6"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rPr>
      </w:pPr>
    </w:p>
    <w:p w14:paraId="5582E458"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Operating (Deficit) for the year</w:t>
      </w:r>
      <w:r w:rsidRPr="009A0DA6">
        <w:rPr>
          <w:rFonts w:ascii="Cambria" w:hAnsi="Cambria" w:cstheme="minorHAnsi"/>
        </w:rPr>
        <w:tab/>
        <w:t xml:space="preserve"> (11,404)</w:t>
      </w:r>
      <w:r w:rsidRPr="009A0DA6">
        <w:rPr>
          <w:rFonts w:ascii="Cambria" w:hAnsi="Cambria" w:cstheme="minorHAnsi"/>
        </w:rPr>
        <w:tab/>
      </w:r>
      <w:r w:rsidRPr="009A0DA6">
        <w:rPr>
          <w:rFonts w:ascii="Cambria" w:hAnsi="Cambria" w:cstheme="minorHAnsi"/>
          <w:u w:color="000000"/>
        </w:rPr>
        <w:t>(61,622)</w:t>
      </w:r>
      <w:r w:rsidRPr="009A0DA6">
        <w:rPr>
          <w:rFonts w:ascii="Cambria" w:hAnsi="Cambria" w:cstheme="minorHAnsi"/>
        </w:rPr>
        <w:tab/>
        <w:t>(18,600)</w:t>
      </w:r>
    </w:p>
    <w:p w14:paraId="197EE71A"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LCA transfers</w:t>
      </w:r>
      <w:r w:rsidRPr="009A0DA6">
        <w:rPr>
          <w:rFonts w:ascii="Cambria" w:hAnsi="Cambria" w:cstheme="minorHAnsi"/>
        </w:rPr>
        <w:tab/>
        <w:t>184,527</w:t>
      </w:r>
      <w:r w:rsidRPr="009A0DA6">
        <w:rPr>
          <w:rFonts w:ascii="Cambria" w:hAnsi="Cambria" w:cstheme="minorHAnsi"/>
        </w:rPr>
        <w:tab/>
        <w:t>66,421</w:t>
      </w:r>
      <w:r w:rsidRPr="009A0DA6">
        <w:rPr>
          <w:rFonts w:ascii="Cambria" w:hAnsi="Cambria" w:cstheme="minorHAnsi"/>
        </w:rPr>
        <w:tab/>
        <w:t>986</w:t>
      </w:r>
    </w:p>
    <w:p w14:paraId="34748FD6"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b/>
        </w:rPr>
      </w:pPr>
      <w:r w:rsidRPr="009A0DA6">
        <w:rPr>
          <w:rFonts w:ascii="Cambria" w:hAnsi="Cambria" w:cstheme="minorHAnsi"/>
          <w:b/>
        </w:rPr>
        <w:t>Surplus (Deficit) after transfers</w:t>
      </w:r>
      <w:r w:rsidRPr="009A0DA6">
        <w:rPr>
          <w:rFonts w:ascii="Cambria" w:hAnsi="Cambria" w:cstheme="minorHAnsi"/>
          <w:b/>
        </w:rPr>
        <w:tab/>
        <w:t>$173,123</w:t>
      </w:r>
      <w:r w:rsidRPr="009A0DA6">
        <w:rPr>
          <w:rFonts w:ascii="Cambria" w:hAnsi="Cambria" w:cstheme="minorHAnsi"/>
          <w:b/>
        </w:rPr>
        <w:tab/>
      </w:r>
      <w:r w:rsidRPr="009A0DA6">
        <w:rPr>
          <w:rFonts w:ascii="Cambria" w:hAnsi="Cambria" w:cstheme="minorHAnsi"/>
          <w:b/>
          <w:u w:color="000000"/>
        </w:rPr>
        <w:t>$4,799</w:t>
      </w:r>
      <w:r w:rsidRPr="009A0DA6">
        <w:rPr>
          <w:rFonts w:ascii="Cambria" w:hAnsi="Cambria" w:cstheme="minorHAnsi"/>
          <w:b/>
        </w:rPr>
        <w:tab/>
        <w:t>($17,614)</w:t>
      </w:r>
    </w:p>
    <w:p w14:paraId="76BED1D7"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b/>
        </w:rPr>
      </w:pPr>
    </w:p>
    <w:p w14:paraId="118521CA"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b/>
        </w:rPr>
      </w:pPr>
      <w:r w:rsidRPr="009A0DA6">
        <w:rPr>
          <w:rFonts w:ascii="Cambria" w:hAnsi="Cambria" w:cstheme="minorHAnsi"/>
          <w:b/>
        </w:rPr>
        <w:t>LOCAL MISSION ACCUMULATED FUNDS &amp; RESERVES</w:t>
      </w:r>
    </w:p>
    <w:p w14:paraId="3B6DFF73"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 xml:space="preserve">Opening balance 1 January </w:t>
      </w:r>
      <w:r w:rsidRPr="009A0DA6">
        <w:rPr>
          <w:rFonts w:ascii="Cambria" w:hAnsi="Cambria" w:cstheme="minorHAnsi"/>
        </w:rPr>
        <w:tab/>
        <w:t>339,592</w:t>
      </w:r>
      <w:r w:rsidRPr="009A0DA6">
        <w:rPr>
          <w:rFonts w:ascii="Cambria" w:hAnsi="Cambria" w:cstheme="minorHAnsi"/>
        </w:rPr>
        <w:tab/>
        <w:t>334,793</w:t>
      </w:r>
      <w:r w:rsidRPr="009A0DA6">
        <w:rPr>
          <w:rFonts w:ascii="Cambria" w:hAnsi="Cambria" w:cstheme="minorHAnsi"/>
        </w:rPr>
        <w:tab/>
        <w:t>352,407</w:t>
      </w:r>
    </w:p>
    <w:p w14:paraId="05EDBA0B"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Operating Surplus (deficit) for the year</w:t>
      </w:r>
      <w:r w:rsidRPr="009A0DA6">
        <w:rPr>
          <w:rFonts w:ascii="Cambria" w:hAnsi="Cambria" w:cstheme="minorHAnsi"/>
        </w:rPr>
        <w:tab/>
        <w:t>173,123</w:t>
      </w:r>
      <w:r w:rsidRPr="009A0DA6">
        <w:rPr>
          <w:rFonts w:ascii="Cambria" w:hAnsi="Cambria" w:cstheme="minorHAnsi"/>
        </w:rPr>
        <w:tab/>
        <w:t>4,799</w:t>
      </w:r>
      <w:r w:rsidRPr="009A0DA6">
        <w:rPr>
          <w:rFonts w:ascii="Cambria" w:hAnsi="Cambria" w:cstheme="minorHAnsi"/>
        </w:rPr>
        <w:tab/>
        <w:t>(17,614)</w:t>
      </w:r>
    </w:p>
    <w:p w14:paraId="0C06F49E" w14:textId="77777777" w:rsidR="00930400" w:rsidRPr="009A0DA6" w:rsidRDefault="00930400" w:rsidP="00930400">
      <w:pPr>
        <w:tabs>
          <w:tab w:val="right" w:pos="5954"/>
          <w:tab w:val="right" w:pos="7371"/>
          <w:tab w:val="right" w:pos="8789"/>
        </w:tabs>
        <w:spacing w:before="120" w:after="120" w:line="240" w:lineRule="auto"/>
        <w:contextualSpacing/>
        <w:rPr>
          <w:rFonts w:ascii="Cambria" w:hAnsi="Cambria" w:cstheme="minorHAnsi"/>
          <w:b/>
          <w:u w:color="000000"/>
        </w:rPr>
      </w:pPr>
      <w:r w:rsidRPr="009A0DA6">
        <w:rPr>
          <w:rFonts w:ascii="Cambria" w:hAnsi="Cambria" w:cstheme="minorHAnsi"/>
          <w:b/>
        </w:rPr>
        <w:t>Closing balance 31 December 2017</w:t>
      </w:r>
      <w:r w:rsidRPr="009A0DA6">
        <w:rPr>
          <w:rFonts w:ascii="Cambria" w:hAnsi="Cambria" w:cstheme="minorHAnsi"/>
          <w:b/>
        </w:rPr>
        <w:tab/>
        <w:t>$512,715</w:t>
      </w:r>
      <w:r w:rsidRPr="009A0DA6">
        <w:rPr>
          <w:rFonts w:ascii="Cambria" w:hAnsi="Cambria" w:cstheme="minorHAnsi"/>
          <w:b/>
          <w:u w:color="000000"/>
        </w:rPr>
        <w:tab/>
        <w:t>$339,592</w:t>
      </w:r>
      <w:r w:rsidRPr="009A0DA6">
        <w:rPr>
          <w:rFonts w:ascii="Cambria" w:hAnsi="Cambria" w:cstheme="minorHAnsi"/>
          <w:b/>
        </w:rPr>
        <w:tab/>
        <w:t>$334,793</w:t>
      </w:r>
    </w:p>
    <w:p w14:paraId="59EE173D" w14:textId="77777777" w:rsidR="00930400" w:rsidRPr="00930400" w:rsidRDefault="00930400" w:rsidP="00930400">
      <w:pPr>
        <w:pStyle w:val="NoSpacing"/>
        <w:rPr>
          <w:highlight w:val="red"/>
        </w:rPr>
      </w:pPr>
    </w:p>
    <w:p w14:paraId="1038A1A8" w14:textId="77777777" w:rsidR="00DE6169" w:rsidRDefault="00DE6169">
      <w:pPr>
        <w:rPr>
          <w:rFonts w:ascii="Cambria" w:eastAsiaTheme="majorEastAsia" w:hAnsi="Cambria" w:cstheme="majorBidi"/>
          <w:b/>
          <w:caps/>
          <w:sz w:val="28"/>
          <w:szCs w:val="24"/>
        </w:rPr>
      </w:pPr>
      <w:r>
        <w:br w:type="page"/>
      </w:r>
    </w:p>
    <w:p w14:paraId="57FA7C76" w14:textId="450FF50C" w:rsidR="00930400" w:rsidRPr="009A0DA6" w:rsidRDefault="00930400" w:rsidP="00930400">
      <w:pPr>
        <w:pStyle w:val="Heading3"/>
      </w:pPr>
      <w:r w:rsidRPr="009A0DA6">
        <w:lastRenderedPageBreak/>
        <w:t>agenda 6.1</w:t>
      </w:r>
    </w:p>
    <w:p w14:paraId="3F859981" w14:textId="77777777" w:rsidR="00930400" w:rsidRPr="009A0DA6" w:rsidRDefault="00930400" w:rsidP="00930400">
      <w:pPr>
        <w:pStyle w:val="Heading2"/>
      </w:pPr>
      <w:bookmarkStart w:id="481" w:name="_Toc521954732"/>
      <w:r w:rsidRPr="009A0DA6">
        <w:t>Commission on Theology and Inter-Church Relations</w:t>
      </w:r>
      <w:bookmarkEnd w:id="481"/>
      <w:r w:rsidRPr="009A0DA6">
        <w:t xml:space="preserve"> </w:t>
      </w:r>
    </w:p>
    <w:p w14:paraId="035EAD27" w14:textId="77777777" w:rsidR="00930400" w:rsidRPr="009A0DA6" w:rsidRDefault="00930400" w:rsidP="00930400">
      <w:pPr>
        <w:pStyle w:val="NoSpacing"/>
      </w:pPr>
    </w:p>
    <w:p w14:paraId="622568FD" w14:textId="77777777" w:rsidR="00930400" w:rsidRPr="009A0DA6" w:rsidRDefault="00930400" w:rsidP="00930400">
      <w:pPr>
        <w:pStyle w:val="Heading3"/>
      </w:pPr>
      <w:r w:rsidRPr="009A0DA6">
        <w:t>MEMBERS</w:t>
      </w:r>
    </w:p>
    <w:p w14:paraId="5039981D" w14:textId="77777777" w:rsidR="00930400" w:rsidRPr="009A0DA6" w:rsidRDefault="00930400" w:rsidP="00930400">
      <w:pPr>
        <w:spacing w:before="120" w:after="120" w:line="240" w:lineRule="auto"/>
        <w:contextualSpacing/>
        <w:rPr>
          <w:rFonts w:ascii="Cambria" w:hAnsi="Cambria"/>
          <w:sz w:val="10"/>
        </w:rPr>
      </w:pPr>
      <w:r w:rsidRPr="009A0DA6">
        <w:rPr>
          <w:rFonts w:ascii="Cambria" w:hAnsi="Cambria"/>
        </w:rPr>
        <w:t xml:space="preserve">The main work of the CTICR is given to it either by general synod, district synods, the college of bishop, or pastors’ conferences. The membership comprises the Bishop and Assistant Bishop of the Church (ex officio), five ordained members of the ALC faculty, three pastors, three lay people, and two bishops. The other district bishops are consultants along with the Secretary of the Church and the Principal of ALC. The executive this triennium has comprised Bishop John Henderson (ex officio), Pastor Fraser Pearce (extra member), Bishop Andrew Pfeiffer (vice chair), Rev Dr Peter Lockwood (secretary), and Rev Dr Jeff Silcock (chair). </w:t>
      </w:r>
      <w:r w:rsidRPr="009A0DA6">
        <w:rPr>
          <w:rFonts w:ascii="Cambria" w:hAnsi="Cambria"/>
        </w:rPr>
        <w:br/>
      </w:r>
    </w:p>
    <w:p w14:paraId="4C8D6115" w14:textId="77777777" w:rsidR="00930400" w:rsidRPr="009A0DA6" w:rsidRDefault="00930400" w:rsidP="00930400">
      <w:pPr>
        <w:pStyle w:val="Heading3"/>
      </w:pPr>
      <w:r w:rsidRPr="009A0DA6">
        <w:t>Achievement against Plan</w:t>
      </w:r>
    </w:p>
    <w:p w14:paraId="66D24695" w14:textId="77777777" w:rsidR="00930400" w:rsidRPr="009A0DA6" w:rsidRDefault="00930400" w:rsidP="00930400">
      <w:pPr>
        <w:spacing w:before="120" w:after="120" w:line="240" w:lineRule="auto"/>
        <w:contextualSpacing/>
        <w:rPr>
          <w:rFonts w:ascii="Cambria" w:eastAsiaTheme="majorEastAsia" w:hAnsi="Cambria" w:cstheme="minorHAnsi"/>
        </w:rPr>
      </w:pPr>
      <w:r w:rsidRPr="009A0DA6">
        <w:rPr>
          <w:rFonts w:ascii="Cambria" w:hAnsi="Cambria"/>
        </w:rPr>
        <w:t xml:space="preserve">The principal work of the CTICR this triennium has been the preparation of two documents requested by synod: (1) </w:t>
      </w:r>
      <w:r w:rsidRPr="009A0DA6">
        <w:rPr>
          <w:rFonts w:ascii="Cambria" w:hAnsi="Cambria"/>
          <w:i/>
        </w:rPr>
        <w:t>A theological basis for the ordination of women and men: draft doctrinal statement</w:t>
      </w:r>
      <w:r w:rsidRPr="009A0DA6">
        <w:rPr>
          <w:rFonts w:ascii="Cambria" w:hAnsi="Cambria"/>
        </w:rPr>
        <w:t xml:space="preserve">, and (2) </w:t>
      </w:r>
      <w:r w:rsidRPr="009A0DA6">
        <w:rPr>
          <w:rFonts w:ascii="Cambria" w:eastAsiaTheme="majorEastAsia" w:hAnsi="Cambria" w:cstheme="minorHAnsi"/>
          <w:i/>
        </w:rPr>
        <w:t>A</w:t>
      </w:r>
      <w:r w:rsidRPr="009A0DA6">
        <w:rPr>
          <w:rFonts w:ascii="Cambria" w:eastAsiaTheme="majorEastAsia" w:hAnsi="Cambria" w:cstheme="minorHAnsi"/>
        </w:rPr>
        <w:t xml:space="preserve"> </w:t>
      </w:r>
      <w:r w:rsidRPr="009A0DA6">
        <w:rPr>
          <w:rFonts w:ascii="Cambria" w:eastAsiaTheme="majorEastAsia" w:hAnsi="Cambria" w:cstheme="minorHAnsi"/>
          <w:i/>
        </w:rPr>
        <w:t>theological basis for why the ordination of women and men need not be Church-divisive</w:t>
      </w:r>
      <w:r w:rsidRPr="009A0DA6">
        <w:rPr>
          <w:rFonts w:ascii="Cambria" w:eastAsiaTheme="majorEastAsia" w:hAnsi="Cambria" w:cstheme="minorHAnsi"/>
        </w:rPr>
        <w:t xml:space="preserve">. The CTICR was also asked ‘to study the Lutheran theological and scriptural understanding of subordination and the role of male headship in marriage and the contextual implications for family violence’. This work was undertaken by a joint taskforce comprising three members of the Commission on Theology and Inter-Church Relations (CTICR) and three members of the Commission on Social and Bioethical Questions (CSBQ). The CTICR has also written two other documents for the guidance of the Church: (1) </w:t>
      </w:r>
      <w:r w:rsidRPr="009A0DA6">
        <w:rPr>
          <w:rFonts w:ascii="Cambria" w:eastAsiaTheme="majorEastAsia" w:hAnsi="Cambria" w:cstheme="minorHAnsi"/>
          <w:i/>
        </w:rPr>
        <w:t xml:space="preserve">A theological basis for the ordination of women and men: background to the draft doctrinal statement, </w:t>
      </w:r>
      <w:r w:rsidRPr="009A0DA6">
        <w:rPr>
          <w:rFonts w:ascii="Cambria" w:eastAsiaTheme="majorEastAsia" w:hAnsi="Cambria" w:cstheme="minorHAnsi"/>
        </w:rPr>
        <w:t xml:space="preserve">and (2) </w:t>
      </w:r>
      <w:r w:rsidRPr="009A0DA6">
        <w:rPr>
          <w:rFonts w:ascii="Cambria" w:eastAsiaTheme="majorEastAsia" w:hAnsi="Cambria" w:cstheme="minorHAnsi"/>
          <w:i/>
        </w:rPr>
        <w:t>Engaging with the draft doctrinal statement: reflection arising from the current teaching of the Church</w:t>
      </w:r>
      <w:r w:rsidRPr="009A0DA6">
        <w:rPr>
          <w:rFonts w:ascii="Cambria" w:eastAsiaTheme="majorEastAsia" w:hAnsi="Cambria" w:cstheme="minorHAnsi"/>
        </w:rPr>
        <w:t xml:space="preserve">. The latter document was produced on the advice of the College of Bishops based on of the feedback from the Churchwide consultations. Since these last two documents were not specifically requested by the synod, they form an appendix to this report rather than being part of the report proper. </w:t>
      </w:r>
    </w:p>
    <w:p w14:paraId="2BEAA7CF" w14:textId="77777777" w:rsidR="00930400" w:rsidRPr="009A0DA6" w:rsidRDefault="00930400" w:rsidP="00930400">
      <w:pPr>
        <w:spacing w:before="120" w:after="120" w:line="240" w:lineRule="auto"/>
        <w:contextualSpacing/>
        <w:rPr>
          <w:rFonts w:ascii="Cambria" w:hAnsi="Cambria" w:cs="Arial"/>
        </w:rPr>
      </w:pPr>
      <w:r w:rsidRPr="009A0DA6">
        <w:rPr>
          <w:rFonts w:ascii="Cambria" w:eastAsiaTheme="majorEastAsia" w:hAnsi="Cambria" w:cstheme="minorHAnsi"/>
        </w:rPr>
        <w:br/>
        <w:t>In addition to producing the aforementioned documents, t</w:t>
      </w:r>
      <w:r w:rsidRPr="009A0DA6">
        <w:rPr>
          <w:rFonts w:ascii="Cambria" w:hAnsi="Cambria"/>
        </w:rPr>
        <w:t>he CTICR has also begun to work on a short summary statement on the topic of ecology (‘Faithful earthkeeping—embracing a God-given responsibility’) which will serve to complement the larger study document that the commission completed last triennium titled: ‘God’s creation: a sacred responsibility’.</w:t>
      </w:r>
      <w:r w:rsidRPr="009A0DA6">
        <w:rPr>
          <w:rFonts w:ascii="Cambria" w:hAnsi="Cambria" w:cs="Arial"/>
        </w:rPr>
        <w:t xml:space="preserve"> </w:t>
      </w:r>
    </w:p>
    <w:p w14:paraId="64347655" w14:textId="77777777" w:rsidR="00930400" w:rsidRPr="009A0DA6" w:rsidRDefault="00930400" w:rsidP="00930400">
      <w:pPr>
        <w:spacing w:before="120" w:after="120" w:line="240" w:lineRule="auto"/>
        <w:contextualSpacing/>
        <w:rPr>
          <w:rFonts w:ascii="Cambria" w:hAnsi="Cambria" w:cs="Arial"/>
        </w:rPr>
      </w:pPr>
      <w:r w:rsidRPr="009A0DA6">
        <w:rPr>
          <w:rFonts w:ascii="Cambria" w:hAnsi="Cambria" w:cs="Arial"/>
        </w:rPr>
        <w:br/>
        <w:t xml:space="preserve">Another important task of the CTICR is to oversee the three ecumenical dialogues (Lutheran–Roman Catholic; Lutheran–Uniting and Anglican–Lutheran). The Lutheran–Roman Catholic dialogue recently produced a study document </w:t>
      </w:r>
      <w:r w:rsidRPr="009A0DA6">
        <w:rPr>
          <w:rFonts w:ascii="Cambria" w:hAnsi="Cambria" w:cs="Arial"/>
          <w:i/>
        </w:rPr>
        <w:t>The Petrine Ministry in a New Situation</w:t>
      </w:r>
      <w:r w:rsidRPr="009A0DA6">
        <w:rPr>
          <w:rFonts w:ascii="Cambria" w:hAnsi="Cambria" w:cs="Arial"/>
        </w:rPr>
        <w:t xml:space="preserve"> (2016) as well as ‘A Statement on the Occasion of the 500th Anniversary of the Reformation’ (2017). The Lutheran–Uniting Church dialogue has concluded the first phase of its final goal of working towards a Concordat of full communion between the LCA and the UCA. A progress report (titled ‘At the Table’) has been lodged with both churches and both churches have been asked to provide feedback and answer questions. </w:t>
      </w:r>
    </w:p>
    <w:p w14:paraId="4BAC7551" w14:textId="77777777" w:rsidR="00930400" w:rsidRPr="009A0DA6" w:rsidRDefault="00930400" w:rsidP="00930400">
      <w:pPr>
        <w:spacing w:before="120" w:after="120" w:line="240" w:lineRule="auto"/>
        <w:contextualSpacing/>
        <w:rPr>
          <w:rFonts w:ascii="Cambria" w:eastAsiaTheme="majorEastAsia" w:hAnsi="Cambria" w:cstheme="minorHAnsi"/>
        </w:rPr>
      </w:pPr>
      <w:r w:rsidRPr="009A0DA6">
        <w:rPr>
          <w:rFonts w:ascii="Cambria" w:hAnsi="Cambria" w:cs="Arial"/>
        </w:rPr>
        <w:br/>
        <w:t xml:space="preserve">The CTICR is also represented at the twice-yearly meetings of the Faith and Unity Commission of the National Council of Church in Australia (NCCA). Our current representative is Rev Andrew Brook who took over from Rev Dr Michael Lockwood. We thank them both for their services. </w:t>
      </w:r>
    </w:p>
    <w:p w14:paraId="321D877B" w14:textId="77777777" w:rsidR="00930400" w:rsidRPr="009A0DA6" w:rsidRDefault="00930400" w:rsidP="00930400">
      <w:pPr>
        <w:spacing w:before="120" w:after="120" w:line="240" w:lineRule="auto"/>
        <w:contextualSpacing/>
        <w:rPr>
          <w:rFonts w:ascii="Cambria" w:hAnsi="Cambria"/>
          <w:b/>
        </w:rPr>
      </w:pPr>
    </w:p>
    <w:p w14:paraId="31E35878" w14:textId="77777777" w:rsidR="00930400" w:rsidRPr="009A0DA6" w:rsidRDefault="00930400" w:rsidP="00930400">
      <w:pPr>
        <w:pStyle w:val="Heading3"/>
      </w:pPr>
      <w:r w:rsidRPr="009A0DA6">
        <w:lastRenderedPageBreak/>
        <w:t>Successes</w:t>
      </w:r>
    </w:p>
    <w:p w14:paraId="79C5C4D0" w14:textId="77777777" w:rsidR="00930400" w:rsidRPr="009A0DA6" w:rsidRDefault="00930400" w:rsidP="00930400">
      <w:pPr>
        <w:spacing w:before="120" w:after="120" w:line="240" w:lineRule="auto"/>
        <w:contextualSpacing/>
        <w:rPr>
          <w:rFonts w:ascii="Cambria" w:hAnsi="Cambria"/>
        </w:rPr>
      </w:pPr>
      <w:r w:rsidRPr="009A0DA6">
        <w:rPr>
          <w:rFonts w:ascii="Cambria" w:hAnsi="Cambria"/>
        </w:rPr>
        <w:t xml:space="preserve">The outcome of the 33 LCA-wide consultations to consider the CTICR’s initial draft doctrinal statement on the ordination on women and men was critical to the successful completion of the new draft doctrinal statement requested by the 2015 synodical convention, which now has the title: </w:t>
      </w:r>
      <w:r w:rsidRPr="009A0DA6">
        <w:rPr>
          <w:rFonts w:ascii="Cambria" w:hAnsi="Cambria"/>
          <w:i/>
        </w:rPr>
        <w:t>A theological basis for the ordination of women and men: draft doctrinal statement</w:t>
      </w:r>
      <w:r w:rsidRPr="009A0DA6">
        <w:rPr>
          <w:rFonts w:ascii="Cambria" w:hAnsi="Cambria"/>
        </w:rPr>
        <w:t xml:space="preserve">. The consultations considered an earlier draft of this document as well as a preliminary draft of the other document requested by synod titled: </w:t>
      </w:r>
      <w:r w:rsidRPr="009A0DA6">
        <w:rPr>
          <w:rFonts w:ascii="Cambria" w:hAnsi="Cambria"/>
          <w:i/>
        </w:rPr>
        <w:t>A</w:t>
      </w:r>
      <w:r w:rsidRPr="009A0DA6">
        <w:rPr>
          <w:rFonts w:ascii="Cambria" w:hAnsi="Cambria"/>
        </w:rPr>
        <w:t xml:space="preserve"> </w:t>
      </w:r>
      <w:r w:rsidRPr="009A0DA6">
        <w:rPr>
          <w:rFonts w:ascii="Cambria" w:hAnsi="Cambria"/>
          <w:i/>
        </w:rPr>
        <w:t>theological basis for why the ordination of women and men need not be Church-divisive</w:t>
      </w:r>
      <w:r w:rsidRPr="009A0DA6">
        <w:rPr>
          <w:rFonts w:ascii="Cambria" w:hAnsi="Cambria"/>
        </w:rPr>
        <w:t xml:space="preserve">. </w:t>
      </w:r>
    </w:p>
    <w:p w14:paraId="331C5BDF" w14:textId="77777777" w:rsidR="00930400" w:rsidRPr="009A0DA6" w:rsidRDefault="00930400" w:rsidP="00930400">
      <w:pPr>
        <w:spacing w:before="120" w:after="120" w:line="240" w:lineRule="auto"/>
        <w:contextualSpacing/>
        <w:rPr>
          <w:rFonts w:ascii="Cambria" w:hAnsi="Cambria"/>
        </w:rPr>
      </w:pPr>
    </w:p>
    <w:p w14:paraId="61FD3AAC" w14:textId="77777777" w:rsidR="00930400" w:rsidRPr="009A0DA6" w:rsidRDefault="00930400" w:rsidP="00930400">
      <w:pPr>
        <w:spacing w:before="120" w:after="120" w:line="240" w:lineRule="auto"/>
        <w:contextualSpacing/>
        <w:rPr>
          <w:rFonts w:ascii="Cambria" w:hAnsi="Cambria"/>
        </w:rPr>
      </w:pPr>
      <w:r w:rsidRPr="009A0DA6">
        <w:rPr>
          <w:rFonts w:ascii="Cambria" w:hAnsi="Cambria"/>
        </w:rPr>
        <w:t xml:space="preserve">The other significant outcome of the consultations is that, based on the feedback and the subsequent advice of the College of Bishops, the CTICR produced a statement that gives voice to the current teaching of the Church and allows it to engage with the draft doctrinal statement. </w:t>
      </w:r>
    </w:p>
    <w:p w14:paraId="4AC0CF52" w14:textId="77777777" w:rsidR="00930400" w:rsidRPr="009A0DA6" w:rsidRDefault="00930400" w:rsidP="00930400">
      <w:pPr>
        <w:spacing w:before="120" w:after="120" w:line="240" w:lineRule="auto"/>
        <w:contextualSpacing/>
        <w:rPr>
          <w:rFonts w:ascii="Cambria" w:hAnsi="Cambria"/>
        </w:rPr>
      </w:pPr>
    </w:p>
    <w:p w14:paraId="61DE59C6" w14:textId="77777777" w:rsidR="00930400" w:rsidRPr="009A0DA6" w:rsidRDefault="00930400" w:rsidP="00930400">
      <w:pPr>
        <w:spacing w:before="120" w:after="120" w:line="240" w:lineRule="auto"/>
        <w:contextualSpacing/>
        <w:rPr>
          <w:rFonts w:ascii="Cambria" w:hAnsi="Cambria"/>
        </w:rPr>
      </w:pPr>
      <w:r w:rsidRPr="009A0DA6">
        <w:rPr>
          <w:rFonts w:ascii="Cambria" w:hAnsi="Cambria"/>
        </w:rPr>
        <w:t xml:space="preserve">The successful organisation of the consultations must be credited to the efficiency, collegiality, and managerial skills of the project officer, Mr Timothy Pietsch, employed by the Office of Bishop. The commission is also grateful to Ms Judy Gilbertson, appointed by the CTICR, to collate the huge volume of feedback from the consultations which was enormously helpful in preparing the new draft doctrinal statement in particular. </w:t>
      </w:r>
    </w:p>
    <w:p w14:paraId="2A26EABB" w14:textId="77777777" w:rsidR="00930400" w:rsidRPr="009A0DA6" w:rsidRDefault="00930400" w:rsidP="00930400">
      <w:pPr>
        <w:spacing w:before="120" w:after="120" w:line="240" w:lineRule="auto"/>
        <w:contextualSpacing/>
        <w:rPr>
          <w:rFonts w:ascii="Cambria" w:hAnsi="Cambria"/>
          <w:b/>
        </w:rPr>
      </w:pPr>
    </w:p>
    <w:p w14:paraId="3207CDB1" w14:textId="77777777" w:rsidR="00930400" w:rsidRPr="009A0DA6" w:rsidRDefault="00930400" w:rsidP="00930400">
      <w:pPr>
        <w:pStyle w:val="Heading3"/>
      </w:pPr>
      <w:r w:rsidRPr="009A0DA6">
        <w:t>Challenges and Lessons Learned</w:t>
      </w:r>
    </w:p>
    <w:p w14:paraId="706ADD42" w14:textId="77777777" w:rsidR="00930400" w:rsidRPr="009A0DA6" w:rsidRDefault="00930400" w:rsidP="00930400">
      <w:pPr>
        <w:spacing w:before="120" w:after="120" w:line="240" w:lineRule="auto"/>
        <w:contextualSpacing/>
        <w:rPr>
          <w:rFonts w:ascii="Cambria" w:hAnsi="Cambria"/>
        </w:rPr>
      </w:pPr>
      <w:r w:rsidRPr="009A0DA6">
        <w:rPr>
          <w:rFonts w:ascii="Cambria" w:hAnsi="Cambria"/>
        </w:rPr>
        <w:t xml:space="preserve">There are several challenges. First, there will be changes to the leadership of the commission next triennium with the retirement of the chair (Rev Dr Jeff Silcock) as well as the secretary (Rev Dr Peter Lockwood). Both these men have served the commission faithfully for a long period of time and have been appropriately thanked for their work. Their departure might be seen by some as a risk but they would rather see it, not even as a challenge, but as an opportunity for new blood to be introduced into key leadership positions. </w:t>
      </w:r>
    </w:p>
    <w:p w14:paraId="4EB724A3" w14:textId="77777777" w:rsidR="00930400" w:rsidRPr="009A0DA6" w:rsidRDefault="00930400" w:rsidP="00930400">
      <w:pPr>
        <w:spacing w:before="120" w:after="120" w:line="240" w:lineRule="auto"/>
        <w:contextualSpacing/>
        <w:rPr>
          <w:rFonts w:ascii="Cambria" w:hAnsi="Cambria"/>
        </w:rPr>
      </w:pPr>
    </w:p>
    <w:p w14:paraId="63055E33" w14:textId="77777777" w:rsidR="00930400" w:rsidRPr="009A0DA6" w:rsidRDefault="00930400" w:rsidP="00930400">
      <w:pPr>
        <w:spacing w:before="120" w:after="120" w:line="240" w:lineRule="auto"/>
        <w:contextualSpacing/>
        <w:rPr>
          <w:rFonts w:ascii="Cambria" w:hAnsi="Cambria"/>
        </w:rPr>
      </w:pPr>
      <w:r w:rsidRPr="009A0DA6">
        <w:rPr>
          <w:rFonts w:ascii="Cambria" w:hAnsi="Cambria"/>
        </w:rPr>
        <w:t xml:space="preserve">Second, the work of the CTICR would be helped enormously by an administrative assistant. The commission has written a letter to the GCC requesting that favourable consideration be given to such an appointment. This admin support could be shared across the three commissions (theology, social and bioethical questions, and worship). The level of assistance required needs to go beyond that already available to the commission through the services of the LCA receptionist, who assists with email agendas and minutes and general filing of documents. </w:t>
      </w:r>
      <w:bookmarkStart w:id="482" w:name="_MailEndCompose"/>
      <w:bookmarkEnd w:id="482"/>
    </w:p>
    <w:p w14:paraId="5FFBB453" w14:textId="77777777" w:rsidR="00930400" w:rsidRPr="009A0DA6" w:rsidRDefault="00930400" w:rsidP="00930400">
      <w:pPr>
        <w:spacing w:before="120" w:after="120" w:line="240" w:lineRule="auto"/>
        <w:contextualSpacing/>
        <w:rPr>
          <w:rFonts w:ascii="Cambria" w:hAnsi="Cambria"/>
        </w:rPr>
      </w:pPr>
      <w:bookmarkStart w:id="483" w:name="_Hlk509835817"/>
    </w:p>
    <w:p w14:paraId="5641C046" w14:textId="77777777" w:rsidR="00930400" w:rsidRPr="009A0DA6" w:rsidRDefault="00930400" w:rsidP="00930400">
      <w:pPr>
        <w:spacing w:before="120" w:after="120" w:line="240" w:lineRule="auto"/>
        <w:contextualSpacing/>
        <w:rPr>
          <w:rFonts w:ascii="Cambria" w:hAnsi="Cambria"/>
        </w:rPr>
      </w:pPr>
      <w:r w:rsidRPr="009A0DA6">
        <w:rPr>
          <w:rFonts w:ascii="Cambria" w:hAnsi="Cambria"/>
        </w:rPr>
        <w:t xml:space="preserve">Third, the joint CTICR-CSBQ taskforce, which was appointed by the CTICR, to study the possible link between male headship in marriage and family violence has highlighted several issues that it believes the LCA needs to consider more deeply. Three are singled out here for special mention: (1) that the LCA could benefit from a program of training for all pastors and pastoral workers in how to recognise and respond pastorally to situations of domestic violence. (2) that the LCA could also benefit from further research into the practices around repentance and forgiveness involving domestic abusers, especially in view of the well-established cycle of abuse that so often continues even after there has been remorse on the abuser’s part. (3) the taskforce proposes that it may be a useful witness against domestic violence, and also helpful for spiritual teaching, if the LCA developed a clear doctrinal and pastoral statement, renouncing violence of any kind in the home, and promoting the mutual Christ-like service of husband and wife in Christian marriage. </w:t>
      </w:r>
    </w:p>
    <w:p w14:paraId="337A1B64" w14:textId="77777777" w:rsidR="00930400" w:rsidRPr="009A0DA6" w:rsidRDefault="00930400" w:rsidP="00930400">
      <w:pPr>
        <w:spacing w:before="120" w:after="120" w:line="240" w:lineRule="auto"/>
        <w:contextualSpacing/>
        <w:rPr>
          <w:rFonts w:ascii="Cambria" w:hAnsi="Cambria"/>
        </w:rPr>
      </w:pPr>
    </w:p>
    <w:p w14:paraId="6E799C9F" w14:textId="77777777" w:rsidR="00930400" w:rsidRPr="009A0DA6" w:rsidRDefault="00930400" w:rsidP="00930400">
      <w:pPr>
        <w:spacing w:before="120" w:after="120" w:line="240" w:lineRule="auto"/>
        <w:contextualSpacing/>
        <w:rPr>
          <w:rFonts w:ascii="Cambria" w:hAnsi="Cambria"/>
        </w:rPr>
      </w:pPr>
      <w:r w:rsidRPr="009A0DA6">
        <w:rPr>
          <w:rFonts w:ascii="Cambria" w:hAnsi="Cambria"/>
        </w:rPr>
        <w:t xml:space="preserve">Finally, the domestic violence taskforce, comprising Mr Ian Rentsch, Mrs Vanessa Kohrt, Dr Tanya Wittwer, Mrs Helen Lockwood, Rev Dr Stephen Hultgren, and Rev Dr Stephen Pietsch (chair), was thanked by the full commission for its report on what was a difficult and highly controverted topic. </w:t>
      </w:r>
    </w:p>
    <w:bookmarkEnd w:id="483"/>
    <w:p w14:paraId="5901D319" w14:textId="77777777" w:rsidR="00930400" w:rsidRPr="009A0DA6" w:rsidRDefault="00930400" w:rsidP="00930400">
      <w:pPr>
        <w:pStyle w:val="Heading3"/>
      </w:pPr>
      <w:r w:rsidRPr="009A0DA6">
        <w:lastRenderedPageBreak/>
        <w:t>Risks</w:t>
      </w:r>
    </w:p>
    <w:p w14:paraId="360C5653" w14:textId="77777777" w:rsidR="00930400" w:rsidRPr="009A0DA6" w:rsidRDefault="00930400" w:rsidP="00930400">
      <w:pPr>
        <w:spacing w:before="120" w:after="120" w:line="240" w:lineRule="auto"/>
        <w:contextualSpacing/>
        <w:rPr>
          <w:rFonts w:ascii="Cambria" w:hAnsi="Cambria"/>
        </w:rPr>
      </w:pPr>
      <w:r w:rsidRPr="009A0DA6">
        <w:rPr>
          <w:rFonts w:ascii="Cambria" w:hAnsi="Cambria"/>
        </w:rPr>
        <w:t xml:space="preserve">Given the nature of the tasks given the CTICR by synod: (1) to draft a doctrinal statement for the ordination of men and women; and (2) to provide </w:t>
      </w:r>
      <w:r w:rsidRPr="009A0DA6">
        <w:rPr>
          <w:rFonts w:ascii="Cambria" w:hAnsi="Cambria"/>
          <w:i/>
        </w:rPr>
        <w:t>a</w:t>
      </w:r>
      <w:r w:rsidRPr="009A0DA6">
        <w:rPr>
          <w:rFonts w:ascii="Cambria" w:hAnsi="Cambria"/>
        </w:rPr>
        <w:t xml:space="preserve"> </w:t>
      </w:r>
      <w:r w:rsidRPr="009A0DA6">
        <w:rPr>
          <w:rFonts w:ascii="Cambria" w:hAnsi="Cambria"/>
          <w:i/>
        </w:rPr>
        <w:t>theological basis for why the ordination of women and men need not be Church-divisive,</w:t>
      </w:r>
      <w:r w:rsidRPr="009A0DA6">
        <w:rPr>
          <w:rFonts w:ascii="Cambria" w:hAnsi="Cambria"/>
        </w:rPr>
        <w:t xml:space="preserve"> it is understandable that the commission found itself wondering at times if it would actually be able to complete the tasks, since the opinions of commission members on this matter are as divergent as they are in the Church. So, the risk was due to deep differences of conviction which in the end are matters of conscience. This risk can never be averted but it needs to be noted in the interests of transparency. </w:t>
      </w:r>
    </w:p>
    <w:p w14:paraId="12588BBE" w14:textId="77777777" w:rsidR="00930400" w:rsidRPr="009A0DA6" w:rsidRDefault="00930400" w:rsidP="00930400">
      <w:pPr>
        <w:spacing w:before="120" w:after="120" w:line="240" w:lineRule="auto"/>
        <w:contextualSpacing/>
        <w:rPr>
          <w:rFonts w:ascii="Cambria" w:hAnsi="Cambria"/>
          <w:b/>
        </w:rPr>
      </w:pPr>
    </w:p>
    <w:p w14:paraId="69F5A67A" w14:textId="77777777" w:rsidR="00930400" w:rsidRPr="009A0DA6" w:rsidRDefault="00930400" w:rsidP="00930400">
      <w:pPr>
        <w:pStyle w:val="Heading3"/>
      </w:pPr>
      <w:r w:rsidRPr="009A0DA6">
        <w:t xml:space="preserve">Alignment to LCA Strategic Direction </w:t>
      </w:r>
      <w:r>
        <w:t>2013–2018</w:t>
      </w:r>
    </w:p>
    <w:p w14:paraId="100087D7" w14:textId="77777777" w:rsidR="00930400" w:rsidRPr="009A0DA6" w:rsidRDefault="00930400" w:rsidP="00930400">
      <w:pPr>
        <w:spacing w:before="120" w:after="120" w:line="240" w:lineRule="auto"/>
        <w:contextualSpacing/>
        <w:rPr>
          <w:rFonts w:ascii="Cambria" w:hAnsi="Cambria"/>
        </w:rPr>
      </w:pPr>
      <w:r w:rsidRPr="009A0DA6">
        <w:rPr>
          <w:rFonts w:ascii="Cambria" w:hAnsi="Cambria"/>
        </w:rPr>
        <w:t xml:space="preserve">The current strategic direction 2013–2018 makes no provision for the work of the Commission on Theology. If the study of scripture and theological research is foundational to the life of the LCA, as we say it is, and if the Church’s engagement with current issues is to be biblically and confessionally grounded, then the CTICR makes the earnest plea that the LCA, when it develops its new strategic direction for the next five years, gives theology and the work of the Commission on Theology its rightful place so that when the LCA grapples with its future direction, the theological question is not overlooked but remains at the front and centre of the life of the Church. </w:t>
      </w:r>
    </w:p>
    <w:p w14:paraId="7F67FDB2" w14:textId="77777777" w:rsidR="00930400" w:rsidRPr="009A0DA6" w:rsidRDefault="00930400" w:rsidP="00930400">
      <w:pPr>
        <w:spacing w:before="120" w:after="120" w:line="240" w:lineRule="auto"/>
        <w:contextualSpacing/>
        <w:rPr>
          <w:rFonts w:ascii="Cambria" w:hAnsi="Cambria"/>
          <w:b/>
        </w:rPr>
      </w:pPr>
    </w:p>
    <w:p w14:paraId="537C9784" w14:textId="77777777" w:rsidR="00930400" w:rsidRPr="009A0DA6" w:rsidRDefault="00930400" w:rsidP="00930400">
      <w:pPr>
        <w:pStyle w:val="Heading3"/>
      </w:pPr>
      <w:r w:rsidRPr="009A0DA6">
        <w:t>Cooperating LCA Boards and Agencies</w:t>
      </w:r>
    </w:p>
    <w:p w14:paraId="6DCD748C" w14:textId="77777777" w:rsidR="00930400" w:rsidRPr="009A0DA6" w:rsidRDefault="00930400" w:rsidP="00930400">
      <w:pPr>
        <w:spacing w:before="120" w:after="120" w:line="240" w:lineRule="auto"/>
        <w:contextualSpacing/>
        <w:rPr>
          <w:rFonts w:ascii="Cambria" w:hAnsi="Cambria"/>
        </w:rPr>
      </w:pPr>
      <w:r w:rsidRPr="009A0DA6">
        <w:rPr>
          <w:rFonts w:ascii="Cambria" w:hAnsi="Cambria" w:cs="Arial"/>
        </w:rPr>
        <w:t>In order to deal with the third synodical resolution that was directed to the CTICR, namely, to study the possible link between the biblical teaching on male headship and female subordination in marriage, on the one hand, and family violence, on the other, it was decided to form a joint</w:t>
      </w:r>
      <w:r w:rsidRPr="009A0DA6">
        <w:rPr>
          <w:rFonts w:ascii="Cambria" w:hAnsi="Cambria"/>
        </w:rPr>
        <w:t xml:space="preserve"> taskforce between the CTICR and CSBQ. The CTICR received and discussed the final report (titled: CTICR taskforce on domestic violence) and it is now before the convention of synod. </w:t>
      </w:r>
    </w:p>
    <w:p w14:paraId="7DFD17A4" w14:textId="77777777" w:rsidR="00930400" w:rsidRPr="009A0DA6" w:rsidRDefault="00930400" w:rsidP="00930400">
      <w:pPr>
        <w:spacing w:before="120" w:after="120" w:line="240" w:lineRule="auto"/>
        <w:contextualSpacing/>
        <w:rPr>
          <w:rFonts w:ascii="Cambria" w:hAnsi="Cambria"/>
        </w:rPr>
      </w:pPr>
    </w:p>
    <w:p w14:paraId="7180E749" w14:textId="6F1E6CD9" w:rsidR="00930400" w:rsidRPr="009A0DA6" w:rsidRDefault="00930400" w:rsidP="00930400">
      <w:pPr>
        <w:spacing w:before="120" w:after="120" w:line="240" w:lineRule="auto"/>
        <w:contextualSpacing/>
        <w:rPr>
          <w:rFonts w:ascii="Cambria" w:hAnsi="Cambria"/>
        </w:rPr>
      </w:pPr>
      <w:r w:rsidRPr="009A0DA6">
        <w:rPr>
          <w:rFonts w:ascii="Cambria" w:hAnsi="Cambria"/>
        </w:rPr>
        <w:t xml:space="preserve">CTICR also thanks the LCA Communications Department (especially the </w:t>
      </w:r>
      <w:r w:rsidR="00A0565F">
        <w:rPr>
          <w:rFonts w:ascii="Cambria" w:hAnsi="Cambria"/>
        </w:rPr>
        <w:t xml:space="preserve">executive </w:t>
      </w:r>
      <w:r w:rsidRPr="009A0DA6">
        <w:rPr>
          <w:rFonts w:ascii="Cambria" w:hAnsi="Cambria"/>
        </w:rPr>
        <w:t>manager, Ms Linda Macqueen) for assisting it (1) in the task of reformatting its core online document collection DSTO (</w:t>
      </w:r>
      <w:r w:rsidRPr="009A0DA6">
        <w:rPr>
          <w:rFonts w:ascii="Cambria" w:hAnsi="Cambria"/>
          <w:i/>
        </w:rPr>
        <w:t>Doctrinal Statements and Theological Opinions</w:t>
      </w:r>
      <w:r w:rsidRPr="009A0DA6">
        <w:rPr>
          <w:rFonts w:ascii="Cambria" w:hAnsi="Cambria"/>
        </w:rPr>
        <w:t>); (2) restructuring the CTICR webpages to make them more accessible; and (3) in reporting regularly</w:t>
      </w:r>
      <w:r w:rsidR="00A0565F">
        <w:rPr>
          <w:rFonts w:ascii="Cambria" w:hAnsi="Cambria"/>
        </w:rPr>
        <w:t>, both via the OWL (Ordination W</w:t>
      </w:r>
      <w:r w:rsidRPr="009A0DA6">
        <w:rPr>
          <w:rFonts w:ascii="Cambria" w:hAnsi="Cambria"/>
        </w:rPr>
        <w:t xml:space="preserve">e’re Listening) website and in </w:t>
      </w:r>
      <w:r w:rsidRPr="009A0DA6">
        <w:rPr>
          <w:rFonts w:ascii="Cambria" w:hAnsi="Cambria"/>
          <w:i/>
        </w:rPr>
        <w:t>The Lutheran</w:t>
      </w:r>
      <w:r w:rsidRPr="009A0DA6">
        <w:rPr>
          <w:rFonts w:ascii="Cambria" w:hAnsi="Cambria"/>
        </w:rPr>
        <w:t xml:space="preserve">, on the LCA-wide ordination consultations during 2017. </w:t>
      </w:r>
    </w:p>
    <w:p w14:paraId="7935CD55" w14:textId="77777777" w:rsidR="00930400" w:rsidRPr="009A0DA6" w:rsidRDefault="00930400" w:rsidP="00930400">
      <w:pPr>
        <w:spacing w:before="120" w:after="120" w:line="240" w:lineRule="auto"/>
        <w:contextualSpacing/>
        <w:rPr>
          <w:rFonts w:ascii="Cambria" w:hAnsi="Cambria"/>
          <w:b/>
        </w:rPr>
      </w:pPr>
    </w:p>
    <w:p w14:paraId="201332C9" w14:textId="77777777" w:rsidR="00930400" w:rsidRPr="009A0DA6" w:rsidRDefault="00930400" w:rsidP="00930400">
      <w:pPr>
        <w:pStyle w:val="Heading3"/>
      </w:pPr>
      <w:r w:rsidRPr="009A0DA6">
        <w:t>Financial Performance</w:t>
      </w:r>
    </w:p>
    <w:p w14:paraId="1B901B12" w14:textId="77777777" w:rsidR="00930400" w:rsidRPr="009A0DA6" w:rsidRDefault="00930400" w:rsidP="00930400">
      <w:pPr>
        <w:spacing w:before="120" w:after="120" w:line="240" w:lineRule="auto"/>
        <w:contextualSpacing/>
        <w:rPr>
          <w:rFonts w:ascii="Cambria" w:hAnsi="Cambria" w:cs="Arial"/>
        </w:rPr>
      </w:pPr>
      <w:r w:rsidRPr="009A0DA6">
        <w:rPr>
          <w:rFonts w:ascii="Cambria" w:hAnsi="Cambria" w:cs="Arial"/>
        </w:rPr>
        <w:t xml:space="preserve">The LCA provides a budget to cover the cost of travel and accommodation. It has already been mentioned under section E that the allocation of additional financial resources to the work of the Church’s theology commission (CTICR) in the form of administrative assistance would lighten the load of the secretary and improve the commission’s efficiency. </w:t>
      </w:r>
    </w:p>
    <w:p w14:paraId="026B310C" w14:textId="77777777" w:rsidR="00930400" w:rsidRPr="009A0DA6" w:rsidRDefault="00930400" w:rsidP="00930400">
      <w:pPr>
        <w:spacing w:before="120" w:after="120" w:line="240" w:lineRule="auto"/>
        <w:contextualSpacing/>
        <w:rPr>
          <w:rFonts w:ascii="Cambria" w:hAnsi="Cambria" w:cs="Arial"/>
        </w:rPr>
      </w:pPr>
    </w:p>
    <w:p w14:paraId="4372DF02" w14:textId="77777777" w:rsidR="00DE6169" w:rsidRDefault="00DE6169">
      <w:pPr>
        <w:rPr>
          <w:rFonts w:ascii="Cambria" w:eastAsiaTheme="majorEastAsia" w:hAnsi="Cambria" w:cstheme="majorBidi"/>
          <w:b/>
          <w:caps/>
          <w:sz w:val="28"/>
          <w:szCs w:val="24"/>
        </w:rPr>
      </w:pPr>
      <w:r>
        <w:br w:type="page"/>
      </w:r>
    </w:p>
    <w:p w14:paraId="654552FA" w14:textId="679E6AC4" w:rsidR="00930400" w:rsidRPr="009A0DA6" w:rsidRDefault="00930400" w:rsidP="00930400">
      <w:pPr>
        <w:pStyle w:val="Heading3"/>
      </w:pPr>
      <w:r w:rsidRPr="009A0DA6">
        <w:lastRenderedPageBreak/>
        <w:t>agenda 6.2</w:t>
      </w:r>
    </w:p>
    <w:p w14:paraId="2F8D34D0" w14:textId="3E39AC12" w:rsidR="00930400" w:rsidRPr="009A0DA6" w:rsidRDefault="00250D17" w:rsidP="00930400">
      <w:pPr>
        <w:pStyle w:val="Heading2"/>
      </w:pPr>
      <w:bookmarkStart w:id="484" w:name="_Toc521954733"/>
      <w:r>
        <w:t>CTICR</w:t>
      </w:r>
      <w:r w:rsidR="00930400" w:rsidRPr="009A0DA6">
        <w:t>: A theological basis for the ordination of women and men – Draft Doctrinal Statement</w:t>
      </w:r>
      <w:bookmarkEnd w:id="484"/>
      <w:r w:rsidR="00930400" w:rsidRPr="009A0DA6">
        <w:t xml:space="preserve"> </w:t>
      </w:r>
    </w:p>
    <w:p w14:paraId="572FE0EF" w14:textId="77777777" w:rsidR="00930400" w:rsidRPr="009A0DA6" w:rsidRDefault="00930400" w:rsidP="00930400">
      <w:pPr>
        <w:pStyle w:val="NoSpacing"/>
      </w:pPr>
    </w:p>
    <w:p w14:paraId="62D514B4" w14:textId="77777777" w:rsidR="00930400" w:rsidRPr="009A0DA6" w:rsidRDefault="00930400" w:rsidP="00930400">
      <w:pPr>
        <w:pStyle w:val="Heading3"/>
      </w:pPr>
      <w:r w:rsidRPr="009A0DA6">
        <w:t>Preface</w:t>
      </w:r>
    </w:p>
    <w:p w14:paraId="23881C1A" w14:textId="77777777" w:rsidR="00930400" w:rsidRPr="009A0DA6" w:rsidRDefault="00930400" w:rsidP="00930400">
      <w:pPr>
        <w:spacing w:before="120" w:after="120" w:line="240" w:lineRule="auto"/>
        <w:contextualSpacing/>
        <w:rPr>
          <w:rFonts w:ascii="Cambria" w:hAnsi="Cambria"/>
          <w:b/>
        </w:rPr>
      </w:pPr>
      <w:r w:rsidRPr="009A0DA6">
        <w:rPr>
          <w:rFonts w:ascii="Cambria" w:hAnsi="Cambria"/>
        </w:rPr>
        <w:t>The 2015 General Convention of the LCA asked the CTICR ‘to build on its earlier work regarding the ordination of women and men to develop a draft doctrinal statement for General Pastors Conference and the 19</w:t>
      </w:r>
      <w:r w:rsidRPr="009A0DA6">
        <w:rPr>
          <w:rFonts w:ascii="Cambria" w:hAnsi="Cambria"/>
          <w:vertAlign w:val="superscript"/>
        </w:rPr>
        <w:t>th</w:t>
      </w:r>
      <w:r w:rsidRPr="009A0DA6">
        <w:rPr>
          <w:rFonts w:ascii="Cambria" w:hAnsi="Cambria"/>
        </w:rPr>
        <w:t xml:space="preserve"> Convention of Synod that presents a theological basis for the ordination of women and men’.</w:t>
      </w:r>
    </w:p>
    <w:p w14:paraId="37AADBB3" w14:textId="3554AE41" w:rsidR="00930400" w:rsidRPr="009A0DA6" w:rsidRDefault="00930400" w:rsidP="00930400">
      <w:pPr>
        <w:spacing w:before="120" w:after="120" w:line="240" w:lineRule="auto"/>
        <w:contextualSpacing/>
        <w:rPr>
          <w:rFonts w:ascii="Cambria" w:hAnsi="Cambria"/>
        </w:rPr>
      </w:pPr>
      <w:r w:rsidRPr="009A0DA6">
        <w:rPr>
          <w:rFonts w:ascii="Cambria" w:hAnsi="Cambria"/>
        </w:rPr>
        <w:br/>
        <w:t xml:space="preserve">The initial draft doctrinal statement (DDS) that the CTICR prepared in response to the 2015 convention resolution, and an accompanying commentary, were work-shopped at a series of Churchwide consultations in Australia and New Zealand in 2017. Guided by feedback from the consultations the CTICR prepared a new document in the form of six brief biblical and theological theses, titled: </w:t>
      </w:r>
      <w:bookmarkStart w:id="485" w:name="_Hlk508886108"/>
      <w:bookmarkStart w:id="486" w:name="_Hlk508890415"/>
      <w:r w:rsidRPr="009A0DA6">
        <w:rPr>
          <w:rFonts w:ascii="Cambria" w:hAnsi="Cambria"/>
          <w:i/>
        </w:rPr>
        <w:t>A theological basis for the ordination of women and men: draft doctrinal statement</w:t>
      </w:r>
      <w:bookmarkEnd w:id="485"/>
      <w:r w:rsidRPr="009A0DA6">
        <w:rPr>
          <w:rFonts w:ascii="Cambria" w:hAnsi="Cambria"/>
          <w:i/>
        </w:rPr>
        <w:t xml:space="preserve">. </w:t>
      </w:r>
      <w:r w:rsidRPr="009A0DA6">
        <w:rPr>
          <w:rFonts w:ascii="Cambria" w:hAnsi="Cambria"/>
        </w:rPr>
        <w:t xml:space="preserve">It replaces the initial DDS that was presented at the consultations. </w:t>
      </w:r>
      <w:r w:rsidR="008504A2">
        <w:rPr>
          <w:rFonts w:ascii="Cambria" w:hAnsi="Cambria"/>
        </w:rPr>
        <w:br/>
      </w:r>
      <w:r w:rsidRPr="009A0DA6">
        <w:rPr>
          <w:rFonts w:ascii="Cambria" w:hAnsi="Cambria"/>
        </w:rPr>
        <w:t xml:space="preserve">In response to the second part of the convention resolution, the CTICR has also written a document called: </w:t>
      </w:r>
      <w:bookmarkStart w:id="487" w:name="_Hlk508886182"/>
      <w:r w:rsidRPr="009A0DA6">
        <w:rPr>
          <w:rFonts w:ascii="Cambria" w:hAnsi="Cambria"/>
          <w:i/>
        </w:rPr>
        <w:t>A</w:t>
      </w:r>
      <w:r w:rsidRPr="009A0DA6">
        <w:rPr>
          <w:rFonts w:ascii="Cambria" w:hAnsi="Cambria"/>
        </w:rPr>
        <w:t xml:space="preserve"> </w:t>
      </w:r>
      <w:r w:rsidRPr="009A0DA6">
        <w:rPr>
          <w:rFonts w:ascii="Cambria" w:hAnsi="Cambria"/>
          <w:i/>
        </w:rPr>
        <w:t>theological basis for why the ordination of women and men need not be Church-divisive</w:t>
      </w:r>
      <w:bookmarkEnd w:id="487"/>
      <w:r w:rsidRPr="009A0DA6">
        <w:rPr>
          <w:rFonts w:ascii="Cambria" w:hAnsi="Cambria"/>
        </w:rPr>
        <w:t xml:space="preserve">. By issuing these two documents the CTICR has fulfilled the synodical request. </w:t>
      </w:r>
    </w:p>
    <w:p w14:paraId="30BB3C18" w14:textId="1136AD2D" w:rsidR="00930400" w:rsidRPr="009A0DA6" w:rsidRDefault="00930400" w:rsidP="00930400">
      <w:pPr>
        <w:spacing w:before="120" w:after="120" w:line="240" w:lineRule="auto"/>
        <w:contextualSpacing/>
        <w:rPr>
          <w:rFonts w:ascii="Cambria" w:hAnsi="Cambria"/>
          <w:i/>
        </w:rPr>
      </w:pPr>
      <w:bookmarkStart w:id="488" w:name="_Hlk508886722"/>
      <w:r w:rsidRPr="009A0DA6">
        <w:rPr>
          <w:rFonts w:ascii="Cambria" w:hAnsi="Cambria"/>
        </w:rPr>
        <w:br/>
        <w:t xml:space="preserve">The CTICR has also produced two other documents for the guidance of the Church: </w:t>
      </w:r>
      <w:r w:rsidR="008504A2">
        <w:rPr>
          <w:rFonts w:ascii="Cambria" w:hAnsi="Cambria"/>
        </w:rPr>
        <w:br/>
      </w:r>
      <w:r w:rsidRPr="009A0DA6">
        <w:rPr>
          <w:rFonts w:ascii="Cambria" w:hAnsi="Cambria"/>
          <w:i/>
        </w:rPr>
        <w:t xml:space="preserve">A theological basis for the ordination of women and men: background to the draft doctrinal statement, </w:t>
      </w:r>
      <w:r w:rsidRPr="009A0DA6">
        <w:rPr>
          <w:rFonts w:ascii="Cambria" w:hAnsi="Cambria"/>
        </w:rPr>
        <w:t xml:space="preserve">and </w:t>
      </w:r>
      <w:r w:rsidRPr="009A0DA6">
        <w:rPr>
          <w:rFonts w:ascii="Cambria" w:hAnsi="Cambria"/>
          <w:i/>
        </w:rPr>
        <w:t>Engaging with the Draft Doctrinal Statement: Reflection arising from the current teaching of the Lutheran Church</w:t>
      </w:r>
      <w:bookmarkEnd w:id="488"/>
      <w:r w:rsidRPr="009A0DA6">
        <w:rPr>
          <w:rFonts w:ascii="Cambria" w:hAnsi="Cambria"/>
          <w:i/>
        </w:rPr>
        <w:t xml:space="preserve"> of Australia.</w:t>
      </w:r>
      <w:bookmarkEnd w:id="486"/>
    </w:p>
    <w:p w14:paraId="19FD24EF" w14:textId="098F54F3" w:rsidR="00930400" w:rsidRPr="009A0DA6" w:rsidRDefault="00930400" w:rsidP="00930400">
      <w:pPr>
        <w:spacing w:before="120" w:after="120" w:line="240" w:lineRule="auto"/>
        <w:contextualSpacing/>
        <w:rPr>
          <w:rFonts w:ascii="Cambria" w:hAnsi="Cambria"/>
        </w:rPr>
      </w:pPr>
      <w:r w:rsidRPr="009A0DA6">
        <w:rPr>
          <w:rFonts w:ascii="Cambria" w:hAnsi="Cambria"/>
        </w:rPr>
        <w:br/>
        <w:t>The draft doctrinal statement on the ordination of women and men deals only</w:t>
      </w:r>
      <w:r w:rsidRPr="009A0DA6">
        <w:rPr>
          <w:rFonts w:ascii="Cambria" w:hAnsi="Cambria"/>
          <w:b/>
          <w:i/>
        </w:rPr>
        <w:t xml:space="preserve"> </w:t>
      </w:r>
      <w:r w:rsidRPr="009A0DA6">
        <w:rPr>
          <w:rFonts w:ascii="Cambria" w:hAnsi="Cambria"/>
        </w:rPr>
        <w:t xml:space="preserve">with the inclusion of both women and men in the office of the ministry; it does not seek to reformulate the doctrine of the ordained office, which is given in Theses of Agreement </w:t>
      </w:r>
      <w:r w:rsidR="008504A2">
        <w:rPr>
          <w:rFonts w:ascii="Cambria" w:hAnsi="Cambria"/>
        </w:rPr>
        <w:br/>
      </w:r>
      <w:r w:rsidRPr="009A0DA6">
        <w:rPr>
          <w:rFonts w:ascii="Cambria" w:hAnsi="Cambria"/>
        </w:rPr>
        <w:t xml:space="preserve">6.1–10. </w:t>
      </w:r>
    </w:p>
    <w:p w14:paraId="1F7EB1DA" w14:textId="77777777" w:rsidR="00930400" w:rsidRPr="009A0DA6" w:rsidRDefault="00930400" w:rsidP="00930400">
      <w:pPr>
        <w:spacing w:before="120" w:after="120" w:line="240" w:lineRule="auto"/>
        <w:contextualSpacing/>
        <w:rPr>
          <w:rFonts w:ascii="Cambria" w:hAnsi="Cambria"/>
        </w:rPr>
      </w:pPr>
      <w:r w:rsidRPr="009A0DA6">
        <w:rPr>
          <w:rFonts w:ascii="Cambria" w:hAnsi="Cambria"/>
        </w:rPr>
        <w:br/>
        <w:t xml:space="preserve">The CTICR wishes to acknowledge that not all members support the case for the ordination of women and men, and conversely not all members support the case for the ordination of men only. It also wishes to affirm that all members of the CTICR regard the Scriptures as the divinely inspired, written and inerrant Word of God, and uphold the Lutheran Confessions as the correct exposition of scriptural teaching. </w:t>
      </w:r>
    </w:p>
    <w:p w14:paraId="5A79C78B" w14:textId="77777777" w:rsidR="00930400" w:rsidRPr="009A0DA6" w:rsidRDefault="00930400" w:rsidP="00930400">
      <w:pPr>
        <w:pStyle w:val="Heading3"/>
        <w:pBdr>
          <w:bottom w:val="single" w:sz="4" w:space="1" w:color="auto"/>
        </w:pBdr>
      </w:pPr>
      <w:r w:rsidRPr="009A0DA6">
        <w:rPr>
          <w:sz w:val="12"/>
        </w:rPr>
        <w:br/>
      </w:r>
      <w:r w:rsidRPr="009A0DA6">
        <w:t>A theological basis for the ordination of women and men: draft doctrinal statement</w:t>
      </w:r>
    </w:p>
    <w:p w14:paraId="0CE9070D" w14:textId="77777777" w:rsidR="00930400" w:rsidRPr="009A0DA6" w:rsidRDefault="00930400" w:rsidP="00930400">
      <w:pPr>
        <w:pStyle w:val="Heading3"/>
      </w:pPr>
      <w:r w:rsidRPr="009A0DA6">
        <w:t>Introduction</w:t>
      </w:r>
    </w:p>
    <w:p w14:paraId="62C0323F" w14:textId="77777777" w:rsidR="00930400" w:rsidRPr="009A0DA6" w:rsidRDefault="00930400" w:rsidP="00930400">
      <w:pPr>
        <w:spacing w:before="120" w:after="120" w:line="240" w:lineRule="auto"/>
        <w:contextualSpacing/>
        <w:rPr>
          <w:rFonts w:ascii="Cambria" w:hAnsi="Cambria"/>
        </w:rPr>
      </w:pPr>
      <w:r w:rsidRPr="009A0DA6">
        <w:rPr>
          <w:rFonts w:ascii="Cambria" w:hAnsi="Cambria"/>
        </w:rPr>
        <w:t xml:space="preserve">Both men and women are ordained to the office of the public ministry of the Lutheran Church of Australia for the following reasons: </w:t>
      </w:r>
    </w:p>
    <w:p w14:paraId="02548165" w14:textId="77777777" w:rsidR="00930400" w:rsidRPr="009A0DA6" w:rsidRDefault="00930400" w:rsidP="00F55252">
      <w:pPr>
        <w:pStyle w:val="ListParagraph"/>
        <w:numPr>
          <w:ilvl w:val="0"/>
          <w:numId w:val="194"/>
        </w:numPr>
        <w:spacing w:before="120" w:after="120" w:line="240" w:lineRule="auto"/>
        <w:ind w:left="567" w:hanging="567"/>
        <w:rPr>
          <w:rFonts w:ascii="Cambria" w:hAnsi="Cambria"/>
        </w:rPr>
      </w:pPr>
      <w:r w:rsidRPr="009A0DA6">
        <w:rPr>
          <w:rFonts w:ascii="Cambria" w:hAnsi="Cambria"/>
          <w:b/>
        </w:rPr>
        <w:t>Women and men in the public office continue the ministry of the apostles</w:t>
      </w:r>
    </w:p>
    <w:p w14:paraId="7EF49F62" w14:textId="77777777" w:rsidR="00930400" w:rsidRPr="009A0DA6" w:rsidRDefault="00930400" w:rsidP="00930400">
      <w:pPr>
        <w:pStyle w:val="ListParagraph"/>
        <w:spacing w:before="120" w:after="120" w:line="240" w:lineRule="auto"/>
        <w:ind w:left="567"/>
        <w:rPr>
          <w:rFonts w:ascii="Cambria" w:hAnsi="Cambria"/>
        </w:rPr>
      </w:pPr>
      <w:r w:rsidRPr="009A0DA6">
        <w:rPr>
          <w:rFonts w:ascii="Cambria" w:hAnsi="Cambria"/>
        </w:rPr>
        <w:t xml:space="preserve">The public office of the ministry today is apostolic in the sense that it exists to proclaim and enact the teaching of the apostles. However, the foundational role of the apostles was unique. Therefore, the precedent of male apostles (Acts 1:21,22) does not require that pastors be male today. </w:t>
      </w:r>
      <w:r w:rsidRPr="009A0DA6">
        <w:rPr>
          <w:rFonts w:ascii="Cambria" w:hAnsi="Cambria"/>
        </w:rPr>
        <w:br/>
      </w:r>
    </w:p>
    <w:p w14:paraId="09936C71" w14:textId="77777777" w:rsidR="00930400" w:rsidRPr="009A0DA6" w:rsidRDefault="00930400" w:rsidP="00F55252">
      <w:pPr>
        <w:pStyle w:val="ListParagraph"/>
        <w:numPr>
          <w:ilvl w:val="0"/>
          <w:numId w:val="194"/>
        </w:numPr>
        <w:spacing w:before="120" w:after="120" w:line="240" w:lineRule="auto"/>
        <w:ind w:left="567" w:hanging="567"/>
        <w:rPr>
          <w:rFonts w:ascii="Cambria" w:hAnsi="Cambria"/>
        </w:rPr>
      </w:pPr>
      <w:r w:rsidRPr="009A0DA6">
        <w:rPr>
          <w:rFonts w:ascii="Cambria" w:hAnsi="Cambria"/>
          <w:b/>
        </w:rPr>
        <w:t>Women as disciples</w:t>
      </w:r>
    </w:p>
    <w:p w14:paraId="77B3DC93" w14:textId="77777777" w:rsidR="00930400" w:rsidRPr="009A0DA6" w:rsidRDefault="00930400" w:rsidP="00930400">
      <w:pPr>
        <w:pStyle w:val="ListParagraph"/>
        <w:spacing w:before="120" w:after="120" w:line="240" w:lineRule="auto"/>
        <w:ind w:left="567"/>
        <w:rPr>
          <w:rFonts w:ascii="Cambria" w:hAnsi="Cambria"/>
        </w:rPr>
      </w:pPr>
      <w:r w:rsidRPr="009A0DA6">
        <w:rPr>
          <w:rFonts w:ascii="Cambria" w:hAnsi="Cambria"/>
        </w:rPr>
        <w:t xml:space="preserve">Jesus included women in the wider circle of disciples who followed him throughout his ministry, were served by him, and in turn served him (Matt 12:49,50; 27:55; </w:t>
      </w:r>
      <w:r w:rsidRPr="009A0DA6">
        <w:rPr>
          <w:rFonts w:ascii="Cambria" w:hAnsi="Cambria"/>
        </w:rPr>
        <w:br/>
      </w:r>
      <w:r w:rsidRPr="009A0DA6">
        <w:rPr>
          <w:rFonts w:ascii="Cambria" w:hAnsi="Cambria"/>
        </w:rPr>
        <w:lastRenderedPageBreak/>
        <w:t xml:space="preserve">Mark 10:45; 14:3–9; 15:41; Luke 23:55; 24:22–24,33). When Jesus predicted his impending death and resurrection to the disciples in private, women disciples were among them (Luke 9:18–22; 24:1–12). Women were the first to see the risen Lord and the first to announce his resurrection to the other disciples (Matt. 28:1–10; </w:t>
      </w:r>
      <w:r w:rsidRPr="009A0DA6">
        <w:rPr>
          <w:rFonts w:ascii="Cambria" w:hAnsi="Cambria"/>
        </w:rPr>
        <w:br/>
        <w:t xml:space="preserve">Mark 16:1–20; Luke 24:4–10; John 20:1–18). As members of the wider circle of Jesus’ disciples they were well placed to serve as leaders in the early church's ministries alongside the apostles (Luke 24:13–49; Acts 2:17–21). </w:t>
      </w:r>
      <w:bookmarkStart w:id="489" w:name="_Hlk496799631"/>
      <w:r w:rsidRPr="009A0DA6">
        <w:rPr>
          <w:rFonts w:ascii="Cambria" w:hAnsi="Cambria"/>
        </w:rPr>
        <w:br/>
      </w:r>
    </w:p>
    <w:bookmarkEnd w:id="489"/>
    <w:p w14:paraId="4A21F614" w14:textId="77777777" w:rsidR="00930400" w:rsidRPr="009A0DA6" w:rsidRDefault="00930400" w:rsidP="00F55252">
      <w:pPr>
        <w:pStyle w:val="ListParagraph"/>
        <w:numPr>
          <w:ilvl w:val="0"/>
          <w:numId w:val="194"/>
        </w:numPr>
        <w:spacing w:before="120" w:after="120" w:line="240" w:lineRule="auto"/>
        <w:ind w:left="567" w:hanging="567"/>
        <w:rPr>
          <w:rFonts w:ascii="Cambria" w:hAnsi="Cambria"/>
        </w:rPr>
      </w:pPr>
      <w:r w:rsidRPr="009A0DA6">
        <w:rPr>
          <w:rFonts w:ascii="Cambria" w:hAnsi="Cambria"/>
          <w:b/>
        </w:rPr>
        <w:t>Ministries of women in the New Testament era</w:t>
      </w:r>
    </w:p>
    <w:p w14:paraId="13EA2EB7" w14:textId="77777777" w:rsidR="00930400" w:rsidRPr="009A0DA6" w:rsidRDefault="00930400" w:rsidP="00930400">
      <w:pPr>
        <w:pStyle w:val="ListParagraph"/>
        <w:spacing w:before="120" w:after="120" w:line="240" w:lineRule="auto"/>
        <w:ind w:left="567"/>
        <w:rPr>
          <w:rFonts w:ascii="Cambria" w:hAnsi="Cambria"/>
        </w:rPr>
      </w:pPr>
      <w:r w:rsidRPr="009A0DA6">
        <w:rPr>
          <w:rFonts w:ascii="Cambria" w:hAnsi="Cambria"/>
        </w:rPr>
        <w:t xml:space="preserve">The Holy Spirit led the early Christians to establish a variety of ministries, such as prophets, bishops (overseers), teachers, evangelists, pastors and deacons. Many of these included women. Women served as prophets in Corinth and in Caesarea by the Sea (1 Cor 11:5; Acts 21:9). Phoebe was a deacon (minister) of the church at Cenchreae (Rom. 16:1,2), an office occupied also by Epaphras and Timothy (Col 1:7; </w:t>
      </w:r>
      <w:r w:rsidRPr="009A0DA6">
        <w:rPr>
          <w:rFonts w:ascii="Cambria" w:hAnsi="Cambria"/>
        </w:rPr>
        <w:br/>
        <w:t>1 Tim. 4:6). Priscilla was Paul’s co-worker in Rome and a teacher of the church (Rom. 16:3; Acts 18:26). Euodia and Syntyche ‘struggled in the gospel’ alongside Paul in Philippi (Phil 4:3), Mary, Traephena and Tryphosa ‘worked hard’ as the church was established in Rome (Rom 16:6,12), and Junia was ‘prominent among the apostles’ (Rom 16:7). The inclusion of women in these significant ministries supports the case for their inclusion in the public office of the ministry today.</w:t>
      </w:r>
      <w:r w:rsidRPr="009A0DA6">
        <w:rPr>
          <w:rFonts w:ascii="Cambria" w:hAnsi="Cambria"/>
        </w:rPr>
        <w:br/>
      </w:r>
    </w:p>
    <w:p w14:paraId="1A0EE6F8" w14:textId="77777777" w:rsidR="00930400" w:rsidRPr="009A0DA6" w:rsidRDefault="00930400" w:rsidP="00F55252">
      <w:pPr>
        <w:pStyle w:val="ListParagraph"/>
        <w:numPr>
          <w:ilvl w:val="0"/>
          <w:numId w:val="194"/>
        </w:numPr>
        <w:spacing w:before="120" w:after="120" w:line="240" w:lineRule="auto"/>
        <w:ind w:left="567" w:hanging="567"/>
        <w:rPr>
          <w:rFonts w:ascii="Cambria" w:hAnsi="Cambria"/>
          <w:b/>
        </w:rPr>
      </w:pPr>
      <w:r w:rsidRPr="009A0DA6">
        <w:rPr>
          <w:rFonts w:ascii="Cambria" w:hAnsi="Cambria"/>
          <w:b/>
        </w:rPr>
        <w:t>1 Timothy 2:11–15 and 1 Corinthians 14:33b–37</w:t>
      </w:r>
    </w:p>
    <w:p w14:paraId="48BF6C52" w14:textId="3ABF9D9D" w:rsidR="00930400" w:rsidRPr="009A0DA6" w:rsidRDefault="00930400" w:rsidP="00930400">
      <w:pPr>
        <w:pStyle w:val="ListParagraph"/>
        <w:spacing w:before="120" w:after="120" w:line="240" w:lineRule="auto"/>
        <w:ind w:left="567"/>
        <w:rPr>
          <w:rFonts w:ascii="Cambria" w:hAnsi="Cambria"/>
        </w:rPr>
      </w:pPr>
      <w:r w:rsidRPr="009A0DA6">
        <w:rPr>
          <w:rFonts w:ascii="Cambria" w:hAnsi="Cambria"/>
        </w:rPr>
        <w:t>Regarding 1 Timothy 2:11–15, Paul did not permit women to teach the faith at Ephesus. This restriction was consistent with the practice of the synagogue, and was necessary for the time being to avoid offence, especially to Jewish Christians. In other settings, such as Rome, Philippi, Cenchreae, and Caesarea by the Sea, the same ruling was not in force (Acts 18:26; 21:9; Rom 16:1–3,6,7,12; Phil 4:3; compare 1 Tim 3:12 with Rom 16:1; and 1 Tim 2:12 with Acts 18:26). Regarding 1 Corinthians 14:33b–37, the women who served as prophets in Corinth (1 Cor 11:5; see also 12:28; Eph 4:11; Acts 21:9) are to be distinguished</w:t>
      </w:r>
      <w:r w:rsidR="00A60838">
        <w:rPr>
          <w:rFonts w:ascii="Cambria" w:hAnsi="Cambria"/>
        </w:rPr>
        <w:t xml:space="preserve"> from the wives referred to at </w:t>
      </w:r>
      <w:r w:rsidRPr="009A0DA6">
        <w:rPr>
          <w:rFonts w:ascii="Cambria" w:hAnsi="Cambria"/>
        </w:rPr>
        <w:t xml:space="preserve">1 Corinthians 14:34,35. Their questions to their husbands, asking them to explain what was being said, prompted the apostle to warn them not to disrupt worship. He commanded them to ‘keep silent in the churches’ (1 Cor 14:34,35). This is a specific application of Jesus’ overarching command to love one another (1 Cor 14:37; see also 8:1; 13:1–13; </w:t>
      </w:r>
      <w:r w:rsidR="00A60838">
        <w:rPr>
          <w:rFonts w:ascii="Cambria" w:hAnsi="Cambria"/>
        </w:rPr>
        <w:br/>
      </w:r>
      <w:r w:rsidRPr="009A0DA6">
        <w:rPr>
          <w:rFonts w:ascii="Cambria" w:hAnsi="Cambria"/>
        </w:rPr>
        <w:t xml:space="preserve">14:1; John 13:34; 15:12; 1 John 3:23; 4:21), for the sake </w:t>
      </w:r>
      <w:r w:rsidR="00A60838">
        <w:rPr>
          <w:rFonts w:ascii="Cambria" w:hAnsi="Cambria"/>
        </w:rPr>
        <w:t xml:space="preserve">of good order in worship </w:t>
      </w:r>
      <w:r w:rsidR="00A60838">
        <w:rPr>
          <w:rFonts w:ascii="Cambria" w:hAnsi="Cambria"/>
        </w:rPr>
        <w:br/>
        <w:t>(1 Cor</w:t>
      </w:r>
      <w:r w:rsidRPr="009A0DA6">
        <w:rPr>
          <w:rFonts w:ascii="Cambria" w:hAnsi="Cambria"/>
        </w:rPr>
        <w:t xml:space="preserve"> 14:33,40), so that the church may be built up in faith, hope and love </w:t>
      </w:r>
      <w:r w:rsidRPr="009A0DA6">
        <w:rPr>
          <w:rFonts w:ascii="Cambria" w:hAnsi="Cambria"/>
        </w:rPr>
        <w:br/>
        <w:t xml:space="preserve">(1 Cor 13:13; 14:3–5,12,17). Paul prohibited women from teaching the faith at Ephesus, and he regulated the conduct of certain wives during worship at Corinth and across the church, motivated by his overriding missionary concern, to ‘become all things to all people, so that [he] might by all means save some’ (1 Cor 9:22). Since </w:t>
      </w:r>
      <w:r w:rsidRPr="009A0DA6">
        <w:rPr>
          <w:rFonts w:ascii="Cambria" w:hAnsi="Cambria"/>
        </w:rPr>
        <w:br/>
        <w:t>1 Timothy 2:11–14 and 1 Corinthians 14:33b–37 do not specifically address the issue of ordination, they cannot be used to support the exclusion of women from the pastoral office.</w:t>
      </w:r>
      <w:r w:rsidRPr="009A0DA6">
        <w:rPr>
          <w:rFonts w:ascii="Cambria" w:hAnsi="Cambria"/>
        </w:rPr>
        <w:br/>
      </w:r>
    </w:p>
    <w:p w14:paraId="72AB506A" w14:textId="77777777" w:rsidR="00930400" w:rsidRPr="009A0DA6" w:rsidRDefault="00930400" w:rsidP="00F55252">
      <w:pPr>
        <w:pStyle w:val="ListParagraph"/>
        <w:numPr>
          <w:ilvl w:val="0"/>
          <w:numId w:val="194"/>
        </w:numPr>
        <w:spacing w:before="120" w:after="120" w:line="240" w:lineRule="auto"/>
        <w:ind w:left="567" w:hanging="567"/>
        <w:rPr>
          <w:rFonts w:ascii="Cambria" w:hAnsi="Cambria"/>
        </w:rPr>
      </w:pPr>
      <w:r w:rsidRPr="009A0DA6">
        <w:rPr>
          <w:rFonts w:ascii="Cambria" w:hAnsi="Cambria"/>
          <w:b/>
        </w:rPr>
        <w:t xml:space="preserve">Galatians 3:26–28 </w:t>
      </w:r>
      <w:r w:rsidRPr="009A0DA6">
        <w:rPr>
          <w:rFonts w:ascii="Cambria" w:hAnsi="Cambria"/>
          <w:b/>
        </w:rPr>
        <w:br/>
      </w:r>
      <w:r w:rsidRPr="009A0DA6">
        <w:rPr>
          <w:rFonts w:ascii="Cambria" w:hAnsi="Cambria"/>
        </w:rPr>
        <w:t xml:space="preserve">The unity of all believers before God through baptism led to a breakthrough in the way that people of Jewish and Gentile background, and masters and slaves, related to one another. </w:t>
      </w:r>
      <w:r w:rsidRPr="009A0DA6">
        <w:rPr>
          <w:rFonts w:ascii="Cambria" w:hAnsi="Cambria"/>
          <w:iCs/>
        </w:rPr>
        <w:t xml:space="preserve">Likewise, the new creation in Christ transcends and transforms any barriers built by humans which prohibit the ordination of women. This new creation in Christ enables women, in the midst of ever-changing social and cultural contexts, to serve in the office of the public ministry </w:t>
      </w:r>
      <w:r w:rsidRPr="009A0DA6">
        <w:rPr>
          <w:rFonts w:ascii="Cambria" w:hAnsi="Cambria"/>
        </w:rPr>
        <w:t xml:space="preserve">(Gal 3:27,28; Acts 10:1–48; Eph 2:11–22; </w:t>
      </w:r>
      <w:r w:rsidRPr="009A0DA6">
        <w:rPr>
          <w:rFonts w:ascii="Cambria" w:hAnsi="Cambria"/>
        </w:rPr>
        <w:br/>
        <w:t>Gal 2:11–14; Phm 16; 1 Cor 7:21–24; Eph 6:6–9; Col 4:1; 1 Tim 6:1,2).</w:t>
      </w:r>
      <w:r w:rsidRPr="009A0DA6">
        <w:rPr>
          <w:rFonts w:ascii="Cambria" w:hAnsi="Cambria"/>
        </w:rPr>
        <w:br/>
      </w:r>
    </w:p>
    <w:p w14:paraId="3138EF6A" w14:textId="77777777" w:rsidR="00930400" w:rsidRPr="009A0DA6" w:rsidRDefault="00930400" w:rsidP="00F55252">
      <w:pPr>
        <w:pStyle w:val="ListParagraph"/>
        <w:numPr>
          <w:ilvl w:val="0"/>
          <w:numId w:val="194"/>
        </w:numPr>
        <w:spacing w:before="120" w:after="120" w:line="240" w:lineRule="auto"/>
        <w:ind w:left="567" w:hanging="567"/>
        <w:rPr>
          <w:rFonts w:ascii="Cambria" w:hAnsi="Cambria"/>
        </w:rPr>
      </w:pPr>
      <w:r w:rsidRPr="009A0DA6">
        <w:rPr>
          <w:rFonts w:ascii="Cambria" w:hAnsi="Cambria"/>
          <w:b/>
        </w:rPr>
        <w:t>Lutheran doctrinal foundations</w:t>
      </w:r>
    </w:p>
    <w:p w14:paraId="7045878D" w14:textId="77777777" w:rsidR="00930400" w:rsidRPr="009A0DA6" w:rsidRDefault="00930400" w:rsidP="00930400">
      <w:pPr>
        <w:pStyle w:val="ListParagraph"/>
        <w:spacing w:before="120" w:after="120" w:line="240" w:lineRule="auto"/>
        <w:ind w:left="567"/>
        <w:rPr>
          <w:rFonts w:ascii="Cambria" w:hAnsi="Cambria"/>
        </w:rPr>
      </w:pPr>
      <w:r w:rsidRPr="009A0DA6">
        <w:rPr>
          <w:rFonts w:ascii="Cambria" w:hAnsi="Cambria"/>
        </w:rPr>
        <w:t>The article on the office of the public ministry in the Augsburg Confession</w:t>
      </w:r>
      <w:r w:rsidRPr="009A0DA6">
        <w:rPr>
          <w:rFonts w:ascii="Cambria" w:hAnsi="Cambria"/>
          <w:i/>
        </w:rPr>
        <w:t xml:space="preserve"> </w:t>
      </w:r>
      <w:r w:rsidRPr="009A0DA6">
        <w:rPr>
          <w:rFonts w:ascii="Cambria" w:hAnsi="Cambria"/>
        </w:rPr>
        <w:t xml:space="preserve">(AC 5) follows the chief article, justification by faith (AC 4). The overriding concern of the </w:t>
      </w:r>
      <w:r w:rsidRPr="009A0DA6">
        <w:rPr>
          <w:rFonts w:ascii="Cambria" w:hAnsi="Cambria"/>
        </w:rPr>
        <w:lastRenderedPageBreak/>
        <w:t>Augsburg Confession is that the gospel of God’s grace and forgiveness in Christ remain central to the teaching and practice of the church. The gospel is the teaching by which the church stands or falls. God has established the pastoral office to ensure that, through the word and the sacraments, people are continually brought to and sustained in faith (AC Apol. 7/8.28).</w:t>
      </w:r>
      <w:r w:rsidRPr="009A0DA6">
        <w:rPr>
          <w:rFonts w:ascii="Cambria" w:hAnsi="Cambria"/>
          <w:i/>
        </w:rPr>
        <w:t xml:space="preserve"> </w:t>
      </w:r>
      <w:r w:rsidRPr="009A0DA6">
        <w:rPr>
          <w:rFonts w:ascii="Cambria" w:hAnsi="Cambria"/>
        </w:rPr>
        <w:t xml:space="preserve">The power of the gospel to accomplish this is not dependent on the preacher, whether male or female, but on God’s promise (Isa 55:11) and the power of his Spirit. </w:t>
      </w:r>
    </w:p>
    <w:p w14:paraId="366E2874" w14:textId="77777777" w:rsidR="00930400" w:rsidRPr="009A0DA6" w:rsidRDefault="00930400" w:rsidP="00930400">
      <w:pPr>
        <w:pStyle w:val="Heading3"/>
      </w:pPr>
      <w:r w:rsidRPr="009A0DA6">
        <w:t>Conclusion</w:t>
      </w:r>
    </w:p>
    <w:p w14:paraId="3B12CA46" w14:textId="77777777" w:rsidR="00930400" w:rsidRPr="009A0DA6" w:rsidRDefault="00930400" w:rsidP="00930400">
      <w:pPr>
        <w:widowControl w:val="0"/>
        <w:autoSpaceDE w:val="0"/>
        <w:autoSpaceDN w:val="0"/>
        <w:adjustRightInd w:val="0"/>
        <w:spacing w:before="120" w:after="120" w:line="240" w:lineRule="auto"/>
        <w:contextualSpacing/>
        <w:rPr>
          <w:rFonts w:ascii="Cambria" w:hAnsi="Cambria"/>
        </w:rPr>
      </w:pPr>
      <w:r w:rsidRPr="009A0DA6">
        <w:rPr>
          <w:rFonts w:ascii="Cambria" w:hAnsi="Cambria"/>
        </w:rPr>
        <w:t xml:space="preserve">The ordination of women to the office of the ministry is consistent with the Scriptures, and with the doctrine of the ministry as articulated in the Lutheran Confessions. The inclusion of women in the public ministry does not mean a change to the teaching of the Confessions, but only a change to the LCA’s public teaching that men only may be ordained. Duly called, qualified and authorised persons (AC 14), both male and female, may be ordained, and may exercise the office of the keys, by proclaiming the gospel, pronouncing the absolution, and administering the sacraments (John 20:21–23; Matt 28:18–20; 1 Cor 11:23–26). </w:t>
      </w:r>
    </w:p>
    <w:p w14:paraId="5AE6BAFE" w14:textId="77777777" w:rsidR="00930400" w:rsidRPr="009A0DA6" w:rsidRDefault="00930400" w:rsidP="00930400">
      <w:pPr>
        <w:widowControl w:val="0"/>
        <w:autoSpaceDE w:val="0"/>
        <w:autoSpaceDN w:val="0"/>
        <w:adjustRightInd w:val="0"/>
        <w:spacing w:before="120" w:after="120" w:line="240" w:lineRule="auto"/>
        <w:contextualSpacing/>
        <w:rPr>
          <w:rFonts w:ascii="Cambria" w:hAnsi="Cambria"/>
        </w:rPr>
      </w:pPr>
    </w:p>
    <w:p w14:paraId="60A07AC3" w14:textId="77777777" w:rsidR="00930400" w:rsidRPr="009A0DA6" w:rsidRDefault="00930400" w:rsidP="00930400">
      <w:pPr>
        <w:widowControl w:val="0"/>
        <w:autoSpaceDE w:val="0"/>
        <w:autoSpaceDN w:val="0"/>
        <w:adjustRightInd w:val="0"/>
        <w:spacing w:before="120" w:after="120" w:line="240" w:lineRule="auto"/>
        <w:contextualSpacing/>
        <w:rPr>
          <w:rFonts w:ascii="Cambria" w:hAnsi="Cambria"/>
          <w:b/>
        </w:rPr>
      </w:pPr>
      <w:r w:rsidRPr="009A0DA6">
        <w:rPr>
          <w:rFonts w:ascii="Cambria" w:hAnsi="Cambria"/>
          <w:b/>
        </w:rPr>
        <w:t>Prepared by the CTICR for the General Convention of Synod 2018</w:t>
      </w:r>
    </w:p>
    <w:p w14:paraId="0792788A" w14:textId="77777777" w:rsidR="00930400" w:rsidRPr="009A0DA6" w:rsidRDefault="00930400" w:rsidP="00930400">
      <w:pPr>
        <w:widowControl w:val="0"/>
        <w:autoSpaceDE w:val="0"/>
        <w:autoSpaceDN w:val="0"/>
        <w:adjustRightInd w:val="0"/>
        <w:spacing w:before="120" w:after="120" w:line="240" w:lineRule="auto"/>
        <w:contextualSpacing/>
        <w:rPr>
          <w:rFonts w:ascii="Cambria" w:hAnsi="Cambria"/>
          <w:b/>
        </w:rPr>
      </w:pPr>
      <w:r w:rsidRPr="009A0DA6">
        <w:rPr>
          <w:rFonts w:ascii="Cambria" w:hAnsi="Cambria"/>
          <w:b/>
        </w:rPr>
        <w:t xml:space="preserve">Finalised: 12 February 2018 </w:t>
      </w:r>
    </w:p>
    <w:p w14:paraId="1926F69D" w14:textId="77777777" w:rsidR="00930400" w:rsidRPr="009A0DA6" w:rsidRDefault="00930400" w:rsidP="00930400">
      <w:pPr>
        <w:widowControl w:val="0"/>
        <w:autoSpaceDE w:val="0"/>
        <w:autoSpaceDN w:val="0"/>
        <w:adjustRightInd w:val="0"/>
        <w:spacing w:before="120" w:after="120" w:line="240" w:lineRule="auto"/>
        <w:contextualSpacing/>
        <w:rPr>
          <w:rFonts w:ascii="Cambria" w:hAnsi="Cambria"/>
        </w:rPr>
      </w:pPr>
    </w:p>
    <w:p w14:paraId="06CFAC85" w14:textId="77777777" w:rsidR="00930400" w:rsidRPr="009A0DA6" w:rsidRDefault="00930400" w:rsidP="00930400">
      <w:pPr>
        <w:pStyle w:val="Heading3"/>
      </w:pPr>
      <w:r w:rsidRPr="009A0DA6">
        <w:t>Appendix 1</w:t>
      </w:r>
    </w:p>
    <w:p w14:paraId="681A28BB" w14:textId="77777777" w:rsidR="00930400" w:rsidRPr="009A0DA6" w:rsidRDefault="00930400" w:rsidP="00930400">
      <w:pPr>
        <w:widowControl w:val="0"/>
        <w:autoSpaceDE w:val="0"/>
        <w:autoSpaceDN w:val="0"/>
        <w:adjustRightInd w:val="0"/>
        <w:spacing w:before="120" w:after="120" w:line="240" w:lineRule="auto"/>
        <w:contextualSpacing/>
        <w:rPr>
          <w:rFonts w:ascii="Cambria" w:hAnsi="Cambria"/>
          <w:b/>
        </w:rPr>
      </w:pPr>
      <w:r w:rsidRPr="009A0DA6">
        <w:rPr>
          <w:rFonts w:ascii="Cambria" w:hAnsi="Cambria"/>
          <w:b/>
        </w:rPr>
        <w:t>A Theological Basis for the ordination of Women and Men: Background to the Draft Doctrinal Statement</w:t>
      </w:r>
    </w:p>
    <w:p w14:paraId="4E997389" w14:textId="77777777" w:rsidR="00930400" w:rsidRPr="009A0DA6" w:rsidRDefault="00930400" w:rsidP="00930400">
      <w:pPr>
        <w:spacing w:before="120" w:after="120" w:line="240" w:lineRule="auto"/>
        <w:contextualSpacing/>
        <w:rPr>
          <w:rFonts w:ascii="Cambria" w:hAnsi="Cambria"/>
          <w:b/>
        </w:rPr>
      </w:pPr>
    </w:p>
    <w:p w14:paraId="6FF2344B" w14:textId="77777777" w:rsidR="00930400" w:rsidRPr="009A0DA6" w:rsidRDefault="00930400" w:rsidP="00930400">
      <w:pPr>
        <w:pStyle w:val="Subtitle"/>
      </w:pPr>
      <w:r w:rsidRPr="009A0DA6">
        <w:t>Preface</w:t>
      </w:r>
    </w:p>
    <w:p w14:paraId="39CD262B" w14:textId="77777777" w:rsidR="00930400" w:rsidRPr="009A0DA6" w:rsidRDefault="00930400" w:rsidP="00930400">
      <w:pPr>
        <w:spacing w:before="120" w:after="120" w:line="240" w:lineRule="auto"/>
        <w:contextualSpacing/>
        <w:rPr>
          <w:rFonts w:ascii="Cambria" w:hAnsi="Cambria"/>
        </w:rPr>
      </w:pPr>
      <w:r w:rsidRPr="009A0DA6">
        <w:rPr>
          <w:rFonts w:ascii="Cambria" w:hAnsi="Cambria"/>
          <w:b/>
          <w:sz w:val="2"/>
          <w:szCs w:val="10"/>
        </w:rPr>
        <w:br/>
      </w:r>
      <w:r w:rsidRPr="009A0DA6">
        <w:rPr>
          <w:rFonts w:ascii="Cambria" w:hAnsi="Cambria"/>
        </w:rPr>
        <w:t>The 2015 General Convention of the LCA asked the CTICR ‘to build on its earlier work regarding the ordination of women and men to develop a draft doctrinal statement for General Pastors Conference and the 19</w:t>
      </w:r>
      <w:r w:rsidRPr="009A0DA6">
        <w:rPr>
          <w:rFonts w:ascii="Cambria" w:hAnsi="Cambria"/>
          <w:vertAlign w:val="superscript"/>
        </w:rPr>
        <w:t>th</w:t>
      </w:r>
      <w:r w:rsidRPr="009A0DA6">
        <w:rPr>
          <w:rFonts w:ascii="Cambria" w:hAnsi="Cambria"/>
        </w:rPr>
        <w:t xml:space="preserve"> Convention of Synod that presents a theological basis for the ordination of women and men’. The document that follows is a background paper that provides a more comprehensive biblical and theological rationale for the ordination of both women and men than can be provided in the brief draft doctrinal statement that synod requested. The draft doctrinal statement is now in the form of six brief theses; this is an abridgment of that paper. </w:t>
      </w:r>
    </w:p>
    <w:p w14:paraId="0E3E2274" w14:textId="77777777" w:rsidR="00930400" w:rsidRPr="009A0DA6" w:rsidRDefault="00930400" w:rsidP="00930400">
      <w:pPr>
        <w:pStyle w:val="Heading3"/>
        <w:pBdr>
          <w:bottom w:val="single" w:sz="4" w:space="1" w:color="auto"/>
        </w:pBdr>
      </w:pPr>
      <w:r w:rsidRPr="009A0DA6">
        <w:t>A theological basis for the ordination of women and men: background to the draft doctrinal statement</w:t>
      </w:r>
    </w:p>
    <w:p w14:paraId="00BC8606" w14:textId="77777777" w:rsidR="00930400" w:rsidRPr="009A0DA6" w:rsidRDefault="00930400" w:rsidP="00F55252">
      <w:pPr>
        <w:pStyle w:val="ListParagraph"/>
        <w:numPr>
          <w:ilvl w:val="0"/>
          <w:numId w:val="195"/>
        </w:numPr>
        <w:spacing w:before="120" w:after="120" w:line="240" w:lineRule="auto"/>
        <w:ind w:left="567" w:hanging="567"/>
        <w:rPr>
          <w:rFonts w:ascii="Cambria" w:hAnsi="Cambria"/>
        </w:rPr>
      </w:pPr>
      <w:r w:rsidRPr="009A0DA6">
        <w:rPr>
          <w:rFonts w:ascii="Cambria" w:hAnsi="Cambria"/>
          <w:b/>
        </w:rPr>
        <w:t>Women and men in the public office continue the ministry of the apostles</w:t>
      </w:r>
      <w:r w:rsidRPr="009A0DA6">
        <w:rPr>
          <w:rFonts w:ascii="Cambria" w:hAnsi="Cambria"/>
          <w:b/>
        </w:rPr>
        <w:br/>
      </w:r>
      <w:r w:rsidRPr="009A0DA6">
        <w:rPr>
          <w:rFonts w:ascii="Cambria" w:hAnsi="Cambria"/>
        </w:rPr>
        <w:t xml:space="preserve">Jesus chose twelve men to serve as the original apostles. They represented the new Israel, the recreated community of God’s people, the church. The risen Lord commissioned the twelve apostles, who had followed him during his earthly ministry and witnessed the resurrection, to witness to him as Lord and Saviour before the world. As the long promised messianic king, it was necessary that Jesus should be a man. And as the true heirs of the twelve patriarchs and the twelve tribes of ancient Israel, it was understandable that Jesus’ chief representatives during the New Testament era were men (Acts 1:21–26). </w:t>
      </w:r>
      <w:bookmarkStart w:id="490" w:name="_Hlk506815766"/>
      <w:r w:rsidRPr="009A0DA6">
        <w:rPr>
          <w:rFonts w:ascii="Cambria" w:hAnsi="Cambria"/>
        </w:rPr>
        <w:t xml:space="preserve">They played a unique foundational role in the history of the Christian church. Their apostleship involved eye witness testimony and personal authorisation by the Lord. But the apostles whom Jesus commissioned died out. The Lutheran church has always understood the public ministry as apostolic, in the sense that it exists to proclaim the gospel and administer the sacraments. However, the precedent of the original twelve apostles does not require that only men may be pastors today. These factors cannot be overlooked when understanding why women can be included in the church’s ministry today. </w:t>
      </w:r>
      <w:r w:rsidRPr="009A0DA6">
        <w:rPr>
          <w:rFonts w:ascii="Cambria" w:hAnsi="Cambria"/>
        </w:rPr>
        <w:br/>
      </w:r>
    </w:p>
    <w:bookmarkEnd w:id="490"/>
    <w:p w14:paraId="5B6E4B67" w14:textId="45FA8C1B" w:rsidR="00930400" w:rsidRPr="009A0DA6" w:rsidRDefault="00930400" w:rsidP="00F55252">
      <w:pPr>
        <w:pStyle w:val="ListParagraph"/>
        <w:widowControl w:val="0"/>
        <w:numPr>
          <w:ilvl w:val="0"/>
          <w:numId w:val="195"/>
        </w:numPr>
        <w:autoSpaceDE w:val="0"/>
        <w:autoSpaceDN w:val="0"/>
        <w:adjustRightInd w:val="0"/>
        <w:spacing w:before="120" w:after="120" w:line="240" w:lineRule="auto"/>
        <w:ind w:left="567" w:hanging="567"/>
        <w:rPr>
          <w:rFonts w:ascii="Cambria" w:eastAsiaTheme="minorHAnsi" w:hAnsi="Cambria"/>
        </w:rPr>
      </w:pPr>
      <w:r w:rsidRPr="009A0DA6">
        <w:rPr>
          <w:rFonts w:ascii="Cambria" w:hAnsi="Cambria"/>
          <w:b/>
        </w:rPr>
        <w:lastRenderedPageBreak/>
        <w:t>Women as disciples</w:t>
      </w:r>
      <w:r w:rsidRPr="009A0DA6">
        <w:rPr>
          <w:rFonts w:ascii="Cambria" w:hAnsi="Cambria"/>
          <w:b/>
        </w:rPr>
        <w:br/>
      </w:r>
      <w:r w:rsidRPr="009A0DA6">
        <w:rPr>
          <w:rFonts w:ascii="Cambria" w:hAnsi="Cambria"/>
        </w:rPr>
        <w:t xml:space="preserve">Jesus acted in a counter-cultural way by defying many of the customs of his day. Women were accorded a lowly status in Jewish society, so it is little wonder that the twelve disciples were ‘astonished’ to find Jesus speaking with ‘a woman’, the Samaritan woman at the well (John 4:27). Women could not function as priests in the temple, or as leaders of the synagogue. They could not study Torah with a rabbi (teacher). However, Jesus, who was known as a rabbi (John 1:38; 3:2; 6:25; 9:2; 11:8; 20:16), had no hesitation in having Mary sit at his feet in the posture of a disciple (Luke 10:39), just as Paul sat before his teacher Gamaliel (Acts 22:3). Likewise, despite first century Jewish custom, Jesus included women among the wider circle of his disciples, as the gospels show. </w:t>
      </w:r>
      <w:r w:rsidRPr="009A0DA6">
        <w:rPr>
          <w:rFonts w:ascii="Cambria" w:hAnsi="Cambria"/>
        </w:rPr>
        <w:br/>
      </w:r>
      <w:r w:rsidRPr="009A0DA6">
        <w:rPr>
          <w:rFonts w:ascii="Cambria" w:hAnsi="Cambria"/>
        </w:rPr>
        <w:br/>
        <w:t xml:space="preserve">On one occasion Jesus pointed to his disciples and said, ‘Here are my mother and my brothers’, a statement that makes little sense if there were no women among them (Matt 12:49,50). </w:t>
      </w:r>
      <w:r w:rsidRPr="009A0DA6">
        <w:rPr>
          <w:rFonts w:ascii="Cambria" w:hAnsi="Cambria"/>
        </w:rPr>
        <w:br/>
      </w:r>
      <w:r w:rsidRPr="009A0DA6">
        <w:rPr>
          <w:rFonts w:ascii="Cambria" w:hAnsi="Cambria"/>
        </w:rPr>
        <w:br/>
        <w:t xml:space="preserve">Women were the first to see the risen Lord and the first to announce his resurrection to the other disciples (Matt 28:1–10; Mark 16:1–20; Luke 24:4–10; John 20:1–18). On the morning of Jesus’ resurrection when the angels spoke to the women who had come to the tomb to prepare his body for burial, they reminded the women of Jesus’ prediction of his crucifixion and resurrection, a conversation that was held with the disciples in private; it was meant for them alone (Luke 24:1–12; 9:18–22; see also 8:1–3). Therefore, that earlier private conversation with the disciples must have included these same women. They belonged to the wider circle of disciples who accompanied him as he healed the sick, dethroned the powers of evil, and proclaimed the coming of the kingdom. As the first witnesses of the resurrection (Matt 28:1–10; Mark 16:1–20; Luke 24:1–12; John 20:1–18), women were numbered among the broader post-Easter community who were authorised to serve in various ministries in the early church, as is clear from the account of the risen Jesus standing among his followers, pronouncing a word of peace, showing them his pierced hands and feet, calling on them to proclaim repentance and forgiveness of sins in his name to all nations, and telling them to wait in Jerusalem for the promised Holy Spirit </w:t>
      </w:r>
      <w:r w:rsidRPr="009A0DA6">
        <w:rPr>
          <w:rFonts w:ascii="Cambria" w:hAnsi="Cambria"/>
        </w:rPr>
        <w:br/>
        <w:t xml:space="preserve">(Luke 24: 22–24,36–49; Acts 2:17–21). As disciples of Jesus they were well placed to serve as leaders in the early church's ministries alongside the apostles </w:t>
      </w:r>
      <w:r w:rsidRPr="009A0DA6">
        <w:rPr>
          <w:rFonts w:ascii="Cambria" w:hAnsi="Cambria"/>
        </w:rPr>
        <w:br/>
        <w:t>(Luke 24:13–49; Acts 2:17–21).</w:t>
      </w:r>
      <w:r w:rsidRPr="009A0DA6">
        <w:rPr>
          <w:rFonts w:ascii="Cambria" w:hAnsi="Cambria"/>
        </w:rPr>
        <w:br/>
      </w:r>
      <w:r w:rsidRPr="009A0DA6">
        <w:rPr>
          <w:rFonts w:ascii="Cambria" w:hAnsi="Cambria"/>
        </w:rPr>
        <w:br/>
      </w:r>
      <w:r w:rsidRPr="009A0DA6">
        <w:rPr>
          <w:rFonts w:ascii="Cambria" w:hAnsi="Cambria" w:cs="Calibri"/>
        </w:rPr>
        <w:t xml:space="preserve">Immediately before Jesus parted from his disciples with words of farewell </w:t>
      </w:r>
      <w:r w:rsidRPr="009A0DA6">
        <w:rPr>
          <w:rFonts w:ascii="Cambria" w:hAnsi="Cambria" w:cs="Calibri"/>
        </w:rPr>
        <w:br/>
        <w:t xml:space="preserve">(John 13–17), he offered them the true model of ministry by washing their feet, in the way that a slave washed the feet of household guests (13:1–16). Accordingly, the LCA teaches that ‘the office of the ministry is essentially an office </w:t>
      </w:r>
      <w:r w:rsidR="0069116C">
        <w:rPr>
          <w:rFonts w:ascii="Cambria" w:hAnsi="Cambria" w:cs="Calibri"/>
        </w:rPr>
        <w:t>of service to the Lord and his C</w:t>
      </w:r>
      <w:r w:rsidRPr="009A0DA6">
        <w:rPr>
          <w:rFonts w:ascii="Cambria" w:hAnsi="Cambria" w:cs="Calibri"/>
        </w:rPr>
        <w:t>hurch with the Word and the Sacraments’ (TA 6.5). Jesus spoke of himself as a servant who waits on honoured guests at table (Luke 12:37); he is among us ‘as one who serves’ (Luke 22:27). Women are not excluded from the call to service.</w:t>
      </w:r>
      <w:r w:rsidRPr="009A0DA6">
        <w:rPr>
          <w:rFonts w:ascii="Cambria" w:hAnsi="Cambria" w:cs="Calibri"/>
        </w:rPr>
        <w:br/>
      </w:r>
      <w:r w:rsidRPr="009A0DA6">
        <w:rPr>
          <w:rFonts w:ascii="Cambria" w:hAnsi="Cambria" w:cs="Calibri"/>
        </w:rPr>
        <w:br/>
        <w:t xml:space="preserve">The term ‘service’ comes to full and final expression with Jesus serving the whole world by emptying himself, taking the form of a slave, and giving his life on the cross, ‘a ransom for many’ (Phil 2:5–7; Mark 10:45). Jesus called on his disciples to exercise his authority by becoming servants of all—unlike the Gentiles who think that leadership means exercising arbitrary power over others (Mark 10:41–45; </w:t>
      </w:r>
      <w:r w:rsidRPr="009A0DA6">
        <w:rPr>
          <w:rFonts w:ascii="Cambria" w:hAnsi="Cambria" w:cs="Calibri"/>
        </w:rPr>
        <w:br/>
        <w:t xml:space="preserve">Luke 22:24–27). In Mark’s gospel the verb that is used to describe Jesus’ sacrificial service on the cross (Mark 10:45) is otherwise used only of the angels who served Jesus after his temptation in the wilderness (Mark 1:13) and of the women disciples, as they served the community around Jesus (1:31) and as they served Jesus himself (15:41). This is a vital clue to the intimate connection that Mark draws between Jesus’ ministry of service and the ministry of women. </w:t>
      </w:r>
      <w:r w:rsidRPr="009A0DA6">
        <w:rPr>
          <w:rFonts w:ascii="Cambria" w:hAnsi="Cambria"/>
        </w:rPr>
        <w:t xml:space="preserve">They are far more than mere members of his travelling entourage, attending to the men’s needs. </w:t>
      </w:r>
      <w:r w:rsidRPr="009A0DA6">
        <w:rPr>
          <w:rFonts w:ascii="Cambria" w:hAnsi="Cambria"/>
        </w:rPr>
        <w:br/>
      </w:r>
    </w:p>
    <w:p w14:paraId="314F833D" w14:textId="77777777" w:rsidR="00930400" w:rsidRPr="009A0DA6" w:rsidRDefault="00930400" w:rsidP="00F55252">
      <w:pPr>
        <w:pStyle w:val="ListParagraph"/>
        <w:widowControl w:val="0"/>
        <w:numPr>
          <w:ilvl w:val="0"/>
          <w:numId w:val="195"/>
        </w:numPr>
        <w:autoSpaceDE w:val="0"/>
        <w:autoSpaceDN w:val="0"/>
        <w:adjustRightInd w:val="0"/>
        <w:spacing w:before="120" w:after="120" w:line="240" w:lineRule="auto"/>
        <w:ind w:left="567" w:hanging="567"/>
        <w:rPr>
          <w:rFonts w:ascii="Cambria" w:hAnsi="Cambria"/>
        </w:rPr>
      </w:pPr>
      <w:r w:rsidRPr="009A0DA6">
        <w:rPr>
          <w:rFonts w:ascii="Cambria" w:hAnsi="Cambria"/>
          <w:b/>
        </w:rPr>
        <w:t>Ministries of women in the New Testament era</w:t>
      </w:r>
      <w:r w:rsidRPr="009A0DA6">
        <w:rPr>
          <w:rFonts w:ascii="Cambria" w:hAnsi="Cambria"/>
          <w:b/>
        </w:rPr>
        <w:br/>
      </w:r>
      <w:r w:rsidRPr="009A0DA6">
        <w:rPr>
          <w:rFonts w:ascii="Cambria" w:hAnsi="Cambria"/>
        </w:rPr>
        <w:t xml:space="preserve">Before giving details of women who provided various forms of spiritual leadership in the New Testament era, it is important to note that the New Testament does not give a uniform picture of first century ministries. Paul listed apostles, prophets, teachers, miracle workers, and people with the gifts of healing or speaking in tongues, at Corinth, where worship was more explicitly Spirit-led than elsewhere </w:t>
      </w:r>
      <w:r w:rsidRPr="009A0DA6">
        <w:rPr>
          <w:rFonts w:ascii="Cambria" w:hAnsi="Cambria"/>
        </w:rPr>
        <w:br/>
        <w:t xml:space="preserve">(1 Cor 12:27–31). In Ephesus he wrote of apostles, prophets, evangelists, pastors and teachers (Eph 4:11). And slightly later, also addressing the believers in Ephesus, he spelt out the duties of bishops (overseers), deacons, elders, and even an office of widows (1 Tim 3:1–13; 5:3–22). The New Testament picture of ministry and ministries kept changing as new ministries arose to meet new challenges. </w:t>
      </w:r>
      <w:r w:rsidRPr="009A0DA6">
        <w:rPr>
          <w:rFonts w:ascii="Cambria" w:hAnsi="Cambria"/>
        </w:rPr>
        <w:br/>
      </w:r>
      <w:r w:rsidRPr="009A0DA6">
        <w:rPr>
          <w:rFonts w:ascii="Cambria" w:hAnsi="Cambria"/>
        </w:rPr>
        <w:br/>
        <w:t>When the New Testament speaks about those who exercise oversight within a Christian community and perform tasks that resemble most closely those of pastors today, the terms that are used can be applied equally to men and to women. Such leaders are described as overseers with responsibility for shepherding the church of God (Acts 20:28; 1 Pet 5:1–4), or as leaders who will have to give an account of their pastoral care for the souls of their people (Heb 13:7,17). In other words, when pastors are pictured in the New Testament, women are not explicitly excluded from the portrait.</w:t>
      </w:r>
      <w:r w:rsidRPr="009A0DA6">
        <w:rPr>
          <w:rFonts w:ascii="Cambria" w:hAnsi="Cambria"/>
        </w:rPr>
        <w:br/>
      </w:r>
      <w:r w:rsidRPr="009A0DA6">
        <w:rPr>
          <w:rFonts w:ascii="Cambria" w:hAnsi="Cambria"/>
        </w:rPr>
        <w:br/>
        <w:t>The following examples have a direct bearing on the ordination of women, for they show that women were involved in leadership roles both in ancient Israel and in the early church. Already in the Old Testament women are shown serving in leadership roles among the people of God (eg Ex 15:19–21 [Miriam], Judg. 4 and 5 [Deborah], and 2 Kgs 22:14–20 [the prophetess Hulda]). The picture given in the New Testament is telling.</w:t>
      </w:r>
    </w:p>
    <w:p w14:paraId="526A91C7" w14:textId="77777777" w:rsidR="00930400" w:rsidRPr="009A0DA6" w:rsidRDefault="00930400" w:rsidP="00F55252">
      <w:pPr>
        <w:numPr>
          <w:ilvl w:val="0"/>
          <w:numId w:val="196"/>
        </w:numPr>
        <w:spacing w:before="120" w:after="120" w:line="240" w:lineRule="auto"/>
        <w:ind w:left="1134" w:hanging="567"/>
        <w:contextualSpacing/>
        <w:rPr>
          <w:rFonts w:ascii="Cambria" w:hAnsi="Cambria"/>
        </w:rPr>
      </w:pPr>
      <w:r w:rsidRPr="009A0DA6">
        <w:rPr>
          <w:rFonts w:ascii="Cambria" w:hAnsi="Cambria"/>
        </w:rPr>
        <w:t xml:space="preserve">All four gospels indicate that women were the first witnesses of the resurrection and the first to announce the resurrection to the other disciples (Matt 28:1–10; Mark 16:1–20; Luke 24:4–10; John 20:1–18). In the early church Mary Magdalene, who appears in all four accounts, became known as ‘the apostle to the apostles’. </w:t>
      </w:r>
    </w:p>
    <w:p w14:paraId="5D67583B" w14:textId="77777777" w:rsidR="00930400" w:rsidRPr="009A0DA6" w:rsidRDefault="00930400" w:rsidP="00F55252">
      <w:pPr>
        <w:numPr>
          <w:ilvl w:val="0"/>
          <w:numId w:val="196"/>
        </w:numPr>
        <w:spacing w:before="120" w:after="120" w:line="240" w:lineRule="auto"/>
        <w:ind w:left="1134" w:hanging="567"/>
        <w:contextualSpacing/>
        <w:rPr>
          <w:rFonts w:ascii="Cambria" w:hAnsi="Cambria"/>
        </w:rPr>
      </w:pPr>
      <w:r w:rsidRPr="009A0DA6">
        <w:rPr>
          <w:rFonts w:ascii="Cambria" w:hAnsi="Cambria"/>
        </w:rPr>
        <w:t xml:space="preserve">The daughters of the evangelist Philip were prophets (Acts 21:9). </w:t>
      </w:r>
    </w:p>
    <w:p w14:paraId="60B0C093" w14:textId="77777777" w:rsidR="00930400" w:rsidRPr="009A0DA6" w:rsidRDefault="00930400" w:rsidP="00F55252">
      <w:pPr>
        <w:numPr>
          <w:ilvl w:val="0"/>
          <w:numId w:val="196"/>
        </w:numPr>
        <w:spacing w:before="120" w:after="120" w:line="240" w:lineRule="auto"/>
        <w:ind w:left="1134" w:hanging="567"/>
        <w:contextualSpacing/>
        <w:rPr>
          <w:rFonts w:ascii="Cambria" w:hAnsi="Cambria"/>
        </w:rPr>
      </w:pPr>
      <w:r w:rsidRPr="009A0DA6">
        <w:rPr>
          <w:rFonts w:ascii="Cambria" w:hAnsi="Cambria"/>
        </w:rPr>
        <w:t xml:space="preserve">Priscilla, the wife of Aquila, took the lead in teaching ‘the way of God to [Apollos] more accurately’ (Acts 18:26; Rom 16:3). </w:t>
      </w:r>
    </w:p>
    <w:p w14:paraId="77D8ABE1" w14:textId="77777777" w:rsidR="00930400" w:rsidRPr="009A0DA6" w:rsidRDefault="00930400" w:rsidP="00F55252">
      <w:pPr>
        <w:numPr>
          <w:ilvl w:val="0"/>
          <w:numId w:val="196"/>
        </w:numPr>
        <w:spacing w:before="120" w:after="120" w:line="240" w:lineRule="auto"/>
        <w:ind w:left="1134" w:hanging="567"/>
        <w:contextualSpacing/>
        <w:rPr>
          <w:rFonts w:ascii="Cambria" w:hAnsi="Cambria"/>
        </w:rPr>
      </w:pPr>
      <w:r w:rsidRPr="009A0DA6">
        <w:rPr>
          <w:rFonts w:ascii="Cambria" w:hAnsi="Cambria"/>
        </w:rPr>
        <w:t>Phoebe bore a ministry title—‘a deacon (minister) of the church in Cenchreae’ (Rom. 16:1)—that is more descriptive than any other ministry title in the New Testament. When the word ‘</w:t>
      </w:r>
      <w:r w:rsidRPr="009A0DA6">
        <w:rPr>
          <w:rFonts w:ascii="Cambria" w:hAnsi="Cambria"/>
          <w:i/>
        </w:rPr>
        <w:t>diakonos</w:t>
      </w:r>
      <w:r w:rsidRPr="009A0DA6">
        <w:rPr>
          <w:rFonts w:ascii="Cambria" w:hAnsi="Cambria"/>
        </w:rPr>
        <w:t xml:space="preserve">’ is applied to Epaphras and Timothy, it is often translated simply as ‘minister’ (Col 1:7; 1 Tim 4:6). Phoebe was ‘a person set over (or, a person in charge of) many people’ (Rom 16:2). In its form as a verb the word refers to leading and presiding over a worshipping community, the role of a pastor today (1 Thess 5:12,13; 1 Tim 5:17). </w:t>
      </w:r>
    </w:p>
    <w:p w14:paraId="4E46C6D5" w14:textId="77777777" w:rsidR="00930400" w:rsidRPr="009A0DA6" w:rsidRDefault="00930400" w:rsidP="00F55252">
      <w:pPr>
        <w:numPr>
          <w:ilvl w:val="0"/>
          <w:numId w:val="196"/>
        </w:numPr>
        <w:spacing w:before="120" w:after="120" w:line="240" w:lineRule="auto"/>
        <w:ind w:left="1134" w:hanging="567"/>
        <w:contextualSpacing/>
        <w:rPr>
          <w:rFonts w:ascii="Cambria" w:hAnsi="Cambria"/>
        </w:rPr>
      </w:pPr>
      <w:r w:rsidRPr="009A0DA6">
        <w:rPr>
          <w:rFonts w:ascii="Cambria" w:hAnsi="Cambria"/>
        </w:rPr>
        <w:t xml:space="preserve">The overwhelming evidence of church history is that Junia, whom St Paul acknowledged as ‘outstanding among the apostles’ (Rom. 16: 7), was a woman. The masculine name ‘Junias’ only started appearing in English translations of the Bible from the late nineteenth century. St John </w:t>
      </w:r>
      <w:r w:rsidRPr="009A0DA6">
        <w:rPr>
          <w:rFonts w:ascii="Cambria" w:hAnsi="Cambria" w:cs="Arial"/>
          <w:shd w:val="clear" w:color="auto" w:fill="FFFFFF"/>
        </w:rPr>
        <w:t>Chrysostom wrote: ‘O how great is the devotion of this woman that she should be counted worthy of the appellation of apostle!’</w:t>
      </w:r>
    </w:p>
    <w:p w14:paraId="0C46A908" w14:textId="77777777" w:rsidR="00930400" w:rsidRPr="009A0DA6" w:rsidRDefault="00930400" w:rsidP="00F55252">
      <w:pPr>
        <w:numPr>
          <w:ilvl w:val="0"/>
          <w:numId w:val="196"/>
        </w:numPr>
        <w:spacing w:before="120" w:after="120" w:line="240" w:lineRule="auto"/>
        <w:ind w:left="1134" w:hanging="567"/>
        <w:contextualSpacing/>
        <w:rPr>
          <w:rFonts w:ascii="Cambria" w:hAnsi="Cambria"/>
        </w:rPr>
      </w:pPr>
      <w:r w:rsidRPr="009A0DA6">
        <w:rPr>
          <w:rFonts w:ascii="Cambria" w:hAnsi="Cambria"/>
        </w:rPr>
        <w:t xml:space="preserve">Paul said that Euodia and Syntyche ‘struggled beside [him] in the gospel’ </w:t>
      </w:r>
      <w:r w:rsidRPr="009A0DA6">
        <w:rPr>
          <w:rFonts w:ascii="Cambria" w:hAnsi="Cambria"/>
        </w:rPr>
        <w:br/>
        <w:t xml:space="preserve">(Phil 4:3), a verb suggesting close collaboration in the proclamation of the gospel; and Mary, Traephena and Tryphosa ‘worked hard’ as the people were evangelised and the church was established in Rome (Rom 16:6,12). </w:t>
      </w:r>
      <w:r w:rsidRPr="009A0DA6">
        <w:rPr>
          <w:rFonts w:ascii="Cambria" w:hAnsi="Cambria"/>
        </w:rPr>
        <w:br/>
      </w:r>
    </w:p>
    <w:p w14:paraId="0DCF4E9B" w14:textId="77777777" w:rsidR="00930400" w:rsidRPr="009A0DA6" w:rsidRDefault="00930400" w:rsidP="00930400">
      <w:pPr>
        <w:spacing w:before="120" w:after="120" w:line="240" w:lineRule="auto"/>
        <w:ind w:left="567"/>
        <w:contextualSpacing/>
        <w:rPr>
          <w:rFonts w:ascii="Cambria" w:hAnsi="Cambria"/>
          <w:sz w:val="10"/>
        </w:rPr>
      </w:pPr>
      <w:r w:rsidRPr="009A0DA6">
        <w:rPr>
          <w:rFonts w:ascii="Cambria" w:hAnsi="Cambria"/>
        </w:rPr>
        <w:lastRenderedPageBreak/>
        <w:t xml:space="preserve">So, although there were a variety of models for leadership and a variety of ways of ordering ministry in the early church, these New Testament examples show that in some locations women were included in major leadership and ministry roles. Indeed, the New Testament provides substantial evidence that women were numbered among the apostles (Junia), prophets (the women in Corinth, Philip’s daughters), evangelists (Euodia and Syntyche), church planters (Mary, Traephena and Tryphosa), deacons/ministers (Phoebe) and teachers (Priscilla). These factors play an important role in helping us to understand why women may become pastors today. In affirming the ordination of women, the LCA would be following the witness and precedent of the New Testament with regard to women in ministry. </w:t>
      </w:r>
      <w:r w:rsidRPr="009A0DA6">
        <w:rPr>
          <w:rFonts w:ascii="Cambria" w:hAnsi="Cambria"/>
        </w:rPr>
        <w:br/>
      </w:r>
    </w:p>
    <w:p w14:paraId="65075AB6" w14:textId="36ED54F3" w:rsidR="00930400" w:rsidRPr="009A0DA6" w:rsidRDefault="00930400" w:rsidP="00F55252">
      <w:pPr>
        <w:pStyle w:val="ListParagraph"/>
        <w:numPr>
          <w:ilvl w:val="0"/>
          <w:numId w:val="195"/>
        </w:numPr>
        <w:spacing w:before="120" w:after="120" w:line="240" w:lineRule="auto"/>
        <w:ind w:left="567" w:hanging="567"/>
        <w:rPr>
          <w:rFonts w:ascii="Cambria" w:hAnsi="Cambria"/>
        </w:rPr>
      </w:pPr>
      <w:r w:rsidRPr="009A0DA6">
        <w:rPr>
          <w:rFonts w:ascii="Cambria" w:hAnsi="Cambria"/>
          <w:b/>
        </w:rPr>
        <w:t>1 Timothy 2:11–15 and 1 Corinthians 14:33b–37</w:t>
      </w:r>
      <w:r w:rsidRPr="009A0DA6">
        <w:rPr>
          <w:rFonts w:ascii="Cambria" w:hAnsi="Cambria"/>
          <w:b/>
        </w:rPr>
        <w:br/>
      </w:r>
      <w:r w:rsidRPr="009A0DA6">
        <w:rPr>
          <w:rFonts w:ascii="Cambria" w:hAnsi="Cambria"/>
          <w:b/>
          <w:i/>
        </w:rPr>
        <w:t>1 Timothy 2:11–15</w:t>
      </w:r>
      <w:r w:rsidRPr="009A0DA6">
        <w:rPr>
          <w:rFonts w:ascii="Cambria" w:hAnsi="Cambria"/>
          <w:b/>
        </w:rPr>
        <w:br/>
      </w:r>
      <w:r w:rsidRPr="009A0DA6">
        <w:rPr>
          <w:rFonts w:ascii="Cambria" w:hAnsi="Cambria"/>
        </w:rPr>
        <w:t xml:space="preserve">The context for 1 Timothy 2:11–15 is a situation of disorder caused by the promotion of false doctrine by unscrupulous teachers (1 Tim 1:3) who had infiltrated the congregation making members angry and argumentative (2:8; 6:4). Their false teaching seems to have caught on especially among the women (1 Tim 4:7; </w:t>
      </w:r>
      <w:r w:rsidRPr="009A0DA6">
        <w:rPr>
          <w:rFonts w:ascii="Cambria" w:hAnsi="Cambria"/>
        </w:rPr>
        <w:br/>
        <w:t xml:space="preserve">2 Tim 3:6,7) and led to idle gossip (5:13), pleasure seeking (5:6,11), and the love </w:t>
      </w:r>
      <w:r w:rsidR="0069116C">
        <w:rPr>
          <w:rFonts w:ascii="Cambria" w:hAnsi="Cambria"/>
        </w:rPr>
        <w:br/>
      </w:r>
      <w:r w:rsidRPr="009A0DA6">
        <w:rPr>
          <w:rFonts w:ascii="Cambria" w:hAnsi="Cambria"/>
        </w:rPr>
        <w:t xml:space="preserve">of expensive clothes and jewellery (2:9). In response Paul contended that the effective witness of the gospel required that wives regard the home as their proper realm, conduct themselves quietly and reverently, practise subordination, and refrain </w:t>
      </w:r>
      <w:r w:rsidR="0069116C">
        <w:rPr>
          <w:rFonts w:ascii="Cambria" w:hAnsi="Cambria"/>
        </w:rPr>
        <w:br/>
      </w:r>
      <w:r w:rsidRPr="009A0DA6">
        <w:rPr>
          <w:rFonts w:ascii="Cambria" w:hAnsi="Cambria"/>
        </w:rPr>
        <w:t>from teaching or exercising domineering author</w:t>
      </w:r>
      <w:r w:rsidR="0069116C">
        <w:rPr>
          <w:rFonts w:ascii="Cambria" w:hAnsi="Cambria"/>
        </w:rPr>
        <w:t xml:space="preserve">ity over the men of the church </w:t>
      </w:r>
      <w:r w:rsidR="0069116C">
        <w:rPr>
          <w:rFonts w:ascii="Cambria" w:hAnsi="Cambria"/>
        </w:rPr>
        <w:br/>
      </w:r>
      <w:r w:rsidRPr="009A0DA6">
        <w:rPr>
          <w:rFonts w:ascii="Cambria" w:hAnsi="Cambria"/>
        </w:rPr>
        <w:t xml:space="preserve">(1 Tim 2:9–15). </w:t>
      </w:r>
      <w:r w:rsidRPr="009A0DA6">
        <w:rPr>
          <w:rFonts w:ascii="Cambria" w:hAnsi="Cambria"/>
        </w:rPr>
        <w:br/>
      </w:r>
      <w:r w:rsidRPr="009A0DA6">
        <w:rPr>
          <w:rFonts w:ascii="Cambria" w:hAnsi="Cambria"/>
        </w:rPr>
        <w:br/>
        <w:t>It is possible that Paul’s words about the prior creation of Adam and the deception of Eve rather than Adam (2:13,14) consisted of an attack on the cult of Artemis in Ephesus (Acts 19:21–27), the teaching that the goddess Artemis, source of life and purity, was created before her inferior male consort, who in turn was unfaithful and inherently sinful. The Christian women in Ephesus were especially susceptible to the enticements of the false teachers. But if they had known their place, behaved with decency and decorum, and waited till they were properly instructed in the faith, they would not have been led astray, as Eve was in the beginning. However, it is more likely that Paul was not reacting to the intrusions of the Artemis cult, but simply appealing to a community with its origins in Judaism that took an extremely cautious position regarding women’s place in society. To new Christians coming out of a background in the synagogue, Paul’s concern for modest and sensible behaviour would have struck a responsive chord (1 Tim 2:9–15).</w:t>
      </w:r>
      <w:r w:rsidRPr="009A0DA6">
        <w:rPr>
          <w:rFonts w:ascii="Cambria" w:hAnsi="Cambria"/>
        </w:rPr>
        <w:br/>
      </w:r>
      <w:r w:rsidRPr="009A0DA6">
        <w:rPr>
          <w:rFonts w:ascii="Cambria" w:hAnsi="Cambria"/>
        </w:rPr>
        <w:br/>
        <w:t xml:space="preserve">At Ephesus women were permitted to learn from their menfolk, something that was not permitted in Judaism; but they should pursue their studies quietly (2:11,12). The word ‘quietly’ is different from the word for silence at 1 Corinthians 14:34, even though few Bible translations differentiate between the two terms. The word used in 1 Timothy does not mean absolute silence, but a respectful and deferential quietness. Also, the verb that is usually translated as ‘having authority over’ a man appears only here in the New Testament. From wider usage, the word most often refers to aggressive, assertive, or even violent behaviour towards others. Therefore, it has been suggested that Paul was not allowing women to teach in a specific way. Perceptively, Luther followed the Latin Vulgate with its verb ‘to dominate’, so that his German translation records that the wife is not to lord it over her husband; literally, ‘I do not permit a wife to be her husband’s lord’ (Luther Bible, 1545). Women boisterously bullying their menfolk was what Paul ruled out. Rather, they were to learn quietly (not, in silence) at the feet of a teacher with the possibility of becoming a teacher and leader in their own right when they were ready and the times allowed (2:11; </w:t>
      </w:r>
      <w:r w:rsidRPr="009A0DA6">
        <w:rPr>
          <w:rFonts w:ascii="Cambria" w:hAnsi="Cambria"/>
        </w:rPr>
        <w:br/>
        <w:t>2 Tim 3:6,7).</w:t>
      </w:r>
      <w:r w:rsidRPr="009A0DA6">
        <w:rPr>
          <w:rFonts w:ascii="Cambria" w:hAnsi="Cambria"/>
          <w:i/>
        </w:rPr>
        <w:t xml:space="preserve"> </w:t>
      </w:r>
      <w:r w:rsidRPr="009A0DA6">
        <w:rPr>
          <w:rFonts w:ascii="Cambria" w:hAnsi="Cambria"/>
          <w:i/>
        </w:rPr>
        <w:br/>
      </w:r>
      <w:r w:rsidR="005F21CD">
        <w:rPr>
          <w:rFonts w:ascii="Cambria" w:hAnsi="Cambria"/>
          <w:i/>
        </w:rPr>
        <w:br/>
      </w:r>
      <w:r w:rsidRPr="009A0DA6">
        <w:rPr>
          <w:rFonts w:ascii="Cambria" w:hAnsi="Cambria"/>
          <w:i/>
        </w:rPr>
        <w:br/>
      </w:r>
      <w:r w:rsidRPr="009A0DA6">
        <w:rPr>
          <w:rFonts w:ascii="Cambria" w:hAnsi="Cambria"/>
        </w:rPr>
        <w:lastRenderedPageBreak/>
        <w:t>Paul’s major concern in writing to the young pastor Timothy was that the early believers at Ephesus, having just emerged from their home in Judaism, might make the mistake of completely rejecting some of the non-problematical practices of their former life. Therefore, he advocated nothing but small steps forward, such as allowing women to study the scriptures, quietly and respectfully. But he would have been taking several steps too far if he had also allowed women to play a major leading role in worship, because that had never been the practice in the worship of the synagogue, and as women with no formal training in the scriptures they were too easily led astray by false teachers. Instead he bent over backwards to prevent the church at Ephesus from the damage caused by breaking too quickly with traditional views and behaviours that had been formed over the years. Paul’s caution in moving slowly in implementing the full implications of the gospel is also shown in his willingness to circumcise Timothy, while maintaining that the gospel meant that circumcision counted for nothing (Acts 16:3; Gal 6:15; 1 Cor 7:19).</w:t>
      </w:r>
      <w:r w:rsidRPr="009A0DA6">
        <w:rPr>
          <w:rFonts w:ascii="Cambria" w:hAnsi="Cambria"/>
        </w:rPr>
        <w:br/>
      </w:r>
      <w:r w:rsidRPr="009A0DA6">
        <w:rPr>
          <w:rFonts w:ascii="Cambria" w:hAnsi="Cambria"/>
        </w:rPr>
        <w:br/>
        <w:t xml:space="preserve">In similar vein, the formative Lutheran church had to grapple with the issue of which practices of their Catholic heritage they could retain without undermining the gospel. Cautiously, the Reformers appealed to the advice that the apostles gave the fledgling church concerning the practices of Judaism. At the direction of the Holy Spirit and by apostolic decree, the infant church was commanded, among other things, to abstain from eating flesh with blood in it (Acts 15:28,29). Despite the divine authority for the decree, the Reformers concluded that such eating was maintained ‘for a time to avoid offence’ because ‘the chief part of Christian doctrine (the gospel) is not abolished by this decree’ (Augsburg Confession 28.66; Kolb and Wengert, 100). As is well known, the practice of abstaining from meat with blood in it lapsed in the Christian church, presumably as it became a burdensome requirement. </w:t>
      </w:r>
      <w:r w:rsidRPr="009A0DA6">
        <w:rPr>
          <w:rFonts w:ascii="Cambria" w:hAnsi="Cambria"/>
        </w:rPr>
        <w:br/>
      </w:r>
      <w:r w:rsidRPr="009A0DA6">
        <w:rPr>
          <w:rFonts w:ascii="Cambria" w:hAnsi="Cambria"/>
        </w:rPr>
        <w:br/>
      </w:r>
      <w:r w:rsidRPr="009A0DA6">
        <w:rPr>
          <w:rFonts w:ascii="Cambria" w:hAnsi="Cambria"/>
          <w:i/>
        </w:rPr>
        <w:t>The husband of one wife (1 Tim 3:2)</w:t>
      </w:r>
      <w:r w:rsidRPr="009A0DA6">
        <w:rPr>
          <w:rFonts w:ascii="Cambria" w:hAnsi="Cambria"/>
          <w:i/>
        </w:rPr>
        <w:br/>
      </w:r>
      <w:r w:rsidRPr="009A0DA6">
        <w:rPr>
          <w:rFonts w:ascii="Cambria" w:hAnsi="Cambria"/>
        </w:rPr>
        <w:t xml:space="preserve">It is often said that the ordination of women is ruled out by Paul’s ruling that a bishop (overseer), among other requirements, must be ‘the husband of one wife’ (1 Tim 3:2). However, in the same chapter Paul says that not only a bishop but also a deacon must be the husband of one wife (1 Tim 3:12). Yet the same Paul describes the woman Phoebe as a deacon of the church at Cenchreae (Rom 16:1), a town where apparently the same precautions about women in leadership did not operate. Regulations that applied in one setting did not necessarily apply in another. </w:t>
      </w:r>
      <w:r w:rsidRPr="009A0DA6">
        <w:rPr>
          <w:rFonts w:ascii="Cambria" w:hAnsi="Cambria"/>
        </w:rPr>
        <w:br/>
      </w:r>
      <w:r w:rsidRPr="009A0DA6">
        <w:rPr>
          <w:rFonts w:ascii="Cambria" w:hAnsi="Cambria"/>
        </w:rPr>
        <w:br/>
      </w:r>
      <w:r w:rsidRPr="009A0DA6">
        <w:rPr>
          <w:rFonts w:ascii="Cambria" w:hAnsi="Cambria"/>
          <w:b/>
          <w:i/>
        </w:rPr>
        <w:t>1 Corinthians 14:33b–37</w:t>
      </w:r>
      <w:r w:rsidRPr="009A0DA6">
        <w:rPr>
          <w:rFonts w:ascii="Cambria" w:hAnsi="Cambria"/>
          <w:b/>
          <w:i/>
        </w:rPr>
        <w:br/>
      </w:r>
      <w:r w:rsidRPr="009A0DA6">
        <w:rPr>
          <w:rFonts w:ascii="Cambria" w:hAnsi="Cambria"/>
        </w:rPr>
        <w:t xml:space="preserve">The clear proclamation of the gospel and the mission of the church were Paul’s primary concerns in his worship regulations for the church at Corinth. The loveless exercise of spiritual gifts and the conduct of some wives at worship were undermining orderly worship. Love, the ‘more excellent way’ (1 Cor 12:31), was not being practised. Those with the gifts of tongues and prophecy were talking over one another and failing to wait for their prayers and messages to be interpreted (14:26–33). Paul therefore called on them to be silent, and so also the wives (14:28,30,34). </w:t>
      </w:r>
      <w:r w:rsidRPr="009A0DA6">
        <w:rPr>
          <w:rFonts w:ascii="Cambria" w:hAnsi="Cambria"/>
        </w:rPr>
        <w:br/>
      </w:r>
    </w:p>
    <w:p w14:paraId="662FE01E" w14:textId="77777777" w:rsidR="00930400" w:rsidRPr="009A0DA6" w:rsidRDefault="00930400" w:rsidP="00930400">
      <w:pPr>
        <w:pStyle w:val="ListParagraph"/>
        <w:spacing w:before="120" w:after="120" w:line="240" w:lineRule="auto"/>
        <w:ind w:left="567"/>
        <w:rPr>
          <w:rFonts w:ascii="Cambria" w:hAnsi="Cambria"/>
        </w:rPr>
      </w:pPr>
      <w:r w:rsidRPr="009A0DA6">
        <w:rPr>
          <w:rFonts w:ascii="Cambria" w:hAnsi="Cambria"/>
        </w:rPr>
        <w:t xml:space="preserve">Even though the Greek word for women and wives is the same, Paul is referring specifically to wives when he singles out their behaviour at worship for special mention. The expression ‘their own husbands’ (1 Cor 14:35) is reserved for the husband-wife relationship (1 Cor 7:2; Eph. 5:22; Tit. 2:5; 1 Pet. 3:1), and, secondly, the wives were admonished to take up their questions with their husbands at home </w:t>
      </w:r>
      <w:r w:rsidRPr="009A0DA6">
        <w:rPr>
          <w:rFonts w:ascii="Cambria" w:hAnsi="Cambria"/>
        </w:rPr>
        <w:br/>
        <w:t xml:space="preserve">(1 Cor 14:35). Therefore, Paul cannot have been writing to women in general. The expansion of the church at Corinth, with its origins in the Jewish synagogue </w:t>
      </w:r>
      <w:r w:rsidRPr="009A0DA6">
        <w:rPr>
          <w:rFonts w:ascii="Cambria" w:hAnsi="Cambria"/>
        </w:rPr>
        <w:br/>
        <w:t xml:space="preserve">(Acts 18:1–11), would have been greatly hindered by the disruptive questions of wives (14:34,35). </w:t>
      </w:r>
    </w:p>
    <w:p w14:paraId="55B5BD3B" w14:textId="77777777" w:rsidR="00930400" w:rsidRPr="009A0DA6" w:rsidRDefault="00930400" w:rsidP="00930400">
      <w:pPr>
        <w:spacing w:before="120" w:after="120" w:line="240" w:lineRule="auto"/>
        <w:ind w:left="567"/>
        <w:contextualSpacing/>
        <w:rPr>
          <w:rFonts w:ascii="Cambria" w:hAnsi="Cambria"/>
        </w:rPr>
      </w:pPr>
      <w:r w:rsidRPr="009A0DA6">
        <w:rPr>
          <w:rFonts w:ascii="Cambria" w:hAnsi="Cambria"/>
        </w:rPr>
        <w:t xml:space="preserve">‘The command of the Lord’ (1 Cor 14:37) is Jesus’ love command, the new commandment (John 13:34; 15:12; 1 John 3:23; 4:21; 1 Cor 8:1; 12:31; 13:1–13; 14:1), </w:t>
      </w:r>
      <w:r w:rsidRPr="009A0DA6">
        <w:rPr>
          <w:rFonts w:ascii="Cambria" w:hAnsi="Cambria"/>
        </w:rPr>
        <w:lastRenderedPageBreak/>
        <w:t xml:space="preserve">the command that his followers love one another as he has first loved them. The command applies to all the worship regulations in chapters 11–14. Flowing from his great hymn of love in chapter 13, the apostle commences chapter 14 with the command: ‘Pursue love’. Love is the yardstick by which all spiritual gifts are measured and the goal of all spiritual gifts. In ancient Corinth the love command was expressed through specific instructions designed to enhance the worship life of the church. The command of the Lord in question in verse 37 is not some secret command that Paul received from the Lord, with the ultimate effect of prohibiting women from being ordained. Rather, it is the expansive love command that constantly gives rise to fresh initiatives that nurture the church’s internal growth and promote its external expansion. </w:t>
      </w:r>
      <w:r w:rsidRPr="009A0DA6">
        <w:rPr>
          <w:rFonts w:ascii="Cambria" w:hAnsi="Cambria"/>
        </w:rPr>
        <w:br/>
      </w:r>
    </w:p>
    <w:p w14:paraId="38297493" w14:textId="77777777" w:rsidR="00930400" w:rsidRPr="009A0DA6" w:rsidRDefault="00930400" w:rsidP="00930400">
      <w:pPr>
        <w:spacing w:before="120" w:after="120" w:line="240" w:lineRule="auto"/>
        <w:ind w:left="567"/>
        <w:contextualSpacing/>
        <w:rPr>
          <w:rFonts w:ascii="Cambria" w:hAnsi="Cambria"/>
        </w:rPr>
      </w:pPr>
      <w:r w:rsidRPr="009A0DA6">
        <w:rPr>
          <w:rFonts w:ascii="Cambria" w:hAnsi="Cambria"/>
        </w:rPr>
        <w:t xml:space="preserve">Paul’s warning that ‘anyone who does not recognise this is not to be recognised’ (14:38) applies to those whose disorderly conduct at worship breached the commandment to build up the community in love. Paul may have meant (a) that the worship leader should refuse to acknowledge the disruptive speakers and not let them take their turn in speaking, (b) </w:t>
      </w:r>
      <w:r w:rsidRPr="009A0DA6">
        <w:rPr>
          <w:rFonts w:ascii="Cambria" w:hAnsi="Cambria"/>
          <w:bCs/>
          <w:iCs/>
        </w:rPr>
        <w:t>that their prophetic ministry as such should not be recognised, or even (c) that they should be excluded from the worshipping community. It is unlikely (d) that Paul was speaking of their eternal condemnation (see 1 Cor 3:17). Whatever Paul’s threat may have meant, it certainly showed how seriously Paul regarded the loveless conduct that disrupted orderly worship.</w:t>
      </w:r>
    </w:p>
    <w:p w14:paraId="2969F3B6" w14:textId="77777777" w:rsidR="00930400" w:rsidRPr="009A0DA6" w:rsidRDefault="00930400" w:rsidP="00930400">
      <w:pPr>
        <w:spacing w:before="120" w:after="120" w:line="240" w:lineRule="auto"/>
        <w:ind w:left="567" w:hanging="567"/>
        <w:contextualSpacing/>
        <w:rPr>
          <w:rFonts w:ascii="Cambria" w:hAnsi="Cambria"/>
        </w:rPr>
      </w:pPr>
    </w:p>
    <w:p w14:paraId="60B74B75" w14:textId="77777777" w:rsidR="00930400" w:rsidRPr="009A0DA6" w:rsidRDefault="00930400" w:rsidP="00930400">
      <w:pPr>
        <w:spacing w:before="120" w:after="120" w:line="240" w:lineRule="auto"/>
        <w:ind w:left="567"/>
        <w:contextualSpacing/>
        <w:rPr>
          <w:rFonts w:ascii="Cambria" w:hAnsi="Cambria"/>
        </w:rPr>
      </w:pPr>
      <w:r w:rsidRPr="009A0DA6">
        <w:rPr>
          <w:rFonts w:ascii="Cambria" w:hAnsi="Cambria"/>
        </w:rPr>
        <w:t xml:space="preserve">From earlier in 1 Corinthians we know that women served as prophets in the church at Corinth (1 Cor 11:5). Prophets had the gift of gospel proclamation and spiritual discernment that built up the church in love and provided encouragement and consolation (14:3–5,24–33). Prophetic proclamation catechised the church (14:19), called unbelievers and outsiders to account, convicted them of their sin and their need of a saviour, and ultimately led to the praise and worship of God (14:24,25). After apostles, Paul could speak of no higher office than the prophetic office </w:t>
      </w:r>
      <w:r w:rsidRPr="009A0DA6">
        <w:rPr>
          <w:rFonts w:ascii="Cambria" w:hAnsi="Cambria"/>
        </w:rPr>
        <w:br/>
        <w:t xml:space="preserve">(1 Cor 12:28,29; Eph 4:11), which also included women. </w:t>
      </w:r>
    </w:p>
    <w:p w14:paraId="72D6A623" w14:textId="77777777" w:rsidR="00930400" w:rsidRPr="009A0DA6" w:rsidRDefault="00930400" w:rsidP="00930400">
      <w:pPr>
        <w:spacing w:before="120" w:after="120" w:line="240" w:lineRule="auto"/>
        <w:ind w:left="567" w:hanging="567"/>
        <w:contextualSpacing/>
        <w:rPr>
          <w:rFonts w:ascii="Cambria" w:hAnsi="Cambria"/>
        </w:rPr>
      </w:pPr>
    </w:p>
    <w:p w14:paraId="2FB0765D" w14:textId="77777777" w:rsidR="00930400" w:rsidRPr="009A0DA6" w:rsidRDefault="00930400" w:rsidP="00930400">
      <w:pPr>
        <w:spacing w:before="120" w:after="120" w:line="240" w:lineRule="auto"/>
        <w:ind w:left="567"/>
        <w:contextualSpacing/>
        <w:rPr>
          <w:rFonts w:ascii="Cambria" w:hAnsi="Cambria"/>
        </w:rPr>
      </w:pPr>
      <w:r w:rsidRPr="009A0DA6">
        <w:rPr>
          <w:rFonts w:ascii="Cambria" w:hAnsi="Cambria"/>
        </w:rPr>
        <w:t xml:space="preserve">It is important to distinguish between prophets, among whom women were included, and the disruptive wives who were to be silent at worship and raise their questions with their husbands in the privacy of the home. Paul bases his appeal on the fact that ‘God is a God not of disorder but of peace’ (14:33a,40), existing ecumenical practice (14:33b), the law (14:34), and the word of God (14:36), to put a halt to their unruly behaviour which caused such offence to regular worshippers, to unbelievers and to outsiders (14:22,23). No indication is given that the specific regulations apply until the coming of Christ in glory. But the essential requirement, that worship be orderly for the sake of the gospel, never becomes dated. </w:t>
      </w:r>
      <w:r w:rsidRPr="009A0DA6">
        <w:rPr>
          <w:rFonts w:ascii="Cambria" w:hAnsi="Cambria"/>
        </w:rPr>
        <w:br/>
      </w:r>
    </w:p>
    <w:p w14:paraId="1FB9AC1F" w14:textId="77777777" w:rsidR="00930400" w:rsidRPr="009A0DA6" w:rsidRDefault="00930400" w:rsidP="00930400">
      <w:pPr>
        <w:spacing w:before="120" w:after="120" w:line="240" w:lineRule="auto"/>
        <w:ind w:left="567"/>
        <w:contextualSpacing/>
        <w:rPr>
          <w:rFonts w:ascii="Cambria" w:hAnsi="Cambria"/>
          <w:i/>
        </w:rPr>
      </w:pPr>
      <w:r w:rsidRPr="009A0DA6">
        <w:rPr>
          <w:rFonts w:ascii="Cambria" w:hAnsi="Cambria"/>
          <w:i/>
        </w:rPr>
        <w:t>Headship and subordination</w:t>
      </w:r>
    </w:p>
    <w:p w14:paraId="310CEF0A" w14:textId="77777777" w:rsidR="00930400" w:rsidRPr="009A0DA6" w:rsidRDefault="00930400" w:rsidP="00930400">
      <w:pPr>
        <w:spacing w:before="120" w:after="120" w:line="240" w:lineRule="auto"/>
        <w:ind w:left="567"/>
        <w:contextualSpacing/>
        <w:rPr>
          <w:rFonts w:ascii="Cambria" w:hAnsi="Cambria"/>
        </w:rPr>
      </w:pPr>
      <w:r w:rsidRPr="009A0DA6">
        <w:rPr>
          <w:rFonts w:ascii="Cambria" w:hAnsi="Cambria"/>
        </w:rPr>
        <w:t xml:space="preserve">Paul’s words about headship and subordination have played a major role in the Church’s deliberations on the ordination issue. The whole point of the long section on headship at 1 Corinthians 11:2–16 is Paul’s insistence that women remain veiled when they offer prayers and proclaim prophetic messages in worship (1 Cor 11:5), because the head covering demonstrated their adherence to God’s created order and thereby their authority to engage in the prophetic ministry of the worship assembly </w:t>
      </w:r>
      <w:r w:rsidRPr="009A0DA6">
        <w:rPr>
          <w:rFonts w:ascii="Cambria" w:hAnsi="Cambria"/>
        </w:rPr>
        <w:br/>
        <w:t xml:space="preserve">(1 Cor 11:10). Alluding to the creation account in Genesis 2, Paul says that ‘woman came from man’; that is, Adam was the source of Eve, her ‘head’ (1 Cor 11:8,10). To step outside the bounds of creation was understood as shameful and degrading, especially in the setting of worship. Paul’s insistence on short hair for men and long hair and a head covering for women when they led in worship belong to the same concern (1 Cor 11:4–6,14,15). Paul’s point here is to ensure that women kept their heads well covered when they served as prophets in public worship, the second </w:t>
      </w:r>
      <w:r w:rsidRPr="009A0DA6">
        <w:rPr>
          <w:rFonts w:ascii="Cambria" w:hAnsi="Cambria"/>
        </w:rPr>
        <w:lastRenderedPageBreak/>
        <w:t>highest office in the New Testament church (1 Cor 12:28; Eph 4:11), not to provide the biblical basis for a teaching about the relationship of men and women.</w:t>
      </w:r>
    </w:p>
    <w:p w14:paraId="583B1AF0" w14:textId="46598AC9" w:rsidR="00930400" w:rsidRPr="009A0DA6" w:rsidRDefault="00930400" w:rsidP="00930400">
      <w:pPr>
        <w:pStyle w:val="ListParagraph"/>
        <w:spacing w:before="120" w:after="120" w:line="240" w:lineRule="auto"/>
        <w:ind w:left="567"/>
        <w:rPr>
          <w:rFonts w:ascii="Cambria" w:hAnsi="Cambria"/>
        </w:rPr>
      </w:pPr>
      <w:r w:rsidRPr="009A0DA6">
        <w:rPr>
          <w:rFonts w:ascii="Cambria" w:hAnsi="Cambria"/>
        </w:rPr>
        <w:t xml:space="preserve">It is also vital that we take the broader context into consideration when considering the word ‘subordination’. All Christians are admonished to be subordinate to one another (Eph 5:21). A wife’s subordination to her husband will have his welfare in mind, and a husband’s subordination to his wife will be modelled on the self-giving love of Christ (Eph 5:22–33). The word ‘subordination’ does not suggest a fixed scheme. Otherwise the church would have been at fault in struggling for the abolition of slavery, because Paul calls on slaves to submit to the authority of their masters, using the same language that he uses in </w:t>
      </w:r>
      <w:r w:rsidR="0069116C">
        <w:rPr>
          <w:rFonts w:ascii="Cambria" w:hAnsi="Cambria"/>
        </w:rPr>
        <w:t xml:space="preserve">relation to wives and husbands </w:t>
      </w:r>
      <w:r w:rsidRPr="009A0DA6">
        <w:rPr>
          <w:rFonts w:ascii="Cambria" w:hAnsi="Cambria"/>
        </w:rPr>
        <w:t>(Eph 6:5; Col 4:1; 1 Pet 2:18). The New Testament writers are speaking of a voluntary submission under others with a given outcome in mind. Wives are called to win their unbelieving husbands to faith in Christ by submitting to their authority (1 Pet 3:1–6). Presumably St Peter would issue similar advice to Christian husbands in relation to their unbeliev</w:t>
      </w:r>
      <w:r w:rsidR="0069116C">
        <w:rPr>
          <w:rFonts w:ascii="Cambria" w:hAnsi="Cambria"/>
        </w:rPr>
        <w:t>-</w:t>
      </w:r>
      <w:r w:rsidRPr="009A0DA6">
        <w:rPr>
          <w:rFonts w:ascii="Cambria" w:hAnsi="Cambria"/>
        </w:rPr>
        <w:t>ing wives. Subordination is a Christian virtue, vastly superior to modern forms of egalitarianism, an attitude of heart and mind formed by Christ that regards others as better than oneself and looks to their i</w:t>
      </w:r>
      <w:r w:rsidR="0069116C">
        <w:rPr>
          <w:rFonts w:ascii="Cambria" w:hAnsi="Cambria"/>
        </w:rPr>
        <w:t xml:space="preserve">nterests rather than one’s own </w:t>
      </w:r>
      <w:r w:rsidRPr="009A0DA6">
        <w:rPr>
          <w:rFonts w:ascii="Cambria" w:hAnsi="Cambria"/>
        </w:rPr>
        <w:t>(Phil 2:3–4).</w:t>
      </w:r>
      <w:r w:rsidRPr="009A0DA6">
        <w:rPr>
          <w:rFonts w:ascii="Cambria" w:hAnsi="Cambria"/>
        </w:rPr>
        <w:br/>
      </w:r>
    </w:p>
    <w:p w14:paraId="6E854DE3" w14:textId="60285A02" w:rsidR="00930400" w:rsidRPr="009A0DA6" w:rsidRDefault="00930400" w:rsidP="00930400">
      <w:pPr>
        <w:pStyle w:val="ListParagraph"/>
        <w:spacing w:before="120" w:after="120" w:line="240" w:lineRule="auto"/>
        <w:ind w:left="567"/>
        <w:rPr>
          <w:rFonts w:ascii="Cambria" w:hAnsi="Cambria"/>
        </w:rPr>
      </w:pPr>
      <w:r w:rsidRPr="009A0DA6">
        <w:rPr>
          <w:rFonts w:ascii="Cambria" w:hAnsi="Cambria"/>
        </w:rPr>
        <w:t>Interestingly, wives are called to be subordinate in the two texts that have been studied most closely in the course of the</w:t>
      </w:r>
      <w:r w:rsidR="0069116C">
        <w:rPr>
          <w:rFonts w:ascii="Cambria" w:hAnsi="Cambria"/>
        </w:rPr>
        <w:t xml:space="preserve"> Church</w:t>
      </w:r>
      <w:r w:rsidRPr="009A0DA6">
        <w:rPr>
          <w:rFonts w:ascii="Cambria" w:hAnsi="Cambria"/>
        </w:rPr>
        <w:t xml:space="preserve">’s discussions on ordination </w:t>
      </w:r>
      <w:r w:rsidRPr="009A0DA6">
        <w:rPr>
          <w:rFonts w:ascii="Cambria" w:hAnsi="Cambria"/>
        </w:rPr>
        <w:br/>
        <w:t xml:space="preserve">(1 Cor 14:34; 1 Tim. 2:11). As has been shown, the verb suggests a voluntary subordination, not by compulsion and not according to a fixed scheme. But in neither text is Paul calling on wives to practise subordination to their husbands. Rather, at Corinth the fact that those with prophetic messages are called to be subordinate to those who interpreted prophecies (1 Cor 14:32) would suggest that the disruptive wives in the following verses are being asked to submit to the rulings of the worship leaders, in an attitude of due deference. And at Ephesus Paul’s concern is that everyone submit to the ‘the sound teaching that conforms to the glorious gospel’ </w:t>
      </w:r>
      <w:r w:rsidRPr="009A0DA6">
        <w:rPr>
          <w:rFonts w:ascii="Cambria" w:hAnsi="Cambria"/>
        </w:rPr>
        <w:br/>
        <w:t>(1 Tim 1:10,11), and that the women especially would adhere to his expectation of modesty in behaviour and dress in keeping with their former life (2:9,10). In other words, strictures that applied in the New Testament era in the domestic realm did not carry over to the realm of the church.</w:t>
      </w:r>
    </w:p>
    <w:p w14:paraId="0B0A0277" w14:textId="77777777" w:rsidR="00930400" w:rsidRPr="009A0DA6" w:rsidRDefault="00930400" w:rsidP="00930400">
      <w:pPr>
        <w:spacing w:before="120" w:after="120" w:line="240" w:lineRule="auto"/>
        <w:ind w:left="567"/>
        <w:contextualSpacing/>
        <w:rPr>
          <w:rFonts w:ascii="Cambria" w:hAnsi="Cambria"/>
        </w:rPr>
      </w:pPr>
      <w:r w:rsidRPr="009A0DA6">
        <w:rPr>
          <w:rFonts w:ascii="Cambria" w:hAnsi="Cambria"/>
        </w:rPr>
        <w:t xml:space="preserve">The two texts, 1 Corinthians 14:33b–37 and 1 Timothy 2:11–15 have provided the basis for the LCA’s prohibition of the ordination of women (TA 6.11). However, those who advocate the ordination of women agree that neither text speaks directly to the topic of ordination, and neither text contains a command, either of the Lord or of St. Paul, that would prohibit the ordination of women. On the other hand, the point of the texts is as binding as ever, that is, that worship be conducted ‘decently and in order’ </w:t>
      </w:r>
      <w:r w:rsidRPr="009A0DA6">
        <w:rPr>
          <w:rFonts w:ascii="Cambria" w:hAnsi="Cambria"/>
        </w:rPr>
        <w:br/>
        <w:t>(1 Cor 14:40), so that the gospel can be proclaimed clearly, and the worshipping community built up in faith, hope and love (1 Cor 13:13).</w:t>
      </w:r>
    </w:p>
    <w:p w14:paraId="1A0D5298" w14:textId="77777777" w:rsidR="00930400" w:rsidRPr="009A0DA6" w:rsidRDefault="00930400" w:rsidP="00930400">
      <w:pPr>
        <w:spacing w:before="120" w:after="120" w:line="240" w:lineRule="auto"/>
        <w:ind w:left="567" w:hanging="567"/>
        <w:contextualSpacing/>
        <w:rPr>
          <w:rFonts w:ascii="Cambria" w:hAnsi="Cambria"/>
          <w:sz w:val="10"/>
        </w:rPr>
      </w:pPr>
    </w:p>
    <w:p w14:paraId="0C265003" w14:textId="3BF1A54B" w:rsidR="00930400" w:rsidRPr="009A0DA6" w:rsidRDefault="00930400" w:rsidP="00F55252">
      <w:pPr>
        <w:pStyle w:val="ListParagraph"/>
        <w:numPr>
          <w:ilvl w:val="0"/>
          <w:numId w:val="195"/>
        </w:numPr>
        <w:spacing w:before="120" w:after="120" w:line="240" w:lineRule="auto"/>
        <w:ind w:left="567" w:hanging="567"/>
        <w:rPr>
          <w:rFonts w:ascii="Cambria" w:hAnsi="Cambria"/>
          <w:b/>
        </w:rPr>
      </w:pPr>
      <w:r w:rsidRPr="009A0DA6">
        <w:rPr>
          <w:rFonts w:ascii="Cambria" w:hAnsi="Cambria"/>
          <w:b/>
        </w:rPr>
        <w:t>Galatians 3:26–28</w:t>
      </w:r>
      <w:r w:rsidRPr="009A0DA6">
        <w:rPr>
          <w:rFonts w:ascii="Cambria" w:hAnsi="Cambria"/>
        </w:rPr>
        <w:t xml:space="preserve"> </w:t>
      </w:r>
      <w:r w:rsidRPr="009A0DA6">
        <w:rPr>
          <w:rFonts w:ascii="Cambria" w:hAnsi="Cambria"/>
        </w:rPr>
        <w:br/>
        <w:t>St. Paul writes: ‘As many of you as were baptised into Christ have clothed yourselves with Christ. There is no longer Jew or Greek, there is no longer slave or free, there is no longer male and female; for all of you are one in Christ Jesus’.</w:t>
      </w:r>
      <w:r w:rsidRPr="009A0DA6">
        <w:rPr>
          <w:rFonts w:ascii="Cambria" w:hAnsi="Cambria"/>
        </w:rPr>
        <w:br/>
      </w:r>
      <w:r w:rsidRPr="009A0DA6">
        <w:rPr>
          <w:rFonts w:ascii="Cambria" w:hAnsi="Cambria"/>
        </w:rPr>
        <w:br/>
        <w:t xml:space="preserve">The final phrase in this baptismal formula, ‘there is no longer male </w:t>
      </w:r>
      <w:r w:rsidRPr="009A0DA6">
        <w:rPr>
          <w:rFonts w:ascii="Cambria" w:hAnsi="Cambria"/>
          <w:i/>
        </w:rPr>
        <w:t xml:space="preserve">and </w:t>
      </w:r>
      <w:r w:rsidRPr="009A0DA6">
        <w:rPr>
          <w:rFonts w:ascii="Cambria" w:hAnsi="Cambria"/>
        </w:rPr>
        <w:t xml:space="preserve">female’, is a reference to Genesis 1:27, to the original creation. Paul here points to the results of the new creation in Christ through baptism. The gospel does not abolish natural </w:t>
      </w:r>
      <w:r w:rsidR="0069116C">
        <w:rPr>
          <w:rFonts w:ascii="Cambria" w:hAnsi="Cambria"/>
        </w:rPr>
        <w:t>distinctions</w:t>
      </w:r>
      <w:r w:rsidRPr="009A0DA6">
        <w:rPr>
          <w:rFonts w:ascii="Cambria" w:hAnsi="Cambria"/>
        </w:rPr>
        <w:t xml:space="preserve"> between people of different nationality, class or sex. Rather, it gradually transcends and transforms barriers built by humans that deny our unity as believers, barriers between Jews and Gentiles (Acts 10:1–48; Eph 2:11–22; Gal 2:11–14), between masters and slaves (Phm 16; 1 Cor 7:21–24; see </w:t>
      </w:r>
      <w:r w:rsidR="0069116C">
        <w:rPr>
          <w:rFonts w:ascii="Cambria" w:hAnsi="Cambria"/>
        </w:rPr>
        <w:t xml:space="preserve">Eph 6:5–9; Col 4:1; </w:t>
      </w:r>
      <w:r w:rsidRPr="009A0DA6">
        <w:rPr>
          <w:rFonts w:ascii="Cambria" w:hAnsi="Cambria"/>
        </w:rPr>
        <w:t>1 Tim 6:1–2), and between males and females. All have the new status of unity and equality before God.</w:t>
      </w:r>
      <w:r w:rsidRPr="009A0DA6">
        <w:rPr>
          <w:rFonts w:ascii="Cambria" w:hAnsi="Cambria"/>
        </w:rPr>
        <w:br/>
      </w:r>
      <w:r w:rsidRPr="009A0DA6">
        <w:rPr>
          <w:rFonts w:ascii="Cambria" w:hAnsi="Cambria"/>
        </w:rPr>
        <w:lastRenderedPageBreak/>
        <w:br/>
        <w:t xml:space="preserve">It has been argued that this text only describes our status before God and has no implications for interpersonal and social relationships. However, early Christians could not change whether they were of Jewish or Gentile background, but Paul called on them to embrace each other as equal in honour and standing (Rom 15:7–9; </w:t>
      </w:r>
      <w:r w:rsidRPr="009A0DA6">
        <w:rPr>
          <w:rFonts w:ascii="Cambria" w:hAnsi="Cambria"/>
        </w:rPr>
        <w:br/>
        <w:t>Eph 2:11–22). In terms of slavery, Onesimus may not have ceased to be a slave, but Paul expected Philemon to treat him very differently once he had become a Christian (Phm 15–17). Husbands and wives remained men and women, but their relationships were now determined by the love, respect and mutual submission that they shared as partners in the gospel (Eph 5:21–33).</w:t>
      </w:r>
      <w:r w:rsidRPr="009A0DA6">
        <w:rPr>
          <w:rFonts w:ascii="Cambria" w:hAnsi="Cambria"/>
        </w:rPr>
        <w:br/>
      </w:r>
      <w:r w:rsidRPr="009A0DA6">
        <w:rPr>
          <w:rFonts w:ascii="Cambria" w:hAnsi="Cambria"/>
        </w:rPr>
        <w:br/>
        <w:t xml:space="preserve">Even within Galatians chapter 3 it becomes clear that the equal status of Jews and Gentiles has major relational implications. </w:t>
      </w:r>
      <w:r w:rsidRPr="009A0DA6">
        <w:rPr>
          <w:rFonts w:ascii="Cambria" w:hAnsi="Cambria" w:cs="Calibri"/>
        </w:rPr>
        <w:t>Galatians 3:26–28 is far more than a statement of faith, as profound as it is in that respect. But it follows soon after Paul’s words about his major disagreement with Peter, who failed to practise the truth that the dividing wall between Jews and Gentiles had been broken down, by withdrawing from table fellowship with Gentiles when people sent by James came from Jerusalem to visit them in Antioch (Gal 2:11–14). Paul was adamant that Peter and the ‘circumcision party’ had not acted ‘consistently with the truth of the gospel’ (2:12,14). Nevertheless, a hard-fought battle about the relationship between Jews and Gentiles reached a God-pleasing conclusion already in the New Testament period, as we know. Much later in history the full implications of the gospel for relations between masters and slaves were taken to heart and acted on. We now live during the period when the church is continuing to implement practices that are consistent ‘with the truth of the gospel’ in the area of the relationship between male and female. The gospel preached is the gospel lived.</w:t>
      </w:r>
      <w:r w:rsidRPr="009A0DA6">
        <w:rPr>
          <w:rFonts w:ascii="Cambria" w:hAnsi="Cambria" w:cs="Calibri"/>
          <w:b/>
        </w:rPr>
        <w:t xml:space="preserve"> </w:t>
      </w:r>
      <w:r w:rsidRPr="009A0DA6">
        <w:rPr>
          <w:rFonts w:ascii="Cambria" w:hAnsi="Cambria"/>
        </w:rPr>
        <w:t xml:space="preserve">Since men and women share a common status as children of God through the gospel, the natural difference between the sexes that has been regarded as having implications for the ordained ministry no longer applies. </w:t>
      </w:r>
      <w:r w:rsidRPr="009A0DA6">
        <w:rPr>
          <w:rFonts w:ascii="Cambria" w:hAnsi="Cambria"/>
        </w:rPr>
        <w:br/>
      </w:r>
    </w:p>
    <w:p w14:paraId="34D83ECF" w14:textId="0BB37AD7" w:rsidR="00930400" w:rsidRPr="009A0DA6" w:rsidRDefault="00930400" w:rsidP="00F55252">
      <w:pPr>
        <w:pStyle w:val="ListParagraph"/>
        <w:numPr>
          <w:ilvl w:val="0"/>
          <w:numId w:val="195"/>
        </w:numPr>
        <w:spacing w:before="120" w:after="120" w:line="240" w:lineRule="auto"/>
        <w:ind w:left="567" w:hanging="567"/>
        <w:rPr>
          <w:rFonts w:ascii="Cambria" w:hAnsi="Cambria"/>
          <w:bCs/>
          <w:iCs/>
        </w:rPr>
      </w:pPr>
      <w:r w:rsidRPr="009A0DA6">
        <w:rPr>
          <w:rFonts w:ascii="Cambria" w:hAnsi="Cambria"/>
          <w:b/>
        </w:rPr>
        <w:t>Lutheran doctrinal foundations</w:t>
      </w:r>
      <w:r w:rsidRPr="009A0DA6">
        <w:rPr>
          <w:rFonts w:ascii="Cambria" w:hAnsi="Cambria"/>
          <w:b/>
        </w:rPr>
        <w:br/>
      </w:r>
      <w:r w:rsidRPr="009A0DA6">
        <w:rPr>
          <w:rFonts w:ascii="Cambria" w:hAnsi="Cambria"/>
          <w:bCs/>
          <w:iCs/>
        </w:rPr>
        <w:t xml:space="preserve">The article of the Augsburg Confession (AC) that deals most clearly with the office of the public ministry (AC 5) teaches: ‘To obtain such faith God instituted the office of preaching, giving the gospel and the sacraments. Through these, as through means, he gives the Holy Spirit who produces faith, where and when he wills, in those who hear the gospel. It [the gospel] teaches that we have a gracious God, not through our merit but through Christ’s merit, when we believe’ (The Book of Concord, Kolb and Wengert, 40). The teaching is set out in some detail in the LCA's Theses on the Office of the Ministry (TA 6), supported by scriptural references. </w:t>
      </w:r>
      <w:r w:rsidRPr="009A0DA6">
        <w:rPr>
          <w:rFonts w:ascii="Cambria" w:hAnsi="Cambria"/>
          <w:bCs/>
          <w:iCs/>
        </w:rPr>
        <w:br/>
      </w:r>
      <w:r w:rsidRPr="009A0DA6">
        <w:rPr>
          <w:rFonts w:ascii="Cambria" w:hAnsi="Cambria"/>
          <w:bCs/>
          <w:iCs/>
        </w:rPr>
        <w:br/>
        <w:t xml:space="preserve">It is important to note that AC 5 follows immediately after the article titled ‘Concerning justification’ (AC 4). The whole point and purpose of the divine institution of the public ministry, according to the Confessions, is so that a perpetual office might be established that ensured that people would continue to hear the gospel, receive the sacraments and thereby come to saving faith and be sustained in that faith. In its few lines </w:t>
      </w:r>
      <w:r w:rsidRPr="009A0DA6">
        <w:rPr>
          <w:rFonts w:ascii="Cambria" w:eastAsia="Times New Roman" w:hAnsi="Cambria" w:cs="Calibri"/>
          <w:lang w:eastAsia="en-AU"/>
        </w:rPr>
        <w:t xml:space="preserve">AC 5 refers to saving faith three times to show that the gospel, proclaimed through the word and administered through the sacraments, is the heart and centre of the ministry. It is the teaching by which the church stands or falls. </w:t>
      </w:r>
      <w:r w:rsidRPr="009A0DA6">
        <w:rPr>
          <w:rFonts w:ascii="Cambria" w:hAnsi="Cambria"/>
          <w:bCs/>
          <w:iCs/>
        </w:rPr>
        <w:t>Even the following article ‘Concerning the new obedience’ (AC 6) starts with the words: ‘It is also taught that such faith should yield good fruit and good works’, to ensure that believers would not trust in their good works for salvation, but in Christ. That, in the final analysis, is what the ministry is all about. With its focus on God’s institution of the ministry for the creation of faith, AC 5 is silent about the ordering of the ministry, including the sex of the pastor.</w:t>
      </w:r>
      <w:r w:rsidRPr="009A0DA6">
        <w:rPr>
          <w:rFonts w:ascii="Cambria" w:hAnsi="Cambria"/>
          <w:bCs/>
          <w:iCs/>
        </w:rPr>
        <w:br/>
      </w:r>
      <w:r w:rsidR="005F21CD">
        <w:rPr>
          <w:rFonts w:ascii="Cambria" w:hAnsi="Cambria"/>
          <w:bCs/>
          <w:iCs/>
        </w:rPr>
        <w:br/>
      </w:r>
      <w:r w:rsidR="00A4145E">
        <w:rPr>
          <w:rFonts w:ascii="Cambria" w:hAnsi="Cambria"/>
          <w:bCs/>
          <w:iCs/>
        </w:rPr>
        <w:br/>
      </w:r>
      <w:r w:rsidRPr="009A0DA6">
        <w:rPr>
          <w:rFonts w:ascii="Cambria" w:hAnsi="Cambria"/>
          <w:bCs/>
          <w:iCs/>
        </w:rPr>
        <w:br/>
      </w:r>
      <w:r w:rsidRPr="009A0DA6">
        <w:rPr>
          <w:rFonts w:ascii="Cambria" w:hAnsi="Cambria"/>
        </w:rPr>
        <w:lastRenderedPageBreak/>
        <w:t xml:space="preserve">This concern for the centrality of faith is reflected in the LCA’s selection of texts for inclusion in the rite of ordination. It chose those texts in which Jesus conferred the means of grace on the church: the preaching of the gospel, the announcement of the absolution, and the administration of the sacraments (John 20:21-23; Matt 28:18-20; 1 Cor 11:23-26). By these means, administered through the public office, God ensures that faith is created and sustained and good works are produced. The texts may be applied equally to men and to women. </w:t>
      </w:r>
      <w:r w:rsidRPr="009A0DA6">
        <w:rPr>
          <w:rFonts w:ascii="Cambria" w:hAnsi="Cambria"/>
        </w:rPr>
        <w:br/>
      </w:r>
      <w:r w:rsidRPr="009A0DA6">
        <w:rPr>
          <w:rFonts w:ascii="Cambria" w:hAnsi="Cambria"/>
        </w:rPr>
        <w:br/>
      </w:r>
      <w:r w:rsidRPr="009A0DA6">
        <w:rPr>
          <w:rFonts w:ascii="Cambria" w:hAnsi="Cambria"/>
          <w:bCs/>
          <w:iCs/>
        </w:rPr>
        <w:t>T</w:t>
      </w:r>
      <w:r w:rsidRPr="009A0DA6">
        <w:rPr>
          <w:rFonts w:ascii="Cambria" w:hAnsi="Cambria"/>
        </w:rPr>
        <w:t xml:space="preserve">he Confessions do not understand the ministry as a replication of the apostolic office. The apostles are understood as those who witnessed the risen Lord and were commissioned by him for witness to the world. </w:t>
      </w:r>
      <w:bookmarkStart w:id="491" w:name="_Hlk506814663"/>
      <w:r w:rsidRPr="009A0DA6">
        <w:rPr>
          <w:rFonts w:ascii="Cambria" w:hAnsi="Cambria"/>
        </w:rPr>
        <w:t>Since apostleship involved eye witness testimony and personal authorisation, it is noteworthy that</w:t>
      </w:r>
      <w:r w:rsidRPr="009A0DA6">
        <w:rPr>
          <w:rFonts w:ascii="Cambria" w:hAnsi="Cambria"/>
          <w:b/>
        </w:rPr>
        <w:t xml:space="preserve"> </w:t>
      </w:r>
      <w:r w:rsidRPr="009A0DA6">
        <w:rPr>
          <w:rFonts w:ascii="Cambria" w:hAnsi="Cambria"/>
        </w:rPr>
        <w:t xml:space="preserve">the apostles whom Jesus commissioned died out. </w:t>
      </w:r>
      <w:bookmarkEnd w:id="491"/>
      <w:r w:rsidRPr="009A0DA6">
        <w:rPr>
          <w:rFonts w:ascii="Cambria" w:hAnsi="Cambria"/>
        </w:rPr>
        <w:t xml:space="preserve">Their founding ministry was unique; there was no second generation of apostles. But the apostles appointed those who held a range of offices, such as pastors, elders, evangelists, deacons and teachers. The Lutheran church understands that the public ministry continues the ministry that Jesus began with the apostles, the office of proclaiming the gospel and administering the sacraments (TA 6.6). Pastors speak and act as his personal representatives (Luke 10:16). </w:t>
      </w:r>
      <w:r w:rsidRPr="009A0DA6">
        <w:rPr>
          <w:rFonts w:ascii="Cambria" w:hAnsi="Cambria"/>
          <w:bCs/>
          <w:iCs/>
        </w:rPr>
        <w:t xml:space="preserve">The fact that the twelve disciples and twelve apostles were male is a fact of history. But, as has been shown, women were included among the wider circle of disciples and among the various offices that arose in the apostolic age. The precedent of the twelve male apostles does not establish a requirement that only men may be ordained as pastors. </w:t>
      </w:r>
    </w:p>
    <w:p w14:paraId="66EE5C1F" w14:textId="77777777" w:rsidR="00930400" w:rsidRPr="009A0DA6" w:rsidRDefault="00930400" w:rsidP="00930400">
      <w:pPr>
        <w:pStyle w:val="Heading3"/>
      </w:pPr>
      <w:r w:rsidRPr="009A0DA6">
        <w:t>Summary and conclusion</w:t>
      </w:r>
    </w:p>
    <w:p w14:paraId="6150F1B1" w14:textId="77777777" w:rsidR="00930400" w:rsidRPr="009A0DA6" w:rsidRDefault="00930400" w:rsidP="00930400">
      <w:pPr>
        <w:spacing w:before="120" w:after="120" w:line="240" w:lineRule="auto"/>
        <w:contextualSpacing/>
        <w:rPr>
          <w:rFonts w:ascii="Cambria" w:hAnsi="Cambria"/>
        </w:rPr>
      </w:pPr>
      <w:r w:rsidRPr="009A0DA6">
        <w:rPr>
          <w:rFonts w:ascii="Cambria" w:hAnsi="Cambria"/>
        </w:rPr>
        <w:t>As true heirs of the patriarchs and the twelve tribes of Israel, the twelve apostles were the recreated people of God, the church. As eyewitnesses of the resurrection, authorised by the risen Lord for the ministry of the gospel, they played a unique foundational role in the history of the church. Lutherans understand the public ministry as apostolic because it exists to proclaim the gospel and administer the sacraments. But the precedent of male apostles does not give rise to a requirement for male pastors.</w:t>
      </w:r>
    </w:p>
    <w:p w14:paraId="79550ABC" w14:textId="77777777" w:rsidR="00930400" w:rsidRPr="009A0DA6" w:rsidRDefault="00930400" w:rsidP="00930400">
      <w:pPr>
        <w:widowControl w:val="0"/>
        <w:autoSpaceDE w:val="0"/>
        <w:autoSpaceDN w:val="0"/>
        <w:adjustRightInd w:val="0"/>
        <w:spacing w:before="120" w:after="120" w:line="240" w:lineRule="auto"/>
        <w:contextualSpacing/>
        <w:rPr>
          <w:rFonts w:ascii="Cambria" w:eastAsia="Times New Roman" w:hAnsi="Cambria" w:cs="Calibri"/>
          <w:lang w:eastAsia="en-AU"/>
        </w:rPr>
      </w:pPr>
      <w:r w:rsidRPr="009A0DA6">
        <w:rPr>
          <w:rFonts w:ascii="Cambria" w:hAnsi="Cambria"/>
        </w:rPr>
        <w:br/>
        <w:t xml:space="preserve">Women were included among the wider circle of Jesus’ disciples; he taught them and shared with them the deep mysteries of the faith, and they were present at the major events of his ministry. As such they were well placed to be included among the ministries that arose in many places: as prophets in Corinth and in Caesarea by the Sea (1 Cor 11:5; Acts 21:9), as a deacon (minister) of the church, in Cenchreae (Rom 16:2), as a teacher, in Rome (Acts 18:26; Rom 16:3), as those who ‘struggled in the gospel’ alongside Paul, in Philippi and Rome </w:t>
      </w:r>
      <w:r w:rsidRPr="009A0DA6">
        <w:rPr>
          <w:rFonts w:ascii="Cambria" w:hAnsi="Cambria"/>
        </w:rPr>
        <w:br/>
        <w:t>(Phil 4:3; Rom 16:3), and as those who ‘worked’ tirelessly, witnessing to Christ and establishing the church in Rome (Rom 16:6,12). Women were probably also among those who served in an office that more closely resembles today’s pastoral office (Acts 20:28,29; Heb 13:7,17; 1 Pet 5:1–4).</w:t>
      </w:r>
      <w:r w:rsidRPr="009A0DA6">
        <w:rPr>
          <w:rFonts w:ascii="Cambria" w:hAnsi="Cambria"/>
        </w:rPr>
        <w:br/>
      </w:r>
    </w:p>
    <w:p w14:paraId="4E89BCAA" w14:textId="77777777" w:rsidR="00930400" w:rsidRPr="009A0DA6" w:rsidRDefault="00930400" w:rsidP="00930400">
      <w:pPr>
        <w:spacing w:before="120" w:after="120" w:line="240" w:lineRule="auto"/>
        <w:contextualSpacing/>
        <w:rPr>
          <w:rFonts w:ascii="Cambria" w:hAnsi="Cambria"/>
        </w:rPr>
      </w:pPr>
      <w:r w:rsidRPr="009A0DA6">
        <w:rPr>
          <w:rFonts w:ascii="Cambria" w:hAnsi="Cambria"/>
        </w:rPr>
        <w:t xml:space="preserve">Although the gospel transforms people, relationships and communities, in some communities the early church was careful and cautious in its practice so as not to cause undue offence. This is no more apparent than at Ephesus where Paul forbade women from teaching in the church, and admonished them to dress modestly and learn from their teachers with a quiet demeanour. These regulations were understandable in a church with deep roots in Judaism, where women’s roles were severely limited. </w:t>
      </w:r>
      <w:r w:rsidRPr="009A0DA6">
        <w:rPr>
          <w:rFonts w:ascii="Cambria" w:hAnsi="Cambria"/>
        </w:rPr>
        <w:br/>
        <w:t xml:space="preserve"> </w:t>
      </w:r>
    </w:p>
    <w:p w14:paraId="1517B507" w14:textId="77777777" w:rsidR="00930400" w:rsidRPr="009A0DA6" w:rsidRDefault="00930400" w:rsidP="00930400">
      <w:pPr>
        <w:spacing w:before="120" w:after="120" w:line="240" w:lineRule="auto"/>
        <w:contextualSpacing/>
        <w:rPr>
          <w:rFonts w:ascii="Cambria" w:hAnsi="Cambria" w:cs="Calibri"/>
          <w:u w:val="single"/>
        </w:rPr>
      </w:pPr>
      <w:r w:rsidRPr="009A0DA6">
        <w:rPr>
          <w:rFonts w:ascii="Cambria" w:hAnsi="Cambria"/>
        </w:rPr>
        <w:t>Paul’s regulations regarding the conduct of certain wives at Corinth and the women at Ephesus were driven by his overriding missionary imperative, to ‘become all things to all people, so that [he] might by all means save some’ (1 Cor 9:22). They were necessary for the time being to avoid offence. In other settings, Rome, Philippi, Cenchreae and Caesarea by the Sea, the same regulations were not in force.</w:t>
      </w:r>
      <w:r w:rsidRPr="009A0DA6">
        <w:rPr>
          <w:rFonts w:ascii="Cambria" w:hAnsi="Cambria" w:cs="Calibri"/>
        </w:rPr>
        <w:t xml:space="preserve"> </w:t>
      </w:r>
      <w:r w:rsidRPr="009A0DA6">
        <w:rPr>
          <w:rFonts w:ascii="Cambria" w:hAnsi="Cambria" w:cs="Calibri"/>
        </w:rPr>
        <w:br/>
      </w:r>
    </w:p>
    <w:p w14:paraId="49889D44" w14:textId="77777777" w:rsidR="00930400" w:rsidRPr="009A0DA6" w:rsidRDefault="00930400" w:rsidP="00930400">
      <w:pPr>
        <w:spacing w:before="120" w:after="120" w:line="240" w:lineRule="auto"/>
        <w:contextualSpacing/>
        <w:rPr>
          <w:rFonts w:ascii="Cambria" w:hAnsi="Cambria" w:cs="Calibri"/>
          <w:u w:val="single"/>
        </w:rPr>
      </w:pPr>
      <w:r w:rsidRPr="009A0DA6">
        <w:rPr>
          <w:rFonts w:ascii="Cambria" w:hAnsi="Cambria" w:cs="Calibri"/>
        </w:rPr>
        <w:lastRenderedPageBreak/>
        <w:t>Just as the common standing of all believers before God through baptism has led to a breakthrough in the way that people of Jewish and Gentile background, and masters and slaves, relate to one another, so also our baptismal standing removes those role restrictions that have prohibited women from being ordained (Gal 3:27,28).</w:t>
      </w:r>
      <w:r w:rsidRPr="009A0DA6">
        <w:rPr>
          <w:rFonts w:ascii="Cambria" w:hAnsi="Cambria" w:cs="Calibri"/>
        </w:rPr>
        <w:br/>
      </w:r>
    </w:p>
    <w:p w14:paraId="19061DBC" w14:textId="77777777" w:rsidR="00930400" w:rsidRPr="009A0DA6" w:rsidRDefault="00930400" w:rsidP="00930400">
      <w:pPr>
        <w:widowControl w:val="0"/>
        <w:autoSpaceDE w:val="0"/>
        <w:autoSpaceDN w:val="0"/>
        <w:adjustRightInd w:val="0"/>
        <w:spacing w:before="120" w:after="120" w:line="240" w:lineRule="auto"/>
        <w:contextualSpacing/>
        <w:rPr>
          <w:rFonts w:ascii="Cambria" w:eastAsia="Times New Roman" w:hAnsi="Cambria" w:cs="Calibri"/>
          <w:lang w:eastAsia="en-AU"/>
        </w:rPr>
      </w:pPr>
      <w:r w:rsidRPr="009A0DA6">
        <w:rPr>
          <w:rFonts w:ascii="Cambria" w:hAnsi="Cambria"/>
        </w:rPr>
        <w:t xml:space="preserve">Following immediately after the article on salvation before God by grace solely through faith in Christ (AC 4), the Confessions (AC 5) teach that God has instituted the public ministry so that through the gospel and the sacraments he may give the Holy Spirit who produces faith, where and when he wills, in those who hear the gospel. </w:t>
      </w:r>
      <w:r w:rsidRPr="009A0DA6">
        <w:rPr>
          <w:rFonts w:ascii="Cambria" w:eastAsia="Times New Roman" w:hAnsi="Cambria" w:cs="Calibri"/>
          <w:lang w:eastAsia="en-AU"/>
        </w:rPr>
        <w:t xml:space="preserve">With its three-fold reference to saving faith, AC 5 shows that the gospel is the heart and centre of the ministry. It is the teaching by which the church stands or falls. </w:t>
      </w:r>
    </w:p>
    <w:p w14:paraId="1AAF7B95" w14:textId="77777777" w:rsidR="00930400" w:rsidRPr="009A0DA6" w:rsidRDefault="00930400" w:rsidP="00930400">
      <w:pPr>
        <w:pStyle w:val="NoSpacing"/>
        <w:spacing w:before="120" w:after="120"/>
        <w:contextualSpacing/>
      </w:pPr>
      <w:r w:rsidRPr="009A0DA6">
        <w:rPr>
          <w:rFonts w:eastAsia="Times New Roman" w:cs="Calibri"/>
          <w:lang w:eastAsia="en-AU"/>
        </w:rPr>
        <w:t xml:space="preserve">God </w:t>
      </w:r>
      <w:r w:rsidRPr="009A0DA6">
        <w:t xml:space="preserve">has established the pastoral office to ensure that the spiritual functions of the twelve apostles continue until Christ returns, the ministry of the word and the sacraments, and thereby people are continually brought to and sustained in such saving faith (TA 6:6). </w:t>
      </w:r>
    </w:p>
    <w:p w14:paraId="5924C524" w14:textId="77777777" w:rsidR="00930400" w:rsidRPr="009A0DA6" w:rsidRDefault="00930400" w:rsidP="00930400">
      <w:pPr>
        <w:widowControl w:val="0"/>
        <w:autoSpaceDE w:val="0"/>
        <w:autoSpaceDN w:val="0"/>
        <w:adjustRightInd w:val="0"/>
        <w:spacing w:before="120" w:after="120" w:line="240" w:lineRule="auto"/>
        <w:contextualSpacing/>
        <w:rPr>
          <w:rFonts w:ascii="Cambria" w:hAnsi="Cambria"/>
        </w:rPr>
      </w:pPr>
      <w:r w:rsidRPr="009A0DA6">
        <w:rPr>
          <w:rFonts w:ascii="Cambria" w:hAnsi="Cambria"/>
        </w:rPr>
        <w:t xml:space="preserve">The New Testament does not say that those who hold the office must be male. The Lutheran Confessions do not dogmatise about the ordering of the ministry, including the sex of the minister. The ordination of women is compatible with the doctrine of the ministry as articulated in the Confessions. Strictly speaking, the inclusion of women in the ministry does not require a change to the Confessional Lutheran doctrine of the ministry, but only a change to the LCA’s teaching that only men may be ordained (TA 6.11). Therefore, duly called, qualified and authorised women may be ordained alongside their male colleagues and exercise the office of the keys, by proclaiming the gospel, pronouncing the absolution, and administering the sacraments (John 20:21–23; Matt 28:18–20; 1 Cor 11:23–26). </w:t>
      </w:r>
    </w:p>
    <w:p w14:paraId="72ABD0E3" w14:textId="77777777" w:rsidR="00930400" w:rsidRPr="009A0DA6" w:rsidRDefault="00930400" w:rsidP="00930400">
      <w:pPr>
        <w:widowControl w:val="0"/>
        <w:autoSpaceDE w:val="0"/>
        <w:autoSpaceDN w:val="0"/>
        <w:adjustRightInd w:val="0"/>
        <w:spacing w:before="120" w:after="120" w:line="240" w:lineRule="auto"/>
        <w:contextualSpacing/>
        <w:rPr>
          <w:rFonts w:ascii="Cambria" w:hAnsi="Cambria"/>
          <w:bCs/>
          <w:iCs/>
        </w:rPr>
      </w:pPr>
    </w:p>
    <w:p w14:paraId="44799A5D" w14:textId="77777777" w:rsidR="00930400" w:rsidRPr="009A0DA6" w:rsidRDefault="00930400" w:rsidP="00930400">
      <w:pPr>
        <w:widowControl w:val="0"/>
        <w:autoSpaceDE w:val="0"/>
        <w:autoSpaceDN w:val="0"/>
        <w:adjustRightInd w:val="0"/>
        <w:spacing w:before="120" w:after="120" w:line="240" w:lineRule="auto"/>
        <w:contextualSpacing/>
        <w:rPr>
          <w:rFonts w:ascii="Cambria" w:hAnsi="Cambria"/>
          <w:b/>
        </w:rPr>
      </w:pPr>
      <w:r w:rsidRPr="009A0DA6">
        <w:rPr>
          <w:rFonts w:ascii="Cambria" w:hAnsi="Cambria"/>
          <w:b/>
          <w:bCs/>
          <w:iCs/>
        </w:rPr>
        <w:t>Prepared by the CTICR for the General Convention of Synod 2018</w:t>
      </w:r>
    </w:p>
    <w:p w14:paraId="0823AC0B" w14:textId="77777777" w:rsidR="00930400" w:rsidRPr="009A0DA6" w:rsidRDefault="00930400" w:rsidP="00930400">
      <w:pPr>
        <w:widowControl w:val="0"/>
        <w:autoSpaceDE w:val="0"/>
        <w:autoSpaceDN w:val="0"/>
        <w:adjustRightInd w:val="0"/>
        <w:spacing w:before="120" w:after="120" w:line="240" w:lineRule="auto"/>
        <w:contextualSpacing/>
        <w:rPr>
          <w:rFonts w:ascii="Cambria" w:hAnsi="Cambria"/>
          <w:b/>
          <w:bCs/>
          <w:iCs/>
        </w:rPr>
      </w:pPr>
      <w:r w:rsidRPr="009A0DA6">
        <w:rPr>
          <w:rFonts w:ascii="Cambria" w:hAnsi="Cambria"/>
          <w:b/>
          <w:bCs/>
          <w:iCs/>
        </w:rPr>
        <w:t>Finalised: 21 March 2018</w:t>
      </w:r>
    </w:p>
    <w:p w14:paraId="5B8BD5B2" w14:textId="28E22898" w:rsidR="00930400" w:rsidRDefault="00930400" w:rsidP="00930400">
      <w:pPr>
        <w:widowControl w:val="0"/>
        <w:autoSpaceDE w:val="0"/>
        <w:autoSpaceDN w:val="0"/>
        <w:adjustRightInd w:val="0"/>
        <w:spacing w:before="120" w:after="120" w:line="240" w:lineRule="auto"/>
        <w:contextualSpacing/>
        <w:rPr>
          <w:rFonts w:ascii="Cambria" w:hAnsi="Cambria"/>
        </w:rPr>
      </w:pPr>
    </w:p>
    <w:p w14:paraId="073C1308" w14:textId="77777777" w:rsidR="00DE6169" w:rsidRPr="009A0DA6" w:rsidRDefault="00DE6169" w:rsidP="00930400">
      <w:pPr>
        <w:widowControl w:val="0"/>
        <w:autoSpaceDE w:val="0"/>
        <w:autoSpaceDN w:val="0"/>
        <w:adjustRightInd w:val="0"/>
        <w:spacing w:before="120" w:after="120" w:line="240" w:lineRule="auto"/>
        <w:contextualSpacing/>
        <w:rPr>
          <w:rFonts w:ascii="Cambria" w:hAnsi="Cambria"/>
        </w:rPr>
      </w:pPr>
    </w:p>
    <w:p w14:paraId="1E91F43E" w14:textId="77777777" w:rsidR="00930400" w:rsidRPr="009A0DA6" w:rsidRDefault="00930400" w:rsidP="00930400">
      <w:pPr>
        <w:pStyle w:val="Heading3"/>
      </w:pPr>
      <w:r w:rsidRPr="009A0DA6">
        <w:t>Appendix 2</w:t>
      </w:r>
    </w:p>
    <w:p w14:paraId="6053BB8C" w14:textId="77777777" w:rsidR="00930400" w:rsidRPr="009A0DA6" w:rsidRDefault="00930400" w:rsidP="00930400">
      <w:pPr>
        <w:spacing w:before="120" w:after="120" w:line="240" w:lineRule="auto"/>
        <w:contextualSpacing/>
        <w:rPr>
          <w:rFonts w:ascii="Cambria" w:hAnsi="Cambria"/>
          <w:b/>
        </w:rPr>
      </w:pPr>
      <w:r w:rsidRPr="009A0DA6">
        <w:rPr>
          <w:rFonts w:ascii="Cambria" w:hAnsi="Cambria"/>
          <w:b/>
        </w:rPr>
        <w:t>Engaging with the Draft Doctrinal Statement: Reflection arising from the current teaching of the Lutheran Church of Australia</w:t>
      </w:r>
      <w:r w:rsidRPr="009A0DA6">
        <w:rPr>
          <w:rStyle w:val="FootnoteReference"/>
          <w:rFonts w:ascii="Cambria" w:hAnsi="Cambria"/>
          <w:b/>
        </w:rPr>
        <w:footnoteReference w:id="21"/>
      </w:r>
    </w:p>
    <w:p w14:paraId="074EDF93" w14:textId="77777777" w:rsidR="00930400" w:rsidRPr="009A0DA6" w:rsidRDefault="00930400" w:rsidP="00F55252">
      <w:pPr>
        <w:pStyle w:val="Default"/>
        <w:numPr>
          <w:ilvl w:val="0"/>
          <w:numId w:val="197"/>
        </w:numPr>
        <w:spacing w:before="120" w:after="120"/>
        <w:ind w:left="567" w:hanging="567"/>
        <w:contextualSpacing/>
        <w:rPr>
          <w:rFonts w:ascii="Cambria" w:hAnsi="Cambria" w:cstheme="minorHAnsi"/>
          <w:color w:val="auto"/>
          <w:sz w:val="22"/>
          <w:szCs w:val="22"/>
        </w:rPr>
      </w:pPr>
      <w:r w:rsidRPr="009A0DA6">
        <w:rPr>
          <w:rFonts w:ascii="Cambria" w:hAnsi="Cambria" w:cstheme="minorHAnsi"/>
          <w:color w:val="auto"/>
          <w:sz w:val="22"/>
          <w:szCs w:val="22"/>
        </w:rPr>
        <w:t>The current teaching of the LCA is that women cannot be ordained in the church since it is prohibited in the New Testament (TA 6.11). The draft doctrinal statement proposes a change to this teaching, and this document engages with the draft doctrinal statement in the light of the current teaching of the Church.</w:t>
      </w:r>
      <w:r w:rsidRPr="009A0DA6">
        <w:rPr>
          <w:rFonts w:ascii="Cambria" w:hAnsi="Cambria" w:cstheme="minorHAnsi"/>
          <w:color w:val="auto"/>
          <w:sz w:val="22"/>
          <w:szCs w:val="22"/>
        </w:rPr>
        <w:br/>
      </w:r>
    </w:p>
    <w:p w14:paraId="77E3CB96" w14:textId="77777777" w:rsidR="00930400" w:rsidRPr="009A0DA6" w:rsidRDefault="00930400" w:rsidP="00F55252">
      <w:pPr>
        <w:pStyle w:val="Default"/>
        <w:numPr>
          <w:ilvl w:val="0"/>
          <w:numId w:val="197"/>
        </w:numPr>
        <w:spacing w:before="120" w:after="120"/>
        <w:ind w:left="567" w:hanging="567"/>
        <w:contextualSpacing/>
        <w:rPr>
          <w:rFonts w:ascii="Cambria" w:hAnsi="Cambria" w:cstheme="minorHAnsi"/>
          <w:color w:val="auto"/>
          <w:sz w:val="22"/>
          <w:szCs w:val="22"/>
        </w:rPr>
      </w:pPr>
      <w:r w:rsidRPr="009A0DA6">
        <w:rPr>
          <w:rFonts w:ascii="Cambria" w:hAnsi="Cambria" w:cstheme="minorHAnsi"/>
          <w:color w:val="auto"/>
          <w:sz w:val="22"/>
          <w:szCs w:val="22"/>
        </w:rPr>
        <w:t xml:space="preserve">When the New Testament outlines the qualifications a person needs to be called to the pastoral office, it stresses that a pastor must be ‘able to teach’ (1 Tim 3:2; 2 Tim 2:24; cf. Tit 1:9). It then prohibits women from doing the kind of authoritative speaking/teaching/ preaching within the divine service that the office requires </w:t>
      </w:r>
      <w:r w:rsidRPr="009A0DA6">
        <w:rPr>
          <w:rFonts w:ascii="Cambria" w:hAnsi="Cambria" w:cstheme="minorHAnsi"/>
          <w:color w:val="auto"/>
          <w:sz w:val="22"/>
          <w:szCs w:val="22"/>
        </w:rPr>
        <w:br/>
        <w:t>(1 Cor 14:33b</w:t>
      </w:r>
      <w:r w:rsidRPr="009A0DA6">
        <w:rPr>
          <w:rFonts w:ascii="Cambria" w:hAnsi="Cambria" w:cstheme="minorHAnsi"/>
          <w:bCs/>
          <w:color w:val="auto"/>
          <w:sz w:val="22"/>
          <w:szCs w:val="22"/>
        </w:rPr>
        <w:sym w:font="Symbol" w:char="F02D"/>
      </w:r>
      <w:r w:rsidRPr="009A0DA6">
        <w:rPr>
          <w:rFonts w:ascii="Cambria" w:hAnsi="Cambria" w:cstheme="minorHAnsi"/>
          <w:color w:val="auto"/>
          <w:sz w:val="22"/>
          <w:szCs w:val="22"/>
        </w:rPr>
        <w:t>38; 1 Tim 2:11</w:t>
      </w:r>
      <w:r w:rsidRPr="009A0DA6">
        <w:rPr>
          <w:rFonts w:ascii="Cambria" w:hAnsi="Cambria" w:cstheme="minorHAnsi"/>
          <w:bCs/>
          <w:color w:val="auto"/>
          <w:sz w:val="22"/>
          <w:szCs w:val="22"/>
        </w:rPr>
        <w:sym w:font="Symbol" w:char="F02D"/>
      </w:r>
      <w:r w:rsidRPr="009A0DA6">
        <w:rPr>
          <w:rFonts w:ascii="Cambria" w:hAnsi="Cambria" w:cstheme="minorHAnsi"/>
          <w:color w:val="auto"/>
          <w:sz w:val="22"/>
          <w:szCs w:val="22"/>
        </w:rPr>
        <w:t>15).</w:t>
      </w:r>
      <w:r w:rsidRPr="009A0DA6">
        <w:rPr>
          <w:rFonts w:ascii="Cambria" w:hAnsi="Cambria" w:cstheme="minorHAnsi"/>
          <w:color w:val="auto"/>
          <w:sz w:val="22"/>
          <w:szCs w:val="22"/>
        </w:rPr>
        <w:br/>
      </w:r>
    </w:p>
    <w:p w14:paraId="79063ABE" w14:textId="77777777" w:rsidR="00930400" w:rsidRPr="009A0DA6" w:rsidRDefault="00930400" w:rsidP="00F55252">
      <w:pPr>
        <w:pStyle w:val="Default"/>
        <w:numPr>
          <w:ilvl w:val="0"/>
          <w:numId w:val="197"/>
        </w:numPr>
        <w:spacing w:before="120" w:after="120"/>
        <w:ind w:left="567" w:hanging="567"/>
        <w:contextualSpacing/>
        <w:rPr>
          <w:rFonts w:ascii="Cambria" w:hAnsi="Cambria" w:cstheme="minorHAnsi"/>
          <w:color w:val="auto"/>
          <w:sz w:val="22"/>
          <w:szCs w:val="22"/>
        </w:rPr>
      </w:pPr>
      <w:r w:rsidRPr="009A0DA6">
        <w:rPr>
          <w:rFonts w:ascii="Cambria" w:hAnsi="Cambria" w:cstheme="minorHAnsi"/>
          <w:color w:val="auto"/>
          <w:sz w:val="22"/>
          <w:szCs w:val="22"/>
        </w:rPr>
        <w:t xml:space="preserve">It has been suggested that the texts used in the LCA’s prohibition of women from the office of the ministry refer to women not teaching publicly only in Ephesus or not disrupting worship as part of a broader love command. In fact, the texts themselves give specific reasons for the prohibition that are neither time-bound nor culturally-relative, and therefore still apply today. They tell us that the prohibition is grounded in the headship God gave to men at creation (1 Tim 2:13; cf. 1 Cor 14:34), the consequences of the fall for women (1 Tim 2:14; cf. Gen 3:16), and a command of the </w:t>
      </w:r>
      <w:r w:rsidRPr="009A0DA6">
        <w:rPr>
          <w:rFonts w:ascii="Cambria" w:hAnsi="Cambria" w:cstheme="minorHAnsi"/>
          <w:color w:val="auto"/>
          <w:sz w:val="22"/>
          <w:szCs w:val="22"/>
        </w:rPr>
        <w:lastRenderedPageBreak/>
        <w:t>Lord (1 Cor 14:36</w:t>
      </w:r>
      <w:r w:rsidRPr="009A0DA6">
        <w:rPr>
          <w:rFonts w:ascii="Cambria" w:hAnsi="Cambria" w:cstheme="minorHAnsi"/>
          <w:bCs/>
          <w:color w:val="auto"/>
          <w:sz w:val="22"/>
          <w:szCs w:val="22"/>
        </w:rPr>
        <w:sym w:font="Symbol" w:char="F02D"/>
      </w:r>
      <w:r w:rsidRPr="009A0DA6">
        <w:rPr>
          <w:rFonts w:ascii="Cambria" w:hAnsi="Cambria" w:cstheme="minorHAnsi"/>
          <w:color w:val="auto"/>
          <w:sz w:val="22"/>
          <w:szCs w:val="22"/>
        </w:rPr>
        <w:t xml:space="preserve">38). Furthermore, this prohibition applies not only in one local context, but ‘in all the churches of the saints’ (1 Cor 14:33b). </w:t>
      </w:r>
    </w:p>
    <w:p w14:paraId="7F087199" w14:textId="77777777" w:rsidR="00930400" w:rsidRPr="009A0DA6" w:rsidRDefault="00930400" w:rsidP="00930400">
      <w:pPr>
        <w:pStyle w:val="Default"/>
        <w:spacing w:before="120" w:after="120"/>
        <w:ind w:left="567" w:hanging="567"/>
        <w:contextualSpacing/>
        <w:rPr>
          <w:rFonts w:ascii="Cambria" w:hAnsi="Cambria" w:cstheme="minorHAnsi"/>
          <w:color w:val="auto"/>
          <w:sz w:val="22"/>
          <w:szCs w:val="22"/>
        </w:rPr>
      </w:pPr>
    </w:p>
    <w:p w14:paraId="01FAEE0D" w14:textId="77777777" w:rsidR="00930400" w:rsidRPr="009A0DA6" w:rsidRDefault="00930400" w:rsidP="00F55252">
      <w:pPr>
        <w:pStyle w:val="Default"/>
        <w:numPr>
          <w:ilvl w:val="0"/>
          <w:numId w:val="197"/>
        </w:numPr>
        <w:spacing w:before="120" w:after="120"/>
        <w:ind w:left="567" w:hanging="567"/>
        <w:contextualSpacing/>
        <w:rPr>
          <w:rFonts w:ascii="Cambria" w:hAnsi="Cambria" w:cstheme="minorHAnsi"/>
          <w:color w:val="auto"/>
          <w:sz w:val="22"/>
          <w:szCs w:val="22"/>
        </w:rPr>
      </w:pPr>
      <w:r w:rsidRPr="009A0DA6">
        <w:rPr>
          <w:rFonts w:ascii="Cambria" w:hAnsi="Cambria" w:cstheme="minorHAnsi"/>
          <w:color w:val="auto"/>
          <w:sz w:val="22"/>
          <w:szCs w:val="22"/>
        </w:rPr>
        <w:t>Exegetical opinion about additional reasons Paul may have had for this prohibition can never overturn the reasons he clearly articulates for us in Scripture. It has been argued that Paul was concerned about the women in Corinth speaking in a disruptive manner, or about avoiding offence in a mainly Jewish culture, which would have violated the law of love and hindered the mission of the Gospel. Paul says little about any of this in the immediate context.</w:t>
      </w:r>
      <w:r w:rsidRPr="009A0DA6">
        <w:rPr>
          <w:rStyle w:val="FootnoteReference"/>
          <w:rFonts w:ascii="Cambria" w:eastAsiaTheme="majorEastAsia" w:hAnsi="Cambria" w:cstheme="minorHAnsi"/>
          <w:color w:val="auto"/>
          <w:sz w:val="22"/>
          <w:szCs w:val="22"/>
        </w:rPr>
        <w:footnoteReference w:id="22"/>
      </w:r>
      <w:r w:rsidRPr="009A0DA6">
        <w:rPr>
          <w:rFonts w:ascii="Cambria" w:hAnsi="Cambria" w:cstheme="minorHAnsi"/>
          <w:color w:val="auto"/>
          <w:sz w:val="22"/>
          <w:szCs w:val="22"/>
        </w:rPr>
        <w:t xml:space="preserve"> Even if it were shown that there is some truth to them, that would not nullify the reasons Paul spells out for us in Scripture.</w:t>
      </w:r>
      <w:r w:rsidRPr="009A0DA6">
        <w:rPr>
          <w:rFonts w:ascii="Cambria" w:hAnsi="Cambria" w:cstheme="minorHAnsi"/>
          <w:color w:val="auto"/>
          <w:sz w:val="22"/>
          <w:szCs w:val="22"/>
        </w:rPr>
        <w:br/>
      </w:r>
    </w:p>
    <w:p w14:paraId="128B18C1" w14:textId="77777777" w:rsidR="00930400" w:rsidRPr="009A0DA6" w:rsidRDefault="00930400" w:rsidP="00F55252">
      <w:pPr>
        <w:pStyle w:val="Default"/>
        <w:numPr>
          <w:ilvl w:val="0"/>
          <w:numId w:val="197"/>
        </w:numPr>
        <w:spacing w:before="120" w:after="120"/>
        <w:ind w:left="567" w:hanging="567"/>
        <w:contextualSpacing/>
        <w:rPr>
          <w:rFonts w:ascii="Cambria" w:hAnsi="Cambria" w:cstheme="minorHAnsi"/>
          <w:color w:val="auto"/>
          <w:sz w:val="22"/>
          <w:szCs w:val="22"/>
        </w:rPr>
      </w:pPr>
      <w:r w:rsidRPr="009A0DA6">
        <w:rPr>
          <w:rFonts w:ascii="Cambria" w:hAnsi="Cambria" w:cstheme="minorHAnsi"/>
          <w:color w:val="auto"/>
          <w:sz w:val="22"/>
          <w:szCs w:val="22"/>
        </w:rPr>
        <w:t>The case for the male only pastorate hinges on the two passages (1 Cor 14:33b</w:t>
      </w:r>
      <w:r w:rsidRPr="009A0DA6">
        <w:rPr>
          <w:rFonts w:ascii="Cambria" w:hAnsi="Cambria" w:cstheme="minorHAnsi"/>
          <w:bCs/>
          <w:color w:val="auto"/>
          <w:sz w:val="22"/>
          <w:szCs w:val="22"/>
        </w:rPr>
        <w:sym w:font="Symbol" w:char="F02D"/>
      </w:r>
      <w:r w:rsidRPr="009A0DA6">
        <w:rPr>
          <w:rFonts w:ascii="Cambria" w:hAnsi="Cambria" w:cstheme="minorHAnsi"/>
          <w:color w:val="auto"/>
          <w:sz w:val="22"/>
          <w:szCs w:val="22"/>
        </w:rPr>
        <w:t>38 and 1 Tim 2:11</w:t>
      </w:r>
      <w:r w:rsidRPr="009A0DA6">
        <w:rPr>
          <w:rFonts w:ascii="Cambria" w:hAnsi="Cambria" w:cstheme="minorHAnsi"/>
          <w:bCs/>
          <w:color w:val="auto"/>
          <w:sz w:val="22"/>
          <w:szCs w:val="22"/>
        </w:rPr>
        <w:sym w:font="Symbol" w:char="F02D"/>
      </w:r>
      <w:r w:rsidRPr="009A0DA6">
        <w:rPr>
          <w:rFonts w:ascii="Cambria" w:hAnsi="Cambria" w:cstheme="minorHAnsi"/>
          <w:color w:val="auto"/>
          <w:sz w:val="22"/>
          <w:szCs w:val="22"/>
        </w:rPr>
        <w:t>15) that speak directly and unambiguously to this issue. Yet, these texts do not stand alone without broader scriptural support. Instead, they find support from all of the following:</w:t>
      </w:r>
    </w:p>
    <w:p w14:paraId="7D416826" w14:textId="77777777" w:rsidR="00930400" w:rsidRPr="009A0DA6" w:rsidRDefault="00930400" w:rsidP="00F55252">
      <w:pPr>
        <w:pStyle w:val="Default"/>
        <w:numPr>
          <w:ilvl w:val="1"/>
          <w:numId w:val="197"/>
        </w:numPr>
        <w:spacing w:before="120" w:after="120"/>
        <w:ind w:left="1134" w:hanging="567"/>
        <w:contextualSpacing/>
        <w:rPr>
          <w:rFonts w:ascii="Cambria" w:hAnsi="Cambria" w:cstheme="minorHAnsi"/>
          <w:color w:val="auto"/>
          <w:sz w:val="22"/>
          <w:szCs w:val="22"/>
        </w:rPr>
      </w:pPr>
      <w:r w:rsidRPr="009A0DA6">
        <w:rPr>
          <w:rFonts w:ascii="Cambria" w:hAnsi="Cambria" w:cstheme="minorHAnsi"/>
          <w:color w:val="auto"/>
          <w:sz w:val="22"/>
          <w:szCs w:val="22"/>
        </w:rPr>
        <w:t>The example of Jesus, who chose only men to be his Apostles.</w:t>
      </w:r>
    </w:p>
    <w:p w14:paraId="514567F3" w14:textId="77777777" w:rsidR="00930400" w:rsidRPr="009A0DA6" w:rsidRDefault="00930400" w:rsidP="00F55252">
      <w:pPr>
        <w:pStyle w:val="Default"/>
        <w:numPr>
          <w:ilvl w:val="1"/>
          <w:numId w:val="197"/>
        </w:numPr>
        <w:spacing w:before="120" w:after="120"/>
        <w:ind w:left="1134" w:hanging="567"/>
        <w:contextualSpacing/>
        <w:rPr>
          <w:rFonts w:ascii="Cambria" w:hAnsi="Cambria" w:cstheme="minorHAnsi"/>
          <w:bCs/>
          <w:color w:val="auto"/>
          <w:sz w:val="22"/>
          <w:szCs w:val="22"/>
        </w:rPr>
      </w:pPr>
      <w:r w:rsidRPr="009A0DA6">
        <w:rPr>
          <w:rFonts w:ascii="Cambria" w:hAnsi="Cambria" w:cstheme="minorHAnsi"/>
          <w:color w:val="auto"/>
          <w:sz w:val="22"/>
          <w:szCs w:val="22"/>
        </w:rPr>
        <w:t>The example of Peter, who insisted that the replacement for Judas had to be one of the men who had followed Jesus, not one of the women (Acts 1:21).</w:t>
      </w:r>
      <w:r w:rsidRPr="009A0DA6">
        <w:rPr>
          <w:rStyle w:val="FootnoteReference"/>
          <w:rFonts w:ascii="Cambria" w:eastAsiaTheme="majorEastAsia" w:hAnsi="Cambria" w:cstheme="minorHAnsi"/>
          <w:bCs/>
          <w:color w:val="auto"/>
          <w:sz w:val="22"/>
          <w:szCs w:val="22"/>
        </w:rPr>
        <w:footnoteReference w:id="23"/>
      </w:r>
    </w:p>
    <w:p w14:paraId="6EB1AFB7" w14:textId="77777777" w:rsidR="00930400" w:rsidRPr="009A0DA6" w:rsidRDefault="00930400" w:rsidP="00F55252">
      <w:pPr>
        <w:pStyle w:val="Default"/>
        <w:numPr>
          <w:ilvl w:val="1"/>
          <w:numId w:val="197"/>
        </w:numPr>
        <w:spacing w:before="120" w:after="120"/>
        <w:ind w:left="1134" w:hanging="567"/>
        <w:contextualSpacing/>
        <w:rPr>
          <w:rFonts w:ascii="Cambria" w:hAnsi="Cambria" w:cstheme="minorHAnsi"/>
          <w:bCs/>
          <w:color w:val="auto"/>
          <w:sz w:val="22"/>
          <w:szCs w:val="22"/>
        </w:rPr>
      </w:pPr>
      <w:r w:rsidRPr="009A0DA6">
        <w:rPr>
          <w:rFonts w:ascii="Cambria" w:hAnsi="Cambria" w:cstheme="minorHAnsi"/>
          <w:color w:val="auto"/>
          <w:sz w:val="22"/>
          <w:szCs w:val="22"/>
        </w:rPr>
        <w:t>The parallel between the male only pastorate in the New Testament and the male only priesthood in the Old Testament, the two groups of people chosen by God to preside over the worship life of his people.</w:t>
      </w:r>
    </w:p>
    <w:p w14:paraId="31AEE289" w14:textId="77777777" w:rsidR="00930400" w:rsidRPr="009A0DA6" w:rsidRDefault="00930400" w:rsidP="00F55252">
      <w:pPr>
        <w:pStyle w:val="Default"/>
        <w:numPr>
          <w:ilvl w:val="1"/>
          <w:numId w:val="197"/>
        </w:numPr>
        <w:spacing w:before="120" w:after="120"/>
        <w:ind w:left="1134" w:hanging="567"/>
        <w:contextualSpacing/>
        <w:rPr>
          <w:rFonts w:ascii="Cambria" w:hAnsi="Cambria" w:cstheme="minorHAnsi"/>
          <w:bCs/>
          <w:color w:val="auto"/>
          <w:sz w:val="22"/>
          <w:szCs w:val="22"/>
        </w:rPr>
      </w:pPr>
      <w:r w:rsidRPr="009A0DA6">
        <w:rPr>
          <w:rFonts w:ascii="Cambria" w:hAnsi="Cambria" w:cstheme="minorHAnsi"/>
          <w:color w:val="auto"/>
          <w:sz w:val="22"/>
          <w:szCs w:val="22"/>
        </w:rPr>
        <w:t xml:space="preserve">The parallel between </w:t>
      </w:r>
      <w:r w:rsidRPr="009A0DA6">
        <w:rPr>
          <w:rFonts w:ascii="Cambria" w:hAnsi="Cambria" w:cstheme="minorHAnsi"/>
          <w:bCs/>
          <w:color w:val="auto"/>
          <w:sz w:val="22"/>
          <w:szCs w:val="22"/>
        </w:rPr>
        <w:t>the male only pastorate and the spiritual headship of husbands and fathers within their families (Eph 5:21–6:4; cf. Col 3:18</w:t>
      </w:r>
      <w:r w:rsidRPr="009A0DA6">
        <w:rPr>
          <w:rFonts w:ascii="Cambria" w:hAnsi="Cambria" w:cstheme="minorHAnsi"/>
          <w:bCs/>
          <w:color w:val="auto"/>
          <w:sz w:val="22"/>
          <w:szCs w:val="22"/>
        </w:rPr>
        <w:sym w:font="Symbol" w:char="F02D"/>
      </w:r>
      <w:r w:rsidRPr="009A0DA6">
        <w:rPr>
          <w:rFonts w:ascii="Cambria" w:hAnsi="Cambria" w:cstheme="minorHAnsi"/>
          <w:bCs/>
          <w:color w:val="auto"/>
          <w:sz w:val="22"/>
          <w:szCs w:val="22"/>
        </w:rPr>
        <w:t xml:space="preserve">19; </w:t>
      </w:r>
      <w:r w:rsidRPr="009A0DA6">
        <w:rPr>
          <w:rFonts w:ascii="Cambria" w:hAnsi="Cambria" w:cstheme="minorHAnsi"/>
          <w:bCs/>
          <w:color w:val="auto"/>
          <w:sz w:val="22"/>
          <w:szCs w:val="22"/>
        </w:rPr>
        <w:br/>
        <w:t>1 Pet 3:1</w:t>
      </w:r>
      <w:r w:rsidRPr="009A0DA6">
        <w:rPr>
          <w:rFonts w:ascii="Cambria" w:hAnsi="Cambria" w:cstheme="minorHAnsi"/>
          <w:bCs/>
          <w:color w:val="auto"/>
          <w:sz w:val="22"/>
          <w:szCs w:val="22"/>
        </w:rPr>
        <w:sym w:font="Symbol" w:char="F02D"/>
      </w:r>
      <w:r w:rsidRPr="009A0DA6">
        <w:rPr>
          <w:rFonts w:ascii="Cambria" w:hAnsi="Cambria" w:cstheme="minorHAnsi"/>
          <w:bCs/>
          <w:color w:val="auto"/>
          <w:sz w:val="22"/>
          <w:szCs w:val="22"/>
        </w:rPr>
        <w:t>7; Tit 2:3</w:t>
      </w:r>
      <w:r w:rsidRPr="009A0DA6">
        <w:rPr>
          <w:rFonts w:ascii="Cambria" w:hAnsi="Cambria" w:cstheme="minorHAnsi"/>
          <w:bCs/>
          <w:color w:val="auto"/>
          <w:sz w:val="22"/>
          <w:szCs w:val="22"/>
        </w:rPr>
        <w:sym w:font="Symbol" w:char="F02D"/>
      </w:r>
      <w:r w:rsidRPr="009A0DA6">
        <w:rPr>
          <w:rFonts w:ascii="Cambria" w:hAnsi="Cambria" w:cstheme="minorHAnsi"/>
          <w:bCs/>
          <w:color w:val="auto"/>
          <w:sz w:val="22"/>
          <w:szCs w:val="22"/>
        </w:rPr>
        <w:t>5).</w:t>
      </w:r>
    </w:p>
    <w:p w14:paraId="1D3580B5" w14:textId="77777777" w:rsidR="00930400" w:rsidRPr="009A0DA6" w:rsidRDefault="00930400" w:rsidP="00F55252">
      <w:pPr>
        <w:pStyle w:val="Default"/>
        <w:numPr>
          <w:ilvl w:val="1"/>
          <w:numId w:val="197"/>
        </w:numPr>
        <w:spacing w:before="120" w:after="120"/>
        <w:ind w:left="1134" w:hanging="567"/>
        <w:contextualSpacing/>
        <w:rPr>
          <w:rFonts w:ascii="Cambria" w:hAnsi="Cambria" w:cstheme="minorHAnsi"/>
          <w:bCs/>
          <w:color w:val="auto"/>
          <w:sz w:val="22"/>
          <w:szCs w:val="22"/>
        </w:rPr>
      </w:pPr>
      <w:r w:rsidRPr="009A0DA6">
        <w:rPr>
          <w:rFonts w:ascii="Cambria" w:hAnsi="Cambria" w:cstheme="minorHAnsi"/>
          <w:bCs/>
          <w:color w:val="auto"/>
          <w:sz w:val="22"/>
          <w:szCs w:val="22"/>
        </w:rPr>
        <w:t>Paul’s insistence that a pastor must be ‘husband of one wife’ (1 Tim 3:2; Tit 1:6).</w:t>
      </w:r>
    </w:p>
    <w:p w14:paraId="2897588D" w14:textId="77777777" w:rsidR="00930400" w:rsidRPr="009A0DA6" w:rsidRDefault="00930400" w:rsidP="00F55252">
      <w:pPr>
        <w:pStyle w:val="Default"/>
        <w:numPr>
          <w:ilvl w:val="1"/>
          <w:numId w:val="197"/>
        </w:numPr>
        <w:spacing w:before="120" w:after="120"/>
        <w:ind w:left="1134" w:hanging="567"/>
        <w:contextualSpacing/>
        <w:rPr>
          <w:rFonts w:ascii="Cambria" w:hAnsi="Cambria" w:cstheme="minorHAnsi"/>
          <w:bCs/>
          <w:color w:val="auto"/>
          <w:sz w:val="22"/>
          <w:szCs w:val="22"/>
        </w:rPr>
      </w:pPr>
      <w:r w:rsidRPr="009A0DA6">
        <w:rPr>
          <w:rFonts w:ascii="Cambria" w:hAnsi="Cambria" w:cstheme="minorHAnsi"/>
          <w:bCs/>
          <w:color w:val="auto"/>
          <w:sz w:val="22"/>
          <w:szCs w:val="22"/>
        </w:rPr>
        <w:t xml:space="preserve">Paul’s description of pastors as spiritual fathers to the church (1 Cor 4:15; </w:t>
      </w:r>
      <w:r w:rsidRPr="009A0DA6">
        <w:rPr>
          <w:rFonts w:ascii="Cambria" w:hAnsi="Cambria" w:cstheme="minorHAnsi"/>
          <w:bCs/>
          <w:color w:val="auto"/>
          <w:sz w:val="22"/>
          <w:szCs w:val="22"/>
        </w:rPr>
        <w:br/>
        <w:t>Phm 10; Gal 4:19; 1 Tim 3:4</w:t>
      </w:r>
      <w:r w:rsidRPr="009A0DA6">
        <w:rPr>
          <w:rFonts w:ascii="Cambria" w:hAnsi="Cambria" w:cstheme="minorHAnsi"/>
          <w:bCs/>
          <w:color w:val="auto"/>
          <w:sz w:val="22"/>
          <w:szCs w:val="22"/>
        </w:rPr>
        <w:sym w:font="Symbol" w:char="F02D"/>
      </w:r>
      <w:r w:rsidRPr="009A0DA6">
        <w:rPr>
          <w:rFonts w:ascii="Cambria" w:hAnsi="Cambria" w:cstheme="minorHAnsi"/>
          <w:bCs/>
          <w:color w:val="auto"/>
          <w:sz w:val="22"/>
          <w:szCs w:val="22"/>
        </w:rPr>
        <w:t>5).</w:t>
      </w:r>
      <w:r w:rsidRPr="009A0DA6">
        <w:rPr>
          <w:rFonts w:ascii="Cambria" w:hAnsi="Cambria" w:cstheme="minorHAnsi"/>
          <w:bCs/>
          <w:color w:val="auto"/>
          <w:sz w:val="22"/>
          <w:szCs w:val="22"/>
        </w:rPr>
        <w:br/>
      </w:r>
    </w:p>
    <w:p w14:paraId="512CE6EC" w14:textId="77777777" w:rsidR="00930400" w:rsidRPr="009A0DA6" w:rsidRDefault="00930400" w:rsidP="00930400">
      <w:pPr>
        <w:pStyle w:val="Default"/>
        <w:spacing w:before="120" w:after="120"/>
        <w:ind w:left="567"/>
        <w:contextualSpacing/>
        <w:rPr>
          <w:rFonts w:ascii="Cambria" w:hAnsi="Cambria" w:cstheme="minorHAnsi"/>
          <w:color w:val="auto"/>
          <w:sz w:val="22"/>
          <w:szCs w:val="22"/>
        </w:rPr>
      </w:pPr>
      <w:r w:rsidRPr="009A0DA6">
        <w:rPr>
          <w:rFonts w:ascii="Cambria" w:hAnsi="Cambria" w:cstheme="minorHAnsi"/>
          <w:color w:val="auto"/>
          <w:sz w:val="22"/>
          <w:szCs w:val="22"/>
        </w:rPr>
        <w:t>Having said this, even if 1 Corinthians 14 and 1 Timothy 2 did stand alone, they still stand, since they are part of God’s authoritative word. A teaching does not need to be reiterated several times in Scripture before it becomes authoritative. For example, the third and seventh petitions of the Lord’s Prayer are only taught once (Matt 6:10, 13), and Baptism is only commanded once (Matt 28:19).</w:t>
      </w:r>
      <w:r w:rsidRPr="009A0DA6">
        <w:rPr>
          <w:rFonts w:ascii="Cambria" w:hAnsi="Cambria" w:cstheme="minorHAnsi"/>
          <w:color w:val="auto"/>
          <w:sz w:val="22"/>
          <w:szCs w:val="22"/>
        </w:rPr>
        <w:br/>
      </w:r>
    </w:p>
    <w:p w14:paraId="42A3D36F" w14:textId="77777777" w:rsidR="00930400" w:rsidRPr="009A0DA6" w:rsidRDefault="00930400" w:rsidP="00F55252">
      <w:pPr>
        <w:pStyle w:val="Default"/>
        <w:numPr>
          <w:ilvl w:val="0"/>
          <w:numId w:val="197"/>
        </w:numPr>
        <w:spacing w:before="120" w:after="120"/>
        <w:ind w:left="567" w:hanging="567"/>
        <w:contextualSpacing/>
        <w:rPr>
          <w:rFonts w:ascii="Cambria" w:hAnsi="Cambria" w:cstheme="minorHAnsi"/>
          <w:color w:val="auto"/>
          <w:sz w:val="22"/>
          <w:szCs w:val="22"/>
        </w:rPr>
      </w:pPr>
      <w:r w:rsidRPr="009A0DA6">
        <w:rPr>
          <w:rFonts w:ascii="Cambria" w:hAnsi="Cambria" w:cstheme="minorHAnsi"/>
          <w:color w:val="auto"/>
          <w:sz w:val="22"/>
          <w:szCs w:val="22"/>
        </w:rPr>
        <w:t>The New Testament’s endorsement of the male-only pastorate is not a reflection of Jewish or Greco-Roman cultural norms. Instead, it is part of the Bible’s teaching on servant headship. It does not give men arbitrary power over women, or pastors arbitrary power over laypeople, but is a call by God to use the authority of Christ’s word to serve in a sacrificial, Christ-like way (Matt 20:20</w:t>
      </w:r>
      <w:r w:rsidRPr="009A0DA6">
        <w:rPr>
          <w:rFonts w:ascii="Cambria" w:hAnsi="Cambria" w:cstheme="minorHAnsi"/>
          <w:bCs/>
          <w:color w:val="auto"/>
          <w:sz w:val="22"/>
          <w:szCs w:val="22"/>
        </w:rPr>
        <w:sym w:font="Symbol" w:char="F02D"/>
      </w:r>
      <w:r w:rsidRPr="009A0DA6">
        <w:rPr>
          <w:rFonts w:ascii="Cambria" w:hAnsi="Cambria" w:cstheme="minorHAnsi"/>
          <w:color w:val="auto"/>
          <w:sz w:val="22"/>
          <w:szCs w:val="22"/>
        </w:rPr>
        <w:t xml:space="preserve">28; 1 Pet 5:3; </w:t>
      </w:r>
      <w:r w:rsidRPr="009A0DA6">
        <w:rPr>
          <w:rFonts w:ascii="Cambria" w:hAnsi="Cambria" w:cstheme="minorHAnsi"/>
          <w:color w:val="auto"/>
          <w:sz w:val="22"/>
          <w:szCs w:val="22"/>
        </w:rPr>
        <w:br/>
        <w:t>2 Cor 1:24; 4:5; 2 Tim 1:8; 2:3; cf. Eph 5:22-33a). This call to spiritual responsibility and Christ-like service is counter-cultural in every age.</w:t>
      </w:r>
      <w:r w:rsidRPr="009A0DA6">
        <w:rPr>
          <w:rFonts w:ascii="Cambria" w:hAnsi="Cambria" w:cstheme="minorHAnsi"/>
          <w:color w:val="auto"/>
          <w:sz w:val="22"/>
          <w:szCs w:val="22"/>
        </w:rPr>
        <w:br/>
      </w:r>
    </w:p>
    <w:p w14:paraId="21F33227" w14:textId="77777777" w:rsidR="00930400" w:rsidRPr="009A0DA6" w:rsidRDefault="00930400" w:rsidP="00F55252">
      <w:pPr>
        <w:pStyle w:val="Default"/>
        <w:numPr>
          <w:ilvl w:val="0"/>
          <w:numId w:val="197"/>
        </w:numPr>
        <w:spacing w:before="120" w:after="120"/>
        <w:ind w:left="567" w:hanging="567"/>
        <w:contextualSpacing/>
        <w:rPr>
          <w:rFonts w:ascii="Cambria" w:hAnsi="Cambria" w:cstheme="minorHAnsi"/>
          <w:color w:val="auto"/>
          <w:sz w:val="22"/>
          <w:szCs w:val="22"/>
        </w:rPr>
      </w:pPr>
      <w:r w:rsidRPr="009A0DA6">
        <w:rPr>
          <w:rFonts w:ascii="Cambria" w:hAnsi="Cambria" w:cstheme="minorHAnsi"/>
          <w:color w:val="auto"/>
          <w:sz w:val="22"/>
          <w:szCs w:val="22"/>
        </w:rPr>
        <w:t>The unity and equal share in God’s kingdom that all Christians enjoy by virtue of our baptism into Christ (Gal 3:27</w:t>
      </w:r>
      <w:r w:rsidRPr="009A0DA6">
        <w:rPr>
          <w:rFonts w:ascii="Cambria" w:hAnsi="Cambria" w:cstheme="minorHAnsi"/>
          <w:bCs/>
          <w:color w:val="auto"/>
          <w:sz w:val="22"/>
          <w:szCs w:val="22"/>
        </w:rPr>
        <w:sym w:font="Symbol" w:char="F02D"/>
      </w:r>
      <w:r w:rsidRPr="009A0DA6">
        <w:rPr>
          <w:rFonts w:ascii="Cambria" w:hAnsi="Cambria" w:cstheme="minorHAnsi"/>
          <w:color w:val="auto"/>
          <w:sz w:val="22"/>
          <w:szCs w:val="22"/>
        </w:rPr>
        <w:t>29) should eliminate prejudice or partiality that is based on human criteria (James 2:1-9; Rom 2:11; Gal 2:11</w:t>
      </w:r>
      <w:r w:rsidRPr="009A0DA6">
        <w:rPr>
          <w:rFonts w:ascii="Cambria" w:hAnsi="Cambria" w:cstheme="minorHAnsi"/>
          <w:bCs/>
          <w:color w:val="auto"/>
          <w:sz w:val="22"/>
          <w:szCs w:val="22"/>
        </w:rPr>
        <w:sym w:font="Symbol" w:char="F02D"/>
      </w:r>
      <w:r w:rsidRPr="009A0DA6">
        <w:rPr>
          <w:rFonts w:ascii="Cambria" w:hAnsi="Cambria" w:cstheme="minorHAnsi"/>
          <w:color w:val="auto"/>
          <w:sz w:val="22"/>
          <w:szCs w:val="22"/>
        </w:rPr>
        <w:t xml:space="preserve">14; Eph. 6:9; Col 4:1; </w:t>
      </w:r>
      <w:r w:rsidRPr="009A0DA6">
        <w:rPr>
          <w:rFonts w:ascii="Cambria" w:hAnsi="Cambria" w:cstheme="minorHAnsi"/>
          <w:color w:val="auto"/>
          <w:sz w:val="22"/>
          <w:szCs w:val="22"/>
        </w:rPr>
        <w:br/>
        <w:t>Phm 16; 1 Cor 7:17</w:t>
      </w:r>
      <w:r w:rsidRPr="009A0DA6">
        <w:rPr>
          <w:rFonts w:ascii="Cambria" w:hAnsi="Cambria" w:cstheme="minorHAnsi"/>
          <w:bCs/>
          <w:color w:val="auto"/>
          <w:sz w:val="22"/>
          <w:szCs w:val="22"/>
        </w:rPr>
        <w:sym w:font="Symbol" w:char="F02D"/>
      </w:r>
      <w:r w:rsidRPr="009A0DA6">
        <w:rPr>
          <w:rFonts w:ascii="Cambria" w:hAnsi="Cambria" w:cstheme="minorHAnsi"/>
          <w:color w:val="auto"/>
          <w:sz w:val="22"/>
          <w:szCs w:val="22"/>
        </w:rPr>
        <w:t xml:space="preserve">23). However, it does not eliminate distinctions between </w:t>
      </w:r>
      <w:r w:rsidRPr="009A0DA6">
        <w:rPr>
          <w:rFonts w:ascii="Cambria" w:hAnsi="Cambria" w:cstheme="minorHAnsi"/>
          <w:color w:val="auto"/>
          <w:sz w:val="22"/>
          <w:szCs w:val="22"/>
        </w:rPr>
        <w:lastRenderedPageBreak/>
        <w:t>believers with regard to our earthly vocations that are ordered by God’s word (see for example the 4</w:t>
      </w:r>
      <w:r w:rsidRPr="009A0DA6">
        <w:rPr>
          <w:rFonts w:ascii="Cambria" w:hAnsi="Cambria" w:cstheme="minorHAnsi"/>
          <w:color w:val="auto"/>
          <w:sz w:val="22"/>
          <w:szCs w:val="22"/>
          <w:vertAlign w:val="superscript"/>
        </w:rPr>
        <w:t>th</w:t>
      </w:r>
      <w:r w:rsidRPr="009A0DA6">
        <w:rPr>
          <w:rFonts w:ascii="Cambria" w:hAnsi="Cambria" w:cstheme="minorHAnsi"/>
          <w:color w:val="auto"/>
          <w:sz w:val="22"/>
          <w:szCs w:val="22"/>
        </w:rPr>
        <w:t xml:space="preserve"> Commandment and the Table of Duties in the Lutheran Catechisms).</w:t>
      </w:r>
      <w:r w:rsidRPr="009A0DA6">
        <w:rPr>
          <w:rStyle w:val="FootnoteReference"/>
          <w:rFonts w:ascii="Cambria" w:eastAsiaTheme="majorEastAsia" w:hAnsi="Cambria" w:cstheme="minorHAnsi"/>
          <w:color w:val="auto"/>
          <w:sz w:val="22"/>
          <w:szCs w:val="22"/>
        </w:rPr>
        <w:footnoteReference w:id="24"/>
      </w:r>
      <w:r w:rsidRPr="009A0DA6">
        <w:rPr>
          <w:rFonts w:ascii="Cambria" w:hAnsi="Cambria" w:cstheme="minorHAnsi"/>
          <w:color w:val="auto"/>
          <w:sz w:val="22"/>
          <w:szCs w:val="22"/>
        </w:rPr>
        <w:t xml:space="preserve"> The Bible does not treat the office of the ministry as something that is open to all Christians by virtue of our common baptism, but as something to which Christ calls specific, duly qualified individuals (1 Tim 3:1–7; Tit 1:5–9). And one of the biblical qualifications is that these individuals must be men.</w:t>
      </w:r>
      <w:r w:rsidRPr="009A0DA6">
        <w:rPr>
          <w:rFonts w:ascii="Cambria" w:hAnsi="Cambria" w:cstheme="minorHAnsi"/>
          <w:color w:val="auto"/>
          <w:sz w:val="22"/>
          <w:szCs w:val="22"/>
        </w:rPr>
        <w:br/>
      </w:r>
    </w:p>
    <w:p w14:paraId="09D7BA11" w14:textId="77777777" w:rsidR="00930400" w:rsidRPr="009A0DA6" w:rsidRDefault="00930400" w:rsidP="00F55252">
      <w:pPr>
        <w:pStyle w:val="Default"/>
        <w:numPr>
          <w:ilvl w:val="0"/>
          <w:numId w:val="197"/>
        </w:numPr>
        <w:spacing w:before="120" w:after="120"/>
        <w:ind w:left="567" w:hanging="567"/>
        <w:contextualSpacing/>
        <w:rPr>
          <w:rFonts w:ascii="Cambria" w:hAnsi="Cambria" w:cstheme="minorHAnsi"/>
          <w:color w:val="auto"/>
          <w:sz w:val="22"/>
          <w:szCs w:val="22"/>
        </w:rPr>
      </w:pPr>
      <w:r w:rsidRPr="009A0DA6">
        <w:rPr>
          <w:rFonts w:ascii="Cambria" w:hAnsi="Cambria" w:cstheme="minorHAnsi"/>
          <w:color w:val="auto"/>
          <w:sz w:val="22"/>
          <w:szCs w:val="22"/>
        </w:rPr>
        <w:t xml:space="preserve">The New Testament’s teaching that only men can serve as pastors does not mean that only men can be involved in Christian ministry, as if laypeople are prohibited from sharing the Gospel or engaging in other forms of ministry. The examples we find in the New Testament of women who shared the Gospel (Mary Magdalene in </w:t>
      </w:r>
      <w:r w:rsidRPr="009A0DA6">
        <w:rPr>
          <w:rFonts w:ascii="Cambria" w:hAnsi="Cambria" w:cstheme="minorHAnsi"/>
          <w:color w:val="auto"/>
          <w:sz w:val="22"/>
          <w:szCs w:val="22"/>
        </w:rPr>
        <w:br/>
        <w:t>John 20:17</w:t>
      </w:r>
      <w:r w:rsidRPr="009A0DA6">
        <w:rPr>
          <w:rFonts w:ascii="Cambria" w:hAnsi="Cambria" w:cstheme="minorHAnsi"/>
          <w:bCs/>
          <w:color w:val="auto"/>
          <w:sz w:val="22"/>
          <w:szCs w:val="22"/>
        </w:rPr>
        <w:sym w:font="Symbol" w:char="F02D"/>
      </w:r>
      <w:r w:rsidRPr="009A0DA6">
        <w:rPr>
          <w:rFonts w:ascii="Cambria" w:hAnsi="Cambria" w:cstheme="minorHAnsi"/>
          <w:color w:val="auto"/>
          <w:sz w:val="22"/>
          <w:szCs w:val="22"/>
        </w:rPr>
        <w:t>18), prophesied (Philip’s daughters in Acts 21:9),</w:t>
      </w:r>
      <w:r w:rsidRPr="009A0DA6">
        <w:rPr>
          <w:rStyle w:val="FootnoteReference"/>
          <w:rFonts w:ascii="Cambria" w:eastAsiaTheme="majorEastAsia" w:hAnsi="Cambria" w:cstheme="minorHAnsi"/>
          <w:color w:val="auto"/>
          <w:sz w:val="22"/>
          <w:szCs w:val="22"/>
        </w:rPr>
        <w:footnoteReference w:id="25"/>
      </w:r>
      <w:r w:rsidRPr="009A0DA6">
        <w:rPr>
          <w:rFonts w:ascii="Cambria" w:hAnsi="Cambria" w:cstheme="minorHAnsi"/>
          <w:color w:val="auto"/>
          <w:sz w:val="22"/>
          <w:szCs w:val="22"/>
        </w:rPr>
        <w:t xml:space="preserve"> engaged in Christian service (Phoebe in Rom 16:1</w:t>
      </w:r>
      <w:r w:rsidRPr="009A0DA6">
        <w:rPr>
          <w:rFonts w:ascii="Cambria" w:hAnsi="Cambria" w:cstheme="minorHAnsi"/>
          <w:bCs/>
          <w:color w:val="auto"/>
          <w:sz w:val="22"/>
          <w:szCs w:val="22"/>
        </w:rPr>
        <w:sym w:font="Symbol" w:char="F02D"/>
      </w:r>
      <w:r w:rsidRPr="009A0DA6">
        <w:rPr>
          <w:rFonts w:ascii="Cambria" w:hAnsi="Cambria" w:cstheme="minorHAnsi"/>
          <w:color w:val="auto"/>
          <w:sz w:val="22"/>
          <w:szCs w:val="22"/>
        </w:rPr>
        <w:t>2), or taught God’s word outside of public worship (Priscilla in Acts 18:26), should encourage Christian women today to use their God-given gifts in the service of God’s kingdom. Yet these examples do not warrant the conclusion that women can be ordained, since it cannot be demonstrated that any women in the New Testament era served as pastors or in any equivalent role.</w:t>
      </w:r>
    </w:p>
    <w:p w14:paraId="3409E4FC" w14:textId="77777777" w:rsidR="00930400" w:rsidRPr="009A0DA6" w:rsidRDefault="00930400" w:rsidP="00930400">
      <w:pPr>
        <w:pStyle w:val="Default"/>
        <w:spacing w:before="120" w:after="120"/>
        <w:ind w:left="360"/>
        <w:contextualSpacing/>
        <w:rPr>
          <w:rFonts w:ascii="Cambria" w:hAnsi="Cambria" w:cstheme="minorHAnsi"/>
          <w:color w:val="auto"/>
          <w:sz w:val="22"/>
          <w:szCs w:val="22"/>
        </w:rPr>
      </w:pPr>
    </w:p>
    <w:p w14:paraId="7AA263F8" w14:textId="77777777" w:rsidR="00930400" w:rsidRPr="009A0DA6" w:rsidRDefault="00930400" w:rsidP="00930400">
      <w:pPr>
        <w:pStyle w:val="Default"/>
        <w:spacing w:before="120" w:after="120"/>
        <w:contextualSpacing/>
        <w:rPr>
          <w:rFonts w:ascii="Cambria" w:hAnsi="Cambria"/>
          <w:b/>
        </w:rPr>
      </w:pPr>
      <w:r w:rsidRPr="009A0DA6">
        <w:rPr>
          <w:rFonts w:ascii="Cambria" w:hAnsi="Cambria" w:cstheme="minorHAnsi"/>
          <w:b/>
          <w:bCs/>
          <w:iCs/>
          <w:color w:val="auto"/>
          <w:sz w:val="22"/>
          <w:szCs w:val="22"/>
        </w:rPr>
        <w:t>Prepared by the CTICR for the General Convention of Synod 2018</w:t>
      </w:r>
      <w:r w:rsidRPr="009A0DA6">
        <w:rPr>
          <w:rFonts w:ascii="Cambria" w:hAnsi="Cambria" w:cstheme="minorHAnsi"/>
          <w:b/>
          <w:bCs/>
          <w:iCs/>
          <w:color w:val="auto"/>
          <w:sz w:val="22"/>
          <w:szCs w:val="22"/>
        </w:rPr>
        <w:br/>
        <w:t xml:space="preserve">Finalised: 21 March 2018  </w:t>
      </w:r>
    </w:p>
    <w:p w14:paraId="42E22BC9" w14:textId="26B2DC25" w:rsidR="00930400" w:rsidRDefault="00930400" w:rsidP="00930400">
      <w:pPr>
        <w:pStyle w:val="NoSpacing"/>
      </w:pPr>
    </w:p>
    <w:p w14:paraId="36B440CC" w14:textId="3C26A548" w:rsidR="00DE6169" w:rsidRDefault="00DE6169" w:rsidP="00930400">
      <w:pPr>
        <w:pStyle w:val="NoSpacing"/>
      </w:pPr>
    </w:p>
    <w:p w14:paraId="319F8676" w14:textId="77777777" w:rsidR="00DE6169" w:rsidRPr="009A0DA6" w:rsidRDefault="00DE6169" w:rsidP="00930400">
      <w:pPr>
        <w:pStyle w:val="NoSpacing"/>
      </w:pPr>
    </w:p>
    <w:p w14:paraId="79B6A03F" w14:textId="77777777" w:rsidR="00930400" w:rsidRPr="009A0DA6" w:rsidRDefault="00930400" w:rsidP="00930400">
      <w:pPr>
        <w:pStyle w:val="Heading3"/>
      </w:pPr>
      <w:r w:rsidRPr="009A0DA6">
        <w:t>agenda 6.3</w:t>
      </w:r>
    </w:p>
    <w:p w14:paraId="6E2E961B" w14:textId="5B688CAC" w:rsidR="00930400" w:rsidRPr="009A0DA6" w:rsidRDefault="00250D17" w:rsidP="00930400">
      <w:pPr>
        <w:pStyle w:val="Heading2"/>
      </w:pPr>
      <w:bookmarkStart w:id="492" w:name="_Toc521954734"/>
      <w:r>
        <w:t xml:space="preserve">CTICR: </w:t>
      </w:r>
      <w:r w:rsidR="00930400" w:rsidRPr="009A0DA6">
        <w:t>A theological basis for why the ordination of women and men need not be Church divisive</w:t>
      </w:r>
      <w:bookmarkEnd w:id="492"/>
    </w:p>
    <w:p w14:paraId="0C418884" w14:textId="77777777" w:rsidR="00930400" w:rsidRPr="009A0DA6" w:rsidRDefault="00930400" w:rsidP="00930400">
      <w:pPr>
        <w:pStyle w:val="NoSpacing"/>
      </w:pPr>
    </w:p>
    <w:p w14:paraId="491EE96C" w14:textId="77777777" w:rsidR="00930400" w:rsidRPr="009A0DA6" w:rsidRDefault="00930400" w:rsidP="00930400">
      <w:pPr>
        <w:pStyle w:val="Heading3"/>
      </w:pPr>
      <w:r w:rsidRPr="009A0DA6">
        <w:t>Preface</w:t>
      </w:r>
    </w:p>
    <w:p w14:paraId="41EDBA49" w14:textId="77777777" w:rsidR="00930400" w:rsidRPr="009A0DA6" w:rsidRDefault="00930400" w:rsidP="00930400">
      <w:pPr>
        <w:pStyle w:val="NoSpacing"/>
        <w:spacing w:before="120" w:after="120"/>
        <w:contextualSpacing/>
      </w:pPr>
      <w:r w:rsidRPr="009A0DA6">
        <w:t>The 2015 General Convention of the LCA asked the CTICR to build on its earlier work regarding the ordination of women and men to develop a draft doctrinal statement for General Pastors Conference and the 19</w:t>
      </w:r>
      <w:r w:rsidRPr="009A0DA6">
        <w:rPr>
          <w:vertAlign w:val="superscript"/>
        </w:rPr>
        <w:t>th</w:t>
      </w:r>
      <w:r w:rsidRPr="009A0DA6">
        <w:t xml:space="preserve"> Convention of Synod that presents:</w:t>
      </w:r>
    </w:p>
    <w:p w14:paraId="58106B7E" w14:textId="77777777" w:rsidR="00930400" w:rsidRPr="009A0DA6" w:rsidRDefault="00930400" w:rsidP="00F55252">
      <w:pPr>
        <w:pStyle w:val="ListParagraph"/>
        <w:numPr>
          <w:ilvl w:val="0"/>
          <w:numId w:val="198"/>
        </w:numPr>
        <w:spacing w:before="120" w:after="120" w:line="240" w:lineRule="auto"/>
        <w:ind w:left="567" w:hanging="567"/>
        <w:rPr>
          <w:rFonts w:ascii="Cambria" w:hAnsi="Cambria"/>
        </w:rPr>
      </w:pPr>
      <w:r w:rsidRPr="009A0DA6">
        <w:rPr>
          <w:rFonts w:ascii="Cambria" w:hAnsi="Cambria"/>
        </w:rPr>
        <w:t>a theological basis for the ordination of women and men, and</w:t>
      </w:r>
    </w:p>
    <w:p w14:paraId="08F8ACF9" w14:textId="77777777" w:rsidR="00930400" w:rsidRPr="009A0DA6" w:rsidRDefault="00930400" w:rsidP="00F55252">
      <w:pPr>
        <w:pStyle w:val="ListParagraph"/>
        <w:numPr>
          <w:ilvl w:val="0"/>
          <w:numId w:val="198"/>
        </w:numPr>
        <w:spacing w:before="120" w:after="120" w:line="240" w:lineRule="auto"/>
        <w:ind w:left="567" w:hanging="567"/>
        <w:rPr>
          <w:rFonts w:ascii="Cambria" w:hAnsi="Cambria"/>
        </w:rPr>
      </w:pPr>
      <w:r w:rsidRPr="009A0DA6">
        <w:rPr>
          <w:rFonts w:ascii="Cambria" w:hAnsi="Cambria"/>
        </w:rPr>
        <w:t>a theological basis for why the ordination of women and men need not be Church divisive.</w:t>
      </w:r>
    </w:p>
    <w:p w14:paraId="47108B06" w14:textId="77777777" w:rsidR="00930400" w:rsidRPr="009A0DA6" w:rsidRDefault="00930400" w:rsidP="00930400">
      <w:pPr>
        <w:pStyle w:val="NoSpacing"/>
        <w:spacing w:before="120" w:after="120"/>
        <w:contextualSpacing/>
      </w:pPr>
      <w:r w:rsidRPr="009A0DA6">
        <w:t>The following statement presents a response to the second part of the synodical proposal. It is predicated upon the conclusions of the draft doctrinal statement which provides the theological basis for the ordination of both men and women, as set out above.</w:t>
      </w:r>
      <w:r w:rsidRPr="009A0DA6">
        <w:rPr>
          <w:rStyle w:val="FootnoteReference"/>
        </w:rPr>
        <w:footnoteReference w:id="26"/>
      </w:r>
      <w:r w:rsidRPr="009A0DA6">
        <w:t xml:space="preserve"> In the following statement, the word Church means the LCA, and the term ‘Church unity’ relates specifically to the unity of the LCA. </w:t>
      </w:r>
    </w:p>
    <w:p w14:paraId="60B2325B" w14:textId="77777777" w:rsidR="00930400" w:rsidRPr="009A0DA6" w:rsidRDefault="00930400" w:rsidP="00930400">
      <w:pPr>
        <w:pStyle w:val="Heading3"/>
        <w:pBdr>
          <w:bottom w:val="single" w:sz="4" w:space="1" w:color="auto"/>
        </w:pBdr>
      </w:pPr>
      <w:r w:rsidRPr="009A0DA6">
        <w:lastRenderedPageBreak/>
        <w:t xml:space="preserve">A theological basis for why the ordination of women and men need not be Church divisive </w:t>
      </w:r>
    </w:p>
    <w:p w14:paraId="2F42AA58" w14:textId="77777777" w:rsidR="00930400" w:rsidRPr="009A0DA6" w:rsidRDefault="00930400" w:rsidP="00930400">
      <w:pPr>
        <w:spacing w:before="120" w:after="120" w:line="240" w:lineRule="auto"/>
        <w:contextualSpacing/>
        <w:rPr>
          <w:rFonts w:ascii="Cambria" w:hAnsi="Cambria"/>
        </w:rPr>
      </w:pPr>
      <w:r w:rsidRPr="009A0DA6">
        <w:rPr>
          <w:rFonts w:ascii="Cambria" w:hAnsi="Cambria"/>
        </w:rPr>
        <w:t>The ordination of women and men need not be Church divisive, for the following reasons:</w:t>
      </w:r>
    </w:p>
    <w:p w14:paraId="2B8DD147" w14:textId="77777777" w:rsidR="00930400" w:rsidRPr="009A0DA6" w:rsidRDefault="00930400" w:rsidP="00F55252">
      <w:pPr>
        <w:pStyle w:val="NoSpacing"/>
        <w:numPr>
          <w:ilvl w:val="0"/>
          <w:numId w:val="199"/>
        </w:numPr>
        <w:spacing w:before="120" w:after="120"/>
        <w:ind w:left="567" w:hanging="567"/>
        <w:contextualSpacing/>
      </w:pPr>
      <w:r w:rsidRPr="009A0DA6">
        <w:t xml:space="preserve">St. Paul urges us to make ‘every effort to maintain the unity of the Spirit in the bond of peace’ (Eph 4:3). Therefore, the Church strives to avoid division. When disagreement arises, the Church is called to ‘bear with one another in love’, in a spirit of ‘humility and gentleness, with patience’ (Eph 4:2). </w:t>
      </w:r>
    </w:p>
    <w:p w14:paraId="7AA26C6D" w14:textId="77777777" w:rsidR="00930400" w:rsidRPr="009A0DA6" w:rsidRDefault="00930400" w:rsidP="00F55252">
      <w:pPr>
        <w:pStyle w:val="ListParagraph"/>
        <w:numPr>
          <w:ilvl w:val="0"/>
          <w:numId w:val="199"/>
        </w:numPr>
        <w:spacing w:before="120" w:after="120" w:line="240" w:lineRule="auto"/>
        <w:ind w:left="567" w:hanging="567"/>
        <w:rPr>
          <w:rFonts w:ascii="Cambria" w:hAnsi="Cambria"/>
        </w:rPr>
      </w:pPr>
      <w:r w:rsidRPr="009A0DA6">
        <w:rPr>
          <w:rFonts w:ascii="Cambria" w:hAnsi="Cambria"/>
        </w:rPr>
        <w:t>For more than 20 years the pastors and laity of the LCA have prayerfully examined the texts at the heart of the debate without reaching agreement on their interpretation and application. In such cases, the LCA’s Theses of Agreement state that ‘divergent views’ arising from ‘differences of interpretation are not divisive of church fellowship’, subject to certain provisos.</w:t>
      </w:r>
      <w:r w:rsidRPr="009A0DA6">
        <w:rPr>
          <w:rStyle w:val="FootnoteReference"/>
          <w:rFonts w:ascii="Cambria" w:hAnsi="Cambria"/>
        </w:rPr>
        <w:footnoteReference w:id="27"/>
      </w:r>
      <w:r w:rsidRPr="009A0DA6">
        <w:rPr>
          <w:rFonts w:ascii="Cambria" w:hAnsi="Cambria"/>
        </w:rPr>
        <w:t xml:space="preserve"> </w:t>
      </w:r>
      <w:r w:rsidRPr="009A0DA6">
        <w:rPr>
          <w:rFonts w:ascii="Cambria" w:hAnsi="Cambria"/>
        </w:rPr>
        <w:br/>
      </w:r>
    </w:p>
    <w:p w14:paraId="4426976B" w14:textId="77777777" w:rsidR="00930400" w:rsidRPr="009A0DA6" w:rsidRDefault="00930400" w:rsidP="00F55252">
      <w:pPr>
        <w:pStyle w:val="ListParagraph"/>
        <w:numPr>
          <w:ilvl w:val="0"/>
          <w:numId w:val="199"/>
        </w:numPr>
        <w:spacing w:before="120" w:after="120" w:line="240" w:lineRule="auto"/>
        <w:ind w:left="567" w:hanging="567"/>
        <w:rPr>
          <w:rFonts w:ascii="Cambria" w:hAnsi="Cambria"/>
        </w:rPr>
      </w:pPr>
      <w:r w:rsidRPr="009A0DA6">
        <w:rPr>
          <w:rFonts w:ascii="Cambria" w:hAnsi="Cambria"/>
        </w:rPr>
        <w:t>This is not the case, however, if the divergent views were to affect a foundational teaching of the Christian faith, such as the teaching of the Trinity, the person and work of Christ, or justification by grace through faith in Christ, as these teachings are articulated in the Book of Concord. Division may occur only</w:t>
      </w:r>
      <w:r w:rsidRPr="009A0DA6">
        <w:rPr>
          <w:rFonts w:ascii="Cambria" w:hAnsi="Cambria"/>
          <w:i/>
        </w:rPr>
        <w:t xml:space="preserve"> </w:t>
      </w:r>
      <w:r w:rsidRPr="009A0DA6">
        <w:rPr>
          <w:rFonts w:ascii="Cambria" w:hAnsi="Cambria"/>
        </w:rPr>
        <w:t xml:space="preserve">when teachings that contradict such foundational teachings are held and openly taught. But the ongoing disagreement about the interpretation and application of the two texts that have been at the centre of the LCA debate (1 Cor 14:33b–36; 1 Tim 2:11–15) is a matter of exegetical opinion, does not affect such a key Church teaching, and is therefore not Church divisive. </w:t>
      </w:r>
      <w:r w:rsidRPr="009A0DA6">
        <w:rPr>
          <w:rFonts w:ascii="Cambria" w:hAnsi="Cambria"/>
        </w:rPr>
        <w:br/>
      </w:r>
    </w:p>
    <w:p w14:paraId="178BCD99" w14:textId="77777777" w:rsidR="00930400" w:rsidRPr="009A0DA6" w:rsidRDefault="00930400" w:rsidP="00F55252">
      <w:pPr>
        <w:pStyle w:val="ListParagraph"/>
        <w:numPr>
          <w:ilvl w:val="0"/>
          <w:numId w:val="199"/>
        </w:numPr>
        <w:spacing w:before="120" w:after="120" w:line="240" w:lineRule="auto"/>
        <w:ind w:left="567" w:hanging="567"/>
        <w:rPr>
          <w:rFonts w:ascii="Cambria" w:hAnsi="Cambria"/>
        </w:rPr>
      </w:pPr>
      <w:r w:rsidRPr="009A0DA6">
        <w:rPr>
          <w:rFonts w:ascii="Cambria" w:hAnsi="Cambria"/>
        </w:rPr>
        <w:t>The Lutheran doctrine of the ministry, clearly spelt out in Augsburg Confession 5 and 14, contains nothing that excludes women from entering the ranks of the ministry. On the contrary, the Lutheran teaching on the ministry undergirds and reaffirms the central teaching of the Scriptures, that we are justified by God’s grace for Christ’s sake by faith alone, the very teaching by which the Church lives and breathes.</w:t>
      </w:r>
      <w:r w:rsidRPr="009A0DA6">
        <w:rPr>
          <w:rFonts w:ascii="Cambria" w:hAnsi="Cambria"/>
        </w:rPr>
        <w:br/>
      </w:r>
    </w:p>
    <w:p w14:paraId="695B255F" w14:textId="77777777" w:rsidR="00930400" w:rsidRPr="009A0DA6" w:rsidRDefault="00930400" w:rsidP="00F55252">
      <w:pPr>
        <w:pStyle w:val="ListParagraph"/>
        <w:numPr>
          <w:ilvl w:val="0"/>
          <w:numId w:val="199"/>
        </w:numPr>
        <w:spacing w:before="120" w:after="120" w:line="240" w:lineRule="auto"/>
        <w:ind w:left="567" w:hanging="567"/>
        <w:rPr>
          <w:rFonts w:ascii="Cambria" w:hAnsi="Cambria"/>
        </w:rPr>
      </w:pPr>
      <w:r w:rsidRPr="009A0DA6">
        <w:rPr>
          <w:rFonts w:ascii="Cambria" w:hAnsi="Cambria"/>
        </w:rPr>
        <w:t>The Theses of Agreement themselves make it clear that, as new issues and new questions arise, the Church has the liberty to examine its teachings afresh in the light of the Scriptures and the Confessions, ‘and accordingly confirm them, or amend or repudiate them when further study of God’s Word shows them to be inadequate or in error’.</w:t>
      </w:r>
      <w:r w:rsidRPr="009A0DA6">
        <w:rPr>
          <w:rStyle w:val="FootnoteReference"/>
          <w:rFonts w:ascii="Cambria" w:hAnsi="Cambria"/>
        </w:rPr>
        <w:footnoteReference w:id="28"/>
      </w:r>
      <w:r w:rsidRPr="009A0DA6">
        <w:rPr>
          <w:rFonts w:ascii="Cambria" w:hAnsi="Cambria"/>
        </w:rPr>
        <w:t xml:space="preserve"> </w:t>
      </w:r>
      <w:r w:rsidRPr="009A0DA6">
        <w:rPr>
          <w:rFonts w:ascii="Cambria" w:hAnsi="Cambria"/>
        </w:rPr>
        <w:br/>
      </w:r>
    </w:p>
    <w:p w14:paraId="68B58F97" w14:textId="77777777" w:rsidR="00930400" w:rsidRPr="009A0DA6" w:rsidRDefault="00930400" w:rsidP="00F55252">
      <w:pPr>
        <w:pStyle w:val="ListParagraph"/>
        <w:numPr>
          <w:ilvl w:val="0"/>
          <w:numId w:val="199"/>
        </w:numPr>
        <w:spacing w:before="120" w:after="120" w:line="240" w:lineRule="auto"/>
        <w:ind w:left="567" w:hanging="567"/>
        <w:rPr>
          <w:rFonts w:ascii="Cambria" w:hAnsi="Cambria"/>
        </w:rPr>
      </w:pPr>
      <w:r w:rsidRPr="009A0DA6">
        <w:rPr>
          <w:rFonts w:ascii="Cambria" w:hAnsi="Cambria"/>
        </w:rPr>
        <w:t>Pastors and lay members uphold the official teachings and practices of the LCA as a matter of good order and Church discipline, including those teachings with which they disagree. Their consciences are not bound to confess those teachings that they believe are at variance with the biblical witness.</w:t>
      </w:r>
      <w:r w:rsidRPr="009A0DA6">
        <w:rPr>
          <w:rFonts w:ascii="Cambria" w:hAnsi="Cambria"/>
        </w:rPr>
        <w:br/>
      </w:r>
    </w:p>
    <w:p w14:paraId="18528B25" w14:textId="77777777" w:rsidR="00930400" w:rsidRPr="009A0DA6" w:rsidRDefault="00930400" w:rsidP="00F55252">
      <w:pPr>
        <w:pStyle w:val="ListParagraph"/>
        <w:numPr>
          <w:ilvl w:val="0"/>
          <w:numId w:val="199"/>
        </w:numPr>
        <w:spacing w:before="120" w:after="120" w:line="240" w:lineRule="auto"/>
        <w:ind w:left="567" w:hanging="567"/>
        <w:rPr>
          <w:rFonts w:ascii="Cambria" w:hAnsi="Cambria"/>
        </w:rPr>
      </w:pPr>
      <w:r w:rsidRPr="009A0DA6">
        <w:rPr>
          <w:rFonts w:ascii="Cambria" w:hAnsi="Cambria"/>
        </w:rPr>
        <w:t xml:space="preserve"> </w:t>
      </w:r>
      <w:r w:rsidRPr="009A0DA6">
        <w:rPr>
          <w:rFonts w:ascii="Cambria" w:hAnsi="Cambria" w:cstheme="minorHAnsi"/>
        </w:rPr>
        <w:t xml:space="preserve">If the LCA were to ordain women and men, some in the Church may remain conscience bound to the teaching that ordination is for men only. This would have implications for Church polity and for people's reception of the means of grace within the worship life of the Church. These matters are at the very heart of the life of the Church. The Church has a responsibility to engage in the ongoing task of addressing this in such a way that the ministry of the gospel is not hindered, Christian love is </w:t>
      </w:r>
      <w:r w:rsidRPr="009A0DA6">
        <w:rPr>
          <w:rFonts w:ascii="Cambria" w:hAnsi="Cambria" w:cstheme="minorHAnsi"/>
        </w:rPr>
        <w:lastRenderedPageBreak/>
        <w:t>upheld, and every effort is made ‘to maintain the unity of the Sprit in the bond of peace’ (Eph. 4:3).</w:t>
      </w:r>
    </w:p>
    <w:p w14:paraId="31B0C483" w14:textId="77777777" w:rsidR="00930400" w:rsidRPr="009A0DA6" w:rsidRDefault="00930400" w:rsidP="00930400">
      <w:pPr>
        <w:pStyle w:val="ListParagraph"/>
        <w:spacing w:before="120" w:after="120" w:line="240" w:lineRule="auto"/>
        <w:ind w:left="360"/>
        <w:rPr>
          <w:rFonts w:ascii="Cambria" w:hAnsi="Cambria" w:cstheme="minorHAnsi"/>
        </w:rPr>
      </w:pPr>
    </w:p>
    <w:p w14:paraId="656FA6A9" w14:textId="77777777" w:rsidR="00930400" w:rsidRPr="009A0DA6" w:rsidRDefault="00930400" w:rsidP="00930400">
      <w:pPr>
        <w:spacing w:before="120" w:after="120" w:line="240" w:lineRule="auto"/>
        <w:rPr>
          <w:rFonts w:ascii="Cambria" w:hAnsi="Cambria"/>
          <w:b/>
        </w:rPr>
      </w:pPr>
      <w:r w:rsidRPr="009A0DA6">
        <w:rPr>
          <w:rFonts w:ascii="Cambria" w:hAnsi="Cambria"/>
          <w:b/>
        </w:rPr>
        <w:t>Prepared by the CTICR for the General Convention of Synod 2018</w:t>
      </w:r>
      <w:r w:rsidRPr="009A0DA6">
        <w:rPr>
          <w:rFonts w:ascii="Cambria" w:hAnsi="Cambria"/>
          <w:b/>
        </w:rPr>
        <w:br/>
        <w:t>Finalised: 13 February 2018</w:t>
      </w:r>
    </w:p>
    <w:p w14:paraId="07598FC5" w14:textId="77777777" w:rsidR="00930400" w:rsidRPr="009A0DA6" w:rsidRDefault="00930400" w:rsidP="00930400">
      <w:pPr>
        <w:spacing w:before="120" w:after="120" w:line="240" w:lineRule="auto"/>
        <w:rPr>
          <w:rFonts w:ascii="Cambria" w:hAnsi="Cambria"/>
          <w:b/>
        </w:rPr>
      </w:pPr>
    </w:p>
    <w:p w14:paraId="11ED1B09" w14:textId="4FF62566" w:rsidR="00930400" w:rsidRPr="009A0DA6" w:rsidRDefault="00930400" w:rsidP="00930400">
      <w:pPr>
        <w:pStyle w:val="Heading3"/>
      </w:pPr>
      <w:r w:rsidRPr="009A0DA6">
        <w:t>agenda 6.4</w:t>
      </w:r>
    </w:p>
    <w:p w14:paraId="5032F106" w14:textId="334B5BB4" w:rsidR="00930400" w:rsidRPr="009A0DA6" w:rsidRDefault="00250D17" w:rsidP="00930400">
      <w:pPr>
        <w:pStyle w:val="Heading2"/>
      </w:pPr>
      <w:bookmarkStart w:id="493" w:name="_Toc521954735"/>
      <w:r>
        <w:t xml:space="preserve">CTICR: </w:t>
      </w:r>
      <w:r w:rsidR="00930400" w:rsidRPr="009A0DA6">
        <w:t>Domestic Violence Taskforce report</w:t>
      </w:r>
      <w:bookmarkEnd w:id="493"/>
    </w:p>
    <w:p w14:paraId="4D555B54" w14:textId="77777777" w:rsidR="00930400" w:rsidRPr="009A0DA6" w:rsidRDefault="00930400" w:rsidP="00930400">
      <w:pPr>
        <w:pStyle w:val="NoSpacing"/>
      </w:pPr>
    </w:p>
    <w:p w14:paraId="5E9D91C9" w14:textId="77777777" w:rsidR="00930400" w:rsidRPr="009A0DA6" w:rsidRDefault="00930400" w:rsidP="00930400">
      <w:pPr>
        <w:spacing w:before="120" w:after="120" w:line="240" w:lineRule="auto"/>
        <w:contextualSpacing/>
        <w:rPr>
          <w:rFonts w:ascii="Cambria" w:hAnsi="Cambria"/>
          <w:b/>
          <w:bCs/>
        </w:rPr>
      </w:pPr>
      <w:r w:rsidRPr="009A0DA6">
        <w:rPr>
          <w:rFonts w:ascii="Cambria" w:hAnsi="Cambria"/>
          <w:bCs/>
        </w:rPr>
        <w:t>At the LCA General Synod held in 2015, the Church passed a resolution that the CTICR:</w:t>
      </w:r>
      <w:r w:rsidRPr="009A0DA6">
        <w:rPr>
          <w:rFonts w:ascii="Cambria" w:hAnsi="Cambria"/>
          <w:b/>
          <w:bCs/>
        </w:rPr>
        <w:t xml:space="preserve"> </w:t>
      </w:r>
      <w:r w:rsidRPr="009A0DA6">
        <w:rPr>
          <w:rFonts w:ascii="Cambria" w:hAnsi="Cambria"/>
          <w:bCs/>
        </w:rPr>
        <w:t>‘study the Lutheran theological and scriptural understanding of subordination and the role of male headship in marriage and the contextual implications for family violence’.</w:t>
      </w:r>
    </w:p>
    <w:p w14:paraId="5DEEB7EA" w14:textId="77777777" w:rsidR="00930400" w:rsidRPr="009A0DA6" w:rsidRDefault="00930400" w:rsidP="00930400">
      <w:pPr>
        <w:spacing w:before="120" w:after="120" w:line="240" w:lineRule="auto"/>
        <w:contextualSpacing/>
        <w:rPr>
          <w:rFonts w:ascii="Cambria" w:hAnsi="Cambria"/>
          <w:bCs/>
        </w:rPr>
      </w:pPr>
      <w:r w:rsidRPr="009A0DA6">
        <w:rPr>
          <w:rFonts w:ascii="Cambria" w:hAnsi="Cambria"/>
          <w:bCs/>
        </w:rPr>
        <w:t>The CTICR appointed a taskforce to take up this study. The taskforce was set up in March 2017. Since then the group has studied the matter, as laid out by the synod resolution and researched the biblical witness regarding male headship. It has looked at the LCA doctrinal statements in which this matter is addressed or mentioned, read and discussed theological research which presented diverse views and interpretations, and reviewed the available studies of domestic violence in Christian churches, and its possible links with the teaching and practice in the LCA regarding the nature of male headship in marriage and the family. The following report seeks to concisely and accurately summarise our findings.</w:t>
      </w:r>
    </w:p>
    <w:p w14:paraId="2A127B6E" w14:textId="77777777" w:rsidR="00930400" w:rsidRPr="009A0DA6" w:rsidRDefault="00930400" w:rsidP="00930400">
      <w:pPr>
        <w:spacing w:before="120" w:after="120" w:line="240" w:lineRule="auto"/>
        <w:contextualSpacing/>
        <w:rPr>
          <w:rFonts w:ascii="Cambria" w:hAnsi="Cambria"/>
          <w:b/>
        </w:rPr>
      </w:pPr>
    </w:p>
    <w:p w14:paraId="2215E243" w14:textId="77777777" w:rsidR="00930400" w:rsidRPr="009A0DA6" w:rsidRDefault="00930400" w:rsidP="00930400">
      <w:pPr>
        <w:pStyle w:val="Heading3"/>
      </w:pPr>
      <w:r w:rsidRPr="009A0DA6">
        <w:t>What theological and biblical understanding of subordination and male headship in marriage has traditionally operated in the LCA?</w:t>
      </w:r>
    </w:p>
    <w:p w14:paraId="3C95D9C4" w14:textId="77777777" w:rsidR="00930400" w:rsidRPr="009A0DA6" w:rsidRDefault="00930400" w:rsidP="00930400">
      <w:pPr>
        <w:spacing w:before="120" w:after="120" w:line="240" w:lineRule="auto"/>
        <w:contextualSpacing/>
        <w:rPr>
          <w:rFonts w:ascii="Cambria" w:hAnsi="Cambria"/>
          <w:iCs/>
        </w:rPr>
      </w:pPr>
      <w:r w:rsidRPr="009A0DA6">
        <w:rPr>
          <w:rFonts w:ascii="Cambria" w:hAnsi="Cambria"/>
        </w:rPr>
        <w:t xml:space="preserve">The LCA has never articulated a clear or consistent public teaching on </w:t>
      </w:r>
      <w:r w:rsidRPr="009A0DA6">
        <w:rPr>
          <w:rFonts w:ascii="Cambria" w:hAnsi="Cambria"/>
          <w:iCs/>
        </w:rPr>
        <w:t xml:space="preserve">the specific issue of male headship in marriage and the family. However, indications of theological assumptions about male headship in marriage at various points in our history are given in theological statements on related matters. </w:t>
      </w:r>
    </w:p>
    <w:p w14:paraId="5BCFFB3C" w14:textId="77777777" w:rsidR="00930400" w:rsidRPr="009A0DA6" w:rsidRDefault="00930400" w:rsidP="00930400">
      <w:pPr>
        <w:spacing w:before="120" w:after="120" w:line="240" w:lineRule="auto"/>
        <w:contextualSpacing/>
        <w:rPr>
          <w:rFonts w:ascii="Cambria" w:hAnsi="Cambria"/>
          <w:iCs/>
        </w:rPr>
      </w:pPr>
    </w:p>
    <w:p w14:paraId="54E60E21" w14:textId="77777777" w:rsidR="00930400" w:rsidRPr="009A0DA6" w:rsidRDefault="00930400" w:rsidP="00930400">
      <w:pPr>
        <w:spacing w:before="120" w:after="120" w:line="240" w:lineRule="auto"/>
        <w:contextualSpacing/>
        <w:rPr>
          <w:rFonts w:ascii="Cambria" w:hAnsi="Cambria"/>
          <w:iCs/>
        </w:rPr>
      </w:pPr>
      <w:r w:rsidRPr="009A0DA6">
        <w:rPr>
          <w:rFonts w:ascii="Cambria" w:hAnsi="Cambria"/>
          <w:iCs/>
        </w:rPr>
        <w:t>DSTO Statements from 1966</w:t>
      </w:r>
      <w:r w:rsidRPr="009A0DA6">
        <w:rPr>
          <w:rStyle w:val="FootnoteReference"/>
          <w:rFonts w:ascii="Cambria" w:hAnsi="Cambria"/>
          <w:iCs/>
        </w:rPr>
        <w:footnoteReference w:id="29"/>
      </w:r>
      <w:r w:rsidRPr="009A0DA6">
        <w:rPr>
          <w:rFonts w:ascii="Cambria" w:hAnsi="Cambria"/>
          <w:iCs/>
        </w:rPr>
        <w:t xml:space="preserve"> and 1978</w:t>
      </w:r>
      <w:r w:rsidRPr="009A0DA6">
        <w:rPr>
          <w:rStyle w:val="FootnoteReference"/>
          <w:rFonts w:ascii="Cambria" w:hAnsi="Cambria"/>
          <w:iCs/>
        </w:rPr>
        <w:footnoteReference w:id="30"/>
      </w:r>
      <w:r w:rsidRPr="009A0DA6">
        <w:rPr>
          <w:rFonts w:ascii="Cambria" w:hAnsi="Cambria"/>
          <w:iCs/>
        </w:rPr>
        <w:t xml:space="preserve"> assume that women hold a fundamentally subordinate position (the 1966 statement referring specifically to subordination within marriage). A statement from 1984</w:t>
      </w:r>
      <w:r w:rsidRPr="009A0DA6">
        <w:rPr>
          <w:rStyle w:val="FootnoteReference"/>
          <w:rFonts w:ascii="Cambria" w:hAnsi="Cambria"/>
          <w:iCs/>
        </w:rPr>
        <w:footnoteReference w:id="31"/>
      </w:r>
      <w:r w:rsidRPr="009A0DA6">
        <w:rPr>
          <w:rFonts w:ascii="Cambria" w:hAnsi="Cambria"/>
          <w:iCs/>
        </w:rPr>
        <w:t xml:space="preserve"> on the role of women in the church demonstrates the LCA was, at that time, opening up to greater involvement of women in the governance of the church. </w:t>
      </w:r>
    </w:p>
    <w:p w14:paraId="18B8DFF5" w14:textId="77777777" w:rsidR="00930400" w:rsidRPr="009A0DA6" w:rsidRDefault="00930400" w:rsidP="00930400">
      <w:pPr>
        <w:spacing w:before="120" w:after="120" w:line="240" w:lineRule="auto"/>
        <w:contextualSpacing/>
        <w:rPr>
          <w:rFonts w:ascii="Cambria" w:hAnsi="Cambria"/>
          <w:iCs/>
        </w:rPr>
      </w:pPr>
    </w:p>
    <w:p w14:paraId="077476ED" w14:textId="77777777" w:rsidR="00930400" w:rsidRPr="00DE6169" w:rsidRDefault="00930400" w:rsidP="00930400">
      <w:pPr>
        <w:spacing w:before="120" w:after="120" w:line="240" w:lineRule="auto"/>
        <w:contextualSpacing/>
        <w:rPr>
          <w:rFonts w:ascii="Cambria" w:hAnsi="Cambria"/>
          <w:sz w:val="18"/>
        </w:rPr>
      </w:pPr>
      <w:r w:rsidRPr="009A0DA6">
        <w:rPr>
          <w:rFonts w:ascii="Cambria" w:hAnsi="Cambria"/>
          <w:iCs/>
        </w:rPr>
        <w:t>The LCA’s approved rites for marriage have included the</w:t>
      </w:r>
      <w:r w:rsidRPr="009A0DA6">
        <w:rPr>
          <w:rFonts w:ascii="Cambria" w:hAnsi="Cambria"/>
        </w:rPr>
        <w:t xml:space="preserve"> use of Ephesians 5:21</w:t>
      </w:r>
      <w:r w:rsidRPr="009A0DA6">
        <w:rPr>
          <w:rFonts w:ascii="Cambria" w:hAnsi="Cambria"/>
        </w:rPr>
        <w:sym w:font="Symbol" w:char="F02D"/>
      </w:r>
      <w:r w:rsidRPr="009A0DA6">
        <w:rPr>
          <w:rFonts w:ascii="Cambria" w:hAnsi="Cambria"/>
        </w:rPr>
        <w:t>33 as a description of the relationship of men and women in Christian marriage. The passage refers to male headship in marriage, modelled on Christ’s servant-headship in giving himself up for the church. The current rite includes it as an optional part of the “Foundation and Purpose” section of the order.</w:t>
      </w:r>
      <w:r w:rsidRPr="009A0DA6">
        <w:rPr>
          <w:rStyle w:val="FootnoteReference"/>
          <w:rFonts w:ascii="Cambria" w:hAnsi="Cambria"/>
          <w:iCs/>
        </w:rPr>
        <w:footnoteReference w:id="32"/>
      </w:r>
      <w:r w:rsidRPr="009A0DA6">
        <w:rPr>
          <w:rFonts w:ascii="Cambria" w:hAnsi="Cambria"/>
        </w:rPr>
        <w:br/>
      </w:r>
    </w:p>
    <w:p w14:paraId="1A030910" w14:textId="77777777" w:rsidR="00930400" w:rsidRPr="009A0DA6" w:rsidRDefault="00930400" w:rsidP="00930400">
      <w:pPr>
        <w:pStyle w:val="Heading3"/>
      </w:pPr>
      <w:r w:rsidRPr="009A0DA6">
        <w:lastRenderedPageBreak/>
        <w:t>How is it understood today?</w:t>
      </w:r>
    </w:p>
    <w:p w14:paraId="017F6FAD" w14:textId="77777777" w:rsidR="00930400" w:rsidRPr="009A0DA6" w:rsidRDefault="00930400" w:rsidP="00930400">
      <w:pPr>
        <w:spacing w:before="120" w:after="120" w:line="240" w:lineRule="auto"/>
        <w:contextualSpacing/>
        <w:rPr>
          <w:rFonts w:ascii="Cambria" w:hAnsi="Cambria"/>
        </w:rPr>
      </w:pPr>
      <w:r w:rsidRPr="009A0DA6">
        <w:rPr>
          <w:rFonts w:ascii="Cambria" w:hAnsi="Cambria"/>
        </w:rPr>
        <w:t>In the wake of recent theological research and scholarship, changing social attitudes regarding the roles of men and women, and theological influences from a variety of sources, there is now a diverse range of views of this issue in the LCA. Though there are many different variations on similar positions, and differences of emphasis, they seem to fall into four basic ‘streams’.</w:t>
      </w:r>
      <w:r w:rsidRPr="009A0DA6">
        <w:rPr>
          <w:rFonts w:ascii="Cambria" w:hAnsi="Cambria"/>
        </w:rPr>
        <w:br/>
      </w:r>
    </w:p>
    <w:p w14:paraId="10EBF08E" w14:textId="77777777" w:rsidR="00930400" w:rsidRPr="009A0DA6" w:rsidRDefault="00930400" w:rsidP="00930400">
      <w:pPr>
        <w:spacing w:before="120" w:after="120" w:line="240" w:lineRule="auto"/>
        <w:contextualSpacing/>
        <w:rPr>
          <w:rFonts w:ascii="Cambria" w:hAnsi="Cambria"/>
          <w:iCs/>
        </w:rPr>
      </w:pPr>
      <w:r w:rsidRPr="009A0DA6">
        <w:rPr>
          <w:rFonts w:ascii="Cambria" w:hAnsi="Cambria"/>
          <w:iCs/>
        </w:rPr>
        <w:t xml:space="preserve">Some hold the view that any biblical teaching on subordination and male headship in marriage is either the result of faulty hermeneutics or is not binding on Christians today because the texts traditionally thought to support male headship (1 Cor 11:3 and Eph 5:23) arose from an inherently abusive patriarchal social system. </w:t>
      </w:r>
      <w:r w:rsidRPr="009A0DA6">
        <w:rPr>
          <w:rFonts w:ascii="Cambria" w:hAnsi="Cambria"/>
          <w:iCs/>
        </w:rPr>
        <w:br/>
      </w:r>
    </w:p>
    <w:p w14:paraId="46782D9C" w14:textId="77777777" w:rsidR="00930400" w:rsidRPr="009A0DA6" w:rsidRDefault="00930400" w:rsidP="00930400">
      <w:pPr>
        <w:spacing w:before="120" w:after="120" w:line="240" w:lineRule="auto"/>
        <w:contextualSpacing/>
        <w:rPr>
          <w:rFonts w:ascii="Cambria" w:hAnsi="Cambria"/>
          <w:iCs/>
        </w:rPr>
      </w:pPr>
      <w:r w:rsidRPr="009A0DA6">
        <w:rPr>
          <w:rFonts w:ascii="Cambria" w:hAnsi="Cambria"/>
          <w:iCs/>
        </w:rPr>
        <w:t xml:space="preserve">Another view is that the pattern of male headship instituted in the old covenant with Israel, in which women were subordinate to male headship in marriage (and more generally) has been superseded by a new covenant in which all such hierarchical notions of structure in the marriage relationship are abolished (Gal 3:28). </w:t>
      </w:r>
      <w:r w:rsidRPr="009A0DA6">
        <w:rPr>
          <w:rFonts w:ascii="Cambria" w:hAnsi="Cambria"/>
          <w:iCs/>
        </w:rPr>
        <w:br/>
      </w:r>
    </w:p>
    <w:p w14:paraId="0B7A9D98" w14:textId="77777777" w:rsidR="00930400" w:rsidRPr="009A0DA6" w:rsidRDefault="00930400" w:rsidP="00930400">
      <w:pPr>
        <w:spacing w:before="120" w:after="120" w:line="240" w:lineRule="auto"/>
        <w:contextualSpacing/>
        <w:rPr>
          <w:rFonts w:ascii="Cambria" w:hAnsi="Cambria"/>
          <w:iCs/>
        </w:rPr>
      </w:pPr>
      <w:r w:rsidRPr="009A0DA6">
        <w:rPr>
          <w:rFonts w:ascii="Cambria" w:hAnsi="Cambria"/>
          <w:iCs/>
        </w:rPr>
        <w:t>Others in the church today point to the continuing validity and authority of the New Testament texts on male headship in marriage (1 Cor 11:3 and Eph 5:23) to show that women are simply subordinate to men in marriage and should submit to the authority of their husbands in everything, since this is the divine order through which God has structured society, marriage and the family.</w:t>
      </w:r>
    </w:p>
    <w:p w14:paraId="79FC78D4" w14:textId="77777777" w:rsidR="00930400" w:rsidRPr="009A0DA6" w:rsidRDefault="00930400" w:rsidP="00930400">
      <w:pPr>
        <w:spacing w:before="120" w:after="120" w:line="240" w:lineRule="auto"/>
        <w:contextualSpacing/>
        <w:rPr>
          <w:rFonts w:ascii="Cambria" w:hAnsi="Cambria"/>
        </w:rPr>
      </w:pPr>
      <w:r w:rsidRPr="009A0DA6">
        <w:rPr>
          <w:rFonts w:ascii="Cambria" w:hAnsi="Cambria"/>
          <w:iCs/>
        </w:rPr>
        <w:br/>
        <w:t xml:space="preserve">Another widely held view, and the one on which our taskforce has found most consensus, is based on Eph 5:21-33. In this view, male headship is radically inverted so that its primacy is not one of power or control, but of humble, self-sacrificing service. In this model, the wife’s response is indeed to submit to her husband, just as he has first given himself up for her, as described in the opening statement to this passage on marriage in Ephesians 5 - ‘Submit to one another out of reverence for Christ’ (Eph 5:21). In this ‘mutual submission’ model (as it is sometimes called) the role of the husband is counter-culturally transformed, in line with Christ’s teaching about love of the neighbour in the ‘sermon on the mount’ (Matt 5-7). In this view of the husband and wife living together in mutual love and submission, the original created relationship is restored, radically changing the whole context of the discussion, moving it from the arena of controlling power to that of Christ-like love and service. It is founded on ‘mutual love’ rather than a mutual struggle for dominance. </w:t>
      </w:r>
    </w:p>
    <w:p w14:paraId="65B44816" w14:textId="77777777" w:rsidR="00930400" w:rsidRPr="009A0DA6" w:rsidRDefault="00930400" w:rsidP="00930400">
      <w:pPr>
        <w:spacing w:before="120" w:after="120" w:line="240" w:lineRule="auto"/>
        <w:contextualSpacing/>
        <w:rPr>
          <w:rFonts w:ascii="Cambria" w:hAnsi="Cambria"/>
          <w:b/>
          <w:bCs/>
        </w:rPr>
      </w:pPr>
    </w:p>
    <w:p w14:paraId="503E638F" w14:textId="77777777" w:rsidR="00930400" w:rsidRPr="009A0DA6" w:rsidRDefault="00930400" w:rsidP="00930400">
      <w:pPr>
        <w:pStyle w:val="Heading3"/>
        <w:rPr>
          <w:i/>
          <w:iCs/>
        </w:rPr>
      </w:pPr>
      <w:r w:rsidRPr="009A0DA6">
        <w:t xml:space="preserve">Have Lutheran theological understandings of subordination and male headship contributed to male violence against women in the church? </w:t>
      </w:r>
    </w:p>
    <w:p w14:paraId="047E508D" w14:textId="77777777" w:rsidR="00930400" w:rsidRPr="009A0DA6" w:rsidRDefault="00930400" w:rsidP="00930400">
      <w:pPr>
        <w:spacing w:before="120" w:after="120" w:line="240" w:lineRule="auto"/>
        <w:contextualSpacing/>
        <w:rPr>
          <w:rFonts w:ascii="Cambria" w:hAnsi="Cambria"/>
          <w:iCs/>
        </w:rPr>
      </w:pPr>
      <w:r w:rsidRPr="009A0DA6">
        <w:rPr>
          <w:rFonts w:ascii="Cambria" w:hAnsi="Cambria"/>
          <w:iCs/>
        </w:rPr>
        <w:t>We believe that no public theological statement or position of the LCA consciously condones or justifies violence against women.</w:t>
      </w:r>
      <w:r w:rsidRPr="009A0DA6">
        <w:rPr>
          <w:rStyle w:val="FootnoteReference"/>
          <w:rFonts w:ascii="Cambria" w:hAnsi="Cambria"/>
          <w:iCs/>
        </w:rPr>
        <w:footnoteReference w:id="33"/>
      </w:r>
      <w:r w:rsidRPr="009A0DA6">
        <w:rPr>
          <w:rFonts w:ascii="Cambria" w:hAnsi="Cambria"/>
          <w:iCs/>
        </w:rPr>
        <w:t xml:space="preserve"> However, some biblical passages and theological understandings have at times been distorted or debased in order to justify the domineering control and violent abuse of women. Part of the established pattern of behaviour common among violent male abusers is that they attempt to justify or legitimise their abusive behaviours by using some quasi-spiritual or quasi-biblical claim. </w:t>
      </w:r>
    </w:p>
    <w:p w14:paraId="7CE4DE67" w14:textId="77777777" w:rsidR="00930400" w:rsidRPr="009A0DA6" w:rsidRDefault="00930400" w:rsidP="00930400">
      <w:pPr>
        <w:pStyle w:val="NoSpacing"/>
        <w:spacing w:before="120" w:after="120"/>
        <w:contextualSpacing/>
      </w:pPr>
      <w:r w:rsidRPr="009A0DA6">
        <w:t xml:space="preserve">Domestic violence within churches has received considerable coverage in the past year (see, for instance the articles by Julia Baird and Hayley Gleeson on the churches and domestic violence, published by the ABC in 2017). It is evident that the rate of domestic violence within churches is similar to the rate found in wider society. Several studies have provided </w:t>
      </w:r>
      <w:r w:rsidRPr="009A0DA6">
        <w:lastRenderedPageBreak/>
        <w:t>evidence that religious language is used to justify violence in intimate relationships.</w:t>
      </w:r>
      <w:r w:rsidRPr="009A0DA6">
        <w:rPr>
          <w:rStyle w:val="FootnoteReference"/>
          <w:iCs/>
        </w:rPr>
        <w:footnoteReference w:id="34"/>
      </w:r>
      <w:r w:rsidRPr="009A0DA6">
        <w:t xml:space="preserve"> Clergy and church communities may perpetuate abusive behaviour by not challenging it and by not adequately supporting the victims of domestic violence.</w:t>
      </w:r>
      <w:r w:rsidRPr="009A0DA6">
        <w:rPr>
          <w:rStyle w:val="FootnoteReference"/>
          <w:iCs/>
        </w:rPr>
        <w:t xml:space="preserve"> </w:t>
      </w:r>
      <w:r w:rsidRPr="009A0DA6">
        <w:rPr>
          <w:rStyle w:val="FootnoteReference"/>
          <w:iCs/>
        </w:rPr>
        <w:footnoteReference w:id="35"/>
      </w:r>
      <w:r w:rsidRPr="009A0DA6">
        <w:t xml:space="preserve"> It must be acknowledged that there is a lack of research on domestic violence in churches, in Australia and elsewhere, which makes drawing further conclusions problematic. </w:t>
      </w:r>
    </w:p>
    <w:p w14:paraId="7335038F" w14:textId="77777777" w:rsidR="00930400" w:rsidRPr="009A0DA6" w:rsidRDefault="00930400" w:rsidP="00930400">
      <w:pPr>
        <w:pStyle w:val="Heading3"/>
      </w:pPr>
      <w:r w:rsidRPr="009A0DA6">
        <w:t>What are the key contextual questions and issues that arise from this?</w:t>
      </w:r>
    </w:p>
    <w:p w14:paraId="53D685C0" w14:textId="77777777" w:rsidR="00930400" w:rsidRPr="009A0DA6" w:rsidRDefault="00930400" w:rsidP="00930400">
      <w:pPr>
        <w:spacing w:before="120" w:after="120" w:line="240" w:lineRule="auto"/>
        <w:contextualSpacing/>
        <w:rPr>
          <w:rFonts w:ascii="Cambria" w:hAnsi="Cambria"/>
          <w:iCs/>
        </w:rPr>
      </w:pPr>
      <w:r w:rsidRPr="009A0DA6">
        <w:rPr>
          <w:rFonts w:ascii="Cambria" w:hAnsi="Cambria"/>
          <w:bCs/>
        </w:rPr>
        <w:t>We are aware of the work which is currently being done through the LCA’s Domestic Violence Working Group which has built on the thorough and thoughtful pastoral training programs in the past. However as we grappled with the contextual questions that flow on from our discussion of domestic violence, subordination and male headship, it became clear that there were questions and issues that the LCA needs to consider more deeply, in order to understand domestic violence and its impact, as well as provide appropriate pastoral and theological responses.</w:t>
      </w:r>
    </w:p>
    <w:p w14:paraId="67D5F9E1" w14:textId="77777777" w:rsidR="00930400" w:rsidRPr="009A0DA6" w:rsidRDefault="00930400" w:rsidP="00F55252">
      <w:pPr>
        <w:pStyle w:val="ListParagraph"/>
        <w:numPr>
          <w:ilvl w:val="2"/>
          <w:numId w:val="153"/>
        </w:numPr>
        <w:spacing w:before="120" w:after="120" w:line="240" w:lineRule="auto"/>
        <w:ind w:left="567" w:hanging="567"/>
        <w:rPr>
          <w:rFonts w:ascii="Cambria" w:hAnsi="Cambria"/>
          <w:i/>
          <w:iCs/>
        </w:rPr>
      </w:pPr>
      <w:r w:rsidRPr="009A0DA6">
        <w:rPr>
          <w:rFonts w:ascii="Cambria" w:hAnsi="Cambria"/>
          <w:b/>
          <w:iCs/>
        </w:rPr>
        <w:t>Domestic Violence, Marriage Separation and Divorce</w:t>
      </w:r>
    </w:p>
    <w:p w14:paraId="16E0127E" w14:textId="77777777" w:rsidR="00930400" w:rsidRPr="009A0DA6" w:rsidRDefault="00930400" w:rsidP="00930400">
      <w:pPr>
        <w:pStyle w:val="ListParagraph"/>
        <w:spacing w:before="120" w:after="120" w:line="240" w:lineRule="auto"/>
        <w:ind w:left="567"/>
        <w:rPr>
          <w:rFonts w:ascii="Cambria" w:hAnsi="Cambria"/>
          <w:iCs/>
        </w:rPr>
      </w:pPr>
      <w:r w:rsidRPr="009A0DA6">
        <w:rPr>
          <w:rFonts w:ascii="Cambria" w:hAnsi="Cambria"/>
          <w:iCs/>
        </w:rPr>
        <w:t>The LCA statement on Marriage and Divorce</w:t>
      </w:r>
      <w:r w:rsidRPr="009A0DA6">
        <w:rPr>
          <w:rStyle w:val="FootnoteReference"/>
          <w:rFonts w:ascii="Cambria" w:hAnsi="Cambria"/>
          <w:iCs/>
        </w:rPr>
        <w:footnoteReference w:id="36"/>
      </w:r>
      <w:r w:rsidRPr="009A0DA6">
        <w:rPr>
          <w:rFonts w:ascii="Cambria" w:hAnsi="Cambria"/>
          <w:iCs/>
        </w:rPr>
        <w:t xml:space="preserve"> makes it clear that divorce is possible in certain circumstances, but violence is not mentioned as one of those circumstances. A strong emphasis on marriage being for life, and ‘for better or for worse’ without mention that violence is one way in which those vows can be broken, may lead those experiencing violence into thinking that there is no alternative but to remain in that relationship. </w:t>
      </w:r>
      <w:r w:rsidRPr="009A0DA6">
        <w:rPr>
          <w:rFonts w:ascii="Cambria" w:hAnsi="Cambria"/>
          <w:iCs/>
        </w:rPr>
        <w:br/>
      </w:r>
      <w:r w:rsidRPr="009A0DA6">
        <w:rPr>
          <w:rFonts w:ascii="Cambria" w:hAnsi="Cambria"/>
          <w:iCs/>
        </w:rPr>
        <w:br/>
        <w:t>For couples who are experiencing domestic violence, we need to make sure that the pastoral care provided is appropriate and keeps the safety of all parties central. The LCA would benefit from the introduction of domestic violence training for pastoral workers, which includes an understanding of the cycle of violence, the need for appropriate pastoral responses and specialist referrals.</w:t>
      </w:r>
      <w:r w:rsidRPr="009A0DA6">
        <w:rPr>
          <w:rFonts w:ascii="Cambria" w:hAnsi="Cambria"/>
          <w:iCs/>
        </w:rPr>
        <w:br/>
      </w:r>
    </w:p>
    <w:p w14:paraId="2D3238E0" w14:textId="77777777" w:rsidR="00930400" w:rsidRPr="009A0DA6" w:rsidRDefault="00930400" w:rsidP="00F55252">
      <w:pPr>
        <w:pStyle w:val="ListParagraph"/>
        <w:numPr>
          <w:ilvl w:val="2"/>
          <w:numId w:val="153"/>
        </w:numPr>
        <w:spacing w:after="0" w:line="240" w:lineRule="auto"/>
        <w:ind w:left="567" w:hanging="567"/>
        <w:rPr>
          <w:rFonts w:ascii="Cambria" w:hAnsi="Cambria"/>
          <w:iCs/>
        </w:rPr>
      </w:pPr>
      <w:r w:rsidRPr="009A0DA6">
        <w:rPr>
          <w:rFonts w:ascii="Cambria" w:hAnsi="Cambria"/>
          <w:b/>
          <w:iCs/>
        </w:rPr>
        <w:t>Repentance and Forgiveness</w:t>
      </w:r>
      <w:r w:rsidRPr="009A0DA6">
        <w:rPr>
          <w:rFonts w:ascii="Cambria" w:hAnsi="Cambria"/>
          <w:iCs/>
        </w:rPr>
        <w:t xml:space="preserve">               </w:t>
      </w:r>
    </w:p>
    <w:p w14:paraId="7ABCBFB0" w14:textId="77777777" w:rsidR="00930400" w:rsidRPr="009A0DA6" w:rsidRDefault="00930400" w:rsidP="00930400">
      <w:pPr>
        <w:spacing w:after="0" w:line="240" w:lineRule="auto"/>
        <w:ind w:left="567"/>
        <w:contextualSpacing/>
        <w:rPr>
          <w:rFonts w:ascii="Cambria" w:hAnsi="Cambria"/>
          <w:iCs/>
        </w:rPr>
      </w:pPr>
      <w:r w:rsidRPr="009A0DA6">
        <w:rPr>
          <w:rFonts w:ascii="Cambria" w:hAnsi="Cambria"/>
          <w:iCs/>
        </w:rPr>
        <w:t xml:space="preserve">We also recommend that there be further study of the role of repentance and forgiveness in the context of violence in relationships. </w:t>
      </w:r>
      <w:r w:rsidRPr="009A0DA6">
        <w:rPr>
          <w:rFonts w:ascii="Cambria" w:hAnsi="Cambria"/>
          <w:iCs/>
        </w:rPr>
        <w:br/>
      </w:r>
    </w:p>
    <w:p w14:paraId="3612CCBB" w14:textId="77777777" w:rsidR="00930400" w:rsidRPr="009A0DA6" w:rsidRDefault="00930400" w:rsidP="00930400">
      <w:pPr>
        <w:spacing w:before="120" w:after="120" w:line="240" w:lineRule="auto"/>
        <w:ind w:left="567"/>
        <w:contextualSpacing/>
        <w:rPr>
          <w:rFonts w:ascii="Cambria" w:hAnsi="Cambria"/>
          <w:iCs/>
        </w:rPr>
      </w:pPr>
      <w:r w:rsidRPr="009A0DA6">
        <w:rPr>
          <w:rFonts w:ascii="Cambria" w:hAnsi="Cambria"/>
          <w:iCs/>
        </w:rPr>
        <w:t xml:space="preserve">It is not appropriate to advise those who are being abused to forgive and return to the violence. </w:t>
      </w:r>
      <w:r w:rsidRPr="009A0DA6">
        <w:rPr>
          <w:rFonts w:ascii="Cambria" w:hAnsi="Cambria"/>
          <w:iCs/>
        </w:rPr>
        <w:br/>
      </w:r>
    </w:p>
    <w:p w14:paraId="0A44FD46" w14:textId="77777777" w:rsidR="00930400" w:rsidRPr="009A0DA6" w:rsidRDefault="00930400" w:rsidP="00930400">
      <w:pPr>
        <w:spacing w:before="120" w:after="120" w:line="240" w:lineRule="auto"/>
        <w:ind w:left="567"/>
        <w:contextualSpacing/>
        <w:rPr>
          <w:rFonts w:ascii="Cambria" w:hAnsi="Cambria"/>
          <w:iCs/>
        </w:rPr>
      </w:pPr>
      <w:r w:rsidRPr="009A0DA6">
        <w:rPr>
          <w:rFonts w:ascii="Cambria" w:hAnsi="Cambria"/>
          <w:iCs/>
        </w:rPr>
        <w:t>The cycle of violence means that the abuser often seems repentant and remorseful but          repeats the abusive cycle, once the relationship resumes.</w:t>
      </w:r>
    </w:p>
    <w:p w14:paraId="13B52A05" w14:textId="77777777" w:rsidR="00930400" w:rsidRPr="009A0DA6" w:rsidRDefault="00930400" w:rsidP="00F55252">
      <w:pPr>
        <w:pStyle w:val="ListParagraph"/>
        <w:numPr>
          <w:ilvl w:val="2"/>
          <w:numId w:val="153"/>
        </w:numPr>
        <w:spacing w:before="120" w:after="120" w:line="240" w:lineRule="auto"/>
        <w:ind w:left="567" w:hanging="567"/>
        <w:rPr>
          <w:rFonts w:ascii="Cambria" w:hAnsi="Cambria"/>
          <w:b/>
          <w:iCs/>
        </w:rPr>
      </w:pPr>
      <w:r w:rsidRPr="009A0DA6">
        <w:rPr>
          <w:rFonts w:ascii="Cambria" w:hAnsi="Cambria"/>
          <w:b/>
          <w:iCs/>
        </w:rPr>
        <w:t>Systemic issues</w:t>
      </w:r>
    </w:p>
    <w:p w14:paraId="2819AF26" w14:textId="77777777" w:rsidR="00930400" w:rsidRPr="009A0DA6" w:rsidRDefault="00930400" w:rsidP="00930400">
      <w:pPr>
        <w:pStyle w:val="ListParagraph"/>
        <w:spacing w:before="120" w:after="120" w:line="240" w:lineRule="auto"/>
        <w:ind w:left="567"/>
        <w:rPr>
          <w:rFonts w:ascii="Cambria" w:hAnsi="Cambria"/>
          <w:iCs/>
        </w:rPr>
      </w:pPr>
      <w:r w:rsidRPr="009A0DA6">
        <w:rPr>
          <w:rFonts w:ascii="Cambria" w:hAnsi="Cambria"/>
          <w:iCs/>
        </w:rPr>
        <w:t xml:space="preserve">There are a number of questions which emerge as we consider what public teachings and practice may best serve the LCA as we face the problem of family domestic violence. </w:t>
      </w:r>
    </w:p>
    <w:p w14:paraId="7C611A85" w14:textId="77777777" w:rsidR="00930400" w:rsidRPr="009A0DA6" w:rsidRDefault="00930400" w:rsidP="00930400">
      <w:pPr>
        <w:spacing w:before="120" w:after="120" w:line="240" w:lineRule="auto"/>
        <w:ind w:left="567"/>
        <w:contextualSpacing/>
        <w:rPr>
          <w:rFonts w:ascii="Cambria" w:hAnsi="Cambria"/>
          <w:iCs/>
        </w:rPr>
      </w:pPr>
      <w:r w:rsidRPr="009A0DA6">
        <w:rPr>
          <w:rFonts w:ascii="Cambria" w:hAnsi="Cambria"/>
          <w:iCs/>
        </w:rPr>
        <w:t xml:space="preserve">As noted above, the LCA has no public statement on the relationship of husband and wife in marriage, and we would observe that there has been a lack of clear biblical teaching on it over the years. This has left something of a ‘vacuum’ which has, at times, been filled by inadequate or misleading theology and practice. We recognise that the Bishop of the LCA has spoken out strongly against domestic violence, saying that it </w:t>
      </w:r>
      <w:r w:rsidRPr="009A0DA6">
        <w:rPr>
          <w:rFonts w:ascii="Cambria" w:hAnsi="Cambria"/>
          <w:iCs/>
        </w:rPr>
        <w:lastRenderedPageBreak/>
        <w:t>should never be supported by Christian teachings.</w:t>
      </w:r>
      <w:r w:rsidRPr="009A0DA6">
        <w:rPr>
          <w:rStyle w:val="FootnoteReference"/>
          <w:rFonts w:ascii="Cambria" w:hAnsi="Cambria"/>
          <w:iCs/>
        </w:rPr>
        <w:footnoteReference w:id="37"/>
      </w:r>
      <w:r w:rsidRPr="009A0DA6">
        <w:rPr>
          <w:rFonts w:ascii="Cambria" w:hAnsi="Cambria"/>
          <w:iCs/>
        </w:rPr>
        <w:t xml:space="preserve"> Is more needed, however? Would the LCA benefit from a clear theological and pastoral statement renouncing violence in the home and being clear about the servant nature of male headship in marriage?</w:t>
      </w:r>
      <w:r w:rsidRPr="009A0DA6">
        <w:rPr>
          <w:rFonts w:ascii="Cambria" w:hAnsi="Cambria"/>
          <w:iCs/>
        </w:rPr>
        <w:br/>
      </w:r>
    </w:p>
    <w:p w14:paraId="344358BA" w14:textId="77777777" w:rsidR="00930400" w:rsidRPr="009A0DA6" w:rsidRDefault="00930400" w:rsidP="00930400">
      <w:pPr>
        <w:spacing w:before="120" w:after="120" w:line="240" w:lineRule="auto"/>
        <w:ind w:left="567"/>
        <w:contextualSpacing/>
        <w:rPr>
          <w:rFonts w:ascii="Cambria" w:hAnsi="Cambria"/>
          <w:iCs/>
        </w:rPr>
      </w:pPr>
      <w:r w:rsidRPr="009A0DA6">
        <w:rPr>
          <w:rFonts w:ascii="Cambria" w:hAnsi="Cambria"/>
          <w:iCs/>
        </w:rPr>
        <w:t>In what ways might our churches systemically, though unintentionally, cooperate with abusive persons, helping them to justify and perpetuate their abuse?</w:t>
      </w:r>
      <w:r w:rsidRPr="009A0DA6">
        <w:rPr>
          <w:rFonts w:ascii="Cambria" w:hAnsi="Cambria"/>
          <w:iCs/>
        </w:rPr>
        <w:br/>
      </w:r>
    </w:p>
    <w:p w14:paraId="16AFAD84" w14:textId="77777777" w:rsidR="00930400" w:rsidRPr="009A0DA6" w:rsidRDefault="00930400" w:rsidP="00930400">
      <w:pPr>
        <w:spacing w:before="120" w:after="120" w:line="240" w:lineRule="auto"/>
        <w:ind w:left="567"/>
        <w:contextualSpacing/>
        <w:rPr>
          <w:rFonts w:ascii="Cambria" w:hAnsi="Cambria"/>
        </w:rPr>
      </w:pPr>
      <w:r w:rsidRPr="009A0DA6">
        <w:rPr>
          <w:rFonts w:ascii="Cambria" w:hAnsi="Cambria"/>
        </w:rPr>
        <w:t xml:space="preserve">Is it possible that an all-male clergy may in some way contribute to the conditions that allow domestic violence to continue? For instance, through lack of experience or awareness, could male clergy fail to take domestic violence seriously, or be manipulated or trapped into colluding with male perpetrators? Is it more difficult for women to disclose domestic violence to their pastor because he is male? </w:t>
      </w:r>
      <w:r w:rsidRPr="009A0DA6">
        <w:rPr>
          <w:rFonts w:ascii="Cambria" w:hAnsi="Cambria"/>
        </w:rPr>
        <w:br/>
      </w:r>
    </w:p>
    <w:p w14:paraId="6CA0618A" w14:textId="77777777" w:rsidR="00930400" w:rsidRPr="009A0DA6" w:rsidRDefault="00930400" w:rsidP="00930400">
      <w:pPr>
        <w:spacing w:before="120" w:after="120" w:line="240" w:lineRule="auto"/>
        <w:ind w:left="567"/>
        <w:contextualSpacing/>
        <w:rPr>
          <w:rFonts w:ascii="Cambria" w:hAnsi="Cambria"/>
        </w:rPr>
      </w:pPr>
      <w:r w:rsidRPr="009A0DA6">
        <w:rPr>
          <w:rFonts w:ascii="Cambria" w:hAnsi="Cambria"/>
        </w:rPr>
        <w:t xml:space="preserve">These and other contextual questions regarding the dynamics of relationships in the church around domestic violence continue to challenge us in the LCA. </w:t>
      </w:r>
    </w:p>
    <w:p w14:paraId="5FCADB00" w14:textId="77777777" w:rsidR="00930400" w:rsidRPr="009A0DA6" w:rsidRDefault="00930400" w:rsidP="00930400">
      <w:pPr>
        <w:spacing w:before="120" w:after="120" w:line="240" w:lineRule="auto"/>
        <w:contextualSpacing/>
        <w:rPr>
          <w:rFonts w:ascii="Cambria" w:hAnsi="Cambria"/>
          <w:b/>
          <w:iCs/>
          <w:sz w:val="8"/>
        </w:rPr>
      </w:pPr>
    </w:p>
    <w:p w14:paraId="04407030" w14:textId="77777777" w:rsidR="00930400" w:rsidRPr="009A0DA6" w:rsidRDefault="00930400" w:rsidP="00930400">
      <w:pPr>
        <w:pStyle w:val="Heading3"/>
      </w:pPr>
      <w:r w:rsidRPr="009A0DA6">
        <w:t>Closing statement</w:t>
      </w:r>
    </w:p>
    <w:p w14:paraId="371C851B" w14:textId="77777777" w:rsidR="00930400" w:rsidRPr="009A0DA6" w:rsidRDefault="00930400" w:rsidP="00930400">
      <w:pPr>
        <w:spacing w:before="120" w:after="120" w:line="240" w:lineRule="auto"/>
        <w:contextualSpacing/>
        <w:rPr>
          <w:rFonts w:ascii="Cambria" w:hAnsi="Cambria"/>
          <w:iCs/>
        </w:rPr>
      </w:pPr>
      <w:r w:rsidRPr="009A0DA6">
        <w:rPr>
          <w:rFonts w:ascii="Cambria" w:hAnsi="Cambria"/>
          <w:iCs/>
        </w:rPr>
        <w:t xml:space="preserve">The taskforce has addressed the matters assigned to us by the synod resolution. In the course of grappling with this task, we have researched and reflected extensively. The distinct and differing theological views represented among the taskforce members have created some challenges for us, but have also sharpened the discussion at key points, enabling us to test the issues with greater focus and precision. </w:t>
      </w:r>
    </w:p>
    <w:p w14:paraId="5C2B21F7" w14:textId="77777777" w:rsidR="00930400" w:rsidRPr="009A0DA6" w:rsidRDefault="00930400" w:rsidP="00930400">
      <w:pPr>
        <w:spacing w:before="120" w:after="120" w:line="240" w:lineRule="auto"/>
        <w:contextualSpacing/>
        <w:rPr>
          <w:rFonts w:ascii="Cambria" w:hAnsi="Cambria"/>
          <w:iCs/>
        </w:rPr>
      </w:pPr>
      <w:r w:rsidRPr="009A0DA6">
        <w:rPr>
          <w:rFonts w:ascii="Cambria" w:hAnsi="Cambria"/>
          <w:iCs/>
        </w:rPr>
        <w:br/>
        <w:t xml:space="preserve">We are, however, united in the one over-riding conclusion that the LCA’s public teaching and practice should clearly repudiate and renounce any attempt to justify male violence of any kind in the marriage and family by appealing to male headship of husbands over wives as a Christian teaching. </w:t>
      </w:r>
    </w:p>
    <w:p w14:paraId="7DC2F3AB" w14:textId="77777777" w:rsidR="00930400" w:rsidRPr="009A0DA6" w:rsidRDefault="00930400" w:rsidP="00930400">
      <w:pPr>
        <w:spacing w:before="120" w:after="120" w:line="240" w:lineRule="auto"/>
        <w:contextualSpacing/>
        <w:rPr>
          <w:rFonts w:ascii="Cambria" w:hAnsi="Cambria"/>
          <w:iCs/>
        </w:rPr>
      </w:pPr>
      <w:r w:rsidRPr="009A0DA6">
        <w:rPr>
          <w:rFonts w:ascii="Cambria" w:hAnsi="Cambria"/>
          <w:iCs/>
        </w:rPr>
        <w:br/>
        <w:t xml:space="preserve">The Church’s teaching needs to centre on the mutual love and service of husband and wife in the home, as the pattern of relationship which reflects the self-giving love of Jesus Christ. </w:t>
      </w:r>
    </w:p>
    <w:p w14:paraId="3B0AD963" w14:textId="77777777" w:rsidR="00930400" w:rsidRPr="009A0DA6" w:rsidRDefault="00930400" w:rsidP="00930400">
      <w:pPr>
        <w:spacing w:before="120" w:after="120" w:line="240" w:lineRule="auto"/>
        <w:contextualSpacing/>
        <w:rPr>
          <w:rFonts w:ascii="Cambria" w:hAnsi="Cambria"/>
          <w:iCs/>
        </w:rPr>
      </w:pPr>
      <w:r w:rsidRPr="009A0DA6">
        <w:rPr>
          <w:rFonts w:ascii="Cambria" w:hAnsi="Cambria"/>
          <w:iCs/>
        </w:rPr>
        <w:t xml:space="preserve">We commend to the Church the concerns and contextual implications which arose as we considered the matter, as issues for further research and consideration. </w:t>
      </w:r>
    </w:p>
    <w:p w14:paraId="2A4284F5" w14:textId="77777777" w:rsidR="00930400" w:rsidRPr="009A0DA6" w:rsidRDefault="00930400" w:rsidP="00930400">
      <w:pPr>
        <w:spacing w:before="120" w:after="120" w:line="240" w:lineRule="auto"/>
        <w:contextualSpacing/>
        <w:rPr>
          <w:rFonts w:ascii="Cambria" w:hAnsi="Cambria"/>
          <w:iCs/>
        </w:rPr>
      </w:pPr>
    </w:p>
    <w:p w14:paraId="54F36440" w14:textId="77777777" w:rsidR="00930400" w:rsidRPr="009A0DA6" w:rsidRDefault="00930400" w:rsidP="00930400">
      <w:pPr>
        <w:spacing w:before="120" w:after="120" w:line="240" w:lineRule="auto"/>
        <w:contextualSpacing/>
        <w:rPr>
          <w:rFonts w:ascii="Cambria" w:hAnsi="Cambria"/>
          <w:b/>
          <w:iCs/>
        </w:rPr>
      </w:pPr>
      <w:r w:rsidRPr="009A0DA6">
        <w:rPr>
          <w:rFonts w:ascii="Cambria" w:hAnsi="Cambria"/>
          <w:b/>
          <w:iCs/>
        </w:rPr>
        <w:t xml:space="preserve">Submitted March 16, 2018: </w:t>
      </w:r>
    </w:p>
    <w:p w14:paraId="1859BC66" w14:textId="77777777" w:rsidR="00930400" w:rsidRPr="009A0DA6" w:rsidRDefault="00930400" w:rsidP="00930400">
      <w:pPr>
        <w:spacing w:before="120" w:after="120" w:line="240" w:lineRule="auto"/>
        <w:contextualSpacing/>
        <w:rPr>
          <w:rFonts w:ascii="Cambria" w:hAnsi="Cambria"/>
          <w:b/>
          <w:iCs/>
        </w:rPr>
      </w:pPr>
      <w:r w:rsidRPr="009A0DA6">
        <w:rPr>
          <w:rFonts w:ascii="Cambria" w:hAnsi="Cambria"/>
          <w:b/>
          <w:iCs/>
        </w:rPr>
        <w:t>CTICR Taskforce on Domestic Violence:</w:t>
      </w:r>
    </w:p>
    <w:p w14:paraId="459D6407" w14:textId="77777777" w:rsidR="00930400" w:rsidRPr="009A0DA6" w:rsidRDefault="00930400" w:rsidP="00930400">
      <w:pPr>
        <w:spacing w:before="120" w:after="120" w:line="240" w:lineRule="auto"/>
        <w:contextualSpacing/>
        <w:rPr>
          <w:rFonts w:ascii="Cambria" w:hAnsi="Cambria"/>
          <w:b/>
          <w:iCs/>
        </w:rPr>
      </w:pPr>
      <w:r w:rsidRPr="009A0DA6">
        <w:rPr>
          <w:rFonts w:ascii="Cambria" w:hAnsi="Cambria"/>
          <w:b/>
          <w:iCs/>
        </w:rPr>
        <w:t>Ian Rentsch, Vanessa Kohrt, Tanya Wittwer, Stephen Pietsch (Chair), Helen Lockwood, Stephen Hultgren</w:t>
      </w:r>
    </w:p>
    <w:p w14:paraId="42134B9E" w14:textId="77777777" w:rsidR="00930400" w:rsidRPr="009A0DA6" w:rsidRDefault="00930400" w:rsidP="00930400">
      <w:pPr>
        <w:spacing w:before="120" w:after="120" w:line="240" w:lineRule="auto"/>
        <w:contextualSpacing/>
        <w:rPr>
          <w:rFonts w:ascii="Cambria" w:hAnsi="Cambria"/>
          <w:b/>
        </w:rPr>
      </w:pPr>
      <w:r w:rsidRPr="009A0DA6">
        <w:rPr>
          <w:rFonts w:ascii="Cambria" w:hAnsi="Cambria"/>
          <w:b/>
        </w:rPr>
        <w:t xml:space="preserve">Received by the CTICR 21 March 2018 </w:t>
      </w:r>
    </w:p>
    <w:p w14:paraId="4DA6E876" w14:textId="3D0A953F" w:rsidR="00930400" w:rsidRDefault="00930400" w:rsidP="00964A90">
      <w:pPr>
        <w:pStyle w:val="Heading3"/>
        <w:rPr>
          <w:highlight w:val="red"/>
        </w:rPr>
      </w:pPr>
    </w:p>
    <w:p w14:paraId="5A0C564C" w14:textId="77777777" w:rsidR="00DE6169" w:rsidRPr="00DE6169" w:rsidRDefault="00DE6169" w:rsidP="00DE6169">
      <w:pPr>
        <w:pStyle w:val="NoSpacing"/>
        <w:rPr>
          <w:highlight w:val="red"/>
        </w:rPr>
      </w:pPr>
    </w:p>
    <w:p w14:paraId="04392730" w14:textId="77777777" w:rsidR="00DE6169" w:rsidRDefault="00DE6169">
      <w:pPr>
        <w:rPr>
          <w:rFonts w:ascii="Cambria" w:eastAsiaTheme="majorEastAsia" w:hAnsi="Cambria" w:cstheme="majorBidi"/>
          <w:b/>
          <w:caps/>
          <w:sz w:val="28"/>
          <w:szCs w:val="24"/>
        </w:rPr>
      </w:pPr>
      <w:r>
        <w:br w:type="page"/>
      </w:r>
    </w:p>
    <w:p w14:paraId="79AAD238" w14:textId="2657753B" w:rsidR="00930400" w:rsidRPr="009A0DA6" w:rsidRDefault="00930400" w:rsidP="00930400">
      <w:pPr>
        <w:pStyle w:val="Heading3"/>
      </w:pPr>
      <w:r w:rsidRPr="009A0DA6">
        <w:lastRenderedPageBreak/>
        <w:t>agenda 7.1</w:t>
      </w:r>
    </w:p>
    <w:p w14:paraId="294FA75B" w14:textId="77777777" w:rsidR="00930400" w:rsidRPr="009A0DA6" w:rsidRDefault="00930400" w:rsidP="00930400">
      <w:pPr>
        <w:pStyle w:val="Heading2"/>
      </w:pPr>
      <w:bookmarkStart w:id="494" w:name="_Toc521954736"/>
      <w:r w:rsidRPr="009A0DA6">
        <w:t>Commission on Social and Bioethical Questions</w:t>
      </w:r>
      <w:bookmarkEnd w:id="494"/>
      <w:r w:rsidRPr="009A0DA6">
        <w:t xml:space="preserve"> </w:t>
      </w:r>
    </w:p>
    <w:p w14:paraId="6FD40F05" w14:textId="77777777" w:rsidR="00930400" w:rsidRPr="009A0DA6" w:rsidRDefault="00930400" w:rsidP="00930400">
      <w:pPr>
        <w:pStyle w:val="NoSpacing"/>
      </w:pPr>
    </w:p>
    <w:p w14:paraId="35511F2A" w14:textId="77777777" w:rsidR="00930400" w:rsidRPr="009A0DA6" w:rsidRDefault="00930400" w:rsidP="00930400">
      <w:pPr>
        <w:pStyle w:val="Heading3"/>
      </w:pPr>
      <w:r w:rsidRPr="009A0DA6">
        <w:t>MEMBERS</w:t>
      </w:r>
    </w:p>
    <w:p w14:paraId="04255AEA" w14:textId="77777777" w:rsidR="00930400" w:rsidRPr="009A0DA6" w:rsidRDefault="00930400" w:rsidP="00930400">
      <w:pPr>
        <w:spacing w:before="120" w:after="120" w:line="240" w:lineRule="auto"/>
        <w:contextualSpacing/>
        <w:rPr>
          <w:rFonts w:ascii="Cambria" w:hAnsi="Cambria"/>
        </w:rPr>
      </w:pPr>
      <w:r w:rsidRPr="009A0DA6">
        <w:rPr>
          <w:rFonts w:ascii="Cambria" w:hAnsi="Cambria"/>
        </w:rPr>
        <w:t>Christian Fandrich, Cathryn Hamilton, Timothy Kowald, Helen Lockwood, Kimberley Pfeiffer, Basil Schild (Bishop’s representative), Tanya Wittwer (chair)</w:t>
      </w:r>
    </w:p>
    <w:p w14:paraId="281D6F84" w14:textId="77777777" w:rsidR="00930400" w:rsidRPr="009A0DA6" w:rsidRDefault="00930400" w:rsidP="00930400">
      <w:pPr>
        <w:spacing w:before="120" w:after="120" w:line="240" w:lineRule="auto"/>
        <w:contextualSpacing/>
        <w:rPr>
          <w:rFonts w:ascii="Cambria" w:hAnsi="Cambria"/>
        </w:rPr>
      </w:pPr>
      <w:r w:rsidRPr="009A0DA6">
        <w:rPr>
          <w:rFonts w:ascii="Cambria" w:hAnsi="Cambria"/>
        </w:rPr>
        <w:t>Consultants: Kristine Gebbie, Paul Meyer (for ALWS), Ian Rentsch, Nick Schwarz (ex-officio:  Assistant to the Bishop, Public Theology)</w:t>
      </w:r>
    </w:p>
    <w:p w14:paraId="0C4BF0C0" w14:textId="77777777" w:rsidR="00930400" w:rsidRPr="009A0DA6" w:rsidRDefault="00930400" w:rsidP="00930400">
      <w:pPr>
        <w:spacing w:before="120" w:after="120" w:line="240" w:lineRule="auto"/>
        <w:contextualSpacing/>
        <w:rPr>
          <w:rFonts w:ascii="Cambria" w:hAnsi="Cambria"/>
          <w:b/>
        </w:rPr>
      </w:pPr>
    </w:p>
    <w:p w14:paraId="585FA866" w14:textId="77777777" w:rsidR="00930400" w:rsidRPr="009A0DA6" w:rsidRDefault="00930400" w:rsidP="00930400">
      <w:pPr>
        <w:pStyle w:val="Heading3"/>
        <w:rPr>
          <w:rFonts w:cs="Arial"/>
          <w:i/>
        </w:rPr>
      </w:pPr>
      <w:r w:rsidRPr="009A0DA6">
        <w:t>Background</w:t>
      </w:r>
    </w:p>
    <w:p w14:paraId="68CC492A" w14:textId="77777777" w:rsidR="00930400" w:rsidRPr="009A0DA6" w:rsidRDefault="00930400" w:rsidP="00930400">
      <w:pPr>
        <w:spacing w:before="120" w:after="120" w:line="240" w:lineRule="auto"/>
        <w:contextualSpacing/>
        <w:rPr>
          <w:rFonts w:ascii="Cambria" w:hAnsi="Cambria"/>
        </w:rPr>
      </w:pPr>
      <w:r w:rsidRPr="009A0DA6">
        <w:rPr>
          <w:rFonts w:ascii="Cambria" w:hAnsi="Cambria"/>
        </w:rPr>
        <w:t>The Commission for Social and Bioethical Questions reflects and researches on, and prepares responses to contemporary social and bio-ethical questions, fulfilling both educative and consultative roles.</w:t>
      </w:r>
    </w:p>
    <w:p w14:paraId="001FB09F" w14:textId="77777777" w:rsidR="00930400" w:rsidRPr="009A0DA6" w:rsidRDefault="00930400" w:rsidP="00930400">
      <w:pPr>
        <w:spacing w:before="120" w:after="120" w:line="240" w:lineRule="auto"/>
        <w:contextualSpacing/>
        <w:rPr>
          <w:rFonts w:ascii="Cambria" w:hAnsi="Cambria"/>
          <w:b/>
        </w:rPr>
      </w:pPr>
    </w:p>
    <w:p w14:paraId="5AC76780" w14:textId="77777777" w:rsidR="00930400" w:rsidRPr="009A0DA6" w:rsidRDefault="00930400" w:rsidP="00930400">
      <w:pPr>
        <w:pStyle w:val="Heading3"/>
      </w:pPr>
      <w:r w:rsidRPr="009A0DA6">
        <w:t>Achievement against Plan</w:t>
      </w:r>
    </w:p>
    <w:p w14:paraId="2EDA8BFE" w14:textId="77777777" w:rsidR="00930400" w:rsidRPr="009A0DA6" w:rsidRDefault="00930400" w:rsidP="00930400">
      <w:pPr>
        <w:spacing w:before="120" w:after="120" w:line="240" w:lineRule="auto"/>
        <w:contextualSpacing/>
        <w:rPr>
          <w:rFonts w:ascii="Cambria" w:hAnsi="Cambria"/>
          <w:b/>
        </w:rPr>
      </w:pPr>
      <w:r w:rsidRPr="009A0DA6">
        <w:rPr>
          <w:rFonts w:ascii="Cambria" w:hAnsi="Cambria"/>
          <w:b/>
        </w:rPr>
        <w:t>Assisting actioning of synodical resolutions</w:t>
      </w:r>
    </w:p>
    <w:p w14:paraId="1139661E" w14:textId="77777777" w:rsidR="00930400" w:rsidRPr="009A0DA6" w:rsidRDefault="00930400" w:rsidP="00930400">
      <w:pPr>
        <w:spacing w:before="120" w:after="120" w:line="240" w:lineRule="auto"/>
        <w:contextualSpacing/>
        <w:rPr>
          <w:rFonts w:ascii="Cambria" w:hAnsi="Cambria"/>
        </w:rPr>
      </w:pPr>
      <w:r w:rsidRPr="009A0DA6">
        <w:rPr>
          <w:rFonts w:ascii="Cambria" w:hAnsi="Cambria"/>
        </w:rPr>
        <w:t>Stewardship of Creation/Environment (2015:0211):  brainstorming, scoping, prioritising, developing resources, finding case studies, liaison with LCA communications officer for LCA website.</w:t>
      </w:r>
      <w:r w:rsidRPr="009A0DA6">
        <w:rPr>
          <w:rFonts w:ascii="Cambria" w:hAnsi="Cambria"/>
        </w:rPr>
        <w:br/>
      </w:r>
    </w:p>
    <w:p w14:paraId="620F5461" w14:textId="77777777" w:rsidR="00930400" w:rsidRPr="009A0DA6" w:rsidRDefault="00930400" w:rsidP="00930400">
      <w:pPr>
        <w:spacing w:before="120" w:after="120" w:line="240" w:lineRule="auto"/>
        <w:contextualSpacing/>
        <w:rPr>
          <w:rFonts w:ascii="Cambria" w:hAnsi="Cambria"/>
        </w:rPr>
      </w:pPr>
      <w:r w:rsidRPr="009A0DA6">
        <w:rPr>
          <w:rFonts w:ascii="Cambria" w:hAnsi="Cambria"/>
        </w:rPr>
        <w:t>Domestic Violence (2015:0208/0209): liaison with DV subgroup and coordinator; combined CTICR/CSBQ subgroup on theology of headship and submission and implications for DV</w:t>
      </w:r>
    </w:p>
    <w:p w14:paraId="0124F205" w14:textId="77777777" w:rsidR="00930400" w:rsidRPr="009A0DA6" w:rsidRDefault="00930400" w:rsidP="00930400">
      <w:pPr>
        <w:spacing w:before="120" w:after="120" w:line="240" w:lineRule="auto"/>
        <w:contextualSpacing/>
        <w:rPr>
          <w:rFonts w:ascii="Cambria" w:hAnsi="Cambria"/>
        </w:rPr>
      </w:pPr>
      <w:r w:rsidRPr="009A0DA6">
        <w:rPr>
          <w:rFonts w:ascii="Cambria" w:hAnsi="Cambria"/>
        </w:rPr>
        <w:t>Refugees and Asylum Seekers (2015:0212): liaison and consultation with, and support to Australian Refugee Taskforce; LCCSA.</w:t>
      </w:r>
    </w:p>
    <w:p w14:paraId="0165690F" w14:textId="77777777" w:rsidR="00930400" w:rsidRPr="009A0DA6" w:rsidRDefault="00930400" w:rsidP="00930400">
      <w:pPr>
        <w:spacing w:before="120" w:after="120" w:line="240" w:lineRule="auto"/>
        <w:contextualSpacing/>
        <w:rPr>
          <w:rFonts w:ascii="Cambria" w:hAnsi="Cambria"/>
          <w:b/>
        </w:rPr>
      </w:pPr>
    </w:p>
    <w:p w14:paraId="2A7C239E" w14:textId="77777777" w:rsidR="00930400" w:rsidRPr="009A0DA6" w:rsidRDefault="00930400" w:rsidP="00930400">
      <w:pPr>
        <w:spacing w:after="0" w:line="240" w:lineRule="auto"/>
        <w:contextualSpacing/>
        <w:rPr>
          <w:rFonts w:ascii="Cambria" w:hAnsi="Cambria"/>
          <w:b/>
        </w:rPr>
      </w:pPr>
      <w:r w:rsidRPr="009A0DA6">
        <w:rPr>
          <w:rFonts w:ascii="Cambria" w:hAnsi="Cambria"/>
          <w:b/>
        </w:rPr>
        <w:t>Responding to emerging issues</w:t>
      </w:r>
    </w:p>
    <w:p w14:paraId="776F2817" w14:textId="77777777" w:rsidR="00930400" w:rsidRPr="009A0DA6" w:rsidRDefault="00930400" w:rsidP="00F55252">
      <w:pPr>
        <w:pStyle w:val="ListParagraph"/>
        <w:numPr>
          <w:ilvl w:val="0"/>
          <w:numId w:val="200"/>
        </w:numPr>
        <w:spacing w:after="0" w:line="240" w:lineRule="auto"/>
        <w:ind w:left="567" w:hanging="567"/>
        <w:rPr>
          <w:rFonts w:ascii="Cambria" w:hAnsi="Cambria"/>
        </w:rPr>
      </w:pPr>
      <w:r w:rsidRPr="009A0DA6">
        <w:rPr>
          <w:rFonts w:ascii="Cambria" w:hAnsi="Cambria"/>
        </w:rPr>
        <w:t>Same-Sex Marriage</w:t>
      </w:r>
      <w:r w:rsidRPr="009A0DA6">
        <w:rPr>
          <w:rFonts w:ascii="Cambria" w:hAnsi="Cambria"/>
        </w:rPr>
        <w:br/>
        <w:t xml:space="preserve">Liaison with </w:t>
      </w:r>
      <w:r w:rsidRPr="009A0DA6">
        <w:rPr>
          <w:rFonts w:ascii="Cambria" w:hAnsi="Cambria"/>
          <w:i/>
        </w:rPr>
        <w:t xml:space="preserve">All are Accepted </w:t>
      </w:r>
      <w:r w:rsidRPr="009A0DA6">
        <w:rPr>
          <w:rFonts w:ascii="Cambria" w:hAnsi="Cambria"/>
        </w:rPr>
        <w:t xml:space="preserve">(formerly </w:t>
      </w:r>
      <w:r w:rsidRPr="009A0DA6">
        <w:rPr>
          <w:rFonts w:ascii="Cambria" w:hAnsi="Cambria"/>
          <w:i/>
        </w:rPr>
        <w:t>ACCEPTS</w:t>
      </w:r>
      <w:r w:rsidRPr="009A0DA6">
        <w:rPr>
          <w:rFonts w:ascii="Cambria" w:hAnsi="Cambria"/>
        </w:rPr>
        <w:t>), a Lutheran support group for LGBTIQ people and their families; consultation on the SSM survey.</w:t>
      </w:r>
    </w:p>
    <w:p w14:paraId="7E61FB0B" w14:textId="77777777" w:rsidR="00930400" w:rsidRPr="009A0DA6" w:rsidRDefault="00930400" w:rsidP="00F55252">
      <w:pPr>
        <w:pStyle w:val="ListParagraph"/>
        <w:numPr>
          <w:ilvl w:val="0"/>
          <w:numId w:val="200"/>
        </w:numPr>
        <w:spacing w:before="120" w:after="120" w:line="240" w:lineRule="auto"/>
        <w:ind w:left="567" w:hanging="567"/>
        <w:rPr>
          <w:rFonts w:ascii="Cambria" w:hAnsi="Cambria"/>
        </w:rPr>
      </w:pPr>
      <w:r w:rsidRPr="009A0DA6">
        <w:rPr>
          <w:rFonts w:ascii="Cambria" w:hAnsi="Cambria"/>
        </w:rPr>
        <w:t>End of Life Issues</w:t>
      </w:r>
      <w:r w:rsidRPr="009A0DA6">
        <w:rPr>
          <w:rFonts w:ascii="Cambria" w:hAnsi="Cambria"/>
        </w:rPr>
        <w:br/>
        <w:t xml:space="preserve">Response to paper by Committee for Ministry to the Aging </w:t>
      </w:r>
    </w:p>
    <w:p w14:paraId="0FE8C0D2" w14:textId="77777777" w:rsidR="00930400" w:rsidRPr="009A0DA6" w:rsidRDefault="00930400" w:rsidP="00F55252">
      <w:pPr>
        <w:pStyle w:val="ListParagraph"/>
        <w:numPr>
          <w:ilvl w:val="0"/>
          <w:numId w:val="200"/>
        </w:numPr>
        <w:spacing w:before="120" w:after="120" w:line="240" w:lineRule="auto"/>
        <w:ind w:left="567" w:hanging="567"/>
        <w:rPr>
          <w:rFonts w:ascii="Cambria" w:hAnsi="Cambria"/>
        </w:rPr>
      </w:pPr>
      <w:r w:rsidRPr="009A0DA6">
        <w:rPr>
          <w:rFonts w:ascii="Cambria" w:hAnsi="Cambria"/>
        </w:rPr>
        <w:t>Abortion</w:t>
      </w:r>
      <w:r w:rsidRPr="009A0DA6">
        <w:rPr>
          <w:rFonts w:ascii="Cambria" w:hAnsi="Cambria"/>
        </w:rPr>
        <w:br/>
        <w:t>Response to questions regarding reduction in Abortions: preparation of discussion paper, liaison with Lutherans for Life (LFL).</w:t>
      </w:r>
    </w:p>
    <w:p w14:paraId="6F39FA73" w14:textId="77777777" w:rsidR="00930400" w:rsidRPr="009A0DA6" w:rsidRDefault="00930400" w:rsidP="00F55252">
      <w:pPr>
        <w:pStyle w:val="ListParagraph"/>
        <w:numPr>
          <w:ilvl w:val="0"/>
          <w:numId w:val="200"/>
        </w:numPr>
        <w:spacing w:before="120" w:after="120" w:line="240" w:lineRule="auto"/>
        <w:ind w:left="567" w:hanging="567"/>
        <w:rPr>
          <w:rFonts w:ascii="Cambria" w:hAnsi="Cambria"/>
        </w:rPr>
      </w:pPr>
      <w:r w:rsidRPr="009A0DA6">
        <w:rPr>
          <w:rFonts w:ascii="Cambria" w:hAnsi="Cambria"/>
        </w:rPr>
        <w:t xml:space="preserve">Religious Freedom </w:t>
      </w:r>
      <w:r w:rsidRPr="009A0DA6">
        <w:rPr>
          <w:rFonts w:ascii="Cambria" w:hAnsi="Cambria"/>
        </w:rPr>
        <w:br/>
        <w:t>Preparation of discussion paper</w:t>
      </w:r>
    </w:p>
    <w:p w14:paraId="1E49F688" w14:textId="77777777" w:rsidR="00930400" w:rsidRPr="009A0DA6" w:rsidRDefault="00930400" w:rsidP="00F55252">
      <w:pPr>
        <w:pStyle w:val="ListParagraph"/>
        <w:numPr>
          <w:ilvl w:val="0"/>
          <w:numId w:val="200"/>
        </w:numPr>
        <w:spacing w:before="120" w:after="120" w:line="240" w:lineRule="auto"/>
        <w:ind w:left="567" w:hanging="567"/>
        <w:rPr>
          <w:rFonts w:ascii="Cambria" w:hAnsi="Cambria"/>
        </w:rPr>
      </w:pPr>
      <w:r w:rsidRPr="009A0DA6">
        <w:rPr>
          <w:rFonts w:ascii="Cambria" w:hAnsi="Cambria"/>
        </w:rPr>
        <w:t>Uluru Statement</w:t>
      </w:r>
      <w:r w:rsidRPr="009A0DA6">
        <w:rPr>
          <w:rFonts w:ascii="Cambria" w:hAnsi="Cambria"/>
        </w:rPr>
        <w:br/>
        <w:t>Request for informal consultation among LCA indigenous members prior to formulating a response.</w:t>
      </w:r>
    </w:p>
    <w:p w14:paraId="1683707D" w14:textId="77777777" w:rsidR="00930400" w:rsidRPr="009A0DA6" w:rsidRDefault="00930400" w:rsidP="00F55252">
      <w:pPr>
        <w:pStyle w:val="ListParagraph"/>
        <w:numPr>
          <w:ilvl w:val="0"/>
          <w:numId w:val="200"/>
        </w:numPr>
        <w:spacing w:before="120" w:after="120" w:line="240" w:lineRule="auto"/>
        <w:ind w:left="567" w:hanging="567"/>
        <w:rPr>
          <w:rFonts w:ascii="Cambria" w:hAnsi="Cambria"/>
        </w:rPr>
      </w:pPr>
      <w:r w:rsidRPr="009A0DA6">
        <w:rPr>
          <w:rFonts w:ascii="Cambria" w:hAnsi="Cambria"/>
        </w:rPr>
        <w:t>Interfaith Statements on Climate Change</w:t>
      </w:r>
      <w:r w:rsidRPr="009A0DA6">
        <w:rPr>
          <w:rFonts w:ascii="Cambria" w:hAnsi="Cambria"/>
        </w:rPr>
        <w:br/>
        <w:t>Providing input and liaison with Assistant to the Bishop – Public Theology regarding LCA’s participation in interfaith statements on climate change.</w:t>
      </w:r>
    </w:p>
    <w:p w14:paraId="4B7F1DE9" w14:textId="77777777" w:rsidR="00930400" w:rsidRPr="009A0DA6" w:rsidRDefault="00930400" w:rsidP="00930400">
      <w:pPr>
        <w:pStyle w:val="Heading3"/>
      </w:pPr>
      <w:r w:rsidRPr="009A0DA6">
        <w:t>Successes</w:t>
      </w:r>
    </w:p>
    <w:p w14:paraId="66AB5DD1" w14:textId="77777777" w:rsidR="00930400" w:rsidRPr="009A0DA6" w:rsidRDefault="00930400" w:rsidP="00F55252">
      <w:pPr>
        <w:pStyle w:val="ListParagraph"/>
        <w:numPr>
          <w:ilvl w:val="0"/>
          <w:numId w:val="201"/>
        </w:numPr>
        <w:spacing w:before="120" w:after="120" w:line="240" w:lineRule="auto"/>
        <w:ind w:left="567" w:hanging="567"/>
        <w:rPr>
          <w:rFonts w:ascii="Cambria" w:hAnsi="Cambria"/>
        </w:rPr>
      </w:pPr>
      <w:r w:rsidRPr="009A0DA6">
        <w:rPr>
          <w:rFonts w:ascii="Cambria" w:hAnsi="Cambria"/>
        </w:rPr>
        <w:t>Preparation of resources for congregations to assist in minimising their environmental footprint.</w:t>
      </w:r>
    </w:p>
    <w:p w14:paraId="573B0386" w14:textId="77777777" w:rsidR="00930400" w:rsidRPr="009A0DA6" w:rsidRDefault="00930400" w:rsidP="00F55252">
      <w:pPr>
        <w:pStyle w:val="ListParagraph"/>
        <w:numPr>
          <w:ilvl w:val="0"/>
          <w:numId w:val="201"/>
        </w:numPr>
        <w:spacing w:before="120" w:after="120" w:line="240" w:lineRule="auto"/>
        <w:ind w:left="567" w:hanging="567"/>
        <w:rPr>
          <w:rFonts w:ascii="Cambria" w:hAnsi="Cambria"/>
        </w:rPr>
      </w:pPr>
      <w:r w:rsidRPr="009A0DA6">
        <w:rPr>
          <w:rFonts w:ascii="Cambria" w:hAnsi="Cambria"/>
        </w:rPr>
        <w:t>Collaboration with CTICR on Synodical Resolution regarding headship, submission and implications for domestic violence.</w:t>
      </w:r>
    </w:p>
    <w:p w14:paraId="0E031B67" w14:textId="77777777" w:rsidR="00930400" w:rsidRPr="009A0DA6" w:rsidRDefault="00930400" w:rsidP="00F55252">
      <w:pPr>
        <w:pStyle w:val="ListParagraph"/>
        <w:numPr>
          <w:ilvl w:val="0"/>
          <w:numId w:val="201"/>
        </w:numPr>
        <w:spacing w:before="120" w:after="120" w:line="240" w:lineRule="auto"/>
        <w:ind w:left="567" w:hanging="567"/>
        <w:rPr>
          <w:rFonts w:ascii="Cambria" w:hAnsi="Cambria"/>
        </w:rPr>
      </w:pPr>
      <w:r w:rsidRPr="009A0DA6">
        <w:rPr>
          <w:rFonts w:ascii="Cambria" w:hAnsi="Cambria"/>
        </w:rPr>
        <w:t xml:space="preserve">Liaison with and support to </w:t>
      </w:r>
      <w:r w:rsidRPr="009A0DA6">
        <w:rPr>
          <w:rFonts w:ascii="Cambria" w:hAnsi="Cambria"/>
          <w:i/>
        </w:rPr>
        <w:t>Assistant to the Bishop: Public Theology</w:t>
      </w:r>
      <w:r w:rsidRPr="009A0DA6">
        <w:rPr>
          <w:rFonts w:ascii="Cambria" w:hAnsi="Cambria"/>
        </w:rPr>
        <w:t>, the DV working group and its project officer, and various other LCA and ecumenical groups.</w:t>
      </w:r>
    </w:p>
    <w:p w14:paraId="283EEB3A" w14:textId="77777777" w:rsidR="00930400" w:rsidRPr="009A0DA6" w:rsidRDefault="00930400" w:rsidP="00F55252">
      <w:pPr>
        <w:pStyle w:val="ListParagraph"/>
        <w:numPr>
          <w:ilvl w:val="0"/>
          <w:numId w:val="201"/>
        </w:numPr>
        <w:spacing w:before="120" w:after="120" w:line="240" w:lineRule="auto"/>
        <w:ind w:left="567" w:hanging="567"/>
        <w:rPr>
          <w:rFonts w:ascii="Cambria" w:hAnsi="Cambria"/>
        </w:rPr>
      </w:pPr>
      <w:r w:rsidRPr="009A0DA6">
        <w:rPr>
          <w:rFonts w:ascii="Cambria" w:hAnsi="Cambria"/>
        </w:rPr>
        <w:t xml:space="preserve">Website of the affiliated group, </w:t>
      </w:r>
      <w:r w:rsidRPr="009A0DA6">
        <w:rPr>
          <w:rFonts w:ascii="Cambria" w:hAnsi="Cambria"/>
          <w:i/>
        </w:rPr>
        <w:t>Lutherans for Life,</w:t>
      </w:r>
      <w:r w:rsidRPr="009A0DA6">
        <w:rPr>
          <w:rFonts w:ascii="Cambria" w:hAnsi="Cambria"/>
        </w:rPr>
        <w:t xml:space="preserve"> redeveloped.</w:t>
      </w:r>
    </w:p>
    <w:p w14:paraId="10D2DB60" w14:textId="77777777" w:rsidR="00930400" w:rsidRPr="009A0DA6" w:rsidRDefault="00930400" w:rsidP="00930400">
      <w:pPr>
        <w:pStyle w:val="Heading3"/>
      </w:pPr>
      <w:r w:rsidRPr="009A0DA6">
        <w:lastRenderedPageBreak/>
        <w:t>Challenges and Lessons Learned</w:t>
      </w:r>
    </w:p>
    <w:p w14:paraId="0436BA69" w14:textId="77777777" w:rsidR="00930400" w:rsidRPr="009A0DA6" w:rsidRDefault="00930400" w:rsidP="00F55252">
      <w:pPr>
        <w:pStyle w:val="ListParagraph"/>
        <w:numPr>
          <w:ilvl w:val="0"/>
          <w:numId w:val="202"/>
        </w:numPr>
        <w:spacing w:before="120" w:after="120" w:line="240" w:lineRule="auto"/>
        <w:ind w:left="567" w:hanging="567"/>
        <w:rPr>
          <w:rFonts w:ascii="Cambria" w:hAnsi="Cambria"/>
        </w:rPr>
      </w:pPr>
      <w:r w:rsidRPr="009A0DA6">
        <w:rPr>
          <w:rFonts w:ascii="Cambria" w:hAnsi="Cambria"/>
        </w:rPr>
        <w:t>Need for orientation process for new members.</w:t>
      </w:r>
    </w:p>
    <w:p w14:paraId="4299FB07" w14:textId="77777777" w:rsidR="00930400" w:rsidRPr="009A0DA6" w:rsidRDefault="00930400" w:rsidP="00F55252">
      <w:pPr>
        <w:pStyle w:val="ListParagraph"/>
        <w:numPr>
          <w:ilvl w:val="0"/>
          <w:numId w:val="202"/>
        </w:numPr>
        <w:spacing w:before="120" w:after="120" w:line="240" w:lineRule="auto"/>
        <w:ind w:left="567" w:hanging="567"/>
        <w:rPr>
          <w:rFonts w:ascii="Cambria" w:hAnsi="Cambria"/>
        </w:rPr>
      </w:pPr>
      <w:r w:rsidRPr="009A0DA6">
        <w:rPr>
          <w:rFonts w:ascii="Cambria" w:hAnsi="Cambria"/>
        </w:rPr>
        <w:t>The need to be able to respond quickly to issues if the commission is to truly serve the church.</w:t>
      </w:r>
    </w:p>
    <w:p w14:paraId="28400DD1" w14:textId="77777777" w:rsidR="00930400" w:rsidRPr="009A0DA6" w:rsidRDefault="00930400" w:rsidP="00930400">
      <w:pPr>
        <w:pStyle w:val="Heading3"/>
      </w:pPr>
      <w:r w:rsidRPr="009A0DA6">
        <w:t>Risks</w:t>
      </w:r>
    </w:p>
    <w:p w14:paraId="3C5ECF56" w14:textId="77777777" w:rsidR="00930400" w:rsidRPr="009A0DA6" w:rsidRDefault="00930400" w:rsidP="00930400">
      <w:pPr>
        <w:spacing w:before="120" w:after="120" w:line="240" w:lineRule="auto"/>
        <w:contextualSpacing/>
        <w:rPr>
          <w:rFonts w:ascii="Cambria" w:hAnsi="Cambria"/>
        </w:rPr>
      </w:pPr>
      <w:r w:rsidRPr="009A0DA6">
        <w:rPr>
          <w:rFonts w:ascii="Cambria" w:hAnsi="Cambria"/>
        </w:rPr>
        <w:t>The value of our work depends on well-researched yet timely responses, and discussion and educative materials that can assist members of the church.</w:t>
      </w:r>
    </w:p>
    <w:p w14:paraId="1C44E9DD" w14:textId="77777777" w:rsidR="00930400" w:rsidRPr="009A0DA6" w:rsidRDefault="00930400" w:rsidP="00930400">
      <w:pPr>
        <w:spacing w:before="120" w:after="120" w:line="240" w:lineRule="auto"/>
        <w:contextualSpacing/>
        <w:rPr>
          <w:rFonts w:ascii="Cambria" w:hAnsi="Cambria"/>
        </w:rPr>
      </w:pPr>
    </w:p>
    <w:p w14:paraId="1ACC920A" w14:textId="77777777" w:rsidR="00930400" w:rsidRPr="009A0DA6" w:rsidRDefault="00930400" w:rsidP="00930400">
      <w:pPr>
        <w:spacing w:before="120" w:after="120" w:line="240" w:lineRule="auto"/>
        <w:contextualSpacing/>
        <w:rPr>
          <w:rFonts w:ascii="Cambria" w:hAnsi="Cambria"/>
        </w:rPr>
      </w:pPr>
      <w:r w:rsidRPr="009A0DA6">
        <w:rPr>
          <w:rFonts w:ascii="Cambria" w:hAnsi="Cambria"/>
        </w:rPr>
        <w:t>Limiting parameters</w:t>
      </w:r>
    </w:p>
    <w:p w14:paraId="350B3970" w14:textId="77777777" w:rsidR="00930400" w:rsidRPr="009A0DA6" w:rsidRDefault="00930400" w:rsidP="00F55252">
      <w:pPr>
        <w:pStyle w:val="ListParagraph"/>
        <w:numPr>
          <w:ilvl w:val="0"/>
          <w:numId w:val="200"/>
        </w:numPr>
        <w:spacing w:before="120" w:after="120" w:line="240" w:lineRule="auto"/>
        <w:ind w:left="567" w:hanging="567"/>
        <w:rPr>
          <w:rFonts w:ascii="Cambria" w:hAnsi="Cambria"/>
        </w:rPr>
      </w:pPr>
      <w:r w:rsidRPr="009A0DA6">
        <w:rPr>
          <w:rFonts w:ascii="Cambria" w:hAnsi="Cambria"/>
        </w:rPr>
        <w:t>It is necessary that the commission reflects or takes account of the diversity of attitudes and theological approaches within the LCA.</w:t>
      </w:r>
    </w:p>
    <w:p w14:paraId="0AA7532F" w14:textId="77777777" w:rsidR="00930400" w:rsidRPr="009A0DA6" w:rsidRDefault="00930400" w:rsidP="00F55252">
      <w:pPr>
        <w:pStyle w:val="ListParagraph"/>
        <w:numPr>
          <w:ilvl w:val="0"/>
          <w:numId w:val="200"/>
        </w:numPr>
        <w:spacing w:before="120" w:after="120" w:line="240" w:lineRule="auto"/>
        <w:ind w:left="567" w:hanging="567"/>
        <w:rPr>
          <w:rFonts w:ascii="Cambria" w:hAnsi="Cambria"/>
        </w:rPr>
      </w:pPr>
      <w:r w:rsidRPr="009A0DA6">
        <w:rPr>
          <w:rFonts w:ascii="Cambria" w:hAnsi="Cambria"/>
        </w:rPr>
        <w:t>We are all volunteers and meet only four times a year which limits the effectiveness of the commission.</w:t>
      </w:r>
    </w:p>
    <w:p w14:paraId="502EEF37" w14:textId="77777777" w:rsidR="00930400" w:rsidRPr="009A0DA6" w:rsidRDefault="00930400" w:rsidP="00930400">
      <w:pPr>
        <w:spacing w:before="120" w:after="120" w:line="240" w:lineRule="auto"/>
        <w:contextualSpacing/>
        <w:rPr>
          <w:rFonts w:ascii="Cambria" w:hAnsi="Cambria"/>
        </w:rPr>
      </w:pPr>
      <w:r w:rsidRPr="009A0DA6">
        <w:rPr>
          <w:rFonts w:ascii="Cambria" w:hAnsi="Cambria"/>
        </w:rPr>
        <w:t>We are therefore seeking alternative ways of working together and communicating with the church.</w:t>
      </w:r>
    </w:p>
    <w:p w14:paraId="339BF336" w14:textId="77777777" w:rsidR="00930400" w:rsidRPr="009A0DA6" w:rsidRDefault="00930400" w:rsidP="00930400">
      <w:pPr>
        <w:spacing w:before="120" w:after="120" w:line="240" w:lineRule="auto"/>
        <w:contextualSpacing/>
        <w:rPr>
          <w:rFonts w:ascii="Cambria" w:hAnsi="Cambria"/>
          <w:b/>
        </w:rPr>
      </w:pPr>
    </w:p>
    <w:p w14:paraId="00CE3D7B" w14:textId="77777777" w:rsidR="00930400" w:rsidRPr="009A0DA6" w:rsidRDefault="00930400" w:rsidP="00930400">
      <w:pPr>
        <w:pStyle w:val="Heading3"/>
      </w:pPr>
      <w:r w:rsidRPr="009A0DA6">
        <w:t>Alignment to LCA Strategic Direction 2013 – 2018</w:t>
      </w:r>
    </w:p>
    <w:p w14:paraId="03194984" w14:textId="77777777" w:rsidR="00930400" w:rsidRPr="009A0DA6" w:rsidRDefault="00930400" w:rsidP="00930400">
      <w:pPr>
        <w:spacing w:before="120" w:after="120" w:line="240" w:lineRule="auto"/>
        <w:contextualSpacing/>
        <w:rPr>
          <w:rFonts w:ascii="Cambria" w:hAnsi="Cambria" w:cs="Arial"/>
        </w:rPr>
      </w:pPr>
      <w:r w:rsidRPr="009A0DA6">
        <w:rPr>
          <w:rFonts w:ascii="Cambria" w:hAnsi="Cambria" w:cs="Arial"/>
        </w:rPr>
        <w:t xml:space="preserve">As we strive to faithfully search God’s word for direction on social and bioethical questions (SD 1.1) we seek to reflect the diversity of approaches within the LCA (SD 1.2) to provide guidance to help individuals to discern God’s will on the issues we wrestle with, so that they may </w:t>
      </w:r>
      <w:r w:rsidRPr="009A0DA6">
        <w:rPr>
          <w:rFonts w:ascii="Cambria" w:hAnsi="Cambria" w:cs="Arial"/>
          <w:i/>
        </w:rPr>
        <w:t xml:space="preserve">Grow as God’s People. </w:t>
      </w:r>
      <w:r w:rsidRPr="009A0DA6">
        <w:rPr>
          <w:rFonts w:ascii="Cambria" w:hAnsi="Cambria" w:cs="Arial"/>
        </w:rPr>
        <w:t>It is our hope that this will assist those we seek to resource to serve, with grace, the communities in which God has placed them and that the consultations we participate in are a gift of service by the LCA (SD 1.3).</w:t>
      </w:r>
    </w:p>
    <w:p w14:paraId="7C25F869" w14:textId="77777777" w:rsidR="00930400" w:rsidRPr="009A0DA6" w:rsidRDefault="00930400" w:rsidP="00930400">
      <w:pPr>
        <w:spacing w:before="120" w:after="120" w:line="240" w:lineRule="auto"/>
        <w:contextualSpacing/>
        <w:rPr>
          <w:rFonts w:ascii="Cambria" w:hAnsi="Cambria" w:cs="Arial"/>
        </w:rPr>
      </w:pPr>
    </w:p>
    <w:p w14:paraId="57B7C6F8" w14:textId="77777777" w:rsidR="00930400" w:rsidRPr="009A0DA6" w:rsidRDefault="00930400" w:rsidP="00930400">
      <w:pPr>
        <w:spacing w:before="120" w:after="120" w:line="240" w:lineRule="auto"/>
        <w:contextualSpacing/>
        <w:rPr>
          <w:rFonts w:ascii="Cambria" w:hAnsi="Cambria" w:cs="Arial"/>
        </w:rPr>
      </w:pPr>
      <w:r w:rsidRPr="009A0DA6">
        <w:rPr>
          <w:rFonts w:ascii="Cambria" w:hAnsi="Cambria" w:cs="Arial"/>
        </w:rPr>
        <w:t xml:space="preserve">We are giving increasing attention to the diversity of cultures within our society and church (SD 2.1) so that we play our part in developing a missional culture within the LCA. </w:t>
      </w:r>
    </w:p>
    <w:p w14:paraId="4058FC20" w14:textId="77777777" w:rsidR="00930400" w:rsidRPr="009A0DA6" w:rsidRDefault="00930400" w:rsidP="00930400">
      <w:pPr>
        <w:spacing w:before="120" w:after="120" w:line="240" w:lineRule="auto"/>
        <w:contextualSpacing/>
        <w:rPr>
          <w:rFonts w:ascii="Cambria" w:hAnsi="Cambria" w:cs="Arial"/>
        </w:rPr>
      </w:pPr>
    </w:p>
    <w:p w14:paraId="30CD1DE9" w14:textId="77777777" w:rsidR="00930400" w:rsidRPr="009A0DA6" w:rsidRDefault="00930400" w:rsidP="00930400">
      <w:pPr>
        <w:spacing w:before="120" w:after="120" w:line="240" w:lineRule="auto"/>
        <w:contextualSpacing/>
        <w:rPr>
          <w:rFonts w:ascii="Cambria" w:hAnsi="Cambria"/>
        </w:rPr>
      </w:pPr>
      <w:r w:rsidRPr="009A0DA6">
        <w:rPr>
          <w:rFonts w:ascii="Cambria" w:hAnsi="Cambria" w:cs="Arial"/>
        </w:rPr>
        <w:t>Individual members of CSBQ have assisted with liaison with other LCA committees and groups, and we have successfully collaborated on specific projects with a number of other boards, agencies, working groups (SD 3.B3).</w:t>
      </w:r>
    </w:p>
    <w:p w14:paraId="480135A8" w14:textId="77777777" w:rsidR="00930400" w:rsidRPr="009A0DA6" w:rsidRDefault="00930400" w:rsidP="00930400">
      <w:pPr>
        <w:spacing w:before="120" w:after="120" w:line="240" w:lineRule="auto"/>
        <w:contextualSpacing/>
        <w:rPr>
          <w:rFonts w:ascii="Cambria" w:hAnsi="Cambria"/>
          <w:b/>
        </w:rPr>
      </w:pPr>
    </w:p>
    <w:p w14:paraId="717448D7" w14:textId="77777777" w:rsidR="00930400" w:rsidRPr="009A0DA6" w:rsidRDefault="00930400" w:rsidP="00930400">
      <w:pPr>
        <w:pStyle w:val="Heading3"/>
      </w:pPr>
      <w:r w:rsidRPr="009A0DA6">
        <w:t>Cooperating LCA Boards and Agencies</w:t>
      </w:r>
    </w:p>
    <w:tbl>
      <w:tblPr>
        <w:tblStyle w:val="PlainTable2"/>
        <w:tblW w:w="0" w:type="auto"/>
        <w:tblLook w:val="04A0" w:firstRow="1" w:lastRow="0" w:firstColumn="1" w:lastColumn="0" w:noHBand="0" w:noVBand="1"/>
      </w:tblPr>
      <w:tblGrid>
        <w:gridCol w:w="2694"/>
        <w:gridCol w:w="5953"/>
      </w:tblGrid>
      <w:tr w:rsidR="00930400" w:rsidRPr="009A0DA6" w14:paraId="4148CD76" w14:textId="77777777" w:rsidTr="00AD09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151B6601" w14:textId="77777777" w:rsidR="00930400" w:rsidRPr="009A0DA6" w:rsidRDefault="00930400" w:rsidP="00AD09CB">
            <w:pPr>
              <w:spacing w:before="120" w:after="120"/>
              <w:contextualSpacing/>
              <w:rPr>
                <w:rFonts w:ascii="Cambria" w:hAnsi="Cambria" w:cs="Arial"/>
              </w:rPr>
            </w:pPr>
            <w:r w:rsidRPr="009A0DA6">
              <w:rPr>
                <w:rFonts w:ascii="Cambria" w:hAnsi="Cambria" w:cs="Arial"/>
              </w:rPr>
              <w:t>LEA</w:t>
            </w:r>
          </w:p>
        </w:tc>
        <w:tc>
          <w:tcPr>
            <w:tcW w:w="5953" w:type="dxa"/>
          </w:tcPr>
          <w:p w14:paraId="5724FE9E" w14:textId="77777777" w:rsidR="00930400" w:rsidRPr="009A0DA6" w:rsidRDefault="00930400" w:rsidP="00AD09CB">
            <w:pPr>
              <w:spacing w:before="120" w:after="120"/>
              <w:contextualSpacing/>
              <w:cnfStyle w:val="100000000000" w:firstRow="1" w:lastRow="0" w:firstColumn="0" w:lastColumn="0" w:oddVBand="0" w:evenVBand="0" w:oddHBand="0" w:evenHBand="0" w:firstRowFirstColumn="0" w:firstRowLastColumn="0" w:lastRowFirstColumn="0" w:lastRowLastColumn="0"/>
              <w:rPr>
                <w:rFonts w:ascii="Cambria" w:hAnsi="Cambria" w:cs="Arial"/>
                <w:b w:val="0"/>
              </w:rPr>
            </w:pPr>
            <w:r w:rsidRPr="009A0DA6">
              <w:rPr>
                <w:rFonts w:ascii="Cambria" w:hAnsi="Cambria" w:cs="Arial"/>
                <w:b w:val="0"/>
              </w:rPr>
              <w:t>Environmental working group (synodical resolution)</w:t>
            </w:r>
          </w:p>
        </w:tc>
      </w:tr>
      <w:tr w:rsidR="00930400" w:rsidRPr="009A0DA6" w14:paraId="0C1CD667" w14:textId="77777777" w:rsidTr="00AD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20FF0E72" w14:textId="77777777" w:rsidR="00930400" w:rsidRPr="009A0DA6" w:rsidRDefault="00930400" w:rsidP="00AD09CB">
            <w:pPr>
              <w:spacing w:before="120" w:after="120"/>
              <w:contextualSpacing/>
              <w:rPr>
                <w:rFonts w:ascii="Cambria" w:hAnsi="Cambria" w:cs="Arial"/>
              </w:rPr>
            </w:pPr>
            <w:r w:rsidRPr="009A0DA6">
              <w:rPr>
                <w:rFonts w:ascii="Cambria" w:hAnsi="Cambria" w:cs="Arial"/>
              </w:rPr>
              <w:t>ALWS</w:t>
            </w:r>
          </w:p>
        </w:tc>
        <w:tc>
          <w:tcPr>
            <w:tcW w:w="5953" w:type="dxa"/>
          </w:tcPr>
          <w:p w14:paraId="73D9F870" w14:textId="77777777" w:rsidR="00930400" w:rsidRPr="009A0DA6" w:rsidRDefault="00930400" w:rsidP="00AD09CB">
            <w:pPr>
              <w:spacing w:before="120" w:after="120"/>
              <w:contextualSpacing/>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Environmental working group, refugee issues (synodical resolutions)</w:t>
            </w:r>
          </w:p>
        </w:tc>
      </w:tr>
      <w:tr w:rsidR="00930400" w:rsidRPr="009A0DA6" w14:paraId="4EE64D8E" w14:textId="77777777" w:rsidTr="00AD09CB">
        <w:tc>
          <w:tcPr>
            <w:cnfStyle w:val="001000000000" w:firstRow="0" w:lastRow="0" w:firstColumn="1" w:lastColumn="0" w:oddVBand="0" w:evenVBand="0" w:oddHBand="0" w:evenHBand="0" w:firstRowFirstColumn="0" w:firstRowLastColumn="0" w:lastRowFirstColumn="0" w:lastRowLastColumn="0"/>
            <w:tcW w:w="2694" w:type="dxa"/>
            <w:vAlign w:val="center"/>
          </w:tcPr>
          <w:p w14:paraId="4959EEAE" w14:textId="77777777" w:rsidR="00930400" w:rsidRPr="009A0DA6" w:rsidRDefault="00930400" w:rsidP="00AD09CB">
            <w:pPr>
              <w:spacing w:before="120" w:after="120"/>
              <w:contextualSpacing/>
              <w:rPr>
                <w:rFonts w:ascii="Cambria" w:hAnsi="Cambria" w:cs="Arial"/>
              </w:rPr>
            </w:pPr>
            <w:r w:rsidRPr="009A0DA6">
              <w:rPr>
                <w:rFonts w:ascii="Cambria" w:hAnsi="Cambria" w:cs="Arial"/>
              </w:rPr>
              <w:t>CTICR</w:t>
            </w:r>
          </w:p>
        </w:tc>
        <w:tc>
          <w:tcPr>
            <w:tcW w:w="5953" w:type="dxa"/>
          </w:tcPr>
          <w:p w14:paraId="1A266B12" w14:textId="77777777" w:rsidR="00930400" w:rsidRPr="009A0DA6" w:rsidRDefault="00930400" w:rsidP="00AD09CB">
            <w:pPr>
              <w:spacing w:before="120" w:after="120"/>
              <w:contextualSpacing/>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Syndical resolution: DV/headship, submission</w:t>
            </w:r>
          </w:p>
        </w:tc>
      </w:tr>
      <w:tr w:rsidR="00930400" w:rsidRPr="009A0DA6" w14:paraId="50DF6BDE" w14:textId="77777777" w:rsidTr="00AD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743A2D61" w14:textId="77777777" w:rsidR="00930400" w:rsidRPr="009A0DA6" w:rsidRDefault="00930400" w:rsidP="00AD09CB">
            <w:pPr>
              <w:spacing w:before="120" w:after="120"/>
              <w:contextualSpacing/>
              <w:rPr>
                <w:rFonts w:ascii="Cambria" w:hAnsi="Cambria" w:cs="Arial"/>
              </w:rPr>
            </w:pPr>
            <w:r w:rsidRPr="009A0DA6">
              <w:rPr>
                <w:rFonts w:ascii="Cambria" w:hAnsi="Cambria" w:cs="Arial"/>
              </w:rPr>
              <w:t>Assistant to the Bishop</w:t>
            </w:r>
          </w:p>
        </w:tc>
        <w:tc>
          <w:tcPr>
            <w:tcW w:w="5953" w:type="dxa"/>
          </w:tcPr>
          <w:p w14:paraId="76EBD88C" w14:textId="77777777" w:rsidR="00930400" w:rsidRPr="009A0DA6" w:rsidRDefault="00930400" w:rsidP="00AD09CB">
            <w:pPr>
              <w:spacing w:before="120" w:after="120"/>
              <w:contextualSpacing/>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Consultation, liaison, support</w:t>
            </w:r>
          </w:p>
        </w:tc>
      </w:tr>
    </w:tbl>
    <w:p w14:paraId="36D62AB0" w14:textId="2503AC1F" w:rsidR="00930400" w:rsidRDefault="00930400" w:rsidP="00930400">
      <w:pPr>
        <w:pStyle w:val="NoSpacing"/>
        <w:rPr>
          <w:highlight w:val="red"/>
        </w:rPr>
      </w:pPr>
    </w:p>
    <w:p w14:paraId="18EEF064" w14:textId="5DD1A61C" w:rsidR="00930400" w:rsidRDefault="00930400" w:rsidP="00930400">
      <w:pPr>
        <w:pStyle w:val="NoSpacing"/>
        <w:rPr>
          <w:highlight w:val="red"/>
        </w:rPr>
      </w:pPr>
    </w:p>
    <w:p w14:paraId="005F7C05" w14:textId="77777777" w:rsidR="00DE6169" w:rsidRDefault="00DE6169">
      <w:pPr>
        <w:rPr>
          <w:rFonts w:ascii="Cambria" w:eastAsiaTheme="majorEastAsia" w:hAnsi="Cambria" w:cstheme="majorBidi"/>
          <w:b/>
          <w:caps/>
          <w:sz w:val="28"/>
          <w:szCs w:val="24"/>
        </w:rPr>
      </w:pPr>
      <w:r>
        <w:br w:type="page"/>
      </w:r>
    </w:p>
    <w:p w14:paraId="478E2474" w14:textId="1FA10C3E" w:rsidR="00930400" w:rsidRPr="009A0DA6" w:rsidRDefault="00930400" w:rsidP="00930400">
      <w:pPr>
        <w:pStyle w:val="Heading3"/>
      </w:pPr>
      <w:r w:rsidRPr="009A0DA6">
        <w:lastRenderedPageBreak/>
        <w:t>Agenda 7.2</w:t>
      </w:r>
    </w:p>
    <w:p w14:paraId="331957B3" w14:textId="77777777" w:rsidR="00930400" w:rsidRPr="009A0DA6" w:rsidRDefault="00930400" w:rsidP="00930400">
      <w:pPr>
        <w:pStyle w:val="Heading2"/>
      </w:pPr>
      <w:bookmarkStart w:id="495" w:name="_Toc521954737"/>
      <w:r w:rsidRPr="009A0DA6">
        <w:t>Lutherans for Life</w:t>
      </w:r>
      <w:bookmarkEnd w:id="495"/>
    </w:p>
    <w:p w14:paraId="165A42B0" w14:textId="77777777" w:rsidR="00930400" w:rsidRPr="009A0DA6" w:rsidRDefault="00930400" w:rsidP="00930400">
      <w:pPr>
        <w:spacing w:before="120" w:after="120" w:line="240" w:lineRule="auto"/>
        <w:contextualSpacing/>
        <w:rPr>
          <w:rFonts w:ascii="Cambria" w:hAnsi="Cambria"/>
        </w:rPr>
      </w:pPr>
      <w:r w:rsidRPr="009A0DA6">
        <w:rPr>
          <w:rFonts w:ascii="Cambria" w:hAnsi="Cambria"/>
        </w:rPr>
        <w:t xml:space="preserve">Janet Bowman, Margaret Pearce, Joshua Pfeiffer, (Chairperson), Chelsea Pietsch, Jason Pokela, </w:t>
      </w:r>
    </w:p>
    <w:p w14:paraId="1FBD2864" w14:textId="77777777" w:rsidR="00930400" w:rsidRPr="009A0DA6" w:rsidRDefault="00930400" w:rsidP="00930400">
      <w:pPr>
        <w:spacing w:before="120" w:after="120" w:line="240" w:lineRule="auto"/>
        <w:contextualSpacing/>
        <w:rPr>
          <w:rFonts w:ascii="Cambria" w:hAnsi="Cambria"/>
        </w:rPr>
      </w:pPr>
      <w:r w:rsidRPr="009A0DA6">
        <w:rPr>
          <w:rFonts w:ascii="Cambria" w:hAnsi="Cambria"/>
        </w:rPr>
        <w:t xml:space="preserve">Life News editor: Kimberley Pfeiffer </w:t>
      </w:r>
    </w:p>
    <w:p w14:paraId="7B463FBC" w14:textId="77777777" w:rsidR="00930400" w:rsidRPr="009A0DA6" w:rsidRDefault="00930400" w:rsidP="00930400">
      <w:pPr>
        <w:pStyle w:val="Heading3"/>
        <w:rPr>
          <w:rFonts w:cs="Arial"/>
          <w:i/>
        </w:rPr>
      </w:pPr>
      <w:r w:rsidRPr="009A0DA6">
        <w:t>Background</w:t>
      </w:r>
    </w:p>
    <w:p w14:paraId="510817AA" w14:textId="77777777" w:rsidR="00930400" w:rsidRPr="009A0DA6" w:rsidRDefault="00930400" w:rsidP="00930400">
      <w:pPr>
        <w:spacing w:before="120" w:after="120" w:line="240" w:lineRule="auto"/>
        <w:contextualSpacing/>
        <w:rPr>
          <w:rFonts w:ascii="Cambria" w:hAnsi="Cambria"/>
        </w:rPr>
      </w:pPr>
      <w:r w:rsidRPr="009A0DA6">
        <w:rPr>
          <w:rFonts w:ascii="Cambria" w:hAnsi="Cambria"/>
        </w:rPr>
        <w:t xml:space="preserve">Lutherans for Life was established in 1987 by a resolution of LCA General Convention. LFL engages in charitable and educational activities related to the promotion and defense of the value of human life from conception to natural death. </w:t>
      </w:r>
    </w:p>
    <w:p w14:paraId="6D154E74" w14:textId="77777777" w:rsidR="00930400" w:rsidRPr="009A0DA6" w:rsidRDefault="00930400" w:rsidP="00930400">
      <w:pPr>
        <w:pStyle w:val="Heading3"/>
      </w:pPr>
      <w:r w:rsidRPr="009A0DA6">
        <w:t>Achievement against Plan</w:t>
      </w:r>
    </w:p>
    <w:p w14:paraId="656FAF33" w14:textId="77777777" w:rsidR="00930400" w:rsidRPr="009A0DA6" w:rsidRDefault="00930400" w:rsidP="00930400">
      <w:pPr>
        <w:spacing w:before="120" w:after="120" w:line="240" w:lineRule="auto"/>
        <w:contextualSpacing/>
        <w:rPr>
          <w:rFonts w:ascii="Cambria" w:hAnsi="Cambria"/>
          <w:b/>
        </w:rPr>
      </w:pPr>
      <w:r w:rsidRPr="009A0DA6">
        <w:rPr>
          <w:rFonts w:ascii="Cambria" w:hAnsi="Cambria"/>
          <w:b/>
        </w:rPr>
        <w:t xml:space="preserve">New website - </w:t>
      </w:r>
      <w:hyperlink r:id="rId32" w:history="1">
        <w:r w:rsidRPr="00995084">
          <w:rPr>
            <w:rStyle w:val="Hyperlink"/>
            <w:rFonts w:ascii="Cambria" w:hAnsi="Cambria"/>
            <w:color w:val="auto"/>
            <w:u w:val="none"/>
          </w:rPr>
          <w:t>www.lutheransforlife.lca.org.au</w:t>
        </w:r>
      </w:hyperlink>
    </w:p>
    <w:p w14:paraId="08A1297F" w14:textId="77777777" w:rsidR="00930400" w:rsidRPr="009A0DA6" w:rsidRDefault="00930400" w:rsidP="00930400">
      <w:pPr>
        <w:spacing w:before="120" w:after="120" w:line="240" w:lineRule="auto"/>
        <w:contextualSpacing/>
        <w:rPr>
          <w:rFonts w:ascii="Cambria" w:hAnsi="Cambria"/>
        </w:rPr>
      </w:pPr>
      <w:r w:rsidRPr="009A0DA6">
        <w:rPr>
          <w:rFonts w:ascii="Cambria" w:hAnsi="Cambria"/>
        </w:rPr>
        <w:t xml:space="preserve">We believe our new website will be a crucial way we continue to carry out our work in the modern world. The website is designed to be a resource hub for our church when it comes to many issues relating to life. The website covers topics such as miscarriage, abortion, genetic screening, marriage, sexuality, self-harm, euthanasia, dementia, and more. We have endeavoured to keep in mind the real people these issues effect who are often hurting and in need of healing, and so approach these areas in love and compassion. </w:t>
      </w:r>
    </w:p>
    <w:p w14:paraId="29C1AB2E" w14:textId="77777777" w:rsidR="00930400" w:rsidRPr="009A0DA6" w:rsidRDefault="00930400" w:rsidP="00930400">
      <w:pPr>
        <w:spacing w:before="120" w:after="120" w:line="240" w:lineRule="auto"/>
        <w:contextualSpacing/>
        <w:rPr>
          <w:rFonts w:ascii="Cambria" w:hAnsi="Cambria"/>
        </w:rPr>
      </w:pPr>
      <w:r w:rsidRPr="009A0DA6">
        <w:rPr>
          <w:rFonts w:ascii="Cambria" w:hAnsi="Cambria"/>
        </w:rPr>
        <w:br/>
        <w:t xml:space="preserve">As well as the congregations of our church, we also especially had in mind our schools and aged care facilities with this website. Several of our group studies were tested out in the Christian studies classrooms at Endeavour college, and we received very positive feedback from this. </w:t>
      </w:r>
    </w:p>
    <w:p w14:paraId="05D0C67A" w14:textId="66304F61" w:rsidR="00930400" w:rsidRPr="009A0DA6" w:rsidRDefault="00930400" w:rsidP="00930400">
      <w:pPr>
        <w:spacing w:before="120" w:after="120" w:line="240" w:lineRule="auto"/>
        <w:contextualSpacing/>
        <w:rPr>
          <w:rFonts w:ascii="Cambria" w:hAnsi="Cambria"/>
        </w:rPr>
      </w:pPr>
      <w:r w:rsidRPr="009A0DA6">
        <w:rPr>
          <w:rFonts w:ascii="Cambria" w:hAnsi="Cambria"/>
        </w:rPr>
        <w:br/>
        <w:t>The content on the website was written mostly by members of the LFL committee and the website development was done through LCA Communications. We had an event on Wednesday</w:t>
      </w:r>
      <w:r w:rsidR="00A0565F">
        <w:rPr>
          <w:rFonts w:ascii="Cambria" w:hAnsi="Cambria"/>
        </w:rPr>
        <w:t xml:space="preserve"> 18 October </w:t>
      </w:r>
      <w:r w:rsidRPr="009A0DA6">
        <w:rPr>
          <w:rFonts w:ascii="Cambria" w:hAnsi="Cambria"/>
        </w:rPr>
        <w:t xml:space="preserve">2018 to launch the site. Pastor Dale Gosden from Endeavour College and Linda Macqueen were guest speakers for the launch, and we had a good number of folk along from various parts of our church to be part of the event. </w:t>
      </w:r>
    </w:p>
    <w:p w14:paraId="355AE3BA" w14:textId="77777777" w:rsidR="00930400" w:rsidRPr="009A0DA6" w:rsidRDefault="00930400" w:rsidP="00930400">
      <w:pPr>
        <w:spacing w:before="120" w:after="120" w:line="240" w:lineRule="auto"/>
        <w:contextualSpacing/>
        <w:rPr>
          <w:rFonts w:ascii="Cambria" w:hAnsi="Cambria"/>
        </w:rPr>
      </w:pPr>
    </w:p>
    <w:p w14:paraId="7ADF3341" w14:textId="77777777" w:rsidR="00930400" w:rsidRPr="009A0DA6" w:rsidRDefault="00930400" w:rsidP="00930400">
      <w:pPr>
        <w:spacing w:before="120" w:after="120" w:line="240" w:lineRule="auto"/>
        <w:contextualSpacing/>
        <w:rPr>
          <w:rFonts w:ascii="Cambria" w:hAnsi="Cambria"/>
        </w:rPr>
      </w:pPr>
      <w:r w:rsidRPr="009A0DA6">
        <w:rPr>
          <w:rFonts w:ascii="Cambria" w:hAnsi="Cambria"/>
        </w:rPr>
        <w:t xml:space="preserve">Our thanks go to the LLL for their generous grant to make this website possible. </w:t>
      </w:r>
    </w:p>
    <w:p w14:paraId="1F99CC2A" w14:textId="77777777" w:rsidR="00930400" w:rsidRPr="009A0DA6" w:rsidRDefault="00930400" w:rsidP="00930400">
      <w:pPr>
        <w:pStyle w:val="Heading3"/>
      </w:pPr>
      <w:r w:rsidRPr="009A0DA6">
        <w:t>National Youth Forum</w:t>
      </w:r>
    </w:p>
    <w:p w14:paraId="6A3A1D5B" w14:textId="77777777" w:rsidR="00930400" w:rsidRPr="009A0DA6" w:rsidRDefault="00930400" w:rsidP="00930400">
      <w:pPr>
        <w:spacing w:before="120" w:after="120" w:line="240" w:lineRule="auto"/>
        <w:contextualSpacing/>
        <w:rPr>
          <w:rFonts w:ascii="Cambria" w:hAnsi="Cambria"/>
        </w:rPr>
      </w:pPr>
      <w:r w:rsidRPr="009A0DA6">
        <w:rPr>
          <w:rFonts w:ascii="Cambria" w:hAnsi="Cambria"/>
        </w:rPr>
        <w:t xml:space="preserve">On April 13, 2018 two of our committee members were invited to speak with the young people gathered at the National Youth Forum in Adelaide run by Grow Ministries. It was a tremendous privilege to be involved. We spent a day with the young people there covering Biblical foundations for life issues, abortion, marriage, sexuality, euthanasia, and practical Christian responses. It was great to hear the young people of our church thoughtfully engage with these issues and begin to integrate this into their Christian faith. </w:t>
      </w:r>
    </w:p>
    <w:p w14:paraId="5514D0A8" w14:textId="77777777" w:rsidR="00930400" w:rsidRPr="009A0DA6" w:rsidRDefault="00930400" w:rsidP="00930400">
      <w:pPr>
        <w:pStyle w:val="Heading3"/>
      </w:pPr>
      <w:r w:rsidRPr="009A0DA6">
        <w:t xml:space="preserve">Newsletter - Life News </w:t>
      </w:r>
    </w:p>
    <w:p w14:paraId="1A95985F" w14:textId="77777777" w:rsidR="00930400" w:rsidRPr="009A0DA6" w:rsidRDefault="00930400" w:rsidP="00930400">
      <w:pPr>
        <w:spacing w:before="120" w:after="120" w:line="240" w:lineRule="auto"/>
        <w:contextualSpacing/>
        <w:rPr>
          <w:rFonts w:ascii="Cambria" w:hAnsi="Cambria"/>
        </w:rPr>
      </w:pPr>
      <w:r w:rsidRPr="009A0DA6">
        <w:rPr>
          <w:rFonts w:ascii="Cambria" w:hAnsi="Cambria"/>
        </w:rPr>
        <w:t xml:space="preserve">Our regular newsletter continues to be sent out to pastors and congregations of the church. The newsletter is produced by our editor Kimberley Pfeiffer. In it we aim to keep up to date with latest trends in life issues in our country and society and provide commentary and theological reflection. </w:t>
      </w:r>
    </w:p>
    <w:p w14:paraId="2E8BEAC7" w14:textId="77777777" w:rsidR="00930400" w:rsidRPr="009A0DA6" w:rsidRDefault="00930400" w:rsidP="00930400">
      <w:pPr>
        <w:pStyle w:val="Heading3"/>
      </w:pPr>
      <w:r w:rsidRPr="009A0DA6">
        <w:t xml:space="preserve">ALC pastoral graduate’s dinner </w:t>
      </w:r>
    </w:p>
    <w:p w14:paraId="48BAAA16" w14:textId="77777777" w:rsidR="00930400" w:rsidRPr="009A0DA6" w:rsidRDefault="00930400" w:rsidP="00930400">
      <w:pPr>
        <w:spacing w:before="120" w:after="120" w:line="240" w:lineRule="auto"/>
        <w:contextualSpacing/>
        <w:rPr>
          <w:rFonts w:ascii="Cambria" w:hAnsi="Cambria"/>
        </w:rPr>
      </w:pPr>
      <w:r w:rsidRPr="009A0DA6">
        <w:rPr>
          <w:rFonts w:ascii="Cambria" w:hAnsi="Cambria"/>
        </w:rPr>
        <w:t xml:space="preserve">Each year we host a dinner for the new pastor graduates from ALC with a speaker and make a gift to them of a relevant Christian book on life issues. This is always a valuable evening to encourage these new pastors and build relationships for the future. </w:t>
      </w:r>
    </w:p>
    <w:p w14:paraId="3C1BE702" w14:textId="77777777" w:rsidR="00930400" w:rsidRPr="009A0DA6" w:rsidRDefault="00930400" w:rsidP="00930400">
      <w:pPr>
        <w:spacing w:before="120" w:after="120" w:line="240" w:lineRule="auto"/>
        <w:contextualSpacing/>
        <w:rPr>
          <w:rFonts w:ascii="Cambria" w:hAnsi="Cambria"/>
          <w:b/>
        </w:rPr>
      </w:pPr>
    </w:p>
    <w:p w14:paraId="157A097A" w14:textId="77777777" w:rsidR="00930400" w:rsidRPr="009A0DA6" w:rsidRDefault="00930400" w:rsidP="00930400">
      <w:pPr>
        <w:pStyle w:val="Heading3"/>
      </w:pPr>
      <w:r w:rsidRPr="009A0DA6">
        <w:lastRenderedPageBreak/>
        <w:t xml:space="preserve">Feedback on documents and submissions </w:t>
      </w:r>
    </w:p>
    <w:p w14:paraId="05CA4752" w14:textId="42C0CD65" w:rsidR="00930400" w:rsidRPr="009A0DA6" w:rsidRDefault="00930400" w:rsidP="00930400">
      <w:pPr>
        <w:spacing w:before="120" w:after="120" w:line="240" w:lineRule="auto"/>
        <w:contextualSpacing/>
        <w:rPr>
          <w:rFonts w:ascii="Cambria" w:hAnsi="Cambria"/>
        </w:rPr>
      </w:pPr>
      <w:r w:rsidRPr="009A0DA6">
        <w:rPr>
          <w:rFonts w:ascii="Cambria" w:hAnsi="Cambria"/>
        </w:rPr>
        <w:t xml:space="preserve">In this past synodical term individual members of the LFL committee have provided feedback on various documents and submissions prepared by CSBQ or the office for public theology, such as a draft paper on reducing abortion in Australia, and the submission to the </w:t>
      </w:r>
      <w:r w:rsidR="00E72999">
        <w:rPr>
          <w:rFonts w:ascii="Cambria" w:hAnsi="Cambria"/>
        </w:rPr>
        <w:t>Qld</w:t>
      </w:r>
      <w:r w:rsidRPr="009A0DA6">
        <w:rPr>
          <w:rFonts w:ascii="Cambria" w:hAnsi="Cambria"/>
        </w:rPr>
        <w:t xml:space="preserve"> parliament in regard to their abortion bill. </w:t>
      </w:r>
    </w:p>
    <w:p w14:paraId="019A058A" w14:textId="77777777" w:rsidR="00930400" w:rsidRPr="009A0DA6" w:rsidRDefault="00930400" w:rsidP="00930400">
      <w:pPr>
        <w:pStyle w:val="Heading3"/>
      </w:pPr>
      <w:r w:rsidRPr="009A0DA6">
        <w:t xml:space="preserve">Other presentations and talks </w:t>
      </w:r>
    </w:p>
    <w:p w14:paraId="0CD3213B" w14:textId="77777777" w:rsidR="00930400" w:rsidRPr="009A0DA6" w:rsidRDefault="00930400" w:rsidP="00930400">
      <w:pPr>
        <w:spacing w:before="120" w:after="120" w:line="240" w:lineRule="auto"/>
        <w:contextualSpacing/>
        <w:rPr>
          <w:rFonts w:ascii="Cambria" w:hAnsi="Cambria"/>
        </w:rPr>
      </w:pPr>
      <w:r w:rsidRPr="009A0DA6">
        <w:rPr>
          <w:rFonts w:ascii="Cambria" w:hAnsi="Cambria"/>
        </w:rPr>
        <w:t xml:space="preserve">A member of the LFL committee, Chelsea Pietsch, has also spoken at the following events in this past synodical term: </w:t>
      </w:r>
    </w:p>
    <w:p w14:paraId="1AAE7A5A" w14:textId="77777777" w:rsidR="00930400" w:rsidRPr="009A0DA6" w:rsidRDefault="00930400" w:rsidP="00F55252">
      <w:pPr>
        <w:pStyle w:val="ListParagraph"/>
        <w:numPr>
          <w:ilvl w:val="0"/>
          <w:numId w:val="203"/>
        </w:numPr>
        <w:spacing w:before="120" w:after="120" w:line="240" w:lineRule="auto"/>
        <w:ind w:left="567" w:hanging="567"/>
        <w:rPr>
          <w:rFonts w:ascii="Cambria" w:hAnsi="Cambria"/>
        </w:rPr>
      </w:pPr>
      <w:r w:rsidRPr="009A0DA6">
        <w:rPr>
          <w:rFonts w:ascii="Cambria" w:hAnsi="Cambria"/>
        </w:rPr>
        <w:t>Endeavour College, yr 10s ‘Big issues’ day</w:t>
      </w:r>
    </w:p>
    <w:p w14:paraId="32988A3A" w14:textId="77777777" w:rsidR="00930400" w:rsidRPr="009A0DA6" w:rsidRDefault="00930400" w:rsidP="00F55252">
      <w:pPr>
        <w:pStyle w:val="ListParagraph"/>
        <w:numPr>
          <w:ilvl w:val="0"/>
          <w:numId w:val="203"/>
        </w:numPr>
        <w:spacing w:before="120" w:after="120" w:line="240" w:lineRule="auto"/>
        <w:ind w:left="567" w:hanging="567"/>
        <w:rPr>
          <w:rFonts w:ascii="Cambria" w:hAnsi="Cambria"/>
        </w:rPr>
      </w:pPr>
      <w:r w:rsidRPr="009A0DA6">
        <w:rPr>
          <w:rFonts w:ascii="Cambria" w:hAnsi="Cambria"/>
        </w:rPr>
        <w:t xml:space="preserve">ALC moral theology class </w:t>
      </w:r>
    </w:p>
    <w:p w14:paraId="20FBA5C2" w14:textId="77777777" w:rsidR="00930400" w:rsidRPr="009A0DA6" w:rsidRDefault="00930400" w:rsidP="00F55252">
      <w:pPr>
        <w:pStyle w:val="ListParagraph"/>
        <w:numPr>
          <w:ilvl w:val="0"/>
          <w:numId w:val="203"/>
        </w:numPr>
        <w:spacing w:before="120" w:after="120" w:line="240" w:lineRule="auto"/>
        <w:ind w:left="567" w:hanging="567"/>
        <w:rPr>
          <w:rFonts w:ascii="Cambria" w:hAnsi="Cambria"/>
        </w:rPr>
      </w:pPr>
      <w:r w:rsidRPr="009A0DA6">
        <w:rPr>
          <w:rFonts w:ascii="Cambria" w:hAnsi="Cambria"/>
        </w:rPr>
        <w:t xml:space="preserve">Invigorate youth and family ministry training day </w:t>
      </w:r>
    </w:p>
    <w:p w14:paraId="75A9D441" w14:textId="77777777" w:rsidR="00930400" w:rsidRPr="009A0DA6" w:rsidRDefault="00930400" w:rsidP="00930400">
      <w:pPr>
        <w:pStyle w:val="Heading3"/>
      </w:pPr>
      <w:r w:rsidRPr="009A0DA6">
        <w:t xml:space="preserve">Governance review </w:t>
      </w:r>
    </w:p>
    <w:p w14:paraId="0F40B8D4" w14:textId="77777777" w:rsidR="00930400" w:rsidRPr="009A0DA6" w:rsidRDefault="00930400" w:rsidP="00930400">
      <w:pPr>
        <w:spacing w:before="120" w:after="120" w:line="240" w:lineRule="auto"/>
        <w:contextualSpacing/>
        <w:rPr>
          <w:rFonts w:ascii="Cambria" w:hAnsi="Cambria"/>
        </w:rPr>
      </w:pPr>
      <w:r w:rsidRPr="009A0DA6">
        <w:rPr>
          <w:rFonts w:ascii="Cambria" w:hAnsi="Cambria"/>
        </w:rPr>
        <w:t>This past term also saw LFL complete a review of its governance. The result of this was a decision to transition from being a separately incorporated body to becoming a committee of the LCA. At the time of writing the details of LFL’s new governance structure are still being finalised.</w:t>
      </w:r>
    </w:p>
    <w:p w14:paraId="1DB443F7" w14:textId="77777777" w:rsidR="00930400" w:rsidRPr="009A0DA6" w:rsidRDefault="00930400" w:rsidP="00930400">
      <w:pPr>
        <w:pStyle w:val="Heading3"/>
      </w:pPr>
      <w:r w:rsidRPr="009A0DA6">
        <w:t>Café Latino</w:t>
      </w:r>
    </w:p>
    <w:p w14:paraId="27A01E3E" w14:textId="77777777" w:rsidR="00930400" w:rsidRPr="009A0DA6" w:rsidRDefault="00930400" w:rsidP="00930400">
      <w:pPr>
        <w:spacing w:before="120" w:after="120" w:line="240" w:lineRule="auto"/>
        <w:contextualSpacing/>
        <w:rPr>
          <w:rFonts w:ascii="Cambria" w:hAnsi="Cambria"/>
          <w:b/>
        </w:rPr>
      </w:pPr>
      <w:r w:rsidRPr="009A0DA6">
        <w:rPr>
          <w:rFonts w:ascii="Cambria" w:hAnsi="Cambria"/>
        </w:rPr>
        <w:t xml:space="preserve">One aspect of LFL’s terms of reference is to support other groups and organisations with similar goals to our own. One such project we have supported both financially and in other ways is Café Latino in Woodville, SA. Café Latino is situated next to a major abortion clinic in Adelaide. It is run by a Christian woman who wanted to provide a place of hope and life for staff and clients of the clinic. Through her quiet but powerful witness she has had a real impact there and we hope and pray she remains for years to come. </w:t>
      </w:r>
    </w:p>
    <w:p w14:paraId="6E645A16" w14:textId="77777777" w:rsidR="00930400" w:rsidRPr="009A0DA6" w:rsidRDefault="00930400" w:rsidP="00930400">
      <w:pPr>
        <w:pStyle w:val="Heading3"/>
      </w:pPr>
      <w:r w:rsidRPr="009A0DA6">
        <w:t>Successes</w:t>
      </w:r>
    </w:p>
    <w:p w14:paraId="1AE0F608" w14:textId="77777777" w:rsidR="00930400" w:rsidRPr="009A0DA6" w:rsidRDefault="00930400" w:rsidP="00F55252">
      <w:pPr>
        <w:pStyle w:val="ListParagraph"/>
        <w:numPr>
          <w:ilvl w:val="0"/>
          <w:numId w:val="204"/>
        </w:numPr>
        <w:spacing w:before="120" w:after="120" w:line="240" w:lineRule="auto"/>
        <w:ind w:left="567" w:hanging="567"/>
        <w:rPr>
          <w:rFonts w:ascii="Cambria" w:hAnsi="Cambria"/>
        </w:rPr>
      </w:pPr>
      <w:r w:rsidRPr="009A0DA6">
        <w:rPr>
          <w:rFonts w:ascii="Cambria" w:hAnsi="Cambria"/>
        </w:rPr>
        <w:t xml:space="preserve">Website development and launch </w:t>
      </w:r>
    </w:p>
    <w:p w14:paraId="434B4415" w14:textId="77777777" w:rsidR="00930400" w:rsidRPr="009A0DA6" w:rsidRDefault="00930400" w:rsidP="00F55252">
      <w:pPr>
        <w:pStyle w:val="ListParagraph"/>
        <w:numPr>
          <w:ilvl w:val="0"/>
          <w:numId w:val="204"/>
        </w:numPr>
        <w:spacing w:before="120" w:after="120" w:line="240" w:lineRule="auto"/>
        <w:ind w:left="567" w:hanging="567"/>
        <w:rPr>
          <w:rFonts w:ascii="Cambria" w:hAnsi="Cambria"/>
        </w:rPr>
      </w:pPr>
      <w:r w:rsidRPr="009A0DA6">
        <w:rPr>
          <w:rFonts w:ascii="Cambria" w:hAnsi="Cambria"/>
        </w:rPr>
        <w:t xml:space="preserve">National Youth Forum presentation day </w:t>
      </w:r>
    </w:p>
    <w:p w14:paraId="397FB5CB" w14:textId="77777777" w:rsidR="00930400" w:rsidRPr="009A0DA6" w:rsidRDefault="00930400" w:rsidP="00930400">
      <w:pPr>
        <w:pStyle w:val="Heading3"/>
      </w:pPr>
      <w:r w:rsidRPr="009A0DA6">
        <w:t>Challenges and Lessons Learned</w:t>
      </w:r>
    </w:p>
    <w:p w14:paraId="736DF041" w14:textId="77777777" w:rsidR="00930400" w:rsidRPr="005F21CD" w:rsidRDefault="00930400" w:rsidP="00F55252">
      <w:pPr>
        <w:pStyle w:val="ListParagraph"/>
        <w:numPr>
          <w:ilvl w:val="0"/>
          <w:numId w:val="205"/>
        </w:numPr>
        <w:spacing w:before="120" w:after="120" w:line="240" w:lineRule="auto"/>
        <w:ind w:left="567" w:hanging="567"/>
        <w:rPr>
          <w:rFonts w:ascii="Cambria" w:hAnsi="Cambria"/>
          <w:sz w:val="10"/>
          <w:szCs w:val="10"/>
        </w:rPr>
      </w:pPr>
      <w:r w:rsidRPr="009A0DA6">
        <w:rPr>
          <w:rFonts w:ascii="Cambria" w:hAnsi="Cambria"/>
        </w:rPr>
        <w:t>Governance review and transition</w:t>
      </w:r>
      <w:r w:rsidRPr="009A0DA6">
        <w:rPr>
          <w:rFonts w:ascii="Cambria" w:hAnsi="Cambria"/>
        </w:rPr>
        <w:br/>
      </w:r>
    </w:p>
    <w:p w14:paraId="5BA6E0B4" w14:textId="77777777" w:rsidR="00930400" w:rsidRPr="009A0DA6" w:rsidRDefault="00930400" w:rsidP="00930400">
      <w:pPr>
        <w:pStyle w:val="Heading3"/>
      </w:pPr>
      <w:r w:rsidRPr="009A0DA6">
        <w:t>Cooperating LCA Boards and Agencies</w:t>
      </w:r>
    </w:p>
    <w:tbl>
      <w:tblPr>
        <w:tblStyle w:val="PlainTable2"/>
        <w:tblW w:w="8789" w:type="dxa"/>
        <w:tblLook w:val="04A0" w:firstRow="1" w:lastRow="0" w:firstColumn="1" w:lastColumn="0" w:noHBand="0" w:noVBand="1"/>
      </w:tblPr>
      <w:tblGrid>
        <w:gridCol w:w="2835"/>
        <w:gridCol w:w="5954"/>
      </w:tblGrid>
      <w:tr w:rsidR="00930400" w:rsidRPr="009A0DA6" w14:paraId="4FF853C0" w14:textId="77777777" w:rsidTr="005F21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2C07333B" w14:textId="77777777" w:rsidR="00930400" w:rsidRPr="009A0DA6" w:rsidRDefault="00930400" w:rsidP="005F21CD">
            <w:pPr>
              <w:contextualSpacing/>
              <w:rPr>
                <w:rFonts w:ascii="Cambria" w:hAnsi="Cambria" w:cs="Arial"/>
              </w:rPr>
            </w:pPr>
            <w:r w:rsidRPr="009A0DA6">
              <w:rPr>
                <w:rFonts w:ascii="Cambria" w:hAnsi="Cambria" w:cs="Arial"/>
              </w:rPr>
              <w:t xml:space="preserve">Commission on Social and Bioethical Questions </w:t>
            </w:r>
          </w:p>
        </w:tc>
        <w:tc>
          <w:tcPr>
            <w:tcW w:w="5954" w:type="dxa"/>
          </w:tcPr>
          <w:p w14:paraId="2B45301B" w14:textId="77777777" w:rsidR="00930400" w:rsidRPr="009A0DA6" w:rsidRDefault="00930400" w:rsidP="00AD09CB">
            <w:pPr>
              <w:spacing w:before="120" w:after="120"/>
              <w:contextualSpacing/>
              <w:cnfStyle w:val="100000000000" w:firstRow="1" w:lastRow="0" w:firstColumn="0" w:lastColumn="0" w:oddVBand="0" w:evenVBand="0" w:oddHBand="0" w:evenHBand="0" w:firstRowFirstColumn="0" w:firstRowLastColumn="0" w:lastRowFirstColumn="0" w:lastRowLastColumn="0"/>
              <w:rPr>
                <w:rFonts w:ascii="Cambria" w:hAnsi="Cambria" w:cs="Arial"/>
                <w:b w:val="0"/>
              </w:rPr>
            </w:pPr>
            <w:r w:rsidRPr="009A0DA6">
              <w:rPr>
                <w:rFonts w:ascii="Cambria" w:hAnsi="Cambria" w:cs="Arial"/>
                <w:b w:val="0"/>
              </w:rPr>
              <w:t xml:space="preserve">Provides regular reports on LFL activities. </w:t>
            </w:r>
          </w:p>
          <w:p w14:paraId="18535533" w14:textId="77777777" w:rsidR="00930400" w:rsidRPr="009A0DA6" w:rsidRDefault="00930400" w:rsidP="00AD09CB">
            <w:pPr>
              <w:spacing w:before="120" w:after="120"/>
              <w:contextualSpacing/>
              <w:cnfStyle w:val="100000000000" w:firstRow="1"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b w:val="0"/>
              </w:rPr>
              <w:t>Responded at request to draft paper on abortion.</w:t>
            </w:r>
            <w:r w:rsidRPr="009A0DA6">
              <w:rPr>
                <w:rFonts w:ascii="Cambria" w:hAnsi="Cambria" w:cs="Arial"/>
              </w:rPr>
              <w:t xml:space="preserve"> </w:t>
            </w:r>
          </w:p>
        </w:tc>
      </w:tr>
      <w:tr w:rsidR="00930400" w:rsidRPr="009A0DA6" w14:paraId="73CDF901" w14:textId="77777777" w:rsidTr="005F21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04B1DEDF" w14:textId="77777777" w:rsidR="00930400" w:rsidRPr="009A0DA6" w:rsidRDefault="00930400" w:rsidP="005F21CD">
            <w:pPr>
              <w:contextualSpacing/>
              <w:rPr>
                <w:rFonts w:ascii="Cambria" w:hAnsi="Cambria" w:cs="Arial"/>
              </w:rPr>
            </w:pPr>
            <w:r w:rsidRPr="009A0DA6">
              <w:rPr>
                <w:rFonts w:ascii="Cambria" w:hAnsi="Cambria" w:cs="Arial"/>
              </w:rPr>
              <w:t xml:space="preserve">Assistant to the Bishop – Public Theology </w:t>
            </w:r>
          </w:p>
        </w:tc>
        <w:tc>
          <w:tcPr>
            <w:tcW w:w="5954" w:type="dxa"/>
          </w:tcPr>
          <w:p w14:paraId="36BFB6A0" w14:textId="77777777" w:rsidR="00930400" w:rsidRPr="009A0DA6" w:rsidRDefault="00930400" w:rsidP="00AD09CB">
            <w:pPr>
              <w:spacing w:before="120" w:after="120"/>
              <w:contextualSpacing/>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 xml:space="preserve">Individual LFL committee members have provided Nick Schwartz with feedback on several draft papers and submissions. </w:t>
            </w:r>
          </w:p>
        </w:tc>
      </w:tr>
      <w:tr w:rsidR="00930400" w:rsidRPr="009A0DA6" w14:paraId="59404F09" w14:textId="77777777" w:rsidTr="005F21CD">
        <w:tc>
          <w:tcPr>
            <w:cnfStyle w:val="001000000000" w:firstRow="0" w:lastRow="0" w:firstColumn="1" w:lastColumn="0" w:oddVBand="0" w:evenVBand="0" w:oddHBand="0" w:evenHBand="0" w:firstRowFirstColumn="0" w:firstRowLastColumn="0" w:lastRowFirstColumn="0" w:lastRowLastColumn="0"/>
            <w:tcW w:w="2835" w:type="dxa"/>
          </w:tcPr>
          <w:p w14:paraId="264EC488" w14:textId="3E7F13FB" w:rsidR="00930400" w:rsidRPr="005F21CD" w:rsidRDefault="00930400" w:rsidP="005F21CD">
            <w:pPr>
              <w:contextualSpacing/>
              <w:rPr>
                <w:rFonts w:ascii="Cambria" w:hAnsi="Cambria" w:cs="Arial"/>
              </w:rPr>
            </w:pPr>
            <w:r w:rsidRPr="009A0DA6">
              <w:rPr>
                <w:rFonts w:ascii="Cambria" w:hAnsi="Cambria" w:cs="Arial"/>
              </w:rPr>
              <w:t xml:space="preserve">Grow Ministries </w:t>
            </w:r>
          </w:p>
        </w:tc>
        <w:tc>
          <w:tcPr>
            <w:tcW w:w="5954" w:type="dxa"/>
          </w:tcPr>
          <w:p w14:paraId="36D6607C" w14:textId="77777777" w:rsidR="00930400" w:rsidRPr="009A0DA6" w:rsidRDefault="00930400" w:rsidP="00AD09CB">
            <w:pPr>
              <w:spacing w:before="120" w:after="120"/>
              <w:contextualSpacing/>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 xml:space="preserve">Collaborated on LFL presentation to National Youth Forum </w:t>
            </w:r>
          </w:p>
        </w:tc>
      </w:tr>
      <w:tr w:rsidR="00930400" w:rsidRPr="009A0DA6" w14:paraId="00B3B9C4" w14:textId="77777777" w:rsidTr="005F21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0A79E7E4" w14:textId="0B6F2B9F" w:rsidR="00930400" w:rsidRPr="005F21CD" w:rsidRDefault="00930400" w:rsidP="005F21CD">
            <w:pPr>
              <w:contextualSpacing/>
              <w:rPr>
                <w:rFonts w:ascii="Cambria" w:hAnsi="Cambria" w:cs="Arial"/>
              </w:rPr>
            </w:pPr>
            <w:r w:rsidRPr="009A0DA6">
              <w:rPr>
                <w:rFonts w:ascii="Cambria" w:hAnsi="Cambria" w:cs="Arial"/>
              </w:rPr>
              <w:t xml:space="preserve">LCA Communications </w:t>
            </w:r>
          </w:p>
        </w:tc>
        <w:tc>
          <w:tcPr>
            <w:tcW w:w="5954" w:type="dxa"/>
          </w:tcPr>
          <w:p w14:paraId="01C1BE72" w14:textId="77777777" w:rsidR="00930400" w:rsidRPr="009A0DA6" w:rsidRDefault="00930400" w:rsidP="00AD09CB">
            <w:pPr>
              <w:spacing w:before="120" w:after="120"/>
              <w:contextualSpacing/>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Worked closely together on development of new LFL website</w:t>
            </w:r>
          </w:p>
        </w:tc>
      </w:tr>
      <w:tr w:rsidR="00930400" w:rsidRPr="009A0DA6" w14:paraId="6AA04BAE" w14:textId="77777777" w:rsidTr="005F21CD">
        <w:tc>
          <w:tcPr>
            <w:cnfStyle w:val="001000000000" w:firstRow="0" w:lastRow="0" w:firstColumn="1" w:lastColumn="0" w:oddVBand="0" w:evenVBand="0" w:oddHBand="0" w:evenHBand="0" w:firstRowFirstColumn="0" w:firstRowLastColumn="0" w:lastRowFirstColumn="0" w:lastRowLastColumn="0"/>
            <w:tcW w:w="2835" w:type="dxa"/>
          </w:tcPr>
          <w:p w14:paraId="09EA36FA" w14:textId="77777777" w:rsidR="00930400" w:rsidRPr="009A0DA6" w:rsidRDefault="00930400" w:rsidP="005F21CD">
            <w:pPr>
              <w:contextualSpacing/>
              <w:rPr>
                <w:rFonts w:ascii="Cambria" w:hAnsi="Cambria" w:cs="Arial"/>
              </w:rPr>
            </w:pPr>
            <w:r w:rsidRPr="009A0DA6">
              <w:rPr>
                <w:rFonts w:ascii="Cambria" w:hAnsi="Cambria" w:cs="Arial"/>
              </w:rPr>
              <w:t xml:space="preserve">Grassroots training </w:t>
            </w:r>
          </w:p>
        </w:tc>
        <w:tc>
          <w:tcPr>
            <w:tcW w:w="5954" w:type="dxa"/>
          </w:tcPr>
          <w:p w14:paraId="794BC3B7" w14:textId="77777777" w:rsidR="00930400" w:rsidRPr="009A0DA6" w:rsidRDefault="00930400" w:rsidP="00AD09CB">
            <w:pPr>
              <w:spacing w:before="120" w:after="120"/>
              <w:contextualSpacing/>
              <w:cnfStyle w:val="000000000000" w:firstRow="0" w:lastRow="0" w:firstColumn="0" w:lastColumn="0" w:oddVBand="0" w:evenVBand="0" w:oddHBand="0" w:evenHBand="0" w:firstRowFirstColumn="0" w:firstRowLastColumn="0" w:lastRowFirstColumn="0" w:lastRowLastColumn="0"/>
              <w:rPr>
                <w:rFonts w:ascii="Cambria" w:hAnsi="Cambria" w:cs="Arial"/>
                <w:i/>
              </w:rPr>
            </w:pPr>
            <w:r w:rsidRPr="009A0DA6">
              <w:rPr>
                <w:rFonts w:ascii="Cambria" w:hAnsi="Cambria" w:cs="Arial"/>
              </w:rPr>
              <w:t xml:space="preserve">Informal discussions about possibility of working together on further educational opportunities </w:t>
            </w:r>
          </w:p>
        </w:tc>
      </w:tr>
    </w:tbl>
    <w:p w14:paraId="22843C89" w14:textId="77777777" w:rsidR="00930400" w:rsidRPr="005F21CD" w:rsidRDefault="00930400" w:rsidP="00930400">
      <w:pPr>
        <w:spacing w:before="120" w:after="120" w:line="240" w:lineRule="auto"/>
        <w:contextualSpacing/>
        <w:rPr>
          <w:rFonts w:ascii="Cambria" w:hAnsi="Cambria"/>
          <w:b/>
          <w:sz w:val="4"/>
        </w:rPr>
      </w:pPr>
    </w:p>
    <w:p w14:paraId="461323F1" w14:textId="77777777" w:rsidR="00930400" w:rsidRPr="009A0DA6" w:rsidRDefault="00930400" w:rsidP="005F21CD">
      <w:pPr>
        <w:pStyle w:val="Heading3"/>
        <w:spacing w:after="0"/>
      </w:pPr>
      <w:r w:rsidRPr="009A0DA6">
        <w:t>Financial Performance</w:t>
      </w:r>
    </w:p>
    <w:tbl>
      <w:tblPr>
        <w:tblStyle w:val="TableGrid"/>
        <w:tblW w:w="906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1157"/>
        <w:gridCol w:w="1518"/>
        <w:gridCol w:w="2423"/>
      </w:tblGrid>
      <w:tr w:rsidR="00930400" w:rsidRPr="009A0DA6" w14:paraId="731C07A5" w14:textId="77777777" w:rsidTr="00AD09CB">
        <w:tc>
          <w:tcPr>
            <w:tcW w:w="3969" w:type="dxa"/>
          </w:tcPr>
          <w:p w14:paraId="6756BC06" w14:textId="77777777" w:rsidR="00930400" w:rsidRPr="009A0DA6" w:rsidRDefault="00930400" w:rsidP="005F21CD">
            <w:pPr>
              <w:spacing w:before="120"/>
              <w:contextualSpacing/>
              <w:rPr>
                <w:rFonts w:ascii="Cambria" w:hAnsi="Cambria" w:cs="Arial"/>
                <w:b/>
              </w:rPr>
            </w:pPr>
            <w:r w:rsidRPr="009A0DA6">
              <w:rPr>
                <w:rFonts w:ascii="Cambria" w:hAnsi="Cambria" w:cs="Arial"/>
                <w:b/>
              </w:rPr>
              <w:t>Table of Cash Movements</w:t>
            </w:r>
          </w:p>
        </w:tc>
        <w:tc>
          <w:tcPr>
            <w:tcW w:w="1157" w:type="dxa"/>
          </w:tcPr>
          <w:p w14:paraId="05782C77" w14:textId="77777777" w:rsidR="00930400" w:rsidRPr="009A0DA6" w:rsidRDefault="00930400" w:rsidP="005F21CD">
            <w:pPr>
              <w:spacing w:before="120"/>
              <w:contextualSpacing/>
              <w:jc w:val="center"/>
              <w:rPr>
                <w:rFonts w:ascii="Cambria" w:hAnsi="Cambria" w:cs="Arial"/>
                <w:b/>
              </w:rPr>
            </w:pPr>
          </w:p>
        </w:tc>
        <w:tc>
          <w:tcPr>
            <w:tcW w:w="1518" w:type="dxa"/>
          </w:tcPr>
          <w:p w14:paraId="6E4E957D" w14:textId="77777777" w:rsidR="00930400" w:rsidRPr="009A0DA6" w:rsidRDefault="00930400" w:rsidP="005F21CD">
            <w:pPr>
              <w:spacing w:before="120"/>
              <w:contextualSpacing/>
              <w:jc w:val="center"/>
              <w:rPr>
                <w:rFonts w:ascii="Cambria" w:hAnsi="Cambria" w:cs="Arial"/>
                <w:b/>
              </w:rPr>
            </w:pPr>
            <w:r w:rsidRPr="009A0DA6">
              <w:rPr>
                <w:rFonts w:ascii="Cambria" w:hAnsi="Cambria" w:cs="Arial"/>
                <w:b/>
              </w:rPr>
              <w:t>FY2016</w:t>
            </w:r>
          </w:p>
        </w:tc>
        <w:tc>
          <w:tcPr>
            <w:tcW w:w="2423" w:type="dxa"/>
          </w:tcPr>
          <w:p w14:paraId="57C9C875" w14:textId="77777777" w:rsidR="00930400" w:rsidRPr="009A0DA6" w:rsidRDefault="00930400" w:rsidP="005F21CD">
            <w:pPr>
              <w:spacing w:before="120"/>
              <w:contextualSpacing/>
              <w:jc w:val="center"/>
              <w:rPr>
                <w:rFonts w:ascii="Cambria" w:hAnsi="Cambria" w:cs="Arial"/>
                <w:b/>
              </w:rPr>
            </w:pPr>
            <w:r w:rsidRPr="009A0DA6">
              <w:rPr>
                <w:rFonts w:ascii="Cambria" w:hAnsi="Cambria" w:cs="Arial"/>
                <w:b/>
              </w:rPr>
              <w:t>FY2017</w:t>
            </w:r>
          </w:p>
        </w:tc>
      </w:tr>
      <w:tr w:rsidR="00930400" w:rsidRPr="009A0DA6" w14:paraId="3DF1603F" w14:textId="77777777" w:rsidTr="00AD09CB">
        <w:tc>
          <w:tcPr>
            <w:tcW w:w="3969" w:type="dxa"/>
            <w:hideMark/>
          </w:tcPr>
          <w:p w14:paraId="155E284D" w14:textId="77777777" w:rsidR="00930400" w:rsidRPr="009A0DA6" w:rsidRDefault="00930400" w:rsidP="00AD09CB">
            <w:pPr>
              <w:spacing w:before="120" w:after="120"/>
              <w:contextualSpacing/>
              <w:rPr>
                <w:rFonts w:ascii="Cambria" w:hAnsi="Cambria" w:cs="Arial"/>
                <w:b/>
              </w:rPr>
            </w:pPr>
            <w:r w:rsidRPr="009A0DA6">
              <w:rPr>
                <w:rFonts w:ascii="Cambria" w:hAnsi="Cambria" w:cs="Arial"/>
                <w:b/>
              </w:rPr>
              <w:t>Total available at beginning of year</w:t>
            </w:r>
          </w:p>
        </w:tc>
        <w:tc>
          <w:tcPr>
            <w:tcW w:w="1157" w:type="dxa"/>
          </w:tcPr>
          <w:p w14:paraId="583CC00D" w14:textId="77777777" w:rsidR="00930400" w:rsidRPr="009A0DA6" w:rsidRDefault="00930400" w:rsidP="00AD09CB">
            <w:pPr>
              <w:spacing w:before="120" w:after="120"/>
              <w:contextualSpacing/>
              <w:jc w:val="center"/>
              <w:rPr>
                <w:rFonts w:ascii="Cambria" w:hAnsi="Cambria" w:cs="Arial"/>
                <w:b/>
              </w:rPr>
            </w:pPr>
          </w:p>
        </w:tc>
        <w:tc>
          <w:tcPr>
            <w:tcW w:w="1518" w:type="dxa"/>
            <w:hideMark/>
          </w:tcPr>
          <w:p w14:paraId="2DA0A7C3" w14:textId="77777777" w:rsidR="00930400" w:rsidRPr="009A0DA6" w:rsidRDefault="00930400" w:rsidP="00AD09CB">
            <w:pPr>
              <w:spacing w:before="120" w:after="120"/>
              <w:contextualSpacing/>
              <w:jc w:val="center"/>
              <w:rPr>
                <w:rFonts w:ascii="Cambria" w:hAnsi="Cambria" w:cs="Arial"/>
              </w:rPr>
            </w:pPr>
            <w:r w:rsidRPr="009A0DA6">
              <w:rPr>
                <w:rFonts w:ascii="Cambria" w:hAnsi="Cambria" w:cs="Arial"/>
              </w:rPr>
              <w:t>11,279</w:t>
            </w:r>
          </w:p>
        </w:tc>
        <w:tc>
          <w:tcPr>
            <w:tcW w:w="2423" w:type="dxa"/>
            <w:hideMark/>
          </w:tcPr>
          <w:p w14:paraId="0750B30B" w14:textId="77777777" w:rsidR="00930400" w:rsidRPr="009A0DA6" w:rsidRDefault="00930400" w:rsidP="00AD09CB">
            <w:pPr>
              <w:spacing w:before="120" w:after="120"/>
              <w:contextualSpacing/>
              <w:jc w:val="center"/>
              <w:rPr>
                <w:rFonts w:ascii="Cambria" w:hAnsi="Cambria" w:cs="Arial"/>
              </w:rPr>
            </w:pPr>
            <w:r w:rsidRPr="009A0DA6">
              <w:rPr>
                <w:rFonts w:ascii="Cambria" w:hAnsi="Cambria" w:cs="Arial"/>
              </w:rPr>
              <w:t>14,776</w:t>
            </w:r>
          </w:p>
        </w:tc>
      </w:tr>
      <w:tr w:rsidR="00930400" w:rsidRPr="009A0DA6" w14:paraId="47432C16" w14:textId="77777777" w:rsidTr="00AD09CB">
        <w:tc>
          <w:tcPr>
            <w:tcW w:w="3969" w:type="dxa"/>
            <w:hideMark/>
          </w:tcPr>
          <w:p w14:paraId="70063404" w14:textId="77777777" w:rsidR="00930400" w:rsidRPr="009A0DA6" w:rsidRDefault="00930400" w:rsidP="00AD09CB">
            <w:pPr>
              <w:spacing w:before="120" w:after="120"/>
              <w:contextualSpacing/>
              <w:rPr>
                <w:rFonts w:ascii="Cambria" w:hAnsi="Cambria" w:cs="Arial"/>
                <w:b/>
              </w:rPr>
            </w:pPr>
            <w:r w:rsidRPr="009A0DA6">
              <w:rPr>
                <w:rFonts w:ascii="Cambria" w:hAnsi="Cambria" w:cs="Arial"/>
                <w:b/>
              </w:rPr>
              <w:t>Cash raised in the year</w:t>
            </w:r>
          </w:p>
        </w:tc>
        <w:tc>
          <w:tcPr>
            <w:tcW w:w="1157" w:type="dxa"/>
          </w:tcPr>
          <w:p w14:paraId="39066335" w14:textId="77777777" w:rsidR="00930400" w:rsidRPr="009A0DA6" w:rsidRDefault="00930400" w:rsidP="00AD09CB">
            <w:pPr>
              <w:spacing w:before="120" w:after="120"/>
              <w:contextualSpacing/>
              <w:jc w:val="center"/>
              <w:rPr>
                <w:rFonts w:ascii="Cambria" w:hAnsi="Cambria" w:cs="Arial"/>
                <w:b/>
              </w:rPr>
            </w:pPr>
          </w:p>
        </w:tc>
        <w:tc>
          <w:tcPr>
            <w:tcW w:w="1518" w:type="dxa"/>
            <w:hideMark/>
          </w:tcPr>
          <w:p w14:paraId="4518B581" w14:textId="77777777" w:rsidR="00930400" w:rsidRPr="009A0DA6" w:rsidRDefault="00930400" w:rsidP="00AD09CB">
            <w:pPr>
              <w:spacing w:before="120" w:after="120"/>
              <w:contextualSpacing/>
              <w:jc w:val="center"/>
              <w:rPr>
                <w:rFonts w:ascii="Cambria" w:hAnsi="Cambria" w:cs="Arial"/>
              </w:rPr>
            </w:pPr>
            <w:r w:rsidRPr="009A0DA6">
              <w:rPr>
                <w:rFonts w:ascii="Cambria" w:hAnsi="Cambria" w:cs="Arial"/>
              </w:rPr>
              <w:t>6,692</w:t>
            </w:r>
          </w:p>
        </w:tc>
        <w:tc>
          <w:tcPr>
            <w:tcW w:w="2423" w:type="dxa"/>
            <w:hideMark/>
          </w:tcPr>
          <w:p w14:paraId="5FF7FA1E" w14:textId="77777777" w:rsidR="00930400" w:rsidRPr="009A0DA6" w:rsidRDefault="00930400" w:rsidP="00AD09CB">
            <w:pPr>
              <w:spacing w:before="120" w:after="120"/>
              <w:contextualSpacing/>
              <w:jc w:val="center"/>
              <w:rPr>
                <w:rFonts w:ascii="Cambria" w:hAnsi="Cambria" w:cs="Arial"/>
              </w:rPr>
            </w:pPr>
            <w:r w:rsidRPr="009A0DA6">
              <w:rPr>
                <w:rFonts w:ascii="Cambria" w:hAnsi="Cambria" w:cs="Arial"/>
              </w:rPr>
              <w:t>9,213</w:t>
            </w:r>
          </w:p>
        </w:tc>
      </w:tr>
      <w:tr w:rsidR="00930400" w:rsidRPr="009A0DA6" w14:paraId="38DA702F" w14:textId="77777777" w:rsidTr="00AD09CB">
        <w:tc>
          <w:tcPr>
            <w:tcW w:w="3969" w:type="dxa"/>
            <w:hideMark/>
          </w:tcPr>
          <w:p w14:paraId="76FF2400" w14:textId="77777777" w:rsidR="00930400" w:rsidRPr="009A0DA6" w:rsidRDefault="00930400" w:rsidP="00AD09CB">
            <w:pPr>
              <w:spacing w:before="120" w:after="120"/>
              <w:contextualSpacing/>
              <w:rPr>
                <w:rFonts w:ascii="Cambria" w:hAnsi="Cambria" w:cs="Arial"/>
                <w:b/>
              </w:rPr>
            </w:pPr>
            <w:r w:rsidRPr="009A0DA6">
              <w:rPr>
                <w:rFonts w:ascii="Cambria" w:hAnsi="Cambria" w:cs="Arial"/>
                <w:b/>
              </w:rPr>
              <w:t>Cash expended in the year</w:t>
            </w:r>
          </w:p>
        </w:tc>
        <w:tc>
          <w:tcPr>
            <w:tcW w:w="1157" w:type="dxa"/>
          </w:tcPr>
          <w:p w14:paraId="3515164D" w14:textId="77777777" w:rsidR="00930400" w:rsidRPr="009A0DA6" w:rsidRDefault="00930400" w:rsidP="00AD09CB">
            <w:pPr>
              <w:spacing w:before="120" w:after="120"/>
              <w:contextualSpacing/>
              <w:rPr>
                <w:rFonts w:ascii="Cambria" w:hAnsi="Cambria" w:cs="Arial"/>
              </w:rPr>
            </w:pPr>
          </w:p>
        </w:tc>
        <w:tc>
          <w:tcPr>
            <w:tcW w:w="1518" w:type="dxa"/>
            <w:hideMark/>
          </w:tcPr>
          <w:p w14:paraId="05055D05" w14:textId="77777777" w:rsidR="00930400" w:rsidRPr="009A0DA6" w:rsidRDefault="00930400" w:rsidP="00AD09CB">
            <w:pPr>
              <w:spacing w:before="120" w:after="120"/>
              <w:contextualSpacing/>
              <w:jc w:val="center"/>
              <w:rPr>
                <w:rFonts w:ascii="Cambria" w:hAnsi="Cambria" w:cs="Arial"/>
              </w:rPr>
            </w:pPr>
            <w:r w:rsidRPr="009A0DA6">
              <w:rPr>
                <w:rFonts w:ascii="Cambria" w:hAnsi="Cambria" w:cs="Arial"/>
              </w:rPr>
              <w:t>3,196</w:t>
            </w:r>
          </w:p>
        </w:tc>
        <w:tc>
          <w:tcPr>
            <w:tcW w:w="2423" w:type="dxa"/>
            <w:hideMark/>
          </w:tcPr>
          <w:p w14:paraId="39CE4283" w14:textId="77777777" w:rsidR="00930400" w:rsidRPr="009A0DA6" w:rsidRDefault="00930400" w:rsidP="00AD09CB">
            <w:pPr>
              <w:spacing w:before="120" w:after="120"/>
              <w:contextualSpacing/>
              <w:jc w:val="center"/>
              <w:rPr>
                <w:rFonts w:ascii="Cambria" w:hAnsi="Cambria" w:cs="Arial"/>
              </w:rPr>
            </w:pPr>
            <w:r w:rsidRPr="009A0DA6">
              <w:rPr>
                <w:rFonts w:ascii="Cambria" w:hAnsi="Cambria" w:cs="Arial"/>
              </w:rPr>
              <w:t>8,442</w:t>
            </w:r>
          </w:p>
        </w:tc>
      </w:tr>
      <w:tr w:rsidR="00930400" w:rsidRPr="009A0DA6" w14:paraId="60A52863" w14:textId="77777777" w:rsidTr="00AD09CB">
        <w:tc>
          <w:tcPr>
            <w:tcW w:w="3969" w:type="dxa"/>
            <w:hideMark/>
          </w:tcPr>
          <w:p w14:paraId="2F0E97B0" w14:textId="77777777" w:rsidR="00930400" w:rsidRPr="009A0DA6" w:rsidRDefault="00930400" w:rsidP="00AD09CB">
            <w:pPr>
              <w:spacing w:before="120" w:after="120"/>
              <w:contextualSpacing/>
              <w:rPr>
                <w:rFonts w:ascii="Cambria" w:hAnsi="Cambria" w:cs="Arial"/>
                <w:b/>
              </w:rPr>
            </w:pPr>
            <w:r w:rsidRPr="009A0DA6">
              <w:rPr>
                <w:rFonts w:ascii="Cambria" w:hAnsi="Cambria" w:cs="Arial"/>
                <w:b/>
              </w:rPr>
              <w:t>Cash available for future use</w:t>
            </w:r>
          </w:p>
        </w:tc>
        <w:tc>
          <w:tcPr>
            <w:tcW w:w="1157" w:type="dxa"/>
          </w:tcPr>
          <w:p w14:paraId="5DDE01E5" w14:textId="77777777" w:rsidR="00930400" w:rsidRPr="009A0DA6" w:rsidRDefault="00930400" w:rsidP="00AD09CB">
            <w:pPr>
              <w:spacing w:before="120" w:after="120"/>
              <w:contextualSpacing/>
              <w:rPr>
                <w:rFonts w:ascii="Cambria" w:hAnsi="Cambria" w:cs="Arial"/>
              </w:rPr>
            </w:pPr>
          </w:p>
        </w:tc>
        <w:tc>
          <w:tcPr>
            <w:tcW w:w="1518" w:type="dxa"/>
            <w:hideMark/>
          </w:tcPr>
          <w:p w14:paraId="28FB888F" w14:textId="77777777" w:rsidR="00930400" w:rsidRPr="009A0DA6" w:rsidRDefault="00930400" w:rsidP="00AD09CB">
            <w:pPr>
              <w:spacing w:before="120" w:after="120"/>
              <w:contextualSpacing/>
              <w:jc w:val="center"/>
              <w:rPr>
                <w:rFonts w:ascii="Cambria" w:hAnsi="Cambria" w:cs="Arial"/>
              </w:rPr>
            </w:pPr>
            <w:r w:rsidRPr="009A0DA6">
              <w:rPr>
                <w:rFonts w:ascii="Cambria" w:hAnsi="Cambria" w:cs="Arial"/>
              </w:rPr>
              <w:t>14,775</w:t>
            </w:r>
          </w:p>
        </w:tc>
        <w:tc>
          <w:tcPr>
            <w:tcW w:w="2423" w:type="dxa"/>
            <w:hideMark/>
          </w:tcPr>
          <w:p w14:paraId="54B28BAC" w14:textId="77777777" w:rsidR="00930400" w:rsidRPr="009A0DA6" w:rsidRDefault="00930400" w:rsidP="00AD09CB">
            <w:pPr>
              <w:spacing w:before="120" w:after="120"/>
              <w:contextualSpacing/>
              <w:jc w:val="center"/>
              <w:rPr>
                <w:rFonts w:ascii="Cambria" w:hAnsi="Cambria" w:cs="Arial"/>
              </w:rPr>
            </w:pPr>
            <w:r w:rsidRPr="009A0DA6">
              <w:rPr>
                <w:rFonts w:ascii="Cambria" w:hAnsi="Cambria" w:cs="Arial"/>
              </w:rPr>
              <w:t>15,546</w:t>
            </w:r>
          </w:p>
        </w:tc>
      </w:tr>
    </w:tbl>
    <w:p w14:paraId="4EDE7728" w14:textId="77777777" w:rsidR="00930400" w:rsidRDefault="00930400" w:rsidP="00930400">
      <w:pPr>
        <w:pStyle w:val="NoSpacing"/>
        <w:rPr>
          <w:highlight w:val="red"/>
        </w:rPr>
      </w:pPr>
    </w:p>
    <w:p w14:paraId="5E6C7188" w14:textId="77777777" w:rsidR="0054360D" w:rsidRPr="009A0DA6" w:rsidRDefault="0054360D" w:rsidP="0054360D">
      <w:pPr>
        <w:pStyle w:val="Heading3"/>
      </w:pPr>
      <w:r w:rsidRPr="009A0DA6">
        <w:lastRenderedPageBreak/>
        <w:t>agenda 8.1</w:t>
      </w:r>
    </w:p>
    <w:p w14:paraId="014C5A02" w14:textId="77777777" w:rsidR="0054360D" w:rsidRPr="009A0DA6" w:rsidRDefault="0054360D" w:rsidP="0054360D">
      <w:pPr>
        <w:pStyle w:val="Heading2"/>
      </w:pPr>
      <w:bookmarkStart w:id="496" w:name="_Toc521954738"/>
      <w:r w:rsidRPr="009A0DA6">
        <w:t>Commission on Worship</w:t>
      </w:r>
      <w:bookmarkEnd w:id="496"/>
    </w:p>
    <w:p w14:paraId="6925ABE8" w14:textId="77777777" w:rsidR="0054360D" w:rsidRPr="009A0DA6" w:rsidRDefault="0054360D" w:rsidP="0054360D">
      <w:pPr>
        <w:pStyle w:val="NoSpacing"/>
      </w:pPr>
    </w:p>
    <w:p w14:paraId="6540D16D" w14:textId="77777777" w:rsidR="0054360D" w:rsidRPr="009A0DA6" w:rsidRDefault="0054360D" w:rsidP="0054360D">
      <w:pPr>
        <w:pStyle w:val="Heading3"/>
      </w:pPr>
      <w:r w:rsidRPr="009A0DA6">
        <w:t>MEMBERS</w:t>
      </w:r>
    </w:p>
    <w:p w14:paraId="02AF285B" w14:textId="77777777" w:rsidR="0054360D" w:rsidRPr="009A0DA6" w:rsidRDefault="0054360D" w:rsidP="0054360D">
      <w:pPr>
        <w:spacing w:before="120" w:after="120" w:line="240" w:lineRule="auto"/>
        <w:contextualSpacing/>
        <w:rPr>
          <w:rFonts w:ascii="Cambria" w:hAnsi="Cambria"/>
        </w:rPr>
      </w:pPr>
      <w:r w:rsidRPr="009A0DA6">
        <w:rPr>
          <w:rFonts w:ascii="Cambria" w:hAnsi="Cambria"/>
        </w:rPr>
        <w:t xml:space="preserve">Pr Adrian Kitson (chair); Pr Matthias Prenzler (vice chair); Mrs Trudi Skene (secretary and Worship Planning Page Manager), Pr Tim Klein, Mrs Sally Mattner and Pr Linards Jansons. Two Lay Member positions have remained vacant. </w:t>
      </w:r>
    </w:p>
    <w:p w14:paraId="14ABD1CD" w14:textId="7356DB97" w:rsidR="0054360D" w:rsidRPr="009A0DA6" w:rsidRDefault="0054360D" w:rsidP="0054360D">
      <w:pPr>
        <w:spacing w:before="120" w:after="120" w:line="240" w:lineRule="auto"/>
        <w:contextualSpacing/>
        <w:rPr>
          <w:rFonts w:ascii="Cambria" w:hAnsi="Cambria"/>
        </w:rPr>
      </w:pPr>
      <w:r w:rsidRPr="009A0DA6">
        <w:rPr>
          <w:rFonts w:ascii="Cambria" w:hAnsi="Cambria"/>
        </w:rPr>
        <w:t>Consultants: Pr John Kleinig, Mrs Anne Hansen (Product M</w:t>
      </w:r>
      <w:r w:rsidR="00766B14">
        <w:rPr>
          <w:rFonts w:ascii="Cambria" w:hAnsi="Cambria"/>
        </w:rPr>
        <w:t>anager) and Bishop Greg Pietsch</w:t>
      </w:r>
    </w:p>
    <w:p w14:paraId="1E9C556E" w14:textId="77777777" w:rsidR="0054360D" w:rsidRPr="009A0DA6" w:rsidRDefault="0054360D" w:rsidP="0054360D">
      <w:pPr>
        <w:spacing w:before="120" w:after="120" w:line="240" w:lineRule="auto"/>
        <w:contextualSpacing/>
        <w:rPr>
          <w:rFonts w:ascii="Cambria" w:hAnsi="Cambria"/>
          <w:b/>
        </w:rPr>
      </w:pPr>
    </w:p>
    <w:p w14:paraId="6E863107" w14:textId="77777777" w:rsidR="0054360D" w:rsidRPr="009A0DA6" w:rsidRDefault="0054360D" w:rsidP="0054360D">
      <w:pPr>
        <w:pStyle w:val="Heading3"/>
      </w:pPr>
      <w:r w:rsidRPr="009A0DA6">
        <w:t>Purpose</w:t>
      </w:r>
    </w:p>
    <w:p w14:paraId="2D13D21B" w14:textId="77777777" w:rsidR="0054360D" w:rsidRPr="009A0DA6" w:rsidRDefault="0054360D" w:rsidP="0054360D">
      <w:pPr>
        <w:spacing w:before="120" w:after="120" w:line="240" w:lineRule="auto"/>
        <w:contextualSpacing/>
        <w:rPr>
          <w:rFonts w:ascii="Cambria" w:hAnsi="Cambria"/>
        </w:rPr>
      </w:pPr>
      <w:r w:rsidRPr="009A0DA6">
        <w:rPr>
          <w:rFonts w:ascii="Cambria" w:hAnsi="Cambria"/>
          <w:i/>
        </w:rPr>
        <w:t xml:space="preserve">They devoted themselves to the apostles’ teaching and to the fellowship, to the breaking of bread and the prayers. </w:t>
      </w:r>
      <w:r w:rsidRPr="009A0DA6">
        <w:rPr>
          <w:rFonts w:ascii="Cambria" w:hAnsi="Cambria"/>
        </w:rPr>
        <w:t>(Acts 2:42)</w:t>
      </w:r>
    </w:p>
    <w:p w14:paraId="6C701353" w14:textId="77777777" w:rsidR="0054360D" w:rsidRPr="009A0DA6" w:rsidRDefault="0054360D" w:rsidP="0054360D">
      <w:pPr>
        <w:spacing w:before="120" w:after="120" w:line="240" w:lineRule="auto"/>
        <w:contextualSpacing/>
        <w:rPr>
          <w:rFonts w:ascii="Cambria" w:hAnsi="Cambria"/>
        </w:rPr>
      </w:pPr>
      <w:r w:rsidRPr="009A0DA6">
        <w:rPr>
          <w:rFonts w:ascii="Cambria" w:hAnsi="Cambria"/>
        </w:rPr>
        <w:t>The objects of the Commission on Worship (updated General Convention 2010) are as follows:</w:t>
      </w:r>
    </w:p>
    <w:p w14:paraId="22A235DD" w14:textId="77777777" w:rsidR="0054360D" w:rsidRPr="009A0DA6" w:rsidRDefault="0054360D" w:rsidP="00F55252">
      <w:pPr>
        <w:pStyle w:val="p4"/>
        <w:numPr>
          <w:ilvl w:val="1"/>
          <w:numId w:val="209"/>
        </w:numPr>
        <w:tabs>
          <w:tab w:val="left" w:pos="567"/>
          <w:tab w:val="left" w:pos="851"/>
          <w:tab w:val="left" w:pos="1985"/>
          <w:tab w:val="left" w:pos="2552"/>
          <w:tab w:val="left" w:pos="3119"/>
        </w:tabs>
        <w:spacing w:before="120" w:after="120" w:line="240" w:lineRule="auto"/>
        <w:ind w:left="567" w:hanging="567"/>
        <w:contextualSpacing/>
        <w:rPr>
          <w:rFonts w:ascii="Cambria" w:hAnsi="Cambria"/>
          <w:sz w:val="22"/>
          <w:szCs w:val="22"/>
        </w:rPr>
      </w:pPr>
      <w:r w:rsidRPr="009A0DA6">
        <w:rPr>
          <w:rFonts w:ascii="Cambria" w:hAnsi="Cambria"/>
          <w:sz w:val="22"/>
          <w:szCs w:val="22"/>
        </w:rPr>
        <w:t>to give guidance in conformity with sound Lutheran principles to the church, its pastors, congregations, institutions, auxiliaries, and other organisations, in the theology and practice of Christian worship;</w:t>
      </w:r>
    </w:p>
    <w:p w14:paraId="43F9298A" w14:textId="77777777" w:rsidR="0054360D" w:rsidRPr="009A0DA6" w:rsidRDefault="0054360D" w:rsidP="00F55252">
      <w:pPr>
        <w:pStyle w:val="p4"/>
        <w:numPr>
          <w:ilvl w:val="1"/>
          <w:numId w:val="209"/>
        </w:numPr>
        <w:tabs>
          <w:tab w:val="left" w:pos="567"/>
          <w:tab w:val="left" w:pos="851"/>
          <w:tab w:val="left" w:pos="1985"/>
          <w:tab w:val="left" w:pos="2552"/>
          <w:tab w:val="left" w:pos="3119"/>
        </w:tabs>
        <w:spacing w:before="120" w:after="120" w:line="240" w:lineRule="auto"/>
        <w:ind w:left="567" w:hanging="567"/>
        <w:contextualSpacing/>
        <w:rPr>
          <w:rFonts w:ascii="Cambria" w:hAnsi="Cambria"/>
          <w:sz w:val="22"/>
          <w:szCs w:val="22"/>
        </w:rPr>
      </w:pPr>
      <w:r w:rsidRPr="009A0DA6">
        <w:rPr>
          <w:rFonts w:ascii="Cambria" w:hAnsi="Cambria"/>
          <w:sz w:val="22"/>
          <w:szCs w:val="22"/>
        </w:rPr>
        <w:t>to prepare resources for worship as requested by the church.</w:t>
      </w:r>
      <w:r w:rsidRPr="009A0DA6">
        <w:rPr>
          <w:rFonts w:ascii="Cambria" w:hAnsi="Cambria"/>
          <w:sz w:val="22"/>
          <w:szCs w:val="22"/>
        </w:rPr>
        <w:br/>
      </w:r>
    </w:p>
    <w:p w14:paraId="48BB6D32" w14:textId="77777777" w:rsidR="0054360D" w:rsidRPr="009A0DA6" w:rsidRDefault="0054360D" w:rsidP="0054360D">
      <w:pPr>
        <w:pStyle w:val="p4"/>
        <w:tabs>
          <w:tab w:val="left" w:pos="426"/>
          <w:tab w:val="left" w:pos="851"/>
          <w:tab w:val="left" w:pos="1418"/>
          <w:tab w:val="left" w:pos="1985"/>
          <w:tab w:val="left" w:pos="2552"/>
          <w:tab w:val="left" w:pos="3119"/>
        </w:tabs>
        <w:spacing w:before="120" w:after="120" w:line="240" w:lineRule="auto"/>
        <w:ind w:left="426" w:hanging="426"/>
        <w:contextualSpacing/>
        <w:rPr>
          <w:rFonts w:ascii="Cambria" w:hAnsi="Cambria"/>
          <w:sz w:val="22"/>
          <w:szCs w:val="22"/>
        </w:rPr>
      </w:pPr>
      <w:r w:rsidRPr="009A0DA6">
        <w:rPr>
          <w:rFonts w:ascii="Cambria" w:hAnsi="Cambria"/>
          <w:sz w:val="22"/>
          <w:szCs w:val="22"/>
        </w:rPr>
        <w:t>The commission comes under the oversight of the College of Bishops.</w:t>
      </w:r>
    </w:p>
    <w:p w14:paraId="5958FDBD" w14:textId="77777777" w:rsidR="0054360D" w:rsidRPr="009A0DA6" w:rsidRDefault="0054360D" w:rsidP="0054360D">
      <w:pPr>
        <w:spacing w:before="120" w:after="120" w:line="240" w:lineRule="auto"/>
        <w:contextualSpacing/>
        <w:rPr>
          <w:rFonts w:ascii="Cambria" w:hAnsi="Cambria"/>
        </w:rPr>
      </w:pPr>
      <w:r w:rsidRPr="009A0DA6">
        <w:rPr>
          <w:rFonts w:ascii="Cambria" w:hAnsi="Cambria"/>
        </w:rPr>
        <w:t>The commission does much of its work in departments, each of which has its own terms of reference: the Departments of Liturgics, Visual Arts, and Music and Song, with the Department of Drama and Movement being in recess throughout this synodical term. Commission members all serve on, and represent, one or more Departments.</w:t>
      </w:r>
    </w:p>
    <w:p w14:paraId="460B2F0D" w14:textId="77777777" w:rsidR="0054360D" w:rsidRPr="009A0DA6" w:rsidRDefault="0054360D" w:rsidP="0054360D">
      <w:pPr>
        <w:spacing w:before="120" w:after="120" w:line="240" w:lineRule="auto"/>
        <w:contextualSpacing/>
        <w:rPr>
          <w:rFonts w:ascii="Cambria" w:hAnsi="Cambria"/>
        </w:rPr>
      </w:pPr>
    </w:p>
    <w:p w14:paraId="7A577C3E" w14:textId="144AEC9D" w:rsidR="0054360D" w:rsidRPr="009A0DA6" w:rsidRDefault="0054360D" w:rsidP="0054360D">
      <w:pPr>
        <w:spacing w:before="120" w:after="120" w:line="240" w:lineRule="auto"/>
        <w:contextualSpacing/>
        <w:rPr>
          <w:rFonts w:ascii="Cambria" w:hAnsi="Cambria"/>
        </w:rPr>
      </w:pPr>
      <w:r w:rsidRPr="009A0DA6">
        <w:rPr>
          <w:rFonts w:ascii="Cambria" w:hAnsi="Cambria"/>
        </w:rPr>
        <w:t>The commission needs members who provide a range of skills for the projects it undertakes: liturgical scholarship, authoring and editing, visual design and mentoring, music composition and evaluation, project management, web management, product management, plus skills in the preparation and leadership of worship and preaching. Consultants are invited to serve the commission to supplement its skills. The commission generally meets in February and August. During this synodical term it will have met six times.</w:t>
      </w:r>
      <w:r w:rsidR="005F21CD">
        <w:rPr>
          <w:rFonts w:ascii="Cambria" w:hAnsi="Cambria"/>
        </w:rPr>
        <w:br/>
      </w:r>
    </w:p>
    <w:p w14:paraId="66A2DB8B" w14:textId="77777777" w:rsidR="0054360D" w:rsidRPr="009A0DA6" w:rsidRDefault="0054360D" w:rsidP="0054360D">
      <w:pPr>
        <w:pStyle w:val="Heading3"/>
      </w:pPr>
      <w:r w:rsidRPr="009A0DA6">
        <w:t>Achievements in Synodical Period against Plan</w:t>
      </w:r>
    </w:p>
    <w:tbl>
      <w:tblPr>
        <w:tblStyle w:val="PlainTable2"/>
        <w:tblW w:w="8647" w:type="dxa"/>
        <w:tblLayout w:type="fixed"/>
        <w:tblLook w:val="04A0" w:firstRow="1" w:lastRow="0" w:firstColumn="1" w:lastColumn="0" w:noHBand="0" w:noVBand="1"/>
      </w:tblPr>
      <w:tblGrid>
        <w:gridCol w:w="3432"/>
        <w:gridCol w:w="5215"/>
      </w:tblGrid>
      <w:tr w:rsidR="0054360D" w:rsidRPr="009A0DA6" w14:paraId="4C528A8E" w14:textId="77777777" w:rsidTr="00AD09CB">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3432" w:type="dxa"/>
            <w:vAlign w:val="bottom"/>
            <w:hideMark/>
          </w:tcPr>
          <w:p w14:paraId="10CD602E" w14:textId="77777777" w:rsidR="0054360D" w:rsidRPr="009A0DA6" w:rsidRDefault="0054360D" w:rsidP="00BD0B4C">
            <w:pPr>
              <w:ind w:left="319" w:hanging="319"/>
              <w:contextualSpacing/>
              <w:rPr>
                <w:rFonts w:ascii="Cambria" w:hAnsi="Cambria" w:cs="Arial"/>
              </w:rPr>
            </w:pPr>
            <w:r w:rsidRPr="009A0DA6">
              <w:rPr>
                <w:rFonts w:ascii="Cambria" w:hAnsi="Cambria" w:cs="Arial"/>
              </w:rPr>
              <w:t>Objectives or Main Duties</w:t>
            </w:r>
          </w:p>
        </w:tc>
        <w:tc>
          <w:tcPr>
            <w:tcW w:w="5215" w:type="dxa"/>
            <w:vAlign w:val="bottom"/>
            <w:hideMark/>
          </w:tcPr>
          <w:p w14:paraId="31EF81C7" w14:textId="77777777" w:rsidR="0054360D" w:rsidRPr="009A0DA6" w:rsidRDefault="0054360D" w:rsidP="00BD0B4C">
            <w:pPr>
              <w:contextualSpacing/>
              <w:cnfStyle w:val="100000000000" w:firstRow="1"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Key outcomes over the synodical period</w:t>
            </w:r>
          </w:p>
        </w:tc>
      </w:tr>
      <w:tr w:rsidR="0054360D" w:rsidRPr="009A0DA6" w14:paraId="2C9C6D1E" w14:textId="77777777" w:rsidTr="00AD09CB">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3432" w:type="dxa"/>
            <w:hideMark/>
          </w:tcPr>
          <w:p w14:paraId="159A4C92" w14:textId="77777777" w:rsidR="0054360D" w:rsidRPr="009A0DA6" w:rsidRDefault="0054360D" w:rsidP="005F21CD">
            <w:pPr>
              <w:pStyle w:val="ListParagraph"/>
              <w:widowControl w:val="0"/>
              <w:numPr>
                <w:ilvl w:val="3"/>
                <w:numId w:val="79"/>
              </w:numPr>
              <w:tabs>
                <w:tab w:val="clear" w:pos="2880"/>
                <w:tab w:val="num" w:pos="319"/>
              </w:tabs>
              <w:suppressAutoHyphens/>
              <w:spacing w:line="240" w:lineRule="auto"/>
              <w:ind w:left="319" w:hanging="319"/>
              <w:rPr>
                <w:rFonts w:ascii="Cambria" w:hAnsi="Cambria" w:cs="Arial"/>
              </w:rPr>
            </w:pPr>
            <w:r w:rsidRPr="009A0DA6">
              <w:rPr>
                <w:rFonts w:ascii="Cambria" w:hAnsi="Cambria"/>
              </w:rPr>
              <w:t>to give guidance in conformity with sound Lutheran principles to the church, its pastors, congregations, institutions, auxiliaries, and other organisations, in the theology and practice of Christian worship;</w:t>
            </w:r>
          </w:p>
        </w:tc>
        <w:tc>
          <w:tcPr>
            <w:tcW w:w="5215" w:type="dxa"/>
            <w:hideMark/>
          </w:tcPr>
          <w:p w14:paraId="5B782E7E" w14:textId="77777777" w:rsidR="0054360D" w:rsidRPr="009A0DA6" w:rsidRDefault="0054360D" w:rsidP="005F21CD">
            <w:pPr>
              <w:contextualSpacing/>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Multiple conversations via various means with local pastors and key lay leaders in the area of Worship and music in Worship.</w:t>
            </w:r>
          </w:p>
        </w:tc>
      </w:tr>
    </w:tbl>
    <w:p w14:paraId="2BC987B1" w14:textId="77777777" w:rsidR="005F21CD" w:rsidRDefault="005F21CD">
      <w:r>
        <w:rPr>
          <w:b/>
          <w:bCs/>
        </w:rPr>
        <w:br w:type="page"/>
      </w:r>
    </w:p>
    <w:tbl>
      <w:tblPr>
        <w:tblStyle w:val="PlainTable2"/>
        <w:tblW w:w="8647" w:type="dxa"/>
        <w:tblLayout w:type="fixed"/>
        <w:tblLook w:val="04A0" w:firstRow="1" w:lastRow="0" w:firstColumn="1" w:lastColumn="0" w:noHBand="0" w:noVBand="1"/>
      </w:tblPr>
      <w:tblGrid>
        <w:gridCol w:w="3432"/>
        <w:gridCol w:w="5215"/>
      </w:tblGrid>
      <w:tr w:rsidR="0054360D" w:rsidRPr="009A0DA6" w14:paraId="6D1DA74F" w14:textId="77777777" w:rsidTr="00AD09CB">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3432" w:type="dxa"/>
            <w:hideMark/>
          </w:tcPr>
          <w:p w14:paraId="0812ED78" w14:textId="1963FC0F" w:rsidR="0054360D" w:rsidRPr="009A0DA6" w:rsidRDefault="0054360D" w:rsidP="005F21CD">
            <w:pPr>
              <w:pStyle w:val="ListParagraph"/>
              <w:widowControl w:val="0"/>
              <w:numPr>
                <w:ilvl w:val="3"/>
                <w:numId w:val="79"/>
              </w:numPr>
              <w:suppressAutoHyphens/>
              <w:spacing w:line="240" w:lineRule="auto"/>
              <w:ind w:left="319" w:hanging="319"/>
              <w:rPr>
                <w:rFonts w:ascii="Cambria" w:hAnsi="Cambria" w:cs="Arial"/>
              </w:rPr>
            </w:pPr>
            <w:r w:rsidRPr="009A0DA6">
              <w:rPr>
                <w:rFonts w:ascii="Cambria" w:hAnsi="Cambria"/>
              </w:rPr>
              <w:lastRenderedPageBreak/>
              <w:t>to prepare resources for worship as requested by the church.</w:t>
            </w:r>
          </w:p>
        </w:tc>
        <w:tc>
          <w:tcPr>
            <w:tcW w:w="5215" w:type="dxa"/>
          </w:tcPr>
          <w:p w14:paraId="592CD8B4" w14:textId="77777777" w:rsidR="0054360D" w:rsidRPr="009A0DA6" w:rsidRDefault="0054360D" w:rsidP="005F21CD">
            <w:pPr>
              <w:ind w:left="293" w:hanging="293"/>
              <w:cnfStyle w:val="100000000000" w:firstRow="1" w:lastRow="0" w:firstColumn="0" w:lastColumn="0" w:oddVBand="0" w:evenVBand="0" w:oddHBand="0" w:evenHBand="0" w:firstRowFirstColumn="0" w:firstRowLastColumn="0" w:lastRowFirstColumn="0" w:lastRowLastColumn="0"/>
              <w:rPr>
                <w:rFonts w:ascii="Cambria" w:hAnsi="Cambria" w:cs="Tahoma"/>
              </w:rPr>
            </w:pPr>
            <w:r w:rsidRPr="009A0DA6">
              <w:rPr>
                <w:rFonts w:ascii="Cambria" w:hAnsi="Cambria" w:cs="Tahoma"/>
              </w:rPr>
              <w:t xml:space="preserve">a.  Provision of </w:t>
            </w:r>
            <w:r w:rsidRPr="009A0DA6">
              <w:rPr>
                <w:rFonts w:ascii="Cambria" w:hAnsi="Cambria" w:cs="Tahoma"/>
                <w:b w:val="0"/>
              </w:rPr>
              <w:t xml:space="preserve">children’s Message Outlines for each Sunday of the church year in partnership with GROW Ministries. </w:t>
            </w:r>
          </w:p>
          <w:p w14:paraId="28824F81" w14:textId="77777777" w:rsidR="0054360D" w:rsidRPr="009A0DA6" w:rsidRDefault="0054360D" w:rsidP="005F21CD">
            <w:pPr>
              <w:pStyle w:val="ListParagraph"/>
              <w:numPr>
                <w:ilvl w:val="1"/>
                <w:numId w:val="79"/>
              </w:numPr>
              <w:spacing w:line="240" w:lineRule="auto"/>
              <w:ind w:left="293" w:hanging="293"/>
              <w:cnfStyle w:val="100000000000" w:firstRow="1" w:lastRow="0" w:firstColumn="0" w:lastColumn="0" w:oddVBand="0" w:evenVBand="0" w:oddHBand="0" w:evenHBand="0" w:firstRowFirstColumn="0" w:firstRowLastColumn="0" w:lastRowFirstColumn="0" w:lastRowLastColumn="0"/>
              <w:rPr>
                <w:rFonts w:ascii="Cambria" w:hAnsi="Cambria" w:cs="Tahoma"/>
              </w:rPr>
            </w:pPr>
            <w:r w:rsidRPr="009A0DA6">
              <w:rPr>
                <w:rFonts w:ascii="Cambria" w:hAnsi="Cambria" w:cs="Tahoma"/>
              </w:rPr>
              <w:t xml:space="preserve">Provision of resources that assist the church in its aim to address the issue of </w:t>
            </w:r>
            <w:r w:rsidRPr="009A0DA6">
              <w:rPr>
                <w:rFonts w:ascii="Cambria" w:hAnsi="Cambria" w:cs="Tahoma"/>
                <w:b w:val="0"/>
              </w:rPr>
              <w:t>domestic violence</w:t>
            </w:r>
            <w:r w:rsidRPr="009A0DA6">
              <w:rPr>
                <w:rFonts w:ascii="Cambria" w:hAnsi="Cambria" w:cs="Tahoma"/>
              </w:rPr>
              <w:t xml:space="preserve"> within our society and in the church. </w:t>
            </w:r>
          </w:p>
          <w:p w14:paraId="2A30C0BC" w14:textId="77777777" w:rsidR="0054360D" w:rsidRPr="009A0DA6" w:rsidRDefault="0054360D" w:rsidP="005F21CD">
            <w:pPr>
              <w:pStyle w:val="ListParagraph"/>
              <w:numPr>
                <w:ilvl w:val="1"/>
                <w:numId w:val="79"/>
              </w:numPr>
              <w:spacing w:line="240" w:lineRule="auto"/>
              <w:ind w:left="293" w:hanging="293"/>
              <w:cnfStyle w:val="100000000000" w:firstRow="1" w:lastRow="0" w:firstColumn="0" w:lastColumn="0" w:oddVBand="0" w:evenVBand="0" w:oddHBand="0" w:evenHBand="0" w:firstRowFirstColumn="0" w:firstRowLastColumn="0" w:lastRowFirstColumn="0" w:lastRowLastColumn="0"/>
              <w:rPr>
                <w:rFonts w:ascii="Cambria" w:hAnsi="Cambria" w:cs="Tahoma"/>
              </w:rPr>
            </w:pPr>
            <w:r w:rsidRPr="009A0DA6">
              <w:rPr>
                <w:rFonts w:ascii="Cambria" w:hAnsi="Cambria" w:cs="Tahoma"/>
              </w:rPr>
              <w:t xml:space="preserve">Provision of resources for congregations/communities where there are very </w:t>
            </w:r>
            <w:r w:rsidRPr="009A0DA6">
              <w:rPr>
                <w:rFonts w:ascii="Cambria" w:hAnsi="Cambria" w:cs="Tahoma"/>
                <w:b w:val="0"/>
              </w:rPr>
              <w:t>limited musical resources</w:t>
            </w:r>
            <w:r w:rsidRPr="009A0DA6">
              <w:rPr>
                <w:rFonts w:ascii="Cambria" w:hAnsi="Cambria" w:cs="Tahoma"/>
              </w:rPr>
              <w:t xml:space="preserve"> available. </w:t>
            </w:r>
          </w:p>
          <w:p w14:paraId="2B5EC0F8" w14:textId="77777777" w:rsidR="0054360D" w:rsidRPr="009A0DA6" w:rsidRDefault="0054360D" w:rsidP="005F21CD">
            <w:pPr>
              <w:pStyle w:val="ListParagraph"/>
              <w:numPr>
                <w:ilvl w:val="1"/>
                <w:numId w:val="79"/>
              </w:numPr>
              <w:spacing w:line="240" w:lineRule="auto"/>
              <w:ind w:left="293" w:hanging="293"/>
              <w:cnfStyle w:val="100000000000" w:firstRow="1"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Tahoma"/>
              </w:rPr>
              <w:t>Provision of resources and training on the nature of liturgy and song and how they are enacted in our culture faithfully and effectively.</w:t>
            </w:r>
          </w:p>
        </w:tc>
      </w:tr>
      <w:tr w:rsidR="0054360D" w:rsidRPr="009A0DA6" w14:paraId="28D50EDD" w14:textId="77777777" w:rsidTr="00AD09CB">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3432" w:type="dxa"/>
            <w:hideMark/>
          </w:tcPr>
          <w:p w14:paraId="25A86AE7" w14:textId="77777777" w:rsidR="0054360D" w:rsidRPr="009A0DA6" w:rsidRDefault="0054360D" w:rsidP="005F21CD">
            <w:pPr>
              <w:pStyle w:val="ListParagraph"/>
              <w:widowControl w:val="0"/>
              <w:numPr>
                <w:ilvl w:val="0"/>
                <w:numId w:val="80"/>
              </w:numPr>
              <w:suppressAutoHyphens/>
              <w:spacing w:line="240" w:lineRule="auto"/>
              <w:ind w:left="319" w:hanging="319"/>
              <w:rPr>
                <w:rFonts w:ascii="Cambria" w:hAnsi="Cambria"/>
              </w:rPr>
            </w:pPr>
            <w:r w:rsidRPr="009A0DA6">
              <w:rPr>
                <w:rFonts w:ascii="Cambria" w:hAnsi="Cambria"/>
              </w:rPr>
              <w:t>To provide support in the area of Worship for the College of Bishops.</w:t>
            </w:r>
          </w:p>
        </w:tc>
        <w:tc>
          <w:tcPr>
            <w:tcW w:w="5215" w:type="dxa"/>
          </w:tcPr>
          <w:p w14:paraId="4919D44B" w14:textId="77777777" w:rsidR="0054360D" w:rsidRPr="009A0DA6" w:rsidRDefault="0054360D" w:rsidP="005F21CD">
            <w:pPr>
              <w:pStyle w:val="ListParagraph"/>
              <w:numPr>
                <w:ilvl w:val="1"/>
                <w:numId w:val="80"/>
              </w:numPr>
              <w:spacing w:line="240" w:lineRule="auto"/>
              <w:ind w:left="293" w:hanging="293"/>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Tahoma"/>
              </w:rPr>
              <w:t xml:space="preserve">Input into the planning and enacting of the </w:t>
            </w:r>
            <w:r w:rsidRPr="009A0DA6">
              <w:rPr>
                <w:rFonts w:ascii="Cambria" w:hAnsi="Cambria" w:cs="Tahoma"/>
                <w:b/>
              </w:rPr>
              <w:t>worship life of the 2018 General Synod</w:t>
            </w:r>
            <w:r w:rsidRPr="009A0DA6">
              <w:rPr>
                <w:rFonts w:ascii="Cambria" w:hAnsi="Cambria" w:cs="Tahoma"/>
              </w:rPr>
              <w:t xml:space="preserve">, </w:t>
            </w:r>
          </w:p>
          <w:p w14:paraId="7EF219CF" w14:textId="77777777" w:rsidR="0054360D" w:rsidRPr="009A0DA6" w:rsidRDefault="0054360D" w:rsidP="005F21CD">
            <w:pPr>
              <w:pStyle w:val="ListParagraph"/>
              <w:numPr>
                <w:ilvl w:val="1"/>
                <w:numId w:val="80"/>
              </w:numPr>
              <w:spacing w:line="240" w:lineRule="auto"/>
              <w:ind w:left="293" w:hanging="293"/>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Tahoma"/>
              </w:rPr>
              <w:t xml:space="preserve">Provision of worship resources for the </w:t>
            </w:r>
            <w:r w:rsidRPr="009A0DA6">
              <w:rPr>
                <w:rFonts w:ascii="Cambria" w:hAnsi="Cambria" w:cs="Tahoma"/>
                <w:b/>
              </w:rPr>
              <w:t>LCA 50/500 anniversaries</w:t>
            </w:r>
            <w:r w:rsidRPr="009A0DA6">
              <w:rPr>
                <w:rFonts w:ascii="Cambria" w:hAnsi="Cambria" w:cs="Arial"/>
              </w:rPr>
              <w:t xml:space="preserve"> </w:t>
            </w:r>
          </w:p>
        </w:tc>
      </w:tr>
    </w:tbl>
    <w:p w14:paraId="10A80716" w14:textId="77777777" w:rsidR="0054360D" w:rsidRPr="009A0DA6" w:rsidRDefault="0054360D" w:rsidP="0054360D">
      <w:pPr>
        <w:spacing w:before="120" w:after="120" w:line="240" w:lineRule="auto"/>
        <w:contextualSpacing/>
        <w:rPr>
          <w:rFonts w:ascii="Cambria" w:hAnsi="Cambria"/>
          <w:b/>
        </w:rPr>
      </w:pPr>
    </w:p>
    <w:p w14:paraId="19247F75" w14:textId="77777777" w:rsidR="0054360D" w:rsidRPr="009A0DA6" w:rsidRDefault="0054360D" w:rsidP="0054360D">
      <w:pPr>
        <w:pStyle w:val="Heading3"/>
      </w:pPr>
      <w:r w:rsidRPr="009A0DA6">
        <w:t>Successes</w:t>
      </w:r>
    </w:p>
    <w:p w14:paraId="283A6247" w14:textId="77777777" w:rsidR="0054360D" w:rsidRPr="009A0DA6" w:rsidRDefault="0054360D" w:rsidP="00F55252">
      <w:pPr>
        <w:pStyle w:val="ListParagraph"/>
        <w:numPr>
          <w:ilvl w:val="0"/>
          <w:numId w:val="206"/>
        </w:numPr>
        <w:spacing w:before="120" w:after="120" w:line="240" w:lineRule="auto"/>
        <w:ind w:left="567" w:hanging="567"/>
        <w:rPr>
          <w:rFonts w:ascii="Cambria" w:hAnsi="Cambria"/>
        </w:rPr>
      </w:pPr>
      <w:r w:rsidRPr="009A0DA6">
        <w:rPr>
          <w:rFonts w:ascii="Cambria" w:hAnsi="Cambria"/>
        </w:rPr>
        <w:t>Effective delivery of worship resources and response to various issues concern of people the local setting.</w:t>
      </w:r>
    </w:p>
    <w:p w14:paraId="62D90F2A" w14:textId="77777777" w:rsidR="0054360D" w:rsidRPr="009A0DA6" w:rsidRDefault="0054360D" w:rsidP="00F55252">
      <w:pPr>
        <w:pStyle w:val="ListParagraph"/>
        <w:numPr>
          <w:ilvl w:val="0"/>
          <w:numId w:val="206"/>
        </w:numPr>
        <w:spacing w:before="120" w:after="120" w:line="240" w:lineRule="auto"/>
        <w:ind w:left="567" w:hanging="567"/>
        <w:rPr>
          <w:rFonts w:ascii="Cambria" w:hAnsi="Cambria"/>
        </w:rPr>
      </w:pPr>
      <w:r w:rsidRPr="009A0DA6">
        <w:rPr>
          <w:rFonts w:ascii="Cambria" w:hAnsi="Cambria"/>
        </w:rPr>
        <w:t xml:space="preserve">Increasing use of and support for the LCA Worship Planning Page. </w:t>
      </w:r>
    </w:p>
    <w:p w14:paraId="3C27A223" w14:textId="77777777" w:rsidR="0054360D" w:rsidRPr="009A0DA6" w:rsidRDefault="0054360D" w:rsidP="00F55252">
      <w:pPr>
        <w:pStyle w:val="ListParagraph"/>
        <w:numPr>
          <w:ilvl w:val="0"/>
          <w:numId w:val="206"/>
        </w:numPr>
        <w:spacing w:before="120" w:after="120" w:line="240" w:lineRule="auto"/>
        <w:ind w:left="567" w:hanging="567"/>
        <w:rPr>
          <w:rFonts w:ascii="Cambria" w:hAnsi="Cambria"/>
        </w:rPr>
      </w:pPr>
      <w:r w:rsidRPr="009A0DA6">
        <w:rPr>
          <w:rFonts w:ascii="Cambria" w:hAnsi="Cambria"/>
        </w:rPr>
        <w:t>Establishment of a Certificate level music/worship course through ALC in 2018.</w:t>
      </w:r>
    </w:p>
    <w:p w14:paraId="5783F76C" w14:textId="77777777" w:rsidR="0054360D" w:rsidRPr="009A0DA6" w:rsidRDefault="0054360D" w:rsidP="00F55252">
      <w:pPr>
        <w:pStyle w:val="ListParagraph"/>
        <w:numPr>
          <w:ilvl w:val="0"/>
          <w:numId w:val="206"/>
        </w:numPr>
        <w:spacing w:before="120" w:after="120" w:line="240" w:lineRule="auto"/>
        <w:ind w:left="567" w:hanging="567"/>
        <w:rPr>
          <w:rFonts w:ascii="Cambria" w:hAnsi="Cambria"/>
        </w:rPr>
      </w:pPr>
      <w:r w:rsidRPr="009A0DA6">
        <w:rPr>
          <w:rFonts w:ascii="Cambria" w:hAnsi="Cambria"/>
        </w:rPr>
        <w:t>All 50/500 resources completed and distributed.</w:t>
      </w:r>
    </w:p>
    <w:p w14:paraId="7CB7DAD9" w14:textId="77777777" w:rsidR="0054360D" w:rsidRPr="009A0DA6" w:rsidRDefault="0054360D" w:rsidP="00F55252">
      <w:pPr>
        <w:pStyle w:val="ListParagraph"/>
        <w:numPr>
          <w:ilvl w:val="0"/>
          <w:numId w:val="206"/>
        </w:numPr>
        <w:spacing w:before="120" w:after="120" w:line="240" w:lineRule="auto"/>
        <w:ind w:left="567" w:hanging="567"/>
        <w:rPr>
          <w:rFonts w:ascii="Cambria" w:hAnsi="Cambria"/>
        </w:rPr>
      </w:pPr>
      <w:r w:rsidRPr="009A0DA6">
        <w:rPr>
          <w:rFonts w:ascii="Cambria" w:hAnsi="Cambria"/>
        </w:rPr>
        <w:t>Completion of Children’s Message resource in 2018.</w:t>
      </w:r>
    </w:p>
    <w:p w14:paraId="3453B743" w14:textId="77777777" w:rsidR="0054360D" w:rsidRPr="009A0DA6" w:rsidRDefault="0054360D" w:rsidP="00F55252">
      <w:pPr>
        <w:pStyle w:val="ListParagraph"/>
        <w:numPr>
          <w:ilvl w:val="0"/>
          <w:numId w:val="206"/>
        </w:numPr>
        <w:spacing w:before="120" w:after="120" w:line="240" w:lineRule="auto"/>
        <w:ind w:left="567" w:hanging="567"/>
        <w:rPr>
          <w:rFonts w:ascii="Cambria" w:hAnsi="Cambria"/>
        </w:rPr>
      </w:pPr>
      <w:r w:rsidRPr="009A0DA6">
        <w:rPr>
          <w:rFonts w:ascii="Cambria" w:hAnsi="Cambria"/>
        </w:rPr>
        <w:t>Support for College of Bishops in developing and managing the worship life of Convention in October 2018.</w:t>
      </w:r>
    </w:p>
    <w:p w14:paraId="0AAA45B5" w14:textId="77777777" w:rsidR="0054360D" w:rsidRPr="009A0DA6" w:rsidRDefault="0054360D" w:rsidP="00F55252">
      <w:pPr>
        <w:pStyle w:val="ListParagraph"/>
        <w:numPr>
          <w:ilvl w:val="0"/>
          <w:numId w:val="206"/>
        </w:numPr>
        <w:spacing w:before="120" w:after="120" w:line="240" w:lineRule="auto"/>
        <w:ind w:left="567" w:hanging="567"/>
        <w:rPr>
          <w:rFonts w:ascii="Cambria" w:hAnsi="Cambria"/>
        </w:rPr>
      </w:pPr>
      <w:r w:rsidRPr="009A0DA6">
        <w:rPr>
          <w:rFonts w:ascii="Cambria" w:hAnsi="Cambria"/>
        </w:rPr>
        <w:t>Dialogue re copyright issues with developing more usable and varied music resources for local communities without musicians underway.</w:t>
      </w:r>
    </w:p>
    <w:p w14:paraId="4140E55B" w14:textId="77777777" w:rsidR="0054360D" w:rsidRPr="009A0DA6" w:rsidRDefault="0054360D" w:rsidP="00F55252">
      <w:pPr>
        <w:pStyle w:val="ListParagraph"/>
        <w:numPr>
          <w:ilvl w:val="0"/>
          <w:numId w:val="206"/>
        </w:numPr>
        <w:spacing w:before="120" w:after="120" w:line="240" w:lineRule="auto"/>
        <w:ind w:left="567" w:hanging="567"/>
        <w:rPr>
          <w:rFonts w:ascii="Cambria" w:hAnsi="Cambria"/>
        </w:rPr>
      </w:pPr>
      <w:r w:rsidRPr="009A0DA6">
        <w:rPr>
          <w:rFonts w:ascii="Cambria" w:hAnsi="Cambria"/>
        </w:rPr>
        <w:t>Identification of current needs by consultation with the College of Bishops.</w:t>
      </w:r>
    </w:p>
    <w:p w14:paraId="71AB9B2A" w14:textId="77777777" w:rsidR="0054360D" w:rsidRPr="009A0DA6" w:rsidRDefault="0054360D" w:rsidP="00F55252">
      <w:pPr>
        <w:pStyle w:val="ListParagraph"/>
        <w:numPr>
          <w:ilvl w:val="0"/>
          <w:numId w:val="206"/>
        </w:numPr>
        <w:spacing w:before="120" w:after="120" w:line="240" w:lineRule="auto"/>
        <w:ind w:left="567" w:hanging="567"/>
        <w:rPr>
          <w:rFonts w:ascii="Cambria" w:hAnsi="Cambria"/>
        </w:rPr>
      </w:pPr>
      <w:r w:rsidRPr="009A0DA6">
        <w:rPr>
          <w:rFonts w:ascii="Cambria" w:hAnsi="Cambria"/>
        </w:rPr>
        <w:t>Completion of 50</w:t>
      </w:r>
      <w:r w:rsidRPr="009A0DA6">
        <w:rPr>
          <w:rFonts w:ascii="Cambria" w:hAnsi="Cambria"/>
          <w:vertAlign w:val="superscript"/>
        </w:rPr>
        <w:t>th</w:t>
      </w:r>
      <w:r w:rsidRPr="009A0DA6">
        <w:rPr>
          <w:rFonts w:ascii="Cambria" w:hAnsi="Cambria"/>
        </w:rPr>
        <w:t xml:space="preserve"> Anniversary worship Resources for us in local settings.</w:t>
      </w:r>
      <w:r w:rsidRPr="009A0DA6">
        <w:rPr>
          <w:rFonts w:ascii="Cambria" w:hAnsi="Cambria"/>
        </w:rPr>
        <w:br/>
      </w:r>
    </w:p>
    <w:p w14:paraId="5F6C828E" w14:textId="77777777" w:rsidR="0054360D" w:rsidRPr="009A0DA6" w:rsidRDefault="0054360D" w:rsidP="0054360D">
      <w:pPr>
        <w:pStyle w:val="Heading3"/>
      </w:pPr>
      <w:r w:rsidRPr="009A0DA6">
        <w:t>Challenges and Lessons Learned</w:t>
      </w:r>
    </w:p>
    <w:p w14:paraId="60D97BCB" w14:textId="77777777" w:rsidR="0054360D" w:rsidRPr="009A0DA6" w:rsidRDefault="0054360D" w:rsidP="00F55252">
      <w:pPr>
        <w:pStyle w:val="ListParagraph"/>
        <w:numPr>
          <w:ilvl w:val="0"/>
          <w:numId w:val="207"/>
        </w:numPr>
        <w:spacing w:before="120" w:after="120" w:line="240" w:lineRule="auto"/>
        <w:ind w:left="567" w:hanging="567"/>
        <w:rPr>
          <w:rFonts w:ascii="Cambria" w:hAnsi="Cambria"/>
        </w:rPr>
      </w:pPr>
      <w:r w:rsidRPr="009A0DA6">
        <w:rPr>
          <w:rFonts w:ascii="Cambria" w:hAnsi="Cambria"/>
        </w:rPr>
        <w:t xml:space="preserve">The commission </w:t>
      </w:r>
      <w:r w:rsidRPr="009A0DA6">
        <w:rPr>
          <w:rFonts w:ascii="Cambria" w:hAnsi="Cambria"/>
          <w:b/>
        </w:rPr>
        <w:t>does not have the capacity</w:t>
      </w:r>
      <w:r w:rsidRPr="009A0DA6">
        <w:rPr>
          <w:rFonts w:ascii="Cambria" w:hAnsi="Cambria"/>
        </w:rPr>
        <w:t xml:space="preserve"> to meet the needs fully and in a timely manner due to minimal staffing/resourcing.</w:t>
      </w:r>
    </w:p>
    <w:p w14:paraId="126EFE67" w14:textId="77777777" w:rsidR="0054360D" w:rsidRPr="009A0DA6" w:rsidRDefault="0054360D" w:rsidP="00F55252">
      <w:pPr>
        <w:pStyle w:val="ListParagraph"/>
        <w:numPr>
          <w:ilvl w:val="0"/>
          <w:numId w:val="207"/>
        </w:numPr>
        <w:spacing w:before="120" w:after="120" w:line="240" w:lineRule="auto"/>
        <w:ind w:left="567" w:hanging="567"/>
        <w:rPr>
          <w:rFonts w:ascii="Cambria" w:hAnsi="Cambria"/>
        </w:rPr>
      </w:pPr>
      <w:r w:rsidRPr="009A0DA6">
        <w:rPr>
          <w:rFonts w:ascii="Cambria" w:hAnsi="Cambria"/>
        </w:rPr>
        <w:t xml:space="preserve">The commission </w:t>
      </w:r>
      <w:r w:rsidRPr="009A0DA6">
        <w:rPr>
          <w:rFonts w:ascii="Cambria" w:hAnsi="Cambria"/>
          <w:b/>
        </w:rPr>
        <w:t>struggles to have a sustainable capacity to effectively keep minutes and generally administer its affairs</w:t>
      </w:r>
      <w:r w:rsidRPr="009A0DA6">
        <w:rPr>
          <w:rFonts w:ascii="Cambria" w:hAnsi="Cambria"/>
        </w:rPr>
        <w:t xml:space="preserve"> and would benefit greatly from more centralised resources in the National office to assist with things such as minute secretaries, resource curation and archiving. </w:t>
      </w:r>
    </w:p>
    <w:p w14:paraId="47227F39" w14:textId="77777777" w:rsidR="0054360D" w:rsidRPr="009A0DA6" w:rsidRDefault="0054360D" w:rsidP="00F55252">
      <w:pPr>
        <w:pStyle w:val="ListParagraph"/>
        <w:numPr>
          <w:ilvl w:val="0"/>
          <w:numId w:val="207"/>
        </w:numPr>
        <w:spacing w:before="120" w:after="120" w:line="240" w:lineRule="auto"/>
        <w:ind w:left="567" w:hanging="567"/>
        <w:rPr>
          <w:rFonts w:ascii="Cambria" w:hAnsi="Cambria"/>
        </w:rPr>
      </w:pPr>
      <w:r w:rsidRPr="009A0DA6">
        <w:rPr>
          <w:rFonts w:ascii="Cambria" w:hAnsi="Cambria"/>
        </w:rPr>
        <w:t xml:space="preserve">Again, we have learned that because of the large amount of work and its intensity, planning and coordinating the </w:t>
      </w:r>
      <w:r w:rsidRPr="009A0DA6">
        <w:rPr>
          <w:rFonts w:ascii="Cambria" w:hAnsi="Cambria"/>
          <w:b/>
        </w:rPr>
        <w:t xml:space="preserve">worship life for general Synod would be better if it was staffed in some capacity. </w:t>
      </w:r>
    </w:p>
    <w:p w14:paraId="11778454" w14:textId="77777777" w:rsidR="0054360D" w:rsidRPr="009A0DA6" w:rsidRDefault="0054360D" w:rsidP="00F55252">
      <w:pPr>
        <w:pStyle w:val="ListParagraph"/>
        <w:numPr>
          <w:ilvl w:val="0"/>
          <w:numId w:val="207"/>
        </w:numPr>
        <w:spacing w:before="120" w:after="120" w:line="240" w:lineRule="auto"/>
        <w:ind w:left="567" w:hanging="567"/>
        <w:rPr>
          <w:rFonts w:ascii="Cambria" w:hAnsi="Cambria"/>
        </w:rPr>
      </w:pPr>
      <w:r w:rsidRPr="009A0DA6">
        <w:rPr>
          <w:rFonts w:ascii="Cambria" w:hAnsi="Cambria"/>
        </w:rPr>
        <w:t xml:space="preserve">There is an acute need for </w:t>
      </w:r>
      <w:r w:rsidRPr="009A0DA6">
        <w:rPr>
          <w:rFonts w:ascii="Cambria" w:hAnsi="Cambria"/>
          <w:b/>
        </w:rPr>
        <w:t>education, training and support for local lay worship leaders in the area of theology, liturgy, sacramental worship and congregational singing</w:t>
      </w:r>
      <w:r w:rsidRPr="009A0DA6">
        <w:rPr>
          <w:rFonts w:ascii="Cambria" w:hAnsi="Cambria"/>
        </w:rPr>
        <w:t xml:space="preserve">. We are working on creative ways to meet this need. Having significant help in the LCA National office re copyright advice has been very helpful. </w:t>
      </w:r>
    </w:p>
    <w:p w14:paraId="311C3D18" w14:textId="77777777" w:rsidR="0054360D" w:rsidRPr="009A0DA6" w:rsidRDefault="0054360D" w:rsidP="00F55252">
      <w:pPr>
        <w:pStyle w:val="ListParagraph"/>
        <w:numPr>
          <w:ilvl w:val="0"/>
          <w:numId w:val="207"/>
        </w:numPr>
        <w:spacing w:before="120" w:after="120" w:line="240" w:lineRule="auto"/>
        <w:ind w:left="567" w:hanging="567"/>
        <w:rPr>
          <w:rFonts w:ascii="Cambria" w:hAnsi="Cambria"/>
        </w:rPr>
      </w:pPr>
      <w:r w:rsidRPr="009A0DA6">
        <w:rPr>
          <w:rFonts w:ascii="Cambria" w:hAnsi="Cambria"/>
        </w:rPr>
        <w:t xml:space="preserve">We are missing a strong theological connection that has been enjoyed in the past because we have no </w:t>
      </w:r>
      <w:r w:rsidRPr="009A0DA6">
        <w:rPr>
          <w:rFonts w:ascii="Cambria" w:hAnsi="Cambria"/>
          <w:b/>
        </w:rPr>
        <w:t>direct link to the faculty of ALC</w:t>
      </w:r>
      <w:r w:rsidRPr="009A0DA6">
        <w:rPr>
          <w:rFonts w:ascii="Cambria" w:hAnsi="Cambria"/>
        </w:rPr>
        <w:t xml:space="preserve">. </w:t>
      </w:r>
    </w:p>
    <w:p w14:paraId="23608C80" w14:textId="77777777" w:rsidR="0054360D" w:rsidRPr="009A0DA6" w:rsidRDefault="0054360D" w:rsidP="00F55252">
      <w:pPr>
        <w:pStyle w:val="ListParagraph"/>
        <w:numPr>
          <w:ilvl w:val="0"/>
          <w:numId w:val="207"/>
        </w:numPr>
        <w:spacing w:before="120" w:after="120" w:line="240" w:lineRule="auto"/>
        <w:ind w:left="567" w:hanging="567"/>
        <w:rPr>
          <w:rFonts w:ascii="Cambria" w:hAnsi="Cambria"/>
        </w:rPr>
      </w:pPr>
      <w:r w:rsidRPr="009A0DA6">
        <w:rPr>
          <w:rFonts w:ascii="Cambria" w:hAnsi="Cambria"/>
        </w:rPr>
        <w:t xml:space="preserve">We continue to do our best to remain engaged in </w:t>
      </w:r>
      <w:r w:rsidRPr="009A0DA6">
        <w:rPr>
          <w:rFonts w:ascii="Cambria" w:hAnsi="Cambria"/>
          <w:b/>
        </w:rPr>
        <w:t>the ecumenical liturgy and music world.</w:t>
      </w:r>
      <w:r w:rsidRPr="009A0DA6">
        <w:rPr>
          <w:rFonts w:ascii="Cambria" w:hAnsi="Cambria"/>
        </w:rPr>
        <w:t xml:space="preserve"> </w:t>
      </w:r>
    </w:p>
    <w:p w14:paraId="49FAC89E" w14:textId="77777777" w:rsidR="0054360D" w:rsidRPr="009A0DA6" w:rsidRDefault="0054360D" w:rsidP="0054360D">
      <w:pPr>
        <w:pStyle w:val="Heading3"/>
      </w:pPr>
      <w:r w:rsidRPr="009A0DA6">
        <w:lastRenderedPageBreak/>
        <w:t>Risks</w:t>
      </w:r>
    </w:p>
    <w:tbl>
      <w:tblPr>
        <w:tblStyle w:val="PlainTable2"/>
        <w:tblW w:w="8516" w:type="dxa"/>
        <w:tblLook w:val="04A0" w:firstRow="1" w:lastRow="0" w:firstColumn="1" w:lastColumn="0" w:noHBand="0" w:noVBand="1"/>
      </w:tblPr>
      <w:tblGrid>
        <w:gridCol w:w="2826"/>
        <w:gridCol w:w="2855"/>
        <w:gridCol w:w="2835"/>
      </w:tblGrid>
      <w:tr w:rsidR="0054360D" w:rsidRPr="009A0DA6" w14:paraId="41F07432" w14:textId="77777777" w:rsidTr="00AD09CB">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826" w:type="dxa"/>
            <w:hideMark/>
          </w:tcPr>
          <w:p w14:paraId="34EF1F21" w14:textId="77777777" w:rsidR="0054360D" w:rsidRPr="009A0DA6" w:rsidRDefault="0054360D" w:rsidP="00BD0B4C">
            <w:pPr>
              <w:spacing w:before="120" w:after="120"/>
              <w:contextualSpacing/>
              <w:rPr>
                <w:rFonts w:ascii="Cambria" w:hAnsi="Cambria" w:cs="Arial"/>
              </w:rPr>
            </w:pPr>
            <w:r w:rsidRPr="009A0DA6">
              <w:rPr>
                <w:rFonts w:ascii="Cambria" w:hAnsi="Cambria" w:cs="Arial"/>
              </w:rPr>
              <w:t xml:space="preserve">Description of risk </w:t>
            </w:r>
          </w:p>
        </w:tc>
        <w:tc>
          <w:tcPr>
            <w:tcW w:w="2855" w:type="dxa"/>
            <w:hideMark/>
          </w:tcPr>
          <w:p w14:paraId="548A04A3" w14:textId="77777777" w:rsidR="0054360D" w:rsidRPr="009A0DA6" w:rsidRDefault="0054360D" w:rsidP="00BD0B4C">
            <w:pPr>
              <w:spacing w:before="120" w:after="120"/>
              <w:contextualSpacing/>
              <w:cnfStyle w:val="100000000000" w:firstRow="1"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Likelihood of risk occurring and potential impact for the ministry and LCA</w:t>
            </w:r>
          </w:p>
        </w:tc>
        <w:tc>
          <w:tcPr>
            <w:tcW w:w="2835" w:type="dxa"/>
            <w:hideMark/>
          </w:tcPr>
          <w:p w14:paraId="4DE0BE46" w14:textId="77777777" w:rsidR="0054360D" w:rsidRPr="009A0DA6" w:rsidRDefault="0054360D" w:rsidP="00BD0B4C">
            <w:pPr>
              <w:spacing w:before="120" w:after="120"/>
              <w:contextualSpacing/>
              <w:cnfStyle w:val="100000000000" w:firstRow="1"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Summary of action to mitigate the risk</w:t>
            </w:r>
          </w:p>
        </w:tc>
      </w:tr>
      <w:tr w:rsidR="0054360D" w:rsidRPr="009A0DA6" w14:paraId="1F3BA33C" w14:textId="77777777" w:rsidTr="00AD09C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26" w:type="dxa"/>
          </w:tcPr>
          <w:p w14:paraId="40A68A2A" w14:textId="77777777" w:rsidR="0054360D" w:rsidRPr="009A0DA6" w:rsidRDefault="0054360D" w:rsidP="00AD09CB">
            <w:pPr>
              <w:widowControl w:val="0"/>
              <w:suppressAutoHyphens/>
              <w:spacing w:before="120" w:after="120"/>
              <w:contextualSpacing/>
              <w:rPr>
                <w:rFonts w:ascii="Cambria" w:hAnsi="Cambria" w:cs="Arial"/>
              </w:rPr>
            </w:pPr>
            <w:r w:rsidRPr="009A0DA6">
              <w:rPr>
                <w:rFonts w:ascii="Cambria" w:hAnsi="Cambria" w:cs="Arial"/>
              </w:rPr>
              <w:t>Not enough resource/capacity to meet the needs of staffing the General Convention worship planning and coordination.</w:t>
            </w:r>
          </w:p>
          <w:p w14:paraId="500F4B98" w14:textId="77777777" w:rsidR="0054360D" w:rsidRPr="009A0DA6" w:rsidRDefault="0054360D" w:rsidP="00AD09CB">
            <w:pPr>
              <w:widowControl w:val="0"/>
              <w:suppressAutoHyphens/>
              <w:spacing w:before="120" w:after="120"/>
              <w:contextualSpacing/>
              <w:rPr>
                <w:rFonts w:ascii="Cambria" w:hAnsi="Cambria" w:cs="Arial"/>
              </w:rPr>
            </w:pPr>
          </w:p>
          <w:p w14:paraId="75D3D3FE" w14:textId="77777777" w:rsidR="0054360D" w:rsidRPr="009A0DA6" w:rsidRDefault="0054360D" w:rsidP="00AD09CB">
            <w:pPr>
              <w:widowControl w:val="0"/>
              <w:suppressAutoHyphens/>
              <w:spacing w:before="120" w:after="120"/>
              <w:contextualSpacing/>
              <w:rPr>
                <w:rFonts w:ascii="Cambria" w:hAnsi="Cambria" w:cs="Arial"/>
              </w:rPr>
            </w:pPr>
          </w:p>
        </w:tc>
        <w:tc>
          <w:tcPr>
            <w:tcW w:w="2855" w:type="dxa"/>
          </w:tcPr>
          <w:p w14:paraId="5A78A5F1" w14:textId="77777777" w:rsidR="0054360D" w:rsidRPr="009A0DA6" w:rsidRDefault="0054360D" w:rsidP="00AD09CB">
            <w:pPr>
              <w:spacing w:before="120" w:after="120"/>
              <w:contextualSpacing/>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 xml:space="preserve">Lack of support/education/training of local worship leaders and musicians in the area of Lutheran theology and practice which leads to lack of appreciation and understanding of who we are and what worship is. Our worship life as a church is not as rich as it could be. </w:t>
            </w:r>
          </w:p>
        </w:tc>
        <w:tc>
          <w:tcPr>
            <w:tcW w:w="2835" w:type="dxa"/>
          </w:tcPr>
          <w:p w14:paraId="6182F354" w14:textId="77777777" w:rsidR="0054360D" w:rsidRPr="009A0DA6" w:rsidRDefault="0054360D" w:rsidP="00AD09CB">
            <w:pPr>
              <w:spacing w:before="120" w:after="120"/>
              <w:contextualSpacing/>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Maintain the WPP Coordinator role within LCA budget expenditure/staffing plan.</w:t>
            </w:r>
          </w:p>
          <w:p w14:paraId="77BDC31E" w14:textId="77777777" w:rsidR="0054360D" w:rsidRPr="009A0DA6" w:rsidRDefault="0054360D" w:rsidP="00AD09CB">
            <w:pPr>
              <w:spacing w:before="120" w:after="120"/>
              <w:contextualSpacing/>
              <w:cnfStyle w:val="000000100000" w:firstRow="0" w:lastRow="0" w:firstColumn="0" w:lastColumn="0" w:oddVBand="0" w:evenVBand="0" w:oddHBand="1" w:evenHBand="0" w:firstRowFirstColumn="0" w:firstRowLastColumn="0" w:lastRowFirstColumn="0" w:lastRowLastColumn="0"/>
              <w:rPr>
                <w:rFonts w:ascii="Cambria" w:hAnsi="Cambria" w:cs="Arial"/>
              </w:rPr>
            </w:pPr>
          </w:p>
          <w:p w14:paraId="45F33B6D" w14:textId="77777777" w:rsidR="0054360D" w:rsidRPr="009A0DA6" w:rsidRDefault="0054360D" w:rsidP="00AD09CB">
            <w:pPr>
              <w:spacing w:before="120" w:after="120"/>
              <w:contextualSpacing/>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Seek ways to fund the development and coordination of worship life of General Synod as part of general Synod costings.</w:t>
            </w:r>
          </w:p>
        </w:tc>
      </w:tr>
      <w:tr w:rsidR="0054360D" w:rsidRPr="009A0DA6" w14:paraId="49989CB4" w14:textId="77777777" w:rsidTr="00AD09CB">
        <w:trPr>
          <w:trHeight w:val="255"/>
        </w:trPr>
        <w:tc>
          <w:tcPr>
            <w:cnfStyle w:val="001000000000" w:firstRow="0" w:lastRow="0" w:firstColumn="1" w:lastColumn="0" w:oddVBand="0" w:evenVBand="0" w:oddHBand="0" w:evenHBand="0" w:firstRowFirstColumn="0" w:firstRowLastColumn="0" w:lastRowFirstColumn="0" w:lastRowLastColumn="0"/>
            <w:tcW w:w="2826" w:type="dxa"/>
          </w:tcPr>
          <w:p w14:paraId="4DF1F815" w14:textId="77777777" w:rsidR="0054360D" w:rsidRPr="009A0DA6" w:rsidRDefault="0054360D" w:rsidP="00AD09CB">
            <w:pPr>
              <w:widowControl w:val="0"/>
              <w:suppressAutoHyphens/>
              <w:spacing w:before="120" w:after="120"/>
              <w:contextualSpacing/>
              <w:rPr>
                <w:rFonts w:ascii="Cambria" w:hAnsi="Cambria" w:cs="Arial"/>
              </w:rPr>
            </w:pPr>
            <w:r w:rsidRPr="009A0DA6">
              <w:rPr>
                <w:rFonts w:ascii="Cambria" w:hAnsi="Cambria" w:cs="Arial"/>
              </w:rPr>
              <w:t xml:space="preserve">Not enough resource/capacity to provide usable audio versions of hymns and other music for use in many congregations without musicians or organists. </w:t>
            </w:r>
          </w:p>
          <w:p w14:paraId="56C71BD0" w14:textId="77777777" w:rsidR="0054360D" w:rsidRPr="009A0DA6" w:rsidRDefault="0054360D" w:rsidP="00AD09CB">
            <w:pPr>
              <w:widowControl w:val="0"/>
              <w:suppressAutoHyphens/>
              <w:spacing w:before="120" w:after="120"/>
              <w:contextualSpacing/>
              <w:rPr>
                <w:rFonts w:ascii="Cambria" w:hAnsi="Cambria" w:cs="Arial"/>
              </w:rPr>
            </w:pPr>
          </w:p>
        </w:tc>
        <w:tc>
          <w:tcPr>
            <w:tcW w:w="2855" w:type="dxa"/>
          </w:tcPr>
          <w:p w14:paraId="2F82E0C4" w14:textId="77777777" w:rsidR="0054360D" w:rsidRPr="009A0DA6" w:rsidRDefault="0054360D" w:rsidP="00AD09CB">
            <w:pPr>
              <w:spacing w:before="120" w:after="120"/>
              <w:contextualSpacing/>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A decrease in the music and song dimension of our church.</w:t>
            </w:r>
          </w:p>
        </w:tc>
        <w:tc>
          <w:tcPr>
            <w:tcW w:w="2835" w:type="dxa"/>
          </w:tcPr>
          <w:p w14:paraId="4AF58FC0" w14:textId="77777777" w:rsidR="0054360D" w:rsidRPr="009A0DA6" w:rsidRDefault="0054360D" w:rsidP="00AD09CB">
            <w:pPr>
              <w:spacing w:before="120" w:after="120"/>
              <w:contextualSpacing/>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Continue to work collaboratively with other denominations and groups and be highly prioritised in terms of our business.</w:t>
            </w:r>
          </w:p>
        </w:tc>
      </w:tr>
    </w:tbl>
    <w:p w14:paraId="7EC08B11" w14:textId="77777777" w:rsidR="0054360D" w:rsidRPr="009A0DA6" w:rsidRDefault="0054360D" w:rsidP="0054360D">
      <w:pPr>
        <w:spacing w:before="120" w:after="120" w:line="240" w:lineRule="auto"/>
        <w:contextualSpacing/>
        <w:rPr>
          <w:rFonts w:ascii="Cambria" w:hAnsi="Cambria"/>
          <w:b/>
        </w:rPr>
      </w:pPr>
    </w:p>
    <w:p w14:paraId="3BA3F7AC" w14:textId="77777777" w:rsidR="0054360D" w:rsidRPr="009A0DA6" w:rsidRDefault="0054360D" w:rsidP="0054360D">
      <w:pPr>
        <w:pStyle w:val="Heading3"/>
      </w:pPr>
      <w:r w:rsidRPr="009A0DA6">
        <w:t xml:space="preserve">Alignment to LCA Strategic Direction </w:t>
      </w:r>
    </w:p>
    <w:p w14:paraId="1C615BED" w14:textId="77777777" w:rsidR="0054360D" w:rsidRPr="009A0DA6" w:rsidRDefault="0054360D" w:rsidP="0054360D">
      <w:pPr>
        <w:pStyle w:val="Pa13"/>
        <w:spacing w:before="120" w:after="120" w:line="240" w:lineRule="auto"/>
        <w:contextualSpacing/>
        <w:rPr>
          <w:rFonts w:ascii="Cambria" w:hAnsi="Cambria" w:cs="Helvetica Neue LT Std"/>
          <w:iCs/>
          <w:sz w:val="22"/>
          <w:szCs w:val="22"/>
        </w:rPr>
      </w:pPr>
      <w:r w:rsidRPr="009A0DA6">
        <w:rPr>
          <w:rFonts w:ascii="Cambria" w:hAnsi="Cambria" w:cs="Helvetica Neue LT Std"/>
          <w:iCs/>
          <w:sz w:val="22"/>
          <w:szCs w:val="22"/>
        </w:rPr>
        <w:t>The commission sees its work largely within the areas of the LCA’s Strategic Directions 2013-2018 in the areas of:</w:t>
      </w:r>
    </w:p>
    <w:p w14:paraId="5E104FCA" w14:textId="77777777" w:rsidR="0054360D" w:rsidRPr="009A0DA6" w:rsidRDefault="0054360D" w:rsidP="0054360D">
      <w:pPr>
        <w:pStyle w:val="Pa13"/>
        <w:spacing w:before="120" w:after="120" w:line="240" w:lineRule="auto"/>
        <w:ind w:left="567" w:hanging="567"/>
        <w:contextualSpacing/>
        <w:rPr>
          <w:rFonts w:ascii="Cambria" w:hAnsi="Cambria" w:cs="Helvetica Neue LT Std"/>
          <w:sz w:val="22"/>
          <w:szCs w:val="22"/>
        </w:rPr>
      </w:pPr>
      <w:r w:rsidRPr="009A0DA6">
        <w:rPr>
          <w:rFonts w:ascii="Cambria" w:hAnsi="Cambria" w:cs="Helvetica Neue LT Std"/>
          <w:iCs/>
          <w:sz w:val="22"/>
          <w:szCs w:val="22"/>
        </w:rPr>
        <w:t xml:space="preserve">(f) </w:t>
      </w:r>
      <w:r w:rsidRPr="009A0DA6">
        <w:rPr>
          <w:rFonts w:ascii="Cambria" w:hAnsi="Cambria" w:cs="Helvetica Neue LT Std"/>
          <w:iCs/>
          <w:sz w:val="22"/>
          <w:szCs w:val="22"/>
        </w:rPr>
        <w:tab/>
      </w:r>
      <w:r w:rsidRPr="009A0DA6">
        <w:rPr>
          <w:rFonts w:ascii="Cambria" w:hAnsi="Cambria" w:cs="Helvetica Neue LT Std"/>
          <w:b/>
          <w:bCs/>
          <w:iCs/>
          <w:sz w:val="22"/>
          <w:szCs w:val="22"/>
        </w:rPr>
        <w:t>encourage every congregation to carry out its mission to its local community;</w:t>
      </w:r>
    </w:p>
    <w:p w14:paraId="32D1D72B" w14:textId="77777777" w:rsidR="0054360D" w:rsidRPr="009A0DA6" w:rsidRDefault="0054360D" w:rsidP="0054360D">
      <w:pPr>
        <w:pStyle w:val="Pa13"/>
        <w:spacing w:before="120" w:after="120" w:line="240" w:lineRule="auto"/>
        <w:ind w:left="567" w:hanging="567"/>
        <w:contextualSpacing/>
        <w:rPr>
          <w:rFonts w:ascii="Cambria" w:hAnsi="Cambria" w:cs="Helvetica Neue LT Std"/>
          <w:sz w:val="22"/>
          <w:szCs w:val="22"/>
        </w:rPr>
      </w:pPr>
      <w:r w:rsidRPr="009A0DA6">
        <w:rPr>
          <w:rFonts w:ascii="Cambria" w:hAnsi="Cambria" w:cs="Helvetica Neue LT Std"/>
          <w:iCs/>
          <w:sz w:val="22"/>
          <w:szCs w:val="22"/>
        </w:rPr>
        <w:t xml:space="preserve">(i) </w:t>
      </w:r>
      <w:r w:rsidRPr="009A0DA6">
        <w:rPr>
          <w:rFonts w:ascii="Cambria" w:hAnsi="Cambria" w:cs="Helvetica Neue LT Std"/>
          <w:iCs/>
          <w:sz w:val="22"/>
          <w:szCs w:val="22"/>
        </w:rPr>
        <w:tab/>
      </w:r>
      <w:r w:rsidRPr="009A0DA6">
        <w:rPr>
          <w:rFonts w:ascii="Cambria" w:hAnsi="Cambria" w:cs="Helvetica Neue LT Std"/>
          <w:b/>
          <w:bCs/>
          <w:iCs/>
          <w:sz w:val="22"/>
          <w:szCs w:val="22"/>
        </w:rPr>
        <w:t xml:space="preserve">dialogue </w:t>
      </w:r>
      <w:r w:rsidRPr="009A0DA6">
        <w:rPr>
          <w:rFonts w:ascii="Cambria" w:hAnsi="Cambria" w:cs="Helvetica Neue LT Std"/>
          <w:iCs/>
          <w:sz w:val="22"/>
          <w:szCs w:val="22"/>
        </w:rPr>
        <w:t>with other Christian church bodies;</w:t>
      </w:r>
    </w:p>
    <w:p w14:paraId="37385DD8" w14:textId="77777777" w:rsidR="0054360D" w:rsidRPr="009A0DA6" w:rsidRDefault="0054360D" w:rsidP="0054360D">
      <w:pPr>
        <w:pStyle w:val="Pa13"/>
        <w:spacing w:line="240" w:lineRule="auto"/>
        <w:ind w:left="567" w:hanging="567"/>
        <w:contextualSpacing/>
        <w:rPr>
          <w:rFonts w:ascii="Cambria" w:hAnsi="Cambria" w:cs="Helvetica Neue LT Std"/>
          <w:sz w:val="22"/>
          <w:szCs w:val="22"/>
        </w:rPr>
      </w:pPr>
      <w:r w:rsidRPr="009A0DA6">
        <w:rPr>
          <w:rFonts w:ascii="Cambria" w:hAnsi="Cambria" w:cs="Helvetica Neue LT Std"/>
          <w:iCs/>
          <w:sz w:val="22"/>
          <w:szCs w:val="22"/>
        </w:rPr>
        <w:t xml:space="preserve">(k) </w:t>
      </w:r>
      <w:r w:rsidRPr="009A0DA6">
        <w:rPr>
          <w:rFonts w:ascii="Cambria" w:hAnsi="Cambria" w:cs="Helvetica Neue LT Std"/>
          <w:iCs/>
          <w:sz w:val="22"/>
          <w:szCs w:val="22"/>
        </w:rPr>
        <w:tab/>
      </w:r>
      <w:r w:rsidRPr="009A0DA6">
        <w:rPr>
          <w:rFonts w:ascii="Cambria" w:hAnsi="Cambria" w:cs="Helvetica Neue LT Std"/>
          <w:b/>
          <w:bCs/>
          <w:iCs/>
          <w:sz w:val="22"/>
          <w:szCs w:val="22"/>
        </w:rPr>
        <w:t>cultivate uniformity in worship</w:t>
      </w:r>
      <w:r w:rsidRPr="009A0DA6">
        <w:rPr>
          <w:rFonts w:ascii="Cambria" w:hAnsi="Cambria" w:cs="Helvetica Neue LT Std"/>
          <w:iCs/>
          <w:sz w:val="22"/>
          <w:szCs w:val="22"/>
        </w:rPr>
        <w:t>, ecclesiastical practice and customs in accord with the principles laid down in Article X. of the Formula of Concord; and</w:t>
      </w:r>
    </w:p>
    <w:p w14:paraId="0874FD6A" w14:textId="77777777" w:rsidR="0054360D" w:rsidRPr="009A0DA6" w:rsidRDefault="0054360D" w:rsidP="0054360D">
      <w:pPr>
        <w:spacing w:after="0" w:line="240" w:lineRule="auto"/>
        <w:ind w:left="567" w:hanging="567"/>
        <w:contextualSpacing/>
        <w:rPr>
          <w:rFonts w:ascii="Cambria" w:hAnsi="Cambria" w:cs="Helvetica Neue LT Std"/>
          <w:iCs/>
        </w:rPr>
      </w:pPr>
      <w:r w:rsidRPr="009A0DA6">
        <w:rPr>
          <w:rFonts w:ascii="Cambria" w:hAnsi="Cambria" w:cs="Helvetica Neue LT Std"/>
          <w:iCs/>
        </w:rPr>
        <w:t xml:space="preserve">(l) </w:t>
      </w:r>
      <w:r w:rsidRPr="009A0DA6">
        <w:rPr>
          <w:rFonts w:ascii="Cambria" w:hAnsi="Cambria" w:cs="Helvetica Neue LT Std"/>
          <w:iCs/>
        </w:rPr>
        <w:tab/>
      </w:r>
      <w:r w:rsidRPr="009A0DA6">
        <w:rPr>
          <w:rFonts w:ascii="Cambria" w:hAnsi="Cambria" w:cs="Helvetica Neue LT Std"/>
          <w:b/>
          <w:bCs/>
          <w:iCs/>
        </w:rPr>
        <w:t xml:space="preserve">publish, procure, and distribute literature </w:t>
      </w:r>
      <w:r w:rsidRPr="009A0DA6">
        <w:rPr>
          <w:rFonts w:ascii="Cambria" w:hAnsi="Cambria" w:cs="Helvetica Neue LT Std"/>
          <w:iCs/>
        </w:rPr>
        <w:t>compatible with the Confession and principles of the church.</w:t>
      </w:r>
    </w:p>
    <w:p w14:paraId="0B2A8C19" w14:textId="77777777" w:rsidR="0054360D" w:rsidRPr="009A0DA6" w:rsidRDefault="0054360D" w:rsidP="0054360D">
      <w:pPr>
        <w:pStyle w:val="Pa14"/>
        <w:spacing w:before="120" w:after="120" w:line="240" w:lineRule="auto"/>
        <w:contextualSpacing/>
        <w:rPr>
          <w:rFonts w:ascii="Cambria" w:hAnsi="Cambria" w:cs="Helvetica Neue LT Std"/>
          <w:b/>
          <w:bCs/>
          <w:sz w:val="22"/>
          <w:szCs w:val="22"/>
        </w:rPr>
      </w:pPr>
      <w:r w:rsidRPr="009A0DA6">
        <w:rPr>
          <w:rFonts w:ascii="Cambria" w:hAnsi="Cambria" w:cs="Helvetica Neue LT Std"/>
          <w:b/>
          <w:bCs/>
          <w:sz w:val="22"/>
          <w:szCs w:val="22"/>
        </w:rPr>
        <w:t xml:space="preserve">Our intention is that our work does indeed help our people to </w:t>
      </w:r>
    </w:p>
    <w:p w14:paraId="7A4D6495" w14:textId="77777777" w:rsidR="0054360D" w:rsidRPr="009A0DA6" w:rsidRDefault="0054360D" w:rsidP="00F55252">
      <w:pPr>
        <w:pStyle w:val="Pa14"/>
        <w:numPr>
          <w:ilvl w:val="0"/>
          <w:numId w:val="208"/>
        </w:numPr>
        <w:spacing w:before="120" w:after="120" w:line="240" w:lineRule="auto"/>
        <w:ind w:left="567" w:hanging="567"/>
        <w:contextualSpacing/>
        <w:rPr>
          <w:rFonts w:ascii="Cambria" w:hAnsi="Cambria" w:cs="Helvetica Neue LT Std"/>
          <w:sz w:val="22"/>
          <w:szCs w:val="22"/>
        </w:rPr>
      </w:pPr>
      <w:r w:rsidRPr="009A0DA6">
        <w:rPr>
          <w:rFonts w:ascii="Cambria" w:hAnsi="Cambria" w:cs="Helvetica Neue LT Std"/>
          <w:b/>
          <w:bCs/>
          <w:sz w:val="22"/>
          <w:szCs w:val="22"/>
        </w:rPr>
        <w:t xml:space="preserve">Develop a passionate faith in individuals, families and communities shaped by a growing understanding of God’s word, nurtured and sustained in </w:t>
      </w:r>
      <w:r w:rsidRPr="009A0DA6">
        <w:rPr>
          <w:rFonts w:ascii="Cambria" w:hAnsi="Cambria" w:cs="Helvetica Neue LT Std"/>
          <w:sz w:val="22"/>
          <w:szCs w:val="22"/>
        </w:rPr>
        <w:tab/>
      </w:r>
      <w:r w:rsidRPr="009A0DA6">
        <w:rPr>
          <w:rFonts w:ascii="Cambria" w:hAnsi="Cambria" w:cs="Helvetica Neue LT Std"/>
          <w:b/>
          <w:bCs/>
          <w:sz w:val="22"/>
          <w:szCs w:val="22"/>
        </w:rPr>
        <w:t>prayer and worship.</w:t>
      </w:r>
    </w:p>
    <w:p w14:paraId="0618AF9A" w14:textId="77777777" w:rsidR="0054360D" w:rsidRPr="009A0DA6" w:rsidRDefault="0054360D" w:rsidP="0054360D">
      <w:pPr>
        <w:pStyle w:val="Pa14"/>
        <w:spacing w:before="120" w:after="120" w:line="240" w:lineRule="auto"/>
        <w:ind w:left="567" w:hanging="567"/>
        <w:contextualSpacing/>
        <w:rPr>
          <w:rFonts w:ascii="Cambria" w:hAnsi="Cambria" w:cs="Helvetica Neue LT Std"/>
          <w:sz w:val="22"/>
          <w:szCs w:val="22"/>
        </w:rPr>
      </w:pPr>
      <w:r w:rsidRPr="009A0DA6">
        <w:rPr>
          <w:rFonts w:ascii="Cambria" w:hAnsi="Cambria" w:cs="Helvetica Neue LT Std"/>
          <w:b/>
          <w:bCs/>
          <w:sz w:val="22"/>
          <w:szCs w:val="22"/>
        </w:rPr>
        <w:t xml:space="preserve">2. </w:t>
      </w:r>
      <w:r w:rsidRPr="009A0DA6">
        <w:rPr>
          <w:rFonts w:ascii="Cambria" w:hAnsi="Cambria" w:cs="Helvetica Neue LT Std"/>
          <w:b/>
          <w:bCs/>
          <w:sz w:val="22"/>
          <w:szCs w:val="22"/>
        </w:rPr>
        <w:tab/>
        <w:t>Encourage worship that recognises people receive and respond to God’s grace in different ways.</w:t>
      </w:r>
    </w:p>
    <w:p w14:paraId="7C156A01" w14:textId="77777777" w:rsidR="0054360D" w:rsidRPr="009A0DA6" w:rsidRDefault="0054360D" w:rsidP="0054360D">
      <w:pPr>
        <w:pStyle w:val="Pa13"/>
        <w:spacing w:before="120" w:after="120" w:line="240" w:lineRule="auto"/>
        <w:ind w:left="1134" w:hanging="567"/>
        <w:contextualSpacing/>
        <w:rPr>
          <w:rFonts w:ascii="Cambria" w:hAnsi="Cambria" w:cs="Helvetica Neue LT Std"/>
          <w:sz w:val="22"/>
          <w:szCs w:val="22"/>
        </w:rPr>
      </w:pPr>
      <w:r w:rsidRPr="009A0DA6">
        <w:rPr>
          <w:rFonts w:ascii="Cambria" w:hAnsi="Cambria" w:cs="Helvetica Neue LT Std"/>
          <w:sz w:val="22"/>
          <w:szCs w:val="22"/>
        </w:rPr>
        <w:t xml:space="preserve">01. </w:t>
      </w:r>
      <w:r w:rsidRPr="009A0DA6">
        <w:rPr>
          <w:rFonts w:ascii="Cambria" w:hAnsi="Cambria" w:cs="Helvetica Neue LT Std"/>
          <w:sz w:val="22"/>
          <w:szCs w:val="22"/>
        </w:rPr>
        <w:tab/>
        <w:t>Develop ways to share experiences of different congregations adapting their worship life in widely different situations</w:t>
      </w:r>
    </w:p>
    <w:p w14:paraId="5C909801" w14:textId="77777777" w:rsidR="0054360D" w:rsidRPr="009A0DA6" w:rsidRDefault="0054360D" w:rsidP="0054360D">
      <w:pPr>
        <w:pStyle w:val="Pa13"/>
        <w:spacing w:before="120" w:after="120" w:line="240" w:lineRule="auto"/>
        <w:ind w:left="1134" w:hanging="567"/>
        <w:contextualSpacing/>
        <w:rPr>
          <w:rFonts w:ascii="Cambria" w:hAnsi="Cambria" w:cs="Helvetica Neue LT Std"/>
          <w:sz w:val="22"/>
          <w:szCs w:val="22"/>
        </w:rPr>
      </w:pPr>
      <w:r w:rsidRPr="009A0DA6">
        <w:rPr>
          <w:rFonts w:ascii="Cambria" w:hAnsi="Cambria" w:cs="Helvetica Neue LT Std"/>
          <w:sz w:val="22"/>
          <w:szCs w:val="22"/>
        </w:rPr>
        <w:t xml:space="preserve">02. </w:t>
      </w:r>
      <w:r w:rsidRPr="009A0DA6">
        <w:rPr>
          <w:rFonts w:ascii="Cambria" w:hAnsi="Cambria" w:cs="Helvetica Neue LT Std"/>
          <w:sz w:val="22"/>
          <w:szCs w:val="22"/>
        </w:rPr>
        <w:tab/>
        <w:t>Harness and build on the passion and joy of the worship by our new neighbours</w:t>
      </w:r>
    </w:p>
    <w:p w14:paraId="32245114" w14:textId="77777777" w:rsidR="0054360D" w:rsidRPr="009A0DA6" w:rsidRDefault="0054360D" w:rsidP="0054360D">
      <w:pPr>
        <w:pStyle w:val="Pa13"/>
        <w:spacing w:before="120" w:after="120" w:line="240" w:lineRule="auto"/>
        <w:ind w:left="1134" w:hanging="567"/>
        <w:contextualSpacing/>
        <w:rPr>
          <w:rFonts w:ascii="Cambria" w:hAnsi="Cambria" w:cs="Helvetica Neue LT Std"/>
          <w:sz w:val="22"/>
          <w:szCs w:val="22"/>
        </w:rPr>
      </w:pPr>
      <w:r w:rsidRPr="009A0DA6">
        <w:rPr>
          <w:rFonts w:ascii="Cambria" w:hAnsi="Cambria" w:cs="Helvetica Neue LT Std"/>
          <w:sz w:val="22"/>
          <w:szCs w:val="22"/>
        </w:rPr>
        <w:t xml:space="preserve">03. </w:t>
      </w:r>
      <w:r w:rsidRPr="009A0DA6">
        <w:rPr>
          <w:rFonts w:ascii="Cambria" w:hAnsi="Cambria" w:cs="Helvetica Neue LT Std"/>
          <w:sz w:val="22"/>
          <w:szCs w:val="22"/>
        </w:rPr>
        <w:tab/>
        <w:t>Encourage worship environments that learn from the exuberance of the young (in faith and age) and the wisdom and history of the old.</w:t>
      </w:r>
    </w:p>
    <w:p w14:paraId="364749A1" w14:textId="77777777" w:rsidR="0054360D" w:rsidRPr="009A0DA6" w:rsidRDefault="0054360D" w:rsidP="0054360D">
      <w:pPr>
        <w:pStyle w:val="Pa13"/>
        <w:spacing w:before="120" w:after="120" w:line="240" w:lineRule="auto"/>
        <w:ind w:left="1134" w:hanging="567"/>
        <w:contextualSpacing/>
        <w:rPr>
          <w:rFonts w:ascii="Cambria" w:hAnsi="Cambria" w:cs="Helvetica Neue LT Std"/>
          <w:sz w:val="22"/>
          <w:szCs w:val="22"/>
        </w:rPr>
      </w:pPr>
      <w:r w:rsidRPr="009A0DA6">
        <w:rPr>
          <w:rFonts w:ascii="Cambria" w:hAnsi="Cambria" w:cs="Helvetica Neue LT Std"/>
          <w:sz w:val="22"/>
          <w:szCs w:val="22"/>
        </w:rPr>
        <w:t xml:space="preserve">04. </w:t>
      </w:r>
      <w:r w:rsidRPr="009A0DA6">
        <w:rPr>
          <w:rFonts w:ascii="Cambria" w:hAnsi="Cambria" w:cs="Helvetica Neue LT Std"/>
          <w:sz w:val="22"/>
          <w:szCs w:val="22"/>
        </w:rPr>
        <w:tab/>
        <w:t>Develop a culture that is open to learning broadly from the many different ways we can worship God with joy and relevance</w:t>
      </w:r>
    </w:p>
    <w:p w14:paraId="67E06566" w14:textId="77777777" w:rsidR="0054360D" w:rsidRPr="009A0DA6" w:rsidRDefault="0054360D" w:rsidP="0054360D">
      <w:pPr>
        <w:pStyle w:val="Pa14"/>
        <w:spacing w:before="120" w:after="120" w:line="240" w:lineRule="auto"/>
        <w:ind w:left="567" w:hanging="567"/>
        <w:contextualSpacing/>
        <w:rPr>
          <w:rFonts w:ascii="Cambria" w:hAnsi="Cambria" w:cs="Helvetica Neue LT Std"/>
          <w:sz w:val="22"/>
          <w:szCs w:val="22"/>
        </w:rPr>
      </w:pPr>
      <w:r w:rsidRPr="009A0DA6">
        <w:rPr>
          <w:rFonts w:ascii="Cambria" w:hAnsi="Cambria" w:cs="Helvetica Neue LT Std"/>
          <w:b/>
          <w:bCs/>
          <w:sz w:val="22"/>
          <w:szCs w:val="22"/>
        </w:rPr>
        <w:t xml:space="preserve">3. </w:t>
      </w:r>
      <w:r w:rsidRPr="009A0DA6">
        <w:rPr>
          <w:rFonts w:ascii="Cambria" w:hAnsi="Cambria" w:cs="Helvetica Neue LT Std"/>
          <w:b/>
          <w:bCs/>
          <w:sz w:val="22"/>
          <w:szCs w:val="22"/>
        </w:rPr>
        <w:tab/>
        <w:t>Develop a strong culture of service in individuals, families and communities, both locally and overseas, as a natural outworking of an active faith.</w:t>
      </w:r>
    </w:p>
    <w:p w14:paraId="269EF7F0" w14:textId="77777777" w:rsidR="0054360D" w:rsidRPr="009A0DA6" w:rsidRDefault="0054360D" w:rsidP="0054360D">
      <w:pPr>
        <w:spacing w:before="120" w:after="120" w:line="240" w:lineRule="auto"/>
        <w:contextualSpacing/>
        <w:rPr>
          <w:rFonts w:ascii="Cambria" w:hAnsi="Cambria"/>
          <w:b/>
        </w:rPr>
      </w:pPr>
      <w:r w:rsidRPr="009A0DA6">
        <w:rPr>
          <w:rFonts w:ascii="Cambria" w:hAnsi="Cambria" w:cs="Helvetica Neue LT Std"/>
          <w:iCs/>
        </w:rPr>
        <w:t xml:space="preserve">Our intention is that the guidance we offer, the ecumenical dialogue we undertake and the resources we provide encourage the church in its partnership in the Lord’s mission, </w:t>
      </w:r>
      <w:r w:rsidRPr="009A0DA6">
        <w:rPr>
          <w:rFonts w:ascii="Cambria" w:hAnsi="Cambria" w:cs="Helvetica Neue LT Std"/>
          <w:iCs/>
        </w:rPr>
        <w:lastRenderedPageBreak/>
        <w:t xml:space="preserve">cultivate a gospel centred, culturally aware and sacramentally shaped worship life in the LCA. Our main means of working at this is via the provision of Lutheran worship resources for use at the local level via digital means. </w:t>
      </w:r>
    </w:p>
    <w:p w14:paraId="3B9A6BA8" w14:textId="77777777" w:rsidR="0054360D" w:rsidRPr="009A0DA6" w:rsidRDefault="0054360D" w:rsidP="0054360D">
      <w:pPr>
        <w:spacing w:before="120" w:after="120" w:line="240" w:lineRule="auto"/>
        <w:contextualSpacing/>
        <w:rPr>
          <w:rFonts w:ascii="Cambria" w:hAnsi="Cambria"/>
          <w:b/>
        </w:rPr>
      </w:pPr>
    </w:p>
    <w:p w14:paraId="2E20F216" w14:textId="77777777" w:rsidR="0054360D" w:rsidRPr="009A0DA6" w:rsidRDefault="0054360D" w:rsidP="0054360D">
      <w:pPr>
        <w:pStyle w:val="Heading3"/>
      </w:pPr>
      <w:r w:rsidRPr="009A0DA6">
        <w:t>Cooperating LCA Boards and Agencies</w:t>
      </w:r>
    </w:p>
    <w:tbl>
      <w:tblPr>
        <w:tblStyle w:val="PlainTable2"/>
        <w:tblW w:w="0" w:type="auto"/>
        <w:tblLook w:val="04A0" w:firstRow="1" w:lastRow="0" w:firstColumn="1" w:lastColumn="0" w:noHBand="0" w:noVBand="1"/>
      </w:tblPr>
      <w:tblGrid>
        <w:gridCol w:w="1985"/>
        <w:gridCol w:w="6662"/>
      </w:tblGrid>
      <w:tr w:rsidR="0054360D" w:rsidRPr="009A0DA6" w14:paraId="5175D3E7" w14:textId="77777777" w:rsidTr="00AD09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0F3F89B" w14:textId="77777777" w:rsidR="0054360D" w:rsidRPr="009A0DA6" w:rsidRDefault="0054360D" w:rsidP="00AD09CB">
            <w:pPr>
              <w:spacing w:before="120" w:after="120"/>
              <w:contextualSpacing/>
              <w:rPr>
                <w:rFonts w:ascii="Cambria" w:hAnsi="Cambria" w:cs="Arial"/>
              </w:rPr>
            </w:pPr>
            <w:r w:rsidRPr="009A0DA6">
              <w:rPr>
                <w:rFonts w:ascii="Cambria" w:hAnsi="Cambria" w:cs="Arial"/>
              </w:rPr>
              <w:t>LEA</w:t>
            </w:r>
          </w:p>
          <w:p w14:paraId="6A951824" w14:textId="77777777" w:rsidR="0054360D" w:rsidRPr="009A0DA6" w:rsidRDefault="0054360D" w:rsidP="00AD09CB">
            <w:pPr>
              <w:spacing w:before="120" w:after="120"/>
              <w:contextualSpacing/>
              <w:rPr>
                <w:rFonts w:ascii="Cambria" w:hAnsi="Cambria" w:cs="Arial"/>
                <w:b w:val="0"/>
              </w:rPr>
            </w:pPr>
          </w:p>
        </w:tc>
        <w:tc>
          <w:tcPr>
            <w:tcW w:w="6662" w:type="dxa"/>
          </w:tcPr>
          <w:p w14:paraId="74CC0201" w14:textId="77777777" w:rsidR="0054360D" w:rsidRPr="009A0DA6" w:rsidRDefault="0054360D" w:rsidP="00AD09CB">
            <w:pPr>
              <w:spacing w:before="120" w:after="120"/>
              <w:contextualSpacing/>
              <w:cnfStyle w:val="100000000000" w:firstRow="1" w:lastRow="0" w:firstColumn="0" w:lastColumn="0" w:oddVBand="0" w:evenVBand="0" w:oddHBand="0" w:evenHBand="0" w:firstRowFirstColumn="0" w:firstRowLastColumn="0" w:lastRowFirstColumn="0" w:lastRowLastColumn="0"/>
              <w:rPr>
                <w:rFonts w:ascii="Cambria" w:hAnsi="Cambria" w:cs="Arial"/>
                <w:b w:val="0"/>
              </w:rPr>
            </w:pPr>
            <w:r w:rsidRPr="009A0DA6">
              <w:rPr>
                <w:rFonts w:ascii="Cambria" w:hAnsi="Cambria" w:cs="Arial"/>
                <w:b w:val="0"/>
              </w:rPr>
              <w:t>Joint meeting held in 2014 where discussion about how the commission can serve our schools in the provision of worship resources and ongoing conversation as a result.</w:t>
            </w:r>
          </w:p>
        </w:tc>
      </w:tr>
      <w:tr w:rsidR="0054360D" w:rsidRPr="009A0DA6" w14:paraId="27F56F20" w14:textId="77777777" w:rsidTr="00AD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04F225B" w14:textId="77777777" w:rsidR="0054360D" w:rsidRPr="009A0DA6" w:rsidRDefault="0054360D" w:rsidP="00AD09CB">
            <w:pPr>
              <w:spacing w:before="120" w:after="120"/>
              <w:contextualSpacing/>
              <w:rPr>
                <w:rFonts w:ascii="Cambria" w:hAnsi="Cambria" w:cs="Arial"/>
              </w:rPr>
            </w:pPr>
            <w:r w:rsidRPr="009A0DA6">
              <w:rPr>
                <w:rFonts w:ascii="Cambria" w:hAnsi="Cambria" w:cs="Arial"/>
              </w:rPr>
              <w:t>Aged Care</w:t>
            </w:r>
          </w:p>
          <w:p w14:paraId="66E5C3F0" w14:textId="77777777" w:rsidR="0054360D" w:rsidRPr="009A0DA6" w:rsidRDefault="0054360D" w:rsidP="00AD09CB">
            <w:pPr>
              <w:spacing w:before="120" w:after="120"/>
              <w:contextualSpacing/>
              <w:rPr>
                <w:rFonts w:ascii="Cambria" w:hAnsi="Cambria" w:cs="Arial"/>
              </w:rPr>
            </w:pPr>
          </w:p>
        </w:tc>
        <w:tc>
          <w:tcPr>
            <w:tcW w:w="6662" w:type="dxa"/>
          </w:tcPr>
          <w:p w14:paraId="179AC7F3" w14:textId="77777777" w:rsidR="0054360D" w:rsidRPr="009A0DA6" w:rsidRDefault="0054360D" w:rsidP="00AD09CB">
            <w:pPr>
              <w:spacing w:before="120" w:after="120"/>
              <w:contextualSpacing/>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 xml:space="preserve">Discussion about how the commission can serve Aged Care in the LCA in the provision of resources for use in aged care facilities of the church. Ongoing discussion pending. </w:t>
            </w:r>
          </w:p>
        </w:tc>
      </w:tr>
      <w:tr w:rsidR="0054360D" w:rsidRPr="009A0DA6" w14:paraId="52A0C299" w14:textId="77777777" w:rsidTr="00AD09CB">
        <w:tc>
          <w:tcPr>
            <w:cnfStyle w:val="001000000000" w:firstRow="0" w:lastRow="0" w:firstColumn="1" w:lastColumn="0" w:oddVBand="0" w:evenVBand="0" w:oddHBand="0" w:evenHBand="0" w:firstRowFirstColumn="0" w:firstRowLastColumn="0" w:lastRowFirstColumn="0" w:lastRowLastColumn="0"/>
            <w:tcW w:w="1985" w:type="dxa"/>
          </w:tcPr>
          <w:p w14:paraId="0DB4DACC" w14:textId="77777777" w:rsidR="0054360D" w:rsidRPr="009A0DA6" w:rsidRDefault="0054360D" w:rsidP="00AD09CB">
            <w:pPr>
              <w:spacing w:before="120" w:after="120"/>
              <w:contextualSpacing/>
              <w:rPr>
                <w:rFonts w:ascii="Cambria" w:hAnsi="Cambria" w:cs="Arial"/>
              </w:rPr>
            </w:pPr>
            <w:r w:rsidRPr="009A0DA6">
              <w:rPr>
                <w:rFonts w:ascii="Cambria" w:hAnsi="Cambria" w:cs="Arial"/>
              </w:rPr>
              <w:t>Lutheran Media</w:t>
            </w:r>
          </w:p>
          <w:p w14:paraId="6E3A721D" w14:textId="77777777" w:rsidR="0054360D" w:rsidRPr="009A0DA6" w:rsidRDefault="0054360D" w:rsidP="00AD09CB">
            <w:pPr>
              <w:spacing w:before="120" w:after="120"/>
              <w:contextualSpacing/>
              <w:rPr>
                <w:rFonts w:ascii="Cambria" w:hAnsi="Cambria" w:cs="Arial"/>
              </w:rPr>
            </w:pPr>
          </w:p>
          <w:p w14:paraId="5338B09B" w14:textId="77777777" w:rsidR="0054360D" w:rsidRPr="009A0DA6" w:rsidRDefault="0054360D" w:rsidP="00AD09CB">
            <w:pPr>
              <w:spacing w:before="120" w:after="120"/>
              <w:contextualSpacing/>
              <w:rPr>
                <w:rFonts w:ascii="Cambria" w:hAnsi="Cambria" w:cs="Arial"/>
              </w:rPr>
            </w:pPr>
          </w:p>
        </w:tc>
        <w:tc>
          <w:tcPr>
            <w:tcW w:w="6662" w:type="dxa"/>
          </w:tcPr>
          <w:p w14:paraId="40DBFDB4" w14:textId="77777777" w:rsidR="0054360D" w:rsidRPr="009A0DA6" w:rsidRDefault="0054360D" w:rsidP="00AD09CB">
            <w:pPr>
              <w:spacing w:before="120" w:after="120"/>
              <w:contextualSpacing/>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Joint partnership on the provision of DVD worship services and discussions about the advent on on-line streaming of worship services – particularly for use by isolated and/or vacant congregations.</w:t>
            </w:r>
          </w:p>
        </w:tc>
      </w:tr>
      <w:tr w:rsidR="0054360D" w:rsidRPr="009A0DA6" w14:paraId="2196F9F9" w14:textId="77777777" w:rsidTr="00AD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C564A1C" w14:textId="77777777" w:rsidR="0054360D" w:rsidRPr="009A0DA6" w:rsidRDefault="0054360D" w:rsidP="00AD09CB">
            <w:pPr>
              <w:spacing w:before="120" w:after="120"/>
              <w:contextualSpacing/>
              <w:rPr>
                <w:rFonts w:ascii="Cambria" w:hAnsi="Cambria" w:cs="Arial"/>
              </w:rPr>
            </w:pPr>
            <w:r w:rsidRPr="009A0DA6">
              <w:rPr>
                <w:rFonts w:ascii="Cambria" w:hAnsi="Cambria" w:cs="Arial"/>
              </w:rPr>
              <w:t>GROW Ministries</w:t>
            </w:r>
          </w:p>
          <w:p w14:paraId="15660EE8" w14:textId="77777777" w:rsidR="0054360D" w:rsidRPr="009A0DA6" w:rsidRDefault="0054360D" w:rsidP="00AD09CB">
            <w:pPr>
              <w:spacing w:before="120" w:after="120"/>
              <w:contextualSpacing/>
              <w:rPr>
                <w:rFonts w:ascii="Cambria" w:hAnsi="Cambria" w:cs="Arial"/>
              </w:rPr>
            </w:pPr>
          </w:p>
        </w:tc>
        <w:tc>
          <w:tcPr>
            <w:tcW w:w="6662" w:type="dxa"/>
          </w:tcPr>
          <w:p w14:paraId="0756A224" w14:textId="77777777" w:rsidR="0054360D" w:rsidRPr="009A0DA6" w:rsidRDefault="0054360D" w:rsidP="00AD09CB">
            <w:pPr>
              <w:spacing w:before="120" w:after="120"/>
              <w:contextualSpacing/>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Tahoma"/>
              </w:rPr>
              <w:t xml:space="preserve">Provision of children’s Message Outlines for each Sunday of the church year in partnership with GROW Ministries. </w:t>
            </w:r>
          </w:p>
        </w:tc>
      </w:tr>
      <w:tr w:rsidR="0054360D" w:rsidRPr="009A0DA6" w14:paraId="452BEC73" w14:textId="77777777" w:rsidTr="00AD09CB">
        <w:tc>
          <w:tcPr>
            <w:cnfStyle w:val="001000000000" w:firstRow="0" w:lastRow="0" w:firstColumn="1" w:lastColumn="0" w:oddVBand="0" w:evenVBand="0" w:oddHBand="0" w:evenHBand="0" w:firstRowFirstColumn="0" w:firstRowLastColumn="0" w:lastRowFirstColumn="0" w:lastRowLastColumn="0"/>
            <w:tcW w:w="1985" w:type="dxa"/>
          </w:tcPr>
          <w:p w14:paraId="38009675" w14:textId="77777777" w:rsidR="0054360D" w:rsidRPr="009A0DA6" w:rsidRDefault="0054360D" w:rsidP="00AD09CB">
            <w:pPr>
              <w:spacing w:before="120" w:after="120"/>
              <w:contextualSpacing/>
              <w:rPr>
                <w:rFonts w:ascii="Cambria" w:hAnsi="Cambria" w:cs="Arial"/>
              </w:rPr>
            </w:pPr>
            <w:r w:rsidRPr="009A0DA6">
              <w:rPr>
                <w:rFonts w:ascii="Cambria" w:hAnsi="Cambria" w:cs="Arial"/>
              </w:rPr>
              <w:t>ALC</w:t>
            </w:r>
          </w:p>
        </w:tc>
        <w:tc>
          <w:tcPr>
            <w:tcW w:w="6662" w:type="dxa"/>
          </w:tcPr>
          <w:p w14:paraId="0998C78C" w14:textId="77777777" w:rsidR="0054360D" w:rsidRPr="009A0DA6" w:rsidRDefault="0054360D" w:rsidP="00AD09CB">
            <w:pPr>
              <w:spacing w:before="120" w:after="120"/>
              <w:contextualSpacing/>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Provision of Cert IV in Worship through ALC/Grassroots Training now established. More conversation about how to present resource also at local church level under way.</w:t>
            </w:r>
          </w:p>
        </w:tc>
      </w:tr>
    </w:tbl>
    <w:p w14:paraId="411AC029" w14:textId="77777777" w:rsidR="0054360D" w:rsidRPr="009A0DA6" w:rsidRDefault="0054360D" w:rsidP="0054360D">
      <w:pPr>
        <w:spacing w:before="120" w:after="120" w:line="240" w:lineRule="auto"/>
        <w:contextualSpacing/>
        <w:rPr>
          <w:rFonts w:ascii="Cambria" w:hAnsi="Cambria"/>
          <w:b/>
        </w:rPr>
      </w:pPr>
    </w:p>
    <w:p w14:paraId="3A4AAA34" w14:textId="77777777" w:rsidR="0054360D" w:rsidRPr="009A0DA6" w:rsidRDefault="0054360D" w:rsidP="0054360D">
      <w:pPr>
        <w:pStyle w:val="Heading3"/>
      </w:pPr>
      <w:r w:rsidRPr="009A0DA6">
        <w:t>Financial Performance</w:t>
      </w:r>
    </w:p>
    <w:p w14:paraId="5D706767" w14:textId="77777777" w:rsidR="0054360D" w:rsidRPr="009A0DA6" w:rsidRDefault="0054360D" w:rsidP="0054360D">
      <w:pPr>
        <w:spacing w:before="120" w:after="120" w:line="240" w:lineRule="auto"/>
        <w:contextualSpacing/>
        <w:rPr>
          <w:rFonts w:ascii="Cambria" w:hAnsi="Cambria"/>
        </w:rPr>
      </w:pPr>
      <w:r w:rsidRPr="009A0DA6">
        <w:rPr>
          <w:rFonts w:ascii="Cambria" w:hAnsi="Cambria"/>
        </w:rPr>
        <w:t>The Commission for Worship receive a budget allocation from the LCA to cover meeting expenses (including travel) and employment costs of the Worship Planning Page Manager.</w:t>
      </w:r>
    </w:p>
    <w:p w14:paraId="577D861A" w14:textId="7A804D63" w:rsidR="005F21CD" w:rsidRDefault="005F21CD">
      <w:pPr>
        <w:rPr>
          <w:rFonts w:ascii="Cambria" w:eastAsiaTheme="majorEastAsia" w:hAnsi="Cambria" w:cstheme="majorBidi"/>
          <w:b/>
          <w:caps/>
          <w:sz w:val="28"/>
          <w:szCs w:val="24"/>
        </w:rPr>
      </w:pPr>
    </w:p>
    <w:p w14:paraId="2284847A" w14:textId="5DB0480A" w:rsidR="0054360D" w:rsidRPr="009A0DA6" w:rsidRDefault="0054360D" w:rsidP="0054360D">
      <w:pPr>
        <w:pStyle w:val="Heading3"/>
      </w:pPr>
      <w:r w:rsidRPr="009A0DA6">
        <w:t>Agenda 9.1</w:t>
      </w:r>
    </w:p>
    <w:p w14:paraId="50DAFBC9" w14:textId="77777777" w:rsidR="0054360D" w:rsidRPr="009A0DA6" w:rsidRDefault="0054360D" w:rsidP="0054360D">
      <w:pPr>
        <w:pStyle w:val="Heading2"/>
      </w:pPr>
      <w:bookmarkStart w:id="497" w:name="_Toc521954739"/>
      <w:r w:rsidRPr="009A0DA6">
        <w:t>Board for Media Ministry</w:t>
      </w:r>
      <w:bookmarkEnd w:id="497"/>
      <w:r w:rsidRPr="009A0DA6">
        <w:t xml:space="preserve"> </w:t>
      </w:r>
    </w:p>
    <w:p w14:paraId="7BFA2216" w14:textId="77777777" w:rsidR="0054360D" w:rsidRPr="009A0DA6" w:rsidRDefault="0054360D" w:rsidP="0054360D">
      <w:pPr>
        <w:pStyle w:val="Heading3"/>
        <w:rPr>
          <w:sz w:val="12"/>
          <w:szCs w:val="12"/>
        </w:rPr>
      </w:pPr>
    </w:p>
    <w:p w14:paraId="45FA9E8D" w14:textId="77777777" w:rsidR="0054360D" w:rsidRPr="009A0DA6" w:rsidRDefault="0054360D" w:rsidP="0054360D">
      <w:pPr>
        <w:pStyle w:val="Heading3"/>
      </w:pPr>
      <w:r w:rsidRPr="009A0DA6">
        <w:t>MEMBERS</w:t>
      </w:r>
    </w:p>
    <w:p w14:paraId="3AA16B1A" w14:textId="77777777" w:rsidR="0054360D" w:rsidRPr="009A0DA6" w:rsidRDefault="0054360D" w:rsidP="0054360D">
      <w:pPr>
        <w:spacing w:before="120" w:after="120" w:line="240" w:lineRule="auto"/>
        <w:contextualSpacing/>
        <w:rPr>
          <w:rFonts w:ascii="Cambria" w:hAnsi="Cambria"/>
        </w:rPr>
      </w:pPr>
      <w:r w:rsidRPr="009A0DA6">
        <w:rPr>
          <w:rFonts w:ascii="Cambria" w:hAnsi="Cambria"/>
        </w:rPr>
        <w:t>Rev Ben Hentschke (Qld, Chairperson), Rev Mark Hansen (SA/Qld), Des Kalisch (SA, resigned and joined the LCA Board for Local Mission), Ray Meharg (NZ), Kathy Mildred (Vic), Michelle Shepherd (NSW). Jarrod Graetz (Vic).</w:t>
      </w:r>
    </w:p>
    <w:p w14:paraId="5D96A327" w14:textId="77777777" w:rsidR="0054360D" w:rsidRPr="009A0DA6" w:rsidRDefault="0054360D" w:rsidP="0054360D">
      <w:pPr>
        <w:spacing w:before="120" w:after="120" w:line="240" w:lineRule="auto"/>
        <w:contextualSpacing/>
        <w:rPr>
          <w:rFonts w:ascii="Cambria" w:hAnsi="Cambria"/>
          <w:b/>
          <w:sz w:val="10"/>
          <w:szCs w:val="10"/>
        </w:rPr>
      </w:pPr>
    </w:p>
    <w:p w14:paraId="76FDFFC8" w14:textId="77777777" w:rsidR="0054360D" w:rsidRPr="009A0DA6" w:rsidRDefault="0054360D" w:rsidP="0054360D">
      <w:pPr>
        <w:pStyle w:val="Heading3"/>
        <w:rPr>
          <w:rFonts w:cs="Arial"/>
          <w:i/>
        </w:rPr>
      </w:pPr>
      <w:r w:rsidRPr="009A0DA6">
        <w:t>Background</w:t>
      </w:r>
    </w:p>
    <w:p w14:paraId="094A9C16" w14:textId="77777777" w:rsidR="0054360D" w:rsidRPr="009A0DA6" w:rsidRDefault="0054360D" w:rsidP="0054360D">
      <w:pPr>
        <w:spacing w:before="120" w:after="120" w:line="240" w:lineRule="auto"/>
        <w:contextualSpacing/>
        <w:rPr>
          <w:rFonts w:ascii="Cambria" w:hAnsi="Cambria"/>
        </w:rPr>
      </w:pPr>
      <w:r w:rsidRPr="009A0DA6">
        <w:rPr>
          <w:rFonts w:ascii="Cambria" w:hAnsi="Cambria"/>
        </w:rPr>
        <w:t>The object of the board is to reach out with the Gospel of Jesus Christ through radio, television and other media to all people. Lutheran Media communicates Christ’s message of hope by reaching out and connecting to people through media with the Gospel of Jesus Christ. Lutheran Media goes to people in need of hope in Australia and New Zealand;</w:t>
      </w:r>
    </w:p>
    <w:p w14:paraId="0E52B85C" w14:textId="77777777" w:rsidR="0054360D" w:rsidRPr="009A0DA6" w:rsidRDefault="0054360D" w:rsidP="00F55252">
      <w:pPr>
        <w:numPr>
          <w:ilvl w:val="0"/>
          <w:numId w:val="210"/>
        </w:numPr>
        <w:tabs>
          <w:tab w:val="clear" w:pos="720"/>
          <w:tab w:val="num" w:pos="567"/>
        </w:tabs>
        <w:spacing w:before="120" w:after="120" w:line="240" w:lineRule="auto"/>
        <w:ind w:left="567" w:hanging="567"/>
        <w:contextualSpacing/>
        <w:rPr>
          <w:rFonts w:ascii="Cambria" w:hAnsi="Cambria"/>
        </w:rPr>
      </w:pPr>
      <w:r w:rsidRPr="009A0DA6">
        <w:rPr>
          <w:rFonts w:ascii="Cambria" w:hAnsi="Cambria"/>
        </w:rPr>
        <w:t>With relevant, innovative, and exceptional quality media content</w:t>
      </w:r>
    </w:p>
    <w:p w14:paraId="16775606" w14:textId="77777777" w:rsidR="0054360D" w:rsidRPr="009A0DA6" w:rsidRDefault="0054360D" w:rsidP="00F55252">
      <w:pPr>
        <w:numPr>
          <w:ilvl w:val="0"/>
          <w:numId w:val="210"/>
        </w:numPr>
        <w:tabs>
          <w:tab w:val="clear" w:pos="720"/>
          <w:tab w:val="num" w:pos="567"/>
        </w:tabs>
        <w:spacing w:before="120" w:after="120" w:line="240" w:lineRule="auto"/>
        <w:ind w:left="567" w:hanging="567"/>
        <w:contextualSpacing/>
        <w:rPr>
          <w:rFonts w:ascii="Cambria" w:hAnsi="Cambria"/>
        </w:rPr>
      </w:pPr>
      <w:r w:rsidRPr="009A0DA6">
        <w:rPr>
          <w:rFonts w:ascii="Cambria" w:hAnsi="Cambria"/>
        </w:rPr>
        <w:t>By connecting with partners in mission</w:t>
      </w:r>
    </w:p>
    <w:p w14:paraId="7B2BEB49" w14:textId="77777777" w:rsidR="0054360D" w:rsidRPr="009A0DA6" w:rsidRDefault="0054360D" w:rsidP="00F55252">
      <w:pPr>
        <w:numPr>
          <w:ilvl w:val="0"/>
          <w:numId w:val="210"/>
        </w:numPr>
        <w:tabs>
          <w:tab w:val="clear" w:pos="720"/>
          <w:tab w:val="num" w:pos="567"/>
        </w:tabs>
        <w:spacing w:before="120" w:after="120" w:line="240" w:lineRule="auto"/>
        <w:ind w:left="567" w:hanging="567"/>
        <w:contextualSpacing/>
        <w:rPr>
          <w:rFonts w:ascii="Cambria" w:hAnsi="Cambria"/>
        </w:rPr>
      </w:pPr>
      <w:r w:rsidRPr="009A0DA6">
        <w:rPr>
          <w:rFonts w:ascii="Cambria" w:hAnsi="Cambria"/>
        </w:rPr>
        <w:t>Whilst effectively utilizing our resources</w:t>
      </w:r>
    </w:p>
    <w:p w14:paraId="5EEE37D1" w14:textId="77777777" w:rsidR="0054360D" w:rsidRPr="009A0DA6" w:rsidRDefault="0054360D" w:rsidP="0054360D">
      <w:pPr>
        <w:spacing w:before="120" w:after="120" w:line="240" w:lineRule="auto"/>
        <w:contextualSpacing/>
        <w:rPr>
          <w:rFonts w:ascii="Cambria" w:hAnsi="Cambria"/>
          <w:i/>
        </w:rPr>
      </w:pPr>
    </w:p>
    <w:p w14:paraId="73E04722" w14:textId="77777777" w:rsidR="0054360D" w:rsidRPr="009A0DA6" w:rsidRDefault="0054360D" w:rsidP="0054360D">
      <w:pPr>
        <w:spacing w:before="120" w:after="120" w:line="240" w:lineRule="auto"/>
        <w:contextualSpacing/>
        <w:rPr>
          <w:rFonts w:ascii="Cambria" w:hAnsi="Cambria"/>
        </w:rPr>
      </w:pPr>
      <w:r w:rsidRPr="009A0DA6">
        <w:rPr>
          <w:rFonts w:ascii="Cambria" w:hAnsi="Cambria"/>
          <w:i/>
        </w:rPr>
        <w:t xml:space="preserve">How can they believe if they have not heard the message? </w:t>
      </w:r>
      <w:r w:rsidRPr="009A0DA6">
        <w:rPr>
          <w:rFonts w:ascii="Cambria" w:hAnsi="Cambria"/>
        </w:rPr>
        <w:t>Romans 10:14</w:t>
      </w:r>
    </w:p>
    <w:p w14:paraId="7E15C701" w14:textId="77777777" w:rsidR="0054360D" w:rsidRPr="009A0DA6" w:rsidRDefault="0054360D" w:rsidP="0054360D">
      <w:pPr>
        <w:spacing w:before="120" w:after="120" w:line="240" w:lineRule="auto"/>
        <w:contextualSpacing/>
        <w:rPr>
          <w:rFonts w:ascii="Cambria" w:hAnsi="Cambria"/>
        </w:rPr>
      </w:pPr>
      <w:r w:rsidRPr="009A0DA6">
        <w:rPr>
          <w:rFonts w:ascii="Cambria" w:hAnsi="Cambria"/>
        </w:rPr>
        <w:t>Thanks to your support, Lutheran Media reaches out to people with the good news of Jesus Christ to over 5,000,000 people every week. Thanks to the support of our donors, people across Australia and New Zealand are hearing and responding to the Gospel. Your donations help fund a vital outreach mission that includes communicating Christ’s message of hope through radio (including commercial radio), internet (including websites, social media and Google searches), and resources (such as booklets, CDs and DVDs).</w:t>
      </w:r>
    </w:p>
    <w:p w14:paraId="248061AF" w14:textId="77777777" w:rsidR="0054360D" w:rsidRPr="009A0DA6" w:rsidRDefault="0054360D" w:rsidP="0054360D">
      <w:pPr>
        <w:spacing w:before="120" w:after="120" w:line="240" w:lineRule="auto"/>
        <w:contextualSpacing/>
        <w:rPr>
          <w:rFonts w:ascii="Cambria" w:hAnsi="Cambria"/>
        </w:rPr>
      </w:pPr>
    </w:p>
    <w:p w14:paraId="6C3034D6" w14:textId="77777777" w:rsidR="0054360D" w:rsidRPr="009A0DA6" w:rsidRDefault="0054360D" w:rsidP="0054360D">
      <w:pPr>
        <w:spacing w:before="120" w:after="120" w:line="240" w:lineRule="auto"/>
        <w:contextualSpacing/>
        <w:rPr>
          <w:rFonts w:ascii="Cambria" w:hAnsi="Cambria"/>
        </w:rPr>
      </w:pPr>
      <w:r w:rsidRPr="009A0DA6">
        <w:rPr>
          <w:rFonts w:ascii="Cambria" w:hAnsi="Cambria"/>
        </w:rPr>
        <w:t>Please refer to the By-laws of the LCA Board for Media Ministry for more information.</w:t>
      </w:r>
    </w:p>
    <w:p w14:paraId="1067F3C6" w14:textId="77777777" w:rsidR="0054360D" w:rsidRPr="00995084" w:rsidRDefault="00FE2411" w:rsidP="0054360D">
      <w:pPr>
        <w:spacing w:before="120" w:after="120" w:line="240" w:lineRule="auto"/>
        <w:contextualSpacing/>
        <w:rPr>
          <w:rFonts w:ascii="Cambria" w:hAnsi="Cambria"/>
        </w:rPr>
      </w:pPr>
      <w:hyperlink r:id="rId33" w:history="1">
        <w:r w:rsidR="0054360D" w:rsidRPr="00995084">
          <w:rPr>
            <w:rStyle w:val="Hyperlink"/>
            <w:rFonts w:ascii="Cambria" w:hAnsi="Cambria"/>
            <w:color w:val="auto"/>
            <w:u w:val="none"/>
          </w:rPr>
          <w:t>www.lutheranmedia.org.au</w:t>
        </w:r>
      </w:hyperlink>
      <w:r w:rsidR="0054360D" w:rsidRPr="00995084">
        <w:rPr>
          <w:rFonts w:ascii="Cambria" w:hAnsi="Cambria"/>
        </w:rPr>
        <w:t xml:space="preserve"> has links to all of our outreach efforts and supporter information.</w:t>
      </w:r>
    </w:p>
    <w:p w14:paraId="7EFFBA7C" w14:textId="77777777" w:rsidR="0054360D" w:rsidRPr="00995084" w:rsidRDefault="00FE2411" w:rsidP="0054360D">
      <w:pPr>
        <w:spacing w:before="120" w:after="120" w:line="240" w:lineRule="auto"/>
        <w:contextualSpacing/>
        <w:rPr>
          <w:rFonts w:ascii="Cambria" w:hAnsi="Cambria"/>
        </w:rPr>
      </w:pPr>
      <w:hyperlink r:id="rId34" w:history="1">
        <w:r w:rsidR="0054360D" w:rsidRPr="00995084">
          <w:rPr>
            <w:rStyle w:val="Hyperlink"/>
            <w:rFonts w:ascii="Cambria" w:hAnsi="Cambria"/>
            <w:color w:val="auto"/>
            <w:u w:val="none"/>
          </w:rPr>
          <w:t>www.messagesofhope.org.au</w:t>
        </w:r>
      </w:hyperlink>
      <w:r w:rsidR="0054360D" w:rsidRPr="00995084">
        <w:rPr>
          <w:rFonts w:ascii="Cambria" w:hAnsi="Cambria"/>
        </w:rPr>
        <w:t xml:space="preserve"> and </w:t>
      </w:r>
      <w:hyperlink r:id="rId35" w:history="1">
        <w:r w:rsidR="0054360D" w:rsidRPr="00995084">
          <w:rPr>
            <w:rStyle w:val="Hyperlink"/>
            <w:rFonts w:ascii="Cambria" w:hAnsi="Cambria"/>
            <w:color w:val="auto"/>
            <w:u w:val="none"/>
          </w:rPr>
          <w:t>www.messagesofhope.org.nz</w:t>
        </w:r>
      </w:hyperlink>
      <w:r w:rsidR="0054360D" w:rsidRPr="00995084">
        <w:rPr>
          <w:rFonts w:ascii="Cambria" w:hAnsi="Cambria"/>
        </w:rPr>
        <w:t xml:space="preserve"> contains our outreach messages including podcasts, videos and booklets.</w:t>
      </w:r>
    </w:p>
    <w:p w14:paraId="6BB7D760" w14:textId="2F8F08E8" w:rsidR="0054360D" w:rsidRPr="00DA6FB3" w:rsidRDefault="00FE2411" w:rsidP="0054360D">
      <w:pPr>
        <w:spacing w:before="120" w:after="120" w:line="240" w:lineRule="auto"/>
        <w:contextualSpacing/>
        <w:rPr>
          <w:rFonts w:ascii="Cambria" w:hAnsi="Cambria"/>
        </w:rPr>
      </w:pPr>
      <w:hyperlink r:id="rId36" w:history="1">
        <w:r w:rsidR="0054360D" w:rsidRPr="00995084">
          <w:rPr>
            <w:rStyle w:val="Hyperlink"/>
            <w:rFonts w:ascii="Cambria" w:hAnsi="Cambria"/>
            <w:color w:val="auto"/>
            <w:u w:val="none"/>
          </w:rPr>
          <w:t>www.happyland.com.au</w:t>
        </w:r>
      </w:hyperlink>
      <w:r w:rsidR="0054360D" w:rsidRPr="00995084">
        <w:rPr>
          <w:rFonts w:ascii="Cambria" w:hAnsi="Cambria"/>
        </w:rPr>
        <w:t xml:space="preserve"> </w:t>
      </w:r>
      <w:r w:rsidR="0054360D" w:rsidRPr="009A0DA6">
        <w:rPr>
          <w:rFonts w:ascii="Cambria" w:hAnsi="Cambria"/>
        </w:rPr>
        <w:t>has over 35,000 subscribers to an online safe and free internet game for c</w:t>
      </w:r>
      <w:r w:rsidR="00DA6FB3">
        <w:rPr>
          <w:rFonts w:ascii="Cambria" w:hAnsi="Cambria"/>
        </w:rPr>
        <w:t>hildren aged from 4 to 7 years.</w:t>
      </w:r>
    </w:p>
    <w:p w14:paraId="06CE71B8" w14:textId="77777777" w:rsidR="0054360D" w:rsidRPr="009A0DA6" w:rsidRDefault="0054360D" w:rsidP="0054360D">
      <w:pPr>
        <w:pStyle w:val="Heading3"/>
      </w:pPr>
      <w:r w:rsidRPr="009A0DA6">
        <w:t>Achievement against Plan</w:t>
      </w:r>
    </w:p>
    <w:p w14:paraId="38ED4C6D" w14:textId="77777777" w:rsidR="0054360D" w:rsidRPr="009A0DA6" w:rsidRDefault="0054360D" w:rsidP="00F55252">
      <w:pPr>
        <w:numPr>
          <w:ilvl w:val="0"/>
          <w:numId w:val="211"/>
        </w:numPr>
        <w:spacing w:before="120" w:after="120" w:line="240" w:lineRule="auto"/>
        <w:ind w:left="567" w:hanging="567"/>
        <w:contextualSpacing/>
        <w:rPr>
          <w:rFonts w:ascii="Cambria" w:hAnsi="Cambria"/>
          <w:b/>
        </w:rPr>
      </w:pPr>
      <w:r w:rsidRPr="009A0DA6">
        <w:rPr>
          <w:rFonts w:ascii="Cambria" w:hAnsi="Cambria"/>
          <w:b/>
        </w:rPr>
        <w:t>Quality</w:t>
      </w:r>
    </w:p>
    <w:p w14:paraId="0299CE5D" w14:textId="77777777" w:rsidR="0054360D" w:rsidRPr="009A0DA6" w:rsidRDefault="0054360D" w:rsidP="0054360D">
      <w:pPr>
        <w:spacing w:before="120" w:after="120" w:line="240" w:lineRule="auto"/>
        <w:ind w:left="567"/>
        <w:contextualSpacing/>
        <w:rPr>
          <w:rFonts w:ascii="Cambria" w:hAnsi="Cambria"/>
        </w:rPr>
      </w:pPr>
      <w:r w:rsidRPr="009A0DA6">
        <w:rPr>
          <w:rFonts w:ascii="Cambria" w:hAnsi="Cambria"/>
        </w:rPr>
        <w:t>Lutheran Media reviewed its branding and as a result GCC changed the name from Lutheran Media Ministry to Lutheran Media.</w:t>
      </w:r>
    </w:p>
    <w:p w14:paraId="618E7450" w14:textId="77777777" w:rsidR="0054360D" w:rsidRPr="009A0DA6" w:rsidRDefault="0054360D" w:rsidP="0054360D">
      <w:pPr>
        <w:spacing w:before="120" w:after="120" w:line="240" w:lineRule="auto"/>
        <w:ind w:left="567"/>
        <w:contextualSpacing/>
        <w:rPr>
          <w:rFonts w:ascii="Cambria" w:hAnsi="Cambria"/>
        </w:rPr>
      </w:pPr>
      <w:r w:rsidRPr="009A0DA6">
        <w:rPr>
          <w:rFonts w:ascii="Cambria" w:hAnsi="Cambria"/>
        </w:rPr>
        <w:br/>
        <w:t>The board supports Rev Richard Fox to oversee the ministry’s theology and teaching.</w:t>
      </w:r>
      <w:r w:rsidRPr="009A0DA6">
        <w:rPr>
          <w:rFonts w:ascii="Cambria" w:hAnsi="Cambria"/>
          <w:bCs/>
        </w:rPr>
        <w:t xml:space="preserve"> </w:t>
      </w:r>
      <w:r w:rsidRPr="009A0DA6">
        <w:rPr>
          <w:rFonts w:ascii="Cambria" w:hAnsi="Cambria"/>
        </w:rPr>
        <w:t>LCA pastors are guest presenters and include: Bishop of the LCA Rev. John Henderson, Bishop of the LCA SA/NT District Rev. David Altus, Rev. Dr. Noel Due, Rev. Trevor Keller, Rev. James Winderlich, Rev. Rob Schubert</w:t>
      </w:r>
      <w:r w:rsidRPr="009A0DA6">
        <w:rPr>
          <w:rFonts w:ascii="Cambria" w:hAnsi="Cambria"/>
          <w:bCs/>
        </w:rPr>
        <w:t xml:space="preserve">, Rev. Tim Klein, Rev. Richard Mau, </w:t>
      </w:r>
      <w:r w:rsidRPr="009A0DA6">
        <w:rPr>
          <w:rFonts w:ascii="Cambria" w:hAnsi="Cambria"/>
        </w:rPr>
        <w:t>and Rev. Mark Doecke. The director attends LCA leaders meetings and is involved in the spiritual life of the LCA and Churchwide office.</w:t>
      </w:r>
    </w:p>
    <w:p w14:paraId="3111198D" w14:textId="439E49E8" w:rsidR="0054360D" w:rsidRDefault="0054360D" w:rsidP="0054360D">
      <w:pPr>
        <w:spacing w:before="120" w:after="120" w:line="240" w:lineRule="auto"/>
        <w:ind w:left="567" w:hanging="210"/>
        <w:contextualSpacing/>
        <w:rPr>
          <w:rFonts w:ascii="Cambria" w:hAnsi="Cambria"/>
        </w:rPr>
      </w:pPr>
      <w:r w:rsidRPr="009A0DA6">
        <w:rPr>
          <w:rFonts w:ascii="Cambria" w:hAnsi="Cambria"/>
        </w:rPr>
        <w:br/>
        <w:t>Feedback from our audience, supporters and media outlets help us to continue to improve the quality of our outreach content. Subsequently, we have changed Face to Face to Messages of hope. Face to Face was the brand for over 30 years and was well loved. Messages of hope was the tag line for Face to Face for the last few years and this has helped the transition to the new name. The new name shares who we are and what we offer more clearly and we can reach out to people on the internet more effectively through Google searches, AdWords, and social media.</w:t>
      </w:r>
    </w:p>
    <w:p w14:paraId="2A862585" w14:textId="77777777" w:rsidR="00F427BC" w:rsidRPr="009A0DA6" w:rsidRDefault="00F427BC" w:rsidP="0054360D">
      <w:pPr>
        <w:spacing w:before="120" w:after="120" w:line="240" w:lineRule="auto"/>
        <w:ind w:left="567" w:hanging="210"/>
        <w:contextualSpacing/>
        <w:rPr>
          <w:rFonts w:ascii="Cambria" w:hAnsi="Cambria"/>
        </w:rPr>
      </w:pPr>
    </w:p>
    <w:p w14:paraId="780E03B2" w14:textId="77777777" w:rsidR="0054360D" w:rsidRPr="009A0DA6" w:rsidRDefault="0054360D" w:rsidP="00F55252">
      <w:pPr>
        <w:numPr>
          <w:ilvl w:val="0"/>
          <w:numId w:val="211"/>
        </w:numPr>
        <w:spacing w:before="120" w:after="120" w:line="240" w:lineRule="auto"/>
        <w:ind w:left="567" w:hanging="567"/>
        <w:contextualSpacing/>
        <w:rPr>
          <w:rFonts w:ascii="Cambria" w:hAnsi="Cambria"/>
          <w:b/>
        </w:rPr>
      </w:pPr>
      <w:r w:rsidRPr="009A0DA6">
        <w:rPr>
          <w:rFonts w:ascii="Cambria" w:hAnsi="Cambria"/>
          <w:b/>
        </w:rPr>
        <w:t>Content</w:t>
      </w:r>
    </w:p>
    <w:p w14:paraId="4CB0BCD3" w14:textId="77777777" w:rsidR="0054360D" w:rsidRPr="00995084" w:rsidRDefault="0054360D" w:rsidP="0054360D">
      <w:pPr>
        <w:spacing w:before="120" w:after="120" w:line="240" w:lineRule="auto"/>
        <w:ind w:left="567"/>
        <w:contextualSpacing/>
        <w:rPr>
          <w:rFonts w:ascii="Cambria" w:hAnsi="Cambria"/>
        </w:rPr>
      </w:pPr>
      <w:r w:rsidRPr="009A0DA6">
        <w:rPr>
          <w:rFonts w:ascii="Cambria" w:hAnsi="Cambria"/>
        </w:rPr>
        <w:t xml:space="preserve">Outreach content is produced that shares Jesus’ message of hope including weekly 15 minute messages on </w:t>
      </w:r>
      <w:r w:rsidRPr="00995084">
        <w:rPr>
          <w:rFonts w:ascii="Cambria" w:hAnsi="Cambria"/>
        </w:rPr>
        <w:t xml:space="preserve">contemporary and social issues and offer a free booklet. The script is produced and shared on </w:t>
      </w:r>
      <w:hyperlink r:id="rId37" w:history="1">
        <w:r w:rsidRPr="00995084">
          <w:rPr>
            <w:rStyle w:val="Hyperlink"/>
            <w:rFonts w:ascii="Cambria" w:hAnsi="Cambria"/>
            <w:color w:val="auto"/>
            <w:u w:val="none"/>
          </w:rPr>
          <w:t>www.messagesofhope.org.au</w:t>
        </w:r>
      </w:hyperlink>
      <w:r w:rsidRPr="00995084">
        <w:rPr>
          <w:rFonts w:ascii="Cambria" w:hAnsi="Cambria"/>
        </w:rPr>
        <w:t>. More interview and discussion style programs are being produced. We produce 4 by 1 minute and 4 by 30 second radio messages every month that offer a gospel message. We produce 3 by 1 minute messages and 2 by 30 second messages that have a free booklet offer. Commercial radio stations like the shorter messages and these give us a larger number of responses. A 1 minute video is produced every two weeks and 3 by 30 second videos every month. They are shared on YouTube and other social media.</w:t>
      </w:r>
    </w:p>
    <w:p w14:paraId="3348B98E" w14:textId="77777777" w:rsidR="0054360D" w:rsidRPr="00995084" w:rsidRDefault="0054360D" w:rsidP="0054360D">
      <w:pPr>
        <w:spacing w:before="120" w:after="120" w:line="240" w:lineRule="auto"/>
        <w:ind w:left="567"/>
        <w:contextualSpacing/>
        <w:rPr>
          <w:rFonts w:ascii="Cambria" w:hAnsi="Cambria"/>
        </w:rPr>
      </w:pPr>
      <w:r w:rsidRPr="00995084">
        <w:rPr>
          <w:rFonts w:ascii="Cambria" w:hAnsi="Cambria"/>
        </w:rPr>
        <w:br/>
        <w:t xml:space="preserve">The printed booklets are now available in an A4 format for people to download and read from </w:t>
      </w:r>
      <w:hyperlink r:id="rId38" w:history="1">
        <w:r w:rsidRPr="00995084">
          <w:rPr>
            <w:rStyle w:val="Hyperlink"/>
            <w:rFonts w:ascii="Cambria" w:hAnsi="Cambria"/>
            <w:color w:val="auto"/>
            <w:u w:val="none"/>
          </w:rPr>
          <w:t>www.messagesofhope.org.nz</w:t>
        </w:r>
      </w:hyperlink>
      <w:r w:rsidRPr="00995084">
        <w:rPr>
          <w:rFonts w:ascii="Cambria" w:hAnsi="Cambria"/>
        </w:rPr>
        <w:t>.</w:t>
      </w:r>
    </w:p>
    <w:p w14:paraId="08033A55" w14:textId="4F7C14AF" w:rsidR="0054360D" w:rsidRDefault="0054360D" w:rsidP="0054360D">
      <w:pPr>
        <w:spacing w:before="120" w:after="120" w:line="240" w:lineRule="auto"/>
        <w:ind w:left="567"/>
        <w:contextualSpacing/>
        <w:rPr>
          <w:rFonts w:ascii="Cambria" w:hAnsi="Cambria"/>
        </w:rPr>
      </w:pPr>
      <w:r w:rsidRPr="00995084">
        <w:rPr>
          <w:rFonts w:ascii="Cambria" w:hAnsi="Cambria"/>
        </w:rPr>
        <w:br/>
        <w:t xml:space="preserve">Lutheran Media supervise and support the recording </w:t>
      </w:r>
      <w:r w:rsidRPr="009A0DA6">
        <w:rPr>
          <w:rFonts w:ascii="Cambria" w:hAnsi="Cambria"/>
        </w:rPr>
        <w:t xml:space="preserve">of worship services in Good Shepherd Lutheran Church, Toowoomba Qld and St Michael’s Lutheran Church, Hahndorf SA. Thanks to the pastors and volunteers who record these worship services and send them to us for editing and distribution. These congregations also Livestream their worship services where 100 to 200 people watch weekly (Over 33,000 views). There are communities in regional Australia and beyond who use these as their worship services including a community in Cooper Pedy, SA. About 150 DVDs and 10 CDs </w:t>
      </w:r>
      <w:r w:rsidRPr="00995084">
        <w:rPr>
          <w:rFonts w:ascii="Cambria" w:hAnsi="Cambria"/>
        </w:rPr>
        <w:t xml:space="preserve">are sent out every week with over 1,000 people on the database. Watch the services at </w:t>
      </w:r>
      <w:hyperlink r:id="rId39" w:history="1">
        <w:r w:rsidRPr="00995084">
          <w:rPr>
            <w:rStyle w:val="Hyperlink"/>
            <w:rFonts w:ascii="Cambria" w:hAnsi="Cambria"/>
            <w:color w:val="auto"/>
            <w:u w:val="none"/>
          </w:rPr>
          <w:t>www.livestream.com/luthworship</w:t>
        </w:r>
      </w:hyperlink>
      <w:r w:rsidRPr="00995084">
        <w:rPr>
          <w:rFonts w:ascii="Cambria" w:hAnsi="Cambria"/>
        </w:rPr>
        <w:t>.</w:t>
      </w:r>
    </w:p>
    <w:p w14:paraId="66325F94" w14:textId="77777777" w:rsidR="00F427BC" w:rsidRPr="00995084" w:rsidRDefault="00F427BC" w:rsidP="0054360D">
      <w:pPr>
        <w:spacing w:before="120" w:after="120" w:line="240" w:lineRule="auto"/>
        <w:ind w:left="567"/>
        <w:contextualSpacing/>
        <w:rPr>
          <w:rFonts w:ascii="Cambria" w:hAnsi="Cambria"/>
        </w:rPr>
      </w:pPr>
    </w:p>
    <w:p w14:paraId="7EE175C3" w14:textId="058E771B" w:rsidR="0054360D" w:rsidRPr="00995084" w:rsidRDefault="0054360D" w:rsidP="0054360D">
      <w:pPr>
        <w:spacing w:before="120" w:after="120" w:line="240" w:lineRule="auto"/>
        <w:ind w:left="567"/>
        <w:contextualSpacing/>
        <w:rPr>
          <w:rFonts w:ascii="Cambria" w:hAnsi="Cambria"/>
        </w:rPr>
      </w:pPr>
      <w:r w:rsidRPr="00995084">
        <w:rPr>
          <w:rFonts w:ascii="Cambria" w:hAnsi="Cambria"/>
        </w:rPr>
        <w:t>With the support of the Board for Lutheran Aged Care Australia a video and radio series of outreach messages on dementia were produced, along with a fact pamphlet and short booklet (</w:t>
      </w:r>
      <w:r w:rsidRPr="00995084">
        <w:rPr>
          <w:rFonts w:ascii="Cambria" w:hAnsi="Cambria"/>
          <w:i/>
        </w:rPr>
        <w:t>Dementia-Searching for Hope</w:t>
      </w:r>
      <w:r w:rsidRPr="00995084">
        <w:rPr>
          <w:rFonts w:ascii="Cambria" w:hAnsi="Cambria"/>
        </w:rPr>
        <w:t xml:space="preserve"> written by Colleen Fitzpatrick) to </w:t>
      </w:r>
      <w:r w:rsidRPr="00995084">
        <w:rPr>
          <w:rFonts w:ascii="Cambria" w:hAnsi="Cambria"/>
        </w:rPr>
        <w:lastRenderedPageBreak/>
        <w:t xml:space="preserve">share Jesus’ hope in times of dementia. Thanks to the people we interviewed including John Abram, Ann and Timothy Pietsch who shared their insights and how God gave them hope. You can see the resources at </w:t>
      </w:r>
      <w:hyperlink r:id="rId40" w:history="1">
        <w:r w:rsidRPr="00995084">
          <w:rPr>
            <w:rStyle w:val="Hyperlink"/>
            <w:rFonts w:ascii="Cambria" w:hAnsi="Cambria"/>
            <w:color w:val="auto"/>
            <w:u w:val="none"/>
          </w:rPr>
          <w:t>www.messagesofhope.org.au/dementia</w:t>
        </w:r>
      </w:hyperlink>
      <w:r w:rsidRPr="00995084">
        <w:rPr>
          <w:rFonts w:ascii="Cambria" w:hAnsi="Cambria"/>
        </w:rPr>
        <w:t>. We were State Finalists for the Community Achievement Awards for this work which was celebrated and acknowledged at a Gala Dinner.</w:t>
      </w:r>
    </w:p>
    <w:p w14:paraId="2A6FC475" w14:textId="77777777" w:rsidR="0054360D" w:rsidRPr="00995084" w:rsidRDefault="0054360D" w:rsidP="0054360D">
      <w:pPr>
        <w:spacing w:before="120" w:after="120" w:line="240" w:lineRule="auto"/>
        <w:ind w:left="567"/>
        <w:contextualSpacing/>
        <w:rPr>
          <w:rFonts w:ascii="Cambria" w:hAnsi="Cambria"/>
        </w:rPr>
      </w:pPr>
      <w:r w:rsidRPr="00995084">
        <w:rPr>
          <w:rFonts w:ascii="Cambria" w:hAnsi="Cambria"/>
        </w:rPr>
        <w:br/>
        <w:t xml:space="preserve">A new booklet on </w:t>
      </w:r>
      <w:r w:rsidRPr="00995084">
        <w:rPr>
          <w:rFonts w:ascii="Cambria" w:hAnsi="Cambria"/>
          <w:i/>
        </w:rPr>
        <w:t>Parenting-Finding the Fun</w:t>
      </w:r>
      <w:r w:rsidRPr="00995084">
        <w:rPr>
          <w:rFonts w:ascii="Cambria" w:hAnsi="Cambria"/>
        </w:rPr>
        <w:t xml:space="preserve"> written by Julie Hahn was produced.</w:t>
      </w:r>
    </w:p>
    <w:p w14:paraId="1CD097D8" w14:textId="77777777" w:rsidR="0054360D" w:rsidRPr="00995084" w:rsidRDefault="0054360D" w:rsidP="0054360D">
      <w:pPr>
        <w:spacing w:before="120" w:after="120" w:line="240" w:lineRule="auto"/>
        <w:ind w:left="567"/>
        <w:contextualSpacing/>
        <w:rPr>
          <w:rFonts w:ascii="Cambria" w:hAnsi="Cambria"/>
        </w:rPr>
      </w:pPr>
      <w:r w:rsidRPr="00995084">
        <w:rPr>
          <w:rFonts w:ascii="Cambria" w:hAnsi="Cambria"/>
        </w:rPr>
        <w:t>Our annual Scripture Calendar designed by Carey Isaacson increases in popularity.</w:t>
      </w:r>
    </w:p>
    <w:p w14:paraId="095DFD0F" w14:textId="77777777" w:rsidR="0054360D" w:rsidRPr="00995084" w:rsidRDefault="0054360D" w:rsidP="0054360D">
      <w:pPr>
        <w:spacing w:before="120" w:after="120" w:line="240" w:lineRule="auto"/>
        <w:ind w:left="567"/>
        <w:contextualSpacing/>
        <w:rPr>
          <w:rFonts w:ascii="Cambria" w:hAnsi="Cambria"/>
        </w:rPr>
      </w:pPr>
      <w:r w:rsidRPr="00995084">
        <w:rPr>
          <w:rFonts w:ascii="Cambria" w:hAnsi="Cambria"/>
        </w:rPr>
        <w:t xml:space="preserve">We produced online Advent and Easter calendars for </w:t>
      </w:r>
      <w:hyperlink r:id="rId41" w:history="1">
        <w:r w:rsidRPr="00995084">
          <w:rPr>
            <w:rStyle w:val="Hyperlink"/>
            <w:rFonts w:ascii="Cambria" w:hAnsi="Cambria"/>
            <w:color w:val="auto"/>
            <w:u w:val="none"/>
          </w:rPr>
          <w:t>www.happyland.com.au</w:t>
        </w:r>
      </w:hyperlink>
      <w:r w:rsidRPr="00995084">
        <w:rPr>
          <w:rFonts w:ascii="Cambria" w:hAnsi="Cambria"/>
        </w:rPr>
        <w:t>.</w:t>
      </w:r>
    </w:p>
    <w:p w14:paraId="75C1D5C7" w14:textId="77777777" w:rsidR="0054360D" w:rsidRPr="00995084" w:rsidRDefault="0054360D" w:rsidP="0054360D">
      <w:pPr>
        <w:spacing w:before="120" w:after="120" w:line="240" w:lineRule="auto"/>
        <w:ind w:left="567"/>
        <w:contextualSpacing/>
        <w:rPr>
          <w:rFonts w:ascii="Cambria" w:hAnsi="Cambria"/>
        </w:rPr>
      </w:pPr>
      <w:r w:rsidRPr="00995084">
        <w:rPr>
          <w:rFonts w:ascii="Cambria" w:hAnsi="Cambria"/>
        </w:rPr>
        <w:t>A new Happyland App is being developed with a planned launch in 2018. A new Messages of Hope App is also in planning.</w:t>
      </w:r>
      <w:r w:rsidRPr="00995084">
        <w:rPr>
          <w:rFonts w:ascii="Cambria" w:hAnsi="Cambria"/>
        </w:rPr>
        <w:br/>
      </w:r>
    </w:p>
    <w:p w14:paraId="28332F60" w14:textId="77777777" w:rsidR="0054360D" w:rsidRPr="009A0DA6" w:rsidRDefault="0054360D" w:rsidP="00F55252">
      <w:pPr>
        <w:numPr>
          <w:ilvl w:val="0"/>
          <w:numId w:val="211"/>
        </w:numPr>
        <w:spacing w:before="120" w:after="120" w:line="240" w:lineRule="auto"/>
        <w:ind w:left="567" w:hanging="567"/>
        <w:contextualSpacing/>
        <w:rPr>
          <w:rFonts w:ascii="Cambria" w:hAnsi="Cambria"/>
          <w:b/>
        </w:rPr>
      </w:pPr>
      <w:r w:rsidRPr="009A0DA6">
        <w:rPr>
          <w:rFonts w:ascii="Cambria" w:hAnsi="Cambria"/>
          <w:b/>
        </w:rPr>
        <w:t>Connecting</w:t>
      </w:r>
    </w:p>
    <w:p w14:paraId="4EAD47EC" w14:textId="77777777" w:rsidR="0054360D" w:rsidRPr="00995084" w:rsidRDefault="0054360D" w:rsidP="0054360D">
      <w:pPr>
        <w:spacing w:before="120" w:after="120" w:line="240" w:lineRule="auto"/>
        <w:ind w:left="567"/>
        <w:contextualSpacing/>
        <w:rPr>
          <w:rFonts w:ascii="Cambria" w:hAnsi="Cambria"/>
        </w:rPr>
      </w:pPr>
      <w:r w:rsidRPr="009A0DA6">
        <w:rPr>
          <w:rFonts w:ascii="Cambria" w:hAnsi="Cambria"/>
        </w:rPr>
        <w:t xml:space="preserve">People can hear Messages of hope on more than 800 community, Christian and </w:t>
      </w:r>
      <w:r w:rsidRPr="00995084">
        <w:rPr>
          <w:rFonts w:ascii="Cambria" w:hAnsi="Cambria"/>
        </w:rPr>
        <w:t xml:space="preserve">commercial radio reaching more than 5,000,000 people a week. People can hear, read, and watch the content and order the booklets and resources on </w:t>
      </w:r>
      <w:hyperlink r:id="rId42" w:history="1">
        <w:r w:rsidRPr="00995084">
          <w:rPr>
            <w:rStyle w:val="Hyperlink"/>
            <w:rFonts w:ascii="Cambria" w:hAnsi="Cambria"/>
            <w:color w:val="auto"/>
            <w:u w:val="none"/>
          </w:rPr>
          <w:t>www.messagesofhope.org.au</w:t>
        </w:r>
      </w:hyperlink>
      <w:r w:rsidRPr="00995084">
        <w:rPr>
          <w:rFonts w:ascii="Cambria" w:hAnsi="Cambria"/>
        </w:rPr>
        <w:t xml:space="preserve"> and through social media such as Facebook, YouTube, Twitter, and Instagram.</w:t>
      </w:r>
    </w:p>
    <w:p w14:paraId="68ACFE9A" w14:textId="77777777" w:rsidR="0054360D" w:rsidRPr="00995084" w:rsidRDefault="0054360D" w:rsidP="0054360D">
      <w:pPr>
        <w:spacing w:before="120" w:after="120" w:line="240" w:lineRule="auto"/>
        <w:ind w:left="567"/>
        <w:contextualSpacing/>
        <w:rPr>
          <w:rFonts w:ascii="Cambria" w:hAnsi="Cambria"/>
        </w:rPr>
      </w:pPr>
      <w:r w:rsidRPr="00995084">
        <w:rPr>
          <w:rFonts w:ascii="Cambria" w:hAnsi="Cambria"/>
        </w:rPr>
        <w:br/>
        <w:t xml:space="preserve">Messages of hope were also played on New Zealand’s number 1 radio station, Newstalk ZB, in prime time in Auckland, Wellington, Hamilton and Palmerston North. We received more than 150 unique website visits a month and more than 50 booklets were downloaded and read every month. The Lutheran Church of New Zealand and the Mountainside Lutheran Church in Auckland supports this outreach ministry. You can see the resources at </w:t>
      </w:r>
      <w:hyperlink r:id="rId43" w:history="1">
        <w:r w:rsidRPr="00995084">
          <w:rPr>
            <w:rStyle w:val="Hyperlink"/>
            <w:rFonts w:ascii="Cambria" w:hAnsi="Cambria"/>
            <w:color w:val="auto"/>
            <w:u w:val="none"/>
          </w:rPr>
          <w:t>www.messagesofhope.org.nz</w:t>
        </w:r>
      </w:hyperlink>
      <w:r w:rsidRPr="00995084">
        <w:rPr>
          <w:rFonts w:ascii="Cambria" w:hAnsi="Cambria"/>
        </w:rPr>
        <w:t xml:space="preserve"> and connect to the social media outreach through Facebook, Twitter and YouTube. Through this website people can connect with the </w:t>
      </w:r>
      <w:hyperlink r:id="rId44" w:history="1">
        <w:r w:rsidRPr="00995084">
          <w:rPr>
            <w:rStyle w:val="Hyperlink"/>
            <w:rFonts w:ascii="Cambria" w:hAnsi="Cambria"/>
            <w:color w:val="auto"/>
            <w:u w:val="none"/>
          </w:rPr>
          <w:t>www.lutheran.org.nz</w:t>
        </w:r>
      </w:hyperlink>
      <w:r w:rsidRPr="00995084">
        <w:rPr>
          <w:rFonts w:ascii="Cambria" w:hAnsi="Cambria"/>
        </w:rPr>
        <w:t xml:space="preserve"> and </w:t>
      </w:r>
      <w:hyperlink r:id="rId45" w:history="1">
        <w:r w:rsidRPr="00995084">
          <w:rPr>
            <w:rStyle w:val="Hyperlink"/>
            <w:rFonts w:ascii="Cambria" w:hAnsi="Cambria"/>
            <w:color w:val="auto"/>
            <w:u w:val="none"/>
          </w:rPr>
          <w:t>www.mountainside.co.nz</w:t>
        </w:r>
      </w:hyperlink>
      <w:r w:rsidRPr="00995084">
        <w:rPr>
          <w:rFonts w:ascii="Cambria" w:hAnsi="Cambria"/>
        </w:rPr>
        <w:t>.</w:t>
      </w:r>
    </w:p>
    <w:p w14:paraId="4FB039EE" w14:textId="77777777" w:rsidR="0054360D" w:rsidRPr="009A0DA6" w:rsidRDefault="0054360D" w:rsidP="0054360D">
      <w:pPr>
        <w:spacing w:before="120" w:after="120" w:line="240" w:lineRule="auto"/>
        <w:ind w:left="567"/>
        <w:contextualSpacing/>
        <w:rPr>
          <w:rFonts w:ascii="Cambria" w:hAnsi="Cambria"/>
        </w:rPr>
      </w:pPr>
      <w:r w:rsidRPr="00995084">
        <w:rPr>
          <w:rFonts w:ascii="Cambria" w:hAnsi="Cambria"/>
        </w:rPr>
        <w:br/>
        <w:t xml:space="preserve">Our outreach programs refer people to </w:t>
      </w:r>
      <w:hyperlink r:id="rId46" w:history="1">
        <w:r w:rsidRPr="00995084">
          <w:rPr>
            <w:rStyle w:val="Hyperlink"/>
            <w:rFonts w:ascii="Cambria" w:hAnsi="Cambria"/>
            <w:color w:val="auto"/>
            <w:u w:val="none"/>
          </w:rPr>
          <w:t>www.messagesofhope.org.au</w:t>
        </w:r>
      </w:hyperlink>
      <w:r w:rsidRPr="009A0DA6">
        <w:rPr>
          <w:rFonts w:ascii="Cambria" w:hAnsi="Cambria"/>
        </w:rPr>
        <w:t xml:space="preserve"> or FREECALL 1800 353 350. People can order free booklets or contact us for more support. We receive almost 2,000 audience responses every year. Many more contact us not necessarily asking for a booklet but wanting to find out more about Jesus. We have received feedback that many more don’t contact us but simply begin their enquiries into who Jesus Christ is for them. We refer people to their local congregation so you may be welcoming people into your congregation who have responded to Messages of Hope. Every person who downloads a booklet </w:t>
      </w:r>
      <w:r w:rsidRPr="00995084">
        <w:rPr>
          <w:rFonts w:ascii="Cambria" w:hAnsi="Cambria"/>
        </w:rPr>
        <w:t xml:space="preserve">from </w:t>
      </w:r>
      <w:hyperlink r:id="rId47" w:history="1">
        <w:r w:rsidRPr="00995084">
          <w:rPr>
            <w:rStyle w:val="Hyperlink"/>
            <w:rFonts w:ascii="Cambria" w:hAnsi="Cambria"/>
            <w:color w:val="auto"/>
            <w:u w:val="none"/>
          </w:rPr>
          <w:t>www.messagesofhope.org.nz</w:t>
        </w:r>
      </w:hyperlink>
      <w:r w:rsidRPr="00995084">
        <w:rPr>
          <w:rFonts w:ascii="Cambria" w:hAnsi="Cambria"/>
        </w:rPr>
        <w:t xml:space="preserve"> receives an encouragement email after 1 week and 1 month and offers them support </w:t>
      </w:r>
      <w:r w:rsidRPr="009A0DA6">
        <w:rPr>
          <w:rFonts w:ascii="Cambria" w:hAnsi="Cambria"/>
        </w:rPr>
        <w:t>and the details for Mountainside Lutheran Church in Auckland.</w:t>
      </w:r>
    </w:p>
    <w:p w14:paraId="36AB2D16" w14:textId="77777777" w:rsidR="0054360D" w:rsidRPr="009A0DA6" w:rsidRDefault="0054360D" w:rsidP="0054360D">
      <w:pPr>
        <w:spacing w:before="120" w:after="120" w:line="240" w:lineRule="auto"/>
        <w:ind w:left="567"/>
        <w:contextualSpacing/>
        <w:rPr>
          <w:rFonts w:ascii="Cambria" w:hAnsi="Cambria"/>
        </w:rPr>
      </w:pPr>
      <w:r w:rsidRPr="009A0DA6">
        <w:rPr>
          <w:rFonts w:ascii="Cambria" w:hAnsi="Cambria"/>
        </w:rPr>
        <w:br/>
        <w:t>We continue to develop our social media outreach. Social media pages and accounts:</w:t>
      </w:r>
    </w:p>
    <w:p w14:paraId="5FED85B9" w14:textId="77777777" w:rsidR="0054360D" w:rsidRPr="009A0DA6" w:rsidRDefault="0054360D" w:rsidP="00F55252">
      <w:pPr>
        <w:pStyle w:val="ListParagraph"/>
        <w:numPr>
          <w:ilvl w:val="0"/>
          <w:numId w:val="212"/>
        </w:numPr>
        <w:spacing w:before="120" w:after="120" w:line="240" w:lineRule="auto"/>
        <w:ind w:left="1134" w:hanging="567"/>
        <w:rPr>
          <w:rFonts w:ascii="Cambria" w:hAnsi="Cambria"/>
        </w:rPr>
      </w:pPr>
      <w:r w:rsidRPr="009A0DA6">
        <w:rPr>
          <w:rFonts w:ascii="Cambria" w:hAnsi="Cambria"/>
        </w:rPr>
        <w:t xml:space="preserve">Facebook - </w:t>
      </w:r>
      <w:r w:rsidRPr="009A0DA6">
        <w:rPr>
          <w:rFonts w:ascii="Cambria" w:hAnsi="Cambria"/>
          <w:b/>
        </w:rPr>
        <w:t>(@messageshope, @messagesofhopenz, @luthmedia, @happyland4kids</w:t>
      </w:r>
      <w:r w:rsidRPr="009A0DA6">
        <w:rPr>
          <w:rFonts w:ascii="Cambria" w:hAnsi="Cambria"/>
        </w:rPr>
        <w:t>). Over 6,000 page likes and 10,000 weekly post views.</w:t>
      </w:r>
    </w:p>
    <w:p w14:paraId="362FF727" w14:textId="77777777" w:rsidR="0054360D" w:rsidRPr="009A0DA6" w:rsidRDefault="0054360D" w:rsidP="00F55252">
      <w:pPr>
        <w:pStyle w:val="ListParagraph"/>
        <w:numPr>
          <w:ilvl w:val="0"/>
          <w:numId w:val="212"/>
        </w:numPr>
        <w:spacing w:before="120" w:after="120" w:line="240" w:lineRule="auto"/>
        <w:ind w:left="1134" w:hanging="567"/>
        <w:rPr>
          <w:rFonts w:ascii="Cambria" w:hAnsi="Cambria"/>
        </w:rPr>
      </w:pPr>
      <w:r w:rsidRPr="009A0DA6">
        <w:rPr>
          <w:rFonts w:ascii="Cambria" w:hAnsi="Cambria"/>
        </w:rPr>
        <w:t xml:space="preserve">Twitter - </w:t>
      </w:r>
      <w:r w:rsidRPr="009A0DA6">
        <w:rPr>
          <w:rFonts w:ascii="Cambria" w:hAnsi="Cambria"/>
          <w:b/>
        </w:rPr>
        <w:t>(@lutheranmedia, @messagesofhope1, and @messageshopenz</w:t>
      </w:r>
      <w:r w:rsidRPr="009A0DA6">
        <w:rPr>
          <w:rFonts w:ascii="Cambria" w:hAnsi="Cambria"/>
        </w:rPr>
        <w:t>. We have over 1,100 followers and growing.</w:t>
      </w:r>
    </w:p>
    <w:p w14:paraId="6929710D" w14:textId="77777777" w:rsidR="0054360D" w:rsidRPr="009A0DA6" w:rsidRDefault="0054360D" w:rsidP="00F55252">
      <w:pPr>
        <w:pStyle w:val="ListParagraph"/>
        <w:numPr>
          <w:ilvl w:val="0"/>
          <w:numId w:val="212"/>
        </w:numPr>
        <w:spacing w:before="120" w:after="120" w:line="240" w:lineRule="auto"/>
        <w:ind w:left="1134" w:hanging="567"/>
        <w:rPr>
          <w:rFonts w:ascii="Cambria" w:hAnsi="Cambria"/>
        </w:rPr>
      </w:pPr>
      <w:r w:rsidRPr="009A0DA6">
        <w:rPr>
          <w:rFonts w:ascii="Cambria" w:hAnsi="Cambria"/>
        </w:rPr>
        <w:t>YouTube - (</w:t>
      </w:r>
      <w:r w:rsidRPr="009A0DA6">
        <w:rPr>
          <w:rFonts w:ascii="Cambria" w:hAnsi="Cambria"/>
          <w:b/>
        </w:rPr>
        <w:t>Lutheran Media, Messages of hope, and Messages of hope NZ</w:t>
      </w:r>
      <w:r w:rsidRPr="009A0DA6">
        <w:rPr>
          <w:rFonts w:ascii="Cambria" w:hAnsi="Cambria"/>
        </w:rPr>
        <w:t>). A video has been seen over 50,000 times and has received over 150 comments.</w:t>
      </w:r>
    </w:p>
    <w:p w14:paraId="75E2F069" w14:textId="77777777" w:rsidR="0054360D" w:rsidRPr="009A0DA6" w:rsidRDefault="0054360D" w:rsidP="00F55252">
      <w:pPr>
        <w:pStyle w:val="ListParagraph"/>
        <w:numPr>
          <w:ilvl w:val="0"/>
          <w:numId w:val="212"/>
        </w:numPr>
        <w:spacing w:before="120" w:after="120" w:line="240" w:lineRule="auto"/>
        <w:ind w:left="1134" w:hanging="567"/>
        <w:rPr>
          <w:rFonts w:ascii="Cambria" w:hAnsi="Cambria"/>
        </w:rPr>
      </w:pPr>
      <w:r w:rsidRPr="009A0DA6">
        <w:rPr>
          <w:rFonts w:ascii="Cambria" w:hAnsi="Cambria"/>
        </w:rPr>
        <w:t xml:space="preserve">Instagram - </w:t>
      </w:r>
      <w:r w:rsidRPr="009A0DA6">
        <w:rPr>
          <w:rFonts w:ascii="Cambria" w:hAnsi="Cambria"/>
          <w:b/>
        </w:rPr>
        <w:t>luthmedia and @messagesofhope1</w:t>
      </w:r>
      <w:r w:rsidRPr="009A0DA6">
        <w:rPr>
          <w:rFonts w:ascii="Cambria" w:hAnsi="Cambria"/>
        </w:rPr>
        <w:t>.</w:t>
      </w:r>
    </w:p>
    <w:p w14:paraId="1E2DF38B" w14:textId="77777777" w:rsidR="0054360D" w:rsidRPr="009A0DA6" w:rsidRDefault="0054360D" w:rsidP="0054360D">
      <w:pPr>
        <w:spacing w:before="120" w:after="120" w:line="240" w:lineRule="auto"/>
        <w:ind w:left="567"/>
        <w:contextualSpacing/>
        <w:rPr>
          <w:rFonts w:ascii="Cambria" w:hAnsi="Cambria"/>
        </w:rPr>
      </w:pPr>
      <w:r w:rsidRPr="009A0DA6">
        <w:rPr>
          <w:rFonts w:ascii="Cambria" w:hAnsi="Cambria"/>
        </w:rPr>
        <w:t>We are continuing to research ways to use mobile technology including Apps, social media and methods where we reach out to people through the internet.</w:t>
      </w:r>
    </w:p>
    <w:p w14:paraId="63E4D7A9" w14:textId="77777777" w:rsidR="0054360D" w:rsidRPr="009A0DA6" w:rsidRDefault="0054360D" w:rsidP="0054360D">
      <w:pPr>
        <w:spacing w:before="120" w:after="120" w:line="240" w:lineRule="auto"/>
        <w:ind w:left="567"/>
        <w:contextualSpacing/>
        <w:rPr>
          <w:rFonts w:ascii="Cambria" w:hAnsi="Cambria"/>
        </w:rPr>
      </w:pPr>
      <w:r w:rsidRPr="009A0DA6">
        <w:rPr>
          <w:rFonts w:ascii="Cambria" w:hAnsi="Cambria"/>
        </w:rPr>
        <w:br/>
        <w:t>We partnered with other LCA departments including Local Mission, Grow Ministries, International Mission, Board for Lutheran Aged Care Australia (</w:t>
      </w:r>
      <w:r w:rsidRPr="009A0DA6">
        <w:rPr>
          <w:rFonts w:ascii="Cambria" w:hAnsi="Cambria"/>
          <w:i/>
        </w:rPr>
        <w:t>Dementia-searching for hope</w:t>
      </w:r>
      <w:r w:rsidRPr="009A0DA6">
        <w:rPr>
          <w:rFonts w:ascii="Cambria" w:hAnsi="Cambria"/>
        </w:rPr>
        <w:t xml:space="preserve"> stories), Commission on Worship, and Lutheran Education Australia (Happyland and video content). We have a MoU with Lutheran Hour Ministries (LHM) to partner with them to bring Christ to the nations and the nations to Christ. Examples </w:t>
      </w:r>
      <w:r w:rsidRPr="009A0DA6">
        <w:rPr>
          <w:rFonts w:ascii="Cambria" w:hAnsi="Cambria"/>
        </w:rPr>
        <w:lastRenderedPageBreak/>
        <w:t>of their resources are; booklets, Men’s Network website, small group videos and discussion guides, and the Martin Luther DVDs. Their On Main Street TV program has finished on the Australian Christian Chanel. I was invited to visit Ethiopia and present our 1 minute messages to the media mission directors from Africa, Europe, and the Middle East. The LHM President and CEO Kurt Buchholz, the LHM Director of International Ministries Rev Dr Doug Rutt and the LHM Regional Director for Asia Gunya Na Thalang visited Australia and gave a presentation to the Board for Media Ministry and attended our 70</w:t>
      </w:r>
      <w:r w:rsidRPr="009A0DA6">
        <w:rPr>
          <w:rFonts w:ascii="Cambria" w:hAnsi="Cambria"/>
          <w:vertAlign w:val="superscript"/>
        </w:rPr>
        <w:t>th</w:t>
      </w:r>
      <w:r w:rsidRPr="009A0DA6">
        <w:rPr>
          <w:rFonts w:ascii="Cambria" w:hAnsi="Cambria"/>
        </w:rPr>
        <w:t xml:space="preserve"> Anniversary. LHM invited me to their 100</w:t>
      </w:r>
      <w:r w:rsidRPr="009A0DA6">
        <w:rPr>
          <w:rFonts w:ascii="Cambria" w:hAnsi="Cambria"/>
          <w:vertAlign w:val="superscript"/>
        </w:rPr>
        <w:t>th</w:t>
      </w:r>
      <w:r w:rsidRPr="009A0DA6">
        <w:rPr>
          <w:rFonts w:ascii="Cambria" w:hAnsi="Cambria"/>
        </w:rPr>
        <w:t xml:space="preserve"> Anniversary which also included a workshop for all of their international directors.</w:t>
      </w:r>
    </w:p>
    <w:p w14:paraId="71F7DEB1" w14:textId="38A0BA8D" w:rsidR="0054360D" w:rsidRPr="00DA6FB3" w:rsidRDefault="0054360D" w:rsidP="00DA6FB3">
      <w:pPr>
        <w:spacing w:before="120" w:after="120" w:line="240" w:lineRule="auto"/>
        <w:ind w:left="567"/>
        <w:contextualSpacing/>
        <w:rPr>
          <w:rFonts w:ascii="Cambria" w:hAnsi="Cambria"/>
          <w:b/>
        </w:rPr>
      </w:pPr>
      <w:r w:rsidRPr="009A0DA6">
        <w:rPr>
          <w:rFonts w:ascii="Cambria" w:hAnsi="Cambria"/>
        </w:rPr>
        <w:br/>
        <w:t xml:space="preserve">We partner with congregations and church groups such as Lutheran Women and Men. For example, thanks to volunteers at Bethlehem Lutheran Church, Adelaide, we distributed a Lessons and Carols worship service. I guest preach and present when invited by congregations. We attend and present at District Synods and Lutheran Women and Men events. </w:t>
      </w:r>
      <w:r w:rsidR="00DA6FB3">
        <w:rPr>
          <w:rFonts w:ascii="Cambria" w:hAnsi="Cambria"/>
          <w:b/>
        </w:rPr>
        <w:t xml:space="preserve"> </w:t>
      </w:r>
      <w:r w:rsidRPr="009A0DA6">
        <w:rPr>
          <w:rFonts w:ascii="Cambria" w:hAnsi="Cambria"/>
        </w:rPr>
        <w:t>Lutheran Media is a member of Christian Media and Arts Australia which includes leaders in media mission in other denominations. We joined them at the National Religious Broadcasters conference in Nashville in 2016. Ministries from around the world took samples of our outreach content to share in their countries. The CMAA have helped us with strategizing our outreach efforts including the transition to Messages of hope and our social media outreach.</w:t>
      </w:r>
      <w:r w:rsidRPr="009A0DA6">
        <w:rPr>
          <w:rFonts w:ascii="Cambria" w:hAnsi="Cambria"/>
        </w:rPr>
        <w:br/>
      </w:r>
    </w:p>
    <w:p w14:paraId="4D2725FC" w14:textId="77777777" w:rsidR="0054360D" w:rsidRPr="009A0DA6" w:rsidRDefault="0054360D" w:rsidP="00F55252">
      <w:pPr>
        <w:numPr>
          <w:ilvl w:val="0"/>
          <w:numId w:val="211"/>
        </w:numPr>
        <w:spacing w:before="120" w:after="120" w:line="240" w:lineRule="auto"/>
        <w:ind w:left="567" w:hanging="567"/>
        <w:contextualSpacing/>
        <w:rPr>
          <w:rFonts w:ascii="Cambria" w:hAnsi="Cambria"/>
          <w:b/>
        </w:rPr>
      </w:pPr>
      <w:r w:rsidRPr="009A0DA6">
        <w:rPr>
          <w:rFonts w:ascii="Cambria" w:hAnsi="Cambria"/>
          <w:b/>
        </w:rPr>
        <w:t>Resourcing</w:t>
      </w:r>
    </w:p>
    <w:p w14:paraId="71E90DC9" w14:textId="77777777" w:rsidR="0054360D" w:rsidRPr="009A0DA6" w:rsidRDefault="0054360D" w:rsidP="0054360D">
      <w:pPr>
        <w:spacing w:before="120" w:after="120" w:line="240" w:lineRule="auto"/>
        <w:ind w:left="567"/>
        <w:contextualSpacing/>
        <w:rPr>
          <w:rFonts w:ascii="Cambria" w:hAnsi="Cambria"/>
        </w:rPr>
      </w:pPr>
      <w:r w:rsidRPr="009A0DA6">
        <w:rPr>
          <w:rFonts w:ascii="Cambria" w:hAnsi="Cambria"/>
        </w:rPr>
        <w:t>We hired a research assistant who helped set us up for many years to come with information on Australian and New Zealand society and connecting points for the gospel. We have also engaged the services of Jonathan Krause to help with our fundraising efforts. The director went through a 360 degree review which was very positive and affirming. A new role description and professional development plan have been written. The Director completed the Integral Leader training with the Leadership Institute of SA. People who have worked or are working at Lutheran Media during the last synodical term are; Andy Voigt (Production Manager), Celia Fielke (Media Presenter), Kathy Heavyside (Office Manager), Lizzy Brown (Administration Assistant), Sarah Wiltshire (Receptionist), David Mau (Ecommerce Manager), Ricky Shipard (Videographer), Ben Crossley (Video editor), Carey Isaacson (Designer), Cathy Hamilton (Researcher), Chelsea Schiller (Event Coordinator), Jonathan Krause. And volunteers; Annette Wessling, Barb Luhrs, Rose Kilmier, Marlene Januasitis, Jo Trautwein, Barry Marshall, and many more. Thank you to you all.</w:t>
      </w:r>
      <w:r w:rsidRPr="009A0DA6">
        <w:rPr>
          <w:rFonts w:ascii="Cambria" w:hAnsi="Cambria"/>
        </w:rPr>
        <w:br/>
      </w:r>
    </w:p>
    <w:p w14:paraId="14C2BEAD" w14:textId="77777777" w:rsidR="0054360D" w:rsidRPr="009A0DA6" w:rsidRDefault="0054360D" w:rsidP="00F55252">
      <w:pPr>
        <w:numPr>
          <w:ilvl w:val="0"/>
          <w:numId w:val="211"/>
        </w:numPr>
        <w:spacing w:before="120" w:after="120" w:line="240" w:lineRule="auto"/>
        <w:ind w:left="567" w:hanging="567"/>
        <w:contextualSpacing/>
        <w:rPr>
          <w:rFonts w:ascii="Cambria" w:hAnsi="Cambria"/>
          <w:b/>
        </w:rPr>
      </w:pPr>
      <w:r w:rsidRPr="009A0DA6">
        <w:rPr>
          <w:rFonts w:ascii="Cambria" w:hAnsi="Cambria"/>
          <w:b/>
        </w:rPr>
        <w:t>Funding</w:t>
      </w:r>
    </w:p>
    <w:p w14:paraId="0E19A0A2" w14:textId="77777777" w:rsidR="0054360D" w:rsidRPr="00995084" w:rsidRDefault="0054360D" w:rsidP="0054360D">
      <w:pPr>
        <w:spacing w:before="120" w:after="120" w:line="240" w:lineRule="auto"/>
        <w:ind w:left="567"/>
        <w:contextualSpacing/>
        <w:rPr>
          <w:rFonts w:ascii="Cambria" w:hAnsi="Cambria"/>
        </w:rPr>
      </w:pPr>
      <w:r w:rsidRPr="009A0DA6">
        <w:rPr>
          <w:rFonts w:ascii="Cambria" w:hAnsi="Cambria"/>
        </w:rPr>
        <w:t xml:space="preserve">We rely on donations ($300,000 to $600,000 a year) to fund this vital outreach mission. We can only do what we do because of people’s support. We had at least 125 face to face supporter events in 2015 to 2017. Thanks to the LLL and LCA grants that help Lutheran Media. We also look outside the church to other Christian grant providers but there are very few available for us to apply for funding. We give thanks for our supporters! You </w:t>
      </w:r>
      <w:r w:rsidRPr="00995084">
        <w:rPr>
          <w:rFonts w:ascii="Cambria" w:hAnsi="Cambria"/>
        </w:rPr>
        <w:t xml:space="preserve">can go to </w:t>
      </w:r>
      <w:hyperlink r:id="rId48" w:history="1">
        <w:r w:rsidRPr="00995084">
          <w:rPr>
            <w:rStyle w:val="Hyperlink"/>
            <w:rFonts w:ascii="Cambria" w:hAnsi="Cambria"/>
            <w:color w:val="auto"/>
            <w:u w:val="none"/>
          </w:rPr>
          <w:t>www.lutheranmedia.org.au/donations</w:t>
        </w:r>
      </w:hyperlink>
      <w:r w:rsidRPr="00995084">
        <w:rPr>
          <w:rFonts w:ascii="Cambria" w:hAnsi="Cambria"/>
        </w:rPr>
        <w:t xml:space="preserve"> to support Lutheran Media.</w:t>
      </w:r>
    </w:p>
    <w:p w14:paraId="083419A8" w14:textId="77777777" w:rsidR="0054360D" w:rsidRPr="009A0DA6" w:rsidRDefault="0054360D" w:rsidP="0054360D">
      <w:pPr>
        <w:pStyle w:val="Heading3"/>
      </w:pPr>
      <w:r w:rsidRPr="009A0DA6">
        <w:rPr>
          <w:sz w:val="10"/>
          <w:szCs w:val="10"/>
        </w:rPr>
        <w:br/>
      </w:r>
      <w:r w:rsidRPr="009A0DA6">
        <w:t>Successes</w:t>
      </w:r>
    </w:p>
    <w:p w14:paraId="51C8FB5A" w14:textId="77777777" w:rsidR="0054360D" w:rsidRPr="009A0DA6" w:rsidRDefault="0054360D" w:rsidP="00F55252">
      <w:pPr>
        <w:pStyle w:val="ListParagraph"/>
        <w:numPr>
          <w:ilvl w:val="0"/>
          <w:numId w:val="213"/>
        </w:numPr>
        <w:spacing w:before="120" w:after="120" w:line="240" w:lineRule="auto"/>
        <w:ind w:left="567" w:hanging="567"/>
        <w:rPr>
          <w:rFonts w:ascii="Cambria" w:hAnsi="Cambria"/>
        </w:rPr>
      </w:pPr>
      <w:r w:rsidRPr="009A0DA6">
        <w:rPr>
          <w:rFonts w:ascii="Cambria" w:hAnsi="Cambria"/>
        </w:rPr>
        <w:t>70 years of media mission work celebrated.</w:t>
      </w:r>
    </w:p>
    <w:p w14:paraId="265F83D0" w14:textId="77777777" w:rsidR="0054360D" w:rsidRPr="009A0DA6" w:rsidRDefault="0054360D" w:rsidP="00F55252">
      <w:pPr>
        <w:pStyle w:val="ListParagraph"/>
        <w:numPr>
          <w:ilvl w:val="0"/>
          <w:numId w:val="213"/>
        </w:numPr>
        <w:spacing w:before="120" w:after="120" w:line="240" w:lineRule="auto"/>
        <w:ind w:left="567" w:hanging="567"/>
        <w:rPr>
          <w:rFonts w:ascii="Cambria" w:hAnsi="Cambria"/>
        </w:rPr>
      </w:pPr>
      <w:r w:rsidRPr="009A0DA6">
        <w:rPr>
          <w:rFonts w:ascii="Cambria" w:hAnsi="Cambria"/>
        </w:rPr>
        <w:t>Change from Face to Face to Messages of hope and the growth on secular radio including number one radio station in New Zealand with the partnership and support of LCNZ and Mountainside Lutheran Church, Auckland. Over 280 outreach gospel messages shared every year over radio alone. As a result, people are hearing and believing in Jesus Christ with over 2,000 booklet orders and congregation referrals every year.</w:t>
      </w:r>
    </w:p>
    <w:p w14:paraId="39508D6B" w14:textId="77777777" w:rsidR="0054360D" w:rsidRPr="009A0DA6" w:rsidRDefault="0054360D" w:rsidP="00F55252">
      <w:pPr>
        <w:pStyle w:val="ListParagraph"/>
        <w:numPr>
          <w:ilvl w:val="0"/>
          <w:numId w:val="213"/>
        </w:numPr>
        <w:spacing w:before="120" w:after="120" w:line="240" w:lineRule="auto"/>
        <w:ind w:left="567" w:hanging="567"/>
        <w:rPr>
          <w:rFonts w:ascii="Cambria" w:hAnsi="Cambria"/>
        </w:rPr>
      </w:pPr>
      <w:r w:rsidRPr="009A0DA6">
        <w:rPr>
          <w:rFonts w:ascii="Cambria" w:hAnsi="Cambria"/>
        </w:rPr>
        <w:lastRenderedPageBreak/>
        <w:t>Growing video outreach including regular short videos, stories (on topics such as pain, dementia and anger), discussions, and the short video competition (over 60 videos entered).</w:t>
      </w:r>
    </w:p>
    <w:p w14:paraId="624E06F4" w14:textId="77777777" w:rsidR="0054360D" w:rsidRPr="009A0DA6" w:rsidRDefault="0054360D" w:rsidP="00F55252">
      <w:pPr>
        <w:pStyle w:val="ListParagraph"/>
        <w:numPr>
          <w:ilvl w:val="0"/>
          <w:numId w:val="213"/>
        </w:numPr>
        <w:spacing w:before="120" w:after="120" w:line="240" w:lineRule="auto"/>
        <w:ind w:left="567" w:hanging="567"/>
        <w:rPr>
          <w:rFonts w:ascii="Cambria" w:hAnsi="Cambria"/>
        </w:rPr>
      </w:pPr>
      <w:r w:rsidRPr="009A0DA6">
        <w:rPr>
          <w:rFonts w:ascii="Cambria" w:hAnsi="Cambria"/>
        </w:rPr>
        <w:t>Social media outreach has grown with 1,000s of people engaging and sharing our content on Facebook, Twitter, Instagram and YouTube.</w:t>
      </w:r>
    </w:p>
    <w:p w14:paraId="666DAA9C" w14:textId="77777777" w:rsidR="0054360D" w:rsidRPr="009A0DA6" w:rsidRDefault="0054360D" w:rsidP="00F55252">
      <w:pPr>
        <w:pStyle w:val="ListParagraph"/>
        <w:numPr>
          <w:ilvl w:val="0"/>
          <w:numId w:val="213"/>
        </w:numPr>
        <w:spacing w:before="120" w:after="120" w:line="240" w:lineRule="auto"/>
        <w:ind w:left="567" w:hanging="567"/>
        <w:rPr>
          <w:rFonts w:ascii="Cambria" w:hAnsi="Cambria"/>
        </w:rPr>
      </w:pPr>
      <w:r w:rsidRPr="009A0DA6">
        <w:rPr>
          <w:rFonts w:ascii="Cambria" w:hAnsi="Cambria"/>
        </w:rPr>
        <w:t>New booklets on Dementia and Parenting. State Finalist for a Community Achievement Award for Dementia outreach.</w:t>
      </w:r>
    </w:p>
    <w:p w14:paraId="18371910" w14:textId="77777777" w:rsidR="0054360D" w:rsidRPr="009A0DA6" w:rsidRDefault="0054360D" w:rsidP="00F55252">
      <w:pPr>
        <w:pStyle w:val="ListParagraph"/>
        <w:numPr>
          <w:ilvl w:val="0"/>
          <w:numId w:val="213"/>
        </w:numPr>
        <w:spacing w:before="120" w:after="120" w:line="240" w:lineRule="auto"/>
        <w:ind w:left="567" w:hanging="567"/>
        <w:rPr>
          <w:rFonts w:ascii="Cambria" w:hAnsi="Cambria"/>
        </w:rPr>
      </w:pPr>
      <w:r w:rsidRPr="009A0DA6">
        <w:rPr>
          <w:rFonts w:ascii="Cambria" w:hAnsi="Cambria"/>
        </w:rPr>
        <w:t>500 Luther DVDs sold and numerous downloads.</w:t>
      </w:r>
    </w:p>
    <w:p w14:paraId="14C92DFE" w14:textId="77777777" w:rsidR="0054360D" w:rsidRPr="009A0DA6" w:rsidRDefault="0054360D" w:rsidP="00F55252">
      <w:pPr>
        <w:pStyle w:val="ListParagraph"/>
        <w:numPr>
          <w:ilvl w:val="0"/>
          <w:numId w:val="213"/>
        </w:numPr>
        <w:spacing w:before="120" w:after="120" w:line="240" w:lineRule="auto"/>
        <w:ind w:left="567" w:hanging="567"/>
        <w:rPr>
          <w:rFonts w:ascii="Cambria" w:hAnsi="Cambria"/>
        </w:rPr>
      </w:pPr>
      <w:r w:rsidRPr="009A0DA6">
        <w:rPr>
          <w:rFonts w:ascii="Cambria" w:hAnsi="Cambria"/>
        </w:rPr>
        <w:t>The opportunity to showcase our outreach content to the world at the NRB Conference in Nashville USA, LHM100th, Asia and Africa conferences.</w:t>
      </w:r>
    </w:p>
    <w:p w14:paraId="7112DF69" w14:textId="6972C44A" w:rsidR="0054360D" w:rsidRPr="00DA6FB3" w:rsidRDefault="0054360D" w:rsidP="0054360D">
      <w:pPr>
        <w:pStyle w:val="ListParagraph"/>
        <w:numPr>
          <w:ilvl w:val="0"/>
          <w:numId w:val="213"/>
        </w:numPr>
        <w:spacing w:before="120" w:after="120" w:line="240" w:lineRule="auto"/>
        <w:ind w:left="567" w:hanging="567"/>
        <w:rPr>
          <w:rFonts w:ascii="Cambria" w:hAnsi="Cambria"/>
        </w:rPr>
      </w:pPr>
      <w:r w:rsidRPr="009A0DA6">
        <w:rPr>
          <w:rFonts w:ascii="Cambria" w:hAnsi="Cambria"/>
        </w:rPr>
        <w:t>A successful 360 review of the director of Lutheran Media.</w:t>
      </w:r>
    </w:p>
    <w:p w14:paraId="7C11B23B" w14:textId="77777777" w:rsidR="0054360D" w:rsidRPr="009A0DA6" w:rsidRDefault="0054360D" w:rsidP="0054360D">
      <w:pPr>
        <w:pStyle w:val="Heading3"/>
      </w:pPr>
      <w:r w:rsidRPr="009A0DA6">
        <w:t>Challenges and Lessons Learned</w:t>
      </w:r>
    </w:p>
    <w:p w14:paraId="4DEF81A3" w14:textId="77777777" w:rsidR="0054360D" w:rsidRPr="009A0DA6" w:rsidRDefault="0054360D" w:rsidP="00F55252">
      <w:pPr>
        <w:pStyle w:val="ListParagraph"/>
        <w:numPr>
          <w:ilvl w:val="0"/>
          <w:numId w:val="214"/>
        </w:numPr>
        <w:spacing w:before="120" w:after="120" w:line="240" w:lineRule="auto"/>
        <w:ind w:left="567" w:hanging="567"/>
        <w:rPr>
          <w:rFonts w:ascii="Cambria" w:hAnsi="Cambria"/>
        </w:rPr>
      </w:pPr>
      <w:r w:rsidRPr="009A0DA6">
        <w:rPr>
          <w:rFonts w:ascii="Cambria" w:hAnsi="Cambria"/>
        </w:rPr>
        <w:t>The transition from Face to Face to Messages of hope enabled us to review our outreach efforts and provide a platform into the future. More radio stations are playing us as a result.</w:t>
      </w:r>
    </w:p>
    <w:p w14:paraId="784D1BF5" w14:textId="77777777" w:rsidR="0054360D" w:rsidRPr="009A0DA6" w:rsidRDefault="0054360D" w:rsidP="00F55252">
      <w:pPr>
        <w:pStyle w:val="ListParagraph"/>
        <w:numPr>
          <w:ilvl w:val="0"/>
          <w:numId w:val="214"/>
        </w:numPr>
        <w:spacing w:before="120" w:after="120" w:line="240" w:lineRule="auto"/>
        <w:ind w:left="567" w:hanging="567"/>
        <w:rPr>
          <w:rFonts w:ascii="Cambria" w:hAnsi="Cambria"/>
        </w:rPr>
      </w:pPr>
      <w:r w:rsidRPr="009A0DA6">
        <w:rPr>
          <w:rFonts w:ascii="Cambria" w:hAnsi="Cambria"/>
        </w:rPr>
        <w:t>Lutheran Media was invited by the Lutheran Church New Zealand to investigate the possibility of re-establishing a media ministry in New Zealand. After meeting with them, Mountainside Lutheran Church in Auckland, other Christian broadcasters, and New Zealand’s number 1 radio station (NewstalkZB), Messages of hope is being played on NewstalkZB.</w:t>
      </w:r>
    </w:p>
    <w:p w14:paraId="41368CBA" w14:textId="77777777" w:rsidR="0054360D" w:rsidRPr="009A0DA6" w:rsidRDefault="0054360D" w:rsidP="00F55252">
      <w:pPr>
        <w:pStyle w:val="ListParagraph"/>
        <w:numPr>
          <w:ilvl w:val="0"/>
          <w:numId w:val="214"/>
        </w:numPr>
        <w:spacing w:before="120" w:after="120" w:line="240" w:lineRule="auto"/>
        <w:ind w:left="567" w:hanging="567"/>
        <w:rPr>
          <w:rFonts w:ascii="Cambria" w:hAnsi="Cambria"/>
        </w:rPr>
      </w:pPr>
      <w:r w:rsidRPr="009A0DA6">
        <w:rPr>
          <w:rFonts w:ascii="Cambria" w:hAnsi="Cambria"/>
        </w:rPr>
        <w:t>The outreach radio content has been refreshed and includes more interviews and discussions.</w:t>
      </w:r>
    </w:p>
    <w:p w14:paraId="64C185D3" w14:textId="77777777" w:rsidR="0054360D" w:rsidRPr="009A0DA6" w:rsidRDefault="0054360D" w:rsidP="00F55252">
      <w:pPr>
        <w:pStyle w:val="ListParagraph"/>
        <w:numPr>
          <w:ilvl w:val="0"/>
          <w:numId w:val="214"/>
        </w:numPr>
        <w:spacing w:before="120" w:after="120" w:line="240" w:lineRule="auto"/>
        <w:ind w:left="567" w:hanging="567"/>
        <w:rPr>
          <w:rFonts w:ascii="Cambria" w:hAnsi="Cambria"/>
        </w:rPr>
      </w:pPr>
      <w:r w:rsidRPr="009A0DA6">
        <w:rPr>
          <w:rFonts w:ascii="Cambria" w:hAnsi="Cambria"/>
        </w:rPr>
        <w:t>A Short Video Competition was run for the first time and will continue due to its popularity.</w:t>
      </w:r>
    </w:p>
    <w:p w14:paraId="6F37C9B7" w14:textId="77777777" w:rsidR="0054360D" w:rsidRPr="009A0DA6" w:rsidRDefault="0054360D" w:rsidP="00F55252">
      <w:pPr>
        <w:pStyle w:val="ListParagraph"/>
        <w:numPr>
          <w:ilvl w:val="0"/>
          <w:numId w:val="214"/>
        </w:numPr>
        <w:spacing w:before="120" w:after="120" w:line="240" w:lineRule="auto"/>
        <w:ind w:left="567" w:hanging="567"/>
        <w:rPr>
          <w:rFonts w:ascii="Cambria" w:hAnsi="Cambria"/>
        </w:rPr>
      </w:pPr>
      <w:r w:rsidRPr="009A0DA6">
        <w:rPr>
          <w:rFonts w:ascii="Cambria" w:hAnsi="Cambria"/>
        </w:rPr>
        <w:t>We have reviewed and learnt more about how to use social media to reach out to people.</w:t>
      </w:r>
    </w:p>
    <w:p w14:paraId="4A42580F" w14:textId="77777777" w:rsidR="0054360D" w:rsidRPr="009A0DA6" w:rsidRDefault="0054360D" w:rsidP="00F55252">
      <w:pPr>
        <w:pStyle w:val="ListParagraph"/>
        <w:numPr>
          <w:ilvl w:val="0"/>
          <w:numId w:val="214"/>
        </w:numPr>
        <w:spacing w:before="120" w:after="120" w:line="240" w:lineRule="auto"/>
        <w:ind w:left="567" w:hanging="567"/>
        <w:rPr>
          <w:rFonts w:ascii="Cambria" w:hAnsi="Cambria"/>
        </w:rPr>
      </w:pPr>
      <w:r w:rsidRPr="009A0DA6">
        <w:rPr>
          <w:rFonts w:ascii="Cambria" w:hAnsi="Cambria"/>
        </w:rPr>
        <w:t>The constant challenge to raise funds in a ‘noisy’ environment for a vital outreach ministry is difficult. Promotion, fundraising, and event displays and presentations are an ongoing challenge. The processes to inform congregational members that these materials exist for them to use, share and to support has been difficult but vital for Lutheran Media.</w:t>
      </w:r>
    </w:p>
    <w:p w14:paraId="0B571D52" w14:textId="6687C52C" w:rsidR="00DA6FB3" w:rsidRPr="00DA6FB3" w:rsidRDefault="0054360D" w:rsidP="00DA6FB3">
      <w:pPr>
        <w:pStyle w:val="ListParagraph"/>
        <w:numPr>
          <w:ilvl w:val="0"/>
          <w:numId w:val="214"/>
        </w:numPr>
        <w:spacing w:before="120" w:after="120" w:line="240" w:lineRule="auto"/>
        <w:ind w:left="567" w:hanging="567"/>
        <w:rPr>
          <w:rFonts w:ascii="Cambria" w:hAnsi="Cambria"/>
        </w:rPr>
      </w:pPr>
      <w:r w:rsidRPr="009A0DA6">
        <w:rPr>
          <w:rFonts w:ascii="Cambria" w:hAnsi="Cambria"/>
        </w:rPr>
        <w:t>Transitioning from a board to a committee and being directly connected to other mission departments of the LCA has been a challenge and rewarding.</w:t>
      </w:r>
    </w:p>
    <w:p w14:paraId="1C706B8B" w14:textId="77777777" w:rsidR="0054360D" w:rsidRPr="009A0DA6" w:rsidRDefault="0054360D" w:rsidP="0054360D">
      <w:pPr>
        <w:pStyle w:val="Heading3"/>
      </w:pPr>
      <w:r w:rsidRPr="009A0DA6">
        <w:t>Risks</w:t>
      </w:r>
    </w:p>
    <w:tbl>
      <w:tblPr>
        <w:tblStyle w:val="PlainTable2"/>
        <w:tblW w:w="8505" w:type="dxa"/>
        <w:tblLook w:val="04A0" w:firstRow="1" w:lastRow="0" w:firstColumn="1" w:lastColumn="0" w:noHBand="0" w:noVBand="1"/>
      </w:tblPr>
      <w:tblGrid>
        <w:gridCol w:w="2835"/>
        <w:gridCol w:w="2835"/>
        <w:gridCol w:w="2835"/>
      </w:tblGrid>
      <w:tr w:rsidR="0054360D" w:rsidRPr="009A0DA6" w14:paraId="4746E06B" w14:textId="77777777" w:rsidTr="00AD09CB">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835" w:type="dxa"/>
            <w:vAlign w:val="center"/>
            <w:hideMark/>
          </w:tcPr>
          <w:p w14:paraId="1FDA7091" w14:textId="77777777" w:rsidR="0054360D" w:rsidRPr="009A0DA6" w:rsidRDefault="0054360D" w:rsidP="00F427BC">
            <w:pPr>
              <w:spacing w:before="120" w:after="120"/>
              <w:contextualSpacing/>
              <w:rPr>
                <w:rFonts w:ascii="Cambria" w:hAnsi="Cambria" w:cs="Arial"/>
              </w:rPr>
            </w:pPr>
            <w:r w:rsidRPr="009A0DA6">
              <w:rPr>
                <w:rFonts w:ascii="Cambria" w:hAnsi="Cambria" w:cs="Arial"/>
              </w:rPr>
              <w:t>Description of risk</w:t>
            </w:r>
          </w:p>
        </w:tc>
        <w:tc>
          <w:tcPr>
            <w:tcW w:w="2835" w:type="dxa"/>
            <w:vAlign w:val="center"/>
            <w:hideMark/>
          </w:tcPr>
          <w:p w14:paraId="1A1D1F94" w14:textId="77777777" w:rsidR="0054360D" w:rsidRPr="009A0DA6" w:rsidRDefault="0054360D" w:rsidP="00F427BC">
            <w:pPr>
              <w:spacing w:before="120" w:after="120"/>
              <w:contextualSpacing/>
              <w:cnfStyle w:val="100000000000" w:firstRow="1"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Likelihood of risk occurring and potential impact for the ministry and LCA</w:t>
            </w:r>
          </w:p>
        </w:tc>
        <w:tc>
          <w:tcPr>
            <w:tcW w:w="2835" w:type="dxa"/>
            <w:vAlign w:val="center"/>
            <w:hideMark/>
          </w:tcPr>
          <w:p w14:paraId="6A512D61" w14:textId="77777777" w:rsidR="0054360D" w:rsidRPr="009A0DA6" w:rsidRDefault="0054360D" w:rsidP="00F427BC">
            <w:pPr>
              <w:spacing w:before="120" w:after="120"/>
              <w:contextualSpacing/>
              <w:cnfStyle w:val="100000000000" w:firstRow="1"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Summary of action to mitigate the risk</w:t>
            </w:r>
          </w:p>
        </w:tc>
      </w:tr>
      <w:tr w:rsidR="0054360D" w:rsidRPr="009A0DA6" w14:paraId="41F7ECFD" w14:textId="77777777" w:rsidTr="00AD09CB">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835" w:type="dxa"/>
            <w:hideMark/>
          </w:tcPr>
          <w:p w14:paraId="051C3E38" w14:textId="77777777" w:rsidR="0054360D" w:rsidRPr="009A0DA6" w:rsidRDefault="0054360D" w:rsidP="00AD09CB">
            <w:pPr>
              <w:widowControl w:val="0"/>
              <w:suppressAutoHyphens/>
              <w:spacing w:before="120" w:after="120"/>
              <w:ind w:left="360"/>
              <w:contextualSpacing/>
              <w:rPr>
                <w:rFonts w:ascii="Cambria" w:hAnsi="Cambria" w:cs="Arial"/>
                <w:b w:val="0"/>
              </w:rPr>
            </w:pPr>
            <w:r w:rsidRPr="009A0DA6">
              <w:rPr>
                <w:rFonts w:ascii="Cambria" w:hAnsi="Cambria" w:cs="Arial"/>
              </w:rPr>
              <w:t>Financial – loss of support</w:t>
            </w:r>
          </w:p>
        </w:tc>
        <w:tc>
          <w:tcPr>
            <w:tcW w:w="2835" w:type="dxa"/>
            <w:hideMark/>
          </w:tcPr>
          <w:p w14:paraId="278B998D" w14:textId="77777777" w:rsidR="0054360D" w:rsidRPr="009A0DA6" w:rsidRDefault="0054360D" w:rsidP="00AD09CB">
            <w:pPr>
              <w:spacing w:before="120" w:after="120"/>
              <w:contextualSpacing/>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Medium likelihood. High impact.</w:t>
            </w:r>
          </w:p>
        </w:tc>
        <w:tc>
          <w:tcPr>
            <w:tcW w:w="2835" w:type="dxa"/>
            <w:hideMark/>
          </w:tcPr>
          <w:p w14:paraId="318E7A55" w14:textId="18865F89" w:rsidR="0054360D" w:rsidRPr="009A0DA6" w:rsidRDefault="00DA6FB3" w:rsidP="00AD09CB">
            <w:pPr>
              <w:spacing w:before="120" w:after="120"/>
              <w:contextualSpacing/>
              <w:cnfStyle w:val="000000100000" w:firstRow="0" w:lastRow="0" w:firstColumn="0" w:lastColumn="0" w:oddVBand="0" w:evenVBand="0" w:oddHBand="1" w:evenHBand="0" w:firstRowFirstColumn="0" w:firstRowLastColumn="0" w:lastRowFirstColumn="0" w:lastRowLastColumn="0"/>
              <w:rPr>
                <w:rFonts w:ascii="Cambria" w:hAnsi="Cambria" w:cs="Arial"/>
              </w:rPr>
            </w:pPr>
            <w:r>
              <w:rPr>
                <w:rFonts w:ascii="Cambria" w:hAnsi="Cambria" w:cs="Arial"/>
              </w:rPr>
              <w:t>Regular appeals and</w:t>
            </w:r>
            <w:r w:rsidR="0054360D" w:rsidRPr="009A0DA6">
              <w:rPr>
                <w:rFonts w:ascii="Cambria" w:hAnsi="Cambria" w:cs="Arial"/>
              </w:rPr>
              <w:t xml:space="preserve"> diversify funding base</w:t>
            </w:r>
          </w:p>
        </w:tc>
      </w:tr>
      <w:tr w:rsidR="0054360D" w:rsidRPr="009A0DA6" w14:paraId="672B4906" w14:textId="77777777" w:rsidTr="00AD09CB">
        <w:trPr>
          <w:trHeight w:val="267"/>
        </w:trPr>
        <w:tc>
          <w:tcPr>
            <w:cnfStyle w:val="001000000000" w:firstRow="0" w:lastRow="0" w:firstColumn="1" w:lastColumn="0" w:oddVBand="0" w:evenVBand="0" w:oddHBand="0" w:evenHBand="0" w:firstRowFirstColumn="0" w:firstRowLastColumn="0" w:lastRowFirstColumn="0" w:lastRowLastColumn="0"/>
            <w:tcW w:w="2835" w:type="dxa"/>
            <w:hideMark/>
          </w:tcPr>
          <w:p w14:paraId="5F4B8524" w14:textId="77777777" w:rsidR="0054360D" w:rsidRPr="009A0DA6" w:rsidRDefault="0054360D" w:rsidP="00AD09CB">
            <w:pPr>
              <w:widowControl w:val="0"/>
              <w:suppressAutoHyphens/>
              <w:spacing w:before="120" w:after="120"/>
              <w:ind w:left="360"/>
              <w:contextualSpacing/>
              <w:rPr>
                <w:rFonts w:ascii="Cambria" w:hAnsi="Cambria" w:cs="Arial"/>
              </w:rPr>
            </w:pPr>
            <w:r w:rsidRPr="009A0DA6">
              <w:rPr>
                <w:rFonts w:ascii="Cambria" w:hAnsi="Cambria" w:cs="Arial"/>
              </w:rPr>
              <w:t>Reputation damage</w:t>
            </w:r>
          </w:p>
        </w:tc>
        <w:tc>
          <w:tcPr>
            <w:tcW w:w="2835" w:type="dxa"/>
            <w:hideMark/>
          </w:tcPr>
          <w:p w14:paraId="6F3FB11C" w14:textId="77777777" w:rsidR="0054360D" w:rsidRPr="009A0DA6" w:rsidRDefault="0054360D" w:rsidP="00AD09CB">
            <w:pPr>
              <w:spacing w:before="120" w:after="120"/>
              <w:contextualSpacing/>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Medium likelihood. High impact.</w:t>
            </w:r>
          </w:p>
        </w:tc>
        <w:tc>
          <w:tcPr>
            <w:tcW w:w="2835" w:type="dxa"/>
            <w:hideMark/>
          </w:tcPr>
          <w:p w14:paraId="797A62C0" w14:textId="721464CD" w:rsidR="0054360D" w:rsidRPr="009A0DA6" w:rsidRDefault="00DA6FB3" w:rsidP="00AD09CB">
            <w:pPr>
              <w:spacing w:before="120" w:after="120"/>
              <w:contextualSpacing/>
              <w:cnfStyle w:val="000000000000" w:firstRow="0" w:lastRow="0" w:firstColumn="0" w:lastColumn="0" w:oddVBand="0" w:evenVBand="0" w:oddHBand="0" w:evenHBand="0" w:firstRowFirstColumn="0" w:firstRowLastColumn="0" w:lastRowFirstColumn="0" w:lastRowLastColumn="0"/>
              <w:rPr>
                <w:rFonts w:ascii="Cambria" w:hAnsi="Cambria" w:cs="Arial"/>
              </w:rPr>
            </w:pPr>
            <w:r>
              <w:rPr>
                <w:rFonts w:ascii="Cambria" w:hAnsi="Cambria" w:cs="Arial"/>
              </w:rPr>
              <w:t>Regular study on Lutheran t</w:t>
            </w:r>
            <w:r w:rsidR="0054360D" w:rsidRPr="009A0DA6">
              <w:rPr>
                <w:rFonts w:ascii="Cambria" w:hAnsi="Cambria" w:cs="Arial"/>
              </w:rPr>
              <w:t>heology and social context and issues.</w:t>
            </w:r>
          </w:p>
        </w:tc>
      </w:tr>
      <w:tr w:rsidR="0054360D" w:rsidRPr="009A0DA6" w14:paraId="3DE3C932" w14:textId="77777777" w:rsidTr="00AD09CB">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835" w:type="dxa"/>
            <w:hideMark/>
          </w:tcPr>
          <w:p w14:paraId="029D4CF7" w14:textId="77777777" w:rsidR="0054360D" w:rsidRPr="009A0DA6" w:rsidRDefault="0054360D" w:rsidP="00AD09CB">
            <w:pPr>
              <w:widowControl w:val="0"/>
              <w:suppressAutoHyphens/>
              <w:spacing w:before="120" w:after="120"/>
              <w:ind w:left="360"/>
              <w:contextualSpacing/>
              <w:rPr>
                <w:rFonts w:ascii="Cambria" w:hAnsi="Cambria" w:cs="Arial"/>
              </w:rPr>
            </w:pPr>
            <w:r w:rsidRPr="009A0DA6">
              <w:rPr>
                <w:rFonts w:ascii="Cambria" w:hAnsi="Cambria" w:cs="Arial"/>
              </w:rPr>
              <w:t>Loss of Personnel</w:t>
            </w:r>
          </w:p>
        </w:tc>
        <w:tc>
          <w:tcPr>
            <w:tcW w:w="2835" w:type="dxa"/>
            <w:hideMark/>
          </w:tcPr>
          <w:p w14:paraId="679E54C7" w14:textId="77777777" w:rsidR="0054360D" w:rsidRPr="009A0DA6" w:rsidRDefault="0054360D" w:rsidP="00AD09CB">
            <w:pPr>
              <w:spacing w:before="120" w:after="120"/>
              <w:contextualSpacing/>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Medium likelihood. Medium impact.</w:t>
            </w:r>
          </w:p>
        </w:tc>
        <w:tc>
          <w:tcPr>
            <w:tcW w:w="2835" w:type="dxa"/>
            <w:hideMark/>
          </w:tcPr>
          <w:p w14:paraId="40274736" w14:textId="77777777" w:rsidR="0054360D" w:rsidRPr="009A0DA6" w:rsidRDefault="0054360D" w:rsidP="00AD09CB">
            <w:pPr>
              <w:spacing w:before="120" w:after="120"/>
              <w:contextualSpacing/>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Regular support. Develop back up personnel.</w:t>
            </w:r>
          </w:p>
        </w:tc>
      </w:tr>
    </w:tbl>
    <w:p w14:paraId="66AA5030" w14:textId="77777777" w:rsidR="0054360D" w:rsidRPr="009A0DA6" w:rsidRDefault="0054360D" w:rsidP="0054360D">
      <w:pPr>
        <w:spacing w:before="120" w:after="120" w:line="240" w:lineRule="auto"/>
        <w:contextualSpacing/>
        <w:rPr>
          <w:rFonts w:ascii="Cambria" w:hAnsi="Cambria"/>
          <w:b/>
        </w:rPr>
      </w:pPr>
    </w:p>
    <w:p w14:paraId="2ED33727" w14:textId="77777777" w:rsidR="0054360D" w:rsidRPr="009A0DA6" w:rsidRDefault="0054360D" w:rsidP="0054360D">
      <w:pPr>
        <w:pStyle w:val="Heading3"/>
        <w:rPr>
          <w:rFonts w:cstheme="minorBidi"/>
          <w:sz w:val="22"/>
          <w:szCs w:val="22"/>
          <w:lang w:val="en-US" w:eastAsia="ja-JP"/>
        </w:rPr>
      </w:pPr>
      <w:r w:rsidRPr="009A0DA6">
        <w:t xml:space="preserve">Alignment to LCA Strategic Direction </w:t>
      </w:r>
      <w:r>
        <w:t>2013–2018</w:t>
      </w:r>
    </w:p>
    <w:p w14:paraId="77F7945A" w14:textId="77777777" w:rsidR="0054360D" w:rsidRPr="009A0DA6" w:rsidRDefault="0054360D" w:rsidP="0054360D">
      <w:pPr>
        <w:spacing w:before="120" w:after="120" w:line="240" w:lineRule="auto"/>
        <w:contextualSpacing/>
        <w:rPr>
          <w:rFonts w:ascii="Cambria" w:hAnsi="Cambria"/>
          <w:b/>
        </w:rPr>
      </w:pPr>
      <w:r w:rsidRPr="009A0DA6">
        <w:rPr>
          <w:rFonts w:ascii="Cambria" w:hAnsi="Cambria"/>
          <w:b/>
        </w:rPr>
        <w:t>1. Grow as God’s people</w:t>
      </w:r>
    </w:p>
    <w:p w14:paraId="700341F2" w14:textId="77777777" w:rsidR="0054360D" w:rsidRPr="009A0DA6" w:rsidRDefault="0054360D" w:rsidP="00F55252">
      <w:pPr>
        <w:pStyle w:val="ListParagraph"/>
        <w:numPr>
          <w:ilvl w:val="0"/>
          <w:numId w:val="215"/>
        </w:numPr>
        <w:spacing w:before="120" w:after="120" w:line="240" w:lineRule="auto"/>
        <w:ind w:left="567" w:hanging="567"/>
        <w:rPr>
          <w:rFonts w:ascii="Cambria" w:hAnsi="Cambria"/>
        </w:rPr>
      </w:pPr>
      <w:r w:rsidRPr="009A0DA6">
        <w:rPr>
          <w:rFonts w:ascii="Cambria" w:hAnsi="Cambria"/>
        </w:rPr>
        <w:t>Lutheran Media works with congregations to provide worship DVDs and Livestream worship services to reach and nurture people in their worship and faith life. Radio and internet content (Messages of Hope) ministers to people.</w:t>
      </w:r>
    </w:p>
    <w:p w14:paraId="4805C77E" w14:textId="77777777" w:rsidR="0054360D" w:rsidRPr="009A0DA6" w:rsidRDefault="0054360D" w:rsidP="0054360D">
      <w:pPr>
        <w:spacing w:before="120" w:after="120" w:line="240" w:lineRule="auto"/>
        <w:contextualSpacing/>
        <w:rPr>
          <w:rFonts w:ascii="Cambria" w:hAnsi="Cambria"/>
          <w:b/>
        </w:rPr>
      </w:pPr>
      <w:r w:rsidRPr="005F21CD">
        <w:rPr>
          <w:rFonts w:ascii="Cambria" w:hAnsi="Cambria"/>
          <w:b/>
          <w:sz w:val="2"/>
        </w:rPr>
        <w:lastRenderedPageBreak/>
        <w:br/>
      </w:r>
      <w:r w:rsidRPr="005F21CD">
        <w:rPr>
          <w:rFonts w:ascii="Cambria" w:hAnsi="Cambria"/>
          <w:b/>
        </w:rPr>
        <w:t>2</w:t>
      </w:r>
      <w:r w:rsidRPr="009A0DA6">
        <w:rPr>
          <w:rFonts w:ascii="Cambria" w:hAnsi="Cambria"/>
          <w:b/>
        </w:rPr>
        <w:t>. Go as God’s People</w:t>
      </w:r>
    </w:p>
    <w:p w14:paraId="20C2F9E0" w14:textId="77777777" w:rsidR="0054360D" w:rsidRPr="009A0DA6" w:rsidRDefault="0054360D" w:rsidP="00F55252">
      <w:pPr>
        <w:pStyle w:val="ListParagraph"/>
        <w:numPr>
          <w:ilvl w:val="0"/>
          <w:numId w:val="215"/>
        </w:numPr>
        <w:spacing w:before="120" w:after="120" w:line="240" w:lineRule="auto"/>
        <w:ind w:left="567" w:hanging="567"/>
        <w:rPr>
          <w:rFonts w:ascii="Cambria" w:hAnsi="Cambria"/>
        </w:rPr>
      </w:pPr>
      <w:r w:rsidRPr="009A0DA6">
        <w:rPr>
          <w:rFonts w:ascii="Cambria" w:hAnsi="Cambria"/>
        </w:rPr>
        <w:t>Lutheran Media produces outreach resources and are distributed on behalf of our supporters and the LCA. These resources are also available for them to use and distribute.</w:t>
      </w:r>
    </w:p>
    <w:p w14:paraId="72F8DCB1" w14:textId="77777777" w:rsidR="0054360D" w:rsidRPr="009A0DA6" w:rsidRDefault="0054360D" w:rsidP="00F55252">
      <w:pPr>
        <w:pStyle w:val="ListParagraph"/>
        <w:numPr>
          <w:ilvl w:val="0"/>
          <w:numId w:val="215"/>
        </w:numPr>
        <w:spacing w:before="120" w:after="120" w:line="240" w:lineRule="auto"/>
        <w:ind w:left="567" w:hanging="567"/>
        <w:rPr>
          <w:rFonts w:ascii="Cambria" w:hAnsi="Cambria"/>
        </w:rPr>
      </w:pPr>
      <w:r w:rsidRPr="009A0DA6">
        <w:rPr>
          <w:rFonts w:ascii="Cambria" w:hAnsi="Cambria"/>
        </w:rPr>
        <w:t>Lutheran Media visit congregations and groups regularly to preach and encourage a mission culture in the LCA.</w:t>
      </w:r>
    </w:p>
    <w:p w14:paraId="503755BB" w14:textId="77777777" w:rsidR="0054360D" w:rsidRPr="009A0DA6" w:rsidRDefault="0054360D" w:rsidP="00F55252">
      <w:pPr>
        <w:pStyle w:val="ListParagraph"/>
        <w:numPr>
          <w:ilvl w:val="0"/>
          <w:numId w:val="215"/>
        </w:numPr>
        <w:spacing w:before="120" w:after="120" w:line="240" w:lineRule="auto"/>
        <w:ind w:left="567" w:hanging="567"/>
        <w:rPr>
          <w:rFonts w:ascii="Cambria" w:hAnsi="Cambria"/>
        </w:rPr>
      </w:pPr>
      <w:r w:rsidRPr="009A0DA6">
        <w:rPr>
          <w:rFonts w:ascii="Cambria" w:hAnsi="Cambria"/>
        </w:rPr>
        <w:t>Lutheran Media provides mission resources and messages for leaders in the LCA. We engage in regular meetings to encourage, inspire and learn together to reach out to people with the good news of Jesus Christ.</w:t>
      </w:r>
    </w:p>
    <w:p w14:paraId="75E0C245" w14:textId="77777777" w:rsidR="0054360D" w:rsidRPr="009A0DA6" w:rsidRDefault="0054360D" w:rsidP="00F55252">
      <w:pPr>
        <w:pStyle w:val="ListParagraph"/>
        <w:numPr>
          <w:ilvl w:val="0"/>
          <w:numId w:val="215"/>
        </w:numPr>
        <w:spacing w:before="120" w:after="120" w:line="240" w:lineRule="auto"/>
        <w:ind w:left="567" w:hanging="567"/>
        <w:rPr>
          <w:rFonts w:ascii="Cambria" w:hAnsi="Cambria"/>
        </w:rPr>
      </w:pPr>
      <w:r w:rsidRPr="009A0DA6">
        <w:rPr>
          <w:rFonts w:ascii="Cambria" w:hAnsi="Cambria"/>
        </w:rPr>
        <w:t>Lutheran Media provides modern and relevant resources and messages for communities in their mission fields. This includes the use of radio and the internet. Podcasts, videos and booklets are produced for communities to use and share.</w:t>
      </w:r>
    </w:p>
    <w:p w14:paraId="4A89BB04" w14:textId="77777777" w:rsidR="0054360D" w:rsidRPr="009A0DA6" w:rsidRDefault="0054360D" w:rsidP="00F55252">
      <w:pPr>
        <w:pStyle w:val="ListParagraph"/>
        <w:numPr>
          <w:ilvl w:val="0"/>
          <w:numId w:val="215"/>
        </w:numPr>
        <w:spacing w:before="120" w:after="120" w:line="240" w:lineRule="auto"/>
        <w:ind w:left="567" w:hanging="567"/>
        <w:rPr>
          <w:rFonts w:ascii="Cambria" w:hAnsi="Cambria"/>
        </w:rPr>
      </w:pPr>
      <w:r w:rsidRPr="009A0DA6">
        <w:rPr>
          <w:rFonts w:ascii="Cambria" w:hAnsi="Cambria"/>
        </w:rPr>
        <w:t>Lutheran Media continually researches and reviews contemporary media to determine how the gospel may be spread by such means. This includes social media, mobile technology such as Apps, internet outreach such as Google AdWords, modern radio methods.</w:t>
      </w:r>
    </w:p>
    <w:p w14:paraId="20D85C4D" w14:textId="77777777" w:rsidR="0054360D" w:rsidRPr="009A0DA6" w:rsidRDefault="0054360D" w:rsidP="00F55252">
      <w:pPr>
        <w:pStyle w:val="ListParagraph"/>
        <w:numPr>
          <w:ilvl w:val="0"/>
          <w:numId w:val="215"/>
        </w:numPr>
        <w:spacing w:before="120" w:after="120" w:line="240" w:lineRule="auto"/>
        <w:ind w:left="567" w:hanging="567"/>
        <w:rPr>
          <w:rFonts w:ascii="Cambria" w:hAnsi="Cambria"/>
        </w:rPr>
      </w:pPr>
      <w:r w:rsidRPr="009A0DA6">
        <w:rPr>
          <w:rFonts w:ascii="Cambria" w:hAnsi="Cambria"/>
        </w:rPr>
        <w:t>Lutheran Media supports new mission fields with outreach messages through media and engages local congregations. Lutheran Media is on commercial media which enables us to reach audiences who do not know the good news of Jesus Christ or are even looking for him. Lutheran Media follows up with audience responses and refers them to their local Lutheran church.</w:t>
      </w:r>
    </w:p>
    <w:p w14:paraId="2759B344" w14:textId="77777777" w:rsidR="0054360D" w:rsidRPr="009A0DA6" w:rsidRDefault="0054360D" w:rsidP="00F55252">
      <w:pPr>
        <w:pStyle w:val="ListParagraph"/>
        <w:numPr>
          <w:ilvl w:val="0"/>
          <w:numId w:val="215"/>
        </w:numPr>
        <w:spacing w:before="120" w:after="120" w:line="240" w:lineRule="auto"/>
        <w:ind w:left="567" w:hanging="567"/>
        <w:rPr>
          <w:rFonts w:ascii="Cambria" w:hAnsi="Cambria"/>
        </w:rPr>
      </w:pPr>
      <w:r w:rsidRPr="009A0DA6">
        <w:rPr>
          <w:rFonts w:ascii="Cambria" w:hAnsi="Cambria"/>
        </w:rPr>
        <w:t>Lutheran Media encourages and supports existing communities with resources, advice, and messages to help with their mission.</w:t>
      </w:r>
    </w:p>
    <w:p w14:paraId="373F0182" w14:textId="77777777" w:rsidR="0054360D" w:rsidRPr="009A0DA6" w:rsidRDefault="0054360D" w:rsidP="00F55252">
      <w:pPr>
        <w:pStyle w:val="ListParagraph"/>
        <w:numPr>
          <w:ilvl w:val="0"/>
          <w:numId w:val="215"/>
        </w:numPr>
        <w:spacing w:before="120" w:after="120" w:line="240" w:lineRule="auto"/>
        <w:ind w:left="567" w:hanging="567"/>
        <w:rPr>
          <w:rFonts w:ascii="Cambria" w:hAnsi="Cambria"/>
        </w:rPr>
      </w:pPr>
      <w:r w:rsidRPr="009A0DA6">
        <w:rPr>
          <w:rFonts w:ascii="Cambria" w:hAnsi="Cambria"/>
        </w:rPr>
        <w:t>Lutheran Media has partnerships with Lutheran Hour Ministries and works with the LCA International Mission to provide outreach messages and resources into Asia, Africa, and America.</w:t>
      </w:r>
    </w:p>
    <w:p w14:paraId="0729AED9" w14:textId="77777777" w:rsidR="0054360D" w:rsidRPr="009A0DA6" w:rsidRDefault="0054360D" w:rsidP="0054360D">
      <w:pPr>
        <w:pStyle w:val="Heading3"/>
      </w:pPr>
      <w:r w:rsidRPr="009A0DA6">
        <w:t>Cooperating LCA Boards and Agencies</w:t>
      </w:r>
    </w:p>
    <w:tbl>
      <w:tblPr>
        <w:tblStyle w:val="PlainTable2"/>
        <w:tblW w:w="0" w:type="auto"/>
        <w:tblLook w:val="04A0" w:firstRow="1" w:lastRow="0" w:firstColumn="1" w:lastColumn="0" w:noHBand="0" w:noVBand="1"/>
      </w:tblPr>
      <w:tblGrid>
        <w:gridCol w:w="3686"/>
        <w:gridCol w:w="4961"/>
      </w:tblGrid>
      <w:tr w:rsidR="0054360D" w:rsidRPr="009A0DA6" w14:paraId="0F4C8537" w14:textId="77777777" w:rsidTr="005F21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65256D68" w14:textId="77777777" w:rsidR="0054360D" w:rsidRPr="009A0DA6" w:rsidRDefault="0054360D" w:rsidP="005F21CD">
            <w:pPr>
              <w:contextualSpacing/>
              <w:rPr>
                <w:rFonts w:ascii="Cambria" w:hAnsi="Cambria" w:cs="Arial"/>
              </w:rPr>
            </w:pPr>
            <w:r w:rsidRPr="009A0DA6">
              <w:rPr>
                <w:rFonts w:ascii="Cambria" w:hAnsi="Cambria" w:cs="Arial"/>
              </w:rPr>
              <w:t>LCA Communications</w:t>
            </w:r>
          </w:p>
        </w:tc>
        <w:tc>
          <w:tcPr>
            <w:tcW w:w="4961" w:type="dxa"/>
            <w:hideMark/>
          </w:tcPr>
          <w:p w14:paraId="67E31FEC" w14:textId="77777777" w:rsidR="0054360D" w:rsidRPr="009A0DA6" w:rsidRDefault="0054360D" w:rsidP="005F21CD">
            <w:pPr>
              <w:contextualSpacing/>
              <w:cnfStyle w:val="100000000000" w:firstRow="1"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b w:val="0"/>
              </w:rPr>
              <w:t>Design, communication, and distribution of content and resources.</w:t>
            </w:r>
          </w:p>
        </w:tc>
      </w:tr>
      <w:tr w:rsidR="0054360D" w:rsidRPr="009A0DA6" w14:paraId="21EBF544" w14:textId="77777777" w:rsidTr="005F21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059F58B7" w14:textId="77777777" w:rsidR="0054360D" w:rsidRPr="009A0DA6" w:rsidRDefault="0054360D" w:rsidP="005F21CD">
            <w:pPr>
              <w:contextualSpacing/>
              <w:rPr>
                <w:rFonts w:ascii="Cambria" w:hAnsi="Cambria" w:cs="Arial"/>
              </w:rPr>
            </w:pPr>
            <w:r w:rsidRPr="009A0DA6">
              <w:rPr>
                <w:rFonts w:ascii="Cambria" w:hAnsi="Cambria" w:cs="Arial"/>
              </w:rPr>
              <w:t>Board for International Mission</w:t>
            </w:r>
          </w:p>
        </w:tc>
        <w:tc>
          <w:tcPr>
            <w:tcW w:w="4961" w:type="dxa"/>
          </w:tcPr>
          <w:p w14:paraId="4D1B0DC4" w14:textId="77777777" w:rsidR="0054360D" w:rsidRPr="009A0DA6" w:rsidRDefault="0054360D" w:rsidP="005F21CD">
            <w:pPr>
              <w:contextualSpacing/>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Cooperation with LHM in Asia and Africa</w:t>
            </w:r>
          </w:p>
        </w:tc>
      </w:tr>
      <w:tr w:rsidR="0054360D" w:rsidRPr="009A0DA6" w14:paraId="65C40688" w14:textId="77777777" w:rsidTr="005F21CD">
        <w:tc>
          <w:tcPr>
            <w:cnfStyle w:val="001000000000" w:firstRow="0" w:lastRow="0" w:firstColumn="1" w:lastColumn="0" w:oddVBand="0" w:evenVBand="0" w:oddHBand="0" w:evenHBand="0" w:firstRowFirstColumn="0" w:firstRowLastColumn="0" w:lastRowFirstColumn="0" w:lastRowLastColumn="0"/>
            <w:tcW w:w="3686" w:type="dxa"/>
          </w:tcPr>
          <w:p w14:paraId="742CFC1B" w14:textId="4E3CC7DC" w:rsidR="0054360D" w:rsidRPr="009A0DA6" w:rsidRDefault="0054360D" w:rsidP="005F21CD">
            <w:pPr>
              <w:contextualSpacing/>
              <w:rPr>
                <w:rFonts w:ascii="Cambria" w:hAnsi="Cambria" w:cs="Arial"/>
              </w:rPr>
            </w:pPr>
            <w:r w:rsidRPr="009A0DA6">
              <w:rPr>
                <w:rFonts w:ascii="Cambria" w:hAnsi="Cambria" w:cs="Arial"/>
              </w:rPr>
              <w:t xml:space="preserve">Board </w:t>
            </w:r>
            <w:r w:rsidR="005F21CD">
              <w:rPr>
                <w:rFonts w:ascii="Cambria" w:hAnsi="Cambria" w:cs="Arial"/>
              </w:rPr>
              <w:t>for Lutheran Aged Care</w:t>
            </w:r>
          </w:p>
        </w:tc>
        <w:tc>
          <w:tcPr>
            <w:tcW w:w="4961" w:type="dxa"/>
          </w:tcPr>
          <w:p w14:paraId="7CD07FCE" w14:textId="77777777" w:rsidR="0054360D" w:rsidRPr="009A0DA6" w:rsidRDefault="0054360D" w:rsidP="005F21CD">
            <w:pPr>
              <w:contextualSpacing/>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Dementia outreach resources</w:t>
            </w:r>
          </w:p>
        </w:tc>
      </w:tr>
      <w:tr w:rsidR="0054360D" w:rsidRPr="009A0DA6" w14:paraId="596AC935" w14:textId="77777777" w:rsidTr="005F21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2C3B839F" w14:textId="77777777" w:rsidR="0054360D" w:rsidRPr="009A0DA6" w:rsidRDefault="0054360D" w:rsidP="005F21CD">
            <w:pPr>
              <w:contextualSpacing/>
              <w:rPr>
                <w:rFonts w:ascii="Cambria" w:hAnsi="Cambria" w:cs="Arial"/>
              </w:rPr>
            </w:pPr>
            <w:r w:rsidRPr="009A0DA6">
              <w:rPr>
                <w:rFonts w:ascii="Cambria" w:hAnsi="Cambria" w:cs="Arial"/>
              </w:rPr>
              <w:t>Grow Ministries</w:t>
            </w:r>
          </w:p>
          <w:p w14:paraId="02353A0A" w14:textId="77777777" w:rsidR="0054360D" w:rsidRPr="009A0DA6" w:rsidRDefault="0054360D" w:rsidP="005F21CD">
            <w:pPr>
              <w:contextualSpacing/>
              <w:rPr>
                <w:rFonts w:ascii="Cambria" w:hAnsi="Cambria" w:cs="Arial"/>
              </w:rPr>
            </w:pPr>
          </w:p>
        </w:tc>
        <w:tc>
          <w:tcPr>
            <w:tcW w:w="4961" w:type="dxa"/>
          </w:tcPr>
          <w:p w14:paraId="4F004BDA" w14:textId="77777777" w:rsidR="0054360D" w:rsidRPr="009A0DA6" w:rsidRDefault="0054360D" w:rsidP="005F21CD">
            <w:pPr>
              <w:contextualSpacing/>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Happyland outreach resources, Round the Table discussion starters</w:t>
            </w:r>
          </w:p>
        </w:tc>
      </w:tr>
      <w:tr w:rsidR="0054360D" w:rsidRPr="009A0DA6" w14:paraId="1FD7B247" w14:textId="77777777" w:rsidTr="005F21CD">
        <w:tc>
          <w:tcPr>
            <w:cnfStyle w:val="001000000000" w:firstRow="0" w:lastRow="0" w:firstColumn="1" w:lastColumn="0" w:oddVBand="0" w:evenVBand="0" w:oddHBand="0" w:evenHBand="0" w:firstRowFirstColumn="0" w:firstRowLastColumn="0" w:lastRowFirstColumn="0" w:lastRowLastColumn="0"/>
            <w:tcW w:w="3686" w:type="dxa"/>
          </w:tcPr>
          <w:p w14:paraId="70B5CD05" w14:textId="25DAB348" w:rsidR="0054360D" w:rsidRPr="009A0DA6" w:rsidRDefault="005F21CD" w:rsidP="005F21CD">
            <w:pPr>
              <w:contextualSpacing/>
              <w:rPr>
                <w:rFonts w:ascii="Cambria" w:hAnsi="Cambria" w:cs="Arial"/>
              </w:rPr>
            </w:pPr>
            <w:r>
              <w:rPr>
                <w:rFonts w:ascii="Cambria" w:hAnsi="Cambria" w:cs="Arial"/>
              </w:rPr>
              <w:t>Lutheran Community Care SA/NT</w:t>
            </w:r>
          </w:p>
        </w:tc>
        <w:tc>
          <w:tcPr>
            <w:tcW w:w="4961" w:type="dxa"/>
          </w:tcPr>
          <w:p w14:paraId="09871FB2" w14:textId="77777777" w:rsidR="0054360D" w:rsidRPr="009A0DA6" w:rsidRDefault="0054360D" w:rsidP="005F21CD">
            <w:pPr>
              <w:contextualSpacing/>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Interviewees and resources for radio programs</w:t>
            </w:r>
          </w:p>
        </w:tc>
      </w:tr>
      <w:tr w:rsidR="0054360D" w:rsidRPr="009A0DA6" w14:paraId="2DBAD443" w14:textId="77777777" w:rsidTr="005F21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30DF13A1" w14:textId="77777777" w:rsidR="0054360D" w:rsidRPr="009A0DA6" w:rsidRDefault="0054360D" w:rsidP="005F21CD">
            <w:pPr>
              <w:contextualSpacing/>
              <w:rPr>
                <w:rFonts w:ascii="Cambria" w:hAnsi="Cambria" w:cs="Arial"/>
              </w:rPr>
            </w:pPr>
            <w:r w:rsidRPr="009A0DA6">
              <w:rPr>
                <w:rFonts w:ascii="Cambria" w:hAnsi="Cambria" w:cs="Arial"/>
              </w:rPr>
              <w:t>LCNZ</w:t>
            </w:r>
          </w:p>
        </w:tc>
        <w:tc>
          <w:tcPr>
            <w:tcW w:w="4961" w:type="dxa"/>
          </w:tcPr>
          <w:p w14:paraId="7900C60D" w14:textId="77777777" w:rsidR="0054360D" w:rsidRPr="009A0DA6" w:rsidRDefault="0054360D" w:rsidP="005F21CD">
            <w:pPr>
              <w:contextualSpacing/>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Messages of hope in NZ</w:t>
            </w:r>
          </w:p>
        </w:tc>
      </w:tr>
      <w:tr w:rsidR="0054360D" w:rsidRPr="009A0DA6" w14:paraId="690FA9E4" w14:textId="77777777" w:rsidTr="005F21CD">
        <w:tc>
          <w:tcPr>
            <w:cnfStyle w:val="001000000000" w:firstRow="0" w:lastRow="0" w:firstColumn="1" w:lastColumn="0" w:oddVBand="0" w:evenVBand="0" w:oddHBand="0" w:evenHBand="0" w:firstRowFirstColumn="0" w:firstRowLastColumn="0" w:lastRowFirstColumn="0" w:lastRowLastColumn="0"/>
            <w:tcW w:w="3686" w:type="dxa"/>
          </w:tcPr>
          <w:p w14:paraId="736DEBC6" w14:textId="77777777" w:rsidR="0054360D" w:rsidRPr="009A0DA6" w:rsidRDefault="0054360D" w:rsidP="005F21CD">
            <w:pPr>
              <w:contextualSpacing/>
              <w:rPr>
                <w:rFonts w:ascii="Cambria" w:hAnsi="Cambria" w:cs="Arial"/>
              </w:rPr>
            </w:pPr>
            <w:r w:rsidRPr="009A0DA6">
              <w:rPr>
                <w:rFonts w:ascii="Cambria" w:hAnsi="Cambria" w:cs="Arial"/>
              </w:rPr>
              <w:t>Commission on Worship</w:t>
            </w:r>
          </w:p>
        </w:tc>
        <w:tc>
          <w:tcPr>
            <w:tcW w:w="4961" w:type="dxa"/>
          </w:tcPr>
          <w:p w14:paraId="5AFAF82D" w14:textId="77777777" w:rsidR="0054360D" w:rsidRPr="009A0DA6" w:rsidRDefault="0054360D" w:rsidP="005F21CD">
            <w:pPr>
              <w:contextualSpacing/>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Worship DVD and Live Streaming</w:t>
            </w:r>
          </w:p>
        </w:tc>
      </w:tr>
      <w:tr w:rsidR="0054360D" w:rsidRPr="009A0DA6" w14:paraId="07A6DB82" w14:textId="77777777" w:rsidTr="005F21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18F57DFA" w14:textId="77777777" w:rsidR="0054360D" w:rsidRPr="009A0DA6" w:rsidRDefault="0054360D" w:rsidP="005F21CD">
            <w:pPr>
              <w:contextualSpacing/>
              <w:rPr>
                <w:rFonts w:ascii="Cambria" w:hAnsi="Cambria" w:cs="Arial"/>
              </w:rPr>
            </w:pPr>
            <w:r w:rsidRPr="009A0DA6">
              <w:rPr>
                <w:rFonts w:ascii="Cambria" w:hAnsi="Cambria" w:cs="Arial"/>
              </w:rPr>
              <w:t>Board for Local Mission</w:t>
            </w:r>
          </w:p>
        </w:tc>
        <w:tc>
          <w:tcPr>
            <w:tcW w:w="4961" w:type="dxa"/>
          </w:tcPr>
          <w:p w14:paraId="1CEE93C0" w14:textId="77777777" w:rsidR="0054360D" w:rsidRPr="009A0DA6" w:rsidRDefault="0054360D" w:rsidP="005F21CD">
            <w:pPr>
              <w:contextualSpacing/>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Shared mission focus and support</w:t>
            </w:r>
          </w:p>
        </w:tc>
      </w:tr>
      <w:tr w:rsidR="0054360D" w:rsidRPr="009A0DA6" w14:paraId="13A32FF6" w14:textId="77777777" w:rsidTr="005F21CD">
        <w:tc>
          <w:tcPr>
            <w:cnfStyle w:val="001000000000" w:firstRow="0" w:lastRow="0" w:firstColumn="1" w:lastColumn="0" w:oddVBand="0" w:evenVBand="0" w:oddHBand="0" w:evenHBand="0" w:firstRowFirstColumn="0" w:firstRowLastColumn="0" w:lastRowFirstColumn="0" w:lastRowLastColumn="0"/>
            <w:tcW w:w="3686" w:type="dxa"/>
          </w:tcPr>
          <w:p w14:paraId="273FCAE4" w14:textId="77777777" w:rsidR="0054360D" w:rsidRPr="009A0DA6" w:rsidRDefault="0054360D" w:rsidP="005F21CD">
            <w:pPr>
              <w:contextualSpacing/>
              <w:rPr>
                <w:rFonts w:ascii="Cambria" w:hAnsi="Cambria" w:cs="Arial"/>
              </w:rPr>
            </w:pPr>
            <w:r w:rsidRPr="009A0DA6">
              <w:rPr>
                <w:rFonts w:ascii="Cambria" w:hAnsi="Cambria" w:cs="Arial"/>
              </w:rPr>
              <w:t>Lutheran Education Australia</w:t>
            </w:r>
          </w:p>
        </w:tc>
        <w:tc>
          <w:tcPr>
            <w:tcW w:w="4961" w:type="dxa"/>
          </w:tcPr>
          <w:p w14:paraId="55575D4D" w14:textId="77777777" w:rsidR="0054360D" w:rsidRPr="009A0DA6" w:rsidRDefault="0054360D" w:rsidP="005F21CD">
            <w:pPr>
              <w:contextualSpacing/>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Happyland website and resources. Video content and devotions.</w:t>
            </w:r>
          </w:p>
        </w:tc>
      </w:tr>
    </w:tbl>
    <w:p w14:paraId="7673B3CD" w14:textId="77777777" w:rsidR="0054360D" w:rsidRPr="005F21CD" w:rsidRDefault="0054360D" w:rsidP="0054360D">
      <w:pPr>
        <w:spacing w:before="120" w:after="120" w:line="240" w:lineRule="auto"/>
        <w:contextualSpacing/>
        <w:rPr>
          <w:rFonts w:ascii="Cambria" w:hAnsi="Cambria"/>
          <w:b/>
          <w:sz w:val="10"/>
        </w:rPr>
      </w:pPr>
    </w:p>
    <w:p w14:paraId="4FC5AB98" w14:textId="73513F45" w:rsidR="0054360D" w:rsidRPr="009A0DA6" w:rsidRDefault="0054360D" w:rsidP="005F21CD">
      <w:pPr>
        <w:pStyle w:val="Heading3"/>
        <w:spacing w:after="0"/>
        <w:rPr>
          <w:rFonts w:cs="Arial"/>
          <w:lang w:val="en-US" w:eastAsia="ja-JP"/>
        </w:rPr>
      </w:pPr>
      <w:r w:rsidRPr="009A0DA6">
        <w:t>Financial Performance</w:t>
      </w:r>
    </w:p>
    <w:tbl>
      <w:tblPr>
        <w:tblStyle w:val="TableGrid"/>
        <w:tblW w:w="8499"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1510"/>
        <w:gridCol w:w="1510"/>
        <w:gridCol w:w="1510"/>
      </w:tblGrid>
      <w:tr w:rsidR="0054360D" w:rsidRPr="009A0DA6" w14:paraId="3CE7148A" w14:textId="77777777" w:rsidTr="00AD09CB">
        <w:tc>
          <w:tcPr>
            <w:tcW w:w="3969" w:type="dxa"/>
          </w:tcPr>
          <w:p w14:paraId="6D54C440" w14:textId="77777777" w:rsidR="0054360D" w:rsidRPr="009A0DA6" w:rsidRDefault="0054360D" w:rsidP="005F21CD">
            <w:pPr>
              <w:contextualSpacing/>
              <w:rPr>
                <w:rFonts w:ascii="Cambria" w:hAnsi="Cambria" w:cs="Arial"/>
                <w:b/>
              </w:rPr>
            </w:pPr>
            <w:r w:rsidRPr="009A0DA6">
              <w:rPr>
                <w:rFonts w:ascii="Cambria" w:hAnsi="Cambria" w:cs="Arial"/>
                <w:b/>
              </w:rPr>
              <w:t>Alignment to LCA Strategic Priorities</w:t>
            </w:r>
          </w:p>
        </w:tc>
        <w:tc>
          <w:tcPr>
            <w:tcW w:w="1510" w:type="dxa"/>
          </w:tcPr>
          <w:p w14:paraId="67F9C9E0" w14:textId="77777777" w:rsidR="0054360D" w:rsidRPr="009A0DA6" w:rsidRDefault="0054360D" w:rsidP="005F21CD">
            <w:pPr>
              <w:contextualSpacing/>
              <w:jc w:val="right"/>
              <w:rPr>
                <w:rFonts w:ascii="Cambria" w:hAnsi="Cambria" w:cs="Arial"/>
                <w:b/>
              </w:rPr>
            </w:pPr>
            <w:r w:rsidRPr="009A0DA6">
              <w:rPr>
                <w:rFonts w:ascii="Cambria" w:hAnsi="Cambria" w:cs="Arial"/>
                <w:b/>
              </w:rPr>
              <w:t xml:space="preserve">2017 </w:t>
            </w:r>
          </w:p>
        </w:tc>
        <w:tc>
          <w:tcPr>
            <w:tcW w:w="1510" w:type="dxa"/>
          </w:tcPr>
          <w:p w14:paraId="74C295AD" w14:textId="77777777" w:rsidR="0054360D" w:rsidRPr="009A0DA6" w:rsidRDefault="0054360D" w:rsidP="005F21CD">
            <w:pPr>
              <w:contextualSpacing/>
              <w:jc w:val="right"/>
              <w:rPr>
                <w:rFonts w:ascii="Cambria" w:hAnsi="Cambria" w:cs="Arial"/>
                <w:b/>
              </w:rPr>
            </w:pPr>
            <w:r w:rsidRPr="009A0DA6">
              <w:rPr>
                <w:rFonts w:ascii="Cambria" w:hAnsi="Cambria" w:cs="Arial"/>
                <w:b/>
              </w:rPr>
              <w:t xml:space="preserve">2016 </w:t>
            </w:r>
          </w:p>
        </w:tc>
        <w:tc>
          <w:tcPr>
            <w:tcW w:w="1510" w:type="dxa"/>
          </w:tcPr>
          <w:p w14:paraId="67F4FEFD" w14:textId="77777777" w:rsidR="0054360D" w:rsidRPr="009A0DA6" w:rsidRDefault="0054360D" w:rsidP="005F21CD">
            <w:pPr>
              <w:contextualSpacing/>
              <w:jc w:val="right"/>
              <w:rPr>
                <w:rFonts w:ascii="Cambria" w:hAnsi="Cambria" w:cs="Arial"/>
                <w:b/>
              </w:rPr>
            </w:pPr>
            <w:r w:rsidRPr="009A0DA6">
              <w:rPr>
                <w:rFonts w:ascii="Cambria" w:hAnsi="Cambria" w:cs="Arial"/>
                <w:b/>
              </w:rPr>
              <w:t xml:space="preserve">2015 </w:t>
            </w:r>
          </w:p>
        </w:tc>
      </w:tr>
      <w:tr w:rsidR="0054360D" w:rsidRPr="009A0DA6" w14:paraId="046E9E49" w14:textId="77777777" w:rsidTr="00AD09CB">
        <w:tc>
          <w:tcPr>
            <w:tcW w:w="3969" w:type="dxa"/>
          </w:tcPr>
          <w:p w14:paraId="080BC9CD" w14:textId="77777777" w:rsidR="0054360D" w:rsidRPr="009A0DA6" w:rsidRDefault="0054360D" w:rsidP="00AD09CB">
            <w:pPr>
              <w:spacing w:before="120" w:after="120"/>
              <w:contextualSpacing/>
              <w:rPr>
                <w:rFonts w:ascii="Cambria" w:hAnsi="Cambria" w:cs="Arial"/>
                <w:b/>
              </w:rPr>
            </w:pPr>
            <w:r w:rsidRPr="009A0DA6">
              <w:rPr>
                <w:rFonts w:ascii="Cambria" w:hAnsi="Cambria" w:cs="Arial"/>
                <w:b/>
              </w:rPr>
              <w:t>Expenditure</w:t>
            </w:r>
          </w:p>
        </w:tc>
        <w:tc>
          <w:tcPr>
            <w:tcW w:w="1510" w:type="dxa"/>
          </w:tcPr>
          <w:p w14:paraId="474984E1" w14:textId="77777777" w:rsidR="0054360D" w:rsidRPr="009A0DA6" w:rsidRDefault="0054360D" w:rsidP="00AD09CB">
            <w:pPr>
              <w:spacing w:before="120" w:after="120"/>
              <w:contextualSpacing/>
              <w:jc w:val="right"/>
              <w:rPr>
                <w:rFonts w:ascii="Cambria" w:hAnsi="Cambria" w:cs="Arial"/>
                <w:b/>
              </w:rPr>
            </w:pPr>
          </w:p>
        </w:tc>
        <w:tc>
          <w:tcPr>
            <w:tcW w:w="1510" w:type="dxa"/>
          </w:tcPr>
          <w:p w14:paraId="6A7B898C" w14:textId="77777777" w:rsidR="0054360D" w:rsidRPr="009A0DA6" w:rsidRDefault="0054360D" w:rsidP="00AD09CB">
            <w:pPr>
              <w:spacing w:before="120" w:after="120"/>
              <w:contextualSpacing/>
              <w:jc w:val="right"/>
              <w:rPr>
                <w:rFonts w:ascii="Cambria" w:hAnsi="Cambria" w:cs="Arial"/>
                <w:b/>
              </w:rPr>
            </w:pPr>
          </w:p>
        </w:tc>
        <w:tc>
          <w:tcPr>
            <w:tcW w:w="1510" w:type="dxa"/>
          </w:tcPr>
          <w:p w14:paraId="2058A996" w14:textId="77777777" w:rsidR="0054360D" w:rsidRPr="009A0DA6" w:rsidRDefault="0054360D" w:rsidP="00AD09CB">
            <w:pPr>
              <w:spacing w:before="120" w:after="120"/>
              <w:contextualSpacing/>
              <w:jc w:val="right"/>
              <w:rPr>
                <w:rFonts w:ascii="Cambria" w:hAnsi="Cambria" w:cs="Arial"/>
                <w:b/>
              </w:rPr>
            </w:pPr>
          </w:p>
        </w:tc>
      </w:tr>
      <w:tr w:rsidR="0054360D" w:rsidRPr="009A0DA6" w14:paraId="3C8C7B58" w14:textId="77777777" w:rsidTr="00AD09CB">
        <w:tc>
          <w:tcPr>
            <w:tcW w:w="3969" w:type="dxa"/>
          </w:tcPr>
          <w:p w14:paraId="22BB123D" w14:textId="77777777" w:rsidR="0054360D" w:rsidRPr="009A0DA6" w:rsidRDefault="0054360D" w:rsidP="00AD09CB">
            <w:pPr>
              <w:spacing w:before="120" w:after="120"/>
              <w:contextualSpacing/>
              <w:rPr>
                <w:rFonts w:ascii="Cambria" w:hAnsi="Cambria" w:cs="Arial"/>
              </w:rPr>
            </w:pPr>
            <w:r w:rsidRPr="009A0DA6">
              <w:rPr>
                <w:rFonts w:ascii="Cambria" w:hAnsi="Cambria" w:cs="Arial"/>
              </w:rPr>
              <w:t>1 Growing as God’s People</w:t>
            </w:r>
          </w:p>
        </w:tc>
        <w:tc>
          <w:tcPr>
            <w:tcW w:w="1510" w:type="dxa"/>
          </w:tcPr>
          <w:p w14:paraId="7DB77F14" w14:textId="77777777" w:rsidR="0054360D" w:rsidRPr="009A0DA6" w:rsidRDefault="0054360D" w:rsidP="00AD09CB">
            <w:pPr>
              <w:spacing w:before="120" w:after="120"/>
              <w:contextualSpacing/>
              <w:jc w:val="right"/>
              <w:rPr>
                <w:rFonts w:ascii="Cambria" w:hAnsi="Cambria" w:cs="Arial"/>
              </w:rPr>
            </w:pPr>
            <w:r w:rsidRPr="009A0DA6">
              <w:rPr>
                <w:rFonts w:ascii="Cambria" w:hAnsi="Cambria" w:cs="Arial"/>
              </w:rPr>
              <w:t>19,927</w:t>
            </w:r>
          </w:p>
        </w:tc>
        <w:tc>
          <w:tcPr>
            <w:tcW w:w="1510" w:type="dxa"/>
          </w:tcPr>
          <w:p w14:paraId="03932911" w14:textId="77777777" w:rsidR="0054360D" w:rsidRPr="009A0DA6" w:rsidRDefault="0054360D" w:rsidP="00AD09CB">
            <w:pPr>
              <w:spacing w:before="120" w:after="120"/>
              <w:contextualSpacing/>
              <w:jc w:val="right"/>
              <w:rPr>
                <w:rFonts w:ascii="Cambria" w:hAnsi="Cambria" w:cs="Arial"/>
              </w:rPr>
            </w:pPr>
            <w:r w:rsidRPr="009A0DA6">
              <w:rPr>
                <w:rFonts w:ascii="Cambria" w:hAnsi="Cambria" w:cs="Arial"/>
              </w:rPr>
              <w:t>19,763</w:t>
            </w:r>
          </w:p>
        </w:tc>
        <w:tc>
          <w:tcPr>
            <w:tcW w:w="1510" w:type="dxa"/>
          </w:tcPr>
          <w:p w14:paraId="3F9B1BF6" w14:textId="77777777" w:rsidR="0054360D" w:rsidRPr="009A0DA6" w:rsidRDefault="0054360D" w:rsidP="00AD09CB">
            <w:pPr>
              <w:spacing w:before="120" w:after="120"/>
              <w:contextualSpacing/>
              <w:jc w:val="right"/>
              <w:rPr>
                <w:rFonts w:ascii="Cambria" w:hAnsi="Cambria" w:cs="Arial"/>
              </w:rPr>
            </w:pPr>
            <w:r w:rsidRPr="009A0DA6">
              <w:rPr>
                <w:rFonts w:ascii="Cambria" w:hAnsi="Cambria" w:cs="Arial"/>
              </w:rPr>
              <w:t>20,147</w:t>
            </w:r>
          </w:p>
        </w:tc>
      </w:tr>
      <w:tr w:rsidR="0054360D" w:rsidRPr="009A0DA6" w14:paraId="491D3AA3" w14:textId="77777777" w:rsidTr="00AD09CB">
        <w:tc>
          <w:tcPr>
            <w:tcW w:w="3969" w:type="dxa"/>
          </w:tcPr>
          <w:p w14:paraId="7464A3AD" w14:textId="77777777" w:rsidR="0054360D" w:rsidRPr="009A0DA6" w:rsidRDefault="0054360D" w:rsidP="00AD09CB">
            <w:pPr>
              <w:spacing w:before="120" w:after="120"/>
              <w:contextualSpacing/>
              <w:rPr>
                <w:rFonts w:ascii="Cambria" w:hAnsi="Cambria" w:cs="Arial"/>
              </w:rPr>
            </w:pPr>
            <w:r w:rsidRPr="009A0DA6">
              <w:rPr>
                <w:rFonts w:ascii="Cambria" w:hAnsi="Cambria" w:cs="Arial"/>
              </w:rPr>
              <w:t>2 Going as God’s People</w:t>
            </w:r>
          </w:p>
        </w:tc>
        <w:tc>
          <w:tcPr>
            <w:tcW w:w="1510" w:type="dxa"/>
          </w:tcPr>
          <w:p w14:paraId="53E81357" w14:textId="77777777" w:rsidR="0054360D" w:rsidRPr="009A0DA6" w:rsidRDefault="0054360D" w:rsidP="00AD09CB">
            <w:pPr>
              <w:spacing w:before="120" w:after="120"/>
              <w:contextualSpacing/>
              <w:jc w:val="right"/>
              <w:rPr>
                <w:rFonts w:ascii="Cambria" w:hAnsi="Cambria" w:cs="Arial"/>
              </w:rPr>
            </w:pPr>
            <w:r w:rsidRPr="009A0DA6">
              <w:rPr>
                <w:rFonts w:ascii="Cambria" w:hAnsi="Cambria" w:cs="Arial"/>
              </w:rPr>
              <w:t>606,277</w:t>
            </w:r>
          </w:p>
        </w:tc>
        <w:tc>
          <w:tcPr>
            <w:tcW w:w="1510" w:type="dxa"/>
          </w:tcPr>
          <w:p w14:paraId="093AD53D" w14:textId="77777777" w:rsidR="0054360D" w:rsidRPr="009A0DA6" w:rsidRDefault="0054360D" w:rsidP="00AD09CB">
            <w:pPr>
              <w:spacing w:before="120" w:after="120"/>
              <w:contextualSpacing/>
              <w:jc w:val="right"/>
              <w:rPr>
                <w:rFonts w:ascii="Cambria" w:hAnsi="Cambria" w:cs="Arial"/>
              </w:rPr>
            </w:pPr>
            <w:r w:rsidRPr="009A0DA6">
              <w:rPr>
                <w:rFonts w:ascii="Cambria" w:hAnsi="Cambria" w:cs="Arial"/>
              </w:rPr>
              <w:t>600,718</w:t>
            </w:r>
          </w:p>
        </w:tc>
        <w:tc>
          <w:tcPr>
            <w:tcW w:w="1510" w:type="dxa"/>
          </w:tcPr>
          <w:p w14:paraId="31133677" w14:textId="77777777" w:rsidR="0054360D" w:rsidRPr="009A0DA6" w:rsidRDefault="0054360D" w:rsidP="00AD09CB">
            <w:pPr>
              <w:spacing w:before="120" w:after="120"/>
              <w:contextualSpacing/>
              <w:jc w:val="right"/>
              <w:rPr>
                <w:rFonts w:ascii="Cambria" w:hAnsi="Cambria" w:cs="Arial"/>
              </w:rPr>
            </w:pPr>
            <w:r w:rsidRPr="009A0DA6">
              <w:rPr>
                <w:rFonts w:ascii="Cambria" w:hAnsi="Cambria" w:cs="Arial"/>
              </w:rPr>
              <w:t>630,197</w:t>
            </w:r>
          </w:p>
        </w:tc>
      </w:tr>
      <w:tr w:rsidR="0054360D" w:rsidRPr="009A0DA6" w14:paraId="75C507E5" w14:textId="77777777" w:rsidTr="00AD09CB">
        <w:tc>
          <w:tcPr>
            <w:tcW w:w="3969" w:type="dxa"/>
          </w:tcPr>
          <w:p w14:paraId="015F5D07" w14:textId="77777777" w:rsidR="0054360D" w:rsidRPr="009A0DA6" w:rsidRDefault="0054360D" w:rsidP="00AD09CB">
            <w:pPr>
              <w:spacing w:before="120" w:after="120"/>
              <w:contextualSpacing/>
              <w:rPr>
                <w:rFonts w:ascii="Cambria" w:hAnsi="Cambria" w:cs="Arial"/>
              </w:rPr>
            </w:pPr>
            <w:r w:rsidRPr="009A0DA6">
              <w:rPr>
                <w:rFonts w:ascii="Cambria" w:hAnsi="Cambria" w:cs="Arial"/>
              </w:rPr>
              <w:t>3 Enable us to Go &amp; Grow</w:t>
            </w:r>
          </w:p>
        </w:tc>
        <w:tc>
          <w:tcPr>
            <w:tcW w:w="1510" w:type="dxa"/>
          </w:tcPr>
          <w:p w14:paraId="428098E7" w14:textId="77777777" w:rsidR="0054360D" w:rsidRPr="009A0DA6" w:rsidRDefault="0054360D" w:rsidP="00AD09CB">
            <w:pPr>
              <w:spacing w:before="120" w:after="120"/>
              <w:contextualSpacing/>
              <w:jc w:val="right"/>
              <w:rPr>
                <w:rFonts w:ascii="Cambria" w:hAnsi="Cambria" w:cs="Arial"/>
              </w:rPr>
            </w:pPr>
            <w:r w:rsidRPr="009A0DA6">
              <w:rPr>
                <w:rFonts w:ascii="Cambria" w:hAnsi="Cambria" w:cs="Arial"/>
              </w:rPr>
              <w:t>2,833</w:t>
            </w:r>
          </w:p>
        </w:tc>
        <w:tc>
          <w:tcPr>
            <w:tcW w:w="1510" w:type="dxa"/>
          </w:tcPr>
          <w:p w14:paraId="5A76BB12" w14:textId="77777777" w:rsidR="0054360D" w:rsidRPr="009A0DA6" w:rsidRDefault="0054360D" w:rsidP="00AD09CB">
            <w:pPr>
              <w:spacing w:before="120" w:after="120"/>
              <w:contextualSpacing/>
              <w:jc w:val="right"/>
              <w:rPr>
                <w:rFonts w:ascii="Cambria" w:hAnsi="Cambria" w:cs="Arial"/>
              </w:rPr>
            </w:pPr>
            <w:r w:rsidRPr="009A0DA6">
              <w:rPr>
                <w:rFonts w:ascii="Cambria" w:hAnsi="Cambria" w:cs="Arial"/>
              </w:rPr>
              <w:t>6,158</w:t>
            </w:r>
          </w:p>
        </w:tc>
        <w:tc>
          <w:tcPr>
            <w:tcW w:w="1510" w:type="dxa"/>
          </w:tcPr>
          <w:p w14:paraId="17F38F16" w14:textId="77777777" w:rsidR="0054360D" w:rsidRPr="009A0DA6" w:rsidRDefault="0054360D" w:rsidP="00AD09CB">
            <w:pPr>
              <w:spacing w:before="120" w:after="120"/>
              <w:contextualSpacing/>
              <w:jc w:val="right"/>
              <w:rPr>
                <w:rFonts w:ascii="Cambria" w:hAnsi="Cambria" w:cs="Arial"/>
              </w:rPr>
            </w:pPr>
            <w:r w:rsidRPr="009A0DA6">
              <w:rPr>
                <w:rFonts w:ascii="Cambria" w:hAnsi="Cambria" w:cs="Arial"/>
              </w:rPr>
              <w:t>4,551</w:t>
            </w:r>
          </w:p>
        </w:tc>
      </w:tr>
      <w:tr w:rsidR="0054360D" w:rsidRPr="009A0DA6" w14:paraId="2E8F4D58" w14:textId="77777777" w:rsidTr="00AD09CB">
        <w:tc>
          <w:tcPr>
            <w:tcW w:w="3969" w:type="dxa"/>
          </w:tcPr>
          <w:p w14:paraId="22CCD248" w14:textId="77777777" w:rsidR="0054360D" w:rsidRPr="009A0DA6" w:rsidRDefault="0054360D" w:rsidP="00AD09CB">
            <w:pPr>
              <w:spacing w:before="120" w:after="120"/>
              <w:contextualSpacing/>
              <w:jc w:val="right"/>
              <w:rPr>
                <w:rFonts w:ascii="Cambria" w:hAnsi="Cambria" w:cs="Arial"/>
                <w:b/>
              </w:rPr>
            </w:pPr>
            <w:r w:rsidRPr="009A0DA6">
              <w:rPr>
                <w:rFonts w:ascii="Cambria" w:hAnsi="Cambria" w:cs="Arial"/>
                <w:b/>
              </w:rPr>
              <w:t>Total</w:t>
            </w:r>
          </w:p>
        </w:tc>
        <w:tc>
          <w:tcPr>
            <w:tcW w:w="1510" w:type="dxa"/>
          </w:tcPr>
          <w:p w14:paraId="26ABD1D3" w14:textId="77777777" w:rsidR="0054360D" w:rsidRPr="009A0DA6" w:rsidRDefault="0054360D" w:rsidP="00AD09CB">
            <w:pPr>
              <w:spacing w:before="120" w:after="120"/>
              <w:contextualSpacing/>
              <w:jc w:val="right"/>
              <w:rPr>
                <w:rFonts w:ascii="Cambria" w:hAnsi="Cambria" w:cs="Arial"/>
                <w:b/>
              </w:rPr>
            </w:pPr>
            <w:r w:rsidRPr="009A0DA6">
              <w:rPr>
                <w:rFonts w:ascii="Cambria" w:hAnsi="Cambria" w:cs="Arial"/>
                <w:b/>
              </w:rPr>
              <w:t>629,037</w:t>
            </w:r>
          </w:p>
        </w:tc>
        <w:tc>
          <w:tcPr>
            <w:tcW w:w="1510" w:type="dxa"/>
          </w:tcPr>
          <w:p w14:paraId="289D51F0" w14:textId="77777777" w:rsidR="0054360D" w:rsidRPr="009A0DA6" w:rsidRDefault="0054360D" w:rsidP="00AD09CB">
            <w:pPr>
              <w:spacing w:before="120" w:after="120"/>
              <w:contextualSpacing/>
              <w:jc w:val="right"/>
              <w:rPr>
                <w:rFonts w:ascii="Cambria" w:hAnsi="Cambria" w:cs="Arial"/>
                <w:b/>
              </w:rPr>
            </w:pPr>
            <w:r w:rsidRPr="009A0DA6">
              <w:rPr>
                <w:rFonts w:ascii="Cambria" w:hAnsi="Cambria" w:cs="Arial"/>
                <w:b/>
              </w:rPr>
              <w:t>626,639</w:t>
            </w:r>
          </w:p>
        </w:tc>
        <w:tc>
          <w:tcPr>
            <w:tcW w:w="1510" w:type="dxa"/>
          </w:tcPr>
          <w:p w14:paraId="365D2633" w14:textId="77777777" w:rsidR="0054360D" w:rsidRPr="009A0DA6" w:rsidRDefault="0054360D" w:rsidP="00AD09CB">
            <w:pPr>
              <w:spacing w:before="120" w:after="120"/>
              <w:contextualSpacing/>
              <w:jc w:val="right"/>
              <w:rPr>
                <w:rFonts w:ascii="Cambria" w:hAnsi="Cambria" w:cs="Arial"/>
                <w:b/>
              </w:rPr>
            </w:pPr>
            <w:r w:rsidRPr="009A0DA6">
              <w:rPr>
                <w:rFonts w:ascii="Cambria" w:hAnsi="Cambria" w:cs="Arial"/>
                <w:b/>
              </w:rPr>
              <w:t>654,895</w:t>
            </w:r>
          </w:p>
        </w:tc>
      </w:tr>
    </w:tbl>
    <w:p w14:paraId="20626536" w14:textId="77777777" w:rsidR="00DA6FB3" w:rsidRDefault="00DA6FB3" w:rsidP="0054360D">
      <w:pPr>
        <w:pStyle w:val="Heading3"/>
      </w:pPr>
    </w:p>
    <w:p w14:paraId="36FD3C13" w14:textId="79D18096" w:rsidR="0054360D" w:rsidRPr="009A0DA6" w:rsidRDefault="00DA6FB3" w:rsidP="0054360D">
      <w:pPr>
        <w:pStyle w:val="Heading3"/>
      </w:pPr>
      <w:r>
        <w:br w:type="column"/>
      </w:r>
      <w:r w:rsidR="0054360D" w:rsidRPr="009A0DA6">
        <w:lastRenderedPageBreak/>
        <w:t>agenda 9.2</w:t>
      </w:r>
    </w:p>
    <w:p w14:paraId="2BF6693D" w14:textId="77777777" w:rsidR="0054360D" w:rsidRPr="009A0DA6" w:rsidRDefault="0054360D" w:rsidP="0054360D">
      <w:pPr>
        <w:pStyle w:val="Heading2"/>
      </w:pPr>
      <w:bookmarkStart w:id="498" w:name="_Toc521954740"/>
      <w:r w:rsidRPr="009A0DA6">
        <w:t>Financial Report: Board for Media Ministry</w:t>
      </w:r>
      <w:bookmarkEnd w:id="498"/>
    </w:p>
    <w:p w14:paraId="273015D0" w14:textId="77777777" w:rsidR="0054360D" w:rsidRPr="009A0DA6" w:rsidRDefault="0054360D" w:rsidP="0054360D">
      <w:pPr>
        <w:pStyle w:val="NoSpacing"/>
      </w:pPr>
    </w:p>
    <w:p w14:paraId="7AC19F6E" w14:textId="77777777" w:rsidR="0054360D" w:rsidRPr="00DE6169" w:rsidRDefault="0054360D" w:rsidP="00766B14">
      <w:pPr>
        <w:pStyle w:val="NoSpacing"/>
        <w:rPr>
          <w:b/>
        </w:rPr>
      </w:pPr>
      <w:r w:rsidRPr="00DE6169">
        <w:rPr>
          <w:b/>
        </w:rPr>
        <w:t xml:space="preserve">INDIVIDUAL DEPARTMENTAL FINANCIAL REPORT </w:t>
      </w:r>
    </w:p>
    <w:p w14:paraId="710E3B1D" w14:textId="7EBD8E4B" w:rsidR="0054360D" w:rsidRPr="009A0DA6" w:rsidRDefault="0054360D" w:rsidP="0054360D">
      <w:pPr>
        <w:pStyle w:val="NoSpacing"/>
        <w:rPr>
          <w:b/>
          <w:highlight w:val="magenta"/>
          <w:lang w:val="en-GB" w:eastAsia="en-AU"/>
        </w:rPr>
      </w:pPr>
      <w:r w:rsidRPr="00DE6169">
        <w:rPr>
          <w:b/>
          <w:sz w:val="2"/>
          <w:szCs w:val="2"/>
        </w:rPr>
        <w:br/>
      </w:r>
      <w:r w:rsidR="00FF7E8B" w:rsidRPr="009A0DA6">
        <w:rPr>
          <w:b/>
        </w:rPr>
        <w:t>FOR THE PERIODS ENDING 31 DECEMBER</w:t>
      </w:r>
      <w:r w:rsidR="00FF7E8B" w:rsidRPr="009A0DA6">
        <w:rPr>
          <w:b/>
        </w:rPr>
        <w:br/>
      </w:r>
    </w:p>
    <w:p w14:paraId="49FEC6FD" w14:textId="77777777" w:rsidR="0054360D" w:rsidRPr="009A0DA6" w:rsidRDefault="0054360D" w:rsidP="0054360D">
      <w:pPr>
        <w:tabs>
          <w:tab w:val="right" w:pos="5954"/>
          <w:tab w:val="right" w:pos="7371"/>
          <w:tab w:val="right" w:pos="8789"/>
        </w:tabs>
        <w:spacing w:before="120" w:after="120" w:line="240" w:lineRule="auto"/>
        <w:contextualSpacing/>
        <w:rPr>
          <w:rFonts w:ascii="Cambria" w:hAnsi="Cambria" w:cstheme="minorHAnsi"/>
          <w:b/>
        </w:rPr>
      </w:pPr>
      <w:r w:rsidRPr="009A0DA6">
        <w:rPr>
          <w:rFonts w:ascii="Cambria" w:hAnsi="Cambria" w:cstheme="minorHAnsi"/>
          <w:b/>
        </w:rPr>
        <w:tab/>
        <w:t>2017</w:t>
      </w:r>
      <w:r w:rsidRPr="009A0DA6">
        <w:rPr>
          <w:rFonts w:ascii="Cambria" w:hAnsi="Cambria" w:cstheme="minorHAnsi"/>
          <w:b/>
        </w:rPr>
        <w:tab/>
        <w:t>2016</w:t>
      </w:r>
      <w:r w:rsidRPr="009A0DA6">
        <w:rPr>
          <w:rFonts w:ascii="Cambria" w:hAnsi="Cambria" w:cstheme="minorHAnsi"/>
          <w:b/>
        </w:rPr>
        <w:tab/>
        <w:t>2015</w:t>
      </w:r>
    </w:p>
    <w:p w14:paraId="4E24B0B3" w14:textId="77777777" w:rsidR="0054360D" w:rsidRPr="009A0DA6" w:rsidRDefault="0054360D" w:rsidP="0054360D">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b/>
        </w:rPr>
        <w:t>Income</w:t>
      </w:r>
    </w:p>
    <w:p w14:paraId="709BA63B" w14:textId="77777777" w:rsidR="0054360D" w:rsidRPr="009A0DA6" w:rsidRDefault="0054360D" w:rsidP="0054360D">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Appeals, donations and bequests</w:t>
      </w:r>
      <w:r w:rsidRPr="009A0DA6">
        <w:rPr>
          <w:rStyle w:val="FootnoteReference"/>
          <w:rFonts w:ascii="Cambria" w:hAnsi="Cambria" w:cstheme="minorHAnsi"/>
        </w:rPr>
        <w:footnoteReference w:id="38"/>
      </w:r>
      <w:r w:rsidRPr="009A0DA6">
        <w:rPr>
          <w:rFonts w:ascii="Cambria" w:hAnsi="Cambria" w:cstheme="minorHAnsi"/>
        </w:rPr>
        <w:tab/>
        <w:t>325,082</w:t>
      </w:r>
      <w:r w:rsidRPr="009A0DA6">
        <w:rPr>
          <w:rFonts w:ascii="Cambria" w:hAnsi="Cambria" w:cstheme="minorHAnsi"/>
        </w:rPr>
        <w:tab/>
        <w:t>441,896</w:t>
      </w:r>
      <w:r w:rsidRPr="009A0DA6">
        <w:rPr>
          <w:rFonts w:ascii="Cambria" w:hAnsi="Cambria" w:cstheme="minorHAnsi"/>
        </w:rPr>
        <w:tab/>
        <w:t>481,258</w:t>
      </w:r>
    </w:p>
    <w:p w14:paraId="1E451228" w14:textId="77777777" w:rsidR="0054360D" w:rsidRPr="009A0DA6" w:rsidRDefault="0054360D" w:rsidP="0054360D">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Investment and rental income</w:t>
      </w:r>
      <w:r w:rsidRPr="009A0DA6">
        <w:rPr>
          <w:rFonts w:ascii="Cambria" w:hAnsi="Cambria" w:cstheme="minorHAnsi"/>
        </w:rPr>
        <w:tab/>
        <w:t>26,867</w:t>
      </w:r>
      <w:r w:rsidRPr="009A0DA6">
        <w:rPr>
          <w:rFonts w:ascii="Cambria" w:hAnsi="Cambria" w:cstheme="minorHAnsi"/>
        </w:rPr>
        <w:tab/>
        <w:t>30,369</w:t>
      </w:r>
      <w:r w:rsidRPr="009A0DA6">
        <w:rPr>
          <w:rFonts w:ascii="Cambria" w:hAnsi="Cambria" w:cstheme="minorHAnsi"/>
        </w:rPr>
        <w:tab/>
        <w:t>34,170</w:t>
      </w:r>
    </w:p>
    <w:p w14:paraId="5AD65196" w14:textId="77777777" w:rsidR="0054360D" w:rsidRPr="009A0DA6" w:rsidRDefault="0054360D" w:rsidP="0054360D">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LCA income</w:t>
      </w:r>
      <w:r w:rsidRPr="009A0DA6">
        <w:rPr>
          <w:rFonts w:ascii="Cambria" w:hAnsi="Cambria" w:cstheme="minorHAnsi"/>
        </w:rPr>
        <w:tab/>
        <w:t>79,320</w:t>
      </w:r>
      <w:r w:rsidRPr="009A0DA6">
        <w:rPr>
          <w:rFonts w:ascii="Cambria" w:hAnsi="Cambria" w:cstheme="minorHAnsi"/>
        </w:rPr>
        <w:tab/>
        <w:t>93,098</w:t>
      </w:r>
      <w:r w:rsidRPr="009A0DA6">
        <w:rPr>
          <w:rFonts w:ascii="Cambria" w:hAnsi="Cambria" w:cstheme="minorHAnsi"/>
        </w:rPr>
        <w:tab/>
        <w:t>89,788</w:t>
      </w:r>
    </w:p>
    <w:p w14:paraId="6B04C526" w14:textId="77777777" w:rsidR="0054360D" w:rsidRPr="009A0DA6" w:rsidRDefault="0054360D" w:rsidP="0054360D">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LCA allocations and other income</w:t>
      </w:r>
      <w:r w:rsidRPr="009A0DA6">
        <w:rPr>
          <w:rFonts w:ascii="Cambria" w:hAnsi="Cambria" w:cstheme="minorHAnsi"/>
        </w:rPr>
        <w:tab/>
        <w:t>3,000</w:t>
      </w:r>
      <w:r w:rsidRPr="009A0DA6">
        <w:rPr>
          <w:rFonts w:ascii="Cambria" w:hAnsi="Cambria" w:cstheme="minorHAnsi"/>
        </w:rPr>
        <w:tab/>
        <w:t>4,320</w:t>
      </w:r>
      <w:r w:rsidRPr="009A0DA6">
        <w:rPr>
          <w:rFonts w:ascii="Cambria" w:hAnsi="Cambria" w:cstheme="minorHAnsi"/>
        </w:rPr>
        <w:tab/>
        <w:t>3,000</w:t>
      </w:r>
    </w:p>
    <w:p w14:paraId="310C44F5" w14:textId="77777777" w:rsidR="0054360D" w:rsidRPr="009A0DA6" w:rsidRDefault="0054360D" w:rsidP="0054360D">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Reimbursements</w:t>
      </w:r>
      <w:r w:rsidRPr="009A0DA6">
        <w:rPr>
          <w:rFonts w:ascii="Cambria" w:hAnsi="Cambria" w:cstheme="minorHAnsi"/>
        </w:rPr>
        <w:tab/>
        <w:t>3,492</w:t>
      </w:r>
      <w:r w:rsidRPr="009A0DA6">
        <w:rPr>
          <w:rFonts w:ascii="Cambria" w:hAnsi="Cambria" w:cstheme="minorHAnsi"/>
        </w:rPr>
        <w:tab/>
        <w:t>3,785</w:t>
      </w:r>
      <w:r w:rsidRPr="009A0DA6">
        <w:rPr>
          <w:rFonts w:ascii="Cambria" w:hAnsi="Cambria" w:cstheme="minorHAnsi"/>
        </w:rPr>
        <w:tab/>
        <w:t>6,100</w:t>
      </w:r>
    </w:p>
    <w:p w14:paraId="3EBE321C" w14:textId="77777777" w:rsidR="0054360D" w:rsidRPr="009A0DA6" w:rsidRDefault="0054360D" w:rsidP="0054360D">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Trading income</w:t>
      </w:r>
      <w:r w:rsidRPr="009A0DA6">
        <w:rPr>
          <w:rFonts w:ascii="Cambria" w:hAnsi="Cambria" w:cstheme="minorHAnsi"/>
        </w:rPr>
        <w:tab/>
        <w:t>9,390</w:t>
      </w:r>
      <w:r w:rsidRPr="009A0DA6">
        <w:rPr>
          <w:rFonts w:ascii="Cambria" w:hAnsi="Cambria" w:cstheme="minorHAnsi"/>
        </w:rPr>
        <w:tab/>
        <w:t>12,398</w:t>
      </w:r>
      <w:r w:rsidRPr="009A0DA6">
        <w:rPr>
          <w:rFonts w:ascii="Cambria" w:hAnsi="Cambria" w:cstheme="minorHAnsi"/>
        </w:rPr>
        <w:tab/>
        <w:t>5,836</w:t>
      </w:r>
    </w:p>
    <w:p w14:paraId="21954479" w14:textId="77777777" w:rsidR="0054360D" w:rsidRPr="009A0DA6" w:rsidRDefault="0054360D" w:rsidP="0054360D">
      <w:pPr>
        <w:tabs>
          <w:tab w:val="right" w:pos="5954"/>
          <w:tab w:val="right" w:pos="7371"/>
          <w:tab w:val="right" w:pos="8789"/>
        </w:tabs>
        <w:spacing w:before="120" w:after="120" w:line="240" w:lineRule="auto"/>
        <w:contextualSpacing/>
        <w:rPr>
          <w:rFonts w:ascii="Cambria" w:hAnsi="Cambria" w:cstheme="minorHAnsi"/>
          <w:b/>
        </w:rPr>
      </w:pPr>
      <w:r w:rsidRPr="009A0DA6">
        <w:rPr>
          <w:rFonts w:ascii="Cambria" w:hAnsi="Cambria" w:cstheme="minorHAnsi"/>
          <w:b/>
        </w:rPr>
        <w:tab/>
        <w:t>447,151</w:t>
      </w:r>
      <w:r w:rsidRPr="009A0DA6">
        <w:rPr>
          <w:rFonts w:ascii="Cambria" w:hAnsi="Cambria" w:cstheme="minorHAnsi"/>
          <w:b/>
        </w:rPr>
        <w:tab/>
        <w:t>585,866</w:t>
      </w:r>
      <w:r w:rsidRPr="009A0DA6">
        <w:rPr>
          <w:rFonts w:ascii="Cambria" w:hAnsi="Cambria" w:cstheme="minorHAnsi"/>
          <w:b/>
        </w:rPr>
        <w:tab/>
        <w:t>620,152</w:t>
      </w:r>
    </w:p>
    <w:p w14:paraId="7670A9CC" w14:textId="77777777" w:rsidR="0054360D" w:rsidRPr="009A0DA6" w:rsidRDefault="0054360D" w:rsidP="0054360D">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b/>
        </w:rPr>
        <w:t>Expenditure</w:t>
      </w:r>
    </w:p>
    <w:p w14:paraId="5B2F0120" w14:textId="77777777" w:rsidR="0054360D" w:rsidRPr="009A0DA6" w:rsidRDefault="0054360D" w:rsidP="0054360D">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Administration costs</w:t>
      </w:r>
      <w:r w:rsidRPr="009A0DA6">
        <w:rPr>
          <w:rFonts w:ascii="Cambria" w:hAnsi="Cambria" w:cstheme="minorHAnsi"/>
        </w:rPr>
        <w:tab/>
        <w:t>63,246</w:t>
      </w:r>
      <w:r w:rsidRPr="009A0DA6">
        <w:rPr>
          <w:rFonts w:ascii="Cambria" w:hAnsi="Cambria" w:cstheme="minorHAnsi"/>
        </w:rPr>
        <w:tab/>
        <w:t>74,825</w:t>
      </w:r>
      <w:r w:rsidRPr="009A0DA6">
        <w:rPr>
          <w:rFonts w:ascii="Cambria" w:hAnsi="Cambria" w:cstheme="minorHAnsi"/>
        </w:rPr>
        <w:tab/>
        <w:t>70,897</w:t>
      </w:r>
    </w:p>
    <w:p w14:paraId="354B18F2" w14:textId="77777777" w:rsidR="0054360D" w:rsidRPr="009A0DA6" w:rsidRDefault="0054360D" w:rsidP="0054360D">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Asset costs</w:t>
      </w:r>
      <w:r w:rsidRPr="009A0DA6">
        <w:rPr>
          <w:rFonts w:ascii="Cambria" w:hAnsi="Cambria" w:cstheme="minorHAnsi"/>
        </w:rPr>
        <w:tab/>
        <w:t>2,571</w:t>
      </w:r>
      <w:r w:rsidRPr="009A0DA6">
        <w:rPr>
          <w:rFonts w:ascii="Cambria" w:hAnsi="Cambria" w:cstheme="minorHAnsi"/>
        </w:rPr>
        <w:tab/>
        <w:t>5,247</w:t>
      </w:r>
      <w:r w:rsidRPr="009A0DA6">
        <w:rPr>
          <w:rFonts w:ascii="Cambria" w:hAnsi="Cambria" w:cstheme="minorHAnsi"/>
        </w:rPr>
        <w:tab/>
        <w:t>9,105</w:t>
      </w:r>
    </w:p>
    <w:p w14:paraId="1D08BA1B" w14:textId="77777777" w:rsidR="0054360D" w:rsidRPr="009A0DA6" w:rsidRDefault="0054360D" w:rsidP="0054360D">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Consulting expenses</w:t>
      </w:r>
      <w:r w:rsidRPr="009A0DA6">
        <w:rPr>
          <w:rFonts w:ascii="Cambria" w:hAnsi="Cambria" w:cstheme="minorHAnsi"/>
        </w:rPr>
        <w:tab/>
        <w:t>83,946</w:t>
      </w:r>
      <w:r w:rsidRPr="009A0DA6">
        <w:rPr>
          <w:rFonts w:ascii="Cambria" w:hAnsi="Cambria" w:cstheme="minorHAnsi"/>
        </w:rPr>
        <w:tab/>
        <w:t>74,257</w:t>
      </w:r>
      <w:r w:rsidRPr="009A0DA6">
        <w:rPr>
          <w:rFonts w:ascii="Cambria" w:hAnsi="Cambria" w:cstheme="minorHAnsi"/>
        </w:rPr>
        <w:tab/>
        <w:t>126,262</w:t>
      </w:r>
    </w:p>
    <w:p w14:paraId="72D86E81" w14:textId="77777777" w:rsidR="0054360D" w:rsidRPr="009A0DA6" w:rsidRDefault="0054360D" w:rsidP="0054360D">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Depreciation expense</w:t>
      </w:r>
      <w:r w:rsidRPr="009A0DA6">
        <w:rPr>
          <w:rFonts w:ascii="Cambria" w:hAnsi="Cambria" w:cstheme="minorHAnsi"/>
        </w:rPr>
        <w:tab/>
        <w:t>3,765</w:t>
      </w:r>
      <w:r w:rsidRPr="009A0DA6">
        <w:rPr>
          <w:rFonts w:ascii="Cambria" w:hAnsi="Cambria" w:cstheme="minorHAnsi"/>
        </w:rPr>
        <w:tab/>
        <w:t>2,843</w:t>
      </w:r>
      <w:r w:rsidRPr="009A0DA6">
        <w:rPr>
          <w:rFonts w:ascii="Cambria" w:hAnsi="Cambria" w:cstheme="minorHAnsi"/>
        </w:rPr>
        <w:tab/>
        <w:t>0</w:t>
      </w:r>
    </w:p>
    <w:p w14:paraId="74143CC0" w14:textId="77777777" w:rsidR="0054360D" w:rsidRPr="009A0DA6" w:rsidRDefault="0054360D" w:rsidP="0054360D">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Employee expenses</w:t>
      </w:r>
      <w:r w:rsidRPr="009A0DA6">
        <w:rPr>
          <w:rFonts w:ascii="Cambria" w:hAnsi="Cambria" w:cstheme="minorHAnsi"/>
        </w:rPr>
        <w:tab/>
        <w:t>306,681</w:t>
      </w:r>
      <w:r w:rsidRPr="009A0DA6">
        <w:rPr>
          <w:rFonts w:ascii="Cambria" w:hAnsi="Cambria" w:cstheme="minorHAnsi"/>
        </w:rPr>
        <w:tab/>
        <w:t>309,604</w:t>
      </w:r>
      <w:r w:rsidRPr="009A0DA6">
        <w:rPr>
          <w:rFonts w:ascii="Cambria" w:hAnsi="Cambria" w:cstheme="minorHAnsi"/>
        </w:rPr>
        <w:tab/>
        <w:t>244,803</w:t>
      </w:r>
    </w:p>
    <w:p w14:paraId="476B958C" w14:textId="77777777" w:rsidR="0054360D" w:rsidRPr="009A0DA6" w:rsidRDefault="0054360D" w:rsidP="0054360D">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Ministry expenses</w:t>
      </w:r>
      <w:r w:rsidRPr="009A0DA6">
        <w:rPr>
          <w:rFonts w:ascii="Cambria" w:hAnsi="Cambria" w:cstheme="minorHAnsi"/>
        </w:rPr>
        <w:tab/>
        <w:t>136,435</w:t>
      </w:r>
      <w:r w:rsidRPr="009A0DA6">
        <w:rPr>
          <w:rFonts w:ascii="Cambria" w:hAnsi="Cambria" w:cstheme="minorHAnsi"/>
        </w:rPr>
        <w:tab/>
        <w:t>124,343</w:t>
      </w:r>
      <w:r w:rsidRPr="009A0DA6">
        <w:rPr>
          <w:rFonts w:ascii="Cambria" w:hAnsi="Cambria" w:cstheme="minorHAnsi"/>
        </w:rPr>
        <w:tab/>
        <w:t>129,160</w:t>
      </w:r>
    </w:p>
    <w:p w14:paraId="0555092F" w14:textId="77777777" w:rsidR="0054360D" w:rsidRPr="009A0DA6" w:rsidRDefault="0054360D" w:rsidP="0054360D">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 xml:space="preserve">Reimbursements: </w:t>
      </w:r>
      <w:r w:rsidRPr="009A0DA6">
        <w:rPr>
          <w:rFonts w:ascii="Cambria" w:hAnsi="Cambria" w:cstheme="minorHAnsi"/>
        </w:rPr>
        <w:tab/>
        <w:t>21,307</w:t>
      </w:r>
      <w:r w:rsidRPr="009A0DA6">
        <w:rPr>
          <w:rFonts w:ascii="Cambria" w:hAnsi="Cambria" w:cstheme="minorHAnsi"/>
        </w:rPr>
        <w:tab/>
      </w:r>
      <w:r w:rsidRPr="009A0DA6">
        <w:rPr>
          <w:rFonts w:ascii="Cambria" w:hAnsi="Cambria" w:cstheme="minorHAnsi"/>
        </w:rPr>
        <w:tab/>
        <w:t>0</w:t>
      </w:r>
    </w:p>
    <w:p w14:paraId="2A4E0413" w14:textId="77777777" w:rsidR="0054360D" w:rsidRPr="009A0DA6" w:rsidRDefault="0054360D" w:rsidP="0054360D">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Promotion and marketing</w:t>
      </w:r>
      <w:r w:rsidRPr="009A0DA6">
        <w:rPr>
          <w:rFonts w:ascii="Cambria" w:hAnsi="Cambria" w:cstheme="minorHAnsi"/>
        </w:rPr>
        <w:tab/>
        <w:t>16,545</w:t>
      </w:r>
      <w:r w:rsidRPr="009A0DA6">
        <w:rPr>
          <w:rFonts w:ascii="Cambria" w:hAnsi="Cambria" w:cstheme="minorHAnsi"/>
        </w:rPr>
        <w:tab/>
        <w:t>17,450</w:t>
      </w:r>
      <w:r w:rsidRPr="009A0DA6">
        <w:rPr>
          <w:rFonts w:ascii="Cambria" w:hAnsi="Cambria" w:cstheme="minorHAnsi"/>
        </w:rPr>
        <w:tab/>
        <w:t>29,600</w:t>
      </w:r>
    </w:p>
    <w:p w14:paraId="0DFF28FE" w14:textId="77777777" w:rsidR="0054360D" w:rsidRPr="009A0DA6" w:rsidRDefault="0054360D" w:rsidP="0054360D">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Travelling expenses</w:t>
      </w:r>
      <w:r w:rsidRPr="009A0DA6">
        <w:rPr>
          <w:rFonts w:ascii="Cambria" w:hAnsi="Cambria" w:cstheme="minorHAnsi"/>
        </w:rPr>
        <w:tab/>
        <w:t>8,109</w:t>
      </w:r>
      <w:r w:rsidRPr="009A0DA6">
        <w:rPr>
          <w:rFonts w:ascii="Cambria" w:hAnsi="Cambria" w:cstheme="minorHAnsi"/>
        </w:rPr>
        <w:tab/>
        <w:t>6,770</w:t>
      </w:r>
      <w:r w:rsidRPr="009A0DA6">
        <w:rPr>
          <w:rFonts w:ascii="Cambria" w:hAnsi="Cambria" w:cstheme="minorHAnsi"/>
        </w:rPr>
        <w:tab/>
        <w:t>20,164</w:t>
      </w:r>
    </w:p>
    <w:p w14:paraId="10D454D2" w14:textId="77777777" w:rsidR="0054360D" w:rsidRPr="009A0DA6" w:rsidRDefault="0054360D" w:rsidP="0054360D">
      <w:pPr>
        <w:tabs>
          <w:tab w:val="right" w:pos="5954"/>
          <w:tab w:val="right" w:pos="7371"/>
          <w:tab w:val="right" w:pos="8789"/>
        </w:tabs>
        <w:spacing w:before="120" w:after="120" w:line="240" w:lineRule="auto"/>
        <w:contextualSpacing/>
        <w:rPr>
          <w:rFonts w:ascii="Cambria" w:hAnsi="Cambria" w:cstheme="minorHAnsi"/>
          <w:b/>
        </w:rPr>
      </w:pPr>
      <w:r w:rsidRPr="009A0DA6">
        <w:rPr>
          <w:rFonts w:ascii="Cambria" w:hAnsi="Cambria" w:cstheme="minorHAnsi"/>
          <w:b/>
        </w:rPr>
        <w:tab/>
        <w:t>642,605</w:t>
      </w:r>
      <w:r w:rsidRPr="009A0DA6">
        <w:rPr>
          <w:rFonts w:ascii="Cambria" w:hAnsi="Cambria" w:cstheme="minorHAnsi"/>
          <w:b/>
        </w:rPr>
        <w:tab/>
        <w:t>626,639</w:t>
      </w:r>
      <w:r w:rsidRPr="009A0DA6">
        <w:rPr>
          <w:rFonts w:ascii="Cambria" w:hAnsi="Cambria" w:cstheme="minorHAnsi"/>
          <w:b/>
        </w:rPr>
        <w:tab/>
        <w:t>641,191</w:t>
      </w:r>
    </w:p>
    <w:p w14:paraId="3CC6A6C6" w14:textId="77777777" w:rsidR="0054360D" w:rsidRPr="009A0DA6" w:rsidRDefault="0054360D" w:rsidP="0054360D">
      <w:pPr>
        <w:tabs>
          <w:tab w:val="right" w:pos="5954"/>
          <w:tab w:val="right" w:pos="7371"/>
          <w:tab w:val="right" w:pos="8789"/>
        </w:tabs>
        <w:spacing w:before="120" w:after="120" w:line="240" w:lineRule="auto"/>
        <w:contextualSpacing/>
        <w:rPr>
          <w:rFonts w:ascii="Cambria" w:hAnsi="Cambria" w:cstheme="minorHAnsi"/>
          <w:b/>
        </w:rPr>
      </w:pPr>
      <w:r w:rsidRPr="009A0DA6">
        <w:rPr>
          <w:rFonts w:ascii="Cambria" w:hAnsi="Cambria" w:cstheme="minorHAnsi"/>
          <w:b/>
        </w:rPr>
        <w:t>Operating (Deficit) for the year</w:t>
      </w:r>
      <w:r w:rsidRPr="009A0DA6">
        <w:rPr>
          <w:rFonts w:ascii="Cambria" w:hAnsi="Cambria" w:cstheme="minorHAnsi"/>
          <w:b/>
        </w:rPr>
        <w:tab/>
        <w:t>$(195,454)</w:t>
      </w:r>
      <w:r w:rsidRPr="009A0DA6">
        <w:rPr>
          <w:rFonts w:ascii="Cambria" w:hAnsi="Cambria" w:cstheme="minorHAnsi"/>
          <w:b/>
        </w:rPr>
        <w:tab/>
        <w:t>$(40,773)</w:t>
      </w:r>
      <w:r w:rsidRPr="009A0DA6">
        <w:rPr>
          <w:rFonts w:ascii="Cambria" w:hAnsi="Cambria" w:cstheme="minorHAnsi"/>
          <w:b/>
        </w:rPr>
        <w:tab/>
        <w:t>$(21,039)</w:t>
      </w:r>
    </w:p>
    <w:p w14:paraId="2BF8D365" w14:textId="77777777" w:rsidR="0054360D" w:rsidRPr="009A0DA6" w:rsidRDefault="0054360D" w:rsidP="0054360D">
      <w:pPr>
        <w:tabs>
          <w:tab w:val="right" w:pos="5954"/>
          <w:tab w:val="right" w:pos="7371"/>
          <w:tab w:val="right" w:pos="8789"/>
        </w:tabs>
        <w:spacing w:before="120" w:after="120" w:line="240" w:lineRule="auto"/>
        <w:contextualSpacing/>
        <w:rPr>
          <w:rFonts w:ascii="Cambria" w:hAnsi="Cambria" w:cstheme="minorHAnsi"/>
          <w:b/>
        </w:rPr>
      </w:pPr>
    </w:p>
    <w:p w14:paraId="03D29EE4" w14:textId="77777777" w:rsidR="0054360D" w:rsidRPr="009A0DA6" w:rsidRDefault="0054360D" w:rsidP="0054360D">
      <w:pPr>
        <w:tabs>
          <w:tab w:val="right" w:pos="5954"/>
          <w:tab w:val="right" w:pos="7371"/>
          <w:tab w:val="right" w:pos="8789"/>
        </w:tabs>
        <w:spacing w:before="120" w:after="120" w:line="240" w:lineRule="auto"/>
        <w:contextualSpacing/>
        <w:rPr>
          <w:rFonts w:ascii="Cambria" w:hAnsi="Cambria" w:cstheme="minorHAnsi"/>
          <w:b/>
        </w:rPr>
      </w:pPr>
      <w:r w:rsidRPr="009A0DA6">
        <w:rPr>
          <w:rFonts w:ascii="Cambria" w:hAnsi="Cambria" w:cstheme="minorHAnsi"/>
          <w:b/>
        </w:rPr>
        <w:t>ACCUMULATED FUNDS AND RESERVES</w:t>
      </w:r>
    </w:p>
    <w:p w14:paraId="42263219" w14:textId="77777777" w:rsidR="0054360D" w:rsidRPr="009A0DA6" w:rsidRDefault="0054360D" w:rsidP="0054360D">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 xml:space="preserve">Opening balance 1 January </w:t>
      </w:r>
      <w:r w:rsidRPr="009A0DA6">
        <w:rPr>
          <w:rFonts w:ascii="Cambria" w:hAnsi="Cambria" w:cstheme="minorHAnsi"/>
        </w:rPr>
        <w:tab/>
        <w:t>913,330</w:t>
      </w:r>
      <w:r w:rsidRPr="009A0DA6">
        <w:rPr>
          <w:rFonts w:ascii="Cambria" w:hAnsi="Cambria" w:cstheme="minorHAnsi"/>
        </w:rPr>
        <w:tab/>
        <w:t>(381840)</w:t>
      </w:r>
      <w:r w:rsidRPr="009A0DA6">
        <w:rPr>
          <w:rFonts w:ascii="Cambria" w:hAnsi="Cambria" w:cstheme="minorHAnsi"/>
        </w:rPr>
        <w:tab/>
        <w:t>(202,922)</w:t>
      </w:r>
    </w:p>
    <w:p w14:paraId="4E5CB56F" w14:textId="2BDDD674" w:rsidR="0054360D" w:rsidRPr="009A0DA6" w:rsidRDefault="0054360D" w:rsidP="0054360D">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 xml:space="preserve">Transactions recorded directly through </w:t>
      </w:r>
      <w:r w:rsidR="00151EE3">
        <w:rPr>
          <w:rFonts w:ascii="Cambria" w:hAnsi="Cambria" w:cstheme="minorHAnsi"/>
        </w:rPr>
        <w:br/>
      </w:r>
      <w:r w:rsidRPr="009A0DA6">
        <w:rPr>
          <w:rFonts w:ascii="Cambria" w:hAnsi="Cambria" w:cstheme="minorHAnsi"/>
        </w:rPr>
        <w:t>accumulated funds</w:t>
      </w:r>
      <w:r w:rsidRPr="009A0DA6">
        <w:rPr>
          <w:rFonts w:ascii="Cambria" w:hAnsi="Cambria" w:cstheme="minorHAnsi"/>
        </w:rPr>
        <w:tab/>
        <w:t>7,085</w:t>
      </w:r>
      <w:r w:rsidRPr="009A0DA6">
        <w:rPr>
          <w:rFonts w:ascii="Cambria" w:hAnsi="Cambria" w:cstheme="minorHAnsi"/>
        </w:rPr>
        <w:tab/>
        <w:t>2113</w:t>
      </w:r>
      <w:r w:rsidRPr="009A0DA6">
        <w:rPr>
          <w:rFonts w:ascii="Cambria" w:hAnsi="Cambria" w:cstheme="minorHAnsi"/>
        </w:rPr>
        <w:tab/>
        <w:t>(6,556)</w:t>
      </w:r>
    </w:p>
    <w:p w14:paraId="55A940AF" w14:textId="77777777" w:rsidR="0054360D" w:rsidRPr="009A0DA6" w:rsidRDefault="0054360D" w:rsidP="0054360D">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Operating (Deficit) for the year</w:t>
      </w:r>
      <w:r w:rsidRPr="009A0DA6">
        <w:rPr>
          <w:rFonts w:ascii="Cambria" w:hAnsi="Cambria" w:cstheme="minorHAnsi"/>
        </w:rPr>
        <w:tab/>
        <w:t>(195,454)</w:t>
      </w:r>
      <w:r w:rsidRPr="009A0DA6">
        <w:rPr>
          <w:rFonts w:ascii="Cambria" w:hAnsi="Cambria" w:cstheme="minorHAnsi"/>
        </w:rPr>
        <w:tab/>
        <w:t>(40,773)</w:t>
      </w:r>
      <w:r w:rsidRPr="009A0DA6">
        <w:rPr>
          <w:rFonts w:ascii="Cambria" w:hAnsi="Cambria" w:cstheme="minorHAnsi"/>
        </w:rPr>
        <w:tab/>
        <w:t>(21,039)</w:t>
      </w:r>
    </w:p>
    <w:p w14:paraId="59235FDA" w14:textId="77777777" w:rsidR="0054360D" w:rsidRPr="009A0DA6" w:rsidRDefault="0054360D" w:rsidP="0054360D">
      <w:pPr>
        <w:tabs>
          <w:tab w:val="right" w:pos="5954"/>
          <w:tab w:val="right" w:pos="7371"/>
          <w:tab w:val="right" w:pos="8789"/>
        </w:tabs>
        <w:spacing w:before="120" w:after="120" w:line="240" w:lineRule="auto"/>
        <w:contextualSpacing/>
        <w:rPr>
          <w:rFonts w:ascii="Cambria" w:hAnsi="Cambria" w:cstheme="minorHAnsi"/>
          <w:bCs/>
        </w:rPr>
      </w:pPr>
      <w:r w:rsidRPr="009A0DA6">
        <w:rPr>
          <w:rFonts w:ascii="Cambria" w:hAnsi="Cambria" w:cstheme="minorHAnsi"/>
        </w:rPr>
        <w:t>Add distribution of gain on asset count</w:t>
      </w:r>
      <w:r w:rsidRPr="009A0DA6">
        <w:rPr>
          <w:rFonts w:ascii="Cambria" w:hAnsi="Cambria" w:cstheme="minorHAnsi"/>
        </w:rPr>
        <w:tab/>
        <w:t>0</w:t>
      </w:r>
      <w:r w:rsidRPr="009A0DA6">
        <w:rPr>
          <w:rFonts w:ascii="Cambria" w:hAnsi="Cambria" w:cstheme="minorHAnsi"/>
        </w:rPr>
        <w:tab/>
      </w:r>
      <w:r w:rsidRPr="009A0DA6">
        <w:rPr>
          <w:rFonts w:ascii="Cambria" w:hAnsi="Cambria" w:cstheme="minorHAnsi"/>
          <w:bCs/>
        </w:rPr>
        <w:t>0</w:t>
      </w:r>
      <w:r w:rsidRPr="009A0DA6">
        <w:rPr>
          <w:rFonts w:ascii="Cambria" w:hAnsi="Cambria" w:cstheme="minorHAnsi"/>
          <w:bCs/>
        </w:rPr>
        <w:tab/>
        <w:t>28,430</w:t>
      </w:r>
    </w:p>
    <w:p w14:paraId="3D2105B6" w14:textId="77777777" w:rsidR="0054360D" w:rsidRPr="009A0DA6" w:rsidRDefault="0054360D" w:rsidP="0054360D">
      <w:pPr>
        <w:tabs>
          <w:tab w:val="right" w:pos="5954"/>
          <w:tab w:val="right" w:pos="7371"/>
          <w:tab w:val="right" w:pos="8789"/>
        </w:tabs>
        <w:spacing w:before="120" w:after="120" w:line="240" w:lineRule="auto"/>
        <w:contextualSpacing/>
        <w:rPr>
          <w:rFonts w:ascii="Cambria" w:hAnsi="Cambria" w:cstheme="minorHAnsi"/>
          <w:b/>
        </w:rPr>
      </w:pPr>
      <w:r w:rsidRPr="009A0DA6">
        <w:rPr>
          <w:rFonts w:ascii="Cambria" w:hAnsi="Cambria" w:cstheme="minorHAnsi"/>
          <w:b/>
        </w:rPr>
        <w:t>Transfer of legacies to reserves</w:t>
      </w:r>
      <w:r w:rsidRPr="009A0DA6">
        <w:rPr>
          <w:rFonts w:ascii="Cambria" w:hAnsi="Cambria" w:cstheme="minorHAnsi"/>
          <w:b/>
        </w:rPr>
        <w:tab/>
      </w:r>
      <w:r w:rsidRPr="009A0DA6">
        <w:rPr>
          <w:rFonts w:ascii="Cambria" w:hAnsi="Cambria" w:cstheme="minorHAnsi"/>
          <w:b/>
        </w:rPr>
        <w:tab/>
        <w:t>(99,045)</w:t>
      </w:r>
      <w:r w:rsidRPr="009A0DA6">
        <w:rPr>
          <w:rFonts w:ascii="Cambria" w:hAnsi="Cambria" w:cstheme="minorHAnsi"/>
          <w:b/>
        </w:rPr>
        <w:tab/>
        <w:t>179,754</w:t>
      </w:r>
    </w:p>
    <w:p w14:paraId="36E4F6F4" w14:textId="77777777" w:rsidR="0054360D" w:rsidRPr="009A0DA6" w:rsidRDefault="0054360D" w:rsidP="0054360D">
      <w:pPr>
        <w:tabs>
          <w:tab w:val="right" w:pos="5954"/>
          <w:tab w:val="right" w:pos="7371"/>
          <w:tab w:val="right" w:pos="8789"/>
        </w:tabs>
        <w:spacing w:before="120" w:after="120" w:line="240" w:lineRule="auto"/>
        <w:contextualSpacing/>
        <w:rPr>
          <w:rFonts w:ascii="Cambria" w:hAnsi="Cambria" w:cstheme="minorHAnsi"/>
          <w:b/>
        </w:rPr>
      </w:pPr>
      <w:r w:rsidRPr="009A0DA6">
        <w:rPr>
          <w:rFonts w:ascii="Cambria" w:hAnsi="Cambria" w:cstheme="minorHAnsi"/>
          <w:b/>
        </w:rPr>
        <w:t>Balance at 31 December 2017</w:t>
      </w:r>
      <w:r w:rsidRPr="009A0DA6">
        <w:rPr>
          <w:rFonts w:ascii="Cambria" w:hAnsi="Cambria" w:cstheme="minorHAnsi"/>
          <w:b/>
        </w:rPr>
        <w:tab/>
        <w:t>$724,961</w:t>
      </w:r>
      <w:r w:rsidRPr="009A0DA6">
        <w:rPr>
          <w:rFonts w:ascii="Cambria" w:hAnsi="Cambria" w:cstheme="minorHAnsi"/>
          <w:b/>
        </w:rPr>
        <w:tab/>
        <w:t>$(519,545)</w:t>
      </w:r>
      <w:r w:rsidRPr="009A0DA6">
        <w:rPr>
          <w:rFonts w:ascii="Cambria" w:hAnsi="Cambria" w:cstheme="minorHAnsi"/>
          <w:b/>
        </w:rPr>
        <w:tab/>
        <w:t>$(381,840)</w:t>
      </w:r>
    </w:p>
    <w:p w14:paraId="08E2AE55" w14:textId="77777777" w:rsidR="0054360D" w:rsidRPr="009A0DA6" w:rsidRDefault="0054360D" w:rsidP="0054360D">
      <w:pPr>
        <w:tabs>
          <w:tab w:val="right" w:pos="5954"/>
          <w:tab w:val="right" w:pos="7371"/>
          <w:tab w:val="right" w:pos="8789"/>
        </w:tabs>
        <w:spacing w:before="120" w:after="120" w:line="240" w:lineRule="auto"/>
        <w:contextualSpacing/>
        <w:rPr>
          <w:rFonts w:ascii="Cambria" w:hAnsi="Cambria" w:cstheme="minorHAnsi"/>
        </w:rPr>
      </w:pPr>
    </w:p>
    <w:p w14:paraId="7B46B57D" w14:textId="77777777" w:rsidR="0054360D" w:rsidRPr="009A0DA6" w:rsidRDefault="0054360D" w:rsidP="0054360D">
      <w:pPr>
        <w:tabs>
          <w:tab w:val="right" w:pos="5954"/>
          <w:tab w:val="right" w:pos="7371"/>
          <w:tab w:val="right" w:pos="8789"/>
        </w:tabs>
        <w:spacing w:before="120" w:after="120" w:line="240" w:lineRule="auto"/>
        <w:contextualSpacing/>
        <w:rPr>
          <w:rFonts w:ascii="Cambria" w:hAnsi="Cambria" w:cstheme="minorHAnsi"/>
          <w:b/>
        </w:rPr>
      </w:pPr>
      <w:r w:rsidRPr="009A0DA6">
        <w:rPr>
          <w:rFonts w:ascii="Cambria" w:hAnsi="Cambria" w:cstheme="minorHAnsi"/>
          <w:b/>
        </w:rPr>
        <w:t>LEGACY RESERVES</w:t>
      </w:r>
    </w:p>
    <w:p w14:paraId="62AD689B" w14:textId="77777777" w:rsidR="0054360D" w:rsidRPr="009A0DA6" w:rsidRDefault="0054360D" w:rsidP="0054360D">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Opening balance 1 January</w:t>
      </w:r>
      <w:r w:rsidRPr="009A0DA6">
        <w:rPr>
          <w:rFonts w:ascii="Cambria" w:hAnsi="Cambria" w:cstheme="minorHAnsi"/>
        </w:rPr>
        <w:tab/>
      </w:r>
      <w:r w:rsidRPr="009A0DA6">
        <w:rPr>
          <w:rFonts w:ascii="Cambria" w:hAnsi="Cambria" w:cstheme="minorHAnsi"/>
        </w:rPr>
        <w:tab/>
        <w:t>1,333,830</w:t>
      </w:r>
      <w:r w:rsidRPr="009A0DA6">
        <w:rPr>
          <w:rFonts w:ascii="Cambria" w:hAnsi="Cambria" w:cstheme="minorHAnsi"/>
        </w:rPr>
        <w:tab/>
        <w:t>1,154,076</w:t>
      </w:r>
    </w:p>
    <w:p w14:paraId="3192E73D" w14:textId="77777777" w:rsidR="0054360D" w:rsidRPr="009A0DA6" w:rsidRDefault="0054360D" w:rsidP="0054360D">
      <w:pPr>
        <w:tabs>
          <w:tab w:val="right" w:pos="5954"/>
          <w:tab w:val="right" w:pos="7371"/>
          <w:tab w:val="right" w:pos="8789"/>
        </w:tabs>
        <w:spacing w:before="120" w:after="120" w:line="240" w:lineRule="auto"/>
        <w:contextualSpacing/>
        <w:rPr>
          <w:rFonts w:ascii="Cambria" w:hAnsi="Cambria" w:cstheme="minorHAnsi"/>
          <w:b/>
        </w:rPr>
      </w:pPr>
      <w:r w:rsidRPr="009A0DA6">
        <w:rPr>
          <w:rFonts w:ascii="Cambria" w:hAnsi="Cambria" w:cstheme="minorHAnsi"/>
          <w:b/>
        </w:rPr>
        <w:t>Transfer of legacies to reserves</w:t>
      </w:r>
      <w:r w:rsidRPr="009A0DA6">
        <w:rPr>
          <w:rFonts w:ascii="Cambria" w:hAnsi="Cambria" w:cstheme="minorHAnsi"/>
          <w:b/>
        </w:rPr>
        <w:tab/>
      </w:r>
      <w:r w:rsidRPr="009A0DA6">
        <w:rPr>
          <w:rFonts w:ascii="Cambria" w:hAnsi="Cambria" w:cstheme="minorHAnsi"/>
          <w:b/>
        </w:rPr>
        <w:tab/>
        <w:t>99,045</w:t>
      </w:r>
      <w:r w:rsidRPr="009A0DA6">
        <w:rPr>
          <w:rFonts w:ascii="Cambria" w:hAnsi="Cambria" w:cstheme="minorHAnsi"/>
          <w:b/>
        </w:rPr>
        <w:tab/>
        <w:t>179,754</w:t>
      </w:r>
    </w:p>
    <w:p w14:paraId="6BBDDC55" w14:textId="77777777" w:rsidR="0054360D" w:rsidRPr="009A0DA6" w:rsidRDefault="0054360D" w:rsidP="0054360D">
      <w:pPr>
        <w:tabs>
          <w:tab w:val="right" w:pos="5954"/>
          <w:tab w:val="right" w:pos="7371"/>
          <w:tab w:val="right" w:pos="8789"/>
        </w:tabs>
        <w:spacing w:before="120" w:after="120" w:line="240" w:lineRule="auto"/>
        <w:contextualSpacing/>
        <w:rPr>
          <w:rFonts w:ascii="Cambria" w:hAnsi="Cambria" w:cstheme="minorHAnsi"/>
          <w:b/>
        </w:rPr>
      </w:pPr>
      <w:r w:rsidRPr="009A0DA6">
        <w:rPr>
          <w:rFonts w:ascii="Cambria" w:hAnsi="Cambria" w:cstheme="minorHAnsi"/>
          <w:b/>
        </w:rPr>
        <w:t>Balance at 31 December 2017</w:t>
      </w:r>
      <w:r w:rsidRPr="009A0DA6">
        <w:rPr>
          <w:rFonts w:ascii="Cambria" w:hAnsi="Cambria" w:cstheme="minorHAnsi"/>
          <w:b/>
        </w:rPr>
        <w:tab/>
      </w:r>
      <w:r w:rsidRPr="009A0DA6">
        <w:rPr>
          <w:rFonts w:ascii="Cambria" w:hAnsi="Cambria" w:cstheme="minorHAnsi"/>
          <w:b/>
        </w:rPr>
        <w:tab/>
        <w:t>$1,432,875</w:t>
      </w:r>
      <w:r w:rsidRPr="009A0DA6">
        <w:rPr>
          <w:rFonts w:ascii="Cambria" w:hAnsi="Cambria" w:cstheme="minorHAnsi"/>
          <w:b/>
        </w:rPr>
        <w:tab/>
        <w:t>$1,333,830</w:t>
      </w:r>
    </w:p>
    <w:p w14:paraId="6DBAAC87" w14:textId="77777777" w:rsidR="0054360D" w:rsidRPr="009A0DA6" w:rsidRDefault="0054360D" w:rsidP="0054360D">
      <w:pPr>
        <w:tabs>
          <w:tab w:val="right" w:pos="5954"/>
          <w:tab w:val="right" w:pos="7371"/>
          <w:tab w:val="right" w:pos="8789"/>
        </w:tabs>
        <w:spacing w:before="120" w:after="120" w:line="240" w:lineRule="auto"/>
        <w:contextualSpacing/>
        <w:rPr>
          <w:rFonts w:ascii="Cambria" w:hAnsi="Cambria" w:cstheme="minorHAnsi"/>
          <w:b/>
        </w:rPr>
      </w:pPr>
    </w:p>
    <w:p w14:paraId="2D79966E" w14:textId="77777777" w:rsidR="0054360D" w:rsidRPr="009A0DA6" w:rsidRDefault="0054360D" w:rsidP="0054360D">
      <w:pPr>
        <w:tabs>
          <w:tab w:val="right" w:pos="5954"/>
          <w:tab w:val="right" w:pos="7371"/>
          <w:tab w:val="right" w:pos="8789"/>
        </w:tabs>
        <w:spacing w:before="120" w:after="120" w:line="240" w:lineRule="auto"/>
        <w:contextualSpacing/>
        <w:rPr>
          <w:rFonts w:ascii="Cambria" w:hAnsi="Cambria" w:cstheme="minorHAnsi"/>
          <w:b/>
        </w:rPr>
      </w:pPr>
      <w:r w:rsidRPr="009A0DA6">
        <w:rPr>
          <w:rFonts w:ascii="Cambria" w:hAnsi="Cambria" w:cstheme="minorHAnsi"/>
          <w:b/>
        </w:rPr>
        <w:t xml:space="preserve">Net value of Accumulated Funds, </w:t>
      </w:r>
      <w:r w:rsidRPr="009A0DA6">
        <w:rPr>
          <w:rFonts w:ascii="Cambria" w:hAnsi="Cambria" w:cstheme="minorHAnsi"/>
          <w:b/>
        </w:rPr>
        <w:br/>
        <w:t>Reserves and Legacies</w:t>
      </w:r>
      <w:r w:rsidRPr="009A0DA6">
        <w:rPr>
          <w:rFonts w:ascii="Cambria" w:hAnsi="Cambria" w:cstheme="minorHAnsi"/>
          <w:b/>
        </w:rPr>
        <w:tab/>
        <w:t>$724,961</w:t>
      </w:r>
      <w:r w:rsidRPr="009A0DA6">
        <w:rPr>
          <w:rFonts w:ascii="Cambria" w:hAnsi="Cambria" w:cstheme="minorHAnsi"/>
          <w:b/>
        </w:rPr>
        <w:tab/>
        <w:t>$913,330</w:t>
      </w:r>
      <w:r w:rsidRPr="009A0DA6">
        <w:rPr>
          <w:rFonts w:ascii="Cambria" w:hAnsi="Cambria" w:cstheme="minorHAnsi"/>
          <w:b/>
        </w:rPr>
        <w:tab/>
        <w:t>$951,990</w:t>
      </w:r>
    </w:p>
    <w:p w14:paraId="69642BAD" w14:textId="77777777" w:rsidR="00DE6169" w:rsidRDefault="00DE6169">
      <w:pPr>
        <w:rPr>
          <w:rFonts w:ascii="Cambria" w:eastAsiaTheme="majorEastAsia" w:hAnsi="Cambria" w:cstheme="majorBidi"/>
          <w:b/>
          <w:caps/>
          <w:sz w:val="28"/>
          <w:szCs w:val="24"/>
        </w:rPr>
      </w:pPr>
      <w:r>
        <w:br w:type="page"/>
      </w:r>
    </w:p>
    <w:p w14:paraId="6734C9B7" w14:textId="64F6C158" w:rsidR="00CE0DB0" w:rsidRPr="0054360D" w:rsidRDefault="00CE0DB0" w:rsidP="00964A90">
      <w:pPr>
        <w:pStyle w:val="Heading3"/>
      </w:pPr>
      <w:r w:rsidRPr="0054360D">
        <w:lastRenderedPageBreak/>
        <w:t>Agenda 10.1</w:t>
      </w:r>
    </w:p>
    <w:p w14:paraId="6F2B5FC6" w14:textId="77777777" w:rsidR="00CE0DB0" w:rsidRPr="0054360D" w:rsidRDefault="00CE0DB0" w:rsidP="00CE0DB0">
      <w:pPr>
        <w:pStyle w:val="Heading2"/>
      </w:pPr>
      <w:bookmarkStart w:id="499" w:name="_Toc521954741"/>
      <w:r w:rsidRPr="0054360D">
        <w:t>Australian Lutheran College Ltd</w:t>
      </w:r>
      <w:bookmarkEnd w:id="499"/>
    </w:p>
    <w:p w14:paraId="6E061727" w14:textId="77777777" w:rsidR="00CE0DB0" w:rsidRPr="0054360D" w:rsidRDefault="00CE0DB0" w:rsidP="00CE0DB0">
      <w:pPr>
        <w:pStyle w:val="NoSpacing"/>
      </w:pPr>
    </w:p>
    <w:p w14:paraId="44A435D8" w14:textId="77777777" w:rsidR="0062144A" w:rsidRPr="0054360D" w:rsidRDefault="0062144A" w:rsidP="0062144A">
      <w:pPr>
        <w:pStyle w:val="Heading3"/>
        <w:rPr>
          <w:lang w:eastAsia="en-AU"/>
        </w:rPr>
      </w:pPr>
      <w:r w:rsidRPr="0054360D">
        <w:rPr>
          <w:lang w:eastAsia="en-AU"/>
        </w:rPr>
        <w:t>MEMBERS</w:t>
      </w:r>
    </w:p>
    <w:p w14:paraId="6AB282D2" w14:textId="77777777" w:rsidR="0062144A" w:rsidRPr="0054360D" w:rsidRDefault="0062144A" w:rsidP="0062144A">
      <w:pPr>
        <w:pStyle w:val="NoSpacing"/>
        <w:spacing w:before="120" w:after="120"/>
        <w:contextualSpacing/>
        <w:rPr>
          <w:lang w:eastAsia="ja-JP"/>
        </w:rPr>
      </w:pPr>
      <w:r w:rsidRPr="0054360D">
        <w:t>Rev David Gogoll (Chair), Mr Nathan Klinge (Vice–Chair), Dr Kristine Gebbie (Secretary), Ms Sue Kloeden, Rev Robert Paech, Mr Brian Mills (resigned 23/3/2018), Mr David Dreckow, Mr David Prenzler, Rev Greg Pietsch, Rev John Henderson (</w:t>
      </w:r>
      <w:r w:rsidRPr="0054360D">
        <w:rPr>
          <w:i/>
        </w:rPr>
        <w:t>ex officio</w:t>
      </w:r>
      <w:r w:rsidRPr="0054360D">
        <w:t>)</w:t>
      </w:r>
    </w:p>
    <w:p w14:paraId="5D51ACF2" w14:textId="77777777" w:rsidR="0062144A" w:rsidRPr="0054360D" w:rsidRDefault="0062144A" w:rsidP="0062144A">
      <w:pPr>
        <w:pStyle w:val="Heading3"/>
        <w:rPr>
          <w:rFonts w:cs="Arial"/>
          <w:i/>
        </w:rPr>
      </w:pPr>
      <w:r w:rsidRPr="0054360D">
        <w:t>Background</w:t>
      </w:r>
    </w:p>
    <w:p w14:paraId="2164A705" w14:textId="77777777" w:rsidR="0062144A" w:rsidRPr="0054360D" w:rsidRDefault="0062144A" w:rsidP="0062144A">
      <w:pPr>
        <w:spacing w:before="120" w:after="120" w:line="240" w:lineRule="auto"/>
        <w:contextualSpacing/>
        <w:rPr>
          <w:rFonts w:ascii="Cambria" w:hAnsi="Cambria"/>
        </w:rPr>
      </w:pPr>
      <w:r w:rsidRPr="0054360D">
        <w:rPr>
          <w:rFonts w:ascii="Cambria" w:hAnsi="Cambria"/>
        </w:rPr>
        <w:t xml:space="preserve">The vision of Australian Lutheran College (ALC), as the theological education and research institution of the Lutheran Church of Australia (LCA), is to see God’s love in Christ coming to life through preparing God’s servants – pastors, teachers, church workers and volunteers of all kinds – to serve and lead with confident Christian faith, integrity, competence and compassion in a diverse and changing denomination and world. To meet that vision ALC’s mission is to provide: </w:t>
      </w:r>
    </w:p>
    <w:p w14:paraId="2D681BE5" w14:textId="77777777" w:rsidR="0062144A" w:rsidRPr="0054360D" w:rsidRDefault="0062144A" w:rsidP="00F55252">
      <w:pPr>
        <w:pStyle w:val="ListParagraph"/>
        <w:numPr>
          <w:ilvl w:val="0"/>
          <w:numId w:val="224"/>
        </w:numPr>
        <w:tabs>
          <w:tab w:val="clear" w:pos="720"/>
          <w:tab w:val="num" w:pos="567"/>
        </w:tabs>
        <w:spacing w:before="120" w:after="120" w:line="240" w:lineRule="auto"/>
        <w:ind w:left="567" w:hanging="567"/>
        <w:rPr>
          <w:rFonts w:ascii="Cambria" w:hAnsi="Cambria"/>
        </w:rPr>
      </w:pPr>
      <w:r w:rsidRPr="0054360D">
        <w:rPr>
          <w:rFonts w:ascii="Cambria" w:hAnsi="Cambria"/>
        </w:rPr>
        <w:t xml:space="preserve">theological education and research for vocation and life, with an emphasis on vocational formation of people to meet the needs of church and world in a post-modern society no longer literate in the Christian faith; </w:t>
      </w:r>
    </w:p>
    <w:p w14:paraId="0E02F90F" w14:textId="77777777" w:rsidR="0062144A" w:rsidRPr="0054360D" w:rsidRDefault="0062144A" w:rsidP="00F55252">
      <w:pPr>
        <w:pStyle w:val="ListParagraph"/>
        <w:numPr>
          <w:ilvl w:val="0"/>
          <w:numId w:val="224"/>
        </w:numPr>
        <w:tabs>
          <w:tab w:val="clear" w:pos="720"/>
          <w:tab w:val="num" w:pos="567"/>
        </w:tabs>
        <w:spacing w:before="120" w:after="120" w:line="240" w:lineRule="auto"/>
        <w:ind w:left="567" w:hanging="567"/>
        <w:rPr>
          <w:rFonts w:ascii="Cambria" w:hAnsi="Cambria"/>
        </w:rPr>
      </w:pPr>
      <w:r w:rsidRPr="0054360D">
        <w:rPr>
          <w:rFonts w:ascii="Cambria" w:hAnsi="Cambria"/>
        </w:rPr>
        <w:t xml:space="preserve">opportunities for growth, education and training for pre-vocational, vocational and post-vocational needs that include Certificate IV, Diploma, Bachelor, Masters, and Doctoral studies; </w:t>
      </w:r>
    </w:p>
    <w:p w14:paraId="23197843" w14:textId="77777777" w:rsidR="0062144A" w:rsidRPr="0054360D" w:rsidRDefault="0062144A" w:rsidP="00F55252">
      <w:pPr>
        <w:pStyle w:val="ListParagraph"/>
        <w:numPr>
          <w:ilvl w:val="0"/>
          <w:numId w:val="224"/>
        </w:numPr>
        <w:tabs>
          <w:tab w:val="clear" w:pos="720"/>
          <w:tab w:val="num" w:pos="567"/>
        </w:tabs>
        <w:spacing w:before="120" w:after="120" w:line="240" w:lineRule="auto"/>
        <w:ind w:left="567" w:hanging="567"/>
        <w:rPr>
          <w:rFonts w:ascii="Cambria" w:hAnsi="Cambria"/>
        </w:rPr>
      </w:pPr>
      <w:r w:rsidRPr="0054360D">
        <w:rPr>
          <w:rFonts w:ascii="Cambria" w:hAnsi="Cambria"/>
        </w:rPr>
        <w:t xml:space="preserve">church life research to inform the LCA and the broader community. </w:t>
      </w:r>
    </w:p>
    <w:p w14:paraId="23276494" w14:textId="77777777" w:rsidR="0062144A" w:rsidRPr="0054360D" w:rsidRDefault="0062144A" w:rsidP="0062144A">
      <w:pPr>
        <w:spacing w:before="120" w:after="120" w:line="240" w:lineRule="auto"/>
        <w:contextualSpacing/>
        <w:rPr>
          <w:rFonts w:ascii="Cambria" w:hAnsi="Cambria"/>
        </w:rPr>
      </w:pPr>
      <w:r w:rsidRPr="0054360D">
        <w:rPr>
          <w:rFonts w:ascii="Cambria" w:hAnsi="Cambria"/>
        </w:rPr>
        <w:t xml:space="preserve">The history of Lutheran vocational training and formation in Australia dates back to 1838 when Lutherans arrived in Australia. Following the formation of the Lutheran Church of Australia (LCA) in 1966 (when the two former synods – the ELCA and the UELCA – joined) three training institutions emerged: Luther Seminary, Lutheran Teachers College and Lay Training Centre. Eventually these three were merged into Luther Seminary. Its name changed to the current Australian Lutheran College in 2003. In 2005 ALC was registered with the government as a Higher Education Provider. In 2010 it established Vocational Training and Education (VET) qualifications. ALC’s VET partner is the Australian Centre for Advanced Studies. In 2010 ALC joined the University of Divinity, an ecumenical higher education institution, in order to provide undergraduate, graduate and post-graduate degree programs. </w:t>
      </w:r>
    </w:p>
    <w:p w14:paraId="394A4B1F" w14:textId="486B0299" w:rsidR="0062144A" w:rsidRPr="0054360D" w:rsidRDefault="0062144A" w:rsidP="0062144A">
      <w:pPr>
        <w:spacing w:before="120" w:after="120" w:line="240" w:lineRule="auto"/>
        <w:contextualSpacing/>
        <w:rPr>
          <w:rFonts w:ascii="Cambria" w:hAnsi="Cambria"/>
        </w:rPr>
      </w:pPr>
      <w:r w:rsidRPr="0054360D">
        <w:rPr>
          <w:rFonts w:ascii="Cambria" w:hAnsi="Cambria"/>
        </w:rPr>
        <w:br/>
        <w:t xml:space="preserve">Throughout this journey the LCA has continued to maintain and financially support ALC as part of its constitution: </w:t>
      </w:r>
    </w:p>
    <w:p w14:paraId="7230B76E" w14:textId="77777777" w:rsidR="0062144A" w:rsidRPr="0054360D" w:rsidRDefault="0062144A" w:rsidP="0062144A">
      <w:pPr>
        <w:spacing w:before="120" w:after="120" w:line="240" w:lineRule="auto"/>
        <w:ind w:left="720"/>
        <w:contextualSpacing/>
        <w:rPr>
          <w:rFonts w:ascii="Cambria" w:hAnsi="Cambria"/>
          <w:i/>
        </w:rPr>
      </w:pPr>
      <w:r w:rsidRPr="0054360D">
        <w:rPr>
          <w:rFonts w:ascii="Cambria" w:hAnsi="Cambria"/>
          <w:i/>
        </w:rPr>
        <w:t xml:space="preserve">3.1.5 provide pastors and teachers and other church workers for service in the Church and its congregations, and for this purpose to establish and maintain institutions for their training. </w:t>
      </w:r>
    </w:p>
    <w:p w14:paraId="51F9E8A0" w14:textId="4C4F7894" w:rsidR="0062144A" w:rsidRPr="0054360D" w:rsidRDefault="0062144A" w:rsidP="0062144A">
      <w:pPr>
        <w:spacing w:before="120" w:after="120" w:line="240" w:lineRule="auto"/>
        <w:contextualSpacing/>
        <w:rPr>
          <w:rFonts w:ascii="Cambria" w:hAnsi="Cambria"/>
        </w:rPr>
      </w:pPr>
      <w:r w:rsidRPr="0054360D">
        <w:rPr>
          <w:rFonts w:ascii="Cambria" w:hAnsi="Cambria"/>
        </w:rPr>
        <w:br/>
        <w:t xml:space="preserve">Challenges facing both ALC and the LCA are that the world has changed. The LCA expressed its own priorities in these changing circumstances in its Strategic Direction 2013-2018 document, one of the key guiding documents in developing ALC’s Strategic Direction 2017-2022 document. ALC must change in order to meet expectations in a financially sustainable way, both challenging internal structures and assumptions, and developing new ways of working. The changes must also take into account major changes to government policy and the education sector in relation to universities, TAFE, fee support and registered training providers. </w:t>
      </w:r>
    </w:p>
    <w:p w14:paraId="7B5E3117" w14:textId="1FD1AD2B" w:rsidR="0062144A" w:rsidRPr="0054360D" w:rsidRDefault="0062144A" w:rsidP="0062144A">
      <w:pPr>
        <w:spacing w:before="120" w:after="120" w:line="240" w:lineRule="auto"/>
        <w:contextualSpacing/>
        <w:rPr>
          <w:rFonts w:ascii="Cambria" w:hAnsi="Cambria"/>
        </w:rPr>
      </w:pPr>
      <w:r w:rsidRPr="0054360D">
        <w:rPr>
          <w:rFonts w:ascii="Cambria" w:hAnsi="Cambria"/>
        </w:rPr>
        <w:br/>
        <w:t>ALC’s expectation is to see God’s love in Christ coming to life as it equips and nurtures students as lifelong learners to serve and lead with integrity, competence and compassion in a diverse and changing church and world.</w:t>
      </w:r>
    </w:p>
    <w:p w14:paraId="678E3FEE" w14:textId="49ED1792" w:rsidR="0062144A" w:rsidRPr="009A0DA6" w:rsidRDefault="0062144A" w:rsidP="0062144A">
      <w:pPr>
        <w:pStyle w:val="Heading3"/>
      </w:pPr>
      <w:r w:rsidRPr="0054360D">
        <w:lastRenderedPageBreak/>
        <w:t>Achievement against Plan</w:t>
      </w:r>
    </w:p>
    <w:tbl>
      <w:tblPr>
        <w:tblStyle w:val="PlainTable2"/>
        <w:tblW w:w="8633" w:type="dxa"/>
        <w:tblLook w:val="04A0" w:firstRow="1" w:lastRow="0" w:firstColumn="1" w:lastColumn="0" w:noHBand="0" w:noVBand="1"/>
      </w:tblPr>
      <w:tblGrid>
        <w:gridCol w:w="2171"/>
        <w:gridCol w:w="3231"/>
        <w:gridCol w:w="3231"/>
      </w:tblGrid>
      <w:tr w:rsidR="0062144A" w:rsidRPr="009A0DA6" w14:paraId="298CF04A" w14:textId="77777777" w:rsidTr="008F179B">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171" w:type="dxa"/>
            <w:vAlign w:val="center"/>
            <w:hideMark/>
          </w:tcPr>
          <w:p w14:paraId="573781F9" w14:textId="77777777" w:rsidR="0062144A" w:rsidRPr="009A0DA6" w:rsidRDefault="0062144A" w:rsidP="00275B7A">
            <w:pPr>
              <w:spacing w:before="120" w:after="120"/>
              <w:contextualSpacing/>
              <w:rPr>
                <w:rFonts w:ascii="Cambria" w:hAnsi="Cambria" w:cs="Arial"/>
              </w:rPr>
            </w:pPr>
            <w:r w:rsidRPr="009A0DA6">
              <w:rPr>
                <w:rFonts w:ascii="Cambria" w:hAnsi="Cambria" w:cs="Arial"/>
              </w:rPr>
              <w:t>Objectives</w:t>
            </w:r>
          </w:p>
        </w:tc>
        <w:tc>
          <w:tcPr>
            <w:tcW w:w="3231" w:type="dxa"/>
            <w:vAlign w:val="center"/>
            <w:hideMark/>
          </w:tcPr>
          <w:p w14:paraId="0782189C" w14:textId="77777777" w:rsidR="0062144A" w:rsidRPr="009A0DA6" w:rsidRDefault="0062144A" w:rsidP="00275B7A">
            <w:pPr>
              <w:spacing w:before="120" w:after="120"/>
              <w:contextualSpacing/>
              <w:cnfStyle w:val="100000000000" w:firstRow="1"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Planned Annual Activities/Outcomes</w:t>
            </w:r>
          </w:p>
        </w:tc>
        <w:tc>
          <w:tcPr>
            <w:tcW w:w="3231" w:type="dxa"/>
            <w:vAlign w:val="center"/>
            <w:hideMark/>
          </w:tcPr>
          <w:p w14:paraId="24F6C269" w14:textId="77777777" w:rsidR="0062144A" w:rsidRPr="009A0DA6" w:rsidRDefault="0062144A" w:rsidP="00275B7A">
            <w:pPr>
              <w:spacing w:before="120" w:after="120"/>
              <w:contextualSpacing/>
              <w:cnfStyle w:val="100000000000" w:firstRow="1"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Achievement of Annual Activities/Outcomes</w:t>
            </w:r>
          </w:p>
        </w:tc>
      </w:tr>
      <w:tr w:rsidR="0062144A" w:rsidRPr="009A0DA6" w14:paraId="6923EFED" w14:textId="77777777" w:rsidTr="008F179B">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171" w:type="dxa"/>
            <w:hideMark/>
          </w:tcPr>
          <w:p w14:paraId="1EEB1EED" w14:textId="0E2C6A58" w:rsidR="0062144A" w:rsidRPr="009A0DA6" w:rsidRDefault="0062144A" w:rsidP="00F55252">
            <w:pPr>
              <w:pStyle w:val="ListParagraph"/>
              <w:widowControl w:val="0"/>
              <w:numPr>
                <w:ilvl w:val="0"/>
                <w:numId w:val="216"/>
              </w:numPr>
              <w:suppressAutoHyphens/>
              <w:spacing w:before="120" w:after="120" w:line="240" w:lineRule="auto"/>
              <w:ind w:left="177" w:hanging="177"/>
              <w:rPr>
                <w:rFonts w:ascii="Cambria" w:hAnsi="Cambria" w:cs="Arial"/>
                <w:b w:val="0"/>
              </w:rPr>
            </w:pPr>
            <w:r w:rsidRPr="009A0DA6">
              <w:rPr>
                <w:rFonts w:ascii="Cambria" w:hAnsi="Cambria"/>
              </w:rPr>
              <w:t>Equipping people for service in the church and the world</w:t>
            </w:r>
          </w:p>
        </w:tc>
        <w:tc>
          <w:tcPr>
            <w:tcW w:w="3231" w:type="dxa"/>
            <w:hideMark/>
          </w:tcPr>
          <w:p w14:paraId="3D0E2DFC" w14:textId="4AD0E358" w:rsidR="0062144A" w:rsidRPr="009A0DA6" w:rsidRDefault="0062144A" w:rsidP="0062144A">
            <w:pPr>
              <w:spacing w:before="120" w:after="120"/>
              <w:ind w:left="175" w:hanging="175"/>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rPr>
              <w:t xml:space="preserve">1. work with others in the LCA to define explicit competencies for pastors, lay workers and others studying courses at all levels with ALC; </w:t>
            </w:r>
          </w:p>
          <w:p w14:paraId="6406E5C0" w14:textId="77777777" w:rsidR="0062144A" w:rsidRPr="009A0DA6" w:rsidRDefault="0062144A" w:rsidP="00F55252">
            <w:pPr>
              <w:pStyle w:val="ListParagraph"/>
              <w:numPr>
                <w:ilvl w:val="0"/>
                <w:numId w:val="216"/>
              </w:numPr>
              <w:spacing w:before="120" w:after="120" w:line="240" w:lineRule="auto"/>
              <w:ind w:left="175" w:hanging="175"/>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rPr>
              <w:t xml:space="preserve">establish specific numbers of students desired in programs, consistent with fiscal needs, and work toward achieving and maintaining those numbers; </w:t>
            </w:r>
          </w:p>
          <w:p w14:paraId="77A8E258" w14:textId="15ED6516" w:rsidR="0062144A" w:rsidRPr="009A0DA6" w:rsidRDefault="0062144A" w:rsidP="00F55252">
            <w:pPr>
              <w:pStyle w:val="ListParagraph"/>
              <w:numPr>
                <w:ilvl w:val="0"/>
                <w:numId w:val="216"/>
              </w:numPr>
              <w:spacing w:before="120" w:after="120" w:line="240" w:lineRule="auto"/>
              <w:ind w:left="175" w:hanging="175"/>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rPr>
              <w:t>partner with others (</w:t>
            </w:r>
            <w:r w:rsidR="00C3381F" w:rsidRPr="009A0DA6">
              <w:rPr>
                <w:rFonts w:ascii="Cambria" w:hAnsi="Cambria"/>
              </w:rPr>
              <w:t>eg</w:t>
            </w:r>
            <w:r w:rsidRPr="009A0DA6">
              <w:rPr>
                <w:rFonts w:ascii="Cambria" w:hAnsi="Cambria"/>
              </w:rPr>
              <w:t xml:space="preserve"> congregations, schools, aged care services) to form Centres of Learning and Innovation, with the possibilities of co-located adjunct lecturers and shared relevant research; </w:t>
            </w:r>
          </w:p>
          <w:p w14:paraId="250043E1" w14:textId="77777777" w:rsidR="0062144A" w:rsidRPr="009A0DA6" w:rsidRDefault="0062144A" w:rsidP="00F55252">
            <w:pPr>
              <w:pStyle w:val="ListParagraph"/>
              <w:numPr>
                <w:ilvl w:val="0"/>
                <w:numId w:val="216"/>
              </w:numPr>
              <w:spacing w:before="120" w:after="120" w:line="240" w:lineRule="auto"/>
              <w:ind w:left="425"/>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rPr>
              <w:t xml:space="preserve">maintain an intentional international role, including partnerships with international theological institutions and serve international students; </w:t>
            </w:r>
          </w:p>
          <w:p w14:paraId="1638D699" w14:textId="77777777" w:rsidR="0062144A" w:rsidRPr="009A0DA6" w:rsidRDefault="0062144A" w:rsidP="00F55252">
            <w:pPr>
              <w:pStyle w:val="ListParagraph"/>
              <w:numPr>
                <w:ilvl w:val="0"/>
                <w:numId w:val="216"/>
              </w:numPr>
              <w:spacing w:before="120" w:after="120" w:line="240" w:lineRule="auto"/>
              <w:ind w:left="425"/>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rPr>
              <w:t xml:space="preserve">refine the curriculum and courses to ensure that they meet this strategic direction; </w:t>
            </w:r>
          </w:p>
          <w:p w14:paraId="1D8D667A" w14:textId="77777777" w:rsidR="0062144A" w:rsidRPr="009A0DA6" w:rsidRDefault="0062144A" w:rsidP="00F55252">
            <w:pPr>
              <w:pStyle w:val="ListParagraph"/>
              <w:numPr>
                <w:ilvl w:val="0"/>
                <w:numId w:val="216"/>
              </w:numPr>
              <w:spacing w:before="120" w:after="120" w:line="240" w:lineRule="auto"/>
              <w:ind w:left="425"/>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rPr>
              <w:t>develop quality assurance methods that measure teaching, research and student outcomes toward the identified ALC purpose and goals.</w:t>
            </w:r>
          </w:p>
        </w:tc>
        <w:tc>
          <w:tcPr>
            <w:tcW w:w="3231" w:type="dxa"/>
          </w:tcPr>
          <w:p w14:paraId="54A12751" w14:textId="77777777" w:rsidR="0062144A" w:rsidRPr="009A0DA6" w:rsidRDefault="0062144A">
            <w:pPr>
              <w:spacing w:before="120" w:after="120"/>
              <w:contextualSpacing/>
              <w:cnfStyle w:val="000000100000" w:firstRow="0" w:lastRow="0" w:firstColumn="0" w:lastColumn="0" w:oddVBand="0" w:evenVBand="0" w:oddHBand="1" w:evenHBand="0" w:firstRowFirstColumn="0" w:firstRowLastColumn="0" w:lastRowFirstColumn="0" w:lastRowLastColumn="0"/>
              <w:rPr>
                <w:rFonts w:ascii="Cambria" w:hAnsi="Cambria" w:cstheme="minorHAnsi"/>
              </w:rPr>
            </w:pPr>
            <w:r w:rsidRPr="009A0DA6">
              <w:rPr>
                <w:rFonts w:ascii="Cambria" w:hAnsi="Cambria" w:cstheme="minorHAnsi"/>
              </w:rPr>
              <w:t>Conversations that relate to the LCA’s learning and teaching needs are underway between various representatives of the College and:</w:t>
            </w:r>
          </w:p>
          <w:p w14:paraId="456E35D4" w14:textId="77777777" w:rsidR="0062144A" w:rsidRPr="009A0DA6" w:rsidRDefault="0062144A">
            <w:pPr>
              <w:spacing w:before="120" w:after="120"/>
              <w:contextualSpacing/>
              <w:cnfStyle w:val="000000100000" w:firstRow="0" w:lastRow="0" w:firstColumn="0" w:lastColumn="0" w:oddVBand="0" w:evenVBand="0" w:oddHBand="1" w:evenHBand="0" w:firstRowFirstColumn="0" w:firstRowLastColumn="0" w:lastRowFirstColumn="0" w:lastRowLastColumn="0"/>
              <w:rPr>
                <w:rFonts w:ascii="Cambria" w:hAnsi="Cambria" w:cstheme="minorHAnsi"/>
                <w:u w:val="single"/>
              </w:rPr>
            </w:pPr>
          </w:p>
          <w:p w14:paraId="3013D2F8" w14:textId="10D6991C" w:rsidR="0062144A" w:rsidRPr="009A0DA6" w:rsidRDefault="0062144A">
            <w:pPr>
              <w:spacing w:before="120" w:after="120"/>
              <w:contextualSpacing/>
              <w:cnfStyle w:val="000000100000" w:firstRow="0" w:lastRow="0" w:firstColumn="0" w:lastColumn="0" w:oddVBand="0" w:evenVBand="0" w:oddHBand="1" w:evenHBand="0" w:firstRowFirstColumn="0" w:firstRowLastColumn="0" w:lastRowFirstColumn="0" w:lastRowLastColumn="0"/>
              <w:rPr>
                <w:rFonts w:ascii="Cambria" w:hAnsi="Cambria" w:cstheme="minorHAnsi"/>
              </w:rPr>
            </w:pPr>
            <w:r w:rsidRPr="009A0DA6">
              <w:rPr>
                <w:rFonts w:ascii="Cambria" w:hAnsi="Cambria" w:cstheme="minorHAnsi"/>
                <w:u w:val="single"/>
              </w:rPr>
              <w:t>Lutheran Education Australia</w:t>
            </w:r>
            <w:r w:rsidRPr="009A0DA6">
              <w:rPr>
                <w:rFonts w:ascii="Cambria" w:hAnsi="Cambria" w:cstheme="minorHAnsi"/>
              </w:rPr>
              <w:t xml:space="preserve"> along with various educational regions and individual schools</w:t>
            </w:r>
            <w:r w:rsidR="0027799A" w:rsidRPr="009A0DA6">
              <w:rPr>
                <w:rFonts w:ascii="Cambria" w:hAnsi="Cambria" w:cstheme="minorHAnsi"/>
              </w:rPr>
              <w:t xml:space="preserve">. </w:t>
            </w:r>
            <w:r w:rsidRPr="009A0DA6">
              <w:rPr>
                <w:rFonts w:ascii="Cambria" w:hAnsi="Cambria" w:cstheme="minorHAnsi"/>
              </w:rPr>
              <w:t>These conversations are focussed upon the theological formation of teaching staff and school leaders.</w:t>
            </w:r>
          </w:p>
          <w:p w14:paraId="03913C7A" w14:textId="77777777" w:rsidR="0062144A" w:rsidRPr="009A0DA6" w:rsidRDefault="0062144A">
            <w:pPr>
              <w:spacing w:before="120" w:after="120"/>
              <w:contextualSpacing/>
              <w:cnfStyle w:val="000000100000" w:firstRow="0" w:lastRow="0" w:firstColumn="0" w:lastColumn="0" w:oddVBand="0" w:evenVBand="0" w:oddHBand="1" w:evenHBand="0" w:firstRowFirstColumn="0" w:firstRowLastColumn="0" w:lastRowFirstColumn="0" w:lastRowLastColumn="0"/>
              <w:rPr>
                <w:rFonts w:ascii="Cambria" w:hAnsi="Cambria" w:cstheme="minorHAnsi"/>
              </w:rPr>
            </w:pPr>
          </w:p>
          <w:p w14:paraId="75C9D9A0" w14:textId="1DCC231E" w:rsidR="0062144A" w:rsidRPr="009A0DA6" w:rsidRDefault="0062144A">
            <w:pPr>
              <w:spacing w:before="120" w:after="120"/>
              <w:contextualSpacing/>
              <w:cnfStyle w:val="000000100000" w:firstRow="0" w:lastRow="0" w:firstColumn="0" w:lastColumn="0" w:oddVBand="0" w:evenVBand="0" w:oddHBand="1" w:evenHBand="0" w:firstRowFirstColumn="0" w:firstRowLastColumn="0" w:lastRowFirstColumn="0" w:lastRowLastColumn="0"/>
              <w:rPr>
                <w:rFonts w:ascii="Cambria" w:hAnsi="Cambria" w:cstheme="minorHAnsi"/>
              </w:rPr>
            </w:pPr>
            <w:r w:rsidRPr="009A0DA6">
              <w:rPr>
                <w:rFonts w:ascii="Cambria" w:hAnsi="Cambria" w:cstheme="minorHAnsi"/>
                <w:u w:val="single"/>
              </w:rPr>
              <w:t>Local Mission Executive Officer</w:t>
            </w:r>
            <w:r w:rsidRPr="009A0DA6">
              <w:rPr>
                <w:rFonts w:ascii="Cambria" w:hAnsi="Cambria" w:cstheme="minorHAnsi"/>
              </w:rPr>
              <w:t xml:space="preserve"> These conversations are focussed upon the specific needs of the Church’s </w:t>
            </w:r>
            <w:r w:rsidRPr="009A0DA6">
              <w:rPr>
                <w:rFonts w:ascii="Cambria" w:hAnsi="Cambria" w:cstheme="minorHAnsi"/>
                <w:i/>
              </w:rPr>
              <w:t>New and Renewing Churches</w:t>
            </w:r>
            <w:r w:rsidRPr="009A0DA6">
              <w:rPr>
                <w:rFonts w:ascii="Cambria" w:hAnsi="Cambria" w:cstheme="minorHAnsi"/>
              </w:rPr>
              <w:t xml:space="preserve"> objectives</w:t>
            </w:r>
            <w:r w:rsidR="0027799A" w:rsidRPr="009A0DA6">
              <w:rPr>
                <w:rFonts w:ascii="Cambria" w:hAnsi="Cambria" w:cstheme="minorHAnsi"/>
              </w:rPr>
              <w:t xml:space="preserve">. </w:t>
            </w:r>
            <w:r w:rsidRPr="009A0DA6">
              <w:rPr>
                <w:rFonts w:ascii="Cambria" w:hAnsi="Cambria" w:cstheme="minorHAnsi"/>
              </w:rPr>
              <w:t xml:space="preserve">Further thought is being given to how ALC might support the induction and spiritual formation of staff who work in the </w:t>
            </w:r>
            <w:r w:rsidR="00336CE0" w:rsidRPr="009A0DA6">
              <w:rPr>
                <w:rFonts w:ascii="Cambria" w:hAnsi="Cambria" w:cstheme="minorHAnsi"/>
              </w:rPr>
              <w:t>church</w:t>
            </w:r>
            <w:r w:rsidRPr="009A0DA6">
              <w:rPr>
                <w:rFonts w:ascii="Cambria" w:hAnsi="Cambria" w:cstheme="minorHAnsi"/>
              </w:rPr>
              <w:t xml:space="preserve">’s aged care facilities. </w:t>
            </w:r>
          </w:p>
          <w:p w14:paraId="5BAED000" w14:textId="77777777" w:rsidR="0062144A" w:rsidRPr="009A0DA6" w:rsidRDefault="0062144A">
            <w:pPr>
              <w:spacing w:before="120" w:after="120"/>
              <w:contextualSpacing/>
              <w:cnfStyle w:val="000000100000" w:firstRow="0" w:lastRow="0" w:firstColumn="0" w:lastColumn="0" w:oddVBand="0" w:evenVBand="0" w:oddHBand="1" w:evenHBand="0" w:firstRowFirstColumn="0" w:firstRowLastColumn="0" w:lastRowFirstColumn="0" w:lastRowLastColumn="0"/>
              <w:rPr>
                <w:rFonts w:ascii="Cambria" w:hAnsi="Cambria" w:cstheme="minorHAnsi"/>
              </w:rPr>
            </w:pPr>
          </w:p>
          <w:p w14:paraId="5C6E7A06" w14:textId="5FA87D0E" w:rsidR="0062144A" w:rsidRPr="009A0DA6" w:rsidRDefault="0062144A">
            <w:pPr>
              <w:spacing w:before="120" w:after="120"/>
              <w:contextualSpacing/>
              <w:cnfStyle w:val="000000100000" w:firstRow="0" w:lastRow="0" w:firstColumn="0" w:lastColumn="0" w:oddVBand="0" w:evenVBand="0" w:oddHBand="1" w:evenHBand="0" w:firstRowFirstColumn="0" w:firstRowLastColumn="0" w:lastRowFirstColumn="0" w:lastRowLastColumn="0"/>
              <w:rPr>
                <w:rFonts w:ascii="Cambria" w:hAnsi="Cambria" w:cstheme="minorHAnsi"/>
              </w:rPr>
            </w:pPr>
            <w:r w:rsidRPr="009A0DA6">
              <w:rPr>
                <w:rFonts w:ascii="Cambria" w:hAnsi="Cambria" w:cstheme="minorHAnsi"/>
                <w:u w:val="single"/>
              </w:rPr>
              <w:t>Mission international</w:t>
            </w:r>
            <w:r w:rsidRPr="009A0DA6">
              <w:rPr>
                <w:rFonts w:ascii="Cambria" w:hAnsi="Cambria" w:cstheme="minorHAnsi"/>
              </w:rPr>
              <w:t xml:space="preserve">  </w:t>
            </w:r>
            <w:r w:rsidR="008F179B" w:rsidRPr="009A0DA6">
              <w:rPr>
                <w:rFonts w:ascii="Cambria" w:hAnsi="Cambria" w:cstheme="minorHAnsi"/>
              </w:rPr>
              <w:br/>
            </w:r>
            <w:r w:rsidRPr="009A0DA6">
              <w:rPr>
                <w:rFonts w:ascii="Cambria" w:hAnsi="Cambria" w:cstheme="minorHAnsi"/>
              </w:rPr>
              <w:t>These conversations are aimed at strengthening the relationships with the LCA’s overseas partners particularly at the level of theological college to theological college</w:t>
            </w:r>
            <w:r w:rsidR="0027799A" w:rsidRPr="009A0DA6">
              <w:rPr>
                <w:rFonts w:ascii="Cambria" w:hAnsi="Cambria" w:cstheme="minorHAnsi"/>
              </w:rPr>
              <w:t xml:space="preserve">. </w:t>
            </w:r>
            <w:r w:rsidRPr="009A0DA6">
              <w:rPr>
                <w:rFonts w:ascii="Cambria" w:hAnsi="Cambria" w:cstheme="minorHAnsi"/>
              </w:rPr>
              <w:t>The conversations include, but are not limited to, Sabah Theological Seminary and Martin Luther Seminary PNG.</w:t>
            </w:r>
          </w:p>
          <w:p w14:paraId="154C12D9" w14:textId="77777777" w:rsidR="0062144A" w:rsidRPr="009A0DA6" w:rsidRDefault="0062144A">
            <w:pPr>
              <w:spacing w:before="120" w:after="120"/>
              <w:contextualSpacing/>
              <w:cnfStyle w:val="000000100000" w:firstRow="0" w:lastRow="0" w:firstColumn="0" w:lastColumn="0" w:oddVBand="0" w:evenVBand="0" w:oddHBand="1" w:evenHBand="0" w:firstRowFirstColumn="0" w:firstRowLastColumn="0" w:lastRowFirstColumn="0" w:lastRowLastColumn="0"/>
              <w:rPr>
                <w:rFonts w:ascii="Cambria" w:hAnsi="Cambria" w:cstheme="minorHAnsi"/>
              </w:rPr>
            </w:pPr>
          </w:p>
          <w:p w14:paraId="227BBA11" w14:textId="6132FE36" w:rsidR="0062144A" w:rsidRPr="009A0DA6" w:rsidRDefault="0062144A">
            <w:pPr>
              <w:spacing w:before="120" w:after="120"/>
              <w:contextualSpacing/>
              <w:cnfStyle w:val="000000100000" w:firstRow="0" w:lastRow="0" w:firstColumn="0" w:lastColumn="0" w:oddVBand="0" w:evenVBand="0" w:oddHBand="1" w:evenHBand="0" w:firstRowFirstColumn="0" w:firstRowLastColumn="0" w:lastRowFirstColumn="0" w:lastRowLastColumn="0"/>
              <w:rPr>
                <w:rFonts w:ascii="Cambria" w:hAnsi="Cambria" w:cstheme="minorHAnsi"/>
              </w:rPr>
            </w:pPr>
            <w:r w:rsidRPr="009A0DA6">
              <w:rPr>
                <w:rFonts w:ascii="Cambria" w:hAnsi="Cambria" w:cstheme="minorHAnsi"/>
              </w:rPr>
              <w:t>College Staff continue to lead and participate in congregational and district events by leading worship/preaching, providing key-note addresses at conferences and other ministry events, and by attending significant events in the life of the church</w:t>
            </w:r>
            <w:r w:rsidR="0027799A" w:rsidRPr="009A0DA6">
              <w:rPr>
                <w:rFonts w:ascii="Cambria" w:hAnsi="Cambria" w:cstheme="minorHAnsi"/>
              </w:rPr>
              <w:t xml:space="preserve">. </w:t>
            </w:r>
            <w:r w:rsidRPr="009A0DA6">
              <w:rPr>
                <w:rFonts w:ascii="Cambria" w:hAnsi="Cambria" w:cstheme="minorHAnsi"/>
              </w:rPr>
              <w:t xml:space="preserve"> </w:t>
            </w:r>
          </w:p>
          <w:p w14:paraId="7F9DF098" w14:textId="77777777" w:rsidR="0062144A" w:rsidRPr="009A0DA6" w:rsidRDefault="0062144A">
            <w:pPr>
              <w:spacing w:before="120" w:after="120"/>
              <w:contextualSpacing/>
              <w:cnfStyle w:val="000000100000" w:firstRow="0" w:lastRow="0" w:firstColumn="0" w:lastColumn="0" w:oddVBand="0" w:evenVBand="0" w:oddHBand="1" w:evenHBand="0" w:firstRowFirstColumn="0" w:firstRowLastColumn="0" w:lastRowFirstColumn="0" w:lastRowLastColumn="0"/>
              <w:rPr>
                <w:rFonts w:ascii="Cambria" w:hAnsi="Cambria" w:cstheme="minorHAnsi"/>
              </w:rPr>
            </w:pPr>
          </w:p>
        </w:tc>
      </w:tr>
    </w:tbl>
    <w:p w14:paraId="056FBB4C" w14:textId="77777777" w:rsidR="00DE6169" w:rsidRDefault="00DE6169">
      <w:r>
        <w:rPr>
          <w:b/>
          <w:bCs/>
        </w:rPr>
        <w:br w:type="page"/>
      </w:r>
    </w:p>
    <w:tbl>
      <w:tblPr>
        <w:tblStyle w:val="PlainTable2"/>
        <w:tblW w:w="8633" w:type="dxa"/>
        <w:tblLook w:val="04A0" w:firstRow="1" w:lastRow="0" w:firstColumn="1" w:lastColumn="0" w:noHBand="0" w:noVBand="1"/>
      </w:tblPr>
      <w:tblGrid>
        <w:gridCol w:w="2171"/>
        <w:gridCol w:w="3231"/>
        <w:gridCol w:w="3231"/>
      </w:tblGrid>
      <w:tr w:rsidR="0062144A" w:rsidRPr="009A0DA6" w14:paraId="114AFE52" w14:textId="77777777" w:rsidTr="008F179B">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171" w:type="dxa"/>
            <w:hideMark/>
          </w:tcPr>
          <w:p w14:paraId="22B848EA" w14:textId="42EC7C77" w:rsidR="0062144A" w:rsidRPr="009A0DA6" w:rsidRDefault="0062144A" w:rsidP="0062144A">
            <w:pPr>
              <w:widowControl w:val="0"/>
              <w:suppressAutoHyphens/>
              <w:spacing w:before="120" w:after="120"/>
              <w:rPr>
                <w:rFonts w:ascii="Cambria" w:hAnsi="Cambria" w:cs="Arial"/>
              </w:rPr>
            </w:pPr>
            <w:r w:rsidRPr="009A0DA6">
              <w:rPr>
                <w:rFonts w:ascii="Cambria" w:hAnsi="Cambria"/>
              </w:rPr>
              <w:lastRenderedPageBreak/>
              <w:t>2. Exploring, understanding and discussing contemporary church life questions and issues</w:t>
            </w:r>
          </w:p>
        </w:tc>
        <w:tc>
          <w:tcPr>
            <w:tcW w:w="3231" w:type="dxa"/>
            <w:hideMark/>
          </w:tcPr>
          <w:p w14:paraId="12D20F7A" w14:textId="77777777" w:rsidR="0062144A" w:rsidRPr="00DE6169" w:rsidRDefault="0062144A" w:rsidP="00F55252">
            <w:pPr>
              <w:pStyle w:val="ListParagraph"/>
              <w:numPr>
                <w:ilvl w:val="0"/>
                <w:numId w:val="217"/>
              </w:numPr>
              <w:spacing w:before="120" w:after="120" w:line="240" w:lineRule="auto"/>
              <w:ind w:left="425"/>
              <w:cnfStyle w:val="100000000000" w:firstRow="1" w:lastRow="0" w:firstColumn="0" w:lastColumn="0" w:oddVBand="0" w:evenVBand="0" w:oddHBand="0" w:evenHBand="0" w:firstRowFirstColumn="0" w:firstRowLastColumn="0" w:lastRowFirstColumn="0" w:lastRowLastColumn="0"/>
              <w:rPr>
                <w:rFonts w:ascii="Cambria" w:hAnsi="Cambria" w:cs="Arial"/>
                <w:b w:val="0"/>
              </w:rPr>
            </w:pPr>
            <w:r w:rsidRPr="00DE6169">
              <w:rPr>
                <w:rFonts w:ascii="Cambria" w:hAnsi="Cambria"/>
                <w:b w:val="0"/>
              </w:rPr>
              <w:t xml:space="preserve">expand its research program to ask questions about what it means to be Lutheran in the contemporary world; </w:t>
            </w:r>
          </w:p>
          <w:p w14:paraId="1FA88653" w14:textId="77777777" w:rsidR="0062144A" w:rsidRPr="00DE6169" w:rsidRDefault="0062144A" w:rsidP="00F55252">
            <w:pPr>
              <w:pStyle w:val="ListParagraph"/>
              <w:numPr>
                <w:ilvl w:val="0"/>
                <w:numId w:val="217"/>
              </w:numPr>
              <w:spacing w:before="120" w:after="120" w:line="240" w:lineRule="auto"/>
              <w:ind w:left="425"/>
              <w:cnfStyle w:val="100000000000" w:firstRow="1" w:lastRow="0" w:firstColumn="0" w:lastColumn="0" w:oddVBand="0" w:evenVBand="0" w:oddHBand="0" w:evenHBand="0" w:firstRowFirstColumn="0" w:firstRowLastColumn="0" w:lastRowFirstColumn="0" w:lastRowLastColumn="0"/>
              <w:rPr>
                <w:rFonts w:ascii="Cambria" w:hAnsi="Cambria" w:cs="Arial"/>
                <w:b w:val="0"/>
              </w:rPr>
            </w:pPr>
            <w:r w:rsidRPr="00DE6169">
              <w:rPr>
                <w:rFonts w:ascii="Cambria" w:hAnsi="Cambria"/>
                <w:b w:val="0"/>
              </w:rPr>
              <w:t xml:space="preserve">look outward, engaging with other ways of looking at the world and being in ecumenical partnership with other churches and other parts of the wider community; </w:t>
            </w:r>
          </w:p>
          <w:p w14:paraId="1F35F12D" w14:textId="77777777" w:rsidR="0062144A" w:rsidRPr="00DE6169" w:rsidRDefault="0062144A" w:rsidP="00F55252">
            <w:pPr>
              <w:pStyle w:val="ListParagraph"/>
              <w:numPr>
                <w:ilvl w:val="0"/>
                <w:numId w:val="217"/>
              </w:numPr>
              <w:spacing w:before="120" w:after="120" w:line="240" w:lineRule="auto"/>
              <w:ind w:left="425"/>
              <w:cnfStyle w:val="100000000000" w:firstRow="1" w:lastRow="0" w:firstColumn="0" w:lastColumn="0" w:oddVBand="0" w:evenVBand="0" w:oddHBand="0" w:evenHBand="0" w:firstRowFirstColumn="0" w:firstRowLastColumn="0" w:lastRowFirstColumn="0" w:lastRowLastColumn="0"/>
              <w:rPr>
                <w:rFonts w:ascii="Cambria" w:hAnsi="Cambria" w:cs="Arial"/>
                <w:b w:val="0"/>
              </w:rPr>
            </w:pPr>
            <w:r w:rsidRPr="00DE6169">
              <w:rPr>
                <w:rFonts w:ascii="Cambria" w:hAnsi="Cambria"/>
                <w:b w:val="0"/>
              </w:rPr>
              <w:t xml:space="preserve">enable people within the church or its institutions who have a passion, an interest or a curiosity about particular questions and issues to pursue further knowledge; </w:t>
            </w:r>
          </w:p>
          <w:p w14:paraId="737208B6" w14:textId="77777777" w:rsidR="0062144A" w:rsidRPr="00DE6169" w:rsidRDefault="0062144A" w:rsidP="00F55252">
            <w:pPr>
              <w:pStyle w:val="ListParagraph"/>
              <w:numPr>
                <w:ilvl w:val="0"/>
                <w:numId w:val="217"/>
              </w:numPr>
              <w:spacing w:before="120" w:after="120" w:line="240" w:lineRule="auto"/>
              <w:ind w:left="425"/>
              <w:cnfStyle w:val="100000000000" w:firstRow="1" w:lastRow="0" w:firstColumn="0" w:lastColumn="0" w:oddVBand="0" w:evenVBand="0" w:oddHBand="0" w:evenHBand="0" w:firstRowFirstColumn="0" w:firstRowLastColumn="0" w:lastRowFirstColumn="0" w:lastRowLastColumn="0"/>
              <w:rPr>
                <w:rFonts w:ascii="Cambria" w:hAnsi="Cambria" w:cs="Arial"/>
                <w:b w:val="0"/>
              </w:rPr>
            </w:pPr>
            <w:r w:rsidRPr="00DE6169">
              <w:rPr>
                <w:rFonts w:ascii="Cambria" w:hAnsi="Cambria"/>
                <w:b w:val="0"/>
              </w:rPr>
              <w:t>develop a network of people with research skills and expertise to support exploring, understanding and dialoguing contemporary church life questions and issues through building research capacity together</w:t>
            </w:r>
          </w:p>
        </w:tc>
        <w:tc>
          <w:tcPr>
            <w:tcW w:w="3231" w:type="dxa"/>
          </w:tcPr>
          <w:p w14:paraId="78C52540" w14:textId="7A967481" w:rsidR="0062144A" w:rsidRPr="00DE6169" w:rsidRDefault="0062144A">
            <w:pPr>
              <w:spacing w:before="120" w:after="120"/>
              <w:contextualSpacing/>
              <w:cnfStyle w:val="100000000000" w:firstRow="1" w:lastRow="0" w:firstColumn="0" w:lastColumn="0" w:oddVBand="0" w:evenVBand="0" w:oddHBand="0" w:evenHBand="0" w:firstRowFirstColumn="0" w:firstRowLastColumn="0" w:lastRowFirstColumn="0" w:lastRowLastColumn="0"/>
              <w:rPr>
                <w:rFonts w:ascii="Cambria" w:hAnsi="Cambria" w:cstheme="minorHAnsi"/>
                <w:b w:val="0"/>
              </w:rPr>
            </w:pPr>
            <w:r w:rsidRPr="00DE6169">
              <w:rPr>
                <w:rFonts w:ascii="Cambria" w:hAnsi="Cambria" w:cstheme="minorHAnsi"/>
                <w:b w:val="0"/>
              </w:rPr>
              <w:t xml:space="preserve">The College’s Associate Dean for Research will soon have completed a number of applied research projects for the </w:t>
            </w:r>
            <w:r w:rsidR="00336CE0" w:rsidRPr="00DE6169">
              <w:rPr>
                <w:rFonts w:ascii="Cambria" w:hAnsi="Cambria" w:cstheme="minorHAnsi"/>
                <w:b w:val="0"/>
              </w:rPr>
              <w:t>church</w:t>
            </w:r>
            <w:r w:rsidRPr="00DE6169">
              <w:rPr>
                <w:rFonts w:ascii="Cambria" w:hAnsi="Cambria" w:cstheme="minorHAnsi"/>
                <w:b w:val="0"/>
              </w:rPr>
              <w:t xml:space="preserve"> and its entities</w:t>
            </w:r>
            <w:r w:rsidR="0027799A" w:rsidRPr="00DE6169">
              <w:rPr>
                <w:rFonts w:ascii="Cambria" w:hAnsi="Cambria" w:cstheme="minorHAnsi"/>
                <w:b w:val="0"/>
              </w:rPr>
              <w:t xml:space="preserve">. </w:t>
            </w:r>
            <w:r w:rsidRPr="00DE6169">
              <w:rPr>
                <w:rFonts w:ascii="Cambria" w:hAnsi="Cambria" w:cstheme="minorHAnsi"/>
                <w:b w:val="0"/>
              </w:rPr>
              <w:t xml:space="preserve">These include a major project to review the </w:t>
            </w:r>
            <w:r w:rsidR="00336CE0" w:rsidRPr="00DE6169">
              <w:rPr>
                <w:rFonts w:ascii="Cambria" w:hAnsi="Cambria" w:cstheme="minorHAnsi"/>
                <w:b w:val="0"/>
              </w:rPr>
              <w:t>church</w:t>
            </w:r>
            <w:r w:rsidRPr="00DE6169">
              <w:rPr>
                <w:rFonts w:ascii="Cambria" w:hAnsi="Cambria" w:cstheme="minorHAnsi"/>
                <w:b w:val="0"/>
              </w:rPr>
              <w:t>’s call system</w:t>
            </w:r>
            <w:r w:rsidR="0027799A" w:rsidRPr="00DE6169">
              <w:rPr>
                <w:rFonts w:ascii="Cambria" w:hAnsi="Cambria" w:cstheme="minorHAnsi"/>
                <w:b w:val="0"/>
              </w:rPr>
              <w:t xml:space="preserve">. </w:t>
            </w:r>
            <w:r w:rsidRPr="00DE6169">
              <w:rPr>
                <w:rFonts w:ascii="Cambria" w:hAnsi="Cambria" w:cstheme="minorHAnsi"/>
                <w:b w:val="0"/>
              </w:rPr>
              <w:t>This is being done on behalf of GCC following a resolution for the 2015 Convention of Synod</w:t>
            </w:r>
            <w:r w:rsidR="0027799A" w:rsidRPr="00DE6169">
              <w:rPr>
                <w:rFonts w:ascii="Cambria" w:hAnsi="Cambria" w:cstheme="minorHAnsi"/>
                <w:b w:val="0"/>
              </w:rPr>
              <w:t xml:space="preserve">. </w:t>
            </w:r>
            <w:r w:rsidRPr="00DE6169">
              <w:rPr>
                <w:rFonts w:ascii="Cambria" w:hAnsi="Cambria" w:cstheme="minorHAnsi"/>
                <w:b w:val="0"/>
              </w:rPr>
              <w:t>Various smaller research projects have also been completed for LEA.</w:t>
            </w:r>
          </w:p>
          <w:p w14:paraId="3E330142" w14:textId="77777777" w:rsidR="0062144A" w:rsidRPr="00DE6169" w:rsidRDefault="0062144A">
            <w:pPr>
              <w:spacing w:before="120" w:after="120"/>
              <w:contextualSpacing/>
              <w:cnfStyle w:val="100000000000" w:firstRow="1" w:lastRow="0" w:firstColumn="0" w:lastColumn="0" w:oddVBand="0" w:evenVBand="0" w:oddHBand="0" w:evenHBand="0" w:firstRowFirstColumn="0" w:firstRowLastColumn="0" w:lastRowFirstColumn="0" w:lastRowLastColumn="0"/>
              <w:rPr>
                <w:rFonts w:ascii="Cambria" w:hAnsi="Cambria" w:cstheme="minorHAnsi"/>
                <w:b w:val="0"/>
              </w:rPr>
            </w:pPr>
          </w:p>
          <w:p w14:paraId="45C4284D" w14:textId="067B6483" w:rsidR="0062144A" w:rsidRPr="00DE6169" w:rsidRDefault="0062144A">
            <w:pPr>
              <w:spacing w:before="120" w:after="120"/>
              <w:contextualSpacing/>
              <w:cnfStyle w:val="100000000000" w:firstRow="1" w:lastRow="0" w:firstColumn="0" w:lastColumn="0" w:oddVBand="0" w:evenVBand="0" w:oddHBand="0" w:evenHBand="0" w:firstRowFirstColumn="0" w:firstRowLastColumn="0" w:lastRowFirstColumn="0" w:lastRowLastColumn="0"/>
              <w:rPr>
                <w:rFonts w:ascii="Cambria" w:hAnsi="Cambria" w:cstheme="minorHAnsi"/>
                <w:b w:val="0"/>
              </w:rPr>
            </w:pPr>
            <w:r w:rsidRPr="00DE6169">
              <w:rPr>
                <w:rFonts w:ascii="Cambria" w:hAnsi="Cambria" w:cstheme="minorHAnsi"/>
                <w:b w:val="0"/>
              </w:rPr>
              <w:t>Together with a number of partners the College also convened an international Luther conference in Melbourne, in July 2016</w:t>
            </w:r>
            <w:r w:rsidR="0027799A" w:rsidRPr="00DE6169">
              <w:rPr>
                <w:rFonts w:ascii="Cambria" w:hAnsi="Cambria" w:cstheme="minorHAnsi"/>
                <w:b w:val="0"/>
              </w:rPr>
              <w:t xml:space="preserve">. </w:t>
            </w:r>
            <w:r w:rsidRPr="00DE6169">
              <w:rPr>
                <w:rFonts w:ascii="Cambria" w:hAnsi="Cambria" w:cstheme="minorHAnsi"/>
                <w:b w:val="0"/>
              </w:rPr>
              <w:t>The conference was well attended and highly regarded by its international guests.</w:t>
            </w:r>
          </w:p>
        </w:tc>
      </w:tr>
      <w:tr w:rsidR="0062144A" w:rsidRPr="009A0DA6" w14:paraId="64876141" w14:textId="77777777" w:rsidTr="008F179B">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171" w:type="dxa"/>
            <w:hideMark/>
          </w:tcPr>
          <w:p w14:paraId="050B5C4B" w14:textId="77777777" w:rsidR="0062144A" w:rsidRPr="009A0DA6" w:rsidRDefault="0062144A" w:rsidP="00F55252">
            <w:pPr>
              <w:widowControl w:val="0"/>
              <w:numPr>
                <w:ilvl w:val="0"/>
                <w:numId w:val="34"/>
              </w:numPr>
              <w:suppressAutoHyphens/>
              <w:spacing w:before="120" w:after="120"/>
              <w:contextualSpacing/>
              <w:rPr>
                <w:rFonts w:ascii="Cambria" w:hAnsi="Cambria" w:cs="Arial"/>
              </w:rPr>
            </w:pPr>
            <w:r w:rsidRPr="009A0DA6">
              <w:rPr>
                <w:rFonts w:ascii="Cambria" w:hAnsi="Cambria"/>
              </w:rPr>
              <w:t>Listening and responding in partnership to the LCA and its needs and aspirations</w:t>
            </w:r>
          </w:p>
        </w:tc>
        <w:tc>
          <w:tcPr>
            <w:tcW w:w="3231" w:type="dxa"/>
            <w:hideMark/>
          </w:tcPr>
          <w:p w14:paraId="1FE06E2F" w14:textId="77777777" w:rsidR="0062144A" w:rsidRPr="009A0DA6" w:rsidRDefault="0062144A" w:rsidP="00F55252">
            <w:pPr>
              <w:pStyle w:val="ListParagraph"/>
              <w:numPr>
                <w:ilvl w:val="0"/>
                <w:numId w:val="218"/>
              </w:numPr>
              <w:spacing w:before="120" w:after="120" w:line="240" w:lineRule="auto"/>
              <w:ind w:left="566"/>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rPr>
              <w:t xml:space="preserve">listen to the whole church appreciatively, both in the traditional points of LCA life and the newer emerging ones; </w:t>
            </w:r>
          </w:p>
          <w:p w14:paraId="7FEFB8BE" w14:textId="77777777" w:rsidR="0062144A" w:rsidRPr="009A0DA6" w:rsidRDefault="0062144A" w:rsidP="00F55252">
            <w:pPr>
              <w:pStyle w:val="ListParagraph"/>
              <w:numPr>
                <w:ilvl w:val="0"/>
                <w:numId w:val="218"/>
              </w:numPr>
              <w:spacing w:before="120" w:after="120" w:line="240" w:lineRule="auto"/>
              <w:ind w:left="566"/>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rPr>
              <w:t xml:space="preserve">strengthen existing partnerships (including LCA College of Bishops, Lutheran Education Australia, other LCA departments); </w:t>
            </w:r>
          </w:p>
          <w:p w14:paraId="2A8F4FA7" w14:textId="77777777" w:rsidR="0062144A" w:rsidRPr="009A0DA6" w:rsidRDefault="0062144A" w:rsidP="00F55252">
            <w:pPr>
              <w:pStyle w:val="ListParagraph"/>
              <w:numPr>
                <w:ilvl w:val="0"/>
                <w:numId w:val="218"/>
              </w:numPr>
              <w:spacing w:before="120" w:after="120" w:line="240" w:lineRule="auto"/>
              <w:ind w:left="566"/>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rPr>
              <w:t xml:space="preserve">cultivate new partnerships (including Lutheran Aged Care and Community Care); </w:t>
            </w:r>
          </w:p>
          <w:p w14:paraId="56EF929B" w14:textId="77777777" w:rsidR="0062144A" w:rsidRPr="009A0DA6" w:rsidRDefault="0062144A" w:rsidP="00F55252">
            <w:pPr>
              <w:pStyle w:val="ListParagraph"/>
              <w:numPr>
                <w:ilvl w:val="0"/>
                <w:numId w:val="218"/>
              </w:numPr>
              <w:spacing w:before="120" w:after="120" w:line="240" w:lineRule="auto"/>
              <w:ind w:left="566"/>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rPr>
              <w:t>identify ways that participation in the University of Divinity can inform, strengthen and expand our thinking.</w:t>
            </w:r>
          </w:p>
        </w:tc>
        <w:tc>
          <w:tcPr>
            <w:tcW w:w="3231" w:type="dxa"/>
            <w:hideMark/>
          </w:tcPr>
          <w:p w14:paraId="3FD83573" w14:textId="0CF6D04D" w:rsidR="0062144A" w:rsidRPr="009A0DA6" w:rsidRDefault="0062144A">
            <w:pPr>
              <w:spacing w:before="120" w:after="120"/>
              <w:contextualSpacing/>
              <w:cnfStyle w:val="000000100000" w:firstRow="0" w:lastRow="0" w:firstColumn="0" w:lastColumn="0" w:oddVBand="0" w:evenVBand="0" w:oddHBand="1" w:evenHBand="0" w:firstRowFirstColumn="0" w:firstRowLastColumn="0" w:lastRowFirstColumn="0" w:lastRowLastColumn="0"/>
              <w:rPr>
                <w:rFonts w:ascii="Cambria" w:hAnsi="Cambria" w:cstheme="minorHAnsi"/>
              </w:rPr>
            </w:pPr>
            <w:r w:rsidRPr="009A0DA6">
              <w:rPr>
                <w:rFonts w:ascii="Cambria" w:hAnsi="Cambria" w:cstheme="minorHAnsi"/>
              </w:rPr>
              <w:t>The College’s ongoing learning, teaching and research programs continue to be shaped by consultation with various stakeholder groups</w:t>
            </w:r>
            <w:r w:rsidR="0027799A" w:rsidRPr="009A0DA6">
              <w:rPr>
                <w:rFonts w:ascii="Cambria" w:hAnsi="Cambria" w:cstheme="minorHAnsi"/>
              </w:rPr>
              <w:t xml:space="preserve">. </w:t>
            </w:r>
            <w:r w:rsidRPr="009A0DA6">
              <w:rPr>
                <w:rFonts w:ascii="Cambria" w:hAnsi="Cambria" w:cstheme="minorHAnsi"/>
              </w:rPr>
              <w:t>These groups include, but are not limited to, the College of Bishops, Lutheran Education Australia – Regions – individual schools, Local Mission and International Mission.</w:t>
            </w:r>
          </w:p>
        </w:tc>
      </w:tr>
    </w:tbl>
    <w:p w14:paraId="4EEBF5AE" w14:textId="77777777" w:rsidR="00DE6169" w:rsidRDefault="00DE6169">
      <w:r>
        <w:rPr>
          <w:b/>
          <w:bCs/>
        </w:rPr>
        <w:br w:type="page"/>
      </w:r>
    </w:p>
    <w:tbl>
      <w:tblPr>
        <w:tblStyle w:val="PlainTable2"/>
        <w:tblW w:w="8633" w:type="dxa"/>
        <w:tblLook w:val="04A0" w:firstRow="1" w:lastRow="0" w:firstColumn="1" w:lastColumn="0" w:noHBand="0" w:noVBand="1"/>
      </w:tblPr>
      <w:tblGrid>
        <w:gridCol w:w="2171"/>
        <w:gridCol w:w="3231"/>
        <w:gridCol w:w="3231"/>
      </w:tblGrid>
      <w:tr w:rsidR="0062144A" w:rsidRPr="009A0DA6" w14:paraId="2103739C" w14:textId="77777777" w:rsidTr="008F179B">
        <w:trPr>
          <w:cnfStyle w:val="100000000000" w:firstRow="1" w:lastRow="0" w:firstColumn="0" w:lastColumn="0" w:oddVBand="0" w:evenVBand="0" w:oddHBand="0"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171" w:type="dxa"/>
            <w:hideMark/>
          </w:tcPr>
          <w:p w14:paraId="38AAEAB5" w14:textId="2A7112D3" w:rsidR="0062144A" w:rsidRPr="009A0DA6" w:rsidRDefault="0062144A" w:rsidP="00F55252">
            <w:pPr>
              <w:widowControl w:val="0"/>
              <w:numPr>
                <w:ilvl w:val="0"/>
                <w:numId w:val="34"/>
              </w:numPr>
              <w:suppressAutoHyphens/>
              <w:spacing w:before="120" w:after="120"/>
              <w:contextualSpacing/>
              <w:rPr>
                <w:rFonts w:ascii="Cambria" w:hAnsi="Cambria" w:cs="Arial"/>
              </w:rPr>
            </w:pPr>
            <w:r w:rsidRPr="009A0DA6">
              <w:rPr>
                <w:rFonts w:ascii="Cambria" w:hAnsi="Cambria"/>
              </w:rPr>
              <w:lastRenderedPageBreak/>
              <w:t>Using evidence as a basis for decision-making</w:t>
            </w:r>
          </w:p>
        </w:tc>
        <w:tc>
          <w:tcPr>
            <w:tcW w:w="3231" w:type="dxa"/>
            <w:hideMark/>
          </w:tcPr>
          <w:p w14:paraId="0FFAF168" w14:textId="77777777" w:rsidR="0062144A" w:rsidRPr="00DE6169" w:rsidRDefault="0062144A" w:rsidP="00F55252">
            <w:pPr>
              <w:pStyle w:val="ListParagraph"/>
              <w:numPr>
                <w:ilvl w:val="0"/>
                <w:numId w:val="219"/>
              </w:numPr>
              <w:spacing w:before="120" w:after="120" w:line="240" w:lineRule="auto"/>
              <w:ind w:left="425"/>
              <w:cnfStyle w:val="100000000000" w:firstRow="1" w:lastRow="0" w:firstColumn="0" w:lastColumn="0" w:oddVBand="0" w:evenVBand="0" w:oddHBand="0" w:evenHBand="0" w:firstRowFirstColumn="0" w:firstRowLastColumn="0" w:lastRowFirstColumn="0" w:lastRowLastColumn="0"/>
              <w:rPr>
                <w:rFonts w:ascii="Cambria" w:hAnsi="Cambria" w:cs="Arial"/>
                <w:b w:val="0"/>
              </w:rPr>
            </w:pPr>
            <w:r w:rsidRPr="00DE6169">
              <w:rPr>
                <w:rFonts w:ascii="Cambria" w:hAnsi="Cambria"/>
                <w:b w:val="0"/>
              </w:rPr>
              <w:t xml:space="preserve">require evidence for planning, evaluating and reporting in all phases of ALC life; </w:t>
            </w:r>
          </w:p>
          <w:p w14:paraId="290BD97B" w14:textId="77777777" w:rsidR="0062144A" w:rsidRPr="00DE6169" w:rsidRDefault="0062144A" w:rsidP="00F55252">
            <w:pPr>
              <w:pStyle w:val="ListParagraph"/>
              <w:numPr>
                <w:ilvl w:val="0"/>
                <w:numId w:val="219"/>
              </w:numPr>
              <w:spacing w:before="120" w:after="120" w:line="240" w:lineRule="auto"/>
              <w:ind w:left="425"/>
              <w:cnfStyle w:val="100000000000" w:firstRow="1" w:lastRow="0" w:firstColumn="0" w:lastColumn="0" w:oddVBand="0" w:evenVBand="0" w:oddHBand="0" w:evenHBand="0" w:firstRowFirstColumn="0" w:firstRowLastColumn="0" w:lastRowFirstColumn="0" w:lastRowLastColumn="0"/>
              <w:rPr>
                <w:rFonts w:ascii="Cambria" w:hAnsi="Cambria" w:cs="Arial"/>
                <w:b w:val="0"/>
              </w:rPr>
            </w:pPr>
            <w:r w:rsidRPr="00DE6169">
              <w:rPr>
                <w:rFonts w:ascii="Cambria" w:hAnsi="Cambria"/>
                <w:b w:val="0"/>
              </w:rPr>
              <w:t xml:space="preserve">develop transparent performance data and accountability mechanisms including data for staff time use, student numbers, costs, expenses and stakeholder feedback; </w:t>
            </w:r>
          </w:p>
          <w:p w14:paraId="46A30E16" w14:textId="77777777" w:rsidR="0062144A" w:rsidRPr="00DE6169" w:rsidRDefault="0062144A" w:rsidP="00F55252">
            <w:pPr>
              <w:pStyle w:val="ListParagraph"/>
              <w:numPr>
                <w:ilvl w:val="0"/>
                <w:numId w:val="219"/>
              </w:numPr>
              <w:spacing w:before="120" w:after="120" w:line="240" w:lineRule="auto"/>
              <w:ind w:left="425"/>
              <w:cnfStyle w:val="100000000000" w:firstRow="1" w:lastRow="0" w:firstColumn="0" w:lastColumn="0" w:oddVBand="0" w:evenVBand="0" w:oddHBand="0" w:evenHBand="0" w:firstRowFirstColumn="0" w:firstRowLastColumn="0" w:lastRowFirstColumn="0" w:lastRowLastColumn="0"/>
              <w:rPr>
                <w:rFonts w:ascii="Cambria" w:hAnsi="Cambria" w:cs="Arial"/>
                <w:b w:val="0"/>
              </w:rPr>
            </w:pPr>
            <w:r w:rsidRPr="00DE6169">
              <w:rPr>
                <w:rFonts w:ascii="Cambria" w:hAnsi="Cambria"/>
                <w:b w:val="0"/>
              </w:rPr>
              <w:t>make explicit the benefits and costs of being a member of the University of Divinity.</w:t>
            </w:r>
          </w:p>
        </w:tc>
        <w:tc>
          <w:tcPr>
            <w:tcW w:w="3231" w:type="dxa"/>
            <w:hideMark/>
          </w:tcPr>
          <w:p w14:paraId="786049FD" w14:textId="063D531C" w:rsidR="0062144A" w:rsidRPr="00DE6169" w:rsidRDefault="0062144A">
            <w:pPr>
              <w:spacing w:before="120" w:after="120"/>
              <w:contextualSpacing/>
              <w:cnfStyle w:val="100000000000" w:firstRow="1" w:lastRow="0" w:firstColumn="0" w:lastColumn="0" w:oddVBand="0" w:evenVBand="0" w:oddHBand="0" w:evenHBand="0" w:firstRowFirstColumn="0" w:firstRowLastColumn="0" w:lastRowFirstColumn="0" w:lastRowLastColumn="0"/>
              <w:rPr>
                <w:rFonts w:ascii="Cambria" w:hAnsi="Cambria" w:cstheme="minorHAnsi"/>
                <w:b w:val="0"/>
              </w:rPr>
            </w:pPr>
            <w:r w:rsidRPr="00DE6169">
              <w:rPr>
                <w:rFonts w:ascii="Cambria" w:hAnsi="Cambria" w:cstheme="minorHAnsi"/>
                <w:b w:val="0"/>
              </w:rPr>
              <w:t>ALC has led two major research project on behalf of the LCA</w:t>
            </w:r>
            <w:r w:rsidR="0027799A" w:rsidRPr="00DE6169">
              <w:rPr>
                <w:rFonts w:ascii="Cambria" w:hAnsi="Cambria" w:cstheme="minorHAnsi"/>
                <w:b w:val="0"/>
              </w:rPr>
              <w:t xml:space="preserve">. </w:t>
            </w:r>
            <w:r w:rsidRPr="00DE6169">
              <w:rPr>
                <w:rFonts w:ascii="Cambria" w:hAnsi="Cambria" w:cstheme="minorHAnsi"/>
                <w:b w:val="0"/>
              </w:rPr>
              <w:t>The first was a snapshot of the wellbeing of the pastorate, and the second was a review of the LCA’s call system</w:t>
            </w:r>
            <w:r w:rsidR="0027799A" w:rsidRPr="00DE6169">
              <w:rPr>
                <w:rFonts w:ascii="Cambria" w:hAnsi="Cambria" w:cstheme="minorHAnsi"/>
                <w:b w:val="0"/>
              </w:rPr>
              <w:t xml:space="preserve">. </w:t>
            </w:r>
            <w:r w:rsidRPr="00DE6169">
              <w:rPr>
                <w:rFonts w:ascii="Cambria" w:hAnsi="Cambria" w:cstheme="minorHAnsi"/>
                <w:b w:val="0"/>
              </w:rPr>
              <w:t>The data collected through these projects is proving to be of benefit to ALC</w:t>
            </w:r>
            <w:r w:rsidR="0027799A" w:rsidRPr="00DE6169">
              <w:rPr>
                <w:rFonts w:ascii="Cambria" w:hAnsi="Cambria" w:cstheme="minorHAnsi"/>
                <w:b w:val="0"/>
              </w:rPr>
              <w:t xml:space="preserve">. </w:t>
            </w:r>
            <w:r w:rsidRPr="00DE6169">
              <w:rPr>
                <w:rFonts w:ascii="Cambria" w:hAnsi="Cambria" w:cstheme="minorHAnsi"/>
                <w:b w:val="0"/>
              </w:rPr>
              <w:t>ALC has also retained the services of a communication and marketing consultant to look at branding and to develop a communications and marketing plan for the college</w:t>
            </w:r>
            <w:r w:rsidR="0027799A" w:rsidRPr="00DE6169">
              <w:rPr>
                <w:rFonts w:ascii="Cambria" w:hAnsi="Cambria" w:cstheme="minorHAnsi"/>
                <w:b w:val="0"/>
              </w:rPr>
              <w:t xml:space="preserve">. </w:t>
            </w:r>
            <w:r w:rsidRPr="00DE6169">
              <w:rPr>
                <w:rFonts w:ascii="Cambria" w:hAnsi="Cambria" w:cstheme="minorHAnsi"/>
                <w:b w:val="0"/>
              </w:rPr>
              <w:t>This engagement has led to the establishment of data collection and analysis regimes</w:t>
            </w:r>
            <w:r w:rsidR="0027799A" w:rsidRPr="00DE6169">
              <w:rPr>
                <w:rFonts w:ascii="Cambria" w:hAnsi="Cambria" w:cstheme="minorHAnsi"/>
                <w:b w:val="0"/>
              </w:rPr>
              <w:t xml:space="preserve">. </w:t>
            </w:r>
            <w:r w:rsidRPr="00DE6169">
              <w:rPr>
                <w:rFonts w:ascii="Cambria" w:hAnsi="Cambria" w:cstheme="minorHAnsi"/>
                <w:b w:val="0"/>
              </w:rPr>
              <w:t>The University of Divinity continues to collect data and provide analysis on behalf of all member colleges</w:t>
            </w:r>
            <w:r w:rsidR="0027799A" w:rsidRPr="00DE6169">
              <w:rPr>
                <w:rFonts w:ascii="Cambria" w:hAnsi="Cambria" w:cstheme="minorHAnsi"/>
                <w:b w:val="0"/>
              </w:rPr>
              <w:t xml:space="preserve">. </w:t>
            </w:r>
            <w:r w:rsidRPr="00DE6169">
              <w:rPr>
                <w:rFonts w:ascii="Cambria" w:hAnsi="Cambria" w:cstheme="minorHAnsi"/>
                <w:b w:val="0"/>
              </w:rPr>
              <w:t>Enrolment targets are set through this data collection</w:t>
            </w:r>
            <w:r w:rsidR="0027799A" w:rsidRPr="00DE6169">
              <w:rPr>
                <w:rFonts w:ascii="Cambria" w:hAnsi="Cambria" w:cstheme="minorHAnsi"/>
                <w:b w:val="0"/>
              </w:rPr>
              <w:t xml:space="preserve">. </w:t>
            </w:r>
            <w:r w:rsidRPr="00DE6169">
              <w:rPr>
                <w:rFonts w:ascii="Cambria" w:hAnsi="Cambria" w:cstheme="minorHAnsi"/>
                <w:b w:val="0"/>
              </w:rPr>
              <w:t>ALC’s Associate Dean for Research continues to implement a number of smaller research projects on behalf of stakeholder groups</w:t>
            </w:r>
            <w:r w:rsidR="0027799A" w:rsidRPr="00DE6169">
              <w:rPr>
                <w:rFonts w:ascii="Cambria" w:hAnsi="Cambria" w:cstheme="minorHAnsi"/>
                <w:b w:val="0"/>
              </w:rPr>
              <w:t xml:space="preserve">. </w:t>
            </w:r>
            <w:r w:rsidRPr="00DE6169">
              <w:rPr>
                <w:rFonts w:ascii="Cambria" w:hAnsi="Cambria" w:cstheme="minorHAnsi"/>
                <w:b w:val="0"/>
              </w:rPr>
              <w:t>The data collected through these smaller projects is often of benefit to the College</w:t>
            </w:r>
            <w:r w:rsidR="0027799A" w:rsidRPr="00DE6169">
              <w:rPr>
                <w:rFonts w:ascii="Cambria" w:hAnsi="Cambria" w:cstheme="minorHAnsi"/>
                <w:b w:val="0"/>
              </w:rPr>
              <w:t xml:space="preserve">. </w:t>
            </w:r>
            <w:r w:rsidRPr="00DE6169">
              <w:rPr>
                <w:rFonts w:ascii="Cambria" w:hAnsi="Cambria" w:cstheme="minorHAnsi"/>
                <w:b w:val="0"/>
              </w:rPr>
              <w:t>Through all of this work ALC will soon be able to generate valid and reliable longitudinal data</w:t>
            </w:r>
            <w:r w:rsidR="0027799A" w:rsidRPr="00DE6169">
              <w:rPr>
                <w:rFonts w:ascii="Cambria" w:hAnsi="Cambria" w:cstheme="minorHAnsi"/>
                <w:b w:val="0"/>
              </w:rPr>
              <w:t xml:space="preserve">. </w:t>
            </w:r>
            <w:r w:rsidRPr="00DE6169">
              <w:rPr>
                <w:rFonts w:ascii="Cambria" w:hAnsi="Cambria" w:cstheme="minorHAnsi"/>
                <w:b w:val="0"/>
              </w:rPr>
              <w:t xml:space="preserve"> </w:t>
            </w:r>
          </w:p>
        </w:tc>
      </w:tr>
      <w:tr w:rsidR="0062144A" w:rsidRPr="009A0DA6" w14:paraId="26C4BE41" w14:textId="77777777" w:rsidTr="008F179B">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171" w:type="dxa"/>
            <w:hideMark/>
          </w:tcPr>
          <w:p w14:paraId="1C76F586" w14:textId="77777777" w:rsidR="0062144A" w:rsidRPr="009A0DA6" w:rsidRDefault="0062144A" w:rsidP="00F55252">
            <w:pPr>
              <w:widowControl w:val="0"/>
              <w:numPr>
                <w:ilvl w:val="0"/>
                <w:numId w:val="34"/>
              </w:numPr>
              <w:suppressAutoHyphens/>
              <w:spacing w:before="120" w:after="120"/>
              <w:contextualSpacing/>
              <w:rPr>
                <w:rFonts w:ascii="Cambria" w:hAnsi="Cambria"/>
              </w:rPr>
            </w:pPr>
            <w:r w:rsidRPr="009A0DA6">
              <w:rPr>
                <w:rFonts w:ascii="Cambria" w:hAnsi="Cambria"/>
              </w:rPr>
              <w:t>Communicating well with all stakeholders about where ALC is going and why</w:t>
            </w:r>
          </w:p>
        </w:tc>
        <w:tc>
          <w:tcPr>
            <w:tcW w:w="3231" w:type="dxa"/>
            <w:hideMark/>
          </w:tcPr>
          <w:p w14:paraId="1AB5E4F5" w14:textId="77777777" w:rsidR="0062144A" w:rsidRPr="009A0DA6" w:rsidRDefault="0062144A" w:rsidP="00F55252">
            <w:pPr>
              <w:pStyle w:val="ListParagraph"/>
              <w:numPr>
                <w:ilvl w:val="0"/>
                <w:numId w:val="220"/>
              </w:numPr>
              <w:spacing w:before="120" w:after="120" w:line="240" w:lineRule="auto"/>
              <w:ind w:left="425"/>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rPr>
              <w:t xml:space="preserve">ensure an ongoing flow of information to staff and students on anticipated and implemented changes; </w:t>
            </w:r>
          </w:p>
          <w:p w14:paraId="4F1D4539" w14:textId="77777777" w:rsidR="0062144A" w:rsidRPr="009A0DA6" w:rsidRDefault="0062144A" w:rsidP="00F55252">
            <w:pPr>
              <w:pStyle w:val="ListParagraph"/>
              <w:numPr>
                <w:ilvl w:val="0"/>
                <w:numId w:val="220"/>
              </w:numPr>
              <w:spacing w:before="120" w:after="120" w:line="240" w:lineRule="auto"/>
              <w:ind w:left="425"/>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rPr>
              <w:t xml:space="preserve">provide regular information to all parts of the LCA, its congregations and institutions; </w:t>
            </w:r>
          </w:p>
          <w:p w14:paraId="30F57AB8" w14:textId="77777777" w:rsidR="0062144A" w:rsidRPr="009A0DA6" w:rsidRDefault="0062144A" w:rsidP="00F55252">
            <w:pPr>
              <w:pStyle w:val="ListParagraph"/>
              <w:numPr>
                <w:ilvl w:val="0"/>
                <w:numId w:val="220"/>
              </w:numPr>
              <w:spacing w:before="120" w:after="120" w:line="240" w:lineRule="auto"/>
              <w:ind w:left="425"/>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rPr>
              <w:t>develop communication channels with the wider community and other partners including the University of Divinity.</w:t>
            </w:r>
          </w:p>
        </w:tc>
        <w:tc>
          <w:tcPr>
            <w:tcW w:w="3231" w:type="dxa"/>
            <w:hideMark/>
          </w:tcPr>
          <w:p w14:paraId="5471A49B" w14:textId="7410446F" w:rsidR="0062144A" w:rsidRPr="009A0DA6" w:rsidRDefault="0062144A">
            <w:pPr>
              <w:spacing w:before="120" w:after="120"/>
              <w:contextualSpacing/>
              <w:cnfStyle w:val="000000100000" w:firstRow="0" w:lastRow="0" w:firstColumn="0" w:lastColumn="0" w:oddVBand="0" w:evenVBand="0" w:oddHBand="1" w:evenHBand="0" w:firstRowFirstColumn="0" w:firstRowLastColumn="0" w:lastRowFirstColumn="0" w:lastRowLastColumn="0"/>
              <w:rPr>
                <w:rFonts w:ascii="Cambria" w:hAnsi="Cambria" w:cstheme="minorHAnsi"/>
              </w:rPr>
            </w:pPr>
            <w:r w:rsidRPr="009A0DA6">
              <w:rPr>
                <w:rFonts w:ascii="Cambria" w:hAnsi="Cambria" w:cstheme="minorHAnsi"/>
              </w:rPr>
              <w:t>ALC has met with leaders from a number of its stakeholder groups</w:t>
            </w:r>
            <w:r w:rsidR="0027799A" w:rsidRPr="009A0DA6">
              <w:rPr>
                <w:rFonts w:ascii="Cambria" w:hAnsi="Cambria" w:cstheme="minorHAnsi"/>
              </w:rPr>
              <w:t xml:space="preserve">. </w:t>
            </w:r>
            <w:r w:rsidRPr="009A0DA6">
              <w:rPr>
                <w:rFonts w:ascii="Cambria" w:hAnsi="Cambria" w:cstheme="minorHAnsi"/>
              </w:rPr>
              <w:t>Through these meetings those stakeholders have been informed of the College’s new strategic direction and what it might mean for their specific sector</w:t>
            </w:r>
            <w:r w:rsidR="0027799A" w:rsidRPr="009A0DA6">
              <w:rPr>
                <w:rFonts w:ascii="Cambria" w:hAnsi="Cambria" w:cstheme="minorHAnsi"/>
              </w:rPr>
              <w:t xml:space="preserve">. </w:t>
            </w:r>
            <w:r w:rsidRPr="009A0DA6">
              <w:rPr>
                <w:rFonts w:ascii="Cambria" w:hAnsi="Cambria" w:cstheme="minorHAnsi"/>
              </w:rPr>
              <w:t>A major launch of the College’s new strategic direction is planned in the lead up to the 2018 General Convention of Synod</w:t>
            </w:r>
            <w:r w:rsidR="0027799A" w:rsidRPr="009A0DA6">
              <w:rPr>
                <w:rFonts w:ascii="Cambria" w:hAnsi="Cambria" w:cstheme="minorHAnsi"/>
              </w:rPr>
              <w:t xml:space="preserve">. </w:t>
            </w:r>
            <w:r w:rsidRPr="009A0DA6">
              <w:rPr>
                <w:rFonts w:ascii="Cambria" w:hAnsi="Cambria" w:cstheme="minorHAnsi"/>
              </w:rPr>
              <w:t>Rebranding of the College is being considered in respect of this</w:t>
            </w:r>
            <w:r w:rsidR="0027799A" w:rsidRPr="009A0DA6">
              <w:rPr>
                <w:rFonts w:ascii="Cambria" w:hAnsi="Cambria" w:cstheme="minorHAnsi"/>
              </w:rPr>
              <w:t xml:space="preserve">. </w:t>
            </w:r>
          </w:p>
        </w:tc>
      </w:tr>
    </w:tbl>
    <w:p w14:paraId="1F7F4C37" w14:textId="77777777" w:rsidR="00DE6169" w:rsidRDefault="00DE6169">
      <w:r>
        <w:rPr>
          <w:b/>
          <w:bCs/>
        </w:rPr>
        <w:br w:type="page"/>
      </w:r>
    </w:p>
    <w:tbl>
      <w:tblPr>
        <w:tblStyle w:val="PlainTable2"/>
        <w:tblW w:w="8789" w:type="dxa"/>
        <w:tblLook w:val="04A0" w:firstRow="1" w:lastRow="0" w:firstColumn="1" w:lastColumn="0" w:noHBand="0" w:noVBand="1"/>
      </w:tblPr>
      <w:tblGrid>
        <w:gridCol w:w="2007"/>
        <w:gridCol w:w="3231"/>
        <w:gridCol w:w="3551"/>
      </w:tblGrid>
      <w:tr w:rsidR="0062144A" w:rsidRPr="009A0DA6" w14:paraId="450019CF" w14:textId="77777777" w:rsidTr="00DE6169">
        <w:trPr>
          <w:cnfStyle w:val="100000000000" w:firstRow="1" w:lastRow="0" w:firstColumn="0" w:lastColumn="0" w:oddVBand="0" w:evenVBand="0" w:oddHBand="0"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007" w:type="dxa"/>
            <w:hideMark/>
          </w:tcPr>
          <w:p w14:paraId="64C38553" w14:textId="13041AA8" w:rsidR="0062144A" w:rsidRPr="009A0DA6" w:rsidRDefault="0062144A" w:rsidP="00F55252">
            <w:pPr>
              <w:widowControl w:val="0"/>
              <w:numPr>
                <w:ilvl w:val="0"/>
                <w:numId w:val="34"/>
              </w:numPr>
              <w:suppressAutoHyphens/>
              <w:spacing w:before="120" w:after="120"/>
              <w:contextualSpacing/>
              <w:rPr>
                <w:rFonts w:ascii="Cambria" w:hAnsi="Cambria"/>
              </w:rPr>
            </w:pPr>
            <w:r w:rsidRPr="009A0DA6">
              <w:rPr>
                <w:rFonts w:ascii="Cambria" w:hAnsi="Cambria"/>
              </w:rPr>
              <w:lastRenderedPageBreak/>
              <w:t>Implementing good governance that can manage well and manage change well</w:t>
            </w:r>
          </w:p>
        </w:tc>
        <w:tc>
          <w:tcPr>
            <w:tcW w:w="3231" w:type="dxa"/>
            <w:hideMark/>
          </w:tcPr>
          <w:p w14:paraId="3BDEA675" w14:textId="3FFA5289" w:rsidR="0062144A" w:rsidRPr="00DE6169" w:rsidRDefault="0062144A" w:rsidP="00F55252">
            <w:pPr>
              <w:pStyle w:val="ListParagraph"/>
              <w:numPr>
                <w:ilvl w:val="0"/>
                <w:numId w:val="221"/>
              </w:numPr>
              <w:spacing w:before="120" w:after="120" w:line="240" w:lineRule="auto"/>
              <w:ind w:left="425"/>
              <w:cnfStyle w:val="100000000000" w:firstRow="1" w:lastRow="0" w:firstColumn="0" w:lastColumn="0" w:oddVBand="0" w:evenVBand="0" w:oddHBand="0" w:evenHBand="0" w:firstRowFirstColumn="0" w:firstRowLastColumn="0" w:lastRowFirstColumn="0" w:lastRowLastColumn="0"/>
              <w:rPr>
                <w:rFonts w:ascii="Cambria" w:hAnsi="Cambria" w:cs="Arial"/>
                <w:b w:val="0"/>
              </w:rPr>
            </w:pPr>
            <w:r w:rsidRPr="00DE6169">
              <w:rPr>
                <w:rFonts w:ascii="Cambria" w:hAnsi="Cambria"/>
                <w:b w:val="0"/>
              </w:rPr>
              <w:t xml:space="preserve">function as a </w:t>
            </w:r>
            <w:r w:rsidR="00295E5B" w:rsidRPr="00DE6169">
              <w:rPr>
                <w:rFonts w:ascii="Cambria" w:hAnsi="Cambria"/>
                <w:b w:val="0"/>
              </w:rPr>
              <w:t>board</w:t>
            </w:r>
            <w:r w:rsidRPr="00DE6169">
              <w:rPr>
                <w:rFonts w:ascii="Cambria" w:hAnsi="Cambria"/>
                <w:b w:val="0"/>
              </w:rPr>
              <w:t xml:space="preserve"> of governance, delegating management to the Principal; </w:t>
            </w:r>
          </w:p>
          <w:p w14:paraId="67A4A028" w14:textId="77777777" w:rsidR="0062144A" w:rsidRPr="00DE6169" w:rsidRDefault="0062144A" w:rsidP="00F55252">
            <w:pPr>
              <w:pStyle w:val="ListParagraph"/>
              <w:numPr>
                <w:ilvl w:val="0"/>
                <w:numId w:val="221"/>
              </w:numPr>
              <w:spacing w:before="120" w:after="120" w:line="240" w:lineRule="auto"/>
              <w:ind w:left="425"/>
              <w:cnfStyle w:val="100000000000" w:firstRow="1" w:lastRow="0" w:firstColumn="0" w:lastColumn="0" w:oddVBand="0" w:evenVBand="0" w:oddHBand="0" w:evenHBand="0" w:firstRowFirstColumn="0" w:firstRowLastColumn="0" w:lastRowFirstColumn="0" w:lastRowLastColumn="0"/>
              <w:rPr>
                <w:rFonts w:ascii="Cambria" w:hAnsi="Cambria" w:cs="Arial"/>
                <w:b w:val="0"/>
              </w:rPr>
            </w:pPr>
            <w:r w:rsidRPr="00DE6169">
              <w:rPr>
                <w:rFonts w:ascii="Cambria" w:hAnsi="Cambria"/>
                <w:b w:val="0"/>
              </w:rPr>
              <w:t xml:space="preserve">maintain an open channel of communication with the leadership structure of the LCA including the General Church Council (GCC) to facilitate understanding of changes as they occur; </w:t>
            </w:r>
          </w:p>
          <w:p w14:paraId="31A10D94" w14:textId="173F20AC" w:rsidR="0062144A" w:rsidRPr="00DE6169" w:rsidRDefault="0062144A" w:rsidP="00F55252">
            <w:pPr>
              <w:pStyle w:val="ListParagraph"/>
              <w:numPr>
                <w:ilvl w:val="0"/>
                <w:numId w:val="221"/>
              </w:numPr>
              <w:spacing w:before="120" w:after="120" w:line="240" w:lineRule="auto"/>
              <w:ind w:left="425"/>
              <w:cnfStyle w:val="100000000000" w:firstRow="1" w:lastRow="0" w:firstColumn="0" w:lastColumn="0" w:oddVBand="0" w:evenVBand="0" w:oddHBand="0" w:evenHBand="0" w:firstRowFirstColumn="0" w:firstRowLastColumn="0" w:lastRowFirstColumn="0" w:lastRowLastColumn="0"/>
              <w:rPr>
                <w:rFonts w:ascii="Cambria" w:hAnsi="Cambria" w:cs="Arial"/>
                <w:b w:val="0"/>
              </w:rPr>
            </w:pPr>
            <w:r w:rsidRPr="00DE6169">
              <w:rPr>
                <w:rFonts w:ascii="Cambria" w:hAnsi="Cambria"/>
                <w:b w:val="0"/>
              </w:rPr>
              <w:t xml:space="preserve">have policies for </w:t>
            </w:r>
            <w:r w:rsidR="00295E5B" w:rsidRPr="00DE6169">
              <w:rPr>
                <w:rFonts w:ascii="Cambria" w:hAnsi="Cambria"/>
                <w:b w:val="0"/>
              </w:rPr>
              <w:t>board</w:t>
            </w:r>
            <w:r w:rsidRPr="00DE6169">
              <w:rPr>
                <w:rFonts w:ascii="Cambria" w:hAnsi="Cambria"/>
                <w:b w:val="0"/>
              </w:rPr>
              <w:t xml:space="preserve"> processes, the Board–Principal relationship, delegations and limitations, and will focus on this strategic direction (what it wants ALC to achieve); </w:t>
            </w:r>
          </w:p>
          <w:p w14:paraId="0A92A197" w14:textId="77777777" w:rsidR="0062144A" w:rsidRPr="00DE6169" w:rsidRDefault="0062144A" w:rsidP="00F55252">
            <w:pPr>
              <w:pStyle w:val="ListParagraph"/>
              <w:numPr>
                <w:ilvl w:val="0"/>
                <w:numId w:val="221"/>
              </w:numPr>
              <w:spacing w:before="120" w:after="120" w:line="240" w:lineRule="auto"/>
              <w:ind w:left="425"/>
              <w:cnfStyle w:val="100000000000" w:firstRow="1" w:lastRow="0" w:firstColumn="0" w:lastColumn="0" w:oddVBand="0" w:evenVBand="0" w:oddHBand="0" w:evenHBand="0" w:firstRowFirstColumn="0" w:firstRowLastColumn="0" w:lastRowFirstColumn="0" w:lastRowLastColumn="0"/>
              <w:rPr>
                <w:rFonts w:ascii="Cambria" w:hAnsi="Cambria" w:cs="Arial"/>
                <w:b w:val="0"/>
              </w:rPr>
            </w:pPr>
            <w:r w:rsidRPr="00DE6169">
              <w:rPr>
                <w:rFonts w:ascii="Cambria" w:hAnsi="Cambria"/>
                <w:b w:val="0"/>
              </w:rPr>
              <w:t xml:space="preserve">establish budgets and hold the Principal accountable for meeting budgetary expectations; </w:t>
            </w:r>
          </w:p>
          <w:p w14:paraId="364DC186" w14:textId="3B1657BB" w:rsidR="0062144A" w:rsidRPr="00DE6169" w:rsidRDefault="0062144A" w:rsidP="00F55252">
            <w:pPr>
              <w:pStyle w:val="ListParagraph"/>
              <w:numPr>
                <w:ilvl w:val="0"/>
                <w:numId w:val="221"/>
              </w:numPr>
              <w:spacing w:before="120" w:after="120" w:line="240" w:lineRule="auto"/>
              <w:ind w:left="425"/>
              <w:cnfStyle w:val="100000000000" w:firstRow="1" w:lastRow="0" w:firstColumn="0" w:lastColumn="0" w:oddVBand="0" w:evenVBand="0" w:oddHBand="0" w:evenHBand="0" w:firstRowFirstColumn="0" w:firstRowLastColumn="0" w:lastRowFirstColumn="0" w:lastRowLastColumn="0"/>
              <w:rPr>
                <w:rFonts w:ascii="Cambria" w:hAnsi="Cambria" w:cs="Arial"/>
                <w:b w:val="0"/>
              </w:rPr>
            </w:pPr>
            <w:r w:rsidRPr="00DE6169">
              <w:rPr>
                <w:rFonts w:ascii="Cambria" w:hAnsi="Cambria"/>
                <w:b w:val="0"/>
              </w:rPr>
              <w:t xml:space="preserve">require the Principal and Leadership Team to put in place a change management plan and report to the </w:t>
            </w:r>
            <w:r w:rsidR="00295E5B" w:rsidRPr="00DE6169">
              <w:rPr>
                <w:rFonts w:ascii="Cambria" w:hAnsi="Cambria"/>
                <w:b w:val="0"/>
              </w:rPr>
              <w:t>board</w:t>
            </w:r>
            <w:r w:rsidRPr="00DE6169">
              <w:rPr>
                <w:rFonts w:ascii="Cambria" w:hAnsi="Cambria"/>
                <w:b w:val="0"/>
              </w:rPr>
              <w:t xml:space="preserve"> regularly on progress; </w:t>
            </w:r>
          </w:p>
          <w:p w14:paraId="6005F6D6" w14:textId="77777777" w:rsidR="0062144A" w:rsidRPr="00DE6169" w:rsidRDefault="0062144A" w:rsidP="00F55252">
            <w:pPr>
              <w:pStyle w:val="ListParagraph"/>
              <w:numPr>
                <w:ilvl w:val="0"/>
                <w:numId w:val="221"/>
              </w:numPr>
              <w:spacing w:before="120" w:after="120" w:line="240" w:lineRule="auto"/>
              <w:ind w:left="425"/>
              <w:cnfStyle w:val="100000000000" w:firstRow="1" w:lastRow="0" w:firstColumn="0" w:lastColumn="0" w:oddVBand="0" w:evenVBand="0" w:oddHBand="0" w:evenHBand="0" w:firstRowFirstColumn="0" w:firstRowLastColumn="0" w:lastRowFirstColumn="0" w:lastRowLastColumn="0"/>
              <w:rPr>
                <w:rFonts w:ascii="Cambria" w:hAnsi="Cambria" w:cs="Arial"/>
                <w:b w:val="0"/>
              </w:rPr>
            </w:pPr>
            <w:r w:rsidRPr="00DE6169">
              <w:rPr>
                <w:rFonts w:ascii="Cambria" w:hAnsi="Cambria"/>
                <w:b w:val="0"/>
              </w:rPr>
              <w:t>require the Principal and Leadership Team to support an internal culture that is open to change and continuously learning about and implementing improved approaches to meet the desired strategic direction.</w:t>
            </w:r>
          </w:p>
        </w:tc>
        <w:tc>
          <w:tcPr>
            <w:tcW w:w="3551" w:type="dxa"/>
          </w:tcPr>
          <w:p w14:paraId="5FDB62AE" w14:textId="563BD175" w:rsidR="0062144A" w:rsidRPr="00DE6169" w:rsidRDefault="0062144A">
            <w:pPr>
              <w:spacing w:before="120" w:after="120"/>
              <w:contextualSpacing/>
              <w:cnfStyle w:val="100000000000" w:firstRow="1" w:lastRow="0" w:firstColumn="0" w:lastColumn="0" w:oddVBand="0" w:evenVBand="0" w:oddHBand="0" w:evenHBand="0" w:firstRowFirstColumn="0" w:firstRowLastColumn="0" w:lastRowFirstColumn="0" w:lastRowLastColumn="0"/>
              <w:rPr>
                <w:rFonts w:ascii="Cambria" w:hAnsi="Cambria" w:cstheme="minorHAnsi"/>
                <w:b w:val="0"/>
              </w:rPr>
            </w:pPr>
            <w:r w:rsidRPr="00DE6169">
              <w:rPr>
                <w:rFonts w:ascii="Cambria" w:hAnsi="Cambria" w:cstheme="minorHAnsi"/>
                <w:b w:val="0"/>
              </w:rPr>
              <w:t>ALC’s new strategic direction also identified a desirable governance structure for the College</w:t>
            </w:r>
            <w:r w:rsidR="0027799A" w:rsidRPr="00DE6169">
              <w:rPr>
                <w:rFonts w:ascii="Cambria" w:hAnsi="Cambria" w:cstheme="minorHAnsi"/>
                <w:b w:val="0"/>
              </w:rPr>
              <w:t xml:space="preserve">. </w:t>
            </w:r>
            <w:r w:rsidRPr="00DE6169">
              <w:rPr>
                <w:rFonts w:ascii="Cambria" w:hAnsi="Cambria" w:cstheme="minorHAnsi"/>
                <w:b w:val="0"/>
              </w:rPr>
              <w:t>This new structure is based upon the Carver or Policy Governance model</w:t>
            </w:r>
            <w:r w:rsidR="0027799A" w:rsidRPr="00DE6169">
              <w:rPr>
                <w:rFonts w:ascii="Cambria" w:hAnsi="Cambria" w:cstheme="minorHAnsi"/>
                <w:b w:val="0"/>
              </w:rPr>
              <w:t xml:space="preserve">. </w:t>
            </w:r>
            <w:r w:rsidRPr="00DE6169">
              <w:rPr>
                <w:rFonts w:ascii="Cambria" w:hAnsi="Cambria" w:cstheme="minorHAnsi"/>
                <w:b w:val="0"/>
              </w:rPr>
              <w:t>This model requires the development of key governance policies to replace conventional bi-laws</w:t>
            </w:r>
            <w:r w:rsidR="0027799A" w:rsidRPr="00DE6169">
              <w:rPr>
                <w:rFonts w:ascii="Cambria" w:hAnsi="Cambria" w:cstheme="minorHAnsi"/>
                <w:b w:val="0"/>
              </w:rPr>
              <w:t xml:space="preserve">. </w:t>
            </w:r>
            <w:r w:rsidRPr="00DE6169">
              <w:rPr>
                <w:rFonts w:ascii="Cambria" w:hAnsi="Cambria" w:cstheme="minorHAnsi"/>
                <w:b w:val="0"/>
              </w:rPr>
              <w:t>The key to this policy is an effective delegations policy accompanied by effective oversight and accountabilities. An experienced person will be engaged to write this set of governance policies.</w:t>
            </w:r>
          </w:p>
          <w:p w14:paraId="7E659F79" w14:textId="77777777" w:rsidR="0062144A" w:rsidRPr="00DE6169" w:rsidRDefault="0062144A">
            <w:pPr>
              <w:spacing w:before="120" w:after="120"/>
              <w:contextualSpacing/>
              <w:cnfStyle w:val="100000000000" w:firstRow="1" w:lastRow="0" w:firstColumn="0" w:lastColumn="0" w:oddVBand="0" w:evenVBand="0" w:oddHBand="0" w:evenHBand="0" w:firstRowFirstColumn="0" w:firstRowLastColumn="0" w:lastRowFirstColumn="0" w:lastRowLastColumn="0"/>
              <w:rPr>
                <w:rFonts w:ascii="Cambria" w:hAnsi="Cambria" w:cstheme="minorHAnsi"/>
                <w:b w:val="0"/>
              </w:rPr>
            </w:pPr>
          </w:p>
          <w:p w14:paraId="1BA3E53D" w14:textId="26423835" w:rsidR="0062144A" w:rsidRPr="00DE6169" w:rsidRDefault="0062144A">
            <w:pPr>
              <w:spacing w:before="120" w:after="120"/>
              <w:contextualSpacing/>
              <w:cnfStyle w:val="100000000000" w:firstRow="1" w:lastRow="0" w:firstColumn="0" w:lastColumn="0" w:oddVBand="0" w:evenVBand="0" w:oddHBand="0" w:evenHBand="0" w:firstRowFirstColumn="0" w:firstRowLastColumn="0" w:lastRowFirstColumn="0" w:lastRowLastColumn="0"/>
              <w:rPr>
                <w:rFonts w:ascii="Cambria" w:hAnsi="Cambria" w:cstheme="minorHAnsi"/>
                <w:b w:val="0"/>
              </w:rPr>
            </w:pPr>
            <w:r w:rsidRPr="00DE6169">
              <w:rPr>
                <w:rFonts w:ascii="Cambria" w:hAnsi="Cambria" w:cstheme="minorHAnsi"/>
                <w:b w:val="0"/>
              </w:rPr>
              <w:t xml:space="preserve">To further support the College’s changed governance model the </w:t>
            </w:r>
            <w:r w:rsidR="00295E5B" w:rsidRPr="00DE6169">
              <w:rPr>
                <w:rFonts w:ascii="Cambria" w:hAnsi="Cambria" w:cstheme="minorHAnsi"/>
                <w:b w:val="0"/>
              </w:rPr>
              <w:t>board</w:t>
            </w:r>
            <w:r w:rsidRPr="00DE6169">
              <w:rPr>
                <w:rFonts w:ascii="Cambria" w:hAnsi="Cambria" w:cstheme="minorHAnsi"/>
                <w:b w:val="0"/>
              </w:rPr>
              <w:t xml:space="preserve"> redrafted its constitution</w:t>
            </w:r>
            <w:r w:rsidR="0027799A" w:rsidRPr="00DE6169">
              <w:rPr>
                <w:rFonts w:ascii="Cambria" w:hAnsi="Cambria" w:cstheme="minorHAnsi"/>
                <w:b w:val="0"/>
              </w:rPr>
              <w:t xml:space="preserve">. </w:t>
            </w:r>
            <w:r w:rsidRPr="00DE6169">
              <w:rPr>
                <w:rFonts w:ascii="Cambria" w:hAnsi="Cambria" w:cstheme="minorHAnsi"/>
                <w:b w:val="0"/>
              </w:rPr>
              <w:t>This redraft was based upon the Australian Charities and Not-for-profit Commission (ACNC) model constitution which is the key government regulator for the College</w:t>
            </w:r>
            <w:r w:rsidR="0027799A" w:rsidRPr="00DE6169">
              <w:rPr>
                <w:rFonts w:ascii="Cambria" w:hAnsi="Cambria" w:cstheme="minorHAnsi"/>
                <w:b w:val="0"/>
              </w:rPr>
              <w:t xml:space="preserve">. </w:t>
            </w:r>
            <w:r w:rsidRPr="00DE6169">
              <w:rPr>
                <w:rFonts w:ascii="Cambria" w:hAnsi="Cambria" w:cstheme="minorHAnsi"/>
                <w:b w:val="0"/>
              </w:rPr>
              <w:t>The College’s redrafted constitution has been submitted to GCC for approval.</w:t>
            </w:r>
          </w:p>
          <w:p w14:paraId="799E076F" w14:textId="77777777" w:rsidR="0062144A" w:rsidRPr="00DE6169" w:rsidRDefault="0062144A">
            <w:pPr>
              <w:spacing w:before="120" w:after="120"/>
              <w:contextualSpacing/>
              <w:cnfStyle w:val="100000000000" w:firstRow="1" w:lastRow="0" w:firstColumn="0" w:lastColumn="0" w:oddVBand="0" w:evenVBand="0" w:oddHBand="0" w:evenHBand="0" w:firstRowFirstColumn="0" w:firstRowLastColumn="0" w:lastRowFirstColumn="0" w:lastRowLastColumn="0"/>
              <w:rPr>
                <w:rFonts w:ascii="Cambria" w:hAnsi="Cambria" w:cstheme="minorHAnsi"/>
                <w:b w:val="0"/>
              </w:rPr>
            </w:pPr>
          </w:p>
          <w:p w14:paraId="3E9028F5" w14:textId="04286CAA" w:rsidR="0062144A" w:rsidRPr="00DE6169" w:rsidRDefault="0062144A">
            <w:pPr>
              <w:spacing w:before="120" w:after="120"/>
              <w:contextualSpacing/>
              <w:cnfStyle w:val="100000000000" w:firstRow="1" w:lastRow="0" w:firstColumn="0" w:lastColumn="0" w:oddVBand="0" w:evenVBand="0" w:oddHBand="0" w:evenHBand="0" w:firstRowFirstColumn="0" w:firstRowLastColumn="0" w:lastRowFirstColumn="0" w:lastRowLastColumn="0"/>
              <w:rPr>
                <w:rFonts w:ascii="Cambria" w:hAnsi="Cambria" w:cstheme="minorHAnsi"/>
                <w:b w:val="0"/>
              </w:rPr>
            </w:pPr>
            <w:r w:rsidRPr="00DE6169">
              <w:rPr>
                <w:rFonts w:ascii="Cambria" w:hAnsi="Cambria" w:cstheme="minorHAnsi"/>
                <w:b w:val="0"/>
              </w:rPr>
              <w:t xml:space="preserve">To give expression to its implementation of the Carver Governance Model along with its redrafted constitution the </w:t>
            </w:r>
            <w:r w:rsidR="00295E5B" w:rsidRPr="00DE6169">
              <w:rPr>
                <w:rFonts w:ascii="Cambria" w:hAnsi="Cambria" w:cstheme="minorHAnsi"/>
                <w:b w:val="0"/>
              </w:rPr>
              <w:t>board</w:t>
            </w:r>
            <w:r w:rsidRPr="00DE6169">
              <w:rPr>
                <w:rFonts w:ascii="Cambria" w:hAnsi="Cambria" w:cstheme="minorHAnsi"/>
                <w:b w:val="0"/>
              </w:rPr>
              <w:t xml:space="preserve"> has also implemented a restructure of the College</w:t>
            </w:r>
            <w:r w:rsidR="0027799A" w:rsidRPr="00DE6169">
              <w:rPr>
                <w:rFonts w:ascii="Cambria" w:hAnsi="Cambria" w:cstheme="minorHAnsi"/>
                <w:b w:val="0"/>
              </w:rPr>
              <w:t xml:space="preserve">. </w:t>
            </w:r>
            <w:r w:rsidRPr="00DE6169">
              <w:rPr>
                <w:rFonts w:ascii="Cambria" w:hAnsi="Cambria" w:cstheme="minorHAnsi"/>
                <w:b w:val="0"/>
              </w:rPr>
              <w:t>This restructure has done away with the former ‘three School’ model for the College and has replaced it with a structure that reflects the College’s formative and academic activities</w:t>
            </w:r>
            <w:r w:rsidR="0027799A" w:rsidRPr="00DE6169">
              <w:rPr>
                <w:rFonts w:ascii="Cambria" w:hAnsi="Cambria" w:cstheme="minorHAnsi"/>
                <w:b w:val="0"/>
              </w:rPr>
              <w:t xml:space="preserve">. </w:t>
            </w:r>
            <w:r w:rsidRPr="00DE6169">
              <w:rPr>
                <w:rFonts w:ascii="Cambria" w:hAnsi="Cambria" w:cstheme="minorHAnsi"/>
                <w:b w:val="0"/>
              </w:rPr>
              <w:t>This structure is now being implemented and tested to be ready for a full launch in 2019</w:t>
            </w:r>
            <w:r w:rsidR="0027799A" w:rsidRPr="00DE6169">
              <w:rPr>
                <w:rFonts w:ascii="Cambria" w:hAnsi="Cambria" w:cstheme="minorHAnsi"/>
                <w:b w:val="0"/>
              </w:rPr>
              <w:t xml:space="preserve">. </w:t>
            </w:r>
            <w:r w:rsidRPr="00DE6169">
              <w:rPr>
                <w:rFonts w:ascii="Cambria" w:hAnsi="Cambria" w:cstheme="minorHAnsi"/>
                <w:b w:val="0"/>
              </w:rPr>
              <w:t xml:space="preserve"> </w:t>
            </w:r>
          </w:p>
          <w:p w14:paraId="3B800DC1" w14:textId="77777777" w:rsidR="0062144A" w:rsidRPr="00DE6169" w:rsidRDefault="0062144A">
            <w:pPr>
              <w:spacing w:before="120" w:after="120"/>
              <w:contextualSpacing/>
              <w:cnfStyle w:val="100000000000" w:firstRow="1" w:lastRow="0" w:firstColumn="0" w:lastColumn="0" w:oddVBand="0" w:evenVBand="0" w:oddHBand="0" w:evenHBand="0" w:firstRowFirstColumn="0" w:firstRowLastColumn="0" w:lastRowFirstColumn="0" w:lastRowLastColumn="0"/>
              <w:rPr>
                <w:rFonts w:ascii="Cambria" w:hAnsi="Cambria" w:cstheme="minorHAnsi"/>
                <w:b w:val="0"/>
              </w:rPr>
            </w:pPr>
          </w:p>
          <w:p w14:paraId="3A9C7B48" w14:textId="52995D8D" w:rsidR="0062144A" w:rsidRPr="00DE6169" w:rsidRDefault="0062144A">
            <w:pPr>
              <w:spacing w:before="120" w:after="120"/>
              <w:contextualSpacing/>
              <w:cnfStyle w:val="100000000000" w:firstRow="1" w:lastRow="0" w:firstColumn="0" w:lastColumn="0" w:oddVBand="0" w:evenVBand="0" w:oddHBand="0" w:evenHBand="0" w:firstRowFirstColumn="0" w:firstRowLastColumn="0" w:lastRowFirstColumn="0" w:lastRowLastColumn="0"/>
              <w:rPr>
                <w:rFonts w:ascii="Cambria" w:hAnsi="Cambria" w:cstheme="minorHAnsi"/>
                <w:b w:val="0"/>
              </w:rPr>
            </w:pPr>
            <w:r w:rsidRPr="00DE6169">
              <w:rPr>
                <w:rFonts w:ascii="Cambria" w:hAnsi="Cambria" w:cstheme="minorHAnsi"/>
                <w:b w:val="0"/>
              </w:rPr>
              <w:t xml:space="preserve">During this period the </w:t>
            </w:r>
            <w:r w:rsidR="00295E5B" w:rsidRPr="00DE6169">
              <w:rPr>
                <w:rFonts w:ascii="Cambria" w:hAnsi="Cambria" w:cstheme="minorHAnsi"/>
                <w:b w:val="0"/>
              </w:rPr>
              <w:t>board</w:t>
            </w:r>
            <w:r w:rsidRPr="00DE6169">
              <w:rPr>
                <w:rFonts w:ascii="Cambria" w:hAnsi="Cambria" w:cstheme="minorHAnsi"/>
                <w:b w:val="0"/>
              </w:rPr>
              <w:t xml:space="preserve"> also completed a formative review of the Principal</w:t>
            </w:r>
            <w:r w:rsidR="0027799A" w:rsidRPr="00DE6169">
              <w:rPr>
                <w:rFonts w:ascii="Cambria" w:hAnsi="Cambria" w:cstheme="minorHAnsi"/>
                <w:b w:val="0"/>
              </w:rPr>
              <w:t xml:space="preserve">. </w:t>
            </w:r>
            <w:r w:rsidRPr="00DE6169">
              <w:rPr>
                <w:rFonts w:ascii="Cambria" w:hAnsi="Cambria" w:cstheme="minorHAnsi"/>
                <w:b w:val="0"/>
              </w:rPr>
              <w:t xml:space="preserve">This review was favourable to the principal leading to the </w:t>
            </w:r>
            <w:r w:rsidR="00295E5B" w:rsidRPr="00DE6169">
              <w:rPr>
                <w:rFonts w:ascii="Cambria" w:hAnsi="Cambria" w:cstheme="minorHAnsi"/>
                <w:b w:val="0"/>
              </w:rPr>
              <w:t>board</w:t>
            </w:r>
            <w:r w:rsidRPr="00DE6169">
              <w:rPr>
                <w:rFonts w:ascii="Cambria" w:hAnsi="Cambria" w:cstheme="minorHAnsi"/>
                <w:b w:val="0"/>
              </w:rPr>
              <w:t>’s affirmation of his continuing service</w:t>
            </w:r>
            <w:r w:rsidR="0027799A" w:rsidRPr="00DE6169">
              <w:rPr>
                <w:rFonts w:ascii="Cambria" w:hAnsi="Cambria" w:cstheme="minorHAnsi"/>
                <w:b w:val="0"/>
              </w:rPr>
              <w:t xml:space="preserve">. </w:t>
            </w:r>
            <w:r w:rsidRPr="00DE6169">
              <w:rPr>
                <w:rFonts w:ascii="Cambria" w:hAnsi="Cambria" w:cstheme="minorHAnsi"/>
                <w:b w:val="0"/>
              </w:rPr>
              <w:t>Development needs were also identified for the principal. Consequently, he has enrolled in a Master of Education (Leadership and Management)</w:t>
            </w:r>
            <w:r w:rsidR="0027799A" w:rsidRPr="00DE6169">
              <w:rPr>
                <w:rFonts w:ascii="Cambria" w:hAnsi="Cambria" w:cstheme="minorHAnsi"/>
                <w:b w:val="0"/>
              </w:rPr>
              <w:t xml:space="preserve">. </w:t>
            </w:r>
          </w:p>
          <w:p w14:paraId="20324EA7" w14:textId="77777777" w:rsidR="0062144A" w:rsidRPr="00DE6169" w:rsidRDefault="0062144A">
            <w:pPr>
              <w:spacing w:before="120" w:after="120"/>
              <w:contextualSpacing/>
              <w:cnfStyle w:val="100000000000" w:firstRow="1" w:lastRow="0" w:firstColumn="0" w:lastColumn="0" w:oddVBand="0" w:evenVBand="0" w:oddHBand="0" w:evenHBand="0" w:firstRowFirstColumn="0" w:firstRowLastColumn="0" w:lastRowFirstColumn="0" w:lastRowLastColumn="0"/>
              <w:rPr>
                <w:rFonts w:ascii="Cambria" w:hAnsi="Cambria" w:cstheme="minorHAnsi"/>
                <w:b w:val="0"/>
              </w:rPr>
            </w:pPr>
          </w:p>
        </w:tc>
      </w:tr>
    </w:tbl>
    <w:p w14:paraId="75BF2F07" w14:textId="77777777" w:rsidR="00DE6169" w:rsidRDefault="00DE6169" w:rsidP="008F179B">
      <w:pPr>
        <w:pStyle w:val="Heading3"/>
      </w:pPr>
      <w:r>
        <w:rPr>
          <w:sz w:val="2"/>
        </w:rPr>
        <w:br/>
      </w:r>
    </w:p>
    <w:p w14:paraId="2FEAFC6E" w14:textId="626DF1B3" w:rsidR="0062144A" w:rsidRPr="009A0DA6" w:rsidRDefault="00DE6169" w:rsidP="00DE6169">
      <w:pPr>
        <w:pStyle w:val="Heading3"/>
        <w:rPr>
          <w:lang w:val="en-US" w:eastAsia="ja-JP"/>
        </w:rPr>
      </w:pPr>
      <w:r>
        <w:br w:type="page"/>
      </w:r>
      <w:r w:rsidR="0062144A" w:rsidRPr="009A0DA6">
        <w:lastRenderedPageBreak/>
        <w:t>Successes</w:t>
      </w:r>
    </w:p>
    <w:p w14:paraId="64E2E6D1" w14:textId="77777777" w:rsidR="0062144A" w:rsidRPr="009A0DA6" w:rsidRDefault="0062144A" w:rsidP="00F55252">
      <w:pPr>
        <w:pStyle w:val="NoSpacing"/>
        <w:numPr>
          <w:ilvl w:val="0"/>
          <w:numId w:val="222"/>
        </w:numPr>
        <w:spacing w:before="120" w:after="120"/>
        <w:ind w:left="567" w:hanging="567"/>
        <w:contextualSpacing/>
      </w:pPr>
      <w:r w:rsidRPr="009A0DA6">
        <w:t>Completion and ongoing implementation of the Strategic Direction 2017-2022;</w:t>
      </w:r>
    </w:p>
    <w:p w14:paraId="6FBDDE7A" w14:textId="77777777" w:rsidR="0062144A" w:rsidRPr="009A0DA6" w:rsidRDefault="0062144A" w:rsidP="00F55252">
      <w:pPr>
        <w:pStyle w:val="NoSpacing"/>
        <w:numPr>
          <w:ilvl w:val="0"/>
          <w:numId w:val="222"/>
        </w:numPr>
        <w:spacing w:before="120" w:after="120"/>
        <w:ind w:left="567" w:hanging="567"/>
        <w:contextualSpacing/>
      </w:pPr>
      <w:r w:rsidRPr="009A0DA6">
        <w:t>Renewed communications engagement with a broad range of stakeholders;</w:t>
      </w:r>
    </w:p>
    <w:p w14:paraId="620CE681" w14:textId="77777777" w:rsidR="0062144A" w:rsidRPr="009A0DA6" w:rsidRDefault="0062144A" w:rsidP="00F55252">
      <w:pPr>
        <w:pStyle w:val="NoSpacing"/>
        <w:numPr>
          <w:ilvl w:val="0"/>
          <w:numId w:val="222"/>
        </w:numPr>
        <w:spacing w:before="120" w:after="120"/>
        <w:ind w:left="567" w:hanging="567"/>
        <w:contextualSpacing/>
      </w:pPr>
      <w:r w:rsidRPr="009A0DA6">
        <w:t>Innovative new ventures are being undertaken with some stakeholders;</w:t>
      </w:r>
    </w:p>
    <w:p w14:paraId="23F3CA31" w14:textId="77777777" w:rsidR="0062144A" w:rsidRPr="009A0DA6" w:rsidRDefault="0062144A" w:rsidP="00F55252">
      <w:pPr>
        <w:pStyle w:val="NoSpacing"/>
        <w:numPr>
          <w:ilvl w:val="0"/>
          <w:numId w:val="222"/>
        </w:numPr>
        <w:spacing w:before="120" w:after="120"/>
        <w:ind w:left="567" w:hanging="567"/>
        <w:contextualSpacing/>
      </w:pPr>
      <w:r w:rsidRPr="009A0DA6">
        <w:t>Cost cutting measures have resulted in modest financial surpluses in the years 2016 and 2017;</w:t>
      </w:r>
    </w:p>
    <w:p w14:paraId="5AA07FC8" w14:textId="31866974" w:rsidR="0062144A" w:rsidRPr="009A0DA6" w:rsidRDefault="0062144A" w:rsidP="00F55252">
      <w:pPr>
        <w:pStyle w:val="NoSpacing"/>
        <w:numPr>
          <w:ilvl w:val="0"/>
          <w:numId w:val="222"/>
        </w:numPr>
        <w:spacing w:before="120" w:after="120"/>
        <w:ind w:left="567" w:hanging="567"/>
        <w:contextualSpacing/>
      </w:pPr>
      <w:r w:rsidRPr="009A0DA6">
        <w:t xml:space="preserve">Taking over and administering the </w:t>
      </w:r>
      <w:r w:rsidR="00336CE0" w:rsidRPr="009A0DA6">
        <w:t>church</w:t>
      </w:r>
      <w:r w:rsidRPr="009A0DA6">
        <w:t xml:space="preserve">’s Continuing Education for Pastors (CEP) programme; </w:t>
      </w:r>
    </w:p>
    <w:p w14:paraId="5A530E85" w14:textId="77777777" w:rsidR="0062144A" w:rsidRPr="009A0DA6" w:rsidRDefault="0062144A" w:rsidP="00F55252">
      <w:pPr>
        <w:pStyle w:val="ListParagraph"/>
        <w:numPr>
          <w:ilvl w:val="0"/>
          <w:numId w:val="222"/>
        </w:numPr>
        <w:spacing w:before="120" w:after="120" w:line="240" w:lineRule="auto"/>
        <w:ind w:left="567" w:hanging="567"/>
        <w:rPr>
          <w:rFonts w:ascii="Cambria" w:hAnsi="Cambria"/>
        </w:rPr>
      </w:pPr>
      <w:r w:rsidRPr="009A0DA6">
        <w:rPr>
          <w:rFonts w:ascii="Cambria" w:hAnsi="Cambria"/>
        </w:rPr>
        <w:t>From 28/6-3/7/2016 ALC hosted a Luther 500 Conference in Melbourne. Registrations exceeded expectations with 170 guests in attendance, including international visitors. Based on feedback, this conference can be considered an outstanding success.</w:t>
      </w:r>
    </w:p>
    <w:p w14:paraId="3F60EF9D" w14:textId="77777777" w:rsidR="0062144A" w:rsidRPr="009A0DA6" w:rsidRDefault="0062144A" w:rsidP="00F55252">
      <w:pPr>
        <w:pStyle w:val="ListParagraph"/>
        <w:numPr>
          <w:ilvl w:val="0"/>
          <w:numId w:val="222"/>
        </w:numPr>
        <w:spacing w:before="120" w:after="120" w:line="240" w:lineRule="auto"/>
        <w:ind w:left="567" w:hanging="567"/>
        <w:rPr>
          <w:rFonts w:ascii="Cambria" w:hAnsi="Cambria"/>
        </w:rPr>
      </w:pPr>
      <w:r w:rsidRPr="009A0DA6">
        <w:rPr>
          <w:rFonts w:ascii="Cambria" w:hAnsi="Cambria"/>
        </w:rPr>
        <w:t>In March 2017, ALC’s Associate Dean for Research, Wendy Mayer, was appointed as a Professor of the University of Divinity. In ALC’s history, this is the first time that an academic staff member has been recognized at this outstanding level.</w:t>
      </w:r>
    </w:p>
    <w:p w14:paraId="04D53813" w14:textId="77777777" w:rsidR="0062144A" w:rsidRPr="009A0DA6" w:rsidRDefault="0062144A" w:rsidP="00F55252">
      <w:pPr>
        <w:pStyle w:val="ListParagraph"/>
        <w:numPr>
          <w:ilvl w:val="0"/>
          <w:numId w:val="222"/>
        </w:numPr>
        <w:spacing w:before="120" w:after="120" w:line="240" w:lineRule="auto"/>
        <w:ind w:left="567" w:hanging="567"/>
        <w:rPr>
          <w:rFonts w:ascii="Cambria" w:hAnsi="Cambria"/>
        </w:rPr>
      </w:pPr>
      <w:r w:rsidRPr="009A0DA6">
        <w:rPr>
          <w:rFonts w:ascii="Cambria" w:hAnsi="Cambria"/>
        </w:rPr>
        <w:t>In June 2017, General Church Council approved a new Strategic Direction for the College 2017-2022. Implementation of these strategies has seen renewed engagement with a broad range of stakeholders.</w:t>
      </w:r>
    </w:p>
    <w:p w14:paraId="02D4E2CF" w14:textId="77777777" w:rsidR="0062144A" w:rsidRPr="009A0DA6" w:rsidRDefault="0062144A" w:rsidP="00F55252">
      <w:pPr>
        <w:pStyle w:val="ListParagraph"/>
        <w:numPr>
          <w:ilvl w:val="0"/>
          <w:numId w:val="222"/>
        </w:numPr>
        <w:spacing w:before="120" w:after="120" w:line="240" w:lineRule="auto"/>
        <w:ind w:left="567" w:hanging="567"/>
        <w:rPr>
          <w:rFonts w:ascii="Cambria" w:hAnsi="Cambria"/>
        </w:rPr>
      </w:pPr>
      <w:r w:rsidRPr="009A0DA6">
        <w:rPr>
          <w:rFonts w:ascii="Cambria" w:hAnsi="Cambria"/>
        </w:rPr>
        <w:t xml:space="preserve">In July 2017, ALC participated in organising and hosting the annual Australian and New Zealand Association of Theological Schools Conference. The conference attracted more than 90 participants and feedback was extremely positive. The conference theme was </w:t>
      </w:r>
      <w:r w:rsidRPr="009A0DA6">
        <w:rPr>
          <w:rFonts w:ascii="Cambria" w:hAnsi="Cambria"/>
          <w:i/>
          <w:iCs/>
        </w:rPr>
        <w:t>Kinship and Family: In contemporary Australia and New Zealand.</w:t>
      </w:r>
    </w:p>
    <w:p w14:paraId="3C0DD1A0" w14:textId="279DC69B" w:rsidR="0062144A" w:rsidRPr="009A0DA6" w:rsidRDefault="0062144A" w:rsidP="00F55252">
      <w:pPr>
        <w:pStyle w:val="ListParagraph"/>
        <w:numPr>
          <w:ilvl w:val="0"/>
          <w:numId w:val="222"/>
        </w:numPr>
        <w:spacing w:before="120" w:after="120" w:line="240" w:lineRule="auto"/>
        <w:ind w:left="567" w:hanging="567"/>
        <w:rPr>
          <w:rFonts w:ascii="Cambria" w:hAnsi="Cambria"/>
        </w:rPr>
      </w:pPr>
      <w:r w:rsidRPr="009A0DA6">
        <w:rPr>
          <w:rFonts w:ascii="Cambria" w:hAnsi="Cambria"/>
          <w:iCs/>
        </w:rPr>
        <w:t xml:space="preserve">In July 2017, ALC was asked to take over the administering of the </w:t>
      </w:r>
      <w:r w:rsidR="00336CE0" w:rsidRPr="009A0DA6">
        <w:rPr>
          <w:rFonts w:ascii="Cambria" w:hAnsi="Cambria"/>
          <w:iCs/>
        </w:rPr>
        <w:t>church</w:t>
      </w:r>
      <w:r w:rsidRPr="009A0DA6">
        <w:rPr>
          <w:rFonts w:ascii="Cambria" w:hAnsi="Cambria"/>
          <w:iCs/>
        </w:rPr>
        <w:t>’s Continuing Education for Pastors (CEP) programme</w:t>
      </w:r>
    </w:p>
    <w:p w14:paraId="792FCA54" w14:textId="77777777" w:rsidR="0062144A" w:rsidRPr="009A0DA6" w:rsidRDefault="0062144A" w:rsidP="00F55252">
      <w:pPr>
        <w:pStyle w:val="ListParagraph"/>
        <w:numPr>
          <w:ilvl w:val="0"/>
          <w:numId w:val="222"/>
        </w:numPr>
        <w:spacing w:before="120" w:after="120" w:line="240" w:lineRule="auto"/>
        <w:ind w:left="567" w:hanging="567"/>
        <w:rPr>
          <w:rFonts w:ascii="Cambria" w:hAnsi="Cambria"/>
        </w:rPr>
      </w:pPr>
      <w:r w:rsidRPr="009A0DA6">
        <w:rPr>
          <w:rFonts w:ascii="Cambria" w:hAnsi="Cambria"/>
          <w:iCs/>
        </w:rPr>
        <w:t>Cost cutting measures resulted in modest financial surpluses being achieved by the College in the years 2016 and 2017.</w:t>
      </w:r>
    </w:p>
    <w:p w14:paraId="3971FC3E" w14:textId="77777777" w:rsidR="0062144A" w:rsidRPr="009A0DA6" w:rsidRDefault="0062144A" w:rsidP="00F55252">
      <w:pPr>
        <w:pStyle w:val="ListParagraph"/>
        <w:numPr>
          <w:ilvl w:val="0"/>
          <w:numId w:val="222"/>
        </w:numPr>
        <w:spacing w:before="120" w:after="120" w:line="240" w:lineRule="auto"/>
        <w:ind w:left="567" w:hanging="567"/>
        <w:rPr>
          <w:rFonts w:ascii="Cambria" w:hAnsi="Cambria"/>
        </w:rPr>
      </w:pPr>
      <w:r w:rsidRPr="009A0DA6">
        <w:rPr>
          <w:rFonts w:ascii="Cambria" w:hAnsi="Cambria"/>
          <w:iCs/>
        </w:rPr>
        <w:t>The relationship between ALC and Grow Ministries, has resulted in 2 graduates from Grow’s 2017 internship, enrolling in ALC’s pastoral stream in 2018.</w:t>
      </w:r>
    </w:p>
    <w:p w14:paraId="64E69696" w14:textId="77777777" w:rsidR="0062144A" w:rsidRPr="009A0DA6" w:rsidRDefault="0062144A" w:rsidP="00F55252">
      <w:pPr>
        <w:pStyle w:val="ListParagraph"/>
        <w:numPr>
          <w:ilvl w:val="0"/>
          <w:numId w:val="222"/>
        </w:numPr>
        <w:spacing w:before="120" w:after="120" w:line="240" w:lineRule="auto"/>
        <w:ind w:left="567" w:hanging="567"/>
        <w:rPr>
          <w:rFonts w:ascii="Cambria" w:hAnsi="Cambria"/>
        </w:rPr>
      </w:pPr>
      <w:r w:rsidRPr="009A0DA6">
        <w:rPr>
          <w:rFonts w:ascii="Cambria" w:hAnsi="Cambria"/>
          <w:iCs/>
        </w:rPr>
        <w:t>ALC continues to work in partnership with Lutheran Education Australia to develop a new accreditation process for teachers in Lutheran schools.</w:t>
      </w:r>
    </w:p>
    <w:p w14:paraId="7D2BDDF1" w14:textId="77777777" w:rsidR="0062144A" w:rsidRPr="009A0DA6" w:rsidRDefault="0062144A" w:rsidP="00F55252">
      <w:pPr>
        <w:pStyle w:val="ListParagraph"/>
        <w:numPr>
          <w:ilvl w:val="0"/>
          <w:numId w:val="222"/>
        </w:numPr>
        <w:spacing w:before="120" w:after="120" w:line="240" w:lineRule="auto"/>
        <w:ind w:left="567" w:hanging="567"/>
        <w:rPr>
          <w:rFonts w:ascii="Cambria" w:hAnsi="Cambria"/>
        </w:rPr>
      </w:pPr>
      <w:r w:rsidRPr="009A0DA6">
        <w:rPr>
          <w:rFonts w:ascii="Cambria" w:hAnsi="Cambria"/>
        </w:rPr>
        <w:t>ALC is working in conjunction with 4 Lutheran Colleges in the greater Adelaide area to provide a religious studies subject at SACE level to year 12 students. If student numbers are sufficient, ALC will deliver the course as of 2019</w:t>
      </w:r>
      <w:r w:rsidRPr="009A0DA6">
        <w:rPr>
          <w:rFonts w:ascii="Cambria" w:hAnsi="Cambria" w:cstheme="majorHAnsi"/>
        </w:rPr>
        <w:t xml:space="preserve"> </w:t>
      </w:r>
      <w:r w:rsidRPr="009A0DA6">
        <w:rPr>
          <w:rFonts w:ascii="Cambria" w:hAnsi="Cambria"/>
        </w:rPr>
        <w:t>to a cohort potentially made up of students from a number of schools.</w:t>
      </w:r>
    </w:p>
    <w:p w14:paraId="16EE6482" w14:textId="77777777" w:rsidR="0062144A" w:rsidRPr="009A0DA6" w:rsidRDefault="0062144A" w:rsidP="00F55252">
      <w:pPr>
        <w:pStyle w:val="ListParagraph"/>
        <w:numPr>
          <w:ilvl w:val="0"/>
          <w:numId w:val="222"/>
        </w:numPr>
        <w:spacing w:before="120" w:after="120" w:line="240" w:lineRule="auto"/>
        <w:ind w:left="567" w:hanging="567"/>
        <w:rPr>
          <w:rFonts w:ascii="Cambria" w:hAnsi="Cambria"/>
        </w:rPr>
      </w:pPr>
      <w:r w:rsidRPr="009A0DA6">
        <w:rPr>
          <w:rFonts w:ascii="Cambria" w:hAnsi="Cambria"/>
        </w:rPr>
        <w:t>As a result of renewed engagement, innovative new ventures are being explored with some stakeholders, including the LCA’s Committee for Cross-Cultural Ministry, which is a committee of the Board for Local Mission.</w:t>
      </w:r>
    </w:p>
    <w:p w14:paraId="52928FBD" w14:textId="77777777" w:rsidR="0062144A" w:rsidRPr="009A0DA6" w:rsidRDefault="0062144A" w:rsidP="008F179B">
      <w:pPr>
        <w:pStyle w:val="Heading3"/>
      </w:pPr>
      <w:r w:rsidRPr="009A0DA6">
        <w:t>Challenges and Lessons Learned</w:t>
      </w:r>
    </w:p>
    <w:p w14:paraId="5BA12E8F" w14:textId="256BF39E" w:rsidR="0062144A" w:rsidRPr="009A0DA6" w:rsidRDefault="0062144A" w:rsidP="0062144A">
      <w:pPr>
        <w:spacing w:before="120" w:after="120" w:line="240" w:lineRule="auto"/>
        <w:contextualSpacing/>
        <w:rPr>
          <w:rFonts w:ascii="Cambria" w:hAnsi="Cambria" w:cstheme="minorHAnsi"/>
        </w:rPr>
      </w:pPr>
      <w:r w:rsidRPr="009A0DA6">
        <w:rPr>
          <w:rFonts w:ascii="Cambria" w:hAnsi="Cambria" w:cstheme="minorHAnsi"/>
        </w:rPr>
        <w:t>Many of the College’s challenges fall into the area of ‘communications’</w:t>
      </w:r>
      <w:r w:rsidR="0027799A" w:rsidRPr="009A0DA6">
        <w:rPr>
          <w:rFonts w:ascii="Cambria" w:hAnsi="Cambria" w:cstheme="minorHAnsi"/>
        </w:rPr>
        <w:t xml:space="preserve">. </w:t>
      </w:r>
      <w:r w:rsidRPr="009A0DA6">
        <w:rPr>
          <w:rFonts w:ascii="Cambria" w:hAnsi="Cambria" w:cstheme="minorHAnsi"/>
        </w:rPr>
        <w:t xml:space="preserve">It is evident that many people from within the LCA are not fully aware of who the College is and the full scope of services that the College provides for the </w:t>
      </w:r>
      <w:r w:rsidR="00336CE0" w:rsidRPr="009A0DA6">
        <w:rPr>
          <w:rFonts w:ascii="Cambria" w:hAnsi="Cambria" w:cstheme="minorHAnsi"/>
        </w:rPr>
        <w:t>church</w:t>
      </w:r>
      <w:r w:rsidR="0027799A" w:rsidRPr="009A0DA6">
        <w:rPr>
          <w:rFonts w:ascii="Cambria" w:hAnsi="Cambria" w:cstheme="minorHAnsi"/>
        </w:rPr>
        <w:t xml:space="preserve">. </w:t>
      </w:r>
      <w:r w:rsidRPr="009A0DA6">
        <w:rPr>
          <w:rFonts w:ascii="Cambria" w:hAnsi="Cambria" w:cstheme="minorHAnsi"/>
        </w:rPr>
        <w:t>The College has addressed this by providing representatives at as many national and district events as possible</w:t>
      </w:r>
      <w:r w:rsidR="0027799A" w:rsidRPr="009A0DA6">
        <w:rPr>
          <w:rFonts w:ascii="Cambria" w:hAnsi="Cambria" w:cstheme="minorHAnsi"/>
        </w:rPr>
        <w:t xml:space="preserve">. </w:t>
      </w:r>
      <w:r w:rsidRPr="009A0DA6">
        <w:rPr>
          <w:rFonts w:ascii="Cambria" w:hAnsi="Cambria" w:cstheme="minorHAnsi"/>
        </w:rPr>
        <w:t>This, together with our renewed relationships with other stakeholders is proving to be beneficial with new ventures being envisioned and implemented.</w:t>
      </w:r>
    </w:p>
    <w:p w14:paraId="5184092D" w14:textId="75E7AF6F" w:rsidR="0062144A" w:rsidRPr="009A0DA6" w:rsidRDefault="008F179B" w:rsidP="0062144A">
      <w:pPr>
        <w:spacing w:before="120" w:after="120" w:line="240" w:lineRule="auto"/>
        <w:contextualSpacing/>
        <w:rPr>
          <w:rFonts w:ascii="Cambria" w:hAnsi="Cambria" w:cstheme="minorHAnsi"/>
        </w:rPr>
      </w:pPr>
      <w:r w:rsidRPr="009A0DA6">
        <w:rPr>
          <w:rFonts w:ascii="Cambria" w:hAnsi="Cambria" w:cstheme="minorHAnsi"/>
        </w:rPr>
        <w:br/>
      </w:r>
      <w:r w:rsidR="0062144A" w:rsidRPr="009A0DA6">
        <w:rPr>
          <w:rFonts w:ascii="Cambria" w:hAnsi="Cambria" w:cstheme="minorHAnsi"/>
        </w:rPr>
        <w:t>Another area of challenge is the haphazard nature of training and development within the LCA</w:t>
      </w:r>
      <w:r w:rsidR="0027799A" w:rsidRPr="009A0DA6">
        <w:rPr>
          <w:rFonts w:ascii="Cambria" w:hAnsi="Cambria" w:cstheme="minorHAnsi"/>
        </w:rPr>
        <w:t xml:space="preserve">. </w:t>
      </w:r>
      <w:r w:rsidR="0062144A" w:rsidRPr="009A0DA6">
        <w:rPr>
          <w:rFonts w:ascii="Cambria" w:hAnsi="Cambria" w:cstheme="minorHAnsi"/>
        </w:rPr>
        <w:t xml:space="preserve">While ALC has been identified as the </w:t>
      </w:r>
      <w:r w:rsidR="00336CE0" w:rsidRPr="009A0DA6">
        <w:rPr>
          <w:rFonts w:ascii="Cambria" w:hAnsi="Cambria" w:cstheme="minorHAnsi"/>
        </w:rPr>
        <w:t>church</w:t>
      </w:r>
      <w:r w:rsidR="0062144A" w:rsidRPr="009A0DA6">
        <w:rPr>
          <w:rFonts w:ascii="Cambria" w:hAnsi="Cambria" w:cstheme="minorHAnsi"/>
        </w:rPr>
        <w:t>’s post-secondary and tertiary training and education provider, other groups within the LCA continue to offer parallel and even competing programs</w:t>
      </w:r>
      <w:r w:rsidR="0027799A" w:rsidRPr="009A0DA6">
        <w:rPr>
          <w:rFonts w:ascii="Cambria" w:hAnsi="Cambria" w:cstheme="minorHAnsi"/>
        </w:rPr>
        <w:t xml:space="preserve">. </w:t>
      </w:r>
      <w:r w:rsidR="0062144A" w:rsidRPr="009A0DA6">
        <w:rPr>
          <w:rFonts w:ascii="Cambria" w:hAnsi="Cambria" w:cstheme="minorHAnsi"/>
        </w:rPr>
        <w:t>Part of the College’s plan for ongoing viability is to grow its enrolments</w:t>
      </w:r>
      <w:r w:rsidR="0027799A" w:rsidRPr="009A0DA6">
        <w:rPr>
          <w:rFonts w:ascii="Cambria" w:hAnsi="Cambria" w:cstheme="minorHAnsi"/>
        </w:rPr>
        <w:t xml:space="preserve">. </w:t>
      </w:r>
      <w:r w:rsidR="0062144A" w:rsidRPr="009A0DA6">
        <w:rPr>
          <w:rFonts w:ascii="Cambria" w:hAnsi="Cambria" w:cstheme="minorHAnsi"/>
        </w:rPr>
        <w:t>This includes not-for-credit training opportunities</w:t>
      </w:r>
      <w:r w:rsidR="0027799A" w:rsidRPr="009A0DA6">
        <w:rPr>
          <w:rFonts w:ascii="Cambria" w:hAnsi="Cambria" w:cstheme="minorHAnsi"/>
        </w:rPr>
        <w:t xml:space="preserve">. </w:t>
      </w:r>
      <w:r w:rsidR="0062144A" w:rsidRPr="009A0DA6">
        <w:rPr>
          <w:rFonts w:ascii="Cambria" w:hAnsi="Cambria" w:cstheme="minorHAnsi"/>
        </w:rPr>
        <w:t xml:space="preserve">While the College has experienced contractions in its traditional service-delivery markets of preparing pastors, teachers and lay-workers for the church other new opportunities have grown that are external to ALC but that enjoy the </w:t>
      </w:r>
      <w:r w:rsidR="00336CE0" w:rsidRPr="009A0DA6">
        <w:rPr>
          <w:rFonts w:ascii="Cambria" w:hAnsi="Cambria" w:cstheme="minorHAnsi"/>
        </w:rPr>
        <w:t>church</w:t>
      </w:r>
      <w:r w:rsidR="0062144A" w:rsidRPr="009A0DA6">
        <w:rPr>
          <w:rFonts w:ascii="Cambria" w:hAnsi="Cambria" w:cstheme="minorHAnsi"/>
        </w:rPr>
        <w:t>’s financial support</w:t>
      </w:r>
      <w:r w:rsidR="0027799A" w:rsidRPr="009A0DA6">
        <w:rPr>
          <w:rFonts w:ascii="Cambria" w:hAnsi="Cambria" w:cstheme="minorHAnsi"/>
        </w:rPr>
        <w:t xml:space="preserve">. </w:t>
      </w:r>
      <w:r w:rsidR="0062144A" w:rsidRPr="009A0DA6">
        <w:rPr>
          <w:rFonts w:ascii="Cambria" w:hAnsi="Cambria" w:cstheme="minorHAnsi"/>
        </w:rPr>
        <w:t xml:space="preserve">To this end the </w:t>
      </w:r>
      <w:r w:rsidR="00336CE0" w:rsidRPr="009A0DA6">
        <w:rPr>
          <w:rFonts w:ascii="Cambria" w:hAnsi="Cambria" w:cstheme="minorHAnsi"/>
        </w:rPr>
        <w:t>church</w:t>
      </w:r>
      <w:r w:rsidR="0062144A" w:rsidRPr="009A0DA6">
        <w:rPr>
          <w:rFonts w:ascii="Cambria" w:hAnsi="Cambria" w:cstheme="minorHAnsi"/>
        </w:rPr>
        <w:t xml:space="preserve"> ends up </w:t>
      </w:r>
      <w:r w:rsidR="0062144A" w:rsidRPr="009A0DA6">
        <w:rPr>
          <w:rFonts w:ascii="Cambria" w:hAnsi="Cambria" w:cstheme="minorHAnsi"/>
        </w:rPr>
        <w:lastRenderedPageBreak/>
        <w:t xml:space="preserve">funding a number of parallel programs with ALC being the only body that is formally accountable to the </w:t>
      </w:r>
      <w:r w:rsidR="00336CE0" w:rsidRPr="009A0DA6">
        <w:rPr>
          <w:rFonts w:ascii="Cambria" w:hAnsi="Cambria" w:cstheme="minorHAnsi"/>
        </w:rPr>
        <w:t>church</w:t>
      </w:r>
      <w:r w:rsidR="0062144A" w:rsidRPr="009A0DA6">
        <w:rPr>
          <w:rFonts w:ascii="Cambria" w:hAnsi="Cambria" w:cstheme="minorHAnsi"/>
        </w:rPr>
        <w:t xml:space="preserve"> for the theological quality of its learning and teaching programs</w:t>
      </w:r>
      <w:r w:rsidR="0027799A" w:rsidRPr="009A0DA6">
        <w:rPr>
          <w:rFonts w:ascii="Cambria" w:hAnsi="Cambria" w:cstheme="minorHAnsi"/>
        </w:rPr>
        <w:t xml:space="preserve">. </w:t>
      </w:r>
      <w:r w:rsidR="0062144A" w:rsidRPr="009A0DA6">
        <w:rPr>
          <w:rFonts w:ascii="Cambria" w:hAnsi="Cambria" w:cstheme="minorHAnsi"/>
        </w:rPr>
        <w:t>The College is therefore interested in developing cooperative, supportive and productive relationships with those other training sectors with high quality theological learning and teaching experiences being the goal</w:t>
      </w:r>
      <w:r w:rsidR="0027799A" w:rsidRPr="009A0DA6">
        <w:rPr>
          <w:rFonts w:ascii="Cambria" w:hAnsi="Cambria" w:cstheme="minorHAnsi"/>
        </w:rPr>
        <w:t xml:space="preserve">. </w:t>
      </w:r>
    </w:p>
    <w:p w14:paraId="5160EC65" w14:textId="2443CC3A" w:rsidR="0062144A" w:rsidRPr="009A0DA6" w:rsidRDefault="0062144A" w:rsidP="008F179B">
      <w:pPr>
        <w:pStyle w:val="Heading3"/>
      </w:pPr>
      <w:r w:rsidRPr="009A0DA6">
        <w:t>Risks</w:t>
      </w:r>
    </w:p>
    <w:p w14:paraId="0E59D1DC" w14:textId="5F5E7DED" w:rsidR="0062144A" w:rsidRPr="00DE6169" w:rsidRDefault="0062144A" w:rsidP="0062144A">
      <w:pPr>
        <w:spacing w:before="120" w:after="120" w:line="240" w:lineRule="auto"/>
        <w:contextualSpacing/>
        <w:rPr>
          <w:rFonts w:ascii="Cambria" w:eastAsia="Calibri" w:hAnsi="Cambria" w:cs="Times New Roman"/>
          <w:i/>
          <w:sz w:val="2"/>
        </w:rPr>
      </w:pPr>
      <w:r w:rsidRPr="009A0DA6">
        <w:rPr>
          <w:rFonts w:ascii="Cambria" w:eastAsia="Calibri" w:hAnsi="Cambria" w:cs="Times New Roman"/>
        </w:rPr>
        <w:t>Each year in August, the University of Divinity generates a risk profile for each of its Colleges. In 2017, it was said that ALC ‘</w:t>
      </w:r>
      <w:r w:rsidRPr="009A0DA6">
        <w:rPr>
          <w:rFonts w:ascii="Cambria" w:eastAsia="Calibri" w:hAnsi="Cambria" w:cs="Times New Roman"/>
          <w:i/>
        </w:rPr>
        <w:t>continues to face fundamental challenges due to declining enrolments. Implementation of the Strategic Direction should address this from 2018, especially through setting and monitoring measurable goals and promoting new initiatives.</w:t>
      </w:r>
      <w:r w:rsidRPr="009A0DA6">
        <w:rPr>
          <w:rFonts w:ascii="Cambria" w:eastAsia="Calibri" w:hAnsi="Cambria" w:cs="Times New Roman"/>
        </w:rPr>
        <w:t>’  ‘</w:t>
      </w:r>
      <w:r w:rsidRPr="009A0DA6">
        <w:rPr>
          <w:rFonts w:ascii="Cambria" w:eastAsia="Calibri" w:hAnsi="Cambria" w:cs="Times New Roman"/>
          <w:i/>
        </w:rPr>
        <w:t>Stagnating income due to decreasing enrolments means that medium to long term viability is at risk</w:t>
      </w:r>
      <w:r w:rsidRPr="009A0DA6">
        <w:rPr>
          <w:rFonts w:ascii="Cambria" w:eastAsia="Calibri" w:hAnsi="Cambria" w:cs="Times New Roman"/>
        </w:rPr>
        <w:t>.’ ‘</w:t>
      </w:r>
      <w:r w:rsidRPr="009A0DA6">
        <w:rPr>
          <w:rFonts w:ascii="Cambria" w:eastAsia="Calibri" w:hAnsi="Cambria" w:cs="Times New Roman"/>
          <w:i/>
        </w:rPr>
        <w:t>Significant action is required to reverse the decline in enrolments, including identifying one or two specific initiatives for growth.’</w:t>
      </w:r>
      <w:r w:rsidR="008F179B" w:rsidRPr="009A0DA6">
        <w:rPr>
          <w:rFonts w:ascii="Cambria" w:eastAsia="Calibri" w:hAnsi="Cambria" w:cs="Times New Roman"/>
          <w:i/>
        </w:rPr>
        <w:br/>
      </w:r>
    </w:p>
    <w:p w14:paraId="26D49F5E" w14:textId="77777777" w:rsidR="0062144A" w:rsidRPr="009A0DA6" w:rsidRDefault="0062144A" w:rsidP="008F179B">
      <w:pPr>
        <w:pStyle w:val="Heading3"/>
        <w:rPr>
          <w:rFonts w:eastAsiaTheme="minorEastAsia"/>
        </w:rPr>
      </w:pPr>
      <w:r w:rsidRPr="009A0DA6">
        <w:t>Cooperating LCA Boards and Agencies</w:t>
      </w:r>
    </w:p>
    <w:tbl>
      <w:tblPr>
        <w:tblStyle w:val="PlainTable2"/>
        <w:tblW w:w="4994" w:type="pct"/>
        <w:tblLook w:val="04A0" w:firstRow="1" w:lastRow="0" w:firstColumn="1" w:lastColumn="0" w:noHBand="0" w:noVBand="1"/>
      </w:tblPr>
      <w:tblGrid>
        <w:gridCol w:w="2682"/>
        <w:gridCol w:w="5976"/>
      </w:tblGrid>
      <w:tr w:rsidR="0062144A" w:rsidRPr="009A0DA6" w14:paraId="1564014A" w14:textId="77777777" w:rsidTr="008F17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9" w:type="pct"/>
            <w:hideMark/>
          </w:tcPr>
          <w:p w14:paraId="45F2A6B3" w14:textId="77777777" w:rsidR="0062144A" w:rsidRPr="009A0DA6" w:rsidRDefault="0062144A">
            <w:pPr>
              <w:spacing w:before="120" w:after="120"/>
              <w:contextualSpacing/>
              <w:rPr>
                <w:rFonts w:ascii="Cambria" w:hAnsi="Cambria" w:cs="Arial"/>
              </w:rPr>
            </w:pPr>
            <w:r w:rsidRPr="009A0DA6">
              <w:rPr>
                <w:rFonts w:ascii="Cambria" w:hAnsi="Cambria" w:cs="Arial"/>
              </w:rPr>
              <w:t>College of Bishops</w:t>
            </w:r>
          </w:p>
        </w:tc>
        <w:tc>
          <w:tcPr>
            <w:tcW w:w="3451" w:type="pct"/>
            <w:hideMark/>
          </w:tcPr>
          <w:p w14:paraId="08F1FACC" w14:textId="77777777" w:rsidR="0062144A" w:rsidRPr="009A0DA6" w:rsidRDefault="0062144A" w:rsidP="00F55252">
            <w:pPr>
              <w:numPr>
                <w:ilvl w:val="0"/>
                <w:numId w:val="223"/>
              </w:numPr>
              <w:spacing w:before="120" w:after="120"/>
              <w:ind w:left="318"/>
              <w:contextualSpacing/>
              <w:cnfStyle w:val="100000000000" w:firstRow="1" w:lastRow="0" w:firstColumn="0" w:lastColumn="0" w:oddVBand="0" w:evenVBand="0" w:oddHBand="0" w:evenHBand="0" w:firstRowFirstColumn="0" w:firstRowLastColumn="0" w:lastRowFirstColumn="0" w:lastRowLastColumn="0"/>
              <w:rPr>
                <w:rFonts w:ascii="Cambria" w:hAnsi="Cambria" w:cs="Arial"/>
                <w:b w:val="0"/>
              </w:rPr>
            </w:pPr>
            <w:r w:rsidRPr="009A0DA6">
              <w:rPr>
                <w:rFonts w:ascii="Cambria" w:hAnsi="Cambria" w:cs="Arial"/>
                <w:b w:val="0"/>
              </w:rPr>
              <w:t>At the request of the CoBs, ALC provides specialised on-campus training for SMP’s for one week, twice a year</w:t>
            </w:r>
          </w:p>
          <w:p w14:paraId="462F0873" w14:textId="77777777" w:rsidR="0062144A" w:rsidRPr="009A0DA6" w:rsidRDefault="0062144A" w:rsidP="00F55252">
            <w:pPr>
              <w:numPr>
                <w:ilvl w:val="0"/>
                <w:numId w:val="223"/>
              </w:numPr>
              <w:spacing w:before="120" w:after="120"/>
              <w:ind w:left="318"/>
              <w:contextualSpacing/>
              <w:cnfStyle w:val="100000000000" w:firstRow="1"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b w:val="0"/>
              </w:rPr>
              <w:t>ALC, through ALITE, has assisted CoBs and GCC with several research projects – Pastoral Ministry Project (completed) and Review of the Call System Project (ongoing)</w:t>
            </w:r>
          </w:p>
        </w:tc>
      </w:tr>
      <w:tr w:rsidR="0062144A" w:rsidRPr="009A0DA6" w14:paraId="37A650A1" w14:textId="77777777" w:rsidTr="008F17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9" w:type="pct"/>
          </w:tcPr>
          <w:p w14:paraId="389241BC" w14:textId="77777777" w:rsidR="0062144A" w:rsidRPr="009A0DA6" w:rsidRDefault="0062144A">
            <w:pPr>
              <w:spacing w:before="120" w:after="120"/>
              <w:contextualSpacing/>
              <w:rPr>
                <w:rFonts w:ascii="Cambria" w:hAnsi="Cambria" w:cs="Arial"/>
              </w:rPr>
            </w:pPr>
            <w:r w:rsidRPr="009A0DA6">
              <w:rPr>
                <w:rFonts w:ascii="Cambria" w:hAnsi="Cambria" w:cs="Arial"/>
              </w:rPr>
              <w:t>Lutheran Education Australia and Regional Offices</w:t>
            </w:r>
          </w:p>
          <w:p w14:paraId="5DF09892" w14:textId="77777777" w:rsidR="0062144A" w:rsidRPr="009A0DA6" w:rsidRDefault="0062144A">
            <w:pPr>
              <w:spacing w:before="120" w:after="120"/>
              <w:contextualSpacing/>
              <w:rPr>
                <w:rFonts w:ascii="Cambria" w:hAnsi="Cambria" w:cs="Arial"/>
              </w:rPr>
            </w:pPr>
          </w:p>
        </w:tc>
        <w:tc>
          <w:tcPr>
            <w:tcW w:w="3451" w:type="pct"/>
            <w:hideMark/>
          </w:tcPr>
          <w:p w14:paraId="7219F99E" w14:textId="77777777" w:rsidR="0062144A" w:rsidRPr="009A0DA6" w:rsidRDefault="0062144A" w:rsidP="00F55252">
            <w:pPr>
              <w:numPr>
                <w:ilvl w:val="0"/>
                <w:numId w:val="223"/>
              </w:numPr>
              <w:spacing w:before="120" w:after="120"/>
              <w:ind w:left="318"/>
              <w:contextualSpacing/>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ALC provides LEA approved pre-service and in-service programs leading to accreditation in Lutheran Schools</w:t>
            </w:r>
          </w:p>
          <w:p w14:paraId="698A27C5" w14:textId="77777777" w:rsidR="0062144A" w:rsidRPr="009A0DA6" w:rsidRDefault="0062144A" w:rsidP="00F55252">
            <w:pPr>
              <w:numPr>
                <w:ilvl w:val="0"/>
                <w:numId w:val="223"/>
              </w:numPr>
              <w:spacing w:before="120" w:after="120"/>
              <w:ind w:left="318"/>
              <w:contextualSpacing/>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Lutheran Schools offer practical placements for undergraduate pastoral students</w:t>
            </w:r>
          </w:p>
          <w:p w14:paraId="742496B1" w14:textId="77777777" w:rsidR="0062144A" w:rsidRPr="009A0DA6" w:rsidRDefault="0062144A" w:rsidP="00F55252">
            <w:pPr>
              <w:numPr>
                <w:ilvl w:val="0"/>
                <w:numId w:val="223"/>
              </w:numPr>
              <w:spacing w:before="120" w:after="120"/>
              <w:ind w:left="318"/>
              <w:contextualSpacing/>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ALC provides consultation to LEA from time to time, and provides personnel to serve on various committees and task groups</w:t>
            </w:r>
          </w:p>
          <w:p w14:paraId="3AB5F43F" w14:textId="77777777" w:rsidR="0062144A" w:rsidRPr="009A0DA6" w:rsidRDefault="0062144A" w:rsidP="00F55252">
            <w:pPr>
              <w:numPr>
                <w:ilvl w:val="0"/>
                <w:numId w:val="223"/>
              </w:numPr>
              <w:spacing w:before="120" w:after="120"/>
              <w:ind w:left="318"/>
              <w:contextualSpacing/>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ALC has completed a number of small research projects for LEA</w:t>
            </w:r>
          </w:p>
          <w:p w14:paraId="7167D6BF" w14:textId="77777777" w:rsidR="0062144A" w:rsidRPr="009A0DA6" w:rsidRDefault="0062144A" w:rsidP="00F55252">
            <w:pPr>
              <w:numPr>
                <w:ilvl w:val="0"/>
                <w:numId w:val="223"/>
              </w:numPr>
              <w:spacing w:before="120" w:after="120"/>
              <w:ind w:left="318"/>
              <w:contextualSpacing/>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The possibility of ALC providing accreditation for the existing Pathways and Equip induction and professional development modules offered through Lutheran Schools is being explored.</w:t>
            </w:r>
          </w:p>
        </w:tc>
      </w:tr>
      <w:tr w:rsidR="0062144A" w:rsidRPr="009A0DA6" w14:paraId="3115A48C" w14:textId="77777777" w:rsidTr="008F179B">
        <w:tc>
          <w:tcPr>
            <w:cnfStyle w:val="001000000000" w:firstRow="0" w:lastRow="0" w:firstColumn="1" w:lastColumn="0" w:oddVBand="0" w:evenVBand="0" w:oddHBand="0" w:evenHBand="0" w:firstRowFirstColumn="0" w:firstRowLastColumn="0" w:lastRowFirstColumn="0" w:lastRowLastColumn="0"/>
            <w:tcW w:w="1549" w:type="pct"/>
          </w:tcPr>
          <w:p w14:paraId="1BA5B417" w14:textId="1E304243" w:rsidR="0062144A" w:rsidRPr="009A0DA6" w:rsidRDefault="008F179B" w:rsidP="00DE6169">
            <w:pPr>
              <w:spacing w:before="120" w:after="120"/>
              <w:contextualSpacing/>
              <w:rPr>
                <w:rFonts w:ascii="Cambria" w:hAnsi="Cambria" w:cs="Arial"/>
              </w:rPr>
            </w:pPr>
            <w:r w:rsidRPr="009A0DA6">
              <w:rPr>
                <w:rFonts w:ascii="Cambria" w:hAnsi="Cambria" w:cs="Arial"/>
              </w:rPr>
              <w:t xml:space="preserve">Commission on Theology </w:t>
            </w:r>
            <w:r w:rsidR="0062144A" w:rsidRPr="009A0DA6">
              <w:rPr>
                <w:rFonts w:ascii="Cambria" w:hAnsi="Cambria" w:cs="Arial"/>
              </w:rPr>
              <w:t xml:space="preserve">and Inter-Church Relations </w:t>
            </w:r>
          </w:p>
        </w:tc>
        <w:tc>
          <w:tcPr>
            <w:tcW w:w="3451" w:type="pct"/>
            <w:hideMark/>
          </w:tcPr>
          <w:p w14:paraId="3EFAA841" w14:textId="77777777" w:rsidR="0062144A" w:rsidRPr="009A0DA6" w:rsidRDefault="0062144A" w:rsidP="00F55252">
            <w:pPr>
              <w:numPr>
                <w:ilvl w:val="0"/>
                <w:numId w:val="223"/>
              </w:numPr>
              <w:spacing w:before="120" w:after="120"/>
              <w:ind w:left="318"/>
              <w:contextualSpacing/>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Ordained ALC staff provide theological expertise and leadership on the commission and inter-church dialogue teams</w:t>
            </w:r>
          </w:p>
        </w:tc>
      </w:tr>
      <w:tr w:rsidR="0062144A" w:rsidRPr="009A0DA6" w14:paraId="6D0D46A7" w14:textId="77777777" w:rsidTr="008F17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9" w:type="pct"/>
            <w:hideMark/>
          </w:tcPr>
          <w:p w14:paraId="26566E05" w14:textId="77777777" w:rsidR="0062144A" w:rsidRPr="009A0DA6" w:rsidRDefault="0062144A">
            <w:pPr>
              <w:spacing w:before="120" w:after="120"/>
              <w:contextualSpacing/>
              <w:rPr>
                <w:rFonts w:ascii="Cambria" w:hAnsi="Cambria" w:cs="Arial"/>
              </w:rPr>
            </w:pPr>
            <w:r w:rsidRPr="009A0DA6">
              <w:rPr>
                <w:rFonts w:ascii="Cambria" w:hAnsi="Cambria" w:cs="Arial"/>
              </w:rPr>
              <w:t xml:space="preserve">Commission of Social and Bioethical Questions </w:t>
            </w:r>
          </w:p>
        </w:tc>
        <w:tc>
          <w:tcPr>
            <w:tcW w:w="3451" w:type="pct"/>
            <w:hideMark/>
          </w:tcPr>
          <w:p w14:paraId="5CC78384" w14:textId="77777777" w:rsidR="0062144A" w:rsidRPr="009A0DA6" w:rsidRDefault="0062144A" w:rsidP="00F55252">
            <w:pPr>
              <w:numPr>
                <w:ilvl w:val="0"/>
                <w:numId w:val="223"/>
              </w:numPr>
              <w:spacing w:before="120" w:after="120"/>
              <w:ind w:left="318"/>
              <w:contextualSpacing/>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An ordained ALC staff member provides theological expertise and leadership in the commission</w:t>
            </w:r>
          </w:p>
        </w:tc>
      </w:tr>
      <w:tr w:rsidR="0062144A" w:rsidRPr="009A0DA6" w14:paraId="34396FFE" w14:textId="77777777" w:rsidTr="008F179B">
        <w:tc>
          <w:tcPr>
            <w:cnfStyle w:val="001000000000" w:firstRow="0" w:lastRow="0" w:firstColumn="1" w:lastColumn="0" w:oddVBand="0" w:evenVBand="0" w:oddHBand="0" w:evenHBand="0" w:firstRowFirstColumn="0" w:firstRowLastColumn="0" w:lastRowFirstColumn="0" w:lastRowLastColumn="0"/>
            <w:tcW w:w="1549" w:type="pct"/>
          </w:tcPr>
          <w:p w14:paraId="315C5D7E" w14:textId="77777777" w:rsidR="0062144A" w:rsidRPr="009A0DA6" w:rsidRDefault="0062144A">
            <w:pPr>
              <w:spacing w:before="120" w:after="120"/>
              <w:contextualSpacing/>
              <w:rPr>
                <w:rFonts w:ascii="Cambria" w:hAnsi="Cambria" w:cs="Arial"/>
              </w:rPr>
            </w:pPr>
            <w:r w:rsidRPr="009A0DA6">
              <w:rPr>
                <w:rFonts w:ascii="Cambria" w:hAnsi="Cambria" w:cs="Arial"/>
              </w:rPr>
              <w:t>Local Mission &amp;</w:t>
            </w:r>
          </w:p>
          <w:p w14:paraId="3F7B891C" w14:textId="77777777" w:rsidR="0062144A" w:rsidRPr="009A0DA6" w:rsidRDefault="0062144A">
            <w:pPr>
              <w:spacing w:before="120" w:after="120"/>
              <w:contextualSpacing/>
              <w:rPr>
                <w:rFonts w:ascii="Cambria" w:hAnsi="Cambria" w:cs="Arial"/>
              </w:rPr>
            </w:pPr>
            <w:r w:rsidRPr="009A0DA6">
              <w:rPr>
                <w:rFonts w:ascii="Cambria" w:hAnsi="Cambria" w:cs="Arial"/>
              </w:rPr>
              <w:t xml:space="preserve">International Mission </w:t>
            </w:r>
          </w:p>
          <w:p w14:paraId="0147C4F4" w14:textId="77777777" w:rsidR="0062144A" w:rsidRPr="009A0DA6" w:rsidRDefault="0062144A">
            <w:pPr>
              <w:spacing w:before="120" w:after="120"/>
              <w:contextualSpacing/>
              <w:rPr>
                <w:rFonts w:ascii="Cambria" w:hAnsi="Cambria" w:cs="Arial"/>
              </w:rPr>
            </w:pPr>
          </w:p>
        </w:tc>
        <w:tc>
          <w:tcPr>
            <w:tcW w:w="3451" w:type="pct"/>
            <w:hideMark/>
          </w:tcPr>
          <w:p w14:paraId="395B6695" w14:textId="77777777" w:rsidR="0062144A" w:rsidRPr="009A0DA6" w:rsidRDefault="0062144A" w:rsidP="00F55252">
            <w:pPr>
              <w:numPr>
                <w:ilvl w:val="0"/>
                <w:numId w:val="223"/>
              </w:numPr>
              <w:spacing w:before="120" w:after="120"/>
              <w:ind w:left="318"/>
              <w:contextualSpacing/>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ALC teaching staff coordinate and support scholarship students</w:t>
            </w:r>
          </w:p>
          <w:p w14:paraId="027B46D6" w14:textId="77777777" w:rsidR="0062144A" w:rsidRPr="009A0DA6" w:rsidRDefault="0062144A" w:rsidP="00F55252">
            <w:pPr>
              <w:numPr>
                <w:ilvl w:val="0"/>
                <w:numId w:val="223"/>
              </w:numPr>
              <w:spacing w:before="120" w:after="120"/>
              <w:ind w:left="318"/>
              <w:contextualSpacing/>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ALC teaching staff contribute to the Lutheran Studies Centre and English language stream at Sabah Theological Seminary-Indonesia</w:t>
            </w:r>
          </w:p>
          <w:p w14:paraId="4E59437A" w14:textId="77777777" w:rsidR="0062144A" w:rsidRPr="009A0DA6" w:rsidRDefault="0062144A" w:rsidP="00F55252">
            <w:pPr>
              <w:numPr>
                <w:ilvl w:val="0"/>
                <w:numId w:val="223"/>
              </w:numPr>
              <w:spacing w:before="120" w:after="120"/>
              <w:ind w:left="318"/>
              <w:contextualSpacing/>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ALC teaching staff participate in LWF sponsored consultations of the Network of Lutheran Theological Institutions in Asia</w:t>
            </w:r>
          </w:p>
          <w:p w14:paraId="517E80F4" w14:textId="77777777" w:rsidR="0062144A" w:rsidRPr="009A0DA6" w:rsidRDefault="0062144A" w:rsidP="00F55252">
            <w:pPr>
              <w:numPr>
                <w:ilvl w:val="0"/>
                <w:numId w:val="223"/>
              </w:numPr>
              <w:spacing w:before="120" w:after="120"/>
              <w:ind w:left="318"/>
              <w:contextualSpacing/>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 xml:space="preserve">An ALC staff member acts as an overseas liaison person to the LCA Committee for International Mission. </w:t>
            </w:r>
          </w:p>
          <w:p w14:paraId="7D25F51E" w14:textId="77777777" w:rsidR="0062144A" w:rsidRPr="009A0DA6" w:rsidRDefault="0062144A" w:rsidP="00F55252">
            <w:pPr>
              <w:numPr>
                <w:ilvl w:val="0"/>
                <w:numId w:val="223"/>
              </w:numPr>
              <w:spacing w:before="120" w:after="120"/>
              <w:ind w:left="318"/>
              <w:contextualSpacing/>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ALC is working with Local Mission to try and implement changes to the pastoral program that support their mission work.</w:t>
            </w:r>
          </w:p>
        </w:tc>
      </w:tr>
      <w:tr w:rsidR="0062144A" w:rsidRPr="009A0DA6" w14:paraId="54FB7997" w14:textId="77777777" w:rsidTr="008F17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9" w:type="pct"/>
            <w:hideMark/>
          </w:tcPr>
          <w:p w14:paraId="1A8A32ED" w14:textId="77777777" w:rsidR="0062144A" w:rsidRPr="009A0DA6" w:rsidRDefault="0062144A">
            <w:pPr>
              <w:spacing w:before="120" w:after="120"/>
              <w:contextualSpacing/>
              <w:rPr>
                <w:rFonts w:ascii="Cambria" w:hAnsi="Cambria" w:cs="Arial"/>
              </w:rPr>
            </w:pPr>
            <w:r w:rsidRPr="009A0DA6">
              <w:rPr>
                <w:rFonts w:ascii="Cambria" w:hAnsi="Cambria" w:cs="Arial"/>
              </w:rPr>
              <w:lastRenderedPageBreak/>
              <w:t>Church Worker Support</w:t>
            </w:r>
          </w:p>
        </w:tc>
        <w:tc>
          <w:tcPr>
            <w:tcW w:w="3451" w:type="pct"/>
            <w:hideMark/>
          </w:tcPr>
          <w:p w14:paraId="42D064CC" w14:textId="77777777" w:rsidR="0062144A" w:rsidRPr="009A0DA6" w:rsidRDefault="0062144A" w:rsidP="00F55252">
            <w:pPr>
              <w:numPr>
                <w:ilvl w:val="0"/>
                <w:numId w:val="223"/>
              </w:numPr>
              <w:spacing w:before="120" w:after="120"/>
              <w:ind w:left="318"/>
              <w:contextualSpacing/>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 xml:space="preserve">ALC provides approved pre-service and in-service higher education and VET education leading to lay worker accreditation </w:t>
            </w:r>
          </w:p>
          <w:p w14:paraId="4FB7B083" w14:textId="77777777" w:rsidR="0062144A" w:rsidRPr="009A0DA6" w:rsidRDefault="0062144A" w:rsidP="00F55252">
            <w:pPr>
              <w:numPr>
                <w:ilvl w:val="0"/>
                <w:numId w:val="223"/>
              </w:numPr>
              <w:spacing w:before="120" w:after="120"/>
              <w:ind w:left="318"/>
              <w:contextualSpacing/>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There is a growing, cooperative relationship between ALC and the Church Worker Support Dept to promote careers in the LCA and also working together on the CEP program.</w:t>
            </w:r>
          </w:p>
        </w:tc>
      </w:tr>
      <w:tr w:rsidR="0062144A" w:rsidRPr="009A0DA6" w14:paraId="034F463F" w14:textId="77777777" w:rsidTr="008F179B">
        <w:tc>
          <w:tcPr>
            <w:cnfStyle w:val="001000000000" w:firstRow="0" w:lastRow="0" w:firstColumn="1" w:lastColumn="0" w:oddVBand="0" w:evenVBand="0" w:oddHBand="0" w:evenHBand="0" w:firstRowFirstColumn="0" w:firstRowLastColumn="0" w:lastRowFirstColumn="0" w:lastRowLastColumn="0"/>
            <w:tcW w:w="1549" w:type="pct"/>
          </w:tcPr>
          <w:p w14:paraId="4E747431" w14:textId="77777777" w:rsidR="0062144A" w:rsidRPr="009A0DA6" w:rsidRDefault="0062144A">
            <w:pPr>
              <w:spacing w:before="120" w:after="120"/>
              <w:contextualSpacing/>
              <w:rPr>
                <w:rFonts w:ascii="Cambria" w:hAnsi="Cambria" w:cs="Arial"/>
              </w:rPr>
            </w:pPr>
            <w:r w:rsidRPr="009A0DA6">
              <w:rPr>
                <w:rFonts w:ascii="Cambria" w:hAnsi="Cambria" w:cs="Arial"/>
              </w:rPr>
              <w:t>LCA Congregations</w:t>
            </w:r>
          </w:p>
          <w:p w14:paraId="649A4993" w14:textId="77777777" w:rsidR="0062144A" w:rsidRPr="009A0DA6" w:rsidRDefault="0062144A">
            <w:pPr>
              <w:spacing w:before="120" w:after="120"/>
              <w:contextualSpacing/>
              <w:rPr>
                <w:rFonts w:ascii="Cambria" w:hAnsi="Cambria" w:cs="Arial"/>
              </w:rPr>
            </w:pPr>
          </w:p>
        </w:tc>
        <w:tc>
          <w:tcPr>
            <w:tcW w:w="3451" w:type="pct"/>
            <w:hideMark/>
          </w:tcPr>
          <w:p w14:paraId="0E057B13" w14:textId="77777777" w:rsidR="0062144A" w:rsidRPr="009A0DA6" w:rsidRDefault="0062144A" w:rsidP="00F55252">
            <w:pPr>
              <w:numPr>
                <w:ilvl w:val="0"/>
                <w:numId w:val="223"/>
              </w:numPr>
              <w:spacing w:before="120" w:after="120"/>
              <w:ind w:left="318"/>
              <w:contextualSpacing/>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Ordained staff fill guest preaching roles in various congregations around Australia</w:t>
            </w:r>
          </w:p>
        </w:tc>
      </w:tr>
      <w:tr w:rsidR="0062144A" w:rsidRPr="009A0DA6" w14:paraId="2F78A95D" w14:textId="77777777" w:rsidTr="008F17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9" w:type="pct"/>
          </w:tcPr>
          <w:p w14:paraId="13469729" w14:textId="77777777" w:rsidR="0062144A" w:rsidRPr="009A0DA6" w:rsidRDefault="0062144A">
            <w:pPr>
              <w:spacing w:before="120" w:after="120"/>
              <w:contextualSpacing/>
              <w:rPr>
                <w:rFonts w:ascii="Cambria" w:hAnsi="Cambria" w:cs="Arial"/>
              </w:rPr>
            </w:pPr>
            <w:r w:rsidRPr="009A0DA6">
              <w:rPr>
                <w:rFonts w:ascii="Cambria" w:hAnsi="Cambria" w:cs="Arial"/>
              </w:rPr>
              <w:t>LCA District Offices</w:t>
            </w:r>
          </w:p>
          <w:p w14:paraId="1621C32F" w14:textId="77777777" w:rsidR="0062144A" w:rsidRPr="009A0DA6" w:rsidRDefault="0062144A">
            <w:pPr>
              <w:spacing w:before="120" w:after="120"/>
              <w:contextualSpacing/>
              <w:rPr>
                <w:rFonts w:ascii="Cambria" w:hAnsi="Cambria" w:cs="Arial"/>
              </w:rPr>
            </w:pPr>
          </w:p>
        </w:tc>
        <w:tc>
          <w:tcPr>
            <w:tcW w:w="3451" w:type="pct"/>
            <w:hideMark/>
          </w:tcPr>
          <w:p w14:paraId="2849B0E7" w14:textId="77777777" w:rsidR="0062144A" w:rsidRPr="009A0DA6" w:rsidRDefault="0062144A" w:rsidP="00F55252">
            <w:pPr>
              <w:numPr>
                <w:ilvl w:val="0"/>
                <w:numId w:val="223"/>
              </w:numPr>
              <w:spacing w:before="120" w:after="120"/>
              <w:ind w:left="318"/>
              <w:contextualSpacing/>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 xml:space="preserve">Grassroots Training collaborates with District Offices in the planning and promotion of ministry training to LCA congregations </w:t>
            </w:r>
          </w:p>
          <w:p w14:paraId="2E1444B1" w14:textId="77777777" w:rsidR="0062144A" w:rsidRPr="009A0DA6" w:rsidRDefault="0062144A" w:rsidP="00F55252">
            <w:pPr>
              <w:numPr>
                <w:ilvl w:val="0"/>
                <w:numId w:val="223"/>
              </w:numPr>
              <w:spacing w:before="120" w:after="120"/>
              <w:ind w:left="318"/>
              <w:contextualSpacing/>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 xml:space="preserve">Grassroots provides practical support for the internship programmes that are distinct to various LCA Districts </w:t>
            </w:r>
          </w:p>
          <w:p w14:paraId="5A9C0BAC" w14:textId="77777777" w:rsidR="0062144A" w:rsidRPr="009A0DA6" w:rsidRDefault="0062144A" w:rsidP="00F55252">
            <w:pPr>
              <w:numPr>
                <w:ilvl w:val="0"/>
                <w:numId w:val="223"/>
              </w:numPr>
              <w:spacing w:before="120" w:after="120"/>
              <w:ind w:left="318"/>
              <w:contextualSpacing/>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 xml:space="preserve">Ordained lecturers attend and speak at District Pastors Conference’s around Australia </w:t>
            </w:r>
          </w:p>
        </w:tc>
      </w:tr>
      <w:tr w:rsidR="0062144A" w:rsidRPr="009A0DA6" w14:paraId="6F5C2B64" w14:textId="77777777" w:rsidTr="008F179B">
        <w:tc>
          <w:tcPr>
            <w:cnfStyle w:val="001000000000" w:firstRow="0" w:lastRow="0" w:firstColumn="1" w:lastColumn="0" w:oddVBand="0" w:evenVBand="0" w:oddHBand="0" w:evenHBand="0" w:firstRowFirstColumn="0" w:firstRowLastColumn="0" w:lastRowFirstColumn="0" w:lastRowLastColumn="0"/>
            <w:tcW w:w="1549" w:type="pct"/>
            <w:hideMark/>
          </w:tcPr>
          <w:p w14:paraId="4306337F" w14:textId="77777777" w:rsidR="0062144A" w:rsidRPr="009A0DA6" w:rsidRDefault="0062144A">
            <w:pPr>
              <w:spacing w:before="120" w:after="120"/>
              <w:contextualSpacing/>
              <w:rPr>
                <w:rFonts w:ascii="Cambria" w:hAnsi="Cambria" w:cs="Arial"/>
              </w:rPr>
            </w:pPr>
            <w:r w:rsidRPr="009A0DA6">
              <w:rPr>
                <w:rFonts w:ascii="Cambria" w:hAnsi="Cambria" w:cs="Arial"/>
              </w:rPr>
              <w:t xml:space="preserve">Lutheran Aged Care </w:t>
            </w:r>
          </w:p>
        </w:tc>
        <w:tc>
          <w:tcPr>
            <w:tcW w:w="3451" w:type="pct"/>
            <w:hideMark/>
          </w:tcPr>
          <w:p w14:paraId="5FF25964" w14:textId="77777777" w:rsidR="0062144A" w:rsidRPr="009A0DA6" w:rsidRDefault="0062144A" w:rsidP="00F55252">
            <w:pPr>
              <w:numPr>
                <w:ilvl w:val="0"/>
                <w:numId w:val="223"/>
              </w:numPr>
              <w:spacing w:before="120" w:after="120"/>
              <w:ind w:left="318"/>
              <w:contextualSpacing/>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Initial conversations have commenced concerning Aged Care needs for staff induction packages</w:t>
            </w:r>
          </w:p>
        </w:tc>
      </w:tr>
      <w:tr w:rsidR="0062144A" w:rsidRPr="009A0DA6" w14:paraId="441C98BC" w14:textId="77777777" w:rsidTr="008F17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9" w:type="pct"/>
            <w:hideMark/>
          </w:tcPr>
          <w:p w14:paraId="3DF981E8" w14:textId="77777777" w:rsidR="0062144A" w:rsidRPr="009A0DA6" w:rsidRDefault="0062144A">
            <w:pPr>
              <w:spacing w:before="120" w:after="120"/>
              <w:contextualSpacing/>
              <w:rPr>
                <w:rFonts w:ascii="Cambria" w:hAnsi="Cambria" w:cs="Arial"/>
              </w:rPr>
            </w:pPr>
            <w:r w:rsidRPr="009A0DA6">
              <w:rPr>
                <w:rFonts w:ascii="Cambria" w:hAnsi="Cambria" w:cs="Arial"/>
              </w:rPr>
              <w:t>Youth and Family Ministry (BCYFM)/ Grow Ministries</w:t>
            </w:r>
          </w:p>
        </w:tc>
        <w:tc>
          <w:tcPr>
            <w:tcW w:w="3451" w:type="pct"/>
            <w:hideMark/>
          </w:tcPr>
          <w:p w14:paraId="27F96E62" w14:textId="77777777" w:rsidR="0062144A" w:rsidRPr="009A0DA6" w:rsidRDefault="0062144A" w:rsidP="00F55252">
            <w:pPr>
              <w:numPr>
                <w:ilvl w:val="0"/>
                <w:numId w:val="223"/>
              </w:numPr>
              <w:spacing w:before="120" w:after="120"/>
              <w:ind w:left="318"/>
              <w:contextualSpacing/>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 xml:space="preserve">The Grassroots Coordinator is a consultant on the Committee for Child, Youth and Family Ministry. </w:t>
            </w:r>
          </w:p>
          <w:p w14:paraId="270C7BEC" w14:textId="77777777" w:rsidR="0062144A" w:rsidRPr="009A0DA6" w:rsidRDefault="0062144A" w:rsidP="00F55252">
            <w:pPr>
              <w:numPr>
                <w:ilvl w:val="0"/>
                <w:numId w:val="223"/>
              </w:numPr>
              <w:spacing w:before="120" w:after="120"/>
              <w:ind w:left="318"/>
              <w:contextualSpacing/>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They are a partner in delivering the ‘Home and Church in Partnership’ workshop.</w:t>
            </w:r>
          </w:p>
          <w:p w14:paraId="24FAC9CE" w14:textId="77777777" w:rsidR="0062144A" w:rsidRPr="009A0DA6" w:rsidRDefault="0062144A" w:rsidP="00F55252">
            <w:pPr>
              <w:numPr>
                <w:ilvl w:val="0"/>
                <w:numId w:val="223"/>
              </w:numPr>
              <w:spacing w:before="120" w:after="120"/>
              <w:ind w:left="318"/>
              <w:contextualSpacing/>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ALC staff have participated in a number of GROW Ministry projects and have recently hosted a youth forum event</w:t>
            </w:r>
          </w:p>
        </w:tc>
      </w:tr>
      <w:tr w:rsidR="0062144A" w:rsidRPr="009A0DA6" w14:paraId="368CA404" w14:textId="77777777" w:rsidTr="008F179B">
        <w:tc>
          <w:tcPr>
            <w:cnfStyle w:val="001000000000" w:firstRow="0" w:lastRow="0" w:firstColumn="1" w:lastColumn="0" w:oddVBand="0" w:evenVBand="0" w:oddHBand="0" w:evenHBand="0" w:firstRowFirstColumn="0" w:firstRowLastColumn="0" w:lastRowFirstColumn="0" w:lastRowLastColumn="0"/>
            <w:tcW w:w="1549" w:type="pct"/>
            <w:hideMark/>
          </w:tcPr>
          <w:p w14:paraId="181C4748" w14:textId="77777777" w:rsidR="0062144A" w:rsidRPr="009A0DA6" w:rsidRDefault="0062144A">
            <w:pPr>
              <w:spacing w:before="120" w:after="120"/>
              <w:contextualSpacing/>
              <w:rPr>
                <w:rFonts w:ascii="Cambria" w:hAnsi="Cambria" w:cs="Arial"/>
              </w:rPr>
            </w:pPr>
            <w:r w:rsidRPr="009A0DA6">
              <w:rPr>
                <w:rFonts w:ascii="Cambria" w:hAnsi="Cambria" w:cs="Arial"/>
              </w:rPr>
              <w:t>Lutheran Archives</w:t>
            </w:r>
          </w:p>
        </w:tc>
        <w:tc>
          <w:tcPr>
            <w:tcW w:w="3451" w:type="pct"/>
            <w:hideMark/>
          </w:tcPr>
          <w:p w14:paraId="0FE7469D" w14:textId="77777777" w:rsidR="0062144A" w:rsidRPr="009A0DA6" w:rsidRDefault="0062144A" w:rsidP="00F55252">
            <w:pPr>
              <w:numPr>
                <w:ilvl w:val="0"/>
                <w:numId w:val="223"/>
              </w:numPr>
              <w:spacing w:before="120" w:after="120"/>
              <w:ind w:left="318"/>
              <w:contextualSpacing/>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ALC co-sponsor and organise the annual Fritzsche Oration in consultation with Lutheran Archives</w:t>
            </w:r>
          </w:p>
        </w:tc>
      </w:tr>
      <w:tr w:rsidR="0062144A" w:rsidRPr="009A0DA6" w14:paraId="0CA911FF" w14:textId="77777777" w:rsidTr="008F17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9" w:type="pct"/>
            <w:hideMark/>
          </w:tcPr>
          <w:p w14:paraId="4C7D0305" w14:textId="77777777" w:rsidR="0062144A" w:rsidRPr="009A0DA6" w:rsidRDefault="0062144A">
            <w:pPr>
              <w:spacing w:before="120" w:after="120"/>
              <w:contextualSpacing/>
              <w:rPr>
                <w:rFonts w:ascii="Cambria" w:hAnsi="Cambria" w:cs="Arial"/>
              </w:rPr>
            </w:pPr>
            <w:r w:rsidRPr="009A0DA6">
              <w:rPr>
                <w:rFonts w:ascii="Cambria" w:hAnsi="Cambria" w:cs="Arial"/>
              </w:rPr>
              <w:t xml:space="preserve">Finke River Mission </w:t>
            </w:r>
          </w:p>
        </w:tc>
        <w:tc>
          <w:tcPr>
            <w:tcW w:w="3451" w:type="pct"/>
            <w:hideMark/>
          </w:tcPr>
          <w:p w14:paraId="72E9C149" w14:textId="77777777" w:rsidR="0062144A" w:rsidRPr="009A0DA6" w:rsidRDefault="0062144A" w:rsidP="00F55252">
            <w:pPr>
              <w:numPr>
                <w:ilvl w:val="0"/>
                <w:numId w:val="223"/>
              </w:numPr>
              <w:spacing w:before="120" w:after="120"/>
              <w:ind w:left="318"/>
              <w:contextualSpacing/>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rPr>
              <w:t>ALC ordained staff work in consultation with the FRM Board to develop pastoral training for Indigenous groups, and attend bush camps up to twice a year as guest presenters</w:t>
            </w:r>
          </w:p>
        </w:tc>
      </w:tr>
      <w:tr w:rsidR="0062144A" w:rsidRPr="009A0DA6" w14:paraId="5FABE3C5" w14:textId="77777777" w:rsidTr="008F179B">
        <w:tc>
          <w:tcPr>
            <w:cnfStyle w:val="001000000000" w:firstRow="0" w:lastRow="0" w:firstColumn="1" w:lastColumn="0" w:oddVBand="0" w:evenVBand="0" w:oddHBand="0" w:evenHBand="0" w:firstRowFirstColumn="0" w:firstRowLastColumn="0" w:lastRowFirstColumn="0" w:lastRowLastColumn="0"/>
            <w:tcW w:w="1549" w:type="pct"/>
            <w:hideMark/>
          </w:tcPr>
          <w:p w14:paraId="4D241C82" w14:textId="77777777" w:rsidR="0062144A" w:rsidRPr="009A0DA6" w:rsidRDefault="0062144A">
            <w:pPr>
              <w:spacing w:before="120" w:after="120"/>
              <w:contextualSpacing/>
              <w:rPr>
                <w:rFonts w:ascii="Cambria" w:hAnsi="Cambria" w:cs="Arial"/>
              </w:rPr>
            </w:pPr>
            <w:r w:rsidRPr="009A0DA6">
              <w:rPr>
                <w:rFonts w:ascii="Cambria" w:hAnsi="Cambria" w:cs="Arial"/>
              </w:rPr>
              <w:t>Lutheran-Roman Catholic Dialogue</w:t>
            </w:r>
          </w:p>
        </w:tc>
        <w:tc>
          <w:tcPr>
            <w:tcW w:w="3451" w:type="pct"/>
            <w:hideMark/>
          </w:tcPr>
          <w:p w14:paraId="7D667BE4" w14:textId="77777777" w:rsidR="0062144A" w:rsidRPr="009A0DA6" w:rsidRDefault="0062144A" w:rsidP="00F55252">
            <w:pPr>
              <w:numPr>
                <w:ilvl w:val="0"/>
                <w:numId w:val="223"/>
              </w:numPr>
              <w:spacing w:before="120" w:after="120"/>
              <w:ind w:left="318"/>
              <w:contextualSpacing/>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Ordained staff provide theological expertise and leadership as part of this dialogue group</w:t>
            </w:r>
          </w:p>
        </w:tc>
      </w:tr>
      <w:tr w:rsidR="0062144A" w:rsidRPr="009A0DA6" w14:paraId="267DE202" w14:textId="77777777" w:rsidTr="008F17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9" w:type="pct"/>
            <w:hideMark/>
          </w:tcPr>
          <w:p w14:paraId="604DE5D7" w14:textId="77777777" w:rsidR="0062144A" w:rsidRPr="009A0DA6" w:rsidRDefault="0062144A">
            <w:pPr>
              <w:spacing w:before="120" w:after="120"/>
              <w:contextualSpacing/>
              <w:rPr>
                <w:rFonts w:ascii="Cambria" w:hAnsi="Cambria" w:cs="Arial"/>
              </w:rPr>
            </w:pPr>
            <w:r w:rsidRPr="009A0DA6">
              <w:rPr>
                <w:rFonts w:ascii="Cambria" w:hAnsi="Cambria" w:cs="Arial"/>
              </w:rPr>
              <w:t>Lutheran-Uniting Church Dialogue</w:t>
            </w:r>
          </w:p>
        </w:tc>
        <w:tc>
          <w:tcPr>
            <w:tcW w:w="3451" w:type="pct"/>
            <w:hideMark/>
          </w:tcPr>
          <w:p w14:paraId="27774AD0" w14:textId="77777777" w:rsidR="0062144A" w:rsidRPr="009A0DA6" w:rsidRDefault="0062144A" w:rsidP="00F55252">
            <w:pPr>
              <w:numPr>
                <w:ilvl w:val="0"/>
                <w:numId w:val="223"/>
              </w:numPr>
              <w:spacing w:before="120" w:after="120"/>
              <w:ind w:left="318"/>
              <w:contextualSpacing/>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Ordained staff provide theological expertise and leadership as part of this dialogue group</w:t>
            </w:r>
          </w:p>
        </w:tc>
      </w:tr>
      <w:tr w:rsidR="0062144A" w:rsidRPr="009A0DA6" w14:paraId="13D9AA04" w14:textId="77777777" w:rsidTr="008F179B">
        <w:tc>
          <w:tcPr>
            <w:cnfStyle w:val="001000000000" w:firstRow="0" w:lastRow="0" w:firstColumn="1" w:lastColumn="0" w:oddVBand="0" w:evenVBand="0" w:oddHBand="0" w:evenHBand="0" w:firstRowFirstColumn="0" w:firstRowLastColumn="0" w:lastRowFirstColumn="0" w:lastRowLastColumn="0"/>
            <w:tcW w:w="1549" w:type="pct"/>
            <w:hideMark/>
          </w:tcPr>
          <w:p w14:paraId="46543567" w14:textId="77777777" w:rsidR="0062144A" w:rsidRPr="009A0DA6" w:rsidRDefault="0062144A">
            <w:pPr>
              <w:spacing w:before="120" w:after="120"/>
              <w:contextualSpacing/>
              <w:rPr>
                <w:rFonts w:ascii="Cambria" w:hAnsi="Cambria" w:cs="Arial"/>
              </w:rPr>
            </w:pPr>
            <w:r w:rsidRPr="009A0DA6">
              <w:rPr>
                <w:rFonts w:ascii="Cambria" w:hAnsi="Cambria" w:cs="Arial"/>
              </w:rPr>
              <w:t>Lutheran-Anglican Dialogue</w:t>
            </w:r>
          </w:p>
        </w:tc>
        <w:tc>
          <w:tcPr>
            <w:tcW w:w="3451" w:type="pct"/>
            <w:hideMark/>
          </w:tcPr>
          <w:p w14:paraId="27917F9E" w14:textId="77777777" w:rsidR="0062144A" w:rsidRPr="009A0DA6" w:rsidRDefault="0062144A" w:rsidP="00F55252">
            <w:pPr>
              <w:numPr>
                <w:ilvl w:val="0"/>
                <w:numId w:val="223"/>
              </w:numPr>
              <w:spacing w:before="120" w:after="120"/>
              <w:ind w:left="318"/>
              <w:contextualSpacing/>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Ordained staff provide theological expertise and leadership as part of this dialogue group</w:t>
            </w:r>
          </w:p>
        </w:tc>
      </w:tr>
    </w:tbl>
    <w:p w14:paraId="2ABC6028" w14:textId="77777777" w:rsidR="00151EE3" w:rsidRDefault="00151EE3" w:rsidP="00151EE3">
      <w:pPr>
        <w:pStyle w:val="NoSpacing"/>
      </w:pPr>
    </w:p>
    <w:p w14:paraId="205C1839" w14:textId="5A091D78" w:rsidR="0062144A" w:rsidRPr="009A0DA6" w:rsidRDefault="0062144A" w:rsidP="008F179B">
      <w:pPr>
        <w:pStyle w:val="Heading3"/>
        <w:rPr>
          <w:lang w:val="en-US" w:eastAsia="ja-JP"/>
        </w:rPr>
      </w:pPr>
      <w:r w:rsidRPr="009A0DA6">
        <w:t>Financial Performance</w:t>
      </w:r>
    </w:p>
    <w:p w14:paraId="68CF462E" w14:textId="17C1B706" w:rsidR="0062144A" w:rsidRPr="00151EE3" w:rsidRDefault="0062144A" w:rsidP="0062144A">
      <w:pPr>
        <w:spacing w:before="120" w:after="120" w:line="240" w:lineRule="auto"/>
        <w:contextualSpacing/>
        <w:rPr>
          <w:rFonts w:ascii="Cambria" w:hAnsi="Cambria"/>
          <w:sz w:val="4"/>
        </w:rPr>
      </w:pPr>
      <w:r w:rsidRPr="009A0DA6">
        <w:rPr>
          <w:rFonts w:ascii="Cambria" w:hAnsi="Cambria"/>
        </w:rPr>
        <w:t>In 2018 ALC has segmented the operations of ALC into seven discrete operations; Accommodation, Administration, Learning and Teaching, Library Operations, Principals Office, Research, and Synodical Services. Doing this enables ALC to better understand its costs and the manner in which the contribution from the LCA is allocated (required). It also provides a firm evidence base upon which to make decisions about the future direction of ALC.</w:t>
      </w:r>
      <w:r w:rsidR="00151EE3">
        <w:rPr>
          <w:rFonts w:ascii="Cambria" w:hAnsi="Cambria"/>
        </w:rPr>
        <w:t xml:space="preserve"> </w:t>
      </w:r>
      <w:r w:rsidRPr="009A0DA6">
        <w:rPr>
          <w:rFonts w:ascii="Cambria" w:hAnsi="Cambria"/>
        </w:rPr>
        <w:t>When compared to the previous two years, the contribution of Accommodation to the financial performance of ALC has declined, a reflection of the changing marketplace for student accommodation. The budget result for 2018 is a deficit, and as at the end of June accounting, the full year forecast is in line with this budget.</w:t>
      </w:r>
      <w:r w:rsidR="00151EE3">
        <w:rPr>
          <w:rFonts w:ascii="Cambria" w:hAnsi="Cambria"/>
        </w:rPr>
        <w:br/>
      </w:r>
    </w:p>
    <w:p w14:paraId="72C44F64" w14:textId="77777777" w:rsidR="0062144A" w:rsidRPr="00696058" w:rsidRDefault="0062144A" w:rsidP="0062144A">
      <w:pPr>
        <w:spacing w:before="120" w:after="120" w:line="240" w:lineRule="auto"/>
        <w:contextualSpacing/>
        <w:rPr>
          <w:rFonts w:ascii="Cambria" w:hAnsi="Cambria"/>
          <w:i/>
          <w:sz w:val="8"/>
        </w:rPr>
      </w:pPr>
    </w:p>
    <w:tbl>
      <w:tblPr>
        <w:tblStyle w:val="TableGrid"/>
        <w:tblW w:w="8481"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5"/>
        <w:gridCol w:w="1535"/>
        <w:gridCol w:w="1386"/>
        <w:gridCol w:w="1535"/>
      </w:tblGrid>
      <w:tr w:rsidR="00205EE9" w:rsidRPr="009A0DA6" w14:paraId="35D90121" w14:textId="77777777" w:rsidTr="00205EE9">
        <w:tc>
          <w:tcPr>
            <w:tcW w:w="4025" w:type="dxa"/>
            <w:hideMark/>
          </w:tcPr>
          <w:p w14:paraId="702692C1" w14:textId="77777777" w:rsidR="00205EE9" w:rsidRPr="009A0DA6" w:rsidRDefault="00205EE9" w:rsidP="00205EE9">
            <w:pPr>
              <w:spacing w:before="120" w:after="120"/>
              <w:contextualSpacing/>
              <w:rPr>
                <w:rFonts w:ascii="Cambria" w:hAnsi="Cambria" w:cs="Arial"/>
                <w:b/>
              </w:rPr>
            </w:pPr>
            <w:r w:rsidRPr="009A0DA6">
              <w:rPr>
                <w:rFonts w:ascii="Cambria" w:hAnsi="Cambria" w:cs="Arial"/>
                <w:b/>
              </w:rPr>
              <w:t>Alignment to LCA Strategic Priorities</w:t>
            </w:r>
          </w:p>
        </w:tc>
        <w:tc>
          <w:tcPr>
            <w:tcW w:w="1535" w:type="dxa"/>
          </w:tcPr>
          <w:p w14:paraId="582A29A0" w14:textId="45842AB7" w:rsidR="00205EE9" w:rsidRPr="009A0DA6" w:rsidRDefault="00205EE9" w:rsidP="00205EE9">
            <w:pPr>
              <w:spacing w:before="120" w:after="120"/>
              <w:contextualSpacing/>
              <w:jc w:val="right"/>
              <w:rPr>
                <w:rFonts w:ascii="Cambria" w:hAnsi="Cambria" w:cs="Arial"/>
                <w:b/>
              </w:rPr>
            </w:pPr>
            <w:r w:rsidRPr="009A0DA6">
              <w:rPr>
                <w:rFonts w:ascii="Cambria" w:hAnsi="Cambria" w:cs="Arial"/>
                <w:b/>
              </w:rPr>
              <w:t xml:space="preserve">2017 </w:t>
            </w:r>
          </w:p>
        </w:tc>
        <w:tc>
          <w:tcPr>
            <w:tcW w:w="1386" w:type="dxa"/>
          </w:tcPr>
          <w:p w14:paraId="0D430305" w14:textId="0F6FFCAE" w:rsidR="00205EE9" w:rsidRPr="009A0DA6" w:rsidRDefault="00205EE9" w:rsidP="00205EE9">
            <w:pPr>
              <w:spacing w:before="120" w:after="120"/>
              <w:contextualSpacing/>
              <w:jc w:val="right"/>
              <w:rPr>
                <w:rFonts w:ascii="Cambria" w:hAnsi="Cambria" w:cs="Arial"/>
                <w:b/>
              </w:rPr>
            </w:pPr>
            <w:r w:rsidRPr="009A0DA6">
              <w:rPr>
                <w:rFonts w:ascii="Cambria" w:hAnsi="Cambria" w:cs="Arial"/>
                <w:b/>
              </w:rPr>
              <w:t xml:space="preserve">2016 </w:t>
            </w:r>
          </w:p>
        </w:tc>
        <w:tc>
          <w:tcPr>
            <w:tcW w:w="1535" w:type="dxa"/>
            <w:hideMark/>
          </w:tcPr>
          <w:p w14:paraId="12D8F7D1" w14:textId="639604CC" w:rsidR="00205EE9" w:rsidRPr="009A0DA6" w:rsidRDefault="00205EE9" w:rsidP="00205EE9">
            <w:pPr>
              <w:spacing w:before="120" w:after="120"/>
              <w:contextualSpacing/>
              <w:jc w:val="right"/>
              <w:rPr>
                <w:rFonts w:ascii="Cambria" w:hAnsi="Cambria" w:cs="Arial"/>
                <w:b/>
              </w:rPr>
            </w:pPr>
            <w:r w:rsidRPr="009A0DA6">
              <w:rPr>
                <w:rFonts w:ascii="Cambria" w:hAnsi="Cambria" w:cs="Arial"/>
                <w:b/>
              </w:rPr>
              <w:t xml:space="preserve">2015 </w:t>
            </w:r>
          </w:p>
        </w:tc>
      </w:tr>
      <w:tr w:rsidR="00205EE9" w:rsidRPr="009A0DA6" w14:paraId="7BCCA63E" w14:textId="77777777" w:rsidTr="00205EE9">
        <w:tc>
          <w:tcPr>
            <w:tcW w:w="4025" w:type="dxa"/>
            <w:hideMark/>
          </w:tcPr>
          <w:p w14:paraId="610D2168" w14:textId="77777777" w:rsidR="00205EE9" w:rsidRPr="009A0DA6" w:rsidRDefault="00205EE9" w:rsidP="00205EE9">
            <w:pPr>
              <w:spacing w:before="120" w:after="120"/>
              <w:contextualSpacing/>
              <w:rPr>
                <w:rFonts w:ascii="Cambria" w:hAnsi="Cambria" w:cs="Arial"/>
                <w:b/>
              </w:rPr>
            </w:pPr>
            <w:r w:rsidRPr="009A0DA6">
              <w:rPr>
                <w:rFonts w:ascii="Cambria" w:hAnsi="Cambria" w:cs="Arial"/>
                <w:b/>
              </w:rPr>
              <w:t>Expenditure</w:t>
            </w:r>
          </w:p>
        </w:tc>
        <w:tc>
          <w:tcPr>
            <w:tcW w:w="1535" w:type="dxa"/>
          </w:tcPr>
          <w:p w14:paraId="613D96A4" w14:textId="77777777" w:rsidR="00205EE9" w:rsidRPr="009A0DA6" w:rsidRDefault="00205EE9" w:rsidP="00205EE9">
            <w:pPr>
              <w:spacing w:before="120" w:after="120"/>
              <w:contextualSpacing/>
              <w:jc w:val="right"/>
              <w:rPr>
                <w:rFonts w:ascii="Cambria" w:hAnsi="Cambria" w:cs="Arial"/>
                <w:b/>
              </w:rPr>
            </w:pPr>
          </w:p>
        </w:tc>
        <w:tc>
          <w:tcPr>
            <w:tcW w:w="1386" w:type="dxa"/>
          </w:tcPr>
          <w:p w14:paraId="0CB35E80" w14:textId="77777777" w:rsidR="00205EE9" w:rsidRPr="009A0DA6" w:rsidRDefault="00205EE9" w:rsidP="00205EE9">
            <w:pPr>
              <w:spacing w:before="120" w:after="120"/>
              <w:contextualSpacing/>
              <w:jc w:val="right"/>
              <w:rPr>
                <w:rFonts w:ascii="Cambria" w:hAnsi="Cambria" w:cs="Arial"/>
                <w:b/>
              </w:rPr>
            </w:pPr>
          </w:p>
        </w:tc>
        <w:tc>
          <w:tcPr>
            <w:tcW w:w="1535" w:type="dxa"/>
          </w:tcPr>
          <w:p w14:paraId="4FC78B7D" w14:textId="5ED7826C" w:rsidR="00205EE9" w:rsidRPr="009A0DA6" w:rsidRDefault="00205EE9" w:rsidP="00205EE9">
            <w:pPr>
              <w:spacing w:before="120" w:after="120"/>
              <w:contextualSpacing/>
              <w:jc w:val="right"/>
              <w:rPr>
                <w:rFonts w:ascii="Cambria" w:hAnsi="Cambria" w:cs="Arial"/>
                <w:b/>
              </w:rPr>
            </w:pPr>
          </w:p>
        </w:tc>
      </w:tr>
      <w:tr w:rsidR="00205EE9" w:rsidRPr="009A0DA6" w14:paraId="0977CB39" w14:textId="77777777" w:rsidTr="00205EE9">
        <w:tc>
          <w:tcPr>
            <w:tcW w:w="4025" w:type="dxa"/>
            <w:hideMark/>
          </w:tcPr>
          <w:p w14:paraId="75129188" w14:textId="77777777" w:rsidR="00205EE9" w:rsidRPr="009A0DA6" w:rsidRDefault="00205EE9" w:rsidP="00205EE9">
            <w:pPr>
              <w:spacing w:before="120" w:after="120"/>
              <w:contextualSpacing/>
              <w:rPr>
                <w:rFonts w:ascii="Cambria" w:hAnsi="Cambria" w:cs="Arial"/>
              </w:rPr>
            </w:pPr>
            <w:r w:rsidRPr="009A0DA6">
              <w:rPr>
                <w:rFonts w:ascii="Cambria" w:hAnsi="Cambria" w:cs="Arial"/>
              </w:rPr>
              <w:t>1 Growing as God’s People</w:t>
            </w:r>
          </w:p>
        </w:tc>
        <w:tc>
          <w:tcPr>
            <w:tcW w:w="1535" w:type="dxa"/>
          </w:tcPr>
          <w:p w14:paraId="4174F41D" w14:textId="7A678DF0" w:rsidR="00205EE9" w:rsidRPr="009A0DA6" w:rsidRDefault="00205EE9" w:rsidP="00205EE9">
            <w:pPr>
              <w:spacing w:before="120" w:after="120"/>
              <w:contextualSpacing/>
              <w:jc w:val="right"/>
              <w:rPr>
                <w:rFonts w:ascii="Cambria" w:hAnsi="Cambria" w:cs="Arial"/>
              </w:rPr>
            </w:pPr>
            <w:r w:rsidRPr="009A0DA6">
              <w:rPr>
                <w:rFonts w:ascii="Cambria" w:hAnsi="Cambria" w:cs="Arial"/>
              </w:rPr>
              <w:t>4,089,142</w:t>
            </w:r>
          </w:p>
        </w:tc>
        <w:tc>
          <w:tcPr>
            <w:tcW w:w="1386" w:type="dxa"/>
          </w:tcPr>
          <w:p w14:paraId="39F1A1C6" w14:textId="563D5E13" w:rsidR="00205EE9" w:rsidRPr="009A0DA6" w:rsidRDefault="00205EE9" w:rsidP="00205EE9">
            <w:pPr>
              <w:spacing w:before="120" w:after="120"/>
              <w:contextualSpacing/>
              <w:jc w:val="right"/>
              <w:rPr>
                <w:rFonts w:ascii="Cambria" w:hAnsi="Cambria" w:cs="Arial"/>
              </w:rPr>
            </w:pPr>
            <w:r w:rsidRPr="009A0DA6">
              <w:rPr>
                <w:rFonts w:ascii="Cambria" w:hAnsi="Cambria" w:cs="Arial"/>
              </w:rPr>
              <w:t>4,118,328</w:t>
            </w:r>
          </w:p>
        </w:tc>
        <w:tc>
          <w:tcPr>
            <w:tcW w:w="1535" w:type="dxa"/>
            <w:hideMark/>
          </w:tcPr>
          <w:p w14:paraId="6465F5BB" w14:textId="583D123D" w:rsidR="00205EE9" w:rsidRPr="009A0DA6" w:rsidRDefault="00205EE9" w:rsidP="00205EE9">
            <w:pPr>
              <w:spacing w:before="120" w:after="120"/>
              <w:contextualSpacing/>
              <w:jc w:val="right"/>
              <w:rPr>
                <w:rFonts w:ascii="Cambria" w:hAnsi="Cambria" w:cs="Arial"/>
              </w:rPr>
            </w:pPr>
            <w:r w:rsidRPr="009A0DA6">
              <w:rPr>
                <w:rFonts w:ascii="Cambria" w:hAnsi="Cambria" w:cs="Arial"/>
              </w:rPr>
              <w:t>4,508,567</w:t>
            </w:r>
          </w:p>
        </w:tc>
      </w:tr>
      <w:tr w:rsidR="00205EE9" w:rsidRPr="009A0DA6" w14:paraId="6002F3D1" w14:textId="77777777" w:rsidTr="00205EE9">
        <w:tc>
          <w:tcPr>
            <w:tcW w:w="4025" w:type="dxa"/>
            <w:hideMark/>
          </w:tcPr>
          <w:p w14:paraId="53BC01D4" w14:textId="77777777" w:rsidR="00205EE9" w:rsidRPr="009A0DA6" w:rsidRDefault="00205EE9" w:rsidP="00205EE9">
            <w:pPr>
              <w:spacing w:before="120" w:after="120"/>
              <w:contextualSpacing/>
              <w:rPr>
                <w:rFonts w:ascii="Cambria" w:hAnsi="Cambria" w:cs="Arial"/>
              </w:rPr>
            </w:pPr>
            <w:r w:rsidRPr="009A0DA6">
              <w:rPr>
                <w:rFonts w:ascii="Cambria" w:hAnsi="Cambria" w:cs="Arial"/>
              </w:rPr>
              <w:t>2 Going as God’s People</w:t>
            </w:r>
          </w:p>
        </w:tc>
        <w:tc>
          <w:tcPr>
            <w:tcW w:w="1535" w:type="dxa"/>
          </w:tcPr>
          <w:p w14:paraId="43BB9535" w14:textId="77777777" w:rsidR="00205EE9" w:rsidRPr="009A0DA6" w:rsidRDefault="00205EE9" w:rsidP="00205EE9">
            <w:pPr>
              <w:spacing w:before="120" w:after="120"/>
              <w:contextualSpacing/>
              <w:jc w:val="right"/>
              <w:rPr>
                <w:rFonts w:ascii="Cambria" w:hAnsi="Cambria" w:cs="Arial"/>
              </w:rPr>
            </w:pPr>
          </w:p>
        </w:tc>
        <w:tc>
          <w:tcPr>
            <w:tcW w:w="1386" w:type="dxa"/>
          </w:tcPr>
          <w:p w14:paraId="4C7E9F43" w14:textId="77777777" w:rsidR="00205EE9" w:rsidRPr="009A0DA6" w:rsidRDefault="00205EE9" w:rsidP="00205EE9">
            <w:pPr>
              <w:spacing w:before="120" w:after="120"/>
              <w:contextualSpacing/>
              <w:jc w:val="right"/>
              <w:rPr>
                <w:rFonts w:ascii="Cambria" w:hAnsi="Cambria" w:cs="Arial"/>
              </w:rPr>
            </w:pPr>
          </w:p>
        </w:tc>
        <w:tc>
          <w:tcPr>
            <w:tcW w:w="1535" w:type="dxa"/>
          </w:tcPr>
          <w:p w14:paraId="6E9EFDBA" w14:textId="05D80D30" w:rsidR="00205EE9" w:rsidRPr="009A0DA6" w:rsidRDefault="00205EE9" w:rsidP="00205EE9">
            <w:pPr>
              <w:spacing w:before="120" w:after="120"/>
              <w:contextualSpacing/>
              <w:jc w:val="right"/>
              <w:rPr>
                <w:rFonts w:ascii="Cambria" w:hAnsi="Cambria" w:cs="Arial"/>
              </w:rPr>
            </w:pPr>
          </w:p>
        </w:tc>
      </w:tr>
      <w:tr w:rsidR="00205EE9" w:rsidRPr="009A0DA6" w14:paraId="14D22242" w14:textId="77777777" w:rsidTr="00205EE9">
        <w:tc>
          <w:tcPr>
            <w:tcW w:w="4025" w:type="dxa"/>
            <w:hideMark/>
          </w:tcPr>
          <w:p w14:paraId="6C507B9B" w14:textId="77777777" w:rsidR="00205EE9" w:rsidRPr="009A0DA6" w:rsidRDefault="00205EE9" w:rsidP="00205EE9">
            <w:pPr>
              <w:spacing w:before="120" w:after="120"/>
              <w:contextualSpacing/>
              <w:rPr>
                <w:rFonts w:ascii="Cambria" w:hAnsi="Cambria" w:cs="Arial"/>
              </w:rPr>
            </w:pPr>
            <w:r w:rsidRPr="009A0DA6">
              <w:rPr>
                <w:rFonts w:ascii="Cambria" w:hAnsi="Cambria" w:cs="Arial"/>
              </w:rPr>
              <w:t>3 Enable us to Go &amp; Grow</w:t>
            </w:r>
          </w:p>
        </w:tc>
        <w:tc>
          <w:tcPr>
            <w:tcW w:w="1535" w:type="dxa"/>
          </w:tcPr>
          <w:p w14:paraId="5CC17522" w14:textId="77777777" w:rsidR="00205EE9" w:rsidRPr="009A0DA6" w:rsidRDefault="00205EE9" w:rsidP="00205EE9">
            <w:pPr>
              <w:spacing w:before="120" w:after="120"/>
              <w:contextualSpacing/>
              <w:jc w:val="right"/>
              <w:rPr>
                <w:rFonts w:ascii="Cambria" w:hAnsi="Cambria" w:cs="Arial"/>
              </w:rPr>
            </w:pPr>
          </w:p>
        </w:tc>
        <w:tc>
          <w:tcPr>
            <w:tcW w:w="1386" w:type="dxa"/>
          </w:tcPr>
          <w:p w14:paraId="045DBDA3" w14:textId="77777777" w:rsidR="00205EE9" w:rsidRPr="009A0DA6" w:rsidRDefault="00205EE9" w:rsidP="00205EE9">
            <w:pPr>
              <w:spacing w:before="120" w:after="120"/>
              <w:contextualSpacing/>
              <w:jc w:val="right"/>
              <w:rPr>
                <w:rFonts w:ascii="Cambria" w:hAnsi="Cambria" w:cs="Arial"/>
              </w:rPr>
            </w:pPr>
          </w:p>
        </w:tc>
        <w:tc>
          <w:tcPr>
            <w:tcW w:w="1535" w:type="dxa"/>
          </w:tcPr>
          <w:p w14:paraId="66A2CB9D" w14:textId="30B0A95A" w:rsidR="00205EE9" w:rsidRPr="009A0DA6" w:rsidRDefault="00205EE9" w:rsidP="00205EE9">
            <w:pPr>
              <w:spacing w:before="120" w:after="120"/>
              <w:contextualSpacing/>
              <w:jc w:val="right"/>
              <w:rPr>
                <w:rFonts w:ascii="Cambria" w:hAnsi="Cambria" w:cs="Arial"/>
              </w:rPr>
            </w:pPr>
          </w:p>
        </w:tc>
      </w:tr>
      <w:tr w:rsidR="00205EE9" w:rsidRPr="009A0DA6" w14:paraId="0246FE8E" w14:textId="77777777" w:rsidTr="00205EE9">
        <w:tc>
          <w:tcPr>
            <w:tcW w:w="4025" w:type="dxa"/>
            <w:hideMark/>
          </w:tcPr>
          <w:p w14:paraId="5C78FB6B" w14:textId="77777777" w:rsidR="00205EE9" w:rsidRPr="00151EE3" w:rsidRDefault="00205EE9" w:rsidP="00205EE9">
            <w:pPr>
              <w:spacing w:before="120" w:after="120"/>
              <w:contextualSpacing/>
              <w:rPr>
                <w:rFonts w:ascii="Cambria" w:hAnsi="Cambria" w:cs="Arial"/>
                <w:b/>
              </w:rPr>
            </w:pPr>
            <w:r w:rsidRPr="00151EE3">
              <w:rPr>
                <w:rFonts w:ascii="Cambria" w:hAnsi="Cambria" w:cs="Arial"/>
                <w:b/>
              </w:rPr>
              <w:t>Total</w:t>
            </w:r>
          </w:p>
        </w:tc>
        <w:tc>
          <w:tcPr>
            <w:tcW w:w="1535" w:type="dxa"/>
          </w:tcPr>
          <w:p w14:paraId="0E23E0F5" w14:textId="71BD19C2" w:rsidR="00205EE9" w:rsidRPr="009A0DA6" w:rsidRDefault="00205EE9" w:rsidP="00205EE9">
            <w:pPr>
              <w:spacing w:before="120" w:after="120"/>
              <w:contextualSpacing/>
              <w:jc w:val="right"/>
              <w:rPr>
                <w:rFonts w:ascii="Cambria" w:hAnsi="Cambria" w:cs="Arial"/>
              </w:rPr>
            </w:pPr>
            <w:r w:rsidRPr="009A0DA6">
              <w:rPr>
                <w:rFonts w:ascii="Cambria" w:hAnsi="Cambria" w:cs="Arial"/>
              </w:rPr>
              <w:t>4,089,142</w:t>
            </w:r>
          </w:p>
        </w:tc>
        <w:tc>
          <w:tcPr>
            <w:tcW w:w="1386" w:type="dxa"/>
          </w:tcPr>
          <w:p w14:paraId="1ECB8562" w14:textId="0B4EE7F5" w:rsidR="00205EE9" w:rsidRPr="009A0DA6" w:rsidRDefault="00205EE9" w:rsidP="00205EE9">
            <w:pPr>
              <w:spacing w:before="120" w:after="120"/>
              <w:contextualSpacing/>
              <w:jc w:val="right"/>
              <w:rPr>
                <w:rFonts w:ascii="Cambria" w:hAnsi="Cambria" w:cs="Arial"/>
              </w:rPr>
            </w:pPr>
            <w:r w:rsidRPr="009A0DA6">
              <w:rPr>
                <w:rFonts w:ascii="Cambria" w:hAnsi="Cambria" w:cs="Arial"/>
              </w:rPr>
              <w:t>4,118,328</w:t>
            </w:r>
          </w:p>
        </w:tc>
        <w:tc>
          <w:tcPr>
            <w:tcW w:w="1535" w:type="dxa"/>
            <w:hideMark/>
          </w:tcPr>
          <w:p w14:paraId="28520F9D" w14:textId="1B40C4D3" w:rsidR="00205EE9" w:rsidRPr="009A0DA6" w:rsidRDefault="00205EE9" w:rsidP="00205EE9">
            <w:pPr>
              <w:spacing w:before="120" w:after="120"/>
              <w:contextualSpacing/>
              <w:jc w:val="right"/>
              <w:rPr>
                <w:rFonts w:ascii="Cambria" w:hAnsi="Cambria" w:cs="Arial"/>
              </w:rPr>
            </w:pPr>
            <w:r w:rsidRPr="009A0DA6">
              <w:rPr>
                <w:rFonts w:ascii="Cambria" w:hAnsi="Cambria" w:cs="Arial"/>
              </w:rPr>
              <w:t>4,508,567</w:t>
            </w:r>
          </w:p>
        </w:tc>
      </w:tr>
    </w:tbl>
    <w:p w14:paraId="1109C038" w14:textId="77777777" w:rsidR="00F47478" w:rsidRPr="009A0DA6" w:rsidRDefault="00F47478" w:rsidP="00964A90">
      <w:pPr>
        <w:pStyle w:val="Heading3"/>
      </w:pPr>
      <w:r w:rsidRPr="009A0DA6">
        <w:lastRenderedPageBreak/>
        <w:t xml:space="preserve">agenda 10.2 </w:t>
      </w:r>
    </w:p>
    <w:p w14:paraId="3E1FDB57" w14:textId="77777777" w:rsidR="00CE0DB0" w:rsidRPr="009A0DA6" w:rsidRDefault="00CE0DB0" w:rsidP="00F47478">
      <w:pPr>
        <w:pStyle w:val="Heading2"/>
      </w:pPr>
      <w:bookmarkStart w:id="500" w:name="_Toc521954742"/>
      <w:r w:rsidRPr="009A0DA6">
        <w:t>Financial Report: Australian Lutheran College L</w:t>
      </w:r>
      <w:r w:rsidR="00F47478" w:rsidRPr="009A0DA6">
        <w:t>t</w:t>
      </w:r>
      <w:r w:rsidRPr="009A0DA6">
        <w:t>d</w:t>
      </w:r>
      <w:bookmarkEnd w:id="500"/>
    </w:p>
    <w:p w14:paraId="672E7EE1" w14:textId="77777777" w:rsidR="00CE0DB0" w:rsidRPr="00696058" w:rsidRDefault="00CE0DB0" w:rsidP="00CE0DB0">
      <w:pPr>
        <w:pStyle w:val="NoSpacing"/>
        <w:rPr>
          <w:sz w:val="24"/>
        </w:rPr>
      </w:pPr>
    </w:p>
    <w:p w14:paraId="168639A7" w14:textId="77777777" w:rsidR="008F179B" w:rsidRPr="00696058" w:rsidRDefault="008F179B" w:rsidP="00766B14">
      <w:pPr>
        <w:pStyle w:val="NoSpacing"/>
        <w:rPr>
          <w:b/>
          <w:sz w:val="21"/>
          <w:szCs w:val="21"/>
        </w:rPr>
      </w:pPr>
      <w:bookmarkStart w:id="501" w:name="_Hlk521571408"/>
      <w:r w:rsidRPr="00696058">
        <w:rPr>
          <w:b/>
          <w:sz w:val="21"/>
          <w:szCs w:val="21"/>
        </w:rPr>
        <w:t>INCOME AND EXPENDITURE STATEMENT</w:t>
      </w:r>
    </w:p>
    <w:bookmarkEnd w:id="501"/>
    <w:p w14:paraId="611CA1A1" w14:textId="4908E189" w:rsidR="008F179B" w:rsidRPr="00696058" w:rsidRDefault="00FF7E8B" w:rsidP="00FF7E8B">
      <w:pPr>
        <w:pStyle w:val="NoSpacing"/>
        <w:rPr>
          <w:b/>
          <w:sz w:val="21"/>
          <w:szCs w:val="21"/>
        </w:rPr>
      </w:pPr>
      <w:r w:rsidRPr="00696058">
        <w:rPr>
          <w:b/>
          <w:sz w:val="21"/>
          <w:szCs w:val="21"/>
        </w:rPr>
        <w:t>FOR THE PERIODS ENDING 31 DECEMBER</w:t>
      </w:r>
      <w:r w:rsidRPr="00696058">
        <w:rPr>
          <w:b/>
          <w:sz w:val="21"/>
          <w:szCs w:val="21"/>
        </w:rPr>
        <w:br/>
      </w:r>
    </w:p>
    <w:p w14:paraId="227175AE" w14:textId="77777777" w:rsidR="008F179B" w:rsidRPr="00696058" w:rsidRDefault="008F179B" w:rsidP="008F179B">
      <w:pPr>
        <w:tabs>
          <w:tab w:val="right" w:pos="5954"/>
          <w:tab w:val="right" w:pos="7371"/>
          <w:tab w:val="right" w:pos="8789"/>
        </w:tabs>
        <w:spacing w:before="120" w:after="120" w:line="240" w:lineRule="auto"/>
        <w:contextualSpacing/>
        <w:rPr>
          <w:rFonts w:ascii="Cambria" w:hAnsi="Cambria" w:cs="Arial"/>
          <w:b/>
          <w:bCs/>
          <w:sz w:val="21"/>
          <w:szCs w:val="21"/>
        </w:rPr>
      </w:pPr>
      <w:r w:rsidRPr="00696058">
        <w:rPr>
          <w:rFonts w:ascii="Cambria" w:hAnsi="Cambria" w:cs="Calibri"/>
          <w:b/>
          <w:bCs/>
          <w:sz w:val="21"/>
          <w:szCs w:val="21"/>
        </w:rPr>
        <w:t>Income</w:t>
      </w:r>
      <w:r w:rsidRPr="00696058">
        <w:rPr>
          <w:rFonts w:ascii="Cambria" w:hAnsi="Cambria"/>
          <w:sz w:val="21"/>
          <w:szCs w:val="21"/>
        </w:rPr>
        <w:tab/>
      </w:r>
      <w:r w:rsidRPr="00696058">
        <w:rPr>
          <w:rFonts w:ascii="Cambria" w:hAnsi="Cambria" w:cs="Arial"/>
          <w:b/>
          <w:bCs/>
          <w:sz w:val="21"/>
          <w:szCs w:val="21"/>
        </w:rPr>
        <w:t>2017</w:t>
      </w:r>
      <w:r w:rsidRPr="00696058">
        <w:rPr>
          <w:rFonts w:ascii="Cambria" w:hAnsi="Cambria" w:cs="Arial"/>
          <w:b/>
          <w:bCs/>
          <w:sz w:val="21"/>
          <w:szCs w:val="21"/>
        </w:rPr>
        <w:tab/>
        <w:t>2016</w:t>
      </w:r>
      <w:r w:rsidRPr="00696058">
        <w:rPr>
          <w:rFonts w:ascii="Cambria" w:hAnsi="Cambria" w:cs="Arial"/>
          <w:b/>
          <w:bCs/>
          <w:sz w:val="21"/>
          <w:szCs w:val="21"/>
        </w:rPr>
        <w:tab/>
        <w:t>2015</w:t>
      </w:r>
    </w:p>
    <w:p w14:paraId="75BC6608" w14:textId="77777777" w:rsidR="008F179B" w:rsidRPr="00696058" w:rsidRDefault="008F179B" w:rsidP="008F179B">
      <w:pPr>
        <w:tabs>
          <w:tab w:val="right" w:pos="5954"/>
          <w:tab w:val="right" w:pos="7371"/>
          <w:tab w:val="right" w:pos="8789"/>
        </w:tabs>
        <w:spacing w:before="120" w:after="120" w:line="240" w:lineRule="auto"/>
        <w:contextualSpacing/>
        <w:rPr>
          <w:rFonts w:ascii="Cambria" w:hAnsi="Cambria" w:cs="Calibri"/>
          <w:sz w:val="21"/>
          <w:szCs w:val="21"/>
        </w:rPr>
      </w:pPr>
      <w:r w:rsidRPr="00696058">
        <w:rPr>
          <w:rFonts w:ascii="Cambria" w:hAnsi="Cambria" w:cs="Calibri"/>
          <w:sz w:val="21"/>
          <w:szCs w:val="21"/>
        </w:rPr>
        <w:t>Appeals, donations and bequests</w:t>
      </w:r>
      <w:r w:rsidRPr="00696058">
        <w:rPr>
          <w:rFonts w:ascii="Cambria" w:hAnsi="Cambria" w:cs="Calibri"/>
          <w:sz w:val="21"/>
          <w:szCs w:val="21"/>
        </w:rPr>
        <w:tab/>
        <w:t xml:space="preserve">         451,493 </w:t>
      </w:r>
      <w:r w:rsidRPr="00696058">
        <w:rPr>
          <w:rFonts w:ascii="Cambria" w:hAnsi="Cambria" w:cs="Calibri"/>
          <w:sz w:val="21"/>
          <w:szCs w:val="21"/>
        </w:rPr>
        <w:tab/>
        <w:t xml:space="preserve">      476,278 </w:t>
      </w:r>
      <w:r w:rsidRPr="00696058">
        <w:rPr>
          <w:rFonts w:ascii="Cambria" w:hAnsi="Cambria" w:cs="Calibri"/>
          <w:sz w:val="21"/>
          <w:szCs w:val="21"/>
        </w:rPr>
        <w:tab/>
        <w:t xml:space="preserve">           332,843 </w:t>
      </w:r>
    </w:p>
    <w:p w14:paraId="57A3283B" w14:textId="77777777" w:rsidR="008F179B" w:rsidRPr="00696058" w:rsidRDefault="008F179B" w:rsidP="008F179B">
      <w:pPr>
        <w:tabs>
          <w:tab w:val="right" w:pos="5954"/>
          <w:tab w:val="right" w:pos="7371"/>
          <w:tab w:val="right" w:pos="8789"/>
        </w:tabs>
        <w:spacing w:before="120" w:after="120" w:line="240" w:lineRule="auto"/>
        <w:contextualSpacing/>
        <w:rPr>
          <w:rFonts w:ascii="Cambria" w:hAnsi="Cambria" w:cs="Calibri"/>
          <w:sz w:val="21"/>
          <w:szCs w:val="21"/>
        </w:rPr>
      </w:pPr>
      <w:r w:rsidRPr="00696058">
        <w:rPr>
          <w:rFonts w:ascii="Cambria" w:hAnsi="Cambria" w:cs="Calibri"/>
          <w:sz w:val="21"/>
          <w:szCs w:val="21"/>
        </w:rPr>
        <w:t>Investment and rental income</w:t>
      </w:r>
      <w:r w:rsidRPr="00696058">
        <w:rPr>
          <w:rFonts w:ascii="Cambria" w:hAnsi="Cambria" w:cs="Calibri"/>
          <w:sz w:val="21"/>
          <w:szCs w:val="21"/>
        </w:rPr>
        <w:tab/>
        <w:t xml:space="preserve">         330,295 </w:t>
      </w:r>
      <w:r w:rsidRPr="00696058">
        <w:rPr>
          <w:rFonts w:ascii="Cambria" w:hAnsi="Cambria" w:cs="Calibri"/>
          <w:sz w:val="21"/>
          <w:szCs w:val="21"/>
        </w:rPr>
        <w:tab/>
        <w:t xml:space="preserve">      327,145 </w:t>
      </w:r>
      <w:r w:rsidRPr="00696058">
        <w:rPr>
          <w:rFonts w:ascii="Cambria" w:hAnsi="Cambria" w:cs="Calibri"/>
          <w:sz w:val="21"/>
          <w:szCs w:val="21"/>
        </w:rPr>
        <w:tab/>
        <w:t xml:space="preserve">           340,056 </w:t>
      </w:r>
    </w:p>
    <w:p w14:paraId="294B4BDB" w14:textId="77777777" w:rsidR="008F179B" w:rsidRPr="00696058" w:rsidRDefault="008F179B" w:rsidP="008F179B">
      <w:pPr>
        <w:tabs>
          <w:tab w:val="right" w:pos="5954"/>
          <w:tab w:val="right" w:pos="7371"/>
          <w:tab w:val="right" w:pos="8789"/>
        </w:tabs>
        <w:spacing w:before="120" w:after="120" w:line="240" w:lineRule="auto"/>
        <w:contextualSpacing/>
        <w:rPr>
          <w:rFonts w:ascii="Cambria" w:hAnsi="Cambria" w:cs="Calibri"/>
          <w:sz w:val="21"/>
          <w:szCs w:val="21"/>
        </w:rPr>
      </w:pPr>
      <w:r w:rsidRPr="00696058">
        <w:rPr>
          <w:rFonts w:ascii="Cambria" w:hAnsi="Cambria" w:cs="Calibri"/>
          <w:sz w:val="21"/>
          <w:szCs w:val="21"/>
        </w:rPr>
        <w:t>LCA Grants</w:t>
      </w:r>
      <w:r w:rsidRPr="00696058">
        <w:rPr>
          <w:rFonts w:ascii="Cambria" w:hAnsi="Cambria" w:cs="Calibri"/>
          <w:sz w:val="21"/>
          <w:szCs w:val="21"/>
        </w:rPr>
        <w:tab/>
        <w:t xml:space="preserve">      1,425,000 </w:t>
      </w:r>
      <w:r w:rsidRPr="00696058">
        <w:rPr>
          <w:rFonts w:ascii="Cambria" w:hAnsi="Cambria" w:cs="Calibri"/>
          <w:sz w:val="21"/>
          <w:szCs w:val="21"/>
        </w:rPr>
        <w:tab/>
        <w:t xml:space="preserve">   1,400,000 </w:t>
      </w:r>
      <w:r w:rsidRPr="00696058">
        <w:rPr>
          <w:rFonts w:ascii="Cambria" w:hAnsi="Cambria" w:cs="Calibri"/>
          <w:sz w:val="21"/>
          <w:szCs w:val="21"/>
        </w:rPr>
        <w:tab/>
        <w:t xml:space="preserve">       1,400,000 ALITE funds</w:t>
      </w:r>
      <w:r w:rsidRPr="00696058">
        <w:rPr>
          <w:rFonts w:ascii="Cambria" w:hAnsi="Cambria" w:cs="Calibri"/>
          <w:sz w:val="21"/>
          <w:szCs w:val="21"/>
        </w:rPr>
        <w:tab/>
        <w:t>0</w:t>
      </w:r>
      <w:r w:rsidRPr="00696058">
        <w:rPr>
          <w:rFonts w:ascii="Cambria" w:hAnsi="Cambria" w:cs="Calibri"/>
          <w:sz w:val="21"/>
          <w:szCs w:val="21"/>
        </w:rPr>
        <w:tab/>
        <w:t>78,250</w:t>
      </w:r>
      <w:r w:rsidRPr="00696058">
        <w:rPr>
          <w:rFonts w:ascii="Cambria" w:hAnsi="Cambria" w:cs="Calibri"/>
          <w:sz w:val="21"/>
          <w:szCs w:val="21"/>
        </w:rPr>
        <w:tab/>
        <w:t>0</w:t>
      </w:r>
    </w:p>
    <w:p w14:paraId="48A9E407" w14:textId="77777777" w:rsidR="008F179B" w:rsidRPr="00696058" w:rsidRDefault="008F179B" w:rsidP="008F179B">
      <w:pPr>
        <w:tabs>
          <w:tab w:val="right" w:pos="5954"/>
          <w:tab w:val="right" w:pos="7371"/>
          <w:tab w:val="right" w:pos="8789"/>
        </w:tabs>
        <w:spacing w:before="120" w:after="120" w:line="240" w:lineRule="auto"/>
        <w:contextualSpacing/>
        <w:rPr>
          <w:rFonts w:ascii="Cambria" w:hAnsi="Cambria" w:cs="Calibri"/>
          <w:sz w:val="21"/>
          <w:szCs w:val="21"/>
        </w:rPr>
      </w:pPr>
      <w:r w:rsidRPr="00696058">
        <w:rPr>
          <w:rFonts w:ascii="Cambria" w:hAnsi="Cambria" w:cs="Calibri"/>
          <w:sz w:val="21"/>
          <w:szCs w:val="21"/>
        </w:rPr>
        <w:t>Trading Income</w:t>
      </w:r>
      <w:r w:rsidRPr="00696058">
        <w:rPr>
          <w:rFonts w:ascii="Cambria" w:hAnsi="Cambria" w:cs="Calibri"/>
          <w:sz w:val="21"/>
          <w:szCs w:val="21"/>
        </w:rPr>
        <w:tab/>
        <w:t xml:space="preserve">      2,126,394 </w:t>
      </w:r>
      <w:r w:rsidRPr="00696058">
        <w:rPr>
          <w:rFonts w:ascii="Cambria" w:hAnsi="Cambria" w:cs="Calibri"/>
          <w:sz w:val="21"/>
          <w:szCs w:val="21"/>
        </w:rPr>
        <w:tab/>
        <w:t xml:space="preserve">   2,151,855 </w:t>
      </w:r>
      <w:r w:rsidRPr="00696058">
        <w:rPr>
          <w:rFonts w:ascii="Cambria" w:hAnsi="Cambria" w:cs="Calibri"/>
          <w:sz w:val="21"/>
          <w:szCs w:val="21"/>
        </w:rPr>
        <w:tab/>
        <w:t xml:space="preserve">       1,973,553 </w:t>
      </w:r>
    </w:p>
    <w:p w14:paraId="5660EFDE" w14:textId="65ED20E1" w:rsidR="00151EE3" w:rsidRDefault="008F179B" w:rsidP="00151EE3">
      <w:pPr>
        <w:tabs>
          <w:tab w:val="right" w:pos="5954"/>
          <w:tab w:val="right" w:pos="7371"/>
          <w:tab w:val="right" w:pos="8647"/>
        </w:tabs>
        <w:spacing w:before="120" w:after="120" w:line="240" w:lineRule="auto"/>
        <w:contextualSpacing/>
        <w:rPr>
          <w:rFonts w:ascii="Cambria" w:hAnsi="Cambria" w:cs="Calibri"/>
          <w:b/>
          <w:bCs/>
          <w:sz w:val="21"/>
          <w:szCs w:val="21"/>
        </w:rPr>
      </w:pPr>
      <w:r w:rsidRPr="00696058">
        <w:rPr>
          <w:rFonts w:ascii="Cambria" w:hAnsi="Cambria" w:cs="Calibri"/>
          <w:sz w:val="21"/>
          <w:szCs w:val="21"/>
        </w:rPr>
        <w:tab/>
      </w:r>
      <w:r w:rsidR="00151EE3">
        <w:rPr>
          <w:rFonts w:ascii="Cambria" w:hAnsi="Cambria" w:cs="Calibri"/>
          <w:b/>
          <w:bCs/>
          <w:sz w:val="21"/>
          <w:szCs w:val="21"/>
        </w:rPr>
        <w:t xml:space="preserve">      4,333,182 </w:t>
      </w:r>
      <w:r w:rsidR="00151EE3">
        <w:rPr>
          <w:rFonts w:ascii="Cambria" w:hAnsi="Cambria" w:cs="Calibri"/>
          <w:b/>
          <w:bCs/>
          <w:sz w:val="21"/>
          <w:szCs w:val="21"/>
        </w:rPr>
        <w:tab/>
        <w:t xml:space="preserve">        4,433,528 </w:t>
      </w:r>
      <w:r w:rsidRPr="00696058">
        <w:rPr>
          <w:rFonts w:ascii="Cambria" w:hAnsi="Cambria" w:cs="Calibri"/>
          <w:b/>
          <w:bCs/>
          <w:sz w:val="21"/>
          <w:szCs w:val="21"/>
        </w:rPr>
        <w:t xml:space="preserve">   </w:t>
      </w:r>
      <w:r w:rsidRPr="00151EE3">
        <w:rPr>
          <w:rFonts w:ascii="Cambria" w:hAnsi="Cambria" w:cs="Calibri"/>
          <w:b/>
          <w:bCs/>
          <w:sz w:val="29"/>
          <w:szCs w:val="21"/>
        </w:rPr>
        <w:t xml:space="preserve">  </w:t>
      </w:r>
      <w:r w:rsidRPr="00696058">
        <w:rPr>
          <w:rFonts w:ascii="Cambria" w:hAnsi="Cambria" w:cs="Calibri"/>
          <w:b/>
          <w:bCs/>
          <w:sz w:val="21"/>
          <w:szCs w:val="21"/>
        </w:rPr>
        <w:t xml:space="preserve"> 4,046,452</w:t>
      </w:r>
    </w:p>
    <w:p w14:paraId="1803BC42" w14:textId="6D4A4C60" w:rsidR="008F179B" w:rsidRPr="00696058" w:rsidRDefault="008F179B" w:rsidP="00151EE3">
      <w:pPr>
        <w:tabs>
          <w:tab w:val="right" w:pos="5954"/>
          <w:tab w:val="right" w:pos="7371"/>
          <w:tab w:val="right" w:pos="8647"/>
        </w:tabs>
        <w:spacing w:before="120" w:after="120" w:line="240" w:lineRule="auto"/>
        <w:contextualSpacing/>
        <w:rPr>
          <w:rFonts w:ascii="Cambria" w:hAnsi="Cambria"/>
          <w:sz w:val="21"/>
          <w:szCs w:val="21"/>
        </w:rPr>
      </w:pPr>
      <w:r w:rsidRPr="00696058">
        <w:rPr>
          <w:rFonts w:ascii="Cambria" w:hAnsi="Cambria" w:cs="Calibri"/>
          <w:b/>
          <w:bCs/>
          <w:sz w:val="21"/>
          <w:szCs w:val="21"/>
        </w:rPr>
        <w:t>Expenditure</w:t>
      </w:r>
      <w:r w:rsidRPr="00696058">
        <w:rPr>
          <w:rFonts w:ascii="Cambria" w:hAnsi="Cambria" w:cs="Calibri"/>
          <w:b/>
          <w:bCs/>
          <w:sz w:val="21"/>
          <w:szCs w:val="21"/>
        </w:rPr>
        <w:tab/>
      </w:r>
      <w:r w:rsidRPr="00696058">
        <w:rPr>
          <w:rFonts w:ascii="Cambria" w:hAnsi="Cambria" w:cs="Calibri"/>
          <w:b/>
          <w:bCs/>
          <w:sz w:val="21"/>
          <w:szCs w:val="21"/>
        </w:rPr>
        <w:tab/>
      </w:r>
      <w:r w:rsidRPr="00696058">
        <w:rPr>
          <w:rFonts w:ascii="Cambria" w:hAnsi="Cambria"/>
          <w:sz w:val="21"/>
          <w:szCs w:val="21"/>
        </w:rPr>
        <w:tab/>
      </w:r>
    </w:p>
    <w:p w14:paraId="6259DE5B" w14:textId="77777777" w:rsidR="008F179B" w:rsidRPr="00696058" w:rsidRDefault="008F179B" w:rsidP="008F179B">
      <w:pPr>
        <w:tabs>
          <w:tab w:val="right" w:pos="5954"/>
          <w:tab w:val="right" w:pos="7371"/>
          <w:tab w:val="right" w:pos="8789"/>
        </w:tabs>
        <w:spacing w:before="120" w:after="120" w:line="240" w:lineRule="auto"/>
        <w:contextualSpacing/>
        <w:rPr>
          <w:rFonts w:ascii="Cambria" w:hAnsi="Cambria" w:cs="Calibri"/>
          <w:sz w:val="21"/>
          <w:szCs w:val="21"/>
        </w:rPr>
      </w:pPr>
      <w:r w:rsidRPr="00696058">
        <w:rPr>
          <w:rFonts w:ascii="Cambria" w:hAnsi="Cambria" w:cs="Calibri"/>
          <w:sz w:val="21"/>
          <w:szCs w:val="21"/>
        </w:rPr>
        <w:t>Administration costs</w:t>
      </w:r>
      <w:r w:rsidRPr="00696058">
        <w:rPr>
          <w:rFonts w:ascii="Cambria" w:hAnsi="Cambria" w:cs="Calibri"/>
          <w:sz w:val="21"/>
          <w:szCs w:val="21"/>
        </w:rPr>
        <w:tab/>
        <w:t xml:space="preserve">         427,325 </w:t>
      </w:r>
      <w:r w:rsidRPr="00696058">
        <w:rPr>
          <w:rFonts w:ascii="Cambria" w:hAnsi="Cambria" w:cs="Calibri"/>
          <w:sz w:val="21"/>
          <w:szCs w:val="21"/>
        </w:rPr>
        <w:tab/>
        <w:t xml:space="preserve">      608,600 </w:t>
      </w:r>
      <w:r w:rsidRPr="00696058">
        <w:rPr>
          <w:rFonts w:ascii="Cambria" w:hAnsi="Cambria" w:cs="Calibri"/>
          <w:sz w:val="21"/>
          <w:szCs w:val="21"/>
        </w:rPr>
        <w:tab/>
        <w:t xml:space="preserve">           395,843 </w:t>
      </w:r>
    </w:p>
    <w:p w14:paraId="2CB4339C" w14:textId="77777777" w:rsidR="008F179B" w:rsidRPr="00696058" w:rsidRDefault="008F179B" w:rsidP="008F179B">
      <w:pPr>
        <w:tabs>
          <w:tab w:val="right" w:pos="5954"/>
          <w:tab w:val="right" w:pos="7371"/>
          <w:tab w:val="right" w:pos="8789"/>
        </w:tabs>
        <w:spacing w:before="120" w:after="120" w:line="240" w:lineRule="auto"/>
        <w:contextualSpacing/>
        <w:rPr>
          <w:rFonts w:ascii="Cambria" w:hAnsi="Cambria" w:cs="Calibri"/>
          <w:sz w:val="21"/>
          <w:szCs w:val="21"/>
        </w:rPr>
      </w:pPr>
      <w:r w:rsidRPr="00696058">
        <w:rPr>
          <w:rFonts w:ascii="Cambria" w:hAnsi="Cambria" w:cs="Calibri"/>
          <w:sz w:val="21"/>
          <w:szCs w:val="21"/>
        </w:rPr>
        <w:t>Asset Costs</w:t>
      </w:r>
      <w:r w:rsidRPr="00696058">
        <w:rPr>
          <w:rFonts w:ascii="Cambria" w:hAnsi="Cambria" w:cs="Calibri"/>
          <w:sz w:val="21"/>
          <w:szCs w:val="21"/>
        </w:rPr>
        <w:tab/>
        <w:t xml:space="preserve">         151,957 </w:t>
      </w:r>
      <w:r w:rsidRPr="00696058">
        <w:rPr>
          <w:rFonts w:ascii="Cambria" w:hAnsi="Cambria" w:cs="Calibri"/>
          <w:sz w:val="21"/>
          <w:szCs w:val="21"/>
        </w:rPr>
        <w:tab/>
        <w:t xml:space="preserve">      178,506 </w:t>
      </w:r>
      <w:r w:rsidRPr="00696058">
        <w:rPr>
          <w:rFonts w:ascii="Cambria" w:hAnsi="Cambria" w:cs="Calibri"/>
          <w:sz w:val="21"/>
          <w:szCs w:val="21"/>
        </w:rPr>
        <w:tab/>
        <w:t xml:space="preserve">           175,827 </w:t>
      </w:r>
    </w:p>
    <w:p w14:paraId="182CA664" w14:textId="77777777" w:rsidR="008F179B" w:rsidRPr="00696058" w:rsidRDefault="008F179B" w:rsidP="008F179B">
      <w:pPr>
        <w:tabs>
          <w:tab w:val="right" w:pos="5954"/>
          <w:tab w:val="right" w:pos="7371"/>
          <w:tab w:val="right" w:pos="8789"/>
        </w:tabs>
        <w:spacing w:before="120" w:after="120" w:line="240" w:lineRule="auto"/>
        <w:contextualSpacing/>
        <w:rPr>
          <w:rFonts w:ascii="Cambria" w:hAnsi="Cambria" w:cs="Calibri"/>
          <w:sz w:val="21"/>
          <w:szCs w:val="21"/>
        </w:rPr>
      </w:pPr>
      <w:r w:rsidRPr="00696058">
        <w:rPr>
          <w:rFonts w:ascii="Cambria" w:hAnsi="Cambria" w:cs="Calibri"/>
          <w:sz w:val="21"/>
          <w:szCs w:val="21"/>
        </w:rPr>
        <w:t>Employee Expenses</w:t>
      </w:r>
      <w:r w:rsidRPr="00696058">
        <w:rPr>
          <w:rFonts w:ascii="Cambria" w:hAnsi="Cambria" w:cs="Calibri"/>
          <w:sz w:val="21"/>
          <w:szCs w:val="21"/>
        </w:rPr>
        <w:tab/>
        <w:t xml:space="preserve">      2,609,235 </w:t>
      </w:r>
      <w:r w:rsidRPr="00696058">
        <w:rPr>
          <w:rFonts w:ascii="Cambria" w:hAnsi="Cambria" w:cs="Calibri"/>
          <w:sz w:val="21"/>
          <w:szCs w:val="21"/>
        </w:rPr>
        <w:tab/>
        <w:t xml:space="preserve">   2,644,568 </w:t>
      </w:r>
      <w:r w:rsidRPr="00696058">
        <w:rPr>
          <w:rFonts w:ascii="Cambria" w:hAnsi="Cambria" w:cs="Calibri"/>
          <w:sz w:val="21"/>
          <w:szCs w:val="21"/>
        </w:rPr>
        <w:tab/>
        <w:t xml:space="preserve">       3,026,912 </w:t>
      </w:r>
    </w:p>
    <w:p w14:paraId="03F7FF15" w14:textId="77777777" w:rsidR="008F179B" w:rsidRPr="00696058" w:rsidRDefault="008F179B" w:rsidP="008F179B">
      <w:pPr>
        <w:tabs>
          <w:tab w:val="right" w:pos="5954"/>
          <w:tab w:val="right" w:pos="7371"/>
          <w:tab w:val="right" w:pos="8789"/>
        </w:tabs>
        <w:spacing w:before="120" w:after="120" w:line="240" w:lineRule="auto"/>
        <w:contextualSpacing/>
        <w:rPr>
          <w:rFonts w:ascii="Cambria" w:hAnsi="Cambria" w:cs="Calibri"/>
          <w:sz w:val="21"/>
          <w:szCs w:val="21"/>
        </w:rPr>
      </w:pPr>
      <w:r w:rsidRPr="00696058">
        <w:rPr>
          <w:rFonts w:ascii="Cambria" w:hAnsi="Cambria" w:cs="Calibri"/>
          <w:sz w:val="21"/>
          <w:szCs w:val="21"/>
        </w:rPr>
        <w:t>Ministry Expenses</w:t>
      </w:r>
      <w:r w:rsidRPr="00696058">
        <w:rPr>
          <w:rFonts w:ascii="Cambria" w:hAnsi="Cambria" w:cs="Calibri"/>
          <w:sz w:val="21"/>
          <w:szCs w:val="21"/>
        </w:rPr>
        <w:tab/>
        <w:t xml:space="preserve">         913,625 </w:t>
      </w:r>
      <w:r w:rsidRPr="00696058">
        <w:rPr>
          <w:rFonts w:ascii="Cambria" w:hAnsi="Cambria" w:cs="Calibri"/>
          <w:sz w:val="21"/>
          <w:szCs w:val="21"/>
        </w:rPr>
        <w:tab/>
        <w:t xml:space="preserve">      849,771 </w:t>
      </w:r>
      <w:r w:rsidRPr="00696058">
        <w:rPr>
          <w:rFonts w:ascii="Cambria" w:hAnsi="Cambria" w:cs="Calibri"/>
          <w:sz w:val="21"/>
          <w:szCs w:val="21"/>
        </w:rPr>
        <w:tab/>
        <w:t xml:space="preserve">           909,983 </w:t>
      </w:r>
    </w:p>
    <w:p w14:paraId="5C01774F" w14:textId="4E11A194" w:rsidR="008F179B" w:rsidRPr="00696058" w:rsidRDefault="008F179B" w:rsidP="008F179B">
      <w:pPr>
        <w:tabs>
          <w:tab w:val="right" w:pos="5954"/>
          <w:tab w:val="right" w:pos="7371"/>
          <w:tab w:val="right" w:pos="8789"/>
        </w:tabs>
        <w:spacing w:before="120" w:after="120" w:line="240" w:lineRule="auto"/>
        <w:contextualSpacing/>
        <w:rPr>
          <w:rFonts w:ascii="Cambria" w:hAnsi="Cambria" w:cs="Calibri"/>
          <w:b/>
          <w:bCs/>
          <w:sz w:val="21"/>
          <w:szCs w:val="21"/>
        </w:rPr>
      </w:pPr>
      <w:r w:rsidRPr="00696058">
        <w:rPr>
          <w:rFonts w:ascii="Cambria" w:hAnsi="Cambria"/>
          <w:sz w:val="21"/>
          <w:szCs w:val="21"/>
        </w:rPr>
        <w:tab/>
      </w:r>
      <w:r w:rsidR="00151EE3">
        <w:rPr>
          <w:rFonts w:ascii="Cambria" w:hAnsi="Cambria" w:cs="Calibri"/>
          <w:b/>
          <w:bCs/>
          <w:sz w:val="21"/>
          <w:szCs w:val="21"/>
        </w:rPr>
        <w:t xml:space="preserve">      4,102,142 </w:t>
      </w:r>
      <w:r w:rsidR="00151EE3">
        <w:rPr>
          <w:rFonts w:ascii="Cambria" w:hAnsi="Cambria" w:cs="Calibri"/>
          <w:b/>
          <w:bCs/>
          <w:sz w:val="21"/>
          <w:szCs w:val="21"/>
        </w:rPr>
        <w:tab/>
        <w:t xml:space="preserve">         4,281,445 </w:t>
      </w:r>
      <w:r w:rsidRPr="00696058">
        <w:rPr>
          <w:rFonts w:ascii="Cambria" w:hAnsi="Cambria" w:cs="Calibri"/>
          <w:b/>
          <w:bCs/>
          <w:sz w:val="21"/>
          <w:szCs w:val="21"/>
        </w:rPr>
        <w:t xml:space="preserve"> </w:t>
      </w:r>
      <w:r w:rsidRPr="00151EE3">
        <w:rPr>
          <w:rFonts w:ascii="Cambria" w:hAnsi="Cambria" w:cs="Calibri"/>
          <w:b/>
          <w:bCs/>
          <w:sz w:val="29"/>
          <w:szCs w:val="21"/>
        </w:rPr>
        <w:t xml:space="preserve">  </w:t>
      </w:r>
      <w:r w:rsidRPr="00696058">
        <w:rPr>
          <w:rFonts w:ascii="Cambria" w:hAnsi="Cambria" w:cs="Calibri"/>
          <w:b/>
          <w:bCs/>
          <w:sz w:val="21"/>
          <w:szCs w:val="21"/>
        </w:rPr>
        <w:t xml:space="preserve">  4,508,565 </w:t>
      </w:r>
    </w:p>
    <w:p w14:paraId="3F4AF1C2" w14:textId="2BADC226" w:rsidR="008F179B" w:rsidRPr="00696058" w:rsidRDefault="008F179B" w:rsidP="008F179B">
      <w:pPr>
        <w:tabs>
          <w:tab w:val="right" w:pos="5954"/>
          <w:tab w:val="right" w:pos="7371"/>
          <w:tab w:val="right" w:pos="8789"/>
        </w:tabs>
        <w:spacing w:before="120" w:after="120" w:line="240" w:lineRule="auto"/>
        <w:contextualSpacing/>
        <w:rPr>
          <w:rFonts w:ascii="Cambria" w:hAnsi="Cambria" w:cs="Calibri"/>
          <w:b/>
          <w:bCs/>
          <w:sz w:val="21"/>
          <w:szCs w:val="21"/>
        </w:rPr>
      </w:pPr>
      <w:r w:rsidRPr="00696058">
        <w:rPr>
          <w:rFonts w:ascii="Cambria" w:hAnsi="Cambria" w:cs="Calibri"/>
          <w:b/>
          <w:bCs/>
          <w:sz w:val="21"/>
          <w:szCs w:val="21"/>
        </w:rPr>
        <w:t>Operating Surplus (Deficit) for the year</w:t>
      </w:r>
      <w:r w:rsidRPr="00696058">
        <w:rPr>
          <w:rFonts w:ascii="Cambria" w:hAnsi="Cambria" w:cs="Calibri"/>
          <w:b/>
          <w:bCs/>
          <w:sz w:val="21"/>
          <w:szCs w:val="21"/>
        </w:rPr>
        <w:tab/>
      </w:r>
      <w:r w:rsidR="00A60838">
        <w:rPr>
          <w:rFonts w:ascii="Cambria" w:hAnsi="Cambria" w:cs="Calibri"/>
          <w:b/>
          <w:bCs/>
          <w:sz w:val="21"/>
          <w:szCs w:val="21"/>
        </w:rPr>
        <w:t>$</w:t>
      </w:r>
      <w:r w:rsidRPr="00696058">
        <w:rPr>
          <w:rFonts w:ascii="Cambria" w:hAnsi="Cambria" w:cs="Calibri"/>
          <w:b/>
          <w:bCs/>
          <w:sz w:val="21"/>
          <w:szCs w:val="21"/>
        </w:rPr>
        <w:t>231,040</w:t>
      </w:r>
      <w:r w:rsidRPr="00696058">
        <w:rPr>
          <w:rFonts w:ascii="Cambria" w:hAnsi="Cambria" w:cs="Calibri"/>
          <w:b/>
          <w:bCs/>
          <w:sz w:val="21"/>
          <w:szCs w:val="21"/>
        </w:rPr>
        <w:tab/>
      </w:r>
      <w:r w:rsidR="00A60838">
        <w:rPr>
          <w:rFonts w:ascii="Cambria" w:hAnsi="Cambria" w:cs="Calibri"/>
          <w:b/>
          <w:bCs/>
          <w:sz w:val="21"/>
          <w:szCs w:val="21"/>
        </w:rPr>
        <w:t>$</w:t>
      </w:r>
      <w:r w:rsidRPr="00696058">
        <w:rPr>
          <w:rFonts w:ascii="Cambria" w:hAnsi="Cambria" w:cs="Calibri"/>
          <w:b/>
          <w:bCs/>
          <w:sz w:val="21"/>
          <w:szCs w:val="21"/>
        </w:rPr>
        <w:t>152,083</w:t>
      </w:r>
      <w:r w:rsidRPr="00696058">
        <w:rPr>
          <w:rFonts w:ascii="Cambria" w:hAnsi="Cambria" w:cs="Calibri"/>
          <w:b/>
          <w:bCs/>
          <w:sz w:val="21"/>
          <w:szCs w:val="21"/>
        </w:rPr>
        <w:tab/>
      </w:r>
      <w:r w:rsidR="00A60838">
        <w:rPr>
          <w:rFonts w:ascii="Cambria" w:hAnsi="Cambria" w:cs="Calibri"/>
          <w:b/>
          <w:bCs/>
          <w:sz w:val="21"/>
          <w:szCs w:val="21"/>
        </w:rPr>
        <w:t>$</w:t>
      </w:r>
      <w:r w:rsidRPr="00696058">
        <w:rPr>
          <w:rFonts w:ascii="Cambria" w:hAnsi="Cambria" w:cs="Calibri"/>
          <w:b/>
          <w:bCs/>
          <w:sz w:val="21"/>
          <w:szCs w:val="21"/>
        </w:rPr>
        <w:t>(462,113)</w:t>
      </w:r>
    </w:p>
    <w:p w14:paraId="7DC67B9D" w14:textId="39297412" w:rsidR="00CE0DB0" w:rsidRPr="00696058" w:rsidRDefault="00CE0DB0" w:rsidP="00CE0DB0">
      <w:pPr>
        <w:pStyle w:val="NoSpacing"/>
        <w:rPr>
          <w:sz w:val="21"/>
          <w:szCs w:val="21"/>
        </w:rPr>
      </w:pPr>
    </w:p>
    <w:p w14:paraId="599B654F" w14:textId="5C662F76" w:rsidR="00934A96" w:rsidRPr="00696058" w:rsidRDefault="00934A96" w:rsidP="00766B14">
      <w:pPr>
        <w:pStyle w:val="NoSpacing"/>
        <w:rPr>
          <w:b/>
          <w:sz w:val="21"/>
          <w:szCs w:val="21"/>
        </w:rPr>
      </w:pPr>
      <w:r w:rsidRPr="00696058">
        <w:rPr>
          <w:b/>
          <w:sz w:val="21"/>
          <w:szCs w:val="21"/>
        </w:rPr>
        <w:t>BALANCE SHEET</w:t>
      </w:r>
    </w:p>
    <w:p w14:paraId="401B6B50" w14:textId="77777777" w:rsidR="00FF7E8B" w:rsidRPr="00696058" w:rsidRDefault="00FF7E8B" w:rsidP="00FF7E8B">
      <w:pPr>
        <w:tabs>
          <w:tab w:val="right" w:pos="5954"/>
          <w:tab w:val="right" w:pos="7371"/>
          <w:tab w:val="right" w:pos="8789"/>
        </w:tabs>
        <w:spacing w:after="0" w:line="240" w:lineRule="auto"/>
        <w:contextualSpacing/>
        <w:rPr>
          <w:rFonts w:ascii="Cambria" w:hAnsi="Cambria" w:cs="Calibri"/>
          <w:b/>
          <w:bCs/>
          <w:sz w:val="21"/>
          <w:szCs w:val="21"/>
        </w:rPr>
      </w:pPr>
      <w:r w:rsidRPr="00696058">
        <w:rPr>
          <w:rStyle w:val="NoSpacingChar"/>
          <w:b/>
          <w:sz w:val="21"/>
          <w:szCs w:val="21"/>
        </w:rPr>
        <w:t>FOR THE PERIODS ENDING 31 DECEMBER</w:t>
      </w:r>
      <w:r w:rsidRPr="00696058">
        <w:rPr>
          <w:rStyle w:val="NoSpacingChar"/>
          <w:b/>
          <w:sz w:val="21"/>
          <w:szCs w:val="21"/>
        </w:rPr>
        <w:br/>
      </w:r>
      <w:r w:rsidR="008F179B" w:rsidRPr="00696058">
        <w:rPr>
          <w:rFonts w:ascii="Cambria" w:hAnsi="Cambria" w:cs="Calibri"/>
          <w:b/>
          <w:bCs/>
          <w:sz w:val="21"/>
          <w:szCs w:val="21"/>
        </w:rPr>
        <w:t xml:space="preserve"> </w:t>
      </w:r>
    </w:p>
    <w:p w14:paraId="1AA4E7EF" w14:textId="7F10BC79" w:rsidR="008F179B" w:rsidRPr="00696058" w:rsidRDefault="008F179B" w:rsidP="00FF7E8B">
      <w:pPr>
        <w:tabs>
          <w:tab w:val="right" w:pos="5954"/>
          <w:tab w:val="right" w:pos="7371"/>
          <w:tab w:val="right" w:pos="8789"/>
        </w:tabs>
        <w:spacing w:after="0" w:line="240" w:lineRule="auto"/>
        <w:contextualSpacing/>
        <w:rPr>
          <w:rFonts w:ascii="Cambria" w:hAnsi="Cambria" w:cs="Arial"/>
          <w:b/>
          <w:bCs/>
          <w:sz w:val="21"/>
          <w:szCs w:val="21"/>
        </w:rPr>
      </w:pPr>
      <w:r w:rsidRPr="00696058">
        <w:rPr>
          <w:rFonts w:ascii="Cambria" w:hAnsi="Cambria" w:cs="Calibri"/>
          <w:b/>
          <w:bCs/>
          <w:sz w:val="21"/>
          <w:szCs w:val="21"/>
        </w:rPr>
        <w:t>Current Assets</w:t>
      </w:r>
      <w:r w:rsidRPr="00696058">
        <w:rPr>
          <w:rFonts w:ascii="Cambria" w:hAnsi="Cambria"/>
          <w:sz w:val="21"/>
          <w:szCs w:val="21"/>
        </w:rPr>
        <w:tab/>
      </w:r>
      <w:r w:rsidRPr="00696058">
        <w:rPr>
          <w:rFonts w:ascii="Cambria" w:hAnsi="Cambria" w:cs="Arial"/>
          <w:b/>
          <w:bCs/>
          <w:sz w:val="21"/>
          <w:szCs w:val="21"/>
        </w:rPr>
        <w:t>2017</w:t>
      </w:r>
      <w:r w:rsidRPr="00696058">
        <w:rPr>
          <w:rFonts w:ascii="Cambria" w:hAnsi="Cambria" w:cs="Arial"/>
          <w:b/>
          <w:bCs/>
          <w:sz w:val="21"/>
          <w:szCs w:val="21"/>
        </w:rPr>
        <w:tab/>
        <w:t>2016</w:t>
      </w:r>
      <w:r w:rsidRPr="00696058">
        <w:rPr>
          <w:rFonts w:ascii="Cambria" w:hAnsi="Cambria" w:cs="Arial"/>
          <w:b/>
          <w:bCs/>
          <w:sz w:val="21"/>
          <w:szCs w:val="21"/>
        </w:rPr>
        <w:tab/>
        <w:t>2015</w:t>
      </w:r>
    </w:p>
    <w:p w14:paraId="43627751" w14:textId="77777777" w:rsidR="008F179B" w:rsidRPr="00696058" w:rsidRDefault="008F179B" w:rsidP="008F179B">
      <w:pPr>
        <w:tabs>
          <w:tab w:val="right" w:pos="5954"/>
          <w:tab w:val="right" w:pos="7371"/>
          <w:tab w:val="right" w:pos="8789"/>
        </w:tabs>
        <w:spacing w:before="120" w:after="120" w:line="240" w:lineRule="auto"/>
        <w:contextualSpacing/>
        <w:rPr>
          <w:rFonts w:ascii="Cambria" w:hAnsi="Cambria" w:cs="Calibri"/>
          <w:sz w:val="21"/>
          <w:szCs w:val="21"/>
        </w:rPr>
      </w:pPr>
      <w:r w:rsidRPr="00696058">
        <w:rPr>
          <w:rFonts w:ascii="Cambria" w:hAnsi="Cambria" w:cs="Calibri"/>
          <w:sz w:val="21"/>
          <w:szCs w:val="21"/>
        </w:rPr>
        <w:t>Cash and Cash Equivalents</w:t>
      </w:r>
      <w:r w:rsidRPr="00696058">
        <w:rPr>
          <w:rFonts w:ascii="Cambria" w:hAnsi="Cambria" w:cs="Calibri"/>
          <w:sz w:val="21"/>
          <w:szCs w:val="21"/>
        </w:rPr>
        <w:tab/>
        <w:t xml:space="preserve">      1,775,494 </w:t>
      </w:r>
      <w:r w:rsidRPr="00696058">
        <w:rPr>
          <w:rFonts w:ascii="Cambria" w:hAnsi="Cambria" w:cs="Calibri"/>
          <w:sz w:val="21"/>
          <w:szCs w:val="21"/>
        </w:rPr>
        <w:tab/>
        <w:t xml:space="preserve">   1,546,150 </w:t>
      </w:r>
      <w:r w:rsidRPr="00696058">
        <w:rPr>
          <w:rFonts w:ascii="Cambria" w:hAnsi="Cambria" w:cs="Calibri"/>
          <w:sz w:val="21"/>
          <w:szCs w:val="21"/>
        </w:rPr>
        <w:tab/>
        <w:t xml:space="preserve">       1,462,088 </w:t>
      </w:r>
    </w:p>
    <w:p w14:paraId="338840CF" w14:textId="77777777" w:rsidR="008F179B" w:rsidRPr="00696058" w:rsidRDefault="008F179B" w:rsidP="008F179B">
      <w:pPr>
        <w:tabs>
          <w:tab w:val="right" w:pos="5954"/>
          <w:tab w:val="right" w:pos="7371"/>
          <w:tab w:val="right" w:pos="8789"/>
        </w:tabs>
        <w:spacing w:before="120" w:after="120" w:line="240" w:lineRule="auto"/>
        <w:contextualSpacing/>
        <w:rPr>
          <w:rFonts w:ascii="Cambria" w:hAnsi="Cambria" w:cs="Calibri"/>
          <w:sz w:val="21"/>
          <w:szCs w:val="21"/>
        </w:rPr>
      </w:pPr>
      <w:r w:rsidRPr="00696058">
        <w:rPr>
          <w:rFonts w:ascii="Cambria" w:hAnsi="Cambria" w:cs="Calibri"/>
          <w:sz w:val="21"/>
          <w:szCs w:val="21"/>
        </w:rPr>
        <w:t>Trade and other receivables</w:t>
      </w:r>
      <w:r w:rsidRPr="00696058">
        <w:rPr>
          <w:rFonts w:ascii="Cambria" w:hAnsi="Cambria" w:cs="Calibri"/>
          <w:sz w:val="21"/>
          <w:szCs w:val="21"/>
        </w:rPr>
        <w:tab/>
        <w:t xml:space="preserve">            37,231 </w:t>
      </w:r>
      <w:r w:rsidRPr="00696058">
        <w:rPr>
          <w:rFonts w:ascii="Cambria" w:hAnsi="Cambria" w:cs="Calibri"/>
          <w:sz w:val="21"/>
          <w:szCs w:val="21"/>
        </w:rPr>
        <w:tab/>
        <w:t xml:space="preserve">        51,633 </w:t>
      </w:r>
      <w:r w:rsidRPr="00696058">
        <w:rPr>
          <w:rFonts w:ascii="Cambria" w:hAnsi="Cambria" w:cs="Calibri"/>
          <w:sz w:val="21"/>
          <w:szCs w:val="21"/>
        </w:rPr>
        <w:tab/>
        <w:t xml:space="preserve">             75,033 </w:t>
      </w:r>
    </w:p>
    <w:p w14:paraId="0D2B0BA3" w14:textId="77777777" w:rsidR="008F179B" w:rsidRPr="00696058" w:rsidRDefault="008F179B" w:rsidP="008F179B">
      <w:pPr>
        <w:tabs>
          <w:tab w:val="right" w:pos="5954"/>
          <w:tab w:val="right" w:pos="7371"/>
          <w:tab w:val="right" w:pos="8789"/>
        </w:tabs>
        <w:spacing w:before="120" w:after="120" w:line="240" w:lineRule="auto"/>
        <w:contextualSpacing/>
        <w:rPr>
          <w:rFonts w:ascii="Cambria" w:hAnsi="Cambria" w:cs="Calibri"/>
          <w:sz w:val="21"/>
          <w:szCs w:val="21"/>
        </w:rPr>
      </w:pPr>
      <w:r w:rsidRPr="00696058">
        <w:rPr>
          <w:rFonts w:ascii="Cambria" w:hAnsi="Cambria" w:cs="Calibri"/>
          <w:sz w:val="21"/>
          <w:szCs w:val="21"/>
        </w:rPr>
        <w:t>Other assets</w:t>
      </w:r>
      <w:r w:rsidRPr="00696058">
        <w:rPr>
          <w:rFonts w:ascii="Cambria" w:hAnsi="Cambria" w:cs="Calibri"/>
          <w:sz w:val="21"/>
          <w:szCs w:val="21"/>
        </w:rPr>
        <w:tab/>
        <w:t xml:space="preserve">         166,341 </w:t>
      </w:r>
      <w:r w:rsidRPr="00696058">
        <w:rPr>
          <w:rFonts w:ascii="Cambria" w:hAnsi="Cambria" w:cs="Calibri"/>
          <w:sz w:val="21"/>
          <w:szCs w:val="21"/>
        </w:rPr>
        <w:tab/>
        <w:t xml:space="preserve">        53,206 </w:t>
      </w:r>
      <w:r w:rsidRPr="00696058">
        <w:rPr>
          <w:rFonts w:ascii="Cambria" w:hAnsi="Cambria" w:cs="Calibri"/>
          <w:sz w:val="21"/>
          <w:szCs w:val="21"/>
        </w:rPr>
        <w:tab/>
        <w:t xml:space="preserve">             61,951 </w:t>
      </w:r>
    </w:p>
    <w:p w14:paraId="476A15CD" w14:textId="689D22FE" w:rsidR="008F179B" w:rsidRPr="00696058" w:rsidRDefault="008F179B" w:rsidP="008F179B">
      <w:pPr>
        <w:tabs>
          <w:tab w:val="right" w:pos="5954"/>
          <w:tab w:val="right" w:pos="7371"/>
          <w:tab w:val="right" w:pos="8789"/>
        </w:tabs>
        <w:spacing w:before="120" w:after="120" w:line="240" w:lineRule="auto"/>
        <w:contextualSpacing/>
        <w:rPr>
          <w:rFonts w:ascii="Cambria" w:hAnsi="Cambria" w:cs="Calibri"/>
          <w:b/>
          <w:bCs/>
          <w:sz w:val="21"/>
          <w:szCs w:val="21"/>
        </w:rPr>
      </w:pPr>
      <w:r w:rsidRPr="00696058">
        <w:rPr>
          <w:rFonts w:ascii="Cambria" w:hAnsi="Cambria" w:cs="Calibri"/>
          <w:b/>
          <w:bCs/>
          <w:sz w:val="21"/>
          <w:szCs w:val="21"/>
        </w:rPr>
        <w:t>Total Current Assets</w:t>
      </w:r>
      <w:r w:rsidR="00151EE3">
        <w:rPr>
          <w:rFonts w:ascii="Cambria" w:hAnsi="Cambria" w:cs="Calibri"/>
          <w:b/>
          <w:bCs/>
          <w:sz w:val="21"/>
          <w:szCs w:val="21"/>
        </w:rPr>
        <w:tab/>
        <w:t xml:space="preserve">      1,979,066 </w:t>
      </w:r>
      <w:r w:rsidR="00151EE3">
        <w:rPr>
          <w:rFonts w:ascii="Cambria" w:hAnsi="Cambria" w:cs="Calibri"/>
          <w:b/>
          <w:bCs/>
          <w:sz w:val="21"/>
          <w:szCs w:val="21"/>
        </w:rPr>
        <w:tab/>
        <w:t xml:space="preserve">         1,650,989 </w:t>
      </w:r>
      <w:r w:rsidRPr="00696058">
        <w:rPr>
          <w:rFonts w:ascii="Cambria" w:hAnsi="Cambria" w:cs="Calibri"/>
          <w:b/>
          <w:bCs/>
          <w:sz w:val="21"/>
          <w:szCs w:val="21"/>
        </w:rPr>
        <w:t xml:space="preserve">  </w:t>
      </w:r>
      <w:r w:rsidRPr="00151EE3">
        <w:rPr>
          <w:rFonts w:ascii="Cambria" w:hAnsi="Cambria" w:cs="Calibri"/>
          <w:b/>
          <w:bCs/>
          <w:sz w:val="29"/>
          <w:szCs w:val="21"/>
        </w:rPr>
        <w:t xml:space="preserve">  </w:t>
      </w:r>
      <w:r w:rsidRPr="00696058">
        <w:rPr>
          <w:rFonts w:ascii="Cambria" w:hAnsi="Cambria" w:cs="Calibri"/>
          <w:b/>
          <w:bCs/>
          <w:sz w:val="21"/>
          <w:szCs w:val="21"/>
        </w:rPr>
        <w:t xml:space="preserve"> 1,599,072 </w:t>
      </w:r>
    </w:p>
    <w:p w14:paraId="4BD32C0B" w14:textId="77777777" w:rsidR="008F179B" w:rsidRPr="00696058" w:rsidRDefault="008F179B" w:rsidP="008F179B">
      <w:pPr>
        <w:tabs>
          <w:tab w:val="right" w:pos="5954"/>
          <w:tab w:val="right" w:pos="7371"/>
          <w:tab w:val="right" w:pos="8789"/>
        </w:tabs>
        <w:spacing w:before="120" w:after="120" w:line="240" w:lineRule="auto"/>
        <w:contextualSpacing/>
        <w:rPr>
          <w:rFonts w:ascii="Cambria" w:hAnsi="Cambria"/>
          <w:sz w:val="21"/>
          <w:szCs w:val="21"/>
        </w:rPr>
      </w:pPr>
      <w:r w:rsidRPr="00696058">
        <w:rPr>
          <w:rFonts w:ascii="Cambria" w:hAnsi="Cambria" w:cs="Calibri"/>
          <w:b/>
          <w:bCs/>
          <w:sz w:val="21"/>
          <w:szCs w:val="21"/>
        </w:rPr>
        <w:t>Non Current Assets</w:t>
      </w:r>
      <w:r w:rsidRPr="00696058">
        <w:rPr>
          <w:rFonts w:ascii="Cambria" w:hAnsi="Cambria" w:cs="Calibri"/>
          <w:b/>
          <w:bCs/>
          <w:sz w:val="21"/>
          <w:szCs w:val="21"/>
        </w:rPr>
        <w:tab/>
      </w:r>
      <w:r w:rsidRPr="00696058">
        <w:rPr>
          <w:rFonts w:ascii="Cambria" w:hAnsi="Cambria" w:cs="Calibri"/>
          <w:b/>
          <w:bCs/>
          <w:sz w:val="21"/>
          <w:szCs w:val="21"/>
        </w:rPr>
        <w:tab/>
      </w:r>
      <w:r w:rsidRPr="00696058">
        <w:rPr>
          <w:rFonts w:ascii="Cambria" w:hAnsi="Cambria"/>
          <w:sz w:val="21"/>
          <w:szCs w:val="21"/>
        </w:rPr>
        <w:tab/>
      </w:r>
    </w:p>
    <w:p w14:paraId="7F4D8247" w14:textId="77777777" w:rsidR="008F179B" w:rsidRPr="00696058" w:rsidRDefault="008F179B" w:rsidP="008F179B">
      <w:pPr>
        <w:tabs>
          <w:tab w:val="right" w:pos="5954"/>
          <w:tab w:val="right" w:pos="7371"/>
          <w:tab w:val="right" w:pos="8789"/>
        </w:tabs>
        <w:spacing w:before="120" w:after="120" w:line="240" w:lineRule="auto"/>
        <w:contextualSpacing/>
        <w:rPr>
          <w:rFonts w:ascii="Cambria" w:hAnsi="Cambria" w:cs="Calibri"/>
          <w:sz w:val="21"/>
          <w:szCs w:val="21"/>
        </w:rPr>
      </w:pPr>
      <w:r w:rsidRPr="00696058">
        <w:rPr>
          <w:rFonts w:ascii="Cambria" w:hAnsi="Cambria" w:cs="Calibri"/>
          <w:sz w:val="21"/>
          <w:szCs w:val="21"/>
        </w:rPr>
        <w:t>Plant and Equipment</w:t>
      </w:r>
      <w:r w:rsidRPr="00696058">
        <w:rPr>
          <w:rFonts w:ascii="Cambria" w:hAnsi="Cambria" w:cs="Calibri"/>
          <w:sz w:val="21"/>
          <w:szCs w:val="21"/>
        </w:rPr>
        <w:tab/>
        <w:t xml:space="preserve">         638,730 </w:t>
      </w:r>
      <w:r w:rsidRPr="00696058">
        <w:rPr>
          <w:rFonts w:ascii="Cambria" w:hAnsi="Cambria" w:cs="Calibri"/>
          <w:sz w:val="21"/>
          <w:szCs w:val="21"/>
        </w:rPr>
        <w:tab/>
        <w:t xml:space="preserve">      710,703 </w:t>
      </w:r>
      <w:r w:rsidRPr="00696058">
        <w:rPr>
          <w:rFonts w:ascii="Cambria" w:hAnsi="Cambria" w:cs="Calibri"/>
          <w:sz w:val="21"/>
          <w:szCs w:val="21"/>
        </w:rPr>
        <w:tab/>
        <w:t xml:space="preserve">           786,170 </w:t>
      </w:r>
    </w:p>
    <w:p w14:paraId="5B8BC74A" w14:textId="68AAFF1C" w:rsidR="008F179B" w:rsidRPr="00696058" w:rsidRDefault="008F179B" w:rsidP="008F179B">
      <w:pPr>
        <w:tabs>
          <w:tab w:val="right" w:pos="5954"/>
          <w:tab w:val="right" w:pos="7371"/>
          <w:tab w:val="right" w:pos="8789"/>
        </w:tabs>
        <w:spacing w:before="120" w:after="120" w:line="240" w:lineRule="auto"/>
        <w:contextualSpacing/>
        <w:rPr>
          <w:rFonts w:ascii="Cambria" w:hAnsi="Cambria" w:cs="Calibri"/>
          <w:b/>
          <w:bCs/>
          <w:sz w:val="21"/>
          <w:szCs w:val="21"/>
        </w:rPr>
      </w:pPr>
      <w:r w:rsidRPr="00696058">
        <w:rPr>
          <w:rFonts w:ascii="Cambria" w:hAnsi="Cambria" w:cs="Calibri"/>
          <w:b/>
          <w:bCs/>
          <w:sz w:val="21"/>
          <w:szCs w:val="21"/>
        </w:rPr>
        <w:t>Total Non Current Assets</w:t>
      </w:r>
      <w:r w:rsidRPr="00696058">
        <w:rPr>
          <w:rFonts w:ascii="Cambria" w:hAnsi="Cambria" w:cs="Calibri"/>
          <w:b/>
          <w:bCs/>
          <w:sz w:val="21"/>
          <w:szCs w:val="21"/>
        </w:rPr>
        <w:tab/>
        <w:t xml:space="preserve"> </w:t>
      </w:r>
      <w:r w:rsidR="00151EE3">
        <w:rPr>
          <w:rFonts w:ascii="Cambria" w:hAnsi="Cambria" w:cs="Calibri"/>
          <w:b/>
          <w:bCs/>
          <w:sz w:val="21"/>
          <w:szCs w:val="21"/>
        </w:rPr>
        <w:t xml:space="preserve">        638,730 </w:t>
      </w:r>
      <w:r w:rsidR="00151EE3">
        <w:rPr>
          <w:rFonts w:ascii="Cambria" w:hAnsi="Cambria" w:cs="Calibri"/>
          <w:b/>
          <w:bCs/>
          <w:sz w:val="21"/>
          <w:szCs w:val="21"/>
        </w:rPr>
        <w:tab/>
        <w:t xml:space="preserve">             710,703 </w:t>
      </w:r>
      <w:r w:rsidRPr="00696058">
        <w:rPr>
          <w:rFonts w:ascii="Cambria" w:hAnsi="Cambria" w:cs="Calibri"/>
          <w:b/>
          <w:bCs/>
          <w:sz w:val="21"/>
          <w:szCs w:val="21"/>
        </w:rPr>
        <w:t xml:space="preserve">    </w:t>
      </w:r>
      <w:r w:rsidRPr="00151EE3">
        <w:rPr>
          <w:rFonts w:ascii="Cambria" w:hAnsi="Cambria" w:cs="Calibri"/>
          <w:b/>
          <w:bCs/>
          <w:sz w:val="15"/>
          <w:szCs w:val="21"/>
        </w:rPr>
        <w:t xml:space="preserve">   </w:t>
      </w:r>
      <w:r w:rsidRPr="00696058">
        <w:rPr>
          <w:rFonts w:ascii="Cambria" w:hAnsi="Cambria" w:cs="Calibri"/>
          <w:b/>
          <w:bCs/>
          <w:sz w:val="21"/>
          <w:szCs w:val="21"/>
        </w:rPr>
        <w:t xml:space="preserve">   786,170 </w:t>
      </w:r>
    </w:p>
    <w:p w14:paraId="1C69587F" w14:textId="43EAB88A" w:rsidR="008F179B" w:rsidRPr="00696058" w:rsidRDefault="008F179B" w:rsidP="008F179B">
      <w:pPr>
        <w:tabs>
          <w:tab w:val="right" w:pos="5954"/>
          <w:tab w:val="right" w:pos="7371"/>
          <w:tab w:val="right" w:pos="8789"/>
        </w:tabs>
        <w:spacing w:before="120" w:after="120" w:line="240" w:lineRule="auto"/>
        <w:contextualSpacing/>
        <w:rPr>
          <w:rFonts w:ascii="Cambria" w:hAnsi="Cambria" w:cs="Calibri"/>
          <w:b/>
          <w:bCs/>
          <w:sz w:val="21"/>
          <w:szCs w:val="21"/>
        </w:rPr>
      </w:pPr>
      <w:r w:rsidRPr="00696058">
        <w:rPr>
          <w:rFonts w:ascii="Cambria" w:hAnsi="Cambria" w:cs="Calibri"/>
          <w:b/>
          <w:bCs/>
          <w:sz w:val="21"/>
          <w:szCs w:val="21"/>
        </w:rPr>
        <w:t>Total Assets</w:t>
      </w:r>
      <w:r w:rsidR="00151EE3">
        <w:rPr>
          <w:rFonts w:ascii="Cambria" w:hAnsi="Cambria" w:cs="Calibri"/>
          <w:b/>
          <w:bCs/>
          <w:sz w:val="21"/>
          <w:szCs w:val="21"/>
        </w:rPr>
        <w:tab/>
        <w:t xml:space="preserve">      2,617,796 </w:t>
      </w:r>
      <w:r w:rsidR="00151EE3">
        <w:rPr>
          <w:rFonts w:ascii="Cambria" w:hAnsi="Cambria" w:cs="Calibri"/>
          <w:b/>
          <w:bCs/>
          <w:sz w:val="21"/>
          <w:szCs w:val="21"/>
        </w:rPr>
        <w:tab/>
        <w:t xml:space="preserve">         2,361,692 </w:t>
      </w:r>
      <w:r w:rsidRPr="00696058">
        <w:rPr>
          <w:rFonts w:ascii="Cambria" w:hAnsi="Cambria" w:cs="Calibri"/>
          <w:b/>
          <w:bCs/>
          <w:sz w:val="21"/>
          <w:szCs w:val="21"/>
        </w:rPr>
        <w:t xml:space="preserve">   </w:t>
      </w:r>
      <w:r w:rsidRPr="00151EE3">
        <w:rPr>
          <w:rFonts w:ascii="Cambria" w:hAnsi="Cambria" w:cs="Calibri"/>
          <w:b/>
          <w:bCs/>
          <w:sz w:val="13"/>
          <w:szCs w:val="21"/>
        </w:rPr>
        <w:t xml:space="preserve">    </w:t>
      </w:r>
      <w:r w:rsidRPr="00696058">
        <w:rPr>
          <w:rFonts w:ascii="Cambria" w:hAnsi="Cambria" w:cs="Calibri"/>
          <w:b/>
          <w:bCs/>
          <w:sz w:val="21"/>
          <w:szCs w:val="21"/>
        </w:rPr>
        <w:t xml:space="preserve">2,385,242 </w:t>
      </w:r>
    </w:p>
    <w:p w14:paraId="1074C839" w14:textId="77777777" w:rsidR="008F179B" w:rsidRPr="00696058" w:rsidRDefault="008F179B" w:rsidP="008F179B">
      <w:pPr>
        <w:tabs>
          <w:tab w:val="right" w:pos="5954"/>
          <w:tab w:val="right" w:pos="7371"/>
          <w:tab w:val="right" w:pos="8789"/>
        </w:tabs>
        <w:spacing w:before="120" w:after="120" w:line="240" w:lineRule="auto"/>
        <w:contextualSpacing/>
        <w:rPr>
          <w:rFonts w:ascii="Cambria" w:hAnsi="Cambria"/>
          <w:sz w:val="21"/>
          <w:szCs w:val="21"/>
        </w:rPr>
      </w:pPr>
      <w:r w:rsidRPr="00696058">
        <w:rPr>
          <w:rFonts w:ascii="Cambria" w:hAnsi="Cambria" w:cs="Calibri"/>
          <w:b/>
          <w:bCs/>
          <w:sz w:val="21"/>
          <w:szCs w:val="21"/>
        </w:rPr>
        <w:t>Current Liabilities</w:t>
      </w:r>
      <w:r w:rsidRPr="00696058">
        <w:rPr>
          <w:rFonts w:ascii="Cambria" w:hAnsi="Cambria" w:cs="Calibri"/>
          <w:b/>
          <w:bCs/>
          <w:sz w:val="21"/>
          <w:szCs w:val="21"/>
        </w:rPr>
        <w:tab/>
      </w:r>
      <w:r w:rsidRPr="00696058">
        <w:rPr>
          <w:rFonts w:ascii="Cambria" w:hAnsi="Cambria" w:cs="Calibri"/>
          <w:b/>
          <w:bCs/>
          <w:sz w:val="21"/>
          <w:szCs w:val="21"/>
        </w:rPr>
        <w:tab/>
      </w:r>
      <w:r w:rsidRPr="00696058">
        <w:rPr>
          <w:rFonts w:ascii="Cambria" w:hAnsi="Cambria"/>
          <w:sz w:val="21"/>
          <w:szCs w:val="21"/>
        </w:rPr>
        <w:tab/>
      </w:r>
    </w:p>
    <w:p w14:paraId="6B31DC24" w14:textId="77777777" w:rsidR="008F179B" w:rsidRPr="00696058" w:rsidRDefault="008F179B" w:rsidP="008F179B">
      <w:pPr>
        <w:tabs>
          <w:tab w:val="right" w:pos="5954"/>
          <w:tab w:val="right" w:pos="7371"/>
          <w:tab w:val="right" w:pos="8789"/>
        </w:tabs>
        <w:spacing w:before="120" w:after="120" w:line="240" w:lineRule="auto"/>
        <w:contextualSpacing/>
        <w:rPr>
          <w:rFonts w:ascii="Cambria" w:hAnsi="Cambria" w:cs="Calibri"/>
          <w:sz w:val="21"/>
          <w:szCs w:val="21"/>
        </w:rPr>
      </w:pPr>
      <w:r w:rsidRPr="00696058">
        <w:rPr>
          <w:rFonts w:ascii="Cambria" w:hAnsi="Cambria" w:cs="Calibri"/>
          <w:sz w:val="21"/>
          <w:szCs w:val="21"/>
        </w:rPr>
        <w:t>Trade and Other Payables</w:t>
      </w:r>
      <w:r w:rsidRPr="00696058">
        <w:rPr>
          <w:rFonts w:ascii="Cambria" w:hAnsi="Cambria" w:cs="Calibri"/>
          <w:sz w:val="21"/>
          <w:szCs w:val="21"/>
        </w:rPr>
        <w:tab/>
        <w:t xml:space="preserve">         204,902 </w:t>
      </w:r>
      <w:r w:rsidRPr="00696058">
        <w:rPr>
          <w:rFonts w:ascii="Cambria" w:hAnsi="Cambria" w:cs="Calibri"/>
          <w:sz w:val="21"/>
          <w:szCs w:val="21"/>
        </w:rPr>
        <w:tab/>
        <w:t xml:space="preserve">      200,658 </w:t>
      </w:r>
      <w:r w:rsidRPr="00696058">
        <w:rPr>
          <w:rFonts w:ascii="Cambria" w:hAnsi="Cambria" w:cs="Calibri"/>
          <w:sz w:val="21"/>
          <w:szCs w:val="21"/>
        </w:rPr>
        <w:tab/>
        <w:t xml:space="preserve">           370,091 </w:t>
      </w:r>
    </w:p>
    <w:p w14:paraId="72D73C13" w14:textId="77777777" w:rsidR="008F179B" w:rsidRPr="00696058" w:rsidRDefault="008F179B" w:rsidP="008F179B">
      <w:pPr>
        <w:tabs>
          <w:tab w:val="right" w:pos="5954"/>
          <w:tab w:val="right" w:pos="7371"/>
          <w:tab w:val="right" w:pos="8789"/>
        </w:tabs>
        <w:spacing w:before="120" w:after="120" w:line="240" w:lineRule="auto"/>
        <w:contextualSpacing/>
        <w:rPr>
          <w:rFonts w:ascii="Cambria" w:hAnsi="Cambria" w:cs="Calibri"/>
          <w:sz w:val="21"/>
          <w:szCs w:val="21"/>
        </w:rPr>
      </w:pPr>
      <w:r w:rsidRPr="00696058">
        <w:rPr>
          <w:rFonts w:ascii="Cambria" w:hAnsi="Cambria" w:cs="Calibri"/>
          <w:sz w:val="21"/>
          <w:szCs w:val="21"/>
        </w:rPr>
        <w:t>Provisions</w:t>
      </w:r>
      <w:r w:rsidRPr="00696058">
        <w:rPr>
          <w:rFonts w:ascii="Cambria" w:hAnsi="Cambria" w:cs="Calibri"/>
          <w:sz w:val="21"/>
          <w:szCs w:val="21"/>
        </w:rPr>
        <w:tab/>
        <w:t xml:space="preserve">         179,155 </w:t>
      </w:r>
      <w:r w:rsidRPr="00696058">
        <w:rPr>
          <w:rFonts w:ascii="Cambria" w:hAnsi="Cambria" w:cs="Calibri"/>
          <w:sz w:val="21"/>
          <w:szCs w:val="21"/>
        </w:rPr>
        <w:tab/>
        <w:t xml:space="preserve">      176,406 </w:t>
      </w:r>
      <w:r w:rsidRPr="00696058">
        <w:rPr>
          <w:rFonts w:ascii="Cambria" w:hAnsi="Cambria" w:cs="Calibri"/>
          <w:sz w:val="21"/>
          <w:szCs w:val="21"/>
        </w:rPr>
        <w:tab/>
        <w:t xml:space="preserve">           127,580 </w:t>
      </w:r>
    </w:p>
    <w:p w14:paraId="46288D6D" w14:textId="3FEE26A5" w:rsidR="008F179B" w:rsidRPr="00696058" w:rsidRDefault="008F179B" w:rsidP="008F179B">
      <w:pPr>
        <w:tabs>
          <w:tab w:val="right" w:pos="5954"/>
          <w:tab w:val="right" w:pos="7371"/>
          <w:tab w:val="right" w:pos="8789"/>
        </w:tabs>
        <w:spacing w:before="120" w:after="120" w:line="240" w:lineRule="auto"/>
        <w:contextualSpacing/>
        <w:rPr>
          <w:rFonts w:ascii="Cambria" w:hAnsi="Cambria" w:cs="Calibri"/>
          <w:b/>
          <w:bCs/>
          <w:sz w:val="21"/>
          <w:szCs w:val="21"/>
        </w:rPr>
      </w:pPr>
      <w:r w:rsidRPr="00696058">
        <w:rPr>
          <w:rFonts w:ascii="Cambria" w:hAnsi="Cambria" w:cs="Calibri"/>
          <w:b/>
          <w:bCs/>
          <w:sz w:val="21"/>
          <w:szCs w:val="21"/>
        </w:rPr>
        <w:t>Total Current Liabilities</w:t>
      </w:r>
      <w:r w:rsidRPr="00696058">
        <w:rPr>
          <w:rFonts w:ascii="Cambria" w:hAnsi="Cambria" w:cs="Calibri"/>
          <w:b/>
          <w:bCs/>
          <w:sz w:val="21"/>
          <w:szCs w:val="21"/>
        </w:rPr>
        <w:tab/>
        <w:t xml:space="preserve"> </w:t>
      </w:r>
      <w:r w:rsidR="00151EE3">
        <w:rPr>
          <w:rFonts w:ascii="Cambria" w:hAnsi="Cambria" w:cs="Calibri"/>
          <w:b/>
          <w:bCs/>
          <w:sz w:val="21"/>
          <w:szCs w:val="21"/>
        </w:rPr>
        <w:t xml:space="preserve">        384,057 </w:t>
      </w:r>
      <w:r w:rsidR="00151EE3">
        <w:rPr>
          <w:rFonts w:ascii="Cambria" w:hAnsi="Cambria" w:cs="Calibri"/>
          <w:b/>
          <w:bCs/>
          <w:sz w:val="21"/>
          <w:szCs w:val="21"/>
        </w:rPr>
        <w:tab/>
        <w:t xml:space="preserve">             377,064 </w:t>
      </w:r>
      <w:r w:rsidRPr="00696058">
        <w:rPr>
          <w:rFonts w:ascii="Cambria" w:hAnsi="Cambria" w:cs="Calibri"/>
          <w:b/>
          <w:bCs/>
          <w:sz w:val="21"/>
          <w:szCs w:val="21"/>
        </w:rPr>
        <w:t xml:space="preserve">    </w:t>
      </w:r>
      <w:r w:rsidRPr="00151EE3">
        <w:rPr>
          <w:rFonts w:ascii="Cambria" w:hAnsi="Cambria" w:cs="Calibri"/>
          <w:b/>
          <w:bCs/>
          <w:sz w:val="17"/>
          <w:szCs w:val="21"/>
        </w:rPr>
        <w:t xml:space="preserve">  </w:t>
      </w:r>
      <w:r w:rsidRPr="00151EE3">
        <w:rPr>
          <w:rFonts w:ascii="Cambria" w:hAnsi="Cambria" w:cs="Calibri"/>
          <w:b/>
          <w:bCs/>
          <w:sz w:val="21"/>
          <w:szCs w:val="21"/>
        </w:rPr>
        <w:t xml:space="preserve">  </w:t>
      </w:r>
      <w:r w:rsidRPr="00151EE3">
        <w:rPr>
          <w:rFonts w:ascii="Cambria" w:hAnsi="Cambria" w:cs="Calibri"/>
          <w:b/>
          <w:bCs/>
          <w:sz w:val="17"/>
          <w:szCs w:val="21"/>
        </w:rPr>
        <w:t xml:space="preserve">  </w:t>
      </w:r>
      <w:r w:rsidRPr="00696058">
        <w:rPr>
          <w:rFonts w:ascii="Cambria" w:hAnsi="Cambria" w:cs="Calibri"/>
          <w:b/>
          <w:bCs/>
          <w:sz w:val="21"/>
          <w:szCs w:val="21"/>
        </w:rPr>
        <w:t xml:space="preserve">497,671 </w:t>
      </w:r>
    </w:p>
    <w:p w14:paraId="1CC6776D" w14:textId="77777777" w:rsidR="008F179B" w:rsidRPr="00696058" w:rsidRDefault="008F179B" w:rsidP="008F179B">
      <w:pPr>
        <w:tabs>
          <w:tab w:val="right" w:pos="5954"/>
          <w:tab w:val="right" w:pos="7371"/>
          <w:tab w:val="right" w:pos="8789"/>
        </w:tabs>
        <w:spacing w:before="120" w:after="120" w:line="240" w:lineRule="auto"/>
        <w:contextualSpacing/>
        <w:rPr>
          <w:rFonts w:ascii="Cambria" w:hAnsi="Cambria"/>
          <w:sz w:val="21"/>
          <w:szCs w:val="21"/>
        </w:rPr>
      </w:pPr>
      <w:r w:rsidRPr="00696058">
        <w:rPr>
          <w:rFonts w:ascii="Cambria" w:hAnsi="Cambria" w:cs="Calibri"/>
          <w:b/>
          <w:bCs/>
          <w:sz w:val="21"/>
          <w:szCs w:val="21"/>
        </w:rPr>
        <w:t>Non Current Liabilities</w:t>
      </w:r>
      <w:r w:rsidRPr="00696058">
        <w:rPr>
          <w:rFonts w:ascii="Cambria" w:hAnsi="Cambria" w:cs="Calibri"/>
          <w:b/>
          <w:bCs/>
          <w:sz w:val="21"/>
          <w:szCs w:val="21"/>
        </w:rPr>
        <w:tab/>
      </w:r>
      <w:r w:rsidRPr="00696058">
        <w:rPr>
          <w:rFonts w:ascii="Cambria" w:hAnsi="Cambria" w:cs="Calibri"/>
          <w:b/>
          <w:bCs/>
          <w:sz w:val="21"/>
          <w:szCs w:val="21"/>
        </w:rPr>
        <w:tab/>
      </w:r>
      <w:r w:rsidRPr="00696058">
        <w:rPr>
          <w:rFonts w:ascii="Cambria" w:hAnsi="Cambria"/>
          <w:sz w:val="21"/>
          <w:szCs w:val="21"/>
        </w:rPr>
        <w:tab/>
      </w:r>
    </w:p>
    <w:p w14:paraId="04E04880" w14:textId="77777777" w:rsidR="008F179B" w:rsidRPr="00696058" w:rsidRDefault="008F179B" w:rsidP="008F179B">
      <w:pPr>
        <w:tabs>
          <w:tab w:val="right" w:pos="5954"/>
          <w:tab w:val="right" w:pos="7371"/>
          <w:tab w:val="right" w:pos="8789"/>
        </w:tabs>
        <w:spacing w:before="120" w:after="120" w:line="240" w:lineRule="auto"/>
        <w:contextualSpacing/>
        <w:rPr>
          <w:rFonts w:ascii="Cambria" w:hAnsi="Cambria" w:cs="Calibri"/>
          <w:sz w:val="21"/>
          <w:szCs w:val="21"/>
        </w:rPr>
      </w:pPr>
      <w:r w:rsidRPr="00696058">
        <w:rPr>
          <w:rFonts w:ascii="Cambria" w:hAnsi="Cambria" w:cs="Calibri"/>
          <w:sz w:val="21"/>
          <w:szCs w:val="21"/>
        </w:rPr>
        <w:t>Provisions</w:t>
      </w:r>
      <w:r w:rsidRPr="00696058">
        <w:rPr>
          <w:rFonts w:ascii="Cambria" w:hAnsi="Cambria" w:cs="Calibri"/>
          <w:sz w:val="21"/>
          <w:szCs w:val="21"/>
        </w:rPr>
        <w:tab/>
        <w:t xml:space="preserve">         106,924 </w:t>
      </w:r>
      <w:r w:rsidRPr="00696058">
        <w:rPr>
          <w:rFonts w:ascii="Cambria" w:hAnsi="Cambria" w:cs="Calibri"/>
          <w:sz w:val="21"/>
          <w:szCs w:val="21"/>
        </w:rPr>
        <w:tab/>
        <w:t xml:space="preserve">        83,353 </w:t>
      </w:r>
      <w:r w:rsidRPr="00696058">
        <w:rPr>
          <w:rFonts w:ascii="Cambria" w:hAnsi="Cambria" w:cs="Calibri"/>
          <w:sz w:val="21"/>
          <w:szCs w:val="21"/>
        </w:rPr>
        <w:tab/>
        <w:t xml:space="preserve">           130,629 </w:t>
      </w:r>
    </w:p>
    <w:p w14:paraId="2B49F6F2" w14:textId="2EDED13A" w:rsidR="008F179B" w:rsidRPr="00696058" w:rsidRDefault="008F179B" w:rsidP="008F179B">
      <w:pPr>
        <w:tabs>
          <w:tab w:val="right" w:pos="5954"/>
          <w:tab w:val="right" w:pos="7371"/>
          <w:tab w:val="right" w:pos="8789"/>
        </w:tabs>
        <w:spacing w:before="120" w:after="120" w:line="240" w:lineRule="auto"/>
        <w:contextualSpacing/>
        <w:rPr>
          <w:rFonts w:ascii="Cambria" w:hAnsi="Cambria" w:cs="Calibri"/>
          <w:b/>
          <w:bCs/>
          <w:sz w:val="21"/>
          <w:szCs w:val="21"/>
        </w:rPr>
      </w:pPr>
      <w:r w:rsidRPr="00696058">
        <w:rPr>
          <w:rFonts w:ascii="Cambria" w:hAnsi="Cambria" w:cs="Calibri"/>
          <w:b/>
          <w:bCs/>
          <w:sz w:val="21"/>
          <w:szCs w:val="21"/>
        </w:rPr>
        <w:t>Total Non Current Liabilities</w:t>
      </w:r>
      <w:r w:rsidRPr="00696058">
        <w:rPr>
          <w:rFonts w:ascii="Cambria" w:hAnsi="Cambria" w:cs="Calibri"/>
          <w:b/>
          <w:bCs/>
          <w:sz w:val="21"/>
          <w:szCs w:val="21"/>
        </w:rPr>
        <w:tab/>
        <w:t xml:space="preserve">  </w:t>
      </w:r>
      <w:r w:rsidR="00151EE3">
        <w:rPr>
          <w:rFonts w:ascii="Cambria" w:hAnsi="Cambria" w:cs="Calibri"/>
          <w:b/>
          <w:bCs/>
          <w:sz w:val="21"/>
          <w:szCs w:val="21"/>
        </w:rPr>
        <w:t xml:space="preserve">       106,924 </w:t>
      </w:r>
      <w:r w:rsidR="00151EE3">
        <w:rPr>
          <w:rFonts w:ascii="Cambria" w:hAnsi="Cambria" w:cs="Calibri"/>
          <w:b/>
          <w:bCs/>
          <w:sz w:val="21"/>
          <w:szCs w:val="21"/>
        </w:rPr>
        <w:tab/>
        <w:t xml:space="preserve">               83,353 </w:t>
      </w:r>
      <w:r w:rsidRPr="00151EE3">
        <w:rPr>
          <w:rFonts w:ascii="Cambria" w:hAnsi="Cambria" w:cs="Calibri"/>
          <w:b/>
          <w:bCs/>
          <w:sz w:val="21"/>
          <w:szCs w:val="21"/>
        </w:rPr>
        <w:t xml:space="preserve">   </w:t>
      </w:r>
      <w:r w:rsidRPr="00151EE3">
        <w:rPr>
          <w:rFonts w:ascii="Cambria" w:hAnsi="Cambria" w:cs="Calibri"/>
          <w:b/>
          <w:bCs/>
          <w:sz w:val="19"/>
          <w:szCs w:val="21"/>
        </w:rPr>
        <w:t xml:space="preserve"> </w:t>
      </w:r>
      <w:r w:rsidRPr="00151EE3">
        <w:rPr>
          <w:rFonts w:ascii="Cambria" w:hAnsi="Cambria" w:cs="Calibri"/>
          <w:b/>
          <w:bCs/>
          <w:sz w:val="21"/>
          <w:szCs w:val="21"/>
        </w:rPr>
        <w:t xml:space="preserve">   </w:t>
      </w:r>
      <w:r w:rsidRPr="00696058">
        <w:rPr>
          <w:rFonts w:ascii="Cambria" w:hAnsi="Cambria" w:cs="Calibri"/>
          <w:b/>
          <w:bCs/>
          <w:sz w:val="21"/>
          <w:szCs w:val="21"/>
        </w:rPr>
        <w:t xml:space="preserve">   130,629 </w:t>
      </w:r>
    </w:p>
    <w:p w14:paraId="4F936E57" w14:textId="414C9F6F" w:rsidR="008F179B" w:rsidRPr="00696058" w:rsidRDefault="008F179B" w:rsidP="008F179B">
      <w:pPr>
        <w:tabs>
          <w:tab w:val="right" w:pos="5954"/>
          <w:tab w:val="right" w:pos="7371"/>
          <w:tab w:val="right" w:pos="8789"/>
        </w:tabs>
        <w:spacing w:before="120" w:after="120" w:line="240" w:lineRule="auto"/>
        <w:contextualSpacing/>
        <w:rPr>
          <w:rFonts w:ascii="Cambria" w:hAnsi="Cambria" w:cs="Calibri"/>
          <w:b/>
          <w:bCs/>
          <w:sz w:val="21"/>
          <w:szCs w:val="21"/>
        </w:rPr>
      </w:pPr>
      <w:r w:rsidRPr="00696058">
        <w:rPr>
          <w:rFonts w:ascii="Cambria" w:hAnsi="Cambria" w:cs="Calibri"/>
          <w:b/>
          <w:bCs/>
          <w:sz w:val="21"/>
          <w:szCs w:val="21"/>
        </w:rPr>
        <w:t>Total Liabilities</w:t>
      </w:r>
      <w:r w:rsidRPr="00696058">
        <w:rPr>
          <w:rFonts w:ascii="Cambria" w:hAnsi="Cambria" w:cs="Calibri"/>
          <w:b/>
          <w:bCs/>
          <w:sz w:val="21"/>
          <w:szCs w:val="21"/>
        </w:rPr>
        <w:tab/>
        <w:t xml:space="preserve"> </w:t>
      </w:r>
      <w:r w:rsidR="00151EE3">
        <w:rPr>
          <w:rFonts w:ascii="Cambria" w:hAnsi="Cambria" w:cs="Calibri"/>
          <w:b/>
          <w:bCs/>
          <w:sz w:val="21"/>
          <w:szCs w:val="21"/>
        </w:rPr>
        <w:t xml:space="preserve">        490,981 </w:t>
      </w:r>
      <w:r w:rsidR="00151EE3">
        <w:rPr>
          <w:rFonts w:ascii="Cambria" w:hAnsi="Cambria" w:cs="Calibri"/>
          <w:b/>
          <w:bCs/>
          <w:sz w:val="21"/>
          <w:szCs w:val="21"/>
        </w:rPr>
        <w:tab/>
        <w:t xml:space="preserve">            460,417 </w:t>
      </w:r>
      <w:r w:rsidRPr="00696058">
        <w:rPr>
          <w:rFonts w:ascii="Cambria" w:hAnsi="Cambria" w:cs="Calibri"/>
          <w:b/>
          <w:bCs/>
          <w:sz w:val="21"/>
          <w:szCs w:val="21"/>
        </w:rPr>
        <w:t xml:space="preserve">          628,300 </w:t>
      </w:r>
    </w:p>
    <w:p w14:paraId="65FCE3EF" w14:textId="719F8968" w:rsidR="008F179B" w:rsidRPr="00696058" w:rsidRDefault="008F179B" w:rsidP="008F179B">
      <w:pPr>
        <w:tabs>
          <w:tab w:val="right" w:pos="5954"/>
          <w:tab w:val="right" w:pos="7371"/>
          <w:tab w:val="right" w:pos="8789"/>
        </w:tabs>
        <w:spacing w:before="120" w:after="120" w:line="240" w:lineRule="auto"/>
        <w:contextualSpacing/>
        <w:rPr>
          <w:rFonts w:ascii="Cambria" w:hAnsi="Cambria" w:cs="Calibri"/>
          <w:b/>
          <w:bCs/>
          <w:sz w:val="21"/>
          <w:szCs w:val="21"/>
        </w:rPr>
      </w:pPr>
      <w:r w:rsidRPr="00696058">
        <w:rPr>
          <w:rFonts w:ascii="Cambria" w:hAnsi="Cambria" w:cs="Calibri"/>
          <w:b/>
          <w:bCs/>
          <w:sz w:val="21"/>
          <w:szCs w:val="21"/>
        </w:rPr>
        <w:t>Net Assets</w:t>
      </w:r>
      <w:r w:rsidRPr="00696058">
        <w:rPr>
          <w:rFonts w:ascii="Cambria" w:hAnsi="Cambria" w:cs="Calibri"/>
          <w:b/>
          <w:bCs/>
          <w:sz w:val="21"/>
          <w:szCs w:val="21"/>
        </w:rPr>
        <w:tab/>
        <w:t xml:space="preserve">      2,126,815 </w:t>
      </w:r>
      <w:r w:rsidRPr="00696058">
        <w:rPr>
          <w:rFonts w:ascii="Cambria" w:hAnsi="Cambria" w:cs="Calibri"/>
          <w:b/>
          <w:bCs/>
          <w:sz w:val="21"/>
          <w:szCs w:val="21"/>
        </w:rPr>
        <w:tab/>
        <w:t xml:space="preserve">   </w:t>
      </w:r>
      <w:r w:rsidR="00151EE3">
        <w:rPr>
          <w:rFonts w:ascii="Cambria" w:hAnsi="Cambria" w:cs="Calibri"/>
          <w:b/>
          <w:bCs/>
          <w:sz w:val="21"/>
          <w:szCs w:val="21"/>
        </w:rPr>
        <w:t xml:space="preserve">     </w:t>
      </w:r>
      <w:r w:rsidRPr="00696058">
        <w:rPr>
          <w:rFonts w:ascii="Cambria" w:hAnsi="Cambria" w:cs="Calibri"/>
          <w:b/>
          <w:bCs/>
          <w:sz w:val="21"/>
          <w:szCs w:val="21"/>
        </w:rPr>
        <w:t>1,901,275</w:t>
      </w:r>
      <w:r w:rsidR="00151EE3">
        <w:rPr>
          <w:rFonts w:ascii="Cambria" w:hAnsi="Cambria" w:cs="Calibri"/>
          <w:b/>
          <w:bCs/>
          <w:sz w:val="21"/>
          <w:szCs w:val="21"/>
        </w:rPr>
        <w:t xml:space="preserve"> </w:t>
      </w:r>
      <w:r w:rsidRPr="00696058">
        <w:rPr>
          <w:rFonts w:ascii="Cambria" w:hAnsi="Cambria" w:cs="Calibri"/>
          <w:b/>
          <w:bCs/>
          <w:sz w:val="21"/>
          <w:szCs w:val="21"/>
        </w:rPr>
        <w:t xml:space="preserve"> </w:t>
      </w:r>
      <w:r w:rsidRPr="00151EE3">
        <w:rPr>
          <w:rFonts w:ascii="Cambria" w:hAnsi="Cambria" w:cs="Calibri"/>
          <w:b/>
          <w:bCs/>
          <w:sz w:val="19"/>
          <w:szCs w:val="21"/>
        </w:rPr>
        <w:t xml:space="preserve">  </w:t>
      </w:r>
      <w:r w:rsidRPr="00696058">
        <w:rPr>
          <w:rFonts w:ascii="Cambria" w:hAnsi="Cambria" w:cs="Calibri"/>
          <w:b/>
          <w:bCs/>
          <w:sz w:val="21"/>
          <w:szCs w:val="21"/>
        </w:rPr>
        <w:t xml:space="preserve">    1,756,942 </w:t>
      </w:r>
    </w:p>
    <w:p w14:paraId="31C129FB" w14:textId="77777777" w:rsidR="008F179B" w:rsidRPr="00696058" w:rsidRDefault="008F179B" w:rsidP="008F179B">
      <w:pPr>
        <w:tabs>
          <w:tab w:val="right" w:pos="5954"/>
          <w:tab w:val="right" w:pos="7371"/>
          <w:tab w:val="right" w:pos="8789"/>
        </w:tabs>
        <w:spacing w:before="120" w:after="120" w:line="240" w:lineRule="auto"/>
        <w:contextualSpacing/>
        <w:rPr>
          <w:rFonts w:ascii="Cambria" w:hAnsi="Cambria"/>
          <w:sz w:val="21"/>
          <w:szCs w:val="21"/>
        </w:rPr>
      </w:pPr>
      <w:r w:rsidRPr="00696058">
        <w:rPr>
          <w:rFonts w:ascii="Cambria" w:hAnsi="Cambria" w:cs="Calibri"/>
          <w:b/>
          <w:bCs/>
          <w:sz w:val="21"/>
          <w:szCs w:val="21"/>
        </w:rPr>
        <w:t>Equity</w:t>
      </w:r>
      <w:r w:rsidRPr="00696058">
        <w:rPr>
          <w:rFonts w:ascii="Cambria" w:hAnsi="Cambria" w:cs="Calibri"/>
          <w:b/>
          <w:bCs/>
          <w:sz w:val="21"/>
          <w:szCs w:val="21"/>
        </w:rPr>
        <w:tab/>
      </w:r>
      <w:r w:rsidRPr="00696058">
        <w:rPr>
          <w:rFonts w:ascii="Cambria" w:hAnsi="Cambria" w:cs="Calibri"/>
          <w:b/>
          <w:bCs/>
          <w:sz w:val="21"/>
          <w:szCs w:val="21"/>
        </w:rPr>
        <w:tab/>
      </w:r>
      <w:r w:rsidRPr="00696058">
        <w:rPr>
          <w:rFonts w:ascii="Cambria" w:hAnsi="Cambria"/>
          <w:sz w:val="21"/>
          <w:szCs w:val="21"/>
        </w:rPr>
        <w:tab/>
      </w:r>
    </w:p>
    <w:p w14:paraId="5A745A13" w14:textId="77777777" w:rsidR="008F179B" w:rsidRPr="00696058" w:rsidRDefault="008F179B" w:rsidP="008F179B">
      <w:pPr>
        <w:tabs>
          <w:tab w:val="right" w:pos="5954"/>
          <w:tab w:val="right" w:pos="7371"/>
          <w:tab w:val="right" w:pos="8789"/>
        </w:tabs>
        <w:spacing w:before="120" w:after="120" w:line="240" w:lineRule="auto"/>
        <w:contextualSpacing/>
        <w:rPr>
          <w:rFonts w:ascii="Cambria" w:hAnsi="Cambria" w:cs="Calibri"/>
          <w:sz w:val="21"/>
          <w:szCs w:val="21"/>
        </w:rPr>
      </w:pPr>
      <w:r w:rsidRPr="00696058">
        <w:rPr>
          <w:rFonts w:ascii="Cambria" w:hAnsi="Cambria" w:cs="Calibri"/>
          <w:sz w:val="21"/>
          <w:szCs w:val="21"/>
        </w:rPr>
        <w:t>Contributed Funds</w:t>
      </w:r>
      <w:r w:rsidRPr="00696058">
        <w:rPr>
          <w:rFonts w:ascii="Cambria" w:hAnsi="Cambria" w:cs="Calibri"/>
          <w:sz w:val="21"/>
          <w:szCs w:val="21"/>
        </w:rPr>
        <w:tab/>
        <w:t xml:space="preserve">      3,059,141 </w:t>
      </w:r>
      <w:r w:rsidRPr="00696058">
        <w:rPr>
          <w:rFonts w:ascii="Cambria" w:hAnsi="Cambria" w:cs="Calibri"/>
          <w:sz w:val="21"/>
          <w:szCs w:val="21"/>
        </w:rPr>
        <w:tab/>
        <w:t xml:space="preserve">   3,059,141 </w:t>
      </w:r>
      <w:r w:rsidRPr="00696058">
        <w:rPr>
          <w:rFonts w:ascii="Cambria" w:hAnsi="Cambria" w:cs="Calibri"/>
          <w:sz w:val="21"/>
          <w:szCs w:val="21"/>
        </w:rPr>
        <w:tab/>
        <w:t xml:space="preserve">       3,059,141 </w:t>
      </w:r>
    </w:p>
    <w:p w14:paraId="3CB06737" w14:textId="77777777" w:rsidR="008F179B" w:rsidRPr="00696058" w:rsidRDefault="008F179B" w:rsidP="008F179B">
      <w:pPr>
        <w:tabs>
          <w:tab w:val="right" w:pos="5954"/>
          <w:tab w:val="right" w:pos="7371"/>
          <w:tab w:val="right" w:pos="8789"/>
        </w:tabs>
        <w:spacing w:before="120" w:after="120" w:line="240" w:lineRule="auto"/>
        <w:contextualSpacing/>
        <w:rPr>
          <w:rFonts w:ascii="Cambria" w:hAnsi="Cambria" w:cs="Calibri"/>
          <w:sz w:val="21"/>
          <w:szCs w:val="21"/>
        </w:rPr>
      </w:pPr>
      <w:r w:rsidRPr="00696058">
        <w:rPr>
          <w:rFonts w:ascii="Cambria" w:hAnsi="Cambria" w:cs="Calibri"/>
          <w:sz w:val="21"/>
          <w:szCs w:val="21"/>
        </w:rPr>
        <w:t>Reserves</w:t>
      </w:r>
      <w:r w:rsidRPr="00696058">
        <w:rPr>
          <w:rFonts w:ascii="Cambria" w:hAnsi="Cambria" w:cs="Calibri"/>
          <w:sz w:val="21"/>
          <w:szCs w:val="21"/>
        </w:rPr>
        <w:tab/>
        <w:t xml:space="preserve">      1,214,277 </w:t>
      </w:r>
      <w:r w:rsidRPr="00696058">
        <w:rPr>
          <w:rFonts w:ascii="Cambria" w:hAnsi="Cambria" w:cs="Calibri"/>
          <w:sz w:val="21"/>
          <w:szCs w:val="21"/>
        </w:rPr>
        <w:tab/>
        <w:t xml:space="preserve">   1,167,243 </w:t>
      </w:r>
      <w:r w:rsidRPr="00696058">
        <w:rPr>
          <w:rFonts w:ascii="Cambria" w:hAnsi="Cambria" w:cs="Calibri"/>
          <w:sz w:val="21"/>
          <w:szCs w:val="21"/>
        </w:rPr>
        <w:tab/>
        <w:t xml:space="preserve">       1,112,124 </w:t>
      </w:r>
    </w:p>
    <w:p w14:paraId="56747A6D" w14:textId="77777777" w:rsidR="008F179B" w:rsidRPr="00696058" w:rsidRDefault="008F179B" w:rsidP="008F179B">
      <w:pPr>
        <w:tabs>
          <w:tab w:val="right" w:pos="5954"/>
          <w:tab w:val="right" w:pos="7371"/>
          <w:tab w:val="right" w:pos="8789"/>
        </w:tabs>
        <w:spacing w:before="120" w:after="120" w:line="240" w:lineRule="auto"/>
        <w:contextualSpacing/>
        <w:rPr>
          <w:rFonts w:ascii="Cambria" w:hAnsi="Cambria" w:cs="Calibri"/>
          <w:sz w:val="21"/>
          <w:szCs w:val="21"/>
        </w:rPr>
      </w:pPr>
      <w:r w:rsidRPr="00696058">
        <w:rPr>
          <w:rFonts w:ascii="Cambria" w:hAnsi="Cambria" w:cs="Calibri"/>
          <w:sz w:val="21"/>
          <w:szCs w:val="21"/>
        </w:rPr>
        <w:t>Accumulated (deficits)</w:t>
      </w:r>
      <w:r w:rsidRPr="00696058">
        <w:rPr>
          <w:rFonts w:ascii="Cambria" w:hAnsi="Cambria" w:cs="Calibri"/>
          <w:sz w:val="21"/>
          <w:szCs w:val="21"/>
        </w:rPr>
        <w:tab/>
        <w:t>(2,146,603)</w:t>
      </w:r>
      <w:r w:rsidRPr="00696058">
        <w:rPr>
          <w:rFonts w:ascii="Cambria" w:hAnsi="Cambria" w:cs="Calibri"/>
          <w:sz w:val="21"/>
          <w:szCs w:val="21"/>
        </w:rPr>
        <w:tab/>
        <w:t>(2,325,109)</w:t>
      </w:r>
      <w:r w:rsidRPr="00696058">
        <w:rPr>
          <w:rFonts w:ascii="Cambria" w:hAnsi="Cambria" w:cs="Calibri"/>
          <w:sz w:val="21"/>
          <w:szCs w:val="21"/>
        </w:rPr>
        <w:tab/>
        <w:t>(2,414,323)</w:t>
      </w:r>
    </w:p>
    <w:p w14:paraId="4D899272" w14:textId="75E73753" w:rsidR="008F179B" w:rsidRDefault="008F179B" w:rsidP="008F179B">
      <w:pPr>
        <w:tabs>
          <w:tab w:val="right" w:pos="5954"/>
          <w:tab w:val="right" w:pos="7371"/>
          <w:tab w:val="right" w:pos="8789"/>
        </w:tabs>
        <w:spacing w:before="120" w:after="120" w:line="240" w:lineRule="auto"/>
        <w:contextualSpacing/>
        <w:rPr>
          <w:rFonts w:ascii="Cambria" w:hAnsi="Cambria" w:cs="Calibri"/>
          <w:b/>
          <w:bCs/>
          <w:sz w:val="21"/>
          <w:szCs w:val="21"/>
        </w:rPr>
      </w:pPr>
      <w:r w:rsidRPr="00696058">
        <w:rPr>
          <w:rFonts w:ascii="Cambria" w:hAnsi="Cambria" w:cs="Calibri"/>
          <w:b/>
          <w:bCs/>
          <w:sz w:val="21"/>
          <w:szCs w:val="21"/>
        </w:rPr>
        <w:t>Total Equity</w:t>
      </w:r>
      <w:r w:rsidRPr="00696058">
        <w:rPr>
          <w:rFonts w:ascii="Cambria" w:hAnsi="Cambria" w:cs="Calibri"/>
          <w:b/>
          <w:bCs/>
          <w:sz w:val="21"/>
          <w:szCs w:val="21"/>
        </w:rPr>
        <w:tab/>
        <w:t xml:space="preserve">     </w:t>
      </w:r>
      <w:r w:rsidR="00A60838">
        <w:rPr>
          <w:rFonts w:ascii="Cambria" w:hAnsi="Cambria" w:cs="Calibri"/>
          <w:b/>
          <w:bCs/>
          <w:sz w:val="21"/>
          <w:szCs w:val="21"/>
        </w:rPr>
        <w:t>$</w:t>
      </w:r>
      <w:r w:rsidRPr="00696058">
        <w:rPr>
          <w:rFonts w:ascii="Cambria" w:hAnsi="Cambria" w:cs="Calibri"/>
          <w:b/>
          <w:bCs/>
          <w:sz w:val="21"/>
          <w:szCs w:val="21"/>
        </w:rPr>
        <w:t xml:space="preserve"> 2,126,815 </w:t>
      </w:r>
      <w:r w:rsidRPr="00696058">
        <w:rPr>
          <w:rFonts w:ascii="Cambria" w:hAnsi="Cambria" w:cs="Calibri"/>
          <w:b/>
          <w:bCs/>
          <w:sz w:val="21"/>
          <w:szCs w:val="21"/>
        </w:rPr>
        <w:tab/>
        <w:t xml:space="preserve">  </w:t>
      </w:r>
      <w:r w:rsidR="004B03F8">
        <w:rPr>
          <w:rFonts w:ascii="Cambria" w:hAnsi="Cambria" w:cs="Calibri"/>
          <w:b/>
          <w:bCs/>
          <w:sz w:val="21"/>
          <w:szCs w:val="21"/>
        </w:rPr>
        <w:t xml:space="preserve">   </w:t>
      </w:r>
      <w:r w:rsidR="00151EE3">
        <w:rPr>
          <w:rFonts w:ascii="Cambria" w:hAnsi="Cambria" w:cs="Calibri"/>
          <w:b/>
          <w:bCs/>
          <w:sz w:val="21"/>
          <w:szCs w:val="21"/>
        </w:rPr>
        <w:t xml:space="preserve"> </w:t>
      </w:r>
      <w:r w:rsidR="00A60838">
        <w:rPr>
          <w:rFonts w:ascii="Cambria" w:hAnsi="Cambria" w:cs="Calibri"/>
          <w:b/>
          <w:bCs/>
          <w:sz w:val="21"/>
          <w:szCs w:val="21"/>
        </w:rPr>
        <w:t>$</w:t>
      </w:r>
      <w:r w:rsidRPr="00696058">
        <w:rPr>
          <w:rFonts w:ascii="Cambria" w:hAnsi="Cambria" w:cs="Calibri"/>
          <w:b/>
          <w:bCs/>
          <w:sz w:val="21"/>
          <w:szCs w:val="21"/>
        </w:rPr>
        <w:t>1,901,275</w:t>
      </w:r>
      <w:r w:rsidR="00151EE3">
        <w:rPr>
          <w:rFonts w:ascii="Cambria" w:hAnsi="Cambria" w:cs="Calibri"/>
          <w:b/>
          <w:bCs/>
          <w:sz w:val="21"/>
          <w:szCs w:val="21"/>
        </w:rPr>
        <w:t xml:space="preserve"> </w:t>
      </w:r>
      <w:r w:rsidRPr="00151EE3">
        <w:rPr>
          <w:rFonts w:ascii="Cambria" w:hAnsi="Cambria" w:cs="Calibri"/>
          <w:b/>
          <w:bCs/>
          <w:sz w:val="19"/>
          <w:szCs w:val="21"/>
        </w:rPr>
        <w:t xml:space="preserve">   </w:t>
      </w:r>
      <w:r w:rsidR="004B03F8">
        <w:rPr>
          <w:rFonts w:ascii="Cambria" w:hAnsi="Cambria" w:cs="Calibri"/>
          <w:b/>
          <w:bCs/>
          <w:sz w:val="19"/>
          <w:szCs w:val="21"/>
        </w:rPr>
        <w:t xml:space="preserve"> </w:t>
      </w:r>
      <w:r w:rsidR="00A60838">
        <w:rPr>
          <w:rFonts w:ascii="Cambria" w:hAnsi="Cambria" w:cs="Calibri"/>
          <w:b/>
          <w:bCs/>
          <w:sz w:val="21"/>
          <w:szCs w:val="21"/>
        </w:rPr>
        <w:t>$</w:t>
      </w:r>
      <w:r w:rsidRPr="00696058">
        <w:rPr>
          <w:rFonts w:ascii="Cambria" w:hAnsi="Cambria" w:cs="Calibri"/>
          <w:b/>
          <w:bCs/>
          <w:sz w:val="21"/>
          <w:szCs w:val="21"/>
        </w:rPr>
        <w:t xml:space="preserve">1,756,942 </w:t>
      </w:r>
    </w:p>
    <w:p w14:paraId="3D7DE98F" w14:textId="73BA5090" w:rsidR="00440B9A" w:rsidRDefault="00440B9A" w:rsidP="008F179B">
      <w:pPr>
        <w:tabs>
          <w:tab w:val="right" w:pos="5954"/>
          <w:tab w:val="right" w:pos="7371"/>
          <w:tab w:val="right" w:pos="8789"/>
        </w:tabs>
        <w:spacing w:before="120" w:after="120" w:line="240" w:lineRule="auto"/>
        <w:contextualSpacing/>
        <w:rPr>
          <w:rFonts w:ascii="Cambria" w:hAnsi="Cambria" w:cs="Calibri"/>
          <w:b/>
          <w:bCs/>
          <w:sz w:val="21"/>
          <w:szCs w:val="21"/>
        </w:rPr>
      </w:pPr>
    </w:p>
    <w:p w14:paraId="6EB90C89" w14:textId="27F01353" w:rsidR="00440B9A" w:rsidRPr="004B03F8" w:rsidRDefault="00440B9A" w:rsidP="004B03F8">
      <w:pPr>
        <w:pStyle w:val="NoSpacing"/>
        <w:rPr>
          <w:b/>
        </w:rPr>
      </w:pPr>
      <w:r w:rsidRPr="004B03F8">
        <w:rPr>
          <w:b/>
        </w:rPr>
        <w:t>ACCUMULATED FUNDS, EQUITY AND RESERVES</w:t>
      </w:r>
    </w:p>
    <w:p w14:paraId="4C22C660" w14:textId="74A7561D" w:rsidR="00440B9A" w:rsidRPr="004B03F8" w:rsidRDefault="004B03F8" w:rsidP="004B03F8">
      <w:pPr>
        <w:pStyle w:val="NoSpacing"/>
        <w:rPr>
          <w:b/>
          <w:lang w:val="en-GB"/>
        </w:rPr>
      </w:pPr>
      <w:r w:rsidRPr="004B03F8">
        <w:rPr>
          <w:rFonts w:cs="Times New Roman"/>
          <w:b/>
        </w:rPr>
        <w:t>  </w:t>
      </w:r>
      <w:r w:rsidRPr="004B03F8">
        <w:rPr>
          <w:rFonts w:cs="Times New Roman"/>
          <w:b/>
        </w:rPr>
        <w:tab/>
      </w:r>
      <w:r w:rsidR="00440B9A" w:rsidRPr="004B03F8">
        <w:rPr>
          <w:rFonts w:cs="Times New Roman"/>
          <w:b/>
        </w:rPr>
        <w:t>                                                                  </w:t>
      </w:r>
      <w:r w:rsidRPr="004B03F8">
        <w:rPr>
          <w:rFonts w:cs="Times New Roman"/>
          <w:b/>
        </w:rPr>
        <w:t>                              </w:t>
      </w:r>
      <w:r w:rsidR="00440B9A" w:rsidRPr="004B03F8">
        <w:rPr>
          <w:rFonts w:cs="Times New Roman"/>
          <w:b/>
        </w:rPr>
        <w:t xml:space="preserve"> </w:t>
      </w:r>
      <w:r w:rsidRPr="004B03F8">
        <w:rPr>
          <w:b/>
        </w:rPr>
        <w:t>2017                  </w:t>
      </w:r>
      <w:r w:rsidR="00440B9A" w:rsidRPr="004B03F8">
        <w:rPr>
          <w:b/>
        </w:rPr>
        <w:t xml:space="preserve">2016 </w:t>
      </w:r>
      <w:r w:rsidR="00440B9A" w:rsidRPr="004B03F8">
        <w:rPr>
          <w:b/>
        </w:rPr>
        <w:tab/>
      </w:r>
      <w:r w:rsidRPr="004B03F8">
        <w:rPr>
          <w:b/>
        </w:rPr>
        <w:t xml:space="preserve">    </w:t>
      </w:r>
      <w:r w:rsidR="00440B9A" w:rsidRPr="004B03F8">
        <w:rPr>
          <w:b/>
        </w:rPr>
        <w:t>2015</w:t>
      </w:r>
    </w:p>
    <w:p w14:paraId="6D212C36" w14:textId="002D8113" w:rsidR="00440B9A" w:rsidRPr="00440B9A" w:rsidRDefault="00440B9A" w:rsidP="004B03F8">
      <w:pPr>
        <w:pStyle w:val="NoSpacing"/>
        <w:rPr>
          <w:rFonts w:cs="Calibri"/>
          <w:lang w:val="en-US"/>
        </w:rPr>
      </w:pPr>
      <w:r>
        <w:rPr>
          <w:lang w:val="en-US"/>
        </w:rPr>
        <w:t xml:space="preserve">Opening balance </w:t>
      </w:r>
      <w:r w:rsidRPr="00440B9A">
        <w:rPr>
          <w:lang w:val="en-US"/>
        </w:rPr>
        <w:t>January                                                 </w:t>
      </w:r>
      <w:r w:rsidR="004B03F8">
        <w:rPr>
          <w:lang w:val="en-US"/>
        </w:rPr>
        <w:t> </w:t>
      </w:r>
      <w:r>
        <w:rPr>
          <w:lang w:val="en-US"/>
        </w:rPr>
        <w:t xml:space="preserve"> </w:t>
      </w:r>
      <w:r w:rsidR="004B03F8">
        <w:rPr>
          <w:lang w:val="en-US"/>
        </w:rPr>
        <w:t xml:space="preserve">  </w:t>
      </w:r>
      <w:r>
        <w:rPr>
          <w:lang w:val="en-US"/>
        </w:rPr>
        <w:t xml:space="preserve"> 1,901,275</w:t>
      </w:r>
      <w:r w:rsidR="004B03F8">
        <w:rPr>
          <w:lang w:val="en-US"/>
        </w:rPr>
        <w:t xml:space="preserve">         </w:t>
      </w:r>
      <w:r>
        <w:rPr>
          <w:lang w:val="en-US"/>
        </w:rPr>
        <w:t xml:space="preserve">  </w:t>
      </w:r>
      <w:r w:rsidRPr="00440B9A">
        <w:rPr>
          <w:lang w:val="en-US"/>
        </w:rPr>
        <w:t>1,756,942</w:t>
      </w:r>
      <w:r>
        <w:rPr>
          <w:lang w:val="en-US"/>
        </w:rPr>
        <w:t xml:space="preserve">   </w:t>
      </w:r>
      <w:r w:rsidR="004B03F8">
        <w:rPr>
          <w:lang w:val="en-US"/>
        </w:rPr>
        <w:t xml:space="preserve"> </w:t>
      </w:r>
      <w:r>
        <w:rPr>
          <w:lang w:val="en-US"/>
        </w:rPr>
        <w:t xml:space="preserve">   </w:t>
      </w:r>
      <w:r w:rsidRPr="00440B9A">
        <w:rPr>
          <w:lang w:val="en-US"/>
        </w:rPr>
        <w:t xml:space="preserve">2,243,085 </w:t>
      </w:r>
    </w:p>
    <w:p w14:paraId="2CA9FD91" w14:textId="05855F62" w:rsidR="00440B9A" w:rsidRPr="00440B9A" w:rsidRDefault="00440B9A" w:rsidP="004B03F8">
      <w:pPr>
        <w:pStyle w:val="NoSpacing"/>
        <w:rPr>
          <w:lang w:val="en-US"/>
        </w:rPr>
      </w:pPr>
      <w:r w:rsidRPr="00440B9A">
        <w:rPr>
          <w:lang w:val="en-US"/>
        </w:rPr>
        <w:t>Add adjustments to reserves </w:t>
      </w:r>
      <w:r>
        <w:rPr>
          <w:lang w:val="en-US"/>
        </w:rPr>
        <w:t xml:space="preserve">                                                  </w:t>
      </w:r>
      <w:r w:rsidR="004B03F8">
        <w:rPr>
          <w:lang w:val="en-US"/>
        </w:rPr>
        <w:t xml:space="preserve"> </w:t>
      </w:r>
      <w:r>
        <w:rPr>
          <w:lang w:val="en-US"/>
        </w:rPr>
        <w:t xml:space="preserve"> </w:t>
      </w:r>
      <w:r w:rsidRPr="00440B9A">
        <w:rPr>
          <w:lang w:val="en-US"/>
        </w:rPr>
        <w:t>47,034               </w:t>
      </w:r>
      <w:r>
        <w:rPr>
          <w:lang w:val="en-US"/>
        </w:rPr>
        <w:t xml:space="preserve"> </w:t>
      </w:r>
      <w:r w:rsidRPr="00440B9A">
        <w:rPr>
          <w:lang w:val="en-US"/>
        </w:rPr>
        <w:t xml:space="preserve"> 55,119 </w:t>
      </w:r>
      <w:r>
        <w:rPr>
          <w:lang w:val="en-US"/>
        </w:rPr>
        <w:t xml:space="preserve">      </w:t>
      </w:r>
      <w:r w:rsidR="004B03F8">
        <w:rPr>
          <w:lang w:val="en-US"/>
        </w:rPr>
        <w:t xml:space="preserve"> </w:t>
      </w:r>
      <w:r>
        <w:rPr>
          <w:lang w:val="en-US"/>
        </w:rPr>
        <w:t xml:space="preserve"> </w:t>
      </w:r>
      <w:r w:rsidRPr="00440B9A">
        <w:rPr>
          <w:lang w:val="en-US"/>
        </w:rPr>
        <w:t>(25,631)</w:t>
      </w:r>
    </w:p>
    <w:p w14:paraId="6C030CF8" w14:textId="497EEB36" w:rsidR="00440B9A" w:rsidRPr="00440B9A" w:rsidRDefault="00440B9A" w:rsidP="004B03F8">
      <w:pPr>
        <w:pStyle w:val="NoSpacing"/>
        <w:rPr>
          <w:lang w:val="en-US"/>
        </w:rPr>
      </w:pPr>
      <w:r w:rsidRPr="00440B9A">
        <w:rPr>
          <w:lang w:val="en-US"/>
        </w:rPr>
        <w:t>Operating Surplus (Deficit) for the</w:t>
      </w:r>
      <w:r w:rsidR="004B03F8">
        <w:rPr>
          <w:lang w:val="en-US"/>
        </w:rPr>
        <w:t xml:space="preserve"> year                            </w:t>
      </w:r>
      <w:r w:rsidRPr="00440B9A">
        <w:rPr>
          <w:lang w:val="en-US"/>
        </w:rPr>
        <w:t>  178,506               </w:t>
      </w:r>
      <w:r w:rsidR="004B03F8">
        <w:rPr>
          <w:lang w:val="en-US"/>
        </w:rPr>
        <w:t xml:space="preserve"> </w:t>
      </w:r>
      <w:r w:rsidRPr="00440B9A">
        <w:rPr>
          <w:lang w:val="en-US"/>
        </w:rPr>
        <w:t xml:space="preserve"> 89,214</w:t>
      </w:r>
      <w:r w:rsidR="004B03F8">
        <w:rPr>
          <w:lang w:val="en-US"/>
        </w:rPr>
        <w:t xml:space="preserve">      </w:t>
      </w:r>
      <w:r w:rsidRPr="00440B9A">
        <w:rPr>
          <w:lang w:val="en-US"/>
        </w:rPr>
        <w:t xml:space="preserve"> (460,512)</w:t>
      </w:r>
      <w:r w:rsidR="004B03F8">
        <w:rPr>
          <w:lang w:val="en-US"/>
        </w:rPr>
        <w:br/>
      </w:r>
      <w:r w:rsidRPr="00440B9A">
        <w:rPr>
          <w:lang w:val="en-US"/>
        </w:rPr>
        <w:t>Closin</w:t>
      </w:r>
      <w:r w:rsidR="002E6DED">
        <w:rPr>
          <w:lang w:val="en-US"/>
        </w:rPr>
        <w:t xml:space="preserve">g balance 31 </w:t>
      </w:r>
      <w:r w:rsidRPr="00440B9A">
        <w:rPr>
          <w:lang w:val="en-US"/>
        </w:rPr>
        <w:t xml:space="preserve">December   </w:t>
      </w:r>
      <w:r w:rsidR="002E6DED">
        <w:rPr>
          <w:lang w:val="en-US"/>
        </w:rPr>
        <w:t xml:space="preserve">                                      </w:t>
      </w:r>
      <w:r w:rsidRPr="002E6DED">
        <w:rPr>
          <w:b/>
          <w:lang w:val="en-US"/>
        </w:rPr>
        <w:t>$2,126,815  </w:t>
      </w:r>
      <w:r w:rsidR="002E6DED" w:rsidRPr="002E6DED">
        <w:rPr>
          <w:b/>
          <w:lang w:val="en-US"/>
        </w:rPr>
        <w:t xml:space="preserve">   </w:t>
      </w:r>
      <w:r w:rsidRPr="002E6DED">
        <w:rPr>
          <w:b/>
          <w:lang w:val="en-US"/>
        </w:rPr>
        <w:t>  $1,901,275</w:t>
      </w:r>
      <w:r w:rsidR="002E6DED" w:rsidRPr="002E6DED">
        <w:rPr>
          <w:b/>
          <w:lang w:val="en-US"/>
        </w:rPr>
        <w:t>  </w:t>
      </w:r>
      <w:r w:rsidRPr="002E6DED">
        <w:rPr>
          <w:b/>
          <w:lang w:val="en-US"/>
        </w:rPr>
        <w:t> $1,756,942</w:t>
      </w:r>
      <w:r w:rsidRPr="00440B9A">
        <w:rPr>
          <w:lang w:val="en-US"/>
        </w:rPr>
        <w:t xml:space="preserve"> </w:t>
      </w:r>
    </w:p>
    <w:p w14:paraId="585DD067" w14:textId="77777777" w:rsidR="00440B9A" w:rsidRPr="00696058" w:rsidRDefault="00440B9A" w:rsidP="008F179B">
      <w:pPr>
        <w:tabs>
          <w:tab w:val="right" w:pos="5954"/>
          <w:tab w:val="right" w:pos="7371"/>
          <w:tab w:val="right" w:pos="8789"/>
        </w:tabs>
        <w:spacing w:before="120" w:after="120" w:line="240" w:lineRule="auto"/>
        <w:contextualSpacing/>
        <w:rPr>
          <w:rFonts w:ascii="Cambria" w:hAnsi="Cambria" w:cs="Calibri"/>
          <w:b/>
          <w:bCs/>
          <w:sz w:val="21"/>
          <w:szCs w:val="21"/>
        </w:rPr>
      </w:pPr>
    </w:p>
    <w:p w14:paraId="72F0898F" w14:textId="57A20503" w:rsidR="00F47478" w:rsidRPr="009A0DA6" w:rsidRDefault="00F47478" w:rsidP="00964A90">
      <w:pPr>
        <w:pStyle w:val="Heading3"/>
      </w:pPr>
      <w:r w:rsidRPr="009A0DA6">
        <w:lastRenderedPageBreak/>
        <w:t>agenda 10.3</w:t>
      </w:r>
    </w:p>
    <w:p w14:paraId="10DA22E5" w14:textId="77777777" w:rsidR="00CE0DB0" w:rsidRPr="009A0DA6" w:rsidRDefault="00F47478" w:rsidP="00F47478">
      <w:pPr>
        <w:pStyle w:val="Heading2"/>
      </w:pPr>
      <w:bookmarkStart w:id="502" w:name="_Toc521954743"/>
      <w:r w:rsidRPr="009A0DA6">
        <w:t>Financial Report</w:t>
      </w:r>
      <w:r w:rsidR="00CE0DB0" w:rsidRPr="009A0DA6">
        <w:t>: LCA Student A</w:t>
      </w:r>
      <w:r w:rsidRPr="009A0DA6">
        <w:t>s</w:t>
      </w:r>
      <w:r w:rsidR="00CE0DB0" w:rsidRPr="009A0DA6">
        <w:t>sistance Fund</w:t>
      </w:r>
      <w:bookmarkEnd w:id="502"/>
    </w:p>
    <w:p w14:paraId="1B796D0E" w14:textId="77777777" w:rsidR="00CE0DB0" w:rsidRPr="00696058" w:rsidRDefault="00CE0DB0" w:rsidP="00CE0DB0">
      <w:pPr>
        <w:pStyle w:val="NoSpacing"/>
        <w:rPr>
          <w:sz w:val="18"/>
        </w:rPr>
      </w:pPr>
    </w:p>
    <w:p w14:paraId="1CE0C634" w14:textId="77777777" w:rsidR="00934A96" w:rsidRPr="009A0DA6" w:rsidRDefault="00934A96" w:rsidP="00766B14">
      <w:pPr>
        <w:pStyle w:val="NoSpacing"/>
        <w:rPr>
          <w:b/>
        </w:rPr>
      </w:pPr>
      <w:r w:rsidRPr="009A0DA6">
        <w:rPr>
          <w:b/>
        </w:rPr>
        <w:t>INCOME AND EXPENDITURE STATEMENT</w:t>
      </w:r>
    </w:p>
    <w:p w14:paraId="7ADDD3E0" w14:textId="76F0B18D" w:rsidR="008F179B" w:rsidRPr="00696058" w:rsidRDefault="00FF7E8B" w:rsidP="00FF7E8B">
      <w:pPr>
        <w:pStyle w:val="NoSpacing"/>
        <w:rPr>
          <w:rFonts w:eastAsia="Times New Roman" w:cs="Arial"/>
          <w:b/>
          <w:bCs/>
          <w:sz w:val="2"/>
          <w:lang w:eastAsia="en-AU"/>
        </w:rPr>
      </w:pPr>
      <w:r w:rsidRPr="00FF7E8B">
        <w:rPr>
          <w:b/>
        </w:rPr>
        <w:t>FOR THE PERIODS ENDING 31 DECEMBER</w:t>
      </w:r>
      <w:r w:rsidRPr="00FF7E8B">
        <w:rPr>
          <w:b/>
        </w:rPr>
        <w:br/>
      </w:r>
    </w:p>
    <w:p w14:paraId="2B162699" w14:textId="77777777" w:rsidR="008F179B" w:rsidRPr="009A0DA6" w:rsidRDefault="008F179B" w:rsidP="008F179B">
      <w:pPr>
        <w:tabs>
          <w:tab w:val="right" w:pos="5954"/>
          <w:tab w:val="right" w:pos="7371"/>
          <w:tab w:val="right" w:pos="8789"/>
        </w:tabs>
        <w:spacing w:before="120" w:after="120" w:line="240" w:lineRule="auto"/>
        <w:contextualSpacing/>
        <w:rPr>
          <w:rFonts w:ascii="Cambria" w:eastAsiaTheme="minorEastAsia" w:hAnsi="Cambria" w:cs="Arial"/>
          <w:b/>
          <w:bCs/>
          <w:lang w:eastAsia="ja-JP"/>
        </w:rPr>
      </w:pPr>
      <w:r w:rsidRPr="009A0DA6">
        <w:rPr>
          <w:rFonts w:ascii="Cambria" w:hAnsi="Cambria" w:cs="Calibri"/>
          <w:b/>
          <w:bCs/>
        </w:rPr>
        <w:t xml:space="preserve">INCOME AND EXPENDITURE STATEMENT </w:t>
      </w:r>
      <w:r w:rsidRPr="009A0DA6">
        <w:rPr>
          <w:rFonts w:ascii="Cambria" w:hAnsi="Cambria"/>
        </w:rPr>
        <w:tab/>
      </w:r>
      <w:r w:rsidRPr="009A0DA6">
        <w:rPr>
          <w:rFonts w:ascii="Cambria" w:hAnsi="Cambria" w:cs="Arial"/>
          <w:b/>
          <w:bCs/>
        </w:rPr>
        <w:t>2017</w:t>
      </w:r>
      <w:r w:rsidRPr="009A0DA6">
        <w:rPr>
          <w:rFonts w:ascii="Cambria" w:hAnsi="Cambria" w:cs="Arial"/>
          <w:b/>
          <w:bCs/>
        </w:rPr>
        <w:tab/>
        <w:t>2016</w:t>
      </w:r>
      <w:r w:rsidRPr="009A0DA6">
        <w:rPr>
          <w:rFonts w:ascii="Cambria" w:hAnsi="Cambria" w:cs="Arial"/>
          <w:b/>
          <w:bCs/>
        </w:rPr>
        <w:tab/>
        <w:t>2015</w:t>
      </w:r>
    </w:p>
    <w:p w14:paraId="0BD3768E" w14:textId="77777777" w:rsidR="008F179B" w:rsidRPr="009A0DA6" w:rsidRDefault="008F179B" w:rsidP="008F179B">
      <w:pPr>
        <w:tabs>
          <w:tab w:val="right" w:pos="5954"/>
          <w:tab w:val="right" w:pos="7371"/>
          <w:tab w:val="right" w:pos="8789"/>
        </w:tabs>
        <w:spacing w:before="120" w:after="120" w:line="240" w:lineRule="auto"/>
        <w:contextualSpacing/>
        <w:rPr>
          <w:rFonts w:ascii="Cambria" w:hAnsi="Cambria"/>
        </w:rPr>
      </w:pPr>
      <w:r w:rsidRPr="009A0DA6">
        <w:rPr>
          <w:rFonts w:ascii="Cambria" w:hAnsi="Cambria" w:cs="Calibri"/>
          <w:b/>
          <w:bCs/>
        </w:rPr>
        <w:t>Income received</w:t>
      </w:r>
    </w:p>
    <w:p w14:paraId="4A77D730" w14:textId="77777777" w:rsidR="008F179B" w:rsidRPr="009A0DA6" w:rsidRDefault="008F179B" w:rsidP="008F179B">
      <w:pPr>
        <w:tabs>
          <w:tab w:val="right" w:pos="5954"/>
          <w:tab w:val="right" w:pos="7371"/>
          <w:tab w:val="right" w:pos="8789"/>
        </w:tabs>
        <w:spacing w:before="120" w:after="120" w:line="240" w:lineRule="auto"/>
        <w:contextualSpacing/>
        <w:rPr>
          <w:rFonts w:ascii="Cambria" w:hAnsi="Cambria" w:cs="Calibri"/>
        </w:rPr>
      </w:pPr>
      <w:r w:rsidRPr="009A0DA6">
        <w:rPr>
          <w:rFonts w:ascii="Cambria" w:hAnsi="Cambria" w:cs="Calibri"/>
        </w:rPr>
        <w:t>Donations</w:t>
      </w:r>
      <w:r w:rsidRPr="009A0DA6">
        <w:rPr>
          <w:rFonts w:ascii="Cambria" w:hAnsi="Cambria" w:cs="Calibri"/>
        </w:rPr>
        <w:tab/>
        <w:t xml:space="preserve">       16,723 </w:t>
      </w:r>
      <w:r w:rsidRPr="009A0DA6">
        <w:rPr>
          <w:rFonts w:ascii="Cambria" w:hAnsi="Cambria" w:cs="Calibri"/>
        </w:rPr>
        <w:tab/>
        <w:t xml:space="preserve">            22,487 </w:t>
      </w:r>
      <w:r w:rsidRPr="009A0DA6">
        <w:rPr>
          <w:rFonts w:ascii="Cambria" w:hAnsi="Cambria" w:cs="Calibri"/>
        </w:rPr>
        <w:tab/>
        <w:t xml:space="preserve">       104,077 </w:t>
      </w:r>
    </w:p>
    <w:p w14:paraId="72872FB7" w14:textId="77777777" w:rsidR="008F179B" w:rsidRPr="009A0DA6" w:rsidRDefault="008F179B" w:rsidP="008F179B">
      <w:pPr>
        <w:tabs>
          <w:tab w:val="right" w:pos="5954"/>
          <w:tab w:val="right" w:pos="7371"/>
          <w:tab w:val="right" w:pos="8789"/>
        </w:tabs>
        <w:spacing w:before="120" w:after="120" w:line="240" w:lineRule="auto"/>
        <w:contextualSpacing/>
        <w:rPr>
          <w:rFonts w:ascii="Cambria" w:hAnsi="Cambria" w:cs="Calibri"/>
        </w:rPr>
      </w:pPr>
      <w:r w:rsidRPr="009A0DA6">
        <w:rPr>
          <w:rFonts w:ascii="Cambria" w:hAnsi="Cambria" w:cs="Calibri"/>
        </w:rPr>
        <w:t>Interest</w:t>
      </w:r>
      <w:r w:rsidRPr="009A0DA6">
        <w:rPr>
          <w:rFonts w:ascii="Cambria" w:hAnsi="Cambria" w:cs="Calibri"/>
        </w:rPr>
        <w:tab/>
        <w:t xml:space="preserve">       39,506 </w:t>
      </w:r>
      <w:r w:rsidRPr="009A0DA6">
        <w:rPr>
          <w:rFonts w:ascii="Cambria" w:hAnsi="Cambria" w:cs="Calibri"/>
        </w:rPr>
        <w:tab/>
        <w:t xml:space="preserve">            40,214 </w:t>
      </w:r>
      <w:r w:rsidRPr="009A0DA6">
        <w:rPr>
          <w:rFonts w:ascii="Cambria" w:hAnsi="Cambria" w:cs="Calibri"/>
        </w:rPr>
        <w:tab/>
        <w:t xml:space="preserve">          41,659 </w:t>
      </w:r>
    </w:p>
    <w:p w14:paraId="473E732B" w14:textId="77777777" w:rsidR="008F179B" w:rsidRPr="009A0DA6" w:rsidRDefault="008F179B" w:rsidP="008F179B">
      <w:pPr>
        <w:tabs>
          <w:tab w:val="right" w:pos="5954"/>
          <w:tab w:val="right" w:pos="7371"/>
          <w:tab w:val="right" w:pos="8789"/>
        </w:tabs>
        <w:spacing w:before="120" w:after="120" w:line="240" w:lineRule="auto"/>
        <w:contextualSpacing/>
        <w:rPr>
          <w:rFonts w:ascii="Cambria" w:hAnsi="Cambria" w:cs="Calibri"/>
          <w:b/>
          <w:bCs/>
        </w:rPr>
      </w:pPr>
      <w:r w:rsidRPr="009A0DA6">
        <w:rPr>
          <w:rFonts w:ascii="Cambria" w:hAnsi="Cambria" w:cs="Calibri"/>
          <w:b/>
          <w:bCs/>
        </w:rPr>
        <w:t>Total Income</w:t>
      </w:r>
      <w:r w:rsidRPr="009A0DA6">
        <w:rPr>
          <w:rFonts w:ascii="Cambria" w:hAnsi="Cambria" w:cs="Calibri"/>
          <w:b/>
          <w:bCs/>
        </w:rPr>
        <w:tab/>
        <w:t xml:space="preserve">       56,229 </w:t>
      </w:r>
      <w:r w:rsidRPr="009A0DA6">
        <w:rPr>
          <w:rFonts w:ascii="Cambria" w:hAnsi="Cambria" w:cs="Calibri"/>
          <w:b/>
          <w:bCs/>
        </w:rPr>
        <w:tab/>
        <w:t xml:space="preserve">            62,701 </w:t>
      </w:r>
      <w:r w:rsidRPr="009A0DA6">
        <w:rPr>
          <w:rFonts w:ascii="Cambria" w:hAnsi="Cambria" w:cs="Calibri"/>
          <w:b/>
          <w:bCs/>
        </w:rPr>
        <w:tab/>
        <w:t xml:space="preserve">       145,736 </w:t>
      </w:r>
    </w:p>
    <w:p w14:paraId="41D523D8" w14:textId="77777777" w:rsidR="008F179B" w:rsidRPr="009A0DA6" w:rsidRDefault="008F179B" w:rsidP="008F179B">
      <w:pPr>
        <w:tabs>
          <w:tab w:val="right" w:pos="5954"/>
          <w:tab w:val="right" w:pos="7371"/>
          <w:tab w:val="right" w:pos="8789"/>
        </w:tabs>
        <w:spacing w:before="120" w:after="120" w:line="240" w:lineRule="auto"/>
        <w:contextualSpacing/>
        <w:rPr>
          <w:rFonts w:ascii="Cambria" w:hAnsi="Cambria"/>
        </w:rPr>
      </w:pPr>
      <w:r w:rsidRPr="009A0DA6">
        <w:rPr>
          <w:rFonts w:ascii="Cambria" w:hAnsi="Cambria" w:cs="Calibri"/>
          <w:b/>
          <w:bCs/>
        </w:rPr>
        <w:t>Expenses</w:t>
      </w:r>
    </w:p>
    <w:p w14:paraId="28CCEC8A" w14:textId="77777777" w:rsidR="008F179B" w:rsidRPr="009A0DA6" w:rsidRDefault="008F179B" w:rsidP="008F179B">
      <w:pPr>
        <w:tabs>
          <w:tab w:val="right" w:pos="5954"/>
          <w:tab w:val="right" w:pos="7371"/>
          <w:tab w:val="right" w:pos="8789"/>
        </w:tabs>
        <w:spacing w:before="120" w:after="120" w:line="240" w:lineRule="auto"/>
        <w:contextualSpacing/>
        <w:rPr>
          <w:rFonts w:ascii="Cambria" w:hAnsi="Cambria" w:cs="Calibri"/>
        </w:rPr>
      </w:pPr>
      <w:r w:rsidRPr="009A0DA6">
        <w:rPr>
          <w:rFonts w:ascii="Cambria" w:hAnsi="Cambria" w:cs="Calibri"/>
        </w:rPr>
        <w:t>Audit Fees</w:t>
      </w:r>
      <w:r w:rsidRPr="009A0DA6">
        <w:rPr>
          <w:rFonts w:ascii="Cambria" w:hAnsi="Cambria" w:cs="Calibri"/>
        </w:rPr>
        <w:tab/>
        <w:t xml:space="preserve">         3,300 </w:t>
      </w:r>
      <w:r w:rsidRPr="009A0DA6">
        <w:rPr>
          <w:rFonts w:ascii="Cambria" w:hAnsi="Cambria" w:cs="Calibri"/>
        </w:rPr>
        <w:tab/>
        <w:t xml:space="preserve">              3,300 </w:t>
      </w:r>
      <w:r w:rsidRPr="009A0DA6">
        <w:rPr>
          <w:rFonts w:ascii="Cambria" w:hAnsi="Cambria" w:cs="Calibri"/>
        </w:rPr>
        <w:tab/>
        <w:t xml:space="preserve">            3,500 </w:t>
      </w:r>
    </w:p>
    <w:p w14:paraId="589B2028" w14:textId="77777777" w:rsidR="008F179B" w:rsidRPr="009A0DA6" w:rsidRDefault="008F179B" w:rsidP="008F179B">
      <w:pPr>
        <w:tabs>
          <w:tab w:val="right" w:pos="5954"/>
          <w:tab w:val="right" w:pos="7371"/>
          <w:tab w:val="right" w:pos="8789"/>
        </w:tabs>
        <w:spacing w:before="120" w:after="120" w:line="240" w:lineRule="auto"/>
        <w:contextualSpacing/>
        <w:rPr>
          <w:rFonts w:ascii="Cambria" w:hAnsi="Cambria" w:cs="Calibri"/>
        </w:rPr>
      </w:pPr>
      <w:r w:rsidRPr="009A0DA6">
        <w:rPr>
          <w:rFonts w:ascii="Cambria" w:hAnsi="Cambria" w:cs="Calibri"/>
        </w:rPr>
        <w:t>Grants Written Off</w:t>
      </w:r>
      <w:r w:rsidRPr="009A0DA6">
        <w:rPr>
          <w:rFonts w:ascii="Cambria" w:hAnsi="Cambria" w:cs="Calibri"/>
        </w:rPr>
        <w:tab/>
        <w:t xml:space="preserve">       69,192 </w:t>
      </w:r>
      <w:r w:rsidRPr="009A0DA6">
        <w:rPr>
          <w:rFonts w:ascii="Cambria" w:hAnsi="Cambria" w:cs="Calibri"/>
        </w:rPr>
        <w:tab/>
        <w:t xml:space="preserve">            62,070 </w:t>
      </w:r>
      <w:r w:rsidRPr="009A0DA6">
        <w:rPr>
          <w:rFonts w:ascii="Cambria" w:hAnsi="Cambria" w:cs="Calibri"/>
        </w:rPr>
        <w:tab/>
        <w:t xml:space="preserve">       171,246 </w:t>
      </w:r>
    </w:p>
    <w:p w14:paraId="522D76F2" w14:textId="77777777" w:rsidR="008F179B" w:rsidRPr="009A0DA6" w:rsidRDefault="008F179B" w:rsidP="008F179B">
      <w:pPr>
        <w:tabs>
          <w:tab w:val="right" w:pos="5954"/>
          <w:tab w:val="right" w:pos="7371"/>
          <w:tab w:val="right" w:pos="8789"/>
        </w:tabs>
        <w:spacing w:before="120" w:after="120" w:line="240" w:lineRule="auto"/>
        <w:contextualSpacing/>
        <w:rPr>
          <w:rFonts w:ascii="Cambria" w:hAnsi="Cambria" w:cs="Calibri"/>
        </w:rPr>
      </w:pPr>
      <w:r w:rsidRPr="009A0DA6">
        <w:rPr>
          <w:rFonts w:ascii="Cambria" w:hAnsi="Cambria" w:cs="Calibri"/>
        </w:rPr>
        <w:t>Other expenses</w:t>
      </w:r>
      <w:r w:rsidRPr="009A0DA6">
        <w:rPr>
          <w:rFonts w:ascii="Cambria" w:hAnsi="Cambria" w:cs="Calibri"/>
        </w:rPr>
        <w:tab/>
        <w:t xml:space="preserve">         6,158 </w:t>
      </w:r>
      <w:r w:rsidRPr="009A0DA6">
        <w:rPr>
          <w:rFonts w:ascii="Cambria" w:hAnsi="Cambria" w:cs="Calibri"/>
        </w:rPr>
        <w:tab/>
        <w:t xml:space="preserve">              4,470 </w:t>
      </w:r>
      <w:r w:rsidRPr="009A0DA6">
        <w:rPr>
          <w:rFonts w:ascii="Cambria" w:hAnsi="Cambria" w:cs="Calibri"/>
        </w:rPr>
        <w:tab/>
        <w:t xml:space="preserve">            1,088 </w:t>
      </w:r>
    </w:p>
    <w:p w14:paraId="353908A4" w14:textId="77777777" w:rsidR="008F179B" w:rsidRPr="009A0DA6" w:rsidRDefault="008F179B" w:rsidP="008F179B">
      <w:pPr>
        <w:tabs>
          <w:tab w:val="right" w:pos="5954"/>
          <w:tab w:val="right" w:pos="7371"/>
          <w:tab w:val="right" w:pos="8789"/>
        </w:tabs>
        <w:spacing w:before="120" w:after="120" w:line="240" w:lineRule="auto"/>
        <w:contextualSpacing/>
        <w:rPr>
          <w:rFonts w:ascii="Cambria" w:hAnsi="Cambria" w:cs="Calibri"/>
          <w:b/>
          <w:bCs/>
        </w:rPr>
      </w:pPr>
      <w:r w:rsidRPr="009A0DA6">
        <w:rPr>
          <w:rFonts w:ascii="Cambria" w:hAnsi="Cambria" w:cs="Calibri"/>
          <w:b/>
          <w:bCs/>
        </w:rPr>
        <w:t>Total Expenses</w:t>
      </w:r>
      <w:r w:rsidRPr="009A0DA6">
        <w:rPr>
          <w:rFonts w:ascii="Cambria" w:hAnsi="Cambria" w:cs="Calibri"/>
          <w:b/>
          <w:bCs/>
        </w:rPr>
        <w:tab/>
        <w:t xml:space="preserve">       78,650 </w:t>
      </w:r>
      <w:r w:rsidRPr="009A0DA6">
        <w:rPr>
          <w:rFonts w:ascii="Cambria" w:hAnsi="Cambria" w:cs="Calibri"/>
          <w:b/>
          <w:bCs/>
        </w:rPr>
        <w:tab/>
        <w:t xml:space="preserve">            69,840 </w:t>
      </w:r>
      <w:r w:rsidRPr="009A0DA6">
        <w:rPr>
          <w:rFonts w:ascii="Cambria" w:hAnsi="Cambria" w:cs="Calibri"/>
          <w:b/>
          <w:bCs/>
        </w:rPr>
        <w:tab/>
        <w:t xml:space="preserve">       175,834 </w:t>
      </w:r>
    </w:p>
    <w:p w14:paraId="680D568A" w14:textId="1B99473F" w:rsidR="008F179B" w:rsidRPr="009A0DA6" w:rsidRDefault="008F179B" w:rsidP="008F179B">
      <w:pPr>
        <w:tabs>
          <w:tab w:val="right" w:pos="5954"/>
          <w:tab w:val="right" w:pos="7371"/>
          <w:tab w:val="right" w:pos="8789"/>
        </w:tabs>
        <w:spacing w:before="120" w:after="120" w:line="240" w:lineRule="auto"/>
        <w:contextualSpacing/>
        <w:rPr>
          <w:rFonts w:ascii="Cambria" w:hAnsi="Cambria" w:cs="Calibri"/>
          <w:b/>
          <w:bCs/>
        </w:rPr>
      </w:pPr>
      <w:r w:rsidRPr="009A0DA6">
        <w:rPr>
          <w:rFonts w:ascii="Cambria" w:hAnsi="Cambria" w:cs="Calibri"/>
          <w:b/>
          <w:bCs/>
        </w:rPr>
        <w:t>Total Surplus (Deficit)</w:t>
      </w:r>
      <w:r w:rsidRPr="009A0DA6">
        <w:rPr>
          <w:rFonts w:ascii="Cambria" w:hAnsi="Cambria" w:cs="Calibri"/>
          <w:b/>
          <w:bCs/>
        </w:rPr>
        <w:tab/>
      </w:r>
      <w:r w:rsidR="00505B68">
        <w:rPr>
          <w:rFonts w:ascii="Cambria" w:hAnsi="Cambria" w:cs="Calibri"/>
          <w:b/>
          <w:bCs/>
        </w:rPr>
        <w:t>$</w:t>
      </w:r>
      <w:r w:rsidRPr="009A0DA6">
        <w:rPr>
          <w:rFonts w:ascii="Cambria" w:hAnsi="Cambria" w:cs="Calibri"/>
          <w:b/>
          <w:bCs/>
        </w:rPr>
        <w:t>(22,421)</w:t>
      </w:r>
      <w:r w:rsidRPr="009A0DA6">
        <w:rPr>
          <w:rFonts w:ascii="Cambria" w:hAnsi="Cambria" w:cs="Calibri"/>
          <w:b/>
          <w:bCs/>
        </w:rPr>
        <w:tab/>
      </w:r>
      <w:r w:rsidR="00505B68">
        <w:rPr>
          <w:rFonts w:ascii="Cambria" w:hAnsi="Cambria" w:cs="Calibri"/>
          <w:b/>
          <w:bCs/>
        </w:rPr>
        <w:t>$</w:t>
      </w:r>
      <w:r w:rsidRPr="009A0DA6">
        <w:rPr>
          <w:rFonts w:ascii="Cambria" w:hAnsi="Cambria" w:cs="Calibri"/>
          <w:b/>
          <w:bCs/>
        </w:rPr>
        <w:t>(7,139)</w:t>
      </w:r>
      <w:r w:rsidRPr="009A0DA6">
        <w:rPr>
          <w:rFonts w:ascii="Cambria" w:hAnsi="Cambria" w:cs="Calibri"/>
          <w:b/>
          <w:bCs/>
        </w:rPr>
        <w:tab/>
      </w:r>
      <w:r w:rsidR="00505B68">
        <w:rPr>
          <w:rFonts w:ascii="Cambria" w:hAnsi="Cambria" w:cs="Calibri"/>
          <w:b/>
          <w:bCs/>
        </w:rPr>
        <w:t>$</w:t>
      </w:r>
      <w:r w:rsidRPr="009A0DA6">
        <w:rPr>
          <w:rFonts w:ascii="Cambria" w:hAnsi="Cambria" w:cs="Calibri"/>
          <w:b/>
          <w:bCs/>
        </w:rPr>
        <w:t>(30,098)</w:t>
      </w:r>
    </w:p>
    <w:p w14:paraId="1C597EF7" w14:textId="62BDD99A" w:rsidR="00CE0DB0" w:rsidRPr="00696058" w:rsidRDefault="00CE0DB0" w:rsidP="00CE0DB0">
      <w:pPr>
        <w:pStyle w:val="NoSpacing"/>
        <w:rPr>
          <w:sz w:val="16"/>
        </w:rPr>
      </w:pPr>
    </w:p>
    <w:p w14:paraId="4AA932C3" w14:textId="77777777" w:rsidR="00934A96" w:rsidRPr="009A0DA6" w:rsidRDefault="00934A96" w:rsidP="00766B14">
      <w:pPr>
        <w:pStyle w:val="NoSpacing"/>
        <w:rPr>
          <w:b/>
        </w:rPr>
      </w:pPr>
      <w:r w:rsidRPr="009A0DA6">
        <w:rPr>
          <w:b/>
        </w:rPr>
        <w:t>BALANCE SHEET</w:t>
      </w:r>
    </w:p>
    <w:p w14:paraId="580D4C6A" w14:textId="5C33FC4E" w:rsidR="00934A96" w:rsidRPr="009A0DA6" w:rsidRDefault="00FF7E8B" w:rsidP="00934A96">
      <w:pPr>
        <w:pStyle w:val="NoSpacing"/>
        <w:rPr>
          <w:b/>
        </w:rPr>
      </w:pPr>
      <w:r w:rsidRPr="00FF7E8B">
        <w:rPr>
          <w:b/>
        </w:rPr>
        <w:t>FOR THE PERIODS ENDING 31 DECEMBER</w:t>
      </w:r>
      <w:r w:rsidR="00934A96" w:rsidRPr="009A0DA6">
        <w:rPr>
          <w:b/>
        </w:rPr>
        <w:t xml:space="preserve"> </w:t>
      </w:r>
    </w:p>
    <w:p w14:paraId="764985CC" w14:textId="77777777" w:rsidR="008F179B" w:rsidRPr="009A0DA6" w:rsidRDefault="008F179B" w:rsidP="008F179B">
      <w:pPr>
        <w:tabs>
          <w:tab w:val="right" w:pos="5954"/>
          <w:tab w:val="right" w:pos="7371"/>
          <w:tab w:val="right" w:pos="8789"/>
        </w:tabs>
        <w:spacing w:before="120" w:after="120" w:line="240" w:lineRule="auto"/>
        <w:contextualSpacing/>
        <w:rPr>
          <w:rFonts w:ascii="Cambria" w:hAnsi="Cambria" w:cs="Arial"/>
          <w:b/>
          <w:bCs/>
          <w:lang w:eastAsia="ja-JP"/>
        </w:rPr>
      </w:pPr>
      <w:r w:rsidRPr="009A0DA6">
        <w:rPr>
          <w:rFonts w:ascii="Cambria" w:hAnsi="Cambria" w:cs="Calibri"/>
        </w:rPr>
        <w:t>Current Assets</w:t>
      </w:r>
      <w:r w:rsidRPr="009A0DA6">
        <w:rPr>
          <w:rFonts w:ascii="Cambria" w:hAnsi="Cambria"/>
        </w:rPr>
        <w:tab/>
      </w:r>
      <w:r w:rsidRPr="009A0DA6">
        <w:rPr>
          <w:rFonts w:ascii="Cambria" w:hAnsi="Cambria" w:cs="Arial"/>
          <w:b/>
          <w:bCs/>
        </w:rPr>
        <w:t>2017</w:t>
      </w:r>
      <w:r w:rsidRPr="009A0DA6">
        <w:rPr>
          <w:rFonts w:ascii="Cambria" w:hAnsi="Cambria" w:cs="Arial"/>
          <w:b/>
          <w:bCs/>
        </w:rPr>
        <w:tab/>
        <w:t>2016</w:t>
      </w:r>
      <w:r w:rsidRPr="009A0DA6">
        <w:rPr>
          <w:rFonts w:ascii="Cambria" w:hAnsi="Cambria" w:cs="Arial"/>
          <w:b/>
          <w:bCs/>
        </w:rPr>
        <w:tab/>
        <w:t>2015</w:t>
      </w:r>
    </w:p>
    <w:p w14:paraId="7D9EC856" w14:textId="77777777" w:rsidR="008F179B" w:rsidRPr="009A0DA6" w:rsidRDefault="008F179B" w:rsidP="008F179B">
      <w:pPr>
        <w:tabs>
          <w:tab w:val="right" w:pos="5954"/>
          <w:tab w:val="right" w:pos="7371"/>
          <w:tab w:val="right" w:pos="8789"/>
        </w:tabs>
        <w:spacing w:before="120" w:after="120" w:line="240" w:lineRule="auto"/>
        <w:contextualSpacing/>
        <w:rPr>
          <w:rFonts w:ascii="Cambria" w:hAnsi="Cambria" w:cs="Calibri"/>
        </w:rPr>
      </w:pPr>
      <w:r w:rsidRPr="009A0DA6">
        <w:rPr>
          <w:rFonts w:ascii="Cambria" w:hAnsi="Cambria" w:cs="Calibri"/>
        </w:rPr>
        <w:t>Cash at bank</w:t>
      </w:r>
      <w:r w:rsidRPr="009A0DA6">
        <w:rPr>
          <w:rFonts w:ascii="Cambria" w:hAnsi="Cambria" w:cs="Calibri"/>
        </w:rPr>
        <w:tab/>
        <w:t xml:space="preserve">  1,316,054 </w:t>
      </w:r>
      <w:r w:rsidRPr="009A0DA6">
        <w:rPr>
          <w:rFonts w:ascii="Cambria" w:hAnsi="Cambria" w:cs="Calibri"/>
        </w:rPr>
        <w:tab/>
        <w:t xml:space="preserve">      1,281,583 </w:t>
      </w:r>
      <w:r w:rsidRPr="009A0DA6">
        <w:rPr>
          <w:rFonts w:ascii="Cambria" w:hAnsi="Cambria" w:cs="Calibri"/>
        </w:rPr>
        <w:tab/>
        <w:t xml:space="preserve">    1,223,872 </w:t>
      </w:r>
    </w:p>
    <w:p w14:paraId="4F78745E" w14:textId="77777777" w:rsidR="008F179B" w:rsidRPr="009A0DA6" w:rsidRDefault="008F179B" w:rsidP="008F179B">
      <w:pPr>
        <w:tabs>
          <w:tab w:val="right" w:pos="5954"/>
          <w:tab w:val="right" w:pos="7371"/>
          <w:tab w:val="right" w:pos="8789"/>
        </w:tabs>
        <w:spacing w:before="120" w:after="120" w:line="240" w:lineRule="auto"/>
        <w:contextualSpacing/>
        <w:rPr>
          <w:rFonts w:ascii="Cambria" w:hAnsi="Cambria" w:cs="Calibri"/>
        </w:rPr>
      </w:pPr>
      <w:r w:rsidRPr="009A0DA6">
        <w:rPr>
          <w:rFonts w:ascii="Cambria" w:hAnsi="Cambria" w:cs="Calibri"/>
        </w:rPr>
        <w:t>Loans receivable</w:t>
      </w:r>
      <w:r w:rsidRPr="009A0DA6">
        <w:rPr>
          <w:rFonts w:ascii="Cambria" w:hAnsi="Cambria" w:cs="Calibri"/>
        </w:rPr>
        <w:tab/>
        <w:t xml:space="preserve">     111,026 </w:t>
      </w:r>
      <w:r w:rsidRPr="009A0DA6">
        <w:rPr>
          <w:rFonts w:ascii="Cambria" w:hAnsi="Cambria" w:cs="Calibri"/>
        </w:rPr>
        <w:tab/>
        <w:t xml:space="preserve">          122,216 </w:t>
      </w:r>
      <w:r w:rsidRPr="009A0DA6">
        <w:rPr>
          <w:rFonts w:ascii="Cambria" w:hAnsi="Cambria" w:cs="Calibri"/>
        </w:rPr>
        <w:tab/>
        <w:t xml:space="preserve">       167,000 </w:t>
      </w:r>
    </w:p>
    <w:p w14:paraId="5B150DFE" w14:textId="77777777" w:rsidR="008F179B" w:rsidRPr="009A0DA6" w:rsidRDefault="008F179B" w:rsidP="008F179B">
      <w:pPr>
        <w:tabs>
          <w:tab w:val="right" w:pos="5954"/>
          <w:tab w:val="right" w:pos="7371"/>
          <w:tab w:val="right" w:pos="8789"/>
        </w:tabs>
        <w:spacing w:before="120" w:after="120" w:line="240" w:lineRule="auto"/>
        <w:contextualSpacing/>
        <w:rPr>
          <w:rFonts w:ascii="Cambria" w:hAnsi="Cambria" w:cs="Calibri"/>
        </w:rPr>
      </w:pPr>
      <w:r w:rsidRPr="009A0DA6">
        <w:rPr>
          <w:rFonts w:ascii="Cambria" w:hAnsi="Cambria" w:cs="Calibri"/>
        </w:rPr>
        <w:t>Contingent grants receivable</w:t>
      </w:r>
      <w:r w:rsidRPr="009A0DA6">
        <w:rPr>
          <w:rFonts w:ascii="Cambria" w:hAnsi="Cambria" w:cs="Calibri"/>
        </w:rPr>
        <w:tab/>
        <w:t xml:space="preserve">     115,732 </w:t>
      </w:r>
      <w:r w:rsidRPr="009A0DA6">
        <w:rPr>
          <w:rFonts w:ascii="Cambria" w:hAnsi="Cambria" w:cs="Calibri"/>
        </w:rPr>
        <w:tab/>
        <w:t xml:space="preserve">          161,434 </w:t>
      </w:r>
      <w:r w:rsidRPr="009A0DA6">
        <w:rPr>
          <w:rFonts w:ascii="Cambria" w:hAnsi="Cambria" w:cs="Calibri"/>
        </w:rPr>
        <w:tab/>
        <w:t xml:space="preserve">       181,500 </w:t>
      </w:r>
    </w:p>
    <w:p w14:paraId="51C6ACED" w14:textId="77777777" w:rsidR="008F179B" w:rsidRPr="009A0DA6" w:rsidRDefault="008F179B" w:rsidP="008F179B">
      <w:pPr>
        <w:tabs>
          <w:tab w:val="right" w:pos="5954"/>
          <w:tab w:val="right" w:pos="7371"/>
          <w:tab w:val="right" w:pos="8789"/>
        </w:tabs>
        <w:spacing w:before="120" w:after="120" w:line="240" w:lineRule="auto"/>
        <w:contextualSpacing/>
        <w:rPr>
          <w:rFonts w:ascii="Cambria" w:hAnsi="Cambria" w:cs="Calibri"/>
          <w:b/>
          <w:bCs/>
        </w:rPr>
      </w:pPr>
      <w:r w:rsidRPr="009A0DA6">
        <w:rPr>
          <w:rFonts w:ascii="Cambria" w:hAnsi="Cambria" w:cs="Calibri"/>
          <w:b/>
          <w:bCs/>
        </w:rPr>
        <w:t>Total Assets</w:t>
      </w:r>
      <w:r w:rsidRPr="009A0DA6">
        <w:rPr>
          <w:rFonts w:ascii="Cambria" w:hAnsi="Cambria" w:cs="Calibri"/>
          <w:b/>
          <w:bCs/>
        </w:rPr>
        <w:tab/>
        <w:t xml:space="preserve"> 1,542,812 </w:t>
      </w:r>
      <w:r w:rsidRPr="009A0DA6">
        <w:rPr>
          <w:rFonts w:ascii="Cambria" w:hAnsi="Cambria" w:cs="Calibri"/>
          <w:b/>
          <w:bCs/>
        </w:rPr>
        <w:tab/>
        <w:t xml:space="preserve">      1,565,233 </w:t>
      </w:r>
      <w:r w:rsidRPr="009A0DA6">
        <w:rPr>
          <w:rFonts w:ascii="Cambria" w:hAnsi="Cambria" w:cs="Calibri"/>
          <w:b/>
          <w:bCs/>
        </w:rPr>
        <w:tab/>
        <w:t xml:space="preserve">    1,572,372 </w:t>
      </w:r>
    </w:p>
    <w:p w14:paraId="4DE4F044" w14:textId="77777777" w:rsidR="008F179B" w:rsidRPr="009A0DA6" w:rsidRDefault="008F179B" w:rsidP="008F179B">
      <w:pPr>
        <w:tabs>
          <w:tab w:val="right" w:pos="5954"/>
          <w:tab w:val="right" w:pos="7371"/>
          <w:tab w:val="right" w:pos="8789"/>
        </w:tabs>
        <w:spacing w:before="120" w:after="120" w:line="240" w:lineRule="auto"/>
        <w:contextualSpacing/>
        <w:rPr>
          <w:rFonts w:ascii="Cambria" w:hAnsi="Cambria"/>
          <w:b/>
        </w:rPr>
      </w:pPr>
      <w:r w:rsidRPr="009A0DA6">
        <w:rPr>
          <w:rFonts w:ascii="Cambria" w:hAnsi="Cambria" w:cs="Calibri"/>
          <w:b/>
        </w:rPr>
        <w:t>Liabilities</w:t>
      </w:r>
      <w:r w:rsidRPr="009A0DA6">
        <w:rPr>
          <w:rFonts w:ascii="Cambria" w:hAnsi="Cambria" w:cs="Calibri"/>
          <w:b/>
        </w:rPr>
        <w:tab/>
        <w:t>0</w:t>
      </w:r>
      <w:r w:rsidRPr="009A0DA6">
        <w:rPr>
          <w:rFonts w:ascii="Cambria" w:hAnsi="Cambria" w:cs="Calibri"/>
          <w:b/>
        </w:rPr>
        <w:tab/>
        <w:t>0</w:t>
      </w:r>
      <w:r w:rsidRPr="009A0DA6">
        <w:rPr>
          <w:rFonts w:ascii="Cambria" w:hAnsi="Cambria"/>
          <w:b/>
        </w:rPr>
        <w:tab/>
        <w:t>0</w:t>
      </w:r>
    </w:p>
    <w:p w14:paraId="62E23752" w14:textId="77777777" w:rsidR="008F179B" w:rsidRPr="009A0DA6" w:rsidRDefault="008F179B" w:rsidP="008F179B">
      <w:pPr>
        <w:tabs>
          <w:tab w:val="right" w:pos="5954"/>
          <w:tab w:val="right" w:pos="7371"/>
          <w:tab w:val="right" w:pos="8789"/>
        </w:tabs>
        <w:spacing w:before="120" w:after="120" w:line="240" w:lineRule="auto"/>
        <w:contextualSpacing/>
        <w:rPr>
          <w:rFonts w:ascii="Cambria" w:hAnsi="Cambria" w:cs="Calibri"/>
          <w:b/>
          <w:bCs/>
        </w:rPr>
      </w:pPr>
      <w:r w:rsidRPr="009A0DA6">
        <w:rPr>
          <w:rFonts w:ascii="Cambria" w:hAnsi="Cambria" w:cs="Calibri"/>
          <w:b/>
          <w:bCs/>
        </w:rPr>
        <w:t>Net Assets</w:t>
      </w:r>
      <w:r w:rsidRPr="009A0DA6">
        <w:rPr>
          <w:rFonts w:ascii="Cambria" w:hAnsi="Cambria" w:cs="Calibri"/>
          <w:b/>
          <w:bCs/>
        </w:rPr>
        <w:tab/>
        <w:t xml:space="preserve"> 1,542,812 </w:t>
      </w:r>
      <w:r w:rsidRPr="009A0DA6">
        <w:rPr>
          <w:rFonts w:ascii="Cambria" w:hAnsi="Cambria" w:cs="Calibri"/>
          <w:b/>
          <w:bCs/>
        </w:rPr>
        <w:tab/>
        <w:t xml:space="preserve">      1,565,233 </w:t>
      </w:r>
      <w:r w:rsidRPr="009A0DA6">
        <w:rPr>
          <w:rFonts w:ascii="Cambria" w:hAnsi="Cambria" w:cs="Calibri"/>
          <w:b/>
          <w:bCs/>
        </w:rPr>
        <w:tab/>
        <w:t xml:space="preserve">    1,572,372 </w:t>
      </w:r>
    </w:p>
    <w:p w14:paraId="2851D13F" w14:textId="1B711DBB" w:rsidR="008F179B" w:rsidRPr="00696058" w:rsidRDefault="008F179B" w:rsidP="00CE0DB0">
      <w:pPr>
        <w:pStyle w:val="NoSpacing"/>
        <w:rPr>
          <w:sz w:val="16"/>
        </w:rPr>
      </w:pPr>
    </w:p>
    <w:p w14:paraId="113955BA" w14:textId="03EFBB26" w:rsidR="00934A96" w:rsidRPr="009A0DA6" w:rsidRDefault="00934A96" w:rsidP="00766B14">
      <w:pPr>
        <w:pStyle w:val="NoSpacing"/>
        <w:rPr>
          <w:b/>
        </w:rPr>
      </w:pPr>
      <w:r w:rsidRPr="009A0DA6">
        <w:rPr>
          <w:b/>
        </w:rPr>
        <w:t>FUNDS BALANCE</w:t>
      </w:r>
    </w:p>
    <w:p w14:paraId="5F9A8487" w14:textId="7E0FED5E" w:rsidR="00934A96" w:rsidRPr="009A0DA6" w:rsidRDefault="00FF7E8B" w:rsidP="00934A96">
      <w:pPr>
        <w:pStyle w:val="NoSpacing"/>
        <w:rPr>
          <w:b/>
        </w:rPr>
      </w:pPr>
      <w:r w:rsidRPr="00FF7E8B">
        <w:rPr>
          <w:b/>
        </w:rPr>
        <w:t>FOR THE PERIODS ENDING 31 DECEMBER</w:t>
      </w:r>
      <w:r w:rsidR="00934A96" w:rsidRPr="009A0DA6">
        <w:rPr>
          <w:b/>
        </w:rPr>
        <w:t xml:space="preserve"> </w:t>
      </w:r>
    </w:p>
    <w:p w14:paraId="6C55F23F" w14:textId="77777777" w:rsidR="008F179B" w:rsidRPr="009A0DA6" w:rsidRDefault="008F179B" w:rsidP="008F179B">
      <w:pPr>
        <w:tabs>
          <w:tab w:val="right" w:pos="5954"/>
          <w:tab w:val="right" w:pos="7371"/>
          <w:tab w:val="right" w:pos="8789"/>
        </w:tabs>
        <w:spacing w:before="120" w:after="120" w:line="240" w:lineRule="auto"/>
        <w:contextualSpacing/>
        <w:rPr>
          <w:rFonts w:ascii="Cambria" w:hAnsi="Cambria" w:cs="Arial"/>
          <w:b/>
          <w:bCs/>
          <w:lang w:eastAsia="ja-JP"/>
        </w:rPr>
      </w:pPr>
      <w:r w:rsidRPr="009A0DA6">
        <w:rPr>
          <w:rFonts w:ascii="Cambria" w:hAnsi="Cambria"/>
        </w:rPr>
        <w:tab/>
      </w:r>
      <w:r w:rsidRPr="009A0DA6">
        <w:rPr>
          <w:rFonts w:ascii="Cambria" w:hAnsi="Cambria" w:cs="Arial"/>
          <w:b/>
          <w:bCs/>
        </w:rPr>
        <w:t>2017</w:t>
      </w:r>
      <w:r w:rsidRPr="009A0DA6">
        <w:rPr>
          <w:rFonts w:ascii="Cambria" w:hAnsi="Cambria" w:cs="Arial"/>
          <w:b/>
          <w:bCs/>
        </w:rPr>
        <w:tab/>
        <w:t>2016</w:t>
      </w:r>
      <w:r w:rsidRPr="009A0DA6">
        <w:rPr>
          <w:rFonts w:ascii="Cambria" w:hAnsi="Cambria" w:cs="Arial"/>
          <w:b/>
          <w:bCs/>
        </w:rPr>
        <w:tab/>
        <w:t>2015</w:t>
      </w:r>
    </w:p>
    <w:p w14:paraId="383B3E64" w14:textId="77777777" w:rsidR="008F179B" w:rsidRPr="009A0DA6" w:rsidRDefault="008F179B" w:rsidP="008F179B">
      <w:pPr>
        <w:tabs>
          <w:tab w:val="right" w:pos="5954"/>
          <w:tab w:val="right" w:pos="7371"/>
          <w:tab w:val="right" w:pos="8789"/>
        </w:tabs>
        <w:spacing w:before="120" w:after="120" w:line="240" w:lineRule="auto"/>
        <w:contextualSpacing/>
        <w:rPr>
          <w:rFonts w:ascii="Cambria" w:hAnsi="Cambria" w:cs="Calibri"/>
        </w:rPr>
      </w:pPr>
      <w:r w:rsidRPr="009A0DA6">
        <w:rPr>
          <w:rFonts w:ascii="Cambria" w:hAnsi="Cambria" w:cs="Calibri"/>
        </w:rPr>
        <w:t>Opening balance</w:t>
      </w:r>
      <w:r w:rsidRPr="009A0DA6">
        <w:rPr>
          <w:rFonts w:ascii="Cambria" w:hAnsi="Cambria" w:cs="Calibri"/>
        </w:rPr>
        <w:tab/>
        <w:t xml:space="preserve">  1,565,233 </w:t>
      </w:r>
      <w:r w:rsidRPr="009A0DA6">
        <w:rPr>
          <w:rFonts w:ascii="Cambria" w:hAnsi="Cambria" w:cs="Calibri"/>
        </w:rPr>
        <w:tab/>
        <w:t xml:space="preserve">      1,572,372 </w:t>
      </w:r>
      <w:r w:rsidRPr="009A0DA6">
        <w:rPr>
          <w:rFonts w:ascii="Cambria" w:hAnsi="Cambria" w:cs="Calibri"/>
        </w:rPr>
        <w:tab/>
        <w:t xml:space="preserve">    1,602,470 </w:t>
      </w:r>
    </w:p>
    <w:p w14:paraId="53D5648F" w14:textId="77777777" w:rsidR="008F179B" w:rsidRPr="009A0DA6" w:rsidRDefault="008F179B" w:rsidP="008F179B">
      <w:pPr>
        <w:tabs>
          <w:tab w:val="right" w:pos="5954"/>
          <w:tab w:val="right" w:pos="7371"/>
          <w:tab w:val="right" w:pos="8789"/>
        </w:tabs>
        <w:spacing w:before="120" w:after="120" w:line="240" w:lineRule="auto"/>
        <w:contextualSpacing/>
        <w:rPr>
          <w:rFonts w:ascii="Cambria" w:hAnsi="Cambria" w:cs="Calibri"/>
        </w:rPr>
      </w:pPr>
      <w:r w:rsidRPr="009A0DA6">
        <w:rPr>
          <w:rFonts w:ascii="Cambria" w:hAnsi="Cambria" w:cs="Calibri"/>
        </w:rPr>
        <w:t>Current Earnings</w:t>
      </w:r>
      <w:r w:rsidRPr="009A0DA6">
        <w:rPr>
          <w:rFonts w:ascii="Cambria" w:hAnsi="Cambria" w:cs="Calibri"/>
        </w:rPr>
        <w:tab/>
        <w:t>(22,421)</w:t>
      </w:r>
      <w:r w:rsidRPr="009A0DA6">
        <w:rPr>
          <w:rFonts w:ascii="Cambria" w:hAnsi="Cambria" w:cs="Calibri"/>
        </w:rPr>
        <w:tab/>
        <w:t>(7,139)</w:t>
      </w:r>
      <w:r w:rsidRPr="009A0DA6">
        <w:rPr>
          <w:rFonts w:ascii="Cambria" w:hAnsi="Cambria" w:cs="Calibri"/>
        </w:rPr>
        <w:tab/>
        <w:t>(30,098)</w:t>
      </w:r>
    </w:p>
    <w:p w14:paraId="3C7FA0CF" w14:textId="0A7EC413" w:rsidR="008F179B" w:rsidRPr="009A0DA6" w:rsidRDefault="008F179B" w:rsidP="008F179B">
      <w:pPr>
        <w:tabs>
          <w:tab w:val="right" w:pos="5954"/>
          <w:tab w:val="right" w:pos="7371"/>
          <w:tab w:val="right" w:pos="8789"/>
        </w:tabs>
        <w:spacing w:before="120" w:after="120" w:line="240" w:lineRule="auto"/>
        <w:contextualSpacing/>
        <w:rPr>
          <w:rFonts w:ascii="Cambria" w:hAnsi="Cambria" w:cs="Calibri"/>
          <w:b/>
          <w:bCs/>
        </w:rPr>
      </w:pPr>
      <w:r w:rsidRPr="009A0DA6">
        <w:rPr>
          <w:rFonts w:ascii="Cambria" w:hAnsi="Cambria" w:cs="Calibri"/>
          <w:b/>
          <w:bCs/>
        </w:rPr>
        <w:t>Total Funds</w:t>
      </w:r>
      <w:r w:rsidRPr="009A0DA6">
        <w:rPr>
          <w:rFonts w:ascii="Cambria" w:hAnsi="Cambria" w:cs="Calibri"/>
          <w:b/>
          <w:bCs/>
        </w:rPr>
        <w:tab/>
      </w:r>
      <w:r w:rsidR="00505B68">
        <w:rPr>
          <w:rFonts w:ascii="Cambria" w:hAnsi="Cambria" w:cs="Calibri"/>
          <w:b/>
          <w:bCs/>
        </w:rPr>
        <w:t>$</w:t>
      </w:r>
      <w:r w:rsidRPr="009A0DA6">
        <w:rPr>
          <w:rFonts w:ascii="Cambria" w:hAnsi="Cambria" w:cs="Calibri"/>
          <w:b/>
          <w:bCs/>
        </w:rPr>
        <w:t>1,542,812</w:t>
      </w:r>
      <w:r w:rsidRPr="009A0DA6">
        <w:rPr>
          <w:rFonts w:ascii="Cambria" w:hAnsi="Cambria" w:cs="Calibri"/>
          <w:b/>
          <w:bCs/>
        </w:rPr>
        <w:tab/>
      </w:r>
      <w:r w:rsidR="00505B68">
        <w:rPr>
          <w:rFonts w:ascii="Cambria" w:hAnsi="Cambria" w:cs="Calibri"/>
          <w:b/>
          <w:bCs/>
        </w:rPr>
        <w:t>$</w:t>
      </w:r>
      <w:r w:rsidRPr="009A0DA6">
        <w:rPr>
          <w:rFonts w:ascii="Cambria" w:hAnsi="Cambria" w:cs="Calibri"/>
          <w:b/>
          <w:bCs/>
        </w:rPr>
        <w:t>1,565,233</w:t>
      </w:r>
      <w:r w:rsidRPr="009A0DA6">
        <w:rPr>
          <w:rFonts w:ascii="Cambria" w:hAnsi="Cambria" w:cs="Calibri"/>
          <w:b/>
          <w:bCs/>
        </w:rPr>
        <w:tab/>
      </w:r>
      <w:r w:rsidR="00505B68">
        <w:rPr>
          <w:rFonts w:ascii="Cambria" w:hAnsi="Cambria" w:cs="Calibri"/>
          <w:b/>
          <w:bCs/>
        </w:rPr>
        <w:t>$</w:t>
      </w:r>
      <w:r w:rsidRPr="009A0DA6">
        <w:rPr>
          <w:rFonts w:ascii="Cambria" w:hAnsi="Cambria" w:cs="Calibri"/>
          <w:b/>
          <w:bCs/>
        </w:rPr>
        <w:t>1,572,372</w:t>
      </w:r>
    </w:p>
    <w:p w14:paraId="5D8E59B6" w14:textId="7BDD30D8" w:rsidR="008F179B" w:rsidRDefault="008F179B" w:rsidP="00CE0DB0">
      <w:pPr>
        <w:pStyle w:val="NoSpacing"/>
      </w:pPr>
    </w:p>
    <w:p w14:paraId="6FA7B68B" w14:textId="77777777" w:rsidR="00975F5B" w:rsidRDefault="00975F5B" w:rsidP="00CE0DB0">
      <w:pPr>
        <w:pStyle w:val="NoSpacing"/>
      </w:pPr>
    </w:p>
    <w:p w14:paraId="3DF07D13" w14:textId="77777777" w:rsidR="00975F5B" w:rsidRDefault="00975F5B">
      <w:pPr>
        <w:rPr>
          <w:rFonts w:ascii="Cambria" w:eastAsiaTheme="majorEastAsia" w:hAnsi="Cambria" w:cstheme="majorBidi"/>
          <w:b/>
          <w:caps/>
          <w:sz w:val="28"/>
          <w:szCs w:val="24"/>
        </w:rPr>
      </w:pPr>
      <w:r>
        <w:br w:type="page"/>
      </w:r>
    </w:p>
    <w:p w14:paraId="3238306C" w14:textId="1012D7E1" w:rsidR="0054360D" w:rsidRPr="009A0DA6" w:rsidRDefault="0054360D" w:rsidP="0054360D">
      <w:pPr>
        <w:pStyle w:val="Heading3"/>
      </w:pPr>
      <w:r w:rsidRPr="009A0DA6">
        <w:lastRenderedPageBreak/>
        <w:t>agenda 11.1</w:t>
      </w:r>
    </w:p>
    <w:p w14:paraId="30A67F12" w14:textId="77777777" w:rsidR="0054360D" w:rsidRPr="009A0DA6" w:rsidRDefault="0054360D" w:rsidP="0054360D">
      <w:pPr>
        <w:pStyle w:val="Heading2"/>
      </w:pPr>
      <w:bookmarkStart w:id="503" w:name="_Toc521954744"/>
      <w:r w:rsidRPr="009A0DA6">
        <w:t>Lutheran Education Australia Ltd</w:t>
      </w:r>
      <w:bookmarkEnd w:id="503"/>
    </w:p>
    <w:p w14:paraId="7E65953A" w14:textId="77777777" w:rsidR="0054360D" w:rsidRPr="009A0DA6" w:rsidRDefault="0054360D" w:rsidP="0054360D">
      <w:pPr>
        <w:pStyle w:val="NoSpacing"/>
      </w:pPr>
    </w:p>
    <w:p w14:paraId="1A1ABB0C" w14:textId="77777777" w:rsidR="0054360D" w:rsidRPr="009A0DA6" w:rsidRDefault="0054360D" w:rsidP="0054360D">
      <w:pPr>
        <w:pStyle w:val="Heading3"/>
      </w:pPr>
      <w:r w:rsidRPr="009A0DA6">
        <w:t>Members</w:t>
      </w:r>
    </w:p>
    <w:p w14:paraId="0E868145" w14:textId="77777777" w:rsidR="0054360D" w:rsidRPr="009A0DA6" w:rsidRDefault="0054360D" w:rsidP="0054360D">
      <w:pPr>
        <w:pStyle w:val="NoSpacing"/>
        <w:spacing w:before="120" w:after="120"/>
        <w:contextualSpacing/>
        <w:rPr>
          <w:rFonts w:cs="Arial"/>
        </w:rPr>
      </w:pPr>
      <w:r w:rsidRPr="009A0DA6">
        <w:rPr>
          <w:rFonts w:eastAsia="Arial Unicode MS" w:cs="Arial"/>
        </w:rPr>
        <w:t>Rev Thomas Böhmert, Mrs Shiron Dixon, Brett Hausler, Dr Neville Highett (Chairman) Mrs Tania Nelson (resigned April 2016), Mr Lester Saegenschnitter, Dr Lisa Schmidt</w:t>
      </w:r>
    </w:p>
    <w:p w14:paraId="5919F999" w14:textId="77777777" w:rsidR="0054360D" w:rsidRPr="009A0DA6" w:rsidRDefault="0054360D" w:rsidP="0054360D">
      <w:pPr>
        <w:pStyle w:val="NoSpacing"/>
        <w:spacing w:before="120" w:after="120"/>
        <w:contextualSpacing/>
        <w:rPr>
          <w:rFonts w:cs="Arial"/>
        </w:rPr>
      </w:pPr>
      <w:r w:rsidRPr="009A0DA6">
        <w:rPr>
          <w:rFonts w:cs="Arial"/>
        </w:rPr>
        <w:t>Consultants Mr Stephen Rudolph (LEA), Mr Paul Weinert (LEVNT), Mr John Proeve (LESNW), Mr David Bliss (2016, LEQ), Mr Dennis Mulherin (2017/18, LEQ)</w:t>
      </w:r>
    </w:p>
    <w:p w14:paraId="54895200" w14:textId="77777777" w:rsidR="0054360D" w:rsidRPr="009A0DA6" w:rsidRDefault="0054360D" w:rsidP="0054360D">
      <w:pPr>
        <w:pStyle w:val="NoSpacing"/>
        <w:spacing w:before="120" w:after="120"/>
        <w:contextualSpacing/>
        <w:rPr>
          <w:rFonts w:cs="Arial"/>
          <w:b/>
        </w:rPr>
      </w:pPr>
    </w:p>
    <w:p w14:paraId="331BA7A9" w14:textId="77777777" w:rsidR="0054360D" w:rsidRPr="009A0DA6" w:rsidRDefault="0054360D" w:rsidP="0054360D">
      <w:pPr>
        <w:pStyle w:val="Heading3"/>
      </w:pPr>
      <w:r w:rsidRPr="009A0DA6">
        <w:t>LEA staff</w:t>
      </w:r>
    </w:p>
    <w:p w14:paraId="46FBDA2E" w14:textId="77777777" w:rsidR="0054360D" w:rsidRPr="009A0DA6" w:rsidRDefault="0054360D" w:rsidP="0054360D">
      <w:pPr>
        <w:pStyle w:val="NoSpacing"/>
        <w:spacing w:before="120" w:after="120"/>
        <w:contextualSpacing/>
        <w:rPr>
          <w:rFonts w:cs="Arial"/>
        </w:rPr>
      </w:pPr>
      <w:r w:rsidRPr="009A0DA6">
        <w:rPr>
          <w:rFonts w:cs="Arial"/>
        </w:rPr>
        <w:t>Mr Stephen Rudolph, LEA Executive Director; Mrs Anne Dohnt, LEA Director of Formation; Mrs Dianne Eckermann, LEA Director of Leadership; Mr Stephen Kroker, LEA Business Manager; Mrs Joan Scriven, LEA Executive Assistant</w:t>
      </w:r>
    </w:p>
    <w:p w14:paraId="46EE041B" w14:textId="77777777" w:rsidR="0054360D" w:rsidRPr="009A0DA6" w:rsidRDefault="0054360D" w:rsidP="0054360D">
      <w:pPr>
        <w:spacing w:before="120" w:after="120" w:line="240" w:lineRule="auto"/>
        <w:contextualSpacing/>
        <w:rPr>
          <w:rFonts w:ascii="Cambria" w:hAnsi="Cambria"/>
        </w:rPr>
      </w:pPr>
      <w:r w:rsidRPr="009A0DA6">
        <w:rPr>
          <w:rFonts w:ascii="Cambria" w:hAnsi="Cambria" w:cs="Arial"/>
        </w:rPr>
        <w:t>It should be noted that Stephen Rudolph, after 43 years of service to the LCA and Lutheran education, will retire at the end of 2018. The board, together with GCC, undertook a process of appointing a new LEA Executive Director. Dr Lisa Schmidt will commence in this role from January 2019 and will be introduced to the Lutheran education community and the LCA appropriately.</w:t>
      </w:r>
    </w:p>
    <w:p w14:paraId="34206124" w14:textId="77777777" w:rsidR="0054360D" w:rsidRPr="009A0DA6" w:rsidRDefault="0054360D" w:rsidP="0054360D">
      <w:pPr>
        <w:pStyle w:val="Heading3"/>
        <w:rPr>
          <w:lang w:val="en-US"/>
        </w:rPr>
      </w:pPr>
      <w:r w:rsidRPr="009A0DA6">
        <w:t>Background</w:t>
      </w:r>
    </w:p>
    <w:p w14:paraId="593B7A0B" w14:textId="77777777" w:rsidR="0054360D" w:rsidRPr="009A0DA6" w:rsidRDefault="0054360D" w:rsidP="0054360D">
      <w:pPr>
        <w:pStyle w:val="NoSpacing"/>
        <w:spacing w:before="120" w:after="120"/>
        <w:contextualSpacing/>
        <w:rPr>
          <w:rFonts w:cs="Arial"/>
        </w:rPr>
      </w:pPr>
      <w:r w:rsidRPr="009A0DA6">
        <w:rPr>
          <w:rFonts w:cs="Arial"/>
        </w:rPr>
        <w:t xml:space="preserve">The principal objects and activity of LEA is to advance the work of the Lord Jesus Christ through education and the promotion of Lutheran schools. LEA serves to steer and support a collaborative national Lutheran education system providing contemporary world-class Christian education guided by the theology of the LCA. It provides strategic direction and establishes the overall policy environment for Lutheran schools in all jurisdictions in Australia on behalf of the LCA. </w:t>
      </w:r>
    </w:p>
    <w:p w14:paraId="59C5DB46" w14:textId="77777777" w:rsidR="0054360D" w:rsidRPr="009A0DA6" w:rsidRDefault="0054360D" w:rsidP="00F55252">
      <w:pPr>
        <w:pStyle w:val="ListParagraph"/>
        <w:numPr>
          <w:ilvl w:val="0"/>
          <w:numId w:val="225"/>
        </w:numPr>
        <w:autoSpaceDE w:val="0"/>
        <w:autoSpaceDN w:val="0"/>
        <w:adjustRightInd w:val="0"/>
        <w:spacing w:before="120" w:after="120" w:line="240" w:lineRule="auto"/>
        <w:ind w:left="567" w:hanging="567"/>
        <w:rPr>
          <w:rFonts w:ascii="Cambria" w:hAnsi="Cambria" w:cs="Arial"/>
          <w:lang w:eastAsia="en-AU"/>
        </w:rPr>
      </w:pPr>
      <w:r w:rsidRPr="009A0DA6">
        <w:rPr>
          <w:rFonts w:ascii="Cambria" w:hAnsi="Cambria" w:cs="Arial"/>
          <w:lang w:eastAsia="en-AU"/>
        </w:rPr>
        <w:t>promote Lutheran schools as agencies of the LCA;</w:t>
      </w:r>
    </w:p>
    <w:p w14:paraId="167A001F" w14:textId="77777777" w:rsidR="0054360D" w:rsidRPr="009A0DA6" w:rsidRDefault="0054360D" w:rsidP="00F55252">
      <w:pPr>
        <w:pStyle w:val="ListParagraph"/>
        <w:numPr>
          <w:ilvl w:val="0"/>
          <w:numId w:val="225"/>
        </w:numPr>
        <w:autoSpaceDE w:val="0"/>
        <w:autoSpaceDN w:val="0"/>
        <w:adjustRightInd w:val="0"/>
        <w:spacing w:before="120" w:after="120" w:line="240" w:lineRule="auto"/>
        <w:ind w:left="567" w:hanging="567"/>
        <w:rPr>
          <w:rFonts w:ascii="Cambria" w:hAnsi="Cambria" w:cs="Arial"/>
          <w:lang w:eastAsia="en-AU"/>
        </w:rPr>
      </w:pPr>
      <w:r w:rsidRPr="009A0DA6">
        <w:rPr>
          <w:rFonts w:ascii="Cambria" w:hAnsi="Cambria" w:cs="Arial"/>
          <w:lang w:eastAsia="en-AU"/>
        </w:rPr>
        <w:t>uphold and safeguard the confessional teachings of the church, especially as these relate to the nature, purpose and program of schools;</w:t>
      </w:r>
    </w:p>
    <w:p w14:paraId="61636A1E" w14:textId="77777777" w:rsidR="0054360D" w:rsidRPr="009A0DA6" w:rsidRDefault="0054360D" w:rsidP="00F55252">
      <w:pPr>
        <w:pStyle w:val="ListParagraph"/>
        <w:numPr>
          <w:ilvl w:val="0"/>
          <w:numId w:val="225"/>
        </w:numPr>
        <w:autoSpaceDE w:val="0"/>
        <w:autoSpaceDN w:val="0"/>
        <w:adjustRightInd w:val="0"/>
        <w:spacing w:before="120" w:after="120" w:line="240" w:lineRule="auto"/>
        <w:ind w:left="567" w:hanging="567"/>
        <w:rPr>
          <w:rFonts w:ascii="Cambria" w:hAnsi="Cambria" w:cs="Arial"/>
          <w:lang w:eastAsia="en-AU"/>
        </w:rPr>
      </w:pPr>
      <w:r w:rsidRPr="009A0DA6">
        <w:rPr>
          <w:rFonts w:ascii="Cambria" w:hAnsi="Cambria" w:cs="Arial"/>
          <w:lang w:eastAsia="en-AU"/>
        </w:rPr>
        <w:t>provide strategic leadership and support for the schools of the church in those matters designated as national areas of responsibility;</w:t>
      </w:r>
    </w:p>
    <w:p w14:paraId="3DEAFE54" w14:textId="77777777" w:rsidR="0054360D" w:rsidRPr="009A0DA6" w:rsidRDefault="0054360D" w:rsidP="00F55252">
      <w:pPr>
        <w:pStyle w:val="ListParagraph"/>
        <w:numPr>
          <w:ilvl w:val="0"/>
          <w:numId w:val="225"/>
        </w:numPr>
        <w:autoSpaceDE w:val="0"/>
        <w:autoSpaceDN w:val="0"/>
        <w:adjustRightInd w:val="0"/>
        <w:spacing w:before="120" w:after="120" w:line="240" w:lineRule="auto"/>
        <w:ind w:left="567" w:hanging="567"/>
        <w:rPr>
          <w:rFonts w:ascii="Cambria" w:hAnsi="Cambria" w:cs="Arial"/>
          <w:lang w:eastAsia="en-AU"/>
        </w:rPr>
      </w:pPr>
      <w:r w:rsidRPr="009A0DA6">
        <w:rPr>
          <w:rFonts w:ascii="Cambria" w:hAnsi="Cambria" w:cs="Arial"/>
          <w:lang w:eastAsia="en-AU"/>
        </w:rPr>
        <w:t>formulate national policy that gives direction to Lutheran schools;</w:t>
      </w:r>
    </w:p>
    <w:p w14:paraId="7B2BB8E6" w14:textId="77777777" w:rsidR="0054360D" w:rsidRPr="009A0DA6" w:rsidRDefault="0054360D" w:rsidP="00F55252">
      <w:pPr>
        <w:pStyle w:val="ListParagraph"/>
        <w:numPr>
          <w:ilvl w:val="0"/>
          <w:numId w:val="225"/>
        </w:numPr>
        <w:autoSpaceDE w:val="0"/>
        <w:autoSpaceDN w:val="0"/>
        <w:adjustRightInd w:val="0"/>
        <w:spacing w:before="120" w:after="120" w:line="240" w:lineRule="auto"/>
        <w:ind w:left="567" w:hanging="567"/>
        <w:rPr>
          <w:rFonts w:ascii="Cambria" w:hAnsi="Cambria" w:cs="Arial"/>
          <w:lang w:eastAsia="en-AU"/>
        </w:rPr>
      </w:pPr>
      <w:r w:rsidRPr="009A0DA6">
        <w:rPr>
          <w:rFonts w:ascii="Cambria" w:hAnsi="Cambria" w:cs="Arial"/>
          <w:lang w:eastAsia="en-AU"/>
        </w:rPr>
        <w:t>promote, support and ensure the implementation of approved policy and associated procedures in the schools, working through regional structures;</w:t>
      </w:r>
    </w:p>
    <w:p w14:paraId="57614E55" w14:textId="77777777" w:rsidR="0054360D" w:rsidRPr="009A0DA6" w:rsidRDefault="0054360D" w:rsidP="00F55252">
      <w:pPr>
        <w:pStyle w:val="ListParagraph"/>
        <w:numPr>
          <w:ilvl w:val="0"/>
          <w:numId w:val="225"/>
        </w:numPr>
        <w:autoSpaceDE w:val="0"/>
        <w:autoSpaceDN w:val="0"/>
        <w:adjustRightInd w:val="0"/>
        <w:spacing w:before="120" w:after="120" w:line="240" w:lineRule="auto"/>
        <w:ind w:left="567" w:hanging="567"/>
        <w:rPr>
          <w:rFonts w:ascii="Cambria" w:hAnsi="Cambria" w:cs="Arial"/>
          <w:lang w:eastAsia="en-AU"/>
        </w:rPr>
      </w:pPr>
      <w:r w:rsidRPr="009A0DA6">
        <w:rPr>
          <w:rFonts w:ascii="Cambria" w:hAnsi="Cambria" w:cs="Arial"/>
          <w:lang w:eastAsia="en-AU"/>
        </w:rPr>
        <w:t>work in close co-operation with the church, in particular with the regions of Lutheran education and other appropriate agencies of the Church;</w:t>
      </w:r>
    </w:p>
    <w:p w14:paraId="4B06F99B" w14:textId="77777777" w:rsidR="0054360D" w:rsidRPr="009A0DA6" w:rsidRDefault="0054360D" w:rsidP="00F55252">
      <w:pPr>
        <w:pStyle w:val="ListParagraph"/>
        <w:numPr>
          <w:ilvl w:val="0"/>
          <w:numId w:val="225"/>
        </w:numPr>
        <w:autoSpaceDE w:val="0"/>
        <w:autoSpaceDN w:val="0"/>
        <w:adjustRightInd w:val="0"/>
        <w:spacing w:before="120" w:after="120" w:line="240" w:lineRule="auto"/>
        <w:ind w:left="567" w:hanging="567"/>
        <w:rPr>
          <w:rFonts w:ascii="Cambria" w:hAnsi="Cambria" w:cs="Arial"/>
          <w:lang w:eastAsia="en-AU"/>
        </w:rPr>
      </w:pPr>
      <w:r w:rsidRPr="009A0DA6">
        <w:rPr>
          <w:rFonts w:ascii="Cambria" w:hAnsi="Cambria" w:cs="Arial"/>
          <w:lang w:eastAsia="en-AU"/>
        </w:rPr>
        <w:t>represent Lutheran schools and regions nationally to the Church, its agencies and to Australian Lutheran College;</w:t>
      </w:r>
    </w:p>
    <w:p w14:paraId="65A28A45" w14:textId="77777777" w:rsidR="0054360D" w:rsidRPr="009A0DA6" w:rsidRDefault="0054360D" w:rsidP="00F55252">
      <w:pPr>
        <w:pStyle w:val="ListParagraph"/>
        <w:numPr>
          <w:ilvl w:val="0"/>
          <w:numId w:val="225"/>
        </w:numPr>
        <w:autoSpaceDE w:val="0"/>
        <w:autoSpaceDN w:val="0"/>
        <w:adjustRightInd w:val="0"/>
        <w:spacing w:before="120" w:after="120" w:line="240" w:lineRule="auto"/>
        <w:ind w:left="567" w:hanging="567"/>
        <w:rPr>
          <w:rFonts w:ascii="Cambria" w:hAnsi="Cambria" w:cs="Arial"/>
          <w:lang w:eastAsia="en-AU"/>
        </w:rPr>
      </w:pPr>
      <w:r w:rsidRPr="009A0DA6">
        <w:rPr>
          <w:rFonts w:ascii="Cambria" w:hAnsi="Cambria" w:cs="Arial"/>
          <w:lang w:eastAsia="en-AU"/>
        </w:rPr>
        <w:t>research, make approaches, represent and act on behalf of regions and schools in relation to the Commonwealth government, its departments and government authorities and political parties, respond to Commonwealth government directives and initiatives relating to education and associated matters, and provide representation to national educational bodies where strategic and appropriate;</w:t>
      </w:r>
    </w:p>
    <w:p w14:paraId="279F668A" w14:textId="77777777" w:rsidR="0054360D" w:rsidRPr="009A0DA6" w:rsidRDefault="0054360D" w:rsidP="00F55252">
      <w:pPr>
        <w:pStyle w:val="ListParagraph"/>
        <w:numPr>
          <w:ilvl w:val="0"/>
          <w:numId w:val="225"/>
        </w:numPr>
        <w:autoSpaceDE w:val="0"/>
        <w:autoSpaceDN w:val="0"/>
        <w:adjustRightInd w:val="0"/>
        <w:spacing w:before="120" w:after="120" w:line="240" w:lineRule="auto"/>
        <w:ind w:left="567" w:hanging="567"/>
        <w:rPr>
          <w:rFonts w:ascii="Cambria" w:hAnsi="Cambria" w:cs="Arial"/>
          <w:lang w:eastAsia="en-AU"/>
        </w:rPr>
      </w:pPr>
      <w:r w:rsidRPr="009A0DA6">
        <w:rPr>
          <w:rFonts w:ascii="Cambria" w:hAnsi="Cambria" w:cs="Arial"/>
          <w:lang w:eastAsia="en-AU"/>
        </w:rPr>
        <w:t>develop co-operative working relationships with other sectors of education at national level;</w:t>
      </w:r>
    </w:p>
    <w:p w14:paraId="292D7E12" w14:textId="77777777" w:rsidR="0054360D" w:rsidRPr="009A0DA6" w:rsidRDefault="0054360D" w:rsidP="00F55252">
      <w:pPr>
        <w:pStyle w:val="ListParagraph"/>
        <w:numPr>
          <w:ilvl w:val="0"/>
          <w:numId w:val="225"/>
        </w:numPr>
        <w:autoSpaceDE w:val="0"/>
        <w:autoSpaceDN w:val="0"/>
        <w:adjustRightInd w:val="0"/>
        <w:spacing w:before="120" w:after="120" w:line="240" w:lineRule="auto"/>
        <w:ind w:left="567" w:hanging="567"/>
        <w:rPr>
          <w:rFonts w:ascii="Cambria" w:hAnsi="Cambria" w:cs="Arial"/>
          <w:lang w:eastAsia="en-AU"/>
        </w:rPr>
      </w:pPr>
      <w:r w:rsidRPr="009A0DA6">
        <w:rPr>
          <w:rFonts w:ascii="Cambria" w:hAnsi="Cambria" w:cs="Arial"/>
          <w:lang w:eastAsia="en-AU"/>
        </w:rPr>
        <w:t>approve the establishment of new schools and change in function of existing Lutheran schools in consultation with the regions;</w:t>
      </w:r>
    </w:p>
    <w:p w14:paraId="514A4C62" w14:textId="77777777" w:rsidR="0054360D" w:rsidRPr="009A0DA6" w:rsidRDefault="0054360D" w:rsidP="00F55252">
      <w:pPr>
        <w:pStyle w:val="ListParagraph"/>
        <w:numPr>
          <w:ilvl w:val="0"/>
          <w:numId w:val="225"/>
        </w:numPr>
        <w:autoSpaceDE w:val="0"/>
        <w:autoSpaceDN w:val="0"/>
        <w:adjustRightInd w:val="0"/>
        <w:spacing w:before="120" w:after="120" w:line="240" w:lineRule="auto"/>
        <w:ind w:left="567" w:hanging="567"/>
        <w:rPr>
          <w:rFonts w:ascii="Cambria" w:hAnsi="Cambria" w:cs="Arial"/>
          <w:lang w:eastAsia="en-AU"/>
        </w:rPr>
      </w:pPr>
      <w:r w:rsidRPr="009A0DA6">
        <w:rPr>
          <w:rFonts w:ascii="Cambria" w:hAnsi="Cambria" w:cs="Arial"/>
          <w:lang w:eastAsia="en-AU"/>
        </w:rPr>
        <w:t>develop, coordinate and evaluate the national curriculum in Christian Studies for Lutheran schools, develop resources for, and promote and support the implementation of the Christian Studies curriculum in schools through the regions;</w:t>
      </w:r>
    </w:p>
    <w:p w14:paraId="2A612F42" w14:textId="77777777" w:rsidR="0054360D" w:rsidRPr="009A0DA6" w:rsidRDefault="0054360D" w:rsidP="00F55252">
      <w:pPr>
        <w:pStyle w:val="ListParagraph"/>
        <w:numPr>
          <w:ilvl w:val="0"/>
          <w:numId w:val="225"/>
        </w:numPr>
        <w:autoSpaceDE w:val="0"/>
        <w:autoSpaceDN w:val="0"/>
        <w:adjustRightInd w:val="0"/>
        <w:spacing w:before="120" w:after="120" w:line="240" w:lineRule="auto"/>
        <w:ind w:left="567" w:hanging="567"/>
        <w:rPr>
          <w:rFonts w:ascii="Cambria" w:hAnsi="Cambria" w:cs="Arial"/>
          <w:lang w:eastAsia="en-AU"/>
        </w:rPr>
      </w:pPr>
      <w:r w:rsidRPr="009A0DA6">
        <w:rPr>
          <w:rFonts w:ascii="Cambria" w:hAnsi="Cambria" w:cs="Arial"/>
          <w:lang w:eastAsia="en-AU"/>
        </w:rPr>
        <w:lastRenderedPageBreak/>
        <w:t>ensure that recruitment and staffing strategies, and leadership development programs are in place to meet the needs of Lutheran schools, that accreditation requirements in accordance with policies of the Church are implemented, and that a staff database is maintained and national conferences convened to promote the welfare of those who work in Lutheran schools;</w:t>
      </w:r>
    </w:p>
    <w:p w14:paraId="6D5EC0C7" w14:textId="77777777" w:rsidR="0054360D" w:rsidRPr="009A0DA6" w:rsidRDefault="0054360D" w:rsidP="00F55252">
      <w:pPr>
        <w:pStyle w:val="ListParagraph"/>
        <w:numPr>
          <w:ilvl w:val="0"/>
          <w:numId w:val="225"/>
        </w:numPr>
        <w:autoSpaceDE w:val="0"/>
        <w:autoSpaceDN w:val="0"/>
        <w:adjustRightInd w:val="0"/>
        <w:spacing w:before="120" w:after="120" w:line="240" w:lineRule="auto"/>
        <w:ind w:left="567" w:hanging="567"/>
        <w:rPr>
          <w:rFonts w:ascii="Cambria" w:hAnsi="Cambria" w:cs="Arial"/>
          <w:lang w:eastAsia="en-AU"/>
        </w:rPr>
      </w:pPr>
      <w:r w:rsidRPr="009A0DA6">
        <w:rPr>
          <w:rFonts w:ascii="Cambria" w:hAnsi="Cambria" w:cs="Arial"/>
          <w:lang w:eastAsia="en-AU"/>
        </w:rPr>
        <w:t>ensure income for the operation of LEA by means of annual levies from Lutheran schools;</w:t>
      </w:r>
    </w:p>
    <w:p w14:paraId="67168F45" w14:textId="77777777" w:rsidR="0054360D" w:rsidRPr="009A0DA6" w:rsidRDefault="0054360D" w:rsidP="00F55252">
      <w:pPr>
        <w:pStyle w:val="ListParagraph"/>
        <w:numPr>
          <w:ilvl w:val="0"/>
          <w:numId w:val="225"/>
        </w:numPr>
        <w:autoSpaceDE w:val="0"/>
        <w:autoSpaceDN w:val="0"/>
        <w:adjustRightInd w:val="0"/>
        <w:spacing w:before="120" w:after="120" w:line="240" w:lineRule="auto"/>
        <w:ind w:left="567" w:hanging="567"/>
        <w:rPr>
          <w:rFonts w:ascii="Cambria" w:hAnsi="Cambria" w:cs="Arial"/>
          <w:lang w:eastAsia="en-AU"/>
        </w:rPr>
      </w:pPr>
      <w:r w:rsidRPr="009A0DA6">
        <w:rPr>
          <w:rFonts w:ascii="Cambria" w:hAnsi="Cambria" w:cs="Arial"/>
          <w:lang w:eastAsia="en-AU"/>
        </w:rPr>
        <w:t>undertake, develop and maintain key relationships with international Lutheran schools and education systems, considering compatibility with the Church’s international relationships and programs, and the global focus of Lutheran schools; and</w:t>
      </w:r>
    </w:p>
    <w:p w14:paraId="6783495E" w14:textId="77777777" w:rsidR="0054360D" w:rsidRPr="009A0DA6" w:rsidRDefault="0054360D" w:rsidP="00F55252">
      <w:pPr>
        <w:pStyle w:val="ListParagraph"/>
        <w:numPr>
          <w:ilvl w:val="0"/>
          <w:numId w:val="225"/>
        </w:numPr>
        <w:autoSpaceDE w:val="0"/>
        <w:autoSpaceDN w:val="0"/>
        <w:adjustRightInd w:val="0"/>
        <w:spacing w:before="120" w:after="120" w:line="240" w:lineRule="auto"/>
        <w:ind w:left="567" w:hanging="567"/>
        <w:rPr>
          <w:rFonts w:ascii="Cambria" w:hAnsi="Cambria" w:cs="Arial"/>
          <w:lang w:eastAsia="en-AU"/>
        </w:rPr>
      </w:pPr>
      <w:r w:rsidRPr="009A0DA6">
        <w:rPr>
          <w:rFonts w:ascii="Cambria" w:hAnsi="Cambria" w:cs="Arial"/>
          <w:lang w:eastAsia="en-AU"/>
        </w:rPr>
        <w:t>undertake other activities related to those matters designated as national areas of responsibility or as agreed with the regions.</w:t>
      </w:r>
    </w:p>
    <w:p w14:paraId="32A28C4B" w14:textId="77777777" w:rsidR="0054360D" w:rsidRPr="009A0DA6" w:rsidRDefault="0054360D" w:rsidP="0054360D">
      <w:pPr>
        <w:pStyle w:val="Heading3"/>
        <w:rPr>
          <w:lang w:eastAsia="ja-JP"/>
        </w:rPr>
      </w:pPr>
      <w:r w:rsidRPr="009A0DA6">
        <w:t>Achievement against plan</w:t>
      </w:r>
    </w:p>
    <w:tbl>
      <w:tblPr>
        <w:tblStyle w:val="PlainTable2"/>
        <w:tblW w:w="8926" w:type="dxa"/>
        <w:tblLook w:val="04A0" w:firstRow="1" w:lastRow="0" w:firstColumn="1" w:lastColumn="0" w:noHBand="0" w:noVBand="1"/>
      </w:tblPr>
      <w:tblGrid>
        <w:gridCol w:w="2977"/>
        <w:gridCol w:w="5949"/>
      </w:tblGrid>
      <w:tr w:rsidR="0054360D" w:rsidRPr="009A0DA6" w14:paraId="08FB9B9B" w14:textId="77777777" w:rsidTr="00975F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hideMark/>
          </w:tcPr>
          <w:p w14:paraId="20ECD75D" w14:textId="77777777" w:rsidR="0054360D" w:rsidRPr="009A0DA6" w:rsidRDefault="0054360D" w:rsidP="00AD09CB">
            <w:pPr>
              <w:pStyle w:val="NoSpacing"/>
              <w:spacing w:before="120" w:after="120"/>
              <w:contextualSpacing/>
              <w:jc w:val="center"/>
              <w:rPr>
                <w:rFonts w:cs="Arial"/>
              </w:rPr>
            </w:pPr>
            <w:r w:rsidRPr="009A0DA6">
              <w:rPr>
                <w:rFonts w:cs="Arial"/>
              </w:rPr>
              <w:t>LEA Strategic Plan Section</w:t>
            </w:r>
          </w:p>
        </w:tc>
        <w:tc>
          <w:tcPr>
            <w:tcW w:w="5949" w:type="dxa"/>
            <w:vAlign w:val="bottom"/>
            <w:hideMark/>
          </w:tcPr>
          <w:p w14:paraId="390ED484" w14:textId="77777777" w:rsidR="0054360D" w:rsidRPr="009A0DA6" w:rsidRDefault="0054360D" w:rsidP="00AD09CB">
            <w:pPr>
              <w:pStyle w:val="NoSpacing"/>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cs="Arial"/>
              </w:rPr>
            </w:pPr>
            <w:r w:rsidRPr="009A0DA6">
              <w:rPr>
                <w:rFonts w:cs="Arial"/>
              </w:rPr>
              <w:t>Progress report</w:t>
            </w:r>
          </w:p>
        </w:tc>
      </w:tr>
      <w:tr w:rsidR="0054360D" w:rsidRPr="009A0DA6" w14:paraId="40BBFAAA" w14:textId="77777777" w:rsidTr="00975F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hideMark/>
          </w:tcPr>
          <w:p w14:paraId="378D4002" w14:textId="77777777" w:rsidR="0054360D" w:rsidRPr="009A0DA6" w:rsidRDefault="0054360D" w:rsidP="00AD09CB">
            <w:pPr>
              <w:spacing w:before="120" w:after="120"/>
              <w:contextualSpacing/>
              <w:rPr>
                <w:rFonts w:ascii="Cambria" w:hAnsi="Cambria" w:cs="Arial"/>
              </w:rPr>
            </w:pPr>
            <w:r w:rsidRPr="009A0DA6">
              <w:rPr>
                <w:rFonts w:ascii="Cambria" w:hAnsi="Cambria" w:cs="Arial"/>
              </w:rPr>
              <w:t>1.  Structural clarity</w:t>
            </w:r>
          </w:p>
          <w:p w14:paraId="40DD5721" w14:textId="77777777" w:rsidR="0054360D" w:rsidRPr="009A0DA6" w:rsidRDefault="0054360D" w:rsidP="00F55252">
            <w:pPr>
              <w:pStyle w:val="ListParagraph"/>
              <w:numPr>
                <w:ilvl w:val="0"/>
                <w:numId w:val="226"/>
              </w:numPr>
              <w:spacing w:before="120" w:after="120" w:line="240" w:lineRule="auto"/>
              <w:ind w:left="318" w:hanging="284"/>
              <w:rPr>
                <w:rFonts w:ascii="Cambria" w:hAnsi="Cambria" w:cs="Arial"/>
                <w:b w:val="0"/>
              </w:rPr>
            </w:pPr>
            <w:r w:rsidRPr="009A0DA6">
              <w:rPr>
                <w:rFonts w:ascii="Cambria" w:hAnsi="Cambria" w:cs="Arial"/>
                <w:b w:val="0"/>
              </w:rPr>
              <w:t>Clarify and establish a consistent national approach to structures and lines of authority regarding roles and responsibilities of LEA, Regions, GCC, LCA and Districts</w:t>
            </w:r>
          </w:p>
        </w:tc>
        <w:tc>
          <w:tcPr>
            <w:tcW w:w="5949" w:type="dxa"/>
            <w:hideMark/>
          </w:tcPr>
          <w:p w14:paraId="066474FE" w14:textId="77777777" w:rsidR="0054360D" w:rsidRPr="009A0DA6" w:rsidRDefault="0054360D" w:rsidP="00AD09CB">
            <w:pPr>
              <w:pStyle w:val="NoSpacing"/>
              <w:spacing w:before="120" w:after="120"/>
              <w:contextualSpacing/>
              <w:cnfStyle w:val="000000100000" w:firstRow="0" w:lastRow="0" w:firstColumn="0" w:lastColumn="0" w:oddVBand="0" w:evenVBand="0" w:oddHBand="1" w:evenHBand="0" w:firstRowFirstColumn="0" w:firstRowLastColumn="0" w:lastRowFirstColumn="0" w:lastRowLastColumn="0"/>
              <w:rPr>
                <w:rFonts w:cs="Arial"/>
              </w:rPr>
            </w:pPr>
          </w:p>
          <w:p w14:paraId="56E8EC3E" w14:textId="77777777" w:rsidR="0054360D" w:rsidRPr="009A0DA6" w:rsidRDefault="0054360D" w:rsidP="00AD09CB">
            <w:pPr>
              <w:pStyle w:val="NoSpacing"/>
              <w:spacing w:before="120" w:after="120"/>
              <w:contextualSpacing/>
              <w:cnfStyle w:val="000000100000" w:firstRow="0" w:lastRow="0" w:firstColumn="0" w:lastColumn="0" w:oddVBand="0" w:evenVBand="0" w:oddHBand="1" w:evenHBand="0" w:firstRowFirstColumn="0" w:firstRowLastColumn="0" w:lastRowFirstColumn="0" w:lastRowLastColumn="0"/>
              <w:rPr>
                <w:rFonts w:cs="Arial"/>
              </w:rPr>
            </w:pPr>
            <w:r w:rsidRPr="009A0DA6">
              <w:rPr>
                <w:rFonts w:cs="Arial"/>
              </w:rPr>
              <w:t>GCC and BLEA Joint Group has continued Stage 2 of the LCA GCC/LEA governance and administration review. The final report and recommendations will be presented to General Synod by GCC and BLEA.</w:t>
            </w:r>
          </w:p>
        </w:tc>
      </w:tr>
      <w:tr w:rsidR="0054360D" w:rsidRPr="009A0DA6" w14:paraId="70B79627" w14:textId="77777777" w:rsidTr="00975F5B">
        <w:tc>
          <w:tcPr>
            <w:cnfStyle w:val="001000000000" w:firstRow="0" w:lastRow="0" w:firstColumn="1" w:lastColumn="0" w:oddVBand="0" w:evenVBand="0" w:oddHBand="0" w:evenHBand="0" w:firstRowFirstColumn="0" w:firstRowLastColumn="0" w:lastRowFirstColumn="0" w:lastRowLastColumn="0"/>
            <w:tcW w:w="2977" w:type="dxa"/>
          </w:tcPr>
          <w:p w14:paraId="068C1411" w14:textId="77777777" w:rsidR="0054360D" w:rsidRPr="009A0DA6" w:rsidRDefault="0054360D" w:rsidP="00F55252">
            <w:pPr>
              <w:pStyle w:val="ListParagraph"/>
              <w:numPr>
                <w:ilvl w:val="0"/>
                <w:numId w:val="226"/>
              </w:numPr>
              <w:spacing w:before="120" w:after="120" w:line="240" w:lineRule="auto"/>
              <w:ind w:left="318" w:hanging="284"/>
              <w:rPr>
                <w:rFonts w:ascii="Cambria" w:hAnsi="Cambria" w:cs="Arial"/>
                <w:b w:val="0"/>
              </w:rPr>
            </w:pPr>
            <w:r w:rsidRPr="009A0DA6">
              <w:rPr>
                <w:rFonts w:ascii="Cambria" w:hAnsi="Cambria" w:cs="Arial"/>
                <w:b w:val="0"/>
              </w:rPr>
              <w:t>Articulate and strengthen Lutheran identity</w:t>
            </w:r>
          </w:p>
          <w:p w14:paraId="46EA8E84" w14:textId="77777777" w:rsidR="0054360D" w:rsidRPr="009A0DA6" w:rsidRDefault="0054360D" w:rsidP="00AD09CB">
            <w:pPr>
              <w:pStyle w:val="ListParagraph"/>
              <w:spacing w:before="120" w:after="120" w:line="240" w:lineRule="auto"/>
              <w:ind w:left="318"/>
              <w:rPr>
                <w:rFonts w:ascii="Cambria" w:hAnsi="Cambria" w:cs="Arial"/>
              </w:rPr>
            </w:pPr>
          </w:p>
          <w:p w14:paraId="2F6A3C97" w14:textId="77777777" w:rsidR="0054360D" w:rsidRPr="009A0DA6" w:rsidRDefault="0054360D" w:rsidP="00AD09CB">
            <w:pPr>
              <w:pStyle w:val="ListParagraph"/>
              <w:spacing w:before="120" w:after="120" w:line="240" w:lineRule="auto"/>
              <w:ind w:left="318"/>
              <w:rPr>
                <w:rFonts w:ascii="Cambria" w:hAnsi="Cambria" w:cs="Arial"/>
              </w:rPr>
            </w:pPr>
          </w:p>
          <w:p w14:paraId="19A33025" w14:textId="77777777" w:rsidR="0054360D" w:rsidRPr="009A0DA6" w:rsidRDefault="0054360D" w:rsidP="00AD09CB">
            <w:pPr>
              <w:pStyle w:val="ListParagraph"/>
              <w:spacing w:before="120" w:after="120" w:line="240" w:lineRule="auto"/>
              <w:ind w:left="318"/>
              <w:rPr>
                <w:rFonts w:ascii="Cambria" w:hAnsi="Cambria" w:cs="Arial"/>
              </w:rPr>
            </w:pPr>
          </w:p>
          <w:p w14:paraId="247AB344" w14:textId="77777777" w:rsidR="0054360D" w:rsidRPr="009A0DA6" w:rsidRDefault="0054360D" w:rsidP="00F55252">
            <w:pPr>
              <w:pStyle w:val="ListParagraph"/>
              <w:numPr>
                <w:ilvl w:val="0"/>
                <w:numId w:val="226"/>
              </w:numPr>
              <w:spacing w:before="120" w:after="120" w:line="240" w:lineRule="auto"/>
              <w:ind w:left="318" w:hanging="284"/>
              <w:rPr>
                <w:rFonts w:ascii="Cambria" w:hAnsi="Cambria" w:cs="Arial"/>
                <w:b w:val="0"/>
              </w:rPr>
            </w:pPr>
            <w:r w:rsidRPr="009A0DA6">
              <w:rPr>
                <w:rFonts w:ascii="Cambria" w:hAnsi="Cambria" w:cs="Arial"/>
                <w:b w:val="0"/>
              </w:rPr>
              <w:t>Promote and advocate Lutheran education identity</w:t>
            </w:r>
          </w:p>
          <w:p w14:paraId="123BF78C" w14:textId="77777777" w:rsidR="0054360D" w:rsidRPr="009A0DA6" w:rsidRDefault="0054360D" w:rsidP="00AD09CB">
            <w:pPr>
              <w:pStyle w:val="ListParagraph"/>
              <w:spacing w:before="120" w:after="120" w:line="240" w:lineRule="auto"/>
              <w:ind w:left="318"/>
              <w:rPr>
                <w:rFonts w:ascii="Cambria" w:hAnsi="Cambria" w:cs="Arial"/>
              </w:rPr>
            </w:pPr>
          </w:p>
        </w:tc>
        <w:tc>
          <w:tcPr>
            <w:tcW w:w="5949" w:type="dxa"/>
          </w:tcPr>
          <w:p w14:paraId="2194600C" w14:textId="77777777" w:rsidR="0054360D" w:rsidRPr="009A0DA6" w:rsidRDefault="0054360D" w:rsidP="00AD09CB">
            <w:pPr>
              <w:pStyle w:val="NoSpacing"/>
              <w:spacing w:before="120" w:after="120"/>
              <w:contextualSpacing/>
              <w:cnfStyle w:val="000000000000" w:firstRow="0" w:lastRow="0" w:firstColumn="0" w:lastColumn="0" w:oddVBand="0" w:evenVBand="0" w:oddHBand="0" w:evenHBand="0" w:firstRowFirstColumn="0" w:firstRowLastColumn="0" w:lastRowFirstColumn="0" w:lastRowLastColumn="0"/>
              <w:rPr>
                <w:rFonts w:cs="Arial"/>
              </w:rPr>
            </w:pPr>
            <w:r w:rsidRPr="009A0DA6">
              <w:rPr>
                <w:rFonts w:cs="Arial"/>
              </w:rPr>
              <w:t>LEA, in collaboration with ALC and the Lutheran education regions, has developed a tertiary pathways plan which includes a redesign of current formation and leadership programs as tertiary credit courses. This will commence in 2019.</w:t>
            </w:r>
            <w:r w:rsidRPr="009A0DA6">
              <w:rPr>
                <w:rFonts w:cs="Arial"/>
              </w:rPr>
              <w:br/>
            </w:r>
          </w:p>
          <w:p w14:paraId="543569F3" w14:textId="77777777" w:rsidR="0054360D" w:rsidRPr="009A0DA6" w:rsidRDefault="0054360D" w:rsidP="00AD09CB">
            <w:pPr>
              <w:pStyle w:val="NoSpacing"/>
              <w:spacing w:before="120" w:after="120"/>
              <w:contextualSpacing/>
              <w:cnfStyle w:val="000000000000" w:firstRow="0" w:lastRow="0" w:firstColumn="0" w:lastColumn="0" w:oddVBand="0" w:evenVBand="0" w:oddHBand="0" w:evenHBand="0" w:firstRowFirstColumn="0" w:firstRowLastColumn="0" w:lastRowFirstColumn="0" w:lastRowLastColumn="0"/>
              <w:rPr>
                <w:rFonts w:cs="Arial"/>
              </w:rPr>
            </w:pPr>
            <w:r w:rsidRPr="009A0DA6">
              <w:rPr>
                <w:rFonts w:cs="Arial"/>
              </w:rPr>
              <w:t>LEA has worked closely with the following LCA and external agencies:</w:t>
            </w:r>
          </w:p>
          <w:p w14:paraId="202E74F5" w14:textId="77777777" w:rsidR="0054360D" w:rsidRPr="009A0DA6" w:rsidRDefault="0054360D" w:rsidP="00AD09CB">
            <w:pPr>
              <w:pStyle w:val="NoSpacing"/>
              <w:spacing w:before="120" w:after="120"/>
              <w:contextualSpacing/>
              <w:cnfStyle w:val="000000000000" w:firstRow="0" w:lastRow="0" w:firstColumn="0" w:lastColumn="0" w:oddVBand="0" w:evenVBand="0" w:oddHBand="0" w:evenHBand="0" w:firstRowFirstColumn="0" w:firstRowLastColumn="0" w:lastRowFirstColumn="0" w:lastRowLastColumn="0"/>
              <w:rPr>
                <w:rFonts w:cs="Arial"/>
              </w:rPr>
            </w:pPr>
            <w:r w:rsidRPr="009A0DA6">
              <w:rPr>
                <w:rFonts w:cs="Arial"/>
                <w:b/>
              </w:rPr>
              <w:t>LCA</w:t>
            </w:r>
            <w:r w:rsidRPr="009A0DA6">
              <w:rPr>
                <w:rFonts w:cs="Arial"/>
              </w:rPr>
              <w:t>:  Australian Lutheran College, Mission International, ALWS, Lutheran Media, Lutheran communications, Professional Standards Department, Church workers, Lutheran Super, Grow Ministries</w:t>
            </w:r>
          </w:p>
          <w:p w14:paraId="3149A123" w14:textId="77777777" w:rsidR="0054360D" w:rsidRPr="009A0DA6" w:rsidRDefault="0054360D" w:rsidP="00AD09CB">
            <w:pPr>
              <w:pStyle w:val="NoSpacing"/>
              <w:spacing w:before="120" w:after="120"/>
              <w:contextualSpacing/>
              <w:cnfStyle w:val="000000000000" w:firstRow="0" w:lastRow="0" w:firstColumn="0" w:lastColumn="0" w:oddVBand="0" w:evenVBand="0" w:oddHBand="0" w:evenHBand="0" w:firstRowFirstColumn="0" w:firstRowLastColumn="0" w:lastRowFirstColumn="0" w:lastRowLastColumn="0"/>
              <w:rPr>
                <w:rFonts w:cs="Arial"/>
              </w:rPr>
            </w:pPr>
            <w:r w:rsidRPr="009A0DA6">
              <w:rPr>
                <w:rFonts w:cs="Arial"/>
                <w:b/>
              </w:rPr>
              <w:t>External</w:t>
            </w:r>
            <w:r w:rsidRPr="009A0DA6">
              <w:rPr>
                <w:rFonts w:cs="Arial"/>
              </w:rPr>
              <w:t>: National Catholic Education Commission, Independent Schools Council of Australia, Asia Lutheran Education Association, federal government Department of Education, Australian Curriculum Assessment and Reporting Authority, Lutheran Education Association (USA)</w:t>
            </w:r>
          </w:p>
        </w:tc>
      </w:tr>
      <w:tr w:rsidR="0054360D" w:rsidRPr="009A0DA6" w14:paraId="07746934" w14:textId="77777777" w:rsidTr="00975F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4E083939" w14:textId="77777777" w:rsidR="0054360D" w:rsidRPr="009A0DA6" w:rsidRDefault="0054360D" w:rsidP="00F55252">
            <w:pPr>
              <w:pStyle w:val="ListParagraph"/>
              <w:numPr>
                <w:ilvl w:val="0"/>
                <w:numId w:val="226"/>
              </w:numPr>
              <w:spacing w:before="120" w:after="120" w:line="240" w:lineRule="auto"/>
              <w:ind w:left="318" w:hanging="284"/>
              <w:rPr>
                <w:rFonts w:ascii="Cambria" w:hAnsi="Cambria" w:cs="Arial"/>
                <w:b w:val="0"/>
              </w:rPr>
            </w:pPr>
            <w:r w:rsidRPr="009A0DA6">
              <w:rPr>
                <w:rFonts w:ascii="Cambria" w:hAnsi="Cambria" w:cs="Arial"/>
                <w:b w:val="0"/>
              </w:rPr>
              <w:t>Explore and implement ways in which school pastors and chaplains can be more effectively supported as they minister in the ECS and school context</w:t>
            </w:r>
          </w:p>
          <w:p w14:paraId="2C881EA5" w14:textId="77777777" w:rsidR="0054360D" w:rsidRPr="009A0DA6" w:rsidRDefault="0054360D" w:rsidP="00AD09CB">
            <w:pPr>
              <w:spacing w:before="120" w:after="120"/>
              <w:contextualSpacing/>
              <w:rPr>
                <w:rFonts w:ascii="Cambria" w:hAnsi="Cambria" w:cs="Arial"/>
              </w:rPr>
            </w:pPr>
          </w:p>
        </w:tc>
        <w:tc>
          <w:tcPr>
            <w:tcW w:w="5949" w:type="dxa"/>
            <w:hideMark/>
          </w:tcPr>
          <w:p w14:paraId="7D0C58BC" w14:textId="77777777" w:rsidR="0054360D" w:rsidRPr="009A0DA6" w:rsidRDefault="0054360D" w:rsidP="00F55252">
            <w:pPr>
              <w:pStyle w:val="NoSpacing"/>
              <w:numPr>
                <w:ilvl w:val="0"/>
                <w:numId w:val="227"/>
              </w:numPr>
              <w:spacing w:before="120" w:after="120"/>
              <w:contextualSpacing/>
              <w:cnfStyle w:val="000000100000" w:firstRow="0" w:lastRow="0" w:firstColumn="0" w:lastColumn="0" w:oddVBand="0" w:evenVBand="0" w:oddHBand="1" w:evenHBand="0" w:firstRowFirstColumn="0" w:firstRowLastColumn="0" w:lastRowFirstColumn="0" w:lastRowLastColumn="0"/>
              <w:rPr>
                <w:rFonts w:cs="Arial"/>
              </w:rPr>
            </w:pPr>
            <w:r w:rsidRPr="009A0DA6">
              <w:rPr>
                <w:rFonts w:cs="Arial"/>
              </w:rPr>
              <w:t>Three LEA national school ministry conferences were held in the last synodical term. Just over 220</w:t>
            </w:r>
            <w:r w:rsidRPr="009A0DA6">
              <w:rPr>
                <w:rFonts w:cs="Arial"/>
                <w:b/>
              </w:rPr>
              <w:t xml:space="preserve"> </w:t>
            </w:r>
            <w:r w:rsidRPr="009A0DA6">
              <w:rPr>
                <w:rFonts w:cs="Arial"/>
              </w:rPr>
              <w:t>school chaplains, pastors, counsellors and principals attended.</w:t>
            </w:r>
          </w:p>
          <w:p w14:paraId="5DB5185C" w14:textId="77777777" w:rsidR="0054360D" w:rsidRPr="009A0DA6" w:rsidRDefault="0054360D" w:rsidP="00F55252">
            <w:pPr>
              <w:pStyle w:val="NoSpacing"/>
              <w:numPr>
                <w:ilvl w:val="0"/>
                <w:numId w:val="227"/>
              </w:numPr>
              <w:spacing w:before="120" w:after="120"/>
              <w:contextualSpacing/>
              <w:cnfStyle w:val="000000100000" w:firstRow="0" w:lastRow="0" w:firstColumn="0" w:lastColumn="0" w:oddVBand="0" w:evenVBand="0" w:oddHBand="1" w:evenHBand="0" w:firstRowFirstColumn="0" w:firstRowLastColumn="0" w:lastRowFirstColumn="0" w:lastRowLastColumn="0"/>
              <w:rPr>
                <w:rFonts w:cs="Arial"/>
              </w:rPr>
            </w:pPr>
            <w:r w:rsidRPr="009A0DA6">
              <w:rPr>
                <w:rFonts w:cs="Arial"/>
              </w:rPr>
              <w:t>The fifth Australian Conference on Lutheran Education ALCE5) was held in 2017. Over 1100 people attended and were inspired by LCA Bishops, other Lutheran theologians, external educators on the theme ‘People Planet Purpose’ with the 500</w:t>
            </w:r>
            <w:r w:rsidRPr="009A0DA6">
              <w:rPr>
                <w:rFonts w:cs="Arial"/>
                <w:vertAlign w:val="superscript"/>
              </w:rPr>
              <w:t>th</w:t>
            </w:r>
            <w:r w:rsidRPr="009A0DA6">
              <w:rPr>
                <w:rFonts w:cs="Arial"/>
              </w:rPr>
              <w:t xml:space="preserve"> Jubilee of the Reformation being the central focus.</w:t>
            </w:r>
          </w:p>
        </w:tc>
      </w:tr>
    </w:tbl>
    <w:p w14:paraId="333F1266" w14:textId="77777777" w:rsidR="00975F5B" w:rsidRDefault="00975F5B">
      <w:r>
        <w:rPr>
          <w:b/>
          <w:bCs/>
        </w:rPr>
        <w:br w:type="page"/>
      </w:r>
    </w:p>
    <w:tbl>
      <w:tblPr>
        <w:tblStyle w:val="PlainTable2"/>
        <w:tblW w:w="9464" w:type="dxa"/>
        <w:tblLook w:val="04A0" w:firstRow="1" w:lastRow="0" w:firstColumn="1" w:lastColumn="0" w:noHBand="0" w:noVBand="1"/>
      </w:tblPr>
      <w:tblGrid>
        <w:gridCol w:w="2977"/>
        <w:gridCol w:w="5949"/>
        <w:gridCol w:w="538"/>
      </w:tblGrid>
      <w:tr w:rsidR="0054360D" w:rsidRPr="009A0DA6" w14:paraId="161E35B1" w14:textId="77777777" w:rsidTr="00AD09CB">
        <w:trPr>
          <w:gridAfter w:val="1"/>
          <w:cnfStyle w:val="100000000000" w:firstRow="1" w:lastRow="0" w:firstColumn="0" w:lastColumn="0" w:oddVBand="0" w:evenVBand="0" w:oddHBand="0" w:evenHBand="0" w:firstRowFirstColumn="0" w:firstRowLastColumn="0" w:lastRowFirstColumn="0" w:lastRowLastColumn="0"/>
          <w:wAfter w:w="538" w:type="dxa"/>
        </w:trPr>
        <w:tc>
          <w:tcPr>
            <w:cnfStyle w:val="001000000000" w:firstRow="0" w:lastRow="0" w:firstColumn="1" w:lastColumn="0" w:oddVBand="0" w:evenVBand="0" w:oddHBand="0" w:evenHBand="0" w:firstRowFirstColumn="0" w:firstRowLastColumn="0" w:lastRowFirstColumn="0" w:lastRowLastColumn="0"/>
            <w:tcW w:w="2977" w:type="dxa"/>
            <w:hideMark/>
          </w:tcPr>
          <w:p w14:paraId="17F492F6" w14:textId="4DFB0D6E" w:rsidR="0054360D" w:rsidRPr="00645463" w:rsidRDefault="0054360D" w:rsidP="00F55252">
            <w:pPr>
              <w:pStyle w:val="ListParagraph"/>
              <w:numPr>
                <w:ilvl w:val="0"/>
                <w:numId w:val="226"/>
              </w:numPr>
              <w:spacing w:before="120" w:after="120" w:line="240" w:lineRule="auto"/>
              <w:ind w:left="318" w:hanging="284"/>
              <w:rPr>
                <w:rFonts w:ascii="Cambria" w:hAnsi="Cambria" w:cs="Arial"/>
                <w:b w:val="0"/>
              </w:rPr>
            </w:pPr>
            <w:r w:rsidRPr="00645463">
              <w:rPr>
                <w:rFonts w:ascii="Cambria" w:hAnsi="Cambria" w:cs="Arial"/>
                <w:b w:val="0"/>
              </w:rPr>
              <w:lastRenderedPageBreak/>
              <w:t>Clarity around branding</w:t>
            </w:r>
          </w:p>
        </w:tc>
        <w:tc>
          <w:tcPr>
            <w:tcW w:w="5949" w:type="dxa"/>
          </w:tcPr>
          <w:p w14:paraId="1CB69B25" w14:textId="77777777" w:rsidR="0054360D" w:rsidRPr="00645463" w:rsidRDefault="0054360D" w:rsidP="00AD09CB">
            <w:pPr>
              <w:pStyle w:val="NoSpacing"/>
              <w:spacing w:before="120" w:after="120"/>
              <w:contextualSpacing/>
              <w:cnfStyle w:val="100000000000" w:firstRow="1" w:lastRow="0" w:firstColumn="0" w:lastColumn="0" w:oddVBand="0" w:evenVBand="0" w:oddHBand="0" w:evenHBand="0" w:firstRowFirstColumn="0" w:firstRowLastColumn="0" w:lastRowFirstColumn="0" w:lastRowLastColumn="0"/>
              <w:rPr>
                <w:rFonts w:cs="Arial"/>
                <w:b w:val="0"/>
              </w:rPr>
            </w:pPr>
            <w:r w:rsidRPr="00645463">
              <w:rPr>
                <w:rFonts w:cs="Arial"/>
                <w:b w:val="0"/>
              </w:rPr>
              <w:t>Consistent branding for LEA and the three regions has been achieved as follows:</w:t>
            </w:r>
          </w:p>
          <w:p w14:paraId="246AA1A0" w14:textId="77777777" w:rsidR="0054360D" w:rsidRPr="00645463" w:rsidRDefault="0054360D" w:rsidP="00AD09CB">
            <w:pPr>
              <w:pStyle w:val="NoSpacing"/>
              <w:spacing w:before="120" w:after="120"/>
              <w:contextualSpacing/>
              <w:cnfStyle w:val="100000000000" w:firstRow="1" w:lastRow="0" w:firstColumn="0" w:lastColumn="0" w:oddVBand="0" w:evenVBand="0" w:oddHBand="0" w:evenHBand="0" w:firstRowFirstColumn="0" w:firstRowLastColumn="0" w:lastRowFirstColumn="0" w:lastRowLastColumn="0"/>
              <w:rPr>
                <w:rFonts w:cs="Arial"/>
              </w:rPr>
            </w:pPr>
            <w:r w:rsidRPr="00645463">
              <w:rPr>
                <w:noProof/>
                <w:lang w:eastAsia="en-AU"/>
              </w:rPr>
              <mc:AlternateContent>
                <mc:Choice Requires="wps">
                  <w:drawing>
                    <wp:anchor distT="0" distB="0" distL="114300" distR="114300" simplePos="0" relativeHeight="251663360" behindDoc="0" locked="0" layoutInCell="1" allowOverlap="1" wp14:anchorId="553470CB" wp14:editId="57D7F25D">
                      <wp:simplePos x="0" y="0"/>
                      <wp:positionH relativeFrom="column">
                        <wp:posOffset>52705</wp:posOffset>
                      </wp:positionH>
                      <wp:positionV relativeFrom="paragraph">
                        <wp:posOffset>63500</wp:posOffset>
                      </wp:positionV>
                      <wp:extent cx="1621790" cy="85852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621790" cy="858520"/>
                              </a:xfrm>
                              <a:prstGeom prst="rect">
                                <a:avLst/>
                              </a:prstGeom>
                              <a:solidFill>
                                <a:schemeClr val="lt1"/>
                              </a:solidFill>
                              <a:ln w="6350">
                                <a:noFill/>
                              </a:ln>
                            </wps:spPr>
                            <wps:txbx>
                              <w:txbxContent>
                                <w:p w14:paraId="39755061" w14:textId="0087DA2A" w:rsidR="004B03F8" w:rsidRDefault="004B03F8" w:rsidP="0054360D">
                                  <w:r>
                                    <w:rPr>
                                      <w:noProof/>
                                      <w:lang w:eastAsia="en-AU"/>
                                    </w:rPr>
                                    <w:drawing>
                                      <wp:inline distT="0" distB="0" distL="0" distR="0" wp14:anchorId="76C9324E" wp14:editId="1AED4A99">
                                        <wp:extent cx="1520406" cy="71437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A_LOGO_STACKED_POS_MONO.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20996" cy="71465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3470CB" id="_x0000_t202" coordsize="21600,21600" o:spt="202" path="m,l,21600r21600,l21600,xe">
                      <v:stroke joinstyle="miter"/>
                      <v:path gradientshapeok="t" o:connecttype="rect"/>
                    </v:shapetype>
                    <v:shape id="Text Box 15" o:spid="_x0000_s1026" type="#_x0000_t202" style="position:absolute;margin-left:4.15pt;margin-top:5pt;width:127.7pt;height:6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" fillcolor="white [3201]" stroked="f" strokeweight=".5pt">
                      <v:textbox>
                        <w:txbxContent>
                          <w:p w14:paraId="39755061" w14:textId="0087DA2A" w:rsidR="004B03F8" w:rsidRDefault="004B03F8" w:rsidP="0054360D">
                            <w:r>
                              <w:rPr>
                                <w:noProof/>
                                <w:lang w:eastAsia="en-AU"/>
                              </w:rPr>
                              <w:drawing>
                                <wp:inline distT="0" distB="0" distL="0" distR="0" wp14:anchorId="76C9324E" wp14:editId="1AED4A99">
                                  <wp:extent cx="1520406" cy="71437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A_LOGO_STACKED_POS_MONO.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520996" cy="714652"/>
                                          </a:xfrm>
                                          <a:prstGeom prst="rect">
                                            <a:avLst/>
                                          </a:prstGeom>
                                        </pic:spPr>
                                      </pic:pic>
                                    </a:graphicData>
                                  </a:graphic>
                                </wp:inline>
                              </w:drawing>
                            </w:r>
                          </w:p>
                        </w:txbxContent>
                      </v:textbox>
                    </v:shape>
                  </w:pict>
                </mc:Fallback>
              </mc:AlternateContent>
            </w:r>
            <w:r w:rsidRPr="00645463">
              <w:rPr>
                <w:noProof/>
                <w:lang w:eastAsia="en-AU"/>
              </w:rPr>
              <mc:AlternateContent>
                <mc:Choice Requires="wps">
                  <w:drawing>
                    <wp:anchor distT="0" distB="0" distL="114300" distR="114300" simplePos="0" relativeHeight="251664384" behindDoc="0" locked="0" layoutInCell="1" allowOverlap="1" wp14:anchorId="1279B2BA" wp14:editId="61CA5459">
                      <wp:simplePos x="0" y="0"/>
                      <wp:positionH relativeFrom="column">
                        <wp:posOffset>1976755</wp:posOffset>
                      </wp:positionH>
                      <wp:positionV relativeFrom="paragraph">
                        <wp:posOffset>39370</wp:posOffset>
                      </wp:positionV>
                      <wp:extent cx="1566545" cy="835025"/>
                      <wp:effectExtent l="0" t="0" r="0" b="3175"/>
                      <wp:wrapNone/>
                      <wp:docPr id="13" name="Text Box 13"/>
                      <wp:cNvGraphicFramePr/>
                      <a:graphic xmlns:a="http://schemas.openxmlformats.org/drawingml/2006/main">
                        <a:graphicData uri="http://schemas.microsoft.com/office/word/2010/wordprocessingShape">
                          <wps:wsp>
                            <wps:cNvSpPr txBox="1"/>
                            <wps:spPr>
                              <a:xfrm>
                                <a:off x="0" y="0"/>
                                <a:ext cx="1565910" cy="834390"/>
                              </a:xfrm>
                              <a:prstGeom prst="rect">
                                <a:avLst/>
                              </a:prstGeom>
                              <a:solidFill>
                                <a:schemeClr val="lt1"/>
                              </a:solidFill>
                              <a:ln w="6350">
                                <a:noFill/>
                              </a:ln>
                            </wps:spPr>
                            <wps:txbx>
                              <w:txbxContent>
                                <w:p w14:paraId="7DFC2DF1" w14:textId="627E40FD" w:rsidR="004B03F8" w:rsidRDefault="004B03F8" w:rsidP="0054360D">
                                  <w:r>
                                    <w:rPr>
                                      <w:noProof/>
                                      <w:lang w:eastAsia="en-AU"/>
                                    </w:rPr>
                                    <w:drawing>
                                      <wp:inline distT="0" distB="0" distL="0" distR="0" wp14:anchorId="20900F4A" wp14:editId="1E4E1DD7">
                                        <wp:extent cx="1459765" cy="685800"/>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EA qld.jpg"/>
                                                <pic:cNvPicPr/>
                                              </pic:nvPicPr>
                                              <pic:blipFill>
                                                <a:blip r:embed="rId51">
                                                  <a:extLst>
                                                    <a:ext uri="{28A0092B-C50C-407E-A947-70E740481C1C}">
                                                      <a14:useLocalDpi xmlns:a14="http://schemas.microsoft.com/office/drawing/2010/main" val="0"/>
                                                    </a:ext>
                                                  </a:extLst>
                                                </a:blip>
                                                <a:stretch>
                                                  <a:fillRect/>
                                                </a:stretch>
                                              </pic:blipFill>
                                              <pic:spPr>
                                                <a:xfrm>
                                                  <a:off x="0" y="0"/>
                                                  <a:ext cx="1460300" cy="68605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9B2BA" id="Text Box 13" o:spid="_x0000_s1027" type="#_x0000_t202" style="position:absolute;margin-left:155.65pt;margin-top:3.1pt;width:123.35pt;height:6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" fillcolor="white [3201]" stroked="f" strokeweight=".5pt">
                      <v:textbox>
                        <w:txbxContent>
                          <w:p w14:paraId="7DFC2DF1" w14:textId="627E40FD" w:rsidR="004B03F8" w:rsidRDefault="004B03F8" w:rsidP="0054360D">
                            <w:r>
                              <w:rPr>
                                <w:noProof/>
                                <w:lang w:eastAsia="en-AU"/>
                              </w:rPr>
                              <w:drawing>
                                <wp:inline distT="0" distB="0" distL="0" distR="0" wp14:anchorId="20900F4A" wp14:editId="1E4E1DD7">
                                  <wp:extent cx="1459765" cy="685800"/>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EA qld.jpg"/>
                                          <pic:cNvPicPr/>
                                        </pic:nvPicPr>
                                        <pic:blipFill>
                                          <a:blip r:embed="rId52">
                                            <a:extLst>
                                              <a:ext uri="{28A0092B-C50C-407E-A947-70E740481C1C}">
                                                <a14:useLocalDpi xmlns:a14="http://schemas.microsoft.com/office/drawing/2010/main" val="0"/>
                                              </a:ext>
                                            </a:extLst>
                                          </a:blip>
                                          <a:stretch>
                                            <a:fillRect/>
                                          </a:stretch>
                                        </pic:blipFill>
                                        <pic:spPr>
                                          <a:xfrm>
                                            <a:off x="0" y="0"/>
                                            <a:ext cx="1460300" cy="686051"/>
                                          </a:xfrm>
                                          <a:prstGeom prst="rect">
                                            <a:avLst/>
                                          </a:prstGeom>
                                        </pic:spPr>
                                      </pic:pic>
                                    </a:graphicData>
                                  </a:graphic>
                                </wp:inline>
                              </w:drawing>
                            </w:r>
                          </w:p>
                        </w:txbxContent>
                      </v:textbox>
                    </v:shape>
                  </w:pict>
                </mc:Fallback>
              </mc:AlternateContent>
            </w:r>
            <w:r w:rsidRPr="00645463">
              <w:rPr>
                <w:noProof/>
                <w:lang w:eastAsia="en-AU"/>
              </w:rPr>
              <mc:AlternateContent>
                <mc:Choice Requires="wps">
                  <w:drawing>
                    <wp:anchor distT="0" distB="0" distL="114300" distR="114300" simplePos="0" relativeHeight="251665408" behindDoc="0" locked="0" layoutInCell="1" allowOverlap="1" wp14:anchorId="2A12BED0" wp14:editId="2C2EFB4B">
                      <wp:simplePos x="0" y="0"/>
                      <wp:positionH relativeFrom="column">
                        <wp:posOffset>1943100</wp:posOffset>
                      </wp:positionH>
                      <wp:positionV relativeFrom="paragraph">
                        <wp:posOffset>1068070</wp:posOffset>
                      </wp:positionV>
                      <wp:extent cx="1613535" cy="650875"/>
                      <wp:effectExtent l="0" t="0" r="5715" b="0"/>
                      <wp:wrapNone/>
                      <wp:docPr id="11" name="Text Box 11"/>
                      <wp:cNvGraphicFramePr/>
                      <a:graphic xmlns:a="http://schemas.openxmlformats.org/drawingml/2006/main">
                        <a:graphicData uri="http://schemas.microsoft.com/office/word/2010/wordprocessingShape">
                          <wps:wsp>
                            <wps:cNvSpPr txBox="1"/>
                            <wps:spPr>
                              <a:xfrm>
                                <a:off x="0" y="0"/>
                                <a:ext cx="1613535" cy="650240"/>
                              </a:xfrm>
                              <a:prstGeom prst="rect">
                                <a:avLst/>
                              </a:prstGeom>
                              <a:solidFill>
                                <a:schemeClr val="lt1"/>
                              </a:solidFill>
                              <a:ln w="6350">
                                <a:noFill/>
                              </a:ln>
                            </wps:spPr>
                            <wps:txbx>
                              <w:txbxContent>
                                <w:p w14:paraId="66B38FFF" w14:textId="062308F6" w:rsidR="004B03F8" w:rsidRDefault="004B03F8" w:rsidP="0054360D">
                                  <w:r>
                                    <w:rPr>
                                      <w:noProof/>
                                      <w:lang w:eastAsia="en-AU"/>
                                    </w:rPr>
                                    <w:drawing>
                                      <wp:inline distT="0" distB="0" distL="0" distR="0" wp14:anchorId="091B67D6" wp14:editId="7CE8AD8E">
                                        <wp:extent cx="1468582" cy="68993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EVNT_LOGO_STACKED_POS_MONO.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487759" cy="69894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2BED0" id="Text Box 11" o:spid="_x0000_s1028" type="#_x0000_t202" style="position:absolute;margin-left:153pt;margin-top:84.1pt;width:127.05pt;height:5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" fillcolor="white [3201]" stroked="f" strokeweight=".5pt">
                      <v:textbox>
                        <w:txbxContent>
                          <w:p w14:paraId="66B38FFF" w14:textId="062308F6" w:rsidR="004B03F8" w:rsidRDefault="004B03F8" w:rsidP="0054360D">
                            <w:r>
                              <w:rPr>
                                <w:noProof/>
                                <w:lang w:eastAsia="en-AU"/>
                              </w:rPr>
                              <w:drawing>
                                <wp:inline distT="0" distB="0" distL="0" distR="0" wp14:anchorId="091B67D6" wp14:editId="7CE8AD8E">
                                  <wp:extent cx="1468582" cy="68993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EVNT_LOGO_STACKED_POS_MONO.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487759" cy="698941"/>
                                          </a:xfrm>
                                          <a:prstGeom prst="rect">
                                            <a:avLst/>
                                          </a:prstGeom>
                                        </pic:spPr>
                                      </pic:pic>
                                    </a:graphicData>
                                  </a:graphic>
                                </wp:inline>
                              </w:drawing>
                            </w:r>
                          </w:p>
                        </w:txbxContent>
                      </v:textbox>
                    </v:shape>
                  </w:pict>
                </mc:Fallback>
              </mc:AlternateContent>
            </w:r>
            <w:r w:rsidRPr="00645463">
              <w:rPr>
                <w:noProof/>
                <w:lang w:eastAsia="en-AU"/>
              </w:rPr>
              <mc:AlternateContent>
                <mc:Choice Requires="wps">
                  <w:drawing>
                    <wp:anchor distT="0" distB="0" distL="114300" distR="114300" simplePos="0" relativeHeight="251666432" behindDoc="0" locked="0" layoutInCell="1" allowOverlap="1" wp14:anchorId="216B3BE6" wp14:editId="29E59D41">
                      <wp:simplePos x="0" y="0"/>
                      <wp:positionH relativeFrom="column">
                        <wp:posOffset>5080</wp:posOffset>
                      </wp:positionH>
                      <wp:positionV relativeFrom="paragraph">
                        <wp:posOffset>1049655</wp:posOffset>
                      </wp:positionV>
                      <wp:extent cx="1709420" cy="810895"/>
                      <wp:effectExtent l="0" t="0" r="5080" b="8255"/>
                      <wp:wrapNone/>
                      <wp:docPr id="7" name="Text Box 7"/>
                      <wp:cNvGraphicFramePr/>
                      <a:graphic xmlns:a="http://schemas.openxmlformats.org/drawingml/2006/main">
                        <a:graphicData uri="http://schemas.microsoft.com/office/word/2010/wordprocessingShape">
                          <wps:wsp>
                            <wps:cNvSpPr txBox="1"/>
                            <wps:spPr>
                              <a:xfrm>
                                <a:off x="0" y="0"/>
                                <a:ext cx="1709420" cy="810895"/>
                              </a:xfrm>
                              <a:prstGeom prst="rect">
                                <a:avLst/>
                              </a:prstGeom>
                              <a:solidFill>
                                <a:schemeClr val="lt1"/>
                              </a:solidFill>
                              <a:ln w="6350">
                                <a:noFill/>
                              </a:ln>
                            </wps:spPr>
                            <wps:txbx>
                              <w:txbxContent>
                                <w:p w14:paraId="6BA9503E" w14:textId="3B550CA3" w:rsidR="004B03F8" w:rsidRDefault="004B03F8" w:rsidP="0054360D">
                                  <w:r>
                                    <w:rPr>
                                      <w:noProof/>
                                      <w:lang w:eastAsia="en-AU"/>
                                    </w:rPr>
                                    <w:drawing>
                                      <wp:inline distT="0" distB="0" distL="0" distR="0" wp14:anchorId="48D2AC1F" wp14:editId="61B4B088">
                                        <wp:extent cx="1486077" cy="698269"/>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ENSW_LOGO_STACKED_POS_MONO.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500557" cy="7050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B3BE6" id="Text Box 7" o:spid="_x0000_s1029" type="#_x0000_t202" style="position:absolute;margin-left:.4pt;margin-top:82.65pt;width:134.6pt;height:63.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" fillcolor="white [3201]" stroked="f" strokeweight=".5pt">
                      <v:textbox>
                        <w:txbxContent>
                          <w:p w14:paraId="6BA9503E" w14:textId="3B550CA3" w:rsidR="004B03F8" w:rsidRDefault="004B03F8" w:rsidP="0054360D">
                            <w:r>
                              <w:rPr>
                                <w:noProof/>
                                <w:lang w:eastAsia="en-AU"/>
                              </w:rPr>
                              <w:drawing>
                                <wp:inline distT="0" distB="0" distL="0" distR="0" wp14:anchorId="48D2AC1F" wp14:editId="61B4B088">
                                  <wp:extent cx="1486077" cy="698269"/>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ENSW_LOGO_STACKED_POS_MONO.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500557" cy="705073"/>
                                          </a:xfrm>
                                          <a:prstGeom prst="rect">
                                            <a:avLst/>
                                          </a:prstGeom>
                                        </pic:spPr>
                                      </pic:pic>
                                    </a:graphicData>
                                  </a:graphic>
                                </wp:inline>
                              </w:drawing>
                            </w:r>
                          </w:p>
                        </w:txbxContent>
                      </v:textbox>
                    </v:shape>
                  </w:pict>
                </mc:Fallback>
              </mc:AlternateContent>
            </w:r>
          </w:p>
          <w:p w14:paraId="29C74008" w14:textId="77777777" w:rsidR="0054360D" w:rsidRPr="00645463" w:rsidRDefault="0054360D" w:rsidP="00AD09CB">
            <w:pPr>
              <w:pStyle w:val="NoSpacing"/>
              <w:spacing w:before="120" w:after="120"/>
              <w:contextualSpacing/>
              <w:cnfStyle w:val="100000000000" w:firstRow="1" w:lastRow="0" w:firstColumn="0" w:lastColumn="0" w:oddVBand="0" w:evenVBand="0" w:oddHBand="0" w:evenHBand="0" w:firstRowFirstColumn="0" w:firstRowLastColumn="0" w:lastRowFirstColumn="0" w:lastRowLastColumn="0"/>
              <w:rPr>
                <w:rFonts w:cs="Arial"/>
              </w:rPr>
            </w:pPr>
          </w:p>
          <w:p w14:paraId="5BF042A1" w14:textId="77777777" w:rsidR="0054360D" w:rsidRPr="00645463" w:rsidRDefault="0054360D" w:rsidP="00AD09CB">
            <w:pPr>
              <w:pStyle w:val="NoSpacing"/>
              <w:spacing w:before="120" w:after="120"/>
              <w:contextualSpacing/>
              <w:cnfStyle w:val="100000000000" w:firstRow="1" w:lastRow="0" w:firstColumn="0" w:lastColumn="0" w:oddVBand="0" w:evenVBand="0" w:oddHBand="0" w:evenHBand="0" w:firstRowFirstColumn="0" w:firstRowLastColumn="0" w:lastRowFirstColumn="0" w:lastRowLastColumn="0"/>
              <w:rPr>
                <w:rFonts w:cs="Arial"/>
              </w:rPr>
            </w:pPr>
          </w:p>
          <w:p w14:paraId="2B38FE85" w14:textId="77777777" w:rsidR="0054360D" w:rsidRPr="00645463" w:rsidRDefault="0054360D" w:rsidP="00AD09CB">
            <w:pPr>
              <w:pStyle w:val="NoSpacing"/>
              <w:spacing w:before="120" w:after="120"/>
              <w:contextualSpacing/>
              <w:cnfStyle w:val="100000000000" w:firstRow="1" w:lastRow="0" w:firstColumn="0" w:lastColumn="0" w:oddVBand="0" w:evenVBand="0" w:oddHBand="0" w:evenHBand="0" w:firstRowFirstColumn="0" w:firstRowLastColumn="0" w:lastRowFirstColumn="0" w:lastRowLastColumn="0"/>
              <w:rPr>
                <w:rFonts w:cs="Arial"/>
              </w:rPr>
            </w:pPr>
          </w:p>
          <w:p w14:paraId="4488FA99" w14:textId="77777777" w:rsidR="0054360D" w:rsidRPr="00645463" w:rsidRDefault="0054360D" w:rsidP="00AD09CB">
            <w:pPr>
              <w:pStyle w:val="NoSpacing"/>
              <w:spacing w:before="120" w:after="120"/>
              <w:contextualSpacing/>
              <w:cnfStyle w:val="100000000000" w:firstRow="1" w:lastRow="0" w:firstColumn="0" w:lastColumn="0" w:oddVBand="0" w:evenVBand="0" w:oddHBand="0" w:evenHBand="0" w:firstRowFirstColumn="0" w:firstRowLastColumn="0" w:lastRowFirstColumn="0" w:lastRowLastColumn="0"/>
              <w:rPr>
                <w:rFonts w:cs="Arial"/>
              </w:rPr>
            </w:pPr>
          </w:p>
          <w:p w14:paraId="5602A7F5" w14:textId="77777777" w:rsidR="0054360D" w:rsidRPr="00645463" w:rsidRDefault="0054360D" w:rsidP="00AD09CB">
            <w:pPr>
              <w:pStyle w:val="NoSpacing"/>
              <w:spacing w:before="120" w:after="120"/>
              <w:contextualSpacing/>
              <w:cnfStyle w:val="100000000000" w:firstRow="1" w:lastRow="0" w:firstColumn="0" w:lastColumn="0" w:oddVBand="0" w:evenVBand="0" w:oddHBand="0" w:evenHBand="0" w:firstRowFirstColumn="0" w:firstRowLastColumn="0" w:lastRowFirstColumn="0" w:lastRowLastColumn="0"/>
              <w:rPr>
                <w:rFonts w:cs="Arial"/>
              </w:rPr>
            </w:pPr>
          </w:p>
          <w:p w14:paraId="3EF23CD1" w14:textId="77777777" w:rsidR="0054360D" w:rsidRPr="00645463" w:rsidRDefault="0054360D" w:rsidP="00AD09CB">
            <w:pPr>
              <w:pStyle w:val="NoSpacing"/>
              <w:spacing w:before="120" w:after="120"/>
              <w:contextualSpacing/>
              <w:cnfStyle w:val="100000000000" w:firstRow="1" w:lastRow="0" w:firstColumn="0" w:lastColumn="0" w:oddVBand="0" w:evenVBand="0" w:oddHBand="0" w:evenHBand="0" w:firstRowFirstColumn="0" w:firstRowLastColumn="0" w:lastRowFirstColumn="0" w:lastRowLastColumn="0"/>
              <w:rPr>
                <w:rFonts w:cs="Arial"/>
              </w:rPr>
            </w:pPr>
          </w:p>
          <w:p w14:paraId="6E13FD75" w14:textId="77777777" w:rsidR="0054360D" w:rsidRPr="00645463" w:rsidRDefault="0054360D" w:rsidP="00AD09CB">
            <w:pPr>
              <w:pStyle w:val="NoSpacing"/>
              <w:spacing w:before="120" w:after="120"/>
              <w:contextualSpacing/>
              <w:cnfStyle w:val="100000000000" w:firstRow="1" w:lastRow="0" w:firstColumn="0" w:lastColumn="0" w:oddVBand="0" w:evenVBand="0" w:oddHBand="0" w:evenHBand="0" w:firstRowFirstColumn="0" w:firstRowLastColumn="0" w:lastRowFirstColumn="0" w:lastRowLastColumn="0"/>
              <w:rPr>
                <w:rFonts w:cs="Arial"/>
              </w:rPr>
            </w:pPr>
          </w:p>
          <w:p w14:paraId="0FEF620D" w14:textId="77777777" w:rsidR="0054360D" w:rsidRPr="00645463" w:rsidRDefault="0054360D" w:rsidP="00AD09CB">
            <w:pPr>
              <w:pStyle w:val="NoSpacing"/>
              <w:spacing w:before="120" w:after="120"/>
              <w:contextualSpacing/>
              <w:cnfStyle w:val="100000000000" w:firstRow="1" w:lastRow="0" w:firstColumn="0" w:lastColumn="0" w:oddVBand="0" w:evenVBand="0" w:oddHBand="0" w:evenHBand="0" w:firstRowFirstColumn="0" w:firstRowLastColumn="0" w:lastRowFirstColumn="0" w:lastRowLastColumn="0"/>
              <w:rPr>
                <w:rFonts w:cs="Arial"/>
              </w:rPr>
            </w:pPr>
          </w:p>
          <w:p w14:paraId="6D91399A" w14:textId="77777777" w:rsidR="0054360D" w:rsidRPr="00645463" w:rsidRDefault="0054360D" w:rsidP="00AD09CB">
            <w:pPr>
              <w:pStyle w:val="NoSpacing"/>
              <w:spacing w:before="120" w:after="120"/>
              <w:contextualSpacing/>
              <w:cnfStyle w:val="100000000000" w:firstRow="1" w:lastRow="0" w:firstColumn="0" w:lastColumn="0" w:oddVBand="0" w:evenVBand="0" w:oddHBand="0" w:evenHBand="0" w:firstRowFirstColumn="0" w:firstRowLastColumn="0" w:lastRowFirstColumn="0" w:lastRowLastColumn="0"/>
              <w:rPr>
                <w:rFonts w:cs="Arial"/>
              </w:rPr>
            </w:pPr>
          </w:p>
          <w:p w14:paraId="775BC194" w14:textId="77777777" w:rsidR="0054360D" w:rsidRPr="00645463" w:rsidRDefault="0054360D" w:rsidP="00AD09CB">
            <w:pPr>
              <w:pStyle w:val="NoSpacing"/>
              <w:spacing w:before="120" w:after="120"/>
              <w:contextualSpacing/>
              <w:cnfStyle w:val="100000000000" w:firstRow="1" w:lastRow="0" w:firstColumn="0" w:lastColumn="0" w:oddVBand="0" w:evenVBand="0" w:oddHBand="0" w:evenHBand="0" w:firstRowFirstColumn="0" w:firstRowLastColumn="0" w:lastRowFirstColumn="0" w:lastRowLastColumn="0"/>
              <w:rPr>
                <w:rFonts w:cs="Arial"/>
              </w:rPr>
            </w:pPr>
          </w:p>
        </w:tc>
      </w:tr>
      <w:tr w:rsidR="0054360D" w:rsidRPr="009A0DA6" w14:paraId="00E04F81" w14:textId="77777777" w:rsidTr="00AD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1FFE8292" w14:textId="77777777" w:rsidR="0054360D" w:rsidRPr="009A0DA6" w:rsidRDefault="0054360D" w:rsidP="00AD09CB">
            <w:pPr>
              <w:spacing w:before="120" w:after="120"/>
              <w:ind w:left="177" w:hanging="177"/>
              <w:contextualSpacing/>
              <w:rPr>
                <w:rFonts w:ascii="Cambria" w:hAnsi="Cambria" w:cs="Arial"/>
              </w:rPr>
            </w:pPr>
            <w:r w:rsidRPr="009A0DA6">
              <w:rPr>
                <w:rFonts w:ascii="Cambria" w:hAnsi="Cambria" w:cs="Arial"/>
              </w:rPr>
              <w:t>2. Cultural enhancement</w:t>
            </w:r>
          </w:p>
          <w:p w14:paraId="01E3E885" w14:textId="77777777" w:rsidR="0054360D" w:rsidRPr="009A0DA6" w:rsidRDefault="0054360D" w:rsidP="00AD09CB">
            <w:pPr>
              <w:spacing w:before="120" w:after="120"/>
              <w:ind w:left="319" w:hanging="319"/>
              <w:contextualSpacing/>
              <w:rPr>
                <w:rFonts w:ascii="Cambria" w:hAnsi="Cambria" w:cs="Arial"/>
                <w:b w:val="0"/>
              </w:rPr>
            </w:pPr>
            <w:r w:rsidRPr="009A0DA6">
              <w:rPr>
                <w:rFonts w:ascii="Cambria" w:hAnsi="Cambria" w:cs="Arial"/>
                <w:b w:val="0"/>
              </w:rPr>
              <w:t>a)  Seek relevant research and learning opportunities for knowledge creation and use to impact cultural enhancement and focus for Australian Lutheran education</w:t>
            </w:r>
          </w:p>
          <w:p w14:paraId="1F5BE2C0" w14:textId="77777777" w:rsidR="0054360D" w:rsidRPr="009A0DA6" w:rsidRDefault="0054360D" w:rsidP="00AD09CB">
            <w:pPr>
              <w:pStyle w:val="ListParagraph"/>
              <w:spacing w:before="120" w:after="120" w:line="240" w:lineRule="auto"/>
              <w:ind w:left="177" w:hanging="177"/>
              <w:rPr>
                <w:rFonts w:ascii="Cambria" w:hAnsi="Cambria" w:cs="Arial"/>
              </w:rPr>
            </w:pPr>
          </w:p>
        </w:tc>
        <w:tc>
          <w:tcPr>
            <w:tcW w:w="6487" w:type="dxa"/>
            <w:gridSpan w:val="2"/>
            <w:hideMark/>
          </w:tcPr>
          <w:p w14:paraId="2316AE94" w14:textId="77777777" w:rsidR="0054360D" w:rsidRPr="009A0DA6" w:rsidRDefault="0054360D" w:rsidP="00AD09CB">
            <w:pPr>
              <w:pStyle w:val="NoSpacing"/>
              <w:spacing w:before="120" w:after="120"/>
              <w:contextualSpacing/>
              <w:cnfStyle w:val="000000100000" w:firstRow="0" w:lastRow="0" w:firstColumn="0" w:lastColumn="0" w:oddVBand="0" w:evenVBand="0" w:oddHBand="1" w:evenHBand="0" w:firstRowFirstColumn="0" w:firstRowLastColumn="0" w:lastRowFirstColumn="0" w:lastRowLastColumn="0"/>
              <w:rPr>
                <w:rFonts w:cs="Arial"/>
                <w:sz w:val="10"/>
              </w:rPr>
            </w:pPr>
          </w:p>
          <w:p w14:paraId="3834318B" w14:textId="77777777" w:rsidR="0054360D" w:rsidRPr="009A0DA6" w:rsidRDefault="0054360D" w:rsidP="00AD09CB">
            <w:pPr>
              <w:pStyle w:val="NoSpacing"/>
              <w:spacing w:before="120" w:after="120"/>
              <w:contextualSpacing/>
              <w:cnfStyle w:val="000000100000" w:firstRow="0" w:lastRow="0" w:firstColumn="0" w:lastColumn="0" w:oddVBand="0" w:evenVBand="0" w:oddHBand="1" w:evenHBand="0" w:firstRowFirstColumn="0" w:firstRowLastColumn="0" w:lastRowFirstColumn="0" w:lastRowLastColumn="0"/>
              <w:rPr>
                <w:rFonts w:cs="Arial"/>
              </w:rPr>
            </w:pPr>
            <w:r w:rsidRPr="009A0DA6">
              <w:rPr>
                <w:rFonts w:cs="Arial"/>
              </w:rPr>
              <w:t>In the past three years, LEA with relevant external parties, conducted research in the following areas:</w:t>
            </w:r>
          </w:p>
          <w:p w14:paraId="455D69CD" w14:textId="77777777" w:rsidR="0054360D" w:rsidRPr="009A0DA6" w:rsidRDefault="0054360D" w:rsidP="00F55252">
            <w:pPr>
              <w:pStyle w:val="NoSpacing"/>
              <w:numPr>
                <w:ilvl w:val="0"/>
                <w:numId w:val="228"/>
              </w:numPr>
              <w:spacing w:before="120" w:after="120"/>
              <w:contextualSpacing/>
              <w:cnfStyle w:val="000000100000" w:firstRow="0" w:lastRow="0" w:firstColumn="0" w:lastColumn="0" w:oddVBand="0" w:evenVBand="0" w:oddHBand="1" w:evenHBand="0" w:firstRowFirstColumn="0" w:firstRowLastColumn="0" w:lastRowFirstColumn="0" w:lastRowLastColumn="0"/>
              <w:rPr>
                <w:rFonts w:cs="Arial"/>
              </w:rPr>
            </w:pPr>
            <w:r w:rsidRPr="009A0DA6">
              <w:rPr>
                <w:rFonts w:cs="Arial"/>
              </w:rPr>
              <w:t>Quality Schools surveys (2016 and 2018)</w:t>
            </w:r>
          </w:p>
          <w:p w14:paraId="2BB0C22E" w14:textId="77777777" w:rsidR="0054360D" w:rsidRPr="009A0DA6" w:rsidRDefault="0054360D" w:rsidP="00F55252">
            <w:pPr>
              <w:pStyle w:val="NoSpacing"/>
              <w:numPr>
                <w:ilvl w:val="0"/>
                <w:numId w:val="228"/>
              </w:numPr>
              <w:spacing w:before="120" w:after="120"/>
              <w:contextualSpacing/>
              <w:cnfStyle w:val="000000100000" w:firstRow="0" w:lastRow="0" w:firstColumn="0" w:lastColumn="0" w:oddVBand="0" w:evenVBand="0" w:oddHBand="1" w:evenHBand="0" w:firstRowFirstColumn="0" w:firstRowLastColumn="0" w:lastRowFirstColumn="0" w:lastRowLastColumn="0"/>
              <w:rPr>
                <w:rFonts w:cs="Arial"/>
              </w:rPr>
            </w:pPr>
            <w:r w:rsidRPr="009A0DA6">
              <w:rPr>
                <w:rFonts w:cs="Arial"/>
              </w:rPr>
              <w:t>Principals Health and Wellbeing surveys (2016 and 2018)</w:t>
            </w:r>
          </w:p>
          <w:p w14:paraId="371616FC" w14:textId="77777777" w:rsidR="0054360D" w:rsidRPr="009A0DA6" w:rsidRDefault="0054360D" w:rsidP="00F55252">
            <w:pPr>
              <w:pStyle w:val="NoSpacing"/>
              <w:numPr>
                <w:ilvl w:val="0"/>
                <w:numId w:val="228"/>
              </w:numPr>
              <w:spacing w:before="120" w:after="120"/>
              <w:contextualSpacing/>
              <w:cnfStyle w:val="000000100000" w:firstRow="0" w:lastRow="0" w:firstColumn="0" w:lastColumn="0" w:oddVBand="0" w:evenVBand="0" w:oddHBand="1" w:evenHBand="0" w:firstRowFirstColumn="0" w:firstRowLastColumn="0" w:lastRowFirstColumn="0" w:lastRowLastColumn="0"/>
              <w:rPr>
                <w:rFonts w:cs="Arial"/>
              </w:rPr>
            </w:pPr>
            <w:r w:rsidRPr="009A0DA6">
              <w:rPr>
                <w:rFonts w:cs="Arial"/>
              </w:rPr>
              <w:t>NAPLAN results (2009-2016)</w:t>
            </w:r>
          </w:p>
          <w:p w14:paraId="657C84D5" w14:textId="77777777" w:rsidR="0054360D" w:rsidRPr="009A0DA6" w:rsidRDefault="0054360D" w:rsidP="00F55252">
            <w:pPr>
              <w:pStyle w:val="NoSpacing"/>
              <w:numPr>
                <w:ilvl w:val="0"/>
                <w:numId w:val="228"/>
              </w:numPr>
              <w:spacing w:before="120" w:after="120"/>
              <w:contextualSpacing/>
              <w:cnfStyle w:val="000000100000" w:firstRow="0" w:lastRow="0" w:firstColumn="0" w:lastColumn="0" w:oddVBand="0" w:evenVBand="0" w:oddHBand="1" w:evenHBand="0" w:firstRowFirstColumn="0" w:firstRowLastColumn="0" w:lastRowFirstColumn="0" w:lastRowLastColumn="0"/>
              <w:rPr>
                <w:rFonts w:cs="Arial"/>
              </w:rPr>
            </w:pPr>
            <w:r w:rsidRPr="009A0DA6">
              <w:rPr>
                <w:rFonts w:cs="Arial"/>
              </w:rPr>
              <w:t>The principal as spiritual leader (2017-2018)</w:t>
            </w:r>
          </w:p>
          <w:p w14:paraId="7500BD90" w14:textId="77777777" w:rsidR="0054360D" w:rsidRPr="009A0DA6" w:rsidRDefault="0054360D" w:rsidP="00F55252">
            <w:pPr>
              <w:pStyle w:val="NoSpacing"/>
              <w:numPr>
                <w:ilvl w:val="0"/>
                <w:numId w:val="228"/>
              </w:numPr>
              <w:spacing w:before="120" w:after="120"/>
              <w:contextualSpacing/>
              <w:cnfStyle w:val="000000100000" w:firstRow="0" w:lastRow="0" w:firstColumn="0" w:lastColumn="0" w:oddVBand="0" w:evenVBand="0" w:oddHBand="1" w:evenHBand="0" w:firstRowFirstColumn="0" w:firstRowLastColumn="0" w:lastRowFirstColumn="0" w:lastRowLastColumn="0"/>
              <w:rPr>
                <w:rFonts w:cs="Arial"/>
              </w:rPr>
            </w:pPr>
            <w:r w:rsidRPr="009A0DA6">
              <w:rPr>
                <w:rFonts w:cs="Arial"/>
              </w:rPr>
              <w:t>Leadership succession in Lutheran schools (2017)</w:t>
            </w:r>
          </w:p>
          <w:p w14:paraId="38752384" w14:textId="77777777" w:rsidR="0054360D" w:rsidRPr="009A0DA6" w:rsidRDefault="0054360D" w:rsidP="00AD09CB">
            <w:pPr>
              <w:pStyle w:val="NoSpacing"/>
              <w:spacing w:before="120" w:after="120"/>
              <w:contextualSpacing/>
              <w:cnfStyle w:val="000000100000" w:firstRow="0" w:lastRow="0" w:firstColumn="0" w:lastColumn="0" w:oddVBand="0" w:evenVBand="0" w:oddHBand="1" w:evenHBand="0" w:firstRowFirstColumn="0" w:firstRowLastColumn="0" w:lastRowFirstColumn="0" w:lastRowLastColumn="0"/>
              <w:rPr>
                <w:rFonts w:cs="Arial"/>
                <w:b/>
              </w:rPr>
            </w:pPr>
            <w:r w:rsidRPr="009A0DA6">
              <w:rPr>
                <w:rFonts w:cs="Arial"/>
              </w:rPr>
              <w:t>In particular LEA acknowledges the professional support of Professor Wendy Mayer, ALC Associate Dean of Research, in a number of these projects.</w:t>
            </w:r>
          </w:p>
        </w:tc>
      </w:tr>
      <w:tr w:rsidR="0054360D" w:rsidRPr="009A0DA6" w14:paraId="3A47C1E3" w14:textId="77777777" w:rsidTr="00AD09CB">
        <w:tc>
          <w:tcPr>
            <w:cnfStyle w:val="001000000000" w:firstRow="0" w:lastRow="0" w:firstColumn="1" w:lastColumn="0" w:oddVBand="0" w:evenVBand="0" w:oddHBand="0" w:evenHBand="0" w:firstRowFirstColumn="0" w:firstRowLastColumn="0" w:lastRowFirstColumn="0" w:lastRowLastColumn="0"/>
            <w:tcW w:w="2977" w:type="dxa"/>
            <w:hideMark/>
          </w:tcPr>
          <w:p w14:paraId="3856C575" w14:textId="77777777" w:rsidR="0054360D" w:rsidRPr="009A0DA6" w:rsidRDefault="0054360D" w:rsidP="00AD09CB">
            <w:pPr>
              <w:spacing w:before="120" w:after="120"/>
              <w:ind w:left="319" w:hanging="319"/>
              <w:contextualSpacing/>
              <w:rPr>
                <w:rFonts w:ascii="Cambria" w:hAnsi="Cambria" w:cs="Arial"/>
                <w:b w:val="0"/>
              </w:rPr>
            </w:pPr>
            <w:r w:rsidRPr="009A0DA6">
              <w:rPr>
                <w:rFonts w:ascii="Cambria" w:hAnsi="Cambria" w:cs="Arial"/>
                <w:b w:val="0"/>
              </w:rPr>
              <w:t>b) Assist schools in the development of international partnerships</w:t>
            </w:r>
          </w:p>
        </w:tc>
        <w:tc>
          <w:tcPr>
            <w:tcW w:w="6487" w:type="dxa"/>
            <w:gridSpan w:val="2"/>
            <w:hideMark/>
          </w:tcPr>
          <w:p w14:paraId="73E1D8D1" w14:textId="77777777" w:rsidR="0054360D" w:rsidRPr="009A0DA6" w:rsidRDefault="0054360D" w:rsidP="00AD09CB">
            <w:pPr>
              <w:pStyle w:val="NoSpacing"/>
              <w:spacing w:before="120" w:after="120"/>
              <w:contextualSpacing/>
              <w:cnfStyle w:val="000000000000" w:firstRow="0" w:lastRow="0" w:firstColumn="0" w:lastColumn="0" w:oddVBand="0" w:evenVBand="0" w:oddHBand="0" w:evenHBand="0" w:firstRowFirstColumn="0" w:firstRowLastColumn="0" w:lastRowFirstColumn="0" w:lastRowLastColumn="0"/>
              <w:rPr>
                <w:rFonts w:cs="Arial"/>
              </w:rPr>
            </w:pPr>
            <w:r w:rsidRPr="009A0DA6">
              <w:rPr>
                <w:rFonts w:cs="Arial"/>
              </w:rPr>
              <w:t>LEA and Mission International conducted a joint school partnership visit to Indonesian Lutheran schools resulting in six Australian/Indonesian school partnerships. Together with LCA leaders, LEA met with the ELCPNG Bishop and leaders to discuss future cooperation.  LEA sponsored eleven education leaders from PNG, Malaysia and Indonesia to attend ACLE5 and visit various Australian Lutheran schools.</w:t>
            </w:r>
          </w:p>
        </w:tc>
      </w:tr>
      <w:tr w:rsidR="0054360D" w:rsidRPr="009A0DA6" w14:paraId="3F5AAA57" w14:textId="77777777" w:rsidTr="00AD09CB">
        <w:trPr>
          <w:cnfStyle w:val="000000100000" w:firstRow="0" w:lastRow="0" w:firstColumn="0" w:lastColumn="0" w:oddVBand="0" w:evenVBand="0" w:oddHBand="1" w:evenHBand="0" w:firstRowFirstColumn="0" w:firstRowLastColumn="0" w:lastRowFirstColumn="0" w:lastRowLastColumn="0"/>
          <w:trHeight w:val="1833"/>
        </w:trPr>
        <w:tc>
          <w:tcPr>
            <w:cnfStyle w:val="001000000000" w:firstRow="0" w:lastRow="0" w:firstColumn="1" w:lastColumn="0" w:oddVBand="0" w:evenVBand="0" w:oddHBand="0" w:evenHBand="0" w:firstRowFirstColumn="0" w:firstRowLastColumn="0" w:lastRowFirstColumn="0" w:lastRowLastColumn="0"/>
            <w:tcW w:w="2977" w:type="dxa"/>
          </w:tcPr>
          <w:p w14:paraId="6DE5F3F5" w14:textId="77777777" w:rsidR="0054360D" w:rsidRPr="009A0DA6" w:rsidRDefault="0054360D" w:rsidP="00AD09CB">
            <w:pPr>
              <w:spacing w:before="120" w:after="120"/>
              <w:contextualSpacing/>
              <w:rPr>
                <w:rFonts w:ascii="Cambria" w:hAnsi="Cambria" w:cs="Arial"/>
              </w:rPr>
            </w:pPr>
            <w:r w:rsidRPr="009A0DA6">
              <w:rPr>
                <w:rFonts w:ascii="Cambria" w:hAnsi="Cambria" w:cs="Arial"/>
              </w:rPr>
              <w:t>3. System sustainability</w:t>
            </w:r>
          </w:p>
          <w:p w14:paraId="29CCFDAF" w14:textId="77777777" w:rsidR="0054360D" w:rsidRPr="009A0DA6" w:rsidRDefault="0054360D" w:rsidP="00F55252">
            <w:pPr>
              <w:pStyle w:val="ListParagraph"/>
              <w:numPr>
                <w:ilvl w:val="0"/>
                <w:numId w:val="229"/>
              </w:numPr>
              <w:spacing w:before="120" w:after="120" w:line="240" w:lineRule="auto"/>
              <w:ind w:left="318" w:hanging="318"/>
              <w:rPr>
                <w:rFonts w:ascii="Cambria" w:hAnsi="Cambria" w:cs="Arial"/>
                <w:b w:val="0"/>
              </w:rPr>
            </w:pPr>
            <w:r w:rsidRPr="009A0DA6">
              <w:rPr>
                <w:rFonts w:ascii="Cambria" w:hAnsi="Cambria" w:cs="Arial"/>
                <w:b w:val="0"/>
              </w:rPr>
              <w:t>Ensure funding sustainability and financial resilience for all Lutheran schools</w:t>
            </w:r>
          </w:p>
          <w:p w14:paraId="382CE9D5" w14:textId="77777777" w:rsidR="0054360D" w:rsidRPr="009A0DA6" w:rsidRDefault="0054360D" w:rsidP="00AD09CB">
            <w:pPr>
              <w:pStyle w:val="ListParagraph"/>
              <w:spacing w:before="120" w:after="120" w:line="240" w:lineRule="auto"/>
              <w:ind w:left="709"/>
              <w:rPr>
                <w:rFonts w:ascii="Cambria" w:hAnsi="Cambria" w:cs="Arial"/>
                <w:b w:val="0"/>
              </w:rPr>
            </w:pPr>
          </w:p>
        </w:tc>
        <w:tc>
          <w:tcPr>
            <w:tcW w:w="6487" w:type="dxa"/>
            <w:gridSpan w:val="2"/>
          </w:tcPr>
          <w:p w14:paraId="2E136041" w14:textId="77777777" w:rsidR="0054360D" w:rsidRPr="009A0DA6" w:rsidRDefault="0054360D" w:rsidP="00AD09CB">
            <w:pPr>
              <w:pStyle w:val="NoSpacing"/>
              <w:cnfStyle w:val="000000100000" w:firstRow="0" w:lastRow="0" w:firstColumn="0" w:lastColumn="0" w:oddVBand="0" w:evenVBand="0" w:oddHBand="1" w:evenHBand="0" w:firstRowFirstColumn="0" w:firstRowLastColumn="0" w:lastRowFirstColumn="0" w:lastRowLastColumn="0"/>
            </w:pPr>
          </w:p>
          <w:p w14:paraId="38606937" w14:textId="77777777" w:rsidR="0054360D" w:rsidRPr="009A0DA6" w:rsidRDefault="0054360D" w:rsidP="00AD09CB">
            <w:pPr>
              <w:pStyle w:val="NoSpacing"/>
              <w:cnfStyle w:val="000000100000" w:firstRow="0" w:lastRow="0" w:firstColumn="0" w:lastColumn="0" w:oddVBand="0" w:evenVBand="0" w:oddHBand="1" w:evenHBand="0" w:firstRowFirstColumn="0" w:firstRowLastColumn="0" w:lastRowFirstColumn="0" w:lastRowLastColumn="0"/>
            </w:pPr>
            <w:r w:rsidRPr="009A0DA6">
              <w:t xml:space="preserve">LEA represents the three regions and all Lutheran schools at the federal government level. In the past three years, LEA leaders have met with federal Minister for Education, Senator Simon Birmingham, his deputy officials and ISCA on at least 15 occasions. </w:t>
            </w:r>
          </w:p>
          <w:p w14:paraId="65B14762" w14:textId="77777777" w:rsidR="0054360D" w:rsidRPr="009A0DA6" w:rsidRDefault="0054360D" w:rsidP="00AD09CB">
            <w:pPr>
              <w:pStyle w:val="NoSpacing"/>
              <w:cnfStyle w:val="000000100000" w:firstRow="0" w:lastRow="0" w:firstColumn="0" w:lastColumn="0" w:oddVBand="0" w:evenVBand="0" w:oddHBand="1" w:evenHBand="0" w:firstRowFirstColumn="0" w:firstRowLastColumn="0" w:lastRowFirstColumn="0" w:lastRowLastColumn="0"/>
            </w:pPr>
          </w:p>
          <w:p w14:paraId="5D0C63B9" w14:textId="77777777" w:rsidR="0054360D" w:rsidRPr="009A0DA6" w:rsidRDefault="0054360D" w:rsidP="00AD09CB">
            <w:pPr>
              <w:pStyle w:val="NoSpacing"/>
              <w:cnfStyle w:val="000000100000" w:firstRow="0" w:lastRow="0" w:firstColumn="0" w:lastColumn="0" w:oddVBand="0" w:evenVBand="0" w:oddHBand="1" w:evenHBand="0" w:firstRowFirstColumn="0" w:firstRowLastColumn="0" w:lastRowFirstColumn="0" w:lastRowLastColumn="0"/>
            </w:pPr>
            <w:r w:rsidRPr="009A0DA6">
              <w:t>LEA also produces regular national and regional Lutheran education debt profiles which are presented to BLEA, regional councils and the respective District Church Councils.</w:t>
            </w:r>
          </w:p>
        </w:tc>
      </w:tr>
      <w:tr w:rsidR="0054360D" w:rsidRPr="009A0DA6" w14:paraId="342A553A" w14:textId="77777777" w:rsidTr="00AD09CB">
        <w:trPr>
          <w:trHeight w:val="709"/>
        </w:trPr>
        <w:tc>
          <w:tcPr>
            <w:cnfStyle w:val="001000000000" w:firstRow="0" w:lastRow="0" w:firstColumn="1" w:lastColumn="0" w:oddVBand="0" w:evenVBand="0" w:oddHBand="0" w:evenHBand="0" w:firstRowFirstColumn="0" w:firstRowLastColumn="0" w:lastRowFirstColumn="0" w:lastRowLastColumn="0"/>
            <w:tcW w:w="2977" w:type="dxa"/>
          </w:tcPr>
          <w:p w14:paraId="1445A84B" w14:textId="77777777" w:rsidR="0054360D" w:rsidRPr="009A0DA6" w:rsidRDefault="0054360D" w:rsidP="00F55252">
            <w:pPr>
              <w:pStyle w:val="ListParagraph"/>
              <w:numPr>
                <w:ilvl w:val="0"/>
                <w:numId w:val="229"/>
              </w:numPr>
              <w:spacing w:before="120" w:after="120" w:line="240" w:lineRule="auto"/>
              <w:ind w:left="426" w:hanging="284"/>
              <w:rPr>
                <w:rFonts w:ascii="Cambria" w:hAnsi="Cambria" w:cs="Arial"/>
                <w:b w:val="0"/>
              </w:rPr>
            </w:pPr>
            <w:r w:rsidRPr="009A0DA6">
              <w:rPr>
                <w:rFonts w:ascii="Cambria" w:hAnsi="Cambria" w:cs="Arial"/>
                <w:b w:val="0"/>
              </w:rPr>
              <w:t>Build educational governance and financial capacity</w:t>
            </w:r>
          </w:p>
        </w:tc>
        <w:tc>
          <w:tcPr>
            <w:tcW w:w="6487" w:type="dxa"/>
            <w:gridSpan w:val="2"/>
            <w:hideMark/>
          </w:tcPr>
          <w:p w14:paraId="4F56132C" w14:textId="77777777" w:rsidR="0054360D" w:rsidRPr="009A0DA6" w:rsidRDefault="0054360D" w:rsidP="00AD09CB">
            <w:pPr>
              <w:spacing w:before="120" w:after="120"/>
              <w:contextualSpacing/>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LEA and the regions have developed a suite of governance resources for all Lutheran school councils on key governance training and education areas.</w:t>
            </w:r>
          </w:p>
        </w:tc>
      </w:tr>
    </w:tbl>
    <w:p w14:paraId="57146E88" w14:textId="77777777" w:rsidR="0054360D" w:rsidRPr="009A0DA6" w:rsidRDefault="0054360D" w:rsidP="0054360D">
      <w:pPr>
        <w:pStyle w:val="Heading3"/>
        <w:rPr>
          <w:sz w:val="10"/>
          <w:szCs w:val="10"/>
        </w:rPr>
      </w:pPr>
    </w:p>
    <w:p w14:paraId="45E136CA" w14:textId="77777777" w:rsidR="0054360D" w:rsidRPr="009A0DA6" w:rsidRDefault="0054360D" w:rsidP="0054360D">
      <w:pPr>
        <w:pStyle w:val="Heading3"/>
        <w:rPr>
          <w:sz w:val="22"/>
          <w:szCs w:val="22"/>
          <w:lang w:val="en-US" w:eastAsia="ja-JP"/>
        </w:rPr>
      </w:pPr>
      <w:r w:rsidRPr="009A0DA6">
        <w:t xml:space="preserve">Successes </w:t>
      </w:r>
    </w:p>
    <w:p w14:paraId="6BFFC5FC" w14:textId="77777777" w:rsidR="0054360D" w:rsidRPr="009A0DA6" w:rsidRDefault="0054360D" w:rsidP="00F55252">
      <w:pPr>
        <w:pStyle w:val="NoSpacing"/>
        <w:numPr>
          <w:ilvl w:val="1"/>
          <w:numId w:val="234"/>
        </w:numPr>
        <w:spacing w:before="120" w:after="120"/>
        <w:ind w:left="567" w:hanging="567"/>
        <w:contextualSpacing/>
        <w:rPr>
          <w:rFonts w:cs="Arial"/>
        </w:rPr>
      </w:pPr>
      <w:r w:rsidRPr="009A0DA6">
        <w:rPr>
          <w:rFonts w:cs="Arial"/>
        </w:rPr>
        <w:t>Governance</w:t>
      </w:r>
    </w:p>
    <w:p w14:paraId="4E5B563F" w14:textId="77777777" w:rsidR="0054360D" w:rsidRPr="009A0DA6" w:rsidRDefault="0054360D" w:rsidP="00F55252">
      <w:pPr>
        <w:pStyle w:val="NoSpacing"/>
        <w:numPr>
          <w:ilvl w:val="1"/>
          <w:numId w:val="235"/>
        </w:numPr>
        <w:spacing w:before="120" w:after="120"/>
        <w:ind w:left="1134" w:hanging="567"/>
        <w:contextualSpacing/>
        <w:rPr>
          <w:rFonts w:cs="Arial"/>
        </w:rPr>
      </w:pPr>
      <w:r w:rsidRPr="009A0DA6">
        <w:rPr>
          <w:rFonts w:cs="Arial"/>
        </w:rPr>
        <w:t>BLEA has undergone a governance assessment and developed and maintained a governance skills matrix</w:t>
      </w:r>
    </w:p>
    <w:p w14:paraId="210898EA" w14:textId="77777777" w:rsidR="0054360D" w:rsidRPr="009A0DA6" w:rsidRDefault="0054360D" w:rsidP="00F55252">
      <w:pPr>
        <w:pStyle w:val="NoSpacing"/>
        <w:numPr>
          <w:ilvl w:val="1"/>
          <w:numId w:val="235"/>
        </w:numPr>
        <w:spacing w:before="120" w:after="120"/>
        <w:ind w:left="1134" w:hanging="567"/>
        <w:contextualSpacing/>
        <w:rPr>
          <w:rFonts w:cs="Arial"/>
        </w:rPr>
      </w:pPr>
      <w:r w:rsidRPr="009A0DA6">
        <w:rPr>
          <w:rFonts w:cs="Arial"/>
        </w:rPr>
        <w:t xml:space="preserve">In the last synodical period, in cooperation with GCC, the board has assembled a GCC/BLEA Joint Group to undertake the next stage of the GCC/LEA governance and administration review which commenced post the 2015 LCA General Synod. The GCC/BLEA Joint Group has consulted through 2017 and 2018 with key </w:t>
      </w:r>
      <w:r w:rsidRPr="009A0DA6">
        <w:rPr>
          <w:rFonts w:cs="Arial"/>
        </w:rPr>
        <w:lastRenderedPageBreak/>
        <w:t>stakeholders including DCCs (x5), regional education councils (x3), ALC, LLL, nominated principals as well as nominated school council chairs and congregational chairs. The final report and recommendations of the Joint Group will be presented to 2018 LCA General Synod but will not be included in this report due to timing issues.</w:t>
      </w:r>
    </w:p>
    <w:p w14:paraId="61DEFD4E" w14:textId="77777777" w:rsidR="0054360D" w:rsidRPr="009A0DA6" w:rsidRDefault="0054360D" w:rsidP="00F55252">
      <w:pPr>
        <w:pStyle w:val="NoSpacing"/>
        <w:numPr>
          <w:ilvl w:val="0"/>
          <w:numId w:val="236"/>
        </w:numPr>
        <w:spacing w:before="120" w:after="120"/>
        <w:ind w:left="567" w:hanging="567"/>
        <w:contextualSpacing/>
        <w:rPr>
          <w:rFonts w:cs="Arial"/>
        </w:rPr>
      </w:pPr>
      <w:r w:rsidRPr="009A0DA6">
        <w:rPr>
          <w:rFonts w:cs="Arial"/>
        </w:rPr>
        <w:t xml:space="preserve">ACLE5 in 2017 assembled at the Adelaide Convention Centre with in excess of 1100 participants – an ACLE record. ACLE6 is planned for Melbourne in 2021. The LEA publication </w:t>
      </w:r>
      <w:r w:rsidRPr="009A0DA6">
        <w:rPr>
          <w:rFonts w:cs="Arial"/>
          <w:i/>
        </w:rPr>
        <w:t xml:space="preserve">SchooLink </w:t>
      </w:r>
      <w:r w:rsidRPr="009A0DA6">
        <w:rPr>
          <w:rFonts w:cs="Arial"/>
        </w:rPr>
        <w:t xml:space="preserve">for 2017 focussed on ACLE5 and was distributed with </w:t>
      </w:r>
      <w:r w:rsidRPr="009A0DA6">
        <w:rPr>
          <w:rFonts w:cs="Arial"/>
          <w:i/>
        </w:rPr>
        <w:t>The Lutheran.</w:t>
      </w:r>
    </w:p>
    <w:p w14:paraId="42A8914C" w14:textId="77777777" w:rsidR="0054360D" w:rsidRPr="009A0DA6" w:rsidRDefault="0054360D" w:rsidP="00F55252">
      <w:pPr>
        <w:pStyle w:val="NoSpacing"/>
        <w:numPr>
          <w:ilvl w:val="0"/>
          <w:numId w:val="236"/>
        </w:numPr>
        <w:spacing w:before="120" w:after="120"/>
        <w:ind w:left="567" w:hanging="567"/>
        <w:contextualSpacing/>
        <w:rPr>
          <w:rFonts w:cs="Arial"/>
        </w:rPr>
      </w:pPr>
      <w:r w:rsidRPr="009A0DA6">
        <w:rPr>
          <w:rFonts w:cs="Arial"/>
        </w:rPr>
        <w:t xml:space="preserve">The </w:t>
      </w:r>
      <w:r w:rsidRPr="009A0DA6">
        <w:rPr>
          <w:rFonts w:cs="Arial"/>
          <w:i/>
        </w:rPr>
        <w:t>Lutheran education earthcare charter</w:t>
      </w:r>
      <w:r w:rsidRPr="009A0DA6">
        <w:rPr>
          <w:rFonts w:cs="Arial"/>
        </w:rPr>
        <w:t xml:space="preserve"> was launched at ACLE5 and thanks to an LLL grant of $105,000 55 Lutheran schools received small grants to implement a relevant section of the earthcare charter that suited their school program and context. The 2018 edition of LEA </w:t>
      </w:r>
      <w:r w:rsidRPr="009A0DA6">
        <w:rPr>
          <w:rFonts w:cs="Arial"/>
          <w:i/>
        </w:rPr>
        <w:t xml:space="preserve">SchooLink </w:t>
      </w:r>
      <w:r w:rsidRPr="009A0DA6">
        <w:rPr>
          <w:rFonts w:cs="Arial"/>
        </w:rPr>
        <w:t xml:space="preserve">will feature reports of these earthcare projects and again be circulated with </w:t>
      </w:r>
      <w:r w:rsidRPr="009A0DA6">
        <w:rPr>
          <w:rFonts w:cs="Arial"/>
          <w:i/>
        </w:rPr>
        <w:t>The Lutheran</w:t>
      </w:r>
      <w:r w:rsidRPr="009A0DA6">
        <w:rPr>
          <w:rFonts w:cs="Arial"/>
        </w:rPr>
        <w:t>.</w:t>
      </w:r>
    </w:p>
    <w:p w14:paraId="57DAE308" w14:textId="77777777" w:rsidR="0054360D" w:rsidRPr="009A0DA6" w:rsidRDefault="0054360D" w:rsidP="00F55252">
      <w:pPr>
        <w:pStyle w:val="NoSpacing"/>
        <w:numPr>
          <w:ilvl w:val="0"/>
          <w:numId w:val="236"/>
        </w:numPr>
        <w:spacing w:before="120" w:after="120"/>
        <w:ind w:left="567" w:hanging="567"/>
        <w:contextualSpacing/>
        <w:rPr>
          <w:rFonts w:cs="Arial"/>
        </w:rPr>
      </w:pPr>
      <w:r w:rsidRPr="009A0DA6">
        <w:rPr>
          <w:rFonts w:cs="Arial"/>
        </w:rPr>
        <w:t>Both the 2016 and 2018 National Lutheran Principals Conferences were held in this synodical term in Cairns (Peace Lutheran College) and Hobart (Eastside Lutheran College). It was pleasing to see a number of LCA Bishops and ALC leaders at both conferences.</w:t>
      </w:r>
    </w:p>
    <w:p w14:paraId="03447C42" w14:textId="77777777" w:rsidR="0054360D" w:rsidRPr="009A0DA6" w:rsidRDefault="0054360D" w:rsidP="00F55252">
      <w:pPr>
        <w:pStyle w:val="NoSpacing"/>
        <w:numPr>
          <w:ilvl w:val="0"/>
          <w:numId w:val="236"/>
        </w:numPr>
        <w:spacing w:before="120" w:after="120"/>
        <w:ind w:left="567" w:hanging="567"/>
        <w:contextualSpacing/>
        <w:rPr>
          <w:rFonts w:cs="Arial"/>
        </w:rPr>
      </w:pPr>
      <w:r w:rsidRPr="009A0DA6">
        <w:rPr>
          <w:rFonts w:cs="Arial"/>
        </w:rPr>
        <w:t>LEA Service Awards were presented each year to people who had served in Lutheran education for 20 years or more.</w:t>
      </w:r>
    </w:p>
    <w:p w14:paraId="755F94FD" w14:textId="77777777" w:rsidR="0054360D" w:rsidRPr="009A0DA6" w:rsidRDefault="0054360D" w:rsidP="00F55252">
      <w:pPr>
        <w:pStyle w:val="NoSpacing"/>
        <w:numPr>
          <w:ilvl w:val="0"/>
          <w:numId w:val="236"/>
        </w:numPr>
        <w:spacing w:before="120" w:after="120"/>
        <w:ind w:left="567" w:hanging="567"/>
        <w:contextualSpacing/>
        <w:rPr>
          <w:rFonts w:cs="Arial"/>
        </w:rPr>
      </w:pPr>
      <w:r w:rsidRPr="009A0DA6">
        <w:rPr>
          <w:rFonts w:cs="Arial"/>
        </w:rPr>
        <w:t>2015: 32 people with 940 years of collective service were acknowledged</w:t>
      </w:r>
    </w:p>
    <w:p w14:paraId="6EE3A3C6" w14:textId="77777777" w:rsidR="0054360D" w:rsidRPr="009A0DA6" w:rsidRDefault="0054360D" w:rsidP="00F55252">
      <w:pPr>
        <w:pStyle w:val="NoSpacing"/>
        <w:numPr>
          <w:ilvl w:val="0"/>
          <w:numId w:val="236"/>
        </w:numPr>
        <w:spacing w:before="120" w:after="120"/>
        <w:ind w:left="567" w:hanging="567"/>
        <w:contextualSpacing/>
        <w:rPr>
          <w:rFonts w:cs="Arial"/>
        </w:rPr>
      </w:pPr>
      <w:r w:rsidRPr="009A0DA6">
        <w:rPr>
          <w:rFonts w:cs="Arial"/>
        </w:rPr>
        <w:t>2016: 36 people with 991 years of collective service were acknowledged</w:t>
      </w:r>
    </w:p>
    <w:p w14:paraId="2E0EC90F" w14:textId="77777777" w:rsidR="0054360D" w:rsidRPr="009A0DA6" w:rsidRDefault="0054360D" w:rsidP="00F55252">
      <w:pPr>
        <w:pStyle w:val="NoSpacing"/>
        <w:numPr>
          <w:ilvl w:val="0"/>
          <w:numId w:val="236"/>
        </w:numPr>
        <w:spacing w:before="120" w:after="120"/>
        <w:ind w:left="567" w:hanging="567"/>
        <w:contextualSpacing/>
      </w:pPr>
      <w:r w:rsidRPr="009A0DA6">
        <w:rPr>
          <w:rFonts w:cs="Arial"/>
        </w:rPr>
        <w:t>2017: 33 people with 978 years of collective service were acknowledged</w:t>
      </w:r>
    </w:p>
    <w:p w14:paraId="08440E1C" w14:textId="77777777" w:rsidR="0054360D" w:rsidRPr="009A0DA6" w:rsidRDefault="0054360D" w:rsidP="00F55252">
      <w:pPr>
        <w:pStyle w:val="NoSpacing"/>
        <w:numPr>
          <w:ilvl w:val="0"/>
          <w:numId w:val="236"/>
        </w:numPr>
        <w:spacing w:before="120" w:after="120"/>
        <w:ind w:left="567" w:hanging="567"/>
        <w:contextualSpacing/>
        <w:rPr>
          <w:rFonts w:cs="Arial"/>
        </w:rPr>
      </w:pPr>
      <w:r w:rsidRPr="009A0DA6">
        <w:rPr>
          <w:rFonts w:cs="Arial"/>
        </w:rPr>
        <w:t>LEA national finance and risk reporting standards framework was established. LEA, in cooperation with the regions, develops an annual Lutheran Education Debt Profile. This is reported to BLEA and each regional council (as relevant). The LEA Business Manager also reports to the Loans Management Committee, LLL Audit and Risk Committee and the LCA Finance Audit and Risk Committee about this debt profile.</w:t>
      </w:r>
    </w:p>
    <w:p w14:paraId="35DDEA7D" w14:textId="77777777" w:rsidR="0054360D" w:rsidRPr="009A0DA6" w:rsidRDefault="0054360D" w:rsidP="00F55252">
      <w:pPr>
        <w:pStyle w:val="NoSpacing"/>
        <w:numPr>
          <w:ilvl w:val="0"/>
          <w:numId w:val="236"/>
        </w:numPr>
        <w:spacing w:before="120" w:after="120"/>
        <w:ind w:left="567" w:hanging="567"/>
        <w:contextualSpacing/>
        <w:rPr>
          <w:rFonts w:cs="Arial"/>
        </w:rPr>
      </w:pPr>
      <w:r w:rsidRPr="009A0DA6">
        <w:rPr>
          <w:rFonts w:cs="Arial"/>
        </w:rPr>
        <w:t xml:space="preserve">The 2016 LEA / LPA </w:t>
      </w:r>
      <w:r w:rsidRPr="009A0DA6">
        <w:rPr>
          <w:rFonts w:cs="Arial"/>
          <w:i/>
        </w:rPr>
        <w:t xml:space="preserve">In the footsteps of Paul </w:t>
      </w:r>
      <w:r w:rsidRPr="009A0DA6">
        <w:rPr>
          <w:rFonts w:cs="Arial"/>
        </w:rPr>
        <w:t>tour was conducted with 32 people visiting key Greek sties. Rev Neville Otto, LCA Secretary, was the tour chaplain.</w:t>
      </w:r>
    </w:p>
    <w:p w14:paraId="1D799E98" w14:textId="77777777" w:rsidR="0054360D" w:rsidRPr="009A0DA6" w:rsidRDefault="0054360D" w:rsidP="00F55252">
      <w:pPr>
        <w:pStyle w:val="NoSpacing"/>
        <w:numPr>
          <w:ilvl w:val="0"/>
          <w:numId w:val="236"/>
        </w:numPr>
        <w:spacing w:before="120" w:after="120"/>
        <w:ind w:left="567" w:hanging="567"/>
        <w:contextualSpacing/>
        <w:rPr>
          <w:rFonts w:cs="Arial"/>
        </w:rPr>
      </w:pPr>
      <w:r w:rsidRPr="009A0DA6">
        <w:rPr>
          <w:rFonts w:cs="Arial"/>
        </w:rPr>
        <w:t xml:space="preserve">The 2018 LEA/LPA </w:t>
      </w:r>
      <w:r w:rsidRPr="009A0DA6">
        <w:rPr>
          <w:rFonts w:cs="Arial"/>
          <w:i/>
        </w:rPr>
        <w:t xml:space="preserve">Lutherlands Germany </w:t>
      </w:r>
      <w:r w:rsidRPr="009A0DA6">
        <w:rPr>
          <w:rFonts w:cs="Arial"/>
        </w:rPr>
        <w:t>study tour was conducted with 29 people visiting key Reformation and Luther sites. Rev James Winderlich, ALC Principal, was the tour chaplain.</w:t>
      </w:r>
    </w:p>
    <w:p w14:paraId="5DC5F73F" w14:textId="77777777" w:rsidR="0054360D" w:rsidRPr="009A0DA6" w:rsidRDefault="0054360D" w:rsidP="0054360D">
      <w:pPr>
        <w:pStyle w:val="Heading3"/>
      </w:pPr>
      <w:r w:rsidRPr="009A0DA6">
        <w:t>Challenges and lessons learned</w:t>
      </w:r>
    </w:p>
    <w:p w14:paraId="0EAB176A" w14:textId="77777777" w:rsidR="0054360D" w:rsidRPr="009A0DA6" w:rsidRDefault="0054360D" w:rsidP="00F55252">
      <w:pPr>
        <w:pStyle w:val="NoSpacing"/>
        <w:numPr>
          <w:ilvl w:val="0"/>
          <w:numId w:val="230"/>
        </w:numPr>
        <w:spacing w:before="120" w:after="120"/>
        <w:ind w:left="567" w:hanging="567"/>
        <w:contextualSpacing/>
        <w:rPr>
          <w:rFonts w:cs="Arial"/>
        </w:rPr>
      </w:pPr>
      <w:r w:rsidRPr="009A0DA6">
        <w:rPr>
          <w:rFonts w:cs="Arial"/>
        </w:rPr>
        <w:t xml:space="preserve">Both BLEA and LEA are awaiting the 2018 LCA General Synod response to the GCC/BLEA Joint Group report and recommendations on the </w:t>
      </w:r>
      <w:r w:rsidRPr="009A0DA6">
        <w:rPr>
          <w:rFonts w:cs="Arial"/>
          <w:i/>
        </w:rPr>
        <w:t>Lutheran education governance and administration review</w:t>
      </w:r>
      <w:r w:rsidRPr="009A0DA6">
        <w:rPr>
          <w:rFonts w:cs="Arial"/>
        </w:rPr>
        <w:t>. Until governance and management clarity can be established by the LCA, LEA’s work will continue to be hampered and current inefficiencies and risks maintained.</w:t>
      </w:r>
    </w:p>
    <w:p w14:paraId="54ADE3B8" w14:textId="77777777" w:rsidR="0054360D" w:rsidRPr="009A0DA6" w:rsidRDefault="0054360D" w:rsidP="00F55252">
      <w:pPr>
        <w:pStyle w:val="NoSpacing"/>
        <w:numPr>
          <w:ilvl w:val="0"/>
          <w:numId w:val="230"/>
        </w:numPr>
        <w:spacing w:before="120" w:after="120"/>
        <w:ind w:left="567" w:hanging="567"/>
        <w:contextualSpacing/>
        <w:rPr>
          <w:rFonts w:cs="Arial"/>
        </w:rPr>
      </w:pPr>
      <w:r w:rsidRPr="009A0DA6">
        <w:rPr>
          <w:rFonts w:cs="Arial"/>
        </w:rPr>
        <w:t>LEA through its Ministry Personnel Taskforce, organised three national ministry conferences in 2017. These will be followed in 2019 with a further three conferences. These give opportunity to ministry leaders in ECSs, schools and associated congregations to consider how, in today’s Australian society, to most effectively bring the gospel of Jesus Christ to each unique Lutheran education community. This is a particular challenge in the post-Christian society we live in today.</w:t>
      </w:r>
    </w:p>
    <w:p w14:paraId="2E05FC1C" w14:textId="77777777" w:rsidR="0054360D" w:rsidRPr="009A0DA6" w:rsidRDefault="0054360D" w:rsidP="00F55252">
      <w:pPr>
        <w:pStyle w:val="NoSpacing"/>
        <w:numPr>
          <w:ilvl w:val="0"/>
          <w:numId w:val="230"/>
        </w:numPr>
        <w:spacing w:before="120" w:after="120"/>
        <w:ind w:left="567" w:hanging="567"/>
        <w:contextualSpacing/>
        <w:rPr>
          <w:rFonts w:cs="Arial"/>
        </w:rPr>
      </w:pPr>
      <w:r w:rsidRPr="009A0DA6">
        <w:rPr>
          <w:rFonts w:cs="Arial"/>
        </w:rPr>
        <w:t>From 1982-2013, Lutheran school enrolments grew annually by an average 4.53%. However, from 2014-2018, the annual growth averaged 0.55% (based on February 2018 enrolments). The wider independent and Catholic schools are also experiencing similar challenges with enrolment growth. Additionally, the capacity of the LCA to operate ECSs and schools is being tested by a church that is aging and experiencing a decline in membership. This is and will put increasing pressure on matters such as school governance, school leadership, staff formation and how the LCA oversees and supports Lutheran education into the future.</w:t>
      </w:r>
    </w:p>
    <w:p w14:paraId="36A59816" w14:textId="77777777" w:rsidR="0054360D" w:rsidRPr="009A0DA6" w:rsidRDefault="0054360D" w:rsidP="0054360D">
      <w:pPr>
        <w:pStyle w:val="Heading3"/>
      </w:pPr>
      <w:r w:rsidRPr="009A0DA6">
        <w:lastRenderedPageBreak/>
        <w:t>Risks</w:t>
      </w:r>
    </w:p>
    <w:p w14:paraId="09C85CA3" w14:textId="77777777" w:rsidR="0054360D" w:rsidRPr="009A0DA6" w:rsidRDefault="0054360D" w:rsidP="00F55252">
      <w:pPr>
        <w:pStyle w:val="NoSpacing"/>
        <w:numPr>
          <w:ilvl w:val="0"/>
          <w:numId w:val="231"/>
        </w:numPr>
        <w:spacing w:before="120" w:after="120"/>
        <w:ind w:left="567" w:hanging="567"/>
        <w:contextualSpacing/>
        <w:rPr>
          <w:rFonts w:cs="Arial"/>
        </w:rPr>
      </w:pPr>
      <w:r w:rsidRPr="009A0DA6">
        <w:rPr>
          <w:rFonts w:cs="Arial"/>
        </w:rPr>
        <w:t>From 2011 to 2018 the number of Lutheran schools declined from 85 to 80. While some of this decline can be attributed to Lutheran school amalgamations, eg, Highgate SA, Tanunda SA, LEA also saw the closure of several schools, namely:</w:t>
      </w:r>
    </w:p>
    <w:p w14:paraId="6696881E" w14:textId="77777777" w:rsidR="0054360D" w:rsidRPr="009A0DA6" w:rsidRDefault="0054360D" w:rsidP="00F55252">
      <w:pPr>
        <w:pStyle w:val="NoSpacing"/>
        <w:numPr>
          <w:ilvl w:val="0"/>
          <w:numId w:val="232"/>
        </w:numPr>
        <w:spacing w:before="120" w:after="120"/>
        <w:ind w:left="1134" w:hanging="567"/>
        <w:contextualSpacing/>
        <w:rPr>
          <w:rFonts w:cs="Arial"/>
        </w:rPr>
      </w:pPr>
      <w:r w:rsidRPr="009A0DA6">
        <w:rPr>
          <w:rFonts w:cs="Arial"/>
        </w:rPr>
        <w:t>St Stephens Lutheran College, Gladstone Qld (2002-2016)</w:t>
      </w:r>
    </w:p>
    <w:p w14:paraId="37F0DBDD" w14:textId="77777777" w:rsidR="0054360D" w:rsidRPr="009A0DA6" w:rsidRDefault="0054360D" w:rsidP="00F55252">
      <w:pPr>
        <w:pStyle w:val="NoSpacing"/>
        <w:numPr>
          <w:ilvl w:val="0"/>
          <w:numId w:val="232"/>
        </w:numPr>
        <w:spacing w:before="120" w:after="120"/>
        <w:ind w:left="1134" w:hanging="567"/>
        <w:contextualSpacing/>
        <w:rPr>
          <w:rFonts w:cs="Arial"/>
        </w:rPr>
      </w:pPr>
      <w:r w:rsidRPr="009A0DA6">
        <w:rPr>
          <w:rFonts w:cs="Arial"/>
        </w:rPr>
        <w:t>Springhead Lutheran School, Springhead SA (1856-1917, 1931-2017)</w:t>
      </w:r>
    </w:p>
    <w:p w14:paraId="2E2F7584" w14:textId="77777777" w:rsidR="0054360D" w:rsidRPr="009A0DA6" w:rsidRDefault="0054360D" w:rsidP="00F55252">
      <w:pPr>
        <w:pStyle w:val="NoSpacing"/>
        <w:numPr>
          <w:ilvl w:val="0"/>
          <w:numId w:val="232"/>
        </w:numPr>
        <w:spacing w:before="120" w:after="120"/>
        <w:ind w:left="1134" w:hanging="567"/>
        <w:contextualSpacing/>
        <w:rPr>
          <w:rFonts w:cs="Arial"/>
        </w:rPr>
      </w:pPr>
      <w:r w:rsidRPr="009A0DA6">
        <w:rPr>
          <w:rFonts w:cs="Arial"/>
        </w:rPr>
        <w:t>Ocean Forest Lutheran College, Dalyellup WA (2004-2017)</w:t>
      </w:r>
    </w:p>
    <w:p w14:paraId="6DBC26B0" w14:textId="77777777" w:rsidR="0054360D" w:rsidRPr="009A0DA6" w:rsidRDefault="0054360D" w:rsidP="0054360D">
      <w:pPr>
        <w:pStyle w:val="NoSpacing"/>
        <w:spacing w:before="120" w:after="120"/>
        <w:ind w:left="567"/>
        <w:contextualSpacing/>
        <w:rPr>
          <w:rFonts w:cs="Arial"/>
        </w:rPr>
      </w:pPr>
      <w:r w:rsidRPr="009A0DA6">
        <w:rPr>
          <w:rFonts w:cs="Arial"/>
        </w:rPr>
        <w:br/>
        <w:t>While each of these amalgamations and closures present unique circumstances, it is clear that the ‘golden years’ of significant Lutheran school growth and expansion through the 1970s, 1980s and 1990s has come to an end. However, the recent moderate positive growth of the number of Lutheran ECSs should be noted.</w:t>
      </w:r>
    </w:p>
    <w:p w14:paraId="662510B1" w14:textId="77777777" w:rsidR="0054360D" w:rsidRPr="009A0DA6" w:rsidRDefault="0054360D" w:rsidP="0054360D">
      <w:pPr>
        <w:pStyle w:val="NoSpacing"/>
        <w:spacing w:before="120" w:after="120"/>
        <w:ind w:left="567"/>
        <w:contextualSpacing/>
        <w:rPr>
          <w:rFonts w:cs="Arial"/>
        </w:rPr>
      </w:pPr>
      <w:r w:rsidRPr="009A0DA6">
        <w:rPr>
          <w:rFonts w:cs="Arial"/>
        </w:rPr>
        <w:br/>
        <w:t>Together with the LCA, LEA acknowledges the commitment of the St Stephens, Springhead and Ocean Forest Lutheran school communities, their councils, congregations, principals, staff, students and parents. We are grateful for their contributions to these places of learning and for sharing the gospel of Jesus Christ with their people.</w:t>
      </w:r>
    </w:p>
    <w:p w14:paraId="36FE3FBA" w14:textId="77777777" w:rsidR="0054360D" w:rsidRPr="009A0DA6" w:rsidRDefault="0054360D" w:rsidP="0054360D">
      <w:pPr>
        <w:pStyle w:val="NoSpacing"/>
        <w:spacing w:before="120" w:after="120"/>
        <w:ind w:left="567"/>
        <w:contextualSpacing/>
        <w:rPr>
          <w:rFonts w:cs="Arial"/>
        </w:rPr>
      </w:pPr>
      <w:r w:rsidRPr="009A0DA6">
        <w:rPr>
          <w:rFonts w:cs="Arial"/>
        </w:rPr>
        <w:br/>
        <w:t>In particular LEA recognises the closure of Springhead Lutheran School. Until its closure last year, Springhead was the sixth oldest Lutheran school in Australia having provided Christian education for 149 years. The oldest Lutheran schools, in years of operation, are:</w:t>
      </w:r>
    </w:p>
    <w:tbl>
      <w:tblPr>
        <w:tblStyle w:val="PlainTable2"/>
        <w:tblW w:w="8222" w:type="dxa"/>
        <w:tblInd w:w="567" w:type="dxa"/>
        <w:tblLook w:val="04A0" w:firstRow="1" w:lastRow="0" w:firstColumn="1" w:lastColumn="0" w:noHBand="0" w:noVBand="1"/>
      </w:tblPr>
      <w:tblGrid>
        <w:gridCol w:w="2127"/>
        <w:gridCol w:w="6095"/>
      </w:tblGrid>
      <w:tr w:rsidR="0054360D" w:rsidRPr="009A0DA6" w14:paraId="0A6D767B" w14:textId="77777777" w:rsidTr="00AD09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hideMark/>
          </w:tcPr>
          <w:p w14:paraId="52DF8BD9" w14:textId="77777777" w:rsidR="0054360D" w:rsidRPr="009A0DA6" w:rsidRDefault="0054360D" w:rsidP="00AD09CB">
            <w:pPr>
              <w:pStyle w:val="ListParagraph"/>
              <w:spacing w:before="120" w:after="120" w:line="240" w:lineRule="auto"/>
              <w:ind w:left="0"/>
              <w:rPr>
                <w:rFonts w:ascii="Cambria" w:hAnsi="Cambria" w:cs="Arial"/>
              </w:rPr>
            </w:pPr>
            <w:r w:rsidRPr="009A0DA6">
              <w:rPr>
                <w:rFonts w:ascii="Cambria" w:hAnsi="Cambria" w:cs="Arial"/>
              </w:rPr>
              <w:t>Years of operation</w:t>
            </w:r>
          </w:p>
        </w:tc>
        <w:tc>
          <w:tcPr>
            <w:tcW w:w="6095" w:type="dxa"/>
            <w:vAlign w:val="bottom"/>
            <w:hideMark/>
          </w:tcPr>
          <w:p w14:paraId="6504F665" w14:textId="77777777" w:rsidR="0054360D" w:rsidRPr="009A0DA6" w:rsidRDefault="0054360D" w:rsidP="00AD09CB">
            <w:pPr>
              <w:pStyle w:val="ListParagraph"/>
              <w:spacing w:before="120" w:after="120" w:line="240" w:lineRule="auto"/>
              <w:ind w:left="0"/>
              <w:jc w:val="center"/>
              <w:cnfStyle w:val="100000000000" w:firstRow="1"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Lutheran school</w:t>
            </w:r>
          </w:p>
        </w:tc>
      </w:tr>
      <w:tr w:rsidR="0054360D" w:rsidRPr="009A0DA6" w14:paraId="45531BE3" w14:textId="77777777" w:rsidTr="00AD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hideMark/>
          </w:tcPr>
          <w:p w14:paraId="246714D7" w14:textId="77777777" w:rsidR="0054360D" w:rsidRPr="009A0DA6" w:rsidRDefault="0054360D" w:rsidP="00AD09CB">
            <w:pPr>
              <w:pStyle w:val="ListParagraph"/>
              <w:spacing w:before="120" w:after="120" w:line="240" w:lineRule="auto"/>
              <w:ind w:left="0"/>
              <w:jc w:val="center"/>
              <w:rPr>
                <w:rFonts w:ascii="Cambria" w:hAnsi="Cambria" w:cs="Arial"/>
                <w:b w:val="0"/>
              </w:rPr>
            </w:pPr>
            <w:r w:rsidRPr="009A0DA6">
              <w:rPr>
                <w:rFonts w:ascii="Cambria" w:hAnsi="Cambria" w:cs="Arial"/>
                <w:b w:val="0"/>
              </w:rPr>
              <w:t>165</w:t>
            </w:r>
          </w:p>
        </w:tc>
        <w:tc>
          <w:tcPr>
            <w:tcW w:w="6095" w:type="dxa"/>
            <w:hideMark/>
          </w:tcPr>
          <w:p w14:paraId="219752E0" w14:textId="77777777" w:rsidR="0054360D" w:rsidRPr="009A0DA6" w:rsidRDefault="0054360D" w:rsidP="00AD09CB">
            <w:pPr>
              <w:pStyle w:val="ListParagraph"/>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 xml:space="preserve">Tarrington Lutheran School, Vic </w:t>
            </w:r>
            <w:r w:rsidRPr="009A0DA6">
              <w:rPr>
                <w:rFonts w:ascii="Cambria" w:hAnsi="Cambria" w:cs="Arial"/>
              </w:rPr>
              <w:br/>
              <w:t>(1853- ) Continuous</w:t>
            </w:r>
          </w:p>
        </w:tc>
      </w:tr>
      <w:tr w:rsidR="0054360D" w:rsidRPr="009A0DA6" w14:paraId="47F35924" w14:textId="77777777" w:rsidTr="00AD09CB">
        <w:tc>
          <w:tcPr>
            <w:cnfStyle w:val="001000000000" w:firstRow="0" w:lastRow="0" w:firstColumn="1" w:lastColumn="0" w:oddVBand="0" w:evenVBand="0" w:oddHBand="0" w:evenHBand="0" w:firstRowFirstColumn="0" w:firstRowLastColumn="0" w:lastRowFirstColumn="0" w:lastRowLastColumn="0"/>
            <w:tcW w:w="2127" w:type="dxa"/>
            <w:hideMark/>
          </w:tcPr>
          <w:p w14:paraId="2061BC5E" w14:textId="77777777" w:rsidR="0054360D" w:rsidRPr="009A0DA6" w:rsidRDefault="0054360D" w:rsidP="00AD09CB">
            <w:pPr>
              <w:pStyle w:val="ListParagraph"/>
              <w:spacing w:before="120" w:after="120" w:line="240" w:lineRule="auto"/>
              <w:ind w:left="0"/>
              <w:jc w:val="center"/>
              <w:rPr>
                <w:rFonts w:ascii="Cambria" w:hAnsi="Cambria" w:cs="Arial"/>
                <w:b w:val="0"/>
              </w:rPr>
            </w:pPr>
            <w:r w:rsidRPr="009A0DA6">
              <w:rPr>
                <w:rFonts w:ascii="Cambria" w:hAnsi="Cambria" w:cs="Arial"/>
                <w:b w:val="0"/>
              </w:rPr>
              <w:t>164</w:t>
            </w:r>
          </w:p>
        </w:tc>
        <w:tc>
          <w:tcPr>
            <w:tcW w:w="6095" w:type="dxa"/>
            <w:hideMark/>
          </w:tcPr>
          <w:p w14:paraId="60842103" w14:textId="77777777" w:rsidR="0054360D" w:rsidRPr="009A0DA6" w:rsidRDefault="0054360D" w:rsidP="00AD09CB">
            <w:pPr>
              <w:pStyle w:val="ListParagraph"/>
              <w:spacing w:before="120" w:after="120" w:line="240" w:lineRule="auto"/>
              <w:ind w:left="0"/>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 xml:space="preserve">Lobethal Lutheran School, SA : (1842-1917, 1930- ) </w:t>
            </w:r>
            <w:r w:rsidRPr="009A0DA6">
              <w:rPr>
                <w:rFonts w:ascii="Cambria" w:hAnsi="Cambria" w:cs="Arial"/>
              </w:rPr>
              <w:br/>
              <w:t xml:space="preserve">Non-continuous – closed in WWI </w:t>
            </w:r>
          </w:p>
        </w:tc>
      </w:tr>
      <w:tr w:rsidR="0054360D" w:rsidRPr="009A0DA6" w14:paraId="045D366A" w14:textId="77777777" w:rsidTr="00AD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hideMark/>
          </w:tcPr>
          <w:p w14:paraId="5DAF86E1" w14:textId="77777777" w:rsidR="0054360D" w:rsidRPr="009A0DA6" w:rsidRDefault="0054360D" w:rsidP="00AD09CB">
            <w:pPr>
              <w:pStyle w:val="ListParagraph"/>
              <w:spacing w:before="120" w:after="120" w:line="240" w:lineRule="auto"/>
              <w:ind w:left="0"/>
              <w:jc w:val="center"/>
              <w:rPr>
                <w:rFonts w:ascii="Cambria" w:hAnsi="Cambria" w:cs="Arial"/>
                <w:b w:val="0"/>
              </w:rPr>
            </w:pPr>
            <w:r w:rsidRPr="009A0DA6">
              <w:rPr>
                <w:rFonts w:ascii="Cambria" w:hAnsi="Cambria" w:cs="Arial"/>
                <w:b w:val="0"/>
              </w:rPr>
              <w:t>154</w:t>
            </w:r>
          </w:p>
        </w:tc>
        <w:tc>
          <w:tcPr>
            <w:tcW w:w="6095" w:type="dxa"/>
            <w:hideMark/>
          </w:tcPr>
          <w:p w14:paraId="31D6468C" w14:textId="77777777" w:rsidR="0054360D" w:rsidRPr="009A0DA6" w:rsidRDefault="0054360D" w:rsidP="00AD09CB">
            <w:pPr>
              <w:pStyle w:val="ListParagraph"/>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 xml:space="preserve">Tanunda Lutheran School, SA </w:t>
            </w:r>
            <w:r w:rsidRPr="009A0DA6">
              <w:rPr>
                <w:rFonts w:ascii="Cambria" w:hAnsi="Cambria" w:cs="Arial"/>
              </w:rPr>
              <w:br/>
              <w:t>(1845-1917, 1938-) Non-continuous – closed in WWI</w:t>
            </w:r>
          </w:p>
        </w:tc>
      </w:tr>
      <w:tr w:rsidR="0054360D" w:rsidRPr="009A0DA6" w14:paraId="08C0FFD9" w14:textId="77777777" w:rsidTr="00AD09CB">
        <w:tc>
          <w:tcPr>
            <w:cnfStyle w:val="001000000000" w:firstRow="0" w:lastRow="0" w:firstColumn="1" w:lastColumn="0" w:oddVBand="0" w:evenVBand="0" w:oddHBand="0" w:evenHBand="0" w:firstRowFirstColumn="0" w:firstRowLastColumn="0" w:lastRowFirstColumn="0" w:lastRowLastColumn="0"/>
            <w:tcW w:w="2127" w:type="dxa"/>
            <w:hideMark/>
          </w:tcPr>
          <w:p w14:paraId="06FD33EA" w14:textId="77777777" w:rsidR="0054360D" w:rsidRPr="009A0DA6" w:rsidRDefault="0054360D" w:rsidP="00AD09CB">
            <w:pPr>
              <w:pStyle w:val="ListParagraph"/>
              <w:spacing w:before="120" w:after="120" w:line="240" w:lineRule="auto"/>
              <w:ind w:left="0"/>
              <w:jc w:val="center"/>
              <w:rPr>
                <w:rFonts w:ascii="Cambria" w:hAnsi="Cambria" w:cs="Arial"/>
                <w:b w:val="0"/>
              </w:rPr>
            </w:pPr>
            <w:r w:rsidRPr="009A0DA6">
              <w:rPr>
                <w:rFonts w:ascii="Cambria" w:hAnsi="Cambria" w:cs="Arial"/>
                <w:b w:val="0"/>
              </w:rPr>
              <w:t>151</w:t>
            </w:r>
          </w:p>
        </w:tc>
        <w:tc>
          <w:tcPr>
            <w:tcW w:w="6095" w:type="dxa"/>
            <w:hideMark/>
          </w:tcPr>
          <w:p w14:paraId="3ABD3C59" w14:textId="77777777" w:rsidR="0054360D" w:rsidRPr="009A0DA6" w:rsidRDefault="0054360D" w:rsidP="00AD09CB">
            <w:pPr>
              <w:pStyle w:val="ListParagraph"/>
              <w:spacing w:before="120" w:after="120" w:line="240" w:lineRule="auto"/>
              <w:ind w:left="0"/>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 xml:space="preserve">St Michael’s Lutheran School, Hahndorf SA </w:t>
            </w:r>
            <w:r w:rsidRPr="009A0DA6">
              <w:rPr>
                <w:rFonts w:ascii="Cambria" w:hAnsi="Cambria" w:cs="Arial"/>
              </w:rPr>
              <w:br/>
              <w:t>(1839-1917, 1946- ) Non-continuous – closed in WWI</w:t>
            </w:r>
          </w:p>
        </w:tc>
      </w:tr>
      <w:tr w:rsidR="0054360D" w:rsidRPr="009A0DA6" w14:paraId="50D3E28B" w14:textId="77777777" w:rsidTr="00AD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hideMark/>
          </w:tcPr>
          <w:p w14:paraId="6F23CF51" w14:textId="77777777" w:rsidR="0054360D" w:rsidRPr="009A0DA6" w:rsidRDefault="0054360D" w:rsidP="00AD09CB">
            <w:pPr>
              <w:pStyle w:val="ListParagraph"/>
              <w:spacing w:before="120" w:after="120" w:line="240" w:lineRule="auto"/>
              <w:ind w:left="0"/>
              <w:jc w:val="center"/>
              <w:rPr>
                <w:rFonts w:ascii="Cambria" w:hAnsi="Cambria" w:cs="Arial"/>
                <w:b w:val="0"/>
              </w:rPr>
            </w:pPr>
            <w:r w:rsidRPr="009A0DA6">
              <w:rPr>
                <w:rFonts w:ascii="Cambria" w:hAnsi="Cambria" w:cs="Arial"/>
                <w:b w:val="0"/>
              </w:rPr>
              <w:t>151</w:t>
            </w:r>
          </w:p>
        </w:tc>
        <w:tc>
          <w:tcPr>
            <w:tcW w:w="6095" w:type="dxa"/>
            <w:hideMark/>
          </w:tcPr>
          <w:p w14:paraId="4BD54C10" w14:textId="77777777" w:rsidR="0054360D" w:rsidRPr="009A0DA6" w:rsidRDefault="0054360D" w:rsidP="00AD09CB">
            <w:pPr>
              <w:pStyle w:val="ListParagraph"/>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St John’s Lutheran Primary School, Jindera NSW</w:t>
            </w:r>
            <w:r w:rsidRPr="009A0DA6">
              <w:rPr>
                <w:rFonts w:ascii="Cambria" w:hAnsi="Cambria" w:cs="Arial"/>
              </w:rPr>
              <w:br/>
              <w:t>(1868- ) Continuous</w:t>
            </w:r>
          </w:p>
        </w:tc>
      </w:tr>
      <w:tr w:rsidR="0054360D" w:rsidRPr="009A0DA6" w14:paraId="7BFCD097" w14:textId="77777777" w:rsidTr="00AD09CB">
        <w:tc>
          <w:tcPr>
            <w:cnfStyle w:val="001000000000" w:firstRow="0" w:lastRow="0" w:firstColumn="1" w:lastColumn="0" w:oddVBand="0" w:evenVBand="0" w:oddHBand="0" w:evenHBand="0" w:firstRowFirstColumn="0" w:firstRowLastColumn="0" w:lastRowFirstColumn="0" w:lastRowLastColumn="0"/>
            <w:tcW w:w="2127" w:type="dxa"/>
            <w:hideMark/>
          </w:tcPr>
          <w:p w14:paraId="6BA6DB71" w14:textId="77777777" w:rsidR="0054360D" w:rsidRPr="009A0DA6" w:rsidRDefault="0054360D" w:rsidP="00AD09CB">
            <w:pPr>
              <w:pStyle w:val="ListParagraph"/>
              <w:spacing w:before="120" w:after="120" w:line="240" w:lineRule="auto"/>
              <w:ind w:left="0"/>
              <w:jc w:val="center"/>
              <w:rPr>
                <w:rFonts w:ascii="Cambria" w:hAnsi="Cambria" w:cs="Arial"/>
                <w:b w:val="0"/>
              </w:rPr>
            </w:pPr>
            <w:r w:rsidRPr="009A0DA6">
              <w:rPr>
                <w:rFonts w:ascii="Cambria" w:hAnsi="Cambria" w:cs="Arial"/>
                <w:b w:val="0"/>
              </w:rPr>
              <w:t>149 *</w:t>
            </w:r>
          </w:p>
        </w:tc>
        <w:tc>
          <w:tcPr>
            <w:tcW w:w="6095" w:type="dxa"/>
            <w:hideMark/>
          </w:tcPr>
          <w:p w14:paraId="7B3D5BEF" w14:textId="77777777" w:rsidR="0054360D" w:rsidRPr="009A0DA6" w:rsidRDefault="0054360D" w:rsidP="00AD09CB">
            <w:pPr>
              <w:pStyle w:val="ListParagraph"/>
              <w:spacing w:before="120" w:after="120" w:line="240" w:lineRule="auto"/>
              <w:ind w:left="0"/>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Spring Head Lutheran School, Mount Torrens SA</w:t>
            </w:r>
            <w:r w:rsidRPr="009A0DA6">
              <w:rPr>
                <w:rFonts w:ascii="Cambria" w:hAnsi="Cambria" w:cs="Arial"/>
              </w:rPr>
              <w:br/>
              <w:t xml:space="preserve">(1856-1917, 1931-2017) Non-continuous – closed in WWI </w:t>
            </w:r>
          </w:p>
        </w:tc>
      </w:tr>
    </w:tbl>
    <w:p w14:paraId="2CDB18EF" w14:textId="77777777" w:rsidR="0054360D" w:rsidRPr="009A0DA6" w:rsidRDefault="0054360D" w:rsidP="0054360D">
      <w:pPr>
        <w:pStyle w:val="NoSpacing"/>
        <w:spacing w:before="120" w:after="120"/>
        <w:ind w:left="567"/>
        <w:contextualSpacing/>
        <w:rPr>
          <w:rFonts w:cs="Arial"/>
          <w:lang w:val="en-US" w:eastAsia="ja-JP"/>
        </w:rPr>
      </w:pPr>
      <w:r w:rsidRPr="009A0DA6">
        <w:rPr>
          <w:rFonts w:cs="Arial"/>
        </w:rPr>
        <w:t>* closed at end of 2017</w:t>
      </w:r>
      <w:r w:rsidRPr="009A0DA6">
        <w:rPr>
          <w:rFonts w:cs="Arial"/>
        </w:rPr>
        <w:br/>
      </w:r>
    </w:p>
    <w:p w14:paraId="6C5847D6" w14:textId="77777777" w:rsidR="0054360D" w:rsidRPr="009A0DA6" w:rsidRDefault="0054360D" w:rsidP="00F55252">
      <w:pPr>
        <w:pStyle w:val="NoSpacing"/>
        <w:numPr>
          <w:ilvl w:val="0"/>
          <w:numId w:val="231"/>
        </w:numPr>
        <w:spacing w:before="120" w:after="120"/>
        <w:ind w:left="567" w:hanging="567"/>
        <w:contextualSpacing/>
        <w:rPr>
          <w:rFonts w:cs="Arial"/>
        </w:rPr>
      </w:pPr>
      <w:r w:rsidRPr="009A0DA6">
        <w:rPr>
          <w:rFonts w:cs="Arial"/>
        </w:rPr>
        <w:t>While BLEA receives an annual Lutheran Education Risk and Debt Profile, the board does not have the authority, on behalf of the LCA/GCC, to make governance decisions in relation to school loans and risks as well as school openings and closures. As GCC is the governance authority and guarantor of last resort for all bodies within the LCA, the board looks forward to the 2018 LCA General Synod and its response to the GCC/BLEA Joint Group report and recommendations on the future of the Lutheran education governance and administration.</w:t>
      </w:r>
      <w:r w:rsidRPr="009A0DA6">
        <w:rPr>
          <w:rFonts w:cs="Arial"/>
        </w:rPr>
        <w:br/>
      </w:r>
    </w:p>
    <w:p w14:paraId="11C8D3BB" w14:textId="77777777" w:rsidR="0054360D" w:rsidRPr="00696058" w:rsidRDefault="0054360D" w:rsidP="00F55252">
      <w:pPr>
        <w:pStyle w:val="NoSpacing"/>
        <w:numPr>
          <w:ilvl w:val="0"/>
          <w:numId w:val="231"/>
        </w:numPr>
        <w:spacing w:before="120" w:after="120"/>
        <w:ind w:left="567" w:hanging="567"/>
        <w:contextualSpacing/>
        <w:rPr>
          <w:rFonts w:cs="Arial"/>
          <w:sz w:val="8"/>
        </w:rPr>
      </w:pPr>
      <w:r w:rsidRPr="009A0DA6">
        <w:rPr>
          <w:rFonts w:cs="Arial"/>
        </w:rPr>
        <w:t xml:space="preserve">With the LCA’s membership and Australian census figures declining, finding future Lutheran ECS directors and Lutheran school principals who are active communicant members of the LCA (Ref </w:t>
      </w:r>
      <w:r w:rsidRPr="009A0DA6">
        <w:rPr>
          <w:rFonts w:cs="Arial"/>
          <w:i/>
        </w:rPr>
        <w:t>LCA Staffing Policy for Lutheran Schools</w:t>
      </w:r>
      <w:r w:rsidRPr="009A0DA6">
        <w:rPr>
          <w:rFonts w:cs="Arial"/>
        </w:rPr>
        <w:t xml:space="preserve">) has become a significant and ongoing challenge for LEA, the regions and individual ECS and school councils. The capacity of the LCA and LEA to provide sufficient human resources for </w:t>
      </w:r>
      <w:r w:rsidRPr="009A0DA6">
        <w:rPr>
          <w:rFonts w:cs="Arial"/>
        </w:rPr>
        <w:lastRenderedPageBreak/>
        <w:t xml:space="preserve">Lutheran education leadership into the future presents the board and associated bodies with questions which will require significant thought, planning and action now and into the next synodical term. Our capacity to provide good, continuing governance at the local ECS and school level is also being challenged as many local congregations experience an aging and declining membership. </w:t>
      </w:r>
      <w:r w:rsidRPr="009A0DA6">
        <w:rPr>
          <w:rFonts w:cs="Arial"/>
        </w:rPr>
        <w:br/>
      </w:r>
    </w:p>
    <w:p w14:paraId="606F717E" w14:textId="77777777" w:rsidR="0054360D" w:rsidRPr="009A0DA6" w:rsidRDefault="0054360D" w:rsidP="0054360D">
      <w:pPr>
        <w:pStyle w:val="Heading3"/>
      </w:pPr>
      <w:r w:rsidRPr="009A0DA6">
        <w:t xml:space="preserve">Alignment to LCA strategic direction 2013-2018 </w:t>
      </w:r>
    </w:p>
    <w:tbl>
      <w:tblPr>
        <w:tblStyle w:val="PlainTable2"/>
        <w:tblW w:w="0" w:type="auto"/>
        <w:tblLook w:val="04A0" w:firstRow="1" w:lastRow="0" w:firstColumn="1" w:lastColumn="0" w:noHBand="0" w:noVBand="1"/>
      </w:tblPr>
      <w:tblGrid>
        <w:gridCol w:w="4280"/>
        <w:gridCol w:w="4388"/>
      </w:tblGrid>
      <w:tr w:rsidR="0054360D" w:rsidRPr="009A0DA6" w14:paraId="2BEC138E" w14:textId="77777777" w:rsidTr="00AD09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hideMark/>
          </w:tcPr>
          <w:p w14:paraId="2E61D055" w14:textId="77777777" w:rsidR="0054360D" w:rsidRPr="009A0DA6" w:rsidRDefault="0054360D" w:rsidP="00AD09CB">
            <w:pPr>
              <w:pStyle w:val="NoSpacing"/>
              <w:spacing w:before="120" w:after="120"/>
              <w:contextualSpacing/>
              <w:rPr>
                <w:rFonts w:cs="Arial"/>
                <w:b w:val="0"/>
              </w:rPr>
            </w:pPr>
            <w:r w:rsidRPr="009A0DA6">
              <w:rPr>
                <w:rFonts w:cs="Arial"/>
              </w:rPr>
              <w:t xml:space="preserve">LCA Strategic Priority 2: </w:t>
            </w:r>
            <w:r w:rsidRPr="009A0DA6">
              <w:rPr>
                <w:rFonts w:cs="Arial"/>
              </w:rPr>
              <w:br/>
              <w:t>Goal 3: Objective 01</w:t>
            </w:r>
          </w:p>
          <w:p w14:paraId="79821362" w14:textId="77777777" w:rsidR="0054360D" w:rsidRPr="009A0DA6" w:rsidRDefault="0054360D" w:rsidP="00AD09CB">
            <w:pPr>
              <w:pStyle w:val="NoSpacing"/>
              <w:spacing w:before="120" w:after="120"/>
              <w:contextualSpacing/>
              <w:rPr>
                <w:rFonts w:cs="Arial"/>
                <w:i/>
              </w:rPr>
            </w:pPr>
            <w:r w:rsidRPr="009A0DA6">
              <w:rPr>
                <w:rFonts w:cs="Arial"/>
                <w:i/>
              </w:rPr>
              <w:t>Develop and trial new and innovative mission partnership models between congregations/schools/aged care and other agencies</w:t>
            </w:r>
          </w:p>
        </w:tc>
        <w:tc>
          <w:tcPr>
            <w:tcW w:w="4626" w:type="dxa"/>
            <w:hideMark/>
          </w:tcPr>
          <w:p w14:paraId="0E2E93E3" w14:textId="3CE52426" w:rsidR="0054360D" w:rsidRPr="009A0DA6" w:rsidRDefault="0054360D" w:rsidP="00AD09CB">
            <w:pPr>
              <w:pStyle w:val="NoSpacing"/>
              <w:spacing w:before="120" w:after="120"/>
              <w:contextualSpacing/>
              <w:cnfStyle w:val="100000000000" w:firstRow="1" w:lastRow="0" w:firstColumn="0" w:lastColumn="0" w:oddVBand="0" w:evenVBand="0" w:oddHBand="0" w:evenHBand="0" w:firstRowFirstColumn="0" w:firstRowLastColumn="0" w:lastRowFirstColumn="0" w:lastRowLastColumn="0"/>
              <w:rPr>
                <w:rFonts w:cs="Arial"/>
                <w:b w:val="0"/>
              </w:rPr>
            </w:pPr>
            <w:r w:rsidRPr="009A0DA6">
              <w:rPr>
                <w:rFonts w:cs="Arial"/>
                <w:b w:val="0"/>
              </w:rPr>
              <w:t xml:space="preserve">In endeavouring to communicate to the LCA (via </w:t>
            </w:r>
            <w:r w:rsidRPr="009A0DA6">
              <w:rPr>
                <w:rFonts w:cs="Arial"/>
                <w:b w:val="0"/>
                <w:i/>
              </w:rPr>
              <w:t>The Lutheran</w:t>
            </w:r>
            <w:r w:rsidRPr="009A0DA6">
              <w:rPr>
                <w:rFonts w:cs="Arial"/>
                <w:b w:val="0"/>
              </w:rPr>
              <w:t xml:space="preserve">) and Lutheran school staff and families, LEA has circulated </w:t>
            </w:r>
            <w:r w:rsidRPr="009A0DA6">
              <w:rPr>
                <w:rFonts w:cs="Arial"/>
                <w:b w:val="0"/>
                <w:i/>
              </w:rPr>
              <w:t xml:space="preserve">SchooLink </w:t>
            </w:r>
            <w:r w:rsidRPr="009A0DA6">
              <w:rPr>
                <w:rFonts w:cs="Arial"/>
                <w:b w:val="0"/>
              </w:rPr>
              <w:t>to these groups since August 2014. Through these publications it is hoped that the real stories and challenges our schools face are being communicated to our people</w:t>
            </w:r>
          </w:p>
        </w:tc>
      </w:tr>
      <w:tr w:rsidR="0054360D" w:rsidRPr="009A0DA6" w14:paraId="7BACA85C" w14:textId="77777777" w:rsidTr="00AD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hideMark/>
          </w:tcPr>
          <w:p w14:paraId="1AB6E8E2" w14:textId="77777777" w:rsidR="0054360D" w:rsidRPr="009A0DA6" w:rsidRDefault="0054360D" w:rsidP="00AD09CB">
            <w:pPr>
              <w:pStyle w:val="NoSpacing"/>
              <w:spacing w:before="120" w:after="120"/>
              <w:contextualSpacing/>
              <w:rPr>
                <w:rFonts w:cs="Arial"/>
              </w:rPr>
            </w:pPr>
            <w:r w:rsidRPr="009A0DA6">
              <w:rPr>
                <w:rFonts w:cs="Arial"/>
              </w:rPr>
              <w:t xml:space="preserve">LCA Strategic Priority 2: </w:t>
            </w:r>
            <w:r w:rsidRPr="009A0DA6">
              <w:rPr>
                <w:rFonts w:cs="Arial"/>
              </w:rPr>
              <w:br/>
              <w:t>Goal 7: Objective 01</w:t>
            </w:r>
          </w:p>
          <w:p w14:paraId="7610E5B6" w14:textId="77777777" w:rsidR="0054360D" w:rsidRPr="009A0DA6" w:rsidRDefault="0054360D" w:rsidP="00AD09CB">
            <w:pPr>
              <w:pStyle w:val="NoSpacing"/>
              <w:spacing w:before="120" w:after="120"/>
              <w:contextualSpacing/>
              <w:rPr>
                <w:rFonts w:cs="Arial"/>
                <w:i/>
              </w:rPr>
            </w:pPr>
            <w:r w:rsidRPr="009A0DA6">
              <w:rPr>
                <w:rFonts w:cs="Arial"/>
                <w:i/>
              </w:rPr>
              <w:t>Develop practical opportunities, in cooperation with the LCA’s partners as appropriate, for individuals and congregations to experience mission both in Australia and overseas</w:t>
            </w:r>
          </w:p>
        </w:tc>
        <w:tc>
          <w:tcPr>
            <w:tcW w:w="4626" w:type="dxa"/>
            <w:hideMark/>
          </w:tcPr>
          <w:p w14:paraId="01497F7E" w14:textId="77777777" w:rsidR="0054360D" w:rsidRPr="009A0DA6" w:rsidRDefault="0054360D" w:rsidP="00AD09CB">
            <w:pPr>
              <w:pStyle w:val="NoSpacing"/>
              <w:spacing w:before="120" w:after="120"/>
              <w:contextualSpacing/>
              <w:cnfStyle w:val="000000100000" w:firstRow="0" w:lastRow="0" w:firstColumn="0" w:lastColumn="0" w:oddVBand="0" w:evenVBand="0" w:oddHBand="1" w:evenHBand="0" w:firstRowFirstColumn="0" w:firstRowLastColumn="0" w:lastRowFirstColumn="0" w:lastRowLastColumn="0"/>
              <w:rPr>
                <w:rFonts w:cs="Arial"/>
              </w:rPr>
            </w:pPr>
            <w:r w:rsidRPr="009A0DA6">
              <w:rPr>
                <w:rFonts w:cs="Arial"/>
              </w:rPr>
              <w:br/>
              <w:t>LEA works cooperatively with ALWS and LCA MI in relation to service learning opportunities, eg, Nepal, Cambodia, Indonesia, PNG, Thailand, Myanmar and Vietnam</w:t>
            </w:r>
          </w:p>
        </w:tc>
      </w:tr>
      <w:tr w:rsidR="0054360D" w:rsidRPr="009A0DA6" w14:paraId="6F02FD4B" w14:textId="77777777" w:rsidTr="00AD09CB">
        <w:tc>
          <w:tcPr>
            <w:cnfStyle w:val="001000000000" w:firstRow="0" w:lastRow="0" w:firstColumn="1" w:lastColumn="0" w:oddVBand="0" w:evenVBand="0" w:oddHBand="0" w:evenHBand="0" w:firstRowFirstColumn="0" w:firstRowLastColumn="0" w:lastRowFirstColumn="0" w:lastRowLastColumn="0"/>
            <w:tcW w:w="4390" w:type="dxa"/>
            <w:hideMark/>
          </w:tcPr>
          <w:p w14:paraId="29C3DC57" w14:textId="77777777" w:rsidR="0054360D" w:rsidRPr="009A0DA6" w:rsidRDefault="0054360D" w:rsidP="00AD09CB">
            <w:pPr>
              <w:pStyle w:val="NoSpacing"/>
              <w:spacing w:before="120" w:after="120"/>
              <w:contextualSpacing/>
              <w:rPr>
                <w:rFonts w:cs="Arial"/>
              </w:rPr>
            </w:pPr>
            <w:r w:rsidRPr="009A0DA6">
              <w:rPr>
                <w:rFonts w:cs="Arial"/>
              </w:rPr>
              <w:t xml:space="preserve">LCA Strategic Priority 3: </w:t>
            </w:r>
          </w:p>
          <w:p w14:paraId="59E8D1D7" w14:textId="77777777" w:rsidR="0054360D" w:rsidRPr="009A0DA6" w:rsidRDefault="0054360D" w:rsidP="00AD09CB">
            <w:pPr>
              <w:pStyle w:val="NoSpacing"/>
              <w:spacing w:before="120" w:after="120"/>
              <w:contextualSpacing/>
              <w:rPr>
                <w:rFonts w:cs="Arial"/>
              </w:rPr>
            </w:pPr>
            <w:r w:rsidRPr="009A0DA6">
              <w:rPr>
                <w:rFonts w:cs="Arial"/>
              </w:rPr>
              <w:t xml:space="preserve">Goal A2: </w:t>
            </w:r>
          </w:p>
          <w:p w14:paraId="53C715F2" w14:textId="77777777" w:rsidR="0054360D" w:rsidRPr="009A0DA6" w:rsidRDefault="0054360D" w:rsidP="00AD09CB">
            <w:pPr>
              <w:pStyle w:val="NoSpacing"/>
              <w:spacing w:before="120" w:after="120"/>
              <w:contextualSpacing/>
              <w:rPr>
                <w:rFonts w:cs="Arial"/>
                <w:i/>
              </w:rPr>
            </w:pPr>
            <w:r w:rsidRPr="009A0DA6">
              <w:rPr>
                <w:rFonts w:cs="Arial"/>
                <w:i/>
              </w:rPr>
              <w:t>Improve governance at all levels</w:t>
            </w:r>
          </w:p>
          <w:p w14:paraId="17A1D3E3" w14:textId="77777777" w:rsidR="0054360D" w:rsidRPr="009A0DA6" w:rsidRDefault="0054360D" w:rsidP="00AD09CB">
            <w:pPr>
              <w:pStyle w:val="NoSpacing"/>
              <w:spacing w:before="120" w:after="120"/>
              <w:contextualSpacing/>
              <w:rPr>
                <w:rFonts w:cs="Arial"/>
              </w:rPr>
            </w:pPr>
          </w:p>
          <w:p w14:paraId="364A5F51" w14:textId="77777777" w:rsidR="0054360D" w:rsidRPr="009A0DA6" w:rsidRDefault="0054360D" w:rsidP="00AD09CB">
            <w:pPr>
              <w:pStyle w:val="NoSpacing"/>
              <w:spacing w:before="120" w:after="120"/>
              <w:contextualSpacing/>
              <w:rPr>
                <w:rFonts w:cs="Arial"/>
              </w:rPr>
            </w:pPr>
            <w:r w:rsidRPr="009A0DA6">
              <w:rPr>
                <w:rFonts w:cs="Arial"/>
              </w:rPr>
              <w:t>Objective 3</w:t>
            </w:r>
          </w:p>
          <w:p w14:paraId="5E377493" w14:textId="77777777" w:rsidR="0054360D" w:rsidRPr="009A0DA6" w:rsidRDefault="0054360D" w:rsidP="00AD09CB">
            <w:pPr>
              <w:pStyle w:val="NoSpacing"/>
              <w:spacing w:before="120" w:after="120"/>
              <w:contextualSpacing/>
              <w:rPr>
                <w:rFonts w:cs="Arial"/>
                <w:i/>
              </w:rPr>
            </w:pPr>
            <w:r w:rsidRPr="009A0DA6">
              <w:rPr>
                <w:rFonts w:cs="Arial"/>
                <w:i/>
              </w:rPr>
              <w:t>Improve induction and training of leaders</w:t>
            </w:r>
          </w:p>
        </w:tc>
        <w:tc>
          <w:tcPr>
            <w:tcW w:w="4626" w:type="dxa"/>
            <w:hideMark/>
          </w:tcPr>
          <w:p w14:paraId="1080168E" w14:textId="77777777" w:rsidR="0054360D" w:rsidRPr="009A0DA6" w:rsidRDefault="0054360D" w:rsidP="00AD09CB">
            <w:pPr>
              <w:pStyle w:val="NoSpacing"/>
              <w:spacing w:before="120" w:after="120"/>
              <w:contextualSpacing/>
              <w:cnfStyle w:val="000000000000" w:firstRow="0" w:lastRow="0" w:firstColumn="0" w:lastColumn="0" w:oddVBand="0" w:evenVBand="0" w:oddHBand="0" w:evenHBand="0" w:firstRowFirstColumn="0" w:firstRowLastColumn="0" w:lastRowFirstColumn="0" w:lastRowLastColumn="0"/>
              <w:rPr>
                <w:rFonts w:cs="Arial"/>
                <w:sz w:val="14"/>
              </w:rPr>
            </w:pPr>
          </w:p>
          <w:p w14:paraId="1CEDEF53" w14:textId="77777777" w:rsidR="0054360D" w:rsidRPr="009A0DA6" w:rsidRDefault="0054360D" w:rsidP="00AD09CB">
            <w:pPr>
              <w:pStyle w:val="NoSpacing"/>
              <w:spacing w:before="120" w:after="120"/>
              <w:contextualSpacing/>
              <w:cnfStyle w:val="000000000000" w:firstRow="0" w:lastRow="0" w:firstColumn="0" w:lastColumn="0" w:oddVBand="0" w:evenVBand="0" w:oddHBand="0" w:evenHBand="0" w:firstRowFirstColumn="0" w:firstRowLastColumn="0" w:lastRowFirstColumn="0" w:lastRowLastColumn="0"/>
              <w:rPr>
                <w:rFonts w:cs="Arial"/>
              </w:rPr>
            </w:pPr>
            <w:r w:rsidRPr="009A0DA6">
              <w:rPr>
                <w:rFonts w:cs="Arial"/>
              </w:rPr>
              <w:t>LEA has prepared training modules for governing bodies of early childhood centres and schools. These form the provision of, and support for, comprehensive governance training and focus on the LCA / LEA expectations of ECC/school governing bodies, theological dimensions of governance, Lutheran school history and ethical governance and decision making.</w:t>
            </w:r>
          </w:p>
        </w:tc>
      </w:tr>
      <w:tr w:rsidR="0054360D" w:rsidRPr="009A0DA6" w14:paraId="13FE0B5F" w14:textId="77777777" w:rsidTr="00AD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60BC24A6" w14:textId="77777777" w:rsidR="0054360D" w:rsidRPr="009A0DA6" w:rsidRDefault="0054360D" w:rsidP="00AD09CB">
            <w:pPr>
              <w:pStyle w:val="NoSpacing"/>
              <w:spacing w:before="120" w:after="120"/>
              <w:contextualSpacing/>
              <w:rPr>
                <w:rFonts w:cs="Arial"/>
              </w:rPr>
            </w:pPr>
            <w:r w:rsidRPr="009A0DA6">
              <w:rPr>
                <w:rFonts w:cs="Arial"/>
              </w:rPr>
              <w:t xml:space="preserve">LCA Strategic Priority 1: </w:t>
            </w:r>
          </w:p>
          <w:p w14:paraId="2CD6DEA1" w14:textId="77777777" w:rsidR="0054360D" w:rsidRPr="009A0DA6" w:rsidRDefault="0054360D" w:rsidP="00AD09CB">
            <w:pPr>
              <w:pStyle w:val="NoSpacing"/>
              <w:spacing w:before="120" w:after="120"/>
              <w:contextualSpacing/>
              <w:rPr>
                <w:rFonts w:cs="Arial"/>
              </w:rPr>
            </w:pPr>
            <w:r w:rsidRPr="009A0DA6">
              <w:rPr>
                <w:rFonts w:cs="Arial"/>
              </w:rPr>
              <w:t xml:space="preserve">Goal 3: </w:t>
            </w:r>
          </w:p>
          <w:p w14:paraId="4A2796A9" w14:textId="77777777" w:rsidR="0054360D" w:rsidRPr="009A0DA6" w:rsidRDefault="0054360D" w:rsidP="00AD09CB">
            <w:pPr>
              <w:pStyle w:val="NoSpacing"/>
              <w:spacing w:before="120" w:after="120"/>
              <w:contextualSpacing/>
              <w:rPr>
                <w:rFonts w:cs="Arial"/>
                <w:i/>
              </w:rPr>
            </w:pPr>
            <w:r w:rsidRPr="009A0DA6">
              <w:rPr>
                <w:rFonts w:cs="Arial"/>
                <w:i/>
              </w:rPr>
              <w:t>Improve governance at all levels</w:t>
            </w:r>
          </w:p>
          <w:p w14:paraId="6BCBB8DE" w14:textId="77777777" w:rsidR="0054360D" w:rsidRPr="009A0DA6" w:rsidRDefault="0054360D" w:rsidP="00AD09CB">
            <w:pPr>
              <w:pStyle w:val="NoSpacing"/>
              <w:spacing w:before="120" w:after="120"/>
              <w:contextualSpacing/>
              <w:rPr>
                <w:rFonts w:cs="Arial"/>
              </w:rPr>
            </w:pPr>
          </w:p>
          <w:p w14:paraId="018016EF" w14:textId="77777777" w:rsidR="0054360D" w:rsidRPr="009A0DA6" w:rsidRDefault="0054360D" w:rsidP="00AD09CB">
            <w:pPr>
              <w:pStyle w:val="NoSpacing"/>
              <w:spacing w:before="120" w:after="120"/>
              <w:contextualSpacing/>
              <w:rPr>
                <w:rFonts w:cs="Arial"/>
              </w:rPr>
            </w:pPr>
            <w:r w:rsidRPr="009A0DA6">
              <w:rPr>
                <w:rFonts w:cs="Arial"/>
              </w:rPr>
              <w:t>Objectives 1,2,3</w:t>
            </w:r>
          </w:p>
          <w:p w14:paraId="29FC9316" w14:textId="77777777" w:rsidR="0054360D" w:rsidRPr="009A0DA6" w:rsidRDefault="0054360D" w:rsidP="00AD09CB">
            <w:pPr>
              <w:pStyle w:val="NoSpacing"/>
              <w:spacing w:before="120" w:after="120"/>
              <w:contextualSpacing/>
              <w:rPr>
                <w:rFonts w:cs="Arial"/>
                <w:i/>
              </w:rPr>
            </w:pPr>
            <w:r w:rsidRPr="009A0DA6">
              <w:rPr>
                <w:rFonts w:cs="Arial"/>
                <w:i/>
              </w:rPr>
              <w:t>Develop a strong culture of service in individuals, families and communities, both locally and overseas as a natural outworking of an active faith</w:t>
            </w:r>
          </w:p>
          <w:p w14:paraId="59A378AD" w14:textId="77777777" w:rsidR="0054360D" w:rsidRPr="009A0DA6" w:rsidRDefault="0054360D" w:rsidP="00AD09CB">
            <w:pPr>
              <w:pStyle w:val="NoSpacing"/>
              <w:spacing w:before="120" w:after="120"/>
              <w:contextualSpacing/>
              <w:rPr>
                <w:rFonts w:cs="Arial"/>
                <w:i/>
              </w:rPr>
            </w:pPr>
          </w:p>
        </w:tc>
        <w:tc>
          <w:tcPr>
            <w:tcW w:w="4626" w:type="dxa"/>
            <w:hideMark/>
          </w:tcPr>
          <w:p w14:paraId="6F596757" w14:textId="77777777" w:rsidR="0054360D" w:rsidRPr="009A0DA6" w:rsidRDefault="0054360D" w:rsidP="00AD09CB">
            <w:pPr>
              <w:pStyle w:val="NoSpacing"/>
              <w:spacing w:before="120" w:after="120"/>
              <w:contextualSpacing/>
              <w:cnfStyle w:val="000000100000" w:firstRow="0" w:lastRow="0" w:firstColumn="0" w:lastColumn="0" w:oddVBand="0" w:evenVBand="0" w:oddHBand="1" w:evenHBand="0" w:firstRowFirstColumn="0" w:firstRowLastColumn="0" w:lastRowFirstColumn="0" w:lastRowLastColumn="0"/>
              <w:rPr>
                <w:rFonts w:cs="Arial"/>
                <w:sz w:val="14"/>
              </w:rPr>
            </w:pPr>
          </w:p>
          <w:p w14:paraId="53DE58B5" w14:textId="77777777" w:rsidR="0054360D" w:rsidRPr="009A0DA6" w:rsidRDefault="0054360D" w:rsidP="00AD09CB">
            <w:pPr>
              <w:pStyle w:val="NoSpacing"/>
              <w:spacing w:before="120" w:after="120"/>
              <w:contextualSpacing/>
              <w:cnfStyle w:val="000000100000" w:firstRow="0" w:lastRow="0" w:firstColumn="0" w:lastColumn="0" w:oddVBand="0" w:evenVBand="0" w:oddHBand="1" w:evenHBand="0" w:firstRowFirstColumn="0" w:firstRowLastColumn="0" w:lastRowFirstColumn="0" w:lastRowLastColumn="0"/>
              <w:rPr>
                <w:rFonts w:cs="Arial"/>
              </w:rPr>
            </w:pPr>
            <w:r w:rsidRPr="009A0DA6">
              <w:rPr>
                <w:rFonts w:cs="Arial"/>
              </w:rPr>
              <w:t>The LEA Service Learning Taskforce has developed and now provides many service learning resources to Lutheran ECSs and schools via the LEA website. These resources provide local learning sites with theological understandings, worship and program guidelines and numerous other service learning materials for local, national and global use. References to our LCA partners, ALWS, also are frequently made.</w:t>
            </w:r>
          </w:p>
        </w:tc>
      </w:tr>
    </w:tbl>
    <w:p w14:paraId="1406F968" w14:textId="77777777" w:rsidR="0054360D" w:rsidRPr="009A0DA6" w:rsidRDefault="0054360D" w:rsidP="0054360D">
      <w:pPr>
        <w:pStyle w:val="Heading3"/>
        <w:rPr>
          <w:sz w:val="10"/>
          <w:szCs w:val="10"/>
        </w:rPr>
      </w:pPr>
    </w:p>
    <w:p w14:paraId="6A9ABF9A" w14:textId="77777777" w:rsidR="0054360D" w:rsidRPr="009A0DA6" w:rsidRDefault="0054360D" w:rsidP="0054360D">
      <w:pPr>
        <w:pStyle w:val="Heading3"/>
        <w:rPr>
          <w:sz w:val="22"/>
          <w:szCs w:val="22"/>
          <w:lang w:val="en-US" w:eastAsia="ja-JP"/>
        </w:rPr>
      </w:pPr>
      <w:r w:rsidRPr="009A0DA6">
        <w:t>Cooperating with LCA Boards and agencies</w:t>
      </w:r>
    </w:p>
    <w:p w14:paraId="4DB57952" w14:textId="77777777" w:rsidR="0054360D" w:rsidRPr="009A0DA6" w:rsidRDefault="0054360D" w:rsidP="0054360D">
      <w:pPr>
        <w:pStyle w:val="NoSpacing"/>
        <w:spacing w:before="120" w:after="120"/>
        <w:contextualSpacing/>
        <w:rPr>
          <w:rFonts w:cs="Arial"/>
        </w:rPr>
      </w:pPr>
      <w:r w:rsidRPr="009A0DA6">
        <w:rPr>
          <w:rFonts w:cs="Arial"/>
        </w:rPr>
        <w:t>LEA has worked closing with the following agencies during the last synodical term: LLL, Lutheran Media, Grow Ministries, FRM, ALC, Lutheran Super, LCA Communications, Mission International.</w:t>
      </w:r>
    </w:p>
    <w:p w14:paraId="45FC1ABA" w14:textId="77777777" w:rsidR="0054360D" w:rsidRPr="009A0DA6" w:rsidRDefault="0054360D" w:rsidP="0054360D">
      <w:pPr>
        <w:pStyle w:val="NoSpacing"/>
        <w:spacing w:before="120" w:after="120"/>
        <w:contextualSpacing/>
        <w:rPr>
          <w:rFonts w:cs="Arial"/>
        </w:rPr>
      </w:pPr>
      <w:r w:rsidRPr="009A0DA6">
        <w:rPr>
          <w:rFonts w:cs="Arial"/>
        </w:rPr>
        <w:t>LEA staff are also represented on the following LCA committees:</w:t>
      </w:r>
    </w:p>
    <w:p w14:paraId="739A2689" w14:textId="77777777" w:rsidR="0054360D" w:rsidRPr="009A0DA6" w:rsidRDefault="0054360D" w:rsidP="00F55252">
      <w:pPr>
        <w:pStyle w:val="NoSpacing"/>
        <w:numPr>
          <w:ilvl w:val="0"/>
          <w:numId w:val="233"/>
        </w:numPr>
        <w:spacing w:before="120" w:after="120"/>
        <w:ind w:left="567" w:hanging="567"/>
        <w:contextualSpacing/>
        <w:rPr>
          <w:rFonts w:cs="Arial"/>
        </w:rPr>
      </w:pPr>
      <w:r w:rsidRPr="009A0DA6">
        <w:rPr>
          <w:rFonts w:cs="Arial"/>
        </w:rPr>
        <w:t xml:space="preserve">LCA Royal Commission Taskforce </w:t>
      </w:r>
    </w:p>
    <w:p w14:paraId="7BC55538" w14:textId="77777777" w:rsidR="0054360D" w:rsidRPr="009A0DA6" w:rsidRDefault="0054360D" w:rsidP="00F55252">
      <w:pPr>
        <w:pStyle w:val="NoSpacing"/>
        <w:numPr>
          <w:ilvl w:val="0"/>
          <w:numId w:val="233"/>
        </w:numPr>
        <w:spacing w:before="120" w:after="120"/>
        <w:ind w:left="567" w:hanging="567"/>
        <w:contextualSpacing/>
        <w:rPr>
          <w:rFonts w:cs="Arial"/>
        </w:rPr>
      </w:pPr>
      <w:r w:rsidRPr="009A0DA6">
        <w:rPr>
          <w:rFonts w:cs="Arial"/>
        </w:rPr>
        <w:t>LCA Campaign against Domestic and Family Violence Committee</w:t>
      </w:r>
    </w:p>
    <w:p w14:paraId="5C63447F" w14:textId="77777777" w:rsidR="0054360D" w:rsidRPr="009A0DA6" w:rsidRDefault="0054360D" w:rsidP="00F55252">
      <w:pPr>
        <w:pStyle w:val="NoSpacing"/>
        <w:numPr>
          <w:ilvl w:val="0"/>
          <w:numId w:val="233"/>
        </w:numPr>
        <w:spacing w:before="120" w:after="120"/>
        <w:ind w:left="567" w:hanging="567"/>
        <w:contextualSpacing/>
        <w:rPr>
          <w:rFonts w:cs="Arial"/>
        </w:rPr>
      </w:pPr>
      <w:r w:rsidRPr="009A0DA6">
        <w:rPr>
          <w:rFonts w:cs="Arial"/>
        </w:rPr>
        <w:t>50.500 planning group</w:t>
      </w:r>
    </w:p>
    <w:p w14:paraId="67479F6A" w14:textId="77777777" w:rsidR="0054360D" w:rsidRPr="009A0DA6" w:rsidRDefault="0054360D" w:rsidP="00F55252">
      <w:pPr>
        <w:pStyle w:val="NoSpacing"/>
        <w:numPr>
          <w:ilvl w:val="0"/>
          <w:numId w:val="233"/>
        </w:numPr>
        <w:spacing w:before="120" w:after="120"/>
        <w:ind w:left="567" w:hanging="567"/>
        <w:contextualSpacing/>
        <w:rPr>
          <w:rFonts w:cs="Arial"/>
        </w:rPr>
      </w:pPr>
      <w:r w:rsidRPr="009A0DA6">
        <w:rPr>
          <w:rFonts w:cs="Arial"/>
        </w:rPr>
        <w:t xml:space="preserve">CSBQ environmental working group </w:t>
      </w:r>
    </w:p>
    <w:p w14:paraId="41BB9933" w14:textId="77777777" w:rsidR="0054360D" w:rsidRPr="009A0DA6" w:rsidRDefault="0054360D" w:rsidP="00F55252">
      <w:pPr>
        <w:pStyle w:val="NoSpacing"/>
        <w:numPr>
          <w:ilvl w:val="0"/>
          <w:numId w:val="233"/>
        </w:numPr>
        <w:spacing w:before="120" w:after="120"/>
        <w:ind w:left="567" w:hanging="567"/>
        <w:contextualSpacing/>
        <w:rPr>
          <w:rFonts w:cs="Arial"/>
        </w:rPr>
      </w:pPr>
      <w:r w:rsidRPr="009A0DA6">
        <w:rPr>
          <w:rFonts w:cs="Arial"/>
        </w:rPr>
        <w:t>LCA IT committee</w:t>
      </w:r>
    </w:p>
    <w:p w14:paraId="3C5BF308" w14:textId="77777777" w:rsidR="0054360D" w:rsidRPr="009A0DA6" w:rsidRDefault="0054360D" w:rsidP="0054360D">
      <w:pPr>
        <w:pStyle w:val="Heading3"/>
      </w:pPr>
      <w:r w:rsidRPr="009A0DA6">
        <w:lastRenderedPageBreak/>
        <w:t>Financial performance</w:t>
      </w:r>
    </w:p>
    <w:p w14:paraId="2E87564B" w14:textId="6127262F" w:rsidR="0054360D" w:rsidRPr="009A0DA6" w:rsidRDefault="0054360D" w:rsidP="0054360D">
      <w:pPr>
        <w:pStyle w:val="NoSpacing"/>
        <w:spacing w:before="120" w:after="120"/>
        <w:contextualSpacing/>
        <w:rPr>
          <w:rFonts w:cs="Arial"/>
        </w:rPr>
      </w:pPr>
      <w:r w:rsidRPr="009A0DA6">
        <w:rPr>
          <w:rFonts w:cs="Arial"/>
        </w:rPr>
        <w:t>Financial summary is included at Agenda 11.3</w:t>
      </w:r>
      <w:r w:rsidR="00645463">
        <w:rPr>
          <w:rFonts w:cs="Arial"/>
        </w:rPr>
        <w:t>.</w:t>
      </w:r>
    </w:p>
    <w:p w14:paraId="190653AA" w14:textId="77777777" w:rsidR="0054360D" w:rsidRPr="009A0DA6" w:rsidRDefault="0054360D" w:rsidP="0054360D">
      <w:pPr>
        <w:pStyle w:val="NoSpacing"/>
        <w:spacing w:before="120" w:after="120"/>
        <w:contextualSpacing/>
        <w:rPr>
          <w:rFonts w:cs="Arial"/>
        </w:rPr>
      </w:pPr>
    </w:p>
    <w:p w14:paraId="22C46120" w14:textId="77777777" w:rsidR="0054360D" w:rsidRPr="009A0DA6" w:rsidRDefault="0054360D" w:rsidP="0054360D">
      <w:pPr>
        <w:pStyle w:val="Heading3"/>
      </w:pPr>
      <w:r w:rsidRPr="009A0DA6">
        <w:t>Conclusion</w:t>
      </w:r>
    </w:p>
    <w:p w14:paraId="62CEBD39" w14:textId="77777777" w:rsidR="0054360D" w:rsidRPr="009A0DA6" w:rsidRDefault="0054360D" w:rsidP="0054360D">
      <w:pPr>
        <w:pStyle w:val="NoSpacing"/>
        <w:spacing w:before="120" w:after="120"/>
        <w:contextualSpacing/>
        <w:rPr>
          <w:rFonts w:cs="Arial"/>
        </w:rPr>
      </w:pPr>
      <w:r w:rsidRPr="009A0DA6">
        <w:rPr>
          <w:rFonts w:cs="Arial"/>
        </w:rPr>
        <w:t>On behalf of BLEA, I would like to thank my co-directors for the time and commitment that they give so freely to support the work of LEA. As Chair of the Board I would like to thank our Executive Director, Stephen Rudolph, and the staff at the national office for their loyalty, enthusiasm and commitment to Lutheran education across Australia. As a board, we acknowledge the quality of support provided in preparation for and organisation of board meetings.</w:t>
      </w:r>
    </w:p>
    <w:p w14:paraId="303E212E" w14:textId="77777777" w:rsidR="0054360D" w:rsidRPr="009A0DA6" w:rsidRDefault="0054360D" w:rsidP="0054360D">
      <w:pPr>
        <w:pStyle w:val="NoSpacing"/>
        <w:spacing w:before="120" w:after="120"/>
        <w:contextualSpacing/>
        <w:rPr>
          <w:rFonts w:cs="Arial"/>
        </w:rPr>
      </w:pPr>
    </w:p>
    <w:p w14:paraId="5A8BA3A6" w14:textId="77777777" w:rsidR="0054360D" w:rsidRPr="009A0DA6" w:rsidRDefault="0054360D" w:rsidP="0054360D">
      <w:pPr>
        <w:pStyle w:val="NoSpacing"/>
        <w:spacing w:before="120" w:after="120"/>
        <w:contextualSpacing/>
        <w:rPr>
          <w:rFonts w:cs="Arial"/>
        </w:rPr>
      </w:pPr>
      <w:r w:rsidRPr="009A0DA6">
        <w:rPr>
          <w:rFonts w:cs="Arial"/>
        </w:rPr>
        <w:t>The board is pleased to see the continued growth of LPA (Lutheran Principals Australia) as an organisation and recognises the importance of this professional group in enhancing the quality of leadership with our schools.</w:t>
      </w:r>
    </w:p>
    <w:p w14:paraId="3A11EB26" w14:textId="77777777" w:rsidR="0054360D" w:rsidRPr="009A0DA6" w:rsidRDefault="0054360D" w:rsidP="0054360D">
      <w:pPr>
        <w:pStyle w:val="NoSpacing"/>
        <w:spacing w:before="120" w:after="120"/>
        <w:contextualSpacing/>
        <w:rPr>
          <w:rFonts w:cs="Arial"/>
        </w:rPr>
      </w:pPr>
    </w:p>
    <w:p w14:paraId="5C76F475" w14:textId="77777777" w:rsidR="0054360D" w:rsidRPr="009A0DA6" w:rsidRDefault="0054360D" w:rsidP="0054360D">
      <w:pPr>
        <w:pStyle w:val="NoSpacing"/>
        <w:spacing w:before="120" w:after="120"/>
        <w:contextualSpacing/>
        <w:rPr>
          <w:rFonts w:cs="Arial"/>
        </w:rPr>
      </w:pPr>
      <w:r w:rsidRPr="009A0DA6">
        <w:rPr>
          <w:rFonts w:cs="Arial"/>
        </w:rPr>
        <w:t>As a board, we are conscious that the current landscape of independent education is changing where enrolment pressures are being felt by many Lutheran schools.</w:t>
      </w:r>
    </w:p>
    <w:p w14:paraId="4D1DC04C" w14:textId="66E021A5" w:rsidR="00975F5B" w:rsidRDefault="00975F5B" w:rsidP="0054360D">
      <w:pPr>
        <w:pStyle w:val="Heading3"/>
        <w:rPr>
          <w:highlight w:val="magenta"/>
        </w:rPr>
      </w:pPr>
    </w:p>
    <w:p w14:paraId="3F779D98" w14:textId="77777777" w:rsidR="00975F5B" w:rsidRPr="00975F5B" w:rsidRDefault="00975F5B" w:rsidP="00975F5B">
      <w:pPr>
        <w:pStyle w:val="NoSpacing"/>
        <w:rPr>
          <w:highlight w:val="magenta"/>
        </w:rPr>
      </w:pPr>
    </w:p>
    <w:p w14:paraId="5DDCC362" w14:textId="0C0C40C7" w:rsidR="0054360D" w:rsidRPr="00975F5B" w:rsidRDefault="0054360D" w:rsidP="0054360D">
      <w:pPr>
        <w:pStyle w:val="Heading3"/>
      </w:pPr>
      <w:r w:rsidRPr="00975F5B">
        <w:t>agenda 11.2</w:t>
      </w:r>
    </w:p>
    <w:p w14:paraId="794077D1" w14:textId="77777777" w:rsidR="0054360D" w:rsidRPr="009A0DA6" w:rsidRDefault="0054360D" w:rsidP="0054360D">
      <w:pPr>
        <w:pStyle w:val="Heading2"/>
        <w:rPr>
          <w:sz w:val="22"/>
          <w:szCs w:val="22"/>
        </w:rPr>
      </w:pPr>
      <w:bookmarkStart w:id="504" w:name="_Toc521954745"/>
      <w:r w:rsidRPr="00975F5B">
        <w:t>Lutheran Education Australia: Key data and statistics</w:t>
      </w:r>
      <w:bookmarkEnd w:id="504"/>
    </w:p>
    <w:p w14:paraId="39417860" w14:textId="77777777" w:rsidR="0054360D" w:rsidRPr="009A0DA6" w:rsidRDefault="0054360D" w:rsidP="0054360D">
      <w:pPr>
        <w:pStyle w:val="NoSpacing"/>
      </w:pPr>
    </w:p>
    <w:p w14:paraId="1FB3C0A3" w14:textId="77777777" w:rsidR="0054360D" w:rsidRPr="009A0DA6" w:rsidRDefault="0054360D" w:rsidP="00F55252">
      <w:pPr>
        <w:pStyle w:val="Subtitle"/>
        <w:numPr>
          <w:ilvl w:val="3"/>
          <w:numId w:val="230"/>
        </w:numPr>
        <w:ind w:left="567" w:hanging="567"/>
      </w:pPr>
      <w:r w:rsidRPr="009A0DA6">
        <w:t>School growth: 1919 – 2018</w:t>
      </w:r>
    </w:p>
    <w:p w14:paraId="4DF1E4D0" w14:textId="77777777" w:rsidR="0054360D" w:rsidRPr="009A0DA6" w:rsidRDefault="0054360D" w:rsidP="0054360D">
      <w:pPr>
        <w:pStyle w:val="ListParagraph"/>
        <w:spacing w:before="120" w:after="120" w:line="240" w:lineRule="auto"/>
        <w:ind w:left="567"/>
        <w:rPr>
          <w:rFonts w:ascii="Cambria" w:hAnsi="Cambria" w:cs="Arial"/>
          <w:b/>
        </w:rPr>
      </w:pPr>
      <w:r w:rsidRPr="009A0DA6">
        <w:rPr>
          <w:rFonts w:ascii="Cambria" w:hAnsi="Cambria"/>
          <w:noProof/>
          <w:lang w:val="en-AU" w:eastAsia="en-AU"/>
        </w:rPr>
        <w:drawing>
          <wp:inline distT="0" distB="0" distL="0" distR="0" wp14:anchorId="68CE9104" wp14:editId="3558F6B2">
            <wp:extent cx="4612943" cy="2688609"/>
            <wp:effectExtent l="0" t="0" r="16510" b="1651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21E1388" w14:textId="77777777" w:rsidR="00975F5B" w:rsidRDefault="00975F5B">
      <w:pPr>
        <w:rPr>
          <w:rFonts w:ascii="Cambria" w:eastAsiaTheme="minorEastAsia" w:hAnsi="Cambria"/>
          <w:b/>
          <w:caps/>
          <w:sz w:val="24"/>
        </w:rPr>
      </w:pPr>
      <w:r>
        <w:br w:type="page"/>
      </w:r>
    </w:p>
    <w:p w14:paraId="53E3D0DC" w14:textId="096711AF" w:rsidR="0054360D" w:rsidRPr="009A0DA6" w:rsidRDefault="0054360D" w:rsidP="00F55252">
      <w:pPr>
        <w:pStyle w:val="Subtitle"/>
        <w:numPr>
          <w:ilvl w:val="3"/>
          <w:numId w:val="230"/>
        </w:numPr>
        <w:ind w:left="567" w:hanging="567"/>
      </w:pPr>
      <w:r w:rsidRPr="009A0DA6">
        <w:lastRenderedPageBreak/>
        <w:t xml:space="preserve">Summary of Lutheran schools and early childhood centres </w:t>
      </w:r>
    </w:p>
    <w:tbl>
      <w:tblPr>
        <w:tblpPr w:leftFromText="180" w:rightFromText="180" w:bottomFromText="160" w:vertAnchor="text" w:horzAnchor="margin" w:tblpXSpec="right" w:tblpY="55"/>
        <w:tblW w:w="0" w:type="auto"/>
        <w:tblBorders>
          <w:top w:val="single" w:sz="8" w:space="0" w:color="4F81BD"/>
          <w:left w:val="single" w:sz="8" w:space="0" w:color="4F81BD"/>
          <w:bottom w:val="single" w:sz="8" w:space="0" w:color="4F81BD"/>
          <w:right w:val="single" w:sz="8" w:space="0" w:color="4F81BD"/>
        </w:tblBorders>
        <w:tblLayout w:type="fixed"/>
        <w:tblLook w:val="01E0" w:firstRow="1" w:lastRow="1" w:firstColumn="1" w:lastColumn="1" w:noHBand="0" w:noVBand="0"/>
      </w:tblPr>
      <w:tblGrid>
        <w:gridCol w:w="2293"/>
        <w:gridCol w:w="1191"/>
        <w:gridCol w:w="1191"/>
        <w:gridCol w:w="1191"/>
        <w:gridCol w:w="1191"/>
        <w:gridCol w:w="1191"/>
      </w:tblGrid>
      <w:tr w:rsidR="0054360D" w:rsidRPr="009A0DA6" w14:paraId="24361140" w14:textId="77777777" w:rsidTr="00446899">
        <w:tc>
          <w:tcPr>
            <w:tcW w:w="2293" w:type="dxa"/>
            <w:tcBorders>
              <w:top w:val="single" w:sz="8" w:space="0" w:color="auto"/>
              <w:left w:val="single" w:sz="8" w:space="0" w:color="auto"/>
              <w:bottom w:val="single" w:sz="8" w:space="0" w:color="auto"/>
              <w:right w:val="nil"/>
            </w:tcBorders>
            <w:hideMark/>
          </w:tcPr>
          <w:p w14:paraId="65D064D5" w14:textId="77777777" w:rsidR="0054360D" w:rsidRPr="009A0DA6" w:rsidRDefault="0054360D" w:rsidP="00AD09CB">
            <w:pPr>
              <w:pStyle w:val="NoSpacing"/>
              <w:spacing w:before="120" w:after="120" w:line="256" w:lineRule="auto"/>
              <w:contextualSpacing/>
              <w:rPr>
                <w:b/>
              </w:rPr>
            </w:pPr>
            <w:r w:rsidRPr="009A0DA6">
              <w:rPr>
                <w:b/>
                <w:sz w:val="18"/>
              </w:rPr>
              <w:t>State</w:t>
            </w:r>
          </w:p>
        </w:tc>
        <w:tc>
          <w:tcPr>
            <w:tcW w:w="1191" w:type="dxa"/>
            <w:tcBorders>
              <w:top w:val="single" w:sz="8" w:space="0" w:color="auto"/>
              <w:left w:val="nil"/>
              <w:bottom w:val="single" w:sz="8" w:space="0" w:color="auto"/>
              <w:right w:val="nil"/>
            </w:tcBorders>
            <w:hideMark/>
          </w:tcPr>
          <w:p w14:paraId="06B92237" w14:textId="77777777" w:rsidR="0054360D" w:rsidRPr="009A0DA6" w:rsidRDefault="0054360D" w:rsidP="00AD09CB">
            <w:pPr>
              <w:pStyle w:val="NoSpacing"/>
              <w:spacing w:before="120" w:after="120" w:line="256" w:lineRule="auto"/>
              <w:contextualSpacing/>
              <w:rPr>
                <w:b/>
                <w:sz w:val="18"/>
              </w:rPr>
            </w:pPr>
            <w:r w:rsidRPr="009A0DA6">
              <w:rPr>
                <w:b/>
                <w:sz w:val="18"/>
              </w:rPr>
              <w:t>Primary</w:t>
            </w:r>
          </w:p>
        </w:tc>
        <w:tc>
          <w:tcPr>
            <w:tcW w:w="1191" w:type="dxa"/>
            <w:tcBorders>
              <w:top w:val="single" w:sz="8" w:space="0" w:color="auto"/>
              <w:left w:val="nil"/>
              <w:bottom w:val="single" w:sz="8" w:space="0" w:color="auto"/>
              <w:right w:val="nil"/>
            </w:tcBorders>
            <w:hideMark/>
          </w:tcPr>
          <w:p w14:paraId="07623B80" w14:textId="77777777" w:rsidR="0054360D" w:rsidRPr="009A0DA6" w:rsidRDefault="0054360D" w:rsidP="00AD09CB">
            <w:pPr>
              <w:pStyle w:val="NoSpacing"/>
              <w:spacing w:before="120" w:after="120" w:line="256" w:lineRule="auto"/>
              <w:contextualSpacing/>
              <w:rPr>
                <w:b/>
                <w:sz w:val="18"/>
              </w:rPr>
            </w:pPr>
            <w:r w:rsidRPr="009A0DA6">
              <w:rPr>
                <w:b/>
                <w:sz w:val="18"/>
              </w:rPr>
              <w:t>Secondary</w:t>
            </w:r>
          </w:p>
        </w:tc>
        <w:tc>
          <w:tcPr>
            <w:tcW w:w="1191" w:type="dxa"/>
            <w:tcBorders>
              <w:top w:val="single" w:sz="8" w:space="0" w:color="auto"/>
              <w:left w:val="nil"/>
              <w:bottom w:val="single" w:sz="8" w:space="0" w:color="auto"/>
              <w:right w:val="nil"/>
            </w:tcBorders>
            <w:hideMark/>
          </w:tcPr>
          <w:p w14:paraId="5E9154B8" w14:textId="77777777" w:rsidR="0054360D" w:rsidRPr="009A0DA6" w:rsidRDefault="0054360D" w:rsidP="00AD09CB">
            <w:pPr>
              <w:pStyle w:val="NoSpacing"/>
              <w:spacing w:before="120" w:after="120" w:line="256" w:lineRule="auto"/>
              <w:contextualSpacing/>
              <w:rPr>
                <w:b/>
                <w:sz w:val="18"/>
              </w:rPr>
            </w:pPr>
            <w:r w:rsidRPr="009A0DA6">
              <w:rPr>
                <w:b/>
                <w:sz w:val="18"/>
              </w:rPr>
              <w:t>Composite</w:t>
            </w:r>
          </w:p>
          <w:p w14:paraId="086C1208" w14:textId="77777777" w:rsidR="0054360D" w:rsidRPr="009A0DA6" w:rsidRDefault="0054360D" w:rsidP="00AD09CB">
            <w:pPr>
              <w:pStyle w:val="NoSpacing"/>
              <w:spacing w:before="120" w:after="120" w:line="256" w:lineRule="auto"/>
              <w:contextualSpacing/>
              <w:rPr>
                <w:b/>
                <w:sz w:val="18"/>
              </w:rPr>
            </w:pPr>
            <w:r w:rsidRPr="009A0DA6">
              <w:rPr>
                <w:b/>
                <w:sz w:val="18"/>
              </w:rPr>
              <w:t>(Prim/Sec)</w:t>
            </w:r>
          </w:p>
        </w:tc>
        <w:tc>
          <w:tcPr>
            <w:tcW w:w="1191" w:type="dxa"/>
            <w:tcBorders>
              <w:top w:val="single" w:sz="8" w:space="0" w:color="auto"/>
              <w:left w:val="nil"/>
              <w:bottom w:val="single" w:sz="8" w:space="0" w:color="auto"/>
              <w:right w:val="nil"/>
            </w:tcBorders>
            <w:hideMark/>
          </w:tcPr>
          <w:p w14:paraId="34FC61B2" w14:textId="77777777" w:rsidR="0054360D" w:rsidRPr="009A0DA6" w:rsidRDefault="0054360D" w:rsidP="00AD09CB">
            <w:pPr>
              <w:pStyle w:val="NoSpacing"/>
              <w:spacing w:before="120" w:after="120" w:line="256" w:lineRule="auto"/>
              <w:contextualSpacing/>
              <w:rPr>
                <w:b/>
                <w:sz w:val="18"/>
              </w:rPr>
            </w:pPr>
            <w:r w:rsidRPr="009A0DA6">
              <w:rPr>
                <w:b/>
                <w:sz w:val="18"/>
              </w:rPr>
              <w:t>Total</w:t>
            </w:r>
          </w:p>
        </w:tc>
        <w:tc>
          <w:tcPr>
            <w:tcW w:w="1191" w:type="dxa"/>
            <w:tcBorders>
              <w:top w:val="single" w:sz="8" w:space="0" w:color="auto"/>
              <w:left w:val="nil"/>
              <w:bottom w:val="single" w:sz="8" w:space="0" w:color="auto"/>
              <w:right w:val="single" w:sz="8" w:space="0" w:color="auto"/>
            </w:tcBorders>
            <w:hideMark/>
          </w:tcPr>
          <w:p w14:paraId="513CCA9F" w14:textId="77777777" w:rsidR="0054360D" w:rsidRPr="009A0DA6" w:rsidRDefault="0054360D" w:rsidP="00AD09CB">
            <w:pPr>
              <w:pStyle w:val="NoSpacing"/>
              <w:spacing w:before="120" w:after="120" w:line="256" w:lineRule="auto"/>
              <w:contextualSpacing/>
              <w:rPr>
                <w:b/>
                <w:sz w:val="18"/>
              </w:rPr>
            </w:pPr>
            <w:r w:rsidRPr="009A0DA6">
              <w:rPr>
                <w:b/>
                <w:sz w:val="18"/>
              </w:rPr>
              <w:t>Early Childhood Centres (*)</w:t>
            </w:r>
          </w:p>
        </w:tc>
      </w:tr>
      <w:tr w:rsidR="0054360D" w:rsidRPr="009A0DA6" w14:paraId="6B88D758" w14:textId="77777777" w:rsidTr="00446899">
        <w:tc>
          <w:tcPr>
            <w:tcW w:w="2293" w:type="dxa"/>
            <w:tcBorders>
              <w:top w:val="single" w:sz="8" w:space="0" w:color="auto"/>
              <w:left w:val="single" w:sz="8" w:space="0" w:color="auto"/>
              <w:bottom w:val="single" w:sz="8" w:space="0" w:color="auto"/>
              <w:right w:val="nil"/>
            </w:tcBorders>
            <w:hideMark/>
          </w:tcPr>
          <w:p w14:paraId="494095C6" w14:textId="77777777" w:rsidR="0054360D" w:rsidRPr="009A0DA6" w:rsidRDefault="0054360D" w:rsidP="00AD09CB">
            <w:pPr>
              <w:pStyle w:val="NoSpacing"/>
              <w:spacing w:before="120" w:after="120" w:line="256" w:lineRule="auto"/>
              <w:contextualSpacing/>
            </w:pPr>
            <w:r w:rsidRPr="009A0DA6">
              <w:t>South Australia</w:t>
            </w:r>
          </w:p>
        </w:tc>
        <w:tc>
          <w:tcPr>
            <w:tcW w:w="1191" w:type="dxa"/>
            <w:tcBorders>
              <w:top w:val="single" w:sz="8" w:space="0" w:color="auto"/>
              <w:left w:val="nil"/>
              <w:bottom w:val="single" w:sz="8" w:space="0" w:color="auto"/>
              <w:right w:val="nil"/>
            </w:tcBorders>
            <w:hideMark/>
          </w:tcPr>
          <w:p w14:paraId="4DBE9862" w14:textId="77777777" w:rsidR="0054360D" w:rsidRPr="009A0DA6" w:rsidRDefault="0054360D" w:rsidP="00AD09CB">
            <w:pPr>
              <w:pStyle w:val="NoSpacing"/>
              <w:spacing w:before="120" w:after="120" w:line="256" w:lineRule="auto"/>
              <w:contextualSpacing/>
            </w:pPr>
            <w:r w:rsidRPr="009A0DA6">
              <w:t>18</w:t>
            </w:r>
          </w:p>
        </w:tc>
        <w:tc>
          <w:tcPr>
            <w:tcW w:w="1191" w:type="dxa"/>
            <w:tcBorders>
              <w:top w:val="single" w:sz="8" w:space="0" w:color="auto"/>
              <w:left w:val="nil"/>
              <w:bottom w:val="single" w:sz="8" w:space="0" w:color="auto"/>
              <w:right w:val="nil"/>
            </w:tcBorders>
            <w:hideMark/>
          </w:tcPr>
          <w:p w14:paraId="23E8BE12" w14:textId="77777777" w:rsidR="0054360D" w:rsidRPr="009A0DA6" w:rsidRDefault="0054360D" w:rsidP="00AD09CB">
            <w:pPr>
              <w:pStyle w:val="NoSpacing"/>
              <w:spacing w:before="120" w:after="120" w:line="256" w:lineRule="auto"/>
              <w:contextualSpacing/>
            </w:pPr>
            <w:r w:rsidRPr="009A0DA6">
              <w:t>3</w:t>
            </w:r>
          </w:p>
        </w:tc>
        <w:tc>
          <w:tcPr>
            <w:tcW w:w="1191" w:type="dxa"/>
            <w:tcBorders>
              <w:top w:val="single" w:sz="8" w:space="0" w:color="auto"/>
              <w:left w:val="nil"/>
              <w:bottom w:val="single" w:sz="8" w:space="0" w:color="auto"/>
              <w:right w:val="nil"/>
            </w:tcBorders>
            <w:hideMark/>
          </w:tcPr>
          <w:p w14:paraId="32D0838B" w14:textId="77777777" w:rsidR="0054360D" w:rsidRPr="009A0DA6" w:rsidRDefault="0054360D" w:rsidP="00AD09CB">
            <w:pPr>
              <w:pStyle w:val="NoSpacing"/>
              <w:spacing w:before="120" w:after="120" w:line="256" w:lineRule="auto"/>
              <w:contextualSpacing/>
            </w:pPr>
            <w:r w:rsidRPr="009A0DA6">
              <w:t>8</w:t>
            </w:r>
          </w:p>
        </w:tc>
        <w:tc>
          <w:tcPr>
            <w:tcW w:w="1191" w:type="dxa"/>
            <w:tcBorders>
              <w:top w:val="single" w:sz="8" w:space="0" w:color="auto"/>
              <w:left w:val="nil"/>
              <w:bottom w:val="single" w:sz="8" w:space="0" w:color="auto"/>
              <w:right w:val="nil"/>
            </w:tcBorders>
            <w:hideMark/>
          </w:tcPr>
          <w:p w14:paraId="04533E85" w14:textId="77777777" w:rsidR="0054360D" w:rsidRPr="009A0DA6" w:rsidRDefault="0054360D" w:rsidP="00AD09CB">
            <w:pPr>
              <w:pStyle w:val="NoSpacing"/>
              <w:spacing w:before="120" w:after="120" w:line="256" w:lineRule="auto"/>
              <w:contextualSpacing/>
            </w:pPr>
            <w:r w:rsidRPr="009A0DA6">
              <w:t>30</w:t>
            </w:r>
          </w:p>
        </w:tc>
        <w:tc>
          <w:tcPr>
            <w:tcW w:w="1191" w:type="dxa"/>
            <w:tcBorders>
              <w:top w:val="single" w:sz="8" w:space="0" w:color="auto"/>
              <w:left w:val="nil"/>
              <w:bottom w:val="single" w:sz="8" w:space="0" w:color="auto"/>
              <w:right w:val="single" w:sz="8" w:space="0" w:color="auto"/>
            </w:tcBorders>
            <w:hideMark/>
          </w:tcPr>
          <w:p w14:paraId="089231B0" w14:textId="77777777" w:rsidR="0054360D" w:rsidRPr="009A0DA6" w:rsidRDefault="0054360D" w:rsidP="00AD09CB">
            <w:pPr>
              <w:pStyle w:val="NoSpacing"/>
              <w:spacing w:before="120" w:after="120" w:line="256" w:lineRule="auto"/>
              <w:contextualSpacing/>
            </w:pPr>
            <w:r w:rsidRPr="009A0DA6">
              <w:t>15</w:t>
            </w:r>
          </w:p>
        </w:tc>
      </w:tr>
      <w:tr w:rsidR="0054360D" w:rsidRPr="009A0DA6" w14:paraId="6D0C8A8D" w14:textId="77777777" w:rsidTr="00446899">
        <w:tc>
          <w:tcPr>
            <w:tcW w:w="2293" w:type="dxa"/>
            <w:tcBorders>
              <w:top w:val="single" w:sz="8" w:space="0" w:color="auto"/>
              <w:left w:val="single" w:sz="8" w:space="0" w:color="auto"/>
              <w:bottom w:val="single" w:sz="8" w:space="0" w:color="auto"/>
              <w:right w:val="nil"/>
            </w:tcBorders>
            <w:hideMark/>
          </w:tcPr>
          <w:p w14:paraId="7BBA43D3" w14:textId="77777777" w:rsidR="0054360D" w:rsidRPr="009A0DA6" w:rsidRDefault="0054360D" w:rsidP="00AD09CB">
            <w:pPr>
              <w:pStyle w:val="NoSpacing"/>
              <w:spacing w:before="120" w:after="120" w:line="256" w:lineRule="auto"/>
              <w:contextualSpacing/>
            </w:pPr>
            <w:r w:rsidRPr="009A0DA6">
              <w:t>Northern Territory</w:t>
            </w:r>
          </w:p>
        </w:tc>
        <w:tc>
          <w:tcPr>
            <w:tcW w:w="1191" w:type="dxa"/>
            <w:tcBorders>
              <w:top w:val="single" w:sz="8" w:space="0" w:color="auto"/>
              <w:left w:val="nil"/>
              <w:bottom w:val="single" w:sz="8" w:space="0" w:color="auto"/>
              <w:right w:val="nil"/>
            </w:tcBorders>
            <w:hideMark/>
          </w:tcPr>
          <w:p w14:paraId="33C8F568" w14:textId="77777777" w:rsidR="0054360D" w:rsidRPr="009A0DA6" w:rsidRDefault="0054360D" w:rsidP="00AD09CB">
            <w:pPr>
              <w:pStyle w:val="NoSpacing"/>
              <w:spacing w:before="120" w:after="120" w:line="256" w:lineRule="auto"/>
              <w:contextualSpacing/>
            </w:pPr>
            <w:r w:rsidRPr="009A0DA6">
              <w:t>1</w:t>
            </w:r>
          </w:p>
        </w:tc>
        <w:tc>
          <w:tcPr>
            <w:tcW w:w="1191" w:type="dxa"/>
            <w:tcBorders>
              <w:top w:val="single" w:sz="8" w:space="0" w:color="auto"/>
              <w:left w:val="nil"/>
              <w:bottom w:val="single" w:sz="8" w:space="0" w:color="auto"/>
              <w:right w:val="nil"/>
            </w:tcBorders>
            <w:hideMark/>
          </w:tcPr>
          <w:p w14:paraId="3F7B6515" w14:textId="77777777" w:rsidR="0054360D" w:rsidRPr="009A0DA6" w:rsidRDefault="0054360D" w:rsidP="00AD09CB">
            <w:pPr>
              <w:pStyle w:val="NoSpacing"/>
              <w:spacing w:before="120" w:after="120" w:line="256" w:lineRule="auto"/>
              <w:contextualSpacing/>
            </w:pPr>
            <w:r w:rsidRPr="009A0DA6">
              <w:t>1</w:t>
            </w:r>
          </w:p>
        </w:tc>
        <w:tc>
          <w:tcPr>
            <w:tcW w:w="1191" w:type="dxa"/>
            <w:tcBorders>
              <w:top w:val="single" w:sz="8" w:space="0" w:color="auto"/>
              <w:left w:val="nil"/>
              <w:bottom w:val="single" w:sz="8" w:space="0" w:color="auto"/>
              <w:right w:val="nil"/>
            </w:tcBorders>
            <w:hideMark/>
          </w:tcPr>
          <w:p w14:paraId="7BE1A959" w14:textId="77777777" w:rsidR="0054360D" w:rsidRPr="009A0DA6" w:rsidRDefault="0054360D" w:rsidP="00AD09CB">
            <w:pPr>
              <w:pStyle w:val="NoSpacing"/>
              <w:spacing w:before="120" w:after="120" w:line="256" w:lineRule="auto"/>
              <w:contextualSpacing/>
            </w:pPr>
            <w:r w:rsidRPr="009A0DA6">
              <w:t>1</w:t>
            </w:r>
          </w:p>
        </w:tc>
        <w:tc>
          <w:tcPr>
            <w:tcW w:w="1191" w:type="dxa"/>
            <w:tcBorders>
              <w:top w:val="single" w:sz="8" w:space="0" w:color="auto"/>
              <w:left w:val="nil"/>
              <w:bottom w:val="single" w:sz="8" w:space="0" w:color="auto"/>
              <w:right w:val="nil"/>
            </w:tcBorders>
            <w:hideMark/>
          </w:tcPr>
          <w:p w14:paraId="1B2AA98E" w14:textId="77777777" w:rsidR="0054360D" w:rsidRPr="009A0DA6" w:rsidRDefault="0054360D" w:rsidP="00AD09CB">
            <w:pPr>
              <w:pStyle w:val="NoSpacing"/>
              <w:spacing w:before="120" w:after="120" w:line="256" w:lineRule="auto"/>
              <w:contextualSpacing/>
            </w:pPr>
            <w:r w:rsidRPr="009A0DA6">
              <w:t>3</w:t>
            </w:r>
          </w:p>
        </w:tc>
        <w:tc>
          <w:tcPr>
            <w:tcW w:w="1191" w:type="dxa"/>
            <w:tcBorders>
              <w:top w:val="single" w:sz="8" w:space="0" w:color="auto"/>
              <w:left w:val="nil"/>
              <w:bottom w:val="single" w:sz="8" w:space="0" w:color="auto"/>
              <w:right w:val="single" w:sz="8" w:space="0" w:color="auto"/>
            </w:tcBorders>
            <w:hideMark/>
          </w:tcPr>
          <w:p w14:paraId="4EB7678E" w14:textId="77777777" w:rsidR="0054360D" w:rsidRPr="009A0DA6" w:rsidRDefault="0054360D" w:rsidP="00AD09CB">
            <w:pPr>
              <w:pStyle w:val="NoSpacing"/>
              <w:spacing w:before="120" w:after="120" w:line="256" w:lineRule="auto"/>
              <w:contextualSpacing/>
            </w:pPr>
            <w:r w:rsidRPr="009A0DA6">
              <w:t>2</w:t>
            </w:r>
          </w:p>
        </w:tc>
      </w:tr>
      <w:tr w:rsidR="0054360D" w:rsidRPr="009A0DA6" w14:paraId="4AB174EB" w14:textId="77777777" w:rsidTr="00446899">
        <w:tc>
          <w:tcPr>
            <w:tcW w:w="2293" w:type="dxa"/>
            <w:tcBorders>
              <w:top w:val="single" w:sz="8" w:space="0" w:color="auto"/>
              <w:left w:val="single" w:sz="8" w:space="0" w:color="auto"/>
              <w:bottom w:val="single" w:sz="8" w:space="0" w:color="auto"/>
              <w:right w:val="nil"/>
            </w:tcBorders>
            <w:hideMark/>
          </w:tcPr>
          <w:p w14:paraId="152C2681" w14:textId="77777777" w:rsidR="0054360D" w:rsidRPr="009A0DA6" w:rsidRDefault="0054360D" w:rsidP="00AD09CB">
            <w:pPr>
              <w:pStyle w:val="NoSpacing"/>
              <w:spacing w:before="120" w:after="120" w:line="256" w:lineRule="auto"/>
              <w:contextualSpacing/>
            </w:pPr>
            <w:r w:rsidRPr="009A0DA6">
              <w:t>Western Australia</w:t>
            </w:r>
          </w:p>
        </w:tc>
        <w:tc>
          <w:tcPr>
            <w:tcW w:w="1191" w:type="dxa"/>
            <w:tcBorders>
              <w:top w:val="single" w:sz="8" w:space="0" w:color="auto"/>
              <w:left w:val="nil"/>
              <w:bottom w:val="single" w:sz="8" w:space="0" w:color="auto"/>
              <w:right w:val="nil"/>
            </w:tcBorders>
            <w:hideMark/>
          </w:tcPr>
          <w:p w14:paraId="59CDF043" w14:textId="77777777" w:rsidR="0054360D" w:rsidRPr="009A0DA6" w:rsidRDefault="0054360D" w:rsidP="00AD09CB">
            <w:pPr>
              <w:pStyle w:val="NoSpacing"/>
              <w:spacing w:before="120" w:after="120" w:line="256" w:lineRule="auto"/>
              <w:contextualSpacing/>
            </w:pPr>
            <w:r w:rsidRPr="009A0DA6">
              <w:t>0</w:t>
            </w:r>
          </w:p>
        </w:tc>
        <w:tc>
          <w:tcPr>
            <w:tcW w:w="1191" w:type="dxa"/>
            <w:tcBorders>
              <w:top w:val="single" w:sz="8" w:space="0" w:color="auto"/>
              <w:left w:val="nil"/>
              <w:bottom w:val="single" w:sz="8" w:space="0" w:color="auto"/>
              <w:right w:val="nil"/>
            </w:tcBorders>
            <w:hideMark/>
          </w:tcPr>
          <w:p w14:paraId="4C872C88" w14:textId="77777777" w:rsidR="0054360D" w:rsidRPr="009A0DA6" w:rsidRDefault="0054360D" w:rsidP="00AD09CB">
            <w:pPr>
              <w:pStyle w:val="NoSpacing"/>
              <w:spacing w:before="120" w:after="120" w:line="256" w:lineRule="auto"/>
              <w:contextualSpacing/>
            </w:pPr>
            <w:r w:rsidRPr="009A0DA6">
              <w:t>0</w:t>
            </w:r>
          </w:p>
        </w:tc>
        <w:tc>
          <w:tcPr>
            <w:tcW w:w="1191" w:type="dxa"/>
            <w:tcBorders>
              <w:top w:val="single" w:sz="8" w:space="0" w:color="auto"/>
              <w:left w:val="nil"/>
              <w:bottom w:val="single" w:sz="8" w:space="0" w:color="auto"/>
              <w:right w:val="nil"/>
            </w:tcBorders>
            <w:hideMark/>
          </w:tcPr>
          <w:p w14:paraId="78C43059" w14:textId="77777777" w:rsidR="0054360D" w:rsidRPr="009A0DA6" w:rsidRDefault="0054360D" w:rsidP="00AD09CB">
            <w:pPr>
              <w:pStyle w:val="NoSpacing"/>
              <w:spacing w:before="120" w:after="120" w:line="256" w:lineRule="auto"/>
              <w:contextualSpacing/>
            </w:pPr>
            <w:r w:rsidRPr="009A0DA6">
              <w:t>2</w:t>
            </w:r>
          </w:p>
        </w:tc>
        <w:tc>
          <w:tcPr>
            <w:tcW w:w="1191" w:type="dxa"/>
            <w:tcBorders>
              <w:top w:val="single" w:sz="8" w:space="0" w:color="auto"/>
              <w:left w:val="nil"/>
              <w:bottom w:val="single" w:sz="8" w:space="0" w:color="auto"/>
              <w:right w:val="nil"/>
            </w:tcBorders>
            <w:hideMark/>
          </w:tcPr>
          <w:p w14:paraId="197FC976" w14:textId="77777777" w:rsidR="0054360D" w:rsidRPr="009A0DA6" w:rsidRDefault="0054360D" w:rsidP="00AD09CB">
            <w:pPr>
              <w:pStyle w:val="NoSpacing"/>
              <w:spacing w:before="120" w:after="120" w:line="256" w:lineRule="auto"/>
              <w:contextualSpacing/>
            </w:pPr>
            <w:r w:rsidRPr="009A0DA6">
              <w:t>2</w:t>
            </w:r>
          </w:p>
        </w:tc>
        <w:tc>
          <w:tcPr>
            <w:tcW w:w="1191" w:type="dxa"/>
            <w:tcBorders>
              <w:top w:val="single" w:sz="8" w:space="0" w:color="auto"/>
              <w:left w:val="nil"/>
              <w:bottom w:val="single" w:sz="8" w:space="0" w:color="auto"/>
              <w:right w:val="single" w:sz="8" w:space="0" w:color="auto"/>
            </w:tcBorders>
            <w:hideMark/>
          </w:tcPr>
          <w:p w14:paraId="5660628C" w14:textId="77777777" w:rsidR="0054360D" w:rsidRPr="009A0DA6" w:rsidRDefault="0054360D" w:rsidP="00AD09CB">
            <w:pPr>
              <w:pStyle w:val="NoSpacing"/>
              <w:spacing w:before="120" w:after="120" w:line="256" w:lineRule="auto"/>
              <w:contextualSpacing/>
            </w:pPr>
            <w:r w:rsidRPr="009A0DA6">
              <w:t>0</w:t>
            </w:r>
          </w:p>
        </w:tc>
      </w:tr>
      <w:tr w:rsidR="0054360D" w:rsidRPr="009A0DA6" w14:paraId="163C8FB6" w14:textId="77777777" w:rsidTr="00446899">
        <w:tc>
          <w:tcPr>
            <w:tcW w:w="2293" w:type="dxa"/>
            <w:tcBorders>
              <w:top w:val="single" w:sz="8" w:space="0" w:color="auto"/>
              <w:left w:val="single" w:sz="8" w:space="0" w:color="auto"/>
              <w:bottom w:val="single" w:sz="8" w:space="0" w:color="auto"/>
              <w:right w:val="nil"/>
            </w:tcBorders>
            <w:hideMark/>
          </w:tcPr>
          <w:p w14:paraId="14DF2FF8" w14:textId="77777777" w:rsidR="0054360D" w:rsidRPr="009A0DA6" w:rsidRDefault="0054360D" w:rsidP="00AD09CB">
            <w:pPr>
              <w:pStyle w:val="NoSpacing"/>
              <w:spacing w:before="120" w:after="120" w:line="256" w:lineRule="auto"/>
              <w:contextualSpacing/>
            </w:pPr>
            <w:r w:rsidRPr="009A0DA6">
              <w:t>Queensland</w:t>
            </w:r>
          </w:p>
        </w:tc>
        <w:tc>
          <w:tcPr>
            <w:tcW w:w="1191" w:type="dxa"/>
            <w:tcBorders>
              <w:top w:val="single" w:sz="8" w:space="0" w:color="auto"/>
              <w:left w:val="nil"/>
              <w:bottom w:val="single" w:sz="8" w:space="0" w:color="auto"/>
              <w:right w:val="nil"/>
            </w:tcBorders>
            <w:hideMark/>
          </w:tcPr>
          <w:p w14:paraId="513FF357" w14:textId="77777777" w:rsidR="0054360D" w:rsidRPr="009A0DA6" w:rsidRDefault="0054360D" w:rsidP="00AD09CB">
            <w:pPr>
              <w:pStyle w:val="NoSpacing"/>
              <w:spacing w:before="120" w:after="120" w:line="256" w:lineRule="auto"/>
              <w:contextualSpacing/>
            </w:pPr>
            <w:r w:rsidRPr="009A0DA6">
              <w:t>8</w:t>
            </w:r>
          </w:p>
        </w:tc>
        <w:tc>
          <w:tcPr>
            <w:tcW w:w="1191" w:type="dxa"/>
            <w:tcBorders>
              <w:top w:val="single" w:sz="8" w:space="0" w:color="auto"/>
              <w:left w:val="nil"/>
              <w:bottom w:val="single" w:sz="8" w:space="0" w:color="auto"/>
              <w:right w:val="nil"/>
            </w:tcBorders>
            <w:hideMark/>
          </w:tcPr>
          <w:p w14:paraId="1D673DEE" w14:textId="77777777" w:rsidR="0054360D" w:rsidRPr="009A0DA6" w:rsidRDefault="0054360D" w:rsidP="00AD09CB">
            <w:pPr>
              <w:pStyle w:val="NoSpacing"/>
              <w:spacing w:before="120" w:after="120" w:line="256" w:lineRule="auto"/>
              <w:contextualSpacing/>
            </w:pPr>
            <w:r w:rsidRPr="009A0DA6">
              <w:t>2</w:t>
            </w:r>
          </w:p>
        </w:tc>
        <w:tc>
          <w:tcPr>
            <w:tcW w:w="1191" w:type="dxa"/>
            <w:tcBorders>
              <w:top w:val="single" w:sz="8" w:space="0" w:color="auto"/>
              <w:left w:val="nil"/>
              <w:bottom w:val="single" w:sz="8" w:space="0" w:color="auto"/>
              <w:right w:val="nil"/>
            </w:tcBorders>
            <w:hideMark/>
          </w:tcPr>
          <w:p w14:paraId="1CBF8777" w14:textId="77777777" w:rsidR="0054360D" w:rsidRPr="009A0DA6" w:rsidRDefault="0054360D" w:rsidP="00AD09CB">
            <w:pPr>
              <w:pStyle w:val="NoSpacing"/>
              <w:spacing w:before="120" w:after="120" w:line="256" w:lineRule="auto"/>
              <w:contextualSpacing/>
            </w:pPr>
            <w:r w:rsidRPr="009A0DA6">
              <w:t>16</w:t>
            </w:r>
          </w:p>
        </w:tc>
        <w:tc>
          <w:tcPr>
            <w:tcW w:w="1191" w:type="dxa"/>
            <w:tcBorders>
              <w:top w:val="single" w:sz="8" w:space="0" w:color="auto"/>
              <w:left w:val="nil"/>
              <w:bottom w:val="single" w:sz="8" w:space="0" w:color="auto"/>
              <w:right w:val="nil"/>
            </w:tcBorders>
            <w:hideMark/>
          </w:tcPr>
          <w:p w14:paraId="7ABC95F3" w14:textId="77777777" w:rsidR="0054360D" w:rsidRPr="009A0DA6" w:rsidRDefault="0054360D" w:rsidP="00AD09CB">
            <w:pPr>
              <w:pStyle w:val="NoSpacing"/>
              <w:spacing w:before="120" w:after="120" w:line="256" w:lineRule="auto"/>
              <w:contextualSpacing/>
            </w:pPr>
            <w:r w:rsidRPr="009A0DA6">
              <w:t>26</w:t>
            </w:r>
          </w:p>
        </w:tc>
        <w:tc>
          <w:tcPr>
            <w:tcW w:w="1191" w:type="dxa"/>
            <w:tcBorders>
              <w:top w:val="single" w:sz="8" w:space="0" w:color="auto"/>
              <w:left w:val="nil"/>
              <w:bottom w:val="single" w:sz="8" w:space="0" w:color="auto"/>
              <w:right w:val="single" w:sz="8" w:space="0" w:color="auto"/>
            </w:tcBorders>
            <w:hideMark/>
          </w:tcPr>
          <w:p w14:paraId="2FD1948C" w14:textId="77777777" w:rsidR="0054360D" w:rsidRPr="009A0DA6" w:rsidRDefault="0054360D" w:rsidP="00AD09CB">
            <w:pPr>
              <w:pStyle w:val="NoSpacing"/>
              <w:spacing w:before="120" w:after="120" w:line="256" w:lineRule="auto"/>
              <w:contextualSpacing/>
            </w:pPr>
            <w:r w:rsidRPr="009A0DA6">
              <w:t>37</w:t>
            </w:r>
          </w:p>
        </w:tc>
      </w:tr>
      <w:tr w:rsidR="0054360D" w:rsidRPr="009A0DA6" w14:paraId="352EE251" w14:textId="77777777" w:rsidTr="00446899">
        <w:tc>
          <w:tcPr>
            <w:tcW w:w="2293" w:type="dxa"/>
            <w:tcBorders>
              <w:top w:val="single" w:sz="8" w:space="0" w:color="auto"/>
              <w:left w:val="single" w:sz="8" w:space="0" w:color="auto"/>
              <w:bottom w:val="single" w:sz="8" w:space="0" w:color="auto"/>
              <w:right w:val="nil"/>
            </w:tcBorders>
            <w:hideMark/>
          </w:tcPr>
          <w:p w14:paraId="2C61EC38" w14:textId="77777777" w:rsidR="0054360D" w:rsidRPr="009A0DA6" w:rsidRDefault="0054360D" w:rsidP="00AD09CB">
            <w:pPr>
              <w:pStyle w:val="NoSpacing"/>
              <w:spacing w:before="120" w:after="120" w:line="256" w:lineRule="auto"/>
              <w:contextualSpacing/>
            </w:pPr>
            <w:r w:rsidRPr="009A0DA6">
              <w:t xml:space="preserve">Victoria                                                                                                                                                                    </w:t>
            </w:r>
          </w:p>
        </w:tc>
        <w:tc>
          <w:tcPr>
            <w:tcW w:w="1191" w:type="dxa"/>
            <w:tcBorders>
              <w:top w:val="single" w:sz="8" w:space="0" w:color="auto"/>
              <w:left w:val="nil"/>
              <w:bottom w:val="single" w:sz="8" w:space="0" w:color="auto"/>
              <w:right w:val="nil"/>
            </w:tcBorders>
            <w:hideMark/>
          </w:tcPr>
          <w:p w14:paraId="43AFF58A" w14:textId="77777777" w:rsidR="0054360D" w:rsidRPr="009A0DA6" w:rsidRDefault="0054360D" w:rsidP="00AD09CB">
            <w:pPr>
              <w:pStyle w:val="NoSpacing"/>
              <w:spacing w:before="120" w:after="120" w:line="256" w:lineRule="auto"/>
              <w:contextualSpacing/>
            </w:pPr>
            <w:r w:rsidRPr="009A0DA6">
              <w:t>7</w:t>
            </w:r>
          </w:p>
        </w:tc>
        <w:tc>
          <w:tcPr>
            <w:tcW w:w="1191" w:type="dxa"/>
            <w:tcBorders>
              <w:top w:val="single" w:sz="8" w:space="0" w:color="auto"/>
              <w:left w:val="nil"/>
              <w:bottom w:val="single" w:sz="8" w:space="0" w:color="auto"/>
              <w:right w:val="nil"/>
            </w:tcBorders>
            <w:hideMark/>
          </w:tcPr>
          <w:p w14:paraId="506B76C3" w14:textId="77777777" w:rsidR="0054360D" w:rsidRPr="009A0DA6" w:rsidRDefault="0054360D" w:rsidP="00AD09CB">
            <w:pPr>
              <w:pStyle w:val="NoSpacing"/>
              <w:spacing w:before="120" w:after="120" w:line="256" w:lineRule="auto"/>
              <w:contextualSpacing/>
            </w:pPr>
            <w:r w:rsidRPr="009A0DA6">
              <w:t>1</w:t>
            </w:r>
          </w:p>
        </w:tc>
        <w:tc>
          <w:tcPr>
            <w:tcW w:w="1191" w:type="dxa"/>
            <w:tcBorders>
              <w:top w:val="single" w:sz="8" w:space="0" w:color="auto"/>
              <w:left w:val="nil"/>
              <w:bottom w:val="single" w:sz="8" w:space="0" w:color="auto"/>
              <w:right w:val="nil"/>
            </w:tcBorders>
            <w:hideMark/>
          </w:tcPr>
          <w:p w14:paraId="45B8098E" w14:textId="77777777" w:rsidR="0054360D" w:rsidRPr="009A0DA6" w:rsidRDefault="0054360D" w:rsidP="00AD09CB">
            <w:pPr>
              <w:pStyle w:val="NoSpacing"/>
              <w:spacing w:before="120" w:after="120" w:line="256" w:lineRule="auto"/>
              <w:contextualSpacing/>
            </w:pPr>
            <w:r w:rsidRPr="009A0DA6">
              <w:t>7</w:t>
            </w:r>
          </w:p>
        </w:tc>
        <w:tc>
          <w:tcPr>
            <w:tcW w:w="1191" w:type="dxa"/>
            <w:tcBorders>
              <w:top w:val="single" w:sz="8" w:space="0" w:color="auto"/>
              <w:left w:val="nil"/>
              <w:bottom w:val="single" w:sz="8" w:space="0" w:color="auto"/>
              <w:right w:val="nil"/>
            </w:tcBorders>
            <w:hideMark/>
          </w:tcPr>
          <w:p w14:paraId="405369F2" w14:textId="77777777" w:rsidR="0054360D" w:rsidRPr="009A0DA6" w:rsidRDefault="0054360D" w:rsidP="00AD09CB">
            <w:pPr>
              <w:pStyle w:val="NoSpacing"/>
              <w:spacing w:before="120" w:after="120" w:line="256" w:lineRule="auto"/>
              <w:contextualSpacing/>
            </w:pPr>
            <w:r w:rsidRPr="009A0DA6">
              <w:t>15</w:t>
            </w:r>
          </w:p>
        </w:tc>
        <w:tc>
          <w:tcPr>
            <w:tcW w:w="1191" w:type="dxa"/>
            <w:tcBorders>
              <w:top w:val="single" w:sz="8" w:space="0" w:color="auto"/>
              <w:left w:val="nil"/>
              <w:bottom w:val="single" w:sz="8" w:space="0" w:color="auto"/>
              <w:right w:val="single" w:sz="8" w:space="0" w:color="auto"/>
            </w:tcBorders>
            <w:hideMark/>
          </w:tcPr>
          <w:p w14:paraId="5B144F31" w14:textId="77777777" w:rsidR="0054360D" w:rsidRPr="009A0DA6" w:rsidRDefault="0054360D" w:rsidP="00AD09CB">
            <w:pPr>
              <w:pStyle w:val="NoSpacing"/>
              <w:spacing w:before="120" w:after="120" w:line="256" w:lineRule="auto"/>
              <w:contextualSpacing/>
            </w:pPr>
            <w:r w:rsidRPr="009A0DA6">
              <w:t>3</w:t>
            </w:r>
          </w:p>
        </w:tc>
      </w:tr>
      <w:tr w:rsidR="0054360D" w:rsidRPr="009A0DA6" w14:paraId="2E719A3F" w14:textId="77777777" w:rsidTr="00446899">
        <w:tc>
          <w:tcPr>
            <w:tcW w:w="2293" w:type="dxa"/>
            <w:tcBorders>
              <w:top w:val="single" w:sz="8" w:space="0" w:color="auto"/>
              <w:left w:val="single" w:sz="8" w:space="0" w:color="auto"/>
              <w:bottom w:val="single" w:sz="8" w:space="0" w:color="auto"/>
              <w:right w:val="nil"/>
            </w:tcBorders>
            <w:hideMark/>
          </w:tcPr>
          <w:p w14:paraId="62AD1D42" w14:textId="77777777" w:rsidR="0054360D" w:rsidRPr="009A0DA6" w:rsidRDefault="0054360D" w:rsidP="00AD09CB">
            <w:pPr>
              <w:pStyle w:val="NoSpacing"/>
              <w:spacing w:before="120" w:after="120" w:line="256" w:lineRule="auto"/>
              <w:contextualSpacing/>
            </w:pPr>
            <w:r w:rsidRPr="009A0DA6">
              <w:t>Tasmania</w:t>
            </w:r>
          </w:p>
        </w:tc>
        <w:tc>
          <w:tcPr>
            <w:tcW w:w="1191" w:type="dxa"/>
            <w:tcBorders>
              <w:top w:val="single" w:sz="8" w:space="0" w:color="auto"/>
              <w:left w:val="nil"/>
              <w:bottom w:val="single" w:sz="8" w:space="0" w:color="auto"/>
              <w:right w:val="nil"/>
            </w:tcBorders>
            <w:hideMark/>
          </w:tcPr>
          <w:p w14:paraId="26485308" w14:textId="77777777" w:rsidR="0054360D" w:rsidRPr="009A0DA6" w:rsidRDefault="0054360D" w:rsidP="00AD09CB">
            <w:pPr>
              <w:pStyle w:val="NoSpacing"/>
              <w:spacing w:before="120" w:after="120" w:line="256" w:lineRule="auto"/>
              <w:contextualSpacing/>
            </w:pPr>
            <w:r w:rsidRPr="009A0DA6">
              <w:t>0</w:t>
            </w:r>
          </w:p>
        </w:tc>
        <w:tc>
          <w:tcPr>
            <w:tcW w:w="1191" w:type="dxa"/>
            <w:tcBorders>
              <w:top w:val="single" w:sz="8" w:space="0" w:color="auto"/>
              <w:left w:val="nil"/>
              <w:bottom w:val="single" w:sz="8" w:space="0" w:color="auto"/>
              <w:right w:val="nil"/>
            </w:tcBorders>
            <w:hideMark/>
          </w:tcPr>
          <w:p w14:paraId="3FA61C85" w14:textId="77777777" w:rsidR="0054360D" w:rsidRPr="009A0DA6" w:rsidRDefault="0054360D" w:rsidP="00AD09CB">
            <w:pPr>
              <w:pStyle w:val="NoSpacing"/>
              <w:spacing w:before="120" w:after="120" w:line="256" w:lineRule="auto"/>
              <w:contextualSpacing/>
            </w:pPr>
            <w:r w:rsidRPr="009A0DA6">
              <w:t>0</w:t>
            </w:r>
          </w:p>
        </w:tc>
        <w:tc>
          <w:tcPr>
            <w:tcW w:w="1191" w:type="dxa"/>
            <w:tcBorders>
              <w:top w:val="single" w:sz="8" w:space="0" w:color="auto"/>
              <w:left w:val="nil"/>
              <w:bottom w:val="single" w:sz="8" w:space="0" w:color="auto"/>
              <w:right w:val="nil"/>
            </w:tcBorders>
            <w:hideMark/>
          </w:tcPr>
          <w:p w14:paraId="62A0E026" w14:textId="77777777" w:rsidR="0054360D" w:rsidRPr="009A0DA6" w:rsidRDefault="0054360D" w:rsidP="00AD09CB">
            <w:pPr>
              <w:pStyle w:val="NoSpacing"/>
              <w:spacing w:before="120" w:after="120" w:line="256" w:lineRule="auto"/>
              <w:contextualSpacing/>
            </w:pPr>
            <w:r w:rsidRPr="009A0DA6">
              <w:t>1</w:t>
            </w:r>
          </w:p>
        </w:tc>
        <w:tc>
          <w:tcPr>
            <w:tcW w:w="1191" w:type="dxa"/>
            <w:tcBorders>
              <w:top w:val="single" w:sz="8" w:space="0" w:color="auto"/>
              <w:left w:val="nil"/>
              <w:bottom w:val="single" w:sz="8" w:space="0" w:color="auto"/>
              <w:right w:val="nil"/>
            </w:tcBorders>
            <w:hideMark/>
          </w:tcPr>
          <w:p w14:paraId="50C3F6BB" w14:textId="77777777" w:rsidR="0054360D" w:rsidRPr="009A0DA6" w:rsidRDefault="0054360D" w:rsidP="00AD09CB">
            <w:pPr>
              <w:pStyle w:val="NoSpacing"/>
              <w:spacing w:before="120" w:after="120" w:line="256" w:lineRule="auto"/>
              <w:contextualSpacing/>
            </w:pPr>
            <w:r w:rsidRPr="009A0DA6">
              <w:t>1</w:t>
            </w:r>
          </w:p>
        </w:tc>
        <w:tc>
          <w:tcPr>
            <w:tcW w:w="1191" w:type="dxa"/>
            <w:tcBorders>
              <w:top w:val="single" w:sz="8" w:space="0" w:color="auto"/>
              <w:left w:val="nil"/>
              <w:bottom w:val="single" w:sz="8" w:space="0" w:color="auto"/>
              <w:right w:val="single" w:sz="8" w:space="0" w:color="auto"/>
            </w:tcBorders>
            <w:hideMark/>
          </w:tcPr>
          <w:p w14:paraId="08DD577A" w14:textId="77777777" w:rsidR="0054360D" w:rsidRPr="009A0DA6" w:rsidRDefault="0054360D" w:rsidP="00AD09CB">
            <w:pPr>
              <w:pStyle w:val="NoSpacing"/>
              <w:spacing w:before="120" w:after="120" w:line="256" w:lineRule="auto"/>
              <w:contextualSpacing/>
            </w:pPr>
            <w:r w:rsidRPr="009A0DA6">
              <w:t>0</w:t>
            </w:r>
          </w:p>
        </w:tc>
      </w:tr>
      <w:tr w:rsidR="0054360D" w:rsidRPr="009A0DA6" w14:paraId="3A7A9CE6" w14:textId="77777777" w:rsidTr="00446899">
        <w:tc>
          <w:tcPr>
            <w:tcW w:w="2293" w:type="dxa"/>
            <w:tcBorders>
              <w:top w:val="single" w:sz="8" w:space="0" w:color="auto"/>
              <w:left w:val="single" w:sz="8" w:space="0" w:color="auto"/>
              <w:bottom w:val="single" w:sz="8" w:space="0" w:color="auto"/>
              <w:right w:val="nil"/>
            </w:tcBorders>
            <w:hideMark/>
          </w:tcPr>
          <w:p w14:paraId="57371BD5" w14:textId="77777777" w:rsidR="0054360D" w:rsidRPr="009A0DA6" w:rsidRDefault="0054360D" w:rsidP="00AD09CB">
            <w:pPr>
              <w:pStyle w:val="NoSpacing"/>
              <w:spacing w:before="120" w:after="120" w:line="256" w:lineRule="auto"/>
              <w:contextualSpacing/>
            </w:pPr>
            <w:r w:rsidRPr="009A0DA6">
              <w:t>New South Wales</w:t>
            </w:r>
          </w:p>
        </w:tc>
        <w:tc>
          <w:tcPr>
            <w:tcW w:w="1191" w:type="dxa"/>
            <w:tcBorders>
              <w:top w:val="single" w:sz="8" w:space="0" w:color="auto"/>
              <w:left w:val="nil"/>
              <w:bottom w:val="single" w:sz="8" w:space="0" w:color="auto"/>
              <w:right w:val="nil"/>
            </w:tcBorders>
            <w:hideMark/>
          </w:tcPr>
          <w:p w14:paraId="78339603" w14:textId="77777777" w:rsidR="0054360D" w:rsidRPr="009A0DA6" w:rsidRDefault="0054360D" w:rsidP="00AD09CB">
            <w:pPr>
              <w:pStyle w:val="NoSpacing"/>
              <w:spacing w:before="120" w:after="120" w:line="256" w:lineRule="auto"/>
              <w:contextualSpacing/>
            </w:pPr>
            <w:r w:rsidRPr="009A0DA6">
              <w:t>3</w:t>
            </w:r>
          </w:p>
        </w:tc>
        <w:tc>
          <w:tcPr>
            <w:tcW w:w="1191" w:type="dxa"/>
            <w:tcBorders>
              <w:top w:val="single" w:sz="8" w:space="0" w:color="auto"/>
              <w:left w:val="nil"/>
              <w:bottom w:val="single" w:sz="8" w:space="0" w:color="auto"/>
              <w:right w:val="nil"/>
            </w:tcBorders>
            <w:hideMark/>
          </w:tcPr>
          <w:p w14:paraId="6E0EF6E9" w14:textId="77777777" w:rsidR="0054360D" w:rsidRPr="009A0DA6" w:rsidRDefault="0054360D" w:rsidP="00AD09CB">
            <w:pPr>
              <w:pStyle w:val="NoSpacing"/>
              <w:spacing w:before="120" w:after="120" w:line="256" w:lineRule="auto"/>
              <w:contextualSpacing/>
            </w:pPr>
            <w:r w:rsidRPr="009A0DA6">
              <w:t>1</w:t>
            </w:r>
          </w:p>
        </w:tc>
        <w:tc>
          <w:tcPr>
            <w:tcW w:w="1191" w:type="dxa"/>
            <w:tcBorders>
              <w:top w:val="single" w:sz="8" w:space="0" w:color="auto"/>
              <w:left w:val="nil"/>
              <w:bottom w:val="single" w:sz="8" w:space="0" w:color="auto"/>
              <w:right w:val="nil"/>
            </w:tcBorders>
            <w:hideMark/>
          </w:tcPr>
          <w:p w14:paraId="4F23325E" w14:textId="77777777" w:rsidR="0054360D" w:rsidRPr="009A0DA6" w:rsidRDefault="0054360D" w:rsidP="00AD09CB">
            <w:pPr>
              <w:pStyle w:val="NoSpacing"/>
              <w:spacing w:before="120" w:after="120" w:line="256" w:lineRule="auto"/>
              <w:contextualSpacing/>
            </w:pPr>
            <w:r w:rsidRPr="009A0DA6">
              <w:t>0</w:t>
            </w:r>
          </w:p>
        </w:tc>
        <w:tc>
          <w:tcPr>
            <w:tcW w:w="1191" w:type="dxa"/>
            <w:tcBorders>
              <w:top w:val="single" w:sz="8" w:space="0" w:color="auto"/>
              <w:left w:val="nil"/>
              <w:bottom w:val="single" w:sz="8" w:space="0" w:color="auto"/>
              <w:right w:val="nil"/>
            </w:tcBorders>
            <w:hideMark/>
          </w:tcPr>
          <w:p w14:paraId="14502561" w14:textId="77777777" w:rsidR="0054360D" w:rsidRPr="009A0DA6" w:rsidRDefault="0054360D" w:rsidP="00AD09CB">
            <w:pPr>
              <w:pStyle w:val="NoSpacing"/>
              <w:spacing w:before="120" w:after="120" w:line="256" w:lineRule="auto"/>
              <w:contextualSpacing/>
            </w:pPr>
            <w:r w:rsidRPr="009A0DA6">
              <w:t>4</w:t>
            </w:r>
          </w:p>
        </w:tc>
        <w:tc>
          <w:tcPr>
            <w:tcW w:w="1191" w:type="dxa"/>
            <w:tcBorders>
              <w:top w:val="single" w:sz="8" w:space="0" w:color="auto"/>
              <w:left w:val="nil"/>
              <w:bottom w:val="single" w:sz="8" w:space="0" w:color="auto"/>
              <w:right w:val="single" w:sz="8" w:space="0" w:color="auto"/>
            </w:tcBorders>
            <w:hideMark/>
          </w:tcPr>
          <w:p w14:paraId="61B6BCEC" w14:textId="77777777" w:rsidR="0054360D" w:rsidRPr="009A0DA6" w:rsidRDefault="0054360D" w:rsidP="00AD09CB">
            <w:pPr>
              <w:pStyle w:val="NoSpacing"/>
              <w:spacing w:before="120" w:after="120" w:line="256" w:lineRule="auto"/>
              <w:contextualSpacing/>
            </w:pPr>
            <w:r w:rsidRPr="009A0DA6">
              <w:t>2</w:t>
            </w:r>
          </w:p>
        </w:tc>
      </w:tr>
      <w:tr w:rsidR="0054360D" w:rsidRPr="009A0DA6" w14:paraId="7D1E0941" w14:textId="77777777" w:rsidTr="00446899">
        <w:tc>
          <w:tcPr>
            <w:tcW w:w="2293" w:type="dxa"/>
            <w:tcBorders>
              <w:top w:val="single" w:sz="8" w:space="0" w:color="auto"/>
              <w:left w:val="single" w:sz="8" w:space="0" w:color="auto"/>
              <w:bottom w:val="single" w:sz="8" w:space="0" w:color="auto"/>
              <w:right w:val="nil"/>
            </w:tcBorders>
          </w:tcPr>
          <w:p w14:paraId="0CE2045E" w14:textId="77777777" w:rsidR="0054360D" w:rsidRPr="009A0DA6" w:rsidRDefault="0054360D" w:rsidP="00AD09CB">
            <w:pPr>
              <w:pStyle w:val="NoSpacing"/>
              <w:spacing w:before="120" w:after="120" w:line="256" w:lineRule="auto"/>
              <w:contextualSpacing/>
              <w:rPr>
                <w:b/>
              </w:rPr>
            </w:pPr>
          </w:p>
          <w:p w14:paraId="55CE3156" w14:textId="77777777" w:rsidR="0054360D" w:rsidRPr="009A0DA6" w:rsidRDefault="0054360D" w:rsidP="00AD09CB">
            <w:pPr>
              <w:pStyle w:val="NoSpacing"/>
              <w:spacing w:before="120" w:after="120" w:line="256" w:lineRule="auto"/>
              <w:contextualSpacing/>
              <w:rPr>
                <w:b/>
              </w:rPr>
            </w:pPr>
            <w:r w:rsidRPr="009A0DA6">
              <w:rPr>
                <w:b/>
              </w:rPr>
              <w:t>Total</w:t>
            </w:r>
          </w:p>
        </w:tc>
        <w:tc>
          <w:tcPr>
            <w:tcW w:w="1191" w:type="dxa"/>
            <w:tcBorders>
              <w:top w:val="single" w:sz="8" w:space="0" w:color="auto"/>
              <w:left w:val="nil"/>
              <w:bottom w:val="single" w:sz="8" w:space="0" w:color="auto"/>
              <w:right w:val="nil"/>
            </w:tcBorders>
          </w:tcPr>
          <w:p w14:paraId="62478A01" w14:textId="77777777" w:rsidR="0054360D" w:rsidRPr="009A0DA6" w:rsidRDefault="0054360D" w:rsidP="00AD09CB">
            <w:pPr>
              <w:pStyle w:val="NoSpacing"/>
              <w:spacing w:before="120" w:after="120" w:line="256" w:lineRule="auto"/>
              <w:contextualSpacing/>
              <w:rPr>
                <w:b/>
              </w:rPr>
            </w:pPr>
          </w:p>
          <w:p w14:paraId="6D86396D" w14:textId="77777777" w:rsidR="0054360D" w:rsidRPr="009A0DA6" w:rsidRDefault="0054360D" w:rsidP="00AD09CB">
            <w:pPr>
              <w:pStyle w:val="NoSpacing"/>
              <w:spacing w:before="120" w:after="120" w:line="256" w:lineRule="auto"/>
              <w:contextualSpacing/>
              <w:rPr>
                <w:b/>
              </w:rPr>
            </w:pPr>
            <w:r w:rsidRPr="009A0DA6">
              <w:rPr>
                <w:b/>
              </w:rPr>
              <w:t>37</w:t>
            </w:r>
          </w:p>
        </w:tc>
        <w:tc>
          <w:tcPr>
            <w:tcW w:w="1191" w:type="dxa"/>
            <w:tcBorders>
              <w:top w:val="single" w:sz="8" w:space="0" w:color="auto"/>
              <w:left w:val="nil"/>
              <w:bottom w:val="single" w:sz="8" w:space="0" w:color="auto"/>
              <w:right w:val="nil"/>
            </w:tcBorders>
          </w:tcPr>
          <w:p w14:paraId="51560E79" w14:textId="77777777" w:rsidR="0054360D" w:rsidRPr="009A0DA6" w:rsidRDefault="0054360D" w:rsidP="00AD09CB">
            <w:pPr>
              <w:pStyle w:val="NoSpacing"/>
              <w:spacing w:before="120" w:after="120" w:line="256" w:lineRule="auto"/>
              <w:contextualSpacing/>
              <w:rPr>
                <w:b/>
              </w:rPr>
            </w:pPr>
          </w:p>
          <w:p w14:paraId="6D7605CE" w14:textId="77777777" w:rsidR="0054360D" w:rsidRPr="009A0DA6" w:rsidRDefault="0054360D" w:rsidP="00AD09CB">
            <w:pPr>
              <w:pStyle w:val="NoSpacing"/>
              <w:spacing w:before="120" w:after="120" w:line="256" w:lineRule="auto"/>
              <w:contextualSpacing/>
              <w:rPr>
                <w:b/>
              </w:rPr>
            </w:pPr>
            <w:r w:rsidRPr="009A0DA6">
              <w:rPr>
                <w:b/>
              </w:rPr>
              <w:t>8</w:t>
            </w:r>
          </w:p>
        </w:tc>
        <w:tc>
          <w:tcPr>
            <w:tcW w:w="1191" w:type="dxa"/>
            <w:tcBorders>
              <w:top w:val="single" w:sz="8" w:space="0" w:color="auto"/>
              <w:left w:val="nil"/>
              <w:bottom w:val="single" w:sz="8" w:space="0" w:color="auto"/>
              <w:right w:val="nil"/>
            </w:tcBorders>
          </w:tcPr>
          <w:p w14:paraId="63C9A579" w14:textId="77777777" w:rsidR="0054360D" w:rsidRPr="009A0DA6" w:rsidRDefault="0054360D" w:rsidP="00AD09CB">
            <w:pPr>
              <w:pStyle w:val="NoSpacing"/>
              <w:spacing w:before="120" w:after="120" w:line="256" w:lineRule="auto"/>
              <w:contextualSpacing/>
              <w:rPr>
                <w:b/>
              </w:rPr>
            </w:pPr>
          </w:p>
          <w:p w14:paraId="49DDF3B0" w14:textId="77777777" w:rsidR="0054360D" w:rsidRPr="009A0DA6" w:rsidRDefault="0054360D" w:rsidP="00AD09CB">
            <w:pPr>
              <w:pStyle w:val="NoSpacing"/>
              <w:spacing w:before="120" w:after="120" w:line="256" w:lineRule="auto"/>
              <w:contextualSpacing/>
              <w:rPr>
                <w:b/>
              </w:rPr>
            </w:pPr>
            <w:r w:rsidRPr="009A0DA6">
              <w:rPr>
                <w:b/>
              </w:rPr>
              <w:t>35</w:t>
            </w:r>
          </w:p>
        </w:tc>
        <w:tc>
          <w:tcPr>
            <w:tcW w:w="1191" w:type="dxa"/>
            <w:tcBorders>
              <w:top w:val="single" w:sz="8" w:space="0" w:color="auto"/>
              <w:left w:val="nil"/>
              <w:bottom w:val="single" w:sz="8" w:space="0" w:color="auto"/>
              <w:right w:val="nil"/>
            </w:tcBorders>
          </w:tcPr>
          <w:p w14:paraId="62DA93E2" w14:textId="77777777" w:rsidR="0054360D" w:rsidRPr="009A0DA6" w:rsidRDefault="0054360D" w:rsidP="00AD09CB">
            <w:pPr>
              <w:pStyle w:val="NoSpacing"/>
              <w:spacing w:before="120" w:after="120" w:line="256" w:lineRule="auto"/>
              <w:contextualSpacing/>
              <w:rPr>
                <w:b/>
              </w:rPr>
            </w:pPr>
          </w:p>
          <w:p w14:paraId="766822FC" w14:textId="77777777" w:rsidR="0054360D" w:rsidRPr="009A0DA6" w:rsidRDefault="0054360D" w:rsidP="00AD09CB">
            <w:pPr>
              <w:pStyle w:val="NoSpacing"/>
              <w:spacing w:before="120" w:after="120" w:line="256" w:lineRule="auto"/>
              <w:contextualSpacing/>
              <w:rPr>
                <w:b/>
              </w:rPr>
            </w:pPr>
            <w:r w:rsidRPr="009A0DA6">
              <w:rPr>
                <w:b/>
              </w:rPr>
              <w:t>80</w:t>
            </w:r>
          </w:p>
        </w:tc>
        <w:tc>
          <w:tcPr>
            <w:tcW w:w="1191" w:type="dxa"/>
            <w:tcBorders>
              <w:top w:val="single" w:sz="8" w:space="0" w:color="auto"/>
              <w:left w:val="nil"/>
              <w:bottom w:val="single" w:sz="8" w:space="0" w:color="auto"/>
              <w:right w:val="single" w:sz="8" w:space="0" w:color="auto"/>
            </w:tcBorders>
          </w:tcPr>
          <w:p w14:paraId="14130E3E" w14:textId="77777777" w:rsidR="0054360D" w:rsidRPr="009A0DA6" w:rsidRDefault="0054360D" w:rsidP="00AD09CB">
            <w:pPr>
              <w:pStyle w:val="NoSpacing"/>
              <w:spacing w:before="120" w:after="120" w:line="256" w:lineRule="auto"/>
              <w:contextualSpacing/>
              <w:rPr>
                <w:b/>
              </w:rPr>
            </w:pPr>
          </w:p>
          <w:p w14:paraId="3A161B31" w14:textId="77777777" w:rsidR="0054360D" w:rsidRPr="009A0DA6" w:rsidRDefault="0054360D" w:rsidP="00AD09CB">
            <w:pPr>
              <w:pStyle w:val="NoSpacing"/>
              <w:spacing w:before="120" w:after="120" w:line="256" w:lineRule="auto"/>
              <w:contextualSpacing/>
              <w:rPr>
                <w:b/>
              </w:rPr>
            </w:pPr>
            <w:r w:rsidRPr="009A0DA6">
              <w:rPr>
                <w:b/>
              </w:rPr>
              <w:t>59</w:t>
            </w:r>
          </w:p>
        </w:tc>
      </w:tr>
    </w:tbl>
    <w:p w14:paraId="0455F662" w14:textId="77777777" w:rsidR="0054360D" w:rsidRPr="009A0DA6" w:rsidRDefault="0054360D" w:rsidP="0054360D">
      <w:pPr>
        <w:pStyle w:val="Subtitle"/>
        <w:numPr>
          <w:ilvl w:val="0"/>
          <w:numId w:val="0"/>
        </w:numPr>
      </w:pPr>
    </w:p>
    <w:p w14:paraId="028834C8" w14:textId="77777777" w:rsidR="0054360D" w:rsidRPr="009A0DA6" w:rsidRDefault="0054360D" w:rsidP="0054360D">
      <w:pPr>
        <w:pStyle w:val="Subtitle"/>
        <w:numPr>
          <w:ilvl w:val="0"/>
          <w:numId w:val="0"/>
        </w:numPr>
        <w:tabs>
          <w:tab w:val="left" w:pos="567"/>
        </w:tabs>
        <w:rPr>
          <w:sz w:val="22"/>
          <w:lang w:val="en-US" w:eastAsia="ja-JP"/>
        </w:rPr>
      </w:pPr>
      <w:r w:rsidRPr="009A0DA6">
        <w:t xml:space="preserve">3. </w:t>
      </w:r>
      <w:r w:rsidRPr="009A0DA6">
        <w:tab/>
        <w:t>Lutheran school staff (by religion)</w:t>
      </w:r>
    </w:p>
    <w:p w14:paraId="3E5D9E12" w14:textId="77777777" w:rsidR="0054360D" w:rsidRPr="009A0DA6" w:rsidRDefault="0054360D" w:rsidP="0054360D">
      <w:pPr>
        <w:pStyle w:val="ListParagraph"/>
        <w:spacing w:before="120" w:after="120" w:line="240" w:lineRule="auto"/>
        <w:ind w:left="284"/>
        <w:rPr>
          <w:rFonts w:ascii="Cambria" w:hAnsi="Cambria" w:cs="Arial"/>
          <w:b/>
        </w:rPr>
      </w:pPr>
      <w:r w:rsidRPr="009A0DA6">
        <w:rPr>
          <w:rFonts w:ascii="Cambria" w:hAnsi="Cambria"/>
          <w:noProof/>
          <w:lang w:val="en-AU" w:eastAsia="en-AU"/>
        </w:rPr>
        <w:drawing>
          <wp:inline distT="0" distB="0" distL="0" distR="0" wp14:anchorId="6A68F679" wp14:editId="57C47418">
            <wp:extent cx="5390866" cy="2599899"/>
            <wp:effectExtent l="0" t="0" r="635"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885E1F9" w14:textId="77777777" w:rsidR="0054360D" w:rsidRPr="009A0DA6" w:rsidRDefault="0054360D" w:rsidP="00F55252">
      <w:pPr>
        <w:pStyle w:val="Subtitle"/>
        <w:numPr>
          <w:ilvl w:val="0"/>
          <w:numId w:val="230"/>
        </w:numPr>
        <w:ind w:left="567" w:hanging="567"/>
      </w:pPr>
      <w:r w:rsidRPr="009A0DA6">
        <w:t>Lutheran school enrolments (by religion)</w:t>
      </w:r>
    </w:p>
    <w:p w14:paraId="333AD83D" w14:textId="77777777" w:rsidR="0054360D" w:rsidRPr="009A0DA6" w:rsidRDefault="0054360D" w:rsidP="0054360D">
      <w:pPr>
        <w:pStyle w:val="ListParagraph"/>
        <w:spacing w:before="120" w:after="120" w:line="240" w:lineRule="auto"/>
        <w:ind w:left="284"/>
        <w:rPr>
          <w:rFonts w:ascii="Cambria" w:hAnsi="Cambria" w:cs="Arial"/>
          <w:b/>
        </w:rPr>
      </w:pPr>
      <w:r w:rsidRPr="009A0DA6">
        <w:rPr>
          <w:rFonts w:ascii="Cambria" w:hAnsi="Cambria"/>
          <w:noProof/>
          <w:lang w:val="en-AU" w:eastAsia="en-AU"/>
        </w:rPr>
        <w:drawing>
          <wp:inline distT="0" distB="0" distL="0" distR="0" wp14:anchorId="26A6AB64" wp14:editId="6309D9AB">
            <wp:extent cx="5322627" cy="2238233"/>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73865A46" w14:textId="77777777" w:rsidR="0054360D" w:rsidRPr="009A0DA6" w:rsidRDefault="0054360D" w:rsidP="0054360D">
      <w:pPr>
        <w:pStyle w:val="Subtitle"/>
        <w:numPr>
          <w:ilvl w:val="0"/>
          <w:numId w:val="0"/>
        </w:numPr>
      </w:pPr>
    </w:p>
    <w:p w14:paraId="04421F87" w14:textId="77777777" w:rsidR="0054360D" w:rsidRPr="009A0DA6" w:rsidRDefault="0054360D" w:rsidP="0054360D">
      <w:pPr>
        <w:pStyle w:val="NoSpacing"/>
      </w:pPr>
    </w:p>
    <w:p w14:paraId="77C02753" w14:textId="77777777" w:rsidR="0054360D" w:rsidRPr="009A0DA6" w:rsidRDefault="0054360D" w:rsidP="0054360D">
      <w:pPr>
        <w:pStyle w:val="NoSpacing"/>
      </w:pPr>
    </w:p>
    <w:p w14:paraId="21B19E94" w14:textId="77777777" w:rsidR="0054360D" w:rsidRPr="009A0DA6" w:rsidRDefault="0054360D" w:rsidP="00F55252">
      <w:pPr>
        <w:pStyle w:val="Subtitle"/>
        <w:numPr>
          <w:ilvl w:val="0"/>
          <w:numId w:val="230"/>
        </w:numPr>
        <w:ind w:left="567" w:hanging="567"/>
      </w:pPr>
      <w:r w:rsidRPr="009A0DA6">
        <w:t>School enrolment % annual growth 1983-2014</w:t>
      </w:r>
    </w:p>
    <w:tbl>
      <w:tblPr>
        <w:tblStyle w:val="TableGrid"/>
        <w:tblW w:w="8737" w:type="dxa"/>
        <w:tblInd w:w="-5" w:type="dxa"/>
        <w:tblLook w:val="0420" w:firstRow="1" w:lastRow="0" w:firstColumn="0" w:lastColumn="0" w:noHBand="0" w:noVBand="1"/>
      </w:tblPr>
      <w:tblGrid>
        <w:gridCol w:w="827"/>
        <w:gridCol w:w="826"/>
        <w:gridCol w:w="826"/>
        <w:gridCol w:w="826"/>
        <w:gridCol w:w="13"/>
        <w:gridCol w:w="826"/>
        <w:gridCol w:w="959"/>
        <w:gridCol w:w="837"/>
        <w:gridCol w:w="839"/>
        <w:gridCol w:w="979"/>
        <w:gridCol w:w="979"/>
      </w:tblGrid>
      <w:tr w:rsidR="0054360D" w:rsidRPr="009A0DA6" w14:paraId="21DC7329" w14:textId="77777777" w:rsidTr="00AD09CB">
        <w:trPr>
          <w:trHeight w:val="343"/>
        </w:trPr>
        <w:tc>
          <w:tcPr>
            <w:tcW w:w="8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361D5E52" w14:textId="77777777" w:rsidR="0054360D" w:rsidRPr="009A0DA6" w:rsidRDefault="0054360D" w:rsidP="00AD09CB">
            <w:pPr>
              <w:spacing w:before="120" w:after="120"/>
              <w:contextualSpacing/>
              <w:jc w:val="right"/>
              <w:textAlignment w:val="bottom"/>
              <w:rPr>
                <w:rFonts w:ascii="Cambria" w:eastAsia="Times New Roman" w:hAnsi="Cambria" w:cs="Arial"/>
              </w:rPr>
            </w:pPr>
            <w:r w:rsidRPr="009A0DA6">
              <w:rPr>
                <w:rFonts w:ascii="Cambria" w:eastAsia="Times New Roman" w:hAnsi="Cambria" w:cs="Arial"/>
                <w:b/>
                <w:bCs/>
                <w:kern w:val="24"/>
              </w:rPr>
              <w:t>83</w:t>
            </w:r>
          </w:p>
        </w:tc>
        <w:tc>
          <w:tcPr>
            <w:tcW w:w="8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1FB83F5D" w14:textId="77777777" w:rsidR="0054360D" w:rsidRPr="009A0DA6" w:rsidRDefault="0054360D" w:rsidP="00AD09CB">
            <w:pPr>
              <w:spacing w:before="120" w:after="120"/>
              <w:contextualSpacing/>
              <w:jc w:val="right"/>
              <w:textAlignment w:val="bottom"/>
              <w:rPr>
                <w:rFonts w:ascii="Cambria" w:eastAsia="Times New Roman" w:hAnsi="Cambria" w:cs="Arial"/>
              </w:rPr>
            </w:pPr>
            <w:r w:rsidRPr="009A0DA6">
              <w:rPr>
                <w:rFonts w:ascii="Cambria" w:eastAsia="Times New Roman" w:hAnsi="Cambria" w:cs="Arial"/>
                <w:b/>
                <w:bCs/>
                <w:kern w:val="24"/>
              </w:rPr>
              <w:t>84</w:t>
            </w:r>
          </w:p>
        </w:tc>
        <w:tc>
          <w:tcPr>
            <w:tcW w:w="8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7A63A8E0" w14:textId="77777777" w:rsidR="0054360D" w:rsidRPr="009A0DA6" w:rsidRDefault="0054360D" w:rsidP="00AD09CB">
            <w:pPr>
              <w:spacing w:before="120" w:after="120"/>
              <w:contextualSpacing/>
              <w:jc w:val="right"/>
              <w:textAlignment w:val="bottom"/>
              <w:rPr>
                <w:rFonts w:ascii="Cambria" w:eastAsia="Times New Roman" w:hAnsi="Cambria" w:cs="Arial"/>
              </w:rPr>
            </w:pPr>
            <w:r w:rsidRPr="009A0DA6">
              <w:rPr>
                <w:rFonts w:ascii="Cambria" w:eastAsia="Times New Roman" w:hAnsi="Cambria" w:cs="Arial"/>
                <w:b/>
                <w:bCs/>
                <w:kern w:val="24"/>
              </w:rPr>
              <w:t>85</w:t>
            </w:r>
          </w:p>
        </w:tc>
        <w:tc>
          <w:tcPr>
            <w:tcW w:w="83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5C528E43" w14:textId="77777777" w:rsidR="0054360D" w:rsidRPr="009A0DA6" w:rsidRDefault="0054360D" w:rsidP="00AD09CB">
            <w:pPr>
              <w:spacing w:before="120" w:after="120"/>
              <w:contextualSpacing/>
              <w:jc w:val="right"/>
              <w:textAlignment w:val="bottom"/>
              <w:rPr>
                <w:rFonts w:ascii="Cambria" w:eastAsia="Times New Roman" w:hAnsi="Cambria" w:cs="Arial"/>
              </w:rPr>
            </w:pPr>
            <w:r w:rsidRPr="009A0DA6">
              <w:rPr>
                <w:rFonts w:ascii="Cambria" w:eastAsia="Times New Roman" w:hAnsi="Cambria" w:cs="Arial"/>
                <w:b/>
                <w:bCs/>
                <w:kern w:val="24"/>
              </w:rPr>
              <w:t>86</w:t>
            </w:r>
          </w:p>
        </w:tc>
        <w:tc>
          <w:tcPr>
            <w:tcW w:w="8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662887F7" w14:textId="77777777" w:rsidR="0054360D" w:rsidRPr="009A0DA6" w:rsidRDefault="0054360D" w:rsidP="00AD09CB">
            <w:pPr>
              <w:spacing w:before="120" w:after="120"/>
              <w:contextualSpacing/>
              <w:jc w:val="right"/>
              <w:textAlignment w:val="bottom"/>
              <w:rPr>
                <w:rFonts w:ascii="Cambria" w:eastAsia="Times New Roman" w:hAnsi="Cambria" w:cs="Arial"/>
              </w:rPr>
            </w:pPr>
            <w:r w:rsidRPr="009A0DA6">
              <w:rPr>
                <w:rFonts w:ascii="Cambria" w:eastAsia="Times New Roman" w:hAnsi="Cambria" w:cs="Arial"/>
                <w:b/>
                <w:bCs/>
                <w:kern w:val="24"/>
              </w:rPr>
              <w:t>87</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3BF4F096" w14:textId="77777777" w:rsidR="0054360D" w:rsidRPr="009A0DA6" w:rsidRDefault="0054360D" w:rsidP="00AD09CB">
            <w:pPr>
              <w:spacing w:before="120" w:after="120"/>
              <w:contextualSpacing/>
              <w:jc w:val="right"/>
              <w:textAlignment w:val="bottom"/>
              <w:rPr>
                <w:rFonts w:ascii="Cambria" w:eastAsia="Times New Roman" w:hAnsi="Cambria" w:cs="Arial"/>
              </w:rPr>
            </w:pPr>
            <w:r w:rsidRPr="009A0DA6">
              <w:rPr>
                <w:rFonts w:ascii="Cambria" w:eastAsia="Times New Roman" w:hAnsi="Cambria" w:cs="Arial"/>
                <w:b/>
                <w:bCs/>
                <w:kern w:val="24"/>
              </w:rPr>
              <w:t>88</w:t>
            </w:r>
          </w:p>
        </w:tc>
        <w:tc>
          <w:tcPr>
            <w:tcW w:w="8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3EBE8CE0" w14:textId="77777777" w:rsidR="0054360D" w:rsidRPr="009A0DA6" w:rsidRDefault="0054360D" w:rsidP="00AD09CB">
            <w:pPr>
              <w:spacing w:before="120" w:after="120"/>
              <w:contextualSpacing/>
              <w:jc w:val="right"/>
              <w:textAlignment w:val="bottom"/>
              <w:rPr>
                <w:rFonts w:ascii="Cambria" w:eastAsia="Times New Roman" w:hAnsi="Cambria" w:cs="Arial"/>
              </w:rPr>
            </w:pPr>
            <w:r w:rsidRPr="009A0DA6">
              <w:rPr>
                <w:rFonts w:ascii="Cambria" w:eastAsia="Times New Roman" w:hAnsi="Cambria" w:cs="Arial"/>
                <w:b/>
                <w:bCs/>
                <w:kern w:val="24"/>
              </w:rPr>
              <w:t>89</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2F2F33CF" w14:textId="77777777" w:rsidR="0054360D" w:rsidRPr="009A0DA6" w:rsidRDefault="0054360D" w:rsidP="00AD09CB">
            <w:pPr>
              <w:spacing w:before="120" w:after="120"/>
              <w:contextualSpacing/>
              <w:jc w:val="right"/>
              <w:textAlignment w:val="bottom"/>
              <w:rPr>
                <w:rFonts w:ascii="Cambria" w:eastAsia="Times New Roman" w:hAnsi="Cambria" w:cs="Arial"/>
              </w:rPr>
            </w:pPr>
            <w:r w:rsidRPr="009A0DA6">
              <w:rPr>
                <w:rFonts w:ascii="Cambria" w:eastAsia="Times New Roman" w:hAnsi="Cambria" w:cs="Arial"/>
                <w:b/>
                <w:bCs/>
                <w:kern w:val="24"/>
              </w:rPr>
              <w:t>90</w:t>
            </w:r>
          </w:p>
        </w:tc>
        <w:tc>
          <w:tcPr>
            <w:tcW w:w="9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40E35C26" w14:textId="77777777" w:rsidR="0054360D" w:rsidRPr="009A0DA6" w:rsidRDefault="0054360D" w:rsidP="00AD09CB">
            <w:pPr>
              <w:spacing w:before="120" w:after="120"/>
              <w:contextualSpacing/>
              <w:jc w:val="right"/>
              <w:textAlignment w:val="bottom"/>
              <w:rPr>
                <w:rFonts w:ascii="Cambria" w:eastAsia="Times New Roman" w:hAnsi="Cambria" w:cs="Arial"/>
              </w:rPr>
            </w:pPr>
            <w:r w:rsidRPr="009A0DA6">
              <w:rPr>
                <w:rFonts w:ascii="Cambria" w:eastAsia="Times New Roman" w:hAnsi="Cambria" w:cs="Arial"/>
                <w:b/>
                <w:bCs/>
                <w:kern w:val="24"/>
              </w:rPr>
              <w:t>91</w:t>
            </w:r>
          </w:p>
        </w:tc>
        <w:tc>
          <w:tcPr>
            <w:tcW w:w="9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6D52F060" w14:textId="77777777" w:rsidR="0054360D" w:rsidRPr="009A0DA6" w:rsidRDefault="0054360D" w:rsidP="00AD09CB">
            <w:pPr>
              <w:spacing w:before="120" w:after="120"/>
              <w:contextualSpacing/>
              <w:jc w:val="right"/>
              <w:textAlignment w:val="bottom"/>
              <w:rPr>
                <w:rFonts w:ascii="Cambria" w:eastAsia="Times New Roman" w:hAnsi="Cambria" w:cs="Arial"/>
              </w:rPr>
            </w:pPr>
            <w:r w:rsidRPr="009A0DA6">
              <w:rPr>
                <w:rFonts w:ascii="Cambria" w:eastAsia="Times New Roman" w:hAnsi="Cambria" w:cs="Arial"/>
                <w:b/>
                <w:bCs/>
                <w:kern w:val="24"/>
              </w:rPr>
              <w:t>92</w:t>
            </w:r>
          </w:p>
        </w:tc>
      </w:tr>
      <w:tr w:rsidR="0054360D" w:rsidRPr="009A0DA6" w14:paraId="091755D6" w14:textId="77777777" w:rsidTr="00AD09CB">
        <w:trPr>
          <w:trHeight w:val="264"/>
        </w:trPr>
        <w:tc>
          <w:tcPr>
            <w:tcW w:w="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3AAF1B" w14:textId="77777777" w:rsidR="0054360D" w:rsidRPr="009A0DA6" w:rsidRDefault="0054360D" w:rsidP="00AD09CB">
            <w:pPr>
              <w:spacing w:before="120" w:after="120"/>
              <w:contextualSpacing/>
              <w:jc w:val="right"/>
              <w:textAlignment w:val="bottom"/>
              <w:rPr>
                <w:rFonts w:ascii="Cambria" w:eastAsia="Times New Roman" w:hAnsi="Cambria" w:cs="Arial"/>
              </w:rPr>
            </w:pPr>
            <w:r w:rsidRPr="009A0DA6">
              <w:rPr>
                <w:rFonts w:ascii="Cambria" w:eastAsia="Times New Roman" w:hAnsi="Cambria" w:cs="Arial"/>
                <w:kern w:val="24"/>
              </w:rPr>
              <w:t>9966</w:t>
            </w:r>
          </w:p>
        </w:tc>
        <w:tc>
          <w:tcPr>
            <w:tcW w:w="8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5C7606" w14:textId="77777777" w:rsidR="0054360D" w:rsidRPr="009A0DA6" w:rsidRDefault="0054360D" w:rsidP="00AD09CB">
            <w:pPr>
              <w:spacing w:before="120" w:after="120"/>
              <w:contextualSpacing/>
              <w:jc w:val="right"/>
              <w:textAlignment w:val="bottom"/>
              <w:rPr>
                <w:rFonts w:ascii="Cambria" w:eastAsia="Times New Roman" w:hAnsi="Cambria" w:cs="Arial"/>
              </w:rPr>
            </w:pPr>
            <w:r w:rsidRPr="009A0DA6">
              <w:rPr>
                <w:rFonts w:ascii="Cambria" w:eastAsia="Times New Roman" w:hAnsi="Cambria" w:cs="Arial"/>
                <w:kern w:val="24"/>
              </w:rPr>
              <w:t>10805</w:t>
            </w:r>
          </w:p>
        </w:tc>
        <w:tc>
          <w:tcPr>
            <w:tcW w:w="8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28AE80" w14:textId="77777777" w:rsidR="0054360D" w:rsidRPr="009A0DA6" w:rsidRDefault="0054360D" w:rsidP="00AD09CB">
            <w:pPr>
              <w:spacing w:before="120" w:after="120"/>
              <w:contextualSpacing/>
              <w:jc w:val="right"/>
              <w:textAlignment w:val="bottom"/>
              <w:rPr>
                <w:rFonts w:ascii="Cambria" w:eastAsia="Times New Roman" w:hAnsi="Cambria" w:cs="Arial"/>
              </w:rPr>
            </w:pPr>
            <w:r w:rsidRPr="009A0DA6">
              <w:rPr>
                <w:rFonts w:ascii="Cambria" w:eastAsia="Times New Roman" w:hAnsi="Cambria" w:cs="Arial"/>
                <w:kern w:val="24"/>
              </w:rPr>
              <w:t>11623</w:t>
            </w:r>
          </w:p>
        </w:tc>
        <w:tc>
          <w:tcPr>
            <w:tcW w:w="83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BB5B09" w14:textId="77777777" w:rsidR="0054360D" w:rsidRPr="009A0DA6" w:rsidRDefault="0054360D" w:rsidP="00AD09CB">
            <w:pPr>
              <w:spacing w:before="120" w:after="120"/>
              <w:contextualSpacing/>
              <w:jc w:val="right"/>
              <w:textAlignment w:val="bottom"/>
              <w:rPr>
                <w:rFonts w:ascii="Cambria" w:eastAsia="Times New Roman" w:hAnsi="Cambria" w:cs="Arial"/>
              </w:rPr>
            </w:pPr>
            <w:r w:rsidRPr="009A0DA6">
              <w:rPr>
                <w:rFonts w:ascii="Cambria" w:eastAsia="Times New Roman" w:hAnsi="Cambria" w:cs="Arial"/>
                <w:kern w:val="24"/>
              </w:rPr>
              <w:t>12539</w:t>
            </w:r>
          </w:p>
        </w:tc>
        <w:tc>
          <w:tcPr>
            <w:tcW w:w="8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A04FE5" w14:textId="77777777" w:rsidR="0054360D" w:rsidRPr="009A0DA6" w:rsidRDefault="0054360D" w:rsidP="00AD09CB">
            <w:pPr>
              <w:spacing w:before="120" w:after="120"/>
              <w:contextualSpacing/>
              <w:jc w:val="right"/>
              <w:textAlignment w:val="bottom"/>
              <w:rPr>
                <w:rFonts w:ascii="Cambria" w:eastAsia="Times New Roman" w:hAnsi="Cambria" w:cs="Arial"/>
              </w:rPr>
            </w:pPr>
            <w:r w:rsidRPr="009A0DA6">
              <w:rPr>
                <w:rFonts w:ascii="Cambria" w:eastAsia="Times New Roman" w:hAnsi="Cambria" w:cs="Arial"/>
                <w:kern w:val="24"/>
              </w:rPr>
              <w:t>13442</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25E60D" w14:textId="77777777" w:rsidR="0054360D" w:rsidRPr="009A0DA6" w:rsidRDefault="0054360D" w:rsidP="00AD09CB">
            <w:pPr>
              <w:spacing w:before="120" w:after="120"/>
              <w:contextualSpacing/>
              <w:jc w:val="right"/>
              <w:textAlignment w:val="bottom"/>
              <w:rPr>
                <w:rFonts w:ascii="Cambria" w:eastAsia="Times New Roman" w:hAnsi="Cambria" w:cs="Arial"/>
              </w:rPr>
            </w:pPr>
            <w:r w:rsidRPr="009A0DA6">
              <w:rPr>
                <w:rFonts w:ascii="Cambria" w:eastAsia="Times New Roman" w:hAnsi="Cambria" w:cs="Arial"/>
                <w:kern w:val="24"/>
              </w:rPr>
              <w:t>14165</w:t>
            </w:r>
          </w:p>
        </w:tc>
        <w:tc>
          <w:tcPr>
            <w:tcW w:w="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F73CBD" w14:textId="77777777" w:rsidR="0054360D" w:rsidRPr="009A0DA6" w:rsidRDefault="0054360D" w:rsidP="00AD09CB">
            <w:pPr>
              <w:spacing w:before="120" w:after="120"/>
              <w:contextualSpacing/>
              <w:jc w:val="right"/>
              <w:textAlignment w:val="bottom"/>
              <w:rPr>
                <w:rFonts w:ascii="Cambria" w:eastAsia="Times New Roman" w:hAnsi="Cambria" w:cs="Arial"/>
              </w:rPr>
            </w:pPr>
            <w:r w:rsidRPr="009A0DA6">
              <w:rPr>
                <w:rFonts w:ascii="Cambria" w:eastAsia="Times New Roman" w:hAnsi="Cambria" w:cs="Arial"/>
                <w:kern w:val="24"/>
              </w:rPr>
              <w:t>14860</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E20B76" w14:textId="77777777" w:rsidR="0054360D" w:rsidRPr="009A0DA6" w:rsidRDefault="0054360D" w:rsidP="00AD09CB">
            <w:pPr>
              <w:spacing w:before="120" w:after="120"/>
              <w:contextualSpacing/>
              <w:jc w:val="right"/>
              <w:textAlignment w:val="bottom"/>
              <w:rPr>
                <w:rFonts w:ascii="Cambria" w:eastAsia="Times New Roman" w:hAnsi="Cambria" w:cs="Arial"/>
              </w:rPr>
            </w:pPr>
            <w:r w:rsidRPr="009A0DA6">
              <w:rPr>
                <w:rFonts w:ascii="Cambria" w:eastAsia="Times New Roman" w:hAnsi="Cambria" w:cs="Arial"/>
                <w:kern w:val="24"/>
              </w:rPr>
              <w:t>15672</w:t>
            </w:r>
          </w:p>
        </w:tc>
        <w:tc>
          <w:tcPr>
            <w:tcW w:w="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DE6E75" w14:textId="77777777" w:rsidR="0054360D" w:rsidRPr="009A0DA6" w:rsidRDefault="0054360D" w:rsidP="00AD09CB">
            <w:pPr>
              <w:spacing w:before="120" w:after="120"/>
              <w:contextualSpacing/>
              <w:jc w:val="right"/>
              <w:textAlignment w:val="bottom"/>
              <w:rPr>
                <w:rFonts w:ascii="Cambria" w:eastAsia="Times New Roman" w:hAnsi="Cambria" w:cs="Arial"/>
              </w:rPr>
            </w:pPr>
            <w:r w:rsidRPr="009A0DA6">
              <w:rPr>
                <w:rFonts w:ascii="Cambria" w:eastAsia="Times New Roman" w:hAnsi="Cambria" w:cs="Arial"/>
                <w:kern w:val="24"/>
              </w:rPr>
              <w:t>16279</w:t>
            </w:r>
          </w:p>
        </w:tc>
        <w:tc>
          <w:tcPr>
            <w:tcW w:w="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404802" w14:textId="77777777" w:rsidR="0054360D" w:rsidRPr="009A0DA6" w:rsidRDefault="0054360D" w:rsidP="00AD09CB">
            <w:pPr>
              <w:spacing w:before="120" w:after="120"/>
              <w:contextualSpacing/>
              <w:jc w:val="right"/>
              <w:textAlignment w:val="bottom"/>
              <w:rPr>
                <w:rFonts w:ascii="Cambria" w:eastAsia="Times New Roman" w:hAnsi="Cambria" w:cs="Arial"/>
              </w:rPr>
            </w:pPr>
            <w:r w:rsidRPr="009A0DA6">
              <w:rPr>
                <w:rFonts w:ascii="Cambria" w:eastAsia="Times New Roman" w:hAnsi="Cambria" w:cs="Arial"/>
                <w:kern w:val="24"/>
              </w:rPr>
              <w:t>17129</w:t>
            </w:r>
          </w:p>
        </w:tc>
      </w:tr>
      <w:tr w:rsidR="0054360D" w:rsidRPr="009A0DA6" w14:paraId="2FD74149" w14:textId="77777777" w:rsidTr="00AD09CB">
        <w:trPr>
          <w:trHeight w:val="281"/>
        </w:trPr>
        <w:tc>
          <w:tcPr>
            <w:tcW w:w="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44B5CD" w14:textId="77777777" w:rsidR="0054360D" w:rsidRPr="009A0DA6" w:rsidRDefault="0054360D" w:rsidP="00AD09CB">
            <w:pPr>
              <w:rPr>
                <w:rFonts w:ascii="Cambria" w:eastAsia="Times New Roman" w:hAnsi="Cambria" w:cs="Arial"/>
              </w:rPr>
            </w:pPr>
          </w:p>
        </w:tc>
        <w:tc>
          <w:tcPr>
            <w:tcW w:w="8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FF691D" w14:textId="77777777" w:rsidR="0054360D" w:rsidRPr="009A0DA6" w:rsidRDefault="0054360D" w:rsidP="00AD09CB">
            <w:pPr>
              <w:spacing w:before="120" w:after="120"/>
              <w:contextualSpacing/>
              <w:jc w:val="right"/>
              <w:textAlignment w:val="bottom"/>
              <w:rPr>
                <w:rFonts w:ascii="Cambria" w:eastAsia="Times New Roman" w:hAnsi="Cambria" w:cs="Arial"/>
              </w:rPr>
            </w:pPr>
            <w:r w:rsidRPr="009A0DA6">
              <w:rPr>
                <w:rFonts w:ascii="Cambria" w:eastAsia="Times New Roman" w:hAnsi="Cambria" w:cs="Arial"/>
                <w:kern w:val="24"/>
              </w:rPr>
              <w:t>7.8%</w:t>
            </w:r>
          </w:p>
        </w:tc>
        <w:tc>
          <w:tcPr>
            <w:tcW w:w="8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70701B" w14:textId="77777777" w:rsidR="0054360D" w:rsidRPr="009A0DA6" w:rsidRDefault="0054360D" w:rsidP="00AD09CB">
            <w:pPr>
              <w:spacing w:before="120" w:after="120"/>
              <w:contextualSpacing/>
              <w:jc w:val="right"/>
              <w:textAlignment w:val="bottom"/>
              <w:rPr>
                <w:rFonts w:ascii="Cambria" w:eastAsia="Times New Roman" w:hAnsi="Cambria" w:cs="Arial"/>
              </w:rPr>
            </w:pPr>
            <w:r w:rsidRPr="009A0DA6">
              <w:rPr>
                <w:rFonts w:ascii="Cambria" w:eastAsia="Times New Roman" w:hAnsi="Cambria" w:cs="Arial"/>
                <w:kern w:val="24"/>
              </w:rPr>
              <w:t>7.0%</w:t>
            </w:r>
          </w:p>
        </w:tc>
        <w:tc>
          <w:tcPr>
            <w:tcW w:w="83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8964DF" w14:textId="77777777" w:rsidR="0054360D" w:rsidRPr="009A0DA6" w:rsidRDefault="0054360D" w:rsidP="00AD09CB">
            <w:pPr>
              <w:spacing w:before="120" w:after="120"/>
              <w:contextualSpacing/>
              <w:jc w:val="right"/>
              <w:textAlignment w:val="bottom"/>
              <w:rPr>
                <w:rFonts w:ascii="Cambria" w:eastAsia="Times New Roman" w:hAnsi="Cambria" w:cs="Arial"/>
              </w:rPr>
            </w:pPr>
            <w:r w:rsidRPr="009A0DA6">
              <w:rPr>
                <w:rFonts w:ascii="Cambria" w:eastAsia="Times New Roman" w:hAnsi="Cambria" w:cs="Arial"/>
                <w:kern w:val="24"/>
              </w:rPr>
              <w:t>7.3%</w:t>
            </w:r>
          </w:p>
        </w:tc>
        <w:tc>
          <w:tcPr>
            <w:tcW w:w="8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EF872C" w14:textId="77777777" w:rsidR="0054360D" w:rsidRPr="009A0DA6" w:rsidRDefault="0054360D" w:rsidP="00AD09CB">
            <w:pPr>
              <w:spacing w:before="120" w:after="120"/>
              <w:contextualSpacing/>
              <w:jc w:val="right"/>
              <w:textAlignment w:val="bottom"/>
              <w:rPr>
                <w:rFonts w:ascii="Cambria" w:eastAsia="Times New Roman" w:hAnsi="Cambria" w:cs="Arial"/>
              </w:rPr>
            </w:pPr>
            <w:r w:rsidRPr="009A0DA6">
              <w:rPr>
                <w:rFonts w:ascii="Cambria" w:eastAsia="Times New Roman" w:hAnsi="Cambria" w:cs="Arial"/>
                <w:kern w:val="24"/>
              </w:rPr>
              <w:t>6.7%</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215362" w14:textId="77777777" w:rsidR="0054360D" w:rsidRPr="009A0DA6" w:rsidRDefault="0054360D" w:rsidP="00AD09CB">
            <w:pPr>
              <w:spacing w:before="120" w:after="120"/>
              <w:contextualSpacing/>
              <w:jc w:val="right"/>
              <w:textAlignment w:val="bottom"/>
              <w:rPr>
                <w:rFonts w:ascii="Cambria" w:eastAsia="Times New Roman" w:hAnsi="Cambria" w:cs="Arial"/>
              </w:rPr>
            </w:pPr>
            <w:r w:rsidRPr="009A0DA6">
              <w:rPr>
                <w:rFonts w:ascii="Cambria" w:eastAsia="Times New Roman" w:hAnsi="Cambria" w:cs="Arial"/>
                <w:kern w:val="24"/>
              </w:rPr>
              <w:t>5.1%</w:t>
            </w:r>
          </w:p>
        </w:tc>
        <w:tc>
          <w:tcPr>
            <w:tcW w:w="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88E3D8" w14:textId="77777777" w:rsidR="0054360D" w:rsidRPr="009A0DA6" w:rsidRDefault="0054360D" w:rsidP="00AD09CB">
            <w:pPr>
              <w:spacing w:before="120" w:after="120"/>
              <w:contextualSpacing/>
              <w:jc w:val="right"/>
              <w:textAlignment w:val="bottom"/>
              <w:rPr>
                <w:rFonts w:ascii="Cambria" w:eastAsia="Times New Roman" w:hAnsi="Cambria" w:cs="Arial"/>
              </w:rPr>
            </w:pPr>
            <w:r w:rsidRPr="009A0DA6">
              <w:rPr>
                <w:rFonts w:ascii="Cambria" w:eastAsia="Times New Roman" w:hAnsi="Cambria" w:cs="Arial"/>
                <w:kern w:val="24"/>
              </w:rPr>
              <w:t>4.7%</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999814" w14:textId="77777777" w:rsidR="0054360D" w:rsidRPr="009A0DA6" w:rsidRDefault="0054360D" w:rsidP="00AD09CB">
            <w:pPr>
              <w:spacing w:before="120" w:after="120"/>
              <w:contextualSpacing/>
              <w:jc w:val="right"/>
              <w:textAlignment w:val="bottom"/>
              <w:rPr>
                <w:rFonts w:ascii="Cambria" w:eastAsia="Times New Roman" w:hAnsi="Cambria" w:cs="Arial"/>
              </w:rPr>
            </w:pPr>
            <w:r w:rsidRPr="009A0DA6">
              <w:rPr>
                <w:rFonts w:ascii="Cambria" w:eastAsia="Times New Roman" w:hAnsi="Cambria" w:cs="Arial"/>
                <w:kern w:val="24"/>
              </w:rPr>
              <w:t>5.2%</w:t>
            </w:r>
          </w:p>
        </w:tc>
        <w:tc>
          <w:tcPr>
            <w:tcW w:w="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6C2377" w14:textId="77777777" w:rsidR="0054360D" w:rsidRPr="009A0DA6" w:rsidRDefault="0054360D" w:rsidP="00AD09CB">
            <w:pPr>
              <w:spacing w:before="120" w:after="120"/>
              <w:contextualSpacing/>
              <w:jc w:val="right"/>
              <w:textAlignment w:val="bottom"/>
              <w:rPr>
                <w:rFonts w:ascii="Cambria" w:eastAsia="Times New Roman" w:hAnsi="Cambria" w:cs="Arial"/>
              </w:rPr>
            </w:pPr>
            <w:r w:rsidRPr="009A0DA6">
              <w:rPr>
                <w:rFonts w:ascii="Cambria" w:eastAsia="Times New Roman" w:hAnsi="Cambria" w:cs="Arial"/>
                <w:kern w:val="24"/>
              </w:rPr>
              <w:t>3.7%</w:t>
            </w:r>
          </w:p>
        </w:tc>
        <w:tc>
          <w:tcPr>
            <w:tcW w:w="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994ACC" w14:textId="77777777" w:rsidR="0054360D" w:rsidRPr="009A0DA6" w:rsidRDefault="0054360D" w:rsidP="00AD09CB">
            <w:pPr>
              <w:spacing w:before="120" w:after="120"/>
              <w:contextualSpacing/>
              <w:jc w:val="right"/>
              <w:textAlignment w:val="bottom"/>
              <w:rPr>
                <w:rFonts w:ascii="Cambria" w:eastAsia="Times New Roman" w:hAnsi="Cambria" w:cs="Arial"/>
              </w:rPr>
            </w:pPr>
            <w:r w:rsidRPr="009A0DA6">
              <w:rPr>
                <w:rFonts w:ascii="Cambria" w:eastAsia="Times New Roman" w:hAnsi="Cambria" w:cs="Arial"/>
                <w:kern w:val="24"/>
              </w:rPr>
              <w:t>5.0%</w:t>
            </w:r>
          </w:p>
        </w:tc>
      </w:tr>
      <w:tr w:rsidR="0054360D" w:rsidRPr="009A0DA6" w14:paraId="36E5E10F" w14:textId="77777777" w:rsidTr="00AD09CB">
        <w:trPr>
          <w:trHeight w:val="414"/>
        </w:trPr>
        <w:tc>
          <w:tcPr>
            <w:tcW w:w="8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6FF06ACD" w14:textId="77777777" w:rsidR="0054360D" w:rsidRPr="009A0DA6" w:rsidRDefault="0054360D" w:rsidP="00AD09CB">
            <w:pPr>
              <w:spacing w:before="120" w:after="120"/>
              <w:contextualSpacing/>
              <w:jc w:val="right"/>
              <w:textAlignment w:val="bottom"/>
              <w:rPr>
                <w:rFonts w:ascii="Cambria" w:eastAsia="Times New Roman" w:hAnsi="Cambria" w:cs="Arial"/>
                <w:b/>
                <w:bCs/>
                <w:kern w:val="24"/>
              </w:rPr>
            </w:pPr>
            <w:r w:rsidRPr="009A0DA6">
              <w:rPr>
                <w:rFonts w:ascii="Cambria" w:eastAsia="Times New Roman" w:hAnsi="Cambria" w:cs="Arial"/>
                <w:b/>
                <w:bCs/>
                <w:kern w:val="24"/>
              </w:rPr>
              <w:t>93</w:t>
            </w:r>
          </w:p>
        </w:tc>
        <w:tc>
          <w:tcPr>
            <w:tcW w:w="8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753E4024" w14:textId="77777777" w:rsidR="0054360D" w:rsidRPr="009A0DA6" w:rsidRDefault="0054360D" w:rsidP="00AD09CB">
            <w:pPr>
              <w:spacing w:before="120" w:after="120"/>
              <w:contextualSpacing/>
              <w:jc w:val="right"/>
              <w:textAlignment w:val="bottom"/>
              <w:rPr>
                <w:rFonts w:ascii="Cambria" w:eastAsia="Times New Roman" w:hAnsi="Cambria" w:cs="Arial"/>
                <w:b/>
                <w:bCs/>
                <w:kern w:val="24"/>
              </w:rPr>
            </w:pPr>
            <w:r w:rsidRPr="009A0DA6">
              <w:rPr>
                <w:rFonts w:ascii="Cambria" w:eastAsia="Times New Roman" w:hAnsi="Cambria" w:cs="Arial"/>
                <w:b/>
                <w:bCs/>
                <w:kern w:val="24"/>
              </w:rPr>
              <w:t>94</w:t>
            </w:r>
          </w:p>
        </w:tc>
        <w:tc>
          <w:tcPr>
            <w:tcW w:w="8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702FA713" w14:textId="77777777" w:rsidR="0054360D" w:rsidRPr="009A0DA6" w:rsidRDefault="0054360D" w:rsidP="00AD09CB">
            <w:pPr>
              <w:spacing w:before="120" w:after="120"/>
              <w:contextualSpacing/>
              <w:jc w:val="right"/>
              <w:textAlignment w:val="bottom"/>
              <w:rPr>
                <w:rFonts w:ascii="Cambria" w:eastAsia="Times New Roman" w:hAnsi="Cambria" w:cs="Arial"/>
                <w:b/>
                <w:bCs/>
                <w:kern w:val="24"/>
              </w:rPr>
            </w:pPr>
            <w:r w:rsidRPr="009A0DA6">
              <w:rPr>
                <w:rFonts w:ascii="Cambria" w:eastAsia="Times New Roman" w:hAnsi="Cambria" w:cs="Arial"/>
                <w:b/>
                <w:bCs/>
                <w:kern w:val="24"/>
              </w:rPr>
              <w:t>95</w:t>
            </w:r>
          </w:p>
        </w:tc>
        <w:tc>
          <w:tcPr>
            <w:tcW w:w="83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6F2989CC" w14:textId="77777777" w:rsidR="0054360D" w:rsidRPr="009A0DA6" w:rsidRDefault="0054360D" w:rsidP="00AD09CB">
            <w:pPr>
              <w:spacing w:before="120" w:after="120"/>
              <w:contextualSpacing/>
              <w:jc w:val="right"/>
              <w:textAlignment w:val="bottom"/>
              <w:rPr>
                <w:rFonts w:ascii="Cambria" w:eastAsia="Times New Roman" w:hAnsi="Cambria" w:cs="Arial"/>
                <w:b/>
                <w:bCs/>
                <w:kern w:val="24"/>
              </w:rPr>
            </w:pPr>
            <w:r w:rsidRPr="009A0DA6">
              <w:rPr>
                <w:rFonts w:ascii="Cambria" w:eastAsia="Times New Roman" w:hAnsi="Cambria" w:cs="Arial"/>
                <w:b/>
                <w:bCs/>
                <w:kern w:val="24"/>
              </w:rPr>
              <w:t>96</w:t>
            </w:r>
          </w:p>
        </w:tc>
        <w:tc>
          <w:tcPr>
            <w:tcW w:w="8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279847BA" w14:textId="77777777" w:rsidR="0054360D" w:rsidRPr="009A0DA6" w:rsidRDefault="0054360D" w:rsidP="00AD09CB">
            <w:pPr>
              <w:spacing w:before="120" w:after="120"/>
              <w:contextualSpacing/>
              <w:jc w:val="right"/>
              <w:textAlignment w:val="bottom"/>
              <w:rPr>
                <w:rFonts w:ascii="Cambria" w:eastAsia="Times New Roman" w:hAnsi="Cambria" w:cs="Arial"/>
                <w:b/>
                <w:bCs/>
                <w:kern w:val="24"/>
              </w:rPr>
            </w:pPr>
            <w:r w:rsidRPr="009A0DA6">
              <w:rPr>
                <w:rFonts w:ascii="Cambria" w:eastAsia="Times New Roman" w:hAnsi="Cambria" w:cs="Arial"/>
                <w:b/>
                <w:bCs/>
                <w:kern w:val="24"/>
              </w:rPr>
              <w:t>97</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180484B6" w14:textId="77777777" w:rsidR="0054360D" w:rsidRPr="009A0DA6" w:rsidRDefault="0054360D" w:rsidP="00AD09CB">
            <w:pPr>
              <w:spacing w:before="120" w:after="120"/>
              <w:contextualSpacing/>
              <w:jc w:val="right"/>
              <w:textAlignment w:val="bottom"/>
              <w:rPr>
                <w:rFonts w:ascii="Cambria" w:eastAsia="Times New Roman" w:hAnsi="Cambria" w:cs="Arial"/>
                <w:b/>
                <w:bCs/>
                <w:kern w:val="24"/>
              </w:rPr>
            </w:pPr>
            <w:r w:rsidRPr="009A0DA6">
              <w:rPr>
                <w:rFonts w:ascii="Cambria" w:eastAsia="Times New Roman" w:hAnsi="Cambria" w:cs="Arial"/>
                <w:b/>
                <w:bCs/>
                <w:kern w:val="24"/>
              </w:rPr>
              <w:t>98</w:t>
            </w:r>
          </w:p>
        </w:tc>
        <w:tc>
          <w:tcPr>
            <w:tcW w:w="8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0064014E" w14:textId="77777777" w:rsidR="0054360D" w:rsidRPr="009A0DA6" w:rsidRDefault="0054360D" w:rsidP="00AD09CB">
            <w:pPr>
              <w:spacing w:before="120" w:after="120"/>
              <w:contextualSpacing/>
              <w:jc w:val="right"/>
              <w:textAlignment w:val="bottom"/>
              <w:rPr>
                <w:rFonts w:ascii="Cambria" w:eastAsia="Times New Roman" w:hAnsi="Cambria" w:cs="Arial"/>
                <w:b/>
                <w:bCs/>
                <w:kern w:val="24"/>
              </w:rPr>
            </w:pPr>
            <w:r w:rsidRPr="009A0DA6">
              <w:rPr>
                <w:rFonts w:ascii="Cambria" w:eastAsia="Times New Roman" w:hAnsi="Cambria" w:cs="Arial"/>
                <w:b/>
                <w:bCs/>
                <w:kern w:val="24"/>
              </w:rPr>
              <w:t>99</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1792AFE1" w14:textId="77777777" w:rsidR="0054360D" w:rsidRPr="009A0DA6" w:rsidRDefault="0054360D" w:rsidP="00AD09CB">
            <w:pPr>
              <w:spacing w:before="120" w:after="120"/>
              <w:contextualSpacing/>
              <w:jc w:val="right"/>
              <w:textAlignment w:val="bottom"/>
              <w:rPr>
                <w:rFonts w:ascii="Cambria" w:eastAsia="Times New Roman" w:hAnsi="Cambria" w:cs="Arial"/>
                <w:b/>
                <w:bCs/>
                <w:kern w:val="24"/>
              </w:rPr>
            </w:pPr>
            <w:r w:rsidRPr="009A0DA6">
              <w:rPr>
                <w:rFonts w:ascii="Cambria" w:eastAsia="Times New Roman" w:hAnsi="Cambria" w:cs="Arial"/>
                <w:b/>
                <w:bCs/>
                <w:kern w:val="24"/>
              </w:rPr>
              <w:t>2000</w:t>
            </w:r>
          </w:p>
        </w:tc>
        <w:tc>
          <w:tcPr>
            <w:tcW w:w="9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71721A76" w14:textId="77777777" w:rsidR="0054360D" w:rsidRPr="009A0DA6" w:rsidRDefault="0054360D" w:rsidP="00AD09CB">
            <w:pPr>
              <w:spacing w:before="120" w:after="120"/>
              <w:contextualSpacing/>
              <w:jc w:val="right"/>
              <w:textAlignment w:val="bottom"/>
              <w:rPr>
                <w:rFonts w:ascii="Cambria" w:eastAsia="Times New Roman" w:hAnsi="Cambria" w:cs="Arial"/>
                <w:b/>
                <w:bCs/>
                <w:kern w:val="24"/>
              </w:rPr>
            </w:pPr>
            <w:r w:rsidRPr="009A0DA6">
              <w:rPr>
                <w:rFonts w:ascii="Cambria" w:eastAsia="Times New Roman" w:hAnsi="Cambria" w:cs="Arial"/>
                <w:b/>
                <w:bCs/>
                <w:kern w:val="24"/>
              </w:rPr>
              <w:t>2001</w:t>
            </w:r>
          </w:p>
        </w:tc>
        <w:tc>
          <w:tcPr>
            <w:tcW w:w="9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416E1344" w14:textId="77777777" w:rsidR="0054360D" w:rsidRPr="009A0DA6" w:rsidRDefault="0054360D" w:rsidP="00AD09CB">
            <w:pPr>
              <w:spacing w:before="120" w:after="120"/>
              <w:contextualSpacing/>
              <w:jc w:val="right"/>
              <w:textAlignment w:val="bottom"/>
              <w:rPr>
                <w:rFonts w:ascii="Cambria" w:eastAsia="Times New Roman" w:hAnsi="Cambria" w:cs="Arial"/>
                <w:b/>
                <w:bCs/>
                <w:kern w:val="24"/>
              </w:rPr>
            </w:pPr>
            <w:r w:rsidRPr="009A0DA6">
              <w:rPr>
                <w:rFonts w:ascii="Cambria" w:eastAsia="Times New Roman" w:hAnsi="Cambria" w:cs="Arial"/>
                <w:b/>
                <w:bCs/>
                <w:kern w:val="24"/>
              </w:rPr>
              <w:t>2002</w:t>
            </w:r>
          </w:p>
        </w:tc>
      </w:tr>
      <w:tr w:rsidR="0054360D" w:rsidRPr="009A0DA6" w14:paraId="26C87BA5" w14:textId="77777777" w:rsidTr="00AD09CB">
        <w:trPr>
          <w:trHeight w:val="244"/>
        </w:trPr>
        <w:tc>
          <w:tcPr>
            <w:tcW w:w="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F7CF9F" w14:textId="77777777" w:rsidR="0054360D" w:rsidRPr="009A0DA6" w:rsidRDefault="0054360D" w:rsidP="00AD09CB">
            <w:pPr>
              <w:spacing w:before="120" w:after="120"/>
              <w:contextualSpacing/>
              <w:jc w:val="right"/>
              <w:textAlignment w:val="bottom"/>
              <w:rPr>
                <w:rFonts w:ascii="Cambria" w:eastAsia="Times New Roman" w:hAnsi="Cambria" w:cs="Arial"/>
              </w:rPr>
            </w:pPr>
            <w:r w:rsidRPr="009A0DA6">
              <w:rPr>
                <w:rFonts w:ascii="Cambria" w:eastAsia="Times New Roman" w:hAnsi="Cambria" w:cs="Arial"/>
                <w:kern w:val="24"/>
              </w:rPr>
              <w:t>18285</w:t>
            </w:r>
          </w:p>
        </w:tc>
        <w:tc>
          <w:tcPr>
            <w:tcW w:w="8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E4D210" w14:textId="77777777" w:rsidR="0054360D" w:rsidRPr="009A0DA6" w:rsidRDefault="0054360D" w:rsidP="00AD09CB">
            <w:pPr>
              <w:spacing w:before="120" w:after="120"/>
              <w:contextualSpacing/>
              <w:jc w:val="right"/>
              <w:textAlignment w:val="bottom"/>
              <w:rPr>
                <w:rFonts w:ascii="Cambria" w:eastAsia="Times New Roman" w:hAnsi="Cambria" w:cs="Arial"/>
              </w:rPr>
            </w:pPr>
            <w:r w:rsidRPr="009A0DA6">
              <w:rPr>
                <w:rFonts w:ascii="Cambria" w:eastAsia="Times New Roman" w:hAnsi="Cambria" w:cs="Arial"/>
                <w:kern w:val="24"/>
              </w:rPr>
              <w:t>19466</w:t>
            </w:r>
          </w:p>
        </w:tc>
        <w:tc>
          <w:tcPr>
            <w:tcW w:w="8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5B9EB5" w14:textId="77777777" w:rsidR="0054360D" w:rsidRPr="009A0DA6" w:rsidRDefault="0054360D" w:rsidP="00AD09CB">
            <w:pPr>
              <w:spacing w:before="120" w:after="120"/>
              <w:contextualSpacing/>
              <w:jc w:val="right"/>
              <w:textAlignment w:val="bottom"/>
              <w:rPr>
                <w:rFonts w:ascii="Cambria" w:eastAsia="Times New Roman" w:hAnsi="Cambria" w:cs="Arial"/>
              </w:rPr>
            </w:pPr>
            <w:r w:rsidRPr="009A0DA6">
              <w:rPr>
                <w:rFonts w:ascii="Cambria" w:eastAsia="Times New Roman" w:hAnsi="Cambria" w:cs="Arial"/>
                <w:kern w:val="24"/>
              </w:rPr>
              <w:t>20392</w:t>
            </w:r>
          </w:p>
        </w:tc>
        <w:tc>
          <w:tcPr>
            <w:tcW w:w="83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E45900" w14:textId="77777777" w:rsidR="0054360D" w:rsidRPr="009A0DA6" w:rsidRDefault="0054360D" w:rsidP="00AD09CB">
            <w:pPr>
              <w:spacing w:before="120" w:after="120"/>
              <w:contextualSpacing/>
              <w:jc w:val="right"/>
              <w:textAlignment w:val="bottom"/>
              <w:rPr>
                <w:rFonts w:ascii="Cambria" w:eastAsia="Times New Roman" w:hAnsi="Cambria" w:cs="Arial"/>
              </w:rPr>
            </w:pPr>
            <w:r w:rsidRPr="009A0DA6">
              <w:rPr>
                <w:rFonts w:ascii="Cambria" w:eastAsia="Times New Roman" w:hAnsi="Cambria" w:cs="Arial"/>
                <w:kern w:val="24"/>
              </w:rPr>
              <w:t>21179</w:t>
            </w:r>
          </w:p>
        </w:tc>
        <w:tc>
          <w:tcPr>
            <w:tcW w:w="8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372745" w14:textId="77777777" w:rsidR="0054360D" w:rsidRPr="009A0DA6" w:rsidRDefault="0054360D" w:rsidP="00AD09CB">
            <w:pPr>
              <w:spacing w:before="120" w:after="120"/>
              <w:contextualSpacing/>
              <w:jc w:val="right"/>
              <w:textAlignment w:val="bottom"/>
              <w:rPr>
                <w:rFonts w:ascii="Cambria" w:eastAsia="Times New Roman" w:hAnsi="Cambria" w:cs="Arial"/>
              </w:rPr>
            </w:pPr>
            <w:r w:rsidRPr="009A0DA6">
              <w:rPr>
                <w:rFonts w:ascii="Cambria" w:eastAsia="Times New Roman" w:hAnsi="Cambria" w:cs="Arial"/>
                <w:kern w:val="24"/>
              </w:rPr>
              <w:t>22075</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EA6CD7" w14:textId="77777777" w:rsidR="0054360D" w:rsidRPr="009A0DA6" w:rsidRDefault="0054360D" w:rsidP="00AD09CB">
            <w:pPr>
              <w:spacing w:before="120" w:after="120"/>
              <w:contextualSpacing/>
              <w:jc w:val="right"/>
              <w:textAlignment w:val="bottom"/>
              <w:rPr>
                <w:rFonts w:ascii="Cambria" w:eastAsia="Times New Roman" w:hAnsi="Cambria" w:cs="Arial"/>
              </w:rPr>
            </w:pPr>
            <w:r w:rsidRPr="009A0DA6">
              <w:rPr>
                <w:rFonts w:ascii="Cambria" w:eastAsia="Times New Roman" w:hAnsi="Cambria" w:cs="Arial"/>
                <w:kern w:val="24"/>
              </w:rPr>
              <w:t>22963</w:t>
            </w:r>
          </w:p>
        </w:tc>
        <w:tc>
          <w:tcPr>
            <w:tcW w:w="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5E47B9" w14:textId="77777777" w:rsidR="0054360D" w:rsidRPr="009A0DA6" w:rsidRDefault="0054360D" w:rsidP="00AD09CB">
            <w:pPr>
              <w:spacing w:before="120" w:after="120"/>
              <w:contextualSpacing/>
              <w:jc w:val="right"/>
              <w:textAlignment w:val="bottom"/>
              <w:rPr>
                <w:rFonts w:ascii="Cambria" w:eastAsia="Times New Roman" w:hAnsi="Cambria" w:cs="Arial"/>
              </w:rPr>
            </w:pPr>
            <w:r w:rsidRPr="009A0DA6">
              <w:rPr>
                <w:rFonts w:ascii="Cambria" w:eastAsia="Times New Roman" w:hAnsi="Cambria" w:cs="Arial"/>
                <w:kern w:val="24"/>
              </w:rPr>
              <w:t>24031</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F27952" w14:textId="77777777" w:rsidR="0054360D" w:rsidRPr="009A0DA6" w:rsidRDefault="0054360D" w:rsidP="00AD09CB">
            <w:pPr>
              <w:spacing w:before="120" w:after="120"/>
              <w:contextualSpacing/>
              <w:jc w:val="right"/>
              <w:textAlignment w:val="bottom"/>
              <w:rPr>
                <w:rFonts w:ascii="Cambria" w:eastAsia="Times New Roman" w:hAnsi="Cambria" w:cs="Arial"/>
              </w:rPr>
            </w:pPr>
            <w:r w:rsidRPr="009A0DA6">
              <w:rPr>
                <w:rFonts w:ascii="Cambria" w:eastAsia="Times New Roman" w:hAnsi="Cambria" w:cs="Arial"/>
                <w:kern w:val="24"/>
              </w:rPr>
              <w:t>24950</w:t>
            </w:r>
          </w:p>
        </w:tc>
        <w:tc>
          <w:tcPr>
            <w:tcW w:w="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2514F5" w14:textId="77777777" w:rsidR="0054360D" w:rsidRPr="009A0DA6" w:rsidRDefault="0054360D" w:rsidP="00AD09CB">
            <w:pPr>
              <w:spacing w:before="120" w:after="120"/>
              <w:contextualSpacing/>
              <w:jc w:val="right"/>
              <w:textAlignment w:val="bottom"/>
              <w:rPr>
                <w:rFonts w:ascii="Cambria" w:eastAsia="Times New Roman" w:hAnsi="Cambria" w:cs="Arial"/>
              </w:rPr>
            </w:pPr>
            <w:r w:rsidRPr="009A0DA6">
              <w:rPr>
                <w:rFonts w:ascii="Cambria" w:eastAsia="Times New Roman" w:hAnsi="Cambria" w:cs="Arial"/>
                <w:kern w:val="24"/>
              </w:rPr>
              <w:t>26257</w:t>
            </w:r>
          </w:p>
        </w:tc>
        <w:tc>
          <w:tcPr>
            <w:tcW w:w="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A1D07F" w14:textId="77777777" w:rsidR="0054360D" w:rsidRPr="009A0DA6" w:rsidRDefault="0054360D" w:rsidP="00AD09CB">
            <w:pPr>
              <w:spacing w:before="120" w:after="120"/>
              <w:contextualSpacing/>
              <w:jc w:val="right"/>
              <w:textAlignment w:val="bottom"/>
              <w:rPr>
                <w:rFonts w:ascii="Cambria" w:eastAsia="Times New Roman" w:hAnsi="Cambria" w:cs="Arial"/>
              </w:rPr>
            </w:pPr>
            <w:r w:rsidRPr="009A0DA6">
              <w:rPr>
                <w:rFonts w:ascii="Cambria" w:eastAsia="Times New Roman" w:hAnsi="Cambria" w:cs="Arial"/>
                <w:kern w:val="24"/>
              </w:rPr>
              <w:t>27550</w:t>
            </w:r>
          </w:p>
        </w:tc>
      </w:tr>
      <w:tr w:rsidR="0054360D" w:rsidRPr="009A0DA6" w14:paraId="146382EB" w14:textId="77777777" w:rsidTr="00AD09CB">
        <w:trPr>
          <w:trHeight w:val="275"/>
        </w:trPr>
        <w:tc>
          <w:tcPr>
            <w:tcW w:w="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3C24CE" w14:textId="77777777" w:rsidR="0054360D" w:rsidRPr="009A0DA6" w:rsidRDefault="0054360D" w:rsidP="00AD09CB">
            <w:pPr>
              <w:spacing w:before="120" w:after="120"/>
              <w:contextualSpacing/>
              <w:jc w:val="right"/>
              <w:textAlignment w:val="bottom"/>
              <w:rPr>
                <w:rFonts w:ascii="Cambria" w:eastAsia="Times New Roman" w:hAnsi="Cambria" w:cs="Arial"/>
              </w:rPr>
            </w:pPr>
            <w:r w:rsidRPr="009A0DA6">
              <w:rPr>
                <w:rFonts w:ascii="Cambria" w:eastAsia="Times New Roman" w:hAnsi="Cambria" w:cs="Arial"/>
                <w:kern w:val="24"/>
              </w:rPr>
              <w:t>6.3%</w:t>
            </w:r>
          </w:p>
        </w:tc>
        <w:tc>
          <w:tcPr>
            <w:tcW w:w="8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5CF80F" w14:textId="77777777" w:rsidR="0054360D" w:rsidRPr="009A0DA6" w:rsidRDefault="0054360D" w:rsidP="00AD09CB">
            <w:pPr>
              <w:spacing w:before="120" w:after="120"/>
              <w:contextualSpacing/>
              <w:jc w:val="right"/>
              <w:textAlignment w:val="bottom"/>
              <w:rPr>
                <w:rFonts w:ascii="Cambria" w:eastAsia="Times New Roman" w:hAnsi="Cambria" w:cs="Arial"/>
              </w:rPr>
            </w:pPr>
            <w:r w:rsidRPr="009A0DA6">
              <w:rPr>
                <w:rFonts w:ascii="Cambria" w:eastAsia="Times New Roman" w:hAnsi="Cambria" w:cs="Arial"/>
                <w:kern w:val="24"/>
              </w:rPr>
              <w:t>6.1%</w:t>
            </w:r>
          </w:p>
        </w:tc>
        <w:tc>
          <w:tcPr>
            <w:tcW w:w="8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A52FCB" w14:textId="77777777" w:rsidR="0054360D" w:rsidRPr="009A0DA6" w:rsidRDefault="0054360D" w:rsidP="00AD09CB">
            <w:pPr>
              <w:spacing w:before="120" w:after="120"/>
              <w:contextualSpacing/>
              <w:jc w:val="right"/>
              <w:textAlignment w:val="bottom"/>
              <w:rPr>
                <w:rFonts w:ascii="Cambria" w:eastAsia="Times New Roman" w:hAnsi="Cambria" w:cs="Arial"/>
              </w:rPr>
            </w:pPr>
            <w:r w:rsidRPr="009A0DA6">
              <w:rPr>
                <w:rFonts w:ascii="Cambria" w:eastAsia="Times New Roman" w:hAnsi="Cambria" w:cs="Arial"/>
                <w:kern w:val="24"/>
              </w:rPr>
              <w:t>4.5%</w:t>
            </w:r>
          </w:p>
        </w:tc>
        <w:tc>
          <w:tcPr>
            <w:tcW w:w="83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273823" w14:textId="77777777" w:rsidR="0054360D" w:rsidRPr="009A0DA6" w:rsidRDefault="0054360D" w:rsidP="00AD09CB">
            <w:pPr>
              <w:spacing w:before="120" w:after="120"/>
              <w:contextualSpacing/>
              <w:jc w:val="right"/>
              <w:textAlignment w:val="bottom"/>
              <w:rPr>
                <w:rFonts w:ascii="Cambria" w:eastAsia="Times New Roman" w:hAnsi="Cambria" w:cs="Arial"/>
              </w:rPr>
            </w:pPr>
            <w:r w:rsidRPr="009A0DA6">
              <w:rPr>
                <w:rFonts w:ascii="Cambria" w:eastAsia="Times New Roman" w:hAnsi="Cambria" w:cs="Arial"/>
                <w:kern w:val="24"/>
              </w:rPr>
              <w:t>3.7%</w:t>
            </w:r>
          </w:p>
        </w:tc>
        <w:tc>
          <w:tcPr>
            <w:tcW w:w="8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A19C2A" w14:textId="77777777" w:rsidR="0054360D" w:rsidRPr="009A0DA6" w:rsidRDefault="0054360D" w:rsidP="00AD09CB">
            <w:pPr>
              <w:spacing w:before="120" w:after="120"/>
              <w:contextualSpacing/>
              <w:jc w:val="right"/>
              <w:textAlignment w:val="bottom"/>
              <w:rPr>
                <w:rFonts w:ascii="Cambria" w:eastAsia="Times New Roman" w:hAnsi="Cambria" w:cs="Arial"/>
              </w:rPr>
            </w:pPr>
            <w:r w:rsidRPr="009A0DA6">
              <w:rPr>
                <w:rFonts w:ascii="Cambria" w:eastAsia="Times New Roman" w:hAnsi="Cambria" w:cs="Arial"/>
                <w:kern w:val="24"/>
              </w:rPr>
              <w:t>4.1%</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F0BE11" w14:textId="77777777" w:rsidR="0054360D" w:rsidRPr="009A0DA6" w:rsidRDefault="0054360D" w:rsidP="00AD09CB">
            <w:pPr>
              <w:spacing w:before="120" w:after="120"/>
              <w:contextualSpacing/>
              <w:jc w:val="right"/>
              <w:textAlignment w:val="bottom"/>
              <w:rPr>
                <w:rFonts w:ascii="Cambria" w:eastAsia="Times New Roman" w:hAnsi="Cambria" w:cs="Arial"/>
              </w:rPr>
            </w:pPr>
            <w:r w:rsidRPr="009A0DA6">
              <w:rPr>
                <w:rFonts w:ascii="Cambria" w:eastAsia="Times New Roman" w:hAnsi="Cambria" w:cs="Arial"/>
                <w:kern w:val="24"/>
              </w:rPr>
              <w:t>3.9%</w:t>
            </w:r>
          </w:p>
        </w:tc>
        <w:tc>
          <w:tcPr>
            <w:tcW w:w="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B85E9A" w14:textId="77777777" w:rsidR="0054360D" w:rsidRPr="009A0DA6" w:rsidRDefault="0054360D" w:rsidP="00AD09CB">
            <w:pPr>
              <w:spacing w:before="120" w:after="120"/>
              <w:contextualSpacing/>
              <w:jc w:val="right"/>
              <w:textAlignment w:val="bottom"/>
              <w:rPr>
                <w:rFonts w:ascii="Cambria" w:eastAsia="Times New Roman" w:hAnsi="Cambria" w:cs="Arial"/>
              </w:rPr>
            </w:pPr>
            <w:r w:rsidRPr="009A0DA6">
              <w:rPr>
                <w:rFonts w:ascii="Cambria" w:eastAsia="Times New Roman" w:hAnsi="Cambria" w:cs="Arial"/>
                <w:kern w:val="24"/>
              </w:rPr>
              <w:t>4.4%</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121E47" w14:textId="77777777" w:rsidR="0054360D" w:rsidRPr="009A0DA6" w:rsidRDefault="0054360D" w:rsidP="00AD09CB">
            <w:pPr>
              <w:spacing w:before="120" w:after="120"/>
              <w:contextualSpacing/>
              <w:jc w:val="right"/>
              <w:textAlignment w:val="bottom"/>
              <w:rPr>
                <w:rFonts w:ascii="Cambria" w:eastAsia="Times New Roman" w:hAnsi="Cambria" w:cs="Arial"/>
              </w:rPr>
            </w:pPr>
            <w:r w:rsidRPr="009A0DA6">
              <w:rPr>
                <w:rFonts w:ascii="Cambria" w:eastAsia="Times New Roman" w:hAnsi="Cambria" w:cs="Arial"/>
                <w:kern w:val="24"/>
              </w:rPr>
              <w:t>3.7%</w:t>
            </w:r>
          </w:p>
        </w:tc>
        <w:tc>
          <w:tcPr>
            <w:tcW w:w="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204596" w14:textId="77777777" w:rsidR="0054360D" w:rsidRPr="009A0DA6" w:rsidRDefault="0054360D" w:rsidP="00AD09CB">
            <w:pPr>
              <w:spacing w:before="120" w:after="120"/>
              <w:contextualSpacing/>
              <w:jc w:val="right"/>
              <w:textAlignment w:val="bottom"/>
              <w:rPr>
                <w:rFonts w:ascii="Cambria" w:eastAsia="Times New Roman" w:hAnsi="Cambria" w:cs="Arial"/>
              </w:rPr>
            </w:pPr>
            <w:r w:rsidRPr="009A0DA6">
              <w:rPr>
                <w:rFonts w:ascii="Cambria" w:eastAsia="Times New Roman" w:hAnsi="Cambria" w:cs="Arial"/>
                <w:kern w:val="24"/>
              </w:rPr>
              <w:t>5.0%</w:t>
            </w:r>
          </w:p>
        </w:tc>
        <w:tc>
          <w:tcPr>
            <w:tcW w:w="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1A6362" w14:textId="77777777" w:rsidR="0054360D" w:rsidRPr="009A0DA6" w:rsidRDefault="0054360D" w:rsidP="00AD09CB">
            <w:pPr>
              <w:spacing w:before="120" w:after="120"/>
              <w:contextualSpacing/>
              <w:jc w:val="right"/>
              <w:textAlignment w:val="bottom"/>
              <w:rPr>
                <w:rFonts w:ascii="Cambria" w:eastAsia="Times New Roman" w:hAnsi="Cambria" w:cs="Arial"/>
              </w:rPr>
            </w:pPr>
            <w:r w:rsidRPr="009A0DA6">
              <w:rPr>
                <w:rFonts w:ascii="Cambria" w:eastAsia="Times New Roman" w:hAnsi="Cambria" w:cs="Arial"/>
                <w:kern w:val="24"/>
              </w:rPr>
              <w:t>4.7%</w:t>
            </w:r>
          </w:p>
        </w:tc>
      </w:tr>
      <w:tr w:rsidR="0054360D" w:rsidRPr="009A0DA6" w14:paraId="697F7226" w14:textId="77777777" w:rsidTr="00AD09CB">
        <w:trPr>
          <w:trHeight w:val="325"/>
        </w:trPr>
        <w:tc>
          <w:tcPr>
            <w:tcW w:w="8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48A21C74" w14:textId="77777777" w:rsidR="0054360D" w:rsidRPr="009A0DA6" w:rsidRDefault="0054360D" w:rsidP="00AD09CB">
            <w:pPr>
              <w:spacing w:before="120" w:after="120"/>
              <w:contextualSpacing/>
              <w:jc w:val="right"/>
              <w:textAlignment w:val="bottom"/>
              <w:rPr>
                <w:rFonts w:ascii="Cambria" w:eastAsia="Times New Roman" w:hAnsi="Cambria" w:cs="Arial"/>
                <w:b/>
                <w:bCs/>
                <w:kern w:val="24"/>
              </w:rPr>
            </w:pPr>
            <w:r w:rsidRPr="009A0DA6">
              <w:rPr>
                <w:rFonts w:ascii="Cambria" w:eastAsia="Times New Roman" w:hAnsi="Cambria" w:cs="Arial"/>
                <w:b/>
                <w:bCs/>
                <w:kern w:val="24"/>
              </w:rPr>
              <w:t>2003</w:t>
            </w:r>
          </w:p>
        </w:tc>
        <w:tc>
          <w:tcPr>
            <w:tcW w:w="8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0E2A78FE" w14:textId="77777777" w:rsidR="0054360D" w:rsidRPr="009A0DA6" w:rsidRDefault="0054360D" w:rsidP="00AD09CB">
            <w:pPr>
              <w:spacing w:before="120" w:after="120"/>
              <w:contextualSpacing/>
              <w:jc w:val="right"/>
              <w:textAlignment w:val="bottom"/>
              <w:rPr>
                <w:rFonts w:ascii="Cambria" w:eastAsia="Times New Roman" w:hAnsi="Cambria" w:cs="Arial"/>
                <w:b/>
                <w:bCs/>
                <w:kern w:val="24"/>
              </w:rPr>
            </w:pPr>
            <w:r w:rsidRPr="009A0DA6">
              <w:rPr>
                <w:rFonts w:ascii="Cambria" w:eastAsia="Times New Roman" w:hAnsi="Cambria" w:cs="Arial"/>
                <w:b/>
                <w:bCs/>
                <w:kern w:val="24"/>
              </w:rPr>
              <w:t>2004</w:t>
            </w:r>
          </w:p>
        </w:tc>
        <w:tc>
          <w:tcPr>
            <w:tcW w:w="8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0E705C80" w14:textId="77777777" w:rsidR="0054360D" w:rsidRPr="009A0DA6" w:rsidRDefault="0054360D" w:rsidP="00AD09CB">
            <w:pPr>
              <w:spacing w:before="120" w:after="120"/>
              <w:contextualSpacing/>
              <w:jc w:val="right"/>
              <w:textAlignment w:val="bottom"/>
              <w:rPr>
                <w:rFonts w:ascii="Cambria" w:eastAsia="Times New Roman" w:hAnsi="Cambria" w:cs="Arial"/>
                <w:b/>
                <w:bCs/>
                <w:kern w:val="24"/>
              </w:rPr>
            </w:pPr>
            <w:r w:rsidRPr="009A0DA6">
              <w:rPr>
                <w:rFonts w:ascii="Cambria" w:eastAsia="Times New Roman" w:hAnsi="Cambria" w:cs="Arial"/>
                <w:b/>
                <w:bCs/>
                <w:kern w:val="24"/>
              </w:rPr>
              <w:t>2005</w:t>
            </w:r>
          </w:p>
        </w:tc>
        <w:tc>
          <w:tcPr>
            <w:tcW w:w="83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07996522" w14:textId="77777777" w:rsidR="0054360D" w:rsidRPr="009A0DA6" w:rsidRDefault="0054360D" w:rsidP="00AD09CB">
            <w:pPr>
              <w:spacing w:before="120" w:after="120"/>
              <w:contextualSpacing/>
              <w:jc w:val="right"/>
              <w:textAlignment w:val="bottom"/>
              <w:rPr>
                <w:rFonts w:ascii="Cambria" w:eastAsia="Times New Roman" w:hAnsi="Cambria" w:cs="Arial"/>
                <w:b/>
                <w:bCs/>
                <w:kern w:val="24"/>
              </w:rPr>
            </w:pPr>
            <w:r w:rsidRPr="009A0DA6">
              <w:rPr>
                <w:rFonts w:ascii="Cambria" w:eastAsia="Times New Roman" w:hAnsi="Cambria" w:cs="Arial"/>
                <w:b/>
                <w:bCs/>
                <w:kern w:val="24"/>
              </w:rPr>
              <w:t>2006</w:t>
            </w:r>
          </w:p>
        </w:tc>
        <w:tc>
          <w:tcPr>
            <w:tcW w:w="8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22C97988" w14:textId="77777777" w:rsidR="0054360D" w:rsidRPr="009A0DA6" w:rsidRDefault="0054360D" w:rsidP="00AD09CB">
            <w:pPr>
              <w:spacing w:before="120" w:after="120"/>
              <w:contextualSpacing/>
              <w:jc w:val="right"/>
              <w:textAlignment w:val="bottom"/>
              <w:rPr>
                <w:rFonts w:ascii="Cambria" w:eastAsia="Times New Roman" w:hAnsi="Cambria" w:cs="Arial"/>
                <w:b/>
                <w:bCs/>
                <w:kern w:val="24"/>
              </w:rPr>
            </w:pPr>
            <w:r w:rsidRPr="009A0DA6">
              <w:rPr>
                <w:rFonts w:ascii="Cambria" w:eastAsia="Times New Roman" w:hAnsi="Cambria" w:cs="Arial"/>
                <w:b/>
                <w:bCs/>
                <w:kern w:val="24"/>
              </w:rPr>
              <w:t>2007</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26482861" w14:textId="77777777" w:rsidR="0054360D" w:rsidRPr="009A0DA6" w:rsidRDefault="0054360D" w:rsidP="00AD09CB">
            <w:pPr>
              <w:spacing w:before="120" w:after="120"/>
              <w:contextualSpacing/>
              <w:jc w:val="right"/>
              <w:textAlignment w:val="bottom"/>
              <w:rPr>
                <w:rFonts w:ascii="Cambria" w:eastAsia="Times New Roman" w:hAnsi="Cambria" w:cs="Arial"/>
                <w:b/>
                <w:bCs/>
                <w:kern w:val="24"/>
              </w:rPr>
            </w:pPr>
            <w:r w:rsidRPr="009A0DA6">
              <w:rPr>
                <w:rFonts w:ascii="Cambria" w:eastAsia="Times New Roman" w:hAnsi="Cambria" w:cs="Arial"/>
                <w:b/>
                <w:bCs/>
                <w:kern w:val="24"/>
              </w:rPr>
              <w:t>2008</w:t>
            </w:r>
          </w:p>
        </w:tc>
        <w:tc>
          <w:tcPr>
            <w:tcW w:w="8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3941E023" w14:textId="77777777" w:rsidR="0054360D" w:rsidRPr="009A0DA6" w:rsidRDefault="0054360D" w:rsidP="00AD09CB">
            <w:pPr>
              <w:spacing w:before="120" w:after="120"/>
              <w:contextualSpacing/>
              <w:jc w:val="right"/>
              <w:textAlignment w:val="bottom"/>
              <w:rPr>
                <w:rFonts w:ascii="Cambria" w:eastAsia="Times New Roman" w:hAnsi="Cambria" w:cs="Arial"/>
                <w:b/>
                <w:bCs/>
                <w:kern w:val="24"/>
              </w:rPr>
            </w:pPr>
            <w:r w:rsidRPr="009A0DA6">
              <w:rPr>
                <w:rFonts w:ascii="Cambria" w:eastAsia="Times New Roman" w:hAnsi="Cambria" w:cs="Arial"/>
                <w:b/>
                <w:bCs/>
                <w:kern w:val="24"/>
              </w:rPr>
              <w:t>2009</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2F4082D2" w14:textId="77777777" w:rsidR="0054360D" w:rsidRPr="009A0DA6" w:rsidRDefault="0054360D" w:rsidP="00AD09CB">
            <w:pPr>
              <w:spacing w:before="120" w:after="120"/>
              <w:contextualSpacing/>
              <w:jc w:val="right"/>
              <w:textAlignment w:val="bottom"/>
              <w:rPr>
                <w:rFonts w:ascii="Cambria" w:eastAsia="Times New Roman" w:hAnsi="Cambria" w:cs="Arial"/>
                <w:b/>
                <w:bCs/>
                <w:kern w:val="24"/>
              </w:rPr>
            </w:pPr>
            <w:r w:rsidRPr="009A0DA6">
              <w:rPr>
                <w:rFonts w:ascii="Cambria" w:eastAsia="Times New Roman" w:hAnsi="Cambria" w:cs="Arial"/>
                <w:b/>
                <w:bCs/>
                <w:kern w:val="24"/>
              </w:rPr>
              <w:t>2010</w:t>
            </w:r>
          </w:p>
        </w:tc>
        <w:tc>
          <w:tcPr>
            <w:tcW w:w="9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58E77F8A" w14:textId="77777777" w:rsidR="0054360D" w:rsidRPr="009A0DA6" w:rsidRDefault="0054360D" w:rsidP="00AD09CB">
            <w:pPr>
              <w:spacing w:before="120" w:after="120"/>
              <w:contextualSpacing/>
              <w:jc w:val="right"/>
              <w:textAlignment w:val="bottom"/>
              <w:rPr>
                <w:rFonts w:ascii="Cambria" w:eastAsia="Times New Roman" w:hAnsi="Cambria" w:cs="Arial"/>
                <w:b/>
                <w:bCs/>
                <w:kern w:val="24"/>
              </w:rPr>
            </w:pPr>
            <w:r w:rsidRPr="009A0DA6">
              <w:rPr>
                <w:rFonts w:ascii="Cambria" w:eastAsia="Times New Roman" w:hAnsi="Cambria" w:cs="Arial"/>
                <w:b/>
                <w:bCs/>
                <w:kern w:val="24"/>
              </w:rPr>
              <w:t>2011</w:t>
            </w:r>
          </w:p>
        </w:tc>
        <w:tc>
          <w:tcPr>
            <w:tcW w:w="9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4414B563" w14:textId="77777777" w:rsidR="0054360D" w:rsidRPr="009A0DA6" w:rsidRDefault="0054360D" w:rsidP="00AD09CB">
            <w:pPr>
              <w:spacing w:before="120" w:after="120"/>
              <w:contextualSpacing/>
              <w:jc w:val="right"/>
              <w:textAlignment w:val="bottom"/>
              <w:rPr>
                <w:rFonts w:ascii="Cambria" w:eastAsia="Times New Roman" w:hAnsi="Cambria" w:cs="Arial"/>
                <w:b/>
                <w:bCs/>
                <w:kern w:val="24"/>
              </w:rPr>
            </w:pPr>
            <w:r w:rsidRPr="009A0DA6">
              <w:rPr>
                <w:rFonts w:ascii="Cambria" w:eastAsia="Times New Roman" w:hAnsi="Cambria" w:cs="Arial"/>
                <w:b/>
                <w:bCs/>
                <w:kern w:val="24"/>
              </w:rPr>
              <w:t>2012</w:t>
            </w:r>
          </w:p>
        </w:tc>
      </w:tr>
      <w:tr w:rsidR="0054360D" w:rsidRPr="009A0DA6" w14:paraId="505A9F63" w14:textId="77777777" w:rsidTr="00AD09CB">
        <w:trPr>
          <w:trHeight w:val="283"/>
        </w:trPr>
        <w:tc>
          <w:tcPr>
            <w:tcW w:w="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4B1E2E" w14:textId="77777777" w:rsidR="0054360D" w:rsidRPr="009A0DA6" w:rsidRDefault="0054360D" w:rsidP="00AD09CB">
            <w:pPr>
              <w:spacing w:before="120" w:after="120"/>
              <w:contextualSpacing/>
              <w:jc w:val="right"/>
              <w:textAlignment w:val="bottom"/>
              <w:rPr>
                <w:rFonts w:ascii="Cambria" w:eastAsia="Times New Roman" w:hAnsi="Cambria" w:cs="Arial"/>
              </w:rPr>
            </w:pPr>
            <w:r w:rsidRPr="009A0DA6">
              <w:rPr>
                <w:rFonts w:ascii="Cambria" w:eastAsia="Times New Roman" w:hAnsi="Cambria" w:cs="Arial"/>
                <w:kern w:val="24"/>
              </w:rPr>
              <w:t>28706</w:t>
            </w:r>
          </w:p>
        </w:tc>
        <w:tc>
          <w:tcPr>
            <w:tcW w:w="8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D1A6A6" w14:textId="77777777" w:rsidR="0054360D" w:rsidRPr="009A0DA6" w:rsidRDefault="0054360D" w:rsidP="00AD09CB">
            <w:pPr>
              <w:spacing w:before="120" w:after="120"/>
              <w:contextualSpacing/>
              <w:jc w:val="right"/>
              <w:textAlignment w:val="bottom"/>
              <w:rPr>
                <w:rFonts w:ascii="Cambria" w:eastAsia="Times New Roman" w:hAnsi="Cambria" w:cs="Arial"/>
              </w:rPr>
            </w:pPr>
            <w:r w:rsidRPr="009A0DA6">
              <w:rPr>
                <w:rFonts w:ascii="Cambria" w:eastAsia="Times New Roman" w:hAnsi="Cambria" w:cs="Arial"/>
                <w:kern w:val="24"/>
              </w:rPr>
              <w:t>29887</w:t>
            </w:r>
          </w:p>
        </w:tc>
        <w:tc>
          <w:tcPr>
            <w:tcW w:w="8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F30346" w14:textId="77777777" w:rsidR="0054360D" w:rsidRPr="009A0DA6" w:rsidRDefault="0054360D" w:rsidP="00AD09CB">
            <w:pPr>
              <w:spacing w:before="120" w:after="120"/>
              <w:contextualSpacing/>
              <w:jc w:val="right"/>
              <w:textAlignment w:val="bottom"/>
              <w:rPr>
                <w:rFonts w:ascii="Cambria" w:eastAsia="Times New Roman" w:hAnsi="Cambria" w:cs="Arial"/>
              </w:rPr>
            </w:pPr>
            <w:r w:rsidRPr="009A0DA6">
              <w:rPr>
                <w:rFonts w:ascii="Cambria" w:eastAsia="Times New Roman" w:hAnsi="Cambria" w:cs="Arial"/>
                <w:kern w:val="24"/>
              </w:rPr>
              <w:t>31190</w:t>
            </w:r>
          </w:p>
        </w:tc>
        <w:tc>
          <w:tcPr>
            <w:tcW w:w="83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D16D85" w14:textId="77777777" w:rsidR="0054360D" w:rsidRPr="009A0DA6" w:rsidRDefault="0054360D" w:rsidP="00AD09CB">
            <w:pPr>
              <w:spacing w:before="120" w:after="120"/>
              <w:contextualSpacing/>
              <w:jc w:val="right"/>
              <w:textAlignment w:val="bottom"/>
              <w:rPr>
                <w:rFonts w:ascii="Cambria" w:eastAsia="Times New Roman" w:hAnsi="Cambria" w:cs="Arial"/>
              </w:rPr>
            </w:pPr>
            <w:r w:rsidRPr="009A0DA6">
              <w:rPr>
                <w:rFonts w:ascii="Cambria" w:eastAsia="Times New Roman" w:hAnsi="Cambria" w:cs="Arial"/>
                <w:kern w:val="24"/>
              </w:rPr>
              <w:t>32158</w:t>
            </w:r>
          </w:p>
        </w:tc>
        <w:tc>
          <w:tcPr>
            <w:tcW w:w="8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636008" w14:textId="77777777" w:rsidR="0054360D" w:rsidRPr="009A0DA6" w:rsidRDefault="0054360D" w:rsidP="00AD09CB">
            <w:pPr>
              <w:spacing w:before="120" w:after="120"/>
              <w:contextualSpacing/>
              <w:jc w:val="right"/>
              <w:textAlignment w:val="bottom"/>
              <w:rPr>
                <w:rFonts w:ascii="Cambria" w:eastAsia="Times New Roman" w:hAnsi="Cambria" w:cs="Arial"/>
              </w:rPr>
            </w:pPr>
            <w:r w:rsidRPr="009A0DA6">
              <w:rPr>
                <w:rFonts w:ascii="Cambria" w:eastAsia="Times New Roman" w:hAnsi="Cambria" w:cs="Arial"/>
                <w:kern w:val="24"/>
              </w:rPr>
              <w:t>32994</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67EF24" w14:textId="77777777" w:rsidR="0054360D" w:rsidRPr="009A0DA6" w:rsidRDefault="0054360D" w:rsidP="00AD09CB">
            <w:pPr>
              <w:spacing w:before="120" w:after="120"/>
              <w:contextualSpacing/>
              <w:jc w:val="right"/>
              <w:textAlignment w:val="bottom"/>
              <w:rPr>
                <w:rFonts w:ascii="Cambria" w:eastAsia="Times New Roman" w:hAnsi="Cambria" w:cs="Arial"/>
              </w:rPr>
            </w:pPr>
            <w:r w:rsidRPr="009A0DA6">
              <w:rPr>
                <w:rFonts w:ascii="Cambria" w:eastAsia="Times New Roman" w:hAnsi="Cambria" w:cs="Arial"/>
                <w:kern w:val="24"/>
              </w:rPr>
              <w:t>34251</w:t>
            </w:r>
          </w:p>
        </w:tc>
        <w:tc>
          <w:tcPr>
            <w:tcW w:w="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4E28ED" w14:textId="77777777" w:rsidR="0054360D" w:rsidRPr="009A0DA6" w:rsidRDefault="0054360D" w:rsidP="00AD09CB">
            <w:pPr>
              <w:spacing w:before="120" w:after="120"/>
              <w:contextualSpacing/>
              <w:jc w:val="right"/>
              <w:textAlignment w:val="bottom"/>
              <w:rPr>
                <w:rFonts w:ascii="Cambria" w:eastAsia="Times New Roman" w:hAnsi="Cambria" w:cs="Arial"/>
              </w:rPr>
            </w:pPr>
            <w:r w:rsidRPr="009A0DA6">
              <w:rPr>
                <w:rFonts w:ascii="Cambria" w:eastAsia="Times New Roman" w:hAnsi="Cambria" w:cs="Arial"/>
                <w:kern w:val="24"/>
              </w:rPr>
              <w:t>35451</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84AE7E" w14:textId="77777777" w:rsidR="0054360D" w:rsidRPr="009A0DA6" w:rsidRDefault="0054360D" w:rsidP="00AD09CB">
            <w:pPr>
              <w:spacing w:before="120" w:after="120"/>
              <w:contextualSpacing/>
              <w:jc w:val="right"/>
              <w:textAlignment w:val="bottom"/>
              <w:rPr>
                <w:rFonts w:ascii="Cambria" w:eastAsia="Times New Roman" w:hAnsi="Cambria" w:cs="Arial"/>
              </w:rPr>
            </w:pPr>
            <w:r w:rsidRPr="009A0DA6">
              <w:rPr>
                <w:rFonts w:ascii="Cambria" w:eastAsia="Times New Roman" w:hAnsi="Cambria" w:cs="Arial"/>
                <w:kern w:val="24"/>
              </w:rPr>
              <w:t>36485</w:t>
            </w:r>
          </w:p>
        </w:tc>
        <w:tc>
          <w:tcPr>
            <w:tcW w:w="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26D990" w14:textId="77777777" w:rsidR="0054360D" w:rsidRPr="009A0DA6" w:rsidRDefault="0054360D" w:rsidP="00AD09CB">
            <w:pPr>
              <w:spacing w:before="120" w:after="120"/>
              <w:contextualSpacing/>
              <w:jc w:val="right"/>
              <w:textAlignment w:val="bottom"/>
              <w:rPr>
                <w:rFonts w:ascii="Cambria" w:eastAsia="Times New Roman" w:hAnsi="Cambria" w:cs="Arial"/>
              </w:rPr>
            </w:pPr>
            <w:r w:rsidRPr="009A0DA6">
              <w:rPr>
                <w:rFonts w:ascii="Cambria" w:eastAsia="Times New Roman" w:hAnsi="Cambria" w:cs="Arial"/>
                <w:kern w:val="24"/>
              </w:rPr>
              <w:t>37313</w:t>
            </w:r>
          </w:p>
        </w:tc>
        <w:tc>
          <w:tcPr>
            <w:tcW w:w="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753AB8" w14:textId="77777777" w:rsidR="0054360D" w:rsidRPr="009A0DA6" w:rsidRDefault="0054360D" w:rsidP="00AD09CB">
            <w:pPr>
              <w:spacing w:before="120" w:after="120"/>
              <w:contextualSpacing/>
              <w:jc w:val="right"/>
              <w:textAlignment w:val="bottom"/>
              <w:rPr>
                <w:rFonts w:ascii="Cambria" w:eastAsia="Times New Roman" w:hAnsi="Cambria" w:cs="Arial"/>
              </w:rPr>
            </w:pPr>
            <w:r w:rsidRPr="009A0DA6">
              <w:rPr>
                <w:rFonts w:ascii="Cambria" w:eastAsia="Times New Roman" w:hAnsi="Cambria" w:cs="Arial"/>
                <w:kern w:val="24"/>
              </w:rPr>
              <w:t>38289</w:t>
            </w:r>
          </w:p>
        </w:tc>
      </w:tr>
      <w:tr w:rsidR="0054360D" w:rsidRPr="009A0DA6" w14:paraId="27200302" w14:textId="77777777" w:rsidTr="00AD09CB">
        <w:trPr>
          <w:trHeight w:val="260"/>
        </w:trPr>
        <w:tc>
          <w:tcPr>
            <w:tcW w:w="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A188D5" w14:textId="77777777" w:rsidR="0054360D" w:rsidRPr="009A0DA6" w:rsidRDefault="0054360D" w:rsidP="00AD09CB">
            <w:pPr>
              <w:spacing w:before="120" w:after="120"/>
              <w:contextualSpacing/>
              <w:jc w:val="right"/>
              <w:textAlignment w:val="bottom"/>
              <w:rPr>
                <w:rFonts w:ascii="Cambria" w:eastAsia="Times New Roman" w:hAnsi="Cambria" w:cs="Arial"/>
              </w:rPr>
            </w:pPr>
            <w:r w:rsidRPr="009A0DA6">
              <w:rPr>
                <w:rFonts w:ascii="Cambria" w:eastAsia="Times New Roman" w:hAnsi="Cambria" w:cs="Arial"/>
                <w:kern w:val="24"/>
              </w:rPr>
              <w:t>4.0%</w:t>
            </w:r>
          </w:p>
        </w:tc>
        <w:tc>
          <w:tcPr>
            <w:tcW w:w="8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0B347D" w14:textId="77777777" w:rsidR="0054360D" w:rsidRPr="009A0DA6" w:rsidRDefault="0054360D" w:rsidP="00AD09CB">
            <w:pPr>
              <w:spacing w:before="120" w:after="120"/>
              <w:contextualSpacing/>
              <w:jc w:val="right"/>
              <w:textAlignment w:val="bottom"/>
              <w:rPr>
                <w:rFonts w:ascii="Cambria" w:eastAsia="Times New Roman" w:hAnsi="Cambria" w:cs="Arial"/>
              </w:rPr>
            </w:pPr>
            <w:r w:rsidRPr="009A0DA6">
              <w:rPr>
                <w:rFonts w:ascii="Cambria" w:eastAsia="Times New Roman" w:hAnsi="Cambria" w:cs="Arial"/>
                <w:kern w:val="24"/>
              </w:rPr>
              <w:t>4.0%</w:t>
            </w:r>
          </w:p>
        </w:tc>
        <w:tc>
          <w:tcPr>
            <w:tcW w:w="8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E96278" w14:textId="77777777" w:rsidR="0054360D" w:rsidRPr="009A0DA6" w:rsidRDefault="0054360D" w:rsidP="00AD09CB">
            <w:pPr>
              <w:spacing w:before="120" w:after="120"/>
              <w:contextualSpacing/>
              <w:jc w:val="right"/>
              <w:textAlignment w:val="bottom"/>
              <w:rPr>
                <w:rFonts w:ascii="Cambria" w:eastAsia="Times New Roman" w:hAnsi="Cambria" w:cs="Arial"/>
              </w:rPr>
            </w:pPr>
            <w:r w:rsidRPr="009A0DA6">
              <w:rPr>
                <w:rFonts w:ascii="Cambria" w:eastAsia="Times New Roman" w:hAnsi="Cambria" w:cs="Arial"/>
                <w:kern w:val="24"/>
              </w:rPr>
              <w:t>4.2%</w:t>
            </w:r>
          </w:p>
        </w:tc>
        <w:tc>
          <w:tcPr>
            <w:tcW w:w="83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73853D" w14:textId="77777777" w:rsidR="0054360D" w:rsidRPr="009A0DA6" w:rsidRDefault="0054360D" w:rsidP="00AD09CB">
            <w:pPr>
              <w:spacing w:before="120" w:after="120"/>
              <w:contextualSpacing/>
              <w:jc w:val="right"/>
              <w:textAlignment w:val="bottom"/>
              <w:rPr>
                <w:rFonts w:ascii="Cambria" w:eastAsia="Times New Roman" w:hAnsi="Cambria" w:cs="Arial"/>
              </w:rPr>
            </w:pPr>
            <w:r w:rsidRPr="009A0DA6">
              <w:rPr>
                <w:rFonts w:ascii="Cambria" w:eastAsia="Times New Roman" w:hAnsi="Cambria" w:cs="Arial"/>
                <w:kern w:val="24"/>
              </w:rPr>
              <w:t>3.0%</w:t>
            </w:r>
          </w:p>
        </w:tc>
        <w:tc>
          <w:tcPr>
            <w:tcW w:w="8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CB415D" w14:textId="77777777" w:rsidR="0054360D" w:rsidRPr="009A0DA6" w:rsidRDefault="0054360D" w:rsidP="00AD09CB">
            <w:pPr>
              <w:spacing w:before="120" w:after="120"/>
              <w:contextualSpacing/>
              <w:jc w:val="right"/>
              <w:textAlignment w:val="bottom"/>
              <w:rPr>
                <w:rFonts w:ascii="Cambria" w:eastAsia="Times New Roman" w:hAnsi="Cambria" w:cs="Arial"/>
              </w:rPr>
            </w:pPr>
            <w:r w:rsidRPr="009A0DA6">
              <w:rPr>
                <w:rFonts w:ascii="Cambria" w:eastAsia="Times New Roman" w:hAnsi="Cambria" w:cs="Arial"/>
                <w:kern w:val="24"/>
              </w:rPr>
              <w:t>2.5%</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975C35" w14:textId="77777777" w:rsidR="0054360D" w:rsidRPr="009A0DA6" w:rsidRDefault="0054360D" w:rsidP="00AD09CB">
            <w:pPr>
              <w:spacing w:before="120" w:after="120"/>
              <w:contextualSpacing/>
              <w:jc w:val="right"/>
              <w:textAlignment w:val="bottom"/>
              <w:rPr>
                <w:rFonts w:ascii="Cambria" w:eastAsia="Times New Roman" w:hAnsi="Cambria" w:cs="Arial"/>
              </w:rPr>
            </w:pPr>
            <w:r w:rsidRPr="009A0DA6">
              <w:rPr>
                <w:rFonts w:ascii="Cambria" w:eastAsia="Times New Roman" w:hAnsi="Cambria" w:cs="Arial"/>
                <w:kern w:val="24"/>
              </w:rPr>
              <w:t>3.7%</w:t>
            </w:r>
          </w:p>
        </w:tc>
        <w:tc>
          <w:tcPr>
            <w:tcW w:w="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B94BC6" w14:textId="77777777" w:rsidR="0054360D" w:rsidRPr="009A0DA6" w:rsidRDefault="0054360D" w:rsidP="00AD09CB">
            <w:pPr>
              <w:spacing w:before="120" w:after="120"/>
              <w:contextualSpacing/>
              <w:jc w:val="right"/>
              <w:textAlignment w:val="bottom"/>
              <w:rPr>
                <w:rFonts w:ascii="Cambria" w:eastAsia="Times New Roman" w:hAnsi="Cambria" w:cs="Arial"/>
              </w:rPr>
            </w:pPr>
            <w:r w:rsidRPr="009A0DA6">
              <w:rPr>
                <w:rFonts w:ascii="Cambria" w:eastAsia="Times New Roman" w:hAnsi="Cambria" w:cs="Arial"/>
                <w:kern w:val="24"/>
              </w:rPr>
              <w:t>3.4%</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9CC1B1" w14:textId="77777777" w:rsidR="0054360D" w:rsidRPr="009A0DA6" w:rsidRDefault="0054360D" w:rsidP="00AD09CB">
            <w:pPr>
              <w:spacing w:before="120" w:after="120"/>
              <w:contextualSpacing/>
              <w:jc w:val="right"/>
              <w:textAlignment w:val="bottom"/>
              <w:rPr>
                <w:rFonts w:ascii="Cambria" w:eastAsia="Times New Roman" w:hAnsi="Cambria" w:cs="Arial"/>
              </w:rPr>
            </w:pPr>
            <w:r w:rsidRPr="009A0DA6">
              <w:rPr>
                <w:rFonts w:ascii="Cambria" w:eastAsia="Times New Roman" w:hAnsi="Cambria" w:cs="Arial"/>
                <w:kern w:val="24"/>
              </w:rPr>
              <w:t>2.8%</w:t>
            </w:r>
          </w:p>
        </w:tc>
        <w:tc>
          <w:tcPr>
            <w:tcW w:w="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BFB08B" w14:textId="77777777" w:rsidR="0054360D" w:rsidRPr="009A0DA6" w:rsidRDefault="0054360D" w:rsidP="00AD09CB">
            <w:pPr>
              <w:spacing w:before="120" w:after="120"/>
              <w:contextualSpacing/>
              <w:jc w:val="right"/>
              <w:textAlignment w:val="bottom"/>
              <w:rPr>
                <w:rFonts w:ascii="Cambria" w:eastAsia="Times New Roman" w:hAnsi="Cambria" w:cs="Arial"/>
              </w:rPr>
            </w:pPr>
            <w:r w:rsidRPr="009A0DA6">
              <w:rPr>
                <w:rFonts w:ascii="Cambria" w:eastAsia="Times New Roman" w:hAnsi="Cambria" w:cs="Arial"/>
                <w:kern w:val="24"/>
              </w:rPr>
              <w:t>2.2%</w:t>
            </w:r>
          </w:p>
        </w:tc>
        <w:tc>
          <w:tcPr>
            <w:tcW w:w="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E4871C" w14:textId="77777777" w:rsidR="0054360D" w:rsidRPr="009A0DA6" w:rsidRDefault="0054360D" w:rsidP="00AD09CB">
            <w:pPr>
              <w:spacing w:before="120" w:after="120"/>
              <w:contextualSpacing/>
              <w:jc w:val="right"/>
              <w:textAlignment w:val="bottom"/>
              <w:rPr>
                <w:rFonts w:ascii="Cambria" w:eastAsia="Times New Roman" w:hAnsi="Cambria" w:cs="Arial"/>
              </w:rPr>
            </w:pPr>
            <w:r w:rsidRPr="009A0DA6">
              <w:rPr>
                <w:rFonts w:ascii="Cambria" w:eastAsia="Times New Roman" w:hAnsi="Cambria" w:cs="Arial"/>
                <w:kern w:val="24"/>
              </w:rPr>
              <w:t>2.5%</w:t>
            </w:r>
          </w:p>
        </w:tc>
      </w:tr>
      <w:tr w:rsidR="0054360D" w:rsidRPr="009A0DA6" w14:paraId="43B512AD" w14:textId="77777777" w:rsidTr="00AD09CB">
        <w:trPr>
          <w:gridAfter w:val="4"/>
          <w:wAfter w:w="3634" w:type="dxa"/>
          <w:trHeight w:val="325"/>
        </w:trPr>
        <w:tc>
          <w:tcPr>
            <w:tcW w:w="8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1220394C" w14:textId="77777777" w:rsidR="0054360D" w:rsidRPr="009A0DA6" w:rsidRDefault="0054360D" w:rsidP="00AD09CB">
            <w:pPr>
              <w:spacing w:before="120" w:after="120"/>
              <w:contextualSpacing/>
              <w:jc w:val="right"/>
              <w:textAlignment w:val="bottom"/>
              <w:rPr>
                <w:rFonts w:ascii="Cambria" w:eastAsia="Times New Roman" w:hAnsi="Cambria" w:cs="Arial"/>
                <w:b/>
                <w:bCs/>
                <w:kern w:val="24"/>
              </w:rPr>
            </w:pPr>
            <w:r w:rsidRPr="009A0DA6">
              <w:rPr>
                <w:rFonts w:ascii="Cambria" w:eastAsia="Times New Roman" w:hAnsi="Cambria" w:cs="Arial"/>
                <w:b/>
                <w:bCs/>
                <w:kern w:val="24"/>
              </w:rPr>
              <w:t>2013</w:t>
            </w:r>
          </w:p>
        </w:tc>
        <w:tc>
          <w:tcPr>
            <w:tcW w:w="8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7942DCB7" w14:textId="77777777" w:rsidR="0054360D" w:rsidRPr="009A0DA6" w:rsidRDefault="0054360D" w:rsidP="00AD09CB">
            <w:pPr>
              <w:spacing w:before="120" w:after="120"/>
              <w:contextualSpacing/>
              <w:jc w:val="right"/>
              <w:textAlignment w:val="bottom"/>
              <w:rPr>
                <w:rFonts w:ascii="Cambria" w:eastAsia="Times New Roman" w:hAnsi="Cambria" w:cs="Arial"/>
                <w:b/>
                <w:bCs/>
                <w:kern w:val="24"/>
              </w:rPr>
            </w:pPr>
            <w:r w:rsidRPr="009A0DA6">
              <w:rPr>
                <w:rFonts w:ascii="Cambria" w:eastAsia="Times New Roman" w:hAnsi="Cambria" w:cs="Arial"/>
                <w:b/>
                <w:bCs/>
                <w:kern w:val="24"/>
              </w:rPr>
              <w:t>2014</w:t>
            </w:r>
          </w:p>
        </w:tc>
        <w:tc>
          <w:tcPr>
            <w:tcW w:w="8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151A5CF5" w14:textId="77777777" w:rsidR="0054360D" w:rsidRPr="009A0DA6" w:rsidRDefault="0054360D" w:rsidP="00AD09CB">
            <w:pPr>
              <w:spacing w:before="120" w:after="120"/>
              <w:contextualSpacing/>
              <w:jc w:val="right"/>
              <w:textAlignment w:val="bottom"/>
              <w:rPr>
                <w:rFonts w:ascii="Cambria" w:eastAsia="Times New Roman" w:hAnsi="Cambria" w:cs="Arial"/>
                <w:b/>
                <w:bCs/>
                <w:kern w:val="24"/>
              </w:rPr>
            </w:pPr>
            <w:r w:rsidRPr="009A0DA6">
              <w:rPr>
                <w:rFonts w:ascii="Cambria" w:eastAsia="Times New Roman" w:hAnsi="Cambria" w:cs="Arial"/>
                <w:b/>
                <w:bCs/>
                <w:kern w:val="24"/>
              </w:rPr>
              <w:t xml:space="preserve">2015 </w:t>
            </w:r>
          </w:p>
        </w:tc>
        <w:tc>
          <w:tcPr>
            <w:tcW w:w="8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2F6CDBE0" w14:textId="77777777" w:rsidR="0054360D" w:rsidRPr="009A0DA6" w:rsidRDefault="0054360D" w:rsidP="00AD09CB">
            <w:pPr>
              <w:spacing w:before="120" w:after="120"/>
              <w:contextualSpacing/>
              <w:jc w:val="right"/>
              <w:textAlignment w:val="bottom"/>
              <w:rPr>
                <w:rFonts w:ascii="Cambria" w:eastAsia="Times New Roman" w:hAnsi="Cambria" w:cs="Arial"/>
                <w:b/>
                <w:bCs/>
                <w:kern w:val="24"/>
              </w:rPr>
            </w:pPr>
            <w:r w:rsidRPr="009A0DA6">
              <w:rPr>
                <w:rFonts w:ascii="Cambria" w:eastAsia="Times New Roman" w:hAnsi="Cambria" w:cs="Arial"/>
                <w:b/>
                <w:bCs/>
                <w:kern w:val="24"/>
              </w:rPr>
              <w:t>2016</w:t>
            </w:r>
          </w:p>
        </w:tc>
        <w:tc>
          <w:tcPr>
            <w:tcW w:w="83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7E3BF50A" w14:textId="77777777" w:rsidR="0054360D" w:rsidRPr="009A0DA6" w:rsidRDefault="0054360D" w:rsidP="00AD09CB">
            <w:pPr>
              <w:spacing w:before="120" w:after="120"/>
              <w:contextualSpacing/>
              <w:jc w:val="right"/>
              <w:textAlignment w:val="bottom"/>
              <w:rPr>
                <w:rFonts w:ascii="Cambria" w:eastAsia="Times New Roman" w:hAnsi="Cambria" w:cs="Arial"/>
                <w:b/>
                <w:bCs/>
                <w:kern w:val="24"/>
              </w:rPr>
            </w:pPr>
            <w:r w:rsidRPr="009A0DA6">
              <w:rPr>
                <w:rFonts w:ascii="Cambria" w:eastAsia="Times New Roman" w:hAnsi="Cambria" w:cs="Arial"/>
                <w:b/>
                <w:bCs/>
                <w:kern w:val="24"/>
              </w:rPr>
              <w:t>2017</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5D348A93" w14:textId="77777777" w:rsidR="0054360D" w:rsidRPr="009A0DA6" w:rsidRDefault="0054360D" w:rsidP="00AD09CB">
            <w:pPr>
              <w:spacing w:before="120" w:after="120"/>
              <w:contextualSpacing/>
              <w:jc w:val="right"/>
              <w:textAlignment w:val="bottom"/>
              <w:rPr>
                <w:rFonts w:ascii="Cambria" w:eastAsia="Times New Roman" w:hAnsi="Cambria" w:cs="Arial"/>
                <w:b/>
                <w:bCs/>
                <w:kern w:val="24"/>
              </w:rPr>
            </w:pPr>
            <w:r w:rsidRPr="009A0DA6">
              <w:rPr>
                <w:rFonts w:ascii="Cambria" w:eastAsia="Times New Roman" w:hAnsi="Cambria" w:cs="Arial"/>
                <w:b/>
                <w:bCs/>
                <w:kern w:val="24"/>
              </w:rPr>
              <w:t>2018*</w:t>
            </w:r>
          </w:p>
        </w:tc>
      </w:tr>
      <w:tr w:rsidR="0054360D" w:rsidRPr="009A0DA6" w14:paraId="6C3624A8" w14:textId="77777777" w:rsidTr="00AD09CB">
        <w:trPr>
          <w:gridAfter w:val="4"/>
          <w:wAfter w:w="3634" w:type="dxa"/>
          <w:trHeight w:val="283"/>
        </w:trPr>
        <w:tc>
          <w:tcPr>
            <w:tcW w:w="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9A588F" w14:textId="77777777" w:rsidR="0054360D" w:rsidRPr="009A0DA6" w:rsidRDefault="0054360D" w:rsidP="00AD09CB">
            <w:pPr>
              <w:spacing w:before="120" w:after="120"/>
              <w:contextualSpacing/>
              <w:jc w:val="right"/>
              <w:textAlignment w:val="bottom"/>
              <w:rPr>
                <w:rFonts w:ascii="Cambria" w:eastAsia="Times New Roman" w:hAnsi="Cambria" w:cs="Arial"/>
              </w:rPr>
            </w:pPr>
            <w:r w:rsidRPr="009A0DA6">
              <w:rPr>
                <w:rFonts w:ascii="Cambria" w:eastAsia="Times New Roman" w:hAnsi="Cambria" w:cs="Arial"/>
                <w:kern w:val="24"/>
              </w:rPr>
              <w:t>39147</w:t>
            </w:r>
          </w:p>
        </w:tc>
        <w:tc>
          <w:tcPr>
            <w:tcW w:w="8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441409" w14:textId="77777777" w:rsidR="0054360D" w:rsidRPr="009A0DA6" w:rsidRDefault="0054360D" w:rsidP="00AD09CB">
            <w:pPr>
              <w:spacing w:before="120" w:after="120"/>
              <w:contextualSpacing/>
              <w:jc w:val="right"/>
              <w:textAlignment w:val="bottom"/>
              <w:rPr>
                <w:rFonts w:ascii="Cambria" w:eastAsia="Times New Roman" w:hAnsi="Cambria" w:cs="Arial"/>
              </w:rPr>
            </w:pPr>
            <w:r w:rsidRPr="009A0DA6">
              <w:rPr>
                <w:rFonts w:ascii="Cambria" w:eastAsia="Times New Roman" w:hAnsi="Cambria" w:cs="Arial"/>
                <w:kern w:val="24"/>
              </w:rPr>
              <w:t>39764</w:t>
            </w:r>
          </w:p>
        </w:tc>
        <w:tc>
          <w:tcPr>
            <w:tcW w:w="8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C14595" w14:textId="77777777" w:rsidR="0054360D" w:rsidRPr="009A0DA6" w:rsidRDefault="0054360D" w:rsidP="00AD09CB">
            <w:pPr>
              <w:spacing w:before="120" w:after="120"/>
              <w:contextualSpacing/>
              <w:jc w:val="right"/>
              <w:textAlignment w:val="bottom"/>
              <w:rPr>
                <w:rFonts w:ascii="Cambria" w:eastAsia="Times New Roman" w:hAnsi="Cambria" w:cs="Arial"/>
              </w:rPr>
            </w:pPr>
            <w:r w:rsidRPr="009A0DA6">
              <w:rPr>
                <w:rFonts w:ascii="Cambria" w:eastAsia="Times New Roman" w:hAnsi="Cambria" w:cs="Arial"/>
              </w:rPr>
              <w:t>40225</w:t>
            </w:r>
          </w:p>
        </w:tc>
        <w:tc>
          <w:tcPr>
            <w:tcW w:w="8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973454" w14:textId="77777777" w:rsidR="0054360D" w:rsidRPr="009A0DA6" w:rsidRDefault="0054360D" w:rsidP="00AD09CB">
            <w:pPr>
              <w:spacing w:before="120" w:after="120"/>
              <w:contextualSpacing/>
              <w:jc w:val="right"/>
              <w:textAlignment w:val="bottom"/>
              <w:rPr>
                <w:rFonts w:ascii="Cambria" w:eastAsia="Times New Roman" w:hAnsi="Cambria" w:cs="Arial"/>
              </w:rPr>
            </w:pPr>
            <w:r w:rsidRPr="009A0DA6">
              <w:rPr>
                <w:rFonts w:ascii="Cambria" w:eastAsia="Times New Roman" w:hAnsi="Cambria" w:cs="Arial"/>
              </w:rPr>
              <w:t>40201</w:t>
            </w:r>
          </w:p>
        </w:tc>
        <w:tc>
          <w:tcPr>
            <w:tcW w:w="83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BF6284" w14:textId="77777777" w:rsidR="0054360D" w:rsidRPr="009A0DA6" w:rsidRDefault="0054360D" w:rsidP="00AD09CB">
            <w:pPr>
              <w:spacing w:before="120" w:after="120"/>
              <w:contextualSpacing/>
              <w:jc w:val="right"/>
              <w:textAlignment w:val="bottom"/>
              <w:rPr>
                <w:rFonts w:ascii="Cambria" w:eastAsia="Times New Roman" w:hAnsi="Cambria" w:cs="Arial"/>
              </w:rPr>
            </w:pPr>
            <w:r w:rsidRPr="009A0DA6">
              <w:rPr>
                <w:rFonts w:ascii="Cambria" w:eastAsia="Times New Roman" w:hAnsi="Cambria" w:cs="Arial"/>
              </w:rPr>
              <w:t>40283</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334049" w14:textId="77777777" w:rsidR="0054360D" w:rsidRPr="009A0DA6" w:rsidRDefault="0054360D" w:rsidP="00AD09CB">
            <w:pPr>
              <w:spacing w:before="120" w:after="120"/>
              <w:contextualSpacing/>
              <w:jc w:val="right"/>
              <w:textAlignment w:val="bottom"/>
              <w:rPr>
                <w:rFonts w:ascii="Cambria" w:eastAsia="Times New Roman" w:hAnsi="Cambria" w:cs="Arial"/>
              </w:rPr>
            </w:pPr>
            <w:r w:rsidRPr="009A0DA6">
              <w:rPr>
                <w:rFonts w:ascii="Cambria" w:eastAsia="Times New Roman" w:hAnsi="Cambria" w:cs="Arial"/>
              </w:rPr>
              <w:t>40239</w:t>
            </w:r>
          </w:p>
        </w:tc>
      </w:tr>
      <w:tr w:rsidR="0054360D" w:rsidRPr="009A0DA6" w14:paraId="048C6DC1" w14:textId="77777777" w:rsidTr="00AD09CB">
        <w:trPr>
          <w:gridAfter w:val="4"/>
          <w:wAfter w:w="3634" w:type="dxa"/>
          <w:trHeight w:val="260"/>
        </w:trPr>
        <w:tc>
          <w:tcPr>
            <w:tcW w:w="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292FD9" w14:textId="77777777" w:rsidR="0054360D" w:rsidRPr="009A0DA6" w:rsidRDefault="0054360D" w:rsidP="00AD09CB">
            <w:pPr>
              <w:spacing w:before="120" w:after="120"/>
              <w:contextualSpacing/>
              <w:jc w:val="right"/>
              <w:textAlignment w:val="bottom"/>
              <w:rPr>
                <w:rFonts w:ascii="Cambria" w:eastAsia="Times New Roman" w:hAnsi="Cambria" w:cs="Arial"/>
              </w:rPr>
            </w:pPr>
            <w:r w:rsidRPr="009A0DA6">
              <w:rPr>
                <w:rFonts w:ascii="Cambria" w:eastAsia="Times New Roman" w:hAnsi="Cambria" w:cs="Arial"/>
                <w:kern w:val="24"/>
              </w:rPr>
              <w:t>2.2%</w:t>
            </w:r>
          </w:p>
        </w:tc>
        <w:tc>
          <w:tcPr>
            <w:tcW w:w="8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1D8A8C" w14:textId="77777777" w:rsidR="0054360D" w:rsidRPr="009A0DA6" w:rsidRDefault="0054360D" w:rsidP="00AD09CB">
            <w:pPr>
              <w:spacing w:before="120" w:after="120"/>
              <w:contextualSpacing/>
              <w:jc w:val="right"/>
              <w:textAlignment w:val="bottom"/>
              <w:rPr>
                <w:rFonts w:ascii="Cambria" w:eastAsia="Times New Roman" w:hAnsi="Cambria" w:cs="Arial"/>
              </w:rPr>
            </w:pPr>
            <w:r w:rsidRPr="009A0DA6">
              <w:rPr>
                <w:rFonts w:ascii="Cambria" w:eastAsia="Times New Roman" w:hAnsi="Cambria" w:cs="Arial"/>
                <w:kern w:val="24"/>
              </w:rPr>
              <w:t>1.6%</w:t>
            </w:r>
          </w:p>
        </w:tc>
        <w:tc>
          <w:tcPr>
            <w:tcW w:w="8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58FA4B" w14:textId="77777777" w:rsidR="0054360D" w:rsidRPr="009A0DA6" w:rsidRDefault="0054360D" w:rsidP="00AD09CB">
            <w:pPr>
              <w:spacing w:before="120" w:after="120"/>
              <w:contextualSpacing/>
              <w:jc w:val="right"/>
              <w:textAlignment w:val="bottom"/>
              <w:rPr>
                <w:rFonts w:ascii="Cambria" w:eastAsia="Times New Roman" w:hAnsi="Cambria" w:cs="Arial"/>
              </w:rPr>
            </w:pPr>
            <w:r w:rsidRPr="009A0DA6">
              <w:rPr>
                <w:rFonts w:ascii="Cambria" w:eastAsia="Times New Roman" w:hAnsi="Cambria" w:cs="Arial"/>
                <w:kern w:val="24"/>
              </w:rPr>
              <w:t>1.2%</w:t>
            </w:r>
          </w:p>
        </w:tc>
        <w:tc>
          <w:tcPr>
            <w:tcW w:w="8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86FC91" w14:textId="77777777" w:rsidR="0054360D" w:rsidRPr="009A0DA6" w:rsidRDefault="0054360D" w:rsidP="00AD09CB">
            <w:pPr>
              <w:spacing w:before="120" w:after="120"/>
              <w:contextualSpacing/>
              <w:jc w:val="right"/>
              <w:textAlignment w:val="bottom"/>
              <w:rPr>
                <w:rFonts w:ascii="Cambria" w:eastAsia="Times New Roman" w:hAnsi="Cambria" w:cs="Arial"/>
                <w:kern w:val="24"/>
              </w:rPr>
            </w:pPr>
            <w:r w:rsidRPr="009A0DA6">
              <w:rPr>
                <w:rFonts w:ascii="Cambria" w:eastAsia="Times New Roman" w:hAnsi="Cambria" w:cs="Arial"/>
                <w:kern w:val="24"/>
              </w:rPr>
              <w:t>-.06%</w:t>
            </w:r>
          </w:p>
        </w:tc>
        <w:tc>
          <w:tcPr>
            <w:tcW w:w="83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94210A" w14:textId="77777777" w:rsidR="0054360D" w:rsidRPr="009A0DA6" w:rsidRDefault="0054360D" w:rsidP="00AD09CB">
            <w:pPr>
              <w:spacing w:before="120" w:after="120"/>
              <w:contextualSpacing/>
              <w:jc w:val="right"/>
              <w:textAlignment w:val="bottom"/>
              <w:rPr>
                <w:rFonts w:ascii="Cambria" w:eastAsia="Times New Roman" w:hAnsi="Cambria" w:cs="Arial"/>
                <w:kern w:val="24"/>
              </w:rPr>
            </w:pPr>
            <w:r w:rsidRPr="009A0DA6">
              <w:rPr>
                <w:rFonts w:ascii="Cambria" w:eastAsia="Times New Roman" w:hAnsi="Cambria" w:cs="Arial"/>
                <w:kern w:val="24"/>
              </w:rPr>
              <w:t>0.2%</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C458B9" w14:textId="77777777" w:rsidR="0054360D" w:rsidRPr="009A0DA6" w:rsidRDefault="0054360D" w:rsidP="00AD09CB">
            <w:pPr>
              <w:spacing w:before="120" w:after="120"/>
              <w:contextualSpacing/>
              <w:jc w:val="right"/>
              <w:textAlignment w:val="bottom"/>
              <w:rPr>
                <w:rFonts w:ascii="Cambria" w:eastAsia="Times New Roman" w:hAnsi="Cambria" w:cs="Arial"/>
                <w:kern w:val="24"/>
              </w:rPr>
            </w:pPr>
            <w:r w:rsidRPr="009A0DA6">
              <w:rPr>
                <w:rFonts w:ascii="Cambria" w:eastAsia="Times New Roman" w:hAnsi="Cambria" w:cs="Arial"/>
                <w:kern w:val="24"/>
              </w:rPr>
              <w:t>-0.11%</w:t>
            </w:r>
          </w:p>
        </w:tc>
      </w:tr>
    </w:tbl>
    <w:p w14:paraId="1A5B2F9A" w14:textId="77777777" w:rsidR="0054360D" w:rsidRPr="009A0DA6" w:rsidRDefault="0054360D" w:rsidP="0054360D">
      <w:pPr>
        <w:pStyle w:val="ListParagraph"/>
        <w:spacing w:before="120" w:after="120" w:line="240" w:lineRule="auto"/>
        <w:ind w:left="0"/>
        <w:rPr>
          <w:rFonts w:ascii="Cambria" w:hAnsi="Cambria" w:cs="Arial"/>
          <w:i/>
        </w:rPr>
      </w:pPr>
    </w:p>
    <w:p w14:paraId="373DDA0C" w14:textId="77777777" w:rsidR="0054360D" w:rsidRPr="009A0DA6" w:rsidRDefault="0054360D" w:rsidP="0054360D">
      <w:pPr>
        <w:pStyle w:val="ListParagraph"/>
        <w:spacing w:before="120" w:after="120" w:line="240" w:lineRule="auto"/>
        <w:ind w:left="0"/>
        <w:rPr>
          <w:rFonts w:ascii="Cambria" w:hAnsi="Cambria" w:cs="Arial"/>
          <w:i/>
        </w:rPr>
      </w:pPr>
      <w:r w:rsidRPr="009A0DA6">
        <w:rPr>
          <w:rFonts w:ascii="Cambria" w:hAnsi="Cambria" w:cs="Arial"/>
          <w:i/>
        </w:rPr>
        <w:t xml:space="preserve">* Note that the 2018 enrolment figure is at February 2018 rather than the official census </w:t>
      </w:r>
      <w:r w:rsidRPr="009A0DA6">
        <w:rPr>
          <w:rFonts w:ascii="Cambria" w:hAnsi="Cambria" w:cs="Arial"/>
          <w:i/>
        </w:rPr>
        <w:br/>
        <w:t xml:space="preserve">  in August each year</w:t>
      </w:r>
    </w:p>
    <w:p w14:paraId="5AE2D38D" w14:textId="6AE5A436" w:rsidR="0054360D" w:rsidRDefault="0054360D" w:rsidP="0054360D">
      <w:pPr>
        <w:pStyle w:val="NoSpacing"/>
      </w:pPr>
    </w:p>
    <w:p w14:paraId="06D99D36" w14:textId="6570E22D" w:rsidR="00975F5B" w:rsidRDefault="00975F5B" w:rsidP="0054360D">
      <w:pPr>
        <w:pStyle w:val="NoSpacing"/>
      </w:pPr>
    </w:p>
    <w:p w14:paraId="36A1D614" w14:textId="77777777" w:rsidR="00975F5B" w:rsidRPr="009A0DA6" w:rsidRDefault="00975F5B" w:rsidP="0054360D">
      <w:pPr>
        <w:pStyle w:val="NoSpacing"/>
      </w:pPr>
    </w:p>
    <w:p w14:paraId="4ADAB638" w14:textId="77777777" w:rsidR="0054360D" w:rsidRPr="009C0457" w:rsidRDefault="0054360D" w:rsidP="0054360D">
      <w:pPr>
        <w:pStyle w:val="Heading3"/>
      </w:pPr>
      <w:r w:rsidRPr="009C0457">
        <w:t>agenda 11.3</w:t>
      </w:r>
    </w:p>
    <w:p w14:paraId="438D4EB2" w14:textId="77777777" w:rsidR="0054360D" w:rsidRPr="009A0DA6" w:rsidRDefault="0054360D" w:rsidP="0054360D">
      <w:pPr>
        <w:pStyle w:val="Heading2"/>
      </w:pPr>
      <w:bookmarkStart w:id="505" w:name="_Toc521954746"/>
      <w:r w:rsidRPr="009C0457">
        <w:t>Financial Report: Lutheran Education Australia Ltd</w:t>
      </w:r>
      <w:bookmarkEnd w:id="505"/>
    </w:p>
    <w:p w14:paraId="1F10E007" w14:textId="77777777" w:rsidR="0054360D" w:rsidRPr="009A0DA6" w:rsidRDefault="0054360D" w:rsidP="0054360D">
      <w:pPr>
        <w:pStyle w:val="NoSpacing"/>
      </w:pPr>
    </w:p>
    <w:p w14:paraId="656F2C74" w14:textId="77777777" w:rsidR="0054360D" w:rsidRPr="009A0DA6" w:rsidRDefault="0054360D" w:rsidP="00766B14">
      <w:pPr>
        <w:pStyle w:val="NoSpacing"/>
        <w:rPr>
          <w:b/>
        </w:rPr>
      </w:pPr>
      <w:r w:rsidRPr="009A0DA6">
        <w:rPr>
          <w:b/>
        </w:rPr>
        <w:t>INCOME AND EXPENDITURE STATEMENT</w:t>
      </w:r>
    </w:p>
    <w:p w14:paraId="75095C04" w14:textId="77777777" w:rsidR="0054360D" w:rsidRPr="009A0DA6" w:rsidRDefault="0054360D" w:rsidP="0054360D">
      <w:pPr>
        <w:pStyle w:val="NoSpacing"/>
        <w:rPr>
          <w:b/>
        </w:rPr>
      </w:pPr>
      <w:r w:rsidRPr="009A0DA6">
        <w:rPr>
          <w:b/>
        </w:rPr>
        <w:t xml:space="preserve">FOR THE </w:t>
      </w:r>
      <w:r>
        <w:rPr>
          <w:b/>
        </w:rPr>
        <w:t>PERIODS ENDING</w:t>
      </w:r>
      <w:r w:rsidRPr="009A0DA6">
        <w:rPr>
          <w:b/>
        </w:rPr>
        <w:t xml:space="preserve"> 31 DECEMBER </w:t>
      </w:r>
    </w:p>
    <w:p w14:paraId="031C0BA7" w14:textId="77777777" w:rsidR="0054360D" w:rsidRPr="009A0DA6" w:rsidRDefault="0054360D" w:rsidP="0054360D">
      <w:pPr>
        <w:tabs>
          <w:tab w:val="right" w:pos="5954"/>
          <w:tab w:val="right" w:pos="7371"/>
          <w:tab w:val="right" w:pos="8789"/>
        </w:tabs>
        <w:spacing w:before="120" w:after="120" w:line="240" w:lineRule="auto"/>
        <w:contextualSpacing/>
        <w:rPr>
          <w:rFonts w:ascii="Cambria" w:eastAsia="Times New Roman" w:hAnsi="Cambria" w:cs="Arial"/>
          <w:b/>
          <w:bCs/>
          <w:lang w:eastAsia="ja-JP"/>
        </w:rPr>
      </w:pPr>
      <w:r w:rsidRPr="009A0DA6">
        <w:rPr>
          <w:rFonts w:ascii="Cambria" w:eastAsia="Times New Roman" w:hAnsi="Cambria" w:cs="Times New Roman"/>
        </w:rPr>
        <w:tab/>
      </w:r>
      <w:r w:rsidRPr="009A0DA6">
        <w:rPr>
          <w:rFonts w:ascii="Cambria" w:eastAsia="Times New Roman" w:hAnsi="Cambria" w:cs="Arial"/>
          <w:b/>
          <w:bCs/>
        </w:rPr>
        <w:t>2017</w:t>
      </w:r>
      <w:r w:rsidRPr="009A0DA6">
        <w:rPr>
          <w:rFonts w:ascii="Cambria" w:eastAsia="Times New Roman" w:hAnsi="Cambria" w:cs="Arial"/>
          <w:b/>
          <w:bCs/>
        </w:rPr>
        <w:tab/>
        <w:t>2016</w:t>
      </w:r>
      <w:r w:rsidRPr="009A0DA6">
        <w:rPr>
          <w:rFonts w:ascii="Cambria" w:eastAsia="Times New Roman" w:hAnsi="Cambria" w:cs="Arial"/>
          <w:b/>
          <w:bCs/>
        </w:rPr>
        <w:tab/>
        <w:t>2015</w:t>
      </w:r>
    </w:p>
    <w:p w14:paraId="65F7C56E" w14:textId="77777777" w:rsidR="0054360D" w:rsidRPr="009A0DA6" w:rsidRDefault="0054360D" w:rsidP="0054360D">
      <w:pPr>
        <w:tabs>
          <w:tab w:val="right" w:pos="5954"/>
          <w:tab w:val="right" w:pos="7371"/>
          <w:tab w:val="right" w:pos="8789"/>
        </w:tabs>
        <w:spacing w:before="120" w:after="120" w:line="240" w:lineRule="auto"/>
        <w:contextualSpacing/>
        <w:rPr>
          <w:rFonts w:ascii="Cambria" w:eastAsia="Times New Roman" w:hAnsi="Cambria" w:cs="Times New Roman"/>
        </w:rPr>
      </w:pPr>
      <w:r w:rsidRPr="009A0DA6">
        <w:rPr>
          <w:rFonts w:ascii="Cambria" w:eastAsia="Times New Roman" w:hAnsi="Cambria" w:cs="Arial"/>
          <w:b/>
          <w:bCs/>
        </w:rPr>
        <w:t>INCOME</w:t>
      </w:r>
      <w:r w:rsidRPr="009A0DA6">
        <w:rPr>
          <w:rFonts w:ascii="Cambria" w:eastAsia="Times New Roman" w:hAnsi="Cambria" w:cs="Arial"/>
          <w:b/>
          <w:bCs/>
        </w:rPr>
        <w:tab/>
      </w:r>
      <w:r w:rsidRPr="009A0DA6">
        <w:rPr>
          <w:rFonts w:ascii="Cambria" w:eastAsia="Times New Roman" w:hAnsi="Cambria" w:cs="Times New Roman"/>
        </w:rPr>
        <w:tab/>
      </w:r>
      <w:r w:rsidRPr="009A0DA6">
        <w:rPr>
          <w:rFonts w:ascii="Cambria" w:eastAsia="Times New Roman" w:hAnsi="Cambria" w:cs="Times New Roman"/>
        </w:rPr>
        <w:tab/>
      </w:r>
    </w:p>
    <w:p w14:paraId="6D5DFCE7" w14:textId="77777777" w:rsidR="0054360D" w:rsidRPr="009A0DA6" w:rsidRDefault="0054360D" w:rsidP="0054360D">
      <w:pPr>
        <w:tabs>
          <w:tab w:val="right" w:pos="5954"/>
          <w:tab w:val="right" w:pos="7371"/>
          <w:tab w:val="right" w:pos="8789"/>
        </w:tabs>
        <w:spacing w:before="120" w:after="120" w:line="240" w:lineRule="auto"/>
        <w:contextualSpacing/>
        <w:rPr>
          <w:rFonts w:ascii="Cambria" w:eastAsia="Times New Roman" w:hAnsi="Cambria" w:cs="Arial"/>
        </w:rPr>
      </w:pPr>
      <w:r w:rsidRPr="009A0DA6">
        <w:rPr>
          <w:rFonts w:ascii="Cambria" w:eastAsia="Times New Roman" w:hAnsi="Cambria" w:cs="Arial"/>
        </w:rPr>
        <w:t>School levies</w:t>
      </w:r>
      <w:r w:rsidRPr="009A0DA6">
        <w:rPr>
          <w:rFonts w:ascii="Cambria" w:eastAsia="Times New Roman" w:hAnsi="Cambria" w:cs="Arial"/>
        </w:rPr>
        <w:tab/>
        <w:t>1,546,990</w:t>
      </w:r>
      <w:r w:rsidRPr="009A0DA6">
        <w:rPr>
          <w:rFonts w:ascii="Cambria" w:eastAsia="Times New Roman" w:hAnsi="Cambria" w:cs="Arial"/>
        </w:rPr>
        <w:tab/>
        <w:t>1,499,520</w:t>
      </w:r>
      <w:r w:rsidRPr="009A0DA6">
        <w:rPr>
          <w:rFonts w:ascii="Cambria" w:eastAsia="Times New Roman" w:hAnsi="Cambria" w:cs="Arial"/>
        </w:rPr>
        <w:tab/>
        <w:t>1,419,928</w:t>
      </w:r>
    </w:p>
    <w:p w14:paraId="49BC28FF" w14:textId="77777777" w:rsidR="0054360D" w:rsidRPr="009A0DA6" w:rsidRDefault="0054360D" w:rsidP="0054360D">
      <w:pPr>
        <w:tabs>
          <w:tab w:val="right" w:pos="5954"/>
          <w:tab w:val="right" w:pos="7371"/>
          <w:tab w:val="right" w:pos="8789"/>
        </w:tabs>
        <w:spacing w:before="120" w:after="120" w:line="240" w:lineRule="auto"/>
        <w:contextualSpacing/>
        <w:rPr>
          <w:rFonts w:ascii="Cambria" w:eastAsia="Times New Roman" w:hAnsi="Cambria" w:cs="Arial"/>
        </w:rPr>
      </w:pPr>
      <w:r w:rsidRPr="009A0DA6">
        <w:rPr>
          <w:rFonts w:ascii="Cambria" w:eastAsia="Times New Roman" w:hAnsi="Cambria" w:cs="Arial"/>
        </w:rPr>
        <w:t>Interest income</w:t>
      </w:r>
      <w:r w:rsidRPr="009A0DA6">
        <w:rPr>
          <w:rFonts w:ascii="Cambria" w:eastAsia="Times New Roman" w:hAnsi="Cambria" w:cs="Arial"/>
        </w:rPr>
        <w:tab/>
        <w:t>31,593</w:t>
      </w:r>
      <w:r w:rsidRPr="009A0DA6">
        <w:rPr>
          <w:rFonts w:ascii="Cambria" w:eastAsia="Times New Roman" w:hAnsi="Cambria" w:cs="Arial"/>
        </w:rPr>
        <w:tab/>
        <w:t>39,041</w:t>
      </w:r>
      <w:r w:rsidRPr="009A0DA6">
        <w:rPr>
          <w:rFonts w:ascii="Cambria" w:eastAsia="Times New Roman" w:hAnsi="Cambria" w:cs="Arial"/>
        </w:rPr>
        <w:tab/>
        <w:t>52,095</w:t>
      </w:r>
    </w:p>
    <w:p w14:paraId="527D9ADF" w14:textId="77777777" w:rsidR="0054360D" w:rsidRPr="009A0DA6" w:rsidRDefault="0054360D" w:rsidP="0054360D">
      <w:pPr>
        <w:tabs>
          <w:tab w:val="right" w:pos="5954"/>
          <w:tab w:val="right" w:pos="7371"/>
          <w:tab w:val="right" w:pos="8789"/>
        </w:tabs>
        <w:spacing w:before="120" w:after="120" w:line="240" w:lineRule="auto"/>
        <w:contextualSpacing/>
        <w:rPr>
          <w:rFonts w:ascii="Cambria" w:eastAsia="Times New Roman" w:hAnsi="Cambria" w:cs="Arial"/>
        </w:rPr>
      </w:pPr>
      <w:r w:rsidRPr="009A0DA6">
        <w:rPr>
          <w:rFonts w:ascii="Cambria" w:eastAsia="Times New Roman" w:hAnsi="Cambria" w:cs="Arial"/>
        </w:rPr>
        <w:t>Regional contributions and donations</w:t>
      </w:r>
      <w:r w:rsidRPr="009A0DA6">
        <w:rPr>
          <w:rFonts w:ascii="Cambria" w:eastAsia="Times New Roman" w:hAnsi="Cambria" w:cs="Arial"/>
        </w:rPr>
        <w:tab/>
        <w:t>12,139</w:t>
      </w:r>
      <w:r w:rsidRPr="009A0DA6">
        <w:rPr>
          <w:rFonts w:ascii="Cambria" w:eastAsia="Times New Roman" w:hAnsi="Cambria" w:cs="Arial"/>
        </w:rPr>
        <w:tab/>
        <w:t>12,377</w:t>
      </w:r>
      <w:r w:rsidRPr="009A0DA6">
        <w:rPr>
          <w:rFonts w:ascii="Cambria" w:eastAsia="Times New Roman" w:hAnsi="Cambria" w:cs="Arial"/>
        </w:rPr>
        <w:tab/>
        <w:t>24,875</w:t>
      </w:r>
    </w:p>
    <w:p w14:paraId="37AB4DDB" w14:textId="77777777" w:rsidR="0054360D" w:rsidRPr="009A0DA6" w:rsidRDefault="0054360D" w:rsidP="0054360D">
      <w:pPr>
        <w:tabs>
          <w:tab w:val="right" w:pos="5954"/>
          <w:tab w:val="right" w:pos="7371"/>
          <w:tab w:val="right" w:pos="8789"/>
        </w:tabs>
        <w:spacing w:before="120" w:after="120" w:line="240" w:lineRule="auto"/>
        <w:contextualSpacing/>
        <w:rPr>
          <w:rFonts w:ascii="Cambria" w:eastAsia="Times New Roman" w:hAnsi="Cambria" w:cs="Arial"/>
        </w:rPr>
      </w:pPr>
      <w:r w:rsidRPr="009A0DA6">
        <w:rPr>
          <w:rFonts w:ascii="Cambria" w:eastAsia="Times New Roman" w:hAnsi="Cambria" w:cs="Arial"/>
        </w:rPr>
        <w:t>LCA contribution</w:t>
      </w:r>
      <w:r w:rsidRPr="009A0DA6">
        <w:rPr>
          <w:rFonts w:ascii="Cambria" w:eastAsia="Times New Roman" w:hAnsi="Cambria" w:cs="Arial"/>
        </w:rPr>
        <w:tab/>
        <w:t>40,000</w:t>
      </w:r>
      <w:r w:rsidRPr="009A0DA6">
        <w:rPr>
          <w:rFonts w:ascii="Cambria" w:eastAsia="Times New Roman" w:hAnsi="Cambria" w:cs="Arial"/>
        </w:rPr>
        <w:tab/>
        <w:t>0</w:t>
      </w:r>
      <w:r w:rsidRPr="009A0DA6">
        <w:rPr>
          <w:rFonts w:ascii="Cambria" w:eastAsia="Times New Roman" w:hAnsi="Cambria" w:cs="Arial"/>
        </w:rPr>
        <w:tab/>
        <w:t>0</w:t>
      </w:r>
    </w:p>
    <w:p w14:paraId="41D6932A" w14:textId="77777777" w:rsidR="0054360D" w:rsidRPr="009A0DA6" w:rsidRDefault="0054360D" w:rsidP="0054360D">
      <w:pPr>
        <w:tabs>
          <w:tab w:val="right" w:pos="5954"/>
          <w:tab w:val="right" w:pos="7371"/>
          <w:tab w:val="right" w:pos="8789"/>
        </w:tabs>
        <w:spacing w:before="120" w:after="120" w:line="240" w:lineRule="auto"/>
        <w:contextualSpacing/>
        <w:rPr>
          <w:rFonts w:ascii="Cambria" w:eastAsia="Times New Roman" w:hAnsi="Cambria" w:cs="Arial"/>
        </w:rPr>
      </w:pPr>
      <w:r w:rsidRPr="009A0DA6">
        <w:rPr>
          <w:rFonts w:ascii="Cambria" w:eastAsia="Times New Roman" w:hAnsi="Cambria" w:cs="Arial"/>
        </w:rPr>
        <w:t>Other sundry income</w:t>
      </w:r>
      <w:r w:rsidRPr="009A0DA6">
        <w:rPr>
          <w:rFonts w:ascii="Cambria" w:eastAsia="Times New Roman" w:hAnsi="Cambria" w:cs="Arial"/>
        </w:rPr>
        <w:tab/>
        <w:t>3,686</w:t>
      </w:r>
      <w:r w:rsidRPr="009A0DA6">
        <w:rPr>
          <w:rFonts w:ascii="Cambria" w:eastAsia="Times New Roman" w:hAnsi="Cambria" w:cs="Arial"/>
        </w:rPr>
        <w:tab/>
        <w:t>3,234</w:t>
      </w:r>
      <w:r w:rsidRPr="009A0DA6">
        <w:rPr>
          <w:rFonts w:ascii="Cambria" w:eastAsia="Times New Roman" w:hAnsi="Cambria" w:cs="Arial"/>
        </w:rPr>
        <w:tab/>
        <w:t>15,051</w:t>
      </w:r>
    </w:p>
    <w:p w14:paraId="5FD88C78" w14:textId="77777777" w:rsidR="0054360D" w:rsidRPr="009A0DA6" w:rsidRDefault="0054360D" w:rsidP="0054360D">
      <w:pPr>
        <w:tabs>
          <w:tab w:val="right" w:pos="5954"/>
          <w:tab w:val="right" w:pos="7371"/>
          <w:tab w:val="right" w:pos="8789"/>
        </w:tabs>
        <w:spacing w:before="120" w:after="120" w:line="240" w:lineRule="auto"/>
        <w:contextualSpacing/>
        <w:rPr>
          <w:rFonts w:ascii="Cambria" w:eastAsia="Times New Roman" w:hAnsi="Cambria" w:cs="Arial"/>
        </w:rPr>
      </w:pPr>
      <w:r w:rsidRPr="009A0DA6">
        <w:rPr>
          <w:rFonts w:ascii="Cambria" w:eastAsia="Times New Roman" w:hAnsi="Cambria" w:cs="Arial"/>
          <w:b/>
          <w:bCs/>
        </w:rPr>
        <w:t>TOTAL INCOME</w:t>
      </w:r>
      <w:r w:rsidRPr="009A0DA6">
        <w:rPr>
          <w:rFonts w:ascii="Cambria" w:eastAsia="Times New Roman" w:hAnsi="Cambria" w:cs="Arial"/>
          <w:b/>
          <w:bCs/>
        </w:rPr>
        <w:tab/>
      </w:r>
      <w:r w:rsidRPr="009A0DA6">
        <w:rPr>
          <w:rFonts w:ascii="Cambria" w:eastAsia="Times New Roman" w:hAnsi="Cambria" w:cs="Arial"/>
        </w:rPr>
        <w:t>1,634,408</w:t>
      </w:r>
      <w:r w:rsidRPr="009A0DA6">
        <w:rPr>
          <w:rFonts w:ascii="Cambria" w:eastAsia="Times New Roman" w:hAnsi="Cambria" w:cs="Arial"/>
        </w:rPr>
        <w:tab/>
        <w:t>1,554,172</w:t>
      </w:r>
      <w:r w:rsidRPr="009A0DA6">
        <w:rPr>
          <w:rFonts w:ascii="Cambria" w:eastAsia="Times New Roman" w:hAnsi="Cambria" w:cs="Arial"/>
        </w:rPr>
        <w:tab/>
        <w:t>1,511,949</w:t>
      </w:r>
    </w:p>
    <w:p w14:paraId="1191CC1C" w14:textId="77777777" w:rsidR="0054360D" w:rsidRPr="009A0DA6" w:rsidRDefault="0054360D" w:rsidP="0054360D">
      <w:pPr>
        <w:tabs>
          <w:tab w:val="right" w:pos="5954"/>
          <w:tab w:val="right" w:pos="7371"/>
          <w:tab w:val="right" w:pos="8789"/>
        </w:tabs>
        <w:spacing w:before="120" w:after="120" w:line="240" w:lineRule="auto"/>
        <w:contextualSpacing/>
        <w:rPr>
          <w:rFonts w:ascii="Cambria" w:eastAsia="Times New Roman" w:hAnsi="Cambria" w:cs="Times New Roman"/>
        </w:rPr>
      </w:pPr>
      <w:r w:rsidRPr="009A0DA6">
        <w:rPr>
          <w:rFonts w:ascii="Cambria" w:eastAsia="Times New Roman" w:hAnsi="Cambria" w:cs="Arial"/>
          <w:b/>
          <w:bCs/>
        </w:rPr>
        <w:t>EXPENDITURE</w:t>
      </w:r>
      <w:r w:rsidRPr="009A0DA6">
        <w:rPr>
          <w:rFonts w:ascii="Cambria" w:eastAsia="Times New Roman" w:hAnsi="Cambria" w:cs="Arial"/>
          <w:b/>
          <w:bCs/>
        </w:rPr>
        <w:tab/>
      </w:r>
      <w:r w:rsidRPr="009A0DA6">
        <w:rPr>
          <w:rFonts w:ascii="Cambria" w:eastAsia="Times New Roman" w:hAnsi="Cambria" w:cs="Times New Roman"/>
        </w:rPr>
        <w:tab/>
      </w:r>
      <w:r w:rsidRPr="009A0DA6">
        <w:rPr>
          <w:rFonts w:ascii="Cambria" w:eastAsia="Times New Roman" w:hAnsi="Cambria" w:cs="Times New Roman"/>
        </w:rPr>
        <w:tab/>
      </w:r>
    </w:p>
    <w:p w14:paraId="215012F5" w14:textId="77777777" w:rsidR="0054360D" w:rsidRPr="009A0DA6" w:rsidRDefault="0054360D" w:rsidP="0054360D">
      <w:pPr>
        <w:tabs>
          <w:tab w:val="right" w:pos="5954"/>
          <w:tab w:val="right" w:pos="7371"/>
          <w:tab w:val="right" w:pos="8789"/>
        </w:tabs>
        <w:spacing w:before="120" w:after="120" w:line="240" w:lineRule="auto"/>
        <w:contextualSpacing/>
        <w:rPr>
          <w:rFonts w:ascii="Cambria" w:eastAsia="Times New Roman" w:hAnsi="Cambria" w:cs="Arial"/>
        </w:rPr>
      </w:pPr>
      <w:r w:rsidRPr="009A0DA6">
        <w:rPr>
          <w:rFonts w:ascii="Cambria" w:eastAsia="Times New Roman" w:hAnsi="Cambria" w:cs="Arial"/>
        </w:rPr>
        <w:t>Administration and operational expenses</w:t>
      </w:r>
      <w:r w:rsidRPr="009A0DA6">
        <w:rPr>
          <w:rFonts w:ascii="Cambria" w:eastAsia="Times New Roman" w:hAnsi="Cambria" w:cs="Arial"/>
        </w:rPr>
        <w:tab/>
        <w:t>134,136</w:t>
      </w:r>
      <w:r w:rsidRPr="009A0DA6">
        <w:rPr>
          <w:rFonts w:ascii="Cambria" w:eastAsia="Times New Roman" w:hAnsi="Cambria" w:cs="Arial"/>
        </w:rPr>
        <w:tab/>
        <w:t>147,782</w:t>
      </w:r>
      <w:r w:rsidRPr="009A0DA6">
        <w:rPr>
          <w:rFonts w:ascii="Cambria" w:eastAsia="Times New Roman" w:hAnsi="Cambria" w:cs="Arial"/>
        </w:rPr>
        <w:tab/>
        <w:t>195,808</w:t>
      </w:r>
    </w:p>
    <w:p w14:paraId="17F4111B" w14:textId="77777777" w:rsidR="0054360D" w:rsidRPr="009A0DA6" w:rsidRDefault="0054360D" w:rsidP="0054360D">
      <w:pPr>
        <w:tabs>
          <w:tab w:val="right" w:pos="5954"/>
          <w:tab w:val="right" w:pos="7371"/>
          <w:tab w:val="right" w:pos="8789"/>
        </w:tabs>
        <w:spacing w:before="120" w:after="120" w:line="240" w:lineRule="auto"/>
        <w:contextualSpacing/>
        <w:rPr>
          <w:rFonts w:ascii="Cambria" w:eastAsia="Times New Roman" w:hAnsi="Cambria" w:cs="Arial"/>
        </w:rPr>
      </w:pPr>
      <w:r w:rsidRPr="009A0DA6">
        <w:rPr>
          <w:rFonts w:ascii="Cambria" w:eastAsia="Times New Roman" w:hAnsi="Cambria" w:cs="Arial"/>
        </w:rPr>
        <w:t>Depreciation and amortisation expense</w:t>
      </w:r>
      <w:r w:rsidRPr="009A0DA6">
        <w:rPr>
          <w:rFonts w:ascii="Cambria" w:eastAsia="Times New Roman" w:hAnsi="Cambria" w:cs="Arial"/>
        </w:rPr>
        <w:tab/>
        <w:t>48,001</w:t>
      </w:r>
      <w:r w:rsidRPr="009A0DA6">
        <w:rPr>
          <w:rFonts w:ascii="Cambria" w:eastAsia="Times New Roman" w:hAnsi="Cambria" w:cs="Arial"/>
        </w:rPr>
        <w:tab/>
        <w:t>64,463</w:t>
      </w:r>
      <w:r w:rsidRPr="009A0DA6">
        <w:rPr>
          <w:rFonts w:ascii="Cambria" w:eastAsia="Times New Roman" w:hAnsi="Cambria" w:cs="Arial"/>
        </w:rPr>
        <w:tab/>
        <w:t>62,180</w:t>
      </w:r>
    </w:p>
    <w:p w14:paraId="0940F2F5" w14:textId="77777777" w:rsidR="0054360D" w:rsidRPr="009A0DA6" w:rsidRDefault="0054360D" w:rsidP="0054360D">
      <w:pPr>
        <w:tabs>
          <w:tab w:val="right" w:pos="5954"/>
          <w:tab w:val="right" w:pos="7371"/>
          <w:tab w:val="right" w:pos="8789"/>
        </w:tabs>
        <w:spacing w:before="120" w:after="120" w:line="240" w:lineRule="auto"/>
        <w:contextualSpacing/>
        <w:rPr>
          <w:rFonts w:ascii="Cambria" w:eastAsia="Times New Roman" w:hAnsi="Cambria" w:cs="Arial"/>
        </w:rPr>
      </w:pPr>
      <w:r w:rsidRPr="009A0DA6">
        <w:rPr>
          <w:rFonts w:ascii="Cambria" w:eastAsia="Times New Roman" w:hAnsi="Cambria" w:cs="Arial"/>
        </w:rPr>
        <w:t>National projects</w:t>
      </w:r>
      <w:r w:rsidRPr="009A0DA6">
        <w:rPr>
          <w:rFonts w:ascii="Cambria" w:eastAsia="Times New Roman" w:hAnsi="Cambria" w:cs="Arial"/>
        </w:rPr>
        <w:tab/>
        <w:t>331,424</w:t>
      </w:r>
      <w:r w:rsidRPr="009A0DA6">
        <w:rPr>
          <w:rFonts w:ascii="Cambria" w:eastAsia="Times New Roman" w:hAnsi="Cambria" w:cs="Arial"/>
        </w:rPr>
        <w:tab/>
        <w:t>259,035</w:t>
      </w:r>
      <w:r w:rsidRPr="009A0DA6">
        <w:rPr>
          <w:rFonts w:ascii="Cambria" w:eastAsia="Times New Roman" w:hAnsi="Cambria" w:cs="Arial"/>
        </w:rPr>
        <w:tab/>
        <w:t>83,807</w:t>
      </w:r>
    </w:p>
    <w:p w14:paraId="1BB552AF" w14:textId="77777777" w:rsidR="0054360D" w:rsidRPr="009A0DA6" w:rsidRDefault="0054360D" w:rsidP="0054360D">
      <w:pPr>
        <w:tabs>
          <w:tab w:val="right" w:pos="5954"/>
          <w:tab w:val="right" w:pos="7371"/>
          <w:tab w:val="right" w:pos="8789"/>
        </w:tabs>
        <w:spacing w:before="120" w:after="120" w:line="240" w:lineRule="auto"/>
        <w:contextualSpacing/>
        <w:rPr>
          <w:rFonts w:ascii="Cambria" w:eastAsia="Times New Roman" w:hAnsi="Cambria" w:cs="Arial"/>
        </w:rPr>
      </w:pPr>
      <w:r w:rsidRPr="009A0DA6">
        <w:rPr>
          <w:rFonts w:ascii="Cambria" w:eastAsia="Times New Roman" w:hAnsi="Cambria" w:cs="Arial"/>
        </w:rPr>
        <w:t>Salary and remuneration expenses</w:t>
      </w:r>
      <w:r w:rsidRPr="009A0DA6">
        <w:rPr>
          <w:rFonts w:ascii="Cambria" w:eastAsia="Times New Roman" w:hAnsi="Cambria" w:cs="Arial"/>
        </w:rPr>
        <w:tab/>
        <w:t>866,598</w:t>
      </w:r>
      <w:r w:rsidRPr="009A0DA6">
        <w:rPr>
          <w:rFonts w:ascii="Cambria" w:eastAsia="Times New Roman" w:hAnsi="Cambria" w:cs="Arial"/>
        </w:rPr>
        <w:tab/>
        <w:t>1,054,145</w:t>
      </w:r>
      <w:r w:rsidRPr="009A0DA6">
        <w:rPr>
          <w:rFonts w:ascii="Cambria" w:eastAsia="Times New Roman" w:hAnsi="Cambria" w:cs="Arial"/>
        </w:rPr>
        <w:tab/>
        <w:t>1,046,242</w:t>
      </w:r>
    </w:p>
    <w:p w14:paraId="1631C776" w14:textId="77777777" w:rsidR="0054360D" w:rsidRPr="009A0DA6" w:rsidRDefault="0054360D" w:rsidP="0054360D">
      <w:pPr>
        <w:tabs>
          <w:tab w:val="right" w:pos="5954"/>
          <w:tab w:val="right" w:pos="7371"/>
          <w:tab w:val="right" w:pos="8789"/>
        </w:tabs>
        <w:spacing w:before="120" w:after="120" w:line="240" w:lineRule="auto"/>
        <w:contextualSpacing/>
        <w:rPr>
          <w:rFonts w:ascii="Cambria" w:eastAsia="Times New Roman" w:hAnsi="Cambria" w:cs="Arial"/>
        </w:rPr>
      </w:pPr>
      <w:r w:rsidRPr="009A0DA6">
        <w:rPr>
          <w:rFonts w:ascii="Cambria" w:eastAsia="Times New Roman" w:hAnsi="Cambria" w:cs="Arial"/>
        </w:rPr>
        <w:t>Travel and accommodation expenses</w:t>
      </w:r>
      <w:r w:rsidRPr="009A0DA6">
        <w:rPr>
          <w:rFonts w:ascii="Cambria" w:eastAsia="Times New Roman" w:hAnsi="Cambria" w:cs="Arial"/>
        </w:rPr>
        <w:tab/>
        <w:t>67,766</w:t>
      </w:r>
      <w:r w:rsidRPr="009A0DA6">
        <w:rPr>
          <w:rFonts w:ascii="Cambria" w:eastAsia="Times New Roman" w:hAnsi="Cambria" w:cs="Arial"/>
        </w:rPr>
        <w:tab/>
        <w:t>87,082</w:t>
      </w:r>
      <w:r w:rsidRPr="009A0DA6">
        <w:rPr>
          <w:rFonts w:ascii="Cambria" w:eastAsia="Times New Roman" w:hAnsi="Cambria" w:cs="Arial"/>
        </w:rPr>
        <w:tab/>
        <w:t>142,964</w:t>
      </w:r>
    </w:p>
    <w:p w14:paraId="0EBDC313" w14:textId="77777777" w:rsidR="0054360D" w:rsidRPr="009A0DA6" w:rsidRDefault="0054360D" w:rsidP="0054360D">
      <w:pPr>
        <w:tabs>
          <w:tab w:val="right" w:pos="5954"/>
          <w:tab w:val="right" w:pos="7371"/>
          <w:tab w:val="right" w:pos="8789"/>
        </w:tabs>
        <w:spacing w:before="120" w:after="120" w:line="240" w:lineRule="auto"/>
        <w:contextualSpacing/>
        <w:rPr>
          <w:rFonts w:ascii="Cambria" w:eastAsia="Times New Roman" w:hAnsi="Cambria" w:cs="Arial"/>
        </w:rPr>
      </w:pPr>
      <w:r w:rsidRPr="009A0DA6">
        <w:rPr>
          <w:rFonts w:ascii="Cambria" w:eastAsia="Times New Roman" w:hAnsi="Cambria" w:cs="Arial"/>
        </w:rPr>
        <w:t>Other sundry expenses</w:t>
      </w:r>
      <w:r w:rsidRPr="009A0DA6">
        <w:rPr>
          <w:rFonts w:ascii="Cambria" w:eastAsia="Times New Roman" w:hAnsi="Cambria" w:cs="Arial"/>
        </w:rPr>
        <w:tab/>
        <w:t>6,734</w:t>
      </w:r>
      <w:r w:rsidRPr="009A0DA6">
        <w:rPr>
          <w:rFonts w:ascii="Cambria" w:eastAsia="Times New Roman" w:hAnsi="Cambria" w:cs="Arial"/>
        </w:rPr>
        <w:tab/>
        <w:t>6,181</w:t>
      </w:r>
      <w:r w:rsidRPr="009A0DA6">
        <w:rPr>
          <w:rFonts w:ascii="Cambria" w:eastAsia="Times New Roman" w:hAnsi="Cambria" w:cs="Arial"/>
        </w:rPr>
        <w:tab/>
        <w:t>3,293</w:t>
      </w:r>
    </w:p>
    <w:p w14:paraId="20F17523" w14:textId="77777777" w:rsidR="0054360D" w:rsidRPr="009A0DA6" w:rsidRDefault="0054360D" w:rsidP="0054360D">
      <w:pPr>
        <w:tabs>
          <w:tab w:val="right" w:pos="5954"/>
          <w:tab w:val="right" w:pos="7371"/>
          <w:tab w:val="right" w:pos="8789"/>
        </w:tabs>
        <w:spacing w:before="120" w:after="120" w:line="240" w:lineRule="auto"/>
        <w:contextualSpacing/>
        <w:rPr>
          <w:rFonts w:ascii="Cambria" w:eastAsia="Times New Roman" w:hAnsi="Cambria" w:cs="Arial"/>
        </w:rPr>
      </w:pPr>
      <w:r w:rsidRPr="009A0DA6">
        <w:rPr>
          <w:rFonts w:ascii="Cambria" w:eastAsia="Times New Roman" w:hAnsi="Cambria" w:cs="Arial"/>
        </w:rPr>
        <w:t>Special transfer fund expenses</w:t>
      </w:r>
      <w:r w:rsidRPr="009A0DA6">
        <w:rPr>
          <w:rFonts w:ascii="Cambria" w:eastAsia="Times New Roman" w:hAnsi="Cambria" w:cs="Arial"/>
        </w:rPr>
        <w:tab/>
        <w:t>41,374</w:t>
      </w:r>
      <w:r w:rsidRPr="009A0DA6">
        <w:rPr>
          <w:rFonts w:ascii="Cambria" w:eastAsia="Times New Roman" w:hAnsi="Cambria" w:cs="Arial"/>
        </w:rPr>
        <w:tab/>
        <w:t>43,051</w:t>
      </w:r>
      <w:r w:rsidRPr="009A0DA6">
        <w:rPr>
          <w:rFonts w:ascii="Cambria" w:eastAsia="Times New Roman" w:hAnsi="Cambria" w:cs="Arial"/>
        </w:rPr>
        <w:tab/>
        <w:t>46,982</w:t>
      </w:r>
    </w:p>
    <w:p w14:paraId="6A279342" w14:textId="77777777" w:rsidR="0054360D" w:rsidRPr="009A0DA6" w:rsidRDefault="0054360D" w:rsidP="0054360D">
      <w:pPr>
        <w:tabs>
          <w:tab w:val="right" w:pos="5954"/>
          <w:tab w:val="right" w:pos="7371"/>
          <w:tab w:val="right" w:pos="8789"/>
        </w:tabs>
        <w:spacing w:before="120" w:after="120" w:line="240" w:lineRule="auto"/>
        <w:contextualSpacing/>
        <w:rPr>
          <w:rFonts w:ascii="Cambria" w:eastAsia="Times New Roman" w:hAnsi="Cambria" w:cs="Arial"/>
        </w:rPr>
      </w:pPr>
      <w:r w:rsidRPr="009A0DA6">
        <w:rPr>
          <w:rFonts w:ascii="Cambria" w:eastAsia="Times New Roman" w:hAnsi="Cambria" w:cs="Arial"/>
          <w:b/>
          <w:bCs/>
        </w:rPr>
        <w:t>TOTAL EXPENDITURE</w:t>
      </w:r>
      <w:r w:rsidRPr="009A0DA6">
        <w:rPr>
          <w:rFonts w:ascii="Cambria" w:eastAsia="Times New Roman" w:hAnsi="Cambria" w:cs="Arial"/>
          <w:b/>
          <w:bCs/>
        </w:rPr>
        <w:tab/>
      </w:r>
      <w:r w:rsidRPr="009A0DA6">
        <w:rPr>
          <w:rFonts w:ascii="Cambria" w:eastAsia="Times New Roman" w:hAnsi="Cambria" w:cs="Arial"/>
        </w:rPr>
        <w:t>1,496,033</w:t>
      </w:r>
      <w:r w:rsidRPr="009A0DA6">
        <w:rPr>
          <w:rFonts w:ascii="Cambria" w:eastAsia="Times New Roman" w:hAnsi="Cambria" w:cs="Arial"/>
        </w:rPr>
        <w:tab/>
        <w:t>1,661,739</w:t>
      </w:r>
      <w:r w:rsidRPr="009A0DA6">
        <w:rPr>
          <w:rFonts w:ascii="Cambria" w:eastAsia="Times New Roman" w:hAnsi="Cambria" w:cs="Arial"/>
        </w:rPr>
        <w:tab/>
        <w:t>1,581,276</w:t>
      </w:r>
    </w:p>
    <w:p w14:paraId="0B493920" w14:textId="77777777" w:rsidR="0054360D" w:rsidRPr="009A0DA6" w:rsidRDefault="0054360D" w:rsidP="0054360D">
      <w:pPr>
        <w:tabs>
          <w:tab w:val="right" w:pos="5954"/>
          <w:tab w:val="right" w:pos="7371"/>
          <w:tab w:val="right" w:pos="8789"/>
        </w:tabs>
        <w:spacing w:before="120" w:after="120" w:line="240" w:lineRule="auto"/>
        <w:contextualSpacing/>
        <w:rPr>
          <w:rFonts w:ascii="Cambria" w:eastAsia="Times New Roman" w:hAnsi="Cambria" w:cs="Times New Roman"/>
        </w:rPr>
      </w:pPr>
      <w:r w:rsidRPr="009A0DA6">
        <w:rPr>
          <w:rFonts w:ascii="Cambria" w:eastAsia="Times New Roman" w:hAnsi="Cambria" w:cs="Arial"/>
          <w:b/>
          <w:bCs/>
        </w:rPr>
        <w:t>OTHER INCOME AND EXPENDITURE</w:t>
      </w:r>
      <w:r w:rsidRPr="009A0DA6">
        <w:rPr>
          <w:rFonts w:ascii="Cambria" w:eastAsia="Times New Roman" w:hAnsi="Cambria" w:cs="Arial"/>
          <w:b/>
          <w:bCs/>
        </w:rPr>
        <w:tab/>
      </w:r>
      <w:r w:rsidRPr="009A0DA6">
        <w:rPr>
          <w:rFonts w:ascii="Cambria" w:eastAsia="Times New Roman" w:hAnsi="Cambria" w:cs="Times New Roman"/>
        </w:rPr>
        <w:tab/>
      </w:r>
      <w:r w:rsidRPr="009A0DA6">
        <w:rPr>
          <w:rFonts w:ascii="Cambria" w:eastAsia="Times New Roman" w:hAnsi="Cambria" w:cs="Times New Roman"/>
        </w:rPr>
        <w:tab/>
      </w:r>
    </w:p>
    <w:p w14:paraId="1321348E" w14:textId="77777777" w:rsidR="0054360D" w:rsidRPr="009A0DA6" w:rsidRDefault="0054360D" w:rsidP="0054360D">
      <w:pPr>
        <w:tabs>
          <w:tab w:val="right" w:pos="5954"/>
          <w:tab w:val="right" w:pos="7371"/>
          <w:tab w:val="right" w:pos="8789"/>
        </w:tabs>
        <w:spacing w:before="120" w:after="120" w:line="240" w:lineRule="auto"/>
        <w:contextualSpacing/>
        <w:rPr>
          <w:rFonts w:ascii="Cambria" w:eastAsia="Times New Roman" w:hAnsi="Cambria" w:cs="Arial"/>
        </w:rPr>
      </w:pPr>
      <w:r w:rsidRPr="009A0DA6">
        <w:rPr>
          <w:rFonts w:ascii="Cambria" w:eastAsia="Times New Roman" w:hAnsi="Cambria" w:cs="Arial"/>
        </w:rPr>
        <w:t>Income received through reserve accounts</w:t>
      </w:r>
      <w:r w:rsidRPr="009A0DA6">
        <w:rPr>
          <w:rFonts w:ascii="Cambria" w:eastAsia="Times New Roman" w:hAnsi="Cambria" w:cs="Arial"/>
        </w:rPr>
        <w:tab/>
        <w:t>203,851</w:t>
      </w:r>
      <w:r w:rsidRPr="009A0DA6">
        <w:rPr>
          <w:rFonts w:ascii="Cambria" w:eastAsia="Times New Roman" w:hAnsi="Cambria" w:cs="Arial"/>
        </w:rPr>
        <w:tab/>
        <w:t>144</w:t>
      </w:r>
      <w:r w:rsidRPr="009A0DA6">
        <w:rPr>
          <w:rFonts w:ascii="Cambria" w:eastAsia="Times New Roman" w:hAnsi="Cambria" w:cs="Arial"/>
        </w:rPr>
        <w:tab/>
        <w:t>169</w:t>
      </w:r>
    </w:p>
    <w:p w14:paraId="7BE9DA56" w14:textId="77777777" w:rsidR="0054360D" w:rsidRPr="009A0DA6" w:rsidRDefault="0054360D" w:rsidP="0054360D">
      <w:pPr>
        <w:tabs>
          <w:tab w:val="right" w:pos="5954"/>
          <w:tab w:val="right" w:pos="7371"/>
          <w:tab w:val="right" w:pos="8789"/>
        </w:tabs>
        <w:spacing w:before="120" w:after="120" w:line="240" w:lineRule="auto"/>
        <w:contextualSpacing/>
        <w:rPr>
          <w:rFonts w:ascii="Cambria" w:eastAsia="Times New Roman" w:hAnsi="Cambria" w:cs="Arial"/>
        </w:rPr>
      </w:pPr>
      <w:r w:rsidRPr="009A0DA6">
        <w:rPr>
          <w:rFonts w:ascii="Cambria" w:eastAsia="Times New Roman" w:hAnsi="Cambria" w:cs="Arial"/>
        </w:rPr>
        <w:t>Interest added to reserve accounts</w:t>
      </w:r>
      <w:r w:rsidRPr="009A0DA6">
        <w:rPr>
          <w:rFonts w:ascii="Cambria" w:eastAsia="Times New Roman" w:hAnsi="Cambria" w:cs="Arial"/>
        </w:rPr>
        <w:tab/>
        <w:t>839</w:t>
      </w:r>
      <w:r w:rsidRPr="009A0DA6">
        <w:rPr>
          <w:rFonts w:ascii="Cambria" w:eastAsia="Times New Roman" w:hAnsi="Cambria" w:cs="Arial"/>
        </w:rPr>
        <w:tab/>
        <w:t>2,225</w:t>
      </w:r>
      <w:r w:rsidRPr="009A0DA6">
        <w:rPr>
          <w:rFonts w:ascii="Cambria" w:eastAsia="Times New Roman" w:hAnsi="Cambria" w:cs="Arial"/>
        </w:rPr>
        <w:tab/>
        <w:t>2,484</w:t>
      </w:r>
    </w:p>
    <w:p w14:paraId="556A22A2" w14:textId="77777777" w:rsidR="0054360D" w:rsidRPr="009A0DA6" w:rsidRDefault="0054360D" w:rsidP="0054360D">
      <w:pPr>
        <w:tabs>
          <w:tab w:val="right" w:pos="5954"/>
          <w:tab w:val="right" w:pos="7371"/>
          <w:tab w:val="right" w:pos="8789"/>
        </w:tabs>
        <w:spacing w:before="120" w:after="120" w:line="240" w:lineRule="auto"/>
        <w:contextualSpacing/>
        <w:rPr>
          <w:rFonts w:ascii="Cambria" w:eastAsia="Times New Roman" w:hAnsi="Cambria" w:cs="Arial"/>
        </w:rPr>
      </w:pPr>
      <w:r w:rsidRPr="009A0DA6">
        <w:rPr>
          <w:rFonts w:ascii="Cambria" w:eastAsia="Times New Roman" w:hAnsi="Cambria" w:cs="Arial"/>
        </w:rPr>
        <w:t>Expenditure paid from reserve accounts</w:t>
      </w:r>
      <w:r w:rsidRPr="009A0DA6">
        <w:rPr>
          <w:rFonts w:ascii="Cambria" w:eastAsia="Times New Roman" w:hAnsi="Cambria" w:cs="Arial"/>
        </w:rPr>
        <w:tab/>
        <w:t>(76,015)</w:t>
      </w:r>
      <w:r w:rsidRPr="009A0DA6">
        <w:rPr>
          <w:rFonts w:ascii="Cambria" w:eastAsia="Times New Roman" w:hAnsi="Cambria" w:cs="Arial"/>
        </w:rPr>
        <w:tab/>
        <w:t>(63,750)</w:t>
      </w:r>
      <w:r w:rsidRPr="009A0DA6">
        <w:rPr>
          <w:rFonts w:ascii="Cambria" w:eastAsia="Times New Roman" w:hAnsi="Cambria" w:cs="Arial"/>
        </w:rPr>
        <w:tab/>
        <w:t>(236,889)</w:t>
      </w:r>
    </w:p>
    <w:p w14:paraId="63BF7166" w14:textId="77777777" w:rsidR="0054360D" w:rsidRPr="009A0DA6" w:rsidRDefault="0054360D" w:rsidP="0054360D">
      <w:pPr>
        <w:tabs>
          <w:tab w:val="right" w:pos="5954"/>
          <w:tab w:val="right" w:pos="7371"/>
          <w:tab w:val="right" w:pos="8789"/>
        </w:tabs>
        <w:spacing w:before="120" w:after="120" w:line="240" w:lineRule="auto"/>
        <w:contextualSpacing/>
        <w:rPr>
          <w:rFonts w:ascii="Cambria" w:eastAsia="Times New Roman" w:hAnsi="Cambria" w:cs="Arial"/>
        </w:rPr>
      </w:pPr>
      <w:r w:rsidRPr="009A0DA6">
        <w:rPr>
          <w:rFonts w:ascii="Cambria" w:eastAsia="Times New Roman" w:hAnsi="Cambria" w:cs="Arial"/>
          <w:b/>
          <w:bCs/>
        </w:rPr>
        <w:t>TOTAL OTHER INCOME AND EXPENDITURE</w:t>
      </w:r>
      <w:r w:rsidRPr="009A0DA6">
        <w:rPr>
          <w:rFonts w:ascii="Cambria" w:eastAsia="Times New Roman" w:hAnsi="Cambria" w:cs="Arial"/>
          <w:b/>
          <w:bCs/>
        </w:rPr>
        <w:tab/>
      </w:r>
      <w:r w:rsidRPr="009A0DA6">
        <w:rPr>
          <w:rFonts w:ascii="Cambria" w:eastAsia="Times New Roman" w:hAnsi="Cambria" w:cs="Arial"/>
        </w:rPr>
        <w:t>128,675</w:t>
      </w:r>
      <w:r w:rsidRPr="009A0DA6">
        <w:rPr>
          <w:rFonts w:ascii="Cambria" w:eastAsia="Times New Roman" w:hAnsi="Cambria" w:cs="Arial"/>
        </w:rPr>
        <w:tab/>
        <w:t>(61,381)</w:t>
      </w:r>
      <w:r w:rsidRPr="009A0DA6">
        <w:rPr>
          <w:rFonts w:ascii="Cambria" w:eastAsia="Times New Roman" w:hAnsi="Cambria" w:cs="Arial"/>
        </w:rPr>
        <w:tab/>
        <w:t>(234,236)</w:t>
      </w:r>
    </w:p>
    <w:p w14:paraId="426E3A02" w14:textId="77777777" w:rsidR="0054360D" w:rsidRPr="009A0DA6" w:rsidRDefault="0054360D" w:rsidP="0054360D">
      <w:pPr>
        <w:tabs>
          <w:tab w:val="right" w:pos="5954"/>
          <w:tab w:val="right" w:pos="7371"/>
          <w:tab w:val="right" w:pos="8789"/>
        </w:tabs>
        <w:spacing w:before="120" w:after="120" w:line="240" w:lineRule="auto"/>
        <w:contextualSpacing/>
        <w:rPr>
          <w:rFonts w:ascii="Cambria" w:eastAsia="Times New Roman" w:hAnsi="Cambria" w:cs="Arial"/>
        </w:rPr>
      </w:pPr>
      <w:r w:rsidRPr="009A0DA6">
        <w:rPr>
          <w:rFonts w:ascii="Cambria" w:eastAsia="Times New Roman" w:hAnsi="Cambria" w:cs="Arial"/>
          <w:b/>
          <w:bCs/>
        </w:rPr>
        <w:t>SURPLUS  (DEFICIT) BEFORE RESERVE TRANSFERS</w:t>
      </w:r>
      <w:r w:rsidRPr="009A0DA6">
        <w:rPr>
          <w:rFonts w:ascii="Cambria" w:eastAsia="Times New Roman" w:hAnsi="Cambria" w:cs="Arial"/>
          <w:b/>
          <w:bCs/>
        </w:rPr>
        <w:tab/>
      </w:r>
      <w:r w:rsidRPr="009A0DA6">
        <w:rPr>
          <w:rFonts w:ascii="Cambria" w:eastAsia="Times New Roman" w:hAnsi="Cambria" w:cs="Arial"/>
        </w:rPr>
        <w:t>267,050</w:t>
      </w:r>
      <w:r w:rsidRPr="009A0DA6">
        <w:rPr>
          <w:rFonts w:ascii="Cambria" w:eastAsia="Times New Roman" w:hAnsi="Cambria" w:cs="Arial"/>
        </w:rPr>
        <w:tab/>
        <w:t>(168,948)</w:t>
      </w:r>
      <w:r w:rsidRPr="009A0DA6">
        <w:rPr>
          <w:rFonts w:ascii="Cambria" w:eastAsia="Times New Roman" w:hAnsi="Cambria" w:cs="Arial"/>
        </w:rPr>
        <w:tab/>
        <w:t>(303,563)</w:t>
      </w:r>
    </w:p>
    <w:p w14:paraId="19B44468" w14:textId="77777777" w:rsidR="0054360D" w:rsidRPr="009A0DA6" w:rsidRDefault="0054360D" w:rsidP="0054360D">
      <w:pPr>
        <w:tabs>
          <w:tab w:val="right" w:pos="5954"/>
          <w:tab w:val="right" w:pos="7371"/>
          <w:tab w:val="right" w:pos="8789"/>
        </w:tabs>
        <w:spacing w:before="120" w:after="120" w:line="240" w:lineRule="auto"/>
        <w:contextualSpacing/>
        <w:rPr>
          <w:rFonts w:ascii="Cambria" w:eastAsia="Times New Roman" w:hAnsi="Cambria" w:cs="Arial"/>
        </w:rPr>
      </w:pPr>
      <w:r w:rsidRPr="009A0DA6">
        <w:rPr>
          <w:rFonts w:ascii="Cambria" w:eastAsia="Times New Roman" w:hAnsi="Cambria" w:cs="Arial"/>
        </w:rPr>
        <w:t>Transfers (to) reserve accounts</w:t>
      </w:r>
      <w:r w:rsidRPr="009A0DA6">
        <w:rPr>
          <w:rFonts w:ascii="Cambria" w:eastAsia="Times New Roman" w:hAnsi="Cambria" w:cs="Arial"/>
        </w:rPr>
        <w:tab/>
        <w:t>(130,536)</w:t>
      </w:r>
      <w:r w:rsidRPr="009A0DA6">
        <w:rPr>
          <w:rFonts w:ascii="Cambria" w:eastAsia="Times New Roman" w:hAnsi="Cambria" w:cs="Arial"/>
        </w:rPr>
        <w:tab/>
        <w:t>120,045</w:t>
      </w:r>
      <w:r w:rsidRPr="009A0DA6">
        <w:rPr>
          <w:rFonts w:ascii="Cambria" w:eastAsia="Times New Roman" w:hAnsi="Cambria" w:cs="Arial"/>
        </w:rPr>
        <w:tab/>
        <w:t>226,714</w:t>
      </w:r>
    </w:p>
    <w:p w14:paraId="33B10FEA" w14:textId="5EBE286C" w:rsidR="0054360D" w:rsidRPr="009A0DA6" w:rsidRDefault="0054360D" w:rsidP="0054360D">
      <w:pPr>
        <w:tabs>
          <w:tab w:val="right" w:pos="5954"/>
          <w:tab w:val="right" w:pos="7371"/>
          <w:tab w:val="right" w:pos="8789"/>
        </w:tabs>
        <w:spacing w:before="120" w:after="120" w:line="240" w:lineRule="auto"/>
        <w:contextualSpacing/>
        <w:rPr>
          <w:rFonts w:ascii="Cambria" w:eastAsia="Times New Roman" w:hAnsi="Cambria" w:cs="Arial"/>
        </w:rPr>
      </w:pPr>
      <w:r w:rsidRPr="009A0DA6">
        <w:rPr>
          <w:rFonts w:ascii="Cambria" w:eastAsia="Times New Roman" w:hAnsi="Cambria" w:cs="Arial"/>
          <w:b/>
          <w:bCs/>
        </w:rPr>
        <w:t xml:space="preserve">NET SURPLUS (DEFICIT) AFTER </w:t>
      </w:r>
      <w:r w:rsidR="00446899">
        <w:rPr>
          <w:rFonts w:ascii="Cambria" w:eastAsia="Times New Roman" w:hAnsi="Cambria" w:cs="Arial"/>
          <w:b/>
          <w:bCs/>
        </w:rPr>
        <w:br/>
      </w:r>
      <w:r w:rsidRPr="009A0DA6">
        <w:rPr>
          <w:rFonts w:ascii="Cambria" w:eastAsia="Times New Roman" w:hAnsi="Cambria" w:cs="Arial"/>
          <w:b/>
          <w:bCs/>
        </w:rPr>
        <w:t>RESERVE TRANSFERS</w:t>
      </w:r>
      <w:r w:rsidRPr="009A0DA6">
        <w:rPr>
          <w:rFonts w:ascii="Cambria" w:eastAsia="Times New Roman" w:hAnsi="Cambria" w:cs="Arial"/>
          <w:b/>
          <w:bCs/>
        </w:rPr>
        <w:tab/>
      </w:r>
      <w:r w:rsidRPr="00427D2C">
        <w:rPr>
          <w:rFonts w:ascii="Cambria" w:eastAsia="Times New Roman" w:hAnsi="Cambria" w:cs="Arial"/>
          <w:b/>
        </w:rPr>
        <w:t>136,514</w:t>
      </w:r>
      <w:r w:rsidRPr="00427D2C">
        <w:rPr>
          <w:rFonts w:ascii="Cambria" w:eastAsia="Times New Roman" w:hAnsi="Cambria" w:cs="Arial"/>
          <w:b/>
        </w:rPr>
        <w:tab/>
        <w:t>(48,903)</w:t>
      </w:r>
      <w:r w:rsidRPr="00427D2C">
        <w:rPr>
          <w:rFonts w:ascii="Cambria" w:eastAsia="Times New Roman" w:hAnsi="Cambria" w:cs="Arial"/>
          <w:b/>
        </w:rPr>
        <w:tab/>
        <w:t>(76,849)</w:t>
      </w:r>
    </w:p>
    <w:p w14:paraId="17801E79" w14:textId="77777777" w:rsidR="0054360D" w:rsidRPr="009A0DA6" w:rsidRDefault="0054360D" w:rsidP="00446899">
      <w:pPr>
        <w:pStyle w:val="NoSpacing"/>
        <w:rPr>
          <w:b/>
        </w:rPr>
      </w:pPr>
      <w:r w:rsidRPr="009A0DA6">
        <w:rPr>
          <w:b/>
        </w:rPr>
        <w:lastRenderedPageBreak/>
        <w:t>STATEMENT OF FINANCIAL POSITION</w:t>
      </w:r>
    </w:p>
    <w:p w14:paraId="291DC061" w14:textId="77777777" w:rsidR="0054360D" w:rsidRPr="009A0DA6" w:rsidRDefault="0054360D" w:rsidP="0054360D">
      <w:pPr>
        <w:pStyle w:val="NoSpacing"/>
        <w:rPr>
          <w:b/>
        </w:rPr>
      </w:pPr>
      <w:r w:rsidRPr="009A0DA6">
        <w:rPr>
          <w:b/>
        </w:rPr>
        <w:t xml:space="preserve">FOR THE </w:t>
      </w:r>
      <w:r>
        <w:rPr>
          <w:b/>
        </w:rPr>
        <w:t>PERIODS ENDING</w:t>
      </w:r>
      <w:r w:rsidRPr="009A0DA6">
        <w:rPr>
          <w:b/>
        </w:rPr>
        <w:t xml:space="preserve"> 31 DECEMBER </w:t>
      </w:r>
    </w:p>
    <w:p w14:paraId="756A1A75" w14:textId="77777777" w:rsidR="0054360D" w:rsidRPr="009A0DA6" w:rsidRDefault="0054360D" w:rsidP="0054360D">
      <w:pPr>
        <w:tabs>
          <w:tab w:val="right" w:pos="5954"/>
          <w:tab w:val="right" w:pos="7371"/>
          <w:tab w:val="right" w:pos="8789"/>
        </w:tabs>
        <w:spacing w:before="120" w:after="120" w:line="240" w:lineRule="auto"/>
        <w:contextualSpacing/>
        <w:rPr>
          <w:rFonts w:ascii="Cambria" w:eastAsia="Times New Roman" w:hAnsi="Cambria" w:cs="Arial"/>
          <w:b/>
          <w:bCs/>
          <w:lang w:eastAsia="ja-JP"/>
        </w:rPr>
      </w:pPr>
      <w:r w:rsidRPr="009A0DA6">
        <w:rPr>
          <w:rFonts w:ascii="Cambria" w:eastAsia="Times New Roman" w:hAnsi="Cambria" w:cs="Times New Roman"/>
        </w:rPr>
        <w:tab/>
      </w:r>
      <w:r w:rsidRPr="009A0DA6">
        <w:rPr>
          <w:rFonts w:ascii="Cambria" w:eastAsia="Times New Roman" w:hAnsi="Cambria" w:cs="Arial"/>
          <w:b/>
          <w:bCs/>
        </w:rPr>
        <w:t>2017</w:t>
      </w:r>
      <w:r w:rsidRPr="009A0DA6">
        <w:rPr>
          <w:rFonts w:ascii="Cambria" w:eastAsia="Times New Roman" w:hAnsi="Cambria" w:cs="Arial"/>
          <w:b/>
          <w:bCs/>
        </w:rPr>
        <w:tab/>
        <w:t>2016</w:t>
      </w:r>
      <w:r w:rsidRPr="009A0DA6">
        <w:rPr>
          <w:rFonts w:ascii="Cambria" w:eastAsia="Times New Roman" w:hAnsi="Cambria" w:cs="Arial"/>
          <w:b/>
          <w:bCs/>
        </w:rPr>
        <w:tab/>
        <w:t>2015</w:t>
      </w:r>
    </w:p>
    <w:p w14:paraId="0285F6D0" w14:textId="77777777" w:rsidR="0054360D" w:rsidRPr="009A0DA6" w:rsidRDefault="0054360D" w:rsidP="0054360D">
      <w:pPr>
        <w:tabs>
          <w:tab w:val="right" w:pos="5954"/>
          <w:tab w:val="right" w:pos="7371"/>
          <w:tab w:val="right" w:pos="8789"/>
        </w:tabs>
        <w:spacing w:before="120" w:after="120" w:line="240" w:lineRule="auto"/>
        <w:contextualSpacing/>
        <w:rPr>
          <w:rFonts w:ascii="Cambria" w:eastAsia="Times New Roman" w:hAnsi="Cambria" w:cs="Arial"/>
          <w:b/>
          <w:bCs/>
        </w:rPr>
      </w:pPr>
      <w:r w:rsidRPr="009A0DA6">
        <w:rPr>
          <w:rFonts w:ascii="Cambria" w:eastAsia="Times New Roman" w:hAnsi="Cambria" w:cs="Arial"/>
          <w:b/>
          <w:bCs/>
        </w:rPr>
        <w:t>CURRENT ASSETS</w:t>
      </w:r>
      <w:r w:rsidRPr="009A0DA6">
        <w:rPr>
          <w:rFonts w:ascii="Cambria" w:eastAsia="Times New Roman" w:hAnsi="Cambria" w:cs="Arial"/>
          <w:b/>
          <w:bCs/>
        </w:rPr>
        <w:tab/>
      </w:r>
      <w:r w:rsidRPr="009A0DA6">
        <w:rPr>
          <w:rFonts w:ascii="Cambria" w:eastAsia="Times New Roman" w:hAnsi="Cambria" w:cs="Arial"/>
          <w:b/>
          <w:bCs/>
        </w:rPr>
        <w:tab/>
      </w:r>
      <w:r w:rsidRPr="009A0DA6">
        <w:rPr>
          <w:rFonts w:ascii="Cambria" w:eastAsia="Times New Roman" w:hAnsi="Cambria" w:cs="Arial"/>
          <w:b/>
          <w:bCs/>
        </w:rPr>
        <w:tab/>
      </w:r>
    </w:p>
    <w:p w14:paraId="685A4A39" w14:textId="77777777" w:rsidR="0054360D" w:rsidRPr="009A0DA6" w:rsidRDefault="0054360D" w:rsidP="0054360D">
      <w:pPr>
        <w:tabs>
          <w:tab w:val="right" w:pos="5954"/>
          <w:tab w:val="right" w:pos="7371"/>
          <w:tab w:val="right" w:pos="8789"/>
        </w:tabs>
        <w:spacing w:before="120" w:after="120" w:line="240" w:lineRule="auto"/>
        <w:contextualSpacing/>
        <w:rPr>
          <w:rFonts w:ascii="Cambria" w:eastAsia="Times New Roman" w:hAnsi="Cambria" w:cs="Arial"/>
        </w:rPr>
      </w:pPr>
      <w:r w:rsidRPr="009A0DA6">
        <w:rPr>
          <w:rFonts w:ascii="Cambria" w:eastAsia="Times New Roman" w:hAnsi="Cambria" w:cs="Arial"/>
        </w:rPr>
        <w:t>Cash assets</w:t>
      </w:r>
      <w:r w:rsidRPr="009A0DA6">
        <w:rPr>
          <w:rFonts w:ascii="Cambria" w:eastAsia="Times New Roman" w:hAnsi="Cambria" w:cs="Arial"/>
        </w:rPr>
        <w:tab/>
        <w:t>1,762,486</w:t>
      </w:r>
      <w:r w:rsidRPr="009A0DA6">
        <w:rPr>
          <w:rFonts w:ascii="Cambria" w:eastAsia="Times New Roman" w:hAnsi="Cambria" w:cs="Arial"/>
        </w:rPr>
        <w:tab/>
        <w:t>1,559,617</w:t>
      </w:r>
      <w:r w:rsidRPr="009A0DA6">
        <w:rPr>
          <w:rFonts w:ascii="Cambria" w:eastAsia="Times New Roman" w:hAnsi="Cambria" w:cs="Arial"/>
        </w:rPr>
        <w:tab/>
        <w:t>1,782,163</w:t>
      </w:r>
    </w:p>
    <w:p w14:paraId="6ADE638B" w14:textId="77777777" w:rsidR="0054360D" w:rsidRPr="009A0DA6" w:rsidRDefault="0054360D" w:rsidP="0054360D">
      <w:pPr>
        <w:tabs>
          <w:tab w:val="right" w:pos="5954"/>
          <w:tab w:val="right" w:pos="7371"/>
          <w:tab w:val="right" w:pos="8789"/>
        </w:tabs>
        <w:spacing w:before="120" w:after="120" w:line="240" w:lineRule="auto"/>
        <w:contextualSpacing/>
        <w:rPr>
          <w:rFonts w:ascii="Cambria" w:eastAsia="Times New Roman" w:hAnsi="Cambria" w:cs="Arial"/>
        </w:rPr>
      </w:pPr>
      <w:r w:rsidRPr="009A0DA6">
        <w:rPr>
          <w:rFonts w:ascii="Cambria" w:eastAsia="Times New Roman" w:hAnsi="Cambria" w:cs="Arial"/>
        </w:rPr>
        <w:t>Trade and other receivables</w:t>
      </w:r>
      <w:r w:rsidRPr="009A0DA6">
        <w:rPr>
          <w:rFonts w:ascii="Cambria" w:eastAsia="Times New Roman" w:hAnsi="Cambria" w:cs="Arial"/>
        </w:rPr>
        <w:tab/>
        <w:t>96,726</w:t>
      </w:r>
      <w:r w:rsidRPr="009A0DA6">
        <w:rPr>
          <w:rFonts w:ascii="Cambria" w:eastAsia="Times New Roman" w:hAnsi="Cambria" w:cs="Arial"/>
        </w:rPr>
        <w:tab/>
        <w:t>60,542</w:t>
      </w:r>
      <w:r w:rsidRPr="009A0DA6">
        <w:rPr>
          <w:rFonts w:ascii="Cambria" w:eastAsia="Times New Roman" w:hAnsi="Cambria" w:cs="Arial"/>
        </w:rPr>
        <w:tab/>
        <w:t>151,402</w:t>
      </w:r>
    </w:p>
    <w:p w14:paraId="709DBF7C" w14:textId="77777777" w:rsidR="0054360D" w:rsidRPr="009A0DA6" w:rsidRDefault="0054360D" w:rsidP="0054360D">
      <w:pPr>
        <w:tabs>
          <w:tab w:val="right" w:pos="5954"/>
          <w:tab w:val="right" w:pos="7371"/>
          <w:tab w:val="right" w:pos="8789"/>
        </w:tabs>
        <w:spacing w:before="120" w:after="120" w:line="240" w:lineRule="auto"/>
        <w:contextualSpacing/>
        <w:rPr>
          <w:rFonts w:ascii="Cambria" w:eastAsia="Times New Roman" w:hAnsi="Cambria" w:cs="Arial"/>
          <w:b/>
        </w:rPr>
      </w:pPr>
      <w:r w:rsidRPr="009A0DA6">
        <w:rPr>
          <w:rFonts w:ascii="Cambria" w:eastAsia="Times New Roman" w:hAnsi="Cambria" w:cs="Arial"/>
          <w:b/>
          <w:bCs/>
        </w:rPr>
        <w:t>TOTAL CURRENT ASSETS</w:t>
      </w:r>
      <w:r w:rsidRPr="009A0DA6">
        <w:rPr>
          <w:rFonts w:ascii="Cambria" w:eastAsia="Times New Roman" w:hAnsi="Cambria" w:cs="Arial"/>
          <w:b/>
          <w:bCs/>
        </w:rPr>
        <w:tab/>
      </w:r>
      <w:r w:rsidRPr="009A0DA6">
        <w:rPr>
          <w:rFonts w:ascii="Cambria" w:eastAsia="Times New Roman" w:hAnsi="Cambria" w:cs="Arial"/>
          <w:b/>
        </w:rPr>
        <w:t>1,859,212</w:t>
      </w:r>
      <w:r w:rsidRPr="009A0DA6">
        <w:rPr>
          <w:rFonts w:ascii="Cambria" w:eastAsia="Times New Roman" w:hAnsi="Cambria" w:cs="Arial"/>
          <w:b/>
        </w:rPr>
        <w:tab/>
        <w:t>1,620,159</w:t>
      </w:r>
      <w:r w:rsidRPr="009A0DA6">
        <w:rPr>
          <w:rFonts w:ascii="Cambria" w:eastAsia="Times New Roman" w:hAnsi="Cambria" w:cs="Arial"/>
          <w:b/>
        </w:rPr>
        <w:tab/>
        <w:t>1,933,565</w:t>
      </w:r>
    </w:p>
    <w:p w14:paraId="6EC7D8C7" w14:textId="77777777" w:rsidR="0054360D" w:rsidRPr="009A0DA6" w:rsidRDefault="0054360D" w:rsidP="0054360D">
      <w:pPr>
        <w:tabs>
          <w:tab w:val="right" w:pos="5954"/>
          <w:tab w:val="right" w:pos="7371"/>
          <w:tab w:val="right" w:pos="8789"/>
        </w:tabs>
        <w:spacing w:before="120" w:after="120" w:line="240" w:lineRule="auto"/>
        <w:contextualSpacing/>
        <w:rPr>
          <w:rFonts w:ascii="Cambria" w:eastAsia="Times New Roman" w:hAnsi="Cambria" w:cs="Times New Roman"/>
        </w:rPr>
      </w:pPr>
      <w:r w:rsidRPr="009A0DA6">
        <w:rPr>
          <w:rFonts w:ascii="Cambria" w:eastAsia="Times New Roman" w:hAnsi="Cambria" w:cs="Arial"/>
        </w:rPr>
        <w:tab/>
      </w:r>
      <w:r w:rsidRPr="009A0DA6">
        <w:rPr>
          <w:rFonts w:ascii="Cambria" w:eastAsia="Times New Roman" w:hAnsi="Cambria" w:cs="Times New Roman"/>
        </w:rPr>
        <w:tab/>
      </w:r>
      <w:r w:rsidRPr="009A0DA6">
        <w:rPr>
          <w:rFonts w:ascii="Cambria" w:eastAsia="Times New Roman" w:hAnsi="Cambria" w:cs="Times New Roman"/>
        </w:rPr>
        <w:tab/>
      </w:r>
    </w:p>
    <w:p w14:paraId="03D43751" w14:textId="77777777" w:rsidR="0054360D" w:rsidRPr="009A0DA6" w:rsidRDefault="0054360D" w:rsidP="0054360D">
      <w:pPr>
        <w:tabs>
          <w:tab w:val="right" w:pos="5954"/>
          <w:tab w:val="right" w:pos="7371"/>
          <w:tab w:val="right" w:pos="8789"/>
        </w:tabs>
        <w:spacing w:before="120" w:after="120" w:line="240" w:lineRule="auto"/>
        <w:contextualSpacing/>
        <w:rPr>
          <w:rFonts w:ascii="Cambria" w:eastAsia="Times New Roman" w:hAnsi="Cambria" w:cs="Arial"/>
          <w:b/>
          <w:bCs/>
        </w:rPr>
      </w:pPr>
      <w:r w:rsidRPr="009A0DA6">
        <w:rPr>
          <w:rFonts w:ascii="Cambria" w:eastAsia="Times New Roman" w:hAnsi="Cambria" w:cs="Arial"/>
          <w:b/>
          <w:bCs/>
        </w:rPr>
        <w:t>NON-CURRENT ASSETS</w:t>
      </w:r>
      <w:r w:rsidRPr="009A0DA6">
        <w:rPr>
          <w:rFonts w:ascii="Cambria" w:eastAsia="Times New Roman" w:hAnsi="Cambria" w:cs="Arial"/>
          <w:b/>
          <w:bCs/>
        </w:rPr>
        <w:tab/>
      </w:r>
      <w:r w:rsidRPr="009A0DA6">
        <w:rPr>
          <w:rFonts w:ascii="Cambria" w:eastAsia="Times New Roman" w:hAnsi="Cambria" w:cs="Arial"/>
          <w:b/>
          <w:bCs/>
        </w:rPr>
        <w:tab/>
      </w:r>
      <w:r w:rsidRPr="009A0DA6">
        <w:rPr>
          <w:rFonts w:ascii="Cambria" w:eastAsia="Times New Roman" w:hAnsi="Cambria" w:cs="Arial"/>
          <w:b/>
          <w:bCs/>
        </w:rPr>
        <w:tab/>
      </w:r>
    </w:p>
    <w:p w14:paraId="7F5ADCFD" w14:textId="77777777" w:rsidR="0054360D" w:rsidRPr="009A0DA6" w:rsidRDefault="0054360D" w:rsidP="0054360D">
      <w:pPr>
        <w:tabs>
          <w:tab w:val="right" w:pos="5954"/>
          <w:tab w:val="right" w:pos="7371"/>
          <w:tab w:val="right" w:pos="8789"/>
        </w:tabs>
        <w:spacing w:before="120" w:after="120" w:line="240" w:lineRule="auto"/>
        <w:contextualSpacing/>
        <w:rPr>
          <w:rFonts w:ascii="Cambria" w:eastAsia="Times New Roman" w:hAnsi="Cambria" w:cs="Arial"/>
        </w:rPr>
      </w:pPr>
      <w:r w:rsidRPr="009A0DA6">
        <w:rPr>
          <w:rFonts w:ascii="Cambria" w:eastAsia="Times New Roman" w:hAnsi="Cambria" w:cs="Arial"/>
        </w:rPr>
        <w:t>Fixed assets</w:t>
      </w:r>
      <w:r w:rsidRPr="009A0DA6">
        <w:rPr>
          <w:rFonts w:ascii="Cambria" w:eastAsia="Times New Roman" w:hAnsi="Cambria" w:cs="Arial"/>
        </w:rPr>
        <w:tab/>
        <w:t>4,597</w:t>
      </w:r>
      <w:r w:rsidRPr="009A0DA6">
        <w:rPr>
          <w:rFonts w:ascii="Cambria" w:eastAsia="Times New Roman" w:hAnsi="Cambria" w:cs="Arial"/>
        </w:rPr>
        <w:tab/>
        <w:t>7,375</w:t>
      </w:r>
      <w:r w:rsidRPr="009A0DA6">
        <w:rPr>
          <w:rFonts w:ascii="Cambria" w:eastAsia="Times New Roman" w:hAnsi="Cambria" w:cs="Arial"/>
        </w:rPr>
        <w:tab/>
        <w:t>13,377</w:t>
      </w:r>
    </w:p>
    <w:p w14:paraId="5BDCC973" w14:textId="77777777" w:rsidR="0054360D" w:rsidRPr="009A0DA6" w:rsidRDefault="0054360D" w:rsidP="0054360D">
      <w:pPr>
        <w:tabs>
          <w:tab w:val="right" w:pos="5954"/>
          <w:tab w:val="right" w:pos="7371"/>
          <w:tab w:val="right" w:pos="8789"/>
        </w:tabs>
        <w:spacing w:before="120" w:after="120" w:line="240" w:lineRule="auto"/>
        <w:contextualSpacing/>
        <w:rPr>
          <w:rFonts w:ascii="Cambria" w:eastAsia="Times New Roman" w:hAnsi="Cambria" w:cs="Arial"/>
        </w:rPr>
      </w:pPr>
      <w:r w:rsidRPr="009A0DA6">
        <w:rPr>
          <w:rFonts w:ascii="Cambria" w:eastAsia="Times New Roman" w:hAnsi="Cambria" w:cs="Arial"/>
        </w:rPr>
        <w:t>Intangible assets</w:t>
      </w:r>
      <w:r w:rsidRPr="009A0DA6">
        <w:rPr>
          <w:rFonts w:ascii="Cambria" w:eastAsia="Times New Roman" w:hAnsi="Cambria" w:cs="Arial"/>
        </w:rPr>
        <w:tab/>
        <w:t>9,017</w:t>
      </w:r>
      <w:r w:rsidRPr="009A0DA6">
        <w:rPr>
          <w:rFonts w:ascii="Cambria" w:eastAsia="Times New Roman" w:hAnsi="Cambria" w:cs="Arial"/>
        </w:rPr>
        <w:tab/>
        <w:t>35,322</w:t>
      </w:r>
      <w:r w:rsidRPr="009A0DA6">
        <w:rPr>
          <w:rFonts w:ascii="Cambria" w:eastAsia="Times New Roman" w:hAnsi="Cambria" w:cs="Arial"/>
        </w:rPr>
        <w:tab/>
        <w:t>87,665</w:t>
      </w:r>
    </w:p>
    <w:p w14:paraId="40291E37" w14:textId="77777777" w:rsidR="0054360D" w:rsidRPr="009A0DA6" w:rsidRDefault="0054360D" w:rsidP="0054360D">
      <w:pPr>
        <w:tabs>
          <w:tab w:val="right" w:pos="5954"/>
          <w:tab w:val="right" w:pos="7371"/>
          <w:tab w:val="right" w:pos="8789"/>
        </w:tabs>
        <w:spacing w:before="120" w:after="120" w:line="240" w:lineRule="auto"/>
        <w:contextualSpacing/>
        <w:rPr>
          <w:rFonts w:ascii="Cambria" w:eastAsia="Times New Roman" w:hAnsi="Cambria" w:cs="Arial"/>
          <w:b/>
        </w:rPr>
      </w:pPr>
      <w:r w:rsidRPr="009A0DA6">
        <w:rPr>
          <w:rFonts w:ascii="Cambria" w:eastAsia="Times New Roman" w:hAnsi="Cambria" w:cs="Arial"/>
          <w:b/>
          <w:bCs/>
        </w:rPr>
        <w:t>TOTAL NON-CURRENT ASSETS</w:t>
      </w:r>
      <w:r w:rsidRPr="009A0DA6">
        <w:rPr>
          <w:rFonts w:ascii="Cambria" w:eastAsia="Times New Roman" w:hAnsi="Cambria" w:cs="Arial"/>
          <w:b/>
          <w:bCs/>
        </w:rPr>
        <w:tab/>
      </w:r>
      <w:r w:rsidRPr="009A0DA6">
        <w:rPr>
          <w:rFonts w:ascii="Cambria" w:eastAsia="Times New Roman" w:hAnsi="Cambria" w:cs="Arial"/>
          <w:b/>
        </w:rPr>
        <w:t>13,614</w:t>
      </w:r>
      <w:r w:rsidRPr="009A0DA6">
        <w:rPr>
          <w:rFonts w:ascii="Cambria" w:eastAsia="Times New Roman" w:hAnsi="Cambria" w:cs="Arial"/>
          <w:b/>
        </w:rPr>
        <w:tab/>
        <w:t>42,697</w:t>
      </w:r>
      <w:r w:rsidRPr="009A0DA6">
        <w:rPr>
          <w:rFonts w:ascii="Cambria" w:eastAsia="Times New Roman" w:hAnsi="Cambria" w:cs="Arial"/>
          <w:b/>
        </w:rPr>
        <w:tab/>
        <w:t>101,042</w:t>
      </w:r>
    </w:p>
    <w:p w14:paraId="0478EADE" w14:textId="77777777" w:rsidR="0054360D" w:rsidRPr="009A0DA6" w:rsidRDefault="0054360D" w:rsidP="0054360D">
      <w:pPr>
        <w:tabs>
          <w:tab w:val="right" w:pos="5954"/>
          <w:tab w:val="right" w:pos="7371"/>
          <w:tab w:val="right" w:pos="8789"/>
        </w:tabs>
        <w:spacing w:before="120" w:after="120" w:line="240" w:lineRule="auto"/>
        <w:contextualSpacing/>
        <w:rPr>
          <w:rFonts w:ascii="Cambria" w:eastAsia="Times New Roman" w:hAnsi="Cambria" w:cs="Arial"/>
          <w:b/>
        </w:rPr>
      </w:pPr>
      <w:r w:rsidRPr="009A0DA6">
        <w:rPr>
          <w:rFonts w:ascii="Cambria" w:eastAsia="Times New Roman" w:hAnsi="Cambria" w:cs="Arial"/>
          <w:b/>
          <w:bCs/>
        </w:rPr>
        <w:t>TOTAL ASSETS</w:t>
      </w:r>
      <w:r w:rsidRPr="009A0DA6">
        <w:rPr>
          <w:rFonts w:ascii="Cambria" w:eastAsia="Times New Roman" w:hAnsi="Cambria" w:cs="Arial"/>
          <w:b/>
          <w:bCs/>
        </w:rPr>
        <w:tab/>
      </w:r>
      <w:r w:rsidRPr="009A0DA6">
        <w:rPr>
          <w:rFonts w:ascii="Cambria" w:eastAsia="Times New Roman" w:hAnsi="Cambria" w:cs="Arial"/>
          <w:b/>
        </w:rPr>
        <w:t>1,872,826</w:t>
      </w:r>
      <w:r w:rsidRPr="009A0DA6">
        <w:rPr>
          <w:rFonts w:ascii="Cambria" w:eastAsia="Times New Roman" w:hAnsi="Cambria" w:cs="Arial"/>
          <w:b/>
        </w:rPr>
        <w:tab/>
        <w:t>1,662,856</w:t>
      </w:r>
      <w:r w:rsidRPr="009A0DA6">
        <w:rPr>
          <w:rFonts w:ascii="Cambria" w:eastAsia="Times New Roman" w:hAnsi="Cambria" w:cs="Arial"/>
          <w:b/>
        </w:rPr>
        <w:tab/>
        <w:t>2,034,607</w:t>
      </w:r>
    </w:p>
    <w:p w14:paraId="2DD6F3AF" w14:textId="77777777" w:rsidR="0054360D" w:rsidRPr="009A0DA6" w:rsidRDefault="0054360D" w:rsidP="0054360D">
      <w:pPr>
        <w:tabs>
          <w:tab w:val="right" w:pos="5954"/>
          <w:tab w:val="right" w:pos="7371"/>
          <w:tab w:val="right" w:pos="8789"/>
        </w:tabs>
        <w:spacing w:before="120" w:after="120" w:line="240" w:lineRule="auto"/>
        <w:contextualSpacing/>
        <w:rPr>
          <w:rFonts w:ascii="Cambria" w:eastAsia="Times New Roman" w:hAnsi="Cambria" w:cs="Times New Roman"/>
        </w:rPr>
      </w:pPr>
      <w:r w:rsidRPr="009A0DA6">
        <w:rPr>
          <w:rFonts w:ascii="Cambria" w:eastAsia="Times New Roman" w:hAnsi="Cambria" w:cs="Arial"/>
        </w:rPr>
        <w:tab/>
      </w:r>
      <w:r w:rsidRPr="009A0DA6">
        <w:rPr>
          <w:rFonts w:ascii="Cambria" w:eastAsia="Times New Roman" w:hAnsi="Cambria" w:cs="Times New Roman"/>
        </w:rPr>
        <w:tab/>
      </w:r>
      <w:r w:rsidRPr="009A0DA6">
        <w:rPr>
          <w:rFonts w:ascii="Cambria" w:eastAsia="Times New Roman" w:hAnsi="Cambria" w:cs="Times New Roman"/>
        </w:rPr>
        <w:tab/>
      </w:r>
    </w:p>
    <w:p w14:paraId="2A4F3A6C" w14:textId="77777777" w:rsidR="0054360D" w:rsidRPr="009A0DA6" w:rsidRDefault="0054360D" w:rsidP="0054360D">
      <w:pPr>
        <w:tabs>
          <w:tab w:val="right" w:pos="5954"/>
          <w:tab w:val="right" w:pos="7371"/>
          <w:tab w:val="right" w:pos="8789"/>
        </w:tabs>
        <w:spacing w:before="120" w:after="120" w:line="240" w:lineRule="auto"/>
        <w:contextualSpacing/>
        <w:rPr>
          <w:rFonts w:ascii="Cambria" w:eastAsia="Times New Roman" w:hAnsi="Cambria" w:cs="Arial"/>
          <w:b/>
          <w:bCs/>
        </w:rPr>
      </w:pPr>
      <w:r w:rsidRPr="009A0DA6">
        <w:rPr>
          <w:rFonts w:ascii="Cambria" w:eastAsia="Times New Roman" w:hAnsi="Cambria" w:cs="Arial"/>
          <w:b/>
          <w:bCs/>
        </w:rPr>
        <w:t>CURRENT LIABILITIES</w:t>
      </w:r>
      <w:r w:rsidRPr="009A0DA6">
        <w:rPr>
          <w:rFonts w:ascii="Cambria" w:eastAsia="Times New Roman" w:hAnsi="Cambria" w:cs="Arial"/>
          <w:b/>
          <w:bCs/>
        </w:rPr>
        <w:tab/>
      </w:r>
      <w:r w:rsidRPr="009A0DA6">
        <w:rPr>
          <w:rFonts w:ascii="Cambria" w:eastAsia="Times New Roman" w:hAnsi="Cambria" w:cs="Arial"/>
          <w:b/>
          <w:bCs/>
        </w:rPr>
        <w:tab/>
      </w:r>
      <w:r w:rsidRPr="009A0DA6">
        <w:rPr>
          <w:rFonts w:ascii="Cambria" w:eastAsia="Times New Roman" w:hAnsi="Cambria" w:cs="Arial"/>
          <w:b/>
          <w:bCs/>
        </w:rPr>
        <w:tab/>
      </w:r>
    </w:p>
    <w:p w14:paraId="3C80FD67" w14:textId="77777777" w:rsidR="0054360D" w:rsidRPr="009A0DA6" w:rsidRDefault="0054360D" w:rsidP="0054360D">
      <w:pPr>
        <w:tabs>
          <w:tab w:val="right" w:pos="5954"/>
          <w:tab w:val="right" w:pos="7371"/>
          <w:tab w:val="right" w:pos="8789"/>
        </w:tabs>
        <w:spacing w:before="120" w:after="120" w:line="240" w:lineRule="auto"/>
        <w:contextualSpacing/>
        <w:rPr>
          <w:rFonts w:ascii="Cambria" w:eastAsia="Times New Roman" w:hAnsi="Cambria" w:cs="Arial"/>
        </w:rPr>
      </w:pPr>
      <w:r w:rsidRPr="009A0DA6">
        <w:rPr>
          <w:rFonts w:ascii="Cambria" w:eastAsia="Times New Roman" w:hAnsi="Cambria" w:cs="Arial"/>
        </w:rPr>
        <w:t>Trade and other payables</w:t>
      </w:r>
      <w:r w:rsidRPr="009A0DA6">
        <w:rPr>
          <w:rFonts w:ascii="Cambria" w:eastAsia="Times New Roman" w:hAnsi="Cambria" w:cs="Arial"/>
        </w:rPr>
        <w:tab/>
        <w:t>137,412</w:t>
      </w:r>
      <w:r w:rsidRPr="009A0DA6">
        <w:rPr>
          <w:rFonts w:ascii="Cambria" w:eastAsia="Times New Roman" w:hAnsi="Cambria" w:cs="Arial"/>
        </w:rPr>
        <w:tab/>
        <w:t>45,579</w:t>
      </w:r>
      <w:r w:rsidRPr="009A0DA6">
        <w:rPr>
          <w:rFonts w:ascii="Cambria" w:eastAsia="Times New Roman" w:hAnsi="Cambria" w:cs="Arial"/>
        </w:rPr>
        <w:tab/>
        <w:t>178,830</w:t>
      </w:r>
    </w:p>
    <w:p w14:paraId="3B862CCA" w14:textId="77777777" w:rsidR="0054360D" w:rsidRPr="009A0DA6" w:rsidRDefault="0054360D" w:rsidP="0054360D">
      <w:pPr>
        <w:tabs>
          <w:tab w:val="right" w:pos="5954"/>
          <w:tab w:val="right" w:pos="7371"/>
          <w:tab w:val="right" w:pos="8789"/>
        </w:tabs>
        <w:spacing w:before="120" w:after="120" w:line="240" w:lineRule="auto"/>
        <w:contextualSpacing/>
        <w:rPr>
          <w:rFonts w:ascii="Cambria" w:eastAsia="Times New Roman" w:hAnsi="Cambria" w:cs="Arial"/>
        </w:rPr>
      </w:pPr>
      <w:r w:rsidRPr="009A0DA6">
        <w:rPr>
          <w:rFonts w:ascii="Cambria" w:eastAsia="Times New Roman" w:hAnsi="Cambria" w:cs="Arial"/>
        </w:rPr>
        <w:t>Provisions</w:t>
      </w:r>
      <w:r w:rsidRPr="009A0DA6">
        <w:rPr>
          <w:rFonts w:ascii="Cambria" w:eastAsia="Times New Roman" w:hAnsi="Cambria" w:cs="Arial"/>
        </w:rPr>
        <w:tab/>
        <w:t>321,493</w:t>
      </w:r>
      <w:r w:rsidRPr="009A0DA6">
        <w:rPr>
          <w:rFonts w:ascii="Cambria" w:eastAsia="Times New Roman" w:hAnsi="Cambria" w:cs="Arial"/>
        </w:rPr>
        <w:tab/>
        <w:t>367,601</w:t>
      </w:r>
      <w:r w:rsidRPr="009A0DA6">
        <w:rPr>
          <w:rFonts w:ascii="Cambria" w:eastAsia="Times New Roman" w:hAnsi="Cambria" w:cs="Arial"/>
        </w:rPr>
        <w:tab/>
        <w:t>278,464</w:t>
      </w:r>
    </w:p>
    <w:p w14:paraId="25710917" w14:textId="77777777" w:rsidR="0054360D" w:rsidRPr="009A0DA6" w:rsidRDefault="0054360D" w:rsidP="0054360D">
      <w:pPr>
        <w:tabs>
          <w:tab w:val="right" w:pos="5954"/>
          <w:tab w:val="right" w:pos="7371"/>
          <w:tab w:val="right" w:pos="8789"/>
        </w:tabs>
        <w:spacing w:before="120" w:after="120" w:line="240" w:lineRule="auto"/>
        <w:contextualSpacing/>
        <w:rPr>
          <w:rFonts w:ascii="Cambria" w:eastAsia="Times New Roman" w:hAnsi="Cambria" w:cs="Arial"/>
          <w:b/>
        </w:rPr>
      </w:pPr>
      <w:r w:rsidRPr="009A0DA6">
        <w:rPr>
          <w:rFonts w:ascii="Cambria" w:eastAsia="Times New Roman" w:hAnsi="Cambria" w:cs="Arial"/>
          <w:b/>
          <w:bCs/>
        </w:rPr>
        <w:t>TOTAL CURRENT LIABILITIES</w:t>
      </w:r>
      <w:r w:rsidRPr="009A0DA6">
        <w:rPr>
          <w:rFonts w:ascii="Cambria" w:eastAsia="Times New Roman" w:hAnsi="Cambria" w:cs="Arial"/>
          <w:b/>
          <w:bCs/>
        </w:rPr>
        <w:tab/>
      </w:r>
      <w:r w:rsidRPr="009A0DA6">
        <w:rPr>
          <w:rFonts w:ascii="Cambria" w:eastAsia="Times New Roman" w:hAnsi="Cambria" w:cs="Arial"/>
          <w:b/>
        </w:rPr>
        <w:t>458,905</w:t>
      </w:r>
      <w:r w:rsidRPr="009A0DA6">
        <w:rPr>
          <w:rFonts w:ascii="Cambria" w:eastAsia="Times New Roman" w:hAnsi="Cambria" w:cs="Arial"/>
          <w:b/>
        </w:rPr>
        <w:tab/>
        <w:t>413,180</w:t>
      </w:r>
      <w:r w:rsidRPr="009A0DA6">
        <w:rPr>
          <w:rFonts w:ascii="Cambria" w:eastAsia="Times New Roman" w:hAnsi="Cambria" w:cs="Arial"/>
          <w:b/>
        </w:rPr>
        <w:tab/>
        <w:t>457,294</w:t>
      </w:r>
    </w:p>
    <w:p w14:paraId="7C768AAC" w14:textId="77777777" w:rsidR="0054360D" w:rsidRPr="009A0DA6" w:rsidRDefault="0054360D" w:rsidP="0054360D">
      <w:pPr>
        <w:tabs>
          <w:tab w:val="right" w:pos="5954"/>
          <w:tab w:val="right" w:pos="7371"/>
          <w:tab w:val="right" w:pos="8789"/>
        </w:tabs>
        <w:spacing w:before="120" w:after="120" w:line="240" w:lineRule="auto"/>
        <w:contextualSpacing/>
        <w:rPr>
          <w:rFonts w:ascii="Cambria" w:eastAsia="Times New Roman" w:hAnsi="Cambria" w:cs="Arial"/>
          <w:b/>
          <w:bCs/>
        </w:rPr>
      </w:pPr>
      <w:r w:rsidRPr="009A0DA6">
        <w:rPr>
          <w:rFonts w:ascii="Cambria" w:eastAsia="Times New Roman" w:hAnsi="Cambria" w:cs="Arial"/>
          <w:b/>
          <w:bCs/>
        </w:rPr>
        <w:t>NON-CURRENT LIABILITIES</w:t>
      </w:r>
      <w:r w:rsidRPr="009A0DA6">
        <w:rPr>
          <w:rFonts w:ascii="Cambria" w:eastAsia="Times New Roman" w:hAnsi="Cambria" w:cs="Arial"/>
          <w:b/>
          <w:bCs/>
        </w:rPr>
        <w:tab/>
      </w:r>
      <w:r w:rsidRPr="009A0DA6">
        <w:rPr>
          <w:rFonts w:ascii="Cambria" w:eastAsia="Times New Roman" w:hAnsi="Cambria" w:cs="Arial"/>
          <w:b/>
          <w:bCs/>
        </w:rPr>
        <w:tab/>
      </w:r>
      <w:r w:rsidRPr="009A0DA6">
        <w:rPr>
          <w:rFonts w:ascii="Cambria" w:eastAsia="Times New Roman" w:hAnsi="Cambria" w:cs="Arial"/>
          <w:b/>
          <w:bCs/>
        </w:rPr>
        <w:tab/>
      </w:r>
    </w:p>
    <w:p w14:paraId="6AB2E816" w14:textId="77777777" w:rsidR="0054360D" w:rsidRPr="009A0DA6" w:rsidRDefault="0054360D" w:rsidP="0054360D">
      <w:pPr>
        <w:tabs>
          <w:tab w:val="right" w:pos="5954"/>
          <w:tab w:val="right" w:pos="7371"/>
          <w:tab w:val="right" w:pos="8789"/>
        </w:tabs>
        <w:spacing w:before="120" w:after="120" w:line="240" w:lineRule="auto"/>
        <w:contextualSpacing/>
        <w:rPr>
          <w:rFonts w:ascii="Cambria" w:eastAsia="Times New Roman" w:hAnsi="Cambria" w:cs="Arial"/>
        </w:rPr>
      </w:pPr>
      <w:r w:rsidRPr="009A0DA6">
        <w:rPr>
          <w:rFonts w:ascii="Cambria" w:eastAsia="Times New Roman" w:hAnsi="Cambria" w:cs="Arial"/>
        </w:rPr>
        <w:t>Provisions</w:t>
      </w:r>
      <w:r w:rsidRPr="009A0DA6">
        <w:rPr>
          <w:rFonts w:ascii="Cambria" w:eastAsia="Times New Roman" w:hAnsi="Cambria" w:cs="Arial"/>
        </w:rPr>
        <w:tab/>
        <w:t>2,640</w:t>
      </w:r>
      <w:r w:rsidRPr="009A0DA6">
        <w:rPr>
          <w:rFonts w:ascii="Cambria" w:eastAsia="Times New Roman" w:hAnsi="Cambria" w:cs="Arial"/>
        </w:rPr>
        <w:tab/>
        <w:t>9,829</w:t>
      </w:r>
      <w:r w:rsidRPr="009A0DA6">
        <w:rPr>
          <w:rFonts w:ascii="Cambria" w:eastAsia="Times New Roman" w:hAnsi="Cambria" w:cs="Arial"/>
        </w:rPr>
        <w:tab/>
        <w:t>7,352</w:t>
      </w:r>
    </w:p>
    <w:p w14:paraId="6C7E7AB7" w14:textId="77777777" w:rsidR="0054360D" w:rsidRPr="009A0DA6" w:rsidRDefault="0054360D" w:rsidP="0054360D">
      <w:pPr>
        <w:tabs>
          <w:tab w:val="right" w:pos="5954"/>
          <w:tab w:val="right" w:pos="7371"/>
          <w:tab w:val="right" w:pos="8789"/>
        </w:tabs>
        <w:spacing w:before="120" w:after="120" w:line="240" w:lineRule="auto"/>
        <w:contextualSpacing/>
        <w:rPr>
          <w:rFonts w:ascii="Cambria" w:eastAsia="Times New Roman" w:hAnsi="Cambria" w:cs="Arial"/>
        </w:rPr>
      </w:pPr>
      <w:r w:rsidRPr="009A0DA6">
        <w:rPr>
          <w:rFonts w:ascii="Cambria" w:eastAsia="Times New Roman" w:hAnsi="Cambria" w:cs="Arial"/>
        </w:rPr>
        <w:t xml:space="preserve">Special purpose funds </w:t>
      </w:r>
      <w:r w:rsidRPr="009A0DA6">
        <w:rPr>
          <w:rFonts w:ascii="Cambria" w:eastAsia="Times New Roman" w:hAnsi="Cambria" w:cs="Arial"/>
        </w:rPr>
        <w:tab/>
        <w:t>460,559</w:t>
      </w:r>
      <w:r w:rsidRPr="009A0DA6">
        <w:rPr>
          <w:rFonts w:ascii="Cambria" w:eastAsia="Times New Roman" w:hAnsi="Cambria" w:cs="Arial"/>
        </w:rPr>
        <w:tab/>
        <w:t>556,175</w:t>
      </w:r>
      <w:r w:rsidRPr="009A0DA6">
        <w:rPr>
          <w:rFonts w:ascii="Cambria" w:eastAsia="Times New Roman" w:hAnsi="Cambria" w:cs="Arial"/>
        </w:rPr>
        <w:tab/>
        <w:t>717,341</w:t>
      </w:r>
    </w:p>
    <w:p w14:paraId="4B36BFCE" w14:textId="77777777" w:rsidR="0054360D" w:rsidRPr="009A0DA6" w:rsidRDefault="0054360D" w:rsidP="0054360D">
      <w:pPr>
        <w:tabs>
          <w:tab w:val="right" w:pos="5954"/>
          <w:tab w:val="right" w:pos="7371"/>
          <w:tab w:val="right" w:pos="8789"/>
        </w:tabs>
        <w:spacing w:before="120" w:after="120" w:line="240" w:lineRule="auto"/>
        <w:contextualSpacing/>
        <w:rPr>
          <w:rFonts w:ascii="Cambria" w:eastAsia="Times New Roman" w:hAnsi="Cambria" w:cs="Arial"/>
          <w:b/>
        </w:rPr>
      </w:pPr>
      <w:r w:rsidRPr="009A0DA6">
        <w:rPr>
          <w:rFonts w:ascii="Cambria" w:eastAsia="Times New Roman" w:hAnsi="Cambria" w:cs="Arial"/>
          <w:b/>
          <w:bCs/>
        </w:rPr>
        <w:t>TOTAL NON-CURRENT LIABILITIES</w:t>
      </w:r>
      <w:r w:rsidRPr="009A0DA6">
        <w:rPr>
          <w:rFonts w:ascii="Cambria" w:eastAsia="Times New Roman" w:hAnsi="Cambria" w:cs="Arial"/>
          <w:b/>
          <w:bCs/>
        </w:rPr>
        <w:tab/>
      </w:r>
      <w:r w:rsidRPr="009A0DA6">
        <w:rPr>
          <w:rFonts w:ascii="Cambria" w:eastAsia="Times New Roman" w:hAnsi="Cambria" w:cs="Arial"/>
          <w:b/>
        </w:rPr>
        <w:t>463,199</w:t>
      </w:r>
      <w:r w:rsidRPr="009A0DA6">
        <w:rPr>
          <w:rFonts w:ascii="Cambria" w:eastAsia="Times New Roman" w:hAnsi="Cambria" w:cs="Arial"/>
          <w:b/>
        </w:rPr>
        <w:tab/>
        <w:t>566,004</w:t>
      </w:r>
      <w:r w:rsidRPr="009A0DA6">
        <w:rPr>
          <w:rFonts w:ascii="Cambria" w:eastAsia="Times New Roman" w:hAnsi="Cambria" w:cs="Arial"/>
          <w:b/>
        </w:rPr>
        <w:tab/>
        <w:t>724,693</w:t>
      </w:r>
    </w:p>
    <w:p w14:paraId="0E692F76" w14:textId="77777777" w:rsidR="0054360D" w:rsidRPr="009A0DA6" w:rsidRDefault="0054360D" w:rsidP="0054360D">
      <w:pPr>
        <w:tabs>
          <w:tab w:val="right" w:pos="5954"/>
          <w:tab w:val="right" w:pos="7371"/>
          <w:tab w:val="right" w:pos="8789"/>
        </w:tabs>
        <w:spacing w:before="120" w:after="120" w:line="240" w:lineRule="auto"/>
        <w:contextualSpacing/>
        <w:rPr>
          <w:rFonts w:ascii="Cambria" w:eastAsia="Times New Roman" w:hAnsi="Cambria" w:cs="Arial"/>
          <w:b/>
        </w:rPr>
      </w:pPr>
      <w:r w:rsidRPr="009A0DA6">
        <w:rPr>
          <w:rFonts w:ascii="Cambria" w:eastAsia="Times New Roman" w:hAnsi="Cambria" w:cs="Arial"/>
          <w:b/>
          <w:bCs/>
        </w:rPr>
        <w:t>TOTAL LIABILITIES</w:t>
      </w:r>
      <w:r w:rsidRPr="009A0DA6">
        <w:rPr>
          <w:rFonts w:ascii="Cambria" w:eastAsia="Times New Roman" w:hAnsi="Cambria" w:cs="Arial"/>
          <w:b/>
          <w:bCs/>
        </w:rPr>
        <w:tab/>
      </w:r>
      <w:r w:rsidRPr="009A0DA6">
        <w:rPr>
          <w:rFonts w:ascii="Cambria" w:eastAsia="Times New Roman" w:hAnsi="Cambria" w:cs="Arial"/>
          <w:b/>
        </w:rPr>
        <w:t>922,104</w:t>
      </w:r>
      <w:r w:rsidRPr="009A0DA6">
        <w:rPr>
          <w:rFonts w:ascii="Cambria" w:eastAsia="Times New Roman" w:hAnsi="Cambria" w:cs="Arial"/>
          <w:b/>
        </w:rPr>
        <w:tab/>
        <w:t>979,184</w:t>
      </w:r>
      <w:r w:rsidRPr="009A0DA6">
        <w:rPr>
          <w:rFonts w:ascii="Cambria" w:eastAsia="Times New Roman" w:hAnsi="Cambria" w:cs="Arial"/>
          <w:b/>
        </w:rPr>
        <w:tab/>
        <w:t>1,181,987</w:t>
      </w:r>
    </w:p>
    <w:p w14:paraId="744E6B60" w14:textId="77777777" w:rsidR="0054360D" w:rsidRPr="009A0DA6" w:rsidRDefault="0054360D" w:rsidP="0054360D">
      <w:pPr>
        <w:tabs>
          <w:tab w:val="right" w:pos="5954"/>
          <w:tab w:val="right" w:pos="7371"/>
          <w:tab w:val="right" w:pos="8789"/>
        </w:tabs>
        <w:spacing w:before="120" w:after="120" w:line="240" w:lineRule="auto"/>
        <w:contextualSpacing/>
        <w:rPr>
          <w:rFonts w:ascii="Cambria" w:eastAsia="Times New Roman" w:hAnsi="Cambria" w:cs="Arial"/>
          <w:b/>
        </w:rPr>
      </w:pPr>
      <w:r w:rsidRPr="009A0DA6">
        <w:rPr>
          <w:rFonts w:ascii="Cambria" w:eastAsia="Times New Roman" w:hAnsi="Cambria" w:cs="Arial"/>
          <w:b/>
          <w:bCs/>
        </w:rPr>
        <w:t>NET ASSETS</w:t>
      </w:r>
      <w:r w:rsidRPr="009A0DA6">
        <w:rPr>
          <w:rFonts w:ascii="Cambria" w:eastAsia="Times New Roman" w:hAnsi="Cambria" w:cs="Arial"/>
          <w:b/>
          <w:bCs/>
        </w:rPr>
        <w:tab/>
        <w:t>$</w:t>
      </w:r>
      <w:r w:rsidRPr="009A0DA6">
        <w:rPr>
          <w:rFonts w:ascii="Cambria" w:eastAsia="Times New Roman" w:hAnsi="Cambria" w:cs="Arial"/>
          <w:b/>
        </w:rPr>
        <w:t>950,722</w:t>
      </w:r>
      <w:r w:rsidRPr="009A0DA6">
        <w:rPr>
          <w:rFonts w:ascii="Cambria" w:eastAsia="Times New Roman" w:hAnsi="Cambria" w:cs="Arial"/>
          <w:b/>
        </w:rPr>
        <w:tab/>
        <w:t>$683,672</w:t>
      </w:r>
      <w:r w:rsidRPr="009A0DA6">
        <w:rPr>
          <w:rFonts w:ascii="Cambria" w:eastAsia="Times New Roman" w:hAnsi="Cambria" w:cs="Arial"/>
          <w:b/>
        </w:rPr>
        <w:tab/>
        <w:t>$852,620</w:t>
      </w:r>
    </w:p>
    <w:p w14:paraId="7F7A33D6" w14:textId="77777777" w:rsidR="0054360D" w:rsidRPr="009A0DA6" w:rsidRDefault="0054360D" w:rsidP="0054360D">
      <w:pPr>
        <w:tabs>
          <w:tab w:val="right" w:pos="5954"/>
          <w:tab w:val="right" w:pos="7371"/>
          <w:tab w:val="right" w:pos="8789"/>
        </w:tabs>
        <w:spacing w:before="120" w:after="120" w:line="240" w:lineRule="auto"/>
        <w:contextualSpacing/>
        <w:rPr>
          <w:rFonts w:ascii="Cambria" w:eastAsia="Times New Roman" w:hAnsi="Cambria" w:cs="Arial"/>
          <w:b/>
          <w:bCs/>
        </w:rPr>
      </w:pPr>
      <w:r w:rsidRPr="009A0DA6">
        <w:rPr>
          <w:rFonts w:ascii="Cambria" w:eastAsia="Times New Roman" w:hAnsi="Cambria" w:cs="Arial"/>
          <w:b/>
          <w:bCs/>
        </w:rPr>
        <w:t>EQUITY</w:t>
      </w:r>
      <w:r w:rsidRPr="009A0DA6">
        <w:rPr>
          <w:rFonts w:ascii="Cambria" w:eastAsia="Times New Roman" w:hAnsi="Cambria" w:cs="Arial"/>
          <w:b/>
          <w:bCs/>
        </w:rPr>
        <w:tab/>
      </w:r>
      <w:r w:rsidRPr="009A0DA6">
        <w:rPr>
          <w:rFonts w:ascii="Cambria" w:eastAsia="Times New Roman" w:hAnsi="Cambria" w:cs="Arial"/>
          <w:b/>
          <w:bCs/>
        </w:rPr>
        <w:tab/>
      </w:r>
      <w:r w:rsidRPr="009A0DA6">
        <w:rPr>
          <w:rFonts w:ascii="Cambria" w:eastAsia="Times New Roman" w:hAnsi="Cambria" w:cs="Arial"/>
          <w:b/>
          <w:bCs/>
        </w:rPr>
        <w:tab/>
      </w:r>
    </w:p>
    <w:p w14:paraId="0E23A396" w14:textId="77777777" w:rsidR="0054360D" w:rsidRPr="009A0DA6" w:rsidRDefault="0054360D" w:rsidP="0054360D">
      <w:pPr>
        <w:tabs>
          <w:tab w:val="right" w:pos="5954"/>
          <w:tab w:val="right" w:pos="7371"/>
          <w:tab w:val="right" w:pos="8789"/>
        </w:tabs>
        <w:spacing w:before="120" w:after="120" w:line="240" w:lineRule="auto"/>
        <w:contextualSpacing/>
        <w:rPr>
          <w:rFonts w:ascii="Cambria" w:eastAsia="Times New Roman" w:hAnsi="Cambria" w:cs="Arial"/>
        </w:rPr>
      </w:pPr>
      <w:r w:rsidRPr="009A0DA6">
        <w:rPr>
          <w:rFonts w:ascii="Cambria" w:eastAsia="Times New Roman" w:hAnsi="Cambria" w:cs="Arial"/>
        </w:rPr>
        <w:t>Accumulated (deficits)</w:t>
      </w:r>
      <w:r w:rsidRPr="009A0DA6">
        <w:rPr>
          <w:rFonts w:ascii="Cambria" w:eastAsia="Times New Roman" w:hAnsi="Cambria" w:cs="Arial"/>
        </w:rPr>
        <w:tab/>
        <w:t>(7,599)</w:t>
      </w:r>
      <w:r w:rsidRPr="009A0DA6">
        <w:rPr>
          <w:rFonts w:ascii="Cambria" w:eastAsia="Times New Roman" w:hAnsi="Cambria" w:cs="Arial"/>
        </w:rPr>
        <w:tab/>
        <w:t>(144,113)</w:t>
      </w:r>
      <w:r w:rsidRPr="009A0DA6">
        <w:rPr>
          <w:rFonts w:ascii="Cambria" w:eastAsia="Times New Roman" w:hAnsi="Cambria" w:cs="Arial"/>
        </w:rPr>
        <w:tab/>
        <w:t>(95,210)</w:t>
      </w:r>
    </w:p>
    <w:p w14:paraId="08477B4D" w14:textId="77777777" w:rsidR="0054360D" w:rsidRPr="009A0DA6" w:rsidRDefault="0054360D" w:rsidP="0054360D">
      <w:pPr>
        <w:tabs>
          <w:tab w:val="right" w:pos="5954"/>
          <w:tab w:val="right" w:pos="7371"/>
          <w:tab w:val="right" w:pos="8789"/>
        </w:tabs>
        <w:spacing w:before="120" w:after="120" w:line="240" w:lineRule="auto"/>
        <w:contextualSpacing/>
        <w:rPr>
          <w:rFonts w:ascii="Cambria" w:eastAsia="Times New Roman" w:hAnsi="Cambria" w:cs="Arial"/>
        </w:rPr>
      </w:pPr>
      <w:r w:rsidRPr="009A0DA6">
        <w:rPr>
          <w:rFonts w:ascii="Cambria" w:eastAsia="Times New Roman" w:hAnsi="Cambria" w:cs="Arial"/>
        </w:rPr>
        <w:t>Contributed funds</w:t>
      </w:r>
      <w:r w:rsidRPr="009A0DA6">
        <w:rPr>
          <w:rFonts w:ascii="Cambria" w:eastAsia="Times New Roman" w:hAnsi="Cambria" w:cs="Arial"/>
        </w:rPr>
        <w:tab/>
        <w:t>497,122</w:t>
      </w:r>
      <w:r w:rsidRPr="009A0DA6">
        <w:rPr>
          <w:rFonts w:ascii="Cambria" w:eastAsia="Times New Roman" w:hAnsi="Cambria" w:cs="Arial"/>
        </w:rPr>
        <w:tab/>
        <w:t>497,122</w:t>
      </w:r>
      <w:r w:rsidRPr="009A0DA6">
        <w:rPr>
          <w:rFonts w:ascii="Cambria" w:eastAsia="Times New Roman" w:hAnsi="Cambria" w:cs="Arial"/>
        </w:rPr>
        <w:tab/>
        <w:t>497,122</w:t>
      </w:r>
    </w:p>
    <w:p w14:paraId="3951E93A" w14:textId="77777777" w:rsidR="0054360D" w:rsidRPr="009A0DA6" w:rsidRDefault="0054360D" w:rsidP="0054360D">
      <w:pPr>
        <w:tabs>
          <w:tab w:val="right" w:pos="5954"/>
          <w:tab w:val="right" w:pos="7371"/>
          <w:tab w:val="right" w:pos="8789"/>
        </w:tabs>
        <w:spacing w:before="120" w:after="120" w:line="240" w:lineRule="auto"/>
        <w:contextualSpacing/>
        <w:rPr>
          <w:rFonts w:ascii="Cambria" w:eastAsia="Times New Roman" w:hAnsi="Cambria" w:cs="Arial"/>
        </w:rPr>
      </w:pPr>
      <w:r w:rsidRPr="009A0DA6">
        <w:rPr>
          <w:rFonts w:ascii="Cambria" w:eastAsia="Times New Roman" w:hAnsi="Cambria" w:cs="Arial"/>
        </w:rPr>
        <w:t>Reserves</w:t>
      </w:r>
      <w:r w:rsidRPr="009A0DA6">
        <w:rPr>
          <w:rFonts w:ascii="Cambria" w:eastAsia="Times New Roman" w:hAnsi="Cambria" w:cs="Arial"/>
        </w:rPr>
        <w:tab/>
        <w:t>461,199</w:t>
      </w:r>
      <w:r w:rsidRPr="009A0DA6">
        <w:rPr>
          <w:rFonts w:ascii="Cambria" w:eastAsia="Times New Roman" w:hAnsi="Cambria" w:cs="Arial"/>
        </w:rPr>
        <w:tab/>
        <w:t>330,663</w:t>
      </w:r>
      <w:r w:rsidRPr="009A0DA6">
        <w:rPr>
          <w:rFonts w:ascii="Cambria" w:eastAsia="Times New Roman" w:hAnsi="Cambria" w:cs="Arial"/>
        </w:rPr>
        <w:tab/>
        <w:t>450,708</w:t>
      </w:r>
    </w:p>
    <w:p w14:paraId="166D2F03" w14:textId="77777777" w:rsidR="0054360D" w:rsidRPr="009A0DA6" w:rsidRDefault="0054360D" w:rsidP="0054360D">
      <w:pPr>
        <w:tabs>
          <w:tab w:val="right" w:pos="5954"/>
          <w:tab w:val="right" w:pos="7371"/>
          <w:tab w:val="right" w:pos="8789"/>
        </w:tabs>
        <w:spacing w:before="120" w:after="120" w:line="240" w:lineRule="auto"/>
        <w:contextualSpacing/>
        <w:rPr>
          <w:rFonts w:ascii="Cambria" w:eastAsia="Times New Roman" w:hAnsi="Cambria" w:cs="Arial"/>
          <w:b/>
        </w:rPr>
      </w:pPr>
      <w:r w:rsidRPr="009A0DA6">
        <w:rPr>
          <w:rFonts w:ascii="Cambria" w:eastAsia="Times New Roman" w:hAnsi="Cambria" w:cs="Arial"/>
          <w:b/>
          <w:bCs/>
        </w:rPr>
        <w:t>TOTAL EQUITY</w:t>
      </w:r>
      <w:r w:rsidRPr="009A0DA6">
        <w:rPr>
          <w:rFonts w:ascii="Cambria" w:eastAsia="Times New Roman" w:hAnsi="Cambria" w:cs="Arial"/>
          <w:b/>
          <w:bCs/>
        </w:rPr>
        <w:tab/>
        <w:t>$</w:t>
      </w:r>
      <w:r w:rsidRPr="009A0DA6">
        <w:rPr>
          <w:rFonts w:ascii="Cambria" w:eastAsia="Times New Roman" w:hAnsi="Cambria" w:cs="Arial"/>
          <w:b/>
        </w:rPr>
        <w:t>950,722</w:t>
      </w:r>
      <w:r w:rsidRPr="009A0DA6">
        <w:rPr>
          <w:rFonts w:ascii="Cambria" w:eastAsia="Times New Roman" w:hAnsi="Cambria" w:cs="Arial"/>
          <w:b/>
        </w:rPr>
        <w:tab/>
        <w:t>$683,672</w:t>
      </w:r>
      <w:r w:rsidRPr="009A0DA6">
        <w:rPr>
          <w:rFonts w:ascii="Cambria" w:eastAsia="Times New Roman" w:hAnsi="Cambria" w:cs="Arial"/>
          <w:b/>
        </w:rPr>
        <w:tab/>
        <w:t>$852,620</w:t>
      </w:r>
    </w:p>
    <w:p w14:paraId="75B150DE" w14:textId="799E8F29" w:rsidR="0054360D" w:rsidRDefault="0054360D" w:rsidP="0054360D">
      <w:pPr>
        <w:tabs>
          <w:tab w:val="right" w:pos="5954"/>
          <w:tab w:val="right" w:pos="7371"/>
          <w:tab w:val="right" w:pos="8789"/>
        </w:tabs>
        <w:spacing w:before="120" w:after="120" w:line="240" w:lineRule="auto"/>
        <w:contextualSpacing/>
        <w:rPr>
          <w:rFonts w:ascii="Cambria" w:eastAsia="Times New Roman" w:hAnsi="Cambria" w:cs="Arial"/>
          <w:b/>
        </w:rPr>
      </w:pPr>
    </w:p>
    <w:p w14:paraId="52E70630" w14:textId="03E547AB" w:rsidR="00975F5B" w:rsidRDefault="00975F5B" w:rsidP="0054360D">
      <w:pPr>
        <w:tabs>
          <w:tab w:val="right" w:pos="5954"/>
          <w:tab w:val="right" w:pos="7371"/>
          <w:tab w:val="right" w:pos="8789"/>
        </w:tabs>
        <w:spacing w:before="120" w:after="120" w:line="240" w:lineRule="auto"/>
        <w:contextualSpacing/>
        <w:rPr>
          <w:rFonts w:ascii="Cambria" w:eastAsia="Times New Roman" w:hAnsi="Cambria" w:cs="Arial"/>
          <w:b/>
        </w:rPr>
      </w:pPr>
    </w:p>
    <w:p w14:paraId="0DFB11A3" w14:textId="293D3259" w:rsidR="00975F5B" w:rsidRDefault="00975F5B" w:rsidP="0054360D">
      <w:pPr>
        <w:tabs>
          <w:tab w:val="right" w:pos="5954"/>
          <w:tab w:val="right" w:pos="7371"/>
          <w:tab w:val="right" w:pos="8789"/>
        </w:tabs>
        <w:spacing w:before="120" w:after="120" w:line="240" w:lineRule="auto"/>
        <w:contextualSpacing/>
        <w:rPr>
          <w:rFonts w:ascii="Cambria" w:eastAsia="Times New Roman" w:hAnsi="Cambria" w:cs="Arial"/>
          <w:b/>
        </w:rPr>
      </w:pPr>
    </w:p>
    <w:p w14:paraId="67B43B4F" w14:textId="77777777" w:rsidR="006F210A" w:rsidRDefault="006F210A" w:rsidP="006F210A">
      <w:pPr>
        <w:pStyle w:val="Heading3"/>
      </w:pPr>
      <w:bookmarkStart w:id="506" w:name="_Toc521954595"/>
      <w:r>
        <w:t>agenda 11.4</w:t>
      </w:r>
    </w:p>
    <w:p w14:paraId="08544262" w14:textId="77777777" w:rsidR="006F210A" w:rsidRPr="009A0DA6" w:rsidRDefault="006F210A" w:rsidP="006F210A">
      <w:pPr>
        <w:pStyle w:val="Heading2"/>
      </w:pPr>
      <w:r w:rsidRPr="00D07CC0">
        <w:t>Lutheran Education in Australia review</w:t>
      </w:r>
      <w:bookmarkEnd w:id="506"/>
    </w:p>
    <w:p w14:paraId="238366AC" w14:textId="77777777" w:rsidR="006F210A" w:rsidRPr="009A0DA6" w:rsidRDefault="006F210A" w:rsidP="006F210A">
      <w:pPr>
        <w:pStyle w:val="NoSpacing"/>
      </w:pPr>
    </w:p>
    <w:p w14:paraId="03068963" w14:textId="77777777" w:rsidR="006F210A" w:rsidRPr="009A61BA" w:rsidRDefault="006F210A" w:rsidP="006F210A">
      <w:pPr>
        <w:pStyle w:val="NoSpacing"/>
        <w:rPr>
          <w:i/>
        </w:rPr>
      </w:pPr>
      <w:r w:rsidRPr="009A61BA">
        <w:rPr>
          <w:i/>
        </w:rPr>
        <w:t xml:space="preserve">Submitted by the joint </w:t>
      </w:r>
      <w:r>
        <w:rPr>
          <w:i/>
        </w:rPr>
        <w:t>BLEA/GCC</w:t>
      </w:r>
      <w:r w:rsidRPr="009A61BA">
        <w:rPr>
          <w:i/>
        </w:rPr>
        <w:t xml:space="preserve"> working group</w:t>
      </w:r>
    </w:p>
    <w:p w14:paraId="2CD15795" w14:textId="77777777" w:rsidR="006F210A" w:rsidRPr="009A61BA" w:rsidRDefault="006F210A" w:rsidP="006F210A">
      <w:pPr>
        <w:pStyle w:val="NoSpacing"/>
        <w:rPr>
          <w:i/>
        </w:rPr>
      </w:pPr>
    </w:p>
    <w:p w14:paraId="7619C6F2" w14:textId="77777777" w:rsidR="006F210A" w:rsidRPr="009A0DA6" w:rsidRDefault="006F210A" w:rsidP="006F210A">
      <w:pPr>
        <w:pStyle w:val="Heading3"/>
        <w:ind w:left="567" w:hanging="567"/>
      </w:pPr>
      <w:r w:rsidRPr="009A0DA6">
        <w:t xml:space="preserve">1. </w:t>
      </w:r>
      <w:r w:rsidRPr="009A0DA6">
        <w:tab/>
        <w:t xml:space="preserve">CONTEXT AND PURPOSE OF THE GOVERNANCE REVIEW </w:t>
      </w:r>
    </w:p>
    <w:p w14:paraId="55F21E42" w14:textId="77777777" w:rsidR="006F210A" w:rsidRPr="009A0DA6" w:rsidRDefault="006F210A" w:rsidP="006F210A">
      <w:pPr>
        <w:spacing w:line="240" w:lineRule="auto"/>
        <w:rPr>
          <w:rFonts w:ascii="Cambria" w:hAnsi="Cambria" w:cs="Arial"/>
        </w:rPr>
      </w:pPr>
      <w:r w:rsidRPr="009A0DA6">
        <w:rPr>
          <w:rFonts w:ascii="Cambria" w:hAnsi="Cambria" w:cs="Arial"/>
        </w:rPr>
        <w:t>At the 18</w:t>
      </w:r>
      <w:r w:rsidRPr="009A0DA6">
        <w:rPr>
          <w:rFonts w:ascii="Cambria" w:hAnsi="Cambria" w:cs="Arial"/>
          <w:vertAlign w:val="superscript"/>
        </w:rPr>
        <w:t>th</w:t>
      </w:r>
      <w:r w:rsidRPr="009A0DA6">
        <w:rPr>
          <w:rFonts w:ascii="Cambria" w:hAnsi="Cambria" w:cs="Arial"/>
        </w:rPr>
        <w:t xml:space="preserve"> General Convention of Synod, held in October 2015, the following resolution was adopted by the Synod:</w:t>
      </w:r>
    </w:p>
    <w:p w14:paraId="447FBCFE" w14:textId="77777777" w:rsidR="006F210A" w:rsidRPr="009A0DA6" w:rsidRDefault="006F210A" w:rsidP="006F210A">
      <w:pPr>
        <w:spacing w:line="240" w:lineRule="auto"/>
        <w:ind w:left="851"/>
        <w:rPr>
          <w:rFonts w:ascii="Cambria" w:hAnsi="Cambria"/>
          <w:sz w:val="18"/>
        </w:rPr>
      </w:pPr>
      <w:r w:rsidRPr="009A0DA6">
        <w:rPr>
          <w:rFonts w:ascii="Cambria" w:hAnsi="Cambria"/>
          <w:sz w:val="18"/>
        </w:rPr>
        <w:t xml:space="preserve">RESOLVED that GCC [the Lutheran Church of Australia General Church Council] be authorised to trial a restructure of the National Church functions in a phased approach to provide more effective leadership, governance and other resources that are churchwide, mission-focused, service oriented, efficiently delivered and effective in enacting the decisions of General Synod; and that GCC reports back to General Synod in 2018 on the results of the trial restructure and submit proposals for changes to the Constitution and By-Laws to formalise those structural changes that have been demonstrated to provide more effective leadership, governance and other resources that are churchwide, mission-focused, service oriented, efficiently delivered and effective in enacting the decisions and direction of General Synod. </w:t>
      </w:r>
    </w:p>
    <w:p w14:paraId="73822F24" w14:textId="77777777" w:rsidR="006F210A" w:rsidRPr="009A0DA6" w:rsidRDefault="006F210A" w:rsidP="006F210A">
      <w:pPr>
        <w:spacing w:line="240" w:lineRule="auto"/>
        <w:rPr>
          <w:rFonts w:ascii="Cambria" w:hAnsi="Cambria" w:cs="Arial"/>
        </w:rPr>
      </w:pPr>
      <w:r w:rsidRPr="009A0DA6">
        <w:rPr>
          <w:rFonts w:ascii="Cambria" w:hAnsi="Cambria" w:cs="Arial"/>
        </w:rPr>
        <w:lastRenderedPageBreak/>
        <w:t>The resolution provided a context and way forward for a GCC-LEA [Lutheran Education Australia] governance dialogue process</w:t>
      </w:r>
      <w:r w:rsidRPr="009A0DA6">
        <w:rPr>
          <w:rStyle w:val="FootnoteReference"/>
          <w:rFonts w:ascii="Cambria" w:hAnsi="Cambria" w:cs="Arial"/>
        </w:rPr>
        <w:footnoteReference w:id="39"/>
      </w:r>
      <w:r w:rsidRPr="009A0DA6">
        <w:rPr>
          <w:rFonts w:ascii="Cambria" w:hAnsi="Cambria" w:cs="Arial"/>
        </w:rPr>
        <w:t xml:space="preserve"> culminating in the presentation of the report to GCC in August 2017, </w:t>
      </w:r>
      <w:r w:rsidRPr="009A0DA6">
        <w:rPr>
          <w:rFonts w:ascii="Cambria" w:hAnsi="Cambria" w:cs="Arial"/>
          <w:i/>
        </w:rPr>
        <w:t>Lutheran Education Governance and Administration Review</w:t>
      </w:r>
      <w:r w:rsidRPr="009A0DA6">
        <w:rPr>
          <w:rFonts w:ascii="Cambria" w:hAnsi="Cambria" w:cs="Arial"/>
        </w:rPr>
        <w:t xml:space="preserve">. </w:t>
      </w:r>
    </w:p>
    <w:p w14:paraId="6457743B" w14:textId="77777777" w:rsidR="006F210A" w:rsidRPr="009A0DA6" w:rsidRDefault="006F210A" w:rsidP="006F210A">
      <w:pPr>
        <w:spacing w:line="240" w:lineRule="auto"/>
        <w:rPr>
          <w:rFonts w:ascii="Cambria" w:hAnsi="Cambria" w:cs="Arial"/>
        </w:rPr>
      </w:pPr>
      <w:r w:rsidRPr="009A0DA6">
        <w:rPr>
          <w:rFonts w:ascii="Cambria" w:hAnsi="Cambria" w:cs="Arial"/>
        </w:rPr>
        <w:t>As a consequence, GCC resolved to affirm the governance authority of the board for Lutheran Education Australia (BLEA) for Lutheran education in Australia, for five key, focus areas:</w:t>
      </w:r>
    </w:p>
    <w:p w14:paraId="0A12FAE4" w14:textId="77777777" w:rsidR="006F210A" w:rsidRPr="009A0DA6" w:rsidRDefault="006F210A" w:rsidP="006F210A">
      <w:pPr>
        <w:numPr>
          <w:ilvl w:val="0"/>
          <w:numId w:val="239"/>
        </w:numPr>
        <w:spacing w:line="240" w:lineRule="auto"/>
        <w:ind w:left="567" w:hanging="567"/>
        <w:contextualSpacing/>
        <w:rPr>
          <w:rFonts w:ascii="Cambria" w:hAnsi="Cambria" w:cs="Arial"/>
        </w:rPr>
      </w:pPr>
      <w:r w:rsidRPr="009A0DA6">
        <w:rPr>
          <w:rFonts w:ascii="Cambria" w:hAnsi="Cambria" w:cs="Arial"/>
        </w:rPr>
        <w:t>Setting strategic directions and policy for Lutheran schools</w:t>
      </w:r>
    </w:p>
    <w:p w14:paraId="152FAF2F" w14:textId="77777777" w:rsidR="006F210A" w:rsidRPr="009A0DA6" w:rsidRDefault="006F210A" w:rsidP="006F210A">
      <w:pPr>
        <w:numPr>
          <w:ilvl w:val="0"/>
          <w:numId w:val="239"/>
        </w:numPr>
        <w:spacing w:line="240" w:lineRule="auto"/>
        <w:ind w:left="567" w:hanging="567"/>
        <w:contextualSpacing/>
        <w:rPr>
          <w:rFonts w:ascii="Cambria" w:hAnsi="Cambria" w:cs="Arial"/>
        </w:rPr>
      </w:pPr>
      <w:r w:rsidRPr="009A0DA6">
        <w:rPr>
          <w:rFonts w:ascii="Cambria" w:hAnsi="Cambria" w:cs="Arial"/>
        </w:rPr>
        <w:t>Strengthening Lutheran identity</w:t>
      </w:r>
    </w:p>
    <w:p w14:paraId="616053F2" w14:textId="77777777" w:rsidR="006F210A" w:rsidRPr="009A0DA6" w:rsidRDefault="006F210A" w:rsidP="006F210A">
      <w:pPr>
        <w:numPr>
          <w:ilvl w:val="0"/>
          <w:numId w:val="239"/>
        </w:numPr>
        <w:spacing w:line="240" w:lineRule="auto"/>
        <w:ind w:left="567" w:hanging="567"/>
        <w:contextualSpacing/>
        <w:rPr>
          <w:rFonts w:ascii="Cambria" w:hAnsi="Cambria" w:cs="Arial"/>
        </w:rPr>
      </w:pPr>
      <w:r w:rsidRPr="009A0DA6">
        <w:rPr>
          <w:rFonts w:ascii="Cambria" w:hAnsi="Cambria" w:cs="Arial"/>
        </w:rPr>
        <w:t>Risk oversight (legal, financial and reputational)</w:t>
      </w:r>
    </w:p>
    <w:p w14:paraId="47815BC2" w14:textId="77777777" w:rsidR="006F210A" w:rsidRPr="009A0DA6" w:rsidRDefault="006F210A" w:rsidP="006F210A">
      <w:pPr>
        <w:numPr>
          <w:ilvl w:val="0"/>
          <w:numId w:val="239"/>
        </w:numPr>
        <w:spacing w:line="240" w:lineRule="auto"/>
        <w:ind w:left="567" w:hanging="567"/>
        <w:contextualSpacing/>
        <w:rPr>
          <w:rFonts w:ascii="Cambria" w:hAnsi="Cambria" w:cs="Arial"/>
        </w:rPr>
      </w:pPr>
      <w:r w:rsidRPr="009A0DA6">
        <w:rPr>
          <w:rFonts w:ascii="Cambria" w:hAnsi="Cambria" w:cs="Arial"/>
        </w:rPr>
        <w:t>Formation, leadership succession and development</w:t>
      </w:r>
    </w:p>
    <w:p w14:paraId="48A9EA15" w14:textId="77777777" w:rsidR="006F210A" w:rsidRPr="009A0DA6" w:rsidRDefault="006F210A" w:rsidP="006F210A">
      <w:pPr>
        <w:numPr>
          <w:ilvl w:val="0"/>
          <w:numId w:val="239"/>
        </w:numPr>
        <w:spacing w:line="240" w:lineRule="auto"/>
        <w:ind w:left="567" w:hanging="567"/>
        <w:rPr>
          <w:rFonts w:ascii="Cambria" w:hAnsi="Cambria" w:cs="Arial"/>
        </w:rPr>
      </w:pPr>
      <w:r w:rsidRPr="009A0DA6">
        <w:rPr>
          <w:rFonts w:ascii="Cambria" w:hAnsi="Cambria" w:cs="Arial"/>
        </w:rPr>
        <w:t>Culture</w:t>
      </w:r>
    </w:p>
    <w:p w14:paraId="398601D8" w14:textId="3604A084" w:rsidR="006F210A" w:rsidRPr="009A0DA6" w:rsidRDefault="006F210A" w:rsidP="006F210A">
      <w:pPr>
        <w:spacing w:line="240" w:lineRule="auto"/>
        <w:rPr>
          <w:rFonts w:ascii="Cambria" w:hAnsi="Cambria" w:cs="Arial"/>
        </w:rPr>
      </w:pPr>
      <w:r w:rsidRPr="009A0DA6">
        <w:rPr>
          <w:rFonts w:ascii="Cambria" w:hAnsi="Cambria" w:cs="Arial"/>
        </w:rPr>
        <w:t>GCC also reso</w:t>
      </w:r>
      <w:r w:rsidR="00275B7A">
        <w:rPr>
          <w:rFonts w:ascii="Cambria" w:hAnsi="Cambria" w:cs="Arial"/>
        </w:rPr>
        <w:t>lved to establish a joint GCC/</w:t>
      </w:r>
      <w:r w:rsidRPr="009A0DA6">
        <w:rPr>
          <w:rFonts w:ascii="Cambria" w:hAnsi="Cambria" w:cs="Arial"/>
        </w:rPr>
        <w:t>BLEA working group, led by BLEA, to continue the dialogue process and finalise the review, with an emphasis on governance rather than the administration and management of Lutheran education in Australia. The working group was asked by GCC to make recommendations on any changes, including associated transition or phasing, necessary to the Lutheran education governance structure for presentation to the General Convention of Synod in October, 2018.</w:t>
      </w:r>
    </w:p>
    <w:p w14:paraId="6501899E" w14:textId="77777777" w:rsidR="006F210A" w:rsidRPr="009A0DA6" w:rsidRDefault="006F210A" w:rsidP="006F210A">
      <w:pPr>
        <w:spacing w:line="240" w:lineRule="auto"/>
        <w:rPr>
          <w:rFonts w:ascii="Cambria" w:hAnsi="Cambria" w:cs="Arial"/>
        </w:rPr>
      </w:pPr>
      <w:r w:rsidRPr="009A0DA6">
        <w:rPr>
          <w:rFonts w:ascii="Cambria" w:hAnsi="Cambria" w:cs="Arial"/>
        </w:rPr>
        <w:t xml:space="preserve">Prior to undertaking the consultations with stakeholders, the joint working group met to consider its approach and to formulate ways in which those participating in the consultations would feel empowered to contribute and voice their views openly and honestly. </w:t>
      </w:r>
    </w:p>
    <w:p w14:paraId="07095D8D" w14:textId="77777777" w:rsidR="006F210A" w:rsidRPr="009A0DA6" w:rsidRDefault="006F210A" w:rsidP="006F210A">
      <w:pPr>
        <w:spacing w:line="240" w:lineRule="auto"/>
        <w:rPr>
          <w:rFonts w:ascii="Cambria" w:hAnsi="Cambria" w:cs="Arial"/>
        </w:rPr>
      </w:pPr>
      <w:r w:rsidRPr="009A0DA6">
        <w:rPr>
          <w:rFonts w:ascii="Cambria" w:hAnsi="Cambria" w:cs="Arial"/>
        </w:rPr>
        <w:t xml:space="preserve">The joint working group focused on establishing open dialogue with participants, so that participants would feel free to provide feedback that would likely present the working group with both challenges and opportunities, and which would enable and build trust. </w:t>
      </w:r>
    </w:p>
    <w:p w14:paraId="0D5693F6" w14:textId="77777777" w:rsidR="006F210A" w:rsidRPr="009A0DA6" w:rsidRDefault="006F210A" w:rsidP="006F210A">
      <w:pPr>
        <w:spacing w:line="240" w:lineRule="auto"/>
        <w:rPr>
          <w:rFonts w:ascii="Cambria" w:hAnsi="Cambria" w:cs="Arial"/>
        </w:rPr>
      </w:pPr>
      <w:r w:rsidRPr="009A0DA6">
        <w:rPr>
          <w:rFonts w:ascii="Cambria" w:hAnsi="Cambria" w:cs="Arial"/>
        </w:rPr>
        <w:t xml:space="preserve">In this way, the review was designed to engage the commitment of Lutheran educators to a positive way forward for Lutheran education, in order to serve the best interests of the whole Lutheran education sector across Australia into the future.   </w:t>
      </w:r>
    </w:p>
    <w:p w14:paraId="4D76FE83" w14:textId="77777777" w:rsidR="006F210A" w:rsidRPr="009A0DA6" w:rsidRDefault="006F210A" w:rsidP="006F210A">
      <w:pPr>
        <w:spacing w:line="240" w:lineRule="auto"/>
        <w:rPr>
          <w:rFonts w:ascii="Cambria" w:hAnsi="Cambria" w:cs="Arial"/>
        </w:rPr>
      </w:pPr>
      <w:r w:rsidRPr="009A0DA6">
        <w:rPr>
          <w:rFonts w:ascii="Cambria" w:hAnsi="Cambria" w:cs="Arial"/>
        </w:rPr>
        <w:t xml:space="preserve">As such, key priorities for the joint group were to ensure that all of the stakeholders with whom the group consulted were assured that the process would be a listening exercise first and foremost: that all participants would be able to express their views and perspectives without fear or favour, and that no preconceived or presumed beliefs, judgements, or assumptions would direct or influence the review or its findings or outcomes. Participants were assured that the review was designed to ensure that all voices in Lutheran education would be heard, and would assist in shaping the future of Lutheran education going forward. </w:t>
      </w:r>
    </w:p>
    <w:p w14:paraId="690EBFA1" w14:textId="77777777" w:rsidR="006F210A" w:rsidRPr="009A0DA6" w:rsidRDefault="006F210A" w:rsidP="006F210A">
      <w:pPr>
        <w:spacing w:line="240" w:lineRule="auto"/>
        <w:rPr>
          <w:rFonts w:ascii="Cambria" w:hAnsi="Cambria" w:cs="Arial"/>
        </w:rPr>
      </w:pPr>
      <w:r w:rsidRPr="009A0DA6">
        <w:rPr>
          <w:rFonts w:ascii="Cambria" w:hAnsi="Cambria" w:cs="Arial"/>
        </w:rPr>
        <w:t>This report provides the key findings from the joint group’s consultations and proposes a number of recommended actions arising from these findings. The appendices to this report outline the process undertaken by the joint group for the review (which was conducted from December 2017 to March 2018), the consultation schedule, and provide other associated documentation.</w:t>
      </w:r>
    </w:p>
    <w:p w14:paraId="75DA6DBC" w14:textId="77777777" w:rsidR="006F210A" w:rsidRPr="009A0DA6" w:rsidRDefault="006F210A" w:rsidP="006F210A">
      <w:pPr>
        <w:pStyle w:val="Heading3"/>
        <w:ind w:left="567" w:hanging="567"/>
      </w:pPr>
      <w:r w:rsidRPr="009A0DA6">
        <w:lastRenderedPageBreak/>
        <w:t xml:space="preserve">2. </w:t>
      </w:r>
      <w:r w:rsidRPr="009A0DA6">
        <w:tab/>
        <w:t>POSITIVE OBSERVATIONS</w:t>
      </w:r>
    </w:p>
    <w:p w14:paraId="57B0B4DD" w14:textId="77777777" w:rsidR="006F210A" w:rsidRPr="009A0DA6" w:rsidRDefault="006F210A" w:rsidP="006F210A">
      <w:pPr>
        <w:pStyle w:val="FootnoteText"/>
        <w:spacing w:after="160"/>
        <w:ind w:left="567" w:hanging="567"/>
        <w:rPr>
          <w:rFonts w:ascii="Cambria" w:hAnsi="Cambria"/>
          <w:sz w:val="22"/>
          <w:szCs w:val="22"/>
        </w:rPr>
      </w:pPr>
      <w:r w:rsidRPr="009A0DA6">
        <w:rPr>
          <w:rFonts w:ascii="Cambria" w:hAnsi="Cambria" w:cs="Arial"/>
          <w:sz w:val="22"/>
          <w:szCs w:val="22"/>
        </w:rPr>
        <w:t>2.1</w:t>
      </w:r>
      <w:r w:rsidRPr="009A0DA6">
        <w:rPr>
          <w:rFonts w:ascii="Cambria" w:hAnsi="Cambria" w:cs="Arial"/>
          <w:sz w:val="22"/>
          <w:szCs w:val="22"/>
        </w:rPr>
        <w:tab/>
        <w:t xml:space="preserve">The review found that there was a universal and unified desire within the Lutheran education community – schools, congregations, regions and districts – for a vibrant, sustainable Lutheran education system into the future. </w:t>
      </w:r>
    </w:p>
    <w:p w14:paraId="31176DF5" w14:textId="77777777" w:rsidR="006F210A" w:rsidRPr="009A0DA6" w:rsidRDefault="006F210A" w:rsidP="006F210A">
      <w:pPr>
        <w:pStyle w:val="FootnoteText"/>
        <w:spacing w:after="160"/>
        <w:ind w:left="567"/>
        <w:rPr>
          <w:rFonts w:ascii="Cambria" w:hAnsi="Cambria" w:cs="Arial"/>
          <w:sz w:val="22"/>
          <w:szCs w:val="22"/>
        </w:rPr>
      </w:pPr>
      <w:r w:rsidRPr="009A0DA6">
        <w:rPr>
          <w:rFonts w:ascii="Cambria" w:hAnsi="Cambria" w:cs="Arial"/>
          <w:sz w:val="22"/>
          <w:szCs w:val="22"/>
        </w:rPr>
        <w:t xml:space="preserve">The Lutheran education community is committed to ensuring that the Lutheran education sector – which is small compared to other non-government education sectors – remains viable and sustainable over the long term. </w:t>
      </w:r>
    </w:p>
    <w:p w14:paraId="6AE22A84" w14:textId="77777777" w:rsidR="006F210A" w:rsidRPr="009A0DA6" w:rsidRDefault="006F210A" w:rsidP="006F210A">
      <w:pPr>
        <w:pStyle w:val="FootnoteText"/>
        <w:spacing w:after="160"/>
        <w:ind w:left="567" w:hanging="567"/>
        <w:rPr>
          <w:rFonts w:ascii="Cambria" w:hAnsi="Cambria"/>
          <w:sz w:val="22"/>
          <w:szCs w:val="22"/>
        </w:rPr>
      </w:pPr>
      <w:r w:rsidRPr="009A0DA6">
        <w:rPr>
          <w:rFonts w:ascii="Cambria" w:hAnsi="Cambria" w:cs="Arial"/>
          <w:sz w:val="22"/>
          <w:szCs w:val="22"/>
        </w:rPr>
        <w:t>2.2</w:t>
      </w:r>
      <w:r w:rsidRPr="009A0DA6">
        <w:rPr>
          <w:rFonts w:ascii="Cambria" w:hAnsi="Cambria" w:cs="Arial"/>
          <w:sz w:val="22"/>
          <w:szCs w:val="22"/>
        </w:rPr>
        <w:tab/>
        <w:t>The review found that there is a strong commitment to the values, principles and ‘ethos’ of Lutheran education, ensuring students at Lutheran schools and educational institutions can experience the Gospel of Christ.</w:t>
      </w:r>
    </w:p>
    <w:p w14:paraId="0185F3FB" w14:textId="77777777" w:rsidR="006F210A" w:rsidRPr="009A0DA6" w:rsidRDefault="006F210A" w:rsidP="006F210A">
      <w:pPr>
        <w:pStyle w:val="FootnoteText"/>
        <w:spacing w:after="160"/>
        <w:ind w:left="567"/>
        <w:rPr>
          <w:rFonts w:ascii="Cambria" w:hAnsi="Cambria" w:cs="Arial"/>
          <w:sz w:val="22"/>
          <w:szCs w:val="22"/>
        </w:rPr>
      </w:pPr>
      <w:r w:rsidRPr="009A0DA6">
        <w:rPr>
          <w:rFonts w:ascii="Cambria" w:hAnsi="Cambria" w:cs="Arial"/>
          <w:sz w:val="22"/>
          <w:szCs w:val="22"/>
        </w:rPr>
        <w:t>While the consultations showed that, within the Lutheran education community there are different interpretations of what so-called ‘Lutheran identity’ might entail, there is nevertheless a shared understanding of the importance of the Gospel as the foundation of Lutheran theology and practice within the church, and within its schools as an extension of the church.</w:t>
      </w:r>
    </w:p>
    <w:p w14:paraId="0AED9890" w14:textId="77777777" w:rsidR="006F210A" w:rsidRPr="009A0DA6" w:rsidRDefault="006F210A" w:rsidP="006F210A">
      <w:pPr>
        <w:pStyle w:val="FootnoteText"/>
        <w:spacing w:after="160"/>
        <w:ind w:left="567" w:hanging="567"/>
        <w:rPr>
          <w:rFonts w:ascii="Cambria" w:hAnsi="Cambria" w:cs="Arial"/>
          <w:sz w:val="22"/>
          <w:szCs w:val="22"/>
        </w:rPr>
      </w:pPr>
      <w:r w:rsidRPr="009A0DA6">
        <w:rPr>
          <w:rFonts w:ascii="Cambria" w:hAnsi="Cambria" w:cs="Arial"/>
          <w:sz w:val="22"/>
          <w:szCs w:val="22"/>
        </w:rPr>
        <w:t>2.3</w:t>
      </w:r>
      <w:r w:rsidRPr="009A0DA6">
        <w:rPr>
          <w:rFonts w:ascii="Cambria" w:hAnsi="Cambria" w:cs="Arial"/>
          <w:sz w:val="22"/>
          <w:szCs w:val="22"/>
        </w:rPr>
        <w:tab/>
        <w:t xml:space="preserve">The review found that there is a shared commitment within the Lutheran education community to mission and ministry – Lutheran schools are seen as an important part of the church’s mission to bring people to Christ. </w:t>
      </w:r>
    </w:p>
    <w:p w14:paraId="58027E84" w14:textId="77777777" w:rsidR="006F210A" w:rsidRPr="009A0DA6" w:rsidRDefault="006F210A" w:rsidP="006F210A">
      <w:pPr>
        <w:pStyle w:val="FootnoteText"/>
        <w:spacing w:after="160"/>
        <w:ind w:left="567"/>
        <w:rPr>
          <w:rFonts w:ascii="Cambria" w:hAnsi="Cambria" w:cs="Arial"/>
          <w:sz w:val="22"/>
          <w:szCs w:val="22"/>
        </w:rPr>
      </w:pPr>
      <w:r w:rsidRPr="009A0DA6">
        <w:rPr>
          <w:rFonts w:ascii="Cambria" w:hAnsi="Cambria" w:cs="Arial"/>
          <w:sz w:val="22"/>
          <w:szCs w:val="22"/>
        </w:rPr>
        <w:t xml:space="preserve">There is a very strong recognition that within a church that is struggling to maintain and grow members in its congregations, schools represent a significant opportunity to reach out to students and their families, who may have little prior connection to a church. Schools see mission as a fundamental and important part of their core ‘business’. </w:t>
      </w:r>
    </w:p>
    <w:p w14:paraId="72BC67C0" w14:textId="77777777" w:rsidR="006F210A" w:rsidRPr="009A0DA6" w:rsidRDefault="006F210A" w:rsidP="006F210A">
      <w:pPr>
        <w:pStyle w:val="FootnoteText"/>
        <w:spacing w:after="160"/>
        <w:ind w:left="567" w:hanging="567"/>
        <w:rPr>
          <w:rFonts w:ascii="Cambria" w:hAnsi="Cambria" w:cs="Arial"/>
          <w:sz w:val="22"/>
          <w:szCs w:val="22"/>
        </w:rPr>
      </w:pPr>
      <w:r w:rsidRPr="009A0DA6">
        <w:rPr>
          <w:rFonts w:ascii="Cambria" w:hAnsi="Cambria" w:cs="Arial"/>
          <w:sz w:val="22"/>
          <w:szCs w:val="22"/>
        </w:rPr>
        <w:t>2.4</w:t>
      </w:r>
      <w:r w:rsidRPr="009A0DA6">
        <w:rPr>
          <w:rFonts w:ascii="Cambria" w:hAnsi="Cambria" w:cs="Arial"/>
          <w:sz w:val="22"/>
          <w:szCs w:val="22"/>
        </w:rPr>
        <w:tab/>
        <w:t xml:space="preserve">The review found that the Lutheran education community is characterised by a desire for all within that community to work together for shared goals and purposes. </w:t>
      </w:r>
    </w:p>
    <w:p w14:paraId="40E53885" w14:textId="77777777" w:rsidR="006F210A" w:rsidRPr="009A0DA6" w:rsidRDefault="006F210A" w:rsidP="006F210A">
      <w:pPr>
        <w:pStyle w:val="FootnoteText"/>
        <w:spacing w:after="160"/>
        <w:ind w:left="567"/>
        <w:rPr>
          <w:rFonts w:ascii="Cambria" w:hAnsi="Cambria" w:cs="Arial"/>
          <w:sz w:val="22"/>
          <w:szCs w:val="22"/>
        </w:rPr>
      </w:pPr>
      <w:r w:rsidRPr="009A0DA6">
        <w:rPr>
          <w:rFonts w:ascii="Cambria" w:hAnsi="Cambria" w:cs="Arial"/>
          <w:sz w:val="22"/>
          <w:szCs w:val="22"/>
        </w:rPr>
        <w:t xml:space="preserve">Those comprising the broader Lutheran education community value the strong relationships that exist within that community. The strength of these relationships extends beyond individual schools, regions and districts to the wider education community within the whole Lutheran church. There are strong networks within the Lutheran education community, for example, those working within a specific area or discipline (eg school business managers). </w:t>
      </w:r>
    </w:p>
    <w:p w14:paraId="34B62540" w14:textId="77777777" w:rsidR="006F210A" w:rsidRPr="009A0DA6" w:rsidRDefault="006F210A" w:rsidP="006F210A">
      <w:pPr>
        <w:pStyle w:val="FootnoteText"/>
        <w:spacing w:after="160"/>
        <w:ind w:left="567" w:hanging="567"/>
        <w:rPr>
          <w:rFonts w:ascii="Cambria" w:hAnsi="Cambria" w:cs="Arial"/>
          <w:sz w:val="22"/>
          <w:szCs w:val="22"/>
        </w:rPr>
      </w:pPr>
      <w:r w:rsidRPr="009A0DA6">
        <w:rPr>
          <w:rFonts w:ascii="Cambria" w:hAnsi="Cambria" w:cs="Arial"/>
          <w:sz w:val="22"/>
          <w:szCs w:val="22"/>
        </w:rPr>
        <w:t>2.5</w:t>
      </w:r>
      <w:r w:rsidRPr="009A0DA6">
        <w:rPr>
          <w:rFonts w:ascii="Cambria" w:hAnsi="Cambria" w:cs="Arial"/>
          <w:sz w:val="22"/>
          <w:szCs w:val="22"/>
        </w:rPr>
        <w:tab/>
        <w:t xml:space="preserve">The review found that the Lutheran education sector is characterised by the excellent reputation that Lutheran schools have, the quality of education provided, the pastoral care offered to students, the commitment to a Gospel-based values education, and for being a strong faith-based community that is welcoming and inclusive.  </w:t>
      </w:r>
    </w:p>
    <w:p w14:paraId="4ABFE769" w14:textId="77777777" w:rsidR="006F210A" w:rsidRPr="009A0DA6" w:rsidRDefault="006F210A" w:rsidP="006F210A">
      <w:pPr>
        <w:pStyle w:val="Heading3"/>
        <w:tabs>
          <w:tab w:val="left" w:pos="567"/>
        </w:tabs>
      </w:pPr>
      <w:r w:rsidRPr="009A0DA6">
        <w:t xml:space="preserve">3. </w:t>
      </w:r>
      <w:r w:rsidRPr="009A0DA6">
        <w:tab/>
        <w:t xml:space="preserve"> KEY FINDINGS</w:t>
      </w:r>
      <w:r w:rsidRPr="009A0DA6">
        <w:rPr>
          <w:rStyle w:val="FootnoteReference"/>
          <w:rFonts w:cs="Arial"/>
          <w:b w:val="0"/>
          <w:sz w:val="22"/>
          <w:szCs w:val="22"/>
        </w:rPr>
        <w:t xml:space="preserve"> </w:t>
      </w:r>
    </w:p>
    <w:p w14:paraId="3F1D74D8" w14:textId="77777777" w:rsidR="006F210A" w:rsidRPr="009A0DA6" w:rsidRDefault="006F210A" w:rsidP="006F210A">
      <w:pPr>
        <w:pStyle w:val="FootnoteText"/>
        <w:spacing w:after="160"/>
        <w:rPr>
          <w:rFonts w:ascii="Cambria" w:hAnsi="Cambria" w:cs="Arial"/>
          <w:b/>
          <w:sz w:val="22"/>
          <w:szCs w:val="22"/>
        </w:rPr>
      </w:pPr>
      <w:r w:rsidRPr="009A0DA6">
        <w:rPr>
          <w:rFonts w:ascii="Cambria" w:hAnsi="Cambria" w:cs="Arial"/>
          <w:sz w:val="22"/>
          <w:szCs w:val="22"/>
        </w:rPr>
        <w:t xml:space="preserve">These findings are based on the understanding that the LCA, including all of its constituent departments, works in the spirit of collaboration and cooperation. </w:t>
      </w:r>
    </w:p>
    <w:p w14:paraId="68186A2B" w14:textId="77777777" w:rsidR="006F210A" w:rsidRPr="009A0DA6" w:rsidRDefault="006F210A" w:rsidP="006F210A">
      <w:pPr>
        <w:pStyle w:val="FootnoteText"/>
        <w:spacing w:after="160"/>
        <w:ind w:left="567" w:hanging="567"/>
        <w:rPr>
          <w:rFonts w:ascii="Cambria" w:hAnsi="Cambria" w:cs="Arial"/>
          <w:b/>
          <w:sz w:val="22"/>
          <w:szCs w:val="22"/>
        </w:rPr>
      </w:pPr>
      <w:r w:rsidRPr="009A0DA6">
        <w:rPr>
          <w:rFonts w:ascii="Cambria" w:hAnsi="Cambria" w:cs="Arial"/>
          <w:sz w:val="22"/>
          <w:szCs w:val="22"/>
        </w:rPr>
        <w:t>3.1</w:t>
      </w:r>
      <w:r w:rsidRPr="009A0DA6">
        <w:rPr>
          <w:rFonts w:ascii="Cambria" w:hAnsi="Cambria" w:cs="Arial"/>
          <w:sz w:val="22"/>
          <w:szCs w:val="22"/>
        </w:rPr>
        <w:tab/>
        <w:t>There is one Lutheran education sector however it effectively operates as three separate entities (three educational regions), with further levels of responsibility / management / governance within each region.</w:t>
      </w:r>
    </w:p>
    <w:p w14:paraId="0BADDC73" w14:textId="77777777" w:rsidR="006F210A" w:rsidRPr="009A0DA6" w:rsidRDefault="006F210A" w:rsidP="006F210A">
      <w:pPr>
        <w:pStyle w:val="FootnoteText"/>
        <w:spacing w:after="160"/>
        <w:ind w:left="567" w:hanging="567"/>
        <w:rPr>
          <w:rFonts w:ascii="Cambria" w:hAnsi="Cambria" w:cs="Arial"/>
          <w:b/>
          <w:sz w:val="22"/>
          <w:szCs w:val="22"/>
        </w:rPr>
      </w:pPr>
      <w:r w:rsidRPr="009A0DA6">
        <w:rPr>
          <w:rFonts w:ascii="Cambria" w:hAnsi="Cambria" w:cs="Arial"/>
          <w:sz w:val="22"/>
          <w:szCs w:val="22"/>
        </w:rPr>
        <w:t>3.2</w:t>
      </w:r>
      <w:r w:rsidRPr="009A0DA6">
        <w:rPr>
          <w:rFonts w:ascii="Cambria" w:hAnsi="Cambria" w:cs="Arial"/>
          <w:sz w:val="22"/>
          <w:szCs w:val="22"/>
        </w:rPr>
        <w:tab/>
        <w:t>Across the Lutheran education sector across Australia there is a lack of clarity on accountability, responsibility, reporting lines, and roles which is reflected in inadequate enabling documentation.</w:t>
      </w:r>
    </w:p>
    <w:p w14:paraId="27EEDFAD" w14:textId="77777777" w:rsidR="006F210A" w:rsidRPr="009A0DA6" w:rsidRDefault="006F210A" w:rsidP="006F210A">
      <w:pPr>
        <w:pStyle w:val="FootnoteText"/>
        <w:spacing w:after="160"/>
        <w:ind w:left="567" w:hanging="567"/>
        <w:rPr>
          <w:rFonts w:ascii="Cambria" w:hAnsi="Cambria" w:cs="Arial"/>
          <w:b/>
          <w:sz w:val="22"/>
          <w:szCs w:val="22"/>
        </w:rPr>
      </w:pPr>
      <w:r w:rsidRPr="009A0DA6">
        <w:rPr>
          <w:rFonts w:ascii="Cambria" w:hAnsi="Cambria" w:cs="Arial"/>
          <w:sz w:val="22"/>
          <w:szCs w:val="22"/>
        </w:rPr>
        <w:t>3.3</w:t>
      </w:r>
      <w:r w:rsidRPr="009A0DA6">
        <w:rPr>
          <w:rFonts w:ascii="Cambria" w:hAnsi="Cambria" w:cs="Arial"/>
          <w:sz w:val="22"/>
          <w:szCs w:val="22"/>
        </w:rPr>
        <w:tab/>
        <w:t>There are a number of key areas within the Lutheran educational landscape that represent potential risks. These would best be overseen at the national level. These include:</w:t>
      </w:r>
    </w:p>
    <w:p w14:paraId="1207B6A8" w14:textId="77777777" w:rsidR="006F210A" w:rsidRPr="009A0DA6" w:rsidRDefault="006F210A" w:rsidP="006F210A">
      <w:pPr>
        <w:pStyle w:val="FootnoteText"/>
        <w:numPr>
          <w:ilvl w:val="0"/>
          <w:numId w:val="240"/>
        </w:numPr>
        <w:spacing w:after="160"/>
        <w:ind w:left="1134" w:hanging="567"/>
        <w:rPr>
          <w:rFonts w:ascii="Cambria" w:hAnsi="Cambria" w:cs="Arial"/>
          <w:b/>
          <w:sz w:val="22"/>
          <w:szCs w:val="22"/>
        </w:rPr>
      </w:pPr>
      <w:r w:rsidRPr="009A0DA6">
        <w:rPr>
          <w:rFonts w:ascii="Cambria" w:hAnsi="Cambria" w:cs="Arial"/>
          <w:sz w:val="22"/>
          <w:szCs w:val="22"/>
        </w:rPr>
        <w:lastRenderedPageBreak/>
        <w:t xml:space="preserve">Leadership development / succession planning </w:t>
      </w:r>
    </w:p>
    <w:p w14:paraId="4CF71775" w14:textId="77777777" w:rsidR="006F210A" w:rsidRPr="009A0DA6" w:rsidRDefault="006F210A" w:rsidP="006F210A">
      <w:pPr>
        <w:pStyle w:val="FootnoteText"/>
        <w:numPr>
          <w:ilvl w:val="0"/>
          <w:numId w:val="240"/>
        </w:numPr>
        <w:spacing w:after="160"/>
        <w:ind w:left="1134" w:hanging="567"/>
        <w:rPr>
          <w:rFonts w:ascii="Cambria" w:hAnsi="Cambria" w:cs="Arial"/>
          <w:b/>
          <w:sz w:val="22"/>
          <w:szCs w:val="22"/>
        </w:rPr>
      </w:pPr>
      <w:r w:rsidRPr="009A0DA6">
        <w:rPr>
          <w:rFonts w:ascii="Cambria" w:hAnsi="Cambria" w:cs="Arial"/>
          <w:sz w:val="22"/>
          <w:szCs w:val="22"/>
        </w:rPr>
        <w:t xml:space="preserve">Lutheran identity and culture </w:t>
      </w:r>
    </w:p>
    <w:p w14:paraId="3E4BC7D5" w14:textId="77777777" w:rsidR="006F210A" w:rsidRPr="009A0DA6" w:rsidRDefault="006F210A" w:rsidP="006F210A">
      <w:pPr>
        <w:pStyle w:val="FootnoteText"/>
        <w:numPr>
          <w:ilvl w:val="0"/>
          <w:numId w:val="240"/>
        </w:numPr>
        <w:spacing w:after="160"/>
        <w:ind w:left="1134" w:hanging="567"/>
        <w:rPr>
          <w:rFonts w:ascii="Cambria" w:hAnsi="Cambria" w:cs="Arial"/>
          <w:b/>
          <w:sz w:val="22"/>
          <w:szCs w:val="22"/>
        </w:rPr>
      </w:pPr>
      <w:r w:rsidRPr="009A0DA6">
        <w:rPr>
          <w:rFonts w:ascii="Cambria" w:hAnsi="Cambria" w:cs="Arial"/>
          <w:sz w:val="22"/>
          <w:szCs w:val="22"/>
        </w:rPr>
        <w:t>Representation with the Commonwealth government, especially in the context of funding allocation</w:t>
      </w:r>
    </w:p>
    <w:p w14:paraId="7C3E1888" w14:textId="77777777" w:rsidR="006F210A" w:rsidRPr="009A0DA6" w:rsidRDefault="006F210A" w:rsidP="006F210A">
      <w:pPr>
        <w:pStyle w:val="FootnoteText"/>
        <w:numPr>
          <w:ilvl w:val="0"/>
          <w:numId w:val="240"/>
        </w:numPr>
        <w:spacing w:after="160"/>
        <w:ind w:left="1134" w:hanging="567"/>
        <w:rPr>
          <w:rFonts w:ascii="Cambria" w:hAnsi="Cambria" w:cs="Arial"/>
          <w:b/>
          <w:sz w:val="22"/>
          <w:szCs w:val="22"/>
        </w:rPr>
      </w:pPr>
      <w:r w:rsidRPr="009A0DA6">
        <w:rPr>
          <w:rFonts w:ascii="Cambria" w:hAnsi="Cambria" w:cs="Arial"/>
          <w:sz w:val="22"/>
          <w:szCs w:val="22"/>
        </w:rPr>
        <w:t>Risk oversight, including financial, reputational and legal</w:t>
      </w:r>
    </w:p>
    <w:p w14:paraId="754017A8" w14:textId="77777777" w:rsidR="006F210A" w:rsidRPr="009A0DA6" w:rsidRDefault="006F210A" w:rsidP="006F210A">
      <w:pPr>
        <w:pStyle w:val="FootnoteText"/>
        <w:spacing w:after="160"/>
        <w:ind w:left="567" w:hanging="567"/>
        <w:rPr>
          <w:rFonts w:ascii="Cambria" w:hAnsi="Cambria" w:cs="Arial"/>
          <w:b/>
          <w:sz w:val="22"/>
          <w:szCs w:val="22"/>
        </w:rPr>
      </w:pPr>
      <w:r w:rsidRPr="009A0DA6">
        <w:rPr>
          <w:rFonts w:ascii="Cambria" w:hAnsi="Cambria" w:cs="Arial"/>
          <w:sz w:val="22"/>
          <w:szCs w:val="22"/>
        </w:rPr>
        <w:t>3.4</w:t>
      </w:r>
      <w:r w:rsidRPr="009A0DA6">
        <w:rPr>
          <w:rFonts w:ascii="Cambria" w:hAnsi="Cambria" w:cs="Arial"/>
          <w:sz w:val="22"/>
          <w:szCs w:val="22"/>
        </w:rPr>
        <w:tab/>
        <w:t xml:space="preserve">There is a need to strengthen the role of mission and ministry within schools, congregations, and the LCA, and to identify the specific responsibilities and undertakings of each for mission and ministry within the educational context. While there is a shared commitment to mission and ministry within our education communities, there are different views regarding what that entails, within and between schools, districts and congregations. As the LCA looks to the future it will be important to develop shared understandings of both the concept of Lutheran identity and the concept of mission through the LCA’s schools. </w:t>
      </w:r>
    </w:p>
    <w:p w14:paraId="36D88AC8" w14:textId="77777777" w:rsidR="006F210A" w:rsidRPr="009A0DA6" w:rsidRDefault="006F210A" w:rsidP="006F210A">
      <w:pPr>
        <w:pStyle w:val="FootnoteText"/>
        <w:spacing w:after="160"/>
        <w:ind w:left="567" w:hanging="567"/>
        <w:rPr>
          <w:rFonts w:ascii="Cambria" w:hAnsi="Cambria" w:cs="Arial"/>
          <w:sz w:val="22"/>
          <w:szCs w:val="22"/>
        </w:rPr>
      </w:pPr>
      <w:r w:rsidRPr="009A0DA6">
        <w:rPr>
          <w:rFonts w:ascii="Cambria" w:hAnsi="Cambria" w:cs="Arial"/>
          <w:sz w:val="22"/>
          <w:szCs w:val="22"/>
        </w:rPr>
        <w:t>3.5</w:t>
      </w:r>
      <w:r w:rsidRPr="009A0DA6">
        <w:rPr>
          <w:rFonts w:ascii="Cambria" w:hAnsi="Cambria" w:cs="Arial"/>
          <w:sz w:val="22"/>
          <w:szCs w:val="22"/>
        </w:rPr>
        <w:tab/>
        <w:t>The current arrangements do not enable BLEA to carry out the responsi</w:t>
      </w:r>
      <w:r>
        <w:rPr>
          <w:rFonts w:ascii="Cambria" w:hAnsi="Cambria" w:cs="Arial"/>
          <w:sz w:val="22"/>
          <w:szCs w:val="22"/>
        </w:rPr>
        <w:t>bilities assigned to it by GCC</w:t>
      </w:r>
      <w:r w:rsidRPr="009A0DA6">
        <w:rPr>
          <w:rFonts w:ascii="Cambria" w:hAnsi="Cambria" w:cs="Arial"/>
          <w:sz w:val="22"/>
          <w:szCs w:val="22"/>
        </w:rPr>
        <w:t xml:space="preserve">. Areas other than these focus areas should continue to remain the responsibility of the respective education regions and districts. </w:t>
      </w:r>
    </w:p>
    <w:p w14:paraId="2C50F326" w14:textId="77777777" w:rsidR="006F210A" w:rsidRPr="009A0DA6" w:rsidRDefault="006F210A" w:rsidP="006F210A">
      <w:pPr>
        <w:pStyle w:val="FootnoteText"/>
        <w:spacing w:after="160"/>
        <w:ind w:left="567" w:hanging="567"/>
        <w:rPr>
          <w:rFonts w:ascii="Cambria" w:hAnsi="Cambria" w:cs="Arial"/>
          <w:sz w:val="22"/>
          <w:szCs w:val="22"/>
        </w:rPr>
      </w:pPr>
      <w:r w:rsidRPr="009A0DA6">
        <w:rPr>
          <w:rFonts w:ascii="Cambria" w:hAnsi="Cambria" w:cs="Arial"/>
          <w:sz w:val="22"/>
          <w:szCs w:val="22"/>
        </w:rPr>
        <w:t>3.6</w:t>
      </w:r>
      <w:r w:rsidRPr="009A0DA6">
        <w:rPr>
          <w:rFonts w:ascii="Cambria" w:hAnsi="Cambria" w:cs="Arial"/>
          <w:sz w:val="22"/>
          <w:szCs w:val="22"/>
        </w:rPr>
        <w:tab/>
        <w:t xml:space="preserve">In order to address the consequences of multiple layers of involvement (eg weaker governance, lack of alignment with future LLL requirements) there is a need to standardise and streamline loan approval processes. </w:t>
      </w:r>
    </w:p>
    <w:p w14:paraId="388CC023" w14:textId="77777777" w:rsidR="006F210A" w:rsidRPr="009A0DA6" w:rsidRDefault="006F210A" w:rsidP="006F210A">
      <w:pPr>
        <w:pStyle w:val="FootnoteText"/>
        <w:spacing w:after="160"/>
        <w:ind w:left="567" w:hanging="567"/>
        <w:rPr>
          <w:rFonts w:ascii="Cambria" w:hAnsi="Cambria" w:cs="Arial"/>
          <w:sz w:val="22"/>
          <w:szCs w:val="22"/>
        </w:rPr>
      </w:pPr>
      <w:r w:rsidRPr="009A0DA6">
        <w:rPr>
          <w:rFonts w:ascii="Cambria" w:hAnsi="Cambria" w:cs="Arial"/>
          <w:sz w:val="22"/>
          <w:szCs w:val="22"/>
        </w:rPr>
        <w:t xml:space="preserve">3.7 </w:t>
      </w:r>
      <w:r w:rsidRPr="009A0DA6">
        <w:rPr>
          <w:rFonts w:ascii="Cambria" w:hAnsi="Cambria" w:cs="Arial"/>
          <w:sz w:val="22"/>
          <w:szCs w:val="22"/>
        </w:rPr>
        <w:tab/>
        <w:t xml:space="preserve">There is a need to recognise the sector-wide impacts / consequences of decisions and actions occurring in region/s (eg decisions in respect of school establishment and closures), especially as such impacts relate to financial, reputational and legal risk. </w:t>
      </w:r>
    </w:p>
    <w:p w14:paraId="0AB3D58F" w14:textId="77777777" w:rsidR="006F210A" w:rsidRPr="009A0DA6" w:rsidRDefault="006F210A" w:rsidP="006F210A">
      <w:pPr>
        <w:pStyle w:val="FootnoteText"/>
        <w:spacing w:after="160"/>
        <w:ind w:left="567" w:hanging="567"/>
        <w:rPr>
          <w:rFonts w:ascii="Cambria" w:hAnsi="Cambria" w:cs="Arial"/>
          <w:b/>
          <w:sz w:val="22"/>
          <w:szCs w:val="22"/>
        </w:rPr>
      </w:pPr>
      <w:r w:rsidRPr="009A0DA6">
        <w:rPr>
          <w:rFonts w:ascii="Cambria" w:hAnsi="Cambria" w:cs="Arial"/>
          <w:sz w:val="22"/>
          <w:szCs w:val="22"/>
        </w:rPr>
        <w:t>3.8</w:t>
      </w:r>
      <w:r w:rsidRPr="009A0DA6">
        <w:rPr>
          <w:rFonts w:ascii="Cambria" w:hAnsi="Cambria" w:cs="Arial"/>
          <w:sz w:val="22"/>
          <w:szCs w:val="22"/>
        </w:rPr>
        <w:tab/>
        <w:t xml:space="preserve">There is limited collaboration among regions, LEA and ALC. </w:t>
      </w:r>
    </w:p>
    <w:p w14:paraId="3014966F" w14:textId="77777777" w:rsidR="006F210A" w:rsidRPr="009A0DA6" w:rsidRDefault="006F210A" w:rsidP="006F210A">
      <w:pPr>
        <w:pStyle w:val="FootnoteText"/>
        <w:spacing w:after="160"/>
        <w:ind w:left="567" w:hanging="567"/>
        <w:rPr>
          <w:rFonts w:ascii="Cambria" w:hAnsi="Cambria" w:cs="Arial"/>
          <w:b/>
          <w:sz w:val="22"/>
          <w:szCs w:val="22"/>
        </w:rPr>
      </w:pPr>
      <w:r w:rsidRPr="009A0DA6">
        <w:rPr>
          <w:rFonts w:ascii="Cambria" w:hAnsi="Cambria" w:cs="Arial"/>
          <w:sz w:val="22"/>
          <w:szCs w:val="22"/>
        </w:rPr>
        <w:t>3.9</w:t>
      </w:r>
      <w:r w:rsidRPr="009A0DA6">
        <w:rPr>
          <w:rFonts w:ascii="Cambria" w:hAnsi="Cambria" w:cs="Arial"/>
          <w:sz w:val="22"/>
          <w:szCs w:val="22"/>
        </w:rPr>
        <w:tab/>
        <w:t xml:space="preserve">There is a lack of alignment of, and a need to improve collaboration in, strategic planning within the Lutheran education sector. </w:t>
      </w:r>
    </w:p>
    <w:p w14:paraId="20DBDEBE" w14:textId="77777777" w:rsidR="006F210A" w:rsidRPr="009A0DA6" w:rsidRDefault="006F210A" w:rsidP="006F210A">
      <w:pPr>
        <w:pStyle w:val="FootnoteText"/>
        <w:spacing w:after="160"/>
        <w:ind w:left="567" w:hanging="567"/>
        <w:rPr>
          <w:rFonts w:ascii="Cambria" w:hAnsi="Cambria" w:cs="Arial"/>
          <w:sz w:val="22"/>
          <w:szCs w:val="22"/>
        </w:rPr>
      </w:pPr>
      <w:r w:rsidRPr="009A0DA6">
        <w:rPr>
          <w:rFonts w:ascii="Cambria" w:hAnsi="Cambria" w:cs="Arial"/>
          <w:sz w:val="22"/>
          <w:szCs w:val="22"/>
        </w:rPr>
        <w:t xml:space="preserve">3.10 LEA needs to enhance its communication with all facets of the Lutheran education sector. </w:t>
      </w:r>
    </w:p>
    <w:p w14:paraId="2DFCDE44" w14:textId="77777777" w:rsidR="006F210A" w:rsidRPr="009A0DA6" w:rsidRDefault="006F210A" w:rsidP="006F210A">
      <w:pPr>
        <w:pStyle w:val="Heading3"/>
        <w:tabs>
          <w:tab w:val="left" w:pos="567"/>
        </w:tabs>
      </w:pPr>
      <w:r w:rsidRPr="009A0DA6">
        <w:t>4.</w:t>
      </w:r>
      <w:r w:rsidRPr="009A0DA6">
        <w:tab/>
        <w:t>ADDITIONAL OBSERVATIONS AND COMMENTS</w:t>
      </w:r>
    </w:p>
    <w:p w14:paraId="58E795DE" w14:textId="77777777" w:rsidR="006F210A" w:rsidRPr="009A0DA6" w:rsidRDefault="006F210A" w:rsidP="006F210A">
      <w:pPr>
        <w:pStyle w:val="FootnoteText"/>
        <w:spacing w:after="160"/>
        <w:rPr>
          <w:rFonts w:ascii="Cambria" w:hAnsi="Cambria" w:cs="Arial"/>
          <w:sz w:val="22"/>
          <w:szCs w:val="22"/>
        </w:rPr>
      </w:pPr>
      <w:r w:rsidRPr="009A0DA6">
        <w:rPr>
          <w:rFonts w:ascii="Cambria" w:hAnsi="Cambria" w:cs="Arial"/>
          <w:sz w:val="22"/>
          <w:szCs w:val="22"/>
        </w:rPr>
        <w:t>The consultations with stakeholders identified a number of emerging themes that were consistently cited as key issues, challenges and opportunities. These themes include the following:</w:t>
      </w:r>
    </w:p>
    <w:p w14:paraId="476D4435" w14:textId="77777777" w:rsidR="006F210A" w:rsidRPr="009A0DA6" w:rsidRDefault="006F210A" w:rsidP="006F210A">
      <w:pPr>
        <w:pStyle w:val="FootnoteText"/>
        <w:spacing w:after="160"/>
        <w:ind w:left="567" w:hanging="567"/>
        <w:rPr>
          <w:rFonts w:ascii="Cambria" w:hAnsi="Cambria" w:cs="Arial"/>
          <w:i/>
          <w:sz w:val="22"/>
          <w:szCs w:val="22"/>
        </w:rPr>
      </w:pPr>
      <w:r w:rsidRPr="009A0DA6">
        <w:rPr>
          <w:rFonts w:ascii="Cambria" w:hAnsi="Cambria" w:cs="Arial"/>
          <w:sz w:val="22"/>
          <w:szCs w:val="22"/>
        </w:rPr>
        <w:t>4.1</w:t>
      </w:r>
      <w:r w:rsidRPr="009A0DA6">
        <w:rPr>
          <w:rFonts w:ascii="Cambria" w:hAnsi="Cambria" w:cs="Arial"/>
          <w:sz w:val="22"/>
          <w:szCs w:val="22"/>
        </w:rPr>
        <w:tab/>
      </w:r>
      <w:r w:rsidRPr="009A0DA6">
        <w:rPr>
          <w:rFonts w:ascii="Cambria" w:hAnsi="Cambria" w:cs="Arial"/>
          <w:i/>
          <w:sz w:val="22"/>
          <w:szCs w:val="22"/>
        </w:rPr>
        <w:t xml:space="preserve"> Clarity of governance structures, responsibilities and accountabilities across districts, regions and the LCA / BLEA needs to improve.  </w:t>
      </w:r>
    </w:p>
    <w:p w14:paraId="45DE87EF" w14:textId="77777777" w:rsidR="006F210A" w:rsidRPr="009A0DA6" w:rsidRDefault="006F210A" w:rsidP="006F210A">
      <w:pPr>
        <w:pStyle w:val="FootnoteText"/>
        <w:spacing w:after="160"/>
        <w:ind w:left="567"/>
        <w:rPr>
          <w:rFonts w:ascii="Cambria" w:hAnsi="Cambria" w:cs="Arial"/>
          <w:sz w:val="22"/>
          <w:szCs w:val="22"/>
        </w:rPr>
      </w:pPr>
      <w:r w:rsidRPr="009A0DA6">
        <w:rPr>
          <w:rFonts w:ascii="Cambria" w:hAnsi="Cambria" w:cs="Arial"/>
          <w:sz w:val="22"/>
          <w:szCs w:val="22"/>
        </w:rPr>
        <w:t xml:space="preserve">The respective roles, responsibilities and authority of the various governing bodies within the LCA need to be reviewed and clarified: DCCs, regional councils, LEA, etc. There is a need to differentiate between governance and management and make explicit the respective management v governance responsibilities of each body within Lutheran education. </w:t>
      </w:r>
    </w:p>
    <w:p w14:paraId="0511BE22" w14:textId="77777777" w:rsidR="006F210A" w:rsidRPr="009A0DA6" w:rsidRDefault="006F210A" w:rsidP="006F210A">
      <w:pPr>
        <w:pStyle w:val="FootnoteText"/>
        <w:spacing w:after="160"/>
        <w:ind w:left="567"/>
        <w:rPr>
          <w:rFonts w:ascii="Cambria" w:hAnsi="Cambria" w:cs="Arial"/>
          <w:sz w:val="22"/>
          <w:szCs w:val="22"/>
        </w:rPr>
      </w:pPr>
      <w:r w:rsidRPr="009A0DA6">
        <w:rPr>
          <w:rFonts w:ascii="Cambria" w:hAnsi="Cambria" w:cs="Arial"/>
          <w:sz w:val="22"/>
          <w:szCs w:val="22"/>
        </w:rPr>
        <w:t xml:space="preserve">Constitutional reform will be necessary to ensure the governance authority of the relevant bodies, including BLEA, is both recognised and enabled. </w:t>
      </w:r>
    </w:p>
    <w:p w14:paraId="14B7DDD2" w14:textId="77777777" w:rsidR="006F210A" w:rsidRPr="009A0DA6" w:rsidRDefault="006F210A" w:rsidP="006F210A">
      <w:pPr>
        <w:pStyle w:val="FootnoteText"/>
        <w:spacing w:after="160"/>
        <w:ind w:left="567" w:hanging="567"/>
        <w:rPr>
          <w:rFonts w:ascii="Cambria" w:hAnsi="Cambria" w:cs="Arial"/>
          <w:sz w:val="22"/>
          <w:szCs w:val="22"/>
        </w:rPr>
      </w:pPr>
      <w:r w:rsidRPr="009A0DA6">
        <w:rPr>
          <w:rFonts w:ascii="Cambria" w:hAnsi="Cambria" w:cs="Arial"/>
          <w:sz w:val="22"/>
          <w:szCs w:val="22"/>
        </w:rPr>
        <w:t>4.2</w:t>
      </w:r>
      <w:r w:rsidRPr="009A0DA6">
        <w:rPr>
          <w:rFonts w:ascii="Cambria" w:hAnsi="Cambria" w:cs="Arial"/>
          <w:sz w:val="22"/>
          <w:szCs w:val="22"/>
        </w:rPr>
        <w:tab/>
      </w:r>
      <w:r w:rsidRPr="009A0DA6">
        <w:rPr>
          <w:rFonts w:ascii="Cambria" w:hAnsi="Cambria" w:cs="Arial"/>
          <w:i/>
          <w:sz w:val="22"/>
          <w:szCs w:val="22"/>
        </w:rPr>
        <w:t>Consistency (viz. reporting relationships and structures, policy application, messaging and communication) versus local flexibility (at the school, regional and district level)</w:t>
      </w:r>
      <w:r w:rsidRPr="009A0DA6">
        <w:rPr>
          <w:rFonts w:ascii="Cambria" w:hAnsi="Cambria" w:cs="Arial"/>
          <w:sz w:val="22"/>
          <w:szCs w:val="22"/>
        </w:rPr>
        <w:t>.</w:t>
      </w:r>
    </w:p>
    <w:p w14:paraId="6CC56EFE" w14:textId="77777777" w:rsidR="006F210A" w:rsidRPr="009A0DA6" w:rsidRDefault="006F210A" w:rsidP="006F210A">
      <w:pPr>
        <w:pStyle w:val="FootnoteText"/>
        <w:spacing w:after="160"/>
        <w:ind w:left="567"/>
        <w:rPr>
          <w:rFonts w:ascii="Cambria" w:hAnsi="Cambria" w:cs="Arial"/>
          <w:sz w:val="22"/>
          <w:szCs w:val="22"/>
        </w:rPr>
      </w:pPr>
      <w:r w:rsidRPr="009A0DA6">
        <w:rPr>
          <w:rFonts w:ascii="Cambria" w:hAnsi="Cambria" w:cs="Arial"/>
          <w:sz w:val="22"/>
          <w:szCs w:val="22"/>
        </w:rPr>
        <w:t xml:space="preserve">The consultations highlighted the need for central governance responsibility for some key areas to ensure consistent and clear messaging, policy and practice, however, </w:t>
      </w:r>
      <w:r w:rsidRPr="009A0DA6">
        <w:rPr>
          <w:rFonts w:ascii="Cambria" w:hAnsi="Cambria" w:cs="Arial"/>
          <w:sz w:val="22"/>
          <w:szCs w:val="22"/>
        </w:rPr>
        <w:lastRenderedPageBreak/>
        <w:t xml:space="preserve">local flexibility is also important to meet local needs and context: ‘national objectives with local solutions’. </w:t>
      </w:r>
    </w:p>
    <w:p w14:paraId="6D3FFED5" w14:textId="77777777" w:rsidR="006F210A" w:rsidRPr="009A0DA6" w:rsidRDefault="006F210A" w:rsidP="006F210A">
      <w:pPr>
        <w:pStyle w:val="FootnoteText"/>
        <w:spacing w:after="160"/>
        <w:ind w:left="567" w:hanging="567"/>
        <w:rPr>
          <w:rFonts w:ascii="Cambria" w:hAnsi="Cambria" w:cs="Arial"/>
          <w:sz w:val="22"/>
          <w:szCs w:val="22"/>
        </w:rPr>
      </w:pPr>
      <w:r w:rsidRPr="009A0DA6">
        <w:rPr>
          <w:rFonts w:ascii="Cambria" w:hAnsi="Cambria" w:cs="Arial"/>
          <w:sz w:val="22"/>
          <w:szCs w:val="22"/>
        </w:rPr>
        <w:t>4.3</w:t>
      </w:r>
      <w:r w:rsidRPr="009A0DA6">
        <w:rPr>
          <w:rFonts w:ascii="Cambria" w:hAnsi="Cambria" w:cs="Arial"/>
          <w:sz w:val="22"/>
          <w:szCs w:val="22"/>
        </w:rPr>
        <w:tab/>
      </w:r>
      <w:r w:rsidRPr="009A0DA6">
        <w:rPr>
          <w:rFonts w:ascii="Cambria" w:hAnsi="Cambria" w:cs="Arial"/>
          <w:i/>
          <w:sz w:val="22"/>
          <w:szCs w:val="22"/>
        </w:rPr>
        <w:t>Communication and collaboration – while strong in some aspects, there is a need for strengthened communication and collaboration across the LCA and across Lutheran education</w:t>
      </w:r>
      <w:r w:rsidRPr="009A0DA6">
        <w:rPr>
          <w:rFonts w:ascii="Cambria" w:hAnsi="Cambria" w:cs="Arial"/>
          <w:sz w:val="22"/>
          <w:szCs w:val="22"/>
        </w:rPr>
        <w:t>.</w:t>
      </w:r>
    </w:p>
    <w:p w14:paraId="4B201542" w14:textId="77777777" w:rsidR="006F210A" w:rsidRPr="009A0DA6" w:rsidRDefault="006F210A" w:rsidP="006F210A">
      <w:pPr>
        <w:pStyle w:val="FootnoteText"/>
        <w:spacing w:after="160"/>
        <w:ind w:left="567"/>
        <w:rPr>
          <w:rFonts w:ascii="Cambria" w:hAnsi="Cambria" w:cs="Arial"/>
          <w:sz w:val="22"/>
          <w:szCs w:val="22"/>
        </w:rPr>
      </w:pPr>
      <w:r w:rsidRPr="009A0DA6">
        <w:rPr>
          <w:rFonts w:ascii="Cambria" w:hAnsi="Cambria" w:cs="Arial"/>
          <w:sz w:val="22"/>
          <w:szCs w:val="22"/>
        </w:rPr>
        <w:t xml:space="preserve">The consultations demonstrated that it is possible to ‘know only what you know’ and that if communication is poor, or if there are inadequate mechanisms to ensure communication (eg from the regions to the districts, from schools to LEA, etc.) it is likely that governing bodies are unable to properly carry out their responsibilities. </w:t>
      </w:r>
    </w:p>
    <w:p w14:paraId="28DC63C3" w14:textId="77777777" w:rsidR="006F210A" w:rsidRPr="009A0DA6" w:rsidRDefault="006F210A" w:rsidP="006F210A">
      <w:pPr>
        <w:pStyle w:val="FootnoteText"/>
        <w:spacing w:after="160"/>
        <w:ind w:left="567" w:hanging="567"/>
        <w:rPr>
          <w:rFonts w:ascii="Cambria" w:hAnsi="Cambria" w:cs="Arial"/>
          <w:sz w:val="22"/>
          <w:szCs w:val="22"/>
        </w:rPr>
      </w:pPr>
      <w:r w:rsidRPr="009A0DA6">
        <w:rPr>
          <w:rFonts w:ascii="Cambria" w:hAnsi="Cambria" w:cs="Arial"/>
          <w:sz w:val="22"/>
          <w:szCs w:val="22"/>
        </w:rPr>
        <w:t>4.4</w:t>
      </w:r>
      <w:r w:rsidRPr="009A0DA6">
        <w:rPr>
          <w:rFonts w:ascii="Cambria" w:hAnsi="Cambria" w:cs="Arial"/>
          <w:sz w:val="22"/>
          <w:szCs w:val="22"/>
        </w:rPr>
        <w:tab/>
      </w:r>
      <w:r w:rsidRPr="009A0DA6">
        <w:rPr>
          <w:rFonts w:ascii="Cambria" w:hAnsi="Cambria" w:cs="Arial"/>
          <w:i/>
          <w:sz w:val="22"/>
          <w:szCs w:val="22"/>
        </w:rPr>
        <w:t>Challenges – an evolving social landscape, financial pressure due to increased competition and diminishing enrolments, strengthening Lutheran culture, and leadership formation and development</w:t>
      </w:r>
      <w:r w:rsidRPr="009A0DA6">
        <w:rPr>
          <w:rFonts w:ascii="Cambria" w:hAnsi="Cambria" w:cs="Arial"/>
          <w:sz w:val="22"/>
          <w:szCs w:val="22"/>
        </w:rPr>
        <w:t>.</w:t>
      </w:r>
    </w:p>
    <w:p w14:paraId="29EC0110" w14:textId="77777777" w:rsidR="006F210A" w:rsidRPr="009A0DA6" w:rsidRDefault="006F210A" w:rsidP="006F210A">
      <w:pPr>
        <w:pStyle w:val="FootnoteText"/>
        <w:spacing w:after="160"/>
        <w:ind w:left="567"/>
        <w:rPr>
          <w:rFonts w:ascii="Cambria" w:hAnsi="Cambria" w:cs="Arial"/>
          <w:sz w:val="22"/>
          <w:szCs w:val="22"/>
        </w:rPr>
      </w:pPr>
      <w:r w:rsidRPr="009A0DA6">
        <w:rPr>
          <w:rFonts w:ascii="Cambria" w:hAnsi="Cambria" w:cs="Arial"/>
          <w:sz w:val="22"/>
          <w:szCs w:val="22"/>
        </w:rPr>
        <w:t xml:space="preserve">These challenges were universally acknowledged as the priority areas to be dealt with to ensure the Lutheran education sector is viable going forward. It was agreed that these challenges will best be managed through increased collaboration and cooperation across the whole Lutheran education sector in Australia.   </w:t>
      </w:r>
    </w:p>
    <w:p w14:paraId="5DF198C1" w14:textId="77777777" w:rsidR="006F210A" w:rsidRPr="009A0DA6" w:rsidRDefault="006F210A" w:rsidP="006F210A">
      <w:pPr>
        <w:pStyle w:val="FootnoteText"/>
        <w:spacing w:after="160"/>
        <w:ind w:left="567" w:hanging="567"/>
        <w:rPr>
          <w:rFonts w:ascii="Cambria" w:hAnsi="Cambria" w:cs="Arial"/>
          <w:i/>
          <w:sz w:val="22"/>
          <w:szCs w:val="22"/>
        </w:rPr>
      </w:pPr>
      <w:r w:rsidRPr="009A0DA6">
        <w:rPr>
          <w:rFonts w:ascii="Cambria" w:hAnsi="Cambria" w:cs="Arial"/>
          <w:sz w:val="22"/>
          <w:szCs w:val="22"/>
        </w:rPr>
        <w:t>4.5</w:t>
      </w:r>
      <w:r w:rsidRPr="009A0DA6">
        <w:rPr>
          <w:rFonts w:ascii="Cambria" w:hAnsi="Cambria" w:cs="Arial"/>
          <w:sz w:val="22"/>
          <w:szCs w:val="22"/>
        </w:rPr>
        <w:tab/>
      </w:r>
      <w:r w:rsidRPr="009A0DA6">
        <w:rPr>
          <w:rFonts w:ascii="Cambria" w:hAnsi="Cambria" w:cs="Arial"/>
          <w:i/>
          <w:sz w:val="22"/>
          <w:szCs w:val="22"/>
        </w:rPr>
        <w:t>Strategic planning and the need for a clear sense of BLEA’s authority for strategic oversight and planning in designated areas,</w:t>
      </w:r>
      <w:r w:rsidRPr="009A0DA6">
        <w:rPr>
          <w:rFonts w:ascii="Cambria" w:hAnsi="Cambria" w:cs="Arial"/>
          <w:sz w:val="22"/>
          <w:szCs w:val="22"/>
        </w:rPr>
        <w:t xml:space="preserve"> </w:t>
      </w:r>
      <w:r w:rsidRPr="009A0DA6">
        <w:rPr>
          <w:rFonts w:ascii="Cambria" w:hAnsi="Cambria" w:cs="Arial"/>
          <w:i/>
          <w:sz w:val="22"/>
          <w:szCs w:val="22"/>
        </w:rPr>
        <w:t xml:space="preserve">as well as ongoing BLEA engagement with regions and districts in formulating a strategic plan for Lutheran education. </w:t>
      </w:r>
    </w:p>
    <w:p w14:paraId="187E0B11" w14:textId="77777777" w:rsidR="006F210A" w:rsidRPr="009A0DA6" w:rsidRDefault="006F210A" w:rsidP="006F210A">
      <w:pPr>
        <w:pStyle w:val="FootnoteText"/>
        <w:spacing w:after="160"/>
        <w:ind w:left="567"/>
        <w:rPr>
          <w:rFonts w:ascii="Cambria" w:hAnsi="Cambria" w:cs="Arial"/>
          <w:sz w:val="22"/>
          <w:szCs w:val="22"/>
        </w:rPr>
      </w:pPr>
      <w:r w:rsidRPr="009A0DA6">
        <w:rPr>
          <w:rFonts w:ascii="Cambria" w:hAnsi="Cambria" w:cs="Arial"/>
          <w:sz w:val="22"/>
          <w:szCs w:val="22"/>
        </w:rPr>
        <w:t xml:space="preserve">This can only be achieved through Constitutional reform to enable the governance authority of BLEA to be affirmed and recognised. Dialogue between and common accountabilities for the three regions will be an essential element here. </w:t>
      </w:r>
    </w:p>
    <w:p w14:paraId="367B54AE" w14:textId="77777777" w:rsidR="006F210A" w:rsidRPr="009A0DA6" w:rsidRDefault="006F210A" w:rsidP="006F210A">
      <w:pPr>
        <w:pStyle w:val="FootnoteText"/>
        <w:spacing w:after="160"/>
        <w:ind w:left="567" w:hanging="567"/>
        <w:rPr>
          <w:rFonts w:ascii="Cambria" w:hAnsi="Cambria" w:cs="Arial"/>
          <w:i/>
          <w:sz w:val="22"/>
          <w:szCs w:val="22"/>
        </w:rPr>
      </w:pPr>
      <w:r w:rsidRPr="009A0DA6">
        <w:rPr>
          <w:rFonts w:ascii="Cambria" w:hAnsi="Cambria" w:cs="Arial"/>
          <w:sz w:val="22"/>
          <w:szCs w:val="22"/>
        </w:rPr>
        <w:t>4.6</w:t>
      </w:r>
      <w:r w:rsidRPr="009A0DA6">
        <w:rPr>
          <w:rFonts w:ascii="Cambria" w:hAnsi="Cambria" w:cs="Arial"/>
          <w:sz w:val="22"/>
          <w:szCs w:val="22"/>
        </w:rPr>
        <w:tab/>
      </w:r>
      <w:r w:rsidRPr="009A0DA6">
        <w:rPr>
          <w:rFonts w:ascii="Cambria" w:hAnsi="Cambria" w:cs="Arial"/>
          <w:i/>
          <w:sz w:val="22"/>
          <w:szCs w:val="22"/>
        </w:rPr>
        <w:t xml:space="preserve"> The need for clear, consistent, national oversight of risk in all its forms, including financial, reputational and legal. </w:t>
      </w:r>
    </w:p>
    <w:p w14:paraId="346C7852" w14:textId="77777777" w:rsidR="006F210A" w:rsidRPr="009A0DA6" w:rsidRDefault="006F210A" w:rsidP="006F210A">
      <w:pPr>
        <w:pStyle w:val="FootnoteText"/>
        <w:spacing w:after="160"/>
        <w:ind w:left="567" w:hanging="567"/>
        <w:rPr>
          <w:rFonts w:ascii="Cambria" w:hAnsi="Cambria" w:cs="Arial"/>
          <w:sz w:val="22"/>
          <w:szCs w:val="22"/>
        </w:rPr>
      </w:pPr>
      <w:r w:rsidRPr="009A0DA6">
        <w:rPr>
          <w:rFonts w:ascii="Cambria" w:hAnsi="Cambria" w:cs="Arial"/>
          <w:i/>
          <w:sz w:val="22"/>
          <w:szCs w:val="22"/>
        </w:rPr>
        <w:tab/>
      </w:r>
      <w:r w:rsidRPr="009A0DA6">
        <w:rPr>
          <w:rFonts w:ascii="Cambria" w:hAnsi="Cambria" w:cs="Arial"/>
          <w:sz w:val="22"/>
          <w:szCs w:val="22"/>
        </w:rPr>
        <w:t xml:space="preserve">The consequences of poor or inadequate risk management affect the whole Lutheran education body. Even if an incident occurs at a local level – in a school, for example – it is not just the school or even the region that bears the consequences, regardless of whether this relates to reputational, financial or legal damage. The entire Lutheran education community will be affected. </w:t>
      </w:r>
    </w:p>
    <w:p w14:paraId="4050A4DA" w14:textId="77777777" w:rsidR="006F210A" w:rsidRPr="009A0DA6" w:rsidRDefault="006F210A" w:rsidP="006F210A">
      <w:pPr>
        <w:pStyle w:val="FootnoteText"/>
        <w:spacing w:after="160"/>
        <w:ind w:left="567" w:hanging="567"/>
        <w:rPr>
          <w:rFonts w:ascii="Cambria" w:hAnsi="Cambria" w:cs="Arial"/>
          <w:i/>
          <w:sz w:val="22"/>
          <w:szCs w:val="22"/>
        </w:rPr>
      </w:pPr>
      <w:r w:rsidRPr="009A0DA6">
        <w:rPr>
          <w:rFonts w:ascii="Cambria" w:hAnsi="Cambria" w:cs="Arial"/>
          <w:sz w:val="22"/>
          <w:szCs w:val="22"/>
        </w:rPr>
        <w:t xml:space="preserve">4.7 </w:t>
      </w:r>
      <w:r w:rsidRPr="009A0DA6">
        <w:rPr>
          <w:rFonts w:ascii="Cambria" w:hAnsi="Cambria" w:cs="Arial"/>
          <w:sz w:val="22"/>
          <w:szCs w:val="22"/>
        </w:rPr>
        <w:tab/>
      </w:r>
      <w:r w:rsidRPr="009A0DA6">
        <w:rPr>
          <w:rFonts w:ascii="Cambria" w:hAnsi="Cambria" w:cs="Arial"/>
          <w:i/>
          <w:sz w:val="22"/>
          <w:szCs w:val="22"/>
        </w:rPr>
        <w:t xml:space="preserve">The need for a funding system that is able to respond to increased uncertainty in government funding allocation and policy. </w:t>
      </w:r>
    </w:p>
    <w:p w14:paraId="70D10879" w14:textId="77777777" w:rsidR="006F210A" w:rsidRPr="009A0DA6" w:rsidRDefault="006F210A" w:rsidP="006F210A">
      <w:pPr>
        <w:pStyle w:val="FootnoteText"/>
        <w:spacing w:after="160"/>
        <w:ind w:left="567"/>
        <w:rPr>
          <w:rFonts w:ascii="Cambria" w:hAnsi="Cambria" w:cs="Arial"/>
          <w:b/>
          <w:sz w:val="22"/>
          <w:szCs w:val="22"/>
        </w:rPr>
      </w:pPr>
      <w:r w:rsidRPr="009A0DA6">
        <w:rPr>
          <w:rFonts w:ascii="Cambria" w:hAnsi="Cambria" w:cs="Arial"/>
          <w:sz w:val="22"/>
          <w:szCs w:val="22"/>
        </w:rPr>
        <w:t>At present, each of the three regions distributes funding to their schools in different ways. There is a need to review and re-assess Commonwealth funding allocation through a model that ensures efficiency, consistency, clarity and risk oversight.</w:t>
      </w:r>
    </w:p>
    <w:p w14:paraId="1E3EFC86" w14:textId="77777777" w:rsidR="006F210A" w:rsidRDefault="006F210A" w:rsidP="006F210A">
      <w:pPr>
        <w:rPr>
          <w:rFonts w:ascii="Cambria" w:eastAsiaTheme="majorEastAsia" w:hAnsi="Cambria" w:cstheme="majorBidi"/>
          <w:b/>
          <w:caps/>
          <w:sz w:val="28"/>
          <w:szCs w:val="24"/>
        </w:rPr>
      </w:pPr>
      <w:r>
        <w:br w:type="page"/>
      </w:r>
    </w:p>
    <w:p w14:paraId="716A702D" w14:textId="77777777" w:rsidR="006F210A" w:rsidRPr="009A0DA6" w:rsidRDefault="006F210A" w:rsidP="006F210A">
      <w:pPr>
        <w:pStyle w:val="Heading3"/>
        <w:tabs>
          <w:tab w:val="left" w:pos="567"/>
        </w:tabs>
      </w:pPr>
      <w:r w:rsidRPr="009A0DA6">
        <w:lastRenderedPageBreak/>
        <w:t>5.</w:t>
      </w:r>
      <w:r w:rsidRPr="009A0DA6">
        <w:tab/>
        <w:t>ENVIRONMENTAL SCAN / ‘INFLUENCERS’</w:t>
      </w:r>
    </w:p>
    <w:p w14:paraId="1B5E63D6" w14:textId="77777777" w:rsidR="006F210A" w:rsidRPr="009A0DA6" w:rsidRDefault="006F210A" w:rsidP="006F210A">
      <w:pPr>
        <w:pStyle w:val="FootnoteText"/>
        <w:spacing w:after="160"/>
        <w:rPr>
          <w:rFonts w:ascii="Cambria" w:hAnsi="Cambria" w:cs="Arial"/>
          <w:sz w:val="22"/>
          <w:szCs w:val="22"/>
        </w:rPr>
      </w:pPr>
      <w:r w:rsidRPr="009A0DA6">
        <w:rPr>
          <w:rFonts w:ascii="Cambria" w:hAnsi="Cambria" w:cs="Arial"/>
          <w:sz w:val="22"/>
          <w:szCs w:val="22"/>
        </w:rPr>
        <w:t>The review found that there were a number of factors contributing to the overall context within which Lutheran schools operate, which are seen as influencing the way in which schools identify, manage, and deal with challenges and opportunities.</w:t>
      </w:r>
    </w:p>
    <w:p w14:paraId="0F28DB64" w14:textId="77777777" w:rsidR="006F210A" w:rsidRPr="009A0DA6" w:rsidRDefault="006F210A" w:rsidP="006F210A">
      <w:pPr>
        <w:pStyle w:val="FootnoteText"/>
        <w:tabs>
          <w:tab w:val="left" w:pos="567"/>
        </w:tabs>
        <w:spacing w:after="160"/>
        <w:ind w:left="567" w:hanging="567"/>
        <w:rPr>
          <w:rFonts w:ascii="Cambria" w:hAnsi="Cambria" w:cs="Arial"/>
          <w:sz w:val="22"/>
          <w:szCs w:val="22"/>
        </w:rPr>
      </w:pPr>
      <w:r w:rsidRPr="009A0DA6">
        <w:rPr>
          <w:rFonts w:ascii="Cambria" w:hAnsi="Cambria" w:cs="Arial"/>
          <w:sz w:val="22"/>
          <w:szCs w:val="22"/>
        </w:rPr>
        <w:t>5.1</w:t>
      </w:r>
      <w:r w:rsidRPr="009A0DA6">
        <w:rPr>
          <w:rFonts w:ascii="Cambria" w:hAnsi="Cambria" w:cs="Arial"/>
          <w:sz w:val="22"/>
          <w:szCs w:val="22"/>
        </w:rPr>
        <w:tab/>
        <w:t xml:space="preserve">Governance structures for Lutheran education have evolved organically over time, resulting in a complex array of governance bodies wherein the respective roles, lines of accountability and responsibilities of each have become blurred and unclear. </w:t>
      </w:r>
    </w:p>
    <w:p w14:paraId="2D754C38" w14:textId="77777777" w:rsidR="006F210A" w:rsidRPr="009A0DA6" w:rsidRDefault="006F210A" w:rsidP="006F210A">
      <w:pPr>
        <w:pStyle w:val="FootnoteText"/>
        <w:tabs>
          <w:tab w:val="left" w:pos="567"/>
        </w:tabs>
        <w:spacing w:after="160"/>
        <w:ind w:left="567" w:hanging="567"/>
        <w:rPr>
          <w:rFonts w:ascii="Cambria" w:hAnsi="Cambria" w:cs="Arial"/>
          <w:sz w:val="22"/>
          <w:szCs w:val="22"/>
        </w:rPr>
      </w:pPr>
      <w:r w:rsidRPr="009A0DA6">
        <w:rPr>
          <w:rFonts w:ascii="Cambria" w:hAnsi="Cambria" w:cs="Arial"/>
          <w:sz w:val="22"/>
          <w:szCs w:val="22"/>
        </w:rPr>
        <w:tab/>
        <w:t xml:space="preserve">Similarly, the LCA’s multi-layered governance structures mitigate against a clear understanding of accountability and responsibility at a broader level: for example, the LCA has five districts in / across which three educational regions operate which, by necessity leads to a blurring of responsibility at both the district and regional levels. </w:t>
      </w:r>
    </w:p>
    <w:p w14:paraId="07F9BF5D" w14:textId="77777777" w:rsidR="006F210A" w:rsidRPr="009A0DA6" w:rsidRDefault="006F210A" w:rsidP="006F210A">
      <w:pPr>
        <w:pStyle w:val="FootnoteText"/>
        <w:tabs>
          <w:tab w:val="left" w:pos="567"/>
        </w:tabs>
        <w:spacing w:after="160"/>
        <w:ind w:left="567" w:hanging="567"/>
        <w:rPr>
          <w:rFonts w:ascii="Cambria" w:hAnsi="Cambria" w:cs="Arial"/>
          <w:sz w:val="22"/>
          <w:szCs w:val="22"/>
        </w:rPr>
      </w:pPr>
      <w:r w:rsidRPr="009A0DA6">
        <w:rPr>
          <w:rFonts w:ascii="Cambria" w:hAnsi="Cambria" w:cs="Arial"/>
          <w:sz w:val="22"/>
          <w:szCs w:val="22"/>
        </w:rPr>
        <w:tab/>
        <w:t>This is also the case in respect of the Lutheran education sector – while the LEA operates as a single Lutheran education sector, in reality and in practice there are three Lutheran education entities – LEVNT, LENSW and LEQ. While these three bodies work together to some degree, and while the commitment to work together exists, the challenge remains for a unified Lutheran education sector that is truly unified in a structural / governance sense. This is borne out in the different operational / management mechanisms in place for schools in each district (ie ownership of school property) and this, too, mitigates against having a unified and simplified governance structure for Lutheran education in which lines of responsibility, reporting and accountability are clear and universally understood and acknowledged. This adds to the risks inherent in the system.</w:t>
      </w:r>
    </w:p>
    <w:p w14:paraId="132EFD0C" w14:textId="77777777" w:rsidR="006F210A" w:rsidRPr="009A0DA6" w:rsidRDefault="006F210A" w:rsidP="006F210A">
      <w:pPr>
        <w:pStyle w:val="FootnoteText"/>
        <w:tabs>
          <w:tab w:val="left" w:pos="567"/>
        </w:tabs>
        <w:spacing w:after="160"/>
        <w:ind w:left="567" w:hanging="567"/>
        <w:rPr>
          <w:rFonts w:ascii="Cambria" w:hAnsi="Cambria" w:cs="Arial"/>
          <w:sz w:val="22"/>
          <w:szCs w:val="22"/>
        </w:rPr>
      </w:pPr>
      <w:r w:rsidRPr="009A0DA6">
        <w:rPr>
          <w:rFonts w:ascii="Cambria" w:hAnsi="Cambria" w:cs="Arial"/>
          <w:sz w:val="22"/>
          <w:szCs w:val="22"/>
        </w:rPr>
        <w:t xml:space="preserve">5.2 </w:t>
      </w:r>
      <w:r w:rsidRPr="009A0DA6">
        <w:rPr>
          <w:rFonts w:ascii="Cambria" w:hAnsi="Cambria" w:cs="Arial"/>
          <w:sz w:val="22"/>
          <w:szCs w:val="22"/>
        </w:rPr>
        <w:tab/>
        <w:t xml:space="preserve">There are increasing expectations and requirements set by the Commonwealth government which schools must meet, including requirements related to the allocation and distribution of funding, reporting student achievement, etc. </w:t>
      </w:r>
    </w:p>
    <w:p w14:paraId="0CAE79EC" w14:textId="77777777" w:rsidR="006F210A" w:rsidRPr="009A0DA6" w:rsidRDefault="006F210A" w:rsidP="006F210A">
      <w:pPr>
        <w:pStyle w:val="FootnoteText"/>
        <w:tabs>
          <w:tab w:val="left" w:pos="567"/>
        </w:tabs>
        <w:spacing w:after="160"/>
        <w:ind w:left="567" w:hanging="567"/>
        <w:rPr>
          <w:rFonts w:ascii="Cambria" w:hAnsi="Cambria" w:cs="Arial"/>
          <w:sz w:val="22"/>
          <w:szCs w:val="22"/>
        </w:rPr>
      </w:pPr>
      <w:r w:rsidRPr="009A0DA6">
        <w:rPr>
          <w:rFonts w:ascii="Cambria" w:hAnsi="Cambria" w:cs="Arial"/>
          <w:sz w:val="22"/>
          <w:szCs w:val="22"/>
        </w:rPr>
        <w:tab/>
        <w:t xml:space="preserve">The level and complexity of these requirements, along with an expectation of transparency in reporting, is increasing, which places additional administrative pressures on regions, schools and their management teams. </w:t>
      </w:r>
    </w:p>
    <w:p w14:paraId="1C880DEE" w14:textId="77777777" w:rsidR="006F210A" w:rsidRPr="009A0DA6" w:rsidRDefault="006F210A" w:rsidP="006F210A">
      <w:pPr>
        <w:pStyle w:val="FootnoteText"/>
        <w:tabs>
          <w:tab w:val="left" w:pos="567"/>
        </w:tabs>
        <w:spacing w:after="160"/>
        <w:ind w:left="567" w:hanging="567"/>
        <w:rPr>
          <w:rFonts w:ascii="Cambria" w:hAnsi="Cambria" w:cs="Arial"/>
          <w:sz w:val="22"/>
          <w:szCs w:val="22"/>
        </w:rPr>
      </w:pPr>
      <w:r w:rsidRPr="009A0DA6">
        <w:rPr>
          <w:rFonts w:ascii="Cambria" w:hAnsi="Cambria" w:cs="Arial"/>
          <w:sz w:val="22"/>
          <w:szCs w:val="22"/>
        </w:rPr>
        <w:t>5.3</w:t>
      </w:r>
      <w:r w:rsidRPr="009A0DA6">
        <w:rPr>
          <w:rFonts w:ascii="Cambria" w:hAnsi="Cambria" w:cs="Arial"/>
          <w:sz w:val="22"/>
          <w:szCs w:val="22"/>
        </w:rPr>
        <w:tab/>
        <w:t xml:space="preserve">Lutheran schools are facing increasing competition from both the government and non-government schooling sectors. The factors which influence the choice of school for parents are many, varied, and complex. The perceived quality of education offered by a school may be only one in a range of factors which lead parents to choose a particular school. Lutheran schools, along with schools from both government and non-government sectors, must compete for those enrolments in a shifting, mutable education landscape.  </w:t>
      </w:r>
    </w:p>
    <w:p w14:paraId="2A8B29F8" w14:textId="77777777" w:rsidR="006F210A" w:rsidRPr="009A0DA6" w:rsidRDefault="006F210A" w:rsidP="006F210A">
      <w:pPr>
        <w:pStyle w:val="FootnoteText"/>
        <w:tabs>
          <w:tab w:val="left" w:pos="567"/>
        </w:tabs>
        <w:spacing w:after="160"/>
        <w:ind w:left="567" w:hanging="567"/>
        <w:rPr>
          <w:rFonts w:ascii="Cambria" w:hAnsi="Cambria" w:cs="Arial"/>
          <w:sz w:val="22"/>
          <w:szCs w:val="22"/>
        </w:rPr>
      </w:pPr>
      <w:r w:rsidRPr="009A0DA6">
        <w:rPr>
          <w:rFonts w:ascii="Cambria" w:hAnsi="Cambria" w:cs="Arial"/>
          <w:sz w:val="22"/>
          <w:szCs w:val="22"/>
        </w:rPr>
        <w:tab/>
        <w:t xml:space="preserve">Lutheran schools have seen a levelling off of enrolments following a peak in 2014, attributable to this increased competition. As a consequence, Lutheran schools face increasing financial pressure to maintain (if not grow) their enrolments in the context of such challenges. </w:t>
      </w:r>
    </w:p>
    <w:p w14:paraId="37D5E603" w14:textId="77777777" w:rsidR="006F210A" w:rsidRPr="009A0DA6" w:rsidRDefault="006F210A" w:rsidP="006F210A">
      <w:pPr>
        <w:pStyle w:val="FootnoteText"/>
        <w:tabs>
          <w:tab w:val="left" w:pos="567"/>
        </w:tabs>
        <w:spacing w:after="160"/>
        <w:ind w:left="567" w:hanging="567"/>
        <w:rPr>
          <w:rFonts w:ascii="Cambria" w:hAnsi="Cambria" w:cs="Arial"/>
          <w:sz w:val="22"/>
          <w:szCs w:val="22"/>
        </w:rPr>
      </w:pPr>
      <w:r w:rsidRPr="009A0DA6">
        <w:rPr>
          <w:rFonts w:ascii="Cambria" w:hAnsi="Cambria" w:cs="Arial"/>
          <w:sz w:val="22"/>
          <w:szCs w:val="22"/>
        </w:rPr>
        <w:t>5.4</w:t>
      </w:r>
      <w:r w:rsidRPr="009A0DA6">
        <w:rPr>
          <w:rFonts w:ascii="Cambria" w:hAnsi="Cambria" w:cs="Arial"/>
          <w:sz w:val="22"/>
          <w:szCs w:val="22"/>
        </w:rPr>
        <w:tab/>
        <w:t xml:space="preserve">Lutheran schools exist and operate within a shifting social landscape which presents both opportunities and challenges as schools, and the wider school community, deal with significant social questions and issues, including </w:t>
      </w:r>
      <w:r>
        <w:rPr>
          <w:rFonts w:ascii="Cambria" w:hAnsi="Cambria" w:cs="Arial"/>
          <w:sz w:val="22"/>
          <w:szCs w:val="22"/>
        </w:rPr>
        <w:t>same-sex</w:t>
      </w:r>
      <w:r w:rsidRPr="009A0DA6">
        <w:rPr>
          <w:rFonts w:ascii="Cambria" w:hAnsi="Cambria" w:cs="Arial"/>
          <w:sz w:val="22"/>
          <w:szCs w:val="22"/>
        </w:rPr>
        <w:t xml:space="preserve"> relationships, assisted death, asylum seeker / migration policy, abortion and reproductive technologies. </w:t>
      </w:r>
    </w:p>
    <w:p w14:paraId="23E5CF8B" w14:textId="77777777" w:rsidR="006F210A" w:rsidRPr="009A0DA6" w:rsidRDefault="006F210A" w:rsidP="006F210A">
      <w:pPr>
        <w:pStyle w:val="FootnoteText"/>
        <w:tabs>
          <w:tab w:val="left" w:pos="567"/>
        </w:tabs>
        <w:spacing w:after="160"/>
        <w:ind w:left="567" w:hanging="567"/>
        <w:rPr>
          <w:rFonts w:ascii="Cambria" w:hAnsi="Cambria" w:cs="Arial"/>
          <w:sz w:val="22"/>
          <w:szCs w:val="22"/>
        </w:rPr>
      </w:pPr>
      <w:r w:rsidRPr="009A0DA6">
        <w:rPr>
          <w:rFonts w:ascii="Cambria" w:hAnsi="Cambria" w:cs="Arial"/>
          <w:sz w:val="22"/>
          <w:szCs w:val="22"/>
        </w:rPr>
        <w:tab/>
        <w:t xml:space="preserve">This represents both a challenge and an opportunity for Lutheran schools, to uphold the teachings of the Lutheran church while at the same time providing an open, honest and safe way of having constructive dialogue with young people as they come to terms with, and understand these issues and their implications and complexities. </w:t>
      </w:r>
    </w:p>
    <w:p w14:paraId="4257C1CA" w14:textId="77777777" w:rsidR="006F210A" w:rsidRPr="009A0DA6" w:rsidRDefault="006F210A" w:rsidP="006F210A">
      <w:pPr>
        <w:pStyle w:val="FootnoteText"/>
        <w:tabs>
          <w:tab w:val="left" w:pos="567"/>
        </w:tabs>
        <w:spacing w:after="160"/>
        <w:ind w:left="567" w:hanging="567"/>
        <w:rPr>
          <w:rFonts w:ascii="Cambria" w:hAnsi="Cambria" w:cs="Arial"/>
          <w:sz w:val="22"/>
          <w:szCs w:val="22"/>
        </w:rPr>
      </w:pPr>
      <w:r w:rsidRPr="009A0DA6">
        <w:rPr>
          <w:rFonts w:ascii="Cambria" w:hAnsi="Cambria" w:cs="Arial"/>
          <w:sz w:val="22"/>
          <w:szCs w:val="22"/>
        </w:rPr>
        <w:tab/>
        <w:t xml:space="preserve">Schools have identified that for many young people, the contemporary social landscape – which includes rapidly evolving technologies and the increasing use of </w:t>
      </w:r>
      <w:r w:rsidRPr="009A0DA6">
        <w:rPr>
          <w:rFonts w:ascii="Cambria" w:hAnsi="Cambria" w:cs="Arial"/>
          <w:sz w:val="22"/>
          <w:szCs w:val="22"/>
        </w:rPr>
        <w:lastRenderedPageBreak/>
        <w:t xml:space="preserve">social media as a way of connecting and communicating – both diminishes and yet also enhances the role of faith in a young person’s life. That is, young people see the church and its teachings as disconnected from the world in which they live, and yet at the same time, faith offers a real and lasting answer to the negative aspects of this world. </w:t>
      </w:r>
    </w:p>
    <w:p w14:paraId="3BB2485C" w14:textId="77777777" w:rsidR="006F210A" w:rsidRPr="009A0DA6" w:rsidRDefault="006F210A" w:rsidP="006F210A">
      <w:pPr>
        <w:pStyle w:val="FootnoteText"/>
        <w:tabs>
          <w:tab w:val="left" w:pos="567"/>
        </w:tabs>
        <w:spacing w:after="160"/>
        <w:ind w:left="567" w:hanging="567"/>
        <w:rPr>
          <w:rFonts w:ascii="Cambria" w:hAnsi="Cambria" w:cs="Arial"/>
          <w:sz w:val="22"/>
          <w:szCs w:val="22"/>
        </w:rPr>
      </w:pPr>
      <w:r w:rsidRPr="009A0DA6">
        <w:rPr>
          <w:rFonts w:ascii="Cambria" w:hAnsi="Cambria" w:cs="Arial"/>
          <w:sz w:val="22"/>
          <w:szCs w:val="22"/>
        </w:rPr>
        <w:tab/>
        <w:t xml:space="preserve">Schools are increasingly aware of the importance of the role they can play in shaping a young person’s experience in positive ways. </w:t>
      </w:r>
    </w:p>
    <w:p w14:paraId="418ED36E" w14:textId="77777777" w:rsidR="006F210A" w:rsidRPr="009A0DA6" w:rsidRDefault="006F210A" w:rsidP="006F210A">
      <w:pPr>
        <w:pStyle w:val="FootnoteText"/>
        <w:tabs>
          <w:tab w:val="left" w:pos="567"/>
        </w:tabs>
        <w:spacing w:after="160"/>
        <w:ind w:left="567" w:hanging="567"/>
        <w:rPr>
          <w:rFonts w:ascii="Cambria" w:hAnsi="Cambria" w:cs="Arial"/>
          <w:sz w:val="22"/>
          <w:szCs w:val="22"/>
        </w:rPr>
      </w:pPr>
      <w:r w:rsidRPr="009A0DA6">
        <w:rPr>
          <w:rFonts w:ascii="Cambria" w:hAnsi="Cambria" w:cs="Arial"/>
          <w:sz w:val="22"/>
          <w:szCs w:val="22"/>
        </w:rPr>
        <w:t>5.5</w:t>
      </w:r>
      <w:r w:rsidRPr="009A0DA6">
        <w:rPr>
          <w:rFonts w:ascii="Cambria" w:hAnsi="Cambria" w:cs="Arial"/>
          <w:sz w:val="22"/>
          <w:szCs w:val="22"/>
        </w:rPr>
        <w:tab/>
        <w:t xml:space="preserve">The Lutheran education sector is very small compared with other non-government education sectors including the Catholic education sector, independent schools and other systemic faith-based schools. </w:t>
      </w:r>
    </w:p>
    <w:p w14:paraId="1F51ECEB" w14:textId="77777777" w:rsidR="006F210A" w:rsidRPr="009A0DA6" w:rsidRDefault="006F210A" w:rsidP="006F210A">
      <w:pPr>
        <w:pStyle w:val="FootnoteText"/>
        <w:tabs>
          <w:tab w:val="left" w:pos="567"/>
        </w:tabs>
        <w:spacing w:after="160"/>
        <w:ind w:left="567" w:hanging="567"/>
        <w:rPr>
          <w:rFonts w:ascii="Cambria" w:hAnsi="Cambria" w:cs="Arial"/>
          <w:sz w:val="22"/>
          <w:szCs w:val="22"/>
        </w:rPr>
      </w:pPr>
      <w:r w:rsidRPr="009A0DA6">
        <w:rPr>
          <w:rFonts w:ascii="Cambria" w:hAnsi="Cambria" w:cs="Arial"/>
          <w:sz w:val="22"/>
          <w:szCs w:val="22"/>
        </w:rPr>
        <w:tab/>
        <w:t xml:space="preserve">This is seen as both a positive and a negative – in many ways, the Lutheran sector is ‘punching above its weight’ (as one participant put it) in terms of its positive reputation and reach – but the challenges of maintaining enrolments and managing financial viability and a specifically Lutheran culture as a consequence remain. </w:t>
      </w:r>
    </w:p>
    <w:p w14:paraId="24FAB190" w14:textId="77777777" w:rsidR="006F210A" w:rsidRPr="009A0DA6" w:rsidRDefault="006F210A" w:rsidP="006F210A">
      <w:pPr>
        <w:pStyle w:val="FootnoteText"/>
        <w:tabs>
          <w:tab w:val="left" w:pos="567"/>
        </w:tabs>
        <w:spacing w:after="160"/>
        <w:ind w:left="567" w:hanging="567"/>
        <w:rPr>
          <w:rFonts w:ascii="Cambria" w:hAnsi="Cambria" w:cs="Arial"/>
          <w:sz w:val="22"/>
          <w:szCs w:val="22"/>
        </w:rPr>
      </w:pPr>
      <w:r w:rsidRPr="009A0DA6">
        <w:rPr>
          <w:rFonts w:ascii="Cambria" w:hAnsi="Cambria" w:cs="Arial"/>
          <w:sz w:val="22"/>
          <w:szCs w:val="22"/>
        </w:rPr>
        <w:t>5.6</w:t>
      </w:r>
      <w:r w:rsidRPr="009A0DA6">
        <w:rPr>
          <w:rFonts w:ascii="Cambria" w:hAnsi="Cambria" w:cs="Arial"/>
          <w:sz w:val="22"/>
          <w:szCs w:val="22"/>
        </w:rPr>
        <w:tab/>
        <w:t xml:space="preserve">The Lutheran Church is experiencing a decline in membership, as are most mainstream churches in Australia. The recent Census bears out the diminishing number of people who profess to hold a religious faith and who attend church regularly. This is well in evidence in Lutheran congregations where numbers of regular attendees are declining. </w:t>
      </w:r>
    </w:p>
    <w:p w14:paraId="407AB203" w14:textId="77777777" w:rsidR="006F210A" w:rsidRPr="009A0DA6" w:rsidRDefault="006F210A" w:rsidP="006F210A">
      <w:pPr>
        <w:pStyle w:val="FootnoteText"/>
        <w:tabs>
          <w:tab w:val="left" w:pos="567"/>
        </w:tabs>
        <w:spacing w:after="160"/>
        <w:ind w:left="567" w:hanging="567"/>
        <w:rPr>
          <w:rFonts w:ascii="Cambria" w:hAnsi="Cambria" w:cs="Arial"/>
          <w:sz w:val="22"/>
          <w:szCs w:val="22"/>
        </w:rPr>
      </w:pPr>
      <w:r w:rsidRPr="009A0DA6">
        <w:rPr>
          <w:rFonts w:ascii="Cambria" w:hAnsi="Cambria" w:cs="Arial"/>
          <w:sz w:val="22"/>
          <w:szCs w:val="22"/>
        </w:rPr>
        <w:tab/>
        <w:t xml:space="preserve">For Lutheran schools, this means that there are a similarly diminishing number of people who are able to take up positions of leadership on school governing bodies, and in schools themselves. The current policies of the LCA require principals, and a requisite number of those serving on school governing bodies, including the chair, to be active, communicant members of the Lutheran Church, and, as the available pool of such people declines, schools are searching for ways in which this issue can be addressed. </w:t>
      </w:r>
    </w:p>
    <w:p w14:paraId="3E0BE89E" w14:textId="77777777" w:rsidR="006F210A" w:rsidRPr="009A0DA6" w:rsidRDefault="006F210A" w:rsidP="006F210A">
      <w:pPr>
        <w:pStyle w:val="FootnoteText"/>
        <w:tabs>
          <w:tab w:val="left" w:pos="567"/>
        </w:tabs>
        <w:spacing w:after="160"/>
        <w:ind w:left="567" w:hanging="567"/>
        <w:rPr>
          <w:rFonts w:ascii="Cambria" w:hAnsi="Cambria" w:cs="Arial"/>
          <w:sz w:val="22"/>
          <w:szCs w:val="22"/>
        </w:rPr>
      </w:pPr>
      <w:r w:rsidRPr="009A0DA6">
        <w:rPr>
          <w:rFonts w:ascii="Cambria" w:hAnsi="Cambria" w:cs="Arial"/>
          <w:sz w:val="22"/>
          <w:szCs w:val="22"/>
        </w:rPr>
        <w:t>5.7</w:t>
      </w:r>
      <w:r w:rsidRPr="009A0DA6">
        <w:rPr>
          <w:rFonts w:ascii="Cambria" w:hAnsi="Cambria" w:cs="Arial"/>
          <w:sz w:val="22"/>
          <w:szCs w:val="22"/>
        </w:rPr>
        <w:tab/>
        <w:t xml:space="preserve">Although the total number of Lutheran students has declined slightly over the past two decades, these enrolments have remained fairly constant. There has however been a significant change in the percentage of Lutheran students compared with that of all students (53% in 1983 compared to 14% in 2017). Similarly, the number of Lutheran teachers employed by Lutheran schools is significantly less than in years past: In 2017, 31% of teachers were Lutheran (as compared to 74% in 1983). </w:t>
      </w:r>
    </w:p>
    <w:p w14:paraId="69E7D2D5" w14:textId="77777777" w:rsidR="006F210A" w:rsidRPr="009A0DA6" w:rsidRDefault="006F210A" w:rsidP="006F210A">
      <w:pPr>
        <w:pStyle w:val="FootnoteText"/>
        <w:tabs>
          <w:tab w:val="left" w:pos="567"/>
        </w:tabs>
        <w:spacing w:after="160"/>
        <w:ind w:left="567" w:hanging="567"/>
        <w:rPr>
          <w:rFonts w:ascii="Cambria" w:hAnsi="Cambria" w:cs="Arial"/>
          <w:sz w:val="22"/>
          <w:szCs w:val="22"/>
        </w:rPr>
      </w:pPr>
      <w:r w:rsidRPr="009A0DA6">
        <w:rPr>
          <w:rFonts w:ascii="Cambria" w:hAnsi="Cambria" w:cs="Arial"/>
          <w:sz w:val="22"/>
          <w:szCs w:val="22"/>
        </w:rPr>
        <w:tab/>
        <w:t>There are a range of factors contributing to this reality and, equally, a range of responses – some view the importance of a teacher holding a Christian faith as outweighing the need for a specifically Lutheran teacher, while another view is that teaching staff who are Lutheran are fundamental to preserving the Lutheran ‘ethos’ and identity of a Lutheran school. In any case, there is universal acknowledgement of the significance of this as a factor influencing Lutheran schools’ future planning and priorities.</w:t>
      </w:r>
    </w:p>
    <w:p w14:paraId="7D90229F" w14:textId="77777777" w:rsidR="006F210A" w:rsidRPr="009A0DA6" w:rsidRDefault="006F210A" w:rsidP="006F210A">
      <w:pPr>
        <w:pStyle w:val="FootnoteText"/>
        <w:tabs>
          <w:tab w:val="left" w:pos="567"/>
        </w:tabs>
        <w:spacing w:after="160"/>
        <w:ind w:left="567" w:hanging="567"/>
        <w:rPr>
          <w:rFonts w:ascii="Cambria" w:hAnsi="Cambria" w:cs="Arial"/>
          <w:sz w:val="22"/>
          <w:szCs w:val="22"/>
        </w:rPr>
      </w:pPr>
      <w:r w:rsidRPr="009A0DA6">
        <w:rPr>
          <w:rFonts w:ascii="Cambria" w:hAnsi="Cambria" w:cs="Arial"/>
          <w:sz w:val="22"/>
          <w:szCs w:val="22"/>
        </w:rPr>
        <w:tab/>
        <w:t xml:space="preserve">Additionally, the pool of teachers aspiring to and equipped to take up leadership positions is an issue that needs to be recognised and addressed. Over the period 2014-2018, 42 principals left the Lutheran education sector. Of these, 18 retired, six moved from the principal role to another leadership position and two are still serving in a Lutheran school but not as principal. </w:t>
      </w:r>
      <w:r w:rsidRPr="009A0DA6">
        <w:rPr>
          <w:rFonts w:ascii="Cambria" w:hAnsi="Cambria" w:cs="Arial"/>
          <w:sz w:val="22"/>
          <w:szCs w:val="22"/>
        </w:rPr>
        <w:tab/>
        <w:t xml:space="preserve"> </w:t>
      </w:r>
    </w:p>
    <w:p w14:paraId="1D8D2786" w14:textId="77777777" w:rsidR="006F210A" w:rsidRPr="009A0DA6" w:rsidRDefault="006F210A" w:rsidP="006F210A">
      <w:pPr>
        <w:pStyle w:val="FootnoteText"/>
        <w:tabs>
          <w:tab w:val="left" w:pos="567"/>
        </w:tabs>
        <w:spacing w:after="160"/>
        <w:ind w:left="567" w:hanging="567"/>
        <w:rPr>
          <w:rFonts w:ascii="Cambria" w:hAnsi="Cambria" w:cs="Arial"/>
          <w:sz w:val="22"/>
          <w:szCs w:val="22"/>
        </w:rPr>
      </w:pPr>
      <w:r w:rsidRPr="009A0DA6">
        <w:rPr>
          <w:rFonts w:ascii="Cambria" w:hAnsi="Cambria" w:cs="Arial"/>
          <w:sz w:val="22"/>
          <w:szCs w:val="22"/>
        </w:rPr>
        <w:t>5.8</w:t>
      </w:r>
      <w:r w:rsidRPr="009A0DA6">
        <w:rPr>
          <w:rFonts w:ascii="Cambria" w:hAnsi="Cambria" w:cs="Arial"/>
          <w:sz w:val="22"/>
          <w:szCs w:val="22"/>
        </w:rPr>
        <w:tab/>
        <w:t xml:space="preserve">The LCA as a whole is the final bearer of risk (financial, legal, and reputational) although individual regions / districts have governance responsibility for some specified areas (eg loan approvals, school establishment / closure). </w:t>
      </w:r>
    </w:p>
    <w:p w14:paraId="4B31F999" w14:textId="77777777" w:rsidR="006F210A" w:rsidRPr="009A0DA6" w:rsidRDefault="006F210A" w:rsidP="006F210A">
      <w:pPr>
        <w:pStyle w:val="FootnoteText"/>
        <w:tabs>
          <w:tab w:val="left" w:pos="567"/>
        </w:tabs>
        <w:spacing w:after="160"/>
        <w:ind w:left="567" w:hanging="567"/>
        <w:rPr>
          <w:rFonts w:ascii="Cambria" w:hAnsi="Cambria"/>
          <w:sz w:val="22"/>
          <w:szCs w:val="22"/>
        </w:rPr>
      </w:pPr>
      <w:r w:rsidRPr="009A0DA6">
        <w:rPr>
          <w:rFonts w:ascii="Cambria" w:hAnsi="Cambria" w:cs="Arial"/>
          <w:sz w:val="22"/>
          <w:szCs w:val="22"/>
        </w:rPr>
        <w:tab/>
        <w:t xml:space="preserve">This is a critical issue for the church in the context of the ‘disconnect’ between financial and risk management at the local level and the LCA’s ultimate responsibility for any risk and its consequences. </w:t>
      </w:r>
    </w:p>
    <w:p w14:paraId="57414C14" w14:textId="77777777" w:rsidR="006F210A" w:rsidRPr="009A0DA6" w:rsidRDefault="006F210A" w:rsidP="006F210A">
      <w:pPr>
        <w:pStyle w:val="Heading3"/>
        <w:tabs>
          <w:tab w:val="left" w:pos="567"/>
        </w:tabs>
      </w:pPr>
      <w:r w:rsidRPr="009A0DA6">
        <w:lastRenderedPageBreak/>
        <w:t xml:space="preserve">6. </w:t>
      </w:r>
      <w:r w:rsidRPr="009A0DA6">
        <w:tab/>
        <w:t xml:space="preserve"> RECOMMENDED ACTIONS</w:t>
      </w:r>
    </w:p>
    <w:p w14:paraId="7F1091E0" w14:textId="77777777" w:rsidR="006F210A" w:rsidRPr="009A0DA6" w:rsidRDefault="006F210A" w:rsidP="006F210A">
      <w:pPr>
        <w:pStyle w:val="FootnoteText"/>
        <w:spacing w:after="160"/>
        <w:rPr>
          <w:rFonts w:ascii="Cambria" w:hAnsi="Cambria" w:cs="Arial"/>
          <w:sz w:val="22"/>
          <w:szCs w:val="22"/>
        </w:rPr>
      </w:pPr>
      <w:r w:rsidRPr="009A0DA6">
        <w:rPr>
          <w:rFonts w:ascii="Cambria" w:hAnsi="Cambria" w:cs="Arial"/>
          <w:sz w:val="22"/>
          <w:szCs w:val="22"/>
        </w:rPr>
        <w:t xml:space="preserve">Against the background noted above, and in the light of the identified findings, the following recommendations are put forward in the spirit of collaboration and ongoing dialogue with all partners in Lutheran education. </w:t>
      </w:r>
    </w:p>
    <w:p w14:paraId="39B92CD2" w14:textId="77777777" w:rsidR="006F210A" w:rsidRPr="009A0DA6" w:rsidRDefault="006F210A" w:rsidP="006F210A">
      <w:pPr>
        <w:pStyle w:val="FootnoteText"/>
        <w:spacing w:after="160"/>
        <w:rPr>
          <w:rFonts w:ascii="Cambria" w:hAnsi="Cambria" w:cs="Arial"/>
          <w:sz w:val="22"/>
          <w:szCs w:val="22"/>
        </w:rPr>
      </w:pPr>
      <w:r w:rsidRPr="009A0DA6">
        <w:rPr>
          <w:rFonts w:ascii="Cambria" w:hAnsi="Cambria" w:cs="Arial"/>
          <w:sz w:val="22"/>
          <w:szCs w:val="22"/>
        </w:rPr>
        <w:t xml:space="preserve">The joint working group acknowledges the significant positive contribution that the LCA’s schools and early childhood centres (ECCs) make to the mission and ministry of the Lutheran church in Australia. At the same time, the joint working group believes that work remains to ensure the ongoing viability of the Lutheran education community as it seeks to provide quality educational outcomes and enhance the spiritual life of students, in the context of a Christ-centred and Gospel-focused Lutheran education. </w:t>
      </w:r>
    </w:p>
    <w:p w14:paraId="0FF9443E" w14:textId="77777777" w:rsidR="006F210A" w:rsidRPr="009A0DA6" w:rsidRDefault="006F210A" w:rsidP="006F210A">
      <w:pPr>
        <w:pStyle w:val="FootnoteText"/>
        <w:spacing w:after="160"/>
        <w:rPr>
          <w:rFonts w:ascii="Cambria" w:hAnsi="Cambria" w:cs="Arial"/>
          <w:sz w:val="22"/>
          <w:szCs w:val="22"/>
        </w:rPr>
      </w:pPr>
      <w:r w:rsidRPr="009A0DA6">
        <w:rPr>
          <w:rFonts w:ascii="Cambria" w:hAnsi="Cambria" w:cs="Arial"/>
          <w:sz w:val="22"/>
          <w:szCs w:val="22"/>
        </w:rPr>
        <w:t xml:space="preserve">To this end the recommendations provided below are designed to build on the strengths already existing within the Lutheran education community, and to enable further and ongoing dialogue between the various partners in education – the LCA’s schools, ECCs, school governing bodies, the regions, districts, LEA and ALC – to ensure a Christ-focused education for our young people into the future. </w:t>
      </w:r>
    </w:p>
    <w:p w14:paraId="68BBAABB" w14:textId="77777777" w:rsidR="006F210A" w:rsidRPr="009A0DA6" w:rsidRDefault="006F210A" w:rsidP="006F210A">
      <w:pPr>
        <w:pStyle w:val="FootnoteText"/>
        <w:spacing w:after="160"/>
        <w:rPr>
          <w:rFonts w:ascii="Cambria" w:hAnsi="Cambria" w:cs="Arial"/>
          <w:sz w:val="22"/>
          <w:szCs w:val="22"/>
        </w:rPr>
      </w:pPr>
      <w:r w:rsidRPr="009A0DA6">
        <w:rPr>
          <w:rFonts w:ascii="Cambria" w:hAnsi="Cambria" w:cs="Arial"/>
          <w:sz w:val="22"/>
          <w:szCs w:val="22"/>
        </w:rPr>
        <w:t xml:space="preserve">Such dialogue will need to occur in the context of a mutable and unpredictable educational landscape – for example, in the context of Federal government funding allocation and how this will be determined by current and future governments – where the need for a unified Lutheran educational sector is paramount. While it is the case that there is a single Lutheran education sector across Australia, it will be increasingly important for regions and districts, together with the BLEA and GCC, to work in harmony to achieve shared goals. </w:t>
      </w:r>
    </w:p>
    <w:p w14:paraId="0291A838" w14:textId="77777777" w:rsidR="006F210A" w:rsidRPr="009A0DA6" w:rsidRDefault="006F210A" w:rsidP="006F210A">
      <w:pPr>
        <w:pStyle w:val="FootnoteText"/>
        <w:spacing w:after="160"/>
        <w:rPr>
          <w:rFonts w:ascii="Cambria" w:hAnsi="Cambria" w:cs="Arial"/>
          <w:sz w:val="22"/>
          <w:szCs w:val="22"/>
        </w:rPr>
      </w:pPr>
      <w:r w:rsidRPr="009A0DA6">
        <w:rPr>
          <w:rFonts w:ascii="Cambria" w:hAnsi="Cambria" w:cs="Arial"/>
          <w:sz w:val="22"/>
          <w:szCs w:val="22"/>
        </w:rPr>
        <w:t xml:space="preserve">The joint working group therefore offers the following recommendations as a basis for further collaboration and dialogue. </w:t>
      </w:r>
    </w:p>
    <w:p w14:paraId="28EF2F7B" w14:textId="77777777" w:rsidR="006F210A" w:rsidRPr="009A0DA6" w:rsidRDefault="006F210A" w:rsidP="006F210A">
      <w:pPr>
        <w:pStyle w:val="FootnoteText"/>
        <w:spacing w:after="160"/>
        <w:ind w:left="567" w:hanging="567"/>
        <w:rPr>
          <w:rFonts w:ascii="Cambria" w:hAnsi="Cambria" w:cs="Arial"/>
          <w:sz w:val="22"/>
          <w:szCs w:val="22"/>
        </w:rPr>
      </w:pPr>
      <w:r w:rsidRPr="009A0DA6">
        <w:rPr>
          <w:rFonts w:ascii="Cambria" w:hAnsi="Cambria" w:cs="Arial"/>
          <w:sz w:val="22"/>
          <w:szCs w:val="22"/>
        </w:rPr>
        <w:t>6.1</w:t>
      </w:r>
      <w:r w:rsidRPr="009A0DA6">
        <w:rPr>
          <w:rFonts w:ascii="Cambria" w:hAnsi="Cambria" w:cs="Arial"/>
          <w:sz w:val="22"/>
          <w:szCs w:val="22"/>
        </w:rPr>
        <w:tab/>
        <w:t xml:space="preserve">That Synod celebrates Lutheran education in its many forms across Australia, welcomes the mission and ministry opportunities that the LCA’s schools and early childhood centres provide, and commits the church to supporting on-going improvements in collaborative ministry, governance and relevant administration. </w:t>
      </w:r>
    </w:p>
    <w:p w14:paraId="7AFD51EE" w14:textId="77777777" w:rsidR="006F210A" w:rsidRPr="009A0DA6" w:rsidRDefault="006F210A" w:rsidP="006F210A">
      <w:pPr>
        <w:pStyle w:val="FootnoteText"/>
        <w:spacing w:after="160"/>
        <w:ind w:left="567" w:hanging="567"/>
        <w:rPr>
          <w:rFonts w:ascii="Cambria" w:hAnsi="Cambria" w:cs="Arial"/>
          <w:sz w:val="22"/>
          <w:szCs w:val="22"/>
        </w:rPr>
      </w:pPr>
      <w:r w:rsidRPr="009A0DA6">
        <w:rPr>
          <w:rFonts w:ascii="Cambria" w:hAnsi="Cambria" w:cs="Arial"/>
          <w:sz w:val="22"/>
          <w:szCs w:val="22"/>
        </w:rPr>
        <w:t xml:space="preserve">6.2 </w:t>
      </w:r>
      <w:r w:rsidRPr="009A0DA6">
        <w:rPr>
          <w:rFonts w:ascii="Cambria" w:hAnsi="Cambria" w:cs="Arial"/>
          <w:sz w:val="22"/>
          <w:szCs w:val="22"/>
        </w:rPr>
        <w:tab/>
        <w:t>That Synod acknowledges and affirms:</w:t>
      </w:r>
    </w:p>
    <w:p w14:paraId="633D1CE8" w14:textId="77777777" w:rsidR="006F210A" w:rsidRPr="009A0DA6" w:rsidRDefault="006F210A" w:rsidP="006F210A">
      <w:pPr>
        <w:pStyle w:val="FootnoteText"/>
        <w:numPr>
          <w:ilvl w:val="0"/>
          <w:numId w:val="241"/>
        </w:numPr>
        <w:tabs>
          <w:tab w:val="clear" w:pos="1440"/>
          <w:tab w:val="num" w:pos="1134"/>
        </w:tabs>
        <w:spacing w:after="160"/>
        <w:ind w:left="1134" w:hanging="567"/>
        <w:rPr>
          <w:rFonts w:ascii="Cambria" w:hAnsi="Cambria" w:cs="Arial"/>
          <w:sz w:val="22"/>
          <w:szCs w:val="22"/>
        </w:rPr>
      </w:pPr>
      <w:r w:rsidRPr="009A0DA6">
        <w:rPr>
          <w:rFonts w:ascii="Cambria" w:hAnsi="Cambria" w:cs="Arial"/>
          <w:sz w:val="22"/>
          <w:szCs w:val="22"/>
        </w:rPr>
        <w:t>the strong commitment of the Lutheran education sector as a whole to mission and ministry through the LCA’s schools, teachers, staff and leaders;</w:t>
      </w:r>
    </w:p>
    <w:p w14:paraId="3A8ADD74" w14:textId="77777777" w:rsidR="006F210A" w:rsidRPr="009A0DA6" w:rsidRDefault="006F210A" w:rsidP="006F210A">
      <w:pPr>
        <w:pStyle w:val="FootnoteText"/>
        <w:numPr>
          <w:ilvl w:val="0"/>
          <w:numId w:val="241"/>
        </w:numPr>
        <w:tabs>
          <w:tab w:val="clear" w:pos="1440"/>
          <w:tab w:val="num" w:pos="1134"/>
        </w:tabs>
        <w:spacing w:after="160"/>
        <w:ind w:left="1134" w:hanging="567"/>
        <w:rPr>
          <w:rFonts w:ascii="Cambria" w:hAnsi="Cambria" w:cs="Arial"/>
          <w:sz w:val="22"/>
          <w:szCs w:val="22"/>
        </w:rPr>
      </w:pPr>
      <w:r w:rsidRPr="009A0DA6">
        <w:rPr>
          <w:rFonts w:ascii="Cambria" w:hAnsi="Cambria" w:cs="Arial"/>
          <w:sz w:val="22"/>
          <w:szCs w:val="22"/>
        </w:rPr>
        <w:t>the strong commitment of the Lutheran education sector as a whole to upholding and growing Lutheran identity and culture through a Gospel-centred focus on the education and development of young people;</w:t>
      </w:r>
    </w:p>
    <w:p w14:paraId="7C5E7790" w14:textId="77777777" w:rsidR="006F210A" w:rsidRPr="009A0DA6" w:rsidRDefault="006F210A" w:rsidP="006F210A">
      <w:pPr>
        <w:pStyle w:val="FootnoteText"/>
        <w:numPr>
          <w:ilvl w:val="0"/>
          <w:numId w:val="241"/>
        </w:numPr>
        <w:tabs>
          <w:tab w:val="clear" w:pos="1440"/>
          <w:tab w:val="num" w:pos="1134"/>
        </w:tabs>
        <w:spacing w:after="160"/>
        <w:ind w:left="1134" w:hanging="567"/>
        <w:rPr>
          <w:rFonts w:ascii="Cambria" w:hAnsi="Cambria" w:cs="Arial"/>
          <w:sz w:val="22"/>
          <w:szCs w:val="22"/>
        </w:rPr>
      </w:pPr>
      <w:r w:rsidRPr="009A0DA6">
        <w:rPr>
          <w:rFonts w:ascii="Cambria" w:hAnsi="Cambria" w:cs="Arial"/>
          <w:sz w:val="22"/>
          <w:szCs w:val="22"/>
        </w:rPr>
        <w:t xml:space="preserve">the commitment of the Lutheran education sector as a whole to a vibrant, sustainable Lutheran education sector into the future, underpinned by strong relationships and a desire to work together for shared goals and outcomes. </w:t>
      </w:r>
    </w:p>
    <w:p w14:paraId="4F1DDA01" w14:textId="77777777" w:rsidR="006F210A" w:rsidRPr="009A0DA6" w:rsidRDefault="006F210A" w:rsidP="006F210A">
      <w:pPr>
        <w:pStyle w:val="FootnoteText"/>
        <w:spacing w:after="160"/>
        <w:ind w:left="567" w:hanging="567"/>
        <w:rPr>
          <w:rFonts w:ascii="Cambria" w:hAnsi="Cambria" w:cs="Arial"/>
          <w:sz w:val="22"/>
          <w:szCs w:val="22"/>
        </w:rPr>
      </w:pPr>
      <w:r w:rsidRPr="009A0DA6">
        <w:rPr>
          <w:rFonts w:ascii="Cambria" w:hAnsi="Cambria" w:cs="Arial"/>
          <w:sz w:val="22"/>
          <w:szCs w:val="22"/>
        </w:rPr>
        <w:t xml:space="preserve">6.3 </w:t>
      </w:r>
      <w:r w:rsidRPr="009A0DA6">
        <w:rPr>
          <w:rFonts w:ascii="Cambria" w:hAnsi="Cambria" w:cs="Arial"/>
          <w:sz w:val="22"/>
          <w:szCs w:val="22"/>
        </w:rPr>
        <w:tab/>
        <w:t xml:space="preserve">That Synod directs GCC and BLEA to develop and resource action plans to support the collaborative engagement of schools, congregations, districts and the LCA in mission and ministry. </w:t>
      </w:r>
    </w:p>
    <w:p w14:paraId="47413A98" w14:textId="77777777" w:rsidR="006F210A" w:rsidRPr="009A0DA6" w:rsidRDefault="006F210A" w:rsidP="006F210A">
      <w:pPr>
        <w:pStyle w:val="FootnoteText"/>
        <w:spacing w:after="160"/>
        <w:ind w:left="567" w:hanging="567"/>
        <w:rPr>
          <w:rFonts w:ascii="Cambria" w:hAnsi="Cambria" w:cs="Arial"/>
          <w:sz w:val="22"/>
          <w:szCs w:val="22"/>
        </w:rPr>
      </w:pPr>
      <w:r w:rsidRPr="009A0DA6">
        <w:rPr>
          <w:rFonts w:ascii="Cambria" w:hAnsi="Cambria" w:cs="Arial"/>
          <w:sz w:val="22"/>
          <w:szCs w:val="22"/>
        </w:rPr>
        <w:tab/>
      </w:r>
      <w:r w:rsidRPr="009A0DA6">
        <w:rPr>
          <w:rFonts w:ascii="Cambria" w:hAnsi="Cambria" w:cs="Arial"/>
          <w:b/>
          <w:i/>
          <w:sz w:val="22"/>
          <w:szCs w:val="22"/>
        </w:rPr>
        <w:t>Justification</w:t>
      </w:r>
      <w:r w:rsidRPr="009A0DA6">
        <w:rPr>
          <w:rFonts w:ascii="Cambria" w:hAnsi="Cambria" w:cs="Arial"/>
          <w:i/>
          <w:sz w:val="22"/>
          <w:szCs w:val="22"/>
        </w:rPr>
        <w:t>: Mission and ministry underpins the work of the LCA through its congregations, boards, committees and departments. The mission of the church, and its ministry to all, is best served through collaboration, engagement and communication.</w:t>
      </w:r>
    </w:p>
    <w:p w14:paraId="2C71B814" w14:textId="77777777" w:rsidR="006F210A" w:rsidRPr="009A0DA6" w:rsidRDefault="006F210A" w:rsidP="006F210A">
      <w:pPr>
        <w:pStyle w:val="FootnoteText"/>
        <w:spacing w:after="160"/>
        <w:ind w:left="567" w:hanging="567"/>
        <w:rPr>
          <w:rFonts w:ascii="Cambria" w:hAnsi="Cambria" w:cs="Arial"/>
          <w:sz w:val="22"/>
          <w:szCs w:val="22"/>
        </w:rPr>
      </w:pPr>
      <w:r w:rsidRPr="009A0DA6">
        <w:rPr>
          <w:rFonts w:ascii="Cambria" w:hAnsi="Cambria" w:cs="Arial"/>
          <w:sz w:val="22"/>
          <w:szCs w:val="22"/>
        </w:rPr>
        <w:t>6.4</w:t>
      </w:r>
      <w:r w:rsidRPr="009A0DA6">
        <w:rPr>
          <w:rFonts w:ascii="Cambria" w:hAnsi="Cambria" w:cs="Arial"/>
          <w:sz w:val="22"/>
          <w:szCs w:val="22"/>
        </w:rPr>
        <w:tab/>
        <w:t xml:space="preserve">That Lutheran Education Australia (LEA) becomes the system authority for Commonwealth government funding, as the authorised body for the distribution of Commonwealth funds. </w:t>
      </w:r>
    </w:p>
    <w:p w14:paraId="21AFAF75" w14:textId="77777777" w:rsidR="006F210A" w:rsidRPr="009A0DA6" w:rsidRDefault="006F210A" w:rsidP="006F210A">
      <w:pPr>
        <w:pStyle w:val="FootnoteText"/>
        <w:spacing w:after="160"/>
        <w:ind w:left="567" w:hanging="567"/>
        <w:rPr>
          <w:rFonts w:ascii="Cambria" w:hAnsi="Cambria" w:cs="Arial"/>
          <w:sz w:val="22"/>
          <w:szCs w:val="22"/>
        </w:rPr>
      </w:pPr>
      <w:r w:rsidRPr="009A0DA6">
        <w:rPr>
          <w:rFonts w:ascii="Cambria" w:hAnsi="Cambria" w:cs="Arial"/>
          <w:sz w:val="22"/>
          <w:szCs w:val="22"/>
        </w:rPr>
        <w:tab/>
      </w:r>
      <w:r w:rsidRPr="009A0DA6">
        <w:rPr>
          <w:rFonts w:ascii="Cambria" w:hAnsi="Cambria" w:cs="Arial"/>
          <w:b/>
          <w:i/>
          <w:sz w:val="22"/>
          <w:szCs w:val="22"/>
        </w:rPr>
        <w:t>Justification</w:t>
      </w:r>
      <w:r w:rsidRPr="009A0DA6">
        <w:rPr>
          <w:rFonts w:ascii="Cambria" w:hAnsi="Cambria" w:cs="Arial"/>
          <w:i/>
          <w:sz w:val="22"/>
          <w:szCs w:val="22"/>
        </w:rPr>
        <w:t>: Ensuring a single authority for distributing Commonwealth funding will contribute to enhanced financial risk management going forward.</w:t>
      </w:r>
    </w:p>
    <w:p w14:paraId="6BEAED53" w14:textId="77777777" w:rsidR="006F210A" w:rsidRPr="009A0DA6" w:rsidRDefault="006F210A" w:rsidP="006F210A">
      <w:pPr>
        <w:spacing w:line="240" w:lineRule="auto"/>
        <w:ind w:left="567" w:hanging="567"/>
        <w:rPr>
          <w:rFonts w:ascii="Cambria" w:hAnsi="Cambria" w:cs="Arial"/>
        </w:rPr>
      </w:pPr>
      <w:r w:rsidRPr="009A0DA6">
        <w:rPr>
          <w:rFonts w:ascii="Cambria" w:hAnsi="Cambria" w:cs="Arial"/>
        </w:rPr>
        <w:lastRenderedPageBreak/>
        <w:t>6.5</w:t>
      </w:r>
      <w:r w:rsidRPr="009A0DA6">
        <w:rPr>
          <w:rFonts w:ascii="Cambria" w:hAnsi="Cambria" w:cs="Arial"/>
        </w:rPr>
        <w:tab/>
        <w:t>That Synod celebrates and welcomes the governance authority of the BLEA in the following five key areas of responsibility, and commits to enabling the BLEA to enact its authority and develop strategic direction for the whole Lutheran education body by working collaboratively with each of the education regions:</w:t>
      </w:r>
    </w:p>
    <w:p w14:paraId="2E9F707B" w14:textId="77777777" w:rsidR="006F210A" w:rsidRPr="009A0DA6" w:rsidRDefault="006F210A" w:rsidP="006F210A">
      <w:pPr>
        <w:numPr>
          <w:ilvl w:val="0"/>
          <w:numId w:val="242"/>
        </w:numPr>
        <w:tabs>
          <w:tab w:val="clear" w:pos="1440"/>
        </w:tabs>
        <w:spacing w:line="240" w:lineRule="auto"/>
        <w:ind w:left="1134" w:hanging="567"/>
        <w:rPr>
          <w:rFonts w:ascii="Cambria" w:hAnsi="Cambria" w:cs="Arial"/>
        </w:rPr>
      </w:pPr>
      <w:r w:rsidRPr="009A0DA6">
        <w:rPr>
          <w:rFonts w:ascii="Cambria" w:hAnsi="Cambria" w:cs="Arial"/>
        </w:rPr>
        <w:t>setting strategic direction and policy for Lutheran education;</w:t>
      </w:r>
    </w:p>
    <w:p w14:paraId="35AAE4BE" w14:textId="77777777" w:rsidR="006F210A" w:rsidRPr="009A0DA6" w:rsidRDefault="006F210A" w:rsidP="006F210A">
      <w:pPr>
        <w:numPr>
          <w:ilvl w:val="0"/>
          <w:numId w:val="242"/>
        </w:numPr>
        <w:tabs>
          <w:tab w:val="clear" w:pos="1440"/>
        </w:tabs>
        <w:spacing w:line="240" w:lineRule="auto"/>
        <w:ind w:left="1134" w:hanging="567"/>
        <w:rPr>
          <w:rFonts w:ascii="Cambria" w:hAnsi="Cambria" w:cs="Arial"/>
        </w:rPr>
      </w:pPr>
      <w:r w:rsidRPr="009A0DA6">
        <w:rPr>
          <w:rFonts w:ascii="Cambria" w:hAnsi="Cambria" w:cs="Arial"/>
        </w:rPr>
        <w:t>strengthening Lutheran identity;</w:t>
      </w:r>
    </w:p>
    <w:p w14:paraId="7816207E" w14:textId="77777777" w:rsidR="006F210A" w:rsidRPr="009A0DA6" w:rsidRDefault="006F210A" w:rsidP="006F210A">
      <w:pPr>
        <w:numPr>
          <w:ilvl w:val="0"/>
          <w:numId w:val="242"/>
        </w:numPr>
        <w:tabs>
          <w:tab w:val="clear" w:pos="1440"/>
        </w:tabs>
        <w:spacing w:line="240" w:lineRule="auto"/>
        <w:ind w:left="1134" w:hanging="567"/>
        <w:rPr>
          <w:rFonts w:ascii="Cambria" w:hAnsi="Cambria" w:cs="Arial"/>
        </w:rPr>
      </w:pPr>
      <w:r w:rsidRPr="009A0DA6">
        <w:rPr>
          <w:rFonts w:ascii="Cambria" w:hAnsi="Cambria" w:cs="Arial"/>
        </w:rPr>
        <w:t>risk oversight (legal, financial and reputational, including engaging with the Commonwealth government and, in collaboration with the districts, approval of school opening and closure);</w:t>
      </w:r>
    </w:p>
    <w:p w14:paraId="03E968F4" w14:textId="77777777" w:rsidR="006F210A" w:rsidRPr="009A0DA6" w:rsidRDefault="006F210A" w:rsidP="006F210A">
      <w:pPr>
        <w:numPr>
          <w:ilvl w:val="0"/>
          <w:numId w:val="242"/>
        </w:numPr>
        <w:tabs>
          <w:tab w:val="clear" w:pos="1440"/>
        </w:tabs>
        <w:spacing w:line="240" w:lineRule="auto"/>
        <w:ind w:left="1134" w:hanging="567"/>
        <w:rPr>
          <w:rFonts w:ascii="Cambria" w:hAnsi="Cambria" w:cs="Arial"/>
        </w:rPr>
      </w:pPr>
      <w:r w:rsidRPr="009A0DA6">
        <w:rPr>
          <w:rFonts w:ascii="Cambria" w:hAnsi="Cambria" w:cs="Arial"/>
        </w:rPr>
        <w:t>formation, leadership succession and development;</w:t>
      </w:r>
    </w:p>
    <w:p w14:paraId="2C6C10C3" w14:textId="77777777" w:rsidR="006F210A" w:rsidRPr="009A0DA6" w:rsidRDefault="006F210A" w:rsidP="006F210A">
      <w:pPr>
        <w:numPr>
          <w:ilvl w:val="0"/>
          <w:numId w:val="242"/>
        </w:numPr>
        <w:tabs>
          <w:tab w:val="clear" w:pos="1440"/>
        </w:tabs>
        <w:spacing w:line="240" w:lineRule="auto"/>
        <w:ind w:left="1134" w:hanging="567"/>
        <w:rPr>
          <w:rFonts w:ascii="Cambria" w:hAnsi="Cambria" w:cs="Arial"/>
        </w:rPr>
      </w:pPr>
      <w:r w:rsidRPr="009A0DA6">
        <w:rPr>
          <w:rFonts w:ascii="Cambria" w:hAnsi="Cambria" w:cs="Arial"/>
        </w:rPr>
        <w:t>culture (including facilitating and driving greater collaboration across the Lutheran education body)</w:t>
      </w:r>
    </w:p>
    <w:p w14:paraId="48CBE48D" w14:textId="77777777" w:rsidR="006F210A" w:rsidRPr="009A0DA6" w:rsidRDefault="006F210A" w:rsidP="006F210A">
      <w:pPr>
        <w:pStyle w:val="FootnoteText"/>
        <w:spacing w:after="160"/>
        <w:ind w:left="720"/>
        <w:rPr>
          <w:rFonts w:ascii="Cambria" w:hAnsi="Cambria" w:cs="Arial"/>
          <w:i/>
          <w:sz w:val="22"/>
          <w:szCs w:val="22"/>
        </w:rPr>
      </w:pPr>
      <w:r w:rsidRPr="009A0DA6">
        <w:rPr>
          <w:rFonts w:ascii="Cambria" w:hAnsi="Cambria" w:cs="Arial"/>
          <w:b/>
          <w:i/>
          <w:sz w:val="22"/>
          <w:szCs w:val="22"/>
        </w:rPr>
        <w:t>Justification</w:t>
      </w:r>
      <w:r w:rsidRPr="009A0DA6">
        <w:rPr>
          <w:rFonts w:ascii="Cambria" w:hAnsi="Cambria" w:cs="Arial"/>
          <w:i/>
          <w:sz w:val="22"/>
          <w:szCs w:val="22"/>
        </w:rPr>
        <w:t xml:space="preserve">: GCC has affirmed the authority of BLEA for Lutheran education across Australia in specified focus areas (ref. p. 3), and this affirmation for the identified focus areas has been endorsed by the regions throughout the consultations. The recommended action identifies BLEA’s governance authority for these specific areas while acknowledging the governance authority of regions / districts for other areas of Lutheran education. </w:t>
      </w:r>
    </w:p>
    <w:p w14:paraId="510BDBA6" w14:textId="77777777" w:rsidR="006F210A" w:rsidRPr="009A0DA6" w:rsidRDefault="006F210A" w:rsidP="006F210A">
      <w:pPr>
        <w:pStyle w:val="FootnoteText"/>
        <w:spacing w:after="160"/>
        <w:ind w:left="567" w:hanging="567"/>
        <w:rPr>
          <w:rFonts w:ascii="Cambria" w:hAnsi="Cambria" w:cs="Arial"/>
          <w:sz w:val="22"/>
          <w:szCs w:val="22"/>
        </w:rPr>
      </w:pPr>
      <w:r w:rsidRPr="009A0DA6">
        <w:rPr>
          <w:rFonts w:ascii="Cambria" w:hAnsi="Cambria" w:cs="Arial"/>
          <w:sz w:val="22"/>
          <w:szCs w:val="22"/>
        </w:rPr>
        <w:t>6.6</w:t>
      </w:r>
      <w:r w:rsidRPr="009A0DA6">
        <w:rPr>
          <w:rFonts w:ascii="Cambria" w:hAnsi="Cambria" w:cs="Arial"/>
          <w:sz w:val="22"/>
          <w:szCs w:val="22"/>
        </w:rPr>
        <w:tab/>
        <w:t>That Synod affirms the role of education regions as part of the national Lutheran education body and requests GCC and BLEA to work with the districts and the education regions to define the scope of the entities within the Lutheran education body and set the relevant boundaries by:</w:t>
      </w:r>
    </w:p>
    <w:p w14:paraId="4EF654C2" w14:textId="77777777" w:rsidR="006F210A" w:rsidRPr="009A0DA6" w:rsidRDefault="006F210A" w:rsidP="006F210A">
      <w:pPr>
        <w:pStyle w:val="FootnoteText"/>
        <w:numPr>
          <w:ilvl w:val="0"/>
          <w:numId w:val="243"/>
        </w:numPr>
        <w:tabs>
          <w:tab w:val="clear" w:pos="1440"/>
          <w:tab w:val="num" w:pos="1134"/>
        </w:tabs>
        <w:spacing w:after="160"/>
        <w:ind w:left="1134" w:hanging="567"/>
        <w:rPr>
          <w:rFonts w:ascii="Cambria" w:hAnsi="Cambria" w:cs="Arial"/>
          <w:sz w:val="22"/>
          <w:szCs w:val="22"/>
        </w:rPr>
      </w:pPr>
      <w:r w:rsidRPr="009A0DA6">
        <w:rPr>
          <w:rFonts w:ascii="Cambria" w:hAnsi="Cambria" w:cs="Arial"/>
          <w:sz w:val="22"/>
          <w:szCs w:val="22"/>
        </w:rPr>
        <w:t>relieving DCCs of their governance responsibilities, thereby allowing their focus to be on mission and ministry within their schools and ECCs;</w:t>
      </w:r>
    </w:p>
    <w:p w14:paraId="5B1E6E11" w14:textId="77777777" w:rsidR="006F210A" w:rsidRPr="009A0DA6" w:rsidRDefault="006F210A" w:rsidP="006F210A">
      <w:pPr>
        <w:pStyle w:val="FootnoteText"/>
        <w:numPr>
          <w:ilvl w:val="0"/>
          <w:numId w:val="243"/>
        </w:numPr>
        <w:tabs>
          <w:tab w:val="clear" w:pos="1440"/>
          <w:tab w:val="num" w:pos="1134"/>
        </w:tabs>
        <w:spacing w:after="160"/>
        <w:ind w:left="1134" w:hanging="567"/>
        <w:rPr>
          <w:rFonts w:ascii="Cambria" w:hAnsi="Cambria" w:cs="Arial"/>
          <w:sz w:val="22"/>
          <w:szCs w:val="22"/>
        </w:rPr>
      </w:pPr>
      <w:r w:rsidRPr="009A0DA6">
        <w:rPr>
          <w:rFonts w:ascii="Cambria" w:hAnsi="Cambria" w:cs="Arial"/>
          <w:sz w:val="22"/>
          <w:szCs w:val="22"/>
        </w:rPr>
        <w:t>clarifying governance and management accountabilities and responsibilities at regional and local levels, including relevant reporting arrangements</w:t>
      </w:r>
    </w:p>
    <w:p w14:paraId="397168FA" w14:textId="77777777" w:rsidR="006F210A" w:rsidRPr="009A0DA6" w:rsidRDefault="006F210A" w:rsidP="006F210A">
      <w:pPr>
        <w:pStyle w:val="FootnoteText"/>
        <w:spacing w:after="160"/>
        <w:ind w:left="567" w:hanging="567"/>
        <w:rPr>
          <w:rFonts w:ascii="Cambria" w:hAnsi="Cambria" w:cs="Arial"/>
          <w:sz w:val="22"/>
          <w:szCs w:val="22"/>
        </w:rPr>
      </w:pPr>
      <w:r w:rsidRPr="009A0DA6">
        <w:rPr>
          <w:rFonts w:ascii="Cambria" w:hAnsi="Cambria" w:cs="Arial"/>
          <w:sz w:val="22"/>
          <w:szCs w:val="22"/>
        </w:rPr>
        <w:tab/>
      </w:r>
      <w:r w:rsidRPr="009A0DA6">
        <w:rPr>
          <w:rFonts w:ascii="Cambria" w:hAnsi="Cambria" w:cs="Arial"/>
          <w:b/>
          <w:i/>
          <w:sz w:val="22"/>
          <w:szCs w:val="22"/>
        </w:rPr>
        <w:t>Justification</w:t>
      </w:r>
      <w:r w:rsidRPr="009A0DA6">
        <w:rPr>
          <w:rFonts w:ascii="Cambria" w:hAnsi="Cambria" w:cs="Arial"/>
          <w:i/>
          <w:sz w:val="22"/>
          <w:szCs w:val="22"/>
        </w:rPr>
        <w:t>: It is acknowledged that it is good practice to have decision making aligned to where operations are occurring.</w:t>
      </w:r>
    </w:p>
    <w:p w14:paraId="4ED520C0" w14:textId="77777777" w:rsidR="006F210A" w:rsidRPr="009A0DA6" w:rsidRDefault="006F210A" w:rsidP="006F210A">
      <w:pPr>
        <w:pStyle w:val="FootnoteText"/>
        <w:spacing w:after="160"/>
        <w:ind w:left="567" w:hanging="567"/>
        <w:rPr>
          <w:rFonts w:ascii="Cambria" w:hAnsi="Cambria" w:cs="Arial"/>
          <w:sz w:val="22"/>
          <w:szCs w:val="22"/>
        </w:rPr>
      </w:pPr>
      <w:r w:rsidRPr="009A0DA6">
        <w:rPr>
          <w:rFonts w:ascii="Cambria" w:hAnsi="Cambria" w:cs="Arial"/>
          <w:sz w:val="22"/>
          <w:szCs w:val="22"/>
        </w:rPr>
        <w:t>6.7</w:t>
      </w:r>
      <w:r w:rsidRPr="009A0DA6">
        <w:rPr>
          <w:rFonts w:ascii="Cambria" w:hAnsi="Cambria" w:cs="Arial"/>
          <w:sz w:val="22"/>
          <w:szCs w:val="22"/>
        </w:rPr>
        <w:tab/>
        <w:t xml:space="preserve">That regional and national governing boards be aligned to comply with LCA policy about being skills-based and to ensure appropriate separation between governance and management (eg employees of the system are not board members but may be consultants). </w:t>
      </w:r>
    </w:p>
    <w:p w14:paraId="61564F19" w14:textId="77777777" w:rsidR="006F210A" w:rsidRPr="009A0DA6" w:rsidRDefault="006F210A" w:rsidP="006F210A">
      <w:pPr>
        <w:pStyle w:val="FootnoteText"/>
        <w:spacing w:after="160"/>
        <w:ind w:left="567" w:hanging="567"/>
        <w:rPr>
          <w:rFonts w:ascii="Cambria" w:hAnsi="Cambria" w:cs="Arial"/>
          <w:sz w:val="22"/>
          <w:szCs w:val="22"/>
        </w:rPr>
      </w:pPr>
      <w:r w:rsidRPr="009A0DA6">
        <w:rPr>
          <w:rFonts w:ascii="Cambria" w:hAnsi="Cambria" w:cs="Arial"/>
          <w:sz w:val="22"/>
          <w:szCs w:val="22"/>
        </w:rPr>
        <w:tab/>
      </w:r>
      <w:r w:rsidRPr="009A0DA6">
        <w:rPr>
          <w:rFonts w:ascii="Cambria" w:hAnsi="Cambria" w:cs="Arial"/>
          <w:b/>
          <w:i/>
          <w:sz w:val="22"/>
          <w:szCs w:val="22"/>
        </w:rPr>
        <w:t>Justification</w:t>
      </w:r>
      <w:r w:rsidRPr="009A0DA6">
        <w:rPr>
          <w:rFonts w:ascii="Cambria" w:hAnsi="Cambria" w:cs="Arial"/>
          <w:i/>
          <w:sz w:val="22"/>
          <w:szCs w:val="22"/>
        </w:rPr>
        <w:t xml:space="preserve">: Synod has resolved that all national boards be skills-based to ensure an appropriate match of skills and responsibilities for effective governance. Employees of the Lutheran education system should not be members of boards that directly govern them. </w:t>
      </w:r>
    </w:p>
    <w:p w14:paraId="47255AC2" w14:textId="77777777" w:rsidR="006F210A" w:rsidRPr="009A0DA6" w:rsidRDefault="006F210A" w:rsidP="006F210A">
      <w:pPr>
        <w:pStyle w:val="FootnoteText"/>
        <w:spacing w:after="160"/>
        <w:ind w:left="567" w:hanging="567"/>
        <w:rPr>
          <w:rFonts w:ascii="Cambria" w:hAnsi="Cambria" w:cs="Arial"/>
          <w:sz w:val="22"/>
          <w:szCs w:val="22"/>
        </w:rPr>
      </w:pPr>
      <w:r w:rsidRPr="009A0DA6">
        <w:rPr>
          <w:rFonts w:ascii="Cambria" w:hAnsi="Cambria" w:cs="Arial"/>
          <w:sz w:val="22"/>
          <w:szCs w:val="22"/>
        </w:rPr>
        <w:t>6.8</w:t>
      </w:r>
      <w:r w:rsidRPr="009A0DA6">
        <w:rPr>
          <w:rFonts w:ascii="Cambria" w:hAnsi="Cambria" w:cs="Arial"/>
          <w:sz w:val="22"/>
          <w:szCs w:val="22"/>
        </w:rPr>
        <w:tab/>
        <w:t xml:space="preserve">That flexibility be provided for local school governing bodies to allow for increased participation by non-Lutheran members, whilst maintaining a majority of Lutheran members, and allowing for a model where a governing body may have oversight over more than one school. </w:t>
      </w:r>
    </w:p>
    <w:p w14:paraId="7F1794CC" w14:textId="77777777" w:rsidR="006F210A" w:rsidRPr="009A0DA6" w:rsidRDefault="006F210A" w:rsidP="006F210A">
      <w:pPr>
        <w:pStyle w:val="FootnoteText"/>
        <w:spacing w:after="160"/>
        <w:ind w:left="567"/>
        <w:rPr>
          <w:rFonts w:ascii="Cambria" w:hAnsi="Cambria" w:cs="Arial"/>
          <w:i/>
          <w:sz w:val="22"/>
          <w:szCs w:val="22"/>
        </w:rPr>
      </w:pPr>
      <w:r w:rsidRPr="009A0DA6">
        <w:rPr>
          <w:rFonts w:ascii="Cambria" w:hAnsi="Cambria" w:cs="Arial"/>
          <w:b/>
          <w:i/>
          <w:sz w:val="22"/>
          <w:szCs w:val="22"/>
        </w:rPr>
        <w:t>Justification:</w:t>
      </w:r>
      <w:r w:rsidRPr="009A0DA6">
        <w:rPr>
          <w:rFonts w:ascii="Cambria" w:hAnsi="Cambria" w:cs="Arial"/>
          <w:i/>
          <w:sz w:val="22"/>
          <w:szCs w:val="22"/>
        </w:rPr>
        <w:t xml:space="preserve"> The review highlighted the challenge being felt in some areas to source sufficient numbers of suitably skilled Lutherans to fill places on school governing bodies. </w:t>
      </w:r>
    </w:p>
    <w:p w14:paraId="46B44B86" w14:textId="77777777" w:rsidR="006F210A" w:rsidRPr="009A0DA6" w:rsidRDefault="006F210A" w:rsidP="006F210A">
      <w:pPr>
        <w:pStyle w:val="FootnoteText"/>
        <w:spacing w:after="160"/>
        <w:ind w:left="567" w:hanging="567"/>
        <w:rPr>
          <w:rFonts w:ascii="Cambria" w:hAnsi="Cambria" w:cs="Arial"/>
          <w:sz w:val="22"/>
          <w:szCs w:val="22"/>
        </w:rPr>
      </w:pPr>
      <w:r w:rsidRPr="009A0DA6">
        <w:rPr>
          <w:rFonts w:ascii="Cambria" w:hAnsi="Cambria" w:cs="Arial"/>
          <w:sz w:val="22"/>
          <w:szCs w:val="22"/>
        </w:rPr>
        <w:t>6.9</w:t>
      </w:r>
      <w:r w:rsidRPr="009A0DA6">
        <w:rPr>
          <w:rFonts w:ascii="Cambria" w:hAnsi="Cambria" w:cs="Arial"/>
          <w:sz w:val="22"/>
          <w:szCs w:val="22"/>
        </w:rPr>
        <w:tab/>
        <w:t xml:space="preserve">That BLEA and other relevant bodies determine a streamlined loans approval and guarantee process. </w:t>
      </w:r>
    </w:p>
    <w:p w14:paraId="0DC21F70" w14:textId="77777777" w:rsidR="006F210A" w:rsidRPr="009A0DA6" w:rsidRDefault="006F210A" w:rsidP="006F210A">
      <w:pPr>
        <w:pStyle w:val="FootnoteText"/>
        <w:spacing w:after="160"/>
        <w:ind w:left="567" w:hanging="567"/>
        <w:rPr>
          <w:rFonts w:ascii="Cambria" w:hAnsi="Cambria" w:cs="Arial"/>
          <w:i/>
          <w:sz w:val="22"/>
          <w:szCs w:val="22"/>
        </w:rPr>
      </w:pPr>
      <w:r w:rsidRPr="009A0DA6">
        <w:rPr>
          <w:rFonts w:ascii="Cambria" w:hAnsi="Cambria" w:cs="Arial"/>
          <w:sz w:val="22"/>
          <w:szCs w:val="22"/>
        </w:rPr>
        <w:tab/>
      </w:r>
      <w:r w:rsidRPr="009A0DA6">
        <w:rPr>
          <w:rFonts w:ascii="Cambria" w:hAnsi="Cambria" w:cs="Arial"/>
          <w:b/>
          <w:i/>
          <w:sz w:val="22"/>
          <w:szCs w:val="22"/>
        </w:rPr>
        <w:t>Justification</w:t>
      </w:r>
      <w:r w:rsidRPr="009A0DA6">
        <w:rPr>
          <w:rFonts w:ascii="Cambria" w:hAnsi="Cambria" w:cs="Arial"/>
          <w:i/>
          <w:sz w:val="22"/>
          <w:szCs w:val="22"/>
        </w:rPr>
        <w:t xml:space="preserve">: BLEA has been affirmed by GCC as the responsible governance authority for fiscal oversight and management. </w:t>
      </w:r>
    </w:p>
    <w:p w14:paraId="6B3CB14D" w14:textId="77777777" w:rsidR="006F210A" w:rsidRPr="009A0DA6" w:rsidRDefault="006F210A" w:rsidP="006F210A">
      <w:pPr>
        <w:pStyle w:val="FootnoteText"/>
        <w:spacing w:after="160"/>
        <w:ind w:left="567" w:hanging="567"/>
        <w:rPr>
          <w:rFonts w:ascii="Cambria" w:hAnsi="Cambria" w:cs="Arial"/>
          <w:sz w:val="22"/>
          <w:szCs w:val="22"/>
        </w:rPr>
      </w:pPr>
      <w:r w:rsidRPr="009A0DA6">
        <w:rPr>
          <w:rFonts w:ascii="Cambria" w:hAnsi="Cambria" w:cs="Arial"/>
          <w:sz w:val="22"/>
          <w:szCs w:val="22"/>
        </w:rPr>
        <w:lastRenderedPageBreak/>
        <w:t>6.10</w:t>
      </w:r>
      <w:r w:rsidRPr="009A0DA6">
        <w:rPr>
          <w:rFonts w:ascii="Cambria" w:hAnsi="Cambria" w:cs="Arial"/>
          <w:i/>
          <w:sz w:val="22"/>
          <w:szCs w:val="22"/>
        </w:rPr>
        <w:tab/>
      </w:r>
      <w:r w:rsidRPr="009A0DA6">
        <w:rPr>
          <w:rFonts w:ascii="Cambria" w:hAnsi="Cambria" w:cs="Arial"/>
          <w:sz w:val="22"/>
          <w:szCs w:val="22"/>
        </w:rPr>
        <w:t xml:space="preserve">That all relevant LCA Constitutions are re-written to enable the agreed changes in structure to be addressed. </w:t>
      </w:r>
    </w:p>
    <w:p w14:paraId="126AB7DC" w14:textId="77777777" w:rsidR="006F210A" w:rsidRPr="009A0DA6" w:rsidRDefault="006F210A" w:rsidP="006F210A">
      <w:pPr>
        <w:pStyle w:val="FootnoteText"/>
        <w:spacing w:after="160"/>
        <w:ind w:left="567" w:hanging="567"/>
        <w:rPr>
          <w:rFonts w:ascii="Cambria" w:hAnsi="Cambria" w:cs="Arial"/>
          <w:b/>
          <w:i/>
          <w:sz w:val="22"/>
          <w:szCs w:val="22"/>
        </w:rPr>
      </w:pPr>
      <w:r w:rsidRPr="009A0DA6">
        <w:rPr>
          <w:rFonts w:ascii="Cambria" w:hAnsi="Cambria" w:cs="Arial"/>
          <w:sz w:val="22"/>
          <w:szCs w:val="22"/>
        </w:rPr>
        <w:tab/>
      </w:r>
      <w:r w:rsidRPr="009A0DA6">
        <w:rPr>
          <w:rFonts w:ascii="Cambria" w:hAnsi="Cambria" w:cs="Arial"/>
          <w:b/>
          <w:i/>
          <w:sz w:val="22"/>
          <w:szCs w:val="22"/>
        </w:rPr>
        <w:t>Justification</w:t>
      </w:r>
      <w:r w:rsidRPr="009A0DA6">
        <w:rPr>
          <w:rFonts w:ascii="Cambria" w:hAnsi="Cambria" w:cs="Arial"/>
          <w:i/>
          <w:sz w:val="22"/>
          <w:szCs w:val="22"/>
        </w:rPr>
        <w:t xml:space="preserve">: The governance authority of BLEA, as affirmed by GCC, for the specified focus areas will be enabled by re-writing the relevant Constitutions.   </w:t>
      </w:r>
    </w:p>
    <w:p w14:paraId="231C2128" w14:textId="77777777" w:rsidR="006F210A" w:rsidRPr="009A0DA6" w:rsidRDefault="006F210A" w:rsidP="006F210A">
      <w:pPr>
        <w:pStyle w:val="FootnoteText"/>
        <w:spacing w:after="160"/>
        <w:ind w:left="567" w:hanging="567"/>
        <w:rPr>
          <w:rFonts w:ascii="Cambria" w:hAnsi="Cambria" w:cs="Arial"/>
          <w:sz w:val="22"/>
          <w:szCs w:val="22"/>
        </w:rPr>
      </w:pPr>
      <w:r w:rsidRPr="009A0DA6">
        <w:rPr>
          <w:rFonts w:ascii="Cambria" w:hAnsi="Cambria" w:cs="Arial"/>
          <w:sz w:val="22"/>
          <w:szCs w:val="22"/>
        </w:rPr>
        <w:t>6.11</w:t>
      </w:r>
      <w:r w:rsidRPr="009A0DA6">
        <w:rPr>
          <w:rFonts w:ascii="Cambria" w:hAnsi="Cambria" w:cs="Arial"/>
          <w:sz w:val="22"/>
          <w:szCs w:val="22"/>
        </w:rPr>
        <w:tab/>
        <w:t xml:space="preserve">That regular reports on progress of the above recommended actions be submitted to GCC by all relevant stakeholders / parties. </w:t>
      </w:r>
    </w:p>
    <w:p w14:paraId="0930B1C8" w14:textId="77777777" w:rsidR="006F210A" w:rsidRPr="009A0DA6" w:rsidRDefault="006F210A" w:rsidP="006F210A">
      <w:pPr>
        <w:pStyle w:val="FootnoteText"/>
        <w:spacing w:after="160"/>
        <w:ind w:left="567" w:hanging="567"/>
        <w:rPr>
          <w:rFonts w:ascii="Cambria" w:hAnsi="Cambria" w:cs="Arial"/>
          <w:i/>
          <w:sz w:val="22"/>
          <w:szCs w:val="22"/>
        </w:rPr>
      </w:pPr>
      <w:r w:rsidRPr="009A0DA6">
        <w:rPr>
          <w:rFonts w:ascii="Cambria" w:hAnsi="Cambria" w:cs="Arial"/>
          <w:sz w:val="22"/>
          <w:szCs w:val="22"/>
        </w:rPr>
        <w:tab/>
      </w:r>
      <w:r w:rsidRPr="009A0DA6">
        <w:rPr>
          <w:rFonts w:ascii="Cambria" w:hAnsi="Cambria" w:cs="Arial"/>
          <w:b/>
          <w:i/>
          <w:sz w:val="22"/>
          <w:szCs w:val="22"/>
        </w:rPr>
        <w:t>Justification</w:t>
      </w:r>
      <w:r w:rsidRPr="009A0DA6">
        <w:rPr>
          <w:rFonts w:ascii="Cambria" w:hAnsi="Cambria" w:cs="Arial"/>
          <w:i/>
          <w:sz w:val="22"/>
          <w:szCs w:val="22"/>
        </w:rPr>
        <w:t xml:space="preserve">: To ensure accountability and to measure achievement against goals. </w:t>
      </w:r>
    </w:p>
    <w:p w14:paraId="2C210C9D" w14:textId="77777777" w:rsidR="006F210A" w:rsidRPr="009A0DA6" w:rsidRDefault="006F210A" w:rsidP="006F210A">
      <w:pPr>
        <w:pStyle w:val="Heading3"/>
        <w:tabs>
          <w:tab w:val="left" w:pos="567"/>
        </w:tabs>
      </w:pPr>
      <w:r w:rsidRPr="009A0DA6">
        <w:t xml:space="preserve">7. </w:t>
      </w:r>
      <w:r w:rsidRPr="009A0DA6">
        <w:tab/>
        <w:t xml:space="preserve"> CONCLUSION</w:t>
      </w:r>
    </w:p>
    <w:p w14:paraId="0AEDBD67" w14:textId="77777777" w:rsidR="006F210A" w:rsidRPr="009A0DA6" w:rsidRDefault="006F210A" w:rsidP="006F210A">
      <w:pPr>
        <w:pStyle w:val="FootnoteText"/>
        <w:spacing w:after="160"/>
        <w:rPr>
          <w:rFonts w:ascii="Cambria" w:hAnsi="Cambria" w:cs="Arial"/>
          <w:sz w:val="22"/>
          <w:szCs w:val="22"/>
        </w:rPr>
      </w:pPr>
      <w:r w:rsidRPr="009A0DA6">
        <w:rPr>
          <w:rFonts w:ascii="Cambria" w:hAnsi="Cambria" w:cs="Arial"/>
          <w:sz w:val="22"/>
          <w:szCs w:val="22"/>
        </w:rPr>
        <w:t xml:space="preserve">The preceding report and its findings and recommended actions seek to address the key themes and issues in a way that will ensure a sustainable and vibrant Lutheran education sector for the future. Key to this will be establishing ongoing collaboration and connection between all areas and bodies of the LCA – the education and spiritual development of young people in our Lutheran schools is a critical area of the church’s mission and ministry and as such requires the commitment of all, united in common purpose. </w:t>
      </w:r>
    </w:p>
    <w:p w14:paraId="5D87CE24" w14:textId="77777777" w:rsidR="006F210A" w:rsidRPr="009A0DA6" w:rsidRDefault="006F210A" w:rsidP="006F210A">
      <w:pPr>
        <w:pStyle w:val="FootnoteText"/>
        <w:spacing w:after="160"/>
        <w:rPr>
          <w:rFonts w:ascii="Cambria" w:hAnsi="Cambria" w:cs="Arial"/>
          <w:sz w:val="22"/>
          <w:szCs w:val="22"/>
        </w:rPr>
      </w:pPr>
      <w:r w:rsidRPr="009A0DA6">
        <w:rPr>
          <w:rFonts w:ascii="Cambria" w:hAnsi="Cambria" w:cs="Arial"/>
          <w:sz w:val="22"/>
          <w:szCs w:val="22"/>
        </w:rPr>
        <w:t xml:space="preserve">To this end, the joint working group acknowledges that this review is in effect a starting point for further and ongoing dialogue and collaboration between all entities that make up the Lutheran education community in the LCA, including the LEA and its board, the education regions and DCCs, schools and school governing bodies, and ALC and its board. The recommendations presented in this report should be seen as enabling mechanisms for the further work required to achieve long-term sustainability and the ongoing health of the Lutheran education sector in Australia. </w:t>
      </w:r>
    </w:p>
    <w:p w14:paraId="3DFC1DFC" w14:textId="77777777" w:rsidR="006F210A" w:rsidRPr="009A0DA6" w:rsidRDefault="006F210A" w:rsidP="006F210A">
      <w:pPr>
        <w:pStyle w:val="FootnoteText"/>
        <w:spacing w:after="160"/>
        <w:rPr>
          <w:rFonts w:ascii="Cambria" w:hAnsi="Cambria" w:cs="Arial"/>
          <w:sz w:val="22"/>
          <w:szCs w:val="22"/>
        </w:rPr>
      </w:pPr>
      <w:r w:rsidRPr="009A0DA6">
        <w:rPr>
          <w:rFonts w:ascii="Cambria" w:hAnsi="Cambria" w:cs="Arial"/>
          <w:sz w:val="22"/>
          <w:szCs w:val="22"/>
        </w:rPr>
        <w:t xml:space="preserve">It is noted that in at least two districts similar governance review processes are underway. The joint working group endorses any findings from these reviews that lead to improved governance and skills-based and independent boards within the LCA. </w:t>
      </w:r>
    </w:p>
    <w:p w14:paraId="0C171D66" w14:textId="77777777" w:rsidR="006F210A" w:rsidRPr="009A0DA6" w:rsidRDefault="006F210A" w:rsidP="006F210A">
      <w:pPr>
        <w:pStyle w:val="FootnoteText"/>
        <w:spacing w:after="160"/>
        <w:rPr>
          <w:rFonts w:ascii="Cambria" w:hAnsi="Cambria" w:cs="Arial"/>
          <w:sz w:val="22"/>
          <w:szCs w:val="22"/>
        </w:rPr>
      </w:pPr>
      <w:r w:rsidRPr="009A0DA6">
        <w:rPr>
          <w:rFonts w:ascii="Cambria" w:hAnsi="Cambria" w:cs="Arial"/>
          <w:sz w:val="22"/>
          <w:szCs w:val="22"/>
        </w:rPr>
        <w:t xml:space="preserve">The joint working group acknowledges the time and commitment given to this governance review by all participants who freely, openly and honestly expressed their views and thoughts on Lutheran education, in the spirit of unity and a shared commitment to Lutheran teaching and theology. </w:t>
      </w:r>
    </w:p>
    <w:p w14:paraId="6DCF8527" w14:textId="77777777" w:rsidR="006F210A" w:rsidRPr="009A0DA6" w:rsidRDefault="006F210A" w:rsidP="006F210A">
      <w:pPr>
        <w:pStyle w:val="FootnoteText"/>
        <w:spacing w:after="160"/>
        <w:rPr>
          <w:rFonts w:ascii="Cambria" w:hAnsi="Cambria" w:cs="Arial"/>
          <w:sz w:val="22"/>
          <w:szCs w:val="22"/>
        </w:rPr>
      </w:pPr>
      <w:r w:rsidRPr="009A0DA6">
        <w:rPr>
          <w:rFonts w:ascii="Cambria" w:hAnsi="Cambria" w:cs="Arial"/>
          <w:sz w:val="22"/>
          <w:szCs w:val="22"/>
        </w:rPr>
        <w:t xml:space="preserve">The joint working group thanks all of the participants for their contribution to this review and for their participation in the spiritual and educational development of our young people through the work of the Lutheran education system. </w:t>
      </w:r>
    </w:p>
    <w:p w14:paraId="4D3424B9" w14:textId="77777777" w:rsidR="006F210A" w:rsidRDefault="006F210A" w:rsidP="006F210A">
      <w:pPr>
        <w:rPr>
          <w:rFonts w:ascii="Cambria" w:eastAsiaTheme="majorEastAsia" w:hAnsi="Cambria" w:cstheme="majorBidi"/>
          <w:b/>
          <w:caps/>
          <w:sz w:val="28"/>
          <w:szCs w:val="24"/>
        </w:rPr>
      </w:pPr>
      <w:r>
        <w:br w:type="page"/>
      </w:r>
    </w:p>
    <w:p w14:paraId="6471BB46" w14:textId="77777777" w:rsidR="006F210A" w:rsidRPr="009A0DA6" w:rsidRDefault="006F210A" w:rsidP="006F210A">
      <w:pPr>
        <w:pStyle w:val="Heading3"/>
      </w:pPr>
      <w:r w:rsidRPr="009A0DA6">
        <w:lastRenderedPageBreak/>
        <w:t>APPENDIX 1: REVIEW PROCESS</w:t>
      </w:r>
    </w:p>
    <w:p w14:paraId="7A2A661C" w14:textId="77777777" w:rsidR="006F210A" w:rsidRPr="009A0DA6" w:rsidRDefault="006F210A" w:rsidP="006F210A">
      <w:pPr>
        <w:pStyle w:val="FootnoteText"/>
        <w:spacing w:after="160"/>
        <w:rPr>
          <w:rFonts w:ascii="Cambria" w:hAnsi="Cambria" w:cs="Arial"/>
          <w:sz w:val="22"/>
          <w:szCs w:val="22"/>
        </w:rPr>
      </w:pPr>
      <w:r w:rsidRPr="009A0DA6">
        <w:rPr>
          <w:rFonts w:ascii="Cambria" w:hAnsi="Cambria" w:cs="Arial"/>
          <w:sz w:val="22"/>
          <w:szCs w:val="22"/>
        </w:rPr>
        <w:t>From December 2017 – March 2018 the joint BLEA / GCC working group met with key stakeholder groups as part of a consultation process designed to focus on the five key areas identified by GCC as areas of governance responsibility of BLEA (</w:t>
      </w:r>
      <w:r w:rsidRPr="009A0DA6">
        <w:rPr>
          <w:rFonts w:ascii="Cambria" w:hAnsi="Cambria" w:cs="Arial"/>
          <w:i/>
          <w:sz w:val="22"/>
          <w:szCs w:val="22"/>
        </w:rPr>
        <w:t xml:space="preserve">refer to </w:t>
      </w:r>
      <w:r w:rsidRPr="009A0DA6">
        <w:rPr>
          <w:rFonts w:ascii="Cambria" w:hAnsi="Cambria" w:cs="Arial"/>
          <w:b/>
          <w:i/>
          <w:sz w:val="22"/>
          <w:szCs w:val="22"/>
        </w:rPr>
        <w:t>Appendix 4</w:t>
      </w:r>
      <w:r w:rsidRPr="009A0DA6">
        <w:rPr>
          <w:rFonts w:ascii="Cambria" w:hAnsi="Cambria" w:cs="Arial"/>
          <w:i/>
          <w:sz w:val="22"/>
          <w:szCs w:val="22"/>
        </w:rPr>
        <w:t>, Communiques 1 and 2</w:t>
      </w:r>
      <w:r w:rsidRPr="009A0DA6">
        <w:rPr>
          <w:rFonts w:ascii="Cambria" w:hAnsi="Cambria" w:cs="Arial"/>
          <w:sz w:val="22"/>
          <w:szCs w:val="22"/>
        </w:rPr>
        <w:t>).</w:t>
      </w:r>
    </w:p>
    <w:p w14:paraId="479C3FC6" w14:textId="77777777" w:rsidR="006F210A" w:rsidRPr="009A0DA6" w:rsidRDefault="006F210A" w:rsidP="006F210A">
      <w:pPr>
        <w:pStyle w:val="FootnoteText"/>
        <w:spacing w:after="160"/>
        <w:rPr>
          <w:rFonts w:ascii="Cambria" w:hAnsi="Cambria" w:cs="Arial"/>
          <w:sz w:val="22"/>
          <w:szCs w:val="22"/>
        </w:rPr>
      </w:pPr>
      <w:r w:rsidRPr="009A0DA6">
        <w:rPr>
          <w:rFonts w:ascii="Cambria" w:hAnsi="Cambria" w:cs="Arial"/>
          <w:sz w:val="22"/>
          <w:szCs w:val="22"/>
        </w:rPr>
        <w:t>The stakeholder groups were broadly representative of the whole Lutheran education system, including district church councils, regional education councils, school governing bodies and congregational chairs, principals, the National Leadership Team, the Australian Lutheran College (ALC) Board, Lutheran Laypeople’s League (LLL) Board and Lutheran Education Australia (LEA) and regional office staff (</w:t>
      </w:r>
      <w:r w:rsidRPr="009A0DA6">
        <w:rPr>
          <w:rFonts w:ascii="Cambria" w:hAnsi="Cambria" w:cs="Arial"/>
          <w:i/>
          <w:sz w:val="22"/>
          <w:szCs w:val="22"/>
        </w:rPr>
        <w:t xml:space="preserve">refer </w:t>
      </w:r>
      <w:r w:rsidRPr="009A0DA6">
        <w:rPr>
          <w:rFonts w:ascii="Cambria" w:hAnsi="Cambria" w:cs="Arial"/>
          <w:b/>
          <w:i/>
          <w:sz w:val="22"/>
          <w:szCs w:val="22"/>
        </w:rPr>
        <w:t>Appendix 2</w:t>
      </w:r>
      <w:r w:rsidRPr="009A0DA6">
        <w:rPr>
          <w:rFonts w:ascii="Cambria" w:hAnsi="Cambria" w:cs="Arial"/>
          <w:sz w:val="22"/>
          <w:szCs w:val="22"/>
        </w:rPr>
        <w:t xml:space="preserve">). </w:t>
      </w:r>
    </w:p>
    <w:p w14:paraId="504775A8" w14:textId="77777777" w:rsidR="006F210A" w:rsidRPr="009A0DA6" w:rsidRDefault="006F210A" w:rsidP="006F210A">
      <w:pPr>
        <w:pStyle w:val="FootnoteText"/>
        <w:spacing w:after="160"/>
        <w:rPr>
          <w:rFonts w:ascii="Cambria" w:hAnsi="Cambria" w:cs="Arial"/>
          <w:sz w:val="22"/>
          <w:szCs w:val="22"/>
        </w:rPr>
      </w:pPr>
      <w:r w:rsidRPr="009A0DA6">
        <w:rPr>
          <w:rFonts w:ascii="Cambria" w:hAnsi="Cambria" w:cs="Arial"/>
          <w:sz w:val="22"/>
          <w:szCs w:val="22"/>
        </w:rPr>
        <w:t xml:space="preserve">The working group sought to engage with stakeholders on how well schools / the Lutheran education system is addressing these focus areas now, and, where necessary, what changes or improvement might be made to ensure they are addressed effectively into the future. </w:t>
      </w:r>
    </w:p>
    <w:p w14:paraId="607988FE" w14:textId="77777777" w:rsidR="006F210A" w:rsidRPr="009A0DA6" w:rsidRDefault="006F210A" w:rsidP="006F210A">
      <w:pPr>
        <w:pStyle w:val="FootnoteText"/>
        <w:spacing w:after="160"/>
        <w:rPr>
          <w:rFonts w:ascii="Cambria" w:hAnsi="Cambria" w:cs="Arial"/>
          <w:sz w:val="22"/>
          <w:szCs w:val="22"/>
        </w:rPr>
      </w:pPr>
      <w:r w:rsidRPr="009A0DA6">
        <w:rPr>
          <w:rFonts w:ascii="Cambria" w:hAnsi="Cambria" w:cs="Arial"/>
          <w:sz w:val="22"/>
          <w:szCs w:val="22"/>
        </w:rPr>
        <w:t>Consultations of approximately one to two hours duration were held with a total of 16 stakeholder groups (</w:t>
      </w:r>
      <w:r w:rsidRPr="009A0DA6">
        <w:rPr>
          <w:rFonts w:ascii="Cambria" w:hAnsi="Cambria" w:cs="Arial"/>
          <w:i/>
          <w:sz w:val="22"/>
          <w:szCs w:val="22"/>
        </w:rPr>
        <w:t xml:space="preserve">refer to </w:t>
      </w:r>
      <w:r w:rsidRPr="009A0DA6">
        <w:rPr>
          <w:rFonts w:ascii="Cambria" w:hAnsi="Cambria" w:cs="Arial"/>
          <w:b/>
          <w:i/>
          <w:sz w:val="22"/>
          <w:szCs w:val="22"/>
        </w:rPr>
        <w:t>Appendix 2</w:t>
      </w:r>
      <w:r w:rsidRPr="009A0DA6">
        <w:rPr>
          <w:rFonts w:ascii="Cambria" w:hAnsi="Cambria" w:cs="Arial"/>
          <w:sz w:val="22"/>
          <w:szCs w:val="22"/>
        </w:rPr>
        <w:t xml:space="preserve">). </w:t>
      </w:r>
    </w:p>
    <w:p w14:paraId="318965BF" w14:textId="77777777" w:rsidR="006F210A" w:rsidRPr="009A0DA6" w:rsidRDefault="006F210A" w:rsidP="006F210A">
      <w:pPr>
        <w:pStyle w:val="FootnoteText"/>
        <w:spacing w:after="160"/>
        <w:rPr>
          <w:rFonts w:ascii="Cambria" w:hAnsi="Cambria" w:cs="Arial"/>
          <w:sz w:val="22"/>
          <w:szCs w:val="22"/>
        </w:rPr>
      </w:pPr>
      <w:r w:rsidRPr="009A0DA6">
        <w:rPr>
          <w:rFonts w:ascii="Cambria" w:hAnsi="Cambria" w:cs="Arial"/>
          <w:sz w:val="22"/>
          <w:szCs w:val="22"/>
        </w:rPr>
        <w:t>Consultations were led by at least two members of the joint working group, comprised of the following members:</w:t>
      </w:r>
    </w:p>
    <w:p w14:paraId="7F111252" w14:textId="77777777" w:rsidR="006F210A" w:rsidRPr="009A0DA6" w:rsidRDefault="006F210A" w:rsidP="006F210A">
      <w:pPr>
        <w:pStyle w:val="FootnoteText"/>
        <w:rPr>
          <w:rFonts w:ascii="Cambria" w:hAnsi="Cambria" w:cs="Arial"/>
          <w:sz w:val="22"/>
          <w:szCs w:val="22"/>
        </w:rPr>
      </w:pPr>
      <w:r w:rsidRPr="009A0DA6">
        <w:rPr>
          <w:rFonts w:ascii="Cambria" w:hAnsi="Cambria" w:cs="Arial"/>
          <w:sz w:val="22"/>
          <w:szCs w:val="22"/>
        </w:rPr>
        <w:t>Dr Neville Highett (BLEA)</w:t>
      </w:r>
    </w:p>
    <w:p w14:paraId="4CF8CDFF" w14:textId="77777777" w:rsidR="006F210A" w:rsidRPr="009A0DA6" w:rsidRDefault="006F210A" w:rsidP="006F210A">
      <w:pPr>
        <w:pStyle w:val="FootnoteText"/>
        <w:rPr>
          <w:rFonts w:ascii="Cambria" w:hAnsi="Cambria" w:cs="Arial"/>
          <w:sz w:val="22"/>
          <w:szCs w:val="22"/>
        </w:rPr>
      </w:pPr>
      <w:r w:rsidRPr="009A0DA6">
        <w:rPr>
          <w:rFonts w:ascii="Cambria" w:hAnsi="Cambria" w:cs="Arial"/>
          <w:sz w:val="22"/>
          <w:szCs w:val="22"/>
        </w:rPr>
        <w:t>Mr Brett Hausler (BLEA)</w:t>
      </w:r>
    </w:p>
    <w:p w14:paraId="0003935F" w14:textId="77777777" w:rsidR="006F210A" w:rsidRPr="009A0DA6" w:rsidRDefault="006F210A" w:rsidP="006F210A">
      <w:pPr>
        <w:pStyle w:val="FootnoteText"/>
        <w:rPr>
          <w:rFonts w:ascii="Cambria" w:hAnsi="Cambria" w:cs="Arial"/>
          <w:sz w:val="22"/>
          <w:szCs w:val="22"/>
        </w:rPr>
      </w:pPr>
      <w:r w:rsidRPr="009A0DA6">
        <w:rPr>
          <w:rFonts w:ascii="Cambria" w:hAnsi="Cambria" w:cs="Arial"/>
          <w:sz w:val="22"/>
          <w:szCs w:val="22"/>
        </w:rPr>
        <w:t>Mr Tim Wiebusch (GCC)</w:t>
      </w:r>
    </w:p>
    <w:p w14:paraId="24394DEC" w14:textId="77777777" w:rsidR="006F210A" w:rsidRPr="009A0DA6" w:rsidRDefault="006F210A" w:rsidP="006F210A">
      <w:pPr>
        <w:pStyle w:val="FootnoteText"/>
        <w:rPr>
          <w:rFonts w:ascii="Cambria" w:hAnsi="Cambria" w:cs="Arial"/>
          <w:sz w:val="22"/>
          <w:szCs w:val="22"/>
        </w:rPr>
      </w:pPr>
      <w:r w:rsidRPr="009A0DA6">
        <w:rPr>
          <w:rFonts w:ascii="Cambria" w:hAnsi="Cambria" w:cs="Arial"/>
          <w:sz w:val="22"/>
          <w:szCs w:val="22"/>
        </w:rPr>
        <w:t>Pastor Greg Priebbenow (GCC)</w:t>
      </w:r>
    </w:p>
    <w:p w14:paraId="456F293B" w14:textId="77777777" w:rsidR="006F210A" w:rsidRPr="009A0DA6" w:rsidRDefault="006F210A" w:rsidP="006F210A">
      <w:pPr>
        <w:pStyle w:val="FootnoteText"/>
        <w:rPr>
          <w:rFonts w:ascii="Cambria" w:hAnsi="Cambria" w:cs="Arial"/>
          <w:sz w:val="22"/>
          <w:szCs w:val="22"/>
        </w:rPr>
      </w:pPr>
      <w:r w:rsidRPr="009A0DA6">
        <w:rPr>
          <w:rFonts w:ascii="Cambria" w:hAnsi="Cambria" w:cs="Arial"/>
          <w:sz w:val="22"/>
          <w:szCs w:val="22"/>
        </w:rPr>
        <w:t>Pastor Thomas Bohmert (BLEA)</w:t>
      </w:r>
    </w:p>
    <w:p w14:paraId="548DA392" w14:textId="77777777" w:rsidR="006F210A" w:rsidRPr="009A0DA6" w:rsidRDefault="006F210A" w:rsidP="006F210A">
      <w:pPr>
        <w:pStyle w:val="FootnoteText"/>
        <w:rPr>
          <w:rFonts w:ascii="Cambria" w:hAnsi="Cambria" w:cs="Arial"/>
          <w:sz w:val="22"/>
          <w:szCs w:val="22"/>
        </w:rPr>
      </w:pPr>
      <w:r w:rsidRPr="009A0DA6">
        <w:rPr>
          <w:rFonts w:ascii="Cambria" w:hAnsi="Cambria" w:cs="Arial"/>
          <w:sz w:val="22"/>
          <w:szCs w:val="22"/>
        </w:rPr>
        <w:t>Ms Faye Schmidt (GCC)</w:t>
      </w:r>
    </w:p>
    <w:p w14:paraId="58C9062F" w14:textId="77777777" w:rsidR="006F210A" w:rsidRPr="009A0DA6" w:rsidRDefault="006F210A" w:rsidP="006F210A">
      <w:pPr>
        <w:pStyle w:val="FootnoteText"/>
        <w:rPr>
          <w:rFonts w:ascii="Cambria" w:hAnsi="Cambria" w:cs="Arial"/>
          <w:sz w:val="22"/>
          <w:szCs w:val="22"/>
        </w:rPr>
      </w:pPr>
      <w:r w:rsidRPr="009A0DA6">
        <w:rPr>
          <w:rFonts w:ascii="Cambria" w:hAnsi="Cambria" w:cs="Arial"/>
          <w:sz w:val="22"/>
          <w:szCs w:val="22"/>
        </w:rPr>
        <w:t>Mr Volker Hopfmueller (GCC)</w:t>
      </w:r>
    </w:p>
    <w:p w14:paraId="32FF135D" w14:textId="77777777" w:rsidR="006F210A" w:rsidRPr="009A0DA6" w:rsidRDefault="006F210A" w:rsidP="006F210A">
      <w:pPr>
        <w:pStyle w:val="FootnoteText"/>
        <w:rPr>
          <w:rFonts w:ascii="Cambria" w:hAnsi="Cambria" w:cs="Arial"/>
          <w:sz w:val="22"/>
          <w:szCs w:val="22"/>
        </w:rPr>
      </w:pPr>
      <w:r w:rsidRPr="009A0DA6">
        <w:rPr>
          <w:rFonts w:ascii="Cambria" w:hAnsi="Cambria" w:cs="Arial"/>
          <w:sz w:val="22"/>
          <w:szCs w:val="22"/>
        </w:rPr>
        <w:t>Mrs Susan Wood and Mrs Joan Scriven provided administrative support to the working group.</w:t>
      </w:r>
      <w:r>
        <w:rPr>
          <w:rFonts w:ascii="Cambria" w:hAnsi="Cambria" w:cs="Arial"/>
          <w:sz w:val="22"/>
          <w:szCs w:val="22"/>
        </w:rPr>
        <w:br/>
      </w:r>
    </w:p>
    <w:p w14:paraId="7E96ABE6" w14:textId="77777777" w:rsidR="006F210A" w:rsidRPr="009A0DA6" w:rsidRDefault="006F210A" w:rsidP="006F210A">
      <w:pPr>
        <w:pStyle w:val="FootnoteText"/>
        <w:spacing w:after="160"/>
        <w:rPr>
          <w:rFonts w:ascii="Cambria" w:hAnsi="Cambria" w:cs="Arial"/>
          <w:sz w:val="22"/>
          <w:szCs w:val="22"/>
        </w:rPr>
      </w:pPr>
      <w:r w:rsidRPr="009A0DA6">
        <w:rPr>
          <w:rFonts w:ascii="Cambria" w:hAnsi="Cambria" w:cs="Arial"/>
          <w:sz w:val="22"/>
          <w:szCs w:val="22"/>
        </w:rPr>
        <w:t>A series of questions and discussion starters, based on the five focus areas, provided a framework for the consultation process (</w:t>
      </w:r>
      <w:r w:rsidRPr="009A0DA6">
        <w:rPr>
          <w:rFonts w:ascii="Cambria" w:hAnsi="Cambria" w:cs="Arial"/>
          <w:i/>
          <w:sz w:val="22"/>
          <w:szCs w:val="22"/>
        </w:rPr>
        <w:t xml:space="preserve">refer to </w:t>
      </w:r>
      <w:r w:rsidRPr="009A0DA6">
        <w:rPr>
          <w:rFonts w:ascii="Cambria" w:hAnsi="Cambria" w:cs="Arial"/>
          <w:b/>
          <w:i/>
          <w:sz w:val="22"/>
          <w:szCs w:val="22"/>
        </w:rPr>
        <w:t>Appendix 3</w:t>
      </w:r>
      <w:r w:rsidRPr="009A0DA6">
        <w:rPr>
          <w:rFonts w:ascii="Cambria" w:hAnsi="Cambria" w:cs="Arial"/>
          <w:sz w:val="22"/>
          <w:szCs w:val="22"/>
        </w:rPr>
        <w:t xml:space="preserve">). Consultation participants were encouraged to see the consultation process as an ongoing conversation in which their ideas, issues, and feedback would form a valuable contribution to the working group’s deliberations as it formulates its recommendations to GCC and to the Synod. </w:t>
      </w:r>
    </w:p>
    <w:p w14:paraId="754DA3F1" w14:textId="77777777" w:rsidR="006F210A" w:rsidRPr="009A0DA6" w:rsidRDefault="006F210A" w:rsidP="006F210A">
      <w:pPr>
        <w:pStyle w:val="FootnoteText"/>
        <w:spacing w:after="160"/>
        <w:rPr>
          <w:rFonts w:ascii="Cambria" w:hAnsi="Cambria" w:cs="Arial"/>
          <w:sz w:val="22"/>
          <w:szCs w:val="22"/>
        </w:rPr>
      </w:pPr>
      <w:r w:rsidRPr="009A0DA6">
        <w:rPr>
          <w:rFonts w:ascii="Cambria" w:hAnsi="Cambria" w:cs="Arial"/>
          <w:sz w:val="22"/>
          <w:szCs w:val="22"/>
        </w:rPr>
        <w:t xml:space="preserve">The working group emphasised that the consultation process should be seen as a listening exercise designed to ensure all voices in Lutheran education are heard and can assist in shaping the future of Lutheran education into the future. </w:t>
      </w:r>
    </w:p>
    <w:p w14:paraId="3E974B76" w14:textId="77777777" w:rsidR="006F210A" w:rsidRPr="00AD32D2" w:rsidRDefault="006F210A" w:rsidP="006F210A">
      <w:pPr>
        <w:pStyle w:val="FootnoteText"/>
        <w:spacing w:after="160"/>
        <w:rPr>
          <w:rFonts w:ascii="Cambria" w:hAnsi="Cambria" w:cs="Arial"/>
          <w:i/>
          <w:sz w:val="22"/>
          <w:szCs w:val="22"/>
        </w:rPr>
      </w:pPr>
      <w:r w:rsidRPr="009A0DA6">
        <w:rPr>
          <w:rFonts w:ascii="Cambria" w:hAnsi="Cambria" w:cs="Arial"/>
          <w:sz w:val="22"/>
          <w:szCs w:val="22"/>
        </w:rPr>
        <w:t>Pre-reading materials were provided to the consultation participants at least one week prior to the consultation, and included the two joint Communiques from the Bishop of the LCA and the Chair of BLEA, extracts from the Constitution of BLEA and its strategic plan, the LCA’s staffing policy for Lutheran schools, and data relating to Lutheran schools (</w:t>
      </w:r>
      <w:r w:rsidRPr="009A0DA6">
        <w:rPr>
          <w:rFonts w:ascii="Cambria" w:hAnsi="Cambria" w:cs="Arial"/>
          <w:i/>
          <w:sz w:val="22"/>
          <w:szCs w:val="22"/>
        </w:rPr>
        <w:t xml:space="preserve">refer to </w:t>
      </w:r>
      <w:r>
        <w:rPr>
          <w:rFonts w:ascii="Cambria" w:hAnsi="Cambria" w:cs="Arial"/>
          <w:i/>
          <w:sz w:val="22"/>
          <w:szCs w:val="22"/>
        </w:rPr>
        <w:br/>
      </w:r>
      <w:r w:rsidRPr="009A0DA6">
        <w:rPr>
          <w:rFonts w:ascii="Cambria" w:hAnsi="Cambria" w:cs="Arial"/>
          <w:b/>
          <w:i/>
          <w:sz w:val="22"/>
          <w:szCs w:val="22"/>
        </w:rPr>
        <w:t>Appendix 4</w:t>
      </w:r>
      <w:r w:rsidRPr="009A0DA6">
        <w:rPr>
          <w:rFonts w:ascii="Cambria" w:hAnsi="Cambria" w:cs="Arial"/>
          <w:sz w:val="22"/>
          <w:szCs w:val="22"/>
        </w:rPr>
        <w:t xml:space="preserve">). </w:t>
      </w:r>
    </w:p>
    <w:p w14:paraId="4D36D1E5" w14:textId="77777777" w:rsidR="006F210A" w:rsidRPr="009A0DA6" w:rsidRDefault="006F210A" w:rsidP="006F210A">
      <w:pPr>
        <w:pStyle w:val="FootnoteText"/>
        <w:spacing w:after="160"/>
        <w:rPr>
          <w:rFonts w:ascii="Cambria" w:hAnsi="Cambria" w:cs="Arial"/>
          <w:sz w:val="22"/>
          <w:szCs w:val="22"/>
        </w:rPr>
      </w:pPr>
      <w:r w:rsidRPr="009A0DA6">
        <w:rPr>
          <w:rFonts w:ascii="Cambria" w:hAnsi="Cambria" w:cs="Arial"/>
          <w:sz w:val="22"/>
          <w:szCs w:val="22"/>
        </w:rPr>
        <w:t xml:space="preserve">Following the consultations participants were provided with a copy of the draft notes of the consultation and were invited to provide feedback and any further thoughts and amendments as necessary. Participants were also informed of the timelines for the review and that the review outcomes would include a report for Synod based on the consultation findings. </w:t>
      </w:r>
    </w:p>
    <w:p w14:paraId="4B1F2AD6" w14:textId="77777777" w:rsidR="006F210A" w:rsidRDefault="006F210A" w:rsidP="006F210A">
      <w:pPr>
        <w:rPr>
          <w:rFonts w:ascii="Cambria" w:eastAsiaTheme="majorEastAsia" w:hAnsi="Cambria" w:cstheme="majorBidi"/>
          <w:b/>
          <w:caps/>
          <w:sz w:val="28"/>
          <w:szCs w:val="24"/>
        </w:rPr>
      </w:pPr>
      <w:r>
        <w:br w:type="page"/>
      </w:r>
    </w:p>
    <w:p w14:paraId="05BB3C1F" w14:textId="77777777" w:rsidR="006F210A" w:rsidRPr="009A0DA6" w:rsidRDefault="006F210A" w:rsidP="006F210A">
      <w:pPr>
        <w:pStyle w:val="Heading3"/>
      </w:pPr>
      <w:r w:rsidRPr="009A0DA6">
        <w:lastRenderedPageBreak/>
        <w:t>APPENDIX 2: CONSULTATION SCHEDULE</w:t>
      </w:r>
    </w:p>
    <w:tbl>
      <w:tblPr>
        <w:tblStyle w:val="PlainTable2"/>
        <w:tblW w:w="8788" w:type="dxa"/>
        <w:tblLook w:val="04A0" w:firstRow="1" w:lastRow="0" w:firstColumn="1" w:lastColumn="0" w:noHBand="0" w:noVBand="1"/>
      </w:tblPr>
      <w:tblGrid>
        <w:gridCol w:w="1134"/>
        <w:gridCol w:w="3402"/>
        <w:gridCol w:w="1843"/>
        <w:gridCol w:w="2409"/>
      </w:tblGrid>
      <w:tr w:rsidR="006F210A" w:rsidRPr="009A0DA6" w14:paraId="3D29C8B1" w14:textId="77777777" w:rsidTr="007861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7AFE25B5" w14:textId="77777777" w:rsidR="006F210A" w:rsidRPr="009A0DA6" w:rsidRDefault="006F210A" w:rsidP="00786120">
            <w:pPr>
              <w:jc w:val="center"/>
              <w:rPr>
                <w:rFonts w:ascii="Cambria" w:hAnsi="Cambria" w:cs="Arial"/>
              </w:rPr>
            </w:pPr>
            <w:r w:rsidRPr="009A0DA6">
              <w:rPr>
                <w:rFonts w:ascii="Cambria" w:hAnsi="Cambria" w:cs="Arial"/>
              </w:rPr>
              <w:t>Date</w:t>
            </w:r>
          </w:p>
        </w:tc>
        <w:tc>
          <w:tcPr>
            <w:tcW w:w="3402" w:type="dxa"/>
            <w:vAlign w:val="center"/>
          </w:tcPr>
          <w:p w14:paraId="02F996A8" w14:textId="77777777" w:rsidR="006F210A" w:rsidRPr="009A0DA6" w:rsidRDefault="006F210A" w:rsidP="00786120">
            <w:pPr>
              <w:jc w:val="center"/>
              <w:cnfStyle w:val="100000000000" w:firstRow="1"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Group</w:t>
            </w:r>
          </w:p>
        </w:tc>
        <w:tc>
          <w:tcPr>
            <w:tcW w:w="1843" w:type="dxa"/>
            <w:vAlign w:val="center"/>
          </w:tcPr>
          <w:p w14:paraId="3C154EEC" w14:textId="77777777" w:rsidR="006F210A" w:rsidRPr="009A0DA6" w:rsidRDefault="006F210A" w:rsidP="00786120">
            <w:pPr>
              <w:jc w:val="center"/>
              <w:cnfStyle w:val="100000000000" w:firstRow="1"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No. attendees (approx.)</w:t>
            </w:r>
          </w:p>
        </w:tc>
        <w:tc>
          <w:tcPr>
            <w:tcW w:w="2409" w:type="dxa"/>
            <w:vAlign w:val="center"/>
          </w:tcPr>
          <w:p w14:paraId="18818DCE" w14:textId="77777777" w:rsidR="006F210A" w:rsidRPr="009A0DA6" w:rsidRDefault="006F210A" w:rsidP="00786120">
            <w:pPr>
              <w:jc w:val="center"/>
              <w:cnfStyle w:val="100000000000" w:firstRow="1"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Leaders</w:t>
            </w:r>
          </w:p>
        </w:tc>
      </w:tr>
      <w:tr w:rsidR="006F210A" w:rsidRPr="009A0DA6" w14:paraId="26D29DA7" w14:textId="77777777" w:rsidTr="007861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0704F244" w14:textId="77777777" w:rsidR="006F210A" w:rsidRPr="009A0DA6" w:rsidRDefault="006F210A" w:rsidP="00786120">
            <w:pPr>
              <w:rPr>
                <w:rFonts w:ascii="Cambria" w:hAnsi="Cambria" w:cs="Arial"/>
                <w:b w:val="0"/>
              </w:rPr>
            </w:pPr>
            <w:r w:rsidRPr="009A0DA6">
              <w:rPr>
                <w:rFonts w:ascii="Cambria" w:hAnsi="Cambria" w:cs="Arial"/>
                <w:b w:val="0"/>
              </w:rPr>
              <w:t>23.11.17</w:t>
            </w:r>
          </w:p>
        </w:tc>
        <w:tc>
          <w:tcPr>
            <w:tcW w:w="3402" w:type="dxa"/>
          </w:tcPr>
          <w:p w14:paraId="63CEC483" w14:textId="77777777" w:rsidR="006F210A" w:rsidRPr="009A0DA6" w:rsidRDefault="006F210A" w:rsidP="00786120">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LEVNT Council</w:t>
            </w:r>
          </w:p>
        </w:tc>
        <w:tc>
          <w:tcPr>
            <w:tcW w:w="1843" w:type="dxa"/>
            <w:vAlign w:val="center"/>
          </w:tcPr>
          <w:p w14:paraId="0E55BD12" w14:textId="77777777" w:rsidR="006F210A" w:rsidRPr="009A0DA6" w:rsidRDefault="006F210A" w:rsidP="00786120">
            <w:pPr>
              <w:jc w:val="cente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12</w:t>
            </w:r>
          </w:p>
        </w:tc>
        <w:tc>
          <w:tcPr>
            <w:tcW w:w="2409" w:type="dxa"/>
            <w:vAlign w:val="center"/>
          </w:tcPr>
          <w:p w14:paraId="0A430919" w14:textId="77777777" w:rsidR="006F210A" w:rsidRPr="009A0DA6" w:rsidRDefault="006F210A" w:rsidP="00786120">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B. Hausler (BLEA)</w:t>
            </w:r>
          </w:p>
          <w:p w14:paraId="48C0C857" w14:textId="77777777" w:rsidR="006F210A" w:rsidRPr="009A0DA6" w:rsidRDefault="006F210A" w:rsidP="00786120">
            <w:pPr>
              <w:cnfStyle w:val="000000100000" w:firstRow="0" w:lastRow="0" w:firstColumn="0" w:lastColumn="0" w:oddVBand="0" w:evenVBand="0" w:oddHBand="1" w:evenHBand="0" w:firstRowFirstColumn="0" w:firstRowLastColumn="0" w:lastRowFirstColumn="0" w:lastRowLastColumn="0"/>
              <w:rPr>
                <w:rFonts w:ascii="Cambria" w:hAnsi="Cambria" w:cs="Arial"/>
                <w:b/>
              </w:rPr>
            </w:pPr>
            <w:r w:rsidRPr="009A0DA6">
              <w:rPr>
                <w:rFonts w:ascii="Cambria" w:hAnsi="Cambria" w:cs="Arial"/>
              </w:rPr>
              <w:t>F. Schmidt (GCC)</w:t>
            </w:r>
          </w:p>
        </w:tc>
      </w:tr>
      <w:tr w:rsidR="006F210A" w:rsidRPr="009A0DA6" w14:paraId="26A16BA8" w14:textId="77777777" w:rsidTr="00786120">
        <w:tc>
          <w:tcPr>
            <w:cnfStyle w:val="001000000000" w:firstRow="0" w:lastRow="0" w:firstColumn="1" w:lastColumn="0" w:oddVBand="0" w:evenVBand="0" w:oddHBand="0" w:evenHBand="0" w:firstRowFirstColumn="0" w:firstRowLastColumn="0" w:lastRowFirstColumn="0" w:lastRowLastColumn="0"/>
            <w:tcW w:w="1134" w:type="dxa"/>
          </w:tcPr>
          <w:p w14:paraId="78F6E6A8" w14:textId="77777777" w:rsidR="006F210A" w:rsidRPr="009A0DA6" w:rsidRDefault="006F210A" w:rsidP="00786120">
            <w:pPr>
              <w:rPr>
                <w:rFonts w:ascii="Cambria" w:hAnsi="Cambria" w:cs="Arial"/>
                <w:b w:val="0"/>
              </w:rPr>
            </w:pPr>
            <w:r w:rsidRPr="009A0DA6">
              <w:rPr>
                <w:rFonts w:ascii="Cambria" w:hAnsi="Cambria" w:cs="Arial"/>
                <w:b w:val="0"/>
              </w:rPr>
              <w:t>8.12.17</w:t>
            </w:r>
          </w:p>
        </w:tc>
        <w:tc>
          <w:tcPr>
            <w:tcW w:w="3402" w:type="dxa"/>
          </w:tcPr>
          <w:p w14:paraId="32FBB6D0" w14:textId="77777777" w:rsidR="006F210A" w:rsidRPr="009A0DA6" w:rsidRDefault="006F210A" w:rsidP="00786120">
            <w:pPr>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LCA Vic/Tas DCC</w:t>
            </w:r>
          </w:p>
        </w:tc>
        <w:tc>
          <w:tcPr>
            <w:tcW w:w="1843" w:type="dxa"/>
            <w:vAlign w:val="center"/>
          </w:tcPr>
          <w:p w14:paraId="7DA12618" w14:textId="77777777" w:rsidR="006F210A" w:rsidRPr="009A0DA6" w:rsidRDefault="006F210A" w:rsidP="00786120">
            <w:pPr>
              <w:jc w:val="center"/>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10</w:t>
            </w:r>
          </w:p>
        </w:tc>
        <w:tc>
          <w:tcPr>
            <w:tcW w:w="2409" w:type="dxa"/>
          </w:tcPr>
          <w:p w14:paraId="2A3F7370" w14:textId="77777777" w:rsidR="006F210A" w:rsidRPr="009A0DA6" w:rsidRDefault="006F210A" w:rsidP="00786120">
            <w:pPr>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T. Wiebusch (GCC)</w:t>
            </w:r>
          </w:p>
          <w:p w14:paraId="5F3C47F5" w14:textId="77777777" w:rsidR="006F210A" w:rsidRPr="009A0DA6" w:rsidRDefault="006F210A" w:rsidP="00786120">
            <w:pPr>
              <w:cnfStyle w:val="000000000000" w:firstRow="0" w:lastRow="0" w:firstColumn="0" w:lastColumn="0" w:oddVBand="0" w:evenVBand="0" w:oddHBand="0" w:evenHBand="0" w:firstRowFirstColumn="0" w:firstRowLastColumn="0" w:lastRowFirstColumn="0" w:lastRowLastColumn="0"/>
              <w:rPr>
                <w:rFonts w:ascii="Cambria" w:hAnsi="Cambria" w:cs="Arial"/>
                <w:b/>
              </w:rPr>
            </w:pPr>
            <w:r w:rsidRPr="009A0DA6">
              <w:rPr>
                <w:rFonts w:ascii="Cambria" w:hAnsi="Cambria" w:cs="Arial"/>
              </w:rPr>
              <w:t>B. Hausler (BLEA)</w:t>
            </w:r>
          </w:p>
        </w:tc>
      </w:tr>
      <w:tr w:rsidR="006F210A" w:rsidRPr="009A0DA6" w14:paraId="43CD4AD2" w14:textId="77777777" w:rsidTr="007861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19ABC3DB" w14:textId="77777777" w:rsidR="006F210A" w:rsidRPr="009A0DA6" w:rsidRDefault="006F210A" w:rsidP="00786120">
            <w:pPr>
              <w:rPr>
                <w:rFonts w:ascii="Cambria" w:hAnsi="Cambria" w:cs="Arial"/>
                <w:b w:val="0"/>
              </w:rPr>
            </w:pPr>
            <w:r w:rsidRPr="009A0DA6">
              <w:rPr>
                <w:rFonts w:ascii="Cambria" w:hAnsi="Cambria" w:cs="Arial"/>
                <w:b w:val="0"/>
              </w:rPr>
              <w:t>12.12.17</w:t>
            </w:r>
          </w:p>
        </w:tc>
        <w:tc>
          <w:tcPr>
            <w:tcW w:w="3402" w:type="dxa"/>
          </w:tcPr>
          <w:p w14:paraId="6D856865" w14:textId="77777777" w:rsidR="006F210A" w:rsidRPr="009A0DA6" w:rsidRDefault="006F210A" w:rsidP="00786120">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LCA SA/NT DCC</w:t>
            </w:r>
          </w:p>
        </w:tc>
        <w:tc>
          <w:tcPr>
            <w:tcW w:w="1843" w:type="dxa"/>
            <w:vAlign w:val="center"/>
          </w:tcPr>
          <w:p w14:paraId="3202E19B" w14:textId="77777777" w:rsidR="006F210A" w:rsidRPr="009A0DA6" w:rsidRDefault="006F210A" w:rsidP="00786120">
            <w:pPr>
              <w:jc w:val="cente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12</w:t>
            </w:r>
          </w:p>
        </w:tc>
        <w:tc>
          <w:tcPr>
            <w:tcW w:w="2409" w:type="dxa"/>
          </w:tcPr>
          <w:p w14:paraId="3395B4FA" w14:textId="77777777" w:rsidR="006F210A" w:rsidRPr="009A0DA6" w:rsidRDefault="006F210A" w:rsidP="00786120">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N. Highett (BLEA)</w:t>
            </w:r>
          </w:p>
          <w:p w14:paraId="114CA11B" w14:textId="77777777" w:rsidR="006F210A" w:rsidRPr="009A0DA6" w:rsidRDefault="006F210A" w:rsidP="00786120">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G. Priebbenow (GCC)</w:t>
            </w:r>
          </w:p>
        </w:tc>
      </w:tr>
      <w:tr w:rsidR="006F210A" w:rsidRPr="009A0DA6" w14:paraId="76C1B179" w14:textId="77777777" w:rsidTr="00786120">
        <w:tc>
          <w:tcPr>
            <w:cnfStyle w:val="001000000000" w:firstRow="0" w:lastRow="0" w:firstColumn="1" w:lastColumn="0" w:oddVBand="0" w:evenVBand="0" w:oddHBand="0" w:evenHBand="0" w:firstRowFirstColumn="0" w:firstRowLastColumn="0" w:lastRowFirstColumn="0" w:lastRowLastColumn="0"/>
            <w:tcW w:w="1134" w:type="dxa"/>
          </w:tcPr>
          <w:p w14:paraId="35BC351A" w14:textId="77777777" w:rsidR="006F210A" w:rsidRPr="009A0DA6" w:rsidRDefault="006F210A" w:rsidP="00786120">
            <w:pPr>
              <w:rPr>
                <w:rFonts w:ascii="Cambria" w:hAnsi="Cambria" w:cs="Arial"/>
                <w:b w:val="0"/>
              </w:rPr>
            </w:pPr>
            <w:r w:rsidRPr="009A0DA6">
              <w:rPr>
                <w:rFonts w:ascii="Cambria" w:hAnsi="Cambria" w:cs="Arial"/>
                <w:b w:val="0"/>
              </w:rPr>
              <w:t>8.2.18</w:t>
            </w:r>
            <w:r w:rsidRPr="009A0DA6">
              <w:rPr>
                <w:rFonts w:ascii="Cambria" w:hAnsi="Cambria" w:cs="Arial"/>
                <w:b w:val="0"/>
              </w:rPr>
              <w:tab/>
            </w:r>
          </w:p>
        </w:tc>
        <w:tc>
          <w:tcPr>
            <w:tcW w:w="3402" w:type="dxa"/>
          </w:tcPr>
          <w:p w14:paraId="104E05FB" w14:textId="77777777" w:rsidR="006F210A" w:rsidRPr="009A0DA6" w:rsidRDefault="006F210A" w:rsidP="00786120">
            <w:pPr>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National Leadership Team</w:t>
            </w:r>
          </w:p>
        </w:tc>
        <w:tc>
          <w:tcPr>
            <w:tcW w:w="1843" w:type="dxa"/>
            <w:vAlign w:val="center"/>
          </w:tcPr>
          <w:p w14:paraId="1C48385D" w14:textId="77777777" w:rsidR="006F210A" w:rsidRPr="009A0DA6" w:rsidRDefault="006F210A" w:rsidP="00786120">
            <w:pPr>
              <w:jc w:val="center"/>
              <w:cnfStyle w:val="000000000000" w:firstRow="0" w:lastRow="0" w:firstColumn="0" w:lastColumn="0" w:oddVBand="0" w:evenVBand="0" w:oddHBand="0" w:evenHBand="0" w:firstRowFirstColumn="0" w:firstRowLastColumn="0" w:lastRowFirstColumn="0" w:lastRowLastColumn="0"/>
              <w:rPr>
                <w:rFonts w:ascii="Cambria" w:hAnsi="Cambria" w:cs="Arial"/>
              </w:rPr>
            </w:pPr>
          </w:p>
        </w:tc>
        <w:tc>
          <w:tcPr>
            <w:tcW w:w="2409" w:type="dxa"/>
          </w:tcPr>
          <w:p w14:paraId="19A71AE2" w14:textId="77777777" w:rsidR="006F210A" w:rsidRPr="009A0DA6" w:rsidRDefault="006F210A" w:rsidP="00786120">
            <w:pPr>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G. Priebbenow (GCC)</w:t>
            </w:r>
          </w:p>
          <w:p w14:paraId="3ABF1470" w14:textId="77777777" w:rsidR="006F210A" w:rsidRPr="009A0DA6" w:rsidRDefault="006F210A" w:rsidP="00786120">
            <w:pPr>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T. Wiebusch (GCC)</w:t>
            </w:r>
          </w:p>
          <w:p w14:paraId="4F7FD957" w14:textId="77777777" w:rsidR="006F210A" w:rsidRPr="009A0DA6" w:rsidRDefault="006F210A" w:rsidP="00786120">
            <w:pPr>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V. Hopfmueller (GCC)</w:t>
            </w:r>
          </w:p>
        </w:tc>
      </w:tr>
      <w:tr w:rsidR="006F210A" w:rsidRPr="009A0DA6" w14:paraId="29380497" w14:textId="77777777" w:rsidTr="007861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7FC26B1C" w14:textId="77777777" w:rsidR="006F210A" w:rsidRPr="009A0DA6" w:rsidRDefault="006F210A" w:rsidP="00786120">
            <w:pPr>
              <w:rPr>
                <w:rFonts w:ascii="Cambria" w:hAnsi="Cambria" w:cs="Arial"/>
                <w:b w:val="0"/>
              </w:rPr>
            </w:pPr>
            <w:r w:rsidRPr="009A0DA6">
              <w:rPr>
                <w:rFonts w:ascii="Cambria" w:hAnsi="Cambria" w:cs="Arial"/>
                <w:b w:val="0"/>
              </w:rPr>
              <w:t>15.2.18</w:t>
            </w:r>
            <w:r w:rsidRPr="009A0DA6">
              <w:rPr>
                <w:rFonts w:ascii="Cambria" w:hAnsi="Cambria" w:cs="Arial"/>
                <w:b w:val="0"/>
              </w:rPr>
              <w:tab/>
            </w:r>
          </w:p>
        </w:tc>
        <w:tc>
          <w:tcPr>
            <w:tcW w:w="3402" w:type="dxa"/>
          </w:tcPr>
          <w:p w14:paraId="609410A0" w14:textId="77777777" w:rsidR="006F210A" w:rsidRPr="009A0DA6" w:rsidRDefault="006F210A" w:rsidP="00786120">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LCA WA DCC</w:t>
            </w:r>
            <w:r w:rsidRPr="009A0DA6">
              <w:rPr>
                <w:rFonts w:ascii="Cambria" w:hAnsi="Cambria" w:cs="Arial"/>
              </w:rPr>
              <w:tab/>
            </w:r>
          </w:p>
        </w:tc>
        <w:tc>
          <w:tcPr>
            <w:tcW w:w="1843" w:type="dxa"/>
            <w:vAlign w:val="center"/>
          </w:tcPr>
          <w:p w14:paraId="2B4EA2EB" w14:textId="77777777" w:rsidR="006F210A" w:rsidRPr="009A0DA6" w:rsidRDefault="006F210A" w:rsidP="00786120">
            <w:pPr>
              <w:jc w:val="cente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8</w:t>
            </w:r>
          </w:p>
        </w:tc>
        <w:tc>
          <w:tcPr>
            <w:tcW w:w="2409" w:type="dxa"/>
          </w:tcPr>
          <w:p w14:paraId="02CCCE38" w14:textId="77777777" w:rsidR="006F210A" w:rsidRPr="009A0DA6" w:rsidRDefault="006F210A" w:rsidP="00786120">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 xml:space="preserve">V. Hopfmueller (GCC) </w:t>
            </w:r>
          </w:p>
          <w:p w14:paraId="060FDA58" w14:textId="77777777" w:rsidR="006F210A" w:rsidRPr="009A0DA6" w:rsidRDefault="006F210A" w:rsidP="00786120">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S. Wood (BLEA)</w:t>
            </w:r>
          </w:p>
        </w:tc>
      </w:tr>
      <w:tr w:rsidR="006F210A" w:rsidRPr="009A0DA6" w14:paraId="5B7A445C" w14:textId="77777777" w:rsidTr="00786120">
        <w:tc>
          <w:tcPr>
            <w:cnfStyle w:val="001000000000" w:firstRow="0" w:lastRow="0" w:firstColumn="1" w:lastColumn="0" w:oddVBand="0" w:evenVBand="0" w:oddHBand="0" w:evenHBand="0" w:firstRowFirstColumn="0" w:firstRowLastColumn="0" w:lastRowFirstColumn="0" w:lastRowLastColumn="0"/>
            <w:tcW w:w="1134" w:type="dxa"/>
          </w:tcPr>
          <w:p w14:paraId="6514DC2D" w14:textId="77777777" w:rsidR="006F210A" w:rsidRPr="009A0DA6" w:rsidRDefault="006F210A" w:rsidP="00786120">
            <w:pPr>
              <w:rPr>
                <w:rFonts w:ascii="Cambria" w:hAnsi="Cambria" w:cs="Arial"/>
                <w:b w:val="0"/>
              </w:rPr>
            </w:pPr>
            <w:r w:rsidRPr="009A0DA6">
              <w:rPr>
                <w:rFonts w:ascii="Cambria" w:hAnsi="Cambria" w:cs="Arial"/>
                <w:b w:val="0"/>
              </w:rPr>
              <w:t>17.2.18</w:t>
            </w:r>
          </w:p>
        </w:tc>
        <w:tc>
          <w:tcPr>
            <w:tcW w:w="3402" w:type="dxa"/>
          </w:tcPr>
          <w:p w14:paraId="6C4F984D" w14:textId="77777777" w:rsidR="006F210A" w:rsidRPr="009A0DA6" w:rsidRDefault="006F210A" w:rsidP="00786120">
            <w:pPr>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LESNW principals LESNW school /congregation chairs</w:t>
            </w:r>
          </w:p>
        </w:tc>
        <w:tc>
          <w:tcPr>
            <w:tcW w:w="1843" w:type="dxa"/>
            <w:vAlign w:val="center"/>
          </w:tcPr>
          <w:p w14:paraId="4492C459" w14:textId="77777777" w:rsidR="006F210A" w:rsidRPr="009A0DA6" w:rsidRDefault="006F210A" w:rsidP="00786120">
            <w:pPr>
              <w:jc w:val="center"/>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60</w:t>
            </w:r>
          </w:p>
        </w:tc>
        <w:tc>
          <w:tcPr>
            <w:tcW w:w="2409" w:type="dxa"/>
          </w:tcPr>
          <w:p w14:paraId="4D836645" w14:textId="77777777" w:rsidR="006F210A" w:rsidRPr="009A0DA6" w:rsidRDefault="006F210A" w:rsidP="00786120">
            <w:pPr>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B. Hausler (BLEA)</w:t>
            </w:r>
          </w:p>
          <w:p w14:paraId="44F73A09" w14:textId="77777777" w:rsidR="006F210A" w:rsidRPr="009A0DA6" w:rsidRDefault="006F210A" w:rsidP="00786120">
            <w:pPr>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T. Bohmert (BLEA)</w:t>
            </w:r>
          </w:p>
        </w:tc>
      </w:tr>
      <w:tr w:rsidR="006F210A" w:rsidRPr="009A0DA6" w14:paraId="5EF356A3" w14:textId="77777777" w:rsidTr="007861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7C9D5622" w14:textId="77777777" w:rsidR="006F210A" w:rsidRPr="009A0DA6" w:rsidRDefault="006F210A" w:rsidP="00786120">
            <w:pPr>
              <w:rPr>
                <w:rFonts w:ascii="Cambria" w:hAnsi="Cambria" w:cs="Arial"/>
                <w:b w:val="0"/>
              </w:rPr>
            </w:pPr>
            <w:r w:rsidRPr="009A0DA6">
              <w:rPr>
                <w:rFonts w:ascii="Cambria" w:hAnsi="Cambria" w:cs="Arial"/>
                <w:b w:val="0"/>
              </w:rPr>
              <w:t>19.2.18</w:t>
            </w:r>
            <w:r w:rsidRPr="009A0DA6">
              <w:rPr>
                <w:rFonts w:ascii="Cambria" w:hAnsi="Cambria" w:cs="Arial"/>
                <w:b w:val="0"/>
              </w:rPr>
              <w:tab/>
            </w:r>
          </w:p>
        </w:tc>
        <w:tc>
          <w:tcPr>
            <w:tcW w:w="3402" w:type="dxa"/>
          </w:tcPr>
          <w:p w14:paraId="3AFE58F4" w14:textId="77777777" w:rsidR="006F210A" w:rsidRPr="009A0DA6" w:rsidRDefault="006F210A" w:rsidP="00786120">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LESNW Council</w:t>
            </w:r>
          </w:p>
        </w:tc>
        <w:tc>
          <w:tcPr>
            <w:tcW w:w="1843" w:type="dxa"/>
            <w:vAlign w:val="center"/>
          </w:tcPr>
          <w:p w14:paraId="4AA75332" w14:textId="77777777" w:rsidR="006F210A" w:rsidRPr="009A0DA6" w:rsidRDefault="006F210A" w:rsidP="00786120">
            <w:pPr>
              <w:jc w:val="center"/>
              <w:cnfStyle w:val="000000100000" w:firstRow="0" w:lastRow="0" w:firstColumn="0" w:lastColumn="0" w:oddVBand="0" w:evenVBand="0" w:oddHBand="1" w:evenHBand="0" w:firstRowFirstColumn="0" w:firstRowLastColumn="0" w:lastRowFirstColumn="0" w:lastRowLastColumn="0"/>
              <w:rPr>
                <w:rFonts w:ascii="Cambria" w:hAnsi="Cambria" w:cs="Arial"/>
              </w:rPr>
            </w:pPr>
          </w:p>
        </w:tc>
        <w:tc>
          <w:tcPr>
            <w:tcW w:w="2409" w:type="dxa"/>
          </w:tcPr>
          <w:p w14:paraId="102F74BE" w14:textId="77777777" w:rsidR="006F210A" w:rsidRPr="009A0DA6" w:rsidRDefault="006F210A" w:rsidP="00786120">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G. Priebbenow (GCC)</w:t>
            </w:r>
          </w:p>
          <w:p w14:paraId="079E4CC2" w14:textId="77777777" w:rsidR="006F210A" w:rsidRPr="009A0DA6" w:rsidRDefault="006F210A" w:rsidP="00786120">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V. Hopfmueller (GCC)</w:t>
            </w:r>
          </w:p>
        </w:tc>
      </w:tr>
      <w:tr w:rsidR="006F210A" w:rsidRPr="009A0DA6" w14:paraId="6BB481C0" w14:textId="77777777" w:rsidTr="00786120">
        <w:tc>
          <w:tcPr>
            <w:cnfStyle w:val="001000000000" w:firstRow="0" w:lastRow="0" w:firstColumn="1" w:lastColumn="0" w:oddVBand="0" w:evenVBand="0" w:oddHBand="0" w:evenHBand="0" w:firstRowFirstColumn="0" w:firstRowLastColumn="0" w:lastRowFirstColumn="0" w:lastRowLastColumn="0"/>
            <w:tcW w:w="1134" w:type="dxa"/>
          </w:tcPr>
          <w:p w14:paraId="384F92D7" w14:textId="77777777" w:rsidR="006F210A" w:rsidRPr="009A0DA6" w:rsidRDefault="006F210A" w:rsidP="00786120">
            <w:pPr>
              <w:rPr>
                <w:rFonts w:ascii="Cambria" w:hAnsi="Cambria" w:cs="Arial"/>
                <w:b w:val="0"/>
              </w:rPr>
            </w:pPr>
            <w:r w:rsidRPr="009A0DA6">
              <w:rPr>
                <w:rFonts w:ascii="Cambria" w:hAnsi="Cambria" w:cs="Arial"/>
                <w:b w:val="0"/>
              </w:rPr>
              <w:t>22.2.18</w:t>
            </w:r>
            <w:r w:rsidRPr="009A0DA6">
              <w:rPr>
                <w:rFonts w:ascii="Cambria" w:hAnsi="Cambria" w:cs="Arial"/>
                <w:b w:val="0"/>
              </w:rPr>
              <w:tab/>
            </w:r>
          </w:p>
        </w:tc>
        <w:tc>
          <w:tcPr>
            <w:tcW w:w="3402" w:type="dxa"/>
          </w:tcPr>
          <w:p w14:paraId="5FC123F6" w14:textId="77777777" w:rsidR="006F210A" w:rsidRPr="009A0DA6" w:rsidRDefault="006F210A" w:rsidP="00786120">
            <w:pPr>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LCA Qld DCC</w:t>
            </w:r>
          </w:p>
        </w:tc>
        <w:tc>
          <w:tcPr>
            <w:tcW w:w="1843" w:type="dxa"/>
            <w:vAlign w:val="center"/>
          </w:tcPr>
          <w:p w14:paraId="0F8D76C0" w14:textId="77777777" w:rsidR="006F210A" w:rsidRPr="009A0DA6" w:rsidRDefault="006F210A" w:rsidP="00786120">
            <w:pPr>
              <w:jc w:val="center"/>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9</w:t>
            </w:r>
          </w:p>
        </w:tc>
        <w:tc>
          <w:tcPr>
            <w:tcW w:w="2409" w:type="dxa"/>
          </w:tcPr>
          <w:p w14:paraId="41116A2F" w14:textId="77777777" w:rsidR="006F210A" w:rsidRPr="009A0DA6" w:rsidRDefault="006F210A" w:rsidP="00786120">
            <w:pPr>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B. Hausler (BLEA) T. Bohmert (BLEA)</w:t>
            </w:r>
          </w:p>
          <w:p w14:paraId="54235D06" w14:textId="77777777" w:rsidR="006F210A" w:rsidRPr="009A0DA6" w:rsidRDefault="006F210A" w:rsidP="00786120">
            <w:pPr>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G. Priebbenow (GCC)</w:t>
            </w:r>
          </w:p>
        </w:tc>
      </w:tr>
      <w:tr w:rsidR="006F210A" w:rsidRPr="009A0DA6" w14:paraId="6F25821E" w14:textId="77777777" w:rsidTr="007861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06E28309" w14:textId="77777777" w:rsidR="006F210A" w:rsidRPr="009A0DA6" w:rsidRDefault="006F210A" w:rsidP="00786120">
            <w:pPr>
              <w:rPr>
                <w:rFonts w:ascii="Cambria" w:hAnsi="Cambria" w:cs="Arial"/>
                <w:b w:val="0"/>
              </w:rPr>
            </w:pPr>
            <w:r w:rsidRPr="009A0DA6">
              <w:rPr>
                <w:rFonts w:ascii="Cambria" w:hAnsi="Cambria" w:cs="Arial"/>
                <w:b w:val="0"/>
              </w:rPr>
              <w:t>23.2.18</w:t>
            </w:r>
            <w:r w:rsidRPr="009A0DA6">
              <w:rPr>
                <w:rFonts w:ascii="Cambria" w:hAnsi="Cambria" w:cs="Arial"/>
                <w:b w:val="0"/>
              </w:rPr>
              <w:tab/>
            </w:r>
          </w:p>
        </w:tc>
        <w:tc>
          <w:tcPr>
            <w:tcW w:w="3402" w:type="dxa"/>
          </w:tcPr>
          <w:p w14:paraId="3AC9B37B" w14:textId="77777777" w:rsidR="006F210A" w:rsidRPr="009A0DA6" w:rsidRDefault="006F210A" w:rsidP="00786120">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LCA NSW DCC</w:t>
            </w:r>
          </w:p>
        </w:tc>
        <w:tc>
          <w:tcPr>
            <w:tcW w:w="1843" w:type="dxa"/>
            <w:vAlign w:val="center"/>
          </w:tcPr>
          <w:p w14:paraId="66F74CE6" w14:textId="77777777" w:rsidR="006F210A" w:rsidRPr="009A0DA6" w:rsidRDefault="006F210A" w:rsidP="00786120">
            <w:pPr>
              <w:jc w:val="cente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10</w:t>
            </w:r>
          </w:p>
        </w:tc>
        <w:tc>
          <w:tcPr>
            <w:tcW w:w="2409" w:type="dxa"/>
          </w:tcPr>
          <w:p w14:paraId="384DFDE1" w14:textId="77777777" w:rsidR="006F210A" w:rsidRPr="009A0DA6" w:rsidRDefault="006F210A" w:rsidP="00786120">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T. Bohmert (BLEA)</w:t>
            </w:r>
          </w:p>
          <w:p w14:paraId="231170EA" w14:textId="77777777" w:rsidR="006F210A" w:rsidRPr="009A0DA6" w:rsidRDefault="006F210A" w:rsidP="00786120">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F. Schmidt (GCC)</w:t>
            </w:r>
          </w:p>
        </w:tc>
      </w:tr>
      <w:tr w:rsidR="006F210A" w:rsidRPr="009A0DA6" w14:paraId="65952C97" w14:textId="77777777" w:rsidTr="00786120">
        <w:tc>
          <w:tcPr>
            <w:cnfStyle w:val="001000000000" w:firstRow="0" w:lastRow="0" w:firstColumn="1" w:lastColumn="0" w:oddVBand="0" w:evenVBand="0" w:oddHBand="0" w:evenHBand="0" w:firstRowFirstColumn="0" w:firstRowLastColumn="0" w:lastRowFirstColumn="0" w:lastRowLastColumn="0"/>
            <w:tcW w:w="1134" w:type="dxa"/>
          </w:tcPr>
          <w:p w14:paraId="0CFDB32F" w14:textId="77777777" w:rsidR="006F210A" w:rsidRPr="009A0DA6" w:rsidRDefault="006F210A" w:rsidP="00786120">
            <w:pPr>
              <w:rPr>
                <w:rFonts w:ascii="Cambria" w:hAnsi="Cambria" w:cs="Arial"/>
                <w:b w:val="0"/>
              </w:rPr>
            </w:pPr>
            <w:r w:rsidRPr="009A0DA6">
              <w:rPr>
                <w:rFonts w:ascii="Cambria" w:hAnsi="Cambria" w:cs="Arial"/>
                <w:b w:val="0"/>
              </w:rPr>
              <w:t>23.2.18</w:t>
            </w:r>
            <w:r w:rsidRPr="009A0DA6">
              <w:rPr>
                <w:rFonts w:ascii="Cambria" w:hAnsi="Cambria" w:cs="Arial"/>
                <w:b w:val="0"/>
              </w:rPr>
              <w:tab/>
            </w:r>
          </w:p>
        </w:tc>
        <w:tc>
          <w:tcPr>
            <w:tcW w:w="3402" w:type="dxa"/>
          </w:tcPr>
          <w:p w14:paraId="7BCFD655" w14:textId="77777777" w:rsidR="006F210A" w:rsidRPr="009A0DA6" w:rsidRDefault="006F210A" w:rsidP="00786120">
            <w:pPr>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LLL</w:t>
            </w:r>
            <w:r w:rsidRPr="009A0DA6">
              <w:rPr>
                <w:rFonts w:ascii="Cambria" w:hAnsi="Cambria" w:cs="Arial"/>
              </w:rPr>
              <w:tab/>
            </w:r>
          </w:p>
        </w:tc>
        <w:tc>
          <w:tcPr>
            <w:tcW w:w="1843" w:type="dxa"/>
            <w:vAlign w:val="center"/>
          </w:tcPr>
          <w:p w14:paraId="6F5E66EC" w14:textId="77777777" w:rsidR="006F210A" w:rsidRPr="009A0DA6" w:rsidRDefault="006F210A" w:rsidP="00786120">
            <w:pPr>
              <w:jc w:val="center"/>
              <w:cnfStyle w:val="000000000000" w:firstRow="0" w:lastRow="0" w:firstColumn="0" w:lastColumn="0" w:oddVBand="0" w:evenVBand="0" w:oddHBand="0" w:evenHBand="0" w:firstRowFirstColumn="0" w:firstRowLastColumn="0" w:lastRowFirstColumn="0" w:lastRowLastColumn="0"/>
              <w:rPr>
                <w:rFonts w:ascii="Cambria" w:hAnsi="Cambria" w:cs="Arial"/>
              </w:rPr>
            </w:pPr>
          </w:p>
        </w:tc>
        <w:tc>
          <w:tcPr>
            <w:tcW w:w="2409" w:type="dxa"/>
          </w:tcPr>
          <w:p w14:paraId="139F693E" w14:textId="77777777" w:rsidR="006F210A" w:rsidRPr="009A0DA6" w:rsidRDefault="006F210A" w:rsidP="00786120">
            <w:pPr>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 xml:space="preserve">B. Hausler (BLEA) </w:t>
            </w:r>
            <w:r w:rsidRPr="009A0DA6">
              <w:rPr>
                <w:rFonts w:ascii="Cambria" w:hAnsi="Cambria" w:cs="Arial"/>
              </w:rPr>
              <w:br/>
              <w:t>V. Hopfmueller (GCC)</w:t>
            </w:r>
          </w:p>
        </w:tc>
      </w:tr>
      <w:tr w:rsidR="006F210A" w:rsidRPr="009A0DA6" w14:paraId="3CCF82A3" w14:textId="77777777" w:rsidTr="007861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26DC781F" w14:textId="77777777" w:rsidR="006F210A" w:rsidRPr="009A0DA6" w:rsidRDefault="006F210A" w:rsidP="00786120">
            <w:pPr>
              <w:rPr>
                <w:rFonts w:ascii="Cambria" w:hAnsi="Cambria" w:cs="Arial"/>
                <w:b w:val="0"/>
              </w:rPr>
            </w:pPr>
            <w:r w:rsidRPr="009A0DA6">
              <w:rPr>
                <w:rFonts w:ascii="Cambria" w:hAnsi="Cambria" w:cs="Arial"/>
                <w:b w:val="0"/>
              </w:rPr>
              <w:t>27.2.18</w:t>
            </w:r>
          </w:p>
        </w:tc>
        <w:tc>
          <w:tcPr>
            <w:tcW w:w="3402" w:type="dxa"/>
          </w:tcPr>
          <w:p w14:paraId="72F8F9E0" w14:textId="77777777" w:rsidR="006F210A" w:rsidRPr="009A0DA6" w:rsidRDefault="006F210A" w:rsidP="00786120">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LEQ Council</w:t>
            </w:r>
          </w:p>
        </w:tc>
        <w:tc>
          <w:tcPr>
            <w:tcW w:w="1843" w:type="dxa"/>
            <w:vAlign w:val="center"/>
          </w:tcPr>
          <w:p w14:paraId="5497048E" w14:textId="77777777" w:rsidR="006F210A" w:rsidRPr="009A0DA6" w:rsidRDefault="006F210A" w:rsidP="00786120">
            <w:pPr>
              <w:jc w:val="cente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10</w:t>
            </w:r>
          </w:p>
        </w:tc>
        <w:tc>
          <w:tcPr>
            <w:tcW w:w="2409" w:type="dxa"/>
          </w:tcPr>
          <w:p w14:paraId="409690EE" w14:textId="77777777" w:rsidR="006F210A" w:rsidRPr="009A0DA6" w:rsidRDefault="006F210A" w:rsidP="00786120">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N. Highett (BLEA)</w:t>
            </w:r>
          </w:p>
          <w:p w14:paraId="6B42D007" w14:textId="77777777" w:rsidR="006F210A" w:rsidRPr="009A0DA6" w:rsidRDefault="006F210A" w:rsidP="00786120">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G. Priebbenow (GCC)</w:t>
            </w:r>
          </w:p>
          <w:p w14:paraId="7D338703" w14:textId="77777777" w:rsidR="006F210A" w:rsidRPr="009A0DA6" w:rsidRDefault="006F210A" w:rsidP="00786120">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T. Wiebusch (GCC)</w:t>
            </w:r>
          </w:p>
        </w:tc>
      </w:tr>
      <w:tr w:rsidR="006F210A" w:rsidRPr="009A0DA6" w14:paraId="2D0A8354" w14:textId="77777777" w:rsidTr="00786120">
        <w:tc>
          <w:tcPr>
            <w:cnfStyle w:val="001000000000" w:firstRow="0" w:lastRow="0" w:firstColumn="1" w:lastColumn="0" w:oddVBand="0" w:evenVBand="0" w:oddHBand="0" w:evenHBand="0" w:firstRowFirstColumn="0" w:firstRowLastColumn="0" w:lastRowFirstColumn="0" w:lastRowLastColumn="0"/>
            <w:tcW w:w="1134" w:type="dxa"/>
          </w:tcPr>
          <w:p w14:paraId="7FD38D7D" w14:textId="77777777" w:rsidR="006F210A" w:rsidRPr="009A0DA6" w:rsidRDefault="006F210A" w:rsidP="00786120">
            <w:pPr>
              <w:rPr>
                <w:rFonts w:ascii="Cambria" w:hAnsi="Cambria" w:cs="Arial"/>
                <w:b w:val="0"/>
              </w:rPr>
            </w:pPr>
            <w:r w:rsidRPr="009A0DA6">
              <w:rPr>
                <w:rFonts w:ascii="Cambria" w:hAnsi="Cambria" w:cs="Arial"/>
                <w:b w:val="0"/>
              </w:rPr>
              <w:t>5.3.18</w:t>
            </w:r>
          </w:p>
        </w:tc>
        <w:tc>
          <w:tcPr>
            <w:tcW w:w="3402" w:type="dxa"/>
          </w:tcPr>
          <w:p w14:paraId="71E7F249" w14:textId="77777777" w:rsidR="006F210A" w:rsidRPr="009A0DA6" w:rsidRDefault="006F210A" w:rsidP="00786120">
            <w:pPr>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Lutheran Principals Australia Executive</w:t>
            </w:r>
          </w:p>
        </w:tc>
        <w:tc>
          <w:tcPr>
            <w:tcW w:w="1843" w:type="dxa"/>
            <w:vAlign w:val="center"/>
          </w:tcPr>
          <w:p w14:paraId="6A46E0B7" w14:textId="77777777" w:rsidR="006F210A" w:rsidRPr="009A0DA6" w:rsidRDefault="006F210A" w:rsidP="00786120">
            <w:pPr>
              <w:jc w:val="center"/>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6</w:t>
            </w:r>
          </w:p>
        </w:tc>
        <w:tc>
          <w:tcPr>
            <w:tcW w:w="2409" w:type="dxa"/>
          </w:tcPr>
          <w:p w14:paraId="3C27B29C" w14:textId="77777777" w:rsidR="006F210A" w:rsidRPr="009A0DA6" w:rsidRDefault="006F210A" w:rsidP="00786120">
            <w:pPr>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N. Highett (BLEA)</w:t>
            </w:r>
          </w:p>
          <w:p w14:paraId="59FBD440" w14:textId="77777777" w:rsidR="006F210A" w:rsidRPr="009A0DA6" w:rsidRDefault="006F210A" w:rsidP="00786120">
            <w:pPr>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G. Priebbenow (GCC)</w:t>
            </w:r>
          </w:p>
        </w:tc>
      </w:tr>
      <w:tr w:rsidR="006F210A" w:rsidRPr="009A0DA6" w14:paraId="1357A4B6" w14:textId="77777777" w:rsidTr="007861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075CEC76" w14:textId="77777777" w:rsidR="006F210A" w:rsidRPr="009A0DA6" w:rsidRDefault="006F210A" w:rsidP="00786120">
            <w:pPr>
              <w:rPr>
                <w:rFonts w:ascii="Cambria" w:hAnsi="Cambria" w:cs="Arial"/>
                <w:b w:val="0"/>
              </w:rPr>
            </w:pPr>
            <w:r w:rsidRPr="009A0DA6">
              <w:rPr>
                <w:rFonts w:ascii="Cambria" w:hAnsi="Cambria" w:cs="Arial"/>
                <w:b w:val="0"/>
              </w:rPr>
              <w:t>16.3.18</w:t>
            </w:r>
            <w:r w:rsidRPr="009A0DA6">
              <w:rPr>
                <w:rFonts w:ascii="Cambria" w:hAnsi="Cambria" w:cs="Arial"/>
                <w:b w:val="0"/>
              </w:rPr>
              <w:tab/>
            </w:r>
          </w:p>
        </w:tc>
        <w:tc>
          <w:tcPr>
            <w:tcW w:w="3402" w:type="dxa"/>
          </w:tcPr>
          <w:p w14:paraId="12E80E29" w14:textId="77777777" w:rsidR="006F210A" w:rsidRPr="009A0DA6" w:rsidRDefault="006F210A" w:rsidP="00786120">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LEVNT principals LEVNT school / congregation chairs</w:t>
            </w:r>
          </w:p>
        </w:tc>
        <w:tc>
          <w:tcPr>
            <w:tcW w:w="1843" w:type="dxa"/>
            <w:vAlign w:val="center"/>
          </w:tcPr>
          <w:p w14:paraId="6B740393" w14:textId="77777777" w:rsidR="006F210A" w:rsidRPr="009A0DA6" w:rsidRDefault="006F210A" w:rsidP="00786120">
            <w:pPr>
              <w:jc w:val="center"/>
              <w:cnfStyle w:val="000000100000" w:firstRow="0" w:lastRow="0" w:firstColumn="0" w:lastColumn="0" w:oddVBand="0" w:evenVBand="0" w:oddHBand="1" w:evenHBand="0" w:firstRowFirstColumn="0" w:firstRowLastColumn="0" w:lastRowFirstColumn="0" w:lastRowLastColumn="0"/>
              <w:rPr>
                <w:rFonts w:ascii="Cambria" w:hAnsi="Cambria" w:cs="Arial"/>
              </w:rPr>
            </w:pPr>
          </w:p>
        </w:tc>
        <w:tc>
          <w:tcPr>
            <w:tcW w:w="2409" w:type="dxa"/>
          </w:tcPr>
          <w:p w14:paraId="5CB9FF95" w14:textId="77777777" w:rsidR="006F210A" w:rsidRPr="009A0DA6" w:rsidRDefault="006F210A" w:rsidP="00786120">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T. Bohmert (BLEA)</w:t>
            </w:r>
          </w:p>
          <w:p w14:paraId="668EE798" w14:textId="77777777" w:rsidR="006F210A" w:rsidRPr="009A0DA6" w:rsidRDefault="006F210A" w:rsidP="00786120">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F. Schmidt (GCC)</w:t>
            </w:r>
          </w:p>
        </w:tc>
      </w:tr>
      <w:tr w:rsidR="006F210A" w:rsidRPr="009A0DA6" w14:paraId="59FC8756" w14:textId="77777777" w:rsidTr="00786120">
        <w:tc>
          <w:tcPr>
            <w:cnfStyle w:val="001000000000" w:firstRow="0" w:lastRow="0" w:firstColumn="1" w:lastColumn="0" w:oddVBand="0" w:evenVBand="0" w:oddHBand="0" w:evenHBand="0" w:firstRowFirstColumn="0" w:firstRowLastColumn="0" w:lastRowFirstColumn="0" w:lastRowLastColumn="0"/>
            <w:tcW w:w="1134" w:type="dxa"/>
          </w:tcPr>
          <w:p w14:paraId="2456A293" w14:textId="77777777" w:rsidR="006F210A" w:rsidRPr="009A0DA6" w:rsidRDefault="006F210A" w:rsidP="00786120">
            <w:pPr>
              <w:rPr>
                <w:rFonts w:ascii="Cambria" w:hAnsi="Cambria" w:cs="Arial"/>
                <w:b w:val="0"/>
              </w:rPr>
            </w:pPr>
            <w:r w:rsidRPr="009A0DA6">
              <w:rPr>
                <w:rFonts w:ascii="Cambria" w:hAnsi="Cambria" w:cs="Arial"/>
                <w:b w:val="0"/>
              </w:rPr>
              <w:t>16.3.18</w:t>
            </w:r>
            <w:r w:rsidRPr="009A0DA6">
              <w:rPr>
                <w:rFonts w:ascii="Cambria" w:hAnsi="Cambria" w:cs="Arial"/>
                <w:b w:val="0"/>
              </w:rPr>
              <w:tab/>
            </w:r>
          </w:p>
        </w:tc>
        <w:tc>
          <w:tcPr>
            <w:tcW w:w="3402" w:type="dxa"/>
          </w:tcPr>
          <w:p w14:paraId="2AA7ADAE" w14:textId="77777777" w:rsidR="006F210A" w:rsidRPr="009A0DA6" w:rsidRDefault="006F210A" w:rsidP="00786120">
            <w:pPr>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LEQ principals</w:t>
            </w:r>
            <w:r w:rsidRPr="009A0DA6">
              <w:rPr>
                <w:rFonts w:ascii="Cambria" w:hAnsi="Cambria" w:cs="Arial"/>
              </w:rPr>
              <w:tab/>
            </w:r>
          </w:p>
        </w:tc>
        <w:tc>
          <w:tcPr>
            <w:tcW w:w="1843" w:type="dxa"/>
            <w:vAlign w:val="center"/>
          </w:tcPr>
          <w:p w14:paraId="7DBEC29A" w14:textId="77777777" w:rsidR="006F210A" w:rsidRPr="009A0DA6" w:rsidRDefault="006F210A" w:rsidP="00786120">
            <w:pPr>
              <w:jc w:val="center"/>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8</w:t>
            </w:r>
          </w:p>
        </w:tc>
        <w:tc>
          <w:tcPr>
            <w:tcW w:w="2409" w:type="dxa"/>
          </w:tcPr>
          <w:p w14:paraId="1A3C7859" w14:textId="77777777" w:rsidR="006F210A" w:rsidRPr="009A0DA6" w:rsidRDefault="006F210A" w:rsidP="00786120">
            <w:pPr>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N. Highett (BLEA)</w:t>
            </w:r>
          </w:p>
          <w:p w14:paraId="1CE19F1D" w14:textId="77777777" w:rsidR="006F210A" w:rsidRPr="009A0DA6" w:rsidRDefault="006F210A" w:rsidP="00786120">
            <w:pPr>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T. Wiebusch (GCC)</w:t>
            </w:r>
          </w:p>
          <w:p w14:paraId="16A1D888" w14:textId="77777777" w:rsidR="006F210A" w:rsidRPr="009A0DA6" w:rsidRDefault="006F210A" w:rsidP="00786120">
            <w:pPr>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G. Priebbenow (GCC)</w:t>
            </w:r>
          </w:p>
        </w:tc>
      </w:tr>
      <w:tr w:rsidR="006F210A" w:rsidRPr="009A0DA6" w14:paraId="1B997DA3" w14:textId="77777777" w:rsidTr="007861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47E0D558" w14:textId="77777777" w:rsidR="006F210A" w:rsidRPr="009A0DA6" w:rsidRDefault="006F210A" w:rsidP="00786120">
            <w:pPr>
              <w:rPr>
                <w:rFonts w:ascii="Cambria" w:hAnsi="Cambria" w:cs="Arial"/>
                <w:b w:val="0"/>
              </w:rPr>
            </w:pPr>
            <w:r w:rsidRPr="009A0DA6">
              <w:rPr>
                <w:rFonts w:ascii="Cambria" w:hAnsi="Cambria" w:cs="Arial"/>
                <w:b w:val="0"/>
              </w:rPr>
              <w:t>17.3.18</w:t>
            </w:r>
            <w:r w:rsidRPr="009A0DA6">
              <w:rPr>
                <w:rFonts w:ascii="Cambria" w:hAnsi="Cambria" w:cs="Arial"/>
                <w:b w:val="0"/>
              </w:rPr>
              <w:tab/>
            </w:r>
          </w:p>
        </w:tc>
        <w:tc>
          <w:tcPr>
            <w:tcW w:w="3402" w:type="dxa"/>
          </w:tcPr>
          <w:p w14:paraId="1765686A" w14:textId="77777777" w:rsidR="006F210A" w:rsidRPr="009A0DA6" w:rsidRDefault="006F210A" w:rsidP="00786120">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LEQ school / congregation chairs</w:t>
            </w:r>
            <w:r w:rsidRPr="009A0DA6">
              <w:rPr>
                <w:rFonts w:ascii="Cambria" w:hAnsi="Cambria" w:cs="Arial"/>
              </w:rPr>
              <w:tab/>
            </w:r>
          </w:p>
        </w:tc>
        <w:tc>
          <w:tcPr>
            <w:tcW w:w="1843" w:type="dxa"/>
            <w:vAlign w:val="center"/>
          </w:tcPr>
          <w:p w14:paraId="28635D03" w14:textId="77777777" w:rsidR="006F210A" w:rsidRPr="009A0DA6" w:rsidRDefault="006F210A" w:rsidP="00786120">
            <w:pPr>
              <w:jc w:val="cente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10</w:t>
            </w:r>
          </w:p>
        </w:tc>
        <w:tc>
          <w:tcPr>
            <w:tcW w:w="2409" w:type="dxa"/>
          </w:tcPr>
          <w:p w14:paraId="06F3FFE7" w14:textId="77777777" w:rsidR="006F210A" w:rsidRPr="009A0DA6" w:rsidRDefault="006F210A" w:rsidP="00786120">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N. Highett (BLEA)</w:t>
            </w:r>
          </w:p>
          <w:p w14:paraId="59AD0327" w14:textId="77777777" w:rsidR="006F210A" w:rsidRPr="009A0DA6" w:rsidRDefault="006F210A" w:rsidP="00786120">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T. Wiebusch (GCC)</w:t>
            </w:r>
          </w:p>
          <w:p w14:paraId="5D5EDEE2" w14:textId="77777777" w:rsidR="006F210A" w:rsidRPr="009A0DA6" w:rsidRDefault="006F210A" w:rsidP="00786120">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G. Priebbenow (GCC)</w:t>
            </w:r>
          </w:p>
        </w:tc>
      </w:tr>
      <w:tr w:rsidR="006F210A" w:rsidRPr="009A0DA6" w14:paraId="09E8FBA7" w14:textId="77777777" w:rsidTr="00786120">
        <w:tc>
          <w:tcPr>
            <w:cnfStyle w:val="001000000000" w:firstRow="0" w:lastRow="0" w:firstColumn="1" w:lastColumn="0" w:oddVBand="0" w:evenVBand="0" w:oddHBand="0" w:evenHBand="0" w:firstRowFirstColumn="0" w:firstRowLastColumn="0" w:lastRowFirstColumn="0" w:lastRowLastColumn="0"/>
            <w:tcW w:w="1134" w:type="dxa"/>
          </w:tcPr>
          <w:p w14:paraId="6A75A184" w14:textId="77777777" w:rsidR="006F210A" w:rsidRPr="009A0DA6" w:rsidRDefault="006F210A" w:rsidP="00786120">
            <w:pPr>
              <w:rPr>
                <w:rFonts w:ascii="Cambria" w:hAnsi="Cambria" w:cs="Arial"/>
                <w:b w:val="0"/>
              </w:rPr>
            </w:pPr>
            <w:r w:rsidRPr="009A0DA6">
              <w:rPr>
                <w:rFonts w:ascii="Cambria" w:hAnsi="Cambria" w:cs="Arial"/>
                <w:b w:val="0"/>
              </w:rPr>
              <w:t>23.3.18</w:t>
            </w:r>
            <w:r w:rsidRPr="009A0DA6">
              <w:rPr>
                <w:rFonts w:ascii="Cambria" w:hAnsi="Cambria" w:cs="Arial"/>
                <w:b w:val="0"/>
              </w:rPr>
              <w:tab/>
            </w:r>
          </w:p>
        </w:tc>
        <w:tc>
          <w:tcPr>
            <w:tcW w:w="3402" w:type="dxa"/>
          </w:tcPr>
          <w:p w14:paraId="3DC233D9" w14:textId="77777777" w:rsidR="006F210A" w:rsidRPr="009A0DA6" w:rsidRDefault="006F210A" w:rsidP="00786120">
            <w:pPr>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ALC Board</w:t>
            </w:r>
          </w:p>
        </w:tc>
        <w:tc>
          <w:tcPr>
            <w:tcW w:w="1843" w:type="dxa"/>
            <w:vAlign w:val="center"/>
          </w:tcPr>
          <w:p w14:paraId="5E4BDF13" w14:textId="77777777" w:rsidR="006F210A" w:rsidRPr="009A0DA6" w:rsidRDefault="006F210A" w:rsidP="00786120">
            <w:pPr>
              <w:jc w:val="center"/>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15</w:t>
            </w:r>
          </w:p>
        </w:tc>
        <w:tc>
          <w:tcPr>
            <w:tcW w:w="2409" w:type="dxa"/>
          </w:tcPr>
          <w:p w14:paraId="1FB9D48A" w14:textId="77777777" w:rsidR="006F210A" w:rsidRPr="009A0DA6" w:rsidRDefault="006F210A" w:rsidP="00786120">
            <w:pPr>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T. Bohmert (BLEA)</w:t>
            </w:r>
          </w:p>
          <w:p w14:paraId="371B768B" w14:textId="77777777" w:rsidR="006F210A" w:rsidRPr="009A0DA6" w:rsidRDefault="006F210A" w:rsidP="00786120">
            <w:pPr>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N. Highett (BLEA)</w:t>
            </w:r>
          </w:p>
          <w:p w14:paraId="339F861E" w14:textId="77777777" w:rsidR="006F210A" w:rsidRPr="009A0DA6" w:rsidRDefault="006F210A" w:rsidP="00786120">
            <w:pPr>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B. Hausler (BLEA)</w:t>
            </w:r>
          </w:p>
        </w:tc>
      </w:tr>
    </w:tbl>
    <w:p w14:paraId="4A0AE579" w14:textId="77777777" w:rsidR="006F210A" w:rsidRDefault="006F210A" w:rsidP="006F210A">
      <w:pPr>
        <w:pStyle w:val="Heading3"/>
      </w:pPr>
    </w:p>
    <w:p w14:paraId="1F122874" w14:textId="77777777" w:rsidR="006F210A" w:rsidRPr="009A0DA6" w:rsidRDefault="006F210A" w:rsidP="006F210A">
      <w:pPr>
        <w:pStyle w:val="Heading3"/>
      </w:pPr>
      <w:r w:rsidRPr="009A0DA6">
        <w:t>APPENDIX 3:  DISCUSSION STARTERS / FOCUS QUESTIONS</w:t>
      </w:r>
    </w:p>
    <w:p w14:paraId="16A6A749" w14:textId="77777777" w:rsidR="006F210A" w:rsidRPr="009A0DA6" w:rsidRDefault="006F210A" w:rsidP="006F210A">
      <w:pPr>
        <w:pStyle w:val="Subtitle"/>
      </w:pPr>
      <w:r w:rsidRPr="009A0DA6">
        <w:t xml:space="preserve">1. Setting strategic directions and policy for Lutheran education </w:t>
      </w:r>
    </w:p>
    <w:p w14:paraId="126C5764" w14:textId="77777777" w:rsidR="006F210A" w:rsidRPr="009A0DA6" w:rsidRDefault="006F210A" w:rsidP="006F210A">
      <w:pPr>
        <w:pStyle w:val="NoSpacing"/>
        <w:spacing w:after="160"/>
        <w:rPr>
          <w:rFonts w:cs="Arial"/>
        </w:rPr>
      </w:pPr>
      <w:r w:rsidRPr="009A0DA6">
        <w:rPr>
          <w:rFonts w:cs="Arial"/>
        </w:rPr>
        <w:t xml:space="preserve">The BLEA has developed a strategic plan, which has been endorsed by the GCC. It is intended that the BLEA, as the responsible authority for Lutheran education in Australia, provides appropriate leadership and governance for setting strategic direction for Lutheran education across Australia. </w:t>
      </w:r>
    </w:p>
    <w:p w14:paraId="61614FD3" w14:textId="77777777" w:rsidR="006F210A" w:rsidRPr="009A0DA6" w:rsidRDefault="006F210A" w:rsidP="006F210A">
      <w:pPr>
        <w:pStyle w:val="NoSpacing"/>
        <w:spacing w:after="160"/>
        <w:rPr>
          <w:rFonts w:cs="Arial"/>
        </w:rPr>
      </w:pPr>
      <w:r w:rsidRPr="009A0DA6">
        <w:rPr>
          <w:rFonts w:cs="Arial"/>
        </w:rPr>
        <w:t>The key areas for setting strategy, in collaboration with the regions, are as follows:</w:t>
      </w:r>
    </w:p>
    <w:p w14:paraId="6D4029D7" w14:textId="77777777" w:rsidR="006F210A" w:rsidRPr="009A0DA6" w:rsidRDefault="006F210A" w:rsidP="006F210A">
      <w:pPr>
        <w:pStyle w:val="NoSpacing"/>
        <w:numPr>
          <w:ilvl w:val="0"/>
          <w:numId w:val="237"/>
        </w:numPr>
        <w:spacing w:after="160"/>
        <w:ind w:left="567" w:hanging="567"/>
        <w:rPr>
          <w:rFonts w:cs="Arial"/>
        </w:rPr>
      </w:pPr>
      <w:r w:rsidRPr="009A0DA6">
        <w:rPr>
          <w:rFonts w:cs="Arial"/>
        </w:rPr>
        <w:t>Setting strategic directions and policy for Lutheran education</w:t>
      </w:r>
    </w:p>
    <w:p w14:paraId="5192154A" w14:textId="77777777" w:rsidR="006F210A" w:rsidRPr="009A0DA6" w:rsidRDefault="006F210A" w:rsidP="006F210A">
      <w:pPr>
        <w:pStyle w:val="NoSpacing"/>
        <w:numPr>
          <w:ilvl w:val="0"/>
          <w:numId w:val="237"/>
        </w:numPr>
        <w:spacing w:after="160"/>
        <w:ind w:left="567" w:hanging="567"/>
        <w:rPr>
          <w:rFonts w:cs="Arial"/>
        </w:rPr>
      </w:pPr>
      <w:r w:rsidRPr="009A0DA6">
        <w:rPr>
          <w:rFonts w:cs="Arial"/>
        </w:rPr>
        <w:t>Strengthening Lutheran identity</w:t>
      </w:r>
    </w:p>
    <w:p w14:paraId="6C479F35" w14:textId="77777777" w:rsidR="006F210A" w:rsidRPr="009A0DA6" w:rsidRDefault="006F210A" w:rsidP="006F210A">
      <w:pPr>
        <w:pStyle w:val="NoSpacing"/>
        <w:numPr>
          <w:ilvl w:val="0"/>
          <w:numId w:val="237"/>
        </w:numPr>
        <w:spacing w:after="160"/>
        <w:ind w:left="567" w:hanging="567"/>
        <w:rPr>
          <w:rFonts w:cs="Arial"/>
        </w:rPr>
      </w:pPr>
      <w:r w:rsidRPr="009A0DA6">
        <w:rPr>
          <w:rFonts w:cs="Arial"/>
        </w:rPr>
        <w:lastRenderedPageBreak/>
        <w:t>Risk oversight (legal, financial, reputational)</w:t>
      </w:r>
    </w:p>
    <w:p w14:paraId="12B3A09A" w14:textId="77777777" w:rsidR="006F210A" w:rsidRPr="009A0DA6" w:rsidRDefault="006F210A" w:rsidP="006F210A">
      <w:pPr>
        <w:pStyle w:val="NoSpacing"/>
        <w:numPr>
          <w:ilvl w:val="0"/>
          <w:numId w:val="237"/>
        </w:numPr>
        <w:spacing w:after="160"/>
        <w:ind w:left="567" w:hanging="567"/>
        <w:rPr>
          <w:rFonts w:cs="Arial"/>
        </w:rPr>
      </w:pPr>
      <w:r w:rsidRPr="009A0DA6">
        <w:rPr>
          <w:rFonts w:cs="Arial"/>
        </w:rPr>
        <w:t>Formation, leadership, succession and development</w:t>
      </w:r>
    </w:p>
    <w:p w14:paraId="1025009A" w14:textId="77777777" w:rsidR="006F210A" w:rsidRPr="009A0DA6" w:rsidRDefault="006F210A" w:rsidP="006F210A">
      <w:pPr>
        <w:pStyle w:val="NoSpacing"/>
        <w:numPr>
          <w:ilvl w:val="0"/>
          <w:numId w:val="237"/>
        </w:numPr>
        <w:spacing w:after="160"/>
        <w:ind w:left="567" w:hanging="567"/>
        <w:rPr>
          <w:rFonts w:cs="Arial"/>
        </w:rPr>
      </w:pPr>
      <w:r w:rsidRPr="009A0DA6">
        <w:rPr>
          <w:rFonts w:cs="Arial"/>
        </w:rPr>
        <w:t>Culture (how we work together better even though we are separate entities)</w:t>
      </w:r>
    </w:p>
    <w:p w14:paraId="7694C073" w14:textId="77777777" w:rsidR="006F210A" w:rsidRPr="009A0DA6" w:rsidRDefault="006F210A" w:rsidP="006F210A">
      <w:pPr>
        <w:pStyle w:val="NoSpacing"/>
        <w:spacing w:after="160"/>
        <w:rPr>
          <w:rFonts w:cs="Arial"/>
        </w:rPr>
      </w:pPr>
      <w:r w:rsidRPr="009A0DA6">
        <w:rPr>
          <w:rFonts w:cs="Arial"/>
        </w:rPr>
        <w:t>As such, the board’s strategic plan is intended to provide direction and guidance to regions when developing their strategies so that alignment of national and regional strategies can be assured and regional and local needs can be taken into account.</w:t>
      </w:r>
    </w:p>
    <w:p w14:paraId="43A7F7EF" w14:textId="77777777" w:rsidR="006F210A" w:rsidRPr="009A0DA6" w:rsidRDefault="006F210A" w:rsidP="006F210A">
      <w:pPr>
        <w:pStyle w:val="NoSpacing"/>
        <w:spacing w:after="160"/>
        <w:rPr>
          <w:rFonts w:cs="Arial"/>
        </w:rPr>
      </w:pPr>
      <w:r w:rsidRPr="009A0DA6">
        <w:rPr>
          <w:rFonts w:cs="Arial"/>
        </w:rPr>
        <w:t xml:space="preserve">In developing their strategic plans, regions are responsible for making explicit their accountabilities for the successful implementation of their planning, reporting and policy setting. </w:t>
      </w:r>
    </w:p>
    <w:p w14:paraId="1DDF64EB" w14:textId="77777777" w:rsidR="006F210A" w:rsidRPr="009A0DA6" w:rsidRDefault="006F210A" w:rsidP="006F210A">
      <w:pPr>
        <w:pStyle w:val="NoSpacing"/>
        <w:spacing w:after="160"/>
        <w:rPr>
          <w:rFonts w:cs="Arial"/>
        </w:rPr>
      </w:pPr>
      <w:r w:rsidRPr="009A0DA6">
        <w:rPr>
          <w:rFonts w:cs="Arial"/>
        </w:rPr>
        <w:t>The consultation session will explore how we effectively coordinate this process to ensure that mutual action and accountability occur.</w:t>
      </w:r>
    </w:p>
    <w:p w14:paraId="1E2F3DBA" w14:textId="77777777" w:rsidR="006F210A" w:rsidRPr="009A0DA6" w:rsidRDefault="006F210A" w:rsidP="006F210A">
      <w:pPr>
        <w:pStyle w:val="Subtitle"/>
      </w:pPr>
      <w:r w:rsidRPr="009A0DA6">
        <w:t xml:space="preserve">2. Strengthening Lutheran identity </w:t>
      </w:r>
    </w:p>
    <w:p w14:paraId="155FBE72" w14:textId="77777777" w:rsidR="006F210A" w:rsidRPr="009A0DA6" w:rsidRDefault="006F210A" w:rsidP="006F210A">
      <w:pPr>
        <w:pStyle w:val="NoSpacing"/>
        <w:spacing w:after="160"/>
        <w:rPr>
          <w:rFonts w:cs="Arial"/>
        </w:rPr>
      </w:pPr>
      <w:r w:rsidRPr="009A0DA6">
        <w:rPr>
          <w:rFonts w:cs="Arial"/>
        </w:rPr>
        <w:t xml:space="preserve">Lutheran education is defined by the ethos and theology that is specifically and explicitly Lutheran, and which informs the development of young people in Lutheran schools. </w:t>
      </w:r>
    </w:p>
    <w:p w14:paraId="1519E5E5" w14:textId="77777777" w:rsidR="006F210A" w:rsidRPr="009A0DA6" w:rsidRDefault="006F210A" w:rsidP="006F210A">
      <w:pPr>
        <w:pStyle w:val="NoSpacing"/>
        <w:spacing w:after="160"/>
        <w:rPr>
          <w:rFonts w:cs="Arial"/>
        </w:rPr>
      </w:pPr>
      <w:r w:rsidRPr="009A0DA6">
        <w:rPr>
          <w:rFonts w:cs="Arial"/>
        </w:rPr>
        <w:t xml:space="preserve">BLEA acknowledges that an evolving and changing world can create uncertainty about what defines “Lutheran identity” for school governance and leadership and its place in the education of young people. This can be achieved when there is a clear understanding of Lutheran theology, which is modelled by the leadership of the school through example and through appropriate policy setting and reporting. </w:t>
      </w:r>
    </w:p>
    <w:p w14:paraId="1D954ACD" w14:textId="77777777" w:rsidR="006F210A" w:rsidRPr="009A0DA6" w:rsidRDefault="006F210A" w:rsidP="006F210A">
      <w:pPr>
        <w:pStyle w:val="NoSpacing"/>
        <w:spacing w:after="160"/>
        <w:rPr>
          <w:rFonts w:cs="Arial"/>
        </w:rPr>
      </w:pPr>
      <w:r w:rsidRPr="009A0DA6">
        <w:rPr>
          <w:rFonts w:cs="Arial"/>
        </w:rPr>
        <w:t>How can Lutheran identity be effectively developed and supported in a variety of school contexts across Australia?</w:t>
      </w:r>
    </w:p>
    <w:p w14:paraId="03634E54" w14:textId="77777777" w:rsidR="006F210A" w:rsidRPr="009A0DA6" w:rsidRDefault="006F210A" w:rsidP="006F210A">
      <w:pPr>
        <w:pStyle w:val="Subtitle"/>
      </w:pPr>
      <w:r w:rsidRPr="009A0DA6">
        <w:t xml:space="preserve">3. Risk oversight (legal, financial, reputational) </w:t>
      </w:r>
    </w:p>
    <w:p w14:paraId="13C0944E" w14:textId="77777777" w:rsidR="006F210A" w:rsidRPr="009A0DA6" w:rsidRDefault="006F210A" w:rsidP="006F210A">
      <w:pPr>
        <w:pStyle w:val="NoSpacing"/>
        <w:spacing w:after="160"/>
        <w:rPr>
          <w:rFonts w:cs="Arial"/>
        </w:rPr>
      </w:pPr>
      <w:r w:rsidRPr="009A0DA6">
        <w:rPr>
          <w:rFonts w:cs="Arial"/>
        </w:rPr>
        <w:t xml:space="preserve">Risk management is a significant aspect of the governance of any organisation. </w:t>
      </w:r>
    </w:p>
    <w:p w14:paraId="5E06391E" w14:textId="77777777" w:rsidR="006F210A" w:rsidRPr="009A0DA6" w:rsidRDefault="006F210A" w:rsidP="006F210A">
      <w:pPr>
        <w:pStyle w:val="NoSpacing"/>
        <w:spacing w:after="160"/>
        <w:rPr>
          <w:rFonts w:cs="Arial"/>
        </w:rPr>
      </w:pPr>
      <w:r w:rsidRPr="009A0DA6">
        <w:rPr>
          <w:rFonts w:cs="Arial"/>
        </w:rPr>
        <w:t xml:space="preserve">As the guarantor of last resort, GCC requires that LEA establish and maintain effective risk management systems and practices. This is paramount to the successful operational management of Lutheran education across Australia and needs to be coordinated in a consistent manner. </w:t>
      </w:r>
    </w:p>
    <w:p w14:paraId="2FCA2A5D" w14:textId="77777777" w:rsidR="006F210A" w:rsidRPr="009A0DA6" w:rsidRDefault="006F210A" w:rsidP="006F210A">
      <w:pPr>
        <w:pStyle w:val="NoSpacing"/>
        <w:spacing w:after="160"/>
        <w:rPr>
          <w:rFonts w:cs="Arial"/>
        </w:rPr>
      </w:pPr>
      <w:r w:rsidRPr="009A0DA6">
        <w:rPr>
          <w:rFonts w:cs="Arial"/>
        </w:rPr>
        <w:t>The consultation will explore how this can occur.</w:t>
      </w:r>
    </w:p>
    <w:p w14:paraId="79C7EBED" w14:textId="77777777" w:rsidR="006F210A" w:rsidRPr="009A0DA6" w:rsidRDefault="006F210A" w:rsidP="006F210A">
      <w:pPr>
        <w:pStyle w:val="Subtitle"/>
      </w:pPr>
      <w:r w:rsidRPr="009A0DA6">
        <w:t xml:space="preserve">4. Formation, leadership succession and development </w:t>
      </w:r>
    </w:p>
    <w:p w14:paraId="05B2E181" w14:textId="77777777" w:rsidR="006F210A" w:rsidRPr="009A0DA6" w:rsidRDefault="006F210A" w:rsidP="006F210A">
      <w:pPr>
        <w:pStyle w:val="NoSpacing"/>
        <w:spacing w:after="160"/>
        <w:rPr>
          <w:rFonts w:cs="Arial"/>
        </w:rPr>
      </w:pPr>
      <w:r w:rsidRPr="009A0DA6">
        <w:rPr>
          <w:rFonts w:cs="Arial"/>
        </w:rPr>
        <w:t>The strength and vitality of Lutheran education relies on capable and high performing leaders and leadership teams.</w:t>
      </w:r>
    </w:p>
    <w:p w14:paraId="3A81D5D3" w14:textId="77777777" w:rsidR="006F210A" w:rsidRPr="009A0DA6" w:rsidRDefault="006F210A" w:rsidP="006F210A">
      <w:pPr>
        <w:pStyle w:val="NoSpacing"/>
        <w:spacing w:after="160"/>
        <w:rPr>
          <w:rFonts w:cs="Arial"/>
        </w:rPr>
      </w:pPr>
      <w:r w:rsidRPr="009A0DA6">
        <w:rPr>
          <w:rFonts w:cs="Arial"/>
        </w:rPr>
        <w:t>Future leaders must be identified, nurtured, developed, and supported as they take up positions of leadership.  At the same time programs and activities must be established to support current leaders in their roles.</w:t>
      </w:r>
    </w:p>
    <w:p w14:paraId="21F4CFD4" w14:textId="77777777" w:rsidR="006F210A" w:rsidRPr="009A0DA6" w:rsidRDefault="006F210A" w:rsidP="006F210A">
      <w:pPr>
        <w:pStyle w:val="NoSpacing"/>
        <w:spacing w:after="160"/>
        <w:rPr>
          <w:rFonts w:cs="Arial"/>
        </w:rPr>
      </w:pPr>
      <w:r w:rsidRPr="009A0DA6">
        <w:rPr>
          <w:rFonts w:cs="Arial"/>
        </w:rPr>
        <w:t xml:space="preserve">As ECSs and schools of the LCA, the area of spiritual leadership must be an ongoing focus of LEA and the regions. The LCA expects that this would be done in a nationally consistent manner and be a priority for all Lutheran education entities. </w:t>
      </w:r>
    </w:p>
    <w:p w14:paraId="47D5B921" w14:textId="77777777" w:rsidR="006F210A" w:rsidRPr="009A0DA6" w:rsidRDefault="006F210A" w:rsidP="006F210A">
      <w:pPr>
        <w:pStyle w:val="NoSpacing"/>
        <w:spacing w:after="160"/>
        <w:rPr>
          <w:rFonts w:cs="Arial"/>
        </w:rPr>
      </w:pPr>
      <w:r w:rsidRPr="009A0DA6">
        <w:rPr>
          <w:rFonts w:cs="Arial"/>
        </w:rPr>
        <w:t>The consultation will focus on the strategies and processes required to achieve this.</w:t>
      </w:r>
    </w:p>
    <w:p w14:paraId="6D2BFAE8" w14:textId="77777777" w:rsidR="006F210A" w:rsidRPr="009A0DA6" w:rsidRDefault="006F210A" w:rsidP="006F210A">
      <w:pPr>
        <w:pStyle w:val="Subtitle"/>
      </w:pPr>
      <w:r w:rsidRPr="009A0DA6">
        <w:t>5. Culture</w:t>
      </w:r>
    </w:p>
    <w:p w14:paraId="4B4580E7" w14:textId="77777777" w:rsidR="006F210A" w:rsidRPr="009A0DA6" w:rsidRDefault="006F210A" w:rsidP="006F210A">
      <w:pPr>
        <w:pStyle w:val="NoSpacing"/>
        <w:spacing w:after="160"/>
        <w:rPr>
          <w:rFonts w:cs="Arial"/>
        </w:rPr>
      </w:pPr>
      <w:r w:rsidRPr="009A0DA6">
        <w:rPr>
          <w:rFonts w:cs="Arial"/>
        </w:rPr>
        <w:t>The culture of any organisation determines its health and vitality. Culture includes the prevailing and shared attitudes, values, and beliefs of those who comprise the organisation.</w:t>
      </w:r>
    </w:p>
    <w:p w14:paraId="446F0A0A" w14:textId="77777777" w:rsidR="006F210A" w:rsidRPr="009A0DA6" w:rsidRDefault="006F210A" w:rsidP="006F210A">
      <w:pPr>
        <w:pStyle w:val="NoSpacing"/>
        <w:spacing w:after="160"/>
        <w:rPr>
          <w:rFonts w:cs="Arial"/>
        </w:rPr>
      </w:pPr>
      <w:r w:rsidRPr="009A0DA6">
        <w:rPr>
          <w:rFonts w:cs="Arial"/>
        </w:rPr>
        <w:t xml:space="preserve">Where the prevailing culture is one of mistrust and is based on principles and values that are fractured or inconsistent, culture is eroded. </w:t>
      </w:r>
    </w:p>
    <w:p w14:paraId="72E0FF97" w14:textId="77777777" w:rsidR="006F210A" w:rsidRPr="009A0DA6" w:rsidRDefault="006F210A" w:rsidP="006F210A">
      <w:pPr>
        <w:pStyle w:val="NoSpacing"/>
        <w:spacing w:after="160"/>
        <w:rPr>
          <w:rFonts w:cs="Arial"/>
        </w:rPr>
      </w:pPr>
      <w:r w:rsidRPr="009A0DA6">
        <w:rPr>
          <w:rFonts w:cs="Arial"/>
        </w:rPr>
        <w:lastRenderedPageBreak/>
        <w:t>Currently there is a lack of consistency in governance and administration between and across ECSs, schools, regions and LEA.</w:t>
      </w:r>
    </w:p>
    <w:p w14:paraId="3CBA3B84" w14:textId="77777777" w:rsidR="006F210A" w:rsidRPr="009A0DA6" w:rsidRDefault="006F210A" w:rsidP="006F210A">
      <w:pPr>
        <w:pStyle w:val="NoSpacing"/>
        <w:spacing w:after="160"/>
        <w:rPr>
          <w:rFonts w:cs="Arial"/>
        </w:rPr>
      </w:pPr>
      <w:r w:rsidRPr="009A0DA6">
        <w:rPr>
          <w:rFonts w:cs="Arial"/>
        </w:rPr>
        <w:t>GCC is requesting that BLEA, as the governance authority of Lutheran education, ensures that a consistent understanding of Lutheran education culture be developed, supported and enhanced.</w:t>
      </w:r>
    </w:p>
    <w:p w14:paraId="4F8A13F0" w14:textId="77777777" w:rsidR="006F210A" w:rsidRPr="009A0DA6" w:rsidRDefault="006F210A" w:rsidP="006F210A">
      <w:pPr>
        <w:pStyle w:val="NoSpacing"/>
        <w:spacing w:after="160"/>
        <w:rPr>
          <w:rFonts w:cs="Arial"/>
        </w:rPr>
      </w:pPr>
      <w:r w:rsidRPr="009A0DA6">
        <w:rPr>
          <w:rFonts w:cs="Arial"/>
        </w:rPr>
        <w:t>The purpose of the consultation is to explore how such a unified culture can be developed with the support of a cohesive governance and management structure.</w:t>
      </w:r>
      <w:r w:rsidRPr="009A0DA6">
        <w:rPr>
          <w:rFonts w:cs="Arial"/>
        </w:rPr>
        <w:br/>
      </w:r>
    </w:p>
    <w:p w14:paraId="7F2BC7FC" w14:textId="77777777" w:rsidR="006F210A" w:rsidRPr="009A0DA6" w:rsidRDefault="006F210A" w:rsidP="006F210A">
      <w:pPr>
        <w:pStyle w:val="Heading3"/>
      </w:pPr>
      <w:r w:rsidRPr="009A0DA6">
        <w:t>APPENDIX 4: PRE-READING MATERIALS</w:t>
      </w:r>
    </w:p>
    <w:p w14:paraId="4DA3FAAB" w14:textId="77777777" w:rsidR="006F210A" w:rsidRPr="009A0DA6" w:rsidRDefault="006F210A" w:rsidP="006F210A">
      <w:pPr>
        <w:pStyle w:val="Subtitle"/>
        <w:rPr>
          <w:u w:val="single"/>
        </w:rPr>
      </w:pPr>
      <w:r w:rsidRPr="009A0DA6">
        <w:t xml:space="preserve">Lutheran Church of Australia </w:t>
      </w:r>
    </w:p>
    <w:p w14:paraId="26D45028" w14:textId="77777777" w:rsidR="006F210A" w:rsidRPr="009A0DA6" w:rsidRDefault="006F210A" w:rsidP="006F210A">
      <w:pPr>
        <w:pStyle w:val="Subtitle"/>
      </w:pPr>
      <w:r w:rsidRPr="009A0DA6">
        <w:t>GCC and BLEA Joint Communique 1</w:t>
      </w:r>
    </w:p>
    <w:p w14:paraId="3A13E6CC" w14:textId="77777777" w:rsidR="006F210A" w:rsidRPr="009A0DA6" w:rsidRDefault="006F210A" w:rsidP="006F210A">
      <w:pPr>
        <w:pStyle w:val="Subtitle"/>
      </w:pPr>
      <w:r w:rsidRPr="009A0DA6">
        <w:t xml:space="preserve">Lutheran education governance and administration review </w:t>
      </w:r>
    </w:p>
    <w:p w14:paraId="2889F8E7" w14:textId="77777777" w:rsidR="006F210A" w:rsidRPr="009A0DA6" w:rsidRDefault="006F210A" w:rsidP="006F210A">
      <w:pPr>
        <w:pStyle w:val="NoSpacing"/>
      </w:pPr>
    </w:p>
    <w:p w14:paraId="501E72C2" w14:textId="77777777" w:rsidR="006F210A" w:rsidRPr="009A0DA6" w:rsidRDefault="006F210A" w:rsidP="006F210A">
      <w:pPr>
        <w:pStyle w:val="Default"/>
        <w:spacing w:after="160"/>
        <w:rPr>
          <w:rFonts w:ascii="Cambria" w:hAnsi="Cambria"/>
          <w:sz w:val="22"/>
          <w:szCs w:val="22"/>
        </w:rPr>
      </w:pPr>
      <w:r w:rsidRPr="009A0DA6">
        <w:rPr>
          <w:rFonts w:ascii="Cambria" w:hAnsi="Cambria"/>
          <w:sz w:val="22"/>
          <w:szCs w:val="22"/>
        </w:rPr>
        <w:t xml:space="preserve">We write on behalf of the Lutheran Church of Australia and New Zealand’s General Church Council (GCC) and the Board for Lutheran Education Australia (BLEA) to sincerely thank all who have contributed to the LCA’s </w:t>
      </w:r>
      <w:r w:rsidRPr="009A0DA6">
        <w:rPr>
          <w:rFonts w:ascii="Cambria" w:hAnsi="Cambria"/>
          <w:i/>
          <w:iCs/>
          <w:sz w:val="22"/>
          <w:szCs w:val="22"/>
        </w:rPr>
        <w:t xml:space="preserve">Lutheran education governance and administration review </w:t>
      </w:r>
      <w:r w:rsidRPr="009A0DA6">
        <w:rPr>
          <w:rFonts w:ascii="Cambria" w:hAnsi="Cambria"/>
          <w:sz w:val="22"/>
          <w:szCs w:val="22"/>
        </w:rPr>
        <w:t xml:space="preserve">and to outline the way forward. </w:t>
      </w:r>
    </w:p>
    <w:p w14:paraId="3B256933" w14:textId="77777777" w:rsidR="006F210A" w:rsidRPr="009A0DA6" w:rsidRDefault="006F210A" w:rsidP="006F210A">
      <w:pPr>
        <w:pStyle w:val="Default"/>
        <w:spacing w:after="160"/>
        <w:rPr>
          <w:rFonts w:ascii="Cambria" w:hAnsi="Cambria"/>
          <w:sz w:val="22"/>
          <w:szCs w:val="22"/>
        </w:rPr>
      </w:pPr>
      <w:r w:rsidRPr="009A0DA6">
        <w:rPr>
          <w:rFonts w:ascii="Cambria" w:hAnsi="Cambria"/>
          <w:sz w:val="22"/>
          <w:szCs w:val="22"/>
        </w:rPr>
        <w:t xml:space="preserve">On Saturday, 19 August 2017, a joint meeting of GCC and BLEA received a presentation from Dr Maureen Cleary on her final report, ahead of engaging in detailed discussion about the way forward. </w:t>
      </w:r>
    </w:p>
    <w:p w14:paraId="25419282" w14:textId="77777777" w:rsidR="006F210A" w:rsidRPr="009A0DA6" w:rsidRDefault="006F210A" w:rsidP="006F210A">
      <w:pPr>
        <w:pStyle w:val="Default"/>
        <w:spacing w:after="160"/>
        <w:rPr>
          <w:rFonts w:ascii="Cambria" w:hAnsi="Cambria"/>
          <w:sz w:val="22"/>
          <w:szCs w:val="22"/>
        </w:rPr>
      </w:pPr>
      <w:r w:rsidRPr="009A0DA6">
        <w:rPr>
          <w:rFonts w:ascii="Cambria" w:hAnsi="Cambria"/>
          <w:sz w:val="22"/>
          <w:szCs w:val="22"/>
        </w:rPr>
        <w:t xml:space="preserve">Dr Cleary’s report did not further refine and/or recommend any of the models already presented. Rather, her report reflected on the governance and administration challenges for the Lutheran Church of Australia (the church) and its schools and provided considerations for the change management necessary for mapping a way forward. GCC has determined that Dr Cleary’s work has now been completed and resolved to thank her for her commitment to the church. Her report will provide guidance and advice to GCC and LEA as they develop the next phase of the review. </w:t>
      </w:r>
    </w:p>
    <w:p w14:paraId="5F9E5BEB" w14:textId="77777777" w:rsidR="006F210A" w:rsidRPr="009A0DA6" w:rsidRDefault="006F210A" w:rsidP="006F210A">
      <w:pPr>
        <w:pStyle w:val="Default"/>
        <w:spacing w:after="160"/>
        <w:rPr>
          <w:rFonts w:ascii="Cambria" w:hAnsi="Cambria"/>
          <w:sz w:val="22"/>
          <w:szCs w:val="22"/>
        </w:rPr>
      </w:pPr>
      <w:r w:rsidRPr="009A0DA6">
        <w:rPr>
          <w:rFonts w:ascii="Cambria" w:hAnsi="Cambria"/>
          <w:sz w:val="22"/>
          <w:szCs w:val="22"/>
        </w:rPr>
        <w:t xml:space="preserve">We are grateful for the work of the Lutheran education community and acknowledge that many people committed significant time and input to the review process. </w:t>
      </w:r>
    </w:p>
    <w:p w14:paraId="59392647" w14:textId="77777777" w:rsidR="006F210A" w:rsidRPr="009A0DA6" w:rsidRDefault="006F210A" w:rsidP="006F210A">
      <w:pPr>
        <w:pStyle w:val="Default"/>
        <w:spacing w:after="160"/>
        <w:rPr>
          <w:rFonts w:ascii="Cambria" w:hAnsi="Cambria"/>
          <w:sz w:val="22"/>
          <w:szCs w:val="22"/>
        </w:rPr>
      </w:pPr>
      <w:r w:rsidRPr="009A0DA6">
        <w:rPr>
          <w:rFonts w:ascii="Cambria" w:hAnsi="Cambria"/>
          <w:sz w:val="22"/>
          <w:szCs w:val="22"/>
        </w:rPr>
        <w:t>In excess of 640 people engaged in this review from 2015 to 2017 and much has been heard and learnt. For the first time, through the surveys and dialogue process, the church and its Schools now have a rich variety of datasets that have not been consolidated before which provide a solid basis to support our collaborative thinking in terms of the future. There is a clear need for effective governance practices, for clarification of delegated authorities, and appreciation that the LCA is guarantor of last resort. Over 70% of the survey participants gave their first preference to a change from the current governance structure.</w:t>
      </w:r>
    </w:p>
    <w:p w14:paraId="007E5ED1" w14:textId="77777777" w:rsidR="006F210A" w:rsidRPr="009A0DA6" w:rsidRDefault="006F210A" w:rsidP="006F210A">
      <w:pPr>
        <w:pStyle w:val="Default"/>
        <w:spacing w:after="160"/>
        <w:rPr>
          <w:rFonts w:ascii="Cambria" w:hAnsi="Cambria"/>
          <w:sz w:val="22"/>
          <w:szCs w:val="22"/>
        </w:rPr>
      </w:pPr>
      <w:r w:rsidRPr="009A0DA6">
        <w:rPr>
          <w:rFonts w:ascii="Cambria" w:hAnsi="Cambria"/>
          <w:sz w:val="22"/>
          <w:szCs w:val="22"/>
        </w:rPr>
        <w:t xml:space="preserve">GCC believes that a vibrant and sustainable Lutheran education system with a unified purpose and direction is an essential part of our mission and ministry. </w:t>
      </w:r>
    </w:p>
    <w:p w14:paraId="0B08366B" w14:textId="77777777" w:rsidR="006F210A" w:rsidRPr="009A0DA6" w:rsidRDefault="006F210A" w:rsidP="006F210A">
      <w:pPr>
        <w:pStyle w:val="Default"/>
        <w:spacing w:after="160"/>
        <w:rPr>
          <w:rFonts w:ascii="Cambria" w:hAnsi="Cambria"/>
          <w:sz w:val="22"/>
          <w:szCs w:val="22"/>
        </w:rPr>
      </w:pPr>
      <w:r w:rsidRPr="009A0DA6">
        <w:rPr>
          <w:rFonts w:ascii="Cambria" w:hAnsi="Cambria"/>
          <w:sz w:val="22"/>
          <w:szCs w:val="22"/>
        </w:rPr>
        <w:t xml:space="preserve">GCC and BLEA believes there is a need for change, and in fact a mood for change, to improve how Lutheran education operates, and to: </w:t>
      </w:r>
    </w:p>
    <w:p w14:paraId="551C6D14" w14:textId="77777777" w:rsidR="006F210A" w:rsidRPr="009A0DA6" w:rsidRDefault="006F210A" w:rsidP="006F210A">
      <w:pPr>
        <w:pStyle w:val="Default"/>
        <w:numPr>
          <w:ilvl w:val="0"/>
          <w:numId w:val="238"/>
        </w:numPr>
        <w:spacing w:after="160"/>
        <w:ind w:left="567" w:hanging="567"/>
        <w:contextualSpacing/>
        <w:rPr>
          <w:rFonts w:ascii="Cambria" w:hAnsi="Cambria"/>
          <w:sz w:val="22"/>
          <w:szCs w:val="22"/>
        </w:rPr>
      </w:pPr>
      <w:r w:rsidRPr="009A0DA6">
        <w:rPr>
          <w:rFonts w:ascii="Cambria" w:hAnsi="Cambria"/>
          <w:sz w:val="22"/>
          <w:szCs w:val="22"/>
        </w:rPr>
        <w:t>ensure the prime focus of Lutheran education continues to be founded on mission and ministry and on strengthening our Lutheran identity</w:t>
      </w:r>
    </w:p>
    <w:p w14:paraId="3E91852D" w14:textId="77777777" w:rsidR="006F210A" w:rsidRPr="009A0DA6" w:rsidRDefault="006F210A" w:rsidP="006F210A">
      <w:pPr>
        <w:pStyle w:val="Default"/>
        <w:numPr>
          <w:ilvl w:val="0"/>
          <w:numId w:val="238"/>
        </w:numPr>
        <w:spacing w:after="160"/>
        <w:ind w:left="567" w:hanging="567"/>
        <w:contextualSpacing/>
        <w:rPr>
          <w:rFonts w:ascii="Cambria" w:hAnsi="Cambria"/>
          <w:sz w:val="22"/>
          <w:szCs w:val="22"/>
        </w:rPr>
      </w:pPr>
      <w:r w:rsidRPr="009A0DA6">
        <w:rPr>
          <w:rFonts w:ascii="Cambria" w:hAnsi="Cambria"/>
          <w:sz w:val="22"/>
          <w:szCs w:val="22"/>
        </w:rPr>
        <w:t xml:space="preserve">explore the opportunities that can be leveraged nationally to strengthen Lutheran education </w:t>
      </w:r>
    </w:p>
    <w:p w14:paraId="6FAED687" w14:textId="77777777" w:rsidR="006F210A" w:rsidRPr="009A0DA6" w:rsidRDefault="006F210A" w:rsidP="006F210A">
      <w:pPr>
        <w:pStyle w:val="Default"/>
        <w:numPr>
          <w:ilvl w:val="0"/>
          <w:numId w:val="238"/>
        </w:numPr>
        <w:spacing w:after="160"/>
        <w:ind w:left="567" w:hanging="567"/>
        <w:contextualSpacing/>
        <w:rPr>
          <w:rFonts w:ascii="Cambria" w:hAnsi="Cambria"/>
          <w:sz w:val="22"/>
          <w:szCs w:val="22"/>
        </w:rPr>
      </w:pPr>
      <w:r w:rsidRPr="009A0DA6">
        <w:rPr>
          <w:rFonts w:ascii="Cambria" w:hAnsi="Cambria"/>
          <w:sz w:val="22"/>
          <w:szCs w:val="22"/>
        </w:rPr>
        <w:t xml:space="preserve">clarify responsibility for governance at appropriate levels and ensure the LCA’s requirements for board and council compositions are met including effective governance practices, constitutional responsibilities and delegated authorities to effectively respond to increasing expectations of governments and the community both now and into the future </w:t>
      </w:r>
    </w:p>
    <w:p w14:paraId="2168E850" w14:textId="77777777" w:rsidR="006F210A" w:rsidRPr="009A0DA6" w:rsidRDefault="006F210A" w:rsidP="006F210A">
      <w:pPr>
        <w:pStyle w:val="Default"/>
        <w:numPr>
          <w:ilvl w:val="0"/>
          <w:numId w:val="238"/>
        </w:numPr>
        <w:spacing w:after="160"/>
        <w:ind w:left="567" w:hanging="567"/>
        <w:contextualSpacing/>
        <w:rPr>
          <w:rFonts w:ascii="Cambria" w:hAnsi="Cambria"/>
          <w:sz w:val="22"/>
          <w:szCs w:val="22"/>
        </w:rPr>
      </w:pPr>
      <w:r w:rsidRPr="009A0DA6">
        <w:rPr>
          <w:rFonts w:ascii="Cambria" w:hAnsi="Cambria"/>
          <w:sz w:val="22"/>
          <w:szCs w:val="22"/>
        </w:rPr>
        <w:lastRenderedPageBreak/>
        <w:t xml:space="preserve">ensure national consistency for policy and program development, implementation and compliance obligations </w:t>
      </w:r>
    </w:p>
    <w:p w14:paraId="50A514DC" w14:textId="77777777" w:rsidR="006F210A" w:rsidRPr="009A0DA6" w:rsidRDefault="006F210A" w:rsidP="006F210A">
      <w:pPr>
        <w:pStyle w:val="Default"/>
        <w:numPr>
          <w:ilvl w:val="0"/>
          <w:numId w:val="238"/>
        </w:numPr>
        <w:spacing w:after="160"/>
        <w:ind w:left="567" w:hanging="567"/>
        <w:contextualSpacing/>
        <w:rPr>
          <w:rFonts w:ascii="Cambria" w:hAnsi="Cambria"/>
          <w:sz w:val="22"/>
          <w:szCs w:val="22"/>
        </w:rPr>
      </w:pPr>
      <w:r w:rsidRPr="009A0DA6">
        <w:rPr>
          <w:rFonts w:ascii="Cambria" w:hAnsi="Cambria"/>
          <w:sz w:val="22"/>
          <w:szCs w:val="22"/>
        </w:rPr>
        <w:t xml:space="preserve">identify the risks to the church, develop a risk profile and risk management strategy including legal, financial and reputational risks, considering that the church is the guarantor of last resort for all bodies within the LCA </w:t>
      </w:r>
    </w:p>
    <w:p w14:paraId="681E26EB" w14:textId="77777777" w:rsidR="006F210A" w:rsidRPr="009A0DA6" w:rsidRDefault="006F210A" w:rsidP="006F210A">
      <w:pPr>
        <w:pStyle w:val="Default"/>
        <w:numPr>
          <w:ilvl w:val="0"/>
          <w:numId w:val="238"/>
        </w:numPr>
        <w:spacing w:after="160"/>
        <w:ind w:left="567" w:hanging="567"/>
        <w:contextualSpacing/>
        <w:rPr>
          <w:rFonts w:ascii="Cambria" w:hAnsi="Cambria"/>
          <w:sz w:val="22"/>
          <w:szCs w:val="22"/>
        </w:rPr>
      </w:pPr>
      <w:r w:rsidRPr="009A0DA6">
        <w:rPr>
          <w:rFonts w:ascii="Cambria" w:hAnsi="Cambria"/>
          <w:sz w:val="22"/>
          <w:szCs w:val="22"/>
        </w:rPr>
        <w:t>clarify federal requirements for the oversight of system funding ensuring systemic opportunities are pursued to maximise federal funding and ensuring government system requirements are met</w:t>
      </w:r>
    </w:p>
    <w:p w14:paraId="67C7EDE5" w14:textId="77777777" w:rsidR="006F210A" w:rsidRPr="009A0DA6" w:rsidRDefault="006F210A" w:rsidP="006F210A">
      <w:pPr>
        <w:pStyle w:val="Default"/>
        <w:numPr>
          <w:ilvl w:val="0"/>
          <w:numId w:val="238"/>
        </w:numPr>
        <w:spacing w:after="160"/>
        <w:ind w:left="567" w:hanging="567"/>
        <w:rPr>
          <w:rFonts w:ascii="Cambria" w:hAnsi="Cambria"/>
          <w:sz w:val="22"/>
          <w:szCs w:val="22"/>
        </w:rPr>
      </w:pPr>
      <w:r w:rsidRPr="009A0DA6">
        <w:rPr>
          <w:rFonts w:ascii="Cambria" w:hAnsi="Cambria"/>
          <w:sz w:val="22"/>
          <w:szCs w:val="22"/>
        </w:rPr>
        <w:t>oversee loans management, early childhood service (ECS) and school sustainability including responsibility for ECS and school openings and closures, considering the upcoming LLL changes due to APRA requirements.</w:t>
      </w:r>
    </w:p>
    <w:p w14:paraId="7BFE52F0" w14:textId="77777777" w:rsidR="006F210A" w:rsidRPr="009A0DA6" w:rsidRDefault="006F210A" w:rsidP="006F210A">
      <w:pPr>
        <w:pStyle w:val="Default"/>
        <w:spacing w:after="160"/>
        <w:rPr>
          <w:rFonts w:ascii="Cambria" w:hAnsi="Cambria"/>
          <w:sz w:val="22"/>
          <w:szCs w:val="22"/>
        </w:rPr>
      </w:pPr>
      <w:r w:rsidRPr="009A0DA6">
        <w:rPr>
          <w:rFonts w:ascii="Cambria" w:hAnsi="Cambria"/>
          <w:sz w:val="22"/>
          <w:szCs w:val="22"/>
        </w:rPr>
        <w:t>GCC affirmed the governance authority of BLEA for Lutheran education in Australia with the following key focus areas:</w:t>
      </w:r>
    </w:p>
    <w:p w14:paraId="66C0BED7" w14:textId="77777777" w:rsidR="006F210A" w:rsidRPr="009A0DA6" w:rsidRDefault="006F210A" w:rsidP="006F210A">
      <w:pPr>
        <w:pStyle w:val="Default"/>
        <w:spacing w:after="160"/>
        <w:ind w:left="567" w:hanging="567"/>
        <w:rPr>
          <w:rFonts w:ascii="Cambria" w:hAnsi="Cambria"/>
          <w:sz w:val="22"/>
          <w:szCs w:val="22"/>
        </w:rPr>
      </w:pPr>
      <w:r w:rsidRPr="009A0DA6">
        <w:rPr>
          <w:rFonts w:ascii="Cambria" w:hAnsi="Cambria"/>
          <w:sz w:val="22"/>
          <w:szCs w:val="22"/>
        </w:rPr>
        <w:t xml:space="preserve">1. </w:t>
      </w:r>
      <w:r w:rsidRPr="009A0DA6">
        <w:rPr>
          <w:rFonts w:ascii="Cambria" w:hAnsi="Cambria"/>
          <w:sz w:val="22"/>
          <w:szCs w:val="22"/>
        </w:rPr>
        <w:tab/>
        <w:t>Setting strategic directions and policy for Lutheran education</w:t>
      </w:r>
    </w:p>
    <w:p w14:paraId="0B662F7A" w14:textId="77777777" w:rsidR="006F210A" w:rsidRPr="009A0DA6" w:rsidRDefault="006F210A" w:rsidP="006F210A">
      <w:pPr>
        <w:pStyle w:val="Default"/>
        <w:spacing w:after="160"/>
        <w:ind w:left="567" w:hanging="567"/>
        <w:rPr>
          <w:rFonts w:ascii="Cambria" w:hAnsi="Cambria"/>
          <w:sz w:val="22"/>
          <w:szCs w:val="22"/>
        </w:rPr>
      </w:pPr>
      <w:r w:rsidRPr="009A0DA6">
        <w:rPr>
          <w:rFonts w:ascii="Cambria" w:hAnsi="Cambria"/>
          <w:sz w:val="22"/>
          <w:szCs w:val="22"/>
        </w:rPr>
        <w:t xml:space="preserve">2. </w:t>
      </w:r>
      <w:r w:rsidRPr="009A0DA6">
        <w:rPr>
          <w:rFonts w:ascii="Cambria" w:hAnsi="Cambria"/>
          <w:sz w:val="22"/>
          <w:szCs w:val="22"/>
        </w:rPr>
        <w:tab/>
        <w:t>Strengthening Lutheran identity</w:t>
      </w:r>
    </w:p>
    <w:p w14:paraId="6A3807FA" w14:textId="77777777" w:rsidR="006F210A" w:rsidRPr="009A0DA6" w:rsidRDefault="006F210A" w:rsidP="006F210A">
      <w:pPr>
        <w:pStyle w:val="Default"/>
        <w:spacing w:after="160"/>
        <w:ind w:left="567" w:hanging="567"/>
        <w:rPr>
          <w:rFonts w:ascii="Cambria" w:hAnsi="Cambria"/>
          <w:sz w:val="22"/>
          <w:szCs w:val="22"/>
        </w:rPr>
      </w:pPr>
      <w:r w:rsidRPr="009A0DA6">
        <w:rPr>
          <w:rFonts w:ascii="Cambria" w:hAnsi="Cambria"/>
          <w:sz w:val="22"/>
          <w:szCs w:val="22"/>
        </w:rPr>
        <w:t xml:space="preserve">3. </w:t>
      </w:r>
      <w:r w:rsidRPr="009A0DA6">
        <w:rPr>
          <w:rFonts w:ascii="Cambria" w:hAnsi="Cambria"/>
          <w:sz w:val="22"/>
          <w:szCs w:val="22"/>
        </w:rPr>
        <w:tab/>
        <w:t>Risk oversight (legal, financial, reputational)</w:t>
      </w:r>
    </w:p>
    <w:p w14:paraId="0296E58E" w14:textId="77777777" w:rsidR="006F210A" w:rsidRPr="009A0DA6" w:rsidRDefault="006F210A" w:rsidP="006F210A">
      <w:pPr>
        <w:pStyle w:val="Default"/>
        <w:spacing w:after="160"/>
        <w:ind w:left="567" w:hanging="567"/>
        <w:rPr>
          <w:rFonts w:ascii="Cambria" w:hAnsi="Cambria"/>
          <w:sz w:val="22"/>
          <w:szCs w:val="22"/>
        </w:rPr>
      </w:pPr>
      <w:r w:rsidRPr="009A0DA6">
        <w:rPr>
          <w:rFonts w:ascii="Cambria" w:hAnsi="Cambria"/>
          <w:sz w:val="22"/>
          <w:szCs w:val="22"/>
        </w:rPr>
        <w:t xml:space="preserve">4. </w:t>
      </w:r>
      <w:r w:rsidRPr="009A0DA6">
        <w:rPr>
          <w:rFonts w:ascii="Cambria" w:hAnsi="Cambria"/>
          <w:sz w:val="22"/>
          <w:szCs w:val="22"/>
        </w:rPr>
        <w:tab/>
        <w:t>Formation, leadership succession and development</w:t>
      </w:r>
    </w:p>
    <w:p w14:paraId="71F122FE" w14:textId="77777777" w:rsidR="006F210A" w:rsidRPr="009A0DA6" w:rsidRDefault="006F210A" w:rsidP="006F210A">
      <w:pPr>
        <w:pStyle w:val="Default"/>
        <w:spacing w:after="160"/>
        <w:rPr>
          <w:rFonts w:ascii="Cambria" w:hAnsi="Cambria"/>
          <w:sz w:val="22"/>
          <w:szCs w:val="22"/>
        </w:rPr>
      </w:pPr>
      <w:r w:rsidRPr="009A0DA6">
        <w:rPr>
          <w:rFonts w:ascii="Cambria" w:hAnsi="Cambria"/>
          <w:sz w:val="22"/>
          <w:szCs w:val="22"/>
        </w:rPr>
        <w:t xml:space="preserve">Consistent with focus area one, GCC has asked BLEA to lead a joint GCC/BLEA working group to finalise the review. The working group will make recommendations to GCC on the changes, including any associated transition or phasing, necessary to the Lutheran education governance and administration structure for presentation to the LCA General Synod in 2018. </w:t>
      </w:r>
    </w:p>
    <w:p w14:paraId="4AD86323" w14:textId="77777777" w:rsidR="006F210A" w:rsidRPr="009A0DA6" w:rsidRDefault="006F210A" w:rsidP="006F210A">
      <w:pPr>
        <w:pStyle w:val="Default"/>
        <w:spacing w:after="160"/>
        <w:rPr>
          <w:rFonts w:ascii="Cambria" w:hAnsi="Cambria"/>
          <w:sz w:val="22"/>
          <w:szCs w:val="22"/>
        </w:rPr>
      </w:pPr>
      <w:r w:rsidRPr="009A0DA6">
        <w:rPr>
          <w:rFonts w:ascii="Cambria" w:hAnsi="Cambria"/>
          <w:sz w:val="22"/>
          <w:szCs w:val="22"/>
        </w:rPr>
        <w:t xml:space="preserve">GCC has appointed Tim Wiebusch, Faye Schmidt, Pastor Greg Priebbenow and Volker Hopfmueller, and BLEA has appointed Dr Neville Highett, Pastor Thomas Bohmert and Brett Hausler, to the joint GCC/BLEA working group. </w:t>
      </w:r>
    </w:p>
    <w:p w14:paraId="6A5FFFAB" w14:textId="116380EF" w:rsidR="006F210A" w:rsidRPr="009A0DA6" w:rsidRDefault="006F210A" w:rsidP="006F210A">
      <w:pPr>
        <w:pStyle w:val="Default"/>
        <w:spacing w:after="160"/>
        <w:rPr>
          <w:rFonts w:ascii="Cambria" w:hAnsi="Cambria"/>
          <w:sz w:val="22"/>
          <w:szCs w:val="22"/>
        </w:rPr>
      </w:pPr>
      <w:r w:rsidRPr="009A0DA6">
        <w:rPr>
          <w:rFonts w:ascii="Cambria" w:hAnsi="Cambria"/>
          <w:sz w:val="22"/>
          <w:szCs w:val="22"/>
        </w:rPr>
        <w:t xml:space="preserve">This joint working group will engage with a core group of stakeholders to achieve the tasks outlined above and continue to keep the wider church and its schools updated on its progress. Stakeholders can expect to receive further information in the coming months of 2017 on the 2018 plan for the completion of the review. If you have any queries or concerns, please feel free to email </w:t>
      </w:r>
      <w:hyperlink r:id="rId60" w:history="1">
        <w:r w:rsidRPr="00E40C28">
          <w:rPr>
            <w:rStyle w:val="Hyperlink"/>
            <w:rFonts w:ascii="Cambria" w:eastAsiaTheme="majorEastAsia" w:hAnsi="Cambria"/>
            <w:color w:val="auto"/>
            <w:sz w:val="22"/>
            <w:szCs w:val="22"/>
            <w:u w:val="none"/>
          </w:rPr>
          <w:t>gccblea@lca.org.au</w:t>
        </w:r>
      </w:hyperlink>
      <w:r w:rsidR="00E40C28">
        <w:rPr>
          <w:rFonts w:ascii="Cambria" w:hAnsi="Cambria"/>
          <w:color w:val="auto"/>
          <w:sz w:val="22"/>
          <w:szCs w:val="22"/>
        </w:rPr>
        <w:t xml:space="preserve"> </w:t>
      </w:r>
      <w:r w:rsidRPr="009A0DA6">
        <w:rPr>
          <w:rFonts w:ascii="Cambria" w:hAnsi="Cambria"/>
          <w:sz w:val="22"/>
          <w:szCs w:val="22"/>
        </w:rPr>
        <w:t>in the first instance.</w:t>
      </w:r>
    </w:p>
    <w:p w14:paraId="7FE027AC" w14:textId="77777777" w:rsidR="006F210A" w:rsidRPr="009A0DA6" w:rsidRDefault="006F210A" w:rsidP="006F210A">
      <w:pPr>
        <w:pStyle w:val="Default"/>
        <w:spacing w:after="160"/>
        <w:rPr>
          <w:rFonts w:ascii="Cambria" w:hAnsi="Cambria"/>
          <w:sz w:val="22"/>
          <w:szCs w:val="22"/>
        </w:rPr>
      </w:pPr>
      <w:r w:rsidRPr="009A0DA6">
        <w:rPr>
          <w:rFonts w:ascii="Cambria" w:hAnsi="Cambria"/>
          <w:sz w:val="22"/>
          <w:szCs w:val="22"/>
        </w:rPr>
        <w:t xml:space="preserve">Again, thank you for your support and contributions to the church. GCC and BLEA look forward to continuing to work with stakeholders in defining a clear governance and administration structure for Lutheran education across Australia. </w:t>
      </w:r>
    </w:p>
    <w:p w14:paraId="555EE88B" w14:textId="77777777" w:rsidR="006F210A" w:rsidRDefault="006F210A" w:rsidP="006F210A">
      <w:pPr>
        <w:pStyle w:val="Default"/>
        <w:rPr>
          <w:rFonts w:ascii="Cambria" w:hAnsi="Cambria"/>
          <w:b/>
          <w:bCs/>
          <w:sz w:val="22"/>
          <w:szCs w:val="22"/>
        </w:rPr>
      </w:pPr>
    </w:p>
    <w:p w14:paraId="350C0E77" w14:textId="77777777" w:rsidR="006F210A" w:rsidRPr="009A0DA6" w:rsidRDefault="006F210A" w:rsidP="006F210A">
      <w:pPr>
        <w:pStyle w:val="Default"/>
        <w:rPr>
          <w:rFonts w:ascii="Cambria" w:hAnsi="Cambria"/>
          <w:sz w:val="22"/>
          <w:szCs w:val="22"/>
        </w:rPr>
      </w:pPr>
      <w:r w:rsidRPr="009A0DA6">
        <w:rPr>
          <w:rFonts w:ascii="Cambria" w:hAnsi="Cambria"/>
          <w:b/>
          <w:bCs/>
          <w:sz w:val="22"/>
          <w:szCs w:val="22"/>
        </w:rPr>
        <w:t xml:space="preserve">Rev John Henderson </w:t>
      </w:r>
      <w:r w:rsidRPr="009A0DA6">
        <w:rPr>
          <w:rFonts w:ascii="Cambria" w:hAnsi="Cambria"/>
          <w:b/>
          <w:bCs/>
          <w:sz w:val="22"/>
          <w:szCs w:val="22"/>
        </w:rPr>
        <w:tab/>
      </w:r>
      <w:r w:rsidRPr="009A0DA6">
        <w:rPr>
          <w:rFonts w:ascii="Cambria" w:hAnsi="Cambria"/>
          <w:b/>
          <w:bCs/>
          <w:sz w:val="22"/>
          <w:szCs w:val="22"/>
        </w:rPr>
        <w:tab/>
      </w:r>
      <w:r w:rsidRPr="009A0DA6">
        <w:rPr>
          <w:rFonts w:ascii="Cambria" w:hAnsi="Cambria"/>
          <w:b/>
          <w:bCs/>
          <w:sz w:val="22"/>
          <w:szCs w:val="22"/>
        </w:rPr>
        <w:tab/>
      </w:r>
      <w:r w:rsidRPr="009A0DA6">
        <w:rPr>
          <w:rFonts w:ascii="Cambria" w:hAnsi="Cambria"/>
          <w:b/>
          <w:bCs/>
          <w:sz w:val="22"/>
          <w:szCs w:val="22"/>
        </w:rPr>
        <w:tab/>
        <w:t xml:space="preserve">Dr Neville Highett </w:t>
      </w:r>
    </w:p>
    <w:p w14:paraId="2A93A946" w14:textId="77777777" w:rsidR="006F210A" w:rsidRPr="009A0DA6" w:rsidRDefault="006F210A" w:rsidP="006F210A">
      <w:pPr>
        <w:pStyle w:val="Default"/>
        <w:rPr>
          <w:rFonts w:ascii="Cambria" w:hAnsi="Cambria"/>
          <w:sz w:val="22"/>
          <w:szCs w:val="22"/>
        </w:rPr>
      </w:pPr>
      <w:r w:rsidRPr="009A0DA6">
        <w:rPr>
          <w:rFonts w:ascii="Cambria" w:hAnsi="Cambria"/>
          <w:b/>
          <w:bCs/>
          <w:sz w:val="22"/>
          <w:szCs w:val="22"/>
        </w:rPr>
        <w:t xml:space="preserve">Bishop </w:t>
      </w:r>
      <w:r w:rsidRPr="009A0DA6">
        <w:rPr>
          <w:rFonts w:ascii="Cambria" w:hAnsi="Cambria"/>
          <w:b/>
          <w:bCs/>
          <w:sz w:val="22"/>
          <w:szCs w:val="22"/>
        </w:rPr>
        <w:tab/>
      </w:r>
      <w:r w:rsidRPr="009A0DA6">
        <w:rPr>
          <w:rFonts w:ascii="Cambria" w:hAnsi="Cambria"/>
          <w:b/>
          <w:bCs/>
          <w:sz w:val="22"/>
          <w:szCs w:val="22"/>
        </w:rPr>
        <w:tab/>
      </w:r>
      <w:r w:rsidRPr="009A0DA6">
        <w:rPr>
          <w:rFonts w:ascii="Cambria" w:hAnsi="Cambria"/>
          <w:b/>
          <w:bCs/>
          <w:sz w:val="22"/>
          <w:szCs w:val="22"/>
        </w:rPr>
        <w:tab/>
      </w:r>
      <w:r w:rsidRPr="009A0DA6">
        <w:rPr>
          <w:rFonts w:ascii="Cambria" w:hAnsi="Cambria"/>
          <w:b/>
          <w:bCs/>
          <w:sz w:val="22"/>
          <w:szCs w:val="22"/>
        </w:rPr>
        <w:tab/>
      </w:r>
      <w:r w:rsidRPr="009A0DA6">
        <w:rPr>
          <w:rFonts w:ascii="Cambria" w:hAnsi="Cambria"/>
          <w:b/>
          <w:bCs/>
          <w:sz w:val="22"/>
          <w:szCs w:val="22"/>
        </w:rPr>
        <w:tab/>
        <w:t xml:space="preserve">Chair </w:t>
      </w:r>
    </w:p>
    <w:p w14:paraId="7DD1A530" w14:textId="77777777" w:rsidR="006F210A" w:rsidRPr="009A0DA6" w:rsidRDefault="006F210A" w:rsidP="006F210A">
      <w:pPr>
        <w:pStyle w:val="Default"/>
        <w:spacing w:after="160"/>
        <w:rPr>
          <w:rFonts w:ascii="Cambria" w:hAnsi="Cambria"/>
          <w:sz w:val="22"/>
          <w:szCs w:val="22"/>
        </w:rPr>
      </w:pPr>
      <w:r w:rsidRPr="009A0DA6">
        <w:rPr>
          <w:rFonts w:ascii="Cambria" w:hAnsi="Cambria"/>
          <w:b/>
          <w:bCs/>
          <w:sz w:val="22"/>
          <w:szCs w:val="22"/>
        </w:rPr>
        <w:t xml:space="preserve">Lutheran Church of Australia </w:t>
      </w:r>
      <w:r w:rsidRPr="009A0DA6">
        <w:rPr>
          <w:rFonts w:ascii="Cambria" w:hAnsi="Cambria"/>
          <w:b/>
          <w:bCs/>
          <w:sz w:val="22"/>
          <w:szCs w:val="22"/>
        </w:rPr>
        <w:tab/>
      </w:r>
      <w:r w:rsidRPr="009A0DA6">
        <w:rPr>
          <w:rFonts w:ascii="Cambria" w:hAnsi="Cambria"/>
          <w:b/>
          <w:bCs/>
          <w:sz w:val="22"/>
          <w:szCs w:val="22"/>
        </w:rPr>
        <w:tab/>
        <w:t xml:space="preserve">Board for Lutheran Education Australia </w:t>
      </w:r>
    </w:p>
    <w:p w14:paraId="6EBB1C91" w14:textId="77777777" w:rsidR="006F210A" w:rsidRPr="009A0DA6" w:rsidRDefault="006F210A" w:rsidP="006F210A">
      <w:pPr>
        <w:spacing w:line="240" w:lineRule="auto"/>
        <w:rPr>
          <w:rFonts w:ascii="Cambria" w:hAnsi="Cambria" w:cs="Arial"/>
          <w:b/>
          <w:bCs/>
        </w:rPr>
      </w:pPr>
      <w:r w:rsidRPr="009A0DA6">
        <w:rPr>
          <w:rFonts w:ascii="Cambria" w:hAnsi="Cambria" w:cs="Arial"/>
          <w:b/>
          <w:bCs/>
        </w:rPr>
        <w:t>October 2017</w:t>
      </w:r>
    </w:p>
    <w:p w14:paraId="1B43E9E1" w14:textId="77777777" w:rsidR="006F210A" w:rsidRPr="009A0DA6" w:rsidRDefault="006F210A" w:rsidP="006F210A">
      <w:pPr>
        <w:pStyle w:val="Subtitle"/>
      </w:pPr>
      <w:r w:rsidRPr="009A0DA6">
        <w:br w:type="page"/>
      </w:r>
      <w:r w:rsidRPr="009A0DA6">
        <w:lastRenderedPageBreak/>
        <w:t xml:space="preserve">Lutheran Church of Australia </w:t>
      </w:r>
    </w:p>
    <w:p w14:paraId="17701251" w14:textId="77777777" w:rsidR="006F210A" w:rsidRPr="009A0DA6" w:rsidRDefault="006F210A" w:rsidP="006F210A">
      <w:pPr>
        <w:pStyle w:val="Subtitle"/>
        <w:rPr>
          <w:rFonts w:cs="Arial"/>
          <w:bCs/>
          <w:color w:val="000000"/>
        </w:rPr>
      </w:pPr>
      <w:r w:rsidRPr="009A0DA6">
        <w:rPr>
          <w:rFonts w:cs="Arial"/>
          <w:bCs/>
          <w:color w:val="000000"/>
        </w:rPr>
        <w:t xml:space="preserve">GCC and BLEA Joint Communique 2 </w:t>
      </w:r>
    </w:p>
    <w:p w14:paraId="417B5C08" w14:textId="77777777" w:rsidR="006F210A" w:rsidRPr="009A0DA6" w:rsidRDefault="006F210A" w:rsidP="006F210A">
      <w:pPr>
        <w:pStyle w:val="Subtitle"/>
        <w:rPr>
          <w:rFonts w:cs="Arial"/>
          <w:bCs/>
          <w:color w:val="000000"/>
        </w:rPr>
      </w:pPr>
      <w:r w:rsidRPr="009A0DA6">
        <w:rPr>
          <w:rFonts w:cs="Arial"/>
          <w:bCs/>
          <w:color w:val="000000"/>
        </w:rPr>
        <w:t xml:space="preserve">Lutheran education governance and administration review </w:t>
      </w:r>
    </w:p>
    <w:p w14:paraId="348677FF" w14:textId="77777777" w:rsidR="006F210A" w:rsidRPr="009A0DA6" w:rsidRDefault="006F210A" w:rsidP="006F210A">
      <w:pPr>
        <w:pStyle w:val="NoSpacing"/>
      </w:pPr>
    </w:p>
    <w:p w14:paraId="25B64A5B" w14:textId="77777777" w:rsidR="006F210A" w:rsidRPr="009A0DA6" w:rsidRDefault="006F210A" w:rsidP="006F210A">
      <w:pPr>
        <w:autoSpaceDE w:val="0"/>
        <w:autoSpaceDN w:val="0"/>
        <w:adjustRightInd w:val="0"/>
        <w:spacing w:line="240" w:lineRule="auto"/>
        <w:rPr>
          <w:rFonts w:ascii="Cambria" w:hAnsi="Cambria" w:cs="Arial"/>
          <w:color w:val="000000"/>
        </w:rPr>
      </w:pPr>
      <w:r w:rsidRPr="009A0DA6">
        <w:rPr>
          <w:rFonts w:ascii="Cambria" w:hAnsi="Cambria" w:cs="Arial"/>
          <w:color w:val="000000"/>
        </w:rPr>
        <w:t xml:space="preserve">Blessings to you in the name of our Lord Jesus Christ, who has called us into his church, and in whose mission to the world we all share. </w:t>
      </w:r>
    </w:p>
    <w:p w14:paraId="5D4F3AEE" w14:textId="77777777" w:rsidR="006F210A" w:rsidRPr="009A0DA6" w:rsidRDefault="006F210A" w:rsidP="006F210A">
      <w:pPr>
        <w:autoSpaceDE w:val="0"/>
        <w:autoSpaceDN w:val="0"/>
        <w:adjustRightInd w:val="0"/>
        <w:spacing w:line="240" w:lineRule="auto"/>
        <w:rPr>
          <w:rFonts w:ascii="Cambria" w:hAnsi="Cambria" w:cs="Arial"/>
          <w:color w:val="000000"/>
        </w:rPr>
      </w:pPr>
      <w:r w:rsidRPr="009A0DA6">
        <w:rPr>
          <w:rFonts w:ascii="Cambria" w:hAnsi="Cambria" w:cs="Arial"/>
          <w:color w:val="000000"/>
        </w:rPr>
        <w:t xml:space="preserve">As promised in Communique 1, we again write to the leaders of the Lutheran Church of Australia and Lutheran education to provide details of our ongoing consultations with key stakeholder groups. </w:t>
      </w:r>
    </w:p>
    <w:p w14:paraId="4394AD4E" w14:textId="77777777" w:rsidR="006F210A" w:rsidRPr="009A0DA6" w:rsidRDefault="006F210A" w:rsidP="006F210A">
      <w:pPr>
        <w:autoSpaceDE w:val="0"/>
        <w:autoSpaceDN w:val="0"/>
        <w:adjustRightInd w:val="0"/>
        <w:spacing w:line="240" w:lineRule="auto"/>
        <w:rPr>
          <w:rFonts w:ascii="Cambria" w:hAnsi="Cambria" w:cs="Arial"/>
          <w:color w:val="000000"/>
        </w:rPr>
      </w:pPr>
      <w:r w:rsidRPr="009A0DA6">
        <w:rPr>
          <w:rFonts w:ascii="Cambria" w:hAnsi="Cambria" w:cs="Arial"/>
          <w:color w:val="000000"/>
        </w:rPr>
        <w:t xml:space="preserve">The plan that follows was prepared by the GCC/BLEA Joint Group and approved the Lutheran Church of Australia’s General Church Council (GCC) in November 2017. </w:t>
      </w:r>
    </w:p>
    <w:p w14:paraId="7B5964C3" w14:textId="29B6CABC" w:rsidR="006F210A" w:rsidRPr="009A0DA6" w:rsidRDefault="006F210A" w:rsidP="006F210A">
      <w:pPr>
        <w:autoSpaceDE w:val="0"/>
        <w:autoSpaceDN w:val="0"/>
        <w:adjustRightInd w:val="0"/>
        <w:spacing w:line="240" w:lineRule="auto"/>
        <w:rPr>
          <w:rFonts w:ascii="Cambria" w:hAnsi="Cambria" w:cs="Arial"/>
          <w:color w:val="000000"/>
        </w:rPr>
      </w:pPr>
      <w:r w:rsidRPr="009A0DA6">
        <w:rPr>
          <w:rFonts w:ascii="Cambria" w:hAnsi="Cambria" w:cs="Arial"/>
          <w:b/>
          <w:bCs/>
          <w:color w:val="000000"/>
        </w:rPr>
        <w:t xml:space="preserve">The purpose of the consultations </w:t>
      </w:r>
    </w:p>
    <w:p w14:paraId="2F7B815B" w14:textId="77777777" w:rsidR="006F210A" w:rsidRPr="009A0DA6" w:rsidRDefault="006F210A" w:rsidP="006F210A">
      <w:pPr>
        <w:autoSpaceDE w:val="0"/>
        <w:autoSpaceDN w:val="0"/>
        <w:adjustRightInd w:val="0"/>
        <w:spacing w:line="240" w:lineRule="auto"/>
        <w:rPr>
          <w:rFonts w:ascii="Cambria" w:hAnsi="Cambria" w:cs="Arial"/>
          <w:color w:val="000000"/>
        </w:rPr>
      </w:pPr>
      <w:r w:rsidRPr="009A0DA6">
        <w:rPr>
          <w:rFonts w:ascii="Cambria" w:hAnsi="Cambria" w:cs="Arial"/>
          <w:color w:val="000000"/>
        </w:rPr>
        <w:t xml:space="preserve">The GCC has affirmed the governance authority of BLEA for Lutheran education in Australia. The following key focus areas have been identified: </w:t>
      </w:r>
    </w:p>
    <w:p w14:paraId="301E44EB" w14:textId="77777777" w:rsidR="006F210A" w:rsidRPr="009A0DA6" w:rsidRDefault="006F210A" w:rsidP="006F210A">
      <w:pPr>
        <w:autoSpaceDE w:val="0"/>
        <w:autoSpaceDN w:val="0"/>
        <w:adjustRightInd w:val="0"/>
        <w:spacing w:line="240" w:lineRule="auto"/>
        <w:ind w:left="567" w:hanging="567"/>
        <w:rPr>
          <w:rFonts w:ascii="Cambria" w:hAnsi="Cambria" w:cs="Arial"/>
          <w:color w:val="000000"/>
        </w:rPr>
      </w:pPr>
      <w:r w:rsidRPr="009A0DA6">
        <w:rPr>
          <w:rFonts w:ascii="Cambria" w:hAnsi="Cambria" w:cs="Arial"/>
          <w:color w:val="000000"/>
        </w:rPr>
        <w:t>1.</w:t>
      </w:r>
      <w:r w:rsidRPr="009A0DA6">
        <w:rPr>
          <w:rFonts w:ascii="Cambria" w:hAnsi="Cambria" w:cs="Arial"/>
          <w:color w:val="000000"/>
        </w:rPr>
        <w:tab/>
        <w:t xml:space="preserve">Setting strategic directions and policy for Lutheran education </w:t>
      </w:r>
    </w:p>
    <w:p w14:paraId="1446C271" w14:textId="77777777" w:rsidR="006F210A" w:rsidRPr="009A0DA6" w:rsidRDefault="006F210A" w:rsidP="006F210A">
      <w:pPr>
        <w:autoSpaceDE w:val="0"/>
        <w:autoSpaceDN w:val="0"/>
        <w:adjustRightInd w:val="0"/>
        <w:spacing w:line="240" w:lineRule="auto"/>
        <w:rPr>
          <w:rFonts w:ascii="Cambria" w:hAnsi="Cambria" w:cs="Arial"/>
          <w:color w:val="000000"/>
        </w:rPr>
      </w:pPr>
      <w:r w:rsidRPr="009A0DA6">
        <w:rPr>
          <w:rFonts w:ascii="Cambria" w:hAnsi="Cambria" w:cs="Arial"/>
          <w:color w:val="000000"/>
        </w:rPr>
        <w:t xml:space="preserve">2. </w:t>
      </w:r>
      <w:r w:rsidRPr="009A0DA6">
        <w:rPr>
          <w:rFonts w:ascii="Cambria" w:hAnsi="Cambria" w:cs="Arial"/>
          <w:color w:val="000000"/>
        </w:rPr>
        <w:tab/>
        <w:t xml:space="preserve">Strengthening Lutheran identity </w:t>
      </w:r>
    </w:p>
    <w:p w14:paraId="799E1F12" w14:textId="77777777" w:rsidR="006F210A" w:rsidRPr="009A0DA6" w:rsidRDefault="006F210A" w:rsidP="006F210A">
      <w:pPr>
        <w:autoSpaceDE w:val="0"/>
        <w:autoSpaceDN w:val="0"/>
        <w:adjustRightInd w:val="0"/>
        <w:spacing w:line="240" w:lineRule="auto"/>
        <w:rPr>
          <w:rFonts w:ascii="Cambria" w:hAnsi="Cambria" w:cs="Arial"/>
          <w:color w:val="000000"/>
        </w:rPr>
      </w:pPr>
      <w:r w:rsidRPr="009A0DA6">
        <w:rPr>
          <w:rFonts w:ascii="Cambria" w:hAnsi="Cambria" w:cs="Arial"/>
          <w:color w:val="000000"/>
        </w:rPr>
        <w:t xml:space="preserve">3. </w:t>
      </w:r>
      <w:r w:rsidRPr="009A0DA6">
        <w:rPr>
          <w:rFonts w:ascii="Cambria" w:hAnsi="Cambria" w:cs="Arial"/>
          <w:color w:val="000000"/>
        </w:rPr>
        <w:tab/>
        <w:t xml:space="preserve">Risk oversight (legal, financial, reputational) </w:t>
      </w:r>
    </w:p>
    <w:p w14:paraId="421AF451" w14:textId="77777777" w:rsidR="006F210A" w:rsidRPr="009A0DA6" w:rsidRDefault="006F210A" w:rsidP="006F210A">
      <w:pPr>
        <w:autoSpaceDE w:val="0"/>
        <w:autoSpaceDN w:val="0"/>
        <w:adjustRightInd w:val="0"/>
        <w:spacing w:line="240" w:lineRule="auto"/>
        <w:rPr>
          <w:rFonts w:ascii="Cambria" w:hAnsi="Cambria" w:cs="Arial"/>
          <w:color w:val="000000"/>
        </w:rPr>
      </w:pPr>
      <w:r w:rsidRPr="009A0DA6">
        <w:rPr>
          <w:rFonts w:ascii="Cambria" w:hAnsi="Cambria" w:cs="Arial"/>
          <w:color w:val="000000"/>
        </w:rPr>
        <w:t xml:space="preserve">4. </w:t>
      </w:r>
      <w:r w:rsidRPr="009A0DA6">
        <w:rPr>
          <w:rFonts w:ascii="Cambria" w:hAnsi="Cambria" w:cs="Arial"/>
          <w:color w:val="000000"/>
        </w:rPr>
        <w:tab/>
        <w:t xml:space="preserve">Formation, leadership succession and development </w:t>
      </w:r>
    </w:p>
    <w:p w14:paraId="1F1BAE28" w14:textId="77777777" w:rsidR="006F210A" w:rsidRPr="009A0DA6" w:rsidRDefault="006F210A" w:rsidP="006F210A">
      <w:pPr>
        <w:autoSpaceDE w:val="0"/>
        <w:autoSpaceDN w:val="0"/>
        <w:adjustRightInd w:val="0"/>
        <w:spacing w:line="240" w:lineRule="auto"/>
        <w:rPr>
          <w:rFonts w:ascii="Cambria" w:hAnsi="Cambria" w:cs="Arial"/>
          <w:color w:val="000000"/>
        </w:rPr>
      </w:pPr>
      <w:r w:rsidRPr="009A0DA6">
        <w:rPr>
          <w:rFonts w:ascii="Cambria" w:hAnsi="Cambria" w:cs="Arial"/>
          <w:color w:val="000000"/>
        </w:rPr>
        <w:t xml:space="preserve">5. </w:t>
      </w:r>
      <w:r w:rsidRPr="009A0DA6">
        <w:rPr>
          <w:rFonts w:ascii="Cambria" w:hAnsi="Cambria" w:cs="Arial"/>
          <w:color w:val="000000"/>
        </w:rPr>
        <w:tab/>
        <w:t xml:space="preserve">Culture </w:t>
      </w:r>
    </w:p>
    <w:p w14:paraId="03F4E923" w14:textId="77777777" w:rsidR="006F210A" w:rsidRPr="009A0DA6" w:rsidRDefault="006F210A" w:rsidP="006F210A">
      <w:pPr>
        <w:autoSpaceDE w:val="0"/>
        <w:autoSpaceDN w:val="0"/>
        <w:adjustRightInd w:val="0"/>
        <w:spacing w:line="240" w:lineRule="auto"/>
        <w:rPr>
          <w:rFonts w:ascii="Cambria" w:hAnsi="Cambria" w:cs="Arial"/>
          <w:color w:val="000000"/>
        </w:rPr>
      </w:pPr>
      <w:r w:rsidRPr="009A0DA6">
        <w:rPr>
          <w:rFonts w:ascii="Cambria" w:hAnsi="Cambria" w:cs="Arial"/>
          <w:color w:val="000000"/>
        </w:rPr>
        <w:t xml:space="preserve">The GCC/BLEA Joint Group will engage with the Lutheran education community through a consultation process that: </w:t>
      </w:r>
    </w:p>
    <w:p w14:paraId="65A08475" w14:textId="77777777" w:rsidR="006F210A" w:rsidRPr="009A0DA6" w:rsidRDefault="006F210A" w:rsidP="006F210A">
      <w:pPr>
        <w:pStyle w:val="ListParagraph"/>
        <w:numPr>
          <w:ilvl w:val="0"/>
          <w:numId w:val="243"/>
        </w:numPr>
        <w:tabs>
          <w:tab w:val="clear" w:pos="1440"/>
          <w:tab w:val="num" w:pos="567"/>
        </w:tabs>
        <w:autoSpaceDE w:val="0"/>
        <w:autoSpaceDN w:val="0"/>
        <w:adjustRightInd w:val="0"/>
        <w:spacing w:line="240" w:lineRule="auto"/>
        <w:ind w:left="567" w:hanging="567"/>
        <w:rPr>
          <w:rFonts w:ascii="Cambria" w:hAnsi="Cambria" w:cs="Arial"/>
          <w:color w:val="000000"/>
        </w:rPr>
      </w:pPr>
      <w:r w:rsidRPr="009A0DA6">
        <w:rPr>
          <w:rFonts w:ascii="Cambria" w:hAnsi="Cambria" w:cs="Arial"/>
          <w:color w:val="000000"/>
        </w:rPr>
        <w:t xml:space="preserve">focuses on governance rather than management </w:t>
      </w:r>
    </w:p>
    <w:p w14:paraId="5A0664CE" w14:textId="77777777" w:rsidR="006F210A" w:rsidRPr="009A0DA6" w:rsidRDefault="006F210A" w:rsidP="006F210A">
      <w:pPr>
        <w:pStyle w:val="ListParagraph"/>
        <w:numPr>
          <w:ilvl w:val="0"/>
          <w:numId w:val="243"/>
        </w:numPr>
        <w:tabs>
          <w:tab w:val="clear" w:pos="1440"/>
          <w:tab w:val="num" w:pos="567"/>
        </w:tabs>
        <w:autoSpaceDE w:val="0"/>
        <w:autoSpaceDN w:val="0"/>
        <w:adjustRightInd w:val="0"/>
        <w:spacing w:line="240" w:lineRule="auto"/>
        <w:ind w:left="567" w:hanging="567"/>
        <w:rPr>
          <w:rFonts w:ascii="Cambria" w:hAnsi="Cambria" w:cs="Arial"/>
          <w:color w:val="000000"/>
        </w:rPr>
      </w:pPr>
      <w:r w:rsidRPr="009A0DA6">
        <w:rPr>
          <w:rFonts w:ascii="Cambria" w:hAnsi="Cambria" w:cs="Arial"/>
          <w:color w:val="000000"/>
        </w:rPr>
        <w:t xml:space="preserve">focuses on five key areas as well as how schools are addressing these areas now versus our shared and preferred future </w:t>
      </w:r>
    </w:p>
    <w:p w14:paraId="425606AE" w14:textId="77777777" w:rsidR="006F210A" w:rsidRPr="009A0DA6" w:rsidRDefault="006F210A" w:rsidP="006F210A">
      <w:pPr>
        <w:autoSpaceDE w:val="0"/>
        <w:autoSpaceDN w:val="0"/>
        <w:adjustRightInd w:val="0"/>
        <w:spacing w:line="240" w:lineRule="auto"/>
        <w:rPr>
          <w:rFonts w:ascii="Cambria" w:hAnsi="Cambria" w:cs="Arial"/>
          <w:color w:val="000000"/>
        </w:rPr>
      </w:pPr>
      <w:r w:rsidRPr="009A0DA6">
        <w:rPr>
          <w:rFonts w:ascii="Cambria" w:hAnsi="Cambria" w:cs="Arial"/>
          <w:b/>
          <w:bCs/>
          <w:color w:val="000000"/>
        </w:rPr>
        <w:t xml:space="preserve">Objectives </w:t>
      </w:r>
    </w:p>
    <w:p w14:paraId="794B24DD" w14:textId="77777777" w:rsidR="006F210A" w:rsidRPr="009A0DA6" w:rsidRDefault="006F210A" w:rsidP="006F210A">
      <w:pPr>
        <w:autoSpaceDE w:val="0"/>
        <w:autoSpaceDN w:val="0"/>
        <w:adjustRightInd w:val="0"/>
        <w:spacing w:line="240" w:lineRule="auto"/>
        <w:rPr>
          <w:rFonts w:ascii="Cambria" w:hAnsi="Cambria" w:cs="Arial"/>
          <w:color w:val="000000"/>
        </w:rPr>
      </w:pPr>
      <w:r w:rsidRPr="009A0DA6">
        <w:rPr>
          <w:rFonts w:ascii="Cambria" w:hAnsi="Cambria" w:cs="Arial"/>
          <w:color w:val="000000"/>
        </w:rPr>
        <w:t xml:space="preserve">The primary objective is to address risk in its broadest sense and in terms of all five focus areas. Consultations will consider these focus areas to ensure: </w:t>
      </w:r>
    </w:p>
    <w:p w14:paraId="52D22274" w14:textId="77777777" w:rsidR="006F210A" w:rsidRPr="009A0DA6" w:rsidRDefault="006F210A" w:rsidP="006F210A">
      <w:pPr>
        <w:pStyle w:val="ListParagraph"/>
        <w:numPr>
          <w:ilvl w:val="0"/>
          <w:numId w:val="244"/>
        </w:numPr>
        <w:autoSpaceDE w:val="0"/>
        <w:autoSpaceDN w:val="0"/>
        <w:adjustRightInd w:val="0"/>
        <w:spacing w:line="240" w:lineRule="auto"/>
        <w:ind w:left="567" w:hanging="567"/>
        <w:rPr>
          <w:rFonts w:ascii="Cambria" w:hAnsi="Cambria" w:cs="Arial"/>
          <w:color w:val="000000"/>
        </w:rPr>
      </w:pPr>
      <w:r w:rsidRPr="009A0DA6">
        <w:rPr>
          <w:rFonts w:ascii="Cambria" w:hAnsi="Cambria" w:cs="Arial"/>
          <w:color w:val="000000"/>
        </w:rPr>
        <w:t xml:space="preserve">a viable sustainable Lutheran education system in Australia </w:t>
      </w:r>
    </w:p>
    <w:p w14:paraId="628092D5" w14:textId="77777777" w:rsidR="006F210A" w:rsidRPr="009A0DA6" w:rsidRDefault="006F210A" w:rsidP="006F210A">
      <w:pPr>
        <w:pStyle w:val="ListParagraph"/>
        <w:numPr>
          <w:ilvl w:val="0"/>
          <w:numId w:val="244"/>
        </w:numPr>
        <w:autoSpaceDE w:val="0"/>
        <w:autoSpaceDN w:val="0"/>
        <w:adjustRightInd w:val="0"/>
        <w:spacing w:line="240" w:lineRule="auto"/>
        <w:ind w:left="567" w:hanging="567"/>
        <w:rPr>
          <w:rFonts w:ascii="Cambria" w:hAnsi="Cambria" w:cs="Arial"/>
          <w:color w:val="000000"/>
        </w:rPr>
      </w:pPr>
      <w:r w:rsidRPr="009A0DA6">
        <w:rPr>
          <w:rFonts w:ascii="Cambria" w:hAnsi="Cambria" w:cs="Arial"/>
          <w:color w:val="000000"/>
        </w:rPr>
        <w:t xml:space="preserve">a consistent approach across Lutheran education (for the five focus areas) </w:t>
      </w:r>
    </w:p>
    <w:p w14:paraId="798DD549" w14:textId="77777777" w:rsidR="006F210A" w:rsidRPr="009A0DA6" w:rsidRDefault="006F210A" w:rsidP="006F210A">
      <w:pPr>
        <w:pStyle w:val="ListParagraph"/>
        <w:numPr>
          <w:ilvl w:val="0"/>
          <w:numId w:val="244"/>
        </w:numPr>
        <w:autoSpaceDE w:val="0"/>
        <w:autoSpaceDN w:val="0"/>
        <w:adjustRightInd w:val="0"/>
        <w:spacing w:line="240" w:lineRule="auto"/>
        <w:ind w:left="567" w:hanging="567"/>
        <w:rPr>
          <w:rFonts w:ascii="Cambria" w:hAnsi="Cambria" w:cs="Arial"/>
          <w:color w:val="000000"/>
        </w:rPr>
      </w:pPr>
      <w:r w:rsidRPr="009A0DA6">
        <w:rPr>
          <w:rFonts w:ascii="Cambria" w:hAnsi="Cambria" w:cs="Arial"/>
          <w:color w:val="000000"/>
        </w:rPr>
        <w:t xml:space="preserve">commitment to governance changes to most appropriately and effectively achieve (a) and (b) </w:t>
      </w:r>
    </w:p>
    <w:p w14:paraId="513C3E8A" w14:textId="77777777" w:rsidR="006F210A" w:rsidRPr="009A0DA6" w:rsidRDefault="006F210A" w:rsidP="006F210A">
      <w:pPr>
        <w:autoSpaceDE w:val="0"/>
        <w:autoSpaceDN w:val="0"/>
        <w:adjustRightInd w:val="0"/>
        <w:spacing w:line="240" w:lineRule="auto"/>
        <w:rPr>
          <w:rFonts w:ascii="Cambria" w:hAnsi="Cambria" w:cs="Arial"/>
          <w:color w:val="000000"/>
        </w:rPr>
      </w:pPr>
      <w:r w:rsidRPr="009A0DA6">
        <w:rPr>
          <w:rFonts w:ascii="Cambria" w:hAnsi="Cambria" w:cs="Arial"/>
          <w:color w:val="000000"/>
        </w:rPr>
        <w:t xml:space="preserve">The key aim is to ensure all risk is dealt with appropriately. </w:t>
      </w:r>
    </w:p>
    <w:p w14:paraId="0F381911" w14:textId="77777777" w:rsidR="006F210A" w:rsidRPr="009A0DA6" w:rsidRDefault="006F210A" w:rsidP="006F210A">
      <w:pPr>
        <w:autoSpaceDE w:val="0"/>
        <w:autoSpaceDN w:val="0"/>
        <w:adjustRightInd w:val="0"/>
        <w:spacing w:line="240" w:lineRule="auto"/>
        <w:rPr>
          <w:rFonts w:ascii="Cambria" w:hAnsi="Cambria" w:cs="Arial"/>
          <w:color w:val="000000"/>
        </w:rPr>
      </w:pPr>
      <w:r w:rsidRPr="009A0DA6">
        <w:rPr>
          <w:rFonts w:ascii="Cambria" w:hAnsi="Cambria" w:cs="Arial"/>
          <w:color w:val="000000"/>
        </w:rPr>
        <w:t xml:space="preserve">The consultations will assist in preparing recommendations to be presented to General Synod in October 2018. </w:t>
      </w:r>
    </w:p>
    <w:p w14:paraId="762647FC" w14:textId="77777777" w:rsidR="006F210A" w:rsidRPr="009A0DA6" w:rsidRDefault="006F210A" w:rsidP="006F210A">
      <w:pPr>
        <w:autoSpaceDE w:val="0"/>
        <w:autoSpaceDN w:val="0"/>
        <w:adjustRightInd w:val="0"/>
        <w:spacing w:line="240" w:lineRule="auto"/>
        <w:rPr>
          <w:rFonts w:ascii="Cambria" w:hAnsi="Cambria" w:cs="Arial"/>
          <w:color w:val="000000"/>
        </w:rPr>
      </w:pPr>
      <w:r w:rsidRPr="009A0DA6">
        <w:rPr>
          <w:rFonts w:ascii="Cambria" w:hAnsi="Cambria" w:cs="Arial"/>
          <w:b/>
          <w:bCs/>
          <w:color w:val="000000"/>
        </w:rPr>
        <w:t xml:space="preserve">Stakeholder groups </w:t>
      </w:r>
    </w:p>
    <w:p w14:paraId="35A49232" w14:textId="77777777" w:rsidR="006F210A" w:rsidRPr="009A0DA6" w:rsidRDefault="006F210A" w:rsidP="006F210A">
      <w:pPr>
        <w:autoSpaceDE w:val="0"/>
        <w:autoSpaceDN w:val="0"/>
        <w:adjustRightInd w:val="0"/>
        <w:spacing w:line="240" w:lineRule="auto"/>
        <w:rPr>
          <w:rFonts w:ascii="Cambria" w:hAnsi="Cambria" w:cs="Arial"/>
          <w:color w:val="000000"/>
        </w:rPr>
      </w:pPr>
      <w:r w:rsidRPr="009A0DA6">
        <w:rPr>
          <w:rFonts w:ascii="Cambria" w:hAnsi="Cambria" w:cs="Arial"/>
          <w:color w:val="000000"/>
        </w:rPr>
        <w:t xml:space="preserve">Stakeholder groups for this consultation are not as broad as those used for the first consultations. We have already heard from a wide range of people and the current focus will be on governance at school/district/regional council levels. In order to maximise participation, the consultations will include: </w:t>
      </w:r>
    </w:p>
    <w:p w14:paraId="0589678D" w14:textId="77777777" w:rsidR="006F210A" w:rsidRPr="009A0DA6" w:rsidRDefault="006F210A" w:rsidP="006F210A">
      <w:pPr>
        <w:autoSpaceDE w:val="0"/>
        <w:autoSpaceDN w:val="0"/>
        <w:adjustRightInd w:val="0"/>
        <w:spacing w:line="240" w:lineRule="auto"/>
        <w:ind w:left="709" w:hanging="709"/>
        <w:rPr>
          <w:rFonts w:ascii="Cambria" w:hAnsi="Cambria" w:cs="Arial"/>
          <w:color w:val="000000"/>
        </w:rPr>
      </w:pPr>
      <w:r w:rsidRPr="009A0DA6">
        <w:rPr>
          <w:rFonts w:ascii="Cambria" w:hAnsi="Cambria" w:cs="Arial"/>
          <w:color w:val="000000"/>
        </w:rPr>
        <w:t xml:space="preserve">1. </w:t>
      </w:r>
      <w:r w:rsidRPr="009A0DA6">
        <w:rPr>
          <w:rFonts w:ascii="Cambria" w:hAnsi="Cambria" w:cs="Arial"/>
          <w:color w:val="000000"/>
        </w:rPr>
        <w:tab/>
        <w:t xml:space="preserve">District Church Councils </w:t>
      </w:r>
    </w:p>
    <w:p w14:paraId="03564878" w14:textId="77777777" w:rsidR="006F210A" w:rsidRPr="009A0DA6" w:rsidRDefault="006F210A" w:rsidP="006F210A">
      <w:pPr>
        <w:autoSpaceDE w:val="0"/>
        <w:autoSpaceDN w:val="0"/>
        <w:adjustRightInd w:val="0"/>
        <w:spacing w:line="240" w:lineRule="auto"/>
        <w:ind w:left="709" w:hanging="709"/>
        <w:rPr>
          <w:rFonts w:ascii="Cambria" w:hAnsi="Cambria" w:cs="Arial"/>
          <w:color w:val="000000"/>
        </w:rPr>
      </w:pPr>
      <w:r w:rsidRPr="009A0DA6">
        <w:rPr>
          <w:rFonts w:ascii="Cambria" w:hAnsi="Cambria" w:cs="Arial"/>
          <w:color w:val="000000"/>
        </w:rPr>
        <w:t xml:space="preserve">2. </w:t>
      </w:r>
      <w:r w:rsidRPr="009A0DA6">
        <w:rPr>
          <w:rFonts w:ascii="Cambria" w:hAnsi="Cambria" w:cs="Arial"/>
          <w:color w:val="000000"/>
        </w:rPr>
        <w:tab/>
        <w:t xml:space="preserve">Regional education councils </w:t>
      </w:r>
    </w:p>
    <w:p w14:paraId="2026D892" w14:textId="77777777" w:rsidR="006F210A" w:rsidRPr="009A0DA6" w:rsidRDefault="006F210A" w:rsidP="006F210A">
      <w:pPr>
        <w:autoSpaceDE w:val="0"/>
        <w:autoSpaceDN w:val="0"/>
        <w:adjustRightInd w:val="0"/>
        <w:spacing w:line="240" w:lineRule="auto"/>
        <w:ind w:left="709" w:hanging="709"/>
        <w:rPr>
          <w:rFonts w:ascii="Cambria" w:hAnsi="Cambria" w:cs="Arial"/>
          <w:color w:val="000000"/>
        </w:rPr>
      </w:pPr>
      <w:r w:rsidRPr="009A0DA6">
        <w:rPr>
          <w:rFonts w:ascii="Cambria" w:hAnsi="Cambria" w:cs="Arial"/>
          <w:color w:val="000000"/>
        </w:rPr>
        <w:t xml:space="preserve">3. </w:t>
      </w:r>
      <w:r w:rsidRPr="009A0DA6">
        <w:rPr>
          <w:rFonts w:ascii="Cambria" w:hAnsi="Cambria" w:cs="Arial"/>
          <w:color w:val="000000"/>
        </w:rPr>
        <w:tab/>
        <w:t xml:space="preserve">School council chairs and congregational chairs where relevant </w:t>
      </w:r>
    </w:p>
    <w:p w14:paraId="0D4F1CA1" w14:textId="77777777" w:rsidR="006F210A" w:rsidRPr="009A0DA6" w:rsidRDefault="006F210A" w:rsidP="006F210A">
      <w:pPr>
        <w:autoSpaceDE w:val="0"/>
        <w:autoSpaceDN w:val="0"/>
        <w:adjustRightInd w:val="0"/>
        <w:spacing w:line="240" w:lineRule="auto"/>
        <w:ind w:left="709" w:hanging="709"/>
        <w:rPr>
          <w:rFonts w:ascii="Cambria" w:hAnsi="Cambria" w:cs="Arial"/>
          <w:color w:val="000000"/>
        </w:rPr>
      </w:pPr>
      <w:r w:rsidRPr="009A0DA6">
        <w:rPr>
          <w:rFonts w:ascii="Cambria" w:hAnsi="Cambria" w:cs="Arial"/>
          <w:color w:val="000000"/>
        </w:rPr>
        <w:lastRenderedPageBreak/>
        <w:t xml:space="preserve">4. </w:t>
      </w:r>
      <w:r w:rsidRPr="009A0DA6">
        <w:rPr>
          <w:rFonts w:ascii="Cambria" w:hAnsi="Cambria" w:cs="Arial"/>
          <w:color w:val="000000"/>
        </w:rPr>
        <w:tab/>
        <w:t xml:space="preserve">Principals </w:t>
      </w:r>
    </w:p>
    <w:p w14:paraId="2F09F9D2" w14:textId="77777777" w:rsidR="006F210A" w:rsidRPr="009A0DA6" w:rsidRDefault="006F210A" w:rsidP="006F210A">
      <w:pPr>
        <w:autoSpaceDE w:val="0"/>
        <w:autoSpaceDN w:val="0"/>
        <w:adjustRightInd w:val="0"/>
        <w:spacing w:line="240" w:lineRule="auto"/>
        <w:ind w:left="709" w:hanging="709"/>
        <w:rPr>
          <w:rFonts w:ascii="Cambria" w:hAnsi="Cambria" w:cs="Arial"/>
          <w:color w:val="000000"/>
        </w:rPr>
      </w:pPr>
      <w:r w:rsidRPr="009A0DA6">
        <w:rPr>
          <w:rFonts w:ascii="Cambria" w:hAnsi="Cambria" w:cs="Arial"/>
          <w:color w:val="000000"/>
        </w:rPr>
        <w:t xml:space="preserve">5. </w:t>
      </w:r>
      <w:r w:rsidRPr="009A0DA6">
        <w:rPr>
          <w:rFonts w:ascii="Cambria" w:hAnsi="Cambria" w:cs="Arial"/>
          <w:color w:val="000000"/>
        </w:rPr>
        <w:tab/>
        <w:t xml:space="preserve">LEA and regional office staff </w:t>
      </w:r>
    </w:p>
    <w:p w14:paraId="2CC1C302" w14:textId="77777777" w:rsidR="006F210A" w:rsidRPr="009A0DA6" w:rsidRDefault="006F210A" w:rsidP="006F210A">
      <w:pPr>
        <w:autoSpaceDE w:val="0"/>
        <w:autoSpaceDN w:val="0"/>
        <w:adjustRightInd w:val="0"/>
        <w:spacing w:line="240" w:lineRule="auto"/>
        <w:ind w:left="709" w:hanging="709"/>
        <w:rPr>
          <w:rFonts w:ascii="Cambria" w:hAnsi="Cambria" w:cs="Arial"/>
          <w:color w:val="000000"/>
        </w:rPr>
      </w:pPr>
      <w:r w:rsidRPr="009A0DA6">
        <w:rPr>
          <w:rFonts w:ascii="Cambria" w:hAnsi="Cambria" w:cs="Arial"/>
          <w:color w:val="000000"/>
        </w:rPr>
        <w:t xml:space="preserve">6. </w:t>
      </w:r>
      <w:r w:rsidRPr="009A0DA6">
        <w:rPr>
          <w:rFonts w:ascii="Cambria" w:hAnsi="Cambria" w:cs="Arial"/>
          <w:color w:val="000000"/>
        </w:rPr>
        <w:tab/>
        <w:t xml:space="preserve">LLL staff </w:t>
      </w:r>
    </w:p>
    <w:p w14:paraId="2062F5C6" w14:textId="77777777" w:rsidR="006F210A" w:rsidRPr="009A0DA6" w:rsidRDefault="006F210A" w:rsidP="006F210A">
      <w:pPr>
        <w:autoSpaceDE w:val="0"/>
        <w:autoSpaceDN w:val="0"/>
        <w:adjustRightInd w:val="0"/>
        <w:spacing w:line="240" w:lineRule="auto"/>
        <w:ind w:left="709" w:hanging="709"/>
        <w:rPr>
          <w:rFonts w:ascii="Cambria" w:hAnsi="Cambria" w:cs="Arial"/>
          <w:color w:val="000000"/>
        </w:rPr>
      </w:pPr>
      <w:r w:rsidRPr="009A0DA6">
        <w:rPr>
          <w:rFonts w:ascii="Cambria" w:hAnsi="Cambria" w:cs="Arial"/>
          <w:color w:val="000000"/>
        </w:rPr>
        <w:t xml:space="preserve">7. </w:t>
      </w:r>
      <w:r w:rsidRPr="009A0DA6">
        <w:rPr>
          <w:rFonts w:ascii="Cambria" w:hAnsi="Cambria" w:cs="Arial"/>
          <w:color w:val="000000"/>
        </w:rPr>
        <w:tab/>
        <w:t xml:space="preserve">ALC board </w:t>
      </w:r>
    </w:p>
    <w:p w14:paraId="0F7B82CD" w14:textId="77777777" w:rsidR="006F210A" w:rsidRPr="009A0DA6" w:rsidRDefault="006F210A" w:rsidP="006F210A">
      <w:pPr>
        <w:autoSpaceDE w:val="0"/>
        <w:autoSpaceDN w:val="0"/>
        <w:adjustRightInd w:val="0"/>
        <w:spacing w:line="240" w:lineRule="auto"/>
        <w:rPr>
          <w:rFonts w:ascii="Cambria" w:hAnsi="Cambria" w:cs="Arial"/>
          <w:color w:val="000000"/>
        </w:rPr>
      </w:pPr>
      <w:r w:rsidRPr="009A0DA6">
        <w:rPr>
          <w:rFonts w:ascii="Cambria" w:hAnsi="Cambria" w:cs="Arial"/>
          <w:color w:val="000000"/>
        </w:rPr>
        <w:t xml:space="preserve">This round of consultations will not include the early childhood sector since its voice has already been clearly heard. </w:t>
      </w:r>
    </w:p>
    <w:p w14:paraId="1055AC19" w14:textId="77777777" w:rsidR="006F210A" w:rsidRPr="009A0DA6" w:rsidRDefault="006F210A" w:rsidP="006F210A">
      <w:pPr>
        <w:autoSpaceDE w:val="0"/>
        <w:autoSpaceDN w:val="0"/>
        <w:adjustRightInd w:val="0"/>
        <w:spacing w:line="240" w:lineRule="auto"/>
        <w:rPr>
          <w:rFonts w:ascii="Cambria" w:hAnsi="Cambria" w:cs="Arial"/>
          <w:b/>
          <w:color w:val="000000"/>
        </w:rPr>
      </w:pPr>
      <w:r w:rsidRPr="009A0DA6">
        <w:rPr>
          <w:rFonts w:ascii="Cambria" w:hAnsi="Cambria" w:cs="Arial"/>
          <w:b/>
          <w:color w:val="000000"/>
        </w:rPr>
        <w:t>Consultation process</w:t>
      </w:r>
    </w:p>
    <w:p w14:paraId="41B7E258" w14:textId="77777777" w:rsidR="006F210A" w:rsidRPr="009A0DA6" w:rsidRDefault="006F210A" w:rsidP="006F210A">
      <w:pPr>
        <w:autoSpaceDE w:val="0"/>
        <w:autoSpaceDN w:val="0"/>
        <w:adjustRightInd w:val="0"/>
        <w:spacing w:line="240" w:lineRule="auto"/>
        <w:rPr>
          <w:rFonts w:ascii="Cambria" w:hAnsi="Cambria" w:cs="Arial"/>
          <w:color w:val="000000"/>
        </w:rPr>
      </w:pPr>
      <w:r w:rsidRPr="009A0DA6">
        <w:rPr>
          <w:rFonts w:ascii="Cambria" w:hAnsi="Cambria" w:cs="Arial"/>
          <w:color w:val="000000"/>
        </w:rPr>
        <w:t xml:space="preserve">Individual consultations will be led by at least two members of the Joint Group. It is expected each consultation will last 1.5-2 hours. </w:t>
      </w:r>
    </w:p>
    <w:p w14:paraId="46732AB3" w14:textId="77777777" w:rsidR="006F210A" w:rsidRPr="009A0DA6" w:rsidRDefault="006F210A" w:rsidP="006F210A">
      <w:pPr>
        <w:autoSpaceDE w:val="0"/>
        <w:autoSpaceDN w:val="0"/>
        <w:adjustRightInd w:val="0"/>
        <w:spacing w:line="240" w:lineRule="auto"/>
        <w:rPr>
          <w:rFonts w:ascii="Cambria" w:hAnsi="Cambria" w:cs="Arial"/>
          <w:color w:val="000000"/>
        </w:rPr>
      </w:pPr>
      <w:r w:rsidRPr="009A0DA6">
        <w:rPr>
          <w:rFonts w:ascii="Cambria" w:hAnsi="Cambria" w:cs="Arial"/>
          <w:color w:val="000000"/>
        </w:rPr>
        <w:t xml:space="preserve">Consultations will be a listening exercise to ensure all stakeholders have the opportunity to be heard. It is essential that governance leaders are fully heard. </w:t>
      </w:r>
    </w:p>
    <w:p w14:paraId="26C5B6AB" w14:textId="77777777" w:rsidR="00E40C28" w:rsidRDefault="00E40C28" w:rsidP="006F210A">
      <w:pPr>
        <w:autoSpaceDE w:val="0"/>
        <w:autoSpaceDN w:val="0"/>
        <w:adjustRightInd w:val="0"/>
        <w:spacing w:line="240" w:lineRule="auto"/>
        <w:rPr>
          <w:rFonts w:ascii="Cambria" w:hAnsi="Cambria" w:cs="Arial"/>
          <w:color w:val="000000"/>
        </w:rPr>
      </w:pPr>
    </w:p>
    <w:p w14:paraId="0B6A8B59" w14:textId="42E00251" w:rsidR="006F210A" w:rsidRPr="009A0DA6" w:rsidRDefault="006F210A" w:rsidP="006F210A">
      <w:pPr>
        <w:autoSpaceDE w:val="0"/>
        <w:autoSpaceDN w:val="0"/>
        <w:adjustRightInd w:val="0"/>
        <w:spacing w:line="240" w:lineRule="auto"/>
        <w:rPr>
          <w:rFonts w:ascii="Cambria" w:hAnsi="Cambria" w:cs="Arial"/>
          <w:color w:val="000000"/>
        </w:rPr>
      </w:pPr>
      <w:r w:rsidRPr="009A0DA6">
        <w:rPr>
          <w:rFonts w:ascii="Cambria" w:hAnsi="Cambria" w:cs="Arial"/>
          <w:color w:val="000000"/>
        </w:rPr>
        <w:t xml:space="preserve">The GCC/BLEA Joint Group looks forward to listening to your views as we work together for a preferred future for the governance and administration of Lutheran education. </w:t>
      </w:r>
    </w:p>
    <w:p w14:paraId="1170794D" w14:textId="77777777" w:rsidR="006F210A" w:rsidRPr="009A0DA6" w:rsidRDefault="006F210A" w:rsidP="006F210A">
      <w:pPr>
        <w:autoSpaceDE w:val="0"/>
        <w:autoSpaceDN w:val="0"/>
        <w:adjustRightInd w:val="0"/>
        <w:spacing w:line="240" w:lineRule="auto"/>
        <w:rPr>
          <w:rFonts w:ascii="Cambria" w:hAnsi="Cambria" w:cs="Arial"/>
          <w:color w:val="000000"/>
        </w:rPr>
      </w:pPr>
      <w:r w:rsidRPr="009A0DA6">
        <w:rPr>
          <w:rFonts w:ascii="Cambria" w:hAnsi="Cambria" w:cs="Arial"/>
          <w:color w:val="000000"/>
        </w:rPr>
        <w:t xml:space="preserve">Pre-reading materials and key questions will be provided to stakeholder groups at least one week prior to their consultation date. </w:t>
      </w:r>
    </w:p>
    <w:p w14:paraId="22EA39A5" w14:textId="77777777" w:rsidR="006F210A" w:rsidRPr="009A0DA6" w:rsidRDefault="006F210A" w:rsidP="006F210A">
      <w:pPr>
        <w:autoSpaceDE w:val="0"/>
        <w:autoSpaceDN w:val="0"/>
        <w:adjustRightInd w:val="0"/>
        <w:spacing w:line="240" w:lineRule="auto"/>
        <w:rPr>
          <w:rFonts w:ascii="Cambria" w:hAnsi="Cambria" w:cs="Arial"/>
          <w:color w:val="000000"/>
        </w:rPr>
      </w:pPr>
      <w:r w:rsidRPr="009A0DA6">
        <w:rPr>
          <w:rFonts w:ascii="Cambria" w:hAnsi="Cambria" w:cs="Arial"/>
          <w:color w:val="000000"/>
        </w:rPr>
        <w:t xml:space="preserve">If you have any queries or concerns, please email the Joint Group at gccblea@lca.org.au. </w:t>
      </w:r>
    </w:p>
    <w:p w14:paraId="0EB22B0A" w14:textId="77777777" w:rsidR="006F210A" w:rsidRPr="009A0DA6" w:rsidRDefault="006F210A" w:rsidP="006F210A">
      <w:pPr>
        <w:autoSpaceDE w:val="0"/>
        <w:autoSpaceDN w:val="0"/>
        <w:adjustRightInd w:val="0"/>
        <w:spacing w:line="240" w:lineRule="auto"/>
        <w:rPr>
          <w:rFonts w:ascii="Cambria" w:hAnsi="Cambria" w:cs="Arial"/>
          <w:color w:val="000000"/>
        </w:rPr>
      </w:pPr>
      <w:r w:rsidRPr="009A0DA6">
        <w:rPr>
          <w:rFonts w:ascii="Cambria" w:hAnsi="Cambria" w:cs="Arial"/>
          <w:color w:val="000000"/>
        </w:rPr>
        <w:t xml:space="preserve">We thank you for your continued contributions to the LCA and Lutheran education. </w:t>
      </w:r>
    </w:p>
    <w:p w14:paraId="6429C5AB" w14:textId="77777777" w:rsidR="006F210A" w:rsidRPr="009A0DA6" w:rsidRDefault="006F210A" w:rsidP="006F210A">
      <w:pPr>
        <w:autoSpaceDE w:val="0"/>
        <w:autoSpaceDN w:val="0"/>
        <w:adjustRightInd w:val="0"/>
        <w:spacing w:line="240" w:lineRule="auto"/>
        <w:rPr>
          <w:rFonts w:ascii="Cambria" w:hAnsi="Cambria" w:cs="Arial"/>
          <w:color w:val="000000"/>
        </w:rPr>
      </w:pPr>
      <w:r w:rsidRPr="009A0DA6">
        <w:rPr>
          <w:rFonts w:ascii="Cambria" w:hAnsi="Cambria" w:cs="Arial"/>
          <w:color w:val="000000"/>
        </w:rPr>
        <w:t xml:space="preserve">In the name of our Lord and Saviour Jesus Christ </w:t>
      </w:r>
    </w:p>
    <w:p w14:paraId="31912350" w14:textId="77777777" w:rsidR="006F210A" w:rsidRPr="009A0DA6" w:rsidRDefault="006F210A" w:rsidP="006F210A">
      <w:pPr>
        <w:autoSpaceDE w:val="0"/>
        <w:autoSpaceDN w:val="0"/>
        <w:adjustRightInd w:val="0"/>
        <w:spacing w:after="0" w:line="240" w:lineRule="auto"/>
        <w:rPr>
          <w:rFonts w:ascii="Cambria" w:hAnsi="Cambria" w:cs="Arial"/>
          <w:b/>
          <w:bCs/>
          <w:color w:val="000000"/>
        </w:rPr>
      </w:pPr>
    </w:p>
    <w:p w14:paraId="28048703" w14:textId="77777777" w:rsidR="006F210A" w:rsidRPr="009A0DA6" w:rsidRDefault="006F210A" w:rsidP="006F210A">
      <w:pPr>
        <w:autoSpaceDE w:val="0"/>
        <w:autoSpaceDN w:val="0"/>
        <w:adjustRightInd w:val="0"/>
        <w:spacing w:after="0" w:line="240" w:lineRule="auto"/>
        <w:rPr>
          <w:rFonts w:ascii="Cambria" w:hAnsi="Cambria" w:cs="Arial"/>
          <w:color w:val="000000"/>
        </w:rPr>
      </w:pPr>
      <w:r w:rsidRPr="009A0DA6">
        <w:rPr>
          <w:rFonts w:ascii="Cambria" w:hAnsi="Cambria" w:cs="Arial"/>
          <w:b/>
          <w:bCs/>
          <w:color w:val="000000"/>
        </w:rPr>
        <w:t xml:space="preserve">Rev John Henderson </w:t>
      </w:r>
      <w:r w:rsidRPr="009A0DA6">
        <w:rPr>
          <w:rFonts w:ascii="Cambria" w:hAnsi="Cambria" w:cs="Arial"/>
          <w:b/>
          <w:bCs/>
          <w:color w:val="000000"/>
        </w:rPr>
        <w:tab/>
      </w:r>
      <w:r w:rsidRPr="009A0DA6">
        <w:rPr>
          <w:rFonts w:ascii="Cambria" w:hAnsi="Cambria" w:cs="Arial"/>
          <w:b/>
          <w:bCs/>
          <w:color w:val="000000"/>
        </w:rPr>
        <w:tab/>
      </w:r>
      <w:r w:rsidRPr="009A0DA6">
        <w:rPr>
          <w:rFonts w:ascii="Cambria" w:hAnsi="Cambria" w:cs="Arial"/>
          <w:b/>
          <w:bCs/>
          <w:color w:val="000000"/>
        </w:rPr>
        <w:tab/>
      </w:r>
      <w:r w:rsidRPr="009A0DA6">
        <w:rPr>
          <w:rFonts w:ascii="Cambria" w:hAnsi="Cambria" w:cs="Arial"/>
          <w:b/>
          <w:bCs/>
          <w:color w:val="000000"/>
        </w:rPr>
        <w:tab/>
        <w:t xml:space="preserve">Dr Neville Highett </w:t>
      </w:r>
    </w:p>
    <w:p w14:paraId="50BC347D" w14:textId="77777777" w:rsidR="006F210A" w:rsidRPr="009A0DA6" w:rsidRDefault="006F210A" w:rsidP="006F210A">
      <w:pPr>
        <w:autoSpaceDE w:val="0"/>
        <w:autoSpaceDN w:val="0"/>
        <w:adjustRightInd w:val="0"/>
        <w:spacing w:after="0" w:line="240" w:lineRule="auto"/>
        <w:rPr>
          <w:rFonts w:ascii="Cambria" w:hAnsi="Cambria" w:cs="Arial"/>
          <w:color w:val="000000"/>
        </w:rPr>
      </w:pPr>
      <w:r w:rsidRPr="009A0DA6">
        <w:rPr>
          <w:rFonts w:ascii="Cambria" w:hAnsi="Cambria" w:cs="Arial"/>
          <w:b/>
          <w:bCs/>
          <w:color w:val="000000"/>
        </w:rPr>
        <w:t xml:space="preserve">Bishop </w:t>
      </w:r>
      <w:r w:rsidRPr="009A0DA6">
        <w:rPr>
          <w:rFonts w:ascii="Cambria" w:hAnsi="Cambria" w:cs="Arial"/>
          <w:b/>
          <w:bCs/>
          <w:color w:val="000000"/>
        </w:rPr>
        <w:tab/>
      </w:r>
      <w:r w:rsidRPr="009A0DA6">
        <w:rPr>
          <w:rFonts w:ascii="Cambria" w:hAnsi="Cambria" w:cs="Arial"/>
          <w:b/>
          <w:bCs/>
          <w:color w:val="000000"/>
        </w:rPr>
        <w:tab/>
      </w:r>
      <w:r w:rsidRPr="009A0DA6">
        <w:rPr>
          <w:rFonts w:ascii="Cambria" w:hAnsi="Cambria" w:cs="Arial"/>
          <w:b/>
          <w:bCs/>
          <w:color w:val="000000"/>
        </w:rPr>
        <w:tab/>
      </w:r>
      <w:r w:rsidRPr="009A0DA6">
        <w:rPr>
          <w:rFonts w:ascii="Cambria" w:hAnsi="Cambria" w:cs="Arial"/>
          <w:b/>
          <w:bCs/>
          <w:color w:val="000000"/>
        </w:rPr>
        <w:tab/>
      </w:r>
      <w:r w:rsidRPr="009A0DA6">
        <w:rPr>
          <w:rFonts w:ascii="Cambria" w:hAnsi="Cambria" w:cs="Arial"/>
          <w:b/>
          <w:bCs/>
          <w:color w:val="000000"/>
        </w:rPr>
        <w:tab/>
        <w:t xml:space="preserve">Chair </w:t>
      </w:r>
    </w:p>
    <w:p w14:paraId="5F36744D" w14:textId="77777777" w:rsidR="006F210A" w:rsidRPr="009A0DA6" w:rsidRDefault="006F210A" w:rsidP="006F210A">
      <w:pPr>
        <w:autoSpaceDE w:val="0"/>
        <w:autoSpaceDN w:val="0"/>
        <w:adjustRightInd w:val="0"/>
        <w:spacing w:after="0" w:line="240" w:lineRule="auto"/>
        <w:rPr>
          <w:rFonts w:ascii="Cambria" w:hAnsi="Cambria" w:cs="Arial"/>
          <w:color w:val="000000"/>
          <w:sz w:val="8"/>
        </w:rPr>
      </w:pPr>
      <w:r w:rsidRPr="009A0DA6">
        <w:rPr>
          <w:rFonts w:ascii="Cambria" w:hAnsi="Cambria" w:cs="Arial"/>
          <w:b/>
          <w:bCs/>
          <w:color w:val="000000"/>
        </w:rPr>
        <w:t xml:space="preserve">Lutheran Church of Australia </w:t>
      </w:r>
      <w:r w:rsidRPr="009A0DA6">
        <w:rPr>
          <w:rFonts w:ascii="Cambria" w:hAnsi="Cambria" w:cs="Arial"/>
          <w:b/>
          <w:bCs/>
          <w:color w:val="000000"/>
        </w:rPr>
        <w:tab/>
      </w:r>
      <w:r w:rsidRPr="009A0DA6">
        <w:rPr>
          <w:rFonts w:ascii="Cambria" w:hAnsi="Cambria" w:cs="Arial"/>
          <w:b/>
          <w:bCs/>
          <w:color w:val="000000"/>
        </w:rPr>
        <w:tab/>
        <w:t xml:space="preserve">Board for Lutheran Education Australia </w:t>
      </w:r>
      <w:r w:rsidRPr="009A0DA6">
        <w:rPr>
          <w:rFonts w:ascii="Cambria" w:hAnsi="Cambria" w:cs="Arial"/>
          <w:b/>
          <w:bCs/>
          <w:color w:val="000000"/>
        </w:rPr>
        <w:br/>
      </w:r>
    </w:p>
    <w:p w14:paraId="4718A675" w14:textId="77777777" w:rsidR="006F210A" w:rsidRPr="009A0DA6" w:rsidRDefault="006F210A" w:rsidP="006F210A">
      <w:pPr>
        <w:spacing w:line="240" w:lineRule="auto"/>
        <w:rPr>
          <w:rFonts w:ascii="Cambria" w:hAnsi="Cambria" w:cs="Arial"/>
          <w:b/>
          <w:bCs/>
          <w:color w:val="000000"/>
        </w:rPr>
      </w:pPr>
      <w:r w:rsidRPr="009A0DA6">
        <w:rPr>
          <w:rFonts w:ascii="Cambria" w:hAnsi="Cambria" w:cs="Arial"/>
          <w:b/>
          <w:bCs/>
          <w:color w:val="000000"/>
        </w:rPr>
        <w:t>November 2017</w:t>
      </w:r>
    </w:p>
    <w:p w14:paraId="17B6B358" w14:textId="77777777" w:rsidR="006F210A" w:rsidRPr="009A0DA6" w:rsidRDefault="006F210A" w:rsidP="006F210A">
      <w:pPr>
        <w:spacing w:line="240" w:lineRule="auto"/>
        <w:rPr>
          <w:rFonts w:ascii="Cambria" w:hAnsi="Cambria" w:cs="Arial"/>
          <w:b/>
          <w:bCs/>
          <w:color w:val="000000"/>
        </w:rPr>
      </w:pPr>
    </w:p>
    <w:p w14:paraId="570AEC77" w14:textId="77777777" w:rsidR="006F210A" w:rsidRPr="009A0DA6" w:rsidRDefault="006F210A" w:rsidP="006F210A">
      <w:pPr>
        <w:pStyle w:val="Subtitle"/>
      </w:pPr>
      <w:r w:rsidRPr="009A0DA6">
        <w:t>Lutheran Education Australia Ltd</w:t>
      </w:r>
    </w:p>
    <w:p w14:paraId="591E8598" w14:textId="77777777" w:rsidR="006F210A" w:rsidRPr="009A0DA6" w:rsidRDefault="006F210A" w:rsidP="006F210A">
      <w:pPr>
        <w:pStyle w:val="Subtitle"/>
        <w:rPr>
          <w:rFonts w:cs="Arial-BoldMT"/>
        </w:rPr>
      </w:pPr>
      <w:r w:rsidRPr="009A0DA6">
        <w:t xml:space="preserve">CONSTITUTION </w:t>
      </w:r>
      <w:r w:rsidRPr="009A0DA6">
        <w:rPr>
          <w:rFonts w:cs="Arial-BoldMT"/>
        </w:rPr>
        <w:t>EXTRACT</w:t>
      </w:r>
    </w:p>
    <w:p w14:paraId="02F7F56F" w14:textId="77777777" w:rsidR="006F210A" w:rsidRPr="009A0DA6" w:rsidRDefault="006F210A" w:rsidP="006F210A">
      <w:pPr>
        <w:autoSpaceDE w:val="0"/>
        <w:autoSpaceDN w:val="0"/>
        <w:adjustRightInd w:val="0"/>
        <w:spacing w:line="240" w:lineRule="auto"/>
        <w:rPr>
          <w:rFonts w:ascii="Cambria" w:hAnsi="Cambria" w:cs="Arial"/>
          <w:i/>
          <w:iCs/>
          <w:color w:val="000000"/>
        </w:rPr>
      </w:pPr>
      <w:r w:rsidRPr="009A0DA6">
        <w:rPr>
          <w:rFonts w:ascii="Cambria" w:hAnsi="Cambria" w:cs="Arial"/>
          <w:i/>
          <w:iCs/>
          <w:color w:val="000000"/>
        </w:rPr>
        <w:t xml:space="preserve">Lutheran Education Australia Limited </w:t>
      </w:r>
      <w:r w:rsidRPr="009A0DA6">
        <w:rPr>
          <w:rFonts w:ascii="Cambria" w:hAnsi="Cambria" w:cs="Arial"/>
          <w:i/>
          <w:color w:val="000000"/>
        </w:rPr>
        <w:t>3</w:t>
      </w:r>
      <w:r w:rsidRPr="009A0DA6">
        <w:rPr>
          <w:rFonts w:ascii="Cambria" w:hAnsi="Cambria" w:cs="Arial"/>
          <w:color w:val="000000"/>
        </w:rPr>
        <w:t xml:space="preserve"> </w:t>
      </w:r>
      <w:r w:rsidRPr="009A0DA6">
        <w:rPr>
          <w:rFonts w:ascii="Cambria" w:hAnsi="Cambria" w:cs="Arial"/>
          <w:i/>
          <w:iCs/>
          <w:color w:val="000000"/>
        </w:rPr>
        <w:t>May 2010</w:t>
      </w:r>
    </w:p>
    <w:p w14:paraId="7D8F554C" w14:textId="77777777" w:rsidR="006F210A" w:rsidRPr="009A0DA6" w:rsidRDefault="006F210A" w:rsidP="006F210A">
      <w:pPr>
        <w:autoSpaceDE w:val="0"/>
        <w:autoSpaceDN w:val="0"/>
        <w:adjustRightInd w:val="0"/>
        <w:spacing w:line="240" w:lineRule="auto"/>
        <w:ind w:left="567" w:hanging="567"/>
        <w:rPr>
          <w:rFonts w:ascii="Cambria" w:hAnsi="Cambria" w:cs="Arial"/>
          <w:b/>
          <w:bCs/>
          <w:color w:val="000000"/>
        </w:rPr>
      </w:pPr>
      <w:r w:rsidRPr="009A0DA6">
        <w:rPr>
          <w:rFonts w:ascii="Cambria" w:hAnsi="Cambria" w:cs="Arial"/>
          <w:b/>
          <w:bCs/>
          <w:color w:val="000000"/>
        </w:rPr>
        <w:t xml:space="preserve">2. </w:t>
      </w:r>
      <w:r w:rsidRPr="009A0DA6">
        <w:rPr>
          <w:rFonts w:ascii="Cambria" w:hAnsi="Cambria" w:cs="Arial"/>
          <w:b/>
          <w:bCs/>
          <w:color w:val="000000"/>
        </w:rPr>
        <w:tab/>
        <w:t>Confession</w:t>
      </w:r>
    </w:p>
    <w:p w14:paraId="7EC84ABB" w14:textId="77777777" w:rsidR="006F210A" w:rsidRPr="009A0DA6" w:rsidRDefault="006F210A" w:rsidP="006F210A">
      <w:pPr>
        <w:autoSpaceDE w:val="0"/>
        <w:autoSpaceDN w:val="0"/>
        <w:adjustRightInd w:val="0"/>
        <w:spacing w:line="240" w:lineRule="auto"/>
        <w:ind w:left="567" w:hanging="567"/>
        <w:rPr>
          <w:rFonts w:ascii="Cambria" w:hAnsi="Cambria" w:cs="Arial"/>
          <w:color w:val="000000"/>
        </w:rPr>
      </w:pPr>
      <w:r w:rsidRPr="009A0DA6">
        <w:rPr>
          <w:rFonts w:ascii="Cambria" w:hAnsi="Cambria" w:cs="Arial"/>
          <w:color w:val="000000"/>
        </w:rPr>
        <w:t xml:space="preserve">2.1 </w:t>
      </w:r>
      <w:r w:rsidRPr="009A0DA6">
        <w:rPr>
          <w:rFonts w:ascii="Cambria" w:hAnsi="Cambria" w:cs="Arial"/>
          <w:color w:val="000000"/>
        </w:rPr>
        <w:tab/>
        <w:t>The Company declares that it</w:t>
      </w:r>
    </w:p>
    <w:p w14:paraId="64E7DE18" w14:textId="77777777" w:rsidR="006F210A" w:rsidRPr="009A0DA6" w:rsidRDefault="006F210A" w:rsidP="006F210A">
      <w:pPr>
        <w:autoSpaceDE w:val="0"/>
        <w:autoSpaceDN w:val="0"/>
        <w:adjustRightInd w:val="0"/>
        <w:spacing w:line="240" w:lineRule="auto"/>
        <w:ind w:left="1134" w:hanging="567"/>
        <w:rPr>
          <w:rFonts w:ascii="Cambria" w:hAnsi="Cambria" w:cs="Arial"/>
          <w:color w:val="000000"/>
        </w:rPr>
      </w:pPr>
      <w:r w:rsidRPr="009A0DA6">
        <w:rPr>
          <w:rFonts w:ascii="Cambria" w:hAnsi="Cambria" w:cs="Arial"/>
          <w:color w:val="000000"/>
        </w:rPr>
        <w:t xml:space="preserve">2.1.1 </w:t>
      </w:r>
      <w:r w:rsidRPr="009A0DA6">
        <w:rPr>
          <w:rFonts w:ascii="Cambria" w:hAnsi="Cambria" w:cs="Arial"/>
          <w:color w:val="000000"/>
        </w:rPr>
        <w:tab/>
        <w:t>accepts without reservation the Holy Scriptures of the Old and New Testaments, as a whole and in all their parts, as the divinely inspired, written and inerrant Word of God and as the only infallible source and norm for all matters of faith, doctrine and life;</w:t>
      </w:r>
    </w:p>
    <w:p w14:paraId="2E4029CB" w14:textId="77777777" w:rsidR="006F210A" w:rsidRPr="009A0DA6" w:rsidRDefault="006F210A" w:rsidP="006F210A">
      <w:pPr>
        <w:autoSpaceDE w:val="0"/>
        <w:autoSpaceDN w:val="0"/>
        <w:adjustRightInd w:val="0"/>
        <w:spacing w:line="240" w:lineRule="auto"/>
        <w:ind w:left="1134" w:hanging="567"/>
        <w:rPr>
          <w:rFonts w:ascii="Cambria" w:hAnsi="Cambria" w:cs="Arial"/>
          <w:color w:val="000000"/>
        </w:rPr>
      </w:pPr>
      <w:r w:rsidRPr="009A0DA6">
        <w:rPr>
          <w:rFonts w:ascii="Cambria" w:hAnsi="Cambria" w:cs="Arial"/>
          <w:color w:val="000000"/>
        </w:rPr>
        <w:t xml:space="preserve">2.1.2 </w:t>
      </w:r>
      <w:r w:rsidRPr="009A0DA6">
        <w:rPr>
          <w:rFonts w:ascii="Cambria" w:hAnsi="Cambria" w:cs="Arial"/>
          <w:color w:val="000000"/>
        </w:rPr>
        <w:tab/>
        <w:t>acknowledges and accepts as true expositions of the Word of God and as its own confession all the Symbolical Books of the Evangelical Lutheran Church contained in the Book of Concord of 1580, namely, the three ecumenical creeds: the Apostles’ Creed, the Nicene Creed and the Athanasian Creed; the Unaltered Augsburg Confession; the Apology of the Augsburg Confession; the Smalcald Articles; the Small Catechism of Luther; the Large Catechism of Luther; and the Formula of Concord;</w:t>
      </w:r>
    </w:p>
    <w:p w14:paraId="6E9019E0" w14:textId="77777777" w:rsidR="006F210A" w:rsidRPr="009A0DA6" w:rsidRDefault="006F210A" w:rsidP="006F210A">
      <w:pPr>
        <w:autoSpaceDE w:val="0"/>
        <w:autoSpaceDN w:val="0"/>
        <w:adjustRightInd w:val="0"/>
        <w:spacing w:line="240" w:lineRule="auto"/>
        <w:ind w:left="567" w:hanging="567"/>
        <w:rPr>
          <w:rFonts w:ascii="Cambria" w:hAnsi="Cambria" w:cs="Arial"/>
          <w:color w:val="000000"/>
        </w:rPr>
      </w:pPr>
      <w:r w:rsidRPr="009A0DA6">
        <w:rPr>
          <w:rFonts w:ascii="Cambria" w:hAnsi="Cambria" w:cs="Arial"/>
          <w:color w:val="000000"/>
        </w:rPr>
        <w:lastRenderedPageBreak/>
        <w:t xml:space="preserve">2.2 </w:t>
      </w:r>
      <w:r w:rsidRPr="009A0DA6">
        <w:rPr>
          <w:rFonts w:ascii="Cambria" w:hAnsi="Cambria" w:cs="Arial"/>
          <w:color w:val="000000"/>
        </w:rPr>
        <w:tab/>
        <w:t>All who teach in and administer the affairs of the Company shall be bound to carry out their duties according to this Confession.</w:t>
      </w:r>
    </w:p>
    <w:p w14:paraId="293D8B01" w14:textId="77777777" w:rsidR="006F210A" w:rsidRPr="009A0DA6" w:rsidRDefault="006F210A" w:rsidP="006F210A">
      <w:pPr>
        <w:autoSpaceDE w:val="0"/>
        <w:autoSpaceDN w:val="0"/>
        <w:adjustRightInd w:val="0"/>
        <w:spacing w:line="240" w:lineRule="auto"/>
        <w:ind w:left="567" w:hanging="567"/>
        <w:rPr>
          <w:rFonts w:ascii="Cambria" w:hAnsi="Cambria" w:cs="Arial"/>
          <w:b/>
          <w:bCs/>
          <w:color w:val="000000"/>
        </w:rPr>
      </w:pPr>
      <w:r w:rsidRPr="009A0DA6">
        <w:rPr>
          <w:rFonts w:ascii="Cambria" w:hAnsi="Cambria" w:cs="Arial"/>
          <w:i/>
          <w:iCs/>
          <w:color w:val="000000"/>
        </w:rPr>
        <w:t xml:space="preserve"> </w:t>
      </w:r>
      <w:r w:rsidRPr="009A0DA6">
        <w:rPr>
          <w:rFonts w:ascii="Cambria" w:hAnsi="Cambria" w:cs="Arial"/>
          <w:b/>
          <w:bCs/>
          <w:color w:val="000000"/>
        </w:rPr>
        <w:t xml:space="preserve">3. </w:t>
      </w:r>
      <w:r w:rsidRPr="009A0DA6">
        <w:rPr>
          <w:rFonts w:ascii="Cambria" w:hAnsi="Cambria" w:cs="Arial"/>
          <w:b/>
          <w:bCs/>
          <w:color w:val="000000"/>
        </w:rPr>
        <w:tab/>
        <w:t>Relationship to the Church</w:t>
      </w:r>
    </w:p>
    <w:p w14:paraId="390A7D1B" w14:textId="77777777" w:rsidR="006F210A" w:rsidRPr="009A0DA6" w:rsidRDefault="006F210A" w:rsidP="00E40C28">
      <w:pPr>
        <w:autoSpaceDE w:val="0"/>
        <w:autoSpaceDN w:val="0"/>
        <w:adjustRightInd w:val="0"/>
        <w:spacing w:line="240" w:lineRule="auto"/>
        <w:ind w:left="567" w:hanging="567"/>
        <w:rPr>
          <w:rFonts w:ascii="Cambria" w:hAnsi="Cambria" w:cs="Arial"/>
          <w:color w:val="000000"/>
        </w:rPr>
      </w:pPr>
      <w:r w:rsidRPr="009A0DA6">
        <w:rPr>
          <w:rFonts w:ascii="Cambria" w:hAnsi="Cambria" w:cs="Arial"/>
          <w:color w:val="000000"/>
        </w:rPr>
        <w:t xml:space="preserve">3.1 </w:t>
      </w:r>
      <w:r w:rsidRPr="009A0DA6">
        <w:rPr>
          <w:rFonts w:ascii="Cambria" w:hAnsi="Cambria" w:cs="Arial"/>
          <w:color w:val="000000"/>
        </w:rPr>
        <w:tab/>
        <w:t>The Company declares that all its activities and programs shall always be consistent with and in conformity to the Constitution of the Church.</w:t>
      </w:r>
    </w:p>
    <w:p w14:paraId="626E432F" w14:textId="77777777" w:rsidR="006F210A" w:rsidRPr="009A0DA6" w:rsidRDefault="006F210A" w:rsidP="006F210A">
      <w:pPr>
        <w:autoSpaceDE w:val="0"/>
        <w:autoSpaceDN w:val="0"/>
        <w:adjustRightInd w:val="0"/>
        <w:spacing w:line="240" w:lineRule="auto"/>
        <w:ind w:left="567" w:hanging="567"/>
        <w:rPr>
          <w:rFonts w:ascii="Cambria" w:hAnsi="Cambria" w:cs="Arial"/>
          <w:b/>
          <w:bCs/>
          <w:color w:val="000000"/>
        </w:rPr>
      </w:pPr>
      <w:r w:rsidRPr="009A0DA6">
        <w:rPr>
          <w:rFonts w:ascii="Cambria" w:hAnsi="Cambria" w:cs="Arial"/>
          <w:b/>
          <w:bCs/>
          <w:color w:val="000000"/>
        </w:rPr>
        <w:t xml:space="preserve">4. </w:t>
      </w:r>
      <w:r w:rsidRPr="009A0DA6">
        <w:rPr>
          <w:rFonts w:ascii="Cambria" w:hAnsi="Cambria" w:cs="Arial"/>
          <w:b/>
          <w:bCs/>
          <w:color w:val="000000"/>
        </w:rPr>
        <w:tab/>
        <w:t>Objects</w:t>
      </w:r>
    </w:p>
    <w:p w14:paraId="3B143BC4" w14:textId="77777777" w:rsidR="006F210A" w:rsidRPr="009A0DA6" w:rsidRDefault="006F210A" w:rsidP="006F210A">
      <w:pPr>
        <w:autoSpaceDE w:val="0"/>
        <w:autoSpaceDN w:val="0"/>
        <w:adjustRightInd w:val="0"/>
        <w:spacing w:line="240" w:lineRule="auto"/>
        <w:ind w:left="567" w:hanging="567"/>
        <w:rPr>
          <w:rFonts w:ascii="Cambria" w:hAnsi="Cambria" w:cs="Arial"/>
          <w:color w:val="000000"/>
        </w:rPr>
      </w:pPr>
      <w:r w:rsidRPr="009A0DA6">
        <w:rPr>
          <w:rFonts w:ascii="Cambria" w:hAnsi="Cambria" w:cs="Arial"/>
          <w:color w:val="000000"/>
        </w:rPr>
        <w:t xml:space="preserve">4.1 </w:t>
      </w:r>
      <w:r w:rsidRPr="009A0DA6">
        <w:rPr>
          <w:rFonts w:ascii="Cambria" w:hAnsi="Cambria" w:cs="Arial"/>
          <w:color w:val="000000"/>
        </w:rPr>
        <w:tab/>
        <w:t>The principal object of the Company is to set strategic direction and establish the overall policy environment for the schools of the church and as such it shall</w:t>
      </w:r>
    </w:p>
    <w:p w14:paraId="124591F1" w14:textId="77777777" w:rsidR="006F210A" w:rsidRPr="009A0DA6" w:rsidRDefault="006F210A" w:rsidP="006F210A">
      <w:pPr>
        <w:autoSpaceDE w:val="0"/>
        <w:autoSpaceDN w:val="0"/>
        <w:adjustRightInd w:val="0"/>
        <w:spacing w:line="240" w:lineRule="auto"/>
        <w:ind w:left="1418" w:hanging="851"/>
        <w:rPr>
          <w:rFonts w:ascii="Cambria" w:hAnsi="Cambria" w:cs="Arial"/>
          <w:color w:val="000000"/>
        </w:rPr>
      </w:pPr>
      <w:r w:rsidRPr="009A0DA6">
        <w:rPr>
          <w:rFonts w:ascii="Cambria" w:hAnsi="Cambria" w:cs="Arial"/>
          <w:color w:val="000000"/>
        </w:rPr>
        <w:t xml:space="preserve">4.1.1 </w:t>
      </w:r>
      <w:r w:rsidRPr="009A0DA6">
        <w:rPr>
          <w:rFonts w:ascii="Cambria" w:hAnsi="Cambria" w:cs="Arial"/>
          <w:color w:val="000000"/>
        </w:rPr>
        <w:tab/>
        <w:t>promote Lutheran schools as agencies of Christian education;</w:t>
      </w:r>
    </w:p>
    <w:p w14:paraId="11FC85D2" w14:textId="77777777" w:rsidR="006F210A" w:rsidRPr="009A0DA6" w:rsidRDefault="006F210A" w:rsidP="006F210A">
      <w:pPr>
        <w:autoSpaceDE w:val="0"/>
        <w:autoSpaceDN w:val="0"/>
        <w:adjustRightInd w:val="0"/>
        <w:spacing w:line="240" w:lineRule="auto"/>
        <w:ind w:left="1418" w:hanging="851"/>
        <w:rPr>
          <w:rFonts w:ascii="Cambria" w:hAnsi="Cambria" w:cs="Arial"/>
          <w:color w:val="000000"/>
        </w:rPr>
      </w:pPr>
      <w:r w:rsidRPr="009A0DA6">
        <w:rPr>
          <w:rFonts w:ascii="Cambria" w:hAnsi="Cambria" w:cs="Arial"/>
          <w:color w:val="000000"/>
        </w:rPr>
        <w:t xml:space="preserve">4.1.2 </w:t>
      </w:r>
      <w:r w:rsidRPr="009A0DA6">
        <w:rPr>
          <w:rFonts w:ascii="Cambria" w:hAnsi="Cambria" w:cs="Arial"/>
          <w:color w:val="000000"/>
        </w:rPr>
        <w:tab/>
        <w:t>uphold and safeguard the confessional teachings of the Church, especially as these relate to the nature, purpose and program of schools;</w:t>
      </w:r>
    </w:p>
    <w:p w14:paraId="1FA696C4" w14:textId="77777777" w:rsidR="006F210A" w:rsidRPr="009A0DA6" w:rsidRDefault="006F210A" w:rsidP="006F210A">
      <w:pPr>
        <w:autoSpaceDE w:val="0"/>
        <w:autoSpaceDN w:val="0"/>
        <w:adjustRightInd w:val="0"/>
        <w:spacing w:line="240" w:lineRule="auto"/>
        <w:ind w:left="1418" w:hanging="851"/>
        <w:rPr>
          <w:rFonts w:ascii="Cambria" w:hAnsi="Cambria" w:cs="Arial"/>
          <w:color w:val="000000"/>
        </w:rPr>
      </w:pPr>
      <w:r w:rsidRPr="009A0DA6">
        <w:rPr>
          <w:rFonts w:ascii="Cambria" w:hAnsi="Cambria" w:cs="Arial"/>
          <w:color w:val="000000"/>
        </w:rPr>
        <w:t>4.1.3</w:t>
      </w:r>
      <w:r w:rsidRPr="009A0DA6">
        <w:rPr>
          <w:rFonts w:ascii="Cambria" w:hAnsi="Cambria" w:cs="Arial"/>
          <w:color w:val="000000"/>
        </w:rPr>
        <w:tab/>
        <w:t>provide strategic leadership and support for the schools of the Church in those matters designated as national areas of responsibility as agreed from time to time;</w:t>
      </w:r>
    </w:p>
    <w:p w14:paraId="54F2AFFF" w14:textId="77777777" w:rsidR="006F210A" w:rsidRPr="009A0DA6" w:rsidRDefault="006F210A" w:rsidP="006F210A">
      <w:pPr>
        <w:autoSpaceDE w:val="0"/>
        <w:autoSpaceDN w:val="0"/>
        <w:adjustRightInd w:val="0"/>
        <w:spacing w:line="240" w:lineRule="auto"/>
        <w:ind w:left="1418" w:hanging="851"/>
        <w:rPr>
          <w:rFonts w:ascii="Cambria" w:hAnsi="Cambria" w:cs="Arial"/>
          <w:color w:val="000000"/>
        </w:rPr>
      </w:pPr>
      <w:r w:rsidRPr="009A0DA6">
        <w:rPr>
          <w:rFonts w:ascii="Cambria" w:hAnsi="Cambria" w:cs="Arial"/>
          <w:color w:val="000000"/>
        </w:rPr>
        <w:t xml:space="preserve">4.1.4 </w:t>
      </w:r>
      <w:r w:rsidRPr="009A0DA6">
        <w:rPr>
          <w:rFonts w:ascii="Cambria" w:hAnsi="Cambria" w:cs="Arial"/>
          <w:color w:val="000000"/>
        </w:rPr>
        <w:tab/>
        <w:t>formulate national policy that gives direction to Lutheran schools as agencies of Christian education of the Church;</w:t>
      </w:r>
    </w:p>
    <w:p w14:paraId="7D56BED2" w14:textId="77777777" w:rsidR="006F210A" w:rsidRPr="009A0DA6" w:rsidRDefault="006F210A" w:rsidP="006F210A">
      <w:pPr>
        <w:autoSpaceDE w:val="0"/>
        <w:autoSpaceDN w:val="0"/>
        <w:adjustRightInd w:val="0"/>
        <w:spacing w:line="240" w:lineRule="auto"/>
        <w:ind w:left="1418" w:hanging="851"/>
        <w:rPr>
          <w:rFonts w:ascii="Cambria" w:hAnsi="Cambria" w:cs="Arial"/>
          <w:color w:val="000000"/>
        </w:rPr>
      </w:pPr>
      <w:r w:rsidRPr="009A0DA6">
        <w:rPr>
          <w:rFonts w:ascii="Cambria" w:hAnsi="Cambria" w:cs="Arial"/>
          <w:color w:val="000000"/>
        </w:rPr>
        <w:t xml:space="preserve">4.1.5 </w:t>
      </w:r>
      <w:r w:rsidRPr="009A0DA6">
        <w:rPr>
          <w:rFonts w:ascii="Cambria" w:hAnsi="Cambria" w:cs="Arial"/>
          <w:color w:val="000000"/>
        </w:rPr>
        <w:tab/>
        <w:t>promote, support and ensure the implementation of approved policy and associated procedures in the schools, working through regional structures;</w:t>
      </w:r>
    </w:p>
    <w:p w14:paraId="03E381CB" w14:textId="77777777" w:rsidR="006F210A" w:rsidRPr="009A0DA6" w:rsidRDefault="006F210A" w:rsidP="006F210A">
      <w:pPr>
        <w:autoSpaceDE w:val="0"/>
        <w:autoSpaceDN w:val="0"/>
        <w:adjustRightInd w:val="0"/>
        <w:spacing w:line="240" w:lineRule="auto"/>
        <w:ind w:left="1418" w:hanging="851"/>
        <w:rPr>
          <w:rFonts w:ascii="Cambria" w:hAnsi="Cambria" w:cs="Arial"/>
          <w:color w:val="000000"/>
        </w:rPr>
      </w:pPr>
      <w:r w:rsidRPr="009A0DA6">
        <w:rPr>
          <w:rFonts w:ascii="Cambria" w:hAnsi="Cambria" w:cs="Arial"/>
          <w:color w:val="000000"/>
        </w:rPr>
        <w:t xml:space="preserve">4.1.6 </w:t>
      </w:r>
      <w:r w:rsidRPr="009A0DA6">
        <w:rPr>
          <w:rFonts w:ascii="Cambria" w:hAnsi="Cambria" w:cs="Arial"/>
          <w:color w:val="000000"/>
        </w:rPr>
        <w:tab/>
        <w:t>work in close co-operation with the Church, in particular with the regional organisational arms of Lutheran education and other appropriate departments of the Church;</w:t>
      </w:r>
    </w:p>
    <w:p w14:paraId="49F6F3D4" w14:textId="77777777" w:rsidR="006F210A" w:rsidRPr="009A0DA6" w:rsidRDefault="006F210A" w:rsidP="006F210A">
      <w:pPr>
        <w:autoSpaceDE w:val="0"/>
        <w:autoSpaceDN w:val="0"/>
        <w:adjustRightInd w:val="0"/>
        <w:spacing w:line="240" w:lineRule="auto"/>
        <w:ind w:left="1418" w:hanging="851"/>
        <w:rPr>
          <w:rFonts w:ascii="Cambria" w:hAnsi="Cambria" w:cs="Arial"/>
          <w:color w:val="000000"/>
        </w:rPr>
      </w:pPr>
      <w:r w:rsidRPr="009A0DA6">
        <w:rPr>
          <w:rFonts w:ascii="Cambria" w:hAnsi="Cambria" w:cs="Arial"/>
          <w:color w:val="000000"/>
        </w:rPr>
        <w:t xml:space="preserve">4.1.7 </w:t>
      </w:r>
      <w:r w:rsidRPr="009A0DA6">
        <w:rPr>
          <w:rFonts w:ascii="Cambria" w:hAnsi="Cambria" w:cs="Arial"/>
          <w:color w:val="000000"/>
        </w:rPr>
        <w:tab/>
        <w:t>represent Lutheran schools and regions nationally to the Church, its departments, committees and auxiliaries, and to Australian Lutheran College;</w:t>
      </w:r>
    </w:p>
    <w:p w14:paraId="21F4F6DE" w14:textId="77777777" w:rsidR="006F210A" w:rsidRPr="009A0DA6" w:rsidRDefault="006F210A" w:rsidP="006F210A">
      <w:pPr>
        <w:autoSpaceDE w:val="0"/>
        <w:autoSpaceDN w:val="0"/>
        <w:adjustRightInd w:val="0"/>
        <w:spacing w:line="240" w:lineRule="auto"/>
        <w:ind w:left="1418" w:hanging="851"/>
        <w:rPr>
          <w:rFonts w:ascii="Cambria" w:hAnsi="Cambria" w:cs="Arial"/>
          <w:color w:val="000000"/>
        </w:rPr>
      </w:pPr>
      <w:r w:rsidRPr="009A0DA6">
        <w:rPr>
          <w:rFonts w:ascii="Cambria" w:hAnsi="Cambria" w:cs="Arial"/>
          <w:color w:val="000000"/>
        </w:rPr>
        <w:t xml:space="preserve">4.1.8 </w:t>
      </w:r>
      <w:r w:rsidRPr="009A0DA6">
        <w:rPr>
          <w:rFonts w:ascii="Cambria" w:hAnsi="Cambria" w:cs="Arial"/>
          <w:color w:val="000000"/>
        </w:rPr>
        <w:tab/>
        <w:t>research, make approaches, represent and act on behalf of regions and schools in relation to the Commonwealth government, its departments and government authorities and political parties, respond to Commonwealth government directives and initiatives relating to education and associated matters, and provide representation to national educational bodies where strategic and appropriate;</w:t>
      </w:r>
    </w:p>
    <w:p w14:paraId="4DAF56DF" w14:textId="77777777" w:rsidR="006F210A" w:rsidRPr="009A0DA6" w:rsidRDefault="006F210A" w:rsidP="006F210A">
      <w:pPr>
        <w:autoSpaceDE w:val="0"/>
        <w:autoSpaceDN w:val="0"/>
        <w:adjustRightInd w:val="0"/>
        <w:spacing w:line="240" w:lineRule="auto"/>
        <w:ind w:left="1418" w:hanging="851"/>
        <w:rPr>
          <w:rFonts w:ascii="Cambria" w:hAnsi="Cambria" w:cs="Arial"/>
          <w:color w:val="000000"/>
        </w:rPr>
      </w:pPr>
      <w:r w:rsidRPr="009A0DA6">
        <w:rPr>
          <w:rFonts w:ascii="Cambria" w:hAnsi="Cambria" w:cs="Arial"/>
          <w:color w:val="000000"/>
        </w:rPr>
        <w:t xml:space="preserve">4.1.9 </w:t>
      </w:r>
      <w:r w:rsidRPr="009A0DA6">
        <w:rPr>
          <w:rFonts w:ascii="Cambria" w:hAnsi="Cambria" w:cs="Arial"/>
          <w:color w:val="000000"/>
        </w:rPr>
        <w:tab/>
        <w:t>develop co-operative working relationships with other sectors of education at national level;</w:t>
      </w:r>
    </w:p>
    <w:p w14:paraId="5AA49A01" w14:textId="77777777" w:rsidR="006F210A" w:rsidRPr="009A0DA6" w:rsidRDefault="006F210A" w:rsidP="006F210A">
      <w:pPr>
        <w:autoSpaceDE w:val="0"/>
        <w:autoSpaceDN w:val="0"/>
        <w:adjustRightInd w:val="0"/>
        <w:spacing w:line="240" w:lineRule="auto"/>
        <w:ind w:left="1418" w:hanging="851"/>
        <w:rPr>
          <w:rFonts w:ascii="Cambria" w:hAnsi="Cambria" w:cs="Arial"/>
          <w:color w:val="000000"/>
        </w:rPr>
      </w:pPr>
      <w:r w:rsidRPr="009A0DA6">
        <w:rPr>
          <w:rFonts w:ascii="Cambria" w:hAnsi="Cambria" w:cs="Arial"/>
          <w:color w:val="000000"/>
        </w:rPr>
        <w:t xml:space="preserve">4.1.10 </w:t>
      </w:r>
      <w:r w:rsidRPr="009A0DA6">
        <w:rPr>
          <w:rFonts w:ascii="Cambria" w:hAnsi="Cambria" w:cs="Arial"/>
          <w:color w:val="000000"/>
        </w:rPr>
        <w:tab/>
        <w:t>approve the establishment of new schools and change in function of existing Lutheran schools in consultation with the regions;</w:t>
      </w:r>
    </w:p>
    <w:p w14:paraId="77B4EEE7" w14:textId="77777777" w:rsidR="006F210A" w:rsidRPr="009A0DA6" w:rsidRDefault="006F210A" w:rsidP="006F210A">
      <w:pPr>
        <w:autoSpaceDE w:val="0"/>
        <w:autoSpaceDN w:val="0"/>
        <w:adjustRightInd w:val="0"/>
        <w:spacing w:line="240" w:lineRule="auto"/>
        <w:ind w:left="1418" w:hanging="851"/>
        <w:rPr>
          <w:rFonts w:ascii="Cambria" w:hAnsi="Cambria" w:cs="Arial"/>
          <w:color w:val="000000"/>
        </w:rPr>
      </w:pPr>
      <w:r w:rsidRPr="009A0DA6">
        <w:rPr>
          <w:rFonts w:ascii="Cambria" w:hAnsi="Cambria" w:cs="Arial"/>
          <w:color w:val="000000"/>
        </w:rPr>
        <w:t xml:space="preserve">4.1.11 </w:t>
      </w:r>
      <w:r w:rsidRPr="009A0DA6">
        <w:rPr>
          <w:rFonts w:ascii="Cambria" w:hAnsi="Cambria" w:cs="Arial"/>
          <w:color w:val="000000"/>
        </w:rPr>
        <w:tab/>
        <w:t>develop, coordinate and evaluate the national curriculum in Christian Studies for Lutheran schools, develop resources for, and promote and support the implementation of the Christian Studies curriculum in schools through regional authorities and/or officers;</w:t>
      </w:r>
    </w:p>
    <w:p w14:paraId="733E0C40" w14:textId="77777777" w:rsidR="006F210A" w:rsidRPr="009A0DA6" w:rsidRDefault="006F210A" w:rsidP="006F210A">
      <w:pPr>
        <w:autoSpaceDE w:val="0"/>
        <w:autoSpaceDN w:val="0"/>
        <w:adjustRightInd w:val="0"/>
        <w:spacing w:line="240" w:lineRule="auto"/>
        <w:ind w:left="1418" w:hanging="851"/>
        <w:rPr>
          <w:rFonts w:ascii="Cambria" w:hAnsi="Cambria" w:cs="Arial"/>
          <w:color w:val="000000"/>
        </w:rPr>
      </w:pPr>
      <w:r w:rsidRPr="009A0DA6">
        <w:rPr>
          <w:rFonts w:ascii="Cambria" w:hAnsi="Cambria" w:cs="Arial"/>
          <w:color w:val="000000"/>
        </w:rPr>
        <w:t xml:space="preserve">4.1.12 </w:t>
      </w:r>
      <w:r w:rsidRPr="009A0DA6">
        <w:rPr>
          <w:rFonts w:ascii="Cambria" w:hAnsi="Cambria" w:cs="Arial"/>
          <w:color w:val="000000"/>
        </w:rPr>
        <w:tab/>
        <w:t>ensure that recruitment and staffing strategies, and leadership development programs are in place to meet the needs of Lutheran schools, that accreditation requirements in accordance with policies of the Church are implemented, and that a staff database is maintained and national conferences convened to promote the welfare of those who work in Lutheran schools;</w:t>
      </w:r>
    </w:p>
    <w:p w14:paraId="2E68E8AA" w14:textId="77777777" w:rsidR="006F210A" w:rsidRPr="009A0DA6" w:rsidRDefault="006F210A" w:rsidP="006F210A">
      <w:pPr>
        <w:autoSpaceDE w:val="0"/>
        <w:autoSpaceDN w:val="0"/>
        <w:adjustRightInd w:val="0"/>
        <w:spacing w:line="240" w:lineRule="auto"/>
        <w:ind w:left="1418" w:hanging="851"/>
        <w:rPr>
          <w:rFonts w:ascii="Cambria" w:hAnsi="Cambria" w:cs="Arial"/>
          <w:color w:val="000000"/>
        </w:rPr>
      </w:pPr>
      <w:r w:rsidRPr="009A0DA6">
        <w:rPr>
          <w:rFonts w:ascii="Cambria" w:hAnsi="Cambria" w:cs="Arial"/>
          <w:color w:val="000000"/>
        </w:rPr>
        <w:t xml:space="preserve">4.1.13 </w:t>
      </w:r>
      <w:r w:rsidRPr="009A0DA6">
        <w:rPr>
          <w:rFonts w:ascii="Cambria" w:hAnsi="Cambria" w:cs="Arial"/>
          <w:color w:val="000000"/>
        </w:rPr>
        <w:tab/>
        <w:t>ensure income for the operation of the Company by means of annual levies or other means from Lutheran schools;</w:t>
      </w:r>
    </w:p>
    <w:p w14:paraId="09B28D84" w14:textId="77777777" w:rsidR="006F210A" w:rsidRPr="009A0DA6" w:rsidRDefault="006F210A" w:rsidP="006F210A">
      <w:pPr>
        <w:autoSpaceDE w:val="0"/>
        <w:autoSpaceDN w:val="0"/>
        <w:adjustRightInd w:val="0"/>
        <w:spacing w:line="240" w:lineRule="auto"/>
        <w:ind w:left="1418" w:hanging="851"/>
        <w:rPr>
          <w:rFonts w:ascii="Cambria" w:hAnsi="Cambria" w:cs="Arial"/>
          <w:color w:val="000000"/>
        </w:rPr>
      </w:pPr>
      <w:r w:rsidRPr="009A0DA6">
        <w:rPr>
          <w:rFonts w:ascii="Cambria" w:hAnsi="Cambria" w:cs="Arial"/>
          <w:color w:val="000000"/>
        </w:rPr>
        <w:lastRenderedPageBreak/>
        <w:t xml:space="preserve">4.1.14 </w:t>
      </w:r>
      <w:r w:rsidRPr="009A0DA6">
        <w:rPr>
          <w:rFonts w:ascii="Cambria" w:hAnsi="Cambria" w:cs="Arial"/>
          <w:color w:val="000000"/>
        </w:rPr>
        <w:tab/>
        <w:t>undertake, develop and maintain key relationships with international Lutheran schools and education systems, considering compatibility with the Church’s international relationships and programs, and the global focus of Lutheran schools; and</w:t>
      </w:r>
    </w:p>
    <w:p w14:paraId="21EBA692" w14:textId="77777777" w:rsidR="006F210A" w:rsidRPr="009A0DA6" w:rsidRDefault="006F210A" w:rsidP="006F210A">
      <w:pPr>
        <w:autoSpaceDE w:val="0"/>
        <w:autoSpaceDN w:val="0"/>
        <w:adjustRightInd w:val="0"/>
        <w:spacing w:line="240" w:lineRule="auto"/>
        <w:ind w:left="1418" w:hanging="851"/>
        <w:rPr>
          <w:rFonts w:ascii="Cambria" w:hAnsi="Cambria" w:cs="Arial"/>
          <w:color w:val="000000"/>
        </w:rPr>
      </w:pPr>
      <w:r w:rsidRPr="009A0DA6">
        <w:rPr>
          <w:rFonts w:ascii="Cambria" w:hAnsi="Cambria" w:cs="Arial"/>
          <w:color w:val="000000"/>
        </w:rPr>
        <w:t xml:space="preserve">4.1.15 </w:t>
      </w:r>
      <w:r w:rsidRPr="009A0DA6">
        <w:rPr>
          <w:rFonts w:ascii="Cambria" w:hAnsi="Cambria" w:cs="Arial"/>
          <w:color w:val="000000"/>
        </w:rPr>
        <w:tab/>
        <w:t>undertake other activities related to those matters designated as national areas of responsibility or as agreed with the regions.</w:t>
      </w:r>
    </w:p>
    <w:p w14:paraId="6861E98E" w14:textId="77777777" w:rsidR="006F210A" w:rsidRPr="009A0DA6" w:rsidRDefault="006F210A" w:rsidP="006F210A">
      <w:pPr>
        <w:autoSpaceDE w:val="0"/>
        <w:autoSpaceDN w:val="0"/>
        <w:adjustRightInd w:val="0"/>
        <w:spacing w:line="240" w:lineRule="auto"/>
        <w:ind w:firstLine="567"/>
        <w:rPr>
          <w:rFonts w:ascii="Cambria" w:hAnsi="Cambria" w:cs="Arial"/>
          <w:color w:val="000000"/>
        </w:rPr>
      </w:pPr>
      <w:r w:rsidRPr="009A0DA6">
        <w:rPr>
          <w:rFonts w:ascii="Cambria" w:hAnsi="Cambria" w:cs="Arial"/>
          <w:color w:val="000000"/>
        </w:rPr>
        <w:t>The Company has all of the capacities and powers conferred by Section 124 of the Act.</w:t>
      </w:r>
    </w:p>
    <w:p w14:paraId="0F49E779" w14:textId="77777777" w:rsidR="006F210A" w:rsidRPr="009A0DA6" w:rsidRDefault="006F210A" w:rsidP="006F210A">
      <w:pPr>
        <w:autoSpaceDE w:val="0"/>
        <w:autoSpaceDN w:val="0"/>
        <w:adjustRightInd w:val="0"/>
        <w:spacing w:line="240" w:lineRule="auto"/>
        <w:rPr>
          <w:rFonts w:ascii="Cambria" w:hAnsi="Cambria" w:cs="Arial"/>
          <w:b/>
          <w:bCs/>
          <w:color w:val="000000"/>
        </w:rPr>
      </w:pPr>
    </w:p>
    <w:p w14:paraId="2141BC3D" w14:textId="77777777" w:rsidR="006F210A" w:rsidRPr="009A0DA6" w:rsidRDefault="006F210A" w:rsidP="006F210A">
      <w:pPr>
        <w:pStyle w:val="Subtitle"/>
      </w:pPr>
      <w:r w:rsidRPr="009A0DA6">
        <w:t>Lutheran Education Australia</w:t>
      </w:r>
    </w:p>
    <w:p w14:paraId="71DF3B3C" w14:textId="77777777" w:rsidR="006F210A" w:rsidRPr="009A0DA6" w:rsidRDefault="006F210A" w:rsidP="006F210A">
      <w:pPr>
        <w:pStyle w:val="Subtitle"/>
      </w:pPr>
      <w:r w:rsidRPr="009A0DA6">
        <w:t>Strategic Plan 2016</w:t>
      </w:r>
      <w:r>
        <w:sym w:font="Symbol" w:char="F02D"/>
      </w:r>
      <w:r w:rsidRPr="009A0DA6">
        <w:t>2018</w:t>
      </w:r>
    </w:p>
    <w:p w14:paraId="1BF06D27" w14:textId="77777777" w:rsidR="006F210A" w:rsidRPr="009A0DA6" w:rsidRDefault="006F210A" w:rsidP="006F210A">
      <w:pPr>
        <w:autoSpaceDE w:val="0"/>
        <w:autoSpaceDN w:val="0"/>
        <w:adjustRightInd w:val="0"/>
        <w:spacing w:line="240" w:lineRule="auto"/>
        <w:rPr>
          <w:rFonts w:ascii="Cambria" w:hAnsi="Cambria" w:cs="Arial"/>
          <w:i/>
          <w:iCs/>
          <w:color w:val="000000"/>
        </w:rPr>
      </w:pPr>
      <w:r w:rsidRPr="009A0DA6">
        <w:rPr>
          <w:rFonts w:ascii="Cambria" w:hAnsi="Cambria" w:cs="Arial"/>
          <w:i/>
          <w:iCs/>
          <w:color w:val="000000"/>
        </w:rPr>
        <w:t>LEA Strategic Plan, as amended by BLEA March 2016</w:t>
      </w:r>
    </w:p>
    <w:p w14:paraId="71982A7C" w14:textId="77777777" w:rsidR="006F210A" w:rsidRPr="009A0DA6" w:rsidRDefault="006F210A" w:rsidP="006F210A">
      <w:pPr>
        <w:autoSpaceDE w:val="0"/>
        <w:autoSpaceDN w:val="0"/>
        <w:adjustRightInd w:val="0"/>
        <w:spacing w:line="240" w:lineRule="auto"/>
        <w:rPr>
          <w:rFonts w:ascii="Cambria" w:hAnsi="Cambria" w:cs="Arial"/>
          <w:b/>
          <w:color w:val="000000"/>
        </w:rPr>
      </w:pPr>
      <w:r w:rsidRPr="009A0DA6">
        <w:rPr>
          <w:rFonts w:ascii="Cambria" w:hAnsi="Cambria" w:cs="Arial"/>
          <w:b/>
          <w:color w:val="000000"/>
        </w:rPr>
        <w:t>Our Purpose and Mission</w:t>
      </w:r>
    </w:p>
    <w:p w14:paraId="75A2D586" w14:textId="77777777" w:rsidR="006F210A" w:rsidRPr="009A0DA6" w:rsidRDefault="006F210A" w:rsidP="006F210A">
      <w:pPr>
        <w:autoSpaceDE w:val="0"/>
        <w:autoSpaceDN w:val="0"/>
        <w:adjustRightInd w:val="0"/>
        <w:spacing w:line="240" w:lineRule="auto"/>
        <w:rPr>
          <w:rFonts w:ascii="Cambria" w:hAnsi="Cambria" w:cs="Arial"/>
          <w:color w:val="000000"/>
        </w:rPr>
      </w:pPr>
      <w:r w:rsidRPr="009A0DA6">
        <w:rPr>
          <w:rFonts w:ascii="Cambria" w:hAnsi="Cambria" w:cs="Arial"/>
          <w:color w:val="000000"/>
        </w:rPr>
        <w:t xml:space="preserve">Lutheran education and care is grounded on Christian beliefs and values and celebrates excellence in all dimensions of learning and teaching. </w:t>
      </w:r>
      <w:r w:rsidRPr="009A0DA6">
        <w:rPr>
          <w:rFonts w:ascii="Cambria" w:hAnsi="Cambria" w:cs="Arial"/>
          <w:i/>
          <w:iCs/>
          <w:color w:val="000000"/>
        </w:rPr>
        <w:t>The gospel of Jesus Christ (which) informs all learning and</w:t>
      </w:r>
      <w:r w:rsidRPr="009A0DA6">
        <w:rPr>
          <w:rFonts w:ascii="Cambria" w:hAnsi="Cambria" w:cs="Arial"/>
          <w:color w:val="000000"/>
        </w:rPr>
        <w:t xml:space="preserve"> </w:t>
      </w:r>
      <w:r w:rsidRPr="009A0DA6">
        <w:rPr>
          <w:rFonts w:ascii="Cambria" w:hAnsi="Cambria" w:cs="Arial"/>
          <w:i/>
          <w:iCs/>
          <w:color w:val="000000"/>
        </w:rPr>
        <w:t xml:space="preserve">teaching, all human relationships, and all activities </w:t>
      </w:r>
      <w:r w:rsidRPr="009A0DA6">
        <w:rPr>
          <w:rFonts w:ascii="Cambria" w:hAnsi="Cambria" w:cs="Arial"/>
          <w:color w:val="000000"/>
        </w:rPr>
        <w:t>is the lens through which Lutheran education is viewed. [</w:t>
      </w:r>
      <w:r w:rsidRPr="009A0DA6">
        <w:rPr>
          <w:rFonts w:ascii="Cambria" w:hAnsi="Cambria" w:cs="Arial"/>
          <w:i/>
          <w:iCs/>
          <w:color w:val="000000"/>
        </w:rPr>
        <w:t>The LCA and its schools</w:t>
      </w:r>
      <w:r w:rsidRPr="009A0DA6">
        <w:rPr>
          <w:rFonts w:ascii="Cambria" w:hAnsi="Cambria" w:cs="Arial"/>
          <w:color w:val="000000"/>
        </w:rPr>
        <w:t>]</w:t>
      </w:r>
    </w:p>
    <w:p w14:paraId="02E666E7" w14:textId="77777777" w:rsidR="006F210A" w:rsidRPr="009A0DA6" w:rsidRDefault="006F210A" w:rsidP="006F210A">
      <w:pPr>
        <w:autoSpaceDE w:val="0"/>
        <w:autoSpaceDN w:val="0"/>
        <w:adjustRightInd w:val="0"/>
        <w:spacing w:line="240" w:lineRule="auto"/>
        <w:rPr>
          <w:rFonts w:ascii="Cambria" w:hAnsi="Cambria" w:cs="Arial"/>
          <w:color w:val="000000"/>
        </w:rPr>
      </w:pPr>
      <w:r w:rsidRPr="009A0DA6">
        <w:rPr>
          <w:rFonts w:ascii="Cambria" w:hAnsi="Cambria" w:cs="Arial"/>
          <w:color w:val="000000"/>
        </w:rPr>
        <w:t>Our mission is to work with our schools and early childhood education services to ensure we have a flourishing collaborative national Lutheran education system of inclusive, high quality, future-focused education, where young people engage in deep learning to live purposeful, confident lives of active service.</w:t>
      </w:r>
    </w:p>
    <w:p w14:paraId="5C064AB6" w14:textId="77777777" w:rsidR="006F210A" w:rsidRPr="009A0DA6" w:rsidRDefault="006F210A" w:rsidP="006F210A">
      <w:pPr>
        <w:autoSpaceDE w:val="0"/>
        <w:autoSpaceDN w:val="0"/>
        <w:adjustRightInd w:val="0"/>
        <w:spacing w:line="240" w:lineRule="auto"/>
        <w:rPr>
          <w:rFonts w:ascii="Cambria" w:hAnsi="Cambria" w:cs="Arial"/>
          <w:b/>
          <w:bCs/>
          <w:color w:val="FFFFFF"/>
        </w:rPr>
      </w:pPr>
      <w:r w:rsidRPr="009A0DA6">
        <w:rPr>
          <w:rFonts w:ascii="Cambria" w:hAnsi="Cambria" w:cs="Arial"/>
          <w:color w:val="000000"/>
        </w:rPr>
        <w:t>We do this through living out our faith with the following values:</w:t>
      </w:r>
    </w:p>
    <w:p w14:paraId="786D1B0E" w14:textId="77777777" w:rsidR="006F210A" w:rsidRPr="009A0DA6" w:rsidRDefault="006F210A" w:rsidP="006F210A">
      <w:pPr>
        <w:autoSpaceDE w:val="0"/>
        <w:autoSpaceDN w:val="0"/>
        <w:adjustRightInd w:val="0"/>
        <w:spacing w:line="240" w:lineRule="auto"/>
        <w:rPr>
          <w:rFonts w:ascii="Cambria" w:hAnsi="Cambria" w:cs="Arial"/>
          <w:color w:val="000000"/>
        </w:rPr>
      </w:pPr>
      <w:r w:rsidRPr="009A0DA6">
        <w:rPr>
          <w:rFonts w:ascii="Cambria" w:hAnsi="Cambria" w:cs="Arial"/>
          <w:b/>
          <w:bCs/>
          <w:color w:val="000000"/>
        </w:rPr>
        <w:t xml:space="preserve">Love </w:t>
      </w:r>
      <w:r w:rsidRPr="009A0DA6">
        <w:rPr>
          <w:rFonts w:ascii="Cambria" w:hAnsi="Cambria" w:cs="Arial"/>
          <w:color w:val="000000"/>
        </w:rPr>
        <w:t>(adore, worship, care for, devotion to, fidelity, kindness, peace, trust, resilience, happiness, have esteem for, honour…)</w:t>
      </w:r>
    </w:p>
    <w:p w14:paraId="0CB3F15C" w14:textId="77777777" w:rsidR="006F210A" w:rsidRPr="009A0DA6" w:rsidRDefault="006F210A" w:rsidP="006F210A">
      <w:pPr>
        <w:autoSpaceDE w:val="0"/>
        <w:autoSpaceDN w:val="0"/>
        <w:adjustRightInd w:val="0"/>
        <w:spacing w:line="240" w:lineRule="auto"/>
        <w:rPr>
          <w:rFonts w:ascii="Cambria" w:hAnsi="Cambria" w:cs="Arial"/>
          <w:color w:val="000000"/>
        </w:rPr>
      </w:pPr>
      <w:r w:rsidRPr="009A0DA6">
        <w:rPr>
          <w:rFonts w:ascii="Cambria" w:hAnsi="Cambria" w:cs="Arial"/>
          <w:b/>
          <w:bCs/>
          <w:color w:val="000000"/>
        </w:rPr>
        <w:t xml:space="preserve">Justice </w:t>
      </w:r>
      <w:r w:rsidRPr="009A0DA6">
        <w:rPr>
          <w:rFonts w:ascii="Cambria" w:hAnsi="Cambria" w:cs="Arial"/>
          <w:color w:val="000000"/>
        </w:rPr>
        <w:t>(integrity, honesty, truthfulness, honour, veracity, uprightness, fairness…)</w:t>
      </w:r>
    </w:p>
    <w:p w14:paraId="6E3F00E7" w14:textId="77777777" w:rsidR="006F210A" w:rsidRPr="009A0DA6" w:rsidRDefault="006F210A" w:rsidP="006F210A">
      <w:pPr>
        <w:autoSpaceDE w:val="0"/>
        <w:autoSpaceDN w:val="0"/>
        <w:adjustRightInd w:val="0"/>
        <w:spacing w:line="240" w:lineRule="auto"/>
        <w:rPr>
          <w:rFonts w:ascii="Cambria" w:hAnsi="Cambria" w:cs="Arial"/>
          <w:color w:val="000000"/>
        </w:rPr>
      </w:pPr>
      <w:r w:rsidRPr="009A0DA6">
        <w:rPr>
          <w:rFonts w:ascii="Cambria" w:hAnsi="Cambria" w:cs="Arial"/>
          <w:b/>
          <w:bCs/>
          <w:color w:val="000000"/>
        </w:rPr>
        <w:t xml:space="preserve">Compassion </w:t>
      </w:r>
      <w:r w:rsidRPr="009A0DA6">
        <w:rPr>
          <w:rFonts w:ascii="Cambria" w:hAnsi="Cambria" w:cs="Arial"/>
          <w:color w:val="000000"/>
        </w:rPr>
        <w:t>(mercy, sympathy, empathy, concern, kindness, consideration, gentleness, care…)</w:t>
      </w:r>
    </w:p>
    <w:p w14:paraId="02129DC0" w14:textId="77777777" w:rsidR="006F210A" w:rsidRPr="009A0DA6" w:rsidRDefault="006F210A" w:rsidP="006F210A">
      <w:pPr>
        <w:autoSpaceDE w:val="0"/>
        <w:autoSpaceDN w:val="0"/>
        <w:adjustRightInd w:val="0"/>
        <w:spacing w:line="240" w:lineRule="auto"/>
        <w:rPr>
          <w:rFonts w:ascii="Cambria" w:hAnsi="Cambria" w:cs="Arial"/>
          <w:color w:val="000000"/>
        </w:rPr>
      </w:pPr>
      <w:r w:rsidRPr="009A0DA6">
        <w:rPr>
          <w:rFonts w:ascii="Cambria" w:hAnsi="Cambria" w:cs="Arial"/>
          <w:b/>
          <w:bCs/>
          <w:color w:val="000000"/>
        </w:rPr>
        <w:t xml:space="preserve">Forgiveness </w:t>
      </w:r>
      <w:r w:rsidRPr="009A0DA6">
        <w:rPr>
          <w:rFonts w:ascii="Cambria" w:hAnsi="Cambria" w:cs="Arial"/>
          <w:color w:val="000000"/>
        </w:rPr>
        <w:t>(benevolence, grace, mercy, amnesty, excuse, pardon, understanding, kindness, absolve, acquit, reprieve…)</w:t>
      </w:r>
    </w:p>
    <w:p w14:paraId="1F3A7DBB" w14:textId="77777777" w:rsidR="006F210A" w:rsidRPr="009A0DA6" w:rsidRDefault="006F210A" w:rsidP="006F210A">
      <w:pPr>
        <w:autoSpaceDE w:val="0"/>
        <w:autoSpaceDN w:val="0"/>
        <w:adjustRightInd w:val="0"/>
        <w:spacing w:line="240" w:lineRule="auto"/>
        <w:rPr>
          <w:rFonts w:ascii="Cambria" w:hAnsi="Cambria" w:cs="Arial"/>
          <w:color w:val="000000"/>
        </w:rPr>
      </w:pPr>
      <w:r w:rsidRPr="009A0DA6">
        <w:rPr>
          <w:rFonts w:ascii="Cambria" w:hAnsi="Cambria" w:cs="Arial"/>
          <w:b/>
          <w:bCs/>
          <w:color w:val="000000"/>
        </w:rPr>
        <w:t xml:space="preserve">Service </w:t>
      </w:r>
      <w:r w:rsidRPr="009A0DA6">
        <w:rPr>
          <w:rFonts w:ascii="Cambria" w:hAnsi="Cambria" w:cs="Arial"/>
          <w:color w:val="000000"/>
        </w:rPr>
        <w:t>(help, assistance, benefit, good turn, aid, support, good deed, charitable act, faithfulness…)</w:t>
      </w:r>
    </w:p>
    <w:p w14:paraId="21F64482" w14:textId="77777777" w:rsidR="006F210A" w:rsidRPr="009A0DA6" w:rsidRDefault="006F210A" w:rsidP="006F210A">
      <w:pPr>
        <w:autoSpaceDE w:val="0"/>
        <w:autoSpaceDN w:val="0"/>
        <w:adjustRightInd w:val="0"/>
        <w:spacing w:line="240" w:lineRule="auto"/>
        <w:rPr>
          <w:rFonts w:ascii="Cambria" w:hAnsi="Cambria" w:cs="Arial"/>
          <w:color w:val="000000"/>
        </w:rPr>
      </w:pPr>
      <w:r w:rsidRPr="009A0DA6">
        <w:rPr>
          <w:rFonts w:ascii="Cambria" w:hAnsi="Cambria" w:cs="Arial"/>
          <w:b/>
          <w:bCs/>
          <w:color w:val="000000"/>
        </w:rPr>
        <w:t xml:space="preserve">Humility </w:t>
      </w:r>
      <w:r w:rsidRPr="009A0DA6">
        <w:rPr>
          <w:rFonts w:ascii="Cambria" w:hAnsi="Cambria" w:cs="Arial"/>
          <w:color w:val="000000"/>
        </w:rPr>
        <w:t>(humbleness, modesty, unassuming nature, meekness, gentleness…)</w:t>
      </w:r>
    </w:p>
    <w:p w14:paraId="7FAEE3F9" w14:textId="77777777" w:rsidR="006F210A" w:rsidRPr="009A0DA6" w:rsidRDefault="006F210A" w:rsidP="006F210A">
      <w:pPr>
        <w:autoSpaceDE w:val="0"/>
        <w:autoSpaceDN w:val="0"/>
        <w:adjustRightInd w:val="0"/>
        <w:spacing w:line="240" w:lineRule="auto"/>
        <w:rPr>
          <w:rFonts w:ascii="Cambria" w:hAnsi="Cambria" w:cs="Arial"/>
          <w:color w:val="000000"/>
        </w:rPr>
      </w:pPr>
      <w:r w:rsidRPr="009A0DA6">
        <w:rPr>
          <w:rFonts w:ascii="Cambria" w:hAnsi="Cambria" w:cs="Arial"/>
          <w:b/>
          <w:bCs/>
          <w:color w:val="000000"/>
        </w:rPr>
        <w:t xml:space="preserve">Courage </w:t>
      </w:r>
      <w:r w:rsidRPr="009A0DA6">
        <w:rPr>
          <w:rFonts w:ascii="Cambria" w:hAnsi="Cambria" w:cs="Arial"/>
          <w:color w:val="000000"/>
        </w:rPr>
        <w:t>(valour, bravery, nerve, pluck, daring, fearlessness, fortitude, boldness, perseverance, intrepid…)</w:t>
      </w:r>
    </w:p>
    <w:p w14:paraId="736CC2DC" w14:textId="77777777" w:rsidR="006F210A" w:rsidRPr="009A0DA6" w:rsidRDefault="006F210A" w:rsidP="006F210A">
      <w:pPr>
        <w:autoSpaceDE w:val="0"/>
        <w:autoSpaceDN w:val="0"/>
        <w:adjustRightInd w:val="0"/>
        <w:spacing w:line="240" w:lineRule="auto"/>
        <w:rPr>
          <w:rFonts w:ascii="Cambria" w:hAnsi="Cambria" w:cs="Arial"/>
          <w:color w:val="000000"/>
        </w:rPr>
      </w:pPr>
      <w:r w:rsidRPr="009A0DA6">
        <w:rPr>
          <w:rFonts w:ascii="Cambria" w:hAnsi="Cambria" w:cs="Arial"/>
          <w:b/>
          <w:bCs/>
          <w:color w:val="000000"/>
        </w:rPr>
        <w:t xml:space="preserve">Hope </w:t>
      </w:r>
      <w:r w:rsidRPr="009A0DA6">
        <w:rPr>
          <w:rFonts w:ascii="Cambria" w:hAnsi="Cambria" w:cs="Arial"/>
          <w:color w:val="000000"/>
        </w:rPr>
        <w:t>(expectation, trust in, faith in, anticipation, look forward to, expect, desire, aspire, optimism…)</w:t>
      </w:r>
    </w:p>
    <w:p w14:paraId="2E7C786B" w14:textId="77777777" w:rsidR="006F210A" w:rsidRPr="009A0DA6" w:rsidRDefault="006F210A" w:rsidP="006F210A">
      <w:pPr>
        <w:autoSpaceDE w:val="0"/>
        <w:autoSpaceDN w:val="0"/>
        <w:adjustRightInd w:val="0"/>
        <w:spacing w:line="240" w:lineRule="auto"/>
        <w:rPr>
          <w:rFonts w:ascii="Cambria" w:hAnsi="Cambria" w:cs="Arial"/>
          <w:color w:val="000000"/>
        </w:rPr>
      </w:pPr>
      <w:r w:rsidRPr="009A0DA6">
        <w:rPr>
          <w:rFonts w:ascii="Cambria" w:hAnsi="Cambria" w:cs="Arial"/>
          <w:b/>
          <w:bCs/>
          <w:color w:val="000000"/>
        </w:rPr>
        <w:t xml:space="preserve">Quality </w:t>
      </w:r>
      <w:r w:rsidRPr="009A0DA6">
        <w:rPr>
          <w:rFonts w:ascii="Cambria" w:hAnsi="Cambria" w:cs="Arial"/>
          <w:color w:val="000000"/>
        </w:rPr>
        <w:t>(value, worth, excellence, merit, effort, usefulness, of important…)</w:t>
      </w:r>
    </w:p>
    <w:p w14:paraId="78247C81" w14:textId="77777777" w:rsidR="006F210A" w:rsidRPr="009A0DA6" w:rsidRDefault="006F210A" w:rsidP="006F210A">
      <w:pPr>
        <w:autoSpaceDE w:val="0"/>
        <w:autoSpaceDN w:val="0"/>
        <w:adjustRightInd w:val="0"/>
        <w:spacing w:line="240" w:lineRule="auto"/>
        <w:rPr>
          <w:rFonts w:ascii="Cambria" w:hAnsi="Cambria" w:cs="Arial"/>
          <w:color w:val="000000"/>
        </w:rPr>
      </w:pPr>
      <w:r w:rsidRPr="009A0DA6">
        <w:rPr>
          <w:rFonts w:ascii="Cambria" w:hAnsi="Cambria" w:cs="Arial"/>
          <w:b/>
          <w:bCs/>
          <w:color w:val="000000"/>
        </w:rPr>
        <w:t xml:space="preserve">Appreciation </w:t>
      </w:r>
      <w:r w:rsidRPr="009A0DA6">
        <w:rPr>
          <w:rFonts w:ascii="Cambria" w:hAnsi="Cambria" w:cs="Arial"/>
          <w:color w:val="000000"/>
        </w:rPr>
        <w:t>(admiration, approval, enjoyment of, gratitude, thankfulness, value, recognition, respect, wonder and awe, comprehension…)</w:t>
      </w:r>
    </w:p>
    <w:p w14:paraId="2AC966B0" w14:textId="77777777" w:rsidR="006F210A" w:rsidRPr="009A0DA6" w:rsidRDefault="006F210A" w:rsidP="006F210A">
      <w:pPr>
        <w:autoSpaceDE w:val="0"/>
        <w:autoSpaceDN w:val="0"/>
        <w:adjustRightInd w:val="0"/>
        <w:spacing w:line="240" w:lineRule="auto"/>
        <w:rPr>
          <w:rFonts w:ascii="Cambria" w:hAnsi="Cambria" w:cs="Arial"/>
          <w:color w:val="000000"/>
        </w:rPr>
      </w:pPr>
      <w:r w:rsidRPr="009A0DA6">
        <w:rPr>
          <w:rFonts w:ascii="Cambria" w:hAnsi="Cambria" w:cs="Arial"/>
          <w:color w:val="000000"/>
        </w:rPr>
        <w:t>Full descriptors for these values including biblical references are available at:</w:t>
      </w:r>
    </w:p>
    <w:p w14:paraId="0B75314D" w14:textId="77777777" w:rsidR="006F210A" w:rsidRPr="00995084" w:rsidRDefault="006F210A" w:rsidP="006F210A">
      <w:pPr>
        <w:autoSpaceDE w:val="0"/>
        <w:autoSpaceDN w:val="0"/>
        <w:adjustRightInd w:val="0"/>
        <w:spacing w:line="240" w:lineRule="auto"/>
        <w:rPr>
          <w:rFonts w:ascii="Cambria" w:hAnsi="Cambria" w:cs="Arial"/>
        </w:rPr>
      </w:pPr>
      <w:r w:rsidRPr="00995084">
        <w:rPr>
          <w:rFonts w:ascii="Cambria" w:hAnsi="Cambria" w:cs="Arial"/>
        </w:rPr>
        <w:t>http://www.lutheran.edu.au/assets/Uploads/pr/general/A%20vision%20for%20learners%20and%20learning%20Booklet.pdf]</w:t>
      </w:r>
    </w:p>
    <w:p w14:paraId="29F115C4" w14:textId="77777777" w:rsidR="006F210A" w:rsidRDefault="006F210A" w:rsidP="006F210A">
      <w:pPr>
        <w:autoSpaceDE w:val="0"/>
        <w:autoSpaceDN w:val="0"/>
        <w:adjustRightInd w:val="0"/>
        <w:spacing w:line="240" w:lineRule="auto"/>
        <w:rPr>
          <w:rFonts w:ascii="Cambria" w:hAnsi="Cambria" w:cs="Arial"/>
          <w:b/>
          <w:bCs/>
          <w:color w:val="FFFFFF"/>
        </w:rPr>
      </w:pPr>
      <w:r w:rsidRPr="009A0DA6">
        <w:rPr>
          <w:rFonts w:ascii="Cambria" w:hAnsi="Cambria" w:cs="Calibri"/>
          <w:color w:val="818181"/>
        </w:rPr>
        <w:t xml:space="preserve"> </w:t>
      </w:r>
      <w:r w:rsidRPr="009A0DA6">
        <w:rPr>
          <w:rFonts w:ascii="Cambria" w:hAnsi="Cambria" w:cs="Arial"/>
          <w:b/>
          <w:bCs/>
          <w:color w:val="FFFFFF"/>
        </w:rPr>
        <w:t>Our strategic objectives</w:t>
      </w:r>
    </w:p>
    <w:p w14:paraId="20DCBBEC" w14:textId="77777777" w:rsidR="006F210A" w:rsidRPr="009A0DA6" w:rsidRDefault="006F210A" w:rsidP="006F210A">
      <w:pPr>
        <w:autoSpaceDE w:val="0"/>
        <w:autoSpaceDN w:val="0"/>
        <w:adjustRightInd w:val="0"/>
        <w:spacing w:line="240" w:lineRule="auto"/>
        <w:rPr>
          <w:rFonts w:ascii="Cambria" w:hAnsi="Cambria" w:cs="Arial"/>
          <w:b/>
          <w:color w:val="000000"/>
        </w:rPr>
      </w:pPr>
      <w:r w:rsidRPr="009A0DA6">
        <w:rPr>
          <w:rFonts w:ascii="Cambria" w:hAnsi="Cambria" w:cs="Arial"/>
          <w:b/>
          <w:color w:val="000000"/>
        </w:rPr>
        <w:lastRenderedPageBreak/>
        <w:t>Our Strategic Objectives</w:t>
      </w:r>
    </w:p>
    <w:p w14:paraId="4F221DA8" w14:textId="77777777" w:rsidR="006F210A" w:rsidRPr="009A0DA6" w:rsidRDefault="006F210A" w:rsidP="006F210A">
      <w:pPr>
        <w:autoSpaceDE w:val="0"/>
        <w:autoSpaceDN w:val="0"/>
        <w:adjustRightInd w:val="0"/>
        <w:spacing w:line="240" w:lineRule="auto"/>
        <w:rPr>
          <w:rFonts w:ascii="Cambria" w:hAnsi="Cambria" w:cs="Arial"/>
          <w:color w:val="000000"/>
        </w:rPr>
      </w:pPr>
      <w:r w:rsidRPr="009A0DA6">
        <w:rPr>
          <w:rFonts w:ascii="Cambria" w:hAnsi="Cambria" w:cs="Arial"/>
          <w:color w:val="000000"/>
        </w:rPr>
        <w:t>To help guide us in our mission, Lutheran Education Australia has created a three year strategy that is aligned to the LCA strategy and based around three key priority education themes that will form the focus of activity and priority for LEA over 2016-2018:</w:t>
      </w:r>
    </w:p>
    <w:p w14:paraId="6AD89676" w14:textId="77777777" w:rsidR="006F210A" w:rsidRPr="009A0DA6" w:rsidRDefault="006F210A" w:rsidP="006F210A">
      <w:pPr>
        <w:autoSpaceDE w:val="0"/>
        <w:autoSpaceDN w:val="0"/>
        <w:adjustRightInd w:val="0"/>
        <w:spacing w:line="240" w:lineRule="auto"/>
        <w:rPr>
          <w:rFonts w:ascii="Cambria" w:hAnsi="Cambria" w:cs="Arial"/>
          <w:b/>
          <w:bCs/>
          <w:color w:val="000000"/>
        </w:rPr>
      </w:pPr>
      <w:r w:rsidRPr="009A0DA6">
        <w:rPr>
          <w:rFonts w:ascii="Cambria" w:hAnsi="Cambria" w:cs="Arial"/>
          <w:b/>
          <w:bCs/>
          <w:color w:val="000000"/>
        </w:rPr>
        <w:t>THEME 1: Strengthening Lutheran identity</w:t>
      </w:r>
    </w:p>
    <w:p w14:paraId="1211244E" w14:textId="77777777" w:rsidR="006F210A" w:rsidRPr="009A0DA6" w:rsidRDefault="006F210A" w:rsidP="006F210A">
      <w:pPr>
        <w:pStyle w:val="ListParagraph"/>
        <w:numPr>
          <w:ilvl w:val="0"/>
          <w:numId w:val="245"/>
        </w:numPr>
        <w:autoSpaceDE w:val="0"/>
        <w:autoSpaceDN w:val="0"/>
        <w:adjustRightInd w:val="0"/>
        <w:spacing w:line="240" w:lineRule="auto"/>
        <w:ind w:left="567" w:hanging="567"/>
        <w:rPr>
          <w:rFonts w:ascii="Cambria" w:hAnsi="Cambria" w:cs="Arial"/>
          <w:color w:val="000000"/>
        </w:rPr>
      </w:pPr>
      <w:r w:rsidRPr="009A0DA6">
        <w:rPr>
          <w:rFonts w:ascii="Cambria" w:hAnsi="Cambria" w:cs="Arial"/>
          <w:color w:val="000000"/>
        </w:rPr>
        <w:t xml:space="preserve">Ensuring all school communities are embodying and expressing the values of Lutheran Education (LE) – working towards and integrating the national </w:t>
      </w:r>
      <w:r w:rsidRPr="009A0DA6">
        <w:rPr>
          <w:rFonts w:ascii="Cambria" w:hAnsi="Cambria" w:cs="Arial"/>
          <w:i/>
          <w:iCs/>
          <w:color w:val="000000"/>
        </w:rPr>
        <w:t xml:space="preserve">Growing deep </w:t>
      </w:r>
      <w:r w:rsidRPr="009A0DA6">
        <w:rPr>
          <w:rFonts w:ascii="Cambria" w:hAnsi="Cambria" w:cs="Arial"/>
          <w:color w:val="000000"/>
        </w:rPr>
        <w:t>framework within all schools and sites</w:t>
      </w:r>
    </w:p>
    <w:p w14:paraId="36AA8C7E" w14:textId="77777777" w:rsidR="006F210A" w:rsidRPr="009A0DA6" w:rsidRDefault="006F210A" w:rsidP="006F210A">
      <w:pPr>
        <w:pStyle w:val="ListParagraph"/>
        <w:numPr>
          <w:ilvl w:val="0"/>
          <w:numId w:val="245"/>
        </w:numPr>
        <w:autoSpaceDE w:val="0"/>
        <w:autoSpaceDN w:val="0"/>
        <w:adjustRightInd w:val="0"/>
        <w:spacing w:line="240" w:lineRule="auto"/>
        <w:ind w:left="567" w:hanging="567"/>
        <w:rPr>
          <w:rFonts w:ascii="Cambria" w:hAnsi="Cambria" w:cs="Arial"/>
          <w:color w:val="000000"/>
        </w:rPr>
      </w:pPr>
      <w:r w:rsidRPr="009A0DA6">
        <w:rPr>
          <w:rFonts w:ascii="Cambria" w:hAnsi="Cambria" w:cs="Arial"/>
          <w:color w:val="000000"/>
        </w:rPr>
        <w:t>Consistent branding that brings together schools and sites from across Australia into one family of schools and early learning centres</w:t>
      </w:r>
    </w:p>
    <w:p w14:paraId="47DC948A" w14:textId="77777777" w:rsidR="006F210A" w:rsidRPr="009A0DA6" w:rsidRDefault="006F210A" w:rsidP="006F210A">
      <w:pPr>
        <w:pStyle w:val="ListParagraph"/>
        <w:numPr>
          <w:ilvl w:val="0"/>
          <w:numId w:val="245"/>
        </w:numPr>
        <w:autoSpaceDE w:val="0"/>
        <w:autoSpaceDN w:val="0"/>
        <w:adjustRightInd w:val="0"/>
        <w:spacing w:line="240" w:lineRule="auto"/>
        <w:ind w:left="567" w:hanging="567"/>
        <w:rPr>
          <w:rFonts w:ascii="Cambria" w:hAnsi="Cambria" w:cs="Arial"/>
          <w:color w:val="000000"/>
        </w:rPr>
      </w:pPr>
      <w:r w:rsidRPr="009A0DA6">
        <w:rPr>
          <w:rFonts w:ascii="Cambria" w:hAnsi="Cambria" w:cs="Arial"/>
          <w:color w:val="000000"/>
        </w:rPr>
        <w:t xml:space="preserve">LE future planning is in alignment with the LCA’s strategic direction </w:t>
      </w:r>
      <w:r w:rsidRPr="009A0DA6">
        <w:rPr>
          <w:rFonts w:ascii="Cambria" w:hAnsi="Cambria" w:cs="Arial"/>
          <w:i/>
          <w:iCs/>
          <w:color w:val="000000"/>
        </w:rPr>
        <w:t xml:space="preserve">Where love comes to life </w:t>
      </w:r>
      <w:r w:rsidRPr="009A0DA6">
        <w:rPr>
          <w:rFonts w:ascii="Cambria" w:hAnsi="Cambria" w:cs="Arial"/>
          <w:color w:val="000000"/>
        </w:rPr>
        <w:t>(Grow as God’s people, Go as God’s people, Enable us to go and grow)</w:t>
      </w:r>
    </w:p>
    <w:p w14:paraId="743B5902" w14:textId="77777777" w:rsidR="006F210A" w:rsidRPr="009A0DA6" w:rsidRDefault="006F210A" w:rsidP="006F210A">
      <w:pPr>
        <w:autoSpaceDE w:val="0"/>
        <w:autoSpaceDN w:val="0"/>
        <w:adjustRightInd w:val="0"/>
        <w:spacing w:line="240" w:lineRule="auto"/>
        <w:rPr>
          <w:rFonts w:ascii="Cambria" w:hAnsi="Cambria" w:cs="Arial"/>
          <w:b/>
          <w:bCs/>
          <w:color w:val="000000"/>
        </w:rPr>
      </w:pPr>
      <w:r w:rsidRPr="009A0DA6">
        <w:rPr>
          <w:rFonts w:ascii="Cambria" w:hAnsi="Cambria" w:cs="Arial"/>
          <w:b/>
          <w:bCs/>
          <w:color w:val="000000"/>
        </w:rPr>
        <w:t>THEME 2: Enhancing and celebrating thriving learning communities</w:t>
      </w:r>
    </w:p>
    <w:p w14:paraId="23D28AA1" w14:textId="77777777" w:rsidR="006F210A" w:rsidRPr="009A0DA6" w:rsidRDefault="006F210A" w:rsidP="006F210A">
      <w:pPr>
        <w:pStyle w:val="ListParagraph"/>
        <w:numPr>
          <w:ilvl w:val="0"/>
          <w:numId w:val="246"/>
        </w:numPr>
        <w:autoSpaceDE w:val="0"/>
        <w:autoSpaceDN w:val="0"/>
        <w:adjustRightInd w:val="0"/>
        <w:spacing w:line="240" w:lineRule="auto"/>
        <w:ind w:left="567" w:hanging="567"/>
        <w:rPr>
          <w:rFonts w:ascii="Cambria" w:hAnsi="Cambria" w:cs="Arial"/>
          <w:color w:val="000000"/>
        </w:rPr>
      </w:pPr>
      <w:r w:rsidRPr="009A0DA6">
        <w:rPr>
          <w:rFonts w:ascii="Cambria" w:hAnsi="Cambria" w:cs="Arial"/>
          <w:color w:val="000000"/>
        </w:rPr>
        <w:t xml:space="preserve">Building and celebrating high-performing leaders and leadership teams at all levels (through </w:t>
      </w:r>
      <w:r w:rsidRPr="009A0DA6">
        <w:rPr>
          <w:rFonts w:ascii="Cambria" w:hAnsi="Cambria" w:cs="Arial"/>
          <w:i/>
          <w:iCs/>
          <w:color w:val="000000"/>
        </w:rPr>
        <w:t>Growing deep</w:t>
      </w:r>
      <w:r w:rsidRPr="009A0DA6">
        <w:rPr>
          <w:rFonts w:ascii="Cambria" w:hAnsi="Cambria" w:cs="Arial"/>
          <w:color w:val="000000"/>
        </w:rPr>
        <w:t>)</w:t>
      </w:r>
    </w:p>
    <w:p w14:paraId="5F1D015A" w14:textId="77777777" w:rsidR="006F210A" w:rsidRPr="009A0DA6" w:rsidRDefault="006F210A" w:rsidP="006F210A">
      <w:pPr>
        <w:pStyle w:val="ListParagraph"/>
        <w:numPr>
          <w:ilvl w:val="0"/>
          <w:numId w:val="246"/>
        </w:numPr>
        <w:autoSpaceDE w:val="0"/>
        <w:autoSpaceDN w:val="0"/>
        <w:adjustRightInd w:val="0"/>
        <w:spacing w:line="240" w:lineRule="auto"/>
        <w:ind w:left="567" w:hanging="567"/>
        <w:rPr>
          <w:rFonts w:ascii="Cambria" w:hAnsi="Cambria" w:cs="Arial"/>
          <w:color w:val="000000"/>
        </w:rPr>
      </w:pPr>
      <w:r w:rsidRPr="009A0DA6">
        <w:rPr>
          <w:rFonts w:ascii="Cambria" w:hAnsi="Cambria" w:cs="Arial"/>
          <w:color w:val="000000"/>
        </w:rPr>
        <w:t>Consistent ongoing improvement across all sites – deep engagement in high quality teaching and learning and embracing community in our learning experiences and journeys</w:t>
      </w:r>
    </w:p>
    <w:p w14:paraId="76C9C2BE" w14:textId="77777777" w:rsidR="006F210A" w:rsidRPr="009A0DA6" w:rsidRDefault="006F210A" w:rsidP="006F210A">
      <w:pPr>
        <w:pStyle w:val="ListParagraph"/>
        <w:numPr>
          <w:ilvl w:val="0"/>
          <w:numId w:val="246"/>
        </w:numPr>
        <w:autoSpaceDE w:val="0"/>
        <w:autoSpaceDN w:val="0"/>
        <w:adjustRightInd w:val="0"/>
        <w:spacing w:line="240" w:lineRule="auto"/>
        <w:ind w:left="567" w:hanging="567"/>
        <w:rPr>
          <w:rFonts w:ascii="Cambria" w:hAnsi="Cambria" w:cs="Arial"/>
          <w:color w:val="000000"/>
        </w:rPr>
      </w:pPr>
      <w:r w:rsidRPr="009A0DA6">
        <w:rPr>
          <w:rFonts w:ascii="Cambria" w:hAnsi="Cambria" w:cs="Arial"/>
          <w:color w:val="000000"/>
        </w:rPr>
        <w:t>Bring the best learning and research into LE – look out, above and beyond. High quality national and international research, learning and professional development (links to some of the websites and experiences our people are involved in)</w:t>
      </w:r>
    </w:p>
    <w:p w14:paraId="3540E630" w14:textId="77777777" w:rsidR="006F210A" w:rsidRPr="009A0DA6" w:rsidRDefault="006F210A" w:rsidP="006F210A">
      <w:pPr>
        <w:autoSpaceDE w:val="0"/>
        <w:autoSpaceDN w:val="0"/>
        <w:adjustRightInd w:val="0"/>
        <w:spacing w:line="240" w:lineRule="auto"/>
        <w:rPr>
          <w:rFonts w:ascii="Cambria" w:hAnsi="Cambria" w:cs="Arial"/>
          <w:b/>
          <w:bCs/>
          <w:color w:val="000000"/>
        </w:rPr>
      </w:pPr>
      <w:r w:rsidRPr="009A0DA6">
        <w:rPr>
          <w:rFonts w:ascii="Cambria" w:hAnsi="Cambria" w:cs="Arial"/>
          <w:b/>
          <w:bCs/>
          <w:color w:val="000000"/>
        </w:rPr>
        <w:t>THEME 3: Ensuring long-term system sustainability</w:t>
      </w:r>
    </w:p>
    <w:p w14:paraId="15CBA053" w14:textId="77777777" w:rsidR="006F210A" w:rsidRPr="009A0DA6" w:rsidRDefault="006F210A" w:rsidP="006F210A">
      <w:pPr>
        <w:pStyle w:val="ListParagraph"/>
        <w:numPr>
          <w:ilvl w:val="0"/>
          <w:numId w:val="247"/>
        </w:numPr>
        <w:autoSpaceDE w:val="0"/>
        <w:autoSpaceDN w:val="0"/>
        <w:adjustRightInd w:val="0"/>
        <w:spacing w:line="240" w:lineRule="auto"/>
        <w:ind w:left="567" w:hanging="567"/>
        <w:rPr>
          <w:rFonts w:ascii="Cambria" w:hAnsi="Cambria" w:cs="Arial"/>
          <w:color w:val="000000"/>
        </w:rPr>
      </w:pPr>
      <w:r w:rsidRPr="009A0DA6">
        <w:rPr>
          <w:rFonts w:ascii="Cambria" w:hAnsi="Cambria" w:cs="Arial"/>
          <w:color w:val="000000"/>
        </w:rPr>
        <w:t>Long history, long future. LE has been in Australia for 176 years – taking action together to flourish and thrive for another 176 years</w:t>
      </w:r>
    </w:p>
    <w:p w14:paraId="3FD23E4F" w14:textId="77777777" w:rsidR="006F210A" w:rsidRPr="009A0DA6" w:rsidRDefault="006F210A" w:rsidP="006F210A">
      <w:pPr>
        <w:pStyle w:val="ListParagraph"/>
        <w:numPr>
          <w:ilvl w:val="0"/>
          <w:numId w:val="247"/>
        </w:numPr>
        <w:autoSpaceDE w:val="0"/>
        <w:autoSpaceDN w:val="0"/>
        <w:adjustRightInd w:val="0"/>
        <w:spacing w:line="240" w:lineRule="auto"/>
        <w:ind w:left="567" w:hanging="567"/>
        <w:rPr>
          <w:rFonts w:ascii="Cambria" w:hAnsi="Cambria" w:cs="Arial"/>
          <w:color w:val="000000"/>
        </w:rPr>
      </w:pPr>
      <w:r w:rsidRPr="009A0DA6">
        <w:rPr>
          <w:rFonts w:ascii="Cambria" w:hAnsi="Cambria" w:cs="Arial"/>
          <w:color w:val="000000"/>
        </w:rPr>
        <w:t>Build cutting edge, best-practice governance and risk mitigation and management to strengthen the national system of ECEs and schools</w:t>
      </w:r>
    </w:p>
    <w:p w14:paraId="7FAD3257" w14:textId="77777777" w:rsidR="006F210A" w:rsidRPr="009A0DA6" w:rsidRDefault="006F210A" w:rsidP="006F210A">
      <w:pPr>
        <w:pStyle w:val="ListParagraph"/>
        <w:numPr>
          <w:ilvl w:val="0"/>
          <w:numId w:val="247"/>
        </w:numPr>
        <w:autoSpaceDE w:val="0"/>
        <w:autoSpaceDN w:val="0"/>
        <w:adjustRightInd w:val="0"/>
        <w:spacing w:line="240" w:lineRule="auto"/>
        <w:ind w:left="567" w:hanging="567"/>
        <w:rPr>
          <w:rFonts w:ascii="Cambria" w:hAnsi="Cambria" w:cs="Arial"/>
          <w:color w:val="000000"/>
        </w:rPr>
      </w:pPr>
      <w:r w:rsidRPr="009A0DA6">
        <w:rPr>
          <w:rFonts w:ascii="Cambria" w:hAnsi="Cambria" w:cs="Arial"/>
          <w:color w:val="000000"/>
        </w:rPr>
        <w:t>Build a social and ecological vision for LE where social, economic and environmental sustainability are foundations for taking action to serve our people and our planet</w:t>
      </w:r>
    </w:p>
    <w:p w14:paraId="3271250C" w14:textId="77777777" w:rsidR="006F210A" w:rsidRPr="009A0DA6" w:rsidRDefault="006F210A" w:rsidP="006F210A">
      <w:pPr>
        <w:autoSpaceDE w:val="0"/>
        <w:autoSpaceDN w:val="0"/>
        <w:adjustRightInd w:val="0"/>
        <w:spacing w:line="240" w:lineRule="auto"/>
        <w:rPr>
          <w:rFonts w:ascii="Cambria" w:hAnsi="Cambria" w:cs="Arial"/>
          <w:color w:val="000000"/>
        </w:rPr>
      </w:pPr>
      <w:r w:rsidRPr="009A0DA6">
        <w:rPr>
          <w:rFonts w:ascii="Cambria" w:hAnsi="Cambria" w:cs="Arial"/>
          <w:color w:val="000000"/>
        </w:rPr>
        <w:t>Each theme has a number of strategic objectives that will form the focus of activity and priority for LEA over 2016-2018. Each strategic objective in turn is achieved and measured through the delivery of clearly defined initiatives or actions.</w:t>
      </w:r>
      <w:r w:rsidRPr="009A0DA6">
        <w:rPr>
          <w:rFonts w:ascii="Cambria" w:hAnsi="Cambria" w:cs="Arial"/>
          <w:b/>
          <w:bCs/>
          <w:color w:val="FFFFFF"/>
        </w:rPr>
        <w:t xml:space="preserve"> </w:t>
      </w:r>
    </w:p>
    <w:p w14:paraId="39A71780" w14:textId="77777777" w:rsidR="006F210A" w:rsidRPr="009A0DA6" w:rsidRDefault="006F210A" w:rsidP="006F210A">
      <w:pPr>
        <w:pStyle w:val="ListParagraph"/>
        <w:numPr>
          <w:ilvl w:val="0"/>
          <w:numId w:val="247"/>
        </w:numPr>
        <w:autoSpaceDE w:val="0"/>
        <w:autoSpaceDN w:val="0"/>
        <w:adjustRightInd w:val="0"/>
        <w:spacing w:line="240" w:lineRule="auto"/>
        <w:ind w:left="567" w:hanging="567"/>
        <w:rPr>
          <w:rFonts w:ascii="Cambria" w:hAnsi="Cambria" w:cs="Arial"/>
          <w:color w:val="000000"/>
        </w:rPr>
      </w:pPr>
      <w:r w:rsidRPr="009A0DA6">
        <w:rPr>
          <w:rFonts w:ascii="Cambria" w:hAnsi="Cambria" w:cs="Arial"/>
          <w:color w:val="000000"/>
        </w:rPr>
        <w:t xml:space="preserve">Ensuring all school communities are embodying and expressing the values of Lutheran Education – working towards and integrating the national </w:t>
      </w:r>
      <w:r w:rsidRPr="009A0DA6">
        <w:rPr>
          <w:rFonts w:ascii="Cambria" w:hAnsi="Cambria" w:cs="Arial"/>
          <w:i/>
          <w:iCs/>
          <w:color w:val="000000"/>
        </w:rPr>
        <w:t xml:space="preserve">Growing deep </w:t>
      </w:r>
      <w:r w:rsidRPr="009A0DA6">
        <w:rPr>
          <w:rFonts w:ascii="Cambria" w:hAnsi="Cambria" w:cs="Arial"/>
          <w:color w:val="000000"/>
        </w:rPr>
        <w:t>framework within all schools and sites</w:t>
      </w:r>
    </w:p>
    <w:p w14:paraId="5A3D50AE" w14:textId="77777777" w:rsidR="006F210A" w:rsidRPr="009A0DA6" w:rsidRDefault="006F210A" w:rsidP="006F210A">
      <w:pPr>
        <w:pStyle w:val="ListParagraph"/>
        <w:numPr>
          <w:ilvl w:val="0"/>
          <w:numId w:val="247"/>
        </w:numPr>
        <w:autoSpaceDE w:val="0"/>
        <w:autoSpaceDN w:val="0"/>
        <w:adjustRightInd w:val="0"/>
        <w:spacing w:line="240" w:lineRule="auto"/>
        <w:ind w:left="567" w:hanging="567"/>
        <w:rPr>
          <w:rFonts w:ascii="Cambria" w:hAnsi="Cambria" w:cs="Arial"/>
          <w:color w:val="000000"/>
        </w:rPr>
      </w:pPr>
      <w:r w:rsidRPr="009A0DA6">
        <w:rPr>
          <w:rFonts w:ascii="Cambria" w:hAnsi="Cambria" w:cs="Arial"/>
          <w:color w:val="000000"/>
        </w:rPr>
        <w:t>Consistent branding that brings together schools and sites from across Australia into one family of schools and early learning centres</w:t>
      </w:r>
    </w:p>
    <w:p w14:paraId="7D4D127A" w14:textId="77777777" w:rsidR="006F210A" w:rsidRPr="009A0DA6" w:rsidRDefault="006F210A" w:rsidP="006F210A">
      <w:pPr>
        <w:pStyle w:val="ListParagraph"/>
        <w:numPr>
          <w:ilvl w:val="0"/>
          <w:numId w:val="247"/>
        </w:numPr>
        <w:autoSpaceDE w:val="0"/>
        <w:autoSpaceDN w:val="0"/>
        <w:adjustRightInd w:val="0"/>
        <w:spacing w:line="240" w:lineRule="auto"/>
        <w:ind w:left="567" w:hanging="567"/>
        <w:rPr>
          <w:rFonts w:ascii="Cambria" w:hAnsi="Cambria" w:cs="Arial"/>
          <w:color w:val="000000"/>
        </w:rPr>
      </w:pPr>
      <w:r w:rsidRPr="009A0DA6">
        <w:rPr>
          <w:rFonts w:ascii="Cambria" w:hAnsi="Cambria" w:cs="Arial"/>
          <w:color w:val="000000"/>
        </w:rPr>
        <w:t xml:space="preserve">LE future planning is in alignment with the LCA’s strategic direction </w:t>
      </w:r>
      <w:r w:rsidRPr="009A0DA6">
        <w:rPr>
          <w:rFonts w:ascii="Cambria" w:hAnsi="Cambria" w:cs="Arial"/>
          <w:i/>
          <w:iCs/>
          <w:color w:val="000000"/>
        </w:rPr>
        <w:t xml:space="preserve">Where love comes to life </w:t>
      </w:r>
      <w:r w:rsidRPr="009A0DA6">
        <w:rPr>
          <w:rFonts w:ascii="Cambria" w:hAnsi="Cambria" w:cs="Arial"/>
          <w:color w:val="000000"/>
        </w:rPr>
        <w:t>(Grow as God’s people, Go as God’s people, Enable us to go and grow)</w:t>
      </w:r>
    </w:p>
    <w:p w14:paraId="10CAC869" w14:textId="77777777" w:rsidR="006F210A" w:rsidRPr="009A0DA6" w:rsidRDefault="006F210A" w:rsidP="006F210A">
      <w:pPr>
        <w:pStyle w:val="ListParagraph"/>
        <w:numPr>
          <w:ilvl w:val="0"/>
          <w:numId w:val="247"/>
        </w:numPr>
        <w:autoSpaceDE w:val="0"/>
        <w:autoSpaceDN w:val="0"/>
        <w:adjustRightInd w:val="0"/>
        <w:spacing w:line="240" w:lineRule="auto"/>
        <w:ind w:left="567" w:hanging="567"/>
        <w:rPr>
          <w:rFonts w:ascii="Cambria" w:hAnsi="Cambria" w:cs="Arial"/>
          <w:color w:val="000000"/>
        </w:rPr>
      </w:pPr>
      <w:r w:rsidRPr="009A0DA6">
        <w:rPr>
          <w:rFonts w:ascii="Cambria" w:hAnsi="Cambria" w:cs="Arial"/>
          <w:color w:val="000000"/>
        </w:rPr>
        <w:t xml:space="preserve">Building and celebrating high-performing leaders and leadership teams at all levels (through </w:t>
      </w:r>
      <w:r w:rsidRPr="009A0DA6">
        <w:rPr>
          <w:rFonts w:ascii="Cambria" w:hAnsi="Cambria" w:cs="Arial"/>
          <w:i/>
          <w:iCs/>
          <w:color w:val="000000"/>
        </w:rPr>
        <w:t>Growing deep</w:t>
      </w:r>
      <w:r w:rsidRPr="009A0DA6">
        <w:rPr>
          <w:rFonts w:ascii="Cambria" w:hAnsi="Cambria" w:cs="Arial"/>
          <w:color w:val="000000"/>
        </w:rPr>
        <w:t>)</w:t>
      </w:r>
    </w:p>
    <w:p w14:paraId="4E7721CF" w14:textId="77777777" w:rsidR="006F210A" w:rsidRPr="009A0DA6" w:rsidRDefault="006F210A" w:rsidP="006F210A">
      <w:pPr>
        <w:pStyle w:val="ListParagraph"/>
        <w:numPr>
          <w:ilvl w:val="0"/>
          <w:numId w:val="247"/>
        </w:numPr>
        <w:autoSpaceDE w:val="0"/>
        <w:autoSpaceDN w:val="0"/>
        <w:adjustRightInd w:val="0"/>
        <w:spacing w:line="240" w:lineRule="auto"/>
        <w:ind w:left="567" w:hanging="567"/>
        <w:rPr>
          <w:rFonts w:ascii="Cambria" w:hAnsi="Cambria" w:cs="Arial"/>
          <w:color w:val="000000"/>
        </w:rPr>
      </w:pPr>
      <w:r w:rsidRPr="009A0DA6">
        <w:rPr>
          <w:rFonts w:ascii="Cambria" w:hAnsi="Cambria" w:cs="Arial"/>
          <w:color w:val="000000"/>
        </w:rPr>
        <w:t>Consistent ongoing improvement across all sites – deep engagement in high quality teaching and learning and embracing community in our learning experiences and journeys</w:t>
      </w:r>
    </w:p>
    <w:p w14:paraId="4B58EED8" w14:textId="77777777" w:rsidR="006F210A" w:rsidRPr="009A0DA6" w:rsidRDefault="006F210A" w:rsidP="006F210A">
      <w:pPr>
        <w:pStyle w:val="ListParagraph"/>
        <w:numPr>
          <w:ilvl w:val="0"/>
          <w:numId w:val="247"/>
        </w:numPr>
        <w:autoSpaceDE w:val="0"/>
        <w:autoSpaceDN w:val="0"/>
        <w:adjustRightInd w:val="0"/>
        <w:spacing w:line="240" w:lineRule="auto"/>
        <w:ind w:left="567" w:hanging="567"/>
        <w:rPr>
          <w:rFonts w:ascii="Cambria" w:hAnsi="Cambria" w:cs="Arial"/>
          <w:b/>
          <w:bCs/>
          <w:color w:val="FFFFFF"/>
        </w:rPr>
      </w:pPr>
      <w:r w:rsidRPr="009A0DA6">
        <w:rPr>
          <w:rFonts w:ascii="Cambria" w:hAnsi="Cambria" w:cs="Arial"/>
          <w:color w:val="000000"/>
        </w:rPr>
        <w:t>Bring the best learning and research into LE - look out, above and beyond. High quality national and international research, learning and professional development (links to some of the websites and experiences our people are involved in)</w:t>
      </w:r>
      <w:r w:rsidRPr="009A0DA6">
        <w:rPr>
          <w:rFonts w:ascii="Cambria" w:hAnsi="Cambria" w:cs="Arial"/>
          <w:b/>
          <w:bCs/>
          <w:color w:val="FFFFFF"/>
        </w:rPr>
        <w:t xml:space="preserve"> </w:t>
      </w:r>
      <w:r w:rsidRPr="009A0DA6">
        <w:rPr>
          <w:rFonts w:ascii="Cambria" w:hAnsi="Cambria" w:cs="Arial"/>
          <w:b/>
          <w:bCs/>
          <w:color w:val="FFFFFF"/>
          <w:sz w:val="2"/>
        </w:rPr>
        <w:t>Ensuring long</w:t>
      </w:r>
      <w:r w:rsidRPr="009A0DA6">
        <w:rPr>
          <w:rFonts w:ascii="Cambria" w:hAnsi="Cambria" w:cs="Arial"/>
          <w:b/>
          <w:bCs/>
          <w:color w:val="FFFFFF"/>
        </w:rPr>
        <w:t>-term system sustainability</w:t>
      </w:r>
    </w:p>
    <w:p w14:paraId="2DCFBCD8" w14:textId="77777777" w:rsidR="006F210A" w:rsidRDefault="006F210A" w:rsidP="006F210A">
      <w:pPr>
        <w:rPr>
          <w:rFonts w:ascii="Cambria" w:eastAsiaTheme="minorEastAsia" w:hAnsi="Cambria"/>
          <w:b/>
          <w:caps/>
          <w:sz w:val="24"/>
        </w:rPr>
      </w:pPr>
      <w:r>
        <w:br w:type="page"/>
      </w:r>
    </w:p>
    <w:p w14:paraId="158C8549" w14:textId="77777777" w:rsidR="006F210A" w:rsidRPr="009A0DA6" w:rsidRDefault="006F210A" w:rsidP="006F210A">
      <w:pPr>
        <w:pStyle w:val="Subtitle"/>
      </w:pPr>
      <w:r w:rsidRPr="009A0DA6">
        <w:lastRenderedPageBreak/>
        <w:t>Staffing Policy for Lutheran Schools</w:t>
      </w:r>
    </w:p>
    <w:p w14:paraId="4AE1FAB1" w14:textId="77777777" w:rsidR="006F210A" w:rsidRPr="009A0DA6" w:rsidRDefault="006F210A" w:rsidP="006F210A">
      <w:pPr>
        <w:autoSpaceDE w:val="0"/>
        <w:autoSpaceDN w:val="0"/>
        <w:adjustRightInd w:val="0"/>
        <w:spacing w:line="240" w:lineRule="auto"/>
        <w:rPr>
          <w:rFonts w:ascii="Cambria" w:hAnsi="Cambria" w:cs="Arial"/>
          <w:i/>
          <w:iCs/>
          <w:color w:val="000000"/>
        </w:rPr>
      </w:pPr>
      <w:r w:rsidRPr="009A0DA6">
        <w:rPr>
          <w:rFonts w:ascii="Cambria" w:hAnsi="Cambria" w:cs="Arial"/>
          <w:i/>
          <w:iCs/>
          <w:color w:val="000000"/>
        </w:rPr>
        <w:t>Adopted by LCA General Synod October 2006</w:t>
      </w:r>
    </w:p>
    <w:p w14:paraId="5A5B227A" w14:textId="77777777" w:rsidR="006F210A" w:rsidRPr="009A0DA6" w:rsidRDefault="006F210A" w:rsidP="006F210A">
      <w:pPr>
        <w:tabs>
          <w:tab w:val="left" w:pos="567"/>
        </w:tabs>
        <w:autoSpaceDE w:val="0"/>
        <w:autoSpaceDN w:val="0"/>
        <w:adjustRightInd w:val="0"/>
        <w:spacing w:line="240" w:lineRule="auto"/>
        <w:rPr>
          <w:rFonts w:ascii="Cambria" w:hAnsi="Cambria" w:cs="Arial"/>
          <w:b/>
          <w:bCs/>
          <w:color w:val="000000"/>
        </w:rPr>
      </w:pPr>
      <w:r w:rsidRPr="009A0DA6">
        <w:rPr>
          <w:rFonts w:ascii="Cambria" w:hAnsi="Cambria" w:cs="Arial"/>
          <w:b/>
          <w:bCs/>
          <w:color w:val="000000"/>
        </w:rPr>
        <w:t xml:space="preserve">1. </w:t>
      </w:r>
      <w:r w:rsidRPr="009A0DA6">
        <w:rPr>
          <w:rFonts w:ascii="Cambria" w:hAnsi="Cambria" w:cs="Arial"/>
          <w:b/>
          <w:bCs/>
          <w:color w:val="000000"/>
        </w:rPr>
        <w:tab/>
        <w:t>Context</w:t>
      </w:r>
    </w:p>
    <w:p w14:paraId="75469BC7" w14:textId="77777777" w:rsidR="006F210A" w:rsidRPr="009A0DA6" w:rsidRDefault="006F210A" w:rsidP="006F210A">
      <w:pPr>
        <w:autoSpaceDE w:val="0"/>
        <w:autoSpaceDN w:val="0"/>
        <w:adjustRightInd w:val="0"/>
        <w:spacing w:line="240" w:lineRule="auto"/>
        <w:rPr>
          <w:rFonts w:ascii="Cambria" w:hAnsi="Cambria" w:cs="Arial"/>
          <w:color w:val="000000"/>
        </w:rPr>
      </w:pPr>
      <w:r w:rsidRPr="009A0DA6">
        <w:rPr>
          <w:rFonts w:ascii="Cambria" w:hAnsi="Cambria" w:cs="Arial"/>
          <w:color w:val="000000"/>
        </w:rPr>
        <w:t>The Lutheran Church of Australia (LCA) has a variety of agencies through which it carries out its ministry and mission to the people of Australia. One such agency is the Lutheran School in which the Church makes available to its members and to others in the community a formal education in which the gospel of Jesus Christ informs all learning and teaching, all human relationships, and all activities. Thus through its Schools the Church deliberately and intentionally bears Christian witness to all who make up the world of the School.</w:t>
      </w:r>
    </w:p>
    <w:p w14:paraId="30D30BFE" w14:textId="77777777" w:rsidR="006F210A" w:rsidRPr="009A0DA6" w:rsidRDefault="006F210A" w:rsidP="006F210A">
      <w:pPr>
        <w:tabs>
          <w:tab w:val="left" w:pos="567"/>
        </w:tabs>
        <w:autoSpaceDE w:val="0"/>
        <w:autoSpaceDN w:val="0"/>
        <w:adjustRightInd w:val="0"/>
        <w:spacing w:line="240" w:lineRule="auto"/>
        <w:rPr>
          <w:rFonts w:ascii="Cambria" w:hAnsi="Cambria" w:cs="Arial"/>
          <w:b/>
          <w:bCs/>
          <w:color w:val="000000"/>
        </w:rPr>
      </w:pPr>
      <w:r w:rsidRPr="009A0DA6">
        <w:rPr>
          <w:rFonts w:ascii="Cambria" w:hAnsi="Cambria" w:cs="Arial"/>
          <w:b/>
          <w:bCs/>
          <w:color w:val="000000"/>
        </w:rPr>
        <w:t xml:space="preserve">2. </w:t>
      </w:r>
      <w:r w:rsidRPr="009A0DA6">
        <w:rPr>
          <w:rFonts w:ascii="Cambria" w:hAnsi="Cambria" w:cs="Arial"/>
          <w:b/>
          <w:bCs/>
          <w:color w:val="000000"/>
        </w:rPr>
        <w:tab/>
        <w:t>Appointment of staff</w:t>
      </w:r>
    </w:p>
    <w:p w14:paraId="2B7FDBED" w14:textId="77777777" w:rsidR="006F210A" w:rsidRPr="009A0DA6" w:rsidRDefault="006F210A" w:rsidP="006F210A">
      <w:pPr>
        <w:autoSpaceDE w:val="0"/>
        <w:autoSpaceDN w:val="0"/>
        <w:adjustRightInd w:val="0"/>
        <w:spacing w:line="240" w:lineRule="auto"/>
        <w:rPr>
          <w:rFonts w:ascii="Cambria" w:hAnsi="Cambria" w:cs="Arial"/>
          <w:color w:val="000000"/>
        </w:rPr>
      </w:pPr>
      <w:r w:rsidRPr="009A0DA6">
        <w:rPr>
          <w:rFonts w:ascii="Cambria" w:hAnsi="Cambria" w:cs="Arial"/>
          <w:color w:val="000000"/>
        </w:rPr>
        <w:t>The Church seeks to staff its Schools with educators who are able to uphold the teachings of the Church and model the lifestyle of a Christian. In the first instance it seeks to use the services of competent, registered educators who are active members of the Church. Beyond that, the Church seeks to staff its Schools with people who are active Christians from other denominations willing to uphold the Lutheran teaching of the School. The Church avoids negative bias against the differently-abled, people of minority races, females and males.</w:t>
      </w:r>
    </w:p>
    <w:p w14:paraId="6324E5F7" w14:textId="77777777" w:rsidR="006F210A" w:rsidRPr="009A0DA6" w:rsidRDefault="006F210A" w:rsidP="006F210A">
      <w:pPr>
        <w:autoSpaceDE w:val="0"/>
        <w:autoSpaceDN w:val="0"/>
        <w:adjustRightInd w:val="0"/>
        <w:spacing w:line="240" w:lineRule="auto"/>
        <w:rPr>
          <w:rFonts w:ascii="Cambria" w:hAnsi="Cambria" w:cs="Arial"/>
          <w:color w:val="000000"/>
        </w:rPr>
      </w:pPr>
      <w:r w:rsidRPr="009A0DA6">
        <w:rPr>
          <w:rFonts w:ascii="Cambria" w:hAnsi="Cambria" w:cs="Arial"/>
          <w:color w:val="000000"/>
        </w:rPr>
        <w:t>The leadership positions of principal, deputy principal, head of sub-schools and head of Christian Studies are to be filled by active communicant members of the LCA.</w:t>
      </w:r>
    </w:p>
    <w:p w14:paraId="199730E4" w14:textId="77777777" w:rsidR="006F210A" w:rsidRPr="009A0DA6" w:rsidRDefault="006F210A" w:rsidP="006F210A">
      <w:pPr>
        <w:tabs>
          <w:tab w:val="left" w:pos="567"/>
        </w:tabs>
        <w:autoSpaceDE w:val="0"/>
        <w:autoSpaceDN w:val="0"/>
        <w:adjustRightInd w:val="0"/>
        <w:spacing w:line="240" w:lineRule="auto"/>
        <w:rPr>
          <w:rFonts w:ascii="Cambria" w:hAnsi="Cambria" w:cs="Arial"/>
          <w:b/>
          <w:bCs/>
          <w:color w:val="000000"/>
        </w:rPr>
      </w:pPr>
      <w:r w:rsidRPr="009A0DA6">
        <w:rPr>
          <w:rFonts w:ascii="Cambria" w:hAnsi="Cambria" w:cs="Arial"/>
          <w:b/>
          <w:bCs/>
          <w:color w:val="000000"/>
        </w:rPr>
        <w:t xml:space="preserve">3. </w:t>
      </w:r>
      <w:r w:rsidRPr="009A0DA6">
        <w:rPr>
          <w:rFonts w:ascii="Cambria" w:hAnsi="Cambria" w:cs="Arial"/>
          <w:b/>
          <w:bCs/>
          <w:color w:val="000000"/>
        </w:rPr>
        <w:tab/>
        <w:t>Expectations of those who work in Lutheran Schools</w:t>
      </w:r>
    </w:p>
    <w:p w14:paraId="583B4D7A" w14:textId="77777777" w:rsidR="006F210A" w:rsidRPr="009A0DA6" w:rsidRDefault="006F210A" w:rsidP="006F210A">
      <w:pPr>
        <w:autoSpaceDE w:val="0"/>
        <w:autoSpaceDN w:val="0"/>
        <w:adjustRightInd w:val="0"/>
        <w:spacing w:line="240" w:lineRule="auto"/>
        <w:rPr>
          <w:rFonts w:ascii="Cambria" w:hAnsi="Cambria" w:cs="Arial"/>
          <w:color w:val="000000"/>
        </w:rPr>
      </w:pPr>
      <w:r w:rsidRPr="009A0DA6">
        <w:rPr>
          <w:rFonts w:ascii="Cambria" w:hAnsi="Cambria" w:cs="Arial"/>
          <w:color w:val="000000"/>
        </w:rPr>
        <w:t>The LCA expects that those who work in the Lutheran School in whatever position:</w:t>
      </w:r>
    </w:p>
    <w:p w14:paraId="7618396D" w14:textId="77777777" w:rsidR="006F210A" w:rsidRPr="009A0DA6" w:rsidRDefault="006F210A" w:rsidP="006F210A">
      <w:pPr>
        <w:autoSpaceDE w:val="0"/>
        <w:autoSpaceDN w:val="0"/>
        <w:adjustRightInd w:val="0"/>
        <w:spacing w:line="240" w:lineRule="auto"/>
        <w:ind w:left="567" w:hanging="567"/>
        <w:rPr>
          <w:rFonts w:ascii="Cambria" w:hAnsi="Cambria" w:cs="Arial"/>
          <w:color w:val="000000"/>
        </w:rPr>
      </w:pPr>
      <w:r w:rsidRPr="009A0DA6">
        <w:rPr>
          <w:rFonts w:ascii="Cambria" w:hAnsi="Cambria" w:cs="SymbolMT"/>
          <w:color w:val="000000"/>
        </w:rPr>
        <w:t xml:space="preserve">• </w:t>
      </w:r>
      <w:r w:rsidRPr="009A0DA6">
        <w:rPr>
          <w:rFonts w:ascii="Cambria" w:hAnsi="Cambria" w:cs="SymbolMT"/>
          <w:color w:val="000000"/>
        </w:rPr>
        <w:tab/>
      </w:r>
      <w:r w:rsidRPr="009A0DA6">
        <w:rPr>
          <w:rFonts w:ascii="Cambria" w:hAnsi="Cambria" w:cs="Arial"/>
          <w:color w:val="000000"/>
        </w:rPr>
        <w:t>contribute towards the mission of the School as they live out their vocation in their specific appointment,</w:t>
      </w:r>
    </w:p>
    <w:p w14:paraId="1A601152" w14:textId="77777777" w:rsidR="006F210A" w:rsidRPr="009A0DA6" w:rsidRDefault="006F210A" w:rsidP="006F210A">
      <w:pPr>
        <w:autoSpaceDE w:val="0"/>
        <w:autoSpaceDN w:val="0"/>
        <w:adjustRightInd w:val="0"/>
        <w:spacing w:line="240" w:lineRule="auto"/>
        <w:ind w:left="567" w:hanging="567"/>
        <w:rPr>
          <w:rFonts w:ascii="Cambria" w:hAnsi="Cambria" w:cs="Arial"/>
          <w:color w:val="000000"/>
        </w:rPr>
      </w:pPr>
      <w:r w:rsidRPr="009A0DA6">
        <w:rPr>
          <w:rFonts w:ascii="Cambria" w:hAnsi="Cambria" w:cs="SymbolMT"/>
          <w:color w:val="000000"/>
        </w:rPr>
        <w:t xml:space="preserve">• </w:t>
      </w:r>
      <w:r w:rsidRPr="009A0DA6">
        <w:rPr>
          <w:rFonts w:ascii="Cambria" w:hAnsi="Cambria" w:cs="SymbolMT"/>
          <w:color w:val="000000"/>
        </w:rPr>
        <w:tab/>
      </w:r>
      <w:r w:rsidRPr="009A0DA6">
        <w:rPr>
          <w:rFonts w:ascii="Cambria" w:hAnsi="Cambria" w:cs="Arial"/>
          <w:color w:val="000000"/>
        </w:rPr>
        <w:t>are professionally competent to undertake the task to which they are appointed, and,</w:t>
      </w:r>
    </w:p>
    <w:p w14:paraId="7285410A" w14:textId="77777777" w:rsidR="006F210A" w:rsidRPr="009A0DA6" w:rsidRDefault="006F210A" w:rsidP="006F210A">
      <w:pPr>
        <w:autoSpaceDE w:val="0"/>
        <w:autoSpaceDN w:val="0"/>
        <w:adjustRightInd w:val="0"/>
        <w:spacing w:line="240" w:lineRule="auto"/>
        <w:ind w:left="567" w:hanging="567"/>
        <w:rPr>
          <w:rFonts w:ascii="Cambria" w:hAnsi="Cambria" w:cs="Arial"/>
          <w:color w:val="000000"/>
        </w:rPr>
      </w:pPr>
      <w:r w:rsidRPr="009A0DA6">
        <w:rPr>
          <w:rFonts w:ascii="Cambria" w:hAnsi="Cambria" w:cs="SymbolMT"/>
          <w:color w:val="000000"/>
        </w:rPr>
        <w:t xml:space="preserve">• </w:t>
      </w:r>
      <w:r w:rsidRPr="009A0DA6">
        <w:rPr>
          <w:rFonts w:ascii="Cambria" w:hAnsi="Cambria" w:cs="SymbolMT"/>
          <w:color w:val="000000"/>
        </w:rPr>
        <w:tab/>
      </w:r>
      <w:r w:rsidRPr="009A0DA6">
        <w:rPr>
          <w:rFonts w:ascii="Cambria" w:hAnsi="Cambria" w:cs="Arial"/>
          <w:color w:val="000000"/>
        </w:rPr>
        <w:t>are a witness to the love of God through Christ in the full range of relationships, programs and activities in which they are involved.</w:t>
      </w:r>
    </w:p>
    <w:p w14:paraId="7D1D1D0E" w14:textId="77777777" w:rsidR="006F210A" w:rsidRPr="009A0DA6" w:rsidRDefault="006F210A" w:rsidP="006F210A">
      <w:pPr>
        <w:autoSpaceDE w:val="0"/>
        <w:autoSpaceDN w:val="0"/>
        <w:adjustRightInd w:val="0"/>
        <w:spacing w:line="240" w:lineRule="auto"/>
        <w:rPr>
          <w:rFonts w:ascii="Cambria" w:hAnsi="Cambria" w:cs="Arial"/>
          <w:color w:val="000000"/>
        </w:rPr>
      </w:pPr>
      <w:r w:rsidRPr="009A0DA6">
        <w:rPr>
          <w:rFonts w:ascii="Cambria" w:hAnsi="Cambria" w:cs="Arial"/>
          <w:color w:val="000000"/>
        </w:rPr>
        <w:t>In addition, the LCA expects that those who hold positions of responsibility as educators:</w:t>
      </w:r>
    </w:p>
    <w:p w14:paraId="60F0AF2D" w14:textId="77777777" w:rsidR="006F210A" w:rsidRPr="009A0DA6" w:rsidRDefault="006F210A" w:rsidP="006F210A">
      <w:pPr>
        <w:autoSpaceDE w:val="0"/>
        <w:autoSpaceDN w:val="0"/>
        <w:adjustRightInd w:val="0"/>
        <w:spacing w:line="240" w:lineRule="auto"/>
        <w:ind w:left="567" w:hanging="567"/>
        <w:rPr>
          <w:rFonts w:ascii="Cambria" w:hAnsi="Cambria" w:cs="Arial"/>
          <w:color w:val="000000"/>
        </w:rPr>
      </w:pPr>
      <w:r w:rsidRPr="009A0DA6">
        <w:rPr>
          <w:rFonts w:ascii="Cambria" w:hAnsi="Cambria" w:cs="SymbolMT"/>
          <w:color w:val="000000"/>
        </w:rPr>
        <w:t xml:space="preserve">• </w:t>
      </w:r>
      <w:r w:rsidRPr="009A0DA6">
        <w:rPr>
          <w:rFonts w:ascii="Cambria" w:hAnsi="Cambria" w:cs="SymbolMT"/>
          <w:color w:val="000000"/>
        </w:rPr>
        <w:tab/>
      </w:r>
      <w:r w:rsidRPr="009A0DA6">
        <w:rPr>
          <w:rFonts w:ascii="Cambria" w:hAnsi="Cambria" w:cs="Arial"/>
          <w:color w:val="000000"/>
        </w:rPr>
        <w:t>have a basic understanding of and commitment to the Christian faith and a basic understanding and commitment to support the teachings of the Church, and the mission of the Lutheran School,</w:t>
      </w:r>
    </w:p>
    <w:p w14:paraId="0C7D2C64" w14:textId="77777777" w:rsidR="006F210A" w:rsidRPr="009A0DA6" w:rsidRDefault="006F210A" w:rsidP="006F210A">
      <w:pPr>
        <w:autoSpaceDE w:val="0"/>
        <w:autoSpaceDN w:val="0"/>
        <w:adjustRightInd w:val="0"/>
        <w:spacing w:line="240" w:lineRule="auto"/>
        <w:ind w:left="567" w:hanging="567"/>
        <w:rPr>
          <w:rFonts w:ascii="Cambria" w:hAnsi="Cambria" w:cs="Arial"/>
          <w:color w:val="000000"/>
        </w:rPr>
      </w:pPr>
      <w:r w:rsidRPr="009A0DA6">
        <w:rPr>
          <w:rFonts w:ascii="Cambria" w:hAnsi="Cambria" w:cs="SymbolMT"/>
          <w:color w:val="000000"/>
        </w:rPr>
        <w:t xml:space="preserve">• </w:t>
      </w:r>
      <w:r w:rsidRPr="009A0DA6">
        <w:rPr>
          <w:rFonts w:ascii="Cambria" w:hAnsi="Cambria" w:cs="SymbolMT"/>
          <w:color w:val="000000"/>
        </w:rPr>
        <w:tab/>
      </w:r>
      <w:r w:rsidRPr="009A0DA6">
        <w:rPr>
          <w:rFonts w:ascii="Cambria" w:hAnsi="Cambria" w:cs="Arial"/>
          <w:color w:val="000000"/>
        </w:rPr>
        <w:t>contribute to the mission of the School in some of the specific Christian activities of the School – worship, counselling, Christian Studies, and,</w:t>
      </w:r>
    </w:p>
    <w:p w14:paraId="391CA00A" w14:textId="77777777" w:rsidR="006F210A" w:rsidRPr="009A0DA6" w:rsidRDefault="006F210A" w:rsidP="006F210A">
      <w:pPr>
        <w:autoSpaceDE w:val="0"/>
        <w:autoSpaceDN w:val="0"/>
        <w:adjustRightInd w:val="0"/>
        <w:spacing w:line="240" w:lineRule="auto"/>
        <w:ind w:left="567" w:hanging="567"/>
        <w:rPr>
          <w:rFonts w:ascii="Cambria" w:hAnsi="Cambria" w:cs="Arial"/>
          <w:color w:val="000000"/>
        </w:rPr>
      </w:pPr>
      <w:r w:rsidRPr="009A0DA6">
        <w:rPr>
          <w:rFonts w:ascii="Cambria" w:hAnsi="Cambria" w:cs="SymbolMT"/>
          <w:color w:val="000000"/>
        </w:rPr>
        <w:t xml:space="preserve">• </w:t>
      </w:r>
      <w:r w:rsidRPr="009A0DA6">
        <w:rPr>
          <w:rFonts w:ascii="Cambria" w:hAnsi="Cambria" w:cs="SymbolMT"/>
          <w:color w:val="000000"/>
        </w:rPr>
        <w:tab/>
      </w:r>
      <w:r w:rsidRPr="009A0DA6">
        <w:rPr>
          <w:rFonts w:ascii="Cambria" w:hAnsi="Cambria" w:cs="Arial"/>
          <w:color w:val="000000"/>
        </w:rPr>
        <w:t>reflect on how they can develop in their understanding and competency to contribute more effectively to the mission of the Lutheran School.</w:t>
      </w:r>
    </w:p>
    <w:p w14:paraId="1A3483D1" w14:textId="77777777" w:rsidR="006F210A" w:rsidRPr="009A0DA6" w:rsidRDefault="006F210A" w:rsidP="006F210A">
      <w:pPr>
        <w:tabs>
          <w:tab w:val="left" w:pos="567"/>
        </w:tabs>
        <w:autoSpaceDE w:val="0"/>
        <w:autoSpaceDN w:val="0"/>
        <w:adjustRightInd w:val="0"/>
        <w:spacing w:line="240" w:lineRule="auto"/>
        <w:rPr>
          <w:rFonts w:ascii="Cambria" w:hAnsi="Cambria" w:cs="Arial"/>
          <w:b/>
          <w:bCs/>
          <w:color w:val="000000"/>
        </w:rPr>
      </w:pPr>
      <w:r w:rsidRPr="009A0DA6">
        <w:rPr>
          <w:rFonts w:ascii="Cambria" w:hAnsi="Cambria" w:cs="Arial"/>
          <w:b/>
          <w:bCs/>
          <w:color w:val="000000"/>
        </w:rPr>
        <w:t xml:space="preserve">4. </w:t>
      </w:r>
      <w:r w:rsidRPr="009A0DA6">
        <w:rPr>
          <w:rFonts w:ascii="Cambria" w:hAnsi="Cambria" w:cs="Arial"/>
          <w:b/>
          <w:bCs/>
          <w:color w:val="000000"/>
        </w:rPr>
        <w:tab/>
        <w:t>Theological development of staff</w:t>
      </w:r>
    </w:p>
    <w:p w14:paraId="6BB196C8" w14:textId="77777777" w:rsidR="006F210A" w:rsidRPr="009A0DA6" w:rsidRDefault="006F210A" w:rsidP="006F210A">
      <w:pPr>
        <w:autoSpaceDE w:val="0"/>
        <w:autoSpaceDN w:val="0"/>
        <w:adjustRightInd w:val="0"/>
        <w:spacing w:line="240" w:lineRule="auto"/>
        <w:rPr>
          <w:rFonts w:ascii="Cambria" w:hAnsi="Cambria" w:cs="Arial"/>
          <w:color w:val="000000"/>
        </w:rPr>
      </w:pPr>
      <w:r w:rsidRPr="009A0DA6">
        <w:rPr>
          <w:rFonts w:ascii="Cambria" w:hAnsi="Cambria" w:cs="Arial"/>
          <w:color w:val="000000"/>
        </w:rPr>
        <w:t>In order to advance the ethos of the School, the Church reserves the right to develop practices which ensure that all who work as educators in its Schools are willing to uphold those teachings in both word and deed. The Church establishes standards of theological training required to carry out particular educational tasks and leadership roles.</w:t>
      </w:r>
    </w:p>
    <w:p w14:paraId="16F256CB" w14:textId="77777777" w:rsidR="006F210A" w:rsidRPr="009A0DA6" w:rsidRDefault="006F210A" w:rsidP="006F210A">
      <w:pPr>
        <w:autoSpaceDE w:val="0"/>
        <w:autoSpaceDN w:val="0"/>
        <w:adjustRightInd w:val="0"/>
        <w:spacing w:line="240" w:lineRule="auto"/>
        <w:rPr>
          <w:rFonts w:ascii="Cambria" w:hAnsi="Cambria" w:cs="Arial"/>
          <w:color w:val="000000"/>
        </w:rPr>
      </w:pPr>
      <w:r w:rsidRPr="009A0DA6">
        <w:rPr>
          <w:rFonts w:ascii="Cambria" w:hAnsi="Cambria" w:cs="Arial"/>
          <w:color w:val="000000"/>
        </w:rPr>
        <w:t>The Church expects that those who work in the Lutheran School understand and support the School’s mission and are equipped to fulfil the Church’s expectations.</w:t>
      </w:r>
    </w:p>
    <w:p w14:paraId="69F85F05" w14:textId="77777777" w:rsidR="006F210A" w:rsidRPr="009A0DA6" w:rsidRDefault="006F210A" w:rsidP="006F210A">
      <w:pPr>
        <w:autoSpaceDE w:val="0"/>
        <w:autoSpaceDN w:val="0"/>
        <w:adjustRightInd w:val="0"/>
        <w:spacing w:line="240" w:lineRule="auto"/>
        <w:rPr>
          <w:rFonts w:ascii="Cambria" w:hAnsi="Cambria" w:cs="Arial"/>
          <w:color w:val="000000"/>
        </w:rPr>
      </w:pPr>
      <w:r w:rsidRPr="009A0DA6">
        <w:rPr>
          <w:rFonts w:ascii="Cambria" w:hAnsi="Cambria" w:cs="Arial"/>
          <w:color w:val="000000"/>
        </w:rPr>
        <w:t>These requirements reflect the responsibilities that each person has in the Lutheran School. Those involved in the education program as teachers and administrators are expected to have a clear understanding of the mission of the Lutheran School and engage in ongoing reflection on the practice of Lutheran schooling as it applies to their role. Other staff are expected to have an orientation to the ethos of the Lutheran School.</w:t>
      </w:r>
    </w:p>
    <w:p w14:paraId="78622246" w14:textId="77777777" w:rsidR="006F210A" w:rsidRPr="009A0DA6" w:rsidRDefault="006F210A" w:rsidP="006F210A">
      <w:pPr>
        <w:tabs>
          <w:tab w:val="left" w:pos="567"/>
        </w:tabs>
        <w:autoSpaceDE w:val="0"/>
        <w:autoSpaceDN w:val="0"/>
        <w:adjustRightInd w:val="0"/>
        <w:spacing w:line="240" w:lineRule="auto"/>
        <w:rPr>
          <w:rFonts w:ascii="Cambria" w:hAnsi="Cambria" w:cs="Arial"/>
          <w:b/>
          <w:bCs/>
          <w:color w:val="000000"/>
        </w:rPr>
      </w:pPr>
      <w:r w:rsidRPr="009A0DA6">
        <w:rPr>
          <w:rFonts w:ascii="Cambria" w:hAnsi="Cambria" w:cs="Arial"/>
          <w:b/>
          <w:bCs/>
          <w:color w:val="000000"/>
        </w:rPr>
        <w:lastRenderedPageBreak/>
        <w:t xml:space="preserve">5. </w:t>
      </w:r>
      <w:r w:rsidRPr="009A0DA6">
        <w:rPr>
          <w:rFonts w:ascii="Cambria" w:hAnsi="Cambria" w:cs="Arial"/>
          <w:b/>
          <w:bCs/>
          <w:color w:val="000000"/>
        </w:rPr>
        <w:tab/>
        <w:t>Accreditation of those involved in the education program of the Lutheran School</w:t>
      </w:r>
    </w:p>
    <w:p w14:paraId="67C9C100" w14:textId="77777777" w:rsidR="006F210A" w:rsidRPr="009A0DA6" w:rsidRDefault="006F210A" w:rsidP="006F210A">
      <w:pPr>
        <w:autoSpaceDE w:val="0"/>
        <w:autoSpaceDN w:val="0"/>
        <w:adjustRightInd w:val="0"/>
        <w:spacing w:line="240" w:lineRule="auto"/>
        <w:rPr>
          <w:rFonts w:ascii="Cambria" w:hAnsi="Cambria" w:cs="Arial"/>
          <w:color w:val="000000"/>
        </w:rPr>
      </w:pPr>
      <w:r w:rsidRPr="009A0DA6">
        <w:rPr>
          <w:rFonts w:ascii="Cambria" w:hAnsi="Cambria" w:cs="Arial"/>
          <w:color w:val="000000"/>
        </w:rPr>
        <w:t>All educators in Lutheran schools are required to be accredited by the Church.</w:t>
      </w:r>
    </w:p>
    <w:p w14:paraId="41FE1AA8" w14:textId="77777777" w:rsidR="006F210A" w:rsidRPr="009A0DA6" w:rsidRDefault="006F210A" w:rsidP="006F210A">
      <w:pPr>
        <w:autoSpaceDE w:val="0"/>
        <w:autoSpaceDN w:val="0"/>
        <w:adjustRightInd w:val="0"/>
        <w:spacing w:line="240" w:lineRule="auto"/>
        <w:rPr>
          <w:rFonts w:ascii="Cambria" w:hAnsi="Cambria" w:cs="Arial"/>
          <w:color w:val="000000"/>
        </w:rPr>
      </w:pPr>
      <w:r w:rsidRPr="009A0DA6">
        <w:rPr>
          <w:rFonts w:ascii="Cambria" w:hAnsi="Cambria" w:cs="Arial"/>
          <w:color w:val="000000"/>
        </w:rPr>
        <w:t>Accreditation involves the completion of required study that is relevant to the responsibility held, and is maintained by ongoing study and reflection.</w:t>
      </w:r>
    </w:p>
    <w:p w14:paraId="4C5169F6" w14:textId="77777777" w:rsidR="006F210A" w:rsidRPr="009A0DA6" w:rsidRDefault="006F210A" w:rsidP="006F210A">
      <w:pPr>
        <w:autoSpaceDE w:val="0"/>
        <w:autoSpaceDN w:val="0"/>
        <w:adjustRightInd w:val="0"/>
        <w:spacing w:line="240" w:lineRule="auto"/>
        <w:rPr>
          <w:rFonts w:ascii="Cambria" w:hAnsi="Cambria" w:cs="Arial"/>
          <w:color w:val="000000"/>
        </w:rPr>
      </w:pPr>
      <w:r w:rsidRPr="009A0DA6">
        <w:rPr>
          <w:rFonts w:ascii="Cambria" w:hAnsi="Cambria" w:cs="Arial"/>
          <w:color w:val="000000"/>
        </w:rPr>
        <w:t>Accreditation is the means whereby the Church can be assured that its teachings are known to and understood by those who work as educators in Lutheran Schools, and that those who lead the School or teach Christian Studies have an adequate grounding in Lutheran theology.</w:t>
      </w:r>
    </w:p>
    <w:p w14:paraId="6A5ACE6B" w14:textId="77777777" w:rsidR="006F210A" w:rsidRPr="009A0DA6" w:rsidRDefault="006F210A" w:rsidP="006F210A">
      <w:pPr>
        <w:autoSpaceDE w:val="0"/>
        <w:autoSpaceDN w:val="0"/>
        <w:adjustRightInd w:val="0"/>
        <w:spacing w:line="240" w:lineRule="auto"/>
        <w:rPr>
          <w:rFonts w:ascii="Cambria" w:hAnsi="Cambria" w:cs="Arial"/>
          <w:color w:val="000000"/>
        </w:rPr>
      </w:pPr>
      <w:r w:rsidRPr="009A0DA6">
        <w:rPr>
          <w:rFonts w:ascii="Cambria" w:hAnsi="Cambria" w:cs="Arial"/>
          <w:color w:val="000000"/>
        </w:rPr>
        <w:t>Requirements for accreditation are established by General Church Council on the advice of BLEA.</w:t>
      </w:r>
    </w:p>
    <w:p w14:paraId="38ADC6B9" w14:textId="77777777" w:rsidR="006F210A" w:rsidRPr="009A0DA6" w:rsidRDefault="006F210A" w:rsidP="006F210A">
      <w:pPr>
        <w:autoSpaceDE w:val="0"/>
        <w:autoSpaceDN w:val="0"/>
        <w:adjustRightInd w:val="0"/>
        <w:spacing w:line="240" w:lineRule="auto"/>
        <w:rPr>
          <w:rFonts w:ascii="Cambria" w:hAnsi="Cambria" w:cs="Arial"/>
          <w:color w:val="000000"/>
        </w:rPr>
      </w:pPr>
      <w:r w:rsidRPr="009A0DA6">
        <w:rPr>
          <w:rFonts w:ascii="Cambria" w:hAnsi="Cambria" w:cs="Arial"/>
          <w:color w:val="000000"/>
        </w:rPr>
        <w:t>The process of granting accreditation is the responsibility of the LEA National Office.</w:t>
      </w:r>
    </w:p>
    <w:p w14:paraId="7DAD779A" w14:textId="77777777" w:rsidR="006F210A" w:rsidRPr="009A0DA6" w:rsidRDefault="006F210A" w:rsidP="006F210A">
      <w:pPr>
        <w:autoSpaceDE w:val="0"/>
        <w:autoSpaceDN w:val="0"/>
        <w:adjustRightInd w:val="0"/>
        <w:spacing w:line="240" w:lineRule="auto"/>
        <w:rPr>
          <w:rFonts w:ascii="Cambria" w:hAnsi="Cambria" w:cs="Arial"/>
          <w:color w:val="000000"/>
        </w:rPr>
      </w:pPr>
      <w:r w:rsidRPr="009A0DA6">
        <w:rPr>
          <w:rFonts w:ascii="Cambria" w:hAnsi="Cambria" w:cs="Arial"/>
          <w:color w:val="000000"/>
        </w:rPr>
        <w:t>A register of those people who have been accredited for employment in the Lutheran School is maintained.</w:t>
      </w:r>
    </w:p>
    <w:p w14:paraId="02D24B55" w14:textId="77777777" w:rsidR="006F210A" w:rsidRPr="009A0DA6" w:rsidRDefault="006F210A" w:rsidP="006F210A">
      <w:pPr>
        <w:autoSpaceDE w:val="0"/>
        <w:autoSpaceDN w:val="0"/>
        <w:adjustRightInd w:val="0"/>
        <w:spacing w:line="240" w:lineRule="auto"/>
        <w:rPr>
          <w:rFonts w:ascii="Cambria" w:hAnsi="Cambria" w:cs="Arial"/>
          <w:color w:val="000000"/>
        </w:rPr>
      </w:pPr>
      <w:r w:rsidRPr="009A0DA6">
        <w:rPr>
          <w:rFonts w:ascii="Cambria" w:hAnsi="Cambria" w:cs="Arial"/>
          <w:color w:val="000000"/>
        </w:rPr>
        <w:t>It is the responsibility of the employing body to ensure that educators are properly equipped for their tasks in accordance with this policy. Letters of Appointment for all educators will include the Church’s expectations of the person for theological development.</w:t>
      </w:r>
    </w:p>
    <w:p w14:paraId="58A09D12" w14:textId="77777777" w:rsidR="006F210A" w:rsidRPr="009A0DA6" w:rsidRDefault="006F210A" w:rsidP="006F210A">
      <w:pPr>
        <w:autoSpaceDE w:val="0"/>
        <w:autoSpaceDN w:val="0"/>
        <w:adjustRightInd w:val="0"/>
        <w:spacing w:line="240" w:lineRule="auto"/>
        <w:rPr>
          <w:rFonts w:ascii="Cambria" w:hAnsi="Cambria" w:cs="Arial"/>
          <w:b/>
          <w:bCs/>
          <w:color w:val="000000"/>
        </w:rPr>
      </w:pPr>
      <w:r w:rsidRPr="009A0DA6">
        <w:rPr>
          <w:rFonts w:ascii="Cambria" w:hAnsi="Cambria" w:cs="Arial"/>
          <w:b/>
          <w:bCs/>
          <w:color w:val="000000"/>
        </w:rPr>
        <w:t>Glossary of Terms Used in Staffing Policy for Lutheran Schools</w:t>
      </w:r>
    </w:p>
    <w:p w14:paraId="24B6A74A" w14:textId="77777777" w:rsidR="006F210A" w:rsidRPr="009A0DA6" w:rsidRDefault="006F210A" w:rsidP="006F210A">
      <w:pPr>
        <w:autoSpaceDE w:val="0"/>
        <w:autoSpaceDN w:val="0"/>
        <w:adjustRightInd w:val="0"/>
        <w:spacing w:line="240" w:lineRule="auto"/>
        <w:rPr>
          <w:rFonts w:ascii="Cambria" w:hAnsi="Cambria" w:cs="Arial"/>
          <w:color w:val="000000"/>
        </w:rPr>
      </w:pPr>
      <w:r w:rsidRPr="009A0DA6">
        <w:rPr>
          <w:rFonts w:ascii="Cambria" w:hAnsi="Cambria" w:cs="Arial"/>
          <w:b/>
          <w:color w:val="000000"/>
        </w:rPr>
        <w:t>BLEA</w:t>
      </w:r>
      <w:r w:rsidRPr="009A0DA6">
        <w:rPr>
          <w:rFonts w:ascii="Cambria" w:hAnsi="Cambria" w:cs="Arial"/>
          <w:color w:val="000000"/>
        </w:rPr>
        <w:t>: Board for Lutheran Education Australia</w:t>
      </w:r>
    </w:p>
    <w:p w14:paraId="0E3C9402" w14:textId="77777777" w:rsidR="006F210A" w:rsidRPr="009A0DA6" w:rsidRDefault="006F210A" w:rsidP="006F210A">
      <w:pPr>
        <w:autoSpaceDE w:val="0"/>
        <w:autoSpaceDN w:val="0"/>
        <w:adjustRightInd w:val="0"/>
        <w:spacing w:line="240" w:lineRule="auto"/>
        <w:rPr>
          <w:rFonts w:ascii="Cambria" w:hAnsi="Cambria" w:cs="Arial"/>
          <w:color w:val="000000"/>
        </w:rPr>
      </w:pPr>
      <w:r w:rsidRPr="009A0DA6">
        <w:rPr>
          <w:rFonts w:ascii="Cambria" w:hAnsi="Cambria" w:cs="Arial"/>
          <w:b/>
          <w:color w:val="000000"/>
        </w:rPr>
        <w:t>Christian Studies</w:t>
      </w:r>
      <w:r w:rsidRPr="009A0DA6">
        <w:rPr>
          <w:rFonts w:ascii="Cambria" w:hAnsi="Cambria" w:cs="Arial"/>
          <w:color w:val="000000"/>
        </w:rPr>
        <w:t>: Those parts of the formal curriculum of the Lutheran School dealing specifically with Christian knowledge, attitudes, beliefs, values and practices</w:t>
      </w:r>
    </w:p>
    <w:p w14:paraId="4506C733" w14:textId="77777777" w:rsidR="006F210A" w:rsidRPr="009A0DA6" w:rsidRDefault="006F210A" w:rsidP="006F210A">
      <w:pPr>
        <w:autoSpaceDE w:val="0"/>
        <w:autoSpaceDN w:val="0"/>
        <w:adjustRightInd w:val="0"/>
        <w:spacing w:line="240" w:lineRule="auto"/>
        <w:rPr>
          <w:rFonts w:ascii="Cambria" w:hAnsi="Cambria" w:cs="Arial"/>
          <w:color w:val="000000"/>
        </w:rPr>
      </w:pPr>
      <w:r w:rsidRPr="009A0DA6">
        <w:rPr>
          <w:rFonts w:ascii="Cambria" w:hAnsi="Cambria" w:cs="Arial"/>
          <w:b/>
          <w:color w:val="000000"/>
        </w:rPr>
        <w:t>Church</w:t>
      </w:r>
      <w:r w:rsidRPr="009A0DA6">
        <w:rPr>
          <w:rFonts w:ascii="Cambria" w:hAnsi="Cambria" w:cs="Arial"/>
          <w:color w:val="000000"/>
        </w:rPr>
        <w:t>: The Lutheran Church of Australia</w:t>
      </w:r>
    </w:p>
    <w:p w14:paraId="3014CB64" w14:textId="77777777" w:rsidR="006F210A" w:rsidRPr="009A0DA6" w:rsidRDefault="006F210A" w:rsidP="006F210A">
      <w:pPr>
        <w:autoSpaceDE w:val="0"/>
        <w:autoSpaceDN w:val="0"/>
        <w:adjustRightInd w:val="0"/>
        <w:spacing w:line="240" w:lineRule="auto"/>
        <w:rPr>
          <w:rFonts w:ascii="Cambria" w:hAnsi="Cambria" w:cs="Arial"/>
          <w:color w:val="000000"/>
        </w:rPr>
      </w:pPr>
      <w:r w:rsidRPr="009A0DA6">
        <w:rPr>
          <w:rFonts w:ascii="Cambria" w:hAnsi="Cambria" w:cs="Arial"/>
          <w:b/>
          <w:color w:val="000000"/>
        </w:rPr>
        <w:t>Educator</w:t>
      </w:r>
      <w:r w:rsidRPr="009A0DA6">
        <w:rPr>
          <w:rFonts w:ascii="Cambria" w:hAnsi="Cambria" w:cs="Arial"/>
          <w:color w:val="000000"/>
        </w:rPr>
        <w:t>: Those employees of Lutheran Schools with educational qualifications who are teaching or administering Schools. The policy applies to those employed for 12 months or more.</w:t>
      </w:r>
    </w:p>
    <w:p w14:paraId="28CB8955" w14:textId="77777777" w:rsidR="006F210A" w:rsidRPr="009A0DA6" w:rsidRDefault="006F210A" w:rsidP="006F210A">
      <w:pPr>
        <w:autoSpaceDE w:val="0"/>
        <w:autoSpaceDN w:val="0"/>
        <w:adjustRightInd w:val="0"/>
        <w:spacing w:line="240" w:lineRule="auto"/>
        <w:rPr>
          <w:rFonts w:ascii="Cambria" w:hAnsi="Cambria" w:cs="Arial"/>
          <w:color w:val="000000"/>
        </w:rPr>
      </w:pPr>
      <w:r w:rsidRPr="009A0DA6">
        <w:rPr>
          <w:rFonts w:ascii="Cambria" w:hAnsi="Cambria" w:cs="Arial"/>
          <w:b/>
          <w:color w:val="000000"/>
        </w:rPr>
        <w:t>LCA</w:t>
      </w:r>
      <w:r w:rsidRPr="009A0DA6">
        <w:rPr>
          <w:rFonts w:ascii="Cambria" w:hAnsi="Cambria" w:cs="Arial"/>
          <w:color w:val="000000"/>
        </w:rPr>
        <w:t>: The Lutheran Church of Australia</w:t>
      </w:r>
    </w:p>
    <w:p w14:paraId="236038BA" w14:textId="77777777" w:rsidR="006F210A" w:rsidRPr="009A0DA6" w:rsidRDefault="006F210A" w:rsidP="006F210A">
      <w:pPr>
        <w:autoSpaceDE w:val="0"/>
        <w:autoSpaceDN w:val="0"/>
        <w:adjustRightInd w:val="0"/>
        <w:spacing w:line="240" w:lineRule="auto"/>
        <w:rPr>
          <w:rFonts w:ascii="Cambria" w:hAnsi="Cambria" w:cs="Arial"/>
          <w:color w:val="000000"/>
        </w:rPr>
      </w:pPr>
      <w:r w:rsidRPr="009A0DA6">
        <w:rPr>
          <w:rFonts w:ascii="Cambria" w:hAnsi="Cambria" w:cs="Arial"/>
          <w:b/>
          <w:color w:val="000000"/>
        </w:rPr>
        <w:t>Principal</w:t>
      </w:r>
      <w:r w:rsidRPr="009A0DA6">
        <w:rPr>
          <w:rFonts w:ascii="Cambria" w:hAnsi="Cambria" w:cs="Arial"/>
          <w:color w:val="000000"/>
        </w:rPr>
        <w:t>: The head of a School</w:t>
      </w:r>
    </w:p>
    <w:p w14:paraId="3D6D0FE9" w14:textId="77777777" w:rsidR="006F210A" w:rsidRPr="009A0DA6" w:rsidRDefault="006F210A" w:rsidP="006F210A">
      <w:pPr>
        <w:autoSpaceDE w:val="0"/>
        <w:autoSpaceDN w:val="0"/>
        <w:adjustRightInd w:val="0"/>
        <w:spacing w:line="240" w:lineRule="auto"/>
        <w:rPr>
          <w:rFonts w:ascii="Cambria" w:hAnsi="Cambria" w:cs="Arial"/>
          <w:color w:val="000000"/>
        </w:rPr>
      </w:pPr>
      <w:r w:rsidRPr="009A0DA6">
        <w:rPr>
          <w:rFonts w:ascii="Cambria" w:hAnsi="Cambria" w:cs="Arial"/>
          <w:b/>
          <w:color w:val="000000"/>
        </w:rPr>
        <w:t>School</w:t>
      </w:r>
      <w:r w:rsidRPr="009A0DA6">
        <w:rPr>
          <w:rFonts w:ascii="Cambria" w:hAnsi="Cambria" w:cs="Arial"/>
          <w:color w:val="000000"/>
        </w:rPr>
        <w:t>: The early childhood centres, P-12 colleges, secondary colleges, secondary Schools and primary Schools which operate in the name of the Lutheran Church of Australia.</w:t>
      </w:r>
    </w:p>
    <w:p w14:paraId="1C083D68" w14:textId="77777777" w:rsidR="006F210A" w:rsidRPr="009A0DA6" w:rsidRDefault="006F210A" w:rsidP="006F210A">
      <w:pPr>
        <w:rPr>
          <w:rFonts w:ascii="Cambria" w:hAnsi="Cambria"/>
        </w:rPr>
      </w:pPr>
    </w:p>
    <w:p w14:paraId="2BC13BAD" w14:textId="03287782" w:rsidR="006F210A" w:rsidRDefault="006F210A" w:rsidP="006F210A">
      <w:pPr>
        <w:tabs>
          <w:tab w:val="right" w:pos="5954"/>
          <w:tab w:val="right" w:pos="7371"/>
          <w:tab w:val="right" w:pos="8789"/>
        </w:tabs>
        <w:spacing w:before="120" w:after="120" w:line="240" w:lineRule="auto"/>
        <w:contextualSpacing/>
        <w:rPr>
          <w:rFonts w:ascii="Cambria" w:eastAsia="Times New Roman" w:hAnsi="Cambria" w:cs="Arial"/>
          <w:b/>
        </w:rPr>
      </w:pPr>
      <w:r>
        <w:br w:type="page"/>
      </w:r>
    </w:p>
    <w:p w14:paraId="025995EA" w14:textId="77777777" w:rsidR="0054360D" w:rsidRPr="009A0DA6" w:rsidRDefault="0054360D" w:rsidP="0054360D">
      <w:pPr>
        <w:pStyle w:val="Heading3"/>
      </w:pPr>
      <w:r w:rsidRPr="009A0DA6">
        <w:lastRenderedPageBreak/>
        <w:t>agenda 12.1</w:t>
      </w:r>
    </w:p>
    <w:p w14:paraId="41D8DA52" w14:textId="1B08FD4C" w:rsidR="0054360D" w:rsidRPr="009A0DA6" w:rsidRDefault="0054360D" w:rsidP="0054360D">
      <w:pPr>
        <w:pStyle w:val="Heading2"/>
      </w:pPr>
      <w:bookmarkStart w:id="507" w:name="_Toc521954747"/>
      <w:r w:rsidRPr="009A0DA6">
        <w:t>Finke River Mission</w:t>
      </w:r>
      <w:bookmarkEnd w:id="507"/>
      <w:r w:rsidR="00446899">
        <w:t xml:space="preserve"> Board</w:t>
      </w:r>
    </w:p>
    <w:p w14:paraId="373C4AFE" w14:textId="77777777" w:rsidR="0054360D" w:rsidRPr="009A0DA6" w:rsidRDefault="0054360D" w:rsidP="0054360D">
      <w:pPr>
        <w:pStyle w:val="Heading3"/>
      </w:pPr>
      <w:r w:rsidRPr="009A0DA6">
        <w:rPr>
          <w:sz w:val="18"/>
        </w:rPr>
        <w:br/>
      </w:r>
      <w:r w:rsidRPr="009A0DA6">
        <w:t>MEMBERS</w:t>
      </w:r>
    </w:p>
    <w:p w14:paraId="1F15BC88" w14:textId="77777777" w:rsidR="0054360D" w:rsidRPr="009A0DA6" w:rsidRDefault="0054360D" w:rsidP="0054360D">
      <w:pPr>
        <w:spacing w:before="120" w:after="120" w:line="240" w:lineRule="auto"/>
        <w:contextualSpacing/>
        <w:rPr>
          <w:rFonts w:ascii="Cambria" w:hAnsi="Cambria"/>
        </w:rPr>
      </w:pPr>
      <w:r w:rsidRPr="009A0DA6">
        <w:rPr>
          <w:rFonts w:ascii="Cambria" w:hAnsi="Cambria"/>
        </w:rPr>
        <w:t>Chris Guntner, John Heffernan, Michael Kenny (Resigned November 2016), Chris Pfeiffer, Rodney Schutz, Tim Stollznow (Chair), Suanne Tikoft, Robin Zadow</w:t>
      </w:r>
    </w:p>
    <w:p w14:paraId="1FEE611C" w14:textId="77777777" w:rsidR="0054360D" w:rsidRPr="009A0DA6" w:rsidRDefault="0054360D" w:rsidP="0054360D">
      <w:pPr>
        <w:spacing w:before="120" w:after="120" w:line="240" w:lineRule="auto"/>
        <w:contextualSpacing/>
        <w:rPr>
          <w:rFonts w:ascii="Cambria" w:hAnsi="Cambria"/>
          <w:b/>
        </w:rPr>
      </w:pPr>
    </w:p>
    <w:p w14:paraId="17102F63" w14:textId="77777777" w:rsidR="0054360D" w:rsidRPr="009A0DA6" w:rsidRDefault="0054360D" w:rsidP="0054360D">
      <w:pPr>
        <w:pStyle w:val="Heading3"/>
      </w:pPr>
      <w:r w:rsidRPr="009A0DA6">
        <w:t>Background</w:t>
      </w:r>
    </w:p>
    <w:p w14:paraId="62F6B5FD" w14:textId="77777777" w:rsidR="0054360D" w:rsidRPr="009A0DA6" w:rsidRDefault="0054360D" w:rsidP="0054360D">
      <w:pPr>
        <w:spacing w:before="120" w:after="120" w:line="240" w:lineRule="auto"/>
        <w:ind w:right="-144"/>
        <w:contextualSpacing/>
        <w:rPr>
          <w:rFonts w:ascii="Cambria" w:hAnsi="Cambria"/>
        </w:rPr>
      </w:pPr>
      <w:r w:rsidRPr="009A0DA6">
        <w:rPr>
          <w:rFonts w:ascii="Cambria" w:hAnsi="Cambria"/>
        </w:rPr>
        <w:t>FRM’s core activity involves supporting more than 20 Aboriginal pastors and over 40 other church leaders who, together with FRM personnel, share the Gospel with more than 6000 Aboriginal Lutheran people in 5 language groups located in remote towns and communities around Alice Springs.</w:t>
      </w:r>
    </w:p>
    <w:p w14:paraId="2DB0A0A0" w14:textId="77777777" w:rsidR="0054360D" w:rsidRPr="009A0DA6" w:rsidRDefault="0054360D" w:rsidP="0054360D">
      <w:pPr>
        <w:spacing w:before="120" w:after="120" w:line="240" w:lineRule="auto"/>
        <w:ind w:right="-285"/>
        <w:contextualSpacing/>
        <w:rPr>
          <w:rFonts w:ascii="Cambria" w:hAnsi="Cambria"/>
        </w:rPr>
      </w:pPr>
    </w:p>
    <w:p w14:paraId="6C0EDB4F" w14:textId="024E0FB5" w:rsidR="0054360D" w:rsidRPr="009A0DA6" w:rsidRDefault="0054360D" w:rsidP="0054360D">
      <w:pPr>
        <w:spacing w:before="120" w:after="120" w:line="240" w:lineRule="auto"/>
        <w:ind w:right="-285"/>
        <w:contextualSpacing/>
        <w:rPr>
          <w:rFonts w:ascii="Cambria" w:hAnsi="Cambria"/>
        </w:rPr>
      </w:pPr>
      <w:r w:rsidRPr="009A0DA6">
        <w:rPr>
          <w:rFonts w:ascii="Cambria" w:hAnsi="Cambria"/>
        </w:rPr>
        <w:t xml:space="preserve">FRM also provides Christian secondary education through Yirara College to around 250 Aboriginal boarding students from remote NT, SA, WA and </w:t>
      </w:r>
      <w:r w:rsidR="00E72999">
        <w:rPr>
          <w:rFonts w:ascii="Cambria" w:hAnsi="Cambria"/>
        </w:rPr>
        <w:t>Qld</w:t>
      </w:r>
      <w:r w:rsidRPr="009A0DA6">
        <w:rPr>
          <w:rFonts w:ascii="Cambria" w:hAnsi="Cambria"/>
        </w:rPr>
        <w:t>, a general store service and Historic Precinct management to Hermannsburg; both at the request of the local community.</w:t>
      </w:r>
    </w:p>
    <w:p w14:paraId="110066F4" w14:textId="77777777" w:rsidR="0054360D" w:rsidRPr="009A0DA6" w:rsidRDefault="0054360D" w:rsidP="0054360D">
      <w:pPr>
        <w:spacing w:before="120" w:after="120" w:line="240" w:lineRule="auto"/>
        <w:contextualSpacing/>
        <w:rPr>
          <w:rFonts w:ascii="Cambria" w:hAnsi="Cambria"/>
          <w:b/>
        </w:rPr>
      </w:pPr>
    </w:p>
    <w:p w14:paraId="577A5EDA" w14:textId="77777777" w:rsidR="0054360D" w:rsidRPr="009A0DA6" w:rsidRDefault="0054360D" w:rsidP="0054360D">
      <w:pPr>
        <w:pStyle w:val="Heading3"/>
      </w:pPr>
      <w:r w:rsidRPr="009A0DA6">
        <w:t>Achievement against Plan</w:t>
      </w:r>
    </w:p>
    <w:tbl>
      <w:tblPr>
        <w:tblStyle w:val="PlainTable2"/>
        <w:tblW w:w="8882" w:type="dxa"/>
        <w:tblLook w:val="04A0" w:firstRow="1" w:lastRow="0" w:firstColumn="1" w:lastColumn="0" w:noHBand="0" w:noVBand="1"/>
      </w:tblPr>
      <w:tblGrid>
        <w:gridCol w:w="2118"/>
        <w:gridCol w:w="3562"/>
        <w:gridCol w:w="3202"/>
      </w:tblGrid>
      <w:tr w:rsidR="0054360D" w:rsidRPr="009A0DA6" w14:paraId="4BCA6FEB" w14:textId="77777777" w:rsidTr="00975F5B">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118" w:type="dxa"/>
            <w:vAlign w:val="center"/>
            <w:hideMark/>
          </w:tcPr>
          <w:p w14:paraId="0C95C497" w14:textId="77777777" w:rsidR="0054360D" w:rsidRPr="009A0DA6" w:rsidRDefault="0054360D" w:rsidP="00275B7A">
            <w:pPr>
              <w:spacing w:before="120" w:after="120"/>
              <w:contextualSpacing/>
              <w:rPr>
                <w:rFonts w:ascii="Cambria" w:hAnsi="Cambria" w:cs="Arial"/>
              </w:rPr>
            </w:pPr>
            <w:r w:rsidRPr="009A0DA6">
              <w:rPr>
                <w:rFonts w:ascii="Cambria" w:hAnsi="Cambria" w:cs="Arial"/>
              </w:rPr>
              <w:t>Objectives</w:t>
            </w:r>
          </w:p>
        </w:tc>
        <w:tc>
          <w:tcPr>
            <w:tcW w:w="3562" w:type="dxa"/>
            <w:vAlign w:val="center"/>
            <w:hideMark/>
          </w:tcPr>
          <w:p w14:paraId="68A37DD7" w14:textId="77777777" w:rsidR="0054360D" w:rsidRPr="009A0DA6" w:rsidRDefault="0054360D" w:rsidP="00275B7A">
            <w:pPr>
              <w:spacing w:before="120" w:after="120"/>
              <w:contextualSpacing/>
              <w:cnfStyle w:val="100000000000" w:firstRow="1"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Planned Annual Activities/Outcomes</w:t>
            </w:r>
          </w:p>
        </w:tc>
        <w:tc>
          <w:tcPr>
            <w:tcW w:w="3202" w:type="dxa"/>
            <w:vAlign w:val="center"/>
            <w:hideMark/>
          </w:tcPr>
          <w:p w14:paraId="631F88A8" w14:textId="77777777" w:rsidR="0054360D" w:rsidRPr="009A0DA6" w:rsidRDefault="0054360D" w:rsidP="00275B7A">
            <w:pPr>
              <w:spacing w:before="120" w:after="120"/>
              <w:contextualSpacing/>
              <w:cnfStyle w:val="100000000000" w:firstRow="1"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Achievement of Annual Activities/Outcomes</w:t>
            </w:r>
          </w:p>
        </w:tc>
      </w:tr>
      <w:tr w:rsidR="0054360D" w:rsidRPr="009A0DA6" w14:paraId="18947157" w14:textId="77777777" w:rsidTr="00975F5B">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118" w:type="dxa"/>
            <w:hideMark/>
          </w:tcPr>
          <w:p w14:paraId="303470E0" w14:textId="77777777" w:rsidR="0054360D" w:rsidRPr="009A0DA6" w:rsidRDefault="0054360D" w:rsidP="00F55252">
            <w:pPr>
              <w:widowControl w:val="0"/>
              <w:numPr>
                <w:ilvl w:val="0"/>
                <w:numId w:val="248"/>
              </w:numPr>
              <w:suppressAutoHyphens/>
              <w:spacing w:before="120" w:after="120"/>
              <w:contextualSpacing/>
              <w:rPr>
                <w:rFonts w:ascii="Cambria" w:hAnsi="Cambria" w:cs="Arial"/>
              </w:rPr>
            </w:pPr>
            <w:r w:rsidRPr="009A0DA6">
              <w:rPr>
                <w:rFonts w:ascii="Cambria" w:hAnsi="Cambria" w:cs="Arial"/>
              </w:rPr>
              <w:t>Enhance &amp; grow mission activities</w:t>
            </w:r>
          </w:p>
        </w:tc>
        <w:tc>
          <w:tcPr>
            <w:tcW w:w="3562" w:type="dxa"/>
          </w:tcPr>
          <w:p w14:paraId="66DB076E" w14:textId="77777777" w:rsidR="0054360D" w:rsidRPr="009A0DA6" w:rsidRDefault="0054360D" w:rsidP="00F55252">
            <w:pPr>
              <w:pStyle w:val="ListParagraph"/>
              <w:numPr>
                <w:ilvl w:val="0"/>
                <w:numId w:val="249"/>
              </w:numPr>
              <w:spacing w:before="120" w:after="120" w:line="240" w:lineRule="auto"/>
              <w:ind w:left="460" w:hanging="426"/>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Continue to use the Pastoral Support Workers “Engagement Charter” to inform the board of ministry activities associated with each community.</w:t>
            </w:r>
          </w:p>
          <w:p w14:paraId="7BB900CB" w14:textId="77777777" w:rsidR="0054360D" w:rsidRPr="009A0DA6" w:rsidRDefault="0054360D" w:rsidP="00F55252">
            <w:pPr>
              <w:pStyle w:val="ListParagraph"/>
              <w:numPr>
                <w:ilvl w:val="0"/>
                <w:numId w:val="249"/>
              </w:numPr>
              <w:spacing w:before="120" w:after="120" w:line="240" w:lineRule="auto"/>
              <w:ind w:left="460" w:hanging="426"/>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 xml:space="preserve">Use the “Engagement Charter” for annual self-assessment and to identify ministry and training opportunities. </w:t>
            </w:r>
          </w:p>
          <w:p w14:paraId="036052ED" w14:textId="77777777" w:rsidR="0054360D" w:rsidRPr="009A0DA6" w:rsidRDefault="0054360D" w:rsidP="00F55252">
            <w:pPr>
              <w:pStyle w:val="ListParagraph"/>
              <w:numPr>
                <w:ilvl w:val="0"/>
                <w:numId w:val="249"/>
              </w:numPr>
              <w:spacing w:before="120" w:after="120" w:line="240" w:lineRule="auto"/>
              <w:ind w:left="460" w:hanging="426"/>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Provide effective support and communication channels for Pastoral Support Workers, staff and other LCA departments operating in Central Australia.</w:t>
            </w:r>
          </w:p>
          <w:p w14:paraId="215A0639" w14:textId="77777777" w:rsidR="0054360D" w:rsidRPr="009A0DA6" w:rsidRDefault="0054360D" w:rsidP="00F55252">
            <w:pPr>
              <w:pStyle w:val="ListParagraph"/>
              <w:numPr>
                <w:ilvl w:val="0"/>
                <w:numId w:val="249"/>
              </w:numPr>
              <w:spacing w:before="120" w:after="120" w:line="240" w:lineRule="auto"/>
              <w:ind w:left="460" w:hanging="426"/>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Train &amp; ordain Aboriginal Leaders.</w:t>
            </w:r>
          </w:p>
          <w:p w14:paraId="15AD6E0F" w14:textId="77777777" w:rsidR="0054360D" w:rsidRPr="009A0DA6" w:rsidRDefault="0054360D" w:rsidP="00F55252">
            <w:pPr>
              <w:pStyle w:val="ListParagraph"/>
              <w:numPr>
                <w:ilvl w:val="0"/>
                <w:numId w:val="249"/>
              </w:numPr>
              <w:spacing w:before="120" w:after="120" w:line="240" w:lineRule="auto"/>
              <w:ind w:left="460" w:hanging="426"/>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Identify opportunities for additional funding/partnerships to support the ministry</w:t>
            </w:r>
          </w:p>
        </w:tc>
        <w:tc>
          <w:tcPr>
            <w:tcW w:w="3202" w:type="dxa"/>
          </w:tcPr>
          <w:p w14:paraId="3963F583" w14:textId="77777777" w:rsidR="0054360D" w:rsidRPr="009A0DA6" w:rsidRDefault="0054360D" w:rsidP="00F55252">
            <w:pPr>
              <w:pStyle w:val="ListParagraph"/>
              <w:numPr>
                <w:ilvl w:val="0"/>
                <w:numId w:val="250"/>
              </w:numPr>
              <w:spacing w:before="120" w:after="120" w:line="240" w:lineRule="auto"/>
              <w:ind w:left="489" w:hanging="284"/>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Achieved, operating effectively.</w:t>
            </w:r>
          </w:p>
          <w:p w14:paraId="4ACE880B" w14:textId="77777777" w:rsidR="0054360D" w:rsidRPr="009A0DA6" w:rsidRDefault="0054360D" w:rsidP="00F55252">
            <w:pPr>
              <w:pStyle w:val="ListParagraph"/>
              <w:numPr>
                <w:ilvl w:val="0"/>
                <w:numId w:val="250"/>
              </w:numPr>
              <w:spacing w:before="120" w:after="120" w:line="240" w:lineRule="auto"/>
              <w:ind w:left="489" w:hanging="284"/>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Awaiting results of the Future Directions Paper.</w:t>
            </w:r>
          </w:p>
          <w:p w14:paraId="7045E596" w14:textId="77777777" w:rsidR="0054360D" w:rsidRPr="009A0DA6" w:rsidRDefault="0054360D" w:rsidP="00F55252">
            <w:pPr>
              <w:pStyle w:val="ListParagraph"/>
              <w:numPr>
                <w:ilvl w:val="0"/>
                <w:numId w:val="250"/>
              </w:numPr>
              <w:spacing w:before="120" w:after="120" w:line="240" w:lineRule="auto"/>
              <w:ind w:left="489" w:hanging="284"/>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Board and Bishops meet two or three times per year with Pastoral Support Workers, FRM staff and other LCA Departments.</w:t>
            </w:r>
          </w:p>
          <w:p w14:paraId="4485924B" w14:textId="77777777" w:rsidR="0054360D" w:rsidRPr="009A0DA6" w:rsidRDefault="0054360D" w:rsidP="00F55252">
            <w:pPr>
              <w:pStyle w:val="ListParagraph"/>
              <w:numPr>
                <w:ilvl w:val="0"/>
                <w:numId w:val="250"/>
              </w:numPr>
              <w:spacing w:before="120" w:after="120" w:line="240" w:lineRule="auto"/>
              <w:ind w:left="489" w:hanging="284"/>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A total of five separate Bush Courses held annually for men and women.</w:t>
            </w:r>
          </w:p>
          <w:p w14:paraId="534A292D" w14:textId="77777777" w:rsidR="0054360D" w:rsidRPr="009A0DA6" w:rsidRDefault="0054360D" w:rsidP="00F55252">
            <w:pPr>
              <w:pStyle w:val="ListParagraph"/>
              <w:numPr>
                <w:ilvl w:val="0"/>
                <w:numId w:val="250"/>
              </w:numPr>
              <w:spacing w:before="120" w:after="120" w:line="240" w:lineRule="auto"/>
              <w:ind w:left="489" w:hanging="284"/>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Partnership with the Bavarian Lutheran Church currently occurring</w:t>
            </w:r>
          </w:p>
          <w:p w14:paraId="5F1A8CB2" w14:textId="77777777" w:rsidR="0054360D" w:rsidRPr="009A0DA6" w:rsidRDefault="0054360D" w:rsidP="00AD09CB">
            <w:pPr>
              <w:spacing w:before="120" w:after="120"/>
              <w:ind w:left="489" w:hanging="284"/>
              <w:contextualSpacing/>
              <w:cnfStyle w:val="000000100000" w:firstRow="0" w:lastRow="0" w:firstColumn="0" w:lastColumn="0" w:oddVBand="0" w:evenVBand="0" w:oddHBand="1" w:evenHBand="0" w:firstRowFirstColumn="0" w:firstRowLastColumn="0" w:lastRowFirstColumn="0" w:lastRowLastColumn="0"/>
              <w:rPr>
                <w:rFonts w:ascii="Cambria" w:hAnsi="Cambria" w:cs="Arial"/>
              </w:rPr>
            </w:pPr>
          </w:p>
        </w:tc>
      </w:tr>
      <w:tr w:rsidR="0054360D" w:rsidRPr="009A0DA6" w14:paraId="46787C46" w14:textId="77777777" w:rsidTr="00975F5B">
        <w:trPr>
          <w:trHeight w:val="267"/>
        </w:trPr>
        <w:tc>
          <w:tcPr>
            <w:cnfStyle w:val="001000000000" w:firstRow="0" w:lastRow="0" w:firstColumn="1" w:lastColumn="0" w:oddVBand="0" w:evenVBand="0" w:oddHBand="0" w:evenHBand="0" w:firstRowFirstColumn="0" w:firstRowLastColumn="0" w:lastRowFirstColumn="0" w:lastRowLastColumn="0"/>
            <w:tcW w:w="2118" w:type="dxa"/>
            <w:hideMark/>
          </w:tcPr>
          <w:p w14:paraId="11CCE6EF" w14:textId="77777777" w:rsidR="0054360D" w:rsidRPr="009A0DA6" w:rsidRDefault="0054360D" w:rsidP="00F55252">
            <w:pPr>
              <w:widowControl w:val="0"/>
              <w:numPr>
                <w:ilvl w:val="0"/>
                <w:numId w:val="248"/>
              </w:numPr>
              <w:suppressAutoHyphens/>
              <w:spacing w:before="120" w:after="120"/>
              <w:contextualSpacing/>
              <w:rPr>
                <w:rFonts w:ascii="Cambria" w:hAnsi="Cambria" w:cs="Arial"/>
              </w:rPr>
            </w:pPr>
            <w:r w:rsidRPr="009A0DA6">
              <w:rPr>
                <w:rFonts w:ascii="Cambria" w:hAnsi="Cambria" w:cs="Arial"/>
              </w:rPr>
              <w:t>Create and promote pathways for others to be involved with ministry</w:t>
            </w:r>
          </w:p>
        </w:tc>
        <w:tc>
          <w:tcPr>
            <w:tcW w:w="3562" w:type="dxa"/>
          </w:tcPr>
          <w:p w14:paraId="7CC40782" w14:textId="77777777" w:rsidR="0054360D" w:rsidRPr="009A0DA6" w:rsidRDefault="0054360D" w:rsidP="00F55252">
            <w:pPr>
              <w:pStyle w:val="ListParagraph"/>
              <w:numPr>
                <w:ilvl w:val="0"/>
                <w:numId w:val="251"/>
              </w:numPr>
              <w:spacing w:before="120" w:after="120" w:line="240" w:lineRule="auto"/>
              <w:ind w:left="460" w:hanging="426"/>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Continue to encourage the visiting “Shed Men”, “Grey Nomads” and Lutheran Schools programs.</w:t>
            </w:r>
          </w:p>
          <w:p w14:paraId="0760F845" w14:textId="77777777" w:rsidR="0054360D" w:rsidRPr="009A0DA6" w:rsidRDefault="0054360D" w:rsidP="00F55252">
            <w:pPr>
              <w:pStyle w:val="ListParagraph"/>
              <w:numPr>
                <w:ilvl w:val="0"/>
                <w:numId w:val="251"/>
              </w:numPr>
              <w:spacing w:before="120" w:after="120" w:line="240" w:lineRule="auto"/>
              <w:ind w:left="460" w:hanging="426"/>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Ensure all staff and volunteers undergo cultural training.</w:t>
            </w:r>
          </w:p>
          <w:p w14:paraId="2E21343A" w14:textId="77777777" w:rsidR="0054360D" w:rsidRPr="009A0DA6" w:rsidRDefault="0054360D" w:rsidP="00F55252">
            <w:pPr>
              <w:pStyle w:val="ListParagraph"/>
              <w:numPr>
                <w:ilvl w:val="0"/>
                <w:numId w:val="251"/>
              </w:numPr>
              <w:spacing w:before="120" w:after="120" w:line="240" w:lineRule="auto"/>
              <w:ind w:left="460" w:hanging="426"/>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Encourage the Central Australian Women’s Choir,</w:t>
            </w:r>
          </w:p>
          <w:p w14:paraId="4ADD61A6" w14:textId="77777777" w:rsidR="0054360D" w:rsidRPr="009A0DA6" w:rsidRDefault="0054360D" w:rsidP="00F55252">
            <w:pPr>
              <w:pStyle w:val="ListParagraph"/>
              <w:numPr>
                <w:ilvl w:val="0"/>
                <w:numId w:val="251"/>
              </w:numPr>
              <w:spacing w:before="120" w:after="120" w:line="240" w:lineRule="auto"/>
              <w:ind w:left="460" w:hanging="426"/>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lastRenderedPageBreak/>
              <w:t>Establish a “Volunteer Coordinator” position together with other LCA Departments in Alice Springs</w:t>
            </w:r>
          </w:p>
        </w:tc>
        <w:tc>
          <w:tcPr>
            <w:tcW w:w="3202" w:type="dxa"/>
          </w:tcPr>
          <w:p w14:paraId="29F7E935" w14:textId="77777777" w:rsidR="0054360D" w:rsidRPr="009A0DA6" w:rsidRDefault="0054360D" w:rsidP="00F55252">
            <w:pPr>
              <w:pStyle w:val="ListParagraph"/>
              <w:numPr>
                <w:ilvl w:val="0"/>
                <w:numId w:val="252"/>
              </w:numPr>
              <w:spacing w:before="120" w:after="120" w:line="240" w:lineRule="auto"/>
              <w:ind w:left="489" w:hanging="284"/>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lastRenderedPageBreak/>
              <w:t>All programs continue to provide physical and spiritual support for locals and volunteers.</w:t>
            </w:r>
          </w:p>
          <w:p w14:paraId="26BA702B" w14:textId="77777777" w:rsidR="0054360D" w:rsidRPr="009A0DA6" w:rsidRDefault="0054360D" w:rsidP="00F55252">
            <w:pPr>
              <w:pStyle w:val="ListParagraph"/>
              <w:numPr>
                <w:ilvl w:val="0"/>
                <w:numId w:val="252"/>
              </w:numPr>
              <w:spacing w:before="120" w:after="120" w:line="240" w:lineRule="auto"/>
              <w:ind w:left="489" w:hanging="284"/>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Cultural training mandatory for new staff and volunteers.</w:t>
            </w:r>
          </w:p>
          <w:p w14:paraId="596DFA43" w14:textId="77777777" w:rsidR="0054360D" w:rsidRPr="009A0DA6" w:rsidRDefault="0054360D" w:rsidP="00F55252">
            <w:pPr>
              <w:pStyle w:val="ListParagraph"/>
              <w:numPr>
                <w:ilvl w:val="0"/>
                <w:numId w:val="252"/>
              </w:numPr>
              <w:spacing w:before="120" w:after="120" w:line="240" w:lineRule="auto"/>
              <w:ind w:left="489" w:hanging="284"/>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 xml:space="preserve">In 2016 the Central Australian Women’s Choir </w:t>
            </w:r>
            <w:r w:rsidRPr="009A0DA6">
              <w:rPr>
                <w:rFonts w:ascii="Cambria" w:hAnsi="Cambria" w:cs="Arial"/>
              </w:rPr>
              <w:lastRenderedPageBreak/>
              <w:t>visited Europe under the leadership of Pastor Rob Borgas. The Choir is currently planning a visit to the USA in 2018.</w:t>
            </w:r>
          </w:p>
          <w:p w14:paraId="6B26B19B" w14:textId="77777777" w:rsidR="0054360D" w:rsidRPr="009A0DA6" w:rsidRDefault="0054360D" w:rsidP="00F55252">
            <w:pPr>
              <w:pStyle w:val="ListParagraph"/>
              <w:numPr>
                <w:ilvl w:val="0"/>
                <w:numId w:val="252"/>
              </w:numPr>
              <w:spacing w:before="120" w:after="120" w:line="240" w:lineRule="auto"/>
              <w:ind w:left="489" w:hanging="284"/>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Incorporated into new FRM Admin role.</w:t>
            </w:r>
          </w:p>
        </w:tc>
      </w:tr>
      <w:tr w:rsidR="0054360D" w:rsidRPr="009A0DA6" w14:paraId="705A8D22" w14:textId="77777777" w:rsidTr="00975F5B">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118" w:type="dxa"/>
            <w:hideMark/>
          </w:tcPr>
          <w:p w14:paraId="174451BD" w14:textId="2523ABE7" w:rsidR="0054360D" w:rsidRPr="009A0DA6" w:rsidRDefault="0054360D" w:rsidP="00F55252">
            <w:pPr>
              <w:pStyle w:val="ListParagraph"/>
              <w:widowControl w:val="0"/>
              <w:numPr>
                <w:ilvl w:val="0"/>
                <w:numId w:val="248"/>
              </w:numPr>
              <w:suppressAutoHyphens/>
              <w:spacing w:before="120" w:after="120" w:line="240" w:lineRule="auto"/>
              <w:rPr>
                <w:rFonts w:ascii="Cambria" w:hAnsi="Cambria" w:cs="Arial"/>
              </w:rPr>
            </w:pPr>
            <w:r w:rsidRPr="009A0DA6">
              <w:rPr>
                <w:rFonts w:ascii="Cambria" w:hAnsi="Cambria" w:cs="Arial"/>
              </w:rPr>
              <w:lastRenderedPageBreak/>
              <w:t>Source supplementary funding for ministry</w:t>
            </w:r>
          </w:p>
        </w:tc>
        <w:tc>
          <w:tcPr>
            <w:tcW w:w="3562" w:type="dxa"/>
            <w:hideMark/>
          </w:tcPr>
          <w:p w14:paraId="33007E00" w14:textId="77777777" w:rsidR="0054360D" w:rsidRPr="005F21CD" w:rsidRDefault="0054360D" w:rsidP="00F55252">
            <w:pPr>
              <w:pStyle w:val="ListParagraph"/>
              <w:numPr>
                <w:ilvl w:val="0"/>
                <w:numId w:val="253"/>
              </w:numPr>
              <w:spacing w:before="120" w:after="120" w:line="240" w:lineRule="auto"/>
              <w:ind w:left="460" w:hanging="426"/>
              <w:cnfStyle w:val="000000100000" w:firstRow="0" w:lastRow="0" w:firstColumn="0" w:lastColumn="0" w:oddVBand="0" w:evenVBand="0" w:oddHBand="1" w:evenHBand="0" w:firstRowFirstColumn="0" w:firstRowLastColumn="0" w:lastRowFirstColumn="0" w:lastRowLastColumn="0"/>
              <w:rPr>
                <w:rFonts w:ascii="Cambria" w:hAnsi="Cambria" w:cs="Arial"/>
              </w:rPr>
            </w:pPr>
            <w:r w:rsidRPr="005F21CD">
              <w:rPr>
                <w:rFonts w:ascii="Cambria" w:hAnsi="Cambria" w:cs="Arial"/>
              </w:rPr>
              <w:t>Develop and restore Hermannsburg precinct for the benefit of locals and to supplement operations</w:t>
            </w:r>
          </w:p>
          <w:p w14:paraId="34EEA4A3" w14:textId="77777777" w:rsidR="0054360D" w:rsidRPr="005F21CD" w:rsidRDefault="0054360D" w:rsidP="00F55252">
            <w:pPr>
              <w:pStyle w:val="ListParagraph"/>
              <w:numPr>
                <w:ilvl w:val="0"/>
                <w:numId w:val="253"/>
              </w:numPr>
              <w:spacing w:before="120" w:after="120" w:line="240" w:lineRule="auto"/>
              <w:ind w:left="460" w:hanging="426"/>
              <w:cnfStyle w:val="000000100000" w:firstRow="0" w:lastRow="0" w:firstColumn="0" w:lastColumn="0" w:oddVBand="0" w:evenVBand="0" w:oddHBand="1" w:evenHBand="0" w:firstRowFirstColumn="0" w:firstRowLastColumn="0" w:lastRowFirstColumn="0" w:lastRowLastColumn="0"/>
              <w:rPr>
                <w:rFonts w:ascii="Cambria" w:hAnsi="Cambria" w:cs="Arial"/>
              </w:rPr>
            </w:pPr>
            <w:r w:rsidRPr="005F21CD">
              <w:rPr>
                <w:rFonts w:ascii="Cambria" w:hAnsi="Cambria" w:cs="Arial"/>
              </w:rPr>
              <w:t>Sell Flierl Court at Henley Beach for strategic financial benefit.</w:t>
            </w:r>
          </w:p>
          <w:p w14:paraId="422EC480" w14:textId="77777777" w:rsidR="0054360D" w:rsidRPr="005F21CD" w:rsidRDefault="0054360D" w:rsidP="00F55252">
            <w:pPr>
              <w:pStyle w:val="ListParagraph"/>
              <w:numPr>
                <w:ilvl w:val="0"/>
                <w:numId w:val="253"/>
              </w:numPr>
              <w:spacing w:before="120" w:after="120" w:line="240" w:lineRule="auto"/>
              <w:ind w:left="460" w:hanging="426"/>
              <w:cnfStyle w:val="000000100000" w:firstRow="0" w:lastRow="0" w:firstColumn="0" w:lastColumn="0" w:oddVBand="0" w:evenVBand="0" w:oddHBand="1" w:evenHBand="0" w:firstRowFirstColumn="0" w:firstRowLastColumn="0" w:lastRowFirstColumn="0" w:lastRowLastColumn="0"/>
              <w:rPr>
                <w:rFonts w:ascii="Cambria" w:hAnsi="Cambria" w:cs="Arial"/>
              </w:rPr>
            </w:pPr>
            <w:r w:rsidRPr="005F21CD">
              <w:rPr>
                <w:rFonts w:ascii="Cambria" w:hAnsi="Cambria" w:cs="Arial"/>
              </w:rPr>
              <w:t>Continue to manage financial assets to contribute to operations</w:t>
            </w:r>
          </w:p>
        </w:tc>
        <w:tc>
          <w:tcPr>
            <w:tcW w:w="3202" w:type="dxa"/>
            <w:hideMark/>
          </w:tcPr>
          <w:p w14:paraId="173540B0" w14:textId="77777777" w:rsidR="0054360D" w:rsidRPr="005F21CD" w:rsidRDefault="0054360D" w:rsidP="00F55252">
            <w:pPr>
              <w:pStyle w:val="ListParagraph"/>
              <w:numPr>
                <w:ilvl w:val="0"/>
                <w:numId w:val="254"/>
              </w:numPr>
              <w:spacing w:before="120" w:after="120" w:line="240" w:lineRule="auto"/>
              <w:ind w:left="489" w:hanging="284"/>
              <w:cnfStyle w:val="000000100000" w:firstRow="0" w:lastRow="0" w:firstColumn="0" w:lastColumn="0" w:oddVBand="0" w:evenVBand="0" w:oddHBand="1" w:evenHBand="0" w:firstRowFirstColumn="0" w:firstRowLastColumn="0" w:lastRowFirstColumn="0" w:lastRowLastColumn="0"/>
              <w:rPr>
                <w:rFonts w:ascii="Cambria" w:hAnsi="Cambria" w:cs="Arial"/>
              </w:rPr>
            </w:pPr>
            <w:r w:rsidRPr="005F21CD">
              <w:rPr>
                <w:rFonts w:ascii="Cambria" w:hAnsi="Cambria" w:cs="Arial"/>
              </w:rPr>
              <w:t>Northern Territory Government have announced an investment of $3,500,000 to be spent by the Historical Society in the 2018/19 financial year</w:t>
            </w:r>
          </w:p>
          <w:p w14:paraId="70FF5FC6" w14:textId="77777777" w:rsidR="0054360D" w:rsidRPr="005F21CD" w:rsidRDefault="0054360D" w:rsidP="00F55252">
            <w:pPr>
              <w:pStyle w:val="ListParagraph"/>
              <w:numPr>
                <w:ilvl w:val="0"/>
                <w:numId w:val="254"/>
              </w:numPr>
              <w:spacing w:before="120" w:after="120" w:line="240" w:lineRule="auto"/>
              <w:ind w:left="489" w:hanging="284"/>
              <w:cnfStyle w:val="000000100000" w:firstRow="0" w:lastRow="0" w:firstColumn="0" w:lastColumn="0" w:oddVBand="0" w:evenVBand="0" w:oddHBand="1" w:evenHBand="0" w:firstRowFirstColumn="0" w:firstRowLastColumn="0" w:lastRowFirstColumn="0" w:lastRowLastColumn="0"/>
              <w:rPr>
                <w:rFonts w:ascii="Cambria" w:hAnsi="Cambria" w:cs="Arial"/>
              </w:rPr>
            </w:pPr>
            <w:r w:rsidRPr="005F21CD">
              <w:rPr>
                <w:rFonts w:ascii="Cambria" w:hAnsi="Cambria" w:cs="Arial"/>
              </w:rPr>
              <w:t>Flierl Court sold for $1,544,000 in 2016.</w:t>
            </w:r>
          </w:p>
          <w:p w14:paraId="100A25D8" w14:textId="77777777" w:rsidR="0054360D" w:rsidRPr="005F21CD" w:rsidRDefault="0054360D" w:rsidP="00F55252">
            <w:pPr>
              <w:pStyle w:val="ListParagraph"/>
              <w:numPr>
                <w:ilvl w:val="0"/>
                <w:numId w:val="254"/>
              </w:numPr>
              <w:spacing w:before="120" w:after="120" w:line="240" w:lineRule="auto"/>
              <w:ind w:left="489" w:hanging="284"/>
              <w:cnfStyle w:val="000000100000" w:firstRow="0" w:lastRow="0" w:firstColumn="0" w:lastColumn="0" w:oddVBand="0" w:evenVBand="0" w:oddHBand="1" w:evenHBand="0" w:firstRowFirstColumn="0" w:firstRowLastColumn="0" w:lastRowFirstColumn="0" w:lastRowLastColumn="0"/>
              <w:rPr>
                <w:rFonts w:ascii="Cambria" w:hAnsi="Cambria" w:cs="Arial"/>
              </w:rPr>
            </w:pPr>
            <w:r w:rsidRPr="005F21CD">
              <w:rPr>
                <w:rFonts w:ascii="Cambria" w:hAnsi="Cambria" w:cs="Arial"/>
              </w:rPr>
              <w:t>Currently developing another residential property in Alice Springs which will be able to be rented</w:t>
            </w:r>
          </w:p>
        </w:tc>
      </w:tr>
      <w:tr w:rsidR="0054360D" w:rsidRPr="009A0DA6" w14:paraId="2BE5FC9D" w14:textId="77777777" w:rsidTr="00975F5B">
        <w:trPr>
          <w:trHeight w:val="252"/>
        </w:trPr>
        <w:tc>
          <w:tcPr>
            <w:cnfStyle w:val="001000000000" w:firstRow="0" w:lastRow="0" w:firstColumn="1" w:lastColumn="0" w:oddVBand="0" w:evenVBand="0" w:oddHBand="0" w:evenHBand="0" w:firstRowFirstColumn="0" w:firstRowLastColumn="0" w:lastRowFirstColumn="0" w:lastRowLastColumn="0"/>
            <w:tcW w:w="2118" w:type="dxa"/>
          </w:tcPr>
          <w:p w14:paraId="5CE53DFF" w14:textId="77777777" w:rsidR="0054360D" w:rsidRPr="009A0DA6" w:rsidRDefault="0054360D" w:rsidP="00AD09CB">
            <w:pPr>
              <w:widowControl w:val="0"/>
              <w:suppressAutoHyphens/>
              <w:spacing w:before="120" w:after="120"/>
              <w:contextualSpacing/>
              <w:rPr>
                <w:rFonts w:ascii="Cambria" w:hAnsi="Cambria" w:cs="Arial"/>
              </w:rPr>
            </w:pPr>
            <w:r w:rsidRPr="009A0DA6">
              <w:rPr>
                <w:rFonts w:ascii="Cambria" w:hAnsi="Cambria" w:cs="Arial"/>
              </w:rPr>
              <w:t>4.Ensure effective personnel and suitable resources are available now and into the future</w:t>
            </w:r>
          </w:p>
          <w:p w14:paraId="61884829" w14:textId="77777777" w:rsidR="0054360D" w:rsidRPr="009A0DA6" w:rsidRDefault="0054360D" w:rsidP="00AD09CB">
            <w:pPr>
              <w:widowControl w:val="0"/>
              <w:suppressAutoHyphens/>
              <w:spacing w:before="120" w:after="120"/>
              <w:contextualSpacing/>
              <w:rPr>
                <w:rFonts w:ascii="Cambria" w:hAnsi="Cambria" w:cs="Arial"/>
              </w:rPr>
            </w:pPr>
          </w:p>
        </w:tc>
        <w:tc>
          <w:tcPr>
            <w:tcW w:w="3562" w:type="dxa"/>
            <w:hideMark/>
          </w:tcPr>
          <w:p w14:paraId="444535A5" w14:textId="77777777" w:rsidR="0054360D" w:rsidRPr="009A0DA6" w:rsidRDefault="0054360D" w:rsidP="00F55252">
            <w:pPr>
              <w:pStyle w:val="ListParagraph"/>
              <w:numPr>
                <w:ilvl w:val="0"/>
                <w:numId w:val="255"/>
              </w:numPr>
              <w:spacing w:before="120" w:after="120" w:line="240" w:lineRule="auto"/>
              <w:ind w:left="460" w:hanging="426"/>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Encourage the LCA to support the Future Directions Paper as endorsed by relevant LCA groups in Central Australia</w:t>
            </w:r>
          </w:p>
          <w:p w14:paraId="2E27D23C" w14:textId="77777777" w:rsidR="0054360D" w:rsidRPr="009A0DA6" w:rsidRDefault="0054360D" w:rsidP="00F55252">
            <w:pPr>
              <w:pStyle w:val="ListParagraph"/>
              <w:numPr>
                <w:ilvl w:val="0"/>
                <w:numId w:val="255"/>
              </w:numPr>
              <w:spacing w:before="120" w:after="120" w:line="240" w:lineRule="auto"/>
              <w:ind w:left="460" w:hanging="426"/>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Two new FRM pastors to be installed in 2018</w:t>
            </w:r>
          </w:p>
        </w:tc>
        <w:tc>
          <w:tcPr>
            <w:tcW w:w="3202" w:type="dxa"/>
            <w:hideMark/>
          </w:tcPr>
          <w:p w14:paraId="48B912BA" w14:textId="77777777" w:rsidR="0054360D" w:rsidRPr="009A0DA6" w:rsidRDefault="0054360D" w:rsidP="00F55252">
            <w:pPr>
              <w:pStyle w:val="ListParagraph"/>
              <w:numPr>
                <w:ilvl w:val="0"/>
                <w:numId w:val="256"/>
              </w:numPr>
              <w:spacing w:before="120" w:after="120" w:line="240" w:lineRule="auto"/>
              <w:ind w:left="489" w:hanging="284"/>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Discussions and reviews currently being undertaken by the LCA.</w:t>
            </w:r>
          </w:p>
          <w:p w14:paraId="7F10359E" w14:textId="77777777" w:rsidR="0054360D" w:rsidRPr="009A0DA6" w:rsidRDefault="0054360D" w:rsidP="00F55252">
            <w:pPr>
              <w:pStyle w:val="ListParagraph"/>
              <w:numPr>
                <w:ilvl w:val="0"/>
                <w:numId w:val="256"/>
              </w:numPr>
              <w:spacing w:before="120" w:after="120" w:line="240" w:lineRule="auto"/>
              <w:ind w:left="489" w:hanging="284"/>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Pastors Michael Jacobsen and Basil Schild to be installed</w:t>
            </w:r>
          </w:p>
        </w:tc>
      </w:tr>
      <w:tr w:rsidR="0054360D" w:rsidRPr="009A0DA6" w14:paraId="6E6A7801" w14:textId="77777777" w:rsidTr="00975F5B">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118" w:type="dxa"/>
            <w:hideMark/>
          </w:tcPr>
          <w:p w14:paraId="3118E396" w14:textId="77777777" w:rsidR="0054360D" w:rsidRPr="009A0DA6" w:rsidRDefault="0054360D" w:rsidP="00AD09CB">
            <w:pPr>
              <w:widowControl w:val="0"/>
              <w:suppressAutoHyphens/>
              <w:spacing w:before="120" w:after="120"/>
              <w:contextualSpacing/>
              <w:rPr>
                <w:rFonts w:ascii="Cambria" w:hAnsi="Cambria"/>
              </w:rPr>
            </w:pPr>
            <w:r w:rsidRPr="009A0DA6">
              <w:rPr>
                <w:rFonts w:ascii="Cambria" w:hAnsi="Cambria"/>
              </w:rPr>
              <w:t>5.Nurture and enhance the unique ministry of Yirara College</w:t>
            </w:r>
          </w:p>
        </w:tc>
        <w:tc>
          <w:tcPr>
            <w:tcW w:w="3562" w:type="dxa"/>
            <w:hideMark/>
          </w:tcPr>
          <w:p w14:paraId="22DFAF16" w14:textId="77777777" w:rsidR="0054360D" w:rsidRPr="009A0DA6" w:rsidRDefault="0054360D" w:rsidP="00F55252">
            <w:pPr>
              <w:pStyle w:val="ListParagraph"/>
              <w:numPr>
                <w:ilvl w:val="0"/>
                <w:numId w:val="257"/>
              </w:numPr>
              <w:spacing w:before="120" w:after="120" w:line="240" w:lineRule="auto"/>
              <w:ind w:left="460" w:hanging="426"/>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Retain and grow student base</w:t>
            </w:r>
          </w:p>
          <w:p w14:paraId="7A4C9E4E" w14:textId="77777777" w:rsidR="0054360D" w:rsidRPr="009A0DA6" w:rsidRDefault="0054360D" w:rsidP="00F55252">
            <w:pPr>
              <w:pStyle w:val="ListParagraph"/>
              <w:numPr>
                <w:ilvl w:val="0"/>
                <w:numId w:val="257"/>
              </w:numPr>
              <w:spacing w:before="120" w:after="120" w:line="240" w:lineRule="auto"/>
              <w:ind w:left="460" w:hanging="426"/>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Ensure effective staff support and training</w:t>
            </w:r>
          </w:p>
          <w:p w14:paraId="686202D4" w14:textId="77777777" w:rsidR="0054360D" w:rsidRPr="009A0DA6" w:rsidRDefault="0054360D" w:rsidP="00F55252">
            <w:pPr>
              <w:pStyle w:val="ListParagraph"/>
              <w:numPr>
                <w:ilvl w:val="0"/>
                <w:numId w:val="257"/>
              </w:numPr>
              <w:spacing w:before="120" w:after="120" w:line="240" w:lineRule="auto"/>
              <w:ind w:left="460" w:hanging="426"/>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Reduce operational and reputational risks</w:t>
            </w:r>
          </w:p>
          <w:p w14:paraId="13137FD2" w14:textId="77777777" w:rsidR="0054360D" w:rsidRPr="009A0DA6" w:rsidRDefault="0054360D" w:rsidP="00F55252">
            <w:pPr>
              <w:pStyle w:val="ListParagraph"/>
              <w:numPr>
                <w:ilvl w:val="0"/>
                <w:numId w:val="257"/>
              </w:numPr>
              <w:spacing w:before="120" w:after="120" w:line="240" w:lineRule="auto"/>
              <w:ind w:left="460" w:hanging="426"/>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Seek to engage indigenous staff and to involve families across the region through an “Indigenous Steering Committee”.</w:t>
            </w:r>
          </w:p>
          <w:p w14:paraId="6E1B57FA" w14:textId="77777777" w:rsidR="0054360D" w:rsidRPr="009A0DA6" w:rsidRDefault="0054360D" w:rsidP="00F55252">
            <w:pPr>
              <w:pStyle w:val="ListParagraph"/>
              <w:numPr>
                <w:ilvl w:val="0"/>
                <w:numId w:val="257"/>
              </w:numPr>
              <w:spacing w:before="120" w:after="120" w:line="240" w:lineRule="auto"/>
              <w:ind w:left="460" w:hanging="426"/>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Regular visits to remote communities by staff</w:t>
            </w:r>
          </w:p>
          <w:p w14:paraId="2A0B16F8" w14:textId="77777777" w:rsidR="0054360D" w:rsidRPr="009A0DA6" w:rsidRDefault="0054360D" w:rsidP="00F55252">
            <w:pPr>
              <w:pStyle w:val="ListParagraph"/>
              <w:numPr>
                <w:ilvl w:val="0"/>
                <w:numId w:val="257"/>
              </w:numPr>
              <w:spacing w:before="120" w:after="120" w:line="240" w:lineRule="auto"/>
              <w:ind w:left="460" w:hanging="426"/>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Yirara TV</w:t>
            </w:r>
          </w:p>
        </w:tc>
        <w:tc>
          <w:tcPr>
            <w:tcW w:w="3202" w:type="dxa"/>
            <w:hideMark/>
          </w:tcPr>
          <w:p w14:paraId="067CF965" w14:textId="77777777" w:rsidR="0054360D" w:rsidRPr="009A0DA6" w:rsidRDefault="0054360D" w:rsidP="00F55252">
            <w:pPr>
              <w:pStyle w:val="ListParagraph"/>
              <w:numPr>
                <w:ilvl w:val="0"/>
                <w:numId w:val="258"/>
              </w:numPr>
              <w:spacing w:before="120" w:after="120" w:line="240" w:lineRule="auto"/>
              <w:ind w:left="489" w:hanging="284"/>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Enrolments are stable. Funds claiming is thorough.</w:t>
            </w:r>
          </w:p>
          <w:p w14:paraId="03784E3E" w14:textId="77777777" w:rsidR="0054360D" w:rsidRPr="009A0DA6" w:rsidRDefault="0054360D" w:rsidP="00F55252">
            <w:pPr>
              <w:pStyle w:val="ListParagraph"/>
              <w:numPr>
                <w:ilvl w:val="0"/>
                <w:numId w:val="258"/>
              </w:numPr>
              <w:spacing w:before="120" w:after="120" w:line="240" w:lineRule="auto"/>
              <w:ind w:left="489" w:hanging="284"/>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Strategic and Operational Plans are developed and reported against.</w:t>
            </w:r>
          </w:p>
          <w:p w14:paraId="395E5CFE" w14:textId="77777777" w:rsidR="0054360D" w:rsidRPr="009A0DA6" w:rsidRDefault="0054360D" w:rsidP="00F55252">
            <w:pPr>
              <w:pStyle w:val="ListParagraph"/>
              <w:numPr>
                <w:ilvl w:val="0"/>
                <w:numId w:val="258"/>
              </w:numPr>
              <w:spacing w:before="120" w:after="120" w:line="240" w:lineRule="auto"/>
              <w:ind w:left="489" w:hanging="284"/>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 xml:space="preserve">Exit Interviews provide insights into care opportunities. Professional Development opportunities are identified and encouraged. </w:t>
            </w:r>
          </w:p>
          <w:p w14:paraId="74224626" w14:textId="77777777" w:rsidR="0054360D" w:rsidRPr="009A0DA6" w:rsidRDefault="0054360D" w:rsidP="00F55252">
            <w:pPr>
              <w:pStyle w:val="ListParagraph"/>
              <w:numPr>
                <w:ilvl w:val="0"/>
                <w:numId w:val="258"/>
              </w:numPr>
              <w:spacing w:before="120" w:after="120" w:line="240" w:lineRule="auto"/>
              <w:ind w:left="489" w:hanging="284"/>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The college is on a sound financial footing and its reputation continues to build positive press.</w:t>
            </w:r>
          </w:p>
          <w:p w14:paraId="61EA23C0" w14:textId="77777777" w:rsidR="0054360D" w:rsidRPr="009A0DA6" w:rsidRDefault="0054360D" w:rsidP="00F55252">
            <w:pPr>
              <w:pStyle w:val="ListParagraph"/>
              <w:numPr>
                <w:ilvl w:val="0"/>
                <w:numId w:val="258"/>
              </w:numPr>
              <w:spacing w:before="120" w:after="120" w:line="240" w:lineRule="auto"/>
              <w:ind w:left="489" w:hanging="284"/>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 xml:space="preserve">Yirara employs more than 10 indigenous staff </w:t>
            </w:r>
          </w:p>
        </w:tc>
      </w:tr>
    </w:tbl>
    <w:p w14:paraId="058AB6DA" w14:textId="77777777" w:rsidR="0054360D" w:rsidRPr="009A0DA6" w:rsidRDefault="0054360D" w:rsidP="0054360D">
      <w:pPr>
        <w:spacing w:before="120" w:after="120" w:line="240" w:lineRule="auto"/>
        <w:contextualSpacing/>
        <w:rPr>
          <w:rFonts w:ascii="Cambria" w:hAnsi="Cambria"/>
          <w:b/>
        </w:rPr>
      </w:pPr>
    </w:p>
    <w:p w14:paraId="35957FAB" w14:textId="77777777" w:rsidR="0054360D" w:rsidRPr="009A0DA6" w:rsidRDefault="0054360D" w:rsidP="0054360D">
      <w:pPr>
        <w:pStyle w:val="Heading3"/>
        <w:rPr>
          <w:lang w:val="en-US" w:eastAsia="ja-JP"/>
        </w:rPr>
      </w:pPr>
      <w:r w:rsidRPr="009A0DA6">
        <w:t>Successes</w:t>
      </w:r>
    </w:p>
    <w:p w14:paraId="434F9EFC" w14:textId="77777777" w:rsidR="0054360D" w:rsidRPr="009A0DA6" w:rsidRDefault="0054360D" w:rsidP="00F55252">
      <w:pPr>
        <w:numPr>
          <w:ilvl w:val="0"/>
          <w:numId w:val="259"/>
        </w:numPr>
        <w:spacing w:before="120" w:after="120" w:line="240" w:lineRule="auto"/>
        <w:ind w:left="567" w:hanging="567"/>
        <w:contextualSpacing/>
        <w:rPr>
          <w:rFonts w:ascii="Cambria" w:hAnsi="Cambria"/>
        </w:rPr>
      </w:pPr>
      <w:r w:rsidRPr="009A0DA6">
        <w:rPr>
          <w:rFonts w:ascii="Cambria" w:hAnsi="Cambria"/>
        </w:rPr>
        <w:t xml:space="preserve">Future Directions Paper which covers future of LCA in Central Australia – developed, endorsed by relevant bodies and approved by GCC </w:t>
      </w:r>
    </w:p>
    <w:p w14:paraId="6092F78C" w14:textId="77777777" w:rsidR="0054360D" w:rsidRPr="009A0DA6" w:rsidRDefault="0054360D" w:rsidP="00F55252">
      <w:pPr>
        <w:numPr>
          <w:ilvl w:val="0"/>
          <w:numId w:val="259"/>
        </w:numPr>
        <w:spacing w:before="120" w:after="120" w:line="240" w:lineRule="auto"/>
        <w:ind w:left="567" w:hanging="567"/>
        <w:contextualSpacing/>
        <w:rPr>
          <w:rFonts w:ascii="Cambria" w:hAnsi="Cambria"/>
        </w:rPr>
      </w:pPr>
      <w:r w:rsidRPr="009A0DA6">
        <w:rPr>
          <w:rFonts w:ascii="Cambria" w:hAnsi="Cambria"/>
        </w:rPr>
        <w:t>SMP process completed for Neville Doecke (Hermannsburg) and Mark Thiel (Alice Springs)</w:t>
      </w:r>
    </w:p>
    <w:p w14:paraId="012F9313" w14:textId="77777777" w:rsidR="0054360D" w:rsidRPr="009A0DA6" w:rsidRDefault="0054360D" w:rsidP="00F55252">
      <w:pPr>
        <w:numPr>
          <w:ilvl w:val="0"/>
          <w:numId w:val="259"/>
        </w:numPr>
        <w:spacing w:before="120" w:after="120" w:line="240" w:lineRule="auto"/>
        <w:ind w:left="567" w:hanging="567"/>
        <w:contextualSpacing/>
        <w:rPr>
          <w:rFonts w:ascii="Cambria" w:hAnsi="Cambria"/>
        </w:rPr>
      </w:pPr>
      <w:r w:rsidRPr="009A0DA6">
        <w:rPr>
          <w:rFonts w:ascii="Cambria" w:hAnsi="Cambria"/>
        </w:rPr>
        <w:t>Faithful service of staff</w:t>
      </w:r>
    </w:p>
    <w:p w14:paraId="1929F1E2" w14:textId="77777777" w:rsidR="0054360D" w:rsidRPr="009A0DA6" w:rsidRDefault="0054360D" w:rsidP="00F55252">
      <w:pPr>
        <w:numPr>
          <w:ilvl w:val="0"/>
          <w:numId w:val="259"/>
        </w:numPr>
        <w:spacing w:before="120" w:after="120" w:line="240" w:lineRule="auto"/>
        <w:ind w:left="567" w:hanging="567"/>
        <w:contextualSpacing/>
        <w:rPr>
          <w:rFonts w:ascii="Cambria" w:hAnsi="Cambria"/>
        </w:rPr>
      </w:pPr>
      <w:r w:rsidRPr="009A0DA6">
        <w:rPr>
          <w:rFonts w:ascii="Cambria" w:hAnsi="Cambria"/>
        </w:rPr>
        <w:lastRenderedPageBreak/>
        <w:t>Process to engage Pastor Michael Jacobsen of the Evangelical Lutheran Church Bavaria (Germany) as a Pastoral Support Worker has begun.</w:t>
      </w:r>
    </w:p>
    <w:p w14:paraId="7931247F" w14:textId="77777777" w:rsidR="0054360D" w:rsidRPr="009A0DA6" w:rsidRDefault="0054360D" w:rsidP="00F55252">
      <w:pPr>
        <w:numPr>
          <w:ilvl w:val="0"/>
          <w:numId w:val="259"/>
        </w:numPr>
        <w:spacing w:before="120" w:after="120" w:line="240" w:lineRule="auto"/>
        <w:ind w:left="567" w:hanging="567"/>
        <w:contextualSpacing/>
        <w:rPr>
          <w:rFonts w:ascii="Cambria" w:hAnsi="Cambria"/>
        </w:rPr>
      </w:pPr>
      <w:r w:rsidRPr="009A0DA6">
        <w:rPr>
          <w:rFonts w:ascii="Cambria" w:hAnsi="Cambria"/>
        </w:rPr>
        <w:t>Hundreds of baptisms and confirmations, worshiping with family groups and communities hungry for the gospel</w:t>
      </w:r>
    </w:p>
    <w:p w14:paraId="6D5206B8" w14:textId="77777777" w:rsidR="0054360D" w:rsidRPr="009A0DA6" w:rsidRDefault="0054360D" w:rsidP="00F55252">
      <w:pPr>
        <w:numPr>
          <w:ilvl w:val="0"/>
          <w:numId w:val="259"/>
        </w:numPr>
        <w:spacing w:before="120" w:after="120" w:line="240" w:lineRule="auto"/>
        <w:ind w:left="567" w:hanging="567"/>
        <w:contextualSpacing/>
        <w:rPr>
          <w:rFonts w:ascii="Cambria" w:hAnsi="Cambria"/>
        </w:rPr>
      </w:pPr>
      <w:r w:rsidRPr="009A0DA6">
        <w:rPr>
          <w:rFonts w:ascii="Cambria" w:hAnsi="Cambria"/>
        </w:rPr>
        <w:t>Hermannsburg Historic Precinct funding stabilised, development grants of $3,500,000 obtained for the Historical Society; visitation and business continues to improve.</w:t>
      </w:r>
    </w:p>
    <w:p w14:paraId="7ED8BCB2" w14:textId="77777777" w:rsidR="0054360D" w:rsidRPr="009A0DA6" w:rsidRDefault="0054360D" w:rsidP="00F55252">
      <w:pPr>
        <w:numPr>
          <w:ilvl w:val="0"/>
          <w:numId w:val="259"/>
        </w:numPr>
        <w:spacing w:before="120" w:after="120" w:line="240" w:lineRule="auto"/>
        <w:ind w:left="567" w:hanging="567"/>
        <w:contextualSpacing/>
        <w:rPr>
          <w:rFonts w:ascii="Cambria" w:hAnsi="Cambria"/>
        </w:rPr>
      </w:pPr>
      <w:r w:rsidRPr="009A0DA6">
        <w:rPr>
          <w:rFonts w:ascii="Cambria" w:hAnsi="Cambria"/>
        </w:rPr>
        <w:t>Coordinator of Volunteers for Central Australia incorporated into FRM Admin Role.</w:t>
      </w:r>
    </w:p>
    <w:p w14:paraId="5BCC029B" w14:textId="77777777" w:rsidR="0054360D" w:rsidRPr="009A0DA6" w:rsidRDefault="0054360D" w:rsidP="00F55252">
      <w:pPr>
        <w:numPr>
          <w:ilvl w:val="0"/>
          <w:numId w:val="259"/>
        </w:numPr>
        <w:spacing w:before="120" w:after="120" w:line="240" w:lineRule="auto"/>
        <w:ind w:left="567" w:hanging="567"/>
        <w:contextualSpacing/>
        <w:rPr>
          <w:rFonts w:ascii="Cambria" w:hAnsi="Cambria"/>
        </w:rPr>
      </w:pPr>
      <w:r w:rsidRPr="009A0DA6">
        <w:rPr>
          <w:rFonts w:ascii="Cambria" w:hAnsi="Cambria"/>
        </w:rPr>
        <w:t>Hermannsburg store bakery is a training location for food handling, health and safety, customer service</w:t>
      </w:r>
    </w:p>
    <w:p w14:paraId="3C8CDD95" w14:textId="77777777" w:rsidR="0054360D" w:rsidRPr="009A0DA6" w:rsidRDefault="0054360D" w:rsidP="00F55252">
      <w:pPr>
        <w:numPr>
          <w:ilvl w:val="0"/>
          <w:numId w:val="259"/>
        </w:numPr>
        <w:spacing w:before="120" w:after="120" w:line="240" w:lineRule="auto"/>
        <w:ind w:left="567" w:hanging="567"/>
        <w:contextualSpacing/>
        <w:rPr>
          <w:rFonts w:ascii="Cambria" w:hAnsi="Cambria"/>
        </w:rPr>
      </w:pPr>
      <w:r w:rsidRPr="009A0DA6">
        <w:rPr>
          <w:rFonts w:ascii="Cambria" w:hAnsi="Cambria"/>
        </w:rPr>
        <w:t>Hermannsburg store staff and volunteers provide good service and a surplus for use in ministry</w:t>
      </w:r>
    </w:p>
    <w:p w14:paraId="031D7ED7" w14:textId="77777777" w:rsidR="0054360D" w:rsidRPr="009A0DA6" w:rsidRDefault="0054360D" w:rsidP="00F55252">
      <w:pPr>
        <w:numPr>
          <w:ilvl w:val="0"/>
          <w:numId w:val="259"/>
        </w:numPr>
        <w:spacing w:before="120" w:after="120" w:line="240" w:lineRule="auto"/>
        <w:ind w:left="567" w:hanging="567"/>
        <w:contextualSpacing/>
        <w:rPr>
          <w:rFonts w:ascii="Cambria" w:hAnsi="Cambria"/>
        </w:rPr>
      </w:pPr>
      <w:r w:rsidRPr="009A0DA6">
        <w:rPr>
          <w:rFonts w:ascii="Cambria" w:hAnsi="Cambria"/>
        </w:rPr>
        <w:t>Lutheran School visits to Central Australia</w:t>
      </w:r>
    </w:p>
    <w:p w14:paraId="1D97AC30" w14:textId="77777777" w:rsidR="0054360D" w:rsidRPr="009A0DA6" w:rsidRDefault="0054360D" w:rsidP="00F55252">
      <w:pPr>
        <w:numPr>
          <w:ilvl w:val="0"/>
          <w:numId w:val="259"/>
        </w:numPr>
        <w:spacing w:before="120" w:after="120" w:line="240" w:lineRule="auto"/>
        <w:ind w:left="567" w:hanging="567"/>
        <w:contextualSpacing/>
        <w:rPr>
          <w:rFonts w:ascii="Cambria" w:hAnsi="Cambria"/>
        </w:rPr>
      </w:pPr>
      <w:r w:rsidRPr="009A0DA6">
        <w:rPr>
          <w:rFonts w:ascii="Cambria" w:hAnsi="Cambria"/>
        </w:rPr>
        <w:t>Shed Men volunteers for Hermannsburg and other areas</w:t>
      </w:r>
    </w:p>
    <w:p w14:paraId="5EB57C1D" w14:textId="77777777" w:rsidR="0054360D" w:rsidRPr="009A0DA6" w:rsidRDefault="0054360D" w:rsidP="00F55252">
      <w:pPr>
        <w:numPr>
          <w:ilvl w:val="0"/>
          <w:numId w:val="259"/>
        </w:numPr>
        <w:spacing w:before="120" w:after="120" w:line="240" w:lineRule="auto"/>
        <w:ind w:left="567" w:hanging="567"/>
        <w:contextualSpacing/>
        <w:rPr>
          <w:rFonts w:ascii="Cambria" w:hAnsi="Cambria"/>
        </w:rPr>
      </w:pPr>
      <w:r w:rsidRPr="009A0DA6">
        <w:rPr>
          <w:rFonts w:ascii="Cambria" w:hAnsi="Cambria"/>
        </w:rPr>
        <w:t>Choir activities continue to be strong</w:t>
      </w:r>
    </w:p>
    <w:p w14:paraId="73674ABC" w14:textId="77777777" w:rsidR="0054360D" w:rsidRPr="009A0DA6" w:rsidRDefault="0054360D" w:rsidP="00F55252">
      <w:pPr>
        <w:numPr>
          <w:ilvl w:val="0"/>
          <w:numId w:val="259"/>
        </w:numPr>
        <w:spacing w:before="120" w:after="120" w:line="240" w:lineRule="auto"/>
        <w:ind w:left="567" w:hanging="567"/>
        <w:contextualSpacing/>
        <w:rPr>
          <w:rFonts w:ascii="Cambria" w:hAnsi="Cambria"/>
        </w:rPr>
      </w:pPr>
      <w:r w:rsidRPr="009A0DA6">
        <w:rPr>
          <w:rFonts w:ascii="Cambria" w:hAnsi="Cambria"/>
        </w:rPr>
        <w:t>PR activities beyond “Christ in the Centre” is occurring</w:t>
      </w:r>
    </w:p>
    <w:p w14:paraId="5CAB0535" w14:textId="77777777" w:rsidR="0054360D" w:rsidRPr="009A0DA6" w:rsidRDefault="0054360D" w:rsidP="00F55252">
      <w:pPr>
        <w:numPr>
          <w:ilvl w:val="0"/>
          <w:numId w:val="259"/>
        </w:numPr>
        <w:spacing w:before="120" w:after="120" w:line="240" w:lineRule="auto"/>
        <w:ind w:left="567" w:hanging="567"/>
        <w:contextualSpacing/>
        <w:rPr>
          <w:rFonts w:ascii="Cambria" w:hAnsi="Cambria"/>
        </w:rPr>
      </w:pPr>
      <w:r w:rsidRPr="009A0DA6">
        <w:rPr>
          <w:rFonts w:ascii="Cambria" w:hAnsi="Cambria"/>
        </w:rPr>
        <w:t>Continued stabilisation and development of Yirara College</w:t>
      </w:r>
    </w:p>
    <w:p w14:paraId="27F3A649" w14:textId="77777777" w:rsidR="0054360D" w:rsidRPr="009A0DA6" w:rsidRDefault="0054360D" w:rsidP="00F55252">
      <w:pPr>
        <w:numPr>
          <w:ilvl w:val="0"/>
          <w:numId w:val="259"/>
        </w:numPr>
        <w:spacing w:before="120" w:after="120" w:line="240" w:lineRule="auto"/>
        <w:ind w:left="567" w:hanging="567"/>
        <w:contextualSpacing/>
        <w:rPr>
          <w:rFonts w:ascii="Cambria" w:hAnsi="Cambria"/>
        </w:rPr>
      </w:pPr>
      <w:r w:rsidRPr="009A0DA6">
        <w:rPr>
          <w:rFonts w:ascii="Cambria" w:hAnsi="Cambria"/>
        </w:rPr>
        <w:t>Pastor Basil Schild has accepted a call to serve as Chaplain of Yirara College beginning July 2018</w:t>
      </w:r>
    </w:p>
    <w:p w14:paraId="493F04CD" w14:textId="77777777" w:rsidR="0054360D" w:rsidRPr="009A0DA6" w:rsidRDefault="0054360D" w:rsidP="00F55252">
      <w:pPr>
        <w:numPr>
          <w:ilvl w:val="0"/>
          <w:numId w:val="259"/>
        </w:numPr>
        <w:spacing w:before="120" w:after="120" w:line="240" w:lineRule="auto"/>
        <w:ind w:left="567" w:hanging="567"/>
        <w:contextualSpacing/>
        <w:rPr>
          <w:rFonts w:ascii="Cambria" w:hAnsi="Cambria"/>
        </w:rPr>
      </w:pPr>
      <w:r w:rsidRPr="009A0DA6">
        <w:rPr>
          <w:rFonts w:ascii="Cambria" w:hAnsi="Cambria"/>
        </w:rPr>
        <w:t>Close engagement with NT and Federal Departments of Education</w:t>
      </w:r>
    </w:p>
    <w:p w14:paraId="11A814DA" w14:textId="77777777" w:rsidR="0054360D" w:rsidRPr="009A0DA6" w:rsidRDefault="0054360D" w:rsidP="00F55252">
      <w:pPr>
        <w:numPr>
          <w:ilvl w:val="0"/>
          <w:numId w:val="259"/>
        </w:numPr>
        <w:spacing w:before="120" w:after="120" w:line="240" w:lineRule="auto"/>
        <w:ind w:left="567" w:hanging="567"/>
        <w:contextualSpacing/>
        <w:rPr>
          <w:rFonts w:ascii="Cambria" w:hAnsi="Cambria"/>
        </w:rPr>
      </w:pPr>
      <w:r w:rsidRPr="009A0DA6">
        <w:rPr>
          <w:rFonts w:ascii="Cambria" w:hAnsi="Cambria"/>
        </w:rPr>
        <w:t>Federal review of “Abstudy” funding acknowledges need for greater assistance and better processes</w:t>
      </w:r>
    </w:p>
    <w:p w14:paraId="7834A3A4" w14:textId="77777777" w:rsidR="0054360D" w:rsidRPr="009A0DA6" w:rsidRDefault="0054360D" w:rsidP="0054360D">
      <w:pPr>
        <w:spacing w:before="120" w:after="120" w:line="240" w:lineRule="auto"/>
        <w:contextualSpacing/>
        <w:rPr>
          <w:rFonts w:ascii="Cambria" w:hAnsi="Cambria"/>
          <w:b/>
        </w:rPr>
      </w:pPr>
    </w:p>
    <w:p w14:paraId="1676D07A" w14:textId="77777777" w:rsidR="0054360D" w:rsidRPr="009A0DA6" w:rsidRDefault="0054360D" w:rsidP="0054360D">
      <w:pPr>
        <w:pStyle w:val="Heading3"/>
      </w:pPr>
      <w:r w:rsidRPr="009A0DA6">
        <w:t>Challenges and Lessons Learned</w:t>
      </w:r>
    </w:p>
    <w:p w14:paraId="6728A292" w14:textId="77777777" w:rsidR="0054360D" w:rsidRPr="009A0DA6" w:rsidRDefault="0054360D" w:rsidP="00F55252">
      <w:pPr>
        <w:numPr>
          <w:ilvl w:val="0"/>
          <w:numId w:val="260"/>
        </w:numPr>
        <w:spacing w:before="120" w:after="120" w:line="240" w:lineRule="auto"/>
        <w:ind w:left="567" w:hanging="567"/>
        <w:contextualSpacing/>
        <w:rPr>
          <w:rFonts w:ascii="Cambria" w:hAnsi="Cambria"/>
        </w:rPr>
      </w:pPr>
      <w:r w:rsidRPr="009A0DA6">
        <w:rPr>
          <w:rFonts w:ascii="Cambria" w:hAnsi="Cambria"/>
        </w:rPr>
        <w:t>Effectively supporting our pastors in a complex, isolated and unique environment is very important. Progress against the initiatives in the Future Directors Paper is important</w:t>
      </w:r>
    </w:p>
    <w:p w14:paraId="1CF1BB78" w14:textId="77777777" w:rsidR="0054360D" w:rsidRPr="009A0DA6" w:rsidRDefault="0054360D" w:rsidP="00F55252">
      <w:pPr>
        <w:numPr>
          <w:ilvl w:val="0"/>
          <w:numId w:val="260"/>
        </w:numPr>
        <w:spacing w:before="120" w:after="120" w:line="240" w:lineRule="auto"/>
        <w:ind w:left="567" w:hanging="567"/>
        <w:contextualSpacing/>
        <w:rPr>
          <w:rFonts w:ascii="Cambria" w:hAnsi="Cambria"/>
        </w:rPr>
      </w:pPr>
      <w:r w:rsidRPr="009A0DA6">
        <w:rPr>
          <w:rFonts w:ascii="Cambria" w:hAnsi="Cambria"/>
        </w:rPr>
        <w:t>Policy, systems and processes are important for "corporate knowledge", consistency and transparency. It is important that everyone understands that systems and processes is not to be feared</w:t>
      </w:r>
    </w:p>
    <w:p w14:paraId="00B1AAD0" w14:textId="77777777" w:rsidR="0054360D" w:rsidRPr="009A0DA6" w:rsidRDefault="0054360D" w:rsidP="00F55252">
      <w:pPr>
        <w:numPr>
          <w:ilvl w:val="0"/>
          <w:numId w:val="260"/>
        </w:numPr>
        <w:spacing w:before="120" w:after="120" w:line="240" w:lineRule="auto"/>
        <w:ind w:left="567" w:hanging="567"/>
        <w:contextualSpacing/>
        <w:rPr>
          <w:rFonts w:ascii="Cambria" w:hAnsi="Cambria"/>
        </w:rPr>
      </w:pPr>
      <w:r w:rsidRPr="009A0DA6">
        <w:rPr>
          <w:rFonts w:ascii="Cambria" w:hAnsi="Cambria"/>
        </w:rPr>
        <w:t>Co-ordination and communication is fundamental to efficiency, effectiveness and engagement, it cannot be assumed that people will do this naturally to the extent required</w:t>
      </w:r>
    </w:p>
    <w:p w14:paraId="3AF2943A" w14:textId="77777777" w:rsidR="0054360D" w:rsidRPr="009A0DA6" w:rsidRDefault="0054360D" w:rsidP="00F55252">
      <w:pPr>
        <w:numPr>
          <w:ilvl w:val="0"/>
          <w:numId w:val="260"/>
        </w:numPr>
        <w:spacing w:before="120" w:after="120" w:line="240" w:lineRule="auto"/>
        <w:ind w:left="567" w:hanging="567"/>
        <w:contextualSpacing/>
        <w:rPr>
          <w:rFonts w:ascii="Cambria" w:hAnsi="Cambria"/>
        </w:rPr>
      </w:pPr>
      <w:r w:rsidRPr="009A0DA6">
        <w:rPr>
          <w:rFonts w:ascii="Cambria" w:hAnsi="Cambria"/>
        </w:rPr>
        <w:t>Pentecostals - see risks</w:t>
      </w:r>
    </w:p>
    <w:p w14:paraId="072D446D" w14:textId="77777777" w:rsidR="0054360D" w:rsidRPr="009A0DA6" w:rsidRDefault="0054360D" w:rsidP="00F55252">
      <w:pPr>
        <w:numPr>
          <w:ilvl w:val="0"/>
          <w:numId w:val="260"/>
        </w:numPr>
        <w:spacing w:before="120" w:after="120" w:line="240" w:lineRule="auto"/>
        <w:ind w:left="567" w:hanging="567"/>
        <w:contextualSpacing/>
        <w:rPr>
          <w:rFonts w:ascii="Cambria" w:hAnsi="Cambria"/>
        </w:rPr>
      </w:pPr>
      <w:r w:rsidRPr="009A0DA6">
        <w:rPr>
          <w:rFonts w:ascii="Cambria" w:hAnsi="Cambria"/>
        </w:rPr>
        <w:t>Mission ready pastors and other personnel - see Risks</w:t>
      </w:r>
    </w:p>
    <w:p w14:paraId="6EA6AFE2" w14:textId="77777777" w:rsidR="0054360D" w:rsidRPr="009A0DA6" w:rsidRDefault="0054360D" w:rsidP="00F55252">
      <w:pPr>
        <w:numPr>
          <w:ilvl w:val="0"/>
          <w:numId w:val="260"/>
        </w:numPr>
        <w:spacing w:before="120" w:after="120" w:line="240" w:lineRule="auto"/>
        <w:ind w:left="567" w:hanging="567"/>
        <w:contextualSpacing/>
        <w:rPr>
          <w:rFonts w:ascii="Cambria" w:hAnsi="Cambria"/>
        </w:rPr>
      </w:pPr>
      <w:r w:rsidRPr="009A0DA6">
        <w:rPr>
          <w:rFonts w:ascii="Cambria" w:hAnsi="Cambria"/>
        </w:rPr>
        <w:t>Alice Springs Aboriginal Ministry - see Risks</w:t>
      </w:r>
    </w:p>
    <w:p w14:paraId="0BB66A57" w14:textId="77777777" w:rsidR="0054360D" w:rsidRPr="009A0DA6" w:rsidRDefault="0054360D" w:rsidP="00F55252">
      <w:pPr>
        <w:numPr>
          <w:ilvl w:val="0"/>
          <w:numId w:val="260"/>
        </w:numPr>
        <w:spacing w:before="120" w:after="120" w:line="240" w:lineRule="auto"/>
        <w:ind w:left="567" w:hanging="567"/>
        <w:contextualSpacing/>
        <w:rPr>
          <w:rFonts w:ascii="Cambria" w:hAnsi="Cambria"/>
        </w:rPr>
      </w:pPr>
      <w:r w:rsidRPr="009A0DA6">
        <w:rPr>
          <w:rFonts w:ascii="Cambria" w:hAnsi="Cambria"/>
        </w:rPr>
        <w:t>Funding for Hermannsburg Precinct requires continued discussions with the Northern Territory Government</w:t>
      </w:r>
    </w:p>
    <w:p w14:paraId="701A3B2F" w14:textId="77777777" w:rsidR="0054360D" w:rsidRPr="009A0DA6" w:rsidRDefault="0054360D" w:rsidP="00F55252">
      <w:pPr>
        <w:numPr>
          <w:ilvl w:val="0"/>
          <w:numId w:val="260"/>
        </w:numPr>
        <w:spacing w:before="120" w:after="120" w:line="240" w:lineRule="auto"/>
        <w:ind w:left="567" w:hanging="567"/>
        <w:contextualSpacing/>
        <w:rPr>
          <w:rFonts w:ascii="Cambria" w:hAnsi="Cambria"/>
        </w:rPr>
      </w:pPr>
      <w:r w:rsidRPr="009A0DA6">
        <w:rPr>
          <w:rFonts w:ascii="Cambria" w:hAnsi="Cambria"/>
        </w:rPr>
        <w:t>Funding for Yirara College requires continued lobbying with Federal Government ministers</w:t>
      </w:r>
    </w:p>
    <w:p w14:paraId="395D6107" w14:textId="77777777" w:rsidR="0054360D" w:rsidRPr="009A0DA6" w:rsidRDefault="0054360D" w:rsidP="0054360D">
      <w:pPr>
        <w:spacing w:before="120" w:after="120" w:line="240" w:lineRule="auto"/>
        <w:ind w:left="720"/>
        <w:contextualSpacing/>
        <w:rPr>
          <w:rFonts w:ascii="Cambria" w:hAnsi="Cambria"/>
        </w:rPr>
      </w:pPr>
    </w:p>
    <w:p w14:paraId="4E601332" w14:textId="765AB631" w:rsidR="0054360D" w:rsidRPr="009A0DA6" w:rsidRDefault="0054360D" w:rsidP="0054360D">
      <w:pPr>
        <w:pStyle w:val="Heading3"/>
      </w:pPr>
      <w:r w:rsidRPr="009A0DA6">
        <w:t>Risks</w:t>
      </w:r>
    </w:p>
    <w:tbl>
      <w:tblPr>
        <w:tblStyle w:val="PlainTable2"/>
        <w:tblW w:w="8647" w:type="dxa"/>
        <w:tblLook w:val="04A0" w:firstRow="1" w:lastRow="0" w:firstColumn="1" w:lastColumn="0" w:noHBand="0" w:noVBand="1"/>
      </w:tblPr>
      <w:tblGrid>
        <w:gridCol w:w="2268"/>
        <w:gridCol w:w="3005"/>
        <w:gridCol w:w="3374"/>
      </w:tblGrid>
      <w:tr w:rsidR="0054360D" w:rsidRPr="009A0DA6" w14:paraId="0097E802" w14:textId="77777777" w:rsidTr="00975F5B">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268" w:type="dxa"/>
            <w:vAlign w:val="center"/>
            <w:hideMark/>
          </w:tcPr>
          <w:p w14:paraId="56CD5435" w14:textId="77777777" w:rsidR="0054360D" w:rsidRPr="009A0DA6" w:rsidRDefault="0054360D" w:rsidP="0015713F">
            <w:pPr>
              <w:spacing w:before="120" w:after="120"/>
              <w:contextualSpacing/>
              <w:rPr>
                <w:rFonts w:ascii="Cambria" w:hAnsi="Cambria" w:cs="Arial"/>
              </w:rPr>
            </w:pPr>
            <w:r w:rsidRPr="009A0DA6">
              <w:rPr>
                <w:rFonts w:ascii="Cambria" w:hAnsi="Cambria" w:cs="Arial"/>
              </w:rPr>
              <w:t>Description of risk</w:t>
            </w:r>
          </w:p>
        </w:tc>
        <w:tc>
          <w:tcPr>
            <w:tcW w:w="3005" w:type="dxa"/>
            <w:vAlign w:val="center"/>
            <w:hideMark/>
          </w:tcPr>
          <w:p w14:paraId="1E245670" w14:textId="77777777" w:rsidR="0054360D" w:rsidRPr="009A0DA6" w:rsidRDefault="0054360D" w:rsidP="0015713F">
            <w:pPr>
              <w:spacing w:before="120" w:after="120"/>
              <w:contextualSpacing/>
              <w:cnfStyle w:val="100000000000" w:firstRow="1"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Likelihood of risk occurring and potential impact for the ministry and LCA</w:t>
            </w:r>
          </w:p>
        </w:tc>
        <w:tc>
          <w:tcPr>
            <w:tcW w:w="3374" w:type="dxa"/>
            <w:vAlign w:val="center"/>
            <w:hideMark/>
          </w:tcPr>
          <w:p w14:paraId="7314D0B7" w14:textId="77777777" w:rsidR="0054360D" w:rsidRPr="009A0DA6" w:rsidRDefault="0054360D" w:rsidP="0015713F">
            <w:pPr>
              <w:spacing w:before="120" w:after="120"/>
              <w:contextualSpacing/>
              <w:cnfStyle w:val="100000000000" w:firstRow="1"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Summary of action to mitigate the risk</w:t>
            </w:r>
          </w:p>
        </w:tc>
      </w:tr>
      <w:tr w:rsidR="0054360D" w:rsidRPr="009A0DA6" w14:paraId="0189CC96" w14:textId="77777777" w:rsidTr="00975F5B">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268" w:type="dxa"/>
            <w:hideMark/>
          </w:tcPr>
          <w:p w14:paraId="5EAC3B03" w14:textId="77777777" w:rsidR="0054360D" w:rsidRPr="009A0DA6" w:rsidRDefault="0054360D" w:rsidP="00AD09CB">
            <w:pPr>
              <w:widowControl w:val="0"/>
              <w:suppressAutoHyphens/>
              <w:spacing w:before="120" w:after="120"/>
              <w:ind w:left="34"/>
              <w:contextualSpacing/>
              <w:rPr>
                <w:rFonts w:ascii="Cambria" w:hAnsi="Cambria" w:cs="Arial"/>
              </w:rPr>
            </w:pPr>
            <w:r w:rsidRPr="009A0DA6">
              <w:rPr>
                <w:rFonts w:ascii="Cambria" w:hAnsi="Cambria" w:cs="Arial"/>
              </w:rPr>
              <w:t>Operational Risk:</w:t>
            </w:r>
          </w:p>
          <w:p w14:paraId="1060DB54" w14:textId="77777777" w:rsidR="0054360D" w:rsidRPr="009A0DA6" w:rsidRDefault="0054360D" w:rsidP="00AD09CB">
            <w:pPr>
              <w:widowControl w:val="0"/>
              <w:suppressAutoHyphens/>
              <w:spacing w:before="120" w:after="120"/>
              <w:ind w:left="34"/>
              <w:contextualSpacing/>
              <w:rPr>
                <w:rFonts w:ascii="Cambria" w:hAnsi="Cambria" w:cs="Arial"/>
              </w:rPr>
            </w:pPr>
            <w:r w:rsidRPr="009A0DA6">
              <w:rPr>
                <w:rFonts w:ascii="Cambria" w:hAnsi="Cambria" w:cs="Arial"/>
              </w:rPr>
              <w:t>Ensuring trained Pastoral Support Workers are available</w:t>
            </w:r>
          </w:p>
        </w:tc>
        <w:tc>
          <w:tcPr>
            <w:tcW w:w="3005" w:type="dxa"/>
            <w:hideMark/>
          </w:tcPr>
          <w:p w14:paraId="6ECAE068" w14:textId="77777777" w:rsidR="0054360D" w:rsidRPr="009A0DA6" w:rsidRDefault="0054360D" w:rsidP="00AD09CB">
            <w:pPr>
              <w:spacing w:before="120" w:after="120"/>
              <w:contextualSpacing/>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Medium Risk</w:t>
            </w:r>
          </w:p>
          <w:p w14:paraId="780FED24" w14:textId="77777777" w:rsidR="0054360D" w:rsidRPr="009A0DA6" w:rsidRDefault="0054360D" w:rsidP="00AD09CB">
            <w:pPr>
              <w:spacing w:before="120" w:after="120"/>
              <w:contextualSpacing/>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It takes many years for Pastors to develop relationships with Aboriginal people which, together with the isolation, requires special workers with unique gifts</w:t>
            </w:r>
          </w:p>
        </w:tc>
        <w:tc>
          <w:tcPr>
            <w:tcW w:w="3374" w:type="dxa"/>
            <w:hideMark/>
          </w:tcPr>
          <w:p w14:paraId="1609658F" w14:textId="77777777" w:rsidR="0054360D" w:rsidRPr="009A0DA6" w:rsidRDefault="0054360D" w:rsidP="00AD09CB">
            <w:pPr>
              <w:spacing w:before="120" w:after="120"/>
              <w:contextualSpacing/>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 xml:space="preserve">In addition to the existing Pastoral Support Workers, Pastor Michael Jacobsen will begin to provide support to the Aboriginal pastors in 2018 adding an additional staff member. </w:t>
            </w:r>
          </w:p>
        </w:tc>
      </w:tr>
      <w:tr w:rsidR="0054360D" w:rsidRPr="009A0DA6" w14:paraId="7EAE7B05" w14:textId="77777777" w:rsidTr="00975F5B">
        <w:trPr>
          <w:trHeight w:val="267"/>
        </w:trPr>
        <w:tc>
          <w:tcPr>
            <w:cnfStyle w:val="001000000000" w:firstRow="0" w:lastRow="0" w:firstColumn="1" w:lastColumn="0" w:oddVBand="0" w:evenVBand="0" w:oddHBand="0" w:evenHBand="0" w:firstRowFirstColumn="0" w:firstRowLastColumn="0" w:lastRowFirstColumn="0" w:lastRowLastColumn="0"/>
            <w:tcW w:w="2268" w:type="dxa"/>
            <w:hideMark/>
          </w:tcPr>
          <w:p w14:paraId="1E7A3B5C" w14:textId="77777777" w:rsidR="0054360D" w:rsidRPr="009A0DA6" w:rsidRDefault="0054360D" w:rsidP="00AD09CB">
            <w:pPr>
              <w:widowControl w:val="0"/>
              <w:suppressAutoHyphens/>
              <w:spacing w:before="120" w:after="120"/>
              <w:ind w:left="34"/>
              <w:contextualSpacing/>
              <w:rPr>
                <w:rFonts w:ascii="Cambria" w:hAnsi="Cambria" w:cs="Arial"/>
              </w:rPr>
            </w:pPr>
            <w:r w:rsidRPr="009A0DA6">
              <w:rPr>
                <w:rFonts w:ascii="Cambria" w:hAnsi="Cambria" w:cs="Arial"/>
              </w:rPr>
              <w:lastRenderedPageBreak/>
              <w:t>Operational Risk:</w:t>
            </w:r>
          </w:p>
          <w:p w14:paraId="5243F9FC" w14:textId="77777777" w:rsidR="0054360D" w:rsidRPr="009A0DA6" w:rsidRDefault="0054360D" w:rsidP="00AD09CB">
            <w:pPr>
              <w:widowControl w:val="0"/>
              <w:suppressAutoHyphens/>
              <w:spacing w:before="120" w:after="120"/>
              <w:ind w:left="34"/>
              <w:contextualSpacing/>
              <w:rPr>
                <w:rFonts w:ascii="Cambria" w:hAnsi="Cambria" w:cs="Arial"/>
              </w:rPr>
            </w:pPr>
            <w:r w:rsidRPr="009A0DA6">
              <w:rPr>
                <w:rFonts w:ascii="Cambria" w:hAnsi="Cambria" w:cs="Arial"/>
              </w:rPr>
              <w:t>Activity from Pentecostal Church</w:t>
            </w:r>
          </w:p>
        </w:tc>
        <w:tc>
          <w:tcPr>
            <w:tcW w:w="3005" w:type="dxa"/>
            <w:hideMark/>
          </w:tcPr>
          <w:p w14:paraId="14DA1B6B" w14:textId="77777777" w:rsidR="0054360D" w:rsidRPr="009A0DA6" w:rsidRDefault="0054360D" w:rsidP="00AD09CB">
            <w:pPr>
              <w:spacing w:before="120" w:after="120"/>
              <w:contextualSpacing/>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Medium Risk</w:t>
            </w:r>
          </w:p>
          <w:p w14:paraId="0E5A9205" w14:textId="77777777" w:rsidR="0054360D" w:rsidRPr="009A0DA6" w:rsidRDefault="0054360D" w:rsidP="00AD09CB">
            <w:pPr>
              <w:spacing w:before="120" w:after="120"/>
              <w:contextualSpacing/>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Pentecostals are trying to move into some communities with little respect to culture, confusing the local people</w:t>
            </w:r>
          </w:p>
        </w:tc>
        <w:tc>
          <w:tcPr>
            <w:tcW w:w="3374" w:type="dxa"/>
            <w:hideMark/>
          </w:tcPr>
          <w:p w14:paraId="43A07B7E" w14:textId="77777777" w:rsidR="0054360D" w:rsidRPr="009A0DA6" w:rsidRDefault="0054360D" w:rsidP="00AD09CB">
            <w:pPr>
              <w:spacing w:before="120" w:after="120"/>
              <w:contextualSpacing/>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Continue to preach the gospel and train Aboriginal pastors. Support the Western Desert people to deal the division being caused by Ken Duncan’s vision for a large cross at Haasts Bluff</w:t>
            </w:r>
          </w:p>
        </w:tc>
      </w:tr>
      <w:tr w:rsidR="0054360D" w:rsidRPr="009A0DA6" w14:paraId="126D3AC7" w14:textId="77777777" w:rsidTr="00975F5B">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268" w:type="dxa"/>
            <w:hideMark/>
          </w:tcPr>
          <w:p w14:paraId="06B25E63" w14:textId="77777777" w:rsidR="0054360D" w:rsidRPr="009A0DA6" w:rsidRDefault="0054360D" w:rsidP="00AD09CB">
            <w:pPr>
              <w:widowControl w:val="0"/>
              <w:suppressAutoHyphens/>
              <w:spacing w:before="120" w:after="120"/>
              <w:ind w:left="34"/>
              <w:contextualSpacing/>
              <w:rPr>
                <w:rFonts w:ascii="Cambria" w:hAnsi="Cambria" w:cs="Arial"/>
              </w:rPr>
            </w:pPr>
            <w:r w:rsidRPr="009A0DA6">
              <w:rPr>
                <w:rFonts w:ascii="Cambria" w:hAnsi="Cambria" w:cs="Arial"/>
              </w:rPr>
              <w:t>Operational Risk:</w:t>
            </w:r>
          </w:p>
          <w:p w14:paraId="03DBC147" w14:textId="77777777" w:rsidR="0054360D" w:rsidRPr="009A0DA6" w:rsidRDefault="0054360D" w:rsidP="00AD09CB">
            <w:pPr>
              <w:widowControl w:val="0"/>
              <w:suppressAutoHyphens/>
              <w:spacing w:before="120" w:after="120"/>
              <w:ind w:left="34"/>
              <w:contextualSpacing/>
              <w:rPr>
                <w:rFonts w:ascii="Cambria" w:hAnsi="Cambria" w:cs="Arial"/>
              </w:rPr>
            </w:pPr>
            <w:r w:rsidRPr="009A0DA6">
              <w:rPr>
                <w:rFonts w:ascii="Cambria" w:hAnsi="Cambria" w:cs="Arial"/>
              </w:rPr>
              <w:t>Yirara College</w:t>
            </w:r>
          </w:p>
        </w:tc>
        <w:tc>
          <w:tcPr>
            <w:tcW w:w="3005" w:type="dxa"/>
            <w:hideMark/>
          </w:tcPr>
          <w:p w14:paraId="209274F2" w14:textId="77777777" w:rsidR="0054360D" w:rsidRPr="009A0DA6" w:rsidRDefault="0054360D" w:rsidP="00AD09CB">
            <w:pPr>
              <w:spacing w:before="120" w:after="120"/>
              <w:contextualSpacing/>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Medium Risk</w:t>
            </w:r>
          </w:p>
          <w:p w14:paraId="2D9D2B93" w14:textId="77777777" w:rsidR="0054360D" w:rsidRPr="009A0DA6" w:rsidRDefault="0054360D" w:rsidP="00AD09CB">
            <w:pPr>
              <w:spacing w:before="120" w:after="120"/>
              <w:contextualSpacing/>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Students come from varying cultural backgrounds and home situations, many with degrees of psychological disorders.</w:t>
            </w:r>
          </w:p>
        </w:tc>
        <w:tc>
          <w:tcPr>
            <w:tcW w:w="3374" w:type="dxa"/>
            <w:hideMark/>
          </w:tcPr>
          <w:p w14:paraId="019D8112" w14:textId="77777777" w:rsidR="0054360D" w:rsidRPr="009A0DA6" w:rsidRDefault="0054360D" w:rsidP="00AD09CB">
            <w:pPr>
              <w:spacing w:before="120" w:after="120"/>
              <w:contextualSpacing/>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Maintain a complying governance model and provide cultural awareness for staff. Engage psychological assessment services in early 2018</w:t>
            </w:r>
          </w:p>
        </w:tc>
      </w:tr>
      <w:tr w:rsidR="0054360D" w:rsidRPr="009A0DA6" w14:paraId="568C65C9" w14:textId="77777777" w:rsidTr="00975F5B">
        <w:trPr>
          <w:trHeight w:val="267"/>
        </w:trPr>
        <w:tc>
          <w:tcPr>
            <w:cnfStyle w:val="001000000000" w:firstRow="0" w:lastRow="0" w:firstColumn="1" w:lastColumn="0" w:oddVBand="0" w:evenVBand="0" w:oddHBand="0" w:evenHBand="0" w:firstRowFirstColumn="0" w:firstRowLastColumn="0" w:lastRowFirstColumn="0" w:lastRowLastColumn="0"/>
            <w:tcW w:w="2268" w:type="dxa"/>
            <w:hideMark/>
          </w:tcPr>
          <w:p w14:paraId="0374905B" w14:textId="77777777" w:rsidR="0054360D" w:rsidRPr="009A0DA6" w:rsidRDefault="0054360D" w:rsidP="00AD09CB">
            <w:pPr>
              <w:widowControl w:val="0"/>
              <w:suppressAutoHyphens/>
              <w:spacing w:before="120" w:after="120"/>
              <w:ind w:left="34"/>
              <w:contextualSpacing/>
              <w:rPr>
                <w:rFonts w:ascii="Cambria" w:hAnsi="Cambria" w:cs="Arial"/>
              </w:rPr>
            </w:pPr>
            <w:r w:rsidRPr="009A0DA6">
              <w:rPr>
                <w:rFonts w:ascii="Cambria" w:hAnsi="Cambria" w:cs="Arial"/>
              </w:rPr>
              <w:t>Operational Risk:</w:t>
            </w:r>
          </w:p>
          <w:p w14:paraId="29D2AA8B" w14:textId="77777777" w:rsidR="0054360D" w:rsidRPr="009A0DA6" w:rsidRDefault="0054360D" w:rsidP="00AD09CB">
            <w:pPr>
              <w:widowControl w:val="0"/>
              <w:suppressAutoHyphens/>
              <w:spacing w:before="120" w:after="120"/>
              <w:ind w:left="34"/>
              <w:contextualSpacing/>
              <w:rPr>
                <w:rFonts w:ascii="Cambria" w:hAnsi="Cambria" w:cs="Arial"/>
              </w:rPr>
            </w:pPr>
            <w:r w:rsidRPr="009A0DA6">
              <w:rPr>
                <w:rFonts w:ascii="Cambria" w:hAnsi="Cambria" w:cs="Arial"/>
              </w:rPr>
              <w:t>Alice Springs Aboriginal Ministry</w:t>
            </w:r>
          </w:p>
        </w:tc>
        <w:tc>
          <w:tcPr>
            <w:tcW w:w="3005" w:type="dxa"/>
            <w:hideMark/>
          </w:tcPr>
          <w:p w14:paraId="11E57087" w14:textId="77777777" w:rsidR="0054360D" w:rsidRPr="009A0DA6" w:rsidRDefault="0054360D" w:rsidP="00AD09CB">
            <w:pPr>
              <w:spacing w:before="120" w:after="120"/>
              <w:contextualSpacing/>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Medium Risk</w:t>
            </w:r>
          </w:p>
          <w:p w14:paraId="2A1A9498" w14:textId="77777777" w:rsidR="0054360D" w:rsidRPr="009A0DA6" w:rsidRDefault="0054360D" w:rsidP="00AD09CB">
            <w:pPr>
              <w:spacing w:before="120" w:after="120"/>
              <w:contextualSpacing/>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Large numbers of Aboriginal people are living in the town as well as many visiting family members and the non-indigenous Lutherans in Alice Springs are declining, resulting in less people to support the town ministry</w:t>
            </w:r>
          </w:p>
        </w:tc>
        <w:tc>
          <w:tcPr>
            <w:tcW w:w="3374" w:type="dxa"/>
            <w:hideMark/>
          </w:tcPr>
          <w:p w14:paraId="58C3471F" w14:textId="77777777" w:rsidR="0054360D" w:rsidRPr="009A0DA6" w:rsidRDefault="0054360D" w:rsidP="00AD09CB">
            <w:pPr>
              <w:spacing w:before="120" w:after="120"/>
              <w:contextualSpacing/>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Engage with the Future Directions Paper to provide a sustainable ministry. Provide funding and resources as per the MOU between FRM and the congregation. Use the “Engagement Charter” to promote a level of self-support for Aboriginal people</w:t>
            </w:r>
          </w:p>
        </w:tc>
      </w:tr>
      <w:tr w:rsidR="0054360D" w:rsidRPr="009A0DA6" w14:paraId="1DE3DF50" w14:textId="77777777" w:rsidTr="00975F5B">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268" w:type="dxa"/>
            <w:hideMark/>
          </w:tcPr>
          <w:p w14:paraId="6329B95E" w14:textId="77777777" w:rsidR="0054360D" w:rsidRPr="009A0DA6" w:rsidRDefault="0054360D" w:rsidP="00AD09CB">
            <w:pPr>
              <w:widowControl w:val="0"/>
              <w:suppressAutoHyphens/>
              <w:spacing w:before="120" w:after="120"/>
              <w:ind w:left="34"/>
              <w:contextualSpacing/>
              <w:rPr>
                <w:rFonts w:ascii="Cambria" w:hAnsi="Cambria" w:cs="Arial"/>
              </w:rPr>
            </w:pPr>
            <w:r w:rsidRPr="009A0DA6">
              <w:rPr>
                <w:rFonts w:ascii="Cambria" w:hAnsi="Cambria" w:cs="Arial"/>
              </w:rPr>
              <w:t>Financial Risk:</w:t>
            </w:r>
          </w:p>
          <w:p w14:paraId="52B933D3" w14:textId="77777777" w:rsidR="0054360D" w:rsidRPr="009A0DA6" w:rsidRDefault="0054360D" w:rsidP="00AD09CB">
            <w:pPr>
              <w:widowControl w:val="0"/>
              <w:suppressAutoHyphens/>
              <w:spacing w:before="120" w:after="120"/>
              <w:ind w:left="34"/>
              <w:contextualSpacing/>
              <w:rPr>
                <w:rFonts w:ascii="Cambria" w:hAnsi="Cambria" w:cs="Arial"/>
              </w:rPr>
            </w:pPr>
            <w:r w:rsidRPr="009A0DA6">
              <w:rPr>
                <w:rFonts w:ascii="Cambria" w:hAnsi="Cambria" w:cs="Arial"/>
              </w:rPr>
              <w:t>Yirara College</w:t>
            </w:r>
          </w:p>
        </w:tc>
        <w:tc>
          <w:tcPr>
            <w:tcW w:w="3005" w:type="dxa"/>
            <w:hideMark/>
          </w:tcPr>
          <w:p w14:paraId="2605F5FA" w14:textId="77777777" w:rsidR="0054360D" w:rsidRPr="009A0DA6" w:rsidRDefault="0054360D" w:rsidP="00AD09CB">
            <w:pPr>
              <w:spacing w:before="120" w:after="120"/>
              <w:contextualSpacing/>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Low Risk</w:t>
            </w:r>
          </w:p>
          <w:p w14:paraId="4DBA46DF" w14:textId="77777777" w:rsidR="0054360D" w:rsidRPr="009A0DA6" w:rsidRDefault="0054360D" w:rsidP="00AD09CB">
            <w:pPr>
              <w:spacing w:before="120" w:after="120"/>
              <w:contextualSpacing/>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 xml:space="preserve">Uncertain Government funding </w:t>
            </w:r>
          </w:p>
        </w:tc>
        <w:tc>
          <w:tcPr>
            <w:tcW w:w="3374" w:type="dxa"/>
            <w:hideMark/>
          </w:tcPr>
          <w:p w14:paraId="7E3DA4B0" w14:textId="77777777" w:rsidR="0054360D" w:rsidRPr="009A0DA6" w:rsidRDefault="0054360D" w:rsidP="00AD09CB">
            <w:pPr>
              <w:spacing w:before="120" w:after="120"/>
              <w:contextualSpacing/>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Continue to work with Governments to maximise funding and regular payments</w:t>
            </w:r>
          </w:p>
        </w:tc>
      </w:tr>
      <w:tr w:rsidR="0054360D" w:rsidRPr="009A0DA6" w14:paraId="7404B7BA" w14:textId="77777777" w:rsidTr="00975F5B">
        <w:trPr>
          <w:trHeight w:val="267"/>
        </w:trPr>
        <w:tc>
          <w:tcPr>
            <w:cnfStyle w:val="001000000000" w:firstRow="0" w:lastRow="0" w:firstColumn="1" w:lastColumn="0" w:oddVBand="0" w:evenVBand="0" w:oddHBand="0" w:evenHBand="0" w:firstRowFirstColumn="0" w:firstRowLastColumn="0" w:lastRowFirstColumn="0" w:lastRowLastColumn="0"/>
            <w:tcW w:w="2268" w:type="dxa"/>
            <w:hideMark/>
          </w:tcPr>
          <w:p w14:paraId="49FABEC7" w14:textId="77777777" w:rsidR="0054360D" w:rsidRPr="009A0DA6" w:rsidRDefault="0054360D" w:rsidP="00AD09CB">
            <w:pPr>
              <w:widowControl w:val="0"/>
              <w:suppressAutoHyphens/>
              <w:spacing w:before="120" w:after="120"/>
              <w:ind w:left="34"/>
              <w:contextualSpacing/>
              <w:rPr>
                <w:rFonts w:ascii="Cambria" w:hAnsi="Cambria" w:cs="Arial"/>
              </w:rPr>
            </w:pPr>
            <w:r w:rsidRPr="009A0DA6">
              <w:rPr>
                <w:rFonts w:ascii="Cambria" w:hAnsi="Cambria" w:cs="Arial"/>
              </w:rPr>
              <w:t>Reputational Risk:</w:t>
            </w:r>
          </w:p>
          <w:p w14:paraId="3375B368" w14:textId="77777777" w:rsidR="0054360D" w:rsidRPr="009A0DA6" w:rsidRDefault="0054360D" w:rsidP="00AD09CB">
            <w:pPr>
              <w:widowControl w:val="0"/>
              <w:suppressAutoHyphens/>
              <w:spacing w:before="120" w:after="120"/>
              <w:ind w:left="34"/>
              <w:contextualSpacing/>
              <w:rPr>
                <w:rFonts w:ascii="Cambria" w:hAnsi="Cambria" w:cs="Arial"/>
              </w:rPr>
            </w:pPr>
            <w:r w:rsidRPr="009A0DA6">
              <w:rPr>
                <w:rFonts w:ascii="Cambria" w:hAnsi="Cambria" w:cs="Arial"/>
              </w:rPr>
              <w:t>Yirara College</w:t>
            </w:r>
          </w:p>
        </w:tc>
        <w:tc>
          <w:tcPr>
            <w:tcW w:w="3005" w:type="dxa"/>
            <w:hideMark/>
          </w:tcPr>
          <w:p w14:paraId="457071D3" w14:textId="77777777" w:rsidR="0054360D" w:rsidRPr="009A0DA6" w:rsidRDefault="0054360D" w:rsidP="00AD09CB">
            <w:pPr>
              <w:spacing w:before="120" w:after="120"/>
              <w:contextualSpacing/>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Medium Risk</w:t>
            </w:r>
          </w:p>
          <w:p w14:paraId="05CB8BB7" w14:textId="77777777" w:rsidR="0054360D" w:rsidRPr="009A0DA6" w:rsidRDefault="0054360D" w:rsidP="00AD09CB">
            <w:pPr>
              <w:spacing w:before="120" w:after="120"/>
              <w:contextualSpacing/>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 xml:space="preserve">Education of indigenous students is a high-profile subject </w:t>
            </w:r>
          </w:p>
        </w:tc>
        <w:tc>
          <w:tcPr>
            <w:tcW w:w="3374" w:type="dxa"/>
            <w:hideMark/>
          </w:tcPr>
          <w:p w14:paraId="6CBB99B5" w14:textId="77777777" w:rsidR="0054360D" w:rsidRPr="009A0DA6" w:rsidRDefault="0054360D" w:rsidP="00AD09CB">
            <w:pPr>
              <w:spacing w:before="120" w:after="120"/>
              <w:contextualSpacing/>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 xml:space="preserve">A national public relations plan has been developed and is currently being engaged to promote the positive aspect of the College. </w:t>
            </w:r>
          </w:p>
        </w:tc>
      </w:tr>
    </w:tbl>
    <w:p w14:paraId="740947E3" w14:textId="77777777" w:rsidR="0054360D" w:rsidRPr="00975F5B" w:rsidRDefault="0054360D" w:rsidP="0054360D">
      <w:pPr>
        <w:spacing w:before="120" w:after="120" w:line="240" w:lineRule="auto"/>
        <w:contextualSpacing/>
        <w:rPr>
          <w:rFonts w:ascii="Cambria" w:hAnsi="Cambria"/>
          <w:b/>
          <w:sz w:val="10"/>
        </w:rPr>
      </w:pPr>
    </w:p>
    <w:p w14:paraId="2317D045" w14:textId="77777777" w:rsidR="0054360D" w:rsidRPr="009A0DA6" w:rsidRDefault="0054360D" w:rsidP="0054360D">
      <w:pPr>
        <w:pStyle w:val="Heading3"/>
        <w:rPr>
          <w:lang w:val="en-US" w:eastAsia="ja-JP"/>
        </w:rPr>
      </w:pPr>
      <w:r w:rsidRPr="009A0DA6">
        <w:t xml:space="preserve">Alignment to LCA Strategic Direction </w:t>
      </w:r>
      <w:r>
        <w:t>2013–2018</w:t>
      </w:r>
    </w:p>
    <w:p w14:paraId="639DA3D5" w14:textId="77777777" w:rsidR="0054360D" w:rsidRPr="009A0DA6" w:rsidRDefault="0054360D" w:rsidP="0054360D">
      <w:pPr>
        <w:spacing w:before="120" w:after="120" w:line="240" w:lineRule="auto"/>
        <w:contextualSpacing/>
        <w:rPr>
          <w:rFonts w:ascii="Cambria" w:hAnsi="Cambria"/>
        </w:rPr>
      </w:pPr>
      <w:r w:rsidRPr="009A0DA6">
        <w:rPr>
          <w:rFonts w:ascii="Cambria" w:hAnsi="Cambria"/>
          <w:b/>
        </w:rPr>
        <w:t>Grow as God's People:</w:t>
      </w:r>
      <w:r w:rsidRPr="009A0DA6">
        <w:rPr>
          <w:rFonts w:ascii="Cambria" w:hAnsi="Cambria"/>
        </w:rPr>
        <w:t xml:space="preserve"> Aboriginal pastors and staff providing regular worship, Holy Communion, prayer, singing/ choirs, baptisms and confirmations.</w:t>
      </w:r>
      <w:r w:rsidRPr="009A0DA6">
        <w:rPr>
          <w:rFonts w:ascii="Cambria" w:hAnsi="Cambria"/>
        </w:rPr>
        <w:br/>
      </w:r>
    </w:p>
    <w:p w14:paraId="31A30822" w14:textId="77777777" w:rsidR="0054360D" w:rsidRPr="009A0DA6" w:rsidRDefault="0054360D" w:rsidP="0054360D">
      <w:pPr>
        <w:spacing w:before="120" w:after="120" w:line="240" w:lineRule="auto"/>
        <w:contextualSpacing/>
        <w:rPr>
          <w:rFonts w:ascii="Cambria" w:hAnsi="Cambria"/>
        </w:rPr>
      </w:pPr>
      <w:r w:rsidRPr="009A0DA6">
        <w:rPr>
          <w:rFonts w:ascii="Cambria" w:hAnsi="Cambria"/>
          <w:b/>
        </w:rPr>
        <w:t xml:space="preserve">Go as God's people: </w:t>
      </w:r>
      <w:r w:rsidRPr="009A0DA6">
        <w:rPr>
          <w:rFonts w:ascii="Cambria" w:hAnsi="Cambria"/>
        </w:rPr>
        <w:t>Provision of bush-courses, mini-courses, printed resources, leadership training, religious instruction in schools, hospital and jail visiting</w:t>
      </w:r>
    </w:p>
    <w:p w14:paraId="567BCD74" w14:textId="77777777" w:rsidR="0054360D" w:rsidRPr="009A0DA6" w:rsidRDefault="0054360D" w:rsidP="0054360D">
      <w:pPr>
        <w:spacing w:before="120" w:after="120" w:line="240" w:lineRule="auto"/>
        <w:contextualSpacing/>
        <w:rPr>
          <w:rFonts w:ascii="Cambria" w:hAnsi="Cambria"/>
          <w:b/>
        </w:rPr>
      </w:pPr>
    </w:p>
    <w:p w14:paraId="6685B175" w14:textId="77777777" w:rsidR="0054360D" w:rsidRPr="009A0DA6" w:rsidRDefault="0054360D" w:rsidP="0054360D">
      <w:pPr>
        <w:spacing w:before="120" w:after="120" w:line="240" w:lineRule="auto"/>
        <w:contextualSpacing/>
        <w:rPr>
          <w:rFonts w:ascii="Cambria" w:hAnsi="Cambria"/>
        </w:rPr>
      </w:pPr>
      <w:r w:rsidRPr="009A0DA6">
        <w:rPr>
          <w:rFonts w:ascii="Cambria" w:hAnsi="Cambria"/>
          <w:b/>
        </w:rPr>
        <w:t>Grow and Go:</w:t>
      </w:r>
      <w:r w:rsidRPr="009A0DA6">
        <w:rPr>
          <w:rFonts w:ascii="Cambria" w:hAnsi="Cambria"/>
        </w:rPr>
        <w:t xml:space="preserve"> Christ in the Centre publication, Synod promotion, PR program for Yirara, administration, second hand clothes, volunteers, working with other LCA departments</w:t>
      </w:r>
    </w:p>
    <w:p w14:paraId="31F5B8EF" w14:textId="77777777" w:rsidR="0054360D" w:rsidRPr="00975F5B" w:rsidRDefault="0054360D" w:rsidP="0054360D">
      <w:pPr>
        <w:spacing w:before="120" w:after="120" w:line="240" w:lineRule="auto"/>
        <w:contextualSpacing/>
        <w:rPr>
          <w:rFonts w:ascii="Cambria" w:hAnsi="Cambria"/>
          <w:b/>
          <w:sz w:val="10"/>
        </w:rPr>
      </w:pPr>
      <w:r w:rsidRPr="009A0DA6">
        <w:rPr>
          <w:rFonts w:ascii="Cambria" w:hAnsi="Cambria"/>
          <w:b/>
        </w:rPr>
        <w:t xml:space="preserve"> </w:t>
      </w:r>
    </w:p>
    <w:p w14:paraId="3AC48416" w14:textId="77777777" w:rsidR="0054360D" w:rsidRPr="009A0DA6" w:rsidRDefault="0054360D" w:rsidP="0054360D">
      <w:pPr>
        <w:pStyle w:val="Heading3"/>
      </w:pPr>
      <w:r w:rsidRPr="009A0DA6">
        <w:t>Cooperating LCA Boards and Agencies</w:t>
      </w:r>
    </w:p>
    <w:tbl>
      <w:tblPr>
        <w:tblStyle w:val="PlainTable2"/>
        <w:tblW w:w="8784" w:type="dxa"/>
        <w:tblLook w:val="04A0" w:firstRow="1" w:lastRow="0" w:firstColumn="1" w:lastColumn="0" w:noHBand="0" w:noVBand="1"/>
      </w:tblPr>
      <w:tblGrid>
        <w:gridCol w:w="3256"/>
        <w:gridCol w:w="5528"/>
      </w:tblGrid>
      <w:tr w:rsidR="0054360D" w:rsidRPr="009A0DA6" w14:paraId="6AE08CC5" w14:textId="77777777" w:rsidTr="00AD09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00C22FA" w14:textId="77777777" w:rsidR="0054360D" w:rsidRPr="009A0DA6" w:rsidRDefault="0054360D" w:rsidP="00AD09CB">
            <w:pPr>
              <w:spacing w:before="120" w:after="120"/>
              <w:contextualSpacing/>
              <w:rPr>
                <w:rFonts w:ascii="Cambria" w:hAnsi="Cambria" w:cs="Arial"/>
              </w:rPr>
            </w:pPr>
            <w:r w:rsidRPr="009A0DA6">
              <w:rPr>
                <w:rFonts w:ascii="Cambria" w:hAnsi="Cambria" w:cs="Arial"/>
              </w:rPr>
              <w:t>Alice Springs Lutheran Church</w:t>
            </w:r>
          </w:p>
        </w:tc>
        <w:tc>
          <w:tcPr>
            <w:tcW w:w="5528" w:type="dxa"/>
            <w:hideMark/>
          </w:tcPr>
          <w:p w14:paraId="0CA68247" w14:textId="77777777" w:rsidR="0054360D" w:rsidRPr="009A0DA6" w:rsidRDefault="0054360D" w:rsidP="00AD09CB">
            <w:pPr>
              <w:spacing w:before="120" w:after="120"/>
              <w:contextualSpacing/>
              <w:cnfStyle w:val="100000000000" w:firstRow="1" w:lastRow="0" w:firstColumn="0" w:lastColumn="0" w:oddVBand="0" w:evenVBand="0" w:oddHBand="0" w:evenHBand="0" w:firstRowFirstColumn="0" w:firstRowLastColumn="0" w:lastRowFirstColumn="0" w:lastRowLastColumn="0"/>
              <w:rPr>
                <w:rFonts w:ascii="Cambria" w:hAnsi="Cambria" w:cs="Arial"/>
                <w:b w:val="0"/>
              </w:rPr>
            </w:pPr>
            <w:r w:rsidRPr="009A0DA6">
              <w:rPr>
                <w:rFonts w:ascii="Cambria" w:hAnsi="Cambria" w:cs="Arial"/>
                <w:b w:val="0"/>
              </w:rPr>
              <w:t xml:space="preserve">Funding and close working relationship in the ministry to Aboriginal people </w:t>
            </w:r>
          </w:p>
        </w:tc>
      </w:tr>
      <w:tr w:rsidR="0054360D" w:rsidRPr="009A0DA6" w14:paraId="100FED87" w14:textId="77777777" w:rsidTr="00AD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hideMark/>
          </w:tcPr>
          <w:p w14:paraId="43855D7F" w14:textId="77777777" w:rsidR="0054360D" w:rsidRPr="009A0DA6" w:rsidRDefault="0054360D" w:rsidP="00AD09CB">
            <w:pPr>
              <w:spacing w:before="120" w:after="120"/>
              <w:contextualSpacing/>
              <w:rPr>
                <w:rFonts w:ascii="Cambria" w:hAnsi="Cambria" w:cs="Arial"/>
              </w:rPr>
            </w:pPr>
            <w:r w:rsidRPr="009A0DA6">
              <w:rPr>
                <w:rFonts w:ascii="Cambria" w:hAnsi="Cambria" w:cs="Arial"/>
              </w:rPr>
              <w:t>Lutheran Community Care</w:t>
            </w:r>
          </w:p>
        </w:tc>
        <w:tc>
          <w:tcPr>
            <w:tcW w:w="5528" w:type="dxa"/>
            <w:hideMark/>
          </w:tcPr>
          <w:p w14:paraId="6E60BBC2" w14:textId="77777777" w:rsidR="0054360D" w:rsidRPr="009A0DA6" w:rsidRDefault="0054360D" w:rsidP="00AD09CB">
            <w:pPr>
              <w:spacing w:before="120" w:after="120"/>
              <w:contextualSpacing/>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Provision of office space and regular interaction of staff</w:t>
            </w:r>
          </w:p>
        </w:tc>
      </w:tr>
      <w:tr w:rsidR="0054360D" w:rsidRPr="009A0DA6" w14:paraId="1793C13D" w14:textId="77777777" w:rsidTr="00AD09CB">
        <w:tc>
          <w:tcPr>
            <w:cnfStyle w:val="001000000000" w:firstRow="0" w:lastRow="0" w:firstColumn="1" w:lastColumn="0" w:oddVBand="0" w:evenVBand="0" w:oddHBand="0" w:evenHBand="0" w:firstRowFirstColumn="0" w:firstRowLastColumn="0" w:lastRowFirstColumn="0" w:lastRowLastColumn="0"/>
            <w:tcW w:w="3256" w:type="dxa"/>
            <w:hideMark/>
          </w:tcPr>
          <w:p w14:paraId="4E1804D2" w14:textId="77777777" w:rsidR="0054360D" w:rsidRPr="009A0DA6" w:rsidRDefault="0054360D" w:rsidP="00AD09CB">
            <w:pPr>
              <w:spacing w:before="120" w:after="120"/>
              <w:contextualSpacing/>
              <w:rPr>
                <w:rFonts w:ascii="Cambria" w:hAnsi="Cambria" w:cs="Arial"/>
              </w:rPr>
            </w:pPr>
            <w:r w:rsidRPr="009A0DA6">
              <w:rPr>
                <w:rFonts w:ascii="Cambria" w:hAnsi="Cambria" w:cs="Arial"/>
              </w:rPr>
              <w:t>Australian Lutheran College</w:t>
            </w:r>
          </w:p>
        </w:tc>
        <w:tc>
          <w:tcPr>
            <w:tcW w:w="5528" w:type="dxa"/>
            <w:hideMark/>
          </w:tcPr>
          <w:p w14:paraId="0A7DCFA6" w14:textId="77777777" w:rsidR="0054360D" w:rsidRPr="009A0DA6" w:rsidRDefault="0054360D" w:rsidP="00AD09CB">
            <w:pPr>
              <w:spacing w:before="120" w:after="120"/>
              <w:contextualSpacing/>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 xml:space="preserve">Theological training provided to Aboriginal pastors and women church leaders at 5 Bush Courses each year. </w:t>
            </w:r>
          </w:p>
        </w:tc>
      </w:tr>
      <w:tr w:rsidR="0054360D" w:rsidRPr="009A0DA6" w14:paraId="02252E81" w14:textId="77777777" w:rsidTr="00AD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hideMark/>
          </w:tcPr>
          <w:p w14:paraId="1A6901E7" w14:textId="77777777" w:rsidR="0054360D" w:rsidRPr="009A0DA6" w:rsidRDefault="0054360D" w:rsidP="00AD09CB">
            <w:pPr>
              <w:spacing w:before="120" w:after="120"/>
              <w:contextualSpacing/>
              <w:rPr>
                <w:rFonts w:ascii="Cambria" w:hAnsi="Cambria" w:cs="Arial"/>
              </w:rPr>
            </w:pPr>
            <w:r w:rsidRPr="009A0DA6">
              <w:rPr>
                <w:rFonts w:ascii="Cambria" w:hAnsi="Cambria" w:cs="Arial"/>
              </w:rPr>
              <w:t>Lutheran Education SA/NT/WA</w:t>
            </w:r>
          </w:p>
        </w:tc>
        <w:tc>
          <w:tcPr>
            <w:tcW w:w="5528" w:type="dxa"/>
            <w:hideMark/>
          </w:tcPr>
          <w:p w14:paraId="497AABFF" w14:textId="77777777" w:rsidR="0054360D" w:rsidRPr="009A0DA6" w:rsidRDefault="0054360D" w:rsidP="00AD09CB">
            <w:pPr>
              <w:spacing w:before="120" w:after="120"/>
              <w:contextualSpacing/>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 xml:space="preserve">Regular communication with Director. </w:t>
            </w:r>
          </w:p>
        </w:tc>
      </w:tr>
      <w:tr w:rsidR="0054360D" w:rsidRPr="009A0DA6" w14:paraId="1CAC7D5A" w14:textId="77777777" w:rsidTr="00AD09CB">
        <w:tc>
          <w:tcPr>
            <w:cnfStyle w:val="001000000000" w:firstRow="0" w:lastRow="0" w:firstColumn="1" w:lastColumn="0" w:oddVBand="0" w:evenVBand="0" w:oddHBand="0" w:evenHBand="0" w:firstRowFirstColumn="0" w:firstRowLastColumn="0" w:lastRowFirstColumn="0" w:lastRowLastColumn="0"/>
            <w:tcW w:w="3256" w:type="dxa"/>
            <w:hideMark/>
          </w:tcPr>
          <w:p w14:paraId="6775CEAC" w14:textId="77777777" w:rsidR="0054360D" w:rsidRPr="009A0DA6" w:rsidRDefault="0054360D" w:rsidP="00AD09CB">
            <w:pPr>
              <w:spacing w:before="120" w:after="120"/>
              <w:contextualSpacing/>
              <w:rPr>
                <w:rFonts w:ascii="Cambria" w:hAnsi="Cambria" w:cs="Arial"/>
              </w:rPr>
            </w:pPr>
            <w:r w:rsidRPr="009A0DA6">
              <w:rPr>
                <w:rFonts w:ascii="Cambria" w:hAnsi="Cambria" w:cs="Arial"/>
              </w:rPr>
              <w:t>LCA Bishop</w:t>
            </w:r>
          </w:p>
        </w:tc>
        <w:tc>
          <w:tcPr>
            <w:tcW w:w="5528" w:type="dxa"/>
            <w:hideMark/>
          </w:tcPr>
          <w:p w14:paraId="2D868517" w14:textId="77777777" w:rsidR="0054360D" w:rsidRPr="009A0DA6" w:rsidRDefault="0054360D" w:rsidP="00AD09CB">
            <w:pPr>
              <w:spacing w:before="120" w:after="120"/>
              <w:contextualSpacing/>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The Bishop attends meetings and special occasion events regularly</w:t>
            </w:r>
          </w:p>
        </w:tc>
      </w:tr>
      <w:tr w:rsidR="0054360D" w:rsidRPr="009A0DA6" w14:paraId="2EE03767" w14:textId="77777777" w:rsidTr="00AD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hideMark/>
          </w:tcPr>
          <w:p w14:paraId="2051AFCD" w14:textId="77777777" w:rsidR="0054360D" w:rsidRPr="009A0DA6" w:rsidRDefault="0054360D" w:rsidP="00AD09CB">
            <w:pPr>
              <w:spacing w:before="120" w:after="120"/>
              <w:contextualSpacing/>
              <w:rPr>
                <w:rFonts w:ascii="Cambria" w:hAnsi="Cambria" w:cs="Arial"/>
              </w:rPr>
            </w:pPr>
            <w:r w:rsidRPr="009A0DA6">
              <w:rPr>
                <w:rFonts w:ascii="Cambria" w:hAnsi="Cambria" w:cs="Arial"/>
              </w:rPr>
              <w:t>LCA SA/NT Bishop</w:t>
            </w:r>
          </w:p>
        </w:tc>
        <w:tc>
          <w:tcPr>
            <w:tcW w:w="5528" w:type="dxa"/>
            <w:hideMark/>
          </w:tcPr>
          <w:p w14:paraId="78D21799" w14:textId="77777777" w:rsidR="0054360D" w:rsidRPr="009A0DA6" w:rsidRDefault="0054360D" w:rsidP="00AD09CB">
            <w:pPr>
              <w:spacing w:before="120" w:after="120"/>
              <w:contextualSpacing/>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 xml:space="preserve">Regular communication </w:t>
            </w:r>
          </w:p>
        </w:tc>
      </w:tr>
    </w:tbl>
    <w:p w14:paraId="6ABA36C5" w14:textId="77777777" w:rsidR="0054360D" w:rsidRPr="00975F5B" w:rsidRDefault="0054360D" w:rsidP="0054360D">
      <w:pPr>
        <w:spacing w:before="120" w:after="120" w:line="240" w:lineRule="auto"/>
        <w:contextualSpacing/>
        <w:rPr>
          <w:rFonts w:ascii="Cambria" w:hAnsi="Cambria"/>
          <w:b/>
          <w:sz w:val="10"/>
        </w:rPr>
      </w:pPr>
    </w:p>
    <w:p w14:paraId="04D400EE" w14:textId="77777777" w:rsidR="0054360D" w:rsidRPr="009A0DA6" w:rsidRDefault="0054360D" w:rsidP="0054360D">
      <w:pPr>
        <w:pStyle w:val="Heading3"/>
        <w:rPr>
          <w:lang w:val="en-US" w:eastAsia="ja-JP"/>
        </w:rPr>
      </w:pPr>
      <w:r w:rsidRPr="009A0DA6">
        <w:lastRenderedPageBreak/>
        <w:t>Financial Performance</w:t>
      </w:r>
    </w:p>
    <w:tbl>
      <w:tblPr>
        <w:tblStyle w:val="TableGrid"/>
        <w:tblW w:w="8386"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1474"/>
        <w:gridCol w:w="1474"/>
        <w:gridCol w:w="1474"/>
      </w:tblGrid>
      <w:tr w:rsidR="0054360D" w:rsidRPr="009A0DA6" w14:paraId="732F16C2" w14:textId="77777777" w:rsidTr="00AD09CB">
        <w:tc>
          <w:tcPr>
            <w:tcW w:w="3964" w:type="dxa"/>
            <w:hideMark/>
          </w:tcPr>
          <w:p w14:paraId="54346A60" w14:textId="77777777" w:rsidR="0054360D" w:rsidRPr="009A0DA6" w:rsidRDefault="0054360D" w:rsidP="00AD09CB">
            <w:pPr>
              <w:spacing w:before="120" w:after="120"/>
              <w:contextualSpacing/>
              <w:rPr>
                <w:rFonts w:ascii="Cambria" w:hAnsi="Cambria" w:cs="Arial"/>
                <w:b/>
              </w:rPr>
            </w:pPr>
            <w:r w:rsidRPr="009A0DA6">
              <w:rPr>
                <w:rFonts w:ascii="Cambria" w:hAnsi="Cambria" w:cs="Arial"/>
                <w:b/>
              </w:rPr>
              <w:t>Alignment to LCA Strategic Priorities</w:t>
            </w:r>
          </w:p>
        </w:tc>
        <w:tc>
          <w:tcPr>
            <w:tcW w:w="1474" w:type="dxa"/>
            <w:hideMark/>
          </w:tcPr>
          <w:p w14:paraId="79E1BC63" w14:textId="0CD12F17" w:rsidR="0054360D" w:rsidRPr="009A0DA6" w:rsidRDefault="0054360D" w:rsidP="001A730F">
            <w:pPr>
              <w:spacing w:before="120" w:after="120"/>
              <w:contextualSpacing/>
              <w:jc w:val="center"/>
              <w:rPr>
                <w:rFonts w:ascii="Cambria" w:hAnsi="Cambria" w:cs="Arial"/>
                <w:b/>
              </w:rPr>
            </w:pPr>
            <w:r w:rsidRPr="009A0DA6">
              <w:rPr>
                <w:rFonts w:ascii="Cambria" w:hAnsi="Cambria" w:cs="Arial"/>
                <w:b/>
              </w:rPr>
              <w:t xml:space="preserve">2017 </w:t>
            </w:r>
          </w:p>
        </w:tc>
        <w:tc>
          <w:tcPr>
            <w:tcW w:w="1474" w:type="dxa"/>
            <w:hideMark/>
          </w:tcPr>
          <w:p w14:paraId="64052829" w14:textId="3C614242" w:rsidR="0054360D" w:rsidRPr="009A0DA6" w:rsidRDefault="0054360D" w:rsidP="001A730F">
            <w:pPr>
              <w:spacing w:before="120" w:after="120"/>
              <w:contextualSpacing/>
              <w:jc w:val="center"/>
              <w:rPr>
                <w:rFonts w:ascii="Cambria" w:hAnsi="Cambria" w:cs="Arial"/>
                <w:b/>
              </w:rPr>
            </w:pPr>
            <w:r w:rsidRPr="009A0DA6">
              <w:rPr>
                <w:rFonts w:ascii="Cambria" w:hAnsi="Cambria" w:cs="Arial"/>
                <w:b/>
              </w:rPr>
              <w:t xml:space="preserve">2016 </w:t>
            </w:r>
          </w:p>
        </w:tc>
        <w:tc>
          <w:tcPr>
            <w:tcW w:w="1474" w:type="dxa"/>
            <w:hideMark/>
          </w:tcPr>
          <w:p w14:paraId="34E29306" w14:textId="24371832" w:rsidR="0054360D" w:rsidRPr="009A0DA6" w:rsidRDefault="0054360D" w:rsidP="001A730F">
            <w:pPr>
              <w:spacing w:before="120" w:after="120"/>
              <w:contextualSpacing/>
              <w:jc w:val="center"/>
              <w:rPr>
                <w:rFonts w:ascii="Cambria" w:hAnsi="Cambria" w:cs="Arial"/>
                <w:b/>
              </w:rPr>
            </w:pPr>
            <w:r w:rsidRPr="009A0DA6">
              <w:rPr>
                <w:rFonts w:ascii="Cambria" w:hAnsi="Cambria" w:cs="Arial"/>
                <w:b/>
              </w:rPr>
              <w:t xml:space="preserve">2015 </w:t>
            </w:r>
          </w:p>
        </w:tc>
      </w:tr>
      <w:tr w:rsidR="0054360D" w:rsidRPr="009A0DA6" w14:paraId="7DF4C407" w14:textId="77777777" w:rsidTr="00AD09CB">
        <w:tc>
          <w:tcPr>
            <w:tcW w:w="3964" w:type="dxa"/>
            <w:hideMark/>
          </w:tcPr>
          <w:p w14:paraId="7088F88D" w14:textId="77777777" w:rsidR="0054360D" w:rsidRPr="009A0DA6" w:rsidRDefault="0054360D" w:rsidP="00AD09CB">
            <w:pPr>
              <w:spacing w:before="120" w:after="120"/>
              <w:contextualSpacing/>
              <w:rPr>
                <w:rFonts w:ascii="Cambria" w:hAnsi="Cambria" w:cs="Arial"/>
                <w:b/>
              </w:rPr>
            </w:pPr>
            <w:r w:rsidRPr="009A0DA6">
              <w:rPr>
                <w:rFonts w:ascii="Cambria" w:hAnsi="Cambria" w:cs="Arial"/>
                <w:b/>
              </w:rPr>
              <w:t>Expenditure</w:t>
            </w:r>
          </w:p>
        </w:tc>
        <w:tc>
          <w:tcPr>
            <w:tcW w:w="1474" w:type="dxa"/>
            <w:hideMark/>
          </w:tcPr>
          <w:p w14:paraId="51B41E9A" w14:textId="77777777" w:rsidR="0054360D" w:rsidRPr="009A0DA6" w:rsidRDefault="0054360D" w:rsidP="00AD09CB">
            <w:pPr>
              <w:spacing w:before="120" w:after="120"/>
              <w:contextualSpacing/>
              <w:jc w:val="center"/>
              <w:rPr>
                <w:rFonts w:ascii="Cambria" w:hAnsi="Cambria" w:cs="Arial"/>
                <w:b/>
              </w:rPr>
            </w:pPr>
            <w:r w:rsidRPr="009A0DA6">
              <w:rPr>
                <w:rFonts w:ascii="Cambria" w:hAnsi="Cambria" w:cs="Arial"/>
                <w:b/>
              </w:rPr>
              <w:t>$,000’s</w:t>
            </w:r>
          </w:p>
        </w:tc>
        <w:tc>
          <w:tcPr>
            <w:tcW w:w="1474" w:type="dxa"/>
            <w:hideMark/>
          </w:tcPr>
          <w:p w14:paraId="0606CAA6" w14:textId="77777777" w:rsidR="0054360D" w:rsidRPr="009A0DA6" w:rsidRDefault="0054360D" w:rsidP="00AD09CB">
            <w:pPr>
              <w:spacing w:before="120" w:after="120"/>
              <w:contextualSpacing/>
              <w:jc w:val="center"/>
              <w:rPr>
                <w:rFonts w:ascii="Cambria" w:hAnsi="Cambria" w:cs="Arial"/>
                <w:b/>
              </w:rPr>
            </w:pPr>
            <w:r w:rsidRPr="009A0DA6">
              <w:rPr>
                <w:rFonts w:ascii="Cambria" w:hAnsi="Cambria" w:cs="Arial"/>
                <w:b/>
              </w:rPr>
              <w:t>$,000’s</w:t>
            </w:r>
          </w:p>
        </w:tc>
        <w:tc>
          <w:tcPr>
            <w:tcW w:w="1474" w:type="dxa"/>
            <w:hideMark/>
          </w:tcPr>
          <w:p w14:paraId="4D98E778" w14:textId="77777777" w:rsidR="0054360D" w:rsidRPr="009A0DA6" w:rsidRDefault="0054360D" w:rsidP="00AD09CB">
            <w:pPr>
              <w:spacing w:before="120" w:after="120"/>
              <w:contextualSpacing/>
              <w:jc w:val="center"/>
              <w:rPr>
                <w:rFonts w:ascii="Cambria" w:hAnsi="Cambria" w:cs="Arial"/>
                <w:b/>
              </w:rPr>
            </w:pPr>
            <w:r w:rsidRPr="009A0DA6">
              <w:rPr>
                <w:rFonts w:ascii="Cambria" w:hAnsi="Cambria" w:cs="Arial"/>
                <w:b/>
              </w:rPr>
              <w:t>$,000’s</w:t>
            </w:r>
          </w:p>
        </w:tc>
      </w:tr>
      <w:tr w:rsidR="0054360D" w:rsidRPr="009A0DA6" w14:paraId="4A7ACBC1" w14:textId="77777777" w:rsidTr="00AD09CB">
        <w:tc>
          <w:tcPr>
            <w:tcW w:w="3964" w:type="dxa"/>
            <w:hideMark/>
          </w:tcPr>
          <w:p w14:paraId="32112DCA" w14:textId="77777777" w:rsidR="0054360D" w:rsidRPr="009A0DA6" w:rsidRDefault="0054360D" w:rsidP="00AD09CB">
            <w:pPr>
              <w:spacing w:before="120" w:after="120"/>
              <w:contextualSpacing/>
              <w:rPr>
                <w:rFonts w:ascii="Cambria" w:hAnsi="Cambria" w:cs="Arial"/>
              </w:rPr>
            </w:pPr>
            <w:r w:rsidRPr="009A0DA6">
              <w:rPr>
                <w:rFonts w:ascii="Cambria" w:hAnsi="Cambria" w:cs="Arial"/>
              </w:rPr>
              <w:t>1 Growing as God’s People</w:t>
            </w:r>
          </w:p>
        </w:tc>
        <w:tc>
          <w:tcPr>
            <w:tcW w:w="1474" w:type="dxa"/>
            <w:hideMark/>
          </w:tcPr>
          <w:p w14:paraId="581671ED" w14:textId="77777777" w:rsidR="0054360D" w:rsidRPr="009A0DA6" w:rsidRDefault="0054360D" w:rsidP="00AD09CB">
            <w:pPr>
              <w:spacing w:before="120" w:after="120"/>
              <w:contextualSpacing/>
              <w:jc w:val="center"/>
              <w:rPr>
                <w:rFonts w:ascii="Cambria" w:hAnsi="Cambria" w:cs="Arial"/>
              </w:rPr>
            </w:pPr>
            <w:r w:rsidRPr="009A0DA6">
              <w:rPr>
                <w:rFonts w:ascii="Cambria" w:hAnsi="Cambria" w:cs="Arial"/>
              </w:rPr>
              <w:t>380,000</w:t>
            </w:r>
          </w:p>
        </w:tc>
        <w:tc>
          <w:tcPr>
            <w:tcW w:w="1474" w:type="dxa"/>
            <w:hideMark/>
          </w:tcPr>
          <w:p w14:paraId="701D7F3D" w14:textId="77777777" w:rsidR="0054360D" w:rsidRPr="009A0DA6" w:rsidRDefault="0054360D" w:rsidP="00AD09CB">
            <w:pPr>
              <w:spacing w:before="120" w:after="120"/>
              <w:contextualSpacing/>
              <w:jc w:val="center"/>
              <w:rPr>
                <w:rFonts w:ascii="Cambria" w:hAnsi="Cambria" w:cs="Arial"/>
              </w:rPr>
            </w:pPr>
            <w:r w:rsidRPr="009A0DA6">
              <w:rPr>
                <w:rFonts w:ascii="Cambria" w:hAnsi="Cambria" w:cs="Arial"/>
              </w:rPr>
              <w:t>370,000</w:t>
            </w:r>
          </w:p>
        </w:tc>
        <w:tc>
          <w:tcPr>
            <w:tcW w:w="1474" w:type="dxa"/>
            <w:hideMark/>
          </w:tcPr>
          <w:p w14:paraId="36A747D0" w14:textId="77777777" w:rsidR="0054360D" w:rsidRPr="009A0DA6" w:rsidRDefault="0054360D" w:rsidP="00AD09CB">
            <w:pPr>
              <w:spacing w:before="120" w:after="120"/>
              <w:contextualSpacing/>
              <w:jc w:val="center"/>
              <w:rPr>
                <w:rFonts w:ascii="Cambria" w:hAnsi="Cambria" w:cs="Arial"/>
              </w:rPr>
            </w:pPr>
            <w:r w:rsidRPr="009A0DA6">
              <w:rPr>
                <w:rFonts w:ascii="Cambria" w:hAnsi="Cambria" w:cs="Arial"/>
              </w:rPr>
              <w:t>327,000</w:t>
            </w:r>
          </w:p>
        </w:tc>
      </w:tr>
      <w:tr w:rsidR="0054360D" w:rsidRPr="009A0DA6" w14:paraId="46585429" w14:textId="77777777" w:rsidTr="00AD09CB">
        <w:tc>
          <w:tcPr>
            <w:tcW w:w="3964" w:type="dxa"/>
            <w:hideMark/>
          </w:tcPr>
          <w:p w14:paraId="63E7991B" w14:textId="77777777" w:rsidR="0054360D" w:rsidRPr="009A0DA6" w:rsidRDefault="0054360D" w:rsidP="00AD09CB">
            <w:pPr>
              <w:spacing w:before="120" w:after="120"/>
              <w:contextualSpacing/>
              <w:rPr>
                <w:rFonts w:ascii="Cambria" w:hAnsi="Cambria" w:cs="Arial"/>
              </w:rPr>
            </w:pPr>
            <w:r w:rsidRPr="009A0DA6">
              <w:rPr>
                <w:rFonts w:ascii="Cambria" w:hAnsi="Cambria" w:cs="Arial"/>
              </w:rPr>
              <w:t>2 Going as God’s People</w:t>
            </w:r>
          </w:p>
        </w:tc>
        <w:tc>
          <w:tcPr>
            <w:tcW w:w="1474" w:type="dxa"/>
            <w:hideMark/>
          </w:tcPr>
          <w:p w14:paraId="46E99386" w14:textId="77777777" w:rsidR="0054360D" w:rsidRPr="009A0DA6" w:rsidRDefault="0054360D" w:rsidP="00AD09CB">
            <w:pPr>
              <w:spacing w:before="120" w:after="120"/>
              <w:contextualSpacing/>
              <w:jc w:val="center"/>
              <w:rPr>
                <w:rFonts w:ascii="Cambria" w:hAnsi="Cambria" w:cs="Arial"/>
              </w:rPr>
            </w:pPr>
            <w:r w:rsidRPr="009A0DA6">
              <w:rPr>
                <w:rFonts w:ascii="Cambria" w:hAnsi="Cambria" w:cs="Arial"/>
              </w:rPr>
              <w:t>370,000</w:t>
            </w:r>
          </w:p>
        </w:tc>
        <w:tc>
          <w:tcPr>
            <w:tcW w:w="1474" w:type="dxa"/>
            <w:hideMark/>
          </w:tcPr>
          <w:p w14:paraId="09CD590B" w14:textId="77777777" w:rsidR="0054360D" w:rsidRPr="009A0DA6" w:rsidRDefault="0054360D" w:rsidP="00AD09CB">
            <w:pPr>
              <w:spacing w:before="120" w:after="120"/>
              <w:contextualSpacing/>
              <w:jc w:val="center"/>
              <w:rPr>
                <w:rFonts w:ascii="Cambria" w:hAnsi="Cambria" w:cs="Arial"/>
              </w:rPr>
            </w:pPr>
            <w:r w:rsidRPr="009A0DA6">
              <w:rPr>
                <w:rFonts w:ascii="Cambria" w:hAnsi="Cambria" w:cs="Arial"/>
              </w:rPr>
              <w:t>360,000</w:t>
            </w:r>
          </w:p>
        </w:tc>
        <w:tc>
          <w:tcPr>
            <w:tcW w:w="1474" w:type="dxa"/>
            <w:hideMark/>
          </w:tcPr>
          <w:p w14:paraId="25DDBAE9" w14:textId="77777777" w:rsidR="0054360D" w:rsidRPr="009A0DA6" w:rsidRDefault="0054360D" w:rsidP="00AD09CB">
            <w:pPr>
              <w:spacing w:before="120" w:after="120"/>
              <w:contextualSpacing/>
              <w:jc w:val="center"/>
              <w:rPr>
                <w:rFonts w:ascii="Cambria" w:hAnsi="Cambria" w:cs="Arial"/>
              </w:rPr>
            </w:pPr>
            <w:r w:rsidRPr="009A0DA6">
              <w:rPr>
                <w:rFonts w:ascii="Cambria" w:hAnsi="Cambria" w:cs="Arial"/>
              </w:rPr>
              <w:t>309,000</w:t>
            </w:r>
          </w:p>
        </w:tc>
      </w:tr>
      <w:tr w:rsidR="0054360D" w:rsidRPr="009A0DA6" w14:paraId="5C8CFBB3" w14:textId="77777777" w:rsidTr="00AD09CB">
        <w:tc>
          <w:tcPr>
            <w:tcW w:w="3964" w:type="dxa"/>
            <w:hideMark/>
          </w:tcPr>
          <w:p w14:paraId="45A188BA" w14:textId="77777777" w:rsidR="0054360D" w:rsidRPr="009A0DA6" w:rsidRDefault="0054360D" w:rsidP="00AD09CB">
            <w:pPr>
              <w:spacing w:before="120" w:after="120"/>
              <w:contextualSpacing/>
              <w:rPr>
                <w:rFonts w:ascii="Cambria" w:hAnsi="Cambria" w:cs="Arial"/>
              </w:rPr>
            </w:pPr>
            <w:r w:rsidRPr="009A0DA6">
              <w:rPr>
                <w:rFonts w:ascii="Cambria" w:hAnsi="Cambria" w:cs="Arial"/>
              </w:rPr>
              <w:t>3 Enable us to Go &amp; Grow</w:t>
            </w:r>
          </w:p>
        </w:tc>
        <w:tc>
          <w:tcPr>
            <w:tcW w:w="1474" w:type="dxa"/>
            <w:hideMark/>
          </w:tcPr>
          <w:p w14:paraId="61072D9F" w14:textId="77777777" w:rsidR="0054360D" w:rsidRPr="009A0DA6" w:rsidRDefault="0054360D" w:rsidP="00AD09CB">
            <w:pPr>
              <w:spacing w:before="120" w:after="120"/>
              <w:contextualSpacing/>
              <w:jc w:val="center"/>
              <w:rPr>
                <w:rFonts w:ascii="Cambria" w:hAnsi="Cambria" w:cs="Arial"/>
              </w:rPr>
            </w:pPr>
            <w:r w:rsidRPr="009A0DA6">
              <w:rPr>
                <w:rFonts w:ascii="Cambria" w:hAnsi="Cambria" w:cs="Arial"/>
              </w:rPr>
              <w:t>308,000</w:t>
            </w:r>
          </w:p>
        </w:tc>
        <w:tc>
          <w:tcPr>
            <w:tcW w:w="1474" w:type="dxa"/>
            <w:hideMark/>
          </w:tcPr>
          <w:p w14:paraId="6B6E15BC" w14:textId="77777777" w:rsidR="0054360D" w:rsidRPr="009A0DA6" w:rsidRDefault="0054360D" w:rsidP="00AD09CB">
            <w:pPr>
              <w:spacing w:before="120" w:after="120"/>
              <w:contextualSpacing/>
              <w:jc w:val="center"/>
              <w:rPr>
                <w:rFonts w:ascii="Cambria" w:hAnsi="Cambria" w:cs="Arial"/>
              </w:rPr>
            </w:pPr>
            <w:r w:rsidRPr="009A0DA6">
              <w:rPr>
                <w:rFonts w:ascii="Cambria" w:hAnsi="Cambria" w:cs="Arial"/>
              </w:rPr>
              <w:t>298,000</w:t>
            </w:r>
          </w:p>
        </w:tc>
        <w:tc>
          <w:tcPr>
            <w:tcW w:w="1474" w:type="dxa"/>
            <w:hideMark/>
          </w:tcPr>
          <w:p w14:paraId="7944B97D" w14:textId="77777777" w:rsidR="0054360D" w:rsidRPr="009A0DA6" w:rsidRDefault="0054360D" w:rsidP="00AD09CB">
            <w:pPr>
              <w:spacing w:before="120" w:after="120"/>
              <w:contextualSpacing/>
              <w:jc w:val="center"/>
              <w:rPr>
                <w:rFonts w:ascii="Cambria" w:hAnsi="Cambria" w:cs="Arial"/>
              </w:rPr>
            </w:pPr>
            <w:r w:rsidRPr="009A0DA6">
              <w:rPr>
                <w:rFonts w:ascii="Cambria" w:hAnsi="Cambria" w:cs="Arial"/>
              </w:rPr>
              <w:t>290,000</w:t>
            </w:r>
          </w:p>
        </w:tc>
      </w:tr>
      <w:tr w:rsidR="0054360D" w:rsidRPr="009A0DA6" w14:paraId="55FF87E0" w14:textId="77777777" w:rsidTr="00AD09CB">
        <w:tc>
          <w:tcPr>
            <w:tcW w:w="3964" w:type="dxa"/>
            <w:hideMark/>
          </w:tcPr>
          <w:p w14:paraId="27A0F5A5" w14:textId="77777777" w:rsidR="0054360D" w:rsidRPr="009A0DA6" w:rsidRDefault="0054360D" w:rsidP="00AD09CB">
            <w:pPr>
              <w:spacing w:before="120" w:after="120"/>
              <w:contextualSpacing/>
              <w:rPr>
                <w:rFonts w:ascii="Cambria" w:hAnsi="Cambria" w:cs="Arial"/>
                <w:b/>
              </w:rPr>
            </w:pPr>
            <w:r w:rsidRPr="009A0DA6">
              <w:rPr>
                <w:rFonts w:ascii="Cambria" w:hAnsi="Cambria" w:cs="Arial"/>
                <w:b/>
              </w:rPr>
              <w:t>Total</w:t>
            </w:r>
          </w:p>
        </w:tc>
        <w:tc>
          <w:tcPr>
            <w:tcW w:w="1474" w:type="dxa"/>
            <w:hideMark/>
          </w:tcPr>
          <w:p w14:paraId="64FC78D5" w14:textId="77777777" w:rsidR="0054360D" w:rsidRPr="009A0DA6" w:rsidRDefault="0054360D" w:rsidP="00AD09CB">
            <w:pPr>
              <w:spacing w:before="120" w:after="120"/>
              <w:contextualSpacing/>
              <w:jc w:val="center"/>
              <w:rPr>
                <w:rFonts w:ascii="Cambria" w:hAnsi="Cambria" w:cs="Arial"/>
                <w:b/>
              </w:rPr>
            </w:pPr>
            <w:r w:rsidRPr="009A0DA6">
              <w:rPr>
                <w:rFonts w:ascii="Cambria" w:hAnsi="Cambria" w:cs="Arial"/>
                <w:b/>
              </w:rPr>
              <w:t>1,058,000</w:t>
            </w:r>
          </w:p>
        </w:tc>
        <w:tc>
          <w:tcPr>
            <w:tcW w:w="1474" w:type="dxa"/>
            <w:hideMark/>
          </w:tcPr>
          <w:p w14:paraId="44B45E91" w14:textId="77777777" w:rsidR="0054360D" w:rsidRPr="009A0DA6" w:rsidRDefault="0054360D" w:rsidP="00AD09CB">
            <w:pPr>
              <w:spacing w:before="120" w:after="120"/>
              <w:contextualSpacing/>
              <w:jc w:val="center"/>
              <w:rPr>
                <w:rFonts w:ascii="Cambria" w:hAnsi="Cambria" w:cs="Arial"/>
                <w:b/>
              </w:rPr>
            </w:pPr>
            <w:r w:rsidRPr="009A0DA6">
              <w:rPr>
                <w:rFonts w:ascii="Cambria" w:hAnsi="Cambria" w:cs="Arial"/>
                <w:b/>
              </w:rPr>
              <w:t>1,028,000</w:t>
            </w:r>
          </w:p>
        </w:tc>
        <w:tc>
          <w:tcPr>
            <w:tcW w:w="1474" w:type="dxa"/>
            <w:hideMark/>
          </w:tcPr>
          <w:p w14:paraId="569CBCB0" w14:textId="77777777" w:rsidR="0054360D" w:rsidRPr="009A0DA6" w:rsidRDefault="0054360D" w:rsidP="00AD09CB">
            <w:pPr>
              <w:spacing w:before="120" w:after="120"/>
              <w:contextualSpacing/>
              <w:jc w:val="center"/>
              <w:rPr>
                <w:rFonts w:ascii="Cambria" w:hAnsi="Cambria" w:cs="Arial"/>
                <w:b/>
              </w:rPr>
            </w:pPr>
            <w:r w:rsidRPr="009A0DA6">
              <w:rPr>
                <w:rFonts w:ascii="Cambria" w:hAnsi="Cambria" w:cs="Arial"/>
                <w:b/>
              </w:rPr>
              <w:t>926,000</w:t>
            </w:r>
          </w:p>
        </w:tc>
      </w:tr>
    </w:tbl>
    <w:p w14:paraId="1E83F53E" w14:textId="77777777" w:rsidR="005F21CD" w:rsidRDefault="005F21CD" w:rsidP="0054360D">
      <w:pPr>
        <w:pStyle w:val="Heading3"/>
      </w:pPr>
    </w:p>
    <w:p w14:paraId="633D2908" w14:textId="5F172ECB" w:rsidR="005F21CD" w:rsidRDefault="005F21CD" w:rsidP="0054360D">
      <w:pPr>
        <w:pStyle w:val="Heading3"/>
      </w:pPr>
    </w:p>
    <w:p w14:paraId="176B1464" w14:textId="77777777" w:rsidR="005F21CD" w:rsidRPr="005F21CD" w:rsidRDefault="005F21CD" w:rsidP="005F21CD">
      <w:pPr>
        <w:pStyle w:val="NoSpacing"/>
      </w:pPr>
    </w:p>
    <w:p w14:paraId="302D68DA" w14:textId="77777777" w:rsidR="005F21CD" w:rsidRDefault="005F21CD" w:rsidP="0054360D">
      <w:pPr>
        <w:pStyle w:val="Heading3"/>
      </w:pPr>
    </w:p>
    <w:p w14:paraId="180C162B" w14:textId="3C5BFE09" w:rsidR="0054360D" w:rsidRPr="009A0DA6" w:rsidRDefault="0054360D" w:rsidP="0054360D">
      <w:pPr>
        <w:pStyle w:val="Heading3"/>
      </w:pPr>
      <w:r w:rsidRPr="009A0DA6">
        <w:t>agenda 12.2</w:t>
      </w:r>
    </w:p>
    <w:p w14:paraId="22BB257F" w14:textId="0A64A15C" w:rsidR="0054360D" w:rsidRPr="009A0DA6" w:rsidRDefault="0054360D" w:rsidP="0054360D">
      <w:pPr>
        <w:pStyle w:val="Heading2"/>
      </w:pPr>
      <w:bookmarkStart w:id="508" w:name="_Toc521954748"/>
      <w:r w:rsidRPr="009A0DA6">
        <w:t>Financial Report: Finke River Mission</w:t>
      </w:r>
      <w:bookmarkEnd w:id="508"/>
      <w:r w:rsidR="00446899">
        <w:t xml:space="preserve"> Board</w:t>
      </w:r>
    </w:p>
    <w:p w14:paraId="009A439F" w14:textId="77777777" w:rsidR="0054360D" w:rsidRPr="009A0DA6" w:rsidRDefault="0054360D" w:rsidP="0054360D">
      <w:pPr>
        <w:pStyle w:val="NoSpacing"/>
        <w:rPr>
          <w:b/>
        </w:rPr>
      </w:pPr>
    </w:p>
    <w:p w14:paraId="3920CD01" w14:textId="77777777" w:rsidR="0054360D" w:rsidRPr="009A0DA6" w:rsidRDefault="0054360D" w:rsidP="00766B14">
      <w:pPr>
        <w:pStyle w:val="NoSpacing"/>
        <w:rPr>
          <w:b/>
        </w:rPr>
      </w:pPr>
      <w:r w:rsidRPr="009A0DA6">
        <w:rPr>
          <w:b/>
        </w:rPr>
        <w:t>INCOME AND EXPENDITURE STATEMENT</w:t>
      </w:r>
    </w:p>
    <w:p w14:paraId="3A657994" w14:textId="09E013BD" w:rsidR="0054360D" w:rsidRPr="009A0DA6" w:rsidRDefault="00FF7E8B" w:rsidP="0054360D">
      <w:pPr>
        <w:pStyle w:val="NoSpacing"/>
        <w:rPr>
          <w:b/>
        </w:rPr>
      </w:pPr>
      <w:r w:rsidRPr="00FF7E8B">
        <w:rPr>
          <w:b/>
        </w:rPr>
        <w:t>FOR THE PERIODS ENDING 31 DECEMBER</w:t>
      </w:r>
    </w:p>
    <w:p w14:paraId="61F5FC61" w14:textId="77777777" w:rsidR="0054360D" w:rsidRPr="009A0DA6" w:rsidRDefault="0054360D" w:rsidP="0054360D">
      <w:pPr>
        <w:tabs>
          <w:tab w:val="center" w:pos="4536"/>
          <w:tab w:val="right" w:pos="5954"/>
          <w:tab w:val="right" w:pos="7371"/>
          <w:tab w:val="right" w:pos="8789"/>
        </w:tabs>
        <w:spacing w:before="120" w:after="120" w:line="240" w:lineRule="auto"/>
        <w:contextualSpacing/>
        <w:rPr>
          <w:rFonts w:ascii="Cambria" w:hAnsi="Cambria" w:cs="Arial"/>
          <w:b/>
          <w:bCs/>
        </w:rPr>
      </w:pPr>
      <w:r w:rsidRPr="009A0DA6">
        <w:rPr>
          <w:rFonts w:ascii="Cambria" w:hAnsi="Cambria"/>
        </w:rPr>
        <w:tab/>
      </w:r>
      <w:r w:rsidRPr="009A0DA6">
        <w:rPr>
          <w:rFonts w:ascii="Cambria" w:hAnsi="Cambria"/>
        </w:rPr>
        <w:tab/>
      </w:r>
      <w:r w:rsidRPr="009A0DA6">
        <w:rPr>
          <w:rFonts w:ascii="Cambria" w:hAnsi="Cambria" w:cs="Arial"/>
          <w:b/>
          <w:bCs/>
        </w:rPr>
        <w:t>2017</w:t>
      </w:r>
      <w:r w:rsidRPr="009A0DA6">
        <w:rPr>
          <w:rFonts w:ascii="Cambria" w:hAnsi="Cambria" w:cs="Arial"/>
          <w:b/>
          <w:bCs/>
        </w:rPr>
        <w:tab/>
        <w:t>2016</w:t>
      </w:r>
      <w:r w:rsidRPr="009A0DA6">
        <w:rPr>
          <w:rFonts w:ascii="Cambria" w:hAnsi="Cambria" w:cs="Arial"/>
          <w:b/>
          <w:bCs/>
        </w:rPr>
        <w:tab/>
        <w:t>2015</w:t>
      </w:r>
    </w:p>
    <w:p w14:paraId="34DFF85F" w14:textId="77777777" w:rsidR="0054360D" w:rsidRPr="009A0DA6" w:rsidRDefault="0054360D" w:rsidP="0054360D">
      <w:pPr>
        <w:tabs>
          <w:tab w:val="center" w:pos="4536"/>
          <w:tab w:val="right" w:pos="5954"/>
          <w:tab w:val="right" w:pos="7371"/>
          <w:tab w:val="right" w:pos="8789"/>
        </w:tabs>
        <w:spacing w:before="120" w:after="120" w:line="240" w:lineRule="auto"/>
        <w:contextualSpacing/>
        <w:rPr>
          <w:rFonts w:ascii="Cambria" w:hAnsi="Cambria"/>
        </w:rPr>
      </w:pPr>
      <w:r w:rsidRPr="009A0DA6">
        <w:rPr>
          <w:rFonts w:ascii="Cambria" w:hAnsi="Cambria" w:cs="Arial"/>
          <w:b/>
          <w:bCs/>
        </w:rPr>
        <w:t>INCOME</w:t>
      </w:r>
      <w:r w:rsidRPr="009A0DA6">
        <w:rPr>
          <w:rFonts w:ascii="Cambria" w:hAnsi="Cambria" w:cs="Arial"/>
          <w:b/>
          <w:bCs/>
        </w:rPr>
        <w:tab/>
      </w:r>
      <w:r w:rsidRPr="009A0DA6">
        <w:rPr>
          <w:rFonts w:ascii="Cambria" w:hAnsi="Cambria" w:cs="Arial"/>
          <w:b/>
          <w:bCs/>
        </w:rPr>
        <w:tab/>
      </w:r>
      <w:r w:rsidRPr="009A0DA6">
        <w:rPr>
          <w:rFonts w:ascii="Cambria" w:hAnsi="Cambria"/>
        </w:rPr>
        <w:tab/>
      </w:r>
      <w:r w:rsidRPr="009A0DA6">
        <w:rPr>
          <w:rFonts w:ascii="Cambria" w:hAnsi="Cambria"/>
        </w:rPr>
        <w:tab/>
      </w:r>
    </w:p>
    <w:p w14:paraId="0F4813E8" w14:textId="77777777" w:rsidR="0054360D" w:rsidRPr="009A0DA6" w:rsidRDefault="0054360D" w:rsidP="0054360D">
      <w:pPr>
        <w:tabs>
          <w:tab w:val="center" w:pos="4536"/>
          <w:tab w:val="right" w:pos="5954"/>
          <w:tab w:val="right" w:pos="7371"/>
          <w:tab w:val="right" w:pos="8789"/>
        </w:tabs>
        <w:spacing w:before="120" w:after="120" w:line="240" w:lineRule="auto"/>
        <w:contextualSpacing/>
        <w:rPr>
          <w:rFonts w:ascii="Cambria" w:hAnsi="Cambria" w:cs="Arial"/>
        </w:rPr>
      </w:pPr>
      <w:r w:rsidRPr="009A0DA6">
        <w:rPr>
          <w:rFonts w:ascii="Cambria" w:hAnsi="Cambria" w:cs="Arial"/>
        </w:rPr>
        <w:t>Funding Income</w:t>
      </w:r>
      <w:r w:rsidRPr="009A0DA6">
        <w:rPr>
          <w:rFonts w:ascii="Cambria" w:hAnsi="Cambria" w:cs="Arial"/>
        </w:rPr>
        <w:tab/>
      </w:r>
      <w:r w:rsidRPr="009A0DA6">
        <w:rPr>
          <w:rFonts w:ascii="Cambria" w:hAnsi="Cambria" w:cs="Arial"/>
        </w:rPr>
        <w:tab/>
        <w:t>450,000</w:t>
      </w:r>
      <w:r w:rsidRPr="009A0DA6">
        <w:rPr>
          <w:rFonts w:ascii="Cambria" w:hAnsi="Cambria" w:cs="Arial"/>
        </w:rPr>
        <w:tab/>
        <w:t>405,000</w:t>
      </w:r>
      <w:r w:rsidRPr="009A0DA6">
        <w:rPr>
          <w:rFonts w:ascii="Cambria" w:hAnsi="Cambria" w:cs="Arial"/>
        </w:rPr>
        <w:tab/>
        <w:t>360,000</w:t>
      </w:r>
    </w:p>
    <w:p w14:paraId="5B305205" w14:textId="77777777" w:rsidR="0054360D" w:rsidRPr="009A0DA6" w:rsidRDefault="0054360D" w:rsidP="0054360D">
      <w:pPr>
        <w:tabs>
          <w:tab w:val="center" w:pos="4536"/>
          <w:tab w:val="right" w:pos="5954"/>
          <w:tab w:val="right" w:pos="7371"/>
          <w:tab w:val="right" w:pos="8789"/>
        </w:tabs>
        <w:spacing w:before="120" w:after="120" w:line="240" w:lineRule="auto"/>
        <w:contextualSpacing/>
        <w:rPr>
          <w:rFonts w:ascii="Cambria" w:hAnsi="Cambria" w:cs="Arial"/>
        </w:rPr>
      </w:pPr>
      <w:r w:rsidRPr="009A0DA6">
        <w:rPr>
          <w:rFonts w:ascii="Cambria" w:hAnsi="Cambria" w:cs="Arial"/>
        </w:rPr>
        <w:t>Government Subsidies</w:t>
      </w:r>
      <w:r w:rsidRPr="009A0DA6">
        <w:rPr>
          <w:rFonts w:ascii="Cambria" w:hAnsi="Cambria" w:cs="Arial"/>
        </w:rPr>
        <w:tab/>
      </w:r>
      <w:r w:rsidRPr="009A0DA6">
        <w:rPr>
          <w:rFonts w:ascii="Cambria" w:hAnsi="Cambria" w:cs="Arial"/>
        </w:rPr>
        <w:tab/>
        <w:t>27,823</w:t>
      </w:r>
      <w:r w:rsidRPr="009A0DA6">
        <w:rPr>
          <w:rFonts w:ascii="Cambria" w:hAnsi="Cambria" w:cs="Arial"/>
        </w:rPr>
        <w:tab/>
        <w:t>20,000</w:t>
      </w:r>
      <w:r w:rsidRPr="009A0DA6">
        <w:rPr>
          <w:rFonts w:ascii="Cambria" w:hAnsi="Cambria" w:cs="Arial"/>
        </w:rPr>
        <w:tab/>
        <w:t>64,757</w:t>
      </w:r>
    </w:p>
    <w:p w14:paraId="67C76022" w14:textId="77777777" w:rsidR="0054360D" w:rsidRPr="009A0DA6" w:rsidRDefault="0054360D" w:rsidP="0054360D">
      <w:pPr>
        <w:tabs>
          <w:tab w:val="center" w:pos="4536"/>
          <w:tab w:val="right" w:pos="5954"/>
          <w:tab w:val="right" w:pos="7371"/>
          <w:tab w:val="right" w:pos="8789"/>
        </w:tabs>
        <w:spacing w:before="120" w:after="120" w:line="240" w:lineRule="auto"/>
        <w:contextualSpacing/>
        <w:rPr>
          <w:rFonts w:ascii="Cambria" w:hAnsi="Cambria" w:cs="Arial"/>
        </w:rPr>
      </w:pPr>
      <w:r w:rsidRPr="009A0DA6">
        <w:rPr>
          <w:rFonts w:ascii="Cambria" w:hAnsi="Cambria" w:cs="Arial"/>
        </w:rPr>
        <w:t>Property Rental Receipts</w:t>
      </w:r>
      <w:r w:rsidRPr="009A0DA6">
        <w:rPr>
          <w:rFonts w:ascii="Cambria" w:hAnsi="Cambria" w:cs="Arial"/>
        </w:rPr>
        <w:tab/>
      </w:r>
      <w:r w:rsidRPr="009A0DA6">
        <w:rPr>
          <w:rFonts w:ascii="Cambria" w:hAnsi="Cambria" w:cs="Arial"/>
        </w:rPr>
        <w:tab/>
        <w:t>123,588</w:t>
      </w:r>
      <w:r w:rsidRPr="009A0DA6">
        <w:rPr>
          <w:rFonts w:ascii="Cambria" w:hAnsi="Cambria" w:cs="Arial"/>
        </w:rPr>
        <w:tab/>
        <w:t>116,607</w:t>
      </w:r>
      <w:r w:rsidRPr="009A0DA6">
        <w:rPr>
          <w:rFonts w:ascii="Cambria" w:hAnsi="Cambria" w:cs="Arial"/>
        </w:rPr>
        <w:tab/>
        <w:t>122,177</w:t>
      </w:r>
    </w:p>
    <w:p w14:paraId="66BFDBC8" w14:textId="77777777" w:rsidR="0054360D" w:rsidRPr="009A0DA6" w:rsidRDefault="0054360D" w:rsidP="0054360D">
      <w:pPr>
        <w:tabs>
          <w:tab w:val="center" w:pos="4536"/>
          <w:tab w:val="right" w:pos="5954"/>
          <w:tab w:val="right" w:pos="7371"/>
          <w:tab w:val="right" w:pos="8789"/>
        </w:tabs>
        <w:spacing w:before="120" w:after="120" w:line="240" w:lineRule="auto"/>
        <w:contextualSpacing/>
        <w:rPr>
          <w:rFonts w:ascii="Cambria" w:hAnsi="Cambria" w:cs="Arial"/>
        </w:rPr>
      </w:pPr>
      <w:r w:rsidRPr="009A0DA6">
        <w:rPr>
          <w:rFonts w:ascii="Cambria" w:hAnsi="Cambria" w:cs="Arial"/>
        </w:rPr>
        <w:t>Donations</w:t>
      </w:r>
      <w:r w:rsidRPr="009A0DA6">
        <w:rPr>
          <w:rFonts w:ascii="Cambria" w:hAnsi="Cambria" w:cs="Arial"/>
        </w:rPr>
        <w:tab/>
      </w:r>
      <w:r w:rsidRPr="009A0DA6">
        <w:rPr>
          <w:rFonts w:ascii="Cambria" w:hAnsi="Cambria" w:cs="Arial"/>
        </w:rPr>
        <w:tab/>
        <w:t>164,933</w:t>
      </w:r>
      <w:r w:rsidRPr="009A0DA6">
        <w:rPr>
          <w:rFonts w:ascii="Cambria" w:hAnsi="Cambria" w:cs="Arial"/>
        </w:rPr>
        <w:tab/>
        <w:t>245,110</w:t>
      </w:r>
      <w:r w:rsidRPr="009A0DA6">
        <w:rPr>
          <w:rFonts w:ascii="Cambria" w:hAnsi="Cambria" w:cs="Arial"/>
        </w:rPr>
        <w:tab/>
        <w:t>191,635</w:t>
      </w:r>
    </w:p>
    <w:p w14:paraId="695F62EB" w14:textId="77777777" w:rsidR="0054360D" w:rsidRPr="009A0DA6" w:rsidRDefault="0054360D" w:rsidP="0054360D">
      <w:pPr>
        <w:tabs>
          <w:tab w:val="center" w:pos="4536"/>
          <w:tab w:val="right" w:pos="5954"/>
          <w:tab w:val="right" w:pos="7371"/>
          <w:tab w:val="right" w:pos="8789"/>
        </w:tabs>
        <w:spacing w:before="120" w:after="120" w:line="240" w:lineRule="auto"/>
        <w:contextualSpacing/>
        <w:rPr>
          <w:rFonts w:ascii="Cambria" w:hAnsi="Cambria" w:cs="Arial"/>
        </w:rPr>
      </w:pPr>
      <w:r w:rsidRPr="009A0DA6">
        <w:rPr>
          <w:rFonts w:ascii="Cambria" w:hAnsi="Cambria" w:cs="Arial"/>
        </w:rPr>
        <w:t>Sales</w:t>
      </w:r>
      <w:r w:rsidRPr="009A0DA6">
        <w:rPr>
          <w:rFonts w:ascii="Cambria" w:hAnsi="Cambria" w:cs="Arial"/>
        </w:rPr>
        <w:tab/>
      </w:r>
      <w:r w:rsidRPr="009A0DA6">
        <w:rPr>
          <w:rFonts w:ascii="Cambria" w:hAnsi="Cambria" w:cs="Arial"/>
        </w:rPr>
        <w:tab/>
        <w:t>3,633</w:t>
      </w:r>
      <w:r w:rsidRPr="009A0DA6">
        <w:rPr>
          <w:rFonts w:ascii="Cambria" w:hAnsi="Cambria" w:cs="Arial"/>
        </w:rPr>
        <w:tab/>
        <w:t>4,245</w:t>
      </w:r>
      <w:r w:rsidRPr="009A0DA6">
        <w:rPr>
          <w:rFonts w:ascii="Cambria" w:hAnsi="Cambria" w:cs="Arial"/>
        </w:rPr>
        <w:tab/>
        <w:t>1,925</w:t>
      </w:r>
    </w:p>
    <w:p w14:paraId="0B62B45B" w14:textId="77777777" w:rsidR="0054360D" w:rsidRPr="009A0DA6" w:rsidRDefault="0054360D" w:rsidP="0054360D">
      <w:pPr>
        <w:tabs>
          <w:tab w:val="center" w:pos="4536"/>
          <w:tab w:val="right" w:pos="5954"/>
          <w:tab w:val="right" w:pos="7371"/>
          <w:tab w:val="right" w:pos="8789"/>
        </w:tabs>
        <w:spacing w:before="120" w:after="120" w:line="240" w:lineRule="auto"/>
        <w:contextualSpacing/>
        <w:rPr>
          <w:rFonts w:ascii="Cambria" w:hAnsi="Cambria" w:cs="Arial"/>
        </w:rPr>
      </w:pPr>
      <w:r w:rsidRPr="009A0DA6">
        <w:rPr>
          <w:rFonts w:ascii="Cambria" w:hAnsi="Cambria" w:cs="Arial"/>
        </w:rPr>
        <w:t>(Loss on sale of assets)/ Capital distributions received</w:t>
      </w:r>
      <w:r w:rsidRPr="009A0DA6">
        <w:rPr>
          <w:rFonts w:ascii="Cambria" w:hAnsi="Cambria" w:cs="Arial"/>
        </w:rPr>
        <w:tab/>
      </w:r>
      <w:r w:rsidRPr="009A0DA6">
        <w:rPr>
          <w:rFonts w:ascii="Cambria" w:hAnsi="Cambria" w:cs="Arial"/>
        </w:rPr>
        <w:tab/>
        <w:t>(28,839)</w:t>
      </w:r>
      <w:r w:rsidRPr="009A0DA6">
        <w:rPr>
          <w:rFonts w:ascii="Cambria" w:hAnsi="Cambria" w:cs="Arial"/>
        </w:rPr>
        <w:tab/>
        <w:t>765,204</w:t>
      </w:r>
    </w:p>
    <w:p w14:paraId="64ADB882" w14:textId="77777777" w:rsidR="0054360D" w:rsidRPr="009A0DA6" w:rsidRDefault="0054360D" w:rsidP="0054360D">
      <w:pPr>
        <w:tabs>
          <w:tab w:val="center" w:pos="4536"/>
          <w:tab w:val="right" w:pos="5954"/>
          <w:tab w:val="right" w:pos="7371"/>
          <w:tab w:val="right" w:pos="8789"/>
        </w:tabs>
        <w:spacing w:before="120" w:after="120" w:line="240" w:lineRule="auto"/>
        <w:contextualSpacing/>
        <w:rPr>
          <w:rFonts w:ascii="Cambria" w:hAnsi="Cambria" w:cs="Arial"/>
        </w:rPr>
      </w:pPr>
      <w:r w:rsidRPr="009A0DA6">
        <w:rPr>
          <w:rFonts w:ascii="Cambria" w:hAnsi="Cambria" w:cs="Arial"/>
        </w:rPr>
        <w:t>Store Net profit</w:t>
      </w:r>
      <w:r w:rsidRPr="009A0DA6">
        <w:rPr>
          <w:rFonts w:ascii="Cambria" w:hAnsi="Cambria" w:cs="Arial"/>
        </w:rPr>
        <w:tab/>
      </w:r>
      <w:r w:rsidRPr="009A0DA6">
        <w:rPr>
          <w:rFonts w:ascii="Cambria" w:hAnsi="Cambria" w:cs="Arial"/>
        </w:rPr>
        <w:tab/>
        <w:t>133,697</w:t>
      </w:r>
      <w:r w:rsidRPr="009A0DA6">
        <w:rPr>
          <w:rFonts w:ascii="Cambria" w:hAnsi="Cambria" w:cs="Arial"/>
        </w:rPr>
        <w:tab/>
        <w:t>229,050</w:t>
      </w:r>
      <w:r w:rsidRPr="009A0DA6">
        <w:rPr>
          <w:rFonts w:ascii="Cambria" w:hAnsi="Cambria" w:cs="Arial"/>
        </w:rPr>
        <w:tab/>
        <w:t>130,292</w:t>
      </w:r>
    </w:p>
    <w:p w14:paraId="778C4EEE" w14:textId="77777777" w:rsidR="0054360D" w:rsidRPr="009A0DA6" w:rsidRDefault="0054360D" w:rsidP="0054360D">
      <w:pPr>
        <w:tabs>
          <w:tab w:val="center" w:pos="4536"/>
          <w:tab w:val="right" w:pos="5954"/>
          <w:tab w:val="right" w:pos="7371"/>
          <w:tab w:val="right" w:pos="8789"/>
        </w:tabs>
        <w:spacing w:before="120" w:after="120" w:line="240" w:lineRule="auto"/>
        <w:contextualSpacing/>
        <w:rPr>
          <w:rFonts w:ascii="Cambria" w:hAnsi="Cambria" w:cs="Arial"/>
        </w:rPr>
      </w:pPr>
      <w:r w:rsidRPr="009A0DA6">
        <w:rPr>
          <w:rFonts w:ascii="Cambria" w:hAnsi="Cambria" w:cs="Arial"/>
        </w:rPr>
        <w:t>Other</w:t>
      </w:r>
      <w:r w:rsidRPr="009A0DA6">
        <w:rPr>
          <w:rFonts w:ascii="Cambria" w:hAnsi="Cambria" w:cs="Arial"/>
        </w:rPr>
        <w:tab/>
      </w:r>
      <w:r w:rsidRPr="009A0DA6">
        <w:rPr>
          <w:rFonts w:ascii="Cambria" w:hAnsi="Cambria" w:cs="Arial"/>
        </w:rPr>
        <w:tab/>
        <w:t>128,622</w:t>
      </w:r>
      <w:r w:rsidRPr="009A0DA6">
        <w:rPr>
          <w:rFonts w:ascii="Cambria" w:hAnsi="Cambria" w:cs="Arial"/>
        </w:rPr>
        <w:tab/>
        <w:t>121,621</w:t>
      </w:r>
      <w:r w:rsidRPr="009A0DA6">
        <w:rPr>
          <w:rFonts w:ascii="Cambria" w:hAnsi="Cambria" w:cs="Arial"/>
        </w:rPr>
        <w:tab/>
        <w:t>149,087</w:t>
      </w:r>
    </w:p>
    <w:p w14:paraId="5CBCFC64" w14:textId="77777777" w:rsidR="0054360D" w:rsidRPr="009A0DA6" w:rsidRDefault="0054360D" w:rsidP="0054360D">
      <w:pPr>
        <w:tabs>
          <w:tab w:val="center" w:pos="4536"/>
          <w:tab w:val="right" w:pos="5954"/>
          <w:tab w:val="right" w:pos="7371"/>
          <w:tab w:val="right" w:pos="8789"/>
        </w:tabs>
        <w:spacing w:before="120" w:after="120" w:line="240" w:lineRule="auto"/>
        <w:contextualSpacing/>
        <w:rPr>
          <w:rFonts w:ascii="Cambria" w:hAnsi="Cambria" w:cs="Arial"/>
          <w:b/>
          <w:bCs/>
        </w:rPr>
      </w:pPr>
      <w:r w:rsidRPr="009A0DA6">
        <w:rPr>
          <w:rFonts w:ascii="Cambria" w:hAnsi="Cambria" w:cs="Arial"/>
        </w:rPr>
        <w:tab/>
      </w:r>
      <w:r w:rsidRPr="009A0DA6">
        <w:rPr>
          <w:rFonts w:ascii="Cambria" w:hAnsi="Cambria"/>
        </w:rPr>
        <w:tab/>
      </w:r>
      <w:r w:rsidRPr="009A0DA6">
        <w:rPr>
          <w:rFonts w:ascii="Cambria" w:hAnsi="Cambria" w:cs="Arial"/>
          <w:b/>
          <w:bCs/>
        </w:rPr>
        <w:t>1,003,457</w:t>
      </w:r>
      <w:r w:rsidRPr="009A0DA6">
        <w:rPr>
          <w:rFonts w:ascii="Cambria" w:hAnsi="Cambria" w:cs="Arial"/>
          <w:b/>
          <w:bCs/>
        </w:rPr>
        <w:tab/>
        <w:t>1,906,837</w:t>
      </w:r>
      <w:r w:rsidRPr="009A0DA6">
        <w:rPr>
          <w:rFonts w:ascii="Cambria" w:hAnsi="Cambria" w:cs="Arial"/>
          <w:b/>
          <w:bCs/>
        </w:rPr>
        <w:tab/>
        <w:t>1,019,873</w:t>
      </w:r>
    </w:p>
    <w:p w14:paraId="592B72F3" w14:textId="77777777" w:rsidR="0054360D" w:rsidRPr="009A0DA6" w:rsidRDefault="0054360D" w:rsidP="0054360D">
      <w:pPr>
        <w:tabs>
          <w:tab w:val="center" w:pos="4536"/>
          <w:tab w:val="right" w:pos="5954"/>
          <w:tab w:val="right" w:pos="7371"/>
          <w:tab w:val="right" w:pos="8789"/>
        </w:tabs>
        <w:spacing w:before="120" w:after="120" w:line="240" w:lineRule="auto"/>
        <w:contextualSpacing/>
        <w:rPr>
          <w:rFonts w:ascii="Cambria" w:hAnsi="Cambria"/>
        </w:rPr>
      </w:pPr>
      <w:r w:rsidRPr="009A0DA6">
        <w:rPr>
          <w:rFonts w:ascii="Cambria" w:hAnsi="Cambria" w:cs="Arial"/>
          <w:b/>
          <w:bCs/>
        </w:rPr>
        <w:t>EXPENDITURE</w:t>
      </w:r>
      <w:r w:rsidRPr="009A0DA6">
        <w:rPr>
          <w:rFonts w:ascii="Cambria" w:hAnsi="Cambria" w:cs="Arial"/>
          <w:b/>
          <w:bCs/>
        </w:rPr>
        <w:tab/>
      </w:r>
      <w:r w:rsidRPr="009A0DA6">
        <w:rPr>
          <w:rFonts w:ascii="Cambria" w:hAnsi="Cambria" w:cs="Arial"/>
          <w:b/>
          <w:bCs/>
        </w:rPr>
        <w:tab/>
      </w:r>
      <w:r w:rsidRPr="009A0DA6">
        <w:rPr>
          <w:rFonts w:ascii="Cambria" w:hAnsi="Cambria"/>
        </w:rPr>
        <w:tab/>
      </w:r>
      <w:r w:rsidRPr="009A0DA6">
        <w:rPr>
          <w:rFonts w:ascii="Cambria" w:hAnsi="Cambria"/>
        </w:rPr>
        <w:tab/>
      </w:r>
    </w:p>
    <w:p w14:paraId="72E5C052" w14:textId="77777777" w:rsidR="0054360D" w:rsidRPr="009A0DA6" w:rsidRDefault="0054360D" w:rsidP="0054360D">
      <w:pPr>
        <w:tabs>
          <w:tab w:val="center" w:pos="4536"/>
          <w:tab w:val="right" w:pos="5954"/>
          <w:tab w:val="right" w:pos="7371"/>
          <w:tab w:val="right" w:pos="8789"/>
        </w:tabs>
        <w:spacing w:before="120" w:after="120" w:line="240" w:lineRule="auto"/>
        <w:contextualSpacing/>
        <w:rPr>
          <w:rFonts w:ascii="Cambria" w:hAnsi="Cambria" w:cs="Arial"/>
        </w:rPr>
      </w:pPr>
      <w:r w:rsidRPr="009A0DA6">
        <w:rPr>
          <w:rFonts w:ascii="Cambria" w:hAnsi="Cambria" w:cs="Arial"/>
        </w:rPr>
        <w:t>Rates and Taxes</w:t>
      </w:r>
      <w:r w:rsidRPr="009A0DA6">
        <w:rPr>
          <w:rFonts w:ascii="Cambria" w:hAnsi="Cambria" w:cs="Arial"/>
        </w:rPr>
        <w:tab/>
      </w:r>
      <w:r w:rsidRPr="009A0DA6">
        <w:rPr>
          <w:rFonts w:ascii="Cambria" w:hAnsi="Cambria" w:cs="Arial"/>
        </w:rPr>
        <w:tab/>
        <w:t>52,638</w:t>
      </w:r>
      <w:r w:rsidRPr="009A0DA6">
        <w:rPr>
          <w:rFonts w:ascii="Cambria" w:hAnsi="Cambria" w:cs="Arial"/>
        </w:rPr>
        <w:tab/>
        <w:t>45,284</w:t>
      </w:r>
      <w:r w:rsidRPr="009A0DA6">
        <w:rPr>
          <w:rFonts w:ascii="Cambria" w:hAnsi="Cambria" w:cs="Arial"/>
        </w:rPr>
        <w:tab/>
        <w:t>40,797</w:t>
      </w:r>
    </w:p>
    <w:p w14:paraId="73100724" w14:textId="77777777" w:rsidR="0054360D" w:rsidRPr="009A0DA6" w:rsidRDefault="0054360D" w:rsidP="0054360D">
      <w:pPr>
        <w:tabs>
          <w:tab w:val="center" w:pos="4536"/>
          <w:tab w:val="right" w:pos="5954"/>
          <w:tab w:val="right" w:pos="7371"/>
          <w:tab w:val="right" w:pos="8789"/>
        </w:tabs>
        <w:spacing w:before="120" w:after="120" w:line="240" w:lineRule="auto"/>
        <w:contextualSpacing/>
        <w:rPr>
          <w:rFonts w:ascii="Cambria" w:hAnsi="Cambria" w:cs="Arial"/>
        </w:rPr>
      </w:pPr>
      <w:r w:rsidRPr="009A0DA6">
        <w:rPr>
          <w:rFonts w:ascii="Cambria" w:hAnsi="Cambria" w:cs="Arial"/>
        </w:rPr>
        <w:t>Depreciation</w:t>
      </w:r>
      <w:r w:rsidRPr="009A0DA6">
        <w:rPr>
          <w:rFonts w:ascii="Cambria" w:hAnsi="Cambria" w:cs="Arial"/>
        </w:rPr>
        <w:tab/>
      </w:r>
      <w:r w:rsidRPr="009A0DA6">
        <w:rPr>
          <w:rFonts w:ascii="Cambria" w:hAnsi="Cambria" w:cs="Arial"/>
        </w:rPr>
        <w:tab/>
        <w:t>52,499</w:t>
      </w:r>
      <w:r w:rsidRPr="009A0DA6">
        <w:rPr>
          <w:rFonts w:ascii="Cambria" w:hAnsi="Cambria" w:cs="Arial"/>
        </w:rPr>
        <w:tab/>
        <w:t>50,293</w:t>
      </w:r>
      <w:r w:rsidRPr="009A0DA6">
        <w:rPr>
          <w:rFonts w:ascii="Cambria" w:hAnsi="Cambria" w:cs="Arial"/>
        </w:rPr>
        <w:tab/>
        <w:t>51,255</w:t>
      </w:r>
    </w:p>
    <w:p w14:paraId="48EEEBEF" w14:textId="77777777" w:rsidR="0054360D" w:rsidRPr="009A0DA6" w:rsidRDefault="0054360D" w:rsidP="0054360D">
      <w:pPr>
        <w:tabs>
          <w:tab w:val="center" w:pos="4536"/>
          <w:tab w:val="right" w:pos="5954"/>
          <w:tab w:val="right" w:pos="7371"/>
          <w:tab w:val="right" w:pos="8789"/>
        </w:tabs>
        <w:spacing w:before="120" w:after="120" w:line="240" w:lineRule="auto"/>
        <w:contextualSpacing/>
        <w:rPr>
          <w:rFonts w:ascii="Cambria" w:hAnsi="Cambria" w:cs="Arial"/>
        </w:rPr>
      </w:pPr>
      <w:r w:rsidRPr="009A0DA6">
        <w:rPr>
          <w:rFonts w:ascii="Cambria" w:hAnsi="Cambria" w:cs="Arial"/>
        </w:rPr>
        <w:t>Other general and Administrative expenses</w:t>
      </w:r>
      <w:r w:rsidRPr="009A0DA6">
        <w:rPr>
          <w:rFonts w:ascii="Cambria" w:hAnsi="Cambria" w:cs="Arial"/>
        </w:rPr>
        <w:tab/>
      </w:r>
      <w:r w:rsidRPr="009A0DA6">
        <w:rPr>
          <w:rFonts w:ascii="Cambria" w:hAnsi="Cambria" w:cs="Arial"/>
        </w:rPr>
        <w:tab/>
        <w:t>105,733</w:t>
      </w:r>
      <w:r w:rsidRPr="009A0DA6">
        <w:rPr>
          <w:rFonts w:ascii="Cambria" w:hAnsi="Cambria" w:cs="Arial"/>
        </w:rPr>
        <w:tab/>
        <w:t>125,558</w:t>
      </w:r>
      <w:r w:rsidRPr="009A0DA6">
        <w:rPr>
          <w:rFonts w:ascii="Cambria" w:hAnsi="Cambria" w:cs="Arial"/>
        </w:rPr>
        <w:tab/>
        <w:t>140,714</w:t>
      </w:r>
    </w:p>
    <w:p w14:paraId="10DE1368" w14:textId="77777777" w:rsidR="0054360D" w:rsidRPr="009A0DA6" w:rsidRDefault="0054360D" w:rsidP="0054360D">
      <w:pPr>
        <w:tabs>
          <w:tab w:val="center" w:pos="4536"/>
          <w:tab w:val="right" w:pos="5954"/>
          <w:tab w:val="right" w:pos="7371"/>
          <w:tab w:val="right" w:pos="8789"/>
        </w:tabs>
        <w:spacing w:before="120" w:after="120" w:line="240" w:lineRule="auto"/>
        <w:contextualSpacing/>
        <w:rPr>
          <w:rFonts w:ascii="Cambria" w:hAnsi="Cambria" w:cs="Arial"/>
        </w:rPr>
      </w:pPr>
      <w:r w:rsidRPr="009A0DA6">
        <w:rPr>
          <w:rFonts w:ascii="Cambria" w:hAnsi="Cambria" w:cs="Arial"/>
        </w:rPr>
        <w:t>Advertising and promotion</w:t>
      </w:r>
      <w:r w:rsidRPr="009A0DA6">
        <w:rPr>
          <w:rFonts w:ascii="Cambria" w:hAnsi="Cambria" w:cs="Arial"/>
        </w:rPr>
        <w:tab/>
      </w:r>
      <w:r w:rsidRPr="009A0DA6">
        <w:rPr>
          <w:rFonts w:ascii="Cambria" w:hAnsi="Cambria" w:cs="Arial"/>
        </w:rPr>
        <w:tab/>
        <w:t>28,797</w:t>
      </w:r>
      <w:r w:rsidRPr="009A0DA6">
        <w:rPr>
          <w:rFonts w:ascii="Cambria" w:hAnsi="Cambria" w:cs="Arial"/>
        </w:rPr>
        <w:tab/>
        <w:t>23,579</w:t>
      </w:r>
      <w:r w:rsidRPr="009A0DA6">
        <w:rPr>
          <w:rFonts w:ascii="Cambria" w:hAnsi="Cambria" w:cs="Arial"/>
        </w:rPr>
        <w:tab/>
        <w:t>20,646</w:t>
      </w:r>
    </w:p>
    <w:p w14:paraId="329B3F9E" w14:textId="77777777" w:rsidR="0054360D" w:rsidRPr="009A0DA6" w:rsidRDefault="0054360D" w:rsidP="0054360D">
      <w:pPr>
        <w:tabs>
          <w:tab w:val="center" w:pos="4536"/>
          <w:tab w:val="right" w:pos="5954"/>
          <w:tab w:val="right" w:pos="7371"/>
          <w:tab w:val="right" w:pos="8789"/>
        </w:tabs>
        <w:spacing w:before="120" w:after="120" w:line="240" w:lineRule="auto"/>
        <w:contextualSpacing/>
        <w:rPr>
          <w:rFonts w:ascii="Cambria" w:hAnsi="Cambria" w:cs="Arial"/>
        </w:rPr>
      </w:pPr>
      <w:r w:rsidRPr="009A0DA6">
        <w:rPr>
          <w:rFonts w:ascii="Cambria" w:hAnsi="Cambria" w:cs="Arial"/>
        </w:rPr>
        <w:t>Electricity and gas</w:t>
      </w:r>
      <w:r w:rsidRPr="009A0DA6">
        <w:rPr>
          <w:rFonts w:ascii="Cambria" w:hAnsi="Cambria" w:cs="Arial"/>
        </w:rPr>
        <w:tab/>
      </w:r>
      <w:r w:rsidRPr="009A0DA6">
        <w:rPr>
          <w:rFonts w:ascii="Cambria" w:hAnsi="Cambria" w:cs="Arial"/>
        </w:rPr>
        <w:tab/>
        <w:t>22,345</w:t>
      </w:r>
      <w:r w:rsidRPr="009A0DA6">
        <w:rPr>
          <w:rFonts w:ascii="Cambria" w:hAnsi="Cambria" w:cs="Arial"/>
        </w:rPr>
        <w:tab/>
        <w:t>22,639</w:t>
      </w:r>
      <w:r w:rsidRPr="009A0DA6">
        <w:rPr>
          <w:rFonts w:ascii="Cambria" w:hAnsi="Cambria" w:cs="Arial"/>
        </w:rPr>
        <w:tab/>
        <w:t>21,215</w:t>
      </w:r>
    </w:p>
    <w:p w14:paraId="08E46B24" w14:textId="77777777" w:rsidR="0054360D" w:rsidRPr="009A0DA6" w:rsidRDefault="0054360D" w:rsidP="0054360D">
      <w:pPr>
        <w:tabs>
          <w:tab w:val="center" w:pos="4536"/>
          <w:tab w:val="right" w:pos="5954"/>
          <w:tab w:val="right" w:pos="7371"/>
          <w:tab w:val="right" w:pos="8789"/>
        </w:tabs>
        <w:spacing w:before="120" w:after="120" w:line="240" w:lineRule="auto"/>
        <w:contextualSpacing/>
        <w:rPr>
          <w:rFonts w:ascii="Cambria" w:hAnsi="Cambria" w:cs="Arial"/>
        </w:rPr>
      </w:pPr>
      <w:r w:rsidRPr="009A0DA6">
        <w:rPr>
          <w:rFonts w:ascii="Cambria" w:hAnsi="Cambria" w:cs="Arial"/>
        </w:rPr>
        <w:t>Vehicle running costs</w:t>
      </w:r>
      <w:r w:rsidRPr="009A0DA6">
        <w:rPr>
          <w:rFonts w:ascii="Cambria" w:hAnsi="Cambria" w:cs="Arial"/>
        </w:rPr>
        <w:tab/>
      </w:r>
      <w:r w:rsidRPr="009A0DA6">
        <w:rPr>
          <w:rFonts w:ascii="Cambria" w:hAnsi="Cambria" w:cs="Arial"/>
        </w:rPr>
        <w:tab/>
        <w:t>37,888</w:t>
      </w:r>
      <w:r w:rsidRPr="009A0DA6">
        <w:rPr>
          <w:rFonts w:ascii="Cambria" w:hAnsi="Cambria" w:cs="Arial"/>
        </w:rPr>
        <w:tab/>
        <w:t>36,615</w:t>
      </w:r>
      <w:r w:rsidRPr="009A0DA6">
        <w:rPr>
          <w:rFonts w:ascii="Cambria" w:hAnsi="Cambria" w:cs="Arial"/>
        </w:rPr>
        <w:tab/>
        <w:t>33,382</w:t>
      </w:r>
    </w:p>
    <w:p w14:paraId="3DEEF648" w14:textId="77777777" w:rsidR="0054360D" w:rsidRPr="009A0DA6" w:rsidRDefault="0054360D" w:rsidP="0054360D">
      <w:pPr>
        <w:tabs>
          <w:tab w:val="center" w:pos="4536"/>
          <w:tab w:val="right" w:pos="5954"/>
          <w:tab w:val="right" w:pos="7371"/>
          <w:tab w:val="right" w:pos="8789"/>
        </w:tabs>
        <w:spacing w:before="120" w:after="120" w:line="240" w:lineRule="auto"/>
        <w:contextualSpacing/>
        <w:rPr>
          <w:rFonts w:ascii="Cambria" w:hAnsi="Cambria" w:cs="Arial"/>
        </w:rPr>
      </w:pPr>
      <w:r w:rsidRPr="009A0DA6">
        <w:rPr>
          <w:rFonts w:ascii="Cambria" w:hAnsi="Cambria" w:cs="Arial"/>
        </w:rPr>
        <w:t>Repairs and maintenance</w:t>
      </w:r>
      <w:r w:rsidRPr="009A0DA6">
        <w:rPr>
          <w:rFonts w:ascii="Cambria" w:hAnsi="Cambria" w:cs="Arial"/>
        </w:rPr>
        <w:tab/>
      </w:r>
      <w:r w:rsidRPr="009A0DA6">
        <w:rPr>
          <w:rFonts w:ascii="Cambria" w:hAnsi="Cambria" w:cs="Arial"/>
        </w:rPr>
        <w:tab/>
        <w:t>54,706</w:t>
      </w:r>
      <w:r w:rsidRPr="009A0DA6">
        <w:rPr>
          <w:rFonts w:ascii="Cambria" w:hAnsi="Cambria" w:cs="Arial"/>
        </w:rPr>
        <w:tab/>
        <w:t>67,691</w:t>
      </w:r>
      <w:r w:rsidRPr="009A0DA6">
        <w:rPr>
          <w:rFonts w:ascii="Cambria" w:hAnsi="Cambria" w:cs="Arial"/>
        </w:rPr>
        <w:tab/>
        <w:t>68,681</w:t>
      </w:r>
    </w:p>
    <w:p w14:paraId="136AF676" w14:textId="77777777" w:rsidR="0054360D" w:rsidRPr="009A0DA6" w:rsidRDefault="0054360D" w:rsidP="0054360D">
      <w:pPr>
        <w:tabs>
          <w:tab w:val="center" w:pos="4536"/>
          <w:tab w:val="right" w:pos="5954"/>
          <w:tab w:val="right" w:pos="7371"/>
          <w:tab w:val="right" w:pos="8789"/>
        </w:tabs>
        <w:spacing w:before="120" w:after="120" w:line="240" w:lineRule="auto"/>
        <w:contextualSpacing/>
        <w:rPr>
          <w:rFonts w:ascii="Cambria" w:hAnsi="Cambria" w:cs="Arial"/>
        </w:rPr>
      </w:pPr>
      <w:r w:rsidRPr="009A0DA6">
        <w:rPr>
          <w:rFonts w:ascii="Cambria" w:hAnsi="Cambria" w:cs="Arial"/>
        </w:rPr>
        <w:t>Insurance</w:t>
      </w:r>
      <w:r w:rsidRPr="009A0DA6">
        <w:rPr>
          <w:rFonts w:ascii="Cambria" w:hAnsi="Cambria" w:cs="Arial"/>
        </w:rPr>
        <w:tab/>
      </w:r>
      <w:r w:rsidRPr="009A0DA6">
        <w:rPr>
          <w:rFonts w:ascii="Cambria" w:hAnsi="Cambria" w:cs="Arial"/>
        </w:rPr>
        <w:tab/>
        <w:t>25,056</w:t>
      </w:r>
      <w:r w:rsidRPr="009A0DA6">
        <w:rPr>
          <w:rFonts w:ascii="Cambria" w:hAnsi="Cambria" w:cs="Arial"/>
        </w:rPr>
        <w:tab/>
        <w:t>24,799</w:t>
      </w:r>
      <w:r w:rsidRPr="009A0DA6">
        <w:rPr>
          <w:rFonts w:ascii="Cambria" w:hAnsi="Cambria" w:cs="Arial"/>
        </w:rPr>
        <w:tab/>
        <w:t>24,705</w:t>
      </w:r>
    </w:p>
    <w:p w14:paraId="097DB93A" w14:textId="77777777" w:rsidR="0054360D" w:rsidRPr="009A0DA6" w:rsidRDefault="0054360D" w:rsidP="0054360D">
      <w:pPr>
        <w:tabs>
          <w:tab w:val="center" w:pos="4536"/>
          <w:tab w:val="right" w:pos="5954"/>
          <w:tab w:val="right" w:pos="7371"/>
          <w:tab w:val="right" w:pos="8789"/>
        </w:tabs>
        <w:spacing w:before="120" w:after="120" w:line="240" w:lineRule="auto"/>
        <w:contextualSpacing/>
        <w:rPr>
          <w:rFonts w:ascii="Cambria" w:hAnsi="Cambria" w:cs="Arial"/>
        </w:rPr>
      </w:pPr>
      <w:r w:rsidRPr="009A0DA6">
        <w:rPr>
          <w:rFonts w:ascii="Cambria" w:hAnsi="Cambria" w:cs="Arial"/>
        </w:rPr>
        <w:t>Other operating expenses</w:t>
      </w:r>
      <w:r w:rsidRPr="009A0DA6">
        <w:rPr>
          <w:rFonts w:ascii="Cambria" w:hAnsi="Cambria" w:cs="Arial"/>
        </w:rPr>
        <w:tab/>
      </w:r>
      <w:r w:rsidRPr="009A0DA6">
        <w:rPr>
          <w:rFonts w:ascii="Cambria" w:hAnsi="Cambria" w:cs="Arial"/>
        </w:rPr>
        <w:tab/>
        <w:t>94,556</w:t>
      </w:r>
      <w:r w:rsidRPr="009A0DA6">
        <w:rPr>
          <w:rFonts w:ascii="Cambria" w:hAnsi="Cambria" w:cs="Arial"/>
        </w:rPr>
        <w:tab/>
        <w:t>72,231</w:t>
      </w:r>
      <w:r w:rsidRPr="009A0DA6">
        <w:rPr>
          <w:rFonts w:ascii="Cambria" w:hAnsi="Cambria" w:cs="Arial"/>
        </w:rPr>
        <w:tab/>
        <w:t>72,328</w:t>
      </w:r>
    </w:p>
    <w:p w14:paraId="3737ADED" w14:textId="77777777" w:rsidR="0054360D" w:rsidRPr="009A0DA6" w:rsidRDefault="0054360D" w:rsidP="0054360D">
      <w:pPr>
        <w:tabs>
          <w:tab w:val="center" w:pos="4536"/>
          <w:tab w:val="right" w:pos="5954"/>
          <w:tab w:val="right" w:pos="7371"/>
          <w:tab w:val="right" w:pos="8789"/>
        </w:tabs>
        <w:spacing w:before="120" w:after="120" w:line="240" w:lineRule="auto"/>
        <w:contextualSpacing/>
        <w:rPr>
          <w:rFonts w:ascii="Cambria" w:hAnsi="Cambria" w:cs="Arial"/>
        </w:rPr>
      </w:pPr>
      <w:r w:rsidRPr="009A0DA6">
        <w:rPr>
          <w:rFonts w:ascii="Cambria" w:hAnsi="Cambria" w:cs="Arial"/>
        </w:rPr>
        <w:t>Superannuation</w:t>
      </w:r>
      <w:r w:rsidRPr="009A0DA6">
        <w:rPr>
          <w:rFonts w:ascii="Cambria" w:hAnsi="Cambria" w:cs="Arial"/>
        </w:rPr>
        <w:tab/>
      </w:r>
      <w:r w:rsidRPr="009A0DA6">
        <w:rPr>
          <w:rFonts w:ascii="Cambria" w:hAnsi="Cambria" w:cs="Arial"/>
        </w:rPr>
        <w:tab/>
        <w:t>47,961</w:t>
      </w:r>
      <w:r w:rsidRPr="009A0DA6">
        <w:rPr>
          <w:rFonts w:ascii="Cambria" w:hAnsi="Cambria" w:cs="Arial"/>
        </w:rPr>
        <w:tab/>
        <w:t>44,520</w:t>
      </w:r>
      <w:r w:rsidRPr="009A0DA6">
        <w:rPr>
          <w:rFonts w:ascii="Cambria" w:hAnsi="Cambria" w:cs="Arial"/>
        </w:rPr>
        <w:tab/>
        <w:t>39,190</w:t>
      </w:r>
    </w:p>
    <w:p w14:paraId="6E183E5A" w14:textId="77777777" w:rsidR="0054360D" w:rsidRPr="009A0DA6" w:rsidRDefault="0054360D" w:rsidP="0054360D">
      <w:pPr>
        <w:tabs>
          <w:tab w:val="center" w:pos="4536"/>
          <w:tab w:val="right" w:pos="5954"/>
          <w:tab w:val="right" w:pos="7371"/>
          <w:tab w:val="right" w:pos="8789"/>
        </w:tabs>
        <w:spacing w:before="120" w:after="120" w:line="240" w:lineRule="auto"/>
        <w:contextualSpacing/>
        <w:rPr>
          <w:rFonts w:ascii="Cambria" w:hAnsi="Cambria" w:cs="Arial"/>
        </w:rPr>
      </w:pPr>
      <w:r w:rsidRPr="009A0DA6">
        <w:rPr>
          <w:rFonts w:ascii="Cambria" w:hAnsi="Cambria" w:cs="Arial"/>
        </w:rPr>
        <w:t>Wages</w:t>
      </w:r>
      <w:r w:rsidRPr="009A0DA6">
        <w:rPr>
          <w:rFonts w:ascii="Cambria" w:hAnsi="Cambria" w:cs="Arial"/>
        </w:rPr>
        <w:tab/>
      </w:r>
      <w:r w:rsidRPr="009A0DA6">
        <w:rPr>
          <w:rFonts w:ascii="Cambria" w:hAnsi="Cambria" w:cs="Arial"/>
        </w:rPr>
        <w:tab/>
        <w:t>486,978</w:t>
      </w:r>
      <w:r w:rsidRPr="009A0DA6">
        <w:rPr>
          <w:rFonts w:ascii="Cambria" w:hAnsi="Cambria" w:cs="Arial"/>
        </w:rPr>
        <w:tab/>
        <w:t>464,266</w:t>
      </w:r>
      <w:r w:rsidRPr="009A0DA6">
        <w:rPr>
          <w:rFonts w:ascii="Cambria" w:hAnsi="Cambria" w:cs="Arial"/>
        </w:rPr>
        <w:tab/>
        <w:t>426,004</w:t>
      </w:r>
    </w:p>
    <w:p w14:paraId="331CFA0F" w14:textId="77777777" w:rsidR="0054360D" w:rsidRPr="009A0DA6" w:rsidRDefault="0054360D" w:rsidP="0054360D">
      <w:pPr>
        <w:tabs>
          <w:tab w:val="center" w:pos="4536"/>
          <w:tab w:val="right" w:pos="5954"/>
          <w:tab w:val="right" w:pos="7371"/>
          <w:tab w:val="right" w:pos="8789"/>
        </w:tabs>
        <w:spacing w:before="120" w:after="120" w:line="240" w:lineRule="auto"/>
        <w:contextualSpacing/>
        <w:rPr>
          <w:rFonts w:ascii="Cambria" w:hAnsi="Cambria" w:cs="Arial"/>
        </w:rPr>
      </w:pPr>
      <w:r w:rsidRPr="009A0DA6">
        <w:rPr>
          <w:rFonts w:ascii="Cambria" w:hAnsi="Cambria" w:cs="Arial"/>
        </w:rPr>
        <w:t>Annual leave and long service leave expense</w:t>
      </w:r>
      <w:r w:rsidRPr="009A0DA6">
        <w:rPr>
          <w:rFonts w:ascii="Cambria" w:hAnsi="Cambria" w:cs="Arial"/>
        </w:rPr>
        <w:tab/>
      </w:r>
      <w:r w:rsidRPr="009A0DA6">
        <w:rPr>
          <w:rFonts w:ascii="Cambria" w:hAnsi="Cambria" w:cs="Arial"/>
        </w:rPr>
        <w:tab/>
        <w:t>10,506</w:t>
      </w:r>
      <w:r w:rsidRPr="009A0DA6">
        <w:rPr>
          <w:rFonts w:ascii="Cambria" w:hAnsi="Cambria" w:cs="Arial"/>
        </w:rPr>
        <w:tab/>
        <w:t>11,714</w:t>
      </w:r>
      <w:r w:rsidRPr="009A0DA6">
        <w:rPr>
          <w:rFonts w:ascii="Cambria" w:hAnsi="Cambria" w:cs="Arial"/>
        </w:rPr>
        <w:tab/>
        <w:t>4,075</w:t>
      </w:r>
    </w:p>
    <w:p w14:paraId="79B1D28F" w14:textId="77777777" w:rsidR="0054360D" w:rsidRPr="009A0DA6" w:rsidRDefault="0054360D" w:rsidP="0054360D">
      <w:pPr>
        <w:tabs>
          <w:tab w:val="center" w:pos="4536"/>
          <w:tab w:val="right" w:pos="5954"/>
          <w:tab w:val="right" w:pos="7371"/>
          <w:tab w:val="right" w:pos="8789"/>
        </w:tabs>
        <w:spacing w:before="120" w:after="120" w:line="240" w:lineRule="auto"/>
        <w:contextualSpacing/>
        <w:rPr>
          <w:rFonts w:ascii="Cambria" w:hAnsi="Cambria" w:cs="Arial"/>
        </w:rPr>
      </w:pPr>
      <w:r w:rsidRPr="009A0DA6">
        <w:rPr>
          <w:rFonts w:ascii="Cambria" w:hAnsi="Cambria" w:cs="Arial"/>
        </w:rPr>
        <w:t>Other employment expenses</w:t>
      </w:r>
      <w:r w:rsidRPr="009A0DA6">
        <w:rPr>
          <w:rFonts w:ascii="Cambria" w:hAnsi="Cambria" w:cs="Arial"/>
        </w:rPr>
        <w:tab/>
      </w:r>
      <w:r w:rsidRPr="009A0DA6">
        <w:rPr>
          <w:rFonts w:ascii="Cambria" w:hAnsi="Cambria" w:cs="Arial"/>
        </w:rPr>
        <w:tab/>
        <w:t>34,731</w:t>
      </w:r>
      <w:r w:rsidRPr="009A0DA6">
        <w:rPr>
          <w:rFonts w:ascii="Cambria" w:hAnsi="Cambria" w:cs="Arial"/>
        </w:rPr>
        <w:tab/>
        <w:t>28,929</w:t>
      </w:r>
      <w:r w:rsidRPr="009A0DA6">
        <w:rPr>
          <w:rFonts w:ascii="Cambria" w:hAnsi="Cambria" w:cs="Arial"/>
        </w:rPr>
        <w:tab/>
        <w:t>28,003</w:t>
      </w:r>
    </w:p>
    <w:p w14:paraId="35E7B23C" w14:textId="77777777" w:rsidR="0054360D" w:rsidRPr="009A0DA6" w:rsidRDefault="0054360D" w:rsidP="0054360D">
      <w:pPr>
        <w:tabs>
          <w:tab w:val="center" w:pos="4536"/>
          <w:tab w:val="right" w:pos="5954"/>
          <w:tab w:val="right" w:pos="7371"/>
          <w:tab w:val="right" w:pos="8789"/>
        </w:tabs>
        <w:spacing w:before="120" w:after="120" w:line="240" w:lineRule="auto"/>
        <w:contextualSpacing/>
        <w:rPr>
          <w:rFonts w:ascii="Cambria" w:hAnsi="Cambria" w:cs="Arial"/>
        </w:rPr>
      </w:pPr>
      <w:r w:rsidRPr="009A0DA6">
        <w:rPr>
          <w:rFonts w:ascii="Cambria" w:hAnsi="Cambria" w:cs="Arial"/>
        </w:rPr>
        <w:t>Other</w:t>
      </w:r>
      <w:r w:rsidRPr="009A0DA6">
        <w:rPr>
          <w:rFonts w:ascii="Cambria" w:hAnsi="Cambria" w:cs="Arial"/>
        </w:rPr>
        <w:tab/>
      </w:r>
      <w:r w:rsidRPr="009A0DA6">
        <w:rPr>
          <w:rFonts w:ascii="Cambria" w:hAnsi="Cambria" w:cs="Arial"/>
        </w:rPr>
        <w:tab/>
        <w:t>3,215</w:t>
      </w:r>
      <w:r w:rsidRPr="009A0DA6">
        <w:rPr>
          <w:rFonts w:ascii="Cambria" w:hAnsi="Cambria" w:cs="Arial"/>
        </w:rPr>
        <w:tab/>
        <w:t>9,854</w:t>
      </w:r>
      <w:r w:rsidRPr="009A0DA6">
        <w:rPr>
          <w:rFonts w:ascii="Cambria" w:hAnsi="Cambria" w:cs="Arial"/>
        </w:rPr>
        <w:tab/>
        <w:t>4,812</w:t>
      </w:r>
    </w:p>
    <w:p w14:paraId="14AD6C0F" w14:textId="77777777" w:rsidR="0054360D" w:rsidRPr="009A0DA6" w:rsidRDefault="0054360D" w:rsidP="0054360D">
      <w:pPr>
        <w:tabs>
          <w:tab w:val="center" w:pos="4536"/>
          <w:tab w:val="right" w:pos="5954"/>
          <w:tab w:val="right" w:pos="7371"/>
          <w:tab w:val="right" w:pos="8789"/>
        </w:tabs>
        <w:spacing w:before="120" w:after="120" w:line="240" w:lineRule="auto"/>
        <w:contextualSpacing/>
        <w:rPr>
          <w:rFonts w:ascii="Cambria" w:hAnsi="Cambria" w:cs="Arial"/>
          <w:b/>
          <w:bCs/>
        </w:rPr>
      </w:pPr>
      <w:r w:rsidRPr="009A0DA6">
        <w:rPr>
          <w:rFonts w:ascii="Cambria" w:hAnsi="Cambria" w:cs="Arial"/>
        </w:rPr>
        <w:tab/>
      </w:r>
      <w:r w:rsidRPr="009A0DA6">
        <w:rPr>
          <w:rFonts w:ascii="Cambria" w:hAnsi="Cambria"/>
        </w:rPr>
        <w:tab/>
      </w:r>
      <w:r w:rsidRPr="009A0DA6">
        <w:rPr>
          <w:rFonts w:ascii="Cambria" w:hAnsi="Cambria" w:cs="Arial"/>
          <w:b/>
          <w:bCs/>
        </w:rPr>
        <w:t>1,057,609</w:t>
      </w:r>
      <w:r w:rsidRPr="009A0DA6">
        <w:rPr>
          <w:rFonts w:ascii="Cambria" w:hAnsi="Cambria" w:cs="Arial"/>
          <w:b/>
          <w:bCs/>
        </w:rPr>
        <w:tab/>
        <w:t>1,027,972</w:t>
      </w:r>
      <w:r w:rsidRPr="009A0DA6">
        <w:rPr>
          <w:rFonts w:ascii="Cambria" w:hAnsi="Cambria" w:cs="Arial"/>
          <w:b/>
          <w:bCs/>
        </w:rPr>
        <w:tab/>
        <w:t>975,807</w:t>
      </w:r>
    </w:p>
    <w:p w14:paraId="5C174122" w14:textId="77777777" w:rsidR="0054360D" w:rsidRPr="009A0DA6" w:rsidRDefault="0054360D" w:rsidP="0054360D">
      <w:pPr>
        <w:tabs>
          <w:tab w:val="center" w:pos="4536"/>
          <w:tab w:val="right" w:pos="5954"/>
          <w:tab w:val="right" w:pos="7371"/>
          <w:tab w:val="right" w:pos="8789"/>
        </w:tabs>
        <w:spacing w:before="120" w:after="120" w:line="240" w:lineRule="auto"/>
        <w:contextualSpacing/>
        <w:rPr>
          <w:rFonts w:ascii="Cambria" w:hAnsi="Cambria" w:cs="Arial"/>
          <w:b/>
        </w:rPr>
      </w:pPr>
      <w:r w:rsidRPr="009A0DA6">
        <w:rPr>
          <w:rFonts w:ascii="Cambria" w:hAnsi="Cambria" w:cs="Arial"/>
          <w:b/>
        </w:rPr>
        <w:t>Profit/ (loss) for the year</w:t>
      </w:r>
      <w:r w:rsidRPr="009A0DA6">
        <w:rPr>
          <w:rFonts w:ascii="Cambria" w:hAnsi="Cambria" w:cs="Arial"/>
          <w:b/>
        </w:rPr>
        <w:tab/>
      </w:r>
      <w:r w:rsidRPr="009A0DA6">
        <w:rPr>
          <w:rFonts w:ascii="Cambria" w:hAnsi="Cambria" w:cs="Arial"/>
          <w:b/>
        </w:rPr>
        <w:tab/>
        <w:t>$(54,152)</w:t>
      </w:r>
      <w:r w:rsidRPr="009A0DA6">
        <w:rPr>
          <w:rFonts w:ascii="Cambria" w:hAnsi="Cambria" w:cs="Arial"/>
          <w:b/>
        </w:rPr>
        <w:tab/>
        <w:t>$878,865</w:t>
      </w:r>
      <w:r w:rsidRPr="009A0DA6">
        <w:rPr>
          <w:rFonts w:ascii="Cambria" w:hAnsi="Cambria" w:cs="Arial"/>
          <w:b/>
        </w:rPr>
        <w:tab/>
        <w:t>$44,066</w:t>
      </w:r>
    </w:p>
    <w:p w14:paraId="032A8C59" w14:textId="77777777" w:rsidR="0054360D" w:rsidRPr="009A0DA6" w:rsidRDefault="0054360D" w:rsidP="0054360D">
      <w:pPr>
        <w:tabs>
          <w:tab w:val="right" w:pos="5954"/>
          <w:tab w:val="right" w:pos="7371"/>
          <w:tab w:val="right" w:pos="8789"/>
        </w:tabs>
        <w:spacing w:before="120" w:after="120" w:line="240" w:lineRule="auto"/>
        <w:contextualSpacing/>
        <w:rPr>
          <w:rFonts w:ascii="Cambria" w:hAnsi="Cambria" w:cstheme="minorHAnsi"/>
          <w:b/>
          <w:lang w:eastAsia="ja-JP"/>
        </w:rPr>
      </w:pPr>
    </w:p>
    <w:p w14:paraId="3FC40C43" w14:textId="77777777" w:rsidR="005F21CD" w:rsidRDefault="005F21CD">
      <w:pPr>
        <w:rPr>
          <w:rFonts w:ascii="Cambria" w:hAnsi="Cambria"/>
          <w:b/>
          <w:lang w:eastAsia="en-AU"/>
        </w:rPr>
      </w:pPr>
      <w:r>
        <w:rPr>
          <w:rFonts w:ascii="Cambria" w:hAnsi="Cambria"/>
          <w:b/>
          <w:lang w:eastAsia="en-AU"/>
        </w:rPr>
        <w:br w:type="page"/>
      </w:r>
    </w:p>
    <w:p w14:paraId="1256E164" w14:textId="399FBA8A" w:rsidR="0054360D" w:rsidRPr="00975F5B" w:rsidRDefault="0054360D" w:rsidP="00766B14">
      <w:pPr>
        <w:spacing w:after="0" w:line="240" w:lineRule="auto"/>
        <w:contextualSpacing/>
        <w:rPr>
          <w:rFonts w:ascii="Cambria" w:hAnsi="Cambria"/>
          <w:b/>
        </w:rPr>
      </w:pPr>
      <w:r w:rsidRPr="00975F5B">
        <w:rPr>
          <w:rFonts w:ascii="Cambria" w:hAnsi="Cambria"/>
          <w:b/>
          <w:lang w:eastAsia="en-AU"/>
        </w:rPr>
        <w:lastRenderedPageBreak/>
        <w:t>BALANCE SHEET</w:t>
      </w:r>
    </w:p>
    <w:p w14:paraId="28575492" w14:textId="77777777" w:rsidR="00FF7E8B" w:rsidRPr="00FF7E8B" w:rsidRDefault="00FF7E8B" w:rsidP="00FF7E8B">
      <w:pPr>
        <w:pStyle w:val="NoSpacing"/>
        <w:rPr>
          <w:b/>
        </w:rPr>
      </w:pPr>
      <w:r w:rsidRPr="00FF7E8B">
        <w:rPr>
          <w:b/>
        </w:rPr>
        <w:t>FOR THE PERIODS ENDING 30 JUNE</w:t>
      </w:r>
    </w:p>
    <w:p w14:paraId="79EF7EDA" w14:textId="15D85C3D" w:rsidR="0054360D" w:rsidRPr="009A0DA6" w:rsidRDefault="0054360D" w:rsidP="0054360D">
      <w:pPr>
        <w:tabs>
          <w:tab w:val="center" w:pos="4536"/>
          <w:tab w:val="right" w:pos="5954"/>
          <w:tab w:val="right" w:pos="7371"/>
          <w:tab w:val="right" w:pos="8789"/>
        </w:tabs>
        <w:spacing w:before="120" w:after="120" w:line="240" w:lineRule="auto"/>
        <w:contextualSpacing/>
        <w:rPr>
          <w:rFonts w:ascii="Cambria" w:hAnsi="Cambria" w:cs="Arial"/>
          <w:b/>
          <w:bCs/>
        </w:rPr>
      </w:pPr>
      <w:r w:rsidRPr="009A0DA6">
        <w:rPr>
          <w:rFonts w:ascii="Cambria" w:hAnsi="Cambria"/>
        </w:rPr>
        <w:tab/>
      </w:r>
      <w:r w:rsidRPr="009A0DA6">
        <w:rPr>
          <w:rFonts w:ascii="Cambria" w:hAnsi="Cambria"/>
        </w:rPr>
        <w:tab/>
      </w:r>
      <w:r w:rsidRPr="009A0DA6">
        <w:rPr>
          <w:rFonts w:ascii="Cambria" w:hAnsi="Cambria" w:cs="Arial"/>
          <w:b/>
          <w:bCs/>
        </w:rPr>
        <w:t>2017</w:t>
      </w:r>
      <w:r w:rsidRPr="009A0DA6">
        <w:rPr>
          <w:rFonts w:ascii="Cambria" w:hAnsi="Cambria" w:cs="Arial"/>
          <w:b/>
          <w:bCs/>
        </w:rPr>
        <w:tab/>
        <w:t>2016</w:t>
      </w:r>
      <w:r w:rsidRPr="009A0DA6">
        <w:rPr>
          <w:rFonts w:ascii="Cambria" w:hAnsi="Cambria" w:cs="Arial"/>
          <w:b/>
          <w:bCs/>
        </w:rPr>
        <w:tab/>
        <w:t>2015</w:t>
      </w:r>
    </w:p>
    <w:p w14:paraId="73E26CF9" w14:textId="77777777" w:rsidR="0054360D" w:rsidRPr="009A0DA6" w:rsidRDefault="0054360D" w:rsidP="0054360D">
      <w:pPr>
        <w:tabs>
          <w:tab w:val="center" w:pos="4536"/>
          <w:tab w:val="right" w:pos="5954"/>
          <w:tab w:val="right" w:pos="7371"/>
          <w:tab w:val="right" w:pos="8789"/>
        </w:tabs>
        <w:spacing w:before="120" w:after="120" w:line="240" w:lineRule="auto"/>
        <w:contextualSpacing/>
        <w:rPr>
          <w:rFonts w:ascii="Cambria" w:hAnsi="Cambria"/>
        </w:rPr>
      </w:pPr>
      <w:r w:rsidRPr="009A0DA6">
        <w:rPr>
          <w:rFonts w:ascii="Cambria" w:hAnsi="Cambria" w:cs="Arial"/>
          <w:b/>
          <w:bCs/>
        </w:rPr>
        <w:t>ASSETS</w:t>
      </w:r>
      <w:r w:rsidRPr="009A0DA6">
        <w:rPr>
          <w:rFonts w:ascii="Cambria" w:hAnsi="Cambria" w:cs="Arial"/>
          <w:b/>
          <w:bCs/>
        </w:rPr>
        <w:tab/>
      </w:r>
      <w:r w:rsidRPr="009A0DA6">
        <w:rPr>
          <w:rFonts w:ascii="Cambria" w:hAnsi="Cambria" w:cs="Arial"/>
          <w:b/>
          <w:bCs/>
        </w:rPr>
        <w:tab/>
      </w:r>
      <w:r w:rsidRPr="009A0DA6">
        <w:rPr>
          <w:rFonts w:ascii="Cambria" w:hAnsi="Cambria"/>
        </w:rPr>
        <w:tab/>
      </w:r>
      <w:r w:rsidRPr="009A0DA6">
        <w:rPr>
          <w:rFonts w:ascii="Cambria" w:hAnsi="Cambria"/>
        </w:rPr>
        <w:tab/>
      </w:r>
    </w:p>
    <w:p w14:paraId="507B8F5B" w14:textId="77777777" w:rsidR="0054360D" w:rsidRPr="009A0DA6" w:rsidRDefault="0054360D" w:rsidP="0054360D">
      <w:pPr>
        <w:tabs>
          <w:tab w:val="center" w:pos="4536"/>
          <w:tab w:val="right" w:pos="5954"/>
          <w:tab w:val="right" w:pos="7371"/>
          <w:tab w:val="right" w:pos="8789"/>
        </w:tabs>
        <w:spacing w:before="120" w:after="120" w:line="240" w:lineRule="auto"/>
        <w:contextualSpacing/>
        <w:rPr>
          <w:rFonts w:ascii="Cambria" w:hAnsi="Cambria"/>
        </w:rPr>
      </w:pPr>
      <w:r w:rsidRPr="009A0DA6">
        <w:rPr>
          <w:rFonts w:ascii="Cambria" w:hAnsi="Cambria" w:cs="Arial"/>
        </w:rPr>
        <w:t>CURRENT ASSETS</w:t>
      </w:r>
      <w:r w:rsidRPr="009A0DA6">
        <w:rPr>
          <w:rFonts w:ascii="Cambria" w:hAnsi="Cambria" w:cs="Arial"/>
        </w:rPr>
        <w:tab/>
      </w:r>
      <w:r w:rsidRPr="009A0DA6">
        <w:rPr>
          <w:rFonts w:ascii="Cambria" w:hAnsi="Cambria" w:cs="Arial"/>
        </w:rPr>
        <w:tab/>
      </w:r>
      <w:r w:rsidRPr="009A0DA6">
        <w:rPr>
          <w:rFonts w:ascii="Cambria" w:hAnsi="Cambria"/>
        </w:rPr>
        <w:tab/>
      </w:r>
      <w:r w:rsidRPr="009A0DA6">
        <w:rPr>
          <w:rFonts w:ascii="Cambria" w:hAnsi="Cambria"/>
        </w:rPr>
        <w:tab/>
      </w:r>
    </w:p>
    <w:p w14:paraId="2F377C7D" w14:textId="77777777" w:rsidR="0054360D" w:rsidRPr="009A0DA6" w:rsidRDefault="0054360D" w:rsidP="0054360D">
      <w:pPr>
        <w:tabs>
          <w:tab w:val="center" w:pos="4536"/>
          <w:tab w:val="right" w:pos="5954"/>
          <w:tab w:val="right" w:pos="7371"/>
          <w:tab w:val="right" w:pos="8789"/>
        </w:tabs>
        <w:spacing w:before="120" w:after="120" w:line="240" w:lineRule="auto"/>
        <w:contextualSpacing/>
        <w:rPr>
          <w:rFonts w:ascii="Cambria" w:hAnsi="Cambria" w:cs="Arial"/>
        </w:rPr>
      </w:pPr>
      <w:r w:rsidRPr="009A0DA6">
        <w:rPr>
          <w:rFonts w:ascii="Cambria" w:hAnsi="Cambria" w:cs="Arial"/>
        </w:rPr>
        <w:t>Cash and Cash Equivalents</w:t>
      </w:r>
      <w:r w:rsidRPr="009A0DA6">
        <w:rPr>
          <w:rFonts w:ascii="Cambria" w:hAnsi="Cambria" w:cs="Arial"/>
        </w:rPr>
        <w:tab/>
      </w:r>
      <w:r w:rsidRPr="009A0DA6">
        <w:rPr>
          <w:rFonts w:ascii="Cambria" w:hAnsi="Cambria" w:cs="Arial"/>
        </w:rPr>
        <w:tab/>
        <w:t>702,385</w:t>
      </w:r>
      <w:r w:rsidRPr="009A0DA6">
        <w:rPr>
          <w:rFonts w:ascii="Cambria" w:hAnsi="Cambria" w:cs="Arial"/>
        </w:rPr>
        <w:tab/>
        <w:t>1,181,075</w:t>
      </w:r>
      <w:r w:rsidRPr="009A0DA6">
        <w:rPr>
          <w:rFonts w:ascii="Cambria" w:hAnsi="Cambria" w:cs="Arial"/>
        </w:rPr>
        <w:tab/>
        <w:t>232,287</w:t>
      </w:r>
    </w:p>
    <w:p w14:paraId="7EAF867F" w14:textId="77777777" w:rsidR="0054360D" w:rsidRPr="009A0DA6" w:rsidRDefault="0054360D" w:rsidP="0054360D">
      <w:pPr>
        <w:tabs>
          <w:tab w:val="center" w:pos="4536"/>
          <w:tab w:val="right" w:pos="5954"/>
          <w:tab w:val="right" w:pos="7371"/>
          <w:tab w:val="right" w:pos="8789"/>
        </w:tabs>
        <w:spacing w:before="120" w:after="120" w:line="240" w:lineRule="auto"/>
        <w:contextualSpacing/>
        <w:rPr>
          <w:rFonts w:ascii="Cambria" w:hAnsi="Cambria" w:cs="Arial"/>
        </w:rPr>
      </w:pPr>
      <w:r w:rsidRPr="009A0DA6">
        <w:rPr>
          <w:rFonts w:ascii="Cambria" w:hAnsi="Cambria" w:cs="Arial"/>
        </w:rPr>
        <w:t>Inventory</w:t>
      </w:r>
      <w:r w:rsidRPr="009A0DA6">
        <w:rPr>
          <w:rFonts w:ascii="Cambria" w:hAnsi="Cambria" w:cs="Arial"/>
        </w:rPr>
        <w:tab/>
      </w:r>
      <w:r w:rsidRPr="009A0DA6">
        <w:rPr>
          <w:rFonts w:ascii="Cambria" w:hAnsi="Cambria" w:cs="Arial"/>
        </w:rPr>
        <w:tab/>
        <w:t>221,867</w:t>
      </w:r>
      <w:r w:rsidRPr="009A0DA6">
        <w:rPr>
          <w:rFonts w:ascii="Cambria" w:hAnsi="Cambria" w:cs="Arial"/>
        </w:rPr>
        <w:tab/>
        <w:t>217,371</w:t>
      </w:r>
      <w:r w:rsidRPr="009A0DA6">
        <w:rPr>
          <w:rFonts w:ascii="Cambria" w:hAnsi="Cambria" w:cs="Arial"/>
        </w:rPr>
        <w:tab/>
        <w:t>295,362</w:t>
      </w:r>
    </w:p>
    <w:p w14:paraId="2EC7B418" w14:textId="77777777" w:rsidR="0054360D" w:rsidRPr="009A0DA6" w:rsidRDefault="0054360D" w:rsidP="0054360D">
      <w:pPr>
        <w:tabs>
          <w:tab w:val="center" w:pos="4536"/>
          <w:tab w:val="right" w:pos="5954"/>
          <w:tab w:val="right" w:pos="7371"/>
          <w:tab w:val="right" w:pos="8789"/>
        </w:tabs>
        <w:spacing w:before="120" w:after="120" w:line="240" w:lineRule="auto"/>
        <w:contextualSpacing/>
        <w:rPr>
          <w:rFonts w:ascii="Cambria" w:hAnsi="Cambria" w:cs="Arial"/>
        </w:rPr>
      </w:pPr>
      <w:r w:rsidRPr="009A0DA6">
        <w:rPr>
          <w:rFonts w:ascii="Cambria" w:hAnsi="Cambria" w:cs="Arial"/>
        </w:rPr>
        <w:t>Trade and other receivables</w:t>
      </w:r>
      <w:r w:rsidRPr="009A0DA6">
        <w:rPr>
          <w:rFonts w:ascii="Cambria" w:hAnsi="Cambria" w:cs="Arial"/>
        </w:rPr>
        <w:tab/>
      </w:r>
      <w:r w:rsidRPr="009A0DA6">
        <w:rPr>
          <w:rFonts w:ascii="Cambria" w:hAnsi="Cambria" w:cs="Arial"/>
        </w:rPr>
        <w:tab/>
        <w:t>68,040</w:t>
      </w:r>
      <w:r w:rsidRPr="009A0DA6">
        <w:rPr>
          <w:rFonts w:ascii="Cambria" w:hAnsi="Cambria" w:cs="Arial"/>
        </w:rPr>
        <w:tab/>
        <w:t>51,953</w:t>
      </w:r>
      <w:r w:rsidRPr="009A0DA6">
        <w:rPr>
          <w:rFonts w:ascii="Cambria" w:hAnsi="Cambria" w:cs="Arial"/>
        </w:rPr>
        <w:tab/>
        <w:t>53,492</w:t>
      </w:r>
    </w:p>
    <w:p w14:paraId="3E54BD3C" w14:textId="77777777" w:rsidR="0054360D" w:rsidRPr="009A0DA6" w:rsidRDefault="0054360D" w:rsidP="0054360D">
      <w:pPr>
        <w:tabs>
          <w:tab w:val="center" w:pos="4536"/>
          <w:tab w:val="right" w:pos="5954"/>
          <w:tab w:val="right" w:pos="7371"/>
          <w:tab w:val="right" w:pos="8789"/>
        </w:tabs>
        <w:spacing w:before="120" w:after="120" w:line="240" w:lineRule="auto"/>
        <w:contextualSpacing/>
        <w:rPr>
          <w:rFonts w:ascii="Cambria" w:hAnsi="Cambria" w:cs="Arial"/>
        </w:rPr>
      </w:pPr>
      <w:r w:rsidRPr="009A0DA6">
        <w:rPr>
          <w:rFonts w:ascii="Cambria" w:hAnsi="Cambria" w:cs="Arial"/>
        </w:rPr>
        <w:t>Related Party Loan</w:t>
      </w:r>
      <w:r w:rsidRPr="009A0DA6">
        <w:rPr>
          <w:rFonts w:ascii="Cambria" w:hAnsi="Cambria" w:cs="Arial"/>
        </w:rPr>
        <w:tab/>
      </w:r>
      <w:r w:rsidRPr="009A0DA6">
        <w:rPr>
          <w:rFonts w:ascii="Cambria" w:hAnsi="Cambria" w:cs="Arial"/>
        </w:rPr>
        <w:tab/>
        <w:t>276,012</w:t>
      </w:r>
      <w:r w:rsidRPr="009A0DA6">
        <w:rPr>
          <w:rFonts w:ascii="Cambria" w:hAnsi="Cambria" w:cs="Arial"/>
        </w:rPr>
        <w:tab/>
        <w:t>213,039</w:t>
      </w:r>
      <w:r w:rsidRPr="009A0DA6">
        <w:rPr>
          <w:rFonts w:ascii="Cambria" w:hAnsi="Cambria" w:cs="Arial"/>
        </w:rPr>
        <w:tab/>
        <w:t>126,826</w:t>
      </w:r>
    </w:p>
    <w:p w14:paraId="53EC6955" w14:textId="77777777" w:rsidR="0054360D" w:rsidRPr="009A0DA6" w:rsidRDefault="0054360D" w:rsidP="0054360D">
      <w:pPr>
        <w:tabs>
          <w:tab w:val="center" w:pos="4536"/>
          <w:tab w:val="right" w:pos="5954"/>
          <w:tab w:val="right" w:pos="7371"/>
          <w:tab w:val="right" w:pos="8789"/>
        </w:tabs>
        <w:spacing w:before="120" w:after="120" w:line="240" w:lineRule="auto"/>
        <w:contextualSpacing/>
        <w:rPr>
          <w:rFonts w:ascii="Cambria" w:hAnsi="Cambria" w:cs="Arial"/>
          <w:b/>
        </w:rPr>
      </w:pPr>
      <w:r w:rsidRPr="009A0DA6">
        <w:rPr>
          <w:rFonts w:ascii="Cambria" w:hAnsi="Cambria" w:cs="Arial"/>
          <w:b/>
        </w:rPr>
        <w:t>TOTAL CURRENT ASSETS</w:t>
      </w:r>
      <w:r w:rsidRPr="009A0DA6">
        <w:rPr>
          <w:rFonts w:ascii="Cambria" w:hAnsi="Cambria" w:cs="Arial"/>
          <w:b/>
        </w:rPr>
        <w:tab/>
      </w:r>
      <w:r w:rsidRPr="009A0DA6">
        <w:rPr>
          <w:rFonts w:ascii="Cambria" w:hAnsi="Cambria" w:cs="Arial"/>
          <w:b/>
        </w:rPr>
        <w:tab/>
        <w:t>1,268,304</w:t>
      </w:r>
      <w:r w:rsidRPr="009A0DA6">
        <w:rPr>
          <w:rFonts w:ascii="Cambria" w:hAnsi="Cambria" w:cs="Arial"/>
          <w:b/>
        </w:rPr>
        <w:tab/>
        <w:t>1,663,438</w:t>
      </w:r>
      <w:r w:rsidRPr="009A0DA6">
        <w:rPr>
          <w:rFonts w:ascii="Cambria" w:hAnsi="Cambria" w:cs="Arial"/>
          <w:b/>
        </w:rPr>
        <w:tab/>
        <w:t>707,967</w:t>
      </w:r>
    </w:p>
    <w:p w14:paraId="2F91C71C" w14:textId="77777777" w:rsidR="0054360D" w:rsidRPr="009A0DA6" w:rsidRDefault="0054360D" w:rsidP="0054360D">
      <w:pPr>
        <w:tabs>
          <w:tab w:val="center" w:pos="4536"/>
          <w:tab w:val="right" w:pos="5954"/>
          <w:tab w:val="right" w:pos="7371"/>
          <w:tab w:val="right" w:pos="8789"/>
        </w:tabs>
        <w:spacing w:before="120" w:after="120" w:line="240" w:lineRule="auto"/>
        <w:contextualSpacing/>
        <w:rPr>
          <w:rFonts w:ascii="Cambria" w:hAnsi="Cambria"/>
        </w:rPr>
      </w:pPr>
      <w:r w:rsidRPr="009A0DA6">
        <w:rPr>
          <w:rFonts w:ascii="Cambria" w:hAnsi="Cambria" w:cs="Arial"/>
        </w:rPr>
        <w:t>NON-CURRENT ASSETS</w:t>
      </w:r>
      <w:r w:rsidRPr="009A0DA6">
        <w:rPr>
          <w:rFonts w:ascii="Cambria" w:hAnsi="Cambria" w:cs="Arial"/>
        </w:rPr>
        <w:tab/>
      </w:r>
      <w:r w:rsidRPr="009A0DA6">
        <w:rPr>
          <w:rFonts w:ascii="Cambria" w:hAnsi="Cambria" w:cs="Arial"/>
        </w:rPr>
        <w:tab/>
      </w:r>
      <w:r w:rsidRPr="009A0DA6">
        <w:rPr>
          <w:rFonts w:ascii="Cambria" w:hAnsi="Cambria"/>
        </w:rPr>
        <w:tab/>
      </w:r>
      <w:r w:rsidRPr="009A0DA6">
        <w:rPr>
          <w:rFonts w:ascii="Cambria" w:hAnsi="Cambria"/>
        </w:rPr>
        <w:tab/>
      </w:r>
    </w:p>
    <w:p w14:paraId="06903FDD" w14:textId="77777777" w:rsidR="0054360D" w:rsidRPr="009A0DA6" w:rsidRDefault="0054360D" w:rsidP="0054360D">
      <w:pPr>
        <w:tabs>
          <w:tab w:val="center" w:pos="4536"/>
          <w:tab w:val="right" w:pos="5954"/>
          <w:tab w:val="right" w:pos="7371"/>
          <w:tab w:val="right" w:pos="8789"/>
        </w:tabs>
        <w:spacing w:before="120" w:after="120" w:line="240" w:lineRule="auto"/>
        <w:contextualSpacing/>
        <w:rPr>
          <w:rFonts w:ascii="Cambria" w:hAnsi="Cambria" w:cs="Arial"/>
        </w:rPr>
      </w:pPr>
      <w:r w:rsidRPr="009A0DA6">
        <w:rPr>
          <w:rFonts w:ascii="Cambria" w:hAnsi="Cambria" w:cs="Arial"/>
        </w:rPr>
        <w:t>Loan to Lutheran Mission Developments</w:t>
      </w:r>
      <w:r w:rsidRPr="009A0DA6">
        <w:rPr>
          <w:rFonts w:ascii="Cambria" w:hAnsi="Cambria" w:cs="Arial"/>
        </w:rPr>
        <w:tab/>
      </w:r>
      <w:r w:rsidRPr="009A0DA6">
        <w:rPr>
          <w:rFonts w:ascii="Cambria" w:hAnsi="Cambria" w:cs="Arial"/>
        </w:rPr>
        <w:tab/>
        <w:t>320,000</w:t>
      </w:r>
      <w:r w:rsidRPr="009A0DA6">
        <w:rPr>
          <w:rFonts w:ascii="Cambria" w:hAnsi="Cambria" w:cs="Arial"/>
        </w:rPr>
        <w:tab/>
        <w:t>170,000</w:t>
      </w:r>
      <w:r w:rsidRPr="009A0DA6">
        <w:rPr>
          <w:rFonts w:ascii="Cambria" w:hAnsi="Cambria" w:cs="Arial"/>
        </w:rPr>
        <w:tab/>
        <w:t>230,000</w:t>
      </w:r>
    </w:p>
    <w:p w14:paraId="66EEA7B9" w14:textId="77777777" w:rsidR="0054360D" w:rsidRPr="009A0DA6" w:rsidRDefault="0054360D" w:rsidP="0054360D">
      <w:pPr>
        <w:tabs>
          <w:tab w:val="center" w:pos="4536"/>
          <w:tab w:val="right" w:pos="5954"/>
          <w:tab w:val="right" w:pos="7371"/>
          <w:tab w:val="right" w:pos="8789"/>
        </w:tabs>
        <w:spacing w:before="120" w:after="120" w:line="240" w:lineRule="auto"/>
        <w:contextualSpacing/>
        <w:rPr>
          <w:rFonts w:ascii="Cambria" w:hAnsi="Cambria" w:cs="Arial"/>
        </w:rPr>
      </w:pPr>
      <w:r w:rsidRPr="009A0DA6">
        <w:rPr>
          <w:rFonts w:ascii="Cambria" w:hAnsi="Cambria" w:cs="Arial"/>
        </w:rPr>
        <w:t>Property, Plant and Equipment</w:t>
      </w:r>
      <w:r w:rsidRPr="009A0DA6">
        <w:rPr>
          <w:rFonts w:ascii="Cambria" w:hAnsi="Cambria" w:cs="Arial"/>
        </w:rPr>
        <w:tab/>
      </w:r>
      <w:r w:rsidRPr="009A0DA6">
        <w:rPr>
          <w:rFonts w:ascii="Cambria" w:hAnsi="Cambria" w:cs="Arial"/>
        </w:rPr>
        <w:tab/>
        <w:t>4,951,963</w:t>
      </w:r>
      <w:r w:rsidRPr="009A0DA6">
        <w:rPr>
          <w:rFonts w:ascii="Cambria" w:hAnsi="Cambria" w:cs="Arial"/>
        </w:rPr>
        <w:tab/>
        <w:t>4,694,599</w:t>
      </w:r>
      <w:r w:rsidRPr="009A0DA6">
        <w:rPr>
          <w:rFonts w:ascii="Cambria" w:hAnsi="Cambria" w:cs="Arial"/>
        </w:rPr>
        <w:tab/>
        <w:t>4,577,279</w:t>
      </w:r>
    </w:p>
    <w:p w14:paraId="6CA54503" w14:textId="77777777" w:rsidR="0054360D" w:rsidRPr="009A0DA6" w:rsidRDefault="0054360D" w:rsidP="0054360D">
      <w:pPr>
        <w:tabs>
          <w:tab w:val="center" w:pos="4536"/>
          <w:tab w:val="right" w:pos="5954"/>
          <w:tab w:val="right" w:pos="7371"/>
          <w:tab w:val="right" w:pos="8789"/>
        </w:tabs>
        <w:spacing w:before="120" w:after="120" w:line="240" w:lineRule="auto"/>
        <w:contextualSpacing/>
        <w:rPr>
          <w:rFonts w:ascii="Cambria" w:hAnsi="Cambria" w:cs="Arial"/>
          <w:b/>
        </w:rPr>
      </w:pPr>
      <w:r w:rsidRPr="009A0DA6">
        <w:rPr>
          <w:rFonts w:ascii="Cambria" w:hAnsi="Cambria" w:cs="Arial"/>
          <w:b/>
        </w:rPr>
        <w:t>TOTAL NON-CURRENT ASSETS</w:t>
      </w:r>
      <w:r w:rsidRPr="009A0DA6">
        <w:rPr>
          <w:rFonts w:ascii="Cambria" w:hAnsi="Cambria" w:cs="Arial"/>
          <w:b/>
        </w:rPr>
        <w:tab/>
      </w:r>
      <w:r w:rsidRPr="009A0DA6">
        <w:rPr>
          <w:rFonts w:ascii="Cambria" w:hAnsi="Cambria" w:cs="Arial"/>
          <w:b/>
        </w:rPr>
        <w:tab/>
        <w:t>5,271,963</w:t>
      </w:r>
      <w:r w:rsidRPr="009A0DA6">
        <w:rPr>
          <w:rFonts w:ascii="Cambria" w:hAnsi="Cambria" w:cs="Arial"/>
          <w:b/>
        </w:rPr>
        <w:tab/>
        <w:t>4,864,599</w:t>
      </w:r>
      <w:r w:rsidRPr="009A0DA6">
        <w:rPr>
          <w:rFonts w:ascii="Cambria" w:hAnsi="Cambria" w:cs="Arial"/>
          <w:b/>
        </w:rPr>
        <w:tab/>
        <w:t>4,807,279</w:t>
      </w:r>
    </w:p>
    <w:p w14:paraId="1B557802" w14:textId="77777777" w:rsidR="0054360D" w:rsidRPr="009A0DA6" w:rsidRDefault="0054360D" w:rsidP="0054360D">
      <w:pPr>
        <w:tabs>
          <w:tab w:val="center" w:pos="4536"/>
          <w:tab w:val="right" w:pos="5954"/>
          <w:tab w:val="right" w:pos="7371"/>
          <w:tab w:val="right" w:pos="8789"/>
        </w:tabs>
        <w:spacing w:before="120" w:after="120" w:line="240" w:lineRule="auto"/>
        <w:contextualSpacing/>
        <w:rPr>
          <w:rFonts w:ascii="Cambria" w:hAnsi="Cambria" w:cs="Arial"/>
          <w:b/>
        </w:rPr>
      </w:pPr>
      <w:r w:rsidRPr="009A0DA6">
        <w:rPr>
          <w:rFonts w:ascii="Cambria" w:hAnsi="Cambria" w:cs="Arial"/>
          <w:b/>
        </w:rPr>
        <w:t>TOTAL ASSETS</w:t>
      </w:r>
      <w:r w:rsidRPr="009A0DA6">
        <w:rPr>
          <w:rFonts w:ascii="Cambria" w:hAnsi="Cambria" w:cs="Arial"/>
          <w:b/>
        </w:rPr>
        <w:tab/>
      </w:r>
      <w:r w:rsidRPr="009A0DA6">
        <w:rPr>
          <w:rFonts w:ascii="Cambria" w:hAnsi="Cambria" w:cs="Arial"/>
          <w:b/>
        </w:rPr>
        <w:tab/>
        <w:t>6,540,267</w:t>
      </w:r>
      <w:r w:rsidRPr="009A0DA6">
        <w:rPr>
          <w:rFonts w:ascii="Cambria" w:hAnsi="Cambria" w:cs="Arial"/>
          <w:b/>
        </w:rPr>
        <w:tab/>
        <w:t>6,528,037</w:t>
      </w:r>
      <w:r w:rsidRPr="009A0DA6">
        <w:rPr>
          <w:rFonts w:ascii="Cambria" w:hAnsi="Cambria" w:cs="Arial"/>
          <w:b/>
        </w:rPr>
        <w:tab/>
        <w:t>5,515,246</w:t>
      </w:r>
    </w:p>
    <w:p w14:paraId="38E99834" w14:textId="77777777" w:rsidR="0054360D" w:rsidRPr="009A0DA6" w:rsidRDefault="0054360D" w:rsidP="0054360D">
      <w:pPr>
        <w:tabs>
          <w:tab w:val="center" w:pos="4536"/>
          <w:tab w:val="right" w:pos="5954"/>
          <w:tab w:val="right" w:pos="7371"/>
          <w:tab w:val="right" w:pos="8789"/>
        </w:tabs>
        <w:spacing w:before="120" w:after="120" w:line="240" w:lineRule="auto"/>
        <w:contextualSpacing/>
        <w:rPr>
          <w:rFonts w:ascii="Cambria" w:hAnsi="Cambria"/>
        </w:rPr>
      </w:pPr>
      <w:r w:rsidRPr="009A0DA6">
        <w:rPr>
          <w:rFonts w:ascii="Cambria" w:hAnsi="Cambria" w:cs="Arial"/>
          <w:b/>
          <w:bCs/>
        </w:rPr>
        <w:t>LIABILITIES</w:t>
      </w:r>
      <w:r w:rsidRPr="009A0DA6">
        <w:rPr>
          <w:rFonts w:ascii="Cambria" w:hAnsi="Cambria" w:cs="Arial"/>
          <w:b/>
          <w:bCs/>
        </w:rPr>
        <w:tab/>
      </w:r>
      <w:r w:rsidRPr="009A0DA6">
        <w:rPr>
          <w:rFonts w:ascii="Cambria" w:hAnsi="Cambria" w:cs="Arial"/>
          <w:b/>
          <w:bCs/>
        </w:rPr>
        <w:tab/>
      </w:r>
      <w:r w:rsidRPr="009A0DA6">
        <w:rPr>
          <w:rFonts w:ascii="Cambria" w:hAnsi="Cambria"/>
        </w:rPr>
        <w:tab/>
      </w:r>
      <w:r w:rsidRPr="009A0DA6">
        <w:rPr>
          <w:rFonts w:ascii="Cambria" w:hAnsi="Cambria"/>
        </w:rPr>
        <w:tab/>
      </w:r>
    </w:p>
    <w:p w14:paraId="7480D48F" w14:textId="77777777" w:rsidR="0054360D" w:rsidRPr="009A0DA6" w:rsidRDefault="0054360D" w:rsidP="0054360D">
      <w:pPr>
        <w:tabs>
          <w:tab w:val="center" w:pos="4536"/>
          <w:tab w:val="right" w:pos="5954"/>
          <w:tab w:val="right" w:pos="7371"/>
          <w:tab w:val="right" w:pos="8789"/>
        </w:tabs>
        <w:spacing w:before="120" w:after="120" w:line="240" w:lineRule="auto"/>
        <w:contextualSpacing/>
        <w:rPr>
          <w:rFonts w:ascii="Cambria" w:hAnsi="Cambria"/>
        </w:rPr>
      </w:pPr>
      <w:r w:rsidRPr="009A0DA6">
        <w:rPr>
          <w:rFonts w:ascii="Cambria" w:hAnsi="Cambria" w:cs="Arial"/>
        </w:rPr>
        <w:t>CURRENT LIABILITIES</w:t>
      </w:r>
      <w:r w:rsidRPr="009A0DA6">
        <w:rPr>
          <w:rFonts w:ascii="Cambria" w:hAnsi="Cambria" w:cs="Arial"/>
        </w:rPr>
        <w:tab/>
      </w:r>
      <w:r w:rsidRPr="009A0DA6">
        <w:rPr>
          <w:rFonts w:ascii="Cambria" w:hAnsi="Cambria" w:cs="Arial"/>
        </w:rPr>
        <w:tab/>
      </w:r>
      <w:r w:rsidRPr="009A0DA6">
        <w:rPr>
          <w:rFonts w:ascii="Cambria" w:hAnsi="Cambria"/>
        </w:rPr>
        <w:tab/>
      </w:r>
      <w:r w:rsidRPr="009A0DA6">
        <w:rPr>
          <w:rFonts w:ascii="Cambria" w:hAnsi="Cambria"/>
        </w:rPr>
        <w:tab/>
      </w:r>
    </w:p>
    <w:p w14:paraId="0D6771B5" w14:textId="77777777" w:rsidR="0054360D" w:rsidRPr="009A0DA6" w:rsidRDefault="0054360D" w:rsidP="0054360D">
      <w:pPr>
        <w:tabs>
          <w:tab w:val="center" w:pos="4536"/>
          <w:tab w:val="right" w:pos="5954"/>
          <w:tab w:val="right" w:pos="7371"/>
          <w:tab w:val="right" w:pos="8789"/>
        </w:tabs>
        <w:spacing w:before="120" w:after="120" w:line="240" w:lineRule="auto"/>
        <w:contextualSpacing/>
        <w:rPr>
          <w:rFonts w:ascii="Cambria" w:hAnsi="Cambria" w:cs="Arial"/>
        </w:rPr>
      </w:pPr>
      <w:r w:rsidRPr="009A0DA6">
        <w:rPr>
          <w:rFonts w:ascii="Cambria" w:hAnsi="Cambria" w:cs="Arial"/>
        </w:rPr>
        <w:t>Trade and other payables</w:t>
      </w:r>
      <w:r w:rsidRPr="009A0DA6">
        <w:rPr>
          <w:rFonts w:ascii="Cambria" w:hAnsi="Cambria" w:cs="Arial"/>
        </w:rPr>
        <w:tab/>
      </w:r>
      <w:r w:rsidRPr="009A0DA6">
        <w:rPr>
          <w:rFonts w:ascii="Cambria" w:hAnsi="Cambria" w:cs="Arial"/>
        </w:rPr>
        <w:tab/>
        <w:t>358,551</w:t>
      </w:r>
      <w:r w:rsidRPr="009A0DA6">
        <w:rPr>
          <w:rFonts w:ascii="Cambria" w:hAnsi="Cambria" w:cs="Arial"/>
        </w:rPr>
        <w:tab/>
        <w:t>167,362</w:t>
      </w:r>
      <w:r w:rsidRPr="009A0DA6">
        <w:rPr>
          <w:rFonts w:ascii="Cambria" w:hAnsi="Cambria" w:cs="Arial"/>
        </w:rPr>
        <w:tab/>
        <w:t>260,451</w:t>
      </w:r>
    </w:p>
    <w:p w14:paraId="5481D4B1" w14:textId="77777777" w:rsidR="0054360D" w:rsidRPr="009A0DA6" w:rsidRDefault="0054360D" w:rsidP="0054360D">
      <w:pPr>
        <w:tabs>
          <w:tab w:val="center" w:pos="4536"/>
          <w:tab w:val="right" w:pos="5954"/>
          <w:tab w:val="right" w:pos="7371"/>
          <w:tab w:val="right" w:pos="8789"/>
        </w:tabs>
        <w:spacing w:before="120" w:after="120" w:line="240" w:lineRule="auto"/>
        <w:contextualSpacing/>
        <w:rPr>
          <w:rFonts w:ascii="Cambria" w:hAnsi="Cambria" w:cs="Arial"/>
        </w:rPr>
      </w:pPr>
      <w:r w:rsidRPr="009A0DA6">
        <w:rPr>
          <w:rFonts w:ascii="Cambria" w:hAnsi="Cambria" w:cs="Arial"/>
        </w:rPr>
        <w:t>Grants Received in Advance</w:t>
      </w:r>
      <w:r w:rsidRPr="009A0DA6">
        <w:rPr>
          <w:rFonts w:ascii="Cambria" w:hAnsi="Cambria" w:cs="Arial"/>
        </w:rPr>
        <w:tab/>
      </w:r>
      <w:r w:rsidRPr="009A0DA6">
        <w:rPr>
          <w:rFonts w:ascii="Cambria" w:hAnsi="Cambria" w:cs="Arial"/>
        </w:rPr>
        <w:tab/>
        <w:t xml:space="preserve">- </w:t>
      </w:r>
      <w:r w:rsidRPr="009A0DA6">
        <w:rPr>
          <w:rFonts w:ascii="Cambria" w:hAnsi="Cambria" w:cs="Arial"/>
        </w:rPr>
        <w:tab/>
        <w:t>99,150</w:t>
      </w:r>
      <w:r w:rsidRPr="009A0DA6">
        <w:rPr>
          <w:rFonts w:ascii="Cambria" w:hAnsi="Cambria" w:cs="Arial"/>
        </w:rPr>
        <w:tab/>
        <w:t>45,000</w:t>
      </w:r>
    </w:p>
    <w:p w14:paraId="13C95D06" w14:textId="77777777" w:rsidR="0054360D" w:rsidRPr="009A0DA6" w:rsidRDefault="0054360D" w:rsidP="0054360D">
      <w:pPr>
        <w:tabs>
          <w:tab w:val="center" w:pos="4536"/>
          <w:tab w:val="right" w:pos="5954"/>
          <w:tab w:val="right" w:pos="7371"/>
          <w:tab w:val="right" w:pos="8789"/>
        </w:tabs>
        <w:spacing w:before="120" w:after="120" w:line="240" w:lineRule="auto"/>
        <w:contextualSpacing/>
        <w:rPr>
          <w:rFonts w:ascii="Cambria" w:hAnsi="Cambria" w:cs="Arial"/>
        </w:rPr>
      </w:pPr>
      <w:r w:rsidRPr="009A0DA6">
        <w:rPr>
          <w:rFonts w:ascii="Cambria" w:hAnsi="Cambria" w:cs="Arial"/>
        </w:rPr>
        <w:t>Provisions</w:t>
      </w:r>
      <w:r w:rsidRPr="009A0DA6">
        <w:rPr>
          <w:rFonts w:ascii="Cambria" w:hAnsi="Cambria" w:cs="Arial"/>
        </w:rPr>
        <w:tab/>
      </w:r>
      <w:r w:rsidRPr="009A0DA6">
        <w:rPr>
          <w:rFonts w:ascii="Cambria" w:hAnsi="Cambria" w:cs="Arial"/>
        </w:rPr>
        <w:tab/>
        <w:t>247,895</w:t>
      </w:r>
      <w:r w:rsidRPr="009A0DA6">
        <w:rPr>
          <w:rFonts w:ascii="Cambria" w:hAnsi="Cambria" w:cs="Arial"/>
        </w:rPr>
        <w:tab/>
        <w:t>246,188</w:t>
      </w:r>
      <w:r w:rsidRPr="009A0DA6">
        <w:rPr>
          <w:rFonts w:ascii="Cambria" w:hAnsi="Cambria" w:cs="Arial"/>
        </w:rPr>
        <w:tab/>
        <w:t>233,447</w:t>
      </w:r>
    </w:p>
    <w:p w14:paraId="2F02770A" w14:textId="77777777" w:rsidR="0054360D" w:rsidRPr="009A0DA6" w:rsidRDefault="0054360D" w:rsidP="0054360D">
      <w:pPr>
        <w:tabs>
          <w:tab w:val="center" w:pos="4536"/>
          <w:tab w:val="right" w:pos="5954"/>
          <w:tab w:val="right" w:pos="7371"/>
          <w:tab w:val="right" w:pos="8789"/>
        </w:tabs>
        <w:spacing w:before="120" w:after="120" w:line="240" w:lineRule="auto"/>
        <w:contextualSpacing/>
        <w:rPr>
          <w:rFonts w:ascii="Cambria" w:hAnsi="Cambria" w:cs="Arial"/>
        </w:rPr>
      </w:pPr>
      <w:r w:rsidRPr="009A0DA6">
        <w:rPr>
          <w:rFonts w:ascii="Cambria" w:hAnsi="Cambria" w:cs="Arial"/>
        </w:rPr>
        <w:t>Other Liabilities</w:t>
      </w:r>
      <w:r w:rsidRPr="009A0DA6">
        <w:rPr>
          <w:rFonts w:ascii="Cambria" w:hAnsi="Cambria" w:cs="Arial"/>
        </w:rPr>
        <w:tab/>
      </w:r>
      <w:r w:rsidRPr="009A0DA6">
        <w:rPr>
          <w:rFonts w:ascii="Cambria" w:hAnsi="Cambria" w:cs="Arial"/>
        </w:rPr>
        <w:tab/>
        <w:t>63,739</w:t>
      </w:r>
      <w:r w:rsidRPr="009A0DA6">
        <w:rPr>
          <w:rFonts w:ascii="Cambria" w:hAnsi="Cambria" w:cs="Arial"/>
        </w:rPr>
        <w:tab/>
        <w:t>70,843</w:t>
      </w:r>
      <w:r w:rsidRPr="009A0DA6">
        <w:rPr>
          <w:rFonts w:ascii="Cambria" w:hAnsi="Cambria" w:cs="Arial"/>
        </w:rPr>
        <w:tab/>
        <w:t>72,311</w:t>
      </w:r>
    </w:p>
    <w:p w14:paraId="0C9D7588" w14:textId="77777777" w:rsidR="0054360D" w:rsidRPr="009A0DA6" w:rsidRDefault="0054360D" w:rsidP="0054360D">
      <w:pPr>
        <w:tabs>
          <w:tab w:val="center" w:pos="4536"/>
          <w:tab w:val="right" w:pos="5954"/>
          <w:tab w:val="right" w:pos="7371"/>
          <w:tab w:val="right" w:pos="8789"/>
        </w:tabs>
        <w:spacing w:before="120" w:after="120" w:line="240" w:lineRule="auto"/>
        <w:contextualSpacing/>
        <w:rPr>
          <w:rFonts w:ascii="Cambria" w:hAnsi="Cambria" w:cs="Arial"/>
          <w:b/>
        </w:rPr>
      </w:pPr>
      <w:r w:rsidRPr="009A0DA6">
        <w:rPr>
          <w:rFonts w:ascii="Cambria" w:hAnsi="Cambria" w:cs="Arial"/>
          <w:b/>
        </w:rPr>
        <w:t>TOTAL CURRENT LIABILITIES</w:t>
      </w:r>
      <w:r w:rsidRPr="009A0DA6">
        <w:rPr>
          <w:rFonts w:ascii="Cambria" w:hAnsi="Cambria" w:cs="Arial"/>
          <w:b/>
        </w:rPr>
        <w:tab/>
      </w:r>
      <w:r w:rsidRPr="009A0DA6">
        <w:rPr>
          <w:rFonts w:ascii="Cambria" w:hAnsi="Cambria" w:cs="Arial"/>
          <w:b/>
        </w:rPr>
        <w:tab/>
        <w:t>670,185</w:t>
      </w:r>
      <w:r w:rsidRPr="009A0DA6">
        <w:rPr>
          <w:rFonts w:ascii="Cambria" w:hAnsi="Cambria" w:cs="Arial"/>
          <w:b/>
        </w:rPr>
        <w:tab/>
        <w:t>583,543</w:t>
      </w:r>
      <w:r w:rsidRPr="009A0DA6">
        <w:rPr>
          <w:rFonts w:ascii="Cambria" w:hAnsi="Cambria" w:cs="Arial"/>
          <w:b/>
        </w:rPr>
        <w:tab/>
        <w:t>611,209</w:t>
      </w:r>
    </w:p>
    <w:p w14:paraId="0FB28D0B" w14:textId="77777777" w:rsidR="0054360D" w:rsidRPr="009A0DA6" w:rsidRDefault="0054360D" w:rsidP="0054360D">
      <w:pPr>
        <w:tabs>
          <w:tab w:val="center" w:pos="4536"/>
          <w:tab w:val="right" w:pos="5954"/>
          <w:tab w:val="right" w:pos="7371"/>
          <w:tab w:val="right" w:pos="8789"/>
        </w:tabs>
        <w:spacing w:before="120" w:after="120" w:line="240" w:lineRule="auto"/>
        <w:contextualSpacing/>
        <w:rPr>
          <w:rFonts w:ascii="Cambria" w:hAnsi="Cambria"/>
        </w:rPr>
      </w:pPr>
      <w:r w:rsidRPr="009A0DA6">
        <w:rPr>
          <w:rFonts w:ascii="Cambria" w:hAnsi="Cambria" w:cs="Arial"/>
        </w:rPr>
        <w:t>NON-CURRENT LIBILITIES</w:t>
      </w:r>
      <w:r w:rsidRPr="009A0DA6">
        <w:rPr>
          <w:rFonts w:ascii="Cambria" w:hAnsi="Cambria" w:cs="Arial"/>
        </w:rPr>
        <w:tab/>
      </w:r>
      <w:r w:rsidRPr="009A0DA6">
        <w:rPr>
          <w:rFonts w:ascii="Cambria" w:hAnsi="Cambria" w:cs="Arial"/>
        </w:rPr>
        <w:tab/>
      </w:r>
      <w:r w:rsidRPr="009A0DA6">
        <w:rPr>
          <w:rFonts w:ascii="Cambria" w:hAnsi="Cambria"/>
        </w:rPr>
        <w:tab/>
      </w:r>
      <w:r w:rsidRPr="009A0DA6">
        <w:rPr>
          <w:rFonts w:ascii="Cambria" w:hAnsi="Cambria"/>
        </w:rPr>
        <w:tab/>
      </w:r>
    </w:p>
    <w:p w14:paraId="4FD9A009" w14:textId="77777777" w:rsidR="0054360D" w:rsidRPr="009A0DA6" w:rsidRDefault="0054360D" w:rsidP="0054360D">
      <w:pPr>
        <w:tabs>
          <w:tab w:val="center" w:pos="4536"/>
          <w:tab w:val="right" w:pos="5954"/>
          <w:tab w:val="right" w:pos="7371"/>
          <w:tab w:val="right" w:pos="8789"/>
        </w:tabs>
        <w:spacing w:before="120" w:after="120" w:line="240" w:lineRule="auto"/>
        <w:contextualSpacing/>
        <w:rPr>
          <w:rFonts w:ascii="Cambria" w:hAnsi="Cambria" w:cs="Arial"/>
        </w:rPr>
      </w:pPr>
      <w:r w:rsidRPr="009A0DA6">
        <w:rPr>
          <w:rFonts w:ascii="Cambria" w:hAnsi="Cambria" w:cs="Arial"/>
        </w:rPr>
        <w:t>Special Purpose Funds</w:t>
      </w:r>
      <w:r w:rsidRPr="009A0DA6">
        <w:rPr>
          <w:rFonts w:ascii="Cambria" w:hAnsi="Cambria" w:cs="Arial"/>
        </w:rPr>
        <w:tab/>
      </w:r>
      <w:r w:rsidRPr="009A0DA6">
        <w:rPr>
          <w:rFonts w:ascii="Cambria" w:hAnsi="Cambria" w:cs="Arial"/>
        </w:rPr>
        <w:tab/>
        <w:t>277,706</w:t>
      </w:r>
      <w:r w:rsidRPr="009A0DA6">
        <w:rPr>
          <w:rFonts w:ascii="Cambria" w:hAnsi="Cambria" w:cs="Arial"/>
        </w:rPr>
        <w:tab/>
        <w:t>311,793</w:t>
      </w:r>
      <w:r w:rsidRPr="009A0DA6">
        <w:rPr>
          <w:rFonts w:ascii="Cambria" w:hAnsi="Cambria" w:cs="Arial"/>
        </w:rPr>
        <w:tab/>
        <w:t>168,145</w:t>
      </w:r>
    </w:p>
    <w:p w14:paraId="6ADD4638" w14:textId="77777777" w:rsidR="0054360D" w:rsidRPr="009A0DA6" w:rsidRDefault="0054360D" w:rsidP="0054360D">
      <w:pPr>
        <w:tabs>
          <w:tab w:val="center" w:pos="4536"/>
          <w:tab w:val="right" w:pos="5954"/>
          <w:tab w:val="right" w:pos="7371"/>
          <w:tab w:val="right" w:pos="8789"/>
        </w:tabs>
        <w:spacing w:before="120" w:after="120" w:line="240" w:lineRule="auto"/>
        <w:contextualSpacing/>
        <w:rPr>
          <w:rFonts w:ascii="Cambria" w:hAnsi="Cambria" w:cs="Arial"/>
        </w:rPr>
      </w:pPr>
      <w:r w:rsidRPr="009A0DA6">
        <w:rPr>
          <w:rFonts w:ascii="Cambria" w:hAnsi="Cambria" w:cs="Arial"/>
        </w:rPr>
        <w:t>Provisions</w:t>
      </w:r>
      <w:r w:rsidRPr="009A0DA6">
        <w:rPr>
          <w:rFonts w:ascii="Cambria" w:hAnsi="Cambria" w:cs="Arial"/>
        </w:rPr>
        <w:tab/>
      </w:r>
      <w:r w:rsidRPr="009A0DA6">
        <w:rPr>
          <w:rFonts w:ascii="Cambria" w:hAnsi="Cambria" w:cs="Arial"/>
        </w:rPr>
        <w:tab/>
        <w:t>33,982</w:t>
      </w:r>
      <w:r w:rsidRPr="009A0DA6">
        <w:rPr>
          <w:rFonts w:ascii="Cambria" w:hAnsi="Cambria" w:cs="Arial"/>
        </w:rPr>
        <w:tab/>
        <w:t>20,155</w:t>
      </w:r>
      <w:r w:rsidRPr="009A0DA6">
        <w:rPr>
          <w:rFonts w:ascii="Cambria" w:hAnsi="Cambria" w:cs="Arial"/>
        </w:rPr>
        <w:tab/>
        <w:t>2,211</w:t>
      </w:r>
    </w:p>
    <w:p w14:paraId="45DBC116" w14:textId="77777777" w:rsidR="0054360D" w:rsidRPr="009A0DA6" w:rsidRDefault="0054360D" w:rsidP="0054360D">
      <w:pPr>
        <w:tabs>
          <w:tab w:val="center" w:pos="4536"/>
          <w:tab w:val="right" w:pos="5954"/>
          <w:tab w:val="right" w:pos="7371"/>
          <w:tab w:val="right" w:pos="8789"/>
        </w:tabs>
        <w:spacing w:before="120" w:after="120" w:line="240" w:lineRule="auto"/>
        <w:contextualSpacing/>
        <w:rPr>
          <w:rFonts w:ascii="Cambria" w:hAnsi="Cambria" w:cs="Arial"/>
          <w:b/>
        </w:rPr>
      </w:pPr>
      <w:r w:rsidRPr="009A0DA6">
        <w:rPr>
          <w:rFonts w:ascii="Cambria" w:hAnsi="Cambria" w:cs="Arial"/>
          <w:b/>
        </w:rPr>
        <w:t>TOTAL LIABILITIES</w:t>
      </w:r>
      <w:r w:rsidRPr="009A0DA6">
        <w:rPr>
          <w:rFonts w:ascii="Cambria" w:hAnsi="Cambria" w:cs="Arial"/>
          <w:b/>
        </w:rPr>
        <w:tab/>
      </w:r>
      <w:r w:rsidRPr="009A0DA6">
        <w:rPr>
          <w:rFonts w:ascii="Cambria" w:hAnsi="Cambria" w:cs="Arial"/>
          <w:b/>
        </w:rPr>
        <w:tab/>
        <w:t>981,873</w:t>
      </w:r>
      <w:r w:rsidRPr="009A0DA6">
        <w:rPr>
          <w:rFonts w:ascii="Cambria" w:hAnsi="Cambria" w:cs="Arial"/>
          <w:b/>
        </w:rPr>
        <w:tab/>
        <w:t>915,491</w:t>
      </w:r>
      <w:r w:rsidRPr="009A0DA6">
        <w:rPr>
          <w:rFonts w:ascii="Cambria" w:hAnsi="Cambria" w:cs="Arial"/>
          <w:b/>
        </w:rPr>
        <w:tab/>
        <w:t>781,565</w:t>
      </w:r>
    </w:p>
    <w:p w14:paraId="1A8B54D1" w14:textId="77777777" w:rsidR="0054360D" w:rsidRPr="009A0DA6" w:rsidRDefault="0054360D" w:rsidP="0054360D">
      <w:pPr>
        <w:tabs>
          <w:tab w:val="center" w:pos="4536"/>
          <w:tab w:val="right" w:pos="5954"/>
          <w:tab w:val="right" w:pos="7371"/>
          <w:tab w:val="right" w:pos="8789"/>
        </w:tabs>
        <w:spacing w:before="120" w:after="120" w:line="240" w:lineRule="auto"/>
        <w:contextualSpacing/>
        <w:rPr>
          <w:rFonts w:ascii="Cambria" w:hAnsi="Cambria" w:cs="Arial"/>
          <w:b/>
        </w:rPr>
      </w:pPr>
      <w:r w:rsidRPr="009A0DA6">
        <w:rPr>
          <w:rFonts w:ascii="Cambria" w:hAnsi="Cambria" w:cs="Arial"/>
          <w:b/>
        </w:rPr>
        <w:t>NET ASSETS</w:t>
      </w:r>
      <w:r w:rsidRPr="009A0DA6">
        <w:rPr>
          <w:rFonts w:ascii="Cambria" w:hAnsi="Cambria" w:cs="Arial"/>
          <w:b/>
        </w:rPr>
        <w:tab/>
      </w:r>
      <w:r w:rsidRPr="009A0DA6">
        <w:rPr>
          <w:rFonts w:ascii="Cambria" w:hAnsi="Cambria" w:cs="Arial"/>
          <w:b/>
        </w:rPr>
        <w:tab/>
        <w:t>$5,558,394</w:t>
      </w:r>
      <w:r w:rsidRPr="009A0DA6">
        <w:rPr>
          <w:rFonts w:ascii="Cambria" w:hAnsi="Cambria" w:cs="Arial"/>
          <w:b/>
        </w:rPr>
        <w:tab/>
        <w:t>$5,612,546</w:t>
      </w:r>
      <w:r w:rsidRPr="009A0DA6">
        <w:rPr>
          <w:rFonts w:ascii="Cambria" w:hAnsi="Cambria" w:cs="Arial"/>
          <w:b/>
        </w:rPr>
        <w:tab/>
        <w:t>$4,733,681</w:t>
      </w:r>
    </w:p>
    <w:p w14:paraId="6E419803" w14:textId="77777777" w:rsidR="0054360D" w:rsidRPr="009A0DA6" w:rsidRDefault="0054360D" w:rsidP="0054360D">
      <w:pPr>
        <w:tabs>
          <w:tab w:val="center" w:pos="4536"/>
          <w:tab w:val="right" w:pos="5954"/>
          <w:tab w:val="right" w:pos="7371"/>
          <w:tab w:val="right" w:pos="8789"/>
        </w:tabs>
        <w:spacing w:before="120" w:after="120" w:line="240" w:lineRule="auto"/>
        <w:contextualSpacing/>
        <w:rPr>
          <w:rFonts w:ascii="Cambria" w:hAnsi="Cambria"/>
        </w:rPr>
      </w:pPr>
      <w:r w:rsidRPr="009A0DA6">
        <w:rPr>
          <w:rFonts w:ascii="Cambria" w:hAnsi="Cambria" w:cs="Arial"/>
          <w:b/>
          <w:bCs/>
        </w:rPr>
        <w:t>EQUITY</w:t>
      </w:r>
      <w:r w:rsidRPr="009A0DA6">
        <w:rPr>
          <w:rFonts w:ascii="Cambria" w:hAnsi="Cambria" w:cs="Arial"/>
          <w:b/>
          <w:bCs/>
        </w:rPr>
        <w:tab/>
      </w:r>
      <w:r w:rsidRPr="009A0DA6">
        <w:rPr>
          <w:rFonts w:ascii="Cambria" w:hAnsi="Cambria" w:cs="Arial"/>
          <w:b/>
          <w:bCs/>
        </w:rPr>
        <w:tab/>
      </w:r>
      <w:r w:rsidRPr="009A0DA6">
        <w:rPr>
          <w:rFonts w:ascii="Cambria" w:hAnsi="Cambria"/>
        </w:rPr>
        <w:tab/>
      </w:r>
      <w:r w:rsidRPr="009A0DA6">
        <w:rPr>
          <w:rFonts w:ascii="Cambria" w:hAnsi="Cambria"/>
        </w:rPr>
        <w:tab/>
      </w:r>
    </w:p>
    <w:p w14:paraId="65718CDF" w14:textId="77777777" w:rsidR="0054360D" w:rsidRPr="009A0DA6" w:rsidRDefault="0054360D" w:rsidP="0054360D">
      <w:pPr>
        <w:tabs>
          <w:tab w:val="center" w:pos="4536"/>
          <w:tab w:val="right" w:pos="5954"/>
          <w:tab w:val="right" w:pos="7371"/>
          <w:tab w:val="right" w:pos="8789"/>
        </w:tabs>
        <w:spacing w:before="120" w:after="120" w:line="240" w:lineRule="auto"/>
        <w:contextualSpacing/>
        <w:rPr>
          <w:rFonts w:ascii="Cambria" w:hAnsi="Cambria" w:cs="Arial"/>
        </w:rPr>
      </w:pPr>
      <w:r w:rsidRPr="009A0DA6">
        <w:rPr>
          <w:rFonts w:ascii="Cambria" w:hAnsi="Cambria" w:cs="Arial"/>
        </w:rPr>
        <w:t>Capital</w:t>
      </w:r>
      <w:r w:rsidRPr="009A0DA6">
        <w:rPr>
          <w:rFonts w:ascii="Cambria" w:hAnsi="Cambria" w:cs="Arial"/>
        </w:rPr>
        <w:tab/>
      </w:r>
      <w:r w:rsidRPr="009A0DA6">
        <w:rPr>
          <w:rFonts w:ascii="Cambria" w:hAnsi="Cambria" w:cs="Arial"/>
        </w:rPr>
        <w:tab/>
        <w:t>2,317,891</w:t>
      </w:r>
      <w:r w:rsidRPr="009A0DA6">
        <w:rPr>
          <w:rFonts w:ascii="Cambria" w:hAnsi="Cambria" w:cs="Arial"/>
        </w:rPr>
        <w:tab/>
        <w:t>2,317,891</w:t>
      </w:r>
      <w:r w:rsidRPr="009A0DA6">
        <w:rPr>
          <w:rFonts w:ascii="Cambria" w:hAnsi="Cambria" w:cs="Arial"/>
        </w:rPr>
        <w:tab/>
        <w:t>2,317,891</w:t>
      </w:r>
    </w:p>
    <w:p w14:paraId="50362280" w14:textId="77777777" w:rsidR="0054360D" w:rsidRPr="009A0DA6" w:rsidRDefault="0054360D" w:rsidP="0054360D">
      <w:pPr>
        <w:tabs>
          <w:tab w:val="center" w:pos="4536"/>
          <w:tab w:val="right" w:pos="5954"/>
          <w:tab w:val="right" w:pos="7371"/>
          <w:tab w:val="right" w:pos="8789"/>
        </w:tabs>
        <w:spacing w:before="120" w:after="120" w:line="240" w:lineRule="auto"/>
        <w:contextualSpacing/>
        <w:rPr>
          <w:rFonts w:ascii="Cambria" w:hAnsi="Cambria" w:cs="Arial"/>
        </w:rPr>
      </w:pPr>
      <w:r w:rsidRPr="009A0DA6">
        <w:rPr>
          <w:rFonts w:ascii="Cambria" w:hAnsi="Cambria" w:cs="Arial"/>
        </w:rPr>
        <w:t>Revaluation reserve</w:t>
      </w:r>
      <w:r w:rsidRPr="009A0DA6">
        <w:rPr>
          <w:rFonts w:ascii="Cambria" w:hAnsi="Cambria" w:cs="Arial"/>
        </w:rPr>
        <w:tab/>
      </w:r>
      <w:r w:rsidRPr="009A0DA6">
        <w:rPr>
          <w:rFonts w:ascii="Cambria" w:hAnsi="Cambria" w:cs="Arial"/>
        </w:rPr>
        <w:tab/>
        <w:t>1,898,947</w:t>
      </w:r>
      <w:r w:rsidRPr="009A0DA6">
        <w:rPr>
          <w:rFonts w:ascii="Cambria" w:hAnsi="Cambria" w:cs="Arial"/>
        </w:rPr>
        <w:tab/>
        <w:t>1,898,947</w:t>
      </w:r>
      <w:r w:rsidRPr="009A0DA6">
        <w:rPr>
          <w:rFonts w:ascii="Cambria" w:hAnsi="Cambria" w:cs="Arial"/>
        </w:rPr>
        <w:tab/>
        <w:t>1,898,947</w:t>
      </w:r>
    </w:p>
    <w:p w14:paraId="47D65A06" w14:textId="77777777" w:rsidR="0054360D" w:rsidRPr="009A0DA6" w:rsidRDefault="0054360D" w:rsidP="0054360D">
      <w:pPr>
        <w:tabs>
          <w:tab w:val="center" w:pos="4536"/>
          <w:tab w:val="right" w:pos="5954"/>
          <w:tab w:val="right" w:pos="7371"/>
          <w:tab w:val="right" w:pos="8789"/>
        </w:tabs>
        <w:spacing w:before="120" w:after="120" w:line="240" w:lineRule="auto"/>
        <w:contextualSpacing/>
        <w:rPr>
          <w:rFonts w:ascii="Cambria" w:hAnsi="Cambria" w:cs="Arial"/>
        </w:rPr>
      </w:pPr>
      <w:r w:rsidRPr="009A0DA6">
        <w:rPr>
          <w:rFonts w:ascii="Cambria" w:hAnsi="Cambria" w:cs="Arial"/>
        </w:rPr>
        <w:t>Retained Earnings</w:t>
      </w:r>
      <w:r w:rsidRPr="009A0DA6">
        <w:rPr>
          <w:rFonts w:ascii="Cambria" w:hAnsi="Cambria" w:cs="Arial"/>
        </w:rPr>
        <w:tab/>
      </w:r>
      <w:r w:rsidRPr="009A0DA6">
        <w:rPr>
          <w:rFonts w:ascii="Cambria" w:hAnsi="Cambria" w:cs="Arial"/>
        </w:rPr>
        <w:tab/>
        <w:t>1,341,566</w:t>
      </w:r>
      <w:r w:rsidRPr="009A0DA6">
        <w:rPr>
          <w:rFonts w:ascii="Cambria" w:hAnsi="Cambria" w:cs="Arial"/>
        </w:rPr>
        <w:tab/>
        <w:t>1,395,708</w:t>
      </w:r>
      <w:r w:rsidRPr="009A0DA6">
        <w:rPr>
          <w:rFonts w:ascii="Cambria" w:hAnsi="Cambria" w:cs="Arial"/>
        </w:rPr>
        <w:tab/>
        <w:t>516,843</w:t>
      </w:r>
    </w:p>
    <w:p w14:paraId="054863A3" w14:textId="77777777" w:rsidR="0054360D" w:rsidRPr="009A0DA6" w:rsidRDefault="0054360D" w:rsidP="0054360D">
      <w:pPr>
        <w:tabs>
          <w:tab w:val="center" w:pos="4536"/>
          <w:tab w:val="right" w:pos="5954"/>
          <w:tab w:val="right" w:pos="7371"/>
          <w:tab w:val="right" w:pos="8789"/>
        </w:tabs>
        <w:spacing w:before="120" w:after="120" w:line="240" w:lineRule="auto"/>
        <w:contextualSpacing/>
        <w:rPr>
          <w:rFonts w:ascii="Cambria" w:hAnsi="Cambria" w:cs="Arial"/>
          <w:b/>
        </w:rPr>
      </w:pPr>
      <w:r w:rsidRPr="009A0DA6">
        <w:rPr>
          <w:rFonts w:ascii="Cambria" w:hAnsi="Cambria" w:cs="Arial"/>
          <w:b/>
        </w:rPr>
        <w:t>TOTAL EQUITY</w:t>
      </w:r>
      <w:r w:rsidRPr="009A0DA6">
        <w:rPr>
          <w:rFonts w:ascii="Cambria" w:hAnsi="Cambria" w:cs="Arial"/>
          <w:b/>
        </w:rPr>
        <w:tab/>
      </w:r>
      <w:r w:rsidRPr="009A0DA6">
        <w:rPr>
          <w:rFonts w:ascii="Cambria" w:hAnsi="Cambria" w:cs="Arial"/>
          <w:b/>
        </w:rPr>
        <w:tab/>
        <w:t>$5,558,404</w:t>
      </w:r>
      <w:r w:rsidRPr="009A0DA6">
        <w:rPr>
          <w:rFonts w:ascii="Cambria" w:hAnsi="Cambria" w:cs="Arial"/>
          <w:b/>
        </w:rPr>
        <w:tab/>
        <w:t>$5,612,546</w:t>
      </w:r>
      <w:r w:rsidRPr="009A0DA6">
        <w:rPr>
          <w:rFonts w:ascii="Cambria" w:hAnsi="Cambria" w:cs="Arial"/>
          <w:b/>
        </w:rPr>
        <w:tab/>
        <w:t>$4,733,681</w:t>
      </w:r>
    </w:p>
    <w:p w14:paraId="45231452" w14:textId="1D696113" w:rsidR="0054360D" w:rsidRDefault="0054360D" w:rsidP="0054360D">
      <w:pPr>
        <w:tabs>
          <w:tab w:val="center" w:pos="4536"/>
          <w:tab w:val="right" w:pos="5954"/>
          <w:tab w:val="right" w:pos="7371"/>
          <w:tab w:val="right" w:pos="8789"/>
        </w:tabs>
        <w:spacing w:before="120" w:after="120" w:line="240" w:lineRule="auto"/>
        <w:contextualSpacing/>
        <w:rPr>
          <w:rFonts w:ascii="Cambria" w:hAnsi="Cambria" w:cs="Arial"/>
          <w:b/>
        </w:rPr>
      </w:pPr>
    </w:p>
    <w:p w14:paraId="6C86BD74" w14:textId="77777777" w:rsidR="005F21CD" w:rsidRDefault="005F21CD" w:rsidP="005F21CD">
      <w:pPr>
        <w:pStyle w:val="NoSpacing"/>
        <w:rPr>
          <w:b/>
        </w:rPr>
      </w:pPr>
    </w:p>
    <w:p w14:paraId="6DCF58CA" w14:textId="01F9F05C" w:rsidR="0054360D" w:rsidRPr="009A0DA6" w:rsidRDefault="0054360D" w:rsidP="005F21CD">
      <w:pPr>
        <w:pStyle w:val="NoSpacing"/>
        <w:rPr>
          <w:b/>
        </w:rPr>
      </w:pPr>
      <w:r w:rsidRPr="009A0DA6">
        <w:rPr>
          <w:b/>
        </w:rPr>
        <w:t>CASH FLOWS STATEMENT</w:t>
      </w:r>
    </w:p>
    <w:p w14:paraId="34FFCFDF" w14:textId="0DBBC201" w:rsidR="00FF7E8B" w:rsidRPr="00FF7E8B" w:rsidRDefault="00FF7E8B" w:rsidP="00FF7E8B">
      <w:pPr>
        <w:pStyle w:val="NoSpacing"/>
        <w:rPr>
          <w:b/>
        </w:rPr>
      </w:pPr>
      <w:r w:rsidRPr="00FF7E8B">
        <w:rPr>
          <w:b/>
        </w:rPr>
        <w:t>FOR THE PERIODS ENDING 30 JUNE</w:t>
      </w:r>
    </w:p>
    <w:p w14:paraId="58D7E0EE" w14:textId="77777777" w:rsidR="0054360D" w:rsidRPr="009A0DA6" w:rsidRDefault="0054360D" w:rsidP="0054360D">
      <w:pPr>
        <w:tabs>
          <w:tab w:val="center" w:pos="4536"/>
          <w:tab w:val="right" w:pos="5954"/>
          <w:tab w:val="right" w:pos="7371"/>
          <w:tab w:val="right" w:pos="8789"/>
        </w:tabs>
        <w:spacing w:before="120" w:after="120" w:line="240" w:lineRule="auto"/>
        <w:contextualSpacing/>
        <w:rPr>
          <w:rFonts w:ascii="Cambria" w:hAnsi="Cambria" w:cs="Arial"/>
          <w:b/>
          <w:bCs/>
        </w:rPr>
      </w:pPr>
      <w:r w:rsidRPr="009A0DA6">
        <w:rPr>
          <w:rFonts w:ascii="Cambria" w:hAnsi="Cambria"/>
        </w:rPr>
        <w:tab/>
      </w:r>
      <w:r w:rsidRPr="009A0DA6">
        <w:rPr>
          <w:rFonts w:ascii="Cambria" w:hAnsi="Cambria"/>
        </w:rPr>
        <w:tab/>
      </w:r>
      <w:r w:rsidRPr="009A0DA6">
        <w:rPr>
          <w:rFonts w:ascii="Cambria" w:hAnsi="Cambria" w:cs="Arial"/>
          <w:b/>
          <w:bCs/>
        </w:rPr>
        <w:t>2017</w:t>
      </w:r>
      <w:r w:rsidRPr="009A0DA6">
        <w:rPr>
          <w:rFonts w:ascii="Cambria" w:hAnsi="Cambria" w:cs="Arial"/>
          <w:b/>
          <w:bCs/>
        </w:rPr>
        <w:tab/>
        <w:t>2016</w:t>
      </w:r>
      <w:r w:rsidRPr="009A0DA6">
        <w:rPr>
          <w:rFonts w:ascii="Cambria" w:hAnsi="Cambria" w:cs="Arial"/>
          <w:b/>
          <w:bCs/>
        </w:rPr>
        <w:tab/>
        <w:t>2015</w:t>
      </w:r>
    </w:p>
    <w:p w14:paraId="6CDD0198" w14:textId="77777777" w:rsidR="0054360D" w:rsidRPr="009A0DA6" w:rsidRDefault="0054360D" w:rsidP="0054360D">
      <w:pPr>
        <w:tabs>
          <w:tab w:val="center" w:pos="4536"/>
          <w:tab w:val="right" w:pos="5954"/>
          <w:tab w:val="right" w:pos="7371"/>
          <w:tab w:val="right" w:pos="8789"/>
        </w:tabs>
        <w:spacing w:before="120" w:after="120" w:line="240" w:lineRule="auto"/>
        <w:contextualSpacing/>
        <w:rPr>
          <w:rFonts w:ascii="Cambria" w:hAnsi="Cambria" w:cs="Arial"/>
        </w:rPr>
      </w:pPr>
      <w:r w:rsidRPr="009A0DA6">
        <w:rPr>
          <w:rFonts w:ascii="Cambria" w:hAnsi="Cambria" w:cs="Arial"/>
          <w:b/>
        </w:rPr>
        <w:t>CASH FLOWS FROM OPERATING ACTIVITIES</w:t>
      </w:r>
      <w:r w:rsidRPr="009A0DA6">
        <w:rPr>
          <w:rFonts w:ascii="Cambria" w:hAnsi="Cambria" w:cs="Arial"/>
        </w:rPr>
        <w:tab/>
      </w:r>
      <w:r w:rsidRPr="009A0DA6">
        <w:rPr>
          <w:rFonts w:ascii="Cambria" w:hAnsi="Cambria" w:cs="Arial"/>
        </w:rPr>
        <w:tab/>
      </w:r>
      <w:r w:rsidRPr="009A0DA6">
        <w:rPr>
          <w:rFonts w:ascii="Cambria" w:hAnsi="Cambria" w:cs="Arial"/>
        </w:rPr>
        <w:tab/>
      </w:r>
    </w:p>
    <w:p w14:paraId="75931D13" w14:textId="77777777" w:rsidR="0054360D" w:rsidRPr="009A0DA6" w:rsidRDefault="0054360D" w:rsidP="0054360D">
      <w:pPr>
        <w:tabs>
          <w:tab w:val="center" w:pos="4536"/>
          <w:tab w:val="right" w:pos="5954"/>
          <w:tab w:val="right" w:pos="7371"/>
          <w:tab w:val="right" w:pos="8789"/>
        </w:tabs>
        <w:spacing w:before="120" w:after="120" w:line="240" w:lineRule="auto"/>
        <w:contextualSpacing/>
        <w:rPr>
          <w:rFonts w:ascii="Cambria" w:hAnsi="Cambria" w:cs="Arial"/>
        </w:rPr>
      </w:pPr>
      <w:r w:rsidRPr="009A0DA6">
        <w:rPr>
          <w:rFonts w:ascii="Cambria" w:hAnsi="Cambria" w:cs="Arial"/>
        </w:rPr>
        <w:t>Receipts form customers</w:t>
      </w:r>
      <w:r w:rsidRPr="009A0DA6">
        <w:rPr>
          <w:rFonts w:ascii="Cambria" w:hAnsi="Cambria" w:cs="Arial"/>
        </w:rPr>
        <w:tab/>
      </w:r>
      <w:r w:rsidRPr="009A0DA6">
        <w:rPr>
          <w:rFonts w:ascii="Cambria" w:hAnsi="Cambria" w:cs="Arial"/>
        </w:rPr>
        <w:tab/>
        <w:t>3,290,467</w:t>
      </w:r>
      <w:r w:rsidRPr="009A0DA6">
        <w:rPr>
          <w:rFonts w:ascii="Cambria" w:hAnsi="Cambria" w:cs="Arial"/>
        </w:rPr>
        <w:tab/>
        <w:t>3,232,750</w:t>
      </w:r>
      <w:r w:rsidRPr="009A0DA6">
        <w:rPr>
          <w:rFonts w:ascii="Cambria" w:hAnsi="Cambria" w:cs="Arial"/>
        </w:rPr>
        <w:tab/>
        <w:t>3,439,765</w:t>
      </w:r>
    </w:p>
    <w:p w14:paraId="27CF61A8" w14:textId="77777777" w:rsidR="0054360D" w:rsidRPr="009A0DA6" w:rsidRDefault="0054360D" w:rsidP="0054360D">
      <w:pPr>
        <w:tabs>
          <w:tab w:val="center" w:pos="4536"/>
          <w:tab w:val="right" w:pos="5954"/>
          <w:tab w:val="right" w:pos="7371"/>
          <w:tab w:val="right" w:pos="8789"/>
        </w:tabs>
        <w:spacing w:before="120" w:after="120" w:line="240" w:lineRule="auto"/>
        <w:contextualSpacing/>
        <w:rPr>
          <w:rFonts w:ascii="Cambria" w:hAnsi="Cambria" w:cs="Arial"/>
        </w:rPr>
      </w:pPr>
      <w:r w:rsidRPr="009A0DA6">
        <w:rPr>
          <w:rFonts w:ascii="Cambria" w:hAnsi="Cambria" w:cs="Arial"/>
        </w:rPr>
        <w:t>Funding Income</w:t>
      </w:r>
      <w:r w:rsidRPr="009A0DA6">
        <w:rPr>
          <w:rFonts w:ascii="Cambria" w:hAnsi="Cambria" w:cs="Arial"/>
        </w:rPr>
        <w:tab/>
      </w:r>
      <w:r w:rsidRPr="009A0DA6">
        <w:rPr>
          <w:rFonts w:ascii="Cambria" w:hAnsi="Cambria" w:cs="Arial"/>
        </w:rPr>
        <w:tab/>
        <w:t>450,000</w:t>
      </w:r>
      <w:r w:rsidRPr="009A0DA6">
        <w:rPr>
          <w:rFonts w:ascii="Cambria" w:hAnsi="Cambria" w:cs="Arial"/>
        </w:rPr>
        <w:tab/>
        <w:t>405,000</w:t>
      </w:r>
      <w:r w:rsidRPr="009A0DA6">
        <w:rPr>
          <w:rFonts w:ascii="Cambria" w:hAnsi="Cambria" w:cs="Arial"/>
        </w:rPr>
        <w:tab/>
        <w:t>405,000</w:t>
      </w:r>
    </w:p>
    <w:p w14:paraId="59E23854" w14:textId="77777777" w:rsidR="0054360D" w:rsidRPr="009A0DA6" w:rsidRDefault="0054360D" w:rsidP="0054360D">
      <w:pPr>
        <w:tabs>
          <w:tab w:val="center" w:pos="4536"/>
          <w:tab w:val="right" w:pos="5954"/>
          <w:tab w:val="right" w:pos="7371"/>
          <w:tab w:val="right" w:pos="8789"/>
        </w:tabs>
        <w:spacing w:before="120" w:after="120" w:line="240" w:lineRule="auto"/>
        <w:contextualSpacing/>
        <w:rPr>
          <w:rFonts w:ascii="Cambria" w:hAnsi="Cambria" w:cs="Arial"/>
        </w:rPr>
      </w:pPr>
      <w:r w:rsidRPr="009A0DA6">
        <w:rPr>
          <w:rFonts w:ascii="Cambria" w:hAnsi="Cambria" w:cs="Arial"/>
        </w:rPr>
        <w:t>Grant Income</w:t>
      </w:r>
      <w:r w:rsidRPr="009A0DA6">
        <w:rPr>
          <w:rFonts w:ascii="Cambria" w:hAnsi="Cambria" w:cs="Arial"/>
        </w:rPr>
        <w:tab/>
      </w:r>
      <w:r w:rsidRPr="009A0DA6">
        <w:rPr>
          <w:rFonts w:ascii="Cambria" w:hAnsi="Cambria" w:cs="Arial"/>
        </w:rPr>
        <w:tab/>
        <w:t>(97,998)</w:t>
      </w:r>
      <w:r w:rsidRPr="009A0DA6">
        <w:rPr>
          <w:rFonts w:ascii="Cambria" w:hAnsi="Cambria" w:cs="Arial"/>
        </w:rPr>
        <w:tab/>
        <w:t>35,679</w:t>
      </w:r>
      <w:r w:rsidRPr="009A0DA6">
        <w:rPr>
          <w:rFonts w:ascii="Cambria" w:hAnsi="Cambria" w:cs="Arial"/>
        </w:rPr>
        <w:tab/>
        <w:t>2,094</w:t>
      </w:r>
    </w:p>
    <w:p w14:paraId="5697E799" w14:textId="77777777" w:rsidR="0054360D" w:rsidRPr="009A0DA6" w:rsidRDefault="0054360D" w:rsidP="0054360D">
      <w:pPr>
        <w:tabs>
          <w:tab w:val="center" w:pos="4536"/>
          <w:tab w:val="right" w:pos="5954"/>
          <w:tab w:val="right" w:pos="7371"/>
          <w:tab w:val="right" w:pos="8789"/>
        </w:tabs>
        <w:spacing w:before="120" w:after="120" w:line="240" w:lineRule="auto"/>
        <w:contextualSpacing/>
        <w:rPr>
          <w:rFonts w:ascii="Cambria" w:hAnsi="Cambria" w:cs="Arial"/>
        </w:rPr>
      </w:pPr>
      <w:r w:rsidRPr="009A0DA6">
        <w:rPr>
          <w:rFonts w:ascii="Cambria" w:hAnsi="Cambria" w:cs="Arial"/>
        </w:rPr>
        <w:t>Donations</w:t>
      </w:r>
      <w:r w:rsidRPr="009A0DA6">
        <w:rPr>
          <w:rFonts w:ascii="Cambria" w:hAnsi="Cambria" w:cs="Arial"/>
        </w:rPr>
        <w:tab/>
      </w:r>
      <w:r w:rsidRPr="009A0DA6">
        <w:rPr>
          <w:rFonts w:ascii="Cambria" w:hAnsi="Cambria" w:cs="Arial"/>
        </w:rPr>
        <w:tab/>
        <w:t>164,933</w:t>
      </w:r>
      <w:r w:rsidRPr="009A0DA6">
        <w:rPr>
          <w:rFonts w:ascii="Cambria" w:hAnsi="Cambria" w:cs="Arial"/>
        </w:rPr>
        <w:tab/>
        <w:t>595,110</w:t>
      </w:r>
      <w:r w:rsidRPr="009A0DA6">
        <w:rPr>
          <w:rFonts w:ascii="Cambria" w:hAnsi="Cambria" w:cs="Arial"/>
        </w:rPr>
        <w:tab/>
        <w:t>191,635</w:t>
      </w:r>
    </w:p>
    <w:p w14:paraId="1C9CC6CE" w14:textId="77777777" w:rsidR="0054360D" w:rsidRPr="009A0DA6" w:rsidRDefault="0054360D" w:rsidP="0054360D">
      <w:pPr>
        <w:tabs>
          <w:tab w:val="center" w:pos="4536"/>
          <w:tab w:val="right" w:pos="5954"/>
          <w:tab w:val="right" w:pos="7371"/>
          <w:tab w:val="right" w:pos="8789"/>
        </w:tabs>
        <w:spacing w:before="120" w:after="120" w:line="240" w:lineRule="auto"/>
        <w:contextualSpacing/>
        <w:rPr>
          <w:rFonts w:ascii="Cambria" w:hAnsi="Cambria" w:cs="Arial"/>
        </w:rPr>
      </w:pPr>
      <w:r w:rsidRPr="009A0DA6">
        <w:rPr>
          <w:rFonts w:ascii="Cambria" w:hAnsi="Cambria" w:cs="Arial"/>
        </w:rPr>
        <w:t>Other Receipts</w:t>
      </w:r>
      <w:r w:rsidRPr="009A0DA6">
        <w:rPr>
          <w:rFonts w:ascii="Cambria" w:hAnsi="Cambria" w:cs="Arial"/>
        </w:rPr>
        <w:tab/>
      </w:r>
      <w:r w:rsidRPr="009A0DA6">
        <w:rPr>
          <w:rFonts w:ascii="Cambria" w:hAnsi="Cambria" w:cs="Arial"/>
        </w:rPr>
        <w:tab/>
        <w:t>284,863</w:t>
      </w:r>
      <w:r w:rsidRPr="009A0DA6">
        <w:rPr>
          <w:rFonts w:ascii="Cambria" w:hAnsi="Cambria" w:cs="Arial"/>
        </w:rPr>
        <w:tab/>
        <w:t>407,331</w:t>
      </w:r>
      <w:r w:rsidRPr="009A0DA6">
        <w:rPr>
          <w:rFonts w:ascii="Cambria" w:hAnsi="Cambria" w:cs="Arial"/>
        </w:rPr>
        <w:tab/>
        <w:t>381,607</w:t>
      </w:r>
    </w:p>
    <w:p w14:paraId="458387BB" w14:textId="77777777" w:rsidR="0054360D" w:rsidRPr="009A0DA6" w:rsidRDefault="0054360D" w:rsidP="0054360D">
      <w:pPr>
        <w:tabs>
          <w:tab w:val="center" w:pos="4536"/>
          <w:tab w:val="right" w:pos="5954"/>
          <w:tab w:val="right" w:pos="7371"/>
          <w:tab w:val="right" w:pos="8789"/>
        </w:tabs>
        <w:spacing w:before="120" w:after="120" w:line="240" w:lineRule="auto"/>
        <w:contextualSpacing/>
        <w:rPr>
          <w:rFonts w:ascii="Cambria" w:hAnsi="Cambria" w:cs="Arial"/>
        </w:rPr>
      </w:pPr>
      <w:r w:rsidRPr="009A0DA6">
        <w:rPr>
          <w:rFonts w:ascii="Cambria" w:hAnsi="Cambria" w:cs="Arial"/>
        </w:rPr>
        <w:t>Payments to suppliers and employees</w:t>
      </w:r>
      <w:r w:rsidRPr="009A0DA6">
        <w:rPr>
          <w:rFonts w:ascii="Cambria" w:hAnsi="Cambria" w:cs="Arial"/>
        </w:rPr>
        <w:tab/>
      </w:r>
      <w:r w:rsidRPr="009A0DA6">
        <w:rPr>
          <w:rFonts w:ascii="Cambria" w:hAnsi="Cambria" w:cs="Arial"/>
        </w:rPr>
        <w:tab/>
        <w:t>(3,927,732)</w:t>
      </w:r>
      <w:r w:rsidRPr="009A0DA6">
        <w:rPr>
          <w:rFonts w:ascii="Cambria" w:hAnsi="Cambria" w:cs="Arial"/>
        </w:rPr>
        <w:tab/>
        <w:t>(4,224,344)</w:t>
      </w:r>
      <w:r w:rsidRPr="009A0DA6">
        <w:rPr>
          <w:rFonts w:ascii="Cambria" w:hAnsi="Cambria" w:cs="Arial"/>
        </w:rPr>
        <w:tab/>
        <w:t>(4,163,668)</w:t>
      </w:r>
    </w:p>
    <w:p w14:paraId="61FAE1EE" w14:textId="77777777" w:rsidR="0054360D" w:rsidRPr="009A0DA6" w:rsidRDefault="0054360D" w:rsidP="0054360D">
      <w:pPr>
        <w:tabs>
          <w:tab w:val="center" w:pos="4536"/>
          <w:tab w:val="right" w:pos="5954"/>
          <w:tab w:val="right" w:pos="7371"/>
          <w:tab w:val="right" w:pos="8789"/>
        </w:tabs>
        <w:spacing w:before="120" w:after="120" w:line="240" w:lineRule="auto"/>
        <w:contextualSpacing/>
        <w:rPr>
          <w:rFonts w:ascii="Cambria" w:hAnsi="Cambria" w:cs="Arial"/>
        </w:rPr>
      </w:pPr>
      <w:r w:rsidRPr="009A0DA6">
        <w:rPr>
          <w:rFonts w:ascii="Cambria" w:hAnsi="Cambria" w:cs="Arial"/>
        </w:rPr>
        <w:t>GST received/ (Paid)</w:t>
      </w:r>
      <w:r w:rsidRPr="009A0DA6">
        <w:rPr>
          <w:rFonts w:ascii="Cambria" w:hAnsi="Cambria" w:cs="Arial"/>
        </w:rPr>
        <w:tab/>
      </w:r>
      <w:r w:rsidRPr="009A0DA6">
        <w:rPr>
          <w:rFonts w:ascii="Cambria" w:hAnsi="Cambria" w:cs="Arial"/>
        </w:rPr>
        <w:tab/>
        <w:t>8,460</w:t>
      </w:r>
      <w:r w:rsidRPr="009A0DA6">
        <w:rPr>
          <w:rFonts w:ascii="Cambria" w:hAnsi="Cambria" w:cs="Arial"/>
        </w:rPr>
        <w:tab/>
        <w:t>(6,361)</w:t>
      </w:r>
      <w:r w:rsidRPr="009A0DA6">
        <w:rPr>
          <w:rFonts w:ascii="Cambria" w:hAnsi="Cambria" w:cs="Arial"/>
        </w:rPr>
        <w:tab/>
        <w:t xml:space="preserve">0 </w:t>
      </w:r>
    </w:p>
    <w:p w14:paraId="70BA4EDC" w14:textId="77777777" w:rsidR="0054360D" w:rsidRPr="009A0DA6" w:rsidRDefault="0054360D" w:rsidP="0054360D">
      <w:pPr>
        <w:tabs>
          <w:tab w:val="left" w:pos="851"/>
          <w:tab w:val="center" w:pos="4536"/>
          <w:tab w:val="right" w:pos="5954"/>
          <w:tab w:val="right" w:pos="7371"/>
          <w:tab w:val="right" w:pos="8789"/>
        </w:tabs>
        <w:spacing w:before="120" w:after="120" w:line="240" w:lineRule="auto"/>
        <w:contextualSpacing/>
        <w:rPr>
          <w:rFonts w:ascii="Cambria" w:hAnsi="Cambria" w:cs="Arial"/>
          <w:b/>
        </w:rPr>
      </w:pPr>
      <w:r w:rsidRPr="009A0DA6">
        <w:rPr>
          <w:rFonts w:ascii="Cambria" w:hAnsi="Cambria" w:cs="Arial"/>
          <w:b/>
        </w:rPr>
        <w:t xml:space="preserve">Net cash (used in)/generated from </w:t>
      </w:r>
      <w:r w:rsidRPr="009A0DA6">
        <w:rPr>
          <w:rFonts w:ascii="Cambria" w:hAnsi="Cambria" w:cs="Arial"/>
          <w:b/>
        </w:rPr>
        <w:br/>
      </w:r>
      <w:r w:rsidRPr="009A0DA6">
        <w:rPr>
          <w:rFonts w:ascii="Cambria" w:hAnsi="Cambria" w:cs="Arial"/>
          <w:b/>
        </w:rPr>
        <w:tab/>
        <w:t>operating activities</w:t>
      </w:r>
      <w:r w:rsidRPr="009A0DA6">
        <w:rPr>
          <w:rFonts w:ascii="Cambria" w:hAnsi="Cambria" w:cs="Arial"/>
          <w:b/>
        </w:rPr>
        <w:tab/>
      </w:r>
      <w:r w:rsidRPr="009A0DA6">
        <w:rPr>
          <w:rFonts w:ascii="Cambria" w:hAnsi="Cambria" w:cs="Arial"/>
          <w:b/>
        </w:rPr>
        <w:tab/>
        <w:t>172,993</w:t>
      </w:r>
      <w:r w:rsidRPr="009A0DA6">
        <w:rPr>
          <w:rFonts w:ascii="Cambria" w:hAnsi="Cambria" w:cs="Arial"/>
          <w:b/>
        </w:rPr>
        <w:tab/>
        <w:t>445,165</w:t>
      </w:r>
      <w:r w:rsidRPr="009A0DA6">
        <w:rPr>
          <w:rFonts w:ascii="Cambria" w:hAnsi="Cambria" w:cs="Arial"/>
          <w:b/>
        </w:rPr>
        <w:tab/>
        <w:t>256,433</w:t>
      </w:r>
    </w:p>
    <w:p w14:paraId="3670413D" w14:textId="77777777" w:rsidR="0054360D" w:rsidRPr="009A0DA6" w:rsidRDefault="0054360D" w:rsidP="0054360D">
      <w:pPr>
        <w:tabs>
          <w:tab w:val="center" w:pos="4536"/>
          <w:tab w:val="right" w:pos="5954"/>
          <w:tab w:val="right" w:pos="7371"/>
          <w:tab w:val="right" w:pos="8789"/>
        </w:tabs>
        <w:spacing w:before="120" w:after="120" w:line="240" w:lineRule="auto"/>
        <w:contextualSpacing/>
        <w:rPr>
          <w:rFonts w:ascii="Cambria" w:hAnsi="Cambria"/>
          <w:b/>
        </w:rPr>
      </w:pPr>
      <w:r w:rsidRPr="009A0DA6">
        <w:rPr>
          <w:rFonts w:ascii="Cambria" w:hAnsi="Cambria" w:cs="Arial"/>
          <w:b/>
        </w:rPr>
        <w:t>CASHFLOWS FROM INVESTING ACTIVITIES</w:t>
      </w:r>
      <w:r w:rsidRPr="009A0DA6">
        <w:rPr>
          <w:rFonts w:ascii="Cambria" w:hAnsi="Cambria" w:cs="Arial"/>
          <w:b/>
        </w:rPr>
        <w:tab/>
      </w:r>
      <w:r w:rsidRPr="009A0DA6">
        <w:rPr>
          <w:rFonts w:ascii="Cambria" w:hAnsi="Cambria" w:cs="Arial"/>
          <w:b/>
        </w:rPr>
        <w:tab/>
      </w:r>
      <w:r w:rsidRPr="009A0DA6">
        <w:rPr>
          <w:rFonts w:ascii="Cambria" w:hAnsi="Cambria"/>
          <w:b/>
        </w:rPr>
        <w:tab/>
      </w:r>
      <w:r w:rsidRPr="009A0DA6">
        <w:rPr>
          <w:rFonts w:ascii="Cambria" w:hAnsi="Cambria"/>
          <w:b/>
        </w:rPr>
        <w:tab/>
      </w:r>
    </w:p>
    <w:p w14:paraId="0B83899F" w14:textId="77777777" w:rsidR="0054360D" w:rsidRPr="009A0DA6" w:rsidRDefault="0054360D" w:rsidP="0054360D">
      <w:pPr>
        <w:tabs>
          <w:tab w:val="center" w:pos="4536"/>
          <w:tab w:val="right" w:pos="5954"/>
          <w:tab w:val="right" w:pos="7371"/>
          <w:tab w:val="right" w:pos="8789"/>
        </w:tabs>
        <w:spacing w:before="120" w:after="120" w:line="240" w:lineRule="auto"/>
        <w:contextualSpacing/>
        <w:rPr>
          <w:rFonts w:ascii="Cambria" w:hAnsi="Cambria" w:cs="Arial"/>
        </w:rPr>
      </w:pPr>
      <w:r w:rsidRPr="009A0DA6">
        <w:rPr>
          <w:rFonts w:ascii="Cambria" w:hAnsi="Cambria" w:cs="Arial"/>
        </w:rPr>
        <w:t>Payments for Property Plant and Equipment</w:t>
      </w:r>
      <w:r w:rsidRPr="009A0DA6">
        <w:rPr>
          <w:rFonts w:ascii="Cambria" w:hAnsi="Cambria" w:cs="Arial"/>
        </w:rPr>
        <w:tab/>
      </w:r>
      <w:r w:rsidRPr="009A0DA6">
        <w:rPr>
          <w:rFonts w:ascii="Cambria" w:hAnsi="Cambria" w:cs="Arial"/>
        </w:rPr>
        <w:tab/>
        <w:t>(457,948)</w:t>
      </w:r>
      <w:r w:rsidRPr="009A0DA6">
        <w:rPr>
          <w:rFonts w:ascii="Cambria" w:hAnsi="Cambria" w:cs="Arial"/>
        </w:rPr>
        <w:tab/>
        <w:t>(235,368)</w:t>
      </w:r>
      <w:r w:rsidRPr="009A0DA6">
        <w:rPr>
          <w:rFonts w:ascii="Cambria" w:hAnsi="Cambria" w:cs="Arial"/>
        </w:rPr>
        <w:tab/>
        <w:t>(317,752)</w:t>
      </w:r>
    </w:p>
    <w:p w14:paraId="50433EAD" w14:textId="77777777" w:rsidR="0054360D" w:rsidRPr="009A0DA6" w:rsidRDefault="0054360D" w:rsidP="0054360D">
      <w:pPr>
        <w:tabs>
          <w:tab w:val="center" w:pos="4536"/>
          <w:tab w:val="right" w:pos="5954"/>
          <w:tab w:val="right" w:pos="7371"/>
          <w:tab w:val="right" w:pos="8789"/>
        </w:tabs>
        <w:spacing w:before="120" w:after="120" w:line="240" w:lineRule="auto"/>
        <w:contextualSpacing/>
        <w:rPr>
          <w:rFonts w:ascii="Cambria" w:hAnsi="Cambria" w:cs="Arial"/>
        </w:rPr>
      </w:pPr>
      <w:r w:rsidRPr="009A0DA6">
        <w:rPr>
          <w:rFonts w:ascii="Cambria" w:hAnsi="Cambria" w:cs="Arial"/>
        </w:rPr>
        <w:t>Proceeds from Disposal of Property Plant &amp; Equipment</w:t>
      </w:r>
      <w:r w:rsidRPr="009A0DA6">
        <w:rPr>
          <w:rFonts w:ascii="Cambria" w:hAnsi="Cambria" w:cs="Arial"/>
        </w:rPr>
        <w:tab/>
        <w:t>19,238</w:t>
      </w:r>
      <w:r w:rsidRPr="009A0DA6">
        <w:rPr>
          <w:rFonts w:ascii="Cambria" w:hAnsi="Cambria" w:cs="Arial"/>
        </w:rPr>
        <w:tab/>
        <w:t>765,204</w:t>
      </w:r>
      <w:r w:rsidRPr="009A0DA6">
        <w:rPr>
          <w:rFonts w:ascii="Cambria" w:hAnsi="Cambria" w:cs="Arial"/>
        </w:rPr>
        <w:tab/>
        <w:t>66,403</w:t>
      </w:r>
    </w:p>
    <w:p w14:paraId="3EC8493E" w14:textId="77777777" w:rsidR="0054360D" w:rsidRPr="009A0DA6" w:rsidRDefault="0054360D" w:rsidP="0054360D">
      <w:pPr>
        <w:tabs>
          <w:tab w:val="center" w:pos="4536"/>
          <w:tab w:val="right" w:pos="5954"/>
          <w:tab w:val="right" w:pos="7371"/>
          <w:tab w:val="right" w:pos="8789"/>
        </w:tabs>
        <w:spacing w:before="120" w:after="120" w:line="240" w:lineRule="auto"/>
        <w:contextualSpacing/>
        <w:rPr>
          <w:rFonts w:ascii="Cambria" w:hAnsi="Cambria" w:cs="Arial"/>
        </w:rPr>
      </w:pPr>
      <w:r w:rsidRPr="009A0DA6">
        <w:rPr>
          <w:rFonts w:ascii="Cambria" w:hAnsi="Cambria" w:cs="Arial"/>
        </w:rPr>
        <w:t>Net cash investment in FRM Services</w:t>
      </w:r>
      <w:r w:rsidRPr="009A0DA6">
        <w:rPr>
          <w:rFonts w:ascii="Cambria" w:hAnsi="Cambria" w:cs="Arial"/>
        </w:rPr>
        <w:tab/>
      </w:r>
      <w:r w:rsidRPr="009A0DA6">
        <w:rPr>
          <w:rFonts w:ascii="Cambria" w:hAnsi="Cambria" w:cs="Arial"/>
        </w:rPr>
        <w:tab/>
        <w:t>(62,973)</w:t>
      </w:r>
      <w:r w:rsidRPr="009A0DA6">
        <w:rPr>
          <w:rFonts w:ascii="Cambria" w:hAnsi="Cambria" w:cs="Arial"/>
        </w:rPr>
        <w:tab/>
        <w:t>(86,213)</w:t>
      </w:r>
      <w:r w:rsidRPr="009A0DA6">
        <w:rPr>
          <w:rFonts w:ascii="Cambria" w:hAnsi="Cambria" w:cs="Arial"/>
        </w:rPr>
        <w:tab/>
        <w:t>(3,882)</w:t>
      </w:r>
    </w:p>
    <w:p w14:paraId="24AE938F" w14:textId="77777777" w:rsidR="0054360D" w:rsidRPr="009A0DA6" w:rsidRDefault="0054360D" w:rsidP="0054360D">
      <w:pPr>
        <w:tabs>
          <w:tab w:val="left" w:pos="851"/>
          <w:tab w:val="center" w:pos="4536"/>
          <w:tab w:val="right" w:pos="5954"/>
          <w:tab w:val="right" w:pos="7371"/>
          <w:tab w:val="right" w:pos="8789"/>
        </w:tabs>
        <w:spacing w:before="120" w:after="120" w:line="240" w:lineRule="auto"/>
        <w:contextualSpacing/>
        <w:rPr>
          <w:rFonts w:ascii="Cambria" w:hAnsi="Cambria" w:cs="Arial"/>
          <w:b/>
        </w:rPr>
      </w:pPr>
      <w:r w:rsidRPr="009A0DA6">
        <w:rPr>
          <w:rFonts w:ascii="Cambria" w:hAnsi="Cambria" w:cs="Arial"/>
          <w:b/>
        </w:rPr>
        <w:t xml:space="preserve">Net cash (used in)/generated from </w:t>
      </w:r>
      <w:r w:rsidRPr="009A0DA6">
        <w:rPr>
          <w:rFonts w:ascii="Cambria" w:hAnsi="Cambria" w:cs="Arial"/>
          <w:b/>
        </w:rPr>
        <w:br/>
      </w:r>
      <w:r w:rsidRPr="009A0DA6">
        <w:rPr>
          <w:rFonts w:ascii="Cambria" w:hAnsi="Cambria" w:cs="Arial"/>
          <w:b/>
        </w:rPr>
        <w:tab/>
        <w:t>investing activities</w:t>
      </w:r>
      <w:r w:rsidRPr="009A0DA6">
        <w:rPr>
          <w:rFonts w:ascii="Cambria" w:hAnsi="Cambria" w:cs="Arial"/>
          <w:b/>
        </w:rPr>
        <w:tab/>
      </w:r>
      <w:r w:rsidRPr="009A0DA6">
        <w:rPr>
          <w:rFonts w:ascii="Cambria" w:hAnsi="Cambria" w:cs="Arial"/>
          <w:b/>
        </w:rPr>
        <w:tab/>
        <w:t>(501,683)</w:t>
      </w:r>
      <w:r w:rsidRPr="009A0DA6">
        <w:rPr>
          <w:rFonts w:ascii="Cambria" w:hAnsi="Cambria" w:cs="Arial"/>
          <w:b/>
        </w:rPr>
        <w:tab/>
        <w:t>443,623</w:t>
      </w:r>
      <w:r w:rsidRPr="009A0DA6">
        <w:rPr>
          <w:rFonts w:ascii="Cambria" w:hAnsi="Cambria" w:cs="Arial"/>
          <w:b/>
        </w:rPr>
        <w:tab/>
        <w:t>(255,231)</w:t>
      </w:r>
    </w:p>
    <w:p w14:paraId="585FAC17" w14:textId="77777777" w:rsidR="0054360D" w:rsidRPr="009A0DA6" w:rsidRDefault="0054360D" w:rsidP="0054360D">
      <w:pPr>
        <w:tabs>
          <w:tab w:val="center" w:pos="4536"/>
          <w:tab w:val="right" w:pos="5954"/>
          <w:tab w:val="right" w:pos="7371"/>
          <w:tab w:val="right" w:pos="8789"/>
        </w:tabs>
        <w:spacing w:before="120" w:after="120" w:line="240" w:lineRule="auto"/>
        <w:contextualSpacing/>
        <w:rPr>
          <w:rFonts w:ascii="Cambria" w:hAnsi="Cambria"/>
          <w:b/>
        </w:rPr>
      </w:pPr>
      <w:r w:rsidRPr="009A0DA6">
        <w:rPr>
          <w:rFonts w:ascii="Cambria" w:hAnsi="Cambria" w:cs="Arial"/>
          <w:b/>
        </w:rPr>
        <w:t>CASH FLOWS FROM FINANCING ACTIVITIES</w:t>
      </w:r>
      <w:r w:rsidRPr="009A0DA6">
        <w:rPr>
          <w:rFonts w:ascii="Cambria" w:hAnsi="Cambria" w:cs="Arial"/>
          <w:b/>
        </w:rPr>
        <w:tab/>
      </w:r>
      <w:r w:rsidRPr="009A0DA6">
        <w:rPr>
          <w:rFonts w:ascii="Cambria" w:hAnsi="Cambria" w:cs="Arial"/>
          <w:b/>
        </w:rPr>
        <w:tab/>
      </w:r>
      <w:r w:rsidRPr="009A0DA6">
        <w:rPr>
          <w:rFonts w:ascii="Cambria" w:hAnsi="Cambria"/>
          <w:b/>
        </w:rPr>
        <w:tab/>
      </w:r>
      <w:r w:rsidRPr="009A0DA6">
        <w:rPr>
          <w:rFonts w:ascii="Cambria" w:hAnsi="Cambria"/>
          <w:b/>
        </w:rPr>
        <w:tab/>
      </w:r>
    </w:p>
    <w:p w14:paraId="6959D1B5" w14:textId="77777777" w:rsidR="0054360D" w:rsidRPr="009A0DA6" w:rsidRDefault="0054360D" w:rsidP="0054360D">
      <w:pPr>
        <w:tabs>
          <w:tab w:val="center" w:pos="4536"/>
          <w:tab w:val="right" w:pos="5954"/>
          <w:tab w:val="right" w:pos="7371"/>
          <w:tab w:val="right" w:pos="8789"/>
        </w:tabs>
        <w:spacing w:before="120" w:after="120" w:line="240" w:lineRule="auto"/>
        <w:contextualSpacing/>
        <w:rPr>
          <w:rFonts w:ascii="Cambria" w:hAnsi="Cambria" w:cs="Arial"/>
        </w:rPr>
      </w:pPr>
      <w:r w:rsidRPr="009A0DA6">
        <w:rPr>
          <w:rFonts w:ascii="Cambria" w:hAnsi="Cambria" w:cs="Arial"/>
        </w:rPr>
        <w:t>Loan Repayments received / (Amounts advanced)</w:t>
      </w:r>
      <w:r w:rsidRPr="009A0DA6">
        <w:rPr>
          <w:rFonts w:ascii="Cambria" w:hAnsi="Cambria" w:cs="Arial"/>
        </w:rPr>
        <w:tab/>
        <w:t>(150,000)</w:t>
      </w:r>
      <w:r w:rsidRPr="009A0DA6">
        <w:rPr>
          <w:rFonts w:ascii="Cambria" w:hAnsi="Cambria" w:cs="Arial"/>
        </w:rPr>
        <w:tab/>
        <w:t>60,000</w:t>
      </w:r>
      <w:r w:rsidRPr="009A0DA6">
        <w:rPr>
          <w:rFonts w:ascii="Cambria" w:hAnsi="Cambria" w:cs="Arial"/>
        </w:rPr>
        <w:tab/>
        <w:t>0</w:t>
      </w:r>
    </w:p>
    <w:p w14:paraId="35CF076A" w14:textId="77777777" w:rsidR="0054360D" w:rsidRPr="009A0DA6" w:rsidRDefault="0054360D" w:rsidP="0054360D">
      <w:pPr>
        <w:tabs>
          <w:tab w:val="left" w:pos="851"/>
          <w:tab w:val="center" w:pos="4536"/>
          <w:tab w:val="right" w:pos="5954"/>
          <w:tab w:val="right" w:pos="7371"/>
          <w:tab w:val="right" w:pos="8789"/>
        </w:tabs>
        <w:spacing w:before="120" w:after="120" w:line="240" w:lineRule="auto"/>
        <w:contextualSpacing/>
        <w:rPr>
          <w:rFonts w:ascii="Cambria" w:hAnsi="Cambria" w:cs="Arial"/>
          <w:b/>
        </w:rPr>
      </w:pPr>
      <w:r w:rsidRPr="009A0DA6">
        <w:rPr>
          <w:rFonts w:ascii="Cambria" w:hAnsi="Cambria" w:cs="Arial"/>
          <w:b/>
        </w:rPr>
        <w:lastRenderedPageBreak/>
        <w:t xml:space="preserve">Net cash (used in)/generated from </w:t>
      </w:r>
      <w:r w:rsidRPr="009A0DA6">
        <w:rPr>
          <w:rFonts w:ascii="Cambria" w:hAnsi="Cambria" w:cs="Arial"/>
          <w:b/>
        </w:rPr>
        <w:br/>
      </w:r>
      <w:r w:rsidRPr="009A0DA6">
        <w:rPr>
          <w:rFonts w:ascii="Cambria" w:hAnsi="Cambria" w:cs="Arial"/>
          <w:b/>
        </w:rPr>
        <w:tab/>
        <w:t>financing activities</w:t>
      </w:r>
      <w:r w:rsidRPr="009A0DA6">
        <w:rPr>
          <w:rFonts w:ascii="Cambria" w:hAnsi="Cambria" w:cs="Arial"/>
          <w:b/>
        </w:rPr>
        <w:tab/>
      </w:r>
      <w:r w:rsidRPr="009A0DA6">
        <w:rPr>
          <w:rFonts w:ascii="Cambria" w:hAnsi="Cambria" w:cs="Arial"/>
          <w:b/>
        </w:rPr>
        <w:tab/>
        <w:t>(150,000)</w:t>
      </w:r>
      <w:r w:rsidRPr="009A0DA6">
        <w:rPr>
          <w:rFonts w:ascii="Cambria" w:hAnsi="Cambria" w:cs="Arial"/>
          <w:b/>
        </w:rPr>
        <w:tab/>
        <w:t>60,000</w:t>
      </w:r>
      <w:r w:rsidRPr="009A0DA6">
        <w:rPr>
          <w:rFonts w:ascii="Cambria" w:hAnsi="Cambria" w:cs="Arial"/>
          <w:b/>
        </w:rPr>
        <w:tab/>
        <w:t>0</w:t>
      </w:r>
    </w:p>
    <w:p w14:paraId="625C2E3E" w14:textId="77777777" w:rsidR="0054360D" w:rsidRPr="009A0DA6" w:rsidRDefault="0054360D" w:rsidP="0054360D">
      <w:pPr>
        <w:tabs>
          <w:tab w:val="center" w:pos="4536"/>
          <w:tab w:val="right" w:pos="5954"/>
          <w:tab w:val="right" w:pos="7371"/>
          <w:tab w:val="right" w:pos="8789"/>
        </w:tabs>
        <w:spacing w:before="120" w:after="120" w:line="240" w:lineRule="auto"/>
        <w:contextualSpacing/>
        <w:rPr>
          <w:rFonts w:ascii="Cambria" w:hAnsi="Cambria" w:cs="Arial"/>
          <w:b/>
        </w:rPr>
      </w:pPr>
      <w:r w:rsidRPr="009A0DA6">
        <w:rPr>
          <w:rFonts w:ascii="Cambria" w:hAnsi="Cambria" w:cs="Arial"/>
          <w:b/>
        </w:rPr>
        <w:t>Net increase / (decrease) in cash held</w:t>
      </w:r>
      <w:r w:rsidRPr="009A0DA6">
        <w:rPr>
          <w:rFonts w:ascii="Cambria" w:hAnsi="Cambria" w:cs="Arial"/>
          <w:b/>
        </w:rPr>
        <w:tab/>
      </w:r>
      <w:r w:rsidRPr="009A0DA6">
        <w:rPr>
          <w:rFonts w:ascii="Cambria" w:hAnsi="Cambria" w:cs="Arial"/>
          <w:b/>
        </w:rPr>
        <w:tab/>
        <w:t>(478,690)</w:t>
      </w:r>
      <w:r w:rsidRPr="009A0DA6">
        <w:rPr>
          <w:rFonts w:ascii="Cambria" w:hAnsi="Cambria" w:cs="Arial"/>
          <w:b/>
        </w:rPr>
        <w:tab/>
        <w:t>948,788</w:t>
      </w:r>
      <w:r w:rsidRPr="009A0DA6">
        <w:rPr>
          <w:rFonts w:ascii="Cambria" w:hAnsi="Cambria" w:cs="Arial"/>
          <w:b/>
        </w:rPr>
        <w:tab/>
        <w:t>1,202</w:t>
      </w:r>
    </w:p>
    <w:p w14:paraId="0566FE55" w14:textId="77777777" w:rsidR="0054360D" w:rsidRPr="009A0DA6" w:rsidRDefault="0054360D" w:rsidP="0054360D">
      <w:pPr>
        <w:tabs>
          <w:tab w:val="center" w:pos="4536"/>
          <w:tab w:val="right" w:pos="5954"/>
          <w:tab w:val="right" w:pos="7371"/>
          <w:tab w:val="right" w:pos="8789"/>
        </w:tabs>
        <w:spacing w:before="120" w:after="120" w:line="240" w:lineRule="auto"/>
        <w:contextualSpacing/>
        <w:rPr>
          <w:rFonts w:ascii="Cambria" w:hAnsi="Cambria" w:cs="Arial"/>
        </w:rPr>
      </w:pPr>
      <w:r w:rsidRPr="009A0DA6">
        <w:rPr>
          <w:rFonts w:ascii="Cambria" w:hAnsi="Cambria" w:cs="Arial"/>
        </w:rPr>
        <w:t>Cash on hand at the beginning of the financial year</w:t>
      </w:r>
      <w:r w:rsidRPr="009A0DA6">
        <w:rPr>
          <w:rFonts w:ascii="Cambria" w:hAnsi="Cambria" w:cs="Arial"/>
        </w:rPr>
        <w:tab/>
        <w:t>1,181,075</w:t>
      </w:r>
      <w:r w:rsidRPr="009A0DA6">
        <w:rPr>
          <w:rFonts w:ascii="Cambria" w:hAnsi="Cambria" w:cs="Arial"/>
        </w:rPr>
        <w:tab/>
        <w:t>232,287</w:t>
      </w:r>
      <w:r w:rsidRPr="009A0DA6">
        <w:rPr>
          <w:rFonts w:ascii="Cambria" w:hAnsi="Cambria" w:cs="Arial"/>
        </w:rPr>
        <w:tab/>
        <w:t>231,085</w:t>
      </w:r>
    </w:p>
    <w:p w14:paraId="5B37B561" w14:textId="77777777" w:rsidR="0054360D" w:rsidRPr="009A0DA6" w:rsidRDefault="0054360D" w:rsidP="0054360D">
      <w:pPr>
        <w:tabs>
          <w:tab w:val="center" w:pos="4536"/>
          <w:tab w:val="right" w:pos="5954"/>
          <w:tab w:val="right" w:pos="7371"/>
          <w:tab w:val="right" w:pos="8789"/>
        </w:tabs>
        <w:spacing w:before="120" w:after="120" w:line="240" w:lineRule="auto"/>
        <w:contextualSpacing/>
        <w:rPr>
          <w:rFonts w:ascii="Cambria" w:hAnsi="Cambria" w:cs="Arial"/>
          <w:b/>
        </w:rPr>
      </w:pPr>
      <w:r w:rsidRPr="009A0DA6">
        <w:rPr>
          <w:rFonts w:ascii="Cambria" w:hAnsi="Cambria" w:cs="Arial"/>
          <w:b/>
        </w:rPr>
        <w:t>Cash on hand at the end of the financial year</w:t>
      </w:r>
      <w:r w:rsidRPr="009A0DA6">
        <w:rPr>
          <w:rFonts w:ascii="Cambria" w:hAnsi="Cambria" w:cs="Arial"/>
          <w:b/>
        </w:rPr>
        <w:tab/>
      </w:r>
      <w:r w:rsidRPr="009A0DA6">
        <w:rPr>
          <w:rFonts w:ascii="Cambria" w:hAnsi="Cambria" w:cs="Arial"/>
          <w:b/>
        </w:rPr>
        <w:tab/>
        <w:t>$702,385</w:t>
      </w:r>
      <w:r w:rsidRPr="009A0DA6">
        <w:rPr>
          <w:rFonts w:ascii="Cambria" w:hAnsi="Cambria" w:cs="Arial"/>
          <w:b/>
        </w:rPr>
        <w:tab/>
        <w:t>$1,181,075</w:t>
      </w:r>
      <w:r w:rsidRPr="009A0DA6">
        <w:rPr>
          <w:rFonts w:ascii="Cambria" w:hAnsi="Cambria" w:cs="Arial"/>
          <w:b/>
        </w:rPr>
        <w:tab/>
        <w:t>$232,287</w:t>
      </w:r>
    </w:p>
    <w:p w14:paraId="2E783921" w14:textId="081F08A7" w:rsidR="0054360D" w:rsidRDefault="0054360D" w:rsidP="0054360D">
      <w:pPr>
        <w:tabs>
          <w:tab w:val="right" w:pos="5954"/>
          <w:tab w:val="right" w:pos="7371"/>
          <w:tab w:val="right" w:pos="8789"/>
        </w:tabs>
        <w:spacing w:before="120" w:after="120" w:line="240" w:lineRule="auto"/>
        <w:contextualSpacing/>
        <w:rPr>
          <w:rFonts w:ascii="Cambria" w:eastAsia="Times New Roman" w:hAnsi="Cambria" w:cs="Arial"/>
          <w:b/>
        </w:rPr>
      </w:pPr>
    </w:p>
    <w:p w14:paraId="299B9C4D" w14:textId="51C80133" w:rsidR="005F21CD" w:rsidRDefault="005F21CD" w:rsidP="0054360D">
      <w:pPr>
        <w:tabs>
          <w:tab w:val="right" w:pos="5954"/>
          <w:tab w:val="right" w:pos="7371"/>
          <w:tab w:val="right" w:pos="8789"/>
        </w:tabs>
        <w:spacing w:before="120" w:after="120" w:line="240" w:lineRule="auto"/>
        <w:contextualSpacing/>
        <w:rPr>
          <w:rFonts w:ascii="Cambria" w:eastAsia="Times New Roman" w:hAnsi="Cambria" w:cs="Arial"/>
          <w:b/>
        </w:rPr>
      </w:pPr>
    </w:p>
    <w:p w14:paraId="54D5C9C9" w14:textId="1C22DE82" w:rsidR="00975F5B" w:rsidRDefault="00975F5B">
      <w:pPr>
        <w:rPr>
          <w:rFonts w:ascii="Cambria" w:eastAsiaTheme="majorEastAsia" w:hAnsi="Cambria" w:cstheme="majorBidi"/>
          <w:b/>
          <w:caps/>
          <w:sz w:val="28"/>
          <w:szCs w:val="24"/>
        </w:rPr>
      </w:pPr>
    </w:p>
    <w:p w14:paraId="35AED3DF" w14:textId="3B6CB7D9" w:rsidR="00CE0DB0" w:rsidRPr="0054360D" w:rsidRDefault="00CE0DB0" w:rsidP="00964A90">
      <w:pPr>
        <w:pStyle w:val="Heading3"/>
      </w:pPr>
      <w:r w:rsidRPr="0054360D">
        <w:t>agenda 13.1</w:t>
      </w:r>
    </w:p>
    <w:p w14:paraId="0F02EC27" w14:textId="77777777" w:rsidR="00CE0DB0" w:rsidRPr="0054360D" w:rsidRDefault="00CE0DB0" w:rsidP="00CE0DB0">
      <w:pPr>
        <w:pStyle w:val="Heading2"/>
      </w:pPr>
      <w:bookmarkStart w:id="509" w:name="_Toc521954749"/>
      <w:r w:rsidRPr="0054360D">
        <w:t>Australian Lutheran World Service</w:t>
      </w:r>
      <w:bookmarkEnd w:id="509"/>
    </w:p>
    <w:p w14:paraId="7E2A5B59" w14:textId="77777777" w:rsidR="00CE0DB0" w:rsidRPr="0054360D" w:rsidRDefault="00CE0DB0" w:rsidP="00CE0DB0">
      <w:pPr>
        <w:pStyle w:val="NoSpacing"/>
      </w:pPr>
    </w:p>
    <w:p w14:paraId="6D6F5C8E" w14:textId="77777777" w:rsidR="00B4053A" w:rsidRPr="0054360D" w:rsidRDefault="00B4053A" w:rsidP="00B4053A">
      <w:pPr>
        <w:pStyle w:val="Heading3"/>
      </w:pPr>
      <w:r w:rsidRPr="0054360D">
        <w:t>MEMBERS</w:t>
      </w:r>
    </w:p>
    <w:p w14:paraId="643E9E35" w14:textId="77777777" w:rsidR="00B4053A" w:rsidRPr="0054360D" w:rsidRDefault="00B4053A" w:rsidP="00B4053A">
      <w:pPr>
        <w:spacing w:before="120" w:after="120" w:line="240" w:lineRule="auto"/>
        <w:contextualSpacing/>
        <w:rPr>
          <w:rFonts w:ascii="Cambria" w:hAnsi="Cambria" w:cstheme="minorHAnsi"/>
        </w:rPr>
      </w:pPr>
      <w:r w:rsidRPr="0054360D">
        <w:rPr>
          <w:rFonts w:ascii="Cambria" w:hAnsi="Cambria" w:cstheme="minorHAnsi"/>
        </w:rPr>
        <w:t>Morgan Brooks, Peter Hage (Chairman), Judith Murray, Peter Renner, Ian Rentsch</w:t>
      </w:r>
    </w:p>
    <w:p w14:paraId="47FF2ED1" w14:textId="77777777" w:rsidR="00B4053A" w:rsidRPr="0054360D" w:rsidRDefault="00B4053A" w:rsidP="00B4053A">
      <w:pPr>
        <w:spacing w:before="120" w:after="120" w:line="240" w:lineRule="auto"/>
        <w:contextualSpacing/>
        <w:rPr>
          <w:rFonts w:ascii="Cambria" w:hAnsi="Cambria" w:cstheme="minorHAnsi"/>
          <w:b/>
          <w:sz w:val="12"/>
        </w:rPr>
      </w:pPr>
    </w:p>
    <w:p w14:paraId="51484360" w14:textId="707B5F2D" w:rsidR="00B4053A" w:rsidRPr="0054360D" w:rsidRDefault="00B4053A" w:rsidP="00B4053A">
      <w:pPr>
        <w:pStyle w:val="Heading3"/>
        <w:rPr>
          <w:i/>
        </w:rPr>
      </w:pPr>
      <w:r w:rsidRPr="0054360D">
        <w:t>Background</w:t>
      </w:r>
    </w:p>
    <w:p w14:paraId="4B864156" w14:textId="0BC72641" w:rsidR="00B4053A" w:rsidRPr="0054360D" w:rsidRDefault="00B4053A" w:rsidP="00B4053A">
      <w:pPr>
        <w:spacing w:before="120" w:after="120" w:line="240" w:lineRule="auto"/>
        <w:contextualSpacing/>
        <w:rPr>
          <w:rFonts w:ascii="Cambria" w:hAnsi="Cambria" w:cstheme="minorHAnsi"/>
        </w:rPr>
      </w:pPr>
      <w:r w:rsidRPr="0054360D">
        <w:rPr>
          <w:rFonts w:ascii="Cambria" w:hAnsi="Cambria" w:cstheme="minorHAnsi"/>
        </w:rPr>
        <w:t xml:space="preserve">Australian Lutheran World Service (ALWS) is the overseas aid &amp; resettlement agency of the Lutheran Church of Australia (LCA). It is mandated by the church to support humanitarian relief and development work to those who suffer from poverty and injustice overseas. It is also tasked with the responsibility of communicating this need within the </w:t>
      </w:r>
      <w:r w:rsidR="001D5DFD" w:rsidRPr="0054360D">
        <w:rPr>
          <w:rFonts w:ascii="Cambria" w:hAnsi="Cambria" w:cstheme="minorHAnsi"/>
        </w:rPr>
        <w:t xml:space="preserve">Australian Lutheran community. </w:t>
      </w:r>
    </w:p>
    <w:p w14:paraId="1906CD66" w14:textId="518EFE9E" w:rsidR="00B4053A" w:rsidRPr="0054360D" w:rsidRDefault="00B4053A" w:rsidP="00B4053A">
      <w:pPr>
        <w:pStyle w:val="Heading3"/>
      </w:pPr>
      <w:r w:rsidRPr="0054360D">
        <w:t>Achievement against Plan</w:t>
      </w:r>
    </w:p>
    <w:p w14:paraId="35027947" w14:textId="77777777" w:rsidR="00B4053A" w:rsidRPr="009A0DA6" w:rsidRDefault="00B4053A" w:rsidP="00B4053A">
      <w:pPr>
        <w:spacing w:before="120" w:after="120" w:line="240" w:lineRule="auto"/>
        <w:contextualSpacing/>
        <w:rPr>
          <w:rFonts w:ascii="Cambria" w:hAnsi="Cambria" w:cstheme="minorHAnsi"/>
        </w:rPr>
      </w:pPr>
      <w:r w:rsidRPr="0054360D">
        <w:rPr>
          <w:rFonts w:ascii="Cambria" w:hAnsi="Cambria" w:cstheme="minorHAnsi"/>
          <w:b/>
        </w:rPr>
        <w:t>Goal 1:</w:t>
      </w:r>
      <w:r w:rsidRPr="0054360D">
        <w:rPr>
          <w:rFonts w:ascii="Cambria" w:hAnsi="Cambria" w:cstheme="minorHAnsi"/>
        </w:rPr>
        <w:t xml:space="preserve"> ALWS will </w:t>
      </w:r>
      <w:r w:rsidRPr="0054360D">
        <w:rPr>
          <w:rFonts w:ascii="Cambria" w:hAnsi="Cambria" w:cstheme="minorHAnsi"/>
          <w:b/>
        </w:rPr>
        <w:t>help</w:t>
      </w:r>
      <w:r w:rsidRPr="0054360D">
        <w:rPr>
          <w:rFonts w:ascii="Cambria" w:hAnsi="Cambria" w:cstheme="minorHAnsi"/>
        </w:rPr>
        <w:t xml:space="preserve"> through partners to ensure people live in more just and sustainable communities through long-term development programs, and that people affected by emergencies receive life-sustaining care.</w:t>
      </w:r>
    </w:p>
    <w:p w14:paraId="3A7FCA0F" w14:textId="77777777" w:rsidR="00B4053A" w:rsidRPr="009A0DA6" w:rsidRDefault="00B4053A" w:rsidP="00B4053A">
      <w:pPr>
        <w:spacing w:before="120" w:after="120" w:line="240" w:lineRule="auto"/>
        <w:contextualSpacing/>
        <w:rPr>
          <w:rFonts w:ascii="Cambria" w:hAnsi="Cambria" w:cstheme="minorHAnsi"/>
          <w:b/>
          <w:i/>
        </w:rPr>
      </w:pPr>
    </w:p>
    <w:p w14:paraId="3AF36D9D" w14:textId="096D2ACD" w:rsidR="00B4053A" w:rsidRPr="009A0DA6" w:rsidRDefault="001D5DFD" w:rsidP="00B4053A">
      <w:pPr>
        <w:spacing w:after="0" w:line="240" w:lineRule="auto"/>
        <w:contextualSpacing/>
        <w:rPr>
          <w:rFonts w:ascii="Cambria" w:hAnsi="Cambria" w:cstheme="minorHAnsi"/>
          <w:i/>
        </w:rPr>
      </w:pPr>
      <w:r>
        <w:rPr>
          <w:rFonts w:ascii="Cambria" w:hAnsi="Cambria" w:cstheme="minorHAnsi"/>
          <w:i/>
        </w:rPr>
        <w:t>Planned O</w:t>
      </w:r>
      <w:r w:rsidR="00B4053A" w:rsidRPr="009A0DA6">
        <w:rPr>
          <w:rFonts w:ascii="Cambria" w:hAnsi="Cambria" w:cstheme="minorHAnsi"/>
          <w:i/>
        </w:rPr>
        <w:t>utcomes:</w:t>
      </w:r>
    </w:p>
    <w:p w14:paraId="27C0EB31" w14:textId="77777777" w:rsidR="00B4053A" w:rsidRPr="009A0DA6" w:rsidRDefault="00B4053A" w:rsidP="00F55252">
      <w:pPr>
        <w:pStyle w:val="ListParagraph"/>
        <w:numPr>
          <w:ilvl w:val="0"/>
          <w:numId w:val="264"/>
        </w:numPr>
        <w:spacing w:after="0" w:line="240" w:lineRule="auto"/>
        <w:ind w:left="567" w:hanging="567"/>
        <w:rPr>
          <w:rFonts w:ascii="Cambria" w:hAnsi="Cambria" w:cstheme="minorHAnsi"/>
        </w:rPr>
      </w:pPr>
      <w:r w:rsidRPr="009A0DA6">
        <w:rPr>
          <w:rFonts w:ascii="Cambria" w:hAnsi="Cambria" w:cstheme="minorHAnsi"/>
        </w:rPr>
        <w:t>Ensure partners receive financial and technical support to enable them to work towards this goal.</w:t>
      </w:r>
    </w:p>
    <w:p w14:paraId="2F0B7165" w14:textId="77777777" w:rsidR="00B4053A" w:rsidRPr="009A0DA6" w:rsidRDefault="00B4053A" w:rsidP="00F55252">
      <w:pPr>
        <w:pStyle w:val="ListParagraph"/>
        <w:numPr>
          <w:ilvl w:val="0"/>
          <w:numId w:val="264"/>
        </w:numPr>
        <w:spacing w:before="120" w:after="120" w:line="240" w:lineRule="auto"/>
        <w:ind w:left="567" w:hanging="567"/>
        <w:rPr>
          <w:rFonts w:ascii="Cambria" w:hAnsi="Cambria" w:cstheme="minorHAnsi"/>
        </w:rPr>
      </w:pPr>
      <w:r w:rsidRPr="009A0DA6">
        <w:rPr>
          <w:rFonts w:ascii="Cambria" w:hAnsi="Cambria" w:cstheme="minorHAnsi"/>
        </w:rPr>
        <w:t xml:space="preserve">Appraise and monitor programs throughout their implementation, as a basis to support partners to progressively fulfil policies and high standards </w:t>
      </w:r>
    </w:p>
    <w:p w14:paraId="650A0B2D" w14:textId="77777777" w:rsidR="00B4053A" w:rsidRPr="009A0DA6" w:rsidRDefault="00B4053A" w:rsidP="00F55252">
      <w:pPr>
        <w:pStyle w:val="ListParagraph"/>
        <w:numPr>
          <w:ilvl w:val="0"/>
          <w:numId w:val="264"/>
        </w:numPr>
        <w:spacing w:before="120" w:after="120" w:line="240" w:lineRule="auto"/>
        <w:ind w:left="567" w:hanging="567"/>
        <w:rPr>
          <w:rFonts w:ascii="Cambria" w:hAnsi="Cambria" w:cstheme="minorHAnsi"/>
        </w:rPr>
      </w:pPr>
      <w:r w:rsidRPr="009A0DA6">
        <w:rPr>
          <w:rFonts w:ascii="Cambria" w:hAnsi="Cambria" w:cstheme="minorHAnsi"/>
        </w:rPr>
        <w:t xml:space="preserve">Support partners to continually improve effectiveness through evaluations and other learning opportunities. </w:t>
      </w:r>
    </w:p>
    <w:p w14:paraId="4D5BB53C" w14:textId="77777777" w:rsidR="00B4053A" w:rsidRPr="009A0DA6" w:rsidRDefault="00B4053A" w:rsidP="00B4053A">
      <w:pPr>
        <w:spacing w:before="120" w:after="120" w:line="240" w:lineRule="auto"/>
        <w:contextualSpacing/>
        <w:rPr>
          <w:rFonts w:ascii="Cambria" w:hAnsi="Cambria" w:cstheme="minorHAnsi"/>
          <w:i/>
        </w:rPr>
      </w:pPr>
      <w:r w:rsidRPr="009A0DA6">
        <w:rPr>
          <w:rFonts w:ascii="Cambria" w:hAnsi="Cambria" w:cstheme="minorHAnsi"/>
          <w:i/>
        </w:rPr>
        <w:t>Achievement of Outcomes:</w:t>
      </w:r>
    </w:p>
    <w:p w14:paraId="52448A40" w14:textId="5BB12E1B" w:rsidR="00B4053A" w:rsidRPr="009A0DA6" w:rsidRDefault="00B4053A" w:rsidP="00B4053A">
      <w:pPr>
        <w:spacing w:before="120" w:after="120" w:line="240" w:lineRule="auto"/>
        <w:contextualSpacing/>
        <w:rPr>
          <w:rFonts w:ascii="Cambria" w:hAnsi="Cambria" w:cstheme="minorHAnsi"/>
          <w:b/>
          <w:i/>
        </w:rPr>
      </w:pPr>
      <w:r w:rsidRPr="009A0DA6">
        <w:rPr>
          <w:rFonts w:ascii="Cambria" w:hAnsi="Cambria" w:cstheme="minorHAnsi"/>
        </w:rPr>
        <w:t>All funding commitments to partners were met or exceeded. A new Appraisal Suite has been drafted which consists of revised previous appraisal documents plus new decision-making processes for considering support to new and existing projects, exiting projects, and increasing ALWS’ understanding of partners’ areas of strengths and gaps in capacity, including in areas of DFAT and ACFID priority. ANCP plans for 2015-16, 2016-17 and 2017-18 were successfully submitted and approved after close review to ensure high quality of partners’ work, especially in DFAT’s priority areas</w:t>
      </w:r>
      <w:r w:rsidR="0027799A" w:rsidRPr="009A0DA6">
        <w:rPr>
          <w:rFonts w:ascii="Cambria" w:hAnsi="Cambria" w:cstheme="minorHAnsi"/>
        </w:rPr>
        <w:t xml:space="preserve">. </w:t>
      </w:r>
      <w:r w:rsidRPr="009A0DA6">
        <w:rPr>
          <w:rFonts w:ascii="Cambria" w:hAnsi="Cambria" w:cstheme="minorHAnsi"/>
        </w:rPr>
        <w:t>Contingencies have been met to ensure ALWS has reserves should income drop, and partners suitably positioned to be prepared for these trends in the sector. An evaluation of the Church Partnership Program in PNG found that it is applying effective capacity-building strategies which are enabling the church to improve services delivered to communities</w:t>
      </w:r>
      <w:r w:rsidR="0027799A" w:rsidRPr="009A0DA6">
        <w:rPr>
          <w:rFonts w:ascii="Cambria" w:hAnsi="Cambria" w:cstheme="minorHAnsi"/>
        </w:rPr>
        <w:t xml:space="preserve">. </w:t>
      </w:r>
    </w:p>
    <w:p w14:paraId="74332B3C" w14:textId="77777777" w:rsidR="00B4053A" w:rsidRPr="009A0DA6" w:rsidRDefault="00B4053A" w:rsidP="00B4053A">
      <w:pPr>
        <w:spacing w:before="120" w:after="120" w:line="240" w:lineRule="auto"/>
        <w:contextualSpacing/>
        <w:rPr>
          <w:rFonts w:ascii="Cambria" w:hAnsi="Cambria" w:cstheme="minorHAnsi"/>
          <w:b/>
          <w:i/>
        </w:rPr>
      </w:pPr>
    </w:p>
    <w:p w14:paraId="2A788FB8" w14:textId="79816601" w:rsidR="00B4053A" w:rsidRPr="009A0DA6" w:rsidRDefault="00B4053A" w:rsidP="00B4053A">
      <w:pPr>
        <w:spacing w:before="120" w:after="120" w:line="240" w:lineRule="auto"/>
        <w:contextualSpacing/>
        <w:rPr>
          <w:rFonts w:ascii="Cambria" w:hAnsi="Cambria" w:cstheme="minorHAnsi"/>
        </w:rPr>
      </w:pPr>
      <w:r w:rsidRPr="009A0DA6">
        <w:rPr>
          <w:rFonts w:ascii="Cambria" w:hAnsi="Cambria" w:cstheme="minorHAnsi"/>
          <w:b/>
        </w:rPr>
        <w:t>Goal 2:</w:t>
      </w:r>
      <w:r w:rsidRPr="009A0DA6">
        <w:rPr>
          <w:rFonts w:ascii="Cambria" w:hAnsi="Cambria" w:cstheme="minorHAnsi"/>
        </w:rPr>
        <w:t xml:space="preserve"> ALWS will </w:t>
      </w:r>
      <w:r w:rsidRPr="009A0DA6">
        <w:rPr>
          <w:rFonts w:ascii="Cambria" w:hAnsi="Cambria" w:cstheme="minorHAnsi"/>
          <w:b/>
        </w:rPr>
        <w:t>inspire</w:t>
      </w:r>
      <w:r w:rsidRPr="009A0DA6">
        <w:rPr>
          <w:rFonts w:ascii="Cambria" w:hAnsi="Cambria" w:cstheme="minorHAnsi"/>
        </w:rPr>
        <w:t xml:space="preserve"> and enable the Lutheran family to reach out in love for justice.</w:t>
      </w:r>
    </w:p>
    <w:p w14:paraId="4BCCB037" w14:textId="77777777" w:rsidR="00B4053A" w:rsidRPr="009A0DA6" w:rsidRDefault="00B4053A" w:rsidP="00B4053A">
      <w:pPr>
        <w:spacing w:before="120" w:after="120" w:line="240" w:lineRule="auto"/>
        <w:contextualSpacing/>
        <w:rPr>
          <w:rFonts w:ascii="Cambria" w:hAnsi="Cambria" w:cstheme="minorHAnsi"/>
          <w:b/>
          <w:i/>
        </w:rPr>
      </w:pPr>
    </w:p>
    <w:p w14:paraId="6E2E50D8" w14:textId="12E0E010" w:rsidR="00B4053A" w:rsidRPr="009A0DA6" w:rsidRDefault="001D5DFD" w:rsidP="00B4053A">
      <w:pPr>
        <w:spacing w:after="0" w:line="240" w:lineRule="auto"/>
        <w:contextualSpacing/>
        <w:rPr>
          <w:rFonts w:ascii="Cambria" w:hAnsi="Cambria" w:cstheme="minorHAnsi"/>
          <w:i/>
        </w:rPr>
      </w:pPr>
      <w:r>
        <w:rPr>
          <w:rFonts w:ascii="Cambria" w:hAnsi="Cambria" w:cstheme="minorHAnsi"/>
          <w:i/>
        </w:rPr>
        <w:t>Planned O</w:t>
      </w:r>
      <w:r w:rsidR="00B4053A" w:rsidRPr="009A0DA6">
        <w:rPr>
          <w:rFonts w:ascii="Cambria" w:hAnsi="Cambria" w:cstheme="minorHAnsi"/>
          <w:i/>
        </w:rPr>
        <w:t xml:space="preserve">utcomes: </w:t>
      </w:r>
    </w:p>
    <w:p w14:paraId="01E067DB" w14:textId="77777777" w:rsidR="00B4053A" w:rsidRPr="009A0DA6" w:rsidRDefault="00B4053A" w:rsidP="00F55252">
      <w:pPr>
        <w:pStyle w:val="ListParagraph"/>
        <w:numPr>
          <w:ilvl w:val="0"/>
          <w:numId w:val="265"/>
        </w:numPr>
        <w:spacing w:after="0" w:line="240" w:lineRule="auto"/>
        <w:ind w:left="567" w:hanging="567"/>
        <w:rPr>
          <w:rFonts w:ascii="Cambria" w:hAnsi="Cambria" w:cstheme="minorHAnsi"/>
        </w:rPr>
      </w:pPr>
      <w:r w:rsidRPr="009A0DA6">
        <w:rPr>
          <w:rFonts w:ascii="Cambria" w:hAnsi="Cambria" w:cstheme="minorHAnsi"/>
        </w:rPr>
        <w:t>Inform and motivate the Lutheran family in Australia to take action and advocate on poverty and justice issues.</w:t>
      </w:r>
    </w:p>
    <w:p w14:paraId="18FCF9ED" w14:textId="77777777" w:rsidR="00B4053A" w:rsidRPr="009A0DA6" w:rsidRDefault="00B4053A" w:rsidP="00F55252">
      <w:pPr>
        <w:pStyle w:val="ListParagraph"/>
        <w:numPr>
          <w:ilvl w:val="0"/>
          <w:numId w:val="265"/>
        </w:numPr>
        <w:spacing w:before="120" w:after="120" w:line="240" w:lineRule="auto"/>
        <w:ind w:left="567" w:hanging="567"/>
        <w:rPr>
          <w:rFonts w:ascii="Cambria" w:hAnsi="Cambria" w:cstheme="minorHAnsi"/>
        </w:rPr>
      </w:pPr>
      <w:r w:rsidRPr="009A0DA6">
        <w:rPr>
          <w:rFonts w:ascii="Cambria" w:hAnsi="Cambria" w:cstheme="minorHAnsi"/>
        </w:rPr>
        <w:lastRenderedPageBreak/>
        <w:t xml:space="preserve">Offer the Lutheran family the opportunity to use their God-given resources, blessings and talents to help. </w:t>
      </w:r>
    </w:p>
    <w:p w14:paraId="3C0CC9E0" w14:textId="77777777" w:rsidR="00B4053A" w:rsidRPr="009A0DA6" w:rsidRDefault="00B4053A" w:rsidP="00F55252">
      <w:pPr>
        <w:pStyle w:val="ListParagraph"/>
        <w:numPr>
          <w:ilvl w:val="0"/>
          <w:numId w:val="265"/>
        </w:numPr>
        <w:spacing w:before="120" w:after="120" w:line="240" w:lineRule="auto"/>
        <w:ind w:left="567" w:hanging="567"/>
        <w:rPr>
          <w:rFonts w:ascii="Cambria" w:hAnsi="Cambria" w:cstheme="minorHAnsi"/>
        </w:rPr>
      </w:pPr>
      <w:r w:rsidRPr="009A0DA6">
        <w:rPr>
          <w:rFonts w:ascii="Cambria" w:hAnsi="Cambria" w:cstheme="minorHAnsi"/>
        </w:rPr>
        <w:t>Support the Lutheran family to feel and be more closely connected with the people they support through ALWS.</w:t>
      </w:r>
    </w:p>
    <w:p w14:paraId="51A95983" w14:textId="77777777" w:rsidR="00B4053A" w:rsidRPr="009A0DA6" w:rsidRDefault="00B4053A" w:rsidP="00F55252">
      <w:pPr>
        <w:pStyle w:val="ListParagraph"/>
        <w:numPr>
          <w:ilvl w:val="0"/>
          <w:numId w:val="265"/>
        </w:numPr>
        <w:spacing w:before="120" w:after="120" w:line="240" w:lineRule="auto"/>
        <w:ind w:left="567" w:hanging="567"/>
        <w:rPr>
          <w:rFonts w:ascii="Cambria" w:hAnsi="Cambria" w:cstheme="minorHAnsi"/>
        </w:rPr>
      </w:pPr>
      <w:r w:rsidRPr="009A0DA6">
        <w:rPr>
          <w:rFonts w:ascii="Cambria" w:hAnsi="Cambria" w:cstheme="minorHAnsi"/>
        </w:rPr>
        <w:t>Equip the Lutheran family with facts, thinking and theology that enable them to explain why Christians fight for justice and serve the poor.</w:t>
      </w:r>
    </w:p>
    <w:p w14:paraId="68DBC6D6" w14:textId="77777777" w:rsidR="00B4053A" w:rsidRPr="009A0DA6" w:rsidRDefault="00B4053A" w:rsidP="00B4053A">
      <w:pPr>
        <w:spacing w:before="120" w:after="120" w:line="240" w:lineRule="auto"/>
        <w:contextualSpacing/>
        <w:rPr>
          <w:rFonts w:ascii="Cambria" w:hAnsi="Cambria" w:cstheme="minorHAnsi"/>
          <w:i/>
        </w:rPr>
      </w:pPr>
      <w:r w:rsidRPr="009A0DA6">
        <w:rPr>
          <w:rFonts w:ascii="Cambria" w:hAnsi="Cambria" w:cstheme="minorHAnsi"/>
          <w:i/>
        </w:rPr>
        <w:t>Achievement of Outcomes:</w:t>
      </w:r>
    </w:p>
    <w:p w14:paraId="5267EE30" w14:textId="10DE668A" w:rsidR="00B4053A" w:rsidRPr="009A0DA6" w:rsidRDefault="00B4053A" w:rsidP="00B4053A">
      <w:pPr>
        <w:spacing w:before="120" w:after="120" w:line="240" w:lineRule="auto"/>
        <w:contextualSpacing/>
        <w:rPr>
          <w:rFonts w:ascii="Cambria" w:hAnsi="Cambria" w:cstheme="minorHAnsi"/>
          <w:bCs/>
        </w:rPr>
      </w:pPr>
      <w:r w:rsidRPr="009A0DA6">
        <w:rPr>
          <w:rFonts w:ascii="Cambria" w:hAnsi="Cambria" w:cstheme="minorHAnsi"/>
        </w:rPr>
        <w:t>Reaction from both staff and students show there has been very powerful impact in Lutheran schools right across Australia with the ‘Welcoming the Stranger’ message. ALWS has expanded Awareness Day program to largest ever, to reach 59 schools and almost 7000 students. The 2016 curriculum theme was ‘climate change, which has become a high-profile topic in Australian media and public discussion with Renewable Energy Target</w:t>
      </w:r>
      <w:r w:rsidR="0027799A" w:rsidRPr="009A0DA6">
        <w:rPr>
          <w:rFonts w:ascii="Cambria" w:hAnsi="Cambria" w:cstheme="minorHAnsi"/>
        </w:rPr>
        <w:t xml:space="preserve">. </w:t>
      </w:r>
      <w:r w:rsidRPr="009A0DA6">
        <w:rPr>
          <w:rFonts w:ascii="Cambria" w:hAnsi="Cambria" w:cstheme="minorHAnsi"/>
        </w:rPr>
        <w:t xml:space="preserve">This linked well with the theme of ACLE 5 in July 2017 that was based on caring for the environment and was powerfully reinforced to more than 850 teachers. Introduced ‘Walk My Way’ Pilgrimage event in July 17 to raise awareness of refugee issues, plus support refugee children to go to pre-school. </w:t>
      </w:r>
      <w:r w:rsidRPr="009A0DA6">
        <w:rPr>
          <w:rFonts w:ascii="Cambria" w:hAnsi="Cambria" w:cstheme="minorHAnsi"/>
          <w:bCs/>
        </w:rPr>
        <w:t xml:space="preserve">A good start has been made on Teacher Network with more than 450 names -  which is a critical initiative to nurture people in position of influence to multiply their impact in spreading message of how people can impact others through ALWS. In 2017 a Focus Tour was initiated in Queensland to address issues related to understanding of ALWS, and ALWS under-penetration in Queensland congregations. Brian Neldner’s memoirs are being captured through regular meetings with a note taker to document ALWS’ history. </w:t>
      </w:r>
    </w:p>
    <w:p w14:paraId="292DBF46" w14:textId="77777777" w:rsidR="00B4053A" w:rsidRPr="009A0DA6" w:rsidRDefault="00B4053A" w:rsidP="00B4053A">
      <w:pPr>
        <w:spacing w:before="120" w:after="120" w:line="240" w:lineRule="auto"/>
        <w:contextualSpacing/>
        <w:rPr>
          <w:rFonts w:ascii="Cambria" w:hAnsi="Cambria" w:cstheme="minorHAnsi"/>
          <w:b/>
          <w:i/>
        </w:rPr>
      </w:pPr>
    </w:p>
    <w:p w14:paraId="7829773C" w14:textId="4A39DF06" w:rsidR="00B4053A" w:rsidRPr="009A0DA6" w:rsidRDefault="00B4053A" w:rsidP="00B4053A">
      <w:pPr>
        <w:spacing w:before="120" w:after="120" w:line="240" w:lineRule="auto"/>
        <w:contextualSpacing/>
        <w:rPr>
          <w:rFonts w:ascii="Cambria" w:hAnsi="Cambria" w:cstheme="minorHAnsi"/>
        </w:rPr>
      </w:pPr>
      <w:r w:rsidRPr="009A0DA6">
        <w:rPr>
          <w:rFonts w:ascii="Cambria" w:hAnsi="Cambria" w:cstheme="minorHAnsi"/>
          <w:b/>
        </w:rPr>
        <w:t>Goal 3:</w:t>
      </w:r>
      <w:r w:rsidRPr="009A0DA6">
        <w:rPr>
          <w:rFonts w:ascii="Cambria" w:hAnsi="Cambria" w:cstheme="minorHAnsi"/>
        </w:rPr>
        <w:t xml:space="preserve"> ALWS will strive to </w:t>
      </w:r>
      <w:r w:rsidRPr="009A0DA6">
        <w:rPr>
          <w:rFonts w:ascii="Cambria" w:hAnsi="Cambria" w:cstheme="minorHAnsi"/>
          <w:b/>
        </w:rPr>
        <w:t>improve</w:t>
      </w:r>
      <w:r w:rsidRPr="009A0DA6">
        <w:rPr>
          <w:rFonts w:ascii="Cambria" w:hAnsi="Cambria" w:cstheme="minorHAnsi"/>
        </w:rPr>
        <w:t xml:space="preserve"> to enable it to best serve people, communities and supporters.</w:t>
      </w:r>
    </w:p>
    <w:p w14:paraId="03B7AE45" w14:textId="77777777" w:rsidR="00B4053A" w:rsidRPr="009A0DA6" w:rsidRDefault="00B4053A" w:rsidP="00B4053A">
      <w:pPr>
        <w:spacing w:before="120" w:after="120" w:line="240" w:lineRule="auto"/>
        <w:contextualSpacing/>
        <w:rPr>
          <w:rFonts w:ascii="Cambria" w:hAnsi="Cambria" w:cstheme="minorHAnsi"/>
          <w:b/>
          <w:i/>
        </w:rPr>
      </w:pPr>
    </w:p>
    <w:p w14:paraId="69D023CB" w14:textId="5B0FAEF4" w:rsidR="00B4053A" w:rsidRPr="009A0DA6" w:rsidRDefault="00B4053A" w:rsidP="00B4053A">
      <w:pPr>
        <w:spacing w:after="0" w:line="240" w:lineRule="auto"/>
        <w:contextualSpacing/>
        <w:rPr>
          <w:rFonts w:ascii="Cambria" w:hAnsi="Cambria" w:cstheme="minorHAnsi"/>
          <w:i/>
        </w:rPr>
      </w:pPr>
      <w:r w:rsidRPr="009A0DA6">
        <w:rPr>
          <w:rFonts w:ascii="Cambria" w:hAnsi="Cambria" w:cstheme="minorHAnsi"/>
          <w:i/>
        </w:rPr>
        <w:t xml:space="preserve">Planned Outcomes: </w:t>
      </w:r>
    </w:p>
    <w:p w14:paraId="70FA0B45" w14:textId="77777777" w:rsidR="00B4053A" w:rsidRPr="009A0DA6" w:rsidRDefault="00B4053A" w:rsidP="00F55252">
      <w:pPr>
        <w:pStyle w:val="ListParagraph"/>
        <w:numPr>
          <w:ilvl w:val="0"/>
          <w:numId w:val="266"/>
        </w:numPr>
        <w:spacing w:after="0" w:line="240" w:lineRule="auto"/>
        <w:ind w:left="567" w:hanging="567"/>
        <w:rPr>
          <w:rFonts w:ascii="Cambria" w:hAnsi="Cambria" w:cstheme="minorHAnsi"/>
        </w:rPr>
      </w:pPr>
      <w:r w:rsidRPr="009A0DA6">
        <w:rPr>
          <w:rFonts w:ascii="Cambria" w:hAnsi="Cambria" w:cstheme="minorHAnsi"/>
        </w:rPr>
        <w:t xml:space="preserve">Create the space for innovation and trialling and supporting new approaches. </w:t>
      </w:r>
    </w:p>
    <w:p w14:paraId="438F3ED1" w14:textId="77777777" w:rsidR="00B4053A" w:rsidRPr="009A0DA6" w:rsidRDefault="00B4053A" w:rsidP="00F55252">
      <w:pPr>
        <w:pStyle w:val="ListParagraph"/>
        <w:numPr>
          <w:ilvl w:val="0"/>
          <w:numId w:val="266"/>
        </w:numPr>
        <w:spacing w:before="120" w:after="120" w:line="240" w:lineRule="auto"/>
        <w:ind w:left="567" w:hanging="567"/>
        <w:rPr>
          <w:rFonts w:ascii="Cambria" w:hAnsi="Cambria" w:cstheme="minorHAnsi"/>
        </w:rPr>
      </w:pPr>
      <w:r w:rsidRPr="009A0DA6">
        <w:rPr>
          <w:rFonts w:ascii="Cambria" w:hAnsi="Cambria" w:cstheme="minorHAnsi"/>
        </w:rPr>
        <w:t>Review and implement systems of assessing and reporting on the effectiveness of programs, fundraising and communications, finance, and administration.</w:t>
      </w:r>
    </w:p>
    <w:p w14:paraId="6969AF5D" w14:textId="77777777" w:rsidR="00B4053A" w:rsidRPr="009A0DA6" w:rsidRDefault="00B4053A" w:rsidP="00F55252">
      <w:pPr>
        <w:pStyle w:val="ListParagraph"/>
        <w:numPr>
          <w:ilvl w:val="0"/>
          <w:numId w:val="266"/>
        </w:numPr>
        <w:spacing w:before="120" w:after="120" w:line="240" w:lineRule="auto"/>
        <w:ind w:left="567" w:hanging="567"/>
        <w:rPr>
          <w:rFonts w:ascii="Cambria" w:hAnsi="Cambria" w:cstheme="minorHAnsi"/>
        </w:rPr>
      </w:pPr>
      <w:r w:rsidRPr="009A0DA6">
        <w:rPr>
          <w:rFonts w:ascii="Cambria" w:hAnsi="Cambria" w:cstheme="minorHAnsi"/>
        </w:rPr>
        <w:t>Support and encourage continual learning and reflection, within ALWS and with its partners, through varied methods, including evaluations and research.</w:t>
      </w:r>
    </w:p>
    <w:p w14:paraId="16798204" w14:textId="77777777" w:rsidR="00B4053A" w:rsidRPr="009A0DA6" w:rsidRDefault="00B4053A" w:rsidP="00B4053A">
      <w:pPr>
        <w:spacing w:before="120" w:after="120" w:line="240" w:lineRule="auto"/>
        <w:contextualSpacing/>
        <w:rPr>
          <w:rFonts w:ascii="Cambria" w:hAnsi="Cambria" w:cstheme="minorHAnsi"/>
          <w:i/>
        </w:rPr>
      </w:pPr>
      <w:r w:rsidRPr="009A0DA6">
        <w:rPr>
          <w:rFonts w:ascii="Cambria" w:hAnsi="Cambria" w:cstheme="minorHAnsi"/>
          <w:i/>
        </w:rPr>
        <w:t>Achievement of Outcomes:</w:t>
      </w:r>
    </w:p>
    <w:p w14:paraId="4E7D9743" w14:textId="2CC12F22" w:rsidR="00B4053A" w:rsidRPr="009A0DA6" w:rsidRDefault="00B4053A" w:rsidP="00B4053A">
      <w:pPr>
        <w:spacing w:before="120" w:after="120" w:line="240" w:lineRule="auto"/>
        <w:contextualSpacing/>
        <w:rPr>
          <w:rFonts w:ascii="Cambria" w:hAnsi="Cambria" w:cstheme="minorHAnsi"/>
        </w:rPr>
      </w:pPr>
      <w:r w:rsidRPr="009A0DA6">
        <w:rPr>
          <w:rFonts w:ascii="Cambria" w:hAnsi="Cambria" w:cstheme="minorHAnsi"/>
        </w:rPr>
        <w:t>The addition of a fourth Program Officer for Quality and Effectiveness to the ALWS Programs Team and the engagement of a Program Quality and Effectiveness consultant has created time and space for considering new program approaches while the addition of a new 0.4EFT in Fundraising in 2017 increased opportunities for exploring new fundraising ideas. Two opportunities in March and August 2016 were made available to all staff to focus on Innovation, some of the ideas generated through these processes such as Walk My Way have been successfully adopted. The upgrade to Office 365 (cloud-based applications) in April 2015 meant that all ALWS staff are now using the same Microsoft Office version which has enabled a greater access to documents and sharing of information. In 2017, we engaged an independent consultant, to review our IT systems</w:t>
      </w:r>
      <w:r w:rsidR="0027799A" w:rsidRPr="009A0DA6">
        <w:rPr>
          <w:rFonts w:ascii="Cambria" w:hAnsi="Cambria" w:cstheme="minorHAnsi"/>
        </w:rPr>
        <w:t xml:space="preserve">. </w:t>
      </w:r>
      <w:r w:rsidRPr="009A0DA6">
        <w:rPr>
          <w:rFonts w:ascii="Cambria" w:hAnsi="Cambria" w:cstheme="minorHAnsi"/>
        </w:rPr>
        <w:t xml:space="preserve">A move was made to Infoodle as our Customer Relationship Management (CRM) and Xero as our accounting Package following the recommendations. Telecommunications are almost complete for monthly skype catch ups with all staff. LWF Nepal, LWD Cambodia and CDRM&amp;CDS Indonesia partners have been linked with opportunities for Direct Aid (innovation) funding from DFAT post. The </w:t>
      </w:r>
      <w:r w:rsidR="00295E5B" w:rsidRPr="009A0DA6">
        <w:rPr>
          <w:rFonts w:ascii="Cambria" w:hAnsi="Cambria" w:cstheme="minorHAnsi"/>
        </w:rPr>
        <w:t>board</w:t>
      </w:r>
      <w:r w:rsidRPr="009A0DA6">
        <w:rPr>
          <w:rFonts w:ascii="Cambria" w:hAnsi="Cambria" w:cstheme="minorHAnsi"/>
        </w:rPr>
        <w:t xml:space="preserve"> approved an annual standing allocation of Unrestricted Reserves to ‘Innovation’. </w:t>
      </w:r>
    </w:p>
    <w:p w14:paraId="11382E62" w14:textId="77777777" w:rsidR="00B4053A" w:rsidRPr="009A0DA6" w:rsidRDefault="00B4053A" w:rsidP="00B4053A">
      <w:pPr>
        <w:spacing w:before="120" w:after="120" w:line="240" w:lineRule="auto"/>
        <w:contextualSpacing/>
        <w:rPr>
          <w:rFonts w:ascii="Cambria" w:hAnsi="Cambria" w:cstheme="minorHAnsi"/>
          <w:b/>
          <w:i/>
        </w:rPr>
      </w:pPr>
    </w:p>
    <w:p w14:paraId="4320CDF1" w14:textId="1184081E" w:rsidR="00B4053A" w:rsidRPr="009A0DA6" w:rsidRDefault="00B4053A" w:rsidP="00B4053A">
      <w:pPr>
        <w:spacing w:before="120" w:after="120" w:line="240" w:lineRule="auto"/>
        <w:contextualSpacing/>
        <w:rPr>
          <w:rFonts w:ascii="Cambria" w:hAnsi="Cambria" w:cstheme="minorHAnsi"/>
        </w:rPr>
      </w:pPr>
      <w:r w:rsidRPr="009A0DA6">
        <w:rPr>
          <w:rFonts w:ascii="Cambria" w:hAnsi="Cambria" w:cstheme="minorHAnsi"/>
          <w:b/>
        </w:rPr>
        <w:t>Goal 4:</w:t>
      </w:r>
      <w:r w:rsidRPr="009A0DA6">
        <w:rPr>
          <w:rFonts w:ascii="Cambria" w:hAnsi="Cambria" w:cstheme="minorHAnsi"/>
        </w:rPr>
        <w:t xml:space="preserve"> ALWS will </w:t>
      </w:r>
      <w:r w:rsidRPr="009A0DA6">
        <w:rPr>
          <w:rFonts w:ascii="Cambria" w:hAnsi="Cambria" w:cstheme="minorHAnsi"/>
          <w:b/>
        </w:rPr>
        <w:t>strengthen</w:t>
      </w:r>
      <w:r w:rsidRPr="009A0DA6">
        <w:rPr>
          <w:rFonts w:ascii="Cambria" w:hAnsi="Cambria" w:cstheme="minorHAnsi"/>
        </w:rPr>
        <w:t xml:space="preserve"> as an organisation to ensure it is transparent and accountable to people, communities, partners and supporters.</w:t>
      </w:r>
    </w:p>
    <w:p w14:paraId="576A930E" w14:textId="77777777" w:rsidR="00B4053A" w:rsidRPr="009A0DA6" w:rsidRDefault="00B4053A" w:rsidP="00B4053A">
      <w:pPr>
        <w:spacing w:before="120" w:after="120" w:line="240" w:lineRule="auto"/>
        <w:contextualSpacing/>
        <w:rPr>
          <w:rFonts w:ascii="Cambria" w:hAnsi="Cambria" w:cstheme="minorHAnsi"/>
          <w:b/>
          <w:i/>
        </w:rPr>
      </w:pPr>
    </w:p>
    <w:p w14:paraId="5C895FE7" w14:textId="33582405" w:rsidR="00B4053A" w:rsidRPr="009A0DA6" w:rsidRDefault="00B4053A" w:rsidP="00B4053A">
      <w:pPr>
        <w:spacing w:after="0" w:line="240" w:lineRule="auto"/>
        <w:contextualSpacing/>
        <w:rPr>
          <w:rFonts w:ascii="Cambria" w:hAnsi="Cambria" w:cstheme="minorHAnsi"/>
          <w:i/>
        </w:rPr>
      </w:pPr>
      <w:r w:rsidRPr="009A0DA6">
        <w:rPr>
          <w:rFonts w:ascii="Cambria" w:hAnsi="Cambria" w:cstheme="minorHAnsi"/>
          <w:i/>
        </w:rPr>
        <w:t>Planned Outcomes:</w:t>
      </w:r>
    </w:p>
    <w:p w14:paraId="1D311A74" w14:textId="77777777" w:rsidR="00B4053A" w:rsidRPr="009A0DA6" w:rsidRDefault="00B4053A" w:rsidP="00F55252">
      <w:pPr>
        <w:pStyle w:val="ListParagraph"/>
        <w:numPr>
          <w:ilvl w:val="0"/>
          <w:numId w:val="267"/>
        </w:numPr>
        <w:spacing w:after="0" w:line="240" w:lineRule="auto"/>
        <w:ind w:left="567" w:hanging="567"/>
        <w:rPr>
          <w:rFonts w:ascii="Cambria" w:hAnsi="Cambria" w:cstheme="minorHAnsi"/>
        </w:rPr>
      </w:pPr>
      <w:r w:rsidRPr="009A0DA6">
        <w:rPr>
          <w:rFonts w:ascii="Cambria" w:hAnsi="Cambria" w:cstheme="minorHAnsi"/>
        </w:rPr>
        <w:t>Ensure it is managed and governed in an informed way which is transparent and consistent with this plan.</w:t>
      </w:r>
    </w:p>
    <w:p w14:paraId="7FD09F71" w14:textId="77777777" w:rsidR="00B4053A" w:rsidRPr="009A0DA6" w:rsidRDefault="00B4053A" w:rsidP="00F55252">
      <w:pPr>
        <w:pStyle w:val="ListParagraph"/>
        <w:numPr>
          <w:ilvl w:val="0"/>
          <w:numId w:val="267"/>
        </w:numPr>
        <w:spacing w:before="120" w:after="120" w:line="240" w:lineRule="auto"/>
        <w:ind w:left="567" w:hanging="567"/>
        <w:rPr>
          <w:rFonts w:ascii="Cambria" w:hAnsi="Cambria" w:cstheme="minorHAnsi"/>
        </w:rPr>
      </w:pPr>
      <w:r w:rsidRPr="009A0DA6">
        <w:rPr>
          <w:rFonts w:ascii="Cambria" w:hAnsi="Cambria" w:cstheme="minorHAnsi"/>
        </w:rPr>
        <w:lastRenderedPageBreak/>
        <w:t>Continue to be compliant with Australian government accreditation requirements and the ACFID Code of Conduct and continue to work with its partners to build their capacity in this area.</w:t>
      </w:r>
    </w:p>
    <w:p w14:paraId="0181A0F3" w14:textId="77777777" w:rsidR="00B4053A" w:rsidRPr="009A0DA6" w:rsidRDefault="00B4053A" w:rsidP="00F55252">
      <w:pPr>
        <w:pStyle w:val="ListParagraph"/>
        <w:numPr>
          <w:ilvl w:val="0"/>
          <w:numId w:val="267"/>
        </w:numPr>
        <w:spacing w:before="120" w:after="120" w:line="240" w:lineRule="auto"/>
        <w:ind w:left="567" w:hanging="567"/>
        <w:rPr>
          <w:rFonts w:ascii="Cambria" w:hAnsi="Cambria" w:cstheme="minorHAnsi"/>
        </w:rPr>
      </w:pPr>
      <w:r w:rsidRPr="009A0DA6">
        <w:rPr>
          <w:rFonts w:ascii="Cambria" w:hAnsi="Cambria" w:cstheme="minorHAnsi"/>
        </w:rPr>
        <w:t>Increase transparency and accountability to people, communities and supporters</w:t>
      </w:r>
    </w:p>
    <w:p w14:paraId="65083728" w14:textId="77777777" w:rsidR="00B4053A" w:rsidRPr="009A0DA6" w:rsidRDefault="00B4053A" w:rsidP="00F55252">
      <w:pPr>
        <w:pStyle w:val="ListParagraph"/>
        <w:numPr>
          <w:ilvl w:val="0"/>
          <w:numId w:val="267"/>
        </w:numPr>
        <w:spacing w:before="120" w:after="120" w:line="240" w:lineRule="auto"/>
        <w:ind w:left="567" w:hanging="567"/>
        <w:rPr>
          <w:rFonts w:ascii="Cambria" w:hAnsi="Cambria" w:cstheme="minorHAnsi"/>
        </w:rPr>
      </w:pPr>
      <w:r w:rsidRPr="009A0DA6">
        <w:rPr>
          <w:rFonts w:ascii="Cambria" w:hAnsi="Cambria" w:cstheme="minorHAnsi"/>
        </w:rPr>
        <w:t>Have documented processes and policies in order to share organisational knowledge, standardise procedures and ensure credible and consistent decision and actions.</w:t>
      </w:r>
    </w:p>
    <w:p w14:paraId="0738F22C" w14:textId="77777777" w:rsidR="00B4053A" w:rsidRPr="009A0DA6" w:rsidRDefault="00B4053A" w:rsidP="00F55252">
      <w:pPr>
        <w:pStyle w:val="ListParagraph"/>
        <w:numPr>
          <w:ilvl w:val="0"/>
          <w:numId w:val="267"/>
        </w:numPr>
        <w:spacing w:before="120" w:after="120" w:line="240" w:lineRule="auto"/>
        <w:ind w:left="567" w:hanging="567"/>
        <w:rPr>
          <w:rFonts w:ascii="Cambria" w:hAnsi="Cambria" w:cstheme="minorHAnsi"/>
        </w:rPr>
      </w:pPr>
      <w:r w:rsidRPr="009A0DA6">
        <w:rPr>
          <w:rFonts w:ascii="Cambria" w:hAnsi="Cambria" w:cstheme="minorHAnsi"/>
        </w:rPr>
        <w:t>Strengthen its risk management plan to cover all major operational areas of the organisation</w:t>
      </w:r>
    </w:p>
    <w:p w14:paraId="2EAF2B7F" w14:textId="6A639DF5" w:rsidR="00B4053A" w:rsidRPr="009A0DA6" w:rsidRDefault="00B4053A" w:rsidP="005F21CD">
      <w:pPr>
        <w:rPr>
          <w:rFonts w:ascii="Cambria" w:hAnsi="Cambria" w:cstheme="minorHAnsi"/>
          <w:i/>
        </w:rPr>
      </w:pPr>
      <w:r w:rsidRPr="009A0DA6">
        <w:rPr>
          <w:rFonts w:ascii="Cambria" w:hAnsi="Cambria" w:cstheme="minorHAnsi"/>
          <w:i/>
        </w:rPr>
        <w:t xml:space="preserve">Achieved Outcomes: </w:t>
      </w:r>
    </w:p>
    <w:p w14:paraId="112472BE" w14:textId="51432F3D" w:rsidR="00B4053A" w:rsidRPr="009A0DA6" w:rsidRDefault="00B4053A" w:rsidP="00B4053A">
      <w:pPr>
        <w:spacing w:before="120" w:after="120" w:line="240" w:lineRule="auto"/>
        <w:contextualSpacing/>
        <w:rPr>
          <w:rFonts w:ascii="Cambria" w:hAnsi="Cambria" w:cstheme="minorHAnsi"/>
        </w:rPr>
      </w:pPr>
      <w:r w:rsidRPr="009A0DA6">
        <w:rPr>
          <w:rFonts w:ascii="Cambria" w:hAnsi="Cambria" w:cstheme="minorHAnsi"/>
        </w:rPr>
        <w:t xml:space="preserve">The </w:t>
      </w:r>
      <w:r w:rsidR="00295E5B" w:rsidRPr="009A0DA6">
        <w:rPr>
          <w:rFonts w:ascii="Cambria" w:hAnsi="Cambria" w:cstheme="minorHAnsi"/>
        </w:rPr>
        <w:t>board</w:t>
      </w:r>
      <w:r w:rsidRPr="009A0DA6">
        <w:rPr>
          <w:rFonts w:ascii="Cambria" w:hAnsi="Cambria" w:cstheme="minorHAnsi"/>
        </w:rPr>
        <w:t xml:space="preserve"> is provided with Quarterly Governance and Management Reports which are designed to be easily understood. This, together with six-monthly Document Reviews, ensure the </w:t>
      </w:r>
      <w:r w:rsidR="00295E5B" w:rsidRPr="009A0DA6">
        <w:rPr>
          <w:rFonts w:ascii="Cambria" w:hAnsi="Cambria" w:cstheme="minorHAnsi"/>
        </w:rPr>
        <w:t>board</w:t>
      </w:r>
      <w:r w:rsidRPr="009A0DA6">
        <w:rPr>
          <w:rFonts w:ascii="Cambria" w:hAnsi="Cambria" w:cstheme="minorHAnsi"/>
        </w:rPr>
        <w:t xml:space="preserve"> is well informed with enough space during </w:t>
      </w:r>
      <w:r w:rsidR="00295E5B" w:rsidRPr="009A0DA6">
        <w:rPr>
          <w:rFonts w:ascii="Cambria" w:hAnsi="Cambria" w:cstheme="minorHAnsi"/>
        </w:rPr>
        <w:t>board</w:t>
      </w:r>
      <w:r w:rsidRPr="009A0DA6">
        <w:rPr>
          <w:rFonts w:ascii="Cambria" w:hAnsi="Cambria" w:cstheme="minorHAnsi"/>
        </w:rPr>
        <w:t xml:space="preserve"> meetings to discuss matters of strategic importance</w:t>
      </w:r>
      <w:r w:rsidR="0027799A" w:rsidRPr="009A0DA6">
        <w:rPr>
          <w:rFonts w:ascii="Cambria" w:hAnsi="Cambria" w:cstheme="minorHAnsi"/>
        </w:rPr>
        <w:t xml:space="preserve">. </w:t>
      </w:r>
      <w:r w:rsidRPr="009A0DA6">
        <w:rPr>
          <w:rFonts w:ascii="Cambria" w:hAnsi="Cambria" w:cstheme="minorHAnsi"/>
        </w:rPr>
        <w:t>The Board Advisory Group has also been established to strengthen ALWS Governance. The Management Team has been a place to work through operational issues and accreditation preparation. It’s guided by a Terms of Reference which sets out regular meeting and reporting requirements</w:t>
      </w:r>
      <w:r w:rsidR="0027799A" w:rsidRPr="009A0DA6">
        <w:rPr>
          <w:rFonts w:ascii="Cambria" w:hAnsi="Cambria" w:cstheme="minorHAnsi"/>
        </w:rPr>
        <w:t xml:space="preserve">. </w:t>
      </w:r>
      <w:r w:rsidRPr="009A0DA6">
        <w:rPr>
          <w:rFonts w:ascii="Cambria" w:hAnsi="Cambria" w:cstheme="minorHAnsi"/>
        </w:rPr>
        <w:t>Accreditation expectations have been a helpful guide towards full compliance with all stakeholders including DFAT, ATO and ACFID</w:t>
      </w:r>
      <w:r w:rsidR="0027799A" w:rsidRPr="009A0DA6">
        <w:rPr>
          <w:rFonts w:ascii="Cambria" w:hAnsi="Cambria" w:cstheme="minorHAnsi"/>
        </w:rPr>
        <w:t xml:space="preserve">. </w:t>
      </w:r>
      <w:r w:rsidRPr="009A0DA6">
        <w:rPr>
          <w:rFonts w:ascii="Cambria" w:hAnsi="Cambria" w:cstheme="minorHAnsi"/>
        </w:rPr>
        <w:t>The intentional development of a ‘whole of organisation’ strategic plan and shared ownership of the re-accreditation process has ensured all are responsible for the quality of each part of ALWS. Policies have been revised to reflect ALWS practice and capacity. Access to NSW Business Chamber, ACNC and ACFID updates keep ALWS abreast of changes to relevant legislation</w:t>
      </w:r>
      <w:r w:rsidR="0027799A" w:rsidRPr="009A0DA6">
        <w:rPr>
          <w:rFonts w:ascii="Cambria" w:hAnsi="Cambria" w:cstheme="minorHAnsi"/>
        </w:rPr>
        <w:t xml:space="preserve">. </w:t>
      </w:r>
      <w:r w:rsidRPr="009A0DA6">
        <w:rPr>
          <w:rFonts w:ascii="Cambria" w:hAnsi="Cambria" w:cstheme="minorHAnsi"/>
        </w:rPr>
        <w:t xml:space="preserve">The upkeep of ALWS policies and processes is ongoing. Procedures are now in place to inform decision making processes and delegations of authority. ALWS has reviewed and improved the Risk section of the Program Effectiveness Framework (PEF), based on pre-accreditation feedback and revision of ALWS Risk Management Policy. The PEF Risk section now incorporates partners’ own risk assessments. Organisational risk has now been consolidated into a single register viewed by the full </w:t>
      </w:r>
      <w:r w:rsidR="00295E5B" w:rsidRPr="009A0DA6">
        <w:rPr>
          <w:rFonts w:ascii="Cambria" w:hAnsi="Cambria" w:cstheme="minorHAnsi"/>
        </w:rPr>
        <w:t>board</w:t>
      </w:r>
      <w:r w:rsidRPr="009A0DA6">
        <w:rPr>
          <w:rFonts w:ascii="Cambria" w:hAnsi="Cambria" w:cstheme="minorHAnsi"/>
        </w:rPr>
        <w:t xml:space="preserve"> quarterly. Cases of concern are also presented to the </w:t>
      </w:r>
      <w:r w:rsidR="00295E5B" w:rsidRPr="009A0DA6">
        <w:rPr>
          <w:rFonts w:ascii="Cambria" w:hAnsi="Cambria" w:cstheme="minorHAnsi"/>
        </w:rPr>
        <w:t>board</w:t>
      </w:r>
      <w:r w:rsidRPr="009A0DA6">
        <w:rPr>
          <w:rFonts w:ascii="Cambria" w:hAnsi="Cambria" w:cstheme="minorHAnsi"/>
        </w:rPr>
        <w:t>, acted upon and, where possible, closed soon afterwards. We have not needed to report a Case of Concern for 12 months.</w:t>
      </w:r>
    </w:p>
    <w:p w14:paraId="6EC8960E" w14:textId="77777777" w:rsidR="00B4053A" w:rsidRPr="009A0DA6" w:rsidRDefault="00B4053A" w:rsidP="00B4053A">
      <w:pPr>
        <w:spacing w:before="120" w:after="120" w:line="240" w:lineRule="auto"/>
        <w:contextualSpacing/>
        <w:rPr>
          <w:rFonts w:ascii="Cambria" w:hAnsi="Cambria" w:cstheme="minorHAnsi"/>
          <w:b/>
          <w:i/>
        </w:rPr>
      </w:pPr>
    </w:p>
    <w:p w14:paraId="3E52A111" w14:textId="088EF138" w:rsidR="00B4053A" w:rsidRPr="009A0DA6" w:rsidRDefault="00B4053A" w:rsidP="00B4053A">
      <w:pPr>
        <w:spacing w:before="120" w:after="120" w:line="240" w:lineRule="auto"/>
        <w:contextualSpacing/>
        <w:rPr>
          <w:rFonts w:ascii="Cambria" w:hAnsi="Cambria" w:cstheme="minorHAnsi"/>
        </w:rPr>
      </w:pPr>
      <w:r w:rsidRPr="009A0DA6">
        <w:rPr>
          <w:rFonts w:ascii="Cambria" w:hAnsi="Cambria" w:cstheme="minorHAnsi"/>
          <w:b/>
        </w:rPr>
        <w:t>Goal 5:</w:t>
      </w:r>
      <w:r w:rsidRPr="009A0DA6">
        <w:rPr>
          <w:rFonts w:ascii="Cambria" w:hAnsi="Cambria" w:cstheme="minorHAnsi"/>
        </w:rPr>
        <w:t xml:space="preserve"> ALWS will </w:t>
      </w:r>
      <w:r w:rsidRPr="009A0DA6">
        <w:rPr>
          <w:rFonts w:ascii="Cambria" w:hAnsi="Cambria" w:cstheme="minorHAnsi"/>
          <w:b/>
        </w:rPr>
        <w:t>partner</w:t>
      </w:r>
      <w:r w:rsidRPr="009A0DA6">
        <w:rPr>
          <w:rFonts w:ascii="Cambria" w:hAnsi="Cambria" w:cstheme="minorHAnsi"/>
        </w:rPr>
        <w:t xml:space="preserve"> with others to leverage wider change and increase its impact.</w:t>
      </w:r>
    </w:p>
    <w:p w14:paraId="298B835F" w14:textId="77777777" w:rsidR="00B4053A" w:rsidRPr="009A0DA6" w:rsidRDefault="00B4053A" w:rsidP="00B4053A">
      <w:pPr>
        <w:spacing w:before="120" w:after="120" w:line="240" w:lineRule="auto"/>
        <w:contextualSpacing/>
        <w:rPr>
          <w:rFonts w:ascii="Cambria" w:hAnsi="Cambria" w:cstheme="minorHAnsi"/>
          <w:b/>
          <w:i/>
        </w:rPr>
      </w:pPr>
    </w:p>
    <w:p w14:paraId="7DAB3C5F" w14:textId="77777777" w:rsidR="00B4053A" w:rsidRPr="009A0DA6" w:rsidRDefault="00B4053A" w:rsidP="00B4053A">
      <w:pPr>
        <w:spacing w:after="0" w:line="240" w:lineRule="auto"/>
        <w:contextualSpacing/>
        <w:rPr>
          <w:rFonts w:ascii="Cambria" w:hAnsi="Cambria" w:cstheme="minorHAnsi"/>
          <w:i/>
        </w:rPr>
      </w:pPr>
      <w:r w:rsidRPr="009A0DA6">
        <w:rPr>
          <w:rFonts w:ascii="Cambria" w:hAnsi="Cambria" w:cstheme="minorHAnsi"/>
          <w:i/>
        </w:rPr>
        <w:t xml:space="preserve">Planned Outcomes: </w:t>
      </w:r>
    </w:p>
    <w:p w14:paraId="441189F5" w14:textId="5BE86659" w:rsidR="00B4053A" w:rsidRPr="009A0DA6" w:rsidRDefault="00B4053A" w:rsidP="00F55252">
      <w:pPr>
        <w:pStyle w:val="ListParagraph"/>
        <w:numPr>
          <w:ilvl w:val="0"/>
          <w:numId w:val="268"/>
        </w:numPr>
        <w:spacing w:after="0" w:line="240" w:lineRule="auto"/>
        <w:ind w:left="567" w:hanging="567"/>
        <w:rPr>
          <w:rFonts w:ascii="Cambria" w:hAnsi="Cambria" w:cstheme="minorHAnsi"/>
        </w:rPr>
      </w:pPr>
      <w:r w:rsidRPr="009A0DA6">
        <w:rPr>
          <w:rFonts w:ascii="Cambria" w:hAnsi="Cambria" w:cstheme="minorHAnsi"/>
        </w:rPr>
        <w:t>Look for opportunities to work with others in order to increase the effectiveness of operations and mutual growth in partnerships.</w:t>
      </w:r>
    </w:p>
    <w:p w14:paraId="6FE658B1" w14:textId="77777777" w:rsidR="00B4053A" w:rsidRPr="009A0DA6" w:rsidRDefault="00B4053A" w:rsidP="00F55252">
      <w:pPr>
        <w:pStyle w:val="ListParagraph"/>
        <w:numPr>
          <w:ilvl w:val="0"/>
          <w:numId w:val="268"/>
        </w:numPr>
        <w:spacing w:before="120" w:after="120" w:line="240" w:lineRule="auto"/>
        <w:ind w:left="567" w:hanging="567"/>
        <w:rPr>
          <w:rFonts w:ascii="Cambria" w:hAnsi="Cambria" w:cstheme="minorHAnsi"/>
        </w:rPr>
      </w:pPr>
      <w:r w:rsidRPr="009A0DA6">
        <w:rPr>
          <w:rFonts w:ascii="Cambria" w:hAnsi="Cambria" w:cstheme="minorHAnsi"/>
        </w:rPr>
        <w:t xml:space="preserve">Establish and apply criteria to determine the opportunities and boundaries of partnerships with an emphasis on those partnerships which can best enable the organisation to carry out its mission. </w:t>
      </w:r>
    </w:p>
    <w:p w14:paraId="72E5633A" w14:textId="77777777" w:rsidR="00B4053A" w:rsidRPr="009A0DA6" w:rsidRDefault="00B4053A" w:rsidP="00F55252">
      <w:pPr>
        <w:pStyle w:val="ListParagraph"/>
        <w:numPr>
          <w:ilvl w:val="0"/>
          <w:numId w:val="268"/>
        </w:numPr>
        <w:spacing w:before="120" w:after="120" w:line="240" w:lineRule="auto"/>
        <w:ind w:left="567" w:hanging="567"/>
        <w:rPr>
          <w:rFonts w:ascii="Cambria" w:hAnsi="Cambria" w:cstheme="minorHAnsi"/>
        </w:rPr>
      </w:pPr>
      <w:r w:rsidRPr="009A0DA6">
        <w:rPr>
          <w:rFonts w:ascii="Cambria" w:hAnsi="Cambria" w:cstheme="minorHAnsi"/>
        </w:rPr>
        <w:t>Work with others to investigate ways to advocate on poverty and justice issues.</w:t>
      </w:r>
    </w:p>
    <w:p w14:paraId="651C9BAF" w14:textId="77777777" w:rsidR="00B4053A" w:rsidRPr="009A0DA6" w:rsidRDefault="00B4053A" w:rsidP="00F55252">
      <w:pPr>
        <w:pStyle w:val="ListParagraph"/>
        <w:numPr>
          <w:ilvl w:val="0"/>
          <w:numId w:val="268"/>
        </w:numPr>
        <w:spacing w:before="120" w:after="120" w:line="240" w:lineRule="auto"/>
        <w:ind w:left="567" w:hanging="567"/>
        <w:rPr>
          <w:rFonts w:ascii="Cambria" w:hAnsi="Cambria" w:cstheme="minorHAnsi"/>
        </w:rPr>
      </w:pPr>
      <w:r w:rsidRPr="009A0DA6">
        <w:rPr>
          <w:rFonts w:ascii="Cambria" w:hAnsi="Cambria" w:cstheme="minorHAnsi"/>
        </w:rPr>
        <w:t>Contribute to the positive response to ‘new neighbours’ and asylum seekers in Australia by working with the Lutheran family and others as appropriate.</w:t>
      </w:r>
    </w:p>
    <w:p w14:paraId="158D6CE8" w14:textId="77777777" w:rsidR="00B4053A" w:rsidRPr="009A0DA6" w:rsidRDefault="00B4053A" w:rsidP="00B4053A">
      <w:pPr>
        <w:spacing w:before="120" w:after="120" w:line="240" w:lineRule="auto"/>
        <w:contextualSpacing/>
        <w:rPr>
          <w:rFonts w:ascii="Cambria" w:hAnsi="Cambria" w:cstheme="minorHAnsi"/>
          <w:i/>
        </w:rPr>
      </w:pPr>
      <w:r w:rsidRPr="009A0DA6">
        <w:rPr>
          <w:rFonts w:ascii="Cambria" w:hAnsi="Cambria" w:cstheme="minorHAnsi"/>
          <w:i/>
        </w:rPr>
        <w:t>Achieved Outcomes:</w:t>
      </w:r>
    </w:p>
    <w:p w14:paraId="6D97BC12" w14:textId="5A0EE43C" w:rsidR="00B4053A" w:rsidRPr="009A0DA6" w:rsidRDefault="00B4053A" w:rsidP="00B4053A">
      <w:pPr>
        <w:spacing w:before="120" w:after="120" w:line="240" w:lineRule="auto"/>
        <w:contextualSpacing/>
        <w:rPr>
          <w:rFonts w:ascii="Cambria" w:hAnsi="Cambria" w:cstheme="minorHAnsi"/>
        </w:rPr>
      </w:pPr>
      <w:r w:rsidRPr="009A0DA6">
        <w:rPr>
          <w:rFonts w:ascii="Cambria" w:hAnsi="Cambria" w:cstheme="minorHAnsi"/>
        </w:rPr>
        <w:t>Regular meetings and communication with relevant departments of the LCA continue to strengthen the effectiveness of our work. ALWS participates in joint workshops with other agencies (including gender, child protection, DRR &amp; DRM) and regularly engages in work with PANZ, CAN and ACFID</w:t>
      </w:r>
      <w:r w:rsidR="0027799A" w:rsidRPr="009A0DA6">
        <w:rPr>
          <w:rFonts w:ascii="Cambria" w:hAnsi="Cambria" w:cstheme="minorHAnsi"/>
        </w:rPr>
        <w:t xml:space="preserve">. </w:t>
      </w:r>
      <w:r w:rsidRPr="009A0DA6">
        <w:rPr>
          <w:rFonts w:ascii="Cambria" w:hAnsi="Cambria" w:cstheme="minorHAnsi"/>
        </w:rPr>
        <w:t>Partnership Analyses are taking place with thorough discussion with each ALWS partner and are being used to inform the PEF and ALWS’ engagement with the partner. Themes operated through Awareness Days across Australia, is a key part of some curriculum subjects</w:t>
      </w:r>
      <w:r w:rsidR="0027799A" w:rsidRPr="009A0DA6">
        <w:rPr>
          <w:rFonts w:ascii="Cambria" w:hAnsi="Cambria" w:cstheme="minorHAnsi"/>
        </w:rPr>
        <w:t xml:space="preserve">. </w:t>
      </w:r>
      <w:r w:rsidRPr="009A0DA6">
        <w:rPr>
          <w:rFonts w:ascii="Cambria" w:hAnsi="Cambria" w:cstheme="minorHAnsi"/>
        </w:rPr>
        <w:t>Joint CAN advocacy opportunities have been explored, including the Australian Aid Campaign. An advocacy team made up of representation across the organisation has developed a strategy which is expected to be finalised shortly</w:t>
      </w:r>
      <w:r w:rsidR="0027799A" w:rsidRPr="009A0DA6">
        <w:rPr>
          <w:rFonts w:ascii="Cambria" w:hAnsi="Cambria" w:cstheme="minorHAnsi"/>
        </w:rPr>
        <w:t xml:space="preserve">. </w:t>
      </w:r>
      <w:r w:rsidRPr="009A0DA6">
        <w:rPr>
          <w:rFonts w:ascii="Cambria" w:hAnsi="Cambria" w:cstheme="minorHAnsi"/>
        </w:rPr>
        <w:t xml:space="preserve">The Advocacy Strategy has included investigating pathways for involvement in global advocacy and directs next steps in considering involvement. </w:t>
      </w:r>
    </w:p>
    <w:p w14:paraId="6EFA1B39" w14:textId="77777777" w:rsidR="00B4053A" w:rsidRPr="009A0DA6" w:rsidRDefault="00B4053A" w:rsidP="00B4053A">
      <w:pPr>
        <w:spacing w:before="120" w:after="120" w:line="240" w:lineRule="auto"/>
        <w:contextualSpacing/>
        <w:rPr>
          <w:rFonts w:ascii="Cambria" w:hAnsi="Cambria" w:cstheme="minorHAnsi"/>
          <w:b/>
          <w:i/>
        </w:rPr>
      </w:pPr>
    </w:p>
    <w:p w14:paraId="7116FCCA" w14:textId="50A1EC7B" w:rsidR="00B4053A" w:rsidRPr="009A0DA6" w:rsidRDefault="00B4053A" w:rsidP="00B4053A">
      <w:pPr>
        <w:spacing w:before="120" w:after="120" w:line="240" w:lineRule="auto"/>
        <w:contextualSpacing/>
        <w:rPr>
          <w:rFonts w:ascii="Cambria" w:hAnsi="Cambria" w:cstheme="minorHAnsi"/>
        </w:rPr>
      </w:pPr>
      <w:r w:rsidRPr="009A0DA6">
        <w:rPr>
          <w:rFonts w:ascii="Cambria" w:hAnsi="Cambria" w:cstheme="minorHAnsi"/>
          <w:b/>
        </w:rPr>
        <w:lastRenderedPageBreak/>
        <w:t>Goal 6:</w:t>
      </w:r>
      <w:r w:rsidRPr="009A0DA6">
        <w:rPr>
          <w:rFonts w:ascii="Cambria" w:hAnsi="Cambria" w:cstheme="minorHAnsi"/>
        </w:rPr>
        <w:t xml:space="preserve">  ALWS will </w:t>
      </w:r>
      <w:r w:rsidRPr="009A0DA6">
        <w:rPr>
          <w:rFonts w:ascii="Cambria" w:hAnsi="Cambria" w:cstheme="minorHAnsi"/>
          <w:b/>
        </w:rPr>
        <w:t>resource</w:t>
      </w:r>
      <w:r w:rsidRPr="009A0DA6">
        <w:rPr>
          <w:rFonts w:ascii="Cambria" w:hAnsi="Cambria" w:cstheme="minorHAnsi"/>
        </w:rPr>
        <w:t xml:space="preserve"> its work with the people, funds and time needed to sustain the work of the organization</w:t>
      </w:r>
    </w:p>
    <w:p w14:paraId="10CA5D09" w14:textId="77777777" w:rsidR="00B4053A" w:rsidRPr="009A0DA6" w:rsidRDefault="00B4053A" w:rsidP="00B4053A">
      <w:pPr>
        <w:spacing w:before="120" w:after="120" w:line="240" w:lineRule="auto"/>
        <w:contextualSpacing/>
        <w:rPr>
          <w:rFonts w:ascii="Cambria" w:hAnsi="Cambria" w:cstheme="minorHAnsi"/>
          <w:b/>
          <w:i/>
        </w:rPr>
      </w:pPr>
    </w:p>
    <w:p w14:paraId="19ECD423" w14:textId="0BF3532B" w:rsidR="00B4053A" w:rsidRPr="009A0DA6" w:rsidRDefault="00B4053A" w:rsidP="008822A1">
      <w:pPr>
        <w:spacing w:after="0" w:line="240" w:lineRule="auto"/>
        <w:contextualSpacing/>
        <w:rPr>
          <w:rFonts w:ascii="Cambria" w:hAnsi="Cambria" w:cstheme="minorHAnsi"/>
          <w:i/>
        </w:rPr>
      </w:pPr>
      <w:r w:rsidRPr="009A0DA6">
        <w:rPr>
          <w:rFonts w:ascii="Cambria" w:hAnsi="Cambria" w:cstheme="minorHAnsi"/>
          <w:i/>
        </w:rPr>
        <w:t>Planned Outcomes:</w:t>
      </w:r>
    </w:p>
    <w:p w14:paraId="2D92F4D8" w14:textId="77777777" w:rsidR="00B4053A" w:rsidRPr="009A0DA6" w:rsidRDefault="00B4053A" w:rsidP="00F55252">
      <w:pPr>
        <w:pStyle w:val="ListParagraph"/>
        <w:numPr>
          <w:ilvl w:val="0"/>
          <w:numId w:val="269"/>
        </w:numPr>
        <w:spacing w:after="0" w:line="240" w:lineRule="auto"/>
        <w:ind w:left="567" w:hanging="567"/>
        <w:rPr>
          <w:rFonts w:ascii="Cambria" w:hAnsi="Cambria" w:cstheme="minorHAnsi"/>
        </w:rPr>
      </w:pPr>
      <w:r w:rsidRPr="009A0DA6">
        <w:rPr>
          <w:rFonts w:ascii="Cambria" w:hAnsi="Cambria" w:cstheme="minorHAnsi"/>
        </w:rPr>
        <w:t>Raise and secure the funds to enable its work</w:t>
      </w:r>
    </w:p>
    <w:p w14:paraId="79C7C9CC" w14:textId="77777777" w:rsidR="00B4053A" w:rsidRPr="009A0DA6" w:rsidRDefault="00B4053A" w:rsidP="00F55252">
      <w:pPr>
        <w:pStyle w:val="ListParagraph"/>
        <w:numPr>
          <w:ilvl w:val="0"/>
          <w:numId w:val="269"/>
        </w:numPr>
        <w:spacing w:after="0" w:line="240" w:lineRule="auto"/>
        <w:ind w:left="567" w:hanging="567"/>
        <w:rPr>
          <w:rFonts w:ascii="Cambria" w:hAnsi="Cambria" w:cstheme="minorHAnsi"/>
        </w:rPr>
      </w:pPr>
      <w:r w:rsidRPr="009A0DA6">
        <w:rPr>
          <w:rFonts w:ascii="Cambria" w:hAnsi="Cambria" w:cstheme="minorHAnsi"/>
        </w:rPr>
        <w:t>Seek to improve the efficiency of its operations in order to free up resources for increased agency effectiveness.</w:t>
      </w:r>
    </w:p>
    <w:p w14:paraId="00959452" w14:textId="77777777" w:rsidR="00B4053A" w:rsidRPr="009A0DA6" w:rsidRDefault="00B4053A" w:rsidP="00F55252">
      <w:pPr>
        <w:pStyle w:val="ListParagraph"/>
        <w:numPr>
          <w:ilvl w:val="0"/>
          <w:numId w:val="269"/>
        </w:numPr>
        <w:spacing w:before="120" w:after="120" w:line="240" w:lineRule="auto"/>
        <w:ind w:left="567" w:hanging="567"/>
        <w:rPr>
          <w:rFonts w:ascii="Cambria" w:hAnsi="Cambria" w:cstheme="minorHAnsi"/>
        </w:rPr>
      </w:pPr>
      <w:r w:rsidRPr="009A0DA6">
        <w:rPr>
          <w:rFonts w:ascii="Cambria" w:hAnsi="Cambria" w:cstheme="minorHAnsi"/>
        </w:rPr>
        <w:t xml:space="preserve">Implement an Operational Plan which reflects ALWS ability to meet the objectives of this Strategic Plan. </w:t>
      </w:r>
    </w:p>
    <w:p w14:paraId="0567AEFC" w14:textId="77777777" w:rsidR="00B4053A" w:rsidRPr="009A0DA6" w:rsidRDefault="00B4053A" w:rsidP="00F55252">
      <w:pPr>
        <w:pStyle w:val="ListParagraph"/>
        <w:numPr>
          <w:ilvl w:val="0"/>
          <w:numId w:val="269"/>
        </w:numPr>
        <w:spacing w:before="120" w:after="120" w:line="240" w:lineRule="auto"/>
        <w:ind w:left="567" w:hanging="567"/>
        <w:rPr>
          <w:rFonts w:ascii="Cambria" w:hAnsi="Cambria" w:cstheme="minorHAnsi"/>
        </w:rPr>
      </w:pPr>
      <w:r w:rsidRPr="009A0DA6">
        <w:rPr>
          <w:rFonts w:ascii="Cambria" w:hAnsi="Cambria" w:cstheme="minorHAnsi"/>
        </w:rPr>
        <w:t xml:space="preserve">Ensure it has the systems and capacity to appropriately care for, manage and govern the financial and human resources entrusted to it. </w:t>
      </w:r>
    </w:p>
    <w:p w14:paraId="75B0BEEE" w14:textId="33ADD803" w:rsidR="00B4053A" w:rsidRPr="009A0DA6" w:rsidRDefault="00B4053A" w:rsidP="00F55252">
      <w:pPr>
        <w:pStyle w:val="ListParagraph"/>
        <w:numPr>
          <w:ilvl w:val="0"/>
          <w:numId w:val="269"/>
        </w:numPr>
        <w:spacing w:before="120" w:after="120" w:line="240" w:lineRule="auto"/>
        <w:ind w:left="567" w:hanging="567"/>
        <w:rPr>
          <w:rFonts w:ascii="Cambria" w:hAnsi="Cambria" w:cstheme="minorHAnsi"/>
        </w:rPr>
      </w:pPr>
      <w:r w:rsidRPr="009A0DA6">
        <w:rPr>
          <w:rFonts w:ascii="Cambria" w:hAnsi="Cambria" w:cstheme="minorHAnsi"/>
        </w:rPr>
        <w:t xml:space="preserve">Regularly assess the performance and encourage the development of staff and members of the </w:t>
      </w:r>
      <w:r w:rsidR="00295E5B" w:rsidRPr="009A0DA6">
        <w:rPr>
          <w:rFonts w:ascii="Cambria" w:hAnsi="Cambria" w:cstheme="minorHAnsi"/>
        </w:rPr>
        <w:t>board</w:t>
      </w:r>
      <w:r w:rsidRPr="009A0DA6">
        <w:rPr>
          <w:rFonts w:ascii="Cambria" w:hAnsi="Cambria" w:cstheme="minorHAnsi"/>
        </w:rPr>
        <w:t xml:space="preserve">. </w:t>
      </w:r>
    </w:p>
    <w:p w14:paraId="18999D71" w14:textId="77777777" w:rsidR="00B4053A" w:rsidRPr="009A0DA6" w:rsidRDefault="00B4053A" w:rsidP="00B4053A">
      <w:pPr>
        <w:spacing w:before="120" w:after="120" w:line="240" w:lineRule="auto"/>
        <w:contextualSpacing/>
        <w:rPr>
          <w:rFonts w:ascii="Cambria" w:hAnsi="Cambria" w:cstheme="minorHAnsi"/>
        </w:rPr>
      </w:pPr>
      <w:r w:rsidRPr="009A0DA6">
        <w:rPr>
          <w:rFonts w:ascii="Cambria" w:hAnsi="Cambria" w:cstheme="minorHAnsi"/>
          <w:i/>
        </w:rPr>
        <w:t>Achieved Outcomes</w:t>
      </w:r>
      <w:r w:rsidRPr="009A0DA6">
        <w:rPr>
          <w:rFonts w:ascii="Cambria" w:hAnsi="Cambria" w:cstheme="minorHAnsi"/>
        </w:rPr>
        <w:t xml:space="preserve">: </w:t>
      </w:r>
    </w:p>
    <w:p w14:paraId="5839BEB5" w14:textId="204305FF" w:rsidR="00B4053A" w:rsidRPr="009A0DA6" w:rsidRDefault="00B4053A" w:rsidP="00B4053A">
      <w:pPr>
        <w:spacing w:before="120" w:after="120" w:line="240" w:lineRule="auto"/>
        <w:contextualSpacing/>
        <w:rPr>
          <w:rFonts w:ascii="Cambria" w:hAnsi="Cambria" w:cstheme="minorHAnsi"/>
        </w:rPr>
      </w:pPr>
      <w:r w:rsidRPr="009A0DA6">
        <w:rPr>
          <w:rFonts w:ascii="Cambria" w:hAnsi="Cambria" w:cstheme="minorHAnsi"/>
        </w:rPr>
        <w:t>ALWS supporters have by December 2017 donated significantly more than budgeted for entire period. A million-dollar response was received after the earthquake in Nepal, demonstrating supporter kindness at times of crisis. ALWS has met DFAT requirements for ANCP and CPP funding. Intentional focus on bequests made in 2017 as ALWS places more emphasis on fundraising</w:t>
      </w:r>
      <w:r w:rsidR="0027799A" w:rsidRPr="009A0DA6">
        <w:rPr>
          <w:rFonts w:ascii="Cambria" w:hAnsi="Cambria" w:cstheme="minorHAnsi"/>
        </w:rPr>
        <w:t xml:space="preserve">. </w:t>
      </w:r>
      <w:r w:rsidRPr="009A0DA6">
        <w:rPr>
          <w:rFonts w:ascii="Cambria" w:hAnsi="Cambria" w:cstheme="minorHAnsi"/>
        </w:rPr>
        <w:t>Successful matching grant opportunities through LWF/ECHO in Djibouti, South Sudan and Kenya</w:t>
      </w:r>
      <w:r w:rsidR="0027799A" w:rsidRPr="009A0DA6">
        <w:rPr>
          <w:rFonts w:ascii="Cambria" w:hAnsi="Cambria" w:cstheme="minorHAnsi"/>
        </w:rPr>
        <w:t xml:space="preserve">. </w:t>
      </w:r>
      <w:r w:rsidRPr="009A0DA6">
        <w:rPr>
          <w:rFonts w:ascii="Cambria" w:hAnsi="Cambria" w:cstheme="minorHAnsi"/>
        </w:rPr>
        <w:t xml:space="preserve">An Operational Plan has been designed with staff and </w:t>
      </w:r>
      <w:r w:rsidR="00295E5B" w:rsidRPr="009A0DA6">
        <w:rPr>
          <w:rFonts w:ascii="Cambria" w:hAnsi="Cambria" w:cstheme="minorHAnsi"/>
        </w:rPr>
        <w:t>board</w:t>
      </w:r>
      <w:r w:rsidRPr="009A0DA6">
        <w:rPr>
          <w:rFonts w:ascii="Cambria" w:hAnsi="Cambria" w:cstheme="minorHAnsi"/>
        </w:rPr>
        <w:t xml:space="preserve"> input to be a tool to reflect actions and outcomes required to meet the 25 objectives and 6 goals in the strategic plan. Information in this Operational plan is a result of a collaborative approach across all ALWS teams</w:t>
      </w:r>
      <w:r w:rsidR="0027799A" w:rsidRPr="009A0DA6">
        <w:rPr>
          <w:rFonts w:ascii="Cambria" w:hAnsi="Cambria" w:cstheme="minorHAnsi"/>
        </w:rPr>
        <w:t xml:space="preserve">. </w:t>
      </w:r>
      <w:r w:rsidRPr="009A0DA6">
        <w:rPr>
          <w:rFonts w:ascii="Cambria" w:hAnsi="Cambria" w:cstheme="minorHAnsi"/>
        </w:rPr>
        <w:t xml:space="preserve">A Mid Term Review of the plan confirmed that we are generally on target. A system to identify financial reserves, together with a simplified but no less rigorous financial reporting approach to the </w:t>
      </w:r>
      <w:r w:rsidR="00295E5B" w:rsidRPr="009A0DA6">
        <w:rPr>
          <w:rFonts w:ascii="Cambria" w:hAnsi="Cambria" w:cstheme="minorHAnsi"/>
        </w:rPr>
        <w:t>board</w:t>
      </w:r>
      <w:r w:rsidRPr="009A0DA6">
        <w:rPr>
          <w:rFonts w:ascii="Cambria" w:hAnsi="Cambria" w:cstheme="minorHAnsi"/>
        </w:rPr>
        <w:t xml:space="preserve">, enables governance to make a more informed decision about finances. A finance advisor on the </w:t>
      </w:r>
      <w:r w:rsidR="00295E5B" w:rsidRPr="009A0DA6">
        <w:rPr>
          <w:rFonts w:ascii="Cambria" w:hAnsi="Cambria" w:cstheme="minorHAnsi"/>
        </w:rPr>
        <w:t>Board</w:t>
      </w:r>
      <w:r w:rsidRPr="009A0DA6">
        <w:rPr>
          <w:rFonts w:ascii="Cambria" w:hAnsi="Cambria" w:cstheme="minorHAnsi"/>
        </w:rPr>
        <w:t xml:space="preserve"> Advisory Group also provides a helpful resource for the </w:t>
      </w:r>
      <w:r w:rsidR="00295E5B" w:rsidRPr="009A0DA6">
        <w:rPr>
          <w:rFonts w:ascii="Cambria" w:hAnsi="Cambria" w:cstheme="minorHAnsi"/>
        </w:rPr>
        <w:t>board</w:t>
      </w:r>
      <w:r w:rsidRPr="009A0DA6">
        <w:rPr>
          <w:rFonts w:ascii="Cambria" w:hAnsi="Cambria" w:cstheme="minorHAnsi"/>
        </w:rPr>
        <w:t xml:space="preserve"> and management. Staff appraisals occur annually, providing personnel with the formal opportunity to provide feedback, and an environment has been created where all people should feel comfortable raising concerns if need be. A thorough remuneration review in August 2015 provided the organisation with a fair and appropriate benchmark for each role. Travel and workplace safety checks and policy have been reviewed and implemented, and workloads have been addressed, to ensure staff welfare is maintained. </w:t>
      </w:r>
    </w:p>
    <w:p w14:paraId="36274B24" w14:textId="77777777" w:rsidR="008822A1" w:rsidRPr="00975F5B" w:rsidRDefault="008822A1" w:rsidP="00B4053A">
      <w:pPr>
        <w:spacing w:before="120" w:after="120" w:line="240" w:lineRule="auto"/>
        <w:contextualSpacing/>
        <w:rPr>
          <w:rFonts w:ascii="Cambria" w:hAnsi="Cambria" w:cstheme="minorHAnsi"/>
          <w:b/>
          <w:sz w:val="10"/>
        </w:rPr>
      </w:pPr>
    </w:p>
    <w:p w14:paraId="3A560A9C" w14:textId="56D7F6E3" w:rsidR="00B4053A" w:rsidRPr="009A0DA6" w:rsidRDefault="00B4053A" w:rsidP="008822A1">
      <w:pPr>
        <w:pStyle w:val="Heading3"/>
      </w:pPr>
      <w:r w:rsidRPr="009A0DA6">
        <w:t>Successes</w:t>
      </w:r>
    </w:p>
    <w:p w14:paraId="11E1C8E2" w14:textId="77777777" w:rsidR="00B4053A" w:rsidRPr="009A0DA6" w:rsidRDefault="00B4053A" w:rsidP="00F55252">
      <w:pPr>
        <w:pStyle w:val="ListParagraph"/>
        <w:numPr>
          <w:ilvl w:val="0"/>
          <w:numId w:val="261"/>
        </w:numPr>
        <w:spacing w:before="120" w:after="120" w:line="240" w:lineRule="auto"/>
        <w:ind w:left="567" w:hanging="567"/>
        <w:rPr>
          <w:rFonts w:ascii="Cambria" w:hAnsi="Cambria" w:cstheme="minorHAnsi"/>
        </w:rPr>
      </w:pPr>
      <w:r w:rsidRPr="009A0DA6">
        <w:rPr>
          <w:rFonts w:ascii="Cambria" w:hAnsi="Cambria" w:cstheme="minorHAnsi"/>
        </w:rPr>
        <w:t>A strong accreditation result from DFAT (February 2016) and continued acknowledgment of the quality of our reports.</w:t>
      </w:r>
    </w:p>
    <w:p w14:paraId="1DE44126" w14:textId="77777777" w:rsidR="00B4053A" w:rsidRPr="009A0DA6" w:rsidRDefault="00B4053A" w:rsidP="00F55252">
      <w:pPr>
        <w:pStyle w:val="ListParagraph"/>
        <w:numPr>
          <w:ilvl w:val="0"/>
          <w:numId w:val="261"/>
        </w:numPr>
        <w:spacing w:before="120" w:after="120" w:line="240" w:lineRule="auto"/>
        <w:ind w:left="567" w:hanging="567"/>
        <w:rPr>
          <w:rFonts w:ascii="Cambria" w:hAnsi="Cambria" w:cstheme="minorHAnsi"/>
        </w:rPr>
      </w:pPr>
      <w:r w:rsidRPr="009A0DA6">
        <w:rPr>
          <w:rFonts w:ascii="Cambria" w:hAnsi="Cambria" w:cstheme="minorHAnsi"/>
        </w:rPr>
        <w:t>Clear and owned Strategic Plan with few changes at the Mid Term Review Stage.</w:t>
      </w:r>
    </w:p>
    <w:p w14:paraId="58A40760" w14:textId="77777777" w:rsidR="00B4053A" w:rsidRPr="009A0DA6" w:rsidRDefault="00B4053A" w:rsidP="00F55252">
      <w:pPr>
        <w:pStyle w:val="ListParagraph"/>
        <w:numPr>
          <w:ilvl w:val="0"/>
          <w:numId w:val="261"/>
        </w:numPr>
        <w:spacing w:before="120" w:after="120" w:line="240" w:lineRule="auto"/>
        <w:ind w:left="567" w:hanging="567"/>
        <w:rPr>
          <w:rFonts w:ascii="Cambria" w:hAnsi="Cambria" w:cstheme="minorHAnsi"/>
        </w:rPr>
      </w:pPr>
      <w:r w:rsidRPr="009A0DA6">
        <w:rPr>
          <w:rFonts w:ascii="Cambria" w:hAnsi="Cambria" w:cstheme="minorHAnsi"/>
        </w:rPr>
        <w:t>Sustaining support for long-term development programs and emergencies.</w:t>
      </w:r>
    </w:p>
    <w:p w14:paraId="27BBCD09" w14:textId="77777777" w:rsidR="00B4053A" w:rsidRPr="009A0DA6" w:rsidRDefault="00B4053A" w:rsidP="00F55252">
      <w:pPr>
        <w:pStyle w:val="ListParagraph"/>
        <w:numPr>
          <w:ilvl w:val="0"/>
          <w:numId w:val="261"/>
        </w:numPr>
        <w:spacing w:before="120" w:after="120" w:line="240" w:lineRule="auto"/>
        <w:ind w:left="567" w:hanging="567"/>
        <w:rPr>
          <w:rFonts w:ascii="Cambria" w:hAnsi="Cambria" w:cstheme="minorHAnsi"/>
        </w:rPr>
      </w:pPr>
      <w:r w:rsidRPr="009A0DA6">
        <w:rPr>
          <w:rFonts w:ascii="Cambria" w:hAnsi="Cambria" w:cstheme="minorHAnsi"/>
        </w:rPr>
        <w:t>Successful leveraging of collaborations for increased Matching Grants for Djibouti, South Sudan and Kenya.</w:t>
      </w:r>
    </w:p>
    <w:p w14:paraId="6AB59FF8" w14:textId="77777777" w:rsidR="00B4053A" w:rsidRPr="009A0DA6" w:rsidRDefault="00B4053A" w:rsidP="00F55252">
      <w:pPr>
        <w:pStyle w:val="ListParagraph"/>
        <w:numPr>
          <w:ilvl w:val="0"/>
          <w:numId w:val="261"/>
        </w:numPr>
        <w:spacing w:before="120" w:after="120" w:line="240" w:lineRule="auto"/>
        <w:ind w:left="567" w:hanging="567"/>
        <w:rPr>
          <w:rFonts w:ascii="Cambria" w:hAnsi="Cambria" w:cstheme="minorHAnsi"/>
        </w:rPr>
      </w:pPr>
      <w:r w:rsidRPr="009A0DA6">
        <w:rPr>
          <w:rFonts w:ascii="Cambria" w:hAnsi="Cambria" w:cstheme="minorHAnsi"/>
        </w:rPr>
        <w:t>Accessing DFAT funding for emergencies through Church Agencies Network collaboration (CAN DO).</w:t>
      </w:r>
    </w:p>
    <w:p w14:paraId="54C6D4CB" w14:textId="77777777" w:rsidR="00B4053A" w:rsidRPr="009A0DA6" w:rsidRDefault="00B4053A" w:rsidP="00F55252">
      <w:pPr>
        <w:pStyle w:val="ListParagraph"/>
        <w:numPr>
          <w:ilvl w:val="0"/>
          <w:numId w:val="261"/>
        </w:numPr>
        <w:spacing w:before="120" w:after="120" w:line="240" w:lineRule="auto"/>
        <w:ind w:left="567" w:hanging="567"/>
        <w:rPr>
          <w:rFonts w:ascii="Cambria" w:hAnsi="Cambria" w:cstheme="minorHAnsi"/>
        </w:rPr>
      </w:pPr>
      <w:r w:rsidRPr="009A0DA6">
        <w:rPr>
          <w:rFonts w:ascii="Cambria" w:hAnsi="Cambria" w:cstheme="minorHAnsi"/>
        </w:rPr>
        <w:t>ALWS influenced LWF and ACT Alliance’s adoption of a more rigorous Child Protection Policy.</w:t>
      </w:r>
    </w:p>
    <w:p w14:paraId="6ADE5892" w14:textId="2BEA93B9" w:rsidR="00B4053A" w:rsidRPr="009A0DA6" w:rsidRDefault="00B4053A" w:rsidP="00F55252">
      <w:pPr>
        <w:pStyle w:val="ListParagraph"/>
        <w:numPr>
          <w:ilvl w:val="0"/>
          <w:numId w:val="261"/>
        </w:numPr>
        <w:spacing w:before="120" w:after="120" w:line="240" w:lineRule="auto"/>
        <w:ind w:left="567" w:hanging="567"/>
        <w:rPr>
          <w:rFonts w:ascii="Cambria" w:hAnsi="Cambria" w:cstheme="minorHAnsi"/>
        </w:rPr>
      </w:pPr>
      <w:r w:rsidRPr="009A0DA6">
        <w:rPr>
          <w:rFonts w:ascii="Cambria" w:hAnsi="Cambria" w:cstheme="minorHAnsi"/>
        </w:rPr>
        <w:t xml:space="preserve">Supportive </w:t>
      </w:r>
      <w:r w:rsidR="00295E5B" w:rsidRPr="009A0DA6">
        <w:rPr>
          <w:rFonts w:ascii="Cambria" w:hAnsi="Cambria" w:cstheme="minorHAnsi"/>
        </w:rPr>
        <w:t>board</w:t>
      </w:r>
      <w:r w:rsidRPr="009A0DA6">
        <w:rPr>
          <w:rFonts w:ascii="Cambria" w:hAnsi="Cambria" w:cstheme="minorHAnsi"/>
        </w:rPr>
        <w:t xml:space="preserve"> and </w:t>
      </w:r>
      <w:r w:rsidR="00295E5B" w:rsidRPr="009A0DA6">
        <w:rPr>
          <w:rFonts w:ascii="Cambria" w:hAnsi="Cambria" w:cstheme="minorHAnsi"/>
        </w:rPr>
        <w:t>board a</w:t>
      </w:r>
      <w:r w:rsidRPr="009A0DA6">
        <w:rPr>
          <w:rFonts w:ascii="Cambria" w:hAnsi="Cambria" w:cstheme="minorHAnsi"/>
        </w:rPr>
        <w:t>dvisors, skilled and committed staff, and a committed family of volunteers.</w:t>
      </w:r>
    </w:p>
    <w:p w14:paraId="6EF8B74C" w14:textId="77777777" w:rsidR="00B4053A" w:rsidRPr="009A0DA6" w:rsidRDefault="00B4053A" w:rsidP="00F55252">
      <w:pPr>
        <w:pStyle w:val="ListParagraph"/>
        <w:numPr>
          <w:ilvl w:val="0"/>
          <w:numId w:val="261"/>
        </w:numPr>
        <w:spacing w:before="120" w:after="120" w:line="240" w:lineRule="auto"/>
        <w:ind w:left="567" w:hanging="567"/>
        <w:rPr>
          <w:rFonts w:ascii="Cambria" w:hAnsi="Cambria" w:cstheme="minorHAnsi"/>
        </w:rPr>
      </w:pPr>
      <w:r w:rsidRPr="009A0DA6">
        <w:rPr>
          <w:rFonts w:ascii="Cambria" w:hAnsi="Cambria" w:cstheme="minorHAnsi"/>
        </w:rPr>
        <w:t>Positive perceptions of who we are in the sector and with overseas partners.</w:t>
      </w:r>
    </w:p>
    <w:p w14:paraId="569CCBEE" w14:textId="77777777" w:rsidR="00B4053A" w:rsidRPr="009A0DA6" w:rsidRDefault="00B4053A" w:rsidP="00F55252">
      <w:pPr>
        <w:pStyle w:val="ListParagraph"/>
        <w:numPr>
          <w:ilvl w:val="0"/>
          <w:numId w:val="261"/>
        </w:numPr>
        <w:spacing w:before="120" w:after="120" w:line="240" w:lineRule="auto"/>
        <w:ind w:left="567" w:hanging="567"/>
        <w:rPr>
          <w:rFonts w:ascii="Cambria" w:hAnsi="Cambria" w:cstheme="minorHAnsi"/>
        </w:rPr>
      </w:pPr>
      <w:r w:rsidRPr="009A0DA6">
        <w:rPr>
          <w:rFonts w:ascii="Cambria" w:hAnsi="Cambria" w:cstheme="minorHAnsi"/>
        </w:rPr>
        <w:t>Record number of visit to churches, schools, church groups and church events.</w:t>
      </w:r>
    </w:p>
    <w:p w14:paraId="584843E6" w14:textId="77777777" w:rsidR="00B4053A" w:rsidRPr="009A0DA6" w:rsidRDefault="00B4053A" w:rsidP="00F55252">
      <w:pPr>
        <w:pStyle w:val="ListParagraph"/>
        <w:numPr>
          <w:ilvl w:val="0"/>
          <w:numId w:val="261"/>
        </w:numPr>
        <w:spacing w:before="120" w:after="120" w:line="240" w:lineRule="auto"/>
        <w:ind w:left="567" w:hanging="567"/>
        <w:rPr>
          <w:rFonts w:ascii="Cambria" w:hAnsi="Cambria" w:cstheme="minorHAnsi"/>
        </w:rPr>
      </w:pPr>
      <w:r w:rsidRPr="009A0DA6">
        <w:rPr>
          <w:rFonts w:ascii="Cambria" w:hAnsi="Cambria" w:cstheme="minorHAnsi"/>
        </w:rPr>
        <w:t>Close Working relationship with LEA, LCAIM, LLL and the Office of the Bishop.</w:t>
      </w:r>
    </w:p>
    <w:p w14:paraId="6761B19C" w14:textId="77777777" w:rsidR="00B4053A" w:rsidRPr="009A0DA6" w:rsidRDefault="00B4053A" w:rsidP="00F55252">
      <w:pPr>
        <w:pStyle w:val="ListParagraph"/>
        <w:numPr>
          <w:ilvl w:val="0"/>
          <w:numId w:val="261"/>
        </w:numPr>
        <w:spacing w:before="120" w:after="120" w:line="240" w:lineRule="auto"/>
        <w:ind w:left="567" w:hanging="567"/>
        <w:rPr>
          <w:rFonts w:ascii="Cambria" w:hAnsi="Cambria" w:cstheme="minorHAnsi"/>
        </w:rPr>
      </w:pPr>
      <w:r w:rsidRPr="009A0DA6">
        <w:rPr>
          <w:rFonts w:ascii="Cambria" w:hAnsi="Cambria" w:cstheme="minorHAnsi"/>
        </w:rPr>
        <w:t>Establishment of Reserves Policy and contingency funds.</w:t>
      </w:r>
    </w:p>
    <w:p w14:paraId="29E78C75" w14:textId="77777777" w:rsidR="00B4053A" w:rsidRPr="009A0DA6" w:rsidRDefault="00B4053A" w:rsidP="00F55252">
      <w:pPr>
        <w:pStyle w:val="ListParagraph"/>
        <w:numPr>
          <w:ilvl w:val="0"/>
          <w:numId w:val="261"/>
        </w:numPr>
        <w:spacing w:before="120" w:after="120" w:line="240" w:lineRule="auto"/>
        <w:ind w:left="567" w:hanging="567"/>
        <w:rPr>
          <w:rFonts w:ascii="Cambria" w:hAnsi="Cambria" w:cstheme="minorHAnsi"/>
        </w:rPr>
      </w:pPr>
      <w:r w:rsidRPr="009A0DA6">
        <w:rPr>
          <w:rFonts w:ascii="Cambria" w:hAnsi="Cambria" w:cstheme="minorHAnsi"/>
        </w:rPr>
        <w:t>Quick turnaround of receipts during busy times.</w:t>
      </w:r>
    </w:p>
    <w:p w14:paraId="330435BA" w14:textId="4BF6F2D6" w:rsidR="00B4053A" w:rsidRPr="009A0DA6" w:rsidRDefault="00B4053A" w:rsidP="00F55252">
      <w:pPr>
        <w:pStyle w:val="ListParagraph"/>
        <w:numPr>
          <w:ilvl w:val="0"/>
          <w:numId w:val="261"/>
        </w:numPr>
        <w:spacing w:before="120" w:after="120" w:line="240" w:lineRule="auto"/>
        <w:ind w:left="567" w:hanging="567"/>
        <w:rPr>
          <w:rFonts w:ascii="Cambria" w:hAnsi="Cambria" w:cstheme="minorHAnsi"/>
        </w:rPr>
      </w:pPr>
      <w:r w:rsidRPr="009A0DA6">
        <w:rPr>
          <w:rFonts w:ascii="Cambria" w:hAnsi="Cambria" w:cstheme="minorHAnsi"/>
        </w:rPr>
        <w:t>Successful Head Office Review.</w:t>
      </w:r>
    </w:p>
    <w:p w14:paraId="438DF683" w14:textId="77777777" w:rsidR="00B4053A" w:rsidRPr="009A0DA6" w:rsidRDefault="00B4053A" w:rsidP="008822A1">
      <w:pPr>
        <w:pStyle w:val="Heading3"/>
      </w:pPr>
      <w:r w:rsidRPr="009A0DA6">
        <w:lastRenderedPageBreak/>
        <w:t>Challenges and Lessons Learned</w:t>
      </w:r>
    </w:p>
    <w:p w14:paraId="3836E68B" w14:textId="12F4C6F9" w:rsidR="00B4053A" w:rsidRPr="009A0DA6" w:rsidRDefault="00B4053A" w:rsidP="00F55252">
      <w:pPr>
        <w:pStyle w:val="ListParagraph"/>
        <w:numPr>
          <w:ilvl w:val="0"/>
          <w:numId w:val="262"/>
        </w:numPr>
        <w:spacing w:before="120" w:after="120" w:line="240" w:lineRule="auto"/>
        <w:ind w:left="567" w:hanging="567"/>
        <w:rPr>
          <w:rFonts w:ascii="Cambria" w:hAnsi="Cambria" w:cstheme="minorHAnsi"/>
        </w:rPr>
      </w:pPr>
      <w:r w:rsidRPr="009A0DA6">
        <w:rPr>
          <w:rFonts w:ascii="Cambria" w:hAnsi="Cambria" w:cstheme="minorHAnsi"/>
        </w:rPr>
        <w:t>Continuous cuts in DFAT’s funding  impacting ALWS’ support to overseas programs</w:t>
      </w:r>
      <w:r w:rsidR="0027799A" w:rsidRPr="009A0DA6">
        <w:rPr>
          <w:rFonts w:ascii="Cambria" w:hAnsi="Cambria" w:cstheme="minorHAnsi"/>
        </w:rPr>
        <w:t xml:space="preserve">. </w:t>
      </w:r>
      <w:r w:rsidRPr="009A0DA6">
        <w:rPr>
          <w:rFonts w:ascii="Cambria" w:hAnsi="Cambria" w:cstheme="minorHAnsi"/>
        </w:rPr>
        <w:t xml:space="preserve">         </w:t>
      </w:r>
    </w:p>
    <w:p w14:paraId="2D372C01" w14:textId="77777777" w:rsidR="00B4053A" w:rsidRPr="009A0DA6" w:rsidRDefault="00B4053A" w:rsidP="00F55252">
      <w:pPr>
        <w:pStyle w:val="ListParagraph"/>
        <w:numPr>
          <w:ilvl w:val="0"/>
          <w:numId w:val="262"/>
        </w:numPr>
        <w:spacing w:before="120" w:after="120" w:line="240" w:lineRule="auto"/>
        <w:ind w:left="567" w:hanging="567"/>
        <w:rPr>
          <w:rFonts w:ascii="Cambria" w:hAnsi="Cambria" w:cstheme="minorHAnsi"/>
        </w:rPr>
      </w:pPr>
      <w:r w:rsidRPr="009A0DA6">
        <w:rPr>
          <w:rFonts w:ascii="Cambria" w:hAnsi="Cambria" w:cstheme="minorHAnsi"/>
        </w:rPr>
        <w:t xml:space="preserve">Supporters are more naturally inclined to give to large-scale emergencies that long-term projects. </w:t>
      </w:r>
    </w:p>
    <w:p w14:paraId="389FDD1C" w14:textId="77777777" w:rsidR="00B4053A" w:rsidRPr="009A0DA6" w:rsidRDefault="00B4053A" w:rsidP="00F55252">
      <w:pPr>
        <w:pStyle w:val="ListParagraph"/>
        <w:numPr>
          <w:ilvl w:val="0"/>
          <w:numId w:val="262"/>
        </w:numPr>
        <w:spacing w:before="120" w:after="120" w:line="240" w:lineRule="auto"/>
        <w:ind w:left="567" w:hanging="567"/>
        <w:rPr>
          <w:rFonts w:ascii="Cambria" w:hAnsi="Cambria" w:cstheme="minorHAnsi"/>
        </w:rPr>
      </w:pPr>
      <w:r w:rsidRPr="009A0DA6">
        <w:rPr>
          <w:rFonts w:ascii="Cambria" w:hAnsi="Cambria" w:cstheme="minorHAnsi"/>
        </w:rPr>
        <w:t>Conflicts and political tensions in a number of countries have disrupted long term development work.</w:t>
      </w:r>
    </w:p>
    <w:p w14:paraId="67F23E3B" w14:textId="77777777" w:rsidR="00B4053A" w:rsidRPr="009A0DA6" w:rsidRDefault="00B4053A" w:rsidP="00F55252">
      <w:pPr>
        <w:pStyle w:val="ListParagraph"/>
        <w:numPr>
          <w:ilvl w:val="0"/>
          <w:numId w:val="262"/>
        </w:numPr>
        <w:spacing w:before="120" w:after="120" w:line="240" w:lineRule="auto"/>
        <w:ind w:left="567" w:hanging="567"/>
        <w:rPr>
          <w:rFonts w:ascii="Cambria" w:hAnsi="Cambria" w:cstheme="minorHAnsi"/>
        </w:rPr>
      </w:pPr>
      <w:r w:rsidRPr="009A0DA6">
        <w:rPr>
          <w:rFonts w:ascii="Cambria" w:hAnsi="Cambria" w:cstheme="minorHAnsi"/>
        </w:rPr>
        <w:t>Travel security risks for ALWS staff have increased, limiting some monitoring work.</w:t>
      </w:r>
    </w:p>
    <w:p w14:paraId="534A4D13" w14:textId="77777777" w:rsidR="00B4053A" w:rsidRPr="009A0DA6" w:rsidRDefault="00B4053A" w:rsidP="00F55252">
      <w:pPr>
        <w:pStyle w:val="ListParagraph"/>
        <w:numPr>
          <w:ilvl w:val="0"/>
          <w:numId w:val="262"/>
        </w:numPr>
        <w:spacing w:before="120" w:after="120" w:line="240" w:lineRule="auto"/>
        <w:ind w:left="567" w:hanging="567"/>
        <w:rPr>
          <w:rFonts w:ascii="Cambria" w:hAnsi="Cambria" w:cstheme="minorHAnsi"/>
        </w:rPr>
      </w:pPr>
      <w:r w:rsidRPr="009A0DA6">
        <w:rPr>
          <w:rFonts w:ascii="Cambria" w:hAnsi="Cambria" w:cstheme="minorHAnsi"/>
        </w:rPr>
        <w:t>Remaining relevance in an aging church.</w:t>
      </w:r>
    </w:p>
    <w:p w14:paraId="647BC477" w14:textId="77777777" w:rsidR="00B4053A" w:rsidRPr="009A0DA6" w:rsidRDefault="00B4053A" w:rsidP="00F55252">
      <w:pPr>
        <w:pStyle w:val="ListParagraph"/>
        <w:numPr>
          <w:ilvl w:val="0"/>
          <w:numId w:val="262"/>
        </w:numPr>
        <w:spacing w:before="120" w:after="120" w:line="240" w:lineRule="auto"/>
        <w:ind w:left="567" w:hanging="567"/>
        <w:rPr>
          <w:rFonts w:ascii="Cambria" w:hAnsi="Cambria" w:cstheme="minorHAnsi"/>
        </w:rPr>
      </w:pPr>
      <w:r w:rsidRPr="009A0DA6">
        <w:rPr>
          <w:rFonts w:ascii="Cambria" w:hAnsi="Cambria" w:cstheme="minorHAnsi"/>
        </w:rPr>
        <w:t xml:space="preserve">LCA HRS system challenges. </w:t>
      </w:r>
    </w:p>
    <w:p w14:paraId="08402AFA" w14:textId="5B73718A" w:rsidR="00B4053A" w:rsidRPr="001D5DFD" w:rsidRDefault="00B4053A" w:rsidP="008822A1">
      <w:pPr>
        <w:pStyle w:val="Heading3"/>
      </w:pPr>
      <w:r w:rsidRPr="001D5DFD">
        <w:t>Risks</w:t>
      </w:r>
    </w:p>
    <w:tbl>
      <w:tblPr>
        <w:tblStyle w:val="PlainTable2"/>
        <w:tblW w:w="8901" w:type="dxa"/>
        <w:tblLook w:val="04A0" w:firstRow="1" w:lastRow="0" w:firstColumn="1" w:lastColumn="0" w:noHBand="0" w:noVBand="1"/>
      </w:tblPr>
      <w:tblGrid>
        <w:gridCol w:w="2268"/>
        <w:gridCol w:w="3231"/>
        <w:gridCol w:w="3402"/>
      </w:tblGrid>
      <w:tr w:rsidR="008822A1" w:rsidRPr="009A0DA6" w14:paraId="6474184E" w14:textId="77777777" w:rsidTr="00975F5B">
        <w:trPr>
          <w:cnfStyle w:val="100000000000" w:firstRow="1" w:lastRow="0" w:firstColumn="0" w:lastColumn="0" w:oddVBand="0" w:evenVBand="0" w:oddHBand="0" w:evenHBand="0" w:firstRowFirstColumn="0" w:firstRowLastColumn="0" w:lastRowFirstColumn="0" w:lastRowLastColumn="0"/>
          <w:trHeight w:val="908"/>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20BD694D" w14:textId="77777777" w:rsidR="00B4053A" w:rsidRPr="009A0DA6" w:rsidRDefault="00B4053A" w:rsidP="0015713F">
            <w:pPr>
              <w:rPr>
                <w:rFonts w:ascii="Cambria" w:hAnsi="Cambria" w:cs="Times New Roman"/>
              </w:rPr>
            </w:pPr>
            <w:r w:rsidRPr="009A0DA6">
              <w:rPr>
                <w:rFonts w:ascii="Cambria" w:hAnsi="Cambria" w:cs="Times New Roman"/>
              </w:rPr>
              <w:t>Describes risk, its source and impact</w:t>
            </w:r>
          </w:p>
          <w:p w14:paraId="1D7D7675" w14:textId="77777777" w:rsidR="00B4053A" w:rsidRPr="009A0DA6" w:rsidRDefault="00B4053A" w:rsidP="0015713F">
            <w:pPr>
              <w:rPr>
                <w:rFonts w:ascii="Cambria" w:hAnsi="Cambria" w:cs="Times New Roman"/>
              </w:rPr>
            </w:pPr>
          </w:p>
          <w:p w14:paraId="713624EB" w14:textId="77777777" w:rsidR="00B4053A" w:rsidRPr="009A0DA6" w:rsidRDefault="00B4053A" w:rsidP="0015713F">
            <w:pPr>
              <w:rPr>
                <w:rFonts w:ascii="Cambria" w:hAnsi="Cambria" w:cs="Times New Roman"/>
              </w:rPr>
            </w:pPr>
          </w:p>
          <w:p w14:paraId="453330F9" w14:textId="77777777" w:rsidR="00B4053A" w:rsidRPr="009A0DA6" w:rsidRDefault="00B4053A" w:rsidP="0015713F">
            <w:pPr>
              <w:rPr>
                <w:rFonts w:ascii="Cambria" w:hAnsi="Cambria" w:cs="Times New Roman"/>
              </w:rPr>
            </w:pPr>
          </w:p>
        </w:tc>
        <w:tc>
          <w:tcPr>
            <w:tcW w:w="3231" w:type="dxa"/>
            <w:vAlign w:val="center"/>
            <w:hideMark/>
          </w:tcPr>
          <w:p w14:paraId="57EAA5FC" w14:textId="77777777" w:rsidR="00B4053A" w:rsidRPr="009A0DA6" w:rsidRDefault="00B4053A" w:rsidP="0015713F">
            <w:pPr>
              <w:cnfStyle w:val="100000000000" w:firstRow="1" w:lastRow="0" w:firstColumn="0" w:lastColumn="0" w:oddVBand="0" w:evenVBand="0" w:oddHBand="0" w:evenHBand="0" w:firstRowFirstColumn="0" w:firstRowLastColumn="0" w:lastRowFirstColumn="0" w:lastRowLastColumn="0"/>
              <w:rPr>
                <w:rFonts w:ascii="Cambria" w:hAnsi="Cambria" w:cs="Times New Roman"/>
              </w:rPr>
            </w:pPr>
            <w:r w:rsidRPr="009A0DA6">
              <w:rPr>
                <w:rFonts w:ascii="Cambria" w:hAnsi="Cambria" w:cs="Times New Roman"/>
              </w:rPr>
              <w:t>Describes actions currently in place to manage risk</w:t>
            </w:r>
          </w:p>
        </w:tc>
        <w:tc>
          <w:tcPr>
            <w:tcW w:w="3402" w:type="dxa"/>
            <w:vAlign w:val="center"/>
            <w:hideMark/>
          </w:tcPr>
          <w:p w14:paraId="5FEE931B" w14:textId="77777777" w:rsidR="00B4053A" w:rsidRPr="009A0DA6" w:rsidRDefault="00B4053A" w:rsidP="0015713F">
            <w:pPr>
              <w:cnfStyle w:val="100000000000" w:firstRow="1" w:lastRow="0" w:firstColumn="0" w:lastColumn="0" w:oddVBand="0" w:evenVBand="0" w:oddHBand="0" w:evenHBand="0" w:firstRowFirstColumn="0" w:firstRowLastColumn="0" w:lastRowFirstColumn="0" w:lastRowLastColumn="0"/>
              <w:rPr>
                <w:rFonts w:ascii="Cambria" w:hAnsi="Cambria" w:cs="Times New Roman"/>
              </w:rPr>
            </w:pPr>
            <w:r w:rsidRPr="009A0DA6">
              <w:rPr>
                <w:rFonts w:ascii="Cambria" w:hAnsi="Cambria" w:cs="Times New Roman"/>
              </w:rPr>
              <w:t>Describes any additional action to improve risk management</w:t>
            </w:r>
          </w:p>
          <w:p w14:paraId="5E8E557D" w14:textId="77777777" w:rsidR="00B4053A" w:rsidRPr="009A0DA6" w:rsidRDefault="00B4053A" w:rsidP="0015713F">
            <w:pPr>
              <w:cnfStyle w:val="100000000000" w:firstRow="1" w:lastRow="0" w:firstColumn="0" w:lastColumn="0" w:oddVBand="0" w:evenVBand="0" w:oddHBand="0" w:evenHBand="0" w:firstRowFirstColumn="0" w:firstRowLastColumn="0" w:lastRowFirstColumn="0" w:lastRowLastColumn="0"/>
              <w:rPr>
                <w:rFonts w:ascii="Cambria" w:hAnsi="Cambria" w:cs="Times New Roman"/>
                <w:b w:val="0"/>
                <w:i/>
                <w:sz w:val="18"/>
              </w:rPr>
            </w:pPr>
            <w:r w:rsidRPr="009A0DA6">
              <w:rPr>
                <w:rFonts w:ascii="Cambria" w:hAnsi="Cambria" w:cs="Times New Roman"/>
                <w:b w:val="0"/>
                <w:i/>
                <w:sz w:val="18"/>
              </w:rPr>
              <w:t>If existing risk management is sufficient, then ‘Regular monitoring and review’</w:t>
            </w:r>
          </w:p>
          <w:p w14:paraId="15727EB8" w14:textId="77777777" w:rsidR="00B4053A" w:rsidRPr="009A0DA6" w:rsidRDefault="00B4053A" w:rsidP="0015713F">
            <w:pPr>
              <w:cnfStyle w:val="100000000000" w:firstRow="1" w:lastRow="0" w:firstColumn="0" w:lastColumn="0" w:oddVBand="0" w:evenVBand="0" w:oddHBand="0" w:evenHBand="0" w:firstRowFirstColumn="0" w:firstRowLastColumn="0" w:lastRowFirstColumn="0" w:lastRowLastColumn="0"/>
              <w:rPr>
                <w:rFonts w:ascii="Cambria" w:hAnsi="Cambria" w:cs="Times New Roman"/>
                <w:i/>
              </w:rPr>
            </w:pPr>
            <w:r w:rsidRPr="009A0DA6">
              <w:rPr>
                <w:rFonts w:ascii="Cambria" w:hAnsi="Cambria" w:cs="Times New Roman"/>
                <w:b w:val="0"/>
                <w:i/>
                <w:sz w:val="18"/>
              </w:rPr>
              <w:t>Likelihood (L), Consequence (C), Risk (R)</w:t>
            </w:r>
          </w:p>
        </w:tc>
      </w:tr>
      <w:tr w:rsidR="008822A1" w:rsidRPr="009A0DA6" w14:paraId="368DD16D" w14:textId="77777777" w:rsidTr="00882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hideMark/>
          </w:tcPr>
          <w:p w14:paraId="54D562C5" w14:textId="447A2243" w:rsidR="00B4053A" w:rsidRPr="009A0DA6" w:rsidRDefault="00B4053A">
            <w:pPr>
              <w:rPr>
                <w:rFonts w:ascii="Cambria" w:hAnsi="Cambria" w:cs="Times New Roman"/>
              </w:rPr>
            </w:pPr>
            <w:r w:rsidRPr="009A0DA6">
              <w:rPr>
                <w:rFonts w:ascii="Cambria" w:hAnsi="Cambria" w:cs="Times New Roman"/>
              </w:rPr>
              <w:t>1</w:t>
            </w:r>
            <w:r w:rsidR="0027799A" w:rsidRPr="009A0DA6">
              <w:rPr>
                <w:rFonts w:ascii="Cambria" w:hAnsi="Cambria" w:cs="Times New Roman"/>
              </w:rPr>
              <w:t xml:space="preserve">. </w:t>
            </w:r>
            <w:r w:rsidRPr="009A0DA6">
              <w:rPr>
                <w:rFonts w:ascii="Cambria" w:hAnsi="Cambria" w:cs="Times New Roman"/>
              </w:rPr>
              <w:t xml:space="preserve">Compliance </w:t>
            </w:r>
          </w:p>
          <w:p w14:paraId="193AF1C4" w14:textId="77777777" w:rsidR="00B4053A" w:rsidRPr="009A0DA6" w:rsidRDefault="00B4053A">
            <w:pPr>
              <w:rPr>
                <w:rFonts w:ascii="Cambria" w:hAnsi="Cambria" w:cs="Times New Roman"/>
                <w:b w:val="0"/>
              </w:rPr>
            </w:pPr>
            <w:r w:rsidRPr="009A0DA6">
              <w:rPr>
                <w:rFonts w:ascii="Cambria" w:hAnsi="Cambria" w:cs="Times New Roman"/>
                <w:b w:val="0"/>
                <w:bCs w:val="0"/>
                <w:iCs/>
              </w:rPr>
              <w:t>Breach of DFAT contractual conditions due to inadequate financial and organisational controls resulting in c</w:t>
            </w:r>
            <w:r w:rsidRPr="009A0DA6">
              <w:rPr>
                <w:rFonts w:ascii="Cambria" w:hAnsi="Cambria" w:cs="Times New Roman"/>
                <w:b w:val="0"/>
                <w:bCs w:val="0"/>
                <w:iCs/>
                <w:noProof/>
              </w:rPr>
              <w:t>ancellation of contract, demand for return of funds and loss of accreditation</w:t>
            </w:r>
          </w:p>
        </w:tc>
        <w:tc>
          <w:tcPr>
            <w:tcW w:w="3231" w:type="dxa"/>
          </w:tcPr>
          <w:p w14:paraId="0559A9A6" w14:textId="77777777" w:rsidR="00B4053A" w:rsidRPr="009A0DA6" w:rsidRDefault="00B4053A">
            <w:pPr>
              <w:pStyle w:val="Footer"/>
              <w:cnfStyle w:val="000000100000" w:firstRow="0" w:lastRow="0" w:firstColumn="0" w:lastColumn="0" w:oddVBand="0" w:evenVBand="0" w:oddHBand="1" w:evenHBand="0" w:firstRowFirstColumn="0" w:firstRowLastColumn="0" w:lastRowFirstColumn="0" w:lastRowLastColumn="0"/>
              <w:rPr>
                <w:rFonts w:ascii="Cambria" w:hAnsi="Cambria"/>
              </w:rPr>
            </w:pPr>
            <w:r w:rsidRPr="009A0DA6">
              <w:rPr>
                <w:rFonts w:ascii="Cambria" w:hAnsi="Cambria"/>
              </w:rPr>
              <w:t>Consistent application of financial and program management systems</w:t>
            </w:r>
          </w:p>
          <w:p w14:paraId="5BCDF6AE" w14:textId="77777777" w:rsidR="00B4053A" w:rsidRPr="009A0DA6" w:rsidRDefault="00B4053A">
            <w:pPr>
              <w:pStyle w:val="Footer"/>
              <w:cnfStyle w:val="000000100000" w:firstRow="0" w:lastRow="0" w:firstColumn="0" w:lastColumn="0" w:oddVBand="0" w:evenVBand="0" w:oddHBand="1" w:evenHBand="0" w:firstRowFirstColumn="0" w:firstRowLastColumn="0" w:lastRowFirstColumn="0" w:lastRowLastColumn="0"/>
              <w:rPr>
                <w:rFonts w:ascii="Cambria" w:hAnsi="Cambria"/>
                <w:lang w:bidi="en-US"/>
              </w:rPr>
            </w:pPr>
          </w:p>
          <w:p w14:paraId="077D65F4" w14:textId="77777777" w:rsidR="00B4053A" w:rsidRPr="009A0DA6" w:rsidRDefault="00B4053A">
            <w:pPr>
              <w:pStyle w:val="Footer"/>
              <w:cnfStyle w:val="000000100000" w:firstRow="0" w:lastRow="0" w:firstColumn="0" w:lastColumn="0" w:oddVBand="0" w:evenVBand="0" w:oddHBand="1" w:evenHBand="0" w:firstRowFirstColumn="0" w:firstRowLastColumn="0" w:lastRowFirstColumn="0" w:lastRowLastColumn="0"/>
              <w:rPr>
                <w:rFonts w:ascii="Cambria" w:hAnsi="Cambria"/>
              </w:rPr>
            </w:pPr>
            <w:r w:rsidRPr="009A0DA6">
              <w:rPr>
                <w:rFonts w:ascii="Cambria" w:hAnsi="Cambria"/>
              </w:rPr>
              <w:t>Regular review of systems to ensure compliance</w:t>
            </w:r>
          </w:p>
          <w:p w14:paraId="70BCF4F7" w14:textId="77777777" w:rsidR="00B4053A" w:rsidRPr="009A0DA6" w:rsidRDefault="00B4053A">
            <w:pPr>
              <w:pStyle w:val="Footer"/>
              <w:cnfStyle w:val="000000100000" w:firstRow="0" w:lastRow="0" w:firstColumn="0" w:lastColumn="0" w:oddVBand="0" w:evenVBand="0" w:oddHBand="1" w:evenHBand="0" w:firstRowFirstColumn="0" w:firstRowLastColumn="0" w:lastRowFirstColumn="0" w:lastRowLastColumn="0"/>
              <w:rPr>
                <w:rFonts w:ascii="Cambria" w:hAnsi="Cambria"/>
                <w:lang w:bidi="en-US"/>
              </w:rPr>
            </w:pPr>
          </w:p>
          <w:p w14:paraId="1C0E91D5" w14:textId="77777777" w:rsidR="00B4053A" w:rsidRPr="009A0DA6" w:rsidRDefault="00B4053A">
            <w:pPr>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9A0DA6">
              <w:rPr>
                <w:rFonts w:ascii="Cambria" w:hAnsi="Cambria" w:cs="Times New Roman"/>
              </w:rPr>
              <w:t>Utilise resources and training programs to assist ALWS maintain standards</w:t>
            </w:r>
          </w:p>
        </w:tc>
        <w:tc>
          <w:tcPr>
            <w:tcW w:w="3402" w:type="dxa"/>
          </w:tcPr>
          <w:p w14:paraId="75FD53A5" w14:textId="77777777" w:rsidR="00B4053A" w:rsidRPr="009A0DA6" w:rsidRDefault="00B4053A">
            <w:pPr>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9A0DA6">
              <w:rPr>
                <w:rFonts w:ascii="Cambria" w:hAnsi="Cambria" w:cs="Times New Roman"/>
              </w:rPr>
              <w:t>L2, C4, RH</w:t>
            </w:r>
          </w:p>
          <w:p w14:paraId="127ED4C9" w14:textId="77777777" w:rsidR="00B4053A" w:rsidRPr="009A0DA6" w:rsidRDefault="00B4053A">
            <w:pPr>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9A0DA6">
              <w:rPr>
                <w:rFonts w:ascii="Cambria" w:hAnsi="Cambria" w:cs="Times New Roman"/>
              </w:rPr>
              <w:t xml:space="preserve">Regular monitoring and review. </w:t>
            </w:r>
          </w:p>
          <w:p w14:paraId="26B5CF9B" w14:textId="77777777" w:rsidR="00B4053A" w:rsidRPr="009A0DA6" w:rsidRDefault="00B4053A">
            <w:pPr>
              <w:cnfStyle w:val="000000100000" w:firstRow="0" w:lastRow="0" w:firstColumn="0" w:lastColumn="0" w:oddVBand="0" w:evenVBand="0" w:oddHBand="1" w:evenHBand="0" w:firstRowFirstColumn="0" w:firstRowLastColumn="0" w:lastRowFirstColumn="0" w:lastRowLastColumn="0"/>
              <w:rPr>
                <w:rFonts w:ascii="Cambria" w:hAnsi="Cambria" w:cs="Times New Roman"/>
              </w:rPr>
            </w:pPr>
          </w:p>
          <w:p w14:paraId="27EA23B5" w14:textId="45129ADD" w:rsidR="00B4053A" w:rsidRPr="009A0DA6" w:rsidRDefault="00B4053A">
            <w:pPr>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9A0DA6">
              <w:rPr>
                <w:rFonts w:ascii="Cambria" w:hAnsi="Cambria" w:cs="Times New Roman"/>
              </w:rPr>
              <w:t>Maintain high level compliance requirements affirmed during accreditation in 2016.</w:t>
            </w:r>
            <w:r w:rsidR="008822A1" w:rsidRPr="009A0DA6">
              <w:rPr>
                <w:rFonts w:ascii="Cambria" w:hAnsi="Cambria" w:cs="Times New Roman"/>
              </w:rPr>
              <w:br/>
            </w:r>
          </w:p>
          <w:p w14:paraId="5C68ABA5" w14:textId="77777777" w:rsidR="00B4053A" w:rsidRPr="009A0DA6" w:rsidRDefault="00B4053A">
            <w:pPr>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9A0DA6">
              <w:rPr>
                <w:rFonts w:ascii="Cambria" w:hAnsi="Cambria" w:cs="Times New Roman"/>
              </w:rPr>
              <w:t>Appointment of Financial Strategist and Finance Officers (FTE 0.4) to keep abreast with financial obligations.</w:t>
            </w:r>
          </w:p>
        </w:tc>
      </w:tr>
      <w:tr w:rsidR="008822A1" w:rsidRPr="009A0DA6" w14:paraId="00608F3D" w14:textId="77777777" w:rsidTr="008822A1">
        <w:tc>
          <w:tcPr>
            <w:cnfStyle w:val="001000000000" w:firstRow="0" w:lastRow="0" w:firstColumn="1" w:lastColumn="0" w:oddVBand="0" w:evenVBand="0" w:oddHBand="0" w:evenHBand="0" w:firstRowFirstColumn="0" w:firstRowLastColumn="0" w:lastRowFirstColumn="0" w:lastRowLastColumn="0"/>
            <w:tcW w:w="2268" w:type="dxa"/>
            <w:hideMark/>
          </w:tcPr>
          <w:p w14:paraId="79A81F6E" w14:textId="2E01DD19" w:rsidR="00B4053A" w:rsidRPr="009A0DA6" w:rsidRDefault="00B4053A">
            <w:pPr>
              <w:rPr>
                <w:rFonts w:ascii="Cambria" w:hAnsi="Cambria" w:cs="Times New Roman"/>
              </w:rPr>
            </w:pPr>
            <w:r w:rsidRPr="009A0DA6">
              <w:rPr>
                <w:rFonts w:ascii="Cambria" w:hAnsi="Cambria" w:cs="Times New Roman"/>
              </w:rPr>
              <w:t>2</w:t>
            </w:r>
            <w:r w:rsidR="008822A1" w:rsidRPr="009A0DA6">
              <w:rPr>
                <w:rFonts w:ascii="Cambria" w:hAnsi="Cambria" w:cs="Times New Roman"/>
              </w:rPr>
              <w:t>.</w:t>
            </w:r>
            <w:r w:rsidRPr="009A0DA6">
              <w:rPr>
                <w:rFonts w:ascii="Cambria" w:hAnsi="Cambria" w:cs="Times New Roman"/>
              </w:rPr>
              <w:t xml:space="preserve"> Fraud</w:t>
            </w:r>
          </w:p>
          <w:p w14:paraId="41CAC130" w14:textId="77777777" w:rsidR="00B4053A" w:rsidRPr="009A0DA6" w:rsidRDefault="00B4053A">
            <w:pPr>
              <w:rPr>
                <w:rFonts w:ascii="Cambria" w:hAnsi="Cambria" w:cs="Times New Roman"/>
                <w:b w:val="0"/>
              </w:rPr>
            </w:pPr>
            <w:r w:rsidRPr="009A0DA6">
              <w:rPr>
                <w:rFonts w:ascii="Cambria" w:hAnsi="Cambria" w:cs="Times New Roman"/>
                <w:b w:val="0"/>
              </w:rPr>
              <w:t>An unprofessional and corrupt culture due to an absence of guiding principles and mechanisms to report breaches, resulting in poor behaviour and respect and leading to wrongdoing and a loss of support from stakeholders</w:t>
            </w:r>
          </w:p>
        </w:tc>
        <w:tc>
          <w:tcPr>
            <w:tcW w:w="3231" w:type="dxa"/>
            <w:hideMark/>
          </w:tcPr>
          <w:p w14:paraId="1A621C97" w14:textId="1DC36D19" w:rsidR="00B4053A" w:rsidRPr="009A0DA6" w:rsidRDefault="00B4053A">
            <w:pPr>
              <w:pStyle w:val="Footer"/>
              <w:cnfStyle w:val="000000000000" w:firstRow="0" w:lastRow="0" w:firstColumn="0" w:lastColumn="0" w:oddVBand="0" w:evenVBand="0" w:oddHBand="0" w:evenHBand="0" w:firstRowFirstColumn="0" w:firstRowLastColumn="0" w:lastRowFirstColumn="0" w:lastRowLastColumn="0"/>
              <w:rPr>
                <w:rFonts w:ascii="Cambria" w:hAnsi="Cambria"/>
              </w:rPr>
            </w:pPr>
            <w:r w:rsidRPr="009A0DA6">
              <w:rPr>
                <w:rFonts w:ascii="Cambria" w:hAnsi="Cambria"/>
              </w:rPr>
              <w:t>ALWS has all staff sign its Code of Conduct, which is explained at time of new staff/</w:t>
            </w:r>
            <w:r w:rsidR="00295E5B" w:rsidRPr="009A0DA6">
              <w:rPr>
                <w:rFonts w:ascii="Cambria" w:hAnsi="Cambria"/>
              </w:rPr>
              <w:t>board</w:t>
            </w:r>
            <w:r w:rsidRPr="009A0DA6">
              <w:rPr>
                <w:rFonts w:ascii="Cambria" w:hAnsi="Cambria"/>
              </w:rPr>
              <w:t xml:space="preserve"> members at induction, with periodic refreshers.</w:t>
            </w:r>
          </w:p>
          <w:p w14:paraId="40EF91A4" w14:textId="5B23E705" w:rsidR="00B4053A" w:rsidRPr="009A0DA6" w:rsidRDefault="00B4053A">
            <w:pPr>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9A0DA6">
              <w:rPr>
                <w:rFonts w:ascii="Cambria" w:hAnsi="Cambria" w:cs="Times New Roman"/>
              </w:rPr>
              <w:t>Its C</w:t>
            </w:r>
            <w:r w:rsidR="00295E5B" w:rsidRPr="009A0DA6">
              <w:rPr>
                <w:rFonts w:ascii="Cambria" w:hAnsi="Cambria" w:cs="Times New Roman"/>
              </w:rPr>
              <w:t>omplaints Policy is understood and</w:t>
            </w:r>
            <w:r w:rsidRPr="009A0DA6">
              <w:rPr>
                <w:rFonts w:ascii="Cambria" w:hAnsi="Cambria" w:cs="Times New Roman"/>
              </w:rPr>
              <w:t xml:space="preserve"> staff/</w:t>
            </w:r>
            <w:r w:rsidR="00295E5B" w:rsidRPr="009A0DA6">
              <w:rPr>
                <w:rFonts w:ascii="Cambria" w:hAnsi="Cambria" w:cs="Times New Roman"/>
              </w:rPr>
              <w:t>board</w:t>
            </w:r>
            <w:r w:rsidRPr="009A0DA6">
              <w:rPr>
                <w:rFonts w:ascii="Cambria" w:hAnsi="Cambria" w:cs="Times New Roman"/>
              </w:rPr>
              <w:t xml:space="preserve"> have confidence to use, if necessary</w:t>
            </w:r>
          </w:p>
        </w:tc>
        <w:tc>
          <w:tcPr>
            <w:tcW w:w="3402" w:type="dxa"/>
          </w:tcPr>
          <w:p w14:paraId="41B310AD" w14:textId="77777777" w:rsidR="00B4053A" w:rsidRPr="009A0DA6" w:rsidRDefault="00B4053A">
            <w:pPr>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9A0DA6">
              <w:rPr>
                <w:rFonts w:ascii="Cambria" w:hAnsi="Cambria" w:cs="Times New Roman"/>
              </w:rPr>
              <w:t>L2, C4, RH</w:t>
            </w:r>
          </w:p>
          <w:p w14:paraId="0D939D5C" w14:textId="77777777" w:rsidR="00B4053A" w:rsidRPr="009A0DA6" w:rsidRDefault="00B4053A">
            <w:pPr>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9A0DA6">
              <w:rPr>
                <w:rFonts w:ascii="Cambria" w:hAnsi="Cambria" w:cs="Times New Roman"/>
              </w:rPr>
              <w:t xml:space="preserve">Regular monitoring and review. Reinforcement of principles in Strategic Plan, regular staff appraisals, reminder of terms in Letter of Appointment. </w:t>
            </w:r>
          </w:p>
          <w:p w14:paraId="73088419" w14:textId="77777777" w:rsidR="00B4053A" w:rsidRPr="009A0DA6" w:rsidRDefault="00B4053A">
            <w:pPr>
              <w:cnfStyle w:val="000000000000" w:firstRow="0" w:lastRow="0" w:firstColumn="0" w:lastColumn="0" w:oddVBand="0" w:evenVBand="0" w:oddHBand="0" w:evenHBand="0" w:firstRowFirstColumn="0" w:firstRowLastColumn="0" w:lastRowFirstColumn="0" w:lastRowLastColumn="0"/>
              <w:rPr>
                <w:rFonts w:ascii="Cambria" w:hAnsi="Cambria" w:cs="Times New Roman"/>
              </w:rPr>
            </w:pPr>
          </w:p>
          <w:p w14:paraId="28C09D55" w14:textId="77777777" w:rsidR="00B4053A" w:rsidRPr="009A0DA6" w:rsidRDefault="00B4053A">
            <w:pPr>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9A0DA6">
              <w:rPr>
                <w:rFonts w:ascii="Cambria" w:hAnsi="Cambria" w:cs="Times New Roman"/>
              </w:rPr>
              <w:t>All Letters of Appointment and appraisals up to date.</w:t>
            </w:r>
          </w:p>
        </w:tc>
      </w:tr>
      <w:tr w:rsidR="008822A1" w:rsidRPr="009A0DA6" w14:paraId="557659EB" w14:textId="77777777" w:rsidTr="00882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hideMark/>
          </w:tcPr>
          <w:p w14:paraId="1363C3F8" w14:textId="188BE508" w:rsidR="00B4053A" w:rsidRPr="009A0DA6" w:rsidRDefault="00B4053A">
            <w:pPr>
              <w:rPr>
                <w:rFonts w:ascii="Cambria" w:hAnsi="Cambria" w:cs="Times New Roman"/>
              </w:rPr>
            </w:pPr>
            <w:r w:rsidRPr="009A0DA6">
              <w:rPr>
                <w:rFonts w:ascii="Cambria" w:hAnsi="Cambria" w:cs="Times New Roman"/>
              </w:rPr>
              <w:t>3</w:t>
            </w:r>
            <w:r w:rsidR="008822A1" w:rsidRPr="009A0DA6">
              <w:rPr>
                <w:rFonts w:ascii="Cambria" w:hAnsi="Cambria" w:cs="Times New Roman"/>
              </w:rPr>
              <w:t>.</w:t>
            </w:r>
            <w:r w:rsidRPr="009A0DA6">
              <w:rPr>
                <w:rFonts w:ascii="Cambria" w:hAnsi="Cambria" w:cs="Times New Roman"/>
              </w:rPr>
              <w:t xml:space="preserve"> Income</w:t>
            </w:r>
          </w:p>
          <w:p w14:paraId="7561CC65" w14:textId="2315674C" w:rsidR="00B4053A" w:rsidRPr="009A0DA6" w:rsidRDefault="001D5DFD">
            <w:pPr>
              <w:rPr>
                <w:rFonts w:ascii="Cambria" w:hAnsi="Cambria" w:cs="Times New Roman"/>
                <w:b w:val="0"/>
              </w:rPr>
            </w:pPr>
            <w:r w:rsidRPr="001D5DFD">
              <w:rPr>
                <w:rFonts w:ascii="Cambria" w:hAnsi="Cambria"/>
                <w:b w:val="0"/>
                <w:iCs/>
                <w:color w:val="000000"/>
              </w:rPr>
              <w:t>Death of older members of the ALWS family, who tend to be the most able to be generous; they are irreplaceable</w:t>
            </w:r>
            <w:r>
              <w:rPr>
                <w:rFonts w:ascii="Century Gothic" w:hAnsi="Century Gothic"/>
                <w:i/>
                <w:iCs/>
                <w:color w:val="000000"/>
              </w:rPr>
              <w:t>.</w:t>
            </w:r>
          </w:p>
        </w:tc>
        <w:tc>
          <w:tcPr>
            <w:tcW w:w="3231" w:type="dxa"/>
            <w:hideMark/>
          </w:tcPr>
          <w:p w14:paraId="43EB3BF4" w14:textId="77777777" w:rsidR="00B4053A" w:rsidRPr="009A0DA6" w:rsidRDefault="00B4053A">
            <w:pPr>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9A0DA6">
              <w:rPr>
                <w:rFonts w:ascii="Cambria" w:hAnsi="Cambria" w:cs="Times New Roman"/>
              </w:rPr>
              <w:t>ALWS seeks to regularly recruit new supporters. Offers opportunity to supporters to leave a bequest to ALWS.</w:t>
            </w:r>
          </w:p>
        </w:tc>
        <w:tc>
          <w:tcPr>
            <w:tcW w:w="3402" w:type="dxa"/>
          </w:tcPr>
          <w:p w14:paraId="3267D609" w14:textId="77777777" w:rsidR="00B4053A" w:rsidRPr="009A0DA6" w:rsidRDefault="00B4053A">
            <w:pPr>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9A0DA6">
              <w:rPr>
                <w:rFonts w:ascii="Cambria" w:hAnsi="Cambria" w:cs="Times New Roman"/>
              </w:rPr>
              <w:t>L5, C4, RE</w:t>
            </w:r>
          </w:p>
          <w:p w14:paraId="548ADB4E" w14:textId="77777777" w:rsidR="00B4053A" w:rsidRPr="009A0DA6" w:rsidRDefault="00B4053A">
            <w:pPr>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9A0DA6">
              <w:rPr>
                <w:rFonts w:ascii="Cambria" w:hAnsi="Cambria" w:cs="Times New Roman"/>
              </w:rPr>
              <w:t>Ramp up Bequest promotion. Seek out other sources of funding for ALWS programs. Prepare Major Donor proposals for suitable supporters. Identify any people on ‘Inactive’ fail who may be suitable for reactivation.</w:t>
            </w:r>
          </w:p>
          <w:p w14:paraId="6E0C167A" w14:textId="77777777" w:rsidR="00B4053A" w:rsidRPr="009A0DA6" w:rsidRDefault="00B4053A">
            <w:pPr>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9A0DA6">
              <w:rPr>
                <w:rFonts w:ascii="Cambria" w:hAnsi="Cambria" w:cs="Times New Roman"/>
              </w:rPr>
              <w:t>Intentional fundraising focus in 2017.</w:t>
            </w:r>
          </w:p>
          <w:p w14:paraId="60C729AC" w14:textId="77777777" w:rsidR="00B4053A" w:rsidRPr="009A0DA6" w:rsidRDefault="00B4053A">
            <w:pPr>
              <w:cnfStyle w:val="000000100000" w:firstRow="0" w:lastRow="0" w:firstColumn="0" w:lastColumn="0" w:oddVBand="0" w:evenVBand="0" w:oddHBand="1" w:evenHBand="0" w:firstRowFirstColumn="0" w:firstRowLastColumn="0" w:lastRowFirstColumn="0" w:lastRowLastColumn="0"/>
              <w:rPr>
                <w:rFonts w:ascii="Cambria" w:hAnsi="Cambria" w:cs="Times New Roman"/>
              </w:rPr>
            </w:pPr>
          </w:p>
          <w:p w14:paraId="5396A64A" w14:textId="77777777" w:rsidR="00B4053A" w:rsidRPr="009A0DA6" w:rsidRDefault="00B4053A">
            <w:pPr>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9A0DA6">
              <w:rPr>
                <w:rFonts w:ascii="Cambria" w:hAnsi="Cambria" w:cs="Times New Roman"/>
              </w:rPr>
              <w:t xml:space="preserve">Focus on appropriate management of bequests explored with Financial Strategist since mid June 2017 </w:t>
            </w:r>
          </w:p>
        </w:tc>
      </w:tr>
      <w:tr w:rsidR="008822A1" w:rsidRPr="009A0DA6" w14:paraId="67830B68" w14:textId="77777777" w:rsidTr="008822A1">
        <w:tc>
          <w:tcPr>
            <w:cnfStyle w:val="001000000000" w:firstRow="0" w:lastRow="0" w:firstColumn="1" w:lastColumn="0" w:oddVBand="0" w:evenVBand="0" w:oddHBand="0" w:evenHBand="0" w:firstRowFirstColumn="0" w:firstRowLastColumn="0" w:lastRowFirstColumn="0" w:lastRowLastColumn="0"/>
            <w:tcW w:w="2268" w:type="dxa"/>
            <w:hideMark/>
          </w:tcPr>
          <w:p w14:paraId="386481EF" w14:textId="223C629B" w:rsidR="00B4053A" w:rsidRPr="009A0DA6" w:rsidRDefault="00B4053A">
            <w:pPr>
              <w:spacing w:line="264" w:lineRule="auto"/>
              <w:rPr>
                <w:rFonts w:ascii="Cambria" w:hAnsi="Cambria" w:cs="Times New Roman"/>
                <w:iCs/>
              </w:rPr>
            </w:pPr>
            <w:r w:rsidRPr="009A0DA6">
              <w:rPr>
                <w:rFonts w:ascii="Cambria" w:hAnsi="Cambria" w:cs="Times New Roman"/>
                <w:bCs w:val="0"/>
                <w:iCs/>
              </w:rPr>
              <w:lastRenderedPageBreak/>
              <w:t>4</w:t>
            </w:r>
            <w:r w:rsidR="008822A1" w:rsidRPr="009A0DA6">
              <w:rPr>
                <w:rFonts w:ascii="Cambria" w:hAnsi="Cambria" w:cs="Times New Roman"/>
                <w:bCs w:val="0"/>
                <w:iCs/>
              </w:rPr>
              <w:t>.</w:t>
            </w:r>
            <w:r w:rsidR="001D5DFD">
              <w:rPr>
                <w:rFonts w:ascii="Cambria" w:hAnsi="Cambria" w:cs="Times New Roman"/>
                <w:bCs w:val="0"/>
                <w:iCs/>
              </w:rPr>
              <w:t xml:space="preserve"> Image and</w:t>
            </w:r>
            <w:r w:rsidRPr="009A0DA6">
              <w:rPr>
                <w:rFonts w:ascii="Cambria" w:hAnsi="Cambria" w:cs="Times New Roman"/>
                <w:bCs w:val="0"/>
                <w:iCs/>
              </w:rPr>
              <w:t xml:space="preserve"> Reputation </w:t>
            </w:r>
          </w:p>
          <w:p w14:paraId="02D98771" w14:textId="77777777" w:rsidR="00B4053A" w:rsidRPr="009A0DA6" w:rsidRDefault="00B4053A">
            <w:pPr>
              <w:spacing w:line="264" w:lineRule="auto"/>
              <w:rPr>
                <w:rFonts w:ascii="Cambria" w:hAnsi="Cambria" w:cs="Times New Roman"/>
                <w:b w:val="0"/>
                <w:bCs w:val="0"/>
                <w:iCs/>
              </w:rPr>
            </w:pPr>
            <w:r w:rsidRPr="009A0DA6">
              <w:rPr>
                <w:rFonts w:ascii="Cambria" w:hAnsi="Cambria" w:cs="Times New Roman"/>
                <w:b w:val="0"/>
                <w:bCs w:val="0"/>
                <w:iCs/>
              </w:rPr>
              <w:t xml:space="preserve">Failure to adhere to ACFID Code of Conduct requirements resulting in loss of signatory status, withdrawal of membership on ACFID workings groups and Church Agency Network, distrust within the sector and from discerning supporters, thereby threatening income and loyalty. </w:t>
            </w:r>
          </w:p>
        </w:tc>
        <w:tc>
          <w:tcPr>
            <w:tcW w:w="3231" w:type="dxa"/>
          </w:tcPr>
          <w:p w14:paraId="6E2DB6D1" w14:textId="27414824" w:rsidR="00B4053A" w:rsidRPr="009A0DA6" w:rsidRDefault="00B4053A">
            <w:pPr>
              <w:pStyle w:val="Footer"/>
              <w:cnfStyle w:val="000000000000" w:firstRow="0" w:lastRow="0" w:firstColumn="0" w:lastColumn="0" w:oddVBand="0" w:evenVBand="0" w:oddHBand="0" w:evenHBand="0" w:firstRowFirstColumn="0" w:firstRowLastColumn="0" w:lastRowFirstColumn="0" w:lastRowLastColumn="0"/>
              <w:rPr>
                <w:rFonts w:ascii="Cambria" w:hAnsi="Cambria"/>
              </w:rPr>
            </w:pPr>
            <w:r w:rsidRPr="009A0DA6">
              <w:rPr>
                <w:rFonts w:ascii="Cambria" w:hAnsi="Cambria"/>
              </w:rPr>
              <w:t>All staff and are aware of Code requirements, the importance of adhering to them, and the value placed on being part of the ACFID network.</w:t>
            </w:r>
          </w:p>
          <w:p w14:paraId="6ACB55AE" w14:textId="77777777" w:rsidR="00B4053A" w:rsidRPr="009A0DA6" w:rsidRDefault="00B4053A">
            <w:pPr>
              <w:pStyle w:val="Footer"/>
              <w:cnfStyle w:val="000000000000" w:firstRow="0" w:lastRow="0" w:firstColumn="0" w:lastColumn="0" w:oddVBand="0" w:evenVBand="0" w:oddHBand="0" w:evenHBand="0" w:firstRowFirstColumn="0" w:firstRowLastColumn="0" w:lastRowFirstColumn="0" w:lastRowLastColumn="0"/>
              <w:rPr>
                <w:rFonts w:ascii="Cambria" w:hAnsi="Cambria"/>
              </w:rPr>
            </w:pPr>
            <w:r w:rsidRPr="009A0DA6">
              <w:rPr>
                <w:rFonts w:ascii="Cambria" w:hAnsi="Cambria"/>
              </w:rPr>
              <w:t xml:space="preserve"> </w:t>
            </w:r>
          </w:p>
          <w:p w14:paraId="15A2D865" w14:textId="77777777" w:rsidR="00B4053A" w:rsidRPr="009A0DA6" w:rsidRDefault="00B4053A">
            <w:pPr>
              <w:pStyle w:val="Footer"/>
              <w:cnfStyle w:val="000000000000" w:firstRow="0" w:lastRow="0" w:firstColumn="0" w:lastColumn="0" w:oddVBand="0" w:evenVBand="0" w:oddHBand="0" w:evenHBand="0" w:firstRowFirstColumn="0" w:firstRowLastColumn="0" w:lastRowFirstColumn="0" w:lastRowLastColumn="0"/>
              <w:rPr>
                <w:rFonts w:ascii="Cambria" w:hAnsi="Cambria"/>
              </w:rPr>
            </w:pPr>
            <w:r w:rsidRPr="009A0DA6">
              <w:rPr>
                <w:rFonts w:ascii="Cambria" w:hAnsi="Cambria"/>
              </w:rPr>
              <w:t>Adequate human resourcing to ensure ALWS is compliant with all sections of the Code.</w:t>
            </w:r>
          </w:p>
          <w:p w14:paraId="235448A0" w14:textId="77777777" w:rsidR="00B4053A" w:rsidRPr="009A0DA6" w:rsidRDefault="00B4053A">
            <w:pPr>
              <w:pStyle w:val="Footer"/>
              <w:cnfStyle w:val="000000000000" w:firstRow="0" w:lastRow="0" w:firstColumn="0" w:lastColumn="0" w:oddVBand="0" w:evenVBand="0" w:oddHBand="0" w:evenHBand="0" w:firstRowFirstColumn="0" w:firstRowLastColumn="0" w:lastRowFirstColumn="0" w:lastRowLastColumn="0"/>
              <w:rPr>
                <w:rFonts w:ascii="Cambria" w:hAnsi="Cambria"/>
                <w:lang w:bidi="en-US"/>
              </w:rPr>
            </w:pPr>
          </w:p>
          <w:p w14:paraId="7372E2DC" w14:textId="77777777" w:rsidR="00B4053A" w:rsidRPr="009A0DA6" w:rsidRDefault="00B4053A">
            <w:pPr>
              <w:pStyle w:val="Footer"/>
              <w:cnfStyle w:val="000000000000" w:firstRow="0" w:lastRow="0" w:firstColumn="0" w:lastColumn="0" w:oddVBand="0" w:evenVBand="0" w:oddHBand="0" w:evenHBand="0" w:firstRowFirstColumn="0" w:firstRowLastColumn="0" w:lastRowFirstColumn="0" w:lastRowLastColumn="0"/>
              <w:rPr>
                <w:rFonts w:ascii="Cambria" w:hAnsi="Cambria"/>
              </w:rPr>
            </w:pPr>
            <w:r w:rsidRPr="009A0DA6">
              <w:rPr>
                <w:rFonts w:ascii="Cambria" w:hAnsi="Cambria"/>
              </w:rPr>
              <w:t xml:space="preserve">Biannual reviews of the Code, and reference to Code requirements during each emergency appeal. </w:t>
            </w:r>
          </w:p>
        </w:tc>
        <w:tc>
          <w:tcPr>
            <w:tcW w:w="3402" w:type="dxa"/>
          </w:tcPr>
          <w:p w14:paraId="19760FBB" w14:textId="77777777" w:rsidR="00B4053A" w:rsidRPr="009A0DA6" w:rsidRDefault="00B4053A">
            <w:pPr>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9A0DA6">
              <w:rPr>
                <w:rFonts w:ascii="Cambria" w:hAnsi="Cambria" w:cs="Times New Roman"/>
              </w:rPr>
              <w:t>L2, C5, RH</w:t>
            </w:r>
          </w:p>
          <w:p w14:paraId="61462B82" w14:textId="77777777" w:rsidR="00B4053A" w:rsidRPr="009A0DA6" w:rsidRDefault="00B4053A">
            <w:pPr>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9A0DA6">
              <w:rPr>
                <w:rFonts w:ascii="Cambria" w:hAnsi="Cambria" w:cs="Times New Roman"/>
              </w:rPr>
              <w:t>Regular monitoring and review</w:t>
            </w:r>
          </w:p>
          <w:p w14:paraId="5C000B5E" w14:textId="77777777" w:rsidR="00B4053A" w:rsidRPr="009A0DA6" w:rsidRDefault="00B4053A">
            <w:pPr>
              <w:cnfStyle w:val="000000000000" w:firstRow="0" w:lastRow="0" w:firstColumn="0" w:lastColumn="0" w:oddVBand="0" w:evenVBand="0" w:oddHBand="0" w:evenHBand="0" w:firstRowFirstColumn="0" w:firstRowLastColumn="0" w:lastRowFirstColumn="0" w:lastRowLastColumn="0"/>
              <w:rPr>
                <w:rFonts w:ascii="Cambria" w:hAnsi="Cambria" w:cs="Times New Roman"/>
              </w:rPr>
            </w:pPr>
          </w:p>
          <w:p w14:paraId="08C0F9A2" w14:textId="6E34C157" w:rsidR="00B4053A" w:rsidRPr="009A0DA6" w:rsidRDefault="00B4053A">
            <w:pPr>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9A0DA6">
              <w:rPr>
                <w:rFonts w:ascii="Cambria" w:hAnsi="Cambria" w:cs="Times New Roman"/>
              </w:rPr>
              <w:t xml:space="preserve">Orientate </w:t>
            </w:r>
            <w:r w:rsidR="00295E5B" w:rsidRPr="009A0DA6">
              <w:rPr>
                <w:rFonts w:ascii="Cambria" w:hAnsi="Cambria" w:cs="Times New Roman"/>
              </w:rPr>
              <w:t>board</w:t>
            </w:r>
            <w:r w:rsidRPr="009A0DA6">
              <w:rPr>
                <w:rFonts w:ascii="Cambria" w:hAnsi="Cambria" w:cs="Times New Roman"/>
              </w:rPr>
              <w:t xml:space="preserve"> and staff on new Code of Conduct in February 2018.</w:t>
            </w:r>
          </w:p>
          <w:p w14:paraId="6E355F37" w14:textId="77777777" w:rsidR="00B4053A" w:rsidRPr="009A0DA6" w:rsidRDefault="00B4053A">
            <w:pPr>
              <w:cnfStyle w:val="000000000000" w:firstRow="0" w:lastRow="0" w:firstColumn="0" w:lastColumn="0" w:oddVBand="0" w:evenVBand="0" w:oddHBand="0" w:evenHBand="0" w:firstRowFirstColumn="0" w:firstRowLastColumn="0" w:lastRowFirstColumn="0" w:lastRowLastColumn="0"/>
              <w:rPr>
                <w:rFonts w:ascii="Cambria" w:hAnsi="Cambria" w:cs="Times New Roman"/>
              </w:rPr>
            </w:pPr>
          </w:p>
          <w:p w14:paraId="1092B6FF" w14:textId="77777777" w:rsidR="00B4053A" w:rsidRPr="009A0DA6" w:rsidRDefault="00B4053A">
            <w:pPr>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9A0DA6">
              <w:rPr>
                <w:rFonts w:ascii="Cambria" w:hAnsi="Cambria" w:cs="Times New Roman"/>
              </w:rPr>
              <w:t>Address all areas of non-compliance identified through the May 2018 Code of Conduct Exceptions Report by March 2019</w:t>
            </w:r>
          </w:p>
        </w:tc>
      </w:tr>
      <w:tr w:rsidR="008822A1" w:rsidRPr="009A0DA6" w14:paraId="5CC75F96" w14:textId="77777777" w:rsidTr="00882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9598C85" w14:textId="697FDD56" w:rsidR="00B4053A" w:rsidRPr="009A0DA6" w:rsidRDefault="00B4053A">
            <w:pPr>
              <w:rPr>
                <w:rFonts w:ascii="Cambria" w:hAnsi="Cambria" w:cs="Times New Roman"/>
              </w:rPr>
            </w:pPr>
            <w:r w:rsidRPr="009A0DA6">
              <w:rPr>
                <w:rFonts w:ascii="Cambria" w:hAnsi="Cambria" w:cs="Times New Roman"/>
              </w:rPr>
              <w:t>5</w:t>
            </w:r>
            <w:r w:rsidR="008822A1" w:rsidRPr="009A0DA6">
              <w:rPr>
                <w:rFonts w:ascii="Cambria" w:hAnsi="Cambria" w:cs="Times New Roman"/>
              </w:rPr>
              <w:t>.</w:t>
            </w:r>
            <w:r w:rsidRPr="009A0DA6">
              <w:rPr>
                <w:rFonts w:ascii="Cambria" w:hAnsi="Cambria" w:cs="Times New Roman"/>
              </w:rPr>
              <w:t xml:space="preserve"> Partnerships</w:t>
            </w:r>
          </w:p>
          <w:p w14:paraId="6B7087D5" w14:textId="77777777" w:rsidR="00B4053A" w:rsidRPr="009A0DA6" w:rsidRDefault="00B4053A">
            <w:pPr>
              <w:spacing w:line="264" w:lineRule="auto"/>
              <w:rPr>
                <w:rFonts w:ascii="Cambria" w:hAnsi="Cambria" w:cs="Times New Roman"/>
                <w:b w:val="0"/>
                <w:iCs/>
                <w:noProof/>
              </w:rPr>
            </w:pPr>
            <w:r w:rsidRPr="009A0DA6">
              <w:rPr>
                <w:rFonts w:ascii="Cambria" w:hAnsi="Cambria" w:cs="Times New Roman"/>
                <w:b w:val="0"/>
                <w:bCs w:val="0"/>
                <w:iCs/>
              </w:rPr>
              <w:t>Changes in LWF/DWS structure and operational capacity due to a change of mandate for World Service, resulting in a</w:t>
            </w:r>
            <w:r w:rsidRPr="009A0DA6">
              <w:rPr>
                <w:rFonts w:ascii="Cambria" w:hAnsi="Cambria" w:cs="Times New Roman"/>
                <w:b w:val="0"/>
                <w:bCs w:val="0"/>
                <w:iCs/>
                <w:noProof/>
              </w:rPr>
              <w:t xml:space="preserve"> diminshed ability to deliver the ALWS overseas aid program</w:t>
            </w:r>
          </w:p>
          <w:p w14:paraId="5717D516" w14:textId="77777777" w:rsidR="00B4053A" w:rsidRPr="009A0DA6" w:rsidRDefault="00B4053A">
            <w:pPr>
              <w:rPr>
                <w:rFonts w:ascii="Cambria" w:hAnsi="Cambria" w:cs="Times New Roman"/>
                <w:bCs w:val="0"/>
                <w:iCs/>
              </w:rPr>
            </w:pPr>
          </w:p>
        </w:tc>
        <w:tc>
          <w:tcPr>
            <w:tcW w:w="3231" w:type="dxa"/>
          </w:tcPr>
          <w:p w14:paraId="48569D9C" w14:textId="77777777" w:rsidR="00B4053A" w:rsidRPr="009A0DA6" w:rsidRDefault="00B4053A">
            <w:pPr>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9A0DA6">
              <w:rPr>
                <w:rFonts w:ascii="Cambria" w:hAnsi="Cambria" w:cs="Times New Roman"/>
              </w:rPr>
              <w:t>Reduce reliance on LWF/DWS as key implementing partner</w:t>
            </w:r>
          </w:p>
          <w:p w14:paraId="3DE943BC" w14:textId="77777777" w:rsidR="00B4053A" w:rsidRPr="009A0DA6" w:rsidRDefault="00B4053A">
            <w:pPr>
              <w:cnfStyle w:val="000000100000" w:firstRow="0" w:lastRow="0" w:firstColumn="0" w:lastColumn="0" w:oddVBand="0" w:evenVBand="0" w:oddHBand="1" w:evenHBand="0" w:firstRowFirstColumn="0" w:firstRowLastColumn="0" w:lastRowFirstColumn="0" w:lastRowLastColumn="0"/>
              <w:rPr>
                <w:rFonts w:ascii="Cambria" w:hAnsi="Cambria" w:cs="Times New Roman"/>
              </w:rPr>
            </w:pPr>
          </w:p>
          <w:p w14:paraId="38D869E0" w14:textId="77777777" w:rsidR="00B4053A" w:rsidRPr="009A0DA6" w:rsidRDefault="00B4053A">
            <w:pPr>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9A0DA6">
              <w:rPr>
                <w:rFonts w:ascii="Cambria" w:hAnsi="Cambria" w:cs="Times New Roman"/>
              </w:rPr>
              <w:t>Participate actively in LWF processes to influence future directions</w:t>
            </w:r>
          </w:p>
        </w:tc>
        <w:tc>
          <w:tcPr>
            <w:tcW w:w="3402" w:type="dxa"/>
          </w:tcPr>
          <w:p w14:paraId="61628366" w14:textId="77777777" w:rsidR="00B4053A" w:rsidRPr="009A0DA6" w:rsidRDefault="00B4053A">
            <w:pPr>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9A0DA6">
              <w:rPr>
                <w:rFonts w:ascii="Cambria" w:hAnsi="Cambria" w:cs="Times New Roman"/>
              </w:rPr>
              <w:t>L2, C4, RH</w:t>
            </w:r>
          </w:p>
          <w:p w14:paraId="1B57D5C5" w14:textId="77777777" w:rsidR="00B4053A" w:rsidRPr="009A0DA6" w:rsidRDefault="00B4053A">
            <w:pPr>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9A0DA6">
              <w:rPr>
                <w:rFonts w:ascii="Cambria" w:hAnsi="Cambria" w:cs="Times New Roman"/>
              </w:rPr>
              <w:t xml:space="preserve">Maintain a close ‘watching brief’ of DWS through its Committee for World Service to minimise likelihood of a change of mandate. </w:t>
            </w:r>
          </w:p>
          <w:p w14:paraId="13B0A7C2" w14:textId="77777777" w:rsidR="00B4053A" w:rsidRPr="009A0DA6" w:rsidRDefault="00B4053A">
            <w:pPr>
              <w:cnfStyle w:val="000000100000" w:firstRow="0" w:lastRow="0" w:firstColumn="0" w:lastColumn="0" w:oddVBand="0" w:evenVBand="0" w:oddHBand="1" w:evenHBand="0" w:firstRowFirstColumn="0" w:firstRowLastColumn="0" w:lastRowFirstColumn="0" w:lastRowLastColumn="0"/>
              <w:rPr>
                <w:rFonts w:ascii="Cambria" w:hAnsi="Cambria" w:cs="Times New Roman"/>
              </w:rPr>
            </w:pPr>
          </w:p>
          <w:p w14:paraId="7B2071FF" w14:textId="2463A616" w:rsidR="00B4053A" w:rsidRPr="009A0DA6" w:rsidRDefault="00B4053A">
            <w:pPr>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9A0DA6">
              <w:rPr>
                <w:rFonts w:ascii="Cambria" w:hAnsi="Cambria" w:cs="Times New Roman"/>
              </w:rPr>
              <w:t>Maintain a close working relationship with and influence on all DWS programs we support</w:t>
            </w:r>
            <w:r w:rsidR="0027799A" w:rsidRPr="009A0DA6">
              <w:rPr>
                <w:rFonts w:ascii="Cambria" w:hAnsi="Cambria" w:cs="Times New Roman"/>
              </w:rPr>
              <w:t xml:space="preserve">. </w:t>
            </w:r>
          </w:p>
          <w:p w14:paraId="26C25081" w14:textId="77777777" w:rsidR="00B4053A" w:rsidRPr="009A0DA6" w:rsidRDefault="00B4053A">
            <w:pPr>
              <w:cnfStyle w:val="000000100000" w:firstRow="0" w:lastRow="0" w:firstColumn="0" w:lastColumn="0" w:oddVBand="0" w:evenVBand="0" w:oddHBand="1" w:evenHBand="0" w:firstRowFirstColumn="0" w:firstRowLastColumn="0" w:lastRowFirstColumn="0" w:lastRowLastColumn="0"/>
              <w:rPr>
                <w:rFonts w:ascii="Cambria" w:hAnsi="Cambria" w:cs="Times New Roman"/>
              </w:rPr>
            </w:pPr>
          </w:p>
          <w:p w14:paraId="07972AED" w14:textId="77777777" w:rsidR="00B4053A" w:rsidRPr="009A0DA6" w:rsidRDefault="00B4053A">
            <w:pPr>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9A0DA6">
              <w:rPr>
                <w:rFonts w:ascii="Cambria" w:hAnsi="Cambria" w:cs="Times New Roman"/>
              </w:rPr>
              <w:t xml:space="preserve">Participation at CWS meeting in November 2018. Input into DWS Strategic Plan Review July 2017. </w:t>
            </w:r>
          </w:p>
          <w:p w14:paraId="4D567334" w14:textId="77777777" w:rsidR="00B4053A" w:rsidRPr="009A0DA6" w:rsidRDefault="00B4053A">
            <w:pPr>
              <w:cnfStyle w:val="000000100000" w:firstRow="0" w:lastRow="0" w:firstColumn="0" w:lastColumn="0" w:oddVBand="0" w:evenVBand="0" w:oddHBand="1" w:evenHBand="0" w:firstRowFirstColumn="0" w:firstRowLastColumn="0" w:lastRowFirstColumn="0" w:lastRowLastColumn="0"/>
              <w:rPr>
                <w:rFonts w:ascii="Cambria" w:hAnsi="Cambria" w:cs="Times New Roman"/>
              </w:rPr>
            </w:pPr>
          </w:p>
          <w:p w14:paraId="088E7912" w14:textId="77777777" w:rsidR="00B4053A" w:rsidRPr="009A0DA6" w:rsidRDefault="00B4053A">
            <w:pPr>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9A0DA6">
              <w:rPr>
                <w:rFonts w:ascii="Cambria" w:hAnsi="Cambria" w:cs="Times New Roman"/>
              </w:rPr>
              <w:t>Regular monitoring and correspondence.</w:t>
            </w:r>
          </w:p>
        </w:tc>
      </w:tr>
      <w:tr w:rsidR="008822A1" w:rsidRPr="009A0DA6" w14:paraId="387BF61B" w14:textId="77777777" w:rsidTr="008822A1">
        <w:tc>
          <w:tcPr>
            <w:cnfStyle w:val="001000000000" w:firstRow="0" w:lastRow="0" w:firstColumn="1" w:lastColumn="0" w:oddVBand="0" w:evenVBand="0" w:oddHBand="0" w:evenHBand="0" w:firstRowFirstColumn="0" w:firstRowLastColumn="0" w:lastRowFirstColumn="0" w:lastRowLastColumn="0"/>
            <w:tcW w:w="2268" w:type="dxa"/>
          </w:tcPr>
          <w:p w14:paraId="67AAD23C" w14:textId="695B0927" w:rsidR="00B4053A" w:rsidRPr="009A0DA6" w:rsidRDefault="00B4053A">
            <w:pPr>
              <w:rPr>
                <w:rFonts w:ascii="Cambria" w:hAnsi="Cambria" w:cs="Times New Roman"/>
              </w:rPr>
            </w:pPr>
            <w:r w:rsidRPr="009A0DA6">
              <w:rPr>
                <w:rFonts w:ascii="Cambria" w:hAnsi="Cambria" w:cs="Times New Roman"/>
              </w:rPr>
              <w:t>6</w:t>
            </w:r>
            <w:r w:rsidR="008822A1" w:rsidRPr="009A0DA6">
              <w:rPr>
                <w:rFonts w:ascii="Cambria" w:hAnsi="Cambria" w:cs="Times New Roman"/>
              </w:rPr>
              <w:t>.</w:t>
            </w:r>
            <w:r w:rsidRPr="009A0DA6">
              <w:rPr>
                <w:rFonts w:ascii="Cambria" w:hAnsi="Cambria" w:cs="Times New Roman"/>
              </w:rPr>
              <w:t xml:space="preserve"> Staff safety</w:t>
            </w:r>
          </w:p>
          <w:p w14:paraId="1F503259" w14:textId="77777777" w:rsidR="00B4053A" w:rsidRPr="009A0DA6" w:rsidRDefault="00B4053A">
            <w:pPr>
              <w:rPr>
                <w:rFonts w:ascii="Cambria" w:hAnsi="Cambria" w:cs="Times New Roman"/>
                <w:b w:val="0"/>
              </w:rPr>
            </w:pPr>
            <w:r w:rsidRPr="009A0DA6">
              <w:rPr>
                <w:rFonts w:ascii="Cambria" w:hAnsi="Cambria" w:cs="Times New Roman"/>
                <w:b w:val="0"/>
              </w:rPr>
              <w:t>Staff safety compromised overseas due to dangerous environment, resulting in minor or serious injury, kidnapping or death</w:t>
            </w:r>
          </w:p>
          <w:p w14:paraId="62A83F0C" w14:textId="77777777" w:rsidR="00B4053A" w:rsidRPr="009A0DA6" w:rsidRDefault="00B4053A">
            <w:pPr>
              <w:rPr>
                <w:rFonts w:ascii="Cambria" w:hAnsi="Cambria" w:cs="Times New Roman"/>
              </w:rPr>
            </w:pPr>
          </w:p>
        </w:tc>
        <w:tc>
          <w:tcPr>
            <w:tcW w:w="3231" w:type="dxa"/>
          </w:tcPr>
          <w:p w14:paraId="6B878A78" w14:textId="77777777" w:rsidR="00B4053A" w:rsidRPr="009A0DA6" w:rsidRDefault="00B4053A">
            <w:pPr>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9A0DA6">
              <w:rPr>
                <w:rFonts w:ascii="Cambria" w:hAnsi="Cambria" w:cs="Times New Roman"/>
              </w:rPr>
              <w:t xml:space="preserve">Travel approval only given for countries deemed safe by the Executive Director, DFAT and the country partner. </w:t>
            </w:r>
          </w:p>
          <w:p w14:paraId="49D81900" w14:textId="77777777" w:rsidR="00B4053A" w:rsidRPr="009A0DA6" w:rsidRDefault="00B4053A">
            <w:pPr>
              <w:cnfStyle w:val="000000000000" w:firstRow="0" w:lastRow="0" w:firstColumn="0" w:lastColumn="0" w:oddVBand="0" w:evenVBand="0" w:oddHBand="0" w:evenHBand="0" w:firstRowFirstColumn="0" w:firstRowLastColumn="0" w:lastRowFirstColumn="0" w:lastRowLastColumn="0"/>
              <w:rPr>
                <w:rFonts w:ascii="Cambria" w:hAnsi="Cambria" w:cs="Times New Roman"/>
              </w:rPr>
            </w:pPr>
          </w:p>
          <w:p w14:paraId="0243F523" w14:textId="77777777" w:rsidR="00B4053A" w:rsidRPr="009A0DA6" w:rsidRDefault="00B4053A">
            <w:pPr>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9A0DA6">
              <w:rPr>
                <w:rFonts w:ascii="Cambria" w:hAnsi="Cambria" w:cs="Times New Roman"/>
              </w:rPr>
              <w:t>Travel documentation completed including travel risk assessment, pre-departure briefing conducted, and Terms of Reference agreed to, registration made with DFAT Smart Traveller, notice to LCA Insurance Fund, security briefing conducted on first day of visit with field office, safety precautions taken as outlined in the Travel Safety Policy</w:t>
            </w:r>
          </w:p>
        </w:tc>
        <w:tc>
          <w:tcPr>
            <w:tcW w:w="3402" w:type="dxa"/>
          </w:tcPr>
          <w:p w14:paraId="041FF4EB" w14:textId="77777777" w:rsidR="00B4053A" w:rsidRPr="009A0DA6" w:rsidRDefault="00B4053A">
            <w:pPr>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9A0DA6">
              <w:rPr>
                <w:rFonts w:ascii="Cambria" w:hAnsi="Cambria" w:cs="Times New Roman"/>
              </w:rPr>
              <w:t>L3, C5 RE</w:t>
            </w:r>
          </w:p>
          <w:p w14:paraId="59038D80" w14:textId="77777777" w:rsidR="00B4053A" w:rsidRPr="009A0DA6" w:rsidRDefault="00B4053A">
            <w:pPr>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9A0DA6">
              <w:rPr>
                <w:rFonts w:ascii="Cambria" w:hAnsi="Cambria" w:cs="Times New Roman"/>
              </w:rPr>
              <w:t>Regular monitoring and review of Travel Safety Policy</w:t>
            </w:r>
          </w:p>
          <w:p w14:paraId="785845D2" w14:textId="77777777" w:rsidR="00B4053A" w:rsidRPr="009A0DA6" w:rsidRDefault="00B4053A">
            <w:pPr>
              <w:cnfStyle w:val="000000000000" w:firstRow="0" w:lastRow="0" w:firstColumn="0" w:lastColumn="0" w:oddVBand="0" w:evenVBand="0" w:oddHBand="0" w:evenHBand="0" w:firstRowFirstColumn="0" w:firstRowLastColumn="0" w:lastRowFirstColumn="0" w:lastRowLastColumn="0"/>
              <w:rPr>
                <w:rFonts w:ascii="Cambria" w:hAnsi="Cambria" w:cs="Times New Roman"/>
              </w:rPr>
            </w:pPr>
          </w:p>
          <w:p w14:paraId="6D7B9481" w14:textId="77777777" w:rsidR="00B4053A" w:rsidRPr="009A0DA6" w:rsidRDefault="00B4053A">
            <w:pPr>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9A0DA6">
              <w:rPr>
                <w:rFonts w:ascii="Cambria" w:hAnsi="Cambria" w:cs="Times New Roman"/>
              </w:rPr>
              <w:t xml:space="preserve">Input into DWS’ Security Handbook. </w:t>
            </w:r>
          </w:p>
          <w:p w14:paraId="38FD0596" w14:textId="77777777" w:rsidR="00B4053A" w:rsidRPr="009A0DA6" w:rsidRDefault="00B4053A">
            <w:pPr>
              <w:cnfStyle w:val="000000000000" w:firstRow="0" w:lastRow="0" w:firstColumn="0" w:lastColumn="0" w:oddVBand="0" w:evenVBand="0" w:oddHBand="0" w:evenHBand="0" w:firstRowFirstColumn="0" w:firstRowLastColumn="0" w:lastRowFirstColumn="0" w:lastRowLastColumn="0"/>
              <w:rPr>
                <w:rFonts w:ascii="Cambria" w:hAnsi="Cambria" w:cs="Times New Roman"/>
              </w:rPr>
            </w:pPr>
          </w:p>
          <w:p w14:paraId="5DCC148C" w14:textId="77777777" w:rsidR="00B4053A" w:rsidRPr="009A0DA6" w:rsidRDefault="00B4053A">
            <w:pPr>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9A0DA6">
              <w:rPr>
                <w:rFonts w:ascii="Cambria" w:hAnsi="Cambria" w:cs="Times New Roman"/>
              </w:rPr>
              <w:t>Travel Safety process followed before each visit.</w:t>
            </w:r>
          </w:p>
          <w:p w14:paraId="793D1C84" w14:textId="77777777" w:rsidR="00B4053A" w:rsidRPr="009A0DA6" w:rsidRDefault="00B4053A">
            <w:pPr>
              <w:cnfStyle w:val="000000000000" w:firstRow="0" w:lastRow="0" w:firstColumn="0" w:lastColumn="0" w:oddVBand="0" w:evenVBand="0" w:oddHBand="0" w:evenHBand="0" w:firstRowFirstColumn="0" w:firstRowLastColumn="0" w:lastRowFirstColumn="0" w:lastRowLastColumn="0"/>
              <w:rPr>
                <w:rFonts w:ascii="Cambria" w:hAnsi="Cambria" w:cs="Times New Roman"/>
              </w:rPr>
            </w:pPr>
          </w:p>
        </w:tc>
      </w:tr>
      <w:tr w:rsidR="008822A1" w:rsidRPr="009A0DA6" w14:paraId="5F0F3DE0" w14:textId="77777777" w:rsidTr="00882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hideMark/>
          </w:tcPr>
          <w:p w14:paraId="069D30EB" w14:textId="647AFFFF" w:rsidR="00B4053A" w:rsidRPr="009A0DA6" w:rsidRDefault="00B4053A">
            <w:pPr>
              <w:rPr>
                <w:rFonts w:ascii="Cambria" w:hAnsi="Cambria" w:cs="Times New Roman"/>
              </w:rPr>
            </w:pPr>
            <w:r w:rsidRPr="009A0DA6">
              <w:rPr>
                <w:rFonts w:ascii="Cambria" w:hAnsi="Cambria" w:cs="Times New Roman"/>
              </w:rPr>
              <w:lastRenderedPageBreak/>
              <w:t>7</w:t>
            </w:r>
            <w:r w:rsidR="008822A1" w:rsidRPr="009A0DA6">
              <w:rPr>
                <w:rFonts w:ascii="Cambria" w:hAnsi="Cambria" w:cs="Times New Roman"/>
              </w:rPr>
              <w:t>.</w:t>
            </w:r>
            <w:r w:rsidRPr="009A0DA6">
              <w:rPr>
                <w:rFonts w:ascii="Cambria" w:hAnsi="Cambria" w:cs="Times New Roman"/>
              </w:rPr>
              <w:t xml:space="preserve"> Capacity</w:t>
            </w:r>
          </w:p>
          <w:p w14:paraId="576A694F" w14:textId="77777777" w:rsidR="00B4053A" w:rsidRPr="009A0DA6" w:rsidRDefault="00B4053A">
            <w:pPr>
              <w:rPr>
                <w:rFonts w:ascii="Cambria" w:hAnsi="Cambria" w:cs="Times New Roman"/>
                <w:b w:val="0"/>
              </w:rPr>
            </w:pPr>
            <w:r w:rsidRPr="009A0DA6">
              <w:rPr>
                <w:rFonts w:ascii="Cambria" w:hAnsi="Cambria" w:cs="Times New Roman"/>
                <w:b w:val="0"/>
                <w:bCs w:val="0"/>
                <w:iCs/>
              </w:rPr>
              <w:t>Employees perform poorly and/or inappropriately due to poor/inadequate human resource management systems in place, including recruitment, review and disciplinary procedures, resulting in u</w:t>
            </w:r>
            <w:r w:rsidRPr="009A0DA6">
              <w:rPr>
                <w:rFonts w:ascii="Cambria" w:hAnsi="Cambria" w:cs="Times New Roman"/>
                <w:b w:val="0"/>
              </w:rPr>
              <w:t xml:space="preserve">nder-achievement of objectives, low productivity and material losses due to wrongful behaviour  </w:t>
            </w:r>
          </w:p>
        </w:tc>
        <w:tc>
          <w:tcPr>
            <w:tcW w:w="3231" w:type="dxa"/>
          </w:tcPr>
          <w:p w14:paraId="2856CF8C" w14:textId="77777777" w:rsidR="00B4053A" w:rsidRPr="009A0DA6" w:rsidRDefault="00B4053A">
            <w:pPr>
              <w:pStyle w:val="Footer"/>
              <w:cnfStyle w:val="000000100000" w:firstRow="0" w:lastRow="0" w:firstColumn="0" w:lastColumn="0" w:oddVBand="0" w:evenVBand="0" w:oddHBand="1" w:evenHBand="0" w:firstRowFirstColumn="0" w:firstRowLastColumn="0" w:lastRowFirstColumn="0" w:lastRowLastColumn="0"/>
              <w:rPr>
                <w:rFonts w:ascii="Cambria" w:hAnsi="Cambria"/>
              </w:rPr>
            </w:pPr>
            <w:r w:rsidRPr="009A0DA6">
              <w:rPr>
                <w:rFonts w:ascii="Cambria" w:hAnsi="Cambria"/>
              </w:rPr>
              <w:t>ALWS follows the recruitment processes outlined in the ALWS Personnel Policy</w:t>
            </w:r>
          </w:p>
          <w:p w14:paraId="2564EB27" w14:textId="77777777" w:rsidR="00B4053A" w:rsidRPr="009A0DA6" w:rsidRDefault="00B4053A">
            <w:pPr>
              <w:cnfStyle w:val="000000100000" w:firstRow="0" w:lastRow="0" w:firstColumn="0" w:lastColumn="0" w:oddVBand="0" w:evenVBand="0" w:oddHBand="1" w:evenHBand="0" w:firstRowFirstColumn="0" w:firstRowLastColumn="0" w:lastRowFirstColumn="0" w:lastRowLastColumn="0"/>
              <w:rPr>
                <w:rFonts w:ascii="Cambria" w:hAnsi="Cambria" w:cs="Times New Roman"/>
              </w:rPr>
            </w:pPr>
          </w:p>
        </w:tc>
        <w:tc>
          <w:tcPr>
            <w:tcW w:w="3402" w:type="dxa"/>
          </w:tcPr>
          <w:p w14:paraId="2B9E00F9" w14:textId="77777777" w:rsidR="00B4053A" w:rsidRPr="009A0DA6" w:rsidRDefault="00B4053A">
            <w:pPr>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9A0DA6">
              <w:rPr>
                <w:rFonts w:ascii="Cambria" w:hAnsi="Cambria" w:cs="Times New Roman"/>
              </w:rPr>
              <w:t>L2, C4, RH</w:t>
            </w:r>
          </w:p>
          <w:p w14:paraId="67982712" w14:textId="77777777" w:rsidR="00B4053A" w:rsidRPr="009A0DA6" w:rsidRDefault="00B4053A">
            <w:pPr>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9A0DA6">
              <w:rPr>
                <w:rFonts w:ascii="Cambria" w:hAnsi="Cambria" w:cs="Times New Roman"/>
              </w:rPr>
              <w:t>Regular monitoring and rev</w:t>
            </w:r>
          </w:p>
          <w:p w14:paraId="531FDCD7" w14:textId="77777777" w:rsidR="00B4053A" w:rsidRPr="009A0DA6" w:rsidRDefault="00B4053A">
            <w:pPr>
              <w:cnfStyle w:val="000000100000" w:firstRow="0" w:lastRow="0" w:firstColumn="0" w:lastColumn="0" w:oddVBand="0" w:evenVBand="0" w:oddHBand="1" w:evenHBand="0" w:firstRowFirstColumn="0" w:firstRowLastColumn="0" w:lastRowFirstColumn="0" w:lastRowLastColumn="0"/>
              <w:rPr>
                <w:rFonts w:ascii="Cambria" w:hAnsi="Cambria" w:cs="Times New Roman"/>
              </w:rPr>
            </w:pPr>
          </w:p>
          <w:p w14:paraId="08681540" w14:textId="77777777" w:rsidR="00B4053A" w:rsidRPr="009A0DA6" w:rsidRDefault="00B4053A">
            <w:pPr>
              <w:pStyle w:val="Footer"/>
              <w:cnfStyle w:val="000000100000" w:firstRow="0" w:lastRow="0" w:firstColumn="0" w:lastColumn="0" w:oddVBand="0" w:evenVBand="0" w:oddHBand="1" w:evenHBand="0" w:firstRowFirstColumn="0" w:firstRowLastColumn="0" w:lastRowFirstColumn="0" w:lastRowLastColumn="0"/>
              <w:rPr>
                <w:rFonts w:ascii="Cambria" w:hAnsi="Cambria"/>
              </w:rPr>
            </w:pPr>
            <w:r w:rsidRPr="009A0DA6">
              <w:rPr>
                <w:rFonts w:ascii="Cambria" w:hAnsi="Cambria"/>
              </w:rPr>
              <w:t xml:space="preserve">A clear strategic operational plan informs team workplans which are realistic, keeping staff accountable. Staff appraisals are up to date. </w:t>
            </w:r>
          </w:p>
          <w:p w14:paraId="1C03F65E" w14:textId="77777777" w:rsidR="00B4053A" w:rsidRPr="009A0DA6" w:rsidRDefault="00B4053A">
            <w:pPr>
              <w:cnfStyle w:val="000000100000" w:firstRow="0" w:lastRow="0" w:firstColumn="0" w:lastColumn="0" w:oddVBand="0" w:evenVBand="0" w:oddHBand="1" w:evenHBand="0" w:firstRowFirstColumn="0" w:firstRowLastColumn="0" w:lastRowFirstColumn="0" w:lastRowLastColumn="0"/>
              <w:rPr>
                <w:rFonts w:ascii="Cambria" w:hAnsi="Cambria" w:cs="Times New Roman"/>
              </w:rPr>
            </w:pPr>
          </w:p>
        </w:tc>
      </w:tr>
      <w:tr w:rsidR="008822A1" w:rsidRPr="009A0DA6" w14:paraId="7EA0BEC3" w14:textId="77777777" w:rsidTr="008822A1">
        <w:tc>
          <w:tcPr>
            <w:cnfStyle w:val="001000000000" w:firstRow="0" w:lastRow="0" w:firstColumn="1" w:lastColumn="0" w:oddVBand="0" w:evenVBand="0" w:oddHBand="0" w:evenHBand="0" w:firstRowFirstColumn="0" w:firstRowLastColumn="0" w:lastRowFirstColumn="0" w:lastRowLastColumn="0"/>
            <w:tcW w:w="2268" w:type="dxa"/>
          </w:tcPr>
          <w:p w14:paraId="66C5B063" w14:textId="5DBBC9E1" w:rsidR="00B4053A" w:rsidRPr="009A0DA6" w:rsidRDefault="00B4053A">
            <w:pPr>
              <w:rPr>
                <w:rFonts w:ascii="Cambria" w:hAnsi="Cambria" w:cs="Times New Roman"/>
              </w:rPr>
            </w:pPr>
            <w:r w:rsidRPr="009A0DA6">
              <w:rPr>
                <w:rFonts w:ascii="Cambria" w:hAnsi="Cambria" w:cs="Times New Roman"/>
              </w:rPr>
              <w:t>8</w:t>
            </w:r>
            <w:r w:rsidR="008822A1" w:rsidRPr="009A0DA6">
              <w:rPr>
                <w:rFonts w:ascii="Cambria" w:hAnsi="Cambria" w:cs="Times New Roman"/>
              </w:rPr>
              <w:t>.</w:t>
            </w:r>
            <w:r w:rsidRPr="009A0DA6">
              <w:rPr>
                <w:rFonts w:ascii="Cambria" w:hAnsi="Cambria" w:cs="Times New Roman"/>
              </w:rPr>
              <w:t xml:space="preserve"> Child protection </w:t>
            </w:r>
          </w:p>
          <w:p w14:paraId="490CA307" w14:textId="77777777" w:rsidR="00B4053A" w:rsidRPr="009A0DA6" w:rsidRDefault="00B4053A">
            <w:pPr>
              <w:rPr>
                <w:rFonts w:ascii="Cambria" w:hAnsi="Cambria" w:cs="Times New Roman"/>
                <w:b w:val="0"/>
              </w:rPr>
            </w:pPr>
            <w:r w:rsidRPr="009A0DA6">
              <w:rPr>
                <w:rFonts w:ascii="Cambria" w:hAnsi="Cambria" w:cs="Times New Roman"/>
                <w:b w:val="0"/>
                <w:iCs/>
              </w:rPr>
              <w:t>ALWS staff, board member or volunteer harms a child due to inadequate screening procedures, lack of supervision, inadequate complaints processes, resulting in c</w:t>
            </w:r>
            <w:r w:rsidRPr="009A0DA6">
              <w:rPr>
                <w:rFonts w:ascii="Cambria" w:hAnsi="Cambria" w:cs="Times New Roman"/>
                <w:b w:val="0"/>
                <w:iCs/>
                <w:noProof/>
              </w:rPr>
              <w:t>hildren being exposed to abuse or exploitation, serious loss to ALWS credibility, possible expensive legal action and disruption to ALWS operations</w:t>
            </w:r>
          </w:p>
          <w:p w14:paraId="04D70DF3" w14:textId="77777777" w:rsidR="00B4053A" w:rsidRPr="009A0DA6" w:rsidRDefault="00B4053A">
            <w:pPr>
              <w:rPr>
                <w:rFonts w:ascii="Cambria" w:hAnsi="Cambria" w:cs="Times New Roman"/>
              </w:rPr>
            </w:pPr>
          </w:p>
        </w:tc>
        <w:tc>
          <w:tcPr>
            <w:tcW w:w="3231" w:type="dxa"/>
            <w:hideMark/>
          </w:tcPr>
          <w:p w14:paraId="493EE4EA" w14:textId="77777777" w:rsidR="00B4053A" w:rsidRPr="009A0DA6" w:rsidRDefault="00B4053A">
            <w:pPr>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9A0DA6">
              <w:rPr>
                <w:rFonts w:ascii="Cambria" w:hAnsi="Cambria" w:cs="Times New Roman"/>
              </w:rPr>
              <w:t>Child Protection Policy and procedures in place (recruitment, training, complaints mechanisms, consequences for breaches of Code of Conduct in place)</w:t>
            </w:r>
          </w:p>
        </w:tc>
        <w:tc>
          <w:tcPr>
            <w:tcW w:w="3402" w:type="dxa"/>
          </w:tcPr>
          <w:p w14:paraId="0CE0C359" w14:textId="77777777" w:rsidR="00B4053A" w:rsidRPr="009A0DA6" w:rsidRDefault="00B4053A">
            <w:pPr>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9A0DA6">
              <w:rPr>
                <w:rFonts w:ascii="Cambria" w:hAnsi="Cambria" w:cs="Times New Roman"/>
              </w:rPr>
              <w:t>L2, C4, RH</w:t>
            </w:r>
          </w:p>
          <w:p w14:paraId="25B2D4BF" w14:textId="77777777" w:rsidR="00B4053A" w:rsidRPr="009A0DA6" w:rsidRDefault="00B4053A">
            <w:pPr>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9A0DA6">
              <w:rPr>
                <w:rFonts w:ascii="Cambria" w:hAnsi="Cambria" w:cs="Times New Roman"/>
              </w:rPr>
              <w:t>Regular monitoring and review.</w:t>
            </w:r>
          </w:p>
          <w:p w14:paraId="58986BB1" w14:textId="77777777" w:rsidR="00B4053A" w:rsidRPr="009A0DA6" w:rsidRDefault="00B4053A">
            <w:pPr>
              <w:cnfStyle w:val="000000000000" w:firstRow="0" w:lastRow="0" w:firstColumn="0" w:lastColumn="0" w:oddVBand="0" w:evenVBand="0" w:oddHBand="0" w:evenHBand="0" w:firstRowFirstColumn="0" w:firstRowLastColumn="0" w:lastRowFirstColumn="0" w:lastRowLastColumn="0"/>
              <w:rPr>
                <w:rFonts w:ascii="Cambria" w:hAnsi="Cambria" w:cs="Times New Roman"/>
              </w:rPr>
            </w:pPr>
          </w:p>
          <w:p w14:paraId="6A684A01" w14:textId="77777777" w:rsidR="00B4053A" w:rsidRPr="009A0DA6" w:rsidRDefault="00B4053A">
            <w:pPr>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9A0DA6">
              <w:rPr>
                <w:rFonts w:ascii="Cambria" w:hAnsi="Cambria" w:cs="Times New Roman"/>
              </w:rPr>
              <w:t>ALWS Child Protection Working Group formed with representatives from all teams (second half 2016).</w:t>
            </w:r>
          </w:p>
          <w:p w14:paraId="3DEBE700" w14:textId="77777777" w:rsidR="00B4053A" w:rsidRPr="009A0DA6" w:rsidRDefault="00B4053A">
            <w:pPr>
              <w:cnfStyle w:val="000000000000" w:firstRow="0" w:lastRow="0" w:firstColumn="0" w:lastColumn="0" w:oddVBand="0" w:evenVBand="0" w:oddHBand="0" w:evenHBand="0" w:firstRowFirstColumn="0" w:firstRowLastColumn="0" w:lastRowFirstColumn="0" w:lastRowLastColumn="0"/>
              <w:rPr>
                <w:rFonts w:ascii="Cambria" w:hAnsi="Cambria" w:cs="Times New Roman"/>
              </w:rPr>
            </w:pPr>
          </w:p>
          <w:p w14:paraId="1E09AE4A" w14:textId="77777777" w:rsidR="00B4053A" w:rsidRPr="009A0DA6" w:rsidRDefault="00B4053A">
            <w:pPr>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9A0DA6">
              <w:rPr>
                <w:rFonts w:ascii="Cambria" w:hAnsi="Cambria" w:cs="Times New Roman"/>
              </w:rPr>
              <w:t>Child Protection Policy and procedures updated in 2015</w:t>
            </w:r>
          </w:p>
          <w:p w14:paraId="747004B4" w14:textId="77777777" w:rsidR="00B4053A" w:rsidRPr="009A0DA6" w:rsidRDefault="00B4053A">
            <w:pPr>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9A0DA6">
              <w:rPr>
                <w:rFonts w:ascii="Cambria" w:hAnsi="Cambria" w:cs="Times New Roman"/>
              </w:rPr>
              <w:t>Child friendly Code of Conduct developed in 2015</w:t>
            </w:r>
          </w:p>
          <w:p w14:paraId="08715399" w14:textId="77777777" w:rsidR="00B4053A" w:rsidRPr="009A0DA6" w:rsidRDefault="00B4053A">
            <w:pPr>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9A0DA6">
              <w:rPr>
                <w:rFonts w:ascii="Cambria" w:hAnsi="Cambria" w:cs="Times New Roman"/>
              </w:rPr>
              <w:t>Review of ALWS policy in progress by ALWS Working Group in response to new DFAT and ACFID Code of Conduct requirements</w:t>
            </w:r>
          </w:p>
        </w:tc>
      </w:tr>
    </w:tbl>
    <w:p w14:paraId="19DA695D" w14:textId="77777777" w:rsidR="00B4053A" w:rsidRPr="009A0DA6" w:rsidRDefault="00B4053A" w:rsidP="00B4053A">
      <w:pPr>
        <w:spacing w:before="120" w:after="120" w:line="240" w:lineRule="auto"/>
        <w:contextualSpacing/>
        <w:rPr>
          <w:rFonts w:ascii="Cambria" w:hAnsi="Cambria" w:cstheme="minorHAnsi"/>
        </w:rPr>
      </w:pPr>
    </w:p>
    <w:p w14:paraId="6B08C290" w14:textId="77777777" w:rsidR="00B4053A" w:rsidRPr="009A0DA6" w:rsidRDefault="00B4053A" w:rsidP="008822A1">
      <w:pPr>
        <w:pStyle w:val="Heading3"/>
      </w:pPr>
      <w:r w:rsidRPr="009A0DA6">
        <w:t>Alignment to LCA Strategic Direction 2013 – 2018</w:t>
      </w:r>
    </w:p>
    <w:p w14:paraId="4A1D0DD7" w14:textId="4DD5E34A" w:rsidR="00B4053A" w:rsidRPr="009A0DA6" w:rsidRDefault="00B4053A" w:rsidP="00B4053A">
      <w:pPr>
        <w:spacing w:before="120" w:after="120" w:line="240" w:lineRule="auto"/>
        <w:contextualSpacing/>
        <w:rPr>
          <w:rFonts w:ascii="Cambria" w:hAnsi="Cambria" w:cstheme="minorHAnsi"/>
        </w:rPr>
      </w:pPr>
      <w:r w:rsidRPr="009A0DA6">
        <w:rPr>
          <w:rFonts w:ascii="Cambria" w:hAnsi="Cambria" w:cstheme="minorHAnsi"/>
        </w:rPr>
        <w:t>Previous submission made to GCC in May 2017</w:t>
      </w:r>
      <w:r w:rsidR="0027799A" w:rsidRPr="009A0DA6">
        <w:rPr>
          <w:rFonts w:ascii="Cambria" w:hAnsi="Cambria" w:cstheme="minorHAnsi"/>
        </w:rPr>
        <w:t xml:space="preserve">. </w:t>
      </w:r>
      <w:r w:rsidRPr="009A0DA6">
        <w:rPr>
          <w:rFonts w:ascii="Cambria" w:hAnsi="Cambria" w:cstheme="minorHAnsi"/>
        </w:rPr>
        <w:t xml:space="preserve">This portion has therefore been omitted from the Convention of Synod report to remain within the recommended report size of 5 pages. </w:t>
      </w:r>
    </w:p>
    <w:p w14:paraId="57A8D0F0" w14:textId="77777777" w:rsidR="00B4053A" w:rsidRPr="009A0DA6" w:rsidRDefault="00B4053A" w:rsidP="008822A1">
      <w:pPr>
        <w:pStyle w:val="Heading3"/>
      </w:pPr>
      <w:r w:rsidRPr="009A0DA6">
        <w:t>Cooperating LCA Boards and Agencies</w:t>
      </w:r>
    </w:p>
    <w:tbl>
      <w:tblPr>
        <w:tblStyle w:val="PlainTable2"/>
        <w:tblW w:w="0" w:type="auto"/>
        <w:tblLook w:val="04A0" w:firstRow="1" w:lastRow="0" w:firstColumn="1" w:lastColumn="0" w:noHBand="0" w:noVBand="1"/>
      </w:tblPr>
      <w:tblGrid>
        <w:gridCol w:w="2171"/>
        <w:gridCol w:w="6497"/>
      </w:tblGrid>
      <w:tr w:rsidR="00B4053A" w:rsidRPr="009A0DA6" w14:paraId="28782693" w14:textId="77777777" w:rsidTr="00975F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8" w:type="dxa"/>
          </w:tcPr>
          <w:p w14:paraId="02646D3E" w14:textId="77777777" w:rsidR="00B4053A" w:rsidRPr="009A0DA6" w:rsidRDefault="00B4053A">
            <w:pPr>
              <w:spacing w:before="120" w:after="120"/>
              <w:contextualSpacing/>
              <w:rPr>
                <w:rFonts w:ascii="Cambria" w:hAnsi="Cambria" w:cstheme="minorHAnsi"/>
                <w:b w:val="0"/>
              </w:rPr>
            </w:pPr>
            <w:r w:rsidRPr="009A0DA6">
              <w:rPr>
                <w:rFonts w:ascii="Cambria" w:hAnsi="Cambria" w:cstheme="minorHAnsi"/>
              </w:rPr>
              <w:t xml:space="preserve">LCA International Mission </w:t>
            </w:r>
          </w:p>
          <w:p w14:paraId="050D91C6" w14:textId="172932AF" w:rsidR="00B4053A" w:rsidRPr="009A0DA6" w:rsidRDefault="00B4053A" w:rsidP="008822A1">
            <w:pPr>
              <w:spacing w:before="120" w:after="120"/>
              <w:contextualSpacing/>
              <w:rPr>
                <w:rFonts w:ascii="Cambria" w:hAnsi="Cambria" w:cstheme="minorHAnsi"/>
              </w:rPr>
            </w:pPr>
            <w:r w:rsidRPr="009A0DA6">
              <w:rPr>
                <w:rFonts w:ascii="Cambria" w:hAnsi="Cambria" w:cstheme="minorHAnsi"/>
              </w:rPr>
              <w:br/>
            </w:r>
          </w:p>
        </w:tc>
        <w:tc>
          <w:tcPr>
            <w:tcW w:w="6623" w:type="dxa"/>
          </w:tcPr>
          <w:p w14:paraId="749E1E3C" w14:textId="77777777" w:rsidR="00B4053A" w:rsidRPr="009A0DA6" w:rsidRDefault="00B4053A" w:rsidP="00F55252">
            <w:pPr>
              <w:numPr>
                <w:ilvl w:val="0"/>
                <w:numId w:val="263"/>
              </w:numPr>
              <w:tabs>
                <w:tab w:val="clear" w:pos="720"/>
                <w:tab w:val="num" w:pos="264"/>
              </w:tabs>
              <w:spacing w:before="120" w:after="120"/>
              <w:ind w:left="264" w:hanging="264"/>
              <w:contextualSpacing/>
              <w:cnfStyle w:val="100000000000" w:firstRow="1" w:lastRow="0" w:firstColumn="0" w:lastColumn="0" w:oddVBand="0" w:evenVBand="0" w:oddHBand="0" w:evenHBand="0" w:firstRowFirstColumn="0" w:firstRowLastColumn="0" w:lastRowFirstColumn="0" w:lastRowLastColumn="0"/>
              <w:rPr>
                <w:rFonts w:ascii="Cambria" w:hAnsi="Cambria" w:cstheme="minorHAnsi"/>
                <w:b w:val="0"/>
              </w:rPr>
            </w:pPr>
            <w:r w:rsidRPr="009A0DA6">
              <w:rPr>
                <w:rFonts w:ascii="Cambria" w:hAnsi="Cambria" w:cstheme="minorHAnsi"/>
                <w:b w:val="0"/>
              </w:rPr>
              <w:t>Cooperation in joint programming and communication in PNG and Indonesia through working groups</w:t>
            </w:r>
          </w:p>
          <w:p w14:paraId="723CFB0D" w14:textId="00716C79" w:rsidR="00B4053A" w:rsidRPr="009A0DA6" w:rsidRDefault="00B4053A" w:rsidP="00F55252">
            <w:pPr>
              <w:numPr>
                <w:ilvl w:val="0"/>
                <w:numId w:val="263"/>
              </w:numPr>
              <w:tabs>
                <w:tab w:val="clear" w:pos="720"/>
                <w:tab w:val="num" w:pos="264"/>
              </w:tabs>
              <w:spacing w:before="120" w:after="120"/>
              <w:ind w:left="264" w:hanging="264"/>
              <w:contextualSpacing/>
              <w:cnfStyle w:val="100000000000" w:firstRow="1" w:lastRow="0" w:firstColumn="0" w:lastColumn="0" w:oddVBand="0" w:evenVBand="0" w:oddHBand="0" w:evenHBand="0" w:firstRowFirstColumn="0" w:firstRowLastColumn="0" w:lastRowFirstColumn="0" w:lastRowLastColumn="0"/>
              <w:rPr>
                <w:rFonts w:ascii="Cambria" w:hAnsi="Cambria" w:cstheme="minorHAnsi"/>
                <w:b w:val="0"/>
              </w:rPr>
            </w:pPr>
            <w:r w:rsidRPr="009A0DA6">
              <w:rPr>
                <w:rFonts w:ascii="Cambria" w:hAnsi="Cambria" w:cstheme="minorHAnsi"/>
                <w:b w:val="0"/>
              </w:rPr>
              <w:t xml:space="preserve">Involvement in governance and strategic direction through appointment of ALWS Executive Secretary </w:t>
            </w:r>
            <w:r w:rsidR="008822A1" w:rsidRPr="009A0DA6">
              <w:rPr>
                <w:rFonts w:ascii="Cambria" w:hAnsi="Cambria" w:cstheme="minorHAnsi"/>
                <w:b w:val="0"/>
              </w:rPr>
              <w:t>and Board Chair to IM Committee</w:t>
            </w:r>
          </w:p>
        </w:tc>
      </w:tr>
      <w:tr w:rsidR="008822A1" w:rsidRPr="009A0DA6" w14:paraId="6907846C" w14:textId="77777777" w:rsidTr="00975F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8" w:type="dxa"/>
          </w:tcPr>
          <w:p w14:paraId="28E2B6A8" w14:textId="77777777" w:rsidR="008822A1" w:rsidRPr="009A0DA6" w:rsidRDefault="008822A1" w:rsidP="008822A1">
            <w:pPr>
              <w:spacing w:before="120" w:after="120"/>
              <w:contextualSpacing/>
              <w:rPr>
                <w:rFonts w:ascii="Cambria" w:hAnsi="Cambria" w:cstheme="minorHAnsi"/>
              </w:rPr>
            </w:pPr>
            <w:r w:rsidRPr="009A0DA6">
              <w:rPr>
                <w:rFonts w:ascii="Cambria" w:hAnsi="Cambria" w:cstheme="minorHAnsi"/>
              </w:rPr>
              <w:t>Lutheran Education Australia</w:t>
            </w:r>
          </w:p>
          <w:p w14:paraId="024AD9FB" w14:textId="77777777" w:rsidR="008822A1" w:rsidRPr="009A0DA6" w:rsidRDefault="008822A1">
            <w:pPr>
              <w:spacing w:before="120" w:after="120"/>
              <w:contextualSpacing/>
              <w:rPr>
                <w:rFonts w:ascii="Cambria" w:hAnsi="Cambria" w:cstheme="minorHAnsi"/>
              </w:rPr>
            </w:pPr>
          </w:p>
        </w:tc>
        <w:tc>
          <w:tcPr>
            <w:tcW w:w="6623" w:type="dxa"/>
          </w:tcPr>
          <w:p w14:paraId="3FFA6EF8" w14:textId="77777777" w:rsidR="008822A1" w:rsidRPr="009A0DA6" w:rsidRDefault="008822A1" w:rsidP="00F55252">
            <w:pPr>
              <w:numPr>
                <w:ilvl w:val="0"/>
                <w:numId w:val="263"/>
              </w:numPr>
              <w:tabs>
                <w:tab w:val="clear" w:pos="720"/>
                <w:tab w:val="num" w:pos="264"/>
              </w:tabs>
              <w:spacing w:before="120" w:after="120"/>
              <w:ind w:left="264" w:hanging="284"/>
              <w:contextualSpacing/>
              <w:cnfStyle w:val="000000100000" w:firstRow="0" w:lastRow="0" w:firstColumn="0" w:lastColumn="0" w:oddVBand="0" w:evenVBand="0" w:oddHBand="1" w:evenHBand="0" w:firstRowFirstColumn="0" w:firstRowLastColumn="0" w:lastRowFirstColumn="0" w:lastRowLastColumn="0"/>
              <w:rPr>
                <w:rFonts w:ascii="Cambria" w:hAnsi="Cambria" w:cstheme="minorHAnsi"/>
              </w:rPr>
            </w:pPr>
            <w:r w:rsidRPr="009A0DA6">
              <w:rPr>
                <w:rFonts w:ascii="Cambria" w:hAnsi="Cambria" w:cstheme="minorHAnsi"/>
              </w:rPr>
              <w:t>Sharing of training opportunities and policy documents.</w:t>
            </w:r>
          </w:p>
          <w:p w14:paraId="057FF2AB" w14:textId="77777777" w:rsidR="008822A1" w:rsidRPr="009A0DA6" w:rsidRDefault="008822A1" w:rsidP="00F55252">
            <w:pPr>
              <w:numPr>
                <w:ilvl w:val="0"/>
                <w:numId w:val="263"/>
              </w:numPr>
              <w:tabs>
                <w:tab w:val="clear" w:pos="720"/>
                <w:tab w:val="num" w:pos="264"/>
              </w:tabs>
              <w:spacing w:before="120" w:after="120"/>
              <w:ind w:left="264" w:hanging="284"/>
              <w:contextualSpacing/>
              <w:cnfStyle w:val="000000100000" w:firstRow="0" w:lastRow="0" w:firstColumn="0" w:lastColumn="0" w:oddVBand="0" w:evenVBand="0" w:oddHBand="1" w:evenHBand="0" w:firstRowFirstColumn="0" w:firstRowLastColumn="0" w:lastRowFirstColumn="0" w:lastRowLastColumn="0"/>
              <w:rPr>
                <w:rFonts w:ascii="Cambria" w:hAnsi="Cambria" w:cstheme="minorHAnsi"/>
              </w:rPr>
            </w:pPr>
            <w:r w:rsidRPr="009A0DA6">
              <w:rPr>
                <w:rFonts w:ascii="Cambria" w:hAnsi="Cambria" w:cstheme="minorHAnsi"/>
              </w:rPr>
              <w:t>Draft Memorandum of Understanding between MI/ ALWS &amp; LEA</w:t>
            </w:r>
          </w:p>
          <w:p w14:paraId="188D440B" w14:textId="77777777" w:rsidR="008822A1" w:rsidRPr="009A0DA6" w:rsidRDefault="008822A1" w:rsidP="00F55252">
            <w:pPr>
              <w:numPr>
                <w:ilvl w:val="0"/>
                <w:numId w:val="263"/>
              </w:numPr>
              <w:tabs>
                <w:tab w:val="clear" w:pos="720"/>
                <w:tab w:val="num" w:pos="264"/>
              </w:tabs>
              <w:spacing w:before="120" w:after="120"/>
              <w:ind w:left="264" w:hanging="284"/>
              <w:contextualSpacing/>
              <w:cnfStyle w:val="000000100000" w:firstRow="0" w:lastRow="0" w:firstColumn="0" w:lastColumn="0" w:oddVBand="0" w:evenVBand="0" w:oddHBand="1" w:evenHBand="0" w:firstRowFirstColumn="0" w:firstRowLastColumn="0" w:lastRowFirstColumn="0" w:lastRowLastColumn="0"/>
              <w:rPr>
                <w:rFonts w:ascii="Cambria" w:hAnsi="Cambria" w:cstheme="minorHAnsi"/>
              </w:rPr>
            </w:pPr>
            <w:r w:rsidRPr="009A0DA6">
              <w:rPr>
                <w:rFonts w:ascii="Cambria" w:hAnsi="Cambria" w:cstheme="minorHAnsi"/>
              </w:rPr>
              <w:t>Integration of ALWS community education into school curricula</w:t>
            </w:r>
          </w:p>
          <w:p w14:paraId="0C991D59" w14:textId="1E71BD90" w:rsidR="008822A1" w:rsidRPr="009A0DA6" w:rsidRDefault="008822A1" w:rsidP="00F55252">
            <w:pPr>
              <w:numPr>
                <w:ilvl w:val="0"/>
                <w:numId w:val="263"/>
              </w:numPr>
              <w:tabs>
                <w:tab w:val="clear" w:pos="720"/>
                <w:tab w:val="num" w:pos="264"/>
              </w:tabs>
              <w:spacing w:before="120" w:after="120"/>
              <w:ind w:left="264" w:hanging="284"/>
              <w:contextualSpacing/>
              <w:cnfStyle w:val="000000100000" w:firstRow="0" w:lastRow="0" w:firstColumn="0" w:lastColumn="0" w:oddVBand="0" w:evenVBand="0" w:oddHBand="1" w:evenHBand="0" w:firstRowFirstColumn="0" w:firstRowLastColumn="0" w:lastRowFirstColumn="0" w:lastRowLastColumn="0"/>
              <w:rPr>
                <w:rFonts w:ascii="Cambria" w:hAnsi="Cambria" w:cstheme="minorHAnsi"/>
              </w:rPr>
            </w:pPr>
            <w:r w:rsidRPr="009A0DA6">
              <w:rPr>
                <w:rFonts w:ascii="Cambria" w:hAnsi="Cambria" w:cstheme="minorHAnsi"/>
              </w:rPr>
              <w:t xml:space="preserve">School visits, Awareness Days, study tour opportunities. </w:t>
            </w:r>
          </w:p>
        </w:tc>
      </w:tr>
    </w:tbl>
    <w:p w14:paraId="6F38E705" w14:textId="77777777" w:rsidR="00975F5B" w:rsidRDefault="00975F5B">
      <w:r>
        <w:rPr>
          <w:b/>
          <w:bCs/>
        </w:rPr>
        <w:br w:type="page"/>
      </w:r>
    </w:p>
    <w:tbl>
      <w:tblPr>
        <w:tblStyle w:val="PlainTable2"/>
        <w:tblW w:w="0" w:type="auto"/>
        <w:tblLook w:val="04A0" w:firstRow="1" w:lastRow="0" w:firstColumn="1" w:lastColumn="0" w:noHBand="0" w:noVBand="1"/>
      </w:tblPr>
      <w:tblGrid>
        <w:gridCol w:w="2167"/>
        <w:gridCol w:w="6501"/>
      </w:tblGrid>
      <w:tr w:rsidR="008822A1" w:rsidRPr="009A0DA6" w14:paraId="550041E3" w14:textId="77777777" w:rsidTr="00975F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8" w:type="dxa"/>
          </w:tcPr>
          <w:p w14:paraId="1813586B" w14:textId="650E434E" w:rsidR="008822A1" w:rsidRPr="009A0DA6" w:rsidRDefault="008822A1" w:rsidP="008822A1">
            <w:pPr>
              <w:spacing w:before="120" w:after="120"/>
              <w:contextualSpacing/>
              <w:rPr>
                <w:rFonts w:ascii="Cambria" w:hAnsi="Cambria" w:cstheme="minorHAnsi"/>
              </w:rPr>
            </w:pPr>
            <w:r w:rsidRPr="009A0DA6">
              <w:rPr>
                <w:rFonts w:ascii="Cambria" w:hAnsi="Cambria" w:cstheme="minorHAnsi"/>
              </w:rPr>
              <w:lastRenderedPageBreak/>
              <w:t>Lutheran Laypeople’s League</w:t>
            </w:r>
          </w:p>
          <w:p w14:paraId="3A0CC5F5" w14:textId="77777777" w:rsidR="008822A1" w:rsidRPr="009A0DA6" w:rsidRDefault="008822A1">
            <w:pPr>
              <w:spacing w:before="120" w:after="120"/>
              <w:contextualSpacing/>
              <w:rPr>
                <w:rFonts w:ascii="Cambria" w:hAnsi="Cambria" w:cstheme="minorHAnsi"/>
              </w:rPr>
            </w:pPr>
          </w:p>
        </w:tc>
        <w:tc>
          <w:tcPr>
            <w:tcW w:w="6623" w:type="dxa"/>
          </w:tcPr>
          <w:p w14:paraId="3DB87940" w14:textId="77777777" w:rsidR="008822A1" w:rsidRPr="009A0DA6" w:rsidRDefault="008822A1" w:rsidP="00F55252">
            <w:pPr>
              <w:numPr>
                <w:ilvl w:val="0"/>
                <w:numId w:val="263"/>
              </w:numPr>
              <w:tabs>
                <w:tab w:val="clear" w:pos="720"/>
                <w:tab w:val="num" w:pos="264"/>
              </w:tabs>
              <w:spacing w:before="120" w:after="120"/>
              <w:ind w:left="264" w:hanging="284"/>
              <w:contextualSpacing/>
              <w:cnfStyle w:val="100000000000" w:firstRow="1" w:lastRow="0" w:firstColumn="0" w:lastColumn="0" w:oddVBand="0" w:evenVBand="0" w:oddHBand="0" w:evenHBand="0" w:firstRowFirstColumn="0" w:firstRowLastColumn="0" w:lastRowFirstColumn="0" w:lastRowLastColumn="0"/>
              <w:rPr>
                <w:rFonts w:ascii="Cambria" w:hAnsi="Cambria" w:cstheme="minorHAnsi"/>
              </w:rPr>
            </w:pPr>
            <w:r w:rsidRPr="009A0DA6">
              <w:rPr>
                <w:rFonts w:ascii="Cambria" w:hAnsi="Cambria" w:cstheme="minorHAnsi"/>
              </w:rPr>
              <w:t xml:space="preserve">Core budgeted funding (Indonesia) </w:t>
            </w:r>
          </w:p>
          <w:p w14:paraId="69106FFA" w14:textId="77777777" w:rsidR="008822A1" w:rsidRPr="009A0DA6" w:rsidRDefault="008822A1" w:rsidP="00F55252">
            <w:pPr>
              <w:numPr>
                <w:ilvl w:val="0"/>
                <w:numId w:val="263"/>
              </w:numPr>
              <w:tabs>
                <w:tab w:val="clear" w:pos="720"/>
                <w:tab w:val="num" w:pos="264"/>
              </w:tabs>
              <w:spacing w:before="120" w:after="120"/>
              <w:ind w:left="264" w:hanging="284"/>
              <w:contextualSpacing/>
              <w:cnfStyle w:val="100000000000" w:firstRow="1" w:lastRow="0" w:firstColumn="0" w:lastColumn="0" w:oddVBand="0" w:evenVBand="0" w:oddHBand="0" w:evenHBand="0" w:firstRowFirstColumn="0" w:firstRowLastColumn="0" w:lastRowFirstColumn="0" w:lastRowLastColumn="0"/>
              <w:rPr>
                <w:rFonts w:ascii="Cambria" w:hAnsi="Cambria" w:cstheme="minorHAnsi"/>
              </w:rPr>
            </w:pPr>
            <w:r w:rsidRPr="009A0DA6">
              <w:rPr>
                <w:rFonts w:ascii="Cambria" w:hAnsi="Cambria" w:cstheme="minorHAnsi"/>
              </w:rPr>
              <w:t>‘Off-budget’ funding (Development Awareness Raising) until 2015</w:t>
            </w:r>
          </w:p>
          <w:p w14:paraId="36A4C0F5" w14:textId="77777777" w:rsidR="008822A1" w:rsidRPr="009A0DA6" w:rsidRDefault="008822A1" w:rsidP="00F55252">
            <w:pPr>
              <w:numPr>
                <w:ilvl w:val="0"/>
                <w:numId w:val="263"/>
              </w:numPr>
              <w:tabs>
                <w:tab w:val="clear" w:pos="720"/>
                <w:tab w:val="num" w:pos="264"/>
              </w:tabs>
              <w:spacing w:before="120" w:after="120"/>
              <w:ind w:left="264" w:hanging="284"/>
              <w:contextualSpacing/>
              <w:cnfStyle w:val="100000000000" w:firstRow="1" w:lastRow="0" w:firstColumn="0" w:lastColumn="0" w:oddVBand="0" w:evenVBand="0" w:oddHBand="0" w:evenHBand="0" w:firstRowFirstColumn="0" w:firstRowLastColumn="0" w:lastRowFirstColumn="0" w:lastRowLastColumn="0"/>
              <w:rPr>
                <w:rFonts w:ascii="Cambria" w:hAnsi="Cambria" w:cstheme="minorHAnsi"/>
              </w:rPr>
            </w:pPr>
            <w:r w:rsidRPr="009A0DA6">
              <w:rPr>
                <w:rFonts w:ascii="Cambria" w:hAnsi="Cambria" w:cstheme="minorHAnsi"/>
              </w:rPr>
              <w:t>Annual income from permanent funds</w:t>
            </w:r>
          </w:p>
          <w:p w14:paraId="698B497F" w14:textId="77777777" w:rsidR="008822A1" w:rsidRPr="009A0DA6" w:rsidRDefault="008822A1" w:rsidP="00F55252">
            <w:pPr>
              <w:numPr>
                <w:ilvl w:val="0"/>
                <w:numId w:val="263"/>
              </w:numPr>
              <w:tabs>
                <w:tab w:val="clear" w:pos="720"/>
                <w:tab w:val="num" w:pos="264"/>
              </w:tabs>
              <w:spacing w:before="120" w:after="120"/>
              <w:ind w:left="264" w:hanging="284"/>
              <w:contextualSpacing/>
              <w:cnfStyle w:val="100000000000" w:firstRow="1" w:lastRow="0" w:firstColumn="0" w:lastColumn="0" w:oddVBand="0" w:evenVBand="0" w:oddHBand="0" w:evenHBand="0" w:firstRowFirstColumn="0" w:firstRowLastColumn="0" w:lastRowFirstColumn="0" w:lastRowLastColumn="0"/>
              <w:rPr>
                <w:rFonts w:ascii="Cambria" w:hAnsi="Cambria" w:cstheme="minorHAnsi"/>
              </w:rPr>
            </w:pPr>
            <w:r w:rsidRPr="009A0DA6">
              <w:rPr>
                <w:rFonts w:ascii="Cambria" w:hAnsi="Cambria" w:cstheme="minorHAnsi"/>
              </w:rPr>
              <w:t>Travel safety with LCA Insurance</w:t>
            </w:r>
          </w:p>
          <w:p w14:paraId="1F8F8CD1" w14:textId="77777777" w:rsidR="008822A1" w:rsidRPr="009A0DA6" w:rsidRDefault="008822A1" w:rsidP="00F55252">
            <w:pPr>
              <w:numPr>
                <w:ilvl w:val="0"/>
                <w:numId w:val="263"/>
              </w:numPr>
              <w:tabs>
                <w:tab w:val="clear" w:pos="720"/>
                <w:tab w:val="num" w:pos="264"/>
              </w:tabs>
              <w:spacing w:before="120" w:after="120"/>
              <w:ind w:left="264" w:hanging="284"/>
              <w:contextualSpacing/>
              <w:cnfStyle w:val="100000000000" w:firstRow="1" w:lastRow="0" w:firstColumn="0" w:lastColumn="0" w:oddVBand="0" w:evenVBand="0" w:oddHBand="0" w:evenHBand="0" w:firstRowFirstColumn="0" w:firstRowLastColumn="0" w:lastRowFirstColumn="0" w:lastRowLastColumn="0"/>
              <w:rPr>
                <w:rFonts w:ascii="Cambria" w:hAnsi="Cambria" w:cstheme="minorHAnsi"/>
              </w:rPr>
            </w:pPr>
            <w:r w:rsidRPr="009A0DA6">
              <w:rPr>
                <w:rFonts w:ascii="Cambria" w:hAnsi="Cambria" w:cstheme="minorHAnsi"/>
              </w:rPr>
              <w:t>Developed ‘Take Home Action Kit’ in partnership with LLL and LEA</w:t>
            </w:r>
          </w:p>
          <w:p w14:paraId="1713285D" w14:textId="4356A76A" w:rsidR="008822A1" w:rsidRPr="009A0DA6" w:rsidRDefault="008822A1" w:rsidP="00F55252">
            <w:pPr>
              <w:numPr>
                <w:ilvl w:val="0"/>
                <w:numId w:val="263"/>
              </w:numPr>
              <w:tabs>
                <w:tab w:val="clear" w:pos="720"/>
                <w:tab w:val="num" w:pos="264"/>
              </w:tabs>
              <w:spacing w:before="120" w:after="120"/>
              <w:ind w:left="264" w:hanging="284"/>
              <w:contextualSpacing/>
              <w:cnfStyle w:val="100000000000" w:firstRow="1" w:lastRow="0" w:firstColumn="0" w:lastColumn="0" w:oddVBand="0" w:evenVBand="0" w:oddHBand="0" w:evenHBand="0" w:firstRowFirstColumn="0" w:firstRowLastColumn="0" w:lastRowFirstColumn="0" w:lastRowLastColumn="0"/>
              <w:rPr>
                <w:rFonts w:ascii="Cambria" w:hAnsi="Cambria" w:cstheme="minorHAnsi"/>
              </w:rPr>
            </w:pPr>
            <w:r w:rsidRPr="009A0DA6">
              <w:rPr>
                <w:rFonts w:ascii="Cambria" w:hAnsi="Cambria" w:cstheme="minorHAnsi"/>
              </w:rPr>
              <w:t>Provide ad hoc strategic fundraising advice</w:t>
            </w:r>
          </w:p>
        </w:tc>
      </w:tr>
      <w:tr w:rsidR="008822A1" w:rsidRPr="009A0DA6" w14:paraId="017623C8" w14:textId="77777777" w:rsidTr="00975F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8" w:type="dxa"/>
          </w:tcPr>
          <w:p w14:paraId="513A0925" w14:textId="514064DE" w:rsidR="008822A1" w:rsidRPr="009A0DA6" w:rsidRDefault="008822A1">
            <w:pPr>
              <w:spacing w:before="120" w:after="120"/>
              <w:contextualSpacing/>
              <w:rPr>
                <w:rFonts w:ascii="Cambria" w:hAnsi="Cambria" w:cstheme="minorHAnsi"/>
              </w:rPr>
            </w:pPr>
            <w:r w:rsidRPr="009A0DA6">
              <w:rPr>
                <w:rFonts w:ascii="Cambria" w:hAnsi="Cambria" w:cstheme="minorHAnsi"/>
              </w:rPr>
              <w:t>Office of the Bishop</w:t>
            </w:r>
          </w:p>
        </w:tc>
        <w:tc>
          <w:tcPr>
            <w:tcW w:w="6623" w:type="dxa"/>
          </w:tcPr>
          <w:p w14:paraId="5D0020E8" w14:textId="77777777" w:rsidR="008822A1" w:rsidRPr="009A0DA6" w:rsidRDefault="008822A1" w:rsidP="00F55252">
            <w:pPr>
              <w:pStyle w:val="ListParagraph"/>
              <w:numPr>
                <w:ilvl w:val="0"/>
                <w:numId w:val="263"/>
              </w:numPr>
              <w:tabs>
                <w:tab w:val="clear" w:pos="720"/>
                <w:tab w:val="num" w:pos="264"/>
              </w:tabs>
              <w:spacing w:before="120" w:after="120" w:line="240" w:lineRule="auto"/>
              <w:ind w:left="264" w:hanging="284"/>
              <w:cnfStyle w:val="000000100000" w:firstRow="0" w:lastRow="0" w:firstColumn="0" w:lastColumn="0" w:oddVBand="0" w:evenVBand="0" w:oddHBand="1" w:evenHBand="0" w:firstRowFirstColumn="0" w:firstRowLastColumn="0" w:lastRowFirstColumn="0" w:lastRowLastColumn="0"/>
              <w:rPr>
                <w:rFonts w:ascii="Cambria" w:hAnsi="Cambria" w:cstheme="minorHAnsi"/>
                <w:lang w:val="en-AU"/>
              </w:rPr>
            </w:pPr>
            <w:r w:rsidRPr="009A0DA6">
              <w:rPr>
                <w:rFonts w:ascii="Cambria" w:hAnsi="Cambria" w:cstheme="minorHAnsi"/>
                <w:lang w:val="en-AU"/>
              </w:rPr>
              <w:t>Receiving and processing requests for asylum on behalf of the LCA</w:t>
            </w:r>
          </w:p>
          <w:p w14:paraId="3A7DA6D6" w14:textId="66FC75B7" w:rsidR="008822A1" w:rsidRPr="009A0DA6" w:rsidRDefault="008822A1" w:rsidP="00F55252">
            <w:pPr>
              <w:pStyle w:val="ListParagraph"/>
              <w:numPr>
                <w:ilvl w:val="0"/>
                <w:numId w:val="263"/>
              </w:numPr>
              <w:tabs>
                <w:tab w:val="clear" w:pos="720"/>
                <w:tab w:val="num" w:pos="264"/>
              </w:tabs>
              <w:spacing w:before="120" w:after="120" w:line="240" w:lineRule="auto"/>
              <w:ind w:left="264" w:hanging="284"/>
              <w:cnfStyle w:val="000000100000" w:firstRow="0" w:lastRow="0" w:firstColumn="0" w:lastColumn="0" w:oddVBand="0" w:evenVBand="0" w:oddHBand="1" w:evenHBand="0" w:firstRowFirstColumn="0" w:firstRowLastColumn="0" w:lastRowFirstColumn="0" w:lastRowLastColumn="0"/>
              <w:rPr>
                <w:rFonts w:ascii="Cambria" w:hAnsi="Cambria" w:cstheme="minorHAnsi"/>
                <w:lang w:val="en-AU"/>
              </w:rPr>
            </w:pPr>
            <w:r w:rsidRPr="009A0DA6">
              <w:rPr>
                <w:rFonts w:ascii="Cambria" w:hAnsi="Cambria" w:cstheme="minorHAnsi"/>
                <w:lang w:val="en-AU"/>
              </w:rPr>
              <w:t>Joint advocacy efforts on international aid</w:t>
            </w:r>
          </w:p>
        </w:tc>
      </w:tr>
      <w:tr w:rsidR="008822A1" w:rsidRPr="009A0DA6" w14:paraId="555A9053" w14:textId="77777777" w:rsidTr="00975F5B">
        <w:tc>
          <w:tcPr>
            <w:cnfStyle w:val="001000000000" w:firstRow="0" w:lastRow="0" w:firstColumn="1" w:lastColumn="0" w:oddVBand="0" w:evenVBand="0" w:oddHBand="0" w:evenHBand="0" w:firstRowFirstColumn="0" w:firstRowLastColumn="0" w:lastRowFirstColumn="0" w:lastRowLastColumn="0"/>
            <w:tcW w:w="2188" w:type="dxa"/>
          </w:tcPr>
          <w:p w14:paraId="6C88A401" w14:textId="5A6FF47E" w:rsidR="008822A1" w:rsidRPr="009A0DA6" w:rsidRDefault="008822A1">
            <w:pPr>
              <w:spacing w:before="120" w:after="120"/>
              <w:contextualSpacing/>
              <w:rPr>
                <w:rFonts w:ascii="Cambria" w:hAnsi="Cambria" w:cstheme="minorHAnsi"/>
              </w:rPr>
            </w:pPr>
            <w:r w:rsidRPr="009A0DA6">
              <w:rPr>
                <w:rFonts w:ascii="Cambria" w:hAnsi="Cambria" w:cstheme="minorHAnsi"/>
              </w:rPr>
              <w:t>Lutheran Media</w:t>
            </w:r>
          </w:p>
        </w:tc>
        <w:tc>
          <w:tcPr>
            <w:tcW w:w="6623" w:type="dxa"/>
          </w:tcPr>
          <w:p w14:paraId="5108B026" w14:textId="798E7332" w:rsidR="008822A1" w:rsidRPr="009A0DA6" w:rsidRDefault="008822A1" w:rsidP="00F55252">
            <w:pPr>
              <w:numPr>
                <w:ilvl w:val="0"/>
                <w:numId w:val="263"/>
              </w:numPr>
              <w:tabs>
                <w:tab w:val="clear" w:pos="720"/>
                <w:tab w:val="num" w:pos="264"/>
              </w:tabs>
              <w:spacing w:before="120" w:after="120"/>
              <w:ind w:left="264" w:hanging="284"/>
              <w:contextualSpacing/>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sidRPr="009A0DA6">
              <w:rPr>
                <w:rFonts w:ascii="Cambria" w:hAnsi="Cambria" w:cstheme="minorHAnsi"/>
              </w:rPr>
              <w:t>Provide ad hoc fundraising and communications strategic advice</w:t>
            </w:r>
          </w:p>
        </w:tc>
      </w:tr>
    </w:tbl>
    <w:p w14:paraId="34FD46E0" w14:textId="77777777" w:rsidR="008822A1" w:rsidRPr="009A0DA6" w:rsidRDefault="008822A1" w:rsidP="00B4053A">
      <w:pPr>
        <w:spacing w:before="120" w:after="120" w:line="240" w:lineRule="auto"/>
        <w:contextualSpacing/>
        <w:rPr>
          <w:rFonts w:ascii="Cambria" w:hAnsi="Cambria" w:cstheme="minorHAnsi"/>
          <w:b/>
        </w:rPr>
      </w:pPr>
    </w:p>
    <w:p w14:paraId="246C965E" w14:textId="1A5B2092" w:rsidR="00B4053A" w:rsidRPr="009A0DA6" w:rsidRDefault="00B4053A" w:rsidP="008822A1">
      <w:pPr>
        <w:pStyle w:val="Heading3"/>
        <w:rPr>
          <w:sz w:val="22"/>
          <w:szCs w:val="22"/>
          <w:lang w:val="en-US" w:eastAsia="ja-JP"/>
        </w:rPr>
      </w:pPr>
      <w:r w:rsidRPr="009A0DA6">
        <w:t>Financial Performance</w:t>
      </w:r>
    </w:p>
    <w:tbl>
      <w:tblPr>
        <w:tblStyle w:val="TableGrid"/>
        <w:tblW w:w="8506"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1560"/>
        <w:gridCol w:w="1559"/>
        <w:gridCol w:w="1418"/>
      </w:tblGrid>
      <w:tr w:rsidR="00B4053A" w:rsidRPr="009A0DA6" w14:paraId="4A775E5B" w14:textId="77777777" w:rsidTr="00062E69">
        <w:tc>
          <w:tcPr>
            <w:tcW w:w="3969" w:type="dxa"/>
            <w:hideMark/>
          </w:tcPr>
          <w:p w14:paraId="74D15A21" w14:textId="02322A46" w:rsidR="00B4053A" w:rsidRPr="009A0DA6" w:rsidRDefault="00B4053A">
            <w:pPr>
              <w:spacing w:before="120" w:after="120"/>
              <w:contextualSpacing/>
              <w:rPr>
                <w:rFonts w:ascii="Cambria" w:hAnsi="Cambria" w:cstheme="minorHAnsi"/>
                <w:b/>
              </w:rPr>
            </w:pPr>
            <w:r w:rsidRPr="009A0DA6">
              <w:rPr>
                <w:rFonts w:ascii="Cambria" w:hAnsi="Cambria" w:cstheme="minorHAnsi"/>
                <w:b/>
              </w:rPr>
              <w:t xml:space="preserve">Alignment to LCA Strategic </w:t>
            </w:r>
            <w:r w:rsidR="00062E69">
              <w:rPr>
                <w:rFonts w:ascii="Cambria" w:hAnsi="Cambria" w:cstheme="minorHAnsi"/>
                <w:b/>
              </w:rPr>
              <w:t>P</w:t>
            </w:r>
            <w:r w:rsidRPr="009A0DA6">
              <w:rPr>
                <w:rFonts w:ascii="Cambria" w:hAnsi="Cambria" w:cstheme="minorHAnsi"/>
                <w:b/>
              </w:rPr>
              <w:t>riorities</w:t>
            </w:r>
          </w:p>
        </w:tc>
        <w:tc>
          <w:tcPr>
            <w:tcW w:w="1560" w:type="dxa"/>
            <w:hideMark/>
          </w:tcPr>
          <w:p w14:paraId="1E7B96DB" w14:textId="7A889C02" w:rsidR="00B4053A" w:rsidRPr="009A0DA6" w:rsidRDefault="00062E69" w:rsidP="00062E69">
            <w:pPr>
              <w:spacing w:before="120" w:after="120"/>
              <w:contextualSpacing/>
              <w:jc w:val="right"/>
              <w:rPr>
                <w:rFonts w:ascii="Cambria" w:hAnsi="Cambria" w:cstheme="minorHAnsi"/>
                <w:b/>
              </w:rPr>
            </w:pPr>
            <w:r>
              <w:rPr>
                <w:rFonts w:ascii="Cambria" w:hAnsi="Cambria" w:cstheme="minorHAnsi"/>
                <w:b/>
              </w:rPr>
              <w:t>2017</w:t>
            </w:r>
            <w:r w:rsidR="00B4053A" w:rsidRPr="009A0DA6">
              <w:rPr>
                <w:rFonts w:ascii="Cambria" w:hAnsi="Cambria" w:cstheme="minorHAnsi"/>
                <w:b/>
              </w:rPr>
              <w:t xml:space="preserve"> </w:t>
            </w:r>
          </w:p>
        </w:tc>
        <w:tc>
          <w:tcPr>
            <w:tcW w:w="1559" w:type="dxa"/>
            <w:hideMark/>
          </w:tcPr>
          <w:p w14:paraId="06571492" w14:textId="370DD85D" w:rsidR="00B4053A" w:rsidRPr="009A0DA6" w:rsidRDefault="00062E69" w:rsidP="00062E69">
            <w:pPr>
              <w:spacing w:before="120" w:after="120"/>
              <w:contextualSpacing/>
              <w:jc w:val="right"/>
              <w:rPr>
                <w:rFonts w:ascii="Cambria" w:hAnsi="Cambria" w:cstheme="minorHAnsi"/>
                <w:b/>
              </w:rPr>
            </w:pPr>
            <w:r>
              <w:rPr>
                <w:rFonts w:ascii="Cambria" w:hAnsi="Cambria" w:cstheme="minorHAnsi"/>
                <w:b/>
              </w:rPr>
              <w:t>2016</w:t>
            </w:r>
          </w:p>
        </w:tc>
        <w:tc>
          <w:tcPr>
            <w:tcW w:w="1418" w:type="dxa"/>
            <w:hideMark/>
          </w:tcPr>
          <w:p w14:paraId="55BCE3AE" w14:textId="531BBDB8" w:rsidR="00B4053A" w:rsidRPr="009A0DA6" w:rsidRDefault="00062E69" w:rsidP="00062E69">
            <w:pPr>
              <w:spacing w:before="120" w:after="120"/>
              <w:contextualSpacing/>
              <w:jc w:val="right"/>
              <w:rPr>
                <w:rFonts w:ascii="Cambria" w:hAnsi="Cambria" w:cstheme="minorHAnsi"/>
                <w:b/>
              </w:rPr>
            </w:pPr>
            <w:r>
              <w:rPr>
                <w:rFonts w:ascii="Cambria" w:hAnsi="Cambria" w:cstheme="minorHAnsi"/>
                <w:b/>
              </w:rPr>
              <w:t>2015</w:t>
            </w:r>
          </w:p>
        </w:tc>
      </w:tr>
      <w:tr w:rsidR="00B4053A" w:rsidRPr="009A0DA6" w14:paraId="4AD74426" w14:textId="77777777" w:rsidTr="00062E69">
        <w:tc>
          <w:tcPr>
            <w:tcW w:w="3969" w:type="dxa"/>
            <w:hideMark/>
          </w:tcPr>
          <w:p w14:paraId="606BA239" w14:textId="77777777" w:rsidR="00B4053A" w:rsidRPr="009A0DA6" w:rsidRDefault="00B4053A">
            <w:pPr>
              <w:spacing w:before="120" w:after="120"/>
              <w:contextualSpacing/>
              <w:rPr>
                <w:rFonts w:ascii="Cambria" w:hAnsi="Cambria" w:cstheme="minorHAnsi"/>
                <w:b/>
              </w:rPr>
            </w:pPr>
            <w:r w:rsidRPr="009A0DA6">
              <w:rPr>
                <w:rFonts w:ascii="Cambria" w:hAnsi="Cambria" w:cstheme="minorHAnsi"/>
                <w:b/>
              </w:rPr>
              <w:t>Expenditure</w:t>
            </w:r>
          </w:p>
        </w:tc>
        <w:tc>
          <w:tcPr>
            <w:tcW w:w="1560" w:type="dxa"/>
          </w:tcPr>
          <w:p w14:paraId="1C3B4465" w14:textId="77777777" w:rsidR="00B4053A" w:rsidRPr="009A0DA6" w:rsidRDefault="00B4053A">
            <w:pPr>
              <w:spacing w:before="120" w:after="120"/>
              <w:contextualSpacing/>
              <w:jc w:val="right"/>
              <w:rPr>
                <w:rFonts w:ascii="Cambria" w:hAnsi="Cambria" w:cstheme="minorHAnsi"/>
                <w:b/>
                <w:highlight w:val="yellow"/>
              </w:rPr>
            </w:pPr>
          </w:p>
        </w:tc>
        <w:tc>
          <w:tcPr>
            <w:tcW w:w="1559" w:type="dxa"/>
          </w:tcPr>
          <w:p w14:paraId="28BB8872" w14:textId="77777777" w:rsidR="00B4053A" w:rsidRPr="009A0DA6" w:rsidRDefault="00B4053A">
            <w:pPr>
              <w:spacing w:before="120" w:after="120"/>
              <w:contextualSpacing/>
              <w:jc w:val="right"/>
              <w:rPr>
                <w:rFonts w:ascii="Cambria" w:hAnsi="Cambria" w:cstheme="minorHAnsi"/>
                <w:b/>
                <w:highlight w:val="yellow"/>
              </w:rPr>
            </w:pPr>
          </w:p>
        </w:tc>
        <w:tc>
          <w:tcPr>
            <w:tcW w:w="1418" w:type="dxa"/>
          </w:tcPr>
          <w:p w14:paraId="3D6E4845" w14:textId="77777777" w:rsidR="00B4053A" w:rsidRPr="009A0DA6" w:rsidRDefault="00B4053A">
            <w:pPr>
              <w:spacing w:before="120" w:after="120"/>
              <w:contextualSpacing/>
              <w:jc w:val="right"/>
              <w:rPr>
                <w:rFonts w:ascii="Cambria" w:hAnsi="Cambria" w:cstheme="minorHAnsi"/>
                <w:b/>
                <w:highlight w:val="yellow"/>
              </w:rPr>
            </w:pPr>
          </w:p>
        </w:tc>
      </w:tr>
      <w:tr w:rsidR="00B4053A" w:rsidRPr="009A0DA6" w14:paraId="4B0D3EB4" w14:textId="77777777" w:rsidTr="00062E69">
        <w:tc>
          <w:tcPr>
            <w:tcW w:w="3969" w:type="dxa"/>
            <w:hideMark/>
          </w:tcPr>
          <w:p w14:paraId="3F5E51C7" w14:textId="77777777" w:rsidR="00B4053A" w:rsidRPr="009A0DA6" w:rsidRDefault="00B4053A">
            <w:pPr>
              <w:spacing w:before="120" w:after="120"/>
              <w:contextualSpacing/>
              <w:rPr>
                <w:rFonts w:ascii="Cambria" w:hAnsi="Cambria" w:cstheme="minorHAnsi"/>
              </w:rPr>
            </w:pPr>
            <w:r w:rsidRPr="009A0DA6">
              <w:rPr>
                <w:rFonts w:ascii="Cambria" w:hAnsi="Cambria" w:cstheme="minorHAnsi"/>
              </w:rPr>
              <w:t>1 Growing as God’s People</w:t>
            </w:r>
          </w:p>
        </w:tc>
        <w:tc>
          <w:tcPr>
            <w:tcW w:w="1560" w:type="dxa"/>
            <w:hideMark/>
          </w:tcPr>
          <w:p w14:paraId="20740F52" w14:textId="77777777" w:rsidR="00B4053A" w:rsidRPr="009A0DA6" w:rsidRDefault="00B4053A">
            <w:pPr>
              <w:spacing w:before="120" w:after="120"/>
              <w:contextualSpacing/>
              <w:jc w:val="right"/>
              <w:rPr>
                <w:rFonts w:ascii="Cambria" w:hAnsi="Cambria" w:cstheme="minorHAnsi"/>
              </w:rPr>
            </w:pPr>
            <w:r w:rsidRPr="009A0DA6">
              <w:rPr>
                <w:rFonts w:ascii="Cambria" w:hAnsi="Cambria" w:cstheme="minorHAnsi"/>
              </w:rPr>
              <w:t>213,955</w:t>
            </w:r>
          </w:p>
        </w:tc>
        <w:tc>
          <w:tcPr>
            <w:tcW w:w="1559" w:type="dxa"/>
            <w:hideMark/>
          </w:tcPr>
          <w:p w14:paraId="1F7C6FF8" w14:textId="77777777" w:rsidR="00B4053A" w:rsidRPr="009A0DA6" w:rsidRDefault="00B4053A">
            <w:pPr>
              <w:spacing w:before="120" w:after="120"/>
              <w:contextualSpacing/>
              <w:jc w:val="right"/>
              <w:rPr>
                <w:rFonts w:ascii="Cambria" w:hAnsi="Cambria" w:cstheme="minorHAnsi"/>
              </w:rPr>
            </w:pPr>
            <w:r w:rsidRPr="009A0DA6">
              <w:rPr>
                <w:rFonts w:ascii="Cambria" w:hAnsi="Cambria" w:cstheme="minorHAnsi"/>
              </w:rPr>
              <w:t>172,466</w:t>
            </w:r>
          </w:p>
        </w:tc>
        <w:tc>
          <w:tcPr>
            <w:tcW w:w="1418" w:type="dxa"/>
            <w:hideMark/>
          </w:tcPr>
          <w:p w14:paraId="03E032E5" w14:textId="77777777" w:rsidR="00B4053A" w:rsidRPr="009A0DA6" w:rsidRDefault="00B4053A">
            <w:pPr>
              <w:spacing w:before="120" w:after="120"/>
              <w:contextualSpacing/>
              <w:jc w:val="right"/>
              <w:rPr>
                <w:rFonts w:ascii="Cambria" w:hAnsi="Cambria" w:cstheme="minorHAnsi"/>
              </w:rPr>
            </w:pPr>
            <w:r w:rsidRPr="009A0DA6">
              <w:rPr>
                <w:rFonts w:ascii="Cambria" w:hAnsi="Cambria" w:cstheme="minorHAnsi"/>
              </w:rPr>
              <w:t>151,538</w:t>
            </w:r>
          </w:p>
        </w:tc>
      </w:tr>
      <w:tr w:rsidR="00B4053A" w:rsidRPr="009A0DA6" w14:paraId="2F8BAB4B" w14:textId="77777777" w:rsidTr="00062E69">
        <w:tc>
          <w:tcPr>
            <w:tcW w:w="3969" w:type="dxa"/>
            <w:hideMark/>
          </w:tcPr>
          <w:p w14:paraId="562B4C1E" w14:textId="77777777" w:rsidR="00B4053A" w:rsidRPr="009A0DA6" w:rsidRDefault="00B4053A">
            <w:pPr>
              <w:spacing w:before="120" w:after="120"/>
              <w:contextualSpacing/>
              <w:rPr>
                <w:rFonts w:ascii="Cambria" w:hAnsi="Cambria" w:cstheme="minorHAnsi"/>
              </w:rPr>
            </w:pPr>
            <w:r w:rsidRPr="009A0DA6">
              <w:rPr>
                <w:rFonts w:ascii="Cambria" w:hAnsi="Cambria" w:cstheme="minorHAnsi"/>
              </w:rPr>
              <w:t>2 Going as God’s People</w:t>
            </w:r>
          </w:p>
        </w:tc>
        <w:tc>
          <w:tcPr>
            <w:tcW w:w="1560" w:type="dxa"/>
            <w:hideMark/>
          </w:tcPr>
          <w:p w14:paraId="5613F4BD" w14:textId="77777777" w:rsidR="00B4053A" w:rsidRPr="009A0DA6" w:rsidRDefault="00B4053A">
            <w:pPr>
              <w:spacing w:before="120" w:after="120"/>
              <w:contextualSpacing/>
              <w:jc w:val="right"/>
              <w:rPr>
                <w:rFonts w:ascii="Cambria" w:hAnsi="Cambria" w:cstheme="minorHAnsi"/>
              </w:rPr>
            </w:pPr>
            <w:r w:rsidRPr="009A0DA6">
              <w:rPr>
                <w:rFonts w:ascii="Cambria" w:hAnsi="Cambria" w:cstheme="minorHAnsi"/>
              </w:rPr>
              <w:t>5,808,379</w:t>
            </w:r>
          </w:p>
        </w:tc>
        <w:tc>
          <w:tcPr>
            <w:tcW w:w="1559" w:type="dxa"/>
            <w:hideMark/>
          </w:tcPr>
          <w:p w14:paraId="56A0C855" w14:textId="77777777" w:rsidR="00B4053A" w:rsidRPr="009A0DA6" w:rsidRDefault="00B4053A">
            <w:pPr>
              <w:spacing w:before="120" w:after="120"/>
              <w:contextualSpacing/>
              <w:jc w:val="right"/>
              <w:rPr>
                <w:rFonts w:ascii="Cambria" w:hAnsi="Cambria" w:cstheme="minorHAnsi"/>
              </w:rPr>
            </w:pPr>
            <w:r w:rsidRPr="009A0DA6">
              <w:rPr>
                <w:rFonts w:ascii="Cambria" w:hAnsi="Cambria" w:cstheme="minorHAnsi"/>
              </w:rPr>
              <w:t>5,973,290</w:t>
            </w:r>
          </w:p>
        </w:tc>
        <w:tc>
          <w:tcPr>
            <w:tcW w:w="1418" w:type="dxa"/>
            <w:hideMark/>
          </w:tcPr>
          <w:p w14:paraId="71323E44" w14:textId="77777777" w:rsidR="00B4053A" w:rsidRPr="009A0DA6" w:rsidRDefault="00B4053A">
            <w:pPr>
              <w:spacing w:before="120" w:after="120"/>
              <w:contextualSpacing/>
              <w:jc w:val="right"/>
              <w:rPr>
                <w:rFonts w:ascii="Cambria" w:hAnsi="Cambria" w:cstheme="minorHAnsi"/>
              </w:rPr>
            </w:pPr>
            <w:r w:rsidRPr="009A0DA6">
              <w:rPr>
                <w:rFonts w:ascii="Cambria" w:hAnsi="Cambria" w:cstheme="minorHAnsi"/>
              </w:rPr>
              <w:t>5,998,308</w:t>
            </w:r>
          </w:p>
        </w:tc>
      </w:tr>
      <w:tr w:rsidR="00B4053A" w:rsidRPr="009A0DA6" w14:paraId="5FCC2749" w14:textId="77777777" w:rsidTr="00062E69">
        <w:tc>
          <w:tcPr>
            <w:tcW w:w="3969" w:type="dxa"/>
            <w:hideMark/>
          </w:tcPr>
          <w:p w14:paraId="1C372800" w14:textId="77777777" w:rsidR="00B4053A" w:rsidRPr="009A0DA6" w:rsidRDefault="00B4053A">
            <w:pPr>
              <w:spacing w:before="120" w:after="120"/>
              <w:contextualSpacing/>
              <w:rPr>
                <w:rFonts w:ascii="Cambria" w:hAnsi="Cambria" w:cstheme="minorHAnsi"/>
              </w:rPr>
            </w:pPr>
            <w:r w:rsidRPr="009A0DA6">
              <w:rPr>
                <w:rFonts w:ascii="Cambria" w:hAnsi="Cambria" w:cstheme="minorHAnsi"/>
              </w:rPr>
              <w:t>3 Enable us to Go &amp; Grow</w:t>
            </w:r>
          </w:p>
        </w:tc>
        <w:tc>
          <w:tcPr>
            <w:tcW w:w="1560" w:type="dxa"/>
            <w:hideMark/>
          </w:tcPr>
          <w:p w14:paraId="0B0653FB" w14:textId="77777777" w:rsidR="00B4053A" w:rsidRPr="009A0DA6" w:rsidRDefault="00B4053A">
            <w:pPr>
              <w:spacing w:before="120" w:after="120"/>
              <w:contextualSpacing/>
              <w:jc w:val="right"/>
              <w:rPr>
                <w:rFonts w:ascii="Cambria" w:hAnsi="Cambria" w:cstheme="minorHAnsi"/>
              </w:rPr>
            </w:pPr>
            <w:r w:rsidRPr="009A0DA6">
              <w:rPr>
                <w:rFonts w:ascii="Cambria" w:hAnsi="Cambria" w:cstheme="minorHAnsi"/>
              </w:rPr>
              <w:t>1,097,385</w:t>
            </w:r>
          </w:p>
        </w:tc>
        <w:tc>
          <w:tcPr>
            <w:tcW w:w="1559" w:type="dxa"/>
            <w:hideMark/>
          </w:tcPr>
          <w:p w14:paraId="0CD07EB5" w14:textId="77777777" w:rsidR="00B4053A" w:rsidRPr="009A0DA6" w:rsidRDefault="00B4053A">
            <w:pPr>
              <w:spacing w:before="120" w:after="120"/>
              <w:contextualSpacing/>
              <w:jc w:val="right"/>
              <w:rPr>
                <w:rFonts w:ascii="Cambria" w:hAnsi="Cambria" w:cstheme="minorHAnsi"/>
              </w:rPr>
            </w:pPr>
            <w:r w:rsidRPr="009A0DA6">
              <w:rPr>
                <w:rFonts w:ascii="Cambria" w:hAnsi="Cambria" w:cstheme="minorHAnsi"/>
              </w:rPr>
              <w:t>889,981</w:t>
            </w:r>
          </w:p>
        </w:tc>
        <w:tc>
          <w:tcPr>
            <w:tcW w:w="1418" w:type="dxa"/>
            <w:hideMark/>
          </w:tcPr>
          <w:p w14:paraId="359993E9" w14:textId="77777777" w:rsidR="00B4053A" w:rsidRPr="009A0DA6" w:rsidRDefault="00B4053A">
            <w:pPr>
              <w:spacing w:before="120" w:after="120"/>
              <w:contextualSpacing/>
              <w:jc w:val="right"/>
              <w:rPr>
                <w:rFonts w:ascii="Cambria" w:hAnsi="Cambria" w:cstheme="minorHAnsi"/>
              </w:rPr>
            </w:pPr>
            <w:r w:rsidRPr="009A0DA6">
              <w:rPr>
                <w:rFonts w:ascii="Cambria" w:hAnsi="Cambria" w:cstheme="minorHAnsi"/>
              </w:rPr>
              <w:t>886,802</w:t>
            </w:r>
          </w:p>
        </w:tc>
      </w:tr>
      <w:tr w:rsidR="00B4053A" w:rsidRPr="009A0DA6" w14:paraId="3138A40B" w14:textId="77777777" w:rsidTr="00062E69">
        <w:tc>
          <w:tcPr>
            <w:tcW w:w="3969" w:type="dxa"/>
            <w:hideMark/>
          </w:tcPr>
          <w:p w14:paraId="360C0CF6" w14:textId="77777777" w:rsidR="00B4053A" w:rsidRPr="00062E69" w:rsidRDefault="00B4053A">
            <w:pPr>
              <w:spacing w:before="120" w:after="120"/>
              <w:contextualSpacing/>
              <w:rPr>
                <w:rFonts w:ascii="Cambria" w:hAnsi="Cambria" w:cstheme="minorHAnsi"/>
                <w:b/>
              </w:rPr>
            </w:pPr>
            <w:r w:rsidRPr="00062E69">
              <w:rPr>
                <w:rFonts w:ascii="Cambria" w:hAnsi="Cambria" w:cstheme="minorHAnsi"/>
                <w:b/>
              </w:rPr>
              <w:t>Total</w:t>
            </w:r>
          </w:p>
        </w:tc>
        <w:tc>
          <w:tcPr>
            <w:tcW w:w="1560" w:type="dxa"/>
            <w:hideMark/>
          </w:tcPr>
          <w:p w14:paraId="075A135C" w14:textId="77777777" w:rsidR="00B4053A" w:rsidRPr="009A0DA6" w:rsidRDefault="00B4053A">
            <w:pPr>
              <w:spacing w:before="120" w:after="120"/>
              <w:contextualSpacing/>
              <w:jc w:val="right"/>
              <w:rPr>
                <w:rFonts w:ascii="Cambria" w:hAnsi="Cambria" w:cstheme="minorHAnsi"/>
              </w:rPr>
            </w:pPr>
            <w:r w:rsidRPr="009A0DA6">
              <w:rPr>
                <w:rFonts w:ascii="Cambria" w:hAnsi="Cambria" w:cstheme="minorHAnsi"/>
              </w:rPr>
              <w:t>7,119,719</w:t>
            </w:r>
          </w:p>
        </w:tc>
        <w:tc>
          <w:tcPr>
            <w:tcW w:w="1559" w:type="dxa"/>
            <w:hideMark/>
          </w:tcPr>
          <w:p w14:paraId="25A569AB" w14:textId="77777777" w:rsidR="00B4053A" w:rsidRPr="009A0DA6" w:rsidRDefault="00B4053A">
            <w:pPr>
              <w:spacing w:before="120" w:after="120"/>
              <w:contextualSpacing/>
              <w:jc w:val="right"/>
              <w:rPr>
                <w:rFonts w:ascii="Cambria" w:hAnsi="Cambria" w:cstheme="minorHAnsi"/>
              </w:rPr>
            </w:pPr>
            <w:r w:rsidRPr="009A0DA6">
              <w:rPr>
                <w:rFonts w:ascii="Cambria" w:hAnsi="Cambria" w:cstheme="minorHAnsi"/>
              </w:rPr>
              <w:t>7,035,737</w:t>
            </w:r>
          </w:p>
        </w:tc>
        <w:tc>
          <w:tcPr>
            <w:tcW w:w="1418" w:type="dxa"/>
            <w:hideMark/>
          </w:tcPr>
          <w:p w14:paraId="55D39644" w14:textId="77777777" w:rsidR="00B4053A" w:rsidRPr="009A0DA6" w:rsidRDefault="00B4053A">
            <w:pPr>
              <w:spacing w:before="120" w:after="120"/>
              <w:contextualSpacing/>
              <w:jc w:val="right"/>
              <w:rPr>
                <w:rFonts w:ascii="Cambria" w:hAnsi="Cambria" w:cstheme="minorHAnsi"/>
              </w:rPr>
            </w:pPr>
            <w:r w:rsidRPr="009A0DA6">
              <w:rPr>
                <w:rFonts w:ascii="Cambria" w:hAnsi="Cambria" w:cstheme="minorHAnsi"/>
              </w:rPr>
              <w:t>7,036,648</w:t>
            </w:r>
          </w:p>
        </w:tc>
      </w:tr>
    </w:tbl>
    <w:p w14:paraId="135D67BF" w14:textId="1CB7D6B0" w:rsidR="00CE0DB0" w:rsidRPr="009A0DA6" w:rsidRDefault="00CE0DB0" w:rsidP="00CE0DB0">
      <w:pPr>
        <w:pStyle w:val="NoSpacing"/>
      </w:pPr>
    </w:p>
    <w:p w14:paraId="636ACD04" w14:textId="77777777" w:rsidR="005F21CD" w:rsidRDefault="005F21CD" w:rsidP="00964A90">
      <w:pPr>
        <w:pStyle w:val="Heading3"/>
      </w:pPr>
    </w:p>
    <w:p w14:paraId="4C79C5CD" w14:textId="77777777" w:rsidR="005F21CD" w:rsidRDefault="005F21CD" w:rsidP="00964A90">
      <w:pPr>
        <w:pStyle w:val="Heading3"/>
      </w:pPr>
    </w:p>
    <w:p w14:paraId="5F8E5B42" w14:textId="77777777" w:rsidR="005F21CD" w:rsidRDefault="005F21CD" w:rsidP="00964A90">
      <w:pPr>
        <w:pStyle w:val="Heading3"/>
      </w:pPr>
    </w:p>
    <w:p w14:paraId="0161CF06" w14:textId="76A62961" w:rsidR="00F47478" w:rsidRPr="009A0DA6" w:rsidRDefault="00F47478" w:rsidP="00964A90">
      <w:pPr>
        <w:pStyle w:val="Heading3"/>
      </w:pPr>
      <w:r w:rsidRPr="009A0DA6">
        <w:t>agenda 13.2</w:t>
      </w:r>
    </w:p>
    <w:p w14:paraId="204FDB58" w14:textId="77777777" w:rsidR="00CE0DB0" w:rsidRPr="009A0DA6" w:rsidRDefault="00F47478" w:rsidP="00F47478">
      <w:pPr>
        <w:pStyle w:val="Heading2"/>
      </w:pPr>
      <w:bookmarkStart w:id="510" w:name="_Toc521954750"/>
      <w:r w:rsidRPr="009A0DA6">
        <w:t>Financial Report: Australian L</w:t>
      </w:r>
      <w:r w:rsidR="00CE0DB0" w:rsidRPr="009A0DA6">
        <w:t>utheran World Service</w:t>
      </w:r>
      <w:bookmarkEnd w:id="510"/>
    </w:p>
    <w:p w14:paraId="329E815C" w14:textId="77777777" w:rsidR="00CE0DB0" w:rsidRPr="009A0DA6" w:rsidRDefault="00CE0DB0" w:rsidP="00CE0DB0">
      <w:pPr>
        <w:pStyle w:val="NoSpacing"/>
      </w:pPr>
    </w:p>
    <w:p w14:paraId="1EEB4479" w14:textId="69A9C71E" w:rsidR="00934A96" w:rsidRPr="009A0DA6" w:rsidRDefault="00934A96" w:rsidP="00766B14">
      <w:pPr>
        <w:pStyle w:val="NoSpacing"/>
        <w:rPr>
          <w:b/>
        </w:rPr>
      </w:pPr>
      <w:r w:rsidRPr="009A0DA6">
        <w:rPr>
          <w:b/>
        </w:rPr>
        <w:t>COMPREHENSIVE INCOME STATEMENT</w:t>
      </w:r>
    </w:p>
    <w:p w14:paraId="42AE9B1E" w14:textId="5D5865C8" w:rsidR="00934A96" w:rsidRPr="009A0DA6" w:rsidRDefault="00934A96" w:rsidP="00934A96">
      <w:pPr>
        <w:pStyle w:val="NoSpacing"/>
        <w:rPr>
          <w:b/>
        </w:rPr>
      </w:pPr>
      <w:r w:rsidRPr="009A0DA6">
        <w:rPr>
          <w:b/>
        </w:rPr>
        <w:t xml:space="preserve">FOR </w:t>
      </w:r>
      <w:r w:rsidR="00AC7AA2">
        <w:rPr>
          <w:b/>
        </w:rPr>
        <w:t>THE PERIODS ENDING</w:t>
      </w:r>
      <w:r w:rsidRPr="009A0DA6">
        <w:rPr>
          <w:b/>
        </w:rPr>
        <w:t xml:space="preserve"> 31 DECEMBER </w:t>
      </w:r>
    </w:p>
    <w:p w14:paraId="391151FE" w14:textId="77777777" w:rsidR="00EC2137" w:rsidRPr="009A0DA6" w:rsidRDefault="00EC2137" w:rsidP="00EC2137">
      <w:pPr>
        <w:tabs>
          <w:tab w:val="center" w:pos="4536"/>
          <w:tab w:val="right" w:pos="5954"/>
          <w:tab w:val="right" w:pos="7371"/>
          <w:tab w:val="right" w:pos="8789"/>
        </w:tabs>
        <w:spacing w:before="120" w:after="120" w:line="240" w:lineRule="auto"/>
        <w:ind w:right="46"/>
        <w:contextualSpacing/>
        <w:rPr>
          <w:rFonts w:ascii="Cambria" w:hAnsi="Cambria" w:cs="Arial"/>
          <w:b/>
        </w:rPr>
      </w:pPr>
      <w:r w:rsidRPr="009A0DA6">
        <w:rPr>
          <w:rFonts w:ascii="Cambria" w:hAnsi="Cambria" w:cs="Arial"/>
          <w:b/>
        </w:rPr>
        <w:tab/>
      </w:r>
      <w:r w:rsidRPr="009A0DA6">
        <w:rPr>
          <w:rFonts w:ascii="Cambria" w:hAnsi="Cambria" w:cs="Arial"/>
          <w:b/>
        </w:rPr>
        <w:tab/>
        <w:t>2017</w:t>
      </w:r>
      <w:r w:rsidRPr="009A0DA6">
        <w:rPr>
          <w:rFonts w:ascii="Cambria" w:hAnsi="Cambria" w:cs="Arial"/>
          <w:b/>
        </w:rPr>
        <w:tab/>
        <w:t>2016</w:t>
      </w:r>
      <w:r w:rsidRPr="009A0DA6">
        <w:rPr>
          <w:rFonts w:ascii="Cambria" w:hAnsi="Cambria" w:cs="Arial"/>
          <w:b/>
        </w:rPr>
        <w:tab/>
        <w:t>2015</w:t>
      </w:r>
    </w:p>
    <w:p w14:paraId="68835084" w14:textId="77777777" w:rsidR="00EC2137" w:rsidRPr="009A0DA6" w:rsidRDefault="00EC2137" w:rsidP="00EC2137">
      <w:pPr>
        <w:tabs>
          <w:tab w:val="center" w:pos="4536"/>
          <w:tab w:val="right" w:pos="5954"/>
          <w:tab w:val="right" w:pos="7371"/>
          <w:tab w:val="right" w:pos="8789"/>
        </w:tabs>
        <w:spacing w:before="120" w:after="120" w:line="240" w:lineRule="auto"/>
        <w:ind w:right="46"/>
        <w:contextualSpacing/>
        <w:rPr>
          <w:rFonts w:ascii="Cambria" w:hAnsi="Cambria" w:cs="Arial"/>
          <w:b/>
        </w:rPr>
      </w:pPr>
      <w:r w:rsidRPr="009A0DA6">
        <w:rPr>
          <w:rFonts w:ascii="Cambria" w:hAnsi="Cambria" w:cs="Arial"/>
          <w:b/>
        </w:rPr>
        <w:t>REVENUE</w:t>
      </w:r>
    </w:p>
    <w:p w14:paraId="10B4D097" w14:textId="77777777" w:rsidR="00EC2137" w:rsidRPr="009A0DA6" w:rsidRDefault="00EC2137" w:rsidP="00EC2137">
      <w:pPr>
        <w:tabs>
          <w:tab w:val="center" w:pos="4536"/>
          <w:tab w:val="right" w:pos="5954"/>
          <w:tab w:val="right" w:pos="7371"/>
          <w:tab w:val="right" w:pos="8789"/>
        </w:tabs>
        <w:spacing w:before="120" w:after="120" w:line="240" w:lineRule="auto"/>
        <w:ind w:right="46"/>
        <w:contextualSpacing/>
        <w:rPr>
          <w:rFonts w:ascii="Cambria" w:hAnsi="Cambria" w:cs="Arial"/>
        </w:rPr>
      </w:pPr>
      <w:r w:rsidRPr="009A0DA6">
        <w:rPr>
          <w:rFonts w:ascii="Cambria" w:hAnsi="Cambria" w:cs="Arial"/>
        </w:rPr>
        <w:t>Donations and gifts</w:t>
      </w:r>
    </w:p>
    <w:p w14:paraId="03B2F545" w14:textId="77777777" w:rsidR="00EC2137" w:rsidRPr="009A0DA6" w:rsidRDefault="00EC2137" w:rsidP="00EC2137">
      <w:pPr>
        <w:tabs>
          <w:tab w:val="center" w:pos="4536"/>
          <w:tab w:val="right" w:pos="5954"/>
          <w:tab w:val="right" w:pos="7371"/>
          <w:tab w:val="right" w:pos="8789"/>
        </w:tabs>
        <w:spacing w:before="120" w:after="120" w:line="240" w:lineRule="auto"/>
        <w:ind w:right="46"/>
        <w:contextualSpacing/>
        <w:rPr>
          <w:rFonts w:ascii="Cambria" w:hAnsi="Cambria" w:cs="Arial"/>
        </w:rPr>
      </w:pPr>
      <w:r w:rsidRPr="009A0DA6">
        <w:rPr>
          <w:rFonts w:ascii="Cambria" w:hAnsi="Cambria" w:cs="Arial"/>
        </w:rPr>
        <w:t>- Monetary</w:t>
      </w:r>
      <w:r w:rsidRPr="009A0DA6">
        <w:rPr>
          <w:rFonts w:ascii="Cambria" w:hAnsi="Cambria" w:cs="Arial"/>
        </w:rPr>
        <w:tab/>
      </w:r>
      <w:r w:rsidRPr="009A0DA6">
        <w:rPr>
          <w:rFonts w:ascii="Cambria" w:hAnsi="Cambria" w:cs="Arial"/>
        </w:rPr>
        <w:tab/>
        <w:t>4,768,505</w:t>
      </w:r>
      <w:r w:rsidRPr="009A0DA6">
        <w:rPr>
          <w:rFonts w:ascii="Cambria" w:hAnsi="Cambria" w:cs="Arial"/>
        </w:rPr>
        <w:tab/>
        <w:t>3,859,437</w:t>
      </w:r>
      <w:r w:rsidRPr="009A0DA6">
        <w:rPr>
          <w:rFonts w:ascii="Cambria" w:hAnsi="Cambria" w:cs="Arial"/>
        </w:rPr>
        <w:tab/>
        <w:t>4,978,358</w:t>
      </w:r>
    </w:p>
    <w:p w14:paraId="03780554" w14:textId="77777777" w:rsidR="00EC2137" w:rsidRPr="009A0DA6" w:rsidRDefault="00EC2137" w:rsidP="00EC2137">
      <w:pPr>
        <w:tabs>
          <w:tab w:val="center" w:pos="4536"/>
          <w:tab w:val="right" w:pos="5954"/>
          <w:tab w:val="right" w:pos="7371"/>
          <w:tab w:val="right" w:pos="8789"/>
        </w:tabs>
        <w:spacing w:before="120" w:after="120" w:line="240" w:lineRule="auto"/>
        <w:ind w:right="46"/>
        <w:contextualSpacing/>
        <w:rPr>
          <w:rFonts w:ascii="Cambria" w:hAnsi="Cambria" w:cs="Arial"/>
        </w:rPr>
      </w:pPr>
      <w:r w:rsidRPr="009A0DA6">
        <w:rPr>
          <w:rFonts w:ascii="Cambria" w:hAnsi="Cambria" w:cs="Arial"/>
        </w:rPr>
        <w:t xml:space="preserve">- Non-monetary </w:t>
      </w:r>
      <w:r w:rsidRPr="009A0DA6">
        <w:rPr>
          <w:rFonts w:ascii="Cambria" w:hAnsi="Cambria" w:cs="Arial"/>
        </w:rPr>
        <w:tab/>
      </w:r>
      <w:r w:rsidRPr="009A0DA6">
        <w:rPr>
          <w:rFonts w:ascii="Cambria" w:hAnsi="Cambria" w:cs="Arial"/>
        </w:rPr>
        <w:tab/>
        <w:t>0</w:t>
      </w:r>
      <w:r w:rsidRPr="009A0DA6">
        <w:rPr>
          <w:rFonts w:ascii="Cambria" w:hAnsi="Cambria" w:cs="Arial"/>
        </w:rPr>
        <w:tab/>
        <w:t>0</w:t>
      </w:r>
      <w:r w:rsidRPr="009A0DA6">
        <w:rPr>
          <w:rFonts w:ascii="Cambria" w:hAnsi="Cambria" w:cs="Arial"/>
        </w:rPr>
        <w:tab/>
      </w:r>
    </w:p>
    <w:p w14:paraId="2E710FE7" w14:textId="77777777" w:rsidR="00EC2137" w:rsidRPr="009A0DA6" w:rsidRDefault="00EC2137" w:rsidP="00EC2137">
      <w:pPr>
        <w:tabs>
          <w:tab w:val="center" w:pos="4536"/>
          <w:tab w:val="right" w:pos="5954"/>
          <w:tab w:val="right" w:pos="7371"/>
          <w:tab w:val="right" w:pos="8789"/>
        </w:tabs>
        <w:spacing w:before="120" w:after="120" w:line="240" w:lineRule="auto"/>
        <w:ind w:right="46"/>
        <w:contextualSpacing/>
        <w:rPr>
          <w:rFonts w:ascii="Cambria" w:hAnsi="Cambria" w:cs="Arial"/>
        </w:rPr>
      </w:pPr>
      <w:r w:rsidRPr="009A0DA6">
        <w:rPr>
          <w:rFonts w:ascii="Cambria" w:hAnsi="Cambria" w:cs="Arial"/>
        </w:rPr>
        <w:t>Bequests &amp; Legacies</w:t>
      </w:r>
      <w:r w:rsidRPr="009A0DA6">
        <w:rPr>
          <w:rFonts w:ascii="Cambria" w:hAnsi="Cambria" w:cs="Arial"/>
        </w:rPr>
        <w:tab/>
      </w:r>
      <w:r w:rsidRPr="009A0DA6">
        <w:rPr>
          <w:rFonts w:ascii="Cambria" w:hAnsi="Cambria" w:cs="Arial"/>
        </w:rPr>
        <w:tab/>
        <w:t>992,755</w:t>
      </w:r>
      <w:r w:rsidRPr="009A0DA6">
        <w:rPr>
          <w:rFonts w:ascii="Cambria" w:hAnsi="Cambria" w:cs="Arial"/>
        </w:rPr>
        <w:tab/>
        <w:t>451,424</w:t>
      </w:r>
      <w:r w:rsidRPr="009A0DA6">
        <w:rPr>
          <w:rFonts w:ascii="Cambria" w:hAnsi="Cambria" w:cs="Arial"/>
        </w:rPr>
        <w:tab/>
        <w:t>49,764</w:t>
      </w:r>
    </w:p>
    <w:p w14:paraId="427BE716" w14:textId="77777777" w:rsidR="00EC2137" w:rsidRPr="009A0DA6" w:rsidRDefault="00EC2137" w:rsidP="00EC2137">
      <w:pPr>
        <w:tabs>
          <w:tab w:val="center" w:pos="4536"/>
          <w:tab w:val="right" w:pos="5954"/>
          <w:tab w:val="right" w:pos="7371"/>
          <w:tab w:val="right" w:pos="8789"/>
        </w:tabs>
        <w:spacing w:before="120" w:after="120" w:line="240" w:lineRule="auto"/>
        <w:ind w:right="46"/>
        <w:contextualSpacing/>
        <w:rPr>
          <w:rFonts w:ascii="Cambria" w:hAnsi="Cambria" w:cs="Arial"/>
        </w:rPr>
      </w:pPr>
      <w:r w:rsidRPr="009A0DA6">
        <w:rPr>
          <w:rFonts w:ascii="Cambria" w:hAnsi="Cambria" w:cs="Arial"/>
        </w:rPr>
        <w:t>Grants</w:t>
      </w:r>
    </w:p>
    <w:p w14:paraId="265D0C7D" w14:textId="77777777" w:rsidR="00EC2137" w:rsidRPr="009A0DA6" w:rsidRDefault="00EC2137" w:rsidP="00EC2137">
      <w:pPr>
        <w:tabs>
          <w:tab w:val="center" w:pos="4536"/>
          <w:tab w:val="right" w:pos="5954"/>
          <w:tab w:val="right" w:pos="7371"/>
          <w:tab w:val="right" w:pos="8789"/>
        </w:tabs>
        <w:spacing w:before="120" w:after="120" w:line="240" w:lineRule="auto"/>
        <w:ind w:right="46"/>
        <w:contextualSpacing/>
        <w:rPr>
          <w:rFonts w:ascii="Cambria" w:hAnsi="Cambria" w:cs="Arial"/>
        </w:rPr>
      </w:pPr>
      <w:r w:rsidRPr="009A0DA6">
        <w:rPr>
          <w:rFonts w:ascii="Cambria" w:hAnsi="Cambria" w:cs="Arial"/>
        </w:rPr>
        <w:t>- Department of Foreign Affairs and Trade (DFAT)</w:t>
      </w:r>
      <w:r w:rsidRPr="009A0DA6">
        <w:rPr>
          <w:rFonts w:ascii="Cambria" w:hAnsi="Cambria" w:cs="Arial"/>
        </w:rPr>
        <w:tab/>
        <w:t>2,672,945</w:t>
      </w:r>
      <w:r w:rsidRPr="009A0DA6">
        <w:rPr>
          <w:rFonts w:ascii="Cambria" w:hAnsi="Cambria" w:cs="Arial"/>
        </w:rPr>
        <w:tab/>
        <w:t>2,101,183</w:t>
      </w:r>
      <w:r w:rsidRPr="009A0DA6">
        <w:rPr>
          <w:rFonts w:ascii="Cambria" w:hAnsi="Cambria" w:cs="Arial"/>
        </w:rPr>
        <w:tab/>
        <w:t>2,606,855</w:t>
      </w:r>
    </w:p>
    <w:p w14:paraId="5AB4D48D" w14:textId="77777777" w:rsidR="00EC2137" w:rsidRPr="009A0DA6" w:rsidRDefault="00EC2137" w:rsidP="00EC2137">
      <w:pPr>
        <w:tabs>
          <w:tab w:val="center" w:pos="4536"/>
          <w:tab w:val="right" w:pos="5954"/>
          <w:tab w:val="right" w:pos="7371"/>
          <w:tab w:val="right" w:pos="8789"/>
        </w:tabs>
        <w:spacing w:before="120" w:after="120" w:line="240" w:lineRule="auto"/>
        <w:ind w:right="46"/>
        <w:contextualSpacing/>
        <w:rPr>
          <w:rFonts w:ascii="Cambria" w:hAnsi="Cambria" w:cs="Arial"/>
        </w:rPr>
      </w:pPr>
      <w:r w:rsidRPr="009A0DA6">
        <w:rPr>
          <w:rFonts w:ascii="Cambria" w:hAnsi="Cambria" w:cs="Arial"/>
        </w:rPr>
        <w:t>- LLL Grants</w:t>
      </w:r>
      <w:r w:rsidRPr="009A0DA6">
        <w:rPr>
          <w:rFonts w:ascii="Cambria" w:hAnsi="Cambria" w:cs="Arial"/>
        </w:rPr>
        <w:tab/>
      </w:r>
      <w:r w:rsidRPr="009A0DA6">
        <w:rPr>
          <w:rFonts w:ascii="Cambria" w:hAnsi="Cambria" w:cs="Arial"/>
        </w:rPr>
        <w:tab/>
        <w:t>113,500</w:t>
      </w:r>
      <w:r w:rsidRPr="009A0DA6">
        <w:rPr>
          <w:rFonts w:ascii="Cambria" w:hAnsi="Cambria" w:cs="Arial"/>
        </w:rPr>
        <w:tab/>
        <w:t>105,000</w:t>
      </w:r>
      <w:r w:rsidRPr="009A0DA6">
        <w:rPr>
          <w:rFonts w:ascii="Cambria" w:hAnsi="Cambria" w:cs="Arial"/>
        </w:rPr>
        <w:tab/>
        <w:t>75,000</w:t>
      </w:r>
    </w:p>
    <w:p w14:paraId="664B0774" w14:textId="77777777" w:rsidR="00EC2137" w:rsidRPr="009A0DA6" w:rsidRDefault="00EC2137" w:rsidP="00EC2137">
      <w:pPr>
        <w:tabs>
          <w:tab w:val="center" w:pos="4536"/>
          <w:tab w:val="right" w:pos="5954"/>
          <w:tab w:val="right" w:pos="7371"/>
          <w:tab w:val="right" w:pos="8789"/>
        </w:tabs>
        <w:spacing w:before="120" w:after="120" w:line="240" w:lineRule="auto"/>
        <w:ind w:right="46"/>
        <w:contextualSpacing/>
        <w:rPr>
          <w:rFonts w:ascii="Cambria" w:hAnsi="Cambria" w:cs="Arial"/>
        </w:rPr>
      </w:pPr>
      <w:r w:rsidRPr="009A0DA6">
        <w:rPr>
          <w:rFonts w:ascii="Cambria" w:hAnsi="Cambria" w:cs="Arial"/>
        </w:rPr>
        <w:t>- Other Overseas</w:t>
      </w:r>
      <w:r w:rsidRPr="009A0DA6">
        <w:rPr>
          <w:rFonts w:ascii="Cambria" w:hAnsi="Cambria" w:cs="Arial"/>
        </w:rPr>
        <w:tab/>
      </w:r>
      <w:r w:rsidRPr="009A0DA6">
        <w:rPr>
          <w:rFonts w:ascii="Cambria" w:hAnsi="Cambria" w:cs="Arial"/>
        </w:rPr>
        <w:tab/>
        <w:t>0</w:t>
      </w:r>
      <w:r w:rsidRPr="009A0DA6">
        <w:rPr>
          <w:rFonts w:ascii="Cambria" w:hAnsi="Cambria" w:cs="Arial"/>
        </w:rPr>
        <w:tab/>
        <w:t>0</w:t>
      </w:r>
      <w:r w:rsidRPr="009A0DA6">
        <w:rPr>
          <w:rFonts w:ascii="Cambria" w:hAnsi="Cambria" w:cs="Arial"/>
        </w:rPr>
        <w:tab/>
        <w:t>0</w:t>
      </w:r>
    </w:p>
    <w:p w14:paraId="6769CBFF" w14:textId="77777777" w:rsidR="00EC2137" w:rsidRPr="009A0DA6" w:rsidRDefault="00EC2137" w:rsidP="00EC2137">
      <w:pPr>
        <w:tabs>
          <w:tab w:val="center" w:pos="4536"/>
          <w:tab w:val="right" w:pos="5954"/>
          <w:tab w:val="right" w:pos="7371"/>
          <w:tab w:val="right" w:pos="8789"/>
        </w:tabs>
        <w:spacing w:before="120" w:after="120" w:line="240" w:lineRule="auto"/>
        <w:ind w:right="46"/>
        <w:contextualSpacing/>
        <w:rPr>
          <w:rFonts w:ascii="Cambria" w:hAnsi="Cambria" w:cs="Arial"/>
        </w:rPr>
      </w:pPr>
      <w:r w:rsidRPr="009A0DA6">
        <w:rPr>
          <w:rFonts w:ascii="Cambria" w:hAnsi="Cambria" w:cs="Arial"/>
        </w:rPr>
        <w:t>Investment Income</w:t>
      </w:r>
      <w:r w:rsidRPr="009A0DA6">
        <w:rPr>
          <w:rFonts w:ascii="Cambria" w:hAnsi="Cambria" w:cs="Arial"/>
        </w:rPr>
        <w:tab/>
      </w:r>
      <w:r w:rsidRPr="009A0DA6">
        <w:rPr>
          <w:rFonts w:ascii="Cambria" w:hAnsi="Cambria" w:cs="Arial"/>
        </w:rPr>
        <w:tab/>
        <w:t>100,724</w:t>
      </w:r>
      <w:r w:rsidRPr="009A0DA6">
        <w:rPr>
          <w:rFonts w:ascii="Cambria" w:hAnsi="Cambria" w:cs="Arial"/>
        </w:rPr>
        <w:tab/>
        <w:t>103,785</w:t>
      </w:r>
      <w:r w:rsidRPr="009A0DA6">
        <w:rPr>
          <w:rFonts w:ascii="Cambria" w:hAnsi="Cambria" w:cs="Arial"/>
        </w:rPr>
        <w:tab/>
        <w:t>116,976</w:t>
      </w:r>
    </w:p>
    <w:p w14:paraId="60C3F430" w14:textId="77777777" w:rsidR="00EC2137" w:rsidRPr="009A0DA6" w:rsidRDefault="00EC2137" w:rsidP="00EC2137">
      <w:pPr>
        <w:tabs>
          <w:tab w:val="center" w:pos="4536"/>
          <w:tab w:val="right" w:pos="5954"/>
          <w:tab w:val="right" w:pos="7371"/>
          <w:tab w:val="right" w:pos="8789"/>
        </w:tabs>
        <w:spacing w:before="120" w:after="120" w:line="240" w:lineRule="auto"/>
        <w:ind w:right="46"/>
        <w:contextualSpacing/>
        <w:rPr>
          <w:rFonts w:ascii="Cambria" w:hAnsi="Cambria" w:cs="Arial"/>
        </w:rPr>
      </w:pPr>
      <w:r w:rsidRPr="009A0DA6">
        <w:rPr>
          <w:rFonts w:ascii="Cambria" w:hAnsi="Cambria" w:cs="Arial"/>
        </w:rPr>
        <w:t>Other Income</w:t>
      </w:r>
      <w:r w:rsidRPr="009A0DA6">
        <w:rPr>
          <w:rFonts w:ascii="Cambria" w:hAnsi="Cambria" w:cs="Arial"/>
        </w:rPr>
        <w:tab/>
      </w:r>
      <w:r w:rsidRPr="009A0DA6">
        <w:rPr>
          <w:rFonts w:ascii="Cambria" w:hAnsi="Cambria" w:cs="Arial"/>
        </w:rPr>
        <w:tab/>
        <w:t>34,504</w:t>
      </w:r>
      <w:r w:rsidRPr="009A0DA6">
        <w:rPr>
          <w:rFonts w:ascii="Cambria" w:hAnsi="Cambria" w:cs="Arial"/>
        </w:rPr>
        <w:tab/>
        <w:t>23,200</w:t>
      </w:r>
      <w:r w:rsidRPr="009A0DA6">
        <w:rPr>
          <w:rFonts w:ascii="Cambria" w:hAnsi="Cambria" w:cs="Arial"/>
        </w:rPr>
        <w:tab/>
        <w:t>11,026</w:t>
      </w:r>
    </w:p>
    <w:p w14:paraId="587BCD9F" w14:textId="77777777" w:rsidR="00EC2137" w:rsidRPr="009A0DA6" w:rsidRDefault="00EC2137" w:rsidP="00EC2137">
      <w:pPr>
        <w:tabs>
          <w:tab w:val="center" w:pos="4536"/>
          <w:tab w:val="right" w:pos="5954"/>
          <w:tab w:val="right" w:pos="7371"/>
          <w:tab w:val="right" w:pos="8789"/>
        </w:tabs>
        <w:spacing w:before="120" w:after="120" w:line="240" w:lineRule="auto"/>
        <w:ind w:right="46"/>
        <w:contextualSpacing/>
        <w:rPr>
          <w:rFonts w:ascii="Cambria" w:hAnsi="Cambria" w:cs="Arial"/>
        </w:rPr>
      </w:pPr>
      <w:r w:rsidRPr="009A0DA6">
        <w:rPr>
          <w:rFonts w:ascii="Cambria" w:hAnsi="Cambria" w:cs="Arial"/>
        </w:rPr>
        <w:t>Revenue for International Political or Religious Adherence</w:t>
      </w:r>
    </w:p>
    <w:p w14:paraId="208C3417" w14:textId="77777777" w:rsidR="00EC2137" w:rsidRPr="009A0DA6" w:rsidRDefault="00EC2137" w:rsidP="00EC2137">
      <w:pPr>
        <w:tabs>
          <w:tab w:val="center" w:pos="4536"/>
          <w:tab w:val="right" w:pos="5954"/>
          <w:tab w:val="right" w:pos="7371"/>
          <w:tab w:val="right" w:pos="8789"/>
        </w:tabs>
        <w:spacing w:before="120" w:after="120" w:line="240" w:lineRule="auto"/>
        <w:ind w:right="46"/>
        <w:contextualSpacing/>
        <w:rPr>
          <w:rFonts w:ascii="Cambria" w:hAnsi="Cambria" w:cs="Arial"/>
        </w:rPr>
      </w:pPr>
      <w:r w:rsidRPr="009A0DA6">
        <w:rPr>
          <w:rFonts w:ascii="Cambria" w:hAnsi="Cambria" w:cs="Arial"/>
        </w:rPr>
        <w:t xml:space="preserve">       Promotion Programs</w:t>
      </w:r>
      <w:r w:rsidRPr="009A0DA6">
        <w:rPr>
          <w:rFonts w:ascii="Cambria" w:hAnsi="Cambria" w:cs="Arial"/>
        </w:rPr>
        <w:tab/>
      </w:r>
      <w:r w:rsidRPr="009A0DA6">
        <w:rPr>
          <w:rFonts w:ascii="Cambria" w:hAnsi="Cambria" w:cs="Arial"/>
        </w:rPr>
        <w:tab/>
        <w:t>0</w:t>
      </w:r>
      <w:r w:rsidRPr="009A0DA6">
        <w:rPr>
          <w:rFonts w:ascii="Cambria" w:hAnsi="Cambria" w:cs="Arial"/>
        </w:rPr>
        <w:tab/>
        <w:t>0</w:t>
      </w:r>
      <w:r w:rsidRPr="009A0DA6">
        <w:rPr>
          <w:rFonts w:ascii="Cambria" w:hAnsi="Cambria" w:cs="Arial"/>
        </w:rPr>
        <w:tab/>
        <w:t>0</w:t>
      </w:r>
    </w:p>
    <w:p w14:paraId="3DB71C57" w14:textId="77777777" w:rsidR="00EC2137" w:rsidRPr="009A0DA6" w:rsidRDefault="00EC2137" w:rsidP="00EC2137">
      <w:pPr>
        <w:tabs>
          <w:tab w:val="center" w:pos="4536"/>
          <w:tab w:val="right" w:pos="5954"/>
          <w:tab w:val="right" w:pos="7371"/>
          <w:tab w:val="right" w:pos="8789"/>
        </w:tabs>
        <w:spacing w:before="120" w:after="120" w:line="240" w:lineRule="auto"/>
        <w:ind w:right="46"/>
        <w:contextualSpacing/>
        <w:rPr>
          <w:rFonts w:ascii="Cambria" w:hAnsi="Cambria" w:cs="Arial"/>
        </w:rPr>
      </w:pPr>
      <w:r w:rsidRPr="009A0DA6">
        <w:rPr>
          <w:rFonts w:ascii="Cambria" w:hAnsi="Cambria" w:cs="Arial"/>
          <w:b/>
        </w:rPr>
        <w:t>TOTAL REVENUE</w:t>
      </w:r>
      <w:r w:rsidRPr="009A0DA6">
        <w:rPr>
          <w:rFonts w:ascii="Cambria" w:hAnsi="Cambria" w:cs="Arial"/>
          <w:b/>
        </w:rPr>
        <w:tab/>
      </w:r>
      <w:r w:rsidRPr="009A0DA6">
        <w:rPr>
          <w:rFonts w:ascii="Cambria" w:hAnsi="Cambria" w:cs="Arial"/>
          <w:b/>
        </w:rPr>
        <w:tab/>
        <w:t>8,682,933</w:t>
      </w:r>
      <w:r w:rsidRPr="009A0DA6">
        <w:rPr>
          <w:rFonts w:ascii="Cambria" w:hAnsi="Cambria" w:cs="Arial"/>
          <w:b/>
        </w:rPr>
        <w:tab/>
        <w:t>6,644,029</w:t>
      </w:r>
      <w:r w:rsidRPr="009A0DA6">
        <w:rPr>
          <w:rFonts w:ascii="Cambria" w:hAnsi="Cambria" w:cs="Arial"/>
          <w:b/>
        </w:rPr>
        <w:tab/>
        <w:t>7,837,979</w:t>
      </w:r>
    </w:p>
    <w:p w14:paraId="63A19120" w14:textId="77777777" w:rsidR="00AC7AA2" w:rsidRDefault="00AC7AA2" w:rsidP="00EC2137">
      <w:pPr>
        <w:tabs>
          <w:tab w:val="center" w:pos="4536"/>
          <w:tab w:val="right" w:pos="5954"/>
          <w:tab w:val="right" w:pos="7371"/>
          <w:tab w:val="right" w:pos="8789"/>
        </w:tabs>
        <w:spacing w:before="120" w:after="120" w:line="240" w:lineRule="auto"/>
        <w:ind w:right="46"/>
        <w:contextualSpacing/>
        <w:rPr>
          <w:rFonts w:ascii="Cambria" w:hAnsi="Cambria" w:cs="Arial"/>
          <w:b/>
        </w:rPr>
      </w:pPr>
    </w:p>
    <w:p w14:paraId="247AA1F8" w14:textId="77777777" w:rsidR="00975F5B" w:rsidRDefault="00975F5B">
      <w:pPr>
        <w:rPr>
          <w:rFonts w:ascii="Cambria" w:hAnsi="Cambria" w:cs="Arial"/>
          <w:b/>
        </w:rPr>
      </w:pPr>
      <w:r>
        <w:rPr>
          <w:rFonts w:ascii="Cambria" w:hAnsi="Cambria" w:cs="Arial"/>
          <w:b/>
        </w:rPr>
        <w:br w:type="page"/>
      </w:r>
    </w:p>
    <w:p w14:paraId="34C7021C" w14:textId="75038E65" w:rsidR="00EC2137" w:rsidRPr="009A0DA6" w:rsidRDefault="00EC2137" w:rsidP="00EC2137">
      <w:pPr>
        <w:tabs>
          <w:tab w:val="center" w:pos="4536"/>
          <w:tab w:val="right" w:pos="5954"/>
          <w:tab w:val="right" w:pos="7371"/>
          <w:tab w:val="right" w:pos="8789"/>
        </w:tabs>
        <w:spacing w:before="120" w:after="120" w:line="240" w:lineRule="auto"/>
        <w:ind w:right="46"/>
        <w:contextualSpacing/>
        <w:rPr>
          <w:rFonts w:ascii="Cambria" w:hAnsi="Cambria" w:cs="Arial"/>
          <w:b/>
        </w:rPr>
      </w:pPr>
      <w:r w:rsidRPr="009A0DA6">
        <w:rPr>
          <w:rFonts w:ascii="Cambria" w:hAnsi="Cambria" w:cs="Arial"/>
          <w:b/>
        </w:rPr>
        <w:lastRenderedPageBreak/>
        <w:t>EXPENDITURE</w:t>
      </w:r>
    </w:p>
    <w:p w14:paraId="51A8B11B" w14:textId="77777777" w:rsidR="00EC2137" w:rsidRPr="009A0DA6" w:rsidRDefault="00EC2137" w:rsidP="00EC2137">
      <w:pPr>
        <w:tabs>
          <w:tab w:val="center" w:pos="4536"/>
          <w:tab w:val="right" w:pos="5954"/>
          <w:tab w:val="right" w:pos="7371"/>
          <w:tab w:val="right" w:pos="8789"/>
        </w:tabs>
        <w:spacing w:before="120" w:after="120" w:line="240" w:lineRule="auto"/>
        <w:ind w:right="46"/>
        <w:contextualSpacing/>
        <w:rPr>
          <w:rFonts w:ascii="Cambria" w:hAnsi="Cambria" w:cs="Arial"/>
          <w:b/>
        </w:rPr>
      </w:pPr>
      <w:r w:rsidRPr="009A0DA6">
        <w:rPr>
          <w:rFonts w:ascii="Cambria" w:hAnsi="Cambria" w:cs="Arial"/>
          <w:b/>
        </w:rPr>
        <w:t>International Aid &amp; Development Programs Expenditure</w:t>
      </w:r>
    </w:p>
    <w:p w14:paraId="4F9F36D8" w14:textId="77777777" w:rsidR="00EC2137" w:rsidRPr="009A0DA6" w:rsidRDefault="00EC2137" w:rsidP="00EC2137">
      <w:pPr>
        <w:tabs>
          <w:tab w:val="center" w:pos="4536"/>
          <w:tab w:val="right" w:pos="5954"/>
          <w:tab w:val="right" w:pos="7371"/>
          <w:tab w:val="right" w:pos="8789"/>
        </w:tabs>
        <w:spacing w:before="120" w:after="120" w:line="240" w:lineRule="auto"/>
        <w:ind w:right="46"/>
        <w:contextualSpacing/>
        <w:rPr>
          <w:rFonts w:ascii="Cambria" w:hAnsi="Cambria" w:cs="Arial"/>
        </w:rPr>
      </w:pPr>
      <w:r w:rsidRPr="009A0DA6">
        <w:rPr>
          <w:rFonts w:ascii="Cambria" w:hAnsi="Cambria" w:cs="Arial"/>
        </w:rPr>
        <w:t>International Programs</w:t>
      </w:r>
    </w:p>
    <w:p w14:paraId="2A07D4BC" w14:textId="77777777" w:rsidR="00EC2137" w:rsidRPr="009A0DA6" w:rsidRDefault="00EC2137" w:rsidP="00EC2137">
      <w:pPr>
        <w:tabs>
          <w:tab w:val="center" w:pos="4536"/>
          <w:tab w:val="right" w:pos="5954"/>
          <w:tab w:val="right" w:pos="7371"/>
          <w:tab w:val="right" w:pos="8789"/>
        </w:tabs>
        <w:spacing w:before="120" w:after="120" w:line="240" w:lineRule="auto"/>
        <w:ind w:right="46"/>
        <w:contextualSpacing/>
        <w:rPr>
          <w:rFonts w:ascii="Cambria" w:hAnsi="Cambria" w:cs="Arial"/>
        </w:rPr>
      </w:pPr>
      <w:r w:rsidRPr="009A0DA6">
        <w:rPr>
          <w:rFonts w:ascii="Cambria" w:hAnsi="Cambria" w:cs="Arial"/>
        </w:rPr>
        <w:t>- Funds to International programs</w:t>
      </w:r>
      <w:r w:rsidRPr="009A0DA6">
        <w:rPr>
          <w:rFonts w:ascii="Cambria" w:hAnsi="Cambria" w:cs="Arial"/>
        </w:rPr>
        <w:tab/>
      </w:r>
      <w:r w:rsidRPr="009A0DA6">
        <w:rPr>
          <w:rFonts w:ascii="Cambria" w:hAnsi="Cambria" w:cs="Arial"/>
        </w:rPr>
        <w:tab/>
      </w:r>
      <w:bookmarkStart w:id="511" w:name="_Hlk503527470"/>
      <w:r w:rsidRPr="009A0DA6">
        <w:rPr>
          <w:rFonts w:ascii="Cambria" w:hAnsi="Cambria" w:cs="Arial"/>
        </w:rPr>
        <w:t>5,</w:t>
      </w:r>
      <w:bookmarkEnd w:id="511"/>
      <w:r w:rsidRPr="009A0DA6">
        <w:rPr>
          <w:rFonts w:ascii="Cambria" w:hAnsi="Cambria" w:cs="Arial"/>
        </w:rPr>
        <w:t>134,909</w:t>
      </w:r>
      <w:r w:rsidRPr="009A0DA6">
        <w:rPr>
          <w:rFonts w:ascii="Cambria" w:hAnsi="Cambria" w:cs="Arial"/>
        </w:rPr>
        <w:tab/>
        <w:t>5,415,668</w:t>
      </w:r>
      <w:r w:rsidRPr="009A0DA6">
        <w:rPr>
          <w:rFonts w:ascii="Cambria" w:hAnsi="Cambria" w:cs="Arial"/>
        </w:rPr>
        <w:tab/>
        <w:t>5,468,676</w:t>
      </w:r>
    </w:p>
    <w:p w14:paraId="09790917" w14:textId="77777777" w:rsidR="00EC2137" w:rsidRPr="009A0DA6" w:rsidRDefault="00EC2137" w:rsidP="00EC2137">
      <w:pPr>
        <w:tabs>
          <w:tab w:val="center" w:pos="4536"/>
          <w:tab w:val="right" w:pos="5954"/>
          <w:tab w:val="right" w:pos="7371"/>
          <w:tab w:val="right" w:pos="8789"/>
        </w:tabs>
        <w:spacing w:before="120" w:after="120" w:line="240" w:lineRule="auto"/>
        <w:ind w:right="46"/>
        <w:contextualSpacing/>
        <w:rPr>
          <w:rFonts w:ascii="Cambria" w:hAnsi="Cambria" w:cs="Arial"/>
        </w:rPr>
      </w:pPr>
      <w:r w:rsidRPr="009A0DA6">
        <w:rPr>
          <w:rFonts w:ascii="Cambria" w:hAnsi="Cambria" w:cs="Arial"/>
        </w:rPr>
        <w:t>- Program support costs</w:t>
      </w:r>
      <w:r w:rsidRPr="009A0DA6">
        <w:rPr>
          <w:rFonts w:ascii="Cambria" w:hAnsi="Cambria" w:cs="Arial"/>
        </w:rPr>
        <w:tab/>
      </w:r>
      <w:r w:rsidRPr="009A0DA6">
        <w:rPr>
          <w:rFonts w:ascii="Cambria" w:hAnsi="Cambria" w:cs="Arial"/>
        </w:rPr>
        <w:tab/>
        <w:t>442,067</w:t>
      </w:r>
      <w:r w:rsidRPr="009A0DA6">
        <w:rPr>
          <w:rFonts w:ascii="Cambria" w:hAnsi="Cambria" w:cs="Arial"/>
        </w:rPr>
        <w:tab/>
        <w:t>378,668</w:t>
      </w:r>
      <w:r w:rsidRPr="009A0DA6">
        <w:rPr>
          <w:rFonts w:ascii="Cambria" w:hAnsi="Cambria" w:cs="Arial"/>
        </w:rPr>
        <w:tab/>
        <w:t>360,762</w:t>
      </w:r>
    </w:p>
    <w:p w14:paraId="035E7434" w14:textId="77777777" w:rsidR="00EC2137" w:rsidRPr="009A0DA6" w:rsidRDefault="00EC2137" w:rsidP="00EC2137">
      <w:pPr>
        <w:tabs>
          <w:tab w:val="center" w:pos="4536"/>
          <w:tab w:val="right" w:pos="5954"/>
          <w:tab w:val="right" w:pos="7371"/>
          <w:tab w:val="right" w:pos="8789"/>
        </w:tabs>
        <w:spacing w:before="120" w:after="120" w:line="240" w:lineRule="auto"/>
        <w:ind w:right="46"/>
        <w:contextualSpacing/>
        <w:rPr>
          <w:rFonts w:ascii="Cambria" w:hAnsi="Cambria" w:cs="Arial"/>
        </w:rPr>
      </w:pPr>
      <w:r w:rsidRPr="009A0DA6">
        <w:rPr>
          <w:rFonts w:ascii="Cambria" w:hAnsi="Cambria" w:cs="Arial"/>
        </w:rPr>
        <w:t>Community Education</w:t>
      </w:r>
      <w:r w:rsidRPr="009A0DA6">
        <w:rPr>
          <w:rFonts w:ascii="Cambria" w:hAnsi="Cambria" w:cs="Arial"/>
        </w:rPr>
        <w:tab/>
      </w:r>
      <w:r w:rsidRPr="009A0DA6">
        <w:rPr>
          <w:rFonts w:ascii="Cambria" w:hAnsi="Cambria" w:cs="Arial"/>
        </w:rPr>
        <w:tab/>
        <w:t>427,909</w:t>
      </w:r>
      <w:r w:rsidRPr="009A0DA6">
        <w:rPr>
          <w:rFonts w:ascii="Cambria" w:hAnsi="Cambria" w:cs="Arial"/>
        </w:rPr>
        <w:tab/>
        <w:t>344,932</w:t>
      </w:r>
      <w:r w:rsidRPr="009A0DA6">
        <w:rPr>
          <w:rFonts w:ascii="Cambria" w:hAnsi="Cambria" w:cs="Arial"/>
        </w:rPr>
        <w:tab/>
        <w:t>303,074</w:t>
      </w:r>
    </w:p>
    <w:p w14:paraId="599C8EE2" w14:textId="77777777" w:rsidR="00EC2137" w:rsidRPr="009A0DA6" w:rsidRDefault="00EC2137" w:rsidP="00EC2137">
      <w:pPr>
        <w:tabs>
          <w:tab w:val="center" w:pos="4536"/>
          <w:tab w:val="right" w:pos="5954"/>
          <w:tab w:val="right" w:pos="7371"/>
          <w:tab w:val="right" w:pos="8789"/>
        </w:tabs>
        <w:spacing w:before="120" w:after="120" w:line="240" w:lineRule="auto"/>
        <w:ind w:right="46"/>
        <w:contextualSpacing/>
        <w:rPr>
          <w:rFonts w:ascii="Cambria" w:hAnsi="Cambria" w:cs="Arial"/>
        </w:rPr>
      </w:pPr>
      <w:r w:rsidRPr="009A0DA6">
        <w:rPr>
          <w:rFonts w:ascii="Cambria" w:hAnsi="Cambria" w:cs="Arial"/>
        </w:rPr>
        <w:t>Fundraising costs</w:t>
      </w:r>
    </w:p>
    <w:p w14:paraId="66226371" w14:textId="77777777" w:rsidR="00EC2137" w:rsidRPr="009A0DA6" w:rsidRDefault="00EC2137" w:rsidP="00EC2137">
      <w:pPr>
        <w:tabs>
          <w:tab w:val="center" w:pos="4536"/>
          <w:tab w:val="right" w:pos="5954"/>
          <w:tab w:val="right" w:pos="7371"/>
          <w:tab w:val="right" w:pos="8789"/>
        </w:tabs>
        <w:spacing w:before="120" w:after="120" w:line="240" w:lineRule="auto"/>
        <w:ind w:right="46"/>
        <w:contextualSpacing/>
        <w:rPr>
          <w:rFonts w:ascii="Cambria" w:hAnsi="Cambria" w:cs="Arial"/>
        </w:rPr>
      </w:pPr>
      <w:r w:rsidRPr="009A0DA6">
        <w:rPr>
          <w:rFonts w:ascii="Cambria" w:hAnsi="Cambria" w:cs="Arial"/>
        </w:rPr>
        <w:t>- Public</w:t>
      </w:r>
      <w:r w:rsidRPr="009A0DA6">
        <w:rPr>
          <w:rFonts w:ascii="Cambria" w:hAnsi="Cambria" w:cs="Arial"/>
        </w:rPr>
        <w:tab/>
      </w:r>
      <w:r w:rsidRPr="009A0DA6">
        <w:rPr>
          <w:rFonts w:ascii="Cambria" w:hAnsi="Cambria" w:cs="Arial"/>
        </w:rPr>
        <w:tab/>
        <w:t>461,174</w:t>
      </w:r>
      <w:r w:rsidRPr="009A0DA6">
        <w:rPr>
          <w:rFonts w:ascii="Cambria" w:hAnsi="Cambria" w:cs="Arial"/>
        </w:rPr>
        <w:tab/>
        <w:t>320,357</w:t>
      </w:r>
      <w:r w:rsidRPr="009A0DA6">
        <w:rPr>
          <w:rFonts w:ascii="Cambria" w:hAnsi="Cambria" w:cs="Arial"/>
        </w:rPr>
        <w:tab/>
        <w:t>319,214</w:t>
      </w:r>
    </w:p>
    <w:p w14:paraId="504DE31B" w14:textId="77777777" w:rsidR="00EC2137" w:rsidRPr="009A0DA6" w:rsidRDefault="00EC2137" w:rsidP="00EC2137">
      <w:pPr>
        <w:tabs>
          <w:tab w:val="center" w:pos="4536"/>
          <w:tab w:val="right" w:pos="5954"/>
          <w:tab w:val="right" w:pos="7371"/>
          <w:tab w:val="right" w:pos="8789"/>
        </w:tabs>
        <w:spacing w:before="120" w:after="120" w:line="240" w:lineRule="auto"/>
        <w:ind w:right="46"/>
        <w:contextualSpacing/>
        <w:rPr>
          <w:rFonts w:ascii="Cambria" w:hAnsi="Cambria" w:cs="Arial"/>
        </w:rPr>
      </w:pPr>
      <w:r w:rsidRPr="009A0DA6">
        <w:rPr>
          <w:rFonts w:ascii="Cambria" w:hAnsi="Cambria" w:cs="Arial"/>
        </w:rPr>
        <w:t>- Government, multilateral &amp; private</w:t>
      </w:r>
      <w:r w:rsidRPr="009A0DA6">
        <w:rPr>
          <w:rFonts w:ascii="Cambria" w:hAnsi="Cambria" w:cs="Arial"/>
        </w:rPr>
        <w:tab/>
      </w:r>
      <w:r w:rsidRPr="009A0DA6">
        <w:rPr>
          <w:rFonts w:ascii="Cambria" w:hAnsi="Cambria" w:cs="Arial"/>
        </w:rPr>
        <w:tab/>
        <w:t>7,179</w:t>
      </w:r>
      <w:r w:rsidRPr="009A0DA6">
        <w:rPr>
          <w:rFonts w:ascii="Cambria" w:hAnsi="Cambria" w:cs="Arial"/>
        </w:rPr>
        <w:tab/>
        <w:t>5,949</w:t>
      </w:r>
      <w:r w:rsidRPr="009A0DA6">
        <w:rPr>
          <w:rFonts w:ascii="Cambria" w:hAnsi="Cambria" w:cs="Arial"/>
        </w:rPr>
        <w:tab/>
        <w:t>4,858</w:t>
      </w:r>
    </w:p>
    <w:p w14:paraId="570E62B7" w14:textId="77777777" w:rsidR="00EC2137" w:rsidRPr="009A0DA6" w:rsidRDefault="00EC2137" w:rsidP="00EC2137">
      <w:pPr>
        <w:tabs>
          <w:tab w:val="center" w:pos="4536"/>
          <w:tab w:val="right" w:pos="5954"/>
          <w:tab w:val="right" w:pos="7371"/>
          <w:tab w:val="right" w:pos="8789"/>
        </w:tabs>
        <w:spacing w:before="120" w:after="120" w:line="240" w:lineRule="auto"/>
        <w:ind w:right="46"/>
        <w:contextualSpacing/>
        <w:rPr>
          <w:rFonts w:ascii="Cambria" w:hAnsi="Cambria" w:cs="Arial"/>
        </w:rPr>
      </w:pPr>
      <w:r w:rsidRPr="009A0DA6">
        <w:rPr>
          <w:rFonts w:ascii="Cambria" w:hAnsi="Cambria" w:cs="Arial"/>
        </w:rPr>
        <w:t>Accountability &amp; Administration</w:t>
      </w:r>
      <w:r w:rsidRPr="009A0DA6">
        <w:rPr>
          <w:rFonts w:ascii="Cambria" w:hAnsi="Cambria" w:cs="Arial"/>
        </w:rPr>
        <w:tab/>
      </w:r>
      <w:r w:rsidRPr="009A0DA6">
        <w:rPr>
          <w:rFonts w:ascii="Cambria" w:hAnsi="Cambria" w:cs="Arial"/>
        </w:rPr>
        <w:tab/>
        <w:t>629,032</w:t>
      </w:r>
      <w:r w:rsidRPr="009A0DA6">
        <w:rPr>
          <w:rFonts w:ascii="Cambria" w:hAnsi="Cambria" w:cs="Arial"/>
        </w:rPr>
        <w:tab/>
        <w:t>563,675</w:t>
      </w:r>
      <w:r w:rsidRPr="009A0DA6">
        <w:rPr>
          <w:rFonts w:ascii="Cambria" w:hAnsi="Cambria" w:cs="Arial"/>
        </w:rPr>
        <w:tab/>
        <w:t>562,730</w:t>
      </w:r>
    </w:p>
    <w:p w14:paraId="5DEDF380" w14:textId="77777777" w:rsidR="00EC2137" w:rsidRPr="009A0DA6" w:rsidRDefault="00EC2137" w:rsidP="00EC2137">
      <w:pPr>
        <w:tabs>
          <w:tab w:val="center" w:pos="4536"/>
          <w:tab w:val="right" w:pos="5954"/>
          <w:tab w:val="right" w:pos="7371"/>
          <w:tab w:val="right" w:pos="8789"/>
        </w:tabs>
        <w:spacing w:before="120" w:after="120" w:line="240" w:lineRule="auto"/>
        <w:ind w:right="46"/>
        <w:contextualSpacing/>
        <w:rPr>
          <w:rFonts w:ascii="Cambria" w:hAnsi="Cambria" w:cs="Arial"/>
        </w:rPr>
      </w:pPr>
      <w:r w:rsidRPr="009A0DA6">
        <w:rPr>
          <w:rFonts w:ascii="Cambria" w:hAnsi="Cambria" w:cs="Arial"/>
        </w:rPr>
        <w:t>Non-monetary Expenditure</w:t>
      </w:r>
      <w:r w:rsidRPr="009A0DA6">
        <w:rPr>
          <w:rFonts w:ascii="Cambria" w:hAnsi="Cambria" w:cs="Arial"/>
        </w:rPr>
        <w:tab/>
      </w:r>
      <w:r w:rsidRPr="009A0DA6">
        <w:rPr>
          <w:rFonts w:ascii="Cambria" w:hAnsi="Cambria" w:cs="Arial"/>
        </w:rPr>
        <w:tab/>
        <w:t>0</w:t>
      </w:r>
      <w:r w:rsidRPr="009A0DA6">
        <w:rPr>
          <w:rFonts w:ascii="Cambria" w:hAnsi="Cambria" w:cs="Arial"/>
        </w:rPr>
        <w:tab/>
        <w:t>0</w:t>
      </w:r>
      <w:r w:rsidRPr="009A0DA6">
        <w:rPr>
          <w:rFonts w:ascii="Cambria" w:hAnsi="Cambria" w:cs="Arial"/>
        </w:rPr>
        <w:tab/>
        <w:t>0</w:t>
      </w:r>
    </w:p>
    <w:p w14:paraId="0CA35A5B" w14:textId="77777777" w:rsidR="00EC2137" w:rsidRPr="009A0DA6" w:rsidRDefault="00EC2137" w:rsidP="00EC2137">
      <w:pPr>
        <w:tabs>
          <w:tab w:val="center" w:pos="4536"/>
          <w:tab w:val="right" w:pos="5954"/>
          <w:tab w:val="right" w:pos="7371"/>
          <w:tab w:val="right" w:pos="8789"/>
        </w:tabs>
        <w:spacing w:before="120" w:after="120" w:line="240" w:lineRule="auto"/>
        <w:ind w:right="46"/>
        <w:contextualSpacing/>
        <w:rPr>
          <w:rFonts w:ascii="Cambria" w:hAnsi="Cambria" w:cs="Arial"/>
          <w:b/>
        </w:rPr>
      </w:pPr>
      <w:r w:rsidRPr="009A0DA6">
        <w:rPr>
          <w:rFonts w:ascii="Cambria" w:hAnsi="Cambria" w:cs="Arial"/>
          <w:b/>
        </w:rPr>
        <w:tab/>
      </w:r>
      <w:r w:rsidRPr="009A0DA6">
        <w:rPr>
          <w:rFonts w:ascii="Cambria" w:hAnsi="Cambria" w:cs="Arial"/>
          <w:b/>
        </w:rPr>
        <w:tab/>
        <w:t>7,102,270</w:t>
      </w:r>
      <w:r w:rsidRPr="009A0DA6">
        <w:rPr>
          <w:rFonts w:ascii="Cambria" w:hAnsi="Cambria" w:cs="Arial"/>
          <w:b/>
        </w:rPr>
        <w:tab/>
        <w:t>7,029,249</w:t>
      </w:r>
      <w:r w:rsidRPr="009A0DA6">
        <w:rPr>
          <w:rFonts w:ascii="Cambria" w:hAnsi="Cambria" w:cs="Arial"/>
          <w:b/>
        </w:rPr>
        <w:tab/>
        <w:t>7,019,314</w:t>
      </w:r>
    </w:p>
    <w:p w14:paraId="71CE1B44" w14:textId="77777777" w:rsidR="00EC2137" w:rsidRPr="009A0DA6" w:rsidRDefault="00EC2137" w:rsidP="00EC2137">
      <w:pPr>
        <w:tabs>
          <w:tab w:val="center" w:pos="4536"/>
          <w:tab w:val="right" w:pos="5954"/>
          <w:tab w:val="right" w:pos="7371"/>
          <w:tab w:val="right" w:pos="8789"/>
        </w:tabs>
        <w:spacing w:before="120" w:after="120" w:line="240" w:lineRule="auto"/>
        <w:ind w:right="46"/>
        <w:contextualSpacing/>
        <w:rPr>
          <w:rFonts w:ascii="Cambria" w:hAnsi="Cambria" w:cs="Arial"/>
        </w:rPr>
      </w:pPr>
      <w:r w:rsidRPr="009A0DA6">
        <w:rPr>
          <w:rFonts w:ascii="Cambria" w:hAnsi="Cambria" w:cs="Arial"/>
        </w:rPr>
        <w:t xml:space="preserve">International Political or Religious Adherence Promotion </w:t>
      </w:r>
    </w:p>
    <w:p w14:paraId="0AF8E11D" w14:textId="77777777" w:rsidR="00EC2137" w:rsidRPr="009A0DA6" w:rsidRDefault="00EC2137" w:rsidP="00EC2137">
      <w:pPr>
        <w:tabs>
          <w:tab w:val="center" w:pos="4536"/>
          <w:tab w:val="right" w:pos="5954"/>
          <w:tab w:val="right" w:pos="7371"/>
          <w:tab w:val="right" w:pos="8789"/>
        </w:tabs>
        <w:spacing w:before="120" w:after="120" w:line="240" w:lineRule="auto"/>
        <w:ind w:right="46"/>
        <w:contextualSpacing/>
        <w:rPr>
          <w:rFonts w:ascii="Cambria" w:hAnsi="Cambria" w:cs="Arial"/>
        </w:rPr>
      </w:pPr>
      <w:r w:rsidRPr="009A0DA6">
        <w:rPr>
          <w:rFonts w:ascii="Cambria" w:hAnsi="Cambria" w:cs="Arial"/>
        </w:rPr>
        <w:t xml:space="preserve">      Programs Expenditure</w:t>
      </w:r>
      <w:r w:rsidRPr="009A0DA6">
        <w:rPr>
          <w:rFonts w:ascii="Cambria" w:hAnsi="Cambria" w:cs="Arial"/>
        </w:rPr>
        <w:tab/>
      </w:r>
      <w:r w:rsidRPr="009A0DA6">
        <w:rPr>
          <w:rFonts w:ascii="Cambria" w:hAnsi="Cambria" w:cs="Arial"/>
        </w:rPr>
        <w:tab/>
        <w:t>0</w:t>
      </w:r>
      <w:r w:rsidRPr="009A0DA6">
        <w:rPr>
          <w:rFonts w:ascii="Cambria" w:hAnsi="Cambria" w:cs="Arial"/>
        </w:rPr>
        <w:tab/>
        <w:t>0</w:t>
      </w:r>
      <w:r w:rsidRPr="009A0DA6">
        <w:rPr>
          <w:rFonts w:ascii="Cambria" w:hAnsi="Cambria" w:cs="Arial"/>
        </w:rPr>
        <w:tab/>
      </w:r>
    </w:p>
    <w:p w14:paraId="08E0CE1C" w14:textId="77777777" w:rsidR="00EC2137" w:rsidRPr="009A0DA6" w:rsidRDefault="00EC2137" w:rsidP="00EC2137">
      <w:pPr>
        <w:tabs>
          <w:tab w:val="center" w:pos="4536"/>
          <w:tab w:val="right" w:pos="5954"/>
          <w:tab w:val="right" w:pos="7371"/>
          <w:tab w:val="right" w:pos="8789"/>
        </w:tabs>
        <w:spacing w:before="120" w:after="120" w:line="240" w:lineRule="auto"/>
        <w:ind w:right="46"/>
        <w:contextualSpacing/>
        <w:rPr>
          <w:rFonts w:ascii="Cambria" w:hAnsi="Cambria" w:cs="Arial"/>
        </w:rPr>
      </w:pPr>
      <w:r w:rsidRPr="009A0DA6">
        <w:rPr>
          <w:rFonts w:ascii="Cambria" w:hAnsi="Cambria" w:cs="Arial"/>
        </w:rPr>
        <w:t>Domestic Programs Expenditure</w:t>
      </w:r>
      <w:r w:rsidRPr="009A0DA6">
        <w:rPr>
          <w:rFonts w:ascii="Cambria" w:hAnsi="Cambria" w:cs="Arial"/>
        </w:rPr>
        <w:tab/>
      </w:r>
      <w:r w:rsidRPr="009A0DA6">
        <w:rPr>
          <w:rFonts w:ascii="Cambria" w:hAnsi="Cambria" w:cs="Arial"/>
        </w:rPr>
        <w:tab/>
        <w:t>17,449</w:t>
      </w:r>
      <w:r w:rsidRPr="009A0DA6">
        <w:rPr>
          <w:rFonts w:ascii="Cambria" w:hAnsi="Cambria" w:cs="Arial"/>
        </w:rPr>
        <w:tab/>
        <w:t>6,488</w:t>
      </w:r>
      <w:r w:rsidRPr="009A0DA6">
        <w:rPr>
          <w:rFonts w:ascii="Cambria" w:hAnsi="Cambria" w:cs="Arial"/>
        </w:rPr>
        <w:tab/>
        <w:t>17,334</w:t>
      </w:r>
    </w:p>
    <w:p w14:paraId="334FC0F8" w14:textId="77777777" w:rsidR="00EC2137" w:rsidRPr="009A0DA6" w:rsidRDefault="00EC2137" w:rsidP="00EC2137">
      <w:pPr>
        <w:tabs>
          <w:tab w:val="center" w:pos="4536"/>
          <w:tab w:val="right" w:pos="5954"/>
          <w:tab w:val="right" w:pos="7371"/>
          <w:tab w:val="right" w:pos="8789"/>
        </w:tabs>
        <w:spacing w:before="120" w:after="120" w:line="240" w:lineRule="auto"/>
        <w:ind w:right="46"/>
        <w:contextualSpacing/>
        <w:rPr>
          <w:rFonts w:ascii="Cambria" w:hAnsi="Cambria" w:cs="Arial"/>
          <w:b/>
        </w:rPr>
      </w:pPr>
      <w:r w:rsidRPr="009A0DA6">
        <w:rPr>
          <w:rFonts w:ascii="Cambria" w:hAnsi="Cambria" w:cs="Arial"/>
          <w:b/>
        </w:rPr>
        <w:t>TOTAL EXPENDITURE</w:t>
      </w:r>
      <w:r w:rsidRPr="009A0DA6">
        <w:rPr>
          <w:rFonts w:ascii="Cambria" w:hAnsi="Cambria" w:cs="Arial"/>
          <w:b/>
        </w:rPr>
        <w:tab/>
      </w:r>
      <w:r w:rsidRPr="009A0DA6">
        <w:rPr>
          <w:rFonts w:ascii="Cambria" w:hAnsi="Cambria" w:cs="Arial"/>
          <w:b/>
        </w:rPr>
        <w:tab/>
        <w:t>7,119,719</w:t>
      </w:r>
      <w:r w:rsidRPr="009A0DA6">
        <w:rPr>
          <w:rFonts w:ascii="Cambria" w:hAnsi="Cambria" w:cs="Arial"/>
          <w:b/>
        </w:rPr>
        <w:tab/>
        <w:t>7,035,737</w:t>
      </w:r>
      <w:r w:rsidRPr="009A0DA6">
        <w:rPr>
          <w:rFonts w:ascii="Cambria" w:hAnsi="Cambria" w:cs="Arial"/>
          <w:b/>
        </w:rPr>
        <w:tab/>
        <w:t>7,036,648</w:t>
      </w:r>
    </w:p>
    <w:p w14:paraId="15AAB7CC" w14:textId="77777777" w:rsidR="00EC2137" w:rsidRPr="009A0DA6" w:rsidRDefault="00EC2137" w:rsidP="00EC2137">
      <w:pPr>
        <w:tabs>
          <w:tab w:val="center" w:pos="4536"/>
          <w:tab w:val="right" w:pos="5954"/>
          <w:tab w:val="right" w:pos="7371"/>
          <w:tab w:val="right" w:pos="8789"/>
        </w:tabs>
        <w:spacing w:before="120" w:after="120" w:line="240" w:lineRule="auto"/>
        <w:ind w:right="46"/>
        <w:contextualSpacing/>
        <w:rPr>
          <w:rFonts w:ascii="Cambria" w:hAnsi="Cambria" w:cs="Arial"/>
          <w:b/>
        </w:rPr>
      </w:pPr>
      <w:r w:rsidRPr="009A0DA6">
        <w:rPr>
          <w:rFonts w:ascii="Cambria" w:hAnsi="Cambria" w:cs="Arial"/>
          <w:b/>
        </w:rPr>
        <w:t>SURPLUS (DEFICIT) FOR THE YEAR</w:t>
      </w:r>
      <w:r w:rsidRPr="009A0DA6">
        <w:rPr>
          <w:rFonts w:ascii="Cambria" w:hAnsi="Cambria" w:cs="Arial"/>
          <w:b/>
        </w:rPr>
        <w:tab/>
      </w:r>
      <w:r w:rsidRPr="009A0DA6">
        <w:rPr>
          <w:rFonts w:ascii="Cambria" w:hAnsi="Cambria" w:cs="Arial"/>
          <w:b/>
        </w:rPr>
        <w:tab/>
        <w:t>$1,563,214</w:t>
      </w:r>
      <w:r w:rsidRPr="009A0DA6">
        <w:rPr>
          <w:rFonts w:ascii="Cambria" w:hAnsi="Cambria" w:cs="Arial"/>
          <w:b/>
        </w:rPr>
        <w:tab/>
        <w:t>$(391,708)</w:t>
      </w:r>
      <w:r w:rsidRPr="009A0DA6">
        <w:rPr>
          <w:rFonts w:ascii="Cambria" w:hAnsi="Cambria" w:cs="Arial"/>
          <w:b/>
        </w:rPr>
        <w:tab/>
        <w:t>$801,331</w:t>
      </w:r>
    </w:p>
    <w:p w14:paraId="5159CE72" w14:textId="77777777" w:rsidR="00EC2137" w:rsidRPr="009A0DA6" w:rsidRDefault="00EC2137" w:rsidP="00EC2137">
      <w:pPr>
        <w:tabs>
          <w:tab w:val="center" w:pos="4536"/>
          <w:tab w:val="right" w:pos="5954"/>
          <w:tab w:val="right" w:pos="7371"/>
          <w:tab w:val="right" w:pos="8789"/>
        </w:tabs>
        <w:spacing w:before="120" w:after="120" w:line="240" w:lineRule="auto"/>
        <w:ind w:right="46"/>
        <w:contextualSpacing/>
        <w:jc w:val="center"/>
        <w:rPr>
          <w:rFonts w:ascii="Cambria" w:hAnsi="Cambria" w:cs="Arial"/>
          <w:b/>
        </w:rPr>
      </w:pPr>
    </w:p>
    <w:p w14:paraId="3148B62C" w14:textId="2AD26D5C" w:rsidR="00934A96" w:rsidRPr="009A0DA6" w:rsidRDefault="00934A96" w:rsidP="00446899">
      <w:pPr>
        <w:pStyle w:val="NoSpacing"/>
        <w:rPr>
          <w:b/>
        </w:rPr>
      </w:pPr>
      <w:r w:rsidRPr="009A0DA6">
        <w:rPr>
          <w:b/>
        </w:rPr>
        <w:t>STATEMENT OF FINANCIAL POSITION</w:t>
      </w:r>
    </w:p>
    <w:p w14:paraId="7B79B35C" w14:textId="77777777" w:rsidR="00FF7E8B" w:rsidRPr="009A0DA6" w:rsidRDefault="00FF7E8B" w:rsidP="00FF7E8B">
      <w:pPr>
        <w:pStyle w:val="NoSpacing"/>
        <w:rPr>
          <w:b/>
        </w:rPr>
      </w:pPr>
      <w:r w:rsidRPr="009A0DA6">
        <w:rPr>
          <w:b/>
        </w:rPr>
        <w:t xml:space="preserve">FOR </w:t>
      </w:r>
      <w:r>
        <w:rPr>
          <w:b/>
        </w:rPr>
        <w:t>THE PERIODS ENDING</w:t>
      </w:r>
      <w:r w:rsidRPr="009A0DA6">
        <w:rPr>
          <w:b/>
        </w:rPr>
        <w:t xml:space="preserve"> 31 DECEMBER </w:t>
      </w:r>
    </w:p>
    <w:p w14:paraId="312B2431" w14:textId="77777777" w:rsidR="00EC2137" w:rsidRPr="009A0DA6" w:rsidRDefault="00EC2137" w:rsidP="00EC2137">
      <w:pPr>
        <w:tabs>
          <w:tab w:val="center" w:pos="4536"/>
          <w:tab w:val="right" w:pos="5954"/>
          <w:tab w:val="right" w:pos="7371"/>
          <w:tab w:val="right" w:pos="8789"/>
        </w:tabs>
        <w:spacing w:before="120" w:after="120" w:line="240" w:lineRule="auto"/>
        <w:ind w:right="46"/>
        <w:contextualSpacing/>
        <w:rPr>
          <w:rFonts w:ascii="Cambria" w:hAnsi="Cambria" w:cs="Arial"/>
          <w:b/>
        </w:rPr>
      </w:pPr>
      <w:r w:rsidRPr="009A0DA6">
        <w:rPr>
          <w:rFonts w:ascii="Cambria" w:hAnsi="Cambria" w:cs="Arial"/>
          <w:b/>
        </w:rPr>
        <w:tab/>
      </w:r>
      <w:r w:rsidRPr="009A0DA6">
        <w:rPr>
          <w:rFonts w:ascii="Cambria" w:hAnsi="Cambria" w:cs="Arial"/>
          <w:b/>
        </w:rPr>
        <w:tab/>
        <w:t>2017</w:t>
      </w:r>
      <w:r w:rsidRPr="009A0DA6">
        <w:rPr>
          <w:rFonts w:ascii="Cambria" w:hAnsi="Cambria" w:cs="Arial"/>
          <w:b/>
        </w:rPr>
        <w:tab/>
        <w:t>2016</w:t>
      </w:r>
      <w:r w:rsidRPr="009A0DA6">
        <w:rPr>
          <w:rFonts w:ascii="Cambria" w:hAnsi="Cambria" w:cs="Arial"/>
          <w:b/>
        </w:rPr>
        <w:tab/>
        <w:t>2015</w:t>
      </w:r>
    </w:p>
    <w:p w14:paraId="5F18462A" w14:textId="77777777" w:rsidR="00EC2137" w:rsidRPr="009A0DA6" w:rsidRDefault="00EC2137" w:rsidP="00EC2137">
      <w:pPr>
        <w:tabs>
          <w:tab w:val="center" w:pos="4536"/>
          <w:tab w:val="right" w:pos="5954"/>
          <w:tab w:val="right" w:pos="7371"/>
          <w:tab w:val="right" w:pos="8789"/>
        </w:tabs>
        <w:spacing w:before="120" w:after="120" w:line="240" w:lineRule="auto"/>
        <w:ind w:right="46"/>
        <w:contextualSpacing/>
        <w:rPr>
          <w:rFonts w:ascii="Cambria" w:hAnsi="Cambria" w:cs="Arial"/>
          <w:b/>
        </w:rPr>
      </w:pPr>
      <w:r w:rsidRPr="009A0DA6">
        <w:rPr>
          <w:rFonts w:ascii="Cambria" w:hAnsi="Cambria" w:cs="Arial"/>
          <w:b/>
        </w:rPr>
        <w:t>ASSETS</w:t>
      </w:r>
    </w:p>
    <w:p w14:paraId="41489558" w14:textId="77777777" w:rsidR="00EC2137" w:rsidRPr="009A0DA6" w:rsidRDefault="00EC2137" w:rsidP="00EC2137">
      <w:pPr>
        <w:tabs>
          <w:tab w:val="center" w:pos="4536"/>
          <w:tab w:val="right" w:pos="5954"/>
          <w:tab w:val="right" w:pos="7371"/>
          <w:tab w:val="right" w:pos="8789"/>
        </w:tabs>
        <w:spacing w:before="120" w:after="120" w:line="240" w:lineRule="auto"/>
        <w:ind w:right="46"/>
        <w:contextualSpacing/>
        <w:rPr>
          <w:rFonts w:ascii="Cambria" w:hAnsi="Cambria" w:cs="Arial"/>
          <w:b/>
        </w:rPr>
      </w:pPr>
      <w:r w:rsidRPr="009A0DA6">
        <w:rPr>
          <w:rFonts w:ascii="Cambria" w:hAnsi="Cambria" w:cs="Arial"/>
          <w:b/>
        </w:rPr>
        <w:t>CURRENT ASSETS</w:t>
      </w:r>
    </w:p>
    <w:p w14:paraId="189633E0" w14:textId="77777777" w:rsidR="00EC2137" w:rsidRPr="009A0DA6" w:rsidRDefault="00EC2137" w:rsidP="00EC2137">
      <w:pPr>
        <w:tabs>
          <w:tab w:val="center" w:pos="4536"/>
          <w:tab w:val="right" w:pos="5954"/>
          <w:tab w:val="right" w:pos="7371"/>
          <w:tab w:val="right" w:pos="8789"/>
        </w:tabs>
        <w:spacing w:before="120" w:after="120" w:line="240" w:lineRule="auto"/>
        <w:ind w:right="46"/>
        <w:contextualSpacing/>
        <w:rPr>
          <w:rFonts w:ascii="Cambria" w:hAnsi="Cambria" w:cs="Arial"/>
        </w:rPr>
      </w:pPr>
      <w:r w:rsidRPr="009A0DA6">
        <w:rPr>
          <w:rFonts w:ascii="Cambria" w:hAnsi="Cambria" w:cs="Arial"/>
        </w:rPr>
        <w:t>Cash and Cash Equivalents</w:t>
      </w:r>
      <w:r w:rsidRPr="009A0DA6">
        <w:rPr>
          <w:rFonts w:ascii="Cambria" w:hAnsi="Cambria" w:cs="Arial"/>
        </w:rPr>
        <w:tab/>
      </w:r>
      <w:r w:rsidRPr="009A0DA6">
        <w:rPr>
          <w:rFonts w:ascii="Cambria" w:hAnsi="Cambria" w:cs="Arial"/>
        </w:rPr>
        <w:tab/>
        <w:t>6,967,000</w:t>
      </w:r>
      <w:r w:rsidRPr="009A0DA6">
        <w:rPr>
          <w:rFonts w:ascii="Cambria" w:hAnsi="Cambria" w:cs="Arial"/>
        </w:rPr>
        <w:tab/>
        <w:t>5,838,731</w:t>
      </w:r>
      <w:r w:rsidRPr="009A0DA6">
        <w:rPr>
          <w:rFonts w:ascii="Cambria" w:hAnsi="Cambria" w:cs="Arial"/>
        </w:rPr>
        <w:tab/>
        <w:t>6,236,555</w:t>
      </w:r>
    </w:p>
    <w:p w14:paraId="5550E939" w14:textId="77777777" w:rsidR="00EC2137" w:rsidRPr="009A0DA6" w:rsidRDefault="00EC2137" w:rsidP="00EC2137">
      <w:pPr>
        <w:tabs>
          <w:tab w:val="center" w:pos="4536"/>
          <w:tab w:val="right" w:pos="5954"/>
          <w:tab w:val="right" w:pos="7371"/>
          <w:tab w:val="right" w:pos="8789"/>
        </w:tabs>
        <w:spacing w:before="120" w:after="120" w:line="240" w:lineRule="auto"/>
        <w:ind w:right="46"/>
        <w:contextualSpacing/>
        <w:rPr>
          <w:rFonts w:ascii="Cambria" w:hAnsi="Cambria" w:cs="Arial"/>
        </w:rPr>
      </w:pPr>
      <w:r w:rsidRPr="009A0DA6">
        <w:rPr>
          <w:rFonts w:ascii="Cambria" w:hAnsi="Cambria" w:cs="Arial"/>
        </w:rPr>
        <w:t>Trade and Other Receivables</w:t>
      </w:r>
      <w:r w:rsidRPr="009A0DA6">
        <w:rPr>
          <w:rFonts w:ascii="Cambria" w:hAnsi="Cambria" w:cs="Arial"/>
        </w:rPr>
        <w:tab/>
      </w:r>
      <w:r w:rsidRPr="009A0DA6">
        <w:rPr>
          <w:rFonts w:ascii="Cambria" w:hAnsi="Cambria" w:cs="Arial"/>
        </w:rPr>
        <w:tab/>
        <w:t>601,498</w:t>
      </w:r>
      <w:r w:rsidRPr="009A0DA6">
        <w:rPr>
          <w:rFonts w:ascii="Cambria" w:hAnsi="Cambria" w:cs="Arial"/>
        </w:rPr>
        <w:tab/>
        <w:t>27,758</w:t>
      </w:r>
      <w:r w:rsidRPr="009A0DA6">
        <w:rPr>
          <w:rFonts w:ascii="Cambria" w:hAnsi="Cambria" w:cs="Arial"/>
        </w:rPr>
        <w:tab/>
        <w:t>19,349</w:t>
      </w:r>
    </w:p>
    <w:p w14:paraId="1C10092D" w14:textId="77777777" w:rsidR="00EC2137" w:rsidRPr="009A0DA6" w:rsidRDefault="00EC2137" w:rsidP="00EC2137">
      <w:pPr>
        <w:tabs>
          <w:tab w:val="center" w:pos="4536"/>
          <w:tab w:val="right" w:pos="5954"/>
          <w:tab w:val="right" w:pos="7371"/>
          <w:tab w:val="right" w:pos="8789"/>
        </w:tabs>
        <w:spacing w:before="120" w:after="120" w:line="240" w:lineRule="auto"/>
        <w:ind w:right="46"/>
        <w:contextualSpacing/>
        <w:rPr>
          <w:rFonts w:ascii="Cambria" w:hAnsi="Cambria" w:cs="Arial"/>
          <w:b/>
        </w:rPr>
      </w:pPr>
      <w:r w:rsidRPr="009A0DA6">
        <w:rPr>
          <w:rFonts w:ascii="Cambria" w:hAnsi="Cambria" w:cs="Arial"/>
          <w:b/>
        </w:rPr>
        <w:t>TOTAL CURRENT ASSETS</w:t>
      </w:r>
      <w:r w:rsidRPr="009A0DA6">
        <w:rPr>
          <w:rFonts w:ascii="Cambria" w:hAnsi="Cambria" w:cs="Arial"/>
        </w:rPr>
        <w:tab/>
      </w:r>
      <w:r w:rsidRPr="009A0DA6">
        <w:rPr>
          <w:rFonts w:ascii="Cambria" w:hAnsi="Cambria" w:cs="Arial"/>
        </w:rPr>
        <w:tab/>
      </w:r>
      <w:r w:rsidRPr="009A0DA6">
        <w:rPr>
          <w:rFonts w:ascii="Cambria" w:hAnsi="Cambria" w:cs="Arial"/>
          <w:b/>
        </w:rPr>
        <w:t>7,568,498</w:t>
      </w:r>
      <w:r w:rsidRPr="009A0DA6">
        <w:rPr>
          <w:rFonts w:ascii="Cambria" w:hAnsi="Cambria" w:cs="Arial"/>
          <w:b/>
        </w:rPr>
        <w:tab/>
        <w:t>5,866,489</w:t>
      </w:r>
      <w:r w:rsidRPr="009A0DA6">
        <w:rPr>
          <w:rFonts w:ascii="Cambria" w:hAnsi="Cambria" w:cs="Arial"/>
          <w:b/>
        </w:rPr>
        <w:tab/>
        <w:t>6,255,904</w:t>
      </w:r>
    </w:p>
    <w:p w14:paraId="2E3CB22E" w14:textId="77777777" w:rsidR="00EC2137" w:rsidRPr="009A0DA6" w:rsidRDefault="00EC2137" w:rsidP="00EC2137">
      <w:pPr>
        <w:tabs>
          <w:tab w:val="center" w:pos="4536"/>
          <w:tab w:val="right" w:pos="5954"/>
          <w:tab w:val="right" w:pos="7371"/>
          <w:tab w:val="right" w:pos="8789"/>
        </w:tabs>
        <w:spacing w:before="120" w:after="120" w:line="240" w:lineRule="auto"/>
        <w:ind w:right="46"/>
        <w:contextualSpacing/>
        <w:rPr>
          <w:rFonts w:ascii="Cambria" w:hAnsi="Cambria" w:cs="Arial"/>
          <w:b/>
        </w:rPr>
      </w:pPr>
      <w:r w:rsidRPr="009A0DA6">
        <w:rPr>
          <w:rFonts w:ascii="Cambria" w:hAnsi="Cambria" w:cs="Arial"/>
          <w:b/>
        </w:rPr>
        <w:t>NON CURRENT ASSETS</w:t>
      </w:r>
    </w:p>
    <w:p w14:paraId="698C5657" w14:textId="77777777" w:rsidR="00EC2137" w:rsidRPr="009A0DA6" w:rsidRDefault="00EC2137" w:rsidP="00EC2137">
      <w:pPr>
        <w:tabs>
          <w:tab w:val="center" w:pos="4536"/>
          <w:tab w:val="right" w:pos="5954"/>
          <w:tab w:val="right" w:pos="7371"/>
          <w:tab w:val="right" w:pos="8789"/>
        </w:tabs>
        <w:spacing w:before="120" w:after="120" w:line="240" w:lineRule="auto"/>
        <w:ind w:right="46"/>
        <w:contextualSpacing/>
        <w:rPr>
          <w:rFonts w:ascii="Cambria" w:hAnsi="Cambria" w:cs="Arial"/>
        </w:rPr>
      </w:pPr>
      <w:r w:rsidRPr="009A0DA6">
        <w:rPr>
          <w:rFonts w:ascii="Cambria" w:hAnsi="Cambria" w:cs="Arial"/>
        </w:rPr>
        <w:t>Property, Plant and Equipment</w:t>
      </w:r>
      <w:r w:rsidRPr="009A0DA6">
        <w:rPr>
          <w:rFonts w:ascii="Cambria" w:hAnsi="Cambria" w:cs="Arial"/>
        </w:rPr>
        <w:tab/>
      </w:r>
      <w:r w:rsidRPr="009A0DA6">
        <w:rPr>
          <w:rFonts w:ascii="Cambria" w:hAnsi="Cambria" w:cs="Arial"/>
        </w:rPr>
        <w:tab/>
        <w:t>15,938</w:t>
      </w:r>
      <w:r w:rsidRPr="009A0DA6">
        <w:rPr>
          <w:rFonts w:ascii="Cambria" w:hAnsi="Cambria" w:cs="Arial"/>
        </w:rPr>
        <w:tab/>
        <w:t>11,567</w:t>
      </w:r>
      <w:r w:rsidRPr="009A0DA6">
        <w:rPr>
          <w:rFonts w:ascii="Cambria" w:hAnsi="Cambria" w:cs="Arial"/>
        </w:rPr>
        <w:tab/>
        <w:t>14,218</w:t>
      </w:r>
    </w:p>
    <w:p w14:paraId="47D93A52" w14:textId="77777777" w:rsidR="00EC2137" w:rsidRPr="009A0DA6" w:rsidRDefault="00EC2137" w:rsidP="00EC2137">
      <w:pPr>
        <w:tabs>
          <w:tab w:val="center" w:pos="4536"/>
          <w:tab w:val="right" w:pos="5954"/>
          <w:tab w:val="right" w:pos="7371"/>
          <w:tab w:val="right" w:pos="8789"/>
        </w:tabs>
        <w:spacing w:before="120" w:after="120" w:line="240" w:lineRule="auto"/>
        <w:ind w:right="46"/>
        <w:contextualSpacing/>
        <w:rPr>
          <w:rFonts w:ascii="Cambria" w:hAnsi="Cambria" w:cs="Arial"/>
        </w:rPr>
      </w:pPr>
      <w:r w:rsidRPr="009A0DA6">
        <w:rPr>
          <w:rFonts w:ascii="Cambria" w:hAnsi="Cambria" w:cs="Arial"/>
        </w:rPr>
        <w:t>Other Non-Current Assets</w:t>
      </w:r>
      <w:r w:rsidRPr="009A0DA6">
        <w:rPr>
          <w:rFonts w:ascii="Cambria" w:hAnsi="Cambria" w:cs="Arial"/>
        </w:rPr>
        <w:tab/>
      </w:r>
      <w:r w:rsidRPr="009A0DA6">
        <w:rPr>
          <w:rFonts w:ascii="Cambria" w:hAnsi="Cambria" w:cs="Arial"/>
        </w:rPr>
        <w:tab/>
        <w:t xml:space="preserve">     18,840</w:t>
      </w:r>
      <w:r w:rsidRPr="009A0DA6">
        <w:rPr>
          <w:rFonts w:ascii="Cambria" w:hAnsi="Cambria" w:cs="Arial"/>
        </w:rPr>
        <w:tab/>
        <w:t xml:space="preserve">     26,699</w:t>
      </w:r>
      <w:r w:rsidRPr="009A0DA6">
        <w:rPr>
          <w:rFonts w:ascii="Cambria" w:hAnsi="Cambria" w:cs="Arial"/>
        </w:rPr>
        <w:tab/>
        <w:t>25,346</w:t>
      </w:r>
    </w:p>
    <w:p w14:paraId="739F3926" w14:textId="77777777" w:rsidR="00EC2137" w:rsidRPr="009A0DA6" w:rsidRDefault="00EC2137" w:rsidP="00EC2137">
      <w:pPr>
        <w:tabs>
          <w:tab w:val="center" w:pos="4536"/>
          <w:tab w:val="right" w:pos="5954"/>
          <w:tab w:val="right" w:pos="7371"/>
          <w:tab w:val="right" w:pos="8789"/>
        </w:tabs>
        <w:spacing w:before="120" w:after="120" w:line="240" w:lineRule="auto"/>
        <w:ind w:right="46"/>
        <w:contextualSpacing/>
        <w:rPr>
          <w:rFonts w:ascii="Cambria" w:hAnsi="Cambria" w:cs="Arial"/>
        </w:rPr>
      </w:pPr>
      <w:r w:rsidRPr="009A0DA6">
        <w:rPr>
          <w:rFonts w:ascii="Cambria" w:hAnsi="Cambria" w:cs="Arial"/>
          <w:b/>
        </w:rPr>
        <w:t>TOTAL NON CURRENT ASSETS</w:t>
      </w:r>
      <w:r w:rsidRPr="009A0DA6">
        <w:rPr>
          <w:rFonts w:ascii="Cambria" w:hAnsi="Cambria" w:cs="Arial"/>
          <w:b/>
        </w:rPr>
        <w:tab/>
      </w:r>
      <w:r w:rsidRPr="009A0DA6">
        <w:rPr>
          <w:rFonts w:ascii="Cambria" w:hAnsi="Cambria" w:cs="Arial"/>
          <w:b/>
        </w:rPr>
        <w:tab/>
        <w:t xml:space="preserve">     34,778</w:t>
      </w:r>
      <w:r w:rsidRPr="009A0DA6">
        <w:rPr>
          <w:rFonts w:ascii="Cambria" w:hAnsi="Cambria" w:cs="Arial"/>
          <w:b/>
        </w:rPr>
        <w:tab/>
        <w:t xml:space="preserve">     38,266</w:t>
      </w:r>
      <w:r w:rsidRPr="009A0DA6">
        <w:rPr>
          <w:rFonts w:ascii="Cambria" w:hAnsi="Cambria" w:cs="Arial"/>
          <w:b/>
        </w:rPr>
        <w:tab/>
        <w:t>39,564</w:t>
      </w:r>
    </w:p>
    <w:p w14:paraId="3E604D15" w14:textId="77777777" w:rsidR="00EC2137" w:rsidRPr="009A0DA6" w:rsidRDefault="00EC2137" w:rsidP="00EC2137">
      <w:pPr>
        <w:tabs>
          <w:tab w:val="center" w:pos="4536"/>
          <w:tab w:val="right" w:pos="5954"/>
          <w:tab w:val="right" w:pos="7371"/>
          <w:tab w:val="right" w:pos="8789"/>
        </w:tabs>
        <w:spacing w:before="120" w:after="120" w:line="240" w:lineRule="auto"/>
        <w:ind w:right="46"/>
        <w:contextualSpacing/>
        <w:rPr>
          <w:rFonts w:ascii="Cambria" w:hAnsi="Cambria" w:cs="Arial"/>
          <w:b/>
        </w:rPr>
      </w:pPr>
      <w:r w:rsidRPr="009A0DA6">
        <w:rPr>
          <w:rFonts w:ascii="Cambria" w:hAnsi="Cambria" w:cs="Arial"/>
          <w:b/>
        </w:rPr>
        <w:t>TOTAL ASSETS</w:t>
      </w:r>
      <w:r w:rsidRPr="009A0DA6">
        <w:rPr>
          <w:rFonts w:ascii="Cambria" w:hAnsi="Cambria" w:cs="Arial"/>
          <w:b/>
        </w:rPr>
        <w:tab/>
      </w:r>
      <w:r w:rsidRPr="009A0DA6">
        <w:rPr>
          <w:rFonts w:ascii="Cambria" w:hAnsi="Cambria" w:cs="Arial"/>
          <w:b/>
        </w:rPr>
        <w:tab/>
        <w:t>7,603,276</w:t>
      </w:r>
      <w:r w:rsidRPr="009A0DA6">
        <w:rPr>
          <w:rFonts w:ascii="Cambria" w:hAnsi="Cambria" w:cs="Arial"/>
          <w:b/>
        </w:rPr>
        <w:tab/>
        <w:t>5,904,755</w:t>
      </w:r>
      <w:r w:rsidRPr="009A0DA6">
        <w:rPr>
          <w:rFonts w:ascii="Cambria" w:hAnsi="Cambria" w:cs="Arial"/>
          <w:b/>
        </w:rPr>
        <w:tab/>
        <w:t>6,295,468</w:t>
      </w:r>
    </w:p>
    <w:p w14:paraId="0F79F639" w14:textId="77777777" w:rsidR="00EC2137" w:rsidRPr="009A0DA6" w:rsidRDefault="00EC2137" w:rsidP="00EC2137">
      <w:pPr>
        <w:tabs>
          <w:tab w:val="center" w:pos="4536"/>
          <w:tab w:val="right" w:pos="5954"/>
          <w:tab w:val="right" w:pos="7371"/>
          <w:tab w:val="right" w:pos="8789"/>
        </w:tabs>
        <w:spacing w:before="120" w:after="120" w:line="240" w:lineRule="auto"/>
        <w:ind w:right="46"/>
        <w:contextualSpacing/>
        <w:rPr>
          <w:rFonts w:ascii="Cambria" w:hAnsi="Cambria" w:cs="Arial"/>
          <w:b/>
        </w:rPr>
      </w:pPr>
      <w:r w:rsidRPr="009A0DA6">
        <w:rPr>
          <w:rFonts w:ascii="Cambria" w:hAnsi="Cambria" w:cs="Arial"/>
          <w:b/>
        </w:rPr>
        <w:t>LIABILITIES</w:t>
      </w:r>
    </w:p>
    <w:p w14:paraId="54E7A925" w14:textId="77777777" w:rsidR="00EC2137" w:rsidRPr="009A0DA6" w:rsidRDefault="00EC2137" w:rsidP="00EC2137">
      <w:pPr>
        <w:tabs>
          <w:tab w:val="center" w:pos="4536"/>
          <w:tab w:val="right" w:pos="5954"/>
          <w:tab w:val="right" w:pos="7371"/>
          <w:tab w:val="right" w:pos="8789"/>
        </w:tabs>
        <w:spacing w:before="120" w:after="120" w:line="240" w:lineRule="auto"/>
        <w:ind w:right="46"/>
        <w:contextualSpacing/>
        <w:rPr>
          <w:rFonts w:ascii="Cambria" w:hAnsi="Cambria" w:cs="Arial"/>
          <w:b/>
        </w:rPr>
      </w:pPr>
      <w:r w:rsidRPr="009A0DA6">
        <w:rPr>
          <w:rFonts w:ascii="Cambria" w:hAnsi="Cambria" w:cs="Arial"/>
          <w:b/>
        </w:rPr>
        <w:t>CURRENT LIABILITIES</w:t>
      </w:r>
    </w:p>
    <w:p w14:paraId="5650D25F" w14:textId="77777777" w:rsidR="00EC2137" w:rsidRPr="009A0DA6" w:rsidRDefault="00EC2137" w:rsidP="00EC2137">
      <w:pPr>
        <w:tabs>
          <w:tab w:val="center" w:pos="4536"/>
          <w:tab w:val="right" w:pos="5954"/>
          <w:tab w:val="right" w:pos="7371"/>
          <w:tab w:val="right" w:pos="8789"/>
        </w:tabs>
        <w:spacing w:before="120" w:after="120" w:line="240" w:lineRule="auto"/>
        <w:ind w:right="46"/>
        <w:contextualSpacing/>
        <w:rPr>
          <w:rFonts w:ascii="Cambria" w:hAnsi="Cambria" w:cs="Arial"/>
        </w:rPr>
      </w:pPr>
      <w:r w:rsidRPr="009A0DA6">
        <w:rPr>
          <w:rFonts w:ascii="Cambria" w:hAnsi="Cambria" w:cs="Arial"/>
        </w:rPr>
        <w:t>Trade and Other Payables</w:t>
      </w:r>
      <w:r w:rsidRPr="009A0DA6">
        <w:rPr>
          <w:rFonts w:ascii="Cambria" w:hAnsi="Cambria" w:cs="Arial"/>
        </w:rPr>
        <w:tab/>
      </w:r>
      <w:r w:rsidRPr="009A0DA6">
        <w:rPr>
          <w:rFonts w:ascii="Cambria" w:hAnsi="Cambria" w:cs="Arial"/>
        </w:rPr>
        <w:tab/>
        <w:t>22,433</w:t>
      </w:r>
      <w:r w:rsidRPr="009A0DA6">
        <w:rPr>
          <w:rFonts w:ascii="Cambria" w:hAnsi="Cambria" w:cs="Arial"/>
        </w:rPr>
        <w:tab/>
        <w:t>20,841</w:t>
      </w:r>
      <w:r w:rsidRPr="009A0DA6">
        <w:rPr>
          <w:rFonts w:ascii="Cambria" w:hAnsi="Cambria" w:cs="Arial"/>
        </w:rPr>
        <w:tab/>
        <w:t>108,813</w:t>
      </w:r>
    </w:p>
    <w:p w14:paraId="75A36FDC" w14:textId="77777777" w:rsidR="00EC2137" w:rsidRPr="009A0DA6" w:rsidRDefault="00EC2137" w:rsidP="00EC2137">
      <w:pPr>
        <w:tabs>
          <w:tab w:val="center" w:pos="4536"/>
          <w:tab w:val="right" w:pos="5954"/>
          <w:tab w:val="right" w:pos="7371"/>
          <w:tab w:val="right" w:pos="8789"/>
        </w:tabs>
        <w:spacing w:before="120" w:after="120" w:line="240" w:lineRule="auto"/>
        <w:ind w:right="46"/>
        <w:contextualSpacing/>
        <w:rPr>
          <w:rFonts w:ascii="Cambria" w:hAnsi="Cambria" w:cs="Arial"/>
        </w:rPr>
      </w:pPr>
      <w:r w:rsidRPr="009A0DA6">
        <w:rPr>
          <w:rFonts w:ascii="Cambria" w:hAnsi="Cambria" w:cs="Arial"/>
        </w:rPr>
        <w:t>Current Tax Liabilities</w:t>
      </w:r>
      <w:r w:rsidRPr="009A0DA6">
        <w:rPr>
          <w:rFonts w:ascii="Cambria" w:hAnsi="Cambria" w:cs="Arial"/>
        </w:rPr>
        <w:tab/>
      </w:r>
      <w:r w:rsidRPr="009A0DA6">
        <w:rPr>
          <w:rFonts w:ascii="Cambria" w:hAnsi="Cambria" w:cs="Arial"/>
        </w:rPr>
        <w:tab/>
        <w:t>78,004</w:t>
      </w:r>
      <w:r w:rsidRPr="009A0DA6">
        <w:rPr>
          <w:rFonts w:ascii="Cambria" w:hAnsi="Cambria" w:cs="Arial"/>
        </w:rPr>
        <w:tab/>
        <w:t>28,747</w:t>
      </w:r>
      <w:r w:rsidRPr="009A0DA6">
        <w:rPr>
          <w:rFonts w:ascii="Cambria" w:hAnsi="Cambria" w:cs="Arial"/>
        </w:rPr>
        <w:tab/>
        <w:t>0</w:t>
      </w:r>
    </w:p>
    <w:p w14:paraId="1A073399" w14:textId="77777777" w:rsidR="00EC2137" w:rsidRPr="009A0DA6" w:rsidRDefault="00EC2137" w:rsidP="00EC2137">
      <w:pPr>
        <w:tabs>
          <w:tab w:val="center" w:pos="4536"/>
          <w:tab w:val="right" w:pos="5954"/>
          <w:tab w:val="right" w:pos="7371"/>
          <w:tab w:val="right" w:pos="8789"/>
        </w:tabs>
        <w:spacing w:before="120" w:after="120" w:line="240" w:lineRule="auto"/>
        <w:ind w:right="46"/>
        <w:contextualSpacing/>
        <w:rPr>
          <w:rFonts w:ascii="Cambria" w:hAnsi="Cambria" w:cs="Arial"/>
        </w:rPr>
      </w:pPr>
      <w:r w:rsidRPr="009A0DA6">
        <w:rPr>
          <w:rFonts w:ascii="Cambria" w:hAnsi="Cambria" w:cs="Arial"/>
        </w:rPr>
        <w:t>Provisions</w:t>
      </w:r>
      <w:r w:rsidRPr="009A0DA6">
        <w:rPr>
          <w:rFonts w:ascii="Cambria" w:hAnsi="Cambria" w:cs="Arial"/>
        </w:rPr>
        <w:tab/>
      </w:r>
      <w:r w:rsidRPr="009A0DA6">
        <w:rPr>
          <w:rFonts w:ascii="Cambria" w:hAnsi="Cambria" w:cs="Arial"/>
        </w:rPr>
        <w:tab/>
        <w:t>321,248</w:t>
      </w:r>
      <w:r w:rsidRPr="009A0DA6">
        <w:rPr>
          <w:rFonts w:ascii="Cambria" w:hAnsi="Cambria" w:cs="Arial"/>
        </w:rPr>
        <w:tab/>
        <w:t>262,933</w:t>
      </w:r>
      <w:r w:rsidRPr="009A0DA6">
        <w:rPr>
          <w:rFonts w:ascii="Cambria" w:hAnsi="Cambria" w:cs="Arial"/>
        </w:rPr>
        <w:tab/>
        <w:t>215,797</w:t>
      </w:r>
    </w:p>
    <w:p w14:paraId="215344FB" w14:textId="77777777" w:rsidR="00EC2137" w:rsidRPr="009A0DA6" w:rsidRDefault="00EC2137" w:rsidP="00EC2137">
      <w:pPr>
        <w:tabs>
          <w:tab w:val="center" w:pos="4536"/>
          <w:tab w:val="right" w:pos="5954"/>
          <w:tab w:val="right" w:pos="7371"/>
          <w:tab w:val="right" w:pos="8789"/>
        </w:tabs>
        <w:spacing w:before="120" w:after="120" w:line="240" w:lineRule="auto"/>
        <w:ind w:right="46"/>
        <w:contextualSpacing/>
        <w:rPr>
          <w:rFonts w:ascii="Cambria" w:hAnsi="Cambria" w:cs="Arial"/>
          <w:b/>
        </w:rPr>
      </w:pPr>
      <w:r w:rsidRPr="009A0DA6">
        <w:rPr>
          <w:rFonts w:ascii="Cambria" w:hAnsi="Cambria" w:cs="Arial"/>
          <w:b/>
        </w:rPr>
        <w:t>TOTAL CURRENT LIABILITIES</w:t>
      </w:r>
      <w:r w:rsidRPr="009A0DA6">
        <w:rPr>
          <w:rFonts w:ascii="Cambria" w:hAnsi="Cambria" w:cs="Arial"/>
          <w:b/>
        </w:rPr>
        <w:tab/>
      </w:r>
      <w:r w:rsidRPr="009A0DA6">
        <w:rPr>
          <w:rFonts w:ascii="Cambria" w:hAnsi="Cambria" w:cs="Arial"/>
          <w:b/>
        </w:rPr>
        <w:tab/>
        <w:t>421,685</w:t>
      </w:r>
      <w:r w:rsidRPr="009A0DA6">
        <w:rPr>
          <w:rFonts w:ascii="Cambria" w:hAnsi="Cambria" w:cs="Arial"/>
          <w:b/>
        </w:rPr>
        <w:tab/>
        <w:t xml:space="preserve">   312,521</w:t>
      </w:r>
      <w:r w:rsidRPr="009A0DA6">
        <w:rPr>
          <w:rFonts w:ascii="Cambria" w:hAnsi="Cambria" w:cs="Arial"/>
          <w:b/>
        </w:rPr>
        <w:tab/>
        <w:t>324,610</w:t>
      </w:r>
    </w:p>
    <w:p w14:paraId="128A2734" w14:textId="77777777" w:rsidR="00EC2137" w:rsidRPr="009A0DA6" w:rsidRDefault="00EC2137" w:rsidP="00EC2137">
      <w:pPr>
        <w:tabs>
          <w:tab w:val="center" w:pos="4536"/>
          <w:tab w:val="right" w:pos="5954"/>
          <w:tab w:val="right" w:pos="7371"/>
          <w:tab w:val="right" w:pos="8789"/>
        </w:tabs>
        <w:spacing w:before="120" w:after="120" w:line="240" w:lineRule="auto"/>
        <w:ind w:right="46"/>
        <w:contextualSpacing/>
        <w:rPr>
          <w:rFonts w:ascii="Cambria" w:hAnsi="Cambria" w:cs="Arial"/>
          <w:b/>
        </w:rPr>
      </w:pPr>
      <w:r w:rsidRPr="009A0DA6">
        <w:rPr>
          <w:rFonts w:ascii="Cambria" w:hAnsi="Cambria" w:cs="Arial"/>
          <w:b/>
        </w:rPr>
        <w:t>NON CURRENT LIABILITIES</w:t>
      </w:r>
    </w:p>
    <w:p w14:paraId="590EBD72" w14:textId="77777777" w:rsidR="00EC2137" w:rsidRPr="009A0DA6" w:rsidRDefault="00EC2137" w:rsidP="00EC2137">
      <w:pPr>
        <w:tabs>
          <w:tab w:val="center" w:pos="4536"/>
          <w:tab w:val="right" w:pos="5954"/>
          <w:tab w:val="right" w:pos="7371"/>
          <w:tab w:val="right" w:pos="8789"/>
        </w:tabs>
        <w:spacing w:before="120" w:after="120" w:line="240" w:lineRule="auto"/>
        <w:ind w:right="46"/>
        <w:contextualSpacing/>
        <w:rPr>
          <w:rFonts w:ascii="Cambria" w:hAnsi="Cambria" w:cs="Arial"/>
        </w:rPr>
      </w:pPr>
      <w:r w:rsidRPr="009A0DA6">
        <w:rPr>
          <w:rFonts w:ascii="Cambria" w:hAnsi="Cambria" w:cs="Arial"/>
        </w:rPr>
        <w:t>Provisions</w:t>
      </w:r>
      <w:r w:rsidRPr="009A0DA6">
        <w:rPr>
          <w:rFonts w:ascii="Cambria" w:hAnsi="Cambria" w:cs="Arial"/>
        </w:rPr>
        <w:tab/>
        <w:t>7</w:t>
      </w:r>
      <w:r w:rsidRPr="009A0DA6">
        <w:rPr>
          <w:rFonts w:ascii="Cambria" w:hAnsi="Cambria" w:cs="Arial"/>
        </w:rPr>
        <w:tab/>
        <w:t>39,227</w:t>
      </w:r>
      <w:r w:rsidRPr="009A0DA6">
        <w:rPr>
          <w:rFonts w:ascii="Cambria" w:hAnsi="Cambria" w:cs="Arial"/>
        </w:rPr>
        <w:tab/>
        <w:t>13,084</w:t>
      </w:r>
      <w:r w:rsidRPr="009A0DA6">
        <w:rPr>
          <w:rFonts w:ascii="Cambria" w:hAnsi="Cambria" w:cs="Arial"/>
        </w:rPr>
        <w:tab/>
        <w:t>0</w:t>
      </w:r>
    </w:p>
    <w:p w14:paraId="2586AA2A" w14:textId="77777777" w:rsidR="00EC2137" w:rsidRPr="009A0DA6" w:rsidRDefault="00EC2137" w:rsidP="00EC2137">
      <w:pPr>
        <w:tabs>
          <w:tab w:val="center" w:pos="4536"/>
          <w:tab w:val="right" w:pos="5954"/>
          <w:tab w:val="right" w:pos="7371"/>
          <w:tab w:val="right" w:pos="8789"/>
        </w:tabs>
        <w:spacing w:before="120" w:after="120" w:line="240" w:lineRule="auto"/>
        <w:ind w:right="46"/>
        <w:contextualSpacing/>
        <w:rPr>
          <w:rFonts w:ascii="Cambria" w:hAnsi="Cambria" w:cs="Arial"/>
          <w:b/>
        </w:rPr>
      </w:pPr>
      <w:r w:rsidRPr="009A0DA6">
        <w:rPr>
          <w:rFonts w:ascii="Cambria" w:hAnsi="Cambria" w:cs="Arial"/>
          <w:b/>
        </w:rPr>
        <w:t>TOTAL NON CURRENT LIABILITIES</w:t>
      </w:r>
      <w:r w:rsidRPr="009A0DA6">
        <w:rPr>
          <w:rFonts w:ascii="Cambria" w:hAnsi="Cambria" w:cs="Arial"/>
          <w:b/>
        </w:rPr>
        <w:tab/>
      </w:r>
      <w:r w:rsidRPr="009A0DA6">
        <w:rPr>
          <w:rFonts w:ascii="Cambria" w:hAnsi="Cambria" w:cs="Arial"/>
          <w:b/>
        </w:rPr>
        <w:tab/>
        <w:t xml:space="preserve">         39,227</w:t>
      </w:r>
      <w:r w:rsidRPr="009A0DA6">
        <w:rPr>
          <w:rFonts w:ascii="Cambria" w:hAnsi="Cambria" w:cs="Arial"/>
          <w:b/>
        </w:rPr>
        <w:tab/>
        <w:t xml:space="preserve">     13,084</w:t>
      </w:r>
      <w:r w:rsidRPr="009A0DA6">
        <w:rPr>
          <w:rFonts w:ascii="Cambria" w:hAnsi="Cambria" w:cs="Arial"/>
          <w:b/>
        </w:rPr>
        <w:tab/>
        <w:t>0</w:t>
      </w:r>
    </w:p>
    <w:p w14:paraId="3A3AC860" w14:textId="77777777" w:rsidR="00EC2137" w:rsidRPr="009A0DA6" w:rsidRDefault="00EC2137" w:rsidP="00EC2137">
      <w:pPr>
        <w:tabs>
          <w:tab w:val="center" w:pos="4536"/>
          <w:tab w:val="right" w:pos="5954"/>
          <w:tab w:val="right" w:pos="7371"/>
          <w:tab w:val="right" w:pos="8789"/>
        </w:tabs>
        <w:spacing w:before="120" w:after="120" w:line="240" w:lineRule="auto"/>
        <w:ind w:right="46"/>
        <w:contextualSpacing/>
        <w:rPr>
          <w:rFonts w:ascii="Cambria" w:hAnsi="Cambria" w:cs="Arial"/>
          <w:b/>
        </w:rPr>
      </w:pPr>
      <w:r w:rsidRPr="009A0DA6">
        <w:rPr>
          <w:rFonts w:ascii="Cambria" w:hAnsi="Cambria" w:cs="Arial"/>
          <w:b/>
        </w:rPr>
        <w:t>TOTAL LIABILITIES</w:t>
      </w:r>
      <w:r w:rsidRPr="009A0DA6">
        <w:rPr>
          <w:rFonts w:ascii="Cambria" w:hAnsi="Cambria" w:cs="Arial"/>
          <w:b/>
        </w:rPr>
        <w:tab/>
      </w:r>
      <w:r w:rsidRPr="009A0DA6">
        <w:rPr>
          <w:rFonts w:ascii="Cambria" w:hAnsi="Cambria" w:cs="Arial"/>
          <w:b/>
        </w:rPr>
        <w:tab/>
        <w:t xml:space="preserve">       460,912</w:t>
      </w:r>
      <w:r w:rsidRPr="009A0DA6">
        <w:rPr>
          <w:rFonts w:ascii="Cambria" w:hAnsi="Cambria" w:cs="Arial"/>
          <w:b/>
        </w:rPr>
        <w:tab/>
        <w:t xml:space="preserve">   325,605</w:t>
      </w:r>
      <w:r w:rsidRPr="009A0DA6">
        <w:rPr>
          <w:rFonts w:ascii="Cambria" w:hAnsi="Cambria" w:cs="Arial"/>
          <w:b/>
        </w:rPr>
        <w:tab/>
        <w:t>324,610</w:t>
      </w:r>
    </w:p>
    <w:p w14:paraId="7C25F0C6" w14:textId="77777777" w:rsidR="00EC2137" w:rsidRPr="009A0DA6" w:rsidRDefault="00EC2137" w:rsidP="00EC2137">
      <w:pPr>
        <w:tabs>
          <w:tab w:val="center" w:pos="4536"/>
          <w:tab w:val="right" w:pos="5954"/>
          <w:tab w:val="right" w:pos="7371"/>
          <w:tab w:val="right" w:pos="8789"/>
        </w:tabs>
        <w:spacing w:before="120" w:after="120" w:line="240" w:lineRule="auto"/>
        <w:ind w:right="46"/>
        <w:contextualSpacing/>
        <w:rPr>
          <w:rFonts w:ascii="Cambria" w:hAnsi="Cambria" w:cs="Arial"/>
        </w:rPr>
      </w:pPr>
      <w:r w:rsidRPr="009A0DA6">
        <w:rPr>
          <w:rFonts w:ascii="Cambria" w:hAnsi="Cambria" w:cs="Arial"/>
          <w:b/>
        </w:rPr>
        <w:t>NET ASSETS</w:t>
      </w:r>
      <w:r w:rsidRPr="009A0DA6">
        <w:rPr>
          <w:rFonts w:ascii="Cambria" w:hAnsi="Cambria" w:cs="Arial"/>
          <w:b/>
        </w:rPr>
        <w:tab/>
      </w:r>
      <w:r w:rsidRPr="009A0DA6">
        <w:rPr>
          <w:rFonts w:ascii="Cambria" w:hAnsi="Cambria" w:cs="Arial"/>
          <w:b/>
        </w:rPr>
        <w:tab/>
        <w:t>$7,142,364</w:t>
      </w:r>
      <w:r w:rsidRPr="009A0DA6">
        <w:rPr>
          <w:rFonts w:ascii="Cambria" w:hAnsi="Cambria" w:cs="Arial"/>
          <w:b/>
        </w:rPr>
        <w:tab/>
        <w:t>$5,579,150</w:t>
      </w:r>
      <w:r w:rsidRPr="009A0DA6">
        <w:rPr>
          <w:rFonts w:ascii="Cambria" w:hAnsi="Cambria" w:cs="Arial"/>
          <w:b/>
        </w:rPr>
        <w:tab/>
        <w:t>$5,970,858</w:t>
      </w:r>
    </w:p>
    <w:p w14:paraId="5692DD54" w14:textId="77777777" w:rsidR="00EC2137" w:rsidRPr="009A0DA6" w:rsidRDefault="00EC2137" w:rsidP="00EC2137">
      <w:pPr>
        <w:tabs>
          <w:tab w:val="center" w:pos="4536"/>
          <w:tab w:val="right" w:pos="5954"/>
          <w:tab w:val="right" w:pos="7371"/>
          <w:tab w:val="right" w:pos="8789"/>
        </w:tabs>
        <w:spacing w:before="120" w:after="120" w:line="240" w:lineRule="auto"/>
        <w:ind w:right="46"/>
        <w:contextualSpacing/>
        <w:rPr>
          <w:rFonts w:ascii="Cambria" w:hAnsi="Cambria" w:cs="Arial"/>
          <w:b/>
        </w:rPr>
      </w:pPr>
      <w:r w:rsidRPr="009A0DA6">
        <w:rPr>
          <w:rFonts w:ascii="Cambria" w:hAnsi="Cambria" w:cs="Arial"/>
          <w:b/>
        </w:rPr>
        <w:t>EQUITY</w:t>
      </w:r>
    </w:p>
    <w:p w14:paraId="5B41D407" w14:textId="77777777" w:rsidR="00EC2137" w:rsidRPr="009A0DA6" w:rsidRDefault="00EC2137" w:rsidP="00EC2137">
      <w:pPr>
        <w:tabs>
          <w:tab w:val="center" w:pos="4536"/>
          <w:tab w:val="right" w:pos="5954"/>
          <w:tab w:val="right" w:pos="7371"/>
          <w:tab w:val="right" w:pos="8789"/>
        </w:tabs>
        <w:spacing w:before="120" w:after="120" w:line="240" w:lineRule="auto"/>
        <w:ind w:right="46"/>
        <w:contextualSpacing/>
        <w:rPr>
          <w:rFonts w:ascii="Cambria" w:hAnsi="Cambria" w:cs="Arial"/>
        </w:rPr>
      </w:pPr>
      <w:r w:rsidRPr="009A0DA6">
        <w:rPr>
          <w:rFonts w:ascii="Cambria" w:hAnsi="Cambria" w:cs="Arial"/>
        </w:rPr>
        <w:t>Retained Earnings</w:t>
      </w:r>
      <w:r w:rsidRPr="009A0DA6">
        <w:rPr>
          <w:rFonts w:ascii="Cambria" w:hAnsi="Cambria" w:cs="Arial"/>
        </w:rPr>
        <w:tab/>
      </w:r>
      <w:r w:rsidRPr="009A0DA6">
        <w:rPr>
          <w:rFonts w:ascii="Cambria" w:hAnsi="Cambria" w:cs="Arial"/>
        </w:rPr>
        <w:tab/>
        <w:t>7,142,364</w:t>
      </w:r>
      <w:r w:rsidRPr="009A0DA6">
        <w:rPr>
          <w:rFonts w:ascii="Cambria" w:hAnsi="Cambria" w:cs="Arial"/>
        </w:rPr>
        <w:tab/>
        <w:t>5,579,150</w:t>
      </w:r>
      <w:r w:rsidRPr="009A0DA6">
        <w:rPr>
          <w:rFonts w:ascii="Cambria" w:hAnsi="Cambria" w:cs="Arial"/>
        </w:rPr>
        <w:tab/>
        <w:t>5,970,858</w:t>
      </w:r>
    </w:p>
    <w:p w14:paraId="076FFBB2" w14:textId="77777777" w:rsidR="00EC2137" w:rsidRPr="009A0DA6" w:rsidRDefault="00EC2137" w:rsidP="00EC2137">
      <w:pPr>
        <w:tabs>
          <w:tab w:val="center" w:pos="4536"/>
          <w:tab w:val="right" w:pos="5954"/>
          <w:tab w:val="right" w:pos="7371"/>
          <w:tab w:val="right" w:pos="8789"/>
        </w:tabs>
        <w:spacing w:before="120" w:after="120" w:line="240" w:lineRule="auto"/>
        <w:ind w:right="46"/>
        <w:contextualSpacing/>
        <w:rPr>
          <w:rFonts w:ascii="Cambria" w:hAnsi="Cambria" w:cs="Arial"/>
        </w:rPr>
      </w:pPr>
      <w:r w:rsidRPr="009A0DA6">
        <w:rPr>
          <w:rFonts w:ascii="Cambria" w:hAnsi="Cambria" w:cs="Arial"/>
          <w:b/>
        </w:rPr>
        <w:t>TOTAL EQUITY</w:t>
      </w:r>
      <w:r w:rsidRPr="009A0DA6">
        <w:rPr>
          <w:rFonts w:ascii="Cambria" w:hAnsi="Cambria" w:cs="Arial"/>
        </w:rPr>
        <w:tab/>
      </w:r>
      <w:r w:rsidRPr="009A0DA6">
        <w:rPr>
          <w:rFonts w:ascii="Cambria" w:hAnsi="Cambria" w:cs="Arial"/>
        </w:rPr>
        <w:tab/>
        <w:t>$</w:t>
      </w:r>
      <w:r w:rsidRPr="009A0DA6">
        <w:rPr>
          <w:rFonts w:ascii="Cambria" w:hAnsi="Cambria" w:cs="Arial"/>
          <w:b/>
        </w:rPr>
        <w:t>7,142,364</w:t>
      </w:r>
      <w:r w:rsidRPr="009A0DA6">
        <w:rPr>
          <w:rFonts w:ascii="Cambria" w:hAnsi="Cambria" w:cs="Arial"/>
        </w:rPr>
        <w:tab/>
        <w:t>$</w:t>
      </w:r>
      <w:r w:rsidRPr="009A0DA6">
        <w:rPr>
          <w:rFonts w:ascii="Cambria" w:hAnsi="Cambria" w:cs="Arial"/>
          <w:b/>
        </w:rPr>
        <w:t>5,579,150</w:t>
      </w:r>
      <w:r w:rsidRPr="009A0DA6">
        <w:rPr>
          <w:rFonts w:ascii="Cambria" w:hAnsi="Cambria" w:cs="Arial"/>
          <w:b/>
        </w:rPr>
        <w:tab/>
        <w:t>$5,970,858</w:t>
      </w:r>
    </w:p>
    <w:p w14:paraId="6E178566" w14:textId="77777777" w:rsidR="00EC2137" w:rsidRPr="009A0DA6" w:rsidRDefault="00EC2137" w:rsidP="00EC2137">
      <w:pPr>
        <w:tabs>
          <w:tab w:val="center" w:pos="4536"/>
          <w:tab w:val="right" w:pos="5954"/>
          <w:tab w:val="right" w:pos="7371"/>
          <w:tab w:val="right" w:pos="8789"/>
        </w:tabs>
        <w:spacing w:before="120" w:after="120" w:line="240" w:lineRule="auto"/>
        <w:ind w:right="46"/>
        <w:contextualSpacing/>
        <w:jc w:val="center"/>
        <w:rPr>
          <w:rFonts w:ascii="Cambria" w:hAnsi="Cambria" w:cs="Arial"/>
        </w:rPr>
      </w:pPr>
    </w:p>
    <w:p w14:paraId="30641701" w14:textId="77777777" w:rsidR="00975F5B" w:rsidRDefault="00975F5B">
      <w:pPr>
        <w:rPr>
          <w:rFonts w:ascii="Cambria" w:hAnsi="Cambria"/>
          <w:b/>
        </w:rPr>
      </w:pPr>
      <w:r>
        <w:rPr>
          <w:b/>
        </w:rPr>
        <w:br w:type="page"/>
      </w:r>
    </w:p>
    <w:p w14:paraId="26FBEE5D" w14:textId="0FA46284" w:rsidR="00934A96" w:rsidRPr="009A0DA6" w:rsidRDefault="00934A96" w:rsidP="00446899">
      <w:pPr>
        <w:pStyle w:val="NoSpacing"/>
        <w:rPr>
          <w:b/>
        </w:rPr>
      </w:pPr>
      <w:r w:rsidRPr="009A0DA6">
        <w:rPr>
          <w:b/>
        </w:rPr>
        <w:lastRenderedPageBreak/>
        <w:t>STATEMENT OF CASH FLOWS</w:t>
      </w:r>
    </w:p>
    <w:p w14:paraId="4739528F" w14:textId="77777777" w:rsidR="00FF7E8B" w:rsidRPr="009A0DA6" w:rsidRDefault="00FF7E8B" w:rsidP="00FF7E8B">
      <w:pPr>
        <w:pStyle w:val="NoSpacing"/>
        <w:rPr>
          <w:b/>
        </w:rPr>
      </w:pPr>
      <w:r w:rsidRPr="009A0DA6">
        <w:rPr>
          <w:b/>
        </w:rPr>
        <w:t xml:space="preserve">FOR </w:t>
      </w:r>
      <w:r>
        <w:rPr>
          <w:b/>
        </w:rPr>
        <w:t>THE PERIODS ENDING</w:t>
      </w:r>
      <w:r w:rsidRPr="009A0DA6">
        <w:rPr>
          <w:b/>
        </w:rPr>
        <w:t xml:space="preserve"> 31 DECEMBER </w:t>
      </w:r>
    </w:p>
    <w:p w14:paraId="62626CF1" w14:textId="77777777" w:rsidR="00EC2137" w:rsidRPr="009A0DA6" w:rsidRDefault="00EC2137" w:rsidP="00EC2137">
      <w:pPr>
        <w:tabs>
          <w:tab w:val="center" w:pos="4536"/>
          <w:tab w:val="right" w:pos="5954"/>
          <w:tab w:val="right" w:pos="7371"/>
          <w:tab w:val="right" w:pos="8789"/>
        </w:tabs>
        <w:spacing w:before="120" w:after="120" w:line="240" w:lineRule="auto"/>
        <w:ind w:right="46"/>
        <w:contextualSpacing/>
        <w:rPr>
          <w:rFonts w:ascii="Cambria" w:hAnsi="Cambria" w:cs="Arial"/>
          <w:b/>
        </w:rPr>
      </w:pPr>
      <w:r w:rsidRPr="009A0DA6">
        <w:rPr>
          <w:rFonts w:ascii="Cambria" w:hAnsi="Cambria" w:cs="Arial"/>
          <w:b/>
        </w:rPr>
        <w:tab/>
      </w:r>
      <w:r w:rsidRPr="009A0DA6">
        <w:rPr>
          <w:rFonts w:ascii="Cambria" w:hAnsi="Cambria" w:cs="Arial"/>
          <w:b/>
        </w:rPr>
        <w:tab/>
        <w:t>2017</w:t>
      </w:r>
      <w:r w:rsidRPr="009A0DA6">
        <w:rPr>
          <w:rFonts w:ascii="Cambria" w:hAnsi="Cambria" w:cs="Arial"/>
          <w:b/>
        </w:rPr>
        <w:tab/>
        <w:t>2016</w:t>
      </w:r>
      <w:r w:rsidRPr="009A0DA6">
        <w:rPr>
          <w:rFonts w:ascii="Cambria" w:hAnsi="Cambria" w:cs="Arial"/>
          <w:b/>
        </w:rPr>
        <w:tab/>
        <w:t>2015</w:t>
      </w:r>
    </w:p>
    <w:p w14:paraId="74FA491E" w14:textId="77777777" w:rsidR="00EC2137" w:rsidRPr="009A0DA6" w:rsidRDefault="00EC2137" w:rsidP="00EC2137">
      <w:pPr>
        <w:tabs>
          <w:tab w:val="center" w:pos="4536"/>
          <w:tab w:val="right" w:pos="5954"/>
          <w:tab w:val="right" w:pos="7371"/>
          <w:tab w:val="right" w:pos="8789"/>
        </w:tabs>
        <w:spacing w:before="120" w:after="120" w:line="240" w:lineRule="auto"/>
        <w:ind w:right="46"/>
        <w:contextualSpacing/>
        <w:jc w:val="both"/>
        <w:rPr>
          <w:rFonts w:ascii="Cambria" w:hAnsi="Cambria" w:cs="Arial"/>
          <w:b/>
        </w:rPr>
      </w:pPr>
      <w:r w:rsidRPr="009A0DA6">
        <w:rPr>
          <w:rFonts w:ascii="Cambria" w:hAnsi="Cambria" w:cs="Arial"/>
          <w:b/>
        </w:rPr>
        <w:t>CASH FLOWS FROM OPERATING ACTIVITIES</w:t>
      </w:r>
    </w:p>
    <w:p w14:paraId="40D3EF7F" w14:textId="77777777" w:rsidR="00EC2137" w:rsidRPr="009A0DA6" w:rsidRDefault="00EC2137" w:rsidP="00EC2137">
      <w:pPr>
        <w:tabs>
          <w:tab w:val="center" w:pos="4536"/>
          <w:tab w:val="right" w:pos="5954"/>
          <w:tab w:val="right" w:pos="7371"/>
          <w:tab w:val="right" w:pos="8789"/>
        </w:tabs>
        <w:spacing w:before="120" w:after="120" w:line="240" w:lineRule="auto"/>
        <w:ind w:right="46"/>
        <w:contextualSpacing/>
        <w:rPr>
          <w:rFonts w:ascii="Cambria" w:hAnsi="Cambria" w:cs="Arial"/>
        </w:rPr>
      </w:pPr>
      <w:r w:rsidRPr="009A0DA6">
        <w:rPr>
          <w:rFonts w:ascii="Cambria" w:hAnsi="Cambria" w:cs="Arial"/>
          <w:lang w:eastAsia="en-AU"/>
        </w:rPr>
        <w:t>Government grants and other income</w:t>
      </w:r>
      <w:r w:rsidRPr="009A0DA6">
        <w:rPr>
          <w:rFonts w:ascii="Cambria" w:hAnsi="Cambria" w:cs="Arial"/>
        </w:rPr>
        <w:tab/>
      </w:r>
      <w:r w:rsidRPr="009A0DA6">
        <w:rPr>
          <w:rFonts w:ascii="Cambria" w:hAnsi="Cambria" w:cs="Arial"/>
        </w:rPr>
        <w:tab/>
      </w:r>
      <w:r w:rsidRPr="009A0DA6">
        <w:rPr>
          <w:rFonts w:ascii="Cambria" w:hAnsi="Cambria" w:cs="Arial"/>
          <w:lang w:eastAsia="en-AU"/>
        </w:rPr>
        <w:t>8,578,996</w:t>
      </w:r>
      <w:r w:rsidRPr="009A0DA6">
        <w:rPr>
          <w:rFonts w:ascii="Cambria" w:hAnsi="Cambria" w:cs="Arial"/>
        </w:rPr>
        <w:tab/>
      </w:r>
      <w:r w:rsidRPr="009A0DA6">
        <w:rPr>
          <w:rFonts w:ascii="Cambria" w:hAnsi="Cambria" w:cs="Arial"/>
          <w:lang w:eastAsia="en-AU"/>
        </w:rPr>
        <w:t>6,540,244</w:t>
      </w:r>
      <w:r w:rsidRPr="009A0DA6">
        <w:rPr>
          <w:rFonts w:ascii="Cambria" w:hAnsi="Cambria" w:cs="Arial"/>
        </w:rPr>
        <w:tab/>
      </w:r>
      <w:r w:rsidRPr="009A0DA6">
        <w:rPr>
          <w:rFonts w:ascii="Cambria" w:hAnsi="Cambria" w:cs="Arial"/>
          <w:lang w:eastAsia="en-AU"/>
        </w:rPr>
        <w:t>7,740,221</w:t>
      </w:r>
    </w:p>
    <w:p w14:paraId="1D97AEAF" w14:textId="77777777" w:rsidR="00EC2137" w:rsidRPr="009A0DA6" w:rsidRDefault="00EC2137" w:rsidP="00EC2137">
      <w:pPr>
        <w:tabs>
          <w:tab w:val="center" w:pos="4536"/>
          <w:tab w:val="right" w:pos="5954"/>
          <w:tab w:val="right" w:pos="7371"/>
          <w:tab w:val="right" w:pos="8789"/>
        </w:tabs>
        <w:spacing w:before="120" w:after="120" w:line="240" w:lineRule="auto"/>
        <w:ind w:right="46"/>
        <w:contextualSpacing/>
        <w:rPr>
          <w:rFonts w:ascii="Cambria" w:hAnsi="Cambria" w:cs="Arial"/>
        </w:rPr>
      </w:pPr>
      <w:r w:rsidRPr="009A0DA6">
        <w:rPr>
          <w:rFonts w:ascii="Cambria" w:hAnsi="Cambria" w:cs="Arial"/>
          <w:lang w:eastAsia="en-AU"/>
        </w:rPr>
        <w:t>Interest receipts</w:t>
      </w:r>
      <w:r w:rsidRPr="009A0DA6">
        <w:rPr>
          <w:rFonts w:ascii="Cambria" w:hAnsi="Cambria" w:cs="Arial"/>
        </w:rPr>
        <w:tab/>
      </w:r>
      <w:r w:rsidRPr="009A0DA6">
        <w:rPr>
          <w:rFonts w:ascii="Cambria" w:hAnsi="Cambria" w:cs="Arial"/>
        </w:rPr>
        <w:tab/>
      </w:r>
      <w:r w:rsidRPr="009A0DA6">
        <w:rPr>
          <w:rFonts w:ascii="Cambria" w:hAnsi="Cambria" w:cs="Arial"/>
          <w:lang w:eastAsia="en-AU"/>
        </w:rPr>
        <w:t>100,724</w:t>
      </w:r>
      <w:r w:rsidRPr="009A0DA6">
        <w:rPr>
          <w:rFonts w:ascii="Cambria" w:hAnsi="Cambria" w:cs="Arial"/>
        </w:rPr>
        <w:tab/>
      </w:r>
      <w:r w:rsidRPr="009A0DA6">
        <w:rPr>
          <w:rFonts w:ascii="Cambria" w:hAnsi="Cambria" w:cs="Arial"/>
          <w:lang w:eastAsia="en-AU"/>
        </w:rPr>
        <w:t>103,785</w:t>
      </w:r>
      <w:r w:rsidRPr="009A0DA6">
        <w:rPr>
          <w:rFonts w:ascii="Cambria" w:hAnsi="Cambria" w:cs="Arial"/>
        </w:rPr>
        <w:tab/>
      </w:r>
      <w:r w:rsidRPr="009A0DA6">
        <w:rPr>
          <w:rFonts w:ascii="Cambria" w:hAnsi="Cambria" w:cs="Arial"/>
          <w:lang w:eastAsia="en-AU"/>
        </w:rPr>
        <w:t>97,758</w:t>
      </w:r>
    </w:p>
    <w:p w14:paraId="5F15375B" w14:textId="77777777" w:rsidR="00EC2137" w:rsidRPr="009A0DA6" w:rsidRDefault="00EC2137" w:rsidP="00EC2137">
      <w:pPr>
        <w:tabs>
          <w:tab w:val="center" w:pos="4536"/>
          <w:tab w:val="right" w:pos="5954"/>
          <w:tab w:val="right" w:pos="7371"/>
          <w:tab w:val="right" w:pos="8789"/>
        </w:tabs>
        <w:spacing w:before="120" w:after="120" w:line="240" w:lineRule="auto"/>
        <w:ind w:right="46"/>
        <w:contextualSpacing/>
        <w:rPr>
          <w:rFonts w:ascii="Cambria" w:hAnsi="Cambria" w:cs="Arial"/>
        </w:rPr>
      </w:pPr>
      <w:r w:rsidRPr="009A0DA6">
        <w:rPr>
          <w:rFonts w:ascii="Cambria" w:hAnsi="Cambria" w:cs="Arial"/>
          <w:lang w:eastAsia="en-AU"/>
        </w:rPr>
        <w:t>Operating Expenses</w:t>
      </w:r>
      <w:r w:rsidRPr="009A0DA6">
        <w:rPr>
          <w:rFonts w:ascii="Cambria" w:hAnsi="Cambria" w:cs="Arial"/>
        </w:rPr>
        <w:tab/>
      </w:r>
      <w:r w:rsidRPr="009A0DA6">
        <w:rPr>
          <w:rFonts w:ascii="Cambria" w:hAnsi="Cambria" w:cs="Arial"/>
        </w:rPr>
        <w:tab/>
      </w:r>
      <w:r w:rsidRPr="009A0DA6">
        <w:rPr>
          <w:rFonts w:ascii="Cambria" w:hAnsi="Cambria" w:cs="Arial"/>
          <w:lang w:eastAsia="en-AU"/>
        </w:rPr>
        <w:t xml:space="preserve"> (6,391,920)</w:t>
      </w:r>
      <w:r w:rsidRPr="009A0DA6">
        <w:rPr>
          <w:rFonts w:ascii="Cambria" w:hAnsi="Cambria" w:cs="Arial"/>
          <w:lang w:eastAsia="en-AU"/>
        </w:rPr>
        <w:tab/>
        <w:t xml:space="preserve"> (7,023,035)</w:t>
      </w:r>
      <w:r w:rsidRPr="009A0DA6">
        <w:rPr>
          <w:rFonts w:ascii="Cambria" w:hAnsi="Cambria" w:cs="Arial"/>
        </w:rPr>
        <w:tab/>
      </w:r>
      <w:r w:rsidRPr="009A0DA6">
        <w:rPr>
          <w:rFonts w:ascii="Cambria" w:hAnsi="Cambria" w:cs="Arial"/>
          <w:lang w:eastAsia="en-AU"/>
        </w:rPr>
        <w:t>(6,929,484</w:t>
      </w:r>
    </w:p>
    <w:p w14:paraId="4BF97859" w14:textId="0A9A5324" w:rsidR="00EC2137" w:rsidRPr="009A0DA6" w:rsidRDefault="00EC2137" w:rsidP="00EC2137">
      <w:pPr>
        <w:tabs>
          <w:tab w:val="center" w:pos="4536"/>
          <w:tab w:val="right" w:pos="5954"/>
          <w:tab w:val="right" w:pos="7371"/>
          <w:tab w:val="right" w:pos="8789"/>
        </w:tabs>
        <w:spacing w:before="120" w:after="120" w:line="240" w:lineRule="auto"/>
        <w:ind w:right="46"/>
        <w:contextualSpacing/>
        <w:rPr>
          <w:rFonts w:ascii="Cambria" w:hAnsi="Cambria" w:cs="Arial"/>
          <w:b/>
        </w:rPr>
      </w:pPr>
      <w:r w:rsidRPr="009A0DA6">
        <w:rPr>
          <w:rFonts w:ascii="Cambria" w:hAnsi="Cambria" w:cs="Arial"/>
          <w:b/>
          <w:lang w:eastAsia="en-AU"/>
        </w:rPr>
        <w:t xml:space="preserve">Net cash general from (used in) </w:t>
      </w:r>
      <w:r w:rsidR="00062E69">
        <w:rPr>
          <w:rFonts w:ascii="Cambria" w:hAnsi="Cambria" w:cs="Arial"/>
          <w:b/>
          <w:lang w:eastAsia="en-AU"/>
        </w:rPr>
        <w:br/>
      </w:r>
      <w:r w:rsidRPr="009A0DA6">
        <w:rPr>
          <w:rFonts w:ascii="Cambria" w:hAnsi="Cambria" w:cs="Arial"/>
          <w:b/>
          <w:lang w:eastAsia="en-AU"/>
        </w:rPr>
        <w:t>operating activities</w:t>
      </w:r>
      <w:r w:rsidRPr="009A0DA6">
        <w:rPr>
          <w:rFonts w:ascii="Cambria" w:hAnsi="Cambria" w:cs="Arial"/>
          <w:b/>
        </w:rPr>
        <w:tab/>
        <w:t xml:space="preserve"> </w:t>
      </w:r>
      <w:r w:rsidR="00062E69">
        <w:rPr>
          <w:rFonts w:ascii="Cambria" w:hAnsi="Cambria" w:cs="Arial"/>
          <w:b/>
        </w:rPr>
        <w:tab/>
      </w:r>
      <w:r w:rsidRPr="009A0DA6">
        <w:rPr>
          <w:rFonts w:ascii="Cambria" w:hAnsi="Cambria" w:cs="Arial"/>
          <w:b/>
          <w:lang w:eastAsia="en-AU"/>
        </w:rPr>
        <w:t>2,287,800</w:t>
      </w:r>
      <w:r w:rsidRPr="009A0DA6">
        <w:rPr>
          <w:rFonts w:ascii="Cambria" w:hAnsi="Cambria" w:cs="Arial"/>
          <w:b/>
        </w:rPr>
        <w:tab/>
        <w:t>(379,006)</w:t>
      </w:r>
      <w:r w:rsidRPr="009A0DA6">
        <w:rPr>
          <w:rFonts w:ascii="Cambria" w:hAnsi="Cambria" w:cs="Arial"/>
          <w:b/>
        </w:rPr>
        <w:tab/>
      </w:r>
      <w:r w:rsidRPr="009A0DA6">
        <w:rPr>
          <w:rFonts w:ascii="Cambria" w:hAnsi="Cambria" w:cs="Arial"/>
          <w:b/>
          <w:lang w:eastAsia="en-AU"/>
        </w:rPr>
        <w:t>908,495</w:t>
      </w:r>
    </w:p>
    <w:p w14:paraId="3C8AC373" w14:textId="77777777" w:rsidR="00EC2137" w:rsidRPr="009A0DA6" w:rsidRDefault="00EC2137" w:rsidP="00EC2137">
      <w:pPr>
        <w:pStyle w:val="Subtitle"/>
        <w:tabs>
          <w:tab w:val="center" w:pos="4536"/>
          <w:tab w:val="right" w:pos="5954"/>
          <w:tab w:val="right" w:pos="7371"/>
          <w:tab w:val="right" w:pos="8789"/>
        </w:tabs>
        <w:spacing w:before="120" w:after="120"/>
        <w:ind w:right="46"/>
        <w:contextualSpacing/>
        <w:rPr>
          <w:rFonts w:cs="Arial"/>
          <w:b w:val="0"/>
          <w:bCs/>
          <w:lang w:eastAsia="en-AU"/>
        </w:rPr>
      </w:pPr>
      <w:r w:rsidRPr="009A0DA6">
        <w:rPr>
          <w:rFonts w:cs="Arial"/>
          <w:b w:val="0"/>
          <w:bCs/>
          <w:lang w:eastAsia="en-AU"/>
        </w:rPr>
        <w:t>CASH FLOWS FROM INVESTING ACTIVITIES</w:t>
      </w:r>
    </w:p>
    <w:p w14:paraId="3278F9CE" w14:textId="0D34024A" w:rsidR="00EC2137" w:rsidRPr="009A0DA6" w:rsidRDefault="00EC2137" w:rsidP="00EC2137">
      <w:pPr>
        <w:tabs>
          <w:tab w:val="center" w:pos="4536"/>
          <w:tab w:val="right" w:pos="5954"/>
          <w:tab w:val="right" w:pos="7371"/>
          <w:tab w:val="right" w:pos="8789"/>
        </w:tabs>
        <w:spacing w:before="120" w:after="120" w:line="240" w:lineRule="auto"/>
        <w:ind w:right="46"/>
        <w:contextualSpacing/>
        <w:rPr>
          <w:rFonts w:ascii="Cambria" w:hAnsi="Cambria" w:cs="Arial"/>
          <w:lang w:eastAsia="en-AU"/>
        </w:rPr>
      </w:pPr>
      <w:r w:rsidRPr="009A0DA6">
        <w:rPr>
          <w:rFonts w:ascii="Cambria" w:hAnsi="Cambria" w:cs="Arial"/>
          <w:lang w:eastAsia="en-AU"/>
        </w:rPr>
        <w:t>Proceeds from sale of office equipment</w:t>
      </w:r>
      <w:r w:rsidRPr="009A0DA6">
        <w:rPr>
          <w:rFonts w:ascii="Cambria" w:hAnsi="Cambria" w:cs="Arial"/>
        </w:rPr>
        <w:tab/>
      </w:r>
      <w:r w:rsidRPr="009A0DA6">
        <w:rPr>
          <w:rFonts w:ascii="Cambria" w:hAnsi="Cambria" w:cs="Arial"/>
        </w:rPr>
        <w:tab/>
      </w:r>
      <w:r w:rsidRPr="009A0DA6">
        <w:rPr>
          <w:rFonts w:ascii="Cambria" w:hAnsi="Cambria" w:cs="Arial"/>
          <w:lang w:eastAsia="en-AU"/>
        </w:rPr>
        <w:t>0</w:t>
      </w:r>
      <w:r w:rsidRPr="009A0DA6">
        <w:rPr>
          <w:rFonts w:ascii="Cambria" w:hAnsi="Cambria" w:cs="Arial"/>
          <w:lang w:eastAsia="en-AU"/>
        </w:rPr>
        <w:tab/>
        <w:t>0</w:t>
      </w:r>
      <w:r w:rsidRPr="009A0DA6">
        <w:rPr>
          <w:rFonts w:ascii="Cambria" w:hAnsi="Cambria" w:cs="Arial"/>
        </w:rPr>
        <w:tab/>
      </w:r>
      <w:r w:rsidR="001A730F">
        <w:rPr>
          <w:rFonts w:ascii="Cambria" w:hAnsi="Cambria" w:cs="Arial"/>
        </w:rPr>
        <w:t>0</w:t>
      </w:r>
    </w:p>
    <w:p w14:paraId="6614244F" w14:textId="77777777" w:rsidR="00EC2137" w:rsidRPr="009A0DA6" w:rsidRDefault="00EC2137" w:rsidP="00EC2137">
      <w:pPr>
        <w:tabs>
          <w:tab w:val="center" w:pos="4536"/>
          <w:tab w:val="right" w:pos="5954"/>
          <w:tab w:val="right" w:pos="7371"/>
          <w:tab w:val="right" w:pos="8789"/>
        </w:tabs>
        <w:spacing w:before="120" w:after="120" w:line="240" w:lineRule="auto"/>
        <w:ind w:right="46"/>
        <w:contextualSpacing/>
        <w:rPr>
          <w:rFonts w:ascii="Cambria" w:hAnsi="Cambria" w:cs="Arial"/>
          <w:lang w:eastAsia="en-AU"/>
        </w:rPr>
      </w:pPr>
      <w:r w:rsidRPr="009A0DA6">
        <w:rPr>
          <w:rFonts w:ascii="Cambria" w:hAnsi="Cambria" w:cs="Arial"/>
          <w:lang w:eastAsia="en-AU"/>
        </w:rPr>
        <w:t>Payments for office equipment</w:t>
      </w:r>
      <w:r w:rsidRPr="009A0DA6">
        <w:rPr>
          <w:rFonts w:ascii="Cambria" w:hAnsi="Cambria" w:cs="Arial"/>
          <w:lang w:eastAsia="en-AU"/>
        </w:rPr>
        <w:tab/>
      </w:r>
      <w:r w:rsidRPr="009A0DA6">
        <w:rPr>
          <w:rFonts w:ascii="Cambria" w:hAnsi="Cambria" w:cs="Arial"/>
        </w:rPr>
        <w:tab/>
      </w:r>
      <w:r w:rsidRPr="009A0DA6">
        <w:rPr>
          <w:rFonts w:ascii="Cambria" w:hAnsi="Cambria" w:cs="Arial"/>
          <w:lang w:eastAsia="en-AU"/>
        </w:rPr>
        <w:t xml:space="preserve">  (12,052)</w:t>
      </w:r>
      <w:r w:rsidRPr="009A0DA6">
        <w:rPr>
          <w:rFonts w:ascii="Cambria" w:hAnsi="Cambria" w:cs="Arial"/>
          <w:lang w:eastAsia="en-AU"/>
        </w:rPr>
        <w:tab/>
        <w:t xml:space="preserve">  (1,999)</w:t>
      </w:r>
      <w:r w:rsidRPr="009A0DA6">
        <w:rPr>
          <w:rFonts w:ascii="Cambria" w:hAnsi="Cambria" w:cs="Arial"/>
        </w:rPr>
        <w:tab/>
      </w:r>
      <w:r w:rsidRPr="009A0DA6">
        <w:rPr>
          <w:rFonts w:ascii="Cambria" w:hAnsi="Cambria" w:cs="Arial"/>
          <w:lang w:eastAsia="en-AU"/>
        </w:rPr>
        <w:t>(8,876)</w:t>
      </w:r>
    </w:p>
    <w:p w14:paraId="2DC1C7B0" w14:textId="77777777" w:rsidR="00EC2137" w:rsidRPr="009A0DA6" w:rsidRDefault="00EC2137" w:rsidP="00EC2137">
      <w:pPr>
        <w:tabs>
          <w:tab w:val="center" w:pos="4536"/>
          <w:tab w:val="right" w:pos="5954"/>
          <w:tab w:val="right" w:pos="7371"/>
          <w:tab w:val="right" w:pos="8789"/>
        </w:tabs>
        <w:spacing w:before="120" w:after="120" w:line="240" w:lineRule="auto"/>
        <w:ind w:right="46"/>
        <w:contextualSpacing/>
        <w:rPr>
          <w:rFonts w:ascii="Cambria" w:hAnsi="Cambria" w:cs="Arial"/>
          <w:b/>
          <w:lang w:eastAsia="en-AU"/>
        </w:rPr>
      </w:pPr>
      <w:r w:rsidRPr="009A0DA6">
        <w:rPr>
          <w:rFonts w:ascii="Cambria" w:hAnsi="Cambria" w:cs="Arial"/>
          <w:b/>
          <w:lang w:eastAsia="en-AU"/>
        </w:rPr>
        <w:t>Net cash (used in) investing activities</w:t>
      </w:r>
      <w:r w:rsidRPr="009A0DA6">
        <w:rPr>
          <w:rFonts w:ascii="Cambria" w:hAnsi="Cambria" w:cs="Arial"/>
          <w:b/>
        </w:rPr>
        <w:tab/>
      </w:r>
      <w:r w:rsidRPr="009A0DA6">
        <w:rPr>
          <w:rFonts w:ascii="Cambria" w:hAnsi="Cambria" w:cs="Arial"/>
          <w:b/>
          <w:lang w:eastAsia="en-AU"/>
        </w:rPr>
        <w:tab/>
        <w:t xml:space="preserve">   </w:t>
      </w:r>
      <w:bookmarkStart w:id="512" w:name="_Hlk503527889"/>
      <w:r w:rsidRPr="009A0DA6">
        <w:rPr>
          <w:rFonts w:ascii="Cambria" w:hAnsi="Cambria" w:cs="Arial"/>
          <w:b/>
          <w:lang w:eastAsia="en-AU"/>
        </w:rPr>
        <w:t>(12,052)</w:t>
      </w:r>
      <w:bookmarkEnd w:id="512"/>
      <w:r w:rsidRPr="009A0DA6">
        <w:rPr>
          <w:rFonts w:ascii="Cambria" w:hAnsi="Cambria" w:cs="Arial"/>
          <w:b/>
          <w:lang w:eastAsia="en-AU"/>
        </w:rPr>
        <w:tab/>
        <w:t xml:space="preserve">   (1,999)</w:t>
      </w:r>
      <w:r w:rsidRPr="009A0DA6">
        <w:rPr>
          <w:rFonts w:ascii="Cambria" w:hAnsi="Cambria" w:cs="Arial"/>
          <w:b/>
        </w:rPr>
        <w:tab/>
      </w:r>
      <w:r w:rsidRPr="009A0DA6">
        <w:rPr>
          <w:rFonts w:ascii="Cambria" w:hAnsi="Cambria" w:cs="Arial"/>
          <w:b/>
          <w:lang w:eastAsia="en-AU"/>
        </w:rPr>
        <w:t>(8,876)</w:t>
      </w:r>
    </w:p>
    <w:p w14:paraId="7E166E5F" w14:textId="77777777" w:rsidR="00EC2137" w:rsidRPr="009A0DA6" w:rsidRDefault="00EC2137" w:rsidP="00EC2137">
      <w:pPr>
        <w:pStyle w:val="Subtitle"/>
        <w:tabs>
          <w:tab w:val="center" w:pos="4536"/>
          <w:tab w:val="right" w:pos="5954"/>
          <w:tab w:val="right" w:pos="7371"/>
          <w:tab w:val="right" w:pos="8789"/>
        </w:tabs>
        <w:spacing w:before="120" w:after="120"/>
        <w:ind w:right="46"/>
        <w:contextualSpacing/>
        <w:rPr>
          <w:rFonts w:cs="Arial"/>
          <w:b w:val="0"/>
          <w:bCs/>
          <w:lang w:eastAsia="en-AU"/>
        </w:rPr>
      </w:pPr>
      <w:r w:rsidRPr="009A0DA6">
        <w:rPr>
          <w:rFonts w:cs="Arial"/>
          <w:b w:val="0"/>
          <w:bCs/>
          <w:lang w:eastAsia="en-AU"/>
        </w:rPr>
        <w:t>CASH FLOWS FROM FINANCING ACTIVITIES</w:t>
      </w:r>
    </w:p>
    <w:p w14:paraId="3D951EA2" w14:textId="77777777" w:rsidR="00EC2137" w:rsidRPr="009A0DA6" w:rsidRDefault="00EC2137" w:rsidP="00EC2137">
      <w:pPr>
        <w:pStyle w:val="Subtitle"/>
        <w:tabs>
          <w:tab w:val="center" w:pos="4536"/>
          <w:tab w:val="right" w:pos="5954"/>
          <w:tab w:val="right" w:pos="7371"/>
          <w:tab w:val="right" w:pos="8789"/>
        </w:tabs>
        <w:spacing w:before="120" w:after="120"/>
        <w:ind w:right="46"/>
        <w:contextualSpacing/>
        <w:rPr>
          <w:rFonts w:cs="Arial"/>
          <w:b w:val="0"/>
          <w:bCs/>
          <w:lang w:eastAsia="en-AU"/>
        </w:rPr>
      </w:pPr>
      <w:r w:rsidRPr="009A0DA6">
        <w:rPr>
          <w:rFonts w:cs="Arial"/>
          <w:lang w:eastAsia="en-AU"/>
        </w:rPr>
        <w:t>Net cash (used in) financing activities</w:t>
      </w:r>
      <w:r w:rsidRPr="009A0DA6">
        <w:rPr>
          <w:rFonts w:cs="Arial"/>
          <w:lang w:eastAsia="en-AU"/>
        </w:rPr>
        <w:tab/>
      </w:r>
      <w:r w:rsidRPr="009A0DA6">
        <w:rPr>
          <w:rFonts w:cs="Arial"/>
          <w:lang w:eastAsia="en-AU"/>
        </w:rPr>
        <w:tab/>
        <w:t>0</w:t>
      </w:r>
      <w:r w:rsidRPr="009A0DA6">
        <w:rPr>
          <w:rFonts w:cs="Arial"/>
          <w:lang w:eastAsia="en-AU"/>
        </w:rPr>
        <w:tab/>
        <w:t>0</w:t>
      </w:r>
      <w:r w:rsidRPr="009A0DA6">
        <w:rPr>
          <w:rFonts w:cs="Arial"/>
          <w:lang w:eastAsia="en-AU"/>
        </w:rPr>
        <w:tab/>
        <w:t>0</w:t>
      </w:r>
    </w:p>
    <w:p w14:paraId="1CC50AE4" w14:textId="77777777" w:rsidR="00EC2137" w:rsidRPr="009A0DA6" w:rsidRDefault="00EC2137" w:rsidP="00EC2137">
      <w:pPr>
        <w:tabs>
          <w:tab w:val="center" w:pos="4536"/>
          <w:tab w:val="right" w:pos="5954"/>
          <w:tab w:val="right" w:pos="7371"/>
          <w:tab w:val="right" w:pos="8789"/>
        </w:tabs>
        <w:spacing w:before="120" w:after="120" w:line="240" w:lineRule="auto"/>
        <w:ind w:right="46"/>
        <w:contextualSpacing/>
        <w:rPr>
          <w:rFonts w:ascii="Cambria" w:hAnsi="Cambria" w:cs="Arial"/>
          <w:lang w:eastAsia="en-AU"/>
        </w:rPr>
      </w:pPr>
      <w:r w:rsidRPr="009A0DA6">
        <w:rPr>
          <w:rFonts w:ascii="Cambria" w:hAnsi="Cambria" w:cs="Arial"/>
          <w:lang w:eastAsia="en-AU"/>
        </w:rPr>
        <w:t xml:space="preserve">Net increase (decrease) in cash held </w:t>
      </w:r>
      <w:r w:rsidRPr="009A0DA6">
        <w:rPr>
          <w:rFonts w:ascii="Cambria" w:hAnsi="Cambria" w:cs="Arial"/>
          <w:lang w:eastAsia="en-AU"/>
        </w:rPr>
        <w:tab/>
      </w:r>
      <w:r w:rsidRPr="009A0DA6">
        <w:rPr>
          <w:rFonts w:ascii="Cambria" w:hAnsi="Cambria" w:cs="Arial"/>
        </w:rPr>
        <w:tab/>
      </w:r>
      <w:r w:rsidRPr="009A0DA6">
        <w:rPr>
          <w:rFonts w:ascii="Cambria" w:hAnsi="Cambria" w:cs="Arial"/>
          <w:lang w:eastAsia="en-AU"/>
        </w:rPr>
        <w:t>1,128,269</w:t>
      </w:r>
      <w:r w:rsidRPr="009A0DA6">
        <w:rPr>
          <w:rFonts w:ascii="Cambria" w:hAnsi="Cambria" w:cs="Arial"/>
          <w:lang w:eastAsia="en-AU"/>
        </w:rPr>
        <w:tab/>
        <w:t>(397,824)</w:t>
      </w:r>
      <w:r w:rsidRPr="009A0DA6">
        <w:rPr>
          <w:rFonts w:ascii="Cambria" w:hAnsi="Cambria" w:cs="Arial"/>
        </w:rPr>
        <w:tab/>
      </w:r>
      <w:r w:rsidRPr="009A0DA6">
        <w:rPr>
          <w:rFonts w:ascii="Cambria" w:hAnsi="Cambria" w:cs="Arial"/>
          <w:lang w:eastAsia="en-AU"/>
        </w:rPr>
        <w:t>928,205</w:t>
      </w:r>
    </w:p>
    <w:p w14:paraId="4E3F7EBB" w14:textId="77777777" w:rsidR="00EC2137" w:rsidRPr="009A0DA6" w:rsidRDefault="00EC2137" w:rsidP="00EC2137">
      <w:pPr>
        <w:tabs>
          <w:tab w:val="center" w:pos="4536"/>
          <w:tab w:val="right" w:pos="5954"/>
          <w:tab w:val="right" w:pos="7371"/>
          <w:tab w:val="right" w:pos="8789"/>
        </w:tabs>
        <w:spacing w:before="120" w:after="120" w:line="240" w:lineRule="auto"/>
        <w:ind w:right="46"/>
        <w:contextualSpacing/>
        <w:rPr>
          <w:rFonts w:ascii="Cambria" w:hAnsi="Cambria" w:cs="Arial"/>
          <w:lang w:eastAsia="en-AU"/>
        </w:rPr>
      </w:pPr>
      <w:r w:rsidRPr="009A0DA6">
        <w:rPr>
          <w:rFonts w:ascii="Cambria" w:hAnsi="Cambria" w:cs="Arial"/>
          <w:lang w:eastAsia="en-AU"/>
        </w:rPr>
        <w:t>Cash at the beginning of the year</w:t>
      </w:r>
      <w:r w:rsidRPr="009A0DA6">
        <w:rPr>
          <w:rFonts w:ascii="Cambria" w:hAnsi="Cambria" w:cs="Arial"/>
          <w:lang w:eastAsia="en-AU"/>
        </w:rPr>
        <w:tab/>
      </w:r>
      <w:r w:rsidRPr="009A0DA6">
        <w:rPr>
          <w:rFonts w:ascii="Cambria" w:hAnsi="Cambria" w:cs="Arial"/>
        </w:rPr>
        <w:tab/>
      </w:r>
      <w:r w:rsidRPr="009A0DA6">
        <w:rPr>
          <w:rFonts w:ascii="Cambria" w:hAnsi="Cambria" w:cs="Arial"/>
          <w:lang w:eastAsia="en-AU"/>
        </w:rPr>
        <w:t>5,838,731</w:t>
      </w:r>
      <w:r w:rsidRPr="009A0DA6">
        <w:rPr>
          <w:rFonts w:ascii="Cambria" w:hAnsi="Cambria" w:cs="Arial"/>
          <w:lang w:eastAsia="en-AU"/>
        </w:rPr>
        <w:tab/>
        <w:t>6,236,555</w:t>
      </w:r>
      <w:r w:rsidRPr="009A0DA6">
        <w:rPr>
          <w:rFonts w:ascii="Cambria" w:hAnsi="Cambria" w:cs="Arial"/>
        </w:rPr>
        <w:tab/>
      </w:r>
      <w:r w:rsidRPr="009A0DA6">
        <w:rPr>
          <w:rFonts w:ascii="Cambria" w:hAnsi="Cambria" w:cs="Arial"/>
          <w:lang w:eastAsia="en-AU"/>
        </w:rPr>
        <w:t>5,308,350</w:t>
      </w:r>
    </w:p>
    <w:p w14:paraId="05D562DB" w14:textId="02FF882F" w:rsidR="00CE0DB0" w:rsidRPr="009A0DA6" w:rsidRDefault="00EC2137" w:rsidP="00EC2137">
      <w:pPr>
        <w:tabs>
          <w:tab w:val="center" w:pos="4536"/>
          <w:tab w:val="right" w:pos="5954"/>
          <w:tab w:val="right" w:pos="7371"/>
          <w:tab w:val="right" w:pos="8789"/>
        </w:tabs>
        <w:spacing w:before="120" w:after="120" w:line="240" w:lineRule="auto"/>
        <w:ind w:right="46"/>
        <w:contextualSpacing/>
        <w:rPr>
          <w:rFonts w:ascii="Cambria" w:hAnsi="Cambria" w:cs="Arial"/>
          <w:b/>
          <w:lang w:eastAsia="en-AU"/>
        </w:rPr>
      </w:pPr>
      <w:r w:rsidRPr="009A0DA6">
        <w:rPr>
          <w:rFonts w:ascii="Cambria" w:hAnsi="Cambria" w:cs="Arial"/>
          <w:b/>
          <w:lang w:eastAsia="en-AU"/>
        </w:rPr>
        <w:t>Cash at the end of the year</w:t>
      </w:r>
      <w:r w:rsidRPr="009A0DA6">
        <w:rPr>
          <w:rFonts w:ascii="Cambria" w:hAnsi="Cambria" w:cs="Arial"/>
          <w:b/>
          <w:lang w:eastAsia="en-AU"/>
        </w:rPr>
        <w:tab/>
      </w:r>
      <w:r w:rsidRPr="009A0DA6">
        <w:rPr>
          <w:rFonts w:ascii="Cambria" w:hAnsi="Cambria" w:cs="Arial"/>
          <w:b/>
          <w:lang w:eastAsia="en-AU"/>
        </w:rPr>
        <w:tab/>
      </w:r>
      <w:r w:rsidRPr="009A0DA6">
        <w:rPr>
          <w:rFonts w:ascii="Cambria" w:hAnsi="Cambria" w:cs="Arial"/>
          <w:b/>
        </w:rPr>
        <w:t>$</w:t>
      </w:r>
      <w:r w:rsidRPr="009A0DA6">
        <w:rPr>
          <w:rFonts w:ascii="Cambria" w:hAnsi="Cambria" w:cs="Arial"/>
          <w:b/>
          <w:lang w:eastAsia="en-AU"/>
        </w:rPr>
        <w:t>6,967,000</w:t>
      </w:r>
      <w:r w:rsidRPr="009A0DA6">
        <w:rPr>
          <w:rFonts w:ascii="Cambria" w:hAnsi="Cambria" w:cs="Arial"/>
          <w:b/>
          <w:lang w:eastAsia="en-AU"/>
        </w:rPr>
        <w:tab/>
      </w:r>
      <w:r w:rsidRPr="009A0DA6">
        <w:rPr>
          <w:rFonts w:ascii="Cambria" w:hAnsi="Cambria" w:cs="Arial"/>
          <w:b/>
        </w:rPr>
        <w:t>$</w:t>
      </w:r>
      <w:r w:rsidRPr="009A0DA6">
        <w:rPr>
          <w:rFonts w:ascii="Cambria" w:hAnsi="Cambria" w:cs="Arial"/>
          <w:b/>
          <w:lang w:eastAsia="en-AU"/>
        </w:rPr>
        <w:t>5,838,731</w:t>
      </w:r>
      <w:r w:rsidRPr="009A0DA6">
        <w:rPr>
          <w:rFonts w:ascii="Cambria" w:hAnsi="Cambria" w:cs="Arial"/>
          <w:b/>
        </w:rPr>
        <w:tab/>
        <w:t>$</w:t>
      </w:r>
      <w:r w:rsidRPr="009A0DA6">
        <w:rPr>
          <w:rFonts w:ascii="Cambria" w:hAnsi="Cambria" w:cs="Arial"/>
          <w:b/>
          <w:lang w:eastAsia="en-AU"/>
        </w:rPr>
        <w:t>6,236,555</w:t>
      </w:r>
    </w:p>
    <w:p w14:paraId="56AFC3EC" w14:textId="77777777" w:rsidR="00285470" w:rsidRPr="009A0DA6" w:rsidRDefault="00285470" w:rsidP="00285470">
      <w:pPr>
        <w:tabs>
          <w:tab w:val="center" w:pos="4536"/>
          <w:tab w:val="right" w:pos="5954"/>
          <w:tab w:val="right" w:pos="7371"/>
          <w:tab w:val="right" w:pos="8789"/>
        </w:tabs>
        <w:spacing w:before="120" w:after="120" w:line="240" w:lineRule="auto"/>
        <w:contextualSpacing/>
        <w:rPr>
          <w:rFonts w:ascii="Cambria" w:hAnsi="Cambria"/>
          <w:b/>
        </w:rPr>
      </w:pPr>
    </w:p>
    <w:p w14:paraId="0E3BCF0C" w14:textId="734FD7E7" w:rsidR="0059571B" w:rsidRDefault="0059571B" w:rsidP="0059571B">
      <w:pPr>
        <w:pStyle w:val="BOR"/>
        <w:rPr>
          <w:rFonts w:ascii="Cambria" w:hAnsi="Cambria"/>
        </w:rPr>
      </w:pPr>
    </w:p>
    <w:p w14:paraId="639DFC67" w14:textId="77777777" w:rsidR="00206BF6" w:rsidRDefault="00206BF6" w:rsidP="00964A90">
      <w:pPr>
        <w:pStyle w:val="Heading3"/>
      </w:pPr>
    </w:p>
    <w:p w14:paraId="167D2F3B" w14:textId="3CF023E6" w:rsidR="00CE0DB0" w:rsidRPr="009A0DA6" w:rsidRDefault="00CE0DB0" w:rsidP="00964A90">
      <w:pPr>
        <w:pStyle w:val="Heading3"/>
      </w:pPr>
      <w:r w:rsidRPr="009A0DA6">
        <w:t>agenda 14.1</w:t>
      </w:r>
    </w:p>
    <w:p w14:paraId="5B89B92F" w14:textId="77777777" w:rsidR="00CE0DB0" w:rsidRPr="009A0DA6" w:rsidRDefault="00CE0DB0" w:rsidP="00CE0DB0">
      <w:pPr>
        <w:pStyle w:val="Heading2"/>
      </w:pPr>
      <w:bookmarkStart w:id="513" w:name="_Toc521954751"/>
      <w:r w:rsidRPr="009A0DA6">
        <w:t>Finance, Audit and Risk Committee</w:t>
      </w:r>
      <w:bookmarkEnd w:id="513"/>
    </w:p>
    <w:p w14:paraId="4D92163E" w14:textId="77777777" w:rsidR="00CE0DB0" w:rsidRPr="00975F5B" w:rsidRDefault="00CE0DB0" w:rsidP="00CE0DB0">
      <w:pPr>
        <w:pStyle w:val="NoSpacing"/>
        <w:rPr>
          <w:sz w:val="6"/>
        </w:rPr>
      </w:pPr>
    </w:p>
    <w:p w14:paraId="56B1B021" w14:textId="77777777" w:rsidR="00BA4592" w:rsidRPr="009A0DA6" w:rsidRDefault="00BA4592" w:rsidP="00BA4592">
      <w:pPr>
        <w:pStyle w:val="Heading3"/>
      </w:pPr>
      <w:r w:rsidRPr="009A0DA6">
        <w:t xml:space="preserve">MEMBERS </w:t>
      </w:r>
    </w:p>
    <w:p w14:paraId="79BED633" w14:textId="77777777" w:rsidR="00BA4592" w:rsidRPr="009A0DA6" w:rsidRDefault="00BA4592" w:rsidP="00BA4592">
      <w:pPr>
        <w:spacing w:before="120" w:after="120" w:line="240" w:lineRule="auto"/>
        <w:contextualSpacing/>
        <w:rPr>
          <w:rFonts w:ascii="Cambria" w:hAnsi="Cambria"/>
        </w:rPr>
      </w:pPr>
      <w:r w:rsidRPr="009A0DA6">
        <w:rPr>
          <w:rFonts w:ascii="Cambria" w:hAnsi="Cambria"/>
        </w:rPr>
        <w:t>Mel Zerner (SA/NT District), Stephen Podlich (Qld District), Peter Schirmer (Executive Officer of the Church), Debbie Venz (LCA Business Manager)</w:t>
      </w:r>
    </w:p>
    <w:p w14:paraId="46C3AA21" w14:textId="77777777" w:rsidR="00BA4592" w:rsidRPr="00975F5B" w:rsidRDefault="00BA4592" w:rsidP="00BA4592">
      <w:pPr>
        <w:spacing w:before="120" w:after="120" w:line="240" w:lineRule="auto"/>
        <w:contextualSpacing/>
        <w:rPr>
          <w:rFonts w:ascii="Cambria" w:hAnsi="Cambria"/>
          <w:b/>
          <w:sz w:val="4"/>
        </w:rPr>
      </w:pPr>
    </w:p>
    <w:p w14:paraId="292C582B" w14:textId="44E95737" w:rsidR="00BA4592" w:rsidRPr="009A0DA6" w:rsidRDefault="00BA4592" w:rsidP="00BA4592">
      <w:pPr>
        <w:pStyle w:val="Heading3"/>
      </w:pPr>
      <w:r w:rsidRPr="009A0DA6">
        <w:t>BACKGROUND</w:t>
      </w:r>
    </w:p>
    <w:p w14:paraId="253F23FE" w14:textId="77777777" w:rsidR="00BA4592" w:rsidRPr="009A0DA6" w:rsidRDefault="00BA4592" w:rsidP="00BA4592">
      <w:pPr>
        <w:spacing w:before="120" w:after="120" w:line="240" w:lineRule="auto"/>
        <w:contextualSpacing/>
        <w:rPr>
          <w:rFonts w:ascii="Cambria" w:hAnsi="Cambria"/>
        </w:rPr>
      </w:pPr>
      <w:r w:rsidRPr="009A0DA6">
        <w:rPr>
          <w:rFonts w:ascii="Cambria" w:hAnsi="Cambria"/>
        </w:rPr>
        <w:t>The Finance, Audit and Risk Committee was established by the General Church Council in 2014.</w:t>
      </w:r>
    </w:p>
    <w:p w14:paraId="02548DDC" w14:textId="77FDB70B" w:rsidR="00BA4592" w:rsidRPr="009A0DA6" w:rsidRDefault="00BA4592" w:rsidP="00BA4592">
      <w:pPr>
        <w:pStyle w:val="NoSpacing"/>
        <w:spacing w:before="120" w:after="120"/>
        <w:contextualSpacing/>
      </w:pPr>
      <w:r w:rsidRPr="009A0DA6">
        <w:t xml:space="preserve">The </w:t>
      </w:r>
      <w:r w:rsidRPr="009A0DA6">
        <w:rPr>
          <w:b/>
        </w:rPr>
        <w:t>primary objective</w:t>
      </w:r>
      <w:r w:rsidRPr="009A0DA6">
        <w:t xml:space="preserve"> of the </w:t>
      </w:r>
      <w:r w:rsidR="00265A2C" w:rsidRPr="009A0DA6">
        <w:t>committee</w:t>
      </w:r>
      <w:r w:rsidRPr="009A0DA6">
        <w:t xml:space="preserve"> is to assist the GCC in fulfilling its finance-related responsibilities prescribed in the LCA’s By Laws (Section 8.4), monitor risk and ensure compliance with relevant legislation. Its role is to provide independent comment, advice and counsel to GCC on matters within the FAR’s Terms of Reference and respond to issues that may be referred to it by GCC from time to time</w:t>
      </w:r>
      <w:r w:rsidR="0027799A" w:rsidRPr="009A0DA6">
        <w:t xml:space="preserve">. </w:t>
      </w:r>
    </w:p>
    <w:p w14:paraId="00D2E873" w14:textId="181559BE" w:rsidR="00BA4592" w:rsidRPr="009A0DA6" w:rsidRDefault="00BA4592" w:rsidP="00BA4592">
      <w:pPr>
        <w:pStyle w:val="NoSpacing"/>
        <w:spacing w:before="120" w:after="120"/>
        <w:contextualSpacing/>
      </w:pPr>
      <w:r w:rsidRPr="009A0DA6">
        <w:t xml:space="preserve">This report provides an overview of its activities during this </w:t>
      </w:r>
      <w:r w:rsidR="00C67D2A" w:rsidRPr="009A0DA6">
        <w:t>synodical</w:t>
      </w:r>
      <w:r w:rsidRPr="009A0DA6">
        <w:t xml:space="preserve"> term.</w:t>
      </w:r>
    </w:p>
    <w:p w14:paraId="156A3358" w14:textId="77777777" w:rsidR="00BA4592" w:rsidRPr="00975F5B" w:rsidRDefault="00BA4592" w:rsidP="00BA4592">
      <w:pPr>
        <w:pStyle w:val="NoSpacing"/>
        <w:spacing w:before="120" w:after="120"/>
        <w:contextualSpacing/>
        <w:rPr>
          <w:sz w:val="4"/>
          <w:u w:val="single"/>
        </w:rPr>
      </w:pPr>
    </w:p>
    <w:p w14:paraId="362C27BF" w14:textId="5835722E" w:rsidR="00BA4592" w:rsidRPr="009A0DA6" w:rsidRDefault="00BA4592" w:rsidP="00BA4592">
      <w:pPr>
        <w:pStyle w:val="Heading3"/>
      </w:pPr>
      <w:r w:rsidRPr="009A0DA6">
        <w:t>Cooperation with other areas of the Church</w:t>
      </w:r>
    </w:p>
    <w:p w14:paraId="56FD9C0D" w14:textId="30426706" w:rsidR="00BA4592" w:rsidRPr="009A0DA6" w:rsidRDefault="00BA4592" w:rsidP="00BA4592">
      <w:pPr>
        <w:spacing w:before="120" w:after="120" w:line="240" w:lineRule="auto"/>
        <w:contextualSpacing/>
        <w:rPr>
          <w:rFonts w:ascii="Cambria" w:hAnsi="Cambria"/>
          <w:lang w:val="en-US"/>
        </w:rPr>
      </w:pPr>
      <w:r w:rsidRPr="009A0DA6">
        <w:rPr>
          <w:rFonts w:ascii="Cambria" w:hAnsi="Cambria"/>
        </w:rPr>
        <w:t xml:space="preserve">The </w:t>
      </w:r>
      <w:r w:rsidR="00265A2C" w:rsidRPr="009A0DA6">
        <w:rPr>
          <w:rFonts w:ascii="Cambria" w:hAnsi="Cambria"/>
        </w:rPr>
        <w:t>committee</w:t>
      </w:r>
      <w:r w:rsidRPr="009A0DA6">
        <w:rPr>
          <w:rFonts w:ascii="Cambria" w:hAnsi="Cambria"/>
        </w:rPr>
        <w:t xml:space="preserve"> engages with other areas of the </w:t>
      </w:r>
      <w:r w:rsidR="00336CE0" w:rsidRPr="009A0DA6">
        <w:rPr>
          <w:rFonts w:ascii="Cambria" w:hAnsi="Cambria"/>
        </w:rPr>
        <w:t>church</w:t>
      </w:r>
      <w:r w:rsidRPr="009A0DA6">
        <w:rPr>
          <w:rFonts w:ascii="Cambria" w:hAnsi="Cambria"/>
        </w:rPr>
        <w:t xml:space="preserve"> to discuss issues of mutual concern and interest. During the 18</w:t>
      </w:r>
      <w:r w:rsidRPr="009A0DA6">
        <w:rPr>
          <w:rFonts w:ascii="Cambria" w:hAnsi="Cambria"/>
          <w:vertAlign w:val="superscript"/>
        </w:rPr>
        <w:t>th</w:t>
      </w:r>
      <w:r w:rsidRPr="009A0DA6">
        <w:rPr>
          <w:rFonts w:ascii="Cambria" w:hAnsi="Cambria"/>
        </w:rPr>
        <w:t xml:space="preserve"> </w:t>
      </w:r>
      <w:r w:rsidR="00C67D2A" w:rsidRPr="009A0DA6">
        <w:rPr>
          <w:rFonts w:ascii="Cambria" w:hAnsi="Cambria"/>
        </w:rPr>
        <w:t>synodical</w:t>
      </w:r>
      <w:r w:rsidRPr="009A0DA6">
        <w:rPr>
          <w:rFonts w:ascii="Cambria" w:hAnsi="Cambria"/>
        </w:rPr>
        <w:t xml:space="preserve"> period, the </w:t>
      </w:r>
      <w:r w:rsidR="00265A2C" w:rsidRPr="009A0DA6">
        <w:rPr>
          <w:rFonts w:ascii="Cambria" w:hAnsi="Cambria"/>
        </w:rPr>
        <w:t>committee</w:t>
      </w:r>
      <w:r w:rsidRPr="009A0DA6">
        <w:rPr>
          <w:rFonts w:ascii="Cambria" w:hAnsi="Cambria"/>
        </w:rPr>
        <w:t xml:space="preserve"> has met with Allen Kupke (to address issues concerning the LLL particularly its transition to an Authorised Deposit-taking Institution and discuss the work of the Commission on Salaries); Graham Tscharke (to review the </w:t>
      </w:r>
      <w:r w:rsidR="00336CE0" w:rsidRPr="009A0DA6">
        <w:rPr>
          <w:rFonts w:ascii="Cambria" w:hAnsi="Cambria"/>
        </w:rPr>
        <w:t>church</w:t>
      </w:r>
      <w:r w:rsidRPr="009A0DA6">
        <w:rPr>
          <w:rFonts w:ascii="Cambria" w:hAnsi="Cambria"/>
        </w:rPr>
        <w:t>’s insurance cover through LCA Insurance), Mark Le Cornu (LCA Auditor), and Stephen Kroker (Lutheran Education Australia). It has also received and reviewed reports from the Loan Management Committee in regard to the approval and monitoring of loans.</w:t>
      </w:r>
    </w:p>
    <w:p w14:paraId="0FED0CD7" w14:textId="77777777" w:rsidR="00BA4592" w:rsidRPr="00975F5B" w:rsidRDefault="00BA4592" w:rsidP="00BA4592">
      <w:pPr>
        <w:rPr>
          <w:rFonts w:ascii="Cambria" w:hAnsi="Cambria"/>
          <w:b/>
          <w:sz w:val="6"/>
        </w:rPr>
      </w:pPr>
    </w:p>
    <w:p w14:paraId="3E0B0014" w14:textId="0AD34BEC" w:rsidR="00BA4592" w:rsidRPr="009A0DA6" w:rsidRDefault="00BA4592" w:rsidP="00BA4592">
      <w:pPr>
        <w:pStyle w:val="Heading3"/>
      </w:pPr>
      <w:r w:rsidRPr="009A0DA6">
        <w:lastRenderedPageBreak/>
        <w:t>Risk</w:t>
      </w:r>
      <w:r w:rsidR="00975F5B">
        <w:t>S</w:t>
      </w:r>
      <w:r w:rsidRPr="009A0DA6">
        <w:t xml:space="preserve"> </w:t>
      </w:r>
    </w:p>
    <w:p w14:paraId="11E77D87" w14:textId="3D02BD26" w:rsidR="00BA4592" w:rsidRPr="009A0DA6" w:rsidRDefault="00BA4592" w:rsidP="00206BF6">
      <w:pPr>
        <w:spacing w:after="0"/>
        <w:rPr>
          <w:rFonts w:ascii="Cambria" w:hAnsi="Cambria"/>
        </w:rPr>
      </w:pPr>
      <w:r w:rsidRPr="009A0DA6">
        <w:rPr>
          <w:rFonts w:ascii="Cambria" w:hAnsi="Cambria"/>
        </w:rPr>
        <w:t xml:space="preserve">A major component of the work of the </w:t>
      </w:r>
      <w:r w:rsidR="00265A2C" w:rsidRPr="009A0DA6">
        <w:rPr>
          <w:rFonts w:ascii="Cambria" w:hAnsi="Cambria"/>
        </w:rPr>
        <w:t>committee</w:t>
      </w:r>
      <w:r w:rsidRPr="009A0DA6">
        <w:rPr>
          <w:rFonts w:ascii="Cambria" w:hAnsi="Cambria"/>
        </w:rPr>
        <w:t xml:space="preserve"> is to look at risks to the </w:t>
      </w:r>
      <w:r w:rsidR="00336CE0" w:rsidRPr="009A0DA6">
        <w:rPr>
          <w:rFonts w:ascii="Cambria" w:hAnsi="Cambria"/>
        </w:rPr>
        <w:t>church</w:t>
      </w:r>
      <w:r w:rsidR="0027799A" w:rsidRPr="009A0DA6">
        <w:rPr>
          <w:rFonts w:ascii="Cambria" w:hAnsi="Cambria"/>
        </w:rPr>
        <w:t xml:space="preserve">. </w:t>
      </w:r>
      <w:r w:rsidRPr="009A0DA6">
        <w:rPr>
          <w:rFonts w:ascii="Cambria" w:hAnsi="Cambria"/>
        </w:rPr>
        <w:t>These include financial, operational, reputation and legal risks. This is being approached by way of:</w:t>
      </w:r>
    </w:p>
    <w:p w14:paraId="78C7587D" w14:textId="0FCC2B03" w:rsidR="00BA4592" w:rsidRPr="009A0DA6" w:rsidRDefault="00BA4592" w:rsidP="00206BF6">
      <w:pPr>
        <w:numPr>
          <w:ilvl w:val="0"/>
          <w:numId w:val="270"/>
        </w:numPr>
        <w:spacing w:after="0" w:line="240" w:lineRule="auto"/>
        <w:ind w:left="567" w:hanging="567"/>
        <w:rPr>
          <w:rFonts w:ascii="Cambria" w:eastAsia="Times New Roman" w:hAnsi="Cambria"/>
        </w:rPr>
      </w:pPr>
      <w:r w:rsidRPr="009A0DA6">
        <w:rPr>
          <w:rFonts w:ascii="Cambria" w:eastAsia="Times New Roman" w:hAnsi="Cambria"/>
        </w:rPr>
        <w:t xml:space="preserve">development of </w:t>
      </w:r>
      <w:r w:rsidR="00975F5B">
        <w:rPr>
          <w:rFonts w:ascii="Cambria" w:eastAsia="Times New Roman" w:hAnsi="Cambria"/>
        </w:rPr>
        <w:t>a</w:t>
      </w:r>
      <w:r w:rsidRPr="009A0DA6">
        <w:rPr>
          <w:rFonts w:ascii="Cambria" w:eastAsia="Times New Roman" w:hAnsi="Cambria"/>
        </w:rPr>
        <w:t xml:space="preserve"> risk matrix and register</w:t>
      </w:r>
    </w:p>
    <w:p w14:paraId="129AB94F" w14:textId="3E9A0637" w:rsidR="00BA4592" w:rsidRPr="009A0DA6" w:rsidRDefault="00BA4592" w:rsidP="00F55252">
      <w:pPr>
        <w:numPr>
          <w:ilvl w:val="0"/>
          <w:numId w:val="270"/>
        </w:numPr>
        <w:spacing w:after="0" w:line="240" w:lineRule="auto"/>
        <w:ind w:left="567" w:hanging="567"/>
        <w:rPr>
          <w:rFonts w:ascii="Cambria" w:eastAsia="Times New Roman" w:hAnsi="Cambria"/>
        </w:rPr>
      </w:pPr>
      <w:r w:rsidRPr="009A0DA6">
        <w:rPr>
          <w:rFonts w:ascii="Cambria" w:eastAsia="Times New Roman" w:hAnsi="Cambria"/>
        </w:rPr>
        <w:t>reviews of the loans that are covered by the Guarantees and indemnities (primary the LLL and Westpac)</w:t>
      </w:r>
      <w:r w:rsidR="0027799A" w:rsidRPr="009A0DA6">
        <w:rPr>
          <w:rFonts w:ascii="Cambria" w:eastAsia="Times New Roman" w:hAnsi="Cambria"/>
        </w:rPr>
        <w:t xml:space="preserve">. </w:t>
      </w:r>
    </w:p>
    <w:p w14:paraId="54C3D5F4" w14:textId="77777777" w:rsidR="00BA4592" w:rsidRPr="009A0DA6" w:rsidRDefault="00BA4592" w:rsidP="00F55252">
      <w:pPr>
        <w:numPr>
          <w:ilvl w:val="0"/>
          <w:numId w:val="270"/>
        </w:numPr>
        <w:spacing w:after="0" w:line="240" w:lineRule="auto"/>
        <w:ind w:left="567" w:hanging="567"/>
        <w:rPr>
          <w:rFonts w:ascii="Cambria" w:eastAsia="Times New Roman" w:hAnsi="Cambria"/>
        </w:rPr>
      </w:pPr>
      <w:r w:rsidRPr="009A0DA6">
        <w:rPr>
          <w:rFonts w:ascii="Cambria" w:eastAsia="Times New Roman" w:hAnsi="Cambria"/>
        </w:rPr>
        <w:t>policies are being developed to cover the  operational and financial aspects So far delegations and fixed asset policies have been approved. The other policies being developed are general accounting principles, disbursement and payables, income recognition, audit, investment, treatment of reserves, Data Protection, Cyber and IT security, enhanced Work Health and Safety.</w:t>
      </w:r>
    </w:p>
    <w:p w14:paraId="77F3CBB4" w14:textId="77777777" w:rsidR="00BA4592" w:rsidRPr="009A0DA6" w:rsidRDefault="00BA4592" w:rsidP="00F55252">
      <w:pPr>
        <w:numPr>
          <w:ilvl w:val="0"/>
          <w:numId w:val="270"/>
        </w:numPr>
        <w:spacing w:after="0" w:line="240" w:lineRule="auto"/>
        <w:ind w:left="567" w:hanging="567"/>
        <w:rPr>
          <w:rFonts w:ascii="Cambria" w:eastAsia="Times New Roman" w:hAnsi="Cambria"/>
        </w:rPr>
      </w:pPr>
      <w:r w:rsidRPr="009A0DA6">
        <w:rPr>
          <w:rFonts w:ascii="Cambria" w:eastAsia="Times New Roman" w:hAnsi="Cambria"/>
        </w:rPr>
        <w:t>reviews of LCA entities has been through its testing stage and, after the completion of Convention 2018 activities, will be launched with all the LCA separately incorporated entities. The review has some 30 items to check against.</w:t>
      </w:r>
    </w:p>
    <w:p w14:paraId="5EDA9EF7" w14:textId="77777777" w:rsidR="00BA4592" w:rsidRPr="009A0DA6" w:rsidRDefault="00BA4592" w:rsidP="00F55252">
      <w:pPr>
        <w:numPr>
          <w:ilvl w:val="0"/>
          <w:numId w:val="270"/>
        </w:numPr>
        <w:spacing w:after="0" w:line="240" w:lineRule="auto"/>
        <w:ind w:left="567" w:hanging="567"/>
        <w:rPr>
          <w:rFonts w:ascii="Cambria" w:eastAsia="Times New Roman" w:hAnsi="Cambria"/>
        </w:rPr>
      </w:pPr>
      <w:r w:rsidRPr="009A0DA6">
        <w:rPr>
          <w:rFonts w:ascii="Cambria" w:eastAsia="Times New Roman" w:hAnsi="Cambria"/>
        </w:rPr>
        <w:t>Legal and reputation risks are being assessed on an ongoing basis.</w:t>
      </w:r>
    </w:p>
    <w:p w14:paraId="5EAAAA11" w14:textId="77777777" w:rsidR="00BA4592" w:rsidRPr="00975F5B" w:rsidRDefault="00BA4592" w:rsidP="00BA4592">
      <w:pPr>
        <w:spacing w:before="120" w:after="120" w:line="240" w:lineRule="auto"/>
        <w:contextualSpacing/>
        <w:rPr>
          <w:rFonts w:ascii="Cambria" w:hAnsi="Cambria"/>
          <w:b/>
          <w:sz w:val="6"/>
        </w:rPr>
      </w:pPr>
    </w:p>
    <w:p w14:paraId="04115D33" w14:textId="571BC03C" w:rsidR="00BA4592" w:rsidRPr="009A0DA6" w:rsidRDefault="00BA4592" w:rsidP="00BA4592">
      <w:pPr>
        <w:pStyle w:val="Heading3"/>
        <w:rPr>
          <w:rFonts w:eastAsiaTheme="minorEastAsia"/>
        </w:rPr>
      </w:pPr>
      <w:r w:rsidRPr="009A0DA6">
        <w:t>Systems Improvement</w:t>
      </w:r>
    </w:p>
    <w:p w14:paraId="29311D7C" w14:textId="095D4089" w:rsidR="00BA4592" w:rsidRPr="009A0DA6" w:rsidRDefault="00BA4592" w:rsidP="00BA4592">
      <w:pPr>
        <w:spacing w:before="120" w:after="120" w:line="240" w:lineRule="auto"/>
        <w:contextualSpacing/>
        <w:rPr>
          <w:rFonts w:ascii="Cambria" w:hAnsi="Cambria"/>
        </w:rPr>
      </w:pPr>
      <w:r w:rsidRPr="009A0DA6">
        <w:rPr>
          <w:rFonts w:ascii="Cambria" w:hAnsi="Cambria"/>
        </w:rPr>
        <w:t xml:space="preserve">The </w:t>
      </w:r>
      <w:r w:rsidR="00265A2C" w:rsidRPr="009A0DA6">
        <w:rPr>
          <w:rFonts w:ascii="Cambria" w:hAnsi="Cambria"/>
        </w:rPr>
        <w:t>committee</w:t>
      </w:r>
      <w:r w:rsidRPr="009A0DA6">
        <w:rPr>
          <w:rFonts w:ascii="Cambria" w:hAnsi="Cambria"/>
        </w:rPr>
        <w:t xml:space="preserve"> has focused on improving the LCA’s financial systems, policies, processing and reporting in order to enhance transparency and meet standards of good practice</w:t>
      </w:r>
      <w:r w:rsidR="0027799A" w:rsidRPr="009A0DA6">
        <w:rPr>
          <w:rFonts w:ascii="Cambria" w:hAnsi="Cambria"/>
        </w:rPr>
        <w:t xml:space="preserve">. </w:t>
      </w:r>
      <w:r w:rsidRPr="009A0DA6">
        <w:rPr>
          <w:rFonts w:ascii="Cambria" w:hAnsi="Cambria"/>
        </w:rPr>
        <w:t>In this regard it works closely with the LCA’s auditors, MRL Group, to address matters raised in the annual audit report and related management letter.</w:t>
      </w:r>
    </w:p>
    <w:p w14:paraId="5C44DB1D" w14:textId="77777777" w:rsidR="00BA4592" w:rsidRPr="009A0DA6" w:rsidRDefault="00BA4592" w:rsidP="00206BF6">
      <w:pPr>
        <w:spacing w:after="0" w:line="240" w:lineRule="auto"/>
        <w:contextualSpacing/>
        <w:rPr>
          <w:rFonts w:ascii="Cambria" w:hAnsi="Cambria"/>
        </w:rPr>
      </w:pPr>
      <w:r w:rsidRPr="009A0DA6">
        <w:rPr>
          <w:rFonts w:ascii="Cambria" w:hAnsi="Cambria"/>
        </w:rPr>
        <w:t>Based on the recommendations of the LCA auditor, the FAR Committee has either finalised or is in the process of preparing financial policies in areas such as:</w:t>
      </w:r>
    </w:p>
    <w:p w14:paraId="5896C2CC" w14:textId="77777777" w:rsidR="00BA4592" w:rsidRPr="009A0DA6" w:rsidRDefault="00BA4592" w:rsidP="00206BF6">
      <w:pPr>
        <w:pStyle w:val="ListParagraph"/>
        <w:numPr>
          <w:ilvl w:val="0"/>
          <w:numId w:val="271"/>
        </w:numPr>
        <w:autoSpaceDE w:val="0"/>
        <w:autoSpaceDN w:val="0"/>
        <w:adjustRightInd w:val="0"/>
        <w:spacing w:after="0" w:line="240" w:lineRule="auto"/>
        <w:ind w:left="567" w:hanging="567"/>
        <w:rPr>
          <w:rFonts w:ascii="Cambria" w:hAnsi="Cambria"/>
        </w:rPr>
      </w:pPr>
      <w:r w:rsidRPr="009A0DA6">
        <w:rPr>
          <w:rFonts w:ascii="Cambria" w:hAnsi="Cambria"/>
        </w:rPr>
        <w:t>General internal control environment policy</w:t>
      </w:r>
    </w:p>
    <w:p w14:paraId="2ABBEF17" w14:textId="77777777" w:rsidR="00BA4592" w:rsidRPr="009A0DA6" w:rsidRDefault="00BA4592" w:rsidP="00F55252">
      <w:pPr>
        <w:pStyle w:val="ListParagraph"/>
        <w:numPr>
          <w:ilvl w:val="0"/>
          <w:numId w:val="271"/>
        </w:numPr>
        <w:autoSpaceDE w:val="0"/>
        <w:autoSpaceDN w:val="0"/>
        <w:adjustRightInd w:val="0"/>
        <w:spacing w:before="120" w:after="120" w:line="240" w:lineRule="auto"/>
        <w:ind w:left="567" w:hanging="567"/>
        <w:rPr>
          <w:rFonts w:ascii="Cambria" w:hAnsi="Cambria"/>
        </w:rPr>
      </w:pPr>
      <w:r w:rsidRPr="009A0DA6">
        <w:rPr>
          <w:rFonts w:ascii="Cambria" w:hAnsi="Cambria"/>
        </w:rPr>
        <w:t>Disbursements and payments policy</w:t>
      </w:r>
    </w:p>
    <w:p w14:paraId="06D01D2D" w14:textId="77777777" w:rsidR="00BA4592" w:rsidRPr="009A0DA6" w:rsidRDefault="00BA4592" w:rsidP="00F55252">
      <w:pPr>
        <w:pStyle w:val="ListParagraph"/>
        <w:numPr>
          <w:ilvl w:val="0"/>
          <w:numId w:val="271"/>
        </w:numPr>
        <w:autoSpaceDE w:val="0"/>
        <w:autoSpaceDN w:val="0"/>
        <w:adjustRightInd w:val="0"/>
        <w:spacing w:before="120" w:after="120" w:line="240" w:lineRule="auto"/>
        <w:ind w:left="567" w:hanging="567"/>
        <w:rPr>
          <w:rFonts w:ascii="Cambria" w:hAnsi="Cambria"/>
        </w:rPr>
      </w:pPr>
      <w:r w:rsidRPr="009A0DA6">
        <w:rPr>
          <w:rFonts w:ascii="Cambria" w:hAnsi="Cambria"/>
        </w:rPr>
        <w:t>General accounting policy</w:t>
      </w:r>
    </w:p>
    <w:p w14:paraId="78FBF653" w14:textId="77777777" w:rsidR="00BA4592" w:rsidRPr="009A0DA6" w:rsidRDefault="00BA4592" w:rsidP="00F55252">
      <w:pPr>
        <w:pStyle w:val="ListParagraph"/>
        <w:numPr>
          <w:ilvl w:val="0"/>
          <w:numId w:val="271"/>
        </w:numPr>
        <w:autoSpaceDE w:val="0"/>
        <w:autoSpaceDN w:val="0"/>
        <w:adjustRightInd w:val="0"/>
        <w:spacing w:before="120" w:after="120" w:line="240" w:lineRule="auto"/>
        <w:ind w:left="567" w:hanging="567"/>
        <w:rPr>
          <w:rFonts w:ascii="Cambria" w:hAnsi="Cambria"/>
        </w:rPr>
      </w:pPr>
      <w:r w:rsidRPr="009A0DA6">
        <w:rPr>
          <w:rFonts w:ascii="Cambria" w:hAnsi="Cambria"/>
        </w:rPr>
        <w:t>Reserves and specific funds policy</w:t>
      </w:r>
    </w:p>
    <w:p w14:paraId="7525CA15" w14:textId="77777777" w:rsidR="00BA4592" w:rsidRPr="009A0DA6" w:rsidRDefault="00BA4592" w:rsidP="00F55252">
      <w:pPr>
        <w:pStyle w:val="ListParagraph"/>
        <w:numPr>
          <w:ilvl w:val="0"/>
          <w:numId w:val="272"/>
        </w:numPr>
        <w:autoSpaceDE w:val="0"/>
        <w:autoSpaceDN w:val="0"/>
        <w:adjustRightInd w:val="0"/>
        <w:spacing w:before="120" w:after="120" w:line="240" w:lineRule="auto"/>
        <w:ind w:left="567" w:hanging="567"/>
        <w:rPr>
          <w:rFonts w:ascii="Cambria" w:hAnsi="Cambria"/>
        </w:rPr>
      </w:pPr>
      <w:r w:rsidRPr="009A0DA6">
        <w:rPr>
          <w:rFonts w:ascii="Cambria" w:hAnsi="Cambria"/>
        </w:rPr>
        <w:t>Accounting Policy</w:t>
      </w:r>
    </w:p>
    <w:p w14:paraId="45C67240" w14:textId="77777777" w:rsidR="00BA4592" w:rsidRPr="009A0DA6" w:rsidRDefault="00BA4592" w:rsidP="00F55252">
      <w:pPr>
        <w:pStyle w:val="ListParagraph"/>
        <w:numPr>
          <w:ilvl w:val="0"/>
          <w:numId w:val="272"/>
        </w:numPr>
        <w:autoSpaceDE w:val="0"/>
        <w:autoSpaceDN w:val="0"/>
        <w:adjustRightInd w:val="0"/>
        <w:spacing w:before="120" w:after="120" w:line="240" w:lineRule="auto"/>
        <w:ind w:left="567" w:hanging="567"/>
        <w:rPr>
          <w:rFonts w:ascii="Cambria" w:hAnsi="Cambria"/>
        </w:rPr>
      </w:pPr>
      <w:r w:rsidRPr="009A0DA6">
        <w:rPr>
          <w:rFonts w:ascii="Cambria" w:hAnsi="Cambria"/>
        </w:rPr>
        <w:t>Audit policy</w:t>
      </w:r>
    </w:p>
    <w:p w14:paraId="6919ED5F" w14:textId="77777777" w:rsidR="00BA4592" w:rsidRPr="009A0DA6" w:rsidRDefault="00BA4592" w:rsidP="00F55252">
      <w:pPr>
        <w:pStyle w:val="ListParagraph"/>
        <w:numPr>
          <w:ilvl w:val="0"/>
          <w:numId w:val="272"/>
        </w:numPr>
        <w:autoSpaceDE w:val="0"/>
        <w:autoSpaceDN w:val="0"/>
        <w:adjustRightInd w:val="0"/>
        <w:spacing w:before="120" w:after="120" w:line="240" w:lineRule="auto"/>
        <w:ind w:left="567" w:hanging="567"/>
        <w:rPr>
          <w:rFonts w:ascii="Cambria" w:hAnsi="Cambria"/>
        </w:rPr>
      </w:pPr>
      <w:r w:rsidRPr="009A0DA6">
        <w:rPr>
          <w:rFonts w:ascii="Cambria" w:hAnsi="Cambria"/>
        </w:rPr>
        <w:t>Investment policy</w:t>
      </w:r>
    </w:p>
    <w:p w14:paraId="22B43379" w14:textId="77777777" w:rsidR="00BA4592" w:rsidRPr="009A0DA6" w:rsidRDefault="00BA4592" w:rsidP="00F55252">
      <w:pPr>
        <w:pStyle w:val="ListParagraph"/>
        <w:numPr>
          <w:ilvl w:val="0"/>
          <w:numId w:val="272"/>
        </w:numPr>
        <w:autoSpaceDE w:val="0"/>
        <w:autoSpaceDN w:val="0"/>
        <w:adjustRightInd w:val="0"/>
        <w:spacing w:before="120" w:after="120" w:line="240" w:lineRule="auto"/>
        <w:ind w:left="567" w:hanging="567"/>
        <w:rPr>
          <w:rFonts w:ascii="Cambria" w:hAnsi="Cambria"/>
        </w:rPr>
      </w:pPr>
      <w:r w:rsidRPr="009A0DA6">
        <w:rPr>
          <w:rFonts w:ascii="Cambria" w:hAnsi="Cambria"/>
        </w:rPr>
        <w:t>Risk management policy</w:t>
      </w:r>
    </w:p>
    <w:p w14:paraId="76277A40" w14:textId="77777777" w:rsidR="00BA4592" w:rsidRPr="009A0DA6" w:rsidRDefault="00BA4592" w:rsidP="00F55252">
      <w:pPr>
        <w:pStyle w:val="ListParagraph"/>
        <w:numPr>
          <w:ilvl w:val="0"/>
          <w:numId w:val="272"/>
        </w:numPr>
        <w:autoSpaceDE w:val="0"/>
        <w:autoSpaceDN w:val="0"/>
        <w:adjustRightInd w:val="0"/>
        <w:spacing w:before="120" w:after="120" w:line="240" w:lineRule="auto"/>
        <w:ind w:left="567" w:hanging="567"/>
        <w:rPr>
          <w:rFonts w:ascii="Cambria" w:hAnsi="Cambria"/>
        </w:rPr>
      </w:pPr>
      <w:r w:rsidRPr="009A0DA6">
        <w:rPr>
          <w:rFonts w:ascii="Cambria" w:hAnsi="Cambria"/>
        </w:rPr>
        <w:t>Loans policy</w:t>
      </w:r>
    </w:p>
    <w:p w14:paraId="6389EC86" w14:textId="77777777" w:rsidR="00BA4592" w:rsidRPr="009A0DA6" w:rsidRDefault="00BA4592" w:rsidP="00F55252">
      <w:pPr>
        <w:pStyle w:val="ListParagraph"/>
        <w:numPr>
          <w:ilvl w:val="0"/>
          <w:numId w:val="272"/>
        </w:numPr>
        <w:autoSpaceDE w:val="0"/>
        <w:autoSpaceDN w:val="0"/>
        <w:adjustRightInd w:val="0"/>
        <w:spacing w:before="120" w:after="120" w:line="240" w:lineRule="auto"/>
        <w:ind w:left="567" w:hanging="567"/>
        <w:rPr>
          <w:rFonts w:ascii="Cambria" w:hAnsi="Cambria"/>
        </w:rPr>
      </w:pPr>
      <w:r w:rsidRPr="009A0DA6">
        <w:rPr>
          <w:rFonts w:ascii="Cambria" w:hAnsi="Cambria"/>
        </w:rPr>
        <w:t>Asset recognition policy</w:t>
      </w:r>
    </w:p>
    <w:p w14:paraId="3D43B383" w14:textId="2A18FA4D" w:rsidR="00BA4592" w:rsidRPr="00975F5B" w:rsidRDefault="00BA4592" w:rsidP="00F55252">
      <w:pPr>
        <w:pStyle w:val="ListParagraph"/>
        <w:numPr>
          <w:ilvl w:val="0"/>
          <w:numId w:val="272"/>
        </w:numPr>
        <w:autoSpaceDE w:val="0"/>
        <w:autoSpaceDN w:val="0"/>
        <w:adjustRightInd w:val="0"/>
        <w:spacing w:before="120" w:after="120" w:line="240" w:lineRule="auto"/>
        <w:ind w:left="567" w:hanging="567"/>
        <w:rPr>
          <w:rFonts w:ascii="Cambria" w:hAnsi="Cambria"/>
          <w:sz w:val="6"/>
        </w:rPr>
      </w:pPr>
      <w:r w:rsidRPr="009A0DA6">
        <w:rPr>
          <w:rFonts w:ascii="Cambria" w:hAnsi="Cambria"/>
        </w:rPr>
        <w:t>Delegations policy</w:t>
      </w:r>
      <w:r w:rsidRPr="009A0DA6">
        <w:rPr>
          <w:rFonts w:ascii="Cambria" w:hAnsi="Cambria"/>
        </w:rPr>
        <w:br/>
      </w:r>
    </w:p>
    <w:p w14:paraId="694A7278" w14:textId="77777777" w:rsidR="00BA4592" w:rsidRPr="009A0DA6" w:rsidRDefault="00BA4592" w:rsidP="00BA4592">
      <w:pPr>
        <w:pStyle w:val="Heading3"/>
      </w:pPr>
      <w:r w:rsidRPr="009A0DA6">
        <w:t>Finance and Administration Department</w:t>
      </w:r>
    </w:p>
    <w:p w14:paraId="6816432D" w14:textId="51AF13F2" w:rsidR="00BA4592" w:rsidRPr="009A0DA6" w:rsidRDefault="00BA4592" w:rsidP="00BA4592">
      <w:pPr>
        <w:autoSpaceDE w:val="0"/>
        <w:autoSpaceDN w:val="0"/>
        <w:adjustRightInd w:val="0"/>
        <w:spacing w:before="120" w:after="120" w:line="240" w:lineRule="auto"/>
        <w:contextualSpacing/>
        <w:rPr>
          <w:rFonts w:ascii="Cambria" w:hAnsi="Cambria"/>
        </w:rPr>
      </w:pPr>
      <w:r w:rsidRPr="009A0DA6">
        <w:rPr>
          <w:rFonts w:ascii="Cambria" w:hAnsi="Cambria"/>
        </w:rPr>
        <w:t xml:space="preserve">The various financial and administration functions carried out in the </w:t>
      </w:r>
      <w:r w:rsidR="009B2534" w:rsidRPr="009A0DA6">
        <w:rPr>
          <w:rFonts w:ascii="Cambria" w:hAnsi="Cambria"/>
        </w:rPr>
        <w:t>Churchwide</w:t>
      </w:r>
      <w:r w:rsidRPr="009A0DA6">
        <w:rPr>
          <w:rFonts w:ascii="Cambria" w:hAnsi="Cambria"/>
        </w:rPr>
        <w:t xml:space="preserve"> office were consolidated by the formalisation of a Finance and Administration department, which became operational on 1 January 2018.</w:t>
      </w:r>
    </w:p>
    <w:p w14:paraId="157B0327" w14:textId="77777777" w:rsidR="00BA4592" w:rsidRPr="00206BF6" w:rsidRDefault="00BA4592" w:rsidP="00BA4592">
      <w:pPr>
        <w:autoSpaceDE w:val="0"/>
        <w:autoSpaceDN w:val="0"/>
        <w:adjustRightInd w:val="0"/>
        <w:spacing w:before="120" w:after="120" w:line="240" w:lineRule="auto"/>
        <w:contextualSpacing/>
        <w:rPr>
          <w:rFonts w:ascii="Cambria" w:hAnsi="Cambria"/>
          <w:sz w:val="12"/>
        </w:rPr>
      </w:pPr>
    </w:p>
    <w:p w14:paraId="391C1088" w14:textId="1B4732F8" w:rsidR="00BA4592" w:rsidRPr="009A0DA6" w:rsidRDefault="00BA4592" w:rsidP="00BA4592">
      <w:pPr>
        <w:autoSpaceDE w:val="0"/>
        <w:autoSpaceDN w:val="0"/>
        <w:adjustRightInd w:val="0"/>
        <w:spacing w:before="120" w:after="120" w:line="240" w:lineRule="auto"/>
        <w:contextualSpacing/>
        <w:rPr>
          <w:rFonts w:ascii="Cambria" w:hAnsi="Cambria"/>
        </w:rPr>
      </w:pPr>
      <w:r w:rsidRPr="009A0DA6">
        <w:rPr>
          <w:rFonts w:ascii="Cambria" w:hAnsi="Cambria"/>
        </w:rPr>
        <w:t xml:space="preserve">A key reason for the change was the decision, mutually agreed by the LLL and LCA, for the LCA to resume responsibility for its own finance and accounting functions in order to meet its needs at operational, management and governance levels. </w:t>
      </w:r>
    </w:p>
    <w:p w14:paraId="1DB7E0F6" w14:textId="77777777" w:rsidR="00BA4592" w:rsidRPr="00206BF6" w:rsidRDefault="00BA4592" w:rsidP="00BA4592">
      <w:pPr>
        <w:autoSpaceDE w:val="0"/>
        <w:autoSpaceDN w:val="0"/>
        <w:adjustRightInd w:val="0"/>
        <w:spacing w:before="120" w:after="120" w:line="240" w:lineRule="auto"/>
        <w:contextualSpacing/>
        <w:rPr>
          <w:rFonts w:ascii="Cambria" w:hAnsi="Cambria"/>
          <w:sz w:val="12"/>
        </w:rPr>
      </w:pPr>
    </w:p>
    <w:p w14:paraId="04B2FC90" w14:textId="2B34A558" w:rsidR="00BA4592" w:rsidRPr="009A0DA6" w:rsidRDefault="00BA4592" w:rsidP="00BA4592">
      <w:pPr>
        <w:autoSpaceDE w:val="0"/>
        <w:autoSpaceDN w:val="0"/>
        <w:adjustRightInd w:val="0"/>
        <w:spacing w:before="120" w:after="120" w:line="240" w:lineRule="auto"/>
        <w:contextualSpacing/>
        <w:rPr>
          <w:rFonts w:ascii="Cambria" w:hAnsi="Cambria"/>
        </w:rPr>
      </w:pPr>
      <w:r w:rsidRPr="00206BF6">
        <w:rPr>
          <w:rFonts w:ascii="Cambria" w:hAnsi="Cambria"/>
        </w:rPr>
        <w:t>This</w:t>
      </w:r>
      <w:r w:rsidRPr="009A0DA6">
        <w:rPr>
          <w:rFonts w:ascii="Cambria" w:hAnsi="Cambria"/>
        </w:rPr>
        <w:t xml:space="preserve"> decision was also consistent with the LCA auditor’s opinion that the LCA will be better served by the adoption of a new accounting platform. In this regard, a new accounting package, using MYOB and the Prophix reporting system, has been introduced and became fully operational in June 2018. </w:t>
      </w:r>
    </w:p>
    <w:p w14:paraId="0DFF9820" w14:textId="77777777" w:rsidR="00BA4592" w:rsidRPr="00206BF6" w:rsidRDefault="00BA4592" w:rsidP="00BA4592">
      <w:pPr>
        <w:autoSpaceDE w:val="0"/>
        <w:autoSpaceDN w:val="0"/>
        <w:adjustRightInd w:val="0"/>
        <w:spacing w:before="120" w:after="120" w:line="240" w:lineRule="auto"/>
        <w:contextualSpacing/>
        <w:rPr>
          <w:rFonts w:ascii="Cambria" w:hAnsi="Cambria"/>
          <w:sz w:val="12"/>
        </w:rPr>
      </w:pPr>
    </w:p>
    <w:p w14:paraId="618FDAE8" w14:textId="323DF57D" w:rsidR="00BA4592" w:rsidRPr="009A0DA6" w:rsidRDefault="00BA4592" w:rsidP="00BA4592">
      <w:pPr>
        <w:autoSpaceDE w:val="0"/>
        <w:autoSpaceDN w:val="0"/>
        <w:adjustRightInd w:val="0"/>
        <w:spacing w:before="120" w:after="120" w:line="240" w:lineRule="auto"/>
        <w:contextualSpacing/>
        <w:rPr>
          <w:rFonts w:ascii="Cambria" w:hAnsi="Cambria"/>
        </w:rPr>
      </w:pPr>
      <w:r w:rsidRPr="009A0DA6">
        <w:rPr>
          <w:rFonts w:ascii="Cambria" w:hAnsi="Cambria"/>
        </w:rPr>
        <w:t>The formalisation of the Finance and Administration Department will enable better support to the LCA’s departments and other ministries in the areas of finance, IT, building management, and general operations. The aim is to achieve greater efficiencies in these areas and allow the departments and ministries to focus on their specific ministry programmes.</w:t>
      </w:r>
    </w:p>
    <w:p w14:paraId="240F1C64" w14:textId="77777777" w:rsidR="00BA4592" w:rsidRPr="00206BF6" w:rsidRDefault="00BA4592" w:rsidP="00BA4592">
      <w:pPr>
        <w:autoSpaceDE w:val="0"/>
        <w:autoSpaceDN w:val="0"/>
        <w:adjustRightInd w:val="0"/>
        <w:spacing w:before="120" w:after="120" w:line="240" w:lineRule="auto"/>
        <w:contextualSpacing/>
        <w:rPr>
          <w:rFonts w:ascii="Cambria" w:hAnsi="Cambria"/>
          <w:sz w:val="6"/>
        </w:rPr>
      </w:pPr>
    </w:p>
    <w:p w14:paraId="66CDD1C4" w14:textId="781732FD" w:rsidR="00BA4592" w:rsidRPr="00206BF6" w:rsidRDefault="00BA4592" w:rsidP="00BA4592">
      <w:pPr>
        <w:autoSpaceDE w:val="0"/>
        <w:autoSpaceDN w:val="0"/>
        <w:adjustRightInd w:val="0"/>
        <w:spacing w:before="120" w:after="120" w:line="240" w:lineRule="auto"/>
        <w:contextualSpacing/>
        <w:rPr>
          <w:rFonts w:ascii="Cambria" w:hAnsi="Cambria"/>
          <w:sz w:val="2"/>
        </w:rPr>
      </w:pPr>
      <w:r w:rsidRPr="009A0DA6">
        <w:rPr>
          <w:rFonts w:ascii="Cambria" w:hAnsi="Cambria"/>
        </w:rPr>
        <w:lastRenderedPageBreak/>
        <w:t xml:space="preserve">The FAR Committee takes this opportunity to thank the LLL for providing Central Treasury Services to the </w:t>
      </w:r>
      <w:r w:rsidR="00336CE0" w:rsidRPr="009A0DA6">
        <w:rPr>
          <w:rFonts w:ascii="Cambria" w:hAnsi="Cambria"/>
        </w:rPr>
        <w:t>church</w:t>
      </w:r>
      <w:r w:rsidRPr="009A0DA6">
        <w:rPr>
          <w:rFonts w:ascii="Cambria" w:hAnsi="Cambria"/>
        </w:rPr>
        <w:t xml:space="preserve"> over the past 18 years. </w:t>
      </w:r>
      <w:r w:rsidRPr="009A0DA6">
        <w:rPr>
          <w:rFonts w:ascii="Cambria" w:hAnsi="Cambria"/>
        </w:rPr>
        <w:br/>
      </w:r>
    </w:p>
    <w:p w14:paraId="00F54418" w14:textId="77777777" w:rsidR="00BA4592" w:rsidRPr="009A0DA6" w:rsidRDefault="00BA4592" w:rsidP="00BA4592">
      <w:pPr>
        <w:pStyle w:val="Heading3"/>
      </w:pPr>
      <w:r w:rsidRPr="009A0DA6">
        <w:t>Financial reports for the synodical period</w:t>
      </w:r>
    </w:p>
    <w:p w14:paraId="5C41F1CF" w14:textId="0F303E9F" w:rsidR="00BA4592" w:rsidRPr="009A0DA6" w:rsidRDefault="00BA4592" w:rsidP="00BA4592">
      <w:pPr>
        <w:spacing w:before="120" w:after="120" w:line="240" w:lineRule="auto"/>
        <w:contextualSpacing/>
        <w:rPr>
          <w:rFonts w:ascii="Cambria" w:hAnsi="Cambria"/>
        </w:rPr>
      </w:pPr>
      <w:r w:rsidRPr="009A0DA6">
        <w:rPr>
          <w:rFonts w:ascii="Cambria" w:hAnsi="Cambria"/>
        </w:rPr>
        <w:t>The financial reporting over this synodical period has been subject to continuous improvement following on from the enhancements made in the previous synodical period</w:t>
      </w:r>
      <w:r w:rsidR="0027799A" w:rsidRPr="009A0DA6">
        <w:rPr>
          <w:rFonts w:ascii="Cambria" w:hAnsi="Cambria"/>
        </w:rPr>
        <w:t xml:space="preserve">. </w:t>
      </w:r>
      <w:r w:rsidRPr="009A0DA6">
        <w:rPr>
          <w:rFonts w:ascii="Cambria" w:hAnsi="Cambria"/>
        </w:rPr>
        <w:t xml:space="preserve"> Delegates will notice these changes when comparing the reports presented at this General Convention to those provided in 2015.</w:t>
      </w:r>
    </w:p>
    <w:p w14:paraId="68E668AA" w14:textId="77777777" w:rsidR="00BA4592" w:rsidRPr="009A0DA6" w:rsidRDefault="00BA4592" w:rsidP="00BA4592">
      <w:pPr>
        <w:spacing w:before="120" w:after="120" w:line="240" w:lineRule="auto"/>
        <w:contextualSpacing/>
        <w:rPr>
          <w:rFonts w:ascii="Cambria" w:hAnsi="Cambria"/>
        </w:rPr>
      </w:pPr>
      <w:r w:rsidRPr="009A0DA6">
        <w:rPr>
          <w:rFonts w:ascii="Cambria" w:hAnsi="Cambria"/>
        </w:rPr>
        <w:t>It is pointed out that, while the LCA has moved to a consolidated reporting structure, the departments still provide their individual financial reports as part of their synodical reports.</w:t>
      </w:r>
    </w:p>
    <w:p w14:paraId="76CD96EA" w14:textId="77777777" w:rsidR="00BA4592" w:rsidRPr="00206BF6" w:rsidRDefault="00BA4592" w:rsidP="00BA4592">
      <w:pPr>
        <w:spacing w:before="120" w:after="120" w:line="240" w:lineRule="auto"/>
        <w:contextualSpacing/>
        <w:rPr>
          <w:rFonts w:ascii="Cambria" w:hAnsi="Cambria"/>
          <w:b/>
          <w:sz w:val="2"/>
        </w:rPr>
      </w:pPr>
    </w:p>
    <w:p w14:paraId="6A4A3E96" w14:textId="7126C12C" w:rsidR="00BA4592" w:rsidRPr="009A0DA6" w:rsidRDefault="00BA4592" w:rsidP="00BA4592">
      <w:pPr>
        <w:pStyle w:val="Subtitle"/>
      </w:pPr>
      <w:r w:rsidRPr="009A0DA6">
        <w:t xml:space="preserve">Explanatory notes on financial performance </w:t>
      </w:r>
    </w:p>
    <w:p w14:paraId="3D4FF1DC" w14:textId="77777777" w:rsidR="00BA4592" w:rsidRPr="009A0DA6" w:rsidRDefault="00BA4592" w:rsidP="00BA4592">
      <w:pPr>
        <w:spacing w:before="120" w:after="120" w:line="240" w:lineRule="auto"/>
        <w:contextualSpacing/>
        <w:rPr>
          <w:rFonts w:ascii="Cambria" w:hAnsi="Cambria"/>
        </w:rPr>
      </w:pPr>
      <w:r w:rsidRPr="009A0DA6">
        <w:rPr>
          <w:rFonts w:ascii="Cambria" w:hAnsi="Cambria"/>
        </w:rPr>
        <w:t xml:space="preserve">The financial results over the past three years are included in the Book of Reports (see 14.2). This report provides information about the reasons for significant variations from year to year in a number of income and expenditure areas. </w:t>
      </w:r>
    </w:p>
    <w:p w14:paraId="13D003AF" w14:textId="77777777" w:rsidR="00BA4592" w:rsidRPr="00206BF6" w:rsidRDefault="00BA4592" w:rsidP="00BA4592">
      <w:pPr>
        <w:spacing w:before="120" w:after="120" w:line="240" w:lineRule="auto"/>
        <w:contextualSpacing/>
        <w:rPr>
          <w:rFonts w:ascii="Cambria" w:hAnsi="Cambria"/>
          <w:b/>
          <w:sz w:val="2"/>
        </w:rPr>
      </w:pPr>
    </w:p>
    <w:p w14:paraId="3EFE57F1" w14:textId="4823786F" w:rsidR="00BA4592" w:rsidRPr="009A0DA6" w:rsidRDefault="00BA4592" w:rsidP="00BA4592">
      <w:pPr>
        <w:pStyle w:val="Subtitle"/>
      </w:pPr>
      <w:r w:rsidRPr="009A0DA6">
        <w:t>Income</w:t>
      </w:r>
    </w:p>
    <w:p w14:paraId="3E809C48" w14:textId="5E660640" w:rsidR="00BA4592" w:rsidRPr="009A0DA6" w:rsidRDefault="00BA4592" w:rsidP="00BA4592">
      <w:pPr>
        <w:spacing w:before="120" w:after="120" w:line="240" w:lineRule="auto"/>
        <w:contextualSpacing/>
        <w:rPr>
          <w:rFonts w:ascii="Cambria" w:hAnsi="Cambria"/>
        </w:rPr>
      </w:pPr>
      <w:r w:rsidRPr="009A0DA6">
        <w:rPr>
          <w:rFonts w:ascii="Cambria" w:hAnsi="Cambria"/>
        </w:rPr>
        <w:t>The financial statements shows small changes in income over 2015 to 2017</w:t>
      </w:r>
      <w:r w:rsidR="0027799A" w:rsidRPr="009A0DA6">
        <w:rPr>
          <w:rFonts w:ascii="Cambria" w:hAnsi="Cambria"/>
        </w:rPr>
        <w:t xml:space="preserve">. </w:t>
      </w:r>
      <w:r w:rsidRPr="009A0DA6">
        <w:rPr>
          <w:rFonts w:ascii="Cambria" w:hAnsi="Cambria"/>
        </w:rPr>
        <w:t>This primarily reflects decreases in funds from the districts and the cyclical nature of income related to the triennial General Conventions of Synod</w:t>
      </w:r>
      <w:r w:rsidR="0027799A" w:rsidRPr="009A0DA6">
        <w:rPr>
          <w:rFonts w:ascii="Cambria" w:hAnsi="Cambria"/>
        </w:rPr>
        <w:t xml:space="preserve">. </w:t>
      </w:r>
    </w:p>
    <w:p w14:paraId="15F180DB" w14:textId="77777777" w:rsidR="00BA4592" w:rsidRPr="00975F5B" w:rsidRDefault="00BA4592" w:rsidP="00BA4592">
      <w:pPr>
        <w:spacing w:before="120" w:after="120" w:line="240" w:lineRule="auto"/>
        <w:contextualSpacing/>
        <w:rPr>
          <w:rFonts w:ascii="Cambria" w:hAnsi="Cambria"/>
          <w:sz w:val="12"/>
          <w:u w:val="single"/>
        </w:rPr>
      </w:pPr>
    </w:p>
    <w:p w14:paraId="66F846ED" w14:textId="638C3C48" w:rsidR="00BA4592" w:rsidRPr="009A0DA6" w:rsidRDefault="00BA4592" w:rsidP="00BA4592">
      <w:pPr>
        <w:spacing w:before="120" w:after="120" w:line="240" w:lineRule="auto"/>
        <w:contextualSpacing/>
        <w:rPr>
          <w:rFonts w:ascii="Cambria" w:hAnsi="Cambria"/>
          <w:b/>
        </w:rPr>
      </w:pPr>
      <w:r w:rsidRPr="009A0DA6">
        <w:rPr>
          <w:rFonts w:ascii="Cambria" w:hAnsi="Cambria"/>
          <w:b/>
        </w:rPr>
        <w:t xml:space="preserve">Appeals donations and requests  </w:t>
      </w:r>
    </w:p>
    <w:p w14:paraId="5DC5EAF5" w14:textId="3582791E" w:rsidR="00BA4592" w:rsidRPr="009A0DA6" w:rsidRDefault="00BA4592" w:rsidP="00BA4592">
      <w:pPr>
        <w:spacing w:before="120" w:after="120" w:line="240" w:lineRule="auto"/>
        <w:contextualSpacing/>
        <w:rPr>
          <w:rFonts w:ascii="Cambria" w:hAnsi="Cambria"/>
        </w:rPr>
      </w:pPr>
      <w:r w:rsidRPr="009A0DA6">
        <w:rPr>
          <w:rFonts w:ascii="Cambria" w:hAnsi="Cambria"/>
        </w:rPr>
        <w:t>The main reason for an increase in this income category between 2014 and 2017 is that the LCA received a significant bequest and there was an appeal for the Disaster and Welfare Fund (for the South Australia and Western Australia fires of late 2015)</w:t>
      </w:r>
      <w:r w:rsidR="0027799A" w:rsidRPr="009A0DA6">
        <w:rPr>
          <w:rFonts w:ascii="Cambria" w:hAnsi="Cambria"/>
        </w:rPr>
        <w:t xml:space="preserve">. </w:t>
      </w:r>
      <w:r w:rsidRPr="009A0DA6">
        <w:rPr>
          <w:rFonts w:ascii="Cambria" w:hAnsi="Cambria"/>
        </w:rPr>
        <w:t>There were also additional donations for LCA International Mission over this period.</w:t>
      </w:r>
    </w:p>
    <w:p w14:paraId="4638D07D" w14:textId="77777777" w:rsidR="00BA4592" w:rsidRPr="00975F5B" w:rsidRDefault="00BA4592" w:rsidP="00BA4592">
      <w:pPr>
        <w:spacing w:before="120" w:after="120" w:line="240" w:lineRule="auto"/>
        <w:contextualSpacing/>
        <w:rPr>
          <w:rFonts w:ascii="Cambria" w:hAnsi="Cambria"/>
          <w:sz w:val="12"/>
          <w:u w:val="single"/>
        </w:rPr>
      </w:pPr>
    </w:p>
    <w:p w14:paraId="0CD39252" w14:textId="6CE91E35" w:rsidR="00BA4592" w:rsidRPr="009A0DA6" w:rsidRDefault="00BA4592" w:rsidP="00BA4592">
      <w:pPr>
        <w:spacing w:before="120" w:after="120" w:line="240" w:lineRule="auto"/>
        <w:contextualSpacing/>
        <w:rPr>
          <w:rFonts w:ascii="Cambria" w:hAnsi="Cambria"/>
          <w:b/>
        </w:rPr>
      </w:pPr>
      <w:r w:rsidRPr="009A0DA6">
        <w:rPr>
          <w:rFonts w:ascii="Cambria" w:hAnsi="Cambria"/>
          <w:b/>
        </w:rPr>
        <w:t>Investment income</w:t>
      </w:r>
    </w:p>
    <w:p w14:paraId="2BA11B0C" w14:textId="77777777" w:rsidR="00BA4592" w:rsidRPr="009A0DA6" w:rsidRDefault="00BA4592" w:rsidP="00BA4592">
      <w:pPr>
        <w:spacing w:before="120" w:after="120" w:line="240" w:lineRule="auto"/>
        <w:contextualSpacing/>
        <w:rPr>
          <w:rFonts w:ascii="Cambria" w:hAnsi="Cambria"/>
        </w:rPr>
      </w:pPr>
      <w:r w:rsidRPr="009A0DA6">
        <w:rPr>
          <w:rFonts w:ascii="Cambria" w:hAnsi="Cambria"/>
        </w:rPr>
        <w:t xml:space="preserve">This category primarily consists of interest received from funds held on deposit at the LLL, in line with the current investment policy. The LCA income from this source is lower than previous synodical periods because of a reduction in the interest rate on LLL deposit accounts. </w:t>
      </w:r>
    </w:p>
    <w:p w14:paraId="694360A5" w14:textId="77777777" w:rsidR="00BA4592" w:rsidRPr="00206BF6" w:rsidRDefault="00BA4592" w:rsidP="00BA4592">
      <w:pPr>
        <w:spacing w:before="120" w:after="120" w:line="240" w:lineRule="auto"/>
        <w:contextualSpacing/>
        <w:rPr>
          <w:rFonts w:ascii="Cambria" w:hAnsi="Cambria"/>
          <w:sz w:val="8"/>
          <w:u w:val="single"/>
        </w:rPr>
      </w:pPr>
    </w:p>
    <w:p w14:paraId="5E976B3B" w14:textId="0CA3215B" w:rsidR="00BA4592" w:rsidRPr="009A0DA6" w:rsidRDefault="00BA4592" w:rsidP="00BA4592">
      <w:pPr>
        <w:spacing w:before="120" w:after="120" w:line="240" w:lineRule="auto"/>
        <w:contextualSpacing/>
        <w:rPr>
          <w:rFonts w:ascii="Cambria" w:hAnsi="Cambria"/>
          <w:b/>
        </w:rPr>
      </w:pPr>
      <w:r w:rsidRPr="009A0DA6">
        <w:rPr>
          <w:rFonts w:ascii="Cambria" w:hAnsi="Cambria"/>
          <w:b/>
        </w:rPr>
        <w:t>LCA Group income</w:t>
      </w:r>
    </w:p>
    <w:p w14:paraId="71F9A866" w14:textId="77777777" w:rsidR="00BA4592" w:rsidRPr="009A0DA6" w:rsidRDefault="00BA4592" w:rsidP="00BA4592">
      <w:pPr>
        <w:spacing w:before="120" w:after="120" w:line="240" w:lineRule="auto"/>
        <w:contextualSpacing/>
        <w:rPr>
          <w:rFonts w:ascii="Cambria" w:hAnsi="Cambria"/>
        </w:rPr>
      </w:pPr>
      <w:r w:rsidRPr="009A0DA6">
        <w:rPr>
          <w:rFonts w:ascii="Cambria" w:hAnsi="Cambria"/>
        </w:rPr>
        <w:t>This area of income increased significantly in 2017 compared to 2012 and 2013. The primary reason for this variation is the increase in recorded income from the LLL. In 2014 the LLL income is exaggerated because income received from the LLL in this year included income received for planned expenditure both in the 2014 and 2015 years. This has resulted in a corresponding reduction in LLL income in 2015.</w:t>
      </w:r>
    </w:p>
    <w:p w14:paraId="12B6AB4F" w14:textId="77777777" w:rsidR="00BA4592" w:rsidRPr="00975F5B" w:rsidRDefault="00BA4592" w:rsidP="00BA4592">
      <w:pPr>
        <w:spacing w:before="120" w:after="120" w:line="240" w:lineRule="auto"/>
        <w:contextualSpacing/>
        <w:rPr>
          <w:rFonts w:ascii="Cambria" w:hAnsi="Cambria"/>
          <w:sz w:val="12"/>
        </w:rPr>
      </w:pPr>
    </w:p>
    <w:p w14:paraId="11BE3576" w14:textId="74A28FB6" w:rsidR="00BA4592" w:rsidRPr="009A0DA6" w:rsidRDefault="00BA4592" w:rsidP="00BA4592">
      <w:pPr>
        <w:spacing w:before="120" w:after="120" w:line="240" w:lineRule="auto"/>
        <w:contextualSpacing/>
        <w:rPr>
          <w:rFonts w:ascii="Cambria" w:hAnsi="Cambria"/>
        </w:rPr>
      </w:pPr>
      <w:r w:rsidRPr="009A0DA6">
        <w:rPr>
          <w:rFonts w:ascii="Cambria" w:hAnsi="Cambria"/>
        </w:rPr>
        <w:t xml:space="preserve">District income is also included in this category. The amount transferred from the Districts to the </w:t>
      </w:r>
      <w:r w:rsidR="009B2534" w:rsidRPr="009A0DA6">
        <w:rPr>
          <w:rFonts w:ascii="Cambria" w:hAnsi="Cambria"/>
        </w:rPr>
        <w:t>Churchwide</w:t>
      </w:r>
      <w:r w:rsidRPr="009A0DA6">
        <w:rPr>
          <w:rFonts w:ascii="Cambria" w:hAnsi="Cambria"/>
        </w:rPr>
        <w:t xml:space="preserve"> office has declined over the past three years, after deducting the additional, one-off income amounts received from the LCA NSW District (approximately $330,000 in 2017 and $655,000 in 2016), which came as a tithe on the proceeds of the sale of two District properties</w:t>
      </w:r>
      <w:r w:rsidR="0027799A" w:rsidRPr="009A0DA6">
        <w:rPr>
          <w:rFonts w:ascii="Cambria" w:hAnsi="Cambria"/>
        </w:rPr>
        <w:t xml:space="preserve">. </w:t>
      </w:r>
      <w:r w:rsidRPr="009A0DA6">
        <w:rPr>
          <w:rFonts w:ascii="Cambria" w:hAnsi="Cambria"/>
        </w:rPr>
        <w:t xml:space="preserve">These additional funds have been allocated to specific projects and not for general income. We are very grateful to the LCA NSW District for these special contributions to support the work of the wider </w:t>
      </w:r>
      <w:r w:rsidR="00336CE0" w:rsidRPr="009A0DA6">
        <w:rPr>
          <w:rFonts w:ascii="Cambria" w:hAnsi="Cambria"/>
        </w:rPr>
        <w:t>church</w:t>
      </w:r>
      <w:r w:rsidRPr="009A0DA6">
        <w:rPr>
          <w:rFonts w:ascii="Cambria" w:hAnsi="Cambria"/>
        </w:rPr>
        <w:t>.</w:t>
      </w:r>
    </w:p>
    <w:p w14:paraId="3C7ADA1F" w14:textId="77777777" w:rsidR="00BA4592" w:rsidRPr="00975F5B" w:rsidRDefault="00BA4592" w:rsidP="00BA4592">
      <w:pPr>
        <w:spacing w:before="120" w:after="120" w:line="240" w:lineRule="auto"/>
        <w:contextualSpacing/>
        <w:rPr>
          <w:rFonts w:ascii="Cambria" w:hAnsi="Cambria"/>
          <w:sz w:val="12"/>
        </w:rPr>
      </w:pPr>
    </w:p>
    <w:p w14:paraId="4915B2A1" w14:textId="5A241EFE" w:rsidR="00BA4592" w:rsidRPr="009A0DA6" w:rsidRDefault="00BA4592" w:rsidP="00BA4592">
      <w:pPr>
        <w:spacing w:before="120" w:after="120" w:line="240" w:lineRule="auto"/>
        <w:contextualSpacing/>
        <w:rPr>
          <w:rFonts w:ascii="Cambria" w:hAnsi="Cambria"/>
        </w:rPr>
      </w:pPr>
      <w:r w:rsidRPr="009A0DA6">
        <w:rPr>
          <w:rFonts w:ascii="Cambria" w:hAnsi="Cambria"/>
        </w:rPr>
        <w:t>Changes to the management of the LCA Pastor Transfer and Support Fund now have the costs being directly paid from the LCA rather than through the Districts as has been the case previously. This has contributed to the increase in recorded income in this category</w:t>
      </w:r>
      <w:r w:rsidR="0027799A" w:rsidRPr="009A0DA6">
        <w:rPr>
          <w:rFonts w:ascii="Cambria" w:hAnsi="Cambria"/>
        </w:rPr>
        <w:t xml:space="preserve">. </w:t>
      </w:r>
      <w:r w:rsidRPr="009A0DA6">
        <w:rPr>
          <w:rFonts w:ascii="Cambria" w:hAnsi="Cambria"/>
        </w:rPr>
        <w:t>The Districts are now also forwarding the income to the LCA in the quarter following its receipt in accordance with the rules of the Fund, a process which hasn’t always been strictly followed in the past</w:t>
      </w:r>
      <w:r w:rsidR="0027799A" w:rsidRPr="009A0DA6">
        <w:rPr>
          <w:rFonts w:ascii="Cambria" w:hAnsi="Cambria"/>
        </w:rPr>
        <w:t xml:space="preserve">. </w:t>
      </w:r>
    </w:p>
    <w:p w14:paraId="26F9738F" w14:textId="77777777" w:rsidR="00E93035" w:rsidRPr="00206BF6" w:rsidRDefault="00E93035" w:rsidP="00BA4592">
      <w:pPr>
        <w:spacing w:before="120" w:after="120" w:line="240" w:lineRule="auto"/>
        <w:contextualSpacing/>
        <w:rPr>
          <w:rFonts w:ascii="Cambria" w:hAnsi="Cambria"/>
          <w:b/>
          <w:sz w:val="6"/>
        </w:rPr>
      </w:pPr>
    </w:p>
    <w:p w14:paraId="60729E42" w14:textId="26B5C954" w:rsidR="00BA4592" w:rsidRPr="009A0DA6" w:rsidRDefault="00BA4592" w:rsidP="00BA4592">
      <w:pPr>
        <w:spacing w:before="120" w:after="120" w:line="240" w:lineRule="auto"/>
        <w:contextualSpacing/>
        <w:rPr>
          <w:rFonts w:ascii="Cambria" w:hAnsi="Cambria"/>
          <w:b/>
        </w:rPr>
      </w:pPr>
      <w:r w:rsidRPr="009A0DA6">
        <w:rPr>
          <w:rFonts w:ascii="Cambria" w:hAnsi="Cambria"/>
          <w:b/>
        </w:rPr>
        <w:t>Reimbursements</w:t>
      </w:r>
    </w:p>
    <w:p w14:paraId="282E26AA" w14:textId="77777777" w:rsidR="00BA4592" w:rsidRPr="009A0DA6" w:rsidRDefault="00BA4592" w:rsidP="00BA4592">
      <w:pPr>
        <w:spacing w:before="120" w:after="120" w:line="240" w:lineRule="auto"/>
        <w:contextualSpacing/>
        <w:rPr>
          <w:rFonts w:ascii="Cambria" w:hAnsi="Cambria"/>
        </w:rPr>
      </w:pPr>
      <w:r w:rsidRPr="009A0DA6">
        <w:rPr>
          <w:rFonts w:ascii="Cambria" w:hAnsi="Cambria"/>
        </w:rPr>
        <w:t>This income item fluctuates from year to year depending on the level of expenditure incurred by the LCA and then subsequently reimbursed to it, as well as the reporting periods in which the transactions occur.</w:t>
      </w:r>
    </w:p>
    <w:p w14:paraId="0D8E15B0" w14:textId="48748430" w:rsidR="00BA4592" w:rsidRPr="009A0DA6" w:rsidRDefault="00BA4592" w:rsidP="00BA4592">
      <w:pPr>
        <w:spacing w:before="120" w:after="120" w:line="240" w:lineRule="auto"/>
        <w:contextualSpacing/>
        <w:rPr>
          <w:rFonts w:ascii="Cambria" w:hAnsi="Cambria"/>
          <w:b/>
        </w:rPr>
      </w:pPr>
      <w:r w:rsidRPr="009A0DA6">
        <w:rPr>
          <w:rFonts w:ascii="Cambria" w:hAnsi="Cambria"/>
          <w:b/>
        </w:rPr>
        <w:lastRenderedPageBreak/>
        <w:t>Trading income</w:t>
      </w:r>
    </w:p>
    <w:p w14:paraId="1EE2B0D2" w14:textId="00BBE7D8" w:rsidR="00BA4592" w:rsidRPr="009A0DA6" w:rsidRDefault="00BA4592" w:rsidP="00BA4592">
      <w:pPr>
        <w:spacing w:before="120" w:after="120" w:line="240" w:lineRule="auto"/>
        <w:contextualSpacing/>
        <w:rPr>
          <w:rFonts w:ascii="Cambria" w:hAnsi="Cambria"/>
        </w:rPr>
      </w:pPr>
      <w:r w:rsidRPr="009A0DA6">
        <w:rPr>
          <w:rFonts w:ascii="Cambria" w:hAnsi="Cambria"/>
        </w:rPr>
        <w:t>This records the income for services supplied by LCA entities (</w:t>
      </w:r>
      <w:r w:rsidR="00C3381F" w:rsidRPr="009A0DA6">
        <w:rPr>
          <w:rFonts w:ascii="Cambria" w:hAnsi="Cambria"/>
        </w:rPr>
        <w:t>eg</w:t>
      </w:r>
      <w:r w:rsidRPr="009A0DA6">
        <w:rPr>
          <w:rFonts w:ascii="Cambria" w:hAnsi="Cambria"/>
        </w:rPr>
        <w:t xml:space="preserve"> for training and conferences) to other bodies, such as congregations and parishes and individual members.</w:t>
      </w:r>
    </w:p>
    <w:p w14:paraId="12B4B693" w14:textId="77777777" w:rsidR="00BA4592" w:rsidRPr="00975F5B" w:rsidRDefault="00BA4592" w:rsidP="00BA4592">
      <w:pPr>
        <w:spacing w:before="120" w:after="120" w:line="240" w:lineRule="auto"/>
        <w:contextualSpacing/>
        <w:rPr>
          <w:rFonts w:ascii="Cambria" w:hAnsi="Cambria"/>
          <w:b/>
          <w:sz w:val="6"/>
        </w:rPr>
      </w:pPr>
    </w:p>
    <w:p w14:paraId="79A61E62" w14:textId="4DA6CA89" w:rsidR="00BA4592" w:rsidRPr="009A0DA6" w:rsidRDefault="00BA4592" w:rsidP="00BA4592">
      <w:pPr>
        <w:pStyle w:val="Subtitle"/>
      </w:pPr>
      <w:r w:rsidRPr="009A0DA6">
        <w:t>Expenditure</w:t>
      </w:r>
    </w:p>
    <w:p w14:paraId="74E89B58" w14:textId="77777777" w:rsidR="00BA4592" w:rsidRPr="009A0DA6" w:rsidRDefault="00BA4592" w:rsidP="00BA4592">
      <w:pPr>
        <w:spacing w:before="120" w:after="120" w:line="240" w:lineRule="auto"/>
        <w:contextualSpacing/>
        <w:rPr>
          <w:rFonts w:ascii="Cambria" w:hAnsi="Cambria"/>
        </w:rPr>
      </w:pPr>
      <w:r w:rsidRPr="009A0DA6">
        <w:rPr>
          <w:rFonts w:ascii="Cambria" w:hAnsi="Cambria"/>
        </w:rPr>
        <w:t>LCA expenditure has increased by approximately $1,430,000, or 19% over the three year period.</w:t>
      </w:r>
    </w:p>
    <w:p w14:paraId="03B45563" w14:textId="77777777" w:rsidR="00BA4592" w:rsidRPr="00975F5B" w:rsidRDefault="00BA4592" w:rsidP="00BA4592">
      <w:pPr>
        <w:spacing w:before="120" w:after="120" w:line="240" w:lineRule="auto"/>
        <w:contextualSpacing/>
        <w:rPr>
          <w:rFonts w:ascii="Cambria" w:hAnsi="Cambria"/>
          <w:sz w:val="12"/>
          <w:u w:val="single"/>
        </w:rPr>
      </w:pPr>
    </w:p>
    <w:p w14:paraId="1A9C8804" w14:textId="39CCDFD9" w:rsidR="00BA4592" w:rsidRPr="009A0DA6" w:rsidRDefault="00BA4592" w:rsidP="00BA4592">
      <w:pPr>
        <w:spacing w:before="120" w:after="120" w:line="240" w:lineRule="auto"/>
        <w:contextualSpacing/>
        <w:rPr>
          <w:rFonts w:ascii="Cambria" w:hAnsi="Cambria"/>
          <w:b/>
        </w:rPr>
      </w:pPr>
      <w:r w:rsidRPr="009A0DA6">
        <w:rPr>
          <w:rFonts w:ascii="Cambria" w:hAnsi="Cambria"/>
          <w:b/>
        </w:rPr>
        <w:t>Fixed Assets and Depreciation</w:t>
      </w:r>
    </w:p>
    <w:p w14:paraId="021ABD7A" w14:textId="471F9A4E" w:rsidR="00BA4592" w:rsidRPr="009A0DA6" w:rsidRDefault="00BA4592" w:rsidP="00BA4592">
      <w:pPr>
        <w:spacing w:before="120" w:after="120" w:line="240" w:lineRule="auto"/>
        <w:contextualSpacing/>
        <w:rPr>
          <w:rFonts w:ascii="Cambria" w:hAnsi="Cambria"/>
        </w:rPr>
      </w:pPr>
      <w:r w:rsidRPr="009A0DA6">
        <w:rPr>
          <w:rFonts w:ascii="Cambria" w:hAnsi="Cambria"/>
        </w:rPr>
        <w:t>In the 2015 financial year a review and revaluation of all fixed assets held by the LCA was undertaken</w:t>
      </w:r>
      <w:r w:rsidR="0027799A" w:rsidRPr="009A0DA6">
        <w:rPr>
          <w:rFonts w:ascii="Cambria" w:hAnsi="Cambria"/>
        </w:rPr>
        <w:t xml:space="preserve">. </w:t>
      </w:r>
      <w:r w:rsidRPr="009A0DA6">
        <w:rPr>
          <w:rFonts w:ascii="Cambria" w:hAnsi="Cambria"/>
        </w:rPr>
        <w:t>This took place as part of the introduction of the LCA Fixed Asset and Depreciation Policy</w:t>
      </w:r>
      <w:r w:rsidR="0027799A" w:rsidRPr="009A0DA6">
        <w:rPr>
          <w:rFonts w:ascii="Cambria" w:hAnsi="Cambria"/>
        </w:rPr>
        <w:t xml:space="preserve">. </w:t>
      </w:r>
      <w:r w:rsidRPr="009A0DA6">
        <w:rPr>
          <w:rFonts w:ascii="Cambria" w:hAnsi="Cambria"/>
        </w:rPr>
        <w:t>The result of these actions was a net change to the balance sheet of $405,000 and a depreciation expense in the 2016 and 2017 of $65,000 per year.</w:t>
      </w:r>
    </w:p>
    <w:p w14:paraId="00C962DB" w14:textId="77777777" w:rsidR="00BA4592" w:rsidRPr="00975F5B" w:rsidRDefault="00BA4592" w:rsidP="00BA4592">
      <w:pPr>
        <w:spacing w:before="120" w:after="120" w:line="240" w:lineRule="auto"/>
        <w:contextualSpacing/>
        <w:rPr>
          <w:rFonts w:ascii="Cambria" w:hAnsi="Cambria"/>
          <w:sz w:val="12"/>
          <w:u w:val="single"/>
        </w:rPr>
      </w:pPr>
    </w:p>
    <w:p w14:paraId="56E39163" w14:textId="383C6A5E" w:rsidR="00BA4592" w:rsidRPr="009A0DA6" w:rsidRDefault="00BA4592" w:rsidP="00BA4592">
      <w:pPr>
        <w:spacing w:before="120" w:after="120" w:line="240" w:lineRule="auto"/>
        <w:contextualSpacing/>
        <w:rPr>
          <w:rFonts w:ascii="Cambria" w:hAnsi="Cambria"/>
          <w:b/>
        </w:rPr>
      </w:pPr>
      <w:r w:rsidRPr="009A0DA6">
        <w:rPr>
          <w:rFonts w:ascii="Cambria" w:hAnsi="Cambria"/>
          <w:b/>
        </w:rPr>
        <w:t>Ministry expenses</w:t>
      </w:r>
    </w:p>
    <w:p w14:paraId="734D7947" w14:textId="77777777" w:rsidR="00BA4592" w:rsidRPr="009A0DA6" w:rsidRDefault="00BA4592" w:rsidP="00BA4592">
      <w:pPr>
        <w:spacing w:before="120" w:after="120" w:line="240" w:lineRule="auto"/>
        <w:contextualSpacing/>
        <w:rPr>
          <w:rFonts w:ascii="Cambria" w:hAnsi="Cambria"/>
        </w:rPr>
      </w:pPr>
      <w:r w:rsidRPr="009A0DA6">
        <w:rPr>
          <w:rFonts w:ascii="Cambria" w:hAnsi="Cambria"/>
        </w:rPr>
        <w:t>The main expenditures under this category included support for the work of Finke River Mission, pastors and teachers transfer and support costs (through the LCA Transfer and Support Fund) and the operations of The Lutheran.</w:t>
      </w:r>
    </w:p>
    <w:p w14:paraId="265A479C" w14:textId="77777777" w:rsidR="00BA4592" w:rsidRPr="00975F5B" w:rsidRDefault="00BA4592" w:rsidP="00BA4592">
      <w:pPr>
        <w:spacing w:before="120" w:after="120" w:line="240" w:lineRule="auto"/>
        <w:contextualSpacing/>
        <w:rPr>
          <w:rFonts w:ascii="Cambria" w:hAnsi="Cambria"/>
          <w:sz w:val="12"/>
          <w:u w:val="single"/>
        </w:rPr>
      </w:pPr>
    </w:p>
    <w:p w14:paraId="7E32825D" w14:textId="48E222B5" w:rsidR="00BA4592" w:rsidRPr="009A0DA6" w:rsidRDefault="00BA4592" w:rsidP="00BA4592">
      <w:pPr>
        <w:spacing w:before="120" w:after="120" w:line="240" w:lineRule="auto"/>
        <w:contextualSpacing/>
        <w:rPr>
          <w:rFonts w:ascii="Cambria" w:hAnsi="Cambria"/>
          <w:b/>
        </w:rPr>
      </w:pPr>
      <w:r w:rsidRPr="009A0DA6">
        <w:rPr>
          <w:rFonts w:ascii="Cambria" w:hAnsi="Cambria"/>
          <w:b/>
        </w:rPr>
        <w:t>Project Costs</w:t>
      </w:r>
    </w:p>
    <w:p w14:paraId="72C02770" w14:textId="77777777" w:rsidR="00BA4592" w:rsidRPr="009A0DA6" w:rsidRDefault="00BA4592" w:rsidP="00BA4592">
      <w:pPr>
        <w:spacing w:before="120" w:after="120" w:line="240" w:lineRule="auto"/>
        <w:contextualSpacing/>
        <w:rPr>
          <w:rFonts w:ascii="Cambria" w:hAnsi="Cambria"/>
        </w:rPr>
      </w:pPr>
      <w:r w:rsidRPr="009A0DA6">
        <w:rPr>
          <w:rFonts w:ascii="Cambria" w:hAnsi="Cambria"/>
        </w:rPr>
        <w:t>This category has included the costs of the North Adelaide redevelopment project, Governance and Administration review, the Royal Commission into Institutional Responses to Child Sexual Abuse, LCA Aged Care and Community Services Dialogue, the implementation of Synod resolutions (such as the draft doctrinal statement on the ordination of women and men; prevention of domestic and family violence campaign; and the review of the call system), various ICT projects, the 50.500-related projects and grants, as well as costs associated with General Convention of Synod and General Pastors Conference.</w:t>
      </w:r>
    </w:p>
    <w:p w14:paraId="6E54D669" w14:textId="77777777" w:rsidR="00BA4592" w:rsidRPr="00975F5B" w:rsidRDefault="00BA4592" w:rsidP="00BA4592">
      <w:pPr>
        <w:spacing w:before="120" w:after="120" w:line="240" w:lineRule="auto"/>
        <w:contextualSpacing/>
        <w:rPr>
          <w:rFonts w:ascii="Cambria" w:hAnsi="Cambria"/>
          <w:b/>
          <w:sz w:val="2"/>
        </w:rPr>
      </w:pPr>
    </w:p>
    <w:p w14:paraId="50B5E50E" w14:textId="3601638D" w:rsidR="00BA4592" w:rsidRPr="009A0DA6" w:rsidRDefault="00BA4592" w:rsidP="00BA4592">
      <w:pPr>
        <w:pStyle w:val="Subtitle"/>
      </w:pPr>
      <w:r w:rsidRPr="009A0DA6">
        <w:t>Overall results</w:t>
      </w:r>
    </w:p>
    <w:p w14:paraId="6D211D2E" w14:textId="77777777" w:rsidR="00BA4592" w:rsidRPr="009A0DA6" w:rsidRDefault="00BA4592" w:rsidP="00BA4592">
      <w:pPr>
        <w:spacing w:before="120" w:after="120" w:line="240" w:lineRule="auto"/>
        <w:contextualSpacing/>
        <w:rPr>
          <w:rFonts w:ascii="Cambria" w:hAnsi="Cambria"/>
          <w:i/>
        </w:rPr>
      </w:pPr>
      <w:r w:rsidRPr="009A0DA6">
        <w:rPr>
          <w:rFonts w:ascii="Cambria" w:hAnsi="Cambria"/>
        </w:rPr>
        <w:t>The overall results shows deficits in each year, largely due to draw downs of departments funds through approved spending and because income recognised in one year wasn’t necessarily spent in that year. As outlined in the segment reporting, the LCA National Office reported modest losses in each year, largely due to additional depreciation and lower income for the reasons outlined above. The availability of uncommitted cash reserves improved over the three year period, which has increased the LCA’s capacity to meet its obligations and any unexpected adverse events.</w:t>
      </w:r>
    </w:p>
    <w:p w14:paraId="23ADC9DC" w14:textId="77777777" w:rsidR="00BA4592" w:rsidRPr="00975F5B" w:rsidRDefault="00BA4592" w:rsidP="00BA4592">
      <w:pPr>
        <w:spacing w:before="120" w:after="120" w:line="240" w:lineRule="auto"/>
        <w:contextualSpacing/>
        <w:rPr>
          <w:rFonts w:ascii="Cambria" w:hAnsi="Cambria"/>
          <w:b/>
          <w:sz w:val="2"/>
        </w:rPr>
      </w:pPr>
    </w:p>
    <w:p w14:paraId="2A695869" w14:textId="47B27135" w:rsidR="00BA4592" w:rsidRPr="009A0DA6" w:rsidRDefault="00BA4592" w:rsidP="00BA4592">
      <w:pPr>
        <w:pStyle w:val="Heading3"/>
      </w:pPr>
      <w:r w:rsidRPr="009A0DA6">
        <w:t>Balance Sheet</w:t>
      </w:r>
    </w:p>
    <w:p w14:paraId="267180CC" w14:textId="77777777" w:rsidR="00BA4592" w:rsidRPr="009A0DA6" w:rsidRDefault="00BA4592" w:rsidP="00BA4592">
      <w:pPr>
        <w:spacing w:before="120" w:after="120" w:line="240" w:lineRule="auto"/>
        <w:contextualSpacing/>
        <w:rPr>
          <w:rFonts w:ascii="Cambria" w:hAnsi="Cambria"/>
          <w:b/>
        </w:rPr>
      </w:pPr>
      <w:r w:rsidRPr="009A0DA6">
        <w:rPr>
          <w:rFonts w:ascii="Cambria" w:hAnsi="Cambria"/>
          <w:b/>
        </w:rPr>
        <w:t>Reserves</w:t>
      </w:r>
    </w:p>
    <w:p w14:paraId="6B66E4FA" w14:textId="77777777" w:rsidR="00BA4592" w:rsidRPr="009A0DA6" w:rsidRDefault="00BA4592" w:rsidP="00BA4592">
      <w:pPr>
        <w:spacing w:before="120" w:after="120" w:line="240" w:lineRule="auto"/>
        <w:contextualSpacing/>
        <w:rPr>
          <w:rFonts w:ascii="Cambria" w:hAnsi="Cambria"/>
        </w:rPr>
      </w:pPr>
      <w:r w:rsidRPr="009A0DA6">
        <w:rPr>
          <w:rFonts w:ascii="Cambria" w:hAnsi="Cambria"/>
        </w:rPr>
        <w:t xml:space="preserve">Where income has been recognised in line with the income policy, but has not been fully expended within the reporting period, the balance of the funds is transferred to the appropriate reserve account or into accumulated funds. </w:t>
      </w:r>
    </w:p>
    <w:p w14:paraId="656B46F9" w14:textId="2289AD8C" w:rsidR="00BA4592" w:rsidRPr="009A0DA6" w:rsidRDefault="00BA4592" w:rsidP="00BA4592">
      <w:pPr>
        <w:spacing w:before="120" w:after="120" w:line="240" w:lineRule="auto"/>
        <w:contextualSpacing/>
        <w:rPr>
          <w:rFonts w:ascii="Cambria" w:hAnsi="Cambria"/>
        </w:rPr>
      </w:pPr>
      <w:r w:rsidRPr="00975F5B">
        <w:rPr>
          <w:rFonts w:ascii="Cambria" w:hAnsi="Cambria"/>
          <w:sz w:val="12"/>
        </w:rPr>
        <w:br/>
      </w:r>
      <w:r w:rsidRPr="009A0DA6">
        <w:rPr>
          <w:rFonts w:ascii="Cambria" w:hAnsi="Cambria"/>
        </w:rPr>
        <w:t>This funding is then available to the department for use in future years in accordance with the purposes for which the income was given and thereby ensures that the wishes of the donor is honoured.</w:t>
      </w:r>
    </w:p>
    <w:p w14:paraId="5F8EBDE9" w14:textId="16D38A2F" w:rsidR="00BA4592" w:rsidRPr="009A0DA6" w:rsidRDefault="00BA4592" w:rsidP="00BA4592">
      <w:pPr>
        <w:spacing w:before="120" w:after="120" w:line="240" w:lineRule="auto"/>
        <w:contextualSpacing/>
        <w:rPr>
          <w:rFonts w:ascii="Cambria" w:hAnsi="Cambria"/>
        </w:rPr>
      </w:pPr>
      <w:r w:rsidRPr="00975F5B">
        <w:rPr>
          <w:rFonts w:ascii="Cambria" w:hAnsi="Cambria"/>
          <w:sz w:val="12"/>
        </w:rPr>
        <w:br/>
      </w:r>
      <w:r w:rsidRPr="009A0DA6">
        <w:rPr>
          <w:rFonts w:ascii="Cambria" w:hAnsi="Cambria"/>
        </w:rPr>
        <w:t>A comprehensive review of the reserve accounts has been undertaken in this synodical term and it is expected this task will be completed early in the next synodical term.</w:t>
      </w:r>
    </w:p>
    <w:p w14:paraId="02186C5D" w14:textId="4AD2F8D5" w:rsidR="00BA4592" w:rsidRDefault="00BA4592" w:rsidP="00BA4592">
      <w:pPr>
        <w:spacing w:before="120" w:after="120" w:line="240" w:lineRule="auto"/>
        <w:contextualSpacing/>
        <w:rPr>
          <w:rFonts w:ascii="Cambria" w:hAnsi="Cambria"/>
        </w:rPr>
      </w:pPr>
      <w:r w:rsidRPr="009A0DA6">
        <w:rPr>
          <w:rFonts w:ascii="Cambria" w:hAnsi="Cambria"/>
        </w:rPr>
        <w:t>The FAR also reviewed the all of the LCA’s bank accounts and a number were identified as no longer serving a purpose and were closed</w:t>
      </w:r>
      <w:r w:rsidR="0027799A" w:rsidRPr="009A0DA6">
        <w:rPr>
          <w:rFonts w:ascii="Cambria" w:hAnsi="Cambria"/>
        </w:rPr>
        <w:t xml:space="preserve">. </w:t>
      </w:r>
      <w:r w:rsidRPr="009A0DA6">
        <w:rPr>
          <w:rFonts w:ascii="Cambria" w:hAnsi="Cambria"/>
        </w:rPr>
        <w:t xml:space="preserve">The balance of the funds in these accounts were transferred to the appropriate department to be used according to their intended purpose. </w:t>
      </w:r>
    </w:p>
    <w:p w14:paraId="1AA0F2F3" w14:textId="77777777" w:rsidR="00E93035" w:rsidRPr="00206BF6" w:rsidRDefault="00E93035" w:rsidP="00BA4592">
      <w:pPr>
        <w:spacing w:before="120" w:after="120" w:line="240" w:lineRule="auto"/>
        <w:contextualSpacing/>
        <w:rPr>
          <w:rFonts w:ascii="Cambria" w:hAnsi="Cambria"/>
          <w:sz w:val="8"/>
        </w:rPr>
      </w:pPr>
    </w:p>
    <w:p w14:paraId="7E01E1A8" w14:textId="20ED35D6" w:rsidR="00BA4592" w:rsidRPr="009A0DA6" w:rsidRDefault="00BA4592" w:rsidP="00BA4592">
      <w:pPr>
        <w:spacing w:before="120" w:after="120" w:line="240" w:lineRule="auto"/>
        <w:contextualSpacing/>
        <w:rPr>
          <w:rFonts w:ascii="Cambria" w:hAnsi="Cambria"/>
          <w:b/>
        </w:rPr>
      </w:pPr>
      <w:r w:rsidRPr="009A0DA6">
        <w:rPr>
          <w:rFonts w:ascii="Cambria" w:hAnsi="Cambria"/>
          <w:b/>
        </w:rPr>
        <w:t>LCA Property companies</w:t>
      </w:r>
    </w:p>
    <w:p w14:paraId="293ADAE1" w14:textId="3FD015ED" w:rsidR="00BA4592" w:rsidRDefault="00BA4592" w:rsidP="00BA4592">
      <w:pPr>
        <w:spacing w:before="120" w:after="120" w:line="240" w:lineRule="auto"/>
        <w:contextualSpacing/>
        <w:rPr>
          <w:rFonts w:ascii="Cambria" w:hAnsi="Cambria"/>
        </w:rPr>
      </w:pPr>
      <w:r w:rsidRPr="009A0DA6">
        <w:rPr>
          <w:rFonts w:ascii="Cambria" w:hAnsi="Cambria"/>
        </w:rPr>
        <w:t>In 2004 three companies limited by guarantee were established to hold the land and buildings owned by LCA</w:t>
      </w:r>
      <w:r w:rsidR="0027799A" w:rsidRPr="009A0DA6">
        <w:rPr>
          <w:rFonts w:ascii="Cambria" w:hAnsi="Cambria"/>
        </w:rPr>
        <w:t xml:space="preserve">. </w:t>
      </w:r>
      <w:r w:rsidRPr="009A0DA6">
        <w:rPr>
          <w:rFonts w:ascii="Cambria" w:hAnsi="Cambria"/>
        </w:rPr>
        <w:t xml:space="preserve">The LCA auditor advised the FAR Committee that these companies </w:t>
      </w:r>
      <w:r w:rsidRPr="009A0DA6">
        <w:rPr>
          <w:rFonts w:ascii="Cambria" w:hAnsi="Cambria"/>
        </w:rPr>
        <w:lastRenderedPageBreak/>
        <w:t>were not set up as charities and therefore were subject to taxation, stamp duty and other costs</w:t>
      </w:r>
      <w:r w:rsidR="0027799A" w:rsidRPr="009A0DA6">
        <w:rPr>
          <w:rFonts w:ascii="Cambria" w:hAnsi="Cambria"/>
        </w:rPr>
        <w:t xml:space="preserve">. </w:t>
      </w:r>
      <w:r w:rsidRPr="009A0DA6">
        <w:rPr>
          <w:rFonts w:ascii="Cambria" w:hAnsi="Cambria"/>
        </w:rPr>
        <w:t>A review found that none of the companies had accrued any liabilities since inception. They were all subsequently registered as charities in 2015 and are now operating as intended.</w:t>
      </w:r>
    </w:p>
    <w:p w14:paraId="2CE60203" w14:textId="77777777" w:rsidR="001A730F" w:rsidRPr="009A0DA6" w:rsidRDefault="001A730F" w:rsidP="00BA4592">
      <w:pPr>
        <w:spacing w:before="120" w:after="120" w:line="240" w:lineRule="auto"/>
        <w:contextualSpacing/>
        <w:rPr>
          <w:rFonts w:ascii="Cambria" w:hAnsi="Cambria"/>
        </w:rPr>
      </w:pPr>
    </w:p>
    <w:p w14:paraId="51EBA30F" w14:textId="58C2CE40" w:rsidR="00BA4592" w:rsidRPr="009A0DA6" w:rsidRDefault="00BA4592" w:rsidP="00BA4592">
      <w:pPr>
        <w:spacing w:before="120" w:after="120" w:line="240" w:lineRule="auto"/>
        <w:contextualSpacing/>
        <w:rPr>
          <w:rFonts w:ascii="Cambria" w:hAnsi="Cambria"/>
        </w:rPr>
      </w:pPr>
      <w:r w:rsidRPr="009A0DA6">
        <w:rPr>
          <w:rFonts w:ascii="Cambria" w:hAnsi="Cambria"/>
        </w:rPr>
        <w:t>The rental income and operational costs of each company are received and paid for by the company</w:t>
      </w:r>
      <w:r w:rsidR="0027799A" w:rsidRPr="009A0DA6">
        <w:rPr>
          <w:rFonts w:ascii="Cambria" w:hAnsi="Cambria"/>
        </w:rPr>
        <w:t xml:space="preserve">. </w:t>
      </w:r>
    </w:p>
    <w:p w14:paraId="1B3FF7FD" w14:textId="77777777" w:rsidR="00BA4592" w:rsidRPr="00975F5B" w:rsidRDefault="00BA4592" w:rsidP="00BA4592">
      <w:pPr>
        <w:spacing w:before="120" w:after="120" w:line="240" w:lineRule="auto"/>
        <w:contextualSpacing/>
        <w:rPr>
          <w:rFonts w:ascii="Cambria" w:hAnsi="Cambria"/>
          <w:b/>
          <w:sz w:val="6"/>
        </w:rPr>
      </w:pPr>
    </w:p>
    <w:p w14:paraId="57DB4E90" w14:textId="7272053D" w:rsidR="00BA4592" w:rsidRPr="009A0DA6" w:rsidRDefault="00BA4592" w:rsidP="00BA4592">
      <w:pPr>
        <w:pStyle w:val="Heading3"/>
      </w:pPr>
      <w:r w:rsidRPr="009A0DA6">
        <w:t>Summary of allocation of income from Districts</w:t>
      </w:r>
    </w:p>
    <w:p w14:paraId="1361DB88" w14:textId="77777777" w:rsidR="00BA4592" w:rsidRPr="009A0DA6" w:rsidRDefault="00BA4592" w:rsidP="00BA4592">
      <w:pPr>
        <w:spacing w:before="120" w:after="120" w:line="240" w:lineRule="auto"/>
        <w:contextualSpacing/>
        <w:rPr>
          <w:rFonts w:ascii="Cambria" w:hAnsi="Cambria" w:cstheme="minorHAnsi"/>
        </w:rPr>
      </w:pPr>
      <w:r w:rsidRPr="009A0DA6">
        <w:rPr>
          <w:rFonts w:ascii="Cambria" w:hAnsi="Cambria" w:cstheme="minorHAnsi"/>
        </w:rPr>
        <w:t xml:space="preserve">The income from the congregations and parishes is derived from two main sources, as follows: </w:t>
      </w:r>
    </w:p>
    <w:p w14:paraId="2C2FB57E" w14:textId="77777777" w:rsidR="00BA4592" w:rsidRPr="009A0DA6" w:rsidRDefault="00BA4592" w:rsidP="00BA4592">
      <w:pPr>
        <w:tabs>
          <w:tab w:val="center" w:pos="4394"/>
          <w:tab w:val="right" w:pos="6095"/>
          <w:tab w:val="right" w:pos="7371"/>
          <w:tab w:val="right" w:pos="8647"/>
        </w:tabs>
        <w:spacing w:before="120" w:after="120" w:line="240" w:lineRule="auto"/>
        <w:ind w:right="-329"/>
        <w:contextualSpacing/>
        <w:rPr>
          <w:rFonts w:ascii="Cambria" w:hAnsi="Cambria" w:cstheme="minorHAnsi"/>
        </w:rPr>
      </w:pPr>
      <w:r w:rsidRPr="009A0DA6">
        <w:rPr>
          <w:rFonts w:ascii="Cambria" w:hAnsi="Cambria" w:cstheme="minorHAnsi"/>
        </w:rPr>
        <w:tab/>
      </w:r>
      <w:r w:rsidRPr="009A0DA6">
        <w:rPr>
          <w:rFonts w:ascii="Cambria" w:hAnsi="Cambria" w:cstheme="minorHAnsi"/>
        </w:rPr>
        <w:tab/>
        <w:t>2017</w:t>
      </w:r>
      <w:r w:rsidRPr="009A0DA6">
        <w:rPr>
          <w:rFonts w:ascii="Cambria" w:hAnsi="Cambria" w:cstheme="minorHAnsi"/>
        </w:rPr>
        <w:tab/>
        <w:t>2016</w:t>
      </w:r>
      <w:r w:rsidRPr="009A0DA6">
        <w:rPr>
          <w:rFonts w:ascii="Cambria" w:hAnsi="Cambria" w:cstheme="minorHAnsi"/>
        </w:rPr>
        <w:tab/>
        <w:t>2015</w:t>
      </w:r>
    </w:p>
    <w:p w14:paraId="3D526862" w14:textId="77777777" w:rsidR="00BA4592" w:rsidRPr="009A0DA6" w:rsidRDefault="00BA4592" w:rsidP="00BA4592">
      <w:pPr>
        <w:tabs>
          <w:tab w:val="center" w:pos="4394"/>
          <w:tab w:val="right" w:pos="6095"/>
          <w:tab w:val="right" w:pos="7371"/>
          <w:tab w:val="right" w:pos="8647"/>
        </w:tabs>
        <w:spacing w:before="120" w:after="120" w:line="240" w:lineRule="auto"/>
        <w:ind w:right="-329"/>
        <w:contextualSpacing/>
        <w:rPr>
          <w:rFonts w:ascii="Cambria" w:eastAsia="Times New Roman" w:hAnsi="Cambria" w:cstheme="minorHAnsi"/>
        </w:rPr>
      </w:pPr>
      <w:r w:rsidRPr="009A0DA6">
        <w:rPr>
          <w:rFonts w:ascii="Cambria" w:eastAsia="Times New Roman" w:hAnsi="Cambria" w:cstheme="minorHAnsi"/>
          <w:spacing w:val="1"/>
        </w:rPr>
        <w:t>I</w:t>
      </w:r>
      <w:r w:rsidRPr="009A0DA6">
        <w:rPr>
          <w:rFonts w:ascii="Cambria" w:eastAsia="Times New Roman" w:hAnsi="Cambria" w:cstheme="minorHAnsi"/>
          <w:spacing w:val="-1"/>
        </w:rPr>
        <w:t>n</w:t>
      </w:r>
      <w:r w:rsidRPr="009A0DA6">
        <w:rPr>
          <w:rFonts w:ascii="Cambria" w:eastAsia="Times New Roman" w:hAnsi="Cambria" w:cstheme="minorHAnsi"/>
        </w:rPr>
        <w:t>c</w:t>
      </w:r>
      <w:r w:rsidRPr="009A0DA6">
        <w:rPr>
          <w:rFonts w:ascii="Cambria" w:eastAsia="Times New Roman" w:hAnsi="Cambria" w:cstheme="minorHAnsi"/>
          <w:spacing w:val="4"/>
        </w:rPr>
        <w:t>o</w:t>
      </w:r>
      <w:r w:rsidRPr="009A0DA6">
        <w:rPr>
          <w:rFonts w:ascii="Cambria" w:eastAsia="Times New Roman" w:hAnsi="Cambria" w:cstheme="minorHAnsi"/>
          <w:spacing w:val="-4"/>
        </w:rPr>
        <w:t>m</w:t>
      </w:r>
      <w:r w:rsidRPr="009A0DA6">
        <w:rPr>
          <w:rFonts w:ascii="Cambria" w:eastAsia="Times New Roman" w:hAnsi="Cambria" w:cstheme="minorHAnsi"/>
        </w:rPr>
        <w:t>e</w:t>
      </w:r>
      <w:r w:rsidRPr="009A0DA6">
        <w:rPr>
          <w:rFonts w:ascii="Cambria" w:eastAsia="Times New Roman" w:hAnsi="Cambria" w:cstheme="minorHAnsi"/>
          <w:spacing w:val="-5"/>
        </w:rPr>
        <w:t xml:space="preserve"> </w:t>
      </w:r>
      <w:r w:rsidRPr="009A0DA6">
        <w:rPr>
          <w:rFonts w:ascii="Cambria" w:eastAsia="Times New Roman" w:hAnsi="Cambria" w:cstheme="minorHAnsi"/>
          <w:spacing w:val="-1"/>
        </w:rPr>
        <w:t>via</w:t>
      </w:r>
      <w:r w:rsidRPr="009A0DA6">
        <w:rPr>
          <w:rFonts w:ascii="Cambria" w:eastAsia="Times New Roman" w:hAnsi="Cambria" w:cstheme="minorHAnsi"/>
          <w:spacing w:val="-5"/>
        </w:rPr>
        <w:t xml:space="preserve"> </w:t>
      </w:r>
      <w:r w:rsidRPr="009A0DA6">
        <w:rPr>
          <w:rFonts w:ascii="Cambria" w:eastAsia="Times New Roman" w:hAnsi="Cambria" w:cstheme="minorHAnsi"/>
        </w:rPr>
        <w:t>Di</w:t>
      </w:r>
      <w:r w:rsidRPr="009A0DA6">
        <w:rPr>
          <w:rFonts w:ascii="Cambria" w:eastAsia="Times New Roman" w:hAnsi="Cambria" w:cstheme="minorHAnsi"/>
          <w:spacing w:val="-1"/>
        </w:rPr>
        <w:t>s</w:t>
      </w:r>
      <w:r w:rsidRPr="009A0DA6">
        <w:rPr>
          <w:rFonts w:ascii="Cambria" w:eastAsia="Times New Roman" w:hAnsi="Cambria" w:cstheme="minorHAnsi"/>
        </w:rPr>
        <w:t>t</w:t>
      </w:r>
      <w:r w:rsidRPr="009A0DA6">
        <w:rPr>
          <w:rFonts w:ascii="Cambria" w:eastAsia="Times New Roman" w:hAnsi="Cambria" w:cstheme="minorHAnsi"/>
          <w:spacing w:val="1"/>
        </w:rPr>
        <w:t>r</w:t>
      </w:r>
      <w:r w:rsidRPr="009A0DA6">
        <w:rPr>
          <w:rFonts w:ascii="Cambria" w:eastAsia="Times New Roman" w:hAnsi="Cambria" w:cstheme="minorHAnsi"/>
        </w:rPr>
        <w:t>i</w:t>
      </w:r>
      <w:r w:rsidRPr="009A0DA6">
        <w:rPr>
          <w:rFonts w:ascii="Cambria" w:eastAsia="Times New Roman" w:hAnsi="Cambria" w:cstheme="minorHAnsi"/>
          <w:spacing w:val="3"/>
        </w:rPr>
        <w:t>c</w:t>
      </w:r>
      <w:r w:rsidRPr="009A0DA6">
        <w:rPr>
          <w:rFonts w:ascii="Cambria" w:eastAsia="Times New Roman" w:hAnsi="Cambria" w:cstheme="minorHAnsi"/>
        </w:rPr>
        <w:t>ts (removing non budget amounts)</w:t>
      </w:r>
      <w:r w:rsidRPr="009A0DA6">
        <w:rPr>
          <w:rFonts w:ascii="Cambria" w:eastAsia="Times New Roman" w:hAnsi="Cambria" w:cstheme="minorHAnsi"/>
        </w:rPr>
        <w:tab/>
      </w:r>
      <w:r w:rsidRPr="009A0DA6">
        <w:rPr>
          <w:rFonts w:ascii="Cambria" w:eastAsia="Times New Roman" w:hAnsi="Cambria" w:cstheme="minorHAnsi"/>
          <w:spacing w:val="1"/>
        </w:rPr>
        <w:t>1625,554</w:t>
      </w:r>
      <w:r w:rsidRPr="009A0DA6">
        <w:rPr>
          <w:rFonts w:ascii="Cambria" w:eastAsia="Times New Roman" w:hAnsi="Cambria" w:cstheme="minorHAnsi"/>
        </w:rPr>
        <w:tab/>
      </w:r>
      <w:r w:rsidRPr="009A0DA6">
        <w:rPr>
          <w:rFonts w:ascii="Cambria" w:eastAsia="Times New Roman" w:hAnsi="Cambria" w:cstheme="minorHAnsi"/>
          <w:spacing w:val="1"/>
        </w:rPr>
        <w:t>1,627,682</w:t>
      </w:r>
      <w:r w:rsidRPr="009A0DA6">
        <w:rPr>
          <w:rFonts w:ascii="Cambria" w:eastAsia="Times New Roman" w:hAnsi="Cambria" w:cstheme="minorHAnsi"/>
        </w:rPr>
        <w:tab/>
        <w:t>1,679,732</w:t>
      </w:r>
    </w:p>
    <w:p w14:paraId="1D7B47A1" w14:textId="77777777" w:rsidR="00BA4592" w:rsidRPr="009A0DA6" w:rsidRDefault="00BA4592" w:rsidP="00BA4592">
      <w:pPr>
        <w:tabs>
          <w:tab w:val="center" w:pos="4394"/>
          <w:tab w:val="right" w:pos="6095"/>
          <w:tab w:val="right" w:pos="7371"/>
          <w:tab w:val="right" w:pos="8647"/>
        </w:tabs>
        <w:spacing w:before="120" w:after="120" w:line="240" w:lineRule="auto"/>
        <w:ind w:right="-329"/>
        <w:contextualSpacing/>
        <w:rPr>
          <w:rFonts w:ascii="Cambria" w:eastAsia="Times New Roman" w:hAnsi="Cambria" w:cstheme="minorHAnsi"/>
        </w:rPr>
      </w:pPr>
      <w:r w:rsidRPr="009A0DA6">
        <w:rPr>
          <w:rFonts w:ascii="Cambria" w:eastAsia="Times New Roman" w:hAnsi="Cambria" w:cstheme="minorHAnsi"/>
          <w:spacing w:val="-2"/>
        </w:rPr>
        <w:t>L</w:t>
      </w:r>
      <w:r w:rsidRPr="009A0DA6">
        <w:rPr>
          <w:rFonts w:ascii="Cambria" w:eastAsia="Times New Roman" w:hAnsi="Cambria" w:cstheme="minorHAnsi"/>
          <w:spacing w:val="2"/>
        </w:rPr>
        <w:t>C</w:t>
      </w:r>
      <w:r w:rsidRPr="009A0DA6">
        <w:rPr>
          <w:rFonts w:ascii="Cambria" w:eastAsia="Times New Roman" w:hAnsi="Cambria" w:cstheme="minorHAnsi"/>
        </w:rPr>
        <w:t>A</w:t>
      </w:r>
      <w:r w:rsidRPr="009A0DA6">
        <w:rPr>
          <w:rFonts w:ascii="Cambria" w:eastAsia="Times New Roman" w:hAnsi="Cambria" w:cstheme="minorHAnsi"/>
          <w:spacing w:val="-3"/>
        </w:rPr>
        <w:t xml:space="preserve"> </w:t>
      </w:r>
      <w:r w:rsidRPr="009A0DA6">
        <w:rPr>
          <w:rFonts w:ascii="Cambria" w:eastAsia="Times New Roman" w:hAnsi="Cambria" w:cstheme="minorHAnsi"/>
          <w:spacing w:val="-2"/>
        </w:rPr>
        <w:t>Funds</w:t>
      </w:r>
      <w:r w:rsidRPr="009A0DA6">
        <w:rPr>
          <w:rFonts w:ascii="Cambria" w:eastAsia="Times New Roman" w:hAnsi="Cambria" w:cstheme="minorHAnsi"/>
          <w:spacing w:val="-5"/>
        </w:rPr>
        <w:t xml:space="preserve"> </w:t>
      </w:r>
      <w:r w:rsidRPr="009A0DA6">
        <w:rPr>
          <w:rFonts w:ascii="Cambria" w:eastAsia="Times New Roman" w:hAnsi="Cambria" w:cstheme="minorHAnsi"/>
          <w:spacing w:val="2"/>
        </w:rPr>
        <w:t>Levy</w:t>
      </w:r>
      <w:r w:rsidRPr="009A0DA6">
        <w:rPr>
          <w:rFonts w:ascii="Cambria" w:eastAsia="Times New Roman" w:hAnsi="Cambria" w:cstheme="minorHAnsi"/>
        </w:rPr>
        <w:tab/>
      </w:r>
      <w:r w:rsidRPr="009A0DA6">
        <w:rPr>
          <w:rFonts w:ascii="Cambria" w:eastAsia="Times New Roman" w:hAnsi="Cambria" w:cstheme="minorHAnsi"/>
        </w:rPr>
        <w:tab/>
      </w:r>
      <w:r w:rsidRPr="009A0DA6">
        <w:rPr>
          <w:rFonts w:ascii="Cambria" w:eastAsia="Times New Roman" w:hAnsi="Cambria" w:cstheme="minorHAnsi"/>
          <w:spacing w:val="1"/>
        </w:rPr>
        <w:t>321,</w:t>
      </w:r>
      <w:r w:rsidRPr="009A0DA6">
        <w:rPr>
          <w:rFonts w:ascii="Cambria" w:eastAsia="Times New Roman" w:hAnsi="Cambria" w:cstheme="minorHAnsi"/>
          <w:spacing w:val="-1"/>
        </w:rPr>
        <w:t>2</w:t>
      </w:r>
      <w:r w:rsidRPr="009A0DA6">
        <w:rPr>
          <w:rFonts w:ascii="Cambria" w:eastAsia="Times New Roman" w:hAnsi="Cambria" w:cstheme="minorHAnsi"/>
          <w:spacing w:val="1"/>
        </w:rPr>
        <w:t>0</w:t>
      </w:r>
      <w:r w:rsidRPr="009A0DA6">
        <w:rPr>
          <w:rFonts w:ascii="Cambria" w:eastAsia="Times New Roman" w:hAnsi="Cambria" w:cstheme="minorHAnsi"/>
        </w:rPr>
        <w:t>0</w:t>
      </w:r>
      <w:r w:rsidRPr="009A0DA6">
        <w:rPr>
          <w:rFonts w:ascii="Cambria" w:eastAsia="Times New Roman" w:hAnsi="Cambria" w:cstheme="minorHAnsi"/>
        </w:rPr>
        <w:tab/>
      </w:r>
      <w:r w:rsidRPr="009A0DA6">
        <w:rPr>
          <w:rFonts w:ascii="Cambria" w:eastAsia="Times New Roman" w:hAnsi="Cambria" w:cstheme="minorHAnsi"/>
          <w:spacing w:val="1"/>
        </w:rPr>
        <w:t>318,</w:t>
      </w:r>
      <w:r w:rsidRPr="009A0DA6">
        <w:rPr>
          <w:rFonts w:ascii="Cambria" w:eastAsia="Times New Roman" w:hAnsi="Cambria" w:cstheme="minorHAnsi"/>
          <w:spacing w:val="-1"/>
        </w:rPr>
        <w:t>0</w:t>
      </w:r>
      <w:r w:rsidRPr="009A0DA6">
        <w:rPr>
          <w:rFonts w:ascii="Cambria" w:eastAsia="Times New Roman" w:hAnsi="Cambria" w:cstheme="minorHAnsi"/>
          <w:spacing w:val="1"/>
        </w:rPr>
        <w:t>0</w:t>
      </w:r>
      <w:r w:rsidRPr="009A0DA6">
        <w:rPr>
          <w:rFonts w:ascii="Cambria" w:eastAsia="Times New Roman" w:hAnsi="Cambria" w:cstheme="minorHAnsi"/>
        </w:rPr>
        <w:t>0</w:t>
      </w:r>
      <w:r w:rsidRPr="009A0DA6">
        <w:rPr>
          <w:rFonts w:ascii="Cambria" w:eastAsia="Times New Roman" w:hAnsi="Cambria" w:cstheme="minorHAnsi"/>
        </w:rPr>
        <w:tab/>
        <w:t>309,000</w:t>
      </w:r>
    </w:p>
    <w:p w14:paraId="1D779EAB" w14:textId="77777777" w:rsidR="00BA4592" w:rsidRPr="009A0DA6" w:rsidRDefault="00BA4592" w:rsidP="00BA4592">
      <w:pPr>
        <w:tabs>
          <w:tab w:val="center" w:pos="4394"/>
          <w:tab w:val="right" w:pos="6095"/>
          <w:tab w:val="right" w:pos="7371"/>
          <w:tab w:val="right" w:pos="8647"/>
        </w:tabs>
        <w:spacing w:before="120" w:after="120" w:line="240" w:lineRule="auto"/>
        <w:ind w:right="-329"/>
        <w:contextualSpacing/>
        <w:rPr>
          <w:rFonts w:ascii="Cambria" w:eastAsia="Times New Roman" w:hAnsi="Cambria" w:cstheme="minorHAnsi"/>
        </w:rPr>
      </w:pPr>
      <w:r w:rsidRPr="009A0DA6">
        <w:rPr>
          <w:rFonts w:ascii="Cambria" w:eastAsia="Times New Roman" w:hAnsi="Cambria" w:cstheme="minorHAnsi"/>
        </w:rPr>
        <w:t>Total contribution to LCA</w:t>
      </w:r>
      <w:r w:rsidRPr="009A0DA6">
        <w:rPr>
          <w:rFonts w:ascii="Cambria" w:eastAsia="Times New Roman" w:hAnsi="Cambria" w:cstheme="minorHAnsi"/>
        </w:rPr>
        <w:tab/>
      </w:r>
      <w:r w:rsidRPr="009A0DA6">
        <w:rPr>
          <w:rFonts w:ascii="Cambria" w:eastAsia="Times New Roman" w:hAnsi="Cambria" w:cstheme="minorHAnsi"/>
        </w:rPr>
        <w:tab/>
        <w:t>1,946,554</w:t>
      </w:r>
      <w:r w:rsidRPr="009A0DA6">
        <w:rPr>
          <w:rFonts w:ascii="Cambria" w:eastAsia="Times New Roman" w:hAnsi="Cambria" w:cstheme="minorHAnsi"/>
        </w:rPr>
        <w:tab/>
        <w:t>1,945,682</w:t>
      </w:r>
      <w:r w:rsidRPr="009A0DA6">
        <w:rPr>
          <w:rFonts w:ascii="Cambria" w:eastAsia="Times New Roman" w:hAnsi="Cambria" w:cstheme="minorHAnsi"/>
        </w:rPr>
        <w:tab/>
        <w:t>1,988,732</w:t>
      </w:r>
    </w:p>
    <w:p w14:paraId="110EBBEC" w14:textId="77777777" w:rsidR="00BA4592" w:rsidRPr="00206BF6" w:rsidRDefault="00BA4592" w:rsidP="00BA4592">
      <w:pPr>
        <w:tabs>
          <w:tab w:val="center" w:pos="4394"/>
          <w:tab w:val="right" w:pos="6095"/>
          <w:tab w:val="right" w:pos="7371"/>
          <w:tab w:val="right" w:pos="8647"/>
        </w:tabs>
        <w:spacing w:before="120" w:after="120" w:line="240" w:lineRule="auto"/>
        <w:ind w:right="-329"/>
        <w:contextualSpacing/>
        <w:rPr>
          <w:rFonts w:ascii="Cambria" w:eastAsia="Times New Roman" w:hAnsi="Cambria" w:cstheme="minorHAnsi"/>
          <w:sz w:val="14"/>
        </w:rPr>
      </w:pPr>
    </w:p>
    <w:p w14:paraId="7D4C103E" w14:textId="77777777" w:rsidR="00BA4592" w:rsidRPr="009A0DA6" w:rsidRDefault="00BA4592" w:rsidP="00206BF6">
      <w:pPr>
        <w:spacing w:after="0" w:line="240" w:lineRule="auto"/>
        <w:contextualSpacing/>
        <w:rPr>
          <w:rFonts w:ascii="Cambria" w:eastAsiaTheme="minorEastAsia" w:hAnsi="Cambria" w:cstheme="minorHAnsi"/>
        </w:rPr>
      </w:pPr>
      <w:r w:rsidRPr="009A0DA6">
        <w:rPr>
          <w:rFonts w:ascii="Cambria" w:hAnsi="Cambria" w:cstheme="minorHAnsi"/>
        </w:rPr>
        <w:t>This income is allocated to the LCA budget. The top four ministries by amount received from the LCA budget (and therefore where congregation/parish income received through the districts are allocated) are as follows:</w:t>
      </w:r>
    </w:p>
    <w:p w14:paraId="6A180D9C" w14:textId="77777777" w:rsidR="00BA4592" w:rsidRPr="009A0DA6" w:rsidRDefault="00BA4592" w:rsidP="00206BF6">
      <w:pPr>
        <w:pStyle w:val="ListParagraph"/>
        <w:numPr>
          <w:ilvl w:val="0"/>
          <w:numId w:val="273"/>
        </w:numPr>
        <w:spacing w:after="0" w:line="240" w:lineRule="auto"/>
        <w:ind w:left="567" w:hanging="567"/>
        <w:rPr>
          <w:rFonts w:ascii="Cambria" w:hAnsi="Cambria" w:cstheme="minorHAnsi"/>
        </w:rPr>
      </w:pPr>
      <w:r w:rsidRPr="009A0DA6">
        <w:rPr>
          <w:rFonts w:ascii="Cambria" w:hAnsi="Cambria" w:cstheme="minorHAnsi"/>
        </w:rPr>
        <w:t>Australian Lutheran College ($1,425,000 in 2017)</w:t>
      </w:r>
    </w:p>
    <w:p w14:paraId="37CF19E0" w14:textId="77777777" w:rsidR="00BA4592" w:rsidRPr="009A0DA6" w:rsidRDefault="00BA4592" w:rsidP="00206BF6">
      <w:pPr>
        <w:pStyle w:val="ListParagraph"/>
        <w:numPr>
          <w:ilvl w:val="0"/>
          <w:numId w:val="273"/>
        </w:numPr>
        <w:spacing w:after="0" w:line="240" w:lineRule="auto"/>
        <w:ind w:left="567" w:hanging="567"/>
        <w:rPr>
          <w:rFonts w:ascii="Cambria" w:hAnsi="Cambria" w:cstheme="minorHAnsi"/>
        </w:rPr>
      </w:pPr>
      <w:r w:rsidRPr="009A0DA6">
        <w:rPr>
          <w:rFonts w:ascii="Cambria" w:hAnsi="Cambria" w:cstheme="minorHAnsi"/>
        </w:rPr>
        <w:t>International Mission ($500,000 in 2017)</w:t>
      </w:r>
    </w:p>
    <w:p w14:paraId="1F20780D" w14:textId="77777777" w:rsidR="00BA4592" w:rsidRPr="009A0DA6" w:rsidRDefault="00BA4592" w:rsidP="00F55252">
      <w:pPr>
        <w:pStyle w:val="ListParagraph"/>
        <w:numPr>
          <w:ilvl w:val="0"/>
          <w:numId w:val="273"/>
        </w:numPr>
        <w:spacing w:before="120" w:after="120" w:line="240" w:lineRule="auto"/>
        <w:ind w:left="567" w:hanging="567"/>
        <w:rPr>
          <w:rFonts w:ascii="Cambria" w:hAnsi="Cambria" w:cstheme="minorHAnsi"/>
        </w:rPr>
      </w:pPr>
      <w:r w:rsidRPr="009A0DA6">
        <w:rPr>
          <w:rFonts w:ascii="Cambria" w:hAnsi="Cambria" w:cstheme="minorHAnsi"/>
        </w:rPr>
        <w:t>Lutheran Archives ($163,000 in 2017)</w:t>
      </w:r>
    </w:p>
    <w:p w14:paraId="3BAA3DC0" w14:textId="77777777" w:rsidR="00BA4592" w:rsidRPr="009A0DA6" w:rsidRDefault="00BA4592" w:rsidP="00F55252">
      <w:pPr>
        <w:pStyle w:val="ListParagraph"/>
        <w:numPr>
          <w:ilvl w:val="0"/>
          <w:numId w:val="273"/>
        </w:numPr>
        <w:spacing w:before="120" w:after="120" w:line="240" w:lineRule="auto"/>
        <w:ind w:left="567" w:hanging="567"/>
        <w:rPr>
          <w:rFonts w:ascii="Cambria" w:hAnsi="Cambria" w:cstheme="minorHAnsi"/>
        </w:rPr>
      </w:pPr>
      <w:r w:rsidRPr="009A0DA6">
        <w:rPr>
          <w:rFonts w:ascii="Cambria" w:hAnsi="Cambria" w:cstheme="minorHAnsi"/>
        </w:rPr>
        <w:t>Finke River Mission ($180,000 in 2017)</w:t>
      </w:r>
    </w:p>
    <w:p w14:paraId="0D0FBCFB" w14:textId="77777777" w:rsidR="00BA4592" w:rsidRPr="009A0DA6" w:rsidRDefault="00BA4592" w:rsidP="00206BF6">
      <w:pPr>
        <w:spacing w:after="0" w:line="240" w:lineRule="auto"/>
        <w:contextualSpacing/>
        <w:rPr>
          <w:rFonts w:ascii="Cambria" w:hAnsi="Cambria" w:cstheme="minorHAnsi"/>
        </w:rPr>
      </w:pPr>
      <w:r w:rsidRPr="009A0DA6">
        <w:rPr>
          <w:rFonts w:ascii="Cambria" w:hAnsi="Cambria" w:cstheme="minorHAnsi"/>
        </w:rPr>
        <w:t>The LCA budget must also meet the following expenditure areas:</w:t>
      </w:r>
    </w:p>
    <w:p w14:paraId="2FD18E93" w14:textId="77777777" w:rsidR="00BA4592" w:rsidRPr="009A0DA6" w:rsidRDefault="00BA4592" w:rsidP="00206BF6">
      <w:pPr>
        <w:pStyle w:val="ListParagraph"/>
        <w:numPr>
          <w:ilvl w:val="0"/>
          <w:numId w:val="273"/>
        </w:numPr>
        <w:spacing w:after="0" w:line="240" w:lineRule="auto"/>
        <w:ind w:left="567" w:hanging="567"/>
        <w:rPr>
          <w:rFonts w:ascii="Cambria" w:hAnsi="Cambria" w:cstheme="minorHAnsi"/>
        </w:rPr>
      </w:pPr>
      <w:r w:rsidRPr="009A0DA6">
        <w:rPr>
          <w:rFonts w:ascii="Cambria" w:hAnsi="Cambria" w:cstheme="minorHAnsi"/>
        </w:rPr>
        <w:t>National Office direct costs (including reception and building)</w:t>
      </w:r>
    </w:p>
    <w:p w14:paraId="15576962" w14:textId="77777777" w:rsidR="00BA4592" w:rsidRPr="009A0DA6" w:rsidRDefault="00BA4592" w:rsidP="00F55252">
      <w:pPr>
        <w:pStyle w:val="ListParagraph"/>
        <w:numPr>
          <w:ilvl w:val="0"/>
          <w:numId w:val="273"/>
        </w:numPr>
        <w:spacing w:before="120" w:after="120" w:line="240" w:lineRule="auto"/>
        <w:ind w:left="567" w:hanging="567"/>
        <w:rPr>
          <w:rFonts w:ascii="Cambria" w:hAnsi="Cambria" w:cstheme="minorHAnsi"/>
        </w:rPr>
      </w:pPr>
      <w:r w:rsidRPr="009A0DA6">
        <w:rPr>
          <w:rFonts w:ascii="Cambria" w:hAnsi="Cambria" w:cstheme="minorHAnsi"/>
        </w:rPr>
        <w:t>Office of the Bishop</w:t>
      </w:r>
    </w:p>
    <w:p w14:paraId="55728F1F" w14:textId="77777777" w:rsidR="00BA4592" w:rsidRPr="009A0DA6" w:rsidRDefault="00BA4592" w:rsidP="00F55252">
      <w:pPr>
        <w:pStyle w:val="ListParagraph"/>
        <w:numPr>
          <w:ilvl w:val="0"/>
          <w:numId w:val="273"/>
        </w:numPr>
        <w:spacing w:before="120" w:after="120" w:line="240" w:lineRule="auto"/>
        <w:ind w:left="567" w:hanging="567"/>
        <w:rPr>
          <w:rFonts w:ascii="Cambria" w:hAnsi="Cambria" w:cstheme="minorHAnsi"/>
        </w:rPr>
      </w:pPr>
      <w:r w:rsidRPr="009A0DA6">
        <w:rPr>
          <w:rFonts w:ascii="Cambria" w:hAnsi="Cambria" w:cstheme="minorHAnsi"/>
        </w:rPr>
        <w:t>Office of the Secretary</w:t>
      </w:r>
    </w:p>
    <w:p w14:paraId="26E96CC8" w14:textId="77777777" w:rsidR="00BA4592" w:rsidRPr="009A0DA6" w:rsidRDefault="00BA4592" w:rsidP="00BA4592">
      <w:pPr>
        <w:spacing w:before="120" w:after="120" w:line="240" w:lineRule="auto"/>
        <w:contextualSpacing/>
        <w:rPr>
          <w:rFonts w:ascii="Cambria" w:hAnsi="Cambria" w:cstheme="minorHAnsi"/>
        </w:rPr>
      </w:pPr>
      <w:r w:rsidRPr="009A0DA6">
        <w:rPr>
          <w:rFonts w:ascii="Cambria" w:hAnsi="Cambria" w:cstheme="minorHAnsi"/>
        </w:rPr>
        <w:t xml:space="preserve">As this indicates, and the graphs below illustrate, the District income primarily supports but is not enough to fully meet, the expenditure for these four ministry areas. The shortfall is therefore met by way of ‘other income’ derived from a number of sources, most of which are described above. </w:t>
      </w:r>
    </w:p>
    <w:p w14:paraId="2777672E" w14:textId="77777777" w:rsidR="00491DC4" w:rsidRDefault="00BA4592" w:rsidP="00BA4592">
      <w:pPr>
        <w:spacing w:before="120" w:after="120" w:line="240" w:lineRule="auto"/>
        <w:contextualSpacing/>
        <w:rPr>
          <w:rFonts w:ascii="Cambria" w:hAnsi="Cambria" w:cstheme="minorHAnsi"/>
          <w:noProof/>
          <w:lang w:eastAsia="en-AU"/>
        </w:rPr>
      </w:pPr>
      <w:r w:rsidRPr="00975F5B">
        <w:rPr>
          <w:rFonts w:ascii="Cambria" w:hAnsi="Cambria" w:cstheme="minorHAnsi"/>
          <w:sz w:val="12"/>
        </w:rPr>
        <w:br/>
      </w:r>
      <w:r w:rsidRPr="009A0DA6">
        <w:rPr>
          <w:rFonts w:ascii="Cambria" w:hAnsi="Cambria" w:cstheme="minorHAnsi"/>
        </w:rPr>
        <w:t>A key ongoing task for the FAR Committee is to explore options for a sustainable funding model, in cooperation with the ministries supported by the LCA, and all those bodies that support the work of the church.</w:t>
      </w:r>
      <w:r w:rsidR="00696058" w:rsidRPr="00696058">
        <w:rPr>
          <w:rFonts w:ascii="Cambria" w:hAnsi="Cambria" w:cstheme="minorHAnsi"/>
          <w:noProof/>
          <w:lang w:eastAsia="en-AU"/>
        </w:rPr>
        <w:t xml:space="preserve"> </w:t>
      </w:r>
    </w:p>
    <w:p w14:paraId="63FF0A4C" w14:textId="1757ACBD" w:rsidR="00BA4592" w:rsidRDefault="00206BF6" w:rsidP="00491DC4">
      <w:pPr>
        <w:spacing w:before="120" w:after="120" w:line="240" w:lineRule="auto"/>
        <w:contextualSpacing/>
        <w:jc w:val="center"/>
        <w:rPr>
          <w:rFonts w:ascii="Cambria" w:hAnsi="Cambria" w:cstheme="minorHAnsi"/>
        </w:rPr>
      </w:pPr>
      <w:r>
        <w:rPr>
          <w:rFonts w:ascii="Cambria" w:hAnsi="Cambria" w:cstheme="minorHAnsi"/>
          <w:noProof/>
          <w:lang w:eastAsia="en-AU"/>
        </w:rPr>
        <w:drawing>
          <wp:inline distT="0" distB="0" distL="0" distR="0" wp14:anchorId="198A9911" wp14:editId="6D52EA13">
            <wp:extent cx="5733778" cy="335735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1">
                      <a:extLst>
                        <a:ext uri="{28A0092B-C50C-407E-A947-70E740481C1C}">
                          <a14:useLocalDpi xmlns:a14="http://schemas.microsoft.com/office/drawing/2010/main" val="0"/>
                        </a:ext>
                      </a:extLst>
                    </a:blip>
                    <a:srcRect l="5618" t="1613" r="1191" b="4395"/>
                    <a:stretch/>
                  </pic:blipFill>
                  <pic:spPr bwMode="auto">
                    <a:xfrm>
                      <a:off x="0" y="0"/>
                      <a:ext cx="5768871" cy="3377898"/>
                    </a:xfrm>
                    <a:prstGeom prst="rect">
                      <a:avLst/>
                    </a:prstGeom>
                    <a:noFill/>
                    <a:ln>
                      <a:noFill/>
                    </a:ln>
                    <a:extLst>
                      <a:ext uri="{53640926-AAD7-44D8-BBD7-CCE9431645EC}">
                        <a14:shadowObscured xmlns:a14="http://schemas.microsoft.com/office/drawing/2010/main"/>
                      </a:ext>
                    </a:extLst>
                  </pic:spPr>
                </pic:pic>
              </a:graphicData>
            </a:graphic>
          </wp:inline>
        </w:drawing>
      </w:r>
    </w:p>
    <w:p w14:paraId="5A71A9C1" w14:textId="15F98716" w:rsidR="00E93035" w:rsidRPr="009A0DA6" w:rsidRDefault="00E93035" w:rsidP="00491DC4">
      <w:pPr>
        <w:spacing w:before="120" w:after="120" w:line="240" w:lineRule="auto"/>
        <w:contextualSpacing/>
        <w:jc w:val="center"/>
        <w:rPr>
          <w:rFonts w:ascii="Cambria" w:hAnsi="Cambria" w:cstheme="minorHAnsi"/>
        </w:rPr>
      </w:pPr>
    </w:p>
    <w:p w14:paraId="16E1CC80" w14:textId="77777777" w:rsidR="00BA4592" w:rsidRPr="009A0DA6" w:rsidRDefault="00BA4592" w:rsidP="00BA4592">
      <w:pPr>
        <w:pStyle w:val="Heading3"/>
      </w:pPr>
      <w:r w:rsidRPr="009A0DA6">
        <w:rPr>
          <w:rFonts w:cs="Arial"/>
        </w:rPr>
        <w:t>LLL Funding</w:t>
      </w:r>
      <w:r w:rsidRPr="009A0DA6">
        <w:tab/>
      </w:r>
      <w:r w:rsidRPr="009A0DA6">
        <w:tab/>
      </w:r>
    </w:p>
    <w:p w14:paraId="3B7730BA" w14:textId="50AF88AD" w:rsidR="00BA4592" w:rsidRPr="009A0DA6" w:rsidRDefault="00BA4592" w:rsidP="00BA4592">
      <w:pPr>
        <w:pStyle w:val="NoSpacing"/>
        <w:ind w:left="4320" w:firstLine="720"/>
        <w:rPr>
          <w:b/>
        </w:rPr>
      </w:pPr>
      <w:r w:rsidRPr="009A0DA6">
        <w:rPr>
          <w:b/>
        </w:rPr>
        <w:t xml:space="preserve">  2017</w:t>
      </w:r>
      <w:r w:rsidRPr="009A0DA6">
        <w:rPr>
          <w:b/>
        </w:rPr>
        <w:tab/>
      </w:r>
      <w:r w:rsidRPr="009A0DA6">
        <w:rPr>
          <w:b/>
        </w:rPr>
        <w:tab/>
        <w:t xml:space="preserve">  2016</w:t>
      </w:r>
      <w:r w:rsidRPr="009A0DA6">
        <w:rPr>
          <w:b/>
        </w:rPr>
        <w:tab/>
      </w:r>
      <w:r w:rsidRPr="009A0DA6">
        <w:rPr>
          <w:b/>
        </w:rPr>
        <w:tab/>
        <w:t xml:space="preserve">  2015</w:t>
      </w:r>
    </w:p>
    <w:p w14:paraId="669520B7" w14:textId="77777777" w:rsidR="00BA4592" w:rsidRPr="009A0DA6" w:rsidRDefault="00BA4592" w:rsidP="00BA4592">
      <w:pPr>
        <w:tabs>
          <w:tab w:val="right" w:pos="9072"/>
        </w:tabs>
        <w:spacing w:before="120" w:after="120" w:line="240" w:lineRule="auto"/>
        <w:ind w:right="-329"/>
        <w:contextualSpacing/>
        <w:rPr>
          <w:rFonts w:ascii="Cambria" w:hAnsi="Cambria" w:cstheme="minorHAnsi"/>
        </w:rPr>
      </w:pPr>
      <w:r w:rsidRPr="009A0DA6">
        <w:rPr>
          <w:rFonts w:ascii="Cambria" w:hAnsi="Cambria" w:cstheme="minorHAnsi"/>
        </w:rPr>
        <w:tab/>
        <w:t>(Year of allocation; funds are spent the years following)</w:t>
      </w:r>
    </w:p>
    <w:p w14:paraId="021501D3" w14:textId="77777777" w:rsidR="00BA4592" w:rsidRPr="009A0DA6" w:rsidRDefault="00BA4592" w:rsidP="00BA4592">
      <w:pPr>
        <w:tabs>
          <w:tab w:val="center" w:pos="4536"/>
          <w:tab w:val="right" w:pos="5954"/>
          <w:tab w:val="right" w:pos="7371"/>
          <w:tab w:val="right" w:pos="8789"/>
        </w:tabs>
        <w:spacing w:before="120" w:after="120" w:line="240" w:lineRule="auto"/>
        <w:ind w:right="-329"/>
        <w:contextualSpacing/>
        <w:rPr>
          <w:rFonts w:ascii="Cambria" w:hAnsi="Cambria" w:cs="Arial"/>
          <w:b/>
        </w:rPr>
      </w:pPr>
      <w:r w:rsidRPr="009A0DA6">
        <w:rPr>
          <w:rFonts w:ascii="Cambria" w:hAnsi="Cambria" w:cs="Arial"/>
          <w:b/>
        </w:rPr>
        <w:t>LLL grant funding:</w:t>
      </w:r>
      <w:r w:rsidRPr="009A0DA6">
        <w:rPr>
          <w:rFonts w:ascii="Cambria" w:hAnsi="Cambria" w:cstheme="minorHAnsi"/>
          <w:b/>
        </w:rPr>
        <w:t xml:space="preserve"> </w:t>
      </w:r>
      <w:r w:rsidRPr="009A0DA6">
        <w:rPr>
          <w:rFonts w:ascii="Cambria" w:hAnsi="Cambria" w:cs="Arial"/>
          <w:b/>
        </w:rPr>
        <w:tab/>
      </w:r>
      <w:r w:rsidRPr="009A0DA6">
        <w:rPr>
          <w:rFonts w:ascii="Cambria" w:hAnsi="Cambria" w:cs="Arial"/>
          <w:b/>
        </w:rPr>
        <w:tab/>
        <w:t>1,716,000</w:t>
      </w:r>
      <w:r w:rsidRPr="009A0DA6">
        <w:rPr>
          <w:rFonts w:ascii="Cambria" w:hAnsi="Cambria" w:cs="Arial"/>
          <w:b/>
        </w:rPr>
        <w:tab/>
        <w:t>1,670,000</w:t>
      </w:r>
      <w:r w:rsidRPr="009A0DA6">
        <w:rPr>
          <w:rFonts w:ascii="Cambria" w:hAnsi="Cambria" w:cs="Arial"/>
          <w:b/>
        </w:rPr>
        <w:tab/>
        <w:t>1,475,000</w:t>
      </w:r>
    </w:p>
    <w:p w14:paraId="7AF399FF" w14:textId="77777777" w:rsidR="00BA4592" w:rsidRPr="009A0DA6" w:rsidRDefault="00BA4592" w:rsidP="00BA4592">
      <w:pPr>
        <w:tabs>
          <w:tab w:val="center" w:pos="4536"/>
          <w:tab w:val="right" w:pos="5954"/>
          <w:tab w:val="right" w:pos="7371"/>
          <w:tab w:val="right" w:pos="8789"/>
        </w:tabs>
        <w:spacing w:before="120" w:after="120" w:line="240" w:lineRule="auto"/>
        <w:contextualSpacing/>
        <w:rPr>
          <w:rFonts w:ascii="Cambria" w:hAnsi="Cambria" w:cs="Arial"/>
        </w:rPr>
      </w:pPr>
      <w:r w:rsidRPr="009A0DA6">
        <w:rPr>
          <w:rFonts w:ascii="Cambria" w:hAnsi="Cambria" w:cs="Arial"/>
        </w:rPr>
        <w:t>LCA Department allocations:</w:t>
      </w:r>
    </w:p>
    <w:p w14:paraId="6E67BB21" w14:textId="77777777" w:rsidR="00BA4592" w:rsidRPr="009A0DA6" w:rsidRDefault="00BA4592" w:rsidP="00BA4592">
      <w:pPr>
        <w:tabs>
          <w:tab w:val="center" w:pos="4536"/>
          <w:tab w:val="right" w:pos="5954"/>
          <w:tab w:val="right" w:pos="7371"/>
          <w:tab w:val="right" w:pos="8789"/>
        </w:tabs>
        <w:spacing w:before="120" w:after="120" w:line="240" w:lineRule="auto"/>
        <w:contextualSpacing/>
        <w:rPr>
          <w:rFonts w:ascii="Cambria" w:hAnsi="Cambria" w:cs="Arial"/>
        </w:rPr>
      </w:pPr>
      <w:r w:rsidRPr="009A0DA6">
        <w:rPr>
          <w:rFonts w:ascii="Cambria" w:hAnsi="Cambria" w:cs="Arial"/>
        </w:rPr>
        <w:t>Child Youth and Family Ministries</w:t>
      </w:r>
      <w:r w:rsidRPr="009A0DA6">
        <w:rPr>
          <w:rFonts w:ascii="Cambria" w:hAnsi="Cambria" w:cs="Arial"/>
        </w:rPr>
        <w:tab/>
      </w:r>
      <w:r w:rsidRPr="009A0DA6">
        <w:rPr>
          <w:rFonts w:ascii="Cambria" w:hAnsi="Cambria" w:cs="Arial"/>
        </w:rPr>
        <w:tab/>
        <w:t>256,000</w:t>
      </w:r>
      <w:r w:rsidRPr="009A0DA6">
        <w:rPr>
          <w:rFonts w:ascii="Cambria" w:hAnsi="Cambria" w:cs="Arial"/>
        </w:rPr>
        <w:tab/>
        <w:t>240,000</w:t>
      </w:r>
      <w:r w:rsidRPr="009A0DA6">
        <w:rPr>
          <w:rFonts w:ascii="Cambria" w:hAnsi="Cambria" w:cs="Arial"/>
        </w:rPr>
        <w:tab/>
        <w:t>226,000</w:t>
      </w:r>
    </w:p>
    <w:p w14:paraId="1C82DCB3" w14:textId="77777777" w:rsidR="00BA4592" w:rsidRPr="009A0DA6" w:rsidRDefault="00BA4592" w:rsidP="00BA4592">
      <w:pPr>
        <w:tabs>
          <w:tab w:val="center" w:pos="4536"/>
          <w:tab w:val="right" w:pos="5954"/>
          <w:tab w:val="right" w:pos="7371"/>
          <w:tab w:val="right" w:pos="8789"/>
        </w:tabs>
        <w:spacing w:before="120" w:after="120" w:line="240" w:lineRule="auto"/>
        <w:contextualSpacing/>
        <w:rPr>
          <w:rFonts w:ascii="Cambria" w:hAnsi="Cambria" w:cs="Arial"/>
        </w:rPr>
      </w:pPr>
      <w:r w:rsidRPr="009A0DA6">
        <w:rPr>
          <w:rFonts w:ascii="Cambria" w:hAnsi="Cambria" w:cs="Arial"/>
        </w:rPr>
        <w:t>Assistant to the Bishop - Reconciliation Ministries</w:t>
      </w:r>
      <w:r w:rsidRPr="009A0DA6">
        <w:rPr>
          <w:rFonts w:ascii="Cambria" w:hAnsi="Cambria" w:cs="Arial"/>
        </w:rPr>
        <w:tab/>
        <w:t>135,000</w:t>
      </w:r>
      <w:r w:rsidRPr="009A0DA6">
        <w:rPr>
          <w:rFonts w:ascii="Cambria" w:hAnsi="Cambria" w:cs="Arial"/>
        </w:rPr>
        <w:tab/>
        <w:t>133,000</w:t>
      </w:r>
      <w:r w:rsidRPr="009A0DA6">
        <w:rPr>
          <w:rFonts w:ascii="Cambria" w:hAnsi="Cambria" w:cs="Arial"/>
        </w:rPr>
        <w:tab/>
        <w:t>138,000</w:t>
      </w:r>
    </w:p>
    <w:p w14:paraId="63596E4E" w14:textId="77777777" w:rsidR="00BA4592" w:rsidRPr="009A0DA6" w:rsidRDefault="00BA4592" w:rsidP="00BA4592">
      <w:pPr>
        <w:tabs>
          <w:tab w:val="center" w:pos="4536"/>
          <w:tab w:val="right" w:pos="5954"/>
          <w:tab w:val="right" w:pos="7371"/>
          <w:tab w:val="right" w:pos="8789"/>
        </w:tabs>
        <w:spacing w:before="120" w:after="120" w:line="240" w:lineRule="auto"/>
        <w:contextualSpacing/>
        <w:rPr>
          <w:rFonts w:ascii="Cambria" w:hAnsi="Cambria" w:cs="Arial"/>
        </w:rPr>
      </w:pPr>
      <w:r w:rsidRPr="009A0DA6">
        <w:rPr>
          <w:rFonts w:ascii="Cambria" w:hAnsi="Cambria" w:cs="Arial"/>
        </w:rPr>
        <w:t>Assistant to the Bishop – Public Theology</w:t>
      </w:r>
      <w:r w:rsidRPr="009A0DA6">
        <w:rPr>
          <w:rFonts w:ascii="Cambria" w:hAnsi="Cambria" w:cs="Arial"/>
        </w:rPr>
        <w:tab/>
      </w:r>
      <w:r w:rsidRPr="009A0DA6">
        <w:rPr>
          <w:rFonts w:ascii="Cambria" w:hAnsi="Cambria" w:cs="Arial"/>
        </w:rPr>
        <w:tab/>
        <w:t>60,000</w:t>
      </w:r>
      <w:r w:rsidRPr="009A0DA6">
        <w:rPr>
          <w:rFonts w:ascii="Cambria" w:hAnsi="Cambria" w:cs="Arial"/>
        </w:rPr>
        <w:tab/>
        <w:t>152,000</w:t>
      </w:r>
      <w:r w:rsidRPr="009A0DA6">
        <w:rPr>
          <w:rFonts w:ascii="Cambria" w:hAnsi="Cambria" w:cs="Arial"/>
        </w:rPr>
        <w:tab/>
        <w:t>0</w:t>
      </w:r>
    </w:p>
    <w:p w14:paraId="78E997C6" w14:textId="77777777" w:rsidR="00BA4592" w:rsidRPr="009A0DA6" w:rsidRDefault="00BA4592" w:rsidP="00BA4592">
      <w:pPr>
        <w:tabs>
          <w:tab w:val="center" w:pos="4536"/>
          <w:tab w:val="right" w:pos="5954"/>
          <w:tab w:val="right" w:pos="7371"/>
          <w:tab w:val="right" w:pos="8789"/>
        </w:tabs>
        <w:spacing w:before="120" w:after="120" w:line="240" w:lineRule="auto"/>
        <w:contextualSpacing/>
        <w:rPr>
          <w:rFonts w:ascii="Cambria" w:hAnsi="Cambria" w:cs="Arial"/>
        </w:rPr>
      </w:pPr>
      <w:r w:rsidRPr="009A0DA6">
        <w:rPr>
          <w:rFonts w:ascii="Cambria" w:hAnsi="Cambria" w:cs="Arial"/>
        </w:rPr>
        <w:t>Cross Cultural Ministry (Formerly Asian Ministry)</w:t>
      </w:r>
      <w:r w:rsidRPr="009A0DA6">
        <w:rPr>
          <w:rFonts w:ascii="Cambria" w:hAnsi="Cambria" w:cs="Arial"/>
        </w:rPr>
        <w:tab/>
        <w:t>125,000</w:t>
      </w:r>
      <w:r w:rsidRPr="009A0DA6">
        <w:rPr>
          <w:rFonts w:ascii="Cambria" w:hAnsi="Cambria" w:cs="Arial"/>
        </w:rPr>
        <w:tab/>
        <w:t>152,000</w:t>
      </w:r>
      <w:r w:rsidRPr="009A0DA6">
        <w:rPr>
          <w:rFonts w:ascii="Cambria" w:hAnsi="Cambria" w:cs="Arial"/>
        </w:rPr>
        <w:tab/>
        <w:t>150,000</w:t>
      </w:r>
    </w:p>
    <w:p w14:paraId="34708748" w14:textId="77777777" w:rsidR="00BA4592" w:rsidRPr="009A0DA6" w:rsidRDefault="00BA4592" w:rsidP="00BA4592">
      <w:pPr>
        <w:tabs>
          <w:tab w:val="center" w:pos="4536"/>
          <w:tab w:val="right" w:pos="5954"/>
          <w:tab w:val="right" w:pos="7371"/>
          <w:tab w:val="right" w:pos="8789"/>
        </w:tabs>
        <w:spacing w:before="120" w:after="120" w:line="240" w:lineRule="auto"/>
        <w:contextualSpacing/>
        <w:rPr>
          <w:rFonts w:ascii="Cambria" w:hAnsi="Cambria" w:cs="Arial"/>
        </w:rPr>
      </w:pPr>
      <w:r w:rsidRPr="009A0DA6">
        <w:rPr>
          <w:rFonts w:ascii="Cambria" w:hAnsi="Cambria" w:cs="Arial"/>
        </w:rPr>
        <w:t>Church Worker Support Department</w:t>
      </w:r>
      <w:r w:rsidRPr="009A0DA6">
        <w:rPr>
          <w:rFonts w:ascii="Cambria" w:hAnsi="Cambria" w:cs="Arial"/>
        </w:rPr>
        <w:tab/>
      </w:r>
      <w:r w:rsidRPr="009A0DA6">
        <w:rPr>
          <w:rFonts w:ascii="Cambria" w:hAnsi="Cambria" w:cs="Arial"/>
        </w:rPr>
        <w:tab/>
        <w:t>219,000</w:t>
      </w:r>
      <w:r w:rsidRPr="009A0DA6">
        <w:rPr>
          <w:rFonts w:ascii="Cambria" w:hAnsi="Cambria" w:cs="Arial"/>
        </w:rPr>
        <w:tab/>
        <w:t>215,000</w:t>
      </w:r>
      <w:r w:rsidRPr="009A0DA6">
        <w:rPr>
          <w:rFonts w:ascii="Cambria" w:hAnsi="Cambria" w:cs="Arial"/>
        </w:rPr>
        <w:tab/>
        <w:t>272,196</w:t>
      </w:r>
    </w:p>
    <w:p w14:paraId="5C02B4D7" w14:textId="77777777" w:rsidR="00BA4592" w:rsidRPr="009A0DA6" w:rsidRDefault="00BA4592" w:rsidP="00BA4592">
      <w:pPr>
        <w:tabs>
          <w:tab w:val="center" w:pos="4536"/>
          <w:tab w:val="right" w:pos="5954"/>
          <w:tab w:val="right" w:pos="7371"/>
          <w:tab w:val="right" w:pos="8789"/>
        </w:tabs>
        <w:spacing w:before="120" w:after="120" w:line="240" w:lineRule="auto"/>
        <w:contextualSpacing/>
        <w:rPr>
          <w:rFonts w:ascii="Cambria" w:hAnsi="Cambria" w:cs="Arial"/>
        </w:rPr>
      </w:pPr>
      <w:r w:rsidRPr="009A0DA6">
        <w:rPr>
          <w:rFonts w:ascii="Cambria" w:hAnsi="Cambria" w:cs="Arial"/>
        </w:rPr>
        <w:t>Communications Department</w:t>
      </w:r>
      <w:r w:rsidRPr="009A0DA6">
        <w:rPr>
          <w:rFonts w:ascii="Cambria" w:hAnsi="Cambria" w:cs="Arial"/>
        </w:rPr>
        <w:tab/>
      </w:r>
      <w:r w:rsidRPr="009A0DA6">
        <w:rPr>
          <w:rFonts w:ascii="Cambria" w:hAnsi="Cambria" w:cs="Arial"/>
        </w:rPr>
        <w:tab/>
        <w:t>100,000</w:t>
      </w:r>
      <w:r w:rsidRPr="009A0DA6">
        <w:rPr>
          <w:rFonts w:ascii="Cambria" w:hAnsi="Cambria" w:cs="Arial"/>
        </w:rPr>
        <w:tab/>
        <w:t>95,000</w:t>
      </w:r>
      <w:r w:rsidRPr="009A0DA6">
        <w:rPr>
          <w:rFonts w:ascii="Cambria" w:hAnsi="Cambria" w:cs="Arial"/>
        </w:rPr>
        <w:tab/>
        <w:t>90,000</w:t>
      </w:r>
    </w:p>
    <w:p w14:paraId="6EE07438" w14:textId="77777777" w:rsidR="00BA4592" w:rsidRPr="009A0DA6" w:rsidRDefault="00BA4592" w:rsidP="00BA4592">
      <w:pPr>
        <w:tabs>
          <w:tab w:val="center" w:pos="4536"/>
          <w:tab w:val="right" w:pos="5954"/>
          <w:tab w:val="right" w:pos="7371"/>
          <w:tab w:val="right" w:pos="8789"/>
        </w:tabs>
        <w:spacing w:before="120" w:after="120" w:line="240" w:lineRule="auto"/>
        <w:contextualSpacing/>
        <w:rPr>
          <w:rFonts w:ascii="Cambria" w:hAnsi="Cambria" w:cs="Arial"/>
        </w:rPr>
      </w:pPr>
      <w:r w:rsidRPr="009A0DA6">
        <w:rPr>
          <w:rFonts w:ascii="Cambria" w:hAnsi="Cambria" w:cs="Arial"/>
        </w:rPr>
        <w:t>Interim Pastors</w:t>
      </w:r>
      <w:r w:rsidRPr="009A0DA6">
        <w:rPr>
          <w:rFonts w:ascii="Cambria" w:hAnsi="Cambria" w:cs="Arial"/>
        </w:rPr>
        <w:tab/>
      </w:r>
      <w:r w:rsidRPr="009A0DA6">
        <w:rPr>
          <w:rFonts w:ascii="Cambria" w:hAnsi="Cambria" w:cs="Arial"/>
        </w:rPr>
        <w:tab/>
        <w:t>50,000</w:t>
      </w:r>
      <w:r w:rsidRPr="009A0DA6">
        <w:rPr>
          <w:rFonts w:ascii="Cambria" w:hAnsi="Cambria" w:cs="Arial"/>
        </w:rPr>
        <w:tab/>
        <w:t>100,000</w:t>
      </w:r>
      <w:r w:rsidRPr="009A0DA6">
        <w:rPr>
          <w:rFonts w:ascii="Cambria" w:hAnsi="Cambria" w:cs="Arial"/>
        </w:rPr>
        <w:tab/>
        <w:t>50,000</w:t>
      </w:r>
    </w:p>
    <w:p w14:paraId="33D77990" w14:textId="77777777" w:rsidR="00BA4592" w:rsidRPr="009A0DA6" w:rsidRDefault="00BA4592" w:rsidP="00BA4592">
      <w:pPr>
        <w:tabs>
          <w:tab w:val="center" w:pos="4536"/>
          <w:tab w:val="right" w:pos="5954"/>
          <w:tab w:val="right" w:pos="7371"/>
          <w:tab w:val="right" w:pos="8789"/>
        </w:tabs>
        <w:spacing w:before="120" w:after="120" w:line="240" w:lineRule="auto"/>
        <w:contextualSpacing/>
        <w:rPr>
          <w:rFonts w:ascii="Cambria" w:hAnsi="Cambria" w:cs="Arial"/>
        </w:rPr>
      </w:pPr>
      <w:r w:rsidRPr="009A0DA6">
        <w:rPr>
          <w:rFonts w:ascii="Cambria" w:hAnsi="Cambria" w:cs="Arial"/>
        </w:rPr>
        <w:t>LCA Projects allocations:</w:t>
      </w:r>
    </w:p>
    <w:p w14:paraId="6C5F4E78" w14:textId="77777777" w:rsidR="00BA4592" w:rsidRPr="009A0DA6" w:rsidRDefault="00BA4592" w:rsidP="00BA4592">
      <w:pPr>
        <w:tabs>
          <w:tab w:val="center" w:pos="4536"/>
          <w:tab w:val="right" w:pos="5954"/>
          <w:tab w:val="right" w:pos="7371"/>
          <w:tab w:val="right" w:pos="8789"/>
        </w:tabs>
        <w:spacing w:before="120" w:after="120" w:line="240" w:lineRule="auto"/>
        <w:contextualSpacing/>
        <w:rPr>
          <w:rFonts w:ascii="Cambria" w:hAnsi="Cambria" w:cs="Arial"/>
        </w:rPr>
      </w:pPr>
      <w:r w:rsidRPr="009A0DA6">
        <w:rPr>
          <w:rFonts w:ascii="Cambria" w:hAnsi="Cambria" w:cs="Arial"/>
        </w:rPr>
        <w:t>Governance review: - implementation</w:t>
      </w:r>
      <w:r w:rsidRPr="009A0DA6">
        <w:rPr>
          <w:rFonts w:ascii="Cambria" w:hAnsi="Cambria" w:cs="Arial"/>
        </w:rPr>
        <w:tab/>
      </w:r>
      <w:r w:rsidRPr="009A0DA6">
        <w:rPr>
          <w:rFonts w:ascii="Cambria" w:hAnsi="Cambria" w:cs="Arial"/>
        </w:rPr>
        <w:tab/>
        <w:t>170,000</w:t>
      </w:r>
      <w:r w:rsidRPr="009A0DA6">
        <w:rPr>
          <w:rFonts w:ascii="Cambria" w:hAnsi="Cambria" w:cs="Arial"/>
        </w:rPr>
        <w:tab/>
        <w:t>80,000</w:t>
      </w:r>
      <w:r w:rsidRPr="009A0DA6">
        <w:rPr>
          <w:rFonts w:ascii="Cambria" w:hAnsi="Cambria" w:cs="Arial"/>
        </w:rPr>
        <w:tab/>
        <w:t>100,000</w:t>
      </w:r>
    </w:p>
    <w:p w14:paraId="1F524489" w14:textId="77777777" w:rsidR="00BA4592" w:rsidRPr="009A0DA6" w:rsidRDefault="00BA4592" w:rsidP="00BA4592">
      <w:pPr>
        <w:tabs>
          <w:tab w:val="center" w:pos="4536"/>
          <w:tab w:val="right" w:pos="5954"/>
          <w:tab w:val="right" w:pos="7371"/>
          <w:tab w:val="right" w:pos="8789"/>
        </w:tabs>
        <w:spacing w:before="120" w:after="120" w:line="240" w:lineRule="auto"/>
        <w:contextualSpacing/>
        <w:rPr>
          <w:rFonts w:ascii="Cambria" w:hAnsi="Cambria" w:cs="Arial"/>
        </w:rPr>
      </w:pPr>
      <w:r w:rsidRPr="009A0DA6">
        <w:rPr>
          <w:rFonts w:ascii="Cambria" w:hAnsi="Cambria" w:cs="Arial"/>
        </w:rPr>
        <w:t>ALC business review and Luther Conference</w:t>
      </w:r>
      <w:r w:rsidRPr="009A0DA6">
        <w:rPr>
          <w:rFonts w:ascii="Cambria" w:hAnsi="Cambria" w:cs="Arial"/>
        </w:rPr>
        <w:tab/>
      </w:r>
      <w:r w:rsidRPr="009A0DA6">
        <w:rPr>
          <w:rFonts w:ascii="Cambria" w:hAnsi="Cambria" w:cs="Arial"/>
        </w:rPr>
        <w:tab/>
        <w:t>0</w:t>
      </w:r>
      <w:r w:rsidRPr="009A0DA6">
        <w:rPr>
          <w:rFonts w:ascii="Cambria" w:hAnsi="Cambria" w:cs="Arial"/>
        </w:rPr>
        <w:tab/>
        <w:t>0</w:t>
      </w:r>
      <w:r w:rsidRPr="009A0DA6">
        <w:rPr>
          <w:rFonts w:ascii="Cambria" w:hAnsi="Cambria" w:cs="Arial"/>
        </w:rPr>
        <w:tab/>
        <w:t>168,250</w:t>
      </w:r>
    </w:p>
    <w:p w14:paraId="321C07D3" w14:textId="77777777" w:rsidR="00BA4592" w:rsidRPr="009A0DA6" w:rsidRDefault="00BA4592" w:rsidP="00BA4592">
      <w:pPr>
        <w:tabs>
          <w:tab w:val="center" w:pos="4536"/>
          <w:tab w:val="right" w:pos="5954"/>
          <w:tab w:val="right" w:pos="7371"/>
          <w:tab w:val="right" w:pos="8789"/>
        </w:tabs>
        <w:spacing w:before="120" w:after="120" w:line="240" w:lineRule="auto"/>
        <w:contextualSpacing/>
        <w:rPr>
          <w:rFonts w:ascii="Cambria" w:hAnsi="Cambria" w:cs="Arial"/>
        </w:rPr>
      </w:pPr>
      <w:r w:rsidRPr="009A0DA6">
        <w:rPr>
          <w:rFonts w:ascii="Cambria" w:hAnsi="Cambria" w:cs="Arial"/>
        </w:rPr>
        <w:t>Local Mission – National Church Life Survey</w:t>
      </w:r>
      <w:r w:rsidRPr="009A0DA6">
        <w:rPr>
          <w:rFonts w:ascii="Cambria" w:hAnsi="Cambria" w:cs="Arial"/>
        </w:rPr>
        <w:tab/>
      </w:r>
      <w:r w:rsidRPr="009A0DA6">
        <w:rPr>
          <w:rFonts w:ascii="Cambria" w:hAnsi="Cambria" w:cs="Arial"/>
        </w:rPr>
        <w:tab/>
        <w:t>0</w:t>
      </w:r>
      <w:r w:rsidRPr="009A0DA6">
        <w:rPr>
          <w:rFonts w:ascii="Cambria" w:hAnsi="Cambria" w:cs="Arial"/>
        </w:rPr>
        <w:tab/>
        <w:t>0</w:t>
      </w:r>
      <w:r w:rsidRPr="009A0DA6">
        <w:rPr>
          <w:rFonts w:ascii="Cambria" w:hAnsi="Cambria" w:cs="Arial"/>
        </w:rPr>
        <w:tab/>
        <w:t>85,000</w:t>
      </w:r>
    </w:p>
    <w:p w14:paraId="7864EB23" w14:textId="77777777" w:rsidR="00BA4592" w:rsidRPr="009A0DA6" w:rsidRDefault="00BA4592" w:rsidP="00BA4592">
      <w:pPr>
        <w:tabs>
          <w:tab w:val="center" w:pos="4536"/>
          <w:tab w:val="right" w:pos="5954"/>
          <w:tab w:val="right" w:pos="7371"/>
          <w:tab w:val="right" w:pos="8789"/>
        </w:tabs>
        <w:spacing w:before="120" w:after="120" w:line="240" w:lineRule="auto"/>
        <w:contextualSpacing/>
        <w:rPr>
          <w:rFonts w:ascii="Cambria" w:hAnsi="Cambria" w:cs="Arial"/>
        </w:rPr>
      </w:pPr>
      <w:r w:rsidRPr="009A0DA6">
        <w:rPr>
          <w:rFonts w:ascii="Cambria" w:hAnsi="Cambria" w:cs="Arial"/>
        </w:rPr>
        <w:t>ALWS – Community Education</w:t>
      </w:r>
      <w:r w:rsidRPr="009A0DA6">
        <w:rPr>
          <w:rFonts w:ascii="Cambria" w:hAnsi="Cambria" w:cs="Arial"/>
        </w:rPr>
        <w:tab/>
      </w:r>
      <w:r w:rsidRPr="009A0DA6">
        <w:rPr>
          <w:rFonts w:ascii="Cambria" w:hAnsi="Cambria" w:cs="Arial"/>
        </w:rPr>
        <w:tab/>
        <w:t>110,000</w:t>
      </w:r>
      <w:r w:rsidRPr="009A0DA6">
        <w:rPr>
          <w:rFonts w:ascii="Cambria" w:hAnsi="Cambria" w:cs="Arial"/>
        </w:rPr>
        <w:tab/>
        <w:t>107,000</w:t>
      </w:r>
      <w:r w:rsidRPr="009A0DA6">
        <w:rPr>
          <w:rFonts w:ascii="Cambria" w:hAnsi="Cambria" w:cs="Arial"/>
        </w:rPr>
        <w:tab/>
        <w:t>75,000</w:t>
      </w:r>
    </w:p>
    <w:p w14:paraId="529D947A" w14:textId="77777777" w:rsidR="00BA4592" w:rsidRPr="009A0DA6" w:rsidRDefault="00BA4592" w:rsidP="00BA4592">
      <w:pPr>
        <w:tabs>
          <w:tab w:val="center" w:pos="4536"/>
          <w:tab w:val="right" w:pos="5954"/>
          <w:tab w:val="right" w:pos="7371"/>
          <w:tab w:val="right" w:pos="8789"/>
        </w:tabs>
        <w:spacing w:before="120" w:after="120" w:line="240" w:lineRule="auto"/>
        <w:contextualSpacing/>
        <w:rPr>
          <w:rFonts w:ascii="Cambria" w:hAnsi="Cambria" w:cs="Arial"/>
        </w:rPr>
      </w:pPr>
      <w:r w:rsidRPr="009A0DA6">
        <w:rPr>
          <w:rFonts w:ascii="Cambria" w:hAnsi="Cambria" w:cs="Arial"/>
        </w:rPr>
        <w:t>Lutheran Bible Translators</w:t>
      </w:r>
      <w:r w:rsidRPr="009A0DA6">
        <w:rPr>
          <w:rFonts w:ascii="Cambria" w:hAnsi="Cambria" w:cs="Arial"/>
        </w:rPr>
        <w:tab/>
      </w:r>
      <w:r w:rsidRPr="009A0DA6">
        <w:rPr>
          <w:rFonts w:ascii="Cambria" w:hAnsi="Cambria" w:cs="Arial"/>
        </w:rPr>
        <w:tab/>
        <w:t>20,000</w:t>
      </w:r>
      <w:r w:rsidRPr="009A0DA6">
        <w:rPr>
          <w:rFonts w:ascii="Cambria" w:hAnsi="Cambria" w:cs="Arial"/>
        </w:rPr>
        <w:tab/>
        <w:t>20,000</w:t>
      </w:r>
      <w:r w:rsidRPr="009A0DA6">
        <w:rPr>
          <w:rFonts w:ascii="Cambria" w:hAnsi="Cambria" w:cs="Arial"/>
        </w:rPr>
        <w:tab/>
        <w:t>20,000</w:t>
      </w:r>
    </w:p>
    <w:p w14:paraId="0255E26B" w14:textId="77777777" w:rsidR="00BA4592" w:rsidRPr="009A0DA6" w:rsidRDefault="00BA4592" w:rsidP="00BA4592">
      <w:pPr>
        <w:tabs>
          <w:tab w:val="center" w:pos="4536"/>
          <w:tab w:val="right" w:pos="5954"/>
          <w:tab w:val="right" w:pos="7371"/>
          <w:tab w:val="right" w:pos="8789"/>
        </w:tabs>
        <w:spacing w:before="120" w:after="120" w:line="240" w:lineRule="auto"/>
        <w:contextualSpacing/>
        <w:rPr>
          <w:rFonts w:ascii="Cambria" w:hAnsi="Cambria" w:cs="Arial"/>
        </w:rPr>
      </w:pPr>
      <w:r w:rsidRPr="009A0DA6">
        <w:rPr>
          <w:rFonts w:ascii="Cambria" w:hAnsi="Cambria" w:cs="Arial"/>
        </w:rPr>
        <w:t>The Lutheran</w:t>
      </w:r>
      <w:r w:rsidRPr="009A0DA6">
        <w:rPr>
          <w:rFonts w:ascii="Cambria" w:hAnsi="Cambria" w:cs="Arial"/>
        </w:rPr>
        <w:tab/>
      </w:r>
      <w:r w:rsidRPr="009A0DA6">
        <w:rPr>
          <w:rFonts w:ascii="Cambria" w:hAnsi="Cambria" w:cs="Arial"/>
        </w:rPr>
        <w:tab/>
        <w:t>20,000</w:t>
      </w:r>
      <w:r w:rsidRPr="009A0DA6">
        <w:rPr>
          <w:rFonts w:ascii="Cambria" w:hAnsi="Cambria" w:cs="Arial"/>
        </w:rPr>
        <w:tab/>
        <w:t>20,000</w:t>
      </w:r>
      <w:r w:rsidRPr="009A0DA6">
        <w:rPr>
          <w:rFonts w:ascii="Cambria" w:hAnsi="Cambria" w:cs="Arial"/>
        </w:rPr>
        <w:tab/>
        <w:t>0</w:t>
      </w:r>
    </w:p>
    <w:p w14:paraId="33DBCB09" w14:textId="77777777" w:rsidR="00BA4592" w:rsidRPr="009A0DA6" w:rsidRDefault="00BA4592" w:rsidP="00BA4592">
      <w:pPr>
        <w:tabs>
          <w:tab w:val="center" w:pos="4536"/>
          <w:tab w:val="right" w:pos="5954"/>
          <w:tab w:val="right" w:pos="7371"/>
          <w:tab w:val="right" w:pos="8789"/>
        </w:tabs>
        <w:spacing w:before="120" w:after="120" w:line="240" w:lineRule="auto"/>
        <w:contextualSpacing/>
        <w:rPr>
          <w:rFonts w:ascii="Cambria" w:hAnsi="Cambria" w:cs="Arial"/>
        </w:rPr>
      </w:pPr>
      <w:r w:rsidRPr="009A0DA6">
        <w:rPr>
          <w:rFonts w:ascii="Cambria" w:hAnsi="Cambria" w:cs="Arial"/>
        </w:rPr>
        <w:t>Convention of Synod</w:t>
      </w:r>
      <w:r w:rsidRPr="009A0DA6">
        <w:rPr>
          <w:rFonts w:ascii="Cambria" w:hAnsi="Cambria" w:cs="Arial"/>
        </w:rPr>
        <w:tab/>
      </w:r>
      <w:r w:rsidRPr="009A0DA6">
        <w:rPr>
          <w:rFonts w:ascii="Cambria" w:hAnsi="Cambria" w:cs="Arial"/>
        </w:rPr>
        <w:tab/>
        <w:t>90,000</w:t>
      </w:r>
      <w:r w:rsidRPr="009A0DA6">
        <w:rPr>
          <w:rFonts w:ascii="Cambria" w:hAnsi="Cambria" w:cs="Arial"/>
        </w:rPr>
        <w:tab/>
        <w:t>0</w:t>
      </w:r>
      <w:r w:rsidRPr="009A0DA6">
        <w:rPr>
          <w:rFonts w:ascii="Cambria" w:hAnsi="Cambria" w:cs="Arial"/>
        </w:rPr>
        <w:tab/>
        <w:t>70,000</w:t>
      </w:r>
    </w:p>
    <w:p w14:paraId="1208D98A" w14:textId="77777777" w:rsidR="00BA4592" w:rsidRPr="009A0DA6" w:rsidRDefault="00BA4592" w:rsidP="00BA4592">
      <w:pPr>
        <w:tabs>
          <w:tab w:val="center" w:pos="4536"/>
          <w:tab w:val="right" w:pos="5954"/>
          <w:tab w:val="right" w:pos="7371"/>
          <w:tab w:val="right" w:pos="8789"/>
        </w:tabs>
        <w:spacing w:before="120" w:after="120" w:line="240" w:lineRule="auto"/>
        <w:contextualSpacing/>
        <w:rPr>
          <w:rFonts w:ascii="Cambria" w:hAnsi="Cambria" w:cs="Arial"/>
        </w:rPr>
      </w:pPr>
      <w:r w:rsidRPr="009A0DA6">
        <w:rPr>
          <w:rFonts w:ascii="Cambria" w:hAnsi="Cambria" w:cs="Arial"/>
        </w:rPr>
        <w:t>Implementation of Synod proposals:</w:t>
      </w:r>
      <w:r w:rsidRPr="009A0DA6">
        <w:rPr>
          <w:rFonts w:ascii="Cambria" w:hAnsi="Cambria" w:cs="Arial"/>
        </w:rPr>
        <w:tab/>
      </w:r>
      <w:r w:rsidRPr="009A0DA6">
        <w:rPr>
          <w:rFonts w:ascii="Cambria" w:hAnsi="Cambria" w:cs="Arial"/>
        </w:rPr>
        <w:tab/>
        <w:t>95,000</w:t>
      </w:r>
      <w:r w:rsidRPr="009A0DA6">
        <w:rPr>
          <w:rFonts w:ascii="Cambria" w:hAnsi="Cambria" w:cs="Arial"/>
        </w:rPr>
        <w:tab/>
        <w:t>155,000</w:t>
      </w:r>
      <w:r w:rsidRPr="009A0DA6">
        <w:rPr>
          <w:rFonts w:ascii="Cambria" w:hAnsi="Cambria" w:cs="Arial"/>
        </w:rPr>
        <w:tab/>
        <w:t>110,604</w:t>
      </w:r>
    </w:p>
    <w:p w14:paraId="788E2F43" w14:textId="77777777" w:rsidR="00BA4592" w:rsidRPr="009A0DA6" w:rsidRDefault="00BA4592" w:rsidP="00BA4592">
      <w:pPr>
        <w:tabs>
          <w:tab w:val="center" w:pos="4536"/>
          <w:tab w:val="right" w:pos="5954"/>
          <w:tab w:val="right" w:pos="7371"/>
          <w:tab w:val="right" w:pos="8789"/>
        </w:tabs>
        <w:spacing w:before="120" w:after="120" w:line="240" w:lineRule="auto"/>
        <w:contextualSpacing/>
        <w:rPr>
          <w:rFonts w:ascii="Cambria" w:hAnsi="Cambria" w:cs="Arial"/>
        </w:rPr>
      </w:pPr>
      <w:r w:rsidRPr="009A0DA6">
        <w:rPr>
          <w:rFonts w:ascii="Cambria" w:hAnsi="Cambria" w:cs="Arial"/>
        </w:rPr>
        <w:t>Accounting project</w:t>
      </w:r>
      <w:r w:rsidRPr="009A0DA6">
        <w:rPr>
          <w:rFonts w:ascii="Cambria" w:hAnsi="Cambria" w:cs="Arial"/>
        </w:rPr>
        <w:tab/>
      </w:r>
      <w:r w:rsidRPr="009A0DA6">
        <w:rPr>
          <w:rFonts w:ascii="Cambria" w:hAnsi="Cambria" w:cs="Arial"/>
        </w:rPr>
        <w:tab/>
        <w:t>186,000</w:t>
      </w:r>
      <w:r w:rsidRPr="009A0DA6">
        <w:rPr>
          <w:rFonts w:ascii="Cambria" w:hAnsi="Cambria" w:cs="Arial"/>
        </w:rPr>
        <w:tab/>
        <w:t>150,000</w:t>
      </w:r>
      <w:r w:rsidRPr="009A0DA6">
        <w:rPr>
          <w:rFonts w:ascii="Cambria" w:hAnsi="Cambria" w:cs="Arial"/>
        </w:rPr>
        <w:tab/>
        <w:t>0</w:t>
      </w:r>
    </w:p>
    <w:p w14:paraId="01B81D06" w14:textId="77777777" w:rsidR="00BA4592" w:rsidRPr="009A0DA6" w:rsidRDefault="00BA4592" w:rsidP="00BA4592">
      <w:pPr>
        <w:tabs>
          <w:tab w:val="center" w:pos="4536"/>
          <w:tab w:val="right" w:pos="5954"/>
          <w:tab w:val="right" w:pos="7371"/>
          <w:tab w:val="right" w:pos="8789"/>
        </w:tabs>
        <w:spacing w:before="120" w:after="120" w:line="240" w:lineRule="auto"/>
        <w:contextualSpacing/>
        <w:rPr>
          <w:rFonts w:ascii="Cambria" w:hAnsi="Cambria" w:cs="Arial"/>
        </w:rPr>
      </w:pPr>
      <w:r w:rsidRPr="009A0DA6">
        <w:rPr>
          <w:rFonts w:ascii="Cambria" w:hAnsi="Cambria" w:cs="Arial"/>
        </w:rPr>
        <w:t>Digitisation of pastor records</w:t>
      </w:r>
      <w:r w:rsidRPr="009A0DA6">
        <w:rPr>
          <w:rFonts w:ascii="Cambria" w:hAnsi="Cambria" w:cs="Arial"/>
        </w:rPr>
        <w:tab/>
      </w:r>
      <w:r w:rsidRPr="009A0DA6">
        <w:rPr>
          <w:rFonts w:ascii="Cambria" w:hAnsi="Cambria" w:cs="Arial"/>
        </w:rPr>
        <w:tab/>
        <w:t>30,000</w:t>
      </w:r>
      <w:r w:rsidRPr="009A0DA6">
        <w:rPr>
          <w:rFonts w:ascii="Cambria" w:hAnsi="Cambria" w:cs="Arial"/>
        </w:rPr>
        <w:tab/>
        <w:t>0</w:t>
      </w:r>
      <w:r w:rsidRPr="009A0DA6">
        <w:rPr>
          <w:rFonts w:ascii="Cambria" w:hAnsi="Cambria" w:cs="Arial"/>
        </w:rPr>
        <w:tab/>
        <w:t>0</w:t>
      </w:r>
    </w:p>
    <w:p w14:paraId="0F3E1014" w14:textId="77777777" w:rsidR="00BA4592" w:rsidRPr="009A0DA6" w:rsidRDefault="00BA4592" w:rsidP="00BA4592">
      <w:pPr>
        <w:tabs>
          <w:tab w:val="center" w:pos="4536"/>
          <w:tab w:val="right" w:pos="5954"/>
          <w:tab w:val="right" w:pos="7371"/>
          <w:tab w:val="right" w:pos="8789"/>
        </w:tabs>
        <w:spacing w:before="120" w:after="120" w:line="240" w:lineRule="auto"/>
        <w:contextualSpacing/>
        <w:rPr>
          <w:rFonts w:ascii="Cambria" w:hAnsi="Cambria" w:cs="Arial"/>
        </w:rPr>
      </w:pPr>
      <w:r w:rsidRPr="009A0DA6">
        <w:rPr>
          <w:rFonts w:ascii="Cambria" w:hAnsi="Cambria" w:cs="Arial"/>
        </w:rPr>
        <w:t>North Adelaide Redevelopment</w:t>
      </w:r>
      <w:r w:rsidRPr="009A0DA6">
        <w:rPr>
          <w:rFonts w:ascii="Cambria" w:hAnsi="Cambria" w:cs="Arial"/>
        </w:rPr>
        <w:tab/>
      </w:r>
      <w:r w:rsidRPr="009A0DA6">
        <w:rPr>
          <w:rFonts w:ascii="Cambria" w:hAnsi="Cambria" w:cs="Arial"/>
        </w:rPr>
        <w:tab/>
        <w:t>50.000</w:t>
      </w:r>
      <w:r w:rsidRPr="009A0DA6">
        <w:rPr>
          <w:rFonts w:ascii="Cambria" w:hAnsi="Cambria" w:cs="Arial"/>
        </w:rPr>
        <w:tab/>
        <w:t>50,000</w:t>
      </w:r>
      <w:r w:rsidRPr="009A0DA6">
        <w:rPr>
          <w:rFonts w:ascii="Cambria" w:hAnsi="Cambria" w:cs="Arial"/>
        </w:rPr>
        <w:tab/>
        <w:t>0</w:t>
      </w:r>
    </w:p>
    <w:p w14:paraId="5AFB78C7" w14:textId="77777777" w:rsidR="00BA4592" w:rsidRPr="009A0DA6" w:rsidRDefault="00BA4592" w:rsidP="00BA4592">
      <w:pPr>
        <w:tabs>
          <w:tab w:val="center" w:pos="4536"/>
          <w:tab w:val="right" w:pos="5954"/>
          <w:tab w:val="right" w:pos="7371"/>
          <w:tab w:val="right" w:pos="8789"/>
        </w:tabs>
        <w:spacing w:before="120" w:after="120" w:line="240" w:lineRule="auto"/>
        <w:contextualSpacing/>
        <w:rPr>
          <w:rFonts w:ascii="Cambria" w:hAnsi="Cambria" w:cs="Arial"/>
        </w:rPr>
      </w:pPr>
    </w:p>
    <w:p w14:paraId="7C554CE5" w14:textId="77777777" w:rsidR="00BA4592" w:rsidRPr="009A0DA6" w:rsidRDefault="00BA4592" w:rsidP="00BA4592">
      <w:pPr>
        <w:tabs>
          <w:tab w:val="center" w:pos="4536"/>
          <w:tab w:val="right" w:pos="5954"/>
          <w:tab w:val="right" w:pos="7371"/>
          <w:tab w:val="right" w:pos="8789"/>
        </w:tabs>
        <w:spacing w:before="120" w:after="120" w:line="240" w:lineRule="auto"/>
        <w:contextualSpacing/>
        <w:rPr>
          <w:rFonts w:ascii="Cambria" w:hAnsi="Cambria" w:cs="Arial"/>
          <w:b/>
        </w:rPr>
      </w:pPr>
      <w:r w:rsidRPr="009A0DA6">
        <w:rPr>
          <w:rFonts w:ascii="Cambria" w:hAnsi="Cambria" w:cs="Arial"/>
          <w:b/>
        </w:rPr>
        <w:t>LLL Permanent fund disbursements</w:t>
      </w:r>
      <w:r w:rsidRPr="009A0DA6">
        <w:rPr>
          <w:rFonts w:ascii="Cambria" w:hAnsi="Cambria" w:cs="Arial"/>
          <w:b/>
        </w:rPr>
        <w:tab/>
      </w:r>
      <w:r w:rsidRPr="009A0DA6">
        <w:rPr>
          <w:rFonts w:ascii="Cambria" w:hAnsi="Cambria" w:cs="Arial"/>
          <w:b/>
        </w:rPr>
        <w:tab/>
        <w:t>1,673,000</w:t>
      </w:r>
      <w:r w:rsidRPr="009A0DA6">
        <w:rPr>
          <w:rFonts w:ascii="Cambria" w:hAnsi="Cambria" w:cs="Arial"/>
          <w:b/>
        </w:rPr>
        <w:tab/>
        <w:t>1,599,000</w:t>
      </w:r>
      <w:r w:rsidRPr="009A0DA6">
        <w:rPr>
          <w:rFonts w:ascii="Cambria" w:hAnsi="Cambria" w:cs="Arial"/>
          <w:b/>
        </w:rPr>
        <w:tab/>
        <w:t>1,852,000</w:t>
      </w:r>
    </w:p>
    <w:p w14:paraId="6F73EEE4" w14:textId="63F88A3F" w:rsidR="00BA4592" w:rsidRPr="009A0DA6" w:rsidRDefault="00BA4592" w:rsidP="00BA4592">
      <w:pPr>
        <w:tabs>
          <w:tab w:val="center" w:pos="4536"/>
          <w:tab w:val="right" w:pos="5954"/>
          <w:tab w:val="right" w:pos="7371"/>
          <w:tab w:val="right" w:pos="8789"/>
        </w:tabs>
        <w:spacing w:before="120" w:after="120" w:line="240" w:lineRule="auto"/>
        <w:contextualSpacing/>
        <w:rPr>
          <w:rFonts w:ascii="Cambria" w:hAnsi="Cambria" w:cs="Arial"/>
          <w:b/>
        </w:rPr>
      </w:pPr>
      <w:r w:rsidRPr="009A0DA6">
        <w:rPr>
          <w:rFonts w:ascii="Cambria" w:hAnsi="Cambria" w:cs="Arial"/>
          <w:b/>
        </w:rPr>
        <w:t>LLL special gifts</w:t>
      </w:r>
      <w:r w:rsidRPr="009A0DA6">
        <w:rPr>
          <w:rFonts w:ascii="Cambria" w:hAnsi="Cambria" w:cs="Arial"/>
          <w:b/>
        </w:rPr>
        <w:tab/>
      </w:r>
      <w:r w:rsidRPr="009A0DA6">
        <w:rPr>
          <w:rFonts w:ascii="Cambria" w:hAnsi="Cambria" w:cs="Arial"/>
          <w:b/>
        </w:rPr>
        <w:tab/>
        <w:t>885,000</w:t>
      </w:r>
      <w:r w:rsidRPr="009A0DA6">
        <w:rPr>
          <w:rFonts w:ascii="Cambria" w:hAnsi="Cambria" w:cs="Arial"/>
          <w:b/>
        </w:rPr>
        <w:tab/>
        <w:t>325,000</w:t>
      </w:r>
      <w:r w:rsidRPr="009A0DA6">
        <w:rPr>
          <w:rFonts w:ascii="Cambria" w:hAnsi="Cambria" w:cs="Arial"/>
          <w:b/>
        </w:rPr>
        <w:tab/>
        <w:t>325,000</w:t>
      </w:r>
    </w:p>
    <w:p w14:paraId="50DC6DA0" w14:textId="33C1C4EA" w:rsidR="000B779B" w:rsidRDefault="000B779B" w:rsidP="00BA4592">
      <w:pPr>
        <w:tabs>
          <w:tab w:val="center" w:pos="4536"/>
          <w:tab w:val="right" w:pos="5954"/>
          <w:tab w:val="right" w:pos="7371"/>
          <w:tab w:val="right" w:pos="8789"/>
        </w:tabs>
        <w:spacing w:before="120" w:after="120" w:line="240" w:lineRule="auto"/>
        <w:contextualSpacing/>
        <w:rPr>
          <w:rFonts w:ascii="Cambria" w:hAnsi="Cambria" w:cs="Arial"/>
          <w:b/>
        </w:rPr>
      </w:pPr>
    </w:p>
    <w:p w14:paraId="2BAC066C" w14:textId="017F26AB" w:rsidR="00975F5B" w:rsidRDefault="00975F5B" w:rsidP="00BA4592">
      <w:pPr>
        <w:tabs>
          <w:tab w:val="center" w:pos="4536"/>
          <w:tab w:val="right" w:pos="5954"/>
          <w:tab w:val="right" w:pos="7371"/>
          <w:tab w:val="right" w:pos="8789"/>
        </w:tabs>
        <w:spacing w:before="120" w:after="120" w:line="240" w:lineRule="auto"/>
        <w:contextualSpacing/>
        <w:rPr>
          <w:rFonts w:ascii="Cambria" w:hAnsi="Cambria" w:cs="Arial"/>
          <w:b/>
        </w:rPr>
      </w:pPr>
    </w:p>
    <w:p w14:paraId="3089333C" w14:textId="37109610" w:rsidR="00F47478" w:rsidRPr="009A0DA6" w:rsidRDefault="00BA4592" w:rsidP="00975F5B">
      <w:pPr>
        <w:pStyle w:val="Heading3"/>
      </w:pPr>
      <w:r w:rsidRPr="009A0DA6">
        <w:br w:type="column"/>
      </w:r>
      <w:r w:rsidR="00F47478" w:rsidRPr="009A0DA6">
        <w:lastRenderedPageBreak/>
        <w:t>agenda 14.2</w:t>
      </w:r>
    </w:p>
    <w:p w14:paraId="1A7F63A9" w14:textId="77777777" w:rsidR="00CE0DB0" w:rsidRPr="009A0DA6" w:rsidRDefault="00CE0DB0" w:rsidP="00F47478">
      <w:pPr>
        <w:pStyle w:val="Heading2"/>
      </w:pPr>
      <w:bookmarkStart w:id="514" w:name="_Toc521954752"/>
      <w:r w:rsidRPr="009A0DA6">
        <w:t>Financial Report: Lutheran Church of Australia I</w:t>
      </w:r>
      <w:r w:rsidR="00F47478" w:rsidRPr="009A0DA6">
        <w:t>n</w:t>
      </w:r>
      <w:r w:rsidRPr="009A0DA6">
        <w:t>c</w:t>
      </w:r>
      <w:bookmarkEnd w:id="514"/>
    </w:p>
    <w:p w14:paraId="241EFC39" w14:textId="77777777" w:rsidR="00CE0DB0" w:rsidRPr="009A0DA6" w:rsidRDefault="00CE0DB0" w:rsidP="00CE0DB0">
      <w:pPr>
        <w:pStyle w:val="NoSpacing"/>
      </w:pPr>
    </w:p>
    <w:p w14:paraId="052D5B0A" w14:textId="74AEC7C1" w:rsidR="00E4168D" w:rsidRPr="009A0DA6" w:rsidRDefault="00E4168D" w:rsidP="00766B14">
      <w:pPr>
        <w:pStyle w:val="NoSpacing"/>
        <w:rPr>
          <w:b/>
        </w:rPr>
      </w:pPr>
      <w:r w:rsidRPr="009A0DA6">
        <w:rPr>
          <w:b/>
        </w:rPr>
        <w:t xml:space="preserve">SPECIAL PURPOSE FINANCIAL REPORT </w:t>
      </w:r>
    </w:p>
    <w:p w14:paraId="380A4F99" w14:textId="75D04DE4" w:rsidR="00E4168D" w:rsidRPr="009A0DA6" w:rsidRDefault="00E4168D" w:rsidP="00E4168D">
      <w:pPr>
        <w:pStyle w:val="NoSpacing"/>
        <w:rPr>
          <w:b/>
          <w:sz w:val="12"/>
        </w:rPr>
      </w:pPr>
      <w:r w:rsidRPr="009A0DA6">
        <w:rPr>
          <w:b/>
          <w:sz w:val="2"/>
          <w:szCs w:val="2"/>
        </w:rPr>
        <w:br/>
      </w:r>
      <w:r w:rsidRPr="009A0DA6">
        <w:rPr>
          <w:b/>
        </w:rPr>
        <w:t xml:space="preserve">FOR THE </w:t>
      </w:r>
      <w:r w:rsidR="00FF7E8B">
        <w:rPr>
          <w:b/>
        </w:rPr>
        <w:t>PERIODS</w:t>
      </w:r>
      <w:r w:rsidRPr="009A0DA6">
        <w:rPr>
          <w:b/>
        </w:rPr>
        <w:t xml:space="preserve"> ENDED 31 DECEMBER 2015 to 2017</w:t>
      </w:r>
      <w:r w:rsidRPr="009A0DA6">
        <w:rPr>
          <w:b/>
        </w:rPr>
        <w:br/>
      </w:r>
    </w:p>
    <w:p w14:paraId="701677EC" w14:textId="77777777" w:rsidR="00BA4592" w:rsidRPr="009A0DA6" w:rsidRDefault="00BA4592" w:rsidP="00BA4592">
      <w:pPr>
        <w:pStyle w:val="Subtitle"/>
        <w:rPr>
          <w:rFonts w:cstheme="minorHAnsi"/>
        </w:rPr>
      </w:pPr>
      <w:r w:rsidRPr="009A0DA6">
        <w:rPr>
          <w:rStyle w:val="Strong"/>
          <w:b/>
          <w:bCs w:val="0"/>
          <w:color w:val="auto"/>
        </w:rPr>
        <w:t>CONTENTS</w:t>
      </w:r>
    </w:p>
    <w:p w14:paraId="29039006" w14:textId="77777777" w:rsidR="00BA4592" w:rsidRPr="009A0DA6" w:rsidRDefault="00BA4592" w:rsidP="00BA4592">
      <w:pPr>
        <w:spacing w:before="120" w:after="120" w:line="240" w:lineRule="auto"/>
        <w:ind w:right="-49"/>
        <w:contextualSpacing/>
        <w:rPr>
          <w:rFonts w:ascii="Cambria" w:hAnsi="Cambria" w:cstheme="minorHAnsi"/>
        </w:rPr>
      </w:pPr>
      <w:r w:rsidRPr="009A0DA6">
        <w:rPr>
          <w:rFonts w:ascii="Cambria" w:hAnsi="Cambria" w:cstheme="minorHAnsi"/>
        </w:rPr>
        <w:t>Statement by the General Church Council</w:t>
      </w:r>
    </w:p>
    <w:p w14:paraId="08B8F041" w14:textId="77777777" w:rsidR="00BA4592" w:rsidRPr="009A0DA6" w:rsidRDefault="00BA4592" w:rsidP="00BA4592">
      <w:pPr>
        <w:spacing w:before="120" w:after="120" w:line="240" w:lineRule="auto"/>
        <w:ind w:right="-49"/>
        <w:contextualSpacing/>
        <w:rPr>
          <w:rFonts w:ascii="Cambria" w:hAnsi="Cambria" w:cstheme="minorHAnsi"/>
        </w:rPr>
      </w:pPr>
      <w:r w:rsidRPr="009A0DA6">
        <w:rPr>
          <w:rFonts w:ascii="Cambria" w:hAnsi="Cambria" w:cstheme="minorHAnsi"/>
        </w:rPr>
        <w:t>Independent Auditor’s report</w:t>
      </w:r>
    </w:p>
    <w:p w14:paraId="39E59853" w14:textId="77777777" w:rsidR="00BA4592" w:rsidRPr="009A0DA6" w:rsidRDefault="00BA4592" w:rsidP="00BA4592">
      <w:pPr>
        <w:spacing w:before="120" w:after="120" w:line="240" w:lineRule="auto"/>
        <w:ind w:right="-49"/>
        <w:contextualSpacing/>
        <w:rPr>
          <w:rFonts w:ascii="Cambria" w:hAnsi="Cambria" w:cstheme="minorHAnsi"/>
        </w:rPr>
      </w:pPr>
      <w:r w:rsidRPr="009A0DA6">
        <w:rPr>
          <w:rFonts w:ascii="Cambria" w:hAnsi="Cambria" w:cstheme="minorHAnsi"/>
        </w:rPr>
        <w:t>Consolidated Income and Expenditure Statement</w:t>
      </w:r>
    </w:p>
    <w:p w14:paraId="38117029" w14:textId="77777777" w:rsidR="00BA4592" w:rsidRPr="009A0DA6" w:rsidRDefault="00BA4592" w:rsidP="00BA4592">
      <w:pPr>
        <w:spacing w:before="120" w:after="120" w:line="240" w:lineRule="auto"/>
        <w:ind w:right="-49"/>
        <w:contextualSpacing/>
        <w:rPr>
          <w:rFonts w:ascii="Cambria" w:hAnsi="Cambria" w:cstheme="minorHAnsi"/>
        </w:rPr>
      </w:pPr>
      <w:r w:rsidRPr="009A0DA6">
        <w:rPr>
          <w:rFonts w:ascii="Cambria" w:hAnsi="Cambria" w:cstheme="minorHAnsi"/>
        </w:rPr>
        <w:t>Balance Sheet</w:t>
      </w:r>
    </w:p>
    <w:p w14:paraId="10089DBA" w14:textId="77777777" w:rsidR="00BA4592" w:rsidRPr="009A0DA6" w:rsidRDefault="00BA4592" w:rsidP="00BA4592">
      <w:pPr>
        <w:spacing w:before="120" w:after="120" w:line="240" w:lineRule="auto"/>
        <w:ind w:right="-331"/>
        <w:contextualSpacing/>
        <w:rPr>
          <w:rFonts w:ascii="Cambria" w:hAnsi="Cambria" w:cstheme="minorHAnsi"/>
        </w:rPr>
      </w:pPr>
      <w:r w:rsidRPr="009A0DA6">
        <w:rPr>
          <w:rFonts w:ascii="Cambria" w:hAnsi="Cambria" w:cstheme="minorHAnsi"/>
        </w:rPr>
        <w:t>Statement of Changes in Equity</w:t>
      </w:r>
    </w:p>
    <w:p w14:paraId="3597B154" w14:textId="77777777" w:rsidR="00BA4592" w:rsidRPr="009A0DA6" w:rsidRDefault="00BA4592" w:rsidP="00BA4592">
      <w:pPr>
        <w:spacing w:before="120" w:after="120" w:line="240" w:lineRule="auto"/>
        <w:ind w:right="-331"/>
        <w:contextualSpacing/>
        <w:rPr>
          <w:rFonts w:ascii="Cambria" w:hAnsi="Cambria" w:cstheme="minorHAnsi"/>
        </w:rPr>
      </w:pPr>
      <w:r w:rsidRPr="009A0DA6">
        <w:rPr>
          <w:rFonts w:ascii="Cambria" w:hAnsi="Cambria" w:cstheme="minorHAnsi"/>
        </w:rPr>
        <w:t xml:space="preserve">Statement of Cash Flow </w:t>
      </w:r>
    </w:p>
    <w:p w14:paraId="177AA54E" w14:textId="77777777" w:rsidR="00BA4592" w:rsidRPr="009A0DA6" w:rsidRDefault="00BA4592" w:rsidP="00BA4592">
      <w:pPr>
        <w:spacing w:before="120" w:after="120" w:line="240" w:lineRule="auto"/>
        <w:ind w:right="-331"/>
        <w:contextualSpacing/>
        <w:rPr>
          <w:rFonts w:ascii="Cambria" w:hAnsi="Cambria" w:cstheme="minorHAnsi"/>
        </w:rPr>
      </w:pPr>
      <w:r w:rsidRPr="009A0DA6">
        <w:rPr>
          <w:rFonts w:ascii="Cambria" w:hAnsi="Cambria" w:cstheme="minorHAnsi"/>
        </w:rPr>
        <w:t>Notes to the Financial Statements</w:t>
      </w:r>
    </w:p>
    <w:p w14:paraId="5724673E" w14:textId="77777777" w:rsidR="00BA4592" w:rsidRPr="009A0DA6" w:rsidRDefault="00BA4592" w:rsidP="00BA4592">
      <w:pPr>
        <w:spacing w:before="120" w:after="120" w:line="240" w:lineRule="auto"/>
        <w:ind w:right="-331"/>
        <w:contextualSpacing/>
        <w:rPr>
          <w:rFonts w:ascii="Cambria" w:hAnsi="Cambria" w:cstheme="minorHAnsi"/>
        </w:rPr>
      </w:pPr>
      <w:r w:rsidRPr="009A0DA6">
        <w:rPr>
          <w:rFonts w:ascii="Cambria" w:hAnsi="Cambria" w:cstheme="minorHAnsi"/>
        </w:rPr>
        <w:t>Segment Report</w:t>
      </w:r>
    </w:p>
    <w:p w14:paraId="2A99A16C" w14:textId="77777777" w:rsidR="00BA4592" w:rsidRPr="007408EE" w:rsidRDefault="00BA4592" w:rsidP="00BA4592">
      <w:pPr>
        <w:spacing w:before="120" w:after="120" w:line="240" w:lineRule="auto"/>
        <w:ind w:right="-49"/>
        <w:contextualSpacing/>
        <w:rPr>
          <w:rFonts w:ascii="Cambria" w:hAnsi="Cambria" w:cstheme="minorHAnsi"/>
          <w:sz w:val="12"/>
        </w:rPr>
      </w:pPr>
    </w:p>
    <w:p w14:paraId="62D2754A" w14:textId="77777777" w:rsidR="00BA4592" w:rsidRPr="009A0DA6" w:rsidRDefault="00BA4592" w:rsidP="00BA4592">
      <w:pPr>
        <w:pStyle w:val="Subtitle"/>
      </w:pPr>
      <w:r w:rsidRPr="009A0DA6">
        <w:t>STATEMENT BY THE GENERAL CHURCH COUNCIL</w:t>
      </w:r>
    </w:p>
    <w:p w14:paraId="3EEA758B" w14:textId="77777777" w:rsidR="00BA4592" w:rsidRPr="009A0DA6" w:rsidRDefault="00BA4592" w:rsidP="00BA4592">
      <w:pPr>
        <w:spacing w:before="120" w:after="120" w:line="240" w:lineRule="auto"/>
        <w:contextualSpacing/>
        <w:rPr>
          <w:rFonts w:ascii="Cambria" w:hAnsi="Cambria" w:cstheme="minorHAnsi"/>
        </w:rPr>
      </w:pPr>
      <w:r w:rsidRPr="009A0DA6">
        <w:rPr>
          <w:rFonts w:ascii="Cambria" w:hAnsi="Cambria" w:cstheme="minorHAnsi"/>
        </w:rPr>
        <w:t>The General Church Council has determined that the association is not a reporting entity and that these special purpose financial statements should be prepared in accordance with the policies outlined in Note 1.</w:t>
      </w:r>
    </w:p>
    <w:p w14:paraId="43AC3149" w14:textId="15A76925" w:rsidR="00BA4592" w:rsidRPr="009A0DA6" w:rsidRDefault="00BA4592" w:rsidP="00BA4592">
      <w:pPr>
        <w:spacing w:before="120" w:after="120" w:line="240" w:lineRule="auto"/>
        <w:ind w:right="52"/>
        <w:contextualSpacing/>
        <w:rPr>
          <w:rFonts w:ascii="Cambria" w:hAnsi="Cambria" w:cstheme="minorHAnsi"/>
        </w:rPr>
      </w:pPr>
      <w:r w:rsidRPr="009A0DA6">
        <w:rPr>
          <w:rFonts w:ascii="Cambria" w:eastAsia="Times New Roman" w:hAnsi="Cambria" w:cstheme="minorHAnsi"/>
          <w:spacing w:val="1"/>
        </w:rPr>
        <w:br/>
        <w:t>I</w:t>
      </w:r>
      <w:r w:rsidRPr="009A0DA6">
        <w:rPr>
          <w:rFonts w:ascii="Cambria" w:eastAsia="Times New Roman" w:hAnsi="Cambria" w:cstheme="minorHAnsi"/>
        </w:rPr>
        <w:t>n</w:t>
      </w:r>
      <w:r w:rsidRPr="009A0DA6">
        <w:rPr>
          <w:rFonts w:ascii="Cambria" w:eastAsia="Times New Roman" w:hAnsi="Cambria" w:cstheme="minorHAnsi"/>
          <w:spacing w:val="48"/>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49"/>
        </w:rPr>
        <w:t xml:space="preserve"> </w:t>
      </w:r>
      <w:r w:rsidRPr="009A0DA6">
        <w:rPr>
          <w:rFonts w:ascii="Cambria" w:eastAsia="Times New Roman" w:hAnsi="Cambria" w:cstheme="minorHAnsi"/>
          <w:spacing w:val="1"/>
        </w:rPr>
        <w:t>op</w:t>
      </w:r>
      <w:r w:rsidRPr="009A0DA6">
        <w:rPr>
          <w:rFonts w:ascii="Cambria" w:eastAsia="Times New Roman" w:hAnsi="Cambria" w:cstheme="minorHAnsi"/>
        </w:rPr>
        <w:t>i</w:t>
      </w:r>
      <w:r w:rsidRPr="009A0DA6">
        <w:rPr>
          <w:rFonts w:ascii="Cambria" w:eastAsia="Times New Roman" w:hAnsi="Cambria" w:cstheme="minorHAnsi"/>
          <w:spacing w:val="-1"/>
        </w:rPr>
        <w:t>n</w:t>
      </w:r>
      <w:r w:rsidRPr="009A0DA6">
        <w:rPr>
          <w:rFonts w:ascii="Cambria" w:eastAsia="Times New Roman" w:hAnsi="Cambria" w:cstheme="minorHAnsi"/>
        </w:rPr>
        <w:t>i</w:t>
      </w:r>
      <w:r w:rsidRPr="009A0DA6">
        <w:rPr>
          <w:rFonts w:ascii="Cambria" w:eastAsia="Times New Roman" w:hAnsi="Cambria" w:cstheme="minorHAnsi"/>
          <w:spacing w:val="4"/>
        </w:rPr>
        <w:t>o</w:t>
      </w:r>
      <w:r w:rsidRPr="009A0DA6">
        <w:rPr>
          <w:rFonts w:ascii="Cambria" w:eastAsia="Times New Roman" w:hAnsi="Cambria" w:cstheme="minorHAnsi"/>
        </w:rPr>
        <w:t>n</w:t>
      </w:r>
      <w:r w:rsidRPr="009A0DA6">
        <w:rPr>
          <w:rFonts w:ascii="Cambria" w:eastAsia="Times New Roman" w:hAnsi="Cambria" w:cstheme="minorHAnsi"/>
          <w:spacing w:val="44"/>
        </w:rPr>
        <w:t xml:space="preserve"> </w:t>
      </w:r>
      <w:r w:rsidRPr="009A0DA6">
        <w:rPr>
          <w:rFonts w:ascii="Cambria" w:eastAsia="Times New Roman" w:hAnsi="Cambria" w:cstheme="minorHAnsi"/>
          <w:spacing w:val="1"/>
        </w:rPr>
        <w:t>o</w:t>
      </w:r>
      <w:r w:rsidRPr="009A0DA6">
        <w:rPr>
          <w:rFonts w:ascii="Cambria" w:eastAsia="Times New Roman" w:hAnsi="Cambria" w:cstheme="minorHAnsi"/>
        </w:rPr>
        <w:t>f</w:t>
      </w:r>
      <w:r w:rsidRPr="009A0DA6">
        <w:rPr>
          <w:rFonts w:ascii="Cambria" w:eastAsia="Times New Roman" w:hAnsi="Cambria" w:cstheme="minorHAnsi"/>
          <w:spacing w:val="47"/>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 xml:space="preserve">e </w:t>
      </w:r>
      <w:r w:rsidRPr="009A0DA6">
        <w:rPr>
          <w:rFonts w:ascii="Cambria" w:eastAsia="Times New Roman" w:hAnsi="Cambria" w:cstheme="minorHAnsi"/>
          <w:spacing w:val="2"/>
        </w:rPr>
        <w:t xml:space="preserve"> </w:t>
      </w:r>
      <w:r w:rsidRPr="009A0DA6">
        <w:rPr>
          <w:rFonts w:ascii="Cambria" w:eastAsia="Times New Roman" w:hAnsi="Cambria" w:cstheme="minorHAnsi"/>
          <w:spacing w:val="-1"/>
        </w:rPr>
        <w:t>m</w:t>
      </w:r>
      <w:r w:rsidRPr="009A0DA6">
        <w:rPr>
          <w:rFonts w:ascii="Cambria" w:eastAsia="Times New Roman" w:hAnsi="Cambria" w:cstheme="minorHAnsi"/>
          <w:spacing w:val="3"/>
        </w:rPr>
        <w:t>e</w:t>
      </w:r>
      <w:r w:rsidRPr="009A0DA6">
        <w:rPr>
          <w:rFonts w:ascii="Cambria" w:eastAsia="Times New Roman" w:hAnsi="Cambria" w:cstheme="minorHAnsi"/>
          <w:spacing w:val="-1"/>
        </w:rPr>
        <w:t>m</w:t>
      </w:r>
      <w:r w:rsidRPr="009A0DA6">
        <w:rPr>
          <w:rFonts w:ascii="Cambria" w:eastAsia="Times New Roman" w:hAnsi="Cambria" w:cstheme="minorHAnsi"/>
          <w:spacing w:val="4"/>
        </w:rPr>
        <w:t>b</w:t>
      </w:r>
      <w:r w:rsidRPr="009A0DA6">
        <w:rPr>
          <w:rFonts w:ascii="Cambria" w:eastAsia="Times New Roman" w:hAnsi="Cambria" w:cstheme="minorHAnsi"/>
        </w:rPr>
        <w:t>e</w:t>
      </w:r>
      <w:r w:rsidRPr="009A0DA6">
        <w:rPr>
          <w:rFonts w:ascii="Cambria" w:eastAsia="Times New Roman" w:hAnsi="Cambria" w:cstheme="minorHAnsi"/>
          <w:spacing w:val="1"/>
        </w:rPr>
        <w:t>r</w:t>
      </w:r>
      <w:r w:rsidRPr="009A0DA6">
        <w:rPr>
          <w:rFonts w:ascii="Cambria" w:eastAsia="Times New Roman" w:hAnsi="Cambria" w:cstheme="minorHAnsi"/>
        </w:rPr>
        <w:t>s</w:t>
      </w:r>
      <w:r w:rsidRPr="009A0DA6">
        <w:rPr>
          <w:rFonts w:ascii="Cambria" w:eastAsia="Times New Roman" w:hAnsi="Cambria" w:cstheme="minorHAnsi"/>
          <w:spacing w:val="43"/>
        </w:rPr>
        <w:t xml:space="preserve"> </w:t>
      </w:r>
      <w:r w:rsidRPr="009A0DA6">
        <w:rPr>
          <w:rFonts w:ascii="Cambria" w:eastAsia="Times New Roman" w:hAnsi="Cambria" w:cstheme="minorHAnsi"/>
          <w:spacing w:val="1"/>
        </w:rPr>
        <w:t>o</w:t>
      </w:r>
      <w:r w:rsidRPr="009A0DA6">
        <w:rPr>
          <w:rFonts w:ascii="Cambria" w:eastAsia="Times New Roman" w:hAnsi="Cambria" w:cstheme="minorHAnsi"/>
        </w:rPr>
        <w:t>f</w:t>
      </w:r>
      <w:r w:rsidRPr="009A0DA6">
        <w:rPr>
          <w:rFonts w:ascii="Cambria" w:eastAsia="Times New Roman" w:hAnsi="Cambria" w:cstheme="minorHAnsi"/>
          <w:spacing w:val="47"/>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49"/>
        </w:rPr>
        <w:t xml:space="preserve"> </w:t>
      </w:r>
      <w:r w:rsidRPr="009A0DA6">
        <w:rPr>
          <w:rFonts w:ascii="Cambria" w:eastAsia="Times New Roman" w:hAnsi="Cambria" w:cstheme="minorHAnsi"/>
        </w:rPr>
        <w:t>G</w:t>
      </w:r>
      <w:r w:rsidRPr="009A0DA6">
        <w:rPr>
          <w:rFonts w:ascii="Cambria" w:eastAsia="Times New Roman" w:hAnsi="Cambria" w:cstheme="minorHAnsi"/>
          <w:spacing w:val="3"/>
        </w:rPr>
        <w:t>e</w:t>
      </w:r>
      <w:r w:rsidRPr="009A0DA6">
        <w:rPr>
          <w:rFonts w:ascii="Cambria" w:eastAsia="Times New Roman" w:hAnsi="Cambria" w:cstheme="minorHAnsi"/>
          <w:spacing w:val="-1"/>
        </w:rPr>
        <w:t>n</w:t>
      </w:r>
      <w:r w:rsidRPr="009A0DA6">
        <w:rPr>
          <w:rFonts w:ascii="Cambria" w:eastAsia="Times New Roman" w:hAnsi="Cambria" w:cstheme="minorHAnsi"/>
        </w:rPr>
        <w:t>e</w:t>
      </w:r>
      <w:r w:rsidRPr="009A0DA6">
        <w:rPr>
          <w:rFonts w:ascii="Cambria" w:eastAsia="Times New Roman" w:hAnsi="Cambria" w:cstheme="minorHAnsi"/>
          <w:spacing w:val="1"/>
        </w:rPr>
        <w:t>r</w:t>
      </w:r>
      <w:r w:rsidRPr="009A0DA6">
        <w:rPr>
          <w:rFonts w:ascii="Cambria" w:eastAsia="Times New Roman" w:hAnsi="Cambria" w:cstheme="minorHAnsi"/>
        </w:rPr>
        <w:t>al</w:t>
      </w:r>
      <w:r w:rsidRPr="009A0DA6">
        <w:rPr>
          <w:rFonts w:ascii="Cambria" w:eastAsia="Times New Roman" w:hAnsi="Cambria" w:cstheme="minorHAnsi"/>
          <w:spacing w:val="45"/>
        </w:rPr>
        <w:t xml:space="preserve"> </w:t>
      </w:r>
      <w:r w:rsidRPr="009A0DA6">
        <w:rPr>
          <w:rFonts w:ascii="Cambria" w:eastAsia="Times New Roman" w:hAnsi="Cambria" w:cstheme="minorHAnsi"/>
          <w:spacing w:val="2"/>
        </w:rPr>
        <w:t>C</w:t>
      </w:r>
      <w:r w:rsidRPr="009A0DA6">
        <w:rPr>
          <w:rFonts w:ascii="Cambria" w:eastAsia="Times New Roman" w:hAnsi="Cambria" w:cstheme="minorHAnsi"/>
          <w:spacing w:val="-1"/>
        </w:rPr>
        <w:t>hu</w:t>
      </w:r>
      <w:r w:rsidRPr="009A0DA6">
        <w:rPr>
          <w:rFonts w:ascii="Cambria" w:eastAsia="Times New Roman" w:hAnsi="Cambria" w:cstheme="minorHAnsi"/>
          <w:spacing w:val="1"/>
        </w:rPr>
        <w:t>r</w:t>
      </w:r>
      <w:r w:rsidRPr="009A0DA6">
        <w:rPr>
          <w:rFonts w:ascii="Cambria" w:eastAsia="Times New Roman" w:hAnsi="Cambria" w:cstheme="minorHAnsi"/>
          <w:spacing w:val="3"/>
        </w:rPr>
        <w:t>c</w:t>
      </w:r>
      <w:r w:rsidRPr="009A0DA6">
        <w:rPr>
          <w:rFonts w:ascii="Cambria" w:eastAsia="Times New Roman" w:hAnsi="Cambria" w:cstheme="minorHAnsi"/>
        </w:rPr>
        <w:t>h</w:t>
      </w:r>
      <w:r w:rsidRPr="009A0DA6">
        <w:rPr>
          <w:rFonts w:ascii="Cambria" w:eastAsia="Times New Roman" w:hAnsi="Cambria" w:cstheme="minorHAnsi"/>
          <w:spacing w:val="46"/>
        </w:rPr>
        <w:t xml:space="preserve"> </w:t>
      </w:r>
      <w:r w:rsidRPr="009A0DA6">
        <w:rPr>
          <w:rFonts w:ascii="Cambria" w:eastAsia="Times New Roman" w:hAnsi="Cambria" w:cstheme="minorHAnsi"/>
          <w:spacing w:val="-1"/>
        </w:rPr>
        <w:t>C</w:t>
      </w:r>
      <w:r w:rsidRPr="009A0DA6">
        <w:rPr>
          <w:rFonts w:ascii="Cambria" w:eastAsia="Times New Roman" w:hAnsi="Cambria" w:cstheme="minorHAnsi"/>
          <w:spacing w:val="1"/>
        </w:rPr>
        <w:t>ou</w:t>
      </w:r>
      <w:r w:rsidRPr="009A0DA6">
        <w:rPr>
          <w:rFonts w:ascii="Cambria" w:eastAsia="Times New Roman" w:hAnsi="Cambria" w:cstheme="minorHAnsi"/>
          <w:spacing w:val="-1"/>
        </w:rPr>
        <w:t>n</w:t>
      </w:r>
      <w:r w:rsidRPr="009A0DA6">
        <w:rPr>
          <w:rFonts w:ascii="Cambria" w:eastAsia="Times New Roman" w:hAnsi="Cambria" w:cstheme="minorHAnsi"/>
        </w:rPr>
        <w:t>cil</w:t>
      </w:r>
      <w:r w:rsidRPr="009A0DA6">
        <w:rPr>
          <w:rFonts w:ascii="Cambria" w:eastAsia="Times New Roman" w:hAnsi="Cambria" w:cstheme="minorHAnsi"/>
          <w:spacing w:val="45"/>
        </w:rPr>
        <w:t xml:space="preserve"> </w:t>
      </w:r>
      <w:r w:rsidRPr="009A0DA6">
        <w:rPr>
          <w:rFonts w:ascii="Cambria" w:eastAsia="Times New Roman" w:hAnsi="Cambria" w:cstheme="minorHAnsi"/>
          <w:spacing w:val="1"/>
        </w:rPr>
        <w:t>o</w:t>
      </w:r>
      <w:r w:rsidRPr="009A0DA6">
        <w:rPr>
          <w:rFonts w:ascii="Cambria" w:eastAsia="Times New Roman" w:hAnsi="Cambria" w:cstheme="minorHAnsi"/>
        </w:rPr>
        <w:t xml:space="preserve">f  </w:t>
      </w:r>
      <w:r w:rsidRPr="009A0DA6">
        <w:rPr>
          <w:rFonts w:ascii="Cambria" w:eastAsia="Times New Roman" w:hAnsi="Cambria" w:cstheme="minorHAnsi"/>
          <w:spacing w:val="1"/>
        </w:rPr>
        <w:t>L</w:t>
      </w:r>
      <w:r w:rsidRPr="009A0DA6">
        <w:rPr>
          <w:rFonts w:ascii="Cambria" w:eastAsia="Times New Roman" w:hAnsi="Cambria" w:cstheme="minorHAnsi"/>
          <w:spacing w:val="-1"/>
        </w:rPr>
        <w:t>u</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1"/>
        </w:rPr>
        <w:t>r</w:t>
      </w:r>
      <w:r w:rsidRPr="009A0DA6">
        <w:rPr>
          <w:rFonts w:ascii="Cambria" w:eastAsia="Times New Roman" w:hAnsi="Cambria" w:cstheme="minorHAnsi"/>
          <w:spacing w:val="3"/>
        </w:rPr>
        <w:t>a</w:t>
      </w:r>
      <w:r w:rsidRPr="009A0DA6">
        <w:rPr>
          <w:rFonts w:ascii="Cambria" w:eastAsia="Times New Roman" w:hAnsi="Cambria" w:cstheme="minorHAnsi"/>
        </w:rPr>
        <w:t>n</w:t>
      </w:r>
      <w:r w:rsidRPr="009A0DA6">
        <w:rPr>
          <w:rFonts w:ascii="Cambria" w:eastAsia="Times New Roman" w:hAnsi="Cambria" w:cstheme="minorHAnsi"/>
          <w:spacing w:val="43"/>
        </w:rPr>
        <w:t xml:space="preserve"> </w:t>
      </w:r>
      <w:r w:rsidRPr="009A0DA6">
        <w:rPr>
          <w:rFonts w:ascii="Cambria" w:eastAsia="Times New Roman" w:hAnsi="Cambria" w:cstheme="minorHAnsi"/>
          <w:spacing w:val="2"/>
        </w:rPr>
        <w:t>C</w:t>
      </w:r>
      <w:r w:rsidRPr="009A0DA6">
        <w:rPr>
          <w:rFonts w:ascii="Cambria" w:eastAsia="Times New Roman" w:hAnsi="Cambria" w:cstheme="minorHAnsi"/>
          <w:spacing w:val="1"/>
        </w:rPr>
        <w:t>h</w:t>
      </w:r>
      <w:r w:rsidRPr="009A0DA6">
        <w:rPr>
          <w:rFonts w:ascii="Cambria" w:eastAsia="Times New Roman" w:hAnsi="Cambria" w:cstheme="minorHAnsi"/>
          <w:spacing w:val="-1"/>
        </w:rPr>
        <w:t>u</w:t>
      </w:r>
      <w:r w:rsidRPr="009A0DA6">
        <w:rPr>
          <w:rFonts w:ascii="Cambria" w:eastAsia="Times New Roman" w:hAnsi="Cambria" w:cstheme="minorHAnsi"/>
          <w:spacing w:val="1"/>
        </w:rPr>
        <w:t>r</w:t>
      </w:r>
      <w:r w:rsidRPr="009A0DA6">
        <w:rPr>
          <w:rFonts w:ascii="Cambria" w:eastAsia="Times New Roman" w:hAnsi="Cambria" w:cstheme="minorHAnsi"/>
        </w:rPr>
        <w:t>ch</w:t>
      </w:r>
      <w:r w:rsidRPr="009A0DA6">
        <w:rPr>
          <w:rFonts w:ascii="Cambria" w:eastAsia="Times New Roman" w:hAnsi="Cambria" w:cstheme="minorHAnsi"/>
          <w:spacing w:val="46"/>
        </w:rPr>
        <w:t xml:space="preserve"> </w:t>
      </w:r>
      <w:r w:rsidRPr="009A0DA6">
        <w:rPr>
          <w:rFonts w:ascii="Cambria" w:eastAsia="Times New Roman" w:hAnsi="Cambria" w:cstheme="minorHAnsi"/>
          <w:spacing w:val="1"/>
        </w:rPr>
        <w:t>o</w:t>
      </w:r>
      <w:r w:rsidRPr="009A0DA6">
        <w:rPr>
          <w:rFonts w:ascii="Cambria" w:eastAsia="Times New Roman" w:hAnsi="Cambria" w:cstheme="minorHAnsi"/>
        </w:rPr>
        <w:t>f</w:t>
      </w:r>
      <w:r w:rsidRPr="009A0DA6">
        <w:rPr>
          <w:rFonts w:ascii="Cambria" w:eastAsia="Times New Roman" w:hAnsi="Cambria" w:cstheme="minorHAnsi"/>
          <w:spacing w:val="47"/>
        </w:rPr>
        <w:t xml:space="preserve"> </w:t>
      </w:r>
      <w:r w:rsidRPr="009A0DA6">
        <w:rPr>
          <w:rFonts w:ascii="Cambria" w:eastAsia="Times New Roman" w:hAnsi="Cambria" w:cstheme="minorHAnsi"/>
        </w:rPr>
        <w:t>A</w:t>
      </w:r>
      <w:r w:rsidRPr="009A0DA6">
        <w:rPr>
          <w:rFonts w:ascii="Cambria" w:eastAsia="Times New Roman" w:hAnsi="Cambria" w:cstheme="minorHAnsi"/>
          <w:spacing w:val="-1"/>
        </w:rPr>
        <w:t>u</w:t>
      </w:r>
      <w:r w:rsidRPr="009A0DA6">
        <w:rPr>
          <w:rFonts w:ascii="Cambria" w:eastAsia="Times New Roman" w:hAnsi="Cambria" w:cstheme="minorHAnsi"/>
          <w:spacing w:val="2"/>
        </w:rPr>
        <w:t>s</w:t>
      </w:r>
      <w:r w:rsidRPr="009A0DA6">
        <w:rPr>
          <w:rFonts w:ascii="Cambria" w:eastAsia="Times New Roman" w:hAnsi="Cambria" w:cstheme="minorHAnsi"/>
        </w:rPr>
        <w:t>t</w:t>
      </w:r>
      <w:r w:rsidRPr="009A0DA6">
        <w:rPr>
          <w:rFonts w:ascii="Cambria" w:eastAsia="Times New Roman" w:hAnsi="Cambria" w:cstheme="minorHAnsi"/>
          <w:spacing w:val="1"/>
        </w:rPr>
        <w:t>r</w:t>
      </w:r>
      <w:r w:rsidRPr="009A0DA6">
        <w:rPr>
          <w:rFonts w:ascii="Cambria" w:eastAsia="Times New Roman" w:hAnsi="Cambria" w:cstheme="minorHAnsi"/>
        </w:rPr>
        <w:t xml:space="preserve">alia </w:t>
      </w:r>
      <w:r w:rsidRPr="009A0DA6">
        <w:rPr>
          <w:rFonts w:ascii="Cambria" w:eastAsia="Times New Roman" w:hAnsi="Cambria" w:cstheme="minorHAnsi"/>
          <w:spacing w:val="1"/>
        </w:rPr>
        <w:t>I</w:t>
      </w:r>
      <w:r w:rsidRPr="009A0DA6">
        <w:rPr>
          <w:rFonts w:ascii="Cambria" w:eastAsia="Times New Roman" w:hAnsi="Cambria" w:cstheme="minorHAnsi"/>
          <w:spacing w:val="-1"/>
        </w:rPr>
        <w:t>n</w:t>
      </w:r>
      <w:r w:rsidRPr="009A0DA6">
        <w:rPr>
          <w:rFonts w:ascii="Cambria" w:eastAsia="Times New Roman" w:hAnsi="Cambria" w:cstheme="minorHAnsi"/>
        </w:rPr>
        <w:t>c</w:t>
      </w:r>
      <w:r w:rsidRPr="009A0DA6">
        <w:rPr>
          <w:rFonts w:ascii="Cambria" w:eastAsia="Times New Roman" w:hAnsi="Cambria" w:cstheme="minorHAnsi"/>
          <w:spacing w:val="1"/>
        </w:rPr>
        <w:t>orpor</w:t>
      </w:r>
      <w:r w:rsidRPr="009A0DA6">
        <w:rPr>
          <w:rFonts w:ascii="Cambria" w:eastAsia="Times New Roman" w:hAnsi="Cambria" w:cstheme="minorHAnsi"/>
        </w:rPr>
        <w:t>ate</w:t>
      </w:r>
      <w:r w:rsidRPr="009A0DA6">
        <w:rPr>
          <w:rFonts w:ascii="Cambria" w:eastAsia="Times New Roman" w:hAnsi="Cambria" w:cstheme="minorHAnsi"/>
          <w:spacing w:val="1"/>
        </w:rPr>
        <w:t>d</w:t>
      </w:r>
      <w:r w:rsidRPr="009A0DA6">
        <w:rPr>
          <w:rFonts w:ascii="Cambria" w:eastAsia="Times New Roman" w:hAnsi="Cambria" w:cstheme="minorHAnsi"/>
        </w:rPr>
        <w:t>:</w:t>
      </w:r>
    </w:p>
    <w:p w14:paraId="3FEB848D" w14:textId="436D78E0" w:rsidR="00BA4592" w:rsidRPr="009A0DA6" w:rsidRDefault="00BA4592" w:rsidP="00F55252">
      <w:pPr>
        <w:pStyle w:val="ListParagraph"/>
        <w:numPr>
          <w:ilvl w:val="1"/>
          <w:numId w:val="276"/>
        </w:numPr>
        <w:spacing w:before="120" w:after="120" w:line="240" w:lineRule="auto"/>
        <w:ind w:left="567" w:right="55" w:hanging="567"/>
        <w:rPr>
          <w:rFonts w:ascii="Cambria" w:eastAsia="Times New Roman" w:hAnsi="Cambria" w:cstheme="minorHAnsi"/>
        </w:rPr>
      </w:pPr>
      <w:r w:rsidRPr="009A0DA6">
        <w:rPr>
          <w:rFonts w:ascii="Cambria" w:eastAsia="Times New Roman" w:hAnsi="Cambria" w:cstheme="minorHAnsi"/>
          <w:spacing w:val="3"/>
        </w:rPr>
        <w:t>T</w:t>
      </w:r>
      <w:r w:rsidRPr="009A0DA6">
        <w:rPr>
          <w:rFonts w:ascii="Cambria" w:eastAsia="Times New Roman" w:hAnsi="Cambria" w:cstheme="minorHAnsi"/>
          <w:spacing w:val="-1"/>
        </w:rPr>
        <w:t>h</w:t>
      </w:r>
      <w:r w:rsidRPr="009A0DA6">
        <w:rPr>
          <w:rFonts w:ascii="Cambria" w:eastAsia="Times New Roman" w:hAnsi="Cambria" w:cstheme="minorHAnsi"/>
        </w:rPr>
        <w:t xml:space="preserve">e </w:t>
      </w:r>
      <w:r w:rsidRPr="009A0DA6">
        <w:rPr>
          <w:rFonts w:ascii="Cambria" w:eastAsia="Times New Roman" w:hAnsi="Cambria" w:cstheme="minorHAnsi"/>
          <w:spacing w:val="3"/>
        </w:rPr>
        <w:t xml:space="preserve"> </w:t>
      </w:r>
      <w:r w:rsidRPr="009A0DA6">
        <w:rPr>
          <w:rFonts w:ascii="Cambria" w:eastAsia="Times New Roman" w:hAnsi="Cambria" w:cstheme="minorHAnsi"/>
        </w:rPr>
        <w:t>acc</w:t>
      </w:r>
      <w:r w:rsidRPr="009A0DA6">
        <w:rPr>
          <w:rFonts w:ascii="Cambria" w:eastAsia="Times New Roman" w:hAnsi="Cambria" w:cstheme="minorHAnsi"/>
          <w:spacing w:val="1"/>
        </w:rPr>
        <w:t>o</w:t>
      </w:r>
      <w:r w:rsidRPr="009A0DA6">
        <w:rPr>
          <w:rFonts w:ascii="Cambria" w:eastAsia="Times New Roman" w:hAnsi="Cambria" w:cstheme="minorHAnsi"/>
          <w:spacing w:val="-4"/>
        </w:rPr>
        <w:t>m</w:t>
      </w:r>
      <w:r w:rsidRPr="009A0DA6">
        <w:rPr>
          <w:rFonts w:ascii="Cambria" w:eastAsia="Times New Roman" w:hAnsi="Cambria" w:cstheme="minorHAnsi"/>
          <w:spacing w:val="1"/>
        </w:rPr>
        <w:t>p</w:t>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spacing w:val="-1"/>
        </w:rPr>
        <w:t>y</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rPr>
        <w:t>g</w:t>
      </w:r>
      <w:r w:rsidRPr="009A0DA6">
        <w:rPr>
          <w:rFonts w:ascii="Cambria" w:eastAsia="Times New Roman" w:hAnsi="Cambria" w:cstheme="minorHAnsi"/>
          <w:spacing w:val="42"/>
        </w:rPr>
        <w:t xml:space="preserve"> </w:t>
      </w:r>
      <w:r w:rsidRPr="009A0DA6">
        <w:rPr>
          <w:rFonts w:ascii="Cambria" w:eastAsia="Times New Roman" w:hAnsi="Cambria" w:cstheme="minorHAnsi"/>
          <w:spacing w:val="3"/>
        </w:rPr>
        <w:t>I</w:t>
      </w:r>
      <w:r w:rsidRPr="009A0DA6">
        <w:rPr>
          <w:rFonts w:ascii="Cambria" w:eastAsia="Times New Roman" w:hAnsi="Cambria" w:cstheme="minorHAnsi"/>
          <w:spacing w:val="-1"/>
        </w:rPr>
        <w:t>n</w:t>
      </w:r>
      <w:r w:rsidRPr="009A0DA6">
        <w:rPr>
          <w:rFonts w:ascii="Cambria" w:eastAsia="Times New Roman" w:hAnsi="Cambria" w:cstheme="minorHAnsi"/>
        </w:rPr>
        <w:t>c</w:t>
      </w:r>
      <w:r w:rsidRPr="009A0DA6">
        <w:rPr>
          <w:rFonts w:ascii="Cambria" w:eastAsia="Times New Roman" w:hAnsi="Cambria" w:cstheme="minorHAnsi"/>
          <w:spacing w:val="4"/>
        </w:rPr>
        <w:t>o</w:t>
      </w:r>
      <w:r w:rsidRPr="009A0DA6">
        <w:rPr>
          <w:rFonts w:ascii="Cambria" w:eastAsia="Times New Roman" w:hAnsi="Cambria" w:cstheme="minorHAnsi"/>
          <w:spacing w:val="-4"/>
        </w:rPr>
        <w:t>m</w:t>
      </w:r>
      <w:r w:rsidRPr="009A0DA6">
        <w:rPr>
          <w:rFonts w:ascii="Cambria" w:eastAsia="Times New Roman" w:hAnsi="Cambria" w:cstheme="minorHAnsi"/>
        </w:rPr>
        <w:t xml:space="preserve">e </w:t>
      </w:r>
      <w:r w:rsidRPr="009A0DA6">
        <w:rPr>
          <w:rFonts w:ascii="Cambria" w:eastAsia="Times New Roman" w:hAnsi="Cambria" w:cstheme="minorHAnsi"/>
          <w:spacing w:val="2"/>
        </w:rPr>
        <w:t xml:space="preserve"> </w:t>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rPr>
        <w:t xml:space="preserve">d </w:t>
      </w:r>
      <w:r w:rsidRPr="009A0DA6">
        <w:rPr>
          <w:rFonts w:ascii="Cambria" w:eastAsia="Times New Roman" w:hAnsi="Cambria" w:cstheme="minorHAnsi"/>
          <w:spacing w:val="4"/>
        </w:rPr>
        <w:t xml:space="preserve"> </w:t>
      </w:r>
      <w:r w:rsidRPr="009A0DA6">
        <w:rPr>
          <w:rFonts w:ascii="Cambria" w:eastAsia="Times New Roman" w:hAnsi="Cambria" w:cstheme="minorHAnsi"/>
          <w:spacing w:val="1"/>
        </w:rPr>
        <w:t>E</w:t>
      </w:r>
      <w:r w:rsidRPr="009A0DA6">
        <w:rPr>
          <w:rFonts w:ascii="Cambria" w:eastAsia="Times New Roman" w:hAnsi="Cambria" w:cstheme="minorHAnsi"/>
          <w:spacing w:val="-1"/>
        </w:rPr>
        <w:t>x</w:t>
      </w:r>
      <w:r w:rsidRPr="009A0DA6">
        <w:rPr>
          <w:rFonts w:ascii="Cambria" w:eastAsia="Times New Roman" w:hAnsi="Cambria" w:cstheme="minorHAnsi"/>
          <w:spacing w:val="1"/>
        </w:rPr>
        <w:t>p</w:t>
      </w:r>
      <w:r w:rsidRPr="009A0DA6">
        <w:rPr>
          <w:rFonts w:ascii="Cambria" w:eastAsia="Times New Roman" w:hAnsi="Cambria" w:cstheme="minorHAnsi"/>
        </w:rPr>
        <w:t>e</w:t>
      </w:r>
      <w:r w:rsidRPr="009A0DA6">
        <w:rPr>
          <w:rFonts w:ascii="Cambria" w:eastAsia="Times New Roman" w:hAnsi="Cambria" w:cstheme="minorHAnsi"/>
          <w:spacing w:val="-1"/>
        </w:rPr>
        <w:t>n</w:t>
      </w:r>
      <w:r w:rsidRPr="009A0DA6">
        <w:rPr>
          <w:rFonts w:ascii="Cambria" w:eastAsia="Times New Roman" w:hAnsi="Cambria" w:cstheme="minorHAnsi"/>
          <w:spacing w:val="1"/>
        </w:rPr>
        <w:t>d</w:t>
      </w:r>
      <w:r w:rsidRPr="009A0DA6">
        <w:rPr>
          <w:rFonts w:ascii="Cambria" w:eastAsia="Times New Roman" w:hAnsi="Cambria" w:cstheme="minorHAnsi"/>
        </w:rPr>
        <w:t>i</w:t>
      </w:r>
      <w:r w:rsidRPr="009A0DA6">
        <w:rPr>
          <w:rFonts w:ascii="Cambria" w:eastAsia="Times New Roman" w:hAnsi="Cambria" w:cstheme="minorHAnsi"/>
          <w:spacing w:val="2"/>
        </w:rPr>
        <w:t>t</w:t>
      </w:r>
      <w:r w:rsidRPr="009A0DA6">
        <w:rPr>
          <w:rFonts w:ascii="Cambria" w:eastAsia="Times New Roman" w:hAnsi="Cambria" w:cstheme="minorHAnsi"/>
          <w:spacing w:val="-1"/>
        </w:rPr>
        <w:t>u</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46"/>
        </w:rPr>
        <w:t xml:space="preserve"> </w:t>
      </w:r>
      <w:r w:rsidRPr="009A0DA6">
        <w:rPr>
          <w:rFonts w:ascii="Cambria" w:eastAsia="Times New Roman" w:hAnsi="Cambria" w:cstheme="minorHAnsi"/>
        </w:rPr>
        <w:t>Stat</w:t>
      </w:r>
      <w:r w:rsidRPr="009A0DA6">
        <w:rPr>
          <w:rFonts w:ascii="Cambria" w:eastAsia="Times New Roman" w:hAnsi="Cambria" w:cstheme="minorHAnsi"/>
          <w:spacing w:val="3"/>
        </w:rPr>
        <w:t>e</w:t>
      </w:r>
      <w:r w:rsidRPr="009A0DA6">
        <w:rPr>
          <w:rFonts w:ascii="Cambria" w:eastAsia="Times New Roman" w:hAnsi="Cambria" w:cstheme="minorHAnsi"/>
          <w:spacing w:val="-1"/>
        </w:rPr>
        <w:t>m</w:t>
      </w:r>
      <w:r w:rsidRPr="009A0DA6">
        <w:rPr>
          <w:rFonts w:ascii="Cambria" w:eastAsia="Times New Roman" w:hAnsi="Cambria" w:cstheme="minorHAnsi"/>
          <w:spacing w:val="3"/>
        </w:rPr>
        <w:t>e</w:t>
      </w:r>
      <w:r w:rsidRPr="009A0DA6">
        <w:rPr>
          <w:rFonts w:ascii="Cambria" w:eastAsia="Times New Roman" w:hAnsi="Cambria" w:cstheme="minorHAnsi"/>
          <w:spacing w:val="-1"/>
        </w:rPr>
        <w:t>n</w:t>
      </w:r>
      <w:r w:rsidRPr="009A0DA6">
        <w:rPr>
          <w:rFonts w:ascii="Cambria" w:eastAsia="Times New Roman" w:hAnsi="Cambria" w:cstheme="minorHAnsi"/>
        </w:rPr>
        <w:t>t,</w:t>
      </w:r>
      <w:r w:rsidRPr="009A0DA6">
        <w:rPr>
          <w:rFonts w:ascii="Cambria" w:eastAsia="Times New Roman" w:hAnsi="Cambria" w:cstheme="minorHAnsi"/>
          <w:spacing w:val="47"/>
        </w:rPr>
        <w:t xml:space="preserve"> </w:t>
      </w:r>
      <w:r w:rsidRPr="009A0DA6">
        <w:rPr>
          <w:rFonts w:ascii="Cambria" w:eastAsia="Times New Roman" w:hAnsi="Cambria" w:cstheme="minorHAnsi"/>
          <w:spacing w:val="2"/>
        </w:rPr>
        <w:t>B</w:t>
      </w:r>
      <w:r w:rsidRPr="009A0DA6">
        <w:rPr>
          <w:rFonts w:ascii="Cambria" w:eastAsia="Times New Roman" w:hAnsi="Cambria" w:cstheme="minorHAnsi"/>
        </w:rPr>
        <w:t>ala</w:t>
      </w:r>
      <w:r w:rsidRPr="009A0DA6">
        <w:rPr>
          <w:rFonts w:ascii="Cambria" w:eastAsia="Times New Roman" w:hAnsi="Cambria" w:cstheme="minorHAnsi"/>
          <w:spacing w:val="-1"/>
        </w:rPr>
        <w:t>n</w:t>
      </w:r>
      <w:r w:rsidRPr="009A0DA6">
        <w:rPr>
          <w:rFonts w:ascii="Cambria" w:eastAsia="Times New Roman" w:hAnsi="Cambria" w:cstheme="minorHAnsi"/>
        </w:rPr>
        <w:t>ce</w:t>
      </w:r>
      <w:r w:rsidRPr="009A0DA6">
        <w:rPr>
          <w:rFonts w:ascii="Cambria" w:eastAsia="Times New Roman" w:hAnsi="Cambria" w:cstheme="minorHAnsi"/>
          <w:spacing w:val="50"/>
        </w:rPr>
        <w:t xml:space="preserve"> </w:t>
      </w:r>
      <w:r w:rsidRPr="009A0DA6">
        <w:rPr>
          <w:rFonts w:ascii="Cambria" w:eastAsia="Times New Roman" w:hAnsi="Cambria" w:cstheme="minorHAnsi"/>
        </w:rPr>
        <w:t>S</w:t>
      </w:r>
      <w:r w:rsidRPr="009A0DA6">
        <w:rPr>
          <w:rFonts w:ascii="Cambria" w:eastAsia="Times New Roman" w:hAnsi="Cambria" w:cstheme="minorHAnsi"/>
          <w:spacing w:val="-1"/>
        </w:rPr>
        <w:t>h</w:t>
      </w:r>
      <w:r w:rsidRPr="009A0DA6">
        <w:rPr>
          <w:rFonts w:ascii="Cambria" w:eastAsia="Times New Roman" w:hAnsi="Cambria" w:cstheme="minorHAnsi"/>
        </w:rPr>
        <w:t xml:space="preserve">eet </w:t>
      </w:r>
      <w:r w:rsidRPr="009A0DA6">
        <w:rPr>
          <w:rFonts w:ascii="Cambria" w:eastAsia="Times New Roman" w:hAnsi="Cambria" w:cstheme="minorHAnsi"/>
          <w:spacing w:val="1"/>
        </w:rPr>
        <w:t xml:space="preserve"> </w:t>
      </w:r>
      <w:r w:rsidRPr="009A0DA6">
        <w:rPr>
          <w:rFonts w:ascii="Cambria" w:eastAsia="Times New Roman" w:hAnsi="Cambria" w:cstheme="minorHAnsi"/>
          <w:spacing w:val="3"/>
        </w:rPr>
        <w:t>a</w:t>
      </w:r>
      <w:r w:rsidRPr="009A0DA6">
        <w:rPr>
          <w:rFonts w:ascii="Cambria" w:eastAsia="Times New Roman" w:hAnsi="Cambria" w:cstheme="minorHAnsi"/>
          <w:spacing w:val="-1"/>
        </w:rPr>
        <w:t>n</w:t>
      </w:r>
      <w:r w:rsidRPr="009A0DA6">
        <w:rPr>
          <w:rFonts w:ascii="Cambria" w:eastAsia="Times New Roman" w:hAnsi="Cambria" w:cstheme="minorHAnsi"/>
        </w:rPr>
        <w:t xml:space="preserve">d </w:t>
      </w:r>
      <w:r w:rsidRPr="009A0DA6">
        <w:rPr>
          <w:rFonts w:ascii="Cambria" w:eastAsia="Times New Roman" w:hAnsi="Cambria" w:cstheme="minorHAnsi"/>
          <w:spacing w:val="4"/>
        </w:rPr>
        <w:t xml:space="preserve"> </w:t>
      </w:r>
      <w:r w:rsidRPr="009A0DA6">
        <w:rPr>
          <w:rFonts w:ascii="Cambria" w:eastAsia="Times New Roman" w:hAnsi="Cambria" w:cstheme="minorHAnsi"/>
        </w:rPr>
        <w:t>N</w:t>
      </w:r>
      <w:r w:rsidRPr="009A0DA6">
        <w:rPr>
          <w:rFonts w:ascii="Cambria" w:eastAsia="Times New Roman" w:hAnsi="Cambria" w:cstheme="minorHAnsi"/>
          <w:spacing w:val="1"/>
        </w:rPr>
        <w:t>o</w:t>
      </w:r>
      <w:r w:rsidRPr="009A0DA6">
        <w:rPr>
          <w:rFonts w:ascii="Cambria" w:eastAsia="Times New Roman" w:hAnsi="Cambria" w:cstheme="minorHAnsi"/>
        </w:rPr>
        <w:t xml:space="preserve">tes  to </w:t>
      </w:r>
      <w:r w:rsidRPr="009A0DA6">
        <w:rPr>
          <w:rFonts w:ascii="Cambria" w:eastAsia="Times New Roman" w:hAnsi="Cambria" w:cstheme="minorHAnsi"/>
          <w:spacing w:val="7"/>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 xml:space="preserve">e </w:t>
      </w:r>
      <w:r w:rsidRPr="009A0DA6">
        <w:rPr>
          <w:rFonts w:ascii="Cambria" w:eastAsia="Times New Roman" w:hAnsi="Cambria" w:cstheme="minorHAnsi"/>
          <w:spacing w:val="-1"/>
        </w:rPr>
        <w:t>f</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rPr>
        <w:t>ci</w:t>
      </w:r>
      <w:r w:rsidRPr="009A0DA6">
        <w:rPr>
          <w:rFonts w:ascii="Cambria" w:eastAsia="Times New Roman" w:hAnsi="Cambria" w:cstheme="minorHAnsi"/>
          <w:spacing w:val="3"/>
        </w:rPr>
        <w:t>a</w:t>
      </w:r>
      <w:r w:rsidRPr="009A0DA6">
        <w:rPr>
          <w:rFonts w:ascii="Cambria" w:eastAsia="Times New Roman" w:hAnsi="Cambria" w:cstheme="minorHAnsi"/>
        </w:rPr>
        <w:t>l</w:t>
      </w:r>
      <w:r w:rsidRPr="009A0DA6">
        <w:rPr>
          <w:rFonts w:ascii="Cambria" w:eastAsia="Times New Roman" w:hAnsi="Cambria" w:cstheme="minorHAnsi"/>
          <w:spacing w:val="1"/>
        </w:rPr>
        <w:t xml:space="preserve"> </w:t>
      </w:r>
      <w:r w:rsidRPr="009A0DA6">
        <w:rPr>
          <w:rFonts w:ascii="Cambria" w:eastAsia="Times New Roman" w:hAnsi="Cambria" w:cstheme="minorHAnsi"/>
          <w:spacing w:val="-1"/>
        </w:rPr>
        <w:t>s</w:t>
      </w:r>
      <w:r w:rsidRPr="009A0DA6">
        <w:rPr>
          <w:rFonts w:ascii="Cambria" w:eastAsia="Times New Roman" w:hAnsi="Cambria" w:cstheme="minorHAnsi"/>
        </w:rPr>
        <w:t>tat</w:t>
      </w:r>
      <w:r w:rsidRPr="009A0DA6">
        <w:rPr>
          <w:rFonts w:ascii="Cambria" w:eastAsia="Times New Roman" w:hAnsi="Cambria" w:cstheme="minorHAnsi"/>
          <w:spacing w:val="3"/>
        </w:rPr>
        <w:t>e</w:t>
      </w:r>
      <w:r w:rsidRPr="009A0DA6">
        <w:rPr>
          <w:rFonts w:ascii="Cambria" w:eastAsia="Times New Roman" w:hAnsi="Cambria" w:cstheme="minorHAnsi"/>
          <w:spacing w:val="-1"/>
        </w:rPr>
        <w:t>m</w:t>
      </w:r>
      <w:r w:rsidRPr="009A0DA6">
        <w:rPr>
          <w:rFonts w:ascii="Cambria" w:eastAsia="Times New Roman" w:hAnsi="Cambria" w:cstheme="minorHAnsi"/>
          <w:spacing w:val="3"/>
        </w:rPr>
        <w:t>e</w:t>
      </w:r>
      <w:r w:rsidRPr="009A0DA6">
        <w:rPr>
          <w:rFonts w:ascii="Cambria" w:eastAsia="Times New Roman" w:hAnsi="Cambria" w:cstheme="minorHAnsi"/>
          <w:spacing w:val="-1"/>
        </w:rPr>
        <w:t>n</w:t>
      </w:r>
      <w:r w:rsidRPr="009A0DA6">
        <w:rPr>
          <w:rFonts w:ascii="Cambria" w:eastAsia="Times New Roman" w:hAnsi="Cambria" w:cstheme="minorHAnsi"/>
        </w:rPr>
        <w:t xml:space="preserve">ts </w:t>
      </w:r>
      <w:r w:rsidRPr="009A0DA6">
        <w:rPr>
          <w:rFonts w:ascii="Cambria" w:eastAsia="Times New Roman" w:hAnsi="Cambria" w:cstheme="minorHAnsi"/>
          <w:spacing w:val="1"/>
        </w:rPr>
        <w:t>pr</w:t>
      </w:r>
      <w:r w:rsidRPr="009A0DA6">
        <w:rPr>
          <w:rFonts w:ascii="Cambria" w:eastAsia="Times New Roman" w:hAnsi="Cambria" w:cstheme="minorHAnsi"/>
        </w:rPr>
        <w:t>e</w:t>
      </w:r>
      <w:r w:rsidRPr="009A0DA6">
        <w:rPr>
          <w:rFonts w:ascii="Cambria" w:eastAsia="Times New Roman" w:hAnsi="Cambria" w:cstheme="minorHAnsi"/>
          <w:spacing w:val="-1"/>
        </w:rPr>
        <w:t>s</w:t>
      </w:r>
      <w:r w:rsidRPr="009A0DA6">
        <w:rPr>
          <w:rFonts w:ascii="Cambria" w:eastAsia="Times New Roman" w:hAnsi="Cambria" w:cstheme="minorHAnsi"/>
          <w:spacing w:val="3"/>
        </w:rPr>
        <w:t>e</w:t>
      </w:r>
      <w:r w:rsidRPr="009A0DA6">
        <w:rPr>
          <w:rFonts w:ascii="Cambria" w:eastAsia="Times New Roman" w:hAnsi="Cambria" w:cstheme="minorHAnsi"/>
          <w:spacing w:val="-1"/>
        </w:rPr>
        <w:t>n</w:t>
      </w:r>
      <w:r w:rsidRPr="009A0DA6">
        <w:rPr>
          <w:rFonts w:ascii="Cambria" w:eastAsia="Times New Roman" w:hAnsi="Cambria" w:cstheme="minorHAnsi"/>
        </w:rPr>
        <w:t>t</w:t>
      </w:r>
      <w:r w:rsidRPr="009A0DA6">
        <w:rPr>
          <w:rFonts w:ascii="Cambria" w:eastAsia="Times New Roman" w:hAnsi="Cambria" w:cstheme="minorHAnsi"/>
          <w:spacing w:val="3"/>
        </w:rPr>
        <w:t xml:space="preserve"> </w:t>
      </w:r>
      <w:r w:rsidRPr="009A0DA6">
        <w:rPr>
          <w:rFonts w:ascii="Cambria" w:eastAsia="Times New Roman" w:hAnsi="Cambria" w:cstheme="minorHAnsi"/>
          <w:spacing w:val="1"/>
        </w:rPr>
        <w:t>f</w:t>
      </w:r>
      <w:r w:rsidRPr="009A0DA6">
        <w:rPr>
          <w:rFonts w:ascii="Cambria" w:eastAsia="Times New Roman" w:hAnsi="Cambria" w:cstheme="minorHAnsi"/>
        </w:rPr>
        <w:t>ai</w:t>
      </w:r>
      <w:r w:rsidRPr="009A0DA6">
        <w:rPr>
          <w:rFonts w:ascii="Cambria" w:eastAsia="Times New Roman" w:hAnsi="Cambria" w:cstheme="minorHAnsi"/>
          <w:spacing w:val="1"/>
        </w:rPr>
        <w:t>r</w:t>
      </w:r>
      <w:r w:rsidRPr="009A0DA6">
        <w:rPr>
          <w:rFonts w:ascii="Cambria" w:eastAsia="Times New Roman" w:hAnsi="Cambria" w:cstheme="minorHAnsi"/>
          <w:spacing w:val="2"/>
        </w:rPr>
        <w:t>l</w:t>
      </w:r>
      <w:r w:rsidRPr="009A0DA6">
        <w:rPr>
          <w:rFonts w:ascii="Cambria" w:eastAsia="Times New Roman" w:hAnsi="Cambria" w:cstheme="minorHAnsi"/>
        </w:rPr>
        <w:t>y</w:t>
      </w:r>
      <w:r w:rsidRPr="009A0DA6">
        <w:rPr>
          <w:rFonts w:ascii="Cambria" w:eastAsia="Times New Roman" w:hAnsi="Cambria" w:cstheme="minorHAnsi"/>
          <w:spacing w:val="1"/>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9"/>
        </w:rPr>
        <w:t xml:space="preserve"> </w:t>
      </w:r>
      <w:r w:rsidRPr="009A0DA6">
        <w:rPr>
          <w:rFonts w:ascii="Cambria" w:eastAsia="Times New Roman" w:hAnsi="Cambria" w:cstheme="minorHAnsi"/>
          <w:spacing w:val="-1"/>
        </w:rPr>
        <w:t>f</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spacing w:val="3"/>
        </w:rPr>
        <w:t>c</w:t>
      </w:r>
      <w:r w:rsidRPr="009A0DA6">
        <w:rPr>
          <w:rFonts w:ascii="Cambria" w:eastAsia="Times New Roman" w:hAnsi="Cambria" w:cstheme="minorHAnsi"/>
        </w:rPr>
        <w:t>ial</w:t>
      </w:r>
      <w:r w:rsidRPr="009A0DA6">
        <w:rPr>
          <w:rFonts w:ascii="Cambria" w:eastAsia="Times New Roman" w:hAnsi="Cambria" w:cstheme="minorHAnsi"/>
          <w:spacing w:val="1"/>
        </w:rPr>
        <w:t xml:space="preserve"> po</w:t>
      </w:r>
      <w:r w:rsidRPr="009A0DA6">
        <w:rPr>
          <w:rFonts w:ascii="Cambria" w:eastAsia="Times New Roman" w:hAnsi="Cambria" w:cstheme="minorHAnsi"/>
          <w:spacing w:val="-1"/>
        </w:rPr>
        <w:t>s</w:t>
      </w:r>
      <w:r w:rsidRPr="009A0DA6">
        <w:rPr>
          <w:rFonts w:ascii="Cambria" w:eastAsia="Times New Roman" w:hAnsi="Cambria" w:cstheme="minorHAnsi"/>
        </w:rPr>
        <w:t>iti</w:t>
      </w:r>
      <w:r w:rsidRPr="009A0DA6">
        <w:rPr>
          <w:rFonts w:ascii="Cambria" w:eastAsia="Times New Roman" w:hAnsi="Cambria" w:cstheme="minorHAnsi"/>
          <w:spacing w:val="1"/>
        </w:rPr>
        <w:t>o</w:t>
      </w:r>
      <w:r w:rsidRPr="009A0DA6">
        <w:rPr>
          <w:rFonts w:ascii="Cambria" w:eastAsia="Times New Roman" w:hAnsi="Cambria" w:cstheme="minorHAnsi"/>
        </w:rPr>
        <w:t>n</w:t>
      </w:r>
      <w:r w:rsidRPr="009A0DA6">
        <w:rPr>
          <w:rFonts w:ascii="Cambria" w:eastAsia="Times New Roman" w:hAnsi="Cambria" w:cstheme="minorHAnsi"/>
          <w:spacing w:val="1"/>
        </w:rPr>
        <w:t xml:space="preserve"> o</w:t>
      </w:r>
      <w:r w:rsidRPr="009A0DA6">
        <w:rPr>
          <w:rFonts w:ascii="Cambria" w:eastAsia="Times New Roman" w:hAnsi="Cambria" w:cstheme="minorHAnsi"/>
        </w:rPr>
        <w:t>f</w:t>
      </w:r>
      <w:r w:rsidRPr="009A0DA6">
        <w:rPr>
          <w:rFonts w:ascii="Cambria" w:eastAsia="Times New Roman" w:hAnsi="Cambria" w:cstheme="minorHAnsi"/>
          <w:spacing w:val="9"/>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7"/>
        </w:rPr>
        <w:t xml:space="preserve"> </w:t>
      </w:r>
      <w:r w:rsidRPr="009A0DA6">
        <w:rPr>
          <w:rFonts w:ascii="Cambria" w:eastAsia="Times New Roman" w:hAnsi="Cambria" w:cstheme="minorHAnsi"/>
          <w:spacing w:val="1"/>
        </w:rPr>
        <w:t>L</w:t>
      </w:r>
      <w:r w:rsidRPr="009A0DA6">
        <w:rPr>
          <w:rFonts w:ascii="Cambria" w:eastAsia="Times New Roman" w:hAnsi="Cambria" w:cstheme="minorHAnsi"/>
          <w:spacing w:val="-1"/>
        </w:rPr>
        <w:t>u</w:t>
      </w:r>
      <w:r w:rsidRPr="009A0DA6">
        <w:rPr>
          <w:rFonts w:ascii="Cambria" w:eastAsia="Times New Roman" w:hAnsi="Cambria" w:cstheme="minorHAnsi"/>
          <w:spacing w:val="2"/>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1"/>
        </w:rPr>
        <w:t>r</w:t>
      </w:r>
      <w:r w:rsidRPr="009A0DA6">
        <w:rPr>
          <w:rFonts w:ascii="Cambria" w:eastAsia="Times New Roman" w:hAnsi="Cambria" w:cstheme="minorHAnsi"/>
        </w:rPr>
        <w:t>an</w:t>
      </w:r>
      <w:r w:rsidRPr="009A0DA6">
        <w:rPr>
          <w:rFonts w:ascii="Cambria" w:eastAsia="Times New Roman" w:hAnsi="Cambria" w:cstheme="minorHAnsi"/>
          <w:spacing w:val="3"/>
        </w:rPr>
        <w:t xml:space="preserve"> </w:t>
      </w:r>
      <w:r w:rsidRPr="009A0DA6">
        <w:rPr>
          <w:rFonts w:ascii="Cambria" w:eastAsia="Times New Roman" w:hAnsi="Cambria" w:cstheme="minorHAnsi"/>
          <w:spacing w:val="-1"/>
        </w:rPr>
        <w:t>C</w:t>
      </w:r>
      <w:r w:rsidRPr="009A0DA6">
        <w:rPr>
          <w:rFonts w:ascii="Cambria" w:eastAsia="Times New Roman" w:hAnsi="Cambria" w:cstheme="minorHAnsi"/>
          <w:spacing w:val="1"/>
        </w:rPr>
        <w:t>h</w:t>
      </w:r>
      <w:r w:rsidRPr="009A0DA6">
        <w:rPr>
          <w:rFonts w:ascii="Cambria" w:eastAsia="Times New Roman" w:hAnsi="Cambria" w:cstheme="minorHAnsi"/>
          <w:spacing w:val="-1"/>
        </w:rPr>
        <w:t>u</w:t>
      </w:r>
      <w:r w:rsidRPr="009A0DA6">
        <w:rPr>
          <w:rFonts w:ascii="Cambria" w:eastAsia="Times New Roman" w:hAnsi="Cambria" w:cstheme="minorHAnsi"/>
          <w:spacing w:val="1"/>
        </w:rPr>
        <w:t>r</w:t>
      </w:r>
      <w:r w:rsidRPr="009A0DA6">
        <w:rPr>
          <w:rFonts w:ascii="Cambria" w:eastAsia="Times New Roman" w:hAnsi="Cambria" w:cstheme="minorHAnsi"/>
          <w:spacing w:val="3"/>
        </w:rPr>
        <w:t>c</w:t>
      </w:r>
      <w:r w:rsidRPr="009A0DA6">
        <w:rPr>
          <w:rFonts w:ascii="Cambria" w:eastAsia="Times New Roman" w:hAnsi="Cambria" w:cstheme="minorHAnsi"/>
        </w:rPr>
        <w:t>h</w:t>
      </w:r>
      <w:r w:rsidRPr="009A0DA6">
        <w:rPr>
          <w:rFonts w:ascii="Cambria" w:eastAsia="Times New Roman" w:hAnsi="Cambria" w:cstheme="minorHAnsi"/>
          <w:spacing w:val="2"/>
        </w:rPr>
        <w:t xml:space="preserve"> </w:t>
      </w:r>
      <w:r w:rsidRPr="009A0DA6">
        <w:rPr>
          <w:rFonts w:ascii="Cambria" w:eastAsia="Times New Roman" w:hAnsi="Cambria" w:cstheme="minorHAnsi"/>
          <w:spacing w:val="1"/>
        </w:rPr>
        <w:t>o</w:t>
      </w:r>
      <w:r w:rsidRPr="009A0DA6">
        <w:rPr>
          <w:rFonts w:ascii="Cambria" w:eastAsia="Times New Roman" w:hAnsi="Cambria" w:cstheme="minorHAnsi"/>
        </w:rPr>
        <w:t>f</w:t>
      </w:r>
      <w:r w:rsidRPr="009A0DA6">
        <w:rPr>
          <w:rFonts w:ascii="Cambria" w:eastAsia="Times New Roman" w:hAnsi="Cambria" w:cstheme="minorHAnsi"/>
          <w:spacing w:val="9"/>
        </w:rPr>
        <w:t xml:space="preserve"> </w:t>
      </w:r>
      <w:r w:rsidRPr="009A0DA6">
        <w:rPr>
          <w:rFonts w:ascii="Cambria" w:eastAsia="Times New Roman" w:hAnsi="Cambria" w:cstheme="minorHAnsi"/>
          <w:spacing w:val="-2"/>
        </w:rPr>
        <w:t>A</w:t>
      </w:r>
      <w:r w:rsidRPr="009A0DA6">
        <w:rPr>
          <w:rFonts w:ascii="Cambria" w:eastAsia="Times New Roman" w:hAnsi="Cambria" w:cstheme="minorHAnsi"/>
          <w:spacing w:val="1"/>
        </w:rPr>
        <w:t>u</w:t>
      </w:r>
      <w:r w:rsidRPr="009A0DA6">
        <w:rPr>
          <w:rFonts w:ascii="Cambria" w:eastAsia="Times New Roman" w:hAnsi="Cambria" w:cstheme="minorHAnsi"/>
          <w:spacing w:val="-1"/>
        </w:rPr>
        <w:t>s</w:t>
      </w:r>
      <w:r w:rsidRPr="009A0DA6">
        <w:rPr>
          <w:rFonts w:ascii="Cambria" w:eastAsia="Times New Roman" w:hAnsi="Cambria" w:cstheme="minorHAnsi"/>
          <w:spacing w:val="2"/>
        </w:rPr>
        <w:t>t</w:t>
      </w:r>
      <w:r w:rsidRPr="009A0DA6">
        <w:rPr>
          <w:rFonts w:ascii="Cambria" w:eastAsia="Times New Roman" w:hAnsi="Cambria" w:cstheme="minorHAnsi"/>
          <w:spacing w:val="1"/>
        </w:rPr>
        <w:t>r</w:t>
      </w:r>
      <w:r w:rsidRPr="009A0DA6">
        <w:rPr>
          <w:rFonts w:ascii="Cambria" w:eastAsia="Times New Roman" w:hAnsi="Cambria" w:cstheme="minorHAnsi"/>
        </w:rPr>
        <w:t xml:space="preserve">alia </w:t>
      </w:r>
      <w:r w:rsidRPr="009A0DA6">
        <w:rPr>
          <w:rFonts w:ascii="Cambria" w:eastAsia="Times New Roman" w:hAnsi="Cambria" w:cstheme="minorHAnsi"/>
          <w:spacing w:val="1"/>
        </w:rPr>
        <w:t>I</w:t>
      </w:r>
      <w:r w:rsidRPr="009A0DA6">
        <w:rPr>
          <w:rFonts w:ascii="Cambria" w:eastAsia="Times New Roman" w:hAnsi="Cambria" w:cstheme="minorHAnsi"/>
          <w:spacing w:val="-1"/>
        </w:rPr>
        <w:t>n</w:t>
      </w:r>
      <w:r w:rsidRPr="009A0DA6">
        <w:rPr>
          <w:rFonts w:ascii="Cambria" w:eastAsia="Times New Roman" w:hAnsi="Cambria" w:cstheme="minorHAnsi"/>
        </w:rPr>
        <w:t>c</w:t>
      </w:r>
      <w:r w:rsidRPr="009A0DA6">
        <w:rPr>
          <w:rFonts w:ascii="Cambria" w:eastAsia="Times New Roman" w:hAnsi="Cambria" w:cstheme="minorHAnsi"/>
          <w:spacing w:val="1"/>
        </w:rPr>
        <w:t>orpor</w:t>
      </w:r>
      <w:r w:rsidRPr="009A0DA6">
        <w:rPr>
          <w:rFonts w:ascii="Cambria" w:eastAsia="Times New Roman" w:hAnsi="Cambria" w:cstheme="minorHAnsi"/>
        </w:rPr>
        <w:t>ated</w:t>
      </w:r>
      <w:r w:rsidRPr="009A0DA6">
        <w:rPr>
          <w:rFonts w:ascii="Cambria" w:eastAsia="Times New Roman" w:hAnsi="Cambria" w:cstheme="minorHAnsi"/>
          <w:spacing w:val="-8"/>
        </w:rPr>
        <w:t xml:space="preserve"> </w:t>
      </w:r>
      <w:r w:rsidRPr="009A0DA6">
        <w:rPr>
          <w:rFonts w:ascii="Cambria" w:eastAsia="Times New Roman" w:hAnsi="Cambria" w:cstheme="minorHAnsi"/>
        </w:rPr>
        <w:t>as</w:t>
      </w:r>
      <w:r w:rsidRPr="009A0DA6">
        <w:rPr>
          <w:rFonts w:ascii="Cambria" w:eastAsia="Times New Roman" w:hAnsi="Cambria" w:cstheme="minorHAnsi"/>
          <w:spacing w:val="-2"/>
        </w:rPr>
        <w:t xml:space="preserve"> </w:t>
      </w:r>
      <w:r w:rsidRPr="009A0DA6">
        <w:rPr>
          <w:rFonts w:ascii="Cambria" w:eastAsia="Times New Roman" w:hAnsi="Cambria" w:cstheme="minorHAnsi"/>
        </w:rPr>
        <w:t>at</w:t>
      </w:r>
      <w:r w:rsidRPr="009A0DA6">
        <w:rPr>
          <w:rFonts w:ascii="Cambria" w:eastAsia="Times New Roman" w:hAnsi="Cambria" w:cstheme="minorHAnsi"/>
          <w:spacing w:val="-3"/>
        </w:rPr>
        <w:t xml:space="preserve"> </w:t>
      </w:r>
      <w:r w:rsidRPr="009A0DA6">
        <w:rPr>
          <w:rFonts w:ascii="Cambria" w:eastAsia="Times New Roman" w:hAnsi="Cambria" w:cstheme="minorHAnsi"/>
          <w:spacing w:val="1"/>
        </w:rPr>
        <w:t>3</w:t>
      </w:r>
      <w:r w:rsidRPr="009A0DA6">
        <w:rPr>
          <w:rFonts w:ascii="Cambria" w:eastAsia="Times New Roman" w:hAnsi="Cambria" w:cstheme="minorHAnsi"/>
        </w:rPr>
        <w:t>1 Dece</w:t>
      </w:r>
      <w:r w:rsidRPr="009A0DA6">
        <w:rPr>
          <w:rFonts w:ascii="Cambria" w:eastAsia="Times New Roman" w:hAnsi="Cambria" w:cstheme="minorHAnsi"/>
          <w:spacing w:val="-4"/>
        </w:rPr>
        <w:t>m</w:t>
      </w:r>
      <w:r w:rsidRPr="009A0DA6">
        <w:rPr>
          <w:rFonts w:ascii="Cambria" w:eastAsia="Times New Roman" w:hAnsi="Cambria" w:cstheme="minorHAnsi"/>
          <w:spacing w:val="4"/>
        </w:rPr>
        <w:t>b</w:t>
      </w:r>
      <w:r w:rsidRPr="009A0DA6">
        <w:rPr>
          <w:rFonts w:ascii="Cambria" w:eastAsia="Times New Roman" w:hAnsi="Cambria" w:cstheme="minorHAnsi"/>
        </w:rPr>
        <w:t>er</w:t>
      </w:r>
      <w:r w:rsidRPr="009A0DA6">
        <w:rPr>
          <w:rFonts w:ascii="Cambria" w:eastAsia="Times New Roman" w:hAnsi="Cambria" w:cstheme="minorHAnsi"/>
          <w:spacing w:val="-7"/>
        </w:rPr>
        <w:t xml:space="preserve"> </w:t>
      </w:r>
      <w:r w:rsidRPr="009A0DA6">
        <w:rPr>
          <w:rFonts w:ascii="Cambria" w:eastAsia="Times New Roman" w:hAnsi="Cambria" w:cstheme="minorHAnsi"/>
          <w:spacing w:val="1"/>
        </w:rPr>
        <w:t>20</w:t>
      </w:r>
      <w:r w:rsidRPr="009A0DA6">
        <w:rPr>
          <w:rFonts w:ascii="Cambria" w:eastAsia="Times New Roman" w:hAnsi="Cambria" w:cstheme="minorHAnsi"/>
          <w:spacing w:val="-1"/>
        </w:rPr>
        <w:t>1</w:t>
      </w:r>
      <w:r w:rsidRPr="009A0DA6">
        <w:rPr>
          <w:rFonts w:ascii="Cambria" w:eastAsia="Times New Roman" w:hAnsi="Cambria" w:cstheme="minorHAnsi"/>
        </w:rPr>
        <w:t>7</w:t>
      </w:r>
      <w:r w:rsidRPr="009A0DA6">
        <w:rPr>
          <w:rFonts w:ascii="Cambria" w:eastAsia="Times New Roman" w:hAnsi="Cambria" w:cstheme="minorHAnsi"/>
          <w:spacing w:val="-2"/>
        </w:rPr>
        <w:t xml:space="preserve"> </w:t>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spacing w:val="-1"/>
        </w:rPr>
        <w:t xml:space="preserve"> </w:t>
      </w:r>
      <w:r w:rsidRPr="009A0DA6">
        <w:rPr>
          <w:rFonts w:ascii="Cambria" w:eastAsia="Times New Roman" w:hAnsi="Cambria" w:cstheme="minorHAnsi"/>
        </w:rPr>
        <w:t>its</w:t>
      </w:r>
      <w:r w:rsidRPr="009A0DA6">
        <w:rPr>
          <w:rFonts w:ascii="Cambria" w:eastAsia="Times New Roman" w:hAnsi="Cambria" w:cstheme="minorHAnsi"/>
          <w:spacing w:val="-2"/>
        </w:rPr>
        <w:t xml:space="preserve"> </w:t>
      </w:r>
      <w:r w:rsidRPr="009A0DA6">
        <w:rPr>
          <w:rFonts w:ascii="Cambria" w:eastAsia="Times New Roman" w:hAnsi="Cambria" w:cstheme="minorHAnsi"/>
          <w:spacing w:val="1"/>
        </w:rPr>
        <w:t>p</w:t>
      </w:r>
      <w:r w:rsidRPr="009A0DA6">
        <w:rPr>
          <w:rFonts w:ascii="Cambria" w:eastAsia="Times New Roman" w:hAnsi="Cambria" w:cstheme="minorHAnsi"/>
        </w:rPr>
        <w:t>e</w:t>
      </w:r>
      <w:r w:rsidRPr="009A0DA6">
        <w:rPr>
          <w:rFonts w:ascii="Cambria" w:eastAsia="Times New Roman" w:hAnsi="Cambria" w:cstheme="minorHAnsi"/>
          <w:spacing w:val="1"/>
        </w:rPr>
        <w:t>r</w:t>
      </w:r>
      <w:r w:rsidRPr="009A0DA6">
        <w:rPr>
          <w:rFonts w:ascii="Cambria" w:eastAsia="Times New Roman" w:hAnsi="Cambria" w:cstheme="minorHAnsi"/>
          <w:spacing w:val="-1"/>
        </w:rPr>
        <w:t>f</w:t>
      </w:r>
      <w:r w:rsidRPr="009A0DA6">
        <w:rPr>
          <w:rFonts w:ascii="Cambria" w:eastAsia="Times New Roman" w:hAnsi="Cambria" w:cstheme="minorHAnsi"/>
          <w:spacing w:val="1"/>
        </w:rPr>
        <w:t>or</w:t>
      </w:r>
      <w:r w:rsidRPr="009A0DA6">
        <w:rPr>
          <w:rFonts w:ascii="Cambria" w:eastAsia="Times New Roman" w:hAnsi="Cambria" w:cstheme="minorHAnsi"/>
          <w:spacing w:val="-4"/>
        </w:rPr>
        <w:t>m</w:t>
      </w:r>
      <w:r w:rsidRPr="009A0DA6">
        <w:rPr>
          <w:rFonts w:ascii="Cambria" w:eastAsia="Times New Roman" w:hAnsi="Cambria" w:cstheme="minorHAnsi"/>
          <w:spacing w:val="3"/>
        </w:rPr>
        <w:t>a</w:t>
      </w:r>
      <w:r w:rsidRPr="009A0DA6">
        <w:rPr>
          <w:rFonts w:ascii="Cambria" w:eastAsia="Times New Roman" w:hAnsi="Cambria" w:cstheme="minorHAnsi"/>
          <w:spacing w:val="-1"/>
        </w:rPr>
        <w:t>n</w:t>
      </w:r>
      <w:r w:rsidRPr="009A0DA6">
        <w:rPr>
          <w:rFonts w:ascii="Cambria" w:eastAsia="Times New Roman" w:hAnsi="Cambria" w:cstheme="minorHAnsi"/>
        </w:rPr>
        <w:t>ce</w:t>
      </w:r>
      <w:r w:rsidRPr="009A0DA6">
        <w:rPr>
          <w:rFonts w:ascii="Cambria" w:eastAsia="Times New Roman" w:hAnsi="Cambria" w:cstheme="minorHAnsi"/>
          <w:spacing w:val="-9"/>
        </w:rPr>
        <w:t xml:space="preserve"> </w:t>
      </w:r>
      <w:r w:rsidRPr="009A0DA6">
        <w:rPr>
          <w:rFonts w:ascii="Cambria" w:eastAsia="Times New Roman" w:hAnsi="Cambria" w:cstheme="minorHAnsi"/>
          <w:spacing w:val="1"/>
        </w:rPr>
        <w:t>fo</w:t>
      </w:r>
      <w:r w:rsidRPr="009A0DA6">
        <w:rPr>
          <w:rFonts w:ascii="Cambria" w:eastAsia="Times New Roman" w:hAnsi="Cambria" w:cstheme="minorHAnsi"/>
        </w:rPr>
        <w:t>r</w:t>
      </w:r>
      <w:r w:rsidRPr="009A0DA6">
        <w:rPr>
          <w:rFonts w:ascii="Cambria" w:eastAsia="Times New Roman" w:hAnsi="Cambria" w:cstheme="minorHAnsi"/>
          <w:spacing w:val="-1"/>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1"/>
        </w:rPr>
        <w:t xml:space="preserve"> </w:t>
      </w:r>
      <w:r w:rsidRPr="009A0DA6">
        <w:rPr>
          <w:rFonts w:ascii="Cambria" w:eastAsia="Times New Roman" w:hAnsi="Cambria" w:cstheme="minorHAnsi"/>
          <w:spacing w:val="-4"/>
        </w:rPr>
        <w:t>y</w:t>
      </w:r>
      <w:r w:rsidRPr="009A0DA6">
        <w:rPr>
          <w:rFonts w:ascii="Cambria" w:eastAsia="Times New Roman" w:hAnsi="Cambria" w:cstheme="minorHAnsi"/>
        </w:rPr>
        <w:t>ear</w:t>
      </w:r>
      <w:r w:rsidRPr="009A0DA6">
        <w:rPr>
          <w:rFonts w:ascii="Cambria" w:eastAsia="Times New Roman" w:hAnsi="Cambria" w:cstheme="minorHAnsi"/>
          <w:spacing w:val="-2"/>
        </w:rPr>
        <w:t xml:space="preserve"> </w:t>
      </w:r>
      <w:r w:rsidRPr="009A0DA6">
        <w:rPr>
          <w:rFonts w:ascii="Cambria" w:eastAsia="Times New Roman" w:hAnsi="Cambria" w:cstheme="minorHAnsi"/>
        </w:rPr>
        <w:t>e</w:t>
      </w:r>
      <w:r w:rsidRPr="009A0DA6">
        <w:rPr>
          <w:rFonts w:ascii="Cambria" w:eastAsia="Times New Roman" w:hAnsi="Cambria" w:cstheme="minorHAnsi"/>
          <w:spacing w:val="-1"/>
        </w:rPr>
        <w:t>n</w:t>
      </w:r>
      <w:r w:rsidRPr="009A0DA6">
        <w:rPr>
          <w:rFonts w:ascii="Cambria" w:eastAsia="Times New Roman" w:hAnsi="Cambria" w:cstheme="minorHAnsi"/>
          <w:spacing w:val="1"/>
        </w:rPr>
        <w:t>d</w:t>
      </w:r>
      <w:r w:rsidRPr="009A0DA6">
        <w:rPr>
          <w:rFonts w:ascii="Cambria" w:eastAsia="Times New Roman" w:hAnsi="Cambria" w:cstheme="minorHAnsi"/>
        </w:rPr>
        <w:t>ed</w:t>
      </w:r>
      <w:r w:rsidRPr="009A0DA6">
        <w:rPr>
          <w:rFonts w:ascii="Cambria" w:eastAsia="Times New Roman" w:hAnsi="Cambria" w:cstheme="minorHAnsi"/>
          <w:spacing w:val="-3"/>
        </w:rPr>
        <w:t xml:space="preserve"> </w:t>
      </w:r>
      <w:r w:rsidRPr="009A0DA6">
        <w:rPr>
          <w:rFonts w:ascii="Cambria" w:eastAsia="Times New Roman" w:hAnsi="Cambria" w:cstheme="minorHAnsi"/>
          <w:spacing w:val="1"/>
        </w:rPr>
        <w:t>o</w:t>
      </w:r>
      <w:r w:rsidRPr="009A0DA6">
        <w:rPr>
          <w:rFonts w:ascii="Cambria" w:eastAsia="Times New Roman" w:hAnsi="Cambria" w:cstheme="minorHAnsi"/>
        </w:rPr>
        <w:t>n</w:t>
      </w:r>
      <w:r w:rsidRPr="009A0DA6">
        <w:rPr>
          <w:rFonts w:ascii="Cambria" w:eastAsia="Times New Roman" w:hAnsi="Cambria" w:cstheme="minorHAnsi"/>
          <w:spacing w:val="-3"/>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at</w:t>
      </w:r>
      <w:r w:rsidRPr="009A0DA6">
        <w:rPr>
          <w:rFonts w:ascii="Cambria" w:eastAsia="Times New Roman" w:hAnsi="Cambria" w:cstheme="minorHAnsi"/>
          <w:spacing w:val="-3"/>
        </w:rPr>
        <w:t xml:space="preserve"> </w:t>
      </w:r>
      <w:r w:rsidRPr="009A0DA6">
        <w:rPr>
          <w:rFonts w:ascii="Cambria" w:eastAsia="Times New Roman" w:hAnsi="Cambria" w:cstheme="minorHAnsi"/>
          <w:spacing w:val="1"/>
        </w:rPr>
        <w:t>d</w:t>
      </w:r>
      <w:r w:rsidRPr="009A0DA6">
        <w:rPr>
          <w:rFonts w:ascii="Cambria" w:eastAsia="Times New Roman" w:hAnsi="Cambria" w:cstheme="minorHAnsi"/>
        </w:rPr>
        <w:t>ate.</w:t>
      </w:r>
    </w:p>
    <w:p w14:paraId="4948F68E" w14:textId="37873547" w:rsidR="00BA4592" w:rsidRPr="009A0DA6" w:rsidRDefault="00BA4592" w:rsidP="00F55252">
      <w:pPr>
        <w:pStyle w:val="ListParagraph"/>
        <w:numPr>
          <w:ilvl w:val="1"/>
          <w:numId w:val="276"/>
        </w:numPr>
        <w:spacing w:before="120" w:after="120" w:line="240" w:lineRule="auto"/>
        <w:ind w:left="567" w:right="53" w:hanging="567"/>
        <w:rPr>
          <w:rFonts w:ascii="Cambria" w:eastAsia="Times New Roman" w:hAnsi="Cambria" w:cstheme="minorHAnsi"/>
        </w:rPr>
      </w:pPr>
      <w:r w:rsidRPr="009A0DA6">
        <w:rPr>
          <w:rFonts w:ascii="Cambria" w:eastAsia="Times New Roman" w:hAnsi="Cambria" w:cstheme="minorHAnsi"/>
          <w:spacing w:val="-2"/>
        </w:rPr>
        <w:t>A</w:t>
      </w:r>
      <w:r w:rsidRPr="009A0DA6">
        <w:rPr>
          <w:rFonts w:ascii="Cambria" w:eastAsia="Times New Roman" w:hAnsi="Cambria" w:cstheme="minorHAnsi"/>
        </w:rPr>
        <w:t>t</w:t>
      </w:r>
      <w:r w:rsidRPr="009A0DA6">
        <w:rPr>
          <w:rFonts w:ascii="Cambria" w:eastAsia="Times New Roman" w:hAnsi="Cambria" w:cstheme="minorHAnsi"/>
          <w:spacing w:val="8"/>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6"/>
        </w:rPr>
        <w:t xml:space="preserve"> </w:t>
      </w:r>
      <w:r w:rsidRPr="009A0DA6">
        <w:rPr>
          <w:rFonts w:ascii="Cambria" w:eastAsia="Times New Roman" w:hAnsi="Cambria" w:cstheme="minorHAnsi"/>
          <w:spacing w:val="1"/>
        </w:rPr>
        <w:t>d</w:t>
      </w:r>
      <w:r w:rsidRPr="009A0DA6">
        <w:rPr>
          <w:rFonts w:ascii="Cambria" w:eastAsia="Times New Roman" w:hAnsi="Cambria" w:cstheme="minorHAnsi"/>
        </w:rPr>
        <w:t>ate</w:t>
      </w:r>
      <w:r w:rsidRPr="009A0DA6">
        <w:rPr>
          <w:rFonts w:ascii="Cambria" w:eastAsia="Times New Roman" w:hAnsi="Cambria" w:cstheme="minorHAnsi"/>
          <w:spacing w:val="5"/>
        </w:rPr>
        <w:t xml:space="preserve"> </w:t>
      </w:r>
      <w:r w:rsidRPr="009A0DA6">
        <w:rPr>
          <w:rFonts w:ascii="Cambria" w:eastAsia="Times New Roman" w:hAnsi="Cambria" w:cstheme="minorHAnsi"/>
          <w:spacing w:val="1"/>
        </w:rPr>
        <w:t>o</w:t>
      </w:r>
      <w:r w:rsidRPr="009A0DA6">
        <w:rPr>
          <w:rFonts w:ascii="Cambria" w:eastAsia="Times New Roman" w:hAnsi="Cambria" w:cstheme="minorHAnsi"/>
        </w:rPr>
        <w:t>f</w:t>
      </w:r>
      <w:r w:rsidRPr="009A0DA6">
        <w:rPr>
          <w:rFonts w:ascii="Cambria" w:eastAsia="Times New Roman" w:hAnsi="Cambria" w:cstheme="minorHAnsi"/>
          <w:spacing w:val="7"/>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spacing w:val="2"/>
        </w:rPr>
        <w:t>i</w:t>
      </w:r>
      <w:r w:rsidRPr="009A0DA6">
        <w:rPr>
          <w:rFonts w:ascii="Cambria" w:eastAsia="Times New Roman" w:hAnsi="Cambria" w:cstheme="minorHAnsi"/>
        </w:rPr>
        <w:t>s</w:t>
      </w:r>
      <w:r w:rsidRPr="009A0DA6">
        <w:rPr>
          <w:rFonts w:ascii="Cambria" w:eastAsia="Times New Roman" w:hAnsi="Cambria" w:cstheme="minorHAnsi"/>
          <w:spacing w:val="4"/>
        </w:rPr>
        <w:t xml:space="preserve"> </w:t>
      </w:r>
      <w:r w:rsidRPr="009A0DA6">
        <w:rPr>
          <w:rFonts w:ascii="Cambria" w:eastAsia="Times New Roman" w:hAnsi="Cambria" w:cstheme="minorHAnsi"/>
          <w:spacing w:val="-1"/>
        </w:rPr>
        <w:t>s</w:t>
      </w:r>
      <w:r w:rsidRPr="009A0DA6">
        <w:rPr>
          <w:rFonts w:ascii="Cambria" w:eastAsia="Times New Roman" w:hAnsi="Cambria" w:cstheme="minorHAnsi"/>
        </w:rPr>
        <w:t>t</w:t>
      </w:r>
      <w:r w:rsidRPr="009A0DA6">
        <w:rPr>
          <w:rFonts w:ascii="Cambria" w:eastAsia="Times New Roman" w:hAnsi="Cambria" w:cstheme="minorHAnsi"/>
          <w:spacing w:val="3"/>
        </w:rPr>
        <w:t>a</w:t>
      </w:r>
      <w:r w:rsidRPr="009A0DA6">
        <w:rPr>
          <w:rFonts w:ascii="Cambria" w:eastAsia="Times New Roman" w:hAnsi="Cambria" w:cstheme="minorHAnsi"/>
        </w:rPr>
        <w:t>t</w:t>
      </w:r>
      <w:r w:rsidRPr="009A0DA6">
        <w:rPr>
          <w:rFonts w:ascii="Cambria" w:eastAsia="Times New Roman" w:hAnsi="Cambria" w:cstheme="minorHAnsi"/>
          <w:spacing w:val="3"/>
        </w:rPr>
        <w:t>e</w:t>
      </w:r>
      <w:r w:rsidRPr="009A0DA6">
        <w:rPr>
          <w:rFonts w:ascii="Cambria" w:eastAsia="Times New Roman" w:hAnsi="Cambria" w:cstheme="minorHAnsi"/>
          <w:spacing w:val="-4"/>
        </w:rPr>
        <w:t>m</w:t>
      </w:r>
      <w:r w:rsidRPr="009A0DA6">
        <w:rPr>
          <w:rFonts w:ascii="Cambria" w:eastAsia="Times New Roman" w:hAnsi="Cambria" w:cstheme="minorHAnsi"/>
          <w:spacing w:val="3"/>
        </w:rPr>
        <w:t>e</w:t>
      </w:r>
      <w:r w:rsidRPr="009A0DA6">
        <w:rPr>
          <w:rFonts w:ascii="Cambria" w:eastAsia="Times New Roman" w:hAnsi="Cambria" w:cstheme="minorHAnsi"/>
          <w:spacing w:val="-1"/>
        </w:rPr>
        <w:t>n</w:t>
      </w:r>
      <w:r w:rsidRPr="009A0DA6">
        <w:rPr>
          <w:rFonts w:ascii="Cambria" w:eastAsia="Times New Roman" w:hAnsi="Cambria" w:cstheme="minorHAnsi"/>
        </w:rPr>
        <w:t>t</w:t>
      </w:r>
      <w:r w:rsidRPr="009A0DA6">
        <w:rPr>
          <w:rFonts w:ascii="Cambria" w:eastAsia="Times New Roman" w:hAnsi="Cambria" w:cstheme="minorHAnsi"/>
          <w:spacing w:val="-1"/>
        </w:rPr>
        <w:t xml:space="preserve"> </w:t>
      </w:r>
      <w:r w:rsidRPr="009A0DA6">
        <w:rPr>
          <w:rFonts w:ascii="Cambria" w:eastAsia="Times New Roman" w:hAnsi="Cambria" w:cstheme="minorHAnsi"/>
          <w:spacing w:val="2"/>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4"/>
        </w:rPr>
        <w:t xml:space="preserve"> </w:t>
      </w:r>
      <w:r w:rsidRPr="009A0DA6">
        <w:rPr>
          <w:rFonts w:ascii="Cambria" w:eastAsia="Times New Roman" w:hAnsi="Cambria" w:cstheme="minorHAnsi"/>
        </w:rPr>
        <w:t>a</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6"/>
        </w:rPr>
        <w:t xml:space="preserve"> </w:t>
      </w:r>
      <w:r w:rsidRPr="009A0DA6">
        <w:rPr>
          <w:rFonts w:ascii="Cambria" w:eastAsia="Times New Roman" w:hAnsi="Cambria" w:cstheme="minorHAnsi"/>
          <w:spacing w:val="1"/>
        </w:rPr>
        <w:t>r</w:t>
      </w:r>
      <w:r w:rsidRPr="009A0DA6">
        <w:rPr>
          <w:rFonts w:ascii="Cambria" w:eastAsia="Times New Roman" w:hAnsi="Cambria" w:cstheme="minorHAnsi"/>
        </w:rPr>
        <w:t>ea</w:t>
      </w:r>
      <w:r w:rsidRPr="009A0DA6">
        <w:rPr>
          <w:rFonts w:ascii="Cambria" w:eastAsia="Times New Roman" w:hAnsi="Cambria" w:cstheme="minorHAnsi"/>
          <w:spacing w:val="-1"/>
        </w:rPr>
        <w:t>s</w:t>
      </w:r>
      <w:r w:rsidRPr="009A0DA6">
        <w:rPr>
          <w:rFonts w:ascii="Cambria" w:eastAsia="Times New Roman" w:hAnsi="Cambria" w:cstheme="minorHAnsi"/>
          <w:spacing w:val="1"/>
        </w:rPr>
        <w:t>o</w:t>
      </w:r>
      <w:r w:rsidRPr="009A0DA6">
        <w:rPr>
          <w:rFonts w:ascii="Cambria" w:eastAsia="Times New Roman" w:hAnsi="Cambria" w:cstheme="minorHAnsi"/>
          <w:spacing w:val="-1"/>
        </w:rPr>
        <w:t>n</w:t>
      </w:r>
      <w:r w:rsidRPr="009A0DA6">
        <w:rPr>
          <w:rFonts w:ascii="Cambria" w:eastAsia="Times New Roman" w:hAnsi="Cambria" w:cstheme="minorHAnsi"/>
        </w:rPr>
        <w:t>a</w:t>
      </w:r>
      <w:r w:rsidRPr="009A0DA6">
        <w:rPr>
          <w:rFonts w:ascii="Cambria" w:eastAsia="Times New Roman" w:hAnsi="Cambria" w:cstheme="minorHAnsi"/>
          <w:spacing w:val="1"/>
        </w:rPr>
        <w:t>b</w:t>
      </w:r>
      <w:r w:rsidRPr="009A0DA6">
        <w:rPr>
          <w:rFonts w:ascii="Cambria" w:eastAsia="Times New Roman" w:hAnsi="Cambria" w:cstheme="minorHAnsi"/>
        </w:rPr>
        <w:t>le</w:t>
      </w:r>
      <w:r w:rsidRPr="009A0DA6">
        <w:rPr>
          <w:rFonts w:ascii="Cambria" w:eastAsia="Times New Roman" w:hAnsi="Cambria" w:cstheme="minorHAnsi"/>
          <w:spacing w:val="-1"/>
        </w:rPr>
        <w:t xml:space="preserve"> g</w:t>
      </w:r>
      <w:r w:rsidRPr="009A0DA6">
        <w:rPr>
          <w:rFonts w:ascii="Cambria" w:eastAsia="Times New Roman" w:hAnsi="Cambria" w:cstheme="minorHAnsi"/>
          <w:spacing w:val="1"/>
        </w:rPr>
        <w:t>rou</w:t>
      </w:r>
      <w:r w:rsidRPr="009A0DA6">
        <w:rPr>
          <w:rFonts w:ascii="Cambria" w:eastAsia="Times New Roman" w:hAnsi="Cambria" w:cstheme="minorHAnsi"/>
          <w:spacing w:val="-1"/>
        </w:rPr>
        <w:t>n</w:t>
      </w:r>
      <w:r w:rsidRPr="009A0DA6">
        <w:rPr>
          <w:rFonts w:ascii="Cambria" w:eastAsia="Times New Roman" w:hAnsi="Cambria" w:cstheme="minorHAnsi"/>
          <w:spacing w:val="1"/>
        </w:rPr>
        <w:t>d</w:t>
      </w:r>
      <w:r w:rsidRPr="009A0DA6">
        <w:rPr>
          <w:rFonts w:ascii="Cambria" w:eastAsia="Times New Roman" w:hAnsi="Cambria" w:cstheme="minorHAnsi"/>
        </w:rPr>
        <w:t>s</w:t>
      </w:r>
      <w:r w:rsidRPr="009A0DA6">
        <w:rPr>
          <w:rFonts w:ascii="Cambria" w:eastAsia="Times New Roman" w:hAnsi="Cambria" w:cstheme="minorHAnsi"/>
          <w:spacing w:val="1"/>
        </w:rPr>
        <w:t xml:space="preserve"> </w:t>
      </w:r>
      <w:r w:rsidRPr="009A0DA6">
        <w:rPr>
          <w:rFonts w:ascii="Cambria" w:eastAsia="Times New Roman" w:hAnsi="Cambria" w:cstheme="minorHAnsi"/>
          <w:spacing w:val="2"/>
        </w:rPr>
        <w:t>t</w:t>
      </w:r>
      <w:r w:rsidRPr="009A0DA6">
        <w:rPr>
          <w:rFonts w:ascii="Cambria" w:eastAsia="Times New Roman" w:hAnsi="Cambria" w:cstheme="minorHAnsi"/>
        </w:rPr>
        <w:t>o</w:t>
      </w:r>
      <w:r w:rsidRPr="009A0DA6">
        <w:rPr>
          <w:rFonts w:ascii="Cambria" w:eastAsia="Times New Roman" w:hAnsi="Cambria" w:cstheme="minorHAnsi"/>
          <w:spacing w:val="7"/>
        </w:rPr>
        <w:t xml:space="preserve"> </w:t>
      </w:r>
      <w:r w:rsidRPr="009A0DA6">
        <w:rPr>
          <w:rFonts w:ascii="Cambria" w:eastAsia="Times New Roman" w:hAnsi="Cambria" w:cstheme="minorHAnsi"/>
          <w:spacing w:val="1"/>
        </w:rPr>
        <w:t>b</w:t>
      </w:r>
      <w:r w:rsidRPr="009A0DA6">
        <w:rPr>
          <w:rFonts w:ascii="Cambria" w:eastAsia="Times New Roman" w:hAnsi="Cambria" w:cstheme="minorHAnsi"/>
        </w:rPr>
        <w:t>elie</w:t>
      </w:r>
      <w:r w:rsidRPr="009A0DA6">
        <w:rPr>
          <w:rFonts w:ascii="Cambria" w:eastAsia="Times New Roman" w:hAnsi="Cambria" w:cstheme="minorHAnsi"/>
          <w:spacing w:val="-1"/>
        </w:rPr>
        <w:t>v</w:t>
      </w:r>
      <w:r w:rsidRPr="009A0DA6">
        <w:rPr>
          <w:rFonts w:ascii="Cambria" w:eastAsia="Times New Roman" w:hAnsi="Cambria" w:cstheme="minorHAnsi"/>
        </w:rPr>
        <w:t>e</w:t>
      </w:r>
      <w:r w:rsidRPr="009A0DA6">
        <w:rPr>
          <w:rFonts w:ascii="Cambria" w:eastAsia="Times New Roman" w:hAnsi="Cambria" w:cstheme="minorHAnsi"/>
          <w:spacing w:val="2"/>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at</w:t>
      </w:r>
      <w:r w:rsidRPr="009A0DA6">
        <w:rPr>
          <w:rFonts w:ascii="Cambria" w:eastAsia="Times New Roman" w:hAnsi="Cambria" w:cstheme="minorHAnsi"/>
          <w:spacing w:val="4"/>
        </w:rPr>
        <w:t xml:space="preserve"> </w:t>
      </w:r>
      <w:r w:rsidRPr="009A0DA6">
        <w:rPr>
          <w:rFonts w:ascii="Cambria" w:eastAsia="Times New Roman" w:hAnsi="Cambria" w:cstheme="minorHAnsi"/>
          <w:spacing w:val="2"/>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8"/>
        </w:rPr>
        <w:t xml:space="preserve"> </w:t>
      </w:r>
      <w:r w:rsidRPr="009A0DA6">
        <w:rPr>
          <w:rFonts w:ascii="Cambria" w:eastAsia="Times New Roman" w:hAnsi="Cambria" w:cstheme="minorHAnsi"/>
          <w:spacing w:val="1"/>
        </w:rPr>
        <w:t>L</w:t>
      </w:r>
      <w:r w:rsidRPr="009A0DA6">
        <w:rPr>
          <w:rFonts w:ascii="Cambria" w:eastAsia="Times New Roman" w:hAnsi="Cambria" w:cstheme="minorHAnsi"/>
          <w:spacing w:val="-1"/>
        </w:rPr>
        <w:t>u</w:t>
      </w:r>
      <w:r w:rsidRPr="009A0DA6">
        <w:rPr>
          <w:rFonts w:ascii="Cambria" w:eastAsia="Times New Roman" w:hAnsi="Cambria" w:cstheme="minorHAnsi"/>
          <w:spacing w:val="2"/>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1"/>
        </w:rPr>
        <w:t>r</w:t>
      </w:r>
      <w:r w:rsidRPr="009A0DA6">
        <w:rPr>
          <w:rFonts w:ascii="Cambria" w:eastAsia="Times New Roman" w:hAnsi="Cambria" w:cstheme="minorHAnsi"/>
        </w:rPr>
        <w:t>an</w:t>
      </w:r>
      <w:r w:rsidRPr="009A0DA6">
        <w:rPr>
          <w:rFonts w:ascii="Cambria" w:eastAsia="Times New Roman" w:hAnsi="Cambria" w:cstheme="minorHAnsi"/>
          <w:spacing w:val="2"/>
        </w:rPr>
        <w:t xml:space="preserve"> C</w:t>
      </w:r>
      <w:r w:rsidRPr="009A0DA6">
        <w:rPr>
          <w:rFonts w:ascii="Cambria" w:eastAsia="Times New Roman" w:hAnsi="Cambria" w:cstheme="minorHAnsi"/>
          <w:spacing w:val="-1"/>
        </w:rPr>
        <w:t>hu</w:t>
      </w:r>
      <w:r w:rsidRPr="009A0DA6">
        <w:rPr>
          <w:rFonts w:ascii="Cambria" w:eastAsia="Times New Roman" w:hAnsi="Cambria" w:cstheme="minorHAnsi"/>
          <w:spacing w:val="1"/>
        </w:rPr>
        <w:t>r</w:t>
      </w:r>
      <w:r w:rsidRPr="009A0DA6">
        <w:rPr>
          <w:rFonts w:ascii="Cambria" w:eastAsia="Times New Roman" w:hAnsi="Cambria" w:cstheme="minorHAnsi"/>
          <w:spacing w:val="3"/>
        </w:rPr>
        <w:t>c</w:t>
      </w:r>
      <w:r w:rsidRPr="009A0DA6">
        <w:rPr>
          <w:rFonts w:ascii="Cambria" w:eastAsia="Times New Roman" w:hAnsi="Cambria" w:cstheme="minorHAnsi"/>
        </w:rPr>
        <w:t xml:space="preserve">h </w:t>
      </w:r>
      <w:r w:rsidRPr="009A0DA6">
        <w:rPr>
          <w:rFonts w:ascii="Cambria" w:eastAsia="Times New Roman" w:hAnsi="Cambria" w:cstheme="minorHAnsi"/>
          <w:spacing w:val="1"/>
        </w:rPr>
        <w:t>o</w:t>
      </w:r>
      <w:r w:rsidRPr="009A0DA6">
        <w:rPr>
          <w:rFonts w:ascii="Cambria" w:eastAsia="Times New Roman" w:hAnsi="Cambria" w:cstheme="minorHAnsi"/>
        </w:rPr>
        <w:t>f</w:t>
      </w:r>
      <w:r w:rsidRPr="009A0DA6">
        <w:rPr>
          <w:rFonts w:ascii="Cambria" w:eastAsia="Times New Roman" w:hAnsi="Cambria" w:cstheme="minorHAnsi"/>
          <w:spacing w:val="-3"/>
        </w:rPr>
        <w:t xml:space="preserve"> </w:t>
      </w:r>
      <w:r w:rsidRPr="009A0DA6">
        <w:rPr>
          <w:rFonts w:ascii="Cambria" w:eastAsia="Times New Roman" w:hAnsi="Cambria" w:cstheme="minorHAnsi"/>
        </w:rPr>
        <w:t>A</w:t>
      </w:r>
      <w:r w:rsidRPr="009A0DA6">
        <w:rPr>
          <w:rFonts w:ascii="Cambria" w:eastAsia="Times New Roman" w:hAnsi="Cambria" w:cstheme="minorHAnsi"/>
          <w:spacing w:val="1"/>
        </w:rPr>
        <w:t>u</w:t>
      </w:r>
      <w:r w:rsidRPr="009A0DA6">
        <w:rPr>
          <w:rFonts w:ascii="Cambria" w:eastAsia="Times New Roman" w:hAnsi="Cambria" w:cstheme="minorHAnsi"/>
          <w:spacing w:val="-1"/>
        </w:rPr>
        <w:t>s</w:t>
      </w:r>
      <w:r w:rsidRPr="009A0DA6">
        <w:rPr>
          <w:rFonts w:ascii="Cambria" w:eastAsia="Times New Roman" w:hAnsi="Cambria" w:cstheme="minorHAnsi"/>
        </w:rPr>
        <w:t>t</w:t>
      </w:r>
      <w:r w:rsidRPr="009A0DA6">
        <w:rPr>
          <w:rFonts w:ascii="Cambria" w:eastAsia="Times New Roman" w:hAnsi="Cambria" w:cstheme="minorHAnsi"/>
          <w:spacing w:val="1"/>
        </w:rPr>
        <w:t>r</w:t>
      </w:r>
      <w:r w:rsidRPr="009A0DA6">
        <w:rPr>
          <w:rFonts w:ascii="Cambria" w:eastAsia="Times New Roman" w:hAnsi="Cambria" w:cstheme="minorHAnsi"/>
        </w:rPr>
        <w:t>alia</w:t>
      </w:r>
      <w:r w:rsidRPr="009A0DA6">
        <w:rPr>
          <w:rFonts w:ascii="Cambria" w:eastAsia="Times New Roman" w:hAnsi="Cambria" w:cstheme="minorHAnsi"/>
          <w:spacing w:val="-6"/>
        </w:rPr>
        <w:t xml:space="preserve"> </w:t>
      </w:r>
      <w:r w:rsidRPr="009A0DA6">
        <w:rPr>
          <w:rFonts w:ascii="Cambria" w:eastAsia="Times New Roman" w:hAnsi="Cambria" w:cstheme="minorHAnsi"/>
          <w:spacing w:val="1"/>
        </w:rPr>
        <w:t>I</w:t>
      </w:r>
      <w:r w:rsidRPr="009A0DA6">
        <w:rPr>
          <w:rFonts w:ascii="Cambria" w:eastAsia="Times New Roman" w:hAnsi="Cambria" w:cstheme="minorHAnsi"/>
          <w:spacing w:val="-1"/>
        </w:rPr>
        <w:t>n</w:t>
      </w:r>
      <w:r w:rsidRPr="009A0DA6">
        <w:rPr>
          <w:rFonts w:ascii="Cambria" w:eastAsia="Times New Roman" w:hAnsi="Cambria" w:cstheme="minorHAnsi"/>
        </w:rPr>
        <w:t>c</w:t>
      </w:r>
      <w:r w:rsidRPr="009A0DA6">
        <w:rPr>
          <w:rFonts w:ascii="Cambria" w:eastAsia="Times New Roman" w:hAnsi="Cambria" w:cstheme="minorHAnsi"/>
          <w:spacing w:val="1"/>
        </w:rPr>
        <w:t>orpor</w:t>
      </w:r>
      <w:r w:rsidRPr="009A0DA6">
        <w:rPr>
          <w:rFonts w:ascii="Cambria" w:eastAsia="Times New Roman" w:hAnsi="Cambria" w:cstheme="minorHAnsi"/>
        </w:rPr>
        <w:t>ated</w:t>
      </w:r>
      <w:r w:rsidRPr="009A0DA6">
        <w:rPr>
          <w:rFonts w:ascii="Cambria" w:eastAsia="Times New Roman" w:hAnsi="Cambria" w:cstheme="minorHAnsi"/>
          <w:spacing w:val="-8"/>
        </w:rPr>
        <w:t xml:space="preserve"> </w:t>
      </w:r>
      <w:r w:rsidRPr="009A0DA6">
        <w:rPr>
          <w:rFonts w:ascii="Cambria" w:eastAsia="Times New Roman" w:hAnsi="Cambria" w:cstheme="minorHAnsi"/>
          <w:spacing w:val="-5"/>
        </w:rPr>
        <w:t>w</w:t>
      </w:r>
      <w:r w:rsidRPr="009A0DA6">
        <w:rPr>
          <w:rFonts w:ascii="Cambria" w:eastAsia="Times New Roman" w:hAnsi="Cambria" w:cstheme="minorHAnsi"/>
          <w:spacing w:val="2"/>
        </w:rPr>
        <w:t>i</w:t>
      </w:r>
      <w:r w:rsidRPr="009A0DA6">
        <w:rPr>
          <w:rFonts w:ascii="Cambria" w:eastAsia="Times New Roman" w:hAnsi="Cambria" w:cstheme="minorHAnsi"/>
        </w:rPr>
        <w:t xml:space="preserve">ll </w:t>
      </w:r>
      <w:r w:rsidRPr="009A0DA6">
        <w:rPr>
          <w:rFonts w:ascii="Cambria" w:eastAsia="Times New Roman" w:hAnsi="Cambria" w:cstheme="minorHAnsi"/>
          <w:spacing w:val="1"/>
        </w:rPr>
        <w:t>b</w:t>
      </w:r>
      <w:r w:rsidRPr="009A0DA6">
        <w:rPr>
          <w:rFonts w:ascii="Cambria" w:eastAsia="Times New Roman" w:hAnsi="Cambria" w:cstheme="minorHAnsi"/>
        </w:rPr>
        <w:t>e</w:t>
      </w:r>
      <w:r w:rsidRPr="009A0DA6">
        <w:rPr>
          <w:rFonts w:ascii="Cambria" w:eastAsia="Times New Roman" w:hAnsi="Cambria" w:cstheme="minorHAnsi"/>
          <w:spacing w:val="-1"/>
        </w:rPr>
        <w:t xml:space="preserve"> </w:t>
      </w:r>
      <w:r w:rsidRPr="009A0DA6">
        <w:rPr>
          <w:rFonts w:ascii="Cambria" w:eastAsia="Times New Roman" w:hAnsi="Cambria" w:cstheme="minorHAnsi"/>
        </w:rPr>
        <w:t>a</w:t>
      </w:r>
      <w:r w:rsidRPr="009A0DA6">
        <w:rPr>
          <w:rFonts w:ascii="Cambria" w:eastAsia="Times New Roman" w:hAnsi="Cambria" w:cstheme="minorHAnsi"/>
          <w:spacing w:val="1"/>
        </w:rPr>
        <w:t>b</w:t>
      </w:r>
      <w:r w:rsidRPr="009A0DA6">
        <w:rPr>
          <w:rFonts w:ascii="Cambria" w:eastAsia="Times New Roman" w:hAnsi="Cambria" w:cstheme="minorHAnsi"/>
        </w:rPr>
        <w:t>le</w:t>
      </w:r>
      <w:r w:rsidRPr="009A0DA6">
        <w:rPr>
          <w:rFonts w:ascii="Cambria" w:eastAsia="Times New Roman" w:hAnsi="Cambria" w:cstheme="minorHAnsi"/>
          <w:spacing w:val="-2"/>
        </w:rPr>
        <w:t xml:space="preserve"> </w:t>
      </w:r>
      <w:r w:rsidRPr="009A0DA6">
        <w:rPr>
          <w:rFonts w:ascii="Cambria" w:eastAsia="Times New Roman" w:hAnsi="Cambria" w:cstheme="minorHAnsi"/>
        </w:rPr>
        <w:t>to</w:t>
      </w:r>
      <w:r w:rsidRPr="009A0DA6">
        <w:rPr>
          <w:rFonts w:ascii="Cambria" w:eastAsia="Times New Roman" w:hAnsi="Cambria" w:cstheme="minorHAnsi"/>
          <w:spacing w:val="-3"/>
        </w:rPr>
        <w:t xml:space="preserve"> </w:t>
      </w:r>
      <w:r w:rsidRPr="009A0DA6">
        <w:rPr>
          <w:rFonts w:ascii="Cambria" w:eastAsia="Times New Roman" w:hAnsi="Cambria" w:cstheme="minorHAnsi"/>
          <w:spacing w:val="1"/>
        </w:rPr>
        <w:t>p</w:t>
      </w:r>
      <w:r w:rsidRPr="009A0DA6">
        <w:rPr>
          <w:rFonts w:ascii="Cambria" w:eastAsia="Times New Roman" w:hAnsi="Cambria" w:cstheme="minorHAnsi"/>
        </w:rPr>
        <w:t>ay</w:t>
      </w:r>
      <w:r w:rsidRPr="009A0DA6">
        <w:rPr>
          <w:rFonts w:ascii="Cambria" w:eastAsia="Times New Roman" w:hAnsi="Cambria" w:cstheme="minorHAnsi"/>
          <w:spacing w:val="-6"/>
        </w:rPr>
        <w:t xml:space="preserve"> </w:t>
      </w:r>
      <w:r w:rsidRPr="009A0DA6">
        <w:rPr>
          <w:rFonts w:ascii="Cambria" w:eastAsia="Times New Roman" w:hAnsi="Cambria" w:cstheme="minorHAnsi"/>
        </w:rPr>
        <w:t>i</w:t>
      </w:r>
      <w:r w:rsidRPr="009A0DA6">
        <w:rPr>
          <w:rFonts w:ascii="Cambria" w:eastAsia="Times New Roman" w:hAnsi="Cambria" w:cstheme="minorHAnsi"/>
          <w:spacing w:val="2"/>
        </w:rPr>
        <w:t>t</w:t>
      </w:r>
      <w:r w:rsidRPr="009A0DA6">
        <w:rPr>
          <w:rFonts w:ascii="Cambria" w:eastAsia="Times New Roman" w:hAnsi="Cambria" w:cstheme="minorHAnsi"/>
        </w:rPr>
        <w:t>s</w:t>
      </w:r>
      <w:r w:rsidRPr="009A0DA6">
        <w:rPr>
          <w:rFonts w:ascii="Cambria" w:eastAsia="Times New Roman" w:hAnsi="Cambria" w:cstheme="minorHAnsi"/>
          <w:spacing w:val="-2"/>
        </w:rPr>
        <w:t xml:space="preserve"> </w:t>
      </w:r>
      <w:r w:rsidRPr="009A0DA6">
        <w:rPr>
          <w:rFonts w:ascii="Cambria" w:eastAsia="Times New Roman" w:hAnsi="Cambria" w:cstheme="minorHAnsi"/>
          <w:spacing w:val="1"/>
        </w:rPr>
        <w:t>d</w:t>
      </w:r>
      <w:r w:rsidRPr="009A0DA6">
        <w:rPr>
          <w:rFonts w:ascii="Cambria" w:eastAsia="Times New Roman" w:hAnsi="Cambria" w:cstheme="minorHAnsi"/>
        </w:rPr>
        <w:t>e</w:t>
      </w:r>
      <w:r w:rsidRPr="009A0DA6">
        <w:rPr>
          <w:rFonts w:ascii="Cambria" w:eastAsia="Times New Roman" w:hAnsi="Cambria" w:cstheme="minorHAnsi"/>
          <w:spacing w:val="1"/>
        </w:rPr>
        <w:t>b</w:t>
      </w:r>
      <w:r w:rsidRPr="009A0DA6">
        <w:rPr>
          <w:rFonts w:ascii="Cambria" w:eastAsia="Times New Roman" w:hAnsi="Cambria" w:cstheme="minorHAnsi"/>
        </w:rPr>
        <w:t>ts</w:t>
      </w:r>
      <w:r w:rsidRPr="009A0DA6">
        <w:rPr>
          <w:rFonts w:ascii="Cambria" w:eastAsia="Times New Roman" w:hAnsi="Cambria" w:cstheme="minorHAnsi"/>
          <w:spacing w:val="-4"/>
        </w:rPr>
        <w:t xml:space="preserve"> </w:t>
      </w:r>
      <w:r w:rsidRPr="009A0DA6">
        <w:rPr>
          <w:rFonts w:ascii="Cambria" w:eastAsia="Times New Roman" w:hAnsi="Cambria" w:cstheme="minorHAnsi"/>
        </w:rPr>
        <w:t>as</w:t>
      </w:r>
      <w:r w:rsidRPr="009A0DA6">
        <w:rPr>
          <w:rFonts w:ascii="Cambria" w:eastAsia="Times New Roman" w:hAnsi="Cambria" w:cstheme="minorHAnsi"/>
          <w:spacing w:val="-2"/>
        </w:rPr>
        <w:t xml:space="preserve"> </w:t>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spacing w:val="1"/>
        </w:rPr>
        <w:t xml:space="preserve"> </w:t>
      </w:r>
      <w:r w:rsidRPr="009A0DA6">
        <w:rPr>
          <w:rFonts w:ascii="Cambria" w:eastAsia="Times New Roman" w:hAnsi="Cambria" w:cstheme="minorHAnsi"/>
          <w:spacing w:val="-2"/>
        </w:rPr>
        <w:t>w</w:t>
      </w:r>
      <w:r w:rsidRPr="009A0DA6">
        <w:rPr>
          <w:rFonts w:ascii="Cambria" w:eastAsia="Times New Roman" w:hAnsi="Cambria" w:cstheme="minorHAnsi"/>
          <w:spacing w:val="1"/>
        </w:rPr>
        <w:t>h</w:t>
      </w:r>
      <w:r w:rsidRPr="009A0DA6">
        <w:rPr>
          <w:rFonts w:ascii="Cambria" w:eastAsia="Times New Roman" w:hAnsi="Cambria" w:cstheme="minorHAnsi"/>
          <w:spacing w:val="3"/>
        </w:rPr>
        <w:t>e</w:t>
      </w:r>
      <w:r w:rsidRPr="009A0DA6">
        <w:rPr>
          <w:rFonts w:ascii="Cambria" w:eastAsia="Times New Roman" w:hAnsi="Cambria" w:cstheme="minorHAnsi"/>
        </w:rPr>
        <w:t>n</w:t>
      </w:r>
      <w:r w:rsidRPr="009A0DA6">
        <w:rPr>
          <w:rFonts w:ascii="Cambria" w:eastAsia="Times New Roman" w:hAnsi="Cambria" w:cstheme="minorHAnsi"/>
          <w:spacing w:val="-5"/>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spacing w:val="3"/>
        </w:rPr>
        <w:t>e</w:t>
      </w:r>
      <w:r w:rsidRPr="009A0DA6">
        <w:rPr>
          <w:rFonts w:ascii="Cambria" w:eastAsia="Times New Roman" w:hAnsi="Cambria" w:cstheme="minorHAnsi"/>
        </w:rPr>
        <w:t>y</w:t>
      </w:r>
      <w:r w:rsidRPr="009A0DA6">
        <w:rPr>
          <w:rFonts w:ascii="Cambria" w:eastAsia="Times New Roman" w:hAnsi="Cambria" w:cstheme="minorHAnsi"/>
          <w:spacing w:val="-4"/>
        </w:rPr>
        <w:t xml:space="preserve"> </w:t>
      </w:r>
      <w:r w:rsidRPr="009A0DA6">
        <w:rPr>
          <w:rFonts w:ascii="Cambria" w:eastAsia="Times New Roman" w:hAnsi="Cambria" w:cstheme="minorHAnsi"/>
          <w:spacing w:val="-1"/>
        </w:rPr>
        <w:t>f</w:t>
      </w:r>
      <w:r w:rsidRPr="009A0DA6">
        <w:rPr>
          <w:rFonts w:ascii="Cambria" w:eastAsia="Times New Roman" w:hAnsi="Cambria" w:cstheme="minorHAnsi"/>
          <w:spacing w:val="3"/>
        </w:rPr>
        <w:t>a</w:t>
      </w:r>
      <w:r w:rsidRPr="009A0DA6">
        <w:rPr>
          <w:rFonts w:ascii="Cambria" w:eastAsia="Times New Roman" w:hAnsi="Cambria" w:cstheme="minorHAnsi"/>
        </w:rPr>
        <w:t>ll</w:t>
      </w:r>
      <w:r w:rsidRPr="009A0DA6">
        <w:rPr>
          <w:rFonts w:ascii="Cambria" w:eastAsia="Times New Roman" w:hAnsi="Cambria" w:cstheme="minorHAnsi"/>
          <w:spacing w:val="-3"/>
        </w:rPr>
        <w:t xml:space="preserve"> </w:t>
      </w:r>
      <w:r w:rsidRPr="009A0DA6">
        <w:rPr>
          <w:rFonts w:ascii="Cambria" w:eastAsia="Times New Roman" w:hAnsi="Cambria" w:cstheme="minorHAnsi"/>
          <w:spacing w:val="1"/>
        </w:rPr>
        <w:t>d</w:t>
      </w:r>
      <w:r w:rsidRPr="009A0DA6">
        <w:rPr>
          <w:rFonts w:ascii="Cambria" w:eastAsia="Times New Roman" w:hAnsi="Cambria" w:cstheme="minorHAnsi"/>
          <w:spacing w:val="-1"/>
        </w:rPr>
        <w:t>u</w:t>
      </w:r>
      <w:r w:rsidRPr="009A0DA6">
        <w:rPr>
          <w:rFonts w:ascii="Cambria" w:eastAsia="Times New Roman" w:hAnsi="Cambria" w:cstheme="minorHAnsi"/>
        </w:rPr>
        <w:t>e.</w:t>
      </w:r>
    </w:p>
    <w:p w14:paraId="0F277D8E" w14:textId="15B323EE" w:rsidR="00BA4592" w:rsidRPr="009A0DA6" w:rsidRDefault="00BA4592" w:rsidP="00F55252">
      <w:pPr>
        <w:pStyle w:val="ListParagraph"/>
        <w:numPr>
          <w:ilvl w:val="1"/>
          <w:numId w:val="276"/>
        </w:numPr>
        <w:spacing w:before="120" w:after="120" w:line="240" w:lineRule="auto"/>
        <w:ind w:left="567" w:right="52" w:hanging="567"/>
        <w:rPr>
          <w:rFonts w:ascii="Cambria" w:eastAsia="Times New Roman" w:hAnsi="Cambria" w:cstheme="minorHAnsi"/>
        </w:rPr>
      </w:pPr>
      <w:r w:rsidRPr="009A0DA6">
        <w:rPr>
          <w:rFonts w:ascii="Cambria" w:eastAsia="Times New Roman" w:hAnsi="Cambria" w:cstheme="minorHAnsi"/>
        </w:rPr>
        <w:t>No</w:t>
      </w:r>
      <w:r w:rsidRPr="009A0DA6">
        <w:rPr>
          <w:rFonts w:ascii="Cambria" w:eastAsia="Times New Roman" w:hAnsi="Cambria" w:cstheme="minorHAnsi"/>
          <w:spacing w:val="16"/>
        </w:rPr>
        <w:t xml:space="preserve"> </w:t>
      </w:r>
      <w:r w:rsidRPr="009A0DA6">
        <w:rPr>
          <w:rFonts w:ascii="Cambria" w:eastAsia="Times New Roman" w:hAnsi="Cambria" w:cstheme="minorHAnsi"/>
          <w:spacing w:val="1"/>
        </w:rPr>
        <w:t>o</w:t>
      </w:r>
      <w:r w:rsidRPr="009A0DA6">
        <w:rPr>
          <w:rFonts w:ascii="Cambria" w:eastAsia="Times New Roman" w:hAnsi="Cambria" w:cstheme="minorHAnsi"/>
          <w:spacing w:val="-1"/>
        </w:rPr>
        <w:t>ff</w:t>
      </w:r>
      <w:r w:rsidRPr="009A0DA6">
        <w:rPr>
          <w:rFonts w:ascii="Cambria" w:eastAsia="Times New Roman" w:hAnsi="Cambria" w:cstheme="minorHAnsi"/>
        </w:rPr>
        <w:t>icer</w:t>
      </w:r>
      <w:r w:rsidRPr="009A0DA6">
        <w:rPr>
          <w:rFonts w:ascii="Cambria" w:eastAsia="Times New Roman" w:hAnsi="Cambria" w:cstheme="minorHAnsi"/>
          <w:spacing w:val="13"/>
        </w:rPr>
        <w:t xml:space="preserve"> </w:t>
      </w:r>
      <w:r w:rsidRPr="009A0DA6">
        <w:rPr>
          <w:rFonts w:ascii="Cambria" w:eastAsia="Times New Roman" w:hAnsi="Cambria" w:cstheme="minorHAnsi"/>
          <w:spacing w:val="1"/>
        </w:rPr>
        <w:t>o</w:t>
      </w:r>
      <w:r w:rsidRPr="009A0DA6">
        <w:rPr>
          <w:rFonts w:ascii="Cambria" w:eastAsia="Times New Roman" w:hAnsi="Cambria" w:cstheme="minorHAnsi"/>
        </w:rPr>
        <w:t>r</w:t>
      </w:r>
      <w:r w:rsidRPr="009A0DA6">
        <w:rPr>
          <w:rFonts w:ascii="Cambria" w:eastAsia="Times New Roman" w:hAnsi="Cambria" w:cstheme="minorHAnsi"/>
          <w:spacing w:val="16"/>
        </w:rPr>
        <w:t xml:space="preserve"> </w:t>
      </w:r>
      <w:r w:rsidRPr="009A0DA6">
        <w:rPr>
          <w:rFonts w:ascii="Cambria" w:eastAsia="Times New Roman" w:hAnsi="Cambria" w:cstheme="minorHAnsi"/>
          <w:spacing w:val="-1"/>
        </w:rPr>
        <w:t>n</w:t>
      </w:r>
      <w:r w:rsidRPr="009A0DA6">
        <w:rPr>
          <w:rFonts w:ascii="Cambria" w:eastAsia="Times New Roman" w:hAnsi="Cambria" w:cstheme="minorHAnsi"/>
        </w:rPr>
        <w:t>o</w:t>
      </w:r>
      <w:r w:rsidRPr="009A0DA6">
        <w:rPr>
          <w:rFonts w:ascii="Cambria" w:eastAsia="Times New Roman" w:hAnsi="Cambria" w:cstheme="minorHAnsi"/>
          <w:spacing w:val="16"/>
        </w:rPr>
        <w:t xml:space="preserve"> </w:t>
      </w:r>
      <w:r w:rsidRPr="009A0DA6">
        <w:rPr>
          <w:rFonts w:ascii="Cambria" w:eastAsia="Times New Roman" w:hAnsi="Cambria" w:cstheme="minorHAnsi"/>
          <w:spacing w:val="-1"/>
        </w:rPr>
        <w:t>f</w:t>
      </w:r>
      <w:r w:rsidRPr="009A0DA6">
        <w:rPr>
          <w:rFonts w:ascii="Cambria" w:eastAsia="Times New Roman" w:hAnsi="Cambria" w:cstheme="minorHAnsi"/>
        </w:rPr>
        <w:t>i</w:t>
      </w:r>
      <w:r w:rsidRPr="009A0DA6">
        <w:rPr>
          <w:rFonts w:ascii="Cambria" w:eastAsia="Times New Roman" w:hAnsi="Cambria" w:cstheme="minorHAnsi"/>
          <w:spacing w:val="3"/>
        </w:rPr>
        <w:t>r</w:t>
      </w:r>
      <w:r w:rsidRPr="009A0DA6">
        <w:rPr>
          <w:rFonts w:ascii="Cambria" w:eastAsia="Times New Roman" w:hAnsi="Cambria" w:cstheme="minorHAnsi"/>
        </w:rPr>
        <w:t>m</w:t>
      </w:r>
      <w:r w:rsidRPr="009A0DA6">
        <w:rPr>
          <w:rFonts w:ascii="Cambria" w:eastAsia="Times New Roman" w:hAnsi="Cambria" w:cstheme="minorHAnsi"/>
          <w:spacing w:val="11"/>
        </w:rPr>
        <w:t xml:space="preserve"> </w:t>
      </w:r>
      <w:r w:rsidRPr="009A0DA6">
        <w:rPr>
          <w:rFonts w:ascii="Cambria" w:eastAsia="Times New Roman" w:hAnsi="Cambria" w:cstheme="minorHAnsi"/>
          <w:spacing w:val="1"/>
        </w:rPr>
        <w:t>o</w:t>
      </w:r>
      <w:r w:rsidRPr="009A0DA6">
        <w:rPr>
          <w:rFonts w:ascii="Cambria" w:eastAsia="Times New Roman" w:hAnsi="Cambria" w:cstheme="minorHAnsi"/>
        </w:rPr>
        <w:t>f</w:t>
      </w:r>
      <w:r w:rsidRPr="009A0DA6">
        <w:rPr>
          <w:rFonts w:ascii="Cambria" w:eastAsia="Times New Roman" w:hAnsi="Cambria" w:cstheme="minorHAnsi"/>
          <w:spacing w:val="16"/>
        </w:rPr>
        <w:t xml:space="preserve"> </w:t>
      </w:r>
      <w:r w:rsidRPr="009A0DA6">
        <w:rPr>
          <w:rFonts w:ascii="Cambria" w:eastAsia="Times New Roman" w:hAnsi="Cambria" w:cstheme="minorHAnsi"/>
          <w:spacing w:val="-2"/>
        </w:rPr>
        <w:t>w</w:t>
      </w:r>
      <w:r w:rsidRPr="009A0DA6">
        <w:rPr>
          <w:rFonts w:ascii="Cambria" w:eastAsia="Times New Roman" w:hAnsi="Cambria" w:cstheme="minorHAnsi"/>
          <w:spacing w:val="1"/>
        </w:rPr>
        <w:t>h</w:t>
      </w:r>
      <w:r w:rsidRPr="009A0DA6">
        <w:rPr>
          <w:rFonts w:ascii="Cambria" w:eastAsia="Times New Roman" w:hAnsi="Cambria" w:cstheme="minorHAnsi"/>
        </w:rPr>
        <w:t>i</w:t>
      </w:r>
      <w:r w:rsidRPr="009A0DA6">
        <w:rPr>
          <w:rFonts w:ascii="Cambria" w:eastAsia="Times New Roman" w:hAnsi="Cambria" w:cstheme="minorHAnsi"/>
          <w:spacing w:val="3"/>
        </w:rPr>
        <w:t>c</w:t>
      </w:r>
      <w:r w:rsidRPr="009A0DA6">
        <w:rPr>
          <w:rFonts w:ascii="Cambria" w:eastAsia="Times New Roman" w:hAnsi="Cambria" w:cstheme="minorHAnsi"/>
        </w:rPr>
        <w:t>h</w:t>
      </w:r>
      <w:r w:rsidRPr="009A0DA6">
        <w:rPr>
          <w:rFonts w:ascii="Cambria" w:eastAsia="Times New Roman" w:hAnsi="Cambria" w:cstheme="minorHAnsi"/>
          <w:spacing w:val="11"/>
        </w:rPr>
        <w:t xml:space="preserve"> </w:t>
      </w:r>
      <w:r w:rsidRPr="009A0DA6">
        <w:rPr>
          <w:rFonts w:ascii="Cambria" w:eastAsia="Times New Roman" w:hAnsi="Cambria" w:cstheme="minorHAnsi"/>
        </w:rPr>
        <w:t>an</w:t>
      </w:r>
      <w:r w:rsidRPr="009A0DA6">
        <w:rPr>
          <w:rFonts w:ascii="Cambria" w:eastAsia="Times New Roman" w:hAnsi="Cambria" w:cstheme="minorHAnsi"/>
          <w:spacing w:val="14"/>
        </w:rPr>
        <w:t xml:space="preserve"> </w:t>
      </w:r>
      <w:r w:rsidRPr="009A0DA6">
        <w:rPr>
          <w:rFonts w:ascii="Cambria" w:eastAsia="Times New Roman" w:hAnsi="Cambria" w:cstheme="minorHAnsi"/>
          <w:spacing w:val="1"/>
        </w:rPr>
        <w:t>of</w:t>
      </w:r>
      <w:r w:rsidRPr="009A0DA6">
        <w:rPr>
          <w:rFonts w:ascii="Cambria" w:eastAsia="Times New Roman" w:hAnsi="Cambria" w:cstheme="minorHAnsi"/>
          <w:spacing w:val="-1"/>
        </w:rPr>
        <w:t>f</w:t>
      </w:r>
      <w:r w:rsidRPr="009A0DA6">
        <w:rPr>
          <w:rFonts w:ascii="Cambria" w:eastAsia="Times New Roman" w:hAnsi="Cambria" w:cstheme="minorHAnsi"/>
        </w:rPr>
        <w:t>icer</w:t>
      </w:r>
      <w:r w:rsidRPr="009A0DA6">
        <w:rPr>
          <w:rFonts w:ascii="Cambria" w:eastAsia="Times New Roman" w:hAnsi="Cambria" w:cstheme="minorHAnsi"/>
          <w:spacing w:val="13"/>
        </w:rPr>
        <w:t xml:space="preserve"> </w:t>
      </w:r>
      <w:r w:rsidRPr="009A0DA6">
        <w:rPr>
          <w:rFonts w:ascii="Cambria" w:eastAsia="Times New Roman" w:hAnsi="Cambria" w:cstheme="minorHAnsi"/>
        </w:rPr>
        <w:t>is</w:t>
      </w:r>
      <w:r w:rsidRPr="009A0DA6">
        <w:rPr>
          <w:rFonts w:ascii="Cambria" w:eastAsia="Times New Roman" w:hAnsi="Cambria" w:cstheme="minorHAnsi"/>
          <w:spacing w:val="16"/>
        </w:rPr>
        <w:t xml:space="preserve"> </w:t>
      </w:r>
      <w:r w:rsidRPr="009A0DA6">
        <w:rPr>
          <w:rFonts w:ascii="Cambria" w:eastAsia="Times New Roman" w:hAnsi="Cambria" w:cstheme="minorHAnsi"/>
        </w:rPr>
        <w:t>a</w:t>
      </w:r>
      <w:r w:rsidRPr="009A0DA6">
        <w:rPr>
          <w:rFonts w:ascii="Cambria" w:eastAsia="Times New Roman" w:hAnsi="Cambria" w:cstheme="minorHAnsi"/>
          <w:spacing w:val="19"/>
        </w:rPr>
        <w:t xml:space="preserve"> </w:t>
      </w:r>
      <w:r w:rsidRPr="009A0DA6">
        <w:rPr>
          <w:rFonts w:ascii="Cambria" w:eastAsia="Times New Roman" w:hAnsi="Cambria" w:cstheme="minorHAnsi"/>
          <w:spacing w:val="-4"/>
        </w:rPr>
        <w:t>m</w:t>
      </w:r>
      <w:r w:rsidRPr="009A0DA6">
        <w:rPr>
          <w:rFonts w:ascii="Cambria" w:eastAsia="Times New Roman" w:hAnsi="Cambria" w:cstheme="minorHAnsi"/>
          <w:spacing w:val="3"/>
        </w:rPr>
        <w:t>e</w:t>
      </w:r>
      <w:r w:rsidRPr="009A0DA6">
        <w:rPr>
          <w:rFonts w:ascii="Cambria" w:eastAsia="Times New Roman" w:hAnsi="Cambria" w:cstheme="minorHAnsi"/>
          <w:spacing w:val="-1"/>
        </w:rPr>
        <w:t>m</w:t>
      </w:r>
      <w:r w:rsidRPr="009A0DA6">
        <w:rPr>
          <w:rFonts w:ascii="Cambria" w:eastAsia="Times New Roman" w:hAnsi="Cambria" w:cstheme="minorHAnsi"/>
          <w:spacing w:val="1"/>
        </w:rPr>
        <w:t>b</w:t>
      </w:r>
      <w:r w:rsidRPr="009A0DA6">
        <w:rPr>
          <w:rFonts w:ascii="Cambria" w:eastAsia="Times New Roman" w:hAnsi="Cambria" w:cstheme="minorHAnsi"/>
        </w:rPr>
        <w:t>er</w:t>
      </w:r>
      <w:r w:rsidRPr="009A0DA6">
        <w:rPr>
          <w:rFonts w:ascii="Cambria" w:eastAsia="Times New Roman" w:hAnsi="Cambria" w:cstheme="minorHAnsi"/>
          <w:spacing w:val="11"/>
        </w:rPr>
        <w:t xml:space="preserve"> </w:t>
      </w:r>
      <w:r w:rsidRPr="009A0DA6">
        <w:rPr>
          <w:rFonts w:ascii="Cambria" w:eastAsia="Times New Roman" w:hAnsi="Cambria" w:cstheme="minorHAnsi"/>
          <w:spacing w:val="1"/>
        </w:rPr>
        <w:t>o</w:t>
      </w:r>
      <w:r w:rsidRPr="009A0DA6">
        <w:rPr>
          <w:rFonts w:ascii="Cambria" w:eastAsia="Times New Roman" w:hAnsi="Cambria" w:cstheme="minorHAnsi"/>
        </w:rPr>
        <w:t>r</w:t>
      </w:r>
      <w:r w:rsidRPr="009A0DA6">
        <w:rPr>
          <w:rFonts w:ascii="Cambria" w:eastAsia="Times New Roman" w:hAnsi="Cambria" w:cstheme="minorHAnsi"/>
          <w:spacing w:val="16"/>
        </w:rPr>
        <w:t xml:space="preserve"> </w:t>
      </w:r>
      <w:r w:rsidRPr="009A0DA6">
        <w:rPr>
          <w:rFonts w:ascii="Cambria" w:eastAsia="Times New Roman" w:hAnsi="Cambria" w:cstheme="minorHAnsi"/>
          <w:spacing w:val="-1"/>
        </w:rPr>
        <w:t>n</w:t>
      </w:r>
      <w:r w:rsidRPr="009A0DA6">
        <w:rPr>
          <w:rFonts w:ascii="Cambria" w:eastAsia="Times New Roman" w:hAnsi="Cambria" w:cstheme="minorHAnsi"/>
        </w:rPr>
        <w:t>o</w:t>
      </w:r>
      <w:r w:rsidRPr="009A0DA6">
        <w:rPr>
          <w:rFonts w:ascii="Cambria" w:eastAsia="Times New Roman" w:hAnsi="Cambria" w:cstheme="minorHAnsi"/>
          <w:spacing w:val="16"/>
        </w:rPr>
        <w:t xml:space="preserve"> </w:t>
      </w:r>
      <w:r w:rsidRPr="009A0DA6">
        <w:rPr>
          <w:rFonts w:ascii="Cambria" w:eastAsia="Times New Roman" w:hAnsi="Cambria" w:cstheme="minorHAnsi"/>
        </w:rPr>
        <w:t>c</w:t>
      </w:r>
      <w:r w:rsidRPr="009A0DA6">
        <w:rPr>
          <w:rFonts w:ascii="Cambria" w:eastAsia="Times New Roman" w:hAnsi="Cambria" w:cstheme="minorHAnsi"/>
          <w:spacing w:val="1"/>
        </w:rPr>
        <w:t>o</w:t>
      </w:r>
      <w:r w:rsidRPr="009A0DA6">
        <w:rPr>
          <w:rFonts w:ascii="Cambria" w:eastAsia="Times New Roman" w:hAnsi="Cambria" w:cstheme="minorHAnsi"/>
          <w:spacing w:val="-1"/>
        </w:rPr>
        <w:t>r</w:t>
      </w:r>
      <w:r w:rsidRPr="009A0DA6">
        <w:rPr>
          <w:rFonts w:ascii="Cambria" w:eastAsia="Times New Roman" w:hAnsi="Cambria" w:cstheme="minorHAnsi"/>
          <w:spacing w:val="1"/>
        </w:rPr>
        <w:t>por</w:t>
      </w:r>
      <w:r w:rsidRPr="009A0DA6">
        <w:rPr>
          <w:rFonts w:ascii="Cambria" w:eastAsia="Times New Roman" w:hAnsi="Cambria" w:cstheme="minorHAnsi"/>
        </w:rPr>
        <w:t>ati</w:t>
      </w:r>
      <w:r w:rsidRPr="009A0DA6">
        <w:rPr>
          <w:rFonts w:ascii="Cambria" w:eastAsia="Times New Roman" w:hAnsi="Cambria" w:cstheme="minorHAnsi"/>
          <w:spacing w:val="1"/>
        </w:rPr>
        <w:t>o</w:t>
      </w:r>
      <w:r w:rsidRPr="009A0DA6">
        <w:rPr>
          <w:rFonts w:ascii="Cambria" w:eastAsia="Times New Roman" w:hAnsi="Cambria" w:cstheme="minorHAnsi"/>
        </w:rPr>
        <w:t>n</w:t>
      </w:r>
      <w:r w:rsidRPr="009A0DA6">
        <w:rPr>
          <w:rFonts w:ascii="Cambria" w:eastAsia="Times New Roman" w:hAnsi="Cambria" w:cstheme="minorHAnsi"/>
          <w:spacing w:val="7"/>
        </w:rPr>
        <w:t xml:space="preserve"> </w:t>
      </w:r>
      <w:r w:rsidRPr="009A0DA6">
        <w:rPr>
          <w:rFonts w:ascii="Cambria" w:eastAsia="Times New Roman" w:hAnsi="Cambria" w:cstheme="minorHAnsi"/>
        </w:rPr>
        <w:t>in</w:t>
      </w:r>
      <w:r w:rsidRPr="009A0DA6">
        <w:rPr>
          <w:rFonts w:ascii="Cambria" w:eastAsia="Times New Roman" w:hAnsi="Cambria" w:cstheme="minorHAnsi"/>
          <w:spacing w:val="16"/>
        </w:rPr>
        <w:t xml:space="preserve"> </w:t>
      </w:r>
      <w:r w:rsidRPr="009A0DA6">
        <w:rPr>
          <w:rFonts w:ascii="Cambria" w:eastAsia="Times New Roman" w:hAnsi="Cambria" w:cstheme="minorHAnsi"/>
          <w:spacing w:val="-2"/>
        </w:rPr>
        <w:t>w</w:t>
      </w:r>
      <w:r w:rsidRPr="009A0DA6">
        <w:rPr>
          <w:rFonts w:ascii="Cambria" w:eastAsia="Times New Roman" w:hAnsi="Cambria" w:cstheme="minorHAnsi"/>
          <w:spacing w:val="-1"/>
        </w:rPr>
        <w:t>h</w:t>
      </w:r>
      <w:r w:rsidRPr="009A0DA6">
        <w:rPr>
          <w:rFonts w:ascii="Cambria" w:eastAsia="Times New Roman" w:hAnsi="Cambria" w:cstheme="minorHAnsi"/>
        </w:rPr>
        <w:t>ich</w:t>
      </w:r>
      <w:r w:rsidRPr="009A0DA6">
        <w:rPr>
          <w:rFonts w:ascii="Cambria" w:eastAsia="Times New Roman" w:hAnsi="Cambria" w:cstheme="minorHAnsi"/>
          <w:spacing w:val="11"/>
        </w:rPr>
        <w:t xml:space="preserve"> </w:t>
      </w:r>
      <w:r w:rsidRPr="009A0DA6">
        <w:rPr>
          <w:rFonts w:ascii="Cambria" w:eastAsia="Times New Roman" w:hAnsi="Cambria" w:cstheme="minorHAnsi"/>
          <w:spacing w:val="3"/>
        </w:rPr>
        <w:t>a</w:t>
      </w:r>
      <w:r w:rsidRPr="009A0DA6">
        <w:rPr>
          <w:rFonts w:ascii="Cambria" w:eastAsia="Times New Roman" w:hAnsi="Cambria" w:cstheme="minorHAnsi"/>
        </w:rPr>
        <w:t>n</w:t>
      </w:r>
      <w:r w:rsidRPr="009A0DA6">
        <w:rPr>
          <w:rFonts w:ascii="Cambria" w:eastAsia="Times New Roman" w:hAnsi="Cambria" w:cstheme="minorHAnsi"/>
          <w:spacing w:val="14"/>
        </w:rPr>
        <w:t xml:space="preserve"> </w:t>
      </w:r>
      <w:r w:rsidRPr="009A0DA6">
        <w:rPr>
          <w:rFonts w:ascii="Cambria" w:eastAsia="Times New Roman" w:hAnsi="Cambria" w:cstheme="minorHAnsi"/>
          <w:spacing w:val="1"/>
        </w:rPr>
        <w:t>off</w:t>
      </w:r>
      <w:r w:rsidRPr="009A0DA6">
        <w:rPr>
          <w:rFonts w:ascii="Cambria" w:eastAsia="Times New Roman" w:hAnsi="Cambria" w:cstheme="minorHAnsi"/>
        </w:rPr>
        <w:t xml:space="preserve">icer </w:t>
      </w:r>
      <w:r w:rsidRPr="009A0DA6">
        <w:rPr>
          <w:rFonts w:ascii="Cambria" w:eastAsia="Times New Roman" w:hAnsi="Cambria" w:cstheme="minorHAnsi"/>
          <w:spacing w:val="-1"/>
        </w:rPr>
        <w:t>h</w:t>
      </w:r>
      <w:r w:rsidRPr="009A0DA6">
        <w:rPr>
          <w:rFonts w:ascii="Cambria" w:eastAsia="Times New Roman" w:hAnsi="Cambria" w:cstheme="minorHAnsi"/>
        </w:rPr>
        <w:t>as</w:t>
      </w:r>
      <w:r w:rsidRPr="009A0DA6">
        <w:rPr>
          <w:rFonts w:ascii="Cambria" w:eastAsia="Times New Roman" w:hAnsi="Cambria" w:cstheme="minorHAnsi"/>
          <w:spacing w:val="23"/>
        </w:rPr>
        <w:t xml:space="preserve"> </w:t>
      </w:r>
      <w:r w:rsidRPr="009A0DA6">
        <w:rPr>
          <w:rFonts w:ascii="Cambria" w:eastAsia="Times New Roman" w:hAnsi="Cambria" w:cstheme="minorHAnsi"/>
        </w:rPr>
        <w:t>a</w:t>
      </w:r>
      <w:r w:rsidRPr="009A0DA6">
        <w:rPr>
          <w:rFonts w:ascii="Cambria" w:eastAsia="Times New Roman" w:hAnsi="Cambria" w:cstheme="minorHAnsi"/>
          <w:spacing w:val="26"/>
        </w:rPr>
        <w:t xml:space="preserve"> </w:t>
      </w:r>
      <w:r w:rsidRPr="009A0DA6">
        <w:rPr>
          <w:rFonts w:ascii="Cambria" w:eastAsia="Times New Roman" w:hAnsi="Cambria" w:cstheme="minorHAnsi"/>
          <w:spacing w:val="-1"/>
        </w:rPr>
        <w:t>su</w:t>
      </w:r>
      <w:r w:rsidRPr="009A0DA6">
        <w:rPr>
          <w:rFonts w:ascii="Cambria" w:eastAsia="Times New Roman" w:hAnsi="Cambria" w:cstheme="minorHAnsi"/>
          <w:spacing w:val="1"/>
        </w:rPr>
        <w:t>b</w:t>
      </w:r>
      <w:r w:rsidRPr="009A0DA6">
        <w:rPr>
          <w:rFonts w:ascii="Cambria" w:eastAsia="Times New Roman" w:hAnsi="Cambria" w:cstheme="minorHAnsi"/>
          <w:spacing w:val="-1"/>
        </w:rPr>
        <w:t>s</w:t>
      </w:r>
      <w:r w:rsidRPr="009A0DA6">
        <w:rPr>
          <w:rFonts w:ascii="Cambria" w:eastAsia="Times New Roman" w:hAnsi="Cambria" w:cstheme="minorHAnsi"/>
        </w:rPr>
        <w:t>t</w:t>
      </w:r>
      <w:r w:rsidRPr="009A0DA6">
        <w:rPr>
          <w:rFonts w:ascii="Cambria" w:eastAsia="Times New Roman" w:hAnsi="Cambria" w:cstheme="minorHAnsi"/>
          <w:spacing w:val="3"/>
        </w:rPr>
        <w:t>a</w:t>
      </w:r>
      <w:r w:rsidRPr="009A0DA6">
        <w:rPr>
          <w:rFonts w:ascii="Cambria" w:eastAsia="Times New Roman" w:hAnsi="Cambria" w:cstheme="minorHAnsi"/>
          <w:spacing w:val="-1"/>
        </w:rPr>
        <w:t>n</w:t>
      </w:r>
      <w:r w:rsidRPr="009A0DA6">
        <w:rPr>
          <w:rFonts w:ascii="Cambria" w:eastAsia="Times New Roman" w:hAnsi="Cambria" w:cstheme="minorHAnsi"/>
        </w:rPr>
        <w:t>tial</w:t>
      </w:r>
      <w:r w:rsidRPr="009A0DA6">
        <w:rPr>
          <w:rFonts w:ascii="Cambria" w:eastAsia="Times New Roman" w:hAnsi="Cambria" w:cstheme="minorHAnsi"/>
          <w:spacing w:val="20"/>
        </w:rPr>
        <w:t xml:space="preserve"> </w:t>
      </w:r>
      <w:r w:rsidRPr="009A0DA6">
        <w:rPr>
          <w:rFonts w:ascii="Cambria" w:eastAsia="Times New Roman" w:hAnsi="Cambria" w:cstheme="minorHAnsi"/>
          <w:spacing w:val="-1"/>
        </w:rPr>
        <w:t>f</w:t>
      </w:r>
      <w:r w:rsidRPr="009A0DA6">
        <w:rPr>
          <w:rFonts w:ascii="Cambria" w:eastAsia="Times New Roman" w:hAnsi="Cambria" w:cstheme="minorHAnsi"/>
        </w:rPr>
        <w:t>i</w:t>
      </w:r>
      <w:r w:rsidRPr="009A0DA6">
        <w:rPr>
          <w:rFonts w:ascii="Cambria" w:eastAsia="Times New Roman" w:hAnsi="Cambria" w:cstheme="minorHAnsi"/>
          <w:spacing w:val="-1"/>
        </w:rPr>
        <w:t>n</w:t>
      </w:r>
      <w:r w:rsidRPr="009A0DA6">
        <w:rPr>
          <w:rFonts w:ascii="Cambria" w:eastAsia="Times New Roman" w:hAnsi="Cambria" w:cstheme="minorHAnsi"/>
          <w:spacing w:val="3"/>
        </w:rPr>
        <w:t>a</w:t>
      </w:r>
      <w:r w:rsidRPr="009A0DA6">
        <w:rPr>
          <w:rFonts w:ascii="Cambria" w:eastAsia="Times New Roman" w:hAnsi="Cambria" w:cstheme="minorHAnsi"/>
          <w:spacing w:val="-1"/>
        </w:rPr>
        <w:t>n</w:t>
      </w:r>
      <w:r w:rsidRPr="009A0DA6">
        <w:rPr>
          <w:rFonts w:ascii="Cambria" w:eastAsia="Times New Roman" w:hAnsi="Cambria" w:cstheme="minorHAnsi"/>
        </w:rPr>
        <w:t>cial</w:t>
      </w:r>
      <w:r w:rsidRPr="009A0DA6">
        <w:rPr>
          <w:rFonts w:ascii="Cambria" w:eastAsia="Times New Roman" w:hAnsi="Cambria" w:cstheme="minorHAnsi"/>
          <w:spacing w:val="20"/>
        </w:rPr>
        <w:t xml:space="preserve"> </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spacing w:val="2"/>
        </w:rPr>
        <w:t>t</w:t>
      </w:r>
      <w:r w:rsidRPr="009A0DA6">
        <w:rPr>
          <w:rFonts w:ascii="Cambria" w:eastAsia="Times New Roman" w:hAnsi="Cambria" w:cstheme="minorHAnsi"/>
        </w:rPr>
        <w:t>e</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1"/>
        </w:rPr>
        <w:t>s</w:t>
      </w:r>
      <w:r w:rsidRPr="009A0DA6">
        <w:rPr>
          <w:rFonts w:ascii="Cambria" w:eastAsia="Times New Roman" w:hAnsi="Cambria" w:cstheme="minorHAnsi"/>
        </w:rPr>
        <w:t>t</w:t>
      </w:r>
      <w:r w:rsidRPr="009A0DA6">
        <w:rPr>
          <w:rFonts w:ascii="Cambria" w:eastAsia="Times New Roman" w:hAnsi="Cambria" w:cstheme="minorHAnsi"/>
          <w:spacing w:val="21"/>
        </w:rPr>
        <w:t xml:space="preserve"> </w:t>
      </w:r>
      <w:r w:rsidRPr="009A0DA6">
        <w:rPr>
          <w:rFonts w:ascii="Cambria" w:eastAsia="Times New Roman" w:hAnsi="Cambria" w:cstheme="minorHAnsi"/>
          <w:spacing w:val="-1"/>
        </w:rPr>
        <w:t>h</w:t>
      </w:r>
      <w:r w:rsidRPr="009A0DA6">
        <w:rPr>
          <w:rFonts w:ascii="Cambria" w:eastAsia="Times New Roman" w:hAnsi="Cambria" w:cstheme="minorHAnsi"/>
        </w:rPr>
        <w:t>as</w:t>
      </w:r>
      <w:r w:rsidRPr="009A0DA6">
        <w:rPr>
          <w:rFonts w:ascii="Cambria" w:eastAsia="Times New Roman" w:hAnsi="Cambria" w:cstheme="minorHAnsi"/>
          <w:spacing w:val="23"/>
        </w:rPr>
        <w:t xml:space="preserve"> </w:t>
      </w:r>
      <w:r w:rsidRPr="009A0DA6">
        <w:rPr>
          <w:rFonts w:ascii="Cambria" w:eastAsia="Times New Roman" w:hAnsi="Cambria" w:cstheme="minorHAnsi"/>
          <w:spacing w:val="1"/>
        </w:rPr>
        <w:t>r</w:t>
      </w:r>
      <w:r w:rsidRPr="009A0DA6">
        <w:rPr>
          <w:rFonts w:ascii="Cambria" w:eastAsia="Times New Roman" w:hAnsi="Cambria" w:cstheme="minorHAnsi"/>
        </w:rPr>
        <w:t>ecei</w:t>
      </w:r>
      <w:r w:rsidRPr="009A0DA6">
        <w:rPr>
          <w:rFonts w:ascii="Cambria" w:eastAsia="Times New Roman" w:hAnsi="Cambria" w:cstheme="minorHAnsi"/>
          <w:spacing w:val="-1"/>
        </w:rPr>
        <w:t>v</w:t>
      </w:r>
      <w:r w:rsidRPr="009A0DA6">
        <w:rPr>
          <w:rFonts w:ascii="Cambria" w:eastAsia="Times New Roman" w:hAnsi="Cambria" w:cstheme="minorHAnsi"/>
        </w:rPr>
        <w:t>ed</w:t>
      </w:r>
      <w:r w:rsidRPr="009A0DA6">
        <w:rPr>
          <w:rFonts w:ascii="Cambria" w:eastAsia="Times New Roman" w:hAnsi="Cambria" w:cstheme="minorHAnsi"/>
          <w:spacing w:val="21"/>
        </w:rPr>
        <w:t xml:space="preserve"> </w:t>
      </w:r>
      <w:r w:rsidRPr="009A0DA6">
        <w:rPr>
          <w:rFonts w:ascii="Cambria" w:eastAsia="Times New Roman" w:hAnsi="Cambria" w:cstheme="minorHAnsi"/>
          <w:spacing w:val="1"/>
        </w:rPr>
        <w:t>o</w:t>
      </w:r>
      <w:r w:rsidRPr="009A0DA6">
        <w:rPr>
          <w:rFonts w:ascii="Cambria" w:eastAsia="Times New Roman" w:hAnsi="Cambria" w:cstheme="minorHAnsi"/>
        </w:rPr>
        <w:t>r</w:t>
      </w:r>
      <w:r w:rsidRPr="009A0DA6">
        <w:rPr>
          <w:rFonts w:ascii="Cambria" w:eastAsia="Times New Roman" w:hAnsi="Cambria" w:cstheme="minorHAnsi"/>
          <w:spacing w:val="23"/>
        </w:rPr>
        <w:t xml:space="preserve"> </w:t>
      </w:r>
      <w:r w:rsidRPr="009A0DA6">
        <w:rPr>
          <w:rFonts w:ascii="Cambria" w:eastAsia="Times New Roman" w:hAnsi="Cambria" w:cstheme="minorHAnsi"/>
          <w:spacing w:val="1"/>
        </w:rPr>
        <w:t>b</w:t>
      </w:r>
      <w:r w:rsidRPr="009A0DA6">
        <w:rPr>
          <w:rFonts w:ascii="Cambria" w:eastAsia="Times New Roman" w:hAnsi="Cambria" w:cstheme="minorHAnsi"/>
        </w:rPr>
        <w:t>ec</w:t>
      </w:r>
      <w:r w:rsidRPr="009A0DA6">
        <w:rPr>
          <w:rFonts w:ascii="Cambria" w:eastAsia="Times New Roman" w:hAnsi="Cambria" w:cstheme="minorHAnsi"/>
          <w:spacing w:val="1"/>
        </w:rPr>
        <w:t>o</w:t>
      </w:r>
      <w:r w:rsidRPr="009A0DA6">
        <w:rPr>
          <w:rFonts w:ascii="Cambria" w:eastAsia="Times New Roman" w:hAnsi="Cambria" w:cstheme="minorHAnsi"/>
          <w:spacing w:val="-4"/>
        </w:rPr>
        <w:t>m</w:t>
      </w:r>
      <w:r w:rsidRPr="009A0DA6">
        <w:rPr>
          <w:rFonts w:ascii="Cambria" w:eastAsia="Times New Roman" w:hAnsi="Cambria" w:cstheme="minorHAnsi"/>
        </w:rPr>
        <w:t>e</w:t>
      </w:r>
      <w:r w:rsidRPr="009A0DA6">
        <w:rPr>
          <w:rFonts w:ascii="Cambria" w:eastAsia="Times New Roman" w:hAnsi="Cambria" w:cstheme="minorHAnsi"/>
          <w:spacing w:val="24"/>
        </w:rPr>
        <w:t xml:space="preserve"> </w:t>
      </w:r>
      <w:r w:rsidRPr="009A0DA6">
        <w:rPr>
          <w:rFonts w:ascii="Cambria" w:eastAsia="Times New Roman" w:hAnsi="Cambria" w:cstheme="minorHAnsi"/>
        </w:rPr>
        <w:t>e</w:t>
      </w:r>
      <w:r w:rsidRPr="009A0DA6">
        <w:rPr>
          <w:rFonts w:ascii="Cambria" w:eastAsia="Times New Roman" w:hAnsi="Cambria" w:cstheme="minorHAnsi"/>
          <w:spacing w:val="-1"/>
        </w:rPr>
        <w:t>n</w:t>
      </w:r>
      <w:r w:rsidRPr="009A0DA6">
        <w:rPr>
          <w:rFonts w:ascii="Cambria" w:eastAsia="Times New Roman" w:hAnsi="Cambria" w:cstheme="minorHAnsi"/>
        </w:rPr>
        <w:t>titled</w:t>
      </w:r>
      <w:r w:rsidRPr="009A0DA6">
        <w:rPr>
          <w:rFonts w:ascii="Cambria" w:eastAsia="Times New Roman" w:hAnsi="Cambria" w:cstheme="minorHAnsi"/>
          <w:spacing w:val="22"/>
        </w:rPr>
        <w:t xml:space="preserve"> </w:t>
      </w:r>
      <w:r w:rsidRPr="009A0DA6">
        <w:rPr>
          <w:rFonts w:ascii="Cambria" w:eastAsia="Times New Roman" w:hAnsi="Cambria" w:cstheme="minorHAnsi"/>
        </w:rPr>
        <w:t>to</w:t>
      </w:r>
      <w:r w:rsidRPr="009A0DA6">
        <w:rPr>
          <w:rFonts w:ascii="Cambria" w:eastAsia="Times New Roman" w:hAnsi="Cambria" w:cstheme="minorHAnsi"/>
          <w:spacing w:val="26"/>
        </w:rPr>
        <w:t xml:space="preserve"> </w:t>
      </w:r>
      <w:r w:rsidRPr="009A0DA6">
        <w:rPr>
          <w:rFonts w:ascii="Cambria" w:eastAsia="Times New Roman" w:hAnsi="Cambria" w:cstheme="minorHAnsi"/>
          <w:spacing w:val="1"/>
        </w:rPr>
        <w:t>r</w:t>
      </w:r>
      <w:r w:rsidRPr="009A0DA6">
        <w:rPr>
          <w:rFonts w:ascii="Cambria" w:eastAsia="Times New Roman" w:hAnsi="Cambria" w:cstheme="minorHAnsi"/>
        </w:rPr>
        <w:t>ecei</w:t>
      </w:r>
      <w:r w:rsidRPr="009A0DA6">
        <w:rPr>
          <w:rFonts w:ascii="Cambria" w:eastAsia="Times New Roman" w:hAnsi="Cambria" w:cstheme="minorHAnsi"/>
          <w:spacing w:val="-1"/>
        </w:rPr>
        <w:t>v</w:t>
      </w:r>
      <w:r w:rsidRPr="009A0DA6">
        <w:rPr>
          <w:rFonts w:ascii="Cambria" w:eastAsia="Times New Roman" w:hAnsi="Cambria" w:cstheme="minorHAnsi"/>
        </w:rPr>
        <w:t>e</w:t>
      </w:r>
      <w:r w:rsidRPr="009A0DA6">
        <w:rPr>
          <w:rFonts w:ascii="Cambria" w:eastAsia="Times New Roman" w:hAnsi="Cambria" w:cstheme="minorHAnsi"/>
          <w:spacing w:val="21"/>
        </w:rPr>
        <w:t xml:space="preserve"> </w:t>
      </w:r>
      <w:r w:rsidRPr="009A0DA6">
        <w:rPr>
          <w:rFonts w:ascii="Cambria" w:eastAsia="Times New Roman" w:hAnsi="Cambria" w:cstheme="minorHAnsi"/>
        </w:rPr>
        <w:t>a</w:t>
      </w:r>
      <w:r w:rsidRPr="009A0DA6">
        <w:rPr>
          <w:rFonts w:ascii="Cambria" w:eastAsia="Times New Roman" w:hAnsi="Cambria" w:cstheme="minorHAnsi"/>
          <w:spacing w:val="24"/>
        </w:rPr>
        <w:t xml:space="preserve"> </w:t>
      </w:r>
      <w:r w:rsidRPr="009A0DA6">
        <w:rPr>
          <w:rFonts w:ascii="Cambria" w:eastAsia="Times New Roman" w:hAnsi="Cambria" w:cstheme="minorHAnsi"/>
          <w:spacing w:val="1"/>
        </w:rPr>
        <w:t>b</w:t>
      </w:r>
      <w:r w:rsidRPr="009A0DA6">
        <w:rPr>
          <w:rFonts w:ascii="Cambria" w:eastAsia="Times New Roman" w:hAnsi="Cambria" w:cstheme="minorHAnsi"/>
        </w:rPr>
        <w:t>e</w:t>
      </w:r>
      <w:r w:rsidRPr="009A0DA6">
        <w:rPr>
          <w:rFonts w:ascii="Cambria" w:eastAsia="Times New Roman" w:hAnsi="Cambria" w:cstheme="minorHAnsi"/>
          <w:spacing w:val="-1"/>
        </w:rPr>
        <w:t>n</w:t>
      </w:r>
      <w:r w:rsidRPr="009A0DA6">
        <w:rPr>
          <w:rFonts w:ascii="Cambria" w:eastAsia="Times New Roman" w:hAnsi="Cambria" w:cstheme="minorHAnsi"/>
        </w:rPr>
        <w:t>e</w:t>
      </w:r>
      <w:r w:rsidRPr="009A0DA6">
        <w:rPr>
          <w:rFonts w:ascii="Cambria" w:eastAsia="Times New Roman" w:hAnsi="Cambria" w:cstheme="minorHAnsi"/>
          <w:spacing w:val="-1"/>
        </w:rPr>
        <w:t>f</w:t>
      </w:r>
      <w:r w:rsidRPr="009A0DA6">
        <w:rPr>
          <w:rFonts w:ascii="Cambria" w:eastAsia="Times New Roman" w:hAnsi="Cambria" w:cstheme="minorHAnsi"/>
        </w:rPr>
        <w:t>it</w:t>
      </w:r>
      <w:r w:rsidRPr="009A0DA6">
        <w:rPr>
          <w:rFonts w:ascii="Cambria" w:eastAsia="Times New Roman" w:hAnsi="Cambria" w:cstheme="minorHAnsi"/>
          <w:spacing w:val="21"/>
        </w:rPr>
        <w:t xml:space="preserve"> </w:t>
      </w:r>
      <w:r w:rsidRPr="009A0DA6">
        <w:rPr>
          <w:rFonts w:ascii="Cambria" w:eastAsia="Times New Roman" w:hAnsi="Cambria" w:cstheme="minorHAnsi"/>
        </w:rPr>
        <w:t>as</w:t>
      </w:r>
      <w:r w:rsidRPr="009A0DA6">
        <w:rPr>
          <w:rFonts w:ascii="Cambria" w:eastAsia="Times New Roman" w:hAnsi="Cambria" w:cstheme="minorHAnsi"/>
          <w:spacing w:val="24"/>
        </w:rPr>
        <w:t xml:space="preserve"> </w:t>
      </w:r>
      <w:r w:rsidRPr="009A0DA6">
        <w:rPr>
          <w:rFonts w:ascii="Cambria" w:eastAsia="Times New Roman" w:hAnsi="Cambria" w:cstheme="minorHAnsi"/>
        </w:rPr>
        <w:t xml:space="preserve">a </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1"/>
        </w:rPr>
        <w:t>su</w:t>
      </w:r>
      <w:r w:rsidRPr="009A0DA6">
        <w:rPr>
          <w:rFonts w:ascii="Cambria" w:eastAsia="Times New Roman" w:hAnsi="Cambria" w:cstheme="minorHAnsi"/>
        </w:rPr>
        <w:t>lt</w:t>
      </w:r>
      <w:r w:rsidRPr="009A0DA6">
        <w:rPr>
          <w:rFonts w:ascii="Cambria" w:eastAsia="Times New Roman" w:hAnsi="Cambria" w:cstheme="minorHAnsi"/>
          <w:spacing w:val="6"/>
        </w:rPr>
        <w:t xml:space="preserve"> </w:t>
      </w:r>
      <w:r w:rsidRPr="009A0DA6">
        <w:rPr>
          <w:rFonts w:ascii="Cambria" w:eastAsia="Times New Roman" w:hAnsi="Cambria" w:cstheme="minorHAnsi"/>
          <w:spacing w:val="4"/>
        </w:rPr>
        <w:t>o</w:t>
      </w:r>
      <w:r w:rsidRPr="009A0DA6">
        <w:rPr>
          <w:rFonts w:ascii="Cambria" w:eastAsia="Times New Roman" w:hAnsi="Cambria" w:cstheme="minorHAnsi"/>
        </w:rPr>
        <w:t>f</w:t>
      </w:r>
      <w:r w:rsidRPr="009A0DA6">
        <w:rPr>
          <w:rFonts w:ascii="Cambria" w:eastAsia="Times New Roman" w:hAnsi="Cambria" w:cstheme="minorHAnsi"/>
          <w:spacing w:val="8"/>
        </w:rPr>
        <w:t xml:space="preserve"> </w:t>
      </w:r>
      <w:r w:rsidRPr="009A0DA6">
        <w:rPr>
          <w:rFonts w:ascii="Cambria" w:eastAsia="Times New Roman" w:hAnsi="Cambria" w:cstheme="minorHAnsi"/>
        </w:rPr>
        <w:t>a</w:t>
      </w:r>
      <w:r w:rsidRPr="009A0DA6">
        <w:rPr>
          <w:rFonts w:ascii="Cambria" w:eastAsia="Times New Roman" w:hAnsi="Cambria" w:cstheme="minorHAnsi"/>
          <w:spacing w:val="10"/>
        </w:rPr>
        <w:t xml:space="preserve"> </w:t>
      </w:r>
      <w:r w:rsidRPr="009A0DA6">
        <w:rPr>
          <w:rFonts w:ascii="Cambria" w:eastAsia="Times New Roman" w:hAnsi="Cambria" w:cstheme="minorHAnsi"/>
        </w:rPr>
        <w:t>c</w:t>
      </w:r>
      <w:r w:rsidRPr="009A0DA6">
        <w:rPr>
          <w:rFonts w:ascii="Cambria" w:eastAsia="Times New Roman" w:hAnsi="Cambria" w:cstheme="minorHAnsi"/>
          <w:spacing w:val="1"/>
        </w:rPr>
        <w:t>o</w:t>
      </w:r>
      <w:r w:rsidRPr="009A0DA6">
        <w:rPr>
          <w:rFonts w:ascii="Cambria" w:eastAsia="Times New Roman" w:hAnsi="Cambria" w:cstheme="minorHAnsi"/>
          <w:spacing w:val="-1"/>
        </w:rPr>
        <w:t>n</w:t>
      </w:r>
      <w:r w:rsidRPr="009A0DA6">
        <w:rPr>
          <w:rFonts w:ascii="Cambria" w:eastAsia="Times New Roman" w:hAnsi="Cambria" w:cstheme="minorHAnsi"/>
        </w:rPr>
        <w:t>t</w:t>
      </w:r>
      <w:r w:rsidRPr="009A0DA6">
        <w:rPr>
          <w:rFonts w:ascii="Cambria" w:eastAsia="Times New Roman" w:hAnsi="Cambria" w:cstheme="minorHAnsi"/>
          <w:spacing w:val="1"/>
        </w:rPr>
        <w:t>r</w:t>
      </w:r>
      <w:r w:rsidRPr="009A0DA6">
        <w:rPr>
          <w:rFonts w:ascii="Cambria" w:eastAsia="Times New Roman" w:hAnsi="Cambria" w:cstheme="minorHAnsi"/>
        </w:rPr>
        <w:t>act</w:t>
      </w:r>
      <w:r w:rsidRPr="009A0DA6">
        <w:rPr>
          <w:rFonts w:ascii="Cambria" w:eastAsia="Times New Roman" w:hAnsi="Cambria" w:cstheme="minorHAnsi"/>
          <w:spacing w:val="4"/>
        </w:rPr>
        <w:t xml:space="preserve"> </w:t>
      </w:r>
      <w:r w:rsidRPr="009A0DA6">
        <w:rPr>
          <w:rFonts w:ascii="Cambria" w:eastAsia="Times New Roman" w:hAnsi="Cambria" w:cstheme="minorHAnsi"/>
          <w:spacing w:val="1"/>
        </w:rPr>
        <w:t>b</w:t>
      </w:r>
      <w:r w:rsidRPr="009A0DA6">
        <w:rPr>
          <w:rFonts w:ascii="Cambria" w:eastAsia="Times New Roman" w:hAnsi="Cambria" w:cstheme="minorHAnsi"/>
        </w:rPr>
        <w:t>e</w:t>
      </w:r>
      <w:r w:rsidRPr="009A0DA6">
        <w:rPr>
          <w:rFonts w:ascii="Cambria" w:eastAsia="Times New Roman" w:hAnsi="Cambria" w:cstheme="minorHAnsi"/>
          <w:spacing w:val="2"/>
        </w:rPr>
        <w:t>t</w:t>
      </w:r>
      <w:r w:rsidRPr="009A0DA6">
        <w:rPr>
          <w:rFonts w:ascii="Cambria" w:eastAsia="Times New Roman" w:hAnsi="Cambria" w:cstheme="minorHAnsi"/>
          <w:spacing w:val="-2"/>
        </w:rPr>
        <w:t>w</w:t>
      </w:r>
      <w:r w:rsidRPr="009A0DA6">
        <w:rPr>
          <w:rFonts w:ascii="Cambria" w:eastAsia="Times New Roman" w:hAnsi="Cambria" w:cstheme="minorHAnsi"/>
        </w:rPr>
        <w:t>e</w:t>
      </w:r>
      <w:r w:rsidRPr="009A0DA6">
        <w:rPr>
          <w:rFonts w:ascii="Cambria" w:eastAsia="Times New Roman" w:hAnsi="Cambria" w:cstheme="minorHAnsi"/>
          <w:spacing w:val="3"/>
        </w:rPr>
        <w:t>e</w:t>
      </w:r>
      <w:r w:rsidRPr="009A0DA6">
        <w:rPr>
          <w:rFonts w:ascii="Cambria" w:eastAsia="Times New Roman" w:hAnsi="Cambria" w:cstheme="minorHAnsi"/>
        </w:rPr>
        <w:t>n</w:t>
      </w:r>
      <w:r w:rsidRPr="009A0DA6">
        <w:rPr>
          <w:rFonts w:ascii="Cambria" w:eastAsia="Times New Roman" w:hAnsi="Cambria" w:cstheme="minorHAnsi"/>
          <w:spacing w:val="6"/>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9"/>
        </w:rPr>
        <w:t xml:space="preserve"> </w:t>
      </w:r>
      <w:r w:rsidRPr="009A0DA6">
        <w:rPr>
          <w:rFonts w:ascii="Cambria" w:eastAsia="Times New Roman" w:hAnsi="Cambria" w:cstheme="minorHAnsi"/>
          <w:spacing w:val="1"/>
        </w:rPr>
        <w:t>of</w:t>
      </w:r>
      <w:r w:rsidRPr="009A0DA6">
        <w:rPr>
          <w:rFonts w:ascii="Cambria" w:eastAsia="Times New Roman" w:hAnsi="Cambria" w:cstheme="minorHAnsi"/>
          <w:spacing w:val="-1"/>
        </w:rPr>
        <w:t>f</w:t>
      </w:r>
      <w:r w:rsidRPr="009A0DA6">
        <w:rPr>
          <w:rFonts w:ascii="Cambria" w:eastAsia="Times New Roman" w:hAnsi="Cambria" w:cstheme="minorHAnsi"/>
        </w:rPr>
        <w:t>ice</w:t>
      </w:r>
      <w:r w:rsidRPr="009A0DA6">
        <w:rPr>
          <w:rFonts w:ascii="Cambria" w:eastAsia="Times New Roman" w:hAnsi="Cambria" w:cstheme="minorHAnsi"/>
          <w:spacing w:val="1"/>
        </w:rPr>
        <w:t>r</w:t>
      </w:r>
      <w:r w:rsidRPr="009A0DA6">
        <w:rPr>
          <w:rFonts w:ascii="Cambria" w:eastAsia="Times New Roman" w:hAnsi="Cambria" w:cstheme="minorHAnsi"/>
        </w:rPr>
        <w:t>,</w:t>
      </w:r>
      <w:r w:rsidRPr="009A0DA6">
        <w:rPr>
          <w:rFonts w:ascii="Cambria" w:eastAsia="Times New Roman" w:hAnsi="Cambria" w:cstheme="minorHAnsi"/>
          <w:spacing w:val="8"/>
        </w:rPr>
        <w:t xml:space="preserve"> </w:t>
      </w:r>
      <w:r w:rsidRPr="009A0DA6">
        <w:rPr>
          <w:rFonts w:ascii="Cambria" w:eastAsia="Times New Roman" w:hAnsi="Cambria" w:cstheme="minorHAnsi"/>
          <w:spacing w:val="-1"/>
        </w:rPr>
        <w:t>f</w:t>
      </w:r>
      <w:r w:rsidRPr="009A0DA6">
        <w:rPr>
          <w:rFonts w:ascii="Cambria" w:eastAsia="Times New Roman" w:hAnsi="Cambria" w:cstheme="minorHAnsi"/>
        </w:rPr>
        <w:t>i</w:t>
      </w:r>
      <w:r w:rsidRPr="009A0DA6">
        <w:rPr>
          <w:rFonts w:ascii="Cambria" w:eastAsia="Times New Roman" w:hAnsi="Cambria" w:cstheme="minorHAnsi"/>
          <w:spacing w:val="3"/>
        </w:rPr>
        <w:t>r</w:t>
      </w:r>
      <w:r w:rsidRPr="009A0DA6">
        <w:rPr>
          <w:rFonts w:ascii="Cambria" w:eastAsia="Times New Roman" w:hAnsi="Cambria" w:cstheme="minorHAnsi"/>
        </w:rPr>
        <w:t>m</w:t>
      </w:r>
      <w:r w:rsidRPr="009A0DA6">
        <w:rPr>
          <w:rFonts w:ascii="Cambria" w:eastAsia="Times New Roman" w:hAnsi="Cambria" w:cstheme="minorHAnsi"/>
          <w:spacing w:val="6"/>
        </w:rPr>
        <w:t xml:space="preserve"> </w:t>
      </w:r>
      <w:r w:rsidRPr="009A0DA6">
        <w:rPr>
          <w:rFonts w:ascii="Cambria" w:eastAsia="Times New Roman" w:hAnsi="Cambria" w:cstheme="minorHAnsi"/>
          <w:spacing w:val="1"/>
        </w:rPr>
        <w:t>o</w:t>
      </w:r>
      <w:r w:rsidRPr="009A0DA6">
        <w:rPr>
          <w:rFonts w:ascii="Cambria" w:eastAsia="Times New Roman" w:hAnsi="Cambria" w:cstheme="minorHAnsi"/>
        </w:rPr>
        <w:t>r</w:t>
      </w:r>
      <w:r w:rsidRPr="009A0DA6">
        <w:rPr>
          <w:rFonts w:ascii="Cambria" w:eastAsia="Times New Roman" w:hAnsi="Cambria" w:cstheme="minorHAnsi"/>
          <w:spacing w:val="11"/>
        </w:rPr>
        <w:t xml:space="preserve"> </w:t>
      </w:r>
      <w:r w:rsidRPr="009A0DA6">
        <w:rPr>
          <w:rFonts w:ascii="Cambria" w:eastAsia="Times New Roman" w:hAnsi="Cambria" w:cstheme="minorHAnsi"/>
        </w:rPr>
        <w:t>c</w:t>
      </w:r>
      <w:r w:rsidRPr="009A0DA6">
        <w:rPr>
          <w:rFonts w:ascii="Cambria" w:eastAsia="Times New Roman" w:hAnsi="Cambria" w:cstheme="minorHAnsi"/>
          <w:spacing w:val="1"/>
        </w:rPr>
        <w:t>orpor</w:t>
      </w:r>
      <w:r w:rsidRPr="009A0DA6">
        <w:rPr>
          <w:rFonts w:ascii="Cambria" w:eastAsia="Times New Roman" w:hAnsi="Cambria" w:cstheme="minorHAnsi"/>
          <w:spacing w:val="-2"/>
        </w:rPr>
        <w:t>a</w:t>
      </w:r>
      <w:r w:rsidRPr="009A0DA6">
        <w:rPr>
          <w:rFonts w:ascii="Cambria" w:eastAsia="Times New Roman" w:hAnsi="Cambria" w:cstheme="minorHAnsi"/>
        </w:rPr>
        <w:t>ti</w:t>
      </w:r>
      <w:r w:rsidRPr="009A0DA6">
        <w:rPr>
          <w:rFonts w:ascii="Cambria" w:eastAsia="Times New Roman" w:hAnsi="Cambria" w:cstheme="minorHAnsi"/>
          <w:spacing w:val="1"/>
        </w:rPr>
        <w:t>o</w:t>
      </w:r>
      <w:r w:rsidRPr="009A0DA6">
        <w:rPr>
          <w:rFonts w:ascii="Cambria" w:eastAsia="Times New Roman" w:hAnsi="Cambria" w:cstheme="minorHAnsi"/>
        </w:rPr>
        <w:t>n a</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spacing w:val="9"/>
        </w:rPr>
        <w:t xml:space="preserve"> </w:t>
      </w:r>
      <w:r w:rsidRPr="009A0DA6">
        <w:rPr>
          <w:rFonts w:ascii="Cambria" w:eastAsia="Times New Roman" w:hAnsi="Cambria" w:cstheme="minorHAnsi"/>
          <w:spacing w:val="2"/>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11"/>
        </w:rPr>
        <w:t xml:space="preserve"> </w:t>
      </w:r>
      <w:r w:rsidRPr="009A0DA6">
        <w:rPr>
          <w:rFonts w:ascii="Cambria" w:eastAsia="Times New Roman" w:hAnsi="Cambria" w:cstheme="minorHAnsi"/>
          <w:spacing w:val="1"/>
        </w:rPr>
        <w:t>L</w:t>
      </w:r>
      <w:r w:rsidRPr="009A0DA6">
        <w:rPr>
          <w:rFonts w:ascii="Cambria" w:eastAsia="Times New Roman" w:hAnsi="Cambria" w:cstheme="minorHAnsi"/>
          <w:spacing w:val="-1"/>
        </w:rPr>
        <w:t>u</w:t>
      </w:r>
      <w:r w:rsidRPr="009A0DA6">
        <w:rPr>
          <w:rFonts w:ascii="Cambria" w:eastAsia="Times New Roman" w:hAnsi="Cambria" w:cstheme="minorHAnsi"/>
          <w:spacing w:val="2"/>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1"/>
        </w:rPr>
        <w:t>r</w:t>
      </w:r>
      <w:r w:rsidRPr="009A0DA6">
        <w:rPr>
          <w:rFonts w:ascii="Cambria" w:eastAsia="Times New Roman" w:hAnsi="Cambria" w:cstheme="minorHAnsi"/>
        </w:rPr>
        <w:t>an</w:t>
      </w:r>
      <w:r w:rsidRPr="009A0DA6">
        <w:rPr>
          <w:rFonts w:ascii="Cambria" w:eastAsia="Times New Roman" w:hAnsi="Cambria" w:cstheme="minorHAnsi"/>
          <w:spacing w:val="5"/>
        </w:rPr>
        <w:t xml:space="preserve"> </w:t>
      </w:r>
      <w:r w:rsidRPr="009A0DA6">
        <w:rPr>
          <w:rFonts w:ascii="Cambria" w:eastAsia="Times New Roman" w:hAnsi="Cambria" w:cstheme="minorHAnsi"/>
          <w:spacing w:val="-1"/>
        </w:rPr>
        <w:t>C</w:t>
      </w:r>
      <w:r w:rsidRPr="009A0DA6">
        <w:rPr>
          <w:rFonts w:ascii="Cambria" w:eastAsia="Times New Roman" w:hAnsi="Cambria" w:cstheme="minorHAnsi"/>
          <w:spacing w:val="1"/>
        </w:rPr>
        <w:t>h</w:t>
      </w:r>
      <w:r w:rsidRPr="009A0DA6">
        <w:rPr>
          <w:rFonts w:ascii="Cambria" w:eastAsia="Times New Roman" w:hAnsi="Cambria" w:cstheme="minorHAnsi"/>
          <w:spacing w:val="-1"/>
        </w:rPr>
        <w:t>u</w:t>
      </w:r>
      <w:r w:rsidRPr="009A0DA6">
        <w:rPr>
          <w:rFonts w:ascii="Cambria" w:eastAsia="Times New Roman" w:hAnsi="Cambria" w:cstheme="minorHAnsi"/>
          <w:spacing w:val="1"/>
        </w:rPr>
        <w:t>r</w:t>
      </w:r>
      <w:r w:rsidRPr="009A0DA6">
        <w:rPr>
          <w:rFonts w:ascii="Cambria" w:eastAsia="Times New Roman" w:hAnsi="Cambria" w:cstheme="minorHAnsi"/>
          <w:spacing w:val="3"/>
        </w:rPr>
        <w:t>c</w:t>
      </w:r>
      <w:r w:rsidRPr="009A0DA6">
        <w:rPr>
          <w:rFonts w:ascii="Cambria" w:eastAsia="Times New Roman" w:hAnsi="Cambria" w:cstheme="minorHAnsi"/>
        </w:rPr>
        <w:t>h</w:t>
      </w:r>
      <w:r w:rsidRPr="009A0DA6">
        <w:rPr>
          <w:rFonts w:ascii="Cambria" w:eastAsia="Times New Roman" w:hAnsi="Cambria" w:cstheme="minorHAnsi"/>
          <w:spacing w:val="3"/>
        </w:rPr>
        <w:t xml:space="preserve"> </w:t>
      </w:r>
      <w:r w:rsidRPr="009A0DA6">
        <w:rPr>
          <w:rFonts w:ascii="Cambria" w:eastAsia="Times New Roman" w:hAnsi="Cambria" w:cstheme="minorHAnsi"/>
          <w:spacing w:val="1"/>
        </w:rPr>
        <w:t>o</w:t>
      </w:r>
      <w:r w:rsidRPr="009A0DA6">
        <w:rPr>
          <w:rFonts w:ascii="Cambria" w:eastAsia="Times New Roman" w:hAnsi="Cambria" w:cstheme="minorHAnsi"/>
        </w:rPr>
        <w:t>f A</w:t>
      </w:r>
      <w:r w:rsidRPr="009A0DA6">
        <w:rPr>
          <w:rFonts w:ascii="Cambria" w:eastAsia="Times New Roman" w:hAnsi="Cambria" w:cstheme="minorHAnsi"/>
          <w:spacing w:val="-1"/>
        </w:rPr>
        <w:t>us</w:t>
      </w:r>
      <w:r w:rsidRPr="009A0DA6">
        <w:rPr>
          <w:rFonts w:ascii="Cambria" w:eastAsia="Times New Roman" w:hAnsi="Cambria" w:cstheme="minorHAnsi"/>
        </w:rPr>
        <w:t>t</w:t>
      </w:r>
      <w:r w:rsidRPr="009A0DA6">
        <w:rPr>
          <w:rFonts w:ascii="Cambria" w:eastAsia="Times New Roman" w:hAnsi="Cambria" w:cstheme="minorHAnsi"/>
          <w:spacing w:val="1"/>
        </w:rPr>
        <w:t>r</w:t>
      </w:r>
      <w:r w:rsidRPr="009A0DA6">
        <w:rPr>
          <w:rFonts w:ascii="Cambria" w:eastAsia="Times New Roman" w:hAnsi="Cambria" w:cstheme="minorHAnsi"/>
        </w:rPr>
        <w:t>alia</w:t>
      </w:r>
      <w:r w:rsidRPr="009A0DA6">
        <w:rPr>
          <w:rFonts w:ascii="Cambria" w:eastAsia="Times New Roman" w:hAnsi="Cambria" w:cstheme="minorHAnsi"/>
          <w:spacing w:val="-6"/>
        </w:rPr>
        <w:t xml:space="preserve"> </w:t>
      </w:r>
      <w:r w:rsidRPr="009A0DA6">
        <w:rPr>
          <w:rFonts w:ascii="Cambria" w:eastAsia="Times New Roman" w:hAnsi="Cambria" w:cstheme="minorHAnsi"/>
          <w:spacing w:val="3"/>
        </w:rPr>
        <w:t>I</w:t>
      </w:r>
      <w:r w:rsidRPr="009A0DA6">
        <w:rPr>
          <w:rFonts w:ascii="Cambria" w:eastAsia="Times New Roman" w:hAnsi="Cambria" w:cstheme="minorHAnsi"/>
          <w:spacing w:val="-1"/>
        </w:rPr>
        <w:t>n</w:t>
      </w:r>
      <w:r w:rsidRPr="009A0DA6">
        <w:rPr>
          <w:rFonts w:ascii="Cambria" w:eastAsia="Times New Roman" w:hAnsi="Cambria" w:cstheme="minorHAnsi"/>
        </w:rPr>
        <w:t>c</w:t>
      </w:r>
      <w:r w:rsidRPr="009A0DA6">
        <w:rPr>
          <w:rFonts w:ascii="Cambria" w:eastAsia="Times New Roman" w:hAnsi="Cambria" w:cstheme="minorHAnsi"/>
          <w:spacing w:val="1"/>
        </w:rPr>
        <w:t>orpor</w:t>
      </w:r>
      <w:r w:rsidRPr="009A0DA6">
        <w:rPr>
          <w:rFonts w:ascii="Cambria" w:eastAsia="Times New Roman" w:hAnsi="Cambria" w:cstheme="minorHAnsi"/>
        </w:rPr>
        <w:t>ate</w:t>
      </w:r>
      <w:r w:rsidRPr="009A0DA6">
        <w:rPr>
          <w:rFonts w:ascii="Cambria" w:eastAsia="Times New Roman" w:hAnsi="Cambria" w:cstheme="minorHAnsi"/>
          <w:spacing w:val="1"/>
        </w:rPr>
        <w:t>d</w:t>
      </w:r>
      <w:r w:rsidRPr="009A0DA6">
        <w:rPr>
          <w:rFonts w:ascii="Cambria" w:eastAsia="Times New Roman" w:hAnsi="Cambria" w:cstheme="minorHAnsi"/>
        </w:rPr>
        <w:t>.</w:t>
      </w:r>
    </w:p>
    <w:p w14:paraId="79086D80" w14:textId="0C9407AC" w:rsidR="00BA4592" w:rsidRPr="009A0DA6" w:rsidRDefault="00BA4592" w:rsidP="00F55252">
      <w:pPr>
        <w:pStyle w:val="ListParagraph"/>
        <w:numPr>
          <w:ilvl w:val="1"/>
          <w:numId w:val="276"/>
        </w:numPr>
        <w:spacing w:before="120" w:after="120" w:line="240" w:lineRule="auto"/>
        <w:ind w:left="567" w:right="51" w:hanging="567"/>
        <w:rPr>
          <w:rFonts w:ascii="Cambria" w:eastAsia="Times New Roman" w:hAnsi="Cambria" w:cstheme="minorHAnsi"/>
        </w:rPr>
      </w:pPr>
      <w:r w:rsidRPr="009A0DA6">
        <w:rPr>
          <w:rFonts w:ascii="Cambria" w:eastAsia="Times New Roman" w:hAnsi="Cambria" w:cstheme="minorHAnsi"/>
        </w:rPr>
        <w:t>No</w:t>
      </w:r>
      <w:r w:rsidRPr="009A0DA6">
        <w:rPr>
          <w:rFonts w:ascii="Cambria" w:eastAsia="Times New Roman" w:hAnsi="Cambria" w:cstheme="minorHAnsi"/>
          <w:spacing w:val="33"/>
        </w:rPr>
        <w:t xml:space="preserve"> </w:t>
      </w:r>
      <w:r w:rsidRPr="009A0DA6">
        <w:rPr>
          <w:rFonts w:ascii="Cambria" w:eastAsia="Times New Roman" w:hAnsi="Cambria" w:cstheme="minorHAnsi"/>
          <w:spacing w:val="1"/>
        </w:rPr>
        <w:t>o</w:t>
      </w:r>
      <w:r w:rsidRPr="009A0DA6">
        <w:rPr>
          <w:rFonts w:ascii="Cambria" w:eastAsia="Times New Roman" w:hAnsi="Cambria" w:cstheme="minorHAnsi"/>
          <w:spacing w:val="-1"/>
        </w:rPr>
        <w:t>ff</w:t>
      </w:r>
      <w:r w:rsidRPr="009A0DA6">
        <w:rPr>
          <w:rFonts w:ascii="Cambria" w:eastAsia="Times New Roman" w:hAnsi="Cambria" w:cstheme="minorHAnsi"/>
        </w:rPr>
        <w:t>icer</w:t>
      </w:r>
      <w:r w:rsidRPr="009A0DA6">
        <w:rPr>
          <w:rFonts w:ascii="Cambria" w:eastAsia="Times New Roman" w:hAnsi="Cambria" w:cstheme="minorHAnsi"/>
          <w:spacing w:val="32"/>
        </w:rPr>
        <w:t xml:space="preserve"> </w:t>
      </w:r>
      <w:r w:rsidRPr="009A0DA6">
        <w:rPr>
          <w:rFonts w:ascii="Cambria" w:eastAsia="Times New Roman" w:hAnsi="Cambria" w:cstheme="minorHAnsi"/>
          <w:spacing w:val="-1"/>
        </w:rPr>
        <w:t>h</w:t>
      </w:r>
      <w:r w:rsidRPr="009A0DA6">
        <w:rPr>
          <w:rFonts w:ascii="Cambria" w:eastAsia="Times New Roman" w:hAnsi="Cambria" w:cstheme="minorHAnsi"/>
        </w:rPr>
        <w:t>as</w:t>
      </w:r>
      <w:r w:rsidRPr="009A0DA6">
        <w:rPr>
          <w:rFonts w:ascii="Cambria" w:eastAsia="Times New Roman" w:hAnsi="Cambria" w:cstheme="minorHAnsi"/>
          <w:spacing w:val="30"/>
        </w:rPr>
        <w:t xml:space="preserve"> </w:t>
      </w:r>
      <w:r w:rsidRPr="009A0DA6">
        <w:rPr>
          <w:rFonts w:ascii="Cambria" w:eastAsia="Times New Roman" w:hAnsi="Cambria" w:cstheme="minorHAnsi"/>
          <w:spacing w:val="1"/>
        </w:rPr>
        <w:t>r</w:t>
      </w:r>
      <w:r w:rsidRPr="009A0DA6">
        <w:rPr>
          <w:rFonts w:ascii="Cambria" w:eastAsia="Times New Roman" w:hAnsi="Cambria" w:cstheme="minorHAnsi"/>
        </w:rPr>
        <w:t>ece</w:t>
      </w:r>
      <w:r w:rsidRPr="009A0DA6">
        <w:rPr>
          <w:rFonts w:ascii="Cambria" w:eastAsia="Times New Roman" w:hAnsi="Cambria" w:cstheme="minorHAnsi"/>
          <w:spacing w:val="2"/>
        </w:rPr>
        <w:t>i</w:t>
      </w:r>
      <w:r w:rsidRPr="009A0DA6">
        <w:rPr>
          <w:rFonts w:ascii="Cambria" w:eastAsia="Times New Roman" w:hAnsi="Cambria" w:cstheme="minorHAnsi"/>
          <w:spacing w:val="-1"/>
        </w:rPr>
        <w:t>v</w:t>
      </w:r>
      <w:r w:rsidRPr="009A0DA6">
        <w:rPr>
          <w:rFonts w:ascii="Cambria" w:eastAsia="Times New Roman" w:hAnsi="Cambria" w:cstheme="minorHAnsi"/>
        </w:rPr>
        <w:t>ed</w:t>
      </w:r>
      <w:r w:rsidRPr="009A0DA6">
        <w:rPr>
          <w:rFonts w:ascii="Cambria" w:eastAsia="Times New Roman" w:hAnsi="Cambria" w:cstheme="minorHAnsi"/>
          <w:spacing w:val="28"/>
        </w:rPr>
        <w:t xml:space="preserve"> </w:t>
      </w:r>
      <w:r w:rsidRPr="009A0DA6">
        <w:rPr>
          <w:rFonts w:ascii="Cambria" w:eastAsia="Times New Roman" w:hAnsi="Cambria" w:cstheme="minorHAnsi"/>
          <w:spacing w:val="1"/>
        </w:rPr>
        <w:t>d</w:t>
      </w:r>
      <w:r w:rsidRPr="009A0DA6">
        <w:rPr>
          <w:rFonts w:ascii="Cambria" w:eastAsia="Times New Roman" w:hAnsi="Cambria" w:cstheme="minorHAnsi"/>
        </w:rPr>
        <w:t>i</w:t>
      </w:r>
      <w:r w:rsidRPr="009A0DA6">
        <w:rPr>
          <w:rFonts w:ascii="Cambria" w:eastAsia="Times New Roman" w:hAnsi="Cambria" w:cstheme="minorHAnsi"/>
          <w:spacing w:val="1"/>
        </w:rPr>
        <w:t>r</w:t>
      </w:r>
      <w:r w:rsidRPr="009A0DA6">
        <w:rPr>
          <w:rFonts w:ascii="Cambria" w:eastAsia="Times New Roman" w:hAnsi="Cambria" w:cstheme="minorHAnsi"/>
        </w:rPr>
        <w:t>ect</w:t>
      </w:r>
      <w:r w:rsidRPr="009A0DA6">
        <w:rPr>
          <w:rFonts w:ascii="Cambria" w:eastAsia="Times New Roman" w:hAnsi="Cambria" w:cstheme="minorHAnsi"/>
          <w:spacing w:val="2"/>
        </w:rPr>
        <w:t>l</w:t>
      </w:r>
      <w:r w:rsidRPr="009A0DA6">
        <w:rPr>
          <w:rFonts w:ascii="Cambria" w:eastAsia="Times New Roman" w:hAnsi="Cambria" w:cstheme="minorHAnsi"/>
        </w:rPr>
        <w:t>y</w:t>
      </w:r>
      <w:r w:rsidRPr="009A0DA6">
        <w:rPr>
          <w:rFonts w:ascii="Cambria" w:eastAsia="Times New Roman" w:hAnsi="Cambria" w:cstheme="minorHAnsi"/>
          <w:spacing w:val="24"/>
        </w:rPr>
        <w:t xml:space="preserve"> </w:t>
      </w:r>
      <w:r w:rsidRPr="009A0DA6">
        <w:rPr>
          <w:rFonts w:ascii="Cambria" w:eastAsia="Times New Roman" w:hAnsi="Cambria" w:cstheme="minorHAnsi"/>
          <w:spacing w:val="1"/>
        </w:rPr>
        <w:t>o</w:t>
      </w:r>
      <w:r w:rsidRPr="009A0DA6">
        <w:rPr>
          <w:rFonts w:ascii="Cambria" w:eastAsia="Times New Roman" w:hAnsi="Cambria" w:cstheme="minorHAnsi"/>
        </w:rPr>
        <w:t>r</w:t>
      </w:r>
      <w:r w:rsidRPr="009A0DA6">
        <w:rPr>
          <w:rFonts w:ascii="Cambria" w:eastAsia="Times New Roman" w:hAnsi="Cambria" w:cstheme="minorHAnsi"/>
          <w:spacing w:val="33"/>
        </w:rPr>
        <w:t xml:space="preserve"> </w:t>
      </w:r>
      <w:r w:rsidRPr="009A0DA6">
        <w:rPr>
          <w:rFonts w:ascii="Cambria" w:eastAsia="Times New Roman" w:hAnsi="Cambria" w:cstheme="minorHAnsi"/>
        </w:rPr>
        <w:t>i</w:t>
      </w:r>
      <w:r w:rsidRPr="009A0DA6">
        <w:rPr>
          <w:rFonts w:ascii="Cambria" w:eastAsia="Times New Roman" w:hAnsi="Cambria" w:cstheme="minorHAnsi"/>
          <w:spacing w:val="-1"/>
        </w:rPr>
        <w:t>n</w:t>
      </w:r>
      <w:r w:rsidRPr="009A0DA6">
        <w:rPr>
          <w:rFonts w:ascii="Cambria" w:eastAsia="Times New Roman" w:hAnsi="Cambria" w:cstheme="minorHAnsi"/>
          <w:spacing w:val="1"/>
        </w:rPr>
        <w:t>d</w:t>
      </w:r>
      <w:r w:rsidRPr="009A0DA6">
        <w:rPr>
          <w:rFonts w:ascii="Cambria" w:eastAsia="Times New Roman" w:hAnsi="Cambria" w:cstheme="minorHAnsi"/>
        </w:rPr>
        <w:t>i</w:t>
      </w:r>
      <w:r w:rsidRPr="009A0DA6">
        <w:rPr>
          <w:rFonts w:ascii="Cambria" w:eastAsia="Times New Roman" w:hAnsi="Cambria" w:cstheme="minorHAnsi"/>
          <w:spacing w:val="1"/>
        </w:rPr>
        <w:t>r</w:t>
      </w:r>
      <w:r w:rsidRPr="009A0DA6">
        <w:rPr>
          <w:rFonts w:ascii="Cambria" w:eastAsia="Times New Roman" w:hAnsi="Cambria" w:cstheme="minorHAnsi"/>
        </w:rPr>
        <w:t>ect</w:t>
      </w:r>
      <w:r w:rsidRPr="009A0DA6">
        <w:rPr>
          <w:rFonts w:ascii="Cambria" w:eastAsia="Times New Roman" w:hAnsi="Cambria" w:cstheme="minorHAnsi"/>
          <w:spacing w:val="2"/>
        </w:rPr>
        <w:t>l</w:t>
      </w:r>
      <w:r w:rsidRPr="009A0DA6">
        <w:rPr>
          <w:rFonts w:ascii="Cambria" w:eastAsia="Times New Roman" w:hAnsi="Cambria" w:cstheme="minorHAnsi"/>
        </w:rPr>
        <w:t>y</w:t>
      </w:r>
      <w:r w:rsidRPr="009A0DA6">
        <w:rPr>
          <w:rFonts w:ascii="Cambria" w:eastAsia="Times New Roman" w:hAnsi="Cambria" w:cstheme="minorHAnsi"/>
          <w:spacing w:val="25"/>
        </w:rPr>
        <w:t xml:space="preserve"> </w:t>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rPr>
        <w:t>y</w:t>
      </w:r>
      <w:r w:rsidRPr="009A0DA6">
        <w:rPr>
          <w:rFonts w:ascii="Cambria" w:eastAsia="Times New Roman" w:hAnsi="Cambria" w:cstheme="minorHAnsi"/>
          <w:spacing w:val="30"/>
        </w:rPr>
        <w:t xml:space="preserve"> </w:t>
      </w:r>
      <w:r w:rsidRPr="009A0DA6">
        <w:rPr>
          <w:rFonts w:ascii="Cambria" w:eastAsia="Times New Roman" w:hAnsi="Cambria" w:cstheme="minorHAnsi"/>
          <w:spacing w:val="1"/>
        </w:rPr>
        <w:t>p</w:t>
      </w:r>
      <w:r w:rsidRPr="009A0DA6">
        <w:rPr>
          <w:rFonts w:ascii="Cambria" w:eastAsia="Times New Roman" w:hAnsi="Cambria" w:cstheme="minorHAnsi"/>
          <w:spacing w:val="3"/>
        </w:rPr>
        <w:t>a</w:t>
      </w:r>
      <w:r w:rsidRPr="009A0DA6">
        <w:rPr>
          <w:rFonts w:ascii="Cambria" w:eastAsia="Times New Roman" w:hAnsi="Cambria" w:cstheme="minorHAnsi"/>
          <w:spacing w:val="-1"/>
        </w:rPr>
        <w:t>ym</w:t>
      </w:r>
      <w:r w:rsidRPr="009A0DA6">
        <w:rPr>
          <w:rFonts w:ascii="Cambria" w:eastAsia="Times New Roman" w:hAnsi="Cambria" w:cstheme="minorHAnsi"/>
          <w:spacing w:val="3"/>
        </w:rPr>
        <w:t>e</w:t>
      </w:r>
      <w:r w:rsidRPr="009A0DA6">
        <w:rPr>
          <w:rFonts w:ascii="Cambria" w:eastAsia="Times New Roman" w:hAnsi="Cambria" w:cstheme="minorHAnsi"/>
          <w:spacing w:val="-1"/>
        </w:rPr>
        <w:t>n</w:t>
      </w:r>
      <w:r w:rsidRPr="009A0DA6">
        <w:rPr>
          <w:rFonts w:ascii="Cambria" w:eastAsia="Times New Roman" w:hAnsi="Cambria" w:cstheme="minorHAnsi"/>
        </w:rPr>
        <w:t>t</w:t>
      </w:r>
      <w:r w:rsidRPr="009A0DA6">
        <w:rPr>
          <w:rFonts w:ascii="Cambria" w:eastAsia="Times New Roman" w:hAnsi="Cambria" w:cstheme="minorHAnsi"/>
          <w:spacing w:val="27"/>
        </w:rPr>
        <w:t xml:space="preserve"> </w:t>
      </w:r>
      <w:r w:rsidRPr="009A0DA6">
        <w:rPr>
          <w:rFonts w:ascii="Cambria" w:eastAsia="Times New Roman" w:hAnsi="Cambria" w:cstheme="minorHAnsi"/>
          <w:spacing w:val="1"/>
        </w:rPr>
        <w:t>o</w:t>
      </w:r>
      <w:r w:rsidRPr="009A0DA6">
        <w:rPr>
          <w:rFonts w:ascii="Cambria" w:eastAsia="Times New Roman" w:hAnsi="Cambria" w:cstheme="minorHAnsi"/>
        </w:rPr>
        <w:t>r</w:t>
      </w:r>
      <w:r w:rsidRPr="009A0DA6">
        <w:rPr>
          <w:rFonts w:ascii="Cambria" w:eastAsia="Times New Roman" w:hAnsi="Cambria" w:cstheme="minorHAnsi"/>
          <w:spacing w:val="33"/>
        </w:rPr>
        <w:t xml:space="preserve"> </w:t>
      </w:r>
      <w:r w:rsidRPr="009A0DA6">
        <w:rPr>
          <w:rFonts w:ascii="Cambria" w:eastAsia="Times New Roman" w:hAnsi="Cambria" w:cstheme="minorHAnsi"/>
          <w:spacing w:val="1"/>
        </w:rPr>
        <w:t>o</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er</w:t>
      </w:r>
      <w:r w:rsidRPr="009A0DA6">
        <w:rPr>
          <w:rFonts w:ascii="Cambria" w:eastAsia="Times New Roman" w:hAnsi="Cambria" w:cstheme="minorHAnsi"/>
          <w:spacing w:val="31"/>
        </w:rPr>
        <w:t xml:space="preserve"> </w:t>
      </w:r>
      <w:r w:rsidRPr="009A0DA6">
        <w:rPr>
          <w:rFonts w:ascii="Cambria" w:eastAsia="Times New Roman" w:hAnsi="Cambria" w:cstheme="minorHAnsi"/>
          <w:spacing w:val="1"/>
        </w:rPr>
        <w:t>b</w:t>
      </w:r>
      <w:r w:rsidRPr="009A0DA6">
        <w:rPr>
          <w:rFonts w:ascii="Cambria" w:eastAsia="Times New Roman" w:hAnsi="Cambria" w:cstheme="minorHAnsi"/>
        </w:rPr>
        <w:t>e</w:t>
      </w:r>
      <w:r w:rsidRPr="009A0DA6">
        <w:rPr>
          <w:rFonts w:ascii="Cambria" w:eastAsia="Times New Roman" w:hAnsi="Cambria" w:cstheme="minorHAnsi"/>
          <w:spacing w:val="-1"/>
        </w:rPr>
        <w:t>n</w:t>
      </w:r>
      <w:r w:rsidRPr="009A0DA6">
        <w:rPr>
          <w:rFonts w:ascii="Cambria" w:eastAsia="Times New Roman" w:hAnsi="Cambria" w:cstheme="minorHAnsi"/>
          <w:spacing w:val="3"/>
        </w:rPr>
        <w:t>e</w:t>
      </w:r>
      <w:r w:rsidRPr="009A0DA6">
        <w:rPr>
          <w:rFonts w:ascii="Cambria" w:eastAsia="Times New Roman" w:hAnsi="Cambria" w:cstheme="minorHAnsi"/>
          <w:spacing w:val="-1"/>
        </w:rPr>
        <w:t>f</w:t>
      </w:r>
      <w:r w:rsidRPr="009A0DA6">
        <w:rPr>
          <w:rFonts w:ascii="Cambria" w:eastAsia="Times New Roman" w:hAnsi="Cambria" w:cstheme="minorHAnsi"/>
        </w:rPr>
        <w:t>it</w:t>
      </w:r>
      <w:r w:rsidRPr="009A0DA6">
        <w:rPr>
          <w:rFonts w:ascii="Cambria" w:eastAsia="Times New Roman" w:hAnsi="Cambria" w:cstheme="minorHAnsi"/>
          <w:spacing w:val="28"/>
        </w:rPr>
        <w:t xml:space="preserve"> </w:t>
      </w:r>
      <w:r w:rsidRPr="009A0DA6">
        <w:rPr>
          <w:rFonts w:ascii="Cambria" w:eastAsia="Times New Roman" w:hAnsi="Cambria" w:cstheme="minorHAnsi"/>
          <w:spacing w:val="1"/>
        </w:rPr>
        <w:t>o</w:t>
      </w:r>
      <w:r w:rsidRPr="009A0DA6">
        <w:rPr>
          <w:rFonts w:ascii="Cambria" w:eastAsia="Times New Roman" w:hAnsi="Cambria" w:cstheme="minorHAnsi"/>
        </w:rPr>
        <w:t>f</w:t>
      </w:r>
      <w:r w:rsidRPr="009A0DA6">
        <w:rPr>
          <w:rFonts w:ascii="Cambria" w:eastAsia="Times New Roman" w:hAnsi="Cambria" w:cstheme="minorHAnsi"/>
          <w:spacing w:val="31"/>
        </w:rPr>
        <w:t xml:space="preserve"> </w:t>
      </w:r>
      <w:r w:rsidRPr="009A0DA6">
        <w:rPr>
          <w:rFonts w:ascii="Cambria" w:eastAsia="Times New Roman" w:hAnsi="Cambria" w:cstheme="minorHAnsi"/>
        </w:rPr>
        <w:t>a</w:t>
      </w:r>
      <w:r w:rsidRPr="009A0DA6">
        <w:rPr>
          <w:rFonts w:ascii="Cambria" w:eastAsia="Times New Roman" w:hAnsi="Cambria" w:cstheme="minorHAnsi"/>
          <w:spacing w:val="33"/>
        </w:rPr>
        <w:t xml:space="preserve"> </w:t>
      </w:r>
      <w:r w:rsidRPr="009A0DA6">
        <w:rPr>
          <w:rFonts w:ascii="Cambria" w:eastAsia="Times New Roman" w:hAnsi="Cambria" w:cstheme="minorHAnsi"/>
          <w:spacing w:val="1"/>
        </w:rPr>
        <w:t>p</w:t>
      </w:r>
      <w:r w:rsidRPr="009A0DA6">
        <w:rPr>
          <w:rFonts w:ascii="Cambria" w:eastAsia="Times New Roman" w:hAnsi="Cambria" w:cstheme="minorHAnsi"/>
        </w:rPr>
        <w:t>e</w:t>
      </w:r>
      <w:r w:rsidRPr="009A0DA6">
        <w:rPr>
          <w:rFonts w:ascii="Cambria" w:eastAsia="Times New Roman" w:hAnsi="Cambria" w:cstheme="minorHAnsi"/>
          <w:spacing w:val="3"/>
        </w:rPr>
        <w:t>c</w:t>
      </w:r>
      <w:r w:rsidRPr="009A0DA6">
        <w:rPr>
          <w:rFonts w:ascii="Cambria" w:eastAsia="Times New Roman" w:hAnsi="Cambria" w:cstheme="minorHAnsi"/>
          <w:spacing w:val="1"/>
        </w:rPr>
        <w:t>u</w:t>
      </w:r>
      <w:r w:rsidRPr="009A0DA6">
        <w:rPr>
          <w:rFonts w:ascii="Cambria" w:eastAsia="Times New Roman" w:hAnsi="Cambria" w:cstheme="minorHAnsi"/>
          <w:spacing w:val="-1"/>
        </w:rPr>
        <w:t>n</w:t>
      </w:r>
      <w:r w:rsidRPr="009A0DA6">
        <w:rPr>
          <w:rFonts w:ascii="Cambria" w:eastAsia="Times New Roman" w:hAnsi="Cambria" w:cstheme="minorHAnsi"/>
        </w:rPr>
        <w:t>ia</w:t>
      </w:r>
      <w:r w:rsidRPr="009A0DA6">
        <w:rPr>
          <w:rFonts w:ascii="Cambria" w:eastAsia="Times New Roman" w:hAnsi="Cambria" w:cstheme="minorHAnsi"/>
          <w:spacing w:val="3"/>
        </w:rPr>
        <w:t>r</w:t>
      </w:r>
      <w:r w:rsidRPr="009A0DA6">
        <w:rPr>
          <w:rFonts w:ascii="Cambria" w:eastAsia="Times New Roman" w:hAnsi="Cambria" w:cstheme="minorHAnsi"/>
        </w:rPr>
        <w:t xml:space="preserve">y </w:t>
      </w:r>
      <w:r w:rsidRPr="009A0DA6">
        <w:rPr>
          <w:rFonts w:ascii="Cambria" w:eastAsia="Times New Roman" w:hAnsi="Cambria" w:cstheme="minorHAnsi"/>
          <w:spacing w:val="-1"/>
        </w:rPr>
        <w:t>v</w:t>
      </w:r>
      <w:r w:rsidRPr="009A0DA6">
        <w:rPr>
          <w:rFonts w:ascii="Cambria" w:eastAsia="Times New Roman" w:hAnsi="Cambria" w:cstheme="minorHAnsi"/>
        </w:rPr>
        <w:t>al</w:t>
      </w:r>
      <w:r w:rsidRPr="009A0DA6">
        <w:rPr>
          <w:rFonts w:ascii="Cambria" w:eastAsia="Times New Roman" w:hAnsi="Cambria" w:cstheme="minorHAnsi"/>
          <w:spacing w:val="-1"/>
        </w:rPr>
        <w:t>u</w:t>
      </w:r>
      <w:r w:rsidRPr="009A0DA6">
        <w:rPr>
          <w:rFonts w:ascii="Cambria" w:eastAsia="Times New Roman" w:hAnsi="Cambria" w:cstheme="minorHAnsi"/>
        </w:rPr>
        <w:t>e</w:t>
      </w:r>
      <w:r w:rsidRPr="009A0DA6">
        <w:rPr>
          <w:rFonts w:ascii="Cambria" w:eastAsia="Times New Roman" w:hAnsi="Cambria" w:cstheme="minorHAnsi"/>
          <w:spacing w:val="-3"/>
        </w:rPr>
        <w:t xml:space="preserve"> </w:t>
      </w:r>
      <w:r w:rsidRPr="009A0DA6">
        <w:rPr>
          <w:rFonts w:ascii="Cambria" w:eastAsia="Times New Roman" w:hAnsi="Cambria" w:cstheme="minorHAnsi"/>
          <w:spacing w:val="1"/>
        </w:rPr>
        <w:t>o</w:t>
      </w:r>
      <w:r w:rsidRPr="009A0DA6">
        <w:rPr>
          <w:rFonts w:ascii="Cambria" w:eastAsia="Times New Roman" w:hAnsi="Cambria" w:cstheme="minorHAnsi"/>
          <w:spacing w:val="2"/>
        </w:rPr>
        <w:t>t</w:t>
      </w:r>
      <w:r w:rsidRPr="009A0DA6">
        <w:rPr>
          <w:rFonts w:ascii="Cambria" w:eastAsia="Times New Roman" w:hAnsi="Cambria" w:cstheme="minorHAnsi"/>
          <w:spacing w:val="-1"/>
        </w:rPr>
        <w:t>h</w:t>
      </w:r>
      <w:r w:rsidRPr="009A0DA6">
        <w:rPr>
          <w:rFonts w:ascii="Cambria" w:eastAsia="Times New Roman" w:hAnsi="Cambria" w:cstheme="minorHAnsi"/>
        </w:rPr>
        <w:t>er</w:t>
      </w:r>
      <w:r w:rsidRPr="009A0DA6">
        <w:rPr>
          <w:rFonts w:ascii="Cambria" w:eastAsia="Times New Roman" w:hAnsi="Cambria" w:cstheme="minorHAnsi"/>
          <w:spacing w:val="-3"/>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spacing w:val="3"/>
        </w:rPr>
        <w:t>a</w:t>
      </w:r>
      <w:r w:rsidRPr="009A0DA6">
        <w:rPr>
          <w:rFonts w:ascii="Cambria" w:eastAsia="Times New Roman" w:hAnsi="Cambria" w:cstheme="minorHAnsi"/>
        </w:rPr>
        <w:t>n</w:t>
      </w:r>
      <w:r w:rsidRPr="009A0DA6">
        <w:rPr>
          <w:rFonts w:ascii="Cambria" w:eastAsia="Times New Roman" w:hAnsi="Cambria" w:cstheme="minorHAnsi"/>
          <w:spacing w:val="-4"/>
        </w:rPr>
        <w:t xml:space="preserve"> </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1"/>
        </w:rPr>
        <w:t>g</w:t>
      </w:r>
      <w:r w:rsidRPr="009A0DA6">
        <w:rPr>
          <w:rFonts w:ascii="Cambria" w:eastAsia="Times New Roman" w:hAnsi="Cambria" w:cstheme="minorHAnsi"/>
          <w:spacing w:val="-1"/>
        </w:rPr>
        <w:t>u</w:t>
      </w:r>
      <w:r w:rsidRPr="009A0DA6">
        <w:rPr>
          <w:rFonts w:ascii="Cambria" w:eastAsia="Times New Roman" w:hAnsi="Cambria" w:cstheme="minorHAnsi"/>
        </w:rPr>
        <w:t>lar</w:t>
      </w:r>
      <w:r w:rsidRPr="009A0DA6">
        <w:rPr>
          <w:rFonts w:ascii="Cambria" w:eastAsia="Times New Roman" w:hAnsi="Cambria" w:cstheme="minorHAnsi"/>
          <w:spacing w:val="-5"/>
        </w:rPr>
        <w:t xml:space="preserve"> </w:t>
      </w:r>
      <w:r w:rsidRPr="009A0DA6">
        <w:rPr>
          <w:rFonts w:ascii="Cambria" w:eastAsia="Times New Roman" w:hAnsi="Cambria" w:cstheme="minorHAnsi"/>
          <w:spacing w:val="1"/>
        </w:rPr>
        <w:t>r</w:t>
      </w:r>
      <w:r w:rsidRPr="009A0DA6">
        <w:rPr>
          <w:rFonts w:ascii="Cambria" w:eastAsia="Times New Roman" w:hAnsi="Cambria" w:cstheme="minorHAnsi"/>
          <w:spacing w:val="3"/>
        </w:rPr>
        <w:t>e</w:t>
      </w:r>
      <w:r w:rsidRPr="009A0DA6">
        <w:rPr>
          <w:rFonts w:ascii="Cambria" w:eastAsia="Times New Roman" w:hAnsi="Cambria" w:cstheme="minorHAnsi"/>
          <w:spacing w:val="-1"/>
        </w:rPr>
        <w:t>m</w:t>
      </w:r>
      <w:r w:rsidRPr="009A0DA6">
        <w:rPr>
          <w:rFonts w:ascii="Cambria" w:eastAsia="Times New Roman" w:hAnsi="Cambria" w:cstheme="minorHAnsi"/>
          <w:spacing w:val="1"/>
        </w:rPr>
        <w:t>u</w:t>
      </w:r>
      <w:r w:rsidRPr="009A0DA6">
        <w:rPr>
          <w:rFonts w:ascii="Cambria" w:eastAsia="Times New Roman" w:hAnsi="Cambria" w:cstheme="minorHAnsi"/>
          <w:spacing w:val="-1"/>
        </w:rPr>
        <w:t>n</w:t>
      </w:r>
      <w:r w:rsidRPr="009A0DA6">
        <w:rPr>
          <w:rFonts w:ascii="Cambria" w:eastAsia="Times New Roman" w:hAnsi="Cambria" w:cstheme="minorHAnsi"/>
        </w:rPr>
        <w:t>e</w:t>
      </w:r>
      <w:r w:rsidRPr="009A0DA6">
        <w:rPr>
          <w:rFonts w:ascii="Cambria" w:eastAsia="Times New Roman" w:hAnsi="Cambria" w:cstheme="minorHAnsi"/>
          <w:spacing w:val="1"/>
        </w:rPr>
        <w:t>r</w:t>
      </w:r>
      <w:r w:rsidRPr="009A0DA6">
        <w:rPr>
          <w:rFonts w:ascii="Cambria" w:eastAsia="Times New Roman" w:hAnsi="Cambria" w:cstheme="minorHAnsi"/>
        </w:rPr>
        <w:t>ati</w:t>
      </w:r>
      <w:r w:rsidRPr="009A0DA6">
        <w:rPr>
          <w:rFonts w:ascii="Cambria" w:eastAsia="Times New Roman" w:hAnsi="Cambria" w:cstheme="minorHAnsi"/>
          <w:spacing w:val="1"/>
        </w:rPr>
        <w:t>o</w:t>
      </w:r>
      <w:r w:rsidRPr="009A0DA6">
        <w:rPr>
          <w:rFonts w:ascii="Cambria" w:eastAsia="Times New Roman" w:hAnsi="Cambria" w:cstheme="minorHAnsi"/>
        </w:rPr>
        <w:t>n</w:t>
      </w:r>
      <w:r w:rsidRPr="009A0DA6">
        <w:rPr>
          <w:rFonts w:ascii="Cambria" w:eastAsia="Times New Roman" w:hAnsi="Cambria" w:cstheme="minorHAnsi"/>
          <w:spacing w:val="-12"/>
        </w:rPr>
        <w:t xml:space="preserve"> </w:t>
      </w:r>
      <w:r w:rsidRPr="009A0DA6">
        <w:rPr>
          <w:rFonts w:ascii="Cambria" w:eastAsia="Times New Roman" w:hAnsi="Cambria" w:cstheme="minorHAnsi"/>
          <w:spacing w:val="1"/>
        </w:rPr>
        <w:t>p</w:t>
      </w:r>
      <w:r w:rsidRPr="009A0DA6">
        <w:rPr>
          <w:rFonts w:ascii="Cambria" w:eastAsia="Times New Roman" w:hAnsi="Cambria" w:cstheme="minorHAnsi"/>
          <w:spacing w:val="3"/>
        </w:rPr>
        <w:t>a</w:t>
      </w:r>
      <w:r w:rsidRPr="009A0DA6">
        <w:rPr>
          <w:rFonts w:ascii="Cambria" w:eastAsia="Times New Roman" w:hAnsi="Cambria" w:cstheme="minorHAnsi"/>
          <w:spacing w:val="-1"/>
        </w:rPr>
        <w:t>ym</w:t>
      </w:r>
      <w:r w:rsidRPr="009A0DA6">
        <w:rPr>
          <w:rFonts w:ascii="Cambria" w:eastAsia="Times New Roman" w:hAnsi="Cambria" w:cstheme="minorHAnsi"/>
          <w:spacing w:val="3"/>
        </w:rPr>
        <w:t>e</w:t>
      </w:r>
      <w:r w:rsidRPr="009A0DA6">
        <w:rPr>
          <w:rFonts w:ascii="Cambria" w:eastAsia="Times New Roman" w:hAnsi="Cambria" w:cstheme="minorHAnsi"/>
          <w:spacing w:val="-1"/>
        </w:rPr>
        <w:t>n</w:t>
      </w:r>
      <w:r w:rsidRPr="009A0DA6">
        <w:rPr>
          <w:rFonts w:ascii="Cambria" w:eastAsia="Times New Roman" w:hAnsi="Cambria" w:cstheme="minorHAnsi"/>
        </w:rPr>
        <w:t>ts</w:t>
      </w:r>
      <w:r w:rsidRPr="009A0DA6">
        <w:rPr>
          <w:rFonts w:ascii="Cambria" w:eastAsia="Times New Roman" w:hAnsi="Cambria" w:cstheme="minorHAnsi"/>
          <w:spacing w:val="-8"/>
        </w:rPr>
        <w:t xml:space="preserve"> </w:t>
      </w:r>
      <w:r w:rsidRPr="009A0DA6">
        <w:rPr>
          <w:rFonts w:ascii="Cambria" w:eastAsia="Times New Roman" w:hAnsi="Cambria" w:cstheme="minorHAnsi"/>
        </w:rPr>
        <w:t xml:space="preserve">to </w:t>
      </w:r>
      <w:r w:rsidRPr="009A0DA6">
        <w:rPr>
          <w:rFonts w:ascii="Cambria" w:eastAsia="Times New Roman" w:hAnsi="Cambria" w:cstheme="minorHAnsi"/>
          <w:spacing w:val="3"/>
        </w:rPr>
        <w:t>e</w:t>
      </w:r>
      <w:r w:rsidRPr="009A0DA6">
        <w:rPr>
          <w:rFonts w:ascii="Cambria" w:eastAsia="Times New Roman" w:hAnsi="Cambria" w:cstheme="minorHAnsi"/>
          <w:spacing w:val="-4"/>
        </w:rPr>
        <w:t>m</w:t>
      </w:r>
      <w:r w:rsidRPr="009A0DA6">
        <w:rPr>
          <w:rFonts w:ascii="Cambria" w:eastAsia="Times New Roman" w:hAnsi="Cambria" w:cstheme="minorHAnsi"/>
          <w:spacing w:val="1"/>
        </w:rPr>
        <w:t>p</w:t>
      </w:r>
      <w:r w:rsidRPr="009A0DA6">
        <w:rPr>
          <w:rFonts w:ascii="Cambria" w:eastAsia="Times New Roman" w:hAnsi="Cambria" w:cstheme="minorHAnsi"/>
        </w:rPr>
        <w:t>l</w:t>
      </w:r>
      <w:r w:rsidRPr="009A0DA6">
        <w:rPr>
          <w:rFonts w:ascii="Cambria" w:eastAsia="Times New Roman" w:hAnsi="Cambria" w:cstheme="minorHAnsi"/>
          <w:spacing w:val="4"/>
        </w:rPr>
        <w:t>o</w:t>
      </w:r>
      <w:r w:rsidRPr="009A0DA6">
        <w:rPr>
          <w:rFonts w:ascii="Cambria" w:eastAsia="Times New Roman" w:hAnsi="Cambria" w:cstheme="minorHAnsi"/>
          <w:spacing w:val="-1"/>
        </w:rPr>
        <w:t>y</w:t>
      </w:r>
      <w:r w:rsidRPr="009A0DA6">
        <w:rPr>
          <w:rFonts w:ascii="Cambria" w:eastAsia="Times New Roman" w:hAnsi="Cambria" w:cstheme="minorHAnsi"/>
          <w:spacing w:val="3"/>
        </w:rPr>
        <w:t>e</w:t>
      </w:r>
      <w:r w:rsidRPr="009A0DA6">
        <w:rPr>
          <w:rFonts w:ascii="Cambria" w:eastAsia="Times New Roman" w:hAnsi="Cambria" w:cstheme="minorHAnsi"/>
        </w:rPr>
        <w:t>e</w:t>
      </w:r>
      <w:r w:rsidRPr="009A0DA6">
        <w:rPr>
          <w:rFonts w:ascii="Cambria" w:eastAsia="Times New Roman" w:hAnsi="Cambria" w:cstheme="minorHAnsi"/>
          <w:spacing w:val="-1"/>
        </w:rPr>
        <w:t>s</w:t>
      </w:r>
      <w:r w:rsidRPr="009A0DA6">
        <w:rPr>
          <w:rFonts w:ascii="Cambria" w:eastAsia="Times New Roman" w:hAnsi="Cambria" w:cstheme="minorHAnsi"/>
        </w:rPr>
        <w:t>.</w:t>
      </w:r>
    </w:p>
    <w:p w14:paraId="535DBB30" w14:textId="296F6305" w:rsidR="00BA4592" w:rsidRPr="009A0DA6" w:rsidRDefault="00BA4592" w:rsidP="00F55252">
      <w:pPr>
        <w:pStyle w:val="ListParagraph"/>
        <w:numPr>
          <w:ilvl w:val="1"/>
          <w:numId w:val="276"/>
        </w:numPr>
        <w:spacing w:before="120" w:after="120" w:line="240" w:lineRule="auto"/>
        <w:ind w:left="567" w:right="55" w:hanging="567"/>
        <w:rPr>
          <w:rFonts w:ascii="Cambria" w:eastAsia="Times New Roman" w:hAnsi="Cambria" w:cstheme="minorHAnsi"/>
        </w:rPr>
      </w:pPr>
      <w:r w:rsidRPr="009A0DA6">
        <w:rPr>
          <w:rFonts w:ascii="Cambria" w:eastAsia="Times New Roman" w:hAnsi="Cambria" w:cstheme="minorHAnsi"/>
          <w:spacing w:val="3"/>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36"/>
        </w:rPr>
        <w:t xml:space="preserve"> </w:t>
      </w:r>
      <w:r w:rsidRPr="009A0DA6">
        <w:rPr>
          <w:rFonts w:ascii="Cambria" w:eastAsia="Times New Roman" w:hAnsi="Cambria" w:cstheme="minorHAnsi"/>
          <w:spacing w:val="-1"/>
        </w:rPr>
        <w:t>f</w:t>
      </w:r>
      <w:r w:rsidRPr="009A0DA6">
        <w:rPr>
          <w:rFonts w:ascii="Cambria" w:eastAsia="Times New Roman" w:hAnsi="Cambria" w:cstheme="minorHAnsi"/>
        </w:rPr>
        <w:t>i</w:t>
      </w:r>
      <w:r w:rsidRPr="009A0DA6">
        <w:rPr>
          <w:rFonts w:ascii="Cambria" w:eastAsia="Times New Roman" w:hAnsi="Cambria" w:cstheme="minorHAnsi"/>
          <w:spacing w:val="-1"/>
        </w:rPr>
        <w:t>n</w:t>
      </w:r>
      <w:r w:rsidRPr="009A0DA6">
        <w:rPr>
          <w:rFonts w:ascii="Cambria" w:eastAsia="Times New Roman" w:hAnsi="Cambria" w:cstheme="minorHAnsi"/>
          <w:spacing w:val="3"/>
        </w:rPr>
        <w:t>a</w:t>
      </w:r>
      <w:r w:rsidRPr="009A0DA6">
        <w:rPr>
          <w:rFonts w:ascii="Cambria" w:eastAsia="Times New Roman" w:hAnsi="Cambria" w:cstheme="minorHAnsi"/>
          <w:spacing w:val="-1"/>
        </w:rPr>
        <w:t>n</w:t>
      </w:r>
      <w:r w:rsidRPr="009A0DA6">
        <w:rPr>
          <w:rFonts w:ascii="Cambria" w:eastAsia="Times New Roman" w:hAnsi="Cambria" w:cstheme="minorHAnsi"/>
        </w:rPr>
        <w:t>cial</w:t>
      </w:r>
      <w:r w:rsidRPr="009A0DA6">
        <w:rPr>
          <w:rFonts w:ascii="Cambria" w:eastAsia="Times New Roman" w:hAnsi="Cambria" w:cstheme="minorHAnsi"/>
          <w:spacing w:val="32"/>
        </w:rPr>
        <w:t xml:space="preserve"> </w:t>
      </w:r>
      <w:r w:rsidRPr="009A0DA6">
        <w:rPr>
          <w:rFonts w:ascii="Cambria" w:eastAsia="Times New Roman" w:hAnsi="Cambria" w:cstheme="minorHAnsi"/>
          <w:spacing w:val="-1"/>
        </w:rPr>
        <w:t>s</w:t>
      </w:r>
      <w:r w:rsidRPr="009A0DA6">
        <w:rPr>
          <w:rFonts w:ascii="Cambria" w:eastAsia="Times New Roman" w:hAnsi="Cambria" w:cstheme="minorHAnsi"/>
        </w:rPr>
        <w:t>t</w:t>
      </w:r>
      <w:r w:rsidRPr="009A0DA6">
        <w:rPr>
          <w:rFonts w:ascii="Cambria" w:eastAsia="Times New Roman" w:hAnsi="Cambria" w:cstheme="minorHAnsi"/>
          <w:spacing w:val="3"/>
        </w:rPr>
        <w:t>a</w:t>
      </w:r>
      <w:r w:rsidRPr="009A0DA6">
        <w:rPr>
          <w:rFonts w:ascii="Cambria" w:eastAsia="Times New Roman" w:hAnsi="Cambria" w:cstheme="minorHAnsi"/>
        </w:rPr>
        <w:t>t</w:t>
      </w:r>
      <w:r w:rsidRPr="009A0DA6">
        <w:rPr>
          <w:rFonts w:ascii="Cambria" w:eastAsia="Times New Roman" w:hAnsi="Cambria" w:cstheme="minorHAnsi"/>
          <w:spacing w:val="3"/>
        </w:rPr>
        <w:t>e</w:t>
      </w:r>
      <w:r w:rsidRPr="009A0DA6">
        <w:rPr>
          <w:rFonts w:ascii="Cambria" w:eastAsia="Times New Roman" w:hAnsi="Cambria" w:cstheme="minorHAnsi"/>
          <w:spacing w:val="-4"/>
        </w:rPr>
        <w:t>m</w:t>
      </w:r>
      <w:r w:rsidRPr="009A0DA6">
        <w:rPr>
          <w:rFonts w:ascii="Cambria" w:eastAsia="Times New Roman" w:hAnsi="Cambria" w:cstheme="minorHAnsi"/>
          <w:spacing w:val="3"/>
        </w:rPr>
        <w:t>e</w:t>
      </w:r>
      <w:r w:rsidRPr="009A0DA6">
        <w:rPr>
          <w:rFonts w:ascii="Cambria" w:eastAsia="Times New Roman" w:hAnsi="Cambria" w:cstheme="minorHAnsi"/>
          <w:spacing w:val="-1"/>
        </w:rPr>
        <w:t>n</w:t>
      </w:r>
      <w:r w:rsidRPr="009A0DA6">
        <w:rPr>
          <w:rFonts w:ascii="Cambria" w:eastAsia="Times New Roman" w:hAnsi="Cambria" w:cstheme="minorHAnsi"/>
          <w:spacing w:val="2"/>
        </w:rPr>
        <w:t>t</w:t>
      </w:r>
      <w:r w:rsidRPr="009A0DA6">
        <w:rPr>
          <w:rFonts w:ascii="Cambria" w:eastAsia="Times New Roman" w:hAnsi="Cambria" w:cstheme="minorHAnsi"/>
        </w:rPr>
        <w:t>s</w:t>
      </w:r>
      <w:r w:rsidRPr="009A0DA6">
        <w:rPr>
          <w:rFonts w:ascii="Cambria" w:eastAsia="Times New Roman" w:hAnsi="Cambria" w:cstheme="minorHAnsi"/>
          <w:spacing w:val="30"/>
        </w:rPr>
        <w:t xml:space="preserve"> </w:t>
      </w:r>
      <w:r w:rsidRPr="009A0DA6">
        <w:rPr>
          <w:rFonts w:ascii="Cambria" w:eastAsia="Times New Roman" w:hAnsi="Cambria" w:cstheme="minorHAnsi"/>
          <w:spacing w:val="-1"/>
        </w:rPr>
        <w:t>s</w:t>
      </w:r>
      <w:r w:rsidRPr="009A0DA6">
        <w:rPr>
          <w:rFonts w:ascii="Cambria" w:eastAsia="Times New Roman" w:hAnsi="Cambria" w:cstheme="minorHAnsi"/>
        </w:rPr>
        <w:t>at</w:t>
      </w:r>
      <w:r w:rsidRPr="009A0DA6">
        <w:rPr>
          <w:rFonts w:ascii="Cambria" w:eastAsia="Times New Roman" w:hAnsi="Cambria" w:cstheme="minorHAnsi"/>
          <w:spacing w:val="2"/>
        </w:rPr>
        <w:t>i</w:t>
      </w:r>
      <w:r w:rsidRPr="009A0DA6">
        <w:rPr>
          <w:rFonts w:ascii="Cambria" w:eastAsia="Times New Roman" w:hAnsi="Cambria" w:cstheme="minorHAnsi"/>
          <w:spacing w:val="-1"/>
        </w:rPr>
        <w:t>s</w:t>
      </w:r>
      <w:r w:rsidRPr="009A0DA6">
        <w:rPr>
          <w:rFonts w:ascii="Cambria" w:eastAsia="Times New Roman" w:hAnsi="Cambria" w:cstheme="minorHAnsi"/>
          <w:spacing w:val="1"/>
        </w:rPr>
        <w:t>f</w:t>
      </w:r>
      <w:r w:rsidRPr="009A0DA6">
        <w:rPr>
          <w:rFonts w:ascii="Cambria" w:eastAsia="Times New Roman" w:hAnsi="Cambria" w:cstheme="minorHAnsi"/>
        </w:rPr>
        <w:t>y</w:t>
      </w:r>
      <w:r w:rsidRPr="009A0DA6">
        <w:rPr>
          <w:rFonts w:ascii="Cambria" w:eastAsia="Times New Roman" w:hAnsi="Cambria" w:cstheme="minorHAnsi"/>
          <w:spacing w:val="33"/>
        </w:rPr>
        <w:t xml:space="preserve"> </w:t>
      </w:r>
      <w:r w:rsidRPr="009A0DA6">
        <w:rPr>
          <w:rFonts w:ascii="Cambria" w:eastAsia="Times New Roman" w:hAnsi="Cambria" w:cstheme="minorHAnsi"/>
          <w:spacing w:val="2"/>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37"/>
        </w:rPr>
        <w:t xml:space="preserve"> </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1"/>
        </w:rPr>
        <w:t>q</w:t>
      </w:r>
      <w:r w:rsidRPr="009A0DA6">
        <w:rPr>
          <w:rFonts w:ascii="Cambria" w:eastAsia="Times New Roman" w:hAnsi="Cambria" w:cstheme="minorHAnsi"/>
          <w:spacing w:val="-1"/>
        </w:rPr>
        <w:t>u</w:t>
      </w:r>
      <w:r w:rsidRPr="009A0DA6">
        <w:rPr>
          <w:rFonts w:ascii="Cambria" w:eastAsia="Times New Roman" w:hAnsi="Cambria" w:cstheme="minorHAnsi"/>
        </w:rPr>
        <w:t>i</w:t>
      </w:r>
      <w:r w:rsidRPr="009A0DA6">
        <w:rPr>
          <w:rFonts w:ascii="Cambria" w:eastAsia="Times New Roman" w:hAnsi="Cambria" w:cstheme="minorHAnsi"/>
          <w:spacing w:val="1"/>
        </w:rPr>
        <w:t>r</w:t>
      </w:r>
      <w:r w:rsidRPr="009A0DA6">
        <w:rPr>
          <w:rFonts w:ascii="Cambria" w:eastAsia="Times New Roman" w:hAnsi="Cambria" w:cstheme="minorHAnsi"/>
          <w:spacing w:val="3"/>
        </w:rPr>
        <w:t>e</w:t>
      </w:r>
      <w:r w:rsidRPr="009A0DA6">
        <w:rPr>
          <w:rFonts w:ascii="Cambria" w:eastAsia="Times New Roman" w:hAnsi="Cambria" w:cstheme="minorHAnsi"/>
          <w:spacing w:val="-4"/>
        </w:rPr>
        <w:t>m</w:t>
      </w:r>
      <w:r w:rsidRPr="009A0DA6">
        <w:rPr>
          <w:rFonts w:ascii="Cambria" w:eastAsia="Times New Roman" w:hAnsi="Cambria" w:cstheme="minorHAnsi"/>
          <w:spacing w:val="3"/>
        </w:rPr>
        <w:t>e</w:t>
      </w:r>
      <w:r w:rsidRPr="009A0DA6">
        <w:rPr>
          <w:rFonts w:ascii="Cambria" w:eastAsia="Times New Roman" w:hAnsi="Cambria" w:cstheme="minorHAnsi"/>
          <w:spacing w:val="-1"/>
        </w:rPr>
        <w:t>n</w:t>
      </w:r>
      <w:r w:rsidRPr="009A0DA6">
        <w:rPr>
          <w:rFonts w:ascii="Cambria" w:eastAsia="Times New Roman" w:hAnsi="Cambria" w:cstheme="minorHAnsi"/>
          <w:spacing w:val="2"/>
        </w:rPr>
        <w:t>t</w:t>
      </w:r>
      <w:r w:rsidRPr="009A0DA6">
        <w:rPr>
          <w:rFonts w:ascii="Cambria" w:eastAsia="Times New Roman" w:hAnsi="Cambria" w:cstheme="minorHAnsi"/>
        </w:rPr>
        <w:t>s</w:t>
      </w:r>
      <w:r w:rsidRPr="009A0DA6">
        <w:rPr>
          <w:rFonts w:ascii="Cambria" w:eastAsia="Times New Roman" w:hAnsi="Cambria" w:cstheme="minorHAnsi"/>
          <w:spacing w:val="28"/>
        </w:rPr>
        <w:t xml:space="preserve"> </w:t>
      </w:r>
      <w:r w:rsidRPr="009A0DA6">
        <w:rPr>
          <w:rFonts w:ascii="Cambria" w:eastAsia="Times New Roman" w:hAnsi="Cambria" w:cstheme="minorHAnsi"/>
          <w:spacing w:val="1"/>
        </w:rPr>
        <w:t>o</w:t>
      </w:r>
      <w:r w:rsidRPr="009A0DA6">
        <w:rPr>
          <w:rFonts w:ascii="Cambria" w:eastAsia="Times New Roman" w:hAnsi="Cambria" w:cstheme="minorHAnsi"/>
        </w:rPr>
        <w:t>f</w:t>
      </w:r>
      <w:r w:rsidRPr="009A0DA6">
        <w:rPr>
          <w:rFonts w:ascii="Cambria" w:eastAsia="Times New Roman" w:hAnsi="Cambria" w:cstheme="minorHAnsi"/>
          <w:spacing w:val="35"/>
        </w:rPr>
        <w:t xml:space="preserve"> </w:t>
      </w:r>
      <w:r w:rsidRPr="009A0DA6">
        <w:rPr>
          <w:rFonts w:ascii="Cambria" w:eastAsia="Times New Roman" w:hAnsi="Cambria" w:cstheme="minorHAnsi"/>
          <w:spacing w:val="2"/>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37"/>
        </w:rPr>
        <w:t xml:space="preserve"> </w:t>
      </w:r>
      <w:r w:rsidRPr="009A0DA6">
        <w:rPr>
          <w:rFonts w:ascii="Cambria" w:eastAsia="Times New Roman" w:hAnsi="Cambria" w:cstheme="minorHAnsi"/>
          <w:spacing w:val="1"/>
        </w:rPr>
        <w:t>Au</w:t>
      </w:r>
      <w:r w:rsidRPr="009A0DA6">
        <w:rPr>
          <w:rFonts w:ascii="Cambria" w:eastAsia="Times New Roman" w:hAnsi="Cambria" w:cstheme="minorHAnsi"/>
          <w:spacing w:val="-1"/>
        </w:rPr>
        <w:t>s</w:t>
      </w:r>
      <w:r w:rsidRPr="009A0DA6">
        <w:rPr>
          <w:rFonts w:ascii="Cambria" w:eastAsia="Times New Roman" w:hAnsi="Cambria" w:cstheme="minorHAnsi"/>
        </w:rPr>
        <w:t>t</w:t>
      </w:r>
      <w:r w:rsidRPr="009A0DA6">
        <w:rPr>
          <w:rFonts w:ascii="Cambria" w:eastAsia="Times New Roman" w:hAnsi="Cambria" w:cstheme="minorHAnsi"/>
          <w:spacing w:val="-1"/>
        </w:rPr>
        <w:t>r</w:t>
      </w:r>
      <w:r w:rsidRPr="009A0DA6">
        <w:rPr>
          <w:rFonts w:ascii="Cambria" w:eastAsia="Times New Roman" w:hAnsi="Cambria" w:cstheme="minorHAnsi"/>
          <w:spacing w:val="1"/>
        </w:rPr>
        <w:t>a</w:t>
      </w:r>
      <w:r w:rsidRPr="009A0DA6">
        <w:rPr>
          <w:rFonts w:ascii="Cambria" w:eastAsia="Times New Roman" w:hAnsi="Cambria" w:cstheme="minorHAnsi"/>
        </w:rPr>
        <w:t>li</w:t>
      </w:r>
      <w:r w:rsidRPr="009A0DA6">
        <w:rPr>
          <w:rFonts w:ascii="Cambria" w:eastAsia="Times New Roman" w:hAnsi="Cambria" w:cstheme="minorHAnsi"/>
          <w:spacing w:val="1"/>
        </w:rPr>
        <w:t>a</w:t>
      </w:r>
      <w:r w:rsidRPr="009A0DA6">
        <w:rPr>
          <w:rFonts w:ascii="Cambria" w:eastAsia="Times New Roman" w:hAnsi="Cambria" w:cstheme="minorHAnsi"/>
        </w:rPr>
        <w:t>n</w:t>
      </w:r>
      <w:r w:rsidRPr="009A0DA6">
        <w:rPr>
          <w:rFonts w:ascii="Cambria" w:eastAsia="Times New Roman" w:hAnsi="Cambria" w:cstheme="minorHAnsi"/>
          <w:spacing w:val="44"/>
        </w:rPr>
        <w:t xml:space="preserve"> </w:t>
      </w:r>
      <w:r w:rsidRPr="009A0DA6">
        <w:rPr>
          <w:rFonts w:ascii="Cambria" w:eastAsia="Times New Roman" w:hAnsi="Cambria" w:cstheme="minorHAnsi"/>
          <w:spacing w:val="-1"/>
        </w:rPr>
        <w:t>C</w:t>
      </w:r>
      <w:r w:rsidRPr="009A0DA6">
        <w:rPr>
          <w:rFonts w:ascii="Cambria" w:eastAsia="Times New Roman" w:hAnsi="Cambria" w:cstheme="minorHAnsi"/>
          <w:spacing w:val="1"/>
        </w:rPr>
        <w:t>ha</w:t>
      </w:r>
      <w:r w:rsidRPr="009A0DA6">
        <w:rPr>
          <w:rFonts w:ascii="Cambria" w:eastAsia="Times New Roman" w:hAnsi="Cambria" w:cstheme="minorHAnsi"/>
          <w:spacing w:val="-1"/>
        </w:rPr>
        <w:t>r</w:t>
      </w:r>
      <w:r w:rsidRPr="009A0DA6">
        <w:rPr>
          <w:rFonts w:ascii="Cambria" w:eastAsia="Times New Roman" w:hAnsi="Cambria" w:cstheme="minorHAnsi"/>
        </w:rPr>
        <w:t xml:space="preserve">ities </w:t>
      </w:r>
      <w:r w:rsidRPr="009A0DA6">
        <w:rPr>
          <w:rFonts w:ascii="Cambria" w:eastAsia="Times New Roman" w:hAnsi="Cambria" w:cstheme="minorHAnsi"/>
          <w:spacing w:val="4"/>
        </w:rPr>
        <w:t xml:space="preserve"> </w:t>
      </w:r>
      <w:r w:rsidRPr="009A0DA6">
        <w:rPr>
          <w:rFonts w:ascii="Cambria" w:eastAsia="Times New Roman" w:hAnsi="Cambria" w:cstheme="minorHAnsi"/>
          <w:spacing w:val="1"/>
        </w:rPr>
        <w:t>an</w:t>
      </w:r>
      <w:r w:rsidRPr="009A0DA6">
        <w:rPr>
          <w:rFonts w:ascii="Cambria" w:eastAsia="Times New Roman" w:hAnsi="Cambria" w:cstheme="minorHAnsi"/>
        </w:rPr>
        <w:t>d</w:t>
      </w:r>
      <w:r w:rsidRPr="009A0DA6">
        <w:rPr>
          <w:rFonts w:ascii="Cambria" w:eastAsia="Times New Roman" w:hAnsi="Cambria" w:cstheme="minorHAnsi"/>
          <w:spacing w:val="49"/>
        </w:rPr>
        <w:t xml:space="preserve"> </w:t>
      </w:r>
      <w:r w:rsidRPr="009A0DA6">
        <w:rPr>
          <w:rFonts w:ascii="Cambria" w:eastAsia="Times New Roman" w:hAnsi="Cambria" w:cstheme="minorHAnsi"/>
          <w:spacing w:val="-1"/>
          <w:w w:val="91"/>
        </w:rPr>
        <w:t>N</w:t>
      </w:r>
      <w:r w:rsidRPr="009A0DA6">
        <w:rPr>
          <w:rFonts w:ascii="Cambria" w:eastAsia="Times New Roman" w:hAnsi="Cambria" w:cstheme="minorHAnsi"/>
          <w:spacing w:val="1"/>
          <w:w w:val="99"/>
        </w:rPr>
        <w:t>o</w:t>
      </w:r>
      <w:r w:rsidRPr="009A0DA6">
        <w:rPr>
          <w:rFonts w:ascii="Cambria" w:eastAsia="Times New Roman" w:hAnsi="Cambria" w:cstheme="minorHAnsi"/>
          <w:w w:val="99"/>
        </w:rPr>
        <w:t>t</w:t>
      </w:r>
      <w:r w:rsidRPr="009A0DA6">
        <w:rPr>
          <w:rFonts w:ascii="Cambria" w:eastAsia="Times New Roman" w:hAnsi="Cambria" w:cstheme="minorHAnsi"/>
          <w:spacing w:val="1"/>
          <w:w w:val="99"/>
        </w:rPr>
        <w:t>-</w:t>
      </w:r>
      <w:r w:rsidRPr="009A0DA6">
        <w:rPr>
          <w:rFonts w:ascii="Cambria" w:eastAsia="Times New Roman" w:hAnsi="Cambria" w:cstheme="minorHAnsi"/>
          <w:w w:val="83"/>
        </w:rPr>
        <w:t>f</w:t>
      </w:r>
      <w:r w:rsidRPr="009A0DA6">
        <w:rPr>
          <w:rFonts w:ascii="Cambria" w:eastAsia="Times New Roman" w:hAnsi="Cambria" w:cstheme="minorHAnsi"/>
          <w:spacing w:val="1"/>
          <w:w w:val="99"/>
        </w:rPr>
        <w:t>o</w:t>
      </w:r>
      <w:r w:rsidRPr="009A0DA6">
        <w:rPr>
          <w:rFonts w:ascii="Cambria" w:eastAsia="Times New Roman" w:hAnsi="Cambria" w:cstheme="minorHAnsi"/>
          <w:spacing w:val="-1"/>
          <w:w w:val="116"/>
        </w:rPr>
        <w:t>r</w:t>
      </w:r>
      <w:r w:rsidRPr="009A0DA6">
        <w:rPr>
          <w:rFonts w:ascii="Cambria" w:eastAsia="Times New Roman" w:hAnsi="Cambria" w:cstheme="minorHAnsi"/>
          <w:w w:val="99"/>
        </w:rPr>
        <w:t xml:space="preserve">- </w:t>
      </w:r>
      <w:r w:rsidRPr="009A0DA6">
        <w:rPr>
          <w:rFonts w:ascii="Cambria" w:eastAsia="Times New Roman" w:hAnsi="Cambria" w:cstheme="minorHAnsi"/>
          <w:spacing w:val="1"/>
          <w:w w:val="95"/>
        </w:rPr>
        <w:t>p</w:t>
      </w:r>
      <w:r w:rsidRPr="009A0DA6">
        <w:rPr>
          <w:rFonts w:ascii="Cambria" w:eastAsia="Times New Roman" w:hAnsi="Cambria" w:cstheme="minorHAnsi"/>
          <w:spacing w:val="-1"/>
          <w:w w:val="95"/>
        </w:rPr>
        <w:t>r</w:t>
      </w:r>
      <w:r w:rsidRPr="009A0DA6">
        <w:rPr>
          <w:rFonts w:ascii="Cambria" w:eastAsia="Times New Roman" w:hAnsi="Cambria" w:cstheme="minorHAnsi"/>
          <w:spacing w:val="1"/>
          <w:w w:val="95"/>
        </w:rPr>
        <w:t>o</w:t>
      </w:r>
      <w:r w:rsidRPr="009A0DA6">
        <w:rPr>
          <w:rFonts w:ascii="Cambria" w:eastAsia="Times New Roman" w:hAnsi="Cambria" w:cstheme="minorHAnsi"/>
          <w:w w:val="95"/>
        </w:rPr>
        <w:t>fits</w:t>
      </w:r>
      <w:r w:rsidRPr="009A0DA6">
        <w:rPr>
          <w:rFonts w:ascii="Cambria" w:eastAsia="Times New Roman" w:hAnsi="Cambria" w:cstheme="minorHAnsi"/>
          <w:spacing w:val="24"/>
          <w:w w:val="95"/>
        </w:rPr>
        <w:t xml:space="preserve"> </w:t>
      </w:r>
      <w:r w:rsidRPr="009A0DA6">
        <w:rPr>
          <w:rFonts w:ascii="Cambria" w:eastAsia="Times New Roman" w:hAnsi="Cambria" w:cstheme="minorHAnsi"/>
          <w:spacing w:val="-1"/>
          <w:w w:val="95"/>
        </w:rPr>
        <w:t>C</w:t>
      </w:r>
      <w:r w:rsidRPr="009A0DA6">
        <w:rPr>
          <w:rFonts w:ascii="Cambria" w:eastAsia="Times New Roman" w:hAnsi="Cambria" w:cstheme="minorHAnsi"/>
          <w:spacing w:val="1"/>
          <w:w w:val="95"/>
        </w:rPr>
        <w:t>o</w:t>
      </w:r>
      <w:r w:rsidRPr="009A0DA6">
        <w:rPr>
          <w:rFonts w:ascii="Cambria" w:eastAsia="Times New Roman" w:hAnsi="Cambria" w:cstheme="minorHAnsi"/>
          <w:w w:val="95"/>
        </w:rPr>
        <w:t>mm</w:t>
      </w:r>
      <w:r w:rsidRPr="009A0DA6">
        <w:rPr>
          <w:rFonts w:ascii="Cambria" w:eastAsia="Times New Roman" w:hAnsi="Cambria" w:cstheme="minorHAnsi"/>
          <w:spacing w:val="2"/>
          <w:w w:val="95"/>
        </w:rPr>
        <w:t>i</w:t>
      </w:r>
      <w:r w:rsidRPr="009A0DA6">
        <w:rPr>
          <w:rFonts w:ascii="Cambria" w:eastAsia="Times New Roman" w:hAnsi="Cambria" w:cstheme="minorHAnsi"/>
          <w:spacing w:val="-1"/>
          <w:w w:val="95"/>
        </w:rPr>
        <w:t>ss</w:t>
      </w:r>
      <w:r w:rsidRPr="009A0DA6">
        <w:rPr>
          <w:rFonts w:ascii="Cambria" w:eastAsia="Times New Roman" w:hAnsi="Cambria" w:cstheme="minorHAnsi"/>
          <w:w w:val="95"/>
        </w:rPr>
        <w:t>i</w:t>
      </w:r>
      <w:r w:rsidRPr="009A0DA6">
        <w:rPr>
          <w:rFonts w:ascii="Cambria" w:eastAsia="Times New Roman" w:hAnsi="Cambria" w:cstheme="minorHAnsi"/>
          <w:spacing w:val="1"/>
          <w:w w:val="95"/>
        </w:rPr>
        <w:t>o</w:t>
      </w:r>
      <w:r w:rsidRPr="009A0DA6">
        <w:rPr>
          <w:rFonts w:ascii="Cambria" w:eastAsia="Times New Roman" w:hAnsi="Cambria" w:cstheme="minorHAnsi"/>
          <w:w w:val="95"/>
        </w:rPr>
        <w:t>n</w:t>
      </w:r>
      <w:r w:rsidRPr="009A0DA6">
        <w:rPr>
          <w:rFonts w:ascii="Cambria" w:eastAsia="Times New Roman" w:hAnsi="Cambria" w:cstheme="minorHAnsi"/>
          <w:spacing w:val="23"/>
          <w:w w:val="95"/>
        </w:rPr>
        <w:t xml:space="preserve"> </w:t>
      </w:r>
      <w:r w:rsidRPr="009A0DA6">
        <w:rPr>
          <w:rFonts w:ascii="Cambria" w:eastAsia="Times New Roman" w:hAnsi="Cambria" w:cstheme="minorHAnsi"/>
          <w:spacing w:val="1"/>
          <w:w w:val="95"/>
        </w:rPr>
        <w:t>A</w:t>
      </w:r>
      <w:r w:rsidRPr="009A0DA6">
        <w:rPr>
          <w:rFonts w:ascii="Cambria" w:eastAsia="Times New Roman" w:hAnsi="Cambria" w:cstheme="minorHAnsi"/>
          <w:w w:val="95"/>
        </w:rPr>
        <w:t>ct</w:t>
      </w:r>
      <w:r w:rsidRPr="009A0DA6">
        <w:rPr>
          <w:rFonts w:ascii="Cambria" w:eastAsia="Times New Roman" w:hAnsi="Cambria" w:cstheme="minorHAnsi"/>
          <w:spacing w:val="-8"/>
          <w:w w:val="95"/>
        </w:rPr>
        <w:t xml:space="preserve"> </w:t>
      </w:r>
      <w:r w:rsidRPr="009A0DA6">
        <w:rPr>
          <w:rFonts w:ascii="Cambria" w:eastAsia="Times New Roman" w:hAnsi="Cambria" w:cstheme="minorHAnsi"/>
          <w:spacing w:val="1"/>
        </w:rPr>
        <w:t>2012</w:t>
      </w:r>
      <w:r w:rsidRPr="009A0DA6">
        <w:rPr>
          <w:rFonts w:ascii="Cambria" w:eastAsia="Times New Roman" w:hAnsi="Cambria" w:cstheme="minorHAnsi"/>
        </w:rPr>
        <w:t>.</w:t>
      </w:r>
    </w:p>
    <w:p w14:paraId="4DE30BA9" w14:textId="77777777" w:rsidR="00BA4592" w:rsidRPr="009A0DA6" w:rsidRDefault="00BA4592" w:rsidP="00BA4592">
      <w:pPr>
        <w:spacing w:before="120" w:after="120" w:line="240" w:lineRule="auto"/>
        <w:ind w:left="360" w:right="55" w:hanging="360"/>
        <w:contextualSpacing/>
        <w:rPr>
          <w:rFonts w:ascii="Cambria" w:eastAsia="Times New Roman" w:hAnsi="Cambria" w:cstheme="minorHAnsi"/>
        </w:rPr>
      </w:pPr>
    </w:p>
    <w:p w14:paraId="1A432977" w14:textId="77777777" w:rsidR="00BA4592" w:rsidRPr="009A0DA6" w:rsidRDefault="00BA4592" w:rsidP="00BA4592">
      <w:pPr>
        <w:spacing w:before="120" w:after="120" w:line="240" w:lineRule="auto"/>
        <w:ind w:right="52"/>
        <w:contextualSpacing/>
        <w:rPr>
          <w:rFonts w:ascii="Cambria" w:eastAsia="Times New Roman" w:hAnsi="Cambria" w:cstheme="minorHAnsi"/>
        </w:rPr>
      </w:pPr>
      <w:r w:rsidRPr="009A0DA6">
        <w:rPr>
          <w:rFonts w:ascii="Cambria" w:eastAsia="Times New Roman" w:hAnsi="Cambria" w:cstheme="minorHAnsi"/>
        </w:rPr>
        <w:t>Si</w:t>
      </w:r>
      <w:r w:rsidRPr="009A0DA6">
        <w:rPr>
          <w:rFonts w:ascii="Cambria" w:eastAsia="Times New Roman" w:hAnsi="Cambria" w:cstheme="minorHAnsi"/>
          <w:spacing w:val="1"/>
        </w:rPr>
        <w:t>g</w:t>
      </w:r>
      <w:r w:rsidRPr="009A0DA6">
        <w:rPr>
          <w:rFonts w:ascii="Cambria" w:eastAsia="Times New Roman" w:hAnsi="Cambria" w:cstheme="minorHAnsi"/>
          <w:spacing w:val="-1"/>
        </w:rPr>
        <w:t>n</w:t>
      </w:r>
      <w:r w:rsidRPr="009A0DA6">
        <w:rPr>
          <w:rFonts w:ascii="Cambria" w:eastAsia="Times New Roman" w:hAnsi="Cambria" w:cstheme="minorHAnsi"/>
        </w:rPr>
        <w:t>ed</w:t>
      </w:r>
      <w:r w:rsidRPr="009A0DA6">
        <w:rPr>
          <w:rFonts w:ascii="Cambria" w:eastAsia="Times New Roman" w:hAnsi="Cambria" w:cstheme="minorHAnsi"/>
          <w:spacing w:val="10"/>
        </w:rPr>
        <w:t xml:space="preserve"> </w:t>
      </w:r>
      <w:r w:rsidRPr="009A0DA6">
        <w:rPr>
          <w:rFonts w:ascii="Cambria" w:eastAsia="Times New Roman" w:hAnsi="Cambria" w:cstheme="minorHAnsi"/>
        </w:rPr>
        <w:t>in</w:t>
      </w:r>
      <w:r w:rsidRPr="009A0DA6">
        <w:rPr>
          <w:rFonts w:ascii="Cambria" w:eastAsia="Times New Roman" w:hAnsi="Cambria" w:cstheme="minorHAnsi"/>
          <w:spacing w:val="12"/>
        </w:rPr>
        <w:t xml:space="preserve"> </w:t>
      </w:r>
      <w:r w:rsidRPr="009A0DA6">
        <w:rPr>
          <w:rFonts w:ascii="Cambria" w:eastAsia="Times New Roman" w:hAnsi="Cambria" w:cstheme="minorHAnsi"/>
        </w:rPr>
        <w:t>acc</w:t>
      </w:r>
      <w:r w:rsidRPr="009A0DA6">
        <w:rPr>
          <w:rFonts w:ascii="Cambria" w:eastAsia="Times New Roman" w:hAnsi="Cambria" w:cstheme="minorHAnsi"/>
          <w:spacing w:val="1"/>
        </w:rPr>
        <w:t>ord</w:t>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rPr>
        <w:t>ce</w:t>
      </w:r>
      <w:r w:rsidRPr="009A0DA6">
        <w:rPr>
          <w:rFonts w:ascii="Cambria" w:eastAsia="Times New Roman" w:hAnsi="Cambria" w:cstheme="minorHAnsi"/>
          <w:spacing w:val="9"/>
        </w:rPr>
        <w:t xml:space="preserve"> </w:t>
      </w:r>
      <w:r w:rsidRPr="009A0DA6">
        <w:rPr>
          <w:rFonts w:ascii="Cambria" w:eastAsia="Times New Roman" w:hAnsi="Cambria" w:cstheme="minorHAnsi"/>
          <w:spacing w:val="-2"/>
        </w:rPr>
        <w:t>w</w:t>
      </w:r>
      <w:r w:rsidRPr="009A0DA6">
        <w:rPr>
          <w:rFonts w:ascii="Cambria" w:eastAsia="Times New Roman" w:hAnsi="Cambria" w:cstheme="minorHAnsi"/>
        </w:rPr>
        <w:t>i</w:t>
      </w:r>
      <w:r w:rsidRPr="009A0DA6">
        <w:rPr>
          <w:rFonts w:ascii="Cambria" w:eastAsia="Times New Roman" w:hAnsi="Cambria" w:cstheme="minorHAnsi"/>
          <w:spacing w:val="2"/>
        </w:rPr>
        <w:t>t</w:t>
      </w:r>
      <w:r w:rsidRPr="009A0DA6">
        <w:rPr>
          <w:rFonts w:ascii="Cambria" w:eastAsia="Times New Roman" w:hAnsi="Cambria" w:cstheme="minorHAnsi"/>
        </w:rPr>
        <w:t>h</w:t>
      </w:r>
      <w:r w:rsidRPr="009A0DA6">
        <w:rPr>
          <w:rFonts w:ascii="Cambria" w:eastAsia="Times New Roman" w:hAnsi="Cambria" w:cstheme="minorHAnsi"/>
          <w:spacing w:val="10"/>
        </w:rPr>
        <w:t xml:space="preserve"> </w:t>
      </w:r>
      <w:r w:rsidRPr="009A0DA6">
        <w:rPr>
          <w:rFonts w:ascii="Cambria" w:eastAsia="Times New Roman" w:hAnsi="Cambria" w:cstheme="minorHAnsi"/>
        </w:rPr>
        <w:t>a</w:t>
      </w:r>
      <w:r w:rsidRPr="009A0DA6">
        <w:rPr>
          <w:rFonts w:ascii="Cambria" w:eastAsia="Times New Roman" w:hAnsi="Cambria" w:cstheme="minorHAnsi"/>
          <w:spacing w:val="14"/>
        </w:rPr>
        <w:t xml:space="preserve"> </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1"/>
        </w:rPr>
        <w:t>s</w:t>
      </w:r>
      <w:r w:rsidRPr="009A0DA6">
        <w:rPr>
          <w:rFonts w:ascii="Cambria" w:eastAsia="Times New Roman" w:hAnsi="Cambria" w:cstheme="minorHAnsi"/>
          <w:spacing w:val="1"/>
        </w:rPr>
        <w:t>o</w:t>
      </w:r>
      <w:r w:rsidRPr="009A0DA6">
        <w:rPr>
          <w:rFonts w:ascii="Cambria" w:eastAsia="Times New Roman" w:hAnsi="Cambria" w:cstheme="minorHAnsi"/>
        </w:rPr>
        <w:t>l</w:t>
      </w:r>
      <w:r w:rsidRPr="009A0DA6">
        <w:rPr>
          <w:rFonts w:ascii="Cambria" w:eastAsia="Times New Roman" w:hAnsi="Cambria" w:cstheme="minorHAnsi"/>
          <w:spacing w:val="-1"/>
        </w:rPr>
        <w:t>u</w:t>
      </w:r>
      <w:r w:rsidRPr="009A0DA6">
        <w:rPr>
          <w:rFonts w:ascii="Cambria" w:eastAsia="Times New Roman" w:hAnsi="Cambria" w:cstheme="minorHAnsi"/>
        </w:rPr>
        <w:t>ti</w:t>
      </w:r>
      <w:r w:rsidRPr="009A0DA6">
        <w:rPr>
          <w:rFonts w:ascii="Cambria" w:eastAsia="Times New Roman" w:hAnsi="Cambria" w:cstheme="minorHAnsi"/>
          <w:spacing w:val="4"/>
        </w:rPr>
        <w:t>o</w:t>
      </w:r>
      <w:r w:rsidRPr="009A0DA6">
        <w:rPr>
          <w:rFonts w:ascii="Cambria" w:eastAsia="Times New Roman" w:hAnsi="Cambria" w:cstheme="minorHAnsi"/>
        </w:rPr>
        <w:t>n</w:t>
      </w:r>
      <w:r w:rsidRPr="009A0DA6">
        <w:rPr>
          <w:rFonts w:ascii="Cambria" w:eastAsia="Times New Roman" w:hAnsi="Cambria" w:cstheme="minorHAnsi"/>
          <w:spacing w:val="6"/>
        </w:rPr>
        <w:t xml:space="preserve"> </w:t>
      </w:r>
      <w:r w:rsidRPr="009A0DA6">
        <w:rPr>
          <w:rFonts w:ascii="Cambria" w:eastAsia="Times New Roman" w:hAnsi="Cambria" w:cstheme="minorHAnsi"/>
          <w:spacing w:val="1"/>
        </w:rPr>
        <w:t>o</w:t>
      </w:r>
      <w:r w:rsidRPr="009A0DA6">
        <w:rPr>
          <w:rFonts w:ascii="Cambria" w:eastAsia="Times New Roman" w:hAnsi="Cambria" w:cstheme="minorHAnsi"/>
        </w:rPr>
        <w:t>f</w:t>
      </w:r>
      <w:r w:rsidRPr="009A0DA6">
        <w:rPr>
          <w:rFonts w:ascii="Cambria" w:eastAsia="Times New Roman" w:hAnsi="Cambria" w:cstheme="minorHAnsi"/>
          <w:spacing w:val="11"/>
        </w:rPr>
        <w:t xml:space="preserve"> </w:t>
      </w:r>
      <w:r w:rsidRPr="009A0DA6">
        <w:rPr>
          <w:rFonts w:ascii="Cambria" w:eastAsia="Times New Roman" w:hAnsi="Cambria" w:cstheme="minorHAnsi"/>
          <w:spacing w:val="2"/>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13"/>
        </w:rPr>
        <w:t xml:space="preserve"> </w:t>
      </w:r>
      <w:r w:rsidRPr="009A0DA6">
        <w:rPr>
          <w:rFonts w:ascii="Cambria" w:eastAsia="Times New Roman" w:hAnsi="Cambria" w:cstheme="minorHAnsi"/>
        </w:rPr>
        <w:t>Ge</w:t>
      </w:r>
      <w:r w:rsidRPr="009A0DA6">
        <w:rPr>
          <w:rFonts w:ascii="Cambria" w:eastAsia="Times New Roman" w:hAnsi="Cambria" w:cstheme="minorHAnsi"/>
          <w:spacing w:val="-1"/>
        </w:rPr>
        <w:t>n</w:t>
      </w:r>
      <w:r w:rsidRPr="009A0DA6">
        <w:rPr>
          <w:rFonts w:ascii="Cambria" w:eastAsia="Times New Roman" w:hAnsi="Cambria" w:cstheme="minorHAnsi"/>
        </w:rPr>
        <w:t>e</w:t>
      </w:r>
      <w:r w:rsidRPr="009A0DA6">
        <w:rPr>
          <w:rFonts w:ascii="Cambria" w:eastAsia="Times New Roman" w:hAnsi="Cambria" w:cstheme="minorHAnsi"/>
          <w:spacing w:val="1"/>
        </w:rPr>
        <w:t>r</w:t>
      </w:r>
      <w:r w:rsidRPr="009A0DA6">
        <w:rPr>
          <w:rFonts w:ascii="Cambria" w:eastAsia="Times New Roman" w:hAnsi="Cambria" w:cstheme="minorHAnsi"/>
        </w:rPr>
        <w:t>al</w:t>
      </w:r>
      <w:r w:rsidRPr="009A0DA6">
        <w:rPr>
          <w:rFonts w:ascii="Cambria" w:eastAsia="Times New Roman" w:hAnsi="Cambria" w:cstheme="minorHAnsi"/>
          <w:spacing w:val="11"/>
        </w:rPr>
        <w:t xml:space="preserve"> </w:t>
      </w:r>
      <w:r w:rsidRPr="009A0DA6">
        <w:rPr>
          <w:rFonts w:ascii="Cambria" w:eastAsia="Times New Roman" w:hAnsi="Cambria" w:cstheme="minorHAnsi"/>
          <w:spacing w:val="-1"/>
        </w:rPr>
        <w:t>C</w:t>
      </w:r>
      <w:r w:rsidRPr="009A0DA6">
        <w:rPr>
          <w:rFonts w:ascii="Cambria" w:eastAsia="Times New Roman" w:hAnsi="Cambria" w:cstheme="minorHAnsi"/>
          <w:spacing w:val="1"/>
        </w:rPr>
        <w:t>h</w:t>
      </w:r>
      <w:r w:rsidRPr="009A0DA6">
        <w:rPr>
          <w:rFonts w:ascii="Cambria" w:eastAsia="Times New Roman" w:hAnsi="Cambria" w:cstheme="minorHAnsi"/>
          <w:spacing w:val="-1"/>
        </w:rPr>
        <w:t>u</w:t>
      </w:r>
      <w:r w:rsidRPr="009A0DA6">
        <w:rPr>
          <w:rFonts w:ascii="Cambria" w:eastAsia="Times New Roman" w:hAnsi="Cambria" w:cstheme="minorHAnsi"/>
          <w:spacing w:val="3"/>
        </w:rPr>
        <w:t>r</w:t>
      </w:r>
      <w:r w:rsidRPr="009A0DA6">
        <w:rPr>
          <w:rFonts w:ascii="Cambria" w:eastAsia="Times New Roman" w:hAnsi="Cambria" w:cstheme="minorHAnsi"/>
        </w:rPr>
        <w:t>ch</w:t>
      </w:r>
      <w:r w:rsidRPr="009A0DA6">
        <w:rPr>
          <w:rFonts w:ascii="Cambria" w:eastAsia="Times New Roman" w:hAnsi="Cambria" w:cstheme="minorHAnsi"/>
          <w:spacing w:val="8"/>
        </w:rPr>
        <w:t xml:space="preserve"> </w:t>
      </w:r>
      <w:r w:rsidRPr="009A0DA6">
        <w:rPr>
          <w:rFonts w:ascii="Cambria" w:eastAsia="Times New Roman" w:hAnsi="Cambria" w:cstheme="minorHAnsi"/>
          <w:spacing w:val="-1"/>
        </w:rPr>
        <w:t>C</w:t>
      </w:r>
      <w:r w:rsidRPr="009A0DA6">
        <w:rPr>
          <w:rFonts w:ascii="Cambria" w:eastAsia="Times New Roman" w:hAnsi="Cambria" w:cstheme="minorHAnsi"/>
          <w:spacing w:val="1"/>
        </w:rPr>
        <w:t>ou</w:t>
      </w:r>
      <w:r w:rsidRPr="009A0DA6">
        <w:rPr>
          <w:rFonts w:ascii="Cambria" w:eastAsia="Times New Roman" w:hAnsi="Cambria" w:cstheme="minorHAnsi"/>
          <w:spacing w:val="-1"/>
        </w:rPr>
        <w:t>n</w:t>
      </w:r>
      <w:r w:rsidRPr="009A0DA6">
        <w:rPr>
          <w:rFonts w:ascii="Cambria" w:eastAsia="Times New Roman" w:hAnsi="Cambria" w:cstheme="minorHAnsi"/>
        </w:rPr>
        <w:t>cil</w:t>
      </w:r>
      <w:r w:rsidRPr="009A0DA6">
        <w:rPr>
          <w:rFonts w:ascii="Cambria" w:eastAsia="Times New Roman" w:hAnsi="Cambria" w:cstheme="minorHAnsi"/>
          <w:spacing w:val="9"/>
        </w:rPr>
        <w:t xml:space="preserve"> </w:t>
      </w:r>
      <w:r w:rsidRPr="009A0DA6">
        <w:rPr>
          <w:rFonts w:ascii="Cambria" w:eastAsia="Times New Roman" w:hAnsi="Cambria" w:cstheme="minorHAnsi"/>
          <w:spacing w:val="3"/>
        </w:rPr>
        <w:t>a</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spacing w:val="13"/>
        </w:rPr>
        <w:t xml:space="preserve"> </w:t>
      </w:r>
      <w:r w:rsidRPr="009A0DA6">
        <w:rPr>
          <w:rFonts w:ascii="Cambria" w:eastAsia="Times New Roman" w:hAnsi="Cambria" w:cstheme="minorHAnsi"/>
          <w:spacing w:val="2"/>
        </w:rPr>
        <w:t>s</w:t>
      </w:r>
      <w:r w:rsidRPr="009A0DA6">
        <w:rPr>
          <w:rFonts w:ascii="Cambria" w:eastAsia="Times New Roman" w:hAnsi="Cambria" w:cstheme="minorHAnsi"/>
          <w:spacing w:val="-1"/>
        </w:rPr>
        <w:t>u</w:t>
      </w:r>
      <w:r w:rsidRPr="009A0DA6">
        <w:rPr>
          <w:rFonts w:ascii="Cambria" w:eastAsia="Times New Roman" w:hAnsi="Cambria" w:cstheme="minorHAnsi"/>
          <w:spacing w:val="1"/>
        </w:rPr>
        <w:t>b</w:t>
      </w:r>
      <w:r w:rsidRPr="009A0DA6">
        <w:rPr>
          <w:rFonts w:ascii="Cambria" w:eastAsia="Times New Roman" w:hAnsi="Cambria" w:cstheme="minorHAnsi"/>
          <w:spacing w:val="-1"/>
        </w:rPr>
        <w:t>s</w:t>
      </w:r>
      <w:r w:rsidRPr="009A0DA6">
        <w:rPr>
          <w:rFonts w:ascii="Cambria" w:eastAsia="Times New Roman" w:hAnsi="Cambria" w:cstheme="minorHAnsi"/>
        </w:rPr>
        <w:t>ecti</w:t>
      </w:r>
      <w:r w:rsidRPr="009A0DA6">
        <w:rPr>
          <w:rFonts w:ascii="Cambria" w:eastAsia="Times New Roman" w:hAnsi="Cambria" w:cstheme="minorHAnsi"/>
          <w:spacing w:val="1"/>
        </w:rPr>
        <w:t>o</w:t>
      </w:r>
      <w:r w:rsidRPr="009A0DA6">
        <w:rPr>
          <w:rFonts w:ascii="Cambria" w:eastAsia="Times New Roman" w:hAnsi="Cambria" w:cstheme="minorHAnsi"/>
        </w:rPr>
        <w:t>n</w:t>
      </w:r>
      <w:r w:rsidRPr="009A0DA6">
        <w:rPr>
          <w:rFonts w:ascii="Cambria" w:eastAsia="Times New Roman" w:hAnsi="Cambria" w:cstheme="minorHAnsi"/>
          <w:spacing w:val="6"/>
        </w:rPr>
        <w:t xml:space="preserve"> </w:t>
      </w:r>
      <w:r w:rsidRPr="009A0DA6">
        <w:rPr>
          <w:rFonts w:ascii="Cambria" w:eastAsia="Times New Roman" w:hAnsi="Cambria" w:cstheme="minorHAnsi"/>
          <w:spacing w:val="1"/>
        </w:rPr>
        <w:t>6</w:t>
      </w:r>
      <w:r w:rsidRPr="009A0DA6">
        <w:rPr>
          <w:rFonts w:ascii="Cambria" w:eastAsia="Times New Roman" w:hAnsi="Cambria" w:cstheme="minorHAnsi"/>
          <w:spacing w:val="4"/>
        </w:rPr>
        <w:t>0</w:t>
      </w:r>
      <w:r w:rsidRPr="009A0DA6">
        <w:rPr>
          <w:rFonts w:ascii="Cambria" w:eastAsia="Times New Roman" w:hAnsi="Cambria" w:cstheme="minorHAnsi"/>
          <w:spacing w:val="1"/>
        </w:rPr>
        <w:t>.15(</w:t>
      </w:r>
      <w:r w:rsidRPr="009A0DA6">
        <w:rPr>
          <w:rFonts w:ascii="Cambria" w:eastAsia="Times New Roman" w:hAnsi="Cambria" w:cstheme="minorHAnsi"/>
          <w:spacing w:val="-1"/>
        </w:rPr>
        <w:t>2</w:t>
      </w:r>
      <w:r w:rsidRPr="009A0DA6">
        <w:rPr>
          <w:rFonts w:ascii="Cambria" w:eastAsia="Times New Roman" w:hAnsi="Cambria" w:cstheme="minorHAnsi"/>
        </w:rPr>
        <w:t>)</w:t>
      </w:r>
      <w:r w:rsidRPr="009A0DA6">
        <w:rPr>
          <w:rFonts w:ascii="Cambria" w:eastAsia="Times New Roman" w:hAnsi="Cambria" w:cstheme="minorHAnsi"/>
          <w:spacing w:val="9"/>
        </w:rPr>
        <w:t xml:space="preserve"> </w:t>
      </w:r>
      <w:r w:rsidRPr="009A0DA6">
        <w:rPr>
          <w:rFonts w:ascii="Cambria" w:eastAsia="Times New Roman" w:hAnsi="Cambria" w:cstheme="minorHAnsi"/>
          <w:spacing w:val="1"/>
        </w:rPr>
        <w:t>o</w:t>
      </w:r>
      <w:r w:rsidRPr="009A0DA6">
        <w:rPr>
          <w:rFonts w:ascii="Cambria" w:eastAsia="Times New Roman" w:hAnsi="Cambria" w:cstheme="minorHAnsi"/>
        </w:rPr>
        <w:t>f</w:t>
      </w:r>
      <w:r w:rsidRPr="009A0DA6">
        <w:rPr>
          <w:rFonts w:ascii="Cambria" w:eastAsia="Times New Roman" w:hAnsi="Cambria" w:cstheme="minorHAnsi"/>
          <w:spacing w:val="11"/>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 xml:space="preserve">e </w:t>
      </w:r>
      <w:r w:rsidRPr="009A0DA6">
        <w:rPr>
          <w:rFonts w:ascii="Cambria" w:eastAsia="Times New Roman" w:hAnsi="Cambria" w:cstheme="minorHAnsi"/>
          <w:spacing w:val="1"/>
        </w:rPr>
        <w:t>Au</w:t>
      </w:r>
      <w:r w:rsidRPr="009A0DA6">
        <w:rPr>
          <w:rFonts w:ascii="Cambria" w:eastAsia="Times New Roman" w:hAnsi="Cambria" w:cstheme="minorHAnsi"/>
          <w:spacing w:val="-1"/>
        </w:rPr>
        <w:t>s</w:t>
      </w:r>
      <w:r w:rsidRPr="009A0DA6">
        <w:rPr>
          <w:rFonts w:ascii="Cambria" w:eastAsia="Times New Roman" w:hAnsi="Cambria" w:cstheme="minorHAnsi"/>
        </w:rPr>
        <w:t>t</w:t>
      </w:r>
      <w:r w:rsidRPr="009A0DA6">
        <w:rPr>
          <w:rFonts w:ascii="Cambria" w:eastAsia="Times New Roman" w:hAnsi="Cambria" w:cstheme="minorHAnsi"/>
          <w:spacing w:val="-1"/>
        </w:rPr>
        <w:t>r</w:t>
      </w:r>
      <w:r w:rsidRPr="009A0DA6">
        <w:rPr>
          <w:rFonts w:ascii="Cambria" w:eastAsia="Times New Roman" w:hAnsi="Cambria" w:cstheme="minorHAnsi"/>
          <w:spacing w:val="1"/>
        </w:rPr>
        <w:t>a</w:t>
      </w:r>
      <w:r w:rsidRPr="009A0DA6">
        <w:rPr>
          <w:rFonts w:ascii="Cambria" w:eastAsia="Times New Roman" w:hAnsi="Cambria" w:cstheme="minorHAnsi"/>
        </w:rPr>
        <w:t>li</w:t>
      </w:r>
      <w:r w:rsidRPr="009A0DA6">
        <w:rPr>
          <w:rFonts w:ascii="Cambria" w:eastAsia="Times New Roman" w:hAnsi="Cambria" w:cstheme="minorHAnsi"/>
          <w:spacing w:val="1"/>
        </w:rPr>
        <w:t>a</w:t>
      </w:r>
      <w:r w:rsidRPr="009A0DA6">
        <w:rPr>
          <w:rFonts w:ascii="Cambria" w:eastAsia="Times New Roman" w:hAnsi="Cambria" w:cstheme="minorHAnsi"/>
        </w:rPr>
        <w:t>n</w:t>
      </w:r>
      <w:r w:rsidRPr="009A0DA6">
        <w:rPr>
          <w:rFonts w:ascii="Cambria" w:eastAsia="Times New Roman" w:hAnsi="Cambria" w:cstheme="minorHAnsi"/>
          <w:spacing w:val="6"/>
        </w:rPr>
        <w:t xml:space="preserve"> </w:t>
      </w:r>
      <w:r w:rsidRPr="009A0DA6">
        <w:rPr>
          <w:rFonts w:ascii="Cambria" w:eastAsia="Times New Roman" w:hAnsi="Cambria" w:cstheme="minorHAnsi"/>
          <w:spacing w:val="-1"/>
        </w:rPr>
        <w:t>C</w:t>
      </w:r>
      <w:r w:rsidRPr="009A0DA6">
        <w:rPr>
          <w:rFonts w:ascii="Cambria" w:eastAsia="Times New Roman" w:hAnsi="Cambria" w:cstheme="minorHAnsi"/>
          <w:spacing w:val="1"/>
        </w:rPr>
        <w:t>ha</w:t>
      </w:r>
      <w:r w:rsidRPr="009A0DA6">
        <w:rPr>
          <w:rFonts w:ascii="Cambria" w:eastAsia="Times New Roman" w:hAnsi="Cambria" w:cstheme="minorHAnsi"/>
          <w:spacing w:val="-1"/>
        </w:rPr>
        <w:t>r</w:t>
      </w:r>
      <w:r w:rsidRPr="009A0DA6">
        <w:rPr>
          <w:rFonts w:ascii="Cambria" w:eastAsia="Times New Roman" w:hAnsi="Cambria" w:cstheme="minorHAnsi"/>
        </w:rPr>
        <w:t>ities</w:t>
      </w:r>
      <w:r w:rsidRPr="009A0DA6">
        <w:rPr>
          <w:rFonts w:ascii="Cambria" w:eastAsia="Times New Roman" w:hAnsi="Cambria" w:cstheme="minorHAnsi"/>
          <w:spacing w:val="16"/>
        </w:rPr>
        <w:t xml:space="preserve"> </w:t>
      </w:r>
      <w:r w:rsidRPr="009A0DA6">
        <w:rPr>
          <w:rFonts w:ascii="Cambria" w:eastAsia="Times New Roman" w:hAnsi="Cambria" w:cstheme="minorHAnsi"/>
          <w:spacing w:val="1"/>
        </w:rPr>
        <w:t>an</w:t>
      </w:r>
      <w:r w:rsidRPr="009A0DA6">
        <w:rPr>
          <w:rFonts w:ascii="Cambria" w:eastAsia="Times New Roman" w:hAnsi="Cambria" w:cstheme="minorHAnsi"/>
        </w:rPr>
        <w:t>d</w:t>
      </w:r>
      <w:r w:rsidRPr="009A0DA6">
        <w:rPr>
          <w:rFonts w:ascii="Cambria" w:eastAsia="Times New Roman" w:hAnsi="Cambria" w:cstheme="minorHAnsi"/>
          <w:spacing w:val="11"/>
        </w:rPr>
        <w:t xml:space="preserve"> </w:t>
      </w:r>
      <w:r w:rsidRPr="009A0DA6">
        <w:rPr>
          <w:rFonts w:ascii="Cambria" w:eastAsia="Times New Roman" w:hAnsi="Cambria" w:cstheme="minorHAnsi"/>
          <w:spacing w:val="-1"/>
          <w:w w:val="97"/>
        </w:rPr>
        <w:t>N</w:t>
      </w:r>
      <w:r w:rsidRPr="009A0DA6">
        <w:rPr>
          <w:rFonts w:ascii="Cambria" w:eastAsia="Times New Roman" w:hAnsi="Cambria" w:cstheme="minorHAnsi"/>
          <w:spacing w:val="1"/>
          <w:w w:val="97"/>
        </w:rPr>
        <w:t>o</w:t>
      </w:r>
      <w:r w:rsidRPr="009A0DA6">
        <w:rPr>
          <w:rFonts w:ascii="Cambria" w:eastAsia="Times New Roman" w:hAnsi="Cambria" w:cstheme="minorHAnsi"/>
          <w:w w:val="97"/>
        </w:rPr>
        <w:t>t</w:t>
      </w:r>
      <w:r w:rsidRPr="009A0DA6">
        <w:rPr>
          <w:rFonts w:ascii="Cambria" w:eastAsia="Times New Roman" w:hAnsi="Cambria" w:cstheme="minorHAnsi"/>
          <w:spacing w:val="1"/>
          <w:w w:val="97"/>
        </w:rPr>
        <w:t>-</w:t>
      </w:r>
      <w:r w:rsidRPr="009A0DA6">
        <w:rPr>
          <w:rFonts w:ascii="Cambria" w:eastAsia="Times New Roman" w:hAnsi="Cambria" w:cstheme="minorHAnsi"/>
          <w:w w:val="97"/>
        </w:rPr>
        <w:t>f</w:t>
      </w:r>
      <w:r w:rsidRPr="009A0DA6">
        <w:rPr>
          <w:rFonts w:ascii="Cambria" w:eastAsia="Times New Roman" w:hAnsi="Cambria" w:cstheme="minorHAnsi"/>
          <w:spacing w:val="1"/>
          <w:w w:val="97"/>
        </w:rPr>
        <w:t>o</w:t>
      </w:r>
      <w:r w:rsidRPr="009A0DA6">
        <w:rPr>
          <w:rFonts w:ascii="Cambria" w:eastAsia="Times New Roman" w:hAnsi="Cambria" w:cstheme="minorHAnsi"/>
          <w:spacing w:val="-1"/>
          <w:w w:val="97"/>
        </w:rPr>
        <w:t>r</w:t>
      </w:r>
      <w:r w:rsidRPr="009A0DA6">
        <w:rPr>
          <w:rFonts w:ascii="Cambria" w:eastAsia="Times New Roman" w:hAnsi="Cambria" w:cstheme="minorHAnsi"/>
          <w:spacing w:val="1"/>
          <w:w w:val="97"/>
        </w:rPr>
        <w:t>-p</w:t>
      </w:r>
      <w:r w:rsidRPr="009A0DA6">
        <w:rPr>
          <w:rFonts w:ascii="Cambria" w:eastAsia="Times New Roman" w:hAnsi="Cambria" w:cstheme="minorHAnsi"/>
          <w:spacing w:val="-1"/>
          <w:w w:val="97"/>
        </w:rPr>
        <w:t>r</w:t>
      </w:r>
      <w:r w:rsidRPr="009A0DA6">
        <w:rPr>
          <w:rFonts w:ascii="Cambria" w:eastAsia="Times New Roman" w:hAnsi="Cambria" w:cstheme="minorHAnsi"/>
          <w:spacing w:val="1"/>
          <w:w w:val="97"/>
        </w:rPr>
        <w:t>o</w:t>
      </w:r>
      <w:r w:rsidRPr="009A0DA6">
        <w:rPr>
          <w:rFonts w:ascii="Cambria" w:eastAsia="Times New Roman" w:hAnsi="Cambria" w:cstheme="minorHAnsi"/>
          <w:w w:val="97"/>
        </w:rPr>
        <w:t>fits</w:t>
      </w:r>
      <w:r w:rsidRPr="009A0DA6">
        <w:rPr>
          <w:rFonts w:ascii="Cambria" w:eastAsia="Times New Roman" w:hAnsi="Cambria" w:cstheme="minorHAnsi"/>
          <w:spacing w:val="15"/>
          <w:w w:val="97"/>
        </w:rPr>
        <w:t xml:space="preserve"> </w:t>
      </w:r>
      <w:r w:rsidRPr="009A0DA6">
        <w:rPr>
          <w:rFonts w:ascii="Cambria" w:eastAsia="Times New Roman" w:hAnsi="Cambria" w:cstheme="minorHAnsi"/>
          <w:spacing w:val="-1"/>
          <w:w w:val="97"/>
        </w:rPr>
        <w:t>C</w:t>
      </w:r>
      <w:r w:rsidRPr="009A0DA6">
        <w:rPr>
          <w:rFonts w:ascii="Cambria" w:eastAsia="Times New Roman" w:hAnsi="Cambria" w:cstheme="minorHAnsi"/>
          <w:spacing w:val="1"/>
          <w:w w:val="97"/>
        </w:rPr>
        <w:t>o</w:t>
      </w:r>
      <w:r w:rsidRPr="009A0DA6">
        <w:rPr>
          <w:rFonts w:ascii="Cambria" w:eastAsia="Times New Roman" w:hAnsi="Cambria" w:cstheme="minorHAnsi"/>
          <w:w w:val="97"/>
        </w:rPr>
        <w:t>mm</w:t>
      </w:r>
      <w:r w:rsidRPr="009A0DA6">
        <w:rPr>
          <w:rFonts w:ascii="Cambria" w:eastAsia="Times New Roman" w:hAnsi="Cambria" w:cstheme="minorHAnsi"/>
          <w:spacing w:val="2"/>
          <w:w w:val="97"/>
        </w:rPr>
        <w:t>i</w:t>
      </w:r>
      <w:r w:rsidRPr="009A0DA6">
        <w:rPr>
          <w:rFonts w:ascii="Cambria" w:eastAsia="Times New Roman" w:hAnsi="Cambria" w:cstheme="minorHAnsi"/>
          <w:spacing w:val="-1"/>
          <w:w w:val="97"/>
        </w:rPr>
        <w:t>ss</w:t>
      </w:r>
      <w:r w:rsidRPr="009A0DA6">
        <w:rPr>
          <w:rFonts w:ascii="Cambria" w:eastAsia="Times New Roman" w:hAnsi="Cambria" w:cstheme="minorHAnsi"/>
          <w:w w:val="97"/>
        </w:rPr>
        <w:t>i</w:t>
      </w:r>
      <w:r w:rsidRPr="009A0DA6">
        <w:rPr>
          <w:rFonts w:ascii="Cambria" w:eastAsia="Times New Roman" w:hAnsi="Cambria" w:cstheme="minorHAnsi"/>
          <w:spacing w:val="1"/>
          <w:w w:val="97"/>
        </w:rPr>
        <w:t>o</w:t>
      </w:r>
      <w:r w:rsidRPr="009A0DA6">
        <w:rPr>
          <w:rFonts w:ascii="Cambria" w:eastAsia="Times New Roman" w:hAnsi="Cambria" w:cstheme="minorHAnsi"/>
          <w:w w:val="97"/>
        </w:rPr>
        <w:t>n</w:t>
      </w:r>
      <w:r w:rsidRPr="009A0DA6">
        <w:rPr>
          <w:rFonts w:ascii="Cambria" w:eastAsia="Times New Roman" w:hAnsi="Cambria" w:cstheme="minorHAnsi"/>
          <w:spacing w:val="2"/>
          <w:w w:val="97"/>
        </w:rPr>
        <w:t xml:space="preserve"> </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1"/>
        </w:rPr>
        <w:t>gu</w:t>
      </w:r>
      <w:r w:rsidRPr="009A0DA6">
        <w:rPr>
          <w:rFonts w:ascii="Cambria" w:eastAsia="Times New Roman" w:hAnsi="Cambria" w:cstheme="minorHAnsi"/>
        </w:rPr>
        <w:t>l</w:t>
      </w:r>
      <w:r w:rsidRPr="009A0DA6">
        <w:rPr>
          <w:rFonts w:ascii="Cambria" w:eastAsia="Times New Roman" w:hAnsi="Cambria" w:cstheme="minorHAnsi"/>
          <w:spacing w:val="-1"/>
        </w:rPr>
        <w:t>a</w:t>
      </w:r>
      <w:r w:rsidRPr="009A0DA6">
        <w:rPr>
          <w:rFonts w:ascii="Cambria" w:eastAsia="Times New Roman" w:hAnsi="Cambria" w:cstheme="minorHAnsi"/>
        </w:rPr>
        <w:t>ti</w:t>
      </w:r>
      <w:r w:rsidRPr="009A0DA6">
        <w:rPr>
          <w:rFonts w:ascii="Cambria" w:eastAsia="Times New Roman" w:hAnsi="Cambria" w:cstheme="minorHAnsi"/>
          <w:spacing w:val="1"/>
        </w:rPr>
        <w:t>o</w:t>
      </w:r>
      <w:r w:rsidRPr="009A0DA6">
        <w:rPr>
          <w:rFonts w:ascii="Cambria" w:eastAsia="Times New Roman" w:hAnsi="Cambria" w:cstheme="minorHAnsi"/>
        </w:rPr>
        <w:t>n</w:t>
      </w:r>
      <w:r w:rsidRPr="009A0DA6">
        <w:rPr>
          <w:rFonts w:ascii="Cambria" w:eastAsia="Times New Roman" w:hAnsi="Cambria" w:cstheme="minorHAnsi"/>
          <w:spacing w:val="-6"/>
        </w:rPr>
        <w:t xml:space="preserve"> </w:t>
      </w:r>
      <w:r w:rsidRPr="009A0DA6">
        <w:rPr>
          <w:rFonts w:ascii="Cambria" w:eastAsia="Times New Roman" w:hAnsi="Cambria" w:cstheme="minorHAnsi"/>
          <w:spacing w:val="1"/>
        </w:rPr>
        <w:t>2</w:t>
      </w:r>
      <w:r w:rsidRPr="009A0DA6">
        <w:rPr>
          <w:rFonts w:ascii="Cambria" w:eastAsia="Times New Roman" w:hAnsi="Cambria" w:cstheme="minorHAnsi"/>
          <w:spacing w:val="-1"/>
        </w:rPr>
        <w:t>0</w:t>
      </w:r>
      <w:r w:rsidRPr="009A0DA6">
        <w:rPr>
          <w:rFonts w:ascii="Cambria" w:eastAsia="Times New Roman" w:hAnsi="Cambria" w:cstheme="minorHAnsi"/>
          <w:spacing w:val="1"/>
        </w:rPr>
        <w:t>13</w:t>
      </w:r>
      <w:r w:rsidRPr="009A0DA6">
        <w:rPr>
          <w:rFonts w:ascii="Cambria" w:eastAsia="Times New Roman" w:hAnsi="Cambria" w:cstheme="minorHAnsi"/>
        </w:rPr>
        <w:t>.</w:t>
      </w:r>
    </w:p>
    <w:p w14:paraId="1D9A7042" w14:textId="77777777" w:rsidR="00BA4592" w:rsidRPr="009A0DA6" w:rsidRDefault="00BA4592" w:rsidP="00BA4592">
      <w:pPr>
        <w:spacing w:before="120" w:after="120" w:line="240" w:lineRule="auto"/>
        <w:contextualSpacing/>
        <w:rPr>
          <w:rFonts w:ascii="Cambria" w:eastAsiaTheme="minorEastAsia" w:hAnsi="Cambria" w:cstheme="minorHAnsi"/>
        </w:rPr>
      </w:pPr>
    </w:p>
    <w:p w14:paraId="48D14607" w14:textId="77777777" w:rsidR="00BA4592" w:rsidRPr="009A0DA6" w:rsidRDefault="00BA4592" w:rsidP="00BA4592">
      <w:pPr>
        <w:spacing w:before="120" w:after="120" w:line="240" w:lineRule="auto"/>
        <w:contextualSpacing/>
        <w:rPr>
          <w:rFonts w:ascii="Cambria" w:hAnsi="Cambria" w:cstheme="minorHAnsi"/>
        </w:rPr>
      </w:pPr>
      <w:r w:rsidRPr="009A0DA6">
        <w:rPr>
          <w:rFonts w:ascii="Cambria" w:hAnsi="Cambria" w:cstheme="minorHAnsi"/>
        </w:rPr>
        <w:t>By Bishop John Henderson and Mel Zerner, as Members of General Church Council on 15 June 2018</w:t>
      </w:r>
    </w:p>
    <w:p w14:paraId="1F786146" w14:textId="77777777" w:rsidR="00BA4592" w:rsidRPr="007408EE" w:rsidRDefault="00BA4592" w:rsidP="00BA4592">
      <w:pPr>
        <w:spacing w:before="120" w:after="120" w:line="240" w:lineRule="auto"/>
        <w:contextualSpacing/>
        <w:rPr>
          <w:rFonts w:ascii="Cambria" w:hAnsi="Cambria" w:cstheme="minorHAnsi"/>
          <w:sz w:val="6"/>
        </w:rPr>
      </w:pPr>
    </w:p>
    <w:p w14:paraId="68386F07" w14:textId="77777777" w:rsidR="00BA4592" w:rsidRPr="009A0DA6" w:rsidRDefault="00BA4592" w:rsidP="00E4168D">
      <w:pPr>
        <w:pStyle w:val="Subtitle"/>
      </w:pPr>
      <w:r w:rsidRPr="009A0DA6">
        <w:rPr>
          <w:rFonts w:eastAsia="Times New Roman"/>
          <w:spacing w:val="-1"/>
        </w:rPr>
        <w:t>I</w:t>
      </w:r>
      <w:r w:rsidRPr="009A0DA6">
        <w:rPr>
          <w:rFonts w:eastAsia="Times New Roman"/>
        </w:rPr>
        <w:t>ND</w:t>
      </w:r>
      <w:r w:rsidRPr="009A0DA6">
        <w:rPr>
          <w:rFonts w:eastAsia="Times New Roman"/>
          <w:spacing w:val="-1"/>
        </w:rPr>
        <w:t>E</w:t>
      </w:r>
      <w:r w:rsidRPr="009A0DA6">
        <w:rPr>
          <w:rFonts w:eastAsia="Times New Roman"/>
          <w:spacing w:val="3"/>
        </w:rPr>
        <w:t>P</w:t>
      </w:r>
      <w:r w:rsidRPr="009A0DA6">
        <w:rPr>
          <w:rFonts w:eastAsia="Times New Roman"/>
          <w:spacing w:val="-1"/>
        </w:rPr>
        <w:t>E</w:t>
      </w:r>
      <w:r w:rsidRPr="009A0DA6">
        <w:rPr>
          <w:rFonts w:eastAsia="Times New Roman"/>
        </w:rPr>
        <w:t>N</w:t>
      </w:r>
      <w:r w:rsidRPr="009A0DA6">
        <w:rPr>
          <w:rFonts w:eastAsia="Times New Roman"/>
          <w:spacing w:val="3"/>
        </w:rPr>
        <w:t>D</w:t>
      </w:r>
      <w:r w:rsidRPr="009A0DA6">
        <w:rPr>
          <w:rFonts w:eastAsia="Times New Roman"/>
          <w:spacing w:val="-1"/>
        </w:rPr>
        <w:t>E</w:t>
      </w:r>
      <w:r w:rsidRPr="009A0DA6">
        <w:rPr>
          <w:rFonts w:eastAsia="Times New Roman"/>
          <w:spacing w:val="3"/>
        </w:rPr>
        <w:t>N</w:t>
      </w:r>
      <w:r w:rsidRPr="009A0DA6">
        <w:rPr>
          <w:rFonts w:eastAsia="Times New Roman"/>
        </w:rPr>
        <w:t>T AUD</w:t>
      </w:r>
      <w:r w:rsidRPr="009A0DA6">
        <w:rPr>
          <w:rFonts w:eastAsia="Times New Roman"/>
          <w:spacing w:val="2"/>
        </w:rPr>
        <w:t>I</w:t>
      </w:r>
      <w:r w:rsidRPr="009A0DA6">
        <w:rPr>
          <w:rFonts w:eastAsia="Times New Roman"/>
          <w:spacing w:val="-1"/>
        </w:rPr>
        <w:t>T</w:t>
      </w:r>
      <w:r w:rsidRPr="009A0DA6">
        <w:rPr>
          <w:rFonts w:eastAsia="Times New Roman"/>
          <w:spacing w:val="1"/>
        </w:rPr>
        <w:t>O</w:t>
      </w:r>
      <w:r w:rsidRPr="009A0DA6">
        <w:rPr>
          <w:rFonts w:eastAsia="Times New Roman"/>
          <w:spacing w:val="3"/>
        </w:rPr>
        <w:t>R</w:t>
      </w:r>
      <w:r w:rsidRPr="009A0DA6">
        <w:rPr>
          <w:rFonts w:eastAsia="Times New Roman"/>
        </w:rPr>
        <w:t>S</w:t>
      </w:r>
      <w:r w:rsidRPr="009A0DA6">
        <w:rPr>
          <w:rFonts w:eastAsia="Times New Roman"/>
          <w:spacing w:val="34"/>
        </w:rPr>
        <w:t xml:space="preserve"> </w:t>
      </w:r>
      <w:r w:rsidRPr="009A0DA6">
        <w:rPr>
          <w:rFonts w:eastAsia="Times New Roman"/>
          <w:w w:val="107"/>
        </w:rPr>
        <w:t>R</w:t>
      </w:r>
      <w:r w:rsidRPr="009A0DA6">
        <w:rPr>
          <w:rFonts w:eastAsia="Times New Roman"/>
          <w:spacing w:val="-1"/>
          <w:w w:val="108"/>
        </w:rPr>
        <w:t>E</w:t>
      </w:r>
      <w:r w:rsidRPr="009A0DA6">
        <w:rPr>
          <w:rFonts w:eastAsia="Times New Roman"/>
          <w:spacing w:val="1"/>
          <w:w w:val="109"/>
        </w:rPr>
        <w:t>P</w:t>
      </w:r>
      <w:r w:rsidRPr="009A0DA6">
        <w:rPr>
          <w:rFonts w:eastAsia="Times New Roman"/>
          <w:spacing w:val="1"/>
          <w:w w:val="107"/>
        </w:rPr>
        <w:t>O</w:t>
      </w:r>
      <w:r w:rsidRPr="009A0DA6">
        <w:rPr>
          <w:rFonts w:eastAsia="Times New Roman"/>
          <w:w w:val="107"/>
        </w:rPr>
        <w:t>R</w:t>
      </w:r>
      <w:r w:rsidRPr="009A0DA6">
        <w:rPr>
          <w:rFonts w:eastAsia="Times New Roman"/>
          <w:w w:val="108"/>
        </w:rPr>
        <w:t>T</w:t>
      </w:r>
    </w:p>
    <w:p w14:paraId="58084D03" w14:textId="77777777" w:rsidR="00BA4592" w:rsidRPr="009A0DA6" w:rsidRDefault="00BA4592" w:rsidP="00B81951">
      <w:pPr>
        <w:spacing w:after="0" w:line="240" w:lineRule="auto"/>
        <w:ind w:right="-107"/>
        <w:contextualSpacing/>
        <w:rPr>
          <w:rFonts w:ascii="Cambria" w:eastAsia="Times New Roman" w:hAnsi="Cambria" w:cstheme="minorHAnsi"/>
          <w:b/>
        </w:rPr>
      </w:pPr>
      <w:r w:rsidRPr="009A0DA6">
        <w:rPr>
          <w:rFonts w:ascii="Cambria" w:eastAsia="Times New Roman" w:hAnsi="Cambria" w:cstheme="minorHAnsi"/>
          <w:b/>
        </w:rPr>
        <w:t>O</w:t>
      </w:r>
      <w:r w:rsidRPr="009A0DA6">
        <w:rPr>
          <w:rFonts w:ascii="Cambria" w:eastAsia="Times New Roman" w:hAnsi="Cambria" w:cstheme="minorHAnsi"/>
          <w:b/>
          <w:spacing w:val="1"/>
        </w:rPr>
        <w:t>p</w:t>
      </w:r>
      <w:r w:rsidRPr="009A0DA6">
        <w:rPr>
          <w:rFonts w:ascii="Cambria" w:eastAsia="Times New Roman" w:hAnsi="Cambria" w:cstheme="minorHAnsi"/>
          <w:b/>
        </w:rPr>
        <w:t>i</w:t>
      </w:r>
      <w:r w:rsidRPr="009A0DA6">
        <w:rPr>
          <w:rFonts w:ascii="Cambria" w:eastAsia="Times New Roman" w:hAnsi="Cambria" w:cstheme="minorHAnsi"/>
          <w:b/>
          <w:spacing w:val="1"/>
        </w:rPr>
        <w:t>n</w:t>
      </w:r>
      <w:r w:rsidRPr="009A0DA6">
        <w:rPr>
          <w:rFonts w:ascii="Cambria" w:eastAsia="Times New Roman" w:hAnsi="Cambria" w:cstheme="minorHAnsi"/>
          <w:b/>
        </w:rPr>
        <w:t>i</w:t>
      </w:r>
      <w:r w:rsidRPr="009A0DA6">
        <w:rPr>
          <w:rFonts w:ascii="Cambria" w:eastAsia="Times New Roman" w:hAnsi="Cambria" w:cstheme="minorHAnsi"/>
          <w:b/>
          <w:spacing w:val="1"/>
        </w:rPr>
        <w:t>o</w:t>
      </w:r>
      <w:r w:rsidRPr="009A0DA6">
        <w:rPr>
          <w:rFonts w:ascii="Cambria" w:eastAsia="Times New Roman" w:hAnsi="Cambria" w:cstheme="minorHAnsi"/>
          <w:b/>
        </w:rPr>
        <w:t>n</w:t>
      </w:r>
    </w:p>
    <w:p w14:paraId="517F5464" w14:textId="77777777" w:rsidR="00BA4592" w:rsidRPr="009A0DA6" w:rsidRDefault="00BA4592" w:rsidP="00B81951">
      <w:pPr>
        <w:pStyle w:val="NoSpacing"/>
      </w:pPr>
      <w:r w:rsidRPr="009A0DA6">
        <w:rPr>
          <w:spacing w:val="2"/>
        </w:rPr>
        <w:t>W</w:t>
      </w:r>
      <w:r w:rsidRPr="009A0DA6">
        <w:t>e</w:t>
      </w:r>
      <w:r w:rsidRPr="009A0DA6">
        <w:rPr>
          <w:spacing w:val="48"/>
        </w:rPr>
        <w:t xml:space="preserve"> </w:t>
      </w:r>
      <w:r w:rsidRPr="009A0DA6">
        <w:rPr>
          <w:spacing w:val="-1"/>
        </w:rPr>
        <w:t>h</w:t>
      </w:r>
      <w:r w:rsidRPr="009A0DA6">
        <w:t>a</w:t>
      </w:r>
      <w:r w:rsidRPr="009A0DA6">
        <w:rPr>
          <w:spacing w:val="-1"/>
        </w:rPr>
        <w:t>v</w:t>
      </w:r>
      <w:r w:rsidRPr="009A0DA6">
        <w:t>e</w:t>
      </w:r>
      <w:r w:rsidRPr="009A0DA6">
        <w:rPr>
          <w:spacing w:val="47"/>
        </w:rPr>
        <w:t xml:space="preserve"> </w:t>
      </w:r>
      <w:r w:rsidRPr="009A0DA6">
        <w:rPr>
          <w:spacing w:val="3"/>
        </w:rPr>
        <w:t>a</w:t>
      </w:r>
      <w:r w:rsidRPr="009A0DA6">
        <w:rPr>
          <w:spacing w:val="-1"/>
        </w:rPr>
        <w:t>u</w:t>
      </w:r>
      <w:r w:rsidRPr="009A0DA6">
        <w:rPr>
          <w:spacing w:val="1"/>
        </w:rPr>
        <w:t>d</w:t>
      </w:r>
      <w:r w:rsidRPr="009A0DA6">
        <w:t>ited</w:t>
      </w:r>
      <w:r w:rsidRPr="009A0DA6">
        <w:rPr>
          <w:spacing w:val="46"/>
        </w:rPr>
        <w:t xml:space="preserve"> </w:t>
      </w:r>
      <w:r w:rsidRPr="009A0DA6">
        <w:rPr>
          <w:spacing w:val="2"/>
        </w:rPr>
        <w:t>t</w:t>
      </w:r>
      <w:r w:rsidRPr="009A0DA6">
        <w:rPr>
          <w:spacing w:val="-1"/>
        </w:rPr>
        <w:t>h</w:t>
      </w:r>
      <w:r w:rsidRPr="009A0DA6">
        <w:t>e</w:t>
      </w:r>
      <w:r w:rsidRPr="009A0DA6">
        <w:rPr>
          <w:spacing w:val="49"/>
        </w:rPr>
        <w:t xml:space="preserve"> </w:t>
      </w:r>
      <w:r w:rsidRPr="009A0DA6">
        <w:t>acc</w:t>
      </w:r>
      <w:r w:rsidRPr="009A0DA6">
        <w:rPr>
          <w:spacing w:val="4"/>
        </w:rPr>
        <w:t>o</w:t>
      </w:r>
      <w:r w:rsidRPr="009A0DA6">
        <w:rPr>
          <w:spacing w:val="1"/>
        </w:rPr>
        <w:t>mp</w:t>
      </w:r>
      <w:r w:rsidRPr="009A0DA6">
        <w:t>a</w:t>
      </w:r>
      <w:r w:rsidRPr="009A0DA6">
        <w:rPr>
          <w:spacing w:val="1"/>
        </w:rPr>
        <w:t>n</w:t>
      </w:r>
      <w:r w:rsidRPr="009A0DA6">
        <w:rPr>
          <w:spacing w:val="-4"/>
        </w:rPr>
        <w:t>y</w:t>
      </w:r>
      <w:r w:rsidRPr="009A0DA6">
        <w:rPr>
          <w:spacing w:val="2"/>
        </w:rPr>
        <w:t>i</w:t>
      </w:r>
      <w:r w:rsidRPr="009A0DA6">
        <w:rPr>
          <w:spacing w:val="-1"/>
        </w:rPr>
        <w:t>n</w:t>
      </w:r>
      <w:r w:rsidRPr="009A0DA6">
        <w:t>g</w:t>
      </w:r>
      <w:r w:rsidRPr="009A0DA6">
        <w:rPr>
          <w:spacing w:val="42"/>
        </w:rPr>
        <w:t xml:space="preserve"> </w:t>
      </w:r>
      <w:r w:rsidRPr="009A0DA6">
        <w:rPr>
          <w:spacing w:val="-1"/>
        </w:rPr>
        <w:t>f</w:t>
      </w:r>
      <w:r w:rsidRPr="009A0DA6">
        <w:t>i</w:t>
      </w:r>
      <w:r w:rsidRPr="009A0DA6">
        <w:rPr>
          <w:spacing w:val="-1"/>
        </w:rPr>
        <w:t>n</w:t>
      </w:r>
      <w:r w:rsidRPr="009A0DA6">
        <w:rPr>
          <w:spacing w:val="3"/>
        </w:rPr>
        <w:t>a</w:t>
      </w:r>
      <w:r w:rsidRPr="009A0DA6">
        <w:rPr>
          <w:spacing w:val="-1"/>
        </w:rPr>
        <w:t>n</w:t>
      </w:r>
      <w:r w:rsidRPr="009A0DA6">
        <w:t>cial</w:t>
      </w:r>
      <w:r w:rsidRPr="009A0DA6">
        <w:rPr>
          <w:spacing w:val="46"/>
        </w:rPr>
        <w:t xml:space="preserve"> </w:t>
      </w:r>
      <w:r w:rsidRPr="009A0DA6">
        <w:rPr>
          <w:spacing w:val="1"/>
        </w:rPr>
        <w:t>r</w:t>
      </w:r>
      <w:r w:rsidRPr="009A0DA6">
        <w:t>e</w:t>
      </w:r>
      <w:r w:rsidRPr="009A0DA6">
        <w:rPr>
          <w:spacing w:val="1"/>
        </w:rPr>
        <w:t>por</w:t>
      </w:r>
      <w:r w:rsidRPr="009A0DA6">
        <w:t>t,</w:t>
      </w:r>
      <w:r w:rsidRPr="009A0DA6">
        <w:rPr>
          <w:spacing w:val="46"/>
        </w:rPr>
        <w:t xml:space="preserve"> </w:t>
      </w:r>
      <w:r w:rsidRPr="009A0DA6">
        <w:rPr>
          <w:spacing w:val="1"/>
        </w:rPr>
        <w:t>b</w:t>
      </w:r>
      <w:r w:rsidRPr="009A0DA6">
        <w:t>e</w:t>
      </w:r>
      <w:r w:rsidRPr="009A0DA6">
        <w:rPr>
          <w:spacing w:val="-3"/>
        </w:rPr>
        <w:t>i</w:t>
      </w:r>
      <w:r w:rsidRPr="009A0DA6">
        <w:rPr>
          <w:spacing w:val="-1"/>
        </w:rPr>
        <w:t>n</w:t>
      </w:r>
      <w:r w:rsidRPr="009A0DA6">
        <w:t>g</w:t>
      </w:r>
      <w:r w:rsidRPr="009A0DA6">
        <w:rPr>
          <w:spacing w:val="48"/>
        </w:rPr>
        <w:t xml:space="preserve"> </w:t>
      </w:r>
      <w:r w:rsidRPr="009A0DA6">
        <w:t xml:space="preserve">a </w:t>
      </w:r>
      <w:r w:rsidRPr="009A0DA6">
        <w:rPr>
          <w:spacing w:val="-1"/>
        </w:rPr>
        <w:t>s</w:t>
      </w:r>
      <w:r w:rsidRPr="009A0DA6">
        <w:rPr>
          <w:spacing w:val="1"/>
        </w:rPr>
        <w:t>p</w:t>
      </w:r>
      <w:r w:rsidRPr="009A0DA6">
        <w:t>ecial</w:t>
      </w:r>
      <w:r w:rsidRPr="009A0DA6">
        <w:rPr>
          <w:spacing w:val="45"/>
        </w:rPr>
        <w:t xml:space="preserve"> </w:t>
      </w:r>
      <w:r w:rsidRPr="009A0DA6">
        <w:rPr>
          <w:spacing w:val="4"/>
        </w:rPr>
        <w:t>p</w:t>
      </w:r>
      <w:r w:rsidRPr="009A0DA6">
        <w:rPr>
          <w:spacing w:val="-1"/>
        </w:rPr>
        <w:t>u</w:t>
      </w:r>
      <w:r w:rsidRPr="009A0DA6">
        <w:rPr>
          <w:spacing w:val="1"/>
        </w:rPr>
        <w:t>rpo</w:t>
      </w:r>
      <w:r w:rsidRPr="009A0DA6">
        <w:rPr>
          <w:spacing w:val="-1"/>
        </w:rPr>
        <w:t>s</w:t>
      </w:r>
      <w:r w:rsidRPr="009A0DA6">
        <w:t>e</w:t>
      </w:r>
      <w:r w:rsidRPr="009A0DA6">
        <w:rPr>
          <w:spacing w:val="45"/>
        </w:rPr>
        <w:t xml:space="preserve"> </w:t>
      </w:r>
      <w:r w:rsidRPr="009A0DA6">
        <w:rPr>
          <w:spacing w:val="-1"/>
        </w:rPr>
        <w:t>f</w:t>
      </w:r>
      <w:r w:rsidRPr="009A0DA6">
        <w:rPr>
          <w:spacing w:val="2"/>
        </w:rPr>
        <w:t>i</w:t>
      </w:r>
      <w:r w:rsidRPr="009A0DA6">
        <w:rPr>
          <w:spacing w:val="-1"/>
        </w:rPr>
        <w:t>n</w:t>
      </w:r>
      <w:r w:rsidRPr="009A0DA6">
        <w:rPr>
          <w:spacing w:val="3"/>
        </w:rPr>
        <w:t>a</w:t>
      </w:r>
      <w:r w:rsidRPr="009A0DA6">
        <w:rPr>
          <w:spacing w:val="-1"/>
        </w:rPr>
        <w:t>n</w:t>
      </w:r>
      <w:r w:rsidRPr="009A0DA6">
        <w:t>c</w:t>
      </w:r>
      <w:r w:rsidRPr="009A0DA6">
        <w:rPr>
          <w:spacing w:val="2"/>
        </w:rPr>
        <w:t>i</w:t>
      </w:r>
      <w:r w:rsidRPr="009A0DA6">
        <w:t>al</w:t>
      </w:r>
      <w:r w:rsidRPr="009A0DA6">
        <w:rPr>
          <w:spacing w:val="44"/>
        </w:rPr>
        <w:t xml:space="preserve"> </w:t>
      </w:r>
      <w:r w:rsidRPr="009A0DA6">
        <w:rPr>
          <w:spacing w:val="1"/>
        </w:rPr>
        <w:t>r</w:t>
      </w:r>
      <w:r w:rsidRPr="009A0DA6">
        <w:t>e</w:t>
      </w:r>
      <w:r w:rsidRPr="009A0DA6">
        <w:rPr>
          <w:spacing w:val="1"/>
        </w:rPr>
        <w:t>por</w:t>
      </w:r>
      <w:r w:rsidRPr="009A0DA6">
        <w:t>t,</w:t>
      </w:r>
      <w:r w:rsidRPr="009A0DA6">
        <w:rPr>
          <w:spacing w:val="46"/>
        </w:rPr>
        <w:t xml:space="preserve"> </w:t>
      </w:r>
      <w:r w:rsidRPr="009A0DA6">
        <w:rPr>
          <w:spacing w:val="1"/>
        </w:rPr>
        <w:t>o</w:t>
      </w:r>
      <w:r w:rsidRPr="009A0DA6">
        <w:t xml:space="preserve">f </w:t>
      </w:r>
      <w:r w:rsidRPr="009A0DA6">
        <w:rPr>
          <w:spacing w:val="1"/>
        </w:rPr>
        <w:t>L</w:t>
      </w:r>
      <w:r w:rsidRPr="009A0DA6">
        <w:rPr>
          <w:spacing w:val="-1"/>
        </w:rPr>
        <w:t>u</w:t>
      </w:r>
      <w:r w:rsidRPr="009A0DA6">
        <w:t>t</w:t>
      </w:r>
      <w:r w:rsidRPr="009A0DA6">
        <w:rPr>
          <w:spacing w:val="-1"/>
        </w:rPr>
        <w:t>h</w:t>
      </w:r>
      <w:r w:rsidRPr="009A0DA6">
        <w:t>e</w:t>
      </w:r>
      <w:r w:rsidRPr="009A0DA6">
        <w:rPr>
          <w:spacing w:val="1"/>
        </w:rPr>
        <w:t>r</w:t>
      </w:r>
      <w:r w:rsidRPr="009A0DA6">
        <w:rPr>
          <w:spacing w:val="3"/>
        </w:rPr>
        <w:t>a</w:t>
      </w:r>
      <w:r w:rsidRPr="009A0DA6">
        <w:t>n</w:t>
      </w:r>
      <w:r w:rsidRPr="009A0DA6">
        <w:rPr>
          <w:spacing w:val="31"/>
        </w:rPr>
        <w:t xml:space="preserve"> </w:t>
      </w:r>
      <w:r w:rsidRPr="009A0DA6">
        <w:rPr>
          <w:spacing w:val="-1"/>
        </w:rPr>
        <w:t>C</w:t>
      </w:r>
      <w:r w:rsidRPr="009A0DA6">
        <w:rPr>
          <w:spacing w:val="1"/>
        </w:rPr>
        <w:t>h</w:t>
      </w:r>
      <w:r w:rsidRPr="009A0DA6">
        <w:rPr>
          <w:spacing w:val="-1"/>
        </w:rPr>
        <w:t>u</w:t>
      </w:r>
      <w:r w:rsidRPr="009A0DA6">
        <w:rPr>
          <w:spacing w:val="1"/>
        </w:rPr>
        <w:t>r</w:t>
      </w:r>
      <w:r w:rsidRPr="009A0DA6">
        <w:rPr>
          <w:spacing w:val="3"/>
        </w:rPr>
        <w:t>c</w:t>
      </w:r>
      <w:r w:rsidRPr="009A0DA6">
        <w:t>h</w:t>
      </w:r>
      <w:r w:rsidRPr="009A0DA6">
        <w:rPr>
          <w:spacing w:val="32"/>
        </w:rPr>
        <w:t xml:space="preserve"> </w:t>
      </w:r>
      <w:r w:rsidRPr="009A0DA6">
        <w:rPr>
          <w:spacing w:val="1"/>
        </w:rPr>
        <w:t>o</w:t>
      </w:r>
      <w:r w:rsidRPr="009A0DA6">
        <w:t>f</w:t>
      </w:r>
      <w:r w:rsidRPr="009A0DA6">
        <w:rPr>
          <w:spacing w:val="35"/>
        </w:rPr>
        <w:t xml:space="preserve"> </w:t>
      </w:r>
      <w:r w:rsidRPr="009A0DA6">
        <w:t>A</w:t>
      </w:r>
      <w:r w:rsidRPr="009A0DA6">
        <w:rPr>
          <w:spacing w:val="-1"/>
        </w:rPr>
        <w:t>us</w:t>
      </w:r>
      <w:r w:rsidRPr="009A0DA6">
        <w:t>t</w:t>
      </w:r>
      <w:r w:rsidRPr="009A0DA6">
        <w:rPr>
          <w:spacing w:val="1"/>
        </w:rPr>
        <w:t>r</w:t>
      </w:r>
      <w:r w:rsidRPr="009A0DA6">
        <w:t>al</w:t>
      </w:r>
      <w:r w:rsidRPr="009A0DA6">
        <w:rPr>
          <w:spacing w:val="2"/>
        </w:rPr>
        <w:t>i</w:t>
      </w:r>
      <w:r w:rsidRPr="009A0DA6">
        <w:t>a</w:t>
      </w:r>
      <w:r w:rsidRPr="009A0DA6">
        <w:rPr>
          <w:spacing w:val="32"/>
        </w:rPr>
        <w:t xml:space="preserve"> </w:t>
      </w:r>
      <w:r w:rsidRPr="009A0DA6">
        <w:rPr>
          <w:spacing w:val="1"/>
        </w:rPr>
        <w:t>I</w:t>
      </w:r>
      <w:r w:rsidRPr="009A0DA6">
        <w:rPr>
          <w:spacing w:val="-1"/>
        </w:rPr>
        <w:t>n</w:t>
      </w:r>
      <w:r w:rsidRPr="009A0DA6">
        <w:t>c</w:t>
      </w:r>
      <w:r w:rsidRPr="009A0DA6">
        <w:rPr>
          <w:spacing w:val="1"/>
        </w:rPr>
        <w:t>orp</w:t>
      </w:r>
      <w:r w:rsidRPr="009A0DA6">
        <w:rPr>
          <w:spacing w:val="-1"/>
        </w:rPr>
        <w:t>o</w:t>
      </w:r>
      <w:r w:rsidRPr="009A0DA6">
        <w:rPr>
          <w:spacing w:val="1"/>
        </w:rPr>
        <w:t>r</w:t>
      </w:r>
      <w:r w:rsidRPr="009A0DA6">
        <w:t>ate</w:t>
      </w:r>
      <w:r w:rsidRPr="009A0DA6">
        <w:rPr>
          <w:spacing w:val="1"/>
        </w:rPr>
        <w:t>d</w:t>
      </w:r>
      <w:r w:rsidRPr="009A0DA6">
        <w:t>,</w:t>
      </w:r>
      <w:r w:rsidRPr="009A0DA6">
        <w:rPr>
          <w:spacing w:val="26"/>
        </w:rPr>
        <w:t xml:space="preserve"> </w:t>
      </w:r>
      <w:r w:rsidRPr="009A0DA6">
        <w:rPr>
          <w:spacing w:val="-2"/>
        </w:rPr>
        <w:t>w</w:t>
      </w:r>
      <w:r w:rsidRPr="009A0DA6">
        <w:rPr>
          <w:spacing w:val="-1"/>
        </w:rPr>
        <w:t>h</w:t>
      </w:r>
      <w:r w:rsidRPr="009A0DA6">
        <w:t>i</w:t>
      </w:r>
      <w:r w:rsidRPr="009A0DA6">
        <w:rPr>
          <w:spacing w:val="3"/>
        </w:rPr>
        <w:t>c</w:t>
      </w:r>
      <w:r w:rsidRPr="009A0DA6">
        <w:t>h</w:t>
      </w:r>
      <w:r w:rsidRPr="009A0DA6">
        <w:rPr>
          <w:spacing w:val="33"/>
        </w:rPr>
        <w:t xml:space="preserve"> </w:t>
      </w:r>
      <w:r w:rsidRPr="009A0DA6">
        <w:t>c</w:t>
      </w:r>
      <w:r w:rsidRPr="009A0DA6">
        <w:rPr>
          <w:spacing w:val="4"/>
        </w:rPr>
        <w:t>o</w:t>
      </w:r>
      <w:r w:rsidRPr="009A0DA6">
        <w:rPr>
          <w:spacing w:val="-4"/>
        </w:rPr>
        <w:t>m</w:t>
      </w:r>
      <w:r w:rsidRPr="009A0DA6">
        <w:rPr>
          <w:spacing w:val="1"/>
        </w:rPr>
        <w:t>pr</w:t>
      </w:r>
      <w:r w:rsidRPr="009A0DA6">
        <w:t>i</w:t>
      </w:r>
      <w:r w:rsidRPr="009A0DA6">
        <w:rPr>
          <w:spacing w:val="-1"/>
        </w:rPr>
        <w:t>s</w:t>
      </w:r>
      <w:r w:rsidRPr="009A0DA6">
        <w:t>es</w:t>
      </w:r>
      <w:r w:rsidRPr="009A0DA6">
        <w:rPr>
          <w:spacing w:val="30"/>
        </w:rPr>
        <w:t xml:space="preserve"> </w:t>
      </w:r>
      <w:r w:rsidRPr="009A0DA6">
        <w:t>t</w:t>
      </w:r>
      <w:r w:rsidRPr="009A0DA6">
        <w:rPr>
          <w:spacing w:val="-1"/>
        </w:rPr>
        <w:t>h</w:t>
      </w:r>
      <w:r w:rsidRPr="009A0DA6">
        <w:t>e</w:t>
      </w:r>
      <w:r w:rsidRPr="009A0DA6">
        <w:rPr>
          <w:spacing w:val="37"/>
        </w:rPr>
        <w:t xml:space="preserve"> </w:t>
      </w:r>
      <w:r w:rsidRPr="009A0DA6">
        <w:rPr>
          <w:spacing w:val="1"/>
        </w:rPr>
        <w:t>b</w:t>
      </w:r>
      <w:r w:rsidRPr="009A0DA6">
        <w:t>ala</w:t>
      </w:r>
      <w:r w:rsidRPr="009A0DA6">
        <w:rPr>
          <w:spacing w:val="-1"/>
        </w:rPr>
        <w:t>n</w:t>
      </w:r>
      <w:r w:rsidRPr="009A0DA6">
        <w:t>ce</w:t>
      </w:r>
      <w:r w:rsidRPr="009A0DA6">
        <w:rPr>
          <w:spacing w:val="33"/>
        </w:rPr>
        <w:t xml:space="preserve"> </w:t>
      </w:r>
      <w:r w:rsidRPr="009A0DA6">
        <w:rPr>
          <w:spacing w:val="-1"/>
        </w:rPr>
        <w:t>sh</w:t>
      </w:r>
      <w:r w:rsidRPr="009A0DA6">
        <w:t>e</w:t>
      </w:r>
      <w:r w:rsidRPr="009A0DA6">
        <w:rPr>
          <w:spacing w:val="3"/>
        </w:rPr>
        <w:t>e</w:t>
      </w:r>
      <w:r w:rsidRPr="009A0DA6">
        <w:t>t</w:t>
      </w:r>
      <w:r w:rsidRPr="009A0DA6">
        <w:rPr>
          <w:spacing w:val="35"/>
        </w:rPr>
        <w:t xml:space="preserve"> </w:t>
      </w:r>
      <w:r w:rsidRPr="009A0DA6">
        <w:t>as</w:t>
      </w:r>
      <w:r w:rsidRPr="009A0DA6">
        <w:rPr>
          <w:spacing w:val="36"/>
        </w:rPr>
        <w:t xml:space="preserve"> </w:t>
      </w:r>
      <w:r w:rsidRPr="009A0DA6">
        <w:t>at</w:t>
      </w:r>
      <w:r w:rsidRPr="009A0DA6">
        <w:rPr>
          <w:spacing w:val="35"/>
        </w:rPr>
        <w:t xml:space="preserve"> </w:t>
      </w:r>
      <w:r w:rsidRPr="009A0DA6">
        <w:rPr>
          <w:spacing w:val="1"/>
        </w:rPr>
        <w:t>3</w:t>
      </w:r>
      <w:r w:rsidRPr="009A0DA6">
        <w:t>1</w:t>
      </w:r>
      <w:r w:rsidRPr="009A0DA6">
        <w:rPr>
          <w:spacing w:val="38"/>
        </w:rPr>
        <w:t xml:space="preserve"> </w:t>
      </w:r>
      <w:r w:rsidRPr="009A0DA6">
        <w:t>Dece</w:t>
      </w:r>
      <w:r w:rsidRPr="009A0DA6">
        <w:rPr>
          <w:spacing w:val="-4"/>
        </w:rPr>
        <w:t>m</w:t>
      </w:r>
      <w:r w:rsidRPr="009A0DA6">
        <w:rPr>
          <w:spacing w:val="1"/>
        </w:rPr>
        <w:t>b</w:t>
      </w:r>
      <w:r w:rsidRPr="009A0DA6">
        <w:t xml:space="preserve">er </w:t>
      </w:r>
      <w:r w:rsidRPr="009A0DA6">
        <w:rPr>
          <w:spacing w:val="1"/>
        </w:rPr>
        <w:t>2017</w:t>
      </w:r>
      <w:r w:rsidRPr="009A0DA6">
        <w:t>,</w:t>
      </w:r>
      <w:r w:rsidRPr="009A0DA6">
        <w:rPr>
          <w:spacing w:val="5"/>
        </w:rPr>
        <w:t xml:space="preserve"> </w:t>
      </w:r>
      <w:r w:rsidRPr="009A0DA6">
        <w:t>a</w:t>
      </w:r>
      <w:r w:rsidRPr="009A0DA6">
        <w:rPr>
          <w:spacing w:val="-1"/>
        </w:rPr>
        <w:t>n</w:t>
      </w:r>
      <w:r w:rsidRPr="009A0DA6">
        <w:t>d</w:t>
      </w:r>
      <w:r w:rsidRPr="009A0DA6">
        <w:rPr>
          <w:spacing w:val="8"/>
        </w:rPr>
        <w:t xml:space="preserve"> </w:t>
      </w:r>
      <w:r w:rsidRPr="009A0DA6">
        <w:t>t</w:t>
      </w:r>
      <w:r w:rsidRPr="009A0DA6">
        <w:rPr>
          <w:spacing w:val="-1"/>
        </w:rPr>
        <w:t>h</w:t>
      </w:r>
      <w:r w:rsidRPr="009A0DA6">
        <w:t>e</w:t>
      </w:r>
      <w:r w:rsidRPr="009A0DA6">
        <w:rPr>
          <w:spacing w:val="7"/>
        </w:rPr>
        <w:t xml:space="preserve"> </w:t>
      </w:r>
      <w:r w:rsidRPr="009A0DA6">
        <w:t>c</w:t>
      </w:r>
      <w:r w:rsidRPr="009A0DA6">
        <w:rPr>
          <w:spacing w:val="1"/>
        </w:rPr>
        <w:t>o</w:t>
      </w:r>
      <w:r w:rsidRPr="009A0DA6">
        <w:rPr>
          <w:spacing w:val="-1"/>
        </w:rPr>
        <w:t>ns</w:t>
      </w:r>
      <w:r w:rsidRPr="009A0DA6">
        <w:rPr>
          <w:spacing w:val="1"/>
        </w:rPr>
        <w:t>o</w:t>
      </w:r>
      <w:r w:rsidRPr="009A0DA6">
        <w:t>li</w:t>
      </w:r>
      <w:r w:rsidRPr="009A0DA6">
        <w:rPr>
          <w:spacing w:val="1"/>
        </w:rPr>
        <w:t>d</w:t>
      </w:r>
      <w:r w:rsidRPr="009A0DA6">
        <w:t xml:space="preserve">ated </w:t>
      </w:r>
      <w:r w:rsidRPr="009A0DA6">
        <w:rPr>
          <w:spacing w:val="2"/>
        </w:rPr>
        <w:t>i</w:t>
      </w:r>
      <w:r w:rsidRPr="009A0DA6">
        <w:rPr>
          <w:spacing w:val="-1"/>
        </w:rPr>
        <w:t>n</w:t>
      </w:r>
      <w:r w:rsidRPr="009A0DA6">
        <w:t>c</w:t>
      </w:r>
      <w:r w:rsidRPr="009A0DA6">
        <w:rPr>
          <w:spacing w:val="4"/>
        </w:rPr>
        <w:t>o</w:t>
      </w:r>
      <w:r w:rsidRPr="009A0DA6">
        <w:rPr>
          <w:spacing w:val="-4"/>
        </w:rPr>
        <w:t>m</w:t>
      </w:r>
      <w:r w:rsidRPr="009A0DA6">
        <w:t>e</w:t>
      </w:r>
      <w:r w:rsidRPr="009A0DA6">
        <w:rPr>
          <w:spacing w:val="4"/>
        </w:rPr>
        <w:t xml:space="preserve"> </w:t>
      </w:r>
      <w:r w:rsidRPr="009A0DA6">
        <w:rPr>
          <w:spacing w:val="3"/>
        </w:rPr>
        <w:t>a</w:t>
      </w:r>
      <w:r w:rsidRPr="009A0DA6">
        <w:rPr>
          <w:spacing w:val="-1"/>
        </w:rPr>
        <w:t>n</w:t>
      </w:r>
      <w:r w:rsidRPr="009A0DA6">
        <w:t>d</w:t>
      </w:r>
      <w:r w:rsidRPr="009A0DA6">
        <w:rPr>
          <w:spacing w:val="8"/>
        </w:rPr>
        <w:t xml:space="preserve"> </w:t>
      </w:r>
      <w:r w:rsidRPr="009A0DA6">
        <w:rPr>
          <w:spacing w:val="3"/>
        </w:rPr>
        <w:t>e</w:t>
      </w:r>
      <w:r w:rsidRPr="009A0DA6">
        <w:rPr>
          <w:spacing w:val="-1"/>
        </w:rPr>
        <w:t>x</w:t>
      </w:r>
      <w:r w:rsidRPr="009A0DA6">
        <w:rPr>
          <w:spacing w:val="1"/>
        </w:rPr>
        <w:t>p</w:t>
      </w:r>
      <w:r w:rsidRPr="009A0DA6">
        <w:t>e</w:t>
      </w:r>
      <w:r w:rsidRPr="009A0DA6">
        <w:rPr>
          <w:spacing w:val="-1"/>
        </w:rPr>
        <w:t>n</w:t>
      </w:r>
      <w:r w:rsidRPr="009A0DA6">
        <w:rPr>
          <w:spacing w:val="1"/>
        </w:rPr>
        <w:t>d</w:t>
      </w:r>
      <w:r w:rsidRPr="009A0DA6">
        <w:t>i</w:t>
      </w:r>
      <w:r w:rsidRPr="009A0DA6">
        <w:rPr>
          <w:spacing w:val="2"/>
        </w:rPr>
        <w:t>t</w:t>
      </w:r>
      <w:r w:rsidRPr="009A0DA6">
        <w:rPr>
          <w:spacing w:val="-1"/>
        </w:rPr>
        <w:t>u</w:t>
      </w:r>
      <w:r w:rsidRPr="009A0DA6">
        <w:rPr>
          <w:spacing w:val="1"/>
        </w:rPr>
        <w:t>r</w:t>
      </w:r>
      <w:r w:rsidRPr="009A0DA6">
        <w:t xml:space="preserve">e </w:t>
      </w:r>
      <w:r w:rsidRPr="009A0DA6">
        <w:rPr>
          <w:spacing w:val="-1"/>
        </w:rPr>
        <w:t>s</w:t>
      </w:r>
      <w:r w:rsidRPr="009A0DA6">
        <w:t>tat</w:t>
      </w:r>
      <w:r w:rsidRPr="009A0DA6">
        <w:rPr>
          <w:spacing w:val="3"/>
        </w:rPr>
        <w:t>e</w:t>
      </w:r>
      <w:r w:rsidRPr="009A0DA6">
        <w:rPr>
          <w:spacing w:val="-1"/>
        </w:rPr>
        <w:t>m</w:t>
      </w:r>
      <w:r w:rsidRPr="009A0DA6">
        <w:t>e</w:t>
      </w:r>
      <w:r w:rsidRPr="009A0DA6">
        <w:rPr>
          <w:spacing w:val="1"/>
        </w:rPr>
        <w:t>n</w:t>
      </w:r>
      <w:r w:rsidRPr="009A0DA6">
        <w:t>t,</w:t>
      </w:r>
      <w:r w:rsidRPr="009A0DA6">
        <w:rPr>
          <w:spacing w:val="1"/>
        </w:rPr>
        <w:t xml:space="preserve"> </w:t>
      </w:r>
      <w:r w:rsidRPr="009A0DA6">
        <w:rPr>
          <w:spacing w:val="-1"/>
        </w:rPr>
        <w:t>s</w:t>
      </w:r>
      <w:r w:rsidRPr="009A0DA6">
        <w:t>tat</w:t>
      </w:r>
      <w:r w:rsidRPr="009A0DA6">
        <w:rPr>
          <w:spacing w:val="3"/>
        </w:rPr>
        <w:t>e</w:t>
      </w:r>
      <w:r w:rsidRPr="009A0DA6">
        <w:rPr>
          <w:spacing w:val="-1"/>
        </w:rPr>
        <w:t>m</w:t>
      </w:r>
      <w:r w:rsidRPr="009A0DA6">
        <w:rPr>
          <w:spacing w:val="3"/>
        </w:rPr>
        <w:t>e</w:t>
      </w:r>
      <w:r w:rsidRPr="009A0DA6">
        <w:rPr>
          <w:spacing w:val="-1"/>
        </w:rPr>
        <w:t>n</w:t>
      </w:r>
      <w:r w:rsidRPr="009A0DA6">
        <w:t>t</w:t>
      </w:r>
      <w:r w:rsidRPr="009A0DA6">
        <w:rPr>
          <w:spacing w:val="2"/>
        </w:rPr>
        <w:t xml:space="preserve"> </w:t>
      </w:r>
      <w:r w:rsidRPr="009A0DA6">
        <w:rPr>
          <w:spacing w:val="4"/>
        </w:rPr>
        <w:t>o</w:t>
      </w:r>
      <w:r w:rsidRPr="009A0DA6">
        <w:t>f</w:t>
      </w:r>
      <w:r w:rsidRPr="009A0DA6">
        <w:rPr>
          <w:spacing w:val="6"/>
        </w:rPr>
        <w:t xml:space="preserve"> </w:t>
      </w:r>
      <w:r w:rsidRPr="009A0DA6">
        <w:rPr>
          <w:spacing w:val="3"/>
        </w:rPr>
        <w:t>c</w:t>
      </w:r>
      <w:r w:rsidRPr="009A0DA6">
        <w:rPr>
          <w:spacing w:val="-1"/>
        </w:rPr>
        <w:t>h</w:t>
      </w:r>
      <w:r w:rsidRPr="009A0DA6">
        <w:t>a</w:t>
      </w:r>
      <w:r w:rsidRPr="009A0DA6">
        <w:rPr>
          <w:spacing w:val="1"/>
        </w:rPr>
        <w:t>n</w:t>
      </w:r>
      <w:r w:rsidRPr="009A0DA6">
        <w:rPr>
          <w:spacing w:val="-1"/>
        </w:rPr>
        <w:t>g</w:t>
      </w:r>
      <w:r w:rsidRPr="009A0DA6">
        <w:t>es</w:t>
      </w:r>
      <w:r w:rsidRPr="009A0DA6">
        <w:rPr>
          <w:spacing w:val="5"/>
        </w:rPr>
        <w:t xml:space="preserve"> </w:t>
      </w:r>
      <w:r w:rsidRPr="009A0DA6">
        <w:rPr>
          <w:spacing w:val="2"/>
        </w:rPr>
        <w:t>i</w:t>
      </w:r>
      <w:r w:rsidRPr="009A0DA6">
        <w:t>n</w:t>
      </w:r>
      <w:r w:rsidRPr="009A0DA6">
        <w:rPr>
          <w:spacing w:val="7"/>
        </w:rPr>
        <w:t xml:space="preserve"> </w:t>
      </w:r>
      <w:r w:rsidRPr="009A0DA6">
        <w:t>e</w:t>
      </w:r>
      <w:r w:rsidRPr="009A0DA6">
        <w:rPr>
          <w:spacing w:val="1"/>
        </w:rPr>
        <w:t>q</w:t>
      </w:r>
      <w:r w:rsidRPr="009A0DA6">
        <w:rPr>
          <w:spacing w:val="-1"/>
        </w:rPr>
        <w:t>u</w:t>
      </w:r>
      <w:r w:rsidRPr="009A0DA6">
        <w:rPr>
          <w:spacing w:val="2"/>
        </w:rPr>
        <w:t>it</w:t>
      </w:r>
      <w:r w:rsidRPr="009A0DA6">
        <w:t xml:space="preserve">y </w:t>
      </w:r>
      <w:r w:rsidRPr="009A0DA6">
        <w:rPr>
          <w:spacing w:val="3"/>
        </w:rPr>
        <w:t>a</w:t>
      </w:r>
      <w:r w:rsidRPr="009A0DA6">
        <w:rPr>
          <w:spacing w:val="-1"/>
        </w:rPr>
        <w:t>n</w:t>
      </w:r>
      <w:r w:rsidRPr="009A0DA6">
        <w:t xml:space="preserve">d </w:t>
      </w:r>
      <w:r w:rsidRPr="009A0DA6">
        <w:rPr>
          <w:spacing w:val="-1"/>
        </w:rPr>
        <w:t>s</w:t>
      </w:r>
      <w:r w:rsidRPr="009A0DA6">
        <w:t>tat</w:t>
      </w:r>
      <w:r w:rsidRPr="009A0DA6">
        <w:rPr>
          <w:spacing w:val="3"/>
        </w:rPr>
        <w:t>e</w:t>
      </w:r>
      <w:r w:rsidRPr="009A0DA6">
        <w:rPr>
          <w:spacing w:val="-1"/>
        </w:rPr>
        <w:t>m</w:t>
      </w:r>
      <w:r w:rsidRPr="009A0DA6">
        <w:t>e</w:t>
      </w:r>
      <w:r w:rsidRPr="009A0DA6">
        <w:rPr>
          <w:spacing w:val="-1"/>
        </w:rPr>
        <w:t>n</w:t>
      </w:r>
      <w:r w:rsidRPr="009A0DA6">
        <w:t>t</w:t>
      </w:r>
      <w:r w:rsidRPr="009A0DA6">
        <w:rPr>
          <w:spacing w:val="2"/>
        </w:rPr>
        <w:t xml:space="preserve"> </w:t>
      </w:r>
      <w:r w:rsidRPr="009A0DA6">
        <w:rPr>
          <w:spacing w:val="4"/>
        </w:rPr>
        <w:t>o</w:t>
      </w:r>
      <w:r w:rsidRPr="009A0DA6">
        <w:t>f</w:t>
      </w:r>
      <w:r w:rsidRPr="009A0DA6">
        <w:rPr>
          <w:spacing w:val="7"/>
        </w:rPr>
        <w:t xml:space="preserve"> </w:t>
      </w:r>
      <w:r w:rsidRPr="009A0DA6">
        <w:t>ca</w:t>
      </w:r>
      <w:r w:rsidRPr="009A0DA6">
        <w:rPr>
          <w:spacing w:val="2"/>
        </w:rPr>
        <w:t>s</w:t>
      </w:r>
      <w:r w:rsidRPr="009A0DA6">
        <w:t>h</w:t>
      </w:r>
      <w:r w:rsidRPr="009A0DA6">
        <w:rPr>
          <w:spacing w:val="7"/>
        </w:rPr>
        <w:t xml:space="preserve"> </w:t>
      </w:r>
      <w:r w:rsidRPr="009A0DA6">
        <w:rPr>
          <w:spacing w:val="-1"/>
        </w:rPr>
        <w:t>f</w:t>
      </w:r>
      <w:r w:rsidRPr="009A0DA6">
        <w:t>l</w:t>
      </w:r>
      <w:r w:rsidRPr="009A0DA6">
        <w:rPr>
          <w:spacing w:val="4"/>
        </w:rPr>
        <w:t>o</w:t>
      </w:r>
      <w:r w:rsidRPr="009A0DA6">
        <w:rPr>
          <w:spacing w:val="-2"/>
        </w:rPr>
        <w:t>w</w:t>
      </w:r>
      <w:r w:rsidRPr="009A0DA6">
        <w:t>s</w:t>
      </w:r>
      <w:r w:rsidRPr="009A0DA6">
        <w:rPr>
          <w:spacing w:val="7"/>
        </w:rPr>
        <w:t xml:space="preserve"> </w:t>
      </w:r>
      <w:r w:rsidRPr="009A0DA6">
        <w:rPr>
          <w:spacing w:val="-1"/>
        </w:rPr>
        <w:t>f</w:t>
      </w:r>
      <w:r w:rsidRPr="009A0DA6">
        <w:rPr>
          <w:spacing w:val="1"/>
        </w:rPr>
        <w:t>o</w:t>
      </w:r>
      <w:r w:rsidRPr="009A0DA6">
        <w:t>r</w:t>
      </w:r>
      <w:r w:rsidRPr="009A0DA6">
        <w:rPr>
          <w:spacing w:val="8"/>
        </w:rPr>
        <w:t xml:space="preserve"> </w:t>
      </w:r>
      <w:r w:rsidRPr="009A0DA6">
        <w:rPr>
          <w:spacing w:val="2"/>
        </w:rPr>
        <w:t>t</w:t>
      </w:r>
      <w:r w:rsidRPr="009A0DA6">
        <w:rPr>
          <w:spacing w:val="-1"/>
        </w:rPr>
        <w:t>h</w:t>
      </w:r>
      <w:r w:rsidRPr="009A0DA6">
        <w:t>e</w:t>
      </w:r>
      <w:r w:rsidRPr="009A0DA6">
        <w:rPr>
          <w:spacing w:val="10"/>
        </w:rPr>
        <w:t xml:space="preserve"> </w:t>
      </w:r>
      <w:r w:rsidRPr="009A0DA6">
        <w:rPr>
          <w:spacing w:val="-4"/>
        </w:rPr>
        <w:t>y</w:t>
      </w:r>
      <w:r w:rsidRPr="009A0DA6">
        <w:t>ear</w:t>
      </w:r>
      <w:r w:rsidRPr="009A0DA6">
        <w:rPr>
          <w:spacing w:val="7"/>
        </w:rPr>
        <w:t xml:space="preserve"> </w:t>
      </w:r>
      <w:r w:rsidRPr="009A0DA6">
        <w:rPr>
          <w:spacing w:val="2"/>
        </w:rPr>
        <w:t>t</w:t>
      </w:r>
      <w:r w:rsidRPr="009A0DA6">
        <w:rPr>
          <w:spacing w:val="-1"/>
        </w:rPr>
        <w:t>h</w:t>
      </w:r>
      <w:r w:rsidRPr="009A0DA6">
        <w:rPr>
          <w:spacing w:val="3"/>
        </w:rPr>
        <w:t>e</w:t>
      </w:r>
      <w:r w:rsidRPr="009A0DA6">
        <w:t>n</w:t>
      </w:r>
      <w:r w:rsidRPr="009A0DA6">
        <w:rPr>
          <w:spacing w:val="5"/>
        </w:rPr>
        <w:t xml:space="preserve"> </w:t>
      </w:r>
      <w:r w:rsidRPr="009A0DA6">
        <w:rPr>
          <w:spacing w:val="3"/>
        </w:rPr>
        <w:t>e</w:t>
      </w:r>
      <w:r w:rsidRPr="009A0DA6">
        <w:rPr>
          <w:spacing w:val="-1"/>
        </w:rPr>
        <w:t>n</w:t>
      </w:r>
      <w:r w:rsidRPr="009A0DA6">
        <w:rPr>
          <w:spacing w:val="1"/>
        </w:rPr>
        <w:t>d</w:t>
      </w:r>
      <w:r w:rsidRPr="009A0DA6">
        <w:t>e</w:t>
      </w:r>
      <w:r w:rsidRPr="009A0DA6">
        <w:rPr>
          <w:spacing w:val="1"/>
        </w:rPr>
        <w:t>d</w:t>
      </w:r>
      <w:r w:rsidRPr="009A0DA6">
        <w:t>,</w:t>
      </w:r>
      <w:r w:rsidRPr="009A0DA6">
        <w:rPr>
          <w:spacing w:val="5"/>
        </w:rPr>
        <w:t xml:space="preserve"> </w:t>
      </w:r>
      <w:r w:rsidRPr="009A0DA6">
        <w:t>a</w:t>
      </w:r>
      <w:r w:rsidRPr="009A0DA6">
        <w:rPr>
          <w:spacing w:val="9"/>
        </w:rPr>
        <w:t xml:space="preserve"> </w:t>
      </w:r>
      <w:r w:rsidRPr="009A0DA6">
        <w:rPr>
          <w:spacing w:val="-1"/>
        </w:rPr>
        <w:t>s</w:t>
      </w:r>
      <w:r w:rsidRPr="009A0DA6">
        <w:rPr>
          <w:spacing w:val="1"/>
        </w:rPr>
        <w:t>um</w:t>
      </w:r>
      <w:r w:rsidRPr="009A0DA6">
        <w:rPr>
          <w:spacing w:val="-1"/>
        </w:rPr>
        <w:t>m</w:t>
      </w:r>
      <w:r w:rsidRPr="009A0DA6">
        <w:rPr>
          <w:spacing w:val="3"/>
        </w:rPr>
        <w:t>a</w:t>
      </w:r>
      <w:r w:rsidRPr="009A0DA6">
        <w:rPr>
          <w:spacing w:val="1"/>
        </w:rPr>
        <w:t>r</w:t>
      </w:r>
      <w:r w:rsidRPr="009A0DA6">
        <w:t>y</w:t>
      </w:r>
      <w:r w:rsidRPr="009A0DA6">
        <w:rPr>
          <w:spacing w:val="1"/>
        </w:rPr>
        <w:t xml:space="preserve"> o</w:t>
      </w:r>
      <w:r w:rsidRPr="009A0DA6">
        <w:t>f</w:t>
      </w:r>
      <w:r w:rsidRPr="009A0DA6">
        <w:rPr>
          <w:spacing w:val="9"/>
        </w:rPr>
        <w:t xml:space="preserve"> </w:t>
      </w:r>
      <w:r w:rsidRPr="009A0DA6">
        <w:rPr>
          <w:spacing w:val="-1"/>
        </w:rPr>
        <w:t>s</w:t>
      </w:r>
      <w:r w:rsidRPr="009A0DA6">
        <w:t>i</w:t>
      </w:r>
      <w:r w:rsidRPr="009A0DA6">
        <w:rPr>
          <w:spacing w:val="1"/>
        </w:rPr>
        <w:t>g</w:t>
      </w:r>
      <w:r w:rsidRPr="009A0DA6">
        <w:rPr>
          <w:spacing w:val="-1"/>
        </w:rPr>
        <w:t>n</w:t>
      </w:r>
      <w:r w:rsidRPr="009A0DA6">
        <w:rPr>
          <w:spacing w:val="2"/>
        </w:rPr>
        <w:t>i</w:t>
      </w:r>
      <w:r w:rsidRPr="009A0DA6">
        <w:rPr>
          <w:spacing w:val="-1"/>
        </w:rPr>
        <w:t>f</w:t>
      </w:r>
      <w:r w:rsidRPr="009A0DA6">
        <w:t>ic</w:t>
      </w:r>
      <w:r w:rsidRPr="009A0DA6">
        <w:rPr>
          <w:spacing w:val="3"/>
        </w:rPr>
        <w:t>a</w:t>
      </w:r>
      <w:r w:rsidRPr="009A0DA6">
        <w:rPr>
          <w:spacing w:val="-1"/>
        </w:rPr>
        <w:t>n</w:t>
      </w:r>
      <w:r w:rsidRPr="009A0DA6">
        <w:t>t</w:t>
      </w:r>
      <w:r w:rsidRPr="009A0DA6">
        <w:rPr>
          <w:spacing w:val="1"/>
        </w:rPr>
        <w:t xml:space="preserve"> </w:t>
      </w:r>
      <w:r w:rsidRPr="009A0DA6">
        <w:t>acc</w:t>
      </w:r>
      <w:r w:rsidRPr="009A0DA6">
        <w:rPr>
          <w:spacing w:val="1"/>
        </w:rPr>
        <w:t>ou</w:t>
      </w:r>
      <w:r w:rsidRPr="009A0DA6">
        <w:rPr>
          <w:spacing w:val="-1"/>
        </w:rPr>
        <w:t>n</w:t>
      </w:r>
      <w:r w:rsidRPr="009A0DA6">
        <w:t>t</w:t>
      </w:r>
      <w:r w:rsidRPr="009A0DA6">
        <w:rPr>
          <w:spacing w:val="2"/>
        </w:rPr>
        <w:t>i</w:t>
      </w:r>
      <w:r w:rsidRPr="009A0DA6">
        <w:rPr>
          <w:spacing w:val="1"/>
        </w:rPr>
        <w:t>n</w:t>
      </w:r>
      <w:r w:rsidRPr="009A0DA6">
        <w:t xml:space="preserve">g </w:t>
      </w:r>
      <w:r w:rsidRPr="009A0DA6">
        <w:rPr>
          <w:spacing w:val="1"/>
        </w:rPr>
        <w:t>po</w:t>
      </w:r>
      <w:r w:rsidRPr="009A0DA6">
        <w:t>licie</w:t>
      </w:r>
      <w:r w:rsidRPr="009A0DA6">
        <w:rPr>
          <w:spacing w:val="-1"/>
        </w:rPr>
        <w:t>s</w:t>
      </w:r>
      <w:r w:rsidRPr="009A0DA6">
        <w:t>,</w:t>
      </w:r>
      <w:r w:rsidRPr="009A0DA6">
        <w:rPr>
          <w:spacing w:val="4"/>
        </w:rPr>
        <w:t xml:space="preserve"> </w:t>
      </w:r>
      <w:r w:rsidRPr="009A0DA6">
        <w:rPr>
          <w:spacing w:val="1"/>
        </w:rPr>
        <w:t>o</w:t>
      </w:r>
      <w:r w:rsidRPr="009A0DA6">
        <w:t>t</w:t>
      </w:r>
      <w:r w:rsidRPr="009A0DA6">
        <w:rPr>
          <w:spacing w:val="-1"/>
        </w:rPr>
        <w:t>h</w:t>
      </w:r>
      <w:r w:rsidRPr="009A0DA6">
        <w:t>er e</w:t>
      </w:r>
      <w:r w:rsidRPr="009A0DA6">
        <w:rPr>
          <w:spacing w:val="-1"/>
        </w:rPr>
        <w:t>x</w:t>
      </w:r>
      <w:r w:rsidRPr="009A0DA6">
        <w:rPr>
          <w:spacing w:val="1"/>
        </w:rPr>
        <w:t>p</w:t>
      </w:r>
      <w:r w:rsidRPr="009A0DA6">
        <w:t>la</w:t>
      </w:r>
      <w:r w:rsidRPr="009A0DA6">
        <w:rPr>
          <w:spacing w:val="-1"/>
        </w:rPr>
        <w:t>n</w:t>
      </w:r>
      <w:r w:rsidRPr="009A0DA6">
        <w:t>at</w:t>
      </w:r>
      <w:r w:rsidRPr="009A0DA6">
        <w:rPr>
          <w:spacing w:val="1"/>
        </w:rPr>
        <w:t>o</w:t>
      </w:r>
      <w:r w:rsidRPr="009A0DA6">
        <w:rPr>
          <w:spacing w:val="3"/>
        </w:rPr>
        <w:t>r</w:t>
      </w:r>
      <w:r w:rsidRPr="009A0DA6">
        <w:t>y</w:t>
      </w:r>
      <w:r w:rsidRPr="009A0DA6">
        <w:rPr>
          <w:spacing w:val="-10"/>
        </w:rPr>
        <w:t xml:space="preserve"> </w:t>
      </w:r>
      <w:r w:rsidRPr="009A0DA6">
        <w:rPr>
          <w:spacing w:val="-1"/>
        </w:rPr>
        <w:t>n</w:t>
      </w:r>
      <w:r w:rsidRPr="009A0DA6">
        <w:rPr>
          <w:spacing w:val="1"/>
        </w:rPr>
        <w:t>o</w:t>
      </w:r>
      <w:r w:rsidRPr="009A0DA6">
        <w:t>tes</w:t>
      </w:r>
      <w:r w:rsidRPr="009A0DA6">
        <w:rPr>
          <w:spacing w:val="-4"/>
        </w:rPr>
        <w:t xml:space="preserve"> </w:t>
      </w:r>
      <w:r w:rsidRPr="009A0DA6">
        <w:rPr>
          <w:spacing w:val="3"/>
        </w:rPr>
        <w:t>a</w:t>
      </w:r>
      <w:r w:rsidRPr="009A0DA6">
        <w:rPr>
          <w:spacing w:val="-1"/>
        </w:rPr>
        <w:t>n</w:t>
      </w:r>
      <w:r w:rsidRPr="009A0DA6">
        <w:t>d</w:t>
      </w:r>
      <w:r w:rsidRPr="009A0DA6">
        <w:rPr>
          <w:spacing w:val="-1"/>
        </w:rPr>
        <w:t xml:space="preserve"> </w:t>
      </w:r>
      <w:r w:rsidRPr="009A0DA6">
        <w:t>t</w:t>
      </w:r>
      <w:r w:rsidRPr="009A0DA6">
        <w:rPr>
          <w:spacing w:val="-1"/>
        </w:rPr>
        <w:t>h</w:t>
      </w:r>
      <w:r w:rsidRPr="009A0DA6">
        <w:t>e</w:t>
      </w:r>
      <w:r w:rsidRPr="009A0DA6">
        <w:rPr>
          <w:spacing w:val="-1"/>
        </w:rPr>
        <w:t xml:space="preserve"> s</w:t>
      </w:r>
      <w:r w:rsidRPr="009A0DA6">
        <w:t>t</w:t>
      </w:r>
      <w:r w:rsidRPr="009A0DA6">
        <w:rPr>
          <w:spacing w:val="3"/>
        </w:rPr>
        <w:t>a</w:t>
      </w:r>
      <w:r w:rsidRPr="009A0DA6">
        <w:rPr>
          <w:spacing w:val="2"/>
        </w:rPr>
        <w:t>t</w:t>
      </w:r>
      <w:r w:rsidRPr="009A0DA6">
        <w:rPr>
          <w:spacing w:val="3"/>
        </w:rPr>
        <w:t>e</w:t>
      </w:r>
      <w:r w:rsidRPr="009A0DA6">
        <w:rPr>
          <w:spacing w:val="-4"/>
        </w:rPr>
        <w:t>m</w:t>
      </w:r>
      <w:r w:rsidRPr="009A0DA6">
        <w:t>e</w:t>
      </w:r>
      <w:r w:rsidRPr="009A0DA6">
        <w:rPr>
          <w:spacing w:val="1"/>
        </w:rPr>
        <w:t>n</w:t>
      </w:r>
      <w:r w:rsidRPr="009A0DA6">
        <w:t>t</w:t>
      </w:r>
      <w:r w:rsidRPr="009A0DA6">
        <w:rPr>
          <w:spacing w:val="-8"/>
        </w:rPr>
        <w:t xml:space="preserve"> </w:t>
      </w:r>
      <w:r w:rsidRPr="009A0DA6">
        <w:rPr>
          <w:spacing w:val="4"/>
        </w:rPr>
        <w:t>b</w:t>
      </w:r>
      <w:r w:rsidRPr="009A0DA6">
        <w:t>y</w:t>
      </w:r>
      <w:r w:rsidRPr="009A0DA6">
        <w:rPr>
          <w:spacing w:val="-5"/>
        </w:rPr>
        <w:t xml:space="preserve"> </w:t>
      </w:r>
      <w:r w:rsidRPr="009A0DA6">
        <w:t>t</w:t>
      </w:r>
      <w:r w:rsidRPr="009A0DA6">
        <w:rPr>
          <w:spacing w:val="-1"/>
        </w:rPr>
        <w:t>h</w:t>
      </w:r>
      <w:r w:rsidRPr="009A0DA6">
        <w:t>e</w:t>
      </w:r>
      <w:r w:rsidRPr="009A0DA6">
        <w:rPr>
          <w:spacing w:val="-1"/>
        </w:rPr>
        <w:t xml:space="preserve"> </w:t>
      </w:r>
      <w:r w:rsidRPr="009A0DA6">
        <w:t>G</w:t>
      </w:r>
      <w:r w:rsidRPr="009A0DA6">
        <w:rPr>
          <w:spacing w:val="3"/>
        </w:rPr>
        <w:t>e</w:t>
      </w:r>
      <w:r w:rsidRPr="009A0DA6">
        <w:rPr>
          <w:spacing w:val="-1"/>
        </w:rPr>
        <w:t>n</w:t>
      </w:r>
      <w:r w:rsidRPr="009A0DA6">
        <w:t>e</w:t>
      </w:r>
      <w:r w:rsidRPr="009A0DA6">
        <w:rPr>
          <w:spacing w:val="1"/>
        </w:rPr>
        <w:t>r</w:t>
      </w:r>
      <w:r w:rsidRPr="009A0DA6">
        <w:t>al</w:t>
      </w:r>
      <w:r w:rsidRPr="009A0DA6">
        <w:rPr>
          <w:spacing w:val="-6"/>
        </w:rPr>
        <w:t xml:space="preserve"> </w:t>
      </w:r>
      <w:r w:rsidRPr="009A0DA6">
        <w:rPr>
          <w:spacing w:val="2"/>
        </w:rPr>
        <w:t>C</w:t>
      </w:r>
      <w:r w:rsidRPr="009A0DA6">
        <w:rPr>
          <w:spacing w:val="1"/>
        </w:rPr>
        <w:t>h</w:t>
      </w:r>
      <w:r w:rsidRPr="009A0DA6">
        <w:rPr>
          <w:spacing w:val="-1"/>
        </w:rPr>
        <w:t>u</w:t>
      </w:r>
      <w:r w:rsidRPr="009A0DA6">
        <w:rPr>
          <w:spacing w:val="1"/>
        </w:rPr>
        <w:t>r</w:t>
      </w:r>
      <w:r w:rsidRPr="009A0DA6">
        <w:t>ch</w:t>
      </w:r>
      <w:r w:rsidRPr="009A0DA6">
        <w:rPr>
          <w:spacing w:val="-4"/>
        </w:rPr>
        <w:t xml:space="preserve"> </w:t>
      </w:r>
      <w:r w:rsidRPr="009A0DA6">
        <w:rPr>
          <w:spacing w:val="-1"/>
        </w:rPr>
        <w:t>C</w:t>
      </w:r>
      <w:r w:rsidRPr="009A0DA6">
        <w:rPr>
          <w:spacing w:val="1"/>
        </w:rPr>
        <w:t>ou</w:t>
      </w:r>
      <w:r w:rsidRPr="009A0DA6">
        <w:rPr>
          <w:spacing w:val="-1"/>
        </w:rPr>
        <w:t>n</w:t>
      </w:r>
      <w:r w:rsidRPr="009A0DA6">
        <w:t>cil.</w:t>
      </w:r>
    </w:p>
    <w:p w14:paraId="3F0AFFA4" w14:textId="77777777" w:rsidR="00BA4592" w:rsidRPr="009A0DA6" w:rsidRDefault="00BA4592" w:rsidP="00B81951">
      <w:pPr>
        <w:pStyle w:val="NoSpacing"/>
      </w:pPr>
      <w:r w:rsidRPr="009A0DA6">
        <w:rPr>
          <w:rFonts w:eastAsia="Times New Roman"/>
          <w:spacing w:val="1"/>
        </w:rPr>
        <w:lastRenderedPageBreak/>
        <w:t>I</w:t>
      </w:r>
      <w:r w:rsidRPr="009A0DA6">
        <w:rPr>
          <w:rFonts w:eastAsia="Times New Roman"/>
        </w:rPr>
        <w:t>n</w:t>
      </w:r>
      <w:r w:rsidRPr="009A0DA6">
        <w:rPr>
          <w:rFonts w:eastAsia="Times New Roman"/>
          <w:spacing w:val="9"/>
        </w:rPr>
        <w:t xml:space="preserve"> </w:t>
      </w:r>
      <w:r w:rsidRPr="009A0DA6">
        <w:rPr>
          <w:rFonts w:eastAsia="Times New Roman"/>
          <w:spacing w:val="-1"/>
        </w:rPr>
        <w:t>m</w:t>
      </w:r>
      <w:r w:rsidRPr="009A0DA6">
        <w:rPr>
          <w:rFonts w:eastAsia="Times New Roman"/>
        </w:rPr>
        <w:t>y</w:t>
      </w:r>
      <w:r w:rsidRPr="009A0DA6">
        <w:rPr>
          <w:rFonts w:eastAsia="Times New Roman"/>
          <w:spacing w:val="3"/>
        </w:rPr>
        <w:t xml:space="preserve"> </w:t>
      </w:r>
      <w:r w:rsidRPr="009A0DA6">
        <w:rPr>
          <w:rFonts w:eastAsia="Times New Roman"/>
          <w:spacing w:val="1"/>
        </w:rPr>
        <w:t>op</w:t>
      </w:r>
      <w:r w:rsidRPr="009A0DA6">
        <w:rPr>
          <w:rFonts w:eastAsia="Times New Roman"/>
        </w:rPr>
        <w:t>i</w:t>
      </w:r>
      <w:r w:rsidRPr="009A0DA6">
        <w:rPr>
          <w:rFonts w:eastAsia="Times New Roman"/>
          <w:spacing w:val="-1"/>
        </w:rPr>
        <w:t>n</w:t>
      </w:r>
      <w:r w:rsidRPr="009A0DA6">
        <w:rPr>
          <w:rFonts w:eastAsia="Times New Roman"/>
        </w:rPr>
        <w:t>i</w:t>
      </w:r>
      <w:r w:rsidRPr="009A0DA6">
        <w:rPr>
          <w:rFonts w:eastAsia="Times New Roman"/>
          <w:spacing w:val="4"/>
        </w:rPr>
        <w:t>o</w:t>
      </w:r>
      <w:r w:rsidRPr="009A0DA6">
        <w:rPr>
          <w:rFonts w:eastAsia="Times New Roman"/>
        </w:rPr>
        <w:t>n</w:t>
      </w:r>
      <w:r w:rsidRPr="009A0DA6">
        <w:rPr>
          <w:rFonts w:eastAsia="Times New Roman"/>
          <w:spacing w:val="1"/>
        </w:rPr>
        <w:t xml:space="preserve"> </w:t>
      </w:r>
      <w:r w:rsidRPr="009A0DA6">
        <w:rPr>
          <w:rFonts w:eastAsia="Times New Roman"/>
        </w:rPr>
        <w:t>t</w:t>
      </w:r>
      <w:r w:rsidRPr="009A0DA6">
        <w:rPr>
          <w:rFonts w:eastAsia="Times New Roman"/>
          <w:spacing w:val="-1"/>
        </w:rPr>
        <w:t>h</w:t>
      </w:r>
      <w:r w:rsidRPr="009A0DA6">
        <w:rPr>
          <w:rFonts w:eastAsia="Times New Roman"/>
        </w:rPr>
        <w:t>e</w:t>
      </w:r>
      <w:r w:rsidRPr="009A0DA6">
        <w:rPr>
          <w:rFonts w:eastAsia="Times New Roman"/>
          <w:spacing w:val="7"/>
        </w:rPr>
        <w:t xml:space="preserve"> </w:t>
      </w:r>
      <w:r w:rsidRPr="009A0DA6">
        <w:rPr>
          <w:rFonts w:eastAsia="Times New Roman"/>
          <w:spacing w:val="1"/>
        </w:rPr>
        <w:t>f</w:t>
      </w:r>
      <w:r w:rsidRPr="009A0DA6">
        <w:rPr>
          <w:rFonts w:eastAsia="Times New Roman"/>
        </w:rPr>
        <w:t>i</w:t>
      </w:r>
      <w:r w:rsidRPr="009A0DA6">
        <w:rPr>
          <w:rFonts w:eastAsia="Times New Roman"/>
          <w:spacing w:val="-1"/>
        </w:rPr>
        <w:t>n</w:t>
      </w:r>
      <w:r w:rsidRPr="009A0DA6">
        <w:rPr>
          <w:rFonts w:eastAsia="Times New Roman"/>
          <w:spacing w:val="3"/>
        </w:rPr>
        <w:t>a</w:t>
      </w:r>
      <w:r w:rsidRPr="009A0DA6">
        <w:rPr>
          <w:rFonts w:eastAsia="Times New Roman"/>
          <w:spacing w:val="-1"/>
        </w:rPr>
        <w:t>n</w:t>
      </w:r>
      <w:r w:rsidRPr="009A0DA6">
        <w:rPr>
          <w:rFonts w:eastAsia="Times New Roman"/>
        </w:rPr>
        <w:t>cial</w:t>
      </w:r>
      <w:r w:rsidRPr="009A0DA6">
        <w:rPr>
          <w:rFonts w:eastAsia="Times New Roman"/>
          <w:spacing w:val="1"/>
        </w:rPr>
        <w:t xml:space="preserve"> </w:t>
      </w:r>
      <w:r w:rsidRPr="009A0DA6">
        <w:rPr>
          <w:rFonts w:eastAsia="Times New Roman"/>
          <w:spacing w:val="3"/>
        </w:rPr>
        <w:t>r</w:t>
      </w:r>
      <w:r w:rsidRPr="009A0DA6">
        <w:rPr>
          <w:rFonts w:eastAsia="Times New Roman"/>
        </w:rPr>
        <w:t>e</w:t>
      </w:r>
      <w:r w:rsidRPr="009A0DA6">
        <w:rPr>
          <w:rFonts w:eastAsia="Times New Roman"/>
          <w:spacing w:val="1"/>
        </w:rPr>
        <w:t>por</w:t>
      </w:r>
      <w:r w:rsidRPr="009A0DA6">
        <w:rPr>
          <w:rFonts w:eastAsia="Times New Roman"/>
        </w:rPr>
        <w:t>t</w:t>
      </w:r>
      <w:r w:rsidRPr="009A0DA6">
        <w:rPr>
          <w:rFonts w:eastAsia="Times New Roman"/>
          <w:spacing w:val="1"/>
        </w:rPr>
        <w:t xml:space="preserve"> o</w:t>
      </w:r>
      <w:r w:rsidRPr="009A0DA6">
        <w:rPr>
          <w:rFonts w:eastAsia="Times New Roman"/>
        </w:rPr>
        <w:t>f</w:t>
      </w:r>
      <w:r w:rsidRPr="009A0DA6">
        <w:rPr>
          <w:rFonts w:eastAsia="Times New Roman"/>
          <w:spacing w:val="6"/>
        </w:rPr>
        <w:t xml:space="preserve"> </w:t>
      </w:r>
      <w:r w:rsidRPr="009A0DA6">
        <w:rPr>
          <w:rFonts w:eastAsia="Times New Roman"/>
        </w:rPr>
        <w:t>t</w:t>
      </w:r>
      <w:r w:rsidRPr="009A0DA6">
        <w:rPr>
          <w:rFonts w:eastAsia="Times New Roman"/>
          <w:spacing w:val="-1"/>
        </w:rPr>
        <w:t>h</w:t>
      </w:r>
      <w:r w:rsidRPr="009A0DA6">
        <w:rPr>
          <w:rFonts w:eastAsia="Times New Roman"/>
        </w:rPr>
        <w:t>e</w:t>
      </w:r>
      <w:r w:rsidRPr="009A0DA6">
        <w:rPr>
          <w:rFonts w:eastAsia="Times New Roman"/>
          <w:spacing w:val="7"/>
        </w:rPr>
        <w:t xml:space="preserve"> </w:t>
      </w:r>
      <w:r w:rsidRPr="009A0DA6">
        <w:rPr>
          <w:rFonts w:eastAsia="Times New Roman"/>
          <w:spacing w:val="1"/>
        </w:rPr>
        <w:t>L</w:t>
      </w:r>
      <w:r w:rsidRPr="009A0DA6">
        <w:rPr>
          <w:rFonts w:eastAsia="Times New Roman"/>
          <w:spacing w:val="-1"/>
        </w:rPr>
        <w:t>u</w:t>
      </w:r>
      <w:r w:rsidRPr="009A0DA6">
        <w:rPr>
          <w:rFonts w:eastAsia="Times New Roman"/>
          <w:spacing w:val="2"/>
        </w:rPr>
        <w:t>t</w:t>
      </w:r>
      <w:r w:rsidRPr="009A0DA6">
        <w:rPr>
          <w:rFonts w:eastAsia="Times New Roman"/>
          <w:spacing w:val="-1"/>
        </w:rPr>
        <w:t>h</w:t>
      </w:r>
      <w:r w:rsidRPr="009A0DA6">
        <w:rPr>
          <w:rFonts w:eastAsia="Times New Roman"/>
        </w:rPr>
        <w:t>e</w:t>
      </w:r>
      <w:r w:rsidRPr="009A0DA6">
        <w:rPr>
          <w:rFonts w:eastAsia="Times New Roman"/>
          <w:spacing w:val="1"/>
        </w:rPr>
        <w:t>r</w:t>
      </w:r>
      <w:r w:rsidRPr="009A0DA6">
        <w:rPr>
          <w:rFonts w:eastAsia="Times New Roman"/>
        </w:rPr>
        <w:t xml:space="preserve">an </w:t>
      </w:r>
      <w:r w:rsidRPr="009A0DA6">
        <w:rPr>
          <w:rFonts w:eastAsia="Times New Roman"/>
          <w:spacing w:val="2"/>
        </w:rPr>
        <w:t>C</w:t>
      </w:r>
      <w:r w:rsidRPr="009A0DA6">
        <w:rPr>
          <w:rFonts w:eastAsia="Times New Roman"/>
          <w:spacing w:val="1"/>
        </w:rPr>
        <w:t>h</w:t>
      </w:r>
      <w:r w:rsidRPr="009A0DA6">
        <w:rPr>
          <w:rFonts w:eastAsia="Times New Roman"/>
          <w:spacing w:val="-1"/>
        </w:rPr>
        <w:t>u</w:t>
      </w:r>
      <w:r w:rsidRPr="009A0DA6">
        <w:rPr>
          <w:rFonts w:eastAsia="Times New Roman"/>
          <w:spacing w:val="1"/>
        </w:rPr>
        <w:t>r</w:t>
      </w:r>
      <w:r w:rsidRPr="009A0DA6">
        <w:rPr>
          <w:rFonts w:eastAsia="Times New Roman"/>
        </w:rPr>
        <w:t>ch</w:t>
      </w:r>
      <w:r w:rsidRPr="009A0DA6">
        <w:rPr>
          <w:rFonts w:eastAsia="Times New Roman"/>
          <w:spacing w:val="4"/>
        </w:rPr>
        <w:t xml:space="preserve"> </w:t>
      </w:r>
      <w:r w:rsidRPr="009A0DA6">
        <w:rPr>
          <w:rFonts w:eastAsia="Times New Roman"/>
          <w:spacing w:val="1"/>
        </w:rPr>
        <w:t>o</w:t>
      </w:r>
      <w:r w:rsidRPr="009A0DA6">
        <w:rPr>
          <w:rFonts w:eastAsia="Times New Roman"/>
        </w:rPr>
        <w:t>f</w:t>
      </w:r>
      <w:r w:rsidRPr="009A0DA6">
        <w:rPr>
          <w:rFonts w:eastAsia="Times New Roman"/>
          <w:spacing w:val="6"/>
        </w:rPr>
        <w:t xml:space="preserve"> </w:t>
      </w:r>
      <w:r w:rsidRPr="009A0DA6">
        <w:rPr>
          <w:rFonts w:eastAsia="Times New Roman"/>
          <w:spacing w:val="-2"/>
        </w:rPr>
        <w:t>A</w:t>
      </w:r>
      <w:r w:rsidRPr="009A0DA6">
        <w:rPr>
          <w:rFonts w:eastAsia="Times New Roman"/>
          <w:spacing w:val="1"/>
        </w:rPr>
        <w:t>u</w:t>
      </w:r>
      <w:r w:rsidRPr="009A0DA6">
        <w:rPr>
          <w:rFonts w:eastAsia="Times New Roman"/>
          <w:spacing w:val="-1"/>
        </w:rPr>
        <w:t>s</w:t>
      </w:r>
      <w:r w:rsidRPr="009A0DA6">
        <w:rPr>
          <w:rFonts w:eastAsia="Times New Roman"/>
        </w:rPr>
        <w:t>t</w:t>
      </w:r>
      <w:r w:rsidRPr="009A0DA6">
        <w:rPr>
          <w:rFonts w:eastAsia="Times New Roman"/>
          <w:spacing w:val="1"/>
        </w:rPr>
        <w:t>r</w:t>
      </w:r>
      <w:r w:rsidRPr="009A0DA6">
        <w:rPr>
          <w:rFonts w:eastAsia="Times New Roman"/>
        </w:rPr>
        <w:t>alia</w:t>
      </w:r>
      <w:r w:rsidRPr="009A0DA6">
        <w:rPr>
          <w:rFonts w:eastAsia="Times New Roman"/>
          <w:spacing w:val="2"/>
        </w:rPr>
        <w:t xml:space="preserve"> </w:t>
      </w:r>
      <w:r w:rsidRPr="009A0DA6">
        <w:rPr>
          <w:rFonts w:eastAsia="Times New Roman"/>
          <w:spacing w:val="1"/>
        </w:rPr>
        <w:t>I</w:t>
      </w:r>
      <w:r w:rsidRPr="009A0DA6">
        <w:rPr>
          <w:rFonts w:eastAsia="Times New Roman"/>
          <w:spacing w:val="-1"/>
        </w:rPr>
        <w:t>n</w:t>
      </w:r>
      <w:r w:rsidRPr="009A0DA6">
        <w:rPr>
          <w:rFonts w:eastAsia="Times New Roman"/>
        </w:rPr>
        <w:t>c</w:t>
      </w:r>
      <w:r w:rsidRPr="009A0DA6">
        <w:rPr>
          <w:rFonts w:eastAsia="Times New Roman"/>
          <w:spacing w:val="1"/>
        </w:rPr>
        <w:t>orpor</w:t>
      </w:r>
      <w:r w:rsidRPr="009A0DA6">
        <w:rPr>
          <w:rFonts w:eastAsia="Times New Roman"/>
        </w:rPr>
        <w:t>ated is</w:t>
      </w:r>
      <w:r w:rsidRPr="009A0DA6">
        <w:rPr>
          <w:rFonts w:eastAsia="Times New Roman"/>
          <w:spacing w:val="7"/>
        </w:rPr>
        <w:t xml:space="preserve"> </w:t>
      </w:r>
      <w:r w:rsidRPr="009A0DA6">
        <w:rPr>
          <w:rFonts w:eastAsia="Times New Roman"/>
          <w:spacing w:val="-3"/>
        </w:rPr>
        <w:t>i</w:t>
      </w:r>
      <w:r w:rsidRPr="009A0DA6">
        <w:rPr>
          <w:rFonts w:eastAsia="Times New Roman"/>
        </w:rPr>
        <w:t>n</w:t>
      </w:r>
      <w:r w:rsidRPr="009A0DA6">
        <w:rPr>
          <w:rFonts w:eastAsia="Times New Roman"/>
          <w:spacing w:val="6"/>
        </w:rPr>
        <w:t xml:space="preserve"> </w:t>
      </w:r>
      <w:r w:rsidRPr="009A0DA6">
        <w:rPr>
          <w:rFonts w:eastAsia="Times New Roman"/>
        </w:rPr>
        <w:t>acc</w:t>
      </w:r>
      <w:r w:rsidRPr="009A0DA6">
        <w:rPr>
          <w:rFonts w:eastAsia="Times New Roman"/>
          <w:spacing w:val="1"/>
        </w:rPr>
        <w:t>ord</w:t>
      </w:r>
      <w:r w:rsidRPr="009A0DA6">
        <w:rPr>
          <w:rFonts w:eastAsia="Times New Roman"/>
        </w:rPr>
        <w:t>a</w:t>
      </w:r>
      <w:r w:rsidRPr="009A0DA6">
        <w:rPr>
          <w:rFonts w:eastAsia="Times New Roman"/>
          <w:spacing w:val="-1"/>
        </w:rPr>
        <w:t>n</w:t>
      </w:r>
      <w:r w:rsidRPr="009A0DA6">
        <w:rPr>
          <w:rFonts w:eastAsia="Times New Roman"/>
        </w:rPr>
        <w:t xml:space="preserve">ce </w:t>
      </w:r>
      <w:r w:rsidRPr="009A0DA6">
        <w:rPr>
          <w:rFonts w:eastAsia="Times New Roman"/>
          <w:spacing w:val="-2"/>
        </w:rPr>
        <w:t>w</w:t>
      </w:r>
      <w:r w:rsidRPr="009A0DA6">
        <w:rPr>
          <w:rFonts w:eastAsia="Times New Roman"/>
        </w:rPr>
        <w:t>i</w:t>
      </w:r>
      <w:r w:rsidRPr="009A0DA6">
        <w:rPr>
          <w:rFonts w:eastAsia="Times New Roman"/>
          <w:spacing w:val="2"/>
        </w:rPr>
        <w:t>t</w:t>
      </w:r>
      <w:r w:rsidRPr="009A0DA6">
        <w:rPr>
          <w:rFonts w:eastAsia="Times New Roman"/>
        </w:rPr>
        <w:t>h</w:t>
      </w:r>
      <w:r w:rsidRPr="009A0DA6">
        <w:rPr>
          <w:rFonts w:eastAsia="Times New Roman"/>
          <w:spacing w:val="-5"/>
        </w:rPr>
        <w:t xml:space="preserve"> </w:t>
      </w:r>
      <w:r w:rsidRPr="009A0DA6">
        <w:rPr>
          <w:rFonts w:eastAsia="Times New Roman"/>
        </w:rPr>
        <w:t>D</w:t>
      </w:r>
      <w:r w:rsidRPr="009A0DA6">
        <w:rPr>
          <w:rFonts w:eastAsia="Times New Roman"/>
          <w:spacing w:val="2"/>
        </w:rPr>
        <w:t>i</w:t>
      </w:r>
      <w:r w:rsidRPr="009A0DA6">
        <w:rPr>
          <w:rFonts w:eastAsia="Times New Roman"/>
          <w:spacing w:val="-1"/>
        </w:rPr>
        <w:t>v</w:t>
      </w:r>
      <w:r w:rsidRPr="009A0DA6">
        <w:rPr>
          <w:rFonts w:eastAsia="Times New Roman"/>
          <w:spacing w:val="2"/>
        </w:rPr>
        <w:t>i</w:t>
      </w:r>
      <w:r w:rsidRPr="009A0DA6">
        <w:rPr>
          <w:rFonts w:eastAsia="Times New Roman"/>
          <w:spacing w:val="-1"/>
        </w:rPr>
        <w:t>s</w:t>
      </w:r>
      <w:r w:rsidRPr="009A0DA6">
        <w:rPr>
          <w:rFonts w:eastAsia="Times New Roman"/>
        </w:rPr>
        <w:t>i</w:t>
      </w:r>
      <w:r w:rsidRPr="009A0DA6">
        <w:rPr>
          <w:rFonts w:eastAsia="Times New Roman"/>
          <w:spacing w:val="1"/>
        </w:rPr>
        <w:t>o</w:t>
      </w:r>
      <w:r w:rsidRPr="009A0DA6">
        <w:rPr>
          <w:rFonts w:eastAsia="Times New Roman"/>
        </w:rPr>
        <w:t>n</w:t>
      </w:r>
      <w:r w:rsidRPr="009A0DA6">
        <w:rPr>
          <w:rFonts w:eastAsia="Times New Roman"/>
          <w:spacing w:val="-8"/>
        </w:rPr>
        <w:t xml:space="preserve"> </w:t>
      </w:r>
      <w:r w:rsidRPr="009A0DA6">
        <w:rPr>
          <w:rFonts w:eastAsia="Times New Roman"/>
          <w:spacing w:val="1"/>
        </w:rPr>
        <w:t>6</w:t>
      </w:r>
      <w:r w:rsidRPr="009A0DA6">
        <w:rPr>
          <w:rFonts w:eastAsia="Times New Roman"/>
        </w:rPr>
        <w:t xml:space="preserve">0 </w:t>
      </w:r>
      <w:r w:rsidRPr="009A0DA6">
        <w:rPr>
          <w:rFonts w:eastAsia="Times New Roman"/>
          <w:spacing w:val="1"/>
        </w:rPr>
        <w:t>o</w:t>
      </w:r>
      <w:r w:rsidRPr="009A0DA6">
        <w:rPr>
          <w:rFonts w:eastAsia="Times New Roman"/>
        </w:rPr>
        <w:t>f</w:t>
      </w:r>
      <w:r w:rsidRPr="009A0DA6">
        <w:rPr>
          <w:rFonts w:eastAsia="Times New Roman"/>
          <w:spacing w:val="-3"/>
        </w:rPr>
        <w:t xml:space="preserve"> </w:t>
      </w:r>
      <w:r w:rsidRPr="009A0DA6">
        <w:rPr>
          <w:rFonts w:eastAsia="Times New Roman"/>
        </w:rPr>
        <w:t>t</w:t>
      </w:r>
      <w:r w:rsidRPr="009A0DA6">
        <w:rPr>
          <w:rFonts w:eastAsia="Times New Roman"/>
          <w:spacing w:val="-1"/>
        </w:rPr>
        <w:t>h</w:t>
      </w:r>
      <w:r w:rsidRPr="009A0DA6">
        <w:rPr>
          <w:rFonts w:eastAsia="Times New Roman"/>
        </w:rPr>
        <w:t>e</w:t>
      </w:r>
      <w:r w:rsidRPr="009A0DA6">
        <w:rPr>
          <w:rFonts w:eastAsia="Times New Roman"/>
          <w:spacing w:val="-1"/>
        </w:rPr>
        <w:t xml:space="preserve"> </w:t>
      </w:r>
      <w:r w:rsidRPr="009A0DA6">
        <w:rPr>
          <w:rFonts w:eastAsia="Times New Roman"/>
          <w:spacing w:val="1"/>
        </w:rPr>
        <w:t>Au</w:t>
      </w:r>
      <w:r w:rsidRPr="009A0DA6">
        <w:rPr>
          <w:rFonts w:eastAsia="Times New Roman"/>
          <w:spacing w:val="-1"/>
        </w:rPr>
        <w:t>s</w:t>
      </w:r>
      <w:r w:rsidRPr="009A0DA6">
        <w:rPr>
          <w:rFonts w:eastAsia="Times New Roman"/>
          <w:spacing w:val="2"/>
        </w:rPr>
        <w:t>t</w:t>
      </w:r>
      <w:r w:rsidRPr="009A0DA6">
        <w:rPr>
          <w:rFonts w:eastAsia="Times New Roman"/>
          <w:spacing w:val="-1"/>
        </w:rPr>
        <w:t>r</w:t>
      </w:r>
      <w:r w:rsidRPr="009A0DA6">
        <w:rPr>
          <w:rFonts w:eastAsia="Times New Roman"/>
          <w:spacing w:val="1"/>
        </w:rPr>
        <w:t>a</w:t>
      </w:r>
      <w:r w:rsidRPr="009A0DA6">
        <w:rPr>
          <w:rFonts w:eastAsia="Times New Roman"/>
        </w:rPr>
        <w:t>li</w:t>
      </w:r>
      <w:r w:rsidRPr="009A0DA6">
        <w:rPr>
          <w:rFonts w:eastAsia="Times New Roman"/>
          <w:spacing w:val="1"/>
        </w:rPr>
        <w:t>a</w:t>
      </w:r>
      <w:r w:rsidRPr="009A0DA6">
        <w:rPr>
          <w:rFonts w:eastAsia="Times New Roman"/>
        </w:rPr>
        <w:t>n</w:t>
      </w:r>
      <w:r w:rsidRPr="009A0DA6">
        <w:rPr>
          <w:rFonts w:eastAsia="Times New Roman"/>
          <w:spacing w:val="6"/>
        </w:rPr>
        <w:t xml:space="preserve"> </w:t>
      </w:r>
      <w:r w:rsidRPr="009A0DA6">
        <w:rPr>
          <w:rStyle w:val="NoSpacingChar"/>
        </w:rPr>
        <w:t>Charities and Not-for-Profits  Commission Act</w:t>
      </w:r>
      <w:r w:rsidRPr="009A0DA6">
        <w:rPr>
          <w:rFonts w:eastAsia="Times New Roman"/>
          <w:spacing w:val="-8"/>
          <w:w w:val="95"/>
        </w:rPr>
        <w:t xml:space="preserve"> </w:t>
      </w:r>
      <w:r w:rsidRPr="009A0DA6">
        <w:rPr>
          <w:rFonts w:eastAsia="Times New Roman"/>
          <w:spacing w:val="1"/>
        </w:rPr>
        <w:t>2012</w:t>
      </w:r>
      <w:r w:rsidRPr="009A0DA6">
        <w:rPr>
          <w:rFonts w:eastAsia="Times New Roman"/>
        </w:rPr>
        <w:t>,</w:t>
      </w:r>
      <w:r w:rsidRPr="009A0DA6">
        <w:rPr>
          <w:rFonts w:eastAsia="Times New Roman"/>
          <w:spacing w:val="-3"/>
        </w:rPr>
        <w:t xml:space="preserve"> </w:t>
      </w:r>
      <w:r w:rsidRPr="009A0DA6">
        <w:rPr>
          <w:rFonts w:eastAsia="Times New Roman"/>
        </w:rPr>
        <w:t>i</w:t>
      </w:r>
      <w:r w:rsidRPr="009A0DA6">
        <w:rPr>
          <w:rFonts w:eastAsia="Times New Roman"/>
          <w:spacing w:val="-4"/>
        </w:rPr>
        <w:t>n</w:t>
      </w:r>
      <w:r w:rsidRPr="009A0DA6">
        <w:rPr>
          <w:rFonts w:eastAsia="Times New Roman"/>
        </w:rPr>
        <w:t>cl</w:t>
      </w:r>
      <w:r w:rsidRPr="009A0DA6">
        <w:rPr>
          <w:rFonts w:eastAsia="Times New Roman"/>
          <w:spacing w:val="-1"/>
        </w:rPr>
        <w:t>u</w:t>
      </w:r>
      <w:r w:rsidRPr="009A0DA6">
        <w:rPr>
          <w:rFonts w:eastAsia="Times New Roman"/>
          <w:spacing w:val="1"/>
        </w:rPr>
        <w:t>d</w:t>
      </w:r>
      <w:r w:rsidRPr="009A0DA6">
        <w:rPr>
          <w:rFonts w:eastAsia="Times New Roman"/>
        </w:rPr>
        <w:t>i</w:t>
      </w:r>
      <w:r w:rsidRPr="009A0DA6">
        <w:rPr>
          <w:rFonts w:eastAsia="Times New Roman"/>
          <w:spacing w:val="1"/>
        </w:rPr>
        <w:t>n</w:t>
      </w:r>
      <w:r w:rsidRPr="009A0DA6">
        <w:rPr>
          <w:rFonts w:eastAsia="Times New Roman"/>
          <w:spacing w:val="-1"/>
        </w:rPr>
        <w:t>g</w:t>
      </w:r>
      <w:r w:rsidRPr="009A0DA6">
        <w:rPr>
          <w:rFonts w:eastAsia="Times New Roman"/>
        </w:rPr>
        <w:t>:</w:t>
      </w:r>
    </w:p>
    <w:p w14:paraId="23FE0062" w14:textId="77777777" w:rsidR="00BA4592" w:rsidRPr="009A0DA6" w:rsidRDefault="00BA4592" w:rsidP="00F55252">
      <w:pPr>
        <w:pStyle w:val="ListParagraph"/>
        <w:widowControl w:val="0"/>
        <w:numPr>
          <w:ilvl w:val="0"/>
          <w:numId w:val="274"/>
        </w:numPr>
        <w:spacing w:before="120" w:after="120" w:line="240" w:lineRule="auto"/>
        <w:ind w:left="567" w:right="-107" w:hanging="567"/>
        <w:rPr>
          <w:rFonts w:ascii="Cambria" w:eastAsia="Times New Roman" w:hAnsi="Cambria" w:cstheme="minorHAnsi"/>
        </w:rPr>
      </w:pPr>
      <w:r w:rsidRPr="009A0DA6">
        <w:rPr>
          <w:rFonts w:ascii="Cambria" w:eastAsia="Times New Roman" w:hAnsi="Cambria" w:cstheme="minorHAnsi"/>
          <w:spacing w:val="-1"/>
        </w:rPr>
        <w:t>g</w:t>
      </w:r>
      <w:r w:rsidRPr="009A0DA6">
        <w:rPr>
          <w:rFonts w:ascii="Cambria" w:eastAsia="Times New Roman" w:hAnsi="Cambria" w:cstheme="minorHAnsi"/>
        </w:rPr>
        <w:t>i</w:t>
      </w:r>
      <w:r w:rsidRPr="009A0DA6">
        <w:rPr>
          <w:rFonts w:ascii="Cambria" w:eastAsia="Times New Roman" w:hAnsi="Cambria" w:cstheme="minorHAnsi"/>
          <w:spacing w:val="1"/>
        </w:rPr>
        <w:t>v</w:t>
      </w:r>
      <w:r w:rsidRPr="009A0DA6">
        <w:rPr>
          <w:rFonts w:ascii="Cambria" w:eastAsia="Times New Roman" w:hAnsi="Cambria" w:cstheme="minorHAnsi"/>
        </w:rPr>
        <w:t>i</w:t>
      </w:r>
      <w:r w:rsidRPr="009A0DA6">
        <w:rPr>
          <w:rFonts w:ascii="Cambria" w:eastAsia="Times New Roman" w:hAnsi="Cambria" w:cstheme="minorHAnsi"/>
          <w:spacing w:val="1"/>
        </w:rPr>
        <w:t>n</w:t>
      </w:r>
      <w:r w:rsidRPr="009A0DA6">
        <w:rPr>
          <w:rFonts w:ascii="Cambria" w:eastAsia="Times New Roman" w:hAnsi="Cambria" w:cstheme="minorHAnsi"/>
        </w:rPr>
        <w:t>g</w:t>
      </w:r>
      <w:r w:rsidRPr="009A0DA6">
        <w:rPr>
          <w:rFonts w:ascii="Cambria" w:eastAsia="Times New Roman" w:hAnsi="Cambria" w:cstheme="minorHAnsi"/>
          <w:spacing w:val="4"/>
        </w:rPr>
        <w:t xml:space="preserve"> </w:t>
      </w:r>
      <w:r w:rsidRPr="009A0DA6">
        <w:rPr>
          <w:rFonts w:ascii="Cambria" w:eastAsia="Times New Roman" w:hAnsi="Cambria" w:cstheme="minorHAnsi"/>
        </w:rPr>
        <w:t>a</w:t>
      </w:r>
      <w:r w:rsidRPr="009A0DA6">
        <w:rPr>
          <w:rFonts w:ascii="Cambria" w:eastAsia="Times New Roman" w:hAnsi="Cambria" w:cstheme="minorHAnsi"/>
          <w:spacing w:val="9"/>
        </w:rPr>
        <w:t xml:space="preserve"> </w:t>
      </w:r>
      <w:r w:rsidRPr="009A0DA6">
        <w:rPr>
          <w:rFonts w:ascii="Cambria" w:eastAsia="Times New Roman" w:hAnsi="Cambria" w:cstheme="minorHAnsi"/>
        </w:rPr>
        <w:t>t</w:t>
      </w:r>
      <w:r w:rsidRPr="009A0DA6">
        <w:rPr>
          <w:rFonts w:ascii="Cambria" w:eastAsia="Times New Roman" w:hAnsi="Cambria" w:cstheme="minorHAnsi"/>
          <w:spacing w:val="1"/>
        </w:rPr>
        <w:t>r</w:t>
      </w:r>
      <w:r w:rsidRPr="009A0DA6">
        <w:rPr>
          <w:rFonts w:ascii="Cambria" w:eastAsia="Times New Roman" w:hAnsi="Cambria" w:cstheme="minorHAnsi"/>
          <w:spacing w:val="-1"/>
        </w:rPr>
        <w:t>u</w:t>
      </w:r>
      <w:r w:rsidRPr="009A0DA6">
        <w:rPr>
          <w:rFonts w:ascii="Cambria" w:eastAsia="Times New Roman" w:hAnsi="Cambria" w:cstheme="minorHAnsi"/>
        </w:rPr>
        <w:t>e</w:t>
      </w:r>
      <w:r w:rsidRPr="009A0DA6">
        <w:rPr>
          <w:rFonts w:ascii="Cambria" w:eastAsia="Times New Roman" w:hAnsi="Cambria" w:cstheme="minorHAnsi"/>
          <w:spacing w:val="7"/>
        </w:rPr>
        <w:t xml:space="preserve"> </w:t>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spacing w:val="8"/>
        </w:rPr>
        <w:t xml:space="preserve"> </w:t>
      </w:r>
      <w:r w:rsidRPr="009A0DA6">
        <w:rPr>
          <w:rFonts w:ascii="Cambria" w:eastAsia="Times New Roman" w:hAnsi="Cambria" w:cstheme="minorHAnsi"/>
          <w:spacing w:val="-1"/>
        </w:rPr>
        <w:t>f</w:t>
      </w:r>
      <w:r w:rsidRPr="009A0DA6">
        <w:rPr>
          <w:rFonts w:ascii="Cambria" w:eastAsia="Times New Roman" w:hAnsi="Cambria" w:cstheme="minorHAnsi"/>
        </w:rPr>
        <w:t>air</w:t>
      </w:r>
      <w:r w:rsidRPr="009A0DA6">
        <w:rPr>
          <w:rFonts w:ascii="Cambria" w:eastAsia="Times New Roman" w:hAnsi="Cambria" w:cstheme="minorHAnsi"/>
          <w:spacing w:val="8"/>
        </w:rPr>
        <w:t xml:space="preserve"> </w:t>
      </w:r>
      <w:r w:rsidRPr="009A0DA6">
        <w:rPr>
          <w:rFonts w:ascii="Cambria" w:eastAsia="Times New Roman" w:hAnsi="Cambria" w:cstheme="minorHAnsi"/>
          <w:spacing w:val="1"/>
        </w:rPr>
        <w:t>v</w:t>
      </w:r>
      <w:r w:rsidRPr="009A0DA6">
        <w:rPr>
          <w:rFonts w:ascii="Cambria" w:eastAsia="Times New Roman" w:hAnsi="Cambria" w:cstheme="minorHAnsi"/>
        </w:rPr>
        <w:t>i</w:t>
      </w:r>
      <w:r w:rsidRPr="009A0DA6">
        <w:rPr>
          <w:rFonts w:ascii="Cambria" w:eastAsia="Times New Roman" w:hAnsi="Cambria" w:cstheme="minorHAnsi"/>
          <w:spacing w:val="3"/>
        </w:rPr>
        <w:t>e</w:t>
      </w:r>
      <w:r w:rsidRPr="009A0DA6">
        <w:rPr>
          <w:rFonts w:ascii="Cambria" w:eastAsia="Times New Roman" w:hAnsi="Cambria" w:cstheme="minorHAnsi"/>
        </w:rPr>
        <w:t>w</w:t>
      </w:r>
      <w:r w:rsidRPr="009A0DA6">
        <w:rPr>
          <w:rFonts w:ascii="Cambria" w:eastAsia="Times New Roman" w:hAnsi="Cambria" w:cstheme="minorHAnsi"/>
          <w:spacing w:val="1"/>
        </w:rPr>
        <w:t xml:space="preserve"> </w:t>
      </w:r>
      <w:r w:rsidRPr="009A0DA6">
        <w:rPr>
          <w:rFonts w:ascii="Cambria" w:eastAsia="Times New Roman" w:hAnsi="Cambria" w:cstheme="minorHAnsi"/>
          <w:spacing w:val="4"/>
        </w:rPr>
        <w:t>o</w:t>
      </w:r>
      <w:r w:rsidRPr="009A0DA6">
        <w:rPr>
          <w:rFonts w:ascii="Cambria" w:eastAsia="Times New Roman" w:hAnsi="Cambria" w:cstheme="minorHAnsi"/>
        </w:rPr>
        <w:t>f</w:t>
      </w:r>
      <w:r w:rsidRPr="009A0DA6">
        <w:rPr>
          <w:rFonts w:ascii="Cambria" w:eastAsia="Times New Roman" w:hAnsi="Cambria" w:cstheme="minorHAnsi"/>
          <w:spacing w:val="9"/>
        </w:rPr>
        <w:t xml:space="preserve"> </w:t>
      </w:r>
      <w:r w:rsidRPr="009A0DA6">
        <w:rPr>
          <w:rFonts w:ascii="Cambria" w:eastAsia="Times New Roman" w:hAnsi="Cambria" w:cstheme="minorHAnsi"/>
          <w:spacing w:val="1"/>
        </w:rPr>
        <w:t>L</w:t>
      </w:r>
      <w:r w:rsidRPr="009A0DA6">
        <w:rPr>
          <w:rFonts w:ascii="Cambria" w:eastAsia="Times New Roman" w:hAnsi="Cambria" w:cstheme="minorHAnsi"/>
          <w:spacing w:val="-1"/>
        </w:rPr>
        <w:t>u</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1"/>
        </w:rPr>
        <w:t>r</w:t>
      </w:r>
      <w:r w:rsidRPr="009A0DA6">
        <w:rPr>
          <w:rFonts w:ascii="Cambria" w:eastAsia="Times New Roman" w:hAnsi="Cambria" w:cstheme="minorHAnsi"/>
          <w:spacing w:val="3"/>
        </w:rPr>
        <w:t>a</w:t>
      </w:r>
      <w:r w:rsidRPr="009A0DA6">
        <w:rPr>
          <w:rFonts w:ascii="Cambria" w:eastAsia="Times New Roman" w:hAnsi="Cambria" w:cstheme="minorHAnsi"/>
        </w:rPr>
        <w:t>n</w:t>
      </w:r>
      <w:r w:rsidRPr="009A0DA6">
        <w:rPr>
          <w:rFonts w:ascii="Cambria" w:eastAsia="Times New Roman" w:hAnsi="Cambria" w:cstheme="minorHAnsi"/>
          <w:spacing w:val="2"/>
        </w:rPr>
        <w:t xml:space="preserve"> C</w:t>
      </w:r>
      <w:r w:rsidRPr="009A0DA6">
        <w:rPr>
          <w:rFonts w:ascii="Cambria" w:eastAsia="Times New Roman" w:hAnsi="Cambria" w:cstheme="minorHAnsi"/>
          <w:spacing w:val="-1"/>
        </w:rPr>
        <w:t>hu</w:t>
      </w:r>
      <w:r w:rsidRPr="009A0DA6">
        <w:rPr>
          <w:rFonts w:ascii="Cambria" w:eastAsia="Times New Roman" w:hAnsi="Cambria" w:cstheme="minorHAnsi"/>
          <w:spacing w:val="1"/>
        </w:rPr>
        <w:t>r</w:t>
      </w:r>
      <w:r w:rsidRPr="009A0DA6">
        <w:rPr>
          <w:rFonts w:ascii="Cambria" w:eastAsia="Times New Roman" w:hAnsi="Cambria" w:cstheme="minorHAnsi"/>
          <w:spacing w:val="3"/>
        </w:rPr>
        <w:t>c</w:t>
      </w:r>
      <w:r w:rsidRPr="009A0DA6">
        <w:rPr>
          <w:rFonts w:ascii="Cambria" w:eastAsia="Times New Roman" w:hAnsi="Cambria" w:cstheme="minorHAnsi"/>
        </w:rPr>
        <w:t>h</w:t>
      </w:r>
      <w:r w:rsidRPr="009A0DA6">
        <w:rPr>
          <w:rFonts w:ascii="Cambria" w:eastAsia="Times New Roman" w:hAnsi="Cambria" w:cstheme="minorHAnsi"/>
          <w:spacing w:val="3"/>
        </w:rPr>
        <w:t xml:space="preserve"> </w:t>
      </w:r>
      <w:r w:rsidRPr="009A0DA6">
        <w:rPr>
          <w:rFonts w:ascii="Cambria" w:eastAsia="Times New Roman" w:hAnsi="Cambria" w:cstheme="minorHAnsi"/>
          <w:spacing w:val="1"/>
        </w:rPr>
        <w:t>o</w:t>
      </w:r>
      <w:r w:rsidRPr="009A0DA6">
        <w:rPr>
          <w:rFonts w:ascii="Cambria" w:eastAsia="Times New Roman" w:hAnsi="Cambria" w:cstheme="minorHAnsi"/>
        </w:rPr>
        <w:t>f</w:t>
      </w:r>
      <w:r w:rsidRPr="009A0DA6">
        <w:rPr>
          <w:rFonts w:ascii="Cambria" w:eastAsia="Times New Roman" w:hAnsi="Cambria" w:cstheme="minorHAnsi"/>
          <w:spacing w:val="9"/>
        </w:rPr>
        <w:t xml:space="preserve"> </w:t>
      </w:r>
      <w:r w:rsidRPr="009A0DA6">
        <w:rPr>
          <w:rFonts w:ascii="Cambria" w:eastAsia="Times New Roman" w:hAnsi="Cambria" w:cstheme="minorHAnsi"/>
          <w:spacing w:val="-2"/>
        </w:rPr>
        <w:t>A</w:t>
      </w:r>
      <w:r w:rsidRPr="009A0DA6">
        <w:rPr>
          <w:rFonts w:ascii="Cambria" w:eastAsia="Times New Roman" w:hAnsi="Cambria" w:cstheme="minorHAnsi"/>
          <w:spacing w:val="1"/>
        </w:rPr>
        <w:t>u</w:t>
      </w:r>
      <w:r w:rsidRPr="009A0DA6">
        <w:rPr>
          <w:rFonts w:ascii="Cambria" w:eastAsia="Times New Roman" w:hAnsi="Cambria" w:cstheme="minorHAnsi"/>
          <w:spacing w:val="-1"/>
        </w:rPr>
        <w:t>s</w:t>
      </w:r>
      <w:r w:rsidRPr="009A0DA6">
        <w:rPr>
          <w:rFonts w:ascii="Cambria" w:eastAsia="Times New Roman" w:hAnsi="Cambria" w:cstheme="minorHAnsi"/>
        </w:rPr>
        <w:t>t</w:t>
      </w:r>
      <w:r w:rsidRPr="009A0DA6">
        <w:rPr>
          <w:rFonts w:ascii="Cambria" w:eastAsia="Times New Roman" w:hAnsi="Cambria" w:cstheme="minorHAnsi"/>
          <w:spacing w:val="1"/>
        </w:rPr>
        <w:t>r</w:t>
      </w:r>
      <w:r w:rsidRPr="009A0DA6">
        <w:rPr>
          <w:rFonts w:ascii="Cambria" w:eastAsia="Times New Roman" w:hAnsi="Cambria" w:cstheme="minorHAnsi"/>
        </w:rPr>
        <w:t>alia</w:t>
      </w:r>
      <w:r w:rsidRPr="009A0DA6">
        <w:rPr>
          <w:rFonts w:ascii="Cambria" w:eastAsia="Times New Roman" w:hAnsi="Cambria" w:cstheme="minorHAnsi"/>
          <w:spacing w:val="6"/>
        </w:rPr>
        <w:t xml:space="preserve"> </w:t>
      </w:r>
      <w:r w:rsidRPr="009A0DA6">
        <w:rPr>
          <w:rFonts w:ascii="Cambria" w:eastAsia="Times New Roman" w:hAnsi="Cambria" w:cstheme="minorHAnsi"/>
          <w:spacing w:val="1"/>
        </w:rPr>
        <w:t>I</w:t>
      </w:r>
      <w:r w:rsidRPr="009A0DA6">
        <w:rPr>
          <w:rFonts w:ascii="Cambria" w:eastAsia="Times New Roman" w:hAnsi="Cambria" w:cstheme="minorHAnsi"/>
          <w:spacing w:val="-1"/>
        </w:rPr>
        <w:t>n</w:t>
      </w:r>
      <w:r w:rsidRPr="009A0DA6">
        <w:rPr>
          <w:rFonts w:ascii="Cambria" w:eastAsia="Times New Roman" w:hAnsi="Cambria" w:cstheme="minorHAnsi"/>
        </w:rPr>
        <w:t>c</w:t>
      </w:r>
      <w:r w:rsidRPr="009A0DA6">
        <w:rPr>
          <w:rFonts w:ascii="Cambria" w:eastAsia="Times New Roman" w:hAnsi="Cambria" w:cstheme="minorHAnsi"/>
          <w:spacing w:val="1"/>
        </w:rPr>
        <w:t>orpor</w:t>
      </w:r>
      <w:r w:rsidRPr="009A0DA6">
        <w:rPr>
          <w:rFonts w:ascii="Cambria" w:eastAsia="Times New Roman" w:hAnsi="Cambria" w:cstheme="minorHAnsi"/>
        </w:rPr>
        <w:t>ate</w:t>
      </w:r>
      <w:r w:rsidRPr="009A0DA6">
        <w:rPr>
          <w:rFonts w:ascii="Cambria" w:eastAsia="Times New Roman" w:hAnsi="Cambria" w:cstheme="minorHAnsi"/>
          <w:spacing w:val="1"/>
        </w:rPr>
        <w:t>d</w:t>
      </w:r>
      <w:r w:rsidRPr="009A0DA6">
        <w:rPr>
          <w:rFonts w:ascii="Cambria" w:eastAsia="Times New Roman" w:hAnsi="Cambria" w:cstheme="minorHAnsi"/>
          <w:spacing w:val="-1"/>
        </w:rPr>
        <w:t>’</w:t>
      </w:r>
      <w:r w:rsidRPr="009A0DA6">
        <w:rPr>
          <w:rFonts w:ascii="Cambria" w:eastAsia="Times New Roman" w:hAnsi="Cambria" w:cstheme="minorHAnsi"/>
        </w:rPr>
        <w:t>s</w:t>
      </w:r>
      <w:r w:rsidRPr="009A0DA6">
        <w:rPr>
          <w:rFonts w:ascii="Cambria" w:eastAsia="Times New Roman" w:hAnsi="Cambria" w:cstheme="minorHAnsi"/>
          <w:spacing w:val="-3"/>
        </w:rPr>
        <w:t xml:space="preserve"> </w:t>
      </w:r>
      <w:r w:rsidRPr="009A0DA6">
        <w:rPr>
          <w:rFonts w:ascii="Cambria" w:eastAsia="Times New Roman" w:hAnsi="Cambria" w:cstheme="minorHAnsi"/>
          <w:spacing w:val="-1"/>
        </w:rPr>
        <w:t>f</w:t>
      </w:r>
      <w:r w:rsidRPr="009A0DA6">
        <w:rPr>
          <w:rFonts w:ascii="Cambria" w:eastAsia="Times New Roman" w:hAnsi="Cambria" w:cstheme="minorHAnsi"/>
        </w:rPr>
        <w:t>i</w:t>
      </w:r>
      <w:r w:rsidRPr="009A0DA6">
        <w:rPr>
          <w:rFonts w:ascii="Cambria" w:eastAsia="Times New Roman" w:hAnsi="Cambria" w:cstheme="minorHAnsi"/>
          <w:spacing w:val="-1"/>
        </w:rPr>
        <w:t>n</w:t>
      </w:r>
      <w:r w:rsidRPr="009A0DA6">
        <w:rPr>
          <w:rFonts w:ascii="Cambria" w:eastAsia="Times New Roman" w:hAnsi="Cambria" w:cstheme="minorHAnsi"/>
          <w:spacing w:val="3"/>
        </w:rPr>
        <w:t>a</w:t>
      </w:r>
      <w:r w:rsidRPr="009A0DA6">
        <w:rPr>
          <w:rFonts w:ascii="Cambria" w:eastAsia="Times New Roman" w:hAnsi="Cambria" w:cstheme="minorHAnsi"/>
          <w:spacing w:val="-1"/>
        </w:rPr>
        <w:t>n</w:t>
      </w:r>
      <w:r w:rsidRPr="009A0DA6">
        <w:rPr>
          <w:rFonts w:ascii="Cambria" w:eastAsia="Times New Roman" w:hAnsi="Cambria" w:cstheme="minorHAnsi"/>
        </w:rPr>
        <w:t>cial</w:t>
      </w:r>
      <w:r w:rsidRPr="009A0DA6">
        <w:rPr>
          <w:rFonts w:ascii="Cambria" w:eastAsia="Times New Roman" w:hAnsi="Cambria" w:cstheme="minorHAnsi"/>
          <w:spacing w:val="3"/>
        </w:rPr>
        <w:t xml:space="preserve"> </w:t>
      </w:r>
      <w:r w:rsidRPr="009A0DA6">
        <w:rPr>
          <w:rFonts w:ascii="Cambria" w:eastAsia="Times New Roman" w:hAnsi="Cambria" w:cstheme="minorHAnsi"/>
          <w:spacing w:val="1"/>
        </w:rPr>
        <w:t>po</w:t>
      </w:r>
      <w:r w:rsidRPr="009A0DA6">
        <w:rPr>
          <w:rFonts w:ascii="Cambria" w:eastAsia="Times New Roman" w:hAnsi="Cambria" w:cstheme="minorHAnsi"/>
          <w:spacing w:val="-1"/>
        </w:rPr>
        <w:t>s</w:t>
      </w:r>
      <w:r w:rsidRPr="009A0DA6">
        <w:rPr>
          <w:rFonts w:ascii="Cambria" w:eastAsia="Times New Roman" w:hAnsi="Cambria" w:cstheme="minorHAnsi"/>
        </w:rPr>
        <w:t>it</w:t>
      </w:r>
      <w:r w:rsidRPr="009A0DA6">
        <w:rPr>
          <w:rFonts w:ascii="Cambria" w:eastAsia="Times New Roman" w:hAnsi="Cambria" w:cstheme="minorHAnsi"/>
          <w:spacing w:val="2"/>
        </w:rPr>
        <w:t>i</w:t>
      </w:r>
      <w:r w:rsidRPr="009A0DA6">
        <w:rPr>
          <w:rFonts w:ascii="Cambria" w:eastAsia="Times New Roman" w:hAnsi="Cambria" w:cstheme="minorHAnsi"/>
          <w:spacing w:val="1"/>
        </w:rPr>
        <w:t>o</w:t>
      </w:r>
      <w:r w:rsidRPr="009A0DA6">
        <w:rPr>
          <w:rFonts w:ascii="Cambria" w:eastAsia="Times New Roman" w:hAnsi="Cambria" w:cstheme="minorHAnsi"/>
        </w:rPr>
        <w:t>n</w:t>
      </w:r>
      <w:r w:rsidRPr="009A0DA6">
        <w:rPr>
          <w:rFonts w:ascii="Cambria" w:eastAsia="Times New Roman" w:hAnsi="Cambria" w:cstheme="minorHAnsi"/>
          <w:spacing w:val="3"/>
        </w:rPr>
        <w:t xml:space="preserve"> </w:t>
      </w:r>
      <w:r w:rsidRPr="009A0DA6">
        <w:rPr>
          <w:rFonts w:ascii="Cambria" w:eastAsia="Times New Roman" w:hAnsi="Cambria" w:cstheme="minorHAnsi"/>
        </w:rPr>
        <w:t>as at</w:t>
      </w:r>
      <w:r w:rsidRPr="009A0DA6">
        <w:rPr>
          <w:rFonts w:ascii="Cambria" w:eastAsia="Times New Roman" w:hAnsi="Cambria" w:cstheme="minorHAnsi"/>
          <w:spacing w:val="6"/>
        </w:rPr>
        <w:t xml:space="preserve"> </w:t>
      </w:r>
      <w:r w:rsidRPr="009A0DA6">
        <w:rPr>
          <w:rFonts w:ascii="Cambria" w:eastAsia="Times New Roman" w:hAnsi="Cambria" w:cstheme="minorHAnsi"/>
          <w:spacing w:val="1"/>
        </w:rPr>
        <w:t>3</w:t>
      </w:r>
      <w:r w:rsidRPr="009A0DA6">
        <w:rPr>
          <w:rFonts w:ascii="Cambria" w:eastAsia="Times New Roman" w:hAnsi="Cambria" w:cstheme="minorHAnsi"/>
        </w:rPr>
        <w:t>1</w:t>
      </w:r>
      <w:r w:rsidRPr="009A0DA6">
        <w:rPr>
          <w:rFonts w:ascii="Cambria" w:eastAsia="Times New Roman" w:hAnsi="Cambria" w:cstheme="minorHAnsi"/>
          <w:spacing w:val="7"/>
        </w:rPr>
        <w:t xml:space="preserve"> </w:t>
      </w:r>
      <w:r w:rsidRPr="009A0DA6">
        <w:rPr>
          <w:rFonts w:ascii="Cambria" w:eastAsia="Times New Roman" w:hAnsi="Cambria" w:cstheme="minorHAnsi"/>
        </w:rPr>
        <w:t>Dec</w:t>
      </w:r>
      <w:r w:rsidRPr="009A0DA6">
        <w:rPr>
          <w:rFonts w:ascii="Cambria" w:eastAsia="Times New Roman" w:hAnsi="Cambria" w:cstheme="minorHAnsi"/>
          <w:spacing w:val="3"/>
        </w:rPr>
        <w:t>e</w:t>
      </w:r>
      <w:r w:rsidRPr="009A0DA6">
        <w:rPr>
          <w:rFonts w:ascii="Cambria" w:eastAsia="Times New Roman" w:hAnsi="Cambria" w:cstheme="minorHAnsi"/>
          <w:spacing w:val="-4"/>
        </w:rPr>
        <w:t>m</w:t>
      </w:r>
      <w:r w:rsidRPr="009A0DA6">
        <w:rPr>
          <w:rFonts w:ascii="Cambria" w:eastAsia="Times New Roman" w:hAnsi="Cambria" w:cstheme="minorHAnsi"/>
          <w:spacing w:val="1"/>
        </w:rPr>
        <w:t>b</w:t>
      </w:r>
      <w:r w:rsidRPr="009A0DA6">
        <w:rPr>
          <w:rFonts w:ascii="Cambria" w:eastAsia="Times New Roman" w:hAnsi="Cambria" w:cstheme="minorHAnsi"/>
        </w:rPr>
        <w:t>er</w:t>
      </w:r>
      <w:r w:rsidRPr="009A0DA6">
        <w:rPr>
          <w:rFonts w:ascii="Cambria" w:eastAsia="Times New Roman" w:hAnsi="Cambria" w:cstheme="minorHAnsi"/>
          <w:spacing w:val="1"/>
        </w:rPr>
        <w:t xml:space="preserve"> 201</w:t>
      </w:r>
      <w:r w:rsidRPr="009A0DA6">
        <w:rPr>
          <w:rFonts w:ascii="Cambria" w:eastAsia="Times New Roman" w:hAnsi="Cambria" w:cstheme="minorHAnsi"/>
        </w:rPr>
        <w:t>7</w:t>
      </w:r>
      <w:r w:rsidRPr="009A0DA6">
        <w:rPr>
          <w:rFonts w:ascii="Cambria" w:eastAsia="Times New Roman" w:hAnsi="Cambria" w:cstheme="minorHAnsi"/>
          <w:spacing w:val="5"/>
        </w:rPr>
        <w:t xml:space="preserve"> </w:t>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spacing w:val="6"/>
        </w:rPr>
        <w:t xml:space="preserve"> </w:t>
      </w:r>
      <w:r w:rsidRPr="009A0DA6">
        <w:rPr>
          <w:rFonts w:ascii="Cambria" w:eastAsia="Times New Roman" w:hAnsi="Cambria" w:cstheme="minorHAnsi"/>
          <w:spacing w:val="1"/>
        </w:rPr>
        <w:t>o</w:t>
      </w:r>
      <w:r w:rsidRPr="009A0DA6">
        <w:rPr>
          <w:rFonts w:ascii="Cambria" w:eastAsia="Times New Roman" w:hAnsi="Cambria" w:cstheme="minorHAnsi"/>
        </w:rPr>
        <w:t>f</w:t>
      </w:r>
      <w:r w:rsidRPr="009A0DA6">
        <w:rPr>
          <w:rFonts w:ascii="Cambria" w:eastAsia="Times New Roman" w:hAnsi="Cambria" w:cstheme="minorHAnsi"/>
          <w:spacing w:val="4"/>
        </w:rPr>
        <w:t xml:space="preserve"> </w:t>
      </w:r>
      <w:r w:rsidRPr="009A0DA6">
        <w:rPr>
          <w:rFonts w:ascii="Cambria" w:eastAsia="Times New Roman" w:hAnsi="Cambria" w:cstheme="minorHAnsi"/>
        </w:rPr>
        <w:t>its</w:t>
      </w:r>
      <w:r w:rsidRPr="009A0DA6">
        <w:rPr>
          <w:rFonts w:ascii="Cambria" w:eastAsia="Times New Roman" w:hAnsi="Cambria" w:cstheme="minorHAnsi"/>
          <w:spacing w:val="5"/>
        </w:rPr>
        <w:t xml:space="preserve"> </w:t>
      </w:r>
      <w:r w:rsidRPr="009A0DA6">
        <w:rPr>
          <w:rFonts w:ascii="Cambria" w:eastAsia="Times New Roman" w:hAnsi="Cambria" w:cstheme="minorHAnsi"/>
          <w:spacing w:val="1"/>
        </w:rPr>
        <w:t>p</w:t>
      </w:r>
      <w:r w:rsidRPr="009A0DA6">
        <w:rPr>
          <w:rFonts w:ascii="Cambria" w:eastAsia="Times New Roman" w:hAnsi="Cambria" w:cstheme="minorHAnsi"/>
        </w:rPr>
        <w:t>e</w:t>
      </w:r>
      <w:r w:rsidRPr="009A0DA6">
        <w:rPr>
          <w:rFonts w:ascii="Cambria" w:eastAsia="Times New Roman" w:hAnsi="Cambria" w:cstheme="minorHAnsi"/>
          <w:spacing w:val="1"/>
        </w:rPr>
        <w:t>r</w:t>
      </w:r>
      <w:r w:rsidRPr="009A0DA6">
        <w:rPr>
          <w:rFonts w:ascii="Cambria" w:eastAsia="Times New Roman" w:hAnsi="Cambria" w:cstheme="minorHAnsi"/>
          <w:spacing w:val="-1"/>
        </w:rPr>
        <w:t>f</w:t>
      </w:r>
      <w:r w:rsidRPr="009A0DA6">
        <w:rPr>
          <w:rFonts w:ascii="Cambria" w:eastAsia="Times New Roman" w:hAnsi="Cambria" w:cstheme="minorHAnsi"/>
          <w:spacing w:val="1"/>
        </w:rPr>
        <w:t>o</w:t>
      </w:r>
      <w:r w:rsidRPr="009A0DA6">
        <w:rPr>
          <w:rFonts w:ascii="Cambria" w:eastAsia="Times New Roman" w:hAnsi="Cambria" w:cstheme="minorHAnsi"/>
          <w:spacing w:val="3"/>
        </w:rPr>
        <w:t>r</w:t>
      </w:r>
      <w:r w:rsidRPr="009A0DA6">
        <w:rPr>
          <w:rFonts w:ascii="Cambria" w:eastAsia="Times New Roman" w:hAnsi="Cambria" w:cstheme="minorHAnsi"/>
          <w:spacing w:val="-4"/>
        </w:rPr>
        <w:t>m</w:t>
      </w:r>
      <w:r w:rsidRPr="009A0DA6">
        <w:rPr>
          <w:rFonts w:ascii="Cambria" w:eastAsia="Times New Roman" w:hAnsi="Cambria" w:cstheme="minorHAnsi"/>
          <w:spacing w:val="3"/>
        </w:rPr>
        <w:t>a</w:t>
      </w:r>
      <w:r w:rsidRPr="009A0DA6">
        <w:rPr>
          <w:rFonts w:ascii="Cambria" w:eastAsia="Times New Roman" w:hAnsi="Cambria" w:cstheme="minorHAnsi"/>
          <w:spacing w:val="-1"/>
        </w:rPr>
        <w:t>n</w:t>
      </w:r>
      <w:r w:rsidRPr="009A0DA6">
        <w:rPr>
          <w:rFonts w:ascii="Cambria" w:eastAsia="Times New Roman" w:hAnsi="Cambria" w:cstheme="minorHAnsi"/>
        </w:rPr>
        <w:t xml:space="preserve">ce </w:t>
      </w:r>
      <w:r w:rsidRPr="009A0DA6">
        <w:rPr>
          <w:rFonts w:ascii="Cambria" w:eastAsia="Times New Roman" w:hAnsi="Cambria" w:cstheme="minorHAnsi"/>
          <w:spacing w:val="-1"/>
        </w:rPr>
        <w:t>f</w:t>
      </w:r>
      <w:r w:rsidRPr="009A0DA6">
        <w:rPr>
          <w:rFonts w:ascii="Cambria" w:eastAsia="Times New Roman" w:hAnsi="Cambria" w:cstheme="minorHAnsi"/>
          <w:spacing w:val="1"/>
        </w:rPr>
        <w:t>o</w:t>
      </w:r>
      <w:r w:rsidRPr="009A0DA6">
        <w:rPr>
          <w:rFonts w:ascii="Cambria" w:eastAsia="Times New Roman" w:hAnsi="Cambria" w:cstheme="minorHAnsi"/>
        </w:rPr>
        <w:t>r</w:t>
      </w:r>
      <w:r w:rsidRPr="009A0DA6">
        <w:rPr>
          <w:rFonts w:ascii="Cambria" w:eastAsia="Times New Roman" w:hAnsi="Cambria" w:cstheme="minorHAnsi"/>
          <w:spacing w:val="7"/>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8"/>
        </w:rPr>
        <w:t xml:space="preserve"> </w:t>
      </w:r>
      <w:r w:rsidRPr="009A0DA6">
        <w:rPr>
          <w:rFonts w:ascii="Cambria" w:eastAsia="Times New Roman" w:hAnsi="Cambria" w:cstheme="minorHAnsi"/>
          <w:spacing w:val="-1"/>
        </w:rPr>
        <w:t>y</w:t>
      </w:r>
      <w:r w:rsidRPr="009A0DA6">
        <w:rPr>
          <w:rFonts w:ascii="Cambria" w:eastAsia="Times New Roman" w:hAnsi="Cambria" w:cstheme="minorHAnsi"/>
        </w:rPr>
        <w:t>ear</w:t>
      </w:r>
      <w:r w:rsidRPr="009A0DA6">
        <w:rPr>
          <w:rFonts w:ascii="Cambria" w:eastAsia="Times New Roman" w:hAnsi="Cambria" w:cstheme="minorHAnsi"/>
          <w:spacing w:val="6"/>
        </w:rPr>
        <w:t xml:space="preserve"> </w:t>
      </w:r>
      <w:r w:rsidRPr="009A0DA6">
        <w:rPr>
          <w:rFonts w:ascii="Cambria" w:eastAsia="Times New Roman" w:hAnsi="Cambria" w:cstheme="minorHAnsi"/>
        </w:rPr>
        <w:t>e</w:t>
      </w:r>
      <w:r w:rsidRPr="009A0DA6">
        <w:rPr>
          <w:rFonts w:ascii="Cambria" w:eastAsia="Times New Roman" w:hAnsi="Cambria" w:cstheme="minorHAnsi"/>
          <w:spacing w:val="1"/>
        </w:rPr>
        <w:t>nd</w:t>
      </w:r>
      <w:r w:rsidRPr="009A0DA6">
        <w:rPr>
          <w:rFonts w:ascii="Cambria" w:eastAsia="Times New Roman" w:hAnsi="Cambria" w:cstheme="minorHAnsi"/>
        </w:rPr>
        <w:t>ed</w:t>
      </w:r>
      <w:r w:rsidRPr="009A0DA6">
        <w:rPr>
          <w:rFonts w:ascii="Cambria" w:eastAsia="Times New Roman" w:hAnsi="Cambria" w:cstheme="minorHAnsi"/>
          <w:spacing w:val="4"/>
        </w:rPr>
        <w:t xml:space="preserve"> </w:t>
      </w:r>
      <w:r w:rsidRPr="009A0DA6">
        <w:rPr>
          <w:rFonts w:ascii="Cambria" w:eastAsia="Times New Roman" w:hAnsi="Cambria" w:cstheme="minorHAnsi"/>
          <w:spacing w:val="1"/>
        </w:rPr>
        <w:t>o</w:t>
      </w:r>
      <w:r w:rsidRPr="009A0DA6">
        <w:rPr>
          <w:rFonts w:ascii="Cambria" w:eastAsia="Times New Roman" w:hAnsi="Cambria" w:cstheme="minorHAnsi"/>
        </w:rPr>
        <w:t>n</w:t>
      </w:r>
      <w:r w:rsidRPr="009A0DA6">
        <w:rPr>
          <w:rFonts w:ascii="Cambria" w:eastAsia="Times New Roman" w:hAnsi="Cambria" w:cstheme="minorHAnsi"/>
          <w:spacing w:val="4"/>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at</w:t>
      </w:r>
      <w:r w:rsidRPr="009A0DA6">
        <w:rPr>
          <w:rFonts w:ascii="Cambria" w:eastAsia="Times New Roman" w:hAnsi="Cambria" w:cstheme="minorHAnsi"/>
          <w:spacing w:val="4"/>
        </w:rPr>
        <w:t xml:space="preserve"> </w:t>
      </w:r>
      <w:r w:rsidRPr="009A0DA6">
        <w:rPr>
          <w:rFonts w:ascii="Cambria" w:eastAsia="Times New Roman" w:hAnsi="Cambria" w:cstheme="minorHAnsi"/>
          <w:spacing w:val="1"/>
        </w:rPr>
        <w:t>d</w:t>
      </w:r>
      <w:r w:rsidRPr="009A0DA6">
        <w:rPr>
          <w:rFonts w:ascii="Cambria" w:eastAsia="Times New Roman" w:hAnsi="Cambria" w:cstheme="minorHAnsi"/>
        </w:rPr>
        <w:t>ate</w:t>
      </w:r>
      <w:r w:rsidRPr="009A0DA6">
        <w:rPr>
          <w:rFonts w:ascii="Cambria" w:eastAsia="Times New Roman" w:hAnsi="Cambria" w:cstheme="minorHAnsi"/>
          <w:spacing w:val="5"/>
        </w:rPr>
        <w:t xml:space="preserve"> </w:t>
      </w:r>
      <w:r w:rsidRPr="009A0DA6">
        <w:rPr>
          <w:rFonts w:ascii="Cambria" w:eastAsia="Times New Roman" w:hAnsi="Cambria" w:cstheme="minorHAnsi"/>
          <w:spacing w:val="2"/>
        </w:rPr>
        <w:t>i</w:t>
      </w:r>
      <w:r w:rsidRPr="009A0DA6">
        <w:rPr>
          <w:rFonts w:ascii="Cambria" w:eastAsia="Times New Roman" w:hAnsi="Cambria" w:cstheme="minorHAnsi"/>
        </w:rPr>
        <w:t>n</w:t>
      </w:r>
      <w:r w:rsidRPr="009A0DA6">
        <w:rPr>
          <w:rFonts w:ascii="Cambria" w:eastAsia="Times New Roman" w:hAnsi="Cambria" w:cstheme="minorHAnsi"/>
          <w:spacing w:val="4"/>
        </w:rPr>
        <w:t xml:space="preserve"> </w:t>
      </w:r>
      <w:r w:rsidRPr="009A0DA6">
        <w:rPr>
          <w:rFonts w:ascii="Cambria" w:eastAsia="Times New Roman" w:hAnsi="Cambria" w:cstheme="minorHAnsi"/>
        </w:rPr>
        <w:t>acc</w:t>
      </w:r>
      <w:r w:rsidRPr="009A0DA6">
        <w:rPr>
          <w:rFonts w:ascii="Cambria" w:eastAsia="Times New Roman" w:hAnsi="Cambria" w:cstheme="minorHAnsi"/>
          <w:spacing w:val="1"/>
        </w:rPr>
        <w:t>ord</w:t>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spacing w:val="3"/>
        </w:rPr>
        <w:t>c</w:t>
      </w:r>
      <w:r w:rsidRPr="009A0DA6">
        <w:rPr>
          <w:rFonts w:ascii="Cambria" w:eastAsia="Times New Roman" w:hAnsi="Cambria" w:cstheme="minorHAnsi"/>
        </w:rPr>
        <w:t>e</w:t>
      </w:r>
      <w:r w:rsidRPr="009A0DA6">
        <w:rPr>
          <w:rFonts w:ascii="Cambria" w:eastAsia="Times New Roman" w:hAnsi="Cambria" w:cstheme="minorHAnsi"/>
          <w:spacing w:val="1"/>
        </w:rPr>
        <w:t xml:space="preserve"> </w:t>
      </w:r>
      <w:r w:rsidRPr="009A0DA6">
        <w:rPr>
          <w:rFonts w:ascii="Cambria" w:eastAsia="Times New Roman" w:hAnsi="Cambria" w:cstheme="minorHAnsi"/>
          <w:spacing w:val="-5"/>
        </w:rPr>
        <w:t>w</w:t>
      </w:r>
      <w:r w:rsidRPr="009A0DA6">
        <w:rPr>
          <w:rFonts w:ascii="Cambria" w:eastAsia="Times New Roman" w:hAnsi="Cambria" w:cstheme="minorHAnsi"/>
          <w:spacing w:val="2"/>
        </w:rPr>
        <w:t>it</w:t>
      </w:r>
      <w:r w:rsidRPr="009A0DA6">
        <w:rPr>
          <w:rFonts w:ascii="Cambria" w:eastAsia="Times New Roman" w:hAnsi="Cambria" w:cstheme="minorHAnsi"/>
        </w:rPr>
        <w:t>h 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1"/>
        </w:rPr>
        <w:t xml:space="preserve"> </w:t>
      </w:r>
      <w:r w:rsidRPr="009A0DA6">
        <w:rPr>
          <w:rFonts w:ascii="Cambria" w:eastAsia="Times New Roman" w:hAnsi="Cambria" w:cstheme="minorHAnsi"/>
        </w:rPr>
        <w:t>acc</w:t>
      </w:r>
      <w:r w:rsidRPr="009A0DA6">
        <w:rPr>
          <w:rFonts w:ascii="Cambria" w:eastAsia="Times New Roman" w:hAnsi="Cambria" w:cstheme="minorHAnsi"/>
          <w:spacing w:val="1"/>
        </w:rPr>
        <w:t>ou</w:t>
      </w:r>
      <w:r w:rsidRPr="009A0DA6">
        <w:rPr>
          <w:rFonts w:ascii="Cambria" w:eastAsia="Times New Roman" w:hAnsi="Cambria" w:cstheme="minorHAnsi"/>
          <w:spacing w:val="-1"/>
        </w:rPr>
        <w:t>n</w:t>
      </w:r>
      <w:r w:rsidRPr="009A0DA6">
        <w:rPr>
          <w:rFonts w:ascii="Cambria" w:eastAsia="Times New Roman" w:hAnsi="Cambria" w:cstheme="minorHAnsi"/>
        </w:rPr>
        <w:t>t</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rPr>
        <w:t>g</w:t>
      </w:r>
      <w:r w:rsidRPr="009A0DA6">
        <w:rPr>
          <w:rFonts w:ascii="Cambria" w:eastAsia="Times New Roman" w:hAnsi="Cambria" w:cstheme="minorHAnsi"/>
          <w:spacing w:val="-10"/>
        </w:rPr>
        <w:t xml:space="preserve"> </w:t>
      </w:r>
      <w:r w:rsidRPr="009A0DA6">
        <w:rPr>
          <w:rFonts w:ascii="Cambria" w:eastAsia="Times New Roman" w:hAnsi="Cambria" w:cstheme="minorHAnsi"/>
          <w:spacing w:val="1"/>
        </w:rPr>
        <w:t>po</w:t>
      </w:r>
      <w:r w:rsidRPr="009A0DA6">
        <w:rPr>
          <w:rFonts w:ascii="Cambria" w:eastAsia="Times New Roman" w:hAnsi="Cambria" w:cstheme="minorHAnsi"/>
        </w:rPr>
        <w:t>licies</w:t>
      </w:r>
      <w:r w:rsidRPr="009A0DA6">
        <w:rPr>
          <w:rFonts w:ascii="Cambria" w:eastAsia="Times New Roman" w:hAnsi="Cambria" w:cstheme="minorHAnsi"/>
          <w:spacing w:val="-6"/>
        </w:rPr>
        <w:t xml:space="preserve"> </w:t>
      </w:r>
      <w:r w:rsidRPr="009A0DA6">
        <w:rPr>
          <w:rFonts w:ascii="Cambria" w:eastAsia="Times New Roman" w:hAnsi="Cambria" w:cstheme="minorHAnsi"/>
          <w:spacing w:val="1"/>
        </w:rPr>
        <w:t>d</w:t>
      </w:r>
      <w:r w:rsidRPr="009A0DA6">
        <w:rPr>
          <w:rFonts w:ascii="Cambria" w:eastAsia="Times New Roman" w:hAnsi="Cambria" w:cstheme="minorHAnsi"/>
        </w:rPr>
        <w:t>e</w:t>
      </w:r>
      <w:r w:rsidRPr="009A0DA6">
        <w:rPr>
          <w:rFonts w:ascii="Cambria" w:eastAsia="Times New Roman" w:hAnsi="Cambria" w:cstheme="minorHAnsi"/>
          <w:spacing w:val="-1"/>
        </w:rPr>
        <w:t>s</w:t>
      </w:r>
      <w:r w:rsidRPr="009A0DA6">
        <w:rPr>
          <w:rFonts w:ascii="Cambria" w:eastAsia="Times New Roman" w:hAnsi="Cambria" w:cstheme="minorHAnsi"/>
        </w:rPr>
        <w:t>c</w:t>
      </w:r>
      <w:r w:rsidRPr="009A0DA6">
        <w:rPr>
          <w:rFonts w:ascii="Cambria" w:eastAsia="Times New Roman" w:hAnsi="Cambria" w:cstheme="minorHAnsi"/>
          <w:spacing w:val="1"/>
        </w:rPr>
        <w:t>r</w:t>
      </w:r>
      <w:r w:rsidRPr="009A0DA6">
        <w:rPr>
          <w:rFonts w:ascii="Cambria" w:eastAsia="Times New Roman" w:hAnsi="Cambria" w:cstheme="minorHAnsi"/>
          <w:spacing w:val="2"/>
        </w:rPr>
        <w:t>i</w:t>
      </w:r>
      <w:r w:rsidRPr="009A0DA6">
        <w:rPr>
          <w:rFonts w:ascii="Cambria" w:eastAsia="Times New Roman" w:hAnsi="Cambria" w:cstheme="minorHAnsi"/>
          <w:spacing w:val="1"/>
        </w:rPr>
        <w:t>b</w:t>
      </w:r>
      <w:r w:rsidRPr="009A0DA6">
        <w:rPr>
          <w:rFonts w:ascii="Cambria" w:eastAsia="Times New Roman" w:hAnsi="Cambria" w:cstheme="minorHAnsi"/>
        </w:rPr>
        <w:t>ed</w:t>
      </w:r>
      <w:r w:rsidRPr="009A0DA6">
        <w:rPr>
          <w:rFonts w:ascii="Cambria" w:eastAsia="Times New Roman" w:hAnsi="Cambria" w:cstheme="minorHAnsi"/>
          <w:spacing w:val="-6"/>
        </w:rPr>
        <w:t xml:space="preserve"> </w:t>
      </w:r>
      <w:r w:rsidRPr="009A0DA6">
        <w:rPr>
          <w:rFonts w:ascii="Cambria" w:eastAsia="Times New Roman" w:hAnsi="Cambria" w:cstheme="minorHAnsi"/>
        </w:rPr>
        <w:t>in</w:t>
      </w:r>
      <w:r w:rsidRPr="009A0DA6">
        <w:rPr>
          <w:rFonts w:ascii="Cambria" w:eastAsia="Times New Roman" w:hAnsi="Cambria" w:cstheme="minorHAnsi"/>
          <w:spacing w:val="-3"/>
        </w:rPr>
        <w:t xml:space="preserve"> </w:t>
      </w:r>
      <w:r w:rsidRPr="009A0DA6">
        <w:rPr>
          <w:rFonts w:ascii="Cambria" w:eastAsia="Times New Roman" w:hAnsi="Cambria" w:cstheme="minorHAnsi"/>
        </w:rPr>
        <w:t>N</w:t>
      </w:r>
      <w:r w:rsidRPr="009A0DA6">
        <w:rPr>
          <w:rFonts w:ascii="Cambria" w:eastAsia="Times New Roman" w:hAnsi="Cambria" w:cstheme="minorHAnsi"/>
          <w:spacing w:val="1"/>
        </w:rPr>
        <w:t>o</w:t>
      </w:r>
      <w:r w:rsidRPr="009A0DA6">
        <w:rPr>
          <w:rFonts w:ascii="Cambria" w:eastAsia="Times New Roman" w:hAnsi="Cambria" w:cstheme="minorHAnsi"/>
        </w:rPr>
        <w:t>te</w:t>
      </w:r>
      <w:r w:rsidRPr="009A0DA6">
        <w:rPr>
          <w:rFonts w:ascii="Cambria" w:eastAsia="Times New Roman" w:hAnsi="Cambria" w:cstheme="minorHAnsi"/>
          <w:spacing w:val="-3"/>
        </w:rPr>
        <w:t xml:space="preserve"> </w:t>
      </w:r>
      <w:r w:rsidRPr="009A0DA6">
        <w:rPr>
          <w:rFonts w:ascii="Cambria" w:eastAsia="Times New Roman" w:hAnsi="Cambria" w:cstheme="minorHAnsi"/>
          <w:spacing w:val="1"/>
        </w:rPr>
        <w:t>1</w:t>
      </w:r>
      <w:r w:rsidRPr="009A0DA6">
        <w:rPr>
          <w:rFonts w:ascii="Cambria" w:eastAsia="Times New Roman" w:hAnsi="Cambria" w:cstheme="minorHAnsi"/>
        </w:rPr>
        <w:t>;</w:t>
      </w:r>
      <w:r w:rsidRPr="009A0DA6">
        <w:rPr>
          <w:rFonts w:ascii="Cambria" w:eastAsia="Times New Roman" w:hAnsi="Cambria" w:cstheme="minorHAnsi"/>
          <w:spacing w:val="-2"/>
        </w:rPr>
        <w:t xml:space="preserve"> </w:t>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rPr>
        <w:t>d</w:t>
      </w:r>
    </w:p>
    <w:p w14:paraId="62618638" w14:textId="77777777" w:rsidR="00BA4592" w:rsidRPr="009A0DA6" w:rsidRDefault="00BA4592" w:rsidP="00F55252">
      <w:pPr>
        <w:pStyle w:val="ListParagraph"/>
        <w:widowControl w:val="0"/>
        <w:numPr>
          <w:ilvl w:val="0"/>
          <w:numId w:val="274"/>
        </w:numPr>
        <w:spacing w:before="120" w:after="120" w:line="240" w:lineRule="auto"/>
        <w:ind w:left="567" w:right="-107" w:hanging="567"/>
        <w:rPr>
          <w:rFonts w:ascii="Cambria" w:eastAsia="Times New Roman" w:hAnsi="Cambria" w:cstheme="minorHAnsi"/>
        </w:rPr>
      </w:pPr>
      <w:r w:rsidRPr="009A0DA6">
        <w:rPr>
          <w:rFonts w:ascii="Cambria" w:eastAsia="Times New Roman" w:hAnsi="Cambria" w:cstheme="minorHAnsi"/>
        </w:rPr>
        <w:t>c</w:t>
      </w:r>
      <w:r w:rsidRPr="009A0DA6">
        <w:rPr>
          <w:rFonts w:ascii="Cambria" w:eastAsia="Times New Roman" w:hAnsi="Cambria" w:cstheme="minorHAnsi"/>
          <w:spacing w:val="1"/>
        </w:rPr>
        <w:t>o</w:t>
      </w:r>
      <w:r w:rsidRPr="009A0DA6">
        <w:rPr>
          <w:rFonts w:ascii="Cambria" w:eastAsia="Times New Roman" w:hAnsi="Cambria" w:cstheme="minorHAnsi"/>
          <w:spacing w:val="-4"/>
        </w:rPr>
        <w:t>m</w:t>
      </w:r>
      <w:r w:rsidRPr="009A0DA6">
        <w:rPr>
          <w:rFonts w:ascii="Cambria" w:eastAsia="Times New Roman" w:hAnsi="Cambria" w:cstheme="minorHAnsi"/>
          <w:spacing w:val="1"/>
        </w:rPr>
        <w:t>p</w:t>
      </w:r>
      <w:r w:rsidRPr="009A0DA6">
        <w:rPr>
          <w:rFonts w:ascii="Cambria" w:eastAsia="Times New Roman" w:hAnsi="Cambria" w:cstheme="minorHAnsi"/>
          <w:spacing w:val="2"/>
        </w:rPr>
        <w:t>l</w:t>
      </w:r>
      <w:r w:rsidRPr="009A0DA6">
        <w:rPr>
          <w:rFonts w:ascii="Cambria" w:eastAsia="Times New Roman" w:hAnsi="Cambria" w:cstheme="minorHAnsi"/>
          <w:spacing w:val="-1"/>
        </w:rPr>
        <w:t>y</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rPr>
        <w:t>g</w:t>
      </w:r>
      <w:r w:rsidRPr="009A0DA6">
        <w:rPr>
          <w:rFonts w:ascii="Cambria" w:eastAsia="Times New Roman" w:hAnsi="Cambria" w:cstheme="minorHAnsi"/>
          <w:spacing w:val="-3"/>
        </w:rPr>
        <w:t xml:space="preserve"> </w:t>
      </w:r>
      <w:r w:rsidRPr="009A0DA6">
        <w:rPr>
          <w:rFonts w:ascii="Cambria" w:eastAsia="Times New Roman" w:hAnsi="Cambria" w:cstheme="minorHAnsi"/>
          <w:spacing w:val="-2"/>
        </w:rPr>
        <w:t>w</w:t>
      </w:r>
      <w:r w:rsidRPr="009A0DA6">
        <w:rPr>
          <w:rFonts w:ascii="Cambria" w:eastAsia="Times New Roman" w:hAnsi="Cambria" w:cstheme="minorHAnsi"/>
          <w:spacing w:val="2"/>
        </w:rPr>
        <w:t>i</w:t>
      </w:r>
      <w:r w:rsidRPr="009A0DA6">
        <w:rPr>
          <w:rFonts w:ascii="Cambria" w:eastAsia="Times New Roman" w:hAnsi="Cambria" w:cstheme="minorHAnsi"/>
        </w:rPr>
        <w:t>th</w:t>
      </w:r>
      <w:r w:rsidRPr="009A0DA6">
        <w:rPr>
          <w:rFonts w:ascii="Cambria" w:eastAsia="Times New Roman" w:hAnsi="Cambria" w:cstheme="minorHAnsi"/>
          <w:spacing w:val="2"/>
        </w:rPr>
        <w:t xml:space="preserve"> </w:t>
      </w:r>
      <w:r w:rsidRPr="009A0DA6">
        <w:rPr>
          <w:rFonts w:ascii="Cambria" w:eastAsia="Times New Roman" w:hAnsi="Cambria" w:cstheme="minorHAnsi"/>
        </w:rPr>
        <w:t>A</w:t>
      </w:r>
      <w:r w:rsidRPr="009A0DA6">
        <w:rPr>
          <w:rFonts w:ascii="Cambria" w:eastAsia="Times New Roman" w:hAnsi="Cambria" w:cstheme="minorHAnsi"/>
          <w:spacing w:val="-1"/>
        </w:rPr>
        <w:t>us</w:t>
      </w:r>
      <w:r w:rsidRPr="009A0DA6">
        <w:rPr>
          <w:rFonts w:ascii="Cambria" w:eastAsia="Times New Roman" w:hAnsi="Cambria" w:cstheme="minorHAnsi"/>
        </w:rPr>
        <w:t>t</w:t>
      </w:r>
      <w:r w:rsidRPr="009A0DA6">
        <w:rPr>
          <w:rFonts w:ascii="Cambria" w:eastAsia="Times New Roman" w:hAnsi="Cambria" w:cstheme="minorHAnsi"/>
          <w:spacing w:val="1"/>
        </w:rPr>
        <w:t>r</w:t>
      </w:r>
      <w:r w:rsidRPr="009A0DA6">
        <w:rPr>
          <w:rFonts w:ascii="Cambria" w:eastAsia="Times New Roman" w:hAnsi="Cambria" w:cstheme="minorHAnsi"/>
        </w:rPr>
        <w:t>ali</w:t>
      </w:r>
      <w:r w:rsidRPr="009A0DA6">
        <w:rPr>
          <w:rFonts w:ascii="Cambria" w:eastAsia="Times New Roman" w:hAnsi="Cambria" w:cstheme="minorHAnsi"/>
          <w:spacing w:val="3"/>
        </w:rPr>
        <w:t>a</w:t>
      </w:r>
      <w:r w:rsidRPr="009A0DA6">
        <w:rPr>
          <w:rFonts w:ascii="Cambria" w:eastAsia="Times New Roman" w:hAnsi="Cambria" w:cstheme="minorHAnsi"/>
        </w:rPr>
        <w:t>n</w:t>
      </w:r>
      <w:r w:rsidRPr="009A0DA6">
        <w:rPr>
          <w:rFonts w:ascii="Cambria" w:eastAsia="Times New Roman" w:hAnsi="Cambria" w:cstheme="minorHAnsi"/>
          <w:spacing w:val="-2"/>
        </w:rPr>
        <w:t xml:space="preserve"> A</w:t>
      </w:r>
      <w:r w:rsidRPr="009A0DA6">
        <w:rPr>
          <w:rFonts w:ascii="Cambria" w:eastAsia="Times New Roman" w:hAnsi="Cambria" w:cstheme="minorHAnsi"/>
          <w:spacing w:val="3"/>
        </w:rPr>
        <w:t>c</w:t>
      </w:r>
      <w:r w:rsidRPr="009A0DA6">
        <w:rPr>
          <w:rFonts w:ascii="Cambria" w:eastAsia="Times New Roman" w:hAnsi="Cambria" w:cstheme="minorHAnsi"/>
        </w:rPr>
        <w:t>c</w:t>
      </w:r>
      <w:r w:rsidRPr="009A0DA6">
        <w:rPr>
          <w:rFonts w:ascii="Cambria" w:eastAsia="Times New Roman" w:hAnsi="Cambria" w:cstheme="minorHAnsi"/>
          <w:spacing w:val="1"/>
        </w:rPr>
        <w:t>o</w:t>
      </w:r>
      <w:r w:rsidRPr="009A0DA6">
        <w:rPr>
          <w:rFonts w:ascii="Cambria" w:eastAsia="Times New Roman" w:hAnsi="Cambria" w:cstheme="minorHAnsi"/>
          <w:spacing w:val="-1"/>
        </w:rPr>
        <w:t>un</w:t>
      </w:r>
      <w:r w:rsidRPr="009A0DA6">
        <w:rPr>
          <w:rFonts w:ascii="Cambria" w:eastAsia="Times New Roman" w:hAnsi="Cambria" w:cstheme="minorHAnsi"/>
        </w:rPr>
        <w:t>t</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rPr>
        <w:t>g</w:t>
      </w:r>
      <w:r w:rsidRPr="009A0DA6">
        <w:rPr>
          <w:rFonts w:ascii="Cambria" w:eastAsia="Times New Roman" w:hAnsi="Cambria" w:cstheme="minorHAnsi"/>
          <w:spacing w:val="-5"/>
        </w:rPr>
        <w:t xml:space="preserve"> </w:t>
      </w:r>
      <w:r w:rsidRPr="009A0DA6">
        <w:rPr>
          <w:rFonts w:ascii="Cambria" w:eastAsia="Times New Roman" w:hAnsi="Cambria" w:cstheme="minorHAnsi"/>
        </w:rPr>
        <w:t>Sta</w:t>
      </w:r>
      <w:r w:rsidRPr="009A0DA6">
        <w:rPr>
          <w:rFonts w:ascii="Cambria" w:eastAsia="Times New Roman" w:hAnsi="Cambria" w:cstheme="minorHAnsi"/>
          <w:spacing w:val="-1"/>
        </w:rPr>
        <w:t>n</w:t>
      </w:r>
      <w:r w:rsidRPr="009A0DA6">
        <w:rPr>
          <w:rFonts w:ascii="Cambria" w:eastAsia="Times New Roman" w:hAnsi="Cambria" w:cstheme="minorHAnsi"/>
          <w:spacing w:val="1"/>
        </w:rPr>
        <w:t>d</w:t>
      </w:r>
      <w:r w:rsidRPr="009A0DA6">
        <w:rPr>
          <w:rFonts w:ascii="Cambria" w:eastAsia="Times New Roman" w:hAnsi="Cambria" w:cstheme="minorHAnsi"/>
        </w:rPr>
        <w:t>a</w:t>
      </w:r>
      <w:r w:rsidRPr="009A0DA6">
        <w:rPr>
          <w:rFonts w:ascii="Cambria" w:eastAsia="Times New Roman" w:hAnsi="Cambria" w:cstheme="minorHAnsi"/>
          <w:spacing w:val="1"/>
        </w:rPr>
        <w:t>rd</w:t>
      </w:r>
      <w:r w:rsidRPr="009A0DA6">
        <w:rPr>
          <w:rFonts w:ascii="Cambria" w:eastAsia="Times New Roman" w:hAnsi="Cambria" w:cstheme="minorHAnsi"/>
        </w:rPr>
        <w:t>s</w:t>
      </w:r>
      <w:r w:rsidRPr="009A0DA6">
        <w:rPr>
          <w:rFonts w:ascii="Cambria" w:eastAsia="Times New Roman" w:hAnsi="Cambria" w:cstheme="minorHAnsi"/>
          <w:spacing w:val="-3"/>
        </w:rPr>
        <w:t xml:space="preserve"> </w:t>
      </w:r>
      <w:r w:rsidRPr="009A0DA6">
        <w:rPr>
          <w:rFonts w:ascii="Cambria" w:eastAsia="Times New Roman" w:hAnsi="Cambria" w:cstheme="minorHAnsi"/>
        </w:rPr>
        <w:t>to</w:t>
      </w:r>
      <w:r w:rsidRPr="009A0DA6">
        <w:rPr>
          <w:rFonts w:ascii="Cambria" w:eastAsia="Times New Roman" w:hAnsi="Cambria" w:cstheme="minorHAnsi"/>
          <w:spacing w:val="4"/>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4"/>
        </w:rPr>
        <w:t xml:space="preserve"> </w:t>
      </w:r>
      <w:r w:rsidRPr="009A0DA6">
        <w:rPr>
          <w:rFonts w:ascii="Cambria" w:eastAsia="Times New Roman" w:hAnsi="Cambria" w:cstheme="minorHAnsi"/>
        </w:rPr>
        <w:t>e</w:t>
      </w:r>
      <w:r w:rsidRPr="009A0DA6">
        <w:rPr>
          <w:rFonts w:ascii="Cambria" w:eastAsia="Times New Roman" w:hAnsi="Cambria" w:cstheme="minorHAnsi"/>
          <w:spacing w:val="-1"/>
        </w:rPr>
        <w:t>x</w:t>
      </w:r>
      <w:r w:rsidRPr="009A0DA6">
        <w:rPr>
          <w:rFonts w:ascii="Cambria" w:eastAsia="Times New Roman" w:hAnsi="Cambria" w:cstheme="minorHAnsi"/>
        </w:rPr>
        <w:t>t</w:t>
      </w:r>
      <w:r w:rsidRPr="009A0DA6">
        <w:rPr>
          <w:rFonts w:ascii="Cambria" w:eastAsia="Times New Roman" w:hAnsi="Cambria" w:cstheme="minorHAnsi"/>
          <w:spacing w:val="3"/>
        </w:rPr>
        <w:t>e</w:t>
      </w:r>
      <w:r w:rsidRPr="009A0DA6">
        <w:rPr>
          <w:rFonts w:ascii="Cambria" w:eastAsia="Times New Roman" w:hAnsi="Cambria" w:cstheme="minorHAnsi"/>
          <w:spacing w:val="-1"/>
        </w:rPr>
        <w:t>n</w:t>
      </w:r>
      <w:r w:rsidRPr="009A0DA6">
        <w:rPr>
          <w:rFonts w:ascii="Cambria" w:eastAsia="Times New Roman" w:hAnsi="Cambria" w:cstheme="minorHAnsi"/>
        </w:rPr>
        <w:t xml:space="preserve">t </w:t>
      </w:r>
      <w:r w:rsidRPr="009A0DA6">
        <w:rPr>
          <w:rFonts w:ascii="Cambria" w:eastAsia="Times New Roman" w:hAnsi="Cambria" w:cstheme="minorHAnsi"/>
          <w:spacing w:val="1"/>
        </w:rPr>
        <w:t>d</w:t>
      </w:r>
      <w:r w:rsidRPr="009A0DA6">
        <w:rPr>
          <w:rFonts w:ascii="Cambria" w:eastAsia="Times New Roman" w:hAnsi="Cambria" w:cstheme="minorHAnsi"/>
        </w:rPr>
        <w:t>e</w:t>
      </w:r>
      <w:r w:rsidRPr="009A0DA6">
        <w:rPr>
          <w:rFonts w:ascii="Cambria" w:eastAsia="Times New Roman" w:hAnsi="Cambria" w:cstheme="minorHAnsi"/>
          <w:spacing w:val="-1"/>
        </w:rPr>
        <w:t>s</w:t>
      </w:r>
      <w:r w:rsidRPr="009A0DA6">
        <w:rPr>
          <w:rFonts w:ascii="Cambria" w:eastAsia="Times New Roman" w:hAnsi="Cambria" w:cstheme="minorHAnsi"/>
        </w:rPr>
        <w:t>c</w:t>
      </w:r>
      <w:r w:rsidRPr="009A0DA6">
        <w:rPr>
          <w:rFonts w:ascii="Cambria" w:eastAsia="Times New Roman" w:hAnsi="Cambria" w:cstheme="minorHAnsi"/>
          <w:spacing w:val="1"/>
        </w:rPr>
        <w:t>r</w:t>
      </w:r>
      <w:r w:rsidRPr="009A0DA6">
        <w:rPr>
          <w:rFonts w:ascii="Cambria" w:eastAsia="Times New Roman" w:hAnsi="Cambria" w:cstheme="minorHAnsi"/>
        </w:rPr>
        <w:t>i</w:t>
      </w:r>
      <w:r w:rsidRPr="009A0DA6">
        <w:rPr>
          <w:rFonts w:ascii="Cambria" w:eastAsia="Times New Roman" w:hAnsi="Cambria" w:cstheme="minorHAnsi"/>
          <w:spacing w:val="1"/>
        </w:rPr>
        <w:t>b</w:t>
      </w:r>
      <w:r w:rsidRPr="009A0DA6">
        <w:rPr>
          <w:rFonts w:ascii="Cambria" w:eastAsia="Times New Roman" w:hAnsi="Cambria" w:cstheme="minorHAnsi"/>
        </w:rPr>
        <w:t>ed</w:t>
      </w:r>
      <w:r w:rsidRPr="009A0DA6">
        <w:rPr>
          <w:rFonts w:ascii="Cambria" w:eastAsia="Times New Roman" w:hAnsi="Cambria" w:cstheme="minorHAnsi"/>
          <w:spacing w:val="-2"/>
        </w:rPr>
        <w:t xml:space="preserve"> </w:t>
      </w:r>
      <w:r w:rsidRPr="009A0DA6">
        <w:rPr>
          <w:rFonts w:ascii="Cambria" w:eastAsia="Times New Roman" w:hAnsi="Cambria" w:cstheme="minorHAnsi"/>
        </w:rPr>
        <w:t>in</w:t>
      </w:r>
      <w:r w:rsidRPr="009A0DA6">
        <w:rPr>
          <w:rFonts w:ascii="Cambria" w:eastAsia="Times New Roman" w:hAnsi="Cambria" w:cstheme="minorHAnsi"/>
          <w:spacing w:val="2"/>
        </w:rPr>
        <w:t xml:space="preserve"> </w:t>
      </w:r>
      <w:r w:rsidRPr="009A0DA6">
        <w:rPr>
          <w:rFonts w:ascii="Cambria" w:eastAsia="Times New Roman" w:hAnsi="Cambria" w:cstheme="minorHAnsi"/>
        </w:rPr>
        <w:t>N</w:t>
      </w:r>
      <w:r w:rsidRPr="009A0DA6">
        <w:rPr>
          <w:rFonts w:ascii="Cambria" w:eastAsia="Times New Roman" w:hAnsi="Cambria" w:cstheme="minorHAnsi"/>
          <w:spacing w:val="1"/>
        </w:rPr>
        <w:t>o</w:t>
      </w:r>
      <w:r w:rsidRPr="009A0DA6">
        <w:rPr>
          <w:rFonts w:ascii="Cambria" w:eastAsia="Times New Roman" w:hAnsi="Cambria" w:cstheme="minorHAnsi"/>
        </w:rPr>
        <w:t>te</w:t>
      </w:r>
      <w:r w:rsidRPr="009A0DA6">
        <w:rPr>
          <w:rFonts w:ascii="Cambria" w:eastAsia="Times New Roman" w:hAnsi="Cambria" w:cstheme="minorHAnsi"/>
          <w:spacing w:val="2"/>
        </w:rPr>
        <w:t xml:space="preserve"> </w:t>
      </w:r>
      <w:r w:rsidRPr="009A0DA6">
        <w:rPr>
          <w:rFonts w:ascii="Cambria" w:eastAsia="Times New Roman" w:hAnsi="Cambria" w:cstheme="minorHAnsi"/>
        </w:rPr>
        <w:t>1</w:t>
      </w:r>
      <w:r w:rsidRPr="009A0DA6">
        <w:rPr>
          <w:rFonts w:ascii="Cambria" w:eastAsia="Times New Roman" w:hAnsi="Cambria" w:cstheme="minorHAnsi"/>
          <w:spacing w:val="5"/>
        </w:rPr>
        <w:t xml:space="preserve"> </w:t>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spacing w:val="3"/>
        </w:rPr>
        <w:t xml:space="preserve"> </w:t>
      </w:r>
      <w:r w:rsidRPr="009A0DA6">
        <w:rPr>
          <w:rFonts w:ascii="Cambria" w:eastAsia="Times New Roman" w:hAnsi="Cambria" w:cstheme="minorHAnsi"/>
        </w:rPr>
        <w:t>D</w:t>
      </w:r>
      <w:r w:rsidRPr="009A0DA6">
        <w:rPr>
          <w:rFonts w:ascii="Cambria" w:eastAsia="Times New Roman" w:hAnsi="Cambria" w:cstheme="minorHAnsi"/>
          <w:spacing w:val="-3"/>
        </w:rPr>
        <w:t>i</w:t>
      </w:r>
      <w:r w:rsidRPr="009A0DA6">
        <w:rPr>
          <w:rFonts w:ascii="Cambria" w:eastAsia="Times New Roman" w:hAnsi="Cambria" w:cstheme="minorHAnsi"/>
          <w:spacing w:val="-1"/>
        </w:rPr>
        <w:t>v</w:t>
      </w:r>
      <w:r w:rsidRPr="009A0DA6">
        <w:rPr>
          <w:rFonts w:ascii="Cambria" w:eastAsia="Times New Roman" w:hAnsi="Cambria" w:cstheme="minorHAnsi"/>
        </w:rPr>
        <w:t>i</w:t>
      </w:r>
      <w:r w:rsidRPr="009A0DA6">
        <w:rPr>
          <w:rFonts w:ascii="Cambria" w:eastAsia="Times New Roman" w:hAnsi="Cambria" w:cstheme="minorHAnsi"/>
          <w:spacing w:val="-1"/>
        </w:rPr>
        <w:t>s</w:t>
      </w:r>
      <w:r w:rsidRPr="009A0DA6">
        <w:rPr>
          <w:rFonts w:ascii="Cambria" w:eastAsia="Times New Roman" w:hAnsi="Cambria" w:cstheme="minorHAnsi"/>
        </w:rPr>
        <w:t>i</w:t>
      </w:r>
      <w:r w:rsidRPr="009A0DA6">
        <w:rPr>
          <w:rFonts w:ascii="Cambria" w:eastAsia="Times New Roman" w:hAnsi="Cambria" w:cstheme="minorHAnsi"/>
          <w:spacing w:val="4"/>
        </w:rPr>
        <w:t>o</w:t>
      </w:r>
      <w:r w:rsidRPr="009A0DA6">
        <w:rPr>
          <w:rFonts w:ascii="Cambria" w:eastAsia="Times New Roman" w:hAnsi="Cambria" w:cstheme="minorHAnsi"/>
        </w:rPr>
        <w:t xml:space="preserve">n </w:t>
      </w:r>
      <w:r w:rsidRPr="009A0DA6">
        <w:rPr>
          <w:rFonts w:ascii="Cambria" w:eastAsia="Times New Roman" w:hAnsi="Cambria" w:cstheme="minorHAnsi"/>
          <w:spacing w:val="1"/>
        </w:rPr>
        <w:t>6</w:t>
      </w:r>
      <w:r w:rsidRPr="009A0DA6">
        <w:rPr>
          <w:rFonts w:ascii="Cambria" w:eastAsia="Times New Roman" w:hAnsi="Cambria" w:cstheme="minorHAnsi"/>
        </w:rPr>
        <w:t>0 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1"/>
        </w:rPr>
        <w:t xml:space="preserve"> </w:t>
      </w:r>
      <w:r w:rsidRPr="009A0DA6">
        <w:rPr>
          <w:rFonts w:ascii="Cambria" w:eastAsia="Times New Roman" w:hAnsi="Cambria" w:cstheme="minorHAnsi"/>
          <w:spacing w:val="1"/>
        </w:rPr>
        <w:t>Au</w:t>
      </w:r>
      <w:r w:rsidRPr="009A0DA6">
        <w:rPr>
          <w:rFonts w:ascii="Cambria" w:eastAsia="Times New Roman" w:hAnsi="Cambria" w:cstheme="minorHAnsi"/>
          <w:spacing w:val="-1"/>
        </w:rPr>
        <w:t>s</w:t>
      </w:r>
      <w:r w:rsidRPr="009A0DA6">
        <w:rPr>
          <w:rFonts w:ascii="Cambria" w:eastAsia="Times New Roman" w:hAnsi="Cambria" w:cstheme="minorHAnsi"/>
        </w:rPr>
        <w:t>t</w:t>
      </w:r>
      <w:r w:rsidRPr="009A0DA6">
        <w:rPr>
          <w:rFonts w:ascii="Cambria" w:eastAsia="Times New Roman" w:hAnsi="Cambria" w:cstheme="minorHAnsi"/>
          <w:spacing w:val="-1"/>
        </w:rPr>
        <w:t>r</w:t>
      </w:r>
      <w:r w:rsidRPr="009A0DA6">
        <w:rPr>
          <w:rFonts w:ascii="Cambria" w:eastAsia="Times New Roman" w:hAnsi="Cambria" w:cstheme="minorHAnsi"/>
          <w:spacing w:val="1"/>
        </w:rPr>
        <w:t>a</w:t>
      </w:r>
      <w:r w:rsidRPr="009A0DA6">
        <w:rPr>
          <w:rFonts w:ascii="Cambria" w:eastAsia="Times New Roman" w:hAnsi="Cambria" w:cstheme="minorHAnsi"/>
        </w:rPr>
        <w:t>li</w:t>
      </w:r>
      <w:r w:rsidRPr="009A0DA6">
        <w:rPr>
          <w:rFonts w:ascii="Cambria" w:eastAsia="Times New Roman" w:hAnsi="Cambria" w:cstheme="minorHAnsi"/>
          <w:spacing w:val="1"/>
        </w:rPr>
        <w:t>a</w:t>
      </w:r>
      <w:r w:rsidRPr="009A0DA6">
        <w:rPr>
          <w:rFonts w:ascii="Cambria" w:eastAsia="Times New Roman" w:hAnsi="Cambria" w:cstheme="minorHAnsi"/>
        </w:rPr>
        <w:t>n</w:t>
      </w:r>
      <w:r w:rsidRPr="009A0DA6">
        <w:rPr>
          <w:rFonts w:ascii="Cambria" w:eastAsia="Times New Roman" w:hAnsi="Cambria" w:cstheme="minorHAnsi"/>
          <w:spacing w:val="6"/>
        </w:rPr>
        <w:t xml:space="preserve"> </w:t>
      </w:r>
      <w:r w:rsidRPr="009A0DA6">
        <w:rPr>
          <w:rFonts w:ascii="Cambria" w:eastAsia="Times New Roman" w:hAnsi="Cambria" w:cstheme="minorHAnsi"/>
          <w:spacing w:val="-1"/>
        </w:rPr>
        <w:t>C</w:t>
      </w:r>
      <w:r w:rsidRPr="009A0DA6">
        <w:rPr>
          <w:rFonts w:ascii="Cambria" w:eastAsia="Times New Roman" w:hAnsi="Cambria" w:cstheme="minorHAnsi"/>
          <w:spacing w:val="1"/>
        </w:rPr>
        <w:t>ha</w:t>
      </w:r>
      <w:r w:rsidRPr="009A0DA6">
        <w:rPr>
          <w:rFonts w:ascii="Cambria" w:eastAsia="Times New Roman" w:hAnsi="Cambria" w:cstheme="minorHAnsi"/>
          <w:spacing w:val="-1"/>
        </w:rPr>
        <w:t>r</w:t>
      </w:r>
      <w:r w:rsidRPr="009A0DA6">
        <w:rPr>
          <w:rFonts w:ascii="Cambria" w:eastAsia="Times New Roman" w:hAnsi="Cambria" w:cstheme="minorHAnsi"/>
        </w:rPr>
        <w:t>ities</w:t>
      </w:r>
      <w:r w:rsidRPr="009A0DA6">
        <w:rPr>
          <w:rFonts w:ascii="Cambria" w:eastAsia="Times New Roman" w:hAnsi="Cambria" w:cstheme="minorHAnsi"/>
          <w:spacing w:val="16"/>
        </w:rPr>
        <w:t xml:space="preserve"> </w:t>
      </w:r>
      <w:r w:rsidRPr="009A0DA6">
        <w:rPr>
          <w:rFonts w:ascii="Cambria" w:eastAsia="Times New Roman" w:hAnsi="Cambria" w:cstheme="minorHAnsi"/>
          <w:spacing w:val="1"/>
        </w:rPr>
        <w:t>an</w:t>
      </w:r>
      <w:r w:rsidRPr="009A0DA6">
        <w:rPr>
          <w:rFonts w:ascii="Cambria" w:eastAsia="Times New Roman" w:hAnsi="Cambria" w:cstheme="minorHAnsi"/>
        </w:rPr>
        <w:t>d</w:t>
      </w:r>
      <w:r w:rsidRPr="009A0DA6">
        <w:rPr>
          <w:rFonts w:ascii="Cambria" w:eastAsia="Times New Roman" w:hAnsi="Cambria" w:cstheme="minorHAnsi"/>
          <w:spacing w:val="11"/>
        </w:rPr>
        <w:t xml:space="preserve"> </w:t>
      </w:r>
      <w:r w:rsidRPr="009A0DA6">
        <w:rPr>
          <w:rFonts w:ascii="Cambria" w:eastAsia="Times New Roman" w:hAnsi="Cambria" w:cstheme="minorHAnsi"/>
          <w:spacing w:val="-1"/>
          <w:w w:val="97"/>
        </w:rPr>
        <w:t>N</w:t>
      </w:r>
      <w:r w:rsidRPr="009A0DA6">
        <w:rPr>
          <w:rFonts w:ascii="Cambria" w:eastAsia="Times New Roman" w:hAnsi="Cambria" w:cstheme="minorHAnsi"/>
          <w:spacing w:val="1"/>
          <w:w w:val="97"/>
        </w:rPr>
        <w:t>o</w:t>
      </w:r>
      <w:r w:rsidRPr="009A0DA6">
        <w:rPr>
          <w:rFonts w:ascii="Cambria" w:eastAsia="Times New Roman" w:hAnsi="Cambria" w:cstheme="minorHAnsi"/>
          <w:w w:val="97"/>
        </w:rPr>
        <w:t>t</w:t>
      </w:r>
      <w:r w:rsidRPr="009A0DA6">
        <w:rPr>
          <w:rFonts w:ascii="Cambria" w:eastAsia="Times New Roman" w:hAnsi="Cambria" w:cstheme="minorHAnsi"/>
          <w:spacing w:val="1"/>
          <w:w w:val="97"/>
        </w:rPr>
        <w:t>-</w:t>
      </w:r>
      <w:r w:rsidRPr="009A0DA6">
        <w:rPr>
          <w:rFonts w:ascii="Cambria" w:eastAsia="Times New Roman" w:hAnsi="Cambria" w:cstheme="minorHAnsi"/>
          <w:w w:val="97"/>
        </w:rPr>
        <w:t>f</w:t>
      </w:r>
      <w:r w:rsidRPr="009A0DA6">
        <w:rPr>
          <w:rFonts w:ascii="Cambria" w:eastAsia="Times New Roman" w:hAnsi="Cambria" w:cstheme="minorHAnsi"/>
          <w:spacing w:val="1"/>
          <w:w w:val="97"/>
        </w:rPr>
        <w:t>o</w:t>
      </w:r>
      <w:r w:rsidRPr="009A0DA6">
        <w:rPr>
          <w:rFonts w:ascii="Cambria" w:eastAsia="Times New Roman" w:hAnsi="Cambria" w:cstheme="minorHAnsi"/>
          <w:spacing w:val="-1"/>
          <w:w w:val="97"/>
        </w:rPr>
        <w:t>r</w:t>
      </w:r>
      <w:r w:rsidRPr="009A0DA6">
        <w:rPr>
          <w:rFonts w:ascii="Cambria" w:eastAsia="Times New Roman" w:hAnsi="Cambria" w:cstheme="minorHAnsi"/>
          <w:spacing w:val="1"/>
          <w:w w:val="97"/>
        </w:rPr>
        <w:t>-p</w:t>
      </w:r>
      <w:r w:rsidRPr="009A0DA6">
        <w:rPr>
          <w:rFonts w:ascii="Cambria" w:eastAsia="Times New Roman" w:hAnsi="Cambria" w:cstheme="minorHAnsi"/>
          <w:spacing w:val="-1"/>
          <w:w w:val="97"/>
        </w:rPr>
        <w:t>r</w:t>
      </w:r>
      <w:r w:rsidRPr="009A0DA6">
        <w:rPr>
          <w:rFonts w:ascii="Cambria" w:eastAsia="Times New Roman" w:hAnsi="Cambria" w:cstheme="minorHAnsi"/>
          <w:spacing w:val="1"/>
          <w:w w:val="97"/>
        </w:rPr>
        <w:t>o</w:t>
      </w:r>
      <w:r w:rsidRPr="009A0DA6">
        <w:rPr>
          <w:rFonts w:ascii="Cambria" w:eastAsia="Times New Roman" w:hAnsi="Cambria" w:cstheme="minorHAnsi"/>
          <w:w w:val="97"/>
        </w:rPr>
        <w:t>fits</w:t>
      </w:r>
      <w:r w:rsidRPr="009A0DA6">
        <w:rPr>
          <w:rFonts w:ascii="Cambria" w:eastAsia="Times New Roman" w:hAnsi="Cambria" w:cstheme="minorHAnsi"/>
          <w:spacing w:val="15"/>
          <w:w w:val="97"/>
        </w:rPr>
        <w:t xml:space="preserve"> </w:t>
      </w:r>
      <w:r w:rsidRPr="009A0DA6">
        <w:rPr>
          <w:rFonts w:ascii="Cambria" w:eastAsia="Times New Roman" w:hAnsi="Cambria" w:cstheme="minorHAnsi"/>
          <w:spacing w:val="-1"/>
          <w:w w:val="97"/>
        </w:rPr>
        <w:t>C</w:t>
      </w:r>
      <w:r w:rsidRPr="009A0DA6">
        <w:rPr>
          <w:rFonts w:ascii="Cambria" w:eastAsia="Times New Roman" w:hAnsi="Cambria" w:cstheme="minorHAnsi"/>
          <w:spacing w:val="1"/>
          <w:w w:val="97"/>
        </w:rPr>
        <w:t>o</w:t>
      </w:r>
      <w:r w:rsidRPr="009A0DA6">
        <w:rPr>
          <w:rFonts w:ascii="Cambria" w:eastAsia="Times New Roman" w:hAnsi="Cambria" w:cstheme="minorHAnsi"/>
          <w:w w:val="97"/>
        </w:rPr>
        <w:t>mmi</w:t>
      </w:r>
      <w:r w:rsidRPr="009A0DA6">
        <w:rPr>
          <w:rFonts w:ascii="Cambria" w:eastAsia="Times New Roman" w:hAnsi="Cambria" w:cstheme="minorHAnsi"/>
          <w:spacing w:val="2"/>
          <w:w w:val="97"/>
        </w:rPr>
        <w:t>s</w:t>
      </w:r>
      <w:r w:rsidRPr="009A0DA6">
        <w:rPr>
          <w:rFonts w:ascii="Cambria" w:eastAsia="Times New Roman" w:hAnsi="Cambria" w:cstheme="minorHAnsi"/>
          <w:spacing w:val="-1"/>
          <w:w w:val="97"/>
        </w:rPr>
        <w:t>s</w:t>
      </w:r>
      <w:r w:rsidRPr="009A0DA6">
        <w:rPr>
          <w:rFonts w:ascii="Cambria" w:eastAsia="Times New Roman" w:hAnsi="Cambria" w:cstheme="minorHAnsi"/>
          <w:w w:val="97"/>
        </w:rPr>
        <w:t>i</w:t>
      </w:r>
      <w:r w:rsidRPr="009A0DA6">
        <w:rPr>
          <w:rFonts w:ascii="Cambria" w:eastAsia="Times New Roman" w:hAnsi="Cambria" w:cstheme="minorHAnsi"/>
          <w:spacing w:val="1"/>
          <w:w w:val="97"/>
        </w:rPr>
        <w:t>o</w:t>
      </w:r>
      <w:r w:rsidRPr="009A0DA6">
        <w:rPr>
          <w:rFonts w:ascii="Cambria" w:eastAsia="Times New Roman" w:hAnsi="Cambria" w:cstheme="minorHAnsi"/>
          <w:w w:val="97"/>
        </w:rPr>
        <w:t>n</w:t>
      </w:r>
      <w:r w:rsidRPr="009A0DA6">
        <w:rPr>
          <w:rFonts w:ascii="Cambria" w:eastAsia="Times New Roman" w:hAnsi="Cambria" w:cstheme="minorHAnsi"/>
          <w:spacing w:val="2"/>
          <w:w w:val="97"/>
        </w:rPr>
        <w:t xml:space="preserve"> </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1"/>
        </w:rPr>
        <w:t>gu</w:t>
      </w:r>
      <w:r w:rsidRPr="009A0DA6">
        <w:rPr>
          <w:rFonts w:ascii="Cambria" w:eastAsia="Times New Roman" w:hAnsi="Cambria" w:cstheme="minorHAnsi"/>
        </w:rPr>
        <w:t>l</w:t>
      </w:r>
      <w:r w:rsidRPr="009A0DA6">
        <w:rPr>
          <w:rFonts w:ascii="Cambria" w:eastAsia="Times New Roman" w:hAnsi="Cambria" w:cstheme="minorHAnsi"/>
          <w:spacing w:val="1"/>
        </w:rPr>
        <w:t>a</w:t>
      </w:r>
      <w:r w:rsidRPr="009A0DA6">
        <w:rPr>
          <w:rFonts w:ascii="Cambria" w:eastAsia="Times New Roman" w:hAnsi="Cambria" w:cstheme="minorHAnsi"/>
        </w:rPr>
        <w:t>ti</w:t>
      </w:r>
      <w:r w:rsidRPr="009A0DA6">
        <w:rPr>
          <w:rFonts w:ascii="Cambria" w:eastAsia="Times New Roman" w:hAnsi="Cambria" w:cstheme="minorHAnsi"/>
          <w:spacing w:val="1"/>
        </w:rPr>
        <w:t>o</w:t>
      </w:r>
      <w:r w:rsidRPr="009A0DA6">
        <w:rPr>
          <w:rFonts w:ascii="Cambria" w:eastAsia="Times New Roman" w:hAnsi="Cambria" w:cstheme="minorHAnsi"/>
        </w:rPr>
        <w:t>n</w:t>
      </w:r>
      <w:r w:rsidRPr="009A0DA6">
        <w:rPr>
          <w:rFonts w:ascii="Cambria" w:eastAsia="Times New Roman" w:hAnsi="Cambria" w:cstheme="minorHAnsi"/>
          <w:spacing w:val="-9"/>
        </w:rPr>
        <w:t xml:space="preserve"> </w:t>
      </w:r>
      <w:r w:rsidRPr="009A0DA6">
        <w:rPr>
          <w:rFonts w:ascii="Cambria" w:eastAsia="Times New Roman" w:hAnsi="Cambria" w:cstheme="minorHAnsi"/>
          <w:spacing w:val="1"/>
        </w:rPr>
        <w:t>20</w:t>
      </w:r>
      <w:r w:rsidRPr="009A0DA6">
        <w:rPr>
          <w:rFonts w:ascii="Cambria" w:eastAsia="Times New Roman" w:hAnsi="Cambria" w:cstheme="minorHAnsi"/>
          <w:spacing w:val="-1"/>
        </w:rPr>
        <w:t>1</w:t>
      </w:r>
      <w:r w:rsidRPr="009A0DA6">
        <w:rPr>
          <w:rFonts w:ascii="Cambria" w:eastAsia="Times New Roman" w:hAnsi="Cambria" w:cstheme="minorHAnsi"/>
          <w:spacing w:val="1"/>
        </w:rPr>
        <w:t>3</w:t>
      </w:r>
      <w:r w:rsidRPr="009A0DA6">
        <w:rPr>
          <w:rFonts w:ascii="Cambria" w:eastAsia="Times New Roman" w:hAnsi="Cambria" w:cstheme="minorHAnsi"/>
        </w:rPr>
        <w:t>.</w:t>
      </w:r>
    </w:p>
    <w:p w14:paraId="5266EB48" w14:textId="77777777" w:rsidR="00BA4592" w:rsidRPr="009A0DA6" w:rsidRDefault="00BA4592" w:rsidP="00BA4592">
      <w:pPr>
        <w:spacing w:before="120" w:after="120" w:line="240" w:lineRule="auto"/>
        <w:ind w:right="-107"/>
        <w:contextualSpacing/>
        <w:rPr>
          <w:rFonts w:ascii="Cambria" w:eastAsia="Times New Roman" w:hAnsi="Cambria" w:cstheme="minorHAnsi"/>
          <w:b/>
        </w:rPr>
      </w:pPr>
      <w:r w:rsidRPr="009A0DA6">
        <w:rPr>
          <w:rFonts w:ascii="Cambria" w:eastAsia="Times New Roman" w:hAnsi="Cambria" w:cstheme="minorHAnsi"/>
          <w:b/>
          <w:spacing w:val="1"/>
        </w:rPr>
        <w:t>Ba</w:t>
      </w:r>
      <w:r w:rsidRPr="009A0DA6">
        <w:rPr>
          <w:rFonts w:ascii="Cambria" w:eastAsia="Times New Roman" w:hAnsi="Cambria" w:cstheme="minorHAnsi"/>
          <w:b/>
          <w:spacing w:val="-1"/>
        </w:rPr>
        <w:t>s</w:t>
      </w:r>
      <w:r w:rsidRPr="009A0DA6">
        <w:rPr>
          <w:rFonts w:ascii="Cambria" w:eastAsia="Times New Roman" w:hAnsi="Cambria" w:cstheme="minorHAnsi"/>
          <w:b/>
        </w:rPr>
        <w:t>is</w:t>
      </w:r>
      <w:r w:rsidRPr="009A0DA6">
        <w:rPr>
          <w:rFonts w:ascii="Cambria" w:eastAsia="Times New Roman" w:hAnsi="Cambria" w:cstheme="minorHAnsi"/>
          <w:b/>
          <w:spacing w:val="-3"/>
        </w:rPr>
        <w:t xml:space="preserve"> </w:t>
      </w:r>
      <w:r w:rsidRPr="009A0DA6">
        <w:rPr>
          <w:rFonts w:ascii="Cambria" w:eastAsia="Times New Roman" w:hAnsi="Cambria" w:cstheme="minorHAnsi"/>
          <w:b/>
          <w:w w:val="99"/>
        </w:rPr>
        <w:t>f</w:t>
      </w:r>
      <w:r w:rsidRPr="009A0DA6">
        <w:rPr>
          <w:rFonts w:ascii="Cambria" w:eastAsia="Times New Roman" w:hAnsi="Cambria" w:cstheme="minorHAnsi"/>
          <w:b/>
          <w:spacing w:val="1"/>
          <w:w w:val="99"/>
        </w:rPr>
        <w:t>o</w:t>
      </w:r>
      <w:r w:rsidRPr="009A0DA6">
        <w:rPr>
          <w:rFonts w:ascii="Cambria" w:eastAsia="Times New Roman" w:hAnsi="Cambria" w:cstheme="minorHAnsi"/>
          <w:b/>
          <w:w w:val="99"/>
        </w:rPr>
        <w:t>r</w:t>
      </w:r>
      <w:r w:rsidRPr="009A0DA6">
        <w:rPr>
          <w:rFonts w:ascii="Cambria" w:eastAsia="Times New Roman" w:hAnsi="Cambria" w:cstheme="minorHAnsi"/>
          <w:b/>
          <w:spacing w:val="1"/>
          <w:w w:val="99"/>
        </w:rPr>
        <w:t xml:space="preserve"> </w:t>
      </w:r>
      <w:r w:rsidRPr="009A0DA6">
        <w:rPr>
          <w:rFonts w:ascii="Cambria" w:eastAsia="Times New Roman" w:hAnsi="Cambria" w:cstheme="minorHAnsi"/>
          <w:b/>
        </w:rPr>
        <w:t>O</w:t>
      </w:r>
      <w:r w:rsidRPr="009A0DA6">
        <w:rPr>
          <w:rFonts w:ascii="Cambria" w:eastAsia="Times New Roman" w:hAnsi="Cambria" w:cstheme="minorHAnsi"/>
          <w:b/>
          <w:spacing w:val="1"/>
        </w:rPr>
        <w:t>p</w:t>
      </w:r>
      <w:r w:rsidRPr="009A0DA6">
        <w:rPr>
          <w:rFonts w:ascii="Cambria" w:eastAsia="Times New Roman" w:hAnsi="Cambria" w:cstheme="minorHAnsi"/>
          <w:b/>
        </w:rPr>
        <w:t>i</w:t>
      </w:r>
      <w:r w:rsidRPr="009A0DA6">
        <w:rPr>
          <w:rFonts w:ascii="Cambria" w:eastAsia="Times New Roman" w:hAnsi="Cambria" w:cstheme="minorHAnsi"/>
          <w:b/>
          <w:spacing w:val="1"/>
        </w:rPr>
        <w:t>n</w:t>
      </w:r>
      <w:r w:rsidRPr="009A0DA6">
        <w:rPr>
          <w:rFonts w:ascii="Cambria" w:eastAsia="Times New Roman" w:hAnsi="Cambria" w:cstheme="minorHAnsi"/>
          <w:b/>
        </w:rPr>
        <w:t>i</w:t>
      </w:r>
      <w:r w:rsidRPr="009A0DA6">
        <w:rPr>
          <w:rFonts w:ascii="Cambria" w:eastAsia="Times New Roman" w:hAnsi="Cambria" w:cstheme="minorHAnsi"/>
          <w:b/>
          <w:spacing w:val="1"/>
        </w:rPr>
        <w:t>o</w:t>
      </w:r>
      <w:r w:rsidRPr="009A0DA6">
        <w:rPr>
          <w:rFonts w:ascii="Cambria" w:eastAsia="Times New Roman" w:hAnsi="Cambria" w:cstheme="minorHAnsi"/>
          <w:b/>
        </w:rPr>
        <w:t>n</w:t>
      </w:r>
    </w:p>
    <w:p w14:paraId="515D1A4C" w14:textId="77777777" w:rsidR="00BA4592" w:rsidRPr="009A0DA6" w:rsidRDefault="00BA4592" w:rsidP="00BA4592">
      <w:pPr>
        <w:spacing w:before="120" w:after="120" w:line="240" w:lineRule="auto"/>
        <w:contextualSpacing/>
        <w:rPr>
          <w:rFonts w:ascii="Cambria" w:eastAsia="Times New Roman" w:hAnsi="Cambria" w:cstheme="minorHAnsi"/>
        </w:rPr>
      </w:pPr>
      <w:r w:rsidRPr="009A0DA6">
        <w:rPr>
          <w:rFonts w:ascii="Cambria" w:eastAsia="Times New Roman" w:hAnsi="Cambria" w:cstheme="minorHAnsi"/>
          <w:spacing w:val="2"/>
        </w:rPr>
        <w:t>W</w:t>
      </w:r>
      <w:r w:rsidRPr="009A0DA6">
        <w:rPr>
          <w:rFonts w:ascii="Cambria" w:eastAsia="Times New Roman" w:hAnsi="Cambria" w:cstheme="minorHAnsi"/>
        </w:rPr>
        <w:t>e</w:t>
      </w:r>
      <w:r w:rsidRPr="009A0DA6">
        <w:rPr>
          <w:rFonts w:ascii="Cambria" w:eastAsia="Times New Roman" w:hAnsi="Cambria" w:cstheme="minorHAnsi"/>
          <w:spacing w:val="7"/>
        </w:rPr>
        <w:t xml:space="preserve"> </w:t>
      </w:r>
      <w:r w:rsidRPr="009A0DA6">
        <w:rPr>
          <w:rFonts w:ascii="Cambria" w:eastAsia="Times New Roman" w:hAnsi="Cambria" w:cstheme="minorHAnsi"/>
        </w:rPr>
        <w:t>c</w:t>
      </w:r>
      <w:r w:rsidRPr="009A0DA6">
        <w:rPr>
          <w:rFonts w:ascii="Cambria" w:eastAsia="Times New Roman" w:hAnsi="Cambria" w:cstheme="minorHAnsi"/>
          <w:spacing w:val="1"/>
        </w:rPr>
        <w:t>o</w:t>
      </w:r>
      <w:r w:rsidRPr="009A0DA6">
        <w:rPr>
          <w:rFonts w:ascii="Cambria" w:eastAsia="Times New Roman" w:hAnsi="Cambria" w:cstheme="minorHAnsi"/>
          <w:spacing w:val="-1"/>
        </w:rPr>
        <w:t>n</w:t>
      </w:r>
      <w:r w:rsidRPr="009A0DA6">
        <w:rPr>
          <w:rFonts w:ascii="Cambria" w:eastAsia="Times New Roman" w:hAnsi="Cambria" w:cstheme="minorHAnsi"/>
          <w:spacing w:val="1"/>
        </w:rPr>
        <w:t>d</w:t>
      </w:r>
      <w:r w:rsidRPr="009A0DA6">
        <w:rPr>
          <w:rFonts w:ascii="Cambria" w:eastAsia="Times New Roman" w:hAnsi="Cambria" w:cstheme="minorHAnsi"/>
          <w:spacing w:val="-1"/>
        </w:rPr>
        <w:t>u</w:t>
      </w:r>
      <w:r w:rsidRPr="009A0DA6">
        <w:rPr>
          <w:rFonts w:ascii="Cambria" w:eastAsia="Times New Roman" w:hAnsi="Cambria" w:cstheme="minorHAnsi"/>
        </w:rPr>
        <w:t>cted</w:t>
      </w:r>
      <w:r w:rsidRPr="009A0DA6">
        <w:rPr>
          <w:rFonts w:ascii="Cambria" w:eastAsia="Times New Roman" w:hAnsi="Cambria" w:cstheme="minorHAnsi"/>
          <w:spacing w:val="3"/>
        </w:rPr>
        <w:t xml:space="preserve"> </w:t>
      </w:r>
      <w:r w:rsidRPr="009A0DA6">
        <w:rPr>
          <w:rFonts w:ascii="Cambria" w:eastAsia="Times New Roman" w:hAnsi="Cambria" w:cstheme="minorHAnsi"/>
          <w:spacing w:val="1"/>
        </w:rPr>
        <w:t>o</w:t>
      </w:r>
      <w:r w:rsidRPr="009A0DA6">
        <w:rPr>
          <w:rFonts w:ascii="Cambria" w:eastAsia="Times New Roman" w:hAnsi="Cambria" w:cstheme="minorHAnsi"/>
          <w:spacing w:val="-1"/>
        </w:rPr>
        <w:t>u</w:t>
      </w:r>
      <w:r w:rsidRPr="009A0DA6">
        <w:rPr>
          <w:rFonts w:ascii="Cambria" w:eastAsia="Times New Roman" w:hAnsi="Cambria" w:cstheme="minorHAnsi"/>
        </w:rPr>
        <w:t>r</w:t>
      </w:r>
      <w:r w:rsidRPr="009A0DA6">
        <w:rPr>
          <w:rFonts w:ascii="Cambria" w:eastAsia="Times New Roman" w:hAnsi="Cambria" w:cstheme="minorHAnsi"/>
          <w:spacing w:val="8"/>
        </w:rPr>
        <w:t xml:space="preserve"> </w:t>
      </w:r>
      <w:r w:rsidRPr="009A0DA6">
        <w:rPr>
          <w:rFonts w:ascii="Cambria" w:eastAsia="Times New Roman" w:hAnsi="Cambria" w:cstheme="minorHAnsi"/>
        </w:rPr>
        <w:t>a</w:t>
      </w:r>
      <w:r w:rsidRPr="009A0DA6">
        <w:rPr>
          <w:rFonts w:ascii="Cambria" w:eastAsia="Times New Roman" w:hAnsi="Cambria" w:cstheme="minorHAnsi"/>
          <w:spacing w:val="-1"/>
        </w:rPr>
        <w:t>u</w:t>
      </w:r>
      <w:r w:rsidRPr="009A0DA6">
        <w:rPr>
          <w:rFonts w:ascii="Cambria" w:eastAsia="Times New Roman" w:hAnsi="Cambria" w:cstheme="minorHAnsi"/>
          <w:spacing w:val="1"/>
        </w:rPr>
        <w:t>d</w:t>
      </w:r>
      <w:r w:rsidRPr="009A0DA6">
        <w:rPr>
          <w:rFonts w:ascii="Cambria" w:eastAsia="Times New Roman" w:hAnsi="Cambria" w:cstheme="minorHAnsi"/>
        </w:rPr>
        <w:t>it</w:t>
      </w:r>
      <w:r w:rsidRPr="009A0DA6">
        <w:rPr>
          <w:rFonts w:ascii="Cambria" w:eastAsia="Times New Roman" w:hAnsi="Cambria" w:cstheme="minorHAnsi"/>
          <w:spacing w:val="6"/>
        </w:rPr>
        <w:t xml:space="preserve"> </w:t>
      </w:r>
      <w:r w:rsidRPr="009A0DA6">
        <w:rPr>
          <w:rFonts w:ascii="Cambria" w:eastAsia="Times New Roman" w:hAnsi="Cambria" w:cstheme="minorHAnsi"/>
          <w:spacing w:val="2"/>
        </w:rPr>
        <w:t>i</w:t>
      </w:r>
      <w:r w:rsidRPr="009A0DA6">
        <w:rPr>
          <w:rFonts w:ascii="Cambria" w:eastAsia="Times New Roman" w:hAnsi="Cambria" w:cstheme="minorHAnsi"/>
        </w:rPr>
        <w:t>n</w:t>
      </w:r>
      <w:r w:rsidRPr="009A0DA6">
        <w:rPr>
          <w:rFonts w:ascii="Cambria" w:eastAsia="Times New Roman" w:hAnsi="Cambria" w:cstheme="minorHAnsi"/>
          <w:spacing w:val="8"/>
        </w:rPr>
        <w:t xml:space="preserve"> </w:t>
      </w:r>
      <w:r w:rsidRPr="009A0DA6">
        <w:rPr>
          <w:rFonts w:ascii="Cambria" w:eastAsia="Times New Roman" w:hAnsi="Cambria" w:cstheme="minorHAnsi"/>
        </w:rPr>
        <w:t>a</w:t>
      </w:r>
      <w:r w:rsidRPr="009A0DA6">
        <w:rPr>
          <w:rFonts w:ascii="Cambria" w:eastAsia="Times New Roman" w:hAnsi="Cambria" w:cstheme="minorHAnsi"/>
          <w:spacing w:val="3"/>
        </w:rPr>
        <w:t>c</w:t>
      </w:r>
      <w:r w:rsidRPr="009A0DA6">
        <w:rPr>
          <w:rFonts w:ascii="Cambria" w:eastAsia="Times New Roman" w:hAnsi="Cambria" w:cstheme="minorHAnsi"/>
        </w:rPr>
        <w:t>c</w:t>
      </w:r>
      <w:r w:rsidRPr="009A0DA6">
        <w:rPr>
          <w:rFonts w:ascii="Cambria" w:eastAsia="Times New Roman" w:hAnsi="Cambria" w:cstheme="minorHAnsi"/>
          <w:spacing w:val="1"/>
        </w:rPr>
        <w:t>ord</w:t>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rPr>
        <w:t>ce</w:t>
      </w:r>
      <w:r w:rsidRPr="009A0DA6">
        <w:rPr>
          <w:rFonts w:ascii="Cambria" w:eastAsia="Times New Roman" w:hAnsi="Cambria" w:cstheme="minorHAnsi"/>
          <w:spacing w:val="4"/>
        </w:rPr>
        <w:t xml:space="preserve"> </w:t>
      </w:r>
      <w:r w:rsidRPr="009A0DA6">
        <w:rPr>
          <w:rFonts w:ascii="Cambria" w:eastAsia="Times New Roman" w:hAnsi="Cambria" w:cstheme="minorHAnsi"/>
          <w:spacing w:val="-5"/>
        </w:rPr>
        <w:t>w</w:t>
      </w:r>
      <w:r w:rsidRPr="009A0DA6">
        <w:rPr>
          <w:rFonts w:ascii="Cambria" w:eastAsia="Times New Roman" w:hAnsi="Cambria" w:cstheme="minorHAnsi"/>
        </w:rPr>
        <w:t>i</w:t>
      </w:r>
      <w:r w:rsidRPr="009A0DA6">
        <w:rPr>
          <w:rFonts w:ascii="Cambria" w:eastAsia="Times New Roman" w:hAnsi="Cambria" w:cstheme="minorHAnsi"/>
          <w:spacing w:val="2"/>
        </w:rPr>
        <w:t>t</w:t>
      </w:r>
      <w:r w:rsidRPr="009A0DA6">
        <w:rPr>
          <w:rFonts w:ascii="Cambria" w:eastAsia="Times New Roman" w:hAnsi="Cambria" w:cstheme="minorHAnsi"/>
        </w:rPr>
        <w:t>h</w:t>
      </w:r>
      <w:r w:rsidRPr="009A0DA6">
        <w:rPr>
          <w:rFonts w:ascii="Cambria" w:eastAsia="Times New Roman" w:hAnsi="Cambria" w:cstheme="minorHAnsi"/>
          <w:spacing w:val="8"/>
        </w:rPr>
        <w:t xml:space="preserve"> </w:t>
      </w:r>
      <w:r w:rsidRPr="009A0DA6">
        <w:rPr>
          <w:rFonts w:ascii="Cambria" w:eastAsia="Times New Roman" w:hAnsi="Cambria" w:cstheme="minorHAnsi"/>
        </w:rPr>
        <w:t>A</w:t>
      </w:r>
      <w:r w:rsidRPr="009A0DA6">
        <w:rPr>
          <w:rFonts w:ascii="Cambria" w:eastAsia="Times New Roman" w:hAnsi="Cambria" w:cstheme="minorHAnsi"/>
          <w:spacing w:val="-1"/>
        </w:rPr>
        <w:t>us</w:t>
      </w:r>
      <w:r w:rsidRPr="009A0DA6">
        <w:rPr>
          <w:rFonts w:ascii="Cambria" w:eastAsia="Times New Roman" w:hAnsi="Cambria" w:cstheme="minorHAnsi"/>
        </w:rPr>
        <w:t>t</w:t>
      </w:r>
      <w:r w:rsidRPr="009A0DA6">
        <w:rPr>
          <w:rFonts w:ascii="Cambria" w:eastAsia="Times New Roman" w:hAnsi="Cambria" w:cstheme="minorHAnsi"/>
          <w:spacing w:val="1"/>
        </w:rPr>
        <w:t>r</w:t>
      </w:r>
      <w:r w:rsidRPr="009A0DA6">
        <w:rPr>
          <w:rFonts w:ascii="Cambria" w:eastAsia="Times New Roman" w:hAnsi="Cambria" w:cstheme="minorHAnsi"/>
        </w:rPr>
        <w:t>ali</w:t>
      </w:r>
      <w:r w:rsidRPr="009A0DA6">
        <w:rPr>
          <w:rFonts w:ascii="Cambria" w:eastAsia="Times New Roman" w:hAnsi="Cambria" w:cstheme="minorHAnsi"/>
          <w:spacing w:val="3"/>
        </w:rPr>
        <w:t>a</w:t>
      </w:r>
      <w:r w:rsidRPr="009A0DA6">
        <w:rPr>
          <w:rFonts w:ascii="Cambria" w:eastAsia="Times New Roman" w:hAnsi="Cambria" w:cstheme="minorHAnsi"/>
        </w:rPr>
        <w:t>n</w:t>
      </w:r>
      <w:r w:rsidRPr="009A0DA6">
        <w:rPr>
          <w:rFonts w:ascii="Cambria" w:eastAsia="Times New Roman" w:hAnsi="Cambria" w:cstheme="minorHAnsi"/>
          <w:spacing w:val="3"/>
        </w:rPr>
        <w:t xml:space="preserve"> </w:t>
      </w:r>
      <w:r w:rsidRPr="009A0DA6">
        <w:rPr>
          <w:rFonts w:ascii="Cambria" w:eastAsia="Times New Roman" w:hAnsi="Cambria" w:cstheme="minorHAnsi"/>
        </w:rPr>
        <w:t>A</w:t>
      </w:r>
      <w:r w:rsidRPr="009A0DA6">
        <w:rPr>
          <w:rFonts w:ascii="Cambria" w:eastAsia="Times New Roman" w:hAnsi="Cambria" w:cstheme="minorHAnsi"/>
          <w:spacing w:val="-1"/>
        </w:rPr>
        <w:t>u</w:t>
      </w:r>
      <w:r w:rsidRPr="009A0DA6">
        <w:rPr>
          <w:rFonts w:ascii="Cambria" w:eastAsia="Times New Roman" w:hAnsi="Cambria" w:cstheme="minorHAnsi"/>
          <w:spacing w:val="4"/>
        </w:rPr>
        <w:t>d</w:t>
      </w:r>
      <w:r w:rsidRPr="009A0DA6">
        <w:rPr>
          <w:rFonts w:ascii="Cambria" w:eastAsia="Times New Roman" w:hAnsi="Cambria" w:cstheme="minorHAnsi"/>
        </w:rPr>
        <w:t>iti</w:t>
      </w:r>
      <w:r w:rsidRPr="009A0DA6">
        <w:rPr>
          <w:rFonts w:ascii="Cambria" w:eastAsia="Times New Roman" w:hAnsi="Cambria" w:cstheme="minorHAnsi"/>
          <w:spacing w:val="1"/>
        </w:rPr>
        <w:t>n</w:t>
      </w:r>
      <w:r w:rsidRPr="009A0DA6">
        <w:rPr>
          <w:rFonts w:ascii="Cambria" w:eastAsia="Times New Roman" w:hAnsi="Cambria" w:cstheme="minorHAnsi"/>
        </w:rPr>
        <w:t>g</w:t>
      </w:r>
      <w:r w:rsidRPr="009A0DA6">
        <w:rPr>
          <w:rFonts w:ascii="Cambria" w:eastAsia="Times New Roman" w:hAnsi="Cambria" w:cstheme="minorHAnsi"/>
          <w:spacing w:val="2"/>
        </w:rPr>
        <w:t xml:space="preserve"> </w:t>
      </w:r>
      <w:r w:rsidRPr="009A0DA6">
        <w:rPr>
          <w:rFonts w:ascii="Cambria" w:eastAsia="Times New Roman" w:hAnsi="Cambria" w:cstheme="minorHAnsi"/>
        </w:rPr>
        <w:t>St</w:t>
      </w:r>
      <w:r w:rsidRPr="009A0DA6">
        <w:rPr>
          <w:rFonts w:ascii="Cambria" w:eastAsia="Times New Roman" w:hAnsi="Cambria" w:cstheme="minorHAnsi"/>
          <w:spacing w:val="3"/>
        </w:rPr>
        <w:t>a</w:t>
      </w:r>
      <w:r w:rsidRPr="009A0DA6">
        <w:rPr>
          <w:rFonts w:ascii="Cambria" w:eastAsia="Times New Roman" w:hAnsi="Cambria" w:cstheme="minorHAnsi"/>
          <w:spacing w:val="-1"/>
        </w:rPr>
        <w:t>n</w:t>
      </w:r>
      <w:r w:rsidRPr="009A0DA6">
        <w:rPr>
          <w:rFonts w:ascii="Cambria" w:eastAsia="Times New Roman" w:hAnsi="Cambria" w:cstheme="minorHAnsi"/>
          <w:spacing w:val="1"/>
        </w:rPr>
        <w:t>d</w:t>
      </w:r>
      <w:r w:rsidRPr="009A0DA6">
        <w:rPr>
          <w:rFonts w:ascii="Cambria" w:eastAsia="Times New Roman" w:hAnsi="Cambria" w:cstheme="minorHAnsi"/>
        </w:rPr>
        <w:t>a</w:t>
      </w:r>
      <w:r w:rsidRPr="009A0DA6">
        <w:rPr>
          <w:rFonts w:ascii="Cambria" w:eastAsia="Times New Roman" w:hAnsi="Cambria" w:cstheme="minorHAnsi"/>
          <w:spacing w:val="1"/>
        </w:rPr>
        <w:t>rd</w:t>
      </w:r>
      <w:r w:rsidRPr="009A0DA6">
        <w:rPr>
          <w:rFonts w:ascii="Cambria" w:eastAsia="Times New Roman" w:hAnsi="Cambria" w:cstheme="minorHAnsi"/>
          <w:spacing w:val="-1"/>
        </w:rPr>
        <w:t>s</w:t>
      </w:r>
      <w:r w:rsidRPr="009A0DA6">
        <w:rPr>
          <w:rFonts w:ascii="Cambria" w:eastAsia="Times New Roman" w:hAnsi="Cambria" w:cstheme="minorHAnsi"/>
        </w:rPr>
        <w:t>.</w:t>
      </w:r>
      <w:r w:rsidRPr="009A0DA6">
        <w:rPr>
          <w:rFonts w:ascii="Cambria" w:eastAsia="Times New Roman" w:hAnsi="Cambria" w:cstheme="minorHAnsi"/>
          <w:spacing w:val="2"/>
        </w:rPr>
        <w:t xml:space="preserve"> </w:t>
      </w:r>
      <w:r w:rsidRPr="009A0DA6">
        <w:rPr>
          <w:rFonts w:ascii="Cambria" w:eastAsia="Times New Roman" w:hAnsi="Cambria" w:cstheme="minorHAnsi"/>
        </w:rPr>
        <w:t>O</w:t>
      </w:r>
      <w:r w:rsidRPr="009A0DA6">
        <w:rPr>
          <w:rFonts w:ascii="Cambria" w:eastAsia="Times New Roman" w:hAnsi="Cambria" w:cstheme="minorHAnsi"/>
          <w:spacing w:val="-1"/>
        </w:rPr>
        <w:t>u</w:t>
      </w:r>
      <w:r w:rsidRPr="009A0DA6">
        <w:rPr>
          <w:rFonts w:ascii="Cambria" w:eastAsia="Times New Roman" w:hAnsi="Cambria" w:cstheme="minorHAnsi"/>
        </w:rPr>
        <w:t>r</w:t>
      </w:r>
      <w:r w:rsidRPr="009A0DA6">
        <w:rPr>
          <w:rFonts w:ascii="Cambria" w:eastAsia="Times New Roman" w:hAnsi="Cambria" w:cstheme="minorHAnsi"/>
          <w:spacing w:val="8"/>
        </w:rPr>
        <w:t xml:space="preserve"> </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1"/>
        </w:rPr>
        <w:t>s</w:t>
      </w:r>
      <w:r w:rsidRPr="009A0DA6">
        <w:rPr>
          <w:rFonts w:ascii="Cambria" w:eastAsia="Times New Roman" w:hAnsi="Cambria" w:cstheme="minorHAnsi"/>
          <w:spacing w:val="1"/>
        </w:rPr>
        <w:t>pon</w:t>
      </w:r>
      <w:r w:rsidRPr="009A0DA6">
        <w:rPr>
          <w:rFonts w:ascii="Cambria" w:eastAsia="Times New Roman" w:hAnsi="Cambria" w:cstheme="minorHAnsi"/>
          <w:spacing w:val="-1"/>
        </w:rPr>
        <w:t>s</w:t>
      </w:r>
      <w:r w:rsidRPr="009A0DA6">
        <w:rPr>
          <w:rFonts w:ascii="Cambria" w:eastAsia="Times New Roman" w:hAnsi="Cambria" w:cstheme="minorHAnsi"/>
          <w:spacing w:val="2"/>
        </w:rPr>
        <w:t>i</w:t>
      </w:r>
      <w:r w:rsidRPr="009A0DA6">
        <w:rPr>
          <w:rFonts w:ascii="Cambria" w:eastAsia="Times New Roman" w:hAnsi="Cambria" w:cstheme="minorHAnsi"/>
          <w:spacing w:val="1"/>
        </w:rPr>
        <w:t>b</w:t>
      </w:r>
      <w:r w:rsidRPr="009A0DA6">
        <w:rPr>
          <w:rFonts w:ascii="Cambria" w:eastAsia="Times New Roman" w:hAnsi="Cambria" w:cstheme="minorHAnsi"/>
        </w:rPr>
        <w:t xml:space="preserve">ilities </w:t>
      </w:r>
      <w:r w:rsidRPr="009A0DA6">
        <w:rPr>
          <w:rFonts w:ascii="Cambria" w:eastAsia="Times New Roman" w:hAnsi="Cambria" w:cstheme="minorHAnsi"/>
          <w:spacing w:val="-1"/>
        </w:rPr>
        <w:t>un</w:t>
      </w:r>
      <w:r w:rsidRPr="009A0DA6">
        <w:rPr>
          <w:rFonts w:ascii="Cambria" w:eastAsia="Times New Roman" w:hAnsi="Cambria" w:cstheme="minorHAnsi"/>
          <w:spacing w:val="1"/>
        </w:rPr>
        <w:t>d</w:t>
      </w:r>
      <w:r w:rsidRPr="009A0DA6">
        <w:rPr>
          <w:rFonts w:ascii="Cambria" w:eastAsia="Times New Roman" w:hAnsi="Cambria" w:cstheme="minorHAnsi"/>
        </w:rPr>
        <w:t>er t</w:t>
      </w:r>
      <w:r w:rsidRPr="009A0DA6">
        <w:rPr>
          <w:rFonts w:ascii="Cambria" w:eastAsia="Times New Roman" w:hAnsi="Cambria" w:cstheme="minorHAnsi"/>
          <w:spacing w:val="-1"/>
        </w:rPr>
        <w:t>h</w:t>
      </w:r>
      <w:r w:rsidRPr="009A0DA6">
        <w:rPr>
          <w:rFonts w:ascii="Cambria" w:eastAsia="Times New Roman" w:hAnsi="Cambria" w:cstheme="minorHAnsi"/>
          <w:spacing w:val="1"/>
        </w:rPr>
        <w:t>o</w:t>
      </w:r>
      <w:r w:rsidRPr="009A0DA6">
        <w:rPr>
          <w:rFonts w:ascii="Cambria" w:eastAsia="Times New Roman" w:hAnsi="Cambria" w:cstheme="minorHAnsi"/>
          <w:spacing w:val="-1"/>
        </w:rPr>
        <w:t>s</w:t>
      </w:r>
      <w:r w:rsidRPr="009A0DA6">
        <w:rPr>
          <w:rFonts w:ascii="Cambria" w:eastAsia="Times New Roman" w:hAnsi="Cambria" w:cstheme="minorHAnsi"/>
        </w:rPr>
        <w:t>e</w:t>
      </w:r>
      <w:r w:rsidRPr="009A0DA6">
        <w:rPr>
          <w:rFonts w:ascii="Cambria" w:eastAsia="Times New Roman" w:hAnsi="Cambria" w:cstheme="minorHAnsi"/>
          <w:spacing w:val="23"/>
        </w:rPr>
        <w:t xml:space="preserve"> </w:t>
      </w:r>
      <w:r w:rsidRPr="009A0DA6">
        <w:rPr>
          <w:rFonts w:ascii="Cambria" w:eastAsia="Times New Roman" w:hAnsi="Cambria" w:cstheme="minorHAnsi"/>
          <w:spacing w:val="-1"/>
        </w:rPr>
        <w:t>s</w:t>
      </w:r>
      <w:r w:rsidRPr="009A0DA6">
        <w:rPr>
          <w:rFonts w:ascii="Cambria" w:eastAsia="Times New Roman" w:hAnsi="Cambria" w:cstheme="minorHAnsi"/>
        </w:rPr>
        <w:t>ta</w:t>
      </w:r>
      <w:r w:rsidRPr="009A0DA6">
        <w:rPr>
          <w:rFonts w:ascii="Cambria" w:eastAsia="Times New Roman" w:hAnsi="Cambria" w:cstheme="minorHAnsi"/>
          <w:spacing w:val="-1"/>
        </w:rPr>
        <w:t>n</w:t>
      </w:r>
      <w:r w:rsidRPr="009A0DA6">
        <w:rPr>
          <w:rFonts w:ascii="Cambria" w:eastAsia="Times New Roman" w:hAnsi="Cambria" w:cstheme="minorHAnsi"/>
          <w:spacing w:val="1"/>
        </w:rPr>
        <w:t>d</w:t>
      </w:r>
      <w:r w:rsidRPr="009A0DA6">
        <w:rPr>
          <w:rFonts w:ascii="Cambria" w:eastAsia="Times New Roman" w:hAnsi="Cambria" w:cstheme="minorHAnsi"/>
        </w:rPr>
        <w:t>a</w:t>
      </w:r>
      <w:r w:rsidRPr="009A0DA6">
        <w:rPr>
          <w:rFonts w:ascii="Cambria" w:eastAsia="Times New Roman" w:hAnsi="Cambria" w:cstheme="minorHAnsi"/>
          <w:spacing w:val="1"/>
        </w:rPr>
        <w:t>rd</w:t>
      </w:r>
      <w:r w:rsidRPr="009A0DA6">
        <w:rPr>
          <w:rFonts w:ascii="Cambria" w:eastAsia="Times New Roman" w:hAnsi="Cambria" w:cstheme="minorHAnsi"/>
        </w:rPr>
        <w:t>s</w:t>
      </w:r>
      <w:r w:rsidRPr="009A0DA6">
        <w:rPr>
          <w:rFonts w:ascii="Cambria" w:eastAsia="Times New Roman" w:hAnsi="Cambria" w:cstheme="minorHAnsi"/>
          <w:spacing w:val="16"/>
        </w:rPr>
        <w:t xml:space="preserve"> </w:t>
      </w:r>
      <w:r w:rsidRPr="009A0DA6">
        <w:rPr>
          <w:rFonts w:ascii="Cambria" w:eastAsia="Times New Roman" w:hAnsi="Cambria" w:cstheme="minorHAnsi"/>
        </w:rPr>
        <w:t>a</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25"/>
        </w:rPr>
        <w:t xml:space="preserve"> </w:t>
      </w:r>
      <w:r w:rsidRPr="009A0DA6">
        <w:rPr>
          <w:rFonts w:ascii="Cambria" w:eastAsia="Times New Roman" w:hAnsi="Cambria" w:cstheme="minorHAnsi"/>
          <w:spacing w:val="1"/>
        </w:rPr>
        <w:t>f</w:t>
      </w:r>
      <w:r w:rsidRPr="009A0DA6">
        <w:rPr>
          <w:rFonts w:ascii="Cambria" w:eastAsia="Times New Roman" w:hAnsi="Cambria" w:cstheme="minorHAnsi"/>
          <w:spacing w:val="-1"/>
        </w:rPr>
        <w:t>u</w:t>
      </w:r>
      <w:r w:rsidRPr="009A0DA6">
        <w:rPr>
          <w:rFonts w:ascii="Cambria" w:eastAsia="Times New Roman" w:hAnsi="Cambria" w:cstheme="minorHAnsi"/>
          <w:spacing w:val="1"/>
        </w:rPr>
        <w:t>r</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er</w:t>
      </w:r>
      <w:r w:rsidRPr="009A0DA6">
        <w:rPr>
          <w:rFonts w:ascii="Cambria" w:eastAsia="Times New Roman" w:hAnsi="Cambria" w:cstheme="minorHAnsi"/>
          <w:spacing w:val="20"/>
        </w:rPr>
        <w:t xml:space="preserve"> </w:t>
      </w:r>
      <w:r w:rsidRPr="009A0DA6">
        <w:rPr>
          <w:rFonts w:ascii="Cambria" w:eastAsia="Times New Roman" w:hAnsi="Cambria" w:cstheme="minorHAnsi"/>
          <w:spacing w:val="1"/>
        </w:rPr>
        <w:t>d</w:t>
      </w:r>
      <w:r w:rsidRPr="009A0DA6">
        <w:rPr>
          <w:rFonts w:ascii="Cambria" w:eastAsia="Times New Roman" w:hAnsi="Cambria" w:cstheme="minorHAnsi"/>
          <w:spacing w:val="3"/>
        </w:rPr>
        <w:t>e</w:t>
      </w:r>
      <w:r w:rsidRPr="009A0DA6">
        <w:rPr>
          <w:rFonts w:ascii="Cambria" w:eastAsia="Times New Roman" w:hAnsi="Cambria" w:cstheme="minorHAnsi"/>
          <w:spacing w:val="-1"/>
        </w:rPr>
        <w:t>s</w:t>
      </w:r>
      <w:r w:rsidRPr="009A0DA6">
        <w:rPr>
          <w:rFonts w:ascii="Cambria" w:eastAsia="Times New Roman" w:hAnsi="Cambria" w:cstheme="minorHAnsi"/>
        </w:rPr>
        <w:t>c</w:t>
      </w:r>
      <w:r w:rsidRPr="009A0DA6">
        <w:rPr>
          <w:rFonts w:ascii="Cambria" w:eastAsia="Times New Roman" w:hAnsi="Cambria" w:cstheme="minorHAnsi"/>
          <w:spacing w:val="1"/>
        </w:rPr>
        <w:t>r</w:t>
      </w:r>
      <w:r w:rsidRPr="009A0DA6">
        <w:rPr>
          <w:rFonts w:ascii="Cambria" w:eastAsia="Times New Roman" w:hAnsi="Cambria" w:cstheme="minorHAnsi"/>
        </w:rPr>
        <w:t>i</w:t>
      </w:r>
      <w:r w:rsidRPr="009A0DA6">
        <w:rPr>
          <w:rFonts w:ascii="Cambria" w:eastAsia="Times New Roman" w:hAnsi="Cambria" w:cstheme="minorHAnsi"/>
          <w:spacing w:val="1"/>
        </w:rPr>
        <w:t>b</w:t>
      </w:r>
      <w:r w:rsidRPr="009A0DA6">
        <w:rPr>
          <w:rFonts w:ascii="Cambria" w:eastAsia="Times New Roman" w:hAnsi="Cambria" w:cstheme="minorHAnsi"/>
        </w:rPr>
        <w:t>ed</w:t>
      </w:r>
      <w:r w:rsidRPr="009A0DA6">
        <w:rPr>
          <w:rFonts w:ascii="Cambria" w:eastAsia="Times New Roman" w:hAnsi="Cambria" w:cstheme="minorHAnsi"/>
          <w:spacing w:val="18"/>
        </w:rPr>
        <w:t xml:space="preserve"> </w:t>
      </w:r>
      <w:r w:rsidRPr="009A0DA6">
        <w:rPr>
          <w:rFonts w:ascii="Cambria" w:eastAsia="Times New Roman" w:hAnsi="Cambria" w:cstheme="minorHAnsi"/>
        </w:rPr>
        <w:t>in</w:t>
      </w:r>
      <w:r w:rsidRPr="009A0DA6">
        <w:rPr>
          <w:rFonts w:ascii="Cambria" w:eastAsia="Times New Roman" w:hAnsi="Cambria" w:cstheme="minorHAnsi"/>
          <w:spacing w:val="21"/>
        </w:rPr>
        <w:t xml:space="preserve"> </w:t>
      </w:r>
      <w:r w:rsidRPr="009A0DA6">
        <w:rPr>
          <w:rFonts w:ascii="Cambria" w:eastAsia="Times New Roman" w:hAnsi="Cambria" w:cstheme="minorHAnsi"/>
          <w:spacing w:val="2"/>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25"/>
        </w:rPr>
        <w:t xml:space="preserve"> </w:t>
      </w:r>
      <w:r w:rsidRPr="009A0DA6">
        <w:rPr>
          <w:rFonts w:ascii="Cambria" w:eastAsia="Times New Roman" w:hAnsi="Cambria" w:cstheme="minorHAnsi"/>
        </w:rPr>
        <w:t>A</w:t>
      </w:r>
      <w:r w:rsidRPr="009A0DA6">
        <w:rPr>
          <w:rFonts w:ascii="Cambria" w:eastAsia="Times New Roman" w:hAnsi="Cambria" w:cstheme="minorHAnsi"/>
          <w:spacing w:val="-1"/>
        </w:rPr>
        <w:t>u</w:t>
      </w:r>
      <w:r w:rsidRPr="009A0DA6">
        <w:rPr>
          <w:rFonts w:ascii="Cambria" w:eastAsia="Times New Roman" w:hAnsi="Cambria" w:cstheme="minorHAnsi"/>
          <w:spacing w:val="1"/>
        </w:rPr>
        <w:t>d</w:t>
      </w:r>
      <w:r w:rsidRPr="009A0DA6">
        <w:rPr>
          <w:rFonts w:ascii="Cambria" w:eastAsia="Times New Roman" w:hAnsi="Cambria" w:cstheme="minorHAnsi"/>
        </w:rPr>
        <w:t>it</w:t>
      </w:r>
      <w:r w:rsidRPr="009A0DA6">
        <w:rPr>
          <w:rFonts w:ascii="Cambria" w:eastAsia="Times New Roman" w:hAnsi="Cambria" w:cstheme="minorHAnsi"/>
          <w:spacing w:val="1"/>
        </w:rPr>
        <w:t>or’</w:t>
      </w:r>
      <w:r w:rsidRPr="009A0DA6">
        <w:rPr>
          <w:rFonts w:ascii="Cambria" w:eastAsia="Times New Roman" w:hAnsi="Cambria" w:cstheme="minorHAnsi"/>
        </w:rPr>
        <w:t>s</w:t>
      </w:r>
      <w:r w:rsidRPr="009A0DA6">
        <w:rPr>
          <w:rFonts w:ascii="Cambria" w:eastAsia="Times New Roman" w:hAnsi="Cambria" w:cstheme="minorHAnsi"/>
          <w:spacing w:val="16"/>
        </w:rPr>
        <w:t xml:space="preserve"> </w:t>
      </w:r>
      <w:r w:rsidRPr="009A0DA6">
        <w:rPr>
          <w:rFonts w:ascii="Cambria" w:eastAsia="Times New Roman" w:hAnsi="Cambria" w:cstheme="minorHAnsi"/>
          <w:spacing w:val="-1"/>
        </w:rPr>
        <w:t>R</w:t>
      </w:r>
      <w:r w:rsidRPr="009A0DA6">
        <w:rPr>
          <w:rFonts w:ascii="Cambria" w:eastAsia="Times New Roman" w:hAnsi="Cambria" w:cstheme="minorHAnsi"/>
          <w:spacing w:val="3"/>
        </w:rPr>
        <w:t>e</w:t>
      </w:r>
      <w:r w:rsidRPr="009A0DA6">
        <w:rPr>
          <w:rFonts w:ascii="Cambria" w:eastAsia="Times New Roman" w:hAnsi="Cambria" w:cstheme="minorHAnsi"/>
          <w:spacing w:val="-1"/>
        </w:rPr>
        <w:t>s</w:t>
      </w:r>
      <w:r w:rsidRPr="009A0DA6">
        <w:rPr>
          <w:rFonts w:ascii="Cambria" w:eastAsia="Times New Roman" w:hAnsi="Cambria" w:cstheme="minorHAnsi"/>
          <w:spacing w:val="1"/>
        </w:rPr>
        <w:t>po</w:t>
      </w:r>
      <w:r w:rsidRPr="009A0DA6">
        <w:rPr>
          <w:rFonts w:ascii="Cambria" w:eastAsia="Times New Roman" w:hAnsi="Cambria" w:cstheme="minorHAnsi"/>
          <w:spacing w:val="-1"/>
        </w:rPr>
        <w:t>ns</w:t>
      </w:r>
      <w:r w:rsidRPr="009A0DA6">
        <w:rPr>
          <w:rFonts w:ascii="Cambria" w:eastAsia="Times New Roman" w:hAnsi="Cambria" w:cstheme="minorHAnsi"/>
        </w:rPr>
        <w:t>i</w:t>
      </w:r>
      <w:r w:rsidRPr="009A0DA6">
        <w:rPr>
          <w:rFonts w:ascii="Cambria" w:eastAsia="Times New Roman" w:hAnsi="Cambria" w:cstheme="minorHAnsi"/>
          <w:spacing w:val="1"/>
        </w:rPr>
        <w:t>b</w:t>
      </w:r>
      <w:r w:rsidRPr="009A0DA6">
        <w:rPr>
          <w:rFonts w:ascii="Cambria" w:eastAsia="Times New Roman" w:hAnsi="Cambria" w:cstheme="minorHAnsi"/>
        </w:rPr>
        <w:t>iliti</w:t>
      </w:r>
      <w:r w:rsidRPr="009A0DA6">
        <w:rPr>
          <w:rFonts w:ascii="Cambria" w:eastAsia="Times New Roman" w:hAnsi="Cambria" w:cstheme="minorHAnsi"/>
          <w:spacing w:val="3"/>
        </w:rPr>
        <w:t>e</w:t>
      </w:r>
      <w:r w:rsidRPr="009A0DA6">
        <w:rPr>
          <w:rFonts w:ascii="Cambria" w:eastAsia="Times New Roman" w:hAnsi="Cambria" w:cstheme="minorHAnsi"/>
        </w:rPr>
        <w:t>s</w:t>
      </w:r>
      <w:r w:rsidRPr="009A0DA6">
        <w:rPr>
          <w:rFonts w:ascii="Cambria" w:eastAsia="Times New Roman" w:hAnsi="Cambria" w:cstheme="minorHAnsi"/>
          <w:spacing w:val="13"/>
        </w:rPr>
        <w:t xml:space="preserve"> </w:t>
      </w:r>
      <w:r w:rsidRPr="009A0DA6">
        <w:rPr>
          <w:rFonts w:ascii="Cambria" w:eastAsia="Times New Roman" w:hAnsi="Cambria" w:cstheme="minorHAnsi"/>
          <w:spacing w:val="-1"/>
        </w:rPr>
        <w:t>f</w:t>
      </w:r>
      <w:r w:rsidRPr="009A0DA6">
        <w:rPr>
          <w:rFonts w:ascii="Cambria" w:eastAsia="Times New Roman" w:hAnsi="Cambria" w:cstheme="minorHAnsi"/>
          <w:spacing w:val="1"/>
        </w:rPr>
        <w:t>o</w:t>
      </w:r>
      <w:r w:rsidRPr="009A0DA6">
        <w:rPr>
          <w:rFonts w:ascii="Cambria" w:eastAsia="Times New Roman" w:hAnsi="Cambria" w:cstheme="minorHAnsi"/>
        </w:rPr>
        <w:t>r</w:t>
      </w:r>
      <w:r w:rsidRPr="009A0DA6">
        <w:rPr>
          <w:rFonts w:ascii="Cambria" w:eastAsia="Times New Roman" w:hAnsi="Cambria" w:cstheme="minorHAnsi"/>
          <w:spacing w:val="23"/>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28"/>
        </w:rPr>
        <w:t xml:space="preserve"> </w:t>
      </w:r>
      <w:r w:rsidRPr="009A0DA6">
        <w:rPr>
          <w:rFonts w:ascii="Cambria" w:eastAsia="Times New Roman" w:hAnsi="Cambria" w:cstheme="minorHAnsi"/>
          <w:spacing w:val="-2"/>
        </w:rPr>
        <w:t>A</w:t>
      </w:r>
      <w:r w:rsidRPr="009A0DA6">
        <w:rPr>
          <w:rFonts w:ascii="Cambria" w:eastAsia="Times New Roman" w:hAnsi="Cambria" w:cstheme="minorHAnsi"/>
          <w:spacing w:val="-1"/>
        </w:rPr>
        <w:t>u</w:t>
      </w:r>
      <w:r w:rsidRPr="009A0DA6">
        <w:rPr>
          <w:rFonts w:ascii="Cambria" w:eastAsia="Times New Roman" w:hAnsi="Cambria" w:cstheme="minorHAnsi"/>
          <w:spacing w:val="1"/>
        </w:rPr>
        <w:t>d</w:t>
      </w:r>
      <w:r w:rsidRPr="009A0DA6">
        <w:rPr>
          <w:rFonts w:ascii="Cambria" w:eastAsia="Times New Roman" w:hAnsi="Cambria" w:cstheme="minorHAnsi"/>
        </w:rPr>
        <w:t>it</w:t>
      </w:r>
      <w:r w:rsidRPr="009A0DA6">
        <w:rPr>
          <w:rFonts w:ascii="Cambria" w:eastAsia="Times New Roman" w:hAnsi="Cambria" w:cstheme="minorHAnsi"/>
          <w:spacing w:val="22"/>
        </w:rPr>
        <w:t xml:space="preserve"> </w:t>
      </w:r>
      <w:r w:rsidRPr="009A0DA6">
        <w:rPr>
          <w:rFonts w:ascii="Cambria" w:eastAsia="Times New Roman" w:hAnsi="Cambria" w:cstheme="minorHAnsi"/>
          <w:spacing w:val="1"/>
        </w:rPr>
        <w:t>o</w:t>
      </w:r>
      <w:r w:rsidRPr="009A0DA6">
        <w:rPr>
          <w:rFonts w:ascii="Cambria" w:eastAsia="Times New Roman" w:hAnsi="Cambria" w:cstheme="minorHAnsi"/>
        </w:rPr>
        <w:t>f</w:t>
      </w:r>
      <w:r w:rsidRPr="009A0DA6">
        <w:rPr>
          <w:rFonts w:ascii="Cambria" w:eastAsia="Times New Roman" w:hAnsi="Cambria" w:cstheme="minorHAnsi"/>
          <w:spacing w:val="21"/>
        </w:rPr>
        <w:t xml:space="preserve"> </w:t>
      </w:r>
      <w:r w:rsidRPr="009A0DA6">
        <w:rPr>
          <w:rFonts w:ascii="Cambria" w:eastAsia="Times New Roman" w:hAnsi="Cambria" w:cstheme="minorHAnsi"/>
          <w:spacing w:val="2"/>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23"/>
        </w:rPr>
        <w:t xml:space="preserve"> </w:t>
      </w:r>
      <w:r w:rsidRPr="009A0DA6">
        <w:rPr>
          <w:rFonts w:ascii="Cambria" w:eastAsia="Times New Roman" w:hAnsi="Cambria" w:cstheme="minorHAnsi"/>
        </w:rPr>
        <w:t>F</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spacing w:val="3"/>
        </w:rPr>
        <w:t>a</w:t>
      </w:r>
      <w:r w:rsidRPr="009A0DA6">
        <w:rPr>
          <w:rFonts w:ascii="Cambria" w:eastAsia="Times New Roman" w:hAnsi="Cambria" w:cstheme="minorHAnsi"/>
          <w:spacing w:val="-1"/>
        </w:rPr>
        <w:t>n</w:t>
      </w:r>
      <w:r w:rsidRPr="009A0DA6">
        <w:rPr>
          <w:rFonts w:ascii="Cambria" w:eastAsia="Times New Roman" w:hAnsi="Cambria" w:cstheme="minorHAnsi"/>
        </w:rPr>
        <w:t>ci</w:t>
      </w:r>
      <w:r w:rsidRPr="009A0DA6">
        <w:rPr>
          <w:rFonts w:ascii="Cambria" w:eastAsia="Times New Roman" w:hAnsi="Cambria" w:cstheme="minorHAnsi"/>
          <w:spacing w:val="3"/>
        </w:rPr>
        <w:t>a</w:t>
      </w:r>
      <w:r w:rsidRPr="009A0DA6">
        <w:rPr>
          <w:rFonts w:ascii="Cambria" w:eastAsia="Times New Roman" w:hAnsi="Cambria" w:cstheme="minorHAnsi"/>
        </w:rPr>
        <w:t xml:space="preserve">l </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1"/>
        </w:rPr>
        <w:t>por</w:t>
      </w:r>
      <w:r w:rsidRPr="009A0DA6">
        <w:rPr>
          <w:rFonts w:ascii="Cambria" w:eastAsia="Times New Roman" w:hAnsi="Cambria" w:cstheme="minorHAnsi"/>
        </w:rPr>
        <w:t>t</w:t>
      </w:r>
      <w:r w:rsidRPr="009A0DA6">
        <w:rPr>
          <w:rFonts w:ascii="Cambria" w:eastAsia="Times New Roman" w:hAnsi="Cambria" w:cstheme="minorHAnsi"/>
          <w:spacing w:val="24"/>
        </w:rPr>
        <w:t xml:space="preserve"> </w:t>
      </w:r>
      <w:r w:rsidRPr="009A0DA6">
        <w:rPr>
          <w:rFonts w:ascii="Cambria" w:eastAsia="Times New Roman" w:hAnsi="Cambria" w:cstheme="minorHAnsi"/>
          <w:spacing w:val="-1"/>
        </w:rPr>
        <w:t>s</w:t>
      </w:r>
      <w:r w:rsidRPr="009A0DA6">
        <w:rPr>
          <w:rFonts w:ascii="Cambria" w:eastAsia="Times New Roman" w:hAnsi="Cambria" w:cstheme="minorHAnsi"/>
        </w:rPr>
        <w:t>ecti</w:t>
      </w:r>
      <w:r w:rsidRPr="009A0DA6">
        <w:rPr>
          <w:rFonts w:ascii="Cambria" w:eastAsia="Times New Roman" w:hAnsi="Cambria" w:cstheme="minorHAnsi"/>
          <w:spacing w:val="1"/>
        </w:rPr>
        <w:t>o</w:t>
      </w:r>
      <w:r w:rsidRPr="009A0DA6">
        <w:rPr>
          <w:rFonts w:ascii="Cambria" w:eastAsia="Times New Roman" w:hAnsi="Cambria" w:cstheme="minorHAnsi"/>
        </w:rPr>
        <w:t>n</w:t>
      </w:r>
      <w:r w:rsidRPr="009A0DA6">
        <w:rPr>
          <w:rFonts w:ascii="Cambria" w:eastAsia="Times New Roman" w:hAnsi="Cambria" w:cstheme="minorHAnsi"/>
          <w:spacing w:val="22"/>
        </w:rPr>
        <w:t xml:space="preserve"> </w:t>
      </w:r>
      <w:r w:rsidRPr="009A0DA6">
        <w:rPr>
          <w:rFonts w:ascii="Cambria" w:eastAsia="Times New Roman" w:hAnsi="Cambria" w:cstheme="minorHAnsi"/>
          <w:spacing w:val="1"/>
        </w:rPr>
        <w:t>o</w:t>
      </w:r>
      <w:r w:rsidRPr="009A0DA6">
        <w:rPr>
          <w:rFonts w:ascii="Cambria" w:eastAsia="Times New Roman" w:hAnsi="Cambria" w:cstheme="minorHAnsi"/>
        </w:rPr>
        <w:t>f</w:t>
      </w:r>
      <w:r w:rsidRPr="009A0DA6">
        <w:rPr>
          <w:rFonts w:ascii="Cambria" w:eastAsia="Times New Roman" w:hAnsi="Cambria" w:cstheme="minorHAnsi"/>
          <w:spacing w:val="26"/>
        </w:rPr>
        <w:t xml:space="preserve"> </w:t>
      </w:r>
      <w:r w:rsidRPr="009A0DA6">
        <w:rPr>
          <w:rFonts w:ascii="Cambria" w:eastAsia="Times New Roman" w:hAnsi="Cambria" w:cstheme="minorHAnsi"/>
          <w:spacing w:val="1"/>
        </w:rPr>
        <w:t>o</w:t>
      </w:r>
      <w:r w:rsidRPr="009A0DA6">
        <w:rPr>
          <w:rFonts w:ascii="Cambria" w:eastAsia="Times New Roman" w:hAnsi="Cambria" w:cstheme="minorHAnsi"/>
          <w:spacing w:val="-1"/>
        </w:rPr>
        <w:t>u</w:t>
      </w:r>
      <w:r w:rsidRPr="009A0DA6">
        <w:rPr>
          <w:rFonts w:ascii="Cambria" w:eastAsia="Times New Roman" w:hAnsi="Cambria" w:cstheme="minorHAnsi"/>
        </w:rPr>
        <w:t>r</w:t>
      </w:r>
      <w:r w:rsidRPr="009A0DA6">
        <w:rPr>
          <w:rFonts w:ascii="Cambria" w:eastAsia="Times New Roman" w:hAnsi="Cambria" w:cstheme="minorHAnsi"/>
          <w:spacing w:val="27"/>
        </w:rPr>
        <w:t xml:space="preserve"> </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1"/>
        </w:rPr>
        <w:t>p</w:t>
      </w:r>
      <w:r w:rsidRPr="009A0DA6">
        <w:rPr>
          <w:rFonts w:ascii="Cambria" w:eastAsia="Times New Roman" w:hAnsi="Cambria" w:cstheme="minorHAnsi"/>
          <w:spacing w:val="1"/>
        </w:rPr>
        <w:t>or</w:t>
      </w:r>
      <w:r w:rsidRPr="009A0DA6">
        <w:rPr>
          <w:rFonts w:ascii="Cambria" w:eastAsia="Times New Roman" w:hAnsi="Cambria" w:cstheme="minorHAnsi"/>
        </w:rPr>
        <w:t>t.</w:t>
      </w:r>
      <w:r w:rsidRPr="009A0DA6">
        <w:rPr>
          <w:rFonts w:ascii="Cambria" w:eastAsia="Times New Roman" w:hAnsi="Cambria" w:cstheme="minorHAnsi"/>
          <w:spacing w:val="22"/>
        </w:rPr>
        <w:t xml:space="preserve"> </w:t>
      </w:r>
      <w:r w:rsidRPr="009A0DA6">
        <w:rPr>
          <w:rFonts w:ascii="Cambria" w:eastAsia="Times New Roman" w:hAnsi="Cambria" w:cstheme="minorHAnsi"/>
          <w:spacing w:val="2"/>
        </w:rPr>
        <w:t>W</w:t>
      </w:r>
      <w:r w:rsidRPr="009A0DA6">
        <w:rPr>
          <w:rFonts w:ascii="Cambria" w:eastAsia="Times New Roman" w:hAnsi="Cambria" w:cstheme="minorHAnsi"/>
        </w:rPr>
        <w:t>e</w:t>
      </w:r>
      <w:r w:rsidRPr="009A0DA6">
        <w:rPr>
          <w:rFonts w:ascii="Cambria" w:eastAsia="Times New Roman" w:hAnsi="Cambria" w:cstheme="minorHAnsi"/>
          <w:spacing w:val="27"/>
        </w:rPr>
        <w:t xml:space="preserve"> </w:t>
      </w:r>
      <w:r w:rsidRPr="009A0DA6">
        <w:rPr>
          <w:rFonts w:ascii="Cambria" w:eastAsia="Times New Roman" w:hAnsi="Cambria" w:cstheme="minorHAnsi"/>
          <w:spacing w:val="-2"/>
        </w:rPr>
        <w:t>a</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28"/>
        </w:rPr>
        <w:t xml:space="preserve"> </w:t>
      </w:r>
      <w:r w:rsidRPr="009A0DA6">
        <w:rPr>
          <w:rFonts w:ascii="Cambria" w:eastAsia="Times New Roman" w:hAnsi="Cambria" w:cstheme="minorHAnsi"/>
        </w:rPr>
        <w:t>i</w:t>
      </w:r>
      <w:r w:rsidRPr="009A0DA6">
        <w:rPr>
          <w:rFonts w:ascii="Cambria" w:eastAsia="Times New Roman" w:hAnsi="Cambria" w:cstheme="minorHAnsi"/>
          <w:spacing w:val="-1"/>
        </w:rPr>
        <w:t>n</w:t>
      </w:r>
      <w:r w:rsidRPr="009A0DA6">
        <w:rPr>
          <w:rFonts w:ascii="Cambria" w:eastAsia="Times New Roman" w:hAnsi="Cambria" w:cstheme="minorHAnsi"/>
          <w:spacing w:val="1"/>
        </w:rPr>
        <w:t>d</w:t>
      </w:r>
      <w:r w:rsidRPr="009A0DA6">
        <w:rPr>
          <w:rFonts w:ascii="Cambria" w:eastAsia="Times New Roman" w:hAnsi="Cambria" w:cstheme="minorHAnsi"/>
        </w:rPr>
        <w:t>e</w:t>
      </w:r>
      <w:r w:rsidRPr="009A0DA6">
        <w:rPr>
          <w:rFonts w:ascii="Cambria" w:eastAsia="Times New Roman" w:hAnsi="Cambria" w:cstheme="minorHAnsi"/>
          <w:spacing w:val="1"/>
        </w:rPr>
        <w:t>p</w:t>
      </w:r>
      <w:r w:rsidRPr="009A0DA6">
        <w:rPr>
          <w:rFonts w:ascii="Cambria" w:eastAsia="Times New Roman" w:hAnsi="Cambria" w:cstheme="minorHAnsi"/>
        </w:rPr>
        <w:t>e</w:t>
      </w:r>
      <w:r w:rsidRPr="009A0DA6">
        <w:rPr>
          <w:rFonts w:ascii="Cambria" w:eastAsia="Times New Roman" w:hAnsi="Cambria" w:cstheme="minorHAnsi"/>
          <w:spacing w:val="-1"/>
        </w:rPr>
        <w:t>n</w:t>
      </w:r>
      <w:r w:rsidRPr="009A0DA6">
        <w:rPr>
          <w:rFonts w:ascii="Cambria" w:eastAsia="Times New Roman" w:hAnsi="Cambria" w:cstheme="minorHAnsi"/>
          <w:spacing w:val="1"/>
        </w:rPr>
        <w:t>d</w:t>
      </w:r>
      <w:r w:rsidRPr="009A0DA6">
        <w:rPr>
          <w:rFonts w:ascii="Cambria" w:eastAsia="Times New Roman" w:hAnsi="Cambria" w:cstheme="minorHAnsi"/>
        </w:rPr>
        <w:t>e</w:t>
      </w:r>
      <w:r w:rsidRPr="009A0DA6">
        <w:rPr>
          <w:rFonts w:ascii="Cambria" w:eastAsia="Times New Roman" w:hAnsi="Cambria" w:cstheme="minorHAnsi"/>
          <w:spacing w:val="-1"/>
        </w:rPr>
        <w:t>n</w:t>
      </w:r>
      <w:r w:rsidRPr="009A0DA6">
        <w:rPr>
          <w:rFonts w:ascii="Cambria" w:eastAsia="Times New Roman" w:hAnsi="Cambria" w:cstheme="minorHAnsi"/>
        </w:rPr>
        <w:t>t</w:t>
      </w:r>
      <w:r w:rsidRPr="009A0DA6">
        <w:rPr>
          <w:rFonts w:ascii="Cambria" w:eastAsia="Times New Roman" w:hAnsi="Cambria" w:cstheme="minorHAnsi"/>
          <w:spacing w:val="19"/>
        </w:rPr>
        <w:t xml:space="preserve"> </w:t>
      </w:r>
      <w:r w:rsidRPr="009A0DA6">
        <w:rPr>
          <w:rFonts w:ascii="Cambria" w:eastAsia="Times New Roman" w:hAnsi="Cambria" w:cstheme="minorHAnsi"/>
          <w:spacing w:val="1"/>
        </w:rPr>
        <w:t>o</w:t>
      </w:r>
      <w:r w:rsidRPr="009A0DA6">
        <w:rPr>
          <w:rFonts w:ascii="Cambria" w:eastAsia="Times New Roman" w:hAnsi="Cambria" w:cstheme="minorHAnsi"/>
        </w:rPr>
        <w:t>f</w:t>
      </w:r>
      <w:r w:rsidRPr="009A0DA6">
        <w:rPr>
          <w:rFonts w:ascii="Cambria" w:eastAsia="Times New Roman" w:hAnsi="Cambria" w:cstheme="minorHAnsi"/>
          <w:spacing w:val="26"/>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28"/>
        </w:rPr>
        <w:t xml:space="preserve"> </w:t>
      </w:r>
      <w:r w:rsidRPr="009A0DA6">
        <w:rPr>
          <w:rFonts w:ascii="Cambria" w:eastAsia="Times New Roman" w:hAnsi="Cambria" w:cstheme="minorHAnsi"/>
        </w:rPr>
        <w:t>A</w:t>
      </w:r>
      <w:r w:rsidRPr="009A0DA6">
        <w:rPr>
          <w:rFonts w:ascii="Cambria" w:eastAsia="Times New Roman" w:hAnsi="Cambria" w:cstheme="minorHAnsi"/>
          <w:spacing w:val="-1"/>
        </w:rPr>
        <w:t>ss</w:t>
      </w:r>
      <w:r w:rsidRPr="009A0DA6">
        <w:rPr>
          <w:rFonts w:ascii="Cambria" w:eastAsia="Times New Roman" w:hAnsi="Cambria" w:cstheme="minorHAnsi"/>
          <w:spacing w:val="1"/>
        </w:rPr>
        <w:t>o</w:t>
      </w:r>
      <w:r w:rsidRPr="009A0DA6">
        <w:rPr>
          <w:rFonts w:ascii="Cambria" w:eastAsia="Times New Roman" w:hAnsi="Cambria" w:cstheme="minorHAnsi"/>
        </w:rPr>
        <w:t>ciati</w:t>
      </w:r>
      <w:r w:rsidRPr="009A0DA6">
        <w:rPr>
          <w:rFonts w:ascii="Cambria" w:eastAsia="Times New Roman" w:hAnsi="Cambria" w:cstheme="minorHAnsi"/>
          <w:spacing w:val="4"/>
        </w:rPr>
        <w:t>o</w:t>
      </w:r>
      <w:r w:rsidRPr="009A0DA6">
        <w:rPr>
          <w:rFonts w:ascii="Cambria" w:eastAsia="Times New Roman" w:hAnsi="Cambria" w:cstheme="minorHAnsi"/>
        </w:rPr>
        <w:t>n</w:t>
      </w:r>
      <w:r w:rsidRPr="009A0DA6">
        <w:rPr>
          <w:rFonts w:ascii="Cambria" w:eastAsia="Times New Roman" w:hAnsi="Cambria" w:cstheme="minorHAnsi"/>
          <w:spacing w:val="19"/>
        </w:rPr>
        <w:t xml:space="preserve"> </w:t>
      </w:r>
      <w:r w:rsidRPr="009A0DA6">
        <w:rPr>
          <w:rFonts w:ascii="Cambria" w:eastAsia="Times New Roman" w:hAnsi="Cambria" w:cstheme="minorHAnsi"/>
        </w:rPr>
        <w:t>in</w:t>
      </w:r>
      <w:r w:rsidRPr="009A0DA6">
        <w:rPr>
          <w:rFonts w:ascii="Cambria" w:eastAsia="Times New Roman" w:hAnsi="Cambria" w:cstheme="minorHAnsi"/>
          <w:spacing w:val="26"/>
        </w:rPr>
        <w:t xml:space="preserve"> </w:t>
      </w:r>
      <w:r w:rsidRPr="009A0DA6">
        <w:rPr>
          <w:rFonts w:ascii="Cambria" w:eastAsia="Times New Roman" w:hAnsi="Cambria" w:cstheme="minorHAnsi"/>
        </w:rPr>
        <w:t>acc</w:t>
      </w:r>
      <w:r w:rsidRPr="009A0DA6">
        <w:rPr>
          <w:rFonts w:ascii="Cambria" w:eastAsia="Times New Roman" w:hAnsi="Cambria" w:cstheme="minorHAnsi"/>
          <w:spacing w:val="1"/>
        </w:rPr>
        <w:t>ord</w:t>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rPr>
        <w:t>ce</w:t>
      </w:r>
      <w:r w:rsidRPr="009A0DA6">
        <w:rPr>
          <w:rFonts w:ascii="Cambria" w:eastAsia="Times New Roman" w:hAnsi="Cambria" w:cstheme="minorHAnsi"/>
          <w:spacing w:val="23"/>
        </w:rPr>
        <w:t xml:space="preserve"> </w:t>
      </w:r>
      <w:r w:rsidRPr="009A0DA6">
        <w:rPr>
          <w:rFonts w:ascii="Cambria" w:eastAsia="Times New Roman" w:hAnsi="Cambria" w:cstheme="minorHAnsi"/>
          <w:spacing w:val="-5"/>
        </w:rPr>
        <w:t>w</w:t>
      </w:r>
      <w:r w:rsidRPr="009A0DA6">
        <w:rPr>
          <w:rFonts w:ascii="Cambria" w:eastAsia="Times New Roman" w:hAnsi="Cambria" w:cstheme="minorHAnsi"/>
          <w:spacing w:val="2"/>
        </w:rPr>
        <w:t>i</w:t>
      </w:r>
      <w:r w:rsidRPr="009A0DA6">
        <w:rPr>
          <w:rFonts w:ascii="Cambria" w:eastAsia="Times New Roman" w:hAnsi="Cambria" w:cstheme="minorHAnsi"/>
        </w:rPr>
        <w:t>th</w:t>
      </w:r>
      <w:r w:rsidRPr="009A0DA6">
        <w:rPr>
          <w:rFonts w:ascii="Cambria" w:eastAsia="Times New Roman" w:hAnsi="Cambria" w:cstheme="minorHAnsi"/>
          <w:spacing w:val="24"/>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28"/>
        </w:rPr>
        <w:t xml:space="preserve"> </w:t>
      </w:r>
      <w:r w:rsidRPr="009A0DA6">
        <w:rPr>
          <w:rFonts w:ascii="Cambria" w:eastAsia="Times New Roman" w:hAnsi="Cambria" w:cstheme="minorHAnsi"/>
        </w:rPr>
        <w:t>a</w:t>
      </w:r>
      <w:r w:rsidRPr="009A0DA6">
        <w:rPr>
          <w:rFonts w:ascii="Cambria" w:eastAsia="Times New Roman" w:hAnsi="Cambria" w:cstheme="minorHAnsi"/>
          <w:spacing w:val="-1"/>
        </w:rPr>
        <w:t>u</w:t>
      </w:r>
      <w:r w:rsidRPr="009A0DA6">
        <w:rPr>
          <w:rFonts w:ascii="Cambria" w:eastAsia="Times New Roman" w:hAnsi="Cambria" w:cstheme="minorHAnsi"/>
          <w:spacing w:val="1"/>
        </w:rPr>
        <w:t>d</w:t>
      </w:r>
      <w:r w:rsidRPr="009A0DA6">
        <w:rPr>
          <w:rFonts w:ascii="Cambria" w:eastAsia="Times New Roman" w:hAnsi="Cambria" w:cstheme="minorHAnsi"/>
        </w:rPr>
        <w:t>it</w:t>
      </w:r>
      <w:r w:rsidRPr="009A0DA6">
        <w:rPr>
          <w:rFonts w:ascii="Cambria" w:eastAsia="Times New Roman" w:hAnsi="Cambria" w:cstheme="minorHAnsi"/>
          <w:spacing w:val="1"/>
        </w:rPr>
        <w:t>o</w:t>
      </w:r>
      <w:r w:rsidRPr="009A0DA6">
        <w:rPr>
          <w:rFonts w:ascii="Cambria" w:eastAsia="Times New Roman" w:hAnsi="Cambria" w:cstheme="minorHAnsi"/>
        </w:rPr>
        <w:t>r i</w:t>
      </w:r>
      <w:r w:rsidRPr="009A0DA6">
        <w:rPr>
          <w:rFonts w:ascii="Cambria" w:eastAsia="Times New Roman" w:hAnsi="Cambria" w:cstheme="minorHAnsi"/>
          <w:spacing w:val="-1"/>
        </w:rPr>
        <w:t>n</w:t>
      </w:r>
      <w:r w:rsidRPr="009A0DA6">
        <w:rPr>
          <w:rFonts w:ascii="Cambria" w:eastAsia="Times New Roman" w:hAnsi="Cambria" w:cstheme="minorHAnsi"/>
          <w:spacing w:val="1"/>
        </w:rPr>
        <w:t>d</w:t>
      </w:r>
      <w:r w:rsidRPr="009A0DA6">
        <w:rPr>
          <w:rFonts w:ascii="Cambria" w:eastAsia="Times New Roman" w:hAnsi="Cambria" w:cstheme="minorHAnsi"/>
        </w:rPr>
        <w:t>e</w:t>
      </w:r>
      <w:r w:rsidRPr="009A0DA6">
        <w:rPr>
          <w:rFonts w:ascii="Cambria" w:eastAsia="Times New Roman" w:hAnsi="Cambria" w:cstheme="minorHAnsi"/>
          <w:spacing w:val="1"/>
        </w:rPr>
        <w:t>p</w:t>
      </w:r>
      <w:r w:rsidRPr="009A0DA6">
        <w:rPr>
          <w:rFonts w:ascii="Cambria" w:eastAsia="Times New Roman" w:hAnsi="Cambria" w:cstheme="minorHAnsi"/>
        </w:rPr>
        <w:t>e</w:t>
      </w:r>
      <w:r w:rsidRPr="009A0DA6">
        <w:rPr>
          <w:rFonts w:ascii="Cambria" w:eastAsia="Times New Roman" w:hAnsi="Cambria" w:cstheme="minorHAnsi"/>
          <w:spacing w:val="-1"/>
        </w:rPr>
        <w:t>n</w:t>
      </w:r>
      <w:r w:rsidRPr="009A0DA6">
        <w:rPr>
          <w:rFonts w:ascii="Cambria" w:eastAsia="Times New Roman" w:hAnsi="Cambria" w:cstheme="minorHAnsi"/>
          <w:spacing w:val="1"/>
        </w:rPr>
        <w:t>d</w:t>
      </w:r>
      <w:r w:rsidRPr="009A0DA6">
        <w:rPr>
          <w:rFonts w:ascii="Cambria" w:eastAsia="Times New Roman" w:hAnsi="Cambria" w:cstheme="minorHAnsi"/>
        </w:rPr>
        <w:t>e</w:t>
      </w:r>
      <w:r w:rsidRPr="009A0DA6">
        <w:rPr>
          <w:rFonts w:ascii="Cambria" w:eastAsia="Times New Roman" w:hAnsi="Cambria" w:cstheme="minorHAnsi"/>
          <w:spacing w:val="-1"/>
        </w:rPr>
        <w:t>n</w:t>
      </w:r>
      <w:r w:rsidRPr="009A0DA6">
        <w:rPr>
          <w:rFonts w:ascii="Cambria" w:eastAsia="Times New Roman" w:hAnsi="Cambria" w:cstheme="minorHAnsi"/>
        </w:rPr>
        <w:t>ce</w:t>
      </w:r>
      <w:r w:rsidRPr="009A0DA6">
        <w:rPr>
          <w:rFonts w:ascii="Cambria" w:eastAsia="Times New Roman" w:hAnsi="Cambria" w:cstheme="minorHAnsi"/>
          <w:spacing w:val="7"/>
        </w:rPr>
        <w:t xml:space="preserve"> </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1"/>
        </w:rPr>
        <w:t>q</w:t>
      </w:r>
      <w:r w:rsidRPr="009A0DA6">
        <w:rPr>
          <w:rFonts w:ascii="Cambria" w:eastAsia="Times New Roman" w:hAnsi="Cambria" w:cstheme="minorHAnsi"/>
          <w:spacing w:val="-1"/>
        </w:rPr>
        <w:t>u</w:t>
      </w:r>
      <w:r w:rsidRPr="009A0DA6">
        <w:rPr>
          <w:rFonts w:ascii="Cambria" w:eastAsia="Times New Roman" w:hAnsi="Cambria" w:cstheme="minorHAnsi"/>
        </w:rPr>
        <w:t>i</w:t>
      </w:r>
      <w:r w:rsidRPr="009A0DA6">
        <w:rPr>
          <w:rFonts w:ascii="Cambria" w:eastAsia="Times New Roman" w:hAnsi="Cambria" w:cstheme="minorHAnsi"/>
          <w:spacing w:val="1"/>
        </w:rPr>
        <w:t>r</w:t>
      </w:r>
      <w:r w:rsidRPr="009A0DA6">
        <w:rPr>
          <w:rFonts w:ascii="Cambria" w:eastAsia="Times New Roman" w:hAnsi="Cambria" w:cstheme="minorHAnsi"/>
          <w:spacing w:val="3"/>
        </w:rPr>
        <w:t>e</w:t>
      </w:r>
      <w:r w:rsidRPr="009A0DA6">
        <w:rPr>
          <w:rFonts w:ascii="Cambria" w:eastAsia="Times New Roman" w:hAnsi="Cambria" w:cstheme="minorHAnsi"/>
          <w:spacing w:val="-4"/>
        </w:rPr>
        <w:t>m</w:t>
      </w:r>
      <w:r w:rsidRPr="009A0DA6">
        <w:rPr>
          <w:rFonts w:ascii="Cambria" w:eastAsia="Times New Roman" w:hAnsi="Cambria" w:cstheme="minorHAnsi"/>
          <w:spacing w:val="3"/>
        </w:rPr>
        <w:t>e</w:t>
      </w:r>
      <w:r w:rsidRPr="009A0DA6">
        <w:rPr>
          <w:rFonts w:ascii="Cambria" w:eastAsia="Times New Roman" w:hAnsi="Cambria" w:cstheme="minorHAnsi"/>
          <w:spacing w:val="-1"/>
        </w:rPr>
        <w:t>n</w:t>
      </w:r>
      <w:r w:rsidRPr="009A0DA6">
        <w:rPr>
          <w:rFonts w:ascii="Cambria" w:eastAsia="Times New Roman" w:hAnsi="Cambria" w:cstheme="minorHAnsi"/>
          <w:spacing w:val="2"/>
        </w:rPr>
        <w:t>t</w:t>
      </w:r>
      <w:r w:rsidRPr="009A0DA6">
        <w:rPr>
          <w:rFonts w:ascii="Cambria" w:eastAsia="Times New Roman" w:hAnsi="Cambria" w:cstheme="minorHAnsi"/>
        </w:rPr>
        <w:t>s</w:t>
      </w:r>
      <w:r w:rsidRPr="009A0DA6">
        <w:rPr>
          <w:rFonts w:ascii="Cambria" w:eastAsia="Times New Roman" w:hAnsi="Cambria" w:cstheme="minorHAnsi"/>
          <w:spacing w:val="7"/>
        </w:rPr>
        <w:t xml:space="preserve"> </w:t>
      </w:r>
      <w:r w:rsidRPr="009A0DA6">
        <w:rPr>
          <w:rFonts w:ascii="Cambria" w:eastAsia="Times New Roman" w:hAnsi="Cambria" w:cstheme="minorHAnsi"/>
          <w:spacing w:val="1"/>
        </w:rPr>
        <w:t>o</w:t>
      </w:r>
      <w:r w:rsidRPr="009A0DA6">
        <w:rPr>
          <w:rFonts w:ascii="Cambria" w:eastAsia="Times New Roman" w:hAnsi="Cambria" w:cstheme="minorHAnsi"/>
        </w:rPr>
        <w:t>f</w:t>
      </w:r>
      <w:r w:rsidRPr="009A0DA6">
        <w:rPr>
          <w:rFonts w:ascii="Cambria" w:eastAsia="Times New Roman" w:hAnsi="Cambria" w:cstheme="minorHAnsi"/>
          <w:spacing w:val="16"/>
        </w:rPr>
        <w:t xml:space="preserve"> </w:t>
      </w:r>
      <w:r w:rsidRPr="009A0DA6">
        <w:rPr>
          <w:rFonts w:ascii="Cambria" w:eastAsia="Times New Roman" w:hAnsi="Cambria" w:cstheme="minorHAnsi"/>
          <w:spacing w:val="1"/>
        </w:rPr>
        <w:t>Au</w:t>
      </w:r>
      <w:r w:rsidRPr="009A0DA6">
        <w:rPr>
          <w:rFonts w:ascii="Cambria" w:eastAsia="Times New Roman" w:hAnsi="Cambria" w:cstheme="minorHAnsi"/>
          <w:spacing w:val="-1"/>
        </w:rPr>
        <w:t>s</w:t>
      </w:r>
      <w:r w:rsidRPr="009A0DA6">
        <w:rPr>
          <w:rFonts w:ascii="Cambria" w:eastAsia="Times New Roman" w:hAnsi="Cambria" w:cstheme="minorHAnsi"/>
        </w:rPr>
        <w:t>t</w:t>
      </w:r>
      <w:r w:rsidRPr="009A0DA6">
        <w:rPr>
          <w:rFonts w:ascii="Cambria" w:eastAsia="Times New Roman" w:hAnsi="Cambria" w:cstheme="minorHAnsi"/>
          <w:spacing w:val="-1"/>
        </w:rPr>
        <w:t>r</w:t>
      </w:r>
      <w:r w:rsidRPr="009A0DA6">
        <w:rPr>
          <w:rFonts w:ascii="Cambria" w:eastAsia="Times New Roman" w:hAnsi="Cambria" w:cstheme="minorHAnsi"/>
          <w:spacing w:val="1"/>
        </w:rPr>
        <w:t>a</w:t>
      </w:r>
      <w:r w:rsidRPr="009A0DA6">
        <w:rPr>
          <w:rFonts w:ascii="Cambria" w:eastAsia="Times New Roman" w:hAnsi="Cambria" w:cstheme="minorHAnsi"/>
        </w:rPr>
        <w:t>li</w:t>
      </w:r>
      <w:r w:rsidRPr="009A0DA6">
        <w:rPr>
          <w:rFonts w:ascii="Cambria" w:eastAsia="Times New Roman" w:hAnsi="Cambria" w:cstheme="minorHAnsi"/>
          <w:spacing w:val="1"/>
        </w:rPr>
        <w:t>a</w:t>
      </w:r>
      <w:r w:rsidRPr="009A0DA6">
        <w:rPr>
          <w:rFonts w:ascii="Cambria" w:eastAsia="Times New Roman" w:hAnsi="Cambria" w:cstheme="minorHAnsi"/>
        </w:rPr>
        <w:t>n</w:t>
      </w:r>
      <w:r w:rsidRPr="009A0DA6">
        <w:rPr>
          <w:rFonts w:ascii="Cambria" w:eastAsia="Times New Roman" w:hAnsi="Cambria" w:cstheme="minorHAnsi"/>
          <w:spacing w:val="22"/>
        </w:rPr>
        <w:t xml:space="preserve"> </w:t>
      </w:r>
      <w:r w:rsidRPr="009A0DA6">
        <w:rPr>
          <w:rFonts w:ascii="Cambria" w:eastAsia="Times New Roman" w:hAnsi="Cambria" w:cstheme="minorHAnsi"/>
          <w:spacing w:val="-1"/>
        </w:rPr>
        <w:t>C</w:t>
      </w:r>
      <w:r w:rsidRPr="009A0DA6">
        <w:rPr>
          <w:rFonts w:ascii="Cambria" w:eastAsia="Times New Roman" w:hAnsi="Cambria" w:cstheme="minorHAnsi"/>
          <w:spacing w:val="1"/>
        </w:rPr>
        <w:t>ha</w:t>
      </w:r>
      <w:r w:rsidRPr="009A0DA6">
        <w:rPr>
          <w:rFonts w:ascii="Cambria" w:eastAsia="Times New Roman" w:hAnsi="Cambria" w:cstheme="minorHAnsi"/>
          <w:spacing w:val="-1"/>
        </w:rPr>
        <w:t>r</w:t>
      </w:r>
      <w:r w:rsidRPr="009A0DA6">
        <w:rPr>
          <w:rFonts w:ascii="Cambria" w:eastAsia="Times New Roman" w:hAnsi="Cambria" w:cstheme="minorHAnsi"/>
        </w:rPr>
        <w:t>ities</w:t>
      </w:r>
      <w:r w:rsidRPr="009A0DA6">
        <w:rPr>
          <w:rFonts w:ascii="Cambria" w:eastAsia="Times New Roman" w:hAnsi="Cambria" w:cstheme="minorHAnsi"/>
          <w:spacing w:val="33"/>
        </w:rPr>
        <w:t xml:space="preserve"> </w:t>
      </w:r>
      <w:r w:rsidRPr="009A0DA6">
        <w:rPr>
          <w:rFonts w:ascii="Cambria" w:eastAsia="Times New Roman" w:hAnsi="Cambria" w:cstheme="minorHAnsi"/>
          <w:spacing w:val="1"/>
        </w:rPr>
        <w:t>an</w:t>
      </w:r>
      <w:r w:rsidRPr="009A0DA6">
        <w:rPr>
          <w:rFonts w:ascii="Cambria" w:eastAsia="Times New Roman" w:hAnsi="Cambria" w:cstheme="minorHAnsi"/>
        </w:rPr>
        <w:t>d</w:t>
      </w:r>
      <w:r w:rsidRPr="009A0DA6">
        <w:rPr>
          <w:rFonts w:ascii="Cambria" w:eastAsia="Times New Roman" w:hAnsi="Cambria" w:cstheme="minorHAnsi"/>
          <w:spacing w:val="25"/>
        </w:rPr>
        <w:t xml:space="preserve"> </w:t>
      </w:r>
      <w:r w:rsidRPr="009A0DA6">
        <w:rPr>
          <w:rFonts w:ascii="Cambria" w:eastAsia="Times New Roman" w:hAnsi="Cambria" w:cstheme="minorHAnsi"/>
          <w:spacing w:val="-1"/>
          <w:w w:val="98"/>
        </w:rPr>
        <w:t>N</w:t>
      </w:r>
      <w:r w:rsidRPr="009A0DA6">
        <w:rPr>
          <w:rFonts w:ascii="Cambria" w:eastAsia="Times New Roman" w:hAnsi="Cambria" w:cstheme="minorHAnsi"/>
          <w:spacing w:val="1"/>
          <w:w w:val="98"/>
        </w:rPr>
        <w:t>o</w:t>
      </w:r>
      <w:r w:rsidRPr="009A0DA6">
        <w:rPr>
          <w:rFonts w:ascii="Cambria" w:eastAsia="Times New Roman" w:hAnsi="Cambria" w:cstheme="minorHAnsi"/>
          <w:w w:val="98"/>
        </w:rPr>
        <w:t>t</w:t>
      </w:r>
      <w:r w:rsidRPr="009A0DA6">
        <w:rPr>
          <w:rFonts w:ascii="Cambria" w:eastAsia="Times New Roman" w:hAnsi="Cambria" w:cstheme="minorHAnsi"/>
          <w:spacing w:val="1"/>
          <w:w w:val="98"/>
        </w:rPr>
        <w:t>-</w:t>
      </w:r>
      <w:r w:rsidRPr="009A0DA6">
        <w:rPr>
          <w:rFonts w:ascii="Cambria" w:eastAsia="Times New Roman" w:hAnsi="Cambria" w:cstheme="minorHAnsi"/>
          <w:w w:val="98"/>
        </w:rPr>
        <w:t>f</w:t>
      </w:r>
      <w:r w:rsidRPr="009A0DA6">
        <w:rPr>
          <w:rFonts w:ascii="Cambria" w:eastAsia="Times New Roman" w:hAnsi="Cambria" w:cstheme="minorHAnsi"/>
          <w:spacing w:val="1"/>
          <w:w w:val="98"/>
        </w:rPr>
        <w:t>o</w:t>
      </w:r>
      <w:r w:rsidRPr="009A0DA6">
        <w:rPr>
          <w:rFonts w:ascii="Cambria" w:eastAsia="Times New Roman" w:hAnsi="Cambria" w:cstheme="minorHAnsi"/>
          <w:spacing w:val="-1"/>
          <w:w w:val="98"/>
        </w:rPr>
        <w:t>r</w:t>
      </w:r>
      <w:r w:rsidRPr="009A0DA6">
        <w:rPr>
          <w:rFonts w:ascii="Cambria" w:eastAsia="Times New Roman" w:hAnsi="Cambria" w:cstheme="minorHAnsi"/>
          <w:spacing w:val="1"/>
          <w:w w:val="98"/>
        </w:rPr>
        <w:t>-p</w:t>
      </w:r>
      <w:r w:rsidRPr="009A0DA6">
        <w:rPr>
          <w:rFonts w:ascii="Cambria" w:eastAsia="Times New Roman" w:hAnsi="Cambria" w:cstheme="minorHAnsi"/>
          <w:spacing w:val="-1"/>
          <w:w w:val="98"/>
        </w:rPr>
        <w:t>r</w:t>
      </w:r>
      <w:r w:rsidRPr="009A0DA6">
        <w:rPr>
          <w:rFonts w:ascii="Cambria" w:eastAsia="Times New Roman" w:hAnsi="Cambria" w:cstheme="minorHAnsi"/>
          <w:spacing w:val="1"/>
          <w:w w:val="98"/>
        </w:rPr>
        <w:t>o</w:t>
      </w:r>
      <w:r w:rsidRPr="009A0DA6">
        <w:rPr>
          <w:rFonts w:ascii="Cambria" w:eastAsia="Times New Roman" w:hAnsi="Cambria" w:cstheme="minorHAnsi"/>
          <w:w w:val="98"/>
        </w:rPr>
        <w:t>fits</w:t>
      </w:r>
      <w:r w:rsidRPr="009A0DA6">
        <w:rPr>
          <w:rFonts w:ascii="Cambria" w:eastAsia="Times New Roman" w:hAnsi="Cambria" w:cstheme="minorHAnsi"/>
          <w:spacing w:val="20"/>
          <w:w w:val="98"/>
        </w:rPr>
        <w:t xml:space="preserve"> </w:t>
      </w:r>
      <w:r w:rsidRPr="009A0DA6">
        <w:rPr>
          <w:rFonts w:ascii="Cambria" w:eastAsia="Times New Roman" w:hAnsi="Cambria" w:cstheme="minorHAnsi"/>
          <w:spacing w:val="-1"/>
        </w:rPr>
        <w:t>C</w:t>
      </w:r>
      <w:r w:rsidRPr="009A0DA6">
        <w:rPr>
          <w:rFonts w:ascii="Cambria" w:eastAsia="Times New Roman" w:hAnsi="Cambria" w:cstheme="minorHAnsi"/>
          <w:spacing w:val="1"/>
        </w:rPr>
        <w:t>o</w:t>
      </w:r>
      <w:r w:rsidRPr="009A0DA6">
        <w:rPr>
          <w:rFonts w:ascii="Cambria" w:eastAsia="Times New Roman" w:hAnsi="Cambria" w:cstheme="minorHAnsi"/>
        </w:rPr>
        <w:t>mmi</w:t>
      </w:r>
      <w:r w:rsidRPr="009A0DA6">
        <w:rPr>
          <w:rFonts w:ascii="Cambria" w:eastAsia="Times New Roman" w:hAnsi="Cambria" w:cstheme="minorHAnsi"/>
          <w:spacing w:val="2"/>
        </w:rPr>
        <w:t>s</w:t>
      </w:r>
      <w:r w:rsidRPr="009A0DA6">
        <w:rPr>
          <w:rFonts w:ascii="Cambria" w:eastAsia="Times New Roman" w:hAnsi="Cambria" w:cstheme="minorHAnsi"/>
          <w:spacing w:val="-1"/>
        </w:rPr>
        <w:t>s</w:t>
      </w:r>
      <w:r w:rsidRPr="009A0DA6">
        <w:rPr>
          <w:rFonts w:ascii="Cambria" w:eastAsia="Times New Roman" w:hAnsi="Cambria" w:cstheme="minorHAnsi"/>
        </w:rPr>
        <w:t>i</w:t>
      </w:r>
      <w:r w:rsidRPr="009A0DA6">
        <w:rPr>
          <w:rFonts w:ascii="Cambria" w:eastAsia="Times New Roman" w:hAnsi="Cambria" w:cstheme="minorHAnsi"/>
          <w:spacing w:val="1"/>
        </w:rPr>
        <w:t>o</w:t>
      </w:r>
      <w:r w:rsidRPr="009A0DA6">
        <w:rPr>
          <w:rFonts w:ascii="Cambria" w:eastAsia="Times New Roman" w:hAnsi="Cambria" w:cstheme="minorHAnsi"/>
        </w:rPr>
        <w:t>n</w:t>
      </w:r>
      <w:r w:rsidRPr="009A0DA6">
        <w:rPr>
          <w:rFonts w:ascii="Cambria" w:eastAsia="Times New Roman" w:hAnsi="Cambria" w:cstheme="minorHAnsi"/>
          <w:spacing w:val="-14"/>
        </w:rPr>
        <w:t xml:space="preserve"> </w:t>
      </w:r>
      <w:r w:rsidRPr="009A0DA6">
        <w:rPr>
          <w:rFonts w:ascii="Cambria" w:eastAsia="Times New Roman" w:hAnsi="Cambria" w:cstheme="minorHAnsi"/>
          <w:spacing w:val="1"/>
        </w:rPr>
        <w:t>A</w:t>
      </w:r>
      <w:r w:rsidRPr="009A0DA6">
        <w:rPr>
          <w:rFonts w:ascii="Cambria" w:eastAsia="Times New Roman" w:hAnsi="Cambria" w:cstheme="minorHAnsi"/>
        </w:rPr>
        <w:t>ct</w:t>
      </w:r>
      <w:r w:rsidRPr="009A0DA6">
        <w:rPr>
          <w:rFonts w:ascii="Cambria" w:eastAsia="Times New Roman" w:hAnsi="Cambria" w:cstheme="minorHAnsi"/>
          <w:spacing w:val="-8"/>
        </w:rPr>
        <w:t xml:space="preserve"> </w:t>
      </w:r>
      <w:r w:rsidRPr="009A0DA6">
        <w:rPr>
          <w:rFonts w:ascii="Cambria" w:eastAsia="Times New Roman" w:hAnsi="Cambria" w:cstheme="minorHAnsi"/>
          <w:spacing w:val="-1"/>
        </w:rPr>
        <w:t>2</w:t>
      </w:r>
      <w:r w:rsidRPr="009A0DA6">
        <w:rPr>
          <w:rFonts w:ascii="Cambria" w:eastAsia="Times New Roman" w:hAnsi="Cambria" w:cstheme="minorHAnsi"/>
          <w:spacing w:val="1"/>
        </w:rPr>
        <w:t>01</w:t>
      </w:r>
      <w:r w:rsidRPr="009A0DA6">
        <w:rPr>
          <w:rFonts w:ascii="Cambria" w:eastAsia="Times New Roman" w:hAnsi="Cambria" w:cstheme="minorHAnsi"/>
        </w:rPr>
        <w:t>2</w:t>
      </w:r>
      <w:r w:rsidRPr="009A0DA6">
        <w:rPr>
          <w:rFonts w:ascii="Cambria" w:eastAsia="Times New Roman" w:hAnsi="Cambria" w:cstheme="minorHAnsi"/>
          <w:spacing w:val="12"/>
        </w:rPr>
        <w:t xml:space="preserve"> </w:t>
      </w:r>
      <w:r w:rsidRPr="009A0DA6">
        <w:rPr>
          <w:rFonts w:ascii="Cambria" w:eastAsia="Times New Roman" w:hAnsi="Cambria" w:cstheme="minorHAnsi"/>
          <w:spacing w:val="1"/>
        </w:rPr>
        <w:t>(</w:t>
      </w:r>
      <w:r w:rsidRPr="009A0DA6">
        <w:rPr>
          <w:rFonts w:ascii="Cambria" w:eastAsia="Times New Roman" w:hAnsi="Cambria" w:cstheme="minorHAnsi"/>
          <w:spacing w:val="-2"/>
        </w:rPr>
        <w:t>A</w:t>
      </w:r>
      <w:r w:rsidRPr="009A0DA6">
        <w:rPr>
          <w:rFonts w:ascii="Cambria" w:eastAsia="Times New Roman" w:hAnsi="Cambria" w:cstheme="minorHAnsi"/>
          <w:spacing w:val="-1"/>
        </w:rPr>
        <w:t>C</w:t>
      </w:r>
      <w:r w:rsidRPr="009A0DA6">
        <w:rPr>
          <w:rFonts w:ascii="Cambria" w:eastAsia="Times New Roman" w:hAnsi="Cambria" w:cstheme="minorHAnsi"/>
          <w:spacing w:val="3"/>
        </w:rPr>
        <w:t>N</w:t>
      </w:r>
      <w:r w:rsidRPr="009A0DA6">
        <w:rPr>
          <w:rFonts w:ascii="Cambria" w:eastAsia="Times New Roman" w:hAnsi="Cambria" w:cstheme="minorHAnsi"/>
        </w:rPr>
        <w:t xml:space="preserve">C </w:t>
      </w:r>
      <w:r w:rsidRPr="009A0DA6">
        <w:rPr>
          <w:rFonts w:ascii="Cambria" w:eastAsia="Times New Roman" w:hAnsi="Cambria" w:cstheme="minorHAnsi"/>
          <w:spacing w:val="-2"/>
        </w:rPr>
        <w:t>A</w:t>
      </w:r>
      <w:r w:rsidRPr="009A0DA6">
        <w:rPr>
          <w:rFonts w:ascii="Cambria" w:eastAsia="Times New Roman" w:hAnsi="Cambria" w:cstheme="minorHAnsi"/>
        </w:rPr>
        <w:t>ct)</w:t>
      </w:r>
      <w:r w:rsidRPr="009A0DA6">
        <w:rPr>
          <w:rFonts w:ascii="Cambria" w:eastAsia="Times New Roman" w:hAnsi="Cambria" w:cstheme="minorHAnsi"/>
          <w:spacing w:val="5"/>
        </w:rPr>
        <w:t xml:space="preserve"> </w:t>
      </w:r>
      <w:r w:rsidRPr="009A0DA6">
        <w:rPr>
          <w:rFonts w:ascii="Cambria" w:eastAsia="Times New Roman" w:hAnsi="Cambria" w:cstheme="minorHAnsi"/>
          <w:spacing w:val="3"/>
        </w:rPr>
        <w:t>a</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spacing w:val="6"/>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6"/>
        </w:rPr>
        <w:t xml:space="preserve"> </w:t>
      </w:r>
      <w:r w:rsidRPr="009A0DA6">
        <w:rPr>
          <w:rFonts w:ascii="Cambria" w:eastAsia="Times New Roman" w:hAnsi="Cambria" w:cstheme="minorHAnsi"/>
          <w:spacing w:val="3"/>
        </w:rPr>
        <w:t>e</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ical</w:t>
      </w:r>
      <w:r w:rsidRPr="009A0DA6">
        <w:rPr>
          <w:rFonts w:ascii="Cambria" w:eastAsia="Times New Roman" w:hAnsi="Cambria" w:cstheme="minorHAnsi"/>
          <w:spacing w:val="5"/>
        </w:rPr>
        <w:t xml:space="preserve"> </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1"/>
        </w:rPr>
        <w:t>q</w:t>
      </w:r>
      <w:r w:rsidRPr="009A0DA6">
        <w:rPr>
          <w:rFonts w:ascii="Cambria" w:eastAsia="Times New Roman" w:hAnsi="Cambria" w:cstheme="minorHAnsi"/>
          <w:spacing w:val="-1"/>
        </w:rPr>
        <w:t>u</w:t>
      </w:r>
      <w:r w:rsidRPr="009A0DA6">
        <w:rPr>
          <w:rFonts w:ascii="Cambria" w:eastAsia="Times New Roman" w:hAnsi="Cambria" w:cstheme="minorHAnsi"/>
        </w:rPr>
        <w:t>i</w:t>
      </w:r>
      <w:r w:rsidRPr="009A0DA6">
        <w:rPr>
          <w:rFonts w:ascii="Cambria" w:eastAsia="Times New Roman" w:hAnsi="Cambria" w:cstheme="minorHAnsi"/>
          <w:spacing w:val="1"/>
        </w:rPr>
        <w:t>r</w:t>
      </w:r>
      <w:r w:rsidRPr="009A0DA6">
        <w:rPr>
          <w:rFonts w:ascii="Cambria" w:eastAsia="Times New Roman" w:hAnsi="Cambria" w:cstheme="minorHAnsi"/>
          <w:spacing w:val="3"/>
        </w:rPr>
        <w:t>e</w:t>
      </w:r>
      <w:r w:rsidRPr="009A0DA6">
        <w:rPr>
          <w:rFonts w:ascii="Cambria" w:eastAsia="Times New Roman" w:hAnsi="Cambria" w:cstheme="minorHAnsi"/>
          <w:spacing w:val="-1"/>
        </w:rPr>
        <w:t>m</w:t>
      </w:r>
      <w:r w:rsidRPr="009A0DA6">
        <w:rPr>
          <w:rFonts w:ascii="Cambria" w:eastAsia="Times New Roman" w:hAnsi="Cambria" w:cstheme="minorHAnsi"/>
        </w:rPr>
        <w:t>e</w:t>
      </w:r>
      <w:r w:rsidRPr="009A0DA6">
        <w:rPr>
          <w:rFonts w:ascii="Cambria" w:eastAsia="Times New Roman" w:hAnsi="Cambria" w:cstheme="minorHAnsi"/>
          <w:spacing w:val="-1"/>
        </w:rPr>
        <w:t>n</w:t>
      </w:r>
      <w:r w:rsidRPr="009A0DA6">
        <w:rPr>
          <w:rFonts w:ascii="Cambria" w:eastAsia="Times New Roman" w:hAnsi="Cambria" w:cstheme="minorHAnsi"/>
        </w:rPr>
        <w:t>ts</w:t>
      </w:r>
      <w:r w:rsidRPr="009A0DA6">
        <w:rPr>
          <w:rFonts w:ascii="Cambria" w:eastAsia="Times New Roman" w:hAnsi="Cambria" w:cstheme="minorHAnsi"/>
          <w:spacing w:val="-3"/>
        </w:rPr>
        <w:t xml:space="preserve"> </w:t>
      </w:r>
      <w:r w:rsidRPr="009A0DA6">
        <w:rPr>
          <w:rFonts w:ascii="Cambria" w:eastAsia="Times New Roman" w:hAnsi="Cambria" w:cstheme="minorHAnsi"/>
          <w:spacing w:val="4"/>
        </w:rPr>
        <w:t>o</w:t>
      </w:r>
      <w:r w:rsidRPr="009A0DA6">
        <w:rPr>
          <w:rFonts w:ascii="Cambria" w:eastAsia="Times New Roman" w:hAnsi="Cambria" w:cstheme="minorHAnsi"/>
        </w:rPr>
        <w:t>f</w:t>
      </w:r>
      <w:r w:rsidRPr="009A0DA6">
        <w:rPr>
          <w:rFonts w:ascii="Cambria" w:eastAsia="Times New Roman" w:hAnsi="Cambria" w:cstheme="minorHAnsi"/>
          <w:spacing w:val="4"/>
        </w:rPr>
        <w:t xml:space="preserve"> </w:t>
      </w:r>
      <w:r w:rsidRPr="009A0DA6">
        <w:rPr>
          <w:rFonts w:ascii="Cambria" w:eastAsia="Times New Roman" w:hAnsi="Cambria" w:cstheme="minorHAnsi"/>
          <w:spacing w:val="2"/>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8"/>
        </w:rPr>
        <w:t xml:space="preserve"> </w:t>
      </w:r>
      <w:r w:rsidRPr="009A0DA6">
        <w:rPr>
          <w:rFonts w:ascii="Cambria" w:eastAsia="Times New Roman" w:hAnsi="Cambria" w:cstheme="minorHAnsi"/>
          <w:spacing w:val="-2"/>
        </w:rPr>
        <w:t>A</w:t>
      </w:r>
      <w:r w:rsidRPr="009A0DA6">
        <w:rPr>
          <w:rFonts w:ascii="Cambria" w:eastAsia="Times New Roman" w:hAnsi="Cambria" w:cstheme="minorHAnsi"/>
        </w:rPr>
        <w:t>cc</w:t>
      </w:r>
      <w:r w:rsidRPr="009A0DA6">
        <w:rPr>
          <w:rFonts w:ascii="Cambria" w:eastAsia="Times New Roman" w:hAnsi="Cambria" w:cstheme="minorHAnsi"/>
          <w:spacing w:val="1"/>
        </w:rPr>
        <w:t>ou</w:t>
      </w:r>
      <w:r w:rsidRPr="009A0DA6">
        <w:rPr>
          <w:rFonts w:ascii="Cambria" w:eastAsia="Times New Roman" w:hAnsi="Cambria" w:cstheme="minorHAnsi"/>
          <w:spacing w:val="-1"/>
        </w:rPr>
        <w:t>n</w:t>
      </w:r>
      <w:r w:rsidRPr="009A0DA6">
        <w:rPr>
          <w:rFonts w:ascii="Cambria" w:eastAsia="Times New Roman" w:hAnsi="Cambria" w:cstheme="minorHAnsi"/>
        </w:rPr>
        <w:t>t</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rPr>
        <w:t xml:space="preserve">g </w:t>
      </w:r>
      <w:r w:rsidRPr="009A0DA6">
        <w:rPr>
          <w:rFonts w:ascii="Cambria" w:eastAsia="Times New Roman" w:hAnsi="Cambria" w:cstheme="minorHAnsi"/>
          <w:spacing w:val="2"/>
        </w:rPr>
        <w:t>P</w:t>
      </w:r>
      <w:r w:rsidRPr="009A0DA6">
        <w:rPr>
          <w:rFonts w:ascii="Cambria" w:eastAsia="Times New Roman" w:hAnsi="Cambria" w:cstheme="minorHAnsi"/>
          <w:spacing w:val="1"/>
        </w:rPr>
        <w:t>ro</w:t>
      </w:r>
      <w:r w:rsidRPr="009A0DA6">
        <w:rPr>
          <w:rFonts w:ascii="Cambria" w:eastAsia="Times New Roman" w:hAnsi="Cambria" w:cstheme="minorHAnsi"/>
          <w:spacing w:val="-1"/>
        </w:rPr>
        <w:t>f</w:t>
      </w:r>
      <w:r w:rsidRPr="009A0DA6">
        <w:rPr>
          <w:rFonts w:ascii="Cambria" w:eastAsia="Times New Roman" w:hAnsi="Cambria" w:cstheme="minorHAnsi"/>
        </w:rPr>
        <w:t>e</w:t>
      </w:r>
      <w:r w:rsidRPr="009A0DA6">
        <w:rPr>
          <w:rFonts w:ascii="Cambria" w:eastAsia="Times New Roman" w:hAnsi="Cambria" w:cstheme="minorHAnsi"/>
          <w:spacing w:val="-1"/>
        </w:rPr>
        <w:t>ss</w:t>
      </w:r>
      <w:r w:rsidRPr="009A0DA6">
        <w:rPr>
          <w:rFonts w:ascii="Cambria" w:eastAsia="Times New Roman" w:hAnsi="Cambria" w:cstheme="minorHAnsi"/>
        </w:rPr>
        <w:t>i</w:t>
      </w:r>
      <w:r w:rsidRPr="009A0DA6">
        <w:rPr>
          <w:rFonts w:ascii="Cambria" w:eastAsia="Times New Roman" w:hAnsi="Cambria" w:cstheme="minorHAnsi"/>
          <w:spacing w:val="1"/>
        </w:rPr>
        <w:t>o</w:t>
      </w:r>
      <w:r w:rsidRPr="009A0DA6">
        <w:rPr>
          <w:rFonts w:ascii="Cambria" w:eastAsia="Times New Roman" w:hAnsi="Cambria" w:cstheme="minorHAnsi"/>
          <w:spacing w:val="-1"/>
        </w:rPr>
        <w:t>n</w:t>
      </w:r>
      <w:r w:rsidRPr="009A0DA6">
        <w:rPr>
          <w:rFonts w:ascii="Cambria" w:eastAsia="Times New Roman" w:hAnsi="Cambria" w:cstheme="minorHAnsi"/>
        </w:rPr>
        <w:t>al</w:t>
      </w:r>
      <w:r w:rsidRPr="009A0DA6">
        <w:rPr>
          <w:rFonts w:ascii="Cambria" w:eastAsia="Times New Roman" w:hAnsi="Cambria" w:cstheme="minorHAnsi"/>
          <w:spacing w:val="-3"/>
        </w:rPr>
        <w:t xml:space="preserve"> </w:t>
      </w:r>
      <w:r w:rsidRPr="009A0DA6">
        <w:rPr>
          <w:rFonts w:ascii="Cambria" w:eastAsia="Times New Roman" w:hAnsi="Cambria" w:cstheme="minorHAnsi"/>
          <w:spacing w:val="3"/>
        </w:rPr>
        <w:t>a</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spacing w:val="6"/>
        </w:rPr>
        <w:t xml:space="preserve"> </w:t>
      </w:r>
      <w:r w:rsidRPr="009A0DA6">
        <w:rPr>
          <w:rFonts w:ascii="Cambria" w:eastAsia="Times New Roman" w:hAnsi="Cambria" w:cstheme="minorHAnsi"/>
          <w:spacing w:val="1"/>
        </w:rPr>
        <w:t>E</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ic</w:t>
      </w:r>
      <w:r w:rsidRPr="009A0DA6">
        <w:rPr>
          <w:rFonts w:ascii="Cambria" w:eastAsia="Times New Roman" w:hAnsi="Cambria" w:cstheme="minorHAnsi"/>
          <w:spacing w:val="3"/>
        </w:rPr>
        <w:t>a</w:t>
      </w:r>
      <w:r w:rsidRPr="009A0DA6">
        <w:rPr>
          <w:rFonts w:ascii="Cambria" w:eastAsia="Times New Roman" w:hAnsi="Cambria" w:cstheme="minorHAnsi"/>
        </w:rPr>
        <w:t>l</w:t>
      </w:r>
      <w:r w:rsidRPr="009A0DA6">
        <w:rPr>
          <w:rFonts w:ascii="Cambria" w:eastAsia="Times New Roman" w:hAnsi="Cambria" w:cstheme="minorHAnsi"/>
          <w:spacing w:val="1"/>
        </w:rPr>
        <w:t xml:space="preserve"> </w:t>
      </w:r>
      <w:r w:rsidRPr="009A0DA6">
        <w:rPr>
          <w:rFonts w:ascii="Cambria" w:eastAsia="Times New Roman" w:hAnsi="Cambria" w:cstheme="minorHAnsi"/>
        </w:rPr>
        <w:t>St</w:t>
      </w:r>
      <w:r w:rsidRPr="009A0DA6">
        <w:rPr>
          <w:rFonts w:ascii="Cambria" w:eastAsia="Times New Roman" w:hAnsi="Cambria" w:cstheme="minorHAnsi"/>
          <w:spacing w:val="3"/>
        </w:rPr>
        <w:t>a</w:t>
      </w:r>
      <w:r w:rsidRPr="009A0DA6">
        <w:rPr>
          <w:rFonts w:ascii="Cambria" w:eastAsia="Times New Roman" w:hAnsi="Cambria" w:cstheme="minorHAnsi"/>
          <w:spacing w:val="-1"/>
        </w:rPr>
        <w:t>n</w:t>
      </w:r>
      <w:r w:rsidRPr="009A0DA6">
        <w:rPr>
          <w:rFonts w:ascii="Cambria" w:eastAsia="Times New Roman" w:hAnsi="Cambria" w:cstheme="minorHAnsi"/>
          <w:spacing w:val="1"/>
        </w:rPr>
        <w:t>d</w:t>
      </w:r>
      <w:r w:rsidRPr="009A0DA6">
        <w:rPr>
          <w:rFonts w:ascii="Cambria" w:eastAsia="Times New Roman" w:hAnsi="Cambria" w:cstheme="minorHAnsi"/>
        </w:rPr>
        <w:t>a</w:t>
      </w:r>
      <w:r w:rsidRPr="009A0DA6">
        <w:rPr>
          <w:rFonts w:ascii="Cambria" w:eastAsia="Times New Roman" w:hAnsi="Cambria" w:cstheme="minorHAnsi"/>
          <w:spacing w:val="1"/>
        </w:rPr>
        <w:t>rd</w:t>
      </w:r>
      <w:r w:rsidRPr="009A0DA6">
        <w:rPr>
          <w:rFonts w:ascii="Cambria" w:eastAsia="Times New Roman" w:hAnsi="Cambria" w:cstheme="minorHAnsi"/>
        </w:rPr>
        <w:t>s</w:t>
      </w:r>
      <w:r w:rsidRPr="009A0DA6">
        <w:rPr>
          <w:rFonts w:ascii="Cambria" w:eastAsia="Times New Roman" w:hAnsi="Cambria" w:cstheme="minorHAnsi"/>
          <w:spacing w:val="-1"/>
        </w:rPr>
        <w:t xml:space="preserve"> </w:t>
      </w:r>
      <w:r w:rsidRPr="009A0DA6">
        <w:rPr>
          <w:rFonts w:ascii="Cambria" w:eastAsia="Times New Roman" w:hAnsi="Cambria" w:cstheme="minorHAnsi"/>
          <w:spacing w:val="2"/>
        </w:rPr>
        <w:t>B</w:t>
      </w:r>
      <w:r w:rsidRPr="009A0DA6">
        <w:rPr>
          <w:rFonts w:ascii="Cambria" w:eastAsia="Times New Roman" w:hAnsi="Cambria" w:cstheme="minorHAnsi"/>
          <w:spacing w:val="1"/>
        </w:rPr>
        <w:t>o</w:t>
      </w:r>
      <w:r w:rsidRPr="009A0DA6">
        <w:rPr>
          <w:rFonts w:ascii="Cambria" w:eastAsia="Times New Roman" w:hAnsi="Cambria" w:cstheme="minorHAnsi"/>
        </w:rPr>
        <w:t>a</w:t>
      </w:r>
      <w:r w:rsidRPr="009A0DA6">
        <w:rPr>
          <w:rFonts w:ascii="Cambria" w:eastAsia="Times New Roman" w:hAnsi="Cambria" w:cstheme="minorHAnsi"/>
          <w:spacing w:val="1"/>
        </w:rPr>
        <w:t>rd</w:t>
      </w:r>
      <w:r w:rsidRPr="009A0DA6">
        <w:rPr>
          <w:rFonts w:ascii="Cambria" w:eastAsia="Times New Roman" w:hAnsi="Cambria" w:cstheme="minorHAnsi"/>
          <w:spacing w:val="-1"/>
        </w:rPr>
        <w:t>’</w:t>
      </w:r>
      <w:r w:rsidRPr="009A0DA6">
        <w:rPr>
          <w:rFonts w:ascii="Cambria" w:eastAsia="Times New Roman" w:hAnsi="Cambria" w:cstheme="minorHAnsi"/>
        </w:rPr>
        <w:t>s</w:t>
      </w:r>
      <w:r w:rsidRPr="009A0DA6">
        <w:rPr>
          <w:rFonts w:ascii="Cambria" w:eastAsia="Times New Roman" w:hAnsi="Cambria" w:cstheme="minorHAnsi"/>
          <w:spacing w:val="1"/>
        </w:rPr>
        <w:t xml:space="preserve"> </w:t>
      </w:r>
      <w:r w:rsidRPr="009A0DA6">
        <w:rPr>
          <w:rFonts w:ascii="Cambria" w:eastAsia="Times New Roman" w:hAnsi="Cambria" w:cstheme="minorHAnsi"/>
          <w:spacing w:val="-2"/>
        </w:rPr>
        <w:t>A</w:t>
      </w:r>
      <w:r w:rsidRPr="009A0DA6">
        <w:rPr>
          <w:rFonts w:ascii="Cambria" w:eastAsia="Times New Roman" w:hAnsi="Cambria" w:cstheme="minorHAnsi"/>
          <w:spacing w:val="2"/>
        </w:rPr>
        <w:t>P</w:t>
      </w:r>
      <w:r w:rsidRPr="009A0DA6">
        <w:rPr>
          <w:rFonts w:ascii="Cambria" w:eastAsia="Times New Roman" w:hAnsi="Cambria" w:cstheme="minorHAnsi"/>
          <w:spacing w:val="3"/>
        </w:rPr>
        <w:t>E</w:t>
      </w:r>
      <w:r w:rsidRPr="009A0DA6">
        <w:rPr>
          <w:rFonts w:ascii="Cambria" w:eastAsia="Times New Roman" w:hAnsi="Cambria" w:cstheme="minorHAnsi"/>
        </w:rPr>
        <w:t xml:space="preserve">S </w:t>
      </w:r>
      <w:r w:rsidRPr="009A0DA6">
        <w:rPr>
          <w:rFonts w:ascii="Cambria" w:eastAsia="Times New Roman" w:hAnsi="Cambria" w:cstheme="minorHAnsi"/>
          <w:spacing w:val="1"/>
        </w:rPr>
        <w:t>11</w:t>
      </w:r>
      <w:r w:rsidRPr="009A0DA6">
        <w:rPr>
          <w:rFonts w:ascii="Cambria" w:eastAsia="Times New Roman" w:hAnsi="Cambria" w:cstheme="minorHAnsi"/>
        </w:rPr>
        <w:t>0</w:t>
      </w:r>
      <w:r w:rsidRPr="009A0DA6">
        <w:rPr>
          <w:rFonts w:ascii="Cambria" w:eastAsia="Times New Roman" w:hAnsi="Cambria" w:cstheme="minorHAnsi"/>
          <w:spacing w:val="42"/>
        </w:rPr>
        <w:t xml:space="preserve"> </w:t>
      </w:r>
      <w:r w:rsidRPr="009A0DA6">
        <w:rPr>
          <w:rFonts w:ascii="Cambria" w:eastAsia="Times New Roman" w:hAnsi="Cambria" w:cstheme="minorHAnsi"/>
          <w:spacing w:val="-1"/>
        </w:rPr>
        <w:t>C</w:t>
      </w:r>
      <w:r w:rsidRPr="009A0DA6">
        <w:rPr>
          <w:rFonts w:ascii="Cambria" w:eastAsia="Times New Roman" w:hAnsi="Cambria" w:cstheme="minorHAnsi"/>
          <w:spacing w:val="1"/>
        </w:rPr>
        <w:t>od</w:t>
      </w:r>
      <w:r w:rsidRPr="009A0DA6">
        <w:rPr>
          <w:rFonts w:ascii="Cambria" w:eastAsia="Times New Roman" w:hAnsi="Cambria" w:cstheme="minorHAnsi"/>
        </w:rPr>
        <w:t>e</w:t>
      </w:r>
      <w:r w:rsidRPr="009A0DA6">
        <w:rPr>
          <w:rFonts w:ascii="Cambria" w:eastAsia="Times New Roman" w:hAnsi="Cambria" w:cstheme="minorHAnsi"/>
          <w:spacing w:val="38"/>
        </w:rPr>
        <w:t xml:space="preserve"> </w:t>
      </w:r>
      <w:r w:rsidRPr="009A0DA6">
        <w:rPr>
          <w:rFonts w:ascii="Cambria" w:eastAsia="Times New Roman" w:hAnsi="Cambria" w:cstheme="minorHAnsi"/>
          <w:spacing w:val="1"/>
        </w:rPr>
        <w:t>o</w:t>
      </w:r>
      <w:r w:rsidRPr="009A0DA6">
        <w:rPr>
          <w:rFonts w:ascii="Cambria" w:eastAsia="Times New Roman" w:hAnsi="Cambria" w:cstheme="minorHAnsi"/>
        </w:rPr>
        <w:t>f</w:t>
      </w:r>
      <w:r w:rsidRPr="009A0DA6">
        <w:rPr>
          <w:rFonts w:ascii="Cambria" w:eastAsia="Times New Roman" w:hAnsi="Cambria" w:cstheme="minorHAnsi"/>
          <w:spacing w:val="40"/>
        </w:rPr>
        <w:t xml:space="preserve"> </w:t>
      </w:r>
      <w:r w:rsidRPr="009A0DA6">
        <w:rPr>
          <w:rFonts w:ascii="Cambria" w:eastAsia="Times New Roman" w:hAnsi="Cambria" w:cstheme="minorHAnsi"/>
          <w:spacing w:val="1"/>
        </w:rPr>
        <w:t>E</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ics</w:t>
      </w:r>
      <w:r w:rsidRPr="009A0DA6">
        <w:rPr>
          <w:rFonts w:ascii="Cambria" w:eastAsia="Times New Roman" w:hAnsi="Cambria" w:cstheme="minorHAnsi"/>
          <w:spacing w:val="38"/>
        </w:rPr>
        <w:t xml:space="preserve"> </w:t>
      </w:r>
      <w:r w:rsidRPr="009A0DA6">
        <w:rPr>
          <w:rFonts w:ascii="Cambria" w:eastAsia="Times New Roman" w:hAnsi="Cambria" w:cstheme="minorHAnsi"/>
          <w:spacing w:val="-1"/>
        </w:rPr>
        <w:t>f</w:t>
      </w:r>
      <w:r w:rsidRPr="009A0DA6">
        <w:rPr>
          <w:rFonts w:ascii="Cambria" w:eastAsia="Times New Roman" w:hAnsi="Cambria" w:cstheme="minorHAnsi"/>
          <w:spacing w:val="1"/>
        </w:rPr>
        <w:t>o</w:t>
      </w:r>
      <w:r w:rsidRPr="009A0DA6">
        <w:rPr>
          <w:rFonts w:ascii="Cambria" w:eastAsia="Times New Roman" w:hAnsi="Cambria" w:cstheme="minorHAnsi"/>
        </w:rPr>
        <w:t>r</w:t>
      </w:r>
      <w:r w:rsidRPr="009A0DA6">
        <w:rPr>
          <w:rFonts w:ascii="Cambria" w:eastAsia="Times New Roman" w:hAnsi="Cambria" w:cstheme="minorHAnsi"/>
          <w:spacing w:val="43"/>
        </w:rPr>
        <w:t xml:space="preserve"> </w:t>
      </w:r>
      <w:r w:rsidRPr="009A0DA6">
        <w:rPr>
          <w:rFonts w:ascii="Cambria" w:eastAsia="Times New Roman" w:hAnsi="Cambria" w:cstheme="minorHAnsi"/>
          <w:spacing w:val="2"/>
        </w:rPr>
        <w:t>P</w:t>
      </w:r>
      <w:r w:rsidRPr="009A0DA6">
        <w:rPr>
          <w:rFonts w:ascii="Cambria" w:eastAsia="Times New Roman" w:hAnsi="Cambria" w:cstheme="minorHAnsi"/>
          <w:spacing w:val="1"/>
        </w:rPr>
        <w:t>ro</w:t>
      </w:r>
      <w:r w:rsidRPr="009A0DA6">
        <w:rPr>
          <w:rFonts w:ascii="Cambria" w:eastAsia="Times New Roman" w:hAnsi="Cambria" w:cstheme="minorHAnsi"/>
          <w:spacing w:val="-1"/>
        </w:rPr>
        <w:t>f</w:t>
      </w:r>
      <w:r w:rsidRPr="009A0DA6">
        <w:rPr>
          <w:rFonts w:ascii="Cambria" w:eastAsia="Times New Roman" w:hAnsi="Cambria" w:cstheme="minorHAnsi"/>
        </w:rPr>
        <w:t>e</w:t>
      </w:r>
      <w:r w:rsidRPr="009A0DA6">
        <w:rPr>
          <w:rFonts w:ascii="Cambria" w:eastAsia="Times New Roman" w:hAnsi="Cambria" w:cstheme="minorHAnsi"/>
          <w:spacing w:val="-1"/>
        </w:rPr>
        <w:t>ss</w:t>
      </w:r>
      <w:r w:rsidRPr="009A0DA6">
        <w:rPr>
          <w:rFonts w:ascii="Cambria" w:eastAsia="Times New Roman" w:hAnsi="Cambria" w:cstheme="minorHAnsi"/>
        </w:rPr>
        <w:t>i</w:t>
      </w:r>
      <w:r w:rsidRPr="009A0DA6">
        <w:rPr>
          <w:rFonts w:ascii="Cambria" w:eastAsia="Times New Roman" w:hAnsi="Cambria" w:cstheme="minorHAnsi"/>
          <w:spacing w:val="1"/>
        </w:rPr>
        <w:t>o</w:t>
      </w:r>
      <w:r w:rsidRPr="009A0DA6">
        <w:rPr>
          <w:rFonts w:ascii="Cambria" w:eastAsia="Times New Roman" w:hAnsi="Cambria" w:cstheme="minorHAnsi"/>
          <w:spacing w:val="-1"/>
        </w:rPr>
        <w:t>n</w:t>
      </w:r>
      <w:r w:rsidRPr="009A0DA6">
        <w:rPr>
          <w:rFonts w:ascii="Cambria" w:eastAsia="Times New Roman" w:hAnsi="Cambria" w:cstheme="minorHAnsi"/>
        </w:rPr>
        <w:t>al</w:t>
      </w:r>
      <w:r w:rsidRPr="009A0DA6">
        <w:rPr>
          <w:rFonts w:ascii="Cambria" w:eastAsia="Times New Roman" w:hAnsi="Cambria" w:cstheme="minorHAnsi"/>
          <w:spacing w:val="36"/>
        </w:rPr>
        <w:t xml:space="preserve"> </w:t>
      </w:r>
      <w:r w:rsidRPr="009A0DA6">
        <w:rPr>
          <w:rFonts w:ascii="Cambria" w:eastAsia="Times New Roman" w:hAnsi="Cambria" w:cstheme="minorHAnsi"/>
          <w:spacing w:val="-2"/>
        </w:rPr>
        <w:t>A</w:t>
      </w:r>
      <w:r w:rsidRPr="009A0DA6">
        <w:rPr>
          <w:rFonts w:ascii="Cambria" w:eastAsia="Times New Roman" w:hAnsi="Cambria" w:cstheme="minorHAnsi"/>
        </w:rPr>
        <w:t>cc</w:t>
      </w:r>
      <w:r w:rsidRPr="009A0DA6">
        <w:rPr>
          <w:rFonts w:ascii="Cambria" w:eastAsia="Times New Roman" w:hAnsi="Cambria" w:cstheme="minorHAnsi"/>
          <w:spacing w:val="4"/>
        </w:rPr>
        <w:t>o</w:t>
      </w:r>
      <w:r w:rsidRPr="009A0DA6">
        <w:rPr>
          <w:rFonts w:ascii="Cambria" w:eastAsia="Times New Roman" w:hAnsi="Cambria" w:cstheme="minorHAnsi"/>
          <w:spacing w:val="-1"/>
        </w:rPr>
        <w:t>un</w:t>
      </w:r>
      <w:r w:rsidRPr="009A0DA6">
        <w:rPr>
          <w:rFonts w:ascii="Cambria" w:eastAsia="Times New Roman" w:hAnsi="Cambria" w:cstheme="minorHAnsi"/>
        </w:rPr>
        <w:t>t</w:t>
      </w:r>
      <w:r w:rsidRPr="009A0DA6">
        <w:rPr>
          <w:rFonts w:ascii="Cambria" w:eastAsia="Times New Roman" w:hAnsi="Cambria" w:cstheme="minorHAnsi"/>
          <w:spacing w:val="3"/>
        </w:rPr>
        <w:t>a</w:t>
      </w:r>
      <w:r w:rsidRPr="009A0DA6">
        <w:rPr>
          <w:rFonts w:ascii="Cambria" w:eastAsia="Times New Roman" w:hAnsi="Cambria" w:cstheme="minorHAnsi"/>
          <w:spacing w:val="-1"/>
        </w:rPr>
        <w:t>n</w:t>
      </w:r>
      <w:r w:rsidRPr="009A0DA6">
        <w:rPr>
          <w:rFonts w:ascii="Cambria" w:eastAsia="Times New Roman" w:hAnsi="Cambria" w:cstheme="minorHAnsi"/>
          <w:spacing w:val="2"/>
        </w:rPr>
        <w:t>t</w:t>
      </w:r>
      <w:r w:rsidRPr="009A0DA6">
        <w:rPr>
          <w:rFonts w:ascii="Cambria" w:eastAsia="Times New Roman" w:hAnsi="Cambria" w:cstheme="minorHAnsi"/>
        </w:rPr>
        <w:t>s</w:t>
      </w:r>
      <w:r w:rsidRPr="009A0DA6">
        <w:rPr>
          <w:rFonts w:ascii="Cambria" w:eastAsia="Times New Roman" w:hAnsi="Cambria" w:cstheme="minorHAnsi"/>
          <w:spacing w:val="33"/>
        </w:rPr>
        <w:t xml:space="preserve"> </w:t>
      </w:r>
      <w:r w:rsidRPr="009A0DA6">
        <w:rPr>
          <w:rFonts w:ascii="Cambria" w:eastAsia="Times New Roman" w:hAnsi="Cambria" w:cstheme="minorHAnsi"/>
          <w:spacing w:val="1"/>
        </w:rPr>
        <w:t>(</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41"/>
        </w:rPr>
        <w:t xml:space="preserve"> </w:t>
      </w:r>
      <w:r w:rsidRPr="009A0DA6">
        <w:rPr>
          <w:rFonts w:ascii="Cambria" w:eastAsia="Times New Roman" w:hAnsi="Cambria" w:cstheme="minorHAnsi"/>
          <w:spacing w:val="2"/>
        </w:rPr>
        <w:t>C</w:t>
      </w:r>
      <w:r w:rsidRPr="009A0DA6">
        <w:rPr>
          <w:rFonts w:ascii="Cambria" w:eastAsia="Times New Roman" w:hAnsi="Cambria" w:cstheme="minorHAnsi"/>
          <w:spacing w:val="1"/>
        </w:rPr>
        <w:t>od</w:t>
      </w:r>
      <w:r w:rsidRPr="009A0DA6">
        <w:rPr>
          <w:rFonts w:ascii="Cambria" w:eastAsia="Times New Roman" w:hAnsi="Cambria" w:cstheme="minorHAnsi"/>
        </w:rPr>
        <w:t>e)</w:t>
      </w:r>
      <w:r w:rsidRPr="009A0DA6">
        <w:rPr>
          <w:rFonts w:ascii="Cambria" w:eastAsia="Times New Roman" w:hAnsi="Cambria" w:cstheme="minorHAnsi"/>
          <w:spacing w:val="40"/>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at</w:t>
      </w:r>
      <w:r w:rsidRPr="009A0DA6">
        <w:rPr>
          <w:rFonts w:ascii="Cambria" w:eastAsia="Times New Roman" w:hAnsi="Cambria" w:cstheme="minorHAnsi"/>
          <w:spacing w:val="40"/>
        </w:rPr>
        <w:t xml:space="preserve"> </w:t>
      </w:r>
      <w:r w:rsidRPr="009A0DA6">
        <w:rPr>
          <w:rFonts w:ascii="Cambria" w:eastAsia="Times New Roman" w:hAnsi="Cambria" w:cstheme="minorHAnsi"/>
        </w:rPr>
        <w:t>a</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40"/>
        </w:rPr>
        <w:t xml:space="preserve"> </w:t>
      </w:r>
      <w:r w:rsidRPr="009A0DA6">
        <w:rPr>
          <w:rFonts w:ascii="Cambria" w:eastAsia="Times New Roman" w:hAnsi="Cambria" w:cstheme="minorHAnsi"/>
          <w:spacing w:val="1"/>
        </w:rPr>
        <w:t>r</w:t>
      </w:r>
      <w:r w:rsidRPr="009A0DA6">
        <w:rPr>
          <w:rFonts w:ascii="Cambria" w:eastAsia="Times New Roman" w:hAnsi="Cambria" w:cstheme="minorHAnsi"/>
        </w:rPr>
        <w:t>ele</w:t>
      </w:r>
      <w:r w:rsidRPr="009A0DA6">
        <w:rPr>
          <w:rFonts w:ascii="Cambria" w:eastAsia="Times New Roman" w:hAnsi="Cambria" w:cstheme="minorHAnsi"/>
          <w:spacing w:val="-1"/>
        </w:rPr>
        <w:t>v</w:t>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rPr>
        <w:t>t</w:t>
      </w:r>
      <w:r w:rsidRPr="009A0DA6">
        <w:rPr>
          <w:rFonts w:ascii="Cambria" w:eastAsia="Times New Roman" w:hAnsi="Cambria" w:cstheme="minorHAnsi"/>
          <w:spacing w:val="37"/>
        </w:rPr>
        <w:t xml:space="preserve"> </w:t>
      </w:r>
      <w:r w:rsidRPr="009A0DA6">
        <w:rPr>
          <w:rFonts w:ascii="Cambria" w:eastAsia="Times New Roman" w:hAnsi="Cambria" w:cstheme="minorHAnsi"/>
        </w:rPr>
        <w:t>to</w:t>
      </w:r>
      <w:r w:rsidRPr="009A0DA6">
        <w:rPr>
          <w:rFonts w:ascii="Cambria" w:eastAsia="Times New Roman" w:hAnsi="Cambria" w:cstheme="minorHAnsi"/>
          <w:spacing w:val="43"/>
        </w:rPr>
        <w:t xml:space="preserve"> </w:t>
      </w:r>
      <w:r w:rsidRPr="009A0DA6">
        <w:rPr>
          <w:rFonts w:ascii="Cambria" w:eastAsia="Times New Roman" w:hAnsi="Cambria" w:cstheme="minorHAnsi"/>
          <w:spacing w:val="1"/>
        </w:rPr>
        <w:t>o</w:t>
      </w:r>
      <w:r w:rsidRPr="009A0DA6">
        <w:rPr>
          <w:rFonts w:ascii="Cambria" w:eastAsia="Times New Roman" w:hAnsi="Cambria" w:cstheme="minorHAnsi"/>
          <w:spacing w:val="-1"/>
        </w:rPr>
        <w:t>u</w:t>
      </w:r>
      <w:r w:rsidRPr="009A0DA6">
        <w:rPr>
          <w:rFonts w:ascii="Cambria" w:eastAsia="Times New Roman" w:hAnsi="Cambria" w:cstheme="minorHAnsi"/>
        </w:rPr>
        <w:t>r</w:t>
      </w:r>
      <w:r w:rsidRPr="009A0DA6">
        <w:rPr>
          <w:rFonts w:ascii="Cambria" w:eastAsia="Times New Roman" w:hAnsi="Cambria" w:cstheme="minorHAnsi"/>
          <w:spacing w:val="42"/>
        </w:rPr>
        <w:t xml:space="preserve"> </w:t>
      </w:r>
      <w:r w:rsidRPr="009A0DA6">
        <w:rPr>
          <w:rFonts w:ascii="Cambria" w:eastAsia="Times New Roman" w:hAnsi="Cambria" w:cstheme="minorHAnsi"/>
        </w:rPr>
        <w:t>a</w:t>
      </w:r>
      <w:r w:rsidRPr="009A0DA6">
        <w:rPr>
          <w:rFonts w:ascii="Cambria" w:eastAsia="Times New Roman" w:hAnsi="Cambria" w:cstheme="minorHAnsi"/>
          <w:spacing w:val="-1"/>
        </w:rPr>
        <w:t>u</w:t>
      </w:r>
      <w:r w:rsidRPr="009A0DA6">
        <w:rPr>
          <w:rFonts w:ascii="Cambria" w:eastAsia="Times New Roman" w:hAnsi="Cambria" w:cstheme="minorHAnsi"/>
          <w:spacing w:val="1"/>
        </w:rPr>
        <w:t>d</w:t>
      </w:r>
      <w:r w:rsidRPr="009A0DA6">
        <w:rPr>
          <w:rFonts w:ascii="Cambria" w:eastAsia="Times New Roman" w:hAnsi="Cambria" w:cstheme="minorHAnsi"/>
        </w:rPr>
        <w:t>it</w:t>
      </w:r>
      <w:r w:rsidRPr="009A0DA6">
        <w:rPr>
          <w:rFonts w:ascii="Cambria" w:eastAsia="Times New Roman" w:hAnsi="Cambria" w:cstheme="minorHAnsi"/>
          <w:spacing w:val="39"/>
        </w:rPr>
        <w:t xml:space="preserve"> </w:t>
      </w:r>
      <w:r w:rsidRPr="009A0DA6">
        <w:rPr>
          <w:rFonts w:ascii="Cambria" w:eastAsia="Times New Roman" w:hAnsi="Cambria" w:cstheme="minorHAnsi"/>
          <w:spacing w:val="1"/>
        </w:rPr>
        <w:t>o</w:t>
      </w:r>
      <w:r w:rsidRPr="009A0DA6">
        <w:rPr>
          <w:rFonts w:ascii="Cambria" w:eastAsia="Times New Roman" w:hAnsi="Cambria" w:cstheme="minorHAnsi"/>
        </w:rPr>
        <w:t>f</w:t>
      </w:r>
      <w:r w:rsidRPr="009A0DA6">
        <w:rPr>
          <w:rFonts w:ascii="Cambria" w:eastAsia="Times New Roman" w:hAnsi="Cambria" w:cstheme="minorHAnsi"/>
          <w:spacing w:val="40"/>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 xml:space="preserve">e </w:t>
      </w:r>
      <w:r w:rsidRPr="009A0DA6">
        <w:rPr>
          <w:rFonts w:ascii="Cambria" w:eastAsia="Times New Roman" w:hAnsi="Cambria" w:cstheme="minorHAnsi"/>
          <w:spacing w:val="-1"/>
        </w:rPr>
        <w:t>f</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rPr>
        <w:t>ci</w:t>
      </w:r>
      <w:r w:rsidRPr="009A0DA6">
        <w:rPr>
          <w:rFonts w:ascii="Cambria" w:eastAsia="Times New Roman" w:hAnsi="Cambria" w:cstheme="minorHAnsi"/>
          <w:spacing w:val="3"/>
        </w:rPr>
        <w:t>a</w:t>
      </w:r>
      <w:r w:rsidRPr="009A0DA6">
        <w:rPr>
          <w:rFonts w:ascii="Cambria" w:eastAsia="Times New Roman" w:hAnsi="Cambria" w:cstheme="minorHAnsi"/>
        </w:rPr>
        <w:t>l</w:t>
      </w:r>
      <w:r w:rsidRPr="009A0DA6">
        <w:rPr>
          <w:rFonts w:ascii="Cambria" w:eastAsia="Times New Roman" w:hAnsi="Cambria" w:cstheme="minorHAnsi"/>
          <w:spacing w:val="-4"/>
        </w:rPr>
        <w:t xml:space="preserve"> </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1"/>
        </w:rPr>
        <w:t>por</w:t>
      </w:r>
      <w:r w:rsidRPr="009A0DA6">
        <w:rPr>
          <w:rFonts w:ascii="Cambria" w:eastAsia="Times New Roman" w:hAnsi="Cambria" w:cstheme="minorHAnsi"/>
        </w:rPr>
        <w:t>t</w:t>
      </w:r>
      <w:r w:rsidRPr="009A0DA6">
        <w:rPr>
          <w:rFonts w:ascii="Cambria" w:eastAsia="Times New Roman" w:hAnsi="Cambria" w:cstheme="minorHAnsi"/>
          <w:spacing w:val="-2"/>
        </w:rPr>
        <w:t xml:space="preserve"> </w:t>
      </w:r>
      <w:r w:rsidRPr="009A0DA6">
        <w:rPr>
          <w:rFonts w:ascii="Cambria" w:eastAsia="Times New Roman" w:hAnsi="Cambria" w:cstheme="minorHAnsi"/>
        </w:rPr>
        <w:t>in</w:t>
      </w:r>
      <w:r w:rsidRPr="009A0DA6">
        <w:rPr>
          <w:rFonts w:ascii="Cambria" w:eastAsia="Times New Roman" w:hAnsi="Cambria" w:cstheme="minorHAnsi"/>
          <w:spacing w:val="2"/>
        </w:rPr>
        <w:t xml:space="preserve"> </w:t>
      </w:r>
      <w:r w:rsidRPr="009A0DA6">
        <w:rPr>
          <w:rFonts w:ascii="Cambria" w:eastAsia="Times New Roman" w:hAnsi="Cambria" w:cstheme="minorHAnsi"/>
        </w:rPr>
        <w:t>A</w:t>
      </w:r>
      <w:r w:rsidRPr="009A0DA6">
        <w:rPr>
          <w:rFonts w:ascii="Cambria" w:eastAsia="Times New Roman" w:hAnsi="Cambria" w:cstheme="minorHAnsi"/>
          <w:spacing w:val="-1"/>
        </w:rPr>
        <w:t>us</w:t>
      </w:r>
      <w:r w:rsidRPr="009A0DA6">
        <w:rPr>
          <w:rFonts w:ascii="Cambria" w:eastAsia="Times New Roman" w:hAnsi="Cambria" w:cstheme="minorHAnsi"/>
        </w:rPr>
        <w:t>t</w:t>
      </w:r>
      <w:r w:rsidRPr="009A0DA6">
        <w:rPr>
          <w:rFonts w:ascii="Cambria" w:eastAsia="Times New Roman" w:hAnsi="Cambria" w:cstheme="minorHAnsi"/>
          <w:spacing w:val="1"/>
        </w:rPr>
        <w:t>r</w:t>
      </w:r>
      <w:r w:rsidRPr="009A0DA6">
        <w:rPr>
          <w:rFonts w:ascii="Cambria" w:eastAsia="Times New Roman" w:hAnsi="Cambria" w:cstheme="minorHAnsi"/>
        </w:rPr>
        <w:t>alia.</w:t>
      </w:r>
      <w:r w:rsidRPr="009A0DA6">
        <w:rPr>
          <w:rFonts w:ascii="Cambria" w:eastAsia="Times New Roman" w:hAnsi="Cambria" w:cstheme="minorHAnsi"/>
          <w:spacing w:val="-2"/>
        </w:rPr>
        <w:t xml:space="preserve"> </w:t>
      </w:r>
      <w:r w:rsidRPr="009A0DA6">
        <w:rPr>
          <w:rFonts w:ascii="Cambria" w:eastAsia="Times New Roman" w:hAnsi="Cambria" w:cstheme="minorHAnsi"/>
          <w:spacing w:val="2"/>
        </w:rPr>
        <w:t>W</w:t>
      </w:r>
      <w:r w:rsidRPr="009A0DA6">
        <w:rPr>
          <w:rFonts w:ascii="Cambria" w:eastAsia="Times New Roman" w:hAnsi="Cambria" w:cstheme="minorHAnsi"/>
        </w:rPr>
        <w:t xml:space="preserve">e </w:t>
      </w:r>
      <w:r w:rsidRPr="009A0DA6">
        <w:rPr>
          <w:rFonts w:ascii="Cambria" w:eastAsia="Times New Roman" w:hAnsi="Cambria" w:cstheme="minorHAnsi"/>
          <w:spacing w:val="-1"/>
        </w:rPr>
        <w:t>h</w:t>
      </w:r>
      <w:r w:rsidRPr="009A0DA6">
        <w:rPr>
          <w:rFonts w:ascii="Cambria" w:eastAsia="Times New Roman" w:hAnsi="Cambria" w:cstheme="minorHAnsi"/>
        </w:rPr>
        <w:t>a</w:t>
      </w:r>
      <w:r w:rsidRPr="009A0DA6">
        <w:rPr>
          <w:rFonts w:ascii="Cambria" w:eastAsia="Times New Roman" w:hAnsi="Cambria" w:cstheme="minorHAnsi"/>
          <w:spacing w:val="-1"/>
        </w:rPr>
        <w:t>v</w:t>
      </w:r>
      <w:r w:rsidRPr="009A0DA6">
        <w:rPr>
          <w:rFonts w:ascii="Cambria" w:eastAsia="Times New Roman" w:hAnsi="Cambria" w:cstheme="minorHAnsi"/>
        </w:rPr>
        <w:t>e</w:t>
      </w:r>
      <w:r w:rsidRPr="009A0DA6">
        <w:rPr>
          <w:rFonts w:ascii="Cambria" w:eastAsia="Times New Roman" w:hAnsi="Cambria" w:cstheme="minorHAnsi"/>
          <w:spacing w:val="-1"/>
        </w:rPr>
        <w:t xml:space="preserve"> </w:t>
      </w:r>
      <w:r w:rsidRPr="009A0DA6">
        <w:rPr>
          <w:rFonts w:ascii="Cambria" w:eastAsia="Times New Roman" w:hAnsi="Cambria" w:cstheme="minorHAnsi"/>
          <w:spacing w:val="3"/>
        </w:rPr>
        <w:t>a</w:t>
      </w:r>
      <w:r w:rsidRPr="009A0DA6">
        <w:rPr>
          <w:rFonts w:ascii="Cambria" w:eastAsia="Times New Roman" w:hAnsi="Cambria" w:cstheme="minorHAnsi"/>
        </w:rPr>
        <w:t>l</w:t>
      </w:r>
      <w:r w:rsidRPr="009A0DA6">
        <w:rPr>
          <w:rFonts w:ascii="Cambria" w:eastAsia="Times New Roman" w:hAnsi="Cambria" w:cstheme="minorHAnsi"/>
          <w:spacing w:val="-1"/>
        </w:rPr>
        <w:t>s</w:t>
      </w:r>
      <w:r w:rsidRPr="009A0DA6">
        <w:rPr>
          <w:rFonts w:ascii="Cambria" w:eastAsia="Times New Roman" w:hAnsi="Cambria" w:cstheme="minorHAnsi"/>
        </w:rPr>
        <w:t>o</w:t>
      </w:r>
      <w:r w:rsidRPr="009A0DA6">
        <w:rPr>
          <w:rFonts w:ascii="Cambria" w:eastAsia="Times New Roman" w:hAnsi="Cambria" w:cstheme="minorHAnsi"/>
          <w:spacing w:val="3"/>
        </w:rPr>
        <w:t xml:space="preserve"> </w:t>
      </w:r>
      <w:r w:rsidRPr="009A0DA6">
        <w:rPr>
          <w:rFonts w:ascii="Cambria" w:eastAsia="Times New Roman" w:hAnsi="Cambria" w:cstheme="minorHAnsi"/>
          <w:spacing w:val="-1"/>
        </w:rPr>
        <w:t>fu</w:t>
      </w:r>
      <w:r w:rsidRPr="009A0DA6">
        <w:rPr>
          <w:rFonts w:ascii="Cambria" w:eastAsia="Times New Roman" w:hAnsi="Cambria" w:cstheme="minorHAnsi"/>
          <w:spacing w:val="2"/>
        </w:rPr>
        <w:t>l</w:t>
      </w:r>
      <w:r w:rsidRPr="009A0DA6">
        <w:rPr>
          <w:rFonts w:ascii="Cambria" w:eastAsia="Times New Roman" w:hAnsi="Cambria" w:cstheme="minorHAnsi"/>
          <w:spacing w:val="-1"/>
        </w:rPr>
        <w:t>f</w:t>
      </w:r>
      <w:r w:rsidRPr="009A0DA6">
        <w:rPr>
          <w:rFonts w:ascii="Cambria" w:eastAsia="Times New Roman" w:hAnsi="Cambria" w:cstheme="minorHAnsi"/>
        </w:rPr>
        <w:t>i</w:t>
      </w:r>
      <w:r w:rsidRPr="009A0DA6">
        <w:rPr>
          <w:rFonts w:ascii="Cambria" w:eastAsia="Times New Roman" w:hAnsi="Cambria" w:cstheme="minorHAnsi"/>
          <w:spacing w:val="2"/>
        </w:rPr>
        <w:t>l</w:t>
      </w:r>
      <w:r w:rsidRPr="009A0DA6">
        <w:rPr>
          <w:rFonts w:ascii="Cambria" w:eastAsia="Times New Roman" w:hAnsi="Cambria" w:cstheme="minorHAnsi"/>
        </w:rPr>
        <w:t>led</w:t>
      </w:r>
      <w:r w:rsidRPr="009A0DA6">
        <w:rPr>
          <w:rFonts w:ascii="Cambria" w:eastAsia="Times New Roman" w:hAnsi="Cambria" w:cstheme="minorHAnsi"/>
          <w:spacing w:val="-2"/>
        </w:rPr>
        <w:t xml:space="preserve"> </w:t>
      </w:r>
      <w:r w:rsidRPr="009A0DA6">
        <w:rPr>
          <w:rFonts w:ascii="Cambria" w:eastAsia="Times New Roman" w:hAnsi="Cambria" w:cstheme="minorHAnsi"/>
          <w:spacing w:val="1"/>
        </w:rPr>
        <w:t>o</w:t>
      </w:r>
      <w:r w:rsidRPr="009A0DA6">
        <w:rPr>
          <w:rFonts w:ascii="Cambria" w:eastAsia="Times New Roman" w:hAnsi="Cambria" w:cstheme="minorHAnsi"/>
          <w:spacing w:val="-1"/>
        </w:rPr>
        <w:t>u</w:t>
      </w:r>
      <w:r w:rsidRPr="009A0DA6">
        <w:rPr>
          <w:rFonts w:ascii="Cambria" w:eastAsia="Times New Roman" w:hAnsi="Cambria" w:cstheme="minorHAnsi"/>
        </w:rPr>
        <w:t>r</w:t>
      </w:r>
      <w:r w:rsidRPr="009A0DA6">
        <w:rPr>
          <w:rFonts w:ascii="Cambria" w:eastAsia="Times New Roman" w:hAnsi="Cambria" w:cstheme="minorHAnsi"/>
          <w:spacing w:val="1"/>
        </w:rPr>
        <w:t xml:space="preserve"> o</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er et</w:t>
      </w:r>
      <w:r w:rsidRPr="009A0DA6">
        <w:rPr>
          <w:rFonts w:ascii="Cambria" w:eastAsia="Times New Roman" w:hAnsi="Cambria" w:cstheme="minorHAnsi"/>
          <w:spacing w:val="-1"/>
        </w:rPr>
        <w:t>h</w:t>
      </w:r>
      <w:r w:rsidRPr="009A0DA6">
        <w:rPr>
          <w:rFonts w:ascii="Cambria" w:eastAsia="Times New Roman" w:hAnsi="Cambria" w:cstheme="minorHAnsi"/>
        </w:rPr>
        <w:t>ical</w:t>
      </w:r>
      <w:r w:rsidRPr="009A0DA6">
        <w:rPr>
          <w:rFonts w:ascii="Cambria" w:eastAsia="Times New Roman" w:hAnsi="Cambria" w:cstheme="minorHAnsi"/>
          <w:spacing w:val="-2"/>
        </w:rPr>
        <w:t xml:space="preserve"> </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1"/>
        </w:rPr>
        <w:t>s</w:t>
      </w:r>
      <w:r w:rsidRPr="009A0DA6">
        <w:rPr>
          <w:rFonts w:ascii="Cambria" w:eastAsia="Times New Roman" w:hAnsi="Cambria" w:cstheme="minorHAnsi"/>
          <w:spacing w:val="1"/>
        </w:rPr>
        <w:t>pon</w:t>
      </w:r>
      <w:r w:rsidRPr="009A0DA6">
        <w:rPr>
          <w:rFonts w:ascii="Cambria" w:eastAsia="Times New Roman" w:hAnsi="Cambria" w:cstheme="minorHAnsi"/>
          <w:spacing w:val="-1"/>
        </w:rPr>
        <w:t>s</w:t>
      </w:r>
      <w:r w:rsidRPr="009A0DA6">
        <w:rPr>
          <w:rFonts w:ascii="Cambria" w:eastAsia="Times New Roman" w:hAnsi="Cambria" w:cstheme="minorHAnsi"/>
        </w:rPr>
        <w:t>i</w:t>
      </w:r>
      <w:r w:rsidRPr="009A0DA6">
        <w:rPr>
          <w:rFonts w:ascii="Cambria" w:eastAsia="Times New Roman" w:hAnsi="Cambria" w:cstheme="minorHAnsi"/>
          <w:spacing w:val="1"/>
        </w:rPr>
        <w:t>b</w:t>
      </w:r>
      <w:r w:rsidRPr="009A0DA6">
        <w:rPr>
          <w:rFonts w:ascii="Cambria" w:eastAsia="Times New Roman" w:hAnsi="Cambria" w:cstheme="minorHAnsi"/>
        </w:rPr>
        <w:t>iliti</w:t>
      </w:r>
      <w:r w:rsidRPr="009A0DA6">
        <w:rPr>
          <w:rFonts w:ascii="Cambria" w:eastAsia="Times New Roman" w:hAnsi="Cambria" w:cstheme="minorHAnsi"/>
          <w:spacing w:val="3"/>
        </w:rPr>
        <w:t>e</w:t>
      </w:r>
      <w:r w:rsidRPr="009A0DA6">
        <w:rPr>
          <w:rFonts w:ascii="Cambria" w:eastAsia="Times New Roman" w:hAnsi="Cambria" w:cstheme="minorHAnsi"/>
        </w:rPr>
        <w:t>s</w:t>
      </w:r>
      <w:r w:rsidRPr="009A0DA6">
        <w:rPr>
          <w:rFonts w:ascii="Cambria" w:eastAsia="Times New Roman" w:hAnsi="Cambria" w:cstheme="minorHAnsi"/>
          <w:spacing w:val="-10"/>
        </w:rPr>
        <w:t xml:space="preserve"> </w:t>
      </w:r>
      <w:r w:rsidRPr="009A0DA6">
        <w:rPr>
          <w:rFonts w:ascii="Cambria" w:eastAsia="Times New Roman" w:hAnsi="Cambria" w:cstheme="minorHAnsi"/>
          <w:spacing w:val="2"/>
        </w:rPr>
        <w:t>i</w:t>
      </w:r>
      <w:r w:rsidRPr="009A0DA6">
        <w:rPr>
          <w:rFonts w:ascii="Cambria" w:eastAsia="Times New Roman" w:hAnsi="Cambria" w:cstheme="minorHAnsi"/>
        </w:rPr>
        <w:t>n a</w:t>
      </w:r>
      <w:r w:rsidRPr="009A0DA6">
        <w:rPr>
          <w:rFonts w:ascii="Cambria" w:eastAsia="Times New Roman" w:hAnsi="Cambria" w:cstheme="minorHAnsi"/>
          <w:spacing w:val="3"/>
        </w:rPr>
        <w:t>c</w:t>
      </w:r>
      <w:r w:rsidRPr="009A0DA6">
        <w:rPr>
          <w:rFonts w:ascii="Cambria" w:eastAsia="Times New Roman" w:hAnsi="Cambria" w:cstheme="minorHAnsi"/>
        </w:rPr>
        <w:t>c</w:t>
      </w:r>
      <w:r w:rsidRPr="009A0DA6">
        <w:rPr>
          <w:rFonts w:ascii="Cambria" w:eastAsia="Times New Roman" w:hAnsi="Cambria" w:cstheme="minorHAnsi"/>
          <w:spacing w:val="1"/>
        </w:rPr>
        <w:t>ord</w:t>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rPr>
        <w:t>ce</w:t>
      </w:r>
      <w:r w:rsidRPr="009A0DA6">
        <w:rPr>
          <w:rFonts w:ascii="Cambria" w:eastAsia="Times New Roman" w:hAnsi="Cambria" w:cstheme="minorHAnsi"/>
          <w:spacing w:val="-3"/>
        </w:rPr>
        <w:t xml:space="preserve"> </w:t>
      </w:r>
      <w:r w:rsidRPr="009A0DA6">
        <w:rPr>
          <w:rFonts w:ascii="Cambria" w:eastAsia="Times New Roman" w:hAnsi="Cambria" w:cstheme="minorHAnsi"/>
          <w:spacing w:val="-5"/>
        </w:rPr>
        <w:t>w</w:t>
      </w:r>
      <w:r w:rsidRPr="009A0DA6">
        <w:rPr>
          <w:rFonts w:ascii="Cambria" w:eastAsia="Times New Roman" w:hAnsi="Cambria" w:cstheme="minorHAnsi"/>
        </w:rPr>
        <w:t>i</w:t>
      </w:r>
      <w:r w:rsidRPr="009A0DA6">
        <w:rPr>
          <w:rFonts w:ascii="Cambria" w:eastAsia="Times New Roman" w:hAnsi="Cambria" w:cstheme="minorHAnsi"/>
          <w:spacing w:val="5"/>
        </w:rPr>
        <w:t>t</w:t>
      </w:r>
      <w:r w:rsidRPr="009A0DA6">
        <w:rPr>
          <w:rFonts w:ascii="Cambria" w:eastAsia="Times New Roman" w:hAnsi="Cambria" w:cstheme="minorHAnsi"/>
        </w:rPr>
        <w:t>h 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1"/>
        </w:rPr>
        <w:t xml:space="preserve"> C</w:t>
      </w:r>
      <w:r w:rsidRPr="009A0DA6">
        <w:rPr>
          <w:rFonts w:ascii="Cambria" w:eastAsia="Times New Roman" w:hAnsi="Cambria" w:cstheme="minorHAnsi"/>
          <w:spacing w:val="1"/>
        </w:rPr>
        <w:t>od</w:t>
      </w:r>
      <w:r w:rsidRPr="009A0DA6">
        <w:rPr>
          <w:rFonts w:ascii="Cambria" w:eastAsia="Times New Roman" w:hAnsi="Cambria" w:cstheme="minorHAnsi"/>
        </w:rPr>
        <w:t>e.</w:t>
      </w:r>
    </w:p>
    <w:p w14:paraId="17809FC1" w14:textId="77777777" w:rsidR="00B81951" w:rsidRPr="007408EE" w:rsidRDefault="00B81951" w:rsidP="00BA4592">
      <w:pPr>
        <w:spacing w:before="120" w:after="120" w:line="240" w:lineRule="auto"/>
        <w:ind w:right="-107"/>
        <w:contextualSpacing/>
        <w:rPr>
          <w:rFonts w:ascii="Cambria" w:eastAsia="Times New Roman" w:hAnsi="Cambria" w:cstheme="minorHAnsi"/>
          <w:spacing w:val="2"/>
          <w:sz w:val="10"/>
        </w:rPr>
      </w:pPr>
    </w:p>
    <w:p w14:paraId="7BC6BA16" w14:textId="00F02323" w:rsidR="00BA4592" w:rsidRPr="009A0DA6" w:rsidRDefault="00BA4592" w:rsidP="00BA4592">
      <w:pPr>
        <w:spacing w:before="120" w:after="120" w:line="240" w:lineRule="auto"/>
        <w:ind w:right="-107"/>
        <w:contextualSpacing/>
        <w:rPr>
          <w:rFonts w:ascii="Cambria" w:eastAsia="Times New Roman" w:hAnsi="Cambria" w:cstheme="minorHAnsi"/>
        </w:rPr>
      </w:pPr>
      <w:r w:rsidRPr="009A0DA6">
        <w:rPr>
          <w:rFonts w:ascii="Cambria" w:eastAsia="Times New Roman" w:hAnsi="Cambria" w:cstheme="minorHAnsi"/>
          <w:spacing w:val="2"/>
        </w:rPr>
        <w:t>W</w:t>
      </w:r>
      <w:r w:rsidRPr="009A0DA6">
        <w:rPr>
          <w:rFonts w:ascii="Cambria" w:eastAsia="Times New Roman" w:hAnsi="Cambria" w:cstheme="minorHAnsi"/>
        </w:rPr>
        <w:t>e</w:t>
      </w:r>
      <w:r w:rsidRPr="009A0DA6">
        <w:rPr>
          <w:rFonts w:ascii="Cambria" w:eastAsia="Times New Roman" w:hAnsi="Cambria" w:cstheme="minorHAnsi"/>
          <w:spacing w:val="3"/>
        </w:rPr>
        <w:t xml:space="preserve"> </w:t>
      </w:r>
      <w:r w:rsidRPr="009A0DA6">
        <w:rPr>
          <w:rFonts w:ascii="Cambria" w:eastAsia="Times New Roman" w:hAnsi="Cambria" w:cstheme="minorHAnsi"/>
          <w:spacing w:val="1"/>
        </w:rPr>
        <w:t>b</w:t>
      </w:r>
      <w:r w:rsidRPr="009A0DA6">
        <w:rPr>
          <w:rFonts w:ascii="Cambria" w:eastAsia="Times New Roman" w:hAnsi="Cambria" w:cstheme="minorHAnsi"/>
        </w:rPr>
        <w:t>elie</w:t>
      </w:r>
      <w:r w:rsidRPr="009A0DA6">
        <w:rPr>
          <w:rFonts w:ascii="Cambria" w:eastAsia="Times New Roman" w:hAnsi="Cambria" w:cstheme="minorHAnsi"/>
          <w:spacing w:val="-1"/>
        </w:rPr>
        <w:t>v</w:t>
      </w:r>
      <w:r w:rsidRPr="009A0DA6">
        <w:rPr>
          <w:rFonts w:ascii="Cambria" w:eastAsia="Times New Roman" w:hAnsi="Cambria" w:cstheme="minorHAnsi"/>
        </w:rPr>
        <w:t>e t</w:t>
      </w:r>
      <w:r w:rsidRPr="009A0DA6">
        <w:rPr>
          <w:rFonts w:ascii="Cambria" w:eastAsia="Times New Roman" w:hAnsi="Cambria" w:cstheme="minorHAnsi"/>
          <w:spacing w:val="-1"/>
        </w:rPr>
        <w:t>h</w:t>
      </w:r>
      <w:r w:rsidRPr="009A0DA6">
        <w:rPr>
          <w:rFonts w:ascii="Cambria" w:eastAsia="Times New Roman" w:hAnsi="Cambria" w:cstheme="minorHAnsi"/>
        </w:rPr>
        <w:t>at</w:t>
      </w:r>
      <w:r w:rsidRPr="009A0DA6">
        <w:rPr>
          <w:rFonts w:ascii="Cambria" w:eastAsia="Times New Roman" w:hAnsi="Cambria" w:cstheme="minorHAnsi"/>
          <w:spacing w:val="2"/>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4"/>
        </w:rPr>
        <w:t xml:space="preserve"> </w:t>
      </w:r>
      <w:r w:rsidRPr="009A0DA6">
        <w:rPr>
          <w:rFonts w:ascii="Cambria" w:eastAsia="Times New Roman" w:hAnsi="Cambria" w:cstheme="minorHAnsi"/>
          <w:spacing w:val="3"/>
        </w:rPr>
        <w:t>a</w:t>
      </w:r>
      <w:r w:rsidRPr="009A0DA6">
        <w:rPr>
          <w:rFonts w:ascii="Cambria" w:eastAsia="Times New Roman" w:hAnsi="Cambria" w:cstheme="minorHAnsi"/>
          <w:spacing w:val="-1"/>
        </w:rPr>
        <w:t>u</w:t>
      </w:r>
      <w:r w:rsidRPr="009A0DA6">
        <w:rPr>
          <w:rFonts w:ascii="Cambria" w:eastAsia="Times New Roman" w:hAnsi="Cambria" w:cstheme="minorHAnsi"/>
          <w:spacing w:val="1"/>
        </w:rPr>
        <w:t>d</w:t>
      </w:r>
      <w:r w:rsidRPr="009A0DA6">
        <w:rPr>
          <w:rFonts w:ascii="Cambria" w:eastAsia="Times New Roman" w:hAnsi="Cambria" w:cstheme="minorHAnsi"/>
        </w:rPr>
        <w:t>it</w:t>
      </w:r>
      <w:r w:rsidRPr="009A0DA6">
        <w:rPr>
          <w:rFonts w:ascii="Cambria" w:eastAsia="Times New Roman" w:hAnsi="Cambria" w:cstheme="minorHAnsi"/>
          <w:spacing w:val="1"/>
        </w:rPr>
        <w:t xml:space="preserve"> </w:t>
      </w:r>
      <w:r w:rsidRPr="009A0DA6">
        <w:rPr>
          <w:rFonts w:ascii="Cambria" w:eastAsia="Times New Roman" w:hAnsi="Cambria" w:cstheme="minorHAnsi"/>
        </w:rPr>
        <w:t>e</w:t>
      </w:r>
      <w:r w:rsidRPr="009A0DA6">
        <w:rPr>
          <w:rFonts w:ascii="Cambria" w:eastAsia="Times New Roman" w:hAnsi="Cambria" w:cstheme="minorHAnsi"/>
          <w:spacing w:val="-1"/>
        </w:rPr>
        <w:t>v</w:t>
      </w:r>
      <w:r w:rsidRPr="009A0DA6">
        <w:rPr>
          <w:rFonts w:ascii="Cambria" w:eastAsia="Times New Roman" w:hAnsi="Cambria" w:cstheme="minorHAnsi"/>
        </w:rPr>
        <w:t>i</w:t>
      </w:r>
      <w:r w:rsidRPr="009A0DA6">
        <w:rPr>
          <w:rFonts w:ascii="Cambria" w:eastAsia="Times New Roman" w:hAnsi="Cambria" w:cstheme="minorHAnsi"/>
          <w:spacing w:val="4"/>
        </w:rPr>
        <w:t>d</w:t>
      </w:r>
      <w:r w:rsidRPr="009A0DA6">
        <w:rPr>
          <w:rFonts w:ascii="Cambria" w:eastAsia="Times New Roman" w:hAnsi="Cambria" w:cstheme="minorHAnsi"/>
        </w:rPr>
        <w:t>e</w:t>
      </w:r>
      <w:r w:rsidRPr="009A0DA6">
        <w:rPr>
          <w:rFonts w:ascii="Cambria" w:eastAsia="Times New Roman" w:hAnsi="Cambria" w:cstheme="minorHAnsi"/>
          <w:spacing w:val="-1"/>
        </w:rPr>
        <w:t>n</w:t>
      </w:r>
      <w:r w:rsidRPr="009A0DA6">
        <w:rPr>
          <w:rFonts w:ascii="Cambria" w:eastAsia="Times New Roman" w:hAnsi="Cambria" w:cstheme="minorHAnsi"/>
        </w:rPr>
        <w:t>ce</w:t>
      </w:r>
      <w:r w:rsidRPr="009A0DA6">
        <w:rPr>
          <w:rFonts w:ascii="Cambria" w:eastAsia="Times New Roman" w:hAnsi="Cambria" w:cstheme="minorHAnsi"/>
          <w:spacing w:val="1"/>
        </w:rPr>
        <w:t xml:space="preserve"> </w:t>
      </w:r>
      <w:r w:rsidRPr="009A0DA6">
        <w:rPr>
          <w:rFonts w:ascii="Cambria" w:eastAsia="Times New Roman" w:hAnsi="Cambria" w:cstheme="minorHAnsi"/>
          <w:spacing w:val="-2"/>
        </w:rPr>
        <w:t>w</w:t>
      </w:r>
      <w:r w:rsidRPr="009A0DA6">
        <w:rPr>
          <w:rFonts w:ascii="Cambria" w:eastAsia="Times New Roman" w:hAnsi="Cambria" w:cstheme="minorHAnsi"/>
        </w:rPr>
        <w:t>e</w:t>
      </w:r>
      <w:r w:rsidRPr="009A0DA6">
        <w:rPr>
          <w:rFonts w:ascii="Cambria" w:eastAsia="Times New Roman" w:hAnsi="Cambria" w:cstheme="minorHAnsi"/>
          <w:spacing w:val="4"/>
        </w:rPr>
        <w:t xml:space="preserve"> </w:t>
      </w:r>
      <w:r w:rsidRPr="009A0DA6">
        <w:rPr>
          <w:rFonts w:ascii="Cambria" w:eastAsia="Times New Roman" w:hAnsi="Cambria" w:cstheme="minorHAnsi"/>
          <w:spacing w:val="-1"/>
        </w:rPr>
        <w:t>h</w:t>
      </w:r>
      <w:r w:rsidRPr="009A0DA6">
        <w:rPr>
          <w:rFonts w:ascii="Cambria" w:eastAsia="Times New Roman" w:hAnsi="Cambria" w:cstheme="minorHAnsi"/>
          <w:spacing w:val="3"/>
        </w:rPr>
        <w:t>a</w:t>
      </w:r>
      <w:r w:rsidRPr="009A0DA6">
        <w:rPr>
          <w:rFonts w:ascii="Cambria" w:eastAsia="Times New Roman" w:hAnsi="Cambria" w:cstheme="minorHAnsi"/>
          <w:spacing w:val="-1"/>
        </w:rPr>
        <w:t>v</w:t>
      </w:r>
      <w:r w:rsidRPr="009A0DA6">
        <w:rPr>
          <w:rFonts w:ascii="Cambria" w:eastAsia="Times New Roman" w:hAnsi="Cambria" w:cstheme="minorHAnsi"/>
        </w:rPr>
        <w:t>e</w:t>
      </w:r>
      <w:r w:rsidRPr="009A0DA6">
        <w:rPr>
          <w:rFonts w:ascii="Cambria" w:eastAsia="Times New Roman" w:hAnsi="Cambria" w:cstheme="minorHAnsi"/>
          <w:spacing w:val="2"/>
        </w:rPr>
        <w:t xml:space="preserve"> </w:t>
      </w:r>
      <w:r w:rsidRPr="009A0DA6">
        <w:rPr>
          <w:rFonts w:ascii="Cambria" w:eastAsia="Times New Roman" w:hAnsi="Cambria" w:cstheme="minorHAnsi"/>
          <w:spacing w:val="1"/>
        </w:rPr>
        <w:t>ob</w:t>
      </w:r>
      <w:r w:rsidRPr="009A0DA6">
        <w:rPr>
          <w:rFonts w:ascii="Cambria" w:eastAsia="Times New Roman" w:hAnsi="Cambria" w:cstheme="minorHAnsi"/>
        </w:rPr>
        <w:t>tai</w:t>
      </w:r>
      <w:r w:rsidRPr="009A0DA6">
        <w:rPr>
          <w:rFonts w:ascii="Cambria" w:eastAsia="Times New Roman" w:hAnsi="Cambria" w:cstheme="minorHAnsi"/>
          <w:spacing w:val="-1"/>
        </w:rPr>
        <w:t>n</w:t>
      </w:r>
      <w:r w:rsidRPr="009A0DA6">
        <w:rPr>
          <w:rFonts w:ascii="Cambria" w:eastAsia="Times New Roman" w:hAnsi="Cambria" w:cstheme="minorHAnsi"/>
        </w:rPr>
        <w:t>ed</w:t>
      </w:r>
      <w:r w:rsidRPr="009A0DA6">
        <w:rPr>
          <w:rFonts w:ascii="Cambria" w:eastAsia="Times New Roman" w:hAnsi="Cambria" w:cstheme="minorHAnsi"/>
          <w:spacing w:val="-1"/>
        </w:rPr>
        <w:t xml:space="preserve"> </w:t>
      </w:r>
      <w:r w:rsidRPr="009A0DA6">
        <w:rPr>
          <w:rFonts w:ascii="Cambria" w:eastAsia="Times New Roman" w:hAnsi="Cambria" w:cstheme="minorHAnsi"/>
        </w:rPr>
        <w:t>is</w:t>
      </w:r>
      <w:r w:rsidRPr="009A0DA6">
        <w:rPr>
          <w:rFonts w:ascii="Cambria" w:eastAsia="Times New Roman" w:hAnsi="Cambria" w:cstheme="minorHAnsi"/>
          <w:spacing w:val="4"/>
        </w:rPr>
        <w:t xml:space="preserve"> </w:t>
      </w:r>
      <w:r w:rsidRPr="009A0DA6">
        <w:rPr>
          <w:rFonts w:ascii="Cambria" w:eastAsia="Times New Roman" w:hAnsi="Cambria" w:cstheme="minorHAnsi"/>
          <w:spacing w:val="2"/>
        </w:rPr>
        <w:t>s</w:t>
      </w:r>
      <w:r w:rsidRPr="009A0DA6">
        <w:rPr>
          <w:rFonts w:ascii="Cambria" w:eastAsia="Times New Roman" w:hAnsi="Cambria" w:cstheme="minorHAnsi"/>
          <w:spacing w:val="-1"/>
        </w:rPr>
        <w:t>u</w:t>
      </w:r>
      <w:r w:rsidRPr="009A0DA6">
        <w:rPr>
          <w:rFonts w:ascii="Cambria" w:eastAsia="Times New Roman" w:hAnsi="Cambria" w:cstheme="minorHAnsi"/>
          <w:spacing w:val="1"/>
        </w:rPr>
        <w:t>f</w:t>
      </w:r>
      <w:r w:rsidRPr="009A0DA6">
        <w:rPr>
          <w:rFonts w:ascii="Cambria" w:eastAsia="Times New Roman" w:hAnsi="Cambria" w:cstheme="minorHAnsi"/>
          <w:spacing w:val="-1"/>
        </w:rPr>
        <w:t>f</w:t>
      </w:r>
      <w:r w:rsidRPr="009A0DA6">
        <w:rPr>
          <w:rFonts w:ascii="Cambria" w:eastAsia="Times New Roman" w:hAnsi="Cambria" w:cstheme="minorHAnsi"/>
          <w:spacing w:val="2"/>
        </w:rPr>
        <w:t>i</w:t>
      </w:r>
      <w:r w:rsidRPr="009A0DA6">
        <w:rPr>
          <w:rFonts w:ascii="Cambria" w:eastAsia="Times New Roman" w:hAnsi="Cambria" w:cstheme="minorHAnsi"/>
        </w:rPr>
        <w:t>cie</w:t>
      </w:r>
      <w:r w:rsidRPr="009A0DA6">
        <w:rPr>
          <w:rFonts w:ascii="Cambria" w:eastAsia="Times New Roman" w:hAnsi="Cambria" w:cstheme="minorHAnsi"/>
          <w:spacing w:val="-1"/>
        </w:rPr>
        <w:t>n</w:t>
      </w:r>
      <w:r w:rsidRPr="009A0DA6">
        <w:rPr>
          <w:rFonts w:ascii="Cambria" w:eastAsia="Times New Roman" w:hAnsi="Cambria" w:cstheme="minorHAnsi"/>
        </w:rPr>
        <w:t>t</w:t>
      </w:r>
      <w:r w:rsidRPr="009A0DA6">
        <w:rPr>
          <w:rFonts w:ascii="Cambria" w:eastAsia="Times New Roman" w:hAnsi="Cambria" w:cstheme="minorHAnsi"/>
          <w:spacing w:val="-3"/>
        </w:rPr>
        <w:t xml:space="preserve"> </w:t>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spacing w:val="3"/>
        </w:rPr>
        <w:t xml:space="preserve"> </w:t>
      </w:r>
      <w:r w:rsidRPr="009A0DA6">
        <w:rPr>
          <w:rFonts w:ascii="Cambria" w:eastAsia="Times New Roman" w:hAnsi="Cambria" w:cstheme="minorHAnsi"/>
        </w:rPr>
        <w:t>a</w:t>
      </w:r>
      <w:r w:rsidRPr="009A0DA6">
        <w:rPr>
          <w:rFonts w:ascii="Cambria" w:eastAsia="Times New Roman" w:hAnsi="Cambria" w:cstheme="minorHAnsi"/>
          <w:spacing w:val="1"/>
        </w:rPr>
        <w:t>ppropr</w:t>
      </w:r>
      <w:r w:rsidRPr="009A0DA6">
        <w:rPr>
          <w:rFonts w:ascii="Cambria" w:eastAsia="Times New Roman" w:hAnsi="Cambria" w:cstheme="minorHAnsi"/>
        </w:rPr>
        <w:t>iate</w:t>
      </w:r>
      <w:r w:rsidRPr="009A0DA6">
        <w:rPr>
          <w:rFonts w:ascii="Cambria" w:eastAsia="Times New Roman" w:hAnsi="Cambria" w:cstheme="minorHAnsi"/>
          <w:spacing w:val="-3"/>
        </w:rPr>
        <w:t xml:space="preserve"> </w:t>
      </w:r>
      <w:r w:rsidRPr="009A0DA6">
        <w:rPr>
          <w:rFonts w:ascii="Cambria" w:eastAsia="Times New Roman" w:hAnsi="Cambria" w:cstheme="minorHAnsi"/>
        </w:rPr>
        <w:t>to</w:t>
      </w:r>
      <w:r w:rsidRPr="009A0DA6">
        <w:rPr>
          <w:rFonts w:ascii="Cambria" w:eastAsia="Times New Roman" w:hAnsi="Cambria" w:cstheme="minorHAnsi"/>
          <w:spacing w:val="2"/>
        </w:rPr>
        <w:t xml:space="preserve"> </w:t>
      </w:r>
      <w:r w:rsidRPr="009A0DA6">
        <w:rPr>
          <w:rFonts w:ascii="Cambria" w:eastAsia="Times New Roman" w:hAnsi="Cambria" w:cstheme="minorHAnsi"/>
          <w:spacing w:val="1"/>
        </w:rPr>
        <w:t>pro</w:t>
      </w:r>
      <w:r w:rsidRPr="009A0DA6">
        <w:rPr>
          <w:rFonts w:ascii="Cambria" w:eastAsia="Times New Roman" w:hAnsi="Cambria" w:cstheme="minorHAnsi"/>
          <w:spacing w:val="-1"/>
        </w:rPr>
        <w:t>v</w:t>
      </w:r>
      <w:r w:rsidRPr="009A0DA6">
        <w:rPr>
          <w:rFonts w:ascii="Cambria" w:eastAsia="Times New Roman" w:hAnsi="Cambria" w:cstheme="minorHAnsi"/>
        </w:rPr>
        <w:t>i</w:t>
      </w:r>
      <w:r w:rsidRPr="009A0DA6">
        <w:rPr>
          <w:rFonts w:ascii="Cambria" w:eastAsia="Times New Roman" w:hAnsi="Cambria" w:cstheme="minorHAnsi"/>
          <w:spacing w:val="1"/>
        </w:rPr>
        <w:t>d</w:t>
      </w:r>
      <w:r w:rsidRPr="009A0DA6">
        <w:rPr>
          <w:rFonts w:ascii="Cambria" w:eastAsia="Times New Roman" w:hAnsi="Cambria" w:cstheme="minorHAnsi"/>
        </w:rPr>
        <w:t>e a</w:t>
      </w:r>
      <w:r w:rsidRPr="009A0DA6">
        <w:rPr>
          <w:rFonts w:ascii="Cambria" w:eastAsia="Times New Roman" w:hAnsi="Cambria" w:cstheme="minorHAnsi"/>
          <w:spacing w:val="5"/>
        </w:rPr>
        <w:t xml:space="preserve"> </w:t>
      </w:r>
      <w:r w:rsidRPr="009A0DA6">
        <w:rPr>
          <w:rFonts w:ascii="Cambria" w:eastAsia="Times New Roman" w:hAnsi="Cambria" w:cstheme="minorHAnsi"/>
          <w:spacing w:val="1"/>
        </w:rPr>
        <w:t>b</w:t>
      </w:r>
      <w:r w:rsidRPr="009A0DA6">
        <w:rPr>
          <w:rFonts w:ascii="Cambria" w:eastAsia="Times New Roman" w:hAnsi="Cambria" w:cstheme="minorHAnsi"/>
        </w:rPr>
        <w:t>a</w:t>
      </w:r>
      <w:r w:rsidRPr="009A0DA6">
        <w:rPr>
          <w:rFonts w:ascii="Cambria" w:eastAsia="Times New Roman" w:hAnsi="Cambria" w:cstheme="minorHAnsi"/>
          <w:spacing w:val="-1"/>
        </w:rPr>
        <w:t>s</w:t>
      </w:r>
      <w:r w:rsidRPr="009A0DA6">
        <w:rPr>
          <w:rFonts w:ascii="Cambria" w:eastAsia="Times New Roman" w:hAnsi="Cambria" w:cstheme="minorHAnsi"/>
        </w:rPr>
        <w:t>is</w:t>
      </w:r>
      <w:r w:rsidRPr="009A0DA6">
        <w:rPr>
          <w:rFonts w:ascii="Cambria" w:eastAsia="Times New Roman" w:hAnsi="Cambria" w:cstheme="minorHAnsi"/>
          <w:spacing w:val="1"/>
        </w:rPr>
        <w:t xml:space="preserve"> </w:t>
      </w:r>
      <w:r w:rsidRPr="009A0DA6">
        <w:rPr>
          <w:rFonts w:ascii="Cambria" w:eastAsia="Times New Roman" w:hAnsi="Cambria" w:cstheme="minorHAnsi"/>
          <w:spacing w:val="-1"/>
        </w:rPr>
        <w:t>f</w:t>
      </w:r>
      <w:r w:rsidRPr="009A0DA6">
        <w:rPr>
          <w:rFonts w:ascii="Cambria" w:eastAsia="Times New Roman" w:hAnsi="Cambria" w:cstheme="minorHAnsi"/>
          <w:spacing w:val="1"/>
        </w:rPr>
        <w:t>o</w:t>
      </w:r>
      <w:r w:rsidRPr="009A0DA6">
        <w:rPr>
          <w:rFonts w:ascii="Cambria" w:eastAsia="Times New Roman" w:hAnsi="Cambria" w:cstheme="minorHAnsi"/>
        </w:rPr>
        <w:t xml:space="preserve">r </w:t>
      </w:r>
      <w:r w:rsidRPr="009A0DA6">
        <w:rPr>
          <w:rFonts w:ascii="Cambria" w:eastAsia="Times New Roman" w:hAnsi="Cambria" w:cstheme="minorHAnsi"/>
          <w:spacing w:val="1"/>
        </w:rPr>
        <w:t>o</w:t>
      </w:r>
      <w:r w:rsidRPr="009A0DA6">
        <w:rPr>
          <w:rFonts w:ascii="Cambria" w:eastAsia="Times New Roman" w:hAnsi="Cambria" w:cstheme="minorHAnsi"/>
          <w:spacing w:val="-1"/>
        </w:rPr>
        <w:t>u</w:t>
      </w:r>
      <w:r w:rsidRPr="009A0DA6">
        <w:rPr>
          <w:rFonts w:ascii="Cambria" w:eastAsia="Times New Roman" w:hAnsi="Cambria" w:cstheme="minorHAnsi"/>
        </w:rPr>
        <w:t>r</w:t>
      </w:r>
      <w:r w:rsidRPr="009A0DA6">
        <w:rPr>
          <w:rFonts w:ascii="Cambria" w:eastAsia="Times New Roman" w:hAnsi="Cambria" w:cstheme="minorHAnsi"/>
          <w:spacing w:val="-2"/>
        </w:rPr>
        <w:t xml:space="preserve"> </w:t>
      </w:r>
      <w:r w:rsidRPr="009A0DA6">
        <w:rPr>
          <w:rFonts w:ascii="Cambria" w:eastAsia="Times New Roman" w:hAnsi="Cambria" w:cstheme="minorHAnsi"/>
          <w:spacing w:val="1"/>
        </w:rPr>
        <w:t>op</w:t>
      </w:r>
      <w:r w:rsidRPr="009A0DA6">
        <w:rPr>
          <w:rFonts w:ascii="Cambria" w:eastAsia="Times New Roman" w:hAnsi="Cambria" w:cstheme="minorHAnsi"/>
        </w:rPr>
        <w:t>i</w:t>
      </w:r>
      <w:r w:rsidRPr="009A0DA6">
        <w:rPr>
          <w:rFonts w:ascii="Cambria" w:eastAsia="Times New Roman" w:hAnsi="Cambria" w:cstheme="minorHAnsi"/>
          <w:spacing w:val="-1"/>
        </w:rPr>
        <w:t>n</w:t>
      </w:r>
      <w:r w:rsidRPr="009A0DA6">
        <w:rPr>
          <w:rFonts w:ascii="Cambria" w:eastAsia="Times New Roman" w:hAnsi="Cambria" w:cstheme="minorHAnsi"/>
        </w:rPr>
        <w:t>i</w:t>
      </w:r>
      <w:r w:rsidRPr="009A0DA6">
        <w:rPr>
          <w:rFonts w:ascii="Cambria" w:eastAsia="Times New Roman" w:hAnsi="Cambria" w:cstheme="minorHAnsi"/>
          <w:spacing w:val="1"/>
        </w:rPr>
        <w:t>o</w:t>
      </w:r>
      <w:r w:rsidRPr="009A0DA6">
        <w:rPr>
          <w:rFonts w:ascii="Cambria" w:eastAsia="Times New Roman" w:hAnsi="Cambria" w:cstheme="minorHAnsi"/>
          <w:spacing w:val="-1"/>
        </w:rPr>
        <w:t>n</w:t>
      </w:r>
      <w:r w:rsidRPr="009A0DA6">
        <w:rPr>
          <w:rFonts w:ascii="Cambria" w:eastAsia="Times New Roman" w:hAnsi="Cambria" w:cstheme="minorHAnsi"/>
        </w:rPr>
        <w:t>.</w:t>
      </w:r>
    </w:p>
    <w:p w14:paraId="30A97EA0" w14:textId="77777777" w:rsidR="00B81951" w:rsidRPr="007408EE" w:rsidRDefault="00B81951" w:rsidP="00BA4592">
      <w:pPr>
        <w:spacing w:before="120" w:after="120" w:line="240" w:lineRule="auto"/>
        <w:ind w:right="-107"/>
        <w:contextualSpacing/>
        <w:rPr>
          <w:rFonts w:ascii="Cambria" w:eastAsia="Times New Roman" w:hAnsi="Cambria" w:cstheme="minorHAnsi"/>
          <w:i/>
          <w:spacing w:val="1"/>
          <w:w w:val="95"/>
          <w:sz w:val="4"/>
        </w:rPr>
      </w:pPr>
    </w:p>
    <w:p w14:paraId="11DDCE17" w14:textId="3C7D5EC5" w:rsidR="00BA4592" w:rsidRPr="009A0DA6" w:rsidRDefault="00BA4592" w:rsidP="00B81951">
      <w:pPr>
        <w:pStyle w:val="NoSpacing"/>
        <w:rPr>
          <w:b/>
        </w:rPr>
      </w:pPr>
      <w:r w:rsidRPr="009A0DA6">
        <w:rPr>
          <w:b/>
        </w:rPr>
        <w:t>Responsibilities of the General Church Council for the Financial Report</w:t>
      </w:r>
    </w:p>
    <w:p w14:paraId="0537F1A5" w14:textId="77777777" w:rsidR="00BA4592" w:rsidRPr="009A0DA6" w:rsidRDefault="00BA4592" w:rsidP="00B81951">
      <w:pPr>
        <w:spacing w:after="0" w:line="240" w:lineRule="auto"/>
        <w:ind w:right="-107"/>
        <w:contextualSpacing/>
        <w:rPr>
          <w:rFonts w:ascii="Cambria" w:eastAsia="Times New Roman" w:hAnsi="Cambria" w:cstheme="minorHAnsi"/>
        </w:rPr>
      </w:pPr>
      <w:r w:rsidRPr="009A0DA6">
        <w:rPr>
          <w:rFonts w:ascii="Cambria" w:eastAsia="Times New Roman" w:hAnsi="Cambria" w:cstheme="minorHAnsi"/>
          <w:spacing w:val="3"/>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5"/>
        </w:rPr>
        <w:t xml:space="preserve"> </w:t>
      </w:r>
      <w:r w:rsidRPr="009A0DA6">
        <w:rPr>
          <w:rFonts w:ascii="Cambria" w:eastAsia="Times New Roman" w:hAnsi="Cambria" w:cstheme="minorHAnsi"/>
        </w:rPr>
        <w:t>Ge</w:t>
      </w:r>
      <w:r w:rsidRPr="009A0DA6">
        <w:rPr>
          <w:rFonts w:ascii="Cambria" w:eastAsia="Times New Roman" w:hAnsi="Cambria" w:cstheme="minorHAnsi"/>
          <w:spacing w:val="-1"/>
        </w:rPr>
        <w:t>n</w:t>
      </w:r>
      <w:r w:rsidRPr="009A0DA6">
        <w:rPr>
          <w:rFonts w:ascii="Cambria" w:eastAsia="Times New Roman" w:hAnsi="Cambria" w:cstheme="minorHAnsi"/>
        </w:rPr>
        <w:t>e</w:t>
      </w:r>
      <w:r w:rsidRPr="009A0DA6">
        <w:rPr>
          <w:rFonts w:ascii="Cambria" w:eastAsia="Times New Roman" w:hAnsi="Cambria" w:cstheme="minorHAnsi"/>
          <w:spacing w:val="1"/>
        </w:rPr>
        <w:t>r</w:t>
      </w:r>
      <w:r w:rsidRPr="009A0DA6">
        <w:rPr>
          <w:rFonts w:ascii="Cambria" w:eastAsia="Times New Roman" w:hAnsi="Cambria" w:cstheme="minorHAnsi"/>
        </w:rPr>
        <w:t>al</w:t>
      </w:r>
      <w:r w:rsidRPr="009A0DA6">
        <w:rPr>
          <w:rFonts w:ascii="Cambria" w:eastAsia="Times New Roman" w:hAnsi="Cambria" w:cstheme="minorHAnsi"/>
          <w:spacing w:val="1"/>
        </w:rPr>
        <w:t xml:space="preserve"> </w:t>
      </w:r>
      <w:r w:rsidRPr="009A0DA6">
        <w:rPr>
          <w:rFonts w:ascii="Cambria" w:eastAsia="Times New Roman" w:hAnsi="Cambria" w:cstheme="minorHAnsi"/>
          <w:spacing w:val="-1"/>
        </w:rPr>
        <w:t>Chu</w:t>
      </w:r>
      <w:r w:rsidRPr="009A0DA6">
        <w:rPr>
          <w:rFonts w:ascii="Cambria" w:eastAsia="Times New Roman" w:hAnsi="Cambria" w:cstheme="minorHAnsi"/>
          <w:spacing w:val="1"/>
        </w:rPr>
        <w:t>r</w:t>
      </w:r>
      <w:r w:rsidRPr="009A0DA6">
        <w:rPr>
          <w:rFonts w:ascii="Cambria" w:eastAsia="Times New Roman" w:hAnsi="Cambria" w:cstheme="minorHAnsi"/>
        </w:rPr>
        <w:t xml:space="preserve">ch </w:t>
      </w:r>
      <w:r w:rsidRPr="009A0DA6">
        <w:rPr>
          <w:rFonts w:ascii="Cambria" w:eastAsia="Times New Roman" w:hAnsi="Cambria" w:cstheme="minorHAnsi"/>
          <w:spacing w:val="-1"/>
        </w:rPr>
        <w:t>C</w:t>
      </w:r>
      <w:r w:rsidRPr="009A0DA6">
        <w:rPr>
          <w:rFonts w:ascii="Cambria" w:eastAsia="Times New Roman" w:hAnsi="Cambria" w:cstheme="minorHAnsi"/>
          <w:spacing w:val="4"/>
        </w:rPr>
        <w:t>o</w:t>
      </w:r>
      <w:r w:rsidRPr="009A0DA6">
        <w:rPr>
          <w:rFonts w:ascii="Cambria" w:eastAsia="Times New Roman" w:hAnsi="Cambria" w:cstheme="minorHAnsi"/>
          <w:spacing w:val="-1"/>
        </w:rPr>
        <w:t>un</w:t>
      </w:r>
      <w:r w:rsidRPr="009A0DA6">
        <w:rPr>
          <w:rFonts w:ascii="Cambria" w:eastAsia="Times New Roman" w:hAnsi="Cambria" w:cstheme="minorHAnsi"/>
        </w:rPr>
        <w:t>c</w:t>
      </w:r>
      <w:r w:rsidRPr="009A0DA6">
        <w:rPr>
          <w:rFonts w:ascii="Cambria" w:eastAsia="Times New Roman" w:hAnsi="Cambria" w:cstheme="minorHAnsi"/>
          <w:spacing w:val="2"/>
        </w:rPr>
        <w:t>i</w:t>
      </w:r>
      <w:r w:rsidRPr="009A0DA6">
        <w:rPr>
          <w:rFonts w:ascii="Cambria" w:eastAsia="Times New Roman" w:hAnsi="Cambria" w:cstheme="minorHAnsi"/>
        </w:rPr>
        <w:t>l</w:t>
      </w:r>
      <w:r w:rsidRPr="009A0DA6">
        <w:rPr>
          <w:rFonts w:ascii="Cambria" w:eastAsia="Times New Roman" w:hAnsi="Cambria" w:cstheme="minorHAnsi"/>
          <w:spacing w:val="1"/>
        </w:rPr>
        <w:t xml:space="preserve"> </w:t>
      </w:r>
      <w:r w:rsidRPr="009A0DA6">
        <w:rPr>
          <w:rFonts w:ascii="Cambria" w:eastAsia="Times New Roman" w:hAnsi="Cambria" w:cstheme="minorHAnsi"/>
        </w:rPr>
        <w:t>a</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4"/>
        </w:rPr>
        <w:t xml:space="preserve"> </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1"/>
        </w:rPr>
        <w:t>s</w:t>
      </w:r>
      <w:r w:rsidRPr="009A0DA6">
        <w:rPr>
          <w:rFonts w:ascii="Cambria" w:eastAsia="Times New Roman" w:hAnsi="Cambria" w:cstheme="minorHAnsi"/>
          <w:spacing w:val="1"/>
        </w:rPr>
        <w:t>po</w:t>
      </w:r>
      <w:r w:rsidRPr="009A0DA6">
        <w:rPr>
          <w:rFonts w:ascii="Cambria" w:eastAsia="Times New Roman" w:hAnsi="Cambria" w:cstheme="minorHAnsi"/>
          <w:spacing w:val="-1"/>
        </w:rPr>
        <w:t>ns</w:t>
      </w:r>
      <w:r w:rsidRPr="009A0DA6">
        <w:rPr>
          <w:rFonts w:ascii="Cambria" w:eastAsia="Times New Roman" w:hAnsi="Cambria" w:cstheme="minorHAnsi"/>
        </w:rPr>
        <w:t>i</w:t>
      </w:r>
      <w:r w:rsidRPr="009A0DA6">
        <w:rPr>
          <w:rFonts w:ascii="Cambria" w:eastAsia="Times New Roman" w:hAnsi="Cambria" w:cstheme="minorHAnsi"/>
          <w:spacing w:val="1"/>
        </w:rPr>
        <w:t>b</w:t>
      </w:r>
      <w:r w:rsidRPr="009A0DA6">
        <w:rPr>
          <w:rFonts w:ascii="Cambria" w:eastAsia="Times New Roman" w:hAnsi="Cambria" w:cstheme="minorHAnsi"/>
        </w:rPr>
        <w:t>le</w:t>
      </w:r>
      <w:r w:rsidRPr="009A0DA6">
        <w:rPr>
          <w:rFonts w:ascii="Cambria" w:eastAsia="Times New Roman" w:hAnsi="Cambria" w:cstheme="minorHAnsi"/>
          <w:spacing w:val="-1"/>
        </w:rPr>
        <w:t xml:space="preserve"> f</w:t>
      </w:r>
      <w:r w:rsidRPr="009A0DA6">
        <w:rPr>
          <w:rFonts w:ascii="Cambria" w:eastAsia="Times New Roman" w:hAnsi="Cambria" w:cstheme="minorHAnsi"/>
          <w:spacing w:val="1"/>
        </w:rPr>
        <w:t>o</w:t>
      </w:r>
      <w:r w:rsidRPr="009A0DA6">
        <w:rPr>
          <w:rFonts w:ascii="Cambria" w:eastAsia="Times New Roman" w:hAnsi="Cambria" w:cstheme="minorHAnsi"/>
        </w:rPr>
        <w:t>r</w:t>
      </w:r>
      <w:r w:rsidRPr="009A0DA6">
        <w:rPr>
          <w:rFonts w:ascii="Cambria" w:eastAsia="Times New Roman" w:hAnsi="Cambria" w:cstheme="minorHAnsi"/>
          <w:spacing w:val="4"/>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6"/>
        </w:rPr>
        <w:t xml:space="preserve"> </w:t>
      </w:r>
      <w:r w:rsidRPr="009A0DA6">
        <w:rPr>
          <w:rFonts w:ascii="Cambria" w:eastAsia="Times New Roman" w:hAnsi="Cambria" w:cstheme="minorHAnsi"/>
          <w:spacing w:val="1"/>
        </w:rPr>
        <w:t>pr</w:t>
      </w:r>
      <w:r w:rsidRPr="009A0DA6">
        <w:rPr>
          <w:rFonts w:ascii="Cambria" w:eastAsia="Times New Roman" w:hAnsi="Cambria" w:cstheme="minorHAnsi"/>
        </w:rPr>
        <w:t>e</w:t>
      </w:r>
      <w:r w:rsidRPr="009A0DA6">
        <w:rPr>
          <w:rFonts w:ascii="Cambria" w:eastAsia="Times New Roman" w:hAnsi="Cambria" w:cstheme="minorHAnsi"/>
          <w:spacing w:val="1"/>
        </w:rPr>
        <w:t>p</w:t>
      </w:r>
      <w:r w:rsidRPr="009A0DA6">
        <w:rPr>
          <w:rFonts w:ascii="Cambria" w:eastAsia="Times New Roman" w:hAnsi="Cambria" w:cstheme="minorHAnsi"/>
        </w:rPr>
        <w:t>a</w:t>
      </w:r>
      <w:r w:rsidRPr="009A0DA6">
        <w:rPr>
          <w:rFonts w:ascii="Cambria" w:eastAsia="Times New Roman" w:hAnsi="Cambria" w:cstheme="minorHAnsi"/>
          <w:spacing w:val="1"/>
        </w:rPr>
        <w:t>r</w:t>
      </w:r>
      <w:r w:rsidRPr="009A0DA6">
        <w:rPr>
          <w:rFonts w:ascii="Cambria" w:eastAsia="Times New Roman" w:hAnsi="Cambria" w:cstheme="minorHAnsi"/>
          <w:spacing w:val="-2"/>
        </w:rPr>
        <w:t>a</w:t>
      </w:r>
      <w:r w:rsidRPr="009A0DA6">
        <w:rPr>
          <w:rFonts w:ascii="Cambria" w:eastAsia="Times New Roman" w:hAnsi="Cambria" w:cstheme="minorHAnsi"/>
        </w:rPr>
        <w:t>ti</w:t>
      </w:r>
      <w:r w:rsidRPr="009A0DA6">
        <w:rPr>
          <w:rFonts w:ascii="Cambria" w:eastAsia="Times New Roman" w:hAnsi="Cambria" w:cstheme="minorHAnsi"/>
          <w:spacing w:val="1"/>
        </w:rPr>
        <w:t>o</w:t>
      </w:r>
      <w:r w:rsidRPr="009A0DA6">
        <w:rPr>
          <w:rFonts w:ascii="Cambria" w:eastAsia="Times New Roman" w:hAnsi="Cambria" w:cstheme="minorHAnsi"/>
        </w:rPr>
        <w:t>n</w:t>
      </w:r>
      <w:r w:rsidRPr="009A0DA6">
        <w:rPr>
          <w:rFonts w:ascii="Cambria" w:eastAsia="Times New Roman" w:hAnsi="Cambria" w:cstheme="minorHAnsi"/>
          <w:spacing w:val="-5"/>
        </w:rPr>
        <w:t xml:space="preserve"> </w:t>
      </w:r>
      <w:r w:rsidRPr="009A0DA6">
        <w:rPr>
          <w:rFonts w:ascii="Cambria" w:eastAsia="Times New Roman" w:hAnsi="Cambria" w:cstheme="minorHAnsi"/>
          <w:spacing w:val="1"/>
        </w:rPr>
        <w:t>o</w:t>
      </w:r>
      <w:r w:rsidRPr="009A0DA6">
        <w:rPr>
          <w:rFonts w:ascii="Cambria" w:eastAsia="Times New Roman" w:hAnsi="Cambria" w:cstheme="minorHAnsi"/>
        </w:rPr>
        <w:t>f</w:t>
      </w:r>
      <w:r w:rsidRPr="009A0DA6">
        <w:rPr>
          <w:rFonts w:ascii="Cambria" w:eastAsia="Times New Roman" w:hAnsi="Cambria" w:cstheme="minorHAnsi"/>
          <w:spacing w:val="4"/>
        </w:rPr>
        <w:t xml:space="preserve"> </w:t>
      </w:r>
      <w:r w:rsidRPr="009A0DA6">
        <w:rPr>
          <w:rFonts w:ascii="Cambria" w:eastAsia="Times New Roman" w:hAnsi="Cambria" w:cstheme="minorHAnsi"/>
          <w:spacing w:val="2"/>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6"/>
        </w:rPr>
        <w:t xml:space="preserve"> </w:t>
      </w:r>
      <w:r w:rsidRPr="009A0DA6">
        <w:rPr>
          <w:rFonts w:ascii="Cambria" w:eastAsia="Times New Roman" w:hAnsi="Cambria" w:cstheme="minorHAnsi"/>
          <w:spacing w:val="-1"/>
        </w:rPr>
        <w:t>f</w:t>
      </w:r>
      <w:r w:rsidRPr="009A0DA6">
        <w:rPr>
          <w:rFonts w:ascii="Cambria" w:eastAsia="Times New Roman" w:hAnsi="Cambria" w:cstheme="minorHAnsi"/>
        </w:rPr>
        <w:t>i</w:t>
      </w:r>
      <w:r w:rsidRPr="009A0DA6">
        <w:rPr>
          <w:rFonts w:ascii="Cambria" w:eastAsia="Times New Roman" w:hAnsi="Cambria" w:cstheme="minorHAnsi"/>
          <w:spacing w:val="-1"/>
        </w:rPr>
        <w:t>n</w:t>
      </w:r>
      <w:r w:rsidRPr="009A0DA6">
        <w:rPr>
          <w:rFonts w:ascii="Cambria" w:eastAsia="Times New Roman" w:hAnsi="Cambria" w:cstheme="minorHAnsi"/>
          <w:spacing w:val="3"/>
        </w:rPr>
        <w:t>a</w:t>
      </w:r>
      <w:r w:rsidRPr="009A0DA6">
        <w:rPr>
          <w:rFonts w:ascii="Cambria" w:eastAsia="Times New Roman" w:hAnsi="Cambria" w:cstheme="minorHAnsi"/>
          <w:spacing w:val="-1"/>
        </w:rPr>
        <w:t>n</w:t>
      </w:r>
      <w:r w:rsidRPr="009A0DA6">
        <w:rPr>
          <w:rFonts w:ascii="Cambria" w:eastAsia="Times New Roman" w:hAnsi="Cambria" w:cstheme="minorHAnsi"/>
        </w:rPr>
        <w:t xml:space="preserve">cial </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1"/>
        </w:rPr>
        <w:t>por</w:t>
      </w:r>
      <w:r w:rsidRPr="009A0DA6">
        <w:rPr>
          <w:rFonts w:ascii="Cambria" w:eastAsia="Times New Roman" w:hAnsi="Cambria" w:cstheme="minorHAnsi"/>
        </w:rPr>
        <w:t>t t</w:t>
      </w:r>
      <w:r w:rsidRPr="009A0DA6">
        <w:rPr>
          <w:rFonts w:ascii="Cambria" w:eastAsia="Times New Roman" w:hAnsi="Cambria" w:cstheme="minorHAnsi"/>
          <w:spacing w:val="-1"/>
        </w:rPr>
        <w:t>h</w:t>
      </w:r>
      <w:r w:rsidRPr="009A0DA6">
        <w:rPr>
          <w:rFonts w:ascii="Cambria" w:eastAsia="Times New Roman" w:hAnsi="Cambria" w:cstheme="minorHAnsi"/>
          <w:spacing w:val="3"/>
        </w:rPr>
        <w:t>a</w:t>
      </w:r>
      <w:r w:rsidRPr="009A0DA6">
        <w:rPr>
          <w:rFonts w:ascii="Cambria" w:eastAsia="Times New Roman" w:hAnsi="Cambria" w:cstheme="minorHAnsi"/>
        </w:rPr>
        <w:t>t</w:t>
      </w:r>
      <w:r w:rsidRPr="009A0DA6">
        <w:rPr>
          <w:rFonts w:ascii="Cambria" w:eastAsia="Times New Roman" w:hAnsi="Cambria" w:cstheme="minorHAnsi"/>
          <w:spacing w:val="2"/>
        </w:rPr>
        <w:t xml:space="preserve"> </w:t>
      </w:r>
      <w:r w:rsidRPr="009A0DA6">
        <w:rPr>
          <w:rFonts w:ascii="Cambria" w:eastAsia="Times New Roman" w:hAnsi="Cambria" w:cstheme="minorHAnsi"/>
          <w:spacing w:val="-1"/>
        </w:rPr>
        <w:t>g</w:t>
      </w:r>
      <w:r w:rsidRPr="009A0DA6">
        <w:rPr>
          <w:rFonts w:ascii="Cambria" w:eastAsia="Times New Roman" w:hAnsi="Cambria" w:cstheme="minorHAnsi"/>
          <w:spacing w:val="2"/>
        </w:rPr>
        <w:t>i</w:t>
      </w:r>
      <w:r w:rsidRPr="009A0DA6">
        <w:rPr>
          <w:rFonts w:ascii="Cambria" w:eastAsia="Times New Roman" w:hAnsi="Cambria" w:cstheme="minorHAnsi"/>
          <w:spacing w:val="-1"/>
        </w:rPr>
        <w:t>v</w:t>
      </w:r>
      <w:r w:rsidRPr="009A0DA6">
        <w:rPr>
          <w:rFonts w:ascii="Cambria" w:eastAsia="Times New Roman" w:hAnsi="Cambria" w:cstheme="minorHAnsi"/>
        </w:rPr>
        <w:t>es</w:t>
      </w:r>
      <w:r w:rsidRPr="009A0DA6">
        <w:rPr>
          <w:rFonts w:ascii="Cambria" w:eastAsia="Times New Roman" w:hAnsi="Cambria" w:cstheme="minorHAnsi"/>
          <w:spacing w:val="3"/>
        </w:rPr>
        <w:t xml:space="preserve"> </w:t>
      </w:r>
      <w:r w:rsidRPr="009A0DA6">
        <w:rPr>
          <w:rFonts w:ascii="Cambria" w:eastAsia="Times New Roman" w:hAnsi="Cambria" w:cstheme="minorHAnsi"/>
        </w:rPr>
        <w:t>a</w:t>
      </w:r>
      <w:r w:rsidRPr="009A0DA6">
        <w:rPr>
          <w:rFonts w:ascii="Cambria" w:eastAsia="Times New Roman" w:hAnsi="Cambria" w:cstheme="minorHAnsi"/>
          <w:spacing w:val="5"/>
        </w:rPr>
        <w:t xml:space="preserve"> </w:t>
      </w:r>
      <w:r w:rsidRPr="009A0DA6">
        <w:rPr>
          <w:rFonts w:ascii="Cambria" w:eastAsia="Times New Roman" w:hAnsi="Cambria" w:cstheme="minorHAnsi"/>
        </w:rPr>
        <w:t>t</w:t>
      </w:r>
      <w:r w:rsidRPr="009A0DA6">
        <w:rPr>
          <w:rFonts w:ascii="Cambria" w:eastAsia="Times New Roman" w:hAnsi="Cambria" w:cstheme="minorHAnsi"/>
          <w:spacing w:val="3"/>
        </w:rPr>
        <w:t>r</w:t>
      </w:r>
      <w:r w:rsidRPr="009A0DA6">
        <w:rPr>
          <w:rFonts w:ascii="Cambria" w:eastAsia="Times New Roman" w:hAnsi="Cambria" w:cstheme="minorHAnsi"/>
          <w:spacing w:val="-1"/>
        </w:rPr>
        <w:t>u</w:t>
      </w:r>
      <w:r w:rsidRPr="009A0DA6">
        <w:rPr>
          <w:rFonts w:ascii="Cambria" w:eastAsia="Times New Roman" w:hAnsi="Cambria" w:cstheme="minorHAnsi"/>
        </w:rPr>
        <w:t>e a</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spacing w:val="23"/>
        </w:rPr>
        <w:t xml:space="preserve"> </w:t>
      </w:r>
      <w:r w:rsidRPr="009A0DA6">
        <w:rPr>
          <w:rFonts w:ascii="Cambria" w:eastAsia="Times New Roman" w:hAnsi="Cambria" w:cstheme="minorHAnsi"/>
          <w:spacing w:val="-1"/>
        </w:rPr>
        <w:t>f</w:t>
      </w:r>
      <w:r w:rsidRPr="009A0DA6">
        <w:rPr>
          <w:rFonts w:ascii="Cambria" w:eastAsia="Times New Roman" w:hAnsi="Cambria" w:cstheme="minorHAnsi"/>
        </w:rPr>
        <w:t>air</w:t>
      </w:r>
      <w:r w:rsidRPr="009A0DA6">
        <w:rPr>
          <w:rFonts w:ascii="Cambria" w:eastAsia="Times New Roman" w:hAnsi="Cambria" w:cstheme="minorHAnsi"/>
          <w:spacing w:val="25"/>
        </w:rPr>
        <w:t xml:space="preserve"> </w:t>
      </w:r>
      <w:r w:rsidRPr="009A0DA6">
        <w:rPr>
          <w:rFonts w:ascii="Cambria" w:eastAsia="Times New Roman" w:hAnsi="Cambria" w:cstheme="minorHAnsi"/>
          <w:spacing w:val="-1"/>
        </w:rPr>
        <w:t>v</w:t>
      </w:r>
      <w:r w:rsidRPr="009A0DA6">
        <w:rPr>
          <w:rFonts w:ascii="Cambria" w:eastAsia="Times New Roman" w:hAnsi="Cambria" w:cstheme="minorHAnsi"/>
        </w:rPr>
        <w:t>i</w:t>
      </w:r>
      <w:r w:rsidRPr="009A0DA6">
        <w:rPr>
          <w:rFonts w:ascii="Cambria" w:eastAsia="Times New Roman" w:hAnsi="Cambria" w:cstheme="minorHAnsi"/>
          <w:spacing w:val="3"/>
        </w:rPr>
        <w:t>e</w:t>
      </w:r>
      <w:r w:rsidRPr="009A0DA6">
        <w:rPr>
          <w:rFonts w:ascii="Cambria" w:eastAsia="Times New Roman" w:hAnsi="Cambria" w:cstheme="minorHAnsi"/>
        </w:rPr>
        <w:t>w</w:t>
      </w:r>
      <w:r w:rsidRPr="009A0DA6">
        <w:rPr>
          <w:rFonts w:ascii="Cambria" w:eastAsia="Times New Roman" w:hAnsi="Cambria" w:cstheme="minorHAnsi"/>
          <w:spacing w:val="18"/>
        </w:rPr>
        <w:t xml:space="preserve"> </w:t>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spacing w:val="25"/>
        </w:rPr>
        <w:t xml:space="preserve"> </w:t>
      </w:r>
      <w:r w:rsidRPr="009A0DA6">
        <w:rPr>
          <w:rFonts w:ascii="Cambria" w:eastAsia="Times New Roman" w:hAnsi="Cambria" w:cstheme="minorHAnsi"/>
          <w:spacing w:val="-1"/>
        </w:rPr>
        <w:t>h</w:t>
      </w:r>
      <w:r w:rsidRPr="009A0DA6">
        <w:rPr>
          <w:rFonts w:ascii="Cambria" w:eastAsia="Times New Roman" w:hAnsi="Cambria" w:cstheme="minorHAnsi"/>
        </w:rPr>
        <w:t>a</w:t>
      </w:r>
      <w:r w:rsidRPr="009A0DA6">
        <w:rPr>
          <w:rFonts w:ascii="Cambria" w:eastAsia="Times New Roman" w:hAnsi="Cambria" w:cstheme="minorHAnsi"/>
          <w:spacing w:val="-1"/>
        </w:rPr>
        <w:t>v</w:t>
      </w:r>
      <w:r w:rsidRPr="009A0DA6">
        <w:rPr>
          <w:rFonts w:ascii="Cambria" w:eastAsia="Times New Roman" w:hAnsi="Cambria" w:cstheme="minorHAnsi"/>
        </w:rPr>
        <w:t>e</w:t>
      </w:r>
      <w:r w:rsidRPr="009A0DA6">
        <w:rPr>
          <w:rFonts w:ascii="Cambria" w:eastAsia="Times New Roman" w:hAnsi="Cambria" w:cstheme="minorHAnsi"/>
          <w:spacing w:val="21"/>
        </w:rPr>
        <w:t xml:space="preserve"> </w:t>
      </w:r>
      <w:r w:rsidRPr="009A0DA6">
        <w:rPr>
          <w:rFonts w:ascii="Cambria" w:eastAsia="Times New Roman" w:hAnsi="Cambria" w:cstheme="minorHAnsi"/>
          <w:spacing w:val="1"/>
        </w:rPr>
        <w:t>d</w:t>
      </w:r>
      <w:r w:rsidRPr="009A0DA6">
        <w:rPr>
          <w:rFonts w:ascii="Cambria" w:eastAsia="Times New Roman" w:hAnsi="Cambria" w:cstheme="minorHAnsi"/>
        </w:rPr>
        <w:t>ete</w:t>
      </w:r>
      <w:r w:rsidRPr="009A0DA6">
        <w:rPr>
          <w:rFonts w:ascii="Cambria" w:eastAsia="Times New Roman" w:hAnsi="Cambria" w:cstheme="minorHAnsi"/>
          <w:spacing w:val="3"/>
        </w:rPr>
        <w:t>r</w:t>
      </w:r>
      <w:r w:rsidRPr="009A0DA6">
        <w:rPr>
          <w:rFonts w:ascii="Cambria" w:eastAsia="Times New Roman" w:hAnsi="Cambria" w:cstheme="minorHAnsi"/>
          <w:spacing w:val="-1"/>
        </w:rPr>
        <w:t>m</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rPr>
        <w:t>ed</w:t>
      </w:r>
      <w:r w:rsidRPr="009A0DA6">
        <w:rPr>
          <w:rFonts w:ascii="Cambria" w:eastAsia="Times New Roman" w:hAnsi="Cambria" w:cstheme="minorHAnsi"/>
          <w:spacing w:val="17"/>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at</w:t>
      </w:r>
      <w:r w:rsidRPr="009A0DA6">
        <w:rPr>
          <w:rFonts w:ascii="Cambria" w:eastAsia="Times New Roman" w:hAnsi="Cambria" w:cstheme="minorHAnsi"/>
          <w:spacing w:val="21"/>
        </w:rPr>
        <w:t xml:space="preserve"> </w:t>
      </w:r>
      <w:r w:rsidRPr="009A0DA6">
        <w:rPr>
          <w:rFonts w:ascii="Cambria" w:eastAsia="Times New Roman" w:hAnsi="Cambria" w:cstheme="minorHAnsi"/>
          <w:spacing w:val="2"/>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23"/>
        </w:rPr>
        <w:t xml:space="preserve"> </w:t>
      </w:r>
      <w:r w:rsidRPr="009A0DA6">
        <w:rPr>
          <w:rFonts w:ascii="Cambria" w:eastAsia="Times New Roman" w:hAnsi="Cambria" w:cstheme="minorHAnsi"/>
          <w:spacing w:val="1"/>
        </w:rPr>
        <w:t>b</w:t>
      </w:r>
      <w:r w:rsidRPr="009A0DA6">
        <w:rPr>
          <w:rFonts w:ascii="Cambria" w:eastAsia="Times New Roman" w:hAnsi="Cambria" w:cstheme="minorHAnsi"/>
        </w:rPr>
        <w:t>a</w:t>
      </w:r>
      <w:r w:rsidRPr="009A0DA6">
        <w:rPr>
          <w:rFonts w:ascii="Cambria" w:eastAsia="Times New Roman" w:hAnsi="Cambria" w:cstheme="minorHAnsi"/>
          <w:spacing w:val="-1"/>
        </w:rPr>
        <w:t>s</w:t>
      </w:r>
      <w:r w:rsidRPr="009A0DA6">
        <w:rPr>
          <w:rFonts w:ascii="Cambria" w:eastAsia="Times New Roman" w:hAnsi="Cambria" w:cstheme="minorHAnsi"/>
          <w:spacing w:val="2"/>
        </w:rPr>
        <w:t>i</w:t>
      </w:r>
      <w:r w:rsidRPr="009A0DA6">
        <w:rPr>
          <w:rFonts w:ascii="Cambria" w:eastAsia="Times New Roman" w:hAnsi="Cambria" w:cstheme="minorHAnsi"/>
        </w:rPr>
        <w:t>s</w:t>
      </w:r>
      <w:r w:rsidRPr="009A0DA6">
        <w:rPr>
          <w:rFonts w:ascii="Cambria" w:eastAsia="Times New Roman" w:hAnsi="Cambria" w:cstheme="minorHAnsi"/>
          <w:spacing w:val="20"/>
        </w:rPr>
        <w:t xml:space="preserve"> </w:t>
      </w:r>
      <w:r w:rsidRPr="009A0DA6">
        <w:rPr>
          <w:rFonts w:ascii="Cambria" w:eastAsia="Times New Roman" w:hAnsi="Cambria" w:cstheme="minorHAnsi"/>
          <w:spacing w:val="1"/>
        </w:rPr>
        <w:t>o</w:t>
      </w:r>
      <w:r w:rsidRPr="009A0DA6">
        <w:rPr>
          <w:rFonts w:ascii="Cambria" w:eastAsia="Times New Roman" w:hAnsi="Cambria" w:cstheme="minorHAnsi"/>
        </w:rPr>
        <w:t>f</w:t>
      </w:r>
      <w:r w:rsidRPr="009A0DA6">
        <w:rPr>
          <w:rFonts w:ascii="Cambria" w:eastAsia="Times New Roman" w:hAnsi="Cambria" w:cstheme="minorHAnsi"/>
          <w:spacing w:val="21"/>
        </w:rPr>
        <w:t xml:space="preserve"> </w:t>
      </w:r>
      <w:r w:rsidRPr="009A0DA6">
        <w:rPr>
          <w:rFonts w:ascii="Cambria" w:eastAsia="Times New Roman" w:hAnsi="Cambria" w:cstheme="minorHAnsi"/>
          <w:spacing w:val="1"/>
        </w:rPr>
        <w:t>pr</w:t>
      </w:r>
      <w:r w:rsidRPr="009A0DA6">
        <w:rPr>
          <w:rFonts w:ascii="Cambria" w:eastAsia="Times New Roman" w:hAnsi="Cambria" w:cstheme="minorHAnsi"/>
        </w:rPr>
        <w:t>e</w:t>
      </w:r>
      <w:r w:rsidRPr="009A0DA6">
        <w:rPr>
          <w:rFonts w:ascii="Cambria" w:eastAsia="Times New Roman" w:hAnsi="Cambria" w:cstheme="minorHAnsi"/>
          <w:spacing w:val="1"/>
        </w:rPr>
        <w:t>p</w:t>
      </w:r>
      <w:r w:rsidRPr="009A0DA6">
        <w:rPr>
          <w:rFonts w:ascii="Cambria" w:eastAsia="Times New Roman" w:hAnsi="Cambria" w:cstheme="minorHAnsi"/>
        </w:rPr>
        <w:t>a</w:t>
      </w:r>
      <w:r w:rsidRPr="009A0DA6">
        <w:rPr>
          <w:rFonts w:ascii="Cambria" w:eastAsia="Times New Roman" w:hAnsi="Cambria" w:cstheme="minorHAnsi"/>
          <w:spacing w:val="1"/>
        </w:rPr>
        <w:t>r</w:t>
      </w:r>
      <w:r w:rsidRPr="009A0DA6">
        <w:rPr>
          <w:rFonts w:ascii="Cambria" w:eastAsia="Times New Roman" w:hAnsi="Cambria" w:cstheme="minorHAnsi"/>
        </w:rPr>
        <w:t>ati</w:t>
      </w:r>
      <w:r w:rsidRPr="009A0DA6">
        <w:rPr>
          <w:rFonts w:ascii="Cambria" w:eastAsia="Times New Roman" w:hAnsi="Cambria" w:cstheme="minorHAnsi"/>
          <w:spacing w:val="1"/>
        </w:rPr>
        <w:t>o</w:t>
      </w:r>
      <w:r w:rsidRPr="009A0DA6">
        <w:rPr>
          <w:rFonts w:ascii="Cambria" w:eastAsia="Times New Roman" w:hAnsi="Cambria" w:cstheme="minorHAnsi"/>
        </w:rPr>
        <w:t>n</w:t>
      </w:r>
      <w:r w:rsidRPr="009A0DA6">
        <w:rPr>
          <w:rFonts w:ascii="Cambria" w:eastAsia="Times New Roman" w:hAnsi="Cambria" w:cstheme="minorHAnsi"/>
          <w:spacing w:val="14"/>
        </w:rPr>
        <w:t xml:space="preserve"> </w:t>
      </w:r>
      <w:r w:rsidRPr="009A0DA6">
        <w:rPr>
          <w:rFonts w:ascii="Cambria" w:eastAsia="Times New Roman" w:hAnsi="Cambria" w:cstheme="minorHAnsi"/>
          <w:spacing w:val="1"/>
        </w:rPr>
        <w:t>d</w:t>
      </w:r>
      <w:r w:rsidRPr="009A0DA6">
        <w:rPr>
          <w:rFonts w:ascii="Cambria" w:eastAsia="Times New Roman" w:hAnsi="Cambria" w:cstheme="minorHAnsi"/>
        </w:rPr>
        <w:t>e</w:t>
      </w:r>
      <w:r w:rsidRPr="009A0DA6">
        <w:rPr>
          <w:rFonts w:ascii="Cambria" w:eastAsia="Times New Roman" w:hAnsi="Cambria" w:cstheme="minorHAnsi"/>
          <w:spacing w:val="-1"/>
        </w:rPr>
        <w:t>s</w:t>
      </w:r>
      <w:r w:rsidRPr="009A0DA6">
        <w:rPr>
          <w:rFonts w:ascii="Cambria" w:eastAsia="Times New Roman" w:hAnsi="Cambria" w:cstheme="minorHAnsi"/>
        </w:rPr>
        <w:t>c</w:t>
      </w:r>
      <w:r w:rsidRPr="009A0DA6">
        <w:rPr>
          <w:rFonts w:ascii="Cambria" w:eastAsia="Times New Roman" w:hAnsi="Cambria" w:cstheme="minorHAnsi"/>
          <w:spacing w:val="1"/>
        </w:rPr>
        <w:t>r</w:t>
      </w:r>
      <w:r w:rsidRPr="009A0DA6">
        <w:rPr>
          <w:rFonts w:ascii="Cambria" w:eastAsia="Times New Roman" w:hAnsi="Cambria" w:cstheme="minorHAnsi"/>
        </w:rPr>
        <w:t>i</w:t>
      </w:r>
      <w:r w:rsidRPr="009A0DA6">
        <w:rPr>
          <w:rFonts w:ascii="Cambria" w:eastAsia="Times New Roman" w:hAnsi="Cambria" w:cstheme="minorHAnsi"/>
          <w:spacing w:val="1"/>
        </w:rPr>
        <w:t>b</w:t>
      </w:r>
      <w:r w:rsidRPr="009A0DA6">
        <w:rPr>
          <w:rFonts w:ascii="Cambria" w:eastAsia="Times New Roman" w:hAnsi="Cambria" w:cstheme="minorHAnsi"/>
        </w:rPr>
        <w:t>ed</w:t>
      </w:r>
      <w:r w:rsidRPr="009A0DA6">
        <w:rPr>
          <w:rFonts w:ascii="Cambria" w:eastAsia="Times New Roman" w:hAnsi="Cambria" w:cstheme="minorHAnsi"/>
          <w:spacing w:val="18"/>
        </w:rPr>
        <w:t xml:space="preserve"> </w:t>
      </w:r>
      <w:r w:rsidRPr="009A0DA6">
        <w:rPr>
          <w:rFonts w:ascii="Cambria" w:eastAsia="Times New Roman" w:hAnsi="Cambria" w:cstheme="minorHAnsi"/>
        </w:rPr>
        <w:t>in</w:t>
      </w:r>
      <w:r w:rsidRPr="009A0DA6">
        <w:rPr>
          <w:rFonts w:ascii="Cambria" w:eastAsia="Times New Roman" w:hAnsi="Cambria" w:cstheme="minorHAnsi"/>
          <w:spacing w:val="21"/>
        </w:rPr>
        <w:t xml:space="preserve"> </w:t>
      </w:r>
      <w:r w:rsidRPr="009A0DA6">
        <w:rPr>
          <w:rFonts w:ascii="Cambria" w:eastAsia="Times New Roman" w:hAnsi="Cambria" w:cstheme="minorHAnsi"/>
        </w:rPr>
        <w:t>N</w:t>
      </w:r>
      <w:r w:rsidRPr="009A0DA6">
        <w:rPr>
          <w:rFonts w:ascii="Cambria" w:eastAsia="Times New Roman" w:hAnsi="Cambria" w:cstheme="minorHAnsi"/>
          <w:spacing w:val="1"/>
        </w:rPr>
        <w:t>o</w:t>
      </w:r>
      <w:r w:rsidRPr="009A0DA6">
        <w:rPr>
          <w:rFonts w:ascii="Cambria" w:eastAsia="Times New Roman" w:hAnsi="Cambria" w:cstheme="minorHAnsi"/>
        </w:rPr>
        <w:t>te</w:t>
      </w:r>
      <w:r w:rsidRPr="009A0DA6">
        <w:rPr>
          <w:rFonts w:ascii="Cambria" w:eastAsia="Times New Roman" w:hAnsi="Cambria" w:cstheme="minorHAnsi"/>
          <w:spacing w:val="21"/>
        </w:rPr>
        <w:t xml:space="preserve"> </w:t>
      </w:r>
      <w:r w:rsidRPr="009A0DA6">
        <w:rPr>
          <w:rFonts w:ascii="Cambria" w:eastAsia="Times New Roman" w:hAnsi="Cambria" w:cstheme="minorHAnsi"/>
        </w:rPr>
        <w:t>1</w:t>
      </w:r>
      <w:r w:rsidRPr="009A0DA6">
        <w:rPr>
          <w:rFonts w:ascii="Cambria" w:eastAsia="Times New Roman" w:hAnsi="Cambria" w:cstheme="minorHAnsi"/>
          <w:spacing w:val="25"/>
        </w:rPr>
        <w:t xml:space="preserve"> </w:t>
      </w:r>
      <w:r w:rsidRPr="009A0DA6">
        <w:rPr>
          <w:rFonts w:ascii="Cambria" w:eastAsia="Times New Roman" w:hAnsi="Cambria" w:cstheme="minorHAnsi"/>
        </w:rPr>
        <w:t>to</w:t>
      </w:r>
      <w:r w:rsidRPr="009A0DA6">
        <w:rPr>
          <w:rFonts w:ascii="Cambria" w:eastAsia="Times New Roman" w:hAnsi="Cambria" w:cstheme="minorHAnsi"/>
          <w:spacing w:val="24"/>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23"/>
        </w:rPr>
        <w:t xml:space="preserve"> </w:t>
      </w:r>
      <w:r w:rsidRPr="009A0DA6">
        <w:rPr>
          <w:rFonts w:ascii="Cambria" w:eastAsia="Times New Roman" w:hAnsi="Cambria" w:cstheme="minorHAnsi"/>
          <w:spacing w:val="1"/>
        </w:rPr>
        <w:t>f</w:t>
      </w:r>
      <w:r w:rsidRPr="009A0DA6">
        <w:rPr>
          <w:rFonts w:ascii="Cambria" w:eastAsia="Times New Roman" w:hAnsi="Cambria" w:cstheme="minorHAnsi"/>
        </w:rPr>
        <w:t>i</w:t>
      </w:r>
      <w:r w:rsidRPr="009A0DA6">
        <w:rPr>
          <w:rFonts w:ascii="Cambria" w:eastAsia="Times New Roman" w:hAnsi="Cambria" w:cstheme="minorHAnsi"/>
          <w:spacing w:val="-1"/>
        </w:rPr>
        <w:t>n</w:t>
      </w:r>
      <w:r w:rsidRPr="009A0DA6">
        <w:rPr>
          <w:rFonts w:ascii="Cambria" w:eastAsia="Times New Roman" w:hAnsi="Cambria" w:cstheme="minorHAnsi"/>
          <w:spacing w:val="3"/>
        </w:rPr>
        <w:t>a</w:t>
      </w:r>
      <w:r w:rsidRPr="009A0DA6">
        <w:rPr>
          <w:rFonts w:ascii="Cambria" w:eastAsia="Times New Roman" w:hAnsi="Cambria" w:cstheme="minorHAnsi"/>
          <w:spacing w:val="-1"/>
        </w:rPr>
        <w:t>n</w:t>
      </w:r>
      <w:r w:rsidRPr="009A0DA6">
        <w:rPr>
          <w:rFonts w:ascii="Cambria" w:eastAsia="Times New Roman" w:hAnsi="Cambria" w:cstheme="minorHAnsi"/>
        </w:rPr>
        <w:t xml:space="preserve">cial </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1"/>
        </w:rPr>
        <w:t>por</w:t>
      </w:r>
      <w:r w:rsidRPr="009A0DA6">
        <w:rPr>
          <w:rFonts w:ascii="Cambria" w:eastAsia="Times New Roman" w:hAnsi="Cambria" w:cstheme="minorHAnsi"/>
        </w:rPr>
        <w:t>t</w:t>
      </w:r>
      <w:r w:rsidRPr="009A0DA6">
        <w:rPr>
          <w:rFonts w:ascii="Cambria" w:eastAsia="Times New Roman" w:hAnsi="Cambria" w:cstheme="minorHAnsi"/>
          <w:spacing w:val="26"/>
        </w:rPr>
        <w:t xml:space="preserve"> </w:t>
      </w:r>
      <w:r w:rsidRPr="009A0DA6">
        <w:rPr>
          <w:rFonts w:ascii="Cambria" w:eastAsia="Times New Roman" w:hAnsi="Cambria" w:cstheme="minorHAnsi"/>
        </w:rPr>
        <w:t>is</w:t>
      </w:r>
      <w:r w:rsidRPr="009A0DA6">
        <w:rPr>
          <w:rFonts w:ascii="Cambria" w:eastAsia="Times New Roman" w:hAnsi="Cambria" w:cstheme="minorHAnsi"/>
          <w:spacing w:val="30"/>
        </w:rPr>
        <w:t xml:space="preserve"> </w:t>
      </w:r>
      <w:r w:rsidRPr="009A0DA6">
        <w:rPr>
          <w:rFonts w:ascii="Cambria" w:eastAsia="Times New Roman" w:hAnsi="Cambria" w:cstheme="minorHAnsi"/>
        </w:rPr>
        <w:t>a</w:t>
      </w:r>
      <w:r w:rsidRPr="009A0DA6">
        <w:rPr>
          <w:rFonts w:ascii="Cambria" w:eastAsia="Times New Roman" w:hAnsi="Cambria" w:cstheme="minorHAnsi"/>
          <w:spacing w:val="-1"/>
        </w:rPr>
        <w:t>p</w:t>
      </w:r>
      <w:r w:rsidRPr="009A0DA6">
        <w:rPr>
          <w:rFonts w:ascii="Cambria" w:eastAsia="Times New Roman" w:hAnsi="Cambria" w:cstheme="minorHAnsi"/>
          <w:spacing w:val="1"/>
        </w:rPr>
        <w:t>pr</w:t>
      </w:r>
      <w:r w:rsidRPr="009A0DA6">
        <w:rPr>
          <w:rFonts w:ascii="Cambria" w:eastAsia="Times New Roman" w:hAnsi="Cambria" w:cstheme="minorHAnsi"/>
          <w:spacing w:val="-1"/>
        </w:rPr>
        <w:t>o</w:t>
      </w:r>
      <w:r w:rsidRPr="009A0DA6">
        <w:rPr>
          <w:rFonts w:ascii="Cambria" w:eastAsia="Times New Roman" w:hAnsi="Cambria" w:cstheme="minorHAnsi"/>
          <w:spacing w:val="1"/>
        </w:rPr>
        <w:t>pr</w:t>
      </w:r>
      <w:r w:rsidRPr="009A0DA6">
        <w:rPr>
          <w:rFonts w:ascii="Cambria" w:eastAsia="Times New Roman" w:hAnsi="Cambria" w:cstheme="minorHAnsi"/>
        </w:rPr>
        <w:t>iate</w:t>
      </w:r>
      <w:r w:rsidRPr="009A0DA6">
        <w:rPr>
          <w:rFonts w:ascii="Cambria" w:eastAsia="Times New Roman" w:hAnsi="Cambria" w:cstheme="minorHAnsi"/>
          <w:spacing w:val="23"/>
        </w:rPr>
        <w:t xml:space="preserve"> </w:t>
      </w:r>
      <w:r w:rsidRPr="009A0DA6">
        <w:rPr>
          <w:rFonts w:ascii="Cambria" w:eastAsia="Times New Roman" w:hAnsi="Cambria" w:cstheme="minorHAnsi"/>
        </w:rPr>
        <w:t>to</w:t>
      </w:r>
      <w:r w:rsidRPr="009A0DA6">
        <w:rPr>
          <w:rFonts w:ascii="Cambria" w:eastAsia="Times New Roman" w:hAnsi="Cambria" w:cstheme="minorHAnsi"/>
          <w:spacing w:val="31"/>
        </w:rPr>
        <w:t xml:space="preserve"> </w:t>
      </w:r>
      <w:r w:rsidRPr="009A0DA6">
        <w:rPr>
          <w:rFonts w:ascii="Cambria" w:eastAsia="Times New Roman" w:hAnsi="Cambria" w:cstheme="minorHAnsi"/>
          <w:spacing w:val="-4"/>
        </w:rPr>
        <w:t>m</w:t>
      </w:r>
      <w:r w:rsidRPr="009A0DA6">
        <w:rPr>
          <w:rFonts w:ascii="Cambria" w:eastAsia="Times New Roman" w:hAnsi="Cambria" w:cstheme="minorHAnsi"/>
        </w:rPr>
        <w:t>eet</w:t>
      </w:r>
      <w:r w:rsidRPr="009A0DA6">
        <w:rPr>
          <w:rFonts w:ascii="Cambria" w:eastAsia="Times New Roman" w:hAnsi="Cambria" w:cstheme="minorHAnsi"/>
          <w:spacing w:val="30"/>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30"/>
        </w:rPr>
        <w:t xml:space="preserve"> </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1"/>
        </w:rPr>
        <w:t>q</w:t>
      </w:r>
      <w:r w:rsidRPr="009A0DA6">
        <w:rPr>
          <w:rFonts w:ascii="Cambria" w:eastAsia="Times New Roman" w:hAnsi="Cambria" w:cstheme="minorHAnsi"/>
          <w:spacing w:val="-1"/>
        </w:rPr>
        <w:t>u</w:t>
      </w:r>
      <w:r w:rsidRPr="009A0DA6">
        <w:rPr>
          <w:rFonts w:ascii="Cambria" w:eastAsia="Times New Roman" w:hAnsi="Cambria" w:cstheme="minorHAnsi"/>
        </w:rPr>
        <w:t>i</w:t>
      </w:r>
      <w:r w:rsidRPr="009A0DA6">
        <w:rPr>
          <w:rFonts w:ascii="Cambria" w:eastAsia="Times New Roman" w:hAnsi="Cambria" w:cstheme="minorHAnsi"/>
          <w:spacing w:val="1"/>
        </w:rPr>
        <w:t>r</w:t>
      </w:r>
      <w:r w:rsidRPr="009A0DA6">
        <w:rPr>
          <w:rFonts w:ascii="Cambria" w:eastAsia="Times New Roman" w:hAnsi="Cambria" w:cstheme="minorHAnsi"/>
          <w:spacing w:val="3"/>
        </w:rPr>
        <w:t>e</w:t>
      </w:r>
      <w:r w:rsidRPr="009A0DA6">
        <w:rPr>
          <w:rFonts w:ascii="Cambria" w:eastAsia="Times New Roman" w:hAnsi="Cambria" w:cstheme="minorHAnsi"/>
          <w:spacing w:val="-4"/>
        </w:rPr>
        <w:t>m</w:t>
      </w:r>
      <w:r w:rsidRPr="009A0DA6">
        <w:rPr>
          <w:rFonts w:ascii="Cambria" w:eastAsia="Times New Roman" w:hAnsi="Cambria" w:cstheme="minorHAnsi"/>
          <w:spacing w:val="3"/>
        </w:rPr>
        <w:t>e</w:t>
      </w:r>
      <w:r w:rsidRPr="009A0DA6">
        <w:rPr>
          <w:rFonts w:ascii="Cambria" w:eastAsia="Times New Roman" w:hAnsi="Cambria" w:cstheme="minorHAnsi"/>
          <w:spacing w:val="-1"/>
        </w:rPr>
        <w:t>n</w:t>
      </w:r>
      <w:r w:rsidRPr="009A0DA6">
        <w:rPr>
          <w:rFonts w:ascii="Cambria" w:eastAsia="Times New Roman" w:hAnsi="Cambria" w:cstheme="minorHAnsi"/>
        </w:rPr>
        <w:t>ts</w:t>
      </w:r>
      <w:r w:rsidRPr="009A0DA6">
        <w:rPr>
          <w:rFonts w:ascii="Cambria" w:eastAsia="Times New Roman" w:hAnsi="Cambria" w:cstheme="minorHAnsi"/>
          <w:spacing w:val="21"/>
        </w:rPr>
        <w:t xml:space="preserve"> </w:t>
      </w:r>
      <w:r w:rsidRPr="009A0DA6">
        <w:rPr>
          <w:rFonts w:ascii="Cambria" w:eastAsia="Times New Roman" w:hAnsi="Cambria" w:cstheme="minorHAnsi"/>
          <w:spacing w:val="4"/>
        </w:rPr>
        <w:t>o</w:t>
      </w:r>
      <w:r w:rsidRPr="009A0DA6">
        <w:rPr>
          <w:rFonts w:ascii="Cambria" w:eastAsia="Times New Roman" w:hAnsi="Cambria" w:cstheme="minorHAnsi"/>
        </w:rPr>
        <w:t>f</w:t>
      </w:r>
      <w:r w:rsidRPr="009A0DA6">
        <w:rPr>
          <w:rFonts w:ascii="Cambria" w:eastAsia="Times New Roman" w:hAnsi="Cambria" w:cstheme="minorHAnsi"/>
          <w:spacing w:val="28"/>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32"/>
        </w:rPr>
        <w:t xml:space="preserve"> </w:t>
      </w:r>
      <w:r w:rsidRPr="009A0DA6">
        <w:rPr>
          <w:rFonts w:ascii="Cambria" w:eastAsia="Times New Roman" w:hAnsi="Cambria" w:cstheme="minorHAnsi"/>
        </w:rPr>
        <w:t>A</w:t>
      </w:r>
      <w:r w:rsidRPr="009A0DA6">
        <w:rPr>
          <w:rFonts w:ascii="Cambria" w:eastAsia="Times New Roman" w:hAnsi="Cambria" w:cstheme="minorHAnsi"/>
          <w:spacing w:val="2"/>
        </w:rPr>
        <w:t>C</w:t>
      </w:r>
      <w:r w:rsidRPr="009A0DA6">
        <w:rPr>
          <w:rFonts w:ascii="Cambria" w:eastAsia="Times New Roman" w:hAnsi="Cambria" w:cstheme="minorHAnsi"/>
        </w:rPr>
        <w:t>NC</w:t>
      </w:r>
      <w:r w:rsidRPr="009A0DA6">
        <w:rPr>
          <w:rFonts w:ascii="Cambria" w:eastAsia="Times New Roman" w:hAnsi="Cambria" w:cstheme="minorHAnsi"/>
          <w:spacing w:val="27"/>
        </w:rPr>
        <w:t xml:space="preserve"> </w:t>
      </w:r>
      <w:r w:rsidRPr="009A0DA6">
        <w:rPr>
          <w:rFonts w:ascii="Cambria" w:eastAsia="Times New Roman" w:hAnsi="Cambria" w:cstheme="minorHAnsi"/>
          <w:spacing w:val="-2"/>
        </w:rPr>
        <w:t>A</w:t>
      </w:r>
      <w:r w:rsidRPr="009A0DA6">
        <w:rPr>
          <w:rFonts w:ascii="Cambria" w:eastAsia="Times New Roman" w:hAnsi="Cambria" w:cstheme="minorHAnsi"/>
        </w:rPr>
        <w:t>ct.</w:t>
      </w:r>
      <w:r w:rsidRPr="009A0DA6">
        <w:rPr>
          <w:rFonts w:ascii="Cambria" w:eastAsia="Times New Roman" w:hAnsi="Cambria" w:cstheme="minorHAnsi"/>
          <w:spacing w:val="29"/>
        </w:rPr>
        <w:t xml:space="preserve"> </w:t>
      </w:r>
      <w:r w:rsidRPr="009A0DA6">
        <w:rPr>
          <w:rFonts w:ascii="Cambria" w:eastAsia="Times New Roman" w:hAnsi="Cambria" w:cstheme="minorHAnsi"/>
          <w:spacing w:val="3"/>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31"/>
        </w:rPr>
        <w:t xml:space="preserve"> </w:t>
      </w:r>
      <w:r w:rsidRPr="009A0DA6">
        <w:rPr>
          <w:rFonts w:ascii="Cambria" w:eastAsia="Times New Roman" w:hAnsi="Cambria" w:cstheme="minorHAnsi"/>
          <w:spacing w:val="-4"/>
        </w:rPr>
        <w:t>m</w:t>
      </w:r>
      <w:r w:rsidRPr="009A0DA6">
        <w:rPr>
          <w:rFonts w:ascii="Cambria" w:eastAsia="Times New Roman" w:hAnsi="Cambria" w:cstheme="minorHAnsi"/>
          <w:spacing w:val="3"/>
        </w:rPr>
        <w:t>e</w:t>
      </w:r>
      <w:r w:rsidRPr="009A0DA6">
        <w:rPr>
          <w:rFonts w:ascii="Cambria" w:eastAsia="Times New Roman" w:hAnsi="Cambria" w:cstheme="minorHAnsi"/>
          <w:spacing w:val="-4"/>
        </w:rPr>
        <w:t>m</w:t>
      </w:r>
      <w:r w:rsidRPr="009A0DA6">
        <w:rPr>
          <w:rFonts w:ascii="Cambria" w:eastAsia="Times New Roman" w:hAnsi="Cambria" w:cstheme="minorHAnsi"/>
          <w:spacing w:val="1"/>
        </w:rPr>
        <w:t>b</w:t>
      </w:r>
      <w:r w:rsidRPr="009A0DA6">
        <w:rPr>
          <w:rFonts w:ascii="Cambria" w:eastAsia="Times New Roman" w:hAnsi="Cambria" w:cstheme="minorHAnsi"/>
        </w:rPr>
        <w:t>e</w:t>
      </w:r>
      <w:r w:rsidRPr="009A0DA6">
        <w:rPr>
          <w:rFonts w:ascii="Cambria" w:eastAsia="Times New Roman" w:hAnsi="Cambria" w:cstheme="minorHAnsi"/>
          <w:spacing w:val="1"/>
        </w:rPr>
        <w:t>r</w:t>
      </w:r>
      <w:r w:rsidRPr="009A0DA6">
        <w:rPr>
          <w:rFonts w:ascii="Cambria" w:eastAsia="Times New Roman" w:hAnsi="Cambria" w:cstheme="minorHAnsi"/>
          <w:spacing w:val="2"/>
        </w:rPr>
        <w:t>s</w:t>
      </w:r>
      <w:r w:rsidRPr="009A0DA6">
        <w:rPr>
          <w:rFonts w:ascii="Cambria" w:eastAsia="Times New Roman" w:hAnsi="Cambria" w:cstheme="minorHAnsi"/>
        </w:rPr>
        <w:t>’</w:t>
      </w:r>
      <w:r w:rsidRPr="009A0DA6">
        <w:rPr>
          <w:rFonts w:ascii="Cambria" w:eastAsia="Times New Roman" w:hAnsi="Cambria" w:cstheme="minorHAnsi"/>
          <w:spacing w:val="22"/>
        </w:rPr>
        <w:t xml:space="preserve"> </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1"/>
        </w:rPr>
        <w:t>s</w:t>
      </w:r>
      <w:r w:rsidRPr="009A0DA6">
        <w:rPr>
          <w:rFonts w:ascii="Cambria" w:eastAsia="Times New Roman" w:hAnsi="Cambria" w:cstheme="minorHAnsi"/>
          <w:spacing w:val="4"/>
        </w:rPr>
        <w:t>p</w:t>
      </w:r>
      <w:r w:rsidRPr="009A0DA6">
        <w:rPr>
          <w:rFonts w:ascii="Cambria" w:eastAsia="Times New Roman" w:hAnsi="Cambria" w:cstheme="minorHAnsi"/>
          <w:spacing w:val="1"/>
        </w:rPr>
        <w:t>o</w:t>
      </w:r>
      <w:r w:rsidRPr="009A0DA6">
        <w:rPr>
          <w:rFonts w:ascii="Cambria" w:eastAsia="Times New Roman" w:hAnsi="Cambria" w:cstheme="minorHAnsi"/>
          <w:spacing w:val="-1"/>
        </w:rPr>
        <w:t>ns</w:t>
      </w:r>
      <w:r w:rsidRPr="009A0DA6">
        <w:rPr>
          <w:rFonts w:ascii="Cambria" w:eastAsia="Times New Roman" w:hAnsi="Cambria" w:cstheme="minorHAnsi"/>
        </w:rPr>
        <w:t>i</w:t>
      </w:r>
      <w:r w:rsidRPr="009A0DA6">
        <w:rPr>
          <w:rFonts w:ascii="Cambria" w:eastAsia="Times New Roman" w:hAnsi="Cambria" w:cstheme="minorHAnsi"/>
          <w:spacing w:val="1"/>
        </w:rPr>
        <w:t>b</w:t>
      </w:r>
      <w:r w:rsidRPr="009A0DA6">
        <w:rPr>
          <w:rFonts w:ascii="Cambria" w:eastAsia="Times New Roman" w:hAnsi="Cambria" w:cstheme="minorHAnsi"/>
        </w:rPr>
        <w:t>ili</w:t>
      </w:r>
      <w:r w:rsidRPr="009A0DA6">
        <w:rPr>
          <w:rFonts w:ascii="Cambria" w:eastAsia="Times New Roman" w:hAnsi="Cambria" w:cstheme="minorHAnsi"/>
          <w:spacing w:val="2"/>
        </w:rPr>
        <w:t>t</w:t>
      </w:r>
      <w:r w:rsidRPr="009A0DA6">
        <w:rPr>
          <w:rFonts w:ascii="Cambria" w:eastAsia="Times New Roman" w:hAnsi="Cambria" w:cstheme="minorHAnsi"/>
        </w:rPr>
        <w:t>y</w:t>
      </w:r>
      <w:r w:rsidRPr="009A0DA6">
        <w:rPr>
          <w:rFonts w:ascii="Cambria" w:eastAsia="Times New Roman" w:hAnsi="Cambria" w:cstheme="minorHAnsi"/>
          <w:spacing w:val="19"/>
        </w:rPr>
        <w:t xml:space="preserve"> </w:t>
      </w:r>
      <w:r w:rsidRPr="009A0DA6">
        <w:rPr>
          <w:rFonts w:ascii="Cambria" w:eastAsia="Times New Roman" w:hAnsi="Cambria" w:cstheme="minorHAnsi"/>
        </w:rPr>
        <w:t>al</w:t>
      </w:r>
      <w:r w:rsidRPr="009A0DA6">
        <w:rPr>
          <w:rFonts w:ascii="Cambria" w:eastAsia="Times New Roman" w:hAnsi="Cambria" w:cstheme="minorHAnsi"/>
          <w:spacing w:val="-1"/>
        </w:rPr>
        <w:t>s</w:t>
      </w:r>
      <w:r w:rsidRPr="009A0DA6">
        <w:rPr>
          <w:rFonts w:ascii="Cambria" w:eastAsia="Times New Roman" w:hAnsi="Cambria" w:cstheme="minorHAnsi"/>
        </w:rPr>
        <w:t>o i</w:t>
      </w:r>
      <w:r w:rsidRPr="009A0DA6">
        <w:rPr>
          <w:rFonts w:ascii="Cambria" w:eastAsia="Times New Roman" w:hAnsi="Cambria" w:cstheme="minorHAnsi"/>
          <w:spacing w:val="-1"/>
        </w:rPr>
        <w:t>n</w:t>
      </w:r>
      <w:r w:rsidRPr="009A0DA6">
        <w:rPr>
          <w:rFonts w:ascii="Cambria" w:eastAsia="Times New Roman" w:hAnsi="Cambria" w:cstheme="minorHAnsi"/>
        </w:rPr>
        <w:t>c</w:t>
      </w:r>
      <w:r w:rsidRPr="009A0DA6">
        <w:rPr>
          <w:rFonts w:ascii="Cambria" w:eastAsia="Times New Roman" w:hAnsi="Cambria" w:cstheme="minorHAnsi"/>
          <w:spacing w:val="2"/>
        </w:rPr>
        <w:t>l</w:t>
      </w:r>
      <w:r w:rsidRPr="009A0DA6">
        <w:rPr>
          <w:rFonts w:ascii="Cambria" w:eastAsia="Times New Roman" w:hAnsi="Cambria" w:cstheme="minorHAnsi"/>
          <w:spacing w:val="-1"/>
        </w:rPr>
        <w:t>u</w:t>
      </w:r>
      <w:r w:rsidRPr="009A0DA6">
        <w:rPr>
          <w:rFonts w:ascii="Cambria" w:eastAsia="Times New Roman" w:hAnsi="Cambria" w:cstheme="minorHAnsi"/>
          <w:spacing w:val="1"/>
        </w:rPr>
        <w:t>d</w:t>
      </w:r>
      <w:r w:rsidRPr="009A0DA6">
        <w:rPr>
          <w:rFonts w:ascii="Cambria" w:eastAsia="Times New Roman" w:hAnsi="Cambria" w:cstheme="minorHAnsi"/>
        </w:rPr>
        <w:t xml:space="preserve">es </w:t>
      </w:r>
      <w:r w:rsidRPr="009A0DA6">
        <w:rPr>
          <w:rFonts w:ascii="Cambria" w:eastAsia="Times New Roman" w:hAnsi="Cambria" w:cstheme="minorHAnsi"/>
          <w:spacing w:val="4"/>
        </w:rPr>
        <w:t xml:space="preserve"> </w:t>
      </w:r>
      <w:r w:rsidRPr="009A0DA6">
        <w:rPr>
          <w:rFonts w:ascii="Cambria" w:eastAsia="Times New Roman" w:hAnsi="Cambria" w:cstheme="minorHAnsi"/>
          <w:spacing w:val="-1"/>
        </w:rPr>
        <w:t>su</w:t>
      </w:r>
      <w:r w:rsidRPr="009A0DA6">
        <w:rPr>
          <w:rFonts w:ascii="Cambria" w:eastAsia="Times New Roman" w:hAnsi="Cambria" w:cstheme="minorHAnsi"/>
          <w:spacing w:val="3"/>
        </w:rPr>
        <w:t>c</w:t>
      </w:r>
      <w:r w:rsidRPr="009A0DA6">
        <w:rPr>
          <w:rFonts w:ascii="Cambria" w:eastAsia="Times New Roman" w:hAnsi="Cambria" w:cstheme="minorHAnsi"/>
        </w:rPr>
        <w:t xml:space="preserve">h </w:t>
      </w:r>
      <w:r w:rsidRPr="009A0DA6">
        <w:rPr>
          <w:rFonts w:ascii="Cambria" w:eastAsia="Times New Roman" w:hAnsi="Cambria" w:cstheme="minorHAnsi"/>
          <w:spacing w:val="6"/>
        </w:rPr>
        <w:t xml:space="preserve"> </w:t>
      </w:r>
      <w:r w:rsidRPr="009A0DA6">
        <w:rPr>
          <w:rFonts w:ascii="Cambria" w:eastAsia="Times New Roman" w:hAnsi="Cambria" w:cstheme="minorHAnsi"/>
        </w:rPr>
        <w:t>i</w:t>
      </w:r>
      <w:r w:rsidRPr="009A0DA6">
        <w:rPr>
          <w:rFonts w:ascii="Cambria" w:eastAsia="Times New Roman" w:hAnsi="Cambria" w:cstheme="minorHAnsi"/>
          <w:spacing w:val="-1"/>
        </w:rPr>
        <w:t>n</w:t>
      </w:r>
      <w:r w:rsidRPr="009A0DA6">
        <w:rPr>
          <w:rFonts w:ascii="Cambria" w:eastAsia="Times New Roman" w:hAnsi="Cambria" w:cstheme="minorHAnsi"/>
        </w:rPr>
        <w:t>te</w:t>
      </w:r>
      <w:r w:rsidRPr="009A0DA6">
        <w:rPr>
          <w:rFonts w:ascii="Cambria" w:eastAsia="Times New Roman" w:hAnsi="Cambria" w:cstheme="minorHAnsi"/>
          <w:spacing w:val="3"/>
        </w:rPr>
        <w:t>r</w:t>
      </w:r>
      <w:r w:rsidRPr="009A0DA6">
        <w:rPr>
          <w:rFonts w:ascii="Cambria" w:eastAsia="Times New Roman" w:hAnsi="Cambria" w:cstheme="minorHAnsi"/>
          <w:spacing w:val="-1"/>
        </w:rPr>
        <w:t>n</w:t>
      </w:r>
      <w:r w:rsidRPr="009A0DA6">
        <w:rPr>
          <w:rFonts w:ascii="Cambria" w:eastAsia="Times New Roman" w:hAnsi="Cambria" w:cstheme="minorHAnsi"/>
        </w:rPr>
        <w:t xml:space="preserve">al </w:t>
      </w:r>
      <w:r w:rsidRPr="009A0DA6">
        <w:rPr>
          <w:rFonts w:ascii="Cambria" w:eastAsia="Times New Roman" w:hAnsi="Cambria" w:cstheme="minorHAnsi"/>
          <w:spacing w:val="5"/>
        </w:rPr>
        <w:t xml:space="preserve"> </w:t>
      </w:r>
      <w:r w:rsidRPr="009A0DA6">
        <w:rPr>
          <w:rFonts w:ascii="Cambria" w:eastAsia="Times New Roman" w:hAnsi="Cambria" w:cstheme="minorHAnsi"/>
        </w:rPr>
        <w:t>c</w:t>
      </w:r>
      <w:r w:rsidRPr="009A0DA6">
        <w:rPr>
          <w:rFonts w:ascii="Cambria" w:eastAsia="Times New Roman" w:hAnsi="Cambria" w:cstheme="minorHAnsi"/>
          <w:spacing w:val="1"/>
        </w:rPr>
        <w:t>o</w:t>
      </w:r>
      <w:r w:rsidRPr="009A0DA6">
        <w:rPr>
          <w:rFonts w:ascii="Cambria" w:eastAsia="Times New Roman" w:hAnsi="Cambria" w:cstheme="minorHAnsi"/>
          <w:spacing w:val="-1"/>
        </w:rPr>
        <w:t>n</w:t>
      </w:r>
      <w:r w:rsidRPr="009A0DA6">
        <w:rPr>
          <w:rFonts w:ascii="Cambria" w:eastAsia="Times New Roman" w:hAnsi="Cambria" w:cstheme="minorHAnsi"/>
        </w:rPr>
        <w:t>t</w:t>
      </w:r>
      <w:r w:rsidRPr="009A0DA6">
        <w:rPr>
          <w:rFonts w:ascii="Cambria" w:eastAsia="Times New Roman" w:hAnsi="Cambria" w:cstheme="minorHAnsi"/>
          <w:spacing w:val="3"/>
        </w:rPr>
        <w:t>r</w:t>
      </w:r>
      <w:r w:rsidRPr="009A0DA6">
        <w:rPr>
          <w:rFonts w:ascii="Cambria" w:eastAsia="Times New Roman" w:hAnsi="Cambria" w:cstheme="minorHAnsi"/>
          <w:spacing w:val="1"/>
        </w:rPr>
        <w:t>o</w:t>
      </w:r>
      <w:r w:rsidRPr="009A0DA6">
        <w:rPr>
          <w:rFonts w:ascii="Cambria" w:eastAsia="Times New Roman" w:hAnsi="Cambria" w:cstheme="minorHAnsi"/>
        </w:rPr>
        <w:t xml:space="preserve">l </w:t>
      </w:r>
      <w:r w:rsidRPr="009A0DA6">
        <w:rPr>
          <w:rFonts w:ascii="Cambria" w:eastAsia="Times New Roman" w:hAnsi="Cambria" w:cstheme="minorHAnsi"/>
          <w:spacing w:val="5"/>
        </w:rPr>
        <w:t xml:space="preserve"> </w:t>
      </w:r>
      <w:r w:rsidRPr="009A0DA6">
        <w:rPr>
          <w:rFonts w:ascii="Cambria" w:eastAsia="Times New Roman" w:hAnsi="Cambria" w:cstheme="minorHAnsi"/>
        </w:rPr>
        <w:t xml:space="preserve">as </w:t>
      </w:r>
      <w:r w:rsidRPr="009A0DA6">
        <w:rPr>
          <w:rFonts w:ascii="Cambria" w:eastAsia="Times New Roman" w:hAnsi="Cambria" w:cstheme="minorHAnsi"/>
          <w:spacing w:val="9"/>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 xml:space="preserve">e </w:t>
      </w:r>
      <w:r w:rsidRPr="009A0DA6">
        <w:rPr>
          <w:rFonts w:ascii="Cambria" w:eastAsia="Times New Roman" w:hAnsi="Cambria" w:cstheme="minorHAnsi"/>
          <w:spacing w:val="9"/>
        </w:rPr>
        <w:t xml:space="preserve"> </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1"/>
        </w:rPr>
        <w:t>s</w:t>
      </w:r>
      <w:r w:rsidRPr="009A0DA6">
        <w:rPr>
          <w:rFonts w:ascii="Cambria" w:eastAsia="Times New Roman" w:hAnsi="Cambria" w:cstheme="minorHAnsi"/>
          <w:spacing w:val="1"/>
        </w:rPr>
        <w:t>po</w:t>
      </w:r>
      <w:r w:rsidRPr="009A0DA6">
        <w:rPr>
          <w:rFonts w:ascii="Cambria" w:eastAsia="Times New Roman" w:hAnsi="Cambria" w:cstheme="minorHAnsi"/>
          <w:spacing w:val="-1"/>
        </w:rPr>
        <w:t>ns</w:t>
      </w:r>
      <w:r w:rsidRPr="009A0DA6">
        <w:rPr>
          <w:rFonts w:ascii="Cambria" w:eastAsia="Times New Roman" w:hAnsi="Cambria" w:cstheme="minorHAnsi"/>
        </w:rPr>
        <w:t>i</w:t>
      </w:r>
      <w:r w:rsidRPr="009A0DA6">
        <w:rPr>
          <w:rFonts w:ascii="Cambria" w:eastAsia="Times New Roman" w:hAnsi="Cambria" w:cstheme="minorHAnsi"/>
          <w:spacing w:val="1"/>
        </w:rPr>
        <w:t>b</w:t>
      </w:r>
      <w:r w:rsidRPr="009A0DA6">
        <w:rPr>
          <w:rFonts w:ascii="Cambria" w:eastAsia="Times New Roman" w:hAnsi="Cambria" w:cstheme="minorHAnsi"/>
        </w:rPr>
        <w:t xml:space="preserve">le </w:t>
      </w:r>
      <w:r w:rsidRPr="009A0DA6">
        <w:rPr>
          <w:rFonts w:ascii="Cambria" w:eastAsia="Times New Roman" w:hAnsi="Cambria" w:cstheme="minorHAnsi"/>
          <w:spacing w:val="3"/>
        </w:rPr>
        <w:t xml:space="preserve"> </w:t>
      </w:r>
      <w:r w:rsidRPr="009A0DA6">
        <w:rPr>
          <w:rFonts w:ascii="Cambria" w:eastAsia="Times New Roman" w:hAnsi="Cambria" w:cstheme="minorHAnsi"/>
        </w:rPr>
        <w:t>e</w:t>
      </w:r>
      <w:r w:rsidRPr="009A0DA6">
        <w:rPr>
          <w:rFonts w:ascii="Cambria" w:eastAsia="Times New Roman" w:hAnsi="Cambria" w:cstheme="minorHAnsi"/>
          <w:spacing w:val="-1"/>
        </w:rPr>
        <w:t>n</w:t>
      </w:r>
      <w:r w:rsidRPr="009A0DA6">
        <w:rPr>
          <w:rFonts w:ascii="Cambria" w:eastAsia="Times New Roman" w:hAnsi="Cambria" w:cstheme="minorHAnsi"/>
        </w:rPr>
        <w:t>tit</w:t>
      </w:r>
      <w:r w:rsidRPr="009A0DA6">
        <w:rPr>
          <w:rFonts w:ascii="Cambria" w:eastAsia="Times New Roman" w:hAnsi="Cambria" w:cstheme="minorHAnsi"/>
          <w:spacing w:val="2"/>
        </w:rPr>
        <w:t>i</w:t>
      </w:r>
      <w:r w:rsidRPr="009A0DA6">
        <w:rPr>
          <w:rFonts w:ascii="Cambria" w:eastAsia="Times New Roman" w:hAnsi="Cambria" w:cstheme="minorHAnsi"/>
        </w:rPr>
        <w:t xml:space="preserve">es </w:t>
      </w:r>
      <w:r w:rsidRPr="009A0DA6">
        <w:rPr>
          <w:rFonts w:ascii="Cambria" w:eastAsia="Times New Roman" w:hAnsi="Cambria" w:cstheme="minorHAnsi"/>
          <w:spacing w:val="5"/>
        </w:rPr>
        <w:t xml:space="preserve"> </w:t>
      </w:r>
      <w:r w:rsidRPr="009A0DA6">
        <w:rPr>
          <w:rFonts w:ascii="Cambria" w:eastAsia="Times New Roman" w:hAnsi="Cambria" w:cstheme="minorHAnsi"/>
          <w:spacing w:val="1"/>
        </w:rPr>
        <w:t>d</w:t>
      </w:r>
      <w:r w:rsidRPr="009A0DA6">
        <w:rPr>
          <w:rFonts w:ascii="Cambria" w:eastAsia="Times New Roman" w:hAnsi="Cambria" w:cstheme="minorHAnsi"/>
        </w:rPr>
        <w:t>ete</w:t>
      </w:r>
      <w:r w:rsidRPr="009A0DA6">
        <w:rPr>
          <w:rFonts w:ascii="Cambria" w:eastAsia="Times New Roman" w:hAnsi="Cambria" w:cstheme="minorHAnsi"/>
          <w:spacing w:val="1"/>
        </w:rPr>
        <w:t>r</w:t>
      </w:r>
      <w:r w:rsidRPr="009A0DA6">
        <w:rPr>
          <w:rFonts w:ascii="Cambria" w:eastAsia="Times New Roman" w:hAnsi="Cambria" w:cstheme="minorHAnsi"/>
          <w:spacing w:val="-4"/>
        </w:rPr>
        <w:t>m</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rPr>
        <w:t xml:space="preserve">e </w:t>
      </w:r>
      <w:r w:rsidRPr="009A0DA6">
        <w:rPr>
          <w:rFonts w:ascii="Cambria" w:eastAsia="Times New Roman" w:hAnsi="Cambria" w:cstheme="minorHAnsi"/>
          <w:spacing w:val="4"/>
        </w:rPr>
        <w:t xml:space="preserve"> </w:t>
      </w:r>
      <w:r w:rsidRPr="009A0DA6">
        <w:rPr>
          <w:rFonts w:ascii="Cambria" w:eastAsia="Times New Roman" w:hAnsi="Cambria" w:cstheme="minorHAnsi"/>
        </w:rPr>
        <w:t xml:space="preserve">is </w:t>
      </w:r>
      <w:r w:rsidRPr="009A0DA6">
        <w:rPr>
          <w:rFonts w:ascii="Cambria" w:eastAsia="Times New Roman" w:hAnsi="Cambria" w:cstheme="minorHAnsi"/>
          <w:spacing w:val="9"/>
        </w:rPr>
        <w:t xml:space="preserve"> </w:t>
      </w:r>
      <w:r w:rsidRPr="009A0DA6">
        <w:rPr>
          <w:rFonts w:ascii="Cambria" w:eastAsia="Times New Roman" w:hAnsi="Cambria" w:cstheme="minorHAnsi"/>
          <w:spacing w:val="-1"/>
        </w:rPr>
        <w:t>n</w:t>
      </w:r>
      <w:r w:rsidRPr="009A0DA6">
        <w:rPr>
          <w:rFonts w:ascii="Cambria" w:eastAsia="Times New Roman" w:hAnsi="Cambria" w:cstheme="minorHAnsi"/>
        </w:rPr>
        <w:t>ec</w:t>
      </w:r>
      <w:r w:rsidRPr="009A0DA6">
        <w:rPr>
          <w:rFonts w:ascii="Cambria" w:eastAsia="Times New Roman" w:hAnsi="Cambria" w:cstheme="minorHAnsi"/>
          <w:spacing w:val="3"/>
        </w:rPr>
        <w:t>e</w:t>
      </w:r>
      <w:r w:rsidRPr="009A0DA6">
        <w:rPr>
          <w:rFonts w:ascii="Cambria" w:eastAsia="Times New Roman" w:hAnsi="Cambria" w:cstheme="minorHAnsi"/>
          <w:spacing w:val="-1"/>
        </w:rPr>
        <w:t>ss</w:t>
      </w:r>
      <w:r w:rsidRPr="009A0DA6">
        <w:rPr>
          <w:rFonts w:ascii="Cambria" w:eastAsia="Times New Roman" w:hAnsi="Cambria" w:cstheme="minorHAnsi"/>
        </w:rPr>
        <w:t>a</w:t>
      </w:r>
      <w:r w:rsidRPr="009A0DA6">
        <w:rPr>
          <w:rFonts w:ascii="Cambria" w:eastAsia="Times New Roman" w:hAnsi="Cambria" w:cstheme="minorHAnsi"/>
          <w:spacing w:val="3"/>
        </w:rPr>
        <w:t>r</w:t>
      </w:r>
      <w:r w:rsidRPr="009A0DA6">
        <w:rPr>
          <w:rFonts w:ascii="Cambria" w:eastAsia="Times New Roman" w:hAnsi="Cambria" w:cstheme="minorHAnsi"/>
        </w:rPr>
        <w:t xml:space="preserve">y  </w:t>
      </w:r>
      <w:r w:rsidRPr="009A0DA6">
        <w:rPr>
          <w:rFonts w:ascii="Cambria" w:eastAsia="Times New Roman" w:hAnsi="Cambria" w:cstheme="minorHAnsi"/>
          <w:spacing w:val="2"/>
        </w:rPr>
        <w:t>t</w:t>
      </w:r>
      <w:r w:rsidRPr="009A0DA6">
        <w:rPr>
          <w:rFonts w:ascii="Cambria" w:eastAsia="Times New Roman" w:hAnsi="Cambria" w:cstheme="minorHAnsi"/>
        </w:rPr>
        <w:t xml:space="preserve">o </w:t>
      </w:r>
      <w:r w:rsidRPr="009A0DA6">
        <w:rPr>
          <w:rFonts w:ascii="Cambria" w:eastAsia="Times New Roman" w:hAnsi="Cambria" w:cstheme="minorHAnsi"/>
          <w:spacing w:val="11"/>
        </w:rPr>
        <w:t xml:space="preserve"> </w:t>
      </w:r>
      <w:r w:rsidRPr="009A0DA6">
        <w:rPr>
          <w:rFonts w:ascii="Cambria" w:eastAsia="Times New Roman" w:hAnsi="Cambria" w:cstheme="minorHAnsi"/>
        </w:rPr>
        <w:t>e</w:t>
      </w:r>
      <w:r w:rsidRPr="009A0DA6">
        <w:rPr>
          <w:rFonts w:ascii="Cambria" w:eastAsia="Times New Roman" w:hAnsi="Cambria" w:cstheme="minorHAnsi"/>
          <w:spacing w:val="-1"/>
        </w:rPr>
        <w:t>n</w:t>
      </w:r>
      <w:r w:rsidRPr="009A0DA6">
        <w:rPr>
          <w:rFonts w:ascii="Cambria" w:eastAsia="Times New Roman" w:hAnsi="Cambria" w:cstheme="minorHAnsi"/>
        </w:rPr>
        <w:t>a</w:t>
      </w:r>
      <w:r w:rsidRPr="009A0DA6">
        <w:rPr>
          <w:rFonts w:ascii="Cambria" w:eastAsia="Times New Roman" w:hAnsi="Cambria" w:cstheme="minorHAnsi"/>
          <w:spacing w:val="1"/>
        </w:rPr>
        <w:t>b</w:t>
      </w:r>
      <w:r w:rsidRPr="009A0DA6">
        <w:rPr>
          <w:rFonts w:ascii="Cambria" w:eastAsia="Times New Roman" w:hAnsi="Cambria" w:cstheme="minorHAnsi"/>
        </w:rPr>
        <w:t xml:space="preserve">le </w:t>
      </w:r>
      <w:r w:rsidRPr="009A0DA6">
        <w:rPr>
          <w:rFonts w:ascii="Cambria" w:eastAsia="Times New Roman" w:hAnsi="Cambria" w:cstheme="minorHAnsi"/>
          <w:spacing w:val="7"/>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 xml:space="preserve">e </w:t>
      </w:r>
      <w:r w:rsidRPr="009A0DA6">
        <w:rPr>
          <w:rFonts w:ascii="Cambria" w:eastAsia="Times New Roman" w:hAnsi="Cambria" w:cstheme="minorHAnsi"/>
          <w:spacing w:val="1"/>
        </w:rPr>
        <w:t>pr</w:t>
      </w:r>
      <w:r w:rsidRPr="009A0DA6">
        <w:rPr>
          <w:rFonts w:ascii="Cambria" w:eastAsia="Times New Roman" w:hAnsi="Cambria" w:cstheme="minorHAnsi"/>
        </w:rPr>
        <w:t>e</w:t>
      </w:r>
      <w:r w:rsidRPr="009A0DA6">
        <w:rPr>
          <w:rFonts w:ascii="Cambria" w:eastAsia="Times New Roman" w:hAnsi="Cambria" w:cstheme="minorHAnsi"/>
          <w:spacing w:val="1"/>
        </w:rPr>
        <w:t>p</w:t>
      </w:r>
      <w:r w:rsidRPr="009A0DA6">
        <w:rPr>
          <w:rFonts w:ascii="Cambria" w:eastAsia="Times New Roman" w:hAnsi="Cambria" w:cstheme="minorHAnsi"/>
        </w:rPr>
        <w:t>a</w:t>
      </w:r>
      <w:r w:rsidRPr="009A0DA6">
        <w:rPr>
          <w:rFonts w:ascii="Cambria" w:eastAsia="Times New Roman" w:hAnsi="Cambria" w:cstheme="minorHAnsi"/>
          <w:spacing w:val="1"/>
        </w:rPr>
        <w:t>r</w:t>
      </w:r>
      <w:r w:rsidRPr="009A0DA6">
        <w:rPr>
          <w:rFonts w:ascii="Cambria" w:eastAsia="Times New Roman" w:hAnsi="Cambria" w:cstheme="minorHAnsi"/>
        </w:rPr>
        <w:t>ati</w:t>
      </w:r>
      <w:r w:rsidRPr="009A0DA6">
        <w:rPr>
          <w:rFonts w:ascii="Cambria" w:eastAsia="Times New Roman" w:hAnsi="Cambria" w:cstheme="minorHAnsi"/>
          <w:spacing w:val="1"/>
        </w:rPr>
        <w:t>o</w:t>
      </w:r>
      <w:r w:rsidRPr="009A0DA6">
        <w:rPr>
          <w:rFonts w:ascii="Cambria" w:eastAsia="Times New Roman" w:hAnsi="Cambria" w:cstheme="minorHAnsi"/>
        </w:rPr>
        <w:t xml:space="preserve">n </w:t>
      </w:r>
      <w:r w:rsidRPr="009A0DA6">
        <w:rPr>
          <w:rFonts w:ascii="Cambria" w:eastAsia="Times New Roman" w:hAnsi="Cambria" w:cstheme="minorHAnsi"/>
          <w:spacing w:val="1"/>
        </w:rPr>
        <w:t>o</w:t>
      </w:r>
      <w:r w:rsidRPr="009A0DA6">
        <w:rPr>
          <w:rFonts w:ascii="Cambria" w:eastAsia="Times New Roman" w:hAnsi="Cambria" w:cstheme="minorHAnsi"/>
        </w:rPr>
        <w:t>f</w:t>
      </w:r>
      <w:r w:rsidRPr="009A0DA6">
        <w:rPr>
          <w:rFonts w:ascii="Cambria" w:eastAsia="Times New Roman" w:hAnsi="Cambria" w:cstheme="minorHAnsi"/>
          <w:spacing w:val="7"/>
        </w:rPr>
        <w:t xml:space="preserve"> </w:t>
      </w:r>
      <w:r w:rsidRPr="009A0DA6">
        <w:rPr>
          <w:rFonts w:ascii="Cambria" w:eastAsia="Times New Roman" w:hAnsi="Cambria" w:cstheme="minorHAnsi"/>
        </w:rPr>
        <w:t>a</w:t>
      </w:r>
      <w:r w:rsidRPr="009A0DA6">
        <w:rPr>
          <w:rFonts w:ascii="Cambria" w:eastAsia="Times New Roman" w:hAnsi="Cambria" w:cstheme="minorHAnsi"/>
          <w:spacing w:val="9"/>
        </w:rPr>
        <w:t xml:space="preserve"> </w:t>
      </w:r>
      <w:r w:rsidRPr="009A0DA6">
        <w:rPr>
          <w:rFonts w:ascii="Cambria" w:eastAsia="Times New Roman" w:hAnsi="Cambria" w:cstheme="minorHAnsi"/>
          <w:spacing w:val="-1"/>
        </w:rPr>
        <w:t>f</w:t>
      </w:r>
      <w:r w:rsidRPr="009A0DA6">
        <w:rPr>
          <w:rFonts w:ascii="Cambria" w:eastAsia="Times New Roman" w:hAnsi="Cambria" w:cstheme="minorHAnsi"/>
        </w:rPr>
        <w:t>i</w:t>
      </w:r>
      <w:r w:rsidRPr="009A0DA6">
        <w:rPr>
          <w:rFonts w:ascii="Cambria" w:eastAsia="Times New Roman" w:hAnsi="Cambria" w:cstheme="minorHAnsi"/>
          <w:spacing w:val="-1"/>
        </w:rPr>
        <w:t>n</w:t>
      </w:r>
      <w:r w:rsidRPr="009A0DA6">
        <w:rPr>
          <w:rFonts w:ascii="Cambria" w:eastAsia="Times New Roman" w:hAnsi="Cambria" w:cstheme="minorHAnsi"/>
          <w:spacing w:val="3"/>
        </w:rPr>
        <w:t>a</w:t>
      </w:r>
      <w:r w:rsidRPr="009A0DA6">
        <w:rPr>
          <w:rFonts w:ascii="Cambria" w:eastAsia="Times New Roman" w:hAnsi="Cambria" w:cstheme="minorHAnsi"/>
          <w:spacing w:val="-1"/>
        </w:rPr>
        <w:t>n</w:t>
      </w:r>
      <w:r w:rsidRPr="009A0DA6">
        <w:rPr>
          <w:rFonts w:ascii="Cambria" w:eastAsia="Times New Roman" w:hAnsi="Cambria" w:cstheme="minorHAnsi"/>
        </w:rPr>
        <w:t>cial</w:t>
      </w:r>
      <w:r w:rsidRPr="009A0DA6">
        <w:rPr>
          <w:rFonts w:ascii="Cambria" w:eastAsia="Times New Roman" w:hAnsi="Cambria" w:cstheme="minorHAnsi"/>
          <w:spacing w:val="3"/>
        </w:rPr>
        <w:t xml:space="preserve"> </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1"/>
        </w:rPr>
        <w:t>por</w:t>
      </w:r>
      <w:r w:rsidRPr="009A0DA6">
        <w:rPr>
          <w:rFonts w:ascii="Cambria" w:eastAsia="Times New Roman" w:hAnsi="Cambria" w:cstheme="minorHAnsi"/>
        </w:rPr>
        <w:t>t</w:t>
      </w:r>
      <w:r w:rsidRPr="009A0DA6">
        <w:rPr>
          <w:rFonts w:ascii="Cambria" w:eastAsia="Times New Roman" w:hAnsi="Cambria" w:cstheme="minorHAnsi"/>
          <w:spacing w:val="5"/>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at</w:t>
      </w:r>
      <w:r w:rsidRPr="009A0DA6">
        <w:rPr>
          <w:rFonts w:ascii="Cambria" w:eastAsia="Times New Roman" w:hAnsi="Cambria" w:cstheme="minorHAnsi"/>
          <w:spacing w:val="7"/>
        </w:rPr>
        <w:t xml:space="preserve"> </w:t>
      </w:r>
      <w:r w:rsidRPr="009A0DA6">
        <w:rPr>
          <w:rFonts w:ascii="Cambria" w:eastAsia="Times New Roman" w:hAnsi="Cambria" w:cstheme="minorHAnsi"/>
          <w:spacing w:val="-1"/>
        </w:rPr>
        <w:t>g</w:t>
      </w:r>
      <w:r w:rsidRPr="009A0DA6">
        <w:rPr>
          <w:rFonts w:ascii="Cambria" w:eastAsia="Times New Roman" w:hAnsi="Cambria" w:cstheme="minorHAnsi"/>
          <w:spacing w:val="2"/>
        </w:rPr>
        <w:t>i</w:t>
      </w:r>
      <w:r w:rsidRPr="009A0DA6">
        <w:rPr>
          <w:rFonts w:ascii="Cambria" w:eastAsia="Times New Roman" w:hAnsi="Cambria" w:cstheme="minorHAnsi"/>
          <w:spacing w:val="-1"/>
        </w:rPr>
        <w:t>v</w:t>
      </w:r>
      <w:r w:rsidRPr="009A0DA6">
        <w:rPr>
          <w:rFonts w:ascii="Cambria" w:eastAsia="Times New Roman" w:hAnsi="Cambria" w:cstheme="minorHAnsi"/>
        </w:rPr>
        <w:t>es</w:t>
      </w:r>
      <w:r w:rsidRPr="009A0DA6">
        <w:rPr>
          <w:rFonts w:ascii="Cambria" w:eastAsia="Times New Roman" w:hAnsi="Cambria" w:cstheme="minorHAnsi"/>
          <w:spacing w:val="5"/>
        </w:rPr>
        <w:t xml:space="preserve"> </w:t>
      </w:r>
      <w:r w:rsidRPr="009A0DA6">
        <w:rPr>
          <w:rFonts w:ascii="Cambria" w:eastAsia="Times New Roman" w:hAnsi="Cambria" w:cstheme="minorHAnsi"/>
        </w:rPr>
        <w:t>a</w:t>
      </w:r>
      <w:r w:rsidRPr="009A0DA6">
        <w:rPr>
          <w:rFonts w:ascii="Cambria" w:eastAsia="Times New Roman" w:hAnsi="Cambria" w:cstheme="minorHAnsi"/>
          <w:spacing w:val="9"/>
        </w:rPr>
        <w:t xml:space="preserve"> </w:t>
      </w:r>
      <w:r w:rsidRPr="009A0DA6">
        <w:rPr>
          <w:rFonts w:ascii="Cambria" w:eastAsia="Times New Roman" w:hAnsi="Cambria" w:cstheme="minorHAnsi"/>
        </w:rPr>
        <w:t>t</w:t>
      </w:r>
      <w:r w:rsidRPr="009A0DA6">
        <w:rPr>
          <w:rFonts w:ascii="Cambria" w:eastAsia="Times New Roman" w:hAnsi="Cambria" w:cstheme="minorHAnsi"/>
          <w:spacing w:val="1"/>
        </w:rPr>
        <w:t>r</w:t>
      </w:r>
      <w:r w:rsidRPr="009A0DA6">
        <w:rPr>
          <w:rFonts w:ascii="Cambria" w:eastAsia="Times New Roman" w:hAnsi="Cambria" w:cstheme="minorHAnsi"/>
          <w:spacing w:val="-1"/>
        </w:rPr>
        <w:t>u</w:t>
      </w:r>
      <w:r w:rsidRPr="009A0DA6">
        <w:rPr>
          <w:rFonts w:ascii="Cambria" w:eastAsia="Times New Roman" w:hAnsi="Cambria" w:cstheme="minorHAnsi"/>
        </w:rPr>
        <w:t>e</w:t>
      </w:r>
      <w:r w:rsidRPr="009A0DA6">
        <w:rPr>
          <w:rFonts w:ascii="Cambria" w:eastAsia="Times New Roman" w:hAnsi="Cambria" w:cstheme="minorHAnsi"/>
          <w:spacing w:val="7"/>
        </w:rPr>
        <w:t xml:space="preserve"> </w:t>
      </w:r>
      <w:r w:rsidRPr="009A0DA6">
        <w:rPr>
          <w:rFonts w:ascii="Cambria" w:eastAsia="Times New Roman" w:hAnsi="Cambria" w:cstheme="minorHAnsi"/>
          <w:spacing w:val="3"/>
        </w:rPr>
        <w:t>a</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spacing w:val="8"/>
        </w:rPr>
        <w:t xml:space="preserve"> </w:t>
      </w:r>
      <w:r w:rsidRPr="009A0DA6">
        <w:rPr>
          <w:rFonts w:ascii="Cambria" w:eastAsia="Times New Roman" w:hAnsi="Cambria" w:cstheme="minorHAnsi"/>
          <w:spacing w:val="-1"/>
        </w:rPr>
        <w:t>f</w:t>
      </w:r>
      <w:r w:rsidRPr="009A0DA6">
        <w:rPr>
          <w:rFonts w:ascii="Cambria" w:eastAsia="Times New Roman" w:hAnsi="Cambria" w:cstheme="minorHAnsi"/>
        </w:rPr>
        <w:t>air</w:t>
      </w:r>
      <w:r w:rsidRPr="009A0DA6">
        <w:rPr>
          <w:rFonts w:ascii="Cambria" w:eastAsia="Times New Roman" w:hAnsi="Cambria" w:cstheme="minorHAnsi"/>
          <w:spacing w:val="8"/>
        </w:rPr>
        <w:t xml:space="preserve"> </w:t>
      </w:r>
      <w:r w:rsidRPr="009A0DA6">
        <w:rPr>
          <w:rFonts w:ascii="Cambria" w:eastAsia="Times New Roman" w:hAnsi="Cambria" w:cstheme="minorHAnsi"/>
          <w:spacing w:val="1"/>
        </w:rPr>
        <w:t>v</w:t>
      </w:r>
      <w:r w:rsidRPr="009A0DA6">
        <w:rPr>
          <w:rFonts w:ascii="Cambria" w:eastAsia="Times New Roman" w:hAnsi="Cambria" w:cstheme="minorHAnsi"/>
        </w:rPr>
        <w:t>i</w:t>
      </w:r>
      <w:r w:rsidRPr="009A0DA6">
        <w:rPr>
          <w:rFonts w:ascii="Cambria" w:eastAsia="Times New Roman" w:hAnsi="Cambria" w:cstheme="minorHAnsi"/>
          <w:spacing w:val="3"/>
        </w:rPr>
        <w:t>e</w:t>
      </w:r>
      <w:r w:rsidRPr="009A0DA6">
        <w:rPr>
          <w:rFonts w:ascii="Cambria" w:eastAsia="Times New Roman" w:hAnsi="Cambria" w:cstheme="minorHAnsi"/>
        </w:rPr>
        <w:t>w</w:t>
      </w:r>
      <w:r w:rsidRPr="009A0DA6">
        <w:rPr>
          <w:rFonts w:ascii="Cambria" w:eastAsia="Times New Roman" w:hAnsi="Cambria" w:cstheme="minorHAnsi"/>
          <w:spacing w:val="1"/>
        </w:rPr>
        <w:t xml:space="preserve"> </w:t>
      </w:r>
      <w:r w:rsidRPr="009A0DA6">
        <w:rPr>
          <w:rFonts w:ascii="Cambria" w:eastAsia="Times New Roman" w:hAnsi="Cambria" w:cstheme="minorHAnsi"/>
          <w:spacing w:val="3"/>
        </w:rPr>
        <w:t>a</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spacing w:val="8"/>
        </w:rPr>
        <w:t xml:space="preserve"> </w:t>
      </w:r>
      <w:r w:rsidRPr="009A0DA6">
        <w:rPr>
          <w:rFonts w:ascii="Cambria" w:eastAsia="Times New Roman" w:hAnsi="Cambria" w:cstheme="minorHAnsi"/>
        </w:rPr>
        <w:t>is</w:t>
      </w:r>
      <w:r w:rsidRPr="009A0DA6">
        <w:rPr>
          <w:rFonts w:ascii="Cambria" w:eastAsia="Times New Roman" w:hAnsi="Cambria" w:cstheme="minorHAnsi"/>
          <w:spacing w:val="8"/>
        </w:rPr>
        <w:t xml:space="preserve"> </w:t>
      </w:r>
      <w:r w:rsidRPr="009A0DA6">
        <w:rPr>
          <w:rFonts w:ascii="Cambria" w:eastAsia="Times New Roman" w:hAnsi="Cambria" w:cstheme="minorHAnsi"/>
          <w:spacing w:val="-1"/>
        </w:rPr>
        <w:t>f</w:t>
      </w:r>
      <w:r w:rsidRPr="009A0DA6">
        <w:rPr>
          <w:rFonts w:ascii="Cambria" w:eastAsia="Times New Roman" w:hAnsi="Cambria" w:cstheme="minorHAnsi"/>
          <w:spacing w:val="1"/>
        </w:rPr>
        <w:t>r</w:t>
      </w:r>
      <w:r w:rsidRPr="009A0DA6">
        <w:rPr>
          <w:rFonts w:ascii="Cambria" w:eastAsia="Times New Roman" w:hAnsi="Cambria" w:cstheme="minorHAnsi"/>
        </w:rPr>
        <w:t>ee</w:t>
      </w:r>
      <w:r w:rsidRPr="009A0DA6">
        <w:rPr>
          <w:rFonts w:ascii="Cambria" w:eastAsia="Times New Roman" w:hAnsi="Cambria" w:cstheme="minorHAnsi"/>
          <w:spacing w:val="10"/>
        </w:rPr>
        <w:t xml:space="preserve"> </w:t>
      </w:r>
      <w:r w:rsidRPr="009A0DA6">
        <w:rPr>
          <w:rFonts w:ascii="Cambria" w:eastAsia="Times New Roman" w:hAnsi="Cambria" w:cstheme="minorHAnsi"/>
          <w:spacing w:val="-1"/>
        </w:rPr>
        <w:t>f</w:t>
      </w:r>
      <w:r w:rsidRPr="009A0DA6">
        <w:rPr>
          <w:rFonts w:ascii="Cambria" w:eastAsia="Times New Roman" w:hAnsi="Cambria" w:cstheme="minorHAnsi"/>
          <w:spacing w:val="1"/>
        </w:rPr>
        <w:t>r</w:t>
      </w:r>
      <w:r w:rsidRPr="009A0DA6">
        <w:rPr>
          <w:rFonts w:ascii="Cambria" w:eastAsia="Times New Roman" w:hAnsi="Cambria" w:cstheme="minorHAnsi"/>
          <w:spacing w:val="4"/>
        </w:rPr>
        <w:t>o</w:t>
      </w:r>
      <w:r w:rsidRPr="009A0DA6">
        <w:rPr>
          <w:rFonts w:ascii="Cambria" w:eastAsia="Times New Roman" w:hAnsi="Cambria" w:cstheme="minorHAnsi"/>
        </w:rPr>
        <w:t>m</w:t>
      </w:r>
      <w:r w:rsidRPr="009A0DA6">
        <w:rPr>
          <w:rFonts w:ascii="Cambria" w:eastAsia="Times New Roman" w:hAnsi="Cambria" w:cstheme="minorHAnsi"/>
          <w:spacing w:val="5"/>
        </w:rPr>
        <w:t xml:space="preserve"> </w:t>
      </w:r>
      <w:r w:rsidRPr="009A0DA6">
        <w:rPr>
          <w:rFonts w:ascii="Cambria" w:eastAsia="Times New Roman" w:hAnsi="Cambria" w:cstheme="minorHAnsi"/>
          <w:spacing w:val="-1"/>
        </w:rPr>
        <w:t>m</w:t>
      </w:r>
      <w:r w:rsidRPr="009A0DA6">
        <w:rPr>
          <w:rFonts w:ascii="Cambria" w:eastAsia="Times New Roman" w:hAnsi="Cambria" w:cstheme="minorHAnsi"/>
        </w:rPr>
        <w:t>ate</w:t>
      </w:r>
      <w:r w:rsidRPr="009A0DA6">
        <w:rPr>
          <w:rFonts w:ascii="Cambria" w:eastAsia="Times New Roman" w:hAnsi="Cambria" w:cstheme="minorHAnsi"/>
          <w:spacing w:val="1"/>
        </w:rPr>
        <w:t>r</w:t>
      </w:r>
      <w:r w:rsidRPr="009A0DA6">
        <w:rPr>
          <w:rFonts w:ascii="Cambria" w:eastAsia="Times New Roman" w:hAnsi="Cambria" w:cstheme="minorHAnsi"/>
        </w:rPr>
        <w:t>ial</w:t>
      </w:r>
      <w:r w:rsidRPr="009A0DA6">
        <w:rPr>
          <w:rFonts w:ascii="Cambria" w:eastAsia="Times New Roman" w:hAnsi="Cambria" w:cstheme="minorHAnsi"/>
          <w:spacing w:val="5"/>
        </w:rPr>
        <w:t xml:space="preserve"> </w:t>
      </w:r>
      <w:r w:rsidRPr="009A0DA6">
        <w:rPr>
          <w:rFonts w:ascii="Cambria" w:eastAsia="Times New Roman" w:hAnsi="Cambria" w:cstheme="minorHAnsi"/>
          <w:spacing w:val="-1"/>
        </w:rPr>
        <w:t>m</w:t>
      </w:r>
      <w:r w:rsidRPr="009A0DA6">
        <w:rPr>
          <w:rFonts w:ascii="Cambria" w:eastAsia="Times New Roman" w:hAnsi="Cambria" w:cstheme="minorHAnsi"/>
        </w:rPr>
        <w:t>i</w:t>
      </w:r>
      <w:r w:rsidRPr="009A0DA6">
        <w:rPr>
          <w:rFonts w:ascii="Cambria" w:eastAsia="Times New Roman" w:hAnsi="Cambria" w:cstheme="minorHAnsi"/>
          <w:spacing w:val="2"/>
        </w:rPr>
        <w:t>s</w:t>
      </w:r>
      <w:r w:rsidRPr="009A0DA6">
        <w:rPr>
          <w:rFonts w:ascii="Cambria" w:eastAsia="Times New Roman" w:hAnsi="Cambria" w:cstheme="minorHAnsi"/>
          <w:spacing w:val="-1"/>
        </w:rPr>
        <w:t>s</w:t>
      </w:r>
      <w:r w:rsidRPr="009A0DA6">
        <w:rPr>
          <w:rFonts w:ascii="Cambria" w:eastAsia="Times New Roman" w:hAnsi="Cambria" w:cstheme="minorHAnsi"/>
        </w:rPr>
        <w:t>tat</w:t>
      </w:r>
      <w:r w:rsidRPr="009A0DA6">
        <w:rPr>
          <w:rFonts w:ascii="Cambria" w:eastAsia="Times New Roman" w:hAnsi="Cambria" w:cstheme="minorHAnsi"/>
          <w:spacing w:val="3"/>
        </w:rPr>
        <w:t>e</w:t>
      </w:r>
      <w:r w:rsidRPr="009A0DA6">
        <w:rPr>
          <w:rFonts w:ascii="Cambria" w:eastAsia="Times New Roman" w:hAnsi="Cambria" w:cstheme="minorHAnsi"/>
          <w:spacing w:val="-1"/>
        </w:rPr>
        <w:t>m</w:t>
      </w:r>
      <w:r w:rsidRPr="009A0DA6">
        <w:rPr>
          <w:rFonts w:ascii="Cambria" w:eastAsia="Times New Roman" w:hAnsi="Cambria" w:cstheme="minorHAnsi"/>
          <w:spacing w:val="3"/>
        </w:rPr>
        <w:t>e</w:t>
      </w:r>
      <w:r w:rsidRPr="009A0DA6">
        <w:rPr>
          <w:rFonts w:ascii="Cambria" w:eastAsia="Times New Roman" w:hAnsi="Cambria" w:cstheme="minorHAnsi"/>
          <w:spacing w:val="-1"/>
        </w:rPr>
        <w:t>n</w:t>
      </w:r>
      <w:r w:rsidRPr="009A0DA6">
        <w:rPr>
          <w:rFonts w:ascii="Cambria" w:eastAsia="Times New Roman" w:hAnsi="Cambria" w:cstheme="minorHAnsi"/>
        </w:rPr>
        <w:t xml:space="preserve">t, </w:t>
      </w:r>
      <w:r w:rsidRPr="009A0DA6">
        <w:rPr>
          <w:rFonts w:ascii="Cambria" w:eastAsia="Times New Roman" w:hAnsi="Cambria" w:cstheme="minorHAnsi"/>
          <w:spacing w:val="-2"/>
        </w:rPr>
        <w:t>w</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2"/>
        </w:rPr>
        <w:t>t</w:t>
      </w:r>
      <w:r w:rsidRPr="009A0DA6">
        <w:rPr>
          <w:rFonts w:ascii="Cambria" w:eastAsia="Times New Roman" w:hAnsi="Cambria" w:cstheme="minorHAnsi"/>
          <w:spacing w:val="-1"/>
        </w:rPr>
        <w:t>h</w:t>
      </w:r>
      <w:r w:rsidRPr="009A0DA6">
        <w:rPr>
          <w:rFonts w:ascii="Cambria" w:eastAsia="Times New Roman" w:hAnsi="Cambria" w:cstheme="minorHAnsi"/>
        </w:rPr>
        <w:t>er</w:t>
      </w:r>
      <w:r w:rsidRPr="009A0DA6">
        <w:rPr>
          <w:rFonts w:ascii="Cambria" w:eastAsia="Times New Roman" w:hAnsi="Cambria" w:cstheme="minorHAnsi"/>
          <w:spacing w:val="-5"/>
        </w:rPr>
        <w:t xml:space="preserve"> </w:t>
      </w:r>
      <w:r w:rsidRPr="009A0DA6">
        <w:rPr>
          <w:rFonts w:ascii="Cambria" w:eastAsia="Times New Roman" w:hAnsi="Cambria" w:cstheme="minorHAnsi"/>
          <w:spacing w:val="1"/>
        </w:rPr>
        <w:t>d</w:t>
      </w:r>
      <w:r w:rsidRPr="009A0DA6">
        <w:rPr>
          <w:rFonts w:ascii="Cambria" w:eastAsia="Times New Roman" w:hAnsi="Cambria" w:cstheme="minorHAnsi"/>
          <w:spacing w:val="-1"/>
        </w:rPr>
        <w:t>u</w:t>
      </w:r>
      <w:r w:rsidRPr="009A0DA6">
        <w:rPr>
          <w:rFonts w:ascii="Cambria" w:eastAsia="Times New Roman" w:hAnsi="Cambria" w:cstheme="minorHAnsi"/>
        </w:rPr>
        <w:t>e</w:t>
      </w:r>
      <w:r w:rsidRPr="009A0DA6">
        <w:rPr>
          <w:rFonts w:ascii="Cambria" w:eastAsia="Times New Roman" w:hAnsi="Cambria" w:cstheme="minorHAnsi"/>
          <w:spacing w:val="-2"/>
        </w:rPr>
        <w:t xml:space="preserve"> </w:t>
      </w:r>
      <w:r w:rsidRPr="009A0DA6">
        <w:rPr>
          <w:rFonts w:ascii="Cambria" w:eastAsia="Times New Roman" w:hAnsi="Cambria" w:cstheme="minorHAnsi"/>
        </w:rPr>
        <w:t xml:space="preserve">to </w:t>
      </w:r>
      <w:r w:rsidRPr="009A0DA6">
        <w:rPr>
          <w:rFonts w:ascii="Cambria" w:eastAsia="Times New Roman" w:hAnsi="Cambria" w:cstheme="minorHAnsi"/>
          <w:spacing w:val="-1"/>
        </w:rPr>
        <w:t>f</w:t>
      </w:r>
      <w:r w:rsidRPr="009A0DA6">
        <w:rPr>
          <w:rFonts w:ascii="Cambria" w:eastAsia="Times New Roman" w:hAnsi="Cambria" w:cstheme="minorHAnsi"/>
          <w:spacing w:val="1"/>
        </w:rPr>
        <w:t>r</w:t>
      </w:r>
      <w:r w:rsidRPr="009A0DA6">
        <w:rPr>
          <w:rFonts w:ascii="Cambria" w:eastAsia="Times New Roman" w:hAnsi="Cambria" w:cstheme="minorHAnsi"/>
        </w:rPr>
        <w:t>a</w:t>
      </w:r>
      <w:r w:rsidRPr="009A0DA6">
        <w:rPr>
          <w:rFonts w:ascii="Cambria" w:eastAsia="Times New Roman" w:hAnsi="Cambria" w:cstheme="minorHAnsi"/>
          <w:spacing w:val="-1"/>
        </w:rPr>
        <w:t>u</w:t>
      </w:r>
      <w:r w:rsidRPr="009A0DA6">
        <w:rPr>
          <w:rFonts w:ascii="Cambria" w:eastAsia="Times New Roman" w:hAnsi="Cambria" w:cstheme="minorHAnsi"/>
        </w:rPr>
        <w:t>d</w:t>
      </w:r>
      <w:r w:rsidRPr="009A0DA6">
        <w:rPr>
          <w:rFonts w:ascii="Cambria" w:eastAsia="Times New Roman" w:hAnsi="Cambria" w:cstheme="minorHAnsi"/>
          <w:spacing w:val="-2"/>
        </w:rPr>
        <w:t xml:space="preserve"> </w:t>
      </w:r>
      <w:r w:rsidRPr="009A0DA6">
        <w:rPr>
          <w:rFonts w:ascii="Cambria" w:eastAsia="Times New Roman" w:hAnsi="Cambria" w:cstheme="minorHAnsi"/>
          <w:spacing w:val="1"/>
        </w:rPr>
        <w:t>o</w:t>
      </w:r>
      <w:r w:rsidRPr="009A0DA6">
        <w:rPr>
          <w:rFonts w:ascii="Cambria" w:eastAsia="Times New Roman" w:hAnsi="Cambria" w:cstheme="minorHAnsi"/>
        </w:rPr>
        <w:t>r</w:t>
      </w:r>
      <w:r w:rsidRPr="009A0DA6">
        <w:rPr>
          <w:rFonts w:ascii="Cambria" w:eastAsia="Times New Roman" w:hAnsi="Cambria" w:cstheme="minorHAnsi"/>
          <w:spacing w:val="-1"/>
        </w:rPr>
        <w:t xml:space="preserve"> </w:t>
      </w:r>
      <w:r w:rsidRPr="009A0DA6">
        <w:rPr>
          <w:rFonts w:ascii="Cambria" w:eastAsia="Times New Roman" w:hAnsi="Cambria" w:cstheme="minorHAnsi"/>
        </w:rPr>
        <w:t>e</w:t>
      </w:r>
      <w:r w:rsidRPr="009A0DA6">
        <w:rPr>
          <w:rFonts w:ascii="Cambria" w:eastAsia="Times New Roman" w:hAnsi="Cambria" w:cstheme="minorHAnsi"/>
          <w:spacing w:val="1"/>
        </w:rPr>
        <w:t>rror</w:t>
      </w:r>
      <w:r w:rsidRPr="009A0DA6">
        <w:rPr>
          <w:rFonts w:ascii="Cambria" w:eastAsia="Times New Roman" w:hAnsi="Cambria" w:cstheme="minorHAnsi"/>
        </w:rPr>
        <w:t>.</w:t>
      </w:r>
    </w:p>
    <w:p w14:paraId="4E3DFDA3" w14:textId="77777777" w:rsidR="00BA4592" w:rsidRPr="009A0DA6" w:rsidRDefault="00BA4592" w:rsidP="00BA4592">
      <w:pPr>
        <w:spacing w:before="120" w:after="120" w:line="240" w:lineRule="auto"/>
        <w:ind w:right="-107"/>
        <w:contextualSpacing/>
        <w:rPr>
          <w:rFonts w:ascii="Cambria" w:eastAsia="Times New Roman" w:hAnsi="Cambria" w:cstheme="minorHAnsi"/>
        </w:rPr>
      </w:pPr>
      <w:r w:rsidRPr="009A0DA6">
        <w:rPr>
          <w:rFonts w:ascii="Cambria" w:eastAsia="Times New Roman" w:hAnsi="Cambria" w:cstheme="minorHAnsi"/>
          <w:spacing w:val="1"/>
        </w:rPr>
        <w:t>I</w:t>
      </w:r>
      <w:r w:rsidRPr="009A0DA6">
        <w:rPr>
          <w:rFonts w:ascii="Cambria" w:eastAsia="Times New Roman" w:hAnsi="Cambria" w:cstheme="minorHAnsi"/>
        </w:rPr>
        <w:t>n</w:t>
      </w:r>
      <w:r w:rsidRPr="009A0DA6">
        <w:rPr>
          <w:rFonts w:ascii="Cambria" w:eastAsia="Times New Roman" w:hAnsi="Cambria" w:cstheme="minorHAnsi"/>
          <w:spacing w:val="6"/>
        </w:rPr>
        <w:t xml:space="preserve"> </w:t>
      </w:r>
      <w:r w:rsidRPr="009A0DA6">
        <w:rPr>
          <w:rFonts w:ascii="Cambria" w:eastAsia="Times New Roman" w:hAnsi="Cambria" w:cstheme="minorHAnsi"/>
          <w:spacing w:val="1"/>
        </w:rPr>
        <w:t>pr</w:t>
      </w:r>
      <w:r w:rsidRPr="009A0DA6">
        <w:rPr>
          <w:rFonts w:ascii="Cambria" w:eastAsia="Times New Roman" w:hAnsi="Cambria" w:cstheme="minorHAnsi"/>
        </w:rPr>
        <w:t>e</w:t>
      </w:r>
      <w:r w:rsidRPr="009A0DA6">
        <w:rPr>
          <w:rFonts w:ascii="Cambria" w:eastAsia="Times New Roman" w:hAnsi="Cambria" w:cstheme="minorHAnsi"/>
          <w:spacing w:val="1"/>
        </w:rPr>
        <w:t>p</w:t>
      </w:r>
      <w:r w:rsidRPr="009A0DA6">
        <w:rPr>
          <w:rFonts w:ascii="Cambria" w:eastAsia="Times New Roman" w:hAnsi="Cambria" w:cstheme="minorHAnsi"/>
        </w:rPr>
        <w:t>a</w:t>
      </w:r>
      <w:r w:rsidRPr="009A0DA6">
        <w:rPr>
          <w:rFonts w:ascii="Cambria" w:eastAsia="Times New Roman" w:hAnsi="Cambria" w:cstheme="minorHAnsi"/>
          <w:spacing w:val="1"/>
        </w:rPr>
        <w:t>r</w:t>
      </w:r>
      <w:r w:rsidRPr="009A0DA6">
        <w:rPr>
          <w:rFonts w:ascii="Cambria" w:eastAsia="Times New Roman" w:hAnsi="Cambria" w:cstheme="minorHAnsi"/>
        </w:rPr>
        <w:t>i</w:t>
      </w:r>
      <w:r w:rsidRPr="009A0DA6">
        <w:rPr>
          <w:rFonts w:ascii="Cambria" w:eastAsia="Times New Roman" w:hAnsi="Cambria" w:cstheme="minorHAnsi"/>
          <w:spacing w:val="-1"/>
        </w:rPr>
        <w:t>n</w:t>
      </w:r>
      <w:r w:rsidRPr="009A0DA6">
        <w:rPr>
          <w:rFonts w:ascii="Cambria" w:eastAsia="Times New Roman" w:hAnsi="Cambria" w:cstheme="minorHAnsi"/>
        </w:rPr>
        <w:t xml:space="preserve">g </w:t>
      </w:r>
      <w:r w:rsidRPr="009A0DA6">
        <w:rPr>
          <w:rFonts w:ascii="Cambria" w:eastAsia="Times New Roman" w:hAnsi="Cambria" w:cstheme="minorHAnsi"/>
          <w:spacing w:val="2"/>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7"/>
        </w:rPr>
        <w:t xml:space="preserve"> </w:t>
      </w:r>
      <w:r w:rsidRPr="009A0DA6">
        <w:rPr>
          <w:rFonts w:ascii="Cambria" w:eastAsia="Times New Roman" w:hAnsi="Cambria" w:cstheme="minorHAnsi"/>
          <w:spacing w:val="-1"/>
        </w:rPr>
        <w:t>f</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spacing w:val="3"/>
        </w:rPr>
        <w:t>a</w:t>
      </w:r>
      <w:r w:rsidRPr="009A0DA6">
        <w:rPr>
          <w:rFonts w:ascii="Cambria" w:eastAsia="Times New Roman" w:hAnsi="Cambria" w:cstheme="minorHAnsi"/>
          <w:spacing w:val="-1"/>
        </w:rPr>
        <w:t>n</w:t>
      </w:r>
      <w:r w:rsidRPr="009A0DA6">
        <w:rPr>
          <w:rFonts w:ascii="Cambria" w:eastAsia="Times New Roman" w:hAnsi="Cambria" w:cstheme="minorHAnsi"/>
        </w:rPr>
        <w:t>cial</w:t>
      </w:r>
      <w:r w:rsidRPr="009A0DA6">
        <w:rPr>
          <w:rFonts w:ascii="Cambria" w:eastAsia="Times New Roman" w:hAnsi="Cambria" w:cstheme="minorHAnsi"/>
          <w:spacing w:val="2"/>
        </w:rPr>
        <w:t xml:space="preserve"> </w:t>
      </w:r>
      <w:r w:rsidRPr="009A0DA6">
        <w:rPr>
          <w:rFonts w:ascii="Cambria" w:eastAsia="Times New Roman" w:hAnsi="Cambria" w:cstheme="minorHAnsi"/>
          <w:spacing w:val="3"/>
        </w:rPr>
        <w:t>r</w:t>
      </w:r>
      <w:r w:rsidRPr="009A0DA6">
        <w:rPr>
          <w:rFonts w:ascii="Cambria" w:eastAsia="Times New Roman" w:hAnsi="Cambria" w:cstheme="minorHAnsi"/>
        </w:rPr>
        <w:t>e</w:t>
      </w:r>
      <w:r w:rsidRPr="009A0DA6">
        <w:rPr>
          <w:rFonts w:ascii="Cambria" w:eastAsia="Times New Roman" w:hAnsi="Cambria" w:cstheme="minorHAnsi"/>
          <w:spacing w:val="1"/>
        </w:rPr>
        <w:t>por</w:t>
      </w:r>
      <w:r w:rsidRPr="009A0DA6">
        <w:rPr>
          <w:rFonts w:ascii="Cambria" w:eastAsia="Times New Roman" w:hAnsi="Cambria" w:cstheme="minorHAnsi"/>
        </w:rPr>
        <w:t>t,</w:t>
      </w:r>
      <w:r w:rsidRPr="009A0DA6">
        <w:rPr>
          <w:rFonts w:ascii="Cambria" w:eastAsia="Times New Roman" w:hAnsi="Cambria" w:cstheme="minorHAnsi"/>
          <w:spacing w:val="4"/>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7"/>
        </w:rPr>
        <w:t xml:space="preserve"> </w:t>
      </w:r>
      <w:r w:rsidRPr="009A0DA6">
        <w:rPr>
          <w:rFonts w:ascii="Cambria" w:eastAsia="Times New Roman" w:hAnsi="Cambria" w:cstheme="minorHAnsi"/>
        </w:rPr>
        <w:t>Ge</w:t>
      </w:r>
      <w:r w:rsidRPr="009A0DA6">
        <w:rPr>
          <w:rFonts w:ascii="Cambria" w:eastAsia="Times New Roman" w:hAnsi="Cambria" w:cstheme="minorHAnsi"/>
          <w:spacing w:val="-1"/>
        </w:rPr>
        <w:t>n</w:t>
      </w:r>
      <w:r w:rsidRPr="009A0DA6">
        <w:rPr>
          <w:rFonts w:ascii="Cambria" w:eastAsia="Times New Roman" w:hAnsi="Cambria" w:cstheme="minorHAnsi"/>
        </w:rPr>
        <w:t>e</w:t>
      </w:r>
      <w:r w:rsidRPr="009A0DA6">
        <w:rPr>
          <w:rFonts w:ascii="Cambria" w:eastAsia="Times New Roman" w:hAnsi="Cambria" w:cstheme="minorHAnsi"/>
          <w:spacing w:val="1"/>
        </w:rPr>
        <w:t>r</w:t>
      </w:r>
      <w:r w:rsidRPr="009A0DA6">
        <w:rPr>
          <w:rFonts w:ascii="Cambria" w:eastAsia="Times New Roman" w:hAnsi="Cambria" w:cstheme="minorHAnsi"/>
        </w:rPr>
        <w:t>al</w:t>
      </w:r>
      <w:r w:rsidRPr="009A0DA6">
        <w:rPr>
          <w:rFonts w:ascii="Cambria" w:eastAsia="Times New Roman" w:hAnsi="Cambria" w:cstheme="minorHAnsi"/>
          <w:spacing w:val="2"/>
        </w:rPr>
        <w:t xml:space="preserve"> C</w:t>
      </w:r>
      <w:r w:rsidRPr="009A0DA6">
        <w:rPr>
          <w:rFonts w:ascii="Cambria" w:eastAsia="Times New Roman" w:hAnsi="Cambria" w:cstheme="minorHAnsi"/>
          <w:spacing w:val="-1"/>
        </w:rPr>
        <w:t>hu</w:t>
      </w:r>
      <w:r w:rsidRPr="009A0DA6">
        <w:rPr>
          <w:rFonts w:ascii="Cambria" w:eastAsia="Times New Roman" w:hAnsi="Cambria" w:cstheme="minorHAnsi"/>
          <w:spacing w:val="1"/>
        </w:rPr>
        <w:t>r</w:t>
      </w:r>
      <w:r w:rsidRPr="009A0DA6">
        <w:rPr>
          <w:rFonts w:ascii="Cambria" w:eastAsia="Times New Roman" w:hAnsi="Cambria" w:cstheme="minorHAnsi"/>
          <w:spacing w:val="3"/>
        </w:rPr>
        <w:t>c</w:t>
      </w:r>
      <w:r w:rsidRPr="009A0DA6">
        <w:rPr>
          <w:rFonts w:ascii="Cambria" w:eastAsia="Times New Roman" w:hAnsi="Cambria" w:cstheme="minorHAnsi"/>
        </w:rPr>
        <w:t>h</w:t>
      </w:r>
      <w:r w:rsidRPr="009A0DA6">
        <w:rPr>
          <w:rFonts w:ascii="Cambria" w:eastAsia="Times New Roman" w:hAnsi="Cambria" w:cstheme="minorHAnsi"/>
          <w:spacing w:val="5"/>
        </w:rPr>
        <w:t xml:space="preserve"> </w:t>
      </w:r>
      <w:r w:rsidRPr="009A0DA6">
        <w:rPr>
          <w:rFonts w:ascii="Cambria" w:eastAsia="Times New Roman" w:hAnsi="Cambria" w:cstheme="minorHAnsi"/>
          <w:spacing w:val="-1"/>
        </w:rPr>
        <w:t>C</w:t>
      </w:r>
      <w:r w:rsidRPr="009A0DA6">
        <w:rPr>
          <w:rFonts w:ascii="Cambria" w:eastAsia="Times New Roman" w:hAnsi="Cambria" w:cstheme="minorHAnsi"/>
          <w:spacing w:val="1"/>
        </w:rPr>
        <w:t>ou</w:t>
      </w:r>
      <w:r w:rsidRPr="009A0DA6">
        <w:rPr>
          <w:rFonts w:ascii="Cambria" w:eastAsia="Times New Roman" w:hAnsi="Cambria" w:cstheme="minorHAnsi"/>
          <w:spacing w:val="-1"/>
        </w:rPr>
        <w:t>n</w:t>
      </w:r>
      <w:r w:rsidRPr="009A0DA6">
        <w:rPr>
          <w:rFonts w:ascii="Cambria" w:eastAsia="Times New Roman" w:hAnsi="Cambria" w:cstheme="minorHAnsi"/>
        </w:rPr>
        <w:t>cil</w:t>
      </w:r>
      <w:r w:rsidRPr="009A0DA6">
        <w:rPr>
          <w:rFonts w:ascii="Cambria" w:eastAsia="Times New Roman" w:hAnsi="Cambria" w:cstheme="minorHAnsi"/>
          <w:spacing w:val="2"/>
        </w:rPr>
        <w:t xml:space="preserve"> </w:t>
      </w:r>
      <w:r w:rsidRPr="009A0DA6">
        <w:rPr>
          <w:rFonts w:ascii="Cambria" w:eastAsia="Times New Roman" w:hAnsi="Cambria" w:cstheme="minorHAnsi"/>
        </w:rPr>
        <w:t>a</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7"/>
        </w:rPr>
        <w:t xml:space="preserve"> </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1"/>
        </w:rPr>
        <w:t>s</w:t>
      </w:r>
      <w:r w:rsidRPr="009A0DA6">
        <w:rPr>
          <w:rFonts w:ascii="Cambria" w:eastAsia="Times New Roman" w:hAnsi="Cambria" w:cstheme="minorHAnsi"/>
          <w:spacing w:val="1"/>
        </w:rPr>
        <w:t>po</w:t>
      </w:r>
      <w:r w:rsidRPr="009A0DA6">
        <w:rPr>
          <w:rFonts w:ascii="Cambria" w:eastAsia="Times New Roman" w:hAnsi="Cambria" w:cstheme="minorHAnsi"/>
          <w:spacing w:val="-1"/>
        </w:rPr>
        <w:t>ns</w:t>
      </w:r>
      <w:r w:rsidRPr="009A0DA6">
        <w:rPr>
          <w:rFonts w:ascii="Cambria" w:eastAsia="Times New Roman" w:hAnsi="Cambria" w:cstheme="minorHAnsi"/>
        </w:rPr>
        <w:t>i</w:t>
      </w:r>
      <w:r w:rsidRPr="009A0DA6">
        <w:rPr>
          <w:rFonts w:ascii="Cambria" w:eastAsia="Times New Roman" w:hAnsi="Cambria" w:cstheme="minorHAnsi"/>
          <w:spacing w:val="1"/>
        </w:rPr>
        <w:t>b</w:t>
      </w:r>
      <w:r w:rsidRPr="009A0DA6">
        <w:rPr>
          <w:rFonts w:ascii="Cambria" w:eastAsia="Times New Roman" w:hAnsi="Cambria" w:cstheme="minorHAnsi"/>
        </w:rPr>
        <w:t>le</w:t>
      </w:r>
      <w:r w:rsidRPr="009A0DA6">
        <w:rPr>
          <w:rFonts w:ascii="Cambria" w:eastAsia="Times New Roman" w:hAnsi="Cambria" w:cstheme="minorHAnsi"/>
          <w:spacing w:val="3"/>
        </w:rPr>
        <w:t xml:space="preserve"> </w:t>
      </w:r>
      <w:r w:rsidRPr="009A0DA6">
        <w:rPr>
          <w:rFonts w:ascii="Cambria" w:eastAsia="Times New Roman" w:hAnsi="Cambria" w:cstheme="minorHAnsi"/>
          <w:spacing w:val="-1"/>
        </w:rPr>
        <w:t>f</w:t>
      </w:r>
      <w:r w:rsidRPr="009A0DA6">
        <w:rPr>
          <w:rFonts w:ascii="Cambria" w:eastAsia="Times New Roman" w:hAnsi="Cambria" w:cstheme="minorHAnsi"/>
          <w:spacing w:val="1"/>
        </w:rPr>
        <w:t>o</w:t>
      </w:r>
      <w:r w:rsidRPr="009A0DA6">
        <w:rPr>
          <w:rFonts w:ascii="Cambria" w:eastAsia="Times New Roman" w:hAnsi="Cambria" w:cstheme="minorHAnsi"/>
        </w:rPr>
        <w:t>r</w:t>
      </w:r>
      <w:r w:rsidRPr="009A0DA6">
        <w:rPr>
          <w:rFonts w:ascii="Cambria" w:eastAsia="Times New Roman" w:hAnsi="Cambria" w:cstheme="minorHAnsi"/>
          <w:spacing w:val="7"/>
        </w:rPr>
        <w:t xml:space="preserve"> </w:t>
      </w:r>
      <w:r w:rsidRPr="009A0DA6">
        <w:rPr>
          <w:rFonts w:ascii="Cambria" w:eastAsia="Times New Roman" w:hAnsi="Cambria" w:cstheme="minorHAnsi"/>
        </w:rPr>
        <w:t>a</w:t>
      </w:r>
      <w:r w:rsidRPr="009A0DA6">
        <w:rPr>
          <w:rFonts w:ascii="Cambria" w:eastAsia="Times New Roman" w:hAnsi="Cambria" w:cstheme="minorHAnsi"/>
          <w:spacing w:val="-1"/>
        </w:rPr>
        <w:t>ss</w:t>
      </w:r>
      <w:r w:rsidRPr="009A0DA6">
        <w:rPr>
          <w:rFonts w:ascii="Cambria" w:eastAsia="Times New Roman" w:hAnsi="Cambria" w:cstheme="minorHAnsi"/>
        </w:rPr>
        <w:t>e</w:t>
      </w:r>
      <w:r w:rsidRPr="009A0DA6">
        <w:rPr>
          <w:rFonts w:ascii="Cambria" w:eastAsia="Times New Roman" w:hAnsi="Cambria" w:cstheme="minorHAnsi"/>
          <w:spacing w:val="2"/>
        </w:rPr>
        <w:t>s</w:t>
      </w:r>
      <w:r w:rsidRPr="009A0DA6">
        <w:rPr>
          <w:rFonts w:ascii="Cambria" w:eastAsia="Times New Roman" w:hAnsi="Cambria" w:cstheme="minorHAnsi"/>
          <w:spacing w:val="-1"/>
        </w:rPr>
        <w:t>s</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rPr>
        <w:t xml:space="preserve">g </w:t>
      </w:r>
      <w:r w:rsidRPr="009A0DA6">
        <w:rPr>
          <w:rFonts w:ascii="Cambria" w:eastAsia="Times New Roman" w:hAnsi="Cambria" w:cstheme="minorHAnsi"/>
          <w:spacing w:val="2"/>
        </w:rPr>
        <w:t>t</w:t>
      </w:r>
      <w:r w:rsidRPr="009A0DA6">
        <w:rPr>
          <w:rFonts w:ascii="Cambria" w:eastAsia="Times New Roman" w:hAnsi="Cambria" w:cstheme="minorHAnsi"/>
          <w:spacing w:val="-1"/>
        </w:rPr>
        <w:t>h</w:t>
      </w:r>
      <w:r w:rsidRPr="009A0DA6">
        <w:rPr>
          <w:rFonts w:ascii="Cambria" w:eastAsia="Times New Roman" w:hAnsi="Cambria" w:cstheme="minorHAnsi"/>
        </w:rPr>
        <w:t>e A</w:t>
      </w:r>
      <w:r w:rsidRPr="009A0DA6">
        <w:rPr>
          <w:rFonts w:ascii="Cambria" w:eastAsia="Times New Roman" w:hAnsi="Cambria" w:cstheme="minorHAnsi"/>
          <w:spacing w:val="-1"/>
        </w:rPr>
        <w:t>ss</w:t>
      </w:r>
      <w:r w:rsidRPr="009A0DA6">
        <w:rPr>
          <w:rFonts w:ascii="Cambria" w:eastAsia="Times New Roman" w:hAnsi="Cambria" w:cstheme="minorHAnsi"/>
          <w:spacing w:val="1"/>
        </w:rPr>
        <w:t>o</w:t>
      </w:r>
      <w:r w:rsidRPr="009A0DA6">
        <w:rPr>
          <w:rFonts w:ascii="Cambria" w:eastAsia="Times New Roman" w:hAnsi="Cambria" w:cstheme="minorHAnsi"/>
        </w:rPr>
        <w:t>ciati</w:t>
      </w:r>
      <w:r w:rsidRPr="009A0DA6">
        <w:rPr>
          <w:rFonts w:ascii="Cambria" w:eastAsia="Times New Roman" w:hAnsi="Cambria" w:cstheme="minorHAnsi"/>
          <w:spacing w:val="4"/>
        </w:rPr>
        <w:t>o</w:t>
      </w:r>
      <w:r w:rsidRPr="009A0DA6">
        <w:rPr>
          <w:rFonts w:ascii="Cambria" w:eastAsia="Times New Roman" w:hAnsi="Cambria" w:cstheme="minorHAnsi"/>
          <w:spacing w:val="-1"/>
        </w:rPr>
        <w:t>n</w:t>
      </w:r>
      <w:r w:rsidRPr="009A0DA6">
        <w:rPr>
          <w:rFonts w:ascii="Cambria" w:eastAsia="Times New Roman" w:hAnsi="Cambria" w:cstheme="minorHAnsi"/>
          <w:spacing w:val="1"/>
        </w:rPr>
        <w:t>’</w:t>
      </w:r>
      <w:r w:rsidRPr="009A0DA6">
        <w:rPr>
          <w:rFonts w:ascii="Cambria" w:eastAsia="Times New Roman" w:hAnsi="Cambria" w:cstheme="minorHAnsi"/>
        </w:rPr>
        <w:t>s</w:t>
      </w:r>
      <w:r w:rsidRPr="009A0DA6">
        <w:rPr>
          <w:rFonts w:ascii="Cambria" w:eastAsia="Times New Roman" w:hAnsi="Cambria" w:cstheme="minorHAnsi"/>
          <w:spacing w:val="-2"/>
        </w:rPr>
        <w:t xml:space="preserve"> </w:t>
      </w:r>
      <w:r w:rsidRPr="009A0DA6">
        <w:rPr>
          <w:rFonts w:ascii="Cambria" w:eastAsia="Times New Roman" w:hAnsi="Cambria" w:cstheme="minorHAnsi"/>
        </w:rPr>
        <w:t>a</w:t>
      </w:r>
      <w:r w:rsidRPr="009A0DA6">
        <w:rPr>
          <w:rFonts w:ascii="Cambria" w:eastAsia="Times New Roman" w:hAnsi="Cambria" w:cstheme="minorHAnsi"/>
          <w:spacing w:val="1"/>
        </w:rPr>
        <w:t>b</w:t>
      </w:r>
      <w:r w:rsidRPr="009A0DA6">
        <w:rPr>
          <w:rFonts w:ascii="Cambria" w:eastAsia="Times New Roman" w:hAnsi="Cambria" w:cstheme="minorHAnsi"/>
        </w:rPr>
        <w:t>ili</w:t>
      </w:r>
      <w:r w:rsidRPr="009A0DA6">
        <w:rPr>
          <w:rFonts w:ascii="Cambria" w:eastAsia="Times New Roman" w:hAnsi="Cambria" w:cstheme="minorHAnsi"/>
          <w:spacing w:val="2"/>
        </w:rPr>
        <w:t>t</w:t>
      </w:r>
      <w:r w:rsidRPr="009A0DA6">
        <w:rPr>
          <w:rFonts w:ascii="Cambria" w:eastAsia="Times New Roman" w:hAnsi="Cambria" w:cstheme="minorHAnsi"/>
        </w:rPr>
        <w:t>y</w:t>
      </w:r>
      <w:r w:rsidRPr="009A0DA6">
        <w:rPr>
          <w:rFonts w:ascii="Cambria" w:eastAsia="Times New Roman" w:hAnsi="Cambria" w:cstheme="minorHAnsi"/>
          <w:spacing w:val="1"/>
        </w:rPr>
        <w:t xml:space="preserve"> </w:t>
      </w:r>
      <w:r w:rsidRPr="009A0DA6">
        <w:rPr>
          <w:rFonts w:ascii="Cambria" w:eastAsia="Times New Roman" w:hAnsi="Cambria" w:cstheme="minorHAnsi"/>
        </w:rPr>
        <w:t>to</w:t>
      </w:r>
      <w:r w:rsidRPr="009A0DA6">
        <w:rPr>
          <w:rFonts w:ascii="Cambria" w:eastAsia="Times New Roman" w:hAnsi="Cambria" w:cstheme="minorHAnsi"/>
          <w:spacing w:val="9"/>
        </w:rPr>
        <w:t xml:space="preserve"> </w:t>
      </w:r>
      <w:r w:rsidRPr="009A0DA6">
        <w:rPr>
          <w:rFonts w:ascii="Cambria" w:eastAsia="Times New Roman" w:hAnsi="Cambria" w:cstheme="minorHAnsi"/>
        </w:rPr>
        <w:t>c</w:t>
      </w:r>
      <w:r w:rsidRPr="009A0DA6">
        <w:rPr>
          <w:rFonts w:ascii="Cambria" w:eastAsia="Times New Roman" w:hAnsi="Cambria" w:cstheme="minorHAnsi"/>
          <w:spacing w:val="1"/>
        </w:rPr>
        <w:t>o</w:t>
      </w:r>
      <w:r w:rsidRPr="009A0DA6">
        <w:rPr>
          <w:rFonts w:ascii="Cambria" w:eastAsia="Times New Roman" w:hAnsi="Cambria" w:cstheme="minorHAnsi"/>
          <w:spacing w:val="-1"/>
        </w:rPr>
        <w:t>n</w:t>
      </w:r>
      <w:r w:rsidRPr="009A0DA6">
        <w:rPr>
          <w:rFonts w:ascii="Cambria" w:eastAsia="Times New Roman" w:hAnsi="Cambria" w:cstheme="minorHAnsi"/>
          <w:spacing w:val="2"/>
        </w:rPr>
        <w:t>t</w:t>
      </w:r>
      <w:r w:rsidRPr="009A0DA6">
        <w:rPr>
          <w:rFonts w:ascii="Cambria" w:eastAsia="Times New Roman" w:hAnsi="Cambria" w:cstheme="minorHAnsi"/>
        </w:rPr>
        <w:t>i</w:t>
      </w:r>
      <w:r w:rsidRPr="009A0DA6">
        <w:rPr>
          <w:rFonts w:ascii="Cambria" w:eastAsia="Times New Roman" w:hAnsi="Cambria" w:cstheme="minorHAnsi"/>
          <w:spacing w:val="1"/>
        </w:rPr>
        <w:t>n</w:t>
      </w:r>
      <w:r w:rsidRPr="009A0DA6">
        <w:rPr>
          <w:rFonts w:ascii="Cambria" w:eastAsia="Times New Roman" w:hAnsi="Cambria" w:cstheme="minorHAnsi"/>
          <w:spacing w:val="-1"/>
        </w:rPr>
        <w:t>u</w:t>
      </w:r>
      <w:r w:rsidRPr="009A0DA6">
        <w:rPr>
          <w:rFonts w:ascii="Cambria" w:eastAsia="Times New Roman" w:hAnsi="Cambria" w:cstheme="minorHAnsi"/>
        </w:rPr>
        <w:t>e</w:t>
      </w:r>
      <w:r w:rsidRPr="009A0DA6">
        <w:rPr>
          <w:rFonts w:ascii="Cambria" w:eastAsia="Times New Roman" w:hAnsi="Cambria" w:cstheme="minorHAnsi"/>
          <w:spacing w:val="3"/>
        </w:rPr>
        <w:t xml:space="preserve"> </w:t>
      </w:r>
      <w:r w:rsidRPr="009A0DA6">
        <w:rPr>
          <w:rFonts w:ascii="Cambria" w:eastAsia="Times New Roman" w:hAnsi="Cambria" w:cstheme="minorHAnsi"/>
        </w:rPr>
        <w:t>as</w:t>
      </w:r>
      <w:r w:rsidRPr="009A0DA6">
        <w:rPr>
          <w:rFonts w:ascii="Cambria" w:eastAsia="Times New Roman" w:hAnsi="Cambria" w:cstheme="minorHAnsi"/>
          <w:spacing w:val="7"/>
        </w:rPr>
        <w:t xml:space="preserve"> </w:t>
      </w:r>
      <w:r w:rsidRPr="009A0DA6">
        <w:rPr>
          <w:rFonts w:ascii="Cambria" w:eastAsia="Times New Roman" w:hAnsi="Cambria" w:cstheme="minorHAnsi"/>
        </w:rPr>
        <w:t>a</w:t>
      </w:r>
      <w:r w:rsidRPr="009A0DA6">
        <w:rPr>
          <w:rFonts w:ascii="Cambria" w:eastAsia="Times New Roman" w:hAnsi="Cambria" w:cstheme="minorHAnsi"/>
          <w:spacing w:val="9"/>
        </w:rPr>
        <w:t xml:space="preserve"> </w:t>
      </w:r>
      <w:r w:rsidRPr="009A0DA6">
        <w:rPr>
          <w:rFonts w:ascii="Cambria" w:eastAsia="Times New Roman" w:hAnsi="Cambria" w:cstheme="minorHAnsi"/>
          <w:spacing w:val="-1"/>
        </w:rPr>
        <w:t>g</w:t>
      </w:r>
      <w:r w:rsidRPr="009A0DA6">
        <w:rPr>
          <w:rFonts w:ascii="Cambria" w:eastAsia="Times New Roman" w:hAnsi="Cambria" w:cstheme="minorHAnsi"/>
          <w:spacing w:val="1"/>
        </w:rPr>
        <w:t>o</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rPr>
        <w:t>g</w:t>
      </w:r>
      <w:r w:rsidRPr="009A0DA6">
        <w:rPr>
          <w:rFonts w:ascii="Cambria" w:eastAsia="Times New Roman" w:hAnsi="Cambria" w:cstheme="minorHAnsi"/>
          <w:spacing w:val="4"/>
        </w:rPr>
        <w:t xml:space="preserve"> </w:t>
      </w:r>
      <w:r w:rsidRPr="009A0DA6">
        <w:rPr>
          <w:rFonts w:ascii="Cambria" w:eastAsia="Times New Roman" w:hAnsi="Cambria" w:cstheme="minorHAnsi"/>
        </w:rPr>
        <w:t>c</w:t>
      </w:r>
      <w:r w:rsidRPr="009A0DA6">
        <w:rPr>
          <w:rFonts w:ascii="Cambria" w:eastAsia="Times New Roman" w:hAnsi="Cambria" w:cstheme="minorHAnsi"/>
          <w:spacing w:val="4"/>
        </w:rPr>
        <w:t>o</w:t>
      </w:r>
      <w:r w:rsidRPr="009A0DA6">
        <w:rPr>
          <w:rFonts w:ascii="Cambria" w:eastAsia="Times New Roman" w:hAnsi="Cambria" w:cstheme="minorHAnsi"/>
          <w:spacing w:val="-1"/>
        </w:rPr>
        <w:t>n</w:t>
      </w:r>
      <w:r w:rsidRPr="009A0DA6">
        <w:rPr>
          <w:rFonts w:ascii="Cambria" w:eastAsia="Times New Roman" w:hAnsi="Cambria" w:cstheme="minorHAnsi"/>
        </w:rPr>
        <w:t>ce</w:t>
      </w:r>
      <w:r w:rsidRPr="009A0DA6">
        <w:rPr>
          <w:rFonts w:ascii="Cambria" w:eastAsia="Times New Roman" w:hAnsi="Cambria" w:cstheme="minorHAnsi"/>
          <w:spacing w:val="1"/>
        </w:rPr>
        <w:t>r</w:t>
      </w:r>
      <w:r w:rsidRPr="009A0DA6">
        <w:rPr>
          <w:rFonts w:ascii="Cambria" w:eastAsia="Times New Roman" w:hAnsi="Cambria" w:cstheme="minorHAnsi"/>
          <w:spacing w:val="-1"/>
        </w:rPr>
        <w:t>n</w:t>
      </w:r>
      <w:r w:rsidRPr="009A0DA6">
        <w:rPr>
          <w:rFonts w:ascii="Cambria" w:eastAsia="Times New Roman" w:hAnsi="Cambria" w:cstheme="minorHAnsi"/>
        </w:rPr>
        <w:t>,</w:t>
      </w:r>
      <w:r w:rsidRPr="009A0DA6">
        <w:rPr>
          <w:rFonts w:ascii="Cambria" w:eastAsia="Times New Roman" w:hAnsi="Cambria" w:cstheme="minorHAnsi"/>
          <w:spacing w:val="4"/>
        </w:rPr>
        <w:t xml:space="preserve"> </w:t>
      </w:r>
      <w:r w:rsidRPr="009A0DA6">
        <w:rPr>
          <w:rFonts w:ascii="Cambria" w:eastAsia="Times New Roman" w:hAnsi="Cambria" w:cstheme="minorHAnsi"/>
          <w:spacing w:val="1"/>
        </w:rPr>
        <w:t>d</w:t>
      </w:r>
      <w:r w:rsidRPr="009A0DA6">
        <w:rPr>
          <w:rFonts w:ascii="Cambria" w:eastAsia="Times New Roman" w:hAnsi="Cambria" w:cstheme="minorHAnsi"/>
        </w:rPr>
        <w:t>i</w:t>
      </w:r>
      <w:r w:rsidRPr="009A0DA6">
        <w:rPr>
          <w:rFonts w:ascii="Cambria" w:eastAsia="Times New Roman" w:hAnsi="Cambria" w:cstheme="minorHAnsi"/>
          <w:spacing w:val="-1"/>
        </w:rPr>
        <w:t>s</w:t>
      </w:r>
      <w:r w:rsidRPr="009A0DA6">
        <w:rPr>
          <w:rFonts w:ascii="Cambria" w:eastAsia="Times New Roman" w:hAnsi="Cambria" w:cstheme="minorHAnsi"/>
        </w:rPr>
        <w:t>cl</w:t>
      </w:r>
      <w:r w:rsidRPr="009A0DA6">
        <w:rPr>
          <w:rFonts w:ascii="Cambria" w:eastAsia="Times New Roman" w:hAnsi="Cambria" w:cstheme="minorHAnsi"/>
          <w:spacing w:val="1"/>
        </w:rPr>
        <w:t>o</w:t>
      </w:r>
      <w:r w:rsidRPr="009A0DA6">
        <w:rPr>
          <w:rFonts w:ascii="Cambria" w:eastAsia="Times New Roman" w:hAnsi="Cambria" w:cstheme="minorHAnsi"/>
          <w:spacing w:val="2"/>
        </w:rPr>
        <w:t>s</w:t>
      </w:r>
      <w:r w:rsidRPr="009A0DA6">
        <w:rPr>
          <w:rFonts w:ascii="Cambria" w:eastAsia="Times New Roman" w:hAnsi="Cambria" w:cstheme="minorHAnsi"/>
        </w:rPr>
        <w:t>i</w:t>
      </w:r>
      <w:r w:rsidRPr="009A0DA6">
        <w:rPr>
          <w:rFonts w:ascii="Cambria" w:eastAsia="Times New Roman" w:hAnsi="Cambria" w:cstheme="minorHAnsi"/>
          <w:spacing w:val="-1"/>
        </w:rPr>
        <w:t>ng</w:t>
      </w:r>
      <w:r w:rsidRPr="009A0DA6">
        <w:rPr>
          <w:rFonts w:ascii="Cambria" w:eastAsia="Times New Roman" w:hAnsi="Cambria" w:cstheme="minorHAnsi"/>
        </w:rPr>
        <w:t>,</w:t>
      </w:r>
      <w:r w:rsidRPr="009A0DA6">
        <w:rPr>
          <w:rFonts w:ascii="Cambria" w:eastAsia="Times New Roman" w:hAnsi="Cambria" w:cstheme="minorHAnsi"/>
          <w:spacing w:val="2"/>
        </w:rPr>
        <w:t xml:space="preserve"> </w:t>
      </w:r>
      <w:r w:rsidRPr="009A0DA6">
        <w:rPr>
          <w:rFonts w:ascii="Cambria" w:eastAsia="Times New Roman" w:hAnsi="Cambria" w:cstheme="minorHAnsi"/>
          <w:spacing w:val="3"/>
        </w:rPr>
        <w:t>a</w:t>
      </w:r>
      <w:r w:rsidRPr="009A0DA6">
        <w:rPr>
          <w:rFonts w:ascii="Cambria" w:eastAsia="Times New Roman" w:hAnsi="Cambria" w:cstheme="minorHAnsi"/>
        </w:rPr>
        <w:t>s</w:t>
      </w:r>
      <w:r w:rsidRPr="009A0DA6">
        <w:rPr>
          <w:rFonts w:ascii="Cambria" w:eastAsia="Times New Roman" w:hAnsi="Cambria" w:cstheme="minorHAnsi"/>
          <w:spacing w:val="7"/>
        </w:rPr>
        <w:t xml:space="preserve"> </w:t>
      </w:r>
      <w:r w:rsidRPr="009A0DA6">
        <w:rPr>
          <w:rFonts w:ascii="Cambria" w:eastAsia="Times New Roman" w:hAnsi="Cambria" w:cstheme="minorHAnsi"/>
        </w:rPr>
        <w:t>a</w:t>
      </w:r>
      <w:r w:rsidRPr="009A0DA6">
        <w:rPr>
          <w:rFonts w:ascii="Cambria" w:eastAsia="Times New Roman" w:hAnsi="Cambria" w:cstheme="minorHAnsi"/>
          <w:spacing w:val="1"/>
        </w:rPr>
        <w:t>pp</w:t>
      </w:r>
      <w:r w:rsidRPr="009A0DA6">
        <w:rPr>
          <w:rFonts w:ascii="Cambria" w:eastAsia="Times New Roman" w:hAnsi="Cambria" w:cstheme="minorHAnsi"/>
        </w:rPr>
        <w:t>lica</w:t>
      </w:r>
      <w:r w:rsidRPr="009A0DA6">
        <w:rPr>
          <w:rFonts w:ascii="Cambria" w:eastAsia="Times New Roman" w:hAnsi="Cambria" w:cstheme="minorHAnsi"/>
          <w:spacing w:val="1"/>
        </w:rPr>
        <w:t>b</w:t>
      </w:r>
      <w:r w:rsidRPr="009A0DA6">
        <w:rPr>
          <w:rFonts w:ascii="Cambria" w:eastAsia="Times New Roman" w:hAnsi="Cambria" w:cstheme="minorHAnsi"/>
        </w:rPr>
        <w:t>le,</w:t>
      </w:r>
      <w:r w:rsidRPr="009A0DA6">
        <w:rPr>
          <w:rFonts w:ascii="Cambria" w:eastAsia="Times New Roman" w:hAnsi="Cambria" w:cstheme="minorHAnsi"/>
          <w:spacing w:val="2"/>
        </w:rPr>
        <w:t xml:space="preserve"> </w:t>
      </w:r>
      <w:r w:rsidRPr="009A0DA6">
        <w:rPr>
          <w:rFonts w:ascii="Cambria" w:eastAsia="Times New Roman" w:hAnsi="Cambria" w:cstheme="minorHAnsi"/>
          <w:spacing w:val="-4"/>
        </w:rPr>
        <w:t>m</w:t>
      </w:r>
      <w:r w:rsidRPr="009A0DA6">
        <w:rPr>
          <w:rFonts w:ascii="Cambria" w:eastAsia="Times New Roman" w:hAnsi="Cambria" w:cstheme="minorHAnsi"/>
        </w:rPr>
        <w:t>a</w:t>
      </w:r>
      <w:r w:rsidRPr="009A0DA6">
        <w:rPr>
          <w:rFonts w:ascii="Cambria" w:eastAsia="Times New Roman" w:hAnsi="Cambria" w:cstheme="minorHAnsi"/>
          <w:spacing w:val="2"/>
        </w:rPr>
        <w:t>t</w:t>
      </w:r>
      <w:r w:rsidRPr="009A0DA6">
        <w:rPr>
          <w:rFonts w:ascii="Cambria" w:eastAsia="Times New Roman" w:hAnsi="Cambria" w:cstheme="minorHAnsi"/>
        </w:rPr>
        <w:t>te</w:t>
      </w:r>
      <w:r w:rsidRPr="009A0DA6">
        <w:rPr>
          <w:rFonts w:ascii="Cambria" w:eastAsia="Times New Roman" w:hAnsi="Cambria" w:cstheme="minorHAnsi"/>
          <w:spacing w:val="1"/>
        </w:rPr>
        <w:t>r</w:t>
      </w:r>
      <w:r w:rsidRPr="009A0DA6">
        <w:rPr>
          <w:rFonts w:ascii="Cambria" w:eastAsia="Times New Roman" w:hAnsi="Cambria" w:cstheme="minorHAnsi"/>
        </w:rPr>
        <w:t>s</w:t>
      </w:r>
      <w:r w:rsidRPr="009A0DA6">
        <w:rPr>
          <w:rFonts w:ascii="Cambria" w:eastAsia="Times New Roman" w:hAnsi="Cambria" w:cstheme="minorHAnsi"/>
          <w:spacing w:val="3"/>
        </w:rPr>
        <w:t xml:space="preserve"> </w:t>
      </w:r>
      <w:r w:rsidRPr="009A0DA6">
        <w:rPr>
          <w:rFonts w:ascii="Cambria" w:eastAsia="Times New Roman" w:hAnsi="Cambria" w:cstheme="minorHAnsi"/>
          <w:spacing w:val="1"/>
        </w:rPr>
        <w:t>r</w:t>
      </w:r>
      <w:r w:rsidRPr="009A0DA6">
        <w:rPr>
          <w:rFonts w:ascii="Cambria" w:eastAsia="Times New Roman" w:hAnsi="Cambria" w:cstheme="minorHAnsi"/>
        </w:rPr>
        <w:t>elated</w:t>
      </w:r>
      <w:r w:rsidRPr="009A0DA6">
        <w:rPr>
          <w:rFonts w:ascii="Cambria" w:eastAsia="Times New Roman" w:hAnsi="Cambria" w:cstheme="minorHAnsi"/>
          <w:spacing w:val="6"/>
        </w:rPr>
        <w:t xml:space="preserve"> </w:t>
      </w:r>
      <w:r w:rsidRPr="009A0DA6">
        <w:rPr>
          <w:rFonts w:ascii="Cambria" w:eastAsia="Times New Roman" w:hAnsi="Cambria" w:cstheme="minorHAnsi"/>
        </w:rPr>
        <w:t>to</w:t>
      </w:r>
      <w:r w:rsidRPr="009A0DA6">
        <w:rPr>
          <w:rFonts w:ascii="Cambria" w:eastAsia="Times New Roman" w:hAnsi="Cambria" w:cstheme="minorHAnsi"/>
          <w:spacing w:val="9"/>
        </w:rPr>
        <w:t xml:space="preserve"> </w:t>
      </w:r>
      <w:r w:rsidRPr="009A0DA6">
        <w:rPr>
          <w:rFonts w:ascii="Cambria" w:eastAsia="Times New Roman" w:hAnsi="Cambria" w:cstheme="minorHAnsi"/>
          <w:spacing w:val="-1"/>
        </w:rPr>
        <w:t>g</w:t>
      </w:r>
      <w:r w:rsidRPr="009A0DA6">
        <w:rPr>
          <w:rFonts w:ascii="Cambria" w:eastAsia="Times New Roman" w:hAnsi="Cambria" w:cstheme="minorHAnsi"/>
          <w:spacing w:val="1"/>
        </w:rPr>
        <w:t>o</w:t>
      </w:r>
      <w:r w:rsidRPr="009A0DA6">
        <w:rPr>
          <w:rFonts w:ascii="Cambria" w:eastAsia="Times New Roman" w:hAnsi="Cambria" w:cstheme="minorHAnsi"/>
        </w:rPr>
        <w:t>i</w:t>
      </w:r>
      <w:r w:rsidRPr="009A0DA6">
        <w:rPr>
          <w:rFonts w:ascii="Cambria" w:eastAsia="Times New Roman" w:hAnsi="Cambria" w:cstheme="minorHAnsi"/>
          <w:spacing w:val="1"/>
        </w:rPr>
        <w:t>n</w:t>
      </w:r>
      <w:r w:rsidRPr="009A0DA6">
        <w:rPr>
          <w:rFonts w:ascii="Cambria" w:eastAsia="Times New Roman" w:hAnsi="Cambria" w:cstheme="minorHAnsi"/>
        </w:rPr>
        <w:t>g c</w:t>
      </w:r>
      <w:r w:rsidRPr="009A0DA6">
        <w:rPr>
          <w:rFonts w:ascii="Cambria" w:eastAsia="Times New Roman" w:hAnsi="Cambria" w:cstheme="minorHAnsi"/>
          <w:spacing w:val="1"/>
        </w:rPr>
        <w:t>o</w:t>
      </w:r>
      <w:r w:rsidRPr="009A0DA6">
        <w:rPr>
          <w:rFonts w:ascii="Cambria" w:eastAsia="Times New Roman" w:hAnsi="Cambria" w:cstheme="minorHAnsi"/>
          <w:spacing w:val="-1"/>
        </w:rPr>
        <w:t>n</w:t>
      </w:r>
      <w:r w:rsidRPr="009A0DA6">
        <w:rPr>
          <w:rFonts w:ascii="Cambria" w:eastAsia="Times New Roman" w:hAnsi="Cambria" w:cstheme="minorHAnsi"/>
        </w:rPr>
        <w:t>ce</w:t>
      </w:r>
      <w:r w:rsidRPr="009A0DA6">
        <w:rPr>
          <w:rFonts w:ascii="Cambria" w:eastAsia="Times New Roman" w:hAnsi="Cambria" w:cstheme="minorHAnsi"/>
          <w:spacing w:val="1"/>
        </w:rPr>
        <w:t>r</w:t>
      </w:r>
      <w:r w:rsidRPr="009A0DA6">
        <w:rPr>
          <w:rFonts w:ascii="Cambria" w:eastAsia="Times New Roman" w:hAnsi="Cambria" w:cstheme="minorHAnsi"/>
        </w:rPr>
        <w:t>n</w:t>
      </w:r>
      <w:r w:rsidRPr="009A0DA6">
        <w:rPr>
          <w:rFonts w:ascii="Cambria" w:eastAsia="Times New Roman" w:hAnsi="Cambria" w:cstheme="minorHAnsi"/>
          <w:spacing w:val="24"/>
        </w:rPr>
        <w:t xml:space="preserve"> </w:t>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spacing w:val="30"/>
        </w:rPr>
        <w:t xml:space="preserve"> </w:t>
      </w:r>
      <w:r w:rsidRPr="009A0DA6">
        <w:rPr>
          <w:rFonts w:ascii="Cambria" w:eastAsia="Times New Roman" w:hAnsi="Cambria" w:cstheme="minorHAnsi"/>
          <w:spacing w:val="-1"/>
        </w:rPr>
        <w:t>us</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rPr>
        <w:t>g</w:t>
      </w:r>
      <w:r w:rsidRPr="009A0DA6">
        <w:rPr>
          <w:rFonts w:ascii="Cambria" w:eastAsia="Times New Roman" w:hAnsi="Cambria" w:cstheme="minorHAnsi"/>
          <w:spacing w:val="26"/>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30"/>
        </w:rPr>
        <w:t xml:space="preserve"> </w:t>
      </w:r>
      <w:r w:rsidRPr="009A0DA6">
        <w:rPr>
          <w:rFonts w:ascii="Cambria" w:eastAsia="Times New Roman" w:hAnsi="Cambria" w:cstheme="minorHAnsi"/>
          <w:spacing w:val="-1"/>
        </w:rPr>
        <w:t>g</w:t>
      </w:r>
      <w:r w:rsidRPr="009A0DA6">
        <w:rPr>
          <w:rFonts w:ascii="Cambria" w:eastAsia="Times New Roman" w:hAnsi="Cambria" w:cstheme="minorHAnsi"/>
          <w:spacing w:val="1"/>
        </w:rPr>
        <w:t>o</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rPr>
        <w:t>g</w:t>
      </w:r>
      <w:r w:rsidRPr="009A0DA6">
        <w:rPr>
          <w:rFonts w:ascii="Cambria" w:eastAsia="Times New Roman" w:hAnsi="Cambria" w:cstheme="minorHAnsi"/>
          <w:spacing w:val="28"/>
        </w:rPr>
        <w:t xml:space="preserve"> </w:t>
      </w:r>
      <w:r w:rsidRPr="009A0DA6">
        <w:rPr>
          <w:rFonts w:ascii="Cambria" w:eastAsia="Times New Roman" w:hAnsi="Cambria" w:cstheme="minorHAnsi"/>
        </w:rPr>
        <w:t>c</w:t>
      </w:r>
      <w:r w:rsidRPr="009A0DA6">
        <w:rPr>
          <w:rFonts w:ascii="Cambria" w:eastAsia="Times New Roman" w:hAnsi="Cambria" w:cstheme="minorHAnsi"/>
          <w:spacing w:val="1"/>
        </w:rPr>
        <w:t>o</w:t>
      </w:r>
      <w:r w:rsidRPr="009A0DA6">
        <w:rPr>
          <w:rFonts w:ascii="Cambria" w:eastAsia="Times New Roman" w:hAnsi="Cambria" w:cstheme="minorHAnsi"/>
          <w:spacing w:val="-1"/>
        </w:rPr>
        <w:t>n</w:t>
      </w:r>
      <w:r w:rsidRPr="009A0DA6">
        <w:rPr>
          <w:rFonts w:ascii="Cambria" w:eastAsia="Times New Roman" w:hAnsi="Cambria" w:cstheme="minorHAnsi"/>
        </w:rPr>
        <w:t>ce</w:t>
      </w:r>
      <w:r w:rsidRPr="009A0DA6">
        <w:rPr>
          <w:rFonts w:ascii="Cambria" w:eastAsia="Times New Roman" w:hAnsi="Cambria" w:cstheme="minorHAnsi"/>
          <w:spacing w:val="1"/>
        </w:rPr>
        <w:t>r</w:t>
      </w:r>
      <w:r w:rsidRPr="009A0DA6">
        <w:rPr>
          <w:rFonts w:ascii="Cambria" w:eastAsia="Times New Roman" w:hAnsi="Cambria" w:cstheme="minorHAnsi"/>
        </w:rPr>
        <w:t>n</w:t>
      </w:r>
      <w:r w:rsidRPr="009A0DA6">
        <w:rPr>
          <w:rFonts w:ascii="Cambria" w:eastAsia="Times New Roman" w:hAnsi="Cambria" w:cstheme="minorHAnsi"/>
          <w:spacing w:val="24"/>
        </w:rPr>
        <w:t xml:space="preserve"> </w:t>
      </w:r>
      <w:r w:rsidRPr="009A0DA6">
        <w:rPr>
          <w:rFonts w:ascii="Cambria" w:eastAsia="Times New Roman" w:hAnsi="Cambria" w:cstheme="minorHAnsi"/>
          <w:spacing w:val="1"/>
        </w:rPr>
        <w:t>b</w:t>
      </w:r>
      <w:r w:rsidRPr="009A0DA6">
        <w:rPr>
          <w:rFonts w:ascii="Cambria" w:eastAsia="Times New Roman" w:hAnsi="Cambria" w:cstheme="minorHAnsi"/>
        </w:rPr>
        <w:t>a</w:t>
      </w:r>
      <w:r w:rsidRPr="009A0DA6">
        <w:rPr>
          <w:rFonts w:ascii="Cambria" w:eastAsia="Times New Roman" w:hAnsi="Cambria" w:cstheme="minorHAnsi"/>
          <w:spacing w:val="-1"/>
        </w:rPr>
        <w:t>s</w:t>
      </w:r>
      <w:r w:rsidRPr="009A0DA6">
        <w:rPr>
          <w:rFonts w:ascii="Cambria" w:eastAsia="Times New Roman" w:hAnsi="Cambria" w:cstheme="minorHAnsi"/>
        </w:rPr>
        <w:t>is</w:t>
      </w:r>
      <w:r w:rsidRPr="009A0DA6">
        <w:rPr>
          <w:rFonts w:ascii="Cambria" w:eastAsia="Times New Roman" w:hAnsi="Cambria" w:cstheme="minorHAnsi"/>
          <w:spacing w:val="27"/>
        </w:rPr>
        <w:t xml:space="preserve"> </w:t>
      </w:r>
      <w:r w:rsidRPr="009A0DA6">
        <w:rPr>
          <w:rFonts w:ascii="Cambria" w:eastAsia="Times New Roman" w:hAnsi="Cambria" w:cstheme="minorHAnsi"/>
          <w:spacing w:val="1"/>
        </w:rPr>
        <w:t>o</w:t>
      </w:r>
      <w:r w:rsidRPr="009A0DA6">
        <w:rPr>
          <w:rFonts w:ascii="Cambria" w:eastAsia="Times New Roman" w:hAnsi="Cambria" w:cstheme="minorHAnsi"/>
        </w:rPr>
        <w:t>f</w:t>
      </w:r>
      <w:r w:rsidRPr="009A0DA6">
        <w:rPr>
          <w:rFonts w:ascii="Cambria" w:eastAsia="Times New Roman" w:hAnsi="Cambria" w:cstheme="minorHAnsi"/>
          <w:spacing w:val="28"/>
        </w:rPr>
        <w:t xml:space="preserve"> </w:t>
      </w:r>
      <w:r w:rsidRPr="009A0DA6">
        <w:rPr>
          <w:rFonts w:ascii="Cambria" w:eastAsia="Times New Roman" w:hAnsi="Cambria" w:cstheme="minorHAnsi"/>
        </w:rPr>
        <w:t>acc</w:t>
      </w:r>
      <w:r w:rsidRPr="009A0DA6">
        <w:rPr>
          <w:rFonts w:ascii="Cambria" w:eastAsia="Times New Roman" w:hAnsi="Cambria" w:cstheme="minorHAnsi"/>
          <w:spacing w:val="1"/>
        </w:rPr>
        <w:t>o</w:t>
      </w:r>
      <w:r w:rsidRPr="009A0DA6">
        <w:rPr>
          <w:rFonts w:ascii="Cambria" w:eastAsia="Times New Roman" w:hAnsi="Cambria" w:cstheme="minorHAnsi"/>
          <w:spacing w:val="-1"/>
        </w:rPr>
        <w:t>un</w:t>
      </w:r>
      <w:r w:rsidRPr="009A0DA6">
        <w:rPr>
          <w:rFonts w:ascii="Cambria" w:eastAsia="Times New Roman" w:hAnsi="Cambria" w:cstheme="minorHAnsi"/>
        </w:rPr>
        <w:t>t</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rPr>
        <w:t>g</w:t>
      </w:r>
      <w:r w:rsidRPr="009A0DA6">
        <w:rPr>
          <w:rFonts w:ascii="Cambria" w:eastAsia="Times New Roman" w:hAnsi="Cambria" w:cstheme="minorHAnsi"/>
          <w:spacing w:val="24"/>
        </w:rPr>
        <w:t xml:space="preserve"> </w:t>
      </w:r>
      <w:r w:rsidRPr="009A0DA6">
        <w:rPr>
          <w:rFonts w:ascii="Cambria" w:eastAsia="Times New Roman" w:hAnsi="Cambria" w:cstheme="minorHAnsi"/>
          <w:spacing w:val="-1"/>
        </w:rPr>
        <w:t>un</w:t>
      </w:r>
      <w:r w:rsidRPr="009A0DA6">
        <w:rPr>
          <w:rFonts w:ascii="Cambria" w:eastAsia="Times New Roman" w:hAnsi="Cambria" w:cstheme="minorHAnsi"/>
        </w:rPr>
        <w:t>l</w:t>
      </w:r>
      <w:r w:rsidRPr="009A0DA6">
        <w:rPr>
          <w:rFonts w:ascii="Cambria" w:eastAsia="Times New Roman" w:hAnsi="Cambria" w:cstheme="minorHAnsi"/>
          <w:spacing w:val="3"/>
        </w:rPr>
        <w:t>e</w:t>
      </w:r>
      <w:r w:rsidRPr="009A0DA6">
        <w:rPr>
          <w:rFonts w:ascii="Cambria" w:eastAsia="Times New Roman" w:hAnsi="Cambria" w:cstheme="minorHAnsi"/>
          <w:spacing w:val="-1"/>
        </w:rPr>
        <w:t>s</w:t>
      </w:r>
      <w:r w:rsidRPr="009A0DA6">
        <w:rPr>
          <w:rFonts w:ascii="Cambria" w:eastAsia="Times New Roman" w:hAnsi="Cambria" w:cstheme="minorHAnsi"/>
        </w:rPr>
        <w:t>s</w:t>
      </w:r>
      <w:r w:rsidRPr="009A0DA6">
        <w:rPr>
          <w:rFonts w:ascii="Cambria" w:eastAsia="Times New Roman" w:hAnsi="Cambria" w:cstheme="minorHAnsi"/>
          <w:spacing w:val="26"/>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30"/>
        </w:rPr>
        <w:t xml:space="preserve"> </w:t>
      </w:r>
      <w:r w:rsidRPr="009A0DA6">
        <w:rPr>
          <w:rFonts w:ascii="Cambria" w:eastAsia="Times New Roman" w:hAnsi="Cambria" w:cstheme="minorHAnsi"/>
        </w:rPr>
        <w:t>G</w:t>
      </w:r>
      <w:r w:rsidRPr="009A0DA6">
        <w:rPr>
          <w:rFonts w:ascii="Cambria" w:eastAsia="Times New Roman" w:hAnsi="Cambria" w:cstheme="minorHAnsi"/>
          <w:spacing w:val="3"/>
        </w:rPr>
        <w:t>e</w:t>
      </w:r>
      <w:r w:rsidRPr="009A0DA6">
        <w:rPr>
          <w:rFonts w:ascii="Cambria" w:eastAsia="Times New Roman" w:hAnsi="Cambria" w:cstheme="minorHAnsi"/>
          <w:spacing w:val="-1"/>
        </w:rPr>
        <w:t>n</w:t>
      </w:r>
      <w:r w:rsidRPr="009A0DA6">
        <w:rPr>
          <w:rFonts w:ascii="Cambria" w:eastAsia="Times New Roman" w:hAnsi="Cambria" w:cstheme="minorHAnsi"/>
        </w:rPr>
        <w:t>e</w:t>
      </w:r>
      <w:r w:rsidRPr="009A0DA6">
        <w:rPr>
          <w:rFonts w:ascii="Cambria" w:eastAsia="Times New Roman" w:hAnsi="Cambria" w:cstheme="minorHAnsi"/>
          <w:spacing w:val="1"/>
        </w:rPr>
        <w:t>r</w:t>
      </w:r>
      <w:r w:rsidRPr="009A0DA6">
        <w:rPr>
          <w:rFonts w:ascii="Cambria" w:eastAsia="Times New Roman" w:hAnsi="Cambria" w:cstheme="minorHAnsi"/>
        </w:rPr>
        <w:t>al</w:t>
      </w:r>
      <w:r w:rsidRPr="009A0DA6">
        <w:rPr>
          <w:rFonts w:ascii="Cambria" w:eastAsia="Times New Roman" w:hAnsi="Cambria" w:cstheme="minorHAnsi"/>
          <w:spacing w:val="25"/>
        </w:rPr>
        <w:t xml:space="preserve"> </w:t>
      </w:r>
      <w:r w:rsidRPr="009A0DA6">
        <w:rPr>
          <w:rFonts w:ascii="Cambria" w:eastAsia="Times New Roman" w:hAnsi="Cambria" w:cstheme="minorHAnsi"/>
          <w:spacing w:val="2"/>
        </w:rPr>
        <w:t>C</w:t>
      </w:r>
      <w:r w:rsidRPr="009A0DA6">
        <w:rPr>
          <w:rFonts w:ascii="Cambria" w:eastAsia="Times New Roman" w:hAnsi="Cambria" w:cstheme="minorHAnsi"/>
          <w:spacing w:val="-1"/>
        </w:rPr>
        <w:t>hu</w:t>
      </w:r>
      <w:r w:rsidRPr="009A0DA6">
        <w:rPr>
          <w:rFonts w:ascii="Cambria" w:eastAsia="Times New Roman" w:hAnsi="Cambria" w:cstheme="minorHAnsi"/>
          <w:spacing w:val="1"/>
        </w:rPr>
        <w:t>r</w:t>
      </w:r>
      <w:r w:rsidRPr="009A0DA6">
        <w:rPr>
          <w:rFonts w:ascii="Cambria" w:eastAsia="Times New Roman" w:hAnsi="Cambria" w:cstheme="minorHAnsi"/>
          <w:spacing w:val="3"/>
        </w:rPr>
        <w:t>c</w:t>
      </w:r>
      <w:r w:rsidRPr="009A0DA6">
        <w:rPr>
          <w:rFonts w:ascii="Cambria" w:eastAsia="Times New Roman" w:hAnsi="Cambria" w:cstheme="minorHAnsi"/>
        </w:rPr>
        <w:t>h</w:t>
      </w:r>
      <w:r w:rsidRPr="009A0DA6">
        <w:rPr>
          <w:rFonts w:ascii="Cambria" w:eastAsia="Times New Roman" w:hAnsi="Cambria" w:cstheme="minorHAnsi"/>
          <w:spacing w:val="24"/>
        </w:rPr>
        <w:t xml:space="preserve"> </w:t>
      </w:r>
      <w:r w:rsidRPr="009A0DA6">
        <w:rPr>
          <w:rFonts w:ascii="Cambria" w:eastAsia="Times New Roman" w:hAnsi="Cambria" w:cstheme="minorHAnsi"/>
          <w:spacing w:val="-1"/>
        </w:rPr>
        <w:t>C</w:t>
      </w:r>
      <w:r w:rsidRPr="009A0DA6">
        <w:rPr>
          <w:rFonts w:ascii="Cambria" w:eastAsia="Times New Roman" w:hAnsi="Cambria" w:cstheme="minorHAnsi"/>
          <w:spacing w:val="1"/>
        </w:rPr>
        <w:t>ou</w:t>
      </w:r>
      <w:r w:rsidRPr="009A0DA6">
        <w:rPr>
          <w:rFonts w:ascii="Cambria" w:eastAsia="Times New Roman" w:hAnsi="Cambria" w:cstheme="minorHAnsi"/>
          <w:spacing w:val="-1"/>
        </w:rPr>
        <w:t>n</w:t>
      </w:r>
      <w:r w:rsidRPr="009A0DA6">
        <w:rPr>
          <w:rFonts w:ascii="Cambria" w:eastAsia="Times New Roman" w:hAnsi="Cambria" w:cstheme="minorHAnsi"/>
        </w:rPr>
        <w:t>cil</w:t>
      </w:r>
      <w:r w:rsidRPr="009A0DA6">
        <w:rPr>
          <w:rFonts w:ascii="Cambria" w:eastAsia="Times New Roman" w:hAnsi="Cambria" w:cstheme="minorHAnsi"/>
          <w:spacing w:val="25"/>
        </w:rPr>
        <w:t xml:space="preserve"> </w:t>
      </w:r>
      <w:r w:rsidRPr="009A0DA6">
        <w:rPr>
          <w:rFonts w:ascii="Cambria" w:eastAsia="Times New Roman" w:hAnsi="Cambria" w:cstheme="minorHAnsi"/>
        </w:rPr>
        <w:t>eit</w:t>
      </w:r>
      <w:r w:rsidRPr="009A0DA6">
        <w:rPr>
          <w:rFonts w:ascii="Cambria" w:eastAsia="Times New Roman" w:hAnsi="Cambria" w:cstheme="minorHAnsi"/>
          <w:spacing w:val="-1"/>
        </w:rPr>
        <w:t>h</w:t>
      </w:r>
      <w:r w:rsidRPr="009A0DA6">
        <w:rPr>
          <w:rFonts w:ascii="Cambria" w:eastAsia="Times New Roman" w:hAnsi="Cambria" w:cstheme="minorHAnsi"/>
        </w:rPr>
        <w:t>er i</w:t>
      </w:r>
      <w:r w:rsidRPr="009A0DA6">
        <w:rPr>
          <w:rFonts w:ascii="Cambria" w:eastAsia="Times New Roman" w:hAnsi="Cambria" w:cstheme="minorHAnsi"/>
          <w:spacing w:val="-1"/>
        </w:rPr>
        <w:t>n</w:t>
      </w:r>
      <w:r w:rsidRPr="009A0DA6">
        <w:rPr>
          <w:rFonts w:ascii="Cambria" w:eastAsia="Times New Roman" w:hAnsi="Cambria" w:cstheme="minorHAnsi"/>
        </w:rPr>
        <w:t>t</w:t>
      </w:r>
      <w:r w:rsidRPr="009A0DA6">
        <w:rPr>
          <w:rFonts w:ascii="Cambria" w:eastAsia="Times New Roman" w:hAnsi="Cambria" w:cstheme="minorHAnsi"/>
          <w:spacing w:val="3"/>
        </w:rPr>
        <w:t>e</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spacing w:val="-3"/>
        </w:rPr>
        <w:t xml:space="preserve"> </w:t>
      </w:r>
      <w:r w:rsidRPr="009A0DA6">
        <w:rPr>
          <w:rFonts w:ascii="Cambria" w:eastAsia="Times New Roman" w:hAnsi="Cambria" w:cstheme="minorHAnsi"/>
        </w:rPr>
        <w:t>to li</w:t>
      </w:r>
      <w:r w:rsidRPr="009A0DA6">
        <w:rPr>
          <w:rFonts w:ascii="Cambria" w:eastAsia="Times New Roman" w:hAnsi="Cambria" w:cstheme="minorHAnsi"/>
          <w:spacing w:val="1"/>
        </w:rPr>
        <w:t>q</w:t>
      </w:r>
      <w:r w:rsidRPr="009A0DA6">
        <w:rPr>
          <w:rFonts w:ascii="Cambria" w:eastAsia="Times New Roman" w:hAnsi="Cambria" w:cstheme="minorHAnsi"/>
          <w:spacing w:val="-1"/>
        </w:rPr>
        <w:t>u</w:t>
      </w:r>
      <w:r w:rsidRPr="009A0DA6">
        <w:rPr>
          <w:rFonts w:ascii="Cambria" w:eastAsia="Times New Roman" w:hAnsi="Cambria" w:cstheme="minorHAnsi"/>
        </w:rPr>
        <w:t>i</w:t>
      </w:r>
      <w:r w:rsidRPr="009A0DA6">
        <w:rPr>
          <w:rFonts w:ascii="Cambria" w:eastAsia="Times New Roman" w:hAnsi="Cambria" w:cstheme="minorHAnsi"/>
          <w:spacing w:val="1"/>
        </w:rPr>
        <w:t>d</w:t>
      </w:r>
      <w:r w:rsidRPr="009A0DA6">
        <w:rPr>
          <w:rFonts w:ascii="Cambria" w:eastAsia="Times New Roman" w:hAnsi="Cambria" w:cstheme="minorHAnsi"/>
        </w:rPr>
        <w:t>ate</w:t>
      </w:r>
      <w:r w:rsidRPr="009A0DA6">
        <w:rPr>
          <w:rFonts w:ascii="Cambria" w:eastAsia="Times New Roman" w:hAnsi="Cambria" w:cstheme="minorHAnsi"/>
          <w:spacing w:val="-6"/>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1"/>
        </w:rPr>
        <w:t xml:space="preserve"> </w:t>
      </w:r>
      <w:r w:rsidRPr="009A0DA6">
        <w:rPr>
          <w:rFonts w:ascii="Cambria" w:eastAsia="Times New Roman" w:hAnsi="Cambria" w:cstheme="minorHAnsi"/>
        </w:rPr>
        <w:t>A</w:t>
      </w:r>
      <w:r w:rsidRPr="009A0DA6">
        <w:rPr>
          <w:rFonts w:ascii="Cambria" w:eastAsia="Times New Roman" w:hAnsi="Cambria" w:cstheme="minorHAnsi"/>
          <w:spacing w:val="-1"/>
        </w:rPr>
        <w:t>ss</w:t>
      </w:r>
      <w:r w:rsidRPr="009A0DA6">
        <w:rPr>
          <w:rFonts w:ascii="Cambria" w:eastAsia="Times New Roman" w:hAnsi="Cambria" w:cstheme="minorHAnsi"/>
          <w:spacing w:val="1"/>
        </w:rPr>
        <w:t>o</w:t>
      </w:r>
      <w:r w:rsidRPr="009A0DA6">
        <w:rPr>
          <w:rFonts w:ascii="Cambria" w:eastAsia="Times New Roman" w:hAnsi="Cambria" w:cstheme="minorHAnsi"/>
        </w:rPr>
        <w:t>ci</w:t>
      </w:r>
      <w:r w:rsidRPr="009A0DA6">
        <w:rPr>
          <w:rFonts w:ascii="Cambria" w:eastAsia="Times New Roman" w:hAnsi="Cambria" w:cstheme="minorHAnsi"/>
          <w:spacing w:val="3"/>
        </w:rPr>
        <w:t>a</w:t>
      </w:r>
      <w:r w:rsidRPr="009A0DA6">
        <w:rPr>
          <w:rFonts w:ascii="Cambria" w:eastAsia="Times New Roman" w:hAnsi="Cambria" w:cstheme="minorHAnsi"/>
        </w:rPr>
        <w:t>ti</w:t>
      </w:r>
      <w:r w:rsidRPr="009A0DA6">
        <w:rPr>
          <w:rFonts w:ascii="Cambria" w:eastAsia="Times New Roman" w:hAnsi="Cambria" w:cstheme="minorHAnsi"/>
          <w:spacing w:val="1"/>
        </w:rPr>
        <w:t>o</w:t>
      </w:r>
      <w:r w:rsidRPr="009A0DA6">
        <w:rPr>
          <w:rFonts w:ascii="Cambria" w:eastAsia="Times New Roman" w:hAnsi="Cambria" w:cstheme="minorHAnsi"/>
        </w:rPr>
        <w:t>n</w:t>
      </w:r>
      <w:r w:rsidRPr="009A0DA6">
        <w:rPr>
          <w:rFonts w:ascii="Cambria" w:eastAsia="Times New Roman" w:hAnsi="Cambria" w:cstheme="minorHAnsi"/>
          <w:spacing w:val="-10"/>
        </w:rPr>
        <w:t xml:space="preserve"> </w:t>
      </w:r>
      <w:r w:rsidRPr="009A0DA6">
        <w:rPr>
          <w:rFonts w:ascii="Cambria" w:eastAsia="Times New Roman" w:hAnsi="Cambria" w:cstheme="minorHAnsi"/>
          <w:spacing w:val="1"/>
        </w:rPr>
        <w:t>o</w:t>
      </w:r>
      <w:r w:rsidRPr="009A0DA6">
        <w:rPr>
          <w:rFonts w:ascii="Cambria" w:eastAsia="Times New Roman" w:hAnsi="Cambria" w:cstheme="minorHAnsi"/>
        </w:rPr>
        <w:t>r</w:t>
      </w:r>
      <w:r w:rsidRPr="009A0DA6">
        <w:rPr>
          <w:rFonts w:ascii="Cambria" w:eastAsia="Times New Roman" w:hAnsi="Cambria" w:cstheme="minorHAnsi"/>
          <w:spacing w:val="-1"/>
        </w:rPr>
        <w:t xml:space="preserve"> </w:t>
      </w:r>
      <w:r w:rsidRPr="009A0DA6">
        <w:rPr>
          <w:rFonts w:ascii="Cambria" w:eastAsia="Times New Roman" w:hAnsi="Cambria" w:cstheme="minorHAnsi"/>
        </w:rPr>
        <w:t>to cea</w:t>
      </w:r>
      <w:r w:rsidRPr="009A0DA6">
        <w:rPr>
          <w:rFonts w:ascii="Cambria" w:eastAsia="Times New Roman" w:hAnsi="Cambria" w:cstheme="minorHAnsi"/>
          <w:spacing w:val="-1"/>
        </w:rPr>
        <w:t>s</w:t>
      </w:r>
      <w:r w:rsidRPr="009A0DA6">
        <w:rPr>
          <w:rFonts w:ascii="Cambria" w:eastAsia="Times New Roman" w:hAnsi="Cambria" w:cstheme="minorHAnsi"/>
        </w:rPr>
        <w:t>e</w:t>
      </w:r>
      <w:r w:rsidRPr="009A0DA6">
        <w:rPr>
          <w:rFonts w:ascii="Cambria" w:eastAsia="Times New Roman" w:hAnsi="Cambria" w:cstheme="minorHAnsi"/>
          <w:spacing w:val="-3"/>
        </w:rPr>
        <w:t xml:space="preserve"> </w:t>
      </w:r>
      <w:r w:rsidRPr="009A0DA6">
        <w:rPr>
          <w:rFonts w:ascii="Cambria" w:eastAsia="Times New Roman" w:hAnsi="Cambria" w:cstheme="minorHAnsi"/>
          <w:spacing w:val="1"/>
        </w:rPr>
        <w:t>op</w:t>
      </w:r>
      <w:r w:rsidRPr="009A0DA6">
        <w:rPr>
          <w:rFonts w:ascii="Cambria" w:eastAsia="Times New Roman" w:hAnsi="Cambria" w:cstheme="minorHAnsi"/>
        </w:rPr>
        <w:t>e</w:t>
      </w:r>
      <w:r w:rsidRPr="009A0DA6">
        <w:rPr>
          <w:rFonts w:ascii="Cambria" w:eastAsia="Times New Roman" w:hAnsi="Cambria" w:cstheme="minorHAnsi"/>
          <w:spacing w:val="1"/>
        </w:rPr>
        <w:t>r</w:t>
      </w:r>
      <w:r w:rsidRPr="009A0DA6">
        <w:rPr>
          <w:rFonts w:ascii="Cambria" w:eastAsia="Times New Roman" w:hAnsi="Cambria" w:cstheme="minorHAnsi"/>
        </w:rPr>
        <w:t>ati</w:t>
      </w:r>
      <w:r w:rsidRPr="009A0DA6">
        <w:rPr>
          <w:rFonts w:ascii="Cambria" w:eastAsia="Times New Roman" w:hAnsi="Cambria" w:cstheme="minorHAnsi"/>
          <w:spacing w:val="1"/>
        </w:rPr>
        <w:t>o</w:t>
      </w:r>
      <w:r w:rsidRPr="009A0DA6">
        <w:rPr>
          <w:rFonts w:ascii="Cambria" w:eastAsia="Times New Roman" w:hAnsi="Cambria" w:cstheme="minorHAnsi"/>
          <w:spacing w:val="-1"/>
        </w:rPr>
        <w:t>ns</w:t>
      </w:r>
      <w:r w:rsidRPr="009A0DA6">
        <w:rPr>
          <w:rFonts w:ascii="Cambria" w:eastAsia="Times New Roman" w:hAnsi="Cambria" w:cstheme="minorHAnsi"/>
        </w:rPr>
        <w:t>,</w:t>
      </w:r>
      <w:r w:rsidRPr="009A0DA6">
        <w:rPr>
          <w:rFonts w:ascii="Cambria" w:eastAsia="Times New Roman" w:hAnsi="Cambria" w:cstheme="minorHAnsi"/>
          <w:spacing w:val="-8"/>
        </w:rPr>
        <w:t xml:space="preserve"> </w:t>
      </w:r>
      <w:r w:rsidRPr="009A0DA6">
        <w:rPr>
          <w:rFonts w:ascii="Cambria" w:eastAsia="Times New Roman" w:hAnsi="Cambria" w:cstheme="minorHAnsi"/>
          <w:spacing w:val="1"/>
        </w:rPr>
        <w:t>o</w:t>
      </w:r>
      <w:r w:rsidRPr="009A0DA6">
        <w:rPr>
          <w:rFonts w:ascii="Cambria" w:eastAsia="Times New Roman" w:hAnsi="Cambria" w:cstheme="minorHAnsi"/>
        </w:rPr>
        <w:t>r</w:t>
      </w:r>
      <w:r w:rsidRPr="009A0DA6">
        <w:rPr>
          <w:rFonts w:ascii="Cambria" w:eastAsia="Times New Roman" w:hAnsi="Cambria" w:cstheme="minorHAnsi"/>
          <w:spacing w:val="-3"/>
        </w:rPr>
        <w:t xml:space="preserve"> </w:t>
      </w:r>
      <w:r w:rsidRPr="009A0DA6">
        <w:rPr>
          <w:rFonts w:ascii="Cambria" w:eastAsia="Times New Roman" w:hAnsi="Cambria" w:cstheme="minorHAnsi"/>
          <w:spacing w:val="-1"/>
        </w:rPr>
        <w:t>h</w:t>
      </w:r>
      <w:r w:rsidRPr="009A0DA6">
        <w:rPr>
          <w:rFonts w:ascii="Cambria" w:eastAsia="Times New Roman" w:hAnsi="Cambria" w:cstheme="minorHAnsi"/>
        </w:rPr>
        <w:t>a</w:t>
      </w:r>
      <w:r w:rsidRPr="009A0DA6">
        <w:rPr>
          <w:rFonts w:ascii="Cambria" w:eastAsia="Times New Roman" w:hAnsi="Cambria" w:cstheme="minorHAnsi"/>
          <w:spacing w:val="-1"/>
        </w:rPr>
        <w:t>v</w:t>
      </w:r>
      <w:r w:rsidRPr="009A0DA6">
        <w:rPr>
          <w:rFonts w:ascii="Cambria" w:eastAsia="Times New Roman" w:hAnsi="Cambria" w:cstheme="minorHAnsi"/>
        </w:rPr>
        <w:t>e</w:t>
      </w:r>
      <w:r w:rsidRPr="009A0DA6">
        <w:rPr>
          <w:rFonts w:ascii="Cambria" w:eastAsia="Times New Roman" w:hAnsi="Cambria" w:cstheme="minorHAnsi"/>
          <w:spacing w:val="-1"/>
        </w:rPr>
        <w:t xml:space="preserve"> n</w:t>
      </w:r>
      <w:r w:rsidRPr="009A0DA6">
        <w:rPr>
          <w:rFonts w:ascii="Cambria" w:eastAsia="Times New Roman" w:hAnsi="Cambria" w:cstheme="minorHAnsi"/>
        </w:rPr>
        <w:t xml:space="preserve">o </w:t>
      </w:r>
      <w:r w:rsidRPr="009A0DA6">
        <w:rPr>
          <w:rFonts w:ascii="Cambria" w:eastAsia="Times New Roman" w:hAnsi="Cambria" w:cstheme="minorHAnsi"/>
          <w:spacing w:val="1"/>
        </w:rPr>
        <w:t>r</w:t>
      </w:r>
      <w:r w:rsidRPr="009A0DA6">
        <w:rPr>
          <w:rFonts w:ascii="Cambria" w:eastAsia="Times New Roman" w:hAnsi="Cambria" w:cstheme="minorHAnsi"/>
        </w:rPr>
        <w:t>eali</w:t>
      </w:r>
      <w:r w:rsidRPr="009A0DA6">
        <w:rPr>
          <w:rFonts w:ascii="Cambria" w:eastAsia="Times New Roman" w:hAnsi="Cambria" w:cstheme="minorHAnsi"/>
          <w:spacing w:val="-1"/>
        </w:rPr>
        <w:t>s</w:t>
      </w:r>
      <w:r w:rsidRPr="009A0DA6">
        <w:rPr>
          <w:rFonts w:ascii="Cambria" w:eastAsia="Times New Roman" w:hAnsi="Cambria" w:cstheme="minorHAnsi"/>
        </w:rPr>
        <w:t>tic</w:t>
      </w:r>
      <w:r w:rsidRPr="009A0DA6">
        <w:rPr>
          <w:rFonts w:ascii="Cambria" w:eastAsia="Times New Roman" w:hAnsi="Cambria" w:cstheme="minorHAnsi"/>
          <w:spacing w:val="-5"/>
        </w:rPr>
        <w:t xml:space="preserve"> </w:t>
      </w:r>
      <w:r w:rsidRPr="009A0DA6">
        <w:rPr>
          <w:rFonts w:ascii="Cambria" w:eastAsia="Times New Roman" w:hAnsi="Cambria" w:cstheme="minorHAnsi"/>
        </w:rPr>
        <w:t>alte</w:t>
      </w:r>
      <w:r w:rsidRPr="009A0DA6">
        <w:rPr>
          <w:rFonts w:ascii="Cambria" w:eastAsia="Times New Roman" w:hAnsi="Cambria" w:cstheme="minorHAnsi"/>
          <w:spacing w:val="3"/>
        </w:rPr>
        <w:t>r</w:t>
      </w:r>
      <w:r w:rsidRPr="009A0DA6">
        <w:rPr>
          <w:rFonts w:ascii="Cambria" w:eastAsia="Times New Roman" w:hAnsi="Cambria" w:cstheme="minorHAnsi"/>
          <w:spacing w:val="-1"/>
        </w:rPr>
        <w:t>n</w:t>
      </w:r>
      <w:r w:rsidRPr="009A0DA6">
        <w:rPr>
          <w:rFonts w:ascii="Cambria" w:eastAsia="Times New Roman" w:hAnsi="Cambria" w:cstheme="minorHAnsi"/>
        </w:rPr>
        <w:t>at</w:t>
      </w:r>
      <w:r w:rsidRPr="009A0DA6">
        <w:rPr>
          <w:rFonts w:ascii="Cambria" w:eastAsia="Times New Roman" w:hAnsi="Cambria" w:cstheme="minorHAnsi"/>
          <w:spacing w:val="2"/>
        </w:rPr>
        <w:t>i</w:t>
      </w:r>
      <w:r w:rsidRPr="009A0DA6">
        <w:rPr>
          <w:rFonts w:ascii="Cambria" w:eastAsia="Times New Roman" w:hAnsi="Cambria" w:cstheme="minorHAnsi"/>
          <w:spacing w:val="-1"/>
        </w:rPr>
        <w:t>v</w:t>
      </w:r>
      <w:r w:rsidRPr="009A0DA6">
        <w:rPr>
          <w:rFonts w:ascii="Cambria" w:eastAsia="Times New Roman" w:hAnsi="Cambria" w:cstheme="minorHAnsi"/>
        </w:rPr>
        <w:t>e</w:t>
      </w:r>
      <w:r w:rsidRPr="009A0DA6">
        <w:rPr>
          <w:rFonts w:ascii="Cambria" w:eastAsia="Times New Roman" w:hAnsi="Cambria" w:cstheme="minorHAnsi"/>
          <w:spacing w:val="-7"/>
        </w:rPr>
        <w:t xml:space="preserve"> </w:t>
      </w:r>
      <w:r w:rsidRPr="009A0DA6">
        <w:rPr>
          <w:rFonts w:ascii="Cambria" w:eastAsia="Times New Roman" w:hAnsi="Cambria" w:cstheme="minorHAnsi"/>
          <w:spacing w:val="1"/>
        </w:rPr>
        <w:t>bu</w:t>
      </w:r>
      <w:r w:rsidRPr="009A0DA6">
        <w:rPr>
          <w:rFonts w:ascii="Cambria" w:eastAsia="Times New Roman" w:hAnsi="Cambria" w:cstheme="minorHAnsi"/>
        </w:rPr>
        <w:t>t</w:t>
      </w:r>
      <w:r w:rsidRPr="009A0DA6">
        <w:rPr>
          <w:rFonts w:ascii="Cambria" w:eastAsia="Times New Roman" w:hAnsi="Cambria" w:cstheme="minorHAnsi"/>
          <w:spacing w:val="-3"/>
        </w:rPr>
        <w:t xml:space="preserve"> </w:t>
      </w:r>
      <w:r w:rsidRPr="009A0DA6">
        <w:rPr>
          <w:rFonts w:ascii="Cambria" w:eastAsia="Times New Roman" w:hAnsi="Cambria" w:cstheme="minorHAnsi"/>
        </w:rPr>
        <w:t xml:space="preserve">to </w:t>
      </w:r>
      <w:r w:rsidRPr="009A0DA6">
        <w:rPr>
          <w:rFonts w:ascii="Cambria" w:eastAsia="Times New Roman" w:hAnsi="Cambria" w:cstheme="minorHAnsi"/>
          <w:spacing w:val="1"/>
        </w:rPr>
        <w:t>d</w:t>
      </w:r>
      <w:r w:rsidRPr="009A0DA6">
        <w:rPr>
          <w:rFonts w:ascii="Cambria" w:eastAsia="Times New Roman" w:hAnsi="Cambria" w:cstheme="minorHAnsi"/>
        </w:rPr>
        <w:t xml:space="preserve">o </w:t>
      </w:r>
      <w:r w:rsidRPr="009A0DA6">
        <w:rPr>
          <w:rFonts w:ascii="Cambria" w:eastAsia="Times New Roman" w:hAnsi="Cambria" w:cstheme="minorHAnsi"/>
          <w:spacing w:val="-1"/>
        </w:rPr>
        <w:t>s</w:t>
      </w:r>
      <w:r w:rsidRPr="009A0DA6">
        <w:rPr>
          <w:rFonts w:ascii="Cambria" w:eastAsia="Times New Roman" w:hAnsi="Cambria" w:cstheme="minorHAnsi"/>
          <w:spacing w:val="1"/>
        </w:rPr>
        <w:t>o</w:t>
      </w:r>
      <w:r w:rsidRPr="009A0DA6">
        <w:rPr>
          <w:rFonts w:ascii="Cambria" w:eastAsia="Times New Roman" w:hAnsi="Cambria" w:cstheme="minorHAnsi"/>
        </w:rPr>
        <w:t>.</w:t>
      </w:r>
    </w:p>
    <w:p w14:paraId="1B764793" w14:textId="77777777" w:rsidR="00B81951" w:rsidRPr="007408EE" w:rsidRDefault="00B81951" w:rsidP="00BA4592">
      <w:pPr>
        <w:spacing w:before="120" w:after="120" w:line="240" w:lineRule="auto"/>
        <w:ind w:right="-107"/>
        <w:contextualSpacing/>
        <w:rPr>
          <w:rFonts w:ascii="Cambria" w:eastAsia="Times New Roman" w:hAnsi="Cambria" w:cstheme="minorHAnsi"/>
          <w:i/>
          <w:spacing w:val="1"/>
          <w:sz w:val="10"/>
        </w:rPr>
      </w:pPr>
    </w:p>
    <w:p w14:paraId="3B3846FC" w14:textId="7F23CCD7" w:rsidR="00BA4592" w:rsidRPr="009A0DA6" w:rsidRDefault="00BA4592" w:rsidP="00BA4592">
      <w:pPr>
        <w:spacing w:before="120" w:after="120" w:line="240" w:lineRule="auto"/>
        <w:ind w:right="-107"/>
        <w:contextualSpacing/>
        <w:rPr>
          <w:rFonts w:ascii="Cambria" w:eastAsia="Times New Roman" w:hAnsi="Cambria" w:cstheme="minorHAnsi"/>
          <w:b/>
        </w:rPr>
      </w:pPr>
      <w:r w:rsidRPr="009A0DA6">
        <w:rPr>
          <w:rFonts w:ascii="Cambria" w:eastAsia="Times New Roman" w:hAnsi="Cambria" w:cstheme="minorHAnsi"/>
          <w:b/>
          <w:spacing w:val="1"/>
        </w:rPr>
        <w:t>Aud</w:t>
      </w:r>
      <w:r w:rsidRPr="009A0DA6">
        <w:rPr>
          <w:rFonts w:ascii="Cambria" w:eastAsia="Times New Roman" w:hAnsi="Cambria" w:cstheme="minorHAnsi"/>
          <w:b/>
        </w:rPr>
        <w:t>it</w:t>
      </w:r>
      <w:r w:rsidRPr="009A0DA6">
        <w:rPr>
          <w:rFonts w:ascii="Cambria" w:eastAsia="Times New Roman" w:hAnsi="Cambria" w:cstheme="minorHAnsi"/>
          <w:b/>
          <w:spacing w:val="1"/>
        </w:rPr>
        <w:t>o</w:t>
      </w:r>
      <w:r w:rsidRPr="009A0DA6">
        <w:rPr>
          <w:rFonts w:ascii="Cambria" w:eastAsia="Times New Roman" w:hAnsi="Cambria" w:cstheme="minorHAnsi"/>
          <w:b/>
          <w:spacing w:val="-1"/>
        </w:rPr>
        <w:t>r</w:t>
      </w:r>
      <w:r w:rsidRPr="009A0DA6">
        <w:rPr>
          <w:rFonts w:ascii="Cambria" w:eastAsia="Times New Roman" w:hAnsi="Cambria" w:cstheme="minorHAnsi"/>
          <w:b/>
          <w:spacing w:val="1"/>
        </w:rPr>
        <w:t>’</w:t>
      </w:r>
      <w:r w:rsidRPr="009A0DA6">
        <w:rPr>
          <w:rFonts w:ascii="Cambria" w:eastAsia="Times New Roman" w:hAnsi="Cambria" w:cstheme="minorHAnsi"/>
          <w:b/>
        </w:rPr>
        <w:t>s</w:t>
      </w:r>
      <w:r w:rsidRPr="009A0DA6">
        <w:rPr>
          <w:rFonts w:ascii="Cambria" w:eastAsia="Times New Roman" w:hAnsi="Cambria" w:cstheme="minorHAnsi"/>
          <w:b/>
          <w:spacing w:val="-18"/>
        </w:rPr>
        <w:t xml:space="preserve"> </w:t>
      </w:r>
      <w:r w:rsidRPr="009A0DA6">
        <w:rPr>
          <w:rFonts w:ascii="Cambria" w:eastAsia="Times New Roman" w:hAnsi="Cambria" w:cstheme="minorHAnsi"/>
          <w:b/>
          <w:spacing w:val="1"/>
          <w:w w:val="98"/>
        </w:rPr>
        <w:t>R</w:t>
      </w:r>
      <w:r w:rsidRPr="009A0DA6">
        <w:rPr>
          <w:rFonts w:ascii="Cambria" w:eastAsia="Times New Roman" w:hAnsi="Cambria" w:cstheme="minorHAnsi"/>
          <w:b/>
          <w:w w:val="98"/>
        </w:rPr>
        <w:t>e</w:t>
      </w:r>
      <w:r w:rsidRPr="009A0DA6">
        <w:rPr>
          <w:rFonts w:ascii="Cambria" w:eastAsia="Times New Roman" w:hAnsi="Cambria" w:cstheme="minorHAnsi"/>
          <w:b/>
          <w:spacing w:val="-1"/>
          <w:w w:val="98"/>
        </w:rPr>
        <w:t>s</w:t>
      </w:r>
      <w:r w:rsidRPr="009A0DA6">
        <w:rPr>
          <w:rFonts w:ascii="Cambria" w:eastAsia="Times New Roman" w:hAnsi="Cambria" w:cstheme="minorHAnsi"/>
          <w:b/>
          <w:spacing w:val="1"/>
          <w:w w:val="98"/>
        </w:rPr>
        <w:t>pon</w:t>
      </w:r>
      <w:r w:rsidRPr="009A0DA6">
        <w:rPr>
          <w:rFonts w:ascii="Cambria" w:eastAsia="Times New Roman" w:hAnsi="Cambria" w:cstheme="minorHAnsi"/>
          <w:b/>
          <w:spacing w:val="-1"/>
          <w:w w:val="98"/>
        </w:rPr>
        <w:t>s</w:t>
      </w:r>
      <w:r w:rsidRPr="009A0DA6">
        <w:rPr>
          <w:rFonts w:ascii="Cambria" w:eastAsia="Times New Roman" w:hAnsi="Cambria" w:cstheme="minorHAnsi"/>
          <w:b/>
          <w:w w:val="98"/>
        </w:rPr>
        <w:t>i</w:t>
      </w:r>
      <w:r w:rsidRPr="009A0DA6">
        <w:rPr>
          <w:rFonts w:ascii="Cambria" w:eastAsia="Times New Roman" w:hAnsi="Cambria" w:cstheme="minorHAnsi"/>
          <w:b/>
          <w:spacing w:val="1"/>
          <w:w w:val="98"/>
        </w:rPr>
        <w:t>b</w:t>
      </w:r>
      <w:r w:rsidRPr="009A0DA6">
        <w:rPr>
          <w:rFonts w:ascii="Cambria" w:eastAsia="Times New Roman" w:hAnsi="Cambria" w:cstheme="minorHAnsi"/>
          <w:b/>
          <w:w w:val="98"/>
        </w:rPr>
        <w:t>ilities</w:t>
      </w:r>
      <w:r w:rsidRPr="009A0DA6">
        <w:rPr>
          <w:rFonts w:ascii="Cambria" w:eastAsia="Times New Roman" w:hAnsi="Cambria" w:cstheme="minorHAnsi"/>
          <w:b/>
          <w:spacing w:val="3"/>
          <w:w w:val="98"/>
        </w:rPr>
        <w:t xml:space="preserve"> </w:t>
      </w:r>
      <w:r w:rsidRPr="009A0DA6">
        <w:rPr>
          <w:rFonts w:ascii="Cambria" w:eastAsia="Times New Roman" w:hAnsi="Cambria" w:cstheme="minorHAnsi"/>
          <w:b/>
          <w:w w:val="98"/>
        </w:rPr>
        <w:t>f</w:t>
      </w:r>
      <w:r w:rsidRPr="009A0DA6">
        <w:rPr>
          <w:rFonts w:ascii="Cambria" w:eastAsia="Times New Roman" w:hAnsi="Cambria" w:cstheme="minorHAnsi"/>
          <w:b/>
          <w:spacing w:val="1"/>
          <w:w w:val="98"/>
        </w:rPr>
        <w:t>o</w:t>
      </w:r>
      <w:r w:rsidRPr="009A0DA6">
        <w:rPr>
          <w:rFonts w:ascii="Cambria" w:eastAsia="Times New Roman" w:hAnsi="Cambria" w:cstheme="minorHAnsi"/>
          <w:b/>
          <w:w w:val="98"/>
        </w:rPr>
        <w:t>r</w:t>
      </w:r>
      <w:r w:rsidRPr="009A0DA6">
        <w:rPr>
          <w:rFonts w:ascii="Cambria" w:eastAsia="Times New Roman" w:hAnsi="Cambria" w:cstheme="minorHAnsi"/>
          <w:b/>
          <w:spacing w:val="4"/>
          <w:w w:val="98"/>
        </w:rPr>
        <w:t xml:space="preserve"> </w:t>
      </w:r>
      <w:r w:rsidRPr="009A0DA6">
        <w:rPr>
          <w:rFonts w:ascii="Cambria" w:eastAsia="Times New Roman" w:hAnsi="Cambria" w:cstheme="minorHAnsi"/>
          <w:b/>
        </w:rPr>
        <w:t>t</w:t>
      </w:r>
      <w:r w:rsidRPr="009A0DA6">
        <w:rPr>
          <w:rFonts w:ascii="Cambria" w:eastAsia="Times New Roman" w:hAnsi="Cambria" w:cstheme="minorHAnsi"/>
          <w:b/>
          <w:spacing w:val="1"/>
        </w:rPr>
        <w:t>h</w:t>
      </w:r>
      <w:r w:rsidRPr="009A0DA6">
        <w:rPr>
          <w:rFonts w:ascii="Cambria" w:eastAsia="Times New Roman" w:hAnsi="Cambria" w:cstheme="minorHAnsi"/>
          <w:b/>
        </w:rPr>
        <w:t>e</w:t>
      </w:r>
      <w:r w:rsidRPr="009A0DA6">
        <w:rPr>
          <w:rFonts w:ascii="Cambria" w:eastAsia="Times New Roman" w:hAnsi="Cambria" w:cstheme="minorHAnsi"/>
          <w:b/>
          <w:spacing w:val="-1"/>
        </w:rPr>
        <w:t xml:space="preserve"> </w:t>
      </w:r>
      <w:r w:rsidRPr="009A0DA6">
        <w:rPr>
          <w:rFonts w:ascii="Cambria" w:eastAsia="Times New Roman" w:hAnsi="Cambria" w:cstheme="minorHAnsi"/>
          <w:b/>
          <w:spacing w:val="1"/>
          <w:w w:val="93"/>
        </w:rPr>
        <w:t>Aud</w:t>
      </w:r>
      <w:r w:rsidRPr="009A0DA6">
        <w:rPr>
          <w:rFonts w:ascii="Cambria" w:eastAsia="Times New Roman" w:hAnsi="Cambria" w:cstheme="minorHAnsi"/>
          <w:b/>
          <w:w w:val="93"/>
        </w:rPr>
        <w:t>it</w:t>
      </w:r>
      <w:r w:rsidRPr="009A0DA6">
        <w:rPr>
          <w:rFonts w:ascii="Cambria" w:eastAsia="Times New Roman" w:hAnsi="Cambria" w:cstheme="minorHAnsi"/>
          <w:b/>
          <w:spacing w:val="9"/>
          <w:w w:val="93"/>
        </w:rPr>
        <w:t xml:space="preserve"> </w:t>
      </w:r>
      <w:r w:rsidRPr="009A0DA6">
        <w:rPr>
          <w:rFonts w:ascii="Cambria" w:eastAsia="Times New Roman" w:hAnsi="Cambria" w:cstheme="minorHAnsi"/>
          <w:b/>
          <w:spacing w:val="1"/>
          <w:w w:val="93"/>
        </w:rPr>
        <w:t>o</w:t>
      </w:r>
      <w:r w:rsidRPr="009A0DA6">
        <w:rPr>
          <w:rFonts w:ascii="Cambria" w:eastAsia="Times New Roman" w:hAnsi="Cambria" w:cstheme="minorHAnsi"/>
          <w:b/>
          <w:w w:val="93"/>
        </w:rPr>
        <w:t>f</w:t>
      </w:r>
      <w:r w:rsidRPr="009A0DA6">
        <w:rPr>
          <w:rFonts w:ascii="Cambria" w:eastAsia="Times New Roman" w:hAnsi="Cambria" w:cstheme="minorHAnsi"/>
          <w:b/>
          <w:spacing w:val="3"/>
          <w:w w:val="93"/>
        </w:rPr>
        <w:t xml:space="preserve"> </w:t>
      </w:r>
      <w:r w:rsidRPr="009A0DA6">
        <w:rPr>
          <w:rFonts w:ascii="Cambria" w:eastAsia="Times New Roman" w:hAnsi="Cambria" w:cstheme="minorHAnsi"/>
          <w:b/>
        </w:rPr>
        <w:t>t</w:t>
      </w:r>
      <w:r w:rsidRPr="009A0DA6">
        <w:rPr>
          <w:rFonts w:ascii="Cambria" w:eastAsia="Times New Roman" w:hAnsi="Cambria" w:cstheme="minorHAnsi"/>
          <w:b/>
          <w:spacing w:val="1"/>
        </w:rPr>
        <w:t>h</w:t>
      </w:r>
      <w:r w:rsidRPr="009A0DA6">
        <w:rPr>
          <w:rFonts w:ascii="Cambria" w:eastAsia="Times New Roman" w:hAnsi="Cambria" w:cstheme="minorHAnsi"/>
          <w:b/>
        </w:rPr>
        <w:t>e</w:t>
      </w:r>
      <w:r w:rsidRPr="009A0DA6">
        <w:rPr>
          <w:rFonts w:ascii="Cambria" w:eastAsia="Times New Roman" w:hAnsi="Cambria" w:cstheme="minorHAnsi"/>
          <w:b/>
          <w:spacing w:val="-4"/>
        </w:rPr>
        <w:t xml:space="preserve"> </w:t>
      </w:r>
      <w:r w:rsidRPr="009A0DA6">
        <w:rPr>
          <w:rFonts w:ascii="Cambria" w:eastAsia="Times New Roman" w:hAnsi="Cambria" w:cstheme="minorHAnsi"/>
          <w:b/>
          <w:spacing w:val="1"/>
        </w:rPr>
        <w:t>F</w:t>
      </w:r>
      <w:r w:rsidRPr="009A0DA6">
        <w:rPr>
          <w:rFonts w:ascii="Cambria" w:eastAsia="Times New Roman" w:hAnsi="Cambria" w:cstheme="minorHAnsi"/>
          <w:b/>
        </w:rPr>
        <w:t>i</w:t>
      </w:r>
      <w:r w:rsidRPr="009A0DA6">
        <w:rPr>
          <w:rFonts w:ascii="Cambria" w:eastAsia="Times New Roman" w:hAnsi="Cambria" w:cstheme="minorHAnsi"/>
          <w:b/>
          <w:spacing w:val="1"/>
        </w:rPr>
        <w:t>n</w:t>
      </w:r>
      <w:r w:rsidRPr="009A0DA6">
        <w:rPr>
          <w:rFonts w:ascii="Cambria" w:eastAsia="Times New Roman" w:hAnsi="Cambria" w:cstheme="minorHAnsi"/>
          <w:b/>
          <w:spacing w:val="-1"/>
        </w:rPr>
        <w:t>a</w:t>
      </w:r>
      <w:r w:rsidRPr="009A0DA6">
        <w:rPr>
          <w:rFonts w:ascii="Cambria" w:eastAsia="Times New Roman" w:hAnsi="Cambria" w:cstheme="minorHAnsi"/>
          <w:b/>
          <w:spacing w:val="1"/>
        </w:rPr>
        <w:t>n</w:t>
      </w:r>
      <w:r w:rsidRPr="009A0DA6">
        <w:rPr>
          <w:rFonts w:ascii="Cambria" w:eastAsia="Times New Roman" w:hAnsi="Cambria" w:cstheme="minorHAnsi"/>
          <w:b/>
        </w:rPr>
        <w:t>ci</w:t>
      </w:r>
      <w:r w:rsidRPr="009A0DA6">
        <w:rPr>
          <w:rFonts w:ascii="Cambria" w:eastAsia="Times New Roman" w:hAnsi="Cambria" w:cstheme="minorHAnsi"/>
          <w:b/>
          <w:spacing w:val="1"/>
        </w:rPr>
        <w:t>a</w:t>
      </w:r>
      <w:r w:rsidRPr="009A0DA6">
        <w:rPr>
          <w:rFonts w:ascii="Cambria" w:eastAsia="Times New Roman" w:hAnsi="Cambria" w:cstheme="minorHAnsi"/>
          <w:b/>
        </w:rPr>
        <w:t>l</w:t>
      </w:r>
      <w:r w:rsidRPr="009A0DA6">
        <w:rPr>
          <w:rFonts w:ascii="Cambria" w:eastAsia="Times New Roman" w:hAnsi="Cambria" w:cstheme="minorHAnsi"/>
          <w:b/>
          <w:spacing w:val="27"/>
        </w:rPr>
        <w:t xml:space="preserve"> </w:t>
      </w:r>
      <w:r w:rsidRPr="009A0DA6">
        <w:rPr>
          <w:rFonts w:ascii="Cambria" w:eastAsia="Times New Roman" w:hAnsi="Cambria" w:cstheme="minorHAnsi"/>
          <w:b/>
          <w:spacing w:val="1"/>
        </w:rPr>
        <w:t>R</w:t>
      </w:r>
      <w:r w:rsidRPr="009A0DA6">
        <w:rPr>
          <w:rFonts w:ascii="Cambria" w:eastAsia="Times New Roman" w:hAnsi="Cambria" w:cstheme="minorHAnsi"/>
          <w:b/>
        </w:rPr>
        <w:t>e</w:t>
      </w:r>
      <w:r w:rsidRPr="009A0DA6">
        <w:rPr>
          <w:rFonts w:ascii="Cambria" w:eastAsia="Times New Roman" w:hAnsi="Cambria" w:cstheme="minorHAnsi"/>
          <w:b/>
          <w:spacing w:val="-1"/>
        </w:rPr>
        <w:t>p</w:t>
      </w:r>
      <w:r w:rsidRPr="009A0DA6">
        <w:rPr>
          <w:rFonts w:ascii="Cambria" w:eastAsia="Times New Roman" w:hAnsi="Cambria" w:cstheme="minorHAnsi"/>
          <w:b/>
          <w:spacing w:val="1"/>
        </w:rPr>
        <w:t>o</w:t>
      </w:r>
      <w:r w:rsidRPr="009A0DA6">
        <w:rPr>
          <w:rFonts w:ascii="Cambria" w:eastAsia="Times New Roman" w:hAnsi="Cambria" w:cstheme="minorHAnsi"/>
          <w:b/>
          <w:spacing w:val="-1"/>
        </w:rPr>
        <w:t>r</w:t>
      </w:r>
      <w:r w:rsidRPr="009A0DA6">
        <w:rPr>
          <w:rFonts w:ascii="Cambria" w:eastAsia="Times New Roman" w:hAnsi="Cambria" w:cstheme="minorHAnsi"/>
          <w:b/>
        </w:rPr>
        <w:t>t</w:t>
      </w:r>
    </w:p>
    <w:p w14:paraId="7907F32E" w14:textId="000F009B" w:rsidR="00BA4592" w:rsidRPr="009A0DA6" w:rsidRDefault="00BA4592" w:rsidP="00BA4592">
      <w:pPr>
        <w:spacing w:before="120" w:after="120" w:line="240" w:lineRule="auto"/>
        <w:ind w:right="-107"/>
        <w:contextualSpacing/>
        <w:rPr>
          <w:rFonts w:ascii="Cambria" w:eastAsia="Times New Roman" w:hAnsi="Cambria" w:cstheme="minorHAnsi"/>
        </w:rPr>
      </w:pPr>
      <w:r w:rsidRPr="009A0DA6">
        <w:rPr>
          <w:rFonts w:ascii="Cambria" w:eastAsia="Times New Roman" w:hAnsi="Cambria" w:cstheme="minorHAnsi"/>
        </w:rPr>
        <w:t>O</w:t>
      </w:r>
      <w:r w:rsidRPr="009A0DA6">
        <w:rPr>
          <w:rFonts w:ascii="Cambria" w:eastAsia="Times New Roman" w:hAnsi="Cambria" w:cstheme="minorHAnsi"/>
          <w:spacing w:val="-1"/>
        </w:rPr>
        <w:t>u</w:t>
      </w:r>
      <w:r w:rsidRPr="009A0DA6">
        <w:rPr>
          <w:rFonts w:ascii="Cambria" w:eastAsia="Times New Roman" w:hAnsi="Cambria" w:cstheme="minorHAnsi"/>
        </w:rPr>
        <w:t>r</w:t>
      </w:r>
      <w:r w:rsidRPr="009A0DA6">
        <w:rPr>
          <w:rFonts w:ascii="Cambria" w:eastAsia="Times New Roman" w:hAnsi="Cambria" w:cstheme="minorHAnsi"/>
          <w:spacing w:val="7"/>
        </w:rPr>
        <w:t xml:space="preserve"> </w:t>
      </w:r>
      <w:r w:rsidRPr="009A0DA6">
        <w:rPr>
          <w:rFonts w:ascii="Cambria" w:eastAsia="Times New Roman" w:hAnsi="Cambria" w:cstheme="minorHAnsi"/>
          <w:spacing w:val="1"/>
        </w:rPr>
        <w:t>ob</w:t>
      </w:r>
      <w:r w:rsidRPr="009A0DA6">
        <w:rPr>
          <w:rFonts w:ascii="Cambria" w:eastAsia="Times New Roman" w:hAnsi="Cambria" w:cstheme="minorHAnsi"/>
          <w:spacing w:val="2"/>
        </w:rPr>
        <w:t>j</w:t>
      </w:r>
      <w:r w:rsidRPr="009A0DA6">
        <w:rPr>
          <w:rFonts w:ascii="Cambria" w:eastAsia="Times New Roman" w:hAnsi="Cambria" w:cstheme="minorHAnsi"/>
        </w:rPr>
        <w:t>ecti</w:t>
      </w:r>
      <w:r w:rsidRPr="009A0DA6">
        <w:rPr>
          <w:rFonts w:ascii="Cambria" w:eastAsia="Times New Roman" w:hAnsi="Cambria" w:cstheme="minorHAnsi"/>
          <w:spacing w:val="-1"/>
        </w:rPr>
        <w:t>v</w:t>
      </w:r>
      <w:r w:rsidRPr="009A0DA6">
        <w:rPr>
          <w:rFonts w:ascii="Cambria" w:eastAsia="Times New Roman" w:hAnsi="Cambria" w:cstheme="minorHAnsi"/>
        </w:rPr>
        <w:t>es a</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7"/>
        </w:rPr>
        <w:t xml:space="preserve"> </w:t>
      </w:r>
      <w:r w:rsidRPr="009A0DA6">
        <w:rPr>
          <w:rFonts w:ascii="Cambria" w:eastAsia="Times New Roman" w:hAnsi="Cambria" w:cstheme="minorHAnsi"/>
        </w:rPr>
        <w:t>to</w:t>
      </w:r>
      <w:r w:rsidRPr="009A0DA6">
        <w:rPr>
          <w:rFonts w:ascii="Cambria" w:eastAsia="Times New Roman" w:hAnsi="Cambria" w:cstheme="minorHAnsi"/>
          <w:spacing w:val="9"/>
        </w:rPr>
        <w:t xml:space="preserve"> </w:t>
      </w:r>
      <w:r w:rsidRPr="009A0DA6">
        <w:rPr>
          <w:rFonts w:ascii="Cambria" w:eastAsia="Times New Roman" w:hAnsi="Cambria" w:cstheme="minorHAnsi"/>
          <w:spacing w:val="1"/>
        </w:rPr>
        <w:t>ob</w:t>
      </w:r>
      <w:r w:rsidRPr="009A0DA6">
        <w:rPr>
          <w:rFonts w:ascii="Cambria" w:eastAsia="Times New Roman" w:hAnsi="Cambria" w:cstheme="minorHAnsi"/>
        </w:rPr>
        <w:t>tain</w:t>
      </w:r>
      <w:r w:rsidRPr="009A0DA6">
        <w:rPr>
          <w:rFonts w:ascii="Cambria" w:eastAsia="Times New Roman" w:hAnsi="Cambria" w:cstheme="minorHAnsi"/>
          <w:spacing w:val="3"/>
        </w:rPr>
        <w:t xml:space="preserve"> </w:t>
      </w:r>
      <w:r w:rsidRPr="009A0DA6">
        <w:rPr>
          <w:rFonts w:ascii="Cambria" w:eastAsia="Times New Roman" w:hAnsi="Cambria" w:cstheme="minorHAnsi"/>
          <w:spacing w:val="1"/>
        </w:rPr>
        <w:t>r</w:t>
      </w:r>
      <w:r w:rsidRPr="009A0DA6">
        <w:rPr>
          <w:rFonts w:ascii="Cambria" w:eastAsia="Times New Roman" w:hAnsi="Cambria" w:cstheme="minorHAnsi"/>
        </w:rPr>
        <w:t>ea</w:t>
      </w:r>
      <w:r w:rsidRPr="009A0DA6">
        <w:rPr>
          <w:rFonts w:ascii="Cambria" w:eastAsia="Times New Roman" w:hAnsi="Cambria" w:cstheme="minorHAnsi"/>
          <w:spacing w:val="-1"/>
        </w:rPr>
        <w:t>s</w:t>
      </w:r>
      <w:r w:rsidRPr="009A0DA6">
        <w:rPr>
          <w:rFonts w:ascii="Cambria" w:eastAsia="Times New Roman" w:hAnsi="Cambria" w:cstheme="minorHAnsi"/>
          <w:spacing w:val="1"/>
        </w:rPr>
        <w:t>o</w:t>
      </w:r>
      <w:r w:rsidRPr="009A0DA6">
        <w:rPr>
          <w:rFonts w:ascii="Cambria" w:eastAsia="Times New Roman" w:hAnsi="Cambria" w:cstheme="minorHAnsi"/>
          <w:spacing w:val="-1"/>
        </w:rPr>
        <w:t>n</w:t>
      </w:r>
      <w:r w:rsidRPr="009A0DA6">
        <w:rPr>
          <w:rFonts w:ascii="Cambria" w:eastAsia="Times New Roman" w:hAnsi="Cambria" w:cstheme="minorHAnsi"/>
        </w:rPr>
        <w:t>a</w:t>
      </w:r>
      <w:r w:rsidRPr="009A0DA6">
        <w:rPr>
          <w:rFonts w:ascii="Cambria" w:eastAsia="Times New Roman" w:hAnsi="Cambria" w:cstheme="minorHAnsi"/>
          <w:spacing w:val="1"/>
        </w:rPr>
        <w:t>b</w:t>
      </w:r>
      <w:r w:rsidRPr="009A0DA6">
        <w:rPr>
          <w:rFonts w:ascii="Cambria" w:eastAsia="Times New Roman" w:hAnsi="Cambria" w:cstheme="minorHAnsi"/>
        </w:rPr>
        <w:t>le</w:t>
      </w:r>
      <w:r w:rsidRPr="009A0DA6">
        <w:rPr>
          <w:rFonts w:ascii="Cambria" w:eastAsia="Times New Roman" w:hAnsi="Cambria" w:cstheme="minorHAnsi"/>
          <w:spacing w:val="1"/>
        </w:rPr>
        <w:t xml:space="preserve"> </w:t>
      </w:r>
      <w:r w:rsidRPr="009A0DA6">
        <w:rPr>
          <w:rFonts w:ascii="Cambria" w:eastAsia="Times New Roman" w:hAnsi="Cambria" w:cstheme="minorHAnsi"/>
        </w:rPr>
        <w:t>a</w:t>
      </w:r>
      <w:r w:rsidRPr="009A0DA6">
        <w:rPr>
          <w:rFonts w:ascii="Cambria" w:eastAsia="Times New Roman" w:hAnsi="Cambria" w:cstheme="minorHAnsi"/>
          <w:spacing w:val="-1"/>
        </w:rPr>
        <w:t>s</w:t>
      </w:r>
      <w:r w:rsidRPr="009A0DA6">
        <w:rPr>
          <w:rFonts w:ascii="Cambria" w:eastAsia="Times New Roman" w:hAnsi="Cambria" w:cstheme="minorHAnsi"/>
          <w:spacing w:val="2"/>
        </w:rPr>
        <w:t>s</w:t>
      </w:r>
      <w:r w:rsidRPr="009A0DA6">
        <w:rPr>
          <w:rFonts w:ascii="Cambria" w:eastAsia="Times New Roman" w:hAnsi="Cambria" w:cstheme="minorHAnsi"/>
          <w:spacing w:val="-1"/>
        </w:rPr>
        <w:t>u</w:t>
      </w:r>
      <w:r w:rsidRPr="009A0DA6">
        <w:rPr>
          <w:rFonts w:ascii="Cambria" w:eastAsia="Times New Roman" w:hAnsi="Cambria" w:cstheme="minorHAnsi"/>
          <w:spacing w:val="1"/>
        </w:rPr>
        <w:t>r</w:t>
      </w:r>
      <w:r w:rsidRPr="009A0DA6">
        <w:rPr>
          <w:rFonts w:ascii="Cambria" w:eastAsia="Times New Roman" w:hAnsi="Cambria" w:cstheme="minorHAnsi"/>
          <w:spacing w:val="3"/>
        </w:rPr>
        <w:t>a</w:t>
      </w:r>
      <w:r w:rsidRPr="009A0DA6">
        <w:rPr>
          <w:rFonts w:ascii="Cambria" w:eastAsia="Times New Roman" w:hAnsi="Cambria" w:cstheme="minorHAnsi"/>
          <w:spacing w:val="-1"/>
        </w:rPr>
        <w:t>n</w:t>
      </w:r>
      <w:r w:rsidRPr="009A0DA6">
        <w:rPr>
          <w:rFonts w:ascii="Cambria" w:eastAsia="Times New Roman" w:hAnsi="Cambria" w:cstheme="minorHAnsi"/>
        </w:rPr>
        <w:t>ce</w:t>
      </w:r>
      <w:r w:rsidRPr="009A0DA6">
        <w:rPr>
          <w:rFonts w:ascii="Cambria" w:eastAsia="Times New Roman" w:hAnsi="Cambria" w:cstheme="minorHAnsi"/>
          <w:spacing w:val="1"/>
        </w:rPr>
        <w:t xml:space="preserve"> </w:t>
      </w:r>
      <w:r w:rsidRPr="009A0DA6">
        <w:rPr>
          <w:rFonts w:ascii="Cambria" w:eastAsia="Times New Roman" w:hAnsi="Cambria" w:cstheme="minorHAnsi"/>
        </w:rPr>
        <w:t>a</w:t>
      </w:r>
      <w:r w:rsidRPr="009A0DA6">
        <w:rPr>
          <w:rFonts w:ascii="Cambria" w:eastAsia="Times New Roman" w:hAnsi="Cambria" w:cstheme="minorHAnsi"/>
          <w:spacing w:val="1"/>
        </w:rPr>
        <w:t>bo</w:t>
      </w:r>
      <w:r w:rsidRPr="009A0DA6">
        <w:rPr>
          <w:rFonts w:ascii="Cambria" w:eastAsia="Times New Roman" w:hAnsi="Cambria" w:cstheme="minorHAnsi"/>
          <w:spacing w:val="-1"/>
        </w:rPr>
        <w:t>u</w:t>
      </w:r>
      <w:r w:rsidRPr="009A0DA6">
        <w:rPr>
          <w:rFonts w:ascii="Cambria" w:eastAsia="Times New Roman" w:hAnsi="Cambria" w:cstheme="minorHAnsi"/>
        </w:rPr>
        <w:t>t</w:t>
      </w:r>
      <w:r w:rsidRPr="009A0DA6">
        <w:rPr>
          <w:rFonts w:ascii="Cambria" w:eastAsia="Times New Roman" w:hAnsi="Cambria" w:cstheme="minorHAnsi"/>
          <w:spacing w:val="7"/>
        </w:rPr>
        <w:t xml:space="preserve"> </w:t>
      </w:r>
      <w:r w:rsidRPr="009A0DA6">
        <w:rPr>
          <w:rFonts w:ascii="Cambria" w:eastAsia="Times New Roman" w:hAnsi="Cambria" w:cstheme="minorHAnsi"/>
          <w:spacing w:val="-2"/>
        </w:rPr>
        <w:t>w</w:t>
      </w:r>
      <w:r w:rsidRPr="009A0DA6">
        <w:rPr>
          <w:rFonts w:ascii="Cambria" w:eastAsia="Times New Roman" w:hAnsi="Cambria" w:cstheme="minorHAnsi"/>
          <w:spacing w:val="4"/>
        </w:rPr>
        <w:t>h</w:t>
      </w:r>
      <w:r w:rsidRPr="009A0DA6">
        <w:rPr>
          <w:rFonts w:ascii="Cambria" w:eastAsia="Times New Roman" w:hAnsi="Cambria" w:cstheme="minorHAnsi"/>
        </w:rPr>
        <w:t>et</w:t>
      </w:r>
      <w:r w:rsidRPr="009A0DA6">
        <w:rPr>
          <w:rFonts w:ascii="Cambria" w:eastAsia="Times New Roman" w:hAnsi="Cambria" w:cstheme="minorHAnsi"/>
          <w:spacing w:val="-1"/>
        </w:rPr>
        <w:t>h</w:t>
      </w:r>
      <w:r w:rsidRPr="009A0DA6">
        <w:rPr>
          <w:rFonts w:ascii="Cambria" w:eastAsia="Times New Roman" w:hAnsi="Cambria" w:cstheme="minorHAnsi"/>
        </w:rPr>
        <w:t>er</w:t>
      </w:r>
      <w:r w:rsidRPr="009A0DA6">
        <w:rPr>
          <w:rFonts w:ascii="Cambria" w:eastAsia="Times New Roman" w:hAnsi="Cambria" w:cstheme="minorHAnsi"/>
          <w:spacing w:val="4"/>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10"/>
        </w:rPr>
        <w:t xml:space="preserve"> </w:t>
      </w:r>
      <w:r w:rsidRPr="009A0DA6">
        <w:rPr>
          <w:rFonts w:ascii="Cambria" w:eastAsia="Times New Roman" w:hAnsi="Cambria" w:cstheme="minorHAnsi"/>
          <w:spacing w:val="-1"/>
        </w:rPr>
        <w:t>f</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spacing w:val="3"/>
        </w:rPr>
        <w:t>a</w:t>
      </w:r>
      <w:r w:rsidRPr="009A0DA6">
        <w:rPr>
          <w:rFonts w:ascii="Cambria" w:eastAsia="Times New Roman" w:hAnsi="Cambria" w:cstheme="minorHAnsi"/>
          <w:spacing w:val="-1"/>
        </w:rPr>
        <w:t>n</w:t>
      </w:r>
      <w:r w:rsidRPr="009A0DA6">
        <w:rPr>
          <w:rFonts w:ascii="Cambria" w:eastAsia="Times New Roman" w:hAnsi="Cambria" w:cstheme="minorHAnsi"/>
        </w:rPr>
        <w:t>cial</w:t>
      </w:r>
      <w:r w:rsidRPr="009A0DA6">
        <w:rPr>
          <w:rFonts w:ascii="Cambria" w:eastAsia="Times New Roman" w:hAnsi="Cambria" w:cstheme="minorHAnsi"/>
          <w:spacing w:val="2"/>
        </w:rPr>
        <w:t xml:space="preserve"> </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1"/>
        </w:rPr>
        <w:t>por</w:t>
      </w:r>
      <w:r w:rsidRPr="009A0DA6">
        <w:rPr>
          <w:rFonts w:ascii="Cambria" w:eastAsia="Times New Roman" w:hAnsi="Cambria" w:cstheme="minorHAnsi"/>
        </w:rPr>
        <w:t>t</w:t>
      </w:r>
      <w:r w:rsidRPr="009A0DA6">
        <w:rPr>
          <w:rFonts w:ascii="Cambria" w:eastAsia="Times New Roman" w:hAnsi="Cambria" w:cstheme="minorHAnsi"/>
          <w:spacing w:val="4"/>
        </w:rPr>
        <w:t xml:space="preserve"> </w:t>
      </w:r>
      <w:r w:rsidRPr="009A0DA6">
        <w:rPr>
          <w:rFonts w:ascii="Cambria" w:eastAsia="Times New Roman" w:hAnsi="Cambria" w:cstheme="minorHAnsi"/>
        </w:rPr>
        <w:t>as</w:t>
      </w:r>
      <w:r w:rsidRPr="009A0DA6">
        <w:rPr>
          <w:rFonts w:ascii="Cambria" w:eastAsia="Times New Roman" w:hAnsi="Cambria" w:cstheme="minorHAnsi"/>
          <w:spacing w:val="6"/>
        </w:rPr>
        <w:t xml:space="preserve"> </w:t>
      </w:r>
      <w:r w:rsidRPr="009A0DA6">
        <w:rPr>
          <w:rFonts w:ascii="Cambria" w:eastAsia="Times New Roman" w:hAnsi="Cambria" w:cstheme="minorHAnsi"/>
        </w:rPr>
        <w:t>a</w:t>
      </w:r>
      <w:r w:rsidRPr="009A0DA6">
        <w:rPr>
          <w:rFonts w:ascii="Cambria" w:eastAsia="Times New Roman" w:hAnsi="Cambria" w:cstheme="minorHAnsi"/>
          <w:spacing w:val="11"/>
        </w:rPr>
        <w:t xml:space="preserve"> </w:t>
      </w:r>
      <w:r w:rsidRPr="009A0DA6">
        <w:rPr>
          <w:rFonts w:ascii="Cambria" w:eastAsia="Times New Roman" w:hAnsi="Cambria" w:cstheme="minorHAnsi"/>
          <w:spacing w:val="-2"/>
        </w:rPr>
        <w:t>w</w:t>
      </w:r>
      <w:r w:rsidRPr="009A0DA6">
        <w:rPr>
          <w:rFonts w:ascii="Cambria" w:eastAsia="Times New Roman" w:hAnsi="Cambria" w:cstheme="minorHAnsi"/>
          <w:spacing w:val="1"/>
        </w:rPr>
        <w:t>ho</w:t>
      </w:r>
      <w:r w:rsidRPr="009A0DA6">
        <w:rPr>
          <w:rFonts w:ascii="Cambria" w:eastAsia="Times New Roman" w:hAnsi="Cambria" w:cstheme="minorHAnsi"/>
        </w:rPr>
        <w:t>le</w:t>
      </w:r>
      <w:r w:rsidRPr="009A0DA6">
        <w:rPr>
          <w:rFonts w:ascii="Cambria" w:eastAsia="Times New Roman" w:hAnsi="Cambria" w:cstheme="minorHAnsi"/>
          <w:spacing w:val="4"/>
        </w:rPr>
        <w:t xml:space="preserve"> </w:t>
      </w:r>
      <w:r w:rsidRPr="009A0DA6">
        <w:rPr>
          <w:rFonts w:ascii="Cambria" w:eastAsia="Times New Roman" w:hAnsi="Cambria" w:cstheme="minorHAnsi"/>
        </w:rPr>
        <w:t>is</w:t>
      </w:r>
      <w:r w:rsidRPr="009A0DA6">
        <w:rPr>
          <w:rFonts w:ascii="Cambria" w:eastAsia="Times New Roman" w:hAnsi="Cambria" w:cstheme="minorHAnsi"/>
          <w:spacing w:val="10"/>
        </w:rPr>
        <w:t xml:space="preserve"> </w:t>
      </w:r>
      <w:r w:rsidRPr="009A0DA6">
        <w:rPr>
          <w:rFonts w:ascii="Cambria" w:eastAsia="Times New Roman" w:hAnsi="Cambria" w:cstheme="minorHAnsi"/>
          <w:spacing w:val="-1"/>
        </w:rPr>
        <w:t>f</w:t>
      </w:r>
      <w:r w:rsidRPr="009A0DA6">
        <w:rPr>
          <w:rFonts w:ascii="Cambria" w:eastAsia="Times New Roman" w:hAnsi="Cambria" w:cstheme="minorHAnsi"/>
          <w:spacing w:val="1"/>
        </w:rPr>
        <w:t>r</w:t>
      </w:r>
      <w:r w:rsidRPr="009A0DA6">
        <w:rPr>
          <w:rFonts w:ascii="Cambria" w:eastAsia="Times New Roman" w:hAnsi="Cambria" w:cstheme="minorHAnsi"/>
        </w:rPr>
        <w:t xml:space="preserve">ee </w:t>
      </w:r>
      <w:r w:rsidRPr="009A0DA6">
        <w:rPr>
          <w:rFonts w:ascii="Cambria" w:eastAsia="Times New Roman" w:hAnsi="Cambria" w:cstheme="minorHAnsi"/>
          <w:spacing w:val="-1"/>
        </w:rPr>
        <w:t>f</w:t>
      </w:r>
      <w:r w:rsidRPr="009A0DA6">
        <w:rPr>
          <w:rFonts w:ascii="Cambria" w:eastAsia="Times New Roman" w:hAnsi="Cambria" w:cstheme="minorHAnsi"/>
          <w:spacing w:val="1"/>
        </w:rPr>
        <w:t>r</w:t>
      </w:r>
      <w:r w:rsidRPr="009A0DA6">
        <w:rPr>
          <w:rFonts w:ascii="Cambria" w:eastAsia="Times New Roman" w:hAnsi="Cambria" w:cstheme="minorHAnsi"/>
          <w:spacing w:val="4"/>
        </w:rPr>
        <w:t>o</w:t>
      </w:r>
      <w:r w:rsidRPr="009A0DA6">
        <w:rPr>
          <w:rFonts w:ascii="Cambria" w:eastAsia="Times New Roman" w:hAnsi="Cambria" w:cstheme="minorHAnsi"/>
        </w:rPr>
        <w:t xml:space="preserve">m </w:t>
      </w:r>
      <w:r w:rsidRPr="009A0DA6">
        <w:rPr>
          <w:rFonts w:ascii="Cambria" w:eastAsia="Times New Roman" w:hAnsi="Cambria" w:cstheme="minorHAnsi"/>
          <w:spacing w:val="-4"/>
        </w:rPr>
        <w:t>m</w:t>
      </w:r>
      <w:r w:rsidRPr="009A0DA6">
        <w:rPr>
          <w:rFonts w:ascii="Cambria" w:eastAsia="Times New Roman" w:hAnsi="Cambria" w:cstheme="minorHAnsi"/>
        </w:rPr>
        <w:t>ate</w:t>
      </w:r>
      <w:r w:rsidRPr="009A0DA6">
        <w:rPr>
          <w:rFonts w:ascii="Cambria" w:eastAsia="Times New Roman" w:hAnsi="Cambria" w:cstheme="minorHAnsi"/>
          <w:spacing w:val="1"/>
        </w:rPr>
        <w:t>r</w:t>
      </w:r>
      <w:r w:rsidRPr="009A0DA6">
        <w:rPr>
          <w:rFonts w:ascii="Cambria" w:eastAsia="Times New Roman" w:hAnsi="Cambria" w:cstheme="minorHAnsi"/>
        </w:rPr>
        <w:t xml:space="preserve">ial </w:t>
      </w:r>
      <w:r w:rsidRPr="009A0DA6">
        <w:rPr>
          <w:rFonts w:ascii="Cambria" w:eastAsia="Times New Roman" w:hAnsi="Cambria" w:cstheme="minorHAnsi"/>
          <w:spacing w:val="-1"/>
        </w:rPr>
        <w:t>m</w:t>
      </w:r>
      <w:r w:rsidRPr="009A0DA6">
        <w:rPr>
          <w:rFonts w:ascii="Cambria" w:eastAsia="Times New Roman" w:hAnsi="Cambria" w:cstheme="minorHAnsi"/>
        </w:rPr>
        <w:t>i</w:t>
      </w:r>
      <w:r w:rsidRPr="009A0DA6">
        <w:rPr>
          <w:rFonts w:ascii="Cambria" w:eastAsia="Times New Roman" w:hAnsi="Cambria" w:cstheme="minorHAnsi"/>
          <w:spacing w:val="2"/>
        </w:rPr>
        <w:t>s</w:t>
      </w:r>
      <w:r w:rsidRPr="009A0DA6">
        <w:rPr>
          <w:rFonts w:ascii="Cambria" w:eastAsia="Times New Roman" w:hAnsi="Cambria" w:cstheme="minorHAnsi"/>
          <w:spacing w:val="-1"/>
        </w:rPr>
        <w:t>s</w:t>
      </w:r>
      <w:r w:rsidRPr="009A0DA6">
        <w:rPr>
          <w:rFonts w:ascii="Cambria" w:eastAsia="Times New Roman" w:hAnsi="Cambria" w:cstheme="minorHAnsi"/>
        </w:rPr>
        <w:t>tat</w:t>
      </w:r>
      <w:r w:rsidRPr="009A0DA6">
        <w:rPr>
          <w:rFonts w:ascii="Cambria" w:eastAsia="Times New Roman" w:hAnsi="Cambria" w:cstheme="minorHAnsi"/>
          <w:spacing w:val="3"/>
        </w:rPr>
        <w:t>e</w:t>
      </w:r>
      <w:r w:rsidRPr="009A0DA6">
        <w:rPr>
          <w:rFonts w:ascii="Cambria" w:eastAsia="Times New Roman" w:hAnsi="Cambria" w:cstheme="minorHAnsi"/>
          <w:spacing w:val="-1"/>
        </w:rPr>
        <w:t>m</w:t>
      </w:r>
      <w:r w:rsidRPr="009A0DA6">
        <w:rPr>
          <w:rFonts w:ascii="Cambria" w:eastAsia="Times New Roman" w:hAnsi="Cambria" w:cstheme="minorHAnsi"/>
          <w:spacing w:val="3"/>
        </w:rPr>
        <w:t>e</w:t>
      </w:r>
      <w:r w:rsidRPr="009A0DA6">
        <w:rPr>
          <w:rFonts w:ascii="Cambria" w:eastAsia="Times New Roman" w:hAnsi="Cambria" w:cstheme="minorHAnsi"/>
          <w:spacing w:val="-1"/>
        </w:rPr>
        <w:t>n</w:t>
      </w:r>
      <w:r w:rsidRPr="009A0DA6">
        <w:rPr>
          <w:rFonts w:ascii="Cambria" w:eastAsia="Times New Roman" w:hAnsi="Cambria" w:cstheme="minorHAnsi"/>
        </w:rPr>
        <w:t>t,</w:t>
      </w:r>
      <w:r w:rsidRPr="009A0DA6">
        <w:rPr>
          <w:rFonts w:ascii="Cambria" w:eastAsia="Times New Roman" w:hAnsi="Cambria" w:cstheme="minorHAnsi"/>
          <w:spacing w:val="-3"/>
        </w:rPr>
        <w:t xml:space="preserve"> </w:t>
      </w:r>
      <w:r w:rsidRPr="009A0DA6">
        <w:rPr>
          <w:rFonts w:ascii="Cambria" w:eastAsia="Times New Roman" w:hAnsi="Cambria" w:cstheme="minorHAnsi"/>
          <w:spacing w:val="-2"/>
        </w:rPr>
        <w:t>w</w:t>
      </w:r>
      <w:r w:rsidRPr="009A0DA6">
        <w:rPr>
          <w:rFonts w:ascii="Cambria" w:eastAsia="Times New Roman" w:hAnsi="Cambria" w:cstheme="minorHAnsi"/>
          <w:spacing w:val="-1"/>
        </w:rPr>
        <w:t>h</w:t>
      </w:r>
      <w:r w:rsidRPr="009A0DA6">
        <w:rPr>
          <w:rFonts w:ascii="Cambria" w:eastAsia="Times New Roman" w:hAnsi="Cambria" w:cstheme="minorHAnsi"/>
        </w:rPr>
        <w:t>et</w:t>
      </w:r>
      <w:r w:rsidRPr="009A0DA6">
        <w:rPr>
          <w:rFonts w:ascii="Cambria" w:eastAsia="Times New Roman" w:hAnsi="Cambria" w:cstheme="minorHAnsi"/>
          <w:spacing w:val="-1"/>
        </w:rPr>
        <w:t>h</w:t>
      </w:r>
      <w:r w:rsidRPr="009A0DA6">
        <w:rPr>
          <w:rFonts w:ascii="Cambria" w:eastAsia="Times New Roman" w:hAnsi="Cambria" w:cstheme="minorHAnsi"/>
        </w:rPr>
        <w:t xml:space="preserve">er </w:t>
      </w:r>
      <w:r w:rsidRPr="009A0DA6">
        <w:rPr>
          <w:rFonts w:ascii="Cambria" w:eastAsia="Times New Roman" w:hAnsi="Cambria" w:cstheme="minorHAnsi"/>
          <w:spacing w:val="1"/>
        </w:rPr>
        <w:t>d</w:t>
      </w:r>
      <w:r w:rsidRPr="009A0DA6">
        <w:rPr>
          <w:rFonts w:ascii="Cambria" w:eastAsia="Times New Roman" w:hAnsi="Cambria" w:cstheme="minorHAnsi"/>
          <w:spacing w:val="-1"/>
        </w:rPr>
        <w:t>u</w:t>
      </w:r>
      <w:r w:rsidRPr="009A0DA6">
        <w:rPr>
          <w:rFonts w:ascii="Cambria" w:eastAsia="Times New Roman" w:hAnsi="Cambria" w:cstheme="minorHAnsi"/>
        </w:rPr>
        <w:t>e</w:t>
      </w:r>
      <w:r w:rsidRPr="009A0DA6">
        <w:rPr>
          <w:rFonts w:ascii="Cambria" w:eastAsia="Times New Roman" w:hAnsi="Cambria" w:cstheme="minorHAnsi"/>
          <w:spacing w:val="3"/>
        </w:rPr>
        <w:t xml:space="preserve"> </w:t>
      </w:r>
      <w:r w:rsidRPr="009A0DA6">
        <w:rPr>
          <w:rFonts w:ascii="Cambria" w:eastAsia="Times New Roman" w:hAnsi="Cambria" w:cstheme="minorHAnsi"/>
        </w:rPr>
        <w:t>to</w:t>
      </w:r>
      <w:r w:rsidRPr="009A0DA6">
        <w:rPr>
          <w:rFonts w:ascii="Cambria" w:eastAsia="Times New Roman" w:hAnsi="Cambria" w:cstheme="minorHAnsi"/>
          <w:spacing w:val="4"/>
        </w:rPr>
        <w:t xml:space="preserve"> </w:t>
      </w:r>
      <w:r w:rsidRPr="009A0DA6">
        <w:rPr>
          <w:rFonts w:ascii="Cambria" w:eastAsia="Times New Roman" w:hAnsi="Cambria" w:cstheme="minorHAnsi"/>
          <w:spacing w:val="-1"/>
        </w:rPr>
        <w:t>f</w:t>
      </w:r>
      <w:r w:rsidRPr="009A0DA6">
        <w:rPr>
          <w:rFonts w:ascii="Cambria" w:eastAsia="Times New Roman" w:hAnsi="Cambria" w:cstheme="minorHAnsi"/>
          <w:spacing w:val="1"/>
        </w:rPr>
        <w:t>r</w:t>
      </w:r>
      <w:r w:rsidRPr="009A0DA6">
        <w:rPr>
          <w:rFonts w:ascii="Cambria" w:eastAsia="Times New Roman" w:hAnsi="Cambria" w:cstheme="minorHAnsi"/>
        </w:rPr>
        <w:t>a</w:t>
      </w:r>
      <w:r w:rsidRPr="009A0DA6">
        <w:rPr>
          <w:rFonts w:ascii="Cambria" w:eastAsia="Times New Roman" w:hAnsi="Cambria" w:cstheme="minorHAnsi"/>
          <w:spacing w:val="-1"/>
        </w:rPr>
        <w:t>u</w:t>
      </w:r>
      <w:r w:rsidRPr="009A0DA6">
        <w:rPr>
          <w:rFonts w:ascii="Cambria" w:eastAsia="Times New Roman" w:hAnsi="Cambria" w:cstheme="minorHAnsi"/>
        </w:rPr>
        <w:t>d</w:t>
      </w:r>
      <w:r w:rsidRPr="009A0DA6">
        <w:rPr>
          <w:rFonts w:ascii="Cambria" w:eastAsia="Times New Roman" w:hAnsi="Cambria" w:cstheme="minorHAnsi"/>
          <w:spacing w:val="2"/>
        </w:rPr>
        <w:t xml:space="preserve"> </w:t>
      </w:r>
      <w:r w:rsidRPr="009A0DA6">
        <w:rPr>
          <w:rFonts w:ascii="Cambria" w:eastAsia="Times New Roman" w:hAnsi="Cambria" w:cstheme="minorHAnsi"/>
          <w:spacing w:val="1"/>
        </w:rPr>
        <w:t>o</w:t>
      </w:r>
      <w:r w:rsidRPr="009A0DA6">
        <w:rPr>
          <w:rFonts w:ascii="Cambria" w:eastAsia="Times New Roman" w:hAnsi="Cambria" w:cstheme="minorHAnsi"/>
        </w:rPr>
        <w:t>r</w:t>
      </w:r>
      <w:r w:rsidRPr="009A0DA6">
        <w:rPr>
          <w:rFonts w:ascii="Cambria" w:eastAsia="Times New Roman" w:hAnsi="Cambria" w:cstheme="minorHAnsi"/>
          <w:spacing w:val="4"/>
        </w:rPr>
        <w:t xml:space="preserve"> </w:t>
      </w:r>
      <w:r w:rsidRPr="009A0DA6">
        <w:rPr>
          <w:rFonts w:ascii="Cambria" w:eastAsia="Times New Roman" w:hAnsi="Cambria" w:cstheme="minorHAnsi"/>
        </w:rPr>
        <w:t>e</w:t>
      </w:r>
      <w:r w:rsidRPr="009A0DA6">
        <w:rPr>
          <w:rFonts w:ascii="Cambria" w:eastAsia="Times New Roman" w:hAnsi="Cambria" w:cstheme="minorHAnsi"/>
          <w:spacing w:val="-1"/>
        </w:rPr>
        <w:t>r</w:t>
      </w:r>
      <w:r w:rsidRPr="009A0DA6">
        <w:rPr>
          <w:rFonts w:ascii="Cambria" w:eastAsia="Times New Roman" w:hAnsi="Cambria" w:cstheme="minorHAnsi"/>
          <w:spacing w:val="1"/>
        </w:rPr>
        <w:t>ror</w:t>
      </w:r>
      <w:r w:rsidRPr="009A0DA6">
        <w:rPr>
          <w:rFonts w:ascii="Cambria" w:eastAsia="Times New Roman" w:hAnsi="Cambria" w:cstheme="minorHAnsi"/>
        </w:rPr>
        <w:t>,</w:t>
      </w:r>
      <w:r w:rsidRPr="009A0DA6">
        <w:rPr>
          <w:rFonts w:ascii="Cambria" w:eastAsia="Times New Roman" w:hAnsi="Cambria" w:cstheme="minorHAnsi"/>
          <w:spacing w:val="-1"/>
        </w:rPr>
        <w:t xml:space="preserve"> </w:t>
      </w:r>
      <w:r w:rsidRPr="009A0DA6">
        <w:rPr>
          <w:rFonts w:ascii="Cambria" w:eastAsia="Times New Roman" w:hAnsi="Cambria" w:cstheme="minorHAnsi"/>
          <w:spacing w:val="-2"/>
        </w:rPr>
        <w:t>a</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spacing w:val="3"/>
        </w:rPr>
        <w:t xml:space="preserve"> </w:t>
      </w:r>
      <w:r w:rsidRPr="009A0DA6">
        <w:rPr>
          <w:rFonts w:ascii="Cambria" w:eastAsia="Times New Roman" w:hAnsi="Cambria" w:cstheme="minorHAnsi"/>
        </w:rPr>
        <w:t>to</w:t>
      </w:r>
      <w:r w:rsidRPr="009A0DA6">
        <w:rPr>
          <w:rFonts w:ascii="Cambria" w:eastAsia="Times New Roman" w:hAnsi="Cambria" w:cstheme="minorHAnsi"/>
          <w:spacing w:val="4"/>
        </w:rPr>
        <w:t xml:space="preserve"> </w:t>
      </w:r>
      <w:r w:rsidRPr="009A0DA6">
        <w:rPr>
          <w:rFonts w:ascii="Cambria" w:eastAsia="Times New Roman" w:hAnsi="Cambria" w:cstheme="minorHAnsi"/>
        </w:rPr>
        <w:t>i</w:t>
      </w:r>
      <w:r w:rsidRPr="009A0DA6">
        <w:rPr>
          <w:rFonts w:ascii="Cambria" w:eastAsia="Times New Roman" w:hAnsi="Cambria" w:cstheme="minorHAnsi"/>
          <w:spacing w:val="-1"/>
        </w:rPr>
        <w:t>ssu</w:t>
      </w:r>
      <w:r w:rsidRPr="009A0DA6">
        <w:rPr>
          <w:rFonts w:ascii="Cambria" w:eastAsia="Times New Roman" w:hAnsi="Cambria" w:cstheme="minorHAnsi"/>
        </w:rPr>
        <w:t>e</w:t>
      </w:r>
      <w:r w:rsidRPr="009A0DA6">
        <w:rPr>
          <w:rFonts w:ascii="Cambria" w:eastAsia="Times New Roman" w:hAnsi="Cambria" w:cstheme="minorHAnsi"/>
          <w:spacing w:val="2"/>
        </w:rPr>
        <w:t xml:space="preserve"> </w:t>
      </w:r>
      <w:r w:rsidRPr="009A0DA6">
        <w:rPr>
          <w:rFonts w:ascii="Cambria" w:eastAsia="Times New Roman" w:hAnsi="Cambria" w:cstheme="minorHAnsi"/>
        </w:rPr>
        <w:t>an</w:t>
      </w:r>
      <w:r w:rsidRPr="009A0DA6">
        <w:rPr>
          <w:rFonts w:ascii="Cambria" w:eastAsia="Times New Roman" w:hAnsi="Cambria" w:cstheme="minorHAnsi"/>
          <w:spacing w:val="2"/>
        </w:rPr>
        <w:t xml:space="preserve"> </w:t>
      </w:r>
      <w:r w:rsidRPr="009A0DA6">
        <w:rPr>
          <w:rFonts w:ascii="Cambria" w:eastAsia="Times New Roman" w:hAnsi="Cambria" w:cstheme="minorHAnsi"/>
        </w:rPr>
        <w:t>a</w:t>
      </w:r>
      <w:r w:rsidRPr="009A0DA6">
        <w:rPr>
          <w:rFonts w:ascii="Cambria" w:eastAsia="Times New Roman" w:hAnsi="Cambria" w:cstheme="minorHAnsi"/>
          <w:spacing w:val="-1"/>
        </w:rPr>
        <w:t>u</w:t>
      </w:r>
      <w:r w:rsidRPr="009A0DA6">
        <w:rPr>
          <w:rFonts w:ascii="Cambria" w:eastAsia="Times New Roman" w:hAnsi="Cambria" w:cstheme="minorHAnsi"/>
          <w:spacing w:val="1"/>
        </w:rPr>
        <w:t>d</w:t>
      </w:r>
      <w:r w:rsidRPr="009A0DA6">
        <w:rPr>
          <w:rFonts w:ascii="Cambria" w:eastAsia="Times New Roman" w:hAnsi="Cambria" w:cstheme="minorHAnsi"/>
        </w:rPr>
        <w:t>it</w:t>
      </w:r>
      <w:r w:rsidRPr="009A0DA6">
        <w:rPr>
          <w:rFonts w:ascii="Cambria" w:eastAsia="Times New Roman" w:hAnsi="Cambria" w:cstheme="minorHAnsi"/>
          <w:spacing w:val="1"/>
        </w:rPr>
        <w:t>or’</w:t>
      </w:r>
      <w:r w:rsidRPr="009A0DA6">
        <w:rPr>
          <w:rFonts w:ascii="Cambria" w:eastAsia="Times New Roman" w:hAnsi="Cambria" w:cstheme="minorHAnsi"/>
        </w:rPr>
        <w:t>s</w:t>
      </w:r>
      <w:r w:rsidRPr="009A0DA6">
        <w:rPr>
          <w:rFonts w:ascii="Cambria" w:eastAsia="Times New Roman" w:hAnsi="Cambria" w:cstheme="minorHAnsi"/>
          <w:spacing w:val="-2"/>
        </w:rPr>
        <w:t xml:space="preserve"> </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1"/>
        </w:rPr>
        <w:t>por</w:t>
      </w:r>
      <w:r w:rsidRPr="009A0DA6">
        <w:rPr>
          <w:rFonts w:ascii="Cambria" w:eastAsia="Times New Roman" w:hAnsi="Cambria" w:cstheme="minorHAnsi"/>
        </w:rPr>
        <w:t>t</w:t>
      </w:r>
      <w:r w:rsidRPr="009A0DA6">
        <w:rPr>
          <w:rFonts w:ascii="Cambria" w:eastAsia="Times New Roman" w:hAnsi="Cambria" w:cstheme="minorHAnsi"/>
          <w:spacing w:val="-5"/>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at</w:t>
      </w:r>
      <w:r w:rsidRPr="009A0DA6">
        <w:rPr>
          <w:rFonts w:ascii="Cambria" w:eastAsia="Times New Roman" w:hAnsi="Cambria" w:cstheme="minorHAnsi"/>
          <w:spacing w:val="2"/>
        </w:rPr>
        <w:t xml:space="preserve"> </w:t>
      </w:r>
      <w:r w:rsidRPr="009A0DA6">
        <w:rPr>
          <w:rFonts w:ascii="Cambria" w:eastAsia="Times New Roman" w:hAnsi="Cambria" w:cstheme="minorHAnsi"/>
        </w:rPr>
        <w:t>i</w:t>
      </w:r>
      <w:r w:rsidRPr="009A0DA6">
        <w:rPr>
          <w:rFonts w:ascii="Cambria" w:eastAsia="Times New Roman" w:hAnsi="Cambria" w:cstheme="minorHAnsi"/>
          <w:spacing w:val="-1"/>
        </w:rPr>
        <w:t>n</w:t>
      </w:r>
      <w:r w:rsidRPr="009A0DA6">
        <w:rPr>
          <w:rFonts w:ascii="Cambria" w:eastAsia="Times New Roman" w:hAnsi="Cambria" w:cstheme="minorHAnsi"/>
        </w:rPr>
        <w:t>c</w:t>
      </w:r>
      <w:r w:rsidRPr="009A0DA6">
        <w:rPr>
          <w:rFonts w:ascii="Cambria" w:eastAsia="Times New Roman" w:hAnsi="Cambria" w:cstheme="minorHAnsi"/>
          <w:spacing w:val="2"/>
        </w:rPr>
        <w:t>l</w:t>
      </w:r>
      <w:r w:rsidRPr="009A0DA6">
        <w:rPr>
          <w:rFonts w:ascii="Cambria" w:eastAsia="Times New Roman" w:hAnsi="Cambria" w:cstheme="minorHAnsi"/>
          <w:spacing w:val="-1"/>
        </w:rPr>
        <w:t>u</w:t>
      </w:r>
      <w:r w:rsidRPr="009A0DA6">
        <w:rPr>
          <w:rFonts w:ascii="Cambria" w:eastAsia="Times New Roman" w:hAnsi="Cambria" w:cstheme="minorHAnsi"/>
          <w:spacing w:val="1"/>
        </w:rPr>
        <w:t>d</w:t>
      </w:r>
      <w:r w:rsidRPr="009A0DA6">
        <w:rPr>
          <w:rFonts w:ascii="Cambria" w:eastAsia="Times New Roman" w:hAnsi="Cambria" w:cstheme="minorHAnsi"/>
          <w:spacing w:val="3"/>
        </w:rPr>
        <w:t>e</w:t>
      </w:r>
      <w:r w:rsidRPr="009A0DA6">
        <w:rPr>
          <w:rFonts w:ascii="Cambria" w:eastAsia="Times New Roman" w:hAnsi="Cambria" w:cstheme="minorHAnsi"/>
        </w:rPr>
        <w:t xml:space="preserve">s </w:t>
      </w:r>
      <w:r w:rsidRPr="009A0DA6">
        <w:rPr>
          <w:rFonts w:ascii="Cambria" w:eastAsia="Times New Roman" w:hAnsi="Cambria" w:cstheme="minorHAnsi"/>
          <w:spacing w:val="1"/>
        </w:rPr>
        <w:t>o</w:t>
      </w:r>
      <w:r w:rsidRPr="009A0DA6">
        <w:rPr>
          <w:rFonts w:ascii="Cambria" w:eastAsia="Times New Roman" w:hAnsi="Cambria" w:cstheme="minorHAnsi"/>
          <w:spacing w:val="-1"/>
        </w:rPr>
        <w:t>u</w:t>
      </w:r>
      <w:r w:rsidRPr="009A0DA6">
        <w:rPr>
          <w:rFonts w:ascii="Cambria" w:eastAsia="Times New Roman" w:hAnsi="Cambria" w:cstheme="minorHAnsi"/>
        </w:rPr>
        <w:t>r</w:t>
      </w:r>
      <w:r w:rsidRPr="009A0DA6">
        <w:rPr>
          <w:rFonts w:ascii="Cambria" w:eastAsia="Times New Roman" w:hAnsi="Cambria" w:cstheme="minorHAnsi"/>
          <w:spacing w:val="22"/>
        </w:rPr>
        <w:t xml:space="preserve"> </w:t>
      </w:r>
      <w:r w:rsidRPr="009A0DA6">
        <w:rPr>
          <w:rFonts w:ascii="Cambria" w:eastAsia="Times New Roman" w:hAnsi="Cambria" w:cstheme="minorHAnsi"/>
          <w:spacing w:val="1"/>
        </w:rPr>
        <w:t>op</w:t>
      </w:r>
      <w:r w:rsidRPr="009A0DA6">
        <w:rPr>
          <w:rFonts w:ascii="Cambria" w:eastAsia="Times New Roman" w:hAnsi="Cambria" w:cstheme="minorHAnsi"/>
        </w:rPr>
        <w:t>i</w:t>
      </w:r>
      <w:r w:rsidRPr="009A0DA6">
        <w:rPr>
          <w:rFonts w:ascii="Cambria" w:eastAsia="Times New Roman" w:hAnsi="Cambria" w:cstheme="minorHAnsi"/>
          <w:spacing w:val="-1"/>
        </w:rPr>
        <w:t>n</w:t>
      </w:r>
      <w:r w:rsidRPr="009A0DA6">
        <w:rPr>
          <w:rFonts w:ascii="Cambria" w:eastAsia="Times New Roman" w:hAnsi="Cambria" w:cstheme="minorHAnsi"/>
        </w:rPr>
        <w:t>i</w:t>
      </w:r>
      <w:r w:rsidRPr="009A0DA6">
        <w:rPr>
          <w:rFonts w:ascii="Cambria" w:eastAsia="Times New Roman" w:hAnsi="Cambria" w:cstheme="minorHAnsi"/>
          <w:spacing w:val="1"/>
        </w:rPr>
        <w:t>o</w:t>
      </w:r>
      <w:r w:rsidRPr="009A0DA6">
        <w:rPr>
          <w:rFonts w:ascii="Cambria" w:eastAsia="Times New Roman" w:hAnsi="Cambria" w:cstheme="minorHAnsi"/>
          <w:spacing w:val="-1"/>
        </w:rPr>
        <w:t>n</w:t>
      </w:r>
      <w:r w:rsidR="0027799A" w:rsidRPr="009A0DA6">
        <w:rPr>
          <w:rFonts w:ascii="Cambria" w:eastAsia="Times New Roman" w:hAnsi="Cambria" w:cstheme="minorHAnsi"/>
        </w:rPr>
        <w:t xml:space="preserve">. </w:t>
      </w:r>
      <w:r w:rsidRPr="009A0DA6">
        <w:rPr>
          <w:rFonts w:ascii="Cambria" w:eastAsia="Times New Roman" w:hAnsi="Cambria" w:cstheme="minorHAnsi"/>
          <w:spacing w:val="-1"/>
        </w:rPr>
        <w:t>R</w:t>
      </w:r>
      <w:r w:rsidRPr="009A0DA6">
        <w:rPr>
          <w:rFonts w:ascii="Cambria" w:eastAsia="Times New Roman" w:hAnsi="Cambria" w:cstheme="minorHAnsi"/>
        </w:rPr>
        <w:t>ea</w:t>
      </w:r>
      <w:r w:rsidRPr="009A0DA6">
        <w:rPr>
          <w:rFonts w:ascii="Cambria" w:eastAsia="Times New Roman" w:hAnsi="Cambria" w:cstheme="minorHAnsi"/>
          <w:spacing w:val="-1"/>
        </w:rPr>
        <w:t>s</w:t>
      </w:r>
      <w:r w:rsidRPr="009A0DA6">
        <w:rPr>
          <w:rFonts w:ascii="Cambria" w:eastAsia="Times New Roman" w:hAnsi="Cambria" w:cstheme="minorHAnsi"/>
          <w:spacing w:val="1"/>
        </w:rPr>
        <w:t>o</w:t>
      </w:r>
      <w:r w:rsidRPr="009A0DA6">
        <w:rPr>
          <w:rFonts w:ascii="Cambria" w:eastAsia="Times New Roman" w:hAnsi="Cambria" w:cstheme="minorHAnsi"/>
          <w:spacing w:val="-1"/>
        </w:rPr>
        <w:t>n</w:t>
      </w:r>
      <w:r w:rsidRPr="009A0DA6">
        <w:rPr>
          <w:rFonts w:ascii="Cambria" w:eastAsia="Times New Roman" w:hAnsi="Cambria" w:cstheme="minorHAnsi"/>
        </w:rPr>
        <w:t>a</w:t>
      </w:r>
      <w:r w:rsidRPr="009A0DA6">
        <w:rPr>
          <w:rFonts w:ascii="Cambria" w:eastAsia="Times New Roman" w:hAnsi="Cambria" w:cstheme="minorHAnsi"/>
          <w:spacing w:val="1"/>
        </w:rPr>
        <w:t>b</w:t>
      </w:r>
      <w:r w:rsidRPr="009A0DA6">
        <w:rPr>
          <w:rFonts w:ascii="Cambria" w:eastAsia="Times New Roman" w:hAnsi="Cambria" w:cstheme="minorHAnsi"/>
        </w:rPr>
        <w:t>le</w:t>
      </w:r>
      <w:r w:rsidRPr="009A0DA6">
        <w:rPr>
          <w:rFonts w:ascii="Cambria" w:eastAsia="Times New Roman" w:hAnsi="Cambria" w:cstheme="minorHAnsi"/>
          <w:spacing w:val="16"/>
        </w:rPr>
        <w:t xml:space="preserve"> </w:t>
      </w:r>
      <w:r w:rsidRPr="009A0DA6">
        <w:rPr>
          <w:rFonts w:ascii="Cambria" w:eastAsia="Times New Roman" w:hAnsi="Cambria" w:cstheme="minorHAnsi"/>
        </w:rPr>
        <w:t>a</w:t>
      </w:r>
      <w:r w:rsidRPr="009A0DA6">
        <w:rPr>
          <w:rFonts w:ascii="Cambria" w:eastAsia="Times New Roman" w:hAnsi="Cambria" w:cstheme="minorHAnsi"/>
          <w:spacing w:val="2"/>
        </w:rPr>
        <w:t>ss</w:t>
      </w:r>
      <w:r w:rsidRPr="009A0DA6">
        <w:rPr>
          <w:rFonts w:ascii="Cambria" w:eastAsia="Times New Roman" w:hAnsi="Cambria" w:cstheme="minorHAnsi"/>
          <w:spacing w:val="-1"/>
        </w:rPr>
        <w:t>u</w:t>
      </w:r>
      <w:r w:rsidRPr="009A0DA6">
        <w:rPr>
          <w:rFonts w:ascii="Cambria" w:eastAsia="Times New Roman" w:hAnsi="Cambria" w:cstheme="minorHAnsi"/>
          <w:spacing w:val="1"/>
        </w:rPr>
        <w:t>r</w:t>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rPr>
        <w:t>ce</w:t>
      </w:r>
      <w:r w:rsidRPr="009A0DA6">
        <w:rPr>
          <w:rFonts w:ascii="Cambria" w:eastAsia="Times New Roman" w:hAnsi="Cambria" w:cstheme="minorHAnsi"/>
          <w:spacing w:val="17"/>
        </w:rPr>
        <w:t xml:space="preserve"> </w:t>
      </w:r>
      <w:r w:rsidRPr="009A0DA6">
        <w:rPr>
          <w:rFonts w:ascii="Cambria" w:eastAsia="Times New Roman" w:hAnsi="Cambria" w:cstheme="minorHAnsi"/>
        </w:rPr>
        <w:t>is</w:t>
      </w:r>
      <w:r w:rsidRPr="009A0DA6">
        <w:rPr>
          <w:rFonts w:ascii="Cambria" w:eastAsia="Times New Roman" w:hAnsi="Cambria" w:cstheme="minorHAnsi"/>
          <w:spacing w:val="23"/>
        </w:rPr>
        <w:t xml:space="preserve"> </w:t>
      </w:r>
      <w:r w:rsidRPr="009A0DA6">
        <w:rPr>
          <w:rFonts w:ascii="Cambria" w:eastAsia="Times New Roman" w:hAnsi="Cambria" w:cstheme="minorHAnsi"/>
        </w:rPr>
        <w:t>a</w:t>
      </w:r>
      <w:r w:rsidRPr="009A0DA6">
        <w:rPr>
          <w:rFonts w:ascii="Cambria" w:eastAsia="Times New Roman" w:hAnsi="Cambria" w:cstheme="minorHAnsi"/>
          <w:spacing w:val="26"/>
        </w:rPr>
        <w:t xml:space="preserve"> </w:t>
      </w:r>
      <w:r w:rsidRPr="009A0DA6">
        <w:rPr>
          <w:rFonts w:ascii="Cambria" w:eastAsia="Times New Roman" w:hAnsi="Cambria" w:cstheme="minorHAnsi"/>
          <w:spacing w:val="-1"/>
        </w:rPr>
        <w:t>h</w:t>
      </w:r>
      <w:r w:rsidRPr="009A0DA6">
        <w:rPr>
          <w:rFonts w:ascii="Cambria" w:eastAsia="Times New Roman" w:hAnsi="Cambria" w:cstheme="minorHAnsi"/>
        </w:rPr>
        <w:t>i</w:t>
      </w:r>
      <w:r w:rsidRPr="009A0DA6">
        <w:rPr>
          <w:rFonts w:ascii="Cambria" w:eastAsia="Times New Roman" w:hAnsi="Cambria" w:cstheme="minorHAnsi"/>
          <w:spacing w:val="1"/>
        </w:rPr>
        <w:t>g</w:t>
      </w:r>
      <w:r w:rsidRPr="009A0DA6">
        <w:rPr>
          <w:rFonts w:ascii="Cambria" w:eastAsia="Times New Roman" w:hAnsi="Cambria" w:cstheme="minorHAnsi"/>
        </w:rPr>
        <w:t>h</w:t>
      </w:r>
      <w:r w:rsidRPr="009A0DA6">
        <w:rPr>
          <w:rFonts w:ascii="Cambria" w:eastAsia="Times New Roman" w:hAnsi="Cambria" w:cstheme="minorHAnsi"/>
          <w:spacing w:val="19"/>
        </w:rPr>
        <w:t xml:space="preserve"> </w:t>
      </w:r>
      <w:r w:rsidRPr="009A0DA6">
        <w:rPr>
          <w:rFonts w:ascii="Cambria" w:eastAsia="Times New Roman" w:hAnsi="Cambria" w:cstheme="minorHAnsi"/>
        </w:rPr>
        <w:t>l</w:t>
      </w:r>
      <w:r w:rsidRPr="009A0DA6">
        <w:rPr>
          <w:rFonts w:ascii="Cambria" w:eastAsia="Times New Roman" w:hAnsi="Cambria" w:cstheme="minorHAnsi"/>
          <w:spacing w:val="3"/>
        </w:rPr>
        <w:t>e</w:t>
      </w:r>
      <w:r w:rsidRPr="009A0DA6">
        <w:rPr>
          <w:rFonts w:ascii="Cambria" w:eastAsia="Times New Roman" w:hAnsi="Cambria" w:cstheme="minorHAnsi"/>
          <w:spacing w:val="-1"/>
        </w:rPr>
        <w:t>v</w:t>
      </w:r>
      <w:r w:rsidRPr="009A0DA6">
        <w:rPr>
          <w:rFonts w:ascii="Cambria" w:eastAsia="Times New Roman" w:hAnsi="Cambria" w:cstheme="minorHAnsi"/>
        </w:rPr>
        <w:t>el</w:t>
      </w:r>
      <w:r w:rsidRPr="009A0DA6">
        <w:rPr>
          <w:rFonts w:ascii="Cambria" w:eastAsia="Times New Roman" w:hAnsi="Cambria" w:cstheme="minorHAnsi"/>
          <w:spacing w:val="20"/>
        </w:rPr>
        <w:t xml:space="preserve"> </w:t>
      </w:r>
      <w:r w:rsidRPr="009A0DA6">
        <w:rPr>
          <w:rFonts w:ascii="Cambria" w:eastAsia="Times New Roman" w:hAnsi="Cambria" w:cstheme="minorHAnsi"/>
          <w:spacing w:val="1"/>
        </w:rPr>
        <w:t>o</w:t>
      </w:r>
      <w:r w:rsidRPr="009A0DA6">
        <w:rPr>
          <w:rFonts w:ascii="Cambria" w:eastAsia="Times New Roman" w:hAnsi="Cambria" w:cstheme="minorHAnsi"/>
        </w:rPr>
        <w:t>f</w:t>
      </w:r>
      <w:r w:rsidRPr="009A0DA6">
        <w:rPr>
          <w:rFonts w:ascii="Cambria" w:eastAsia="Times New Roman" w:hAnsi="Cambria" w:cstheme="minorHAnsi"/>
          <w:spacing w:val="21"/>
        </w:rPr>
        <w:t xml:space="preserve"> </w:t>
      </w:r>
      <w:r w:rsidRPr="009A0DA6">
        <w:rPr>
          <w:rFonts w:ascii="Cambria" w:eastAsia="Times New Roman" w:hAnsi="Cambria" w:cstheme="minorHAnsi"/>
        </w:rPr>
        <w:t>a</w:t>
      </w:r>
      <w:r w:rsidRPr="009A0DA6">
        <w:rPr>
          <w:rFonts w:ascii="Cambria" w:eastAsia="Times New Roman" w:hAnsi="Cambria" w:cstheme="minorHAnsi"/>
          <w:spacing w:val="2"/>
        </w:rPr>
        <w:t>s</w:t>
      </w:r>
      <w:r w:rsidRPr="009A0DA6">
        <w:rPr>
          <w:rFonts w:ascii="Cambria" w:eastAsia="Times New Roman" w:hAnsi="Cambria" w:cstheme="minorHAnsi"/>
          <w:spacing w:val="-1"/>
        </w:rPr>
        <w:t>s</w:t>
      </w:r>
      <w:r w:rsidRPr="009A0DA6">
        <w:rPr>
          <w:rFonts w:ascii="Cambria" w:eastAsia="Times New Roman" w:hAnsi="Cambria" w:cstheme="minorHAnsi"/>
          <w:spacing w:val="1"/>
        </w:rPr>
        <w:t>ur</w:t>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rPr>
        <w:t>ce,</w:t>
      </w:r>
      <w:r w:rsidRPr="009A0DA6">
        <w:rPr>
          <w:rFonts w:ascii="Cambria" w:eastAsia="Times New Roman" w:hAnsi="Cambria" w:cstheme="minorHAnsi"/>
          <w:spacing w:val="17"/>
        </w:rPr>
        <w:t xml:space="preserve"> </w:t>
      </w:r>
      <w:r w:rsidRPr="009A0DA6">
        <w:rPr>
          <w:rFonts w:ascii="Cambria" w:eastAsia="Times New Roman" w:hAnsi="Cambria" w:cstheme="minorHAnsi"/>
          <w:spacing w:val="1"/>
        </w:rPr>
        <w:t>b</w:t>
      </w:r>
      <w:r w:rsidRPr="009A0DA6">
        <w:rPr>
          <w:rFonts w:ascii="Cambria" w:eastAsia="Times New Roman" w:hAnsi="Cambria" w:cstheme="minorHAnsi"/>
          <w:spacing w:val="-1"/>
        </w:rPr>
        <w:t>u</w:t>
      </w:r>
      <w:r w:rsidRPr="009A0DA6">
        <w:rPr>
          <w:rFonts w:ascii="Cambria" w:eastAsia="Times New Roman" w:hAnsi="Cambria" w:cstheme="minorHAnsi"/>
        </w:rPr>
        <w:t>t</w:t>
      </w:r>
      <w:r w:rsidRPr="009A0DA6">
        <w:rPr>
          <w:rFonts w:ascii="Cambria" w:eastAsia="Times New Roman" w:hAnsi="Cambria" w:cstheme="minorHAnsi"/>
          <w:spacing w:val="21"/>
        </w:rPr>
        <w:t xml:space="preserve"> </w:t>
      </w:r>
      <w:r w:rsidRPr="009A0DA6">
        <w:rPr>
          <w:rFonts w:ascii="Cambria" w:eastAsia="Times New Roman" w:hAnsi="Cambria" w:cstheme="minorHAnsi"/>
        </w:rPr>
        <w:t>is</w:t>
      </w:r>
      <w:r w:rsidRPr="009A0DA6">
        <w:rPr>
          <w:rFonts w:ascii="Cambria" w:eastAsia="Times New Roman" w:hAnsi="Cambria" w:cstheme="minorHAnsi"/>
          <w:spacing w:val="23"/>
        </w:rPr>
        <w:t xml:space="preserve"> </w:t>
      </w:r>
      <w:r w:rsidRPr="009A0DA6">
        <w:rPr>
          <w:rFonts w:ascii="Cambria" w:eastAsia="Times New Roman" w:hAnsi="Cambria" w:cstheme="minorHAnsi"/>
          <w:spacing w:val="-1"/>
        </w:rPr>
        <w:t>n</w:t>
      </w:r>
      <w:r w:rsidRPr="009A0DA6">
        <w:rPr>
          <w:rFonts w:ascii="Cambria" w:eastAsia="Times New Roman" w:hAnsi="Cambria" w:cstheme="minorHAnsi"/>
          <w:spacing w:val="1"/>
        </w:rPr>
        <w:t>o</w:t>
      </w:r>
      <w:r w:rsidRPr="009A0DA6">
        <w:rPr>
          <w:rFonts w:ascii="Cambria" w:eastAsia="Times New Roman" w:hAnsi="Cambria" w:cstheme="minorHAnsi"/>
        </w:rPr>
        <w:t>t</w:t>
      </w:r>
      <w:r w:rsidRPr="009A0DA6">
        <w:rPr>
          <w:rFonts w:ascii="Cambria" w:eastAsia="Times New Roman" w:hAnsi="Cambria" w:cstheme="minorHAnsi"/>
          <w:spacing w:val="21"/>
        </w:rPr>
        <w:t xml:space="preserve"> </w:t>
      </w:r>
      <w:r w:rsidRPr="009A0DA6">
        <w:rPr>
          <w:rFonts w:ascii="Cambria" w:eastAsia="Times New Roman" w:hAnsi="Cambria" w:cstheme="minorHAnsi"/>
        </w:rPr>
        <w:t>a</w:t>
      </w:r>
      <w:r w:rsidRPr="009A0DA6">
        <w:rPr>
          <w:rFonts w:ascii="Cambria" w:eastAsia="Times New Roman" w:hAnsi="Cambria" w:cstheme="minorHAnsi"/>
          <w:spacing w:val="24"/>
        </w:rPr>
        <w:t xml:space="preserve"> </w:t>
      </w:r>
      <w:r w:rsidRPr="009A0DA6">
        <w:rPr>
          <w:rFonts w:ascii="Cambria" w:eastAsia="Times New Roman" w:hAnsi="Cambria" w:cstheme="minorHAnsi"/>
          <w:spacing w:val="1"/>
        </w:rPr>
        <w:t>g</w:t>
      </w:r>
      <w:r w:rsidRPr="009A0DA6">
        <w:rPr>
          <w:rFonts w:ascii="Cambria" w:eastAsia="Times New Roman" w:hAnsi="Cambria" w:cstheme="minorHAnsi"/>
          <w:spacing w:val="-1"/>
        </w:rPr>
        <w:t>u</w:t>
      </w:r>
      <w:r w:rsidRPr="009A0DA6">
        <w:rPr>
          <w:rFonts w:ascii="Cambria" w:eastAsia="Times New Roman" w:hAnsi="Cambria" w:cstheme="minorHAnsi"/>
        </w:rPr>
        <w:t>a</w:t>
      </w:r>
      <w:r w:rsidRPr="009A0DA6">
        <w:rPr>
          <w:rFonts w:ascii="Cambria" w:eastAsia="Times New Roman" w:hAnsi="Cambria" w:cstheme="minorHAnsi"/>
          <w:spacing w:val="1"/>
        </w:rPr>
        <w:t>r</w:t>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rPr>
        <w:t>tee</w:t>
      </w:r>
      <w:r w:rsidRPr="009A0DA6">
        <w:rPr>
          <w:rFonts w:ascii="Cambria" w:eastAsia="Times New Roman" w:hAnsi="Cambria" w:cstheme="minorHAnsi"/>
          <w:spacing w:val="19"/>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at</w:t>
      </w:r>
      <w:r w:rsidRPr="009A0DA6">
        <w:rPr>
          <w:rFonts w:ascii="Cambria" w:eastAsia="Times New Roman" w:hAnsi="Cambria" w:cstheme="minorHAnsi"/>
          <w:spacing w:val="21"/>
        </w:rPr>
        <w:t xml:space="preserve"> </w:t>
      </w:r>
      <w:r w:rsidRPr="009A0DA6">
        <w:rPr>
          <w:rFonts w:ascii="Cambria" w:eastAsia="Times New Roman" w:hAnsi="Cambria" w:cstheme="minorHAnsi"/>
        </w:rPr>
        <w:t>an</w:t>
      </w:r>
      <w:r w:rsidRPr="009A0DA6">
        <w:rPr>
          <w:rFonts w:ascii="Cambria" w:eastAsia="Times New Roman" w:hAnsi="Cambria" w:cstheme="minorHAnsi"/>
          <w:spacing w:val="21"/>
        </w:rPr>
        <w:t xml:space="preserve"> </w:t>
      </w:r>
      <w:r w:rsidRPr="009A0DA6">
        <w:rPr>
          <w:rFonts w:ascii="Cambria" w:eastAsia="Times New Roman" w:hAnsi="Cambria" w:cstheme="minorHAnsi"/>
          <w:spacing w:val="3"/>
        </w:rPr>
        <w:t>a</w:t>
      </w:r>
      <w:r w:rsidRPr="009A0DA6">
        <w:rPr>
          <w:rFonts w:ascii="Cambria" w:eastAsia="Times New Roman" w:hAnsi="Cambria" w:cstheme="minorHAnsi"/>
          <w:spacing w:val="-1"/>
        </w:rPr>
        <w:t>u</w:t>
      </w:r>
      <w:r w:rsidRPr="009A0DA6">
        <w:rPr>
          <w:rFonts w:ascii="Cambria" w:eastAsia="Times New Roman" w:hAnsi="Cambria" w:cstheme="minorHAnsi"/>
          <w:spacing w:val="1"/>
        </w:rPr>
        <w:t>d</w:t>
      </w:r>
      <w:r w:rsidRPr="009A0DA6">
        <w:rPr>
          <w:rFonts w:ascii="Cambria" w:eastAsia="Times New Roman" w:hAnsi="Cambria" w:cstheme="minorHAnsi"/>
        </w:rPr>
        <w:t>it c</w:t>
      </w:r>
      <w:r w:rsidRPr="009A0DA6">
        <w:rPr>
          <w:rFonts w:ascii="Cambria" w:eastAsia="Times New Roman" w:hAnsi="Cambria" w:cstheme="minorHAnsi"/>
          <w:spacing w:val="1"/>
        </w:rPr>
        <w:t>o</w:t>
      </w:r>
      <w:r w:rsidRPr="009A0DA6">
        <w:rPr>
          <w:rFonts w:ascii="Cambria" w:eastAsia="Times New Roman" w:hAnsi="Cambria" w:cstheme="minorHAnsi"/>
          <w:spacing w:val="-1"/>
        </w:rPr>
        <w:t>n</w:t>
      </w:r>
      <w:r w:rsidRPr="009A0DA6">
        <w:rPr>
          <w:rFonts w:ascii="Cambria" w:eastAsia="Times New Roman" w:hAnsi="Cambria" w:cstheme="minorHAnsi"/>
          <w:spacing w:val="1"/>
        </w:rPr>
        <w:t>d</w:t>
      </w:r>
      <w:r w:rsidRPr="009A0DA6">
        <w:rPr>
          <w:rFonts w:ascii="Cambria" w:eastAsia="Times New Roman" w:hAnsi="Cambria" w:cstheme="minorHAnsi"/>
          <w:spacing w:val="-1"/>
        </w:rPr>
        <w:t>u</w:t>
      </w:r>
      <w:r w:rsidRPr="009A0DA6">
        <w:rPr>
          <w:rFonts w:ascii="Cambria" w:eastAsia="Times New Roman" w:hAnsi="Cambria" w:cstheme="minorHAnsi"/>
        </w:rPr>
        <w:t xml:space="preserve">cted </w:t>
      </w:r>
      <w:r w:rsidRPr="009A0DA6">
        <w:rPr>
          <w:rFonts w:ascii="Cambria" w:eastAsia="Times New Roman" w:hAnsi="Cambria" w:cstheme="minorHAnsi"/>
          <w:spacing w:val="2"/>
        </w:rPr>
        <w:t>i</w:t>
      </w:r>
      <w:r w:rsidRPr="009A0DA6">
        <w:rPr>
          <w:rFonts w:ascii="Cambria" w:eastAsia="Times New Roman" w:hAnsi="Cambria" w:cstheme="minorHAnsi"/>
        </w:rPr>
        <w:t>n</w:t>
      </w:r>
      <w:r w:rsidRPr="009A0DA6">
        <w:rPr>
          <w:rFonts w:ascii="Cambria" w:eastAsia="Times New Roman" w:hAnsi="Cambria" w:cstheme="minorHAnsi"/>
          <w:spacing w:val="4"/>
        </w:rPr>
        <w:t xml:space="preserve"> </w:t>
      </w:r>
      <w:r w:rsidRPr="009A0DA6">
        <w:rPr>
          <w:rFonts w:ascii="Cambria" w:eastAsia="Times New Roman" w:hAnsi="Cambria" w:cstheme="minorHAnsi"/>
        </w:rPr>
        <w:t>acc</w:t>
      </w:r>
      <w:r w:rsidRPr="009A0DA6">
        <w:rPr>
          <w:rFonts w:ascii="Cambria" w:eastAsia="Times New Roman" w:hAnsi="Cambria" w:cstheme="minorHAnsi"/>
          <w:spacing w:val="1"/>
        </w:rPr>
        <w:t>ord</w:t>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rPr>
        <w:t xml:space="preserve">ce </w:t>
      </w:r>
      <w:r w:rsidRPr="009A0DA6">
        <w:rPr>
          <w:rFonts w:ascii="Cambria" w:eastAsia="Times New Roman" w:hAnsi="Cambria" w:cstheme="minorHAnsi"/>
          <w:spacing w:val="-2"/>
        </w:rPr>
        <w:t>w</w:t>
      </w:r>
      <w:r w:rsidRPr="009A0DA6">
        <w:rPr>
          <w:rFonts w:ascii="Cambria" w:eastAsia="Times New Roman" w:hAnsi="Cambria" w:cstheme="minorHAnsi"/>
          <w:spacing w:val="2"/>
        </w:rPr>
        <w:t>i</w:t>
      </w:r>
      <w:r w:rsidRPr="009A0DA6">
        <w:rPr>
          <w:rFonts w:ascii="Cambria" w:eastAsia="Times New Roman" w:hAnsi="Cambria" w:cstheme="minorHAnsi"/>
        </w:rPr>
        <w:t>th</w:t>
      </w:r>
      <w:r w:rsidRPr="009A0DA6">
        <w:rPr>
          <w:rFonts w:ascii="Cambria" w:eastAsia="Times New Roman" w:hAnsi="Cambria" w:cstheme="minorHAnsi"/>
          <w:spacing w:val="2"/>
        </w:rPr>
        <w:t xml:space="preserve"> 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7"/>
        </w:rPr>
        <w:t xml:space="preserve"> </w:t>
      </w:r>
      <w:r w:rsidRPr="009A0DA6">
        <w:rPr>
          <w:rFonts w:ascii="Cambria" w:eastAsia="Times New Roman" w:hAnsi="Cambria" w:cstheme="minorHAnsi"/>
        </w:rPr>
        <w:t>A</w:t>
      </w:r>
      <w:r w:rsidRPr="009A0DA6">
        <w:rPr>
          <w:rFonts w:ascii="Cambria" w:eastAsia="Times New Roman" w:hAnsi="Cambria" w:cstheme="minorHAnsi"/>
          <w:spacing w:val="-1"/>
        </w:rPr>
        <w:t>u</w:t>
      </w:r>
      <w:r w:rsidRPr="009A0DA6">
        <w:rPr>
          <w:rFonts w:ascii="Cambria" w:eastAsia="Times New Roman" w:hAnsi="Cambria" w:cstheme="minorHAnsi"/>
          <w:spacing w:val="2"/>
        </w:rPr>
        <w:t>s</w:t>
      </w:r>
      <w:r w:rsidRPr="009A0DA6">
        <w:rPr>
          <w:rFonts w:ascii="Cambria" w:eastAsia="Times New Roman" w:hAnsi="Cambria" w:cstheme="minorHAnsi"/>
        </w:rPr>
        <w:t>t</w:t>
      </w:r>
      <w:r w:rsidRPr="009A0DA6">
        <w:rPr>
          <w:rFonts w:ascii="Cambria" w:eastAsia="Times New Roman" w:hAnsi="Cambria" w:cstheme="minorHAnsi"/>
          <w:spacing w:val="1"/>
        </w:rPr>
        <w:t>r</w:t>
      </w:r>
      <w:r w:rsidRPr="009A0DA6">
        <w:rPr>
          <w:rFonts w:ascii="Cambria" w:eastAsia="Times New Roman" w:hAnsi="Cambria" w:cstheme="minorHAnsi"/>
        </w:rPr>
        <w:t>alian A</w:t>
      </w:r>
      <w:r w:rsidRPr="009A0DA6">
        <w:rPr>
          <w:rFonts w:ascii="Cambria" w:eastAsia="Times New Roman" w:hAnsi="Cambria" w:cstheme="minorHAnsi"/>
          <w:spacing w:val="-1"/>
        </w:rPr>
        <w:t>u</w:t>
      </w:r>
      <w:r w:rsidRPr="009A0DA6">
        <w:rPr>
          <w:rFonts w:ascii="Cambria" w:eastAsia="Times New Roman" w:hAnsi="Cambria" w:cstheme="minorHAnsi"/>
          <w:spacing w:val="1"/>
        </w:rPr>
        <w:t>d</w:t>
      </w:r>
      <w:r w:rsidRPr="009A0DA6">
        <w:rPr>
          <w:rFonts w:ascii="Cambria" w:eastAsia="Times New Roman" w:hAnsi="Cambria" w:cstheme="minorHAnsi"/>
        </w:rPr>
        <w:t>it</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rPr>
        <w:t>g</w:t>
      </w:r>
      <w:r w:rsidRPr="009A0DA6">
        <w:rPr>
          <w:rFonts w:ascii="Cambria" w:eastAsia="Times New Roman" w:hAnsi="Cambria" w:cstheme="minorHAnsi"/>
          <w:spacing w:val="1"/>
        </w:rPr>
        <w:t xml:space="preserve"> </w:t>
      </w:r>
      <w:r w:rsidRPr="009A0DA6">
        <w:rPr>
          <w:rFonts w:ascii="Cambria" w:eastAsia="Times New Roman" w:hAnsi="Cambria" w:cstheme="minorHAnsi"/>
        </w:rPr>
        <w:t>Sta</w:t>
      </w:r>
      <w:r w:rsidRPr="009A0DA6">
        <w:rPr>
          <w:rFonts w:ascii="Cambria" w:eastAsia="Times New Roman" w:hAnsi="Cambria" w:cstheme="minorHAnsi"/>
          <w:spacing w:val="-1"/>
        </w:rPr>
        <w:t>n</w:t>
      </w:r>
      <w:r w:rsidRPr="009A0DA6">
        <w:rPr>
          <w:rFonts w:ascii="Cambria" w:eastAsia="Times New Roman" w:hAnsi="Cambria" w:cstheme="minorHAnsi"/>
          <w:spacing w:val="1"/>
        </w:rPr>
        <w:t>d</w:t>
      </w:r>
      <w:r w:rsidRPr="009A0DA6">
        <w:rPr>
          <w:rFonts w:ascii="Cambria" w:eastAsia="Times New Roman" w:hAnsi="Cambria" w:cstheme="minorHAnsi"/>
        </w:rPr>
        <w:t>a</w:t>
      </w:r>
      <w:r w:rsidRPr="009A0DA6">
        <w:rPr>
          <w:rFonts w:ascii="Cambria" w:eastAsia="Times New Roman" w:hAnsi="Cambria" w:cstheme="minorHAnsi"/>
          <w:spacing w:val="1"/>
        </w:rPr>
        <w:t>rd</w:t>
      </w:r>
      <w:r w:rsidRPr="009A0DA6">
        <w:rPr>
          <w:rFonts w:ascii="Cambria" w:eastAsia="Times New Roman" w:hAnsi="Cambria" w:cstheme="minorHAnsi"/>
        </w:rPr>
        <w:t xml:space="preserve">s </w:t>
      </w:r>
      <w:r w:rsidRPr="009A0DA6">
        <w:rPr>
          <w:rFonts w:ascii="Cambria" w:eastAsia="Times New Roman" w:hAnsi="Cambria" w:cstheme="minorHAnsi"/>
          <w:spacing w:val="-2"/>
        </w:rPr>
        <w:t>w</w:t>
      </w:r>
      <w:r w:rsidRPr="009A0DA6">
        <w:rPr>
          <w:rFonts w:ascii="Cambria" w:eastAsia="Times New Roman" w:hAnsi="Cambria" w:cstheme="minorHAnsi"/>
        </w:rPr>
        <w:t>i</w:t>
      </w:r>
      <w:r w:rsidRPr="009A0DA6">
        <w:rPr>
          <w:rFonts w:ascii="Cambria" w:eastAsia="Times New Roman" w:hAnsi="Cambria" w:cstheme="minorHAnsi"/>
          <w:spacing w:val="2"/>
        </w:rPr>
        <w:t>l</w:t>
      </w:r>
      <w:r w:rsidRPr="009A0DA6">
        <w:rPr>
          <w:rFonts w:ascii="Cambria" w:eastAsia="Times New Roman" w:hAnsi="Cambria" w:cstheme="minorHAnsi"/>
        </w:rPr>
        <w:t>l</w:t>
      </w:r>
      <w:r w:rsidRPr="009A0DA6">
        <w:rPr>
          <w:rFonts w:ascii="Cambria" w:eastAsia="Times New Roman" w:hAnsi="Cambria" w:cstheme="minorHAnsi"/>
          <w:spacing w:val="3"/>
        </w:rPr>
        <w:t xml:space="preserve"> </w:t>
      </w:r>
      <w:r w:rsidRPr="009A0DA6">
        <w:rPr>
          <w:rFonts w:ascii="Cambria" w:eastAsia="Times New Roman" w:hAnsi="Cambria" w:cstheme="minorHAnsi"/>
        </w:rPr>
        <w:t>a</w:t>
      </w:r>
      <w:r w:rsidRPr="009A0DA6">
        <w:rPr>
          <w:rFonts w:ascii="Cambria" w:eastAsia="Times New Roman" w:hAnsi="Cambria" w:cstheme="minorHAnsi"/>
          <w:spacing w:val="2"/>
        </w:rPr>
        <w:t>l</w:t>
      </w:r>
      <w:r w:rsidRPr="009A0DA6">
        <w:rPr>
          <w:rFonts w:ascii="Cambria" w:eastAsia="Times New Roman" w:hAnsi="Cambria" w:cstheme="minorHAnsi"/>
          <w:spacing w:val="-2"/>
        </w:rPr>
        <w:t>w</w:t>
      </w:r>
      <w:r w:rsidRPr="009A0DA6">
        <w:rPr>
          <w:rFonts w:ascii="Cambria" w:eastAsia="Times New Roman" w:hAnsi="Cambria" w:cstheme="minorHAnsi"/>
          <w:spacing w:val="3"/>
        </w:rPr>
        <w:t>a</w:t>
      </w:r>
      <w:r w:rsidRPr="009A0DA6">
        <w:rPr>
          <w:rFonts w:ascii="Cambria" w:eastAsia="Times New Roman" w:hAnsi="Cambria" w:cstheme="minorHAnsi"/>
          <w:spacing w:val="-1"/>
        </w:rPr>
        <w:t>y</w:t>
      </w:r>
      <w:r w:rsidRPr="009A0DA6">
        <w:rPr>
          <w:rFonts w:ascii="Cambria" w:eastAsia="Times New Roman" w:hAnsi="Cambria" w:cstheme="minorHAnsi"/>
        </w:rPr>
        <w:t>s</w:t>
      </w:r>
      <w:r w:rsidRPr="009A0DA6">
        <w:rPr>
          <w:rFonts w:ascii="Cambria" w:eastAsia="Times New Roman" w:hAnsi="Cambria" w:cstheme="minorHAnsi"/>
          <w:spacing w:val="1"/>
        </w:rPr>
        <w:t xml:space="preserve"> d</w:t>
      </w:r>
      <w:r w:rsidRPr="009A0DA6">
        <w:rPr>
          <w:rFonts w:ascii="Cambria" w:eastAsia="Times New Roman" w:hAnsi="Cambria" w:cstheme="minorHAnsi"/>
        </w:rPr>
        <w:t>ete</w:t>
      </w:r>
      <w:r w:rsidRPr="009A0DA6">
        <w:rPr>
          <w:rFonts w:ascii="Cambria" w:eastAsia="Times New Roman" w:hAnsi="Cambria" w:cstheme="minorHAnsi"/>
          <w:spacing w:val="3"/>
        </w:rPr>
        <w:t>c</w:t>
      </w:r>
      <w:r w:rsidRPr="009A0DA6">
        <w:rPr>
          <w:rFonts w:ascii="Cambria" w:eastAsia="Times New Roman" w:hAnsi="Cambria" w:cstheme="minorHAnsi"/>
        </w:rPr>
        <w:t>t</w:t>
      </w:r>
      <w:r w:rsidRPr="009A0DA6">
        <w:rPr>
          <w:rFonts w:ascii="Cambria" w:eastAsia="Times New Roman" w:hAnsi="Cambria" w:cstheme="minorHAnsi"/>
          <w:spacing w:val="2"/>
        </w:rPr>
        <w:t xml:space="preserve"> </w:t>
      </w:r>
      <w:r w:rsidRPr="009A0DA6">
        <w:rPr>
          <w:rFonts w:ascii="Cambria" w:eastAsia="Times New Roman" w:hAnsi="Cambria" w:cstheme="minorHAnsi"/>
        </w:rPr>
        <w:t>a</w:t>
      </w:r>
      <w:r w:rsidRPr="009A0DA6">
        <w:rPr>
          <w:rFonts w:ascii="Cambria" w:eastAsia="Times New Roman" w:hAnsi="Cambria" w:cstheme="minorHAnsi"/>
          <w:spacing w:val="8"/>
        </w:rPr>
        <w:t xml:space="preserve"> </w:t>
      </w:r>
      <w:r w:rsidRPr="009A0DA6">
        <w:rPr>
          <w:rFonts w:ascii="Cambria" w:eastAsia="Times New Roman" w:hAnsi="Cambria" w:cstheme="minorHAnsi"/>
          <w:spacing w:val="-4"/>
        </w:rPr>
        <w:t>m</w:t>
      </w:r>
      <w:r w:rsidRPr="009A0DA6">
        <w:rPr>
          <w:rFonts w:ascii="Cambria" w:eastAsia="Times New Roman" w:hAnsi="Cambria" w:cstheme="minorHAnsi"/>
          <w:spacing w:val="3"/>
        </w:rPr>
        <w:t>a</w:t>
      </w:r>
      <w:r w:rsidRPr="009A0DA6">
        <w:rPr>
          <w:rFonts w:ascii="Cambria" w:eastAsia="Times New Roman" w:hAnsi="Cambria" w:cstheme="minorHAnsi"/>
        </w:rPr>
        <w:t>te</w:t>
      </w:r>
      <w:r w:rsidRPr="009A0DA6">
        <w:rPr>
          <w:rFonts w:ascii="Cambria" w:eastAsia="Times New Roman" w:hAnsi="Cambria" w:cstheme="minorHAnsi"/>
          <w:spacing w:val="1"/>
        </w:rPr>
        <w:t>r</w:t>
      </w:r>
      <w:r w:rsidRPr="009A0DA6">
        <w:rPr>
          <w:rFonts w:ascii="Cambria" w:eastAsia="Times New Roman" w:hAnsi="Cambria" w:cstheme="minorHAnsi"/>
        </w:rPr>
        <w:t xml:space="preserve">ial </w:t>
      </w:r>
      <w:r w:rsidRPr="009A0DA6">
        <w:rPr>
          <w:rFonts w:ascii="Cambria" w:eastAsia="Times New Roman" w:hAnsi="Cambria" w:cstheme="minorHAnsi"/>
          <w:spacing w:val="-1"/>
        </w:rPr>
        <w:t>m</w:t>
      </w:r>
      <w:r w:rsidRPr="009A0DA6">
        <w:rPr>
          <w:rFonts w:ascii="Cambria" w:eastAsia="Times New Roman" w:hAnsi="Cambria" w:cstheme="minorHAnsi"/>
        </w:rPr>
        <w:t>i</w:t>
      </w:r>
      <w:r w:rsidRPr="009A0DA6">
        <w:rPr>
          <w:rFonts w:ascii="Cambria" w:eastAsia="Times New Roman" w:hAnsi="Cambria" w:cstheme="minorHAnsi"/>
          <w:spacing w:val="2"/>
        </w:rPr>
        <w:t>s</w:t>
      </w:r>
      <w:r w:rsidRPr="009A0DA6">
        <w:rPr>
          <w:rFonts w:ascii="Cambria" w:eastAsia="Times New Roman" w:hAnsi="Cambria" w:cstheme="minorHAnsi"/>
          <w:spacing w:val="-1"/>
        </w:rPr>
        <w:t>s</w:t>
      </w:r>
      <w:r w:rsidRPr="009A0DA6">
        <w:rPr>
          <w:rFonts w:ascii="Cambria" w:eastAsia="Times New Roman" w:hAnsi="Cambria" w:cstheme="minorHAnsi"/>
        </w:rPr>
        <w:t>tat</w:t>
      </w:r>
      <w:r w:rsidRPr="009A0DA6">
        <w:rPr>
          <w:rFonts w:ascii="Cambria" w:eastAsia="Times New Roman" w:hAnsi="Cambria" w:cstheme="minorHAnsi"/>
          <w:spacing w:val="3"/>
        </w:rPr>
        <w:t>e</w:t>
      </w:r>
      <w:r w:rsidRPr="009A0DA6">
        <w:rPr>
          <w:rFonts w:ascii="Cambria" w:eastAsia="Times New Roman" w:hAnsi="Cambria" w:cstheme="minorHAnsi"/>
          <w:spacing w:val="-1"/>
        </w:rPr>
        <w:t>m</w:t>
      </w:r>
      <w:r w:rsidRPr="009A0DA6">
        <w:rPr>
          <w:rFonts w:ascii="Cambria" w:eastAsia="Times New Roman" w:hAnsi="Cambria" w:cstheme="minorHAnsi"/>
          <w:spacing w:val="3"/>
        </w:rPr>
        <w:t>e</w:t>
      </w:r>
      <w:r w:rsidRPr="009A0DA6">
        <w:rPr>
          <w:rFonts w:ascii="Cambria" w:eastAsia="Times New Roman" w:hAnsi="Cambria" w:cstheme="minorHAnsi"/>
          <w:spacing w:val="-1"/>
        </w:rPr>
        <w:t>n</w:t>
      </w:r>
      <w:r w:rsidRPr="009A0DA6">
        <w:rPr>
          <w:rFonts w:ascii="Cambria" w:eastAsia="Times New Roman" w:hAnsi="Cambria" w:cstheme="minorHAnsi"/>
        </w:rPr>
        <w:t>t</w:t>
      </w:r>
      <w:r w:rsidRPr="009A0DA6">
        <w:rPr>
          <w:rFonts w:ascii="Cambria" w:eastAsia="Times New Roman" w:hAnsi="Cambria" w:cstheme="minorHAnsi"/>
          <w:spacing w:val="-8"/>
        </w:rPr>
        <w:t xml:space="preserve"> </w:t>
      </w:r>
      <w:r w:rsidRPr="009A0DA6">
        <w:rPr>
          <w:rFonts w:ascii="Cambria" w:eastAsia="Times New Roman" w:hAnsi="Cambria" w:cstheme="minorHAnsi"/>
          <w:spacing w:val="-2"/>
        </w:rPr>
        <w:t>w</w:t>
      </w:r>
      <w:r w:rsidRPr="009A0DA6">
        <w:rPr>
          <w:rFonts w:ascii="Cambria" w:eastAsia="Times New Roman" w:hAnsi="Cambria" w:cstheme="minorHAnsi"/>
          <w:spacing w:val="1"/>
        </w:rPr>
        <w:t>h</w:t>
      </w:r>
      <w:r w:rsidRPr="009A0DA6">
        <w:rPr>
          <w:rFonts w:ascii="Cambria" w:eastAsia="Times New Roman" w:hAnsi="Cambria" w:cstheme="minorHAnsi"/>
        </w:rPr>
        <w:t>en</w:t>
      </w:r>
      <w:r w:rsidRPr="009A0DA6">
        <w:rPr>
          <w:rFonts w:ascii="Cambria" w:eastAsia="Times New Roman" w:hAnsi="Cambria" w:cstheme="minorHAnsi"/>
          <w:spacing w:val="-5"/>
        </w:rPr>
        <w:t xml:space="preserve"> </w:t>
      </w:r>
      <w:r w:rsidRPr="009A0DA6">
        <w:rPr>
          <w:rFonts w:ascii="Cambria" w:eastAsia="Times New Roman" w:hAnsi="Cambria" w:cstheme="minorHAnsi"/>
          <w:spacing w:val="2"/>
        </w:rPr>
        <w:t>i</w:t>
      </w:r>
      <w:r w:rsidRPr="009A0DA6">
        <w:rPr>
          <w:rFonts w:ascii="Cambria" w:eastAsia="Times New Roman" w:hAnsi="Cambria" w:cstheme="minorHAnsi"/>
        </w:rPr>
        <w:t>t</w:t>
      </w:r>
      <w:r w:rsidRPr="009A0DA6">
        <w:rPr>
          <w:rFonts w:ascii="Cambria" w:eastAsia="Times New Roman" w:hAnsi="Cambria" w:cstheme="minorHAnsi"/>
          <w:spacing w:val="-1"/>
        </w:rPr>
        <w:t xml:space="preserve"> </w:t>
      </w:r>
      <w:r w:rsidRPr="009A0DA6">
        <w:rPr>
          <w:rFonts w:ascii="Cambria" w:eastAsia="Times New Roman" w:hAnsi="Cambria" w:cstheme="minorHAnsi"/>
        </w:rPr>
        <w:t>e</w:t>
      </w:r>
      <w:r w:rsidRPr="009A0DA6">
        <w:rPr>
          <w:rFonts w:ascii="Cambria" w:eastAsia="Times New Roman" w:hAnsi="Cambria" w:cstheme="minorHAnsi"/>
          <w:spacing w:val="-1"/>
        </w:rPr>
        <w:t>x</w:t>
      </w:r>
      <w:r w:rsidRPr="009A0DA6">
        <w:rPr>
          <w:rFonts w:ascii="Cambria" w:eastAsia="Times New Roman" w:hAnsi="Cambria" w:cstheme="minorHAnsi"/>
          <w:spacing w:val="2"/>
        </w:rPr>
        <w:t>i</w:t>
      </w:r>
      <w:r w:rsidRPr="009A0DA6">
        <w:rPr>
          <w:rFonts w:ascii="Cambria" w:eastAsia="Times New Roman" w:hAnsi="Cambria" w:cstheme="minorHAnsi"/>
          <w:spacing w:val="-1"/>
        </w:rPr>
        <w:t>s</w:t>
      </w:r>
      <w:r w:rsidRPr="009A0DA6">
        <w:rPr>
          <w:rFonts w:ascii="Cambria" w:eastAsia="Times New Roman" w:hAnsi="Cambria" w:cstheme="minorHAnsi"/>
        </w:rPr>
        <w:t>t</w:t>
      </w:r>
      <w:r w:rsidRPr="009A0DA6">
        <w:rPr>
          <w:rFonts w:ascii="Cambria" w:eastAsia="Times New Roman" w:hAnsi="Cambria" w:cstheme="minorHAnsi"/>
          <w:spacing w:val="-1"/>
        </w:rPr>
        <w:t>s</w:t>
      </w:r>
      <w:r w:rsidRPr="009A0DA6">
        <w:rPr>
          <w:rFonts w:ascii="Cambria" w:eastAsia="Times New Roman" w:hAnsi="Cambria" w:cstheme="minorHAnsi"/>
        </w:rPr>
        <w:t>.</w:t>
      </w:r>
      <w:r w:rsidRPr="009A0DA6">
        <w:rPr>
          <w:rFonts w:ascii="Cambria" w:eastAsia="Times New Roman" w:hAnsi="Cambria" w:cstheme="minorHAnsi"/>
          <w:spacing w:val="49"/>
        </w:rPr>
        <w:t xml:space="preserve"> </w:t>
      </w:r>
      <w:r w:rsidRPr="009A0DA6">
        <w:rPr>
          <w:rFonts w:ascii="Cambria" w:eastAsia="Times New Roman" w:hAnsi="Cambria" w:cstheme="minorHAnsi"/>
          <w:spacing w:val="1"/>
        </w:rPr>
        <w:t>M</w:t>
      </w:r>
      <w:r w:rsidRPr="009A0DA6">
        <w:rPr>
          <w:rFonts w:ascii="Cambria" w:eastAsia="Times New Roman" w:hAnsi="Cambria" w:cstheme="minorHAnsi"/>
        </w:rPr>
        <w:t>i</w:t>
      </w:r>
      <w:r w:rsidRPr="009A0DA6">
        <w:rPr>
          <w:rFonts w:ascii="Cambria" w:eastAsia="Times New Roman" w:hAnsi="Cambria" w:cstheme="minorHAnsi"/>
          <w:spacing w:val="-1"/>
        </w:rPr>
        <w:t>ss</w:t>
      </w:r>
      <w:r w:rsidRPr="009A0DA6">
        <w:rPr>
          <w:rFonts w:ascii="Cambria" w:eastAsia="Times New Roman" w:hAnsi="Cambria" w:cstheme="minorHAnsi"/>
        </w:rPr>
        <w:t>tat</w:t>
      </w:r>
      <w:r w:rsidRPr="009A0DA6">
        <w:rPr>
          <w:rFonts w:ascii="Cambria" w:eastAsia="Times New Roman" w:hAnsi="Cambria" w:cstheme="minorHAnsi"/>
          <w:spacing w:val="3"/>
        </w:rPr>
        <w:t>e</w:t>
      </w:r>
      <w:r w:rsidRPr="009A0DA6">
        <w:rPr>
          <w:rFonts w:ascii="Cambria" w:eastAsia="Times New Roman" w:hAnsi="Cambria" w:cstheme="minorHAnsi"/>
          <w:spacing w:val="-1"/>
        </w:rPr>
        <w:t>m</w:t>
      </w:r>
      <w:r w:rsidRPr="009A0DA6">
        <w:rPr>
          <w:rFonts w:ascii="Cambria" w:eastAsia="Times New Roman" w:hAnsi="Cambria" w:cstheme="minorHAnsi"/>
          <w:spacing w:val="3"/>
        </w:rPr>
        <w:t>e</w:t>
      </w:r>
      <w:r w:rsidRPr="009A0DA6">
        <w:rPr>
          <w:rFonts w:ascii="Cambria" w:eastAsia="Times New Roman" w:hAnsi="Cambria" w:cstheme="minorHAnsi"/>
          <w:spacing w:val="-1"/>
        </w:rPr>
        <w:t>n</w:t>
      </w:r>
      <w:r w:rsidRPr="009A0DA6">
        <w:rPr>
          <w:rFonts w:ascii="Cambria" w:eastAsia="Times New Roman" w:hAnsi="Cambria" w:cstheme="minorHAnsi"/>
        </w:rPr>
        <w:t>ts</w:t>
      </w:r>
      <w:r w:rsidRPr="009A0DA6">
        <w:rPr>
          <w:rFonts w:ascii="Cambria" w:eastAsia="Times New Roman" w:hAnsi="Cambria" w:cstheme="minorHAnsi"/>
          <w:spacing w:val="-12"/>
        </w:rPr>
        <w:t xml:space="preserve"> </w:t>
      </w:r>
      <w:r w:rsidRPr="009A0DA6">
        <w:rPr>
          <w:rFonts w:ascii="Cambria" w:eastAsia="Times New Roman" w:hAnsi="Cambria" w:cstheme="minorHAnsi"/>
        </w:rPr>
        <w:t>c</w:t>
      </w:r>
      <w:r w:rsidRPr="009A0DA6">
        <w:rPr>
          <w:rFonts w:ascii="Cambria" w:eastAsia="Times New Roman" w:hAnsi="Cambria" w:cstheme="minorHAnsi"/>
          <w:spacing w:val="3"/>
        </w:rPr>
        <w:t>a</w:t>
      </w:r>
      <w:r w:rsidRPr="009A0DA6">
        <w:rPr>
          <w:rFonts w:ascii="Cambria" w:eastAsia="Times New Roman" w:hAnsi="Cambria" w:cstheme="minorHAnsi"/>
        </w:rPr>
        <w:t>n</w:t>
      </w:r>
      <w:r w:rsidRPr="009A0DA6">
        <w:rPr>
          <w:rFonts w:ascii="Cambria" w:eastAsia="Times New Roman" w:hAnsi="Cambria" w:cstheme="minorHAnsi"/>
          <w:spacing w:val="-4"/>
        </w:rPr>
        <w:t xml:space="preserve"> </w:t>
      </w:r>
      <w:r w:rsidRPr="009A0DA6">
        <w:rPr>
          <w:rFonts w:ascii="Cambria" w:eastAsia="Times New Roman" w:hAnsi="Cambria" w:cstheme="minorHAnsi"/>
        </w:rPr>
        <w:t>a</w:t>
      </w:r>
      <w:r w:rsidRPr="009A0DA6">
        <w:rPr>
          <w:rFonts w:ascii="Cambria" w:eastAsia="Times New Roman" w:hAnsi="Cambria" w:cstheme="minorHAnsi"/>
          <w:spacing w:val="1"/>
        </w:rPr>
        <w:t>r</w:t>
      </w:r>
      <w:r w:rsidRPr="009A0DA6">
        <w:rPr>
          <w:rFonts w:ascii="Cambria" w:eastAsia="Times New Roman" w:hAnsi="Cambria" w:cstheme="minorHAnsi"/>
        </w:rPr>
        <w:t>i</w:t>
      </w:r>
      <w:r w:rsidRPr="009A0DA6">
        <w:rPr>
          <w:rFonts w:ascii="Cambria" w:eastAsia="Times New Roman" w:hAnsi="Cambria" w:cstheme="minorHAnsi"/>
          <w:spacing w:val="-1"/>
        </w:rPr>
        <w:t>s</w:t>
      </w:r>
      <w:r w:rsidRPr="009A0DA6">
        <w:rPr>
          <w:rFonts w:ascii="Cambria" w:eastAsia="Times New Roman" w:hAnsi="Cambria" w:cstheme="minorHAnsi"/>
        </w:rPr>
        <w:t>e</w:t>
      </w:r>
      <w:r w:rsidRPr="009A0DA6">
        <w:rPr>
          <w:rFonts w:ascii="Cambria" w:eastAsia="Times New Roman" w:hAnsi="Cambria" w:cstheme="minorHAnsi"/>
          <w:spacing w:val="-1"/>
        </w:rPr>
        <w:t xml:space="preserve"> f</w:t>
      </w:r>
      <w:r w:rsidRPr="009A0DA6">
        <w:rPr>
          <w:rFonts w:ascii="Cambria" w:eastAsia="Times New Roman" w:hAnsi="Cambria" w:cstheme="minorHAnsi"/>
          <w:spacing w:val="1"/>
        </w:rPr>
        <w:t>r</w:t>
      </w:r>
      <w:r w:rsidRPr="009A0DA6">
        <w:rPr>
          <w:rFonts w:ascii="Cambria" w:eastAsia="Times New Roman" w:hAnsi="Cambria" w:cstheme="minorHAnsi"/>
          <w:spacing w:val="4"/>
        </w:rPr>
        <w:t>o</w:t>
      </w:r>
      <w:r w:rsidRPr="009A0DA6">
        <w:rPr>
          <w:rFonts w:ascii="Cambria" w:eastAsia="Times New Roman" w:hAnsi="Cambria" w:cstheme="minorHAnsi"/>
        </w:rPr>
        <w:t>m</w:t>
      </w:r>
      <w:r w:rsidRPr="009A0DA6">
        <w:rPr>
          <w:rFonts w:ascii="Cambria" w:eastAsia="Times New Roman" w:hAnsi="Cambria" w:cstheme="minorHAnsi"/>
          <w:spacing w:val="-5"/>
        </w:rPr>
        <w:t xml:space="preserve"> </w:t>
      </w:r>
      <w:r w:rsidRPr="009A0DA6">
        <w:rPr>
          <w:rFonts w:ascii="Cambria" w:eastAsia="Times New Roman" w:hAnsi="Cambria" w:cstheme="minorHAnsi"/>
          <w:spacing w:val="-1"/>
        </w:rPr>
        <w:t>f</w:t>
      </w:r>
      <w:r w:rsidRPr="009A0DA6">
        <w:rPr>
          <w:rFonts w:ascii="Cambria" w:eastAsia="Times New Roman" w:hAnsi="Cambria" w:cstheme="minorHAnsi"/>
          <w:spacing w:val="1"/>
        </w:rPr>
        <w:t>r</w:t>
      </w:r>
      <w:r w:rsidRPr="009A0DA6">
        <w:rPr>
          <w:rFonts w:ascii="Cambria" w:eastAsia="Times New Roman" w:hAnsi="Cambria" w:cstheme="minorHAnsi"/>
        </w:rPr>
        <w:t>a</w:t>
      </w:r>
      <w:r w:rsidRPr="009A0DA6">
        <w:rPr>
          <w:rFonts w:ascii="Cambria" w:eastAsia="Times New Roman" w:hAnsi="Cambria" w:cstheme="minorHAnsi"/>
          <w:spacing w:val="-1"/>
        </w:rPr>
        <w:t>u</w:t>
      </w:r>
      <w:r w:rsidRPr="009A0DA6">
        <w:rPr>
          <w:rFonts w:ascii="Cambria" w:eastAsia="Times New Roman" w:hAnsi="Cambria" w:cstheme="minorHAnsi"/>
        </w:rPr>
        <w:t>d</w:t>
      </w:r>
      <w:r w:rsidRPr="009A0DA6">
        <w:rPr>
          <w:rFonts w:ascii="Cambria" w:eastAsia="Times New Roman" w:hAnsi="Cambria" w:cstheme="minorHAnsi"/>
          <w:spacing w:val="-2"/>
        </w:rPr>
        <w:t xml:space="preserve"> </w:t>
      </w:r>
      <w:r w:rsidRPr="009A0DA6">
        <w:rPr>
          <w:rFonts w:ascii="Cambria" w:eastAsia="Times New Roman" w:hAnsi="Cambria" w:cstheme="minorHAnsi"/>
          <w:spacing w:val="1"/>
        </w:rPr>
        <w:t>o</w:t>
      </w:r>
      <w:r w:rsidRPr="009A0DA6">
        <w:rPr>
          <w:rFonts w:ascii="Cambria" w:eastAsia="Times New Roman" w:hAnsi="Cambria" w:cstheme="minorHAnsi"/>
        </w:rPr>
        <w:t>r</w:t>
      </w:r>
      <w:r w:rsidRPr="009A0DA6">
        <w:rPr>
          <w:rFonts w:ascii="Cambria" w:eastAsia="Times New Roman" w:hAnsi="Cambria" w:cstheme="minorHAnsi"/>
          <w:spacing w:val="-1"/>
        </w:rPr>
        <w:t xml:space="preserve"> </w:t>
      </w:r>
      <w:r w:rsidRPr="009A0DA6">
        <w:rPr>
          <w:rFonts w:ascii="Cambria" w:eastAsia="Times New Roman" w:hAnsi="Cambria" w:cstheme="minorHAnsi"/>
        </w:rPr>
        <w:t>e</w:t>
      </w:r>
      <w:r w:rsidRPr="009A0DA6">
        <w:rPr>
          <w:rFonts w:ascii="Cambria" w:eastAsia="Times New Roman" w:hAnsi="Cambria" w:cstheme="minorHAnsi"/>
          <w:spacing w:val="1"/>
        </w:rPr>
        <w:t>rro</w:t>
      </w:r>
      <w:r w:rsidRPr="009A0DA6">
        <w:rPr>
          <w:rFonts w:ascii="Cambria" w:eastAsia="Times New Roman" w:hAnsi="Cambria" w:cstheme="minorHAnsi"/>
        </w:rPr>
        <w:t>r</w:t>
      </w:r>
      <w:r w:rsidRPr="009A0DA6">
        <w:rPr>
          <w:rFonts w:ascii="Cambria" w:eastAsia="Times New Roman" w:hAnsi="Cambria" w:cstheme="minorHAnsi"/>
          <w:spacing w:val="-3"/>
        </w:rPr>
        <w:t xml:space="preserve"> </w:t>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spacing w:val="-1"/>
        </w:rPr>
        <w:t xml:space="preserve"> </w:t>
      </w:r>
      <w:r w:rsidRPr="009A0DA6">
        <w:rPr>
          <w:rFonts w:ascii="Cambria" w:eastAsia="Times New Roman" w:hAnsi="Cambria" w:cstheme="minorHAnsi"/>
        </w:rPr>
        <w:t>a</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1"/>
        </w:rPr>
        <w:t xml:space="preserve"> </w:t>
      </w:r>
      <w:r w:rsidRPr="009A0DA6">
        <w:rPr>
          <w:rFonts w:ascii="Cambria" w:eastAsia="Times New Roman" w:hAnsi="Cambria" w:cstheme="minorHAnsi"/>
        </w:rPr>
        <w:t>c</w:t>
      </w:r>
      <w:r w:rsidRPr="009A0DA6">
        <w:rPr>
          <w:rFonts w:ascii="Cambria" w:eastAsia="Times New Roman" w:hAnsi="Cambria" w:cstheme="minorHAnsi"/>
          <w:spacing w:val="1"/>
        </w:rPr>
        <w:t>o</w:t>
      </w:r>
      <w:r w:rsidRPr="009A0DA6">
        <w:rPr>
          <w:rFonts w:ascii="Cambria" w:eastAsia="Times New Roman" w:hAnsi="Cambria" w:cstheme="minorHAnsi"/>
          <w:spacing w:val="-1"/>
        </w:rPr>
        <w:t>ns</w:t>
      </w:r>
      <w:r w:rsidRPr="009A0DA6">
        <w:rPr>
          <w:rFonts w:ascii="Cambria" w:eastAsia="Times New Roman" w:hAnsi="Cambria" w:cstheme="minorHAnsi"/>
        </w:rPr>
        <w:t>i</w:t>
      </w:r>
      <w:r w:rsidRPr="009A0DA6">
        <w:rPr>
          <w:rFonts w:ascii="Cambria" w:eastAsia="Times New Roman" w:hAnsi="Cambria" w:cstheme="minorHAnsi"/>
          <w:spacing w:val="1"/>
        </w:rPr>
        <w:t>d</w:t>
      </w:r>
      <w:r w:rsidRPr="009A0DA6">
        <w:rPr>
          <w:rFonts w:ascii="Cambria" w:eastAsia="Times New Roman" w:hAnsi="Cambria" w:cstheme="minorHAnsi"/>
        </w:rPr>
        <w:t>e</w:t>
      </w:r>
      <w:r w:rsidRPr="009A0DA6">
        <w:rPr>
          <w:rFonts w:ascii="Cambria" w:eastAsia="Times New Roman" w:hAnsi="Cambria" w:cstheme="minorHAnsi"/>
          <w:spacing w:val="1"/>
        </w:rPr>
        <w:t>r</w:t>
      </w:r>
      <w:r w:rsidRPr="009A0DA6">
        <w:rPr>
          <w:rFonts w:ascii="Cambria" w:eastAsia="Times New Roman" w:hAnsi="Cambria" w:cstheme="minorHAnsi"/>
        </w:rPr>
        <w:t>ed</w:t>
      </w:r>
      <w:r w:rsidRPr="009A0DA6">
        <w:rPr>
          <w:rFonts w:ascii="Cambria" w:eastAsia="Times New Roman" w:hAnsi="Cambria" w:cstheme="minorHAnsi"/>
          <w:spacing w:val="-7"/>
        </w:rPr>
        <w:t xml:space="preserve"> </w:t>
      </w:r>
      <w:r w:rsidRPr="009A0DA6">
        <w:rPr>
          <w:rFonts w:ascii="Cambria" w:eastAsia="Times New Roman" w:hAnsi="Cambria" w:cstheme="minorHAnsi"/>
          <w:spacing w:val="-4"/>
        </w:rPr>
        <w:t>m</w:t>
      </w:r>
      <w:r w:rsidRPr="009A0DA6">
        <w:rPr>
          <w:rFonts w:ascii="Cambria" w:eastAsia="Times New Roman" w:hAnsi="Cambria" w:cstheme="minorHAnsi"/>
          <w:spacing w:val="3"/>
        </w:rPr>
        <w:t>a</w:t>
      </w:r>
      <w:r w:rsidRPr="009A0DA6">
        <w:rPr>
          <w:rFonts w:ascii="Cambria" w:eastAsia="Times New Roman" w:hAnsi="Cambria" w:cstheme="minorHAnsi"/>
        </w:rPr>
        <w:t>te</w:t>
      </w:r>
      <w:r w:rsidRPr="009A0DA6">
        <w:rPr>
          <w:rFonts w:ascii="Cambria" w:eastAsia="Times New Roman" w:hAnsi="Cambria" w:cstheme="minorHAnsi"/>
          <w:spacing w:val="1"/>
        </w:rPr>
        <w:t>r</w:t>
      </w:r>
      <w:r w:rsidRPr="009A0DA6">
        <w:rPr>
          <w:rFonts w:ascii="Cambria" w:eastAsia="Times New Roman" w:hAnsi="Cambria" w:cstheme="minorHAnsi"/>
        </w:rPr>
        <w:t>ial</w:t>
      </w:r>
      <w:r w:rsidRPr="009A0DA6">
        <w:rPr>
          <w:rFonts w:ascii="Cambria" w:eastAsia="Times New Roman" w:hAnsi="Cambria" w:cstheme="minorHAnsi"/>
          <w:spacing w:val="-7"/>
        </w:rPr>
        <w:t xml:space="preserve"> </w:t>
      </w:r>
      <w:r w:rsidRPr="009A0DA6">
        <w:rPr>
          <w:rFonts w:ascii="Cambria" w:eastAsia="Times New Roman" w:hAnsi="Cambria" w:cstheme="minorHAnsi"/>
          <w:spacing w:val="2"/>
        </w:rPr>
        <w:t>i</w:t>
      </w:r>
      <w:r w:rsidRPr="009A0DA6">
        <w:rPr>
          <w:rFonts w:ascii="Cambria" w:eastAsia="Times New Roman" w:hAnsi="Cambria" w:cstheme="minorHAnsi"/>
          <w:spacing w:val="-1"/>
        </w:rPr>
        <w:t>f</w:t>
      </w:r>
      <w:r w:rsidRPr="009A0DA6">
        <w:rPr>
          <w:rFonts w:ascii="Cambria" w:eastAsia="Times New Roman" w:hAnsi="Cambria" w:cstheme="minorHAnsi"/>
        </w:rPr>
        <w:t>, i</w:t>
      </w:r>
      <w:r w:rsidRPr="009A0DA6">
        <w:rPr>
          <w:rFonts w:ascii="Cambria" w:eastAsia="Times New Roman" w:hAnsi="Cambria" w:cstheme="minorHAnsi"/>
          <w:spacing w:val="-1"/>
        </w:rPr>
        <w:t>n</w:t>
      </w:r>
      <w:r w:rsidRPr="009A0DA6">
        <w:rPr>
          <w:rFonts w:ascii="Cambria" w:eastAsia="Times New Roman" w:hAnsi="Cambria" w:cstheme="minorHAnsi"/>
          <w:spacing w:val="1"/>
        </w:rPr>
        <w:t>d</w:t>
      </w:r>
      <w:r w:rsidRPr="009A0DA6">
        <w:rPr>
          <w:rFonts w:ascii="Cambria" w:eastAsia="Times New Roman" w:hAnsi="Cambria" w:cstheme="minorHAnsi"/>
        </w:rPr>
        <w:t>i</w:t>
      </w:r>
      <w:r w:rsidRPr="009A0DA6">
        <w:rPr>
          <w:rFonts w:ascii="Cambria" w:eastAsia="Times New Roman" w:hAnsi="Cambria" w:cstheme="minorHAnsi"/>
          <w:spacing w:val="-1"/>
        </w:rPr>
        <w:t>v</w:t>
      </w:r>
      <w:r w:rsidRPr="009A0DA6">
        <w:rPr>
          <w:rFonts w:ascii="Cambria" w:eastAsia="Times New Roman" w:hAnsi="Cambria" w:cstheme="minorHAnsi"/>
        </w:rPr>
        <w:t>i</w:t>
      </w:r>
      <w:r w:rsidRPr="009A0DA6">
        <w:rPr>
          <w:rFonts w:ascii="Cambria" w:eastAsia="Times New Roman" w:hAnsi="Cambria" w:cstheme="minorHAnsi"/>
          <w:spacing w:val="4"/>
        </w:rPr>
        <w:t>d</w:t>
      </w:r>
      <w:r w:rsidRPr="009A0DA6">
        <w:rPr>
          <w:rFonts w:ascii="Cambria" w:eastAsia="Times New Roman" w:hAnsi="Cambria" w:cstheme="minorHAnsi"/>
          <w:spacing w:val="-1"/>
        </w:rPr>
        <w:t>u</w:t>
      </w:r>
      <w:r w:rsidRPr="009A0DA6">
        <w:rPr>
          <w:rFonts w:ascii="Cambria" w:eastAsia="Times New Roman" w:hAnsi="Cambria" w:cstheme="minorHAnsi"/>
        </w:rPr>
        <w:t>al</w:t>
      </w:r>
      <w:r w:rsidRPr="009A0DA6">
        <w:rPr>
          <w:rFonts w:ascii="Cambria" w:eastAsia="Times New Roman" w:hAnsi="Cambria" w:cstheme="minorHAnsi"/>
          <w:spacing w:val="2"/>
        </w:rPr>
        <w:t>l</w:t>
      </w:r>
      <w:r w:rsidRPr="009A0DA6">
        <w:rPr>
          <w:rFonts w:ascii="Cambria" w:eastAsia="Times New Roman" w:hAnsi="Cambria" w:cstheme="minorHAnsi"/>
        </w:rPr>
        <w:t>y</w:t>
      </w:r>
      <w:r w:rsidRPr="009A0DA6">
        <w:rPr>
          <w:rFonts w:ascii="Cambria" w:eastAsia="Times New Roman" w:hAnsi="Cambria" w:cstheme="minorHAnsi"/>
          <w:spacing w:val="-8"/>
        </w:rPr>
        <w:t xml:space="preserve"> </w:t>
      </w:r>
      <w:r w:rsidRPr="009A0DA6">
        <w:rPr>
          <w:rFonts w:ascii="Cambria" w:eastAsia="Times New Roman" w:hAnsi="Cambria" w:cstheme="minorHAnsi"/>
          <w:spacing w:val="1"/>
        </w:rPr>
        <w:t>o</w:t>
      </w:r>
      <w:r w:rsidRPr="009A0DA6">
        <w:rPr>
          <w:rFonts w:ascii="Cambria" w:eastAsia="Times New Roman" w:hAnsi="Cambria" w:cstheme="minorHAnsi"/>
        </w:rPr>
        <w:t>r</w:t>
      </w:r>
      <w:r w:rsidRPr="009A0DA6">
        <w:rPr>
          <w:rFonts w:ascii="Cambria" w:eastAsia="Times New Roman" w:hAnsi="Cambria" w:cstheme="minorHAnsi"/>
          <w:spacing w:val="2"/>
        </w:rPr>
        <w:t xml:space="preserve"> </w:t>
      </w:r>
      <w:r w:rsidRPr="009A0DA6">
        <w:rPr>
          <w:rFonts w:ascii="Cambria" w:eastAsia="Times New Roman" w:hAnsi="Cambria" w:cstheme="minorHAnsi"/>
        </w:rPr>
        <w:t>in 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1"/>
        </w:rPr>
        <w:t xml:space="preserve"> </w:t>
      </w:r>
      <w:r w:rsidRPr="009A0DA6">
        <w:rPr>
          <w:rFonts w:ascii="Cambria" w:eastAsia="Times New Roman" w:hAnsi="Cambria" w:cstheme="minorHAnsi"/>
          <w:spacing w:val="3"/>
        </w:rPr>
        <w:t>a</w:t>
      </w:r>
      <w:r w:rsidRPr="009A0DA6">
        <w:rPr>
          <w:rFonts w:ascii="Cambria" w:eastAsia="Times New Roman" w:hAnsi="Cambria" w:cstheme="minorHAnsi"/>
          <w:spacing w:val="1"/>
        </w:rPr>
        <w:t>g</w:t>
      </w:r>
      <w:r w:rsidRPr="009A0DA6">
        <w:rPr>
          <w:rFonts w:ascii="Cambria" w:eastAsia="Times New Roman" w:hAnsi="Cambria" w:cstheme="minorHAnsi"/>
          <w:spacing w:val="-1"/>
        </w:rPr>
        <w:t>g</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1"/>
        </w:rPr>
        <w:t>g</w:t>
      </w:r>
      <w:r w:rsidRPr="009A0DA6">
        <w:rPr>
          <w:rFonts w:ascii="Cambria" w:eastAsia="Times New Roman" w:hAnsi="Cambria" w:cstheme="minorHAnsi"/>
        </w:rPr>
        <w:t>a</w:t>
      </w:r>
      <w:r w:rsidRPr="009A0DA6">
        <w:rPr>
          <w:rFonts w:ascii="Cambria" w:eastAsia="Times New Roman" w:hAnsi="Cambria" w:cstheme="minorHAnsi"/>
          <w:spacing w:val="2"/>
        </w:rPr>
        <w:t>t</w:t>
      </w:r>
      <w:r w:rsidRPr="009A0DA6">
        <w:rPr>
          <w:rFonts w:ascii="Cambria" w:eastAsia="Times New Roman" w:hAnsi="Cambria" w:cstheme="minorHAnsi"/>
        </w:rPr>
        <w:t>e,</w:t>
      </w:r>
      <w:r w:rsidRPr="009A0DA6">
        <w:rPr>
          <w:rFonts w:ascii="Cambria" w:eastAsia="Times New Roman" w:hAnsi="Cambria" w:cstheme="minorHAnsi"/>
          <w:spacing w:val="-5"/>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spacing w:val="3"/>
        </w:rPr>
        <w:t>e</w:t>
      </w:r>
      <w:r w:rsidRPr="009A0DA6">
        <w:rPr>
          <w:rFonts w:ascii="Cambria" w:eastAsia="Times New Roman" w:hAnsi="Cambria" w:cstheme="minorHAnsi"/>
        </w:rPr>
        <w:t>y</w:t>
      </w:r>
      <w:r w:rsidRPr="009A0DA6">
        <w:rPr>
          <w:rFonts w:ascii="Cambria" w:eastAsia="Times New Roman" w:hAnsi="Cambria" w:cstheme="minorHAnsi"/>
          <w:spacing w:val="-4"/>
        </w:rPr>
        <w:t xml:space="preserve"> </w:t>
      </w:r>
      <w:r w:rsidRPr="009A0DA6">
        <w:rPr>
          <w:rFonts w:ascii="Cambria" w:eastAsia="Times New Roman" w:hAnsi="Cambria" w:cstheme="minorHAnsi"/>
        </w:rPr>
        <w:t>c</w:t>
      </w:r>
      <w:r w:rsidRPr="009A0DA6">
        <w:rPr>
          <w:rFonts w:ascii="Cambria" w:eastAsia="Times New Roman" w:hAnsi="Cambria" w:cstheme="minorHAnsi"/>
          <w:spacing w:val="1"/>
        </w:rPr>
        <w:t>ou</w:t>
      </w:r>
      <w:r w:rsidRPr="009A0DA6">
        <w:rPr>
          <w:rFonts w:ascii="Cambria" w:eastAsia="Times New Roman" w:hAnsi="Cambria" w:cstheme="minorHAnsi"/>
        </w:rPr>
        <w:t xml:space="preserve">ld </w:t>
      </w:r>
      <w:r w:rsidRPr="009A0DA6">
        <w:rPr>
          <w:rFonts w:ascii="Cambria" w:eastAsia="Times New Roman" w:hAnsi="Cambria" w:cstheme="minorHAnsi"/>
          <w:spacing w:val="1"/>
        </w:rPr>
        <w:t>r</w:t>
      </w:r>
      <w:r w:rsidRPr="009A0DA6">
        <w:rPr>
          <w:rFonts w:ascii="Cambria" w:eastAsia="Times New Roman" w:hAnsi="Cambria" w:cstheme="minorHAnsi"/>
        </w:rPr>
        <w:t>ea</w:t>
      </w:r>
      <w:r w:rsidRPr="009A0DA6">
        <w:rPr>
          <w:rFonts w:ascii="Cambria" w:eastAsia="Times New Roman" w:hAnsi="Cambria" w:cstheme="minorHAnsi"/>
          <w:spacing w:val="-1"/>
        </w:rPr>
        <w:t>s</w:t>
      </w:r>
      <w:r w:rsidRPr="009A0DA6">
        <w:rPr>
          <w:rFonts w:ascii="Cambria" w:eastAsia="Times New Roman" w:hAnsi="Cambria" w:cstheme="minorHAnsi"/>
          <w:spacing w:val="1"/>
        </w:rPr>
        <w:t>o</w:t>
      </w:r>
      <w:r w:rsidRPr="009A0DA6">
        <w:rPr>
          <w:rFonts w:ascii="Cambria" w:eastAsia="Times New Roman" w:hAnsi="Cambria" w:cstheme="minorHAnsi"/>
          <w:spacing w:val="-1"/>
        </w:rPr>
        <w:t>n</w:t>
      </w:r>
      <w:r w:rsidRPr="009A0DA6">
        <w:rPr>
          <w:rFonts w:ascii="Cambria" w:eastAsia="Times New Roman" w:hAnsi="Cambria" w:cstheme="minorHAnsi"/>
        </w:rPr>
        <w:t>a</w:t>
      </w:r>
      <w:r w:rsidRPr="009A0DA6">
        <w:rPr>
          <w:rFonts w:ascii="Cambria" w:eastAsia="Times New Roman" w:hAnsi="Cambria" w:cstheme="minorHAnsi"/>
          <w:spacing w:val="1"/>
        </w:rPr>
        <w:t>b</w:t>
      </w:r>
      <w:r w:rsidRPr="009A0DA6">
        <w:rPr>
          <w:rFonts w:ascii="Cambria" w:eastAsia="Times New Roman" w:hAnsi="Cambria" w:cstheme="minorHAnsi"/>
          <w:spacing w:val="2"/>
        </w:rPr>
        <w:t>l</w:t>
      </w:r>
      <w:r w:rsidRPr="009A0DA6">
        <w:rPr>
          <w:rFonts w:ascii="Cambria" w:eastAsia="Times New Roman" w:hAnsi="Cambria" w:cstheme="minorHAnsi"/>
        </w:rPr>
        <w:t>y</w:t>
      </w:r>
      <w:r w:rsidRPr="009A0DA6">
        <w:rPr>
          <w:rFonts w:ascii="Cambria" w:eastAsia="Times New Roman" w:hAnsi="Cambria" w:cstheme="minorHAnsi"/>
          <w:spacing w:val="-10"/>
        </w:rPr>
        <w:t xml:space="preserve"> </w:t>
      </w:r>
      <w:r w:rsidRPr="009A0DA6">
        <w:rPr>
          <w:rFonts w:ascii="Cambria" w:eastAsia="Times New Roman" w:hAnsi="Cambria" w:cstheme="minorHAnsi"/>
          <w:spacing w:val="1"/>
        </w:rPr>
        <w:t>b</w:t>
      </w:r>
      <w:r w:rsidRPr="009A0DA6">
        <w:rPr>
          <w:rFonts w:ascii="Cambria" w:eastAsia="Times New Roman" w:hAnsi="Cambria" w:cstheme="minorHAnsi"/>
        </w:rPr>
        <w:t>e</w:t>
      </w:r>
      <w:r w:rsidRPr="009A0DA6">
        <w:rPr>
          <w:rFonts w:ascii="Cambria" w:eastAsia="Times New Roman" w:hAnsi="Cambria" w:cstheme="minorHAnsi"/>
          <w:spacing w:val="1"/>
        </w:rPr>
        <w:t xml:space="preserve"> </w:t>
      </w:r>
      <w:r w:rsidRPr="009A0DA6">
        <w:rPr>
          <w:rFonts w:ascii="Cambria" w:eastAsia="Times New Roman" w:hAnsi="Cambria" w:cstheme="minorHAnsi"/>
        </w:rPr>
        <w:t>e</w:t>
      </w:r>
      <w:r w:rsidRPr="009A0DA6">
        <w:rPr>
          <w:rFonts w:ascii="Cambria" w:eastAsia="Times New Roman" w:hAnsi="Cambria" w:cstheme="minorHAnsi"/>
          <w:spacing w:val="1"/>
        </w:rPr>
        <w:t>xp</w:t>
      </w:r>
      <w:r w:rsidRPr="009A0DA6">
        <w:rPr>
          <w:rFonts w:ascii="Cambria" w:eastAsia="Times New Roman" w:hAnsi="Cambria" w:cstheme="minorHAnsi"/>
        </w:rPr>
        <w:t>ected</w:t>
      </w:r>
      <w:r w:rsidRPr="009A0DA6">
        <w:rPr>
          <w:rFonts w:ascii="Cambria" w:eastAsia="Times New Roman" w:hAnsi="Cambria" w:cstheme="minorHAnsi"/>
          <w:spacing w:val="-3"/>
        </w:rPr>
        <w:t xml:space="preserve"> </w:t>
      </w:r>
      <w:r w:rsidRPr="009A0DA6">
        <w:rPr>
          <w:rFonts w:ascii="Cambria" w:eastAsia="Times New Roman" w:hAnsi="Cambria" w:cstheme="minorHAnsi"/>
        </w:rPr>
        <w:t>to</w:t>
      </w:r>
      <w:r w:rsidRPr="009A0DA6">
        <w:rPr>
          <w:rFonts w:ascii="Cambria" w:eastAsia="Times New Roman" w:hAnsi="Cambria" w:cstheme="minorHAnsi"/>
          <w:spacing w:val="2"/>
        </w:rPr>
        <w:t xml:space="preserve"> </w:t>
      </w:r>
      <w:r w:rsidRPr="009A0DA6">
        <w:rPr>
          <w:rFonts w:ascii="Cambria" w:eastAsia="Times New Roman" w:hAnsi="Cambria" w:cstheme="minorHAnsi"/>
        </w:rPr>
        <w:t>i</w:t>
      </w:r>
      <w:r w:rsidRPr="009A0DA6">
        <w:rPr>
          <w:rFonts w:ascii="Cambria" w:eastAsia="Times New Roman" w:hAnsi="Cambria" w:cstheme="minorHAnsi"/>
          <w:spacing w:val="-1"/>
        </w:rPr>
        <w:t>nf</w:t>
      </w:r>
      <w:r w:rsidRPr="009A0DA6">
        <w:rPr>
          <w:rFonts w:ascii="Cambria" w:eastAsia="Times New Roman" w:hAnsi="Cambria" w:cstheme="minorHAnsi"/>
        </w:rPr>
        <w:t>l</w:t>
      </w:r>
      <w:r w:rsidRPr="009A0DA6">
        <w:rPr>
          <w:rFonts w:ascii="Cambria" w:eastAsia="Times New Roman" w:hAnsi="Cambria" w:cstheme="minorHAnsi"/>
          <w:spacing w:val="-1"/>
        </w:rPr>
        <w:t>u</w:t>
      </w:r>
      <w:r w:rsidRPr="009A0DA6">
        <w:rPr>
          <w:rFonts w:ascii="Cambria" w:eastAsia="Times New Roman" w:hAnsi="Cambria" w:cstheme="minorHAnsi"/>
          <w:spacing w:val="3"/>
        </w:rPr>
        <w:t>e</w:t>
      </w:r>
      <w:r w:rsidRPr="009A0DA6">
        <w:rPr>
          <w:rFonts w:ascii="Cambria" w:eastAsia="Times New Roman" w:hAnsi="Cambria" w:cstheme="minorHAnsi"/>
          <w:spacing w:val="-1"/>
        </w:rPr>
        <w:t>n</w:t>
      </w:r>
      <w:r w:rsidRPr="009A0DA6">
        <w:rPr>
          <w:rFonts w:ascii="Cambria" w:eastAsia="Times New Roman" w:hAnsi="Cambria" w:cstheme="minorHAnsi"/>
        </w:rPr>
        <w:t>ce</w:t>
      </w:r>
      <w:r w:rsidRPr="009A0DA6">
        <w:rPr>
          <w:rFonts w:ascii="Cambria" w:eastAsia="Times New Roman" w:hAnsi="Cambria" w:cstheme="minorHAnsi"/>
          <w:spacing w:val="-4"/>
        </w:rPr>
        <w:t xml:space="preserve"> </w:t>
      </w:r>
      <w:r w:rsidRPr="009A0DA6">
        <w:rPr>
          <w:rFonts w:ascii="Cambria" w:eastAsia="Times New Roman" w:hAnsi="Cambria" w:cstheme="minorHAnsi"/>
          <w:spacing w:val="2"/>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1"/>
        </w:rPr>
        <w:t xml:space="preserve"> </w:t>
      </w:r>
      <w:r w:rsidRPr="009A0DA6">
        <w:rPr>
          <w:rFonts w:ascii="Cambria" w:eastAsia="Times New Roman" w:hAnsi="Cambria" w:cstheme="minorHAnsi"/>
        </w:rPr>
        <w:t>ec</w:t>
      </w:r>
      <w:r w:rsidRPr="009A0DA6">
        <w:rPr>
          <w:rFonts w:ascii="Cambria" w:eastAsia="Times New Roman" w:hAnsi="Cambria" w:cstheme="minorHAnsi"/>
          <w:spacing w:val="1"/>
        </w:rPr>
        <w:t>o</w:t>
      </w:r>
      <w:r w:rsidRPr="009A0DA6">
        <w:rPr>
          <w:rFonts w:ascii="Cambria" w:eastAsia="Times New Roman" w:hAnsi="Cambria" w:cstheme="minorHAnsi"/>
          <w:spacing w:val="-1"/>
        </w:rPr>
        <w:t>n</w:t>
      </w:r>
      <w:r w:rsidRPr="009A0DA6">
        <w:rPr>
          <w:rFonts w:ascii="Cambria" w:eastAsia="Times New Roman" w:hAnsi="Cambria" w:cstheme="minorHAnsi"/>
          <w:spacing w:val="4"/>
        </w:rPr>
        <w:t>o</w:t>
      </w:r>
      <w:r w:rsidRPr="009A0DA6">
        <w:rPr>
          <w:rFonts w:ascii="Cambria" w:eastAsia="Times New Roman" w:hAnsi="Cambria" w:cstheme="minorHAnsi"/>
          <w:spacing w:val="-1"/>
        </w:rPr>
        <w:t>m</w:t>
      </w:r>
      <w:r w:rsidRPr="009A0DA6">
        <w:rPr>
          <w:rFonts w:ascii="Cambria" w:eastAsia="Times New Roman" w:hAnsi="Cambria" w:cstheme="minorHAnsi"/>
        </w:rPr>
        <w:t>ic</w:t>
      </w:r>
      <w:r w:rsidRPr="009A0DA6">
        <w:rPr>
          <w:rFonts w:ascii="Cambria" w:eastAsia="Times New Roman" w:hAnsi="Cambria" w:cstheme="minorHAnsi"/>
          <w:spacing w:val="-5"/>
        </w:rPr>
        <w:t xml:space="preserve"> </w:t>
      </w:r>
      <w:r w:rsidRPr="009A0DA6">
        <w:rPr>
          <w:rFonts w:ascii="Cambria" w:eastAsia="Times New Roman" w:hAnsi="Cambria" w:cstheme="minorHAnsi"/>
          <w:spacing w:val="1"/>
        </w:rPr>
        <w:t>d</w:t>
      </w:r>
      <w:r w:rsidRPr="009A0DA6">
        <w:rPr>
          <w:rFonts w:ascii="Cambria" w:eastAsia="Times New Roman" w:hAnsi="Cambria" w:cstheme="minorHAnsi"/>
        </w:rPr>
        <w:t>eci</w:t>
      </w:r>
      <w:r w:rsidRPr="009A0DA6">
        <w:rPr>
          <w:rFonts w:ascii="Cambria" w:eastAsia="Times New Roman" w:hAnsi="Cambria" w:cstheme="minorHAnsi"/>
          <w:spacing w:val="-1"/>
        </w:rPr>
        <w:t>s</w:t>
      </w:r>
      <w:r w:rsidRPr="009A0DA6">
        <w:rPr>
          <w:rFonts w:ascii="Cambria" w:eastAsia="Times New Roman" w:hAnsi="Cambria" w:cstheme="minorHAnsi"/>
        </w:rPr>
        <w:t>i</w:t>
      </w:r>
      <w:r w:rsidRPr="009A0DA6">
        <w:rPr>
          <w:rFonts w:ascii="Cambria" w:eastAsia="Times New Roman" w:hAnsi="Cambria" w:cstheme="minorHAnsi"/>
          <w:spacing w:val="4"/>
        </w:rPr>
        <w:t>o</w:t>
      </w:r>
      <w:r w:rsidRPr="009A0DA6">
        <w:rPr>
          <w:rFonts w:ascii="Cambria" w:eastAsia="Times New Roman" w:hAnsi="Cambria" w:cstheme="minorHAnsi"/>
          <w:spacing w:val="-1"/>
        </w:rPr>
        <w:t>n</w:t>
      </w:r>
      <w:r w:rsidRPr="009A0DA6">
        <w:rPr>
          <w:rFonts w:ascii="Cambria" w:eastAsia="Times New Roman" w:hAnsi="Cambria" w:cstheme="minorHAnsi"/>
        </w:rPr>
        <w:t xml:space="preserve">s </w:t>
      </w:r>
      <w:r w:rsidRPr="009A0DA6">
        <w:rPr>
          <w:rFonts w:ascii="Cambria" w:eastAsia="Times New Roman" w:hAnsi="Cambria" w:cstheme="minorHAnsi"/>
          <w:spacing w:val="1"/>
        </w:rPr>
        <w:t>o</w:t>
      </w:r>
      <w:r w:rsidRPr="009A0DA6">
        <w:rPr>
          <w:rFonts w:ascii="Cambria" w:eastAsia="Times New Roman" w:hAnsi="Cambria" w:cstheme="minorHAnsi"/>
        </w:rPr>
        <w:t>f</w:t>
      </w:r>
      <w:r w:rsidRPr="009A0DA6">
        <w:rPr>
          <w:rFonts w:ascii="Cambria" w:eastAsia="Times New Roman" w:hAnsi="Cambria" w:cstheme="minorHAnsi"/>
          <w:spacing w:val="-3"/>
        </w:rPr>
        <w:t xml:space="preserve"> </w:t>
      </w:r>
      <w:r w:rsidRPr="009A0DA6">
        <w:rPr>
          <w:rFonts w:ascii="Cambria" w:eastAsia="Times New Roman" w:hAnsi="Cambria" w:cstheme="minorHAnsi"/>
          <w:spacing w:val="-1"/>
        </w:rPr>
        <w:t>us</w:t>
      </w:r>
      <w:r w:rsidRPr="009A0DA6">
        <w:rPr>
          <w:rFonts w:ascii="Cambria" w:eastAsia="Times New Roman" w:hAnsi="Cambria" w:cstheme="minorHAnsi"/>
        </w:rPr>
        <w:t>e</w:t>
      </w:r>
      <w:r w:rsidRPr="009A0DA6">
        <w:rPr>
          <w:rFonts w:ascii="Cambria" w:eastAsia="Times New Roman" w:hAnsi="Cambria" w:cstheme="minorHAnsi"/>
          <w:spacing w:val="3"/>
        </w:rPr>
        <w:t>r</w:t>
      </w:r>
      <w:r w:rsidRPr="009A0DA6">
        <w:rPr>
          <w:rFonts w:ascii="Cambria" w:eastAsia="Times New Roman" w:hAnsi="Cambria" w:cstheme="minorHAnsi"/>
        </w:rPr>
        <w:t>s</w:t>
      </w:r>
      <w:r w:rsidRPr="009A0DA6">
        <w:rPr>
          <w:rFonts w:ascii="Cambria" w:eastAsia="Times New Roman" w:hAnsi="Cambria" w:cstheme="minorHAnsi"/>
          <w:spacing w:val="-4"/>
        </w:rPr>
        <w:t xml:space="preserve"> </w:t>
      </w:r>
      <w:r w:rsidRPr="009A0DA6">
        <w:rPr>
          <w:rFonts w:ascii="Cambria" w:eastAsia="Times New Roman" w:hAnsi="Cambria" w:cstheme="minorHAnsi"/>
        </w:rPr>
        <w:t>ta</w:t>
      </w:r>
      <w:r w:rsidRPr="009A0DA6">
        <w:rPr>
          <w:rFonts w:ascii="Cambria" w:eastAsia="Times New Roman" w:hAnsi="Cambria" w:cstheme="minorHAnsi"/>
          <w:spacing w:val="-1"/>
        </w:rPr>
        <w:t>k</w:t>
      </w:r>
      <w:r w:rsidRPr="009A0DA6">
        <w:rPr>
          <w:rFonts w:ascii="Cambria" w:eastAsia="Times New Roman" w:hAnsi="Cambria" w:cstheme="minorHAnsi"/>
          <w:spacing w:val="3"/>
        </w:rPr>
        <w:t>e</w:t>
      </w:r>
      <w:r w:rsidRPr="009A0DA6">
        <w:rPr>
          <w:rFonts w:ascii="Cambria" w:eastAsia="Times New Roman" w:hAnsi="Cambria" w:cstheme="minorHAnsi"/>
        </w:rPr>
        <w:t>n</w:t>
      </w:r>
      <w:r w:rsidRPr="009A0DA6">
        <w:rPr>
          <w:rFonts w:ascii="Cambria" w:eastAsia="Times New Roman" w:hAnsi="Cambria" w:cstheme="minorHAnsi"/>
          <w:spacing w:val="-5"/>
        </w:rPr>
        <w:t xml:space="preserve"> </w:t>
      </w:r>
      <w:r w:rsidRPr="009A0DA6">
        <w:rPr>
          <w:rFonts w:ascii="Cambria" w:eastAsia="Times New Roman" w:hAnsi="Cambria" w:cstheme="minorHAnsi"/>
          <w:spacing w:val="1"/>
        </w:rPr>
        <w:t>o</w:t>
      </w:r>
      <w:r w:rsidRPr="009A0DA6">
        <w:rPr>
          <w:rFonts w:ascii="Cambria" w:eastAsia="Times New Roman" w:hAnsi="Cambria" w:cstheme="minorHAnsi"/>
        </w:rPr>
        <w:t>n</w:t>
      </w:r>
      <w:r w:rsidRPr="009A0DA6">
        <w:rPr>
          <w:rFonts w:ascii="Cambria" w:eastAsia="Times New Roman" w:hAnsi="Cambria" w:cstheme="minorHAnsi"/>
          <w:spacing w:val="-3"/>
        </w:rPr>
        <w:t xml:space="preserve"> </w:t>
      </w:r>
      <w:r w:rsidRPr="009A0DA6">
        <w:rPr>
          <w:rFonts w:ascii="Cambria" w:eastAsia="Times New Roman" w:hAnsi="Cambria" w:cstheme="minorHAnsi"/>
          <w:spacing w:val="2"/>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1"/>
        </w:rPr>
        <w:t xml:space="preserve"> </w:t>
      </w:r>
      <w:r w:rsidRPr="009A0DA6">
        <w:rPr>
          <w:rFonts w:ascii="Cambria" w:eastAsia="Times New Roman" w:hAnsi="Cambria" w:cstheme="minorHAnsi"/>
          <w:spacing w:val="1"/>
        </w:rPr>
        <w:t>b</w:t>
      </w:r>
      <w:r w:rsidRPr="009A0DA6">
        <w:rPr>
          <w:rFonts w:ascii="Cambria" w:eastAsia="Times New Roman" w:hAnsi="Cambria" w:cstheme="minorHAnsi"/>
        </w:rPr>
        <w:t>a</w:t>
      </w:r>
      <w:r w:rsidRPr="009A0DA6">
        <w:rPr>
          <w:rFonts w:ascii="Cambria" w:eastAsia="Times New Roman" w:hAnsi="Cambria" w:cstheme="minorHAnsi"/>
          <w:spacing w:val="-1"/>
        </w:rPr>
        <w:t>s</w:t>
      </w:r>
      <w:r w:rsidRPr="009A0DA6">
        <w:rPr>
          <w:rFonts w:ascii="Cambria" w:eastAsia="Times New Roman" w:hAnsi="Cambria" w:cstheme="minorHAnsi"/>
        </w:rPr>
        <w:t>is</w:t>
      </w:r>
      <w:r w:rsidRPr="009A0DA6">
        <w:rPr>
          <w:rFonts w:ascii="Cambria" w:eastAsia="Times New Roman" w:hAnsi="Cambria" w:cstheme="minorHAnsi"/>
          <w:spacing w:val="-4"/>
        </w:rPr>
        <w:t xml:space="preserve"> </w:t>
      </w:r>
      <w:r w:rsidRPr="009A0DA6">
        <w:rPr>
          <w:rFonts w:ascii="Cambria" w:eastAsia="Times New Roman" w:hAnsi="Cambria" w:cstheme="minorHAnsi"/>
          <w:spacing w:val="1"/>
        </w:rPr>
        <w:t>o</w:t>
      </w:r>
      <w:r w:rsidRPr="009A0DA6">
        <w:rPr>
          <w:rFonts w:ascii="Cambria" w:eastAsia="Times New Roman" w:hAnsi="Cambria" w:cstheme="minorHAnsi"/>
        </w:rPr>
        <w:t>f</w:t>
      </w:r>
      <w:r w:rsidRPr="009A0DA6">
        <w:rPr>
          <w:rFonts w:ascii="Cambria" w:eastAsia="Times New Roman" w:hAnsi="Cambria" w:cstheme="minorHAnsi"/>
          <w:spacing w:val="-3"/>
        </w:rPr>
        <w:t xml:space="preserve"> </w:t>
      </w:r>
      <w:r w:rsidRPr="009A0DA6">
        <w:rPr>
          <w:rFonts w:ascii="Cambria" w:eastAsia="Times New Roman" w:hAnsi="Cambria" w:cstheme="minorHAnsi"/>
          <w:spacing w:val="2"/>
        </w:rPr>
        <w:t>t</w:t>
      </w:r>
      <w:r w:rsidRPr="009A0DA6">
        <w:rPr>
          <w:rFonts w:ascii="Cambria" w:eastAsia="Times New Roman" w:hAnsi="Cambria" w:cstheme="minorHAnsi"/>
          <w:spacing w:val="-1"/>
        </w:rPr>
        <w:t>h</w:t>
      </w:r>
      <w:r w:rsidRPr="009A0DA6">
        <w:rPr>
          <w:rFonts w:ascii="Cambria" w:eastAsia="Times New Roman" w:hAnsi="Cambria" w:cstheme="minorHAnsi"/>
        </w:rPr>
        <w:t>is</w:t>
      </w:r>
      <w:r w:rsidRPr="009A0DA6">
        <w:rPr>
          <w:rFonts w:ascii="Cambria" w:eastAsia="Times New Roman" w:hAnsi="Cambria" w:cstheme="minorHAnsi"/>
          <w:spacing w:val="-1"/>
        </w:rPr>
        <w:t xml:space="preserve"> f</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rPr>
        <w:t>ci</w:t>
      </w:r>
      <w:r w:rsidRPr="009A0DA6">
        <w:rPr>
          <w:rFonts w:ascii="Cambria" w:eastAsia="Times New Roman" w:hAnsi="Cambria" w:cstheme="minorHAnsi"/>
          <w:spacing w:val="3"/>
        </w:rPr>
        <w:t>a</w:t>
      </w:r>
      <w:r w:rsidRPr="009A0DA6">
        <w:rPr>
          <w:rFonts w:ascii="Cambria" w:eastAsia="Times New Roman" w:hAnsi="Cambria" w:cstheme="minorHAnsi"/>
        </w:rPr>
        <w:t>l</w:t>
      </w:r>
      <w:r w:rsidRPr="009A0DA6">
        <w:rPr>
          <w:rFonts w:ascii="Cambria" w:eastAsia="Times New Roman" w:hAnsi="Cambria" w:cstheme="minorHAnsi"/>
          <w:spacing w:val="-7"/>
        </w:rPr>
        <w:t xml:space="preserve"> </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1"/>
        </w:rPr>
        <w:t>por</w:t>
      </w:r>
      <w:r w:rsidRPr="009A0DA6">
        <w:rPr>
          <w:rFonts w:ascii="Cambria" w:eastAsia="Times New Roman" w:hAnsi="Cambria" w:cstheme="minorHAnsi"/>
        </w:rPr>
        <w:t>t.</w:t>
      </w:r>
    </w:p>
    <w:p w14:paraId="792CA05B" w14:textId="77777777" w:rsidR="00B81951" w:rsidRPr="007408EE" w:rsidRDefault="00B81951" w:rsidP="00BA4592">
      <w:pPr>
        <w:spacing w:before="120" w:after="120" w:line="240" w:lineRule="auto"/>
        <w:ind w:right="-107"/>
        <w:contextualSpacing/>
        <w:rPr>
          <w:rFonts w:ascii="Cambria" w:eastAsiaTheme="minorEastAsia" w:hAnsi="Cambria" w:cstheme="minorHAnsi"/>
          <w:sz w:val="10"/>
        </w:rPr>
      </w:pPr>
    </w:p>
    <w:p w14:paraId="41093069" w14:textId="77777777" w:rsidR="00BA4592" w:rsidRPr="009A0DA6" w:rsidRDefault="00BA4592" w:rsidP="00BA4592">
      <w:pPr>
        <w:spacing w:before="120" w:after="120" w:line="240" w:lineRule="auto"/>
        <w:ind w:right="-107"/>
        <w:contextualSpacing/>
        <w:rPr>
          <w:rFonts w:ascii="Cambria" w:eastAsia="Times New Roman" w:hAnsi="Cambria" w:cstheme="minorHAnsi"/>
        </w:rPr>
      </w:pPr>
      <w:r w:rsidRPr="009A0DA6">
        <w:rPr>
          <w:rFonts w:ascii="Cambria" w:eastAsia="Times New Roman" w:hAnsi="Cambria" w:cstheme="minorHAnsi"/>
        </w:rPr>
        <w:t>As</w:t>
      </w:r>
      <w:r w:rsidRPr="009A0DA6">
        <w:rPr>
          <w:rFonts w:ascii="Cambria" w:eastAsia="Times New Roman" w:hAnsi="Cambria" w:cstheme="minorHAnsi"/>
          <w:spacing w:val="29"/>
        </w:rPr>
        <w:t xml:space="preserve"> </w:t>
      </w:r>
      <w:r w:rsidRPr="009A0DA6">
        <w:rPr>
          <w:rFonts w:ascii="Cambria" w:eastAsia="Times New Roman" w:hAnsi="Cambria" w:cstheme="minorHAnsi"/>
          <w:spacing w:val="1"/>
        </w:rPr>
        <w:t>p</w:t>
      </w:r>
      <w:r w:rsidRPr="009A0DA6">
        <w:rPr>
          <w:rFonts w:ascii="Cambria" w:eastAsia="Times New Roman" w:hAnsi="Cambria" w:cstheme="minorHAnsi"/>
        </w:rPr>
        <w:t>a</w:t>
      </w:r>
      <w:r w:rsidRPr="009A0DA6">
        <w:rPr>
          <w:rFonts w:ascii="Cambria" w:eastAsia="Times New Roman" w:hAnsi="Cambria" w:cstheme="minorHAnsi"/>
          <w:spacing w:val="1"/>
        </w:rPr>
        <w:t>r</w:t>
      </w:r>
      <w:r w:rsidRPr="009A0DA6">
        <w:rPr>
          <w:rFonts w:ascii="Cambria" w:eastAsia="Times New Roman" w:hAnsi="Cambria" w:cstheme="minorHAnsi"/>
        </w:rPr>
        <w:t>t</w:t>
      </w:r>
      <w:r w:rsidRPr="009A0DA6">
        <w:rPr>
          <w:rFonts w:ascii="Cambria" w:eastAsia="Times New Roman" w:hAnsi="Cambria" w:cstheme="minorHAnsi"/>
          <w:spacing w:val="28"/>
        </w:rPr>
        <w:t xml:space="preserve"> </w:t>
      </w:r>
      <w:r w:rsidRPr="009A0DA6">
        <w:rPr>
          <w:rFonts w:ascii="Cambria" w:eastAsia="Times New Roman" w:hAnsi="Cambria" w:cstheme="minorHAnsi"/>
          <w:spacing w:val="1"/>
        </w:rPr>
        <w:t>o</w:t>
      </w:r>
      <w:r w:rsidRPr="009A0DA6">
        <w:rPr>
          <w:rFonts w:ascii="Cambria" w:eastAsia="Times New Roman" w:hAnsi="Cambria" w:cstheme="minorHAnsi"/>
        </w:rPr>
        <w:t>f</w:t>
      </w:r>
      <w:r w:rsidRPr="009A0DA6">
        <w:rPr>
          <w:rFonts w:ascii="Cambria" w:eastAsia="Times New Roman" w:hAnsi="Cambria" w:cstheme="minorHAnsi"/>
          <w:spacing w:val="28"/>
        </w:rPr>
        <w:t xml:space="preserve"> </w:t>
      </w:r>
      <w:r w:rsidRPr="009A0DA6">
        <w:rPr>
          <w:rFonts w:ascii="Cambria" w:eastAsia="Times New Roman" w:hAnsi="Cambria" w:cstheme="minorHAnsi"/>
        </w:rPr>
        <w:t>an</w:t>
      </w:r>
      <w:r w:rsidRPr="009A0DA6">
        <w:rPr>
          <w:rFonts w:ascii="Cambria" w:eastAsia="Times New Roman" w:hAnsi="Cambria" w:cstheme="minorHAnsi"/>
          <w:spacing w:val="28"/>
        </w:rPr>
        <w:t xml:space="preserve"> </w:t>
      </w:r>
      <w:r w:rsidRPr="009A0DA6">
        <w:rPr>
          <w:rFonts w:ascii="Cambria" w:eastAsia="Times New Roman" w:hAnsi="Cambria" w:cstheme="minorHAnsi"/>
        </w:rPr>
        <w:t>a</w:t>
      </w:r>
      <w:r w:rsidRPr="009A0DA6">
        <w:rPr>
          <w:rFonts w:ascii="Cambria" w:eastAsia="Times New Roman" w:hAnsi="Cambria" w:cstheme="minorHAnsi"/>
          <w:spacing w:val="-1"/>
        </w:rPr>
        <w:t>u</w:t>
      </w:r>
      <w:r w:rsidRPr="009A0DA6">
        <w:rPr>
          <w:rFonts w:ascii="Cambria" w:eastAsia="Times New Roman" w:hAnsi="Cambria" w:cstheme="minorHAnsi"/>
          <w:spacing w:val="1"/>
        </w:rPr>
        <w:t>d</w:t>
      </w:r>
      <w:r w:rsidRPr="009A0DA6">
        <w:rPr>
          <w:rFonts w:ascii="Cambria" w:eastAsia="Times New Roman" w:hAnsi="Cambria" w:cstheme="minorHAnsi"/>
        </w:rPr>
        <w:t>it</w:t>
      </w:r>
      <w:r w:rsidRPr="009A0DA6">
        <w:rPr>
          <w:rFonts w:ascii="Cambria" w:eastAsia="Times New Roman" w:hAnsi="Cambria" w:cstheme="minorHAnsi"/>
          <w:spacing w:val="27"/>
        </w:rPr>
        <w:t xml:space="preserve"> </w:t>
      </w:r>
      <w:r w:rsidRPr="009A0DA6">
        <w:rPr>
          <w:rFonts w:ascii="Cambria" w:eastAsia="Times New Roman" w:hAnsi="Cambria" w:cstheme="minorHAnsi"/>
        </w:rPr>
        <w:t>in</w:t>
      </w:r>
      <w:r w:rsidRPr="009A0DA6">
        <w:rPr>
          <w:rFonts w:ascii="Cambria" w:eastAsia="Times New Roman" w:hAnsi="Cambria" w:cstheme="minorHAnsi"/>
          <w:spacing w:val="28"/>
        </w:rPr>
        <w:t xml:space="preserve"> </w:t>
      </w:r>
      <w:r w:rsidRPr="009A0DA6">
        <w:rPr>
          <w:rFonts w:ascii="Cambria" w:eastAsia="Times New Roman" w:hAnsi="Cambria" w:cstheme="minorHAnsi"/>
        </w:rPr>
        <w:t>acc</w:t>
      </w:r>
      <w:r w:rsidRPr="009A0DA6">
        <w:rPr>
          <w:rFonts w:ascii="Cambria" w:eastAsia="Times New Roman" w:hAnsi="Cambria" w:cstheme="minorHAnsi"/>
          <w:spacing w:val="1"/>
        </w:rPr>
        <w:t>o</w:t>
      </w:r>
      <w:r w:rsidRPr="009A0DA6">
        <w:rPr>
          <w:rFonts w:ascii="Cambria" w:eastAsia="Times New Roman" w:hAnsi="Cambria" w:cstheme="minorHAnsi"/>
          <w:spacing w:val="-1"/>
        </w:rPr>
        <w:t>r</w:t>
      </w:r>
      <w:r w:rsidRPr="009A0DA6">
        <w:rPr>
          <w:rFonts w:ascii="Cambria" w:eastAsia="Times New Roman" w:hAnsi="Cambria" w:cstheme="minorHAnsi"/>
          <w:spacing w:val="1"/>
        </w:rPr>
        <w:t>d</w:t>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rPr>
        <w:t>ce</w:t>
      </w:r>
      <w:r w:rsidRPr="009A0DA6">
        <w:rPr>
          <w:rFonts w:ascii="Cambria" w:eastAsia="Times New Roman" w:hAnsi="Cambria" w:cstheme="minorHAnsi"/>
          <w:spacing w:val="25"/>
        </w:rPr>
        <w:t xml:space="preserve"> </w:t>
      </w:r>
      <w:r w:rsidRPr="009A0DA6">
        <w:rPr>
          <w:rFonts w:ascii="Cambria" w:eastAsia="Times New Roman" w:hAnsi="Cambria" w:cstheme="minorHAnsi"/>
          <w:spacing w:val="-5"/>
        </w:rPr>
        <w:t>w</w:t>
      </w:r>
      <w:r w:rsidRPr="009A0DA6">
        <w:rPr>
          <w:rFonts w:ascii="Cambria" w:eastAsia="Times New Roman" w:hAnsi="Cambria" w:cstheme="minorHAnsi"/>
        </w:rPr>
        <w:t>i</w:t>
      </w:r>
      <w:r w:rsidRPr="009A0DA6">
        <w:rPr>
          <w:rFonts w:ascii="Cambria" w:eastAsia="Times New Roman" w:hAnsi="Cambria" w:cstheme="minorHAnsi"/>
          <w:spacing w:val="2"/>
        </w:rPr>
        <w:t>t</w:t>
      </w:r>
      <w:r w:rsidRPr="009A0DA6">
        <w:rPr>
          <w:rFonts w:ascii="Cambria" w:eastAsia="Times New Roman" w:hAnsi="Cambria" w:cstheme="minorHAnsi"/>
        </w:rPr>
        <w:t>h</w:t>
      </w:r>
      <w:r w:rsidRPr="009A0DA6">
        <w:rPr>
          <w:rFonts w:ascii="Cambria" w:eastAsia="Times New Roman" w:hAnsi="Cambria" w:cstheme="minorHAnsi"/>
          <w:spacing w:val="26"/>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32"/>
        </w:rPr>
        <w:t xml:space="preserve"> </w:t>
      </w:r>
      <w:r w:rsidRPr="009A0DA6">
        <w:rPr>
          <w:rFonts w:ascii="Cambria" w:eastAsia="Times New Roman" w:hAnsi="Cambria" w:cstheme="minorHAnsi"/>
          <w:spacing w:val="-2"/>
        </w:rPr>
        <w:t>A</w:t>
      </w:r>
      <w:r w:rsidRPr="009A0DA6">
        <w:rPr>
          <w:rFonts w:ascii="Cambria" w:eastAsia="Times New Roman" w:hAnsi="Cambria" w:cstheme="minorHAnsi"/>
          <w:spacing w:val="1"/>
        </w:rPr>
        <w:t>u</w:t>
      </w:r>
      <w:r w:rsidRPr="009A0DA6">
        <w:rPr>
          <w:rFonts w:ascii="Cambria" w:eastAsia="Times New Roman" w:hAnsi="Cambria" w:cstheme="minorHAnsi"/>
          <w:spacing w:val="-1"/>
        </w:rPr>
        <w:t>s</w:t>
      </w:r>
      <w:r w:rsidRPr="009A0DA6">
        <w:rPr>
          <w:rFonts w:ascii="Cambria" w:eastAsia="Times New Roman" w:hAnsi="Cambria" w:cstheme="minorHAnsi"/>
        </w:rPr>
        <w:t>t</w:t>
      </w:r>
      <w:r w:rsidRPr="009A0DA6">
        <w:rPr>
          <w:rFonts w:ascii="Cambria" w:eastAsia="Times New Roman" w:hAnsi="Cambria" w:cstheme="minorHAnsi"/>
          <w:spacing w:val="1"/>
        </w:rPr>
        <w:t>r</w:t>
      </w:r>
      <w:r w:rsidRPr="009A0DA6">
        <w:rPr>
          <w:rFonts w:ascii="Cambria" w:eastAsia="Times New Roman" w:hAnsi="Cambria" w:cstheme="minorHAnsi"/>
        </w:rPr>
        <w:t>ali</w:t>
      </w:r>
      <w:r w:rsidRPr="009A0DA6">
        <w:rPr>
          <w:rFonts w:ascii="Cambria" w:eastAsia="Times New Roman" w:hAnsi="Cambria" w:cstheme="minorHAnsi"/>
          <w:spacing w:val="3"/>
        </w:rPr>
        <w:t>a</w:t>
      </w:r>
      <w:r w:rsidRPr="009A0DA6">
        <w:rPr>
          <w:rFonts w:ascii="Cambria" w:eastAsia="Times New Roman" w:hAnsi="Cambria" w:cstheme="minorHAnsi"/>
        </w:rPr>
        <w:t>n</w:t>
      </w:r>
      <w:r w:rsidRPr="009A0DA6">
        <w:rPr>
          <w:rFonts w:ascii="Cambria" w:eastAsia="Times New Roman" w:hAnsi="Cambria" w:cstheme="minorHAnsi"/>
          <w:spacing w:val="22"/>
        </w:rPr>
        <w:t xml:space="preserve"> </w:t>
      </w:r>
      <w:r w:rsidRPr="009A0DA6">
        <w:rPr>
          <w:rFonts w:ascii="Cambria" w:eastAsia="Times New Roman" w:hAnsi="Cambria" w:cstheme="minorHAnsi"/>
        </w:rPr>
        <w:t>A</w:t>
      </w:r>
      <w:r w:rsidRPr="009A0DA6">
        <w:rPr>
          <w:rFonts w:ascii="Cambria" w:eastAsia="Times New Roman" w:hAnsi="Cambria" w:cstheme="minorHAnsi"/>
          <w:spacing w:val="-1"/>
        </w:rPr>
        <w:t>u</w:t>
      </w:r>
      <w:r w:rsidRPr="009A0DA6">
        <w:rPr>
          <w:rFonts w:ascii="Cambria" w:eastAsia="Times New Roman" w:hAnsi="Cambria" w:cstheme="minorHAnsi"/>
          <w:spacing w:val="1"/>
        </w:rPr>
        <w:t>d</w:t>
      </w:r>
      <w:r w:rsidRPr="009A0DA6">
        <w:rPr>
          <w:rFonts w:ascii="Cambria" w:eastAsia="Times New Roman" w:hAnsi="Cambria" w:cstheme="minorHAnsi"/>
        </w:rPr>
        <w:t>iti</w:t>
      </w:r>
      <w:r w:rsidRPr="009A0DA6">
        <w:rPr>
          <w:rFonts w:ascii="Cambria" w:eastAsia="Times New Roman" w:hAnsi="Cambria" w:cstheme="minorHAnsi"/>
          <w:spacing w:val="1"/>
        </w:rPr>
        <w:t>n</w:t>
      </w:r>
      <w:r w:rsidRPr="009A0DA6">
        <w:rPr>
          <w:rFonts w:ascii="Cambria" w:eastAsia="Times New Roman" w:hAnsi="Cambria" w:cstheme="minorHAnsi"/>
        </w:rPr>
        <w:t>g</w:t>
      </w:r>
      <w:r w:rsidRPr="009A0DA6">
        <w:rPr>
          <w:rFonts w:ascii="Cambria" w:eastAsia="Times New Roman" w:hAnsi="Cambria" w:cstheme="minorHAnsi"/>
          <w:spacing w:val="23"/>
        </w:rPr>
        <w:t xml:space="preserve"> </w:t>
      </w:r>
      <w:r w:rsidRPr="009A0DA6">
        <w:rPr>
          <w:rFonts w:ascii="Cambria" w:eastAsia="Times New Roman" w:hAnsi="Cambria" w:cstheme="minorHAnsi"/>
        </w:rPr>
        <w:t>St</w:t>
      </w:r>
      <w:r w:rsidRPr="009A0DA6">
        <w:rPr>
          <w:rFonts w:ascii="Cambria" w:eastAsia="Times New Roman" w:hAnsi="Cambria" w:cstheme="minorHAnsi"/>
          <w:spacing w:val="3"/>
        </w:rPr>
        <w:t>a</w:t>
      </w:r>
      <w:r w:rsidRPr="009A0DA6">
        <w:rPr>
          <w:rFonts w:ascii="Cambria" w:eastAsia="Times New Roman" w:hAnsi="Cambria" w:cstheme="minorHAnsi"/>
          <w:spacing w:val="-1"/>
        </w:rPr>
        <w:t>n</w:t>
      </w:r>
      <w:r w:rsidRPr="009A0DA6">
        <w:rPr>
          <w:rFonts w:ascii="Cambria" w:eastAsia="Times New Roman" w:hAnsi="Cambria" w:cstheme="minorHAnsi"/>
          <w:spacing w:val="1"/>
        </w:rPr>
        <w:t>d</w:t>
      </w:r>
      <w:r w:rsidRPr="009A0DA6">
        <w:rPr>
          <w:rFonts w:ascii="Cambria" w:eastAsia="Times New Roman" w:hAnsi="Cambria" w:cstheme="minorHAnsi"/>
        </w:rPr>
        <w:t>a</w:t>
      </w:r>
      <w:r w:rsidRPr="009A0DA6">
        <w:rPr>
          <w:rFonts w:ascii="Cambria" w:eastAsia="Times New Roman" w:hAnsi="Cambria" w:cstheme="minorHAnsi"/>
          <w:spacing w:val="1"/>
        </w:rPr>
        <w:t>rd</w:t>
      </w:r>
      <w:r w:rsidRPr="009A0DA6">
        <w:rPr>
          <w:rFonts w:ascii="Cambria" w:eastAsia="Times New Roman" w:hAnsi="Cambria" w:cstheme="minorHAnsi"/>
          <w:spacing w:val="-1"/>
        </w:rPr>
        <w:t>s</w:t>
      </w:r>
      <w:r w:rsidRPr="009A0DA6">
        <w:rPr>
          <w:rFonts w:ascii="Cambria" w:eastAsia="Times New Roman" w:hAnsi="Cambria" w:cstheme="minorHAnsi"/>
        </w:rPr>
        <w:t>,</w:t>
      </w:r>
      <w:r w:rsidRPr="009A0DA6">
        <w:rPr>
          <w:rFonts w:ascii="Cambria" w:eastAsia="Times New Roman" w:hAnsi="Cambria" w:cstheme="minorHAnsi"/>
          <w:spacing w:val="27"/>
        </w:rPr>
        <w:t xml:space="preserve"> </w:t>
      </w:r>
      <w:r w:rsidRPr="009A0DA6">
        <w:rPr>
          <w:rFonts w:ascii="Cambria" w:eastAsia="Times New Roman" w:hAnsi="Cambria" w:cstheme="minorHAnsi"/>
          <w:spacing w:val="-5"/>
        </w:rPr>
        <w:t>w</w:t>
      </w:r>
      <w:r w:rsidRPr="009A0DA6">
        <w:rPr>
          <w:rFonts w:ascii="Cambria" w:eastAsia="Times New Roman" w:hAnsi="Cambria" w:cstheme="minorHAnsi"/>
        </w:rPr>
        <w:t>e</w:t>
      </w:r>
      <w:r w:rsidRPr="009A0DA6">
        <w:rPr>
          <w:rFonts w:ascii="Cambria" w:eastAsia="Times New Roman" w:hAnsi="Cambria" w:cstheme="minorHAnsi"/>
          <w:spacing w:val="30"/>
        </w:rPr>
        <w:t xml:space="preserve"> </w:t>
      </w:r>
      <w:r w:rsidRPr="009A0DA6">
        <w:rPr>
          <w:rFonts w:ascii="Cambria" w:eastAsia="Times New Roman" w:hAnsi="Cambria" w:cstheme="minorHAnsi"/>
        </w:rPr>
        <w:t>e</w:t>
      </w:r>
      <w:r w:rsidRPr="009A0DA6">
        <w:rPr>
          <w:rFonts w:ascii="Cambria" w:eastAsia="Times New Roman" w:hAnsi="Cambria" w:cstheme="minorHAnsi"/>
          <w:spacing w:val="-1"/>
        </w:rPr>
        <w:t>x</w:t>
      </w:r>
      <w:r w:rsidRPr="009A0DA6">
        <w:rPr>
          <w:rFonts w:ascii="Cambria" w:eastAsia="Times New Roman" w:hAnsi="Cambria" w:cstheme="minorHAnsi"/>
        </w:rPr>
        <w:t>e</w:t>
      </w:r>
      <w:r w:rsidRPr="009A0DA6">
        <w:rPr>
          <w:rFonts w:ascii="Cambria" w:eastAsia="Times New Roman" w:hAnsi="Cambria" w:cstheme="minorHAnsi"/>
          <w:spacing w:val="1"/>
        </w:rPr>
        <w:t>r</w:t>
      </w:r>
      <w:r w:rsidRPr="009A0DA6">
        <w:rPr>
          <w:rFonts w:ascii="Cambria" w:eastAsia="Times New Roman" w:hAnsi="Cambria" w:cstheme="minorHAnsi"/>
        </w:rPr>
        <w:t>ci</w:t>
      </w:r>
      <w:r w:rsidRPr="009A0DA6">
        <w:rPr>
          <w:rFonts w:ascii="Cambria" w:eastAsia="Times New Roman" w:hAnsi="Cambria" w:cstheme="minorHAnsi"/>
          <w:spacing w:val="2"/>
        </w:rPr>
        <w:t>s</w:t>
      </w:r>
      <w:r w:rsidRPr="009A0DA6">
        <w:rPr>
          <w:rFonts w:ascii="Cambria" w:eastAsia="Times New Roman" w:hAnsi="Cambria" w:cstheme="minorHAnsi"/>
        </w:rPr>
        <w:t>e</w:t>
      </w:r>
      <w:r w:rsidRPr="009A0DA6">
        <w:rPr>
          <w:rFonts w:ascii="Cambria" w:eastAsia="Times New Roman" w:hAnsi="Cambria" w:cstheme="minorHAnsi"/>
          <w:spacing w:val="25"/>
        </w:rPr>
        <w:t xml:space="preserve"> </w:t>
      </w:r>
      <w:r w:rsidRPr="009A0DA6">
        <w:rPr>
          <w:rFonts w:ascii="Cambria" w:eastAsia="Times New Roman" w:hAnsi="Cambria" w:cstheme="minorHAnsi"/>
          <w:spacing w:val="1"/>
        </w:rPr>
        <w:t>pro</w:t>
      </w:r>
      <w:r w:rsidRPr="009A0DA6">
        <w:rPr>
          <w:rFonts w:ascii="Cambria" w:eastAsia="Times New Roman" w:hAnsi="Cambria" w:cstheme="minorHAnsi"/>
          <w:spacing w:val="-1"/>
        </w:rPr>
        <w:t>f</w:t>
      </w:r>
      <w:r w:rsidRPr="009A0DA6">
        <w:rPr>
          <w:rFonts w:ascii="Cambria" w:eastAsia="Times New Roman" w:hAnsi="Cambria" w:cstheme="minorHAnsi"/>
        </w:rPr>
        <w:t>e</w:t>
      </w:r>
      <w:r w:rsidRPr="009A0DA6">
        <w:rPr>
          <w:rFonts w:ascii="Cambria" w:eastAsia="Times New Roman" w:hAnsi="Cambria" w:cstheme="minorHAnsi"/>
          <w:spacing w:val="-1"/>
        </w:rPr>
        <w:t>ss</w:t>
      </w:r>
      <w:r w:rsidRPr="009A0DA6">
        <w:rPr>
          <w:rFonts w:ascii="Cambria" w:eastAsia="Times New Roman" w:hAnsi="Cambria" w:cstheme="minorHAnsi"/>
        </w:rPr>
        <w:t>i</w:t>
      </w:r>
      <w:r w:rsidRPr="009A0DA6">
        <w:rPr>
          <w:rFonts w:ascii="Cambria" w:eastAsia="Times New Roman" w:hAnsi="Cambria" w:cstheme="minorHAnsi"/>
          <w:spacing w:val="1"/>
        </w:rPr>
        <w:t>o</w:t>
      </w:r>
      <w:r w:rsidRPr="009A0DA6">
        <w:rPr>
          <w:rFonts w:ascii="Cambria" w:eastAsia="Times New Roman" w:hAnsi="Cambria" w:cstheme="minorHAnsi"/>
          <w:spacing w:val="-1"/>
        </w:rPr>
        <w:t>n</w:t>
      </w:r>
      <w:r w:rsidRPr="009A0DA6">
        <w:rPr>
          <w:rFonts w:ascii="Cambria" w:eastAsia="Times New Roman" w:hAnsi="Cambria" w:cstheme="minorHAnsi"/>
        </w:rPr>
        <w:t xml:space="preserve">al </w:t>
      </w:r>
      <w:r w:rsidRPr="009A0DA6">
        <w:rPr>
          <w:rFonts w:ascii="Cambria" w:eastAsia="Times New Roman" w:hAnsi="Cambria" w:cstheme="minorHAnsi"/>
          <w:spacing w:val="2"/>
        </w:rPr>
        <w:t>j</w:t>
      </w:r>
      <w:r w:rsidRPr="009A0DA6">
        <w:rPr>
          <w:rFonts w:ascii="Cambria" w:eastAsia="Times New Roman" w:hAnsi="Cambria" w:cstheme="minorHAnsi"/>
          <w:spacing w:val="-1"/>
        </w:rPr>
        <w:t>u</w:t>
      </w:r>
      <w:r w:rsidRPr="009A0DA6">
        <w:rPr>
          <w:rFonts w:ascii="Cambria" w:eastAsia="Times New Roman" w:hAnsi="Cambria" w:cstheme="minorHAnsi"/>
          <w:spacing w:val="1"/>
        </w:rPr>
        <w:t>d</w:t>
      </w:r>
      <w:r w:rsidRPr="009A0DA6">
        <w:rPr>
          <w:rFonts w:ascii="Cambria" w:eastAsia="Times New Roman" w:hAnsi="Cambria" w:cstheme="minorHAnsi"/>
          <w:spacing w:val="-1"/>
        </w:rPr>
        <w:t>g</w:t>
      </w:r>
      <w:r w:rsidRPr="009A0DA6">
        <w:rPr>
          <w:rFonts w:ascii="Cambria" w:eastAsia="Times New Roman" w:hAnsi="Cambria" w:cstheme="minorHAnsi"/>
          <w:spacing w:val="3"/>
        </w:rPr>
        <w:t>e</w:t>
      </w:r>
      <w:r w:rsidRPr="009A0DA6">
        <w:rPr>
          <w:rFonts w:ascii="Cambria" w:eastAsia="Times New Roman" w:hAnsi="Cambria" w:cstheme="minorHAnsi"/>
          <w:spacing w:val="-4"/>
        </w:rPr>
        <w:t>m</w:t>
      </w:r>
      <w:r w:rsidRPr="009A0DA6">
        <w:rPr>
          <w:rFonts w:ascii="Cambria" w:eastAsia="Times New Roman" w:hAnsi="Cambria" w:cstheme="minorHAnsi"/>
          <w:spacing w:val="3"/>
        </w:rPr>
        <w:t>e</w:t>
      </w:r>
      <w:r w:rsidRPr="009A0DA6">
        <w:rPr>
          <w:rFonts w:ascii="Cambria" w:eastAsia="Times New Roman" w:hAnsi="Cambria" w:cstheme="minorHAnsi"/>
          <w:spacing w:val="-1"/>
        </w:rPr>
        <w:t>n</w:t>
      </w:r>
      <w:r w:rsidRPr="009A0DA6">
        <w:rPr>
          <w:rFonts w:ascii="Cambria" w:eastAsia="Times New Roman" w:hAnsi="Cambria" w:cstheme="minorHAnsi"/>
        </w:rPr>
        <w:t>t</w:t>
      </w:r>
      <w:r w:rsidRPr="009A0DA6">
        <w:rPr>
          <w:rFonts w:ascii="Cambria" w:eastAsia="Times New Roman" w:hAnsi="Cambria" w:cstheme="minorHAnsi"/>
          <w:spacing w:val="-8"/>
        </w:rPr>
        <w:t xml:space="preserve"> </w:t>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spacing w:val="1"/>
        </w:rPr>
        <w:t xml:space="preserve"> </w:t>
      </w:r>
      <w:r w:rsidRPr="009A0DA6">
        <w:rPr>
          <w:rFonts w:ascii="Cambria" w:eastAsia="Times New Roman" w:hAnsi="Cambria" w:cstheme="minorHAnsi"/>
          <w:spacing w:val="-1"/>
        </w:rPr>
        <w:t>m</w:t>
      </w:r>
      <w:r w:rsidRPr="009A0DA6">
        <w:rPr>
          <w:rFonts w:ascii="Cambria" w:eastAsia="Times New Roman" w:hAnsi="Cambria" w:cstheme="minorHAnsi"/>
        </w:rPr>
        <w:t>ai</w:t>
      </w:r>
      <w:r w:rsidRPr="009A0DA6">
        <w:rPr>
          <w:rFonts w:ascii="Cambria" w:eastAsia="Times New Roman" w:hAnsi="Cambria" w:cstheme="minorHAnsi"/>
          <w:spacing w:val="1"/>
        </w:rPr>
        <w:t>n</w:t>
      </w:r>
      <w:r w:rsidRPr="009A0DA6">
        <w:rPr>
          <w:rFonts w:ascii="Cambria" w:eastAsia="Times New Roman" w:hAnsi="Cambria" w:cstheme="minorHAnsi"/>
        </w:rPr>
        <w:t>tain</w:t>
      </w:r>
      <w:r w:rsidRPr="009A0DA6">
        <w:rPr>
          <w:rFonts w:ascii="Cambria" w:eastAsia="Times New Roman" w:hAnsi="Cambria" w:cstheme="minorHAnsi"/>
          <w:spacing w:val="-8"/>
        </w:rPr>
        <w:t xml:space="preserve"> </w:t>
      </w:r>
      <w:r w:rsidRPr="009A0DA6">
        <w:rPr>
          <w:rFonts w:ascii="Cambria" w:eastAsia="Times New Roman" w:hAnsi="Cambria" w:cstheme="minorHAnsi"/>
          <w:spacing w:val="1"/>
        </w:rPr>
        <w:t>pro</w:t>
      </w:r>
      <w:r w:rsidRPr="009A0DA6">
        <w:rPr>
          <w:rFonts w:ascii="Cambria" w:eastAsia="Times New Roman" w:hAnsi="Cambria" w:cstheme="minorHAnsi"/>
          <w:spacing w:val="-1"/>
        </w:rPr>
        <w:t>f</w:t>
      </w:r>
      <w:r w:rsidRPr="009A0DA6">
        <w:rPr>
          <w:rFonts w:ascii="Cambria" w:eastAsia="Times New Roman" w:hAnsi="Cambria" w:cstheme="minorHAnsi"/>
          <w:spacing w:val="3"/>
        </w:rPr>
        <w:t>e</w:t>
      </w:r>
      <w:r w:rsidRPr="009A0DA6">
        <w:rPr>
          <w:rFonts w:ascii="Cambria" w:eastAsia="Times New Roman" w:hAnsi="Cambria" w:cstheme="minorHAnsi"/>
          <w:spacing w:val="-1"/>
        </w:rPr>
        <w:t>ss</w:t>
      </w:r>
      <w:r w:rsidRPr="009A0DA6">
        <w:rPr>
          <w:rFonts w:ascii="Cambria" w:eastAsia="Times New Roman" w:hAnsi="Cambria" w:cstheme="minorHAnsi"/>
        </w:rPr>
        <w:t>i</w:t>
      </w:r>
      <w:r w:rsidRPr="009A0DA6">
        <w:rPr>
          <w:rFonts w:ascii="Cambria" w:eastAsia="Times New Roman" w:hAnsi="Cambria" w:cstheme="minorHAnsi"/>
          <w:spacing w:val="1"/>
        </w:rPr>
        <w:t>o</w:t>
      </w:r>
      <w:r w:rsidRPr="009A0DA6">
        <w:rPr>
          <w:rFonts w:ascii="Cambria" w:eastAsia="Times New Roman" w:hAnsi="Cambria" w:cstheme="minorHAnsi"/>
          <w:spacing w:val="-1"/>
        </w:rPr>
        <w:t>n</w:t>
      </w:r>
      <w:r w:rsidRPr="009A0DA6">
        <w:rPr>
          <w:rFonts w:ascii="Cambria" w:eastAsia="Times New Roman" w:hAnsi="Cambria" w:cstheme="minorHAnsi"/>
          <w:spacing w:val="3"/>
        </w:rPr>
        <w:t>a</w:t>
      </w:r>
      <w:r w:rsidRPr="009A0DA6">
        <w:rPr>
          <w:rFonts w:ascii="Cambria" w:eastAsia="Times New Roman" w:hAnsi="Cambria" w:cstheme="minorHAnsi"/>
        </w:rPr>
        <w:t>l</w:t>
      </w:r>
      <w:r w:rsidRPr="009A0DA6">
        <w:rPr>
          <w:rFonts w:ascii="Cambria" w:eastAsia="Times New Roman" w:hAnsi="Cambria" w:cstheme="minorHAnsi"/>
          <w:spacing w:val="-10"/>
        </w:rPr>
        <w:t xml:space="preserve"> </w:t>
      </w:r>
      <w:r w:rsidRPr="009A0DA6">
        <w:rPr>
          <w:rFonts w:ascii="Cambria" w:eastAsia="Times New Roman" w:hAnsi="Cambria" w:cstheme="minorHAnsi"/>
          <w:spacing w:val="-1"/>
        </w:rPr>
        <w:t>s</w:t>
      </w:r>
      <w:r w:rsidRPr="009A0DA6">
        <w:rPr>
          <w:rFonts w:ascii="Cambria" w:eastAsia="Times New Roman" w:hAnsi="Cambria" w:cstheme="minorHAnsi"/>
        </w:rPr>
        <w:t>ce</w:t>
      </w:r>
      <w:r w:rsidRPr="009A0DA6">
        <w:rPr>
          <w:rFonts w:ascii="Cambria" w:eastAsia="Times New Roman" w:hAnsi="Cambria" w:cstheme="minorHAnsi"/>
          <w:spacing w:val="1"/>
        </w:rPr>
        <w:t>p</w:t>
      </w:r>
      <w:r w:rsidRPr="009A0DA6">
        <w:rPr>
          <w:rFonts w:ascii="Cambria" w:eastAsia="Times New Roman" w:hAnsi="Cambria" w:cstheme="minorHAnsi"/>
        </w:rPr>
        <w:t>tici</w:t>
      </w:r>
      <w:r w:rsidRPr="009A0DA6">
        <w:rPr>
          <w:rFonts w:ascii="Cambria" w:eastAsia="Times New Roman" w:hAnsi="Cambria" w:cstheme="minorHAnsi"/>
          <w:spacing w:val="2"/>
        </w:rPr>
        <w:t>s</w:t>
      </w:r>
      <w:r w:rsidRPr="009A0DA6">
        <w:rPr>
          <w:rFonts w:ascii="Cambria" w:eastAsia="Times New Roman" w:hAnsi="Cambria" w:cstheme="minorHAnsi"/>
        </w:rPr>
        <w:t>m</w:t>
      </w:r>
      <w:r w:rsidRPr="009A0DA6">
        <w:rPr>
          <w:rFonts w:ascii="Cambria" w:eastAsia="Times New Roman" w:hAnsi="Cambria" w:cstheme="minorHAnsi"/>
          <w:spacing w:val="-9"/>
        </w:rPr>
        <w:t xml:space="preserve"> </w:t>
      </w:r>
      <w:r w:rsidRPr="009A0DA6">
        <w:rPr>
          <w:rFonts w:ascii="Cambria" w:eastAsia="Times New Roman" w:hAnsi="Cambria" w:cstheme="minorHAnsi"/>
          <w:spacing w:val="2"/>
        </w:rPr>
        <w:t>t</w:t>
      </w:r>
      <w:r w:rsidRPr="009A0DA6">
        <w:rPr>
          <w:rFonts w:ascii="Cambria" w:eastAsia="Times New Roman" w:hAnsi="Cambria" w:cstheme="minorHAnsi"/>
          <w:spacing w:val="-1"/>
        </w:rPr>
        <w:t>h</w:t>
      </w:r>
      <w:r w:rsidRPr="009A0DA6">
        <w:rPr>
          <w:rFonts w:ascii="Cambria" w:eastAsia="Times New Roman" w:hAnsi="Cambria" w:cstheme="minorHAnsi"/>
          <w:spacing w:val="1"/>
        </w:rPr>
        <w:t>rou</w:t>
      </w:r>
      <w:r w:rsidRPr="009A0DA6">
        <w:rPr>
          <w:rFonts w:ascii="Cambria" w:eastAsia="Times New Roman" w:hAnsi="Cambria" w:cstheme="minorHAnsi"/>
          <w:spacing w:val="-1"/>
        </w:rPr>
        <w:t>gh</w:t>
      </w:r>
      <w:r w:rsidRPr="009A0DA6">
        <w:rPr>
          <w:rFonts w:ascii="Cambria" w:eastAsia="Times New Roman" w:hAnsi="Cambria" w:cstheme="minorHAnsi"/>
          <w:spacing w:val="4"/>
        </w:rPr>
        <w:t>o</w:t>
      </w:r>
      <w:r w:rsidRPr="009A0DA6">
        <w:rPr>
          <w:rFonts w:ascii="Cambria" w:eastAsia="Times New Roman" w:hAnsi="Cambria" w:cstheme="minorHAnsi"/>
          <w:spacing w:val="-1"/>
        </w:rPr>
        <w:t>u</w:t>
      </w:r>
      <w:r w:rsidRPr="009A0DA6">
        <w:rPr>
          <w:rFonts w:ascii="Cambria" w:eastAsia="Times New Roman" w:hAnsi="Cambria" w:cstheme="minorHAnsi"/>
        </w:rPr>
        <w:t>t</w:t>
      </w:r>
      <w:r w:rsidRPr="009A0DA6">
        <w:rPr>
          <w:rFonts w:ascii="Cambria" w:eastAsia="Times New Roman" w:hAnsi="Cambria" w:cstheme="minorHAnsi"/>
          <w:spacing w:val="-6"/>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1"/>
        </w:rPr>
        <w:t xml:space="preserve"> </w:t>
      </w:r>
      <w:r w:rsidRPr="009A0DA6">
        <w:rPr>
          <w:rFonts w:ascii="Cambria" w:eastAsia="Times New Roman" w:hAnsi="Cambria" w:cstheme="minorHAnsi"/>
        </w:rPr>
        <w:t>a</w:t>
      </w:r>
      <w:r w:rsidRPr="009A0DA6">
        <w:rPr>
          <w:rFonts w:ascii="Cambria" w:eastAsia="Times New Roman" w:hAnsi="Cambria" w:cstheme="minorHAnsi"/>
          <w:spacing w:val="-1"/>
        </w:rPr>
        <w:t>u</w:t>
      </w:r>
      <w:r w:rsidRPr="009A0DA6">
        <w:rPr>
          <w:rFonts w:ascii="Cambria" w:eastAsia="Times New Roman" w:hAnsi="Cambria" w:cstheme="minorHAnsi"/>
          <w:spacing w:val="1"/>
        </w:rPr>
        <w:t>d</w:t>
      </w:r>
      <w:r w:rsidRPr="009A0DA6">
        <w:rPr>
          <w:rFonts w:ascii="Cambria" w:eastAsia="Times New Roman" w:hAnsi="Cambria" w:cstheme="minorHAnsi"/>
        </w:rPr>
        <w:t>it.</w:t>
      </w:r>
      <w:r w:rsidRPr="009A0DA6">
        <w:rPr>
          <w:rFonts w:ascii="Cambria" w:eastAsia="Times New Roman" w:hAnsi="Cambria" w:cstheme="minorHAnsi"/>
          <w:spacing w:val="-3"/>
        </w:rPr>
        <w:t xml:space="preserve"> </w:t>
      </w:r>
      <w:r w:rsidRPr="009A0DA6">
        <w:rPr>
          <w:rFonts w:ascii="Cambria" w:eastAsia="Times New Roman" w:hAnsi="Cambria" w:cstheme="minorHAnsi"/>
          <w:spacing w:val="2"/>
        </w:rPr>
        <w:t>W</w:t>
      </w:r>
      <w:r w:rsidRPr="009A0DA6">
        <w:rPr>
          <w:rFonts w:ascii="Cambria" w:eastAsia="Times New Roman" w:hAnsi="Cambria" w:cstheme="minorHAnsi"/>
        </w:rPr>
        <w:t>e</w:t>
      </w:r>
      <w:r w:rsidRPr="009A0DA6">
        <w:rPr>
          <w:rFonts w:ascii="Cambria" w:eastAsia="Times New Roman" w:hAnsi="Cambria" w:cstheme="minorHAnsi"/>
          <w:spacing w:val="-2"/>
        </w:rPr>
        <w:t xml:space="preserve"> </w:t>
      </w:r>
      <w:r w:rsidRPr="009A0DA6">
        <w:rPr>
          <w:rFonts w:ascii="Cambria" w:eastAsia="Times New Roman" w:hAnsi="Cambria" w:cstheme="minorHAnsi"/>
        </w:rPr>
        <w:t>al</w:t>
      </w:r>
      <w:r w:rsidRPr="009A0DA6">
        <w:rPr>
          <w:rFonts w:ascii="Cambria" w:eastAsia="Times New Roman" w:hAnsi="Cambria" w:cstheme="minorHAnsi"/>
          <w:spacing w:val="-1"/>
        </w:rPr>
        <w:t>s</w:t>
      </w:r>
      <w:r w:rsidRPr="009A0DA6">
        <w:rPr>
          <w:rFonts w:ascii="Cambria" w:eastAsia="Times New Roman" w:hAnsi="Cambria" w:cstheme="minorHAnsi"/>
          <w:spacing w:val="1"/>
        </w:rPr>
        <w:t>o</w:t>
      </w:r>
      <w:r w:rsidRPr="009A0DA6">
        <w:rPr>
          <w:rFonts w:ascii="Cambria" w:eastAsia="Times New Roman" w:hAnsi="Cambria" w:cstheme="minorHAnsi"/>
        </w:rPr>
        <w:t>:</w:t>
      </w:r>
    </w:p>
    <w:p w14:paraId="1892F9FF" w14:textId="67DD0FD7" w:rsidR="00BA4592" w:rsidRPr="009A0DA6" w:rsidRDefault="00BA4592" w:rsidP="00F55252">
      <w:pPr>
        <w:pStyle w:val="ListParagraph"/>
        <w:widowControl w:val="0"/>
        <w:numPr>
          <w:ilvl w:val="0"/>
          <w:numId w:val="274"/>
        </w:numPr>
        <w:spacing w:before="120" w:after="120" w:line="240" w:lineRule="auto"/>
        <w:ind w:left="567" w:right="-107" w:hanging="567"/>
        <w:rPr>
          <w:rFonts w:ascii="Cambria" w:eastAsia="Times New Roman" w:hAnsi="Cambria" w:cstheme="minorHAnsi"/>
        </w:rPr>
      </w:pPr>
      <w:r w:rsidRPr="009A0DA6">
        <w:rPr>
          <w:rFonts w:ascii="Cambria" w:eastAsia="Times New Roman" w:hAnsi="Cambria" w:cstheme="minorHAnsi"/>
          <w:spacing w:val="1"/>
        </w:rPr>
        <w:t>Id</w:t>
      </w:r>
      <w:r w:rsidRPr="009A0DA6">
        <w:rPr>
          <w:rFonts w:ascii="Cambria" w:eastAsia="Times New Roman" w:hAnsi="Cambria" w:cstheme="minorHAnsi"/>
        </w:rPr>
        <w:t>e</w:t>
      </w:r>
      <w:r w:rsidRPr="009A0DA6">
        <w:rPr>
          <w:rFonts w:ascii="Cambria" w:eastAsia="Times New Roman" w:hAnsi="Cambria" w:cstheme="minorHAnsi"/>
          <w:spacing w:val="-1"/>
        </w:rPr>
        <w:t>n</w:t>
      </w:r>
      <w:r w:rsidRPr="009A0DA6">
        <w:rPr>
          <w:rFonts w:ascii="Cambria" w:eastAsia="Times New Roman" w:hAnsi="Cambria" w:cstheme="minorHAnsi"/>
        </w:rPr>
        <w:t>ti</w:t>
      </w:r>
      <w:r w:rsidRPr="009A0DA6">
        <w:rPr>
          <w:rFonts w:ascii="Cambria" w:eastAsia="Times New Roman" w:hAnsi="Cambria" w:cstheme="minorHAnsi"/>
          <w:spacing w:val="1"/>
        </w:rPr>
        <w:t>f</w:t>
      </w:r>
      <w:r w:rsidRPr="009A0DA6">
        <w:rPr>
          <w:rFonts w:ascii="Cambria" w:eastAsia="Times New Roman" w:hAnsi="Cambria" w:cstheme="minorHAnsi"/>
        </w:rPr>
        <w:t>y</w:t>
      </w:r>
      <w:r w:rsidRPr="009A0DA6">
        <w:rPr>
          <w:rFonts w:ascii="Cambria" w:eastAsia="Times New Roman" w:hAnsi="Cambria" w:cstheme="minorHAnsi"/>
          <w:spacing w:val="3"/>
        </w:rPr>
        <w:t xml:space="preserve"> </w:t>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spacing w:val="8"/>
        </w:rPr>
        <w:t xml:space="preserve"> </w:t>
      </w:r>
      <w:r w:rsidRPr="009A0DA6">
        <w:rPr>
          <w:rFonts w:ascii="Cambria" w:eastAsia="Times New Roman" w:hAnsi="Cambria" w:cstheme="minorHAnsi"/>
        </w:rPr>
        <w:t>a</w:t>
      </w:r>
      <w:r w:rsidRPr="009A0DA6">
        <w:rPr>
          <w:rFonts w:ascii="Cambria" w:eastAsia="Times New Roman" w:hAnsi="Cambria" w:cstheme="minorHAnsi"/>
          <w:spacing w:val="2"/>
        </w:rPr>
        <w:t>s</w:t>
      </w:r>
      <w:r w:rsidRPr="009A0DA6">
        <w:rPr>
          <w:rFonts w:ascii="Cambria" w:eastAsia="Times New Roman" w:hAnsi="Cambria" w:cstheme="minorHAnsi"/>
          <w:spacing w:val="-1"/>
        </w:rPr>
        <w:t>s</w:t>
      </w:r>
      <w:r w:rsidRPr="009A0DA6">
        <w:rPr>
          <w:rFonts w:ascii="Cambria" w:eastAsia="Times New Roman" w:hAnsi="Cambria" w:cstheme="minorHAnsi"/>
        </w:rPr>
        <w:t>e</w:t>
      </w:r>
      <w:r w:rsidRPr="009A0DA6">
        <w:rPr>
          <w:rFonts w:ascii="Cambria" w:eastAsia="Times New Roman" w:hAnsi="Cambria" w:cstheme="minorHAnsi"/>
          <w:spacing w:val="2"/>
        </w:rPr>
        <w:t>s</w:t>
      </w:r>
      <w:r w:rsidRPr="009A0DA6">
        <w:rPr>
          <w:rFonts w:ascii="Cambria" w:eastAsia="Times New Roman" w:hAnsi="Cambria" w:cstheme="minorHAnsi"/>
        </w:rPr>
        <w:t>s</w:t>
      </w:r>
      <w:r w:rsidRPr="009A0DA6">
        <w:rPr>
          <w:rFonts w:ascii="Cambria" w:eastAsia="Times New Roman" w:hAnsi="Cambria" w:cstheme="minorHAnsi"/>
          <w:spacing w:val="4"/>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8"/>
        </w:rPr>
        <w:t xml:space="preserve"> </w:t>
      </w:r>
      <w:r w:rsidRPr="009A0DA6">
        <w:rPr>
          <w:rFonts w:ascii="Cambria" w:eastAsia="Times New Roman" w:hAnsi="Cambria" w:cstheme="minorHAnsi"/>
          <w:spacing w:val="1"/>
        </w:rPr>
        <w:t>r</w:t>
      </w:r>
      <w:r w:rsidRPr="009A0DA6">
        <w:rPr>
          <w:rFonts w:ascii="Cambria" w:eastAsia="Times New Roman" w:hAnsi="Cambria" w:cstheme="minorHAnsi"/>
          <w:spacing w:val="2"/>
        </w:rPr>
        <w:t>i</w:t>
      </w:r>
      <w:r w:rsidRPr="009A0DA6">
        <w:rPr>
          <w:rFonts w:ascii="Cambria" w:eastAsia="Times New Roman" w:hAnsi="Cambria" w:cstheme="minorHAnsi"/>
          <w:spacing w:val="-1"/>
        </w:rPr>
        <w:t>s</w:t>
      </w:r>
      <w:r w:rsidRPr="009A0DA6">
        <w:rPr>
          <w:rFonts w:ascii="Cambria" w:eastAsia="Times New Roman" w:hAnsi="Cambria" w:cstheme="minorHAnsi"/>
          <w:spacing w:val="1"/>
        </w:rPr>
        <w:t>k</w:t>
      </w:r>
      <w:r w:rsidRPr="009A0DA6">
        <w:rPr>
          <w:rFonts w:ascii="Cambria" w:eastAsia="Times New Roman" w:hAnsi="Cambria" w:cstheme="minorHAnsi"/>
        </w:rPr>
        <w:t>s</w:t>
      </w:r>
      <w:r w:rsidRPr="009A0DA6">
        <w:rPr>
          <w:rFonts w:ascii="Cambria" w:eastAsia="Times New Roman" w:hAnsi="Cambria" w:cstheme="minorHAnsi"/>
          <w:spacing w:val="5"/>
        </w:rPr>
        <w:t xml:space="preserve"> </w:t>
      </w:r>
      <w:r w:rsidRPr="009A0DA6">
        <w:rPr>
          <w:rFonts w:ascii="Cambria" w:eastAsia="Times New Roman" w:hAnsi="Cambria" w:cstheme="minorHAnsi"/>
          <w:spacing w:val="1"/>
        </w:rPr>
        <w:t>o</w:t>
      </w:r>
      <w:r w:rsidRPr="009A0DA6">
        <w:rPr>
          <w:rFonts w:ascii="Cambria" w:eastAsia="Times New Roman" w:hAnsi="Cambria" w:cstheme="minorHAnsi"/>
        </w:rPr>
        <w:t>f</w:t>
      </w:r>
      <w:r w:rsidRPr="009A0DA6">
        <w:rPr>
          <w:rFonts w:ascii="Cambria" w:eastAsia="Times New Roman" w:hAnsi="Cambria" w:cstheme="minorHAnsi"/>
          <w:spacing w:val="9"/>
        </w:rPr>
        <w:t xml:space="preserve"> </w:t>
      </w:r>
      <w:r w:rsidRPr="009A0DA6">
        <w:rPr>
          <w:rFonts w:ascii="Cambria" w:eastAsia="Times New Roman" w:hAnsi="Cambria" w:cstheme="minorHAnsi"/>
          <w:spacing w:val="-4"/>
        </w:rPr>
        <w:t>m</w:t>
      </w:r>
      <w:r w:rsidRPr="009A0DA6">
        <w:rPr>
          <w:rFonts w:ascii="Cambria" w:eastAsia="Times New Roman" w:hAnsi="Cambria" w:cstheme="minorHAnsi"/>
          <w:spacing w:val="3"/>
        </w:rPr>
        <w:t>a</w:t>
      </w:r>
      <w:r w:rsidRPr="009A0DA6">
        <w:rPr>
          <w:rFonts w:ascii="Cambria" w:eastAsia="Times New Roman" w:hAnsi="Cambria" w:cstheme="minorHAnsi"/>
        </w:rPr>
        <w:t>te</w:t>
      </w:r>
      <w:r w:rsidRPr="009A0DA6">
        <w:rPr>
          <w:rFonts w:ascii="Cambria" w:eastAsia="Times New Roman" w:hAnsi="Cambria" w:cstheme="minorHAnsi"/>
          <w:spacing w:val="1"/>
        </w:rPr>
        <w:t>r</w:t>
      </w:r>
      <w:r w:rsidRPr="009A0DA6">
        <w:rPr>
          <w:rFonts w:ascii="Cambria" w:eastAsia="Times New Roman" w:hAnsi="Cambria" w:cstheme="minorHAnsi"/>
        </w:rPr>
        <w:t>ial</w:t>
      </w:r>
      <w:r w:rsidRPr="009A0DA6">
        <w:rPr>
          <w:rFonts w:ascii="Cambria" w:eastAsia="Times New Roman" w:hAnsi="Cambria" w:cstheme="minorHAnsi"/>
          <w:spacing w:val="5"/>
        </w:rPr>
        <w:t xml:space="preserve"> </w:t>
      </w:r>
      <w:r w:rsidRPr="009A0DA6">
        <w:rPr>
          <w:rFonts w:ascii="Cambria" w:eastAsia="Times New Roman" w:hAnsi="Cambria" w:cstheme="minorHAnsi"/>
          <w:spacing w:val="-1"/>
        </w:rPr>
        <w:t>m</w:t>
      </w:r>
      <w:r w:rsidRPr="009A0DA6">
        <w:rPr>
          <w:rFonts w:ascii="Cambria" w:eastAsia="Times New Roman" w:hAnsi="Cambria" w:cstheme="minorHAnsi"/>
        </w:rPr>
        <w:t>i</w:t>
      </w:r>
      <w:r w:rsidRPr="009A0DA6">
        <w:rPr>
          <w:rFonts w:ascii="Cambria" w:eastAsia="Times New Roman" w:hAnsi="Cambria" w:cstheme="minorHAnsi"/>
          <w:spacing w:val="-1"/>
        </w:rPr>
        <w:t>s</w:t>
      </w:r>
      <w:r w:rsidRPr="009A0DA6">
        <w:rPr>
          <w:rFonts w:ascii="Cambria" w:eastAsia="Times New Roman" w:hAnsi="Cambria" w:cstheme="minorHAnsi"/>
          <w:spacing w:val="2"/>
        </w:rPr>
        <w:t>s</w:t>
      </w:r>
      <w:r w:rsidRPr="009A0DA6">
        <w:rPr>
          <w:rFonts w:ascii="Cambria" w:eastAsia="Times New Roman" w:hAnsi="Cambria" w:cstheme="minorHAnsi"/>
        </w:rPr>
        <w:t>tat</w:t>
      </w:r>
      <w:r w:rsidRPr="009A0DA6">
        <w:rPr>
          <w:rFonts w:ascii="Cambria" w:eastAsia="Times New Roman" w:hAnsi="Cambria" w:cstheme="minorHAnsi"/>
          <w:spacing w:val="3"/>
        </w:rPr>
        <w:t>e</w:t>
      </w:r>
      <w:r w:rsidRPr="009A0DA6">
        <w:rPr>
          <w:rFonts w:ascii="Cambria" w:eastAsia="Times New Roman" w:hAnsi="Cambria" w:cstheme="minorHAnsi"/>
          <w:spacing w:val="-1"/>
        </w:rPr>
        <w:t>m</w:t>
      </w:r>
      <w:r w:rsidRPr="009A0DA6">
        <w:rPr>
          <w:rFonts w:ascii="Cambria" w:eastAsia="Times New Roman" w:hAnsi="Cambria" w:cstheme="minorHAnsi"/>
        </w:rPr>
        <w:t>e</w:t>
      </w:r>
      <w:r w:rsidRPr="009A0DA6">
        <w:rPr>
          <w:rFonts w:ascii="Cambria" w:eastAsia="Times New Roman" w:hAnsi="Cambria" w:cstheme="minorHAnsi"/>
          <w:spacing w:val="-1"/>
        </w:rPr>
        <w:t>n</w:t>
      </w:r>
      <w:r w:rsidRPr="009A0DA6">
        <w:rPr>
          <w:rFonts w:ascii="Cambria" w:eastAsia="Times New Roman" w:hAnsi="Cambria" w:cstheme="minorHAnsi"/>
        </w:rPr>
        <w:t>t</w:t>
      </w:r>
      <w:r w:rsidRPr="009A0DA6">
        <w:rPr>
          <w:rFonts w:ascii="Cambria" w:eastAsia="Times New Roman" w:hAnsi="Cambria" w:cstheme="minorHAnsi"/>
          <w:spacing w:val="-1"/>
        </w:rPr>
        <w:t xml:space="preserve"> </w:t>
      </w:r>
      <w:r w:rsidRPr="009A0DA6">
        <w:rPr>
          <w:rFonts w:ascii="Cambria" w:eastAsia="Times New Roman" w:hAnsi="Cambria" w:cstheme="minorHAnsi"/>
          <w:spacing w:val="4"/>
        </w:rPr>
        <w:t>o</w:t>
      </w:r>
      <w:r w:rsidRPr="009A0DA6">
        <w:rPr>
          <w:rFonts w:ascii="Cambria" w:eastAsia="Times New Roman" w:hAnsi="Cambria" w:cstheme="minorHAnsi"/>
        </w:rPr>
        <w:t>f</w:t>
      </w:r>
      <w:r w:rsidRPr="009A0DA6">
        <w:rPr>
          <w:rFonts w:ascii="Cambria" w:eastAsia="Times New Roman" w:hAnsi="Cambria" w:cstheme="minorHAnsi"/>
          <w:spacing w:val="7"/>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11"/>
        </w:rPr>
        <w:t xml:space="preserve"> </w:t>
      </w:r>
      <w:r w:rsidRPr="009A0DA6">
        <w:rPr>
          <w:rFonts w:ascii="Cambria" w:eastAsia="Times New Roman" w:hAnsi="Cambria" w:cstheme="minorHAnsi"/>
          <w:spacing w:val="-1"/>
        </w:rPr>
        <w:t>f</w:t>
      </w:r>
      <w:r w:rsidRPr="009A0DA6">
        <w:rPr>
          <w:rFonts w:ascii="Cambria" w:eastAsia="Times New Roman" w:hAnsi="Cambria" w:cstheme="minorHAnsi"/>
        </w:rPr>
        <w:t>i</w:t>
      </w:r>
      <w:r w:rsidRPr="009A0DA6">
        <w:rPr>
          <w:rFonts w:ascii="Cambria" w:eastAsia="Times New Roman" w:hAnsi="Cambria" w:cstheme="minorHAnsi"/>
          <w:spacing w:val="-1"/>
        </w:rPr>
        <w:t>n</w:t>
      </w:r>
      <w:r w:rsidRPr="009A0DA6">
        <w:rPr>
          <w:rFonts w:ascii="Cambria" w:eastAsia="Times New Roman" w:hAnsi="Cambria" w:cstheme="minorHAnsi"/>
          <w:spacing w:val="3"/>
        </w:rPr>
        <w:t>a</w:t>
      </w:r>
      <w:r w:rsidRPr="009A0DA6">
        <w:rPr>
          <w:rFonts w:ascii="Cambria" w:eastAsia="Times New Roman" w:hAnsi="Cambria" w:cstheme="minorHAnsi"/>
          <w:spacing w:val="-1"/>
        </w:rPr>
        <w:t>n</w:t>
      </w:r>
      <w:r w:rsidRPr="009A0DA6">
        <w:rPr>
          <w:rFonts w:ascii="Cambria" w:eastAsia="Times New Roman" w:hAnsi="Cambria" w:cstheme="minorHAnsi"/>
        </w:rPr>
        <w:t>cial</w:t>
      </w:r>
      <w:r w:rsidRPr="009A0DA6">
        <w:rPr>
          <w:rFonts w:ascii="Cambria" w:eastAsia="Times New Roman" w:hAnsi="Cambria" w:cstheme="minorHAnsi"/>
          <w:spacing w:val="3"/>
        </w:rPr>
        <w:t xml:space="preserve"> </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1"/>
        </w:rPr>
        <w:t>por</w:t>
      </w:r>
      <w:r w:rsidRPr="009A0DA6">
        <w:rPr>
          <w:rFonts w:ascii="Cambria" w:eastAsia="Times New Roman" w:hAnsi="Cambria" w:cstheme="minorHAnsi"/>
        </w:rPr>
        <w:t>t,</w:t>
      </w:r>
      <w:r w:rsidRPr="009A0DA6">
        <w:rPr>
          <w:rFonts w:ascii="Cambria" w:eastAsia="Times New Roman" w:hAnsi="Cambria" w:cstheme="minorHAnsi"/>
          <w:spacing w:val="8"/>
        </w:rPr>
        <w:t xml:space="preserve"> </w:t>
      </w:r>
      <w:r w:rsidRPr="009A0DA6">
        <w:rPr>
          <w:rFonts w:ascii="Cambria" w:eastAsia="Times New Roman" w:hAnsi="Cambria" w:cstheme="minorHAnsi"/>
          <w:spacing w:val="-2"/>
        </w:rPr>
        <w:t>w</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2"/>
        </w:rPr>
        <w:t>t</w:t>
      </w:r>
      <w:r w:rsidRPr="009A0DA6">
        <w:rPr>
          <w:rFonts w:ascii="Cambria" w:eastAsia="Times New Roman" w:hAnsi="Cambria" w:cstheme="minorHAnsi"/>
          <w:spacing w:val="-1"/>
        </w:rPr>
        <w:t>h</w:t>
      </w:r>
      <w:r w:rsidRPr="009A0DA6">
        <w:rPr>
          <w:rFonts w:ascii="Cambria" w:eastAsia="Times New Roman" w:hAnsi="Cambria" w:cstheme="minorHAnsi"/>
        </w:rPr>
        <w:t>er</w:t>
      </w:r>
      <w:r w:rsidRPr="009A0DA6">
        <w:rPr>
          <w:rFonts w:ascii="Cambria" w:eastAsia="Times New Roman" w:hAnsi="Cambria" w:cstheme="minorHAnsi"/>
          <w:spacing w:val="5"/>
        </w:rPr>
        <w:t xml:space="preserve"> </w:t>
      </w:r>
      <w:r w:rsidRPr="009A0DA6">
        <w:rPr>
          <w:rFonts w:ascii="Cambria" w:eastAsia="Times New Roman" w:hAnsi="Cambria" w:cstheme="minorHAnsi"/>
          <w:spacing w:val="1"/>
        </w:rPr>
        <w:t>d</w:t>
      </w:r>
      <w:r w:rsidRPr="009A0DA6">
        <w:rPr>
          <w:rFonts w:ascii="Cambria" w:eastAsia="Times New Roman" w:hAnsi="Cambria" w:cstheme="minorHAnsi"/>
          <w:spacing w:val="-1"/>
        </w:rPr>
        <w:t>u</w:t>
      </w:r>
      <w:r w:rsidRPr="009A0DA6">
        <w:rPr>
          <w:rFonts w:ascii="Cambria" w:eastAsia="Times New Roman" w:hAnsi="Cambria" w:cstheme="minorHAnsi"/>
        </w:rPr>
        <w:t>e</w:t>
      </w:r>
      <w:r w:rsidRPr="009A0DA6">
        <w:rPr>
          <w:rFonts w:ascii="Cambria" w:eastAsia="Times New Roman" w:hAnsi="Cambria" w:cstheme="minorHAnsi"/>
          <w:spacing w:val="10"/>
        </w:rPr>
        <w:t xml:space="preserve"> </w:t>
      </w:r>
      <w:r w:rsidRPr="009A0DA6">
        <w:rPr>
          <w:rFonts w:ascii="Cambria" w:eastAsia="Times New Roman" w:hAnsi="Cambria" w:cstheme="minorHAnsi"/>
        </w:rPr>
        <w:t>to</w:t>
      </w:r>
      <w:r w:rsidRPr="009A0DA6">
        <w:rPr>
          <w:rFonts w:ascii="Cambria" w:eastAsia="Times New Roman" w:hAnsi="Cambria" w:cstheme="minorHAnsi"/>
          <w:spacing w:val="9"/>
        </w:rPr>
        <w:t xml:space="preserve"> </w:t>
      </w:r>
      <w:r w:rsidRPr="009A0DA6">
        <w:rPr>
          <w:rFonts w:ascii="Cambria" w:eastAsia="Times New Roman" w:hAnsi="Cambria" w:cstheme="minorHAnsi"/>
          <w:spacing w:val="-1"/>
        </w:rPr>
        <w:t>f</w:t>
      </w:r>
      <w:r w:rsidRPr="009A0DA6">
        <w:rPr>
          <w:rFonts w:ascii="Cambria" w:eastAsia="Times New Roman" w:hAnsi="Cambria" w:cstheme="minorHAnsi"/>
          <w:spacing w:val="1"/>
        </w:rPr>
        <w:t>r</w:t>
      </w:r>
      <w:r w:rsidRPr="009A0DA6">
        <w:rPr>
          <w:rFonts w:ascii="Cambria" w:eastAsia="Times New Roman" w:hAnsi="Cambria" w:cstheme="minorHAnsi"/>
        </w:rPr>
        <w:t>a</w:t>
      </w:r>
      <w:r w:rsidRPr="009A0DA6">
        <w:rPr>
          <w:rFonts w:ascii="Cambria" w:eastAsia="Times New Roman" w:hAnsi="Cambria" w:cstheme="minorHAnsi"/>
          <w:spacing w:val="-1"/>
        </w:rPr>
        <w:t>u</w:t>
      </w:r>
      <w:r w:rsidRPr="009A0DA6">
        <w:rPr>
          <w:rFonts w:ascii="Cambria" w:eastAsia="Times New Roman" w:hAnsi="Cambria" w:cstheme="minorHAnsi"/>
        </w:rPr>
        <w:t xml:space="preserve">d </w:t>
      </w:r>
      <w:r w:rsidRPr="009A0DA6">
        <w:rPr>
          <w:rFonts w:ascii="Cambria" w:eastAsia="Times New Roman" w:hAnsi="Cambria" w:cstheme="minorHAnsi"/>
          <w:spacing w:val="1"/>
        </w:rPr>
        <w:t>o</w:t>
      </w:r>
      <w:r w:rsidRPr="009A0DA6">
        <w:rPr>
          <w:rFonts w:ascii="Cambria" w:eastAsia="Times New Roman" w:hAnsi="Cambria" w:cstheme="minorHAnsi"/>
        </w:rPr>
        <w:t>r</w:t>
      </w:r>
      <w:r w:rsidRPr="009A0DA6">
        <w:rPr>
          <w:rFonts w:ascii="Cambria" w:eastAsia="Times New Roman" w:hAnsi="Cambria" w:cstheme="minorHAnsi"/>
          <w:spacing w:val="9"/>
        </w:rPr>
        <w:t xml:space="preserve"> </w:t>
      </w:r>
      <w:r w:rsidRPr="009A0DA6">
        <w:rPr>
          <w:rFonts w:ascii="Cambria" w:eastAsia="Times New Roman" w:hAnsi="Cambria" w:cstheme="minorHAnsi"/>
        </w:rPr>
        <w:t>e</w:t>
      </w:r>
      <w:r w:rsidRPr="009A0DA6">
        <w:rPr>
          <w:rFonts w:ascii="Cambria" w:eastAsia="Times New Roman" w:hAnsi="Cambria" w:cstheme="minorHAnsi"/>
          <w:spacing w:val="-1"/>
        </w:rPr>
        <w:t>r</w:t>
      </w:r>
      <w:r w:rsidRPr="009A0DA6">
        <w:rPr>
          <w:rFonts w:ascii="Cambria" w:eastAsia="Times New Roman" w:hAnsi="Cambria" w:cstheme="minorHAnsi"/>
          <w:spacing w:val="1"/>
        </w:rPr>
        <w:t>ror</w:t>
      </w:r>
      <w:r w:rsidRPr="009A0DA6">
        <w:rPr>
          <w:rFonts w:ascii="Cambria" w:eastAsia="Times New Roman" w:hAnsi="Cambria" w:cstheme="minorHAnsi"/>
        </w:rPr>
        <w:t>,</w:t>
      </w:r>
      <w:r w:rsidRPr="009A0DA6">
        <w:rPr>
          <w:rFonts w:ascii="Cambria" w:eastAsia="Times New Roman" w:hAnsi="Cambria" w:cstheme="minorHAnsi"/>
          <w:spacing w:val="4"/>
        </w:rPr>
        <w:t xml:space="preserve"> </w:t>
      </w:r>
      <w:r w:rsidRPr="009A0DA6">
        <w:rPr>
          <w:rFonts w:ascii="Cambria" w:eastAsia="Times New Roman" w:hAnsi="Cambria" w:cstheme="minorHAnsi"/>
          <w:spacing w:val="1"/>
        </w:rPr>
        <w:t>d</w:t>
      </w:r>
      <w:r w:rsidRPr="009A0DA6">
        <w:rPr>
          <w:rFonts w:ascii="Cambria" w:eastAsia="Times New Roman" w:hAnsi="Cambria" w:cstheme="minorHAnsi"/>
        </w:rPr>
        <w:t>e</w:t>
      </w:r>
      <w:r w:rsidRPr="009A0DA6">
        <w:rPr>
          <w:rFonts w:ascii="Cambria" w:eastAsia="Times New Roman" w:hAnsi="Cambria" w:cstheme="minorHAnsi"/>
          <w:spacing w:val="-1"/>
        </w:rPr>
        <w:t>s</w:t>
      </w:r>
      <w:r w:rsidRPr="009A0DA6">
        <w:rPr>
          <w:rFonts w:ascii="Cambria" w:eastAsia="Times New Roman" w:hAnsi="Cambria" w:cstheme="minorHAnsi"/>
        </w:rPr>
        <w:t>i</w:t>
      </w:r>
      <w:r w:rsidRPr="009A0DA6">
        <w:rPr>
          <w:rFonts w:ascii="Cambria" w:eastAsia="Times New Roman" w:hAnsi="Cambria" w:cstheme="minorHAnsi"/>
          <w:spacing w:val="-1"/>
        </w:rPr>
        <w:t>g</w:t>
      </w:r>
      <w:r w:rsidRPr="009A0DA6">
        <w:rPr>
          <w:rFonts w:ascii="Cambria" w:eastAsia="Times New Roman" w:hAnsi="Cambria" w:cstheme="minorHAnsi"/>
        </w:rPr>
        <w:t>n</w:t>
      </w:r>
      <w:r w:rsidRPr="009A0DA6">
        <w:rPr>
          <w:rFonts w:ascii="Cambria" w:eastAsia="Times New Roman" w:hAnsi="Cambria" w:cstheme="minorHAnsi"/>
          <w:spacing w:val="3"/>
        </w:rPr>
        <w:t xml:space="preserve"> </w:t>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spacing w:val="9"/>
        </w:rPr>
        <w:t xml:space="preserve"> </w:t>
      </w:r>
      <w:r w:rsidRPr="009A0DA6">
        <w:rPr>
          <w:rFonts w:ascii="Cambria" w:eastAsia="Times New Roman" w:hAnsi="Cambria" w:cstheme="minorHAnsi"/>
          <w:spacing w:val="1"/>
        </w:rPr>
        <w:t>p</w:t>
      </w:r>
      <w:r w:rsidRPr="009A0DA6">
        <w:rPr>
          <w:rFonts w:ascii="Cambria" w:eastAsia="Times New Roman" w:hAnsi="Cambria" w:cstheme="minorHAnsi"/>
        </w:rPr>
        <w:t>e</w:t>
      </w:r>
      <w:r w:rsidRPr="009A0DA6">
        <w:rPr>
          <w:rFonts w:ascii="Cambria" w:eastAsia="Times New Roman" w:hAnsi="Cambria" w:cstheme="minorHAnsi"/>
          <w:spacing w:val="1"/>
        </w:rPr>
        <w:t>r</w:t>
      </w:r>
      <w:r w:rsidRPr="009A0DA6">
        <w:rPr>
          <w:rFonts w:ascii="Cambria" w:eastAsia="Times New Roman" w:hAnsi="Cambria" w:cstheme="minorHAnsi"/>
          <w:spacing w:val="-1"/>
        </w:rPr>
        <w:t>f</w:t>
      </w:r>
      <w:r w:rsidRPr="009A0DA6">
        <w:rPr>
          <w:rFonts w:ascii="Cambria" w:eastAsia="Times New Roman" w:hAnsi="Cambria" w:cstheme="minorHAnsi"/>
          <w:spacing w:val="1"/>
        </w:rPr>
        <w:t>o</w:t>
      </w:r>
      <w:r w:rsidRPr="009A0DA6">
        <w:rPr>
          <w:rFonts w:ascii="Cambria" w:eastAsia="Times New Roman" w:hAnsi="Cambria" w:cstheme="minorHAnsi"/>
          <w:spacing w:val="3"/>
        </w:rPr>
        <w:t>r</w:t>
      </w:r>
      <w:r w:rsidRPr="009A0DA6">
        <w:rPr>
          <w:rFonts w:ascii="Cambria" w:eastAsia="Times New Roman" w:hAnsi="Cambria" w:cstheme="minorHAnsi"/>
        </w:rPr>
        <w:t>m a</w:t>
      </w:r>
      <w:r w:rsidRPr="009A0DA6">
        <w:rPr>
          <w:rFonts w:ascii="Cambria" w:eastAsia="Times New Roman" w:hAnsi="Cambria" w:cstheme="minorHAnsi"/>
          <w:spacing w:val="-1"/>
        </w:rPr>
        <w:t>u</w:t>
      </w:r>
      <w:r w:rsidRPr="009A0DA6">
        <w:rPr>
          <w:rFonts w:ascii="Cambria" w:eastAsia="Times New Roman" w:hAnsi="Cambria" w:cstheme="minorHAnsi"/>
          <w:spacing w:val="1"/>
        </w:rPr>
        <w:t>d</w:t>
      </w:r>
      <w:r w:rsidRPr="009A0DA6">
        <w:rPr>
          <w:rFonts w:ascii="Cambria" w:eastAsia="Times New Roman" w:hAnsi="Cambria" w:cstheme="minorHAnsi"/>
        </w:rPr>
        <w:t>it</w:t>
      </w:r>
      <w:r w:rsidRPr="009A0DA6">
        <w:rPr>
          <w:rFonts w:ascii="Cambria" w:eastAsia="Times New Roman" w:hAnsi="Cambria" w:cstheme="minorHAnsi"/>
          <w:spacing w:val="5"/>
        </w:rPr>
        <w:t xml:space="preserve"> </w:t>
      </w:r>
      <w:r w:rsidRPr="009A0DA6">
        <w:rPr>
          <w:rFonts w:ascii="Cambria" w:eastAsia="Times New Roman" w:hAnsi="Cambria" w:cstheme="minorHAnsi"/>
          <w:spacing w:val="1"/>
        </w:rPr>
        <w:t>pro</w:t>
      </w:r>
      <w:r w:rsidRPr="009A0DA6">
        <w:rPr>
          <w:rFonts w:ascii="Cambria" w:eastAsia="Times New Roman" w:hAnsi="Cambria" w:cstheme="minorHAnsi"/>
        </w:rPr>
        <w:t>ce</w:t>
      </w:r>
      <w:r w:rsidRPr="009A0DA6">
        <w:rPr>
          <w:rFonts w:ascii="Cambria" w:eastAsia="Times New Roman" w:hAnsi="Cambria" w:cstheme="minorHAnsi"/>
          <w:spacing w:val="1"/>
        </w:rPr>
        <w:t>d</w:t>
      </w:r>
      <w:r w:rsidRPr="009A0DA6">
        <w:rPr>
          <w:rFonts w:ascii="Cambria" w:eastAsia="Times New Roman" w:hAnsi="Cambria" w:cstheme="minorHAnsi"/>
          <w:spacing w:val="-1"/>
        </w:rPr>
        <w:t>u</w:t>
      </w:r>
      <w:r w:rsidRPr="009A0DA6">
        <w:rPr>
          <w:rFonts w:ascii="Cambria" w:eastAsia="Times New Roman" w:hAnsi="Cambria" w:cstheme="minorHAnsi"/>
          <w:spacing w:val="1"/>
        </w:rPr>
        <w:t>r</w:t>
      </w:r>
      <w:r w:rsidRPr="009A0DA6">
        <w:rPr>
          <w:rFonts w:ascii="Cambria" w:eastAsia="Times New Roman" w:hAnsi="Cambria" w:cstheme="minorHAnsi"/>
        </w:rPr>
        <w:t>es</w:t>
      </w:r>
      <w:r w:rsidRPr="009A0DA6">
        <w:rPr>
          <w:rFonts w:ascii="Cambria" w:eastAsia="Times New Roman" w:hAnsi="Cambria" w:cstheme="minorHAnsi"/>
          <w:spacing w:val="1"/>
        </w:rPr>
        <w:t xml:space="preserve"> r</w:t>
      </w:r>
      <w:r w:rsidRPr="009A0DA6">
        <w:rPr>
          <w:rFonts w:ascii="Cambria" w:eastAsia="Times New Roman" w:hAnsi="Cambria" w:cstheme="minorHAnsi"/>
        </w:rPr>
        <w:t>e</w:t>
      </w:r>
      <w:r w:rsidRPr="009A0DA6">
        <w:rPr>
          <w:rFonts w:ascii="Cambria" w:eastAsia="Times New Roman" w:hAnsi="Cambria" w:cstheme="minorHAnsi"/>
          <w:spacing w:val="-1"/>
        </w:rPr>
        <w:t>s</w:t>
      </w:r>
      <w:r w:rsidRPr="009A0DA6">
        <w:rPr>
          <w:rFonts w:ascii="Cambria" w:eastAsia="Times New Roman" w:hAnsi="Cambria" w:cstheme="minorHAnsi"/>
          <w:spacing w:val="1"/>
        </w:rPr>
        <w:t>po</w:t>
      </w:r>
      <w:r w:rsidRPr="009A0DA6">
        <w:rPr>
          <w:rFonts w:ascii="Cambria" w:eastAsia="Times New Roman" w:hAnsi="Cambria" w:cstheme="minorHAnsi"/>
          <w:spacing w:val="-1"/>
        </w:rPr>
        <w:t>ns</w:t>
      </w:r>
      <w:r w:rsidRPr="009A0DA6">
        <w:rPr>
          <w:rFonts w:ascii="Cambria" w:eastAsia="Times New Roman" w:hAnsi="Cambria" w:cstheme="minorHAnsi"/>
        </w:rPr>
        <w:t>i</w:t>
      </w:r>
      <w:r w:rsidRPr="009A0DA6">
        <w:rPr>
          <w:rFonts w:ascii="Cambria" w:eastAsia="Times New Roman" w:hAnsi="Cambria" w:cstheme="minorHAnsi"/>
          <w:spacing w:val="-1"/>
        </w:rPr>
        <w:t>v</w:t>
      </w:r>
      <w:r w:rsidRPr="009A0DA6">
        <w:rPr>
          <w:rFonts w:ascii="Cambria" w:eastAsia="Times New Roman" w:hAnsi="Cambria" w:cstheme="minorHAnsi"/>
        </w:rPr>
        <w:t>e</w:t>
      </w:r>
      <w:r w:rsidRPr="009A0DA6">
        <w:rPr>
          <w:rFonts w:ascii="Cambria" w:eastAsia="Times New Roman" w:hAnsi="Cambria" w:cstheme="minorHAnsi"/>
          <w:spacing w:val="2"/>
        </w:rPr>
        <w:t xml:space="preserve"> </w:t>
      </w:r>
      <w:r w:rsidRPr="009A0DA6">
        <w:rPr>
          <w:rFonts w:ascii="Cambria" w:eastAsia="Times New Roman" w:hAnsi="Cambria" w:cstheme="minorHAnsi"/>
        </w:rPr>
        <w:t>to</w:t>
      </w:r>
      <w:r w:rsidRPr="009A0DA6">
        <w:rPr>
          <w:rFonts w:ascii="Cambria" w:eastAsia="Times New Roman" w:hAnsi="Cambria" w:cstheme="minorHAnsi"/>
          <w:spacing w:val="10"/>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spacing w:val="1"/>
        </w:rPr>
        <w:t>o</w:t>
      </w:r>
      <w:r w:rsidRPr="009A0DA6">
        <w:rPr>
          <w:rFonts w:ascii="Cambria" w:eastAsia="Times New Roman" w:hAnsi="Cambria" w:cstheme="minorHAnsi"/>
          <w:spacing w:val="-1"/>
        </w:rPr>
        <w:t>s</w:t>
      </w:r>
      <w:r w:rsidRPr="009A0DA6">
        <w:rPr>
          <w:rFonts w:ascii="Cambria" w:eastAsia="Times New Roman" w:hAnsi="Cambria" w:cstheme="minorHAnsi"/>
        </w:rPr>
        <w:t>e</w:t>
      </w:r>
      <w:r w:rsidRPr="009A0DA6">
        <w:rPr>
          <w:rFonts w:ascii="Cambria" w:eastAsia="Times New Roman" w:hAnsi="Cambria" w:cstheme="minorHAnsi"/>
          <w:spacing w:val="6"/>
        </w:rPr>
        <w:t xml:space="preserve"> </w:t>
      </w:r>
      <w:r w:rsidRPr="009A0DA6">
        <w:rPr>
          <w:rFonts w:ascii="Cambria" w:eastAsia="Times New Roman" w:hAnsi="Cambria" w:cstheme="minorHAnsi"/>
          <w:spacing w:val="1"/>
        </w:rPr>
        <w:t>r</w:t>
      </w:r>
      <w:r w:rsidRPr="009A0DA6">
        <w:rPr>
          <w:rFonts w:ascii="Cambria" w:eastAsia="Times New Roman" w:hAnsi="Cambria" w:cstheme="minorHAnsi"/>
        </w:rPr>
        <w:t>i</w:t>
      </w:r>
      <w:r w:rsidRPr="009A0DA6">
        <w:rPr>
          <w:rFonts w:ascii="Cambria" w:eastAsia="Times New Roman" w:hAnsi="Cambria" w:cstheme="minorHAnsi"/>
          <w:spacing w:val="-1"/>
        </w:rPr>
        <w:t>s</w:t>
      </w:r>
      <w:r w:rsidRPr="009A0DA6">
        <w:rPr>
          <w:rFonts w:ascii="Cambria" w:eastAsia="Times New Roman" w:hAnsi="Cambria" w:cstheme="minorHAnsi"/>
          <w:spacing w:val="1"/>
        </w:rPr>
        <w:t>k</w:t>
      </w:r>
      <w:r w:rsidRPr="009A0DA6">
        <w:rPr>
          <w:rFonts w:ascii="Cambria" w:eastAsia="Times New Roman" w:hAnsi="Cambria" w:cstheme="minorHAnsi"/>
          <w:spacing w:val="-1"/>
        </w:rPr>
        <w:t>s</w:t>
      </w:r>
      <w:r w:rsidRPr="009A0DA6">
        <w:rPr>
          <w:rFonts w:ascii="Cambria" w:eastAsia="Times New Roman" w:hAnsi="Cambria" w:cstheme="minorHAnsi"/>
        </w:rPr>
        <w:t>,</w:t>
      </w:r>
      <w:r w:rsidRPr="009A0DA6">
        <w:rPr>
          <w:rFonts w:ascii="Cambria" w:eastAsia="Times New Roman" w:hAnsi="Cambria" w:cstheme="minorHAnsi"/>
          <w:spacing w:val="6"/>
        </w:rPr>
        <w:t xml:space="preserve"> </w:t>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spacing w:val="9"/>
        </w:rPr>
        <w:t xml:space="preserve"> </w:t>
      </w:r>
      <w:r w:rsidRPr="009A0DA6">
        <w:rPr>
          <w:rFonts w:ascii="Cambria" w:eastAsia="Times New Roman" w:hAnsi="Cambria" w:cstheme="minorHAnsi"/>
          <w:spacing w:val="1"/>
        </w:rPr>
        <w:t>ob</w:t>
      </w:r>
      <w:r w:rsidRPr="009A0DA6">
        <w:rPr>
          <w:rFonts w:ascii="Cambria" w:eastAsia="Times New Roman" w:hAnsi="Cambria" w:cstheme="minorHAnsi"/>
        </w:rPr>
        <w:t>tain</w:t>
      </w:r>
      <w:r w:rsidRPr="009A0DA6">
        <w:rPr>
          <w:rFonts w:ascii="Cambria" w:eastAsia="Times New Roman" w:hAnsi="Cambria" w:cstheme="minorHAnsi"/>
          <w:spacing w:val="3"/>
        </w:rPr>
        <w:t xml:space="preserve"> </w:t>
      </w:r>
      <w:r w:rsidRPr="009A0DA6">
        <w:rPr>
          <w:rFonts w:ascii="Cambria" w:eastAsia="Times New Roman" w:hAnsi="Cambria" w:cstheme="minorHAnsi"/>
        </w:rPr>
        <w:t>a</w:t>
      </w:r>
      <w:r w:rsidRPr="009A0DA6">
        <w:rPr>
          <w:rFonts w:ascii="Cambria" w:eastAsia="Times New Roman" w:hAnsi="Cambria" w:cstheme="minorHAnsi"/>
          <w:spacing w:val="-1"/>
        </w:rPr>
        <w:t>u</w:t>
      </w:r>
      <w:r w:rsidRPr="009A0DA6">
        <w:rPr>
          <w:rFonts w:ascii="Cambria" w:eastAsia="Times New Roman" w:hAnsi="Cambria" w:cstheme="minorHAnsi"/>
          <w:spacing w:val="1"/>
        </w:rPr>
        <w:t>d</w:t>
      </w:r>
      <w:r w:rsidRPr="009A0DA6">
        <w:rPr>
          <w:rFonts w:ascii="Cambria" w:eastAsia="Times New Roman" w:hAnsi="Cambria" w:cstheme="minorHAnsi"/>
        </w:rPr>
        <w:t>it</w:t>
      </w:r>
      <w:r w:rsidRPr="009A0DA6">
        <w:rPr>
          <w:rFonts w:ascii="Cambria" w:eastAsia="Times New Roman" w:hAnsi="Cambria" w:cstheme="minorHAnsi"/>
          <w:spacing w:val="5"/>
        </w:rPr>
        <w:t xml:space="preserve"> </w:t>
      </w:r>
      <w:r w:rsidRPr="009A0DA6">
        <w:rPr>
          <w:rFonts w:ascii="Cambria" w:eastAsia="Times New Roman" w:hAnsi="Cambria" w:cstheme="minorHAnsi"/>
        </w:rPr>
        <w:t>e</w:t>
      </w:r>
      <w:r w:rsidRPr="009A0DA6">
        <w:rPr>
          <w:rFonts w:ascii="Cambria" w:eastAsia="Times New Roman" w:hAnsi="Cambria" w:cstheme="minorHAnsi"/>
          <w:spacing w:val="-1"/>
        </w:rPr>
        <w:t>v</w:t>
      </w:r>
      <w:r w:rsidRPr="009A0DA6">
        <w:rPr>
          <w:rFonts w:ascii="Cambria" w:eastAsia="Times New Roman" w:hAnsi="Cambria" w:cstheme="minorHAnsi"/>
        </w:rPr>
        <w:t>i</w:t>
      </w:r>
      <w:r w:rsidRPr="009A0DA6">
        <w:rPr>
          <w:rFonts w:ascii="Cambria" w:eastAsia="Times New Roman" w:hAnsi="Cambria" w:cstheme="minorHAnsi"/>
          <w:spacing w:val="1"/>
        </w:rPr>
        <w:t>d</w:t>
      </w:r>
      <w:r w:rsidRPr="009A0DA6">
        <w:rPr>
          <w:rFonts w:ascii="Cambria" w:eastAsia="Times New Roman" w:hAnsi="Cambria" w:cstheme="minorHAnsi"/>
        </w:rPr>
        <w:t>e</w:t>
      </w:r>
      <w:r w:rsidRPr="009A0DA6">
        <w:rPr>
          <w:rFonts w:ascii="Cambria" w:eastAsia="Times New Roman" w:hAnsi="Cambria" w:cstheme="minorHAnsi"/>
          <w:spacing w:val="-1"/>
        </w:rPr>
        <w:t>n</w:t>
      </w:r>
      <w:r w:rsidRPr="009A0DA6">
        <w:rPr>
          <w:rFonts w:ascii="Cambria" w:eastAsia="Times New Roman" w:hAnsi="Cambria" w:cstheme="minorHAnsi"/>
        </w:rPr>
        <w:t>ce t</w:t>
      </w:r>
      <w:r w:rsidRPr="009A0DA6">
        <w:rPr>
          <w:rFonts w:ascii="Cambria" w:eastAsia="Times New Roman" w:hAnsi="Cambria" w:cstheme="minorHAnsi"/>
          <w:spacing w:val="-1"/>
        </w:rPr>
        <w:t>h</w:t>
      </w:r>
      <w:r w:rsidRPr="009A0DA6">
        <w:rPr>
          <w:rFonts w:ascii="Cambria" w:eastAsia="Times New Roman" w:hAnsi="Cambria" w:cstheme="minorHAnsi"/>
        </w:rPr>
        <w:t>at</w:t>
      </w:r>
      <w:r w:rsidRPr="009A0DA6">
        <w:rPr>
          <w:rFonts w:ascii="Cambria" w:eastAsia="Times New Roman" w:hAnsi="Cambria" w:cstheme="minorHAnsi"/>
          <w:spacing w:val="19"/>
        </w:rPr>
        <w:t xml:space="preserve"> </w:t>
      </w:r>
      <w:r w:rsidRPr="009A0DA6">
        <w:rPr>
          <w:rFonts w:ascii="Cambria" w:eastAsia="Times New Roman" w:hAnsi="Cambria" w:cstheme="minorHAnsi"/>
          <w:spacing w:val="2"/>
        </w:rPr>
        <w:t>i</w:t>
      </w:r>
      <w:r w:rsidRPr="009A0DA6">
        <w:rPr>
          <w:rFonts w:ascii="Cambria" w:eastAsia="Times New Roman" w:hAnsi="Cambria" w:cstheme="minorHAnsi"/>
        </w:rPr>
        <w:t>s</w:t>
      </w:r>
      <w:r w:rsidRPr="009A0DA6">
        <w:rPr>
          <w:rFonts w:ascii="Cambria" w:eastAsia="Times New Roman" w:hAnsi="Cambria" w:cstheme="minorHAnsi"/>
          <w:spacing w:val="20"/>
        </w:rPr>
        <w:t xml:space="preserve"> </w:t>
      </w:r>
      <w:r w:rsidRPr="009A0DA6">
        <w:rPr>
          <w:rFonts w:ascii="Cambria" w:eastAsia="Times New Roman" w:hAnsi="Cambria" w:cstheme="minorHAnsi"/>
          <w:spacing w:val="2"/>
        </w:rPr>
        <w:t>s</w:t>
      </w:r>
      <w:r w:rsidRPr="009A0DA6">
        <w:rPr>
          <w:rFonts w:ascii="Cambria" w:eastAsia="Times New Roman" w:hAnsi="Cambria" w:cstheme="minorHAnsi"/>
          <w:spacing w:val="-1"/>
        </w:rPr>
        <w:t>u</w:t>
      </w:r>
      <w:r w:rsidRPr="009A0DA6">
        <w:rPr>
          <w:rFonts w:ascii="Cambria" w:eastAsia="Times New Roman" w:hAnsi="Cambria" w:cstheme="minorHAnsi"/>
          <w:spacing w:val="1"/>
        </w:rPr>
        <w:t>f</w:t>
      </w:r>
      <w:r w:rsidRPr="009A0DA6">
        <w:rPr>
          <w:rFonts w:ascii="Cambria" w:eastAsia="Times New Roman" w:hAnsi="Cambria" w:cstheme="minorHAnsi"/>
          <w:spacing w:val="-1"/>
        </w:rPr>
        <w:t>f</w:t>
      </w:r>
      <w:r w:rsidRPr="009A0DA6">
        <w:rPr>
          <w:rFonts w:ascii="Cambria" w:eastAsia="Times New Roman" w:hAnsi="Cambria" w:cstheme="minorHAnsi"/>
        </w:rPr>
        <w:t>ici</w:t>
      </w:r>
      <w:r w:rsidRPr="009A0DA6">
        <w:rPr>
          <w:rFonts w:ascii="Cambria" w:eastAsia="Times New Roman" w:hAnsi="Cambria" w:cstheme="minorHAnsi"/>
          <w:spacing w:val="3"/>
        </w:rPr>
        <w:t>e</w:t>
      </w:r>
      <w:r w:rsidRPr="009A0DA6">
        <w:rPr>
          <w:rFonts w:ascii="Cambria" w:eastAsia="Times New Roman" w:hAnsi="Cambria" w:cstheme="minorHAnsi"/>
          <w:spacing w:val="-1"/>
        </w:rPr>
        <w:t>n</w:t>
      </w:r>
      <w:r w:rsidRPr="009A0DA6">
        <w:rPr>
          <w:rFonts w:ascii="Cambria" w:eastAsia="Times New Roman" w:hAnsi="Cambria" w:cstheme="minorHAnsi"/>
        </w:rPr>
        <w:t>t</w:t>
      </w:r>
      <w:r w:rsidRPr="009A0DA6">
        <w:rPr>
          <w:rFonts w:ascii="Cambria" w:eastAsia="Times New Roman" w:hAnsi="Cambria" w:cstheme="minorHAnsi"/>
          <w:spacing w:val="14"/>
        </w:rPr>
        <w:t xml:space="preserve"> </w:t>
      </w:r>
      <w:r w:rsidRPr="009A0DA6">
        <w:rPr>
          <w:rFonts w:ascii="Cambria" w:eastAsia="Times New Roman" w:hAnsi="Cambria" w:cstheme="minorHAnsi"/>
          <w:spacing w:val="3"/>
        </w:rPr>
        <w:t>a</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spacing w:val="20"/>
        </w:rPr>
        <w:t xml:space="preserve"> </w:t>
      </w:r>
      <w:r w:rsidRPr="009A0DA6">
        <w:rPr>
          <w:rFonts w:ascii="Cambria" w:eastAsia="Times New Roman" w:hAnsi="Cambria" w:cstheme="minorHAnsi"/>
        </w:rPr>
        <w:t>a</w:t>
      </w:r>
      <w:r w:rsidRPr="009A0DA6">
        <w:rPr>
          <w:rFonts w:ascii="Cambria" w:eastAsia="Times New Roman" w:hAnsi="Cambria" w:cstheme="minorHAnsi"/>
          <w:spacing w:val="1"/>
        </w:rPr>
        <w:t>ppropr</w:t>
      </w:r>
      <w:r w:rsidRPr="009A0DA6">
        <w:rPr>
          <w:rFonts w:ascii="Cambria" w:eastAsia="Times New Roman" w:hAnsi="Cambria" w:cstheme="minorHAnsi"/>
          <w:spacing w:val="-3"/>
        </w:rPr>
        <w:t>i</w:t>
      </w:r>
      <w:r w:rsidRPr="009A0DA6">
        <w:rPr>
          <w:rFonts w:ascii="Cambria" w:eastAsia="Times New Roman" w:hAnsi="Cambria" w:cstheme="minorHAnsi"/>
        </w:rPr>
        <w:t>ate</w:t>
      </w:r>
      <w:r w:rsidRPr="009A0DA6">
        <w:rPr>
          <w:rFonts w:ascii="Cambria" w:eastAsia="Times New Roman" w:hAnsi="Cambria" w:cstheme="minorHAnsi"/>
          <w:spacing w:val="13"/>
        </w:rPr>
        <w:t xml:space="preserve"> </w:t>
      </w:r>
      <w:r w:rsidRPr="009A0DA6">
        <w:rPr>
          <w:rFonts w:ascii="Cambria" w:eastAsia="Times New Roman" w:hAnsi="Cambria" w:cstheme="minorHAnsi"/>
        </w:rPr>
        <w:t>to</w:t>
      </w:r>
      <w:r w:rsidRPr="009A0DA6">
        <w:rPr>
          <w:rFonts w:ascii="Cambria" w:eastAsia="Times New Roman" w:hAnsi="Cambria" w:cstheme="minorHAnsi"/>
          <w:spacing w:val="21"/>
        </w:rPr>
        <w:t xml:space="preserve"> </w:t>
      </w:r>
      <w:r w:rsidRPr="009A0DA6">
        <w:rPr>
          <w:rFonts w:ascii="Cambria" w:eastAsia="Times New Roman" w:hAnsi="Cambria" w:cstheme="minorHAnsi"/>
          <w:spacing w:val="1"/>
        </w:rPr>
        <w:t>pro</w:t>
      </w:r>
      <w:r w:rsidRPr="009A0DA6">
        <w:rPr>
          <w:rFonts w:ascii="Cambria" w:eastAsia="Times New Roman" w:hAnsi="Cambria" w:cstheme="minorHAnsi"/>
          <w:spacing w:val="-1"/>
        </w:rPr>
        <w:t>v</w:t>
      </w:r>
      <w:r w:rsidRPr="009A0DA6">
        <w:rPr>
          <w:rFonts w:ascii="Cambria" w:eastAsia="Times New Roman" w:hAnsi="Cambria" w:cstheme="minorHAnsi"/>
        </w:rPr>
        <w:t>i</w:t>
      </w:r>
      <w:r w:rsidRPr="009A0DA6">
        <w:rPr>
          <w:rFonts w:ascii="Cambria" w:eastAsia="Times New Roman" w:hAnsi="Cambria" w:cstheme="minorHAnsi"/>
          <w:spacing w:val="1"/>
        </w:rPr>
        <w:t>d</w:t>
      </w:r>
      <w:r w:rsidRPr="009A0DA6">
        <w:rPr>
          <w:rFonts w:ascii="Cambria" w:eastAsia="Times New Roman" w:hAnsi="Cambria" w:cstheme="minorHAnsi"/>
        </w:rPr>
        <w:t>e</w:t>
      </w:r>
      <w:r w:rsidRPr="009A0DA6">
        <w:rPr>
          <w:rFonts w:ascii="Cambria" w:eastAsia="Times New Roman" w:hAnsi="Cambria" w:cstheme="minorHAnsi"/>
          <w:spacing w:val="16"/>
        </w:rPr>
        <w:t xml:space="preserve"> </w:t>
      </w:r>
      <w:r w:rsidRPr="009A0DA6">
        <w:rPr>
          <w:rFonts w:ascii="Cambria" w:eastAsia="Times New Roman" w:hAnsi="Cambria" w:cstheme="minorHAnsi"/>
        </w:rPr>
        <w:t>a</w:t>
      </w:r>
      <w:r w:rsidRPr="009A0DA6">
        <w:rPr>
          <w:rFonts w:ascii="Cambria" w:eastAsia="Times New Roman" w:hAnsi="Cambria" w:cstheme="minorHAnsi"/>
          <w:spacing w:val="21"/>
        </w:rPr>
        <w:t xml:space="preserve"> </w:t>
      </w:r>
      <w:r w:rsidRPr="009A0DA6">
        <w:rPr>
          <w:rFonts w:ascii="Cambria" w:eastAsia="Times New Roman" w:hAnsi="Cambria" w:cstheme="minorHAnsi"/>
          <w:spacing w:val="1"/>
        </w:rPr>
        <w:t>b</w:t>
      </w:r>
      <w:r w:rsidRPr="009A0DA6">
        <w:rPr>
          <w:rFonts w:ascii="Cambria" w:eastAsia="Times New Roman" w:hAnsi="Cambria" w:cstheme="minorHAnsi"/>
        </w:rPr>
        <w:t>a</w:t>
      </w:r>
      <w:r w:rsidRPr="009A0DA6">
        <w:rPr>
          <w:rFonts w:ascii="Cambria" w:eastAsia="Times New Roman" w:hAnsi="Cambria" w:cstheme="minorHAnsi"/>
          <w:spacing w:val="-1"/>
        </w:rPr>
        <w:t>s</w:t>
      </w:r>
      <w:r w:rsidRPr="009A0DA6">
        <w:rPr>
          <w:rFonts w:ascii="Cambria" w:eastAsia="Times New Roman" w:hAnsi="Cambria" w:cstheme="minorHAnsi"/>
        </w:rPr>
        <w:t>is</w:t>
      </w:r>
      <w:r w:rsidRPr="009A0DA6">
        <w:rPr>
          <w:rFonts w:ascii="Cambria" w:eastAsia="Times New Roman" w:hAnsi="Cambria" w:cstheme="minorHAnsi"/>
          <w:spacing w:val="17"/>
        </w:rPr>
        <w:t xml:space="preserve"> </w:t>
      </w:r>
      <w:r w:rsidRPr="009A0DA6">
        <w:rPr>
          <w:rFonts w:ascii="Cambria" w:eastAsia="Times New Roman" w:hAnsi="Cambria" w:cstheme="minorHAnsi"/>
          <w:spacing w:val="-1"/>
        </w:rPr>
        <w:t>f</w:t>
      </w:r>
      <w:r w:rsidRPr="009A0DA6">
        <w:rPr>
          <w:rFonts w:ascii="Cambria" w:eastAsia="Times New Roman" w:hAnsi="Cambria" w:cstheme="minorHAnsi"/>
          <w:spacing w:val="1"/>
        </w:rPr>
        <w:t>o</w:t>
      </w:r>
      <w:r w:rsidRPr="009A0DA6">
        <w:rPr>
          <w:rFonts w:ascii="Cambria" w:eastAsia="Times New Roman" w:hAnsi="Cambria" w:cstheme="minorHAnsi"/>
        </w:rPr>
        <w:t>r</w:t>
      </w:r>
      <w:r w:rsidRPr="009A0DA6">
        <w:rPr>
          <w:rFonts w:ascii="Cambria" w:eastAsia="Times New Roman" w:hAnsi="Cambria" w:cstheme="minorHAnsi"/>
          <w:spacing w:val="21"/>
        </w:rPr>
        <w:t xml:space="preserve"> </w:t>
      </w:r>
      <w:r w:rsidRPr="009A0DA6">
        <w:rPr>
          <w:rFonts w:ascii="Cambria" w:eastAsia="Times New Roman" w:hAnsi="Cambria" w:cstheme="minorHAnsi"/>
          <w:spacing w:val="1"/>
        </w:rPr>
        <w:t>o</w:t>
      </w:r>
      <w:r w:rsidRPr="009A0DA6">
        <w:rPr>
          <w:rFonts w:ascii="Cambria" w:eastAsia="Times New Roman" w:hAnsi="Cambria" w:cstheme="minorHAnsi"/>
          <w:spacing w:val="-1"/>
        </w:rPr>
        <w:t>u</w:t>
      </w:r>
      <w:r w:rsidRPr="009A0DA6">
        <w:rPr>
          <w:rFonts w:ascii="Cambria" w:eastAsia="Times New Roman" w:hAnsi="Cambria" w:cstheme="minorHAnsi"/>
        </w:rPr>
        <w:t>r</w:t>
      </w:r>
      <w:r w:rsidRPr="009A0DA6">
        <w:rPr>
          <w:rFonts w:ascii="Cambria" w:eastAsia="Times New Roman" w:hAnsi="Cambria" w:cstheme="minorHAnsi"/>
          <w:spacing w:val="20"/>
        </w:rPr>
        <w:t xml:space="preserve"> </w:t>
      </w:r>
      <w:r w:rsidRPr="009A0DA6">
        <w:rPr>
          <w:rFonts w:ascii="Cambria" w:eastAsia="Times New Roman" w:hAnsi="Cambria" w:cstheme="minorHAnsi"/>
          <w:spacing w:val="1"/>
        </w:rPr>
        <w:t>op</w:t>
      </w:r>
      <w:r w:rsidRPr="009A0DA6">
        <w:rPr>
          <w:rFonts w:ascii="Cambria" w:eastAsia="Times New Roman" w:hAnsi="Cambria" w:cstheme="minorHAnsi"/>
        </w:rPr>
        <w:t>i</w:t>
      </w:r>
      <w:r w:rsidRPr="009A0DA6">
        <w:rPr>
          <w:rFonts w:ascii="Cambria" w:eastAsia="Times New Roman" w:hAnsi="Cambria" w:cstheme="minorHAnsi"/>
          <w:spacing w:val="-1"/>
        </w:rPr>
        <w:t>n</w:t>
      </w:r>
      <w:r w:rsidRPr="009A0DA6">
        <w:rPr>
          <w:rFonts w:ascii="Cambria" w:eastAsia="Times New Roman" w:hAnsi="Cambria" w:cstheme="minorHAnsi"/>
        </w:rPr>
        <w:t>i</w:t>
      </w:r>
      <w:r w:rsidRPr="009A0DA6">
        <w:rPr>
          <w:rFonts w:ascii="Cambria" w:eastAsia="Times New Roman" w:hAnsi="Cambria" w:cstheme="minorHAnsi"/>
          <w:spacing w:val="1"/>
        </w:rPr>
        <w:t>o</w:t>
      </w:r>
      <w:r w:rsidRPr="009A0DA6">
        <w:rPr>
          <w:rFonts w:ascii="Cambria" w:eastAsia="Times New Roman" w:hAnsi="Cambria" w:cstheme="minorHAnsi"/>
          <w:spacing w:val="-1"/>
        </w:rPr>
        <w:t>n</w:t>
      </w:r>
      <w:r w:rsidR="0027799A" w:rsidRPr="009A0DA6">
        <w:rPr>
          <w:rFonts w:ascii="Cambria" w:eastAsia="Times New Roman" w:hAnsi="Cambria" w:cstheme="minorHAnsi"/>
        </w:rPr>
        <w:t xml:space="preserve">. </w:t>
      </w:r>
      <w:r w:rsidRPr="009A0DA6">
        <w:rPr>
          <w:rFonts w:ascii="Cambria" w:eastAsia="Times New Roman" w:hAnsi="Cambria" w:cstheme="minorHAnsi"/>
          <w:spacing w:val="3"/>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19"/>
        </w:rPr>
        <w:t xml:space="preserve"> </w:t>
      </w:r>
      <w:r w:rsidRPr="009A0DA6">
        <w:rPr>
          <w:rFonts w:ascii="Cambria" w:eastAsia="Times New Roman" w:hAnsi="Cambria" w:cstheme="minorHAnsi"/>
          <w:spacing w:val="1"/>
        </w:rPr>
        <w:t>r</w:t>
      </w:r>
      <w:r w:rsidRPr="009A0DA6">
        <w:rPr>
          <w:rFonts w:ascii="Cambria" w:eastAsia="Times New Roman" w:hAnsi="Cambria" w:cstheme="minorHAnsi"/>
        </w:rPr>
        <w:t>i</w:t>
      </w:r>
      <w:r w:rsidRPr="009A0DA6">
        <w:rPr>
          <w:rFonts w:ascii="Cambria" w:eastAsia="Times New Roman" w:hAnsi="Cambria" w:cstheme="minorHAnsi"/>
          <w:spacing w:val="-1"/>
        </w:rPr>
        <w:t>s</w:t>
      </w:r>
      <w:r w:rsidRPr="009A0DA6">
        <w:rPr>
          <w:rFonts w:ascii="Cambria" w:eastAsia="Times New Roman" w:hAnsi="Cambria" w:cstheme="minorHAnsi"/>
        </w:rPr>
        <w:t>k</w:t>
      </w:r>
      <w:r w:rsidRPr="009A0DA6">
        <w:rPr>
          <w:rFonts w:ascii="Cambria" w:eastAsia="Times New Roman" w:hAnsi="Cambria" w:cstheme="minorHAnsi"/>
          <w:spacing w:val="18"/>
        </w:rPr>
        <w:t xml:space="preserve"> </w:t>
      </w:r>
      <w:r w:rsidRPr="009A0DA6">
        <w:rPr>
          <w:rFonts w:ascii="Cambria" w:eastAsia="Times New Roman" w:hAnsi="Cambria" w:cstheme="minorHAnsi"/>
          <w:spacing w:val="1"/>
        </w:rPr>
        <w:t>o</w:t>
      </w:r>
      <w:r w:rsidRPr="009A0DA6">
        <w:rPr>
          <w:rFonts w:ascii="Cambria" w:eastAsia="Times New Roman" w:hAnsi="Cambria" w:cstheme="minorHAnsi"/>
        </w:rPr>
        <w:t>f</w:t>
      </w:r>
      <w:r w:rsidRPr="009A0DA6">
        <w:rPr>
          <w:rFonts w:ascii="Cambria" w:eastAsia="Times New Roman" w:hAnsi="Cambria" w:cstheme="minorHAnsi"/>
          <w:spacing w:val="21"/>
        </w:rPr>
        <w:t xml:space="preserve"> </w:t>
      </w:r>
      <w:r w:rsidRPr="009A0DA6">
        <w:rPr>
          <w:rFonts w:ascii="Cambria" w:eastAsia="Times New Roman" w:hAnsi="Cambria" w:cstheme="minorHAnsi"/>
          <w:spacing w:val="-1"/>
        </w:rPr>
        <w:t>n</w:t>
      </w:r>
      <w:r w:rsidRPr="009A0DA6">
        <w:rPr>
          <w:rFonts w:ascii="Cambria" w:eastAsia="Times New Roman" w:hAnsi="Cambria" w:cstheme="minorHAnsi"/>
          <w:spacing w:val="1"/>
        </w:rPr>
        <w:t>o</w:t>
      </w:r>
      <w:r w:rsidRPr="009A0DA6">
        <w:rPr>
          <w:rFonts w:ascii="Cambria" w:eastAsia="Times New Roman" w:hAnsi="Cambria" w:cstheme="minorHAnsi"/>
        </w:rPr>
        <w:t>t</w:t>
      </w:r>
      <w:r w:rsidRPr="009A0DA6">
        <w:rPr>
          <w:rFonts w:ascii="Cambria" w:eastAsia="Times New Roman" w:hAnsi="Cambria" w:cstheme="minorHAnsi"/>
          <w:spacing w:val="19"/>
        </w:rPr>
        <w:t xml:space="preserve"> </w:t>
      </w:r>
      <w:r w:rsidRPr="009A0DA6">
        <w:rPr>
          <w:rFonts w:ascii="Cambria" w:eastAsia="Times New Roman" w:hAnsi="Cambria" w:cstheme="minorHAnsi"/>
          <w:spacing w:val="1"/>
        </w:rPr>
        <w:t>d</w:t>
      </w:r>
      <w:r w:rsidRPr="009A0DA6">
        <w:rPr>
          <w:rFonts w:ascii="Cambria" w:eastAsia="Times New Roman" w:hAnsi="Cambria" w:cstheme="minorHAnsi"/>
        </w:rPr>
        <w:t>e</w:t>
      </w:r>
      <w:r w:rsidRPr="009A0DA6">
        <w:rPr>
          <w:rFonts w:ascii="Cambria" w:eastAsia="Times New Roman" w:hAnsi="Cambria" w:cstheme="minorHAnsi"/>
          <w:spacing w:val="2"/>
        </w:rPr>
        <w:t>t</w:t>
      </w:r>
      <w:r w:rsidRPr="009A0DA6">
        <w:rPr>
          <w:rFonts w:ascii="Cambria" w:eastAsia="Times New Roman" w:hAnsi="Cambria" w:cstheme="minorHAnsi"/>
        </w:rPr>
        <w:t>ecti</w:t>
      </w:r>
      <w:r w:rsidRPr="009A0DA6">
        <w:rPr>
          <w:rFonts w:ascii="Cambria" w:eastAsia="Times New Roman" w:hAnsi="Cambria" w:cstheme="minorHAnsi"/>
          <w:spacing w:val="1"/>
        </w:rPr>
        <w:t>n</w:t>
      </w:r>
      <w:r w:rsidRPr="009A0DA6">
        <w:rPr>
          <w:rFonts w:ascii="Cambria" w:eastAsia="Times New Roman" w:hAnsi="Cambria" w:cstheme="minorHAnsi"/>
        </w:rPr>
        <w:t>g</w:t>
      </w:r>
      <w:r w:rsidRPr="009A0DA6">
        <w:rPr>
          <w:rFonts w:ascii="Cambria" w:eastAsia="Times New Roman" w:hAnsi="Cambria" w:cstheme="minorHAnsi"/>
          <w:spacing w:val="14"/>
        </w:rPr>
        <w:t xml:space="preserve"> </w:t>
      </w:r>
      <w:r w:rsidRPr="009A0DA6">
        <w:rPr>
          <w:rFonts w:ascii="Cambria" w:eastAsia="Times New Roman" w:hAnsi="Cambria" w:cstheme="minorHAnsi"/>
        </w:rPr>
        <w:t xml:space="preserve">a </w:t>
      </w:r>
      <w:r w:rsidRPr="009A0DA6">
        <w:rPr>
          <w:rFonts w:ascii="Cambria" w:eastAsia="Times New Roman" w:hAnsi="Cambria" w:cstheme="minorHAnsi"/>
          <w:spacing w:val="-1"/>
        </w:rPr>
        <w:t>m</w:t>
      </w:r>
      <w:r w:rsidRPr="009A0DA6">
        <w:rPr>
          <w:rFonts w:ascii="Cambria" w:eastAsia="Times New Roman" w:hAnsi="Cambria" w:cstheme="minorHAnsi"/>
        </w:rPr>
        <w:t>ate</w:t>
      </w:r>
      <w:r w:rsidRPr="009A0DA6">
        <w:rPr>
          <w:rFonts w:ascii="Cambria" w:eastAsia="Times New Roman" w:hAnsi="Cambria" w:cstheme="minorHAnsi"/>
          <w:spacing w:val="1"/>
        </w:rPr>
        <w:t>r</w:t>
      </w:r>
      <w:r w:rsidRPr="009A0DA6">
        <w:rPr>
          <w:rFonts w:ascii="Cambria" w:eastAsia="Times New Roman" w:hAnsi="Cambria" w:cstheme="minorHAnsi"/>
        </w:rPr>
        <w:t>ial</w:t>
      </w:r>
      <w:r w:rsidRPr="009A0DA6">
        <w:rPr>
          <w:rFonts w:ascii="Cambria" w:eastAsia="Times New Roman" w:hAnsi="Cambria" w:cstheme="minorHAnsi"/>
          <w:spacing w:val="-4"/>
        </w:rPr>
        <w:t xml:space="preserve"> </w:t>
      </w:r>
      <w:r w:rsidRPr="009A0DA6">
        <w:rPr>
          <w:rFonts w:ascii="Cambria" w:eastAsia="Times New Roman" w:hAnsi="Cambria" w:cstheme="minorHAnsi"/>
          <w:spacing w:val="-1"/>
        </w:rPr>
        <w:t>m</w:t>
      </w:r>
      <w:r w:rsidRPr="009A0DA6">
        <w:rPr>
          <w:rFonts w:ascii="Cambria" w:eastAsia="Times New Roman" w:hAnsi="Cambria" w:cstheme="minorHAnsi"/>
          <w:spacing w:val="2"/>
        </w:rPr>
        <w:t>i</w:t>
      </w:r>
      <w:r w:rsidRPr="009A0DA6">
        <w:rPr>
          <w:rFonts w:ascii="Cambria" w:eastAsia="Times New Roman" w:hAnsi="Cambria" w:cstheme="minorHAnsi"/>
          <w:spacing w:val="-1"/>
        </w:rPr>
        <w:t>ss</w:t>
      </w:r>
      <w:r w:rsidRPr="009A0DA6">
        <w:rPr>
          <w:rFonts w:ascii="Cambria" w:eastAsia="Times New Roman" w:hAnsi="Cambria" w:cstheme="minorHAnsi"/>
        </w:rPr>
        <w:t>tat</w:t>
      </w:r>
      <w:r w:rsidRPr="009A0DA6">
        <w:rPr>
          <w:rFonts w:ascii="Cambria" w:eastAsia="Times New Roman" w:hAnsi="Cambria" w:cstheme="minorHAnsi"/>
          <w:spacing w:val="3"/>
        </w:rPr>
        <w:t>e</w:t>
      </w:r>
      <w:r w:rsidRPr="009A0DA6">
        <w:rPr>
          <w:rFonts w:ascii="Cambria" w:eastAsia="Times New Roman" w:hAnsi="Cambria" w:cstheme="minorHAnsi"/>
          <w:spacing w:val="-1"/>
        </w:rPr>
        <w:t>m</w:t>
      </w:r>
      <w:r w:rsidRPr="009A0DA6">
        <w:rPr>
          <w:rFonts w:ascii="Cambria" w:eastAsia="Times New Roman" w:hAnsi="Cambria" w:cstheme="minorHAnsi"/>
          <w:spacing w:val="3"/>
        </w:rPr>
        <w:t>e</w:t>
      </w:r>
      <w:r w:rsidRPr="009A0DA6">
        <w:rPr>
          <w:rFonts w:ascii="Cambria" w:eastAsia="Times New Roman" w:hAnsi="Cambria" w:cstheme="minorHAnsi"/>
          <w:spacing w:val="-1"/>
        </w:rPr>
        <w:t>n</w:t>
      </w:r>
      <w:r w:rsidRPr="009A0DA6">
        <w:rPr>
          <w:rFonts w:ascii="Cambria" w:eastAsia="Times New Roman" w:hAnsi="Cambria" w:cstheme="minorHAnsi"/>
        </w:rPr>
        <w:t>t</w:t>
      </w:r>
      <w:r w:rsidRPr="009A0DA6">
        <w:rPr>
          <w:rFonts w:ascii="Cambria" w:eastAsia="Times New Roman" w:hAnsi="Cambria" w:cstheme="minorHAnsi"/>
          <w:spacing w:val="-11"/>
        </w:rPr>
        <w:t xml:space="preserve"> </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2"/>
        </w:rPr>
        <w:t>s</w:t>
      </w:r>
      <w:r w:rsidRPr="009A0DA6">
        <w:rPr>
          <w:rFonts w:ascii="Cambria" w:eastAsia="Times New Roman" w:hAnsi="Cambria" w:cstheme="minorHAnsi"/>
          <w:spacing w:val="-1"/>
        </w:rPr>
        <w:t>u</w:t>
      </w:r>
      <w:r w:rsidRPr="009A0DA6">
        <w:rPr>
          <w:rFonts w:ascii="Cambria" w:eastAsia="Times New Roman" w:hAnsi="Cambria" w:cstheme="minorHAnsi"/>
        </w:rPr>
        <w:t>lt</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rPr>
        <w:t>g</w:t>
      </w:r>
      <w:r w:rsidRPr="009A0DA6">
        <w:rPr>
          <w:rFonts w:ascii="Cambria" w:eastAsia="Times New Roman" w:hAnsi="Cambria" w:cstheme="minorHAnsi"/>
          <w:spacing w:val="-5"/>
        </w:rPr>
        <w:t xml:space="preserve"> </w:t>
      </w:r>
      <w:r w:rsidRPr="009A0DA6">
        <w:rPr>
          <w:rFonts w:ascii="Cambria" w:eastAsia="Times New Roman" w:hAnsi="Cambria" w:cstheme="minorHAnsi"/>
          <w:spacing w:val="-1"/>
        </w:rPr>
        <w:t>f</w:t>
      </w:r>
      <w:r w:rsidRPr="009A0DA6">
        <w:rPr>
          <w:rFonts w:ascii="Cambria" w:eastAsia="Times New Roman" w:hAnsi="Cambria" w:cstheme="minorHAnsi"/>
          <w:spacing w:val="1"/>
        </w:rPr>
        <w:t>r</w:t>
      </w:r>
      <w:r w:rsidRPr="009A0DA6">
        <w:rPr>
          <w:rFonts w:ascii="Cambria" w:eastAsia="Times New Roman" w:hAnsi="Cambria" w:cstheme="minorHAnsi"/>
          <w:spacing w:val="4"/>
        </w:rPr>
        <w:t>o</w:t>
      </w:r>
      <w:r w:rsidRPr="009A0DA6">
        <w:rPr>
          <w:rFonts w:ascii="Cambria" w:eastAsia="Times New Roman" w:hAnsi="Cambria" w:cstheme="minorHAnsi"/>
        </w:rPr>
        <w:t>m</w:t>
      </w:r>
      <w:r w:rsidRPr="009A0DA6">
        <w:rPr>
          <w:rFonts w:ascii="Cambria" w:eastAsia="Times New Roman" w:hAnsi="Cambria" w:cstheme="minorHAnsi"/>
          <w:spacing w:val="-5"/>
        </w:rPr>
        <w:t xml:space="preserve"> </w:t>
      </w:r>
      <w:r w:rsidRPr="009A0DA6">
        <w:rPr>
          <w:rFonts w:ascii="Cambria" w:eastAsia="Times New Roman" w:hAnsi="Cambria" w:cstheme="minorHAnsi"/>
          <w:spacing w:val="-1"/>
        </w:rPr>
        <w:t>f</w:t>
      </w:r>
      <w:r w:rsidRPr="009A0DA6">
        <w:rPr>
          <w:rFonts w:ascii="Cambria" w:eastAsia="Times New Roman" w:hAnsi="Cambria" w:cstheme="minorHAnsi"/>
          <w:spacing w:val="1"/>
        </w:rPr>
        <w:t>r</w:t>
      </w:r>
      <w:r w:rsidRPr="009A0DA6">
        <w:rPr>
          <w:rFonts w:ascii="Cambria" w:eastAsia="Times New Roman" w:hAnsi="Cambria" w:cstheme="minorHAnsi"/>
        </w:rPr>
        <w:t>a</w:t>
      </w:r>
      <w:r w:rsidRPr="009A0DA6">
        <w:rPr>
          <w:rFonts w:ascii="Cambria" w:eastAsia="Times New Roman" w:hAnsi="Cambria" w:cstheme="minorHAnsi"/>
          <w:spacing w:val="-1"/>
        </w:rPr>
        <w:t>u</w:t>
      </w:r>
      <w:r w:rsidRPr="009A0DA6">
        <w:rPr>
          <w:rFonts w:ascii="Cambria" w:eastAsia="Times New Roman" w:hAnsi="Cambria" w:cstheme="minorHAnsi"/>
        </w:rPr>
        <w:t>d</w:t>
      </w:r>
      <w:r w:rsidRPr="009A0DA6">
        <w:rPr>
          <w:rFonts w:ascii="Cambria" w:eastAsia="Times New Roman" w:hAnsi="Cambria" w:cstheme="minorHAnsi"/>
          <w:spacing w:val="-2"/>
        </w:rPr>
        <w:t xml:space="preserve"> </w:t>
      </w:r>
      <w:r w:rsidRPr="009A0DA6">
        <w:rPr>
          <w:rFonts w:ascii="Cambria" w:eastAsia="Times New Roman" w:hAnsi="Cambria" w:cstheme="minorHAnsi"/>
          <w:spacing w:val="2"/>
        </w:rPr>
        <w:t>i</w:t>
      </w:r>
      <w:r w:rsidRPr="009A0DA6">
        <w:rPr>
          <w:rFonts w:ascii="Cambria" w:eastAsia="Times New Roman" w:hAnsi="Cambria" w:cstheme="minorHAnsi"/>
        </w:rPr>
        <w:t>s</w:t>
      </w:r>
      <w:r w:rsidRPr="009A0DA6">
        <w:rPr>
          <w:rFonts w:ascii="Cambria" w:eastAsia="Times New Roman" w:hAnsi="Cambria" w:cstheme="minorHAnsi"/>
          <w:spacing w:val="1"/>
        </w:rPr>
        <w:t xml:space="preserve"> </w:t>
      </w:r>
      <w:r w:rsidRPr="009A0DA6">
        <w:rPr>
          <w:rFonts w:ascii="Cambria" w:eastAsia="Times New Roman" w:hAnsi="Cambria" w:cstheme="minorHAnsi"/>
          <w:spacing w:val="-1"/>
        </w:rPr>
        <w:t>h</w:t>
      </w:r>
      <w:r w:rsidRPr="009A0DA6">
        <w:rPr>
          <w:rFonts w:ascii="Cambria" w:eastAsia="Times New Roman" w:hAnsi="Cambria" w:cstheme="minorHAnsi"/>
        </w:rPr>
        <w:t>i</w:t>
      </w:r>
      <w:r w:rsidRPr="009A0DA6">
        <w:rPr>
          <w:rFonts w:ascii="Cambria" w:eastAsia="Times New Roman" w:hAnsi="Cambria" w:cstheme="minorHAnsi"/>
          <w:spacing w:val="1"/>
        </w:rPr>
        <w:t>g</w:t>
      </w:r>
      <w:r w:rsidRPr="009A0DA6">
        <w:rPr>
          <w:rFonts w:ascii="Cambria" w:eastAsia="Times New Roman" w:hAnsi="Cambria" w:cstheme="minorHAnsi"/>
          <w:spacing w:val="-1"/>
        </w:rPr>
        <w:t>h</w:t>
      </w:r>
      <w:r w:rsidRPr="009A0DA6">
        <w:rPr>
          <w:rFonts w:ascii="Cambria" w:eastAsia="Times New Roman" w:hAnsi="Cambria" w:cstheme="minorHAnsi"/>
        </w:rPr>
        <w:t>er</w:t>
      </w:r>
      <w:r w:rsidRPr="009A0DA6">
        <w:rPr>
          <w:rFonts w:ascii="Cambria" w:eastAsia="Times New Roman" w:hAnsi="Cambria" w:cstheme="minorHAnsi"/>
          <w:spacing w:val="-4"/>
        </w:rPr>
        <w:t xml:space="preserve"> </w:t>
      </w:r>
      <w:r w:rsidRPr="009A0DA6">
        <w:rPr>
          <w:rFonts w:ascii="Cambria" w:eastAsia="Times New Roman" w:hAnsi="Cambria" w:cstheme="minorHAnsi"/>
          <w:spacing w:val="2"/>
        </w:rPr>
        <w:t>t</w:t>
      </w:r>
      <w:r w:rsidRPr="009A0DA6">
        <w:rPr>
          <w:rFonts w:ascii="Cambria" w:eastAsia="Times New Roman" w:hAnsi="Cambria" w:cstheme="minorHAnsi"/>
          <w:spacing w:val="-1"/>
        </w:rPr>
        <w:t>h</w:t>
      </w:r>
      <w:r w:rsidRPr="009A0DA6">
        <w:rPr>
          <w:rFonts w:ascii="Cambria" w:eastAsia="Times New Roman" w:hAnsi="Cambria" w:cstheme="minorHAnsi"/>
        </w:rPr>
        <w:t>an</w:t>
      </w:r>
      <w:r w:rsidRPr="009A0DA6">
        <w:rPr>
          <w:rFonts w:ascii="Cambria" w:eastAsia="Times New Roman" w:hAnsi="Cambria" w:cstheme="minorHAnsi"/>
          <w:spacing w:val="-1"/>
        </w:rPr>
        <w:t xml:space="preserve"> f</w:t>
      </w:r>
      <w:r w:rsidRPr="009A0DA6">
        <w:rPr>
          <w:rFonts w:ascii="Cambria" w:eastAsia="Times New Roman" w:hAnsi="Cambria" w:cstheme="minorHAnsi"/>
          <w:spacing w:val="1"/>
        </w:rPr>
        <w:t>o</w:t>
      </w:r>
      <w:r w:rsidRPr="009A0DA6">
        <w:rPr>
          <w:rFonts w:ascii="Cambria" w:eastAsia="Times New Roman" w:hAnsi="Cambria" w:cstheme="minorHAnsi"/>
        </w:rPr>
        <w:t>r</w:t>
      </w:r>
      <w:r w:rsidRPr="009A0DA6">
        <w:rPr>
          <w:rFonts w:ascii="Cambria" w:eastAsia="Times New Roman" w:hAnsi="Cambria" w:cstheme="minorHAnsi"/>
          <w:spacing w:val="2"/>
        </w:rPr>
        <w:t xml:space="preserve"> </w:t>
      </w:r>
      <w:r w:rsidRPr="009A0DA6">
        <w:rPr>
          <w:rFonts w:ascii="Cambria" w:eastAsia="Times New Roman" w:hAnsi="Cambria" w:cstheme="minorHAnsi"/>
          <w:spacing w:val="1"/>
        </w:rPr>
        <w:t>o</w:t>
      </w:r>
      <w:r w:rsidRPr="009A0DA6">
        <w:rPr>
          <w:rFonts w:ascii="Cambria" w:eastAsia="Times New Roman" w:hAnsi="Cambria" w:cstheme="minorHAnsi"/>
          <w:spacing w:val="-1"/>
        </w:rPr>
        <w:t>n</w:t>
      </w:r>
      <w:r w:rsidRPr="009A0DA6">
        <w:rPr>
          <w:rFonts w:ascii="Cambria" w:eastAsia="Times New Roman" w:hAnsi="Cambria" w:cstheme="minorHAnsi"/>
        </w:rPr>
        <w:t>e</w:t>
      </w:r>
      <w:r w:rsidRPr="009A0DA6">
        <w:rPr>
          <w:rFonts w:ascii="Cambria" w:eastAsia="Times New Roman" w:hAnsi="Cambria" w:cstheme="minorHAnsi"/>
          <w:spacing w:val="-2"/>
        </w:rPr>
        <w:t xml:space="preserve"> </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2"/>
        </w:rPr>
        <w:t>s</w:t>
      </w:r>
      <w:r w:rsidRPr="009A0DA6">
        <w:rPr>
          <w:rFonts w:ascii="Cambria" w:eastAsia="Times New Roman" w:hAnsi="Cambria" w:cstheme="minorHAnsi"/>
          <w:spacing w:val="-1"/>
        </w:rPr>
        <w:t>u</w:t>
      </w:r>
      <w:r w:rsidRPr="009A0DA6">
        <w:rPr>
          <w:rFonts w:ascii="Cambria" w:eastAsia="Times New Roman" w:hAnsi="Cambria" w:cstheme="minorHAnsi"/>
        </w:rPr>
        <w:t>lt</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rPr>
        <w:t>g</w:t>
      </w:r>
      <w:r w:rsidRPr="009A0DA6">
        <w:rPr>
          <w:rFonts w:ascii="Cambria" w:eastAsia="Times New Roman" w:hAnsi="Cambria" w:cstheme="minorHAnsi"/>
          <w:spacing w:val="-5"/>
        </w:rPr>
        <w:t xml:space="preserve"> </w:t>
      </w:r>
      <w:r w:rsidRPr="009A0DA6">
        <w:rPr>
          <w:rFonts w:ascii="Cambria" w:eastAsia="Times New Roman" w:hAnsi="Cambria" w:cstheme="minorHAnsi"/>
          <w:spacing w:val="-1"/>
        </w:rPr>
        <w:t>f</w:t>
      </w:r>
      <w:r w:rsidRPr="009A0DA6">
        <w:rPr>
          <w:rFonts w:ascii="Cambria" w:eastAsia="Times New Roman" w:hAnsi="Cambria" w:cstheme="minorHAnsi"/>
          <w:spacing w:val="1"/>
        </w:rPr>
        <w:t>r</w:t>
      </w:r>
      <w:r w:rsidRPr="009A0DA6">
        <w:rPr>
          <w:rFonts w:ascii="Cambria" w:eastAsia="Times New Roman" w:hAnsi="Cambria" w:cstheme="minorHAnsi"/>
          <w:spacing w:val="4"/>
        </w:rPr>
        <w:t>o</w:t>
      </w:r>
      <w:r w:rsidRPr="009A0DA6">
        <w:rPr>
          <w:rFonts w:ascii="Cambria" w:eastAsia="Times New Roman" w:hAnsi="Cambria" w:cstheme="minorHAnsi"/>
        </w:rPr>
        <w:t>m</w:t>
      </w:r>
      <w:r w:rsidRPr="009A0DA6">
        <w:rPr>
          <w:rFonts w:ascii="Cambria" w:eastAsia="Times New Roman" w:hAnsi="Cambria" w:cstheme="minorHAnsi"/>
          <w:spacing w:val="-5"/>
        </w:rPr>
        <w:t xml:space="preserve"> </w:t>
      </w:r>
      <w:r w:rsidRPr="009A0DA6">
        <w:rPr>
          <w:rFonts w:ascii="Cambria" w:eastAsia="Times New Roman" w:hAnsi="Cambria" w:cstheme="minorHAnsi"/>
        </w:rPr>
        <w:t>e</w:t>
      </w:r>
      <w:r w:rsidRPr="009A0DA6">
        <w:rPr>
          <w:rFonts w:ascii="Cambria" w:eastAsia="Times New Roman" w:hAnsi="Cambria" w:cstheme="minorHAnsi"/>
          <w:spacing w:val="1"/>
        </w:rPr>
        <w:t>rror</w:t>
      </w:r>
      <w:r w:rsidRPr="009A0DA6">
        <w:rPr>
          <w:rFonts w:ascii="Cambria" w:eastAsia="Times New Roman" w:hAnsi="Cambria" w:cstheme="minorHAnsi"/>
        </w:rPr>
        <w:t>,</w:t>
      </w:r>
      <w:r w:rsidRPr="009A0DA6">
        <w:rPr>
          <w:rFonts w:ascii="Cambria" w:eastAsia="Times New Roman" w:hAnsi="Cambria" w:cstheme="minorHAnsi"/>
          <w:spacing w:val="-3"/>
        </w:rPr>
        <w:t xml:space="preserve"> </w:t>
      </w:r>
      <w:r w:rsidRPr="009A0DA6">
        <w:rPr>
          <w:rFonts w:ascii="Cambria" w:eastAsia="Times New Roman" w:hAnsi="Cambria" w:cstheme="minorHAnsi"/>
        </w:rPr>
        <w:t>as</w:t>
      </w:r>
      <w:r w:rsidRPr="009A0DA6">
        <w:rPr>
          <w:rFonts w:ascii="Cambria" w:eastAsia="Times New Roman" w:hAnsi="Cambria" w:cstheme="minorHAnsi"/>
          <w:spacing w:val="-2"/>
        </w:rPr>
        <w:t xml:space="preserve"> </w:t>
      </w:r>
      <w:r w:rsidRPr="009A0DA6">
        <w:rPr>
          <w:rFonts w:ascii="Cambria" w:eastAsia="Times New Roman" w:hAnsi="Cambria" w:cstheme="minorHAnsi"/>
          <w:spacing w:val="-1"/>
        </w:rPr>
        <w:t>f</w:t>
      </w:r>
      <w:r w:rsidRPr="009A0DA6">
        <w:rPr>
          <w:rFonts w:ascii="Cambria" w:eastAsia="Times New Roman" w:hAnsi="Cambria" w:cstheme="minorHAnsi"/>
          <w:spacing w:val="3"/>
        </w:rPr>
        <w:t>r</w:t>
      </w:r>
      <w:r w:rsidRPr="009A0DA6">
        <w:rPr>
          <w:rFonts w:ascii="Cambria" w:eastAsia="Times New Roman" w:hAnsi="Cambria" w:cstheme="minorHAnsi"/>
        </w:rPr>
        <w:t>a</w:t>
      </w:r>
      <w:r w:rsidRPr="009A0DA6">
        <w:rPr>
          <w:rFonts w:ascii="Cambria" w:eastAsia="Times New Roman" w:hAnsi="Cambria" w:cstheme="minorHAnsi"/>
          <w:spacing w:val="-1"/>
        </w:rPr>
        <w:t>u</w:t>
      </w:r>
      <w:r w:rsidRPr="009A0DA6">
        <w:rPr>
          <w:rFonts w:ascii="Cambria" w:eastAsia="Times New Roman" w:hAnsi="Cambria" w:cstheme="minorHAnsi"/>
        </w:rPr>
        <w:t xml:space="preserve">d </w:t>
      </w:r>
      <w:r w:rsidRPr="009A0DA6">
        <w:rPr>
          <w:rFonts w:ascii="Cambria" w:eastAsia="Times New Roman" w:hAnsi="Cambria" w:cstheme="minorHAnsi"/>
          <w:spacing w:val="-4"/>
        </w:rPr>
        <w:t>m</w:t>
      </w:r>
      <w:r w:rsidRPr="009A0DA6">
        <w:rPr>
          <w:rFonts w:ascii="Cambria" w:eastAsia="Times New Roman" w:hAnsi="Cambria" w:cstheme="minorHAnsi"/>
          <w:spacing w:val="3"/>
        </w:rPr>
        <w:t>a</w:t>
      </w:r>
      <w:r w:rsidRPr="009A0DA6">
        <w:rPr>
          <w:rFonts w:ascii="Cambria" w:eastAsia="Times New Roman" w:hAnsi="Cambria" w:cstheme="minorHAnsi"/>
        </w:rPr>
        <w:t>y i</w:t>
      </w:r>
      <w:r w:rsidRPr="009A0DA6">
        <w:rPr>
          <w:rFonts w:ascii="Cambria" w:eastAsia="Times New Roman" w:hAnsi="Cambria" w:cstheme="minorHAnsi"/>
          <w:spacing w:val="-1"/>
        </w:rPr>
        <w:t>nv</w:t>
      </w:r>
      <w:r w:rsidRPr="009A0DA6">
        <w:rPr>
          <w:rFonts w:ascii="Cambria" w:eastAsia="Times New Roman" w:hAnsi="Cambria" w:cstheme="minorHAnsi"/>
          <w:spacing w:val="1"/>
        </w:rPr>
        <w:t>o</w:t>
      </w:r>
      <w:r w:rsidRPr="009A0DA6">
        <w:rPr>
          <w:rFonts w:ascii="Cambria" w:eastAsia="Times New Roman" w:hAnsi="Cambria" w:cstheme="minorHAnsi"/>
          <w:spacing w:val="2"/>
        </w:rPr>
        <w:t>l</w:t>
      </w:r>
      <w:r w:rsidRPr="009A0DA6">
        <w:rPr>
          <w:rFonts w:ascii="Cambria" w:eastAsia="Times New Roman" w:hAnsi="Cambria" w:cstheme="minorHAnsi"/>
          <w:spacing w:val="-1"/>
        </w:rPr>
        <w:t>v</w:t>
      </w:r>
      <w:r w:rsidRPr="009A0DA6">
        <w:rPr>
          <w:rFonts w:ascii="Cambria" w:eastAsia="Times New Roman" w:hAnsi="Cambria" w:cstheme="minorHAnsi"/>
        </w:rPr>
        <w:t>e</w:t>
      </w:r>
      <w:r w:rsidRPr="009A0DA6">
        <w:rPr>
          <w:rFonts w:ascii="Cambria" w:eastAsia="Times New Roman" w:hAnsi="Cambria" w:cstheme="minorHAnsi"/>
          <w:spacing w:val="26"/>
        </w:rPr>
        <w:t xml:space="preserve"> </w:t>
      </w:r>
      <w:r w:rsidRPr="009A0DA6">
        <w:rPr>
          <w:rFonts w:ascii="Cambria" w:eastAsia="Times New Roman" w:hAnsi="Cambria" w:cstheme="minorHAnsi"/>
        </w:rPr>
        <w:t>c</w:t>
      </w:r>
      <w:r w:rsidRPr="009A0DA6">
        <w:rPr>
          <w:rFonts w:ascii="Cambria" w:eastAsia="Times New Roman" w:hAnsi="Cambria" w:cstheme="minorHAnsi"/>
          <w:spacing w:val="1"/>
        </w:rPr>
        <w:t>o</w:t>
      </w:r>
      <w:r w:rsidRPr="009A0DA6">
        <w:rPr>
          <w:rFonts w:ascii="Cambria" w:eastAsia="Times New Roman" w:hAnsi="Cambria" w:cstheme="minorHAnsi"/>
        </w:rPr>
        <w:t>l</w:t>
      </w:r>
      <w:r w:rsidRPr="009A0DA6">
        <w:rPr>
          <w:rFonts w:ascii="Cambria" w:eastAsia="Times New Roman" w:hAnsi="Cambria" w:cstheme="minorHAnsi"/>
          <w:spacing w:val="2"/>
        </w:rPr>
        <w:t>l</w:t>
      </w:r>
      <w:r w:rsidRPr="009A0DA6">
        <w:rPr>
          <w:rFonts w:ascii="Cambria" w:eastAsia="Times New Roman" w:hAnsi="Cambria" w:cstheme="minorHAnsi"/>
          <w:spacing w:val="-1"/>
        </w:rPr>
        <w:t>u</w:t>
      </w:r>
      <w:r w:rsidRPr="009A0DA6">
        <w:rPr>
          <w:rFonts w:ascii="Cambria" w:eastAsia="Times New Roman" w:hAnsi="Cambria" w:cstheme="minorHAnsi"/>
          <w:spacing w:val="2"/>
        </w:rPr>
        <w:t>s</w:t>
      </w:r>
      <w:r w:rsidRPr="009A0DA6">
        <w:rPr>
          <w:rFonts w:ascii="Cambria" w:eastAsia="Times New Roman" w:hAnsi="Cambria" w:cstheme="minorHAnsi"/>
        </w:rPr>
        <w:t>i</w:t>
      </w:r>
      <w:r w:rsidRPr="009A0DA6">
        <w:rPr>
          <w:rFonts w:ascii="Cambria" w:eastAsia="Times New Roman" w:hAnsi="Cambria" w:cstheme="minorHAnsi"/>
          <w:spacing w:val="1"/>
        </w:rPr>
        <w:t>o</w:t>
      </w:r>
      <w:r w:rsidRPr="009A0DA6">
        <w:rPr>
          <w:rFonts w:ascii="Cambria" w:eastAsia="Times New Roman" w:hAnsi="Cambria" w:cstheme="minorHAnsi"/>
          <w:spacing w:val="-1"/>
        </w:rPr>
        <w:t>n</w:t>
      </w:r>
      <w:r w:rsidRPr="009A0DA6">
        <w:rPr>
          <w:rFonts w:ascii="Cambria" w:eastAsia="Times New Roman" w:hAnsi="Cambria" w:cstheme="minorHAnsi"/>
        </w:rPr>
        <w:t>,</w:t>
      </w:r>
      <w:r w:rsidRPr="009A0DA6">
        <w:rPr>
          <w:rFonts w:ascii="Cambria" w:eastAsia="Times New Roman" w:hAnsi="Cambria" w:cstheme="minorHAnsi"/>
          <w:spacing w:val="27"/>
        </w:rPr>
        <w:t xml:space="preserve"> </w:t>
      </w:r>
      <w:r w:rsidRPr="009A0DA6">
        <w:rPr>
          <w:rFonts w:ascii="Cambria" w:eastAsia="Times New Roman" w:hAnsi="Cambria" w:cstheme="minorHAnsi"/>
          <w:spacing w:val="-1"/>
        </w:rPr>
        <w:t>f</w:t>
      </w:r>
      <w:r w:rsidRPr="009A0DA6">
        <w:rPr>
          <w:rFonts w:ascii="Cambria" w:eastAsia="Times New Roman" w:hAnsi="Cambria" w:cstheme="minorHAnsi"/>
          <w:spacing w:val="1"/>
        </w:rPr>
        <w:t>or</w:t>
      </w:r>
      <w:r w:rsidRPr="009A0DA6">
        <w:rPr>
          <w:rFonts w:ascii="Cambria" w:eastAsia="Times New Roman" w:hAnsi="Cambria" w:cstheme="minorHAnsi"/>
          <w:spacing w:val="-1"/>
        </w:rPr>
        <w:t>g</w:t>
      </w:r>
      <w:r w:rsidRPr="009A0DA6">
        <w:rPr>
          <w:rFonts w:ascii="Cambria" w:eastAsia="Times New Roman" w:hAnsi="Cambria" w:cstheme="minorHAnsi"/>
        </w:rPr>
        <w:t>e</w:t>
      </w:r>
      <w:r w:rsidRPr="009A0DA6">
        <w:rPr>
          <w:rFonts w:ascii="Cambria" w:eastAsia="Times New Roman" w:hAnsi="Cambria" w:cstheme="minorHAnsi"/>
          <w:spacing w:val="3"/>
        </w:rPr>
        <w:t>r</w:t>
      </w:r>
      <w:r w:rsidRPr="009A0DA6">
        <w:rPr>
          <w:rFonts w:ascii="Cambria" w:eastAsia="Times New Roman" w:hAnsi="Cambria" w:cstheme="minorHAnsi"/>
          <w:spacing w:val="-4"/>
        </w:rPr>
        <w:t>y</w:t>
      </w:r>
      <w:r w:rsidRPr="009A0DA6">
        <w:rPr>
          <w:rFonts w:ascii="Cambria" w:eastAsia="Times New Roman" w:hAnsi="Cambria" w:cstheme="minorHAnsi"/>
        </w:rPr>
        <w:t>,</w:t>
      </w:r>
      <w:r w:rsidRPr="009A0DA6">
        <w:rPr>
          <w:rFonts w:ascii="Cambria" w:eastAsia="Times New Roman" w:hAnsi="Cambria" w:cstheme="minorHAnsi"/>
          <w:spacing w:val="29"/>
        </w:rPr>
        <w:t xml:space="preserve"> </w:t>
      </w:r>
      <w:r w:rsidRPr="009A0DA6">
        <w:rPr>
          <w:rFonts w:ascii="Cambria" w:eastAsia="Times New Roman" w:hAnsi="Cambria" w:cstheme="minorHAnsi"/>
        </w:rPr>
        <w:t>i</w:t>
      </w:r>
      <w:r w:rsidRPr="009A0DA6">
        <w:rPr>
          <w:rFonts w:ascii="Cambria" w:eastAsia="Times New Roman" w:hAnsi="Cambria" w:cstheme="minorHAnsi"/>
          <w:spacing w:val="1"/>
        </w:rPr>
        <w:t>n</w:t>
      </w:r>
      <w:r w:rsidRPr="009A0DA6">
        <w:rPr>
          <w:rFonts w:ascii="Cambria" w:eastAsia="Times New Roman" w:hAnsi="Cambria" w:cstheme="minorHAnsi"/>
        </w:rPr>
        <w:t>te</w:t>
      </w:r>
      <w:r w:rsidRPr="009A0DA6">
        <w:rPr>
          <w:rFonts w:ascii="Cambria" w:eastAsia="Times New Roman" w:hAnsi="Cambria" w:cstheme="minorHAnsi"/>
          <w:spacing w:val="-1"/>
        </w:rPr>
        <w:t>n</w:t>
      </w:r>
      <w:r w:rsidRPr="009A0DA6">
        <w:rPr>
          <w:rFonts w:ascii="Cambria" w:eastAsia="Times New Roman" w:hAnsi="Cambria" w:cstheme="minorHAnsi"/>
        </w:rPr>
        <w:t>ti</w:t>
      </w:r>
      <w:r w:rsidRPr="009A0DA6">
        <w:rPr>
          <w:rFonts w:ascii="Cambria" w:eastAsia="Times New Roman" w:hAnsi="Cambria" w:cstheme="minorHAnsi"/>
          <w:spacing w:val="1"/>
        </w:rPr>
        <w:t>o</w:t>
      </w:r>
      <w:r w:rsidRPr="009A0DA6">
        <w:rPr>
          <w:rFonts w:ascii="Cambria" w:eastAsia="Times New Roman" w:hAnsi="Cambria" w:cstheme="minorHAnsi"/>
          <w:spacing w:val="-1"/>
        </w:rPr>
        <w:t>n</w:t>
      </w:r>
      <w:r w:rsidRPr="009A0DA6">
        <w:rPr>
          <w:rFonts w:ascii="Cambria" w:eastAsia="Times New Roman" w:hAnsi="Cambria" w:cstheme="minorHAnsi"/>
          <w:spacing w:val="3"/>
        </w:rPr>
        <w:t>a</w:t>
      </w:r>
      <w:r w:rsidRPr="009A0DA6">
        <w:rPr>
          <w:rFonts w:ascii="Cambria" w:eastAsia="Times New Roman" w:hAnsi="Cambria" w:cstheme="minorHAnsi"/>
        </w:rPr>
        <w:t>l</w:t>
      </w:r>
      <w:r w:rsidRPr="009A0DA6">
        <w:rPr>
          <w:rFonts w:ascii="Cambria" w:eastAsia="Times New Roman" w:hAnsi="Cambria" w:cstheme="minorHAnsi"/>
          <w:spacing w:val="22"/>
        </w:rPr>
        <w:t xml:space="preserve"> </w:t>
      </w:r>
      <w:r w:rsidRPr="009A0DA6">
        <w:rPr>
          <w:rFonts w:ascii="Cambria" w:eastAsia="Times New Roman" w:hAnsi="Cambria" w:cstheme="minorHAnsi"/>
          <w:spacing w:val="4"/>
        </w:rPr>
        <w:t>o</w:t>
      </w:r>
      <w:r w:rsidRPr="009A0DA6">
        <w:rPr>
          <w:rFonts w:ascii="Cambria" w:eastAsia="Times New Roman" w:hAnsi="Cambria" w:cstheme="minorHAnsi"/>
          <w:spacing w:val="-1"/>
        </w:rPr>
        <w:t>m</w:t>
      </w:r>
      <w:r w:rsidRPr="009A0DA6">
        <w:rPr>
          <w:rFonts w:ascii="Cambria" w:eastAsia="Times New Roman" w:hAnsi="Cambria" w:cstheme="minorHAnsi"/>
        </w:rPr>
        <w:t>i</w:t>
      </w:r>
      <w:r w:rsidRPr="009A0DA6">
        <w:rPr>
          <w:rFonts w:ascii="Cambria" w:eastAsia="Times New Roman" w:hAnsi="Cambria" w:cstheme="minorHAnsi"/>
          <w:spacing w:val="-1"/>
        </w:rPr>
        <w:t>s</w:t>
      </w:r>
      <w:r w:rsidRPr="009A0DA6">
        <w:rPr>
          <w:rFonts w:ascii="Cambria" w:eastAsia="Times New Roman" w:hAnsi="Cambria" w:cstheme="minorHAnsi"/>
          <w:spacing w:val="2"/>
        </w:rPr>
        <w:t>s</w:t>
      </w:r>
      <w:r w:rsidRPr="009A0DA6">
        <w:rPr>
          <w:rFonts w:ascii="Cambria" w:eastAsia="Times New Roman" w:hAnsi="Cambria" w:cstheme="minorHAnsi"/>
        </w:rPr>
        <w:t>i</w:t>
      </w:r>
      <w:r w:rsidRPr="009A0DA6">
        <w:rPr>
          <w:rFonts w:ascii="Cambria" w:eastAsia="Times New Roman" w:hAnsi="Cambria" w:cstheme="minorHAnsi"/>
          <w:spacing w:val="1"/>
        </w:rPr>
        <w:t>o</w:t>
      </w:r>
      <w:r w:rsidRPr="009A0DA6">
        <w:rPr>
          <w:rFonts w:ascii="Cambria" w:eastAsia="Times New Roman" w:hAnsi="Cambria" w:cstheme="minorHAnsi"/>
          <w:spacing w:val="-1"/>
        </w:rPr>
        <w:t>ns</w:t>
      </w:r>
      <w:r w:rsidRPr="009A0DA6">
        <w:rPr>
          <w:rFonts w:ascii="Cambria" w:eastAsia="Times New Roman" w:hAnsi="Cambria" w:cstheme="minorHAnsi"/>
        </w:rPr>
        <w:t>,</w:t>
      </w:r>
      <w:r w:rsidRPr="009A0DA6">
        <w:rPr>
          <w:rFonts w:ascii="Cambria" w:eastAsia="Times New Roman" w:hAnsi="Cambria" w:cstheme="minorHAnsi"/>
          <w:spacing w:val="28"/>
        </w:rPr>
        <w:t xml:space="preserve"> </w:t>
      </w:r>
      <w:r w:rsidRPr="009A0DA6">
        <w:rPr>
          <w:rFonts w:ascii="Cambria" w:eastAsia="Times New Roman" w:hAnsi="Cambria" w:cstheme="minorHAnsi"/>
          <w:spacing w:val="-4"/>
        </w:rPr>
        <w:t>m</w:t>
      </w:r>
      <w:r w:rsidRPr="009A0DA6">
        <w:rPr>
          <w:rFonts w:ascii="Cambria" w:eastAsia="Times New Roman" w:hAnsi="Cambria" w:cstheme="minorHAnsi"/>
          <w:spacing w:val="2"/>
        </w:rPr>
        <w:t>i</w:t>
      </w:r>
      <w:r w:rsidRPr="009A0DA6">
        <w:rPr>
          <w:rFonts w:ascii="Cambria" w:eastAsia="Times New Roman" w:hAnsi="Cambria" w:cstheme="minorHAnsi"/>
          <w:spacing w:val="-1"/>
        </w:rPr>
        <w:t>s</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1"/>
        </w:rPr>
        <w:t>pr</w:t>
      </w:r>
      <w:r w:rsidRPr="009A0DA6">
        <w:rPr>
          <w:rFonts w:ascii="Cambria" w:eastAsia="Times New Roman" w:hAnsi="Cambria" w:cstheme="minorHAnsi"/>
        </w:rPr>
        <w:t>e</w:t>
      </w:r>
      <w:r w:rsidRPr="009A0DA6">
        <w:rPr>
          <w:rFonts w:ascii="Cambria" w:eastAsia="Times New Roman" w:hAnsi="Cambria" w:cstheme="minorHAnsi"/>
          <w:spacing w:val="-1"/>
        </w:rPr>
        <w:t>s</w:t>
      </w:r>
      <w:r w:rsidRPr="009A0DA6">
        <w:rPr>
          <w:rFonts w:ascii="Cambria" w:eastAsia="Times New Roman" w:hAnsi="Cambria" w:cstheme="minorHAnsi"/>
        </w:rPr>
        <w:t>e</w:t>
      </w:r>
      <w:r w:rsidRPr="009A0DA6">
        <w:rPr>
          <w:rFonts w:ascii="Cambria" w:eastAsia="Times New Roman" w:hAnsi="Cambria" w:cstheme="minorHAnsi"/>
          <w:spacing w:val="-1"/>
        </w:rPr>
        <w:t>n</w:t>
      </w:r>
      <w:r w:rsidRPr="009A0DA6">
        <w:rPr>
          <w:rFonts w:ascii="Cambria" w:eastAsia="Times New Roman" w:hAnsi="Cambria" w:cstheme="minorHAnsi"/>
        </w:rPr>
        <w:t>ta</w:t>
      </w:r>
      <w:r w:rsidRPr="009A0DA6">
        <w:rPr>
          <w:rFonts w:ascii="Cambria" w:eastAsia="Times New Roman" w:hAnsi="Cambria" w:cstheme="minorHAnsi"/>
          <w:spacing w:val="2"/>
        </w:rPr>
        <w:t>t</w:t>
      </w:r>
      <w:r w:rsidRPr="009A0DA6">
        <w:rPr>
          <w:rFonts w:ascii="Cambria" w:eastAsia="Times New Roman" w:hAnsi="Cambria" w:cstheme="minorHAnsi"/>
        </w:rPr>
        <w:t>i</w:t>
      </w:r>
      <w:r w:rsidRPr="009A0DA6">
        <w:rPr>
          <w:rFonts w:ascii="Cambria" w:eastAsia="Times New Roman" w:hAnsi="Cambria" w:cstheme="minorHAnsi"/>
          <w:spacing w:val="1"/>
        </w:rPr>
        <w:t>o</w:t>
      </w:r>
      <w:r w:rsidRPr="009A0DA6">
        <w:rPr>
          <w:rFonts w:ascii="Cambria" w:eastAsia="Times New Roman" w:hAnsi="Cambria" w:cstheme="minorHAnsi"/>
          <w:spacing w:val="-1"/>
        </w:rPr>
        <w:t>ns</w:t>
      </w:r>
      <w:r w:rsidRPr="009A0DA6">
        <w:rPr>
          <w:rFonts w:ascii="Cambria" w:eastAsia="Times New Roman" w:hAnsi="Cambria" w:cstheme="minorHAnsi"/>
        </w:rPr>
        <w:t>,</w:t>
      </w:r>
      <w:r w:rsidRPr="009A0DA6">
        <w:rPr>
          <w:rFonts w:ascii="Cambria" w:eastAsia="Times New Roman" w:hAnsi="Cambria" w:cstheme="minorHAnsi"/>
          <w:spacing w:val="17"/>
        </w:rPr>
        <w:t xml:space="preserve"> </w:t>
      </w:r>
      <w:r w:rsidRPr="009A0DA6">
        <w:rPr>
          <w:rFonts w:ascii="Cambria" w:eastAsia="Times New Roman" w:hAnsi="Cambria" w:cstheme="minorHAnsi"/>
          <w:spacing w:val="1"/>
        </w:rPr>
        <w:t>o</w:t>
      </w:r>
      <w:r w:rsidRPr="009A0DA6">
        <w:rPr>
          <w:rFonts w:ascii="Cambria" w:eastAsia="Times New Roman" w:hAnsi="Cambria" w:cstheme="minorHAnsi"/>
        </w:rPr>
        <w:t>r</w:t>
      </w:r>
      <w:r w:rsidRPr="009A0DA6">
        <w:rPr>
          <w:rFonts w:ascii="Cambria" w:eastAsia="Times New Roman" w:hAnsi="Cambria" w:cstheme="minorHAnsi"/>
          <w:spacing w:val="31"/>
        </w:rPr>
        <w:t xml:space="preserve"> </w:t>
      </w:r>
      <w:r w:rsidRPr="009A0DA6">
        <w:rPr>
          <w:rFonts w:ascii="Cambria" w:eastAsia="Times New Roman" w:hAnsi="Cambria" w:cstheme="minorHAnsi"/>
          <w:spacing w:val="2"/>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30"/>
        </w:rPr>
        <w:t xml:space="preserve"> </w:t>
      </w:r>
      <w:r w:rsidRPr="009A0DA6">
        <w:rPr>
          <w:rFonts w:ascii="Cambria" w:eastAsia="Times New Roman" w:hAnsi="Cambria" w:cstheme="minorHAnsi"/>
          <w:spacing w:val="4"/>
        </w:rPr>
        <w:t>o</w:t>
      </w:r>
      <w:r w:rsidRPr="009A0DA6">
        <w:rPr>
          <w:rFonts w:ascii="Cambria" w:eastAsia="Times New Roman" w:hAnsi="Cambria" w:cstheme="minorHAnsi"/>
          <w:spacing w:val="-1"/>
        </w:rPr>
        <w:t>v</w:t>
      </w:r>
      <w:r w:rsidRPr="009A0DA6">
        <w:rPr>
          <w:rFonts w:ascii="Cambria" w:eastAsia="Times New Roman" w:hAnsi="Cambria" w:cstheme="minorHAnsi"/>
        </w:rPr>
        <w:t>e</w:t>
      </w:r>
      <w:r w:rsidRPr="009A0DA6">
        <w:rPr>
          <w:rFonts w:ascii="Cambria" w:eastAsia="Times New Roman" w:hAnsi="Cambria" w:cstheme="minorHAnsi"/>
          <w:spacing w:val="1"/>
        </w:rPr>
        <w:t>rr</w:t>
      </w:r>
      <w:r w:rsidRPr="009A0DA6">
        <w:rPr>
          <w:rFonts w:ascii="Cambria" w:eastAsia="Times New Roman" w:hAnsi="Cambria" w:cstheme="minorHAnsi"/>
        </w:rPr>
        <w:t>i</w:t>
      </w:r>
      <w:r w:rsidRPr="009A0DA6">
        <w:rPr>
          <w:rFonts w:ascii="Cambria" w:eastAsia="Times New Roman" w:hAnsi="Cambria" w:cstheme="minorHAnsi"/>
          <w:spacing w:val="1"/>
        </w:rPr>
        <w:t>d</w:t>
      </w:r>
      <w:r w:rsidRPr="009A0DA6">
        <w:rPr>
          <w:rFonts w:ascii="Cambria" w:eastAsia="Times New Roman" w:hAnsi="Cambria" w:cstheme="minorHAnsi"/>
        </w:rPr>
        <w:t>e</w:t>
      </w:r>
      <w:r w:rsidRPr="009A0DA6">
        <w:rPr>
          <w:rFonts w:ascii="Cambria" w:eastAsia="Times New Roman" w:hAnsi="Cambria" w:cstheme="minorHAnsi"/>
          <w:spacing w:val="25"/>
        </w:rPr>
        <w:t xml:space="preserve"> </w:t>
      </w:r>
      <w:r w:rsidRPr="009A0DA6">
        <w:rPr>
          <w:rFonts w:ascii="Cambria" w:eastAsia="Times New Roman" w:hAnsi="Cambria" w:cstheme="minorHAnsi"/>
          <w:spacing w:val="1"/>
        </w:rPr>
        <w:t>o</w:t>
      </w:r>
      <w:r w:rsidRPr="009A0DA6">
        <w:rPr>
          <w:rFonts w:ascii="Cambria" w:eastAsia="Times New Roman" w:hAnsi="Cambria" w:cstheme="minorHAnsi"/>
        </w:rPr>
        <w:t>f</w:t>
      </w:r>
      <w:r w:rsidRPr="009A0DA6">
        <w:rPr>
          <w:rFonts w:ascii="Cambria" w:eastAsia="Times New Roman" w:hAnsi="Cambria" w:cstheme="minorHAnsi"/>
          <w:spacing w:val="31"/>
        </w:rPr>
        <w:t xml:space="preserve"> </w:t>
      </w:r>
      <w:r w:rsidRPr="009A0DA6">
        <w:rPr>
          <w:rFonts w:ascii="Cambria" w:eastAsia="Times New Roman" w:hAnsi="Cambria" w:cstheme="minorHAnsi"/>
        </w:rPr>
        <w:t>i</w:t>
      </w:r>
      <w:r w:rsidRPr="009A0DA6">
        <w:rPr>
          <w:rFonts w:ascii="Cambria" w:eastAsia="Times New Roman" w:hAnsi="Cambria" w:cstheme="minorHAnsi"/>
          <w:spacing w:val="-1"/>
        </w:rPr>
        <w:t>n</w:t>
      </w:r>
      <w:r w:rsidRPr="009A0DA6">
        <w:rPr>
          <w:rFonts w:ascii="Cambria" w:eastAsia="Times New Roman" w:hAnsi="Cambria" w:cstheme="minorHAnsi"/>
        </w:rPr>
        <w:t>te</w:t>
      </w:r>
      <w:r w:rsidRPr="009A0DA6">
        <w:rPr>
          <w:rFonts w:ascii="Cambria" w:eastAsia="Times New Roman" w:hAnsi="Cambria" w:cstheme="minorHAnsi"/>
          <w:spacing w:val="3"/>
        </w:rPr>
        <w:t>r</w:t>
      </w:r>
      <w:r w:rsidRPr="009A0DA6">
        <w:rPr>
          <w:rFonts w:ascii="Cambria" w:eastAsia="Times New Roman" w:hAnsi="Cambria" w:cstheme="minorHAnsi"/>
          <w:spacing w:val="-1"/>
        </w:rPr>
        <w:t>n</w:t>
      </w:r>
      <w:r w:rsidRPr="009A0DA6">
        <w:rPr>
          <w:rFonts w:ascii="Cambria" w:eastAsia="Times New Roman" w:hAnsi="Cambria" w:cstheme="minorHAnsi"/>
        </w:rPr>
        <w:t>al c</w:t>
      </w:r>
      <w:r w:rsidRPr="009A0DA6">
        <w:rPr>
          <w:rFonts w:ascii="Cambria" w:eastAsia="Times New Roman" w:hAnsi="Cambria" w:cstheme="minorHAnsi"/>
          <w:spacing w:val="1"/>
        </w:rPr>
        <w:t>o</w:t>
      </w:r>
      <w:r w:rsidRPr="009A0DA6">
        <w:rPr>
          <w:rFonts w:ascii="Cambria" w:eastAsia="Times New Roman" w:hAnsi="Cambria" w:cstheme="minorHAnsi"/>
          <w:spacing w:val="-1"/>
        </w:rPr>
        <w:t>n</w:t>
      </w:r>
      <w:r w:rsidRPr="009A0DA6">
        <w:rPr>
          <w:rFonts w:ascii="Cambria" w:eastAsia="Times New Roman" w:hAnsi="Cambria" w:cstheme="minorHAnsi"/>
        </w:rPr>
        <w:t>t</w:t>
      </w:r>
      <w:r w:rsidRPr="009A0DA6">
        <w:rPr>
          <w:rFonts w:ascii="Cambria" w:eastAsia="Times New Roman" w:hAnsi="Cambria" w:cstheme="minorHAnsi"/>
          <w:spacing w:val="1"/>
        </w:rPr>
        <w:t>ro</w:t>
      </w:r>
      <w:r w:rsidRPr="009A0DA6">
        <w:rPr>
          <w:rFonts w:ascii="Cambria" w:eastAsia="Times New Roman" w:hAnsi="Cambria" w:cstheme="minorHAnsi"/>
        </w:rPr>
        <w:t>l.</w:t>
      </w:r>
    </w:p>
    <w:p w14:paraId="598D7AE9" w14:textId="77777777" w:rsidR="00BA4592" w:rsidRPr="009A0DA6" w:rsidRDefault="00BA4592" w:rsidP="00F55252">
      <w:pPr>
        <w:pStyle w:val="ListParagraph"/>
        <w:widowControl w:val="0"/>
        <w:numPr>
          <w:ilvl w:val="0"/>
          <w:numId w:val="274"/>
        </w:numPr>
        <w:spacing w:before="120" w:after="120" w:line="240" w:lineRule="auto"/>
        <w:ind w:left="567" w:right="-107" w:hanging="567"/>
        <w:rPr>
          <w:rFonts w:ascii="Cambria" w:eastAsia="Times New Roman" w:hAnsi="Cambria" w:cstheme="minorHAnsi"/>
        </w:rPr>
      </w:pPr>
      <w:r w:rsidRPr="009A0DA6">
        <w:rPr>
          <w:rFonts w:ascii="Cambria" w:eastAsia="Times New Roman" w:hAnsi="Cambria" w:cstheme="minorHAnsi"/>
        </w:rPr>
        <w:t>O</w:t>
      </w:r>
      <w:r w:rsidRPr="009A0DA6">
        <w:rPr>
          <w:rFonts w:ascii="Cambria" w:eastAsia="Times New Roman" w:hAnsi="Cambria" w:cstheme="minorHAnsi"/>
          <w:spacing w:val="1"/>
        </w:rPr>
        <w:t>b</w:t>
      </w:r>
      <w:r w:rsidRPr="009A0DA6">
        <w:rPr>
          <w:rFonts w:ascii="Cambria" w:eastAsia="Times New Roman" w:hAnsi="Cambria" w:cstheme="minorHAnsi"/>
        </w:rPr>
        <w:t>tain</w:t>
      </w:r>
      <w:r w:rsidRPr="009A0DA6">
        <w:rPr>
          <w:rFonts w:ascii="Cambria" w:eastAsia="Times New Roman" w:hAnsi="Cambria" w:cstheme="minorHAnsi"/>
          <w:spacing w:val="-3"/>
        </w:rPr>
        <w:t xml:space="preserve"> </w:t>
      </w:r>
      <w:r w:rsidRPr="009A0DA6">
        <w:rPr>
          <w:rFonts w:ascii="Cambria" w:eastAsia="Times New Roman" w:hAnsi="Cambria" w:cstheme="minorHAnsi"/>
        </w:rPr>
        <w:t xml:space="preserve">an </w:t>
      </w:r>
      <w:r w:rsidRPr="009A0DA6">
        <w:rPr>
          <w:rFonts w:ascii="Cambria" w:eastAsia="Times New Roman" w:hAnsi="Cambria" w:cstheme="minorHAnsi"/>
          <w:spacing w:val="1"/>
        </w:rPr>
        <w:t>u</w:t>
      </w:r>
      <w:r w:rsidRPr="009A0DA6">
        <w:rPr>
          <w:rFonts w:ascii="Cambria" w:eastAsia="Times New Roman" w:hAnsi="Cambria" w:cstheme="minorHAnsi"/>
          <w:spacing w:val="-1"/>
        </w:rPr>
        <w:t>n</w:t>
      </w:r>
      <w:r w:rsidRPr="009A0DA6">
        <w:rPr>
          <w:rFonts w:ascii="Cambria" w:eastAsia="Times New Roman" w:hAnsi="Cambria" w:cstheme="minorHAnsi"/>
          <w:spacing w:val="1"/>
        </w:rPr>
        <w:t>d</w:t>
      </w:r>
      <w:r w:rsidRPr="009A0DA6">
        <w:rPr>
          <w:rFonts w:ascii="Cambria" w:eastAsia="Times New Roman" w:hAnsi="Cambria" w:cstheme="minorHAnsi"/>
        </w:rPr>
        <w:t>e</w:t>
      </w:r>
      <w:r w:rsidRPr="009A0DA6">
        <w:rPr>
          <w:rFonts w:ascii="Cambria" w:eastAsia="Times New Roman" w:hAnsi="Cambria" w:cstheme="minorHAnsi"/>
          <w:spacing w:val="1"/>
        </w:rPr>
        <w:t>r</w:t>
      </w:r>
      <w:r w:rsidRPr="009A0DA6">
        <w:rPr>
          <w:rFonts w:ascii="Cambria" w:eastAsia="Times New Roman" w:hAnsi="Cambria" w:cstheme="minorHAnsi"/>
          <w:spacing w:val="-1"/>
        </w:rPr>
        <w:t>s</w:t>
      </w:r>
      <w:r w:rsidRPr="009A0DA6">
        <w:rPr>
          <w:rFonts w:ascii="Cambria" w:eastAsia="Times New Roman" w:hAnsi="Cambria" w:cstheme="minorHAnsi"/>
        </w:rPr>
        <w:t>ta</w:t>
      </w:r>
      <w:r w:rsidRPr="009A0DA6">
        <w:rPr>
          <w:rFonts w:ascii="Cambria" w:eastAsia="Times New Roman" w:hAnsi="Cambria" w:cstheme="minorHAnsi"/>
          <w:spacing w:val="-1"/>
        </w:rPr>
        <w:t>n</w:t>
      </w:r>
      <w:r w:rsidRPr="009A0DA6">
        <w:rPr>
          <w:rFonts w:ascii="Cambria" w:eastAsia="Times New Roman" w:hAnsi="Cambria" w:cstheme="minorHAnsi"/>
          <w:spacing w:val="1"/>
        </w:rPr>
        <w:t>d</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rPr>
        <w:t>g</w:t>
      </w:r>
      <w:r w:rsidRPr="009A0DA6">
        <w:rPr>
          <w:rFonts w:ascii="Cambria" w:eastAsia="Times New Roman" w:hAnsi="Cambria" w:cstheme="minorHAnsi"/>
          <w:spacing w:val="-9"/>
        </w:rPr>
        <w:t xml:space="preserve"> </w:t>
      </w:r>
      <w:r w:rsidRPr="009A0DA6">
        <w:rPr>
          <w:rFonts w:ascii="Cambria" w:eastAsia="Times New Roman" w:hAnsi="Cambria" w:cstheme="minorHAnsi"/>
          <w:spacing w:val="1"/>
        </w:rPr>
        <w:t>o</w:t>
      </w:r>
      <w:r w:rsidRPr="009A0DA6">
        <w:rPr>
          <w:rFonts w:ascii="Cambria" w:eastAsia="Times New Roman" w:hAnsi="Cambria" w:cstheme="minorHAnsi"/>
        </w:rPr>
        <w:t>f</w:t>
      </w:r>
      <w:r w:rsidRPr="009A0DA6">
        <w:rPr>
          <w:rFonts w:ascii="Cambria" w:eastAsia="Times New Roman" w:hAnsi="Cambria" w:cstheme="minorHAnsi"/>
          <w:spacing w:val="-1"/>
        </w:rPr>
        <w:t xml:space="preserve"> </w:t>
      </w:r>
      <w:r w:rsidRPr="009A0DA6">
        <w:rPr>
          <w:rFonts w:ascii="Cambria" w:eastAsia="Times New Roman" w:hAnsi="Cambria" w:cstheme="minorHAnsi"/>
        </w:rPr>
        <w:t>i</w:t>
      </w:r>
      <w:r w:rsidRPr="009A0DA6">
        <w:rPr>
          <w:rFonts w:ascii="Cambria" w:eastAsia="Times New Roman" w:hAnsi="Cambria" w:cstheme="minorHAnsi"/>
          <w:spacing w:val="-1"/>
        </w:rPr>
        <w:t>n</w:t>
      </w:r>
      <w:r w:rsidRPr="009A0DA6">
        <w:rPr>
          <w:rFonts w:ascii="Cambria" w:eastAsia="Times New Roman" w:hAnsi="Cambria" w:cstheme="minorHAnsi"/>
          <w:spacing w:val="2"/>
        </w:rPr>
        <w:t>t</w:t>
      </w:r>
      <w:r w:rsidRPr="009A0DA6">
        <w:rPr>
          <w:rFonts w:ascii="Cambria" w:eastAsia="Times New Roman" w:hAnsi="Cambria" w:cstheme="minorHAnsi"/>
        </w:rPr>
        <w:t>e</w:t>
      </w:r>
      <w:r w:rsidRPr="009A0DA6">
        <w:rPr>
          <w:rFonts w:ascii="Cambria" w:eastAsia="Times New Roman" w:hAnsi="Cambria" w:cstheme="minorHAnsi"/>
          <w:spacing w:val="1"/>
        </w:rPr>
        <w:t>r</w:t>
      </w:r>
      <w:r w:rsidRPr="009A0DA6">
        <w:rPr>
          <w:rFonts w:ascii="Cambria" w:eastAsia="Times New Roman" w:hAnsi="Cambria" w:cstheme="minorHAnsi"/>
          <w:spacing w:val="-1"/>
        </w:rPr>
        <w:t>n</w:t>
      </w:r>
      <w:r w:rsidRPr="009A0DA6">
        <w:rPr>
          <w:rFonts w:ascii="Cambria" w:eastAsia="Times New Roman" w:hAnsi="Cambria" w:cstheme="minorHAnsi"/>
        </w:rPr>
        <w:t>al</w:t>
      </w:r>
      <w:r w:rsidRPr="009A0DA6">
        <w:rPr>
          <w:rFonts w:ascii="Cambria" w:eastAsia="Times New Roman" w:hAnsi="Cambria" w:cstheme="minorHAnsi"/>
          <w:spacing w:val="-3"/>
        </w:rPr>
        <w:t xml:space="preserve"> </w:t>
      </w:r>
      <w:r w:rsidRPr="009A0DA6">
        <w:rPr>
          <w:rFonts w:ascii="Cambria" w:eastAsia="Times New Roman" w:hAnsi="Cambria" w:cstheme="minorHAnsi"/>
        </w:rPr>
        <w:t>c</w:t>
      </w:r>
      <w:r w:rsidRPr="009A0DA6">
        <w:rPr>
          <w:rFonts w:ascii="Cambria" w:eastAsia="Times New Roman" w:hAnsi="Cambria" w:cstheme="minorHAnsi"/>
          <w:spacing w:val="1"/>
        </w:rPr>
        <w:t>o</w:t>
      </w:r>
      <w:r w:rsidRPr="009A0DA6">
        <w:rPr>
          <w:rFonts w:ascii="Cambria" w:eastAsia="Times New Roman" w:hAnsi="Cambria" w:cstheme="minorHAnsi"/>
          <w:spacing w:val="-1"/>
        </w:rPr>
        <w:t>n</w:t>
      </w:r>
      <w:r w:rsidRPr="009A0DA6">
        <w:rPr>
          <w:rFonts w:ascii="Cambria" w:eastAsia="Times New Roman" w:hAnsi="Cambria" w:cstheme="minorHAnsi"/>
        </w:rPr>
        <w:t>t</w:t>
      </w:r>
      <w:r w:rsidRPr="009A0DA6">
        <w:rPr>
          <w:rFonts w:ascii="Cambria" w:eastAsia="Times New Roman" w:hAnsi="Cambria" w:cstheme="minorHAnsi"/>
          <w:spacing w:val="1"/>
        </w:rPr>
        <w:t>ro</w:t>
      </w:r>
      <w:r w:rsidRPr="009A0DA6">
        <w:rPr>
          <w:rFonts w:ascii="Cambria" w:eastAsia="Times New Roman" w:hAnsi="Cambria" w:cstheme="minorHAnsi"/>
        </w:rPr>
        <w:t>l</w:t>
      </w:r>
      <w:r w:rsidRPr="009A0DA6">
        <w:rPr>
          <w:rFonts w:ascii="Cambria" w:eastAsia="Times New Roman" w:hAnsi="Cambria" w:cstheme="minorHAnsi"/>
          <w:spacing w:val="-3"/>
        </w:rPr>
        <w:t xml:space="preserve"> </w:t>
      </w:r>
      <w:r w:rsidRPr="009A0DA6">
        <w:rPr>
          <w:rFonts w:ascii="Cambria" w:eastAsia="Times New Roman" w:hAnsi="Cambria" w:cstheme="minorHAnsi"/>
          <w:spacing w:val="1"/>
        </w:rPr>
        <w:t>r</w:t>
      </w:r>
      <w:r w:rsidRPr="009A0DA6">
        <w:rPr>
          <w:rFonts w:ascii="Cambria" w:eastAsia="Times New Roman" w:hAnsi="Cambria" w:cstheme="minorHAnsi"/>
        </w:rPr>
        <w:t>ele</w:t>
      </w:r>
      <w:r w:rsidRPr="009A0DA6">
        <w:rPr>
          <w:rFonts w:ascii="Cambria" w:eastAsia="Times New Roman" w:hAnsi="Cambria" w:cstheme="minorHAnsi"/>
          <w:spacing w:val="-1"/>
        </w:rPr>
        <w:t>v</w:t>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rPr>
        <w:t>t</w:t>
      </w:r>
      <w:r w:rsidRPr="009A0DA6">
        <w:rPr>
          <w:rFonts w:ascii="Cambria" w:eastAsia="Times New Roman" w:hAnsi="Cambria" w:cstheme="minorHAnsi"/>
          <w:spacing w:val="-3"/>
        </w:rPr>
        <w:t xml:space="preserve"> </w:t>
      </w:r>
      <w:r w:rsidRPr="009A0DA6">
        <w:rPr>
          <w:rFonts w:ascii="Cambria" w:eastAsia="Times New Roman" w:hAnsi="Cambria" w:cstheme="minorHAnsi"/>
        </w:rPr>
        <w:t>to</w:t>
      </w:r>
      <w:r w:rsidRPr="009A0DA6">
        <w:rPr>
          <w:rFonts w:ascii="Cambria" w:eastAsia="Times New Roman" w:hAnsi="Cambria" w:cstheme="minorHAnsi"/>
          <w:spacing w:val="2"/>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1"/>
        </w:rPr>
        <w:t xml:space="preserve"> </w:t>
      </w:r>
      <w:r w:rsidRPr="009A0DA6">
        <w:rPr>
          <w:rFonts w:ascii="Cambria" w:eastAsia="Times New Roman" w:hAnsi="Cambria" w:cstheme="minorHAnsi"/>
        </w:rPr>
        <w:t>a</w:t>
      </w:r>
      <w:r w:rsidRPr="009A0DA6">
        <w:rPr>
          <w:rFonts w:ascii="Cambria" w:eastAsia="Times New Roman" w:hAnsi="Cambria" w:cstheme="minorHAnsi"/>
          <w:spacing w:val="-1"/>
        </w:rPr>
        <w:t>u</w:t>
      </w:r>
      <w:r w:rsidRPr="009A0DA6">
        <w:rPr>
          <w:rFonts w:ascii="Cambria" w:eastAsia="Times New Roman" w:hAnsi="Cambria" w:cstheme="minorHAnsi"/>
          <w:spacing w:val="1"/>
        </w:rPr>
        <w:t>d</w:t>
      </w:r>
      <w:r w:rsidRPr="009A0DA6">
        <w:rPr>
          <w:rFonts w:ascii="Cambria" w:eastAsia="Times New Roman" w:hAnsi="Cambria" w:cstheme="minorHAnsi"/>
        </w:rPr>
        <w:t>it</w:t>
      </w:r>
      <w:r w:rsidRPr="009A0DA6">
        <w:rPr>
          <w:rFonts w:ascii="Cambria" w:eastAsia="Times New Roman" w:hAnsi="Cambria" w:cstheme="minorHAnsi"/>
          <w:spacing w:val="-1"/>
        </w:rPr>
        <w:t xml:space="preserve"> </w:t>
      </w:r>
      <w:r w:rsidRPr="009A0DA6">
        <w:rPr>
          <w:rFonts w:ascii="Cambria" w:eastAsia="Times New Roman" w:hAnsi="Cambria" w:cstheme="minorHAnsi"/>
        </w:rPr>
        <w:t xml:space="preserve">in </w:t>
      </w:r>
      <w:r w:rsidRPr="009A0DA6">
        <w:rPr>
          <w:rFonts w:ascii="Cambria" w:eastAsia="Times New Roman" w:hAnsi="Cambria" w:cstheme="minorHAnsi"/>
          <w:spacing w:val="1"/>
        </w:rPr>
        <w:t>ord</w:t>
      </w:r>
      <w:r w:rsidRPr="009A0DA6">
        <w:rPr>
          <w:rFonts w:ascii="Cambria" w:eastAsia="Times New Roman" w:hAnsi="Cambria" w:cstheme="minorHAnsi"/>
          <w:spacing w:val="-2"/>
        </w:rPr>
        <w:t>e</w:t>
      </w:r>
      <w:r w:rsidRPr="009A0DA6">
        <w:rPr>
          <w:rFonts w:ascii="Cambria" w:eastAsia="Times New Roman" w:hAnsi="Cambria" w:cstheme="minorHAnsi"/>
        </w:rPr>
        <w:t xml:space="preserve">r to </w:t>
      </w:r>
      <w:r w:rsidRPr="009A0DA6">
        <w:rPr>
          <w:rFonts w:ascii="Cambria" w:eastAsia="Times New Roman" w:hAnsi="Cambria" w:cstheme="minorHAnsi"/>
          <w:spacing w:val="1"/>
        </w:rPr>
        <w:t>d</w:t>
      </w:r>
      <w:r w:rsidRPr="009A0DA6">
        <w:rPr>
          <w:rFonts w:ascii="Cambria" w:eastAsia="Times New Roman" w:hAnsi="Cambria" w:cstheme="minorHAnsi"/>
        </w:rPr>
        <w:t>e</w:t>
      </w:r>
      <w:r w:rsidRPr="009A0DA6">
        <w:rPr>
          <w:rFonts w:ascii="Cambria" w:eastAsia="Times New Roman" w:hAnsi="Cambria" w:cstheme="minorHAnsi"/>
          <w:spacing w:val="-1"/>
        </w:rPr>
        <w:t>s</w:t>
      </w:r>
      <w:r w:rsidRPr="009A0DA6">
        <w:rPr>
          <w:rFonts w:ascii="Cambria" w:eastAsia="Times New Roman" w:hAnsi="Cambria" w:cstheme="minorHAnsi"/>
        </w:rPr>
        <w:t>i</w:t>
      </w:r>
      <w:r w:rsidRPr="009A0DA6">
        <w:rPr>
          <w:rFonts w:ascii="Cambria" w:eastAsia="Times New Roman" w:hAnsi="Cambria" w:cstheme="minorHAnsi"/>
          <w:spacing w:val="-1"/>
        </w:rPr>
        <w:t>g</w:t>
      </w:r>
      <w:r w:rsidRPr="009A0DA6">
        <w:rPr>
          <w:rFonts w:ascii="Cambria" w:eastAsia="Times New Roman" w:hAnsi="Cambria" w:cstheme="minorHAnsi"/>
        </w:rPr>
        <w:t>n</w:t>
      </w:r>
      <w:r w:rsidRPr="009A0DA6">
        <w:rPr>
          <w:rFonts w:ascii="Cambria" w:eastAsia="Times New Roman" w:hAnsi="Cambria" w:cstheme="minorHAnsi"/>
          <w:spacing w:val="-3"/>
        </w:rPr>
        <w:t xml:space="preserve"> </w:t>
      </w:r>
      <w:r w:rsidRPr="009A0DA6">
        <w:rPr>
          <w:rFonts w:ascii="Cambria" w:eastAsia="Times New Roman" w:hAnsi="Cambria" w:cstheme="minorHAnsi"/>
        </w:rPr>
        <w:t>a</w:t>
      </w:r>
      <w:r w:rsidRPr="009A0DA6">
        <w:rPr>
          <w:rFonts w:ascii="Cambria" w:eastAsia="Times New Roman" w:hAnsi="Cambria" w:cstheme="minorHAnsi"/>
          <w:spacing w:val="-1"/>
        </w:rPr>
        <w:t>u</w:t>
      </w:r>
      <w:r w:rsidRPr="009A0DA6">
        <w:rPr>
          <w:rFonts w:ascii="Cambria" w:eastAsia="Times New Roman" w:hAnsi="Cambria" w:cstheme="minorHAnsi"/>
          <w:spacing w:val="1"/>
        </w:rPr>
        <w:t>d</w:t>
      </w:r>
      <w:r w:rsidRPr="009A0DA6">
        <w:rPr>
          <w:rFonts w:ascii="Cambria" w:eastAsia="Times New Roman" w:hAnsi="Cambria" w:cstheme="minorHAnsi"/>
        </w:rPr>
        <w:t>it</w:t>
      </w:r>
      <w:r w:rsidRPr="009A0DA6">
        <w:rPr>
          <w:rFonts w:ascii="Cambria" w:eastAsia="Times New Roman" w:hAnsi="Cambria" w:cstheme="minorHAnsi"/>
          <w:spacing w:val="-1"/>
        </w:rPr>
        <w:t xml:space="preserve"> </w:t>
      </w:r>
      <w:r w:rsidRPr="009A0DA6">
        <w:rPr>
          <w:rFonts w:ascii="Cambria" w:eastAsia="Times New Roman" w:hAnsi="Cambria" w:cstheme="minorHAnsi"/>
          <w:spacing w:val="1"/>
        </w:rPr>
        <w:t>pr</w:t>
      </w:r>
      <w:r w:rsidRPr="009A0DA6">
        <w:rPr>
          <w:rFonts w:ascii="Cambria" w:eastAsia="Times New Roman" w:hAnsi="Cambria" w:cstheme="minorHAnsi"/>
          <w:spacing w:val="-1"/>
        </w:rPr>
        <w:t>o</w:t>
      </w:r>
      <w:r w:rsidRPr="009A0DA6">
        <w:rPr>
          <w:rFonts w:ascii="Cambria" w:eastAsia="Times New Roman" w:hAnsi="Cambria" w:cstheme="minorHAnsi"/>
        </w:rPr>
        <w:t>ce</w:t>
      </w:r>
      <w:r w:rsidRPr="009A0DA6">
        <w:rPr>
          <w:rFonts w:ascii="Cambria" w:eastAsia="Times New Roman" w:hAnsi="Cambria" w:cstheme="minorHAnsi"/>
          <w:spacing w:val="1"/>
        </w:rPr>
        <w:t>d</w:t>
      </w:r>
      <w:r w:rsidRPr="009A0DA6">
        <w:rPr>
          <w:rFonts w:ascii="Cambria" w:eastAsia="Times New Roman" w:hAnsi="Cambria" w:cstheme="minorHAnsi"/>
          <w:spacing w:val="-1"/>
        </w:rPr>
        <w:t>u</w:t>
      </w:r>
      <w:r w:rsidRPr="009A0DA6">
        <w:rPr>
          <w:rFonts w:ascii="Cambria" w:eastAsia="Times New Roman" w:hAnsi="Cambria" w:cstheme="minorHAnsi"/>
          <w:spacing w:val="1"/>
        </w:rPr>
        <w:t>r</w:t>
      </w:r>
      <w:r w:rsidRPr="009A0DA6">
        <w:rPr>
          <w:rFonts w:ascii="Cambria" w:eastAsia="Times New Roman" w:hAnsi="Cambria" w:cstheme="minorHAnsi"/>
        </w:rPr>
        <w:t>es t</w:t>
      </w:r>
      <w:r w:rsidRPr="009A0DA6">
        <w:rPr>
          <w:rFonts w:ascii="Cambria" w:eastAsia="Times New Roman" w:hAnsi="Cambria" w:cstheme="minorHAnsi"/>
          <w:spacing w:val="-1"/>
        </w:rPr>
        <w:t>h</w:t>
      </w:r>
      <w:r w:rsidRPr="009A0DA6">
        <w:rPr>
          <w:rFonts w:ascii="Cambria" w:eastAsia="Times New Roman" w:hAnsi="Cambria" w:cstheme="minorHAnsi"/>
        </w:rPr>
        <w:t>at</w:t>
      </w:r>
      <w:r w:rsidRPr="009A0DA6">
        <w:rPr>
          <w:rFonts w:ascii="Cambria" w:eastAsia="Times New Roman" w:hAnsi="Cambria" w:cstheme="minorHAnsi"/>
          <w:spacing w:val="9"/>
        </w:rPr>
        <w:t xml:space="preserve"> </w:t>
      </w:r>
      <w:r w:rsidRPr="009A0DA6">
        <w:rPr>
          <w:rFonts w:ascii="Cambria" w:eastAsia="Times New Roman" w:hAnsi="Cambria" w:cstheme="minorHAnsi"/>
        </w:rPr>
        <w:t>a</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9"/>
        </w:rPr>
        <w:t xml:space="preserve"> </w:t>
      </w:r>
      <w:r w:rsidRPr="009A0DA6">
        <w:rPr>
          <w:rFonts w:ascii="Cambria" w:eastAsia="Times New Roman" w:hAnsi="Cambria" w:cstheme="minorHAnsi"/>
        </w:rPr>
        <w:t>a</w:t>
      </w:r>
      <w:r w:rsidRPr="009A0DA6">
        <w:rPr>
          <w:rFonts w:ascii="Cambria" w:eastAsia="Times New Roman" w:hAnsi="Cambria" w:cstheme="minorHAnsi"/>
          <w:spacing w:val="1"/>
        </w:rPr>
        <w:t>ppropr</w:t>
      </w:r>
      <w:r w:rsidRPr="009A0DA6">
        <w:rPr>
          <w:rFonts w:ascii="Cambria" w:eastAsia="Times New Roman" w:hAnsi="Cambria" w:cstheme="minorHAnsi"/>
        </w:rPr>
        <w:t>iate</w:t>
      </w:r>
      <w:r w:rsidRPr="009A0DA6">
        <w:rPr>
          <w:rFonts w:ascii="Cambria" w:eastAsia="Times New Roman" w:hAnsi="Cambria" w:cstheme="minorHAnsi"/>
          <w:spacing w:val="3"/>
        </w:rPr>
        <w:t xml:space="preserve"> </w:t>
      </w:r>
      <w:r w:rsidRPr="009A0DA6">
        <w:rPr>
          <w:rFonts w:ascii="Cambria" w:eastAsia="Times New Roman" w:hAnsi="Cambria" w:cstheme="minorHAnsi"/>
        </w:rPr>
        <w:t>in</w:t>
      </w:r>
      <w:r w:rsidRPr="009A0DA6">
        <w:rPr>
          <w:rFonts w:ascii="Cambria" w:eastAsia="Times New Roman" w:hAnsi="Cambria" w:cstheme="minorHAnsi"/>
          <w:spacing w:val="9"/>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9"/>
        </w:rPr>
        <w:t xml:space="preserve"> </w:t>
      </w:r>
      <w:r w:rsidRPr="009A0DA6">
        <w:rPr>
          <w:rFonts w:ascii="Cambria" w:eastAsia="Times New Roman" w:hAnsi="Cambria" w:cstheme="minorHAnsi"/>
        </w:rPr>
        <w:t>ci</w:t>
      </w:r>
      <w:r w:rsidRPr="009A0DA6">
        <w:rPr>
          <w:rFonts w:ascii="Cambria" w:eastAsia="Times New Roman" w:hAnsi="Cambria" w:cstheme="minorHAnsi"/>
          <w:spacing w:val="1"/>
        </w:rPr>
        <w:t>r</w:t>
      </w:r>
      <w:r w:rsidRPr="009A0DA6">
        <w:rPr>
          <w:rFonts w:ascii="Cambria" w:eastAsia="Times New Roman" w:hAnsi="Cambria" w:cstheme="minorHAnsi"/>
        </w:rPr>
        <w:t>c</w:t>
      </w:r>
      <w:r w:rsidRPr="009A0DA6">
        <w:rPr>
          <w:rFonts w:ascii="Cambria" w:eastAsia="Times New Roman" w:hAnsi="Cambria" w:cstheme="minorHAnsi"/>
          <w:spacing w:val="1"/>
        </w:rPr>
        <w:t>u</w:t>
      </w:r>
      <w:r w:rsidRPr="009A0DA6">
        <w:rPr>
          <w:rFonts w:ascii="Cambria" w:eastAsia="Times New Roman" w:hAnsi="Cambria" w:cstheme="minorHAnsi"/>
          <w:spacing w:val="-1"/>
        </w:rPr>
        <w:t>ms</w:t>
      </w:r>
      <w:r w:rsidRPr="009A0DA6">
        <w:rPr>
          <w:rFonts w:ascii="Cambria" w:eastAsia="Times New Roman" w:hAnsi="Cambria" w:cstheme="minorHAnsi"/>
        </w:rPr>
        <w:t>t</w:t>
      </w:r>
      <w:r w:rsidRPr="009A0DA6">
        <w:rPr>
          <w:rFonts w:ascii="Cambria" w:eastAsia="Times New Roman" w:hAnsi="Cambria" w:cstheme="minorHAnsi"/>
          <w:spacing w:val="3"/>
        </w:rPr>
        <w:t>a</w:t>
      </w:r>
      <w:r w:rsidRPr="009A0DA6">
        <w:rPr>
          <w:rFonts w:ascii="Cambria" w:eastAsia="Times New Roman" w:hAnsi="Cambria" w:cstheme="minorHAnsi"/>
          <w:spacing w:val="-1"/>
        </w:rPr>
        <w:t>n</w:t>
      </w:r>
      <w:r w:rsidRPr="009A0DA6">
        <w:rPr>
          <w:rFonts w:ascii="Cambria" w:eastAsia="Times New Roman" w:hAnsi="Cambria" w:cstheme="minorHAnsi"/>
        </w:rPr>
        <w:t>ce</w:t>
      </w:r>
      <w:r w:rsidRPr="009A0DA6">
        <w:rPr>
          <w:rFonts w:ascii="Cambria" w:eastAsia="Times New Roman" w:hAnsi="Cambria" w:cstheme="minorHAnsi"/>
          <w:spacing w:val="-1"/>
        </w:rPr>
        <w:t>s</w:t>
      </w:r>
      <w:r w:rsidRPr="009A0DA6">
        <w:rPr>
          <w:rFonts w:ascii="Cambria" w:eastAsia="Times New Roman" w:hAnsi="Cambria" w:cstheme="minorHAnsi"/>
        </w:rPr>
        <w:t xml:space="preserve">, </w:t>
      </w:r>
      <w:r w:rsidRPr="009A0DA6">
        <w:rPr>
          <w:rFonts w:ascii="Cambria" w:eastAsia="Times New Roman" w:hAnsi="Cambria" w:cstheme="minorHAnsi"/>
          <w:spacing w:val="1"/>
        </w:rPr>
        <w:t>b</w:t>
      </w:r>
      <w:r w:rsidRPr="009A0DA6">
        <w:rPr>
          <w:rFonts w:ascii="Cambria" w:eastAsia="Times New Roman" w:hAnsi="Cambria" w:cstheme="minorHAnsi"/>
          <w:spacing w:val="-1"/>
        </w:rPr>
        <w:t>u</w:t>
      </w:r>
      <w:r w:rsidRPr="009A0DA6">
        <w:rPr>
          <w:rFonts w:ascii="Cambria" w:eastAsia="Times New Roman" w:hAnsi="Cambria" w:cstheme="minorHAnsi"/>
        </w:rPr>
        <w:t>t</w:t>
      </w:r>
      <w:r w:rsidRPr="009A0DA6">
        <w:rPr>
          <w:rFonts w:ascii="Cambria" w:eastAsia="Times New Roman" w:hAnsi="Cambria" w:cstheme="minorHAnsi"/>
          <w:spacing w:val="11"/>
        </w:rPr>
        <w:t xml:space="preserve"> </w:t>
      </w:r>
      <w:r w:rsidRPr="009A0DA6">
        <w:rPr>
          <w:rFonts w:ascii="Cambria" w:eastAsia="Times New Roman" w:hAnsi="Cambria" w:cstheme="minorHAnsi"/>
          <w:spacing w:val="-1"/>
        </w:rPr>
        <w:t>n</w:t>
      </w:r>
      <w:r w:rsidRPr="009A0DA6">
        <w:rPr>
          <w:rFonts w:ascii="Cambria" w:eastAsia="Times New Roman" w:hAnsi="Cambria" w:cstheme="minorHAnsi"/>
          <w:spacing w:val="1"/>
        </w:rPr>
        <w:t>o</w:t>
      </w:r>
      <w:r w:rsidRPr="009A0DA6">
        <w:rPr>
          <w:rFonts w:ascii="Cambria" w:eastAsia="Times New Roman" w:hAnsi="Cambria" w:cstheme="minorHAnsi"/>
        </w:rPr>
        <w:t>t</w:t>
      </w:r>
      <w:r w:rsidRPr="009A0DA6">
        <w:rPr>
          <w:rFonts w:ascii="Cambria" w:eastAsia="Times New Roman" w:hAnsi="Cambria" w:cstheme="minorHAnsi"/>
          <w:spacing w:val="9"/>
        </w:rPr>
        <w:t xml:space="preserve"> </w:t>
      </w:r>
      <w:r w:rsidRPr="009A0DA6">
        <w:rPr>
          <w:rFonts w:ascii="Cambria" w:eastAsia="Times New Roman" w:hAnsi="Cambria" w:cstheme="minorHAnsi"/>
          <w:spacing w:val="-1"/>
        </w:rPr>
        <w:t>f</w:t>
      </w:r>
      <w:r w:rsidRPr="009A0DA6">
        <w:rPr>
          <w:rFonts w:ascii="Cambria" w:eastAsia="Times New Roman" w:hAnsi="Cambria" w:cstheme="minorHAnsi"/>
          <w:spacing w:val="1"/>
        </w:rPr>
        <w:t>o</w:t>
      </w:r>
      <w:r w:rsidRPr="009A0DA6">
        <w:rPr>
          <w:rFonts w:ascii="Cambria" w:eastAsia="Times New Roman" w:hAnsi="Cambria" w:cstheme="minorHAnsi"/>
        </w:rPr>
        <w:t>r</w:t>
      </w:r>
      <w:r w:rsidRPr="009A0DA6">
        <w:rPr>
          <w:rFonts w:ascii="Cambria" w:eastAsia="Times New Roman" w:hAnsi="Cambria" w:cstheme="minorHAnsi"/>
          <w:spacing w:val="10"/>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9"/>
        </w:rPr>
        <w:t xml:space="preserve"> </w:t>
      </w:r>
      <w:r w:rsidRPr="009A0DA6">
        <w:rPr>
          <w:rFonts w:ascii="Cambria" w:eastAsia="Times New Roman" w:hAnsi="Cambria" w:cstheme="minorHAnsi"/>
          <w:spacing w:val="4"/>
        </w:rPr>
        <w:t>p</w:t>
      </w:r>
      <w:r w:rsidRPr="009A0DA6">
        <w:rPr>
          <w:rFonts w:ascii="Cambria" w:eastAsia="Times New Roman" w:hAnsi="Cambria" w:cstheme="minorHAnsi"/>
          <w:spacing w:val="-1"/>
        </w:rPr>
        <w:t>u</w:t>
      </w:r>
      <w:r w:rsidRPr="009A0DA6">
        <w:rPr>
          <w:rFonts w:ascii="Cambria" w:eastAsia="Times New Roman" w:hAnsi="Cambria" w:cstheme="minorHAnsi"/>
          <w:spacing w:val="1"/>
        </w:rPr>
        <w:t>rpo</w:t>
      </w:r>
      <w:r w:rsidRPr="009A0DA6">
        <w:rPr>
          <w:rFonts w:ascii="Cambria" w:eastAsia="Times New Roman" w:hAnsi="Cambria" w:cstheme="minorHAnsi"/>
          <w:spacing w:val="-1"/>
        </w:rPr>
        <w:t>s</w:t>
      </w:r>
      <w:r w:rsidRPr="009A0DA6">
        <w:rPr>
          <w:rFonts w:ascii="Cambria" w:eastAsia="Times New Roman" w:hAnsi="Cambria" w:cstheme="minorHAnsi"/>
        </w:rPr>
        <w:t>e</w:t>
      </w:r>
      <w:r w:rsidRPr="009A0DA6">
        <w:rPr>
          <w:rFonts w:ascii="Cambria" w:eastAsia="Times New Roman" w:hAnsi="Cambria" w:cstheme="minorHAnsi"/>
          <w:spacing w:val="5"/>
        </w:rPr>
        <w:t xml:space="preserve"> </w:t>
      </w:r>
      <w:r w:rsidRPr="009A0DA6">
        <w:rPr>
          <w:rFonts w:ascii="Cambria" w:eastAsia="Times New Roman" w:hAnsi="Cambria" w:cstheme="minorHAnsi"/>
          <w:spacing w:val="1"/>
        </w:rPr>
        <w:t>o</w:t>
      </w:r>
      <w:r w:rsidRPr="009A0DA6">
        <w:rPr>
          <w:rFonts w:ascii="Cambria" w:eastAsia="Times New Roman" w:hAnsi="Cambria" w:cstheme="minorHAnsi"/>
        </w:rPr>
        <w:t>f</w:t>
      </w:r>
      <w:r w:rsidRPr="009A0DA6">
        <w:rPr>
          <w:rFonts w:ascii="Cambria" w:eastAsia="Times New Roman" w:hAnsi="Cambria" w:cstheme="minorHAnsi"/>
          <w:spacing w:val="8"/>
        </w:rPr>
        <w:t xml:space="preserve"> </w:t>
      </w:r>
      <w:r w:rsidRPr="009A0DA6">
        <w:rPr>
          <w:rFonts w:ascii="Cambria" w:eastAsia="Times New Roman" w:hAnsi="Cambria" w:cstheme="minorHAnsi"/>
        </w:rPr>
        <w:t>e</w:t>
      </w:r>
      <w:r w:rsidRPr="009A0DA6">
        <w:rPr>
          <w:rFonts w:ascii="Cambria" w:eastAsia="Times New Roman" w:hAnsi="Cambria" w:cstheme="minorHAnsi"/>
          <w:spacing w:val="-1"/>
        </w:rPr>
        <w:t>x</w:t>
      </w:r>
      <w:r w:rsidRPr="009A0DA6">
        <w:rPr>
          <w:rFonts w:ascii="Cambria" w:eastAsia="Times New Roman" w:hAnsi="Cambria" w:cstheme="minorHAnsi"/>
          <w:spacing w:val="1"/>
        </w:rPr>
        <w:t>pr</w:t>
      </w:r>
      <w:r w:rsidRPr="009A0DA6">
        <w:rPr>
          <w:rFonts w:ascii="Cambria" w:eastAsia="Times New Roman" w:hAnsi="Cambria" w:cstheme="minorHAnsi"/>
        </w:rPr>
        <w:t>e</w:t>
      </w:r>
      <w:r w:rsidRPr="009A0DA6">
        <w:rPr>
          <w:rFonts w:ascii="Cambria" w:eastAsia="Times New Roman" w:hAnsi="Cambria" w:cstheme="minorHAnsi"/>
          <w:spacing w:val="-1"/>
        </w:rPr>
        <w:t>ss</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rPr>
        <w:t>g</w:t>
      </w:r>
      <w:r w:rsidRPr="009A0DA6">
        <w:rPr>
          <w:rFonts w:ascii="Cambria" w:eastAsia="Times New Roman" w:hAnsi="Cambria" w:cstheme="minorHAnsi"/>
          <w:spacing w:val="2"/>
        </w:rPr>
        <w:t xml:space="preserve"> </w:t>
      </w:r>
      <w:r w:rsidRPr="009A0DA6">
        <w:rPr>
          <w:rFonts w:ascii="Cambria" w:eastAsia="Times New Roman" w:hAnsi="Cambria" w:cstheme="minorHAnsi"/>
        </w:rPr>
        <w:t>an</w:t>
      </w:r>
      <w:r w:rsidRPr="009A0DA6">
        <w:rPr>
          <w:rFonts w:ascii="Cambria" w:eastAsia="Times New Roman" w:hAnsi="Cambria" w:cstheme="minorHAnsi"/>
          <w:spacing w:val="9"/>
        </w:rPr>
        <w:t xml:space="preserve"> </w:t>
      </w:r>
      <w:r w:rsidRPr="009A0DA6">
        <w:rPr>
          <w:rFonts w:ascii="Cambria" w:eastAsia="Times New Roman" w:hAnsi="Cambria" w:cstheme="minorHAnsi"/>
          <w:spacing w:val="1"/>
        </w:rPr>
        <w:t>op</w:t>
      </w:r>
      <w:r w:rsidRPr="009A0DA6">
        <w:rPr>
          <w:rFonts w:ascii="Cambria" w:eastAsia="Times New Roman" w:hAnsi="Cambria" w:cstheme="minorHAnsi"/>
        </w:rPr>
        <w:t>i</w:t>
      </w:r>
      <w:r w:rsidRPr="009A0DA6">
        <w:rPr>
          <w:rFonts w:ascii="Cambria" w:eastAsia="Times New Roman" w:hAnsi="Cambria" w:cstheme="minorHAnsi"/>
          <w:spacing w:val="-1"/>
        </w:rPr>
        <w:t>n</w:t>
      </w:r>
      <w:r w:rsidRPr="009A0DA6">
        <w:rPr>
          <w:rFonts w:ascii="Cambria" w:eastAsia="Times New Roman" w:hAnsi="Cambria" w:cstheme="minorHAnsi"/>
          <w:spacing w:val="2"/>
        </w:rPr>
        <w:t>i</w:t>
      </w:r>
      <w:r w:rsidRPr="009A0DA6">
        <w:rPr>
          <w:rFonts w:ascii="Cambria" w:eastAsia="Times New Roman" w:hAnsi="Cambria" w:cstheme="minorHAnsi"/>
          <w:spacing w:val="1"/>
        </w:rPr>
        <w:t>o</w:t>
      </w:r>
      <w:r w:rsidRPr="009A0DA6">
        <w:rPr>
          <w:rFonts w:ascii="Cambria" w:eastAsia="Times New Roman" w:hAnsi="Cambria" w:cstheme="minorHAnsi"/>
        </w:rPr>
        <w:t>n</w:t>
      </w:r>
      <w:r w:rsidRPr="009A0DA6">
        <w:rPr>
          <w:rFonts w:ascii="Cambria" w:eastAsia="Times New Roman" w:hAnsi="Cambria" w:cstheme="minorHAnsi"/>
          <w:spacing w:val="5"/>
        </w:rPr>
        <w:t xml:space="preserve"> </w:t>
      </w:r>
      <w:r w:rsidRPr="009A0DA6">
        <w:rPr>
          <w:rFonts w:ascii="Cambria" w:eastAsia="Times New Roman" w:hAnsi="Cambria" w:cstheme="minorHAnsi"/>
          <w:spacing w:val="1"/>
        </w:rPr>
        <w:t>o</w:t>
      </w:r>
      <w:r w:rsidRPr="009A0DA6">
        <w:rPr>
          <w:rFonts w:ascii="Cambria" w:eastAsia="Times New Roman" w:hAnsi="Cambria" w:cstheme="minorHAnsi"/>
        </w:rPr>
        <w:t>n</w:t>
      </w:r>
      <w:r w:rsidRPr="009A0DA6">
        <w:rPr>
          <w:rFonts w:ascii="Cambria" w:eastAsia="Times New Roman" w:hAnsi="Cambria" w:cstheme="minorHAnsi"/>
          <w:spacing w:val="9"/>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 e</w:t>
      </w:r>
      <w:r w:rsidRPr="009A0DA6">
        <w:rPr>
          <w:rFonts w:ascii="Cambria" w:eastAsia="Times New Roman" w:hAnsi="Cambria" w:cstheme="minorHAnsi"/>
          <w:spacing w:val="-1"/>
        </w:rPr>
        <w:t>ff</w:t>
      </w:r>
      <w:r w:rsidRPr="009A0DA6">
        <w:rPr>
          <w:rFonts w:ascii="Cambria" w:eastAsia="Times New Roman" w:hAnsi="Cambria" w:cstheme="minorHAnsi"/>
        </w:rPr>
        <w:t>e</w:t>
      </w:r>
      <w:r w:rsidRPr="009A0DA6">
        <w:rPr>
          <w:rFonts w:ascii="Cambria" w:eastAsia="Times New Roman" w:hAnsi="Cambria" w:cstheme="minorHAnsi"/>
          <w:spacing w:val="3"/>
        </w:rPr>
        <w:t>c</w:t>
      </w:r>
      <w:r w:rsidRPr="009A0DA6">
        <w:rPr>
          <w:rFonts w:ascii="Cambria" w:eastAsia="Times New Roman" w:hAnsi="Cambria" w:cstheme="minorHAnsi"/>
        </w:rPr>
        <w:t>ti</w:t>
      </w:r>
      <w:r w:rsidRPr="009A0DA6">
        <w:rPr>
          <w:rFonts w:ascii="Cambria" w:eastAsia="Times New Roman" w:hAnsi="Cambria" w:cstheme="minorHAnsi"/>
          <w:spacing w:val="-1"/>
        </w:rPr>
        <w:t>v</w:t>
      </w:r>
      <w:r w:rsidRPr="009A0DA6">
        <w:rPr>
          <w:rFonts w:ascii="Cambria" w:eastAsia="Times New Roman" w:hAnsi="Cambria" w:cstheme="minorHAnsi"/>
          <w:spacing w:val="3"/>
        </w:rPr>
        <w:t>e</w:t>
      </w:r>
      <w:r w:rsidRPr="009A0DA6">
        <w:rPr>
          <w:rFonts w:ascii="Cambria" w:eastAsia="Times New Roman" w:hAnsi="Cambria" w:cstheme="minorHAnsi"/>
          <w:spacing w:val="-1"/>
        </w:rPr>
        <w:t>n</w:t>
      </w:r>
      <w:r w:rsidRPr="009A0DA6">
        <w:rPr>
          <w:rFonts w:ascii="Cambria" w:eastAsia="Times New Roman" w:hAnsi="Cambria" w:cstheme="minorHAnsi"/>
          <w:spacing w:val="3"/>
        </w:rPr>
        <w:t>e</w:t>
      </w:r>
      <w:r w:rsidRPr="009A0DA6">
        <w:rPr>
          <w:rFonts w:ascii="Cambria" w:eastAsia="Times New Roman" w:hAnsi="Cambria" w:cstheme="minorHAnsi"/>
          <w:spacing w:val="-1"/>
        </w:rPr>
        <w:t>s</w:t>
      </w:r>
      <w:r w:rsidRPr="009A0DA6">
        <w:rPr>
          <w:rFonts w:ascii="Cambria" w:eastAsia="Times New Roman" w:hAnsi="Cambria" w:cstheme="minorHAnsi"/>
        </w:rPr>
        <w:t>s</w:t>
      </w:r>
      <w:r w:rsidRPr="009A0DA6">
        <w:rPr>
          <w:rFonts w:ascii="Cambria" w:eastAsia="Times New Roman" w:hAnsi="Cambria" w:cstheme="minorHAnsi"/>
          <w:spacing w:val="-10"/>
        </w:rPr>
        <w:t xml:space="preserve"> </w:t>
      </w:r>
      <w:r w:rsidRPr="009A0DA6">
        <w:rPr>
          <w:rFonts w:ascii="Cambria" w:eastAsia="Times New Roman" w:hAnsi="Cambria" w:cstheme="minorHAnsi"/>
          <w:spacing w:val="1"/>
        </w:rPr>
        <w:t>o</w:t>
      </w:r>
      <w:r w:rsidRPr="009A0DA6">
        <w:rPr>
          <w:rFonts w:ascii="Cambria" w:eastAsia="Times New Roman" w:hAnsi="Cambria" w:cstheme="minorHAnsi"/>
        </w:rPr>
        <w:t>f</w:t>
      </w:r>
      <w:r w:rsidRPr="009A0DA6">
        <w:rPr>
          <w:rFonts w:ascii="Cambria" w:eastAsia="Times New Roman" w:hAnsi="Cambria" w:cstheme="minorHAnsi"/>
          <w:spacing w:val="-3"/>
        </w:rPr>
        <w:t xml:space="preserve"> </w:t>
      </w:r>
      <w:r w:rsidRPr="009A0DA6">
        <w:rPr>
          <w:rFonts w:ascii="Cambria" w:eastAsia="Times New Roman" w:hAnsi="Cambria" w:cstheme="minorHAnsi"/>
          <w:spacing w:val="2"/>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1"/>
        </w:rPr>
        <w:t xml:space="preserve"> </w:t>
      </w:r>
      <w:r w:rsidRPr="009A0DA6">
        <w:rPr>
          <w:rFonts w:ascii="Cambria" w:eastAsia="Times New Roman" w:hAnsi="Cambria" w:cstheme="minorHAnsi"/>
          <w:spacing w:val="-2"/>
        </w:rPr>
        <w:t>A</w:t>
      </w:r>
      <w:r w:rsidRPr="009A0DA6">
        <w:rPr>
          <w:rFonts w:ascii="Cambria" w:eastAsia="Times New Roman" w:hAnsi="Cambria" w:cstheme="minorHAnsi"/>
          <w:spacing w:val="2"/>
        </w:rPr>
        <w:t>s</w:t>
      </w:r>
      <w:r w:rsidRPr="009A0DA6">
        <w:rPr>
          <w:rFonts w:ascii="Cambria" w:eastAsia="Times New Roman" w:hAnsi="Cambria" w:cstheme="minorHAnsi"/>
          <w:spacing w:val="-1"/>
        </w:rPr>
        <w:t>s</w:t>
      </w:r>
      <w:r w:rsidRPr="009A0DA6">
        <w:rPr>
          <w:rFonts w:ascii="Cambria" w:eastAsia="Times New Roman" w:hAnsi="Cambria" w:cstheme="minorHAnsi"/>
          <w:spacing w:val="1"/>
        </w:rPr>
        <w:t>o</w:t>
      </w:r>
      <w:r w:rsidRPr="009A0DA6">
        <w:rPr>
          <w:rFonts w:ascii="Cambria" w:eastAsia="Times New Roman" w:hAnsi="Cambria" w:cstheme="minorHAnsi"/>
        </w:rPr>
        <w:t>ciati</w:t>
      </w:r>
      <w:r w:rsidRPr="009A0DA6">
        <w:rPr>
          <w:rFonts w:ascii="Cambria" w:eastAsia="Times New Roman" w:hAnsi="Cambria" w:cstheme="minorHAnsi"/>
          <w:spacing w:val="4"/>
        </w:rPr>
        <w:t>o</w:t>
      </w:r>
      <w:r w:rsidRPr="009A0DA6">
        <w:rPr>
          <w:rFonts w:ascii="Cambria" w:eastAsia="Times New Roman" w:hAnsi="Cambria" w:cstheme="minorHAnsi"/>
          <w:spacing w:val="-1"/>
        </w:rPr>
        <w:t>n</w:t>
      </w:r>
      <w:r w:rsidRPr="009A0DA6">
        <w:rPr>
          <w:rFonts w:ascii="Cambria" w:eastAsia="Times New Roman" w:hAnsi="Cambria" w:cstheme="minorHAnsi"/>
          <w:spacing w:val="1"/>
        </w:rPr>
        <w:t>’</w:t>
      </w:r>
      <w:r w:rsidRPr="009A0DA6">
        <w:rPr>
          <w:rFonts w:ascii="Cambria" w:eastAsia="Times New Roman" w:hAnsi="Cambria" w:cstheme="minorHAnsi"/>
        </w:rPr>
        <w:t>s</w:t>
      </w:r>
      <w:r w:rsidRPr="009A0DA6">
        <w:rPr>
          <w:rFonts w:ascii="Cambria" w:eastAsia="Times New Roman" w:hAnsi="Cambria" w:cstheme="minorHAnsi"/>
          <w:spacing w:val="-11"/>
        </w:rPr>
        <w:t xml:space="preserve"> </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rPr>
        <w:t>te</w:t>
      </w:r>
      <w:r w:rsidRPr="009A0DA6">
        <w:rPr>
          <w:rFonts w:ascii="Cambria" w:eastAsia="Times New Roman" w:hAnsi="Cambria" w:cstheme="minorHAnsi"/>
          <w:spacing w:val="1"/>
        </w:rPr>
        <w:t>r</w:t>
      </w:r>
      <w:r w:rsidRPr="009A0DA6">
        <w:rPr>
          <w:rFonts w:ascii="Cambria" w:eastAsia="Times New Roman" w:hAnsi="Cambria" w:cstheme="minorHAnsi"/>
          <w:spacing w:val="-1"/>
        </w:rPr>
        <w:t>n</w:t>
      </w:r>
      <w:r w:rsidRPr="009A0DA6">
        <w:rPr>
          <w:rFonts w:ascii="Cambria" w:eastAsia="Times New Roman" w:hAnsi="Cambria" w:cstheme="minorHAnsi"/>
        </w:rPr>
        <w:t>al</w:t>
      </w:r>
      <w:r w:rsidRPr="009A0DA6">
        <w:rPr>
          <w:rFonts w:ascii="Cambria" w:eastAsia="Times New Roman" w:hAnsi="Cambria" w:cstheme="minorHAnsi"/>
          <w:spacing w:val="-6"/>
        </w:rPr>
        <w:t xml:space="preserve"> </w:t>
      </w:r>
      <w:r w:rsidRPr="009A0DA6">
        <w:rPr>
          <w:rFonts w:ascii="Cambria" w:eastAsia="Times New Roman" w:hAnsi="Cambria" w:cstheme="minorHAnsi"/>
        </w:rPr>
        <w:t>c</w:t>
      </w:r>
      <w:r w:rsidRPr="009A0DA6">
        <w:rPr>
          <w:rFonts w:ascii="Cambria" w:eastAsia="Times New Roman" w:hAnsi="Cambria" w:cstheme="minorHAnsi"/>
          <w:spacing w:val="1"/>
        </w:rPr>
        <w:t>on</w:t>
      </w:r>
      <w:r w:rsidRPr="009A0DA6">
        <w:rPr>
          <w:rFonts w:ascii="Cambria" w:eastAsia="Times New Roman" w:hAnsi="Cambria" w:cstheme="minorHAnsi"/>
        </w:rPr>
        <w:t>t</w:t>
      </w:r>
      <w:r w:rsidRPr="009A0DA6">
        <w:rPr>
          <w:rFonts w:ascii="Cambria" w:eastAsia="Times New Roman" w:hAnsi="Cambria" w:cstheme="minorHAnsi"/>
          <w:spacing w:val="1"/>
        </w:rPr>
        <w:t>ro</w:t>
      </w:r>
      <w:r w:rsidRPr="009A0DA6">
        <w:rPr>
          <w:rFonts w:ascii="Cambria" w:eastAsia="Times New Roman" w:hAnsi="Cambria" w:cstheme="minorHAnsi"/>
        </w:rPr>
        <w:t>l.</w:t>
      </w:r>
    </w:p>
    <w:p w14:paraId="23B11D3B" w14:textId="77777777" w:rsidR="00BA4592" w:rsidRPr="009A0DA6" w:rsidRDefault="00BA4592" w:rsidP="00F55252">
      <w:pPr>
        <w:pStyle w:val="ListParagraph"/>
        <w:widowControl w:val="0"/>
        <w:numPr>
          <w:ilvl w:val="0"/>
          <w:numId w:val="274"/>
        </w:numPr>
        <w:spacing w:before="120" w:after="120" w:line="240" w:lineRule="auto"/>
        <w:ind w:left="567" w:right="-107" w:hanging="567"/>
        <w:rPr>
          <w:rFonts w:ascii="Cambria" w:eastAsia="Times New Roman" w:hAnsi="Cambria" w:cstheme="minorHAnsi"/>
        </w:rPr>
      </w:pPr>
      <w:r w:rsidRPr="009A0DA6">
        <w:rPr>
          <w:rFonts w:ascii="Cambria" w:eastAsia="Times New Roman" w:hAnsi="Cambria" w:cstheme="minorHAnsi"/>
          <w:spacing w:val="1"/>
        </w:rPr>
        <w:t>E</w:t>
      </w:r>
      <w:r w:rsidRPr="009A0DA6">
        <w:rPr>
          <w:rFonts w:ascii="Cambria" w:eastAsia="Times New Roman" w:hAnsi="Cambria" w:cstheme="minorHAnsi"/>
          <w:spacing w:val="-1"/>
        </w:rPr>
        <w:t>v</w:t>
      </w:r>
      <w:r w:rsidRPr="009A0DA6">
        <w:rPr>
          <w:rFonts w:ascii="Cambria" w:eastAsia="Times New Roman" w:hAnsi="Cambria" w:cstheme="minorHAnsi"/>
        </w:rPr>
        <w:t>al</w:t>
      </w:r>
      <w:r w:rsidRPr="009A0DA6">
        <w:rPr>
          <w:rFonts w:ascii="Cambria" w:eastAsia="Times New Roman" w:hAnsi="Cambria" w:cstheme="minorHAnsi"/>
          <w:spacing w:val="-1"/>
        </w:rPr>
        <w:t>u</w:t>
      </w:r>
      <w:r w:rsidRPr="009A0DA6">
        <w:rPr>
          <w:rFonts w:ascii="Cambria" w:eastAsia="Times New Roman" w:hAnsi="Cambria" w:cstheme="minorHAnsi"/>
          <w:spacing w:val="3"/>
        </w:rPr>
        <w:t>a</w:t>
      </w:r>
      <w:r w:rsidRPr="009A0DA6">
        <w:rPr>
          <w:rFonts w:ascii="Cambria" w:eastAsia="Times New Roman" w:hAnsi="Cambria" w:cstheme="minorHAnsi"/>
        </w:rPr>
        <w:t>te</w:t>
      </w:r>
      <w:r w:rsidRPr="009A0DA6">
        <w:rPr>
          <w:rFonts w:ascii="Cambria" w:eastAsia="Times New Roman" w:hAnsi="Cambria" w:cstheme="minorHAnsi"/>
          <w:spacing w:val="30"/>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35"/>
        </w:rPr>
        <w:t xml:space="preserve"> </w:t>
      </w:r>
      <w:r w:rsidRPr="009A0DA6">
        <w:rPr>
          <w:rFonts w:ascii="Cambria" w:eastAsia="Times New Roman" w:hAnsi="Cambria" w:cstheme="minorHAnsi"/>
        </w:rPr>
        <w:t>a</w:t>
      </w:r>
      <w:r w:rsidRPr="009A0DA6">
        <w:rPr>
          <w:rFonts w:ascii="Cambria" w:eastAsia="Times New Roman" w:hAnsi="Cambria" w:cstheme="minorHAnsi"/>
          <w:spacing w:val="1"/>
        </w:rPr>
        <w:t>ppropr</w:t>
      </w:r>
      <w:r w:rsidRPr="009A0DA6">
        <w:rPr>
          <w:rFonts w:ascii="Cambria" w:eastAsia="Times New Roman" w:hAnsi="Cambria" w:cstheme="minorHAnsi"/>
        </w:rPr>
        <w:t>iate</w:t>
      </w:r>
      <w:r w:rsidRPr="009A0DA6">
        <w:rPr>
          <w:rFonts w:ascii="Cambria" w:eastAsia="Times New Roman" w:hAnsi="Cambria" w:cstheme="minorHAnsi"/>
          <w:spacing w:val="-1"/>
        </w:rPr>
        <w:t>n</w:t>
      </w:r>
      <w:r w:rsidRPr="009A0DA6">
        <w:rPr>
          <w:rFonts w:ascii="Cambria" w:eastAsia="Times New Roman" w:hAnsi="Cambria" w:cstheme="minorHAnsi"/>
        </w:rPr>
        <w:t>e</w:t>
      </w:r>
      <w:r w:rsidRPr="009A0DA6">
        <w:rPr>
          <w:rFonts w:ascii="Cambria" w:eastAsia="Times New Roman" w:hAnsi="Cambria" w:cstheme="minorHAnsi"/>
          <w:spacing w:val="-1"/>
        </w:rPr>
        <w:t>s</w:t>
      </w:r>
      <w:r w:rsidRPr="009A0DA6">
        <w:rPr>
          <w:rFonts w:ascii="Cambria" w:eastAsia="Times New Roman" w:hAnsi="Cambria" w:cstheme="minorHAnsi"/>
        </w:rPr>
        <w:t>s</w:t>
      </w:r>
      <w:r w:rsidRPr="009A0DA6">
        <w:rPr>
          <w:rFonts w:ascii="Cambria" w:eastAsia="Times New Roman" w:hAnsi="Cambria" w:cstheme="minorHAnsi"/>
          <w:spacing w:val="25"/>
        </w:rPr>
        <w:t xml:space="preserve"> </w:t>
      </w:r>
      <w:r w:rsidRPr="009A0DA6">
        <w:rPr>
          <w:rFonts w:ascii="Cambria" w:eastAsia="Times New Roman" w:hAnsi="Cambria" w:cstheme="minorHAnsi"/>
          <w:spacing w:val="1"/>
        </w:rPr>
        <w:t>o</w:t>
      </w:r>
      <w:r w:rsidRPr="009A0DA6">
        <w:rPr>
          <w:rFonts w:ascii="Cambria" w:eastAsia="Times New Roman" w:hAnsi="Cambria" w:cstheme="minorHAnsi"/>
        </w:rPr>
        <w:t>f</w:t>
      </w:r>
      <w:r w:rsidRPr="009A0DA6">
        <w:rPr>
          <w:rFonts w:ascii="Cambria" w:eastAsia="Times New Roman" w:hAnsi="Cambria" w:cstheme="minorHAnsi"/>
          <w:spacing w:val="33"/>
        </w:rPr>
        <w:t xml:space="preserve"> </w:t>
      </w:r>
      <w:r w:rsidRPr="009A0DA6">
        <w:rPr>
          <w:rFonts w:ascii="Cambria" w:eastAsia="Times New Roman" w:hAnsi="Cambria" w:cstheme="minorHAnsi"/>
        </w:rPr>
        <w:t>acc</w:t>
      </w:r>
      <w:r w:rsidRPr="009A0DA6">
        <w:rPr>
          <w:rFonts w:ascii="Cambria" w:eastAsia="Times New Roman" w:hAnsi="Cambria" w:cstheme="minorHAnsi"/>
          <w:spacing w:val="1"/>
        </w:rPr>
        <w:t>o</w:t>
      </w:r>
      <w:r w:rsidRPr="009A0DA6">
        <w:rPr>
          <w:rFonts w:ascii="Cambria" w:eastAsia="Times New Roman" w:hAnsi="Cambria" w:cstheme="minorHAnsi"/>
          <w:spacing w:val="-1"/>
        </w:rPr>
        <w:t>un</w:t>
      </w:r>
      <w:r w:rsidRPr="009A0DA6">
        <w:rPr>
          <w:rFonts w:ascii="Cambria" w:eastAsia="Times New Roman" w:hAnsi="Cambria" w:cstheme="minorHAnsi"/>
        </w:rPr>
        <w:t>t</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rPr>
        <w:t>g</w:t>
      </w:r>
      <w:r w:rsidRPr="009A0DA6">
        <w:rPr>
          <w:rFonts w:ascii="Cambria" w:eastAsia="Times New Roman" w:hAnsi="Cambria" w:cstheme="minorHAnsi"/>
          <w:spacing w:val="26"/>
        </w:rPr>
        <w:t xml:space="preserve"> </w:t>
      </w:r>
      <w:r w:rsidRPr="009A0DA6">
        <w:rPr>
          <w:rFonts w:ascii="Cambria" w:eastAsia="Times New Roman" w:hAnsi="Cambria" w:cstheme="minorHAnsi"/>
          <w:spacing w:val="1"/>
        </w:rPr>
        <w:t>po</w:t>
      </w:r>
      <w:r w:rsidRPr="009A0DA6">
        <w:rPr>
          <w:rFonts w:ascii="Cambria" w:eastAsia="Times New Roman" w:hAnsi="Cambria" w:cstheme="minorHAnsi"/>
        </w:rPr>
        <w:t>licies</w:t>
      </w:r>
      <w:r w:rsidRPr="009A0DA6">
        <w:rPr>
          <w:rFonts w:ascii="Cambria" w:eastAsia="Times New Roman" w:hAnsi="Cambria" w:cstheme="minorHAnsi"/>
          <w:spacing w:val="30"/>
        </w:rPr>
        <w:t xml:space="preserve"> </w:t>
      </w:r>
      <w:r w:rsidRPr="009A0DA6">
        <w:rPr>
          <w:rFonts w:ascii="Cambria" w:eastAsia="Times New Roman" w:hAnsi="Cambria" w:cstheme="minorHAnsi"/>
          <w:spacing w:val="1"/>
        </w:rPr>
        <w:t>u</w:t>
      </w:r>
      <w:r w:rsidRPr="009A0DA6">
        <w:rPr>
          <w:rFonts w:ascii="Cambria" w:eastAsia="Times New Roman" w:hAnsi="Cambria" w:cstheme="minorHAnsi"/>
          <w:spacing w:val="-1"/>
        </w:rPr>
        <w:t>s</w:t>
      </w:r>
      <w:r w:rsidRPr="009A0DA6">
        <w:rPr>
          <w:rFonts w:ascii="Cambria" w:eastAsia="Times New Roman" w:hAnsi="Cambria" w:cstheme="minorHAnsi"/>
        </w:rPr>
        <w:t>ed</w:t>
      </w:r>
      <w:r w:rsidRPr="009A0DA6">
        <w:rPr>
          <w:rFonts w:ascii="Cambria" w:eastAsia="Times New Roman" w:hAnsi="Cambria" w:cstheme="minorHAnsi"/>
          <w:spacing w:val="34"/>
        </w:rPr>
        <w:t xml:space="preserve"> </w:t>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spacing w:val="35"/>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35"/>
        </w:rPr>
        <w:t xml:space="preserve"> </w:t>
      </w:r>
      <w:r w:rsidRPr="009A0DA6">
        <w:rPr>
          <w:rFonts w:ascii="Cambria" w:eastAsia="Times New Roman" w:hAnsi="Cambria" w:cstheme="minorHAnsi"/>
          <w:spacing w:val="1"/>
        </w:rPr>
        <w:t>r</w:t>
      </w:r>
      <w:r w:rsidRPr="009A0DA6">
        <w:rPr>
          <w:rFonts w:ascii="Cambria" w:eastAsia="Times New Roman" w:hAnsi="Cambria" w:cstheme="minorHAnsi"/>
        </w:rPr>
        <w:t>ea</w:t>
      </w:r>
      <w:r w:rsidRPr="009A0DA6">
        <w:rPr>
          <w:rFonts w:ascii="Cambria" w:eastAsia="Times New Roman" w:hAnsi="Cambria" w:cstheme="minorHAnsi"/>
          <w:spacing w:val="-1"/>
        </w:rPr>
        <w:t>s</w:t>
      </w:r>
      <w:r w:rsidRPr="009A0DA6">
        <w:rPr>
          <w:rFonts w:ascii="Cambria" w:eastAsia="Times New Roman" w:hAnsi="Cambria" w:cstheme="minorHAnsi"/>
          <w:spacing w:val="1"/>
        </w:rPr>
        <w:t>o</w:t>
      </w:r>
      <w:r w:rsidRPr="009A0DA6">
        <w:rPr>
          <w:rFonts w:ascii="Cambria" w:eastAsia="Times New Roman" w:hAnsi="Cambria" w:cstheme="minorHAnsi"/>
          <w:spacing w:val="-1"/>
        </w:rPr>
        <w:t>n</w:t>
      </w:r>
      <w:r w:rsidRPr="009A0DA6">
        <w:rPr>
          <w:rFonts w:ascii="Cambria" w:eastAsia="Times New Roman" w:hAnsi="Cambria" w:cstheme="minorHAnsi"/>
        </w:rPr>
        <w:t>a</w:t>
      </w:r>
      <w:r w:rsidRPr="009A0DA6">
        <w:rPr>
          <w:rFonts w:ascii="Cambria" w:eastAsia="Times New Roman" w:hAnsi="Cambria" w:cstheme="minorHAnsi"/>
          <w:spacing w:val="1"/>
        </w:rPr>
        <w:t>b</w:t>
      </w:r>
      <w:r w:rsidRPr="009A0DA6">
        <w:rPr>
          <w:rFonts w:ascii="Cambria" w:eastAsia="Times New Roman" w:hAnsi="Cambria" w:cstheme="minorHAnsi"/>
        </w:rPr>
        <w:t>l</w:t>
      </w:r>
      <w:r w:rsidRPr="009A0DA6">
        <w:rPr>
          <w:rFonts w:ascii="Cambria" w:eastAsia="Times New Roman" w:hAnsi="Cambria" w:cstheme="minorHAnsi"/>
          <w:spacing w:val="3"/>
        </w:rPr>
        <w:t>e</w:t>
      </w:r>
      <w:r w:rsidRPr="009A0DA6">
        <w:rPr>
          <w:rFonts w:ascii="Cambria" w:eastAsia="Times New Roman" w:hAnsi="Cambria" w:cstheme="minorHAnsi"/>
          <w:spacing w:val="-1"/>
        </w:rPr>
        <w:t>n</w:t>
      </w:r>
      <w:r w:rsidRPr="009A0DA6">
        <w:rPr>
          <w:rFonts w:ascii="Cambria" w:eastAsia="Times New Roman" w:hAnsi="Cambria" w:cstheme="minorHAnsi"/>
        </w:rPr>
        <w:t>e</w:t>
      </w:r>
      <w:r w:rsidRPr="009A0DA6">
        <w:rPr>
          <w:rFonts w:ascii="Cambria" w:eastAsia="Times New Roman" w:hAnsi="Cambria" w:cstheme="minorHAnsi"/>
          <w:spacing w:val="2"/>
        </w:rPr>
        <w:t>s</w:t>
      </w:r>
      <w:r w:rsidRPr="009A0DA6">
        <w:rPr>
          <w:rFonts w:ascii="Cambria" w:eastAsia="Times New Roman" w:hAnsi="Cambria" w:cstheme="minorHAnsi"/>
        </w:rPr>
        <w:t>s</w:t>
      </w:r>
      <w:r w:rsidRPr="009A0DA6">
        <w:rPr>
          <w:rFonts w:ascii="Cambria" w:eastAsia="Times New Roman" w:hAnsi="Cambria" w:cstheme="minorHAnsi"/>
          <w:spacing w:val="24"/>
        </w:rPr>
        <w:t xml:space="preserve"> </w:t>
      </w:r>
      <w:r w:rsidRPr="009A0DA6">
        <w:rPr>
          <w:rFonts w:ascii="Cambria" w:eastAsia="Times New Roman" w:hAnsi="Cambria" w:cstheme="minorHAnsi"/>
          <w:spacing w:val="1"/>
        </w:rPr>
        <w:t>o</w:t>
      </w:r>
      <w:r w:rsidRPr="009A0DA6">
        <w:rPr>
          <w:rFonts w:ascii="Cambria" w:eastAsia="Times New Roman" w:hAnsi="Cambria" w:cstheme="minorHAnsi"/>
        </w:rPr>
        <w:t>f</w:t>
      </w:r>
      <w:r w:rsidRPr="009A0DA6">
        <w:rPr>
          <w:rFonts w:ascii="Cambria" w:eastAsia="Times New Roman" w:hAnsi="Cambria" w:cstheme="minorHAnsi"/>
          <w:spacing w:val="33"/>
        </w:rPr>
        <w:t xml:space="preserve"> </w:t>
      </w:r>
      <w:r w:rsidRPr="009A0DA6">
        <w:rPr>
          <w:rFonts w:ascii="Cambria" w:eastAsia="Times New Roman" w:hAnsi="Cambria" w:cstheme="minorHAnsi"/>
          <w:spacing w:val="3"/>
        </w:rPr>
        <w:lastRenderedPageBreak/>
        <w:t>a</w:t>
      </w:r>
      <w:r w:rsidRPr="009A0DA6">
        <w:rPr>
          <w:rFonts w:ascii="Cambria" w:eastAsia="Times New Roman" w:hAnsi="Cambria" w:cstheme="minorHAnsi"/>
        </w:rPr>
        <w:t>cc</w:t>
      </w:r>
      <w:r w:rsidRPr="009A0DA6">
        <w:rPr>
          <w:rFonts w:ascii="Cambria" w:eastAsia="Times New Roman" w:hAnsi="Cambria" w:cstheme="minorHAnsi"/>
          <w:spacing w:val="1"/>
        </w:rPr>
        <w:t>o</w:t>
      </w:r>
      <w:r w:rsidRPr="009A0DA6">
        <w:rPr>
          <w:rFonts w:ascii="Cambria" w:eastAsia="Times New Roman" w:hAnsi="Cambria" w:cstheme="minorHAnsi"/>
          <w:spacing w:val="-1"/>
        </w:rPr>
        <w:t>un</w:t>
      </w:r>
      <w:r w:rsidRPr="009A0DA6">
        <w:rPr>
          <w:rFonts w:ascii="Cambria" w:eastAsia="Times New Roman" w:hAnsi="Cambria" w:cstheme="minorHAnsi"/>
        </w:rPr>
        <w:t>t</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rPr>
        <w:t>g e</w:t>
      </w:r>
      <w:r w:rsidRPr="009A0DA6">
        <w:rPr>
          <w:rFonts w:ascii="Cambria" w:eastAsia="Times New Roman" w:hAnsi="Cambria" w:cstheme="minorHAnsi"/>
          <w:spacing w:val="-1"/>
        </w:rPr>
        <w:t>s</w:t>
      </w:r>
      <w:r w:rsidRPr="009A0DA6">
        <w:rPr>
          <w:rFonts w:ascii="Cambria" w:eastAsia="Times New Roman" w:hAnsi="Cambria" w:cstheme="minorHAnsi"/>
        </w:rPr>
        <w:t>t</w:t>
      </w:r>
      <w:r w:rsidRPr="009A0DA6">
        <w:rPr>
          <w:rFonts w:ascii="Cambria" w:eastAsia="Times New Roman" w:hAnsi="Cambria" w:cstheme="minorHAnsi"/>
          <w:spacing w:val="2"/>
        </w:rPr>
        <w:t>i</w:t>
      </w:r>
      <w:r w:rsidRPr="009A0DA6">
        <w:rPr>
          <w:rFonts w:ascii="Cambria" w:eastAsia="Times New Roman" w:hAnsi="Cambria" w:cstheme="minorHAnsi"/>
          <w:spacing w:val="-1"/>
        </w:rPr>
        <w:t>m</w:t>
      </w:r>
      <w:r w:rsidRPr="009A0DA6">
        <w:rPr>
          <w:rFonts w:ascii="Cambria" w:eastAsia="Times New Roman" w:hAnsi="Cambria" w:cstheme="minorHAnsi"/>
        </w:rPr>
        <w:t>ates</w:t>
      </w:r>
      <w:r w:rsidRPr="009A0DA6">
        <w:rPr>
          <w:rFonts w:ascii="Cambria" w:eastAsia="Times New Roman" w:hAnsi="Cambria" w:cstheme="minorHAnsi"/>
          <w:spacing w:val="-7"/>
        </w:rPr>
        <w:t xml:space="preserve"> </w:t>
      </w:r>
      <w:r w:rsidRPr="009A0DA6">
        <w:rPr>
          <w:rFonts w:ascii="Cambria" w:eastAsia="Times New Roman" w:hAnsi="Cambria" w:cstheme="minorHAnsi"/>
          <w:spacing w:val="3"/>
        </w:rPr>
        <w:t>a</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spacing w:val="-1"/>
        </w:rPr>
        <w:t xml:space="preserve"> </w:t>
      </w:r>
      <w:r w:rsidRPr="009A0DA6">
        <w:rPr>
          <w:rFonts w:ascii="Cambria" w:eastAsia="Times New Roman" w:hAnsi="Cambria" w:cstheme="minorHAnsi"/>
          <w:spacing w:val="1"/>
        </w:rPr>
        <w:t>r</w:t>
      </w:r>
      <w:r w:rsidRPr="009A0DA6">
        <w:rPr>
          <w:rFonts w:ascii="Cambria" w:eastAsia="Times New Roman" w:hAnsi="Cambria" w:cstheme="minorHAnsi"/>
        </w:rPr>
        <w:t>elated</w:t>
      </w:r>
      <w:r w:rsidRPr="009A0DA6">
        <w:rPr>
          <w:rFonts w:ascii="Cambria" w:eastAsia="Times New Roman" w:hAnsi="Cambria" w:cstheme="minorHAnsi"/>
          <w:spacing w:val="-3"/>
        </w:rPr>
        <w:t xml:space="preserve"> </w:t>
      </w:r>
      <w:r w:rsidRPr="009A0DA6">
        <w:rPr>
          <w:rFonts w:ascii="Cambria" w:eastAsia="Times New Roman" w:hAnsi="Cambria" w:cstheme="minorHAnsi"/>
          <w:spacing w:val="1"/>
        </w:rPr>
        <w:t>d</w:t>
      </w:r>
      <w:r w:rsidRPr="009A0DA6">
        <w:rPr>
          <w:rFonts w:ascii="Cambria" w:eastAsia="Times New Roman" w:hAnsi="Cambria" w:cstheme="minorHAnsi"/>
        </w:rPr>
        <w:t>i</w:t>
      </w:r>
      <w:r w:rsidRPr="009A0DA6">
        <w:rPr>
          <w:rFonts w:ascii="Cambria" w:eastAsia="Times New Roman" w:hAnsi="Cambria" w:cstheme="minorHAnsi"/>
          <w:spacing w:val="-1"/>
        </w:rPr>
        <w:t>s</w:t>
      </w:r>
      <w:r w:rsidRPr="009A0DA6">
        <w:rPr>
          <w:rFonts w:ascii="Cambria" w:eastAsia="Times New Roman" w:hAnsi="Cambria" w:cstheme="minorHAnsi"/>
        </w:rPr>
        <w:t>cl</w:t>
      </w:r>
      <w:r w:rsidRPr="009A0DA6">
        <w:rPr>
          <w:rFonts w:ascii="Cambria" w:eastAsia="Times New Roman" w:hAnsi="Cambria" w:cstheme="minorHAnsi"/>
          <w:spacing w:val="1"/>
        </w:rPr>
        <w:t>o</w:t>
      </w:r>
      <w:r w:rsidRPr="009A0DA6">
        <w:rPr>
          <w:rFonts w:ascii="Cambria" w:eastAsia="Times New Roman" w:hAnsi="Cambria" w:cstheme="minorHAnsi"/>
          <w:spacing w:val="-1"/>
        </w:rPr>
        <w:t>su</w:t>
      </w:r>
      <w:r w:rsidRPr="009A0DA6">
        <w:rPr>
          <w:rFonts w:ascii="Cambria" w:eastAsia="Times New Roman" w:hAnsi="Cambria" w:cstheme="minorHAnsi"/>
          <w:spacing w:val="3"/>
        </w:rPr>
        <w:t>r</w:t>
      </w:r>
      <w:r w:rsidRPr="009A0DA6">
        <w:rPr>
          <w:rFonts w:ascii="Cambria" w:eastAsia="Times New Roman" w:hAnsi="Cambria" w:cstheme="minorHAnsi"/>
        </w:rPr>
        <w:t>es</w:t>
      </w:r>
      <w:r w:rsidRPr="009A0DA6">
        <w:rPr>
          <w:rFonts w:ascii="Cambria" w:eastAsia="Times New Roman" w:hAnsi="Cambria" w:cstheme="minorHAnsi"/>
          <w:spacing w:val="-7"/>
        </w:rPr>
        <w:t xml:space="preserve"> </w:t>
      </w:r>
      <w:r w:rsidRPr="009A0DA6">
        <w:rPr>
          <w:rFonts w:ascii="Cambria" w:eastAsia="Times New Roman" w:hAnsi="Cambria" w:cstheme="minorHAnsi"/>
          <w:spacing w:val="-4"/>
        </w:rPr>
        <w:t>m</w:t>
      </w:r>
      <w:r w:rsidRPr="009A0DA6">
        <w:rPr>
          <w:rFonts w:ascii="Cambria" w:eastAsia="Times New Roman" w:hAnsi="Cambria" w:cstheme="minorHAnsi"/>
        </w:rPr>
        <w:t>a</w:t>
      </w:r>
      <w:r w:rsidRPr="009A0DA6">
        <w:rPr>
          <w:rFonts w:ascii="Cambria" w:eastAsia="Times New Roman" w:hAnsi="Cambria" w:cstheme="minorHAnsi"/>
          <w:spacing w:val="1"/>
        </w:rPr>
        <w:t>d</w:t>
      </w:r>
      <w:r w:rsidRPr="009A0DA6">
        <w:rPr>
          <w:rFonts w:ascii="Cambria" w:eastAsia="Times New Roman" w:hAnsi="Cambria" w:cstheme="minorHAnsi"/>
        </w:rPr>
        <w:t>e</w:t>
      </w:r>
      <w:r w:rsidRPr="009A0DA6">
        <w:rPr>
          <w:rFonts w:ascii="Cambria" w:eastAsia="Times New Roman" w:hAnsi="Cambria" w:cstheme="minorHAnsi"/>
          <w:spacing w:val="-3"/>
        </w:rPr>
        <w:t xml:space="preserve"> </w:t>
      </w:r>
      <w:r w:rsidRPr="009A0DA6">
        <w:rPr>
          <w:rFonts w:ascii="Cambria" w:eastAsia="Times New Roman" w:hAnsi="Cambria" w:cstheme="minorHAnsi"/>
          <w:spacing w:val="4"/>
        </w:rPr>
        <w:t>b</w:t>
      </w:r>
      <w:r w:rsidRPr="009A0DA6">
        <w:rPr>
          <w:rFonts w:ascii="Cambria" w:eastAsia="Times New Roman" w:hAnsi="Cambria" w:cstheme="minorHAnsi"/>
        </w:rPr>
        <w:t>y</w:t>
      </w:r>
      <w:r w:rsidRPr="009A0DA6">
        <w:rPr>
          <w:rFonts w:ascii="Cambria" w:eastAsia="Times New Roman" w:hAnsi="Cambria" w:cstheme="minorHAnsi"/>
          <w:spacing w:val="-5"/>
        </w:rPr>
        <w:t xml:space="preserve"> </w:t>
      </w:r>
      <w:r w:rsidRPr="009A0DA6">
        <w:rPr>
          <w:rFonts w:ascii="Cambria" w:eastAsia="Times New Roman" w:hAnsi="Cambria" w:cstheme="minorHAnsi"/>
          <w:spacing w:val="2"/>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1"/>
        </w:rPr>
        <w:t xml:space="preserve"> </w:t>
      </w:r>
      <w:r w:rsidRPr="009A0DA6">
        <w:rPr>
          <w:rFonts w:ascii="Cambria" w:eastAsia="Times New Roman" w:hAnsi="Cambria" w:cstheme="minorHAnsi"/>
          <w:spacing w:val="-4"/>
        </w:rPr>
        <w:t>m</w:t>
      </w:r>
      <w:r w:rsidRPr="009A0DA6">
        <w:rPr>
          <w:rFonts w:ascii="Cambria" w:eastAsia="Times New Roman" w:hAnsi="Cambria" w:cstheme="minorHAnsi"/>
          <w:spacing w:val="3"/>
        </w:rPr>
        <w:t>e</w:t>
      </w:r>
      <w:r w:rsidRPr="009A0DA6">
        <w:rPr>
          <w:rFonts w:ascii="Cambria" w:eastAsia="Times New Roman" w:hAnsi="Cambria" w:cstheme="minorHAnsi"/>
          <w:spacing w:val="-1"/>
        </w:rPr>
        <w:t>m</w:t>
      </w:r>
      <w:r w:rsidRPr="009A0DA6">
        <w:rPr>
          <w:rFonts w:ascii="Cambria" w:eastAsia="Times New Roman" w:hAnsi="Cambria" w:cstheme="minorHAnsi"/>
          <w:spacing w:val="1"/>
        </w:rPr>
        <w:t>b</w:t>
      </w:r>
      <w:r w:rsidRPr="009A0DA6">
        <w:rPr>
          <w:rFonts w:ascii="Cambria" w:eastAsia="Times New Roman" w:hAnsi="Cambria" w:cstheme="minorHAnsi"/>
        </w:rPr>
        <w:t>e</w:t>
      </w:r>
      <w:r w:rsidRPr="009A0DA6">
        <w:rPr>
          <w:rFonts w:ascii="Cambria" w:eastAsia="Times New Roman" w:hAnsi="Cambria" w:cstheme="minorHAnsi"/>
          <w:spacing w:val="1"/>
        </w:rPr>
        <w:t>r</w:t>
      </w:r>
      <w:r w:rsidRPr="009A0DA6">
        <w:rPr>
          <w:rFonts w:ascii="Cambria" w:eastAsia="Times New Roman" w:hAnsi="Cambria" w:cstheme="minorHAnsi"/>
          <w:spacing w:val="-1"/>
        </w:rPr>
        <w:t>s</w:t>
      </w:r>
      <w:r w:rsidRPr="009A0DA6">
        <w:rPr>
          <w:rFonts w:ascii="Cambria" w:eastAsia="Times New Roman" w:hAnsi="Cambria" w:cstheme="minorHAnsi"/>
        </w:rPr>
        <w:t>.</w:t>
      </w:r>
    </w:p>
    <w:p w14:paraId="5CBB1914" w14:textId="77777777" w:rsidR="00BA4592" w:rsidRPr="009A0DA6" w:rsidRDefault="00BA4592" w:rsidP="00F55252">
      <w:pPr>
        <w:pStyle w:val="ListParagraph"/>
        <w:widowControl w:val="0"/>
        <w:numPr>
          <w:ilvl w:val="0"/>
          <w:numId w:val="274"/>
        </w:numPr>
        <w:spacing w:before="120" w:after="120" w:line="240" w:lineRule="auto"/>
        <w:ind w:left="567" w:right="-107" w:hanging="567"/>
        <w:rPr>
          <w:rFonts w:ascii="Cambria" w:eastAsia="Times New Roman" w:hAnsi="Cambria" w:cstheme="minorHAnsi"/>
        </w:rPr>
      </w:pPr>
      <w:r w:rsidRPr="009A0DA6">
        <w:rPr>
          <w:rFonts w:ascii="Cambria" w:eastAsia="Times New Roman" w:hAnsi="Cambria" w:cstheme="minorHAnsi"/>
          <w:spacing w:val="-1"/>
        </w:rPr>
        <w:t>C</w:t>
      </w:r>
      <w:r w:rsidRPr="009A0DA6">
        <w:rPr>
          <w:rFonts w:ascii="Cambria" w:eastAsia="Times New Roman" w:hAnsi="Cambria" w:cstheme="minorHAnsi"/>
          <w:spacing w:val="1"/>
        </w:rPr>
        <w:t>o</w:t>
      </w:r>
      <w:r w:rsidRPr="009A0DA6">
        <w:rPr>
          <w:rFonts w:ascii="Cambria" w:eastAsia="Times New Roman" w:hAnsi="Cambria" w:cstheme="minorHAnsi"/>
          <w:spacing w:val="-1"/>
        </w:rPr>
        <w:t>n</w:t>
      </w:r>
      <w:r w:rsidRPr="009A0DA6">
        <w:rPr>
          <w:rFonts w:ascii="Cambria" w:eastAsia="Times New Roman" w:hAnsi="Cambria" w:cstheme="minorHAnsi"/>
        </w:rPr>
        <w:t>c</w:t>
      </w:r>
      <w:r w:rsidRPr="009A0DA6">
        <w:rPr>
          <w:rFonts w:ascii="Cambria" w:eastAsia="Times New Roman" w:hAnsi="Cambria" w:cstheme="minorHAnsi"/>
          <w:spacing w:val="2"/>
        </w:rPr>
        <w:t>l</w:t>
      </w:r>
      <w:r w:rsidRPr="009A0DA6">
        <w:rPr>
          <w:rFonts w:ascii="Cambria" w:eastAsia="Times New Roman" w:hAnsi="Cambria" w:cstheme="minorHAnsi"/>
          <w:spacing w:val="-1"/>
        </w:rPr>
        <w:t>u</w:t>
      </w:r>
      <w:r w:rsidRPr="009A0DA6">
        <w:rPr>
          <w:rFonts w:ascii="Cambria" w:eastAsia="Times New Roman" w:hAnsi="Cambria" w:cstheme="minorHAnsi"/>
          <w:spacing w:val="1"/>
        </w:rPr>
        <w:t>d</w:t>
      </w:r>
      <w:r w:rsidRPr="009A0DA6">
        <w:rPr>
          <w:rFonts w:ascii="Cambria" w:eastAsia="Times New Roman" w:hAnsi="Cambria" w:cstheme="minorHAnsi"/>
        </w:rPr>
        <w:t>e</w:t>
      </w:r>
      <w:r w:rsidRPr="009A0DA6">
        <w:rPr>
          <w:rFonts w:ascii="Cambria" w:eastAsia="Times New Roman" w:hAnsi="Cambria" w:cstheme="minorHAnsi"/>
          <w:spacing w:val="19"/>
        </w:rPr>
        <w:t xml:space="preserve"> </w:t>
      </w:r>
      <w:r w:rsidRPr="009A0DA6">
        <w:rPr>
          <w:rFonts w:ascii="Cambria" w:eastAsia="Times New Roman" w:hAnsi="Cambria" w:cstheme="minorHAnsi"/>
          <w:spacing w:val="1"/>
        </w:rPr>
        <w:t>o</w:t>
      </w:r>
      <w:r w:rsidRPr="009A0DA6">
        <w:rPr>
          <w:rFonts w:ascii="Cambria" w:eastAsia="Times New Roman" w:hAnsi="Cambria" w:cstheme="minorHAnsi"/>
        </w:rPr>
        <w:t>n</w:t>
      </w:r>
      <w:r w:rsidRPr="009A0DA6">
        <w:rPr>
          <w:rFonts w:ascii="Cambria" w:eastAsia="Times New Roman" w:hAnsi="Cambria" w:cstheme="minorHAnsi"/>
          <w:spacing w:val="24"/>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25"/>
        </w:rPr>
        <w:t xml:space="preserve"> </w:t>
      </w:r>
      <w:r w:rsidRPr="009A0DA6">
        <w:rPr>
          <w:rFonts w:ascii="Cambria" w:eastAsia="Times New Roman" w:hAnsi="Cambria" w:cstheme="minorHAnsi"/>
        </w:rPr>
        <w:t>a</w:t>
      </w:r>
      <w:r w:rsidRPr="009A0DA6">
        <w:rPr>
          <w:rFonts w:ascii="Cambria" w:eastAsia="Times New Roman" w:hAnsi="Cambria" w:cstheme="minorHAnsi"/>
          <w:spacing w:val="1"/>
        </w:rPr>
        <w:t>ppropr</w:t>
      </w:r>
      <w:r w:rsidRPr="009A0DA6">
        <w:rPr>
          <w:rFonts w:ascii="Cambria" w:eastAsia="Times New Roman" w:hAnsi="Cambria" w:cstheme="minorHAnsi"/>
        </w:rPr>
        <w:t>iate</w:t>
      </w:r>
      <w:r w:rsidRPr="009A0DA6">
        <w:rPr>
          <w:rFonts w:ascii="Cambria" w:eastAsia="Times New Roman" w:hAnsi="Cambria" w:cstheme="minorHAnsi"/>
          <w:spacing w:val="-1"/>
        </w:rPr>
        <w:t>n</w:t>
      </w:r>
      <w:r w:rsidRPr="009A0DA6">
        <w:rPr>
          <w:rFonts w:ascii="Cambria" w:eastAsia="Times New Roman" w:hAnsi="Cambria" w:cstheme="minorHAnsi"/>
        </w:rPr>
        <w:t>e</w:t>
      </w:r>
      <w:r w:rsidRPr="009A0DA6">
        <w:rPr>
          <w:rFonts w:ascii="Cambria" w:eastAsia="Times New Roman" w:hAnsi="Cambria" w:cstheme="minorHAnsi"/>
          <w:spacing w:val="-1"/>
        </w:rPr>
        <w:t>s</w:t>
      </w:r>
      <w:r w:rsidRPr="009A0DA6">
        <w:rPr>
          <w:rFonts w:ascii="Cambria" w:eastAsia="Times New Roman" w:hAnsi="Cambria" w:cstheme="minorHAnsi"/>
        </w:rPr>
        <w:t>s</w:t>
      </w:r>
      <w:r w:rsidRPr="009A0DA6">
        <w:rPr>
          <w:rFonts w:ascii="Cambria" w:eastAsia="Times New Roman" w:hAnsi="Cambria" w:cstheme="minorHAnsi"/>
          <w:spacing w:val="13"/>
        </w:rPr>
        <w:t xml:space="preserve"> </w:t>
      </w:r>
      <w:r w:rsidRPr="009A0DA6">
        <w:rPr>
          <w:rFonts w:ascii="Cambria" w:eastAsia="Times New Roman" w:hAnsi="Cambria" w:cstheme="minorHAnsi"/>
          <w:spacing w:val="1"/>
        </w:rPr>
        <w:t>o</w:t>
      </w:r>
      <w:r w:rsidRPr="009A0DA6">
        <w:rPr>
          <w:rFonts w:ascii="Cambria" w:eastAsia="Times New Roman" w:hAnsi="Cambria" w:cstheme="minorHAnsi"/>
        </w:rPr>
        <w:t>f</w:t>
      </w:r>
      <w:r w:rsidRPr="009A0DA6">
        <w:rPr>
          <w:rFonts w:ascii="Cambria" w:eastAsia="Times New Roman" w:hAnsi="Cambria" w:cstheme="minorHAnsi"/>
          <w:spacing w:val="23"/>
        </w:rPr>
        <w:t xml:space="preserve"> </w:t>
      </w:r>
      <w:r w:rsidRPr="009A0DA6">
        <w:rPr>
          <w:rFonts w:ascii="Cambria" w:eastAsia="Times New Roman" w:hAnsi="Cambria" w:cstheme="minorHAnsi"/>
          <w:spacing w:val="2"/>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28"/>
        </w:rPr>
        <w:t xml:space="preserve"> </w:t>
      </w:r>
      <w:r w:rsidRPr="009A0DA6">
        <w:rPr>
          <w:rFonts w:ascii="Cambria" w:eastAsia="Times New Roman" w:hAnsi="Cambria" w:cstheme="minorHAnsi"/>
          <w:spacing w:val="-4"/>
        </w:rPr>
        <w:t>m</w:t>
      </w:r>
      <w:r w:rsidRPr="009A0DA6">
        <w:rPr>
          <w:rFonts w:ascii="Cambria" w:eastAsia="Times New Roman" w:hAnsi="Cambria" w:cstheme="minorHAnsi"/>
          <w:spacing w:val="3"/>
        </w:rPr>
        <w:t>e</w:t>
      </w:r>
      <w:r w:rsidRPr="009A0DA6">
        <w:rPr>
          <w:rFonts w:ascii="Cambria" w:eastAsia="Times New Roman" w:hAnsi="Cambria" w:cstheme="minorHAnsi"/>
          <w:spacing w:val="-1"/>
        </w:rPr>
        <w:t>m</w:t>
      </w:r>
      <w:r w:rsidRPr="009A0DA6">
        <w:rPr>
          <w:rFonts w:ascii="Cambria" w:eastAsia="Times New Roman" w:hAnsi="Cambria" w:cstheme="minorHAnsi"/>
          <w:spacing w:val="1"/>
        </w:rPr>
        <w:t>b</w:t>
      </w:r>
      <w:r w:rsidRPr="009A0DA6">
        <w:rPr>
          <w:rFonts w:ascii="Cambria" w:eastAsia="Times New Roman" w:hAnsi="Cambria" w:cstheme="minorHAnsi"/>
        </w:rPr>
        <w:t>e</w:t>
      </w:r>
      <w:r w:rsidRPr="009A0DA6">
        <w:rPr>
          <w:rFonts w:ascii="Cambria" w:eastAsia="Times New Roman" w:hAnsi="Cambria" w:cstheme="minorHAnsi"/>
          <w:spacing w:val="1"/>
        </w:rPr>
        <w:t>r</w:t>
      </w:r>
      <w:r w:rsidRPr="009A0DA6">
        <w:rPr>
          <w:rFonts w:ascii="Cambria" w:eastAsia="Times New Roman" w:hAnsi="Cambria" w:cstheme="minorHAnsi"/>
          <w:spacing w:val="2"/>
        </w:rPr>
        <w:t>s</w:t>
      </w:r>
      <w:r w:rsidRPr="009A0DA6">
        <w:rPr>
          <w:rFonts w:ascii="Cambria" w:eastAsia="Times New Roman" w:hAnsi="Cambria" w:cstheme="minorHAnsi"/>
        </w:rPr>
        <w:t>’</w:t>
      </w:r>
      <w:r w:rsidRPr="009A0DA6">
        <w:rPr>
          <w:rFonts w:ascii="Cambria" w:eastAsia="Times New Roman" w:hAnsi="Cambria" w:cstheme="minorHAnsi"/>
          <w:spacing w:val="17"/>
        </w:rPr>
        <w:t xml:space="preserve"> </w:t>
      </w:r>
      <w:r w:rsidRPr="009A0DA6">
        <w:rPr>
          <w:rFonts w:ascii="Cambria" w:eastAsia="Times New Roman" w:hAnsi="Cambria" w:cstheme="minorHAnsi"/>
          <w:spacing w:val="1"/>
        </w:rPr>
        <w:t>u</w:t>
      </w:r>
      <w:r w:rsidRPr="009A0DA6">
        <w:rPr>
          <w:rFonts w:ascii="Cambria" w:eastAsia="Times New Roman" w:hAnsi="Cambria" w:cstheme="minorHAnsi"/>
          <w:spacing w:val="-1"/>
        </w:rPr>
        <w:t>s</w:t>
      </w:r>
      <w:r w:rsidRPr="009A0DA6">
        <w:rPr>
          <w:rFonts w:ascii="Cambria" w:eastAsia="Times New Roman" w:hAnsi="Cambria" w:cstheme="minorHAnsi"/>
        </w:rPr>
        <w:t>e</w:t>
      </w:r>
      <w:r w:rsidRPr="009A0DA6">
        <w:rPr>
          <w:rFonts w:ascii="Cambria" w:eastAsia="Times New Roman" w:hAnsi="Cambria" w:cstheme="minorHAnsi"/>
          <w:spacing w:val="24"/>
        </w:rPr>
        <w:t xml:space="preserve"> </w:t>
      </w:r>
      <w:r w:rsidRPr="009A0DA6">
        <w:rPr>
          <w:rFonts w:ascii="Cambria" w:eastAsia="Times New Roman" w:hAnsi="Cambria" w:cstheme="minorHAnsi"/>
          <w:spacing w:val="1"/>
        </w:rPr>
        <w:t>o</w:t>
      </w:r>
      <w:r w:rsidRPr="009A0DA6">
        <w:rPr>
          <w:rFonts w:ascii="Cambria" w:eastAsia="Times New Roman" w:hAnsi="Cambria" w:cstheme="minorHAnsi"/>
        </w:rPr>
        <w:t>f</w:t>
      </w:r>
      <w:r w:rsidRPr="009A0DA6">
        <w:rPr>
          <w:rFonts w:ascii="Cambria" w:eastAsia="Times New Roman" w:hAnsi="Cambria" w:cstheme="minorHAnsi"/>
          <w:spacing w:val="23"/>
        </w:rPr>
        <w:t xml:space="preserve"> </w:t>
      </w:r>
      <w:r w:rsidRPr="009A0DA6">
        <w:rPr>
          <w:rFonts w:ascii="Cambria" w:eastAsia="Times New Roman" w:hAnsi="Cambria" w:cstheme="minorHAnsi"/>
          <w:spacing w:val="2"/>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25"/>
        </w:rPr>
        <w:t xml:space="preserve"> </w:t>
      </w:r>
      <w:r w:rsidRPr="009A0DA6">
        <w:rPr>
          <w:rFonts w:ascii="Cambria" w:eastAsia="Times New Roman" w:hAnsi="Cambria" w:cstheme="minorHAnsi"/>
          <w:spacing w:val="-1"/>
        </w:rPr>
        <w:t>g</w:t>
      </w:r>
      <w:r w:rsidRPr="009A0DA6">
        <w:rPr>
          <w:rFonts w:ascii="Cambria" w:eastAsia="Times New Roman" w:hAnsi="Cambria" w:cstheme="minorHAnsi"/>
          <w:spacing w:val="1"/>
        </w:rPr>
        <w:t>o</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rPr>
        <w:t>g</w:t>
      </w:r>
      <w:r w:rsidRPr="009A0DA6">
        <w:rPr>
          <w:rFonts w:ascii="Cambria" w:eastAsia="Times New Roman" w:hAnsi="Cambria" w:cstheme="minorHAnsi"/>
          <w:spacing w:val="21"/>
        </w:rPr>
        <w:t xml:space="preserve"> </w:t>
      </w:r>
      <w:r w:rsidRPr="009A0DA6">
        <w:rPr>
          <w:rFonts w:ascii="Cambria" w:eastAsia="Times New Roman" w:hAnsi="Cambria" w:cstheme="minorHAnsi"/>
        </w:rPr>
        <w:t>c</w:t>
      </w:r>
      <w:r w:rsidRPr="009A0DA6">
        <w:rPr>
          <w:rFonts w:ascii="Cambria" w:eastAsia="Times New Roman" w:hAnsi="Cambria" w:cstheme="minorHAnsi"/>
          <w:spacing w:val="1"/>
        </w:rPr>
        <w:t>o</w:t>
      </w:r>
      <w:r w:rsidRPr="009A0DA6">
        <w:rPr>
          <w:rFonts w:ascii="Cambria" w:eastAsia="Times New Roman" w:hAnsi="Cambria" w:cstheme="minorHAnsi"/>
          <w:spacing w:val="-1"/>
        </w:rPr>
        <w:t>n</w:t>
      </w:r>
      <w:r w:rsidRPr="009A0DA6">
        <w:rPr>
          <w:rFonts w:ascii="Cambria" w:eastAsia="Times New Roman" w:hAnsi="Cambria" w:cstheme="minorHAnsi"/>
        </w:rPr>
        <w:t>ce</w:t>
      </w:r>
      <w:r w:rsidRPr="009A0DA6">
        <w:rPr>
          <w:rFonts w:ascii="Cambria" w:eastAsia="Times New Roman" w:hAnsi="Cambria" w:cstheme="minorHAnsi"/>
          <w:spacing w:val="3"/>
        </w:rPr>
        <w:t>r</w:t>
      </w:r>
      <w:r w:rsidRPr="009A0DA6">
        <w:rPr>
          <w:rFonts w:ascii="Cambria" w:eastAsia="Times New Roman" w:hAnsi="Cambria" w:cstheme="minorHAnsi"/>
        </w:rPr>
        <w:t>n</w:t>
      </w:r>
      <w:r w:rsidRPr="009A0DA6">
        <w:rPr>
          <w:rFonts w:ascii="Cambria" w:eastAsia="Times New Roman" w:hAnsi="Cambria" w:cstheme="minorHAnsi"/>
          <w:spacing w:val="20"/>
        </w:rPr>
        <w:t xml:space="preserve"> </w:t>
      </w:r>
      <w:r w:rsidRPr="009A0DA6">
        <w:rPr>
          <w:rFonts w:ascii="Cambria" w:eastAsia="Times New Roman" w:hAnsi="Cambria" w:cstheme="minorHAnsi"/>
          <w:spacing w:val="1"/>
        </w:rPr>
        <w:t>b</w:t>
      </w:r>
      <w:r w:rsidRPr="009A0DA6">
        <w:rPr>
          <w:rFonts w:ascii="Cambria" w:eastAsia="Times New Roman" w:hAnsi="Cambria" w:cstheme="minorHAnsi"/>
        </w:rPr>
        <w:t>a</w:t>
      </w:r>
      <w:r w:rsidRPr="009A0DA6">
        <w:rPr>
          <w:rFonts w:ascii="Cambria" w:eastAsia="Times New Roman" w:hAnsi="Cambria" w:cstheme="minorHAnsi"/>
          <w:spacing w:val="-1"/>
        </w:rPr>
        <w:t>s</w:t>
      </w:r>
      <w:r w:rsidRPr="009A0DA6">
        <w:rPr>
          <w:rFonts w:ascii="Cambria" w:eastAsia="Times New Roman" w:hAnsi="Cambria" w:cstheme="minorHAnsi"/>
        </w:rPr>
        <w:t>is</w:t>
      </w:r>
      <w:r w:rsidRPr="009A0DA6">
        <w:rPr>
          <w:rFonts w:ascii="Cambria" w:eastAsia="Times New Roman" w:hAnsi="Cambria" w:cstheme="minorHAnsi"/>
          <w:spacing w:val="22"/>
        </w:rPr>
        <w:t xml:space="preserve"> </w:t>
      </w:r>
      <w:r w:rsidRPr="009A0DA6">
        <w:rPr>
          <w:rFonts w:ascii="Cambria" w:eastAsia="Times New Roman" w:hAnsi="Cambria" w:cstheme="minorHAnsi"/>
          <w:spacing w:val="4"/>
        </w:rPr>
        <w:t>o</w:t>
      </w:r>
      <w:r w:rsidRPr="009A0DA6">
        <w:rPr>
          <w:rFonts w:ascii="Cambria" w:eastAsia="Times New Roman" w:hAnsi="Cambria" w:cstheme="minorHAnsi"/>
        </w:rPr>
        <w:t>f</w:t>
      </w:r>
      <w:r w:rsidRPr="009A0DA6">
        <w:rPr>
          <w:rFonts w:ascii="Cambria" w:eastAsia="Times New Roman" w:hAnsi="Cambria" w:cstheme="minorHAnsi"/>
          <w:spacing w:val="23"/>
        </w:rPr>
        <w:t xml:space="preserve"> </w:t>
      </w:r>
      <w:r w:rsidRPr="009A0DA6">
        <w:rPr>
          <w:rFonts w:ascii="Cambria" w:eastAsia="Times New Roman" w:hAnsi="Cambria" w:cstheme="minorHAnsi"/>
        </w:rPr>
        <w:t>acc</w:t>
      </w:r>
      <w:r w:rsidRPr="009A0DA6">
        <w:rPr>
          <w:rFonts w:ascii="Cambria" w:eastAsia="Times New Roman" w:hAnsi="Cambria" w:cstheme="minorHAnsi"/>
          <w:spacing w:val="1"/>
        </w:rPr>
        <w:t>o</w:t>
      </w:r>
      <w:r w:rsidRPr="009A0DA6">
        <w:rPr>
          <w:rFonts w:ascii="Cambria" w:eastAsia="Times New Roman" w:hAnsi="Cambria" w:cstheme="minorHAnsi"/>
          <w:spacing w:val="-1"/>
        </w:rPr>
        <w:t>un</w:t>
      </w:r>
      <w:r w:rsidRPr="009A0DA6">
        <w:rPr>
          <w:rFonts w:ascii="Cambria" w:eastAsia="Times New Roman" w:hAnsi="Cambria" w:cstheme="minorHAnsi"/>
        </w:rPr>
        <w:t>t</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rPr>
        <w:t>g a</w:t>
      </w:r>
      <w:r w:rsidRPr="009A0DA6">
        <w:rPr>
          <w:rFonts w:ascii="Cambria" w:eastAsia="Times New Roman" w:hAnsi="Cambria" w:cstheme="minorHAnsi"/>
          <w:spacing w:val="-1"/>
        </w:rPr>
        <w:t>n</w:t>
      </w:r>
      <w:r w:rsidRPr="009A0DA6">
        <w:rPr>
          <w:rFonts w:ascii="Cambria" w:eastAsia="Times New Roman" w:hAnsi="Cambria" w:cstheme="minorHAnsi"/>
          <w:spacing w:val="1"/>
        </w:rPr>
        <w:t>d</w:t>
      </w:r>
      <w:r w:rsidRPr="009A0DA6">
        <w:rPr>
          <w:rFonts w:ascii="Cambria" w:eastAsia="Times New Roman" w:hAnsi="Cambria" w:cstheme="minorHAnsi"/>
        </w:rPr>
        <w:t>,</w:t>
      </w:r>
      <w:r w:rsidRPr="009A0DA6">
        <w:rPr>
          <w:rFonts w:ascii="Cambria" w:eastAsia="Times New Roman" w:hAnsi="Cambria" w:cstheme="minorHAnsi"/>
          <w:spacing w:val="12"/>
        </w:rPr>
        <w:t xml:space="preserve"> </w:t>
      </w:r>
      <w:r w:rsidRPr="009A0DA6">
        <w:rPr>
          <w:rFonts w:ascii="Cambria" w:eastAsia="Times New Roman" w:hAnsi="Cambria" w:cstheme="minorHAnsi"/>
          <w:spacing w:val="1"/>
        </w:rPr>
        <w:t>b</w:t>
      </w:r>
      <w:r w:rsidRPr="009A0DA6">
        <w:rPr>
          <w:rFonts w:ascii="Cambria" w:eastAsia="Times New Roman" w:hAnsi="Cambria" w:cstheme="minorHAnsi"/>
        </w:rPr>
        <w:t>a</w:t>
      </w:r>
      <w:r w:rsidRPr="009A0DA6">
        <w:rPr>
          <w:rFonts w:ascii="Cambria" w:eastAsia="Times New Roman" w:hAnsi="Cambria" w:cstheme="minorHAnsi"/>
          <w:spacing w:val="-1"/>
        </w:rPr>
        <w:t>s</w:t>
      </w:r>
      <w:r w:rsidRPr="009A0DA6">
        <w:rPr>
          <w:rFonts w:ascii="Cambria" w:eastAsia="Times New Roman" w:hAnsi="Cambria" w:cstheme="minorHAnsi"/>
        </w:rPr>
        <w:t>ed</w:t>
      </w:r>
      <w:r w:rsidRPr="009A0DA6">
        <w:rPr>
          <w:rFonts w:ascii="Cambria" w:eastAsia="Times New Roman" w:hAnsi="Cambria" w:cstheme="minorHAnsi"/>
          <w:spacing w:val="11"/>
        </w:rPr>
        <w:t xml:space="preserve"> </w:t>
      </w:r>
      <w:r w:rsidRPr="009A0DA6">
        <w:rPr>
          <w:rFonts w:ascii="Cambria" w:eastAsia="Times New Roman" w:hAnsi="Cambria" w:cstheme="minorHAnsi"/>
          <w:spacing w:val="1"/>
        </w:rPr>
        <w:t>o</w:t>
      </w:r>
      <w:r w:rsidRPr="009A0DA6">
        <w:rPr>
          <w:rFonts w:ascii="Cambria" w:eastAsia="Times New Roman" w:hAnsi="Cambria" w:cstheme="minorHAnsi"/>
        </w:rPr>
        <w:t>n</w:t>
      </w:r>
      <w:r w:rsidRPr="009A0DA6">
        <w:rPr>
          <w:rFonts w:ascii="Cambria" w:eastAsia="Times New Roman" w:hAnsi="Cambria" w:cstheme="minorHAnsi"/>
          <w:spacing w:val="12"/>
        </w:rPr>
        <w:t xml:space="preserve"> </w:t>
      </w:r>
      <w:r w:rsidRPr="009A0DA6">
        <w:rPr>
          <w:rFonts w:ascii="Cambria" w:eastAsia="Times New Roman" w:hAnsi="Cambria" w:cstheme="minorHAnsi"/>
          <w:spacing w:val="2"/>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13"/>
        </w:rPr>
        <w:t xml:space="preserve"> </w:t>
      </w:r>
      <w:r w:rsidRPr="009A0DA6">
        <w:rPr>
          <w:rFonts w:ascii="Cambria" w:eastAsia="Times New Roman" w:hAnsi="Cambria" w:cstheme="minorHAnsi"/>
        </w:rPr>
        <w:t>a</w:t>
      </w:r>
      <w:r w:rsidRPr="009A0DA6">
        <w:rPr>
          <w:rFonts w:ascii="Cambria" w:eastAsia="Times New Roman" w:hAnsi="Cambria" w:cstheme="minorHAnsi"/>
          <w:spacing w:val="-1"/>
        </w:rPr>
        <w:t>u</w:t>
      </w:r>
      <w:r w:rsidRPr="009A0DA6">
        <w:rPr>
          <w:rFonts w:ascii="Cambria" w:eastAsia="Times New Roman" w:hAnsi="Cambria" w:cstheme="minorHAnsi"/>
          <w:spacing w:val="1"/>
        </w:rPr>
        <w:t>d</w:t>
      </w:r>
      <w:r w:rsidRPr="009A0DA6">
        <w:rPr>
          <w:rFonts w:ascii="Cambria" w:eastAsia="Times New Roman" w:hAnsi="Cambria" w:cstheme="minorHAnsi"/>
        </w:rPr>
        <w:t>it</w:t>
      </w:r>
      <w:r w:rsidRPr="009A0DA6">
        <w:rPr>
          <w:rFonts w:ascii="Cambria" w:eastAsia="Times New Roman" w:hAnsi="Cambria" w:cstheme="minorHAnsi"/>
          <w:spacing w:val="13"/>
        </w:rPr>
        <w:t xml:space="preserve"> </w:t>
      </w:r>
      <w:r w:rsidRPr="009A0DA6">
        <w:rPr>
          <w:rFonts w:ascii="Cambria" w:eastAsia="Times New Roman" w:hAnsi="Cambria" w:cstheme="minorHAnsi"/>
        </w:rPr>
        <w:t>e</w:t>
      </w:r>
      <w:r w:rsidRPr="009A0DA6">
        <w:rPr>
          <w:rFonts w:ascii="Cambria" w:eastAsia="Times New Roman" w:hAnsi="Cambria" w:cstheme="minorHAnsi"/>
          <w:spacing w:val="-1"/>
        </w:rPr>
        <w:t>v</w:t>
      </w:r>
      <w:r w:rsidRPr="009A0DA6">
        <w:rPr>
          <w:rFonts w:ascii="Cambria" w:eastAsia="Times New Roman" w:hAnsi="Cambria" w:cstheme="minorHAnsi"/>
        </w:rPr>
        <w:t>i</w:t>
      </w:r>
      <w:r w:rsidRPr="009A0DA6">
        <w:rPr>
          <w:rFonts w:ascii="Cambria" w:eastAsia="Times New Roman" w:hAnsi="Cambria" w:cstheme="minorHAnsi"/>
          <w:spacing w:val="1"/>
        </w:rPr>
        <w:t>d</w:t>
      </w:r>
      <w:r w:rsidRPr="009A0DA6">
        <w:rPr>
          <w:rFonts w:ascii="Cambria" w:eastAsia="Times New Roman" w:hAnsi="Cambria" w:cstheme="minorHAnsi"/>
          <w:spacing w:val="3"/>
        </w:rPr>
        <w:t>e</w:t>
      </w:r>
      <w:r w:rsidRPr="009A0DA6">
        <w:rPr>
          <w:rFonts w:ascii="Cambria" w:eastAsia="Times New Roman" w:hAnsi="Cambria" w:cstheme="minorHAnsi"/>
          <w:spacing w:val="-1"/>
        </w:rPr>
        <w:t>n</w:t>
      </w:r>
      <w:r w:rsidRPr="009A0DA6">
        <w:rPr>
          <w:rFonts w:ascii="Cambria" w:eastAsia="Times New Roman" w:hAnsi="Cambria" w:cstheme="minorHAnsi"/>
        </w:rPr>
        <w:t>ce</w:t>
      </w:r>
      <w:r w:rsidRPr="009A0DA6">
        <w:rPr>
          <w:rFonts w:ascii="Cambria" w:eastAsia="Times New Roman" w:hAnsi="Cambria" w:cstheme="minorHAnsi"/>
          <w:spacing w:val="8"/>
        </w:rPr>
        <w:t xml:space="preserve"> </w:t>
      </w:r>
      <w:r w:rsidRPr="009A0DA6">
        <w:rPr>
          <w:rFonts w:ascii="Cambria" w:eastAsia="Times New Roman" w:hAnsi="Cambria" w:cstheme="minorHAnsi"/>
          <w:spacing w:val="1"/>
        </w:rPr>
        <w:t>ob</w:t>
      </w:r>
      <w:r w:rsidRPr="009A0DA6">
        <w:rPr>
          <w:rFonts w:ascii="Cambria" w:eastAsia="Times New Roman" w:hAnsi="Cambria" w:cstheme="minorHAnsi"/>
        </w:rPr>
        <w:t>tai</w:t>
      </w:r>
      <w:r w:rsidRPr="009A0DA6">
        <w:rPr>
          <w:rFonts w:ascii="Cambria" w:eastAsia="Times New Roman" w:hAnsi="Cambria" w:cstheme="minorHAnsi"/>
          <w:spacing w:val="-1"/>
        </w:rPr>
        <w:t>n</w:t>
      </w:r>
      <w:r w:rsidRPr="009A0DA6">
        <w:rPr>
          <w:rFonts w:ascii="Cambria" w:eastAsia="Times New Roman" w:hAnsi="Cambria" w:cstheme="minorHAnsi"/>
        </w:rPr>
        <w:t>e</w:t>
      </w:r>
      <w:r w:rsidRPr="009A0DA6">
        <w:rPr>
          <w:rFonts w:ascii="Cambria" w:eastAsia="Times New Roman" w:hAnsi="Cambria" w:cstheme="minorHAnsi"/>
          <w:spacing w:val="1"/>
        </w:rPr>
        <w:t>d</w:t>
      </w:r>
      <w:r w:rsidRPr="009A0DA6">
        <w:rPr>
          <w:rFonts w:ascii="Cambria" w:eastAsia="Times New Roman" w:hAnsi="Cambria" w:cstheme="minorHAnsi"/>
        </w:rPr>
        <w:t>,</w:t>
      </w:r>
      <w:r w:rsidRPr="009A0DA6">
        <w:rPr>
          <w:rFonts w:ascii="Cambria" w:eastAsia="Times New Roman" w:hAnsi="Cambria" w:cstheme="minorHAnsi"/>
          <w:spacing w:val="11"/>
        </w:rPr>
        <w:t xml:space="preserve"> </w:t>
      </w:r>
      <w:r w:rsidRPr="009A0DA6">
        <w:rPr>
          <w:rFonts w:ascii="Cambria" w:eastAsia="Times New Roman" w:hAnsi="Cambria" w:cstheme="minorHAnsi"/>
          <w:spacing w:val="-2"/>
        </w:rPr>
        <w:t>w</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2"/>
        </w:rPr>
        <w:t>t</w:t>
      </w:r>
      <w:r w:rsidRPr="009A0DA6">
        <w:rPr>
          <w:rFonts w:ascii="Cambria" w:eastAsia="Times New Roman" w:hAnsi="Cambria" w:cstheme="minorHAnsi"/>
          <w:spacing w:val="-1"/>
        </w:rPr>
        <w:t>h</w:t>
      </w:r>
      <w:r w:rsidRPr="009A0DA6">
        <w:rPr>
          <w:rFonts w:ascii="Cambria" w:eastAsia="Times New Roman" w:hAnsi="Cambria" w:cstheme="minorHAnsi"/>
        </w:rPr>
        <w:t>er</w:t>
      </w:r>
      <w:r w:rsidRPr="009A0DA6">
        <w:rPr>
          <w:rFonts w:ascii="Cambria" w:eastAsia="Times New Roman" w:hAnsi="Cambria" w:cstheme="minorHAnsi"/>
          <w:spacing w:val="10"/>
        </w:rPr>
        <w:t xml:space="preserve"> </w:t>
      </w:r>
      <w:r w:rsidRPr="009A0DA6">
        <w:rPr>
          <w:rFonts w:ascii="Cambria" w:eastAsia="Times New Roman" w:hAnsi="Cambria" w:cstheme="minorHAnsi"/>
        </w:rPr>
        <w:t>a</w:t>
      </w:r>
      <w:r w:rsidRPr="009A0DA6">
        <w:rPr>
          <w:rFonts w:ascii="Cambria" w:eastAsia="Times New Roman" w:hAnsi="Cambria" w:cstheme="minorHAnsi"/>
          <w:spacing w:val="17"/>
        </w:rPr>
        <w:t xml:space="preserve"> </w:t>
      </w:r>
      <w:r w:rsidRPr="009A0DA6">
        <w:rPr>
          <w:rFonts w:ascii="Cambria" w:eastAsia="Times New Roman" w:hAnsi="Cambria" w:cstheme="minorHAnsi"/>
          <w:spacing w:val="-4"/>
        </w:rPr>
        <w:t>m</w:t>
      </w:r>
      <w:r w:rsidRPr="009A0DA6">
        <w:rPr>
          <w:rFonts w:ascii="Cambria" w:eastAsia="Times New Roman" w:hAnsi="Cambria" w:cstheme="minorHAnsi"/>
          <w:spacing w:val="3"/>
        </w:rPr>
        <w:t>a</w:t>
      </w:r>
      <w:r w:rsidRPr="009A0DA6">
        <w:rPr>
          <w:rFonts w:ascii="Cambria" w:eastAsia="Times New Roman" w:hAnsi="Cambria" w:cstheme="minorHAnsi"/>
        </w:rPr>
        <w:t>t</w:t>
      </w:r>
      <w:r w:rsidRPr="009A0DA6">
        <w:rPr>
          <w:rFonts w:ascii="Cambria" w:eastAsia="Times New Roman" w:hAnsi="Cambria" w:cstheme="minorHAnsi"/>
          <w:spacing w:val="3"/>
        </w:rPr>
        <w:t>e</w:t>
      </w:r>
      <w:r w:rsidRPr="009A0DA6">
        <w:rPr>
          <w:rFonts w:ascii="Cambria" w:eastAsia="Times New Roman" w:hAnsi="Cambria" w:cstheme="minorHAnsi"/>
          <w:spacing w:val="1"/>
        </w:rPr>
        <w:t>r</w:t>
      </w:r>
      <w:r w:rsidRPr="009A0DA6">
        <w:rPr>
          <w:rFonts w:ascii="Cambria" w:eastAsia="Times New Roman" w:hAnsi="Cambria" w:cstheme="minorHAnsi"/>
        </w:rPr>
        <w:t>ial</w:t>
      </w:r>
      <w:r w:rsidRPr="009A0DA6">
        <w:rPr>
          <w:rFonts w:ascii="Cambria" w:eastAsia="Times New Roman" w:hAnsi="Cambria" w:cstheme="minorHAnsi"/>
          <w:spacing w:val="8"/>
        </w:rPr>
        <w:t xml:space="preserve"> </w:t>
      </w:r>
      <w:r w:rsidRPr="009A0DA6">
        <w:rPr>
          <w:rFonts w:ascii="Cambria" w:eastAsia="Times New Roman" w:hAnsi="Cambria" w:cstheme="minorHAnsi"/>
          <w:spacing w:val="1"/>
        </w:rPr>
        <w:t>u</w:t>
      </w:r>
      <w:r w:rsidRPr="009A0DA6">
        <w:rPr>
          <w:rFonts w:ascii="Cambria" w:eastAsia="Times New Roman" w:hAnsi="Cambria" w:cstheme="minorHAnsi"/>
          <w:spacing w:val="-1"/>
        </w:rPr>
        <w:t>n</w:t>
      </w:r>
      <w:r w:rsidRPr="009A0DA6">
        <w:rPr>
          <w:rFonts w:ascii="Cambria" w:eastAsia="Times New Roman" w:hAnsi="Cambria" w:cstheme="minorHAnsi"/>
        </w:rPr>
        <w:t>ce</w:t>
      </w:r>
      <w:r w:rsidRPr="009A0DA6">
        <w:rPr>
          <w:rFonts w:ascii="Cambria" w:eastAsia="Times New Roman" w:hAnsi="Cambria" w:cstheme="minorHAnsi"/>
          <w:spacing w:val="1"/>
        </w:rPr>
        <w:t>r</w:t>
      </w:r>
      <w:r w:rsidRPr="009A0DA6">
        <w:rPr>
          <w:rFonts w:ascii="Cambria" w:eastAsia="Times New Roman" w:hAnsi="Cambria" w:cstheme="minorHAnsi"/>
        </w:rPr>
        <w:t>tai</w:t>
      </w:r>
      <w:r w:rsidRPr="009A0DA6">
        <w:rPr>
          <w:rFonts w:ascii="Cambria" w:eastAsia="Times New Roman" w:hAnsi="Cambria" w:cstheme="minorHAnsi"/>
          <w:spacing w:val="-1"/>
        </w:rPr>
        <w:t>n</w:t>
      </w:r>
      <w:r w:rsidRPr="009A0DA6">
        <w:rPr>
          <w:rFonts w:ascii="Cambria" w:eastAsia="Times New Roman" w:hAnsi="Cambria" w:cstheme="minorHAnsi"/>
          <w:spacing w:val="2"/>
        </w:rPr>
        <w:t>t</w:t>
      </w:r>
      <w:r w:rsidRPr="009A0DA6">
        <w:rPr>
          <w:rFonts w:ascii="Cambria" w:eastAsia="Times New Roman" w:hAnsi="Cambria" w:cstheme="minorHAnsi"/>
        </w:rPr>
        <w:t>y</w:t>
      </w:r>
      <w:r w:rsidRPr="009A0DA6">
        <w:rPr>
          <w:rFonts w:ascii="Cambria" w:eastAsia="Times New Roman" w:hAnsi="Cambria" w:cstheme="minorHAnsi"/>
          <w:spacing w:val="5"/>
        </w:rPr>
        <w:t xml:space="preserve"> </w:t>
      </w:r>
      <w:r w:rsidRPr="009A0DA6">
        <w:rPr>
          <w:rFonts w:ascii="Cambria" w:eastAsia="Times New Roman" w:hAnsi="Cambria" w:cstheme="minorHAnsi"/>
          <w:spacing w:val="3"/>
        </w:rPr>
        <w:t>e</w:t>
      </w:r>
      <w:r w:rsidRPr="009A0DA6">
        <w:rPr>
          <w:rFonts w:ascii="Cambria" w:eastAsia="Times New Roman" w:hAnsi="Cambria" w:cstheme="minorHAnsi"/>
          <w:spacing w:val="-1"/>
        </w:rPr>
        <w:t>x</w:t>
      </w:r>
      <w:r w:rsidRPr="009A0DA6">
        <w:rPr>
          <w:rFonts w:ascii="Cambria" w:eastAsia="Times New Roman" w:hAnsi="Cambria" w:cstheme="minorHAnsi"/>
          <w:spacing w:val="2"/>
        </w:rPr>
        <w:t>i</w:t>
      </w:r>
      <w:r w:rsidRPr="009A0DA6">
        <w:rPr>
          <w:rFonts w:ascii="Cambria" w:eastAsia="Times New Roman" w:hAnsi="Cambria" w:cstheme="minorHAnsi"/>
          <w:spacing w:val="-1"/>
        </w:rPr>
        <w:t>s</w:t>
      </w:r>
      <w:r w:rsidRPr="009A0DA6">
        <w:rPr>
          <w:rFonts w:ascii="Cambria" w:eastAsia="Times New Roman" w:hAnsi="Cambria" w:cstheme="minorHAnsi"/>
        </w:rPr>
        <w:t>ts</w:t>
      </w:r>
      <w:r w:rsidRPr="009A0DA6">
        <w:rPr>
          <w:rFonts w:ascii="Cambria" w:eastAsia="Times New Roman" w:hAnsi="Cambria" w:cstheme="minorHAnsi"/>
          <w:spacing w:val="9"/>
        </w:rPr>
        <w:t xml:space="preserve"> </w:t>
      </w:r>
      <w:r w:rsidRPr="009A0DA6">
        <w:rPr>
          <w:rFonts w:ascii="Cambria" w:eastAsia="Times New Roman" w:hAnsi="Cambria" w:cstheme="minorHAnsi"/>
          <w:spacing w:val="1"/>
        </w:rPr>
        <w:t>r</w:t>
      </w:r>
      <w:r w:rsidRPr="009A0DA6">
        <w:rPr>
          <w:rFonts w:ascii="Cambria" w:eastAsia="Times New Roman" w:hAnsi="Cambria" w:cstheme="minorHAnsi"/>
        </w:rPr>
        <w:t>elated</w:t>
      </w:r>
      <w:r w:rsidRPr="009A0DA6">
        <w:rPr>
          <w:rFonts w:ascii="Cambria" w:eastAsia="Times New Roman" w:hAnsi="Cambria" w:cstheme="minorHAnsi"/>
          <w:spacing w:val="13"/>
        </w:rPr>
        <w:t xml:space="preserve"> </w:t>
      </w:r>
      <w:r w:rsidRPr="009A0DA6">
        <w:rPr>
          <w:rFonts w:ascii="Cambria" w:eastAsia="Times New Roman" w:hAnsi="Cambria" w:cstheme="minorHAnsi"/>
        </w:rPr>
        <w:t>to</w:t>
      </w:r>
      <w:r w:rsidRPr="009A0DA6">
        <w:rPr>
          <w:rFonts w:ascii="Cambria" w:eastAsia="Times New Roman" w:hAnsi="Cambria" w:cstheme="minorHAnsi"/>
          <w:spacing w:val="14"/>
        </w:rPr>
        <w:t xml:space="preserve"> </w:t>
      </w:r>
      <w:r w:rsidRPr="009A0DA6">
        <w:rPr>
          <w:rFonts w:ascii="Cambria" w:eastAsia="Times New Roman" w:hAnsi="Cambria" w:cstheme="minorHAnsi"/>
        </w:rPr>
        <w:t>e</w:t>
      </w:r>
      <w:r w:rsidRPr="009A0DA6">
        <w:rPr>
          <w:rFonts w:ascii="Cambria" w:eastAsia="Times New Roman" w:hAnsi="Cambria" w:cstheme="minorHAnsi"/>
          <w:spacing w:val="-1"/>
        </w:rPr>
        <w:t>v</w:t>
      </w:r>
      <w:r w:rsidRPr="009A0DA6">
        <w:rPr>
          <w:rFonts w:ascii="Cambria" w:eastAsia="Times New Roman" w:hAnsi="Cambria" w:cstheme="minorHAnsi"/>
        </w:rPr>
        <w:t>e</w:t>
      </w:r>
      <w:r w:rsidRPr="009A0DA6">
        <w:rPr>
          <w:rFonts w:ascii="Cambria" w:eastAsia="Times New Roman" w:hAnsi="Cambria" w:cstheme="minorHAnsi"/>
          <w:spacing w:val="-1"/>
        </w:rPr>
        <w:t>n</w:t>
      </w:r>
      <w:r w:rsidRPr="009A0DA6">
        <w:rPr>
          <w:rFonts w:ascii="Cambria" w:eastAsia="Times New Roman" w:hAnsi="Cambria" w:cstheme="minorHAnsi"/>
          <w:spacing w:val="2"/>
        </w:rPr>
        <w:t>t</w:t>
      </w:r>
      <w:r w:rsidRPr="009A0DA6">
        <w:rPr>
          <w:rFonts w:ascii="Cambria" w:eastAsia="Times New Roman" w:hAnsi="Cambria" w:cstheme="minorHAnsi"/>
        </w:rPr>
        <w:t xml:space="preserve">s </w:t>
      </w:r>
      <w:r w:rsidRPr="009A0DA6">
        <w:rPr>
          <w:rFonts w:ascii="Cambria" w:eastAsia="Times New Roman" w:hAnsi="Cambria" w:cstheme="minorHAnsi"/>
          <w:spacing w:val="1"/>
        </w:rPr>
        <w:t>o</w:t>
      </w:r>
      <w:r w:rsidRPr="009A0DA6">
        <w:rPr>
          <w:rFonts w:ascii="Cambria" w:eastAsia="Times New Roman" w:hAnsi="Cambria" w:cstheme="minorHAnsi"/>
        </w:rPr>
        <w:t>r</w:t>
      </w:r>
      <w:r w:rsidRPr="009A0DA6">
        <w:rPr>
          <w:rFonts w:ascii="Cambria" w:eastAsia="Times New Roman" w:hAnsi="Cambria" w:cstheme="minorHAnsi"/>
          <w:spacing w:val="10"/>
        </w:rPr>
        <w:t xml:space="preserve"> </w:t>
      </w:r>
      <w:r w:rsidRPr="009A0DA6">
        <w:rPr>
          <w:rFonts w:ascii="Cambria" w:eastAsia="Times New Roman" w:hAnsi="Cambria" w:cstheme="minorHAnsi"/>
        </w:rPr>
        <w:t>c</w:t>
      </w:r>
      <w:r w:rsidRPr="009A0DA6">
        <w:rPr>
          <w:rFonts w:ascii="Cambria" w:eastAsia="Times New Roman" w:hAnsi="Cambria" w:cstheme="minorHAnsi"/>
          <w:spacing w:val="1"/>
        </w:rPr>
        <w:t>o</w:t>
      </w:r>
      <w:r w:rsidRPr="009A0DA6">
        <w:rPr>
          <w:rFonts w:ascii="Cambria" w:eastAsia="Times New Roman" w:hAnsi="Cambria" w:cstheme="minorHAnsi"/>
          <w:spacing w:val="-1"/>
        </w:rPr>
        <w:t>n</w:t>
      </w:r>
      <w:r w:rsidRPr="009A0DA6">
        <w:rPr>
          <w:rFonts w:ascii="Cambria" w:eastAsia="Times New Roman" w:hAnsi="Cambria" w:cstheme="minorHAnsi"/>
          <w:spacing w:val="1"/>
        </w:rPr>
        <w:t>d</w:t>
      </w:r>
      <w:r w:rsidRPr="009A0DA6">
        <w:rPr>
          <w:rFonts w:ascii="Cambria" w:eastAsia="Times New Roman" w:hAnsi="Cambria" w:cstheme="minorHAnsi"/>
        </w:rPr>
        <w:t>iti</w:t>
      </w:r>
      <w:r w:rsidRPr="009A0DA6">
        <w:rPr>
          <w:rFonts w:ascii="Cambria" w:eastAsia="Times New Roman" w:hAnsi="Cambria" w:cstheme="minorHAnsi"/>
          <w:spacing w:val="1"/>
        </w:rPr>
        <w:t>o</w:t>
      </w:r>
      <w:r w:rsidRPr="009A0DA6">
        <w:rPr>
          <w:rFonts w:ascii="Cambria" w:eastAsia="Times New Roman" w:hAnsi="Cambria" w:cstheme="minorHAnsi"/>
          <w:spacing w:val="-1"/>
        </w:rPr>
        <w:t>n</w:t>
      </w:r>
      <w:r w:rsidRPr="009A0DA6">
        <w:rPr>
          <w:rFonts w:ascii="Cambria" w:eastAsia="Times New Roman" w:hAnsi="Cambria" w:cstheme="minorHAnsi"/>
        </w:rPr>
        <w:t>s</w:t>
      </w:r>
      <w:r w:rsidRPr="009A0DA6">
        <w:rPr>
          <w:rFonts w:ascii="Cambria" w:eastAsia="Times New Roman" w:hAnsi="Cambria" w:cstheme="minorHAnsi"/>
          <w:spacing w:val="3"/>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at</w:t>
      </w:r>
      <w:r w:rsidRPr="009A0DA6">
        <w:rPr>
          <w:rFonts w:ascii="Cambria" w:eastAsia="Times New Roman" w:hAnsi="Cambria" w:cstheme="minorHAnsi"/>
          <w:spacing w:val="11"/>
        </w:rPr>
        <w:t xml:space="preserve"> </w:t>
      </w:r>
      <w:r w:rsidRPr="009A0DA6">
        <w:rPr>
          <w:rFonts w:ascii="Cambria" w:eastAsia="Times New Roman" w:hAnsi="Cambria" w:cstheme="minorHAnsi"/>
          <w:spacing w:val="-4"/>
        </w:rPr>
        <w:t>m</w:t>
      </w:r>
      <w:r w:rsidRPr="009A0DA6">
        <w:rPr>
          <w:rFonts w:ascii="Cambria" w:eastAsia="Times New Roman" w:hAnsi="Cambria" w:cstheme="minorHAnsi"/>
          <w:spacing w:val="3"/>
        </w:rPr>
        <w:t>a</w:t>
      </w:r>
      <w:r w:rsidRPr="009A0DA6">
        <w:rPr>
          <w:rFonts w:ascii="Cambria" w:eastAsia="Times New Roman" w:hAnsi="Cambria" w:cstheme="minorHAnsi"/>
        </w:rPr>
        <w:t>y</w:t>
      </w:r>
      <w:r w:rsidRPr="009A0DA6">
        <w:rPr>
          <w:rFonts w:ascii="Cambria" w:eastAsia="Times New Roman" w:hAnsi="Cambria" w:cstheme="minorHAnsi"/>
          <w:spacing w:val="4"/>
        </w:rPr>
        <w:t xml:space="preserve"> </w:t>
      </w:r>
      <w:r w:rsidRPr="009A0DA6">
        <w:rPr>
          <w:rFonts w:ascii="Cambria" w:eastAsia="Times New Roman" w:hAnsi="Cambria" w:cstheme="minorHAnsi"/>
        </w:rPr>
        <w:t>c</w:t>
      </w:r>
      <w:r w:rsidRPr="009A0DA6">
        <w:rPr>
          <w:rFonts w:ascii="Cambria" w:eastAsia="Times New Roman" w:hAnsi="Cambria" w:cstheme="minorHAnsi"/>
          <w:spacing w:val="3"/>
        </w:rPr>
        <w:t>a</w:t>
      </w:r>
      <w:r w:rsidRPr="009A0DA6">
        <w:rPr>
          <w:rFonts w:ascii="Cambria" w:eastAsia="Times New Roman" w:hAnsi="Cambria" w:cstheme="minorHAnsi"/>
          <w:spacing w:val="-1"/>
        </w:rPr>
        <w:t>s</w:t>
      </w:r>
      <w:r w:rsidRPr="009A0DA6">
        <w:rPr>
          <w:rFonts w:ascii="Cambria" w:eastAsia="Times New Roman" w:hAnsi="Cambria" w:cstheme="minorHAnsi"/>
        </w:rPr>
        <w:t>t</w:t>
      </w:r>
      <w:r w:rsidRPr="009A0DA6">
        <w:rPr>
          <w:rFonts w:ascii="Cambria" w:eastAsia="Times New Roman" w:hAnsi="Cambria" w:cstheme="minorHAnsi"/>
          <w:spacing w:val="8"/>
        </w:rPr>
        <w:t xml:space="preserve"> </w:t>
      </w:r>
      <w:r w:rsidRPr="009A0DA6">
        <w:rPr>
          <w:rFonts w:ascii="Cambria" w:eastAsia="Times New Roman" w:hAnsi="Cambria" w:cstheme="minorHAnsi"/>
          <w:spacing w:val="-1"/>
        </w:rPr>
        <w:t>s</w:t>
      </w:r>
      <w:r w:rsidRPr="009A0DA6">
        <w:rPr>
          <w:rFonts w:ascii="Cambria" w:eastAsia="Times New Roman" w:hAnsi="Cambria" w:cstheme="minorHAnsi"/>
          <w:spacing w:val="2"/>
        </w:rPr>
        <w:t>i</w:t>
      </w:r>
      <w:r w:rsidRPr="009A0DA6">
        <w:rPr>
          <w:rFonts w:ascii="Cambria" w:eastAsia="Times New Roman" w:hAnsi="Cambria" w:cstheme="minorHAnsi"/>
          <w:spacing w:val="-1"/>
        </w:rPr>
        <w:t>gn</w:t>
      </w:r>
      <w:r w:rsidRPr="009A0DA6">
        <w:rPr>
          <w:rFonts w:ascii="Cambria" w:eastAsia="Times New Roman" w:hAnsi="Cambria" w:cstheme="minorHAnsi"/>
          <w:spacing w:val="2"/>
        </w:rPr>
        <w:t>i</w:t>
      </w:r>
      <w:r w:rsidRPr="009A0DA6">
        <w:rPr>
          <w:rFonts w:ascii="Cambria" w:eastAsia="Times New Roman" w:hAnsi="Cambria" w:cstheme="minorHAnsi"/>
          <w:spacing w:val="-1"/>
        </w:rPr>
        <w:t>f</w:t>
      </w:r>
      <w:r w:rsidRPr="009A0DA6">
        <w:rPr>
          <w:rFonts w:ascii="Cambria" w:eastAsia="Times New Roman" w:hAnsi="Cambria" w:cstheme="minorHAnsi"/>
        </w:rPr>
        <w:t>ic</w:t>
      </w:r>
      <w:r w:rsidRPr="009A0DA6">
        <w:rPr>
          <w:rFonts w:ascii="Cambria" w:eastAsia="Times New Roman" w:hAnsi="Cambria" w:cstheme="minorHAnsi"/>
          <w:spacing w:val="3"/>
        </w:rPr>
        <w:t>a</w:t>
      </w:r>
      <w:r w:rsidRPr="009A0DA6">
        <w:rPr>
          <w:rFonts w:ascii="Cambria" w:eastAsia="Times New Roman" w:hAnsi="Cambria" w:cstheme="minorHAnsi"/>
          <w:spacing w:val="-1"/>
        </w:rPr>
        <w:t>n</w:t>
      </w:r>
      <w:r w:rsidRPr="009A0DA6">
        <w:rPr>
          <w:rFonts w:ascii="Cambria" w:eastAsia="Times New Roman" w:hAnsi="Cambria" w:cstheme="minorHAnsi"/>
        </w:rPr>
        <w:t>t</w:t>
      </w:r>
      <w:r w:rsidRPr="009A0DA6">
        <w:rPr>
          <w:rFonts w:ascii="Cambria" w:eastAsia="Times New Roman" w:hAnsi="Cambria" w:cstheme="minorHAnsi"/>
          <w:spacing w:val="2"/>
        </w:rPr>
        <w:t xml:space="preserve"> </w:t>
      </w:r>
      <w:r w:rsidRPr="009A0DA6">
        <w:rPr>
          <w:rFonts w:ascii="Cambria" w:eastAsia="Times New Roman" w:hAnsi="Cambria" w:cstheme="minorHAnsi"/>
          <w:spacing w:val="1"/>
        </w:rPr>
        <w:t>do</w:t>
      </w:r>
      <w:r w:rsidRPr="009A0DA6">
        <w:rPr>
          <w:rFonts w:ascii="Cambria" w:eastAsia="Times New Roman" w:hAnsi="Cambria" w:cstheme="minorHAnsi"/>
          <w:spacing w:val="-1"/>
        </w:rPr>
        <w:t>u</w:t>
      </w:r>
      <w:r w:rsidRPr="009A0DA6">
        <w:rPr>
          <w:rFonts w:ascii="Cambria" w:eastAsia="Times New Roman" w:hAnsi="Cambria" w:cstheme="minorHAnsi"/>
          <w:spacing w:val="1"/>
        </w:rPr>
        <w:t>b</w:t>
      </w:r>
      <w:r w:rsidRPr="009A0DA6">
        <w:rPr>
          <w:rFonts w:ascii="Cambria" w:eastAsia="Times New Roman" w:hAnsi="Cambria" w:cstheme="minorHAnsi"/>
        </w:rPr>
        <w:t>t</w:t>
      </w:r>
      <w:r w:rsidRPr="009A0DA6">
        <w:rPr>
          <w:rFonts w:ascii="Cambria" w:eastAsia="Times New Roman" w:hAnsi="Cambria" w:cstheme="minorHAnsi"/>
          <w:spacing w:val="6"/>
        </w:rPr>
        <w:t xml:space="preserve"> </w:t>
      </w:r>
      <w:r w:rsidRPr="009A0DA6">
        <w:rPr>
          <w:rFonts w:ascii="Cambria" w:eastAsia="Times New Roman" w:hAnsi="Cambria" w:cstheme="minorHAnsi"/>
          <w:spacing w:val="1"/>
        </w:rPr>
        <w:t>o</w:t>
      </w:r>
      <w:r w:rsidRPr="009A0DA6">
        <w:rPr>
          <w:rFonts w:ascii="Cambria" w:eastAsia="Times New Roman" w:hAnsi="Cambria" w:cstheme="minorHAnsi"/>
        </w:rPr>
        <w:t>n</w:t>
      </w:r>
      <w:r w:rsidRPr="009A0DA6">
        <w:rPr>
          <w:rFonts w:ascii="Cambria" w:eastAsia="Times New Roman" w:hAnsi="Cambria" w:cstheme="minorHAnsi"/>
          <w:spacing w:val="8"/>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11"/>
        </w:rPr>
        <w:t xml:space="preserve"> </w:t>
      </w:r>
      <w:r w:rsidRPr="009A0DA6">
        <w:rPr>
          <w:rFonts w:ascii="Cambria" w:eastAsia="Times New Roman" w:hAnsi="Cambria" w:cstheme="minorHAnsi"/>
          <w:spacing w:val="-2"/>
        </w:rPr>
        <w:t>A</w:t>
      </w:r>
      <w:r w:rsidRPr="009A0DA6">
        <w:rPr>
          <w:rFonts w:ascii="Cambria" w:eastAsia="Times New Roman" w:hAnsi="Cambria" w:cstheme="minorHAnsi"/>
          <w:spacing w:val="2"/>
        </w:rPr>
        <w:t>s</w:t>
      </w:r>
      <w:r w:rsidRPr="009A0DA6">
        <w:rPr>
          <w:rFonts w:ascii="Cambria" w:eastAsia="Times New Roman" w:hAnsi="Cambria" w:cstheme="minorHAnsi"/>
          <w:spacing w:val="-1"/>
        </w:rPr>
        <w:t>s</w:t>
      </w:r>
      <w:r w:rsidRPr="009A0DA6">
        <w:rPr>
          <w:rFonts w:ascii="Cambria" w:eastAsia="Times New Roman" w:hAnsi="Cambria" w:cstheme="minorHAnsi"/>
          <w:spacing w:val="1"/>
        </w:rPr>
        <w:t>o</w:t>
      </w:r>
      <w:r w:rsidRPr="009A0DA6">
        <w:rPr>
          <w:rFonts w:ascii="Cambria" w:eastAsia="Times New Roman" w:hAnsi="Cambria" w:cstheme="minorHAnsi"/>
        </w:rPr>
        <w:t>ciati</w:t>
      </w:r>
      <w:r w:rsidRPr="009A0DA6">
        <w:rPr>
          <w:rFonts w:ascii="Cambria" w:eastAsia="Times New Roman" w:hAnsi="Cambria" w:cstheme="minorHAnsi"/>
          <w:spacing w:val="1"/>
        </w:rPr>
        <w:t>o</w:t>
      </w:r>
      <w:r w:rsidRPr="009A0DA6">
        <w:rPr>
          <w:rFonts w:ascii="Cambria" w:eastAsia="Times New Roman" w:hAnsi="Cambria" w:cstheme="minorHAnsi"/>
          <w:spacing w:val="-1"/>
        </w:rPr>
        <w:t>n</w:t>
      </w:r>
      <w:r w:rsidRPr="009A0DA6">
        <w:rPr>
          <w:rFonts w:ascii="Cambria" w:eastAsia="Times New Roman" w:hAnsi="Cambria" w:cstheme="minorHAnsi"/>
          <w:spacing w:val="1"/>
        </w:rPr>
        <w:t>’</w:t>
      </w:r>
      <w:r w:rsidRPr="009A0DA6">
        <w:rPr>
          <w:rFonts w:ascii="Cambria" w:eastAsia="Times New Roman" w:hAnsi="Cambria" w:cstheme="minorHAnsi"/>
        </w:rPr>
        <w:t>s a</w:t>
      </w:r>
      <w:r w:rsidRPr="009A0DA6">
        <w:rPr>
          <w:rFonts w:ascii="Cambria" w:eastAsia="Times New Roman" w:hAnsi="Cambria" w:cstheme="minorHAnsi"/>
          <w:spacing w:val="1"/>
        </w:rPr>
        <w:t>b</w:t>
      </w:r>
      <w:r w:rsidRPr="009A0DA6">
        <w:rPr>
          <w:rFonts w:ascii="Cambria" w:eastAsia="Times New Roman" w:hAnsi="Cambria" w:cstheme="minorHAnsi"/>
        </w:rPr>
        <w:t>ili</w:t>
      </w:r>
      <w:r w:rsidRPr="009A0DA6">
        <w:rPr>
          <w:rFonts w:ascii="Cambria" w:eastAsia="Times New Roman" w:hAnsi="Cambria" w:cstheme="minorHAnsi"/>
          <w:spacing w:val="2"/>
        </w:rPr>
        <w:t>t</w:t>
      </w:r>
      <w:r w:rsidRPr="009A0DA6">
        <w:rPr>
          <w:rFonts w:ascii="Cambria" w:eastAsia="Times New Roman" w:hAnsi="Cambria" w:cstheme="minorHAnsi"/>
        </w:rPr>
        <w:t>y</w:t>
      </w:r>
      <w:r w:rsidRPr="009A0DA6">
        <w:rPr>
          <w:rFonts w:ascii="Cambria" w:eastAsia="Times New Roman" w:hAnsi="Cambria" w:cstheme="minorHAnsi"/>
          <w:spacing w:val="3"/>
        </w:rPr>
        <w:t xml:space="preserve"> </w:t>
      </w:r>
      <w:r w:rsidRPr="009A0DA6">
        <w:rPr>
          <w:rFonts w:ascii="Cambria" w:eastAsia="Times New Roman" w:hAnsi="Cambria" w:cstheme="minorHAnsi"/>
        </w:rPr>
        <w:t>to</w:t>
      </w:r>
      <w:r w:rsidRPr="009A0DA6">
        <w:rPr>
          <w:rFonts w:ascii="Cambria" w:eastAsia="Times New Roman" w:hAnsi="Cambria" w:cstheme="minorHAnsi"/>
          <w:spacing w:val="11"/>
        </w:rPr>
        <w:t xml:space="preserve"> </w:t>
      </w:r>
      <w:r w:rsidRPr="009A0DA6">
        <w:rPr>
          <w:rFonts w:ascii="Cambria" w:eastAsia="Times New Roman" w:hAnsi="Cambria" w:cstheme="minorHAnsi"/>
        </w:rPr>
        <w:t>c</w:t>
      </w:r>
      <w:r w:rsidRPr="009A0DA6">
        <w:rPr>
          <w:rFonts w:ascii="Cambria" w:eastAsia="Times New Roman" w:hAnsi="Cambria" w:cstheme="minorHAnsi"/>
          <w:spacing w:val="1"/>
        </w:rPr>
        <w:t>o</w:t>
      </w:r>
      <w:r w:rsidRPr="009A0DA6">
        <w:rPr>
          <w:rFonts w:ascii="Cambria" w:eastAsia="Times New Roman" w:hAnsi="Cambria" w:cstheme="minorHAnsi"/>
          <w:spacing w:val="-1"/>
        </w:rPr>
        <w:t>n</w:t>
      </w:r>
      <w:r w:rsidRPr="009A0DA6">
        <w:rPr>
          <w:rFonts w:ascii="Cambria" w:eastAsia="Times New Roman" w:hAnsi="Cambria" w:cstheme="minorHAnsi"/>
        </w:rPr>
        <w:t>t</w:t>
      </w:r>
      <w:r w:rsidRPr="009A0DA6">
        <w:rPr>
          <w:rFonts w:ascii="Cambria" w:eastAsia="Times New Roman" w:hAnsi="Cambria" w:cstheme="minorHAnsi"/>
          <w:spacing w:val="2"/>
        </w:rPr>
        <w:t>i</w:t>
      </w:r>
      <w:r w:rsidRPr="009A0DA6">
        <w:rPr>
          <w:rFonts w:ascii="Cambria" w:eastAsia="Times New Roman" w:hAnsi="Cambria" w:cstheme="minorHAnsi"/>
          <w:spacing w:val="-1"/>
        </w:rPr>
        <w:t>nu</w:t>
      </w:r>
      <w:r w:rsidRPr="009A0DA6">
        <w:rPr>
          <w:rFonts w:ascii="Cambria" w:eastAsia="Times New Roman" w:hAnsi="Cambria" w:cstheme="minorHAnsi"/>
        </w:rPr>
        <w:t>e</w:t>
      </w:r>
      <w:r w:rsidRPr="009A0DA6">
        <w:rPr>
          <w:rFonts w:ascii="Cambria" w:eastAsia="Times New Roman" w:hAnsi="Cambria" w:cstheme="minorHAnsi"/>
          <w:spacing w:val="5"/>
        </w:rPr>
        <w:t xml:space="preserve"> </w:t>
      </w:r>
      <w:r w:rsidRPr="009A0DA6">
        <w:rPr>
          <w:rFonts w:ascii="Cambria" w:eastAsia="Times New Roman" w:hAnsi="Cambria" w:cstheme="minorHAnsi"/>
        </w:rPr>
        <w:t>as</w:t>
      </w:r>
      <w:r w:rsidRPr="009A0DA6">
        <w:rPr>
          <w:rFonts w:ascii="Cambria" w:eastAsia="Times New Roman" w:hAnsi="Cambria" w:cstheme="minorHAnsi"/>
          <w:spacing w:val="11"/>
        </w:rPr>
        <w:t xml:space="preserve"> </w:t>
      </w:r>
      <w:r w:rsidRPr="009A0DA6">
        <w:rPr>
          <w:rFonts w:ascii="Cambria" w:eastAsia="Times New Roman" w:hAnsi="Cambria" w:cstheme="minorHAnsi"/>
        </w:rPr>
        <w:t>a</w:t>
      </w:r>
      <w:r w:rsidRPr="009A0DA6">
        <w:rPr>
          <w:rFonts w:ascii="Cambria" w:eastAsia="Times New Roman" w:hAnsi="Cambria" w:cstheme="minorHAnsi"/>
          <w:spacing w:val="11"/>
        </w:rPr>
        <w:t xml:space="preserve"> </w:t>
      </w:r>
      <w:r w:rsidRPr="009A0DA6">
        <w:rPr>
          <w:rFonts w:ascii="Cambria" w:eastAsia="Times New Roman" w:hAnsi="Cambria" w:cstheme="minorHAnsi"/>
          <w:spacing w:val="-1"/>
        </w:rPr>
        <w:t>g</w:t>
      </w:r>
      <w:r w:rsidRPr="009A0DA6">
        <w:rPr>
          <w:rFonts w:ascii="Cambria" w:eastAsia="Times New Roman" w:hAnsi="Cambria" w:cstheme="minorHAnsi"/>
          <w:spacing w:val="1"/>
        </w:rPr>
        <w:t>o</w:t>
      </w:r>
      <w:r w:rsidRPr="009A0DA6">
        <w:rPr>
          <w:rFonts w:ascii="Cambria" w:eastAsia="Times New Roman" w:hAnsi="Cambria" w:cstheme="minorHAnsi"/>
        </w:rPr>
        <w:t>i</w:t>
      </w:r>
      <w:r w:rsidRPr="009A0DA6">
        <w:rPr>
          <w:rFonts w:ascii="Cambria" w:eastAsia="Times New Roman" w:hAnsi="Cambria" w:cstheme="minorHAnsi"/>
          <w:spacing w:val="1"/>
        </w:rPr>
        <w:t>n</w:t>
      </w:r>
      <w:r w:rsidRPr="009A0DA6">
        <w:rPr>
          <w:rFonts w:ascii="Cambria" w:eastAsia="Times New Roman" w:hAnsi="Cambria" w:cstheme="minorHAnsi"/>
        </w:rPr>
        <w:t>g c</w:t>
      </w:r>
      <w:r w:rsidRPr="009A0DA6">
        <w:rPr>
          <w:rFonts w:ascii="Cambria" w:eastAsia="Times New Roman" w:hAnsi="Cambria" w:cstheme="minorHAnsi"/>
          <w:spacing w:val="1"/>
        </w:rPr>
        <w:t>o</w:t>
      </w:r>
      <w:r w:rsidRPr="009A0DA6">
        <w:rPr>
          <w:rFonts w:ascii="Cambria" w:eastAsia="Times New Roman" w:hAnsi="Cambria" w:cstheme="minorHAnsi"/>
          <w:spacing w:val="-1"/>
        </w:rPr>
        <w:t>n</w:t>
      </w:r>
      <w:r w:rsidRPr="009A0DA6">
        <w:rPr>
          <w:rFonts w:ascii="Cambria" w:eastAsia="Times New Roman" w:hAnsi="Cambria" w:cstheme="minorHAnsi"/>
        </w:rPr>
        <w:t>ce</w:t>
      </w:r>
      <w:r w:rsidRPr="009A0DA6">
        <w:rPr>
          <w:rFonts w:ascii="Cambria" w:eastAsia="Times New Roman" w:hAnsi="Cambria" w:cstheme="minorHAnsi"/>
          <w:spacing w:val="1"/>
        </w:rPr>
        <w:t>r</w:t>
      </w:r>
      <w:r w:rsidRPr="009A0DA6">
        <w:rPr>
          <w:rFonts w:ascii="Cambria" w:eastAsia="Times New Roman" w:hAnsi="Cambria" w:cstheme="minorHAnsi"/>
          <w:spacing w:val="-1"/>
        </w:rPr>
        <w:t>n</w:t>
      </w:r>
      <w:r w:rsidRPr="009A0DA6">
        <w:rPr>
          <w:rFonts w:ascii="Cambria" w:eastAsia="Times New Roman" w:hAnsi="Cambria" w:cstheme="minorHAnsi"/>
        </w:rPr>
        <w:t>.</w:t>
      </w:r>
      <w:r w:rsidRPr="009A0DA6">
        <w:rPr>
          <w:rFonts w:ascii="Cambria" w:eastAsia="Times New Roman" w:hAnsi="Cambria" w:cstheme="minorHAnsi"/>
          <w:spacing w:val="1"/>
        </w:rPr>
        <w:t xml:space="preserve"> I</w:t>
      </w:r>
      <w:r w:rsidRPr="009A0DA6">
        <w:rPr>
          <w:rFonts w:ascii="Cambria" w:eastAsia="Times New Roman" w:hAnsi="Cambria" w:cstheme="minorHAnsi"/>
        </w:rPr>
        <w:t>f</w:t>
      </w:r>
      <w:r w:rsidRPr="009A0DA6">
        <w:rPr>
          <w:rFonts w:ascii="Cambria" w:eastAsia="Times New Roman" w:hAnsi="Cambria" w:cstheme="minorHAnsi"/>
          <w:spacing w:val="8"/>
        </w:rPr>
        <w:t xml:space="preserve"> </w:t>
      </w:r>
      <w:r w:rsidRPr="009A0DA6">
        <w:rPr>
          <w:rFonts w:ascii="Cambria" w:eastAsia="Times New Roman" w:hAnsi="Cambria" w:cstheme="minorHAnsi"/>
          <w:spacing w:val="-2"/>
        </w:rPr>
        <w:t>w</w:t>
      </w:r>
      <w:r w:rsidRPr="009A0DA6">
        <w:rPr>
          <w:rFonts w:ascii="Cambria" w:eastAsia="Times New Roman" w:hAnsi="Cambria" w:cstheme="minorHAnsi"/>
        </w:rPr>
        <w:t>e</w:t>
      </w:r>
      <w:r w:rsidRPr="009A0DA6">
        <w:rPr>
          <w:rFonts w:ascii="Cambria" w:eastAsia="Times New Roman" w:hAnsi="Cambria" w:cstheme="minorHAnsi"/>
          <w:spacing w:val="6"/>
        </w:rPr>
        <w:t xml:space="preserve"> </w:t>
      </w:r>
      <w:r w:rsidRPr="009A0DA6">
        <w:rPr>
          <w:rFonts w:ascii="Cambria" w:eastAsia="Times New Roman" w:hAnsi="Cambria" w:cstheme="minorHAnsi"/>
        </w:rPr>
        <w:t>c</w:t>
      </w:r>
      <w:r w:rsidRPr="009A0DA6">
        <w:rPr>
          <w:rFonts w:ascii="Cambria" w:eastAsia="Times New Roman" w:hAnsi="Cambria" w:cstheme="minorHAnsi"/>
          <w:spacing w:val="1"/>
        </w:rPr>
        <w:t>o</w:t>
      </w:r>
      <w:r w:rsidRPr="009A0DA6">
        <w:rPr>
          <w:rFonts w:ascii="Cambria" w:eastAsia="Times New Roman" w:hAnsi="Cambria" w:cstheme="minorHAnsi"/>
          <w:spacing w:val="-1"/>
        </w:rPr>
        <w:t>n</w:t>
      </w:r>
      <w:r w:rsidRPr="009A0DA6">
        <w:rPr>
          <w:rFonts w:ascii="Cambria" w:eastAsia="Times New Roman" w:hAnsi="Cambria" w:cstheme="minorHAnsi"/>
        </w:rPr>
        <w:t>c</w:t>
      </w:r>
      <w:r w:rsidRPr="009A0DA6">
        <w:rPr>
          <w:rFonts w:ascii="Cambria" w:eastAsia="Times New Roman" w:hAnsi="Cambria" w:cstheme="minorHAnsi"/>
          <w:spacing w:val="2"/>
        </w:rPr>
        <w:t>l</w:t>
      </w:r>
      <w:r w:rsidRPr="009A0DA6">
        <w:rPr>
          <w:rFonts w:ascii="Cambria" w:eastAsia="Times New Roman" w:hAnsi="Cambria" w:cstheme="minorHAnsi"/>
          <w:spacing w:val="-1"/>
        </w:rPr>
        <w:t>u</w:t>
      </w:r>
      <w:r w:rsidRPr="009A0DA6">
        <w:rPr>
          <w:rFonts w:ascii="Cambria" w:eastAsia="Times New Roman" w:hAnsi="Cambria" w:cstheme="minorHAnsi"/>
          <w:spacing w:val="1"/>
        </w:rPr>
        <w:t>d</w:t>
      </w:r>
      <w:r w:rsidRPr="009A0DA6">
        <w:rPr>
          <w:rFonts w:ascii="Cambria" w:eastAsia="Times New Roman" w:hAnsi="Cambria" w:cstheme="minorHAnsi"/>
        </w:rPr>
        <w:t>e</w:t>
      </w:r>
      <w:r w:rsidRPr="009A0DA6">
        <w:rPr>
          <w:rFonts w:ascii="Cambria" w:eastAsia="Times New Roman" w:hAnsi="Cambria" w:cstheme="minorHAnsi"/>
          <w:spacing w:val="1"/>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at</w:t>
      </w:r>
      <w:r w:rsidRPr="009A0DA6">
        <w:rPr>
          <w:rFonts w:ascii="Cambria" w:eastAsia="Times New Roman" w:hAnsi="Cambria" w:cstheme="minorHAnsi"/>
          <w:spacing w:val="4"/>
        </w:rPr>
        <w:t xml:space="preserve"> </w:t>
      </w:r>
      <w:r w:rsidRPr="009A0DA6">
        <w:rPr>
          <w:rFonts w:ascii="Cambria" w:eastAsia="Times New Roman" w:hAnsi="Cambria" w:cstheme="minorHAnsi"/>
        </w:rPr>
        <w:t>a</w:t>
      </w:r>
      <w:r w:rsidRPr="009A0DA6">
        <w:rPr>
          <w:rFonts w:ascii="Cambria" w:eastAsia="Times New Roman" w:hAnsi="Cambria" w:cstheme="minorHAnsi"/>
          <w:spacing w:val="12"/>
        </w:rPr>
        <w:t xml:space="preserve"> </w:t>
      </w:r>
      <w:r w:rsidRPr="009A0DA6">
        <w:rPr>
          <w:rFonts w:ascii="Cambria" w:eastAsia="Times New Roman" w:hAnsi="Cambria" w:cstheme="minorHAnsi"/>
          <w:spacing w:val="-4"/>
        </w:rPr>
        <w:t>m</w:t>
      </w:r>
      <w:r w:rsidRPr="009A0DA6">
        <w:rPr>
          <w:rFonts w:ascii="Cambria" w:eastAsia="Times New Roman" w:hAnsi="Cambria" w:cstheme="minorHAnsi"/>
        </w:rPr>
        <w:t>ate</w:t>
      </w:r>
      <w:r w:rsidRPr="009A0DA6">
        <w:rPr>
          <w:rFonts w:ascii="Cambria" w:eastAsia="Times New Roman" w:hAnsi="Cambria" w:cstheme="minorHAnsi"/>
          <w:spacing w:val="1"/>
        </w:rPr>
        <w:t>r</w:t>
      </w:r>
      <w:r w:rsidRPr="009A0DA6">
        <w:rPr>
          <w:rFonts w:ascii="Cambria" w:eastAsia="Times New Roman" w:hAnsi="Cambria" w:cstheme="minorHAnsi"/>
        </w:rPr>
        <w:t xml:space="preserve">ial </w:t>
      </w:r>
      <w:r w:rsidRPr="009A0DA6">
        <w:rPr>
          <w:rFonts w:ascii="Cambria" w:eastAsia="Times New Roman" w:hAnsi="Cambria" w:cstheme="minorHAnsi"/>
          <w:spacing w:val="1"/>
        </w:rPr>
        <w:t>u</w:t>
      </w:r>
      <w:r w:rsidRPr="009A0DA6">
        <w:rPr>
          <w:rFonts w:ascii="Cambria" w:eastAsia="Times New Roman" w:hAnsi="Cambria" w:cstheme="minorHAnsi"/>
          <w:spacing w:val="-1"/>
        </w:rPr>
        <w:t>n</w:t>
      </w:r>
      <w:r w:rsidRPr="009A0DA6">
        <w:rPr>
          <w:rFonts w:ascii="Cambria" w:eastAsia="Times New Roman" w:hAnsi="Cambria" w:cstheme="minorHAnsi"/>
        </w:rPr>
        <w:t>ce</w:t>
      </w:r>
      <w:r w:rsidRPr="009A0DA6">
        <w:rPr>
          <w:rFonts w:ascii="Cambria" w:eastAsia="Times New Roman" w:hAnsi="Cambria" w:cstheme="minorHAnsi"/>
          <w:spacing w:val="1"/>
        </w:rPr>
        <w:t>r</w:t>
      </w:r>
      <w:r w:rsidRPr="009A0DA6">
        <w:rPr>
          <w:rFonts w:ascii="Cambria" w:eastAsia="Times New Roman" w:hAnsi="Cambria" w:cstheme="minorHAnsi"/>
        </w:rPr>
        <w:t>ta</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spacing w:val="2"/>
        </w:rPr>
        <w:t>t</w:t>
      </w:r>
      <w:r w:rsidRPr="009A0DA6">
        <w:rPr>
          <w:rFonts w:ascii="Cambria" w:eastAsia="Times New Roman" w:hAnsi="Cambria" w:cstheme="minorHAnsi"/>
        </w:rPr>
        <w:t>y</w:t>
      </w:r>
      <w:r w:rsidRPr="009A0DA6">
        <w:rPr>
          <w:rFonts w:ascii="Cambria" w:eastAsia="Times New Roman" w:hAnsi="Cambria" w:cstheme="minorHAnsi"/>
          <w:spacing w:val="-5"/>
        </w:rPr>
        <w:t xml:space="preserve"> </w:t>
      </w:r>
      <w:r w:rsidRPr="009A0DA6">
        <w:rPr>
          <w:rFonts w:ascii="Cambria" w:eastAsia="Times New Roman" w:hAnsi="Cambria" w:cstheme="minorHAnsi"/>
          <w:spacing w:val="3"/>
        </w:rPr>
        <w:t>e</w:t>
      </w:r>
      <w:r w:rsidRPr="009A0DA6">
        <w:rPr>
          <w:rFonts w:ascii="Cambria" w:eastAsia="Times New Roman" w:hAnsi="Cambria" w:cstheme="minorHAnsi"/>
          <w:spacing w:val="-1"/>
        </w:rPr>
        <w:t>x</w:t>
      </w:r>
      <w:r w:rsidRPr="009A0DA6">
        <w:rPr>
          <w:rFonts w:ascii="Cambria" w:eastAsia="Times New Roman" w:hAnsi="Cambria" w:cstheme="minorHAnsi"/>
          <w:spacing w:val="2"/>
        </w:rPr>
        <w:t>i</w:t>
      </w:r>
      <w:r w:rsidRPr="009A0DA6">
        <w:rPr>
          <w:rFonts w:ascii="Cambria" w:eastAsia="Times New Roman" w:hAnsi="Cambria" w:cstheme="minorHAnsi"/>
          <w:spacing w:val="-1"/>
        </w:rPr>
        <w:t>s</w:t>
      </w:r>
      <w:r w:rsidRPr="009A0DA6">
        <w:rPr>
          <w:rFonts w:ascii="Cambria" w:eastAsia="Times New Roman" w:hAnsi="Cambria" w:cstheme="minorHAnsi"/>
        </w:rPr>
        <w:t>t</w:t>
      </w:r>
      <w:r w:rsidRPr="009A0DA6">
        <w:rPr>
          <w:rFonts w:ascii="Cambria" w:eastAsia="Times New Roman" w:hAnsi="Cambria" w:cstheme="minorHAnsi"/>
          <w:spacing w:val="-1"/>
        </w:rPr>
        <w:t>s</w:t>
      </w:r>
      <w:r w:rsidRPr="009A0DA6">
        <w:rPr>
          <w:rFonts w:ascii="Cambria" w:eastAsia="Times New Roman" w:hAnsi="Cambria" w:cstheme="minorHAnsi"/>
        </w:rPr>
        <w:t>,</w:t>
      </w:r>
      <w:r w:rsidRPr="009A0DA6">
        <w:rPr>
          <w:rFonts w:ascii="Cambria" w:eastAsia="Times New Roman" w:hAnsi="Cambria" w:cstheme="minorHAnsi"/>
          <w:spacing w:val="6"/>
        </w:rPr>
        <w:t xml:space="preserve"> </w:t>
      </w:r>
      <w:r w:rsidRPr="009A0DA6">
        <w:rPr>
          <w:rFonts w:ascii="Cambria" w:eastAsia="Times New Roman" w:hAnsi="Cambria" w:cstheme="minorHAnsi"/>
        </w:rPr>
        <w:t>we</w:t>
      </w:r>
      <w:r w:rsidRPr="009A0DA6">
        <w:rPr>
          <w:rFonts w:ascii="Cambria" w:eastAsia="Times New Roman" w:hAnsi="Cambria" w:cstheme="minorHAnsi"/>
          <w:spacing w:val="6"/>
        </w:rPr>
        <w:t xml:space="preserve"> </w:t>
      </w:r>
      <w:r w:rsidRPr="009A0DA6">
        <w:rPr>
          <w:rFonts w:ascii="Cambria" w:eastAsia="Times New Roman" w:hAnsi="Cambria" w:cstheme="minorHAnsi"/>
        </w:rPr>
        <w:t>a</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6"/>
        </w:rPr>
        <w:t xml:space="preserve"> </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1"/>
        </w:rPr>
        <w:t>q</w:t>
      </w:r>
      <w:r w:rsidRPr="009A0DA6">
        <w:rPr>
          <w:rFonts w:ascii="Cambria" w:eastAsia="Times New Roman" w:hAnsi="Cambria" w:cstheme="minorHAnsi"/>
          <w:spacing w:val="-1"/>
        </w:rPr>
        <w:t>u</w:t>
      </w:r>
      <w:r w:rsidRPr="009A0DA6">
        <w:rPr>
          <w:rFonts w:ascii="Cambria" w:eastAsia="Times New Roman" w:hAnsi="Cambria" w:cstheme="minorHAnsi"/>
        </w:rPr>
        <w:t>i</w:t>
      </w:r>
      <w:r w:rsidRPr="009A0DA6">
        <w:rPr>
          <w:rFonts w:ascii="Cambria" w:eastAsia="Times New Roman" w:hAnsi="Cambria" w:cstheme="minorHAnsi"/>
          <w:spacing w:val="1"/>
        </w:rPr>
        <w:t>r</w:t>
      </w:r>
      <w:r w:rsidRPr="009A0DA6">
        <w:rPr>
          <w:rFonts w:ascii="Cambria" w:eastAsia="Times New Roman" w:hAnsi="Cambria" w:cstheme="minorHAnsi"/>
        </w:rPr>
        <w:t>ed</w:t>
      </w:r>
      <w:r w:rsidRPr="009A0DA6">
        <w:rPr>
          <w:rFonts w:ascii="Cambria" w:eastAsia="Times New Roman" w:hAnsi="Cambria" w:cstheme="minorHAnsi"/>
          <w:spacing w:val="2"/>
        </w:rPr>
        <w:t xml:space="preserve"> </w:t>
      </w:r>
      <w:r w:rsidRPr="009A0DA6">
        <w:rPr>
          <w:rFonts w:ascii="Cambria" w:eastAsia="Times New Roman" w:hAnsi="Cambria" w:cstheme="minorHAnsi"/>
        </w:rPr>
        <w:t>to</w:t>
      </w:r>
      <w:r w:rsidRPr="009A0DA6">
        <w:rPr>
          <w:rFonts w:ascii="Cambria" w:eastAsia="Times New Roman" w:hAnsi="Cambria" w:cstheme="minorHAnsi"/>
          <w:spacing w:val="4"/>
        </w:rPr>
        <w:t xml:space="preserve"> </w:t>
      </w:r>
      <w:r w:rsidRPr="009A0DA6">
        <w:rPr>
          <w:rFonts w:ascii="Cambria" w:eastAsia="Times New Roman" w:hAnsi="Cambria" w:cstheme="minorHAnsi"/>
          <w:spacing w:val="1"/>
        </w:rPr>
        <w:t>dr</w:t>
      </w:r>
      <w:r w:rsidRPr="009A0DA6">
        <w:rPr>
          <w:rFonts w:ascii="Cambria" w:eastAsia="Times New Roman" w:hAnsi="Cambria" w:cstheme="minorHAnsi"/>
        </w:rPr>
        <w:t>aw</w:t>
      </w:r>
      <w:r w:rsidRPr="009A0DA6">
        <w:rPr>
          <w:rFonts w:ascii="Cambria" w:eastAsia="Times New Roman" w:hAnsi="Cambria" w:cstheme="minorHAnsi"/>
          <w:spacing w:val="-1"/>
        </w:rPr>
        <w:t xml:space="preserve"> </w:t>
      </w:r>
      <w:r w:rsidRPr="009A0DA6">
        <w:rPr>
          <w:rFonts w:ascii="Cambria" w:eastAsia="Times New Roman" w:hAnsi="Cambria" w:cstheme="minorHAnsi"/>
        </w:rPr>
        <w:t>att</w:t>
      </w:r>
      <w:r w:rsidRPr="009A0DA6">
        <w:rPr>
          <w:rFonts w:ascii="Cambria" w:eastAsia="Times New Roman" w:hAnsi="Cambria" w:cstheme="minorHAnsi"/>
          <w:spacing w:val="3"/>
        </w:rPr>
        <w:t>e</w:t>
      </w:r>
      <w:r w:rsidRPr="009A0DA6">
        <w:rPr>
          <w:rFonts w:ascii="Cambria" w:eastAsia="Times New Roman" w:hAnsi="Cambria" w:cstheme="minorHAnsi"/>
          <w:spacing w:val="-1"/>
        </w:rPr>
        <w:t>n</w:t>
      </w:r>
      <w:r w:rsidRPr="009A0DA6">
        <w:rPr>
          <w:rFonts w:ascii="Cambria" w:eastAsia="Times New Roman" w:hAnsi="Cambria" w:cstheme="minorHAnsi"/>
        </w:rPr>
        <w:t>ti</w:t>
      </w:r>
      <w:r w:rsidRPr="009A0DA6">
        <w:rPr>
          <w:rFonts w:ascii="Cambria" w:eastAsia="Times New Roman" w:hAnsi="Cambria" w:cstheme="minorHAnsi"/>
          <w:spacing w:val="4"/>
        </w:rPr>
        <w:t>o</w:t>
      </w:r>
      <w:r w:rsidRPr="009A0DA6">
        <w:rPr>
          <w:rFonts w:ascii="Cambria" w:eastAsia="Times New Roman" w:hAnsi="Cambria" w:cstheme="minorHAnsi"/>
        </w:rPr>
        <w:t>n</w:t>
      </w:r>
      <w:r w:rsidRPr="009A0DA6">
        <w:rPr>
          <w:rFonts w:ascii="Cambria" w:eastAsia="Times New Roman" w:hAnsi="Cambria" w:cstheme="minorHAnsi"/>
          <w:spacing w:val="-1"/>
        </w:rPr>
        <w:t xml:space="preserve"> </w:t>
      </w:r>
      <w:r w:rsidRPr="009A0DA6">
        <w:rPr>
          <w:rFonts w:ascii="Cambria" w:eastAsia="Times New Roman" w:hAnsi="Cambria" w:cstheme="minorHAnsi"/>
        </w:rPr>
        <w:t>in</w:t>
      </w:r>
      <w:r w:rsidRPr="009A0DA6">
        <w:rPr>
          <w:rFonts w:ascii="Cambria" w:eastAsia="Times New Roman" w:hAnsi="Cambria" w:cstheme="minorHAnsi"/>
          <w:spacing w:val="4"/>
        </w:rPr>
        <w:t xml:space="preserve"> </w:t>
      </w:r>
      <w:r w:rsidRPr="009A0DA6">
        <w:rPr>
          <w:rFonts w:ascii="Cambria" w:eastAsia="Times New Roman" w:hAnsi="Cambria" w:cstheme="minorHAnsi"/>
          <w:spacing w:val="1"/>
        </w:rPr>
        <w:t>o</w:t>
      </w:r>
      <w:r w:rsidRPr="009A0DA6">
        <w:rPr>
          <w:rFonts w:ascii="Cambria" w:eastAsia="Times New Roman" w:hAnsi="Cambria" w:cstheme="minorHAnsi"/>
          <w:spacing w:val="-1"/>
        </w:rPr>
        <w:t>u</w:t>
      </w:r>
      <w:r w:rsidRPr="009A0DA6">
        <w:rPr>
          <w:rFonts w:ascii="Cambria" w:eastAsia="Times New Roman" w:hAnsi="Cambria" w:cstheme="minorHAnsi"/>
        </w:rPr>
        <w:t>r a</w:t>
      </w:r>
      <w:r w:rsidRPr="009A0DA6">
        <w:rPr>
          <w:rFonts w:ascii="Cambria" w:eastAsia="Times New Roman" w:hAnsi="Cambria" w:cstheme="minorHAnsi"/>
          <w:spacing w:val="-1"/>
        </w:rPr>
        <w:t>u</w:t>
      </w:r>
      <w:r w:rsidRPr="009A0DA6">
        <w:rPr>
          <w:rFonts w:ascii="Cambria" w:eastAsia="Times New Roman" w:hAnsi="Cambria" w:cstheme="minorHAnsi"/>
          <w:spacing w:val="1"/>
        </w:rPr>
        <w:t>d</w:t>
      </w:r>
      <w:r w:rsidRPr="009A0DA6">
        <w:rPr>
          <w:rFonts w:ascii="Cambria" w:eastAsia="Times New Roman" w:hAnsi="Cambria" w:cstheme="minorHAnsi"/>
        </w:rPr>
        <w:t>it</w:t>
      </w:r>
      <w:r w:rsidRPr="009A0DA6">
        <w:rPr>
          <w:rFonts w:ascii="Cambria" w:eastAsia="Times New Roman" w:hAnsi="Cambria" w:cstheme="minorHAnsi"/>
          <w:spacing w:val="1"/>
        </w:rPr>
        <w:t>or</w:t>
      </w:r>
      <w:r w:rsidRPr="009A0DA6">
        <w:rPr>
          <w:rFonts w:ascii="Cambria" w:eastAsia="Times New Roman" w:hAnsi="Cambria" w:cstheme="minorHAnsi"/>
          <w:spacing w:val="-1"/>
        </w:rPr>
        <w:t>’</w:t>
      </w:r>
      <w:r w:rsidRPr="009A0DA6">
        <w:rPr>
          <w:rFonts w:ascii="Cambria" w:eastAsia="Times New Roman" w:hAnsi="Cambria" w:cstheme="minorHAnsi"/>
        </w:rPr>
        <w:t>s</w:t>
      </w:r>
      <w:r w:rsidRPr="009A0DA6">
        <w:rPr>
          <w:rFonts w:ascii="Cambria" w:eastAsia="Times New Roman" w:hAnsi="Cambria" w:cstheme="minorHAnsi"/>
          <w:spacing w:val="2"/>
        </w:rPr>
        <w:t xml:space="preserve"> </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1"/>
        </w:rPr>
        <w:t>por</w:t>
      </w:r>
      <w:r w:rsidRPr="009A0DA6">
        <w:rPr>
          <w:rFonts w:ascii="Cambria" w:eastAsia="Times New Roman" w:hAnsi="Cambria" w:cstheme="minorHAnsi"/>
        </w:rPr>
        <w:t>t</w:t>
      </w:r>
      <w:r w:rsidRPr="009A0DA6">
        <w:rPr>
          <w:rFonts w:ascii="Cambria" w:eastAsia="Times New Roman" w:hAnsi="Cambria" w:cstheme="minorHAnsi"/>
          <w:spacing w:val="5"/>
        </w:rPr>
        <w:t xml:space="preserve"> </w:t>
      </w:r>
      <w:r w:rsidRPr="009A0DA6">
        <w:rPr>
          <w:rFonts w:ascii="Cambria" w:eastAsia="Times New Roman" w:hAnsi="Cambria" w:cstheme="minorHAnsi"/>
        </w:rPr>
        <w:t>to</w:t>
      </w:r>
      <w:r w:rsidRPr="009A0DA6">
        <w:rPr>
          <w:rFonts w:ascii="Cambria" w:eastAsia="Times New Roman" w:hAnsi="Cambria" w:cstheme="minorHAnsi"/>
          <w:spacing w:val="9"/>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10"/>
        </w:rPr>
        <w:t xml:space="preserve"> </w:t>
      </w:r>
      <w:r w:rsidRPr="009A0DA6">
        <w:rPr>
          <w:rFonts w:ascii="Cambria" w:eastAsia="Times New Roman" w:hAnsi="Cambria" w:cstheme="minorHAnsi"/>
          <w:spacing w:val="1"/>
        </w:rPr>
        <w:t>r</w:t>
      </w:r>
      <w:r w:rsidRPr="009A0DA6">
        <w:rPr>
          <w:rFonts w:ascii="Cambria" w:eastAsia="Times New Roman" w:hAnsi="Cambria" w:cstheme="minorHAnsi"/>
        </w:rPr>
        <w:t>ela</w:t>
      </w:r>
      <w:r w:rsidRPr="009A0DA6">
        <w:rPr>
          <w:rFonts w:ascii="Cambria" w:eastAsia="Times New Roman" w:hAnsi="Cambria" w:cstheme="minorHAnsi"/>
          <w:spacing w:val="2"/>
        </w:rPr>
        <w:t>t</w:t>
      </w:r>
      <w:r w:rsidRPr="009A0DA6">
        <w:rPr>
          <w:rFonts w:ascii="Cambria" w:eastAsia="Times New Roman" w:hAnsi="Cambria" w:cstheme="minorHAnsi"/>
        </w:rPr>
        <w:t>ed</w:t>
      </w:r>
      <w:r w:rsidRPr="009A0DA6">
        <w:rPr>
          <w:rFonts w:ascii="Cambria" w:eastAsia="Times New Roman" w:hAnsi="Cambria" w:cstheme="minorHAnsi"/>
          <w:spacing w:val="5"/>
        </w:rPr>
        <w:t xml:space="preserve"> </w:t>
      </w:r>
      <w:r w:rsidRPr="009A0DA6">
        <w:rPr>
          <w:rFonts w:ascii="Cambria" w:eastAsia="Times New Roman" w:hAnsi="Cambria" w:cstheme="minorHAnsi"/>
          <w:spacing w:val="1"/>
        </w:rPr>
        <w:t>d</w:t>
      </w:r>
      <w:r w:rsidRPr="009A0DA6">
        <w:rPr>
          <w:rFonts w:ascii="Cambria" w:eastAsia="Times New Roman" w:hAnsi="Cambria" w:cstheme="minorHAnsi"/>
        </w:rPr>
        <w:t>i</w:t>
      </w:r>
      <w:r w:rsidRPr="009A0DA6">
        <w:rPr>
          <w:rFonts w:ascii="Cambria" w:eastAsia="Times New Roman" w:hAnsi="Cambria" w:cstheme="minorHAnsi"/>
          <w:spacing w:val="-1"/>
        </w:rPr>
        <w:t>s</w:t>
      </w:r>
      <w:r w:rsidRPr="009A0DA6">
        <w:rPr>
          <w:rFonts w:ascii="Cambria" w:eastAsia="Times New Roman" w:hAnsi="Cambria" w:cstheme="minorHAnsi"/>
        </w:rPr>
        <w:t>cl</w:t>
      </w:r>
      <w:r w:rsidRPr="009A0DA6">
        <w:rPr>
          <w:rFonts w:ascii="Cambria" w:eastAsia="Times New Roman" w:hAnsi="Cambria" w:cstheme="minorHAnsi"/>
          <w:spacing w:val="1"/>
        </w:rPr>
        <w:t>o</w:t>
      </w:r>
      <w:r w:rsidRPr="009A0DA6">
        <w:rPr>
          <w:rFonts w:ascii="Cambria" w:eastAsia="Times New Roman" w:hAnsi="Cambria" w:cstheme="minorHAnsi"/>
          <w:spacing w:val="-1"/>
        </w:rPr>
        <w:t>su</w:t>
      </w:r>
      <w:r w:rsidRPr="009A0DA6">
        <w:rPr>
          <w:rFonts w:ascii="Cambria" w:eastAsia="Times New Roman" w:hAnsi="Cambria" w:cstheme="minorHAnsi"/>
          <w:spacing w:val="1"/>
        </w:rPr>
        <w:t>r</w:t>
      </w:r>
      <w:r w:rsidRPr="009A0DA6">
        <w:rPr>
          <w:rFonts w:ascii="Cambria" w:eastAsia="Times New Roman" w:hAnsi="Cambria" w:cstheme="minorHAnsi"/>
        </w:rPr>
        <w:t>es</w:t>
      </w:r>
      <w:r w:rsidRPr="009A0DA6">
        <w:rPr>
          <w:rFonts w:ascii="Cambria" w:eastAsia="Times New Roman" w:hAnsi="Cambria" w:cstheme="minorHAnsi"/>
          <w:spacing w:val="3"/>
        </w:rPr>
        <w:t xml:space="preserve"> </w:t>
      </w:r>
      <w:r w:rsidRPr="009A0DA6">
        <w:rPr>
          <w:rFonts w:ascii="Cambria" w:eastAsia="Times New Roman" w:hAnsi="Cambria" w:cstheme="minorHAnsi"/>
        </w:rPr>
        <w:t>in</w:t>
      </w:r>
      <w:r w:rsidRPr="009A0DA6">
        <w:rPr>
          <w:rFonts w:ascii="Cambria" w:eastAsia="Times New Roman" w:hAnsi="Cambria" w:cstheme="minorHAnsi"/>
          <w:spacing w:val="9"/>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10"/>
        </w:rPr>
        <w:t xml:space="preserve"> </w:t>
      </w:r>
      <w:r w:rsidRPr="009A0DA6">
        <w:rPr>
          <w:rFonts w:ascii="Cambria" w:eastAsia="Times New Roman" w:hAnsi="Cambria" w:cstheme="minorHAnsi"/>
          <w:spacing w:val="-1"/>
        </w:rPr>
        <w:t>f</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spacing w:val="3"/>
        </w:rPr>
        <w:t>a</w:t>
      </w:r>
      <w:r w:rsidRPr="009A0DA6">
        <w:rPr>
          <w:rFonts w:ascii="Cambria" w:eastAsia="Times New Roman" w:hAnsi="Cambria" w:cstheme="minorHAnsi"/>
          <w:spacing w:val="-1"/>
        </w:rPr>
        <w:t>n</w:t>
      </w:r>
      <w:r w:rsidRPr="009A0DA6">
        <w:rPr>
          <w:rFonts w:ascii="Cambria" w:eastAsia="Times New Roman" w:hAnsi="Cambria" w:cstheme="minorHAnsi"/>
          <w:spacing w:val="3"/>
        </w:rPr>
        <w:t>c</w:t>
      </w:r>
      <w:r w:rsidRPr="009A0DA6">
        <w:rPr>
          <w:rFonts w:ascii="Cambria" w:eastAsia="Times New Roman" w:hAnsi="Cambria" w:cstheme="minorHAnsi"/>
        </w:rPr>
        <w:t>ial</w:t>
      </w:r>
      <w:r w:rsidRPr="009A0DA6">
        <w:rPr>
          <w:rFonts w:ascii="Cambria" w:eastAsia="Times New Roman" w:hAnsi="Cambria" w:cstheme="minorHAnsi"/>
          <w:spacing w:val="3"/>
        </w:rPr>
        <w:t xml:space="preserve"> </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1"/>
        </w:rPr>
        <w:t>por</w:t>
      </w:r>
      <w:r w:rsidRPr="009A0DA6">
        <w:rPr>
          <w:rFonts w:ascii="Cambria" w:eastAsia="Times New Roman" w:hAnsi="Cambria" w:cstheme="minorHAnsi"/>
        </w:rPr>
        <w:t>t</w:t>
      </w:r>
      <w:r w:rsidRPr="009A0DA6">
        <w:rPr>
          <w:rFonts w:ascii="Cambria" w:eastAsia="Times New Roman" w:hAnsi="Cambria" w:cstheme="minorHAnsi"/>
          <w:spacing w:val="5"/>
        </w:rPr>
        <w:t xml:space="preserve"> </w:t>
      </w:r>
      <w:r w:rsidRPr="009A0DA6">
        <w:rPr>
          <w:rFonts w:ascii="Cambria" w:eastAsia="Times New Roman" w:hAnsi="Cambria" w:cstheme="minorHAnsi"/>
          <w:spacing w:val="1"/>
        </w:rPr>
        <w:t>or</w:t>
      </w:r>
      <w:r w:rsidRPr="009A0DA6">
        <w:rPr>
          <w:rFonts w:ascii="Cambria" w:eastAsia="Times New Roman" w:hAnsi="Cambria" w:cstheme="minorHAnsi"/>
        </w:rPr>
        <w:t>,</w:t>
      </w:r>
      <w:r w:rsidRPr="009A0DA6">
        <w:rPr>
          <w:rFonts w:ascii="Cambria" w:eastAsia="Times New Roman" w:hAnsi="Cambria" w:cstheme="minorHAnsi"/>
          <w:spacing w:val="9"/>
        </w:rPr>
        <w:t xml:space="preserve"> </w:t>
      </w:r>
      <w:r w:rsidRPr="009A0DA6">
        <w:rPr>
          <w:rFonts w:ascii="Cambria" w:eastAsia="Times New Roman" w:hAnsi="Cambria" w:cstheme="minorHAnsi"/>
        </w:rPr>
        <w:t>if</w:t>
      </w:r>
      <w:r w:rsidRPr="009A0DA6">
        <w:rPr>
          <w:rFonts w:ascii="Cambria" w:eastAsia="Times New Roman" w:hAnsi="Cambria" w:cstheme="minorHAnsi"/>
          <w:spacing w:val="8"/>
        </w:rPr>
        <w:t xml:space="preserve"> </w:t>
      </w:r>
      <w:r w:rsidRPr="009A0DA6">
        <w:rPr>
          <w:rFonts w:ascii="Cambria" w:eastAsia="Times New Roman" w:hAnsi="Cambria" w:cstheme="minorHAnsi"/>
          <w:spacing w:val="-1"/>
        </w:rPr>
        <w:t>su</w:t>
      </w:r>
      <w:r w:rsidRPr="009A0DA6">
        <w:rPr>
          <w:rFonts w:ascii="Cambria" w:eastAsia="Times New Roman" w:hAnsi="Cambria" w:cstheme="minorHAnsi"/>
          <w:spacing w:val="3"/>
        </w:rPr>
        <w:t>c</w:t>
      </w:r>
      <w:r w:rsidRPr="009A0DA6">
        <w:rPr>
          <w:rFonts w:ascii="Cambria" w:eastAsia="Times New Roman" w:hAnsi="Cambria" w:cstheme="minorHAnsi"/>
        </w:rPr>
        <w:t>h</w:t>
      </w:r>
      <w:r w:rsidRPr="009A0DA6">
        <w:rPr>
          <w:rFonts w:ascii="Cambria" w:eastAsia="Times New Roman" w:hAnsi="Cambria" w:cstheme="minorHAnsi"/>
          <w:spacing w:val="5"/>
        </w:rPr>
        <w:t xml:space="preserve"> </w:t>
      </w:r>
      <w:r w:rsidRPr="009A0DA6">
        <w:rPr>
          <w:rFonts w:ascii="Cambria" w:eastAsia="Times New Roman" w:hAnsi="Cambria" w:cstheme="minorHAnsi"/>
          <w:spacing w:val="1"/>
        </w:rPr>
        <w:t>d</w:t>
      </w:r>
      <w:r w:rsidRPr="009A0DA6">
        <w:rPr>
          <w:rFonts w:ascii="Cambria" w:eastAsia="Times New Roman" w:hAnsi="Cambria" w:cstheme="minorHAnsi"/>
        </w:rPr>
        <w:t>i</w:t>
      </w:r>
      <w:r w:rsidRPr="009A0DA6">
        <w:rPr>
          <w:rFonts w:ascii="Cambria" w:eastAsia="Times New Roman" w:hAnsi="Cambria" w:cstheme="minorHAnsi"/>
          <w:spacing w:val="-1"/>
        </w:rPr>
        <w:t>s</w:t>
      </w:r>
      <w:r w:rsidRPr="009A0DA6">
        <w:rPr>
          <w:rFonts w:ascii="Cambria" w:eastAsia="Times New Roman" w:hAnsi="Cambria" w:cstheme="minorHAnsi"/>
          <w:spacing w:val="3"/>
        </w:rPr>
        <w:t>c</w:t>
      </w:r>
      <w:r w:rsidRPr="009A0DA6">
        <w:rPr>
          <w:rFonts w:ascii="Cambria" w:eastAsia="Times New Roman" w:hAnsi="Cambria" w:cstheme="minorHAnsi"/>
        </w:rPr>
        <w:t>l</w:t>
      </w:r>
      <w:r w:rsidRPr="009A0DA6">
        <w:rPr>
          <w:rFonts w:ascii="Cambria" w:eastAsia="Times New Roman" w:hAnsi="Cambria" w:cstheme="minorHAnsi"/>
          <w:spacing w:val="1"/>
        </w:rPr>
        <w:t>o</w:t>
      </w:r>
      <w:r w:rsidRPr="009A0DA6">
        <w:rPr>
          <w:rFonts w:ascii="Cambria" w:eastAsia="Times New Roman" w:hAnsi="Cambria" w:cstheme="minorHAnsi"/>
          <w:spacing w:val="-1"/>
        </w:rPr>
        <w:t>su</w:t>
      </w:r>
      <w:r w:rsidRPr="009A0DA6">
        <w:rPr>
          <w:rFonts w:ascii="Cambria" w:eastAsia="Times New Roman" w:hAnsi="Cambria" w:cstheme="minorHAnsi"/>
          <w:spacing w:val="1"/>
        </w:rPr>
        <w:t>r</w:t>
      </w:r>
      <w:r w:rsidRPr="009A0DA6">
        <w:rPr>
          <w:rFonts w:ascii="Cambria" w:eastAsia="Times New Roman" w:hAnsi="Cambria" w:cstheme="minorHAnsi"/>
        </w:rPr>
        <w:t>es a</w:t>
      </w:r>
      <w:r w:rsidRPr="009A0DA6">
        <w:rPr>
          <w:rFonts w:ascii="Cambria" w:eastAsia="Times New Roman" w:hAnsi="Cambria" w:cstheme="minorHAnsi"/>
          <w:spacing w:val="1"/>
        </w:rPr>
        <w:t>r</w:t>
      </w:r>
      <w:r w:rsidRPr="009A0DA6">
        <w:rPr>
          <w:rFonts w:ascii="Cambria" w:eastAsia="Times New Roman" w:hAnsi="Cambria" w:cstheme="minorHAnsi"/>
        </w:rPr>
        <w:t>e i</w:t>
      </w:r>
      <w:r w:rsidRPr="009A0DA6">
        <w:rPr>
          <w:rFonts w:ascii="Cambria" w:eastAsia="Times New Roman" w:hAnsi="Cambria" w:cstheme="minorHAnsi"/>
          <w:spacing w:val="-1"/>
        </w:rPr>
        <w:t>n</w:t>
      </w:r>
      <w:r w:rsidRPr="009A0DA6">
        <w:rPr>
          <w:rFonts w:ascii="Cambria" w:eastAsia="Times New Roman" w:hAnsi="Cambria" w:cstheme="minorHAnsi"/>
        </w:rPr>
        <w:t>a</w:t>
      </w:r>
      <w:r w:rsidRPr="009A0DA6">
        <w:rPr>
          <w:rFonts w:ascii="Cambria" w:eastAsia="Times New Roman" w:hAnsi="Cambria" w:cstheme="minorHAnsi"/>
          <w:spacing w:val="1"/>
        </w:rPr>
        <w:t>d</w:t>
      </w:r>
      <w:r w:rsidRPr="009A0DA6">
        <w:rPr>
          <w:rFonts w:ascii="Cambria" w:eastAsia="Times New Roman" w:hAnsi="Cambria" w:cstheme="minorHAnsi"/>
        </w:rPr>
        <w:t>e</w:t>
      </w:r>
      <w:r w:rsidRPr="009A0DA6">
        <w:rPr>
          <w:rFonts w:ascii="Cambria" w:eastAsia="Times New Roman" w:hAnsi="Cambria" w:cstheme="minorHAnsi"/>
          <w:spacing w:val="1"/>
        </w:rPr>
        <w:t>q</w:t>
      </w:r>
      <w:r w:rsidRPr="009A0DA6">
        <w:rPr>
          <w:rFonts w:ascii="Cambria" w:eastAsia="Times New Roman" w:hAnsi="Cambria" w:cstheme="minorHAnsi"/>
          <w:spacing w:val="-1"/>
        </w:rPr>
        <w:t>u</w:t>
      </w:r>
      <w:r w:rsidRPr="009A0DA6">
        <w:rPr>
          <w:rFonts w:ascii="Cambria" w:eastAsia="Times New Roman" w:hAnsi="Cambria" w:cstheme="minorHAnsi"/>
        </w:rPr>
        <w:t>ate,</w:t>
      </w:r>
      <w:r w:rsidRPr="009A0DA6">
        <w:rPr>
          <w:rFonts w:ascii="Cambria" w:eastAsia="Times New Roman" w:hAnsi="Cambria" w:cstheme="minorHAnsi"/>
          <w:spacing w:val="-3"/>
        </w:rPr>
        <w:t xml:space="preserve"> </w:t>
      </w:r>
      <w:r w:rsidRPr="009A0DA6">
        <w:rPr>
          <w:rFonts w:ascii="Cambria" w:eastAsia="Times New Roman" w:hAnsi="Cambria" w:cstheme="minorHAnsi"/>
        </w:rPr>
        <w:t>to</w:t>
      </w:r>
      <w:r w:rsidRPr="009A0DA6">
        <w:rPr>
          <w:rFonts w:ascii="Cambria" w:eastAsia="Times New Roman" w:hAnsi="Cambria" w:cstheme="minorHAnsi"/>
          <w:spacing w:val="7"/>
        </w:rPr>
        <w:t xml:space="preserve"> </w:t>
      </w:r>
      <w:r w:rsidRPr="009A0DA6">
        <w:rPr>
          <w:rFonts w:ascii="Cambria" w:eastAsia="Times New Roman" w:hAnsi="Cambria" w:cstheme="minorHAnsi"/>
          <w:spacing w:val="-4"/>
        </w:rPr>
        <w:t>m</w:t>
      </w:r>
      <w:r w:rsidRPr="009A0DA6">
        <w:rPr>
          <w:rFonts w:ascii="Cambria" w:eastAsia="Times New Roman" w:hAnsi="Cambria" w:cstheme="minorHAnsi"/>
          <w:spacing w:val="1"/>
        </w:rPr>
        <w:t>od</w:t>
      </w:r>
      <w:r w:rsidRPr="009A0DA6">
        <w:rPr>
          <w:rFonts w:ascii="Cambria" w:eastAsia="Times New Roman" w:hAnsi="Cambria" w:cstheme="minorHAnsi"/>
        </w:rPr>
        <w:t>i</w:t>
      </w:r>
      <w:r w:rsidRPr="009A0DA6">
        <w:rPr>
          <w:rFonts w:ascii="Cambria" w:eastAsia="Times New Roman" w:hAnsi="Cambria" w:cstheme="minorHAnsi"/>
          <w:spacing w:val="1"/>
        </w:rPr>
        <w:t>f</w:t>
      </w:r>
      <w:r w:rsidRPr="009A0DA6">
        <w:rPr>
          <w:rFonts w:ascii="Cambria" w:eastAsia="Times New Roman" w:hAnsi="Cambria" w:cstheme="minorHAnsi"/>
        </w:rPr>
        <w:t>y</w:t>
      </w:r>
      <w:r w:rsidRPr="009A0DA6">
        <w:rPr>
          <w:rFonts w:ascii="Cambria" w:eastAsia="Times New Roman" w:hAnsi="Cambria" w:cstheme="minorHAnsi"/>
          <w:spacing w:val="-2"/>
        </w:rPr>
        <w:t xml:space="preserve"> </w:t>
      </w:r>
      <w:r w:rsidRPr="009A0DA6">
        <w:rPr>
          <w:rFonts w:ascii="Cambria" w:eastAsia="Times New Roman" w:hAnsi="Cambria" w:cstheme="minorHAnsi"/>
          <w:spacing w:val="1"/>
        </w:rPr>
        <w:t>o</w:t>
      </w:r>
      <w:r w:rsidRPr="009A0DA6">
        <w:rPr>
          <w:rFonts w:ascii="Cambria" w:eastAsia="Times New Roman" w:hAnsi="Cambria" w:cstheme="minorHAnsi"/>
          <w:spacing w:val="-1"/>
        </w:rPr>
        <w:t>u</w:t>
      </w:r>
      <w:r w:rsidRPr="009A0DA6">
        <w:rPr>
          <w:rFonts w:ascii="Cambria" w:eastAsia="Times New Roman" w:hAnsi="Cambria" w:cstheme="minorHAnsi"/>
        </w:rPr>
        <w:t>r</w:t>
      </w:r>
      <w:r w:rsidRPr="009A0DA6">
        <w:rPr>
          <w:rFonts w:ascii="Cambria" w:eastAsia="Times New Roman" w:hAnsi="Cambria" w:cstheme="minorHAnsi"/>
          <w:spacing w:val="3"/>
        </w:rPr>
        <w:t xml:space="preserve"> </w:t>
      </w:r>
      <w:r w:rsidRPr="009A0DA6">
        <w:rPr>
          <w:rFonts w:ascii="Cambria" w:eastAsia="Times New Roman" w:hAnsi="Cambria" w:cstheme="minorHAnsi"/>
          <w:spacing w:val="1"/>
        </w:rPr>
        <w:t>op</w:t>
      </w:r>
      <w:r w:rsidRPr="009A0DA6">
        <w:rPr>
          <w:rFonts w:ascii="Cambria" w:eastAsia="Times New Roman" w:hAnsi="Cambria" w:cstheme="minorHAnsi"/>
        </w:rPr>
        <w:t>i</w:t>
      </w:r>
      <w:r w:rsidRPr="009A0DA6">
        <w:rPr>
          <w:rFonts w:ascii="Cambria" w:eastAsia="Times New Roman" w:hAnsi="Cambria" w:cstheme="minorHAnsi"/>
          <w:spacing w:val="-1"/>
        </w:rPr>
        <w:t>n</w:t>
      </w:r>
      <w:r w:rsidRPr="009A0DA6">
        <w:rPr>
          <w:rFonts w:ascii="Cambria" w:eastAsia="Times New Roman" w:hAnsi="Cambria" w:cstheme="minorHAnsi"/>
        </w:rPr>
        <w:t>i</w:t>
      </w:r>
      <w:r w:rsidRPr="009A0DA6">
        <w:rPr>
          <w:rFonts w:ascii="Cambria" w:eastAsia="Times New Roman" w:hAnsi="Cambria" w:cstheme="minorHAnsi"/>
          <w:spacing w:val="1"/>
        </w:rPr>
        <w:t>o</w:t>
      </w:r>
      <w:r w:rsidRPr="009A0DA6">
        <w:rPr>
          <w:rFonts w:ascii="Cambria" w:eastAsia="Times New Roman" w:hAnsi="Cambria" w:cstheme="minorHAnsi"/>
          <w:spacing w:val="-1"/>
        </w:rPr>
        <w:t>n</w:t>
      </w:r>
      <w:r w:rsidRPr="009A0DA6">
        <w:rPr>
          <w:rFonts w:ascii="Cambria" w:eastAsia="Times New Roman" w:hAnsi="Cambria" w:cstheme="minorHAnsi"/>
        </w:rPr>
        <w:t>.</w:t>
      </w:r>
      <w:r w:rsidRPr="009A0DA6">
        <w:rPr>
          <w:rFonts w:ascii="Cambria" w:eastAsia="Times New Roman" w:hAnsi="Cambria" w:cstheme="minorHAnsi"/>
          <w:spacing w:val="-1"/>
        </w:rPr>
        <w:t xml:space="preserve"> </w:t>
      </w:r>
      <w:r w:rsidRPr="009A0DA6">
        <w:rPr>
          <w:rFonts w:ascii="Cambria" w:eastAsia="Times New Roman" w:hAnsi="Cambria" w:cstheme="minorHAnsi"/>
          <w:spacing w:val="3"/>
        </w:rPr>
        <w:t>O</w:t>
      </w:r>
      <w:r w:rsidRPr="009A0DA6">
        <w:rPr>
          <w:rFonts w:ascii="Cambria" w:eastAsia="Times New Roman" w:hAnsi="Cambria" w:cstheme="minorHAnsi"/>
          <w:spacing w:val="-1"/>
        </w:rPr>
        <w:t>u</w:t>
      </w:r>
      <w:r w:rsidRPr="009A0DA6">
        <w:rPr>
          <w:rFonts w:ascii="Cambria" w:eastAsia="Times New Roman" w:hAnsi="Cambria" w:cstheme="minorHAnsi"/>
        </w:rPr>
        <w:t>r</w:t>
      </w:r>
      <w:r w:rsidRPr="009A0DA6">
        <w:rPr>
          <w:rFonts w:ascii="Cambria" w:eastAsia="Times New Roman" w:hAnsi="Cambria" w:cstheme="minorHAnsi"/>
          <w:spacing w:val="3"/>
        </w:rPr>
        <w:t xml:space="preserve"> </w:t>
      </w:r>
      <w:r w:rsidRPr="009A0DA6">
        <w:rPr>
          <w:rFonts w:ascii="Cambria" w:eastAsia="Times New Roman" w:hAnsi="Cambria" w:cstheme="minorHAnsi"/>
        </w:rPr>
        <w:t>c</w:t>
      </w:r>
      <w:r w:rsidRPr="009A0DA6">
        <w:rPr>
          <w:rFonts w:ascii="Cambria" w:eastAsia="Times New Roman" w:hAnsi="Cambria" w:cstheme="minorHAnsi"/>
          <w:spacing w:val="1"/>
        </w:rPr>
        <w:t>o</w:t>
      </w:r>
      <w:r w:rsidRPr="009A0DA6">
        <w:rPr>
          <w:rFonts w:ascii="Cambria" w:eastAsia="Times New Roman" w:hAnsi="Cambria" w:cstheme="minorHAnsi"/>
          <w:spacing w:val="-1"/>
        </w:rPr>
        <w:t>n</w:t>
      </w:r>
      <w:r w:rsidRPr="009A0DA6">
        <w:rPr>
          <w:rFonts w:ascii="Cambria" w:eastAsia="Times New Roman" w:hAnsi="Cambria" w:cstheme="minorHAnsi"/>
        </w:rPr>
        <w:t>c</w:t>
      </w:r>
      <w:r w:rsidRPr="009A0DA6">
        <w:rPr>
          <w:rFonts w:ascii="Cambria" w:eastAsia="Times New Roman" w:hAnsi="Cambria" w:cstheme="minorHAnsi"/>
          <w:spacing w:val="2"/>
        </w:rPr>
        <w:t>l</w:t>
      </w:r>
      <w:r w:rsidRPr="009A0DA6">
        <w:rPr>
          <w:rFonts w:ascii="Cambria" w:eastAsia="Times New Roman" w:hAnsi="Cambria" w:cstheme="minorHAnsi"/>
          <w:spacing w:val="-1"/>
        </w:rPr>
        <w:t>us</w:t>
      </w:r>
      <w:r w:rsidRPr="009A0DA6">
        <w:rPr>
          <w:rFonts w:ascii="Cambria" w:eastAsia="Times New Roman" w:hAnsi="Cambria" w:cstheme="minorHAnsi"/>
        </w:rPr>
        <w:t>i</w:t>
      </w:r>
      <w:r w:rsidRPr="009A0DA6">
        <w:rPr>
          <w:rFonts w:ascii="Cambria" w:eastAsia="Times New Roman" w:hAnsi="Cambria" w:cstheme="minorHAnsi"/>
          <w:spacing w:val="1"/>
        </w:rPr>
        <w:t>on</w:t>
      </w:r>
      <w:r w:rsidRPr="009A0DA6">
        <w:rPr>
          <w:rFonts w:ascii="Cambria" w:eastAsia="Times New Roman" w:hAnsi="Cambria" w:cstheme="minorHAnsi"/>
        </w:rPr>
        <w:t>s</w:t>
      </w:r>
      <w:r w:rsidRPr="009A0DA6">
        <w:rPr>
          <w:rFonts w:ascii="Cambria" w:eastAsia="Times New Roman" w:hAnsi="Cambria" w:cstheme="minorHAnsi"/>
          <w:spacing w:val="-4"/>
        </w:rPr>
        <w:t xml:space="preserve"> </w:t>
      </w:r>
      <w:r w:rsidRPr="009A0DA6">
        <w:rPr>
          <w:rFonts w:ascii="Cambria" w:eastAsia="Times New Roman" w:hAnsi="Cambria" w:cstheme="minorHAnsi"/>
        </w:rPr>
        <w:t>a</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4"/>
        </w:rPr>
        <w:t xml:space="preserve"> </w:t>
      </w:r>
      <w:r w:rsidRPr="009A0DA6">
        <w:rPr>
          <w:rFonts w:ascii="Cambria" w:eastAsia="Times New Roman" w:hAnsi="Cambria" w:cstheme="minorHAnsi"/>
          <w:spacing w:val="1"/>
        </w:rPr>
        <w:t>b</w:t>
      </w:r>
      <w:r w:rsidRPr="009A0DA6">
        <w:rPr>
          <w:rFonts w:ascii="Cambria" w:eastAsia="Times New Roman" w:hAnsi="Cambria" w:cstheme="minorHAnsi"/>
        </w:rPr>
        <w:t>a</w:t>
      </w:r>
      <w:r w:rsidRPr="009A0DA6">
        <w:rPr>
          <w:rFonts w:ascii="Cambria" w:eastAsia="Times New Roman" w:hAnsi="Cambria" w:cstheme="minorHAnsi"/>
          <w:spacing w:val="-1"/>
        </w:rPr>
        <w:t>s</w:t>
      </w:r>
      <w:r w:rsidRPr="009A0DA6">
        <w:rPr>
          <w:rFonts w:ascii="Cambria" w:eastAsia="Times New Roman" w:hAnsi="Cambria" w:cstheme="minorHAnsi"/>
        </w:rPr>
        <w:t>ed</w:t>
      </w:r>
      <w:r w:rsidRPr="009A0DA6">
        <w:rPr>
          <w:rFonts w:ascii="Cambria" w:eastAsia="Times New Roman" w:hAnsi="Cambria" w:cstheme="minorHAnsi"/>
          <w:spacing w:val="1"/>
        </w:rPr>
        <w:t xml:space="preserve"> o</w:t>
      </w:r>
      <w:r w:rsidRPr="009A0DA6">
        <w:rPr>
          <w:rFonts w:ascii="Cambria" w:eastAsia="Times New Roman" w:hAnsi="Cambria" w:cstheme="minorHAnsi"/>
        </w:rPr>
        <w:t>n</w:t>
      </w:r>
      <w:r w:rsidRPr="009A0DA6">
        <w:rPr>
          <w:rFonts w:ascii="Cambria" w:eastAsia="Times New Roman" w:hAnsi="Cambria" w:cstheme="minorHAnsi"/>
          <w:spacing w:val="2"/>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4"/>
        </w:rPr>
        <w:t xml:space="preserve"> </w:t>
      </w:r>
      <w:r w:rsidRPr="009A0DA6">
        <w:rPr>
          <w:rFonts w:ascii="Cambria" w:eastAsia="Times New Roman" w:hAnsi="Cambria" w:cstheme="minorHAnsi"/>
        </w:rPr>
        <w:t>a</w:t>
      </w:r>
      <w:r w:rsidRPr="009A0DA6">
        <w:rPr>
          <w:rFonts w:ascii="Cambria" w:eastAsia="Times New Roman" w:hAnsi="Cambria" w:cstheme="minorHAnsi"/>
          <w:spacing w:val="-1"/>
        </w:rPr>
        <w:t>u</w:t>
      </w:r>
      <w:r w:rsidRPr="009A0DA6">
        <w:rPr>
          <w:rFonts w:ascii="Cambria" w:eastAsia="Times New Roman" w:hAnsi="Cambria" w:cstheme="minorHAnsi"/>
          <w:spacing w:val="1"/>
        </w:rPr>
        <w:t>d</w:t>
      </w:r>
      <w:r w:rsidRPr="009A0DA6">
        <w:rPr>
          <w:rFonts w:ascii="Cambria" w:eastAsia="Times New Roman" w:hAnsi="Cambria" w:cstheme="minorHAnsi"/>
        </w:rPr>
        <w:t>it</w:t>
      </w:r>
      <w:r w:rsidRPr="009A0DA6">
        <w:rPr>
          <w:rFonts w:ascii="Cambria" w:eastAsia="Times New Roman" w:hAnsi="Cambria" w:cstheme="minorHAnsi"/>
          <w:spacing w:val="1"/>
        </w:rPr>
        <w:t xml:space="preserve"> </w:t>
      </w:r>
      <w:r w:rsidRPr="009A0DA6">
        <w:rPr>
          <w:rFonts w:ascii="Cambria" w:eastAsia="Times New Roman" w:hAnsi="Cambria" w:cstheme="minorHAnsi"/>
          <w:spacing w:val="3"/>
        </w:rPr>
        <w:t>e</w:t>
      </w:r>
      <w:r w:rsidRPr="009A0DA6">
        <w:rPr>
          <w:rFonts w:ascii="Cambria" w:eastAsia="Times New Roman" w:hAnsi="Cambria" w:cstheme="minorHAnsi"/>
          <w:spacing w:val="-1"/>
        </w:rPr>
        <w:t>v</w:t>
      </w:r>
      <w:r w:rsidRPr="009A0DA6">
        <w:rPr>
          <w:rFonts w:ascii="Cambria" w:eastAsia="Times New Roman" w:hAnsi="Cambria" w:cstheme="minorHAnsi"/>
        </w:rPr>
        <w:t>i</w:t>
      </w:r>
      <w:r w:rsidRPr="009A0DA6">
        <w:rPr>
          <w:rFonts w:ascii="Cambria" w:eastAsia="Times New Roman" w:hAnsi="Cambria" w:cstheme="minorHAnsi"/>
          <w:spacing w:val="1"/>
        </w:rPr>
        <w:t>d</w:t>
      </w:r>
      <w:r w:rsidRPr="009A0DA6">
        <w:rPr>
          <w:rFonts w:ascii="Cambria" w:eastAsia="Times New Roman" w:hAnsi="Cambria" w:cstheme="minorHAnsi"/>
        </w:rPr>
        <w:t>e</w:t>
      </w:r>
      <w:r w:rsidRPr="009A0DA6">
        <w:rPr>
          <w:rFonts w:ascii="Cambria" w:eastAsia="Times New Roman" w:hAnsi="Cambria" w:cstheme="minorHAnsi"/>
          <w:spacing w:val="-1"/>
        </w:rPr>
        <w:t>n</w:t>
      </w:r>
      <w:r w:rsidRPr="009A0DA6">
        <w:rPr>
          <w:rFonts w:ascii="Cambria" w:eastAsia="Times New Roman" w:hAnsi="Cambria" w:cstheme="minorHAnsi"/>
        </w:rPr>
        <w:t>ce</w:t>
      </w:r>
      <w:r w:rsidRPr="009A0DA6">
        <w:rPr>
          <w:rFonts w:ascii="Cambria" w:eastAsia="Times New Roman" w:hAnsi="Cambria" w:cstheme="minorHAnsi"/>
          <w:spacing w:val="-1"/>
        </w:rPr>
        <w:t xml:space="preserve"> </w:t>
      </w:r>
      <w:r w:rsidRPr="009A0DA6">
        <w:rPr>
          <w:rFonts w:ascii="Cambria" w:eastAsia="Times New Roman" w:hAnsi="Cambria" w:cstheme="minorHAnsi"/>
          <w:spacing w:val="1"/>
        </w:rPr>
        <w:t>ob</w:t>
      </w:r>
      <w:r w:rsidRPr="009A0DA6">
        <w:rPr>
          <w:rFonts w:ascii="Cambria" w:eastAsia="Times New Roman" w:hAnsi="Cambria" w:cstheme="minorHAnsi"/>
        </w:rPr>
        <w:t>ta</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rPr>
        <w:t>ed</w:t>
      </w:r>
      <w:r w:rsidRPr="009A0DA6">
        <w:rPr>
          <w:rFonts w:ascii="Cambria" w:eastAsia="Times New Roman" w:hAnsi="Cambria" w:cstheme="minorHAnsi"/>
          <w:spacing w:val="-1"/>
        </w:rPr>
        <w:t xml:space="preserve"> u</w:t>
      </w:r>
      <w:r w:rsidRPr="009A0DA6">
        <w:rPr>
          <w:rFonts w:ascii="Cambria" w:eastAsia="Times New Roman" w:hAnsi="Cambria" w:cstheme="minorHAnsi"/>
        </w:rPr>
        <w:t>p</w:t>
      </w:r>
      <w:r w:rsidRPr="009A0DA6">
        <w:rPr>
          <w:rFonts w:ascii="Cambria" w:eastAsia="Times New Roman" w:hAnsi="Cambria" w:cstheme="minorHAnsi"/>
          <w:spacing w:val="4"/>
        </w:rPr>
        <w:t xml:space="preserve"> </w:t>
      </w:r>
      <w:r w:rsidRPr="009A0DA6">
        <w:rPr>
          <w:rFonts w:ascii="Cambria" w:eastAsia="Times New Roman" w:hAnsi="Cambria" w:cstheme="minorHAnsi"/>
        </w:rPr>
        <w:t>to 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1"/>
        </w:rPr>
        <w:t xml:space="preserve"> </w:t>
      </w:r>
      <w:r w:rsidRPr="009A0DA6">
        <w:rPr>
          <w:rFonts w:ascii="Cambria" w:eastAsia="Times New Roman" w:hAnsi="Cambria" w:cstheme="minorHAnsi"/>
          <w:spacing w:val="1"/>
        </w:rPr>
        <w:t>d</w:t>
      </w:r>
      <w:r w:rsidRPr="009A0DA6">
        <w:rPr>
          <w:rFonts w:ascii="Cambria" w:eastAsia="Times New Roman" w:hAnsi="Cambria" w:cstheme="minorHAnsi"/>
        </w:rPr>
        <w:t>ate</w:t>
      </w:r>
      <w:r w:rsidRPr="009A0DA6">
        <w:rPr>
          <w:rFonts w:ascii="Cambria" w:eastAsia="Times New Roman" w:hAnsi="Cambria" w:cstheme="minorHAnsi"/>
          <w:spacing w:val="-2"/>
        </w:rPr>
        <w:t xml:space="preserve"> </w:t>
      </w:r>
      <w:r w:rsidRPr="009A0DA6">
        <w:rPr>
          <w:rFonts w:ascii="Cambria" w:eastAsia="Times New Roman" w:hAnsi="Cambria" w:cstheme="minorHAnsi"/>
          <w:spacing w:val="1"/>
        </w:rPr>
        <w:t>o</w:t>
      </w:r>
      <w:r w:rsidRPr="009A0DA6">
        <w:rPr>
          <w:rFonts w:ascii="Cambria" w:eastAsia="Times New Roman" w:hAnsi="Cambria" w:cstheme="minorHAnsi"/>
        </w:rPr>
        <w:t>f</w:t>
      </w:r>
      <w:r w:rsidRPr="009A0DA6">
        <w:rPr>
          <w:rFonts w:ascii="Cambria" w:eastAsia="Times New Roman" w:hAnsi="Cambria" w:cstheme="minorHAnsi"/>
          <w:spacing w:val="-3"/>
        </w:rPr>
        <w:t xml:space="preserve"> </w:t>
      </w:r>
      <w:r w:rsidRPr="009A0DA6">
        <w:rPr>
          <w:rFonts w:ascii="Cambria" w:eastAsia="Times New Roman" w:hAnsi="Cambria" w:cstheme="minorHAnsi"/>
          <w:spacing w:val="1"/>
        </w:rPr>
        <w:t>o</w:t>
      </w:r>
      <w:r w:rsidRPr="009A0DA6">
        <w:rPr>
          <w:rFonts w:ascii="Cambria" w:eastAsia="Times New Roman" w:hAnsi="Cambria" w:cstheme="minorHAnsi"/>
          <w:spacing w:val="-1"/>
        </w:rPr>
        <w:t>u</w:t>
      </w:r>
      <w:r w:rsidRPr="009A0DA6">
        <w:rPr>
          <w:rFonts w:ascii="Cambria" w:eastAsia="Times New Roman" w:hAnsi="Cambria" w:cstheme="minorHAnsi"/>
        </w:rPr>
        <w:t>r</w:t>
      </w:r>
      <w:r w:rsidRPr="009A0DA6">
        <w:rPr>
          <w:rFonts w:ascii="Cambria" w:eastAsia="Times New Roman" w:hAnsi="Cambria" w:cstheme="minorHAnsi"/>
          <w:spacing w:val="-2"/>
        </w:rPr>
        <w:t xml:space="preserve"> </w:t>
      </w:r>
      <w:r w:rsidRPr="009A0DA6">
        <w:rPr>
          <w:rFonts w:ascii="Cambria" w:eastAsia="Times New Roman" w:hAnsi="Cambria" w:cstheme="minorHAnsi"/>
        </w:rPr>
        <w:t>a</w:t>
      </w:r>
      <w:r w:rsidRPr="009A0DA6">
        <w:rPr>
          <w:rFonts w:ascii="Cambria" w:eastAsia="Times New Roman" w:hAnsi="Cambria" w:cstheme="minorHAnsi"/>
          <w:spacing w:val="-1"/>
        </w:rPr>
        <w:t>u</w:t>
      </w:r>
      <w:r w:rsidRPr="009A0DA6">
        <w:rPr>
          <w:rFonts w:ascii="Cambria" w:eastAsia="Times New Roman" w:hAnsi="Cambria" w:cstheme="minorHAnsi"/>
          <w:spacing w:val="1"/>
        </w:rPr>
        <w:t>d</w:t>
      </w:r>
      <w:r w:rsidRPr="009A0DA6">
        <w:rPr>
          <w:rFonts w:ascii="Cambria" w:eastAsia="Times New Roman" w:hAnsi="Cambria" w:cstheme="minorHAnsi"/>
        </w:rPr>
        <w:t>it</w:t>
      </w:r>
      <w:r w:rsidRPr="009A0DA6">
        <w:rPr>
          <w:rFonts w:ascii="Cambria" w:eastAsia="Times New Roman" w:hAnsi="Cambria" w:cstheme="minorHAnsi"/>
          <w:spacing w:val="1"/>
        </w:rPr>
        <w:t>or’</w:t>
      </w:r>
      <w:r w:rsidRPr="009A0DA6">
        <w:rPr>
          <w:rFonts w:ascii="Cambria" w:eastAsia="Times New Roman" w:hAnsi="Cambria" w:cstheme="minorHAnsi"/>
        </w:rPr>
        <w:t>s</w:t>
      </w:r>
      <w:r w:rsidRPr="009A0DA6">
        <w:rPr>
          <w:rFonts w:ascii="Cambria" w:eastAsia="Times New Roman" w:hAnsi="Cambria" w:cstheme="minorHAnsi"/>
          <w:spacing w:val="-7"/>
        </w:rPr>
        <w:t xml:space="preserve"> </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1"/>
        </w:rPr>
        <w:t>por</w:t>
      </w:r>
      <w:r w:rsidRPr="009A0DA6">
        <w:rPr>
          <w:rFonts w:ascii="Cambria" w:eastAsia="Times New Roman" w:hAnsi="Cambria" w:cstheme="minorHAnsi"/>
        </w:rPr>
        <w:t>t.</w:t>
      </w:r>
      <w:r w:rsidRPr="009A0DA6">
        <w:rPr>
          <w:rFonts w:ascii="Cambria" w:eastAsia="Times New Roman" w:hAnsi="Cambria" w:cstheme="minorHAnsi"/>
          <w:spacing w:val="46"/>
        </w:rPr>
        <w:t xml:space="preserve"> </w:t>
      </w:r>
      <w:r w:rsidRPr="009A0DA6">
        <w:rPr>
          <w:rFonts w:ascii="Cambria" w:eastAsia="Times New Roman" w:hAnsi="Cambria" w:cstheme="minorHAnsi"/>
        </w:rPr>
        <w:t>H</w:t>
      </w:r>
      <w:r w:rsidRPr="009A0DA6">
        <w:rPr>
          <w:rFonts w:ascii="Cambria" w:eastAsia="Times New Roman" w:hAnsi="Cambria" w:cstheme="minorHAnsi"/>
          <w:spacing w:val="4"/>
        </w:rPr>
        <w:t>o</w:t>
      </w:r>
      <w:r w:rsidRPr="009A0DA6">
        <w:rPr>
          <w:rFonts w:ascii="Cambria" w:eastAsia="Times New Roman" w:hAnsi="Cambria" w:cstheme="minorHAnsi"/>
          <w:spacing w:val="-5"/>
        </w:rPr>
        <w:t>w</w:t>
      </w:r>
      <w:r w:rsidRPr="009A0DA6">
        <w:rPr>
          <w:rFonts w:ascii="Cambria" w:eastAsia="Times New Roman" w:hAnsi="Cambria" w:cstheme="minorHAnsi"/>
        </w:rPr>
        <w:t>e</w:t>
      </w:r>
      <w:r w:rsidRPr="009A0DA6">
        <w:rPr>
          <w:rFonts w:ascii="Cambria" w:eastAsia="Times New Roman" w:hAnsi="Cambria" w:cstheme="minorHAnsi"/>
          <w:spacing w:val="-1"/>
        </w:rPr>
        <w:t>v</w:t>
      </w:r>
      <w:r w:rsidRPr="009A0DA6">
        <w:rPr>
          <w:rFonts w:ascii="Cambria" w:eastAsia="Times New Roman" w:hAnsi="Cambria" w:cstheme="minorHAnsi"/>
        </w:rPr>
        <w:t>e</w:t>
      </w:r>
      <w:r w:rsidRPr="009A0DA6">
        <w:rPr>
          <w:rFonts w:ascii="Cambria" w:eastAsia="Times New Roman" w:hAnsi="Cambria" w:cstheme="minorHAnsi"/>
          <w:spacing w:val="1"/>
        </w:rPr>
        <w:t>r</w:t>
      </w:r>
      <w:r w:rsidRPr="009A0DA6">
        <w:rPr>
          <w:rFonts w:ascii="Cambria" w:eastAsia="Times New Roman" w:hAnsi="Cambria" w:cstheme="minorHAnsi"/>
        </w:rPr>
        <w:t>,</w:t>
      </w:r>
      <w:r w:rsidRPr="009A0DA6">
        <w:rPr>
          <w:rFonts w:ascii="Cambria" w:eastAsia="Times New Roman" w:hAnsi="Cambria" w:cstheme="minorHAnsi"/>
          <w:spacing w:val="-5"/>
        </w:rPr>
        <w:t xml:space="preserve"> </w:t>
      </w:r>
      <w:r w:rsidRPr="009A0DA6">
        <w:rPr>
          <w:rFonts w:ascii="Cambria" w:eastAsia="Times New Roman" w:hAnsi="Cambria" w:cstheme="minorHAnsi"/>
          <w:spacing w:val="-1"/>
        </w:rPr>
        <w:t>fu</w:t>
      </w:r>
      <w:r w:rsidRPr="009A0DA6">
        <w:rPr>
          <w:rFonts w:ascii="Cambria" w:eastAsia="Times New Roman" w:hAnsi="Cambria" w:cstheme="minorHAnsi"/>
          <w:spacing w:val="2"/>
        </w:rPr>
        <w:t>t</w:t>
      </w:r>
      <w:r w:rsidRPr="009A0DA6">
        <w:rPr>
          <w:rFonts w:ascii="Cambria" w:eastAsia="Times New Roman" w:hAnsi="Cambria" w:cstheme="minorHAnsi"/>
          <w:spacing w:val="-1"/>
        </w:rPr>
        <w:t>u</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4"/>
        </w:rPr>
        <w:t xml:space="preserve"> </w:t>
      </w:r>
      <w:r w:rsidRPr="009A0DA6">
        <w:rPr>
          <w:rFonts w:ascii="Cambria" w:eastAsia="Times New Roman" w:hAnsi="Cambria" w:cstheme="minorHAnsi"/>
        </w:rPr>
        <w:t>e</w:t>
      </w:r>
      <w:r w:rsidRPr="009A0DA6">
        <w:rPr>
          <w:rFonts w:ascii="Cambria" w:eastAsia="Times New Roman" w:hAnsi="Cambria" w:cstheme="minorHAnsi"/>
          <w:spacing w:val="-1"/>
        </w:rPr>
        <w:t>v</w:t>
      </w:r>
      <w:r w:rsidRPr="009A0DA6">
        <w:rPr>
          <w:rFonts w:ascii="Cambria" w:eastAsia="Times New Roman" w:hAnsi="Cambria" w:cstheme="minorHAnsi"/>
          <w:spacing w:val="3"/>
        </w:rPr>
        <w:t>e</w:t>
      </w:r>
      <w:r w:rsidRPr="009A0DA6">
        <w:rPr>
          <w:rFonts w:ascii="Cambria" w:eastAsia="Times New Roman" w:hAnsi="Cambria" w:cstheme="minorHAnsi"/>
          <w:spacing w:val="-1"/>
        </w:rPr>
        <w:t>n</w:t>
      </w:r>
      <w:r w:rsidRPr="009A0DA6">
        <w:rPr>
          <w:rFonts w:ascii="Cambria" w:eastAsia="Times New Roman" w:hAnsi="Cambria" w:cstheme="minorHAnsi"/>
          <w:spacing w:val="2"/>
        </w:rPr>
        <w:t>t</w:t>
      </w:r>
      <w:r w:rsidRPr="009A0DA6">
        <w:rPr>
          <w:rFonts w:ascii="Cambria" w:eastAsia="Times New Roman" w:hAnsi="Cambria" w:cstheme="minorHAnsi"/>
        </w:rPr>
        <w:t>s</w:t>
      </w:r>
      <w:r w:rsidRPr="009A0DA6">
        <w:rPr>
          <w:rFonts w:ascii="Cambria" w:eastAsia="Times New Roman" w:hAnsi="Cambria" w:cstheme="minorHAnsi"/>
          <w:spacing w:val="-5"/>
        </w:rPr>
        <w:t xml:space="preserve"> </w:t>
      </w:r>
      <w:r w:rsidRPr="009A0DA6">
        <w:rPr>
          <w:rFonts w:ascii="Cambria" w:eastAsia="Times New Roman" w:hAnsi="Cambria" w:cstheme="minorHAnsi"/>
          <w:spacing w:val="1"/>
        </w:rPr>
        <w:t>o</w:t>
      </w:r>
      <w:r w:rsidRPr="009A0DA6">
        <w:rPr>
          <w:rFonts w:ascii="Cambria" w:eastAsia="Times New Roman" w:hAnsi="Cambria" w:cstheme="minorHAnsi"/>
        </w:rPr>
        <w:t>r</w:t>
      </w:r>
      <w:r w:rsidRPr="009A0DA6">
        <w:rPr>
          <w:rFonts w:ascii="Cambria" w:eastAsia="Times New Roman" w:hAnsi="Cambria" w:cstheme="minorHAnsi"/>
          <w:spacing w:val="-1"/>
        </w:rPr>
        <w:t xml:space="preserve"> </w:t>
      </w:r>
      <w:r w:rsidRPr="009A0DA6">
        <w:rPr>
          <w:rFonts w:ascii="Cambria" w:eastAsia="Times New Roman" w:hAnsi="Cambria" w:cstheme="minorHAnsi"/>
        </w:rPr>
        <w:t>c</w:t>
      </w:r>
      <w:r w:rsidRPr="009A0DA6">
        <w:rPr>
          <w:rFonts w:ascii="Cambria" w:eastAsia="Times New Roman" w:hAnsi="Cambria" w:cstheme="minorHAnsi"/>
          <w:spacing w:val="1"/>
        </w:rPr>
        <w:t>o</w:t>
      </w:r>
      <w:r w:rsidRPr="009A0DA6">
        <w:rPr>
          <w:rFonts w:ascii="Cambria" w:eastAsia="Times New Roman" w:hAnsi="Cambria" w:cstheme="minorHAnsi"/>
          <w:spacing w:val="-1"/>
        </w:rPr>
        <w:t>n</w:t>
      </w:r>
      <w:r w:rsidRPr="009A0DA6">
        <w:rPr>
          <w:rFonts w:ascii="Cambria" w:eastAsia="Times New Roman" w:hAnsi="Cambria" w:cstheme="minorHAnsi"/>
          <w:spacing w:val="1"/>
        </w:rPr>
        <w:t>d</w:t>
      </w:r>
      <w:r w:rsidRPr="009A0DA6">
        <w:rPr>
          <w:rFonts w:ascii="Cambria" w:eastAsia="Times New Roman" w:hAnsi="Cambria" w:cstheme="minorHAnsi"/>
        </w:rPr>
        <w:t>iti</w:t>
      </w:r>
      <w:r w:rsidRPr="009A0DA6">
        <w:rPr>
          <w:rFonts w:ascii="Cambria" w:eastAsia="Times New Roman" w:hAnsi="Cambria" w:cstheme="minorHAnsi"/>
          <w:spacing w:val="1"/>
        </w:rPr>
        <w:t>o</w:t>
      </w:r>
      <w:r w:rsidRPr="009A0DA6">
        <w:rPr>
          <w:rFonts w:ascii="Cambria" w:eastAsia="Times New Roman" w:hAnsi="Cambria" w:cstheme="minorHAnsi"/>
          <w:spacing w:val="-1"/>
        </w:rPr>
        <w:t>n</w:t>
      </w:r>
      <w:r w:rsidRPr="009A0DA6">
        <w:rPr>
          <w:rFonts w:ascii="Cambria" w:eastAsia="Times New Roman" w:hAnsi="Cambria" w:cstheme="minorHAnsi"/>
        </w:rPr>
        <w:t>s</w:t>
      </w:r>
      <w:r w:rsidRPr="009A0DA6">
        <w:rPr>
          <w:rFonts w:ascii="Cambria" w:eastAsia="Times New Roman" w:hAnsi="Cambria" w:cstheme="minorHAnsi"/>
          <w:spacing w:val="-6"/>
        </w:rPr>
        <w:t xml:space="preserve"> </w:t>
      </w:r>
      <w:r w:rsidRPr="009A0DA6">
        <w:rPr>
          <w:rFonts w:ascii="Cambria" w:eastAsia="Times New Roman" w:hAnsi="Cambria" w:cstheme="minorHAnsi"/>
          <w:spacing w:val="-1"/>
        </w:rPr>
        <w:t>m</w:t>
      </w:r>
      <w:r w:rsidRPr="009A0DA6">
        <w:rPr>
          <w:rFonts w:ascii="Cambria" w:eastAsia="Times New Roman" w:hAnsi="Cambria" w:cstheme="minorHAnsi"/>
          <w:spacing w:val="3"/>
        </w:rPr>
        <w:t>a</w:t>
      </w:r>
      <w:r w:rsidRPr="009A0DA6">
        <w:rPr>
          <w:rFonts w:ascii="Cambria" w:eastAsia="Times New Roman" w:hAnsi="Cambria" w:cstheme="minorHAnsi"/>
        </w:rPr>
        <w:t>y</w:t>
      </w:r>
      <w:r w:rsidRPr="009A0DA6">
        <w:rPr>
          <w:rFonts w:ascii="Cambria" w:eastAsia="Times New Roman" w:hAnsi="Cambria" w:cstheme="minorHAnsi"/>
          <w:spacing w:val="-6"/>
        </w:rPr>
        <w:t xml:space="preserve"> </w:t>
      </w:r>
      <w:r w:rsidRPr="009A0DA6">
        <w:rPr>
          <w:rFonts w:ascii="Cambria" w:eastAsia="Times New Roman" w:hAnsi="Cambria" w:cstheme="minorHAnsi"/>
        </w:rPr>
        <w:t>c</w:t>
      </w:r>
      <w:r w:rsidRPr="009A0DA6">
        <w:rPr>
          <w:rFonts w:ascii="Cambria" w:eastAsia="Times New Roman" w:hAnsi="Cambria" w:cstheme="minorHAnsi"/>
          <w:spacing w:val="3"/>
        </w:rPr>
        <w:t>a</w:t>
      </w:r>
      <w:r w:rsidRPr="009A0DA6">
        <w:rPr>
          <w:rFonts w:ascii="Cambria" w:eastAsia="Times New Roman" w:hAnsi="Cambria" w:cstheme="minorHAnsi"/>
          <w:spacing w:val="1"/>
        </w:rPr>
        <w:t>u</w:t>
      </w:r>
      <w:r w:rsidRPr="009A0DA6">
        <w:rPr>
          <w:rFonts w:ascii="Cambria" w:eastAsia="Times New Roman" w:hAnsi="Cambria" w:cstheme="minorHAnsi"/>
          <w:spacing w:val="-1"/>
        </w:rPr>
        <w:t>s</w:t>
      </w:r>
      <w:r w:rsidRPr="009A0DA6">
        <w:rPr>
          <w:rFonts w:ascii="Cambria" w:eastAsia="Times New Roman" w:hAnsi="Cambria" w:cstheme="minorHAnsi"/>
        </w:rPr>
        <w:t>e</w:t>
      </w:r>
      <w:r w:rsidRPr="009A0DA6">
        <w:rPr>
          <w:rFonts w:ascii="Cambria" w:eastAsia="Times New Roman" w:hAnsi="Cambria" w:cstheme="minorHAnsi"/>
          <w:spacing w:val="-3"/>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1"/>
        </w:rPr>
        <w:t xml:space="preserve"> </w:t>
      </w:r>
      <w:r w:rsidRPr="009A0DA6">
        <w:rPr>
          <w:rFonts w:ascii="Cambria" w:eastAsia="Times New Roman" w:hAnsi="Cambria" w:cstheme="minorHAnsi"/>
        </w:rPr>
        <w:t>A</w:t>
      </w:r>
      <w:r w:rsidRPr="009A0DA6">
        <w:rPr>
          <w:rFonts w:ascii="Cambria" w:eastAsia="Times New Roman" w:hAnsi="Cambria" w:cstheme="minorHAnsi"/>
          <w:spacing w:val="-1"/>
        </w:rPr>
        <w:t>ss</w:t>
      </w:r>
      <w:r w:rsidRPr="009A0DA6">
        <w:rPr>
          <w:rFonts w:ascii="Cambria" w:eastAsia="Times New Roman" w:hAnsi="Cambria" w:cstheme="minorHAnsi"/>
          <w:spacing w:val="4"/>
        </w:rPr>
        <w:t>o</w:t>
      </w:r>
      <w:r w:rsidRPr="009A0DA6">
        <w:rPr>
          <w:rFonts w:ascii="Cambria" w:eastAsia="Times New Roman" w:hAnsi="Cambria" w:cstheme="minorHAnsi"/>
        </w:rPr>
        <w:t>ciati</w:t>
      </w:r>
      <w:r w:rsidRPr="009A0DA6">
        <w:rPr>
          <w:rFonts w:ascii="Cambria" w:eastAsia="Times New Roman" w:hAnsi="Cambria" w:cstheme="minorHAnsi"/>
          <w:spacing w:val="1"/>
        </w:rPr>
        <w:t>o</w:t>
      </w:r>
      <w:r w:rsidRPr="009A0DA6">
        <w:rPr>
          <w:rFonts w:ascii="Cambria" w:eastAsia="Times New Roman" w:hAnsi="Cambria" w:cstheme="minorHAnsi"/>
        </w:rPr>
        <w:t>n</w:t>
      </w:r>
      <w:r w:rsidRPr="009A0DA6">
        <w:rPr>
          <w:rFonts w:ascii="Cambria" w:eastAsia="Times New Roman" w:hAnsi="Cambria" w:cstheme="minorHAnsi"/>
          <w:spacing w:val="-10"/>
        </w:rPr>
        <w:t xml:space="preserve"> </w:t>
      </w:r>
      <w:r w:rsidRPr="009A0DA6">
        <w:rPr>
          <w:rFonts w:ascii="Cambria" w:eastAsia="Times New Roman" w:hAnsi="Cambria" w:cstheme="minorHAnsi"/>
        </w:rPr>
        <w:t>to cea</w:t>
      </w:r>
      <w:r w:rsidRPr="009A0DA6">
        <w:rPr>
          <w:rFonts w:ascii="Cambria" w:eastAsia="Times New Roman" w:hAnsi="Cambria" w:cstheme="minorHAnsi"/>
          <w:spacing w:val="-1"/>
        </w:rPr>
        <w:t>s</w:t>
      </w:r>
      <w:r w:rsidRPr="009A0DA6">
        <w:rPr>
          <w:rFonts w:ascii="Cambria" w:eastAsia="Times New Roman" w:hAnsi="Cambria" w:cstheme="minorHAnsi"/>
        </w:rPr>
        <w:t>e</w:t>
      </w:r>
      <w:r w:rsidRPr="009A0DA6">
        <w:rPr>
          <w:rFonts w:ascii="Cambria" w:eastAsia="Times New Roman" w:hAnsi="Cambria" w:cstheme="minorHAnsi"/>
          <w:spacing w:val="-3"/>
        </w:rPr>
        <w:t xml:space="preserve"> </w:t>
      </w:r>
      <w:r w:rsidRPr="009A0DA6">
        <w:rPr>
          <w:rFonts w:ascii="Cambria" w:eastAsia="Times New Roman" w:hAnsi="Cambria" w:cstheme="minorHAnsi"/>
        </w:rPr>
        <w:t>to c</w:t>
      </w:r>
      <w:r w:rsidRPr="009A0DA6">
        <w:rPr>
          <w:rFonts w:ascii="Cambria" w:eastAsia="Times New Roman" w:hAnsi="Cambria" w:cstheme="minorHAnsi"/>
          <w:spacing w:val="1"/>
        </w:rPr>
        <w:t>o</w:t>
      </w:r>
      <w:r w:rsidRPr="009A0DA6">
        <w:rPr>
          <w:rFonts w:ascii="Cambria" w:eastAsia="Times New Roman" w:hAnsi="Cambria" w:cstheme="minorHAnsi"/>
          <w:spacing w:val="-1"/>
        </w:rPr>
        <w:t>n</w:t>
      </w:r>
      <w:r w:rsidRPr="009A0DA6">
        <w:rPr>
          <w:rFonts w:ascii="Cambria" w:eastAsia="Times New Roman" w:hAnsi="Cambria" w:cstheme="minorHAnsi"/>
        </w:rPr>
        <w:t>ti</w:t>
      </w:r>
      <w:r w:rsidRPr="009A0DA6">
        <w:rPr>
          <w:rFonts w:ascii="Cambria" w:eastAsia="Times New Roman" w:hAnsi="Cambria" w:cstheme="minorHAnsi"/>
          <w:spacing w:val="1"/>
        </w:rPr>
        <w:t>n</w:t>
      </w:r>
      <w:r w:rsidRPr="009A0DA6">
        <w:rPr>
          <w:rFonts w:ascii="Cambria" w:eastAsia="Times New Roman" w:hAnsi="Cambria" w:cstheme="minorHAnsi"/>
          <w:spacing w:val="-1"/>
        </w:rPr>
        <w:t>u</w:t>
      </w:r>
      <w:r w:rsidRPr="009A0DA6">
        <w:rPr>
          <w:rFonts w:ascii="Cambria" w:eastAsia="Times New Roman" w:hAnsi="Cambria" w:cstheme="minorHAnsi"/>
        </w:rPr>
        <w:t>e</w:t>
      </w:r>
      <w:r w:rsidRPr="009A0DA6">
        <w:rPr>
          <w:rFonts w:ascii="Cambria" w:eastAsia="Times New Roman" w:hAnsi="Cambria" w:cstheme="minorHAnsi"/>
          <w:spacing w:val="-6"/>
        </w:rPr>
        <w:t xml:space="preserve"> </w:t>
      </w:r>
      <w:r w:rsidRPr="009A0DA6">
        <w:rPr>
          <w:rFonts w:ascii="Cambria" w:eastAsia="Times New Roman" w:hAnsi="Cambria" w:cstheme="minorHAnsi"/>
        </w:rPr>
        <w:t>as</w:t>
      </w:r>
      <w:r w:rsidRPr="009A0DA6">
        <w:rPr>
          <w:rFonts w:ascii="Cambria" w:eastAsia="Times New Roman" w:hAnsi="Cambria" w:cstheme="minorHAnsi"/>
          <w:spacing w:val="-2"/>
        </w:rPr>
        <w:t xml:space="preserve"> </w:t>
      </w:r>
      <w:r w:rsidRPr="009A0DA6">
        <w:rPr>
          <w:rFonts w:ascii="Cambria" w:eastAsia="Times New Roman" w:hAnsi="Cambria" w:cstheme="minorHAnsi"/>
        </w:rPr>
        <w:t xml:space="preserve">a </w:t>
      </w:r>
      <w:r w:rsidRPr="009A0DA6">
        <w:rPr>
          <w:rFonts w:ascii="Cambria" w:eastAsia="Times New Roman" w:hAnsi="Cambria" w:cstheme="minorHAnsi"/>
          <w:spacing w:val="-1"/>
        </w:rPr>
        <w:t>g</w:t>
      </w:r>
      <w:r w:rsidRPr="009A0DA6">
        <w:rPr>
          <w:rFonts w:ascii="Cambria" w:eastAsia="Times New Roman" w:hAnsi="Cambria" w:cstheme="minorHAnsi"/>
          <w:spacing w:val="1"/>
        </w:rPr>
        <w:t>o</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rPr>
        <w:t>g</w:t>
      </w:r>
      <w:r w:rsidRPr="009A0DA6">
        <w:rPr>
          <w:rFonts w:ascii="Cambria" w:eastAsia="Times New Roman" w:hAnsi="Cambria" w:cstheme="minorHAnsi"/>
          <w:spacing w:val="-6"/>
        </w:rPr>
        <w:t xml:space="preserve"> </w:t>
      </w:r>
      <w:r w:rsidRPr="009A0DA6">
        <w:rPr>
          <w:rFonts w:ascii="Cambria" w:eastAsia="Times New Roman" w:hAnsi="Cambria" w:cstheme="minorHAnsi"/>
        </w:rPr>
        <w:t>c</w:t>
      </w:r>
      <w:r w:rsidRPr="009A0DA6">
        <w:rPr>
          <w:rFonts w:ascii="Cambria" w:eastAsia="Times New Roman" w:hAnsi="Cambria" w:cstheme="minorHAnsi"/>
          <w:spacing w:val="1"/>
        </w:rPr>
        <w:t>o</w:t>
      </w:r>
      <w:r w:rsidRPr="009A0DA6">
        <w:rPr>
          <w:rFonts w:ascii="Cambria" w:eastAsia="Times New Roman" w:hAnsi="Cambria" w:cstheme="minorHAnsi"/>
          <w:spacing w:val="-1"/>
        </w:rPr>
        <w:t>n</w:t>
      </w:r>
      <w:r w:rsidRPr="009A0DA6">
        <w:rPr>
          <w:rFonts w:ascii="Cambria" w:eastAsia="Times New Roman" w:hAnsi="Cambria" w:cstheme="minorHAnsi"/>
        </w:rPr>
        <w:t>ce</w:t>
      </w:r>
      <w:r w:rsidRPr="009A0DA6">
        <w:rPr>
          <w:rFonts w:ascii="Cambria" w:eastAsia="Times New Roman" w:hAnsi="Cambria" w:cstheme="minorHAnsi"/>
          <w:spacing w:val="1"/>
        </w:rPr>
        <w:t>r</w:t>
      </w:r>
      <w:r w:rsidRPr="009A0DA6">
        <w:rPr>
          <w:rFonts w:ascii="Cambria" w:eastAsia="Times New Roman" w:hAnsi="Cambria" w:cstheme="minorHAnsi"/>
          <w:spacing w:val="-1"/>
        </w:rPr>
        <w:t>n</w:t>
      </w:r>
      <w:r w:rsidRPr="009A0DA6">
        <w:rPr>
          <w:rFonts w:ascii="Cambria" w:eastAsia="Times New Roman" w:hAnsi="Cambria" w:cstheme="minorHAnsi"/>
        </w:rPr>
        <w:t>.</w:t>
      </w:r>
    </w:p>
    <w:p w14:paraId="10BDFA65" w14:textId="77777777" w:rsidR="00BA4592" w:rsidRPr="009A0DA6" w:rsidRDefault="00BA4592" w:rsidP="00F55252">
      <w:pPr>
        <w:pStyle w:val="ListParagraph"/>
        <w:widowControl w:val="0"/>
        <w:numPr>
          <w:ilvl w:val="0"/>
          <w:numId w:val="274"/>
        </w:numPr>
        <w:spacing w:before="120" w:after="120" w:line="240" w:lineRule="auto"/>
        <w:ind w:left="567" w:right="-107" w:hanging="567"/>
        <w:rPr>
          <w:rFonts w:ascii="Cambria" w:eastAsia="Times New Roman" w:hAnsi="Cambria" w:cstheme="minorHAnsi"/>
        </w:rPr>
      </w:pPr>
      <w:r w:rsidRPr="009A0DA6">
        <w:rPr>
          <w:rFonts w:ascii="Cambria" w:eastAsia="Times New Roman" w:hAnsi="Cambria" w:cstheme="minorHAnsi"/>
          <w:spacing w:val="1"/>
        </w:rPr>
        <w:t>E</w:t>
      </w:r>
      <w:r w:rsidRPr="009A0DA6">
        <w:rPr>
          <w:rFonts w:ascii="Cambria" w:eastAsia="Times New Roman" w:hAnsi="Cambria" w:cstheme="minorHAnsi"/>
          <w:spacing w:val="-1"/>
        </w:rPr>
        <w:t>v</w:t>
      </w:r>
      <w:r w:rsidRPr="009A0DA6">
        <w:rPr>
          <w:rFonts w:ascii="Cambria" w:eastAsia="Times New Roman" w:hAnsi="Cambria" w:cstheme="minorHAnsi"/>
        </w:rPr>
        <w:t>al</w:t>
      </w:r>
      <w:r w:rsidRPr="009A0DA6">
        <w:rPr>
          <w:rFonts w:ascii="Cambria" w:eastAsia="Times New Roman" w:hAnsi="Cambria" w:cstheme="minorHAnsi"/>
          <w:spacing w:val="-1"/>
        </w:rPr>
        <w:t>u</w:t>
      </w:r>
      <w:r w:rsidRPr="009A0DA6">
        <w:rPr>
          <w:rFonts w:ascii="Cambria" w:eastAsia="Times New Roman" w:hAnsi="Cambria" w:cstheme="minorHAnsi"/>
          <w:spacing w:val="3"/>
        </w:rPr>
        <w:t>a</w:t>
      </w:r>
      <w:r w:rsidRPr="009A0DA6">
        <w:rPr>
          <w:rFonts w:ascii="Cambria" w:eastAsia="Times New Roman" w:hAnsi="Cambria" w:cstheme="minorHAnsi"/>
        </w:rPr>
        <w:t>te</w:t>
      </w:r>
      <w:r w:rsidRPr="009A0DA6">
        <w:rPr>
          <w:rFonts w:ascii="Cambria" w:eastAsia="Times New Roman" w:hAnsi="Cambria" w:cstheme="minorHAnsi"/>
          <w:spacing w:val="44"/>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 xml:space="preserve">e </w:t>
      </w:r>
      <w:r w:rsidRPr="009A0DA6">
        <w:rPr>
          <w:rFonts w:ascii="Cambria" w:eastAsia="Times New Roman" w:hAnsi="Cambria" w:cstheme="minorHAnsi"/>
          <w:spacing w:val="1"/>
        </w:rPr>
        <w:t>o</w:t>
      </w:r>
      <w:r w:rsidRPr="009A0DA6">
        <w:rPr>
          <w:rFonts w:ascii="Cambria" w:eastAsia="Times New Roman" w:hAnsi="Cambria" w:cstheme="minorHAnsi"/>
          <w:spacing w:val="-1"/>
        </w:rPr>
        <w:t>v</w:t>
      </w:r>
      <w:r w:rsidRPr="009A0DA6">
        <w:rPr>
          <w:rFonts w:ascii="Cambria" w:eastAsia="Times New Roman" w:hAnsi="Cambria" w:cstheme="minorHAnsi"/>
        </w:rPr>
        <w:t>e</w:t>
      </w:r>
      <w:r w:rsidRPr="009A0DA6">
        <w:rPr>
          <w:rFonts w:ascii="Cambria" w:eastAsia="Times New Roman" w:hAnsi="Cambria" w:cstheme="minorHAnsi"/>
          <w:spacing w:val="1"/>
        </w:rPr>
        <w:t>r</w:t>
      </w:r>
      <w:r w:rsidRPr="009A0DA6">
        <w:rPr>
          <w:rFonts w:ascii="Cambria" w:eastAsia="Times New Roman" w:hAnsi="Cambria" w:cstheme="minorHAnsi"/>
        </w:rPr>
        <w:t>all</w:t>
      </w:r>
      <w:r w:rsidRPr="009A0DA6">
        <w:rPr>
          <w:rFonts w:ascii="Cambria" w:eastAsia="Times New Roman" w:hAnsi="Cambria" w:cstheme="minorHAnsi"/>
          <w:spacing w:val="45"/>
        </w:rPr>
        <w:t xml:space="preserve"> </w:t>
      </w:r>
      <w:r w:rsidRPr="009A0DA6">
        <w:rPr>
          <w:rFonts w:ascii="Cambria" w:eastAsia="Times New Roman" w:hAnsi="Cambria" w:cstheme="minorHAnsi"/>
          <w:spacing w:val="1"/>
        </w:rPr>
        <w:t>pr</w:t>
      </w:r>
      <w:r w:rsidRPr="009A0DA6">
        <w:rPr>
          <w:rFonts w:ascii="Cambria" w:eastAsia="Times New Roman" w:hAnsi="Cambria" w:cstheme="minorHAnsi"/>
        </w:rPr>
        <w:t>e</w:t>
      </w:r>
      <w:r w:rsidRPr="009A0DA6">
        <w:rPr>
          <w:rFonts w:ascii="Cambria" w:eastAsia="Times New Roman" w:hAnsi="Cambria" w:cstheme="minorHAnsi"/>
          <w:spacing w:val="-1"/>
        </w:rPr>
        <w:t>s</w:t>
      </w:r>
      <w:r w:rsidRPr="009A0DA6">
        <w:rPr>
          <w:rFonts w:ascii="Cambria" w:eastAsia="Times New Roman" w:hAnsi="Cambria" w:cstheme="minorHAnsi"/>
          <w:spacing w:val="3"/>
        </w:rPr>
        <w:t>e</w:t>
      </w:r>
      <w:r w:rsidRPr="009A0DA6">
        <w:rPr>
          <w:rFonts w:ascii="Cambria" w:eastAsia="Times New Roman" w:hAnsi="Cambria" w:cstheme="minorHAnsi"/>
          <w:spacing w:val="-1"/>
        </w:rPr>
        <w:t>n</w:t>
      </w:r>
      <w:r w:rsidRPr="009A0DA6">
        <w:rPr>
          <w:rFonts w:ascii="Cambria" w:eastAsia="Times New Roman" w:hAnsi="Cambria" w:cstheme="minorHAnsi"/>
          <w:spacing w:val="2"/>
        </w:rPr>
        <w:t>t</w:t>
      </w:r>
      <w:r w:rsidRPr="009A0DA6">
        <w:rPr>
          <w:rFonts w:ascii="Cambria" w:eastAsia="Times New Roman" w:hAnsi="Cambria" w:cstheme="minorHAnsi"/>
        </w:rPr>
        <w:t>ati</w:t>
      </w:r>
      <w:r w:rsidRPr="009A0DA6">
        <w:rPr>
          <w:rFonts w:ascii="Cambria" w:eastAsia="Times New Roman" w:hAnsi="Cambria" w:cstheme="minorHAnsi"/>
          <w:spacing w:val="1"/>
        </w:rPr>
        <w:t>o</w:t>
      </w:r>
      <w:r w:rsidRPr="009A0DA6">
        <w:rPr>
          <w:rFonts w:ascii="Cambria" w:eastAsia="Times New Roman" w:hAnsi="Cambria" w:cstheme="minorHAnsi"/>
          <w:spacing w:val="-1"/>
        </w:rPr>
        <w:t>n</w:t>
      </w:r>
      <w:r w:rsidRPr="009A0DA6">
        <w:rPr>
          <w:rFonts w:ascii="Cambria" w:eastAsia="Times New Roman" w:hAnsi="Cambria" w:cstheme="minorHAnsi"/>
        </w:rPr>
        <w:t>,</w:t>
      </w:r>
      <w:r w:rsidRPr="009A0DA6">
        <w:rPr>
          <w:rFonts w:ascii="Cambria" w:eastAsia="Times New Roman" w:hAnsi="Cambria" w:cstheme="minorHAnsi"/>
          <w:spacing w:val="41"/>
        </w:rPr>
        <w:t xml:space="preserve"> </w:t>
      </w:r>
      <w:r w:rsidRPr="009A0DA6">
        <w:rPr>
          <w:rFonts w:ascii="Cambria" w:eastAsia="Times New Roman" w:hAnsi="Cambria" w:cstheme="minorHAnsi"/>
          <w:spacing w:val="-1"/>
        </w:rPr>
        <w:t>s</w:t>
      </w:r>
      <w:r w:rsidRPr="009A0DA6">
        <w:rPr>
          <w:rFonts w:ascii="Cambria" w:eastAsia="Times New Roman" w:hAnsi="Cambria" w:cstheme="minorHAnsi"/>
        </w:rPr>
        <w:t>t</w:t>
      </w:r>
      <w:r w:rsidRPr="009A0DA6">
        <w:rPr>
          <w:rFonts w:ascii="Cambria" w:eastAsia="Times New Roman" w:hAnsi="Cambria" w:cstheme="minorHAnsi"/>
          <w:spacing w:val="3"/>
        </w:rPr>
        <w:t>r</w:t>
      </w:r>
      <w:r w:rsidRPr="009A0DA6">
        <w:rPr>
          <w:rFonts w:ascii="Cambria" w:eastAsia="Times New Roman" w:hAnsi="Cambria" w:cstheme="minorHAnsi"/>
          <w:spacing w:val="-1"/>
        </w:rPr>
        <w:t>u</w:t>
      </w:r>
      <w:r w:rsidRPr="009A0DA6">
        <w:rPr>
          <w:rFonts w:ascii="Cambria" w:eastAsia="Times New Roman" w:hAnsi="Cambria" w:cstheme="minorHAnsi"/>
        </w:rPr>
        <w:t>ct</w:t>
      </w:r>
      <w:r w:rsidRPr="009A0DA6">
        <w:rPr>
          <w:rFonts w:ascii="Cambria" w:eastAsia="Times New Roman" w:hAnsi="Cambria" w:cstheme="minorHAnsi"/>
          <w:spacing w:val="-1"/>
        </w:rPr>
        <w:t>u</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44"/>
        </w:rPr>
        <w:t xml:space="preserve"> </w:t>
      </w:r>
      <w:r w:rsidRPr="009A0DA6">
        <w:rPr>
          <w:rFonts w:ascii="Cambria" w:eastAsia="Times New Roman" w:hAnsi="Cambria" w:cstheme="minorHAnsi"/>
          <w:spacing w:val="3"/>
        </w:rPr>
        <w:t>a</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spacing w:val="49"/>
        </w:rPr>
        <w:t xml:space="preserve"> </w:t>
      </w:r>
      <w:r w:rsidRPr="009A0DA6">
        <w:rPr>
          <w:rFonts w:ascii="Cambria" w:eastAsia="Times New Roman" w:hAnsi="Cambria" w:cstheme="minorHAnsi"/>
        </w:rPr>
        <w:t>c</w:t>
      </w:r>
      <w:r w:rsidRPr="009A0DA6">
        <w:rPr>
          <w:rFonts w:ascii="Cambria" w:eastAsia="Times New Roman" w:hAnsi="Cambria" w:cstheme="minorHAnsi"/>
          <w:spacing w:val="1"/>
        </w:rPr>
        <w:t>o</w:t>
      </w:r>
      <w:r w:rsidRPr="009A0DA6">
        <w:rPr>
          <w:rFonts w:ascii="Cambria" w:eastAsia="Times New Roman" w:hAnsi="Cambria" w:cstheme="minorHAnsi"/>
          <w:spacing w:val="-1"/>
        </w:rPr>
        <w:t>n</w:t>
      </w:r>
      <w:r w:rsidRPr="009A0DA6">
        <w:rPr>
          <w:rFonts w:ascii="Cambria" w:eastAsia="Times New Roman" w:hAnsi="Cambria" w:cstheme="minorHAnsi"/>
        </w:rPr>
        <w:t>t</w:t>
      </w:r>
      <w:r w:rsidRPr="009A0DA6">
        <w:rPr>
          <w:rFonts w:ascii="Cambria" w:eastAsia="Times New Roman" w:hAnsi="Cambria" w:cstheme="minorHAnsi"/>
          <w:spacing w:val="3"/>
        </w:rPr>
        <w:t>e</w:t>
      </w:r>
      <w:r w:rsidRPr="009A0DA6">
        <w:rPr>
          <w:rFonts w:ascii="Cambria" w:eastAsia="Times New Roman" w:hAnsi="Cambria" w:cstheme="minorHAnsi"/>
          <w:spacing w:val="-1"/>
        </w:rPr>
        <w:t>n</w:t>
      </w:r>
      <w:r w:rsidRPr="009A0DA6">
        <w:rPr>
          <w:rFonts w:ascii="Cambria" w:eastAsia="Times New Roman" w:hAnsi="Cambria" w:cstheme="minorHAnsi"/>
        </w:rPr>
        <w:t>t</w:t>
      </w:r>
      <w:r w:rsidRPr="009A0DA6">
        <w:rPr>
          <w:rFonts w:ascii="Cambria" w:eastAsia="Times New Roman" w:hAnsi="Cambria" w:cstheme="minorHAnsi"/>
          <w:spacing w:val="47"/>
        </w:rPr>
        <w:t xml:space="preserve"> </w:t>
      </w:r>
      <w:r w:rsidRPr="009A0DA6">
        <w:rPr>
          <w:rFonts w:ascii="Cambria" w:eastAsia="Times New Roman" w:hAnsi="Cambria" w:cstheme="minorHAnsi"/>
          <w:spacing w:val="1"/>
        </w:rPr>
        <w:t>o</w:t>
      </w:r>
      <w:r w:rsidRPr="009A0DA6">
        <w:rPr>
          <w:rFonts w:ascii="Cambria" w:eastAsia="Times New Roman" w:hAnsi="Cambria" w:cstheme="minorHAnsi"/>
        </w:rPr>
        <w:t>f</w:t>
      </w:r>
      <w:r w:rsidRPr="009A0DA6">
        <w:rPr>
          <w:rFonts w:ascii="Cambria" w:eastAsia="Times New Roman" w:hAnsi="Cambria" w:cstheme="minorHAnsi"/>
          <w:spacing w:val="47"/>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 xml:space="preserve">e </w:t>
      </w:r>
      <w:r w:rsidRPr="009A0DA6">
        <w:rPr>
          <w:rFonts w:ascii="Cambria" w:eastAsia="Times New Roman" w:hAnsi="Cambria" w:cstheme="minorHAnsi"/>
          <w:spacing w:val="-1"/>
        </w:rPr>
        <w:t>f</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spacing w:val="3"/>
        </w:rPr>
        <w:t>a</w:t>
      </w:r>
      <w:r w:rsidRPr="009A0DA6">
        <w:rPr>
          <w:rFonts w:ascii="Cambria" w:eastAsia="Times New Roman" w:hAnsi="Cambria" w:cstheme="minorHAnsi"/>
          <w:spacing w:val="-1"/>
        </w:rPr>
        <w:t>n</w:t>
      </w:r>
      <w:r w:rsidRPr="009A0DA6">
        <w:rPr>
          <w:rFonts w:ascii="Cambria" w:eastAsia="Times New Roman" w:hAnsi="Cambria" w:cstheme="minorHAnsi"/>
        </w:rPr>
        <w:t>cial</w:t>
      </w:r>
      <w:r w:rsidRPr="009A0DA6">
        <w:rPr>
          <w:rFonts w:ascii="Cambria" w:eastAsia="Times New Roman" w:hAnsi="Cambria" w:cstheme="minorHAnsi"/>
          <w:spacing w:val="44"/>
        </w:rPr>
        <w:t xml:space="preserve"> </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1"/>
        </w:rPr>
        <w:t>por</w:t>
      </w:r>
      <w:r w:rsidRPr="009A0DA6">
        <w:rPr>
          <w:rFonts w:ascii="Cambria" w:eastAsia="Times New Roman" w:hAnsi="Cambria" w:cstheme="minorHAnsi"/>
        </w:rPr>
        <w:t>t,</w:t>
      </w:r>
      <w:r w:rsidRPr="009A0DA6">
        <w:rPr>
          <w:rFonts w:ascii="Cambria" w:eastAsia="Times New Roman" w:hAnsi="Cambria" w:cstheme="minorHAnsi"/>
          <w:spacing w:val="46"/>
        </w:rPr>
        <w:t xml:space="preserve"> </w:t>
      </w:r>
      <w:r w:rsidRPr="009A0DA6">
        <w:rPr>
          <w:rFonts w:ascii="Cambria" w:eastAsia="Times New Roman" w:hAnsi="Cambria" w:cstheme="minorHAnsi"/>
        </w:rPr>
        <w:t>i</w:t>
      </w:r>
      <w:r w:rsidRPr="009A0DA6">
        <w:rPr>
          <w:rFonts w:ascii="Cambria" w:eastAsia="Times New Roman" w:hAnsi="Cambria" w:cstheme="minorHAnsi"/>
          <w:spacing w:val="-1"/>
        </w:rPr>
        <w:t>n</w:t>
      </w:r>
      <w:r w:rsidRPr="009A0DA6">
        <w:rPr>
          <w:rFonts w:ascii="Cambria" w:eastAsia="Times New Roman" w:hAnsi="Cambria" w:cstheme="minorHAnsi"/>
        </w:rPr>
        <w:t>c</w:t>
      </w:r>
      <w:r w:rsidRPr="009A0DA6">
        <w:rPr>
          <w:rFonts w:ascii="Cambria" w:eastAsia="Times New Roman" w:hAnsi="Cambria" w:cstheme="minorHAnsi"/>
          <w:spacing w:val="2"/>
        </w:rPr>
        <w:t>l</w:t>
      </w:r>
      <w:r w:rsidRPr="009A0DA6">
        <w:rPr>
          <w:rFonts w:ascii="Cambria" w:eastAsia="Times New Roman" w:hAnsi="Cambria" w:cstheme="minorHAnsi"/>
          <w:spacing w:val="1"/>
        </w:rPr>
        <w:t>ud</w:t>
      </w:r>
      <w:r w:rsidRPr="009A0DA6">
        <w:rPr>
          <w:rFonts w:ascii="Cambria" w:eastAsia="Times New Roman" w:hAnsi="Cambria" w:cstheme="minorHAnsi"/>
        </w:rPr>
        <w:t>i</w:t>
      </w:r>
      <w:r w:rsidRPr="009A0DA6">
        <w:rPr>
          <w:rFonts w:ascii="Cambria" w:eastAsia="Times New Roman" w:hAnsi="Cambria" w:cstheme="minorHAnsi"/>
          <w:spacing w:val="-1"/>
        </w:rPr>
        <w:t>n</w:t>
      </w:r>
      <w:r w:rsidRPr="009A0DA6">
        <w:rPr>
          <w:rFonts w:ascii="Cambria" w:eastAsia="Times New Roman" w:hAnsi="Cambria" w:cstheme="minorHAnsi"/>
        </w:rPr>
        <w:t>g</w:t>
      </w:r>
      <w:r w:rsidRPr="009A0DA6">
        <w:rPr>
          <w:rFonts w:ascii="Cambria" w:eastAsia="Times New Roman" w:hAnsi="Cambria" w:cstheme="minorHAnsi"/>
          <w:spacing w:val="42"/>
        </w:rPr>
        <w:t xml:space="preserve"> </w:t>
      </w:r>
      <w:r w:rsidRPr="009A0DA6">
        <w:rPr>
          <w:rFonts w:ascii="Cambria" w:eastAsia="Times New Roman" w:hAnsi="Cambria" w:cstheme="minorHAnsi"/>
          <w:spacing w:val="2"/>
        </w:rPr>
        <w:t>t</w:t>
      </w:r>
      <w:r w:rsidRPr="009A0DA6">
        <w:rPr>
          <w:rFonts w:ascii="Cambria" w:eastAsia="Times New Roman" w:hAnsi="Cambria" w:cstheme="minorHAnsi"/>
          <w:spacing w:val="-1"/>
        </w:rPr>
        <w:t>h</w:t>
      </w:r>
      <w:r w:rsidRPr="009A0DA6">
        <w:rPr>
          <w:rFonts w:ascii="Cambria" w:eastAsia="Times New Roman" w:hAnsi="Cambria" w:cstheme="minorHAnsi"/>
        </w:rPr>
        <w:t xml:space="preserve">e </w:t>
      </w:r>
      <w:r w:rsidRPr="009A0DA6">
        <w:rPr>
          <w:rFonts w:ascii="Cambria" w:eastAsia="Times New Roman" w:hAnsi="Cambria" w:cstheme="minorHAnsi"/>
          <w:spacing w:val="1"/>
        </w:rPr>
        <w:t>d</w:t>
      </w:r>
      <w:r w:rsidRPr="009A0DA6">
        <w:rPr>
          <w:rFonts w:ascii="Cambria" w:eastAsia="Times New Roman" w:hAnsi="Cambria" w:cstheme="minorHAnsi"/>
        </w:rPr>
        <w:t>i</w:t>
      </w:r>
      <w:r w:rsidRPr="009A0DA6">
        <w:rPr>
          <w:rFonts w:ascii="Cambria" w:eastAsia="Times New Roman" w:hAnsi="Cambria" w:cstheme="minorHAnsi"/>
          <w:spacing w:val="-1"/>
        </w:rPr>
        <w:t>s</w:t>
      </w:r>
      <w:r w:rsidRPr="009A0DA6">
        <w:rPr>
          <w:rFonts w:ascii="Cambria" w:eastAsia="Times New Roman" w:hAnsi="Cambria" w:cstheme="minorHAnsi"/>
        </w:rPr>
        <w:t>cl</w:t>
      </w:r>
      <w:r w:rsidRPr="009A0DA6">
        <w:rPr>
          <w:rFonts w:ascii="Cambria" w:eastAsia="Times New Roman" w:hAnsi="Cambria" w:cstheme="minorHAnsi"/>
          <w:spacing w:val="1"/>
        </w:rPr>
        <w:t>o</w:t>
      </w:r>
      <w:r w:rsidRPr="009A0DA6">
        <w:rPr>
          <w:rFonts w:ascii="Cambria" w:eastAsia="Times New Roman" w:hAnsi="Cambria" w:cstheme="minorHAnsi"/>
          <w:spacing w:val="-1"/>
        </w:rPr>
        <w:t>su</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1"/>
        </w:rPr>
        <w:t>s</w:t>
      </w:r>
      <w:r w:rsidRPr="009A0DA6">
        <w:rPr>
          <w:rFonts w:ascii="Cambria" w:eastAsia="Times New Roman" w:hAnsi="Cambria" w:cstheme="minorHAnsi"/>
        </w:rPr>
        <w:t>,</w:t>
      </w:r>
      <w:r w:rsidRPr="009A0DA6">
        <w:rPr>
          <w:rFonts w:ascii="Cambria" w:eastAsia="Times New Roman" w:hAnsi="Cambria" w:cstheme="minorHAnsi"/>
          <w:spacing w:val="-1"/>
        </w:rPr>
        <w:t xml:space="preserve"> </w:t>
      </w:r>
      <w:r w:rsidRPr="009A0DA6">
        <w:rPr>
          <w:rFonts w:ascii="Cambria" w:eastAsia="Times New Roman" w:hAnsi="Cambria" w:cstheme="minorHAnsi"/>
          <w:spacing w:val="3"/>
        </w:rPr>
        <w:t>a</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spacing w:val="8"/>
        </w:rPr>
        <w:t xml:space="preserve"> </w:t>
      </w:r>
      <w:r w:rsidRPr="009A0DA6">
        <w:rPr>
          <w:rFonts w:ascii="Cambria" w:eastAsia="Times New Roman" w:hAnsi="Cambria" w:cstheme="minorHAnsi"/>
          <w:spacing w:val="-2"/>
        </w:rPr>
        <w:t>w</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2"/>
        </w:rPr>
        <w:t>t</w:t>
      </w:r>
      <w:r w:rsidRPr="009A0DA6">
        <w:rPr>
          <w:rFonts w:ascii="Cambria" w:eastAsia="Times New Roman" w:hAnsi="Cambria" w:cstheme="minorHAnsi"/>
          <w:spacing w:val="-1"/>
        </w:rPr>
        <w:t>h</w:t>
      </w:r>
      <w:r w:rsidRPr="009A0DA6">
        <w:rPr>
          <w:rFonts w:ascii="Cambria" w:eastAsia="Times New Roman" w:hAnsi="Cambria" w:cstheme="minorHAnsi"/>
        </w:rPr>
        <w:t>er</w:t>
      </w:r>
      <w:r w:rsidRPr="009A0DA6">
        <w:rPr>
          <w:rFonts w:ascii="Cambria" w:eastAsia="Times New Roman" w:hAnsi="Cambria" w:cstheme="minorHAnsi"/>
          <w:spacing w:val="3"/>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6"/>
        </w:rPr>
        <w:t xml:space="preserve"> </w:t>
      </w:r>
      <w:r w:rsidRPr="009A0DA6">
        <w:rPr>
          <w:rFonts w:ascii="Cambria" w:eastAsia="Times New Roman" w:hAnsi="Cambria" w:cstheme="minorHAnsi"/>
          <w:spacing w:val="1"/>
        </w:rPr>
        <w:t>f</w:t>
      </w:r>
      <w:r w:rsidRPr="009A0DA6">
        <w:rPr>
          <w:rFonts w:ascii="Cambria" w:eastAsia="Times New Roman" w:hAnsi="Cambria" w:cstheme="minorHAnsi"/>
        </w:rPr>
        <w:t>i</w:t>
      </w:r>
      <w:r w:rsidRPr="009A0DA6">
        <w:rPr>
          <w:rFonts w:ascii="Cambria" w:eastAsia="Times New Roman" w:hAnsi="Cambria" w:cstheme="minorHAnsi"/>
          <w:spacing w:val="-1"/>
        </w:rPr>
        <w:t>n</w:t>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spacing w:val="3"/>
        </w:rPr>
        <w:t>c</w:t>
      </w:r>
      <w:r w:rsidRPr="009A0DA6">
        <w:rPr>
          <w:rFonts w:ascii="Cambria" w:eastAsia="Times New Roman" w:hAnsi="Cambria" w:cstheme="minorHAnsi"/>
        </w:rPr>
        <w:t xml:space="preserve">ial </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1"/>
        </w:rPr>
        <w:t>por</w:t>
      </w:r>
      <w:r w:rsidRPr="009A0DA6">
        <w:rPr>
          <w:rFonts w:ascii="Cambria" w:eastAsia="Times New Roman" w:hAnsi="Cambria" w:cstheme="minorHAnsi"/>
        </w:rPr>
        <w:t>t</w:t>
      </w:r>
      <w:r w:rsidRPr="009A0DA6">
        <w:rPr>
          <w:rFonts w:ascii="Cambria" w:eastAsia="Times New Roman" w:hAnsi="Cambria" w:cstheme="minorHAnsi"/>
          <w:spacing w:val="2"/>
        </w:rPr>
        <w:t xml:space="preserve"> </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1"/>
        </w:rPr>
        <w:t>p</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1"/>
        </w:rPr>
        <w:t>s</w:t>
      </w:r>
      <w:r w:rsidRPr="009A0DA6">
        <w:rPr>
          <w:rFonts w:ascii="Cambria" w:eastAsia="Times New Roman" w:hAnsi="Cambria" w:cstheme="minorHAnsi"/>
        </w:rPr>
        <w:t>e</w:t>
      </w:r>
      <w:r w:rsidRPr="009A0DA6">
        <w:rPr>
          <w:rFonts w:ascii="Cambria" w:eastAsia="Times New Roman" w:hAnsi="Cambria" w:cstheme="minorHAnsi"/>
          <w:spacing w:val="-1"/>
        </w:rPr>
        <w:t>n</w:t>
      </w:r>
      <w:r w:rsidRPr="009A0DA6">
        <w:rPr>
          <w:rFonts w:ascii="Cambria" w:eastAsia="Times New Roman" w:hAnsi="Cambria" w:cstheme="minorHAnsi"/>
        </w:rPr>
        <w:t>ts</w:t>
      </w:r>
      <w:r w:rsidRPr="009A0DA6">
        <w:rPr>
          <w:rFonts w:ascii="Cambria" w:eastAsia="Times New Roman" w:hAnsi="Cambria" w:cstheme="minorHAnsi"/>
          <w:spacing w:val="-1"/>
        </w:rPr>
        <w:t xml:space="preserve"> </w:t>
      </w:r>
      <w:r w:rsidRPr="009A0DA6">
        <w:rPr>
          <w:rFonts w:ascii="Cambria" w:eastAsia="Times New Roman" w:hAnsi="Cambria" w:cstheme="minorHAnsi"/>
          <w:spacing w:val="2"/>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6"/>
        </w:rPr>
        <w:t xml:space="preserve"> </w:t>
      </w:r>
      <w:r w:rsidRPr="009A0DA6">
        <w:rPr>
          <w:rFonts w:ascii="Cambria" w:eastAsia="Times New Roman" w:hAnsi="Cambria" w:cstheme="minorHAnsi"/>
          <w:spacing w:val="-1"/>
        </w:rPr>
        <w:t>un</w:t>
      </w:r>
      <w:r w:rsidRPr="009A0DA6">
        <w:rPr>
          <w:rFonts w:ascii="Cambria" w:eastAsia="Times New Roman" w:hAnsi="Cambria" w:cstheme="minorHAnsi"/>
          <w:spacing w:val="1"/>
        </w:rPr>
        <w:t>d</w:t>
      </w:r>
      <w:r w:rsidRPr="009A0DA6">
        <w:rPr>
          <w:rFonts w:ascii="Cambria" w:eastAsia="Times New Roman" w:hAnsi="Cambria" w:cstheme="minorHAnsi"/>
        </w:rPr>
        <w:t>e</w:t>
      </w:r>
      <w:r w:rsidRPr="009A0DA6">
        <w:rPr>
          <w:rFonts w:ascii="Cambria" w:eastAsia="Times New Roman" w:hAnsi="Cambria" w:cstheme="minorHAnsi"/>
          <w:spacing w:val="1"/>
        </w:rPr>
        <w:t>r</w:t>
      </w:r>
      <w:r w:rsidRPr="009A0DA6">
        <w:rPr>
          <w:rFonts w:ascii="Cambria" w:eastAsia="Times New Roman" w:hAnsi="Cambria" w:cstheme="minorHAnsi"/>
          <w:spacing w:val="2"/>
        </w:rPr>
        <w:t>l</w:t>
      </w:r>
      <w:r w:rsidRPr="009A0DA6">
        <w:rPr>
          <w:rFonts w:ascii="Cambria" w:eastAsia="Times New Roman" w:hAnsi="Cambria" w:cstheme="minorHAnsi"/>
          <w:spacing w:val="-1"/>
        </w:rPr>
        <w:t>y</w:t>
      </w:r>
      <w:r w:rsidRPr="009A0DA6">
        <w:rPr>
          <w:rFonts w:ascii="Cambria" w:eastAsia="Times New Roman" w:hAnsi="Cambria" w:cstheme="minorHAnsi"/>
        </w:rPr>
        <w:t>i</w:t>
      </w:r>
      <w:r w:rsidRPr="009A0DA6">
        <w:rPr>
          <w:rFonts w:ascii="Cambria" w:eastAsia="Times New Roman" w:hAnsi="Cambria" w:cstheme="minorHAnsi"/>
          <w:spacing w:val="1"/>
        </w:rPr>
        <w:t>n</w:t>
      </w:r>
      <w:r w:rsidRPr="009A0DA6">
        <w:rPr>
          <w:rFonts w:ascii="Cambria" w:eastAsia="Times New Roman" w:hAnsi="Cambria" w:cstheme="minorHAnsi"/>
        </w:rPr>
        <w:t>g</w:t>
      </w:r>
      <w:r w:rsidRPr="009A0DA6">
        <w:rPr>
          <w:rFonts w:ascii="Cambria" w:eastAsia="Times New Roman" w:hAnsi="Cambria" w:cstheme="minorHAnsi"/>
          <w:spacing w:val="-3"/>
        </w:rPr>
        <w:t xml:space="preserve"> </w:t>
      </w:r>
      <w:r w:rsidRPr="009A0DA6">
        <w:rPr>
          <w:rFonts w:ascii="Cambria" w:eastAsia="Times New Roman" w:hAnsi="Cambria" w:cstheme="minorHAnsi"/>
        </w:rPr>
        <w:t>t</w:t>
      </w:r>
      <w:r w:rsidRPr="009A0DA6">
        <w:rPr>
          <w:rFonts w:ascii="Cambria" w:eastAsia="Times New Roman" w:hAnsi="Cambria" w:cstheme="minorHAnsi"/>
          <w:spacing w:val="1"/>
        </w:rPr>
        <w:t>r</w:t>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spacing w:val="-1"/>
        </w:rPr>
        <w:t>s</w:t>
      </w:r>
      <w:r w:rsidRPr="009A0DA6">
        <w:rPr>
          <w:rFonts w:ascii="Cambria" w:eastAsia="Times New Roman" w:hAnsi="Cambria" w:cstheme="minorHAnsi"/>
        </w:rPr>
        <w:t>acti</w:t>
      </w:r>
      <w:r w:rsidRPr="009A0DA6">
        <w:rPr>
          <w:rFonts w:ascii="Cambria" w:eastAsia="Times New Roman" w:hAnsi="Cambria" w:cstheme="minorHAnsi"/>
          <w:spacing w:val="1"/>
        </w:rPr>
        <w:t>on</w:t>
      </w:r>
      <w:r w:rsidRPr="009A0DA6">
        <w:rPr>
          <w:rFonts w:ascii="Cambria" w:eastAsia="Times New Roman" w:hAnsi="Cambria" w:cstheme="minorHAnsi"/>
        </w:rPr>
        <w:t>s</w:t>
      </w:r>
      <w:r w:rsidRPr="009A0DA6">
        <w:rPr>
          <w:rFonts w:ascii="Cambria" w:eastAsia="Times New Roman" w:hAnsi="Cambria" w:cstheme="minorHAnsi"/>
          <w:spacing w:val="-3"/>
        </w:rPr>
        <w:t xml:space="preserve"> </w:t>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spacing w:val="6"/>
        </w:rPr>
        <w:t xml:space="preserve"> </w:t>
      </w:r>
      <w:r w:rsidRPr="009A0DA6">
        <w:rPr>
          <w:rFonts w:ascii="Cambria" w:eastAsia="Times New Roman" w:hAnsi="Cambria" w:cstheme="minorHAnsi"/>
          <w:spacing w:val="3"/>
        </w:rPr>
        <w:t>e</w:t>
      </w:r>
      <w:r w:rsidRPr="009A0DA6">
        <w:rPr>
          <w:rFonts w:ascii="Cambria" w:eastAsia="Times New Roman" w:hAnsi="Cambria" w:cstheme="minorHAnsi"/>
          <w:spacing w:val="-1"/>
        </w:rPr>
        <w:t>v</w:t>
      </w:r>
      <w:r w:rsidRPr="009A0DA6">
        <w:rPr>
          <w:rFonts w:ascii="Cambria" w:eastAsia="Times New Roman" w:hAnsi="Cambria" w:cstheme="minorHAnsi"/>
        </w:rPr>
        <w:t>e</w:t>
      </w:r>
      <w:r w:rsidRPr="009A0DA6">
        <w:rPr>
          <w:rFonts w:ascii="Cambria" w:eastAsia="Times New Roman" w:hAnsi="Cambria" w:cstheme="minorHAnsi"/>
          <w:spacing w:val="-1"/>
        </w:rPr>
        <w:t>n</w:t>
      </w:r>
      <w:r w:rsidRPr="009A0DA6">
        <w:rPr>
          <w:rFonts w:ascii="Cambria" w:eastAsia="Times New Roman" w:hAnsi="Cambria" w:cstheme="minorHAnsi"/>
          <w:spacing w:val="2"/>
        </w:rPr>
        <w:t>t</w:t>
      </w:r>
      <w:r w:rsidRPr="009A0DA6">
        <w:rPr>
          <w:rFonts w:ascii="Cambria" w:eastAsia="Times New Roman" w:hAnsi="Cambria" w:cstheme="minorHAnsi"/>
        </w:rPr>
        <w:t>s</w:t>
      </w:r>
      <w:r w:rsidRPr="009A0DA6">
        <w:rPr>
          <w:rFonts w:ascii="Cambria" w:eastAsia="Times New Roman" w:hAnsi="Cambria" w:cstheme="minorHAnsi"/>
          <w:spacing w:val="2"/>
        </w:rPr>
        <w:t xml:space="preserve"> </w:t>
      </w:r>
      <w:r w:rsidRPr="009A0DA6">
        <w:rPr>
          <w:rFonts w:ascii="Cambria" w:eastAsia="Times New Roman" w:hAnsi="Cambria" w:cstheme="minorHAnsi"/>
        </w:rPr>
        <w:t>in</w:t>
      </w:r>
      <w:r w:rsidRPr="009A0DA6">
        <w:rPr>
          <w:rFonts w:ascii="Cambria" w:eastAsia="Times New Roman" w:hAnsi="Cambria" w:cstheme="minorHAnsi"/>
          <w:spacing w:val="7"/>
        </w:rPr>
        <w:t xml:space="preserve"> </w:t>
      </w:r>
      <w:r w:rsidRPr="009A0DA6">
        <w:rPr>
          <w:rFonts w:ascii="Cambria" w:eastAsia="Times New Roman" w:hAnsi="Cambria" w:cstheme="minorHAnsi"/>
        </w:rPr>
        <w:t xml:space="preserve">a </w:t>
      </w:r>
      <w:r w:rsidRPr="009A0DA6">
        <w:rPr>
          <w:rFonts w:ascii="Cambria" w:eastAsia="Times New Roman" w:hAnsi="Cambria" w:cstheme="minorHAnsi"/>
          <w:spacing w:val="-1"/>
        </w:rPr>
        <w:t>m</w:t>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spacing w:val="-1"/>
        </w:rPr>
        <w:t>n</w:t>
      </w:r>
      <w:r w:rsidRPr="009A0DA6">
        <w:rPr>
          <w:rFonts w:ascii="Cambria" w:eastAsia="Times New Roman" w:hAnsi="Cambria" w:cstheme="minorHAnsi"/>
        </w:rPr>
        <w:t>er</w:t>
      </w:r>
      <w:r w:rsidRPr="009A0DA6">
        <w:rPr>
          <w:rFonts w:ascii="Cambria" w:eastAsia="Times New Roman" w:hAnsi="Cambria" w:cstheme="minorHAnsi"/>
          <w:spacing w:val="-5"/>
        </w:rPr>
        <w:t xml:space="preserve"> </w:t>
      </w:r>
      <w:r w:rsidRPr="009A0DA6">
        <w:rPr>
          <w:rFonts w:ascii="Cambria" w:eastAsia="Times New Roman" w:hAnsi="Cambria" w:cstheme="minorHAnsi"/>
          <w:spacing w:val="2"/>
        </w:rPr>
        <w:t>t</w:t>
      </w:r>
      <w:r w:rsidRPr="009A0DA6">
        <w:rPr>
          <w:rFonts w:ascii="Cambria" w:eastAsia="Times New Roman" w:hAnsi="Cambria" w:cstheme="minorHAnsi"/>
          <w:spacing w:val="-1"/>
        </w:rPr>
        <w:t>h</w:t>
      </w:r>
      <w:r w:rsidRPr="009A0DA6">
        <w:rPr>
          <w:rFonts w:ascii="Cambria" w:eastAsia="Times New Roman" w:hAnsi="Cambria" w:cstheme="minorHAnsi"/>
        </w:rPr>
        <w:t>at</w:t>
      </w:r>
      <w:r w:rsidRPr="009A0DA6">
        <w:rPr>
          <w:rFonts w:ascii="Cambria" w:eastAsia="Times New Roman" w:hAnsi="Cambria" w:cstheme="minorHAnsi"/>
          <w:spacing w:val="-3"/>
        </w:rPr>
        <w:t xml:space="preserve"> </w:t>
      </w:r>
      <w:r w:rsidRPr="009A0DA6">
        <w:rPr>
          <w:rFonts w:ascii="Cambria" w:eastAsia="Times New Roman" w:hAnsi="Cambria" w:cstheme="minorHAnsi"/>
        </w:rPr>
        <w:t>ac</w:t>
      </w:r>
      <w:r w:rsidRPr="009A0DA6">
        <w:rPr>
          <w:rFonts w:ascii="Cambria" w:eastAsia="Times New Roman" w:hAnsi="Cambria" w:cstheme="minorHAnsi"/>
          <w:spacing w:val="-1"/>
        </w:rPr>
        <w:t>h</w:t>
      </w:r>
      <w:r w:rsidRPr="009A0DA6">
        <w:rPr>
          <w:rFonts w:ascii="Cambria" w:eastAsia="Times New Roman" w:hAnsi="Cambria" w:cstheme="minorHAnsi"/>
        </w:rPr>
        <w:t>i</w:t>
      </w:r>
      <w:r w:rsidRPr="009A0DA6">
        <w:rPr>
          <w:rFonts w:ascii="Cambria" w:eastAsia="Times New Roman" w:hAnsi="Cambria" w:cstheme="minorHAnsi"/>
          <w:spacing w:val="3"/>
        </w:rPr>
        <w:t>e</w:t>
      </w:r>
      <w:r w:rsidRPr="009A0DA6">
        <w:rPr>
          <w:rFonts w:ascii="Cambria" w:eastAsia="Times New Roman" w:hAnsi="Cambria" w:cstheme="minorHAnsi"/>
          <w:spacing w:val="-1"/>
        </w:rPr>
        <w:t>v</w:t>
      </w:r>
      <w:r w:rsidRPr="009A0DA6">
        <w:rPr>
          <w:rFonts w:ascii="Cambria" w:eastAsia="Times New Roman" w:hAnsi="Cambria" w:cstheme="minorHAnsi"/>
        </w:rPr>
        <w:t>es</w:t>
      </w:r>
      <w:r w:rsidRPr="009A0DA6">
        <w:rPr>
          <w:rFonts w:ascii="Cambria" w:eastAsia="Times New Roman" w:hAnsi="Cambria" w:cstheme="minorHAnsi"/>
          <w:spacing w:val="-5"/>
        </w:rPr>
        <w:t xml:space="preserve"> </w:t>
      </w:r>
      <w:r w:rsidRPr="009A0DA6">
        <w:rPr>
          <w:rFonts w:ascii="Cambria" w:eastAsia="Times New Roman" w:hAnsi="Cambria" w:cstheme="minorHAnsi"/>
          <w:spacing w:val="-1"/>
        </w:rPr>
        <w:t>f</w:t>
      </w:r>
      <w:r w:rsidRPr="009A0DA6">
        <w:rPr>
          <w:rFonts w:ascii="Cambria" w:eastAsia="Times New Roman" w:hAnsi="Cambria" w:cstheme="minorHAnsi"/>
        </w:rPr>
        <w:t>air</w:t>
      </w:r>
      <w:r w:rsidRPr="009A0DA6">
        <w:rPr>
          <w:rFonts w:ascii="Cambria" w:eastAsia="Times New Roman" w:hAnsi="Cambria" w:cstheme="minorHAnsi"/>
          <w:spacing w:val="-2"/>
        </w:rPr>
        <w:t xml:space="preserve"> </w:t>
      </w:r>
      <w:r w:rsidRPr="009A0DA6">
        <w:rPr>
          <w:rFonts w:ascii="Cambria" w:eastAsia="Times New Roman" w:hAnsi="Cambria" w:cstheme="minorHAnsi"/>
          <w:spacing w:val="1"/>
        </w:rPr>
        <w:t>pr</w:t>
      </w:r>
      <w:r w:rsidRPr="009A0DA6">
        <w:rPr>
          <w:rFonts w:ascii="Cambria" w:eastAsia="Times New Roman" w:hAnsi="Cambria" w:cstheme="minorHAnsi"/>
        </w:rPr>
        <w:t>e</w:t>
      </w:r>
      <w:r w:rsidRPr="009A0DA6">
        <w:rPr>
          <w:rFonts w:ascii="Cambria" w:eastAsia="Times New Roman" w:hAnsi="Cambria" w:cstheme="minorHAnsi"/>
          <w:spacing w:val="2"/>
        </w:rPr>
        <w:t>s</w:t>
      </w:r>
      <w:r w:rsidRPr="009A0DA6">
        <w:rPr>
          <w:rFonts w:ascii="Cambria" w:eastAsia="Times New Roman" w:hAnsi="Cambria" w:cstheme="minorHAnsi"/>
        </w:rPr>
        <w:t>e</w:t>
      </w:r>
      <w:r w:rsidRPr="009A0DA6">
        <w:rPr>
          <w:rFonts w:ascii="Cambria" w:eastAsia="Times New Roman" w:hAnsi="Cambria" w:cstheme="minorHAnsi"/>
          <w:spacing w:val="-1"/>
        </w:rPr>
        <w:t>n</w:t>
      </w:r>
      <w:r w:rsidRPr="009A0DA6">
        <w:rPr>
          <w:rFonts w:ascii="Cambria" w:eastAsia="Times New Roman" w:hAnsi="Cambria" w:cstheme="minorHAnsi"/>
        </w:rPr>
        <w:t>tati</w:t>
      </w:r>
      <w:r w:rsidRPr="009A0DA6">
        <w:rPr>
          <w:rFonts w:ascii="Cambria" w:eastAsia="Times New Roman" w:hAnsi="Cambria" w:cstheme="minorHAnsi"/>
          <w:spacing w:val="1"/>
        </w:rPr>
        <w:t>o</w:t>
      </w:r>
      <w:r w:rsidRPr="009A0DA6">
        <w:rPr>
          <w:rFonts w:ascii="Cambria" w:eastAsia="Times New Roman" w:hAnsi="Cambria" w:cstheme="minorHAnsi"/>
          <w:spacing w:val="-1"/>
        </w:rPr>
        <w:t>n</w:t>
      </w:r>
      <w:r w:rsidRPr="009A0DA6">
        <w:rPr>
          <w:rFonts w:ascii="Cambria" w:eastAsia="Times New Roman" w:hAnsi="Cambria" w:cstheme="minorHAnsi"/>
        </w:rPr>
        <w:t>.</w:t>
      </w:r>
    </w:p>
    <w:p w14:paraId="633BBE45" w14:textId="77777777" w:rsidR="00BA4592" w:rsidRPr="009A0DA6" w:rsidRDefault="00BA4592" w:rsidP="00BA4592">
      <w:pPr>
        <w:spacing w:before="120" w:after="120" w:line="240" w:lineRule="auto"/>
        <w:ind w:right="-107"/>
        <w:contextualSpacing/>
        <w:rPr>
          <w:rFonts w:ascii="Cambria" w:eastAsia="Times New Roman" w:hAnsi="Cambria" w:cstheme="minorHAnsi"/>
        </w:rPr>
      </w:pPr>
      <w:r w:rsidRPr="009A0DA6">
        <w:rPr>
          <w:rFonts w:ascii="Cambria" w:eastAsia="Times New Roman" w:hAnsi="Cambria" w:cstheme="minorHAnsi"/>
          <w:spacing w:val="2"/>
        </w:rPr>
        <w:t>W</w:t>
      </w:r>
      <w:r w:rsidRPr="009A0DA6">
        <w:rPr>
          <w:rFonts w:ascii="Cambria" w:eastAsia="Times New Roman" w:hAnsi="Cambria" w:cstheme="minorHAnsi"/>
        </w:rPr>
        <w:t>e</w:t>
      </w:r>
      <w:r w:rsidRPr="009A0DA6">
        <w:rPr>
          <w:rFonts w:ascii="Cambria" w:eastAsia="Times New Roman" w:hAnsi="Cambria" w:cstheme="minorHAnsi"/>
          <w:spacing w:val="5"/>
        </w:rPr>
        <w:t xml:space="preserve"> </w:t>
      </w:r>
      <w:r w:rsidRPr="009A0DA6">
        <w:rPr>
          <w:rFonts w:ascii="Cambria" w:eastAsia="Times New Roman" w:hAnsi="Cambria" w:cstheme="minorHAnsi"/>
        </w:rPr>
        <w:t>c</w:t>
      </w:r>
      <w:r w:rsidRPr="009A0DA6">
        <w:rPr>
          <w:rFonts w:ascii="Cambria" w:eastAsia="Times New Roman" w:hAnsi="Cambria" w:cstheme="minorHAnsi"/>
          <w:spacing w:val="1"/>
        </w:rPr>
        <w:t>o</w:t>
      </w:r>
      <w:r w:rsidRPr="009A0DA6">
        <w:rPr>
          <w:rFonts w:ascii="Cambria" w:eastAsia="Times New Roman" w:hAnsi="Cambria" w:cstheme="minorHAnsi"/>
          <w:spacing w:val="-1"/>
        </w:rPr>
        <w:t>mm</w:t>
      </w:r>
      <w:r w:rsidRPr="009A0DA6">
        <w:rPr>
          <w:rFonts w:ascii="Cambria" w:eastAsia="Times New Roman" w:hAnsi="Cambria" w:cstheme="minorHAnsi"/>
          <w:spacing w:val="1"/>
        </w:rPr>
        <w:t>u</w:t>
      </w:r>
      <w:r w:rsidRPr="009A0DA6">
        <w:rPr>
          <w:rFonts w:ascii="Cambria" w:eastAsia="Times New Roman" w:hAnsi="Cambria" w:cstheme="minorHAnsi"/>
          <w:spacing w:val="-1"/>
        </w:rPr>
        <w:t>n</w:t>
      </w:r>
      <w:r w:rsidRPr="009A0DA6">
        <w:rPr>
          <w:rFonts w:ascii="Cambria" w:eastAsia="Times New Roman" w:hAnsi="Cambria" w:cstheme="minorHAnsi"/>
        </w:rPr>
        <w:t xml:space="preserve">icate </w:t>
      </w:r>
      <w:r w:rsidRPr="009A0DA6">
        <w:rPr>
          <w:rFonts w:ascii="Cambria" w:eastAsia="Times New Roman" w:hAnsi="Cambria" w:cstheme="minorHAnsi"/>
          <w:spacing w:val="-2"/>
        </w:rPr>
        <w:t>w</w:t>
      </w:r>
      <w:r w:rsidRPr="009A0DA6">
        <w:rPr>
          <w:rFonts w:ascii="Cambria" w:eastAsia="Times New Roman" w:hAnsi="Cambria" w:cstheme="minorHAnsi"/>
        </w:rPr>
        <w:t>i</w:t>
      </w:r>
      <w:r w:rsidRPr="009A0DA6">
        <w:rPr>
          <w:rFonts w:ascii="Cambria" w:eastAsia="Times New Roman" w:hAnsi="Cambria" w:cstheme="minorHAnsi"/>
          <w:spacing w:val="2"/>
        </w:rPr>
        <w:t>t</w:t>
      </w:r>
      <w:r w:rsidRPr="009A0DA6">
        <w:rPr>
          <w:rFonts w:ascii="Cambria" w:eastAsia="Times New Roman" w:hAnsi="Cambria" w:cstheme="minorHAnsi"/>
        </w:rPr>
        <w:t>h</w:t>
      </w:r>
      <w:r w:rsidRPr="009A0DA6">
        <w:rPr>
          <w:rFonts w:ascii="Cambria" w:eastAsia="Times New Roman" w:hAnsi="Cambria" w:cstheme="minorHAnsi"/>
          <w:spacing w:val="3"/>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5"/>
        </w:rPr>
        <w:t xml:space="preserve"> </w:t>
      </w:r>
      <w:r w:rsidRPr="009A0DA6">
        <w:rPr>
          <w:rFonts w:ascii="Cambria" w:eastAsia="Times New Roman" w:hAnsi="Cambria" w:cstheme="minorHAnsi"/>
        </w:rPr>
        <w:t>Ge</w:t>
      </w:r>
      <w:r w:rsidRPr="009A0DA6">
        <w:rPr>
          <w:rFonts w:ascii="Cambria" w:eastAsia="Times New Roman" w:hAnsi="Cambria" w:cstheme="minorHAnsi"/>
          <w:spacing w:val="-1"/>
        </w:rPr>
        <w:t>n</w:t>
      </w:r>
      <w:r w:rsidRPr="009A0DA6">
        <w:rPr>
          <w:rFonts w:ascii="Cambria" w:eastAsia="Times New Roman" w:hAnsi="Cambria" w:cstheme="minorHAnsi"/>
        </w:rPr>
        <w:t>e</w:t>
      </w:r>
      <w:r w:rsidRPr="009A0DA6">
        <w:rPr>
          <w:rFonts w:ascii="Cambria" w:eastAsia="Times New Roman" w:hAnsi="Cambria" w:cstheme="minorHAnsi"/>
          <w:spacing w:val="1"/>
        </w:rPr>
        <w:t>r</w:t>
      </w:r>
      <w:r w:rsidRPr="009A0DA6">
        <w:rPr>
          <w:rFonts w:ascii="Cambria" w:eastAsia="Times New Roman" w:hAnsi="Cambria" w:cstheme="minorHAnsi"/>
        </w:rPr>
        <w:t>al</w:t>
      </w:r>
      <w:r w:rsidRPr="009A0DA6">
        <w:rPr>
          <w:rFonts w:ascii="Cambria" w:eastAsia="Times New Roman" w:hAnsi="Cambria" w:cstheme="minorHAnsi"/>
          <w:spacing w:val="1"/>
        </w:rPr>
        <w:t xml:space="preserve"> </w:t>
      </w:r>
      <w:r w:rsidRPr="009A0DA6">
        <w:rPr>
          <w:rFonts w:ascii="Cambria" w:eastAsia="Times New Roman" w:hAnsi="Cambria" w:cstheme="minorHAnsi"/>
          <w:spacing w:val="-1"/>
        </w:rPr>
        <w:t>C</w:t>
      </w:r>
      <w:r w:rsidRPr="009A0DA6">
        <w:rPr>
          <w:rFonts w:ascii="Cambria" w:eastAsia="Times New Roman" w:hAnsi="Cambria" w:cstheme="minorHAnsi"/>
          <w:spacing w:val="1"/>
        </w:rPr>
        <w:t>h</w:t>
      </w:r>
      <w:r w:rsidRPr="009A0DA6">
        <w:rPr>
          <w:rFonts w:ascii="Cambria" w:eastAsia="Times New Roman" w:hAnsi="Cambria" w:cstheme="minorHAnsi"/>
          <w:spacing w:val="-1"/>
        </w:rPr>
        <w:t>u</w:t>
      </w:r>
      <w:r w:rsidRPr="009A0DA6">
        <w:rPr>
          <w:rFonts w:ascii="Cambria" w:eastAsia="Times New Roman" w:hAnsi="Cambria" w:cstheme="minorHAnsi"/>
          <w:spacing w:val="1"/>
        </w:rPr>
        <w:t>r</w:t>
      </w:r>
      <w:r w:rsidRPr="009A0DA6">
        <w:rPr>
          <w:rFonts w:ascii="Cambria" w:eastAsia="Times New Roman" w:hAnsi="Cambria" w:cstheme="minorHAnsi"/>
        </w:rPr>
        <w:t>ch</w:t>
      </w:r>
      <w:r w:rsidRPr="009A0DA6">
        <w:rPr>
          <w:rFonts w:ascii="Cambria" w:eastAsia="Times New Roman" w:hAnsi="Cambria" w:cstheme="minorHAnsi"/>
          <w:spacing w:val="1"/>
        </w:rPr>
        <w:t xml:space="preserve"> </w:t>
      </w:r>
      <w:r w:rsidRPr="009A0DA6">
        <w:rPr>
          <w:rFonts w:ascii="Cambria" w:eastAsia="Times New Roman" w:hAnsi="Cambria" w:cstheme="minorHAnsi"/>
          <w:spacing w:val="-1"/>
        </w:rPr>
        <w:t>C</w:t>
      </w:r>
      <w:r w:rsidRPr="009A0DA6">
        <w:rPr>
          <w:rFonts w:ascii="Cambria" w:eastAsia="Times New Roman" w:hAnsi="Cambria" w:cstheme="minorHAnsi"/>
          <w:spacing w:val="4"/>
        </w:rPr>
        <w:t>o</w:t>
      </w:r>
      <w:r w:rsidRPr="009A0DA6">
        <w:rPr>
          <w:rFonts w:ascii="Cambria" w:eastAsia="Times New Roman" w:hAnsi="Cambria" w:cstheme="minorHAnsi"/>
          <w:spacing w:val="-1"/>
        </w:rPr>
        <w:t>un</w:t>
      </w:r>
      <w:r w:rsidRPr="009A0DA6">
        <w:rPr>
          <w:rFonts w:ascii="Cambria" w:eastAsia="Times New Roman" w:hAnsi="Cambria" w:cstheme="minorHAnsi"/>
        </w:rPr>
        <w:t>c</w:t>
      </w:r>
      <w:r w:rsidRPr="009A0DA6">
        <w:rPr>
          <w:rFonts w:ascii="Cambria" w:eastAsia="Times New Roman" w:hAnsi="Cambria" w:cstheme="minorHAnsi"/>
          <w:spacing w:val="2"/>
        </w:rPr>
        <w:t>i</w:t>
      </w:r>
      <w:r w:rsidRPr="009A0DA6">
        <w:rPr>
          <w:rFonts w:ascii="Cambria" w:eastAsia="Times New Roman" w:hAnsi="Cambria" w:cstheme="minorHAnsi"/>
        </w:rPr>
        <w:t>l</w:t>
      </w:r>
      <w:r w:rsidRPr="009A0DA6">
        <w:rPr>
          <w:rFonts w:ascii="Cambria" w:eastAsia="Times New Roman" w:hAnsi="Cambria" w:cstheme="minorHAnsi"/>
          <w:spacing w:val="1"/>
        </w:rPr>
        <w:t xml:space="preserve"> r</w:t>
      </w:r>
      <w:r w:rsidRPr="009A0DA6">
        <w:rPr>
          <w:rFonts w:ascii="Cambria" w:eastAsia="Times New Roman" w:hAnsi="Cambria" w:cstheme="minorHAnsi"/>
        </w:rPr>
        <w:t>e</w:t>
      </w:r>
      <w:r w:rsidRPr="009A0DA6">
        <w:rPr>
          <w:rFonts w:ascii="Cambria" w:eastAsia="Times New Roman" w:hAnsi="Cambria" w:cstheme="minorHAnsi"/>
          <w:spacing w:val="-1"/>
        </w:rPr>
        <w:t>g</w:t>
      </w:r>
      <w:r w:rsidRPr="009A0DA6">
        <w:rPr>
          <w:rFonts w:ascii="Cambria" w:eastAsia="Times New Roman" w:hAnsi="Cambria" w:cstheme="minorHAnsi"/>
        </w:rPr>
        <w:t>a</w:t>
      </w:r>
      <w:r w:rsidRPr="009A0DA6">
        <w:rPr>
          <w:rFonts w:ascii="Cambria" w:eastAsia="Times New Roman" w:hAnsi="Cambria" w:cstheme="minorHAnsi"/>
          <w:spacing w:val="1"/>
        </w:rPr>
        <w:t>rd</w:t>
      </w:r>
      <w:r w:rsidRPr="009A0DA6">
        <w:rPr>
          <w:rFonts w:ascii="Cambria" w:eastAsia="Times New Roman" w:hAnsi="Cambria" w:cstheme="minorHAnsi"/>
        </w:rPr>
        <w:t>i</w:t>
      </w:r>
      <w:r w:rsidRPr="009A0DA6">
        <w:rPr>
          <w:rFonts w:ascii="Cambria" w:eastAsia="Times New Roman" w:hAnsi="Cambria" w:cstheme="minorHAnsi"/>
          <w:spacing w:val="-1"/>
        </w:rPr>
        <w:t>ng</w:t>
      </w:r>
      <w:r w:rsidRPr="009A0DA6">
        <w:rPr>
          <w:rFonts w:ascii="Cambria" w:eastAsia="Times New Roman" w:hAnsi="Cambria" w:cstheme="minorHAnsi"/>
        </w:rPr>
        <w:t>,</w:t>
      </w:r>
      <w:r w:rsidRPr="009A0DA6">
        <w:rPr>
          <w:rFonts w:ascii="Cambria" w:eastAsia="Times New Roman" w:hAnsi="Cambria" w:cstheme="minorHAnsi"/>
          <w:spacing w:val="1"/>
        </w:rPr>
        <w:t xml:space="preserve"> </w:t>
      </w:r>
      <w:r w:rsidRPr="009A0DA6">
        <w:rPr>
          <w:rFonts w:ascii="Cambria" w:eastAsia="Times New Roman" w:hAnsi="Cambria" w:cstheme="minorHAnsi"/>
          <w:spacing w:val="3"/>
        </w:rPr>
        <w:t>a</w:t>
      </w:r>
      <w:r w:rsidRPr="009A0DA6">
        <w:rPr>
          <w:rFonts w:ascii="Cambria" w:eastAsia="Times New Roman" w:hAnsi="Cambria" w:cstheme="minorHAnsi"/>
          <w:spacing w:val="-4"/>
        </w:rPr>
        <w:t>m</w:t>
      </w:r>
      <w:r w:rsidRPr="009A0DA6">
        <w:rPr>
          <w:rFonts w:ascii="Cambria" w:eastAsia="Times New Roman" w:hAnsi="Cambria" w:cstheme="minorHAnsi"/>
          <w:spacing w:val="4"/>
        </w:rPr>
        <w:t>o</w:t>
      </w:r>
      <w:r w:rsidRPr="009A0DA6">
        <w:rPr>
          <w:rFonts w:ascii="Cambria" w:eastAsia="Times New Roman" w:hAnsi="Cambria" w:cstheme="minorHAnsi"/>
          <w:spacing w:val="-1"/>
        </w:rPr>
        <w:t>n</w:t>
      </w:r>
      <w:r w:rsidRPr="009A0DA6">
        <w:rPr>
          <w:rFonts w:ascii="Cambria" w:eastAsia="Times New Roman" w:hAnsi="Cambria" w:cstheme="minorHAnsi"/>
        </w:rPr>
        <w:t>g</w:t>
      </w:r>
      <w:r w:rsidRPr="009A0DA6">
        <w:rPr>
          <w:rFonts w:ascii="Cambria" w:eastAsia="Times New Roman" w:hAnsi="Cambria" w:cstheme="minorHAnsi"/>
          <w:spacing w:val="1"/>
        </w:rPr>
        <w:t xml:space="preserve"> o</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er</w:t>
      </w:r>
      <w:r w:rsidRPr="009A0DA6">
        <w:rPr>
          <w:rFonts w:ascii="Cambria" w:eastAsia="Times New Roman" w:hAnsi="Cambria" w:cstheme="minorHAnsi"/>
          <w:spacing w:val="7"/>
        </w:rPr>
        <w:t xml:space="preserve"> </w:t>
      </w:r>
      <w:r w:rsidRPr="009A0DA6">
        <w:rPr>
          <w:rFonts w:ascii="Cambria" w:eastAsia="Times New Roman" w:hAnsi="Cambria" w:cstheme="minorHAnsi"/>
          <w:spacing w:val="-4"/>
        </w:rPr>
        <w:t>m</w:t>
      </w:r>
      <w:r w:rsidRPr="009A0DA6">
        <w:rPr>
          <w:rFonts w:ascii="Cambria" w:eastAsia="Times New Roman" w:hAnsi="Cambria" w:cstheme="minorHAnsi"/>
        </w:rPr>
        <w:t>a</w:t>
      </w:r>
      <w:r w:rsidRPr="009A0DA6">
        <w:rPr>
          <w:rFonts w:ascii="Cambria" w:eastAsia="Times New Roman" w:hAnsi="Cambria" w:cstheme="minorHAnsi"/>
          <w:spacing w:val="2"/>
        </w:rPr>
        <w:t>t</w:t>
      </w:r>
      <w:r w:rsidRPr="009A0DA6">
        <w:rPr>
          <w:rFonts w:ascii="Cambria" w:eastAsia="Times New Roman" w:hAnsi="Cambria" w:cstheme="minorHAnsi"/>
        </w:rPr>
        <w:t>te</w:t>
      </w:r>
      <w:r w:rsidRPr="009A0DA6">
        <w:rPr>
          <w:rFonts w:ascii="Cambria" w:eastAsia="Times New Roman" w:hAnsi="Cambria" w:cstheme="minorHAnsi"/>
          <w:spacing w:val="1"/>
        </w:rPr>
        <w:t>r</w:t>
      </w:r>
      <w:r w:rsidRPr="009A0DA6">
        <w:rPr>
          <w:rFonts w:ascii="Cambria" w:eastAsia="Times New Roman" w:hAnsi="Cambria" w:cstheme="minorHAnsi"/>
          <w:spacing w:val="-1"/>
        </w:rPr>
        <w:t>s</w:t>
      </w:r>
      <w:r w:rsidRPr="009A0DA6">
        <w:rPr>
          <w:rFonts w:ascii="Cambria" w:eastAsia="Times New Roman" w:hAnsi="Cambria" w:cstheme="minorHAnsi"/>
        </w:rPr>
        <w:t>,</w:t>
      </w:r>
      <w:r w:rsidRPr="009A0DA6">
        <w:rPr>
          <w:rFonts w:ascii="Cambria" w:eastAsia="Times New Roman" w:hAnsi="Cambria" w:cstheme="minorHAnsi"/>
          <w:spacing w:val="2"/>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5"/>
        </w:rPr>
        <w:t xml:space="preserve"> </w:t>
      </w:r>
      <w:r w:rsidRPr="009A0DA6">
        <w:rPr>
          <w:rFonts w:ascii="Cambria" w:eastAsia="Times New Roman" w:hAnsi="Cambria" w:cstheme="minorHAnsi"/>
          <w:spacing w:val="1"/>
        </w:rPr>
        <w:t>p</w:t>
      </w:r>
      <w:r w:rsidRPr="009A0DA6">
        <w:rPr>
          <w:rFonts w:ascii="Cambria" w:eastAsia="Times New Roman" w:hAnsi="Cambria" w:cstheme="minorHAnsi"/>
        </w:rPr>
        <w:t>la</w:t>
      </w:r>
      <w:r w:rsidRPr="009A0DA6">
        <w:rPr>
          <w:rFonts w:ascii="Cambria" w:eastAsia="Times New Roman" w:hAnsi="Cambria" w:cstheme="minorHAnsi"/>
          <w:spacing w:val="-1"/>
        </w:rPr>
        <w:t>nn</w:t>
      </w:r>
      <w:r w:rsidRPr="009A0DA6">
        <w:rPr>
          <w:rFonts w:ascii="Cambria" w:eastAsia="Times New Roman" w:hAnsi="Cambria" w:cstheme="minorHAnsi"/>
        </w:rPr>
        <w:t>ed</w:t>
      </w:r>
      <w:r w:rsidRPr="009A0DA6">
        <w:rPr>
          <w:rFonts w:ascii="Cambria" w:eastAsia="Times New Roman" w:hAnsi="Cambria" w:cstheme="minorHAnsi"/>
          <w:spacing w:val="2"/>
        </w:rPr>
        <w:t xml:space="preserve"> </w:t>
      </w:r>
      <w:r w:rsidRPr="009A0DA6">
        <w:rPr>
          <w:rFonts w:ascii="Cambria" w:eastAsia="Times New Roman" w:hAnsi="Cambria" w:cstheme="minorHAnsi"/>
          <w:spacing w:val="-1"/>
        </w:rPr>
        <w:t>s</w:t>
      </w:r>
      <w:r w:rsidRPr="009A0DA6">
        <w:rPr>
          <w:rFonts w:ascii="Cambria" w:eastAsia="Times New Roman" w:hAnsi="Cambria" w:cstheme="minorHAnsi"/>
        </w:rPr>
        <w:t>c</w:t>
      </w:r>
      <w:r w:rsidRPr="009A0DA6">
        <w:rPr>
          <w:rFonts w:ascii="Cambria" w:eastAsia="Times New Roman" w:hAnsi="Cambria" w:cstheme="minorHAnsi"/>
          <w:spacing w:val="1"/>
        </w:rPr>
        <w:t>op</w:t>
      </w:r>
      <w:r w:rsidRPr="009A0DA6">
        <w:rPr>
          <w:rFonts w:ascii="Cambria" w:eastAsia="Times New Roman" w:hAnsi="Cambria" w:cstheme="minorHAnsi"/>
        </w:rPr>
        <w:t>e a</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spacing w:val="8"/>
        </w:rPr>
        <w:t xml:space="preserve"> </w:t>
      </w:r>
      <w:r w:rsidRPr="009A0DA6">
        <w:rPr>
          <w:rFonts w:ascii="Cambria" w:eastAsia="Times New Roman" w:hAnsi="Cambria" w:cstheme="minorHAnsi"/>
        </w:rPr>
        <w:t>t</w:t>
      </w:r>
      <w:r w:rsidRPr="009A0DA6">
        <w:rPr>
          <w:rFonts w:ascii="Cambria" w:eastAsia="Times New Roman" w:hAnsi="Cambria" w:cstheme="minorHAnsi"/>
          <w:spacing w:val="2"/>
        </w:rPr>
        <w:t>i</w:t>
      </w:r>
      <w:r w:rsidRPr="009A0DA6">
        <w:rPr>
          <w:rFonts w:ascii="Cambria" w:eastAsia="Times New Roman" w:hAnsi="Cambria" w:cstheme="minorHAnsi"/>
          <w:spacing w:val="-1"/>
        </w:rPr>
        <w:t>m</w:t>
      </w:r>
      <w:r w:rsidRPr="009A0DA6">
        <w:rPr>
          <w:rFonts w:ascii="Cambria" w:eastAsia="Times New Roman" w:hAnsi="Cambria" w:cstheme="minorHAnsi"/>
        </w:rPr>
        <w:t>i</w:t>
      </w:r>
      <w:r w:rsidRPr="009A0DA6">
        <w:rPr>
          <w:rFonts w:ascii="Cambria" w:eastAsia="Times New Roman" w:hAnsi="Cambria" w:cstheme="minorHAnsi"/>
          <w:spacing w:val="1"/>
        </w:rPr>
        <w:t>n</w:t>
      </w:r>
      <w:r w:rsidRPr="009A0DA6">
        <w:rPr>
          <w:rFonts w:ascii="Cambria" w:eastAsia="Times New Roman" w:hAnsi="Cambria" w:cstheme="minorHAnsi"/>
        </w:rPr>
        <w:t>g</w:t>
      </w:r>
      <w:r w:rsidRPr="009A0DA6">
        <w:rPr>
          <w:rFonts w:ascii="Cambria" w:eastAsia="Times New Roman" w:hAnsi="Cambria" w:cstheme="minorHAnsi"/>
          <w:spacing w:val="4"/>
        </w:rPr>
        <w:t xml:space="preserve"> o</w:t>
      </w:r>
      <w:r w:rsidRPr="009A0DA6">
        <w:rPr>
          <w:rFonts w:ascii="Cambria" w:eastAsia="Times New Roman" w:hAnsi="Cambria" w:cstheme="minorHAnsi"/>
        </w:rPr>
        <w:t>f</w:t>
      </w:r>
      <w:r w:rsidRPr="009A0DA6">
        <w:rPr>
          <w:rFonts w:ascii="Cambria" w:eastAsia="Times New Roman" w:hAnsi="Cambria" w:cstheme="minorHAnsi"/>
          <w:spacing w:val="7"/>
        </w:rPr>
        <w:t xml:space="preserve"> </w:t>
      </w:r>
      <w:r w:rsidRPr="009A0DA6">
        <w:rPr>
          <w:rFonts w:ascii="Cambria" w:eastAsia="Times New Roman" w:hAnsi="Cambria" w:cstheme="minorHAnsi"/>
          <w:spacing w:val="2"/>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8"/>
        </w:rPr>
        <w:t xml:space="preserve"> </w:t>
      </w:r>
      <w:r w:rsidRPr="009A0DA6">
        <w:rPr>
          <w:rFonts w:ascii="Cambria" w:eastAsia="Times New Roman" w:hAnsi="Cambria" w:cstheme="minorHAnsi"/>
        </w:rPr>
        <w:t>a</w:t>
      </w:r>
      <w:r w:rsidRPr="009A0DA6">
        <w:rPr>
          <w:rFonts w:ascii="Cambria" w:eastAsia="Times New Roman" w:hAnsi="Cambria" w:cstheme="minorHAnsi"/>
          <w:spacing w:val="-1"/>
        </w:rPr>
        <w:t>u</w:t>
      </w:r>
      <w:r w:rsidRPr="009A0DA6">
        <w:rPr>
          <w:rFonts w:ascii="Cambria" w:eastAsia="Times New Roman" w:hAnsi="Cambria" w:cstheme="minorHAnsi"/>
          <w:spacing w:val="1"/>
        </w:rPr>
        <w:t>d</w:t>
      </w:r>
      <w:r w:rsidRPr="009A0DA6">
        <w:rPr>
          <w:rFonts w:ascii="Cambria" w:eastAsia="Times New Roman" w:hAnsi="Cambria" w:cstheme="minorHAnsi"/>
        </w:rPr>
        <w:t>it</w:t>
      </w:r>
      <w:r w:rsidRPr="009A0DA6">
        <w:rPr>
          <w:rFonts w:ascii="Cambria" w:eastAsia="Times New Roman" w:hAnsi="Cambria" w:cstheme="minorHAnsi"/>
          <w:spacing w:val="8"/>
        </w:rPr>
        <w:t xml:space="preserve"> </w:t>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spacing w:val="8"/>
        </w:rPr>
        <w:t xml:space="preserve"> </w:t>
      </w:r>
      <w:r w:rsidRPr="009A0DA6">
        <w:rPr>
          <w:rFonts w:ascii="Cambria" w:eastAsia="Times New Roman" w:hAnsi="Cambria" w:cstheme="minorHAnsi"/>
          <w:spacing w:val="2"/>
        </w:rPr>
        <w:t>si</w:t>
      </w:r>
      <w:r w:rsidRPr="009A0DA6">
        <w:rPr>
          <w:rFonts w:ascii="Cambria" w:eastAsia="Times New Roman" w:hAnsi="Cambria" w:cstheme="minorHAnsi"/>
          <w:spacing w:val="-1"/>
        </w:rPr>
        <w:t>gn</w:t>
      </w:r>
      <w:r w:rsidRPr="009A0DA6">
        <w:rPr>
          <w:rFonts w:ascii="Cambria" w:eastAsia="Times New Roman" w:hAnsi="Cambria" w:cstheme="minorHAnsi"/>
          <w:spacing w:val="2"/>
        </w:rPr>
        <w:t>i</w:t>
      </w:r>
      <w:r w:rsidRPr="009A0DA6">
        <w:rPr>
          <w:rFonts w:ascii="Cambria" w:eastAsia="Times New Roman" w:hAnsi="Cambria" w:cstheme="minorHAnsi"/>
          <w:spacing w:val="-1"/>
        </w:rPr>
        <w:t>f</w:t>
      </w:r>
      <w:r w:rsidRPr="009A0DA6">
        <w:rPr>
          <w:rFonts w:ascii="Cambria" w:eastAsia="Times New Roman" w:hAnsi="Cambria" w:cstheme="minorHAnsi"/>
        </w:rPr>
        <w:t>ic</w:t>
      </w:r>
      <w:r w:rsidRPr="009A0DA6">
        <w:rPr>
          <w:rFonts w:ascii="Cambria" w:eastAsia="Times New Roman" w:hAnsi="Cambria" w:cstheme="minorHAnsi"/>
          <w:spacing w:val="3"/>
        </w:rPr>
        <w:t>a</w:t>
      </w:r>
      <w:r w:rsidRPr="009A0DA6">
        <w:rPr>
          <w:rFonts w:ascii="Cambria" w:eastAsia="Times New Roman" w:hAnsi="Cambria" w:cstheme="minorHAnsi"/>
          <w:spacing w:val="-1"/>
        </w:rPr>
        <w:t>n</w:t>
      </w:r>
      <w:r w:rsidRPr="009A0DA6">
        <w:rPr>
          <w:rFonts w:ascii="Cambria" w:eastAsia="Times New Roman" w:hAnsi="Cambria" w:cstheme="minorHAnsi"/>
        </w:rPr>
        <w:t>t</w:t>
      </w:r>
      <w:r w:rsidRPr="009A0DA6">
        <w:rPr>
          <w:rFonts w:ascii="Cambria" w:eastAsia="Times New Roman" w:hAnsi="Cambria" w:cstheme="minorHAnsi"/>
          <w:spacing w:val="2"/>
        </w:rPr>
        <w:t xml:space="preserve"> </w:t>
      </w:r>
      <w:r w:rsidRPr="009A0DA6">
        <w:rPr>
          <w:rFonts w:ascii="Cambria" w:eastAsia="Times New Roman" w:hAnsi="Cambria" w:cstheme="minorHAnsi"/>
          <w:spacing w:val="3"/>
        </w:rPr>
        <w:t>a</w:t>
      </w:r>
      <w:r w:rsidRPr="009A0DA6">
        <w:rPr>
          <w:rFonts w:ascii="Cambria" w:eastAsia="Times New Roman" w:hAnsi="Cambria" w:cstheme="minorHAnsi"/>
          <w:spacing w:val="-1"/>
        </w:rPr>
        <w:t>u</w:t>
      </w:r>
      <w:r w:rsidRPr="009A0DA6">
        <w:rPr>
          <w:rFonts w:ascii="Cambria" w:eastAsia="Times New Roman" w:hAnsi="Cambria" w:cstheme="minorHAnsi"/>
          <w:spacing w:val="1"/>
        </w:rPr>
        <w:t>d</w:t>
      </w:r>
      <w:r w:rsidRPr="009A0DA6">
        <w:rPr>
          <w:rFonts w:ascii="Cambria" w:eastAsia="Times New Roman" w:hAnsi="Cambria" w:cstheme="minorHAnsi"/>
        </w:rPr>
        <w:t>it</w:t>
      </w:r>
      <w:r w:rsidRPr="009A0DA6">
        <w:rPr>
          <w:rFonts w:ascii="Cambria" w:eastAsia="Times New Roman" w:hAnsi="Cambria" w:cstheme="minorHAnsi"/>
          <w:spacing w:val="8"/>
        </w:rPr>
        <w:t xml:space="preserve"> </w:t>
      </w:r>
      <w:r w:rsidRPr="009A0DA6">
        <w:rPr>
          <w:rFonts w:ascii="Cambria" w:eastAsia="Times New Roman" w:hAnsi="Cambria" w:cstheme="minorHAnsi"/>
          <w:spacing w:val="-1"/>
        </w:rPr>
        <w:t>f</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spacing w:val="1"/>
        </w:rPr>
        <w:t>d</w:t>
      </w:r>
      <w:r w:rsidRPr="009A0DA6">
        <w:rPr>
          <w:rFonts w:ascii="Cambria" w:eastAsia="Times New Roman" w:hAnsi="Cambria" w:cstheme="minorHAnsi"/>
        </w:rPr>
        <w:t>i</w:t>
      </w:r>
      <w:r w:rsidRPr="009A0DA6">
        <w:rPr>
          <w:rFonts w:ascii="Cambria" w:eastAsia="Times New Roman" w:hAnsi="Cambria" w:cstheme="minorHAnsi"/>
          <w:spacing w:val="1"/>
        </w:rPr>
        <w:t>n</w:t>
      </w:r>
      <w:r w:rsidRPr="009A0DA6">
        <w:rPr>
          <w:rFonts w:ascii="Cambria" w:eastAsia="Times New Roman" w:hAnsi="Cambria" w:cstheme="minorHAnsi"/>
          <w:spacing w:val="-1"/>
        </w:rPr>
        <w:t>gs</w:t>
      </w:r>
      <w:r w:rsidRPr="009A0DA6">
        <w:rPr>
          <w:rFonts w:ascii="Cambria" w:eastAsia="Times New Roman" w:hAnsi="Cambria" w:cstheme="minorHAnsi"/>
        </w:rPr>
        <w:t>,</w:t>
      </w:r>
      <w:r w:rsidRPr="009A0DA6">
        <w:rPr>
          <w:rFonts w:ascii="Cambria" w:eastAsia="Times New Roman" w:hAnsi="Cambria" w:cstheme="minorHAnsi"/>
          <w:spacing w:val="4"/>
        </w:rPr>
        <w:t xml:space="preserve"> </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rPr>
        <w:t>c</w:t>
      </w:r>
      <w:r w:rsidRPr="009A0DA6">
        <w:rPr>
          <w:rFonts w:ascii="Cambria" w:eastAsia="Times New Roman" w:hAnsi="Cambria" w:cstheme="minorHAnsi"/>
          <w:spacing w:val="2"/>
        </w:rPr>
        <w:t>l</w:t>
      </w:r>
      <w:r w:rsidRPr="009A0DA6">
        <w:rPr>
          <w:rFonts w:ascii="Cambria" w:eastAsia="Times New Roman" w:hAnsi="Cambria" w:cstheme="minorHAnsi"/>
          <w:spacing w:val="1"/>
        </w:rPr>
        <w:t>ud</w:t>
      </w:r>
      <w:r w:rsidRPr="009A0DA6">
        <w:rPr>
          <w:rFonts w:ascii="Cambria" w:eastAsia="Times New Roman" w:hAnsi="Cambria" w:cstheme="minorHAnsi"/>
        </w:rPr>
        <w:t>i</w:t>
      </w:r>
      <w:r w:rsidRPr="009A0DA6">
        <w:rPr>
          <w:rFonts w:ascii="Cambria" w:eastAsia="Times New Roman" w:hAnsi="Cambria" w:cstheme="minorHAnsi"/>
          <w:spacing w:val="-1"/>
        </w:rPr>
        <w:t>n</w:t>
      </w:r>
      <w:r w:rsidRPr="009A0DA6">
        <w:rPr>
          <w:rFonts w:ascii="Cambria" w:eastAsia="Times New Roman" w:hAnsi="Cambria" w:cstheme="minorHAnsi"/>
        </w:rPr>
        <w:t>g</w:t>
      </w:r>
      <w:r w:rsidRPr="009A0DA6">
        <w:rPr>
          <w:rFonts w:ascii="Cambria" w:eastAsia="Times New Roman" w:hAnsi="Cambria" w:cstheme="minorHAnsi"/>
          <w:spacing w:val="1"/>
        </w:rPr>
        <w:t xml:space="preserve"> </w:t>
      </w:r>
      <w:r w:rsidRPr="009A0DA6">
        <w:rPr>
          <w:rFonts w:ascii="Cambria" w:eastAsia="Times New Roman" w:hAnsi="Cambria" w:cstheme="minorHAnsi"/>
          <w:spacing w:val="3"/>
        </w:rPr>
        <w:t>a</w:t>
      </w:r>
      <w:r w:rsidRPr="009A0DA6">
        <w:rPr>
          <w:rFonts w:ascii="Cambria" w:eastAsia="Times New Roman" w:hAnsi="Cambria" w:cstheme="minorHAnsi"/>
          <w:spacing w:val="1"/>
        </w:rPr>
        <w:t>n</w:t>
      </w:r>
      <w:r w:rsidRPr="009A0DA6">
        <w:rPr>
          <w:rFonts w:ascii="Cambria" w:eastAsia="Times New Roman" w:hAnsi="Cambria" w:cstheme="minorHAnsi"/>
        </w:rPr>
        <w:t>y</w:t>
      </w:r>
      <w:r w:rsidRPr="009A0DA6">
        <w:rPr>
          <w:rFonts w:ascii="Cambria" w:eastAsia="Times New Roman" w:hAnsi="Cambria" w:cstheme="minorHAnsi"/>
          <w:spacing w:val="6"/>
        </w:rPr>
        <w:t xml:space="preserve"> </w:t>
      </w:r>
      <w:r w:rsidRPr="009A0DA6">
        <w:rPr>
          <w:rFonts w:ascii="Cambria" w:eastAsia="Times New Roman" w:hAnsi="Cambria" w:cstheme="minorHAnsi"/>
          <w:spacing w:val="-1"/>
        </w:rPr>
        <w:t>s</w:t>
      </w:r>
      <w:r w:rsidRPr="009A0DA6">
        <w:rPr>
          <w:rFonts w:ascii="Cambria" w:eastAsia="Times New Roman" w:hAnsi="Cambria" w:cstheme="minorHAnsi"/>
          <w:spacing w:val="2"/>
        </w:rPr>
        <w:t>i</w:t>
      </w:r>
      <w:r w:rsidRPr="009A0DA6">
        <w:rPr>
          <w:rFonts w:ascii="Cambria" w:eastAsia="Times New Roman" w:hAnsi="Cambria" w:cstheme="minorHAnsi"/>
          <w:spacing w:val="1"/>
        </w:rPr>
        <w:t>g</w:t>
      </w:r>
      <w:r w:rsidRPr="009A0DA6">
        <w:rPr>
          <w:rFonts w:ascii="Cambria" w:eastAsia="Times New Roman" w:hAnsi="Cambria" w:cstheme="minorHAnsi"/>
          <w:spacing w:val="-1"/>
        </w:rPr>
        <w:t>n</w:t>
      </w:r>
      <w:r w:rsidRPr="009A0DA6">
        <w:rPr>
          <w:rFonts w:ascii="Cambria" w:eastAsia="Times New Roman" w:hAnsi="Cambria" w:cstheme="minorHAnsi"/>
          <w:spacing w:val="2"/>
        </w:rPr>
        <w:t>i</w:t>
      </w:r>
      <w:r w:rsidRPr="009A0DA6">
        <w:rPr>
          <w:rFonts w:ascii="Cambria" w:eastAsia="Times New Roman" w:hAnsi="Cambria" w:cstheme="minorHAnsi"/>
          <w:spacing w:val="-1"/>
        </w:rPr>
        <w:t>f</w:t>
      </w:r>
      <w:r w:rsidRPr="009A0DA6">
        <w:rPr>
          <w:rFonts w:ascii="Cambria" w:eastAsia="Times New Roman" w:hAnsi="Cambria" w:cstheme="minorHAnsi"/>
        </w:rPr>
        <w:t>ica</w:t>
      </w:r>
      <w:r w:rsidRPr="009A0DA6">
        <w:rPr>
          <w:rFonts w:ascii="Cambria" w:eastAsia="Times New Roman" w:hAnsi="Cambria" w:cstheme="minorHAnsi"/>
          <w:spacing w:val="1"/>
        </w:rPr>
        <w:t>n</w:t>
      </w:r>
      <w:r w:rsidRPr="009A0DA6">
        <w:rPr>
          <w:rFonts w:ascii="Cambria" w:eastAsia="Times New Roman" w:hAnsi="Cambria" w:cstheme="minorHAnsi"/>
        </w:rPr>
        <w:t>t</w:t>
      </w:r>
      <w:r w:rsidRPr="009A0DA6">
        <w:rPr>
          <w:rFonts w:ascii="Cambria" w:eastAsia="Times New Roman" w:hAnsi="Cambria" w:cstheme="minorHAnsi"/>
          <w:spacing w:val="2"/>
        </w:rPr>
        <w:t xml:space="preserve"> </w:t>
      </w:r>
      <w:r w:rsidRPr="009A0DA6">
        <w:rPr>
          <w:rFonts w:ascii="Cambria" w:eastAsia="Times New Roman" w:hAnsi="Cambria" w:cstheme="minorHAnsi"/>
          <w:spacing w:val="1"/>
        </w:rPr>
        <w:t>d</w:t>
      </w:r>
      <w:r w:rsidRPr="009A0DA6">
        <w:rPr>
          <w:rFonts w:ascii="Cambria" w:eastAsia="Times New Roman" w:hAnsi="Cambria" w:cstheme="minorHAnsi"/>
        </w:rPr>
        <w:t>e</w:t>
      </w:r>
      <w:r w:rsidRPr="009A0DA6">
        <w:rPr>
          <w:rFonts w:ascii="Cambria" w:eastAsia="Times New Roman" w:hAnsi="Cambria" w:cstheme="minorHAnsi"/>
          <w:spacing w:val="-1"/>
        </w:rPr>
        <w:t>f</w:t>
      </w:r>
      <w:r w:rsidRPr="009A0DA6">
        <w:rPr>
          <w:rFonts w:ascii="Cambria" w:eastAsia="Times New Roman" w:hAnsi="Cambria" w:cstheme="minorHAnsi"/>
        </w:rPr>
        <w:t>ici</w:t>
      </w:r>
      <w:r w:rsidRPr="009A0DA6">
        <w:rPr>
          <w:rFonts w:ascii="Cambria" w:eastAsia="Times New Roman" w:hAnsi="Cambria" w:cstheme="minorHAnsi"/>
          <w:spacing w:val="3"/>
        </w:rPr>
        <w:t>e</w:t>
      </w:r>
      <w:r w:rsidRPr="009A0DA6">
        <w:rPr>
          <w:rFonts w:ascii="Cambria" w:eastAsia="Times New Roman" w:hAnsi="Cambria" w:cstheme="minorHAnsi"/>
          <w:spacing w:val="-1"/>
        </w:rPr>
        <w:t>n</w:t>
      </w:r>
      <w:r w:rsidRPr="009A0DA6">
        <w:rPr>
          <w:rFonts w:ascii="Cambria" w:eastAsia="Times New Roman" w:hAnsi="Cambria" w:cstheme="minorHAnsi"/>
          <w:spacing w:val="3"/>
        </w:rPr>
        <w:t>c</w:t>
      </w:r>
      <w:r w:rsidRPr="009A0DA6">
        <w:rPr>
          <w:rFonts w:ascii="Cambria" w:eastAsia="Times New Roman" w:hAnsi="Cambria" w:cstheme="minorHAnsi"/>
        </w:rPr>
        <w:t>ies</w:t>
      </w:r>
      <w:r w:rsidRPr="009A0DA6">
        <w:rPr>
          <w:rFonts w:ascii="Cambria" w:eastAsia="Times New Roman" w:hAnsi="Cambria" w:cstheme="minorHAnsi"/>
          <w:spacing w:val="-1"/>
        </w:rPr>
        <w:t xml:space="preserve"> </w:t>
      </w:r>
      <w:r w:rsidRPr="009A0DA6">
        <w:rPr>
          <w:rFonts w:ascii="Cambria" w:eastAsia="Times New Roman" w:hAnsi="Cambria" w:cstheme="minorHAnsi"/>
          <w:spacing w:val="2"/>
        </w:rPr>
        <w:t>i</w:t>
      </w:r>
      <w:r w:rsidRPr="009A0DA6">
        <w:rPr>
          <w:rFonts w:ascii="Cambria" w:eastAsia="Times New Roman" w:hAnsi="Cambria" w:cstheme="minorHAnsi"/>
        </w:rPr>
        <w:t>n</w:t>
      </w:r>
      <w:r w:rsidRPr="009A0DA6">
        <w:rPr>
          <w:rFonts w:ascii="Cambria" w:eastAsia="Times New Roman" w:hAnsi="Cambria" w:cstheme="minorHAnsi"/>
          <w:spacing w:val="7"/>
        </w:rPr>
        <w:t xml:space="preserve"> </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rPr>
        <w:t>te</w:t>
      </w:r>
      <w:r w:rsidRPr="009A0DA6">
        <w:rPr>
          <w:rFonts w:ascii="Cambria" w:eastAsia="Times New Roman" w:hAnsi="Cambria" w:cstheme="minorHAnsi"/>
          <w:spacing w:val="1"/>
        </w:rPr>
        <w:t>r</w:t>
      </w:r>
      <w:r w:rsidRPr="009A0DA6">
        <w:rPr>
          <w:rFonts w:ascii="Cambria" w:eastAsia="Times New Roman" w:hAnsi="Cambria" w:cstheme="minorHAnsi"/>
          <w:spacing w:val="-1"/>
        </w:rPr>
        <w:t>n</w:t>
      </w:r>
      <w:r w:rsidRPr="009A0DA6">
        <w:rPr>
          <w:rFonts w:ascii="Cambria" w:eastAsia="Times New Roman" w:hAnsi="Cambria" w:cstheme="minorHAnsi"/>
        </w:rPr>
        <w:t>al c</w:t>
      </w:r>
      <w:r w:rsidRPr="009A0DA6">
        <w:rPr>
          <w:rFonts w:ascii="Cambria" w:eastAsia="Times New Roman" w:hAnsi="Cambria" w:cstheme="minorHAnsi"/>
          <w:spacing w:val="1"/>
        </w:rPr>
        <w:t>o</w:t>
      </w:r>
      <w:r w:rsidRPr="009A0DA6">
        <w:rPr>
          <w:rFonts w:ascii="Cambria" w:eastAsia="Times New Roman" w:hAnsi="Cambria" w:cstheme="minorHAnsi"/>
          <w:spacing w:val="-1"/>
        </w:rPr>
        <w:t>n</w:t>
      </w:r>
      <w:r w:rsidRPr="009A0DA6">
        <w:rPr>
          <w:rFonts w:ascii="Cambria" w:eastAsia="Times New Roman" w:hAnsi="Cambria" w:cstheme="minorHAnsi"/>
        </w:rPr>
        <w:t>t</w:t>
      </w:r>
      <w:r w:rsidRPr="009A0DA6">
        <w:rPr>
          <w:rFonts w:ascii="Cambria" w:eastAsia="Times New Roman" w:hAnsi="Cambria" w:cstheme="minorHAnsi"/>
          <w:spacing w:val="1"/>
        </w:rPr>
        <w:t>ro</w:t>
      </w:r>
      <w:r w:rsidRPr="009A0DA6">
        <w:rPr>
          <w:rFonts w:ascii="Cambria" w:eastAsia="Times New Roman" w:hAnsi="Cambria" w:cstheme="minorHAnsi"/>
        </w:rPr>
        <w:t>l</w:t>
      </w:r>
      <w:r w:rsidRPr="009A0DA6">
        <w:rPr>
          <w:rFonts w:ascii="Cambria" w:eastAsia="Times New Roman" w:hAnsi="Cambria" w:cstheme="minorHAnsi"/>
          <w:spacing w:val="-6"/>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 xml:space="preserve">at </w:t>
      </w:r>
      <w:r w:rsidRPr="009A0DA6">
        <w:rPr>
          <w:rFonts w:ascii="Cambria" w:eastAsia="Times New Roman" w:hAnsi="Cambria" w:cstheme="minorHAnsi"/>
          <w:spacing w:val="-2"/>
        </w:rPr>
        <w:t>w</w:t>
      </w:r>
      <w:r w:rsidRPr="009A0DA6">
        <w:rPr>
          <w:rFonts w:ascii="Cambria" w:eastAsia="Times New Roman" w:hAnsi="Cambria" w:cstheme="minorHAnsi"/>
        </w:rPr>
        <w:t>e</w:t>
      </w:r>
      <w:r w:rsidRPr="009A0DA6">
        <w:rPr>
          <w:rFonts w:ascii="Cambria" w:eastAsia="Times New Roman" w:hAnsi="Cambria" w:cstheme="minorHAnsi"/>
          <w:spacing w:val="-1"/>
        </w:rPr>
        <w:t xml:space="preserve"> </w:t>
      </w:r>
      <w:r w:rsidRPr="009A0DA6">
        <w:rPr>
          <w:rFonts w:ascii="Cambria" w:eastAsia="Times New Roman" w:hAnsi="Cambria" w:cstheme="minorHAnsi"/>
        </w:rPr>
        <w:t>i</w:t>
      </w:r>
      <w:r w:rsidRPr="009A0DA6">
        <w:rPr>
          <w:rFonts w:ascii="Cambria" w:eastAsia="Times New Roman" w:hAnsi="Cambria" w:cstheme="minorHAnsi"/>
          <w:spacing w:val="1"/>
        </w:rPr>
        <w:t>d</w:t>
      </w:r>
      <w:r w:rsidRPr="009A0DA6">
        <w:rPr>
          <w:rFonts w:ascii="Cambria" w:eastAsia="Times New Roman" w:hAnsi="Cambria" w:cstheme="minorHAnsi"/>
        </w:rPr>
        <w:t>e</w:t>
      </w:r>
      <w:r w:rsidRPr="009A0DA6">
        <w:rPr>
          <w:rFonts w:ascii="Cambria" w:eastAsia="Times New Roman" w:hAnsi="Cambria" w:cstheme="minorHAnsi"/>
          <w:spacing w:val="-1"/>
        </w:rPr>
        <w:t>n</w:t>
      </w:r>
      <w:r w:rsidRPr="009A0DA6">
        <w:rPr>
          <w:rFonts w:ascii="Cambria" w:eastAsia="Times New Roman" w:hAnsi="Cambria" w:cstheme="minorHAnsi"/>
          <w:spacing w:val="2"/>
        </w:rPr>
        <w:t>t</w:t>
      </w:r>
      <w:r w:rsidRPr="009A0DA6">
        <w:rPr>
          <w:rFonts w:ascii="Cambria" w:eastAsia="Times New Roman" w:hAnsi="Cambria" w:cstheme="minorHAnsi"/>
        </w:rPr>
        <w:t>i</w:t>
      </w:r>
      <w:r w:rsidRPr="009A0DA6">
        <w:rPr>
          <w:rFonts w:ascii="Cambria" w:eastAsia="Times New Roman" w:hAnsi="Cambria" w:cstheme="minorHAnsi"/>
          <w:spacing w:val="1"/>
        </w:rPr>
        <w:t>f</w:t>
      </w:r>
      <w:r w:rsidRPr="009A0DA6">
        <w:rPr>
          <w:rFonts w:ascii="Cambria" w:eastAsia="Times New Roman" w:hAnsi="Cambria" w:cstheme="minorHAnsi"/>
        </w:rPr>
        <w:t>y</w:t>
      </w:r>
      <w:r w:rsidRPr="009A0DA6">
        <w:rPr>
          <w:rFonts w:ascii="Cambria" w:eastAsia="Times New Roman" w:hAnsi="Cambria" w:cstheme="minorHAnsi"/>
          <w:spacing w:val="-7"/>
        </w:rPr>
        <w:t xml:space="preserve"> </w:t>
      </w:r>
      <w:r w:rsidRPr="009A0DA6">
        <w:rPr>
          <w:rFonts w:ascii="Cambria" w:eastAsia="Times New Roman" w:hAnsi="Cambria" w:cstheme="minorHAnsi"/>
          <w:spacing w:val="1"/>
        </w:rPr>
        <w:t>d</w:t>
      </w:r>
      <w:r w:rsidRPr="009A0DA6">
        <w:rPr>
          <w:rFonts w:ascii="Cambria" w:eastAsia="Times New Roman" w:hAnsi="Cambria" w:cstheme="minorHAnsi"/>
          <w:spacing w:val="-1"/>
        </w:rPr>
        <w:t>u</w:t>
      </w:r>
      <w:r w:rsidRPr="009A0DA6">
        <w:rPr>
          <w:rFonts w:ascii="Cambria" w:eastAsia="Times New Roman" w:hAnsi="Cambria" w:cstheme="minorHAnsi"/>
          <w:spacing w:val="1"/>
        </w:rPr>
        <w:t>r</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rPr>
        <w:t>g</w:t>
      </w:r>
      <w:r w:rsidRPr="009A0DA6">
        <w:rPr>
          <w:rFonts w:ascii="Cambria" w:eastAsia="Times New Roman" w:hAnsi="Cambria" w:cstheme="minorHAnsi"/>
          <w:spacing w:val="-3"/>
        </w:rPr>
        <w:t xml:space="preserve"> </w:t>
      </w:r>
      <w:r w:rsidRPr="009A0DA6">
        <w:rPr>
          <w:rFonts w:ascii="Cambria" w:eastAsia="Times New Roman" w:hAnsi="Cambria" w:cstheme="minorHAnsi"/>
          <w:spacing w:val="1"/>
        </w:rPr>
        <w:t>o</w:t>
      </w:r>
      <w:r w:rsidRPr="009A0DA6">
        <w:rPr>
          <w:rFonts w:ascii="Cambria" w:eastAsia="Times New Roman" w:hAnsi="Cambria" w:cstheme="minorHAnsi"/>
          <w:spacing w:val="-1"/>
        </w:rPr>
        <w:t>u</w:t>
      </w:r>
      <w:r w:rsidRPr="009A0DA6">
        <w:rPr>
          <w:rFonts w:ascii="Cambria" w:eastAsia="Times New Roman" w:hAnsi="Cambria" w:cstheme="minorHAnsi"/>
        </w:rPr>
        <w:t>r</w:t>
      </w:r>
      <w:r w:rsidRPr="009A0DA6">
        <w:rPr>
          <w:rFonts w:ascii="Cambria" w:eastAsia="Times New Roman" w:hAnsi="Cambria" w:cstheme="minorHAnsi"/>
          <w:spacing w:val="-2"/>
        </w:rPr>
        <w:t xml:space="preserve"> </w:t>
      </w:r>
      <w:r w:rsidRPr="009A0DA6">
        <w:rPr>
          <w:rFonts w:ascii="Cambria" w:eastAsia="Times New Roman" w:hAnsi="Cambria" w:cstheme="minorHAnsi"/>
        </w:rPr>
        <w:t>a</w:t>
      </w:r>
      <w:r w:rsidRPr="009A0DA6">
        <w:rPr>
          <w:rFonts w:ascii="Cambria" w:eastAsia="Times New Roman" w:hAnsi="Cambria" w:cstheme="minorHAnsi"/>
          <w:spacing w:val="-1"/>
        </w:rPr>
        <w:t>u</w:t>
      </w:r>
      <w:r w:rsidRPr="009A0DA6">
        <w:rPr>
          <w:rFonts w:ascii="Cambria" w:eastAsia="Times New Roman" w:hAnsi="Cambria" w:cstheme="minorHAnsi"/>
          <w:spacing w:val="1"/>
        </w:rPr>
        <w:t>d</w:t>
      </w:r>
      <w:r w:rsidRPr="009A0DA6">
        <w:rPr>
          <w:rFonts w:ascii="Cambria" w:eastAsia="Times New Roman" w:hAnsi="Cambria" w:cstheme="minorHAnsi"/>
        </w:rPr>
        <w:t>it.</w:t>
      </w:r>
    </w:p>
    <w:p w14:paraId="05FF4525" w14:textId="77777777" w:rsidR="00BA4592" w:rsidRPr="009A0DA6" w:rsidRDefault="00BA4592" w:rsidP="00BA4592">
      <w:pPr>
        <w:spacing w:before="120" w:after="120" w:line="240" w:lineRule="auto"/>
        <w:ind w:right="-107"/>
        <w:contextualSpacing/>
        <w:rPr>
          <w:rFonts w:ascii="Cambria" w:eastAsiaTheme="minorEastAsia" w:hAnsi="Cambria" w:cstheme="minorHAnsi"/>
        </w:rPr>
      </w:pPr>
    </w:p>
    <w:p w14:paraId="4E1A8841" w14:textId="09A90D79" w:rsidR="00BA4592" w:rsidRPr="009A0DA6" w:rsidRDefault="00BA4592" w:rsidP="00BA4592">
      <w:pPr>
        <w:spacing w:before="120" w:after="120" w:line="240" w:lineRule="auto"/>
        <w:ind w:right="-107"/>
        <w:contextualSpacing/>
        <w:rPr>
          <w:rFonts w:ascii="Cambria" w:eastAsia="Times New Roman" w:hAnsi="Cambria" w:cstheme="minorHAnsi"/>
        </w:rPr>
      </w:pPr>
      <w:r w:rsidRPr="009A0DA6">
        <w:rPr>
          <w:rFonts w:ascii="Cambria" w:eastAsia="Times New Roman" w:hAnsi="Cambria" w:cstheme="minorHAnsi"/>
          <w:spacing w:val="4"/>
        </w:rPr>
        <w:t>M</w:t>
      </w:r>
      <w:r w:rsidRPr="009A0DA6">
        <w:rPr>
          <w:rFonts w:ascii="Cambria" w:eastAsia="Times New Roman" w:hAnsi="Cambria" w:cstheme="minorHAnsi"/>
        </w:rPr>
        <w:t>RL</w:t>
      </w:r>
      <w:r w:rsidRPr="009A0DA6">
        <w:rPr>
          <w:rFonts w:ascii="Cambria" w:eastAsia="Times New Roman" w:hAnsi="Cambria" w:cstheme="minorHAnsi"/>
          <w:spacing w:val="28"/>
        </w:rPr>
        <w:t xml:space="preserve"> </w:t>
      </w:r>
      <w:r w:rsidRPr="009A0DA6">
        <w:rPr>
          <w:rFonts w:ascii="Cambria" w:eastAsia="Times New Roman" w:hAnsi="Cambria" w:cstheme="minorHAnsi"/>
          <w:spacing w:val="-1"/>
        </w:rPr>
        <w:t>G</w:t>
      </w:r>
      <w:r w:rsidRPr="009A0DA6">
        <w:rPr>
          <w:rFonts w:ascii="Cambria" w:eastAsia="Times New Roman" w:hAnsi="Cambria" w:cstheme="minorHAnsi"/>
        </w:rPr>
        <w:t>R</w:t>
      </w:r>
      <w:r w:rsidRPr="009A0DA6">
        <w:rPr>
          <w:rFonts w:ascii="Cambria" w:eastAsia="Times New Roman" w:hAnsi="Cambria" w:cstheme="minorHAnsi"/>
          <w:spacing w:val="1"/>
        </w:rPr>
        <w:t>O</w:t>
      </w:r>
      <w:r w:rsidRPr="009A0DA6">
        <w:rPr>
          <w:rFonts w:ascii="Cambria" w:eastAsia="Times New Roman" w:hAnsi="Cambria" w:cstheme="minorHAnsi"/>
        </w:rPr>
        <w:t>UP</w:t>
      </w:r>
      <w:r w:rsidRPr="009A0DA6">
        <w:rPr>
          <w:rFonts w:ascii="Cambria" w:eastAsia="Times New Roman" w:hAnsi="Cambria" w:cstheme="minorHAnsi"/>
          <w:spacing w:val="39"/>
        </w:rPr>
        <w:t xml:space="preserve"> </w:t>
      </w:r>
      <w:r w:rsidRPr="009A0DA6">
        <w:rPr>
          <w:rFonts w:ascii="Cambria" w:eastAsia="Times New Roman" w:hAnsi="Cambria" w:cstheme="minorHAnsi"/>
          <w:spacing w:val="1"/>
        </w:rPr>
        <w:t>P</w:t>
      </w:r>
      <w:r w:rsidRPr="009A0DA6">
        <w:rPr>
          <w:rFonts w:ascii="Cambria" w:eastAsia="Times New Roman" w:hAnsi="Cambria" w:cstheme="minorHAnsi"/>
          <w:spacing w:val="-1"/>
        </w:rPr>
        <w:t>T</w:t>
      </w:r>
      <w:r w:rsidRPr="009A0DA6">
        <w:rPr>
          <w:rFonts w:ascii="Cambria" w:eastAsia="Times New Roman" w:hAnsi="Cambria" w:cstheme="minorHAnsi"/>
        </w:rPr>
        <w:t>Y</w:t>
      </w:r>
      <w:r w:rsidRPr="009A0DA6">
        <w:rPr>
          <w:rFonts w:ascii="Cambria" w:eastAsia="Times New Roman" w:hAnsi="Cambria" w:cstheme="minorHAnsi"/>
          <w:spacing w:val="19"/>
        </w:rPr>
        <w:t xml:space="preserve"> </w:t>
      </w:r>
      <w:r w:rsidRPr="009A0DA6">
        <w:rPr>
          <w:rFonts w:ascii="Cambria" w:eastAsia="Times New Roman" w:hAnsi="Cambria" w:cstheme="minorHAnsi"/>
          <w:spacing w:val="2"/>
          <w:w w:val="108"/>
        </w:rPr>
        <w:t>L</w:t>
      </w:r>
      <w:r w:rsidRPr="009A0DA6">
        <w:rPr>
          <w:rFonts w:ascii="Cambria" w:eastAsia="Times New Roman" w:hAnsi="Cambria" w:cstheme="minorHAnsi"/>
          <w:spacing w:val="-1"/>
          <w:w w:val="108"/>
        </w:rPr>
        <w:t>T</w:t>
      </w:r>
      <w:r w:rsidRPr="009A0DA6">
        <w:rPr>
          <w:rFonts w:ascii="Cambria" w:eastAsia="Times New Roman" w:hAnsi="Cambria" w:cstheme="minorHAnsi"/>
          <w:w w:val="99"/>
        </w:rPr>
        <w:t>D</w:t>
      </w:r>
      <w:r w:rsidR="00975F5B">
        <w:rPr>
          <w:rFonts w:ascii="Cambria" w:eastAsia="Times New Roman" w:hAnsi="Cambria" w:cstheme="minorHAnsi"/>
          <w:w w:val="99"/>
        </w:rPr>
        <w:t xml:space="preserve"> </w:t>
      </w:r>
      <w:r w:rsidRPr="009A0DA6">
        <w:rPr>
          <w:rFonts w:ascii="Cambria" w:eastAsia="Times New Roman" w:hAnsi="Cambria" w:cstheme="minorHAnsi"/>
          <w:spacing w:val="-1"/>
        </w:rPr>
        <w:t>Ch</w:t>
      </w:r>
      <w:r w:rsidRPr="009A0DA6">
        <w:rPr>
          <w:rFonts w:ascii="Cambria" w:eastAsia="Times New Roman" w:hAnsi="Cambria" w:cstheme="minorHAnsi"/>
        </w:rPr>
        <w:t>a</w:t>
      </w:r>
      <w:r w:rsidRPr="009A0DA6">
        <w:rPr>
          <w:rFonts w:ascii="Cambria" w:eastAsia="Times New Roman" w:hAnsi="Cambria" w:cstheme="minorHAnsi"/>
          <w:spacing w:val="1"/>
        </w:rPr>
        <w:t>r</w:t>
      </w:r>
      <w:r w:rsidRPr="009A0DA6">
        <w:rPr>
          <w:rFonts w:ascii="Cambria" w:eastAsia="Times New Roman" w:hAnsi="Cambria" w:cstheme="minorHAnsi"/>
        </w:rPr>
        <w:t>te</w:t>
      </w:r>
      <w:r w:rsidRPr="009A0DA6">
        <w:rPr>
          <w:rFonts w:ascii="Cambria" w:eastAsia="Times New Roman" w:hAnsi="Cambria" w:cstheme="minorHAnsi"/>
          <w:spacing w:val="1"/>
        </w:rPr>
        <w:t>r</w:t>
      </w:r>
      <w:r w:rsidRPr="009A0DA6">
        <w:rPr>
          <w:rFonts w:ascii="Cambria" w:eastAsia="Times New Roman" w:hAnsi="Cambria" w:cstheme="minorHAnsi"/>
        </w:rPr>
        <w:t>ed</w:t>
      </w:r>
      <w:r w:rsidRPr="009A0DA6">
        <w:rPr>
          <w:rFonts w:ascii="Cambria" w:eastAsia="Times New Roman" w:hAnsi="Cambria" w:cstheme="minorHAnsi"/>
          <w:spacing w:val="-4"/>
        </w:rPr>
        <w:t xml:space="preserve"> </w:t>
      </w:r>
      <w:r w:rsidRPr="009A0DA6">
        <w:rPr>
          <w:rFonts w:ascii="Cambria" w:eastAsia="Times New Roman" w:hAnsi="Cambria" w:cstheme="minorHAnsi"/>
          <w:spacing w:val="-2"/>
        </w:rPr>
        <w:t>A</w:t>
      </w:r>
      <w:r w:rsidRPr="009A0DA6">
        <w:rPr>
          <w:rFonts w:ascii="Cambria" w:eastAsia="Times New Roman" w:hAnsi="Cambria" w:cstheme="minorHAnsi"/>
        </w:rPr>
        <w:t>cc</w:t>
      </w:r>
      <w:r w:rsidRPr="009A0DA6">
        <w:rPr>
          <w:rFonts w:ascii="Cambria" w:eastAsia="Times New Roman" w:hAnsi="Cambria" w:cstheme="minorHAnsi"/>
          <w:spacing w:val="1"/>
        </w:rPr>
        <w:t>ou</w:t>
      </w:r>
      <w:r w:rsidRPr="009A0DA6">
        <w:rPr>
          <w:rFonts w:ascii="Cambria" w:eastAsia="Times New Roman" w:hAnsi="Cambria" w:cstheme="minorHAnsi"/>
          <w:spacing w:val="-1"/>
        </w:rPr>
        <w:t>n</w:t>
      </w:r>
      <w:r w:rsidRPr="009A0DA6">
        <w:rPr>
          <w:rFonts w:ascii="Cambria" w:eastAsia="Times New Roman" w:hAnsi="Cambria" w:cstheme="minorHAnsi"/>
        </w:rPr>
        <w:t>ta</w:t>
      </w:r>
      <w:r w:rsidRPr="009A0DA6">
        <w:rPr>
          <w:rFonts w:ascii="Cambria" w:eastAsia="Times New Roman" w:hAnsi="Cambria" w:cstheme="minorHAnsi"/>
          <w:spacing w:val="1"/>
        </w:rPr>
        <w:t>n</w:t>
      </w:r>
      <w:r w:rsidRPr="009A0DA6">
        <w:rPr>
          <w:rFonts w:ascii="Cambria" w:eastAsia="Times New Roman" w:hAnsi="Cambria" w:cstheme="minorHAnsi"/>
        </w:rPr>
        <w:t>ts</w:t>
      </w:r>
      <w:r w:rsidR="00975F5B">
        <w:rPr>
          <w:rFonts w:ascii="Cambria" w:eastAsia="Times New Roman" w:hAnsi="Cambria" w:cstheme="minorHAnsi"/>
        </w:rPr>
        <w:t xml:space="preserve"> (Adelaide)</w:t>
      </w:r>
    </w:p>
    <w:p w14:paraId="31275237" w14:textId="45D1D811" w:rsidR="00BA4592" w:rsidRPr="009A0DA6" w:rsidRDefault="00BA4592" w:rsidP="00BA4592">
      <w:pPr>
        <w:spacing w:before="120" w:after="120" w:line="240" w:lineRule="auto"/>
        <w:ind w:right="-107"/>
        <w:contextualSpacing/>
        <w:rPr>
          <w:rFonts w:ascii="Cambria" w:eastAsia="Times New Roman" w:hAnsi="Cambria" w:cstheme="minorHAnsi"/>
        </w:rPr>
      </w:pPr>
      <w:r w:rsidRPr="009A0DA6">
        <w:rPr>
          <w:rFonts w:ascii="Cambria" w:eastAsia="Times New Roman" w:hAnsi="Cambria" w:cstheme="minorHAnsi"/>
          <w:spacing w:val="2"/>
          <w:w w:val="111"/>
        </w:rPr>
        <w:t>M</w:t>
      </w:r>
      <w:r w:rsidRPr="009A0DA6">
        <w:rPr>
          <w:rFonts w:ascii="Cambria" w:eastAsia="Times New Roman" w:hAnsi="Cambria" w:cstheme="minorHAnsi"/>
          <w:spacing w:val="1"/>
          <w:w w:val="111"/>
        </w:rPr>
        <w:t>a</w:t>
      </w:r>
      <w:r w:rsidRPr="009A0DA6">
        <w:rPr>
          <w:rFonts w:ascii="Cambria" w:eastAsia="Times New Roman" w:hAnsi="Cambria" w:cstheme="minorHAnsi"/>
          <w:w w:val="111"/>
        </w:rPr>
        <w:t>rk</w:t>
      </w:r>
      <w:r w:rsidRPr="009A0DA6">
        <w:rPr>
          <w:rFonts w:ascii="Cambria" w:eastAsia="Times New Roman" w:hAnsi="Cambria" w:cstheme="minorHAnsi"/>
          <w:spacing w:val="-5"/>
          <w:w w:val="111"/>
        </w:rPr>
        <w:t xml:space="preserve"> </w:t>
      </w:r>
      <w:r w:rsidRPr="009A0DA6">
        <w:rPr>
          <w:rFonts w:ascii="Cambria" w:eastAsia="Times New Roman" w:hAnsi="Cambria" w:cstheme="minorHAnsi"/>
          <w:spacing w:val="-1"/>
          <w:w w:val="108"/>
        </w:rPr>
        <w:t>L</w:t>
      </w:r>
      <w:r w:rsidRPr="009A0DA6">
        <w:rPr>
          <w:rFonts w:ascii="Cambria" w:eastAsia="Times New Roman" w:hAnsi="Cambria" w:cstheme="minorHAnsi"/>
          <w:w w:val="99"/>
        </w:rPr>
        <w:t>e</w:t>
      </w:r>
      <w:r w:rsidRPr="009A0DA6">
        <w:rPr>
          <w:rFonts w:ascii="Cambria" w:eastAsia="Times New Roman" w:hAnsi="Cambria" w:cstheme="minorHAnsi"/>
          <w:w w:val="107"/>
        </w:rPr>
        <w:t>C</w:t>
      </w:r>
      <w:r w:rsidRPr="009A0DA6">
        <w:rPr>
          <w:rFonts w:ascii="Cambria" w:eastAsia="Times New Roman" w:hAnsi="Cambria" w:cstheme="minorHAnsi"/>
          <w:spacing w:val="1"/>
          <w:w w:val="99"/>
        </w:rPr>
        <w:t>o</w:t>
      </w:r>
      <w:r w:rsidRPr="009A0DA6">
        <w:rPr>
          <w:rFonts w:ascii="Cambria" w:eastAsia="Times New Roman" w:hAnsi="Cambria" w:cstheme="minorHAnsi"/>
          <w:w w:val="132"/>
        </w:rPr>
        <w:t>r</w:t>
      </w:r>
      <w:r w:rsidRPr="009A0DA6">
        <w:rPr>
          <w:rFonts w:ascii="Cambria" w:eastAsia="Times New Roman" w:hAnsi="Cambria" w:cstheme="minorHAnsi"/>
          <w:spacing w:val="2"/>
          <w:w w:val="110"/>
        </w:rPr>
        <w:t>n</w:t>
      </w:r>
      <w:r w:rsidRPr="009A0DA6">
        <w:rPr>
          <w:rFonts w:ascii="Cambria" w:eastAsia="Times New Roman" w:hAnsi="Cambria" w:cstheme="minorHAnsi"/>
          <w:w w:val="110"/>
        </w:rPr>
        <w:t>u</w:t>
      </w:r>
      <w:r w:rsidR="00975F5B">
        <w:rPr>
          <w:rFonts w:ascii="Cambria" w:eastAsia="Times New Roman" w:hAnsi="Cambria" w:cstheme="minorHAnsi"/>
          <w:w w:val="110"/>
        </w:rPr>
        <w:t xml:space="preserve"> - </w:t>
      </w:r>
      <w:r w:rsidRPr="009A0DA6">
        <w:rPr>
          <w:rFonts w:ascii="Cambria" w:eastAsia="Times New Roman" w:hAnsi="Cambria" w:cstheme="minorHAnsi"/>
        </w:rPr>
        <w:t>Di</w:t>
      </w:r>
      <w:r w:rsidRPr="009A0DA6">
        <w:rPr>
          <w:rFonts w:ascii="Cambria" w:eastAsia="Times New Roman" w:hAnsi="Cambria" w:cstheme="minorHAnsi"/>
          <w:spacing w:val="1"/>
        </w:rPr>
        <w:t>r</w:t>
      </w:r>
      <w:r w:rsidRPr="009A0DA6">
        <w:rPr>
          <w:rFonts w:ascii="Cambria" w:eastAsia="Times New Roman" w:hAnsi="Cambria" w:cstheme="minorHAnsi"/>
        </w:rPr>
        <w:t>ect</w:t>
      </w:r>
      <w:r w:rsidRPr="009A0DA6">
        <w:rPr>
          <w:rFonts w:ascii="Cambria" w:eastAsia="Times New Roman" w:hAnsi="Cambria" w:cstheme="minorHAnsi"/>
          <w:spacing w:val="1"/>
        </w:rPr>
        <w:t>o</w:t>
      </w:r>
      <w:r w:rsidRPr="009A0DA6">
        <w:rPr>
          <w:rFonts w:ascii="Cambria" w:eastAsia="Times New Roman" w:hAnsi="Cambria" w:cstheme="minorHAnsi"/>
        </w:rPr>
        <w:t>r</w:t>
      </w:r>
    </w:p>
    <w:p w14:paraId="5E4D621E" w14:textId="77777777" w:rsidR="00BA4592" w:rsidRPr="009A0DA6" w:rsidRDefault="00BA4592" w:rsidP="00BA4592">
      <w:pPr>
        <w:spacing w:before="120" w:after="120" w:line="240" w:lineRule="auto"/>
        <w:ind w:right="-107"/>
        <w:contextualSpacing/>
        <w:rPr>
          <w:rFonts w:ascii="Cambria" w:eastAsia="Times New Roman" w:hAnsi="Cambria" w:cstheme="minorHAnsi"/>
        </w:rPr>
      </w:pPr>
      <w:r w:rsidRPr="009A0DA6">
        <w:rPr>
          <w:rFonts w:ascii="Cambria" w:eastAsia="Times New Roman" w:hAnsi="Cambria" w:cstheme="minorHAnsi"/>
          <w:spacing w:val="1"/>
        </w:rPr>
        <w:t>15</w:t>
      </w:r>
      <w:r w:rsidRPr="009A0DA6">
        <w:rPr>
          <w:rFonts w:ascii="Cambria" w:eastAsia="Times New Roman" w:hAnsi="Cambria" w:cstheme="minorHAnsi"/>
          <w:position w:val="7"/>
        </w:rPr>
        <w:t>th</w:t>
      </w:r>
      <w:r w:rsidRPr="009A0DA6">
        <w:rPr>
          <w:rFonts w:ascii="Cambria" w:eastAsia="Times New Roman" w:hAnsi="Cambria" w:cstheme="minorHAnsi"/>
          <w:spacing w:val="14"/>
          <w:position w:val="7"/>
        </w:rPr>
        <w:t xml:space="preserve"> </w:t>
      </w:r>
      <w:r w:rsidRPr="009A0DA6">
        <w:rPr>
          <w:rFonts w:ascii="Cambria" w:eastAsia="Times New Roman" w:hAnsi="Cambria" w:cstheme="minorHAnsi"/>
          <w:spacing w:val="1"/>
        </w:rPr>
        <w:t>d</w:t>
      </w:r>
      <w:r w:rsidRPr="009A0DA6">
        <w:rPr>
          <w:rFonts w:ascii="Cambria" w:eastAsia="Times New Roman" w:hAnsi="Cambria" w:cstheme="minorHAnsi"/>
        </w:rPr>
        <w:t>ay</w:t>
      </w:r>
      <w:r w:rsidRPr="009A0DA6">
        <w:rPr>
          <w:rFonts w:ascii="Cambria" w:eastAsia="Times New Roman" w:hAnsi="Cambria" w:cstheme="minorHAnsi"/>
          <w:spacing w:val="-6"/>
        </w:rPr>
        <w:t xml:space="preserve"> </w:t>
      </w:r>
      <w:r w:rsidRPr="009A0DA6">
        <w:rPr>
          <w:rFonts w:ascii="Cambria" w:eastAsia="Times New Roman" w:hAnsi="Cambria" w:cstheme="minorHAnsi"/>
          <w:spacing w:val="1"/>
        </w:rPr>
        <w:t>o</w:t>
      </w:r>
      <w:r w:rsidRPr="009A0DA6">
        <w:rPr>
          <w:rFonts w:ascii="Cambria" w:eastAsia="Times New Roman" w:hAnsi="Cambria" w:cstheme="minorHAnsi"/>
        </w:rPr>
        <w:t>f</w:t>
      </w:r>
      <w:r w:rsidRPr="009A0DA6">
        <w:rPr>
          <w:rFonts w:ascii="Cambria" w:eastAsia="Times New Roman" w:hAnsi="Cambria" w:cstheme="minorHAnsi"/>
          <w:spacing w:val="-3"/>
        </w:rPr>
        <w:t xml:space="preserve"> </w:t>
      </w:r>
      <w:r w:rsidRPr="009A0DA6">
        <w:rPr>
          <w:rFonts w:ascii="Cambria" w:eastAsia="Times New Roman" w:hAnsi="Cambria" w:cstheme="minorHAnsi"/>
          <w:spacing w:val="2"/>
        </w:rPr>
        <w:t>J</w:t>
      </w:r>
      <w:r w:rsidRPr="009A0DA6">
        <w:rPr>
          <w:rFonts w:ascii="Cambria" w:eastAsia="Times New Roman" w:hAnsi="Cambria" w:cstheme="minorHAnsi"/>
          <w:spacing w:val="1"/>
        </w:rPr>
        <w:t>u</w:t>
      </w:r>
      <w:r w:rsidRPr="009A0DA6">
        <w:rPr>
          <w:rFonts w:ascii="Cambria" w:eastAsia="Times New Roman" w:hAnsi="Cambria" w:cstheme="minorHAnsi"/>
          <w:spacing w:val="-1"/>
        </w:rPr>
        <w:t>n</w:t>
      </w:r>
      <w:r w:rsidRPr="009A0DA6">
        <w:rPr>
          <w:rFonts w:ascii="Cambria" w:eastAsia="Times New Roman" w:hAnsi="Cambria" w:cstheme="minorHAnsi"/>
        </w:rPr>
        <w:t>e</w:t>
      </w:r>
      <w:r w:rsidRPr="009A0DA6">
        <w:rPr>
          <w:rFonts w:ascii="Cambria" w:eastAsia="Times New Roman" w:hAnsi="Cambria" w:cstheme="minorHAnsi"/>
          <w:spacing w:val="-3"/>
        </w:rPr>
        <w:t xml:space="preserve"> </w:t>
      </w:r>
      <w:r w:rsidRPr="009A0DA6">
        <w:rPr>
          <w:rFonts w:ascii="Cambria" w:eastAsia="Times New Roman" w:hAnsi="Cambria" w:cstheme="minorHAnsi"/>
          <w:spacing w:val="1"/>
        </w:rPr>
        <w:t>201</w:t>
      </w:r>
      <w:r w:rsidRPr="009A0DA6">
        <w:rPr>
          <w:rFonts w:ascii="Cambria" w:eastAsia="Times New Roman" w:hAnsi="Cambria" w:cstheme="minorHAnsi"/>
        </w:rPr>
        <w:t>8</w:t>
      </w:r>
    </w:p>
    <w:p w14:paraId="59BA07B7" w14:textId="77777777" w:rsidR="00BA4592" w:rsidRPr="009A0DA6" w:rsidRDefault="00BA4592" w:rsidP="00BA4592">
      <w:pPr>
        <w:spacing w:before="120" w:after="120" w:line="240" w:lineRule="auto"/>
        <w:ind w:right="-107"/>
        <w:contextualSpacing/>
        <w:rPr>
          <w:rFonts w:ascii="Cambria" w:eastAsiaTheme="minorEastAsia" w:hAnsi="Cambria" w:cstheme="minorHAnsi"/>
        </w:rPr>
      </w:pPr>
    </w:p>
    <w:p w14:paraId="50C6EA1F" w14:textId="77777777" w:rsidR="00BA4592" w:rsidRPr="009A0DA6" w:rsidRDefault="00BA4592" w:rsidP="00E4168D">
      <w:pPr>
        <w:pStyle w:val="NoSpacing"/>
        <w:rPr>
          <w:b/>
        </w:rPr>
      </w:pPr>
      <w:r w:rsidRPr="009A0DA6">
        <w:rPr>
          <w:b/>
        </w:rPr>
        <w:t>LCA CONSOLIDATED</w:t>
      </w:r>
    </w:p>
    <w:p w14:paraId="3F4BBE1E" w14:textId="77777777" w:rsidR="00E4168D" w:rsidRPr="009A0DA6" w:rsidRDefault="00E4168D" w:rsidP="00766B14">
      <w:pPr>
        <w:pStyle w:val="NoSpacing"/>
        <w:rPr>
          <w:b/>
        </w:rPr>
      </w:pPr>
      <w:r w:rsidRPr="009A0DA6">
        <w:rPr>
          <w:b/>
        </w:rPr>
        <w:t>INCOME AND EXPENDITURE STATEMENT</w:t>
      </w:r>
    </w:p>
    <w:p w14:paraId="3493FFB6" w14:textId="77777777" w:rsidR="00FF7E8B" w:rsidRPr="009A0DA6" w:rsidRDefault="00FF7E8B" w:rsidP="00FF7E8B">
      <w:pPr>
        <w:pStyle w:val="NoSpacing"/>
        <w:rPr>
          <w:b/>
        </w:rPr>
      </w:pPr>
      <w:r w:rsidRPr="009A0DA6">
        <w:rPr>
          <w:b/>
        </w:rPr>
        <w:t xml:space="preserve">FOR </w:t>
      </w:r>
      <w:r>
        <w:rPr>
          <w:b/>
        </w:rPr>
        <w:t>THE PERIODS ENDING</w:t>
      </w:r>
      <w:r w:rsidRPr="009A0DA6">
        <w:rPr>
          <w:b/>
        </w:rPr>
        <w:t xml:space="preserve"> 31 DECEMBER </w:t>
      </w:r>
    </w:p>
    <w:p w14:paraId="5FD91551" w14:textId="77777777" w:rsidR="00BA4592" w:rsidRPr="009A0DA6" w:rsidRDefault="00BA4592" w:rsidP="00E93035">
      <w:pPr>
        <w:tabs>
          <w:tab w:val="center" w:pos="3969"/>
          <w:tab w:val="right" w:pos="5670"/>
          <w:tab w:val="right" w:pos="7230"/>
          <w:tab w:val="right" w:pos="8647"/>
        </w:tabs>
        <w:spacing w:before="120" w:after="120" w:line="240" w:lineRule="auto"/>
        <w:ind w:right="-46"/>
        <w:contextualSpacing/>
        <w:rPr>
          <w:rFonts w:ascii="Cambria" w:eastAsiaTheme="minorEastAsia" w:hAnsi="Cambria" w:cstheme="minorHAnsi"/>
          <w:b/>
        </w:rPr>
      </w:pPr>
      <w:r w:rsidRPr="009A0DA6">
        <w:rPr>
          <w:rFonts w:ascii="Cambria" w:hAnsi="Cambria" w:cstheme="minorHAnsi"/>
          <w:b/>
        </w:rPr>
        <w:tab/>
        <w:t>Note</w:t>
      </w:r>
      <w:r w:rsidRPr="009A0DA6">
        <w:rPr>
          <w:rFonts w:ascii="Cambria" w:hAnsi="Cambria" w:cstheme="minorHAnsi"/>
          <w:b/>
        </w:rPr>
        <w:tab/>
        <w:t>2017</w:t>
      </w:r>
      <w:r w:rsidRPr="009A0DA6">
        <w:rPr>
          <w:rFonts w:ascii="Cambria" w:hAnsi="Cambria" w:cstheme="minorHAnsi"/>
          <w:b/>
        </w:rPr>
        <w:tab/>
        <w:t>2016</w:t>
      </w:r>
      <w:r w:rsidRPr="009A0DA6">
        <w:rPr>
          <w:rFonts w:ascii="Cambria" w:hAnsi="Cambria" w:cstheme="minorHAnsi"/>
          <w:b/>
        </w:rPr>
        <w:tab/>
        <w:t>2015</w:t>
      </w:r>
    </w:p>
    <w:p w14:paraId="2613A7C8" w14:textId="77777777" w:rsidR="00BA4592" w:rsidRPr="009A0DA6" w:rsidRDefault="00BA4592" w:rsidP="00E93035">
      <w:pPr>
        <w:tabs>
          <w:tab w:val="center" w:pos="3969"/>
          <w:tab w:val="right" w:pos="5670"/>
          <w:tab w:val="right" w:pos="7230"/>
          <w:tab w:val="right" w:pos="8647"/>
        </w:tabs>
        <w:spacing w:before="120" w:after="120" w:line="240" w:lineRule="auto"/>
        <w:ind w:right="-46"/>
        <w:contextualSpacing/>
        <w:rPr>
          <w:rFonts w:ascii="Cambria" w:hAnsi="Cambria" w:cstheme="minorHAnsi"/>
          <w:b/>
        </w:rPr>
      </w:pPr>
      <w:r w:rsidRPr="009A0DA6">
        <w:rPr>
          <w:rFonts w:ascii="Cambria" w:hAnsi="Cambria" w:cstheme="minorHAnsi"/>
          <w:b/>
        </w:rPr>
        <w:tab/>
      </w:r>
      <w:r w:rsidRPr="009A0DA6">
        <w:rPr>
          <w:rFonts w:ascii="Cambria" w:hAnsi="Cambria" w:cstheme="minorHAnsi"/>
          <w:b/>
        </w:rPr>
        <w:tab/>
        <w:t>$</w:t>
      </w:r>
      <w:r w:rsidRPr="009A0DA6">
        <w:rPr>
          <w:rFonts w:ascii="Cambria" w:hAnsi="Cambria" w:cstheme="minorHAnsi"/>
          <w:b/>
        </w:rPr>
        <w:tab/>
        <w:t>$</w:t>
      </w:r>
      <w:r w:rsidRPr="009A0DA6">
        <w:rPr>
          <w:rFonts w:ascii="Cambria" w:hAnsi="Cambria" w:cstheme="minorHAnsi"/>
          <w:b/>
        </w:rPr>
        <w:tab/>
        <w:t>$</w:t>
      </w:r>
    </w:p>
    <w:p w14:paraId="5B1877F3" w14:textId="77777777" w:rsidR="00BA4592" w:rsidRPr="009A0DA6" w:rsidRDefault="00BA4592" w:rsidP="00E93035">
      <w:pPr>
        <w:tabs>
          <w:tab w:val="center" w:pos="3969"/>
          <w:tab w:val="right" w:pos="5670"/>
          <w:tab w:val="right" w:pos="7230"/>
          <w:tab w:val="right" w:pos="8647"/>
        </w:tabs>
        <w:spacing w:before="120" w:after="120" w:line="240" w:lineRule="auto"/>
        <w:ind w:right="-46"/>
        <w:contextualSpacing/>
        <w:rPr>
          <w:rFonts w:ascii="Cambria" w:hAnsi="Cambria" w:cstheme="minorHAnsi"/>
          <w:b/>
        </w:rPr>
      </w:pPr>
      <w:r w:rsidRPr="009A0DA6">
        <w:rPr>
          <w:rFonts w:ascii="Cambria" w:hAnsi="Cambria" w:cstheme="minorHAnsi"/>
          <w:b/>
        </w:rPr>
        <w:t>INCOME</w:t>
      </w:r>
    </w:p>
    <w:p w14:paraId="54BE8C61" w14:textId="77777777" w:rsidR="00BA4592" w:rsidRPr="009A0DA6" w:rsidRDefault="00BA4592" w:rsidP="00E93035">
      <w:pPr>
        <w:tabs>
          <w:tab w:val="center" w:pos="3969"/>
          <w:tab w:val="right" w:pos="5670"/>
          <w:tab w:val="right" w:pos="7230"/>
          <w:tab w:val="right" w:pos="8647"/>
        </w:tabs>
        <w:spacing w:before="120" w:after="120" w:line="240" w:lineRule="auto"/>
        <w:ind w:right="-46"/>
        <w:contextualSpacing/>
        <w:rPr>
          <w:rFonts w:ascii="Cambria" w:hAnsi="Cambria" w:cstheme="minorHAnsi"/>
        </w:rPr>
      </w:pPr>
      <w:r w:rsidRPr="009A0DA6">
        <w:rPr>
          <w:rFonts w:ascii="Cambria" w:hAnsi="Cambria" w:cstheme="minorHAnsi"/>
        </w:rPr>
        <w:t>Appeals, donations and bequests</w:t>
      </w:r>
      <w:r w:rsidRPr="009A0DA6">
        <w:rPr>
          <w:rFonts w:ascii="Cambria" w:hAnsi="Cambria" w:cstheme="minorHAnsi"/>
        </w:rPr>
        <w:tab/>
      </w:r>
      <w:r w:rsidRPr="009A0DA6">
        <w:rPr>
          <w:rFonts w:ascii="Cambria" w:hAnsi="Cambria" w:cstheme="minorHAnsi"/>
        </w:rPr>
        <w:tab/>
      </w:r>
      <w:r w:rsidRPr="009A0DA6">
        <w:rPr>
          <w:rFonts w:ascii="Cambria" w:eastAsia="Times New Roman" w:hAnsi="Cambria" w:cstheme="minorHAnsi"/>
          <w:spacing w:val="1"/>
        </w:rPr>
        <w:t>1,34</w:t>
      </w:r>
      <w:r w:rsidRPr="009A0DA6">
        <w:rPr>
          <w:rFonts w:ascii="Cambria" w:eastAsia="Times New Roman" w:hAnsi="Cambria" w:cstheme="minorHAnsi"/>
          <w:spacing w:val="-1"/>
        </w:rPr>
        <w:t>2</w:t>
      </w:r>
      <w:r w:rsidRPr="009A0DA6">
        <w:rPr>
          <w:rFonts w:ascii="Cambria" w:eastAsia="Times New Roman" w:hAnsi="Cambria" w:cstheme="minorHAnsi"/>
          <w:spacing w:val="1"/>
        </w:rPr>
        <w:t>,9</w:t>
      </w:r>
      <w:r w:rsidRPr="009A0DA6">
        <w:rPr>
          <w:rFonts w:ascii="Cambria" w:eastAsia="Times New Roman" w:hAnsi="Cambria" w:cstheme="minorHAnsi"/>
          <w:spacing w:val="-1"/>
        </w:rPr>
        <w:t>3</w:t>
      </w:r>
      <w:r w:rsidRPr="009A0DA6">
        <w:rPr>
          <w:rFonts w:ascii="Cambria" w:eastAsia="Times New Roman" w:hAnsi="Cambria" w:cstheme="minorHAnsi"/>
        </w:rPr>
        <w:t>5</w:t>
      </w:r>
      <w:r w:rsidRPr="009A0DA6">
        <w:rPr>
          <w:rFonts w:ascii="Cambria" w:hAnsi="Cambria" w:cstheme="minorHAnsi"/>
        </w:rPr>
        <w:tab/>
      </w:r>
      <w:r w:rsidRPr="009A0DA6">
        <w:rPr>
          <w:rFonts w:ascii="Cambria" w:eastAsia="Times New Roman" w:hAnsi="Cambria" w:cstheme="minorHAnsi"/>
          <w:spacing w:val="1"/>
        </w:rPr>
        <w:t>2,12</w:t>
      </w:r>
      <w:r w:rsidRPr="009A0DA6">
        <w:rPr>
          <w:rFonts w:ascii="Cambria" w:eastAsia="Times New Roman" w:hAnsi="Cambria" w:cstheme="minorHAnsi"/>
          <w:spacing w:val="-1"/>
        </w:rPr>
        <w:t>7</w:t>
      </w:r>
      <w:r w:rsidRPr="009A0DA6">
        <w:rPr>
          <w:rFonts w:ascii="Cambria" w:eastAsia="Times New Roman" w:hAnsi="Cambria" w:cstheme="minorHAnsi"/>
          <w:spacing w:val="1"/>
        </w:rPr>
        <w:t>,1</w:t>
      </w:r>
      <w:r w:rsidRPr="009A0DA6">
        <w:rPr>
          <w:rFonts w:ascii="Cambria" w:eastAsia="Times New Roman" w:hAnsi="Cambria" w:cstheme="minorHAnsi"/>
          <w:spacing w:val="-1"/>
        </w:rPr>
        <w:t>3</w:t>
      </w:r>
      <w:r w:rsidRPr="009A0DA6">
        <w:rPr>
          <w:rFonts w:ascii="Cambria" w:eastAsia="Times New Roman" w:hAnsi="Cambria" w:cstheme="minorHAnsi"/>
        </w:rPr>
        <w:t>3</w:t>
      </w:r>
      <w:r w:rsidRPr="009A0DA6">
        <w:rPr>
          <w:rFonts w:ascii="Cambria" w:hAnsi="Cambria" w:cstheme="minorHAnsi"/>
        </w:rPr>
        <w:tab/>
      </w:r>
      <w:r w:rsidRPr="009A0DA6">
        <w:rPr>
          <w:rFonts w:ascii="Cambria" w:eastAsia="Times New Roman" w:hAnsi="Cambria" w:cstheme="minorHAnsi"/>
          <w:w w:val="104"/>
        </w:rPr>
        <w:t>1,435,392</w:t>
      </w:r>
    </w:p>
    <w:p w14:paraId="2D1C3CAE" w14:textId="77777777" w:rsidR="00BA4592" w:rsidRPr="009A0DA6" w:rsidRDefault="00BA4592" w:rsidP="00E93035">
      <w:pPr>
        <w:tabs>
          <w:tab w:val="center" w:pos="3969"/>
          <w:tab w:val="right" w:pos="5670"/>
          <w:tab w:val="right" w:pos="7230"/>
          <w:tab w:val="right" w:pos="8647"/>
        </w:tabs>
        <w:spacing w:before="120" w:after="120" w:line="240" w:lineRule="auto"/>
        <w:ind w:right="-46"/>
        <w:contextualSpacing/>
        <w:rPr>
          <w:rFonts w:ascii="Cambria" w:hAnsi="Cambria" w:cstheme="minorHAnsi"/>
        </w:rPr>
      </w:pPr>
      <w:r w:rsidRPr="009A0DA6">
        <w:rPr>
          <w:rFonts w:ascii="Cambria" w:hAnsi="Cambria" w:cstheme="minorHAnsi"/>
        </w:rPr>
        <w:t>Investment and rental income</w:t>
      </w:r>
      <w:r w:rsidRPr="009A0DA6">
        <w:rPr>
          <w:rFonts w:ascii="Cambria" w:hAnsi="Cambria" w:cstheme="minorHAnsi"/>
        </w:rPr>
        <w:tab/>
      </w:r>
      <w:r w:rsidRPr="009A0DA6">
        <w:rPr>
          <w:rFonts w:ascii="Cambria" w:hAnsi="Cambria" w:cstheme="minorHAnsi"/>
        </w:rPr>
        <w:tab/>
      </w:r>
      <w:r w:rsidRPr="009A0DA6">
        <w:rPr>
          <w:rFonts w:ascii="Cambria" w:eastAsia="Times New Roman" w:hAnsi="Cambria" w:cstheme="minorHAnsi"/>
          <w:spacing w:val="1"/>
        </w:rPr>
        <w:t>722,</w:t>
      </w:r>
      <w:r w:rsidRPr="009A0DA6">
        <w:rPr>
          <w:rFonts w:ascii="Cambria" w:eastAsia="Times New Roman" w:hAnsi="Cambria" w:cstheme="minorHAnsi"/>
          <w:spacing w:val="-1"/>
        </w:rPr>
        <w:t>9</w:t>
      </w:r>
      <w:r w:rsidRPr="009A0DA6">
        <w:rPr>
          <w:rFonts w:ascii="Cambria" w:eastAsia="Times New Roman" w:hAnsi="Cambria" w:cstheme="minorHAnsi"/>
          <w:spacing w:val="1"/>
        </w:rPr>
        <w:t>1</w:t>
      </w:r>
      <w:r w:rsidRPr="009A0DA6">
        <w:rPr>
          <w:rFonts w:ascii="Cambria" w:eastAsia="Times New Roman" w:hAnsi="Cambria" w:cstheme="minorHAnsi"/>
        </w:rPr>
        <w:t>5</w:t>
      </w:r>
      <w:r w:rsidRPr="009A0DA6">
        <w:rPr>
          <w:rFonts w:ascii="Cambria" w:hAnsi="Cambria" w:cstheme="minorHAnsi"/>
        </w:rPr>
        <w:tab/>
      </w:r>
      <w:r w:rsidRPr="009A0DA6">
        <w:rPr>
          <w:rFonts w:ascii="Cambria" w:eastAsia="Times New Roman" w:hAnsi="Cambria" w:cstheme="minorHAnsi"/>
          <w:spacing w:val="1"/>
        </w:rPr>
        <w:t>415,</w:t>
      </w:r>
      <w:r w:rsidRPr="009A0DA6">
        <w:rPr>
          <w:rFonts w:ascii="Cambria" w:eastAsia="Times New Roman" w:hAnsi="Cambria" w:cstheme="minorHAnsi"/>
          <w:spacing w:val="-1"/>
        </w:rPr>
        <w:t>7</w:t>
      </w:r>
      <w:r w:rsidRPr="009A0DA6">
        <w:rPr>
          <w:rFonts w:ascii="Cambria" w:eastAsia="Times New Roman" w:hAnsi="Cambria" w:cstheme="minorHAnsi"/>
          <w:spacing w:val="1"/>
        </w:rPr>
        <w:t>7</w:t>
      </w:r>
      <w:r w:rsidRPr="009A0DA6">
        <w:rPr>
          <w:rFonts w:ascii="Cambria" w:eastAsia="Times New Roman" w:hAnsi="Cambria" w:cstheme="minorHAnsi"/>
        </w:rPr>
        <w:t>5</w:t>
      </w:r>
      <w:r w:rsidRPr="009A0DA6">
        <w:rPr>
          <w:rFonts w:ascii="Cambria" w:hAnsi="Cambria" w:cstheme="minorHAnsi"/>
        </w:rPr>
        <w:tab/>
      </w:r>
      <w:r w:rsidRPr="009A0DA6">
        <w:rPr>
          <w:rFonts w:ascii="Cambria" w:eastAsia="Times New Roman" w:hAnsi="Cambria" w:cstheme="minorHAnsi"/>
          <w:w w:val="105"/>
        </w:rPr>
        <w:t>548,120</w:t>
      </w:r>
    </w:p>
    <w:p w14:paraId="2F50B814" w14:textId="77777777" w:rsidR="00BA4592" w:rsidRPr="009A0DA6" w:rsidRDefault="00BA4592" w:rsidP="00E93035">
      <w:pPr>
        <w:tabs>
          <w:tab w:val="center" w:pos="3969"/>
          <w:tab w:val="right" w:pos="5670"/>
          <w:tab w:val="right" w:pos="7230"/>
          <w:tab w:val="right" w:pos="8647"/>
        </w:tabs>
        <w:spacing w:before="120" w:after="120" w:line="240" w:lineRule="auto"/>
        <w:ind w:right="-46"/>
        <w:contextualSpacing/>
        <w:rPr>
          <w:rFonts w:ascii="Cambria" w:hAnsi="Cambria" w:cstheme="minorHAnsi"/>
        </w:rPr>
      </w:pPr>
      <w:r w:rsidRPr="009A0DA6">
        <w:rPr>
          <w:rFonts w:ascii="Cambria" w:hAnsi="Cambria" w:cstheme="minorHAnsi"/>
        </w:rPr>
        <w:t>Lutheran Church group income</w:t>
      </w:r>
      <w:r w:rsidRPr="009A0DA6">
        <w:rPr>
          <w:rFonts w:ascii="Cambria" w:hAnsi="Cambria" w:cstheme="minorHAnsi"/>
        </w:rPr>
        <w:tab/>
        <w:t>1(B)</w:t>
      </w:r>
      <w:r w:rsidRPr="009A0DA6">
        <w:rPr>
          <w:rFonts w:ascii="Cambria" w:hAnsi="Cambria" w:cstheme="minorHAnsi"/>
        </w:rPr>
        <w:tab/>
      </w:r>
      <w:r w:rsidRPr="009A0DA6">
        <w:rPr>
          <w:rFonts w:ascii="Cambria" w:eastAsia="Times New Roman" w:hAnsi="Cambria" w:cstheme="minorHAnsi"/>
          <w:spacing w:val="1"/>
        </w:rPr>
        <w:t>8,75</w:t>
      </w:r>
      <w:r w:rsidRPr="009A0DA6">
        <w:rPr>
          <w:rFonts w:ascii="Cambria" w:eastAsia="Times New Roman" w:hAnsi="Cambria" w:cstheme="minorHAnsi"/>
          <w:spacing w:val="-1"/>
        </w:rPr>
        <w:t>2</w:t>
      </w:r>
      <w:r w:rsidRPr="009A0DA6">
        <w:rPr>
          <w:rFonts w:ascii="Cambria" w:eastAsia="Times New Roman" w:hAnsi="Cambria" w:cstheme="minorHAnsi"/>
          <w:spacing w:val="1"/>
        </w:rPr>
        <w:t>,4</w:t>
      </w:r>
      <w:r w:rsidRPr="009A0DA6">
        <w:rPr>
          <w:rFonts w:ascii="Cambria" w:eastAsia="Times New Roman" w:hAnsi="Cambria" w:cstheme="minorHAnsi"/>
          <w:spacing w:val="-1"/>
        </w:rPr>
        <w:t>6</w:t>
      </w:r>
      <w:r w:rsidRPr="009A0DA6">
        <w:rPr>
          <w:rFonts w:ascii="Cambria" w:eastAsia="Times New Roman" w:hAnsi="Cambria" w:cstheme="minorHAnsi"/>
        </w:rPr>
        <w:t>7</w:t>
      </w:r>
      <w:r w:rsidRPr="009A0DA6">
        <w:rPr>
          <w:rFonts w:ascii="Cambria" w:eastAsia="Times New Roman" w:hAnsi="Cambria" w:cstheme="minorHAnsi"/>
        </w:rPr>
        <w:tab/>
      </w:r>
      <w:r w:rsidRPr="009A0DA6">
        <w:rPr>
          <w:rFonts w:ascii="Cambria" w:eastAsia="Times New Roman" w:hAnsi="Cambria" w:cstheme="minorHAnsi"/>
          <w:spacing w:val="1"/>
        </w:rPr>
        <w:t>9,51</w:t>
      </w:r>
      <w:r w:rsidRPr="009A0DA6">
        <w:rPr>
          <w:rFonts w:ascii="Cambria" w:eastAsia="Times New Roman" w:hAnsi="Cambria" w:cstheme="minorHAnsi"/>
          <w:spacing w:val="-1"/>
        </w:rPr>
        <w:t>1</w:t>
      </w:r>
      <w:r w:rsidRPr="009A0DA6">
        <w:rPr>
          <w:rFonts w:ascii="Cambria" w:eastAsia="Times New Roman" w:hAnsi="Cambria" w:cstheme="minorHAnsi"/>
          <w:spacing w:val="1"/>
        </w:rPr>
        <w:t>,1</w:t>
      </w:r>
      <w:r w:rsidRPr="009A0DA6">
        <w:rPr>
          <w:rFonts w:ascii="Cambria" w:eastAsia="Times New Roman" w:hAnsi="Cambria" w:cstheme="minorHAnsi"/>
          <w:spacing w:val="-1"/>
        </w:rPr>
        <w:t>9</w:t>
      </w:r>
      <w:r w:rsidRPr="009A0DA6">
        <w:rPr>
          <w:rFonts w:ascii="Cambria" w:eastAsia="Times New Roman" w:hAnsi="Cambria" w:cstheme="minorHAnsi"/>
        </w:rPr>
        <w:t>3</w:t>
      </w:r>
      <w:r w:rsidRPr="009A0DA6">
        <w:rPr>
          <w:rFonts w:ascii="Cambria" w:eastAsia="Times New Roman" w:hAnsi="Cambria" w:cstheme="minorHAnsi"/>
        </w:rPr>
        <w:tab/>
      </w:r>
      <w:r w:rsidRPr="009A0DA6">
        <w:rPr>
          <w:rFonts w:ascii="Cambria" w:eastAsia="Times New Roman" w:hAnsi="Cambria" w:cstheme="minorHAnsi"/>
          <w:w w:val="104"/>
        </w:rPr>
        <w:t>7,416,801</w:t>
      </w:r>
    </w:p>
    <w:p w14:paraId="46B29B13" w14:textId="77777777" w:rsidR="00BA4592" w:rsidRPr="009A0DA6" w:rsidRDefault="00BA4592" w:rsidP="00E93035">
      <w:pPr>
        <w:tabs>
          <w:tab w:val="center" w:pos="3969"/>
          <w:tab w:val="right" w:pos="5670"/>
          <w:tab w:val="right" w:pos="7230"/>
          <w:tab w:val="right" w:pos="8647"/>
        </w:tabs>
        <w:spacing w:before="120" w:after="120" w:line="240" w:lineRule="auto"/>
        <w:ind w:right="-46"/>
        <w:contextualSpacing/>
        <w:rPr>
          <w:rFonts w:ascii="Cambria" w:hAnsi="Cambria" w:cstheme="minorHAnsi"/>
        </w:rPr>
      </w:pPr>
      <w:r w:rsidRPr="009A0DA6">
        <w:rPr>
          <w:rFonts w:ascii="Cambria" w:hAnsi="Cambria" w:cstheme="minorHAnsi"/>
        </w:rPr>
        <w:t>Reimbursements</w:t>
      </w:r>
      <w:r w:rsidRPr="009A0DA6">
        <w:rPr>
          <w:rFonts w:ascii="Cambria" w:hAnsi="Cambria" w:cstheme="minorHAnsi"/>
        </w:rPr>
        <w:tab/>
      </w:r>
      <w:r w:rsidRPr="009A0DA6">
        <w:rPr>
          <w:rFonts w:ascii="Cambria" w:hAnsi="Cambria" w:cstheme="minorHAnsi"/>
        </w:rPr>
        <w:tab/>
      </w:r>
      <w:r w:rsidRPr="009A0DA6">
        <w:rPr>
          <w:rFonts w:ascii="Cambria" w:eastAsia="Times New Roman" w:hAnsi="Cambria" w:cstheme="minorHAnsi"/>
          <w:spacing w:val="1"/>
        </w:rPr>
        <w:t>203,</w:t>
      </w:r>
      <w:r w:rsidRPr="009A0DA6">
        <w:rPr>
          <w:rFonts w:ascii="Cambria" w:eastAsia="Times New Roman" w:hAnsi="Cambria" w:cstheme="minorHAnsi"/>
          <w:spacing w:val="-1"/>
        </w:rPr>
        <w:t>4</w:t>
      </w:r>
      <w:r w:rsidRPr="009A0DA6">
        <w:rPr>
          <w:rFonts w:ascii="Cambria" w:eastAsia="Times New Roman" w:hAnsi="Cambria" w:cstheme="minorHAnsi"/>
          <w:spacing w:val="1"/>
        </w:rPr>
        <w:t>7</w:t>
      </w:r>
      <w:r w:rsidRPr="009A0DA6">
        <w:rPr>
          <w:rFonts w:ascii="Cambria" w:eastAsia="Times New Roman" w:hAnsi="Cambria" w:cstheme="minorHAnsi"/>
        </w:rPr>
        <w:t>4</w:t>
      </w:r>
      <w:r w:rsidRPr="009A0DA6">
        <w:rPr>
          <w:rFonts w:ascii="Cambria" w:hAnsi="Cambria" w:cstheme="minorHAnsi"/>
        </w:rPr>
        <w:tab/>
      </w:r>
      <w:r w:rsidRPr="009A0DA6">
        <w:rPr>
          <w:rFonts w:ascii="Cambria" w:eastAsia="Times New Roman" w:hAnsi="Cambria" w:cstheme="minorHAnsi"/>
          <w:spacing w:val="1"/>
        </w:rPr>
        <w:t>278,</w:t>
      </w:r>
      <w:r w:rsidRPr="009A0DA6">
        <w:rPr>
          <w:rFonts w:ascii="Cambria" w:eastAsia="Times New Roman" w:hAnsi="Cambria" w:cstheme="minorHAnsi"/>
          <w:spacing w:val="-1"/>
        </w:rPr>
        <w:t>5</w:t>
      </w:r>
      <w:r w:rsidRPr="009A0DA6">
        <w:rPr>
          <w:rFonts w:ascii="Cambria" w:eastAsia="Times New Roman" w:hAnsi="Cambria" w:cstheme="minorHAnsi"/>
          <w:spacing w:val="1"/>
        </w:rPr>
        <w:t>0</w:t>
      </w:r>
      <w:r w:rsidRPr="009A0DA6">
        <w:rPr>
          <w:rFonts w:ascii="Cambria" w:eastAsia="Times New Roman" w:hAnsi="Cambria" w:cstheme="minorHAnsi"/>
        </w:rPr>
        <w:t>4</w:t>
      </w:r>
      <w:r w:rsidRPr="009A0DA6">
        <w:rPr>
          <w:rFonts w:ascii="Cambria" w:hAnsi="Cambria" w:cstheme="minorHAnsi"/>
        </w:rPr>
        <w:tab/>
      </w:r>
      <w:r w:rsidRPr="009A0DA6">
        <w:rPr>
          <w:rFonts w:ascii="Cambria" w:eastAsia="Times New Roman" w:hAnsi="Cambria" w:cstheme="minorHAnsi"/>
          <w:w w:val="105"/>
        </w:rPr>
        <w:t>320,117</w:t>
      </w:r>
    </w:p>
    <w:p w14:paraId="4CF41080" w14:textId="77777777" w:rsidR="00BA4592" w:rsidRPr="009A0DA6" w:rsidRDefault="00BA4592" w:rsidP="00E93035">
      <w:pPr>
        <w:tabs>
          <w:tab w:val="center" w:pos="3969"/>
          <w:tab w:val="right" w:pos="5670"/>
          <w:tab w:val="right" w:pos="7230"/>
          <w:tab w:val="right" w:pos="8647"/>
        </w:tabs>
        <w:spacing w:before="120" w:after="120" w:line="240" w:lineRule="auto"/>
        <w:ind w:right="-46"/>
        <w:contextualSpacing/>
        <w:rPr>
          <w:rFonts w:ascii="Cambria" w:hAnsi="Cambria" w:cstheme="minorHAnsi"/>
        </w:rPr>
      </w:pPr>
      <w:r w:rsidRPr="009A0DA6">
        <w:rPr>
          <w:rFonts w:ascii="Cambria" w:hAnsi="Cambria" w:cstheme="minorHAnsi"/>
        </w:rPr>
        <w:t>Trading income</w:t>
      </w:r>
      <w:r w:rsidRPr="009A0DA6">
        <w:rPr>
          <w:rFonts w:ascii="Cambria" w:hAnsi="Cambria" w:cstheme="minorHAnsi"/>
        </w:rPr>
        <w:tab/>
      </w:r>
      <w:r w:rsidRPr="009A0DA6">
        <w:rPr>
          <w:rFonts w:ascii="Cambria" w:hAnsi="Cambria" w:cstheme="minorHAnsi"/>
        </w:rPr>
        <w:tab/>
      </w:r>
      <w:r w:rsidRPr="009A0DA6">
        <w:rPr>
          <w:rFonts w:ascii="Cambria" w:eastAsia="Times New Roman" w:hAnsi="Cambria" w:cstheme="minorHAnsi"/>
          <w:spacing w:val="1"/>
        </w:rPr>
        <w:t>588,</w:t>
      </w:r>
      <w:r w:rsidRPr="009A0DA6">
        <w:rPr>
          <w:rFonts w:ascii="Cambria" w:eastAsia="Times New Roman" w:hAnsi="Cambria" w:cstheme="minorHAnsi"/>
          <w:spacing w:val="-1"/>
        </w:rPr>
        <w:t>1</w:t>
      </w:r>
      <w:r w:rsidRPr="009A0DA6">
        <w:rPr>
          <w:rFonts w:ascii="Cambria" w:eastAsia="Times New Roman" w:hAnsi="Cambria" w:cstheme="minorHAnsi"/>
          <w:spacing w:val="1"/>
        </w:rPr>
        <w:t>2</w:t>
      </w:r>
      <w:r w:rsidRPr="009A0DA6">
        <w:rPr>
          <w:rFonts w:ascii="Cambria" w:eastAsia="Times New Roman" w:hAnsi="Cambria" w:cstheme="minorHAnsi"/>
        </w:rPr>
        <w:t>8</w:t>
      </w:r>
      <w:r w:rsidRPr="009A0DA6">
        <w:rPr>
          <w:rFonts w:ascii="Cambria" w:hAnsi="Cambria" w:cstheme="minorHAnsi"/>
        </w:rPr>
        <w:tab/>
      </w:r>
      <w:r w:rsidRPr="009A0DA6">
        <w:rPr>
          <w:rFonts w:ascii="Cambria" w:eastAsia="Times New Roman" w:hAnsi="Cambria" w:cstheme="minorHAnsi"/>
          <w:spacing w:val="1"/>
        </w:rPr>
        <w:t>454,</w:t>
      </w:r>
      <w:r w:rsidRPr="009A0DA6">
        <w:rPr>
          <w:rFonts w:ascii="Cambria" w:eastAsia="Times New Roman" w:hAnsi="Cambria" w:cstheme="minorHAnsi"/>
          <w:spacing w:val="-1"/>
        </w:rPr>
        <w:t>8</w:t>
      </w:r>
      <w:r w:rsidRPr="009A0DA6">
        <w:rPr>
          <w:rFonts w:ascii="Cambria" w:eastAsia="Times New Roman" w:hAnsi="Cambria" w:cstheme="minorHAnsi"/>
          <w:spacing w:val="1"/>
        </w:rPr>
        <w:t>6</w:t>
      </w:r>
      <w:r w:rsidRPr="009A0DA6">
        <w:rPr>
          <w:rFonts w:ascii="Cambria" w:eastAsia="Times New Roman" w:hAnsi="Cambria" w:cstheme="minorHAnsi"/>
        </w:rPr>
        <w:t>7</w:t>
      </w:r>
      <w:r w:rsidRPr="009A0DA6">
        <w:rPr>
          <w:rFonts w:ascii="Cambria" w:hAnsi="Cambria" w:cstheme="minorHAnsi"/>
        </w:rPr>
        <w:tab/>
      </w:r>
      <w:r w:rsidRPr="009A0DA6">
        <w:rPr>
          <w:rFonts w:ascii="Cambria" w:eastAsia="Times New Roman" w:hAnsi="Cambria" w:cstheme="minorHAnsi"/>
          <w:w w:val="106"/>
        </w:rPr>
        <w:t>540,459</w:t>
      </w:r>
    </w:p>
    <w:p w14:paraId="4A29EE38" w14:textId="77777777" w:rsidR="00BA4592" w:rsidRPr="009A0DA6" w:rsidRDefault="00BA4592" w:rsidP="00E93035">
      <w:pPr>
        <w:tabs>
          <w:tab w:val="center" w:pos="3969"/>
          <w:tab w:val="right" w:pos="5670"/>
          <w:tab w:val="right" w:pos="7230"/>
          <w:tab w:val="right" w:pos="8647"/>
        </w:tabs>
        <w:spacing w:before="120" w:after="120" w:line="240" w:lineRule="auto"/>
        <w:ind w:right="-46"/>
        <w:contextualSpacing/>
        <w:rPr>
          <w:rFonts w:ascii="Cambria" w:hAnsi="Cambria" w:cstheme="minorHAnsi"/>
          <w:b/>
        </w:rPr>
      </w:pPr>
      <w:r w:rsidRPr="009A0DA6">
        <w:rPr>
          <w:rFonts w:ascii="Cambria" w:hAnsi="Cambria" w:cstheme="minorHAnsi"/>
          <w:b/>
        </w:rPr>
        <w:t>TOTAL INCOME</w:t>
      </w:r>
      <w:r w:rsidRPr="009A0DA6">
        <w:rPr>
          <w:rFonts w:ascii="Cambria" w:hAnsi="Cambria" w:cstheme="minorHAnsi"/>
          <w:b/>
        </w:rPr>
        <w:tab/>
      </w:r>
      <w:r w:rsidRPr="009A0DA6">
        <w:rPr>
          <w:rFonts w:ascii="Cambria" w:hAnsi="Cambria" w:cstheme="minorHAnsi"/>
          <w:b/>
        </w:rPr>
        <w:tab/>
      </w:r>
      <w:r w:rsidRPr="009A0DA6">
        <w:rPr>
          <w:rFonts w:ascii="Cambria" w:eastAsia="Times New Roman" w:hAnsi="Cambria" w:cstheme="minorHAnsi"/>
          <w:b/>
          <w:spacing w:val="1"/>
        </w:rPr>
        <w:t>11,6</w:t>
      </w:r>
      <w:r w:rsidRPr="009A0DA6">
        <w:rPr>
          <w:rFonts w:ascii="Cambria" w:eastAsia="Times New Roman" w:hAnsi="Cambria" w:cstheme="minorHAnsi"/>
          <w:b/>
          <w:spacing w:val="-1"/>
        </w:rPr>
        <w:t>0</w:t>
      </w:r>
      <w:r w:rsidRPr="009A0DA6">
        <w:rPr>
          <w:rFonts w:ascii="Cambria" w:eastAsia="Times New Roman" w:hAnsi="Cambria" w:cstheme="minorHAnsi"/>
          <w:b/>
          <w:spacing w:val="1"/>
        </w:rPr>
        <w:t>9,</w:t>
      </w:r>
      <w:r w:rsidRPr="009A0DA6">
        <w:rPr>
          <w:rFonts w:ascii="Cambria" w:eastAsia="Times New Roman" w:hAnsi="Cambria" w:cstheme="minorHAnsi"/>
          <w:b/>
          <w:spacing w:val="-1"/>
        </w:rPr>
        <w:t>9</w:t>
      </w:r>
      <w:r w:rsidRPr="009A0DA6">
        <w:rPr>
          <w:rFonts w:ascii="Cambria" w:eastAsia="Times New Roman" w:hAnsi="Cambria" w:cstheme="minorHAnsi"/>
          <w:b/>
          <w:spacing w:val="1"/>
        </w:rPr>
        <w:t>1</w:t>
      </w:r>
      <w:r w:rsidRPr="009A0DA6">
        <w:rPr>
          <w:rFonts w:ascii="Cambria" w:eastAsia="Times New Roman" w:hAnsi="Cambria" w:cstheme="minorHAnsi"/>
          <w:b/>
        </w:rPr>
        <w:t>9</w:t>
      </w:r>
      <w:r w:rsidRPr="009A0DA6">
        <w:rPr>
          <w:rFonts w:ascii="Cambria" w:hAnsi="Cambria" w:cstheme="minorHAnsi"/>
          <w:b/>
        </w:rPr>
        <w:tab/>
      </w:r>
      <w:r w:rsidRPr="009A0DA6">
        <w:rPr>
          <w:rFonts w:ascii="Cambria" w:eastAsia="Times New Roman" w:hAnsi="Cambria" w:cstheme="minorHAnsi"/>
          <w:b/>
          <w:spacing w:val="1"/>
        </w:rPr>
        <w:t>12,7</w:t>
      </w:r>
      <w:r w:rsidRPr="009A0DA6">
        <w:rPr>
          <w:rFonts w:ascii="Cambria" w:eastAsia="Times New Roman" w:hAnsi="Cambria" w:cstheme="minorHAnsi"/>
          <w:b/>
          <w:spacing w:val="-1"/>
        </w:rPr>
        <w:t>8</w:t>
      </w:r>
      <w:r w:rsidRPr="009A0DA6">
        <w:rPr>
          <w:rFonts w:ascii="Cambria" w:eastAsia="Times New Roman" w:hAnsi="Cambria" w:cstheme="minorHAnsi"/>
          <w:b/>
          <w:spacing w:val="1"/>
        </w:rPr>
        <w:t>7,</w:t>
      </w:r>
      <w:r w:rsidRPr="009A0DA6">
        <w:rPr>
          <w:rFonts w:ascii="Cambria" w:eastAsia="Times New Roman" w:hAnsi="Cambria" w:cstheme="minorHAnsi"/>
          <w:b/>
          <w:spacing w:val="-1"/>
        </w:rPr>
        <w:t>4</w:t>
      </w:r>
      <w:r w:rsidRPr="009A0DA6">
        <w:rPr>
          <w:rFonts w:ascii="Cambria" w:eastAsia="Times New Roman" w:hAnsi="Cambria" w:cstheme="minorHAnsi"/>
          <w:b/>
          <w:spacing w:val="1"/>
        </w:rPr>
        <w:t>7</w:t>
      </w:r>
      <w:r w:rsidRPr="009A0DA6">
        <w:rPr>
          <w:rFonts w:ascii="Cambria" w:eastAsia="Times New Roman" w:hAnsi="Cambria" w:cstheme="minorHAnsi"/>
          <w:b/>
        </w:rPr>
        <w:t>2</w:t>
      </w:r>
      <w:r w:rsidRPr="009A0DA6">
        <w:rPr>
          <w:rFonts w:ascii="Cambria" w:hAnsi="Cambria" w:cstheme="minorHAnsi"/>
          <w:b/>
        </w:rPr>
        <w:tab/>
      </w:r>
      <w:r w:rsidRPr="009A0DA6">
        <w:rPr>
          <w:rFonts w:ascii="Cambria" w:eastAsia="Times New Roman" w:hAnsi="Cambria" w:cstheme="minorHAnsi"/>
          <w:b/>
          <w:position w:val="-1"/>
        </w:rPr>
        <w:t>10,260,889</w:t>
      </w:r>
    </w:p>
    <w:p w14:paraId="45A4AD84" w14:textId="77777777" w:rsidR="00BA4592" w:rsidRPr="009A0DA6" w:rsidRDefault="00BA4592" w:rsidP="00E93035">
      <w:pPr>
        <w:tabs>
          <w:tab w:val="center" w:pos="3969"/>
          <w:tab w:val="right" w:pos="5670"/>
          <w:tab w:val="right" w:pos="7230"/>
          <w:tab w:val="right" w:pos="8647"/>
        </w:tabs>
        <w:spacing w:before="120" w:after="120" w:line="240" w:lineRule="auto"/>
        <w:ind w:right="-46"/>
        <w:contextualSpacing/>
        <w:rPr>
          <w:rFonts w:ascii="Cambria" w:hAnsi="Cambria" w:cstheme="minorHAnsi"/>
        </w:rPr>
      </w:pPr>
      <w:r w:rsidRPr="009A0DA6">
        <w:rPr>
          <w:rFonts w:ascii="Cambria" w:hAnsi="Cambria" w:cstheme="minorHAnsi"/>
        </w:rPr>
        <w:tab/>
      </w:r>
    </w:p>
    <w:p w14:paraId="59A16C41" w14:textId="77777777" w:rsidR="00BA4592" w:rsidRPr="009A0DA6" w:rsidRDefault="00BA4592" w:rsidP="00E93035">
      <w:pPr>
        <w:tabs>
          <w:tab w:val="center" w:pos="3969"/>
          <w:tab w:val="right" w:pos="5670"/>
          <w:tab w:val="right" w:pos="7230"/>
          <w:tab w:val="right" w:pos="8647"/>
        </w:tabs>
        <w:spacing w:before="120" w:after="120" w:line="240" w:lineRule="auto"/>
        <w:ind w:right="-46"/>
        <w:contextualSpacing/>
        <w:rPr>
          <w:rFonts w:ascii="Cambria" w:hAnsi="Cambria" w:cstheme="minorHAnsi"/>
          <w:b/>
        </w:rPr>
      </w:pPr>
      <w:r w:rsidRPr="009A0DA6">
        <w:rPr>
          <w:rFonts w:ascii="Cambria" w:hAnsi="Cambria" w:cstheme="minorHAnsi"/>
          <w:b/>
        </w:rPr>
        <w:t>LESS: EXPENDITURE</w:t>
      </w:r>
    </w:p>
    <w:p w14:paraId="20C2E882" w14:textId="77777777" w:rsidR="00BA4592" w:rsidRPr="009A0DA6" w:rsidRDefault="00BA4592" w:rsidP="00E93035">
      <w:pPr>
        <w:tabs>
          <w:tab w:val="center" w:pos="3969"/>
          <w:tab w:val="right" w:pos="5670"/>
          <w:tab w:val="right" w:pos="7230"/>
          <w:tab w:val="right" w:pos="8647"/>
        </w:tabs>
        <w:spacing w:before="120" w:after="120" w:line="240" w:lineRule="auto"/>
        <w:ind w:right="-46"/>
        <w:contextualSpacing/>
        <w:rPr>
          <w:rFonts w:ascii="Cambria" w:hAnsi="Cambria" w:cstheme="minorHAnsi"/>
        </w:rPr>
      </w:pPr>
      <w:r w:rsidRPr="009A0DA6">
        <w:rPr>
          <w:rFonts w:ascii="Cambria" w:hAnsi="Cambria" w:cstheme="minorHAnsi"/>
        </w:rPr>
        <w:t>Administration costs</w:t>
      </w:r>
      <w:r w:rsidRPr="009A0DA6">
        <w:rPr>
          <w:rFonts w:ascii="Cambria" w:hAnsi="Cambria" w:cstheme="minorHAnsi"/>
        </w:rPr>
        <w:tab/>
      </w:r>
      <w:r w:rsidRPr="009A0DA6">
        <w:rPr>
          <w:rFonts w:ascii="Cambria" w:hAnsi="Cambria" w:cstheme="minorHAnsi"/>
        </w:rPr>
        <w:tab/>
      </w:r>
      <w:r w:rsidRPr="009A0DA6">
        <w:rPr>
          <w:rFonts w:ascii="Cambria" w:eastAsia="Times New Roman" w:hAnsi="Cambria" w:cstheme="minorHAnsi"/>
          <w:spacing w:val="1"/>
        </w:rPr>
        <w:t>561,</w:t>
      </w:r>
      <w:r w:rsidRPr="009A0DA6">
        <w:rPr>
          <w:rFonts w:ascii="Cambria" w:eastAsia="Times New Roman" w:hAnsi="Cambria" w:cstheme="minorHAnsi"/>
          <w:spacing w:val="-1"/>
        </w:rPr>
        <w:t>2</w:t>
      </w:r>
      <w:r w:rsidRPr="009A0DA6">
        <w:rPr>
          <w:rFonts w:ascii="Cambria" w:eastAsia="Times New Roman" w:hAnsi="Cambria" w:cstheme="minorHAnsi"/>
          <w:spacing w:val="1"/>
        </w:rPr>
        <w:t>2</w:t>
      </w:r>
      <w:r w:rsidRPr="009A0DA6">
        <w:rPr>
          <w:rFonts w:ascii="Cambria" w:eastAsia="Times New Roman" w:hAnsi="Cambria" w:cstheme="minorHAnsi"/>
        </w:rPr>
        <w:t>5</w:t>
      </w:r>
      <w:r w:rsidRPr="009A0DA6">
        <w:rPr>
          <w:rFonts w:ascii="Cambria" w:hAnsi="Cambria" w:cstheme="minorHAnsi"/>
        </w:rPr>
        <w:tab/>
      </w:r>
      <w:r w:rsidRPr="009A0DA6">
        <w:rPr>
          <w:rFonts w:ascii="Cambria" w:eastAsia="Times New Roman" w:hAnsi="Cambria" w:cstheme="minorHAnsi"/>
          <w:spacing w:val="1"/>
        </w:rPr>
        <w:t>487,</w:t>
      </w:r>
      <w:r w:rsidRPr="009A0DA6">
        <w:rPr>
          <w:rFonts w:ascii="Cambria" w:eastAsia="Times New Roman" w:hAnsi="Cambria" w:cstheme="minorHAnsi"/>
          <w:spacing w:val="-1"/>
        </w:rPr>
        <w:t>0</w:t>
      </w:r>
      <w:r w:rsidRPr="009A0DA6">
        <w:rPr>
          <w:rFonts w:ascii="Cambria" w:eastAsia="Times New Roman" w:hAnsi="Cambria" w:cstheme="minorHAnsi"/>
          <w:spacing w:val="1"/>
        </w:rPr>
        <w:t>7</w:t>
      </w:r>
      <w:r w:rsidRPr="009A0DA6">
        <w:rPr>
          <w:rFonts w:ascii="Cambria" w:eastAsia="Times New Roman" w:hAnsi="Cambria" w:cstheme="minorHAnsi"/>
        </w:rPr>
        <w:t>4</w:t>
      </w:r>
      <w:r w:rsidRPr="009A0DA6">
        <w:rPr>
          <w:rFonts w:ascii="Cambria" w:hAnsi="Cambria" w:cstheme="minorHAnsi"/>
        </w:rPr>
        <w:tab/>
      </w:r>
      <w:r w:rsidRPr="009A0DA6">
        <w:rPr>
          <w:rFonts w:ascii="Cambria" w:eastAsia="Times New Roman" w:hAnsi="Cambria" w:cstheme="minorHAnsi"/>
          <w:w w:val="104"/>
        </w:rPr>
        <w:t>435,906</w:t>
      </w:r>
    </w:p>
    <w:p w14:paraId="705E9678" w14:textId="77777777" w:rsidR="00BA4592" w:rsidRPr="009A0DA6" w:rsidRDefault="00BA4592" w:rsidP="00E93035">
      <w:pPr>
        <w:tabs>
          <w:tab w:val="center" w:pos="3969"/>
          <w:tab w:val="right" w:pos="5670"/>
          <w:tab w:val="right" w:pos="7230"/>
          <w:tab w:val="right" w:pos="8647"/>
        </w:tabs>
        <w:spacing w:before="120" w:after="120" w:line="240" w:lineRule="auto"/>
        <w:ind w:right="-46"/>
        <w:contextualSpacing/>
        <w:rPr>
          <w:rFonts w:ascii="Cambria" w:hAnsi="Cambria" w:cstheme="minorHAnsi"/>
        </w:rPr>
      </w:pPr>
      <w:r w:rsidRPr="009A0DA6">
        <w:rPr>
          <w:rFonts w:ascii="Cambria" w:hAnsi="Cambria" w:cstheme="minorHAnsi"/>
        </w:rPr>
        <w:t>Asset costs</w:t>
      </w:r>
      <w:r w:rsidRPr="009A0DA6">
        <w:rPr>
          <w:rFonts w:ascii="Cambria" w:hAnsi="Cambria" w:cstheme="minorHAnsi"/>
        </w:rPr>
        <w:tab/>
      </w:r>
      <w:r w:rsidRPr="009A0DA6">
        <w:rPr>
          <w:rFonts w:ascii="Cambria" w:hAnsi="Cambria" w:cstheme="minorHAnsi"/>
        </w:rPr>
        <w:tab/>
      </w:r>
      <w:r w:rsidRPr="009A0DA6">
        <w:rPr>
          <w:rFonts w:ascii="Cambria" w:eastAsia="Times New Roman" w:hAnsi="Cambria" w:cstheme="minorHAnsi"/>
          <w:spacing w:val="1"/>
        </w:rPr>
        <w:t>213,</w:t>
      </w:r>
      <w:r w:rsidRPr="009A0DA6">
        <w:rPr>
          <w:rFonts w:ascii="Cambria" w:eastAsia="Times New Roman" w:hAnsi="Cambria" w:cstheme="minorHAnsi"/>
          <w:spacing w:val="-1"/>
        </w:rPr>
        <w:t>3</w:t>
      </w:r>
      <w:r w:rsidRPr="009A0DA6">
        <w:rPr>
          <w:rFonts w:ascii="Cambria" w:eastAsia="Times New Roman" w:hAnsi="Cambria" w:cstheme="minorHAnsi"/>
          <w:spacing w:val="1"/>
        </w:rPr>
        <w:t>7</w:t>
      </w:r>
      <w:r w:rsidRPr="009A0DA6">
        <w:rPr>
          <w:rFonts w:ascii="Cambria" w:eastAsia="Times New Roman" w:hAnsi="Cambria" w:cstheme="minorHAnsi"/>
        </w:rPr>
        <w:t>5</w:t>
      </w:r>
      <w:r w:rsidRPr="009A0DA6">
        <w:rPr>
          <w:rFonts w:ascii="Cambria" w:hAnsi="Cambria" w:cstheme="minorHAnsi"/>
        </w:rPr>
        <w:tab/>
      </w:r>
      <w:r w:rsidRPr="009A0DA6">
        <w:rPr>
          <w:rFonts w:ascii="Cambria" w:eastAsia="Times New Roman" w:hAnsi="Cambria" w:cstheme="minorHAnsi"/>
          <w:spacing w:val="1"/>
        </w:rPr>
        <w:t>238,</w:t>
      </w:r>
      <w:r w:rsidRPr="009A0DA6">
        <w:rPr>
          <w:rFonts w:ascii="Cambria" w:eastAsia="Times New Roman" w:hAnsi="Cambria" w:cstheme="minorHAnsi"/>
          <w:spacing w:val="-1"/>
        </w:rPr>
        <w:t>8</w:t>
      </w:r>
      <w:r w:rsidRPr="009A0DA6">
        <w:rPr>
          <w:rFonts w:ascii="Cambria" w:eastAsia="Times New Roman" w:hAnsi="Cambria" w:cstheme="minorHAnsi"/>
          <w:spacing w:val="1"/>
        </w:rPr>
        <w:t>6</w:t>
      </w:r>
      <w:r w:rsidRPr="009A0DA6">
        <w:rPr>
          <w:rFonts w:ascii="Cambria" w:eastAsia="Times New Roman" w:hAnsi="Cambria" w:cstheme="minorHAnsi"/>
        </w:rPr>
        <w:t>3</w:t>
      </w:r>
      <w:r w:rsidRPr="009A0DA6">
        <w:rPr>
          <w:rFonts w:ascii="Cambria" w:eastAsia="Times New Roman" w:hAnsi="Cambria" w:cstheme="minorHAnsi"/>
        </w:rPr>
        <w:tab/>
      </w:r>
      <w:r w:rsidRPr="009A0DA6">
        <w:rPr>
          <w:rFonts w:ascii="Cambria" w:eastAsia="Times New Roman" w:hAnsi="Cambria" w:cstheme="minorHAnsi"/>
          <w:w w:val="104"/>
        </w:rPr>
        <w:t>353,582</w:t>
      </w:r>
    </w:p>
    <w:p w14:paraId="77BF723A" w14:textId="77777777" w:rsidR="00BA4592" w:rsidRPr="009A0DA6" w:rsidRDefault="00BA4592" w:rsidP="00E93035">
      <w:pPr>
        <w:tabs>
          <w:tab w:val="center" w:pos="3969"/>
          <w:tab w:val="right" w:pos="5670"/>
          <w:tab w:val="right" w:pos="7230"/>
          <w:tab w:val="right" w:pos="8647"/>
        </w:tabs>
        <w:spacing w:before="120" w:after="120" w:line="240" w:lineRule="auto"/>
        <w:ind w:right="-46"/>
        <w:contextualSpacing/>
        <w:rPr>
          <w:rFonts w:ascii="Cambria" w:hAnsi="Cambria" w:cstheme="minorHAnsi"/>
        </w:rPr>
      </w:pPr>
      <w:r w:rsidRPr="009A0DA6">
        <w:rPr>
          <w:rFonts w:ascii="Cambria" w:hAnsi="Cambria" w:cstheme="minorHAnsi"/>
        </w:rPr>
        <w:t>Australian Lutheran College subsidies</w:t>
      </w:r>
      <w:r w:rsidRPr="009A0DA6">
        <w:rPr>
          <w:rFonts w:ascii="Cambria" w:hAnsi="Cambria" w:cstheme="minorHAnsi"/>
        </w:rPr>
        <w:tab/>
      </w:r>
      <w:r w:rsidRPr="009A0DA6">
        <w:rPr>
          <w:rFonts w:ascii="Cambria" w:hAnsi="Cambria" w:cstheme="minorHAnsi"/>
        </w:rPr>
        <w:tab/>
        <w:t>1,425,000</w:t>
      </w:r>
      <w:r w:rsidRPr="009A0DA6">
        <w:rPr>
          <w:rFonts w:ascii="Cambria" w:hAnsi="Cambria" w:cstheme="minorHAnsi"/>
        </w:rPr>
        <w:tab/>
        <w:t>1,400,000</w:t>
      </w:r>
      <w:r w:rsidRPr="009A0DA6">
        <w:rPr>
          <w:rFonts w:ascii="Cambria" w:hAnsi="Cambria" w:cstheme="minorHAnsi"/>
        </w:rPr>
        <w:tab/>
        <w:t>1,400,000</w:t>
      </w:r>
    </w:p>
    <w:p w14:paraId="068E05FF" w14:textId="77777777" w:rsidR="00BA4592" w:rsidRPr="009A0DA6" w:rsidRDefault="00BA4592" w:rsidP="00E93035">
      <w:pPr>
        <w:tabs>
          <w:tab w:val="center" w:pos="3969"/>
          <w:tab w:val="right" w:pos="5670"/>
          <w:tab w:val="right" w:pos="7230"/>
          <w:tab w:val="right" w:pos="8647"/>
        </w:tabs>
        <w:spacing w:before="120" w:after="120" w:line="240" w:lineRule="auto"/>
        <w:ind w:right="-46"/>
        <w:contextualSpacing/>
        <w:rPr>
          <w:rFonts w:ascii="Cambria" w:eastAsia="Times New Roman" w:hAnsi="Cambria" w:cstheme="minorHAnsi"/>
        </w:rPr>
      </w:pPr>
      <w:r w:rsidRPr="009A0DA6">
        <w:rPr>
          <w:rFonts w:ascii="Cambria" w:hAnsi="Cambria" w:cstheme="minorHAnsi"/>
        </w:rPr>
        <w:t>Consulting expenses</w:t>
      </w:r>
      <w:r w:rsidRPr="009A0DA6">
        <w:rPr>
          <w:rFonts w:ascii="Cambria" w:hAnsi="Cambria" w:cstheme="minorHAnsi"/>
        </w:rPr>
        <w:tab/>
      </w:r>
      <w:r w:rsidRPr="009A0DA6">
        <w:rPr>
          <w:rFonts w:ascii="Cambria" w:hAnsi="Cambria" w:cstheme="minorHAnsi"/>
        </w:rPr>
        <w:tab/>
      </w:r>
      <w:r w:rsidRPr="009A0DA6">
        <w:rPr>
          <w:rFonts w:ascii="Cambria" w:eastAsia="Times New Roman" w:hAnsi="Cambria" w:cstheme="minorHAnsi"/>
          <w:spacing w:val="1"/>
        </w:rPr>
        <w:t>520,</w:t>
      </w:r>
      <w:r w:rsidRPr="009A0DA6">
        <w:rPr>
          <w:rFonts w:ascii="Cambria" w:eastAsia="Times New Roman" w:hAnsi="Cambria" w:cstheme="minorHAnsi"/>
          <w:spacing w:val="-1"/>
        </w:rPr>
        <w:t>7</w:t>
      </w:r>
      <w:r w:rsidRPr="009A0DA6">
        <w:rPr>
          <w:rFonts w:ascii="Cambria" w:eastAsia="Times New Roman" w:hAnsi="Cambria" w:cstheme="minorHAnsi"/>
          <w:spacing w:val="1"/>
        </w:rPr>
        <w:t>0</w:t>
      </w:r>
      <w:r w:rsidRPr="009A0DA6">
        <w:rPr>
          <w:rFonts w:ascii="Cambria" w:eastAsia="Times New Roman" w:hAnsi="Cambria" w:cstheme="minorHAnsi"/>
        </w:rPr>
        <w:t>0</w:t>
      </w:r>
      <w:r w:rsidRPr="009A0DA6">
        <w:rPr>
          <w:rFonts w:ascii="Cambria" w:hAnsi="Cambria" w:cstheme="minorHAnsi"/>
        </w:rPr>
        <w:tab/>
      </w:r>
      <w:r w:rsidRPr="009A0DA6">
        <w:rPr>
          <w:rFonts w:ascii="Cambria" w:eastAsia="Times New Roman" w:hAnsi="Cambria" w:cstheme="minorHAnsi"/>
          <w:spacing w:val="1"/>
        </w:rPr>
        <w:t>484,</w:t>
      </w:r>
      <w:r w:rsidRPr="009A0DA6">
        <w:rPr>
          <w:rFonts w:ascii="Cambria" w:eastAsia="Times New Roman" w:hAnsi="Cambria" w:cstheme="minorHAnsi"/>
          <w:spacing w:val="-1"/>
        </w:rPr>
        <w:t>2</w:t>
      </w:r>
      <w:r w:rsidRPr="009A0DA6">
        <w:rPr>
          <w:rFonts w:ascii="Cambria" w:eastAsia="Times New Roman" w:hAnsi="Cambria" w:cstheme="minorHAnsi"/>
          <w:spacing w:val="1"/>
        </w:rPr>
        <w:t>3</w:t>
      </w:r>
      <w:r w:rsidRPr="009A0DA6">
        <w:rPr>
          <w:rFonts w:ascii="Cambria" w:eastAsia="Times New Roman" w:hAnsi="Cambria" w:cstheme="minorHAnsi"/>
        </w:rPr>
        <w:t>7</w:t>
      </w:r>
      <w:r w:rsidRPr="009A0DA6">
        <w:rPr>
          <w:rFonts w:ascii="Cambria" w:eastAsia="Times New Roman" w:hAnsi="Cambria" w:cstheme="minorHAnsi"/>
        </w:rPr>
        <w:tab/>
      </w:r>
      <w:r w:rsidRPr="009A0DA6">
        <w:rPr>
          <w:rFonts w:ascii="Cambria" w:eastAsia="Times New Roman" w:hAnsi="Cambria" w:cstheme="minorHAnsi"/>
          <w:w w:val="105"/>
        </w:rPr>
        <w:t>440,361</w:t>
      </w:r>
    </w:p>
    <w:p w14:paraId="1188C2E8" w14:textId="77777777" w:rsidR="00BA4592" w:rsidRPr="009A0DA6" w:rsidRDefault="00BA4592" w:rsidP="00E93035">
      <w:pPr>
        <w:tabs>
          <w:tab w:val="center" w:pos="3969"/>
          <w:tab w:val="right" w:pos="5670"/>
          <w:tab w:val="right" w:pos="7230"/>
          <w:tab w:val="right" w:pos="8647"/>
        </w:tabs>
        <w:spacing w:before="120" w:after="120" w:line="240" w:lineRule="auto"/>
        <w:ind w:right="-46"/>
        <w:contextualSpacing/>
        <w:rPr>
          <w:rFonts w:ascii="Cambria" w:eastAsia="Times New Roman" w:hAnsi="Cambria" w:cstheme="minorHAnsi"/>
        </w:rPr>
      </w:pPr>
      <w:r w:rsidRPr="009A0DA6">
        <w:rPr>
          <w:rFonts w:ascii="Cambria" w:eastAsia="Times New Roman" w:hAnsi="Cambria" w:cstheme="minorHAnsi"/>
        </w:rPr>
        <w:t>De</w:t>
      </w:r>
      <w:r w:rsidRPr="009A0DA6">
        <w:rPr>
          <w:rFonts w:ascii="Cambria" w:eastAsia="Times New Roman" w:hAnsi="Cambria" w:cstheme="minorHAnsi"/>
          <w:spacing w:val="1"/>
        </w:rPr>
        <w:t>pr</w:t>
      </w:r>
      <w:r w:rsidRPr="009A0DA6">
        <w:rPr>
          <w:rFonts w:ascii="Cambria" w:eastAsia="Times New Roman" w:hAnsi="Cambria" w:cstheme="minorHAnsi"/>
        </w:rPr>
        <w:t>eciati</w:t>
      </w:r>
      <w:r w:rsidRPr="009A0DA6">
        <w:rPr>
          <w:rFonts w:ascii="Cambria" w:eastAsia="Times New Roman" w:hAnsi="Cambria" w:cstheme="minorHAnsi"/>
          <w:spacing w:val="1"/>
        </w:rPr>
        <w:t>o</w:t>
      </w:r>
      <w:r w:rsidRPr="009A0DA6">
        <w:rPr>
          <w:rFonts w:ascii="Cambria" w:eastAsia="Times New Roman" w:hAnsi="Cambria" w:cstheme="minorHAnsi"/>
        </w:rPr>
        <w:t>n</w:t>
      </w:r>
      <w:r w:rsidRPr="009A0DA6">
        <w:rPr>
          <w:rFonts w:ascii="Cambria" w:eastAsia="Times New Roman" w:hAnsi="Cambria" w:cstheme="minorHAnsi"/>
          <w:spacing w:val="-11"/>
        </w:rPr>
        <w:t xml:space="preserve"> </w:t>
      </w:r>
      <w:r w:rsidRPr="009A0DA6">
        <w:rPr>
          <w:rFonts w:ascii="Cambria" w:eastAsia="Times New Roman" w:hAnsi="Cambria" w:cstheme="minorHAnsi"/>
        </w:rPr>
        <w:t>e</w:t>
      </w:r>
      <w:r w:rsidRPr="009A0DA6">
        <w:rPr>
          <w:rFonts w:ascii="Cambria" w:eastAsia="Times New Roman" w:hAnsi="Cambria" w:cstheme="minorHAnsi"/>
          <w:spacing w:val="-1"/>
        </w:rPr>
        <w:t>x</w:t>
      </w:r>
      <w:r w:rsidRPr="009A0DA6">
        <w:rPr>
          <w:rFonts w:ascii="Cambria" w:eastAsia="Times New Roman" w:hAnsi="Cambria" w:cstheme="minorHAnsi"/>
          <w:spacing w:val="1"/>
        </w:rPr>
        <w:t>p</w:t>
      </w:r>
      <w:r w:rsidRPr="009A0DA6">
        <w:rPr>
          <w:rFonts w:ascii="Cambria" w:eastAsia="Times New Roman" w:hAnsi="Cambria" w:cstheme="minorHAnsi"/>
        </w:rPr>
        <w:t>e</w:t>
      </w:r>
      <w:r w:rsidRPr="009A0DA6">
        <w:rPr>
          <w:rFonts w:ascii="Cambria" w:eastAsia="Times New Roman" w:hAnsi="Cambria" w:cstheme="minorHAnsi"/>
          <w:spacing w:val="1"/>
        </w:rPr>
        <w:t>n</w:t>
      </w:r>
      <w:r w:rsidRPr="009A0DA6">
        <w:rPr>
          <w:rFonts w:ascii="Cambria" w:eastAsia="Times New Roman" w:hAnsi="Cambria" w:cstheme="minorHAnsi"/>
          <w:spacing w:val="-1"/>
        </w:rPr>
        <w:t>s</w:t>
      </w:r>
      <w:r w:rsidRPr="009A0DA6">
        <w:rPr>
          <w:rFonts w:ascii="Cambria" w:eastAsia="Times New Roman" w:hAnsi="Cambria" w:cstheme="minorHAnsi"/>
        </w:rPr>
        <w:t>e</w:t>
      </w:r>
      <w:r w:rsidRPr="009A0DA6">
        <w:rPr>
          <w:rFonts w:ascii="Cambria" w:eastAsia="Times New Roman" w:hAnsi="Cambria" w:cstheme="minorHAnsi"/>
        </w:rPr>
        <w:tab/>
      </w:r>
      <w:r w:rsidRPr="009A0DA6">
        <w:rPr>
          <w:rFonts w:ascii="Cambria" w:eastAsia="Times New Roman" w:hAnsi="Cambria" w:cstheme="minorHAnsi"/>
        </w:rPr>
        <w:tab/>
        <w:t>100,564</w:t>
      </w:r>
      <w:r w:rsidRPr="009A0DA6">
        <w:rPr>
          <w:rFonts w:ascii="Cambria" w:eastAsia="Times New Roman" w:hAnsi="Cambria" w:cstheme="minorHAnsi"/>
        </w:rPr>
        <w:tab/>
      </w:r>
      <w:r w:rsidRPr="009A0DA6">
        <w:rPr>
          <w:rFonts w:ascii="Cambria" w:eastAsia="Times New Roman" w:hAnsi="Cambria" w:cstheme="minorHAnsi"/>
          <w:spacing w:val="1"/>
        </w:rPr>
        <w:t>105,</w:t>
      </w:r>
      <w:r w:rsidRPr="009A0DA6">
        <w:rPr>
          <w:rFonts w:ascii="Cambria" w:eastAsia="Times New Roman" w:hAnsi="Cambria" w:cstheme="minorHAnsi"/>
          <w:spacing w:val="-1"/>
        </w:rPr>
        <w:t>7</w:t>
      </w:r>
      <w:r w:rsidRPr="009A0DA6">
        <w:rPr>
          <w:rFonts w:ascii="Cambria" w:eastAsia="Times New Roman" w:hAnsi="Cambria" w:cstheme="minorHAnsi"/>
          <w:spacing w:val="1"/>
        </w:rPr>
        <w:t>4</w:t>
      </w:r>
      <w:r w:rsidRPr="009A0DA6">
        <w:rPr>
          <w:rFonts w:ascii="Cambria" w:eastAsia="Times New Roman" w:hAnsi="Cambria" w:cstheme="minorHAnsi"/>
        </w:rPr>
        <w:t>2</w:t>
      </w:r>
      <w:r w:rsidRPr="009A0DA6">
        <w:rPr>
          <w:rFonts w:ascii="Cambria" w:eastAsia="Times New Roman" w:hAnsi="Cambria" w:cstheme="minorHAnsi"/>
        </w:rPr>
        <w:tab/>
      </w:r>
      <w:r w:rsidRPr="009A0DA6">
        <w:rPr>
          <w:rFonts w:ascii="Cambria" w:eastAsia="Times New Roman" w:hAnsi="Cambria" w:cstheme="minorHAnsi"/>
          <w:spacing w:val="1"/>
        </w:rPr>
        <w:t>40,2</w:t>
      </w:r>
      <w:r w:rsidRPr="009A0DA6">
        <w:rPr>
          <w:rFonts w:ascii="Cambria" w:eastAsia="Times New Roman" w:hAnsi="Cambria" w:cstheme="minorHAnsi"/>
          <w:spacing w:val="-1"/>
        </w:rPr>
        <w:t>1</w:t>
      </w:r>
      <w:r w:rsidRPr="009A0DA6">
        <w:rPr>
          <w:rFonts w:ascii="Cambria" w:eastAsia="Times New Roman" w:hAnsi="Cambria" w:cstheme="minorHAnsi"/>
        </w:rPr>
        <w:t>8</w:t>
      </w:r>
    </w:p>
    <w:p w14:paraId="46AA0BC2" w14:textId="77777777" w:rsidR="00BA4592" w:rsidRPr="009A0DA6" w:rsidRDefault="00BA4592" w:rsidP="00E93035">
      <w:pPr>
        <w:tabs>
          <w:tab w:val="center" w:pos="3969"/>
          <w:tab w:val="right" w:pos="5670"/>
          <w:tab w:val="right" w:pos="7230"/>
          <w:tab w:val="right" w:pos="8647"/>
        </w:tabs>
        <w:spacing w:before="120" w:after="120" w:line="240" w:lineRule="auto"/>
        <w:ind w:right="-46"/>
        <w:contextualSpacing/>
        <w:rPr>
          <w:rFonts w:ascii="Cambria" w:eastAsiaTheme="minorEastAsia" w:hAnsi="Cambria" w:cstheme="minorHAnsi"/>
        </w:rPr>
      </w:pPr>
      <w:r w:rsidRPr="009A0DA6">
        <w:rPr>
          <w:rFonts w:ascii="Cambria" w:hAnsi="Cambria" w:cstheme="minorHAnsi"/>
        </w:rPr>
        <w:t>Employee expenses</w:t>
      </w:r>
      <w:r w:rsidRPr="009A0DA6">
        <w:rPr>
          <w:rFonts w:ascii="Cambria" w:hAnsi="Cambria" w:cstheme="minorHAnsi"/>
        </w:rPr>
        <w:tab/>
      </w:r>
      <w:r w:rsidRPr="009A0DA6">
        <w:rPr>
          <w:rFonts w:ascii="Cambria" w:hAnsi="Cambria" w:cstheme="minorHAnsi"/>
        </w:rPr>
        <w:tab/>
      </w:r>
      <w:r w:rsidRPr="009A0DA6">
        <w:rPr>
          <w:rFonts w:ascii="Cambria" w:eastAsia="Times New Roman" w:hAnsi="Cambria" w:cstheme="minorHAnsi"/>
          <w:spacing w:val="1"/>
        </w:rPr>
        <w:t>4,13</w:t>
      </w:r>
      <w:r w:rsidRPr="009A0DA6">
        <w:rPr>
          <w:rFonts w:ascii="Cambria" w:eastAsia="Times New Roman" w:hAnsi="Cambria" w:cstheme="minorHAnsi"/>
          <w:spacing w:val="-1"/>
        </w:rPr>
        <w:t>7</w:t>
      </w:r>
      <w:r w:rsidRPr="009A0DA6">
        <w:rPr>
          <w:rFonts w:ascii="Cambria" w:eastAsia="Times New Roman" w:hAnsi="Cambria" w:cstheme="minorHAnsi"/>
          <w:spacing w:val="1"/>
        </w:rPr>
        <w:t>,7</w:t>
      </w:r>
      <w:r w:rsidRPr="009A0DA6">
        <w:rPr>
          <w:rFonts w:ascii="Cambria" w:eastAsia="Times New Roman" w:hAnsi="Cambria" w:cstheme="minorHAnsi"/>
          <w:spacing w:val="-1"/>
        </w:rPr>
        <w:t>3</w:t>
      </w:r>
      <w:r w:rsidRPr="009A0DA6">
        <w:rPr>
          <w:rFonts w:ascii="Cambria" w:eastAsia="Times New Roman" w:hAnsi="Cambria" w:cstheme="minorHAnsi"/>
        </w:rPr>
        <w:t>9</w:t>
      </w:r>
      <w:r w:rsidRPr="009A0DA6">
        <w:rPr>
          <w:rFonts w:ascii="Cambria" w:eastAsia="Times New Roman" w:hAnsi="Cambria" w:cstheme="minorHAnsi"/>
        </w:rPr>
        <w:tab/>
      </w:r>
      <w:r w:rsidRPr="009A0DA6">
        <w:rPr>
          <w:rFonts w:ascii="Cambria" w:eastAsia="Times New Roman" w:hAnsi="Cambria" w:cstheme="minorHAnsi"/>
          <w:spacing w:val="1"/>
        </w:rPr>
        <w:t>4,01</w:t>
      </w:r>
      <w:r w:rsidRPr="009A0DA6">
        <w:rPr>
          <w:rFonts w:ascii="Cambria" w:eastAsia="Times New Roman" w:hAnsi="Cambria" w:cstheme="minorHAnsi"/>
          <w:spacing w:val="-1"/>
        </w:rPr>
        <w:t>0</w:t>
      </w:r>
      <w:r w:rsidRPr="009A0DA6">
        <w:rPr>
          <w:rFonts w:ascii="Cambria" w:eastAsia="Times New Roman" w:hAnsi="Cambria" w:cstheme="minorHAnsi"/>
          <w:spacing w:val="1"/>
        </w:rPr>
        <w:t>,0</w:t>
      </w:r>
      <w:r w:rsidRPr="009A0DA6">
        <w:rPr>
          <w:rFonts w:ascii="Cambria" w:eastAsia="Times New Roman" w:hAnsi="Cambria" w:cstheme="minorHAnsi"/>
          <w:spacing w:val="-1"/>
        </w:rPr>
        <w:t>6</w:t>
      </w:r>
      <w:r w:rsidRPr="009A0DA6">
        <w:rPr>
          <w:rFonts w:ascii="Cambria" w:eastAsia="Times New Roman" w:hAnsi="Cambria" w:cstheme="minorHAnsi"/>
        </w:rPr>
        <w:t>7</w:t>
      </w:r>
      <w:r w:rsidRPr="009A0DA6">
        <w:rPr>
          <w:rFonts w:ascii="Cambria" w:eastAsia="Times New Roman" w:hAnsi="Cambria" w:cstheme="minorHAnsi"/>
        </w:rPr>
        <w:tab/>
      </w:r>
      <w:r w:rsidRPr="009A0DA6">
        <w:rPr>
          <w:rFonts w:ascii="Cambria" w:eastAsia="Times New Roman" w:hAnsi="Cambria" w:cstheme="minorHAnsi"/>
          <w:w w:val="104"/>
        </w:rPr>
        <w:t>3,230,381</w:t>
      </w:r>
    </w:p>
    <w:p w14:paraId="0491E447" w14:textId="77777777" w:rsidR="00BA4592" w:rsidRPr="009A0DA6" w:rsidRDefault="00BA4592" w:rsidP="00E93035">
      <w:pPr>
        <w:tabs>
          <w:tab w:val="center" w:pos="3969"/>
          <w:tab w:val="right" w:pos="5670"/>
          <w:tab w:val="right" w:pos="7230"/>
          <w:tab w:val="right" w:pos="8647"/>
        </w:tabs>
        <w:spacing w:before="120" w:after="120" w:line="240" w:lineRule="auto"/>
        <w:ind w:right="-46"/>
        <w:contextualSpacing/>
        <w:rPr>
          <w:rFonts w:ascii="Cambria" w:hAnsi="Cambria" w:cstheme="minorHAnsi"/>
        </w:rPr>
      </w:pPr>
      <w:r w:rsidRPr="009A0DA6">
        <w:rPr>
          <w:rFonts w:ascii="Cambria" w:hAnsi="Cambria" w:cstheme="minorHAnsi"/>
        </w:rPr>
        <w:t>Governance costs</w:t>
      </w:r>
      <w:r w:rsidRPr="009A0DA6">
        <w:rPr>
          <w:rFonts w:ascii="Cambria" w:hAnsi="Cambria" w:cstheme="minorHAnsi"/>
        </w:rPr>
        <w:tab/>
      </w:r>
      <w:r w:rsidRPr="009A0DA6">
        <w:rPr>
          <w:rFonts w:ascii="Cambria" w:hAnsi="Cambria" w:cstheme="minorHAnsi"/>
        </w:rPr>
        <w:tab/>
      </w:r>
      <w:r w:rsidRPr="009A0DA6">
        <w:rPr>
          <w:rFonts w:ascii="Cambria" w:eastAsia="Times New Roman" w:hAnsi="Cambria" w:cstheme="minorHAnsi"/>
          <w:spacing w:val="1"/>
        </w:rPr>
        <w:t>335,</w:t>
      </w:r>
      <w:r w:rsidRPr="009A0DA6">
        <w:rPr>
          <w:rFonts w:ascii="Cambria" w:eastAsia="Times New Roman" w:hAnsi="Cambria" w:cstheme="minorHAnsi"/>
          <w:spacing w:val="-1"/>
        </w:rPr>
        <w:t>8</w:t>
      </w:r>
      <w:r w:rsidRPr="009A0DA6">
        <w:rPr>
          <w:rFonts w:ascii="Cambria" w:eastAsia="Times New Roman" w:hAnsi="Cambria" w:cstheme="minorHAnsi"/>
          <w:spacing w:val="1"/>
        </w:rPr>
        <w:t>5</w:t>
      </w:r>
      <w:r w:rsidRPr="009A0DA6">
        <w:rPr>
          <w:rFonts w:ascii="Cambria" w:eastAsia="Times New Roman" w:hAnsi="Cambria" w:cstheme="minorHAnsi"/>
        </w:rPr>
        <w:t>3</w:t>
      </w:r>
      <w:r w:rsidRPr="009A0DA6">
        <w:rPr>
          <w:rFonts w:ascii="Cambria" w:hAnsi="Cambria" w:cstheme="minorHAnsi"/>
        </w:rPr>
        <w:tab/>
      </w:r>
      <w:r w:rsidRPr="009A0DA6">
        <w:rPr>
          <w:rFonts w:ascii="Cambria" w:eastAsia="Times New Roman" w:hAnsi="Cambria" w:cstheme="minorHAnsi"/>
          <w:spacing w:val="1"/>
        </w:rPr>
        <w:t>221,</w:t>
      </w:r>
      <w:r w:rsidRPr="009A0DA6">
        <w:rPr>
          <w:rFonts w:ascii="Cambria" w:eastAsia="Times New Roman" w:hAnsi="Cambria" w:cstheme="minorHAnsi"/>
          <w:spacing w:val="-1"/>
        </w:rPr>
        <w:t>2</w:t>
      </w:r>
      <w:r w:rsidRPr="009A0DA6">
        <w:rPr>
          <w:rFonts w:ascii="Cambria" w:eastAsia="Times New Roman" w:hAnsi="Cambria" w:cstheme="minorHAnsi"/>
          <w:spacing w:val="1"/>
        </w:rPr>
        <w:t>3</w:t>
      </w:r>
      <w:r w:rsidRPr="009A0DA6">
        <w:rPr>
          <w:rFonts w:ascii="Cambria" w:eastAsia="Times New Roman" w:hAnsi="Cambria" w:cstheme="minorHAnsi"/>
        </w:rPr>
        <w:t>7</w:t>
      </w:r>
      <w:r w:rsidRPr="009A0DA6">
        <w:rPr>
          <w:rFonts w:ascii="Cambria" w:hAnsi="Cambria" w:cstheme="minorHAnsi"/>
        </w:rPr>
        <w:tab/>
      </w:r>
      <w:r w:rsidRPr="009A0DA6">
        <w:rPr>
          <w:rFonts w:ascii="Cambria" w:eastAsia="Times New Roman" w:hAnsi="Cambria" w:cstheme="minorHAnsi"/>
          <w:w w:val="105"/>
        </w:rPr>
        <w:t>219,987</w:t>
      </w:r>
    </w:p>
    <w:p w14:paraId="6BEF2040" w14:textId="77777777" w:rsidR="00BA4592" w:rsidRPr="009A0DA6" w:rsidRDefault="00BA4592" w:rsidP="00E93035">
      <w:pPr>
        <w:tabs>
          <w:tab w:val="center" w:pos="3969"/>
          <w:tab w:val="right" w:pos="5670"/>
          <w:tab w:val="right" w:pos="7230"/>
          <w:tab w:val="right" w:pos="8647"/>
        </w:tabs>
        <w:spacing w:before="120" w:after="120" w:line="240" w:lineRule="auto"/>
        <w:ind w:right="-46"/>
        <w:contextualSpacing/>
        <w:rPr>
          <w:rFonts w:ascii="Cambria" w:hAnsi="Cambria" w:cstheme="minorHAnsi"/>
        </w:rPr>
      </w:pPr>
      <w:r w:rsidRPr="009A0DA6">
        <w:rPr>
          <w:rFonts w:ascii="Cambria" w:hAnsi="Cambria" w:cstheme="minorHAnsi"/>
        </w:rPr>
        <w:t>Ministry expenses</w:t>
      </w:r>
      <w:r w:rsidRPr="009A0DA6">
        <w:rPr>
          <w:rFonts w:ascii="Cambria" w:hAnsi="Cambria" w:cstheme="minorHAnsi"/>
        </w:rPr>
        <w:tab/>
      </w:r>
      <w:r w:rsidRPr="009A0DA6">
        <w:rPr>
          <w:rFonts w:ascii="Cambria" w:hAnsi="Cambria" w:cstheme="minorHAnsi"/>
        </w:rPr>
        <w:tab/>
      </w:r>
      <w:r w:rsidRPr="009A0DA6">
        <w:rPr>
          <w:rFonts w:ascii="Cambria" w:eastAsia="Times New Roman" w:hAnsi="Cambria" w:cstheme="minorHAnsi"/>
          <w:spacing w:val="1"/>
        </w:rPr>
        <w:t>2,18</w:t>
      </w:r>
      <w:r w:rsidRPr="009A0DA6">
        <w:rPr>
          <w:rFonts w:ascii="Cambria" w:eastAsia="Times New Roman" w:hAnsi="Cambria" w:cstheme="minorHAnsi"/>
          <w:spacing w:val="-1"/>
        </w:rPr>
        <w:t>8</w:t>
      </w:r>
      <w:r w:rsidRPr="009A0DA6">
        <w:rPr>
          <w:rFonts w:ascii="Cambria" w:eastAsia="Times New Roman" w:hAnsi="Cambria" w:cstheme="minorHAnsi"/>
          <w:spacing w:val="1"/>
        </w:rPr>
        <w:t>,7</w:t>
      </w:r>
      <w:r w:rsidRPr="009A0DA6">
        <w:rPr>
          <w:rFonts w:ascii="Cambria" w:eastAsia="Times New Roman" w:hAnsi="Cambria" w:cstheme="minorHAnsi"/>
          <w:spacing w:val="-1"/>
        </w:rPr>
        <w:t>6</w:t>
      </w:r>
      <w:r w:rsidRPr="009A0DA6">
        <w:rPr>
          <w:rFonts w:ascii="Cambria" w:eastAsia="Times New Roman" w:hAnsi="Cambria" w:cstheme="minorHAnsi"/>
        </w:rPr>
        <w:t>9</w:t>
      </w:r>
      <w:r w:rsidRPr="009A0DA6">
        <w:rPr>
          <w:rFonts w:ascii="Cambria" w:hAnsi="Cambria" w:cstheme="minorHAnsi"/>
        </w:rPr>
        <w:tab/>
      </w:r>
      <w:r w:rsidRPr="009A0DA6">
        <w:rPr>
          <w:rFonts w:ascii="Cambria" w:eastAsia="Times New Roman" w:hAnsi="Cambria" w:cstheme="minorHAnsi"/>
          <w:spacing w:val="1"/>
        </w:rPr>
        <w:t>2,25</w:t>
      </w:r>
      <w:r w:rsidRPr="009A0DA6">
        <w:rPr>
          <w:rFonts w:ascii="Cambria" w:eastAsia="Times New Roman" w:hAnsi="Cambria" w:cstheme="minorHAnsi"/>
          <w:spacing w:val="-1"/>
        </w:rPr>
        <w:t>2</w:t>
      </w:r>
      <w:r w:rsidRPr="009A0DA6">
        <w:rPr>
          <w:rFonts w:ascii="Cambria" w:eastAsia="Times New Roman" w:hAnsi="Cambria" w:cstheme="minorHAnsi"/>
          <w:spacing w:val="1"/>
        </w:rPr>
        <w:t>,4</w:t>
      </w:r>
      <w:r w:rsidRPr="009A0DA6">
        <w:rPr>
          <w:rFonts w:ascii="Cambria" w:eastAsia="Times New Roman" w:hAnsi="Cambria" w:cstheme="minorHAnsi"/>
          <w:spacing w:val="-1"/>
        </w:rPr>
        <w:t>3</w:t>
      </w:r>
      <w:r w:rsidRPr="009A0DA6">
        <w:rPr>
          <w:rFonts w:ascii="Cambria" w:eastAsia="Times New Roman" w:hAnsi="Cambria" w:cstheme="minorHAnsi"/>
        </w:rPr>
        <w:t>1</w:t>
      </w:r>
      <w:r w:rsidRPr="009A0DA6">
        <w:rPr>
          <w:rFonts w:ascii="Cambria" w:hAnsi="Cambria" w:cstheme="minorHAnsi"/>
        </w:rPr>
        <w:tab/>
      </w:r>
      <w:r w:rsidRPr="009A0DA6">
        <w:rPr>
          <w:rFonts w:ascii="Cambria" w:eastAsia="Times New Roman" w:hAnsi="Cambria" w:cstheme="minorHAnsi"/>
          <w:w w:val="105"/>
        </w:rPr>
        <w:t>1,460,792</w:t>
      </w:r>
    </w:p>
    <w:p w14:paraId="4FB53AC0" w14:textId="77777777" w:rsidR="00BA4592" w:rsidRPr="009A0DA6" w:rsidRDefault="00BA4592" w:rsidP="00E93035">
      <w:pPr>
        <w:tabs>
          <w:tab w:val="center" w:pos="3969"/>
          <w:tab w:val="right" w:pos="5670"/>
          <w:tab w:val="right" w:pos="7230"/>
          <w:tab w:val="right" w:pos="8647"/>
        </w:tabs>
        <w:spacing w:before="120" w:after="120" w:line="240" w:lineRule="auto"/>
        <w:ind w:right="-46"/>
        <w:contextualSpacing/>
        <w:rPr>
          <w:rFonts w:ascii="Cambria" w:hAnsi="Cambria" w:cstheme="minorHAnsi"/>
        </w:rPr>
      </w:pPr>
      <w:r w:rsidRPr="009A0DA6">
        <w:rPr>
          <w:rFonts w:ascii="Cambria" w:hAnsi="Cambria" w:cstheme="minorHAnsi"/>
        </w:rPr>
        <w:t>Project costs</w:t>
      </w:r>
      <w:r w:rsidRPr="009A0DA6">
        <w:rPr>
          <w:rFonts w:ascii="Cambria" w:hAnsi="Cambria" w:cstheme="minorHAnsi"/>
        </w:rPr>
        <w:tab/>
      </w:r>
      <w:r w:rsidRPr="009A0DA6">
        <w:rPr>
          <w:rFonts w:ascii="Cambria" w:hAnsi="Cambria" w:cstheme="minorHAnsi"/>
        </w:rPr>
        <w:tab/>
      </w:r>
      <w:r w:rsidRPr="009A0DA6">
        <w:rPr>
          <w:rFonts w:ascii="Cambria" w:eastAsia="Times New Roman" w:hAnsi="Cambria" w:cstheme="minorHAnsi"/>
          <w:spacing w:val="1"/>
        </w:rPr>
        <w:t>1,64</w:t>
      </w:r>
      <w:r w:rsidRPr="009A0DA6">
        <w:rPr>
          <w:rFonts w:ascii="Cambria" w:eastAsia="Times New Roman" w:hAnsi="Cambria" w:cstheme="minorHAnsi"/>
          <w:spacing w:val="-1"/>
        </w:rPr>
        <w:t>8</w:t>
      </w:r>
      <w:r w:rsidRPr="009A0DA6">
        <w:rPr>
          <w:rFonts w:ascii="Cambria" w:eastAsia="Times New Roman" w:hAnsi="Cambria" w:cstheme="minorHAnsi"/>
          <w:spacing w:val="1"/>
        </w:rPr>
        <w:t>,5</w:t>
      </w:r>
      <w:r w:rsidRPr="009A0DA6">
        <w:rPr>
          <w:rFonts w:ascii="Cambria" w:eastAsia="Times New Roman" w:hAnsi="Cambria" w:cstheme="minorHAnsi"/>
          <w:spacing w:val="-1"/>
        </w:rPr>
        <w:t>1</w:t>
      </w:r>
      <w:r w:rsidRPr="009A0DA6">
        <w:rPr>
          <w:rFonts w:ascii="Cambria" w:eastAsia="Times New Roman" w:hAnsi="Cambria" w:cstheme="minorHAnsi"/>
        </w:rPr>
        <w:t>5</w:t>
      </w:r>
      <w:r w:rsidRPr="009A0DA6">
        <w:rPr>
          <w:rFonts w:ascii="Cambria" w:hAnsi="Cambria" w:cstheme="minorHAnsi"/>
        </w:rPr>
        <w:tab/>
      </w:r>
      <w:r w:rsidRPr="009A0DA6">
        <w:rPr>
          <w:rFonts w:ascii="Cambria" w:eastAsia="Times New Roman" w:hAnsi="Cambria" w:cstheme="minorHAnsi"/>
          <w:spacing w:val="1"/>
        </w:rPr>
        <w:t>1,10</w:t>
      </w:r>
      <w:r w:rsidRPr="009A0DA6">
        <w:rPr>
          <w:rFonts w:ascii="Cambria" w:eastAsia="Times New Roman" w:hAnsi="Cambria" w:cstheme="minorHAnsi"/>
          <w:spacing w:val="-1"/>
        </w:rPr>
        <w:t>1</w:t>
      </w:r>
      <w:r w:rsidRPr="009A0DA6">
        <w:rPr>
          <w:rFonts w:ascii="Cambria" w:eastAsia="Times New Roman" w:hAnsi="Cambria" w:cstheme="minorHAnsi"/>
          <w:spacing w:val="1"/>
        </w:rPr>
        <w:t>,9</w:t>
      </w:r>
      <w:r w:rsidRPr="009A0DA6">
        <w:rPr>
          <w:rFonts w:ascii="Cambria" w:eastAsia="Times New Roman" w:hAnsi="Cambria" w:cstheme="minorHAnsi"/>
          <w:spacing w:val="-1"/>
        </w:rPr>
        <w:t>5</w:t>
      </w:r>
      <w:r w:rsidRPr="009A0DA6">
        <w:rPr>
          <w:rFonts w:ascii="Cambria" w:eastAsia="Times New Roman" w:hAnsi="Cambria" w:cstheme="minorHAnsi"/>
        </w:rPr>
        <w:t>5</w:t>
      </w:r>
      <w:r w:rsidRPr="009A0DA6">
        <w:rPr>
          <w:rFonts w:ascii="Cambria" w:hAnsi="Cambria" w:cstheme="minorHAnsi"/>
        </w:rPr>
        <w:tab/>
        <w:t>1</w:t>
      </w:r>
      <w:r w:rsidRPr="009A0DA6">
        <w:rPr>
          <w:rFonts w:ascii="Cambria" w:eastAsia="Times New Roman" w:hAnsi="Cambria" w:cstheme="minorHAnsi"/>
          <w:w w:val="105"/>
        </w:rPr>
        <w:t>,825,982</w:t>
      </w:r>
    </w:p>
    <w:p w14:paraId="769BA932" w14:textId="77777777" w:rsidR="00BA4592" w:rsidRPr="009A0DA6" w:rsidRDefault="00BA4592" w:rsidP="00E93035">
      <w:pPr>
        <w:tabs>
          <w:tab w:val="center" w:pos="3969"/>
          <w:tab w:val="right" w:pos="5670"/>
          <w:tab w:val="right" w:pos="7230"/>
          <w:tab w:val="right" w:pos="8647"/>
        </w:tabs>
        <w:spacing w:before="120" w:after="120" w:line="240" w:lineRule="auto"/>
        <w:ind w:right="-46"/>
        <w:contextualSpacing/>
        <w:rPr>
          <w:rFonts w:ascii="Cambria" w:hAnsi="Cambria" w:cstheme="minorHAnsi"/>
        </w:rPr>
      </w:pPr>
      <w:r w:rsidRPr="009A0DA6">
        <w:rPr>
          <w:rFonts w:ascii="Cambria" w:hAnsi="Cambria" w:cstheme="minorHAnsi"/>
        </w:rPr>
        <w:t>Promotion and marketing</w:t>
      </w:r>
      <w:r w:rsidRPr="009A0DA6">
        <w:rPr>
          <w:rFonts w:ascii="Cambria" w:hAnsi="Cambria" w:cstheme="minorHAnsi"/>
        </w:rPr>
        <w:tab/>
      </w:r>
      <w:r w:rsidRPr="009A0DA6">
        <w:rPr>
          <w:rFonts w:ascii="Cambria" w:hAnsi="Cambria" w:cstheme="minorHAnsi"/>
        </w:rPr>
        <w:tab/>
      </w:r>
      <w:r w:rsidRPr="009A0DA6">
        <w:rPr>
          <w:rFonts w:ascii="Cambria" w:eastAsia="Times New Roman" w:hAnsi="Cambria" w:cstheme="minorHAnsi"/>
          <w:spacing w:val="1"/>
        </w:rPr>
        <w:t>324,</w:t>
      </w:r>
      <w:r w:rsidRPr="009A0DA6">
        <w:rPr>
          <w:rFonts w:ascii="Cambria" w:eastAsia="Times New Roman" w:hAnsi="Cambria" w:cstheme="minorHAnsi"/>
          <w:spacing w:val="-1"/>
        </w:rPr>
        <w:t>7</w:t>
      </w:r>
      <w:r w:rsidRPr="009A0DA6">
        <w:rPr>
          <w:rFonts w:ascii="Cambria" w:eastAsia="Times New Roman" w:hAnsi="Cambria" w:cstheme="minorHAnsi"/>
          <w:spacing w:val="1"/>
        </w:rPr>
        <w:t>6</w:t>
      </w:r>
      <w:r w:rsidRPr="009A0DA6">
        <w:rPr>
          <w:rFonts w:ascii="Cambria" w:eastAsia="Times New Roman" w:hAnsi="Cambria" w:cstheme="minorHAnsi"/>
        </w:rPr>
        <w:t>2</w:t>
      </w:r>
      <w:r w:rsidRPr="009A0DA6">
        <w:rPr>
          <w:rFonts w:ascii="Cambria" w:hAnsi="Cambria" w:cstheme="minorHAnsi"/>
        </w:rPr>
        <w:tab/>
      </w:r>
      <w:r w:rsidRPr="009A0DA6">
        <w:rPr>
          <w:rFonts w:ascii="Cambria" w:eastAsia="Times New Roman" w:hAnsi="Cambria" w:cstheme="minorHAnsi"/>
          <w:spacing w:val="1"/>
        </w:rPr>
        <w:t>373,</w:t>
      </w:r>
      <w:r w:rsidRPr="009A0DA6">
        <w:rPr>
          <w:rFonts w:ascii="Cambria" w:eastAsia="Times New Roman" w:hAnsi="Cambria" w:cstheme="minorHAnsi"/>
          <w:spacing w:val="-1"/>
        </w:rPr>
        <w:t>3</w:t>
      </w:r>
      <w:r w:rsidRPr="009A0DA6">
        <w:rPr>
          <w:rFonts w:ascii="Cambria" w:eastAsia="Times New Roman" w:hAnsi="Cambria" w:cstheme="minorHAnsi"/>
          <w:spacing w:val="1"/>
        </w:rPr>
        <w:t>0</w:t>
      </w:r>
      <w:r w:rsidRPr="009A0DA6">
        <w:rPr>
          <w:rFonts w:ascii="Cambria" w:eastAsia="Times New Roman" w:hAnsi="Cambria" w:cstheme="minorHAnsi"/>
        </w:rPr>
        <w:t>5</w:t>
      </w:r>
      <w:r w:rsidRPr="009A0DA6">
        <w:rPr>
          <w:rFonts w:ascii="Cambria" w:hAnsi="Cambria" w:cstheme="minorHAnsi"/>
        </w:rPr>
        <w:tab/>
      </w:r>
      <w:r w:rsidRPr="009A0DA6">
        <w:rPr>
          <w:rFonts w:ascii="Cambria" w:eastAsia="Times New Roman" w:hAnsi="Cambria" w:cstheme="minorHAnsi"/>
          <w:w w:val="104"/>
        </w:rPr>
        <w:t>314,022</w:t>
      </w:r>
    </w:p>
    <w:p w14:paraId="4CB6CE03" w14:textId="77777777" w:rsidR="00BA4592" w:rsidRPr="009A0DA6" w:rsidRDefault="00BA4592" w:rsidP="00E93035">
      <w:pPr>
        <w:tabs>
          <w:tab w:val="center" w:pos="3969"/>
          <w:tab w:val="right" w:pos="5670"/>
          <w:tab w:val="right" w:pos="7230"/>
          <w:tab w:val="right" w:pos="8647"/>
        </w:tabs>
        <w:spacing w:before="120" w:after="120" w:line="240" w:lineRule="auto"/>
        <w:ind w:right="-46"/>
        <w:contextualSpacing/>
        <w:rPr>
          <w:rFonts w:ascii="Cambria" w:hAnsi="Cambria" w:cstheme="minorHAnsi"/>
        </w:rPr>
      </w:pPr>
      <w:r w:rsidRPr="009A0DA6">
        <w:rPr>
          <w:rFonts w:ascii="Cambria" w:hAnsi="Cambria" w:cstheme="minorHAnsi"/>
        </w:rPr>
        <w:t>Travelling expenses</w:t>
      </w:r>
      <w:r w:rsidRPr="009A0DA6">
        <w:rPr>
          <w:rFonts w:ascii="Cambria" w:hAnsi="Cambria" w:cstheme="minorHAnsi"/>
        </w:rPr>
        <w:tab/>
      </w:r>
      <w:r w:rsidRPr="009A0DA6">
        <w:rPr>
          <w:rFonts w:ascii="Cambria" w:hAnsi="Cambria" w:cstheme="minorHAnsi"/>
        </w:rPr>
        <w:tab/>
      </w:r>
      <w:r w:rsidRPr="009A0DA6">
        <w:rPr>
          <w:rFonts w:ascii="Cambria" w:eastAsia="Times New Roman" w:hAnsi="Cambria" w:cstheme="minorHAnsi"/>
          <w:spacing w:val="1"/>
        </w:rPr>
        <w:t>341,</w:t>
      </w:r>
      <w:r w:rsidRPr="009A0DA6">
        <w:rPr>
          <w:rFonts w:ascii="Cambria" w:eastAsia="Times New Roman" w:hAnsi="Cambria" w:cstheme="minorHAnsi"/>
          <w:spacing w:val="-1"/>
        </w:rPr>
        <w:t>3</w:t>
      </w:r>
      <w:r w:rsidRPr="009A0DA6">
        <w:rPr>
          <w:rFonts w:ascii="Cambria" w:eastAsia="Times New Roman" w:hAnsi="Cambria" w:cstheme="minorHAnsi"/>
          <w:spacing w:val="1"/>
        </w:rPr>
        <w:t>0</w:t>
      </w:r>
      <w:r w:rsidRPr="009A0DA6">
        <w:rPr>
          <w:rFonts w:ascii="Cambria" w:eastAsia="Times New Roman" w:hAnsi="Cambria" w:cstheme="minorHAnsi"/>
        </w:rPr>
        <w:t>4</w:t>
      </w:r>
      <w:r w:rsidRPr="009A0DA6">
        <w:rPr>
          <w:rFonts w:ascii="Cambria" w:hAnsi="Cambria" w:cstheme="minorHAnsi"/>
        </w:rPr>
        <w:tab/>
      </w:r>
      <w:r w:rsidRPr="009A0DA6">
        <w:rPr>
          <w:rFonts w:ascii="Cambria" w:eastAsia="Times New Roman" w:hAnsi="Cambria" w:cstheme="minorHAnsi"/>
          <w:spacing w:val="1"/>
        </w:rPr>
        <w:t>441,</w:t>
      </w:r>
      <w:r w:rsidRPr="009A0DA6">
        <w:rPr>
          <w:rFonts w:ascii="Cambria" w:eastAsia="Times New Roman" w:hAnsi="Cambria" w:cstheme="minorHAnsi"/>
          <w:spacing w:val="-1"/>
        </w:rPr>
        <w:t>2</w:t>
      </w:r>
      <w:r w:rsidRPr="009A0DA6">
        <w:rPr>
          <w:rFonts w:ascii="Cambria" w:eastAsia="Times New Roman" w:hAnsi="Cambria" w:cstheme="minorHAnsi"/>
          <w:spacing w:val="1"/>
        </w:rPr>
        <w:t>4</w:t>
      </w:r>
      <w:r w:rsidRPr="009A0DA6">
        <w:rPr>
          <w:rFonts w:ascii="Cambria" w:eastAsia="Times New Roman" w:hAnsi="Cambria" w:cstheme="minorHAnsi"/>
        </w:rPr>
        <w:t>8</w:t>
      </w:r>
      <w:r w:rsidRPr="009A0DA6">
        <w:rPr>
          <w:rFonts w:ascii="Cambria" w:hAnsi="Cambria" w:cstheme="minorHAnsi"/>
        </w:rPr>
        <w:tab/>
      </w:r>
      <w:r w:rsidRPr="009A0DA6">
        <w:rPr>
          <w:rFonts w:ascii="Cambria" w:eastAsia="Times New Roman" w:hAnsi="Cambria" w:cstheme="minorHAnsi"/>
          <w:w w:val="105"/>
        </w:rPr>
        <w:t>470,451</w:t>
      </w:r>
    </w:p>
    <w:p w14:paraId="1C0A23D5" w14:textId="77777777" w:rsidR="00BA4592" w:rsidRPr="009A0DA6" w:rsidRDefault="00BA4592" w:rsidP="00E93035">
      <w:pPr>
        <w:tabs>
          <w:tab w:val="center" w:pos="3969"/>
          <w:tab w:val="right" w:pos="5670"/>
          <w:tab w:val="right" w:pos="7230"/>
          <w:tab w:val="right" w:pos="8647"/>
        </w:tabs>
        <w:spacing w:before="120" w:after="120" w:line="240" w:lineRule="auto"/>
        <w:ind w:right="-46"/>
        <w:contextualSpacing/>
        <w:rPr>
          <w:rFonts w:ascii="Cambria" w:hAnsi="Cambria" w:cstheme="minorHAnsi"/>
          <w:b/>
        </w:rPr>
      </w:pPr>
      <w:r w:rsidRPr="009A0DA6">
        <w:rPr>
          <w:rFonts w:ascii="Cambria" w:hAnsi="Cambria" w:cstheme="minorHAnsi"/>
          <w:b/>
        </w:rPr>
        <w:t>TOTAL EXPENDITURE</w:t>
      </w:r>
      <w:r w:rsidRPr="009A0DA6">
        <w:rPr>
          <w:rFonts w:ascii="Cambria" w:hAnsi="Cambria" w:cstheme="minorHAnsi"/>
          <w:b/>
        </w:rPr>
        <w:tab/>
      </w:r>
      <w:r w:rsidRPr="009A0DA6">
        <w:rPr>
          <w:rFonts w:ascii="Cambria" w:hAnsi="Cambria" w:cstheme="minorHAnsi"/>
          <w:b/>
        </w:rPr>
        <w:tab/>
      </w:r>
      <w:r w:rsidRPr="009A0DA6">
        <w:rPr>
          <w:rFonts w:ascii="Cambria" w:eastAsia="Times New Roman" w:hAnsi="Cambria" w:cstheme="minorHAnsi"/>
          <w:b/>
          <w:spacing w:val="1"/>
        </w:rPr>
        <w:t>11,7</w:t>
      </w:r>
      <w:r w:rsidRPr="009A0DA6">
        <w:rPr>
          <w:rFonts w:ascii="Cambria" w:eastAsia="Times New Roman" w:hAnsi="Cambria" w:cstheme="minorHAnsi"/>
          <w:b/>
          <w:spacing w:val="-1"/>
        </w:rPr>
        <w:t>9</w:t>
      </w:r>
      <w:r w:rsidRPr="009A0DA6">
        <w:rPr>
          <w:rFonts w:ascii="Cambria" w:eastAsia="Times New Roman" w:hAnsi="Cambria" w:cstheme="minorHAnsi"/>
          <w:b/>
          <w:spacing w:val="1"/>
        </w:rPr>
        <w:t>7,</w:t>
      </w:r>
      <w:r w:rsidRPr="009A0DA6">
        <w:rPr>
          <w:rFonts w:ascii="Cambria" w:eastAsia="Times New Roman" w:hAnsi="Cambria" w:cstheme="minorHAnsi"/>
          <w:b/>
          <w:spacing w:val="-1"/>
        </w:rPr>
        <w:t>8</w:t>
      </w:r>
      <w:r w:rsidRPr="009A0DA6">
        <w:rPr>
          <w:rFonts w:ascii="Cambria" w:eastAsia="Times New Roman" w:hAnsi="Cambria" w:cstheme="minorHAnsi"/>
          <w:b/>
          <w:spacing w:val="1"/>
        </w:rPr>
        <w:t>0</w:t>
      </w:r>
      <w:r w:rsidRPr="009A0DA6">
        <w:rPr>
          <w:rFonts w:ascii="Cambria" w:eastAsia="Times New Roman" w:hAnsi="Cambria" w:cstheme="minorHAnsi"/>
          <w:b/>
        </w:rPr>
        <w:t>6</w:t>
      </w:r>
      <w:r w:rsidRPr="009A0DA6">
        <w:rPr>
          <w:rFonts w:ascii="Cambria" w:hAnsi="Cambria" w:cstheme="minorHAnsi"/>
          <w:b/>
        </w:rPr>
        <w:tab/>
      </w:r>
      <w:r w:rsidRPr="009A0DA6">
        <w:rPr>
          <w:rFonts w:ascii="Cambria" w:eastAsia="Times New Roman" w:hAnsi="Cambria" w:cstheme="minorHAnsi"/>
          <w:b/>
          <w:spacing w:val="1"/>
        </w:rPr>
        <w:t>11,1</w:t>
      </w:r>
      <w:r w:rsidRPr="009A0DA6">
        <w:rPr>
          <w:rFonts w:ascii="Cambria" w:eastAsia="Times New Roman" w:hAnsi="Cambria" w:cstheme="minorHAnsi"/>
          <w:b/>
          <w:spacing w:val="-1"/>
        </w:rPr>
        <w:t>1</w:t>
      </w:r>
      <w:r w:rsidRPr="009A0DA6">
        <w:rPr>
          <w:rFonts w:ascii="Cambria" w:eastAsia="Times New Roman" w:hAnsi="Cambria" w:cstheme="minorHAnsi"/>
          <w:b/>
          <w:spacing w:val="1"/>
        </w:rPr>
        <w:t>6,</w:t>
      </w:r>
      <w:r w:rsidRPr="009A0DA6">
        <w:rPr>
          <w:rFonts w:ascii="Cambria" w:eastAsia="Times New Roman" w:hAnsi="Cambria" w:cstheme="minorHAnsi"/>
          <w:b/>
          <w:spacing w:val="-1"/>
        </w:rPr>
        <w:t>1</w:t>
      </w:r>
      <w:r w:rsidRPr="009A0DA6">
        <w:rPr>
          <w:rFonts w:ascii="Cambria" w:eastAsia="Times New Roman" w:hAnsi="Cambria" w:cstheme="minorHAnsi"/>
          <w:b/>
          <w:spacing w:val="1"/>
        </w:rPr>
        <w:t>5</w:t>
      </w:r>
      <w:r w:rsidRPr="009A0DA6">
        <w:rPr>
          <w:rFonts w:ascii="Cambria" w:eastAsia="Times New Roman" w:hAnsi="Cambria" w:cstheme="minorHAnsi"/>
          <w:b/>
        </w:rPr>
        <w:t>9</w:t>
      </w:r>
      <w:r w:rsidRPr="009A0DA6">
        <w:rPr>
          <w:rFonts w:ascii="Cambria" w:hAnsi="Cambria" w:cstheme="minorHAnsi"/>
          <w:b/>
        </w:rPr>
        <w:tab/>
      </w:r>
      <w:r w:rsidRPr="009A0DA6">
        <w:rPr>
          <w:rFonts w:ascii="Cambria" w:eastAsia="Times New Roman" w:hAnsi="Cambria" w:cstheme="minorHAnsi"/>
          <w:b/>
          <w:w w:val="109"/>
        </w:rPr>
        <w:t>10,151,464</w:t>
      </w:r>
    </w:p>
    <w:p w14:paraId="4C0D5495" w14:textId="77777777" w:rsidR="00BA4592" w:rsidRPr="009A0DA6" w:rsidRDefault="00BA4592" w:rsidP="00E93035">
      <w:pPr>
        <w:tabs>
          <w:tab w:val="center" w:pos="3969"/>
          <w:tab w:val="right" w:pos="5670"/>
          <w:tab w:val="right" w:pos="7230"/>
          <w:tab w:val="right" w:pos="8647"/>
        </w:tabs>
        <w:spacing w:before="120" w:after="120" w:line="240" w:lineRule="auto"/>
        <w:ind w:right="-46"/>
        <w:contextualSpacing/>
        <w:rPr>
          <w:rFonts w:ascii="Cambria" w:hAnsi="Cambria" w:cstheme="minorHAnsi"/>
        </w:rPr>
      </w:pPr>
      <w:r w:rsidRPr="009A0DA6">
        <w:rPr>
          <w:rFonts w:ascii="Cambria" w:hAnsi="Cambria" w:cstheme="minorHAnsi"/>
        </w:rPr>
        <w:tab/>
      </w:r>
    </w:p>
    <w:p w14:paraId="3672A66E" w14:textId="77777777" w:rsidR="00BA4592" w:rsidRPr="009A0DA6" w:rsidRDefault="00BA4592" w:rsidP="00E93035">
      <w:pPr>
        <w:tabs>
          <w:tab w:val="center" w:pos="3969"/>
          <w:tab w:val="right" w:pos="5670"/>
          <w:tab w:val="right" w:pos="7230"/>
          <w:tab w:val="right" w:pos="8647"/>
        </w:tabs>
        <w:spacing w:before="120" w:after="120" w:line="240" w:lineRule="auto"/>
        <w:ind w:right="-46"/>
        <w:contextualSpacing/>
        <w:rPr>
          <w:rFonts w:ascii="Cambria" w:hAnsi="Cambria" w:cstheme="minorHAnsi"/>
          <w:b/>
        </w:rPr>
      </w:pPr>
      <w:r w:rsidRPr="009A0DA6">
        <w:rPr>
          <w:rFonts w:ascii="Cambria" w:hAnsi="Cambria" w:cstheme="minorHAnsi"/>
          <w:b/>
        </w:rPr>
        <w:t>SURPLUS (DEFICIT) FOR THE YEAR PRIOR TO</w:t>
      </w:r>
    </w:p>
    <w:p w14:paraId="67679CAE" w14:textId="77777777" w:rsidR="00BA4592" w:rsidRPr="009A0DA6" w:rsidRDefault="00BA4592" w:rsidP="00E93035">
      <w:pPr>
        <w:tabs>
          <w:tab w:val="center" w:pos="3969"/>
          <w:tab w:val="right" w:pos="5670"/>
          <w:tab w:val="right" w:pos="7230"/>
          <w:tab w:val="right" w:pos="8647"/>
        </w:tabs>
        <w:spacing w:before="120" w:after="120" w:line="240" w:lineRule="auto"/>
        <w:ind w:right="-46"/>
        <w:contextualSpacing/>
        <w:rPr>
          <w:rFonts w:ascii="Cambria" w:hAnsi="Cambria" w:cstheme="minorHAnsi"/>
          <w:b/>
        </w:rPr>
      </w:pPr>
      <w:r w:rsidRPr="009A0DA6">
        <w:rPr>
          <w:rFonts w:ascii="Cambria" w:hAnsi="Cambria" w:cstheme="minorHAnsi"/>
          <w:b/>
        </w:rPr>
        <w:t xml:space="preserve">RESERVE &amp; EQUITY TRANSFERS </w:t>
      </w:r>
      <w:r w:rsidRPr="009A0DA6">
        <w:rPr>
          <w:rFonts w:ascii="Cambria" w:hAnsi="Cambria" w:cstheme="minorHAnsi"/>
          <w:b/>
        </w:rPr>
        <w:tab/>
      </w:r>
      <w:r w:rsidRPr="009A0DA6">
        <w:rPr>
          <w:rFonts w:ascii="Cambria" w:hAnsi="Cambria" w:cstheme="minorHAnsi"/>
          <w:b/>
        </w:rPr>
        <w:tab/>
      </w:r>
      <w:r w:rsidRPr="009A0DA6">
        <w:rPr>
          <w:rFonts w:ascii="Cambria" w:eastAsia="Times New Roman" w:hAnsi="Cambria" w:cstheme="minorHAnsi"/>
          <w:spacing w:val="1"/>
        </w:rPr>
        <w:t>(187</w:t>
      </w:r>
      <w:r w:rsidRPr="009A0DA6">
        <w:rPr>
          <w:rFonts w:ascii="Cambria" w:eastAsia="Times New Roman" w:hAnsi="Cambria" w:cstheme="minorHAnsi"/>
          <w:spacing w:val="-2"/>
        </w:rPr>
        <w:t>,</w:t>
      </w:r>
      <w:r w:rsidRPr="009A0DA6">
        <w:rPr>
          <w:rFonts w:ascii="Cambria" w:eastAsia="Times New Roman" w:hAnsi="Cambria" w:cstheme="minorHAnsi"/>
          <w:spacing w:val="1"/>
        </w:rPr>
        <w:t>88</w:t>
      </w:r>
      <w:r w:rsidRPr="009A0DA6">
        <w:rPr>
          <w:rFonts w:ascii="Cambria" w:eastAsia="Times New Roman" w:hAnsi="Cambria" w:cstheme="minorHAnsi"/>
          <w:spacing w:val="-1"/>
        </w:rPr>
        <w:t>7</w:t>
      </w:r>
      <w:r w:rsidRPr="009A0DA6">
        <w:rPr>
          <w:rFonts w:ascii="Cambria" w:eastAsia="Times New Roman" w:hAnsi="Cambria" w:cstheme="minorHAnsi"/>
        </w:rPr>
        <w:t xml:space="preserve">) </w:t>
      </w:r>
      <w:r w:rsidRPr="009A0DA6">
        <w:rPr>
          <w:rFonts w:ascii="Cambria" w:eastAsia="Times New Roman" w:hAnsi="Cambria" w:cstheme="minorHAnsi"/>
        </w:rPr>
        <w:tab/>
      </w:r>
      <w:r w:rsidRPr="009A0DA6">
        <w:rPr>
          <w:rFonts w:ascii="Cambria" w:eastAsia="Times New Roman" w:hAnsi="Cambria" w:cstheme="minorHAnsi"/>
          <w:spacing w:val="1"/>
        </w:rPr>
        <w:t>1,67</w:t>
      </w:r>
      <w:r w:rsidRPr="009A0DA6">
        <w:rPr>
          <w:rFonts w:ascii="Cambria" w:eastAsia="Times New Roman" w:hAnsi="Cambria" w:cstheme="minorHAnsi"/>
          <w:spacing w:val="-1"/>
        </w:rPr>
        <w:t>1</w:t>
      </w:r>
      <w:r w:rsidRPr="009A0DA6">
        <w:rPr>
          <w:rFonts w:ascii="Cambria" w:eastAsia="Times New Roman" w:hAnsi="Cambria" w:cstheme="minorHAnsi"/>
          <w:spacing w:val="1"/>
        </w:rPr>
        <w:t>,3</w:t>
      </w:r>
      <w:r w:rsidRPr="009A0DA6">
        <w:rPr>
          <w:rFonts w:ascii="Cambria" w:eastAsia="Times New Roman" w:hAnsi="Cambria" w:cstheme="minorHAnsi"/>
          <w:spacing w:val="-1"/>
        </w:rPr>
        <w:t>1</w:t>
      </w:r>
      <w:r w:rsidRPr="009A0DA6">
        <w:rPr>
          <w:rFonts w:ascii="Cambria" w:eastAsia="Times New Roman" w:hAnsi="Cambria" w:cstheme="minorHAnsi"/>
        </w:rPr>
        <w:t>3</w:t>
      </w:r>
      <w:r w:rsidRPr="009A0DA6">
        <w:rPr>
          <w:rFonts w:ascii="Cambria" w:eastAsia="Times New Roman" w:hAnsi="Cambria" w:cstheme="minorHAnsi"/>
        </w:rPr>
        <w:tab/>
      </w:r>
      <w:r w:rsidRPr="009A0DA6">
        <w:rPr>
          <w:rFonts w:ascii="Cambria" w:eastAsia="Times New Roman" w:hAnsi="Cambria" w:cstheme="minorHAnsi"/>
          <w:w w:val="108"/>
        </w:rPr>
        <w:t>109,425</w:t>
      </w:r>
    </w:p>
    <w:p w14:paraId="0CF2AD6F" w14:textId="77777777" w:rsidR="00BA4592" w:rsidRPr="009A0DA6" w:rsidRDefault="00BA4592" w:rsidP="00E93035">
      <w:pPr>
        <w:tabs>
          <w:tab w:val="center" w:pos="3969"/>
          <w:tab w:val="right" w:pos="5670"/>
          <w:tab w:val="right" w:pos="7230"/>
          <w:tab w:val="right" w:pos="8647"/>
        </w:tabs>
        <w:spacing w:before="120" w:after="120" w:line="240" w:lineRule="auto"/>
        <w:ind w:right="-46"/>
        <w:contextualSpacing/>
        <w:rPr>
          <w:rFonts w:ascii="Cambria" w:hAnsi="Cambria" w:cstheme="minorHAnsi"/>
        </w:rPr>
      </w:pPr>
      <w:r w:rsidRPr="009A0DA6">
        <w:rPr>
          <w:rFonts w:ascii="Cambria" w:hAnsi="Cambria" w:cstheme="minorHAnsi"/>
        </w:rPr>
        <w:t>Less: Transfers to equity and reserves</w:t>
      </w:r>
      <w:r w:rsidRPr="009A0DA6">
        <w:rPr>
          <w:rFonts w:ascii="Cambria" w:hAnsi="Cambria" w:cstheme="minorHAnsi"/>
        </w:rPr>
        <w:tab/>
      </w:r>
      <w:r w:rsidRPr="009A0DA6">
        <w:rPr>
          <w:rFonts w:ascii="Cambria" w:hAnsi="Cambria" w:cstheme="minorHAnsi"/>
        </w:rPr>
        <w:tab/>
      </w:r>
      <w:r w:rsidRPr="009A0DA6">
        <w:rPr>
          <w:rFonts w:ascii="Cambria" w:eastAsia="Times New Roman" w:hAnsi="Cambria" w:cstheme="minorHAnsi"/>
          <w:spacing w:val="1"/>
        </w:rPr>
        <w:t>73,8</w:t>
      </w:r>
      <w:r w:rsidRPr="009A0DA6">
        <w:rPr>
          <w:rFonts w:ascii="Cambria" w:eastAsia="Times New Roman" w:hAnsi="Cambria" w:cstheme="minorHAnsi"/>
          <w:spacing w:val="-1"/>
        </w:rPr>
        <w:t>4</w:t>
      </w:r>
      <w:r w:rsidRPr="009A0DA6">
        <w:rPr>
          <w:rFonts w:ascii="Cambria" w:eastAsia="Times New Roman" w:hAnsi="Cambria" w:cstheme="minorHAnsi"/>
        </w:rPr>
        <w:t>7</w:t>
      </w:r>
      <w:r w:rsidRPr="009A0DA6">
        <w:rPr>
          <w:rFonts w:ascii="Cambria" w:eastAsia="Times New Roman" w:hAnsi="Cambria" w:cstheme="minorHAnsi"/>
        </w:rPr>
        <w:tab/>
      </w:r>
      <w:r w:rsidRPr="009A0DA6">
        <w:rPr>
          <w:rFonts w:ascii="Cambria" w:eastAsia="Times New Roman" w:hAnsi="Cambria" w:cstheme="minorHAnsi"/>
          <w:spacing w:val="1"/>
        </w:rPr>
        <w:t>(1,7</w:t>
      </w:r>
      <w:r w:rsidRPr="009A0DA6">
        <w:rPr>
          <w:rFonts w:ascii="Cambria" w:eastAsia="Times New Roman" w:hAnsi="Cambria" w:cstheme="minorHAnsi"/>
          <w:spacing w:val="-1"/>
        </w:rPr>
        <w:t>6</w:t>
      </w:r>
      <w:r w:rsidRPr="009A0DA6">
        <w:rPr>
          <w:rFonts w:ascii="Cambria" w:eastAsia="Times New Roman" w:hAnsi="Cambria" w:cstheme="minorHAnsi"/>
          <w:spacing w:val="1"/>
        </w:rPr>
        <w:t>5,</w:t>
      </w:r>
      <w:r w:rsidRPr="009A0DA6">
        <w:rPr>
          <w:rFonts w:ascii="Cambria" w:eastAsia="Times New Roman" w:hAnsi="Cambria" w:cstheme="minorHAnsi"/>
          <w:spacing w:val="-1"/>
        </w:rPr>
        <w:t>6</w:t>
      </w:r>
      <w:r w:rsidRPr="009A0DA6">
        <w:rPr>
          <w:rFonts w:ascii="Cambria" w:eastAsia="Times New Roman" w:hAnsi="Cambria" w:cstheme="minorHAnsi"/>
          <w:spacing w:val="1"/>
        </w:rPr>
        <w:t>72</w:t>
      </w:r>
      <w:r w:rsidRPr="009A0DA6">
        <w:rPr>
          <w:rFonts w:ascii="Cambria" w:eastAsia="Times New Roman" w:hAnsi="Cambria" w:cstheme="minorHAnsi"/>
        </w:rPr>
        <w:t>)</w:t>
      </w:r>
      <w:r w:rsidRPr="009A0DA6">
        <w:rPr>
          <w:rFonts w:ascii="Cambria" w:hAnsi="Cambria" w:cstheme="minorHAnsi"/>
        </w:rPr>
        <w:tab/>
      </w:r>
      <w:r w:rsidRPr="009A0DA6">
        <w:rPr>
          <w:rFonts w:ascii="Cambria" w:eastAsia="Times New Roman" w:hAnsi="Cambria" w:cstheme="minorHAnsi"/>
          <w:w w:val="106"/>
        </w:rPr>
        <w:t>(180,958)</w:t>
      </w:r>
    </w:p>
    <w:p w14:paraId="54F43638" w14:textId="77777777" w:rsidR="00BA4592" w:rsidRPr="009A0DA6" w:rsidRDefault="00BA4592" w:rsidP="00E93035">
      <w:pPr>
        <w:tabs>
          <w:tab w:val="center" w:pos="3969"/>
          <w:tab w:val="right" w:pos="5670"/>
          <w:tab w:val="right" w:pos="7230"/>
          <w:tab w:val="right" w:pos="8647"/>
        </w:tabs>
        <w:spacing w:before="120" w:after="120" w:line="240" w:lineRule="auto"/>
        <w:ind w:right="-46"/>
        <w:contextualSpacing/>
        <w:rPr>
          <w:rFonts w:ascii="Cambria" w:hAnsi="Cambria" w:cstheme="minorHAnsi"/>
          <w:b/>
        </w:rPr>
      </w:pPr>
      <w:r w:rsidRPr="009A0DA6">
        <w:rPr>
          <w:rFonts w:ascii="Cambria" w:hAnsi="Cambria" w:cstheme="minorHAnsi"/>
          <w:b/>
        </w:rPr>
        <w:t>NET (DEFICIT) FOR THE YEAR</w:t>
      </w:r>
      <w:r w:rsidRPr="009A0DA6">
        <w:rPr>
          <w:rFonts w:ascii="Cambria" w:hAnsi="Cambria" w:cstheme="minorHAnsi"/>
          <w:b/>
        </w:rPr>
        <w:tab/>
      </w:r>
      <w:r w:rsidRPr="009A0DA6">
        <w:rPr>
          <w:rFonts w:ascii="Cambria" w:hAnsi="Cambria" w:cstheme="minorHAnsi"/>
          <w:b/>
        </w:rPr>
        <w:tab/>
        <w:t>$</w:t>
      </w:r>
      <w:r w:rsidRPr="009A0DA6">
        <w:rPr>
          <w:rFonts w:ascii="Cambria" w:eastAsia="Times New Roman" w:hAnsi="Cambria" w:cstheme="minorHAnsi"/>
          <w:b/>
          <w:spacing w:val="1"/>
        </w:rPr>
        <w:t>(1</w:t>
      </w:r>
      <w:r w:rsidRPr="009A0DA6">
        <w:rPr>
          <w:rFonts w:ascii="Cambria" w:eastAsia="Times New Roman" w:hAnsi="Cambria" w:cstheme="minorHAnsi"/>
          <w:b/>
          <w:spacing w:val="-1"/>
        </w:rPr>
        <w:t>1</w:t>
      </w:r>
      <w:r w:rsidRPr="009A0DA6">
        <w:rPr>
          <w:rFonts w:ascii="Cambria" w:eastAsia="Times New Roman" w:hAnsi="Cambria" w:cstheme="minorHAnsi"/>
          <w:b/>
          <w:spacing w:val="1"/>
        </w:rPr>
        <w:t>4,0</w:t>
      </w:r>
      <w:r w:rsidRPr="009A0DA6">
        <w:rPr>
          <w:rFonts w:ascii="Cambria" w:eastAsia="Times New Roman" w:hAnsi="Cambria" w:cstheme="minorHAnsi"/>
          <w:b/>
          <w:spacing w:val="-1"/>
        </w:rPr>
        <w:t>4</w:t>
      </w:r>
      <w:r w:rsidRPr="009A0DA6">
        <w:rPr>
          <w:rFonts w:ascii="Cambria" w:eastAsia="Times New Roman" w:hAnsi="Cambria" w:cstheme="minorHAnsi"/>
          <w:b/>
          <w:spacing w:val="1"/>
        </w:rPr>
        <w:t>0</w:t>
      </w:r>
      <w:r w:rsidRPr="009A0DA6">
        <w:rPr>
          <w:rFonts w:ascii="Cambria" w:eastAsia="Times New Roman" w:hAnsi="Cambria" w:cstheme="minorHAnsi"/>
          <w:b/>
        </w:rPr>
        <w:t>)</w:t>
      </w:r>
      <w:r w:rsidRPr="009A0DA6">
        <w:rPr>
          <w:rFonts w:ascii="Cambria" w:eastAsia="Times New Roman" w:hAnsi="Cambria" w:cstheme="minorHAnsi"/>
          <w:b/>
        </w:rPr>
        <w:tab/>
        <w:t>$</w:t>
      </w:r>
      <w:r w:rsidRPr="009A0DA6">
        <w:rPr>
          <w:rFonts w:ascii="Cambria" w:eastAsia="Times New Roman" w:hAnsi="Cambria" w:cstheme="minorHAnsi"/>
          <w:b/>
          <w:spacing w:val="1"/>
          <w:w w:val="99"/>
        </w:rPr>
        <w:t xml:space="preserve"> </w:t>
      </w:r>
      <w:r w:rsidRPr="009A0DA6">
        <w:rPr>
          <w:rFonts w:ascii="Cambria" w:eastAsia="Times New Roman" w:hAnsi="Cambria" w:cstheme="minorHAnsi"/>
          <w:b/>
          <w:spacing w:val="1"/>
        </w:rPr>
        <w:t>(94</w:t>
      </w:r>
      <w:r w:rsidRPr="009A0DA6">
        <w:rPr>
          <w:rFonts w:ascii="Cambria" w:eastAsia="Times New Roman" w:hAnsi="Cambria" w:cstheme="minorHAnsi"/>
          <w:b/>
          <w:spacing w:val="-2"/>
        </w:rPr>
        <w:t>,</w:t>
      </w:r>
      <w:r w:rsidRPr="009A0DA6">
        <w:rPr>
          <w:rFonts w:ascii="Cambria" w:eastAsia="Times New Roman" w:hAnsi="Cambria" w:cstheme="minorHAnsi"/>
          <w:b/>
          <w:spacing w:val="1"/>
        </w:rPr>
        <w:t>359</w:t>
      </w:r>
      <w:r w:rsidRPr="009A0DA6">
        <w:rPr>
          <w:rFonts w:ascii="Cambria" w:eastAsia="Times New Roman" w:hAnsi="Cambria" w:cstheme="minorHAnsi"/>
          <w:b/>
        </w:rPr>
        <w:t>)</w:t>
      </w:r>
      <w:r w:rsidRPr="009A0DA6">
        <w:rPr>
          <w:rFonts w:ascii="Cambria" w:eastAsia="Times New Roman" w:hAnsi="Cambria" w:cstheme="minorHAnsi"/>
          <w:b/>
        </w:rPr>
        <w:tab/>
        <w:t>$</w:t>
      </w:r>
      <w:r w:rsidRPr="009A0DA6">
        <w:rPr>
          <w:rFonts w:ascii="Cambria" w:eastAsia="Times New Roman" w:hAnsi="Cambria" w:cstheme="minorHAnsi"/>
          <w:b/>
          <w:w w:val="105"/>
        </w:rPr>
        <w:t>(71.533)</w:t>
      </w:r>
    </w:p>
    <w:p w14:paraId="37D0D358" w14:textId="77777777" w:rsidR="00BA4592" w:rsidRPr="009A0DA6" w:rsidRDefault="00BA4592" w:rsidP="00E93035">
      <w:pPr>
        <w:tabs>
          <w:tab w:val="center" w:pos="3969"/>
          <w:tab w:val="right" w:pos="5670"/>
          <w:tab w:val="right" w:pos="7230"/>
          <w:tab w:val="right" w:pos="8647"/>
        </w:tabs>
        <w:spacing w:before="120" w:after="120" w:line="240" w:lineRule="auto"/>
        <w:ind w:right="-46"/>
        <w:contextualSpacing/>
        <w:rPr>
          <w:rFonts w:ascii="Cambria" w:hAnsi="Cambria" w:cstheme="minorHAnsi"/>
        </w:rPr>
      </w:pPr>
      <w:r w:rsidRPr="009A0DA6">
        <w:rPr>
          <w:rFonts w:ascii="Cambria" w:hAnsi="Cambria" w:cstheme="minorHAnsi"/>
        </w:rPr>
        <w:t>The accompanying notes form part of these financial statements.</w:t>
      </w:r>
    </w:p>
    <w:p w14:paraId="6BCAB93A" w14:textId="77777777" w:rsidR="00206BF6" w:rsidRDefault="00206BF6" w:rsidP="00766B14">
      <w:pPr>
        <w:pStyle w:val="NoSpacing"/>
        <w:rPr>
          <w:b/>
        </w:rPr>
      </w:pPr>
    </w:p>
    <w:p w14:paraId="6404E1AA" w14:textId="20EAD3C4" w:rsidR="00E4168D" w:rsidRPr="009A0DA6" w:rsidRDefault="00E4168D" w:rsidP="00766B14">
      <w:pPr>
        <w:pStyle w:val="NoSpacing"/>
        <w:rPr>
          <w:b/>
        </w:rPr>
      </w:pPr>
      <w:r w:rsidRPr="009A0DA6">
        <w:rPr>
          <w:b/>
        </w:rPr>
        <w:lastRenderedPageBreak/>
        <w:t>BALANCE SHEET</w:t>
      </w:r>
    </w:p>
    <w:p w14:paraId="2CC5B40C" w14:textId="77777777" w:rsidR="00FF7E8B" w:rsidRPr="009A0DA6" w:rsidRDefault="00FF7E8B" w:rsidP="00206BF6">
      <w:pPr>
        <w:pStyle w:val="NoSpacing"/>
        <w:rPr>
          <w:b/>
        </w:rPr>
      </w:pPr>
      <w:r w:rsidRPr="009A0DA6">
        <w:rPr>
          <w:b/>
        </w:rPr>
        <w:t xml:space="preserve">FOR </w:t>
      </w:r>
      <w:r>
        <w:rPr>
          <w:b/>
        </w:rPr>
        <w:t>THE PERIODS ENDING</w:t>
      </w:r>
      <w:r w:rsidRPr="009A0DA6">
        <w:rPr>
          <w:b/>
        </w:rPr>
        <w:t xml:space="preserve"> 31 DECEMBER </w:t>
      </w:r>
    </w:p>
    <w:p w14:paraId="31ABB487" w14:textId="77777777" w:rsidR="00BA4592" w:rsidRPr="009A0DA6" w:rsidRDefault="00BA4592" w:rsidP="00206BF6">
      <w:pPr>
        <w:tabs>
          <w:tab w:val="left" w:pos="3544"/>
          <w:tab w:val="right" w:pos="5529"/>
          <w:tab w:val="right" w:pos="7230"/>
          <w:tab w:val="right" w:pos="8647"/>
        </w:tabs>
        <w:spacing w:after="0" w:line="240" w:lineRule="auto"/>
        <w:ind w:right="-46"/>
        <w:contextualSpacing/>
        <w:rPr>
          <w:rFonts w:ascii="Cambria" w:hAnsi="Cambria" w:cstheme="minorHAnsi"/>
          <w:b/>
        </w:rPr>
      </w:pPr>
      <w:r w:rsidRPr="009A0DA6">
        <w:rPr>
          <w:rFonts w:ascii="Cambria" w:hAnsi="Cambria" w:cstheme="minorHAnsi"/>
          <w:b/>
        </w:rPr>
        <w:tab/>
        <w:t>Note</w:t>
      </w:r>
      <w:r w:rsidRPr="009A0DA6">
        <w:rPr>
          <w:rFonts w:ascii="Cambria" w:hAnsi="Cambria" w:cstheme="minorHAnsi"/>
          <w:b/>
        </w:rPr>
        <w:tab/>
        <w:t>2017</w:t>
      </w:r>
      <w:r w:rsidRPr="009A0DA6">
        <w:rPr>
          <w:rFonts w:ascii="Cambria" w:hAnsi="Cambria" w:cstheme="minorHAnsi"/>
          <w:b/>
        </w:rPr>
        <w:tab/>
        <w:t>2016</w:t>
      </w:r>
      <w:r w:rsidRPr="009A0DA6">
        <w:rPr>
          <w:rFonts w:ascii="Cambria" w:hAnsi="Cambria" w:cstheme="minorHAnsi"/>
          <w:b/>
        </w:rPr>
        <w:tab/>
        <w:t>2015</w:t>
      </w:r>
    </w:p>
    <w:p w14:paraId="2339798F" w14:textId="77777777" w:rsidR="00BA4592" w:rsidRPr="009A0DA6" w:rsidRDefault="00BA4592" w:rsidP="00E93035">
      <w:pPr>
        <w:tabs>
          <w:tab w:val="left" w:pos="3544"/>
          <w:tab w:val="right" w:pos="5529"/>
          <w:tab w:val="right" w:pos="7230"/>
          <w:tab w:val="right" w:pos="8647"/>
        </w:tabs>
        <w:spacing w:before="120" w:after="120" w:line="240" w:lineRule="auto"/>
        <w:ind w:right="-46"/>
        <w:contextualSpacing/>
        <w:rPr>
          <w:rFonts w:ascii="Cambria" w:hAnsi="Cambria" w:cstheme="minorHAnsi"/>
          <w:b/>
        </w:rPr>
      </w:pPr>
      <w:r w:rsidRPr="009A0DA6">
        <w:rPr>
          <w:rFonts w:ascii="Cambria" w:hAnsi="Cambria" w:cstheme="minorHAnsi"/>
          <w:b/>
        </w:rPr>
        <w:t>CURRENT ASSETS</w:t>
      </w:r>
    </w:p>
    <w:p w14:paraId="6EF9269B" w14:textId="77777777" w:rsidR="00BA4592" w:rsidRPr="009A0DA6" w:rsidRDefault="00BA4592" w:rsidP="00E93035">
      <w:pPr>
        <w:tabs>
          <w:tab w:val="left" w:pos="3544"/>
          <w:tab w:val="right" w:pos="5529"/>
          <w:tab w:val="right" w:pos="7230"/>
          <w:tab w:val="right" w:pos="8647"/>
        </w:tabs>
        <w:spacing w:before="120" w:after="120" w:line="240" w:lineRule="auto"/>
        <w:ind w:right="-46"/>
        <w:contextualSpacing/>
        <w:rPr>
          <w:rFonts w:ascii="Cambria" w:hAnsi="Cambria" w:cstheme="minorHAnsi"/>
        </w:rPr>
      </w:pPr>
      <w:r w:rsidRPr="009A0DA6">
        <w:rPr>
          <w:rFonts w:ascii="Cambria" w:hAnsi="Cambria" w:cstheme="minorHAnsi"/>
        </w:rPr>
        <w:t xml:space="preserve">Cash assets </w:t>
      </w:r>
      <w:r w:rsidRPr="009A0DA6">
        <w:rPr>
          <w:rFonts w:ascii="Cambria" w:hAnsi="Cambria" w:cstheme="minorHAnsi"/>
        </w:rPr>
        <w:tab/>
        <w:t xml:space="preserve"> 2</w:t>
      </w:r>
      <w:r w:rsidRPr="009A0DA6">
        <w:rPr>
          <w:rFonts w:ascii="Cambria" w:hAnsi="Cambria" w:cstheme="minorHAnsi"/>
        </w:rPr>
        <w:tab/>
      </w:r>
      <w:r w:rsidRPr="009A0DA6">
        <w:rPr>
          <w:rFonts w:ascii="Cambria" w:eastAsia="Times New Roman" w:hAnsi="Cambria" w:cstheme="minorHAnsi"/>
          <w:spacing w:val="1"/>
        </w:rPr>
        <w:t>13,6</w:t>
      </w:r>
      <w:r w:rsidRPr="009A0DA6">
        <w:rPr>
          <w:rFonts w:ascii="Cambria" w:eastAsia="Times New Roman" w:hAnsi="Cambria" w:cstheme="minorHAnsi"/>
          <w:spacing w:val="-1"/>
        </w:rPr>
        <w:t>6</w:t>
      </w:r>
      <w:r w:rsidRPr="009A0DA6">
        <w:rPr>
          <w:rFonts w:ascii="Cambria" w:eastAsia="Times New Roman" w:hAnsi="Cambria" w:cstheme="minorHAnsi"/>
          <w:spacing w:val="1"/>
        </w:rPr>
        <w:t>4,</w:t>
      </w:r>
      <w:r w:rsidRPr="009A0DA6">
        <w:rPr>
          <w:rFonts w:ascii="Cambria" w:eastAsia="Times New Roman" w:hAnsi="Cambria" w:cstheme="minorHAnsi"/>
          <w:spacing w:val="-1"/>
        </w:rPr>
        <w:t>0</w:t>
      </w:r>
      <w:r w:rsidRPr="009A0DA6">
        <w:rPr>
          <w:rFonts w:ascii="Cambria" w:eastAsia="Times New Roman" w:hAnsi="Cambria" w:cstheme="minorHAnsi"/>
          <w:spacing w:val="1"/>
        </w:rPr>
        <w:t>7</w:t>
      </w:r>
      <w:r w:rsidRPr="009A0DA6">
        <w:rPr>
          <w:rFonts w:ascii="Cambria" w:eastAsia="Times New Roman" w:hAnsi="Cambria" w:cstheme="minorHAnsi"/>
        </w:rPr>
        <w:t>7</w:t>
      </w:r>
      <w:r w:rsidRPr="009A0DA6">
        <w:rPr>
          <w:rFonts w:ascii="Cambria" w:hAnsi="Cambria" w:cstheme="minorHAnsi"/>
        </w:rPr>
        <w:tab/>
      </w:r>
      <w:r w:rsidRPr="009A0DA6">
        <w:rPr>
          <w:rFonts w:ascii="Cambria" w:eastAsia="Times New Roman" w:hAnsi="Cambria" w:cstheme="minorHAnsi"/>
          <w:spacing w:val="1"/>
        </w:rPr>
        <w:t>12,9</w:t>
      </w:r>
      <w:r w:rsidRPr="009A0DA6">
        <w:rPr>
          <w:rFonts w:ascii="Cambria" w:eastAsia="Times New Roman" w:hAnsi="Cambria" w:cstheme="minorHAnsi"/>
          <w:spacing w:val="-1"/>
        </w:rPr>
        <w:t>4</w:t>
      </w:r>
      <w:r w:rsidRPr="009A0DA6">
        <w:rPr>
          <w:rFonts w:ascii="Cambria" w:eastAsia="Times New Roman" w:hAnsi="Cambria" w:cstheme="minorHAnsi"/>
          <w:spacing w:val="1"/>
        </w:rPr>
        <w:t>6,</w:t>
      </w:r>
      <w:r w:rsidRPr="009A0DA6">
        <w:rPr>
          <w:rFonts w:ascii="Cambria" w:eastAsia="Times New Roman" w:hAnsi="Cambria" w:cstheme="minorHAnsi"/>
          <w:spacing w:val="-1"/>
        </w:rPr>
        <w:t>8</w:t>
      </w:r>
      <w:r w:rsidRPr="009A0DA6">
        <w:rPr>
          <w:rFonts w:ascii="Cambria" w:eastAsia="Times New Roman" w:hAnsi="Cambria" w:cstheme="minorHAnsi"/>
          <w:spacing w:val="1"/>
        </w:rPr>
        <w:t>7</w:t>
      </w:r>
      <w:r w:rsidRPr="009A0DA6">
        <w:rPr>
          <w:rFonts w:ascii="Cambria" w:eastAsia="Times New Roman" w:hAnsi="Cambria" w:cstheme="minorHAnsi"/>
        </w:rPr>
        <w:t>1</w:t>
      </w:r>
      <w:r w:rsidRPr="009A0DA6">
        <w:rPr>
          <w:rFonts w:ascii="Cambria" w:hAnsi="Cambria" w:cstheme="minorHAnsi"/>
        </w:rPr>
        <w:tab/>
      </w:r>
      <w:r w:rsidRPr="009A0DA6">
        <w:rPr>
          <w:rFonts w:ascii="Cambria" w:eastAsia="Times New Roman" w:hAnsi="Cambria" w:cstheme="minorHAnsi"/>
          <w:spacing w:val="1"/>
        </w:rPr>
        <w:t>11,3</w:t>
      </w:r>
      <w:r w:rsidRPr="009A0DA6">
        <w:rPr>
          <w:rFonts w:ascii="Cambria" w:eastAsia="Times New Roman" w:hAnsi="Cambria" w:cstheme="minorHAnsi"/>
          <w:spacing w:val="-1"/>
        </w:rPr>
        <w:t>3</w:t>
      </w:r>
      <w:r w:rsidRPr="009A0DA6">
        <w:rPr>
          <w:rFonts w:ascii="Cambria" w:eastAsia="Times New Roman" w:hAnsi="Cambria" w:cstheme="minorHAnsi"/>
          <w:spacing w:val="1"/>
        </w:rPr>
        <w:t>8,</w:t>
      </w:r>
      <w:r w:rsidRPr="009A0DA6">
        <w:rPr>
          <w:rFonts w:ascii="Cambria" w:eastAsia="Times New Roman" w:hAnsi="Cambria" w:cstheme="minorHAnsi"/>
          <w:spacing w:val="-1"/>
        </w:rPr>
        <w:t>7</w:t>
      </w:r>
      <w:r w:rsidRPr="009A0DA6">
        <w:rPr>
          <w:rFonts w:ascii="Cambria" w:eastAsia="Times New Roman" w:hAnsi="Cambria" w:cstheme="minorHAnsi"/>
          <w:spacing w:val="1"/>
        </w:rPr>
        <w:t>8</w:t>
      </w:r>
      <w:r w:rsidRPr="009A0DA6">
        <w:rPr>
          <w:rFonts w:ascii="Cambria" w:eastAsia="Times New Roman" w:hAnsi="Cambria" w:cstheme="minorHAnsi"/>
        </w:rPr>
        <w:t>3</w:t>
      </w:r>
    </w:p>
    <w:p w14:paraId="674B0955" w14:textId="77777777" w:rsidR="00BA4592" w:rsidRPr="009A0DA6" w:rsidRDefault="00BA4592" w:rsidP="00E93035">
      <w:pPr>
        <w:tabs>
          <w:tab w:val="left" w:pos="3544"/>
          <w:tab w:val="right" w:pos="5529"/>
          <w:tab w:val="right" w:pos="7230"/>
          <w:tab w:val="right" w:pos="8647"/>
        </w:tabs>
        <w:spacing w:before="120" w:after="120" w:line="240" w:lineRule="auto"/>
        <w:ind w:right="-46"/>
        <w:contextualSpacing/>
        <w:rPr>
          <w:rFonts w:ascii="Cambria" w:hAnsi="Cambria" w:cstheme="minorHAnsi"/>
        </w:rPr>
      </w:pPr>
      <w:r w:rsidRPr="009A0DA6">
        <w:rPr>
          <w:rFonts w:ascii="Cambria" w:hAnsi="Cambria" w:cstheme="minorHAnsi"/>
        </w:rPr>
        <w:t>Trade and other receivables</w:t>
      </w:r>
      <w:r w:rsidRPr="009A0DA6">
        <w:rPr>
          <w:rFonts w:ascii="Cambria" w:hAnsi="Cambria" w:cstheme="minorHAnsi"/>
        </w:rPr>
        <w:tab/>
        <w:t xml:space="preserve"> 3</w:t>
      </w:r>
      <w:r w:rsidRPr="009A0DA6">
        <w:rPr>
          <w:rFonts w:ascii="Cambria" w:hAnsi="Cambria" w:cstheme="minorHAnsi"/>
        </w:rPr>
        <w:tab/>
      </w:r>
      <w:r w:rsidRPr="009A0DA6">
        <w:rPr>
          <w:rFonts w:ascii="Cambria" w:eastAsia="Times New Roman" w:hAnsi="Cambria" w:cstheme="minorHAnsi"/>
          <w:spacing w:val="1"/>
        </w:rPr>
        <w:t>227,</w:t>
      </w:r>
      <w:r w:rsidRPr="009A0DA6">
        <w:rPr>
          <w:rFonts w:ascii="Cambria" w:eastAsia="Times New Roman" w:hAnsi="Cambria" w:cstheme="minorHAnsi"/>
          <w:spacing w:val="-1"/>
        </w:rPr>
        <w:t>7</w:t>
      </w:r>
      <w:r w:rsidRPr="009A0DA6">
        <w:rPr>
          <w:rFonts w:ascii="Cambria" w:eastAsia="Times New Roman" w:hAnsi="Cambria" w:cstheme="minorHAnsi"/>
          <w:spacing w:val="1"/>
        </w:rPr>
        <w:t>1</w:t>
      </w:r>
      <w:r w:rsidRPr="009A0DA6">
        <w:rPr>
          <w:rFonts w:ascii="Cambria" w:eastAsia="Times New Roman" w:hAnsi="Cambria" w:cstheme="minorHAnsi"/>
        </w:rPr>
        <w:t>0</w:t>
      </w:r>
      <w:r w:rsidRPr="009A0DA6">
        <w:rPr>
          <w:rFonts w:ascii="Cambria" w:hAnsi="Cambria" w:cstheme="minorHAnsi"/>
        </w:rPr>
        <w:tab/>
      </w:r>
      <w:r w:rsidRPr="009A0DA6">
        <w:rPr>
          <w:rFonts w:ascii="Cambria" w:eastAsia="Times New Roman" w:hAnsi="Cambria" w:cstheme="minorHAnsi"/>
          <w:spacing w:val="1"/>
        </w:rPr>
        <w:t>552,</w:t>
      </w:r>
      <w:r w:rsidRPr="009A0DA6">
        <w:rPr>
          <w:rFonts w:ascii="Cambria" w:eastAsia="Times New Roman" w:hAnsi="Cambria" w:cstheme="minorHAnsi"/>
          <w:spacing w:val="-1"/>
        </w:rPr>
        <w:t>2</w:t>
      </w:r>
      <w:r w:rsidRPr="009A0DA6">
        <w:rPr>
          <w:rFonts w:ascii="Cambria" w:eastAsia="Times New Roman" w:hAnsi="Cambria" w:cstheme="minorHAnsi"/>
          <w:spacing w:val="1"/>
        </w:rPr>
        <w:t>3</w:t>
      </w:r>
      <w:r w:rsidRPr="009A0DA6">
        <w:rPr>
          <w:rFonts w:ascii="Cambria" w:eastAsia="Times New Roman" w:hAnsi="Cambria" w:cstheme="minorHAnsi"/>
        </w:rPr>
        <w:t>9</w:t>
      </w:r>
      <w:r w:rsidRPr="009A0DA6">
        <w:rPr>
          <w:rFonts w:ascii="Cambria" w:hAnsi="Cambria" w:cstheme="minorHAnsi"/>
        </w:rPr>
        <w:tab/>
      </w:r>
      <w:r w:rsidRPr="009A0DA6">
        <w:rPr>
          <w:rFonts w:ascii="Cambria" w:eastAsia="Times New Roman" w:hAnsi="Cambria" w:cstheme="minorHAnsi"/>
          <w:w w:val="105"/>
        </w:rPr>
        <w:t>233,332</w:t>
      </w:r>
    </w:p>
    <w:p w14:paraId="44B1F9FD" w14:textId="77777777" w:rsidR="00BA4592" w:rsidRPr="009A0DA6" w:rsidRDefault="00BA4592" w:rsidP="00E93035">
      <w:pPr>
        <w:tabs>
          <w:tab w:val="left" w:pos="3544"/>
          <w:tab w:val="right" w:pos="5529"/>
          <w:tab w:val="right" w:pos="7230"/>
          <w:tab w:val="right" w:pos="8647"/>
        </w:tabs>
        <w:spacing w:before="120" w:after="120" w:line="240" w:lineRule="auto"/>
        <w:ind w:right="-46"/>
        <w:contextualSpacing/>
        <w:rPr>
          <w:rFonts w:ascii="Cambria" w:hAnsi="Cambria" w:cstheme="minorHAnsi"/>
          <w:lang w:val="fr-FR"/>
        </w:rPr>
      </w:pPr>
      <w:r w:rsidRPr="009A0DA6">
        <w:rPr>
          <w:rFonts w:ascii="Cambria" w:hAnsi="Cambria" w:cstheme="minorHAnsi"/>
          <w:lang w:val="fr-FR"/>
        </w:rPr>
        <w:t>Other assets</w:t>
      </w:r>
      <w:r w:rsidRPr="009A0DA6">
        <w:rPr>
          <w:rFonts w:ascii="Cambria" w:hAnsi="Cambria" w:cstheme="minorHAnsi"/>
          <w:lang w:val="fr-FR"/>
        </w:rPr>
        <w:tab/>
        <w:t xml:space="preserve"> 4</w:t>
      </w:r>
      <w:r w:rsidRPr="009A0DA6">
        <w:rPr>
          <w:rFonts w:ascii="Cambria" w:hAnsi="Cambria" w:cstheme="minorHAnsi"/>
          <w:lang w:val="fr-FR"/>
        </w:rPr>
        <w:tab/>
      </w:r>
      <w:r w:rsidRPr="009A0DA6">
        <w:rPr>
          <w:rFonts w:ascii="Cambria" w:eastAsia="Times New Roman" w:hAnsi="Cambria" w:cstheme="minorHAnsi"/>
          <w:spacing w:val="1"/>
        </w:rPr>
        <w:t>218,</w:t>
      </w:r>
      <w:r w:rsidRPr="009A0DA6">
        <w:rPr>
          <w:rFonts w:ascii="Cambria" w:eastAsia="Times New Roman" w:hAnsi="Cambria" w:cstheme="minorHAnsi"/>
          <w:spacing w:val="-1"/>
        </w:rPr>
        <w:t>6</w:t>
      </w:r>
      <w:r w:rsidRPr="009A0DA6">
        <w:rPr>
          <w:rFonts w:ascii="Cambria" w:eastAsia="Times New Roman" w:hAnsi="Cambria" w:cstheme="minorHAnsi"/>
          <w:spacing w:val="1"/>
        </w:rPr>
        <w:t>1</w:t>
      </w:r>
      <w:r w:rsidRPr="009A0DA6">
        <w:rPr>
          <w:rFonts w:ascii="Cambria" w:eastAsia="Times New Roman" w:hAnsi="Cambria" w:cstheme="minorHAnsi"/>
        </w:rPr>
        <w:t>8</w:t>
      </w:r>
      <w:r w:rsidRPr="009A0DA6">
        <w:rPr>
          <w:rFonts w:ascii="Cambria" w:hAnsi="Cambria" w:cstheme="minorHAnsi"/>
          <w:lang w:val="fr-FR"/>
        </w:rPr>
        <w:tab/>
      </w:r>
      <w:r w:rsidRPr="009A0DA6">
        <w:rPr>
          <w:rFonts w:ascii="Cambria" w:eastAsia="Times New Roman" w:hAnsi="Cambria" w:cstheme="minorHAnsi"/>
          <w:spacing w:val="1"/>
        </w:rPr>
        <w:t>204,</w:t>
      </w:r>
      <w:r w:rsidRPr="009A0DA6">
        <w:rPr>
          <w:rFonts w:ascii="Cambria" w:eastAsia="Times New Roman" w:hAnsi="Cambria" w:cstheme="minorHAnsi"/>
          <w:spacing w:val="-1"/>
        </w:rPr>
        <w:t>4</w:t>
      </w:r>
      <w:r w:rsidRPr="009A0DA6">
        <w:rPr>
          <w:rFonts w:ascii="Cambria" w:eastAsia="Times New Roman" w:hAnsi="Cambria" w:cstheme="minorHAnsi"/>
          <w:spacing w:val="1"/>
        </w:rPr>
        <w:t>0</w:t>
      </w:r>
      <w:r w:rsidRPr="009A0DA6">
        <w:rPr>
          <w:rFonts w:ascii="Cambria" w:eastAsia="Times New Roman" w:hAnsi="Cambria" w:cstheme="minorHAnsi"/>
        </w:rPr>
        <w:t>0</w:t>
      </w:r>
      <w:r w:rsidRPr="009A0DA6">
        <w:rPr>
          <w:rFonts w:ascii="Cambria" w:hAnsi="Cambria" w:cstheme="minorHAnsi"/>
          <w:lang w:val="fr-FR"/>
        </w:rPr>
        <w:tab/>
      </w:r>
      <w:r w:rsidRPr="009A0DA6">
        <w:rPr>
          <w:rFonts w:ascii="Cambria" w:eastAsia="Times New Roman" w:hAnsi="Cambria" w:cstheme="minorHAnsi"/>
          <w:w w:val="106"/>
        </w:rPr>
        <w:t>237,793</w:t>
      </w:r>
    </w:p>
    <w:p w14:paraId="7AD03F44" w14:textId="77777777" w:rsidR="00BA4592" w:rsidRPr="009A0DA6" w:rsidRDefault="00BA4592" w:rsidP="00E93035">
      <w:pPr>
        <w:tabs>
          <w:tab w:val="left" w:pos="3544"/>
          <w:tab w:val="right" w:pos="5529"/>
          <w:tab w:val="right" w:pos="7230"/>
          <w:tab w:val="right" w:pos="8647"/>
        </w:tabs>
        <w:spacing w:before="120" w:after="120" w:line="240" w:lineRule="auto"/>
        <w:ind w:right="-46"/>
        <w:contextualSpacing/>
        <w:rPr>
          <w:rFonts w:ascii="Cambria" w:hAnsi="Cambria" w:cstheme="minorHAnsi"/>
          <w:b/>
          <w:lang w:val="fr-FR"/>
        </w:rPr>
      </w:pPr>
      <w:r w:rsidRPr="009A0DA6">
        <w:rPr>
          <w:rFonts w:ascii="Cambria" w:hAnsi="Cambria" w:cstheme="minorHAnsi"/>
          <w:b/>
          <w:lang w:val="fr-FR"/>
        </w:rPr>
        <w:t>TOTAL CURRENT ASSETS</w:t>
      </w:r>
      <w:r w:rsidRPr="009A0DA6">
        <w:rPr>
          <w:rFonts w:ascii="Cambria" w:hAnsi="Cambria" w:cstheme="minorHAnsi"/>
          <w:b/>
          <w:lang w:val="fr-FR"/>
        </w:rPr>
        <w:tab/>
      </w:r>
      <w:r w:rsidRPr="009A0DA6">
        <w:rPr>
          <w:rFonts w:ascii="Cambria" w:hAnsi="Cambria" w:cstheme="minorHAnsi"/>
          <w:b/>
          <w:lang w:val="fr-FR"/>
        </w:rPr>
        <w:tab/>
      </w:r>
      <w:r w:rsidRPr="009A0DA6">
        <w:rPr>
          <w:rFonts w:ascii="Cambria" w:eastAsia="Times New Roman" w:hAnsi="Cambria" w:cstheme="minorHAnsi"/>
          <w:b/>
          <w:spacing w:val="1"/>
        </w:rPr>
        <w:t>14,1</w:t>
      </w:r>
      <w:r w:rsidRPr="009A0DA6">
        <w:rPr>
          <w:rFonts w:ascii="Cambria" w:eastAsia="Times New Roman" w:hAnsi="Cambria" w:cstheme="minorHAnsi"/>
          <w:b/>
          <w:spacing w:val="-1"/>
        </w:rPr>
        <w:t>1</w:t>
      </w:r>
      <w:r w:rsidRPr="009A0DA6">
        <w:rPr>
          <w:rFonts w:ascii="Cambria" w:eastAsia="Times New Roman" w:hAnsi="Cambria" w:cstheme="minorHAnsi"/>
          <w:b/>
          <w:spacing w:val="1"/>
        </w:rPr>
        <w:t>0,</w:t>
      </w:r>
      <w:r w:rsidRPr="009A0DA6">
        <w:rPr>
          <w:rFonts w:ascii="Cambria" w:eastAsia="Times New Roman" w:hAnsi="Cambria" w:cstheme="minorHAnsi"/>
          <w:b/>
          <w:spacing w:val="-1"/>
        </w:rPr>
        <w:t>4</w:t>
      </w:r>
      <w:r w:rsidRPr="009A0DA6">
        <w:rPr>
          <w:rFonts w:ascii="Cambria" w:eastAsia="Times New Roman" w:hAnsi="Cambria" w:cstheme="minorHAnsi"/>
          <w:b/>
          <w:spacing w:val="1"/>
        </w:rPr>
        <w:t>0</w:t>
      </w:r>
      <w:r w:rsidRPr="009A0DA6">
        <w:rPr>
          <w:rFonts w:ascii="Cambria" w:eastAsia="Times New Roman" w:hAnsi="Cambria" w:cstheme="minorHAnsi"/>
          <w:b/>
        </w:rPr>
        <w:t>5</w:t>
      </w:r>
      <w:r w:rsidRPr="009A0DA6">
        <w:rPr>
          <w:rFonts w:ascii="Cambria" w:hAnsi="Cambria" w:cstheme="minorHAnsi"/>
          <w:b/>
          <w:lang w:val="fr-FR"/>
        </w:rPr>
        <w:tab/>
      </w:r>
      <w:r w:rsidRPr="009A0DA6">
        <w:rPr>
          <w:rFonts w:ascii="Cambria" w:eastAsia="Times New Roman" w:hAnsi="Cambria" w:cstheme="minorHAnsi"/>
          <w:b/>
          <w:spacing w:val="1"/>
        </w:rPr>
        <w:t>13,7</w:t>
      </w:r>
      <w:r w:rsidRPr="009A0DA6">
        <w:rPr>
          <w:rFonts w:ascii="Cambria" w:eastAsia="Times New Roman" w:hAnsi="Cambria" w:cstheme="minorHAnsi"/>
          <w:b/>
          <w:spacing w:val="-1"/>
        </w:rPr>
        <w:t>0</w:t>
      </w:r>
      <w:r w:rsidRPr="009A0DA6">
        <w:rPr>
          <w:rFonts w:ascii="Cambria" w:eastAsia="Times New Roman" w:hAnsi="Cambria" w:cstheme="minorHAnsi"/>
          <w:b/>
          <w:spacing w:val="1"/>
        </w:rPr>
        <w:t>3,</w:t>
      </w:r>
      <w:r w:rsidRPr="009A0DA6">
        <w:rPr>
          <w:rFonts w:ascii="Cambria" w:eastAsia="Times New Roman" w:hAnsi="Cambria" w:cstheme="minorHAnsi"/>
          <w:b/>
          <w:spacing w:val="-1"/>
        </w:rPr>
        <w:t>5</w:t>
      </w:r>
      <w:r w:rsidRPr="009A0DA6">
        <w:rPr>
          <w:rFonts w:ascii="Cambria" w:eastAsia="Times New Roman" w:hAnsi="Cambria" w:cstheme="minorHAnsi"/>
          <w:b/>
          <w:spacing w:val="1"/>
        </w:rPr>
        <w:t>1</w:t>
      </w:r>
      <w:r w:rsidRPr="009A0DA6">
        <w:rPr>
          <w:rFonts w:ascii="Cambria" w:eastAsia="Times New Roman" w:hAnsi="Cambria" w:cstheme="minorHAnsi"/>
          <w:b/>
        </w:rPr>
        <w:t>0</w:t>
      </w:r>
      <w:r w:rsidRPr="009A0DA6">
        <w:rPr>
          <w:rFonts w:ascii="Cambria" w:hAnsi="Cambria" w:cstheme="minorHAnsi"/>
          <w:b/>
          <w:lang w:val="fr-FR"/>
        </w:rPr>
        <w:tab/>
      </w:r>
      <w:r w:rsidRPr="009A0DA6">
        <w:rPr>
          <w:rFonts w:ascii="Cambria" w:eastAsia="Times New Roman" w:hAnsi="Cambria" w:cstheme="minorHAnsi"/>
          <w:w w:val="105"/>
        </w:rPr>
        <w:t>11,809,908</w:t>
      </w:r>
    </w:p>
    <w:p w14:paraId="2218042C" w14:textId="77777777" w:rsidR="00BA4592" w:rsidRPr="009A0DA6" w:rsidRDefault="00BA4592" w:rsidP="00E93035">
      <w:pPr>
        <w:tabs>
          <w:tab w:val="left" w:pos="3544"/>
          <w:tab w:val="right" w:pos="5529"/>
          <w:tab w:val="right" w:pos="7230"/>
          <w:tab w:val="right" w:pos="8647"/>
        </w:tabs>
        <w:spacing w:before="120" w:after="120" w:line="240" w:lineRule="auto"/>
        <w:ind w:right="-46"/>
        <w:contextualSpacing/>
        <w:rPr>
          <w:rFonts w:ascii="Cambria" w:hAnsi="Cambria" w:cstheme="minorHAnsi"/>
          <w:b/>
          <w:lang w:val="fr-FR"/>
        </w:rPr>
      </w:pPr>
      <w:r w:rsidRPr="009A0DA6">
        <w:rPr>
          <w:rFonts w:ascii="Cambria" w:hAnsi="Cambria" w:cstheme="minorHAnsi"/>
          <w:b/>
          <w:lang w:val="fr-FR"/>
        </w:rPr>
        <w:t>NON-CURRENT ASSETS</w:t>
      </w:r>
    </w:p>
    <w:p w14:paraId="0E64D831" w14:textId="77777777" w:rsidR="00BA4592" w:rsidRPr="009A0DA6" w:rsidRDefault="00BA4592" w:rsidP="00E93035">
      <w:pPr>
        <w:tabs>
          <w:tab w:val="left" w:pos="3544"/>
          <w:tab w:val="right" w:pos="5529"/>
          <w:tab w:val="right" w:pos="7230"/>
          <w:tab w:val="right" w:pos="8647"/>
        </w:tabs>
        <w:spacing w:before="120" w:after="120" w:line="240" w:lineRule="auto"/>
        <w:ind w:right="-46"/>
        <w:contextualSpacing/>
        <w:rPr>
          <w:rFonts w:ascii="Cambria" w:hAnsi="Cambria" w:cstheme="minorHAnsi"/>
          <w:lang w:val="en-US"/>
        </w:rPr>
      </w:pPr>
      <w:r w:rsidRPr="009A0DA6">
        <w:rPr>
          <w:rFonts w:ascii="Cambria" w:hAnsi="Cambria" w:cstheme="minorHAnsi"/>
        </w:rPr>
        <w:t>Financial assets</w:t>
      </w:r>
      <w:r w:rsidRPr="009A0DA6">
        <w:rPr>
          <w:rFonts w:ascii="Cambria" w:hAnsi="Cambria" w:cstheme="minorHAnsi"/>
        </w:rPr>
        <w:tab/>
        <w:t xml:space="preserve"> 5</w:t>
      </w:r>
      <w:r w:rsidRPr="009A0DA6">
        <w:rPr>
          <w:rFonts w:ascii="Cambria" w:hAnsi="Cambria" w:cstheme="minorHAnsi"/>
        </w:rPr>
        <w:tab/>
        <w:t>3,514</w:t>
      </w:r>
      <w:r w:rsidRPr="009A0DA6">
        <w:rPr>
          <w:rFonts w:ascii="Cambria" w:hAnsi="Cambria" w:cstheme="minorHAnsi"/>
        </w:rPr>
        <w:tab/>
        <w:t>3,514</w:t>
      </w:r>
      <w:r w:rsidRPr="009A0DA6">
        <w:rPr>
          <w:rFonts w:ascii="Cambria" w:hAnsi="Cambria" w:cstheme="minorHAnsi"/>
        </w:rPr>
        <w:tab/>
      </w:r>
      <w:r w:rsidRPr="009A0DA6">
        <w:rPr>
          <w:rFonts w:ascii="Cambria" w:eastAsia="Times New Roman" w:hAnsi="Cambria" w:cstheme="minorHAnsi"/>
          <w:w w:val="104"/>
        </w:rPr>
        <w:t>3,514</w:t>
      </w:r>
    </w:p>
    <w:p w14:paraId="4DC678DC" w14:textId="77777777" w:rsidR="00BA4592" w:rsidRPr="009A0DA6" w:rsidRDefault="00BA4592" w:rsidP="00E93035">
      <w:pPr>
        <w:tabs>
          <w:tab w:val="left" w:pos="3544"/>
          <w:tab w:val="right" w:pos="5529"/>
          <w:tab w:val="right" w:pos="7230"/>
          <w:tab w:val="right" w:pos="8647"/>
        </w:tabs>
        <w:spacing w:before="120" w:after="120" w:line="240" w:lineRule="auto"/>
        <w:ind w:right="-46"/>
        <w:contextualSpacing/>
        <w:rPr>
          <w:rFonts w:ascii="Cambria" w:hAnsi="Cambria" w:cstheme="minorHAnsi"/>
        </w:rPr>
      </w:pPr>
      <w:r w:rsidRPr="009A0DA6">
        <w:rPr>
          <w:rFonts w:ascii="Cambria" w:hAnsi="Cambria" w:cstheme="minorHAnsi"/>
        </w:rPr>
        <w:t>Property, plant and equipment</w:t>
      </w:r>
      <w:r w:rsidRPr="009A0DA6">
        <w:rPr>
          <w:rFonts w:ascii="Cambria" w:hAnsi="Cambria" w:cstheme="minorHAnsi"/>
        </w:rPr>
        <w:tab/>
        <w:t xml:space="preserve"> 6</w:t>
      </w:r>
      <w:r w:rsidRPr="009A0DA6">
        <w:rPr>
          <w:rFonts w:ascii="Cambria" w:hAnsi="Cambria" w:cstheme="minorHAnsi"/>
        </w:rPr>
        <w:tab/>
      </w:r>
      <w:r w:rsidRPr="009A0DA6">
        <w:rPr>
          <w:rFonts w:ascii="Cambria" w:eastAsia="Times New Roman" w:hAnsi="Cambria" w:cstheme="minorHAnsi"/>
          <w:spacing w:val="1"/>
        </w:rPr>
        <w:t>2,18</w:t>
      </w:r>
      <w:r w:rsidRPr="009A0DA6">
        <w:rPr>
          <w:rFonts w:ascii="Cambria" w:eastAsia="Times New Roman" w:hAnsi="Cambria" w:cstheme="minorHAnsi"/>
          <w:spacing w:val="-1"/>
        </w:rPr>
        <w:t>3</w:t>
      </w:r>
      <w:r w:rsidRPr="009A0DA6">
        <w:rPr>
          <w:rFonts w:ascii="Cambria" w:eastAsia="Times New Roman" w:hAnsi="Cambria" w:cstheme="minorHAnsi"/>
          <w:spacing w:val="1"/>
        </w:rPr>
        <w:t>,8</w:t>
      </w:r>
      <w:r w:rsidRPr="009A0DA6">
        <w:rPr>
          <w:rFonts w:ascii="Cambria" w:eastAsia="Times New Roman" w:hAnsi="Cambria" w:cstheme="minorHAnsi"/>
          <w:spacing w:val="-1"/>
        </w:rPr>
        <w:t>0</w:t>
      </w:r>
      <w:r w:rsidRPr="009A0DA6">
        <w:rPr>
          <w:rFonts w:ascii="Cambria" w:eastAsia="Times New Roman" w:hAnsi="Cambria" w:cstheme="minorHAnsi"/>
        </w:rPr>
        <w:t>7</w:t>
      </w:r>
      <w:r w:rsidRPr="009A0DA6">
        <w:rPr>
          <w:rFonts w:ascii="Cambria" w:hAnsi="Cambria" w:cstheme="minorHAnsi"/>
        </w:rPr>
        <w:tab/>
      </w:r>
      <w:r w:rsidRPr="009A0DA6">
        <w:rPr>
          <w:rFonts w:ascii="Cambria" w:eastAsia="Times New Roman" w:hAnsi="Cambria" w:cstheme="minorHAnsi"/>
          <w:spacing w:val="1"/>
        </w:rPr>
        <w:t>2,70</w:t>
      </w:r>
      <w:r w:rsidRPr="009A0DA6">
        <w:rPr>
          <w:rFonts w:ascii="Cambria" w:eastAsia="Times New Roman" w:hAnsi="Cambria" w:cstheme="minorHAnsi"/>
          <w:spacing w:val="-1"/>
        </w:rPr>
        <w:t>0</w:t>
      </w:r>
      <w:r w:rsidRPr="009A0DA6">
        <w:rPr>
          <w:rFonts w:ascii="Cambria" w:eastAsia="Times New Roman" w:hAnsi="Cambria" w:cstheme="minorHAnsi"/>
          <w:spacing w:val="1"/>
        </w:rPr>
        <w:t>,4</w:t>
      </w:r>
      <w:r w:rsidRPr="009A0DA6">
        <w:rPr>
          <w:rFonts w:ascii="Cambria" w:eastAsia="Times New Roman" w:hAnsi="Cambria" w:cstheme="minorHAnsi"/>
          <w:spacing w:val="-1"/>
        </w:rPr>
        <w:t>9</w:t>
      </w:r>
      <w:r w:rsidRPr="009A0DA6">
        <w:rPr>
          <w:rFonts w:ascii="Cambria" w:eastAsia="Times New Roman" w:hAnsi="Cambria" w:cstheme="minorHAnsi"/>
        </w:rPr>
        <w:t>2</w:t>
      </w:r>
      <w:r w:rsidRPr="009A0DA6">
        <w:rPr>
          <w:rFonts w:ascii="Cambria" w:hAnsi="Cambria" w:cstheme="minorHAnsi"/>
        </w:rPr>
        <w:tab/>
      </w:r>
      <w:r w:rsidRPr="009A0DA6">
        <w:rPr>
          <w:rFonts w:ascii="Cambria" w:eastAsia="Times New Roman" w:hAnsi="Cambria" w:cstheme="minorHAnsi"/>
          <w:w w:val="104"/>
        </w:rPr>
        <w:t>3,510,155</w:t>
      </w:r>
    </w:p>
    <w:p w14:paraId="52177E71" w14:textId="77777777" w:rsidR="00BA4592" w:rsidRPr="009A0DA6" w:rsidRDefault="00BA4592" w:rsidP="00E93035">
      <w:pPr>
        <w:tabs>
          <w:tab w:val="left" w:pos="3544"/>
          <w:tab w:val="right" w:pos="5529"/>
          <w:tab w:val="right" w:pos="7230"/>
          <w:tab w:val="right" w:pos="8647"/>
        </w:tabs>
        <w:spacing w:before="120" w:after="120" w:line="240" w:lineRule="auto"/>
        <w:ind w:right="-46"/>
        <w:contextualSpacing/>
        <w:rPr>
          <w:rFonts w:ascii="Cambria" w:hAnsi="Cambria" w:cstheme="minorHAnsi"/>
          <w:b/>
          <w:lang w:val="fr-FR"/>
        </w:rPr>
      </w:pPr>
      <w:r w:rsidRPr="009A0DA6">
        <w:rPr>
          <w:rFonts w:ascii="Cambria" w:hAnsi="Cambria" w:cstheme="minorHAnsi"/>
          <w:b/>
          <w:lang w:val="fr-FR"/>
        </w:rPr>
        <w:t>TOTAL NON-CURRENT ASSETS</w:t>
      </w:r>
      <w:r w:rsidRPr="009A0DA6">
        <w:rPr>
          <w:rFonts w:ascii="Cambria" w:hAnsi="Cambria" w:cstheme="minorHAnsi"/>
          <w:b/>
          <w:lang w:val="fr-FR"/>
        </w:rPr>
        <w:tab/>
      </w:r>
      <w:r w:rsidRPr="009A0DA6">
        <w:rPr>
          <w:rFonts w:ascii="Cambria" w:hAnsi="Cambria" w:cstheme="minorHAnsi"/>
          <w:b/>
          <w:lang w:val="fr-FR"/>
        </w:rPr>
        <w:tab/>
      </w:r>
      <w:r w:rsidRPr="009A0DA6">
        <w:rPr>
          <w:rFonts w:ascii="Cambria" w:eastAsia="Times New Roman" w:hAnsi="Cambria" w:cstheme="minorHAnsi"/>
          <w:b/>
          <w:spacing w:val="1"/>
        </w:rPr>
        <w:t>2,18</w:t>
      </w:r>
      <w:r w:rsidRPr="009A0DA6">
        <w:rPr>
          <w:rFonts w:ascii="Cambria" w:eastAsia="Times New Roman" w:hAnsi="Cambria" w:cstheme="minorHAnsi"/>
          <w:b/>
          <w:spacing w:val="-1"/>
        </w:rPr>
        <w:t>7</w:t>
      </w:r>
      <w:r w:rsidRPr="009A0DA6">
        <w:rPr>
          <w:rFonts w:ascii="Cambria" w:eastAsia="Times New Roman" w:hAnsi="Cambria" w:cstheme="minorHAnsi"/>
          <w:b/>
          <w:spacing w:val="1"/>
        </w:rPr>
        <w:t>,3</w:t>
      </w:r>
      <w:r w:rsidRPr="009A0DA6">
        <w:rPr>
          <w:rFonts w:ascii="Cambria" w:eastAsia="Times New Roman" w:hAnsi="Cambria" w:cstheme="minorHAnsi"/>
          <w:b/>
          <w:spacing w:val="-1"/>
        </w:rPr>
        <w:t>2</w:t>
      </w:r>
      <w:r w:rsidRPr="009A0DA6">
        <w:rPr>
          <w:rFonts w:ascii="Cambria" w:eastAsia="Times New Roman" w:hAnsi="Cambria" w:cstheme="minorHAnsi"/>
          <w:b/>
        </w:rPr>
        <w:t>1</w:t>
      </w:r>
      <w:r w:rsidRPr="009A0DA6">
        <w:rPr>
          <w:rFonts w:ascii="Cambria" w:hAnsi="Cambria" w:cstheme="minorHAnsi"/>
          <w:b/>
          <w:lang w:val="fr-FR"/>
        </w:rPr>
        <w:tab/>
      </w:r>
      <w:r w:rsidRPr="009A0DA6">
        <w:rPr>
          <w:rFonts w:ascii="Cambria" w:eastAsia="Times New Roman" w:hAnsi="Cambria" w:cstheme="minorHAnsi"/>
          <w:b/>
          <w:spacing w:val="1"/>
        </w:rPr>
        <w:t>2,70</w:t>
      </w:r>
      <w:r w:rsidRPr="009A0DA6">
        <w:rPr>
          <w:rFonts w:ascii="Cambria" w:eastAsia="Times New Roman" w:hAnsi="Cambria" w:cstheme="minorHAnsi"/>
          <w:b/>
          <w:spacing w:val="-1"/>
        </w:rPr>
        <w:t>4</w:t>
      </w:r>
      <w:r w:rsidRPr="009A0DA6">
        <w:rPr>
          <w:rFonts w:ascii="Cambria" w:eastAsia="Times New Roman" w:hAnsi="Cambria" w:cstheme="minorHAnsi"/>
          <w:b/>
          <w:spacing w:val="1"/>
        </w:rPr>
        <w:t>,0</w:t>
      </w:r>
      <w:r w:rsidRPr="009A0DA6">
        <w:rPr>
          <w:rFonts w:ascii="Cambria" w:eastAsia="Times New Roman" w:hAnsi="Cambria" w:cstheme="minorHAnsi"/>
          <w:b/>
          <w:spacing w:val="-1"/>
        </w:rPr>
        <w:t>0</w:t>
      </w:r>
      <w:r w:rsidRPr="009A0DA6">
        <w:rPr>
          <w:rFonts w:ascii="Cambria" w:eastAsia="Times New Roman" w:hAnsi="Cambria" w:cstheme="minorHAnsi"/>
          <w:b/>
        </w:rPr>
        <w:t>6</w:t>
      </w:r>
      <w:r w:rsidRPr="009A0DA6">
        <w:rPr>
          <w:rFonts w:ascii="Cambria" w:hAnsi="Cambria" w:cstheme="minorHAnsi"/>
          <w:b/>
          <w:lang w:val="fr-FR"/>
        </w:rPr>
        <w:tab/>
      </w:r>
      <w:r w:rsidRPr="009A0DA6">
        <w:rPr>
          <w:rFonts w:ascii="Cambria" w:eastAsia="Times New Roman" w:hAnsi="Cambria" w:cstheme="minorHAnsi"/>
          <w:w w:val="105"/>
        </w:rPr>
        <w:t>3,513,669</w:t>
      </w:r>
    </w:p>
    <w:p w14:paraId="6A5A8BD1" w14:textId="77777777" w:rsidR="00BA4592" w:rsidRPr="009A0DA6" w:rsidRDefault="00BA4592" w:rsidP="00E93035">
      <w:pPr>
        <w:tabs>
          <w:tab w:val="left" w:pos="3544"/>
          <w:tab w:val="right" w:pos="5529"/>
          <w:tab w:val="right" w:pos="7230"/>
          <w:tab w:val="right" w:pos="8647"/>
        </w:tabs>
        <w:spacing w:before="120" w:after="120" w:line="240" w:lineRule="auto"/>
        <w:ind w:right="-46"/>
        <w:contextualSpacing/>
        <w:rPr>
          <w:rFonts w:ascii="Cambria" w:hAnsi="Cambria" w:cstheme="minorHAnsi"/>
          <w:b/>
          <w:lang w:val="fr-FR"/>
        </w:rPr>
      </w:pPr>
      <w:r w:rsidRPr="009A0DA6">
        <w:rPr>
          <w:rFonts w:ascii="Cambria" w:hAnsi="Cambria" w:cstheme="minorHAnsi"/>
          <w:b/>
          <w:lang w:val="fr-FR"/>
        </w:rPr>
        <w:t>TOTAL ASSETS</w:t>
      </w:r>
      <w:r w:rsidRPr="009A0DA6">
        <w:rPr>
          <w:rFonts w:ascii="Cambria" w:hAnsi="Cambria" w:cstheme="minorHAnsi"/>
          <w:b/>
          <w:lang w:val="fr-FR"/>
        </w:rPr>
        <w:tab/>
      </w:r>
      <w:r w:rsidRPr="009A0DA6">
        <w:rPr>
          <w:rFonts w:ascii="Cambria" w:hAnsi="Cambria" w:cstheme="minorHAnsi"/>
          <w:b/>
          <w:lang w:val="fr-FR"/>
        </w:rPr>
        <w:tab/>
        <w:t>$</w:t>
      </w:r>
      <w:r w:rsidRPr="009A0DA6">
        <w:rPr>
          <w:rFonts w:ascii="Cambria" w:eastAsia="Times New Roman" w:hAnsi="Cambria" w:cstheme="minorHAnsi"/>
          <w:b/>
          <w:spacing w:val="1"/>
        </w:rPr>
        <w:t>16,2</w:t>
      </w:r>
      <w:r w:rsidRPr="009A0DA6">
        <w:rPr>
          <w:rFonts w:ascii="Cambria" w:eastAsia="Times New Roman" w:hAnsi="Cambria" w:cstheme="minorHAnsi"/>
          <w:b/>
          <w:spacing w:val="-1"/>
        </w:rPr>
        <w:t>9</w:t>
      </w:r>
      <w:r w:rsidRPr="009A0DA6">
        <w:rPr>
          <w:rFonts w:ascii="Cambria" w:eastAsia="Times New Roman" w:hAnsi="Cambria" w:cstheme="minorHAnsi"/>
          <w:b/>
          <w:spacing w:val="1"/>
        </w:rPr>
        <w:t>7,</w:t>
      </w:r>
      <w:r w:rsidRPr="009A0DA6">
        <w:rPr>
          <w:rFonts w:ascii="Cambria" w:eastAsia="Times New Roman" w:hAnsi="Cambria" w:cstheme="minorHAnsi"/>
          <w:b/>
          <w:spacing w:val="-1"/>
        </w:rPr>
        <w:t>7</w:t>
      </w:r>
      <w:r w:rsidRPr="009A0DA6">
        <w:rPr>
          <w:rFonts w:ascii="Cambria" w:eastAsia="Times New Roman" w:hAnsi="Cambria" w:cstheme="minorHAnsi"/>
          <w:b/>
          <w:spacing w:val="1"/>
        </w:rPr>
        <w:t>2</w:t>
      </w:r>
      <w:r w:rsidRPr="009A0DA6">
        <w:rPr>
          <w:rFonts w:ascii="Cambria" w:eastAsia="Times New Roman" w:hAnsi="Cambria" w:cstheme="minorHAnsi"/>
          <w:b/>
        </w:rPr>
        <w:t>6</w:t>
      </w:r>
      <w:r w:rsidRPr="009A0DA6">
        <w:rPr>
          <w:rFonts w:ascii="Cambria" w:hAnsi="Cambria" w:cstheme="minorHAnsi"/>
          <w:b/>
          <w:lang w:val="fr-FR"/>
        </w:rPr>
        <w:tab/>
        <w:t>$</w:t>
      </w:r>
      <w:r w:rsidRPr="009A0DA6">
        <w:rPr>
          <w:rFonts w:ascii="Cambria" w:eastAsia="Times New Roman" w:hAnsi="Cambria" w:cstheme="minorHAnsi"/>
          <w:b/>
          <w:spacing w:val="1"/>
        </w:rPr>
        <w:t>16,4</w:t>
      </w:r>
      <w:r w:rsidRPr="009A0DA6">
        <w:rPr>
          <w:rFonts w:ascii="Cambria" w:eastAsia="Times New Roman" w:hAnsi="Cambria" w:cstheme="minorHAnsi"/>
          <w:b/>
          <w:spacing w:val="-1"/>
        </w:rPr>
        <w:t>0</w:t>
      </w:r>
      <w:r w:rsidRPr="009A0DA6">
        <w:rPr>
          <w:rFonts w:ascii="Cambria" w:eastAsia="Times New Roman" w:hAnsi="Cambria" w:cstheme="minorHAnsi"/>
          <w:b/>
          <w:spacing w:val="1"/>
        </w:rPr>
        <w:t>7,</w:t>
      </w:r>
      <w:r w:rsidRPr="009A0DA6">
        <w:rPr>
          <w:rFonts w:ascii="Cambria" w:eastAsia="Times New Roman" w:hAnsi="Cambria" w:cstheme="minorHAnsi"/>
          <w:b/>
          <w:spacing w:val="-1"/>
        </w:rPr>
        <w:t>5</w:t>
      </w:r>
      <w:r w:rsidRPr="009A0DA6">
        <w:rPr>
          <w:rFonts w:ascii="Cambria" w:eastAsia="Times New Roman" w:hAnsi="Cambria" w:cstheme="minorHAnsi"/>
          <w:b/>
          <w:spacing w:val="1"/>
        </w:rPr>
        <w:t>1</w:t>
      </w:r>
      <w:r w:rsidRPr="009A0DA6">
        <w:rPr>
          <w:rFonts w:ascii="Cambria" w:eastAsia="Times New Roman" w:hAnsi="Cambria" w:cstheme="minorHAnsi"/>
          <w:b/>
        </w:rPr>
        <w:t>6</w:t>
      </w:r>
      <w:r w:rsidRPr="009A0DA6">
        <w:rPr>
          <w:rFonts w:ascii="Cambria" w:hAnsi="Cambria" w:cstheme="minorHAnsi"/>
          <w:b/>
          <w:lang w:val="fr-FR"/>
        </w:rPr>
        <w:tab/>
      </w:r>
      <w:r w:rsidRPr="009A0DA6">
        <w:rPr>
          <w:rFonts w:ascii="Cambria" w:eastAsia="Times New Roman" w:hAnsi="Cambria" w:cstheme="minorHAnsi"/>
          <w:w w:val="106"/>
        </w:rPr>
        <w:t>15,323,577</w:t>
      </w:r>
    </w:p>
    <w:p w14:paraId="2EB2B7CE" w14:textId="77777777" w:rsidR="00BA4592" w:rsidRPr="009A0DA6" w:rsidRDefault="00BA4592" w:rsidP="00E93035">
      <w:pPr>
        <w:tabs>
          <w:tab w:val="left" w:pos="3544"/>
          <w:tab w:val="right" w:pos="5529"/>
          <w:tab w:val="right" w:pos="7230"/>
          <w:tab w:val="right" w:pos="8647"/>
        </w:tabs>
        <w:spacing w:before="120" w:after="120" w:line="240" w:lineRule="auto"/>
        <w:contextualSpacing/>
        <w:rPr>
          <w:rFonts w:ascii="Cambria" w:hAnsi="Cambria" w:cstheme="minorHAnsi"/>
          <w:lang w:val="en-US"/>
        </w:rPr>
      </w:pPr>
    </w:p>
    <w:p w14:paraId="19421C60" w14:textId="77777777" w:rsidR="00BA4592" w:rsidRPr="009A0DA6" w:rsidRDefault="00BA4592" w:rsidP="00E93035">
      <w:pPr>
        <w:tabs>
          <w:tab w:val="left" w:pos="3544"/>
          <w:tab w:val="right" w:pos="5529"/>
          <w:tab w:val="right" w:pos="7230"/>
          <w:tab w:val="right" w:pos="8647"/>
        </w:tabs>
        <w:spacing w:before="120" w:after="120" w:line="240" w:lineRule="auto"/>
        <w:ind w:right="-46"/>
        <w:contextualSpacing/>
        <w:rPr>
          <w:rFonts w:ascii="Cambria" w:hAnsi="Cambria" w:cstheme="minorHAnsi"/>
          <w:lang w:val="fr-FR"/>
        </w:rPr>
      </w:pPr>
      <w:r w:rsidRPr="009A0DA6">
        <w:rPr>
          <w:rFonts w:ascii="Cambria" w:hAnsi="Cambria" w:cstheme="minorHAnsi"/>
          <w:b/>
        </w:rPr>
        <w:t>CURRENT LIABILITIES</w:t>
      </w:r>
    </w:p>
    <w:p w14:paraId="18474DBE" w14:textId="77777777" w:rsidR="00BA4592" w:rsidRPr="009A0DA6" w:rsidRDefault="00BA4592" w:rsidP="00E93035">
      <w:pPr>
        <w:tabs>
          <w:tab w:val="left" w:pos="3544"/>
          <w:tab w:val="right" w:pos="5529"/>
          <w:tab w:val="right" w:pos="7230"/>
          <w:tab w:val="right" w:pos="8647"/>
        </w:tabs>
        <w:spacing w:before="120" w:after="120" w:line="240" w:lineRule="auto"/>
        <w:ind w:right="-46"/>
        <w:contextualSpacing/>
        <w:rPr>
          <w:rFonts w:ascii="Cambria" w:hAnsi="Cambria" w:cstheme="minorHAnsi"/>
          <w:lang w:val="en-US"/>
        </w:rPr>
      </w:pPr>
      <w:r w:rsidRPr="009A0DA6">
        <w:rPr>
          <w:rFonts w:ascii="Cambria" w:hAnsi="Cambria" w:cstheme="minorHAnsi"/>
        </w:rPr>
        <w:t>Trade and other payables</w:t>
      </w:r>
      <w:r w:rsidRPr="009A0DA6">
        <w:rPr>
          <w:rFonts w:ascii="Cambria" w:hAnsi="Cambria" w:cstheme="minorHAnsi"/>
        </w:rPr>
        <w:tab/>
        <w:t xml:space="preserve"> 7</w:t>
      </w:r>
      <w:r w:rsidRPr="009A0DA6">
        <w:rPr>
          <w:rFonts w:ascii="Cambria" w:hAnsi="Cambria" w:cstheme="minorHAnsi"/>
        </w:rPr>
        <w:tab/>
      </w:r>
      <w:r w:rsidRPr="009A0DA6">
        <w:rPr>
          <w:rFonts w:ascii="Cambria" w:eastAsia="Times New Roman" w:hAnsi="Cambria" w:cstheme="minorHAnsi"/>
          <w:spacing w:val="1"/>
        </w:rPr>
        <w:t>271,</w:t>
      </w:r>
      <w:r w:rsidRPr="009A0DA6">
        <w:rPr>
          <w:rFonts w:ascii="Cambria" w:eastAsia="Times New Roman" w:hAnsi="Cambria" w:cstheme="minorHAnsi"/>
          <w:spacing w:val="-1"/>
        </w:rPr>
        <w:t>4</w:t>
      </w:r>
      <w:r w:rsidRPr="009A0DA6">
        <w:rPr>
          <w:rFonts w:ascii="Cambria" w:eastAsia="Times New Roman" w:hAnsi="Cambria" w:cstheme="minorHAnsi"/>
          <w:spacing w:val="1"/>
        </w:rPr>
        <w:t>9</w:t>
      </w:r>
      <w:r w:rsidRPr="009A0DA6">
        <w:rPr>
          <w:rFonts w:ascii="Cambria" w:eastAsia="Times New Roman" w:hAnsi="Cambria" w:cstheme="minorHAnsi"/>
        </w:rPr>
        <w:t>4</w:t>
      </w:r>
      <w:r w:rsidRPr="009A0DA6">
        <w:rPr>
          <w:rFonts w:ascii="Cambria" w:eastAsia="Times New Roman" w:hAnsi="Cambria" w:cstheme="minorHAnsi"/>
        </w:rPr>
        <w:tab/>
      </w:r>
      <w:r w:rsidRPr="009A0DA6">
        <w:rPr>
          <w:rFonts w:ascii="Cambria" w:eastAsia="Times New Roman" w:hAnsi="Cambria" w:cstheme="minorHAnsi"/>
          <w:spacing w:val="1"/>
        </w:rPr>
        <w:t>415,</w:t>
      </w:r>
      <w:r w:rsidRPr="009A0DA6">
        <w:rPr>
          <w:rFonts w:ascii="Cambria" w:eastAsia="Times New Roman" w:hAnsi="Cambria" w:cstheme="minorHAnsi"/>
          <w:spacing w:val="-1"/>
        </w:rPr>
        <w:t>9</w:t>
      </w:r>
      <w:r w:rsidRPr="009A0DA6">
        <w:rPr>
          <w:rFonts w:ascii="Cambria" w:eastAsia="Times New Roman" w:hAnsi="Cambria" w:cstheme="minorHAnsi"/>
          <w:spacing w:val="1"/>
        </w:rPr>
        <w:t>0</w:t>
      </w:r>
      <w:r w:rsidRPr="009A0DA6">
        <w:rPr>
          <w:rFonts w:ascii="Cambria" w:eastAsia="Times New Roman" w:hAnsi="Cambria" w:cstheme="minorHAnsi"/>
        </w:rPr>
        <w:t>3</w:t>
      </w:r>
      <w:r w:rsidRPr="009A0DA6">
        <w:rPr>
          <w:rFonts w:ascii="Cambria" w:eastAsia="Times New Roman" w:hAnsi="Cambria" w:cstheme="minorHAnsi"/>
        </w:rPr>
        <w:tab/>
        <w:t>161</w:t>
      </w:r>
      <w:r w:rsidRPr="009A0DA6">
        <w:rPr>
          <w:rFonts w:ascii="Cambria" w:eastAsia="Times New Roman" w:hAnsi="Cambria" w:cstheme="minorHAnsi"/>
          <w:spacing w:val="-27"/>
        </w:rPr>
        <w:t xml:space="preserve"> </w:t>
      </w:r>
      <w:r w:rsidRPr="009A0DA6">
        <w:rPr>
          <w:rFonts w:ascii="Cambria" w:eastAsia="Times New Roman" w:hAnsi="Cambria" w:cstheme="minorHAnsi"/>
          <w:spacing w:val="-6"/>
          <w:w w:val="121"/>
        </w:rPr>
        <w:t>,</w:t>
      </w:r>
      <w:r w:rsidRPr="009A0DA6">
        <w:rPr>
          <w:rFonts w:ascii="Cambria" w:eastAsia="Times New Roman" w:hAnsi="Cambria" w:cstheme="minorHAnsi"/>
          <w:w w:val="104"/>
        </w:rPr>
        <w:t>064</w:t>
      </w:r>
    </w:p>
    <w:p w14:paraId="027E34B7" w14:textId="77777777" w:rsidR="00BA4592" w:rsidRPr="009A0DA6" w:rsidRDefault="00BA4592" w:rsidP="00E93035">
      <w:pPr>
        <w:tabs>
          <w:tab w:val="left" w:pos="3544"/>
          <w:tab w:val="right" w:pos="5529"/>
          <w:tab w:val="right" w:pos="7230"/>
          <w:tab w:val="right" w:pos="8647"/>
        </w:tabs>
        <w:spacing w:before="120" w:after="120" w:line="240" w:lineRule="auto"/>
        <w:ind w:right="-46"/>
        <w:contextualSpacing/>
        <w:rPr>
          <w:rFonts w:ascii="Cambria" w:hAnsi="Cambria" w:cstheme="minorHAnsi"/>
          <w:b/>
          <w:lang w:val="fr-FR"/>
        </w:rPr>
      </w:pPr>
      <w:r w:rsidRPr="009A0DA6">
        <w:rPr>
          <w:rFonts w:ascii="Cambria" w:hAnsi="Cambria" w:cstheme="minorHAnsi"/>
          <w:b/>
          <w:lang w:val="fr-FR"/>
        </w:rPr>
        <w:t>TOTAL CURRENT LIABILITIES</w:t>
      </w:r>
      <w:r w:rsidRPr="009A0DA6">
        <w:rPr>
          <w:rFonts w:ascii="Cambria" w:hAnsi="Cambria" w:cstheme="minorHAnsi"/>
          <w:b/>
          <w:lang w:val="fr-FR"/>
        </w:rPr>
        <w:tab/>
      </w:r>
      <w:r w:rsidRPr="009A0DA6">
        <w:rPr>
          <w:rFonts w:ascii="Cambria" w:hAnsi="Cambria" w:cstheme="minorHAnsi"/>
          <w:b/>
          <w:lang w:val="fr-FR"/>
        </w:rPr>
        <w:tab/>
      </w:r>
      <w:r w:rsidRPr="009A0DA6">
        <w:rPr>
          <w:rFonts w:ascii="Cambria" w:eastAsia="Times New Roman" w:hAnsi="Cambria" w:cstheme="minorHAnsi"/>
          <w:b/>
          <w:spacing w:val="1"/>
        </w:rPr>
        <w:t>271,</w:t>
      </w:r>
      <w:r w:rsidRPr="009A0DA6">
        <w:rPr>
          <w:rFonts w:ascii="Cambria" w:eastAsia="Times New Roman" w:hAnsi="Cambria" w:cstheme="minorHAnsi"/>
          <w:b/>
          <w:spacing w:val="-1"/>
        </w:rPr>
        <w:t>4</w:t>
      </w:r>
      <w:r w:rsidRPr="009A0DA6">
        <w:rPr>
          <w:rFonts w:ascii="Cambria" w:eastAsia="Times New Roman" w:hAnsi="Cambria" w:cstheme="minorHAnsi"/>
          <w:b/>
          <w:spacing w:val="1"/>
        </w:rPr>
        <w:t>9</w:t>
      </w:r>
      <w:r w:rsidRPr="009A0DA6">
        <w:rPr>
          <w:rFonts w:ascii="Cambria" w:eastAsia="Times New Roman" w:hAnsi="Cambria" w:cstheme="minorHAnsi"/>
          <w:b/>
        </w:rPr>
        <w:t>4</w:t>
      </w:r>
      <w:r w:rsidRPr="009A0DA6">
        <w:rPr>
          <w:rFonts w:ascii="Cambria" w:eastAsia="Times New Roman" w:hAnsi="Cambria" w:cstheme="minorHAnsi"/>
          <w:b/>
        </w:rPr>
        <w:tab/>
      </w:r>
      <w:r w:rsidRPr="009A0DA6">
        <w:rPr>
          <w:rFonts w:ascii="Cambria" w:eastAsia="Times New Roman" w:hAnsi="Cambria" w:cstheme="minorHAnsi"/>
          <w:b/>
          <w:spacing w:val="1"/>
        </w:rPr>
        <w:t>415,</w:t>
      </w:r>
      <w:r w:rsidRPr="009A0DA6">
        <w:rPr>
          <w:rFonts w:ascii="Cambria" w:eastAsia="Times New Roman" w:hAnsi="Cambria" w:cstheme="minorHAnsi"/>
          <w:b/>
          <w:spacing w:val="-1"/>
        </w:rPr>
        <w:t>9</w:t>
      </w:r>
      <w:r w:rsidRPr="009A0DA6">
        <w:rPr>
          <w:rFonts w:ascii="Cambria" w:eastAsia="Times New Roman" w:hAnsi="Cambria" w:cstheme="minorHAnsi"/>
          <w:b/>
          <w:spacing w:val="1"/>
        </w:rPr>
        <w:t>0</w:t>
      </w:r>
      <w:r w:rsidRPr="009A0DA6">
        <w:rPr>
          <w:rFonts w:ascii="Cambria" w:eastAsia="Times New Roman" w:hAnsi="Cambria" w:cstheme="minorHAnsi"/>
          <w:b/>
        </w:rPr>
        <w:t>3</w:t>
      </w:r>
      <w:r w:rsidRPr="009A0DA6">
        <w:rPr>
          <w:rFonts w:ascii="Cambria" w:eastAsia="Times New Roman" w:hAnsi="Cambria" w:cstheme="minorHAnsi"/>
          <w:b/>
        </w:rPr>
        <w:tab/>
      </w:r>
      <w:r w:rsidRPr="009A0DA6">
        <w:rPr>
          <w:rFonts w:ascii="Cambria" w:eastAsia="Times New Roman" w:hAnsi="Cambria" w:cstheme="minorHAnsi"/>
        </w:rPr>
        <w:t>161</w:t>
      </w:r>
      <w:r w:rsidRPr="009A0DA6">
        <w:rPr>
          <w:rFonts w:ascii="Cambria" w:eastAsia="Times New Roman" w:hAnsi="Cambria" w:cstheme="minorHAnsi"/>
          <w:spacing w:val="-27"/>
        </w:rPr>
        <w:t xml:space="preserve"> </w:t>
      </w:r>
      <w:r w:rsidRPr="009A0DA6">
        <w:rPr>
          <w:rFonts w:ascii="Cambria" w:eastAsia="Times New Roman" w:hAnsi="Cambria" w:cstheme="minorHAnsi"/>
          <w:spacing w:val="-6"/>
          <w:w w:val="121"/>
        </w:rPr>
        <w:t>,</w:t>
      </w:r>
      <w:r w:rsidRPr="009A0DA6">
        <w:rPr>
          <w:rFonts w:ascii="Cambria" w:eastAsia="Times New Roman" w:hAnsi="Cambria" w:cstheme="minorHAnsi"/>
          <w:w w:val="104"/>
        </w:rPr>
        <w:t>064</w:t>
      </w:r>
    </w:p>
    <w:p w14:paraId="3EB8F6EB" w14:textId="77777777" w:rsidR="00BA4592" w:rsidRPr="009A0DA6" w:rsidRDefault="00BA4592" w:rsidP="00E93035">
      <w:pPr>
        <w:tabs>
          <w:tab w:val="left" w:pos="3544"/>
          <w:tab w:val="right" w:pos="5529"/>
          <w:tab w:val="right" w:pos="7230"/>
          <w:tab w:val="right" w:pos="8647"/>
        </w:tabs>
        <w:spacing w:before="120" w:after="120" w:line="240" w:lineRule="auto"/>
        <w:ind w:right="-46"/>
        <w:contextualSpacing/>
        <w:rPr>
          <w:rFonts w:ascii="Cambria" w:hAnsi="Cambria" w:cstheme="minorHAnsi"/>
          <w:b/>
          <w:lang w:val="fr-FR"/>
        </w:rPr>
      </w:pPr>
      <w:r w:rsidRPr="009A0DA6">
        <w:rPr>
          <w:rFonts w:ascii="Cambria" w:hAnsi="Cambria" w:cstheme="minorHAnsi"/>
          <w:b/>
          <w:lang w:val="fr-FR"/>
        </w:rPr>
        <w:t>NON-CURRENT LIABILITIES</w:t>
      </w:r>
    </w:p>
    <w:p w14:paraId="58E5762E" w14:textId="77777777" w:rsidR="00BA4592" w:rsidRPr="009A0DA6" w:rsidRDefault="00BA4592" w:rsidP="00E93035">
      <w:pPr>
        <w:tabs>
          <w:tab w:val="left" w:pos="3544"/>
          <w:tab w:val="right" w:pos="5529"/>
          <w:tab w:val="right" w:pos="7230"/>
          <w:tab w:val="right" w:pos="8647"/>
        </w:tabs>
        <w:spacing w:before="120" w:after="120" w:line="240" w:lineRule="auto"/>
        <w:ind w:right="-46"/>
        <w:contextualSpacing/>
        <w:rPr>
          <w:rFonts w:ascii="Cambria" w:eastAsia="Times New Roman" w:hAnsi="Cambria" w:cstheme="minorHAnsi"/>
          <w:lang w:val="en-US"/>
        </w:rPr>
      </w:pPr>
      <w:r w:rsidRPr="009A0DA6">
        <w:rPr>
          <w:rFonts w:ascii="Cambria" w:hAnsi="Cambria" w:cstheme="minorHAnsi"/>
        </w:rPr>
        <w:t>Specific funds held</w:t>
      </w:r>
      <w:r w:rsidRPr="009A0DA6">
        <w:rPr>
          <w:rFonts w:ascii="Cambria" w:hAnsi="Cambria" w:cstheme="minorHAnsi"/>
        </w:rPr>
        <w:tab/>
        <w:t xml:space="preserve"> </w:t>
      </w:r>
      <w:r w:rsidRPr="009A0DA6">
        <w:rPr>
          <w:rFonts w:ascii="Cambria" w:eastAsia="Times New Roman" w:hAnsi="Cambria" w:cstheme="minorHAnsi"/>
        </w:rPr>
        <w:t>8</w:t>
      </w:r>
      <w:r w:rsidRPr="009A0DA6">
        <w:rPr>
          <w:rFonts w:ascii="Cambria" w:eastAsia="Times New Roman" w:hAnsi="Cambria" w:cstheme="minorHAnsi"/>
        </w:rPr>
        <w:tab/>
      </w:r>
      <w:r w:rsidRPr="009A0DA6">
        <w:rPr>
          <w:rFonts w:ascii="Cambria" w:eastAsia="Times New Roman" w:hAnsi="Cambria" w:cstheme="minorHAnsi"/>
          <w:spacing w:val="1"/>
        </w:rPr>
        <w:t>1,69</w:t>
      </w:r>
      <w:r w:rsidRPr="009A0DA6">
        <w:rPr>
          <w:rFonts w:ascii="Cambria" w:eastAsia="Times New Roman" w:hAnsi="Cambria" w:cstheme="minorHAnsi"/>
          <w:spacing w:val="-1"/>
        </w:rPr>
        <w:t>8</w:t>
      </w:r>
      <w:r w:rsidRPr="009A0DA6">
        <w:rPr>
          <w:rFonts w:ascii="Cambria" w:eastAsia="Times New Roman" w:hAnsi="Cambria" w:cstheme="minorHAnsi"/>
          <w:spacing w:val="1"/>
        </w:rPr>
        <w:t>,1</w:t>
      </w:r>
      <w:r w:rsidRPr="009A0DA6">
        <w:rPr>
          <w:rFonts w:ascii="Cambria" w:eastAsia="Times New Roman" w:hAnsi="Cambria" w:cstheme="minorHAnsi"/>
          <w:spacing w:val="-1"/>
        </w:rPr>
        <w:t>7</w:t>
      </w:r>
      <w:r w:rsidRPr="009A0DA6">
        <w:rPr>
          <w:rFonts w:ascii="Cambria" w:eastAsia="Times New Roman" w:hAnsi="Cambria" w:cstheme="minorHAnsi"/>
        </w:rPr>
        <w:t>5</w:t>
      </w:r>
      <w:r w:rsidRPr="009A0DA6">
        <w:rPr>
          <w:rFonts w:ascii="Cambria" w:eastAsia="Times New Roman" w:hAnsi="Cambria" w:cstheme="minorHAnsi"/>
        </w:rPr>
        <w:tab/>
      </w:r>
      <w:r w:rsidRPr="009A0DA6">
        <w:rPr>
          <w:rFonts w:ascii="Cambria" w:eastAsia="Times New Roman" w:hAnsi="Cambria" w:cstheme="minorHAnsi"/>
          <w:spacing w:val="1"/>
        </w:rPr>
        <w:t>1,46</w:t>
      </w:r>
      <w:r w:rsidRPr="009A0DA6">
        <w:rPr>
          <w:rFonts w:ascii="Cambria" w:eastAsia="Times New Roman" w:hAnsi="Cambria" w:cstheme="minorHAnsi"/>
          <w:spacing w:val="-1"/>
        </w:rPr>
        <w:t>1</w:t>
      </w:r>
      <w:r w:rsidRPr="009A0DA6">
        <w:rPr>
          <w:rFonts w:ascii="Cambria" w:eastAsia="Times New Roman" w:hAnsi="Cambria" w:cstheme="minorHAnsi"/>
          <w:spacing w:val="1"/>
        </w:rPr>
        <w:t>,5</w:t>
      </w:r>
      <w:r w:rsidRPr="009A0DA6">
        <w:rPr>
          <w:rFonts w:ascii="Cambria" w:eastAsia="Times New Roman" w:hAnsi="Cambria" w:cstheme="minorHAnsi"/>
          <w:spacing w:val="-1"/>
        </w:rPr>
        <w:t>4</w:t>
      </w:r>
      <w:r w:rsidRPr="009A0DA6">
        <w:rPr>
          <w:rFonts w:ascii="Cambria" w:eastAsia="Times New Roman" w:hAnsi="Cambria" w:cstheme="minorHAnsi"/>
        </w:rPr>
        <w:t>2</w:t>
      </w:r>
      <w:r w:rsidRPr="009A0DA6">
        <w:rPr>
          <w:rFonts w:ascii="Cambria" w:eastAsia="Times New Roman" w:hAnsi="Cambria" w:cstheme="minorHAnsi"/>
        </w:rPr>
        <w:tab/>
      </w:r>
      <w:r w:rsidRPr="009A0DA6">
        <w:rPr>
          <w:rFonts w:ascii="Cambria" w:eastAsia="Times New Roman" w:hAnsi="Cambria" w:cstheme="minorHAnsi"/>
          <w:w w:val="104"/>
        </w:rPr>
        <w:t>1,580,694</w:t>
      </w:r>
    </w:p>
    <w:p w14:paraId="75F3A743" w14:textId="77777777" w:rsidR="00BA4592" w:rsidRPr="009A0DA6" w:rsidRDefault="00BA4592" w:rsidP="00E93035">
      <w:pPr>
        <w:tabs>
          <w:tab w:val="left" w:pos="3544"/>
          <w:tab w:val="right" w:pos="5529"/>
          <w:tab w:val="right" w:pos="7230"/>
          <w:tab w:val="right" w:pos="8647"/>
        </w:tabs>
        <w:spacing w:before="120" w:after="120" w:line="240" w:lineRule="auto"/>
        <w:ind w:right="-46"/>
        <w:contextualSpacing/>
        <w:rPr>
          <w:rFonts w:ascii="Cambria" w:eastAsiaTheme="minorEastAsia" w:hAnsi="Cambria" w:cstheme="minorHAnsi"/>
        </w:rPr>
      </w:pPr>
      <w:r w:rsidRPr="009A0DA6">
        <w:rPr>
          <w:rFonts w:ascii="Cambria" w:eastAsia="Times New Roman" w:hAnsi="Cambria" w:cstheme="minorHAnsi"/>
          <w:spacing w:val="2"/>
        </w:rPr>
        <w:t>P</w:t>
      </w:r>
      <w:r w:rsidRPr="009A0DA6">
        <w:rPr>
          <w:rFonts w:ascii="Cambria" w:eastAsia="Times New Roman" w:hAnsi="Cambria" w:cstheme="minorHAnsi"/>
          <w:spacing w:val="1"/>
        </w:rPr>
        <w:t>ro</w:t>
      </w:r>
      <w:r w:rsidRPr="009A0DA6">
        <w:rPr>
          <w:rFonts w:ascii="Cambria" w:eastAsia="Times New Roman" w:hAnsi="Cambria" w:cstheme="minorHAnsi"/>
          <w:spacing w:val="-1"/>
        </w:rPr>
        <w:t>v</w:t>
      </w:r>
      <w:r w:rsidRPr="009A0DA6">
        <w:rPr>
          <w:rFonts w:ascii="Cambria" w:eastAsia="Times New Roman" w:hAnsi="Cambria" w:cstheme="minorHAnsi"/>
        </w:rPr>
        <w:t>i</w:t>
      </w:r>
      <w:r w:rsidRPr="009A0DA6">
        <w:rPr>
          <w:rFonts w:ascii="Cambria" w:eastAsia="Times New Roman" w:hAnsi="Cambria" w:cstheme="minorHAnsi"/>
          <w:spacing w:val="-1"/>
        </w:rPr>
        <w:t>s</w:t>
      </w:r>
      <w:r w:rsidRPr="009A0DA6">
        <w:rPr>
          <w:rFonts w:ascii="Cambria" w:eastAsia="Times New Roman" w:hAnsi="Cambria" w:cstheme="minorHAnsi"/>
        </w:rPr>
        <w:t>i</w:t>
      </w:r>
      <w:r w:rsidRPr="009A0DA6">
        <w:rPr>
          <w:rFonts w:ascii="Cambria" w:eastAsia="Times New Roman" w:hAnsi="Cambria" w:cstheme="minorHAnsi"/>
          <w:spacing w:val="1"/>
        </w:rPr>
        <w:t>o</w:t>
      </w:r>
      <w:r w:rsidRPr="009A0DA6">
        <w:rPr>
          <w:rFonts w:ascii="Cambria" w:eastAsia="Times New Roman" w:hAnsi="Cambria" w:cstheme="minorHAnsi"/>
          <w:spacing w:val="-1"/>
        </w:rPr>
        <w:t>n</w:t>
      </w:r>
      <w:r w:rsidRPr="009A0DA6">
        <w:rPr>
          <w:rFonts w:ascii="Cambria" w:eastAsia="Times New Roman" w:hAnsi="Cambria" w:cstheme="minorHAnsi"/>
        </w:rPr>
        <w:t>s</w:t>
      </w:r>
      <w:r w:rsidRPr="009A0DA6">
        <w:rPr>
          <w:rFonts w:ascii="Cambria" w:eastAsia="Times New Roman" w:hAnsi="Cambria" w:cstheme="minorHAnsi"/>
        </w:rPr>
        <w:tab/>
        <w:t xml:space="preserve"> 9</w:t>
      </w:r>
      <w:r w:rsidRPr="009A0DA6">
        <w:rPr>
          <w:rFonts w:ascii="Cambria" w:eastAsia="Times New Roman" w:hAnsi="Cambria" w:cstheme="minorHAnsi"/>
        </w:rPr>
        <w:tab/>
      </w:r>
      <w:r w:rsidRPr="009A0DA6">
        <w:rPr>
          <w:rFonts w:ascii="Cambria" w:eastAsia="Times New Roman" w:hAnsi="Cambria" w:cstheme="minorHAnsi"/>
          <w:spacing w:val="1"/>
        </w:rPr>
        <w:t>759,</w:t>
      </w:r>
      <w:r w:rsidRPr="009A0DA6">
        <w:rPr>
          <w:rFonts w:ascii="Cambria" w:eastAsia="Times New Roman" w:hAnsi="Cambria" w:cstheme="minorHAnsi"/>
          <w:spacing w:val="-1"/>
        </w:rPr>
        <w:t>9</w:t>
      </w:r>
      <w:r w:rsidRPr="009A0DA6">
        <w:rPr>
          <w:rFonts w:ascii="Cambria" w:eastAsia="Times New Roman" w:hAnsi="Cambria" w:cstheme="minorHAnsi"/>
          <w:spacing w:val="1"/>
        </w:rPr>
        <w:t>5</w:t>
      </w:r>
      <w:r w:rsidRPr="009A0DA6">
        <w:rPr>
          <w:rFonts w:ascii="Cambria" w:eastAsia="Times New Roman" w:hAnsi="Cambria" w:cstheme="minorHAnsi"/>
        </w:rPr>
        <w:t>4</w:t>
      </w:r>
      <w:r w:rsidRPr="009A0DA6">
        <w:rPr>
          <w:rFonts w:ascii="Cambria" w:eastAsia="Times New Roman" w:hAnsi="Cambria" w:cstheme="minorHAnsi"/>
        </w:rPr>
        <w:tab/>
      </w:r>
      <w:r w:rsidRPr="009A0DA6">
        <w:rPr>
          <w:rFonts w:ascii="Cambria" w:eastAsia="Times New Roman" w:hAnsi="Cambria" w:cstheme="minorHAnsi"/>
          <w:spacing w:val="1"/>
        </w:rPr>
        <w:t>686,</w:t>
      </w:r>
      <w:r w:rsidRPr="009A0DA6">
        <w:rPr>
          <w:rFonts w:ascii="Cambria" w:eastAsia="Times New Roman" w:hAnsi="Cambria" w:cstheme="minorHAnsi"/>
          <w:spacing w:val="-1"/>
        </w:rPr>
        <w:t>1</w:t>
      </w:r>
      <w:r w:rsidRPr="009A0DA6">
        <w:rPr>
          <w:rFonts w:ascii="Cambria" w:eastAsia="Times New Roman" w:hAnsi="Cambria" w:cstheme="minorHAnsi"/>
          <w:spacing w:val="1"/>
        </w:rPr>
        <w:t>4</w:t>
      </w:r>
      <w:r w:rsidRPr="009A0DA6">
        <w:rPr>
          <w:rFonts w:ascii="Cambria" w:eastAsia="Times New Roman" w:hAnsi="Cambria" w:cstheme="minorHAnsi"/>
        </w:rPr>
        <w:t>2</w:t>
      </w:r>
      <w:r w:rsidRPr="009A0DA6">
        <w:rPr>
          <w:rFonts w:ascii="Cambria" w:eastAsia="Times New Roman" w:hAnsi="Cambria" w:cstheme="minorHAnsi"/>
        </w:rPr>
        <w:tab/>
      </w:r>
      <w:r w:rsidRPr="009A0DA6">
        <w:rPr>
          <w:rFonts w:ascii="Cambria" w:eastAsia="Times New Roman" w:hAnsi="Cambria" w:cstheme="minorHAnsi"/>
          <w:w w:val="104"/>
        </w:rPr>
        <w:t>640,645</w:t>
      </w:r>
    </w:p>
    <w:p w14:paraId="1F64AC67" w14:textId="77777777" w:rsidR="00BA4592" w:rsidRPr="009A0DA6" w:rsidRDefault="00BA4592" w:rsidP="00E93035">
      <w:pPr>
        <w:tabs>
          <w:tab w:val="left" w:pos="3544"/>
          <w:tab w:val="right" w:pos="5529"/>
          <w:tab w:val="right" w:pos="7230"/>
          <w:tab w:val="right" w:pos="8647"/>
        </w:tabs>
        <w:spacing w:before="120" w:after="120" w:line="240" w:lineRule="auto"/>
        <w:ind w:right="-46"/>
        <w:contextualSpacing/>
        <w:rPr>
          <w:rFonts w:ascii="Cambria" w:hAnsi="Cambria" w:cstheme="minorHAnsi"/>
        </w:rPr>
      </w:pPr>
      <w:r w:rsidRPr="009A0DA6">
        <w:rPr>
          <w:rFonts w:ascii="Cambria" w:eastAsia="Times New Roman" w:hAnsi="Cambria" w:cstheme="minorHAnsi"/>
          <w:spacing w:val="2"/>
        </w:rPr>
        <w:t>B</w:t>
      </w:r>
      <w:r w:rsidRPr="009A0DA6">
        <w:rPr>
          <w:rFonts w:ascii="Cambria" w:eastAsia="Times New Roman" w:hAnsi="Cambria" w:cstheme="minorHAnsi"/>
          <w:spacing w:val="1"/>
        </w:rPr>
        <w:t>or</w:t>
      </w:r>
      <w:r w:rsidRPr="009A0DA6">
        <w:rPr>
          <w:rFonts w:ascii="Cambria" w:eastAsia="Times New Roman" w:hAnsi="Cambria" w:cstheme="minorHAnsi"/>
          <w:spacing w:val="-1"/>
        </w:rPr>
        <w:t>r</w:t>
      </w:r>
      <w:r w:rsidRPr="009A0DA6">
        <w:rPr>
          <w:rFonts w:ascii="Cambria" w:eastAsia="Times New Roman" w:hAnsi="Cambria" w:cstheme="minorHAnsi"/>
          <w:spacing w:val="4"/>
        </w:rPr>
        <w:t>o</w:t>
      </w:r>
      <w:r w:rsidRPr="009A0DA6">
        <w:rPr>
          <w:rFonts w:ascii="Cambria" w:eastAsia="Times New Roman" w:hAnsi="Cambria" w:cstheme="minorHAnsi"/>
          <w:spacing w:val="-5"/>
        </w:rPr>
        <w:t>w</w:t>
      </w:r>
      <w:r w:rsidRPr="009A0DA6">
        <w:rPr>
          <w:rFonts w:ascii="Cambria" w:eastAsia="Times New Roman" w:hAnsi="Cambria" w:cstheme="minorHAnsi"/>
        </w:rPr>
        <w:t>i</w:t>
      </w:r>
      <w:r w:rsidRPr="009A0DA6">
        <w:rPr>
          <w:rFonts w:ascii="Cambria" w:eastAsia="Times New Roman" w:hAnsi="Cambria" w:cstheme="minorHAnsi"/>
          <w:spacing w:val="1"/>
        </w:rPr>
        <w:t>ng</w:t>
      </w:r>
      <w:r w:rsidRPr="009A0DA6">
        <w:rPr>
          <w:rFonts w:ascii="Cambria" w:eastAsia="Times New Roman" w:hAnsi="Cambria" w:cstheme="minorHAnsi"/>
        </w:rPr>
        <w:t>s</w:t>
      </w:r>
      <w:r w:rsidRPr="009A0DA6">
        <w:rPr>
          <w:rFonts w:ascii="Cambria" w:eastAsia="Times New Roman" w:hAnsi="Cambria" w:cstheme="minorHAnsi"/>
        </w:rPr>
        <w:tab/>
        <w:t>10</w:t>
      </w:r>
      <w:r w:rsidRPr="009A0DA6">
        <w:rPr>
          <w:rFonts w:ascii="Cambria" w:eastAsia="Times New Roman" w:hAnsi="Cambria" w:cstheme="minorHAnsi"/>
        </w:rPr>
        <w:tab/>
      </w:r>
      <w:r w:rsidRPr="009A0DA6">
        <w:rPr>
          <w:rFonts w:ascii="Cambria" w:eastAsia="Times New Roman" w:hAnsi="Cambria" w:cstheme="minorHAnsi"/>
          <w:spacing w:val="1"/>
        </w:rPr>
        <w:t>88,6</w:t>
      </w:r>
      <w:r w:rsidRPr="009A0DA6">
        <w:rPr>
          <w:rFonts w:ascii="Cambria" w:eastAsia="Times New Roman" w:hAnsi="Cambria" w:cstheme="minorHAnsi"/>
          <w:spacing w:val="-1"/>
        </w:rPr>
        <w:t>8</w:t>
      </w:r>
      <w:r w:rsidRPr="009A0DA6">
        <w:rPr>
          <w:rFonts w:ascii="Cambria" w:eastAsia="Times New Roman" w:hAnsi="Cambria" w:cstheme="minorHAnsi"/>
        </w:rPr>
        <w:t>2</w:t>
      </w:r>
      <w:r w:rsidRPr="009A0DA6">
        <w:rPr>
          <w:rFonts w:ascii="Cambria" w:eastAsia="Times New Roman" w:hAnsi="Cambria" w:cstheme="minorHAnsi"/>
        </w:rPr>
        <w:tab/>
      </w:r>
      <w:r w:rsidRPr="009A0DA6">
        <w:rPr>
          <w:rFonts w:ascii="Cambria" w:eastAsia="Times New Roman" w:hAnsi="Cambria" w:cstheme="minorHAnsi"/>
          <w:spacing w:val="1"/>
        </w:rPr>
        <w:t>82,5</w:t>
      </w:r>
      <w:r w:rsidRPr="009A0DA6">
        <w:rPr>
          <w:rFonts w:ascii="Cambria" w:eastAsia="Times New Roman" w:hAnsi="Cambria" w:cstheme="minorHAnsi"/>
          <w:spacing w:val="-1"/>
        </w:rPr>
        <w:t>0</w:t>
      </w:r>
      <w:r w:rsidRPr="009A0DA6">
        <w:rPr>
          <w:rFonts w:ascii="Cambria" w:eastAsia="Times New Roman" w:hAnsi="Cambria" w:cstheme="minorHAnsi"/>
        </w:rPr>
        <w:t>0</w:t>
      </w:r>
      <w:r w:rsidRPr="009A0DA6">
        <w:rPr>
          <w:rFonts w:ascii="Cambria" w:eastAsia="Times New Roman" w:hAnsi="Cambria" w:cstheme="minorHAnsi"/>
        </w:rPr>
        <w:tab/>
      </w:r>
      <w:r w:rsidRPr="009A0DA6">
        <w:rPr>
          <w:rFonts w:ascii="Cambria" w:eastAsia="Times New Roman" w:hAnsi="Cambria" w:cstheme="minorHAnsi"/>
          <w:w w:val="104"/>
        </w:rPr>
        <w:t>100,000</w:t>
      </w:r>
    </w:p>
    <w:p w14:paraId="7436B705" w14:textId="77777777" w:rsidR="00BA4592" w:rsidRPr="009A0DA6" w:rsidRDefault="00BA4592" w:rsidP="00E93035">
      <w:pPr>
        <w:tabs>
          <w:tab w:val="left" w:pos="3544"/>
          <w:tab w:val="right" w:pos="5529"/>
          <w:tab w:val="right" w:pos="7230"/>
          <w:tab w:val="right" w:pos="8647"/>
        </w:tabs>
        <w:spacing w:before="120" w:after="120" w:line="240" w:lineRule="auto"/>
        <w:ind w:right="-46"/>
        <w:contextualSpacing/>
        <w:rPr>
          <w:rFonts w:ascii="Cambria" w:hAnsi="Cambria" w:cstheme="minorHAnsi"/>
          <w:b/>
          <w:lang w:val="fr-FR"/>
        </w:rPr>
      </w:pPr>
      <w:r w:rsidRPr="009A0DA6">
        <w:rPr>
          <w:rFonts w:ascii="Cambria" w:hAnsi="Cambria" w:cstheme="minorHAnsi"/>
          <w:b/>
          <w:lang w:val="fr-FR"/>
        </w:rPr>
        <w:t>TOTAL NON-CURRENT LIABILITIES</w:t>
      </w:r>
      <w:r w:rsidRPr="009A0DA6">
        <w:rPr>
          <w:rFonts w:ascii="Cambria" w:hAnsi="Cambria" w:cstheme="minorHAnsi"/>
          <w:b/>
          <w:lang w:val="fr-FR"/>
        </w:rPr>
        <w:tab/>
      </w:r>
      <w:r w:rsidRPr="009A0DA6">
        <w:rPr>
          <w:rFonts w:ascii="Cambria" w:hAnsi="Cambria" w:cstheme="minorHAnsi"/>
          <w:b/>
          <w:lang w:val="fr-FR"/>
        </w:rPr>
        <w:tab/>
      </w:r>
      <w:r w:rsidRPr="009A0DA6">
        <w:rPr>
          <w:rFonts w:ascii="Cambria" w:eastAsia="Times New Roman" w:hAnsi="Cambria" w:cstheme="minorHAnsi"/>
          <w:b/>
          <w:spacing w:val="1"/>
        </w:rPr>
        <w:t>2,54</w:t>
      </w:r>
      <w:r w:rsidRPr="009A0DA6">
        <w:rPr>
          <w:rFonts w:ascii="Cambria" w:eastAsia="Times New Roman" w:hAnsi="Cambria" w:cstheme="minorHAnsi"/>
          <w:b/>
          <w:spacing w:val="-1"/>
        </w:rPr>
        <w:t>6</w:t>
      </w:r>
      <w:r w:rsidRPr="009A0DA6">
        <w:rPr>
          <w:rFonts w:ascii="Cambria" w:eastAsia="Times New Roman" w:hAnsi="Cambria" w:cstheme="minorHAnsi"/>
          <w:b/>
          <w:spacing w:val="1"/>
        </w:rPr>
        <w:t>,8</w:t>
      </w:r>
      <w:r w:rsidRPr="009A0DA6">
        <w:rPr>
          <w:rFonts w:ascii="Cambria" w:eastAsia="Times New Roman" w:hAnsi="Cambria" w:cstheme="minorHAnsi"/>
          <w:b/>
          <w:spacing w:val="-1"/>
        </w:rPr>
        <w:t>1</w:t>
      </w:r>
      <w:r w:rsidRPr="009A0DA6">
        <w:rPr>
          <w:rFonts w:ascii="Cambria" w:eastAsia="Times New Roman" w:hAnsi="Cambria" w:cstheme="minorHAnsi"/>
          <w:b/>
        </w:rPr>
        <w:t>1</w:t>
      </w:r>
      <w:r w:rsidRPr="009A0DA6">
        <w:rPr>
          <w:rFonts w:ascii="Cambria" w:eastAsia="Times New Roman" w:hAnsi="Cambria" w:cstheme="minorHAnsi"/>
          <w:b/>
        </w:rPr>
        <w:tab/>
      </w:r>
      <w:r w:rsidRPr="009A0DA6">
        <w:rPr>
          <w:rFonts w:ascii="Cambria" w:eastAsia="Times New Roman" w:hAnsi="Cambria" w:cstheme="minorHAnsi"/>
          <w:b/>
          <w:spacing w:val="1"/>
        </w:rPr>
        <w:t>2,23</w:t>
      </w:r>
      <w:r w:rsidRPr="009A0DA6">
        <w:rPr>
          <w:rFonts w:ascii="Cambria" w:eastAsia="Times New Roman" w:hAnsi="Cambria" w:cstheme="minorHAnsi"/>
          <w:b/>
          <w:spacing w:val="-1"/>
        </w:rPr>
        <w:t>0</w:t>
      </w:r>
      <w:r w:rsidRPr="009A0DA6">
        <w:rPr>
          <w:rFonts w:ascii="Cambria" w:eastAsia="Times New Roman" w:hAnsi="Cambria" w:cstheme="minorHAnsi"/>
          <w:b/>
          <w:spacing w:val="1"/>
        </w:rPr>
        <w:t>,1</w:t>
      </w:r>
      <w:r w:rsidRPr="009A0DA6">
        <w:rPr>
          <w:rFonts w:ascii="Cambria" w:eastAsia="Times New Roman" w:hAnsi="Cambria" w:cstheme="minorHAnsi"/>
          <w:b/>
          <w:spacing w:val="-1"/>
        </w:rPr>
        <w:t>8</w:t>
      </w:r>
      <w:r w:rsidRPr="009A0DA6">
        <w:rPr>
          <w:rFonts w:ascii="Cambria" w:eastAsia="Times New Roman" w:hAnsi="Cambria" w:cstheme="minorHAnsi"/>
          <w:b/>
        </w:rPr>
        <w:t>4</w:t>
      </w:r>
      <w:r w:rsidRPr="009A0DA6">
        <w:rPr>
          <w:rFonts w:ascii="Cambria" w:hAnsi="Cambria" w:cstheme="minorHAnsi"/>
          <w:b/>
          <w:lang w:val="fr-FR"/>
        </w:rPr>
        <w:tab/>
      </w:r>
      <w:r w:rsidRPr="009A0DA6">
        <w:rPr>
          <w:rFonts w:ascii="Cambria" w:eastAsia="Times New Roman" w:hAnsi="Cambria" w:cstheme="minorHAnsi"/>
          <w:w w:val="106"/>
        </w:rPr>
        <w:t>2,321,339</w:t>
      </w:r>
    </w:p>
    <w:p w14:paraId="72181F38" w14:textId="77777777" w:rsidR="00BA4592" w:rsidRPr="009A0DA6" w:rsidRDefault="00BA4592" w:rsidP="00E93035">
      <w:pPr>
        <w:tabs>
          <w:tab w:val="left" w:pos="3544"/>
          <w:tab w:val="right" w:pos="5529"/>
          <w:tab w:val="right" w:pos="7230"/>
          <w:tab w:val="right" w:pos="8647"/>
        </w:tabs>
        <w:spacing w:before="120" w:after="120" w:line="240" w:lineRule="auto"/>
        <w:ind w:right="-46"/>
        <w:contextualSpacing/>
        <w:rPr>
          <w:rFonts w:ascii="Cambria" w:hAnsi="Cambria" w:cstheme="minorHAnsi"/>
          <w:b/>
          <w:lang w:val="fr-FR"/>
        </w:rPr>
      </w:pPr>
      <w:r w:rsidRPr="009A0DA6">
        <w:rPr>
          <w:rFonts w:ascii="Cambria" w:hAnsi="Cambria" w:cstheme="minorHAnsi"/>
          <w:b/>
          <w:lang w:val="fr-FR"/>
        </w:rPr>
        <w:t>TOTAL LIABILITIES</w:t>
      </w:r>
      <w:r w:rsidRPr="009A0DA6">
        <w:rPr>
          <w:rFonts w:ascii="Cambria" w:hAnsi="Cambria" w:cstheme="minorHAnsi"/>
          <w:b/>
          <w:lang w:val="fr-FR"/>
        </w:rPr>
        <w:tab/>
      </w:r>
      <w:r w:rsidRPr="009A0DA6">
        <w:rPr>
          <w:rFonts w:ascii="Cambria" w:hAnsi="Cambria" w:cstheme="minorHAnsi"/>
          <w:b/>
          <w:lang w:val="fr-FR"/>
        </w:rPr>
        <w:tab/>
      </w:r>
      <w:r w:rsidRPr="009A0DA6">
        <w:rPr>
          <w:rFonts w:ascii="Cambria" w:eastAsia="Times New Roman" w:hAnsi="Cambria" w:cstheme="minorHAnsi"/>
          <w:b/>
          <w:spacing w:val="1"/>
        </w:rPr>
        <w:t>2,81</w:t>
      </w:r>
      <w:r w:rsidRPr="009A0DA6">
        <w:rPr>
          <w:rFonts w:ascii="Cambria" w:eastAsia="Times New Roman" w:hAnsi="Cambria" w:cstheme="minorHAnsi"/>
          <w:b/>
          <w:spacing w:val="-1"/>
        </w:rPr>
        <w:t>8</w:t>
      </w:r>
      <w:r w:rsidRPr="009A0DA6">
        <w:rPr>
          <w:rFonts w:ascii="Cambria" w:eastAsia="Times New Roman" w:hAnsi="Cambria" w:cstheme="minorHAnsi"/>
          <w:b/>
          <w:spacing w:val="1"/>
        </w:rPr>
        <w:t>,3</w:t>
      </w:r>
      <w:r w:rsidRPr="009A0DA6">
        <w:rPr>
          <w:rFonts w:ascii="Cambria" w:eastAsia="Times New Roman" w:hAnsi="Cambria" w:cstheme="minorHAnsi"/>
          <w:b/>
          <w:spacing w:val="-1"/>
        </w:rPr>
        <w:t>0</w:t>
      </w:r>
      <w:r w:rsidRPr="009A0DA6">
        <w:rPr>
          <w:rFonts w:ascii="Cambria" w:eastAsia="Times New Roman" w:hAnsi="Cambria" w:cstheme="minorHAnsi"/>
          <w:b/>
        </w:rPr>
        <w:t>5</w:t>
      </w:r>
      <w:r w:rsidRPr="009A0DA6">
        <w:rPr>
          <w:rFonts w:ascii="Cambria" w:eastAsia="Times New Roman" w:hAnsi="Cambria" w:cstheme="minorHAnsi"/>
          <w:b/>
        </w:rPr>
        <w:tab/>
      </w:r>
      <w:r w:rsidRPr="009A0DA6">
        <w:rPr>
          <w:rFonts w:ascii="Cambria" w:eastAsia="Times New Roman" w:hAnsi="Cambria" w:cstheme="minorHAnsi"/>
          <w:b/>
          <w:spacing w:val="1"/>
        </w:rPr>
        <w:t>2,64</w:t>
      </w:r>
      <w:r w:rsidRPr="009A0DA6">
        <w:rPr>
          <w:rFonts w:ascii="Cambria" w:eastAsia="Times New Roman" w:hAnsi="Cambria" w:cstheme="minorHAnsi"/>
          <w:b/>
          <w:spacing w:val="-1"/>
        </w:rPr>
        <w:t>6</w:t>
      </w:r>
      <w:r w:rsidRPr="009A0DA6">
        <w:rPr>
          <w:rFonts w:ascii="Cambria" w:eastAsia="Times New Roman" w:hAnsi="Cambria" w:cstheme="minorHAnsi"/>
          <w:b/>
          <w:spacing w:val="1"/>
        </w:rPr>
        <w:t>,0</w:t>
      </w:r>
      <w:r w:rsidRPr="009A0DA6">
        <w:rPr>
          <w:rFonts w:ascii="Cambria" w:eastAsia="Times New Roman" w:hAnsi="Cambria" w:cstheme="minorHAnsi"/>
          <w:b/>
          <w:spacing w:val="-1"/>
        </w:rPr>
        <w:t>8</w:t>
      </w:r>
      <w:r w:rsidRPr="009A0DA6">
        <w:rPr>
          <w:rFonts w:ascii="Cambria" w:eastAsia="Times New Roman" w:hAnsi="Cambria" w:cstheme="minorHAnsi"/>
          <w:b/>
        </w:rPr>
        <w:t>7</w:t>
      </w:r>
      <w:r w:rsidRPr="009A0DA6">
        <w:rPr>
          <w:rFonts w:ascii="Cambria" w:hAnsi="Cambria" w:cstheme="minorHAnsi"/>
          <w:b/>
          <w:lang w:val="fr-FR"/>
        </w:rPr>
        <w:tab/>
      </w:r>
      <w:r w:rsidRPr="009A0DA6">
        <w:rPr>
          <w:rFonts w:ascii="Cambria" w:eastAsia="Times New Roman" w:hAnsi="Cambria" w:cstheme="minorHAnsi"/>
          <w:w w:val="107"/>
        </w:rPr>
        <w:t>2,482,403</w:t>
      </w:r>
    </w:p>
    <w:p w14:paraId="22729078" w14:textId="77777777" w:rsidR="00BA4592" w:rsidRPr="009A0DA6" w:rsidRDefault="00BA4592" w:rsidP="00E93035">
      <w:pPr>
        <w:tabs>
          <w:tab w:val="left" w:pos="3544"/>
          <w:tab w:val="right" w:pos="5529"/>
          <w:tab w:val="right" w:pos="7230"/>
          <w:tab w:val="right" w:pos="8647"/>
        </w:tabs>
        <w:spacing w:before="120" w:after="120" w:line="240" w:lineRule="auto"/>
        <w:ind w:right="-46"/>
        <w:contextualSpacing/>
        <w:rPr>
          <w:rFonts w:ascii="Cambria" w:hAnsi="Cambria" w:cstheme="minorHAnsi"/>
          <w:b/>
          <w:lang w:val="en-US"/>
        </w:rPr>
      </w:pPr>
      <w:r w:rsidRPr="009A0DA6">
        <w:rPr>
          <w:rFonts w:ascii="Cambria" w:hAnsi="Cambria" w:cstheme="minorHAnsi"/>
          <w:b/>
        </w:rPr>
        <w:t>NET ASSETS</w:t>
      </w:r>
      <w:r w:rsidRPr="009A0DA6">
        <w:rPr>
          <w:rFonts w:ascii="Cambria" w:hAnsi="Cambria" w:cstheme="minorHAnsi"/>
          <w:b/>
        </w:rPr>
        <w:tab/>
      </w:r>
      <w:r w:rsidRPr="009A0DA6">
        <w:rPr>
          <w:rFonts w:ascii="Cambria" w:hAnsi="Cambria" w:cstheme="minorHAnsi"/>
          <w:b/>
        </w:rPr>
        <w:tab/>
        <w:t>$</w:t>
      </w:r>
      <w:r w:rsidRPr="009A0DA6">
        <w:rPr>
          <w:rFonts w:ascii="Cambria" w:eastAsia="Times New Roman" w:hAnsi="Cambria" w:cstheme="minorHAnsi"/>
          <w:b/>
          <w:spacing w:val="1"/>
        </w:rPr>
        <w:t>13,4</w:t>
      </w:r>
      <w:r w:rsidRPr="009A0DA6">
        <w:rPr>
          <w:rFonts w:ascii="Cambria" w:eastAsia="Times New Roman" w:hAnsi="Cambria" w:cstheme="minorHAnsi"/>
          <w:b/>
          <w:spacing w:val="-1"/>
        </w:rPr>
        <w:t>7</w:t>
      </w:r>
      <w:r w:rsidRPr="009A0DA6">
        <w:rPr>
          <w:rFonts w:ascii="Cambria" w:eastAsia="Times New Roman" w:hAnsi="Cambria" w:cstheme="minorHAnsi"/>
          <w:b/>
          <w:spacing w:val="1"/>
        </w:rPr>
        <w:t>9,</w:t>
      </w:r>
      <w:r w:rsidRPr="009A0DA6">
        <w:rPr>
          <w:rFonts w:ascii="Cambria" w:eastAsia="Times New Roman" w:hAnsi="Cambria" w:cstheme="minorHAnsi"/>
          <w:b/>
          <w:spacing w:val="-1"/>
        </w:rPr>
        <w:t>4</w:t>
      </w:r>
      <w:r w:rsidRPr="009A0DA6">
        <w:rPr>
          <w:rFonts w:ascii="Cambria" w:eastAsia="Times New Roman" w:hAnsi="Cambria" w:cstheme="minorHAnsi"/>
          <w:b/>
          <w:spacing w:val="1"/>
        </w:rPr>
        <w:t>2</w:t>
      </w:r>
      <w:r w:rsidRPr="009A0DA6">
        <w:rPr>
          <w:rFonts w:ascii="Cambria" w:eastAsia="Times New Roman" w:hAnsi="Cambria" w:cstheme="minorHAnsi"/>
          <w:b/>
        </w:rPr>
        <w:t>1</w:t>
      </w:r>
      <w:r w:rsidRPr="009A0DA6">
        <w:rPr>
          <w:rFonts w:ascii="Cambria" w:eastAsia="Times New Roman" w:hAnsi="Cambria" w:cstheme="minorHAnsi"/>
          <w:b/>
          <w:spacing w:val="-41"/>
        </w:rPr>
        <w:t xml:space="preserve"> </w:t>
      </w:r>
      <w:r w:rsidRPr="009A0DA6">
        <w:rPr>
          <w:rFonts w:ascii="Cambria" w:eastAsia="Times New Roman" w:hAnsi="Cambria" w:cstheme="minorHAnsi"/>
          <w:b/>
        </w:rPr>
        <w:tab/>
        <w:t>$</w:t>
      </w:r>
      <w:r w:rsidRPr="009A0DA6">
        <w:rPr>
          <w:rFonts w:ascii="Cambria" w:eastAsia="Times New Roman" w:hAnsi="Cambria" w:cstheme="minorHAnsi"/>
          <w:b/>
          <w:spacing w:val="1"/>
        </w:rPr>
        <w:t>13,7</w:t>
      </w:r>
      <w:r w:rsidRPr="009A0DA6">
        <w:rPr>
          <w:rFonts w:ascii="Cambria" w:eastAsia="Times New Roman" w:hAnsi="Cambria" w:cstheme="minorHAnsi"/>
          <w:b/>
          <w:spacing w:val="-1"/>
        </w:rPr>
        <w:t>6</w:t>
      </w:r>
      <w:r w:rsidRPr="009A0DA6">
        <w:rPr>
          <w:rFonts w:ascii="Cambria" w:eastAsia="Times New Roman" w:hAnsi="Cambria" w:cstheme="minorHAnsi"/>
          <w:b/>
          <w:spacing w:val="1"/>
        </w:rPr>
        <w:t>1,</w:t>
      </w:r>
      <w:r w:rsidRPr="009A0DA6">
        <w:rPr>
          <w:rFonts w:ascii="Cambria" w:eastAsia="Times New Roman" w:hAnsi="Cambria" w:cstheme="minorHAnsi"/>
          <w:b/>
          <w:spacing w:val="-1"/>
        </w:rPr>
        <w:t>4</w:t>
      </w:r>
      <w:r w:rsidRPr="009A0DA6">
        <w:rPr>
          <w:rFonts w:ascii="Cambria" w:eastAsia="Times New Roman" w:hAnsi="Cambria" w:cstheme="minorHAnsi"/>
          <w:b/>
          <w:spacing w:val="1"/>
        </w:rPr>
        <w:t>2</w:t>
      </w:r>
      <w:r w:rsidRPr="009A0DA6">
        <w:rPr>
          <w:rFonts w:ascii="Cambria" w:eastAsia="Times New Roman" w:hAnsi="Cambria" w:cstheme="minorHAnsi"/>
          <w:b/>
        </w:rPr>
        <w:t>9</w:t>
      </w:r>
      <w:r w:rsidRPr="009A0DA6">
        <w:rPr>
          <w:rFonts w:ascii="Cambria" w:eastAsia="Times New Roman" w:hAnsi="Cambria" w:cstheme="minorHAnsi"/>
          <w:b/>
        </w:rPr>
        <w:tab/>
      </w:r>
      <w:r w:rsidRPr="009A0DA6">
        <w:rPr>
          <w:rFonts w:ascii="Cambria" w:eastAsia="Times New Roman" w:hAnsi="Cambria" w:cstheme="minorHAnsi"/>
          <w:w w:val="106"/>
        </w:rPr>
        <w:t>12.841.174</w:t>
      </w:r>
    </w:p>
    <w:p w14:paraId="201D1F71" w14:textId="77777777" w:rsidR="00BA4592" w:rsidRPr="009A0DA6" w:rsidRDefault="00BA4592" w:rsidP="00E93035">
      <w:pPr>
        <w:tabs>
          <w:tab w:val="left" w:pos="3544"/>
          <w:tab w:val="right" w:pos="5529"/>
          <w:tab w:val="right" w:pos="7230"/>
          <w:tab w:val="right" w:pos="8647"/>
        </w:tabs>
        <w:spacing w:before="120" w:after="120" w:line="240" w:lineRule="auto"/>
        <w:ind w:right="-46"/>
        <w:contextualSpacing/>
        <w:rPr>
          <w:rFonts w:ascii="Cambria" w:hAnsi="Cambria" w:cstheme="minorHAnsi"/>
          <w:b/>
        </w:rPr>
      </w:pPr>
      <w:r w:rsidRPr="009A0DA6">
        <w:rPr>
          <w:rFonts w:ascii="Cambria" w:hAnsi="Cambria" w:cstheme="minorHAnsi"/>
          <w:b/>
        </w:rPr>
        <w:t>EQUITY</w:t>
      </w:r>
    </w:p>
    <w:p w14:paraId="184BEF58" w14:textId="77777777" w:rsidR="00BA4592" w:rsidRPr="009A0DA6" w:rsidRDefault="00BA4592" w:rsidP="00E93035">
      <w:pPr>
        <w:tabs>
          <w:tab w:val="left" w:pos="3544"/>
          <w:tab w:val="right" w:pos="5529"/>
          <w:tab w:val="right" w:pos="7230"/>
          <w:tab w:val="right" w:pos="8647"/>
        </w:tabs>
        <w:spacing w:before="120" w:after="120" w:line="240" w:lineRule="auto"/>
        <w:ind w:right="-46"/>
        <w:contextualSpacing/>
        <w:rPr>
          <w:rFonts w:ascii="Cambria" w:hAnsi="Cambria" w:cstheme="minorHAnsi"/>
        </w:rPr>
      </w:pPr>
      <w:r w:rsidRPr="009A0DA6">
        <w:rPr>
          <w:rFonts w:ascii="Cambria" w:hAnsi="Cambria" w:cstheme="minorHAnsi"/>
        </w:rPr>
        <w:t>Accumulated Funds</w:t>
      </w:r>
      <w:r w:rsidRPr="009A0DA6">
        <w:rPr>
          <w:rFonts w:ascii="Cambria" w:hAnsi="Cambria" w:cstheme="minorHAnsi"/>
        </w:rPr>
        <w:tab/>
        <w:t>11</w:t>
      </w:r>
      <w:r w:rsidRPr="009A0DA6">
        <w:rPr>
          <w:rFonts w:ascii="Cambria" w:hAnsi="Cambria" w:cstheme="minorHAnsi"/>
        </w:rPr>
        <w:tab/>
        <w:t>3,498,987</w:t>
      </w:r>
      <w:r w:rsidRPr="009A0DA6">
        <w:rPr>
          <w:rFonts w:ascii="Cambria" w:hAnsi="Cambria" w:cstheme="minorHAnsi"/>
        </w:rPr>
        <w:tab/>
      </w:r>
      <w:r w:rsidRPr="009A0DA6">
        <w:rPr>
          <w:rFonts w:ascii="Cambria" w:eastAsia="Times New Roman" w:hAnsi="Cambria" w:cstheme="minorHAnsi"/>
          <w:spacing w:val="1"/>
        </w:rPr>
        <w:t>4,08</w:t>
      </w:r>
      <w:r w:rsidRPr="009A0DA6">
        <w:rPr>
          <w:rFonts w:ascii="Cambria" w:eastAsia="Times New Roman" w:hAnsi="Cambria" w:cstheme="minorHAnsi"/>
          <w:spacing w:val="-1"/>
        </w:rPr>
        <w:t>2</w:t>
      </w:r>
      <w:r w:rsidRPr="009A0DA6">
        <w:rPr>
          <w:rFonts w:ascii="Cambria" w:eastAsia="Times New Roman" w:hAnsi="Cambria" w:cstheme="minorHAnsi"/>
          <w:spacing w:val="1"/>
        </w:rPr>
        <w:t>,3</w:t>
      </w:r>
      <w:r w:rsidRPr="009A0DA6">
        <w:rPr>
          <w:rFonts w:ascii="Cambria" w:eastAsia="Times New Roman" w:hAnsi="Cambria" w:cstheme="minorHAnsi"/>
          <w:spacing w:val="-1"/>
        </w:rPr>
        <w:t>2</w:t>
      </w:r>
      <w:r w:rsidRPr="009A0DA6">
        <w:rPr>
          <w:rFonts w:ascii="Cambria" w:eastAsia="Times New Roman" w:hAnsi="Cambria" w:cstheme="minorHAnsi"/>
        </w:rPr>
        <w:t>8</w:t>
      </w:r>
      <w:r w:rsidRPr="009A0DA6">
        <w:rPr>
          <w:rFonts w:ascii="Cambria" w:eastAsia="Times New Roman" w:hAnsi="Cambria" w:cstheme="minorHAnsi"/>
        </w:rPr>
        <w:tab/>
      </w:r>
      <w:r w:rsidRPr="009A0DA6">
        <w:rPr>
          <w:rFonts w:ascii="Cambria" w:eastAsia="Times New Roman" w:hAnsi="Cambria" w:cstheme="minorHAnsi"/>
          <w:spacing w:val="1"/>
        </w:rPr>
        <w:t>3,58</w:t>
      </w:r>
      <w:r w:rsidRPr="009A0DA6">
        <w:rPr>
          <w:rFonts w:ascii="Cambria" w:eastAsia="Times New Roman" w:hAnsi="Cambria" w:cstheme="minorHAnsi"/>
          <w:spacing w:val="-1"/>
        </w:rPr>
        <w:t>1</w:t>
      </w:r>
      <w:r w:rsidRPr="009A0DA6">
        <w:rPr>
          <w:rFonts w:ascii="Cambria" w:eastAsia="Times New Roman" w:hAnsi="Cambria" w:cstheme="minorHAnsi"/>
          <w:spacing w:val="1"/>
        </w:rPr>
        <w:t>,1</w:t>
      </w:r>
      <w:r w:rsidRPr="009A0DA6">
        <w:rPr>
          <w:rFonts w:ascii="Cambria" w:eastAsia="Times New Roman" w:hAnsi="Cambria" w:cstheme="minorHAnsi"/>
          <w:spacing w:val="-1"/>
        </w:rPr>
        <w:t>6</w:t>
      </w:r>
      <w:r w:rsidRPr="009A0DA6">
        <w:rPr>
          <w:rFonts w:ascii="Cambria" w:eastAsia="Times New Roman" w:hAnsi="Cambria" w:cstheme="minorHAnsi"/>
        </w:rPr>
        <w:t>4</w:t>
      </w:r>
    </w:p>
    <w:p w14:paraId="3429CCC6" w14:textId="77777777" w:rsidR="00BA4592" w:rsidRPr="009A0DA6" w:rsidRDefault="00BA4592" w:rsidP="00E93035">
      <w:pPr>
        <w:tabs>
          <w:tab w:val="left" w:pos="3544"/>
          <w:tab w:val="right" w:pos="5529"/>
          <w:tab w:val="right" w:pos="7230"/>
          <w:tab w:val="right" w:pos="8647"/>
        </w:tabs>
        <w:spacing w:before="120" w:after="120" w:line="240" w:lineRule="auto"/>
        <w:ind w:right="-46"/>
        <w:contextualSpacing/>
        <w:rPr>
          <w:rFonts w:ascii="Cambria" w:hAnsi="Cambria" w:cstheme="minorHAnsi"/>
        </w:rPr>
      </w:pPr>
      <w:r w:rsidRPr="009A0DA6">
        <w:rPr>
          <w:rFonts w:ascii="Cambria" w:hAnsi="Cambria" w:cstheme="minorHAnsi"/>
        </w:rPr>
        <w:t xml:space="preserve">Reserves </w:t>
      </w:r>
      <w:r w:rsidRPr="009A0DA6">
        <w:rPr>
          <w:rFonts w:ascii="Cambria" w:hAnsi="Cambria" w:cstheme="minorHAnsi"/>
        </w:rPr>
        <w:tab/>
        <w:t>12</w:t>
      </w:r>
      <w:r w:rsidRPr="009A0DA6">
        <w:rPr>
          <w:rFonts w:ascii="Cambria" w:hAnsi="Cambria" w:cstheme="minorHAnsi"/>
        </w:rPr>
        <w:tab/>
      </w:r>
      <w:r w:rsidRPr="009A0DA6">
        <w:rPr>
          <w:rFonts w:ascii="Cambria" w:eastAsia="Times New Roman" w:hAnsi="Cambria" w:cstheme="minorHAnsi"/>
          <w:spacing w:val="1"/>
        </w:rPr>
        <w:t>9,98</w:t>
      </w:r>
      <w:r w:rsidRPr="009A0DA6">
        <w:rPr>
          <w:rFonts w:ascii="Cambria" w:eastAsia="Times New Roman" w:hAnsi="Cambria" w:cstheme="minorHAnsi"/>
          <w:spacing w:val="-1"/>
        </w:rPr>
        <w:t>0</w:t>
      </w:r>
      <w:r w:rsidRPr="009A0DA6">
        <w:rPr>
          <w:rFonts w:ascii="Cambria" w:eastAsia="Times New Roman" w:hAnsi="Cambria" w:cstheme="minorHAnsi"/>
          <w:spacing w:val="1"/>
        </w:rPr>
        <w:t>,4</w:t>
      </w:r>
      <w:r w:rsidRPr="009A0DA6">
        <w:rPr>
          <w:rFonts w:ascii="Cambria" w:eastAsia="Times New Roman" w:hAnsi="Cambria" w:cstheme="minorHAnsi"/>
          <w:spacing w:val="-1"/>
        </w:rPr>
        <w:t>3</w:t>
      </w:r>
      <w:r w:rsidRPr="009A0DA6">
        <w:rPr>
          <w:rFonts w:ascii="Cambria" w:eastAsia="Times New Roman" w:hAnsi="Cambria" w:cstheme="minorHAnsi"/>
        </w:rPr>
        <w:t>4</w:t>
      </w:r>
      <w:r w:rsidRPr="009A0DA6">
        <w:rPr>
          <w:rFonts w:ascii="Cambria" w:eastAsia="Times New Roman" w:hAnsi="Cambria" w:cstheme="minorHAnsi"/>
        </w:rPr>
        <w:tab/>
      </w:r>
      <w:r w:rsidRPr="009A0DA6">
        <w:rPr>
          <w:rFonts w:ascii="Cambria" w:eastAsia="Times New Roman" w:hAnsi="Cambria" w:cstheme="minorHAnsi"/>
          <w:spacing w:val="1"/>
        </w:rPr>
        <w:t>9,67</w:t>
      </w:r>
      <w:r w:rsidRPr="009A0DA6">
        <w:rPr>
          <w:rFonts w:ascii="Cambria" w:eastAsia="Times New Roman" w:hAnsi="Cambria" w:cstheme="minorHAnsi"/>
          <w:spacing w:val="-1"/>
        </w:rPr>
        <w:t>9</w:t>
      </w:r>
      <w:r w:rsidRPr="009A0DA6">
        <w:rPr>
          <w:rFonts w:ascii="Cambria" w:eastAsia="Times New Roman" w:hAnsi="Cambria" w:cstheme="minorHAnsi"/>
          <w:spacing w:val="1"/>
        </w:rPr>
        <w:t>,1</w:t>
      </w:r>
      <w:r w:rsidRPr="009A0DA6">
        <w:rPr>
          <w:rFonts w:ascii="Cambria" w:eastAsia="Times New Roman" w:hAnsi="Cambria" w:cstheme="minorHAnsi"/>
          <w:spacing w:val="-1"/>
        </w:rPr>
        <w:t>0</w:t>
      </w:r>
      <w:r w:rsidRPr="009A0DA6">
        <w:rPr>
          <w:rFonts w:ascii="Cambria" w:eastAsia="Times New Roman" w:hAnsi="Cambria" w:cstheme="minorHAnsi"/>
        </w:rPr>
        <w:t>1</w:t>
      </w:r>
      <w:r w:rsidRPr="009A0DA6">
        <w:rPr>
          <w:rFonts w:ascii="Cambria" w:eastAsia="Times New Roman" w:hAnsi="Cambria" w:cstheme="minorHAnsi"/>
        </w:rPr>
        <w:tab/>
      </w:r>
      <w:r w:rsidRPr="009A0DA6">
        <w:rPr>
          <w:rFonts w:ascii="Cambria" w:eastAsia="Times New Roman" w:hAnsi="Cambria" w:cstheme="minorHAnsi"/>
          <w:w w:val="105"/>
        </w:rPr>
        <w:t>3,581,164</w:t>
      </w:r>
    </w:p>
    <w:p w14:paraId="42A19E8C" w14:textId="77777777" w:rsidR="00BA4592" w:rsidRPr="009A0DA6" w:rsidRDefault="00BA4592" w:rsidP="00E93035">
      <w:pPr>
        <w:tabs>
          <w:tab w:val="left" w:pos="3544"/>
          <w:tab w:val="right" w:pos="5529"/>
          <w:tab w:val="right" w:pos="7230"/>
          <w:tab w:val="right" w:pos="8647"/>
        </w:tabs>
        <w:spacing w:before="120" w:after="120" w:line="240" w:lineRule="auto"/>
        <w:ind w:right="-46"/>
        <w:contextualSpacing/>
        <w:rPr>
          <w:rFonts w:ascii="Cambria" w:hAnsi="Cambria" w:cstheme="minorHAnsi"/>
          <w:b/>
        </w:rPr>
      </w:pPr>
      <w:r w:rsidRPr="009A0DA6">
        <w:rPr>
          <w:rFonts w:ascii="Cambria" w:hAnsi="Cambria" w:cstheme="minorHAnsi"/>
          <w:b/>
        </w:rPr>
        <w:t>TOTAL EQUITY</w:t>
      </w:r>
      <w:r w:rsidRPr="009A0DA6">
        <w:rPr>
          <w:rFonts w:ascii="Cambria" w:hAnsi="Cambria" w:cstheme="minorHAnsi"/>
          <w:b/>
        </w:rPr>
        <w:tab/>
      </w:r>
      <w:r w:rsidRPr="009A0DA6">
        <w:rPr>
          <w:rFonts w:ascii="Cambria" w:hAnsi="Cambria" w:cstheme="minorHAnsi"/>
          <w:b/>
        </w:rPr>
        <w:tab/>
        <w:t>$</w:t>
      </w:r>
      <w:r w:rsidRPr="009A0DA6">
        <w:rPr>
          <w:rFonts w:ascii="Cambria" w:eastAsia="Times New Roman" w:hAnsi="Cambria" w:cstheme="minorHAnsi"/>
          <w:b/>
          <w:spacing w:val="1"/>
        </w:rPr>
        <w:t>13,4</w:t>
      </w:r>
      <w:r w:rsidRPr="009A0DA6">
        <w:rPr>
          <w:rFonts w:ascii="Cambria" w:eastAsia="Times New Roman" w:hAnsi="Cambria" w:cstheme="minorHAnsi"/>
          <w:b/>
          <w:spacing w:val="-1"/>
        </w:rPr>
        <w:t>7</w:t>
      </w:r>
      <w:r w:rsidRPr="009A0DA6">
        <w:rPr>
          <w:rFonts w:ascii="Cambria" w:eastAsia="Times New Roman" w:hAnsi="Cambria" w:cstheme="minorHAnsi"/>
          <w:b/>
          <w:spacing w:val="1"/>
        </w:rPr>
        <w:t>9,</w:t>
      </w:r>
      <w:r w:rsidRPr="009A0DA6">
        <w:rPr>
          <w:rFonts w:ascii="Cambria" w:eastAsia="Times New Roman" w:hAnsi="Cambria" w:cstheme="minorHAnsi"/>
          <w:b/>
          <w:spacing w:val="-1"/>
        </w:rPr>
        <w:t>4</w:t>
      </w:r>
      <w:r w:rsidRPr="009A0DA6">
        <w:rPr>
          <w:rFonts w:ascii="Cambria" w:eastAsia="Times New Roman" w:hAnsi="Cambria" w:cstheme="minorHAnsi"/>
          <w:b/>
          <w:spacing w:val="1"/>
        </w:rPr>
        <w:t>2</w:t>
      </w:r>
      <w:r w:rsidRPr="009A0DA6">
        <w:rPr>
          <w:rFonts w:ascii="Cambria" w:eastAsia="Times New Roman" w:hAnsi="Cambria" w:cstheme="minorHAnsi"/>
          <w:b/>
        </w:rPr>
        <w:t>1</w:t>
      </w:r>
      <w:r w:rsidRPr="009A0DA6">
        <w:rPr>
          <w:rFonts w:ascii="Cambria" w:eastAsia="Times New Roman" w:hAnsi="Cambria" w:cstheme="minorHAnsi"/>
          <w:b/>
          <w:spacing w:val="-41"/>
        </w:rPr>
        <w:t xml:space="preserve"> </w:t>
      </w:r>
      <w:r w:rsidRPr="009A0DA6">
        <w:rPr>
          <w:rFonts w:ascii="Cambria" w:eastAsia="Times New Roman" w:hAnsi="Cambria" w:cstheme="minorHAnsi"/>
          <w:b/>
        </w:rPr>
        <w:tab/>
        <w:t>$</w:t>
      </w:r>
      <w:r w:rsidRPr="009A0DA6">
        <w:rPr>
          <w:rFonts w:ascii="Cambria" w:eastAsia="Times New Roman" w:hAnsi="Cambria" w:cstheme="minorHAnsi"/>
          <w:b/>
          <w:spacing w:val="1"/>
        </w:rPr>
        <w:t>13,7</w:t>
      </w:r>
      <w:r w:rsidRPr="009A0DA6">
        <w:rPr>
          <w:rFonts w:ascii="Cambria" w:eastAsia="Times New Roman" w:hAnsi="Cambria" w:cstheme="minorHAnsi"/>
          <w:b/>
          <w:spacing w:val="-1"/>
        </w:rPr>
        <w:t>6</w:t>
      </w:r>
      <w:r w:rsidRPr="009A0DA6">
        <w:rPr>
          <w:rFonts w:ascii="Cambria" w:eastAsia="Times New Roman" w:hAnsi="Cambria" w:cstheme="minorHAnsi"/>
          <w:b/>
          <w:spacing w:val="1"/>
        </w:rPr>
        <w:t>1,</w:t>
      </w:r>
      <w:r w:rsidRPr="009A0DA6">
        <w:rPr>
          <w:rFonts w:ascii="Cambria" w:eastAsia="Times New Roman" w:hAnsi="Cambria" w:cstheme="minorHAnsi"/>
          <w:b/>
          <w:spacing w:val="-1"/>
        </w:rPr>
        <w:t>4</w:t>
      </w:r>
      <w:r w:rsidRPr="009A0DA6">
        <w:rPr>
          <w:rFonts w:ascii="Cambria" w:eastAsia="Times New Roman" w:hAnsi="Cambria" w:cstheme="minorHAnsi"/>
          <w:b/>
          <w:spacing w:val="1"/>
        </w:rPr>
        <w:t>2</w:t>
      </w:r>
      <w:r w:rsidRPr="009A0DA6">
        <w:rPr>
          <w:rFonts w:ascii="Cambria" w:eastAsia="Times New Roman" w:hAnsi="Cambria" w:cstheme="minorHAnsi"/>
          <w:b/>
        </w:rPr>
        <w:t>9</w:t>
      </w:r>
      <w:r w:rsidRPr="009A0DA6">
        <w:rPr>
          <w:rFonts w:ascii="Cambria" w:eastAsia="Times New Roman" w:hAnsi="Cambria" w:cstheme="minorHAnsi"/>
          <w:b/>
        </w:rPr>
        <w:tab/>
        <w:t>$12,841,174</w:t>
      </w:r>
    </w:p>
    <w:p w14:paraId="4D4C39CC" w14:textId="77777777" w:rsidR="00BA4592" w:rsidRPr="009A0DA6" w:rsidRDefault="00BA4592" w:rsidP="00E93035">
      <w:pPr>
        <w:tabs>
          <w:tab w:val="left" w:pos="3544"/>
          <w:tab w:val="right" w:pos="5529"/>
          <w:tab w:val="right" w:pos="7230"/>
          <w:tab w:val="right" w:pos="8647"/>
        </w:tabs>
        <w:spacing w:before="120" w:after="120" w:line="240" w:lineRule="auto"/>
        <w:ind w:right="-49"/>
        <w:contextualSpacing/>
        <w:rPr>
          <w:rFonts w:ascii="Cambria" w:hAnsi="Cambria" w:cstheme="minorHAnsi"/>
        </w:rPr>
      </w:pPr>
      <w:r w:rsidRPr="009A0DA6">
        <w:rPr>
          <w:rFonts w:ascii="Cambria" w:hAnsi="Cambria" w:cstheme="minorHAnsi"/>
        </w:rPr>
        <w:t>The accompanying notes form part of these financial statements</w:t>
      </w:r>
    </w:p>
    <w:p w14:paraId="70D2EAC8" w14:textId="77777777" w:rsidR="00206BF6" w:rsidRPr="00206BF6" w:rsidRDefault="00206BF6" w:rsidP="00766B14">
      <w:pPr>
        <w:pStyle w:val="NoSpacing"/>
        <w:rPr>
          <w:b/>
        </w:rPr>
      </w:pPr>
    </w:p>
    <w:p w14:paraId="3E5FA963" w14:textId="7C415125" w:rsidR="00E4168D" w:rsidRPr="009A0DA6" w:rsidRDefault="00E4168D" w:rsidP="00766B14">
      <w:pPr>
        <w:pStyle w:val="NoSpacing"/>
        <w:rPr>
          <w:b/>
        </w:rPr>
      </w:pPr>
      <w:r w:rsidRPr="009A0DA6">
        <w:rPr>
          <w:b/>
        </w:rPr>
        <w:t>STATEMENT OF CHANGES IN EQUITY</w:t>
      </w:r>
    </w:p>
    <w:p w14:paraId="76F20477" w14:textId="0D0BE8B1" w:rsidR="00E4168D" w:rsidRPr="009A0DA6" w:rsidRDefault="00E4168D" w:rsidP="00206BF6">
      <w:pPr>
        <w:pStyle w:val="NoSpacing"/>
        <w:rPr>
          <w:b/>
        </w:rPr>
      </w:pPr>
      <w:r w:rsidRPr="009A0DA6">
        <w:rPr>
          <w:b/>
        </w:rPr>
        <w:t>AS AT 31 DECEMBER 2017</w:t>
      </w:r>
    </w:p>
    <w:p w14:paraId="047B76AB" w14:textId="77777777" w:rsidR="00BA4592" w:rsidRPr="009A0DA6" w:rsidRDefault="00BA4592" w:rsidP="00206BF6">
      <w:pPr>
        <w:tabs>
          <w:tab w:val="center" w:pos="4394"/>
          <w:tab w:val="right" w:pos="5670"/>
          <w:tab w:val="right" w:pos="7088"/>
          <w:tab w:val="right" w:pos="8647"/>
        </w:tabs>
        <w:spacing w:after="0" w:line="240" w:lineRule="auto"/>
        <w:contextualSpacing/>
        <w:rPr>
          <w:rFonts w:ascii="Cambria" w:hAnsi="Cambria" w:cstheme="minorHAnsi"/>
          <w:b/>
        </w:rPr>
      </w:pPr>
      <w:r w:rsidRPr="009A0DA6">
        <w:rPr>
          <w:rFonts w:ascii="Cambria" w:hAnsi="Cambria" w:cstheme="minorHAnsi"/>
          <w:b/>
        </w:rPr>
        <w:tab/>
      </w:r>
      <w:r w:rsidRPr="009A0DA6">
        <w:rPr>
          <w:rFonts w:ascii="Cambria" w:hAnsi="Cambria" w:cstheme="minorHAnsi"/>
          <w:b/>
        </w:rPr>
        <w:tab/>
        <w:t>Accumulated</w:t>
      </w:r>
      <w:r w:rsidRPr="009A0DA6">
        <w:rPr>
          <w:rFonts w:ascii="Cambria" w:hAnsi="Cambria" w:cstheme="minorHAnsi"/>
          <w:b/>
        </w:rPr>
        <w:tab/>
      </w:r>
      <w:r w:rsidRPr="009A0DA6">
        <w:rPr>
          <w:rFonts w:ascii="Cambria" w:hAnsi="Cambria" w:cstheme="minorHAnsi"/>
          <w:b/>
        </w:rPr>
        <w:tab/>
        <w:t>Total</w:t>
      </w:r>
    </w:p>
    <w:p w14:paraId="0F8435CC" w14:textId="77777777" w:rsidR="00BA4592" w:rsidRPr="009A0DA6" w:rsidRDefault="00BA4592" w:rsidP="00E87E30">
      <w:pPr>
        <w:tabs>
          <w:tab w:val="center" w:pos="4394"/>
          <w:tab w:val="right" w:pos="5670"/>
          <w:tab w:val="right" w:pos="7088"/>
          <w:tab w:val="right" w:pos="8647"/>
        </w:tabs>
        <w:spacing w:before="120" w:after="120" w:line="240" w:lineRule="auto"/>
        <w:contextualSpacing/>
        <w:rPr>
          <w:rFonts w:ascii="Cambria" w:hAnsi="Cambria" w:cstheme="minorHAnsi"/>
          <w:b/>
        </w:rPr>
      </w:pPr>
      <w:r w:rsidRPr="009A0DA6">
        <w:rPr>
          <w:rFonts w:ascii="Cambria" w:hAnsi="Cambria" w:cstheme="minorHAnsi"/>
          <w:b/>
        </w:rPr>
        <w:tab/>
      </w:r>
      <w:r w:rsidRPr="009A0DA6">
        <w:rPr>
          <w:rFonts w:ascii="Cambria" w:hAnsi="Cambria" w:cstheme="minorHAnsi"/>
          <w:b/>
        </w:rPr>
        <w:tab/>
        <w:t>Funds</w:t>
      </w:r>
      <w:r w:rsidRPr="009A0DA6">
        <w:rPr>
          <w:rFonts w:ascii="Cambria" w:hAnsi="Cambria" w:cstheme="minorHAnsi"/>
          <w:b/>
        </w:rPr>
        <w:tab/>
        <w:t>Reserves</w:t>
      </w:r>
      <w:r w:rsidRPr="009A0DA6">
        <w:rPr>
          <w:rFonts w:ascii="Cambria" w:hAnsi="Cambria" w:cstheme="minorHAnsi"/>
          <w:b/>
        </w:rPr>
        <w:tab/>
        <w:t>Funds</w:t>
      </w:r>
    </w:p>
    <w:p w14:paraId="5E108503" w14:textId="77777777" w:rsidR="00BA4592" w:rsidRPr="009A0DA6" w:rsidRDefault="00BA4592" w:rsidP="00E87E30">
      <w:pPr>
        <w:tabs>
          <w:tab w:val="center" w:pos="4394"/>
          <w:tab w:val="right" w:pos="5670"/>
          <w:tab w:val="right" w:pos="7088"/>
          <w:tab w:val="right" w:pos="8647"/>
        </w:tabs>
        <w:spacing w:before="120" w:after="120" w:line="240" w:lineRule="auto"/>
        <w:contextualSpacing/>
        <w:rPr>
          <w:rFonts w:ascii="Cambria" w:hAnsi="Cambria" w:cstheme="minorHAnsi"/>
          <w:b/>
        </w:rPr>
      </w:pPr>
      <w:r w:rsidRPr="009A0DA6">
        <w:rPr>
          <w:rFonts w:ascii="Cambria" w:hAnsi="Cambria" w:cstheme="minorHAnsi"/>
          <w:b/>
        </w:rPr>
        <w:tab/>
      </w:r>
      <w:r w:rsidRPr="009A0DA6">
        <w:rPr>
          <w:rFonts w:ascii="Cambria" w:hAnsi="Cambria" w:cstheme="minorHAnsi"/>
          <w:b/>
        </w:rPr>
        <w:tab/>
        <w:t>$</w:t>
      </w:r>
      <w:r w:rsidRPr="009A0DA6">
        <w:rPr>
          <w:rFonts w:ascii="Cambria" w:hAnsi="Cambria" w:cstheme="minorHAnsi"/>
          <w:b/>
        </w:rPr>
        <w:tab/>
        <w:t>$</w:t>
      </w:r>
      <w:r w:rsidRPr="009A0DA6">
        <w:rPr>
          <w:rFonts w:ascii="Cambria" w:hAnsi="Cambria" w:cstheme="minorHAnsi"/>
          <w:b/>
        </w:rPr>
        <w:tab/>
        <w:t>$</w:t>
      </w:r>
    </w:p>
    <w:p w14:paraId="3ACB9CE1" w14:textId="77777777" w:rsidR="00BA4592" w:rsidRPr="009A0DA6" w:rsidRDefault="00BA4592" w:rsidP="00E87E30">
      <w:pPr>
        <w:tabs>
          <w:tab w:val="center" w:pos="4394"/>
          <w:tab w:val="right" w:pos="5670"/>
          <w:tab w:val="right" w:pos="7088"/>
          <w:tab w:val="right" w:pos="8647"/>
        </w:tabs>
        <w:spacing w:before="120" w:after="120" w:line="240" w:lineRule="auto"/>
        <w:ind w:right="-46"/>
        <w:contextualSpacing/>
        <w:rPr>
          <w:rFonts w:ascii="Cambria" w:hAnsi="Cambria" w:cstheme="minorHAnsi"/>
        </w:rPr>
      </w:pPr>
      <w:r w:rsidRPr="009A0DA6">
        <w:rPr>
          <w:rFonts w:ascii="Cambria" w:hAnsi="Cambria" w:cstheme="minorHAnsi"/>
          <w:b/>
        </w:rPr>
        <w:t>Balance as at 1 January 2015</w:t>
      </w:r>
      <w:r w:rsidRPr="009A0DA6">
        <w:rPr>
          <w:rFonts w:ascii="Cambria" w:hAnsi="Cambria" w:cstheme="minorHAnsi"/>
        </w:rPr>
        <w:tab/>
      </w:r>
      <w:r w:rsidRPr="009A0DA6">
        <w:rPr>
          <w:rFonts w:ascii="Cambria" w:hAnsi="Cambria" w:cstheme="minorHAnsi"/>
        </w:rPr>
        <w:tab/>
      </w:r>
      <w:r w:rsidRPr="009A0DA6">
        <w:rPr>
          <w:rFonts w:ascii="Cambria" w:hAnsi="Cambria" w:cstheme="minorHAnsi"/>
          <w:b/>
        </w:rPr>
        <w:t>3,250,637</w:t>
      </w:r>
      <w:r w:rsidRPr="009A0DA6">
        <w:rPr>
          <w:rFonts w:ascii="Cambria" w:hAnsi="Cambria" w:cstheme="minorHAnsi"/>
          <w:b/>
        </w:rPr>
        <w:tab/>
        <w:t>10,489,047</w:t>
      </w:r>
      <w:r w:rsidRPr="009A0DA6">
        <w:rPr>
          <w:rFonts w:ascii="Cambria" w:hAnsi="Cambria" w:cstheme="minorHAnsi"/>
          <w:b/>
        </w:rPr>
        <w:tab/>
        <w:t>13,739,684</w:t>
      </w:r>
    </w:p>
    <w:p w14:paraId="304E46F2" w14:textId="77777777" w:rsidR="00BA4592" w:rsidRPr="009A0DA6" w:rsidRDefault="00BA4592" w:rsidP="00E87E30">
      <w:pPr>
        <w:tabs>
          <w:tab w:val="center" w:pos="4394"/>
          <w:tab w:val="right" w:pos="5670"/>
          <w:tab w:val="right" w:pos="7088"/>
          <w:tab w:val="right" w:pos="8647"/>
        </w:tabs>
        <w:spacing w:before="120" w:after="120" w:line="240" w:lineRule="auto"/>
        <w:ind w:right="-46"/>
        <w:contextualSpacing/>
        <w:rPr>
          <w:rFonts w:ascii="Cambria" w:hAnsi="Cambria" w:cstheme="minorHAnsi"/>
        </w:rPr>
      </w:pPr>
      <w:r w:rsidRPr="009A0DA6">
        <w:rPr>
          <w:rFonts w:ascii="Cambria" w:hAnsi="Cambria" w:cstheme="minorHAnsi"/>
        </w:rPr>
        <w:t>Surplus (deficit)</w:t>
      </w:r>
      <w:r w:rsidRPr="009A0DA6">
        <w:rPr>
          <w:rFonts w:ascii="Cambria" w:hAnsi="Cambria" w:cstheme="minorHAnsi"/>
        </w:rPr>
        <w:tab/>
      </w:r>
      <w:r w:rsidRPr="009A0DA6">
        <w:rPr>
          <w:rFonts w:ascii="Cambria" w:hAnsi="Cambria" w:cstheme="minorHAnsi"/>
        </w:rPr>
        <w:tab/>
      </w:r>
      <w:r w:rsidRPr="009A0DA6">
        <w:rPr>
          <w:rFonts w:ascii="Cambria" w:eastAsia="Times New Roman" w:hAnsi="Cambria" w:cstheme="minorHAnsi"/>
          <w:w w:val="101"/>
        </w:rPr>
        <w:t>(71</w:t>
      </w:r>
      <w:r w:rsidRPr="009A0DA6">
        <w:rPr>
          <w:rFonts w:ascii="Cambria" w:eastAsia="Times New Roman" w:hAnsi="Cambria" w:cstheme="minorHAnsi"/>
          <w:w w:val="105"/>
        </w:rPr>
        <w:t>,533)</w:t>
      </w:r>
      <w:r w:rsidRPr="009A0DA6">
        <w:rPr>
          <w:rFonts w:ascii="Cambria" w:hAnsi="Cambria" w:cstheme="minorHAnsi"/>
        </w:rPr>
        <w:tab/>
        <w:t>0</w:t>
      </w:r>
      <w:r w:rsidRPr="009A0DA6">
        <w:rPr>
          <w:rFonts w:ascii="Cambria" w:hAnsi="Cambria" w:cstheme="minorHAnsi"/>
        </w:rPr>
        <w:tab/>
      </w:r>
      <w:r w:rsidRPr="009A0DA6">
        <w:rPr>
          <w:rFonts w:ascii="Cambria" w:eastAsia="Times New Roman" w:hAnsi="Cambria" w:cstheme="minorHAnsi"/>
          <w:w w:val="101"/>
        </w:rPr>
        <w:t>(71</w:t>
      </w:r>
      <w:r w:rsidRPr="009A0DA6">
        <w:rPr>
          <w:rFonts w:ascii="Cambria" w:eastAsia="Times New Roman" w:hAnsi="Cambria" w:cstheme="minorHAnsi"/>
          <w:spacing w:val="-28"/>
        </w:rPr>
        <w:t xml:space="preserve"> </w:t>
      </w:r>
      <w:r w:rsidRPr="009A0DA6">
        <w:rPr>
          <w:rFonts w:ascii="Cambria" w:eastAsia="Times New Roman" w:hAnsi="Cambria" w:cstheme="minorHAnsi"/>
          <w:w w:val="105"/>
        </w:rPr>
        <w:t>,533)</w:t>
      </w:r>
    </w:p>
    <w:p w14:paraId="46047846" w14:textId="77777777" w:rsidR="00BA4592" w:rsidRPr="009A0DA6" w:rsidRDefault="00BA4592" w:rsidP="00E87E30">
      <w:pPr>
        <w:tabs>
          <w:tab w:val="center" w:pos="4394"/>
          <w:tab w:val="right" w:pos="5670"/>
          <w:tab w:val="right" w:pos="7088"/>
          <w:tab w:val="right" w:pos="8647"/>
        </w:tabs>
        <w:spacing w:before="120" w:after="120" w:line="240" w:lineRule="auto"/>
        <w:ind w:right="-610"/>
        <w:contextualSpacing/>
        <w:rPr>
          <w:rFonts w:ascii="Cambria" w:hAnsi="Cambria" w:cstheme="minorHAnsi"/>
        </w:rPr>
      </w:pPr>
      <w:r w:rsidRPr="009A0DA6">
        <w:rPr>
          <w:rFonts w:ascii="Cambria" w:hAnsi="Cambria" w:cstheme="minorHAnsi"/>
        </w:rPr>
        <w:t>Net transfers between accumulated funds</w:t>
      </w:r>
    </w:p>
    <w:p w14:paraId="3486DE69" w14:textId="77777777" w:rsidR="00BA4592" w:rsidRPr="009A0DA6" w:rsidRDefault="00BA4592" w:rsidP="00E87E30">
      <w:pPr>
        <w:tabs>
          <w:tab w:val="center" w:pos="4394"/>
          <w:tab w:val="right" w:pos="5670"/>
          <w:tab w:val="right" w:pos="7088"/>
          <w:tab w:val="right" w:pos="8647"/>
        </w:tabs>
        <w:spacing w:before="120" w:after="120" w:line="240" w:lineRule="auto"/>
        <w:ind w:right="-46"/>
        <w:contextualSpacing/>
        <w:rPr>
          <w:rFonts w:ascii="Cambria" w:hAnsi="Cambria" w:cstheme="minorHAnsi"/>
        </w:rPr>
      </w:pPr>
      <w:r w:rsidRPr="009A0DA6">
        <w:rPr>
          <w:rFonts w:ascii="Cambria" w:hAnsi="Cambria" w:cstheme="minorHAnsi"/>
        </w:rPr>
        <w:t xml:space="preserve"> and reserve accounts</w:t>
      </w:r>
      <w:r w:rsidRPr="009A0DA6">
        <w:rPr>
          <w:rFonts w:ascii="Cambria" w:hAnsi="Cambria" w:cstheme="minorHAnsi"/>
        </w:rPr>
        <w:tab/>
      </w:r>
      <w:r w:rsidRPr="009A0DA6">
        <w:rPr>
          <w:rFonts w:ascii="Cambria" w:hAnsi="Cambria" w:cstheme="minorHAnsi"/>
        </w:rPr>
        <w:tab/>
      </w:r>
      <w:r w:rsidRPr="009A0DA6">
        <w:rPr>
          <w:rFonts w:ascii="Cambria" w:eastAsia="Times New Roman" w:hAnsi="Cambria" w:cstheme="minorHAnsi"/>
          <w:w w:val="105"/>
        </w:rPr>
        <w:t>(3,069)</w:t>
      </w:r>
      <w:r w:rsidRPr="009A0DA6">
        <w:rPr>
          <w:rFonts w:ascii="Cambria" w:hAnsi="Cambria" w:cstheme="minorHAnsi"/>
        </w:rPr>
        <w:tab/>
      </w:r>
      <w:r w:rsidRPr="009A0DA6">
        <w:rPr>
          <w:rFonts w:ascii="Cambria" w:eastAsia="Times New Roman" w:hAnsi="Cambria" w:cstheme="minorHAnsi"/>
          <w:w w:val="105"/>
        </w:rPr>
        <w:t>(3,069)</w:t>
      </w:r>
      <w:r w:rsidRPr="009A0DA6">
        <w:rPr>
          <w:rFonts w:ascii="Cambria" w:hAnsi="Cambria" w:cstheme="minorHAnsi"/>
        </w:rPr>
        <w:tab/>
      </w:r>
    </w:p>
    <w:p w14:paraId="350F38D6" w14:textId="77777777" w:rsidR="00BA4592" w:rsidRPr="009A0DA6" w:rsidRDefault="00BA4592" w:rsidP="00E87E30">
      <w:pPr>
        <w:tabs>
          <w:tab w:val="center" w:pos="4394"/>
          <w:tab w:val="right" w:pos="5670"/>
          <w:tab w:val="right" w:pos="7088"/>
          <w:tab w:val="right" w:pos="8647"/>
        </w:tabs>
        <w:spacing w:before="120" w:after="120" w:line="240" w:lineRule="auto"/>
        <w:ind w:right="-46"/>
        <w:contextualSpacing/>
        <w:rPr>
          <w:rFonts w:ascii="Cambria" w:hAnsi="Cambria" w:cstheme="minorHAnsi"/>
        </w:rPr>
      </w:pPr>
      <w:r w:rsidRPr="009A0DA6">
        <w:rPr>
          <w:rFonts w:ascii="Cambria" w:hAnsi="Cambria" w:cstheme="minorHAnsi"/>
        </w:rPr>
        <w:t>Movement in reserve accounts</w:t>
      </w:r>
      <w:r w:rsidRPr="009A0DA6">
        <w:rPr>
          <w:rFonts w:ascii="Cambria" w:hAnsi="Cambria" w:cstheme="minorHAnsi"/>
        </w:rPr>
        <w:tab/>
      </w:r>
      <w:r w:rsidRPr="009A0DA6">
        <w:rPr>
          <w:rFonts w:ascii="Cambria" w:hAnsi="Cambria" w:cstheme="minorHAnsi"/>
        </w:rPr>
        <w:tab/>
        <w:t>0</w:t>
      </w:r>
      <w:r w:rsidRPr="009A0DA6">
        <w:rPr>
          <w:rFonts w:ascii="Cambria" w:hAnsi="Cambria" w:cstheme="minorHAnsi"/>
        </w:rPr>
        <w:tab/>
      </w:r>
      <w:r w:rsidRPr="009A0DA6">
        <w:rPr>
          <w:rFonts w:ascii="Cambria" w:eastAsia="Arial" w:hAnsi="Cambria" w:cstheme="minorHAnsi"/>
        </w:rPr>
        <w:t>(</w:t>
      </w:r>
      <w:r w:rsidRPr="009A0DA6">
        <w:rPr>
          <w:rFonts w:ascii="Cambria" w:eastAsia="Arial" w:hAnsi="Cambria" w:cstheme="minorHAnsi"/>
          <w:spacing w:val="-11"/>
        </w:rPr>
        <w:t>1</w:t>
      </w:r>
      <w:r w:rsidRPr="009A0DA6">
        <w:rPr>
          <w:rFonts w:ascii="Cambria" w:eastAsia="Times New Roman" w:hAnsi="Cambria" w:cstheme="minorHAnsi"/>
        </w:rPr>
        <w:t>,232</w:t>
      </w:r>
      <w:r w:rsidRPr="009A0DA6">
        <w:rPr>
          <w:rFonts w:ascii="Cambria" w:eastAsia="Times New Roman" w:hAnsi="Cambria" w:cstheme="minorHAnsi"/>
          <w:spacing w:val="6"/>
        </w:rPr>
        <w:t>,</w:t>
      </w:r>
      <w:r w:rsidRPr="009A0DA6">
        <w:rPr>
          <w:rFonts w:ascii="Cambria" w:eastAsia="Times New Roman" w:hAnsi="Cambria" w:cstheme="minorHAnsi"/>
        </w:rPr>
        <w:t>1</w:t>
      </w:r>
      <w:r w:rsidRPr="009A0DA6">
        <w:rPr>
          <w:rFonts w:ascii="Cambria" w:eastAsia="Times New Roman" w:hAnsi="Cambria" w:cstheme="minorHAnsi"/>
          <w:w w:val="106"/>
        </w:rPr>
        <w:t>06)</w:t>
      </w:r>
      <w:r w:rsidRPr="009A0DA6">
        <w:rPr>
          <w:rFonts w:ascii="Cambria" w:eastAsia="Times New Roman" w:hAnsi="Cambria" w:cstheme="minorHAnsi"/>
          <w:w w:val="106"/>
        </w:rPr>
        <w:tab/>
      </w:r>
      <w:r w:rsidRPr="009A0DA6">
        <w:rPr>
          <w:rFonts w:ascii="Cambria" w:eastAsia="Arial" w:hAnsi="Cambria" w:cstheme="minorHAnsi"/>
        </w:rPr>
        <w:t>(</w:t>
      </w:r>
      <w:r w:rsidRPr="009A0DA6">
        <w:rPr>
          <w:rFonts w:ascii="Cambria" w:eastAsia="Arial" w:hAnsi="Cambria" w:cstheme="minorHAnsi"/>
          <w:spacing w:val="-11"/>
        </w:rPr>
        <w:t>1</w:t>
      </w:r>
      <w:r w:rsidRPr="009A0DA6">
        <w:rPr>
          <w:rFonts w:ascii="Cambria" w:eastAsia="Times New Roman" w:hAnsi="Cambria" w:cstheme="minorHAnsi"/>
        </w:rPr>
        <w:t>,232</w:t>
      </w:r>
      <w:r w:rsidRPr="009A0DA6">
        <w:rPr>
          <w:rFonts w:ascii="Cambria" w:eastAsia="Times New Roman" w:hAnsi="Cambria" w:cstheme="minorHAnsi"/>
          <w:spacing w:val="6"/>
        </w:rPr>
        <w:t>,</w:t>
      </w:r>
      <w:r w:rsidRPr="009A0DA6">
        <w:rPr>
          <w:rFonts w:ascii="Cambria" w:eastAsia="Times New Roman" w:hAnsi="Cambria" w:cstheme="minorHAnsi"/>
        </w:rPr>
        <w:t>1</w:t>
      </w:r>
      <w:r w:rsidRPr="009A0DA6">
        <w:rPr>
          <w:rFonts w:ascii="Cambria" w:eastAsia="Times New Roman" w:hAnsi="Cambria" w:cstheme="minorHAnsi"/>
          <w:w w:val="106"/>
        </w:rPr>
        <w:t>06)</w:t>
      </w:r>
    </w:p>
    <w:p w14:paraId="240449A7" w14:textId="77777777" w:rsidR="00BA4592" w:rsidRPr="009A0DA6" w:rsidRDefault="00BA4592" w:rsidP="00E87E30">
      <w:pPr>
        <w:tabs>
          <w:tab w:val="center" w:pos="4394"/>
          <w:tab w:val="right" w:pos="5670"/>
          <w:tab w:val="right" w:pos="7088"/>
          <w:tab w:val="right" w:pos="8647"/>
        </w:tabs>
        <w:spacing w:before="120" w:after="120" w:line="240" w:lineRule="auto"/>
        <w:ind w:right="-46"/>
        <w:contextualSpacing/>
        <w:rPr>
          <w:rFonts w:ascii="Cambria" w:hAnsi="Cambria" w:cstheme="minorHAnsi"/>
        </w:rPr>
      </w:pPr>
      <w:r w:rsidRPr="009A0DA6">
        <w:rPr>
          <w:rFonts w:ascii="Cambria" w:hAnsi="Cambria" w:cstheme="minorHAnsi"/>
        </w:rPr>
        <w:t xml:space="preserve">Gain on recognition of fixed assets </w:t>
      </w:r>
      <w:r w:rsidRPr="009A0DA6">
        <w:rPr>
          <w:rFonts w:ascii="Cambria" w:hAnsi="Cambria" w:cstheme="minorHAnsi"/>
        </w:rPr>
        <w:tab/>
      </w:r>
      <w:r w:rsidRPr="009A0DA6">
        <w:rPr>
          <w:rFonts w:ascii="Cambria" w:hAnsi="Cambria" w:cstheme="minorHAnsi"/>
        </w:rPr>
        <w:tab/>
      </w:r>
      <w:r w:rsidRPr="009A0DA6">
        <w:rPr>
          <w:rFonts w:ascii="Cambria" w:eastAsia="Times New Roman" w:hAnsi="Cambria" w:cstheme="minorHAnsi"/>
          <w:w w:val="105"/>
        </w:rPr>
        <w:t>405,129</w:t>
      </w:r>
      <w:r w:rsidRPr="009A0DA6">
        <w:rPr>
          <w:rFonts w:ascii="Cambria" w:hAnsi="Cambria" w:cstheme="minorHAnsi"/>
        </w:rPr>
        <w:tab/>
        <w:t>0</w:t>
      </w:r>
      <w:r w:rsidRPr="009A0DA6">
        <w:rPr>
          <w:rFonts w:ascii="Cambria" w:hAnsi="Cambria" w:cstheme="minorHAnsi"/>
        </w:rPr>
        <w:tab/>
      </w:r>
      <w:r w:rsidRPr="009A0DA6">
        <w:rPr>
          <w:rFonts w:ascii="Cambria" w:eastAsia="Times New Roman" w:hAnsi="Cambria" w:cstheme="minorHAnsi"/>
          <w:w w:val="105"/>
        </w:rPr>
        <w:t>405,129</w:t>
      </w:r>
    </w:p>
    <w:p w14:paraId="538A5253" w14:textId="77777777" w:rsidR="00BA4592" w:rsidRPr="009A0DA6" w:rsidRDefault="00BA4592" w:rsidP="00E87E30">
      <w:pPr>
        <w:tabs>
          <w:tab w:val="center" w:pos="4394"/>
          <w:tab w:val="right" w:pos="5670"/>
          <w:tab w:val="right" w:pos="7088"/>
          <w:tab w:val="right" w:pos="8647"/>
        </w:tabs>
        <w:spacing w:before="120" w:after="120" w:line="240" w:lineRule="auto"/>
        <w:ind w:right="-46"/>
        <w:contextualSpacing/>
        <w:rPr>
          <w:rFonts w:ascii="Cambria" w:hAnsi="Cambria" w:cstheme="minorHAnsi"/>
          <w:b/>
        </w:rPr>
      </w:pPr>
      <w:r w:rsidRPr="009A0DA6">
        <w:rPr>
          <w:rFonts w:ascii="Cambria" w:hAnsi="Cambria" w:cstheme="minorHAnsi"/>
          <w:b/>
        </w:rPr>
        <w:t>Balance as at 31 December 2015</w:t>
      </w:r>
      <w:r w:rsidRPr="009A0DA6">
        <w:rPr>
          <w:rFonts w:ascii="Cambria" w:hAnsi="Cambria" w:cstheme="minorHAnsi"/>
          <w:b/>
        </w:rPr>
        <w:tab/>
      </w:r>
      <w:r w:rsidRPr="009A0DA6">
        <w:rPr>
          <w:rFonts w:ascii="Cambria" w:hAnsi="Cambria" w:cstheme="minorHAnsi"/>
          <w:b/>
        </w:rPr>
        <w:tab/>
        <w:t>$</w:t>
      </w:r>
      <w:r w:rsidRPr="009A0DA6">
        <w:rPr>
          <w:rFonts w:ascii="Cambria" w:eastAsia="Times New Roman" w:hAnsi="Cambria" w:cstheme="minorHAnsi"/>
          <w:b/>
          <w:spacing w:val="1"/>
        </w:rPr>
        <w:t>3,58</w:t>
      </w:r>
      <w:r w:rsidRPr="009A0DA6">
        <w:rPr>
          <w:rFonts w:ascii="Cambria" w:eastAsia="Times New Roman" w:hAnsi="Cambria" w:cstheme="minorHAnsi"/>
          <w:b/>
          <w:spacing w:val="-1"/>
        </w:rPr>
        <w:t>1</w:t>
      </w:r>
      <w:r w:rsidRPr="009A0DA6">
        <w:rPr>
          <w:rFonts w:ascii="Cambria" w:eastAsia="Times New Roman" w:hAnsi="Cambria" w:cstheme="minorHAnsi"/>
          <w:b/>
          <w:spacing w:val="1"/>
        </w:rPr>
        <w:t>,1</w:t>
      </w:r>
      <w:r w:rsidRPr="009A0DA6">
        <w:rPr>
          <w:rFonts w:ascii="Cambria" w:eastAsia="Times New Roman" w:hAnsi="Cambria" w:cstheme="minorHAnsi"/>
          <w:b/>
          <w:spacing w:val="-1"/>
        </w:rPr>
        <w:t>6</w:t>
      </w:r>
      <w:r w:rsidRPr="009A0DA6">
        <w:rPr>
          <w:rFonts w:ascii="Cambria" w:eastAsia="Times New Roman" w:hAnsi="Cambria" w:cstheme="minorHAnsi"/>
          <w:b/>
        </w:rPr>
        <w:t>4</w:t>
      </w:r>
      <w:r w:rsidRPr="009A0DA6">
        <w:rPr>
          <w:rFonts w:ascii="Cambria" w:eastAsia="Times New Roman" w:hAnsi="Cambria" w:cstheme="minorHAnsi"/>
          <w:b/>
        </w:rPr>
        <w:tab/>
        <w:t>$</w:t>
      </w:r>
      <w:r w:rsidRPr="009A0DA6">
        <w:rPr>
          <w:rFonts w:ascii="Cambria" w:eastAsia="Times New Roman" w:hAnsi="Cambria" w:cstheme="minorHAnsi"/>
          <w:b/>
          <w:spacing w:val="1"/>
        </w:rPr>
        <w:t>9,26</w:t>
      </w:r>
      <w:r w:rsidRPr="009A0DA6">
        <w:rPr>
          <w:rFonts w:ascii="Cambria" w:eastAsia="Times New Roman" w:hAnsi="Cambria" w:cstheme="minorHAnsi"/>
          <w:b/>
          <w:spacing w:val="-1"/>
        </w:rPr>
        <w:t>0</w:t>
      </w:r>
      <w:r w:rsidRPr="009A0DA6">
        <w:rPr>
          <w:rFonts w:ascii="Cambria" w:eastAsia="Times New Roman" w:hAnsi="Cambria" w:cstheme="minorHAnsi"/>
          <w:b/>
          <w:spacing w:val="1"/>
        </w:rPr>
        <w:t>,0</w:t>
      </w:r>
      <w:r w:rsidRPr="009A0DA6">
        <w:rPr>
          <w:rFonts w:ascii="Cambria" w:eastAsia="Times New Roman" w:hAnsi="Cambria" w:cstheme="minorHAnsi"/>
          <w:b/>
          <w:spacing w:val="-1"/>
        </w:rPr>
        <w:t>1</w:t>
      </w:r>
      <w:r w:rsidRPr="009A0DA6">
        <w:rPr>
          <w:rFonts w:ascii="Cambria" w:eastAsia="Times New Roman" w:hAnsi="Cambria" w:cstheme="minorHAnsi"/>
          <w:b/>
        </w:rPr>
        <w:t>0</w:t>
      </w:r>
      <w:r w:rsidRPr="009A0DA6">
        <w:rPr>
          <w:rFonts w:ascii="Cambria" w:eastAsia="Times New Roman" w:hAnsi="Cambria" w:cstheme="minorHAnsi"/>
          <w:b/>
        </w:rPr>
        <w:tab/>
        <w:t>$</w:t>
      </w:r>
      <w:r w:rsidRPr="009A0DA6">
        <w:rPr>
          <w:rFonts w:ascii="Cambria" w:eastAsia="Times New Roman" w:hAnsi="Cambria" w:cstheme="minorHAnsi"/>
          <w:b/>
          <w:spacing w:val="1"/>
        </w:rPr>
        <w:t>12,8</w:t>
      </w:r>
      <w:r w:rsidRPr="009A0DA6">
        <w:rPr>
          <w:rFonts w:ascii="Cambria" w:eastAsia="Times New Roman" w:hAnsi="Cambria" w:cstheme="minorHAnsi"/>
          <w:b/>
          <w:spacing w:val="-1"/>
        </w:rPr>
        <w:t>4</w:t>
      </w:r>
      <w:r w:rsidRPr="009A0DA6">
        <w:rPr>
          <w:rFonts w:ascii="Cambria" w:eastAsia="Times New Roman" w:hAnsi="Cambria" w:cstheme="minorHAnsi"/>
          <w:b/>
          <w:spacing w:val="1"/>
        </w:rPr>
        <w:t>1,</w:t>
      </w:r>
      <w:r w:rsidRPr="009A0DA6">
        <w:rPr>
          <w:rFonts w:ascii="Cambria" w:eastAsia="Times New Roman" w:hAnsi="Cambria" w:cstheme="minorHAnsi"/>
          <w:b/>
          <w:spacing w:val="-1"/>
        </w:rPr>
        <w:t>1</w:t>
      </w:r>
      <w:r w:rsidRPr="009A0DA6">
        <w:rPr>
          <w:rFonts w:ascii="Cambria" w:eastAsia="Times New Roman" w:hAnsi="Cambria" w:cstheme="minorHAnsi"/>
          <w:b/>
          <w:spacing w:val="1"/>
        </w:rPr>
        <w:t>7</w:t>
      </w:r>
      <w:r w:rsidRPr="009A0DA6">
        <w:rPr>
          <w:rFonts w:ascii="Cambria" w:eastAsia="Times New Roman" w:hAnsi="Cambria" w:cstheme="minorHAnsi"/>
          <w:b/>
        </w:rPr>
        <w:t>4</w:t>
      </w:r>
    </w:p>
    <w:p w14:paraId="7C851F01" w14:textId="77777777" w:rsidR="00BA4592" w:rsidRPr="009A0DA6" w:rsidRDefault="00BA4592" w:rsidP="00E87E30">
      <w:pPr>
        <w:tabs>
          <w:tab w:val="center" w:pos="4394"/>
          <w:tab w:val="right" w:pos="5670"/>
          <w:tab w:val="right" w:pos="7088"/>
          <w:tab w:val="right" w:pos="8647"/>
        </w:tabs>
        <w:spacing w:before="120" w:after="120" w:line="240" w:lineRule="auto"/>
        <w:ind w:right="-46"/>
        <w:contextualSpacing/>
        <w:rPr>
          <w:rFonts w:ascii="Cambria" w:hAnsi="Cambria" w:cstheme="minorHAnsi"/>
        </w:rPr>
      </w:pPr>
      <w:r w:rsidRPr="009A0DA6">
        <w:rPr>
          <w:rFonts w:ascii="Cambria" w:hAnsi="Cambria" w:cstheme="minorHAnsi"/>
        </w:rPr>
        <w:t>Surplus (deficit)</w:t>
      </w:r>
      <w:r w:rsidRPr="009A0DA6">
        <w:rPr>
          <w:rFonts w:ascii="Cambria" w:hAnsi="Cambria" w:cstheme="minorHAnsi"/>
        </w:rPr>
        <w:tab/>
      </w:r>
      <w:r w:rsidRPr="009A0DA6">
        <w:rPr>
          <w:rFonts w:ascii="Cambria" w:hAnsi="Cambria" w:cstheme="minorHAnsi"/>
        </w:rPr>
        <w:tab/>
      </w:r>
      <w:r w:rsidRPr="009A0DA6">
        <w:rPr>
          <w:rFonts w:ascii="Cambria" w:eastAsia="Times New Roman" w:hAnsi="Cambria" w:cstheme="minorHAnsi"/>
          <w:spacing w:val="1"/>
        </w:rPr>
        <w:t>(94,</w:t>
      </w:r>
      <w:r w:rsidRPr="009A0DA6">
        <w:rPr>
          <w:rFonts w:ascii="Cambria" w:eastAsia="Times New Roman" w:hAnsi="Cambria" w:cstheme="minorHAnsi"/>
          <w:spacing w:val="-1"/>
        </w:rPr>
        <w:t>3</w:t>
      </w:r>
      <w:r w:rsidRPr="009A0DA6">
        <w:rPr>
          <w:rFonts w:ascii="Cambria" w:eastAsia="Times New Roman" w:hAnsi="Cambria" w:cstheme="minorHAnsi"/>
          <w:spacing w:val="1"/>
        </w:rPr>
        <w:t>59)</w:t>
      </w:r>
      <w:r w:rsidRPr="009A0DA6">
        <w:rPr>
          <w:rFonts w:ascii="Cambria" w:eastAsia="Times New Roman" w:hAnsi="Cambria" w:cstheme="minorHAnsi"/>
          <w:spacing w:val="1"/>
        </w:rPr>
        <w:tab/>
        <w:t>0</w:t>
      </w:r>
      <w:r w:rsidRPr="009A0DA6">
        <w:rPr>
          <w:rFonts w:ascii="Cambria" w:eastAsia="Times New Roman" w:hAnsi="Cambria" w:cstheme="minorHAnsi"/>
          <w:spacing w:val="1"/>
        </w:rPr>
        <w:tab/>
        <w:t>(94,</w:t>
      </w:r>
      <w:r w:rsidRPr="009A0DA6">
        <w:rPr>
          <w:rFonts w:ascii="Cambria" w:eastAsia="Times New Roman" w:hAnsi="Cambria" w:cstheme="minorHAnsi"/>
          <w:spacing w:val="-1"/>
        </w:rPr>
        <w:t>3</w:t>
      </w:r>
      <w:r w:rsidRPr="009A0DA6">
        <w:rPr>
          <w:rFonts w:ascii="Cambria" w:eastAsia="Times New Roman" w:hAnsi="Cambria" w:cstheme="minorHAnsi"/>
          <w:spacing w:val="1"/>
        </w:rPr>
        <w:t>59)</w:t>
      </w:r>
    </w:p>
    <w:p w14:paraId="1A0355F0" w14:textId="77777777" w:rsidR="00BA4592" w:rsidRPr="009A0DA6" w:rsidRDefault="00BA4592" w:rsidP="00E87E30">
      <w:pPr>
        <w:tabs>
          <w:tab w:val="center" w:pos="4394"/>
          <w:tab w:val="right" w:pos="5670"/>
          <w:tab w:val="right" w:pos="7088"/>
          <w:tab w:val="right" w:pos="8647"/>
        </w:tabs>
        <w:spacing w:before="120" w:after="120" w:line="240" w:lineRule="auto"/>
        <w:ind w:right="-610"/>
        <w:contextualSpacing/>
        <w:rPr>
          <w:rFonts w:ascii="Cambria" w:hAnsi="Cambria" w:cstheme="minorHAnsi"/>
        </w:rPr>
      </w:pPr>
      <w:r w:rsidRPr="009A0DA6">
        <w:rPr>
          <w:rFonts w:ascii="Cambria" w:hAnsi="Cambria" w:cstheme="minorHAnsi"/>
        </w:rPr>
        <w:t>Net transfers between accumulated funds</w:t>
      </w:r>
    </w:p>
    <w:p w14:paraId="0D04934F" w14:textId="77777777" w:rsidR="00BA4592" w:rsidRPr="009A0DA6" w:rsidRDefault="00BA4592" w:rsidP="00E87E30">
      <w:pPr>
        <w:tabs>
          <w:tab w:val="center" w:pos="4394"/>
          <w:tab w:val="right" w:pos="5670"/>
          <w:tab w:val="right" w:pos="7088"/>
          <w:tab w:val="right" w:pos="8647"/>
        </w:tabs>
        <w:spacing w:before="120" w:after="120" w:line="240" w:lineRule="auto"/>
        <w:ind w:right="-46"/>
        <w:contextualSpacing/>
        <w:rPr>
          <w:rFonts w:ascii="Cambria" w:hAnsi="Cambria" w:cstheme="minorHAnsi"/>
        </w:rPr>
      </w:pPr>
      <w:r w:rsidRPr="009A0DA6">
        <w:rPr>
          <w:rFonts w:ascii="Cambria" w:hAnsi="Cambria" w:cstheme="minorHAnsi"/>
        </w:rPr>
        <w:t xml:space="preserve"> and reserve accounts</w:t>
      </w:r>
      <w:r w:rsidRPr="009A0DA6">
        <w:rPr>
          <w:rFonts w:ascii="Cambria" w:hAnsi="Cambria" w:cstheme="minorHAnsi"/>
        </w:rPr>
        <w:tab/>
      </w:r>
      <w:r w:rsidRPr="009A0DA6">
        <w:rPr>
          <w:rFonts w:ascii="Cambria" w:hAnsi="Cambria" w:cstheme="minorHAnsi"/>
        </w:rPr>
        <w:tab/>
      </w:r>
      <w:r w:rsidRPr="009A0DA6">
        <w:rPr>
          <w:rFonts w:ascii="Cambria" w:eastAsia="Times New Roman" w:hAnsi="Cambria" w:cstheme="minorHAnsi"/>
          <w:spacing w:val="1"/>
        </w:rPr>
        <w:t>(75,</w:t>
      </w:r>
      <w:r w:rsidRPr="009A0DA6">
        <w:rPr>
          <w:rFonts w:ascii="Cambria" w:eastAsia="Times New Roman" w:hAnsi="Cambria" w:cstheme="minorHAnsi"/>
          <w:spacing w:val="-1"/>
        </w:rPr>
        <w:t>6</w:t>
      </w:r>
      <w:r w:rsidRPr="009A0DA6">
        <w:rPr>
          <w:rFonts w:ascii="Cambria" w:eastAsia="Times New Roman" w:hAnsi="Cambria" w:cstheme="minorHAnsi"/>
          <w:spacing w:val="1"/>
        </w:rPr>
        <w:t>87</w:t>
      </w:r>
      <w:r w:rsidRPr="009A0DA6">
        <w:rPr>
          <w:rFonts w:ascii="Cambria" w:eastAsia="Times New Roman" w:hAnsi="Cambria" w:cstheme="minorHAnsi"/>
        </w:rPr>
        <w:t>)</w:t>
      </w:r>
      <w:r w:rsidRPr="009A0DA6">
        <w:rPr>
          <w:rFonts w:ascii="Cambria" w:eastAsia="Times New Roman" w:hAnsi="Cambria" w:cstheme="minorHAnsi"/>
        </w:rPr>
        <w:tab/>
      </w:r>
      <w:r w:rsidRPr="009A0DA6">
        <w:rPr>
          <w:rFonts w:ascii="Cambria" w:eastAsia="Times New Roman" w:hAnsi="Cambria" w:cstheme="minorHAnsi"/>
          <w:spacing w:val="1"/>
        </w:rPr>
        <w:t>75,</w:t>
      </w:r>
      <w:r w:rsidRPr="009A0DA6">
        <w:rPr>
          <w:rFonts w:ascii="Cambria" w:eastAsia="Times New Roman" w:hAnsi="Cambria" w:cstheme="minorHAnsi"/>
          <w:spacing w:val="-1"/>
        </w:rPr>
        <w:t>6</w:t>
      </w:r>
      <w:r w:rsidRPr="009A0DA6">
        <w:rPr>
          <w:rFonts w:ascii="Cambria" w:eastAsia="Times New Roman" w:hAnsi="Cambria" w:cstheme="minorHAnsi"/>
          <w:spacing w:val="1"/>
        </w:rPr>
        <w:t>87</w:t>
      </w:r>
      <w:r w:rsidRPr="009A0DA6">
        <w:rPr>
          <w:rFonts w:ascii="Cambria" w:eastAsia="Times New Roman" w:hAnsi="Cambria" w:cstheme="minorHAnsi"/>
          <w:spacing w:val="1"/>
        </w:rPr>
        <w:tab/>
        <w:t xml:space="preserve">0  </w:t>
      </w:r>
    </w:p>
    <w:p w14:paraId="0393FD3E" w14:textId="77777777" w:rsidR="00BA4592" w:rsidRPr="009A0DA6" w:rsidRDefault="00BA4592" w:rsidP="00E87E30">
      <w:pPr>
        <w:tabs>
          <w:tab w:val="center" w:pos="4394"/>
          <w:tab w:val="right" w:pos="5670"/>
          <w:tab w:val="right" w:pos="7088"/>
          <w:tab w:val="right" w:pos="8647"/>
        </w:tabs>
        <w:spacing w:before="120" w:after="120" w:line="240" w:lineRule="auto"/>
        <w:ind w:right="-46"/>
        <w:contextualSpacing/>
        <w:rPr>
          <w:rFonts w:ascii="Cambria" w:eastAsia="Times New Roman" w:hAnsi="Cambria" w:cstheme="minorHAnsi"/>
        </w:rPr>
      </w:pPr>
      <w:r w:rsidRPr="009A0DA6">
        <w:rPr>
          <w:rFonts w:ascii="Cambria" w:hAnsi="Cambria" w:cstheme="minorHAnsi"/>
        </w:rPr>
        <w:t>Movement in reserve accounts</w:t>
      </w:r>
      <w:r w:rsidRPr="009A0DA6">
        <w:rPr>
          <w:rFonts w:ascii="Cambria" w:hAnsi="Cambria" w:cstheme="minorHAnsi"/>
        </w:rPr>
        <w:tab/>
      </w:r>
      <w:r w:rsidRPr="009A0DA6">
        <w:rPr>
          <w:rFonts w:ascii="Cambria" w:hAnsi="Cambria" w:cstheme="minorHAnsi"/>
        </w:rPr>
        <w:tab/>
        <w:t>0</w:t>
      </w:r>
      <w:r w:rsidRPr="009A0DA6">
        <w:rPr>
          <w:rFonts w:ascii="Cambria" w:hAnsi="Cambria" w:cstheme="minorHAnsi"/>
        </w:rPr>
        <w:tab/>
      </w:r>
      <w:r w:rsidRPr="009A0DA6">
        <w:rPr>
          <w:rFonts w:ascii="Cambria" w:eastAsia="Times New Roman" w:hAnsi="Cambria" w:cstheme="minorHAnsi"/>
          <w:spacing w:val="1"/>
        </w:rPr>
        <w:t>1,01</w:t>
      </w:r>
      <w:r w:rsidRPr="009A0DA6">
        <w:rPr>
          <w:rFonts w:ascii="Cambria" w:eastAsia="Times New Roman" w:hAnsi="Cambria" w:cstheme="minorHAnsi"/>
          <w:spacing w:val="-1"/>
        </w:rPr>
        <w:t>4</w:t>
      </w:r>
      <w:r w:rsidRPr="009A0DA6">
        <w:rPr>
          <w:rFonts w:ascii="Cambria" w:eastAsia="Times New Roman" w:hAnsi="Cambria" w:cstheme="minorHAnsi"/>
          <w:spacing w:val="1"/>
        </w:rPr>
        <w:t>,6</w:t>
      </w:r>
      <w:r w:rsidRPr="009A0DA6">
        <w:rPr>
          <w:rFonts w:ascii="Cambria" w:eastAsia="Times New Roman" w:hAnsi="Cambria" w:cstheme="minorHAnsi"/>
          <w:spacing w:val="-1"/>
        </w:rPr>
        <w:t>1</w:t>
      </w:r>
      <w:r w:rsidRPr="009A0DA6">
        <w:rPr>
          <w:rFonts w:ascii="Cambria" w:eastAsia="Times New Roman" w:hAnsi="Cambria" w:cstheme="minorHAnsi"/>
        </w:rPr>
        <w:t>4</w:t>
      </w:r>
      <w:r w:rsidRPr="009A0DA6">
        <w:rPr>
          <w:rFonts w:ascii="Cambria" w:eastAsia="Times New Roman" w:hAnsi="Cambria" w:cstheme="minorHAnsi"/>
        </w:rPr>
        <w:tab/>
      </w:r>
      <w:r w:rsidRPr="009A0DA6">
        <w:rPr>
          <w:rFonts w:ascii="Cambria" w:eastAsia="Times New Roman" w:hAnsi="Cambria" w:cstheme="minorHAnsi"/>
          <w:spacing w:val="1"/>
        </w:rPr>
        <w:t>1,01</w:t>
      </w:r>
      <w:r w:rsidRPr="009A0DA6">
        <w:rPr>
          <w:rFonts w:ascii="Cambria" w:eastAsia="Times New Roman" w:hAnsi="Cambria" w:cstheme="minorHAnsi"/>
          <w:spacing w:val="-1"/>
        </w:rPr>
        <w:t>4</w:t>
      </w:r>
      <w:r w:rsidRPr="009A0DA6">
        <w:rPr>
          <w:rFonts w:ascii="Cambria" w:eastAsia="Times New Roman" w:hAnsi="Cambria" w:cstheme="minorHAnsi"/>
          <w:spacing w:val="1"/>
        </w:rPr>
        <w:t>,6</w:t>
      </w:r>
      <w:r w:rsidRPr="009A0DA6">
        <w:rPr>
          <w:rFonts w:ascii="Cambria" w:eastAsia="Times New Roman" w:hAnsi="Cambria" w:cstheme="minorHAnsi"/>
          <w:spacing w:val="-1"/>
        </w:rPr>
        <w:t>1</w:t>
      </w:r>
      <w:r w:rsidRPr="009A0DA6">
        <w:rPr>
          <w:rFonts w:ascii="Cambria" w:eastAsia="Times New Roman" w:hAnsi="Cambria" w:cstheme="minorHAnsi"/>
        </w:rPr>
        <w:t>4</w:t>
      </w:r>
    </w:p>
    <w:p w14:paraId="5F66E832" w14:textId="77777777" w:rsidR="00BA4592" w:rsidRPr="009A0DA6" w:rsidRDefault="00BA4592" w:rsidP="00E87E30">
      <w:pPr>
        <w:tabs>
          <w:tab w:val="center" w:pos="4394"/>
          <w:tab w:val="right" w:pos="5670"/>
          <w:tab w:val="right" w:pos="7088"/>
          <w:tab w:val="right" w:pos="8647"/>
        </w:tabs>
        <w:spacing w:before="120" w:after="120" w:line="240" w:lineRule="auto"/>
        <w:ind w:right="-46"/>
        <w:contextualSpacing/>
        <w:rPr>
          <w:rFonts w:ascii="Cambria" w:eastAsiaTheme="minorEastAsia" w:hAnsi="Cambria" w:cstheme="minorHAnsi"/>
        </w:rPr>
      </w:pPr>
      <w:r w:rsidRPr="009A0DA6">
        <w:rPr>
          <w:rFonts w:ascii="Cambria" w:eastAsia="Times New Roman" w:hAnsi="Cambria" w:cstheme="minorHAnsi"/>
        </w:rPr>
        <w:t>Revaluation restatement upon asset sales</w:t>
      </w:r>
      <w:r w:rsidRPr="009A0DA6">
        <w:rPr>
          <w:rFonts w:ascii="Cambria" w:eastAsia="Times New Roman" w:hAnsi="Cambria" w:cstheme="minorHAnsi"/>
        </w:rPr>
        <w:tab/>
      </w:r>
      <w:r w:rsidRPr="009A0DA6">
        <w:rPr>
          <w:rFonts w:ascii="Cambria" w:eastAsia="Times New Roman" w:hAnsi="Cambria" w:cstheme="minorHAnsi"/>
        </w:rPr>
        <w:tab/>
      </w:r>
      <w:r w:rsidRPr="009A0DA6">
        <w:rPr>
          <w:rFonts w:ascii="Cambria" w:eastAsia="Times New Roman" w:hAnsi="Cambria" w:cstheme="minorHAnsi"/>
          <w:spacing w:val="1"/>
        </w:rPr>
        <w:t>671,</w:t>
      </w:r>
      <w:r w:rsidRPr="009A0DA6">
        <w:rPr>
          <w:rFonts w:ascii="Cambria" w:eastAsia="Times New Roman" w:hAnsi="Cambria" w:cstheme="minorHAnsi"/>
          <w:spacing w:val="-1"/>
        </w:rPr>
        <w:t>2</w:t>
      </w:r>
      <w:r w:rsidRPr="009A0DA6">
        <w:rPr>
          <w:rFonts w:ascii="Cambria" w:eastAsia="Times New Roman" w:hAnsi="Cambria" w:cstheme="minorHAnsi"/>
          <w:spacing w:val="1"/>
        </w:rPr>
        <w:t>1</w:t>
      </w:r>
      <w:r w:rsidRPr="009A0DA6">
        <w:rPr>
          <w:rFonts w:ascii="Cambria" w:eastAsia="Times New Roman" w:hAnsi="Cambria" w:cstheme="minorHAnsi"/>
        </w:rPr>
        <w:t>0</w:t>
      </w:r>
      <w:r w:rsidRPr="009A0DA6">
        <w:rPr>
          <w:rFonts w:ascii="Cambria" w:eastAsia="Times New Roman" w:hAnsi="Cambria" w:cstheme="minorHAnsi"/>
        </w:rPr>
        <w:tab/>
        <w:t>(</w:t>
      </w:r>
      <w:r w:rsidRPr="009A0DA6">
        <w:rPr>
          <w:rFonts w:ascii="Cambria" w:eastAsia="Times New Roman" w:hAnsi="Cambria" w:cstheme="minorHAnsi"/>
          <w:spacing w:val="1"/>
        </w:rPr>
        <w:t>671,</w:t>
      </w:r>
      <w:r w:rsidRPr="009A0DA6">
        <w:rPr>
          <w:rFonts w:ascii="Cambria" w:eastAsia="Times New Roman" w:hAnsi="Cambria" w:cstheme="minorHAnsi"/>
          <w:spacing w:val="-1"/>
        </w:rPr>
        <w:t>2</w:t>
      </w:r>
      <w:r w:rsidRPr="009A0DA6">
        <w:rPr>
          <w:rFonts w:ascii="Cambria" w:eastAsia="Times New Roman" w:hAnsi="Cambria" w:cstheme="minorHAnsi"/>
          <w:spacing w:val="1"/>
        </w:rPr>
        <w:t>1</w:t>
      </w:r>
      <w:r w:rsidRPr="009A0DA6">
        <w:rPr>
          <w:rFonts w:ascii="Cambria" w:eastAsia="Times New Roman" w:hAnsi="Cambria" w:cstheme="minorHAnsi"/>
        </w:rPr>
        <w:t>0)</w:t>
      </w:r>
      <w:r w:rsidRPr="009A0DA6">
        <w:rPr>
          <w:rFonts w:ascii="Cambria" w:eastAsia="Times New Roman" w:hAnsi="Cambria" w:cstheme="minorHAnsi"/>
        </w:rPr>
        <w:tab/>
        <w:t>0</w:t>
      </w:r>
    </w:p>
    <w:p w14:paraId="09E6BA9B" w14:textId="77777777" w:rsidR="00BA4592" w:rsidRPr="009A0DA6" w:rsidRDefault="00BA4592" w:rsidP="00E87E30">
      <w:pPr>
        <w:tabs>
          <w:tab w:val="center" w:pos="4394"/>
          <w:tab w:val="right" w:pos="5670"/>
          <w:tab w:val="right" w:pos="7088"/>
          <w:tab w:val="right" w:pos="8647"/>
        </w:tabs>
        <w:spacing w:before="120" w:after="120" w:line="240" w:lineRule="auto"/>
        <w:ind w:right="-46"/>
        <w:contextualSpacing/>
        <w:rPr>
          <w:rFonts w:ascii="Cambria" w:hAnsi="Cambria" w:cstheme="minorHAnsi"/>
          <w:b/>
        </w:rPr>
      </w:pPr>
      <w:r w:rsidRPr="009A0DA6">
        <w:rPr>
          <w:rFonts w:ascii="Cambria" w:hAnsi="Cambria" w:cstheme="minorHAnsi"/>
          <w:b/>
        </w:rPr>
        <w:t xml:space="preserve">Balance as at 31 December 2016 </w:t>
      </w:r>
      <w:r w:rsidRPr="009A0DA6">
        <w:rPr>
          <w:rFonts w:ascii="Cambria" w:hAnsi="Cambria" w:cstheme="minorHAnsi"/>
          <w:b/>
        </w:rPr>
        <w:tab/>
      </w:r>
      <w:r w:rsidRPr="009A0DA6">
        <w:rPr>
          <w:rFonts w:ascii="Cambria" w:hAnsi="Cambria" w:cstheme="minorHAnsi"/>
          <w:b/>
        </w:rPr>
        <w:tab/>
        <w:t>$</w:t>
      </w:r>
      <w:r w:rsidRPr="009A0DA6">
        <w:rPr>
          <w:rFonts w:ascii="Cambria" w:eastAsia="Times New Roman" w:hAnsi="Cambria" w:cstheme="minorHAnsi"/>
          <w:b/>
          <w:spacing w:val="1"/>
        </w:rPr>
        <w:t>4,08</w:t>
      </w:r>
      <w:r w:rsidRPr="009A0DA6">
        <w:rPr>
          <w:rFonts w:ascii="Cambria" w:eastAsia="Times New Roman" w:hAnsi="Cambria" w:cstheme="minorHAnsi"/>
          <w:b/>
          <w:spacing w:val="-1"/>
        </w:rPr>
        <w:t>2</w:t>
      </w:r>
      <w:r w:rsidRPr="009A0DA6">
        <w:rPr>
          <w:rFonts w:ascii="Cambria" w:eastAsia="Times New Roman" w:hAnsi="Cambria" w:cstheme="minorHAnsi"/>
          <w:b/>
          <w:spacing w:val="1"/>
        </w:rPr>
        <w:t>,3</w:t>
      </w:r>
      <w:r w:rsidRPr="009A0DA6">
        <w:rPr>
          <w:rFonts w:ascii="Cambria" w:eastAsia="Times New Roman" w:hAnsi="Cambria" w:cstheme="minorHAnsi"/>
          <w:b/>
          <w:spacing w:val="-1"/>
        </w:rPr>
        <w:t>2</w:t>
      </w:r>
      <w:r w:rsidRPr="009A0DA6">
        <w:rPr>
          <w:rFonts w:ascii="Cambria" w:eastAsia="Times New Roman" w:hAnsi="Cambria" w:cstheme="minorHAnsi"/>
          <w:b/>
        </w:rPr>
        <w:t>8</w:t>
      </w:r>
      <w:r w:rsidRPr="009A0DA6">
        <w:rPr>
          <w:rFonts w:ascii="Cambria" w:eastAsia="Times New Roman" w:hAnsi="Cambria" w:cstheme="minorHAnsi"/>
          <w:b/>
        </w:rPr>
        <w:tab/>
        <w:t>$</w:t>
      </w:r>
      <w:r w:rsidRPr="009A0DA6">
        <w:rPr>
          <w:rFonts w:ascii="Cambria" w:eastAsia="Times New Roman" w:hAnsi="Cambria" w:cstheme="minorHAnsi"/>
          <w:b/>
          <w:spacing w:val="1"/>
        </w:rPr>
        <w:t>9,67</w:t>
      </w:r>
      <w:r w:rsidRPr="009A0DA6">
        <w:rPr>
          <w:rFonts w:ascii="Cambria" w:eastAsia="Times New Roman" w:hAnsi="Cambria" w:cstheme="minorHAnsi"/>
          <w:b/>
          <w:spacing w:val="-1"/>
        </w:rPr>
        <w:t>9</w:t>
      </w:r>
      <w:r w:rsidRPr="009A0DA6">
        <w:rPr>
          <w:rFonts w:ascii="Cambria" w:eastAsia="Times New Roman" w:hAnsi="Cambria" w:cstheme="minorHAnsi"/>
          <w:b/>
          <w:spacing w:val="1"/>
        </w:rPr>
        <w:t>,1</w:t>
      </w:r>
      <w:r w:rsidRPr="009A0DA6">
        <w:rPr>
          <w:rFonts w:ascii="Cambria" w:eastAsia="Times New Roman" w:hAnsi="Cambria" w:cstheme="minorHAnsi"/>
          <w:b/>
          <w:spacing w:val="-1"/>
        </w:rPr>
        <w:t>0</w:t>
      </w:r>
      <w:r w:rsidRPr="009A0DA6">
        <w:rPr>
          <w:rFonts w:ascii="Cambria" w:eastAsia="Times New Roman" w:hAnsi="Cambria" w:cstheme="minorHAnsi"/>
          <w:b/>
        </w:rPr>
        <w:t>1</w:t>
      </w:r>
      <w:r w:rsidRPr="009A0DA6">
        <w:rPr>
          <w:rFonts w:ascii="Cambria" w:eastAsia="Times New Roman" w:hAnsi="Cambria" w:cstheme="minorHAnsi"/>
          <w:b/>
        </w:rPr>
        <w:tab/>
        <w:t>$</w:t>
      </w:r>
      <w:r w:rsidRPr="009A0DA6">
        <w:rPr>
          <w:rFonts w:ascii="Cambria" w:eastAsia="Times New Roman" w:hAnsi="Cambria" w:cstheme="minorHAnsi"/>
          <w:b/>
          <w:spacing w:val="1"/>
        </w:rPr>
        <w:t>13,7</w:t>
      </w:r>
      <w:r w:rsidRPr="009A0DA6">
        <w:rPr>
          <w:rFonts w:ascii="Cambria" w:eastAsia="Times New Roman" w:hAnsi="Cambria" w:cstheme="minorHAnsi"/>
          <w:b/>
          <w:spacing w:val="-1"/>
        </w:rPr>
        <w:t>6</w:t>
      </w:r>
      <w:r w:rsidRPr="009A0DA6">
        <w:rPr>
          <w:rFonts w:ascii="Cambria" w:eastAsia="Times New Roman" w:hAnsi="Cambria" w:cstheme="minorHAnsi"/>
          <w:b/>
          <w:spacing w:val="1"/>
        </w:rPr>
        <w:t>1,</w:t>
      </w:r>
      <w:r w:rsidRPr="009A0DA6">
        <w:rPr>
          <w:rFonts w:ascii="Cambria" w:eastAsia="Times New Roman" w:hAnsi="Cambria" w:cstheme="minorHAnsi"/>
          <w:b/>
          <w:spacing w:val="-1"/>
        </w:rPr>
        <w:t>4</w:t>
      </w:r>
      <w:r w:rsidRPr="009A0DA6">
        <w:rPr>
          <w:rFonts w:ascii="Cambria" w:eastAsia="Times New Roman" w:hAnsi="Cambria" w:cstheme="minorHAnsi"/>
          <w:b/>
          <w:spacing w:val="1"/>
        </w:rPr>
        <w:t>2</w:t>
      </w:r>
      <w:r w:rsidRPr="009A0DA6">
        <w:rPr>
          <w:rFonts w:ascii="Cambria" w:eastAsia="Times New Roman" w:hAnsi="Cambria" w:cstheme="minorHAnsi"/>
          <w:b/>
        </w:rPr>
        <w:t>9</w:t>
      </w:r>
    </w:p>
    <w:p w14:paraId="73918A1F" w14:textId="77777777" w:rsidR="00BA4592" w:rsidRPr="009A0DA6" w:rsidRDefault="00BA4592" w:rsidP="00E87E30">
      <w:pPr>
        <w:tabs>
          <w:tab w:val="center" w:pos="4394"/>
          <w:tab w:val="right" w:pos="5670"/>
          <w:tab w:val="right" w:pos="7088"/>
          <w:tab w:val="right" w:pos="8647"/>
        </w:tabs>
        <w:spacing w:before="120" w:after="120" w:line="240" w:lineRule="auto"/>
        <w:ind w:right="-610"/>
        <w:contextualSpacing/>
        <w:rPr>
          <w:rFonts w:ascii="Cambria" w:hAnsi="Cambria" w:cstheme="minorHAnsi"/>
        </w:rPr>
      </w:pPr>
      <w:r w:rsidRPr="009A0DA6">
        <w:rPr>
          <w:rFonts w:ascii="Cambria" w:hAnsi="Cambria" w:cstheme="minorHAnsi"/>
        </w:rPr>
        <w:t>Surplus (deficit)</w:t>
      </w:r>
      <w:r w:rsidRPr="009A0DA6">
        <w:rPr>
          <w:rFonts w:ascii="Cambria" w:hAnsi="Cambria" w:cstheme="minorHAnsi"/>
        </w:rPr>
        <w:tab/>
      </w:r>
      <w:r w:rsidRPr="009A0DA6">
        <w:rPr>
          <w:rFonts w:ascii="Cambria" w:hAnsi="Cambria" w:cstheme="minorHAnsi"/>
        </w:rPr>
        <w:tab/>
      </w:r>
      <w:r w:rsidRPr="009A0DA6">
        <w:rPr>
          <w:rFonts w:ascii="Cambria" w:eastAsia="Times New Roman" w:hAnsi="Cambria" w:cstheme="minorHAnsi"/>
          <w:spacing w:val="1"/>
        </w:rPr>
        <w:t>(114</w:t>
      </w:r>
      <w:r w:rsidRPr="009A0DA6">
        <w:rPr>
          <w:rFonts w:ascii="Cambria" w:eastAsia="Times New Roman" w:hAnsi="Cambria" w:cstheme="minorHAnsi"/>
          <w:spacing w:val="-2"/>
        </w:rPr>
        <w:t>,</w:t>
      </w:r>
      <w:r w:rsidRPr="009A0DA6">
        <w:rPr>
          <w:rFonts w:ascii="Cambria" w:eastAsia="Times New Roman" w:hAnsi="Cambria" w:cstheme="minorHAnsi"/>
          <w:spacing w:val="1"/>
        </w:rPr>
        <w:t>04</w:t>
      </w:r>
      <w:r w:rsidRPr="009A0DA6">
        <w:rPr>
          <w:rFonts w:ascii="Cambria" w:eastAsia="Times New Roman" w:hAnsi="Cambria" w:cstheme="minorHAnsi"/>
          <w:spacing w:val="-1"/>
        </w:rPr>
        <w:t>0)</w:t>
      </w:r>
      <w:r w:rsidRPr="009A0DA6">
        <w:rPr>
          <w:rFonts w:ascii="Cambria" w:eastAsia="Times New Roman" w:hAnsi="Cambria" w:cstheme="minorHAnsi"/>
          <w:spacing w:val="-1"/>
        </w:rPr>
        <w:tab/>
        <w:t>0</w:t>
      </w:r>
      <w:r w:rsidRPr="009A0DA6">
        <w:rPr>
          <w:rFonts w:ascii="Cambria" w:eastAsia="Times New Roman" w:hAnsi="Cambria" w:cstheme="minorHAnsi"/>
          <w:spacing w:val="-1"/>
        </w:rPr>
        <w:tab/>
      </w:r>
      <w:r w:rsidRPr="009A0DA6">
        <w:rPr>
          <w:rFonts w:ascii="Cambria" w:eastAsia="Times New Roman" w:hAnsi="Cambria" w:cstheme="minorHAnsi"/>
          <w:spacing w:val="1"/>
        </w:rPr>
        <w:t>(114</w:t>
      </w:r>
      <w:r w:rsidRPr="009A0DA6">
        <w:rPr>
          <w:rFonts w:ascii="Cambria" w:eastAsia="Times New Roman" w:hAnsi="Cambria" w:cstheme="minorHAnsi"/>
          <w:spacing w:val="-2"/>
        </w:rPr>
        <w:t>,</w:t>
      </w:r>
      <w:r w:rsidRPr="009A0DA6">
        <w:rPr>
          <w:rFonts w:ascii="Cambria" w:eastAsia="Times New Roman" w:hAnsi="Cambria" w:cstheme="minorHAnsi"/>
          <w:spacing w:val="1"/>
        </w:rPr>
        <w:t>04</w:t>
      </w:r>
      <w:r w:rsidRPr="009A0DA6">
        <w:rPr>
          <w:rFonts w:ascii="Cambria" w:eastAsia="Times New Roman" w:hAnsi="Cambria" w:cstheme="minorHAnsi"/>
          <w:spacing w:val="-1"/>
        </w:rPr>
        <w:t>0)</w:t>
      </w:r>
    </w:p>
    <w:p w14:paraId="316CC1D8" w14:textId="77777777" w:rsidR="00BA4592" w:rsidRPr="009A0DA6" w:rsidRDefault="00BA4592" w:rsidP="00E87E30">
      <w:pPr>
        <w:tabs>
          <w:tab w:val="center" w:pos="4394"/>
          <w:tab w:val="right" w:pos="5670"/>
          <w:tab w:val="right" w:pos="7088"/>
          <w:tab w:val="right" w:pos="8647"/>
        </w:tabs>
        <w:spacing w:before="120" w:after="120" w:line="240" w:lineRule="auto"/>
        <w:ind w:right="-610"/>
        <w:contextualSpacing/>
        <w:rPr>
          <w:rFonts w:ascii="Cambria" w:hAnsi="Cambria" w:cstheme="minorHAnsi"/>
        </w:rPr>
      </w:pPr>
      <w:r w:rsidRPr="009A0DA6">
        <w:rPr>
          <w:rFonts w:ascii="Cambria" w:hAnsi="Cambria" w:cstheme="minorHAnsi"/>
        </w:rPr>
        <w:t>Net transfers between accumulated funds</w:t>
      </w:r>
    </w:p>
    <w:p w14:paraId="34555B9A" w14:textId="77777777" w:rsidR="00BA4592" w:rsidRPr="009A0DA6" w:rsidRDefault="00BA4592" w:rsidP="00E87E30">
      <w:pPr>
        <w:tabs>
          <w:tab w:val="center" w:pos="4394"/>
          <w:tab w:val="right" w:pos="5670"/>
          <w:tab w:val="right" w:pos="7088"/>
          <w:tab w:val="right" w:pos="8647"/>
        </w:tabs>
        <w:spacing w:before="120" w:after="120" w:line="240" w:lineRule="auto"/>
        <w:ind w:right="-46"/>
        <w:contextualSpacing/>
        <w:rPr>
          <w:rFonts w:ascii="Cambria" w:hAnsi="Cambria" w:cstheme="minorHAnsi"/>
        </w:rPr>
      </w:pPr>
      <w:r w:rsidRPr="009A0DA6">
        <w:rPr>
          <w:rFonts w:ascii="Cambria" w:hAnsi="Cambria" w:cstheme="minorHAnsi"/>
        </w:rPr>
        <w:t xml:space="preserve"> and reserve accounts</w:t>
      </w:r>
      <w:r w:rsidRPr="009A0DA6">
        <w:rPr>
          <w:rFonts w:ascii="Cambria" w:hAnsi="Cambria" w:cstheme="minorHAnsi"/>
        </w:rPr>
        <w:tab/>
      </w:r>
      <w:r w:rsidRPr="009A0DA6">
        <w:rPr>
          <w:rFonts w:ascii="Cambria" w:hAnsi="Cambria" w:cstheme="minorHAnsi"/>
        </w:rPr>
        <w:tab/>
      </w:r>
      <w:r w:rsidRPr="009A0DA6">
        <w:rPr>
          <w:rFonts w:ascii="Cambria" w:hAnsi="Cambria" w:cstheme="minorHAnsi"/>
        </w:rPr>
        <w:tab/>
      </w:r>
      <w:r w:rsidRPr="009A0DA6">
        <w:rPr>
          <w:rFonts w:ascii="Cambria" w:hAnsi="Cambria" w:cstheme="minorHAnsi"/>
        </w:rPr>
        <w:tab/>
      </w:r>
    </w:p>
    <w:p w14:paraId="49A7FE82" w14:textId="77777777" w:rsidR="00BA4592" w:rsidRPr="009A0DA6" w:rsidRDefault="00BA4592" w:rsidP="00E87E30">
      <w:pPr>
        <w:tabs>
          <w:tab w:val="center" w:pos="4394"/>
          <w:tab w:val="right" w:pos="5670"/>
          <w:tab w:val="right" w:pos="7088"/>
          <w:tab w:val="right" w:pos="8647"/>
        </w:tabs>
        <w:spacing w:before="120" w:after="120" w:line="240" w:lineRule="auto"/>
        <w:ind w:right="-610"/>
        <w:contextualSpacing/>
        <w:rPr>
          <w:rFonts w:ascii="Cambria" w:hAnsi="Cambria" w:cstheme="minorHAnsi"/>
        </w:rPr>
      </w:pPr>
      <w:r w:rsidRPr="009A0DA6">
        <w:rPr>
          <w:rFonts w:ascii="Cambria" w:hAnsi="Cambria" w:cstheme="minorHAnsi"/>
        </w:rPr>
        <w:t>Direct transactions through reserve accounts</w:t>
      </w:r>
      <w:r w:rsidRPr="009A0DA6">
        <w:rPr>
          <w:rFonts w:ascii="Cambria" w:hAnsi="Cambria" w:cstheme="minorHAnsi"/>
        </w:rPr>
        <w:tab/>
      </w:r>
      <w:r w:rsidRPr="009A0DA6">
        <w:rPr>
          <w:rFonts w:ascii="Cambria" w:hAnsi="Cambria" w:cstheme="minorHAnsi"/>
        </w:rPr>
        <w:tab/>
      </w:r>
      <w:r w:rsidRPr="009A0DA6">
        <w:rPr>
          <w:rFonts w:ascii="Cambria" w:eastAsia="Times New Roman" w:hAnsi="Cambria" w:cstheme="minorHAnsi"/>
          <w:spacing w:val="1"/>
        </w:rPr>
        <w:t>28,6</w:t>
      </w:r>
      <w:r w:rsidRPr="009A0DA6">
        <w:rPr>
          <w:rFonts w:ascii="Cambria" w:eastAsia="Times New Roman" w:hAnsi="Cambria" w:cstheme="minorHAnsi"/>
          <w:spacing w:val="-1"/>
        </w:rPr>
        <w:t>9</w:t>
      </w:r>
      <w:r w:rsidRPr="009A0DA6">
        <w:rPr>
          <w:rFonts w:ascii="Cambria" w:eastAsia="Times New Roman" w:hAnsi="Cambria" w:cstheme="minorHAnsi"/>
        </w:rPr>
        <w:t>9</w:t>
      </w:r>
      <w:r w:rsidRPr="009A0DA6">
        <w:rPr>
          <w:rFonts w:ascii="Cambria" w:eastAsia="Times New Roman" w:hAnsi="Cambria" w:cstheme="minorHAnsi"/>
        </w:rPr>
        <w:tab/>
        <w:t>(</w:t>
      </w:r>
      <w:r w:rsidRPr="009A0DA6">
        <w:rPr>
          <w:rFonts w:ascii="Cambria" w:eastAsia="Times New Roman" w:hAnsi="Cambria" w:cstheme="minorHAnsi"/>
          <w:spacing w:val="1"/>
        </w:rPr>
        <w:t>28,6</w:t>
      </w:r>
      <w:r w:rsidRPr="009A0DA6">
        <w:rPr>
          <w:rFonts w:ascii="Cambria" w:eastAsia="Times New Roman" w:hAnsi="Cambria" w:cstheme="minorHAnsi"/>
          <w:spacing w:val="-1"/>
        </w:rPr>
        <w:t>9</w:t>
      </w:r>
      <w:r w:rsidRPr="009A0DA6">
        <w:rPr>
          <w:rFonts w:ascii="Cambria" w:eastAsia="Times New Roman" w:hAnsi="Cambria" w:cstheme="minorHAnsi"/>
        </w:rPr>
        <w:t>9)</w:t>
      </w:r>
      <w:r w:rsidRPr="009A0DA6">
        <w:rPr>
          <w:rFonts w:ascii="Cambria" w:eastAsia="Times New Roman" w:hAnsi="Cambria" w:cstheme="minorHAnsi"/>
        </w:rPr>
        <w:tab/>
        <w:t>0</w:t>
      </w:r>
    </w:p>
    <w:p w14:paraId="4CDB99B7" w14:textId="77777777" w:rsidR="00BA4592" w:rsidRPr="009A0DA6" w:rsidRDefault="00BA4592" w:rsidP="00E87E30">
      <w:pPr>
        <w:tabs>
          <w:tab w:val="center" w:pos="4394"/>
          <w:tab w:val="right" w:pos="5670"/>
          <w:tab w:val="right" w:pos="7088"/>
          <w:tab w:val="right" w:pos="8647"/>
        </w:tabs>
        <w:spacing w:before="120" w:after="120" w:line="240" w:lineRule="auto"/>
        <w:ind w:right="-46"/>
        <w:contextualSpacing/>
        <w:rPr>
          <w:rFonts w:ascii="Cambria" w:eastAsia="Times New Roman" w:hAnsi="Cambria" w:cstheme="minorHAnsi"/>
        </w:rPr>
      </w:pPr>
      <w:r w:rsidRPr="009A0DA6">
        <w:rPr>
          <w:rFonts w:ascii="Cambria" w:hAnsi="Cambria" w:cstheme="minorHAnsi"/>
        </w:rPr>
        <w:t>Movement in reserve accounts</w:t>
      </w:r>
      <w:r w:rsidRPr="009A0DA6">
        <w:rPr>
          <w:rFonts w:ascii="Cambria" w:hAnsi="Cambria" w:cstheme="minorHAnsi"/>
        </w:rPr>
        <w:tab/>
      </w:r>
      <w:r w:rsidRPr="009A0DA6">
        <w:rPr>
          <w:rFonts w:ascii="Cambria" w:hAnsi="Cambria" w:cstheme="minorHAnsi"/>
        </w:rPr>
        <w:tab/>
        <w:t>0</w:t>
      </w:r>
      <w:r w:rsidRPr="009A0DA6">
        <w:rPr>
          <w:rFonts w:ascii="Cambria" w:hAnsi="Cambria" w:cstheme="minorHAnsi"/>
        </w:rPr>
        <w:tab/>
      </w:r>
      <w:r w:rsidRPr="009A0DA6">
        <w:rPr>
          <w:rFonts w:ascii="Cambria" w:eastAsia="Times New Roman" w:hAnsi="Cambria" w:cstheme="minorHAnsi"/>
          <w:spacing w:val="1"/>
        </w:rPr>
        <w:t>330,</w:t>
      </w:r>
      <w:r w:rsidRPr="009A0DA6">
        <w:rPr>
          <w:rFonts w:ascii="Cambria" w:eastAsia="Times New Roman" w:hAnsi="Cambria" w:cstheme="minorHAnsi"/>
          <w:spacing w:val="-1"/>
        </w:rPr>
        <w:t>0</w:t>
      </w:r>
      <w:r w:rsidRPr="009A0DA6">
        <w:rPr>
          <w:rFonts w:ascii="Cambria" w:eastAsia="Times New Roman" w:hAnsi="Cambria" w:cstheme="minorHAnsi"/>
          <w:spacing w:val="1"/>
        </w:rPr>
        <w:t>3</w:t>
      </w:r>
      <w:r w:rsidRPr="009A0DA6">
        <w:rPr>
          <w:rFonts w:ascii="Cambria" w:eastAsia="Times New Roman" w:hAnsi="Cambria" w:cstheme="minorHAnsi"/>
        </w:rPr>
        <w:t>2</w:t>
      </w:r>
      <w:r w:rsidRPr="009A0DA6">
        <w:rPr>
          <w:rFonts w:ascii="Cambria" w:eastAsia="Times New Roman" w:hAnsi="Cambria" w:cstheme="minorHAnsi"/>
        </w:rPr>
        <w:tab/>
      </w:r>
      <w:r w:rsidRPr="009A0DA6">
        <w:rPr>
          <w:rFonts w:ascii="Cambria" w:eastAsia="Times New Roman" w:hAnsi="Cambria" w:cstheme="minorHAnsi"/>
          <w:spacing w:val="1"/>
        </w:rPr>
        <w:t>330,</w:t>
      </w:r>
      <w:r w:rsidRPr="009A0DA6">
        <w:rPr>
          <w:rFonts w:ascii="Cambria" w:eastAsia="Times New Roman" w:hAnsi="Cambria" w:cstheme="minorHAnsi"/>
          <w:spacing w:val="-1"/>
        </w:rPr>
        <w:t>0</w:t>
      </w:r>
      <w:r w:rsidRPr="009A0DA6">
        <w:rPr>
          <w:rFonts w:ascii="Cambria" w:eastAsia="Times New Roman" w:hAnsi="Cambria" w:cstheme="minorHAnsi"/>
          <w:spacing w:val="1"/>
        </w:rPr>
        <w:t>3</w:t>
      </w:r>
      <w:r w:rsidRPr="009A0DA6">
        <w:rPr>
          <w:rFonts w:ascii="Cambria" w:eastAsia="Times New Roman" w:hAnsi="Cambria" w:cstheme="minorHAnsi"/>
        </w:rPr>
        <w:t>2</w:t>
      </w:r>
    </w:p>
    <w:p w14:paraId="1FA4EF2E" w14:textId="79035867" w:rsidR="00BA4592" w:rsidRPr="009A0DA6" w:rsidRDefault="00BA4592" w:rsidP="00E87E30">
      <w:pPr>
        <w:tabs>
          <w:tab w:val="center" w:pos="4394"/>
          <w:tab w:val="right" w:pos="5670"/>
          <w:tab w:val="right" w:pos="7088"/>
          <w:tab w:val="right" w:pos="8647"/>
        </w:tabs>
        <w:spacing w:before="120" w:after="120" w:line="240" w:lineRule="auto"/>
        <w:ind w:right="-46"/>
        <w:contextualSpacing/>
        <w:rPr>
          <w:rFonts w:ascii="Cambria" w:eastAsiaTheme="minorEastAsia" w:hAnsi="Cambria" w:cstheme="minorHAnsi"/>
          <w:b/>
        </w:rPr>
      </w:pPr>
      <w:r w:rsidRPr="009A0DA6">
        <w:rPr>
          <w:rFonts w:ascii="Cambria" w:eastAsia="Times New Roman" w:hAnsi="Cambria" w:cstheme="minorHAnsi"/>
          <w:spacing w:val="3"/>
        </w:rPr>
        <w:t>T</w:t>
      </w:r>
      <w:r w:rsidRPr="009A0DA6">
        <w:rPr>
          <w:rFonts w:ascii="Cambria" w:eastAsia="Times New Roman" w:hAnsi="Cambria" w:cstheme="minorHAnsi"/>
          <w:spacing w:val="1"/>
        </w:rPr>
        <w:t>r</w:t>
      </w:r>
      <w:r w:rsidRPr="009A0DA6">
        <w:rPr>
          <w:rFonts w:ascii="Cambria" w:eastAsia="Times New Roman" w:hAnsi="Cambria" w:cstheme="minorHAnsi"/>
        </w:rPr>
        <w:t>a</w:t>
      </w:r>
      <w:r w:rsidRPr="009A0DA6">
        <w:rPr>
          <w:rFonts w:ascii="Cambria" w:eastAsia="Times New Roman" w:hAnsi="Cambria" w:cstheme="minorHAnsi"/>
          <w:spacing w:val="-1"/>
        </w:rPr>
        <w:t>nsf</w:t>
      </w:r>
      <w:r w:rsidRPr="009A0DA6">
        <w:rPr>
          <w:rFonts w:ascii="Cambria" w:eastAsia="Times New Roman" w:hAnsi="Cambria" w:cstheme="minorHAnsi"/>
        </w:rPr>
        <w:t>er</w:t>
      </w:r>
      <w:r w:rsidRPr="009A0DA6">
        <w:rPr>
          <w:rFonts w:ascii="Cambria" w:eastAsia="Times New Roman" w:hAnsi="Cambria" w:cstheme="minorHAnsi"/>
          <w:spacing w:val="-6"/>
        </w:rPr>
        <w:t xml:space="preserve"> </w:t>
      </w:r>
      <w:r w:rsidRPr="009A0DA6">
        <w:rPr>
          <w:rFonts w:ascii="Cambria" w:eastAsia="Times New Roman" w:hAnsi="Cambria" w:cstheme="minorHAnsi"/>
          <w:spacing w:val="1"/>
        </w:rPr>
        <w:t>o</w:t>
      </w:r>
      <w:r w:rsidRPr="009A0DA6">
        <w:rPr>
          <w:rFonts w:ascii="Cambria" w:eastAsia="Times New Roman" w:hAnsi="Cambria" w:cstheme="minorHAnsi"/>
        </w:rPr>
        <w:t>f</w:t>
      </w:r>
      <w:r w:rsidRPr="009A0DA6">
        <w:rPr>
          <w:rFonts w:ascii="Cambria" w:eastAsia="Times New Roman" w:hAnsi="Cambria" w:cstheme="minorHAnsi"/>
          <w:spacing w:val="-3"/>
        </w:rPr>
        <w:t xml:space="preserve"> </w:t>
      </w:r>
      <w:r w:rsidRPr="009A0DA6">
        <w:rPr>
          <w:rFonts w:ascii="Cambria" w:eastAsia="Times New Roman" w:hAnsi="Cambria" w:cstheme="minorHAnsi"/>
          <w:spacing w:val="1"/>
        </w:rPr>
        <w:t>prop</w:t>
      </w:r>
      <w:r w:rsidRPr="009A0DA6">
        <w:rPr>
          <w:rFonts w:ascii="Cambria" w:eastAsia="Times New Roman" w:hAnsi="Cambria" w:cstheme="minorHAnsi"/>
        </w:rPr>
        <w:t>e</w:t>
      </w:r>
      <w:r w:rsidRPr="009A0DA6">
        <w:rPr>
          <w:rFonts w:ascii="Cambria" w:eastAsia="Times New Roman" w:hAnsi="Cambria" w:cstheme="minorHAnsi"/>
          <w:spacing w:val="1"/>
        </w:rPr>
        <w:t>r</w:t>
      </w:r>
      <w:r w:rsidRPr="009A0DA6">
        <w:rPr>
          <w:rFonts w:ascii="Cambria" w:eastAsia="Times New Roman" w:hAnsi="Cambria" w:cstheme="minorHAnsi"/>
        </w:rPr>
        <w:t>ty</w:t>
      </w:r>
      <w:r w:rsidRPr="009A0DA6">
        <w:rPr>
          <w:rFonts w:ascii="Cambria" w:eastAsia="Times New Roman" w:hAnsi="Cambria" w:cstheme="minorHAnsi"/>
          <w:spacing w:val="-10"/>
        </w:rPr>
        <w:t xml:space="preserve"> </w:t>
      </w:r>
      <w:r w:rsidRPr="009A0DA6">
        <w:rPr>
          <w:rFonts w:ascii="Cambria" w:eastAsia="Times New Roman" w:hAnsi="Cambria" w:cstheme="minorHAnsi"/>
        </w:rPr>
        <w:t>at</w:t>
      </w:r>
      <w:r w:rsidRPr="009A0DA6">
        <w:rPr>
          <w:rFonts w:ascii="Cambria" w:eastAsia="Times New Roman" w:hAnsi="Cambria" w:cstheme="minorHAnsi"/>
          <w:spacing w:val="-1"/>
        </w:rPr>
        <w:t xml:space="preserve"> </w:t>
      </w:r>
      <w:r w:rsidRPr="009A0DA6">
        <w:rPr>
          <w:rFonts w:ascii="Cambria" w:eastAsia="Times New Roman" w:hAnsi="Cambria" w:cstheme="minorHAnsi"/>
        </w:rPr>
        <w:t>c</w:t>
      </w:r>
      <w:r w:rsidRPr="009A0DA6">
        <w:rPr>
          <w:rFonts w:ascii="Cambria" w:eastAsia="Times New Roman" w:hAnsi="Cambria" w:cstheme="minorHAnsi"/>
          <w:spacing w:val="1"/>
        </w:rPr>
        <w:t>o</w:t>
      </w:r>
      <w:r w:rsidRPr="009A0DA6">
        <w:rPr>
          <w:rFonts w:ascii="Cambria" w:eastAsia="Times New Roman" w:hAnsi="Cambria" w:cstheme="minorHAnsi"/>
          <w:spacing w:val="-1"/>
        </w:rPr>
        <w:t>s</w:t>
      </w:r>
      <w:r w:rsidRPr="009A0DA6">
        <w:rPr>
          <w:rFonts w:ascii="Cambria" w:eastAsia="Times New Roman" w:hAnsi="Cambria" w:cstheme="minorHAnsi"/>
        </w:rPr>
        <w:t xml:space="preserve">t to </w:t>
      </w:r>
      <w:r w:rsidRPr="009A0DA6">
        <w:rPr>
          <w:rFonts w:ascii="Cambria" w:eastAsia="Times New Roman" w:hAnsi="Cambria" w:cstheme="minorHAnsi"/>
          <w:spacing w:val="-2"/>
        </w:rPr>
        <w:t>L</w:t>
      </w:r>
      <w:r w:rsidRPr="009A0DA6">
        <w:rPr>
          <w:rFonts w:ascii="Cambria" w:eastAsia="Times New Roman" w:hAnsi="Cambria" w:cstheme="minorHAnsi"/>
          <w:spacing w:val="2"/>
        </w:rPr>
        <w:t>C</w:t>
      </w:r>
      <w:r w:rsidRPr="009A0DA6">
        <w:rPr>
          <w:rFonts w:ascii="Cambria" w:eastAsia="Times New Roman" w:hAnsi="Cambria" w:cstheme="minorHAnsi"/>
        </w:rPr>
        <w:t>A</w:t>
      </w:r>
      <w:r w:rsidRPr="009A0DA6">
        <w:rPr>
          <w:rFonts w:ascii="Cambria" w:eastAsia="Times New Roman" w:hAnsi="Cambria" w:cstheme="minorHAnsi"/>
          <w:spacing w:val="-6"/>
        </w:rPr>
        <w:t xml:space="preserve"> </w:t>
      </w:r>
      <w:r w:rsidRPr="009A0DA6">
        <w:rPr>
          <w:rFonts w:ascii="Cambria" w:eastAsia="Times New Roman" w:hAnsi="Cambria" w:cstheme="minorHAnsi"/>
          <w:spacing w:val="2"/>
        </w:rPr>
        <w:t>P</w:t>
      </w:r>
      <w:r w:rsidRPr="009A0DA6">
        <w:rPr>
          <w:rFonts w:ascii="Cambria" w:eastAsia="Times New Roman" w:hAnsi="Cambria" w:cstheme="minorHAnsi"/>
          <w:spacing w:val="1"/>
        </w:rPr>
        <w:t>rop</w:t>
      </w:r>
      <w:r w:rsidRPr="009A0DA6">
        <w:rPr>
          <w:rFonts w:ascii="Cambria" w:eastAsia="Times New Roman" w:hAnsi="Cambria" w:cstheme="minorHAnsi"/>
        </w:rPr>
        <w:t>e</w:t>
      </w:r>
      <w:r w:rsidRPr="009A0DA6">
        <w:rPr>
          <w:rFonts w:ascii="Cambria" w:eastAsia="Times New Roman" w:hAnsi="Cambria" w:cstheme="minorHAnsi"/>
          <w:spacing w:val="1"/>
        </w:rPr>
        <w:t>r</w:t>
      </w:r>
      <w:r w:rsidRPr="009A0DA6">
        <w:rPr>
          <w:rFonts w:ascii="Cambria" w:eastAsia="Times New Roman" w:hAnsi="Cambria" w:cstheme="minorHAnsi"/>
        </w:rPr>
        <w:t>ty</w:t>
      </w:r>
      <w:r w:rsidRPr="009A0DA6">
        <w:rPr>
          <w:rFonts w:ascii="Cambria" w:eastAsia="Times New Roman" w:hAnsi="Cambria" w:cstheme="minorHAnsi"/>
          <w:spacing w:val="-8"/>
        </w:rPr>
        <w:t xml:space="preserve"> </w:t>
      </w:r>
      <w:r w:rsidRPr="009A0DA6">
        <w:rPr>
          <w:rFonts w:ascii="Cambria" w:eastAsia="Times New Roman" w:hAnsi="Cambria" w:cstheme="minorHAnsi"/>
          <w:spacing w:val="-2"/>
        </w:rPr>
        <w:t>L</w:t>
      </w:r>
      <w:r w:rsidRPr="009A0DA6">
        <w:rPr>
          <w:rFonts w:ascii="Cambria" w:eastAsia="Times New Roman" w:hAnsi="Cambria" w:cstheme="minorHAnsi"/>
        </w:rPr>
        <w:t>td</w:t>
      </w:r>
      <w:r w:rsidR="00206BF6">
        <w:rPr>
          <w:rFonts w:ascii="Cambria" w:hAnsi="Cambria" w:cstheme="minorHAnsi"/>
          <w:b/>
        </w:rPr>
        <w:t xml:space="preserve"> </w:t>
      </w:r>
      <w:r w:rsidR="00206BF6">
        <w:rPr>
          <w:rFonts w:ascii="Cambria" w:hAnsi="Cambria" w:cstheme="minorHAnsi"/>
          <w:b/>
        </w:rPr>
        <w:tab/>
      </w:r>
      <w:r w:rsidRPr="009A0DA6">
        <w:rPr>
          <w:rFonts w:ascii="Cambria" w:eastAsia="Times New Roman" w:hAnsi="Cambria" w:cstheme="minorHAnsi"/>
          <w:spacing w:val="1"/>
        </w:rPr>
        <w:t>(498</w:t>
      </w:r>
      <w:r w:rsidRPr="009A0DA6">
        <w:rPr>
          <w:rFonts w:ascii="Cambria" w:eastAsia="Times New Roman" w:hAnsi="Cambria" w:cstheme="minorHAnsi"/>
          <w:spacing w:val="-2"/>
        </w:rPr>
        <w:t>,</w:t>
      </w:r>
      <w:r w:rsidRPr="009A0DA6">
        <w:rPr>
          <w:rFonts w:ascii="Cambria" w:eastAsia="Times New Roman" w:hAnsi="Cambria" w:cstheme="minorHAnsi"/>
          <w:spacing w:val="1"/>
        </w:rPr>
        <w:t>00</w:t>
      </w:r>
      <w:r w:rsidRPr="009A0DA6">
        <w:rPr>
          <w:rFonts w:ascii="Cambria" w:eastAsia="Times New Roman" w:hAnsi="Cambria" w:cstheme="minorHAnsi"/>
          <w:spacing w:val="-1"/>
        </w:rPr>
        <w:t>0</w:t>
      </w:r>
      <w:r w:rsidRPr="009A0DA6">
        <w:rPr>
          <w:rFonts w:ascii="Cambria" w:eastAsia="Times New Roman" w:hAnsi="Cambria" w:cstheme="minorHAnsi"/>
        </w:rPr>
        <w:t>)</w:t>
      </w:r>
      <w:r w:rsidRPr="009A0DA6">
        <w:rPr>
          <w:rFonts w:ascii="Cambria" w:eastAsia="Times New Roman" w:hAnsi="Cambria" w:cstheme="minorHAnsi"/>
        </w:rPr>
        <w:tab/>
        <w:t>0</w:t>
      </w:r>
      <w:r w:rsidRPr="009A0DA6">
        <w:rPr>
          <w:rFonts w:ascii="Cambria" w:eastAsia="Times New Roman" w:hAnsi="Cambria" w:cstheme="minorHAnsi"/>
        </w:rPr>
        <w:tab/>
      </w:r>
      <w:r w:rsidRPr="009A0DA6">
        <w:rPr>
          <w:rFonts w:ascii="Cambria" w:eastAsia="Times New Roman" w:hAnsi="Cambria" w:cstheme="minorHAnsi"/>
          <w:spacing w:val="1"/>
        </w:rPr>
        <w:t>(498</w:t>
      </w:r>
      <w:r w:rsidRPr="009A0DA6">
        <w:rPr>
          <w:rFonts w:ascii="Cambria" w:eastAsia="Times New Roman" w:hAnsi="Cambria" w:cstheme="minorHAnsi"/>
          <w:spacing w:val="-2"/>
        </w:rPr>
        <w:t>,</w:t>
      </w:r>
      <w:r w:rsidRPr="009A0DA6">
        <w:rPr>
          <w:rFonts w:ascii="Cambria" w:eastAsia="Times New Roman" w:hAnsi="Cambria" w:cstheme="minorHAnsi"/>
          <w:spacing w:val="1"/>
        </w:rPr>
        <w:t>00</w:t>
      </w:r>
      <w:r w:rsidRPr="009A0DA6">
        <w:rPr>
          <w:rFonts w:ascii="Cambria" w:eastAsia="Times New Roman" w:hAnsi="Cambria" w:cstheme="minorHAnsi"/>
          <w:spacing w:val="-1"/>
        </w:rPr>
        <w:t>0</w:t>
      </w:r>
      <w:r w:rsidRPr="009A0DA6">
        <w:rPr>
          <w:rFonts w:ascii="Cambria" w:eastAsia="Times New Roman" w:hAnsi="Cambria" w:cstheme="minorHAnsi"/>
        </w:rPr>
        <w:t>)</w:t>
      </w:r>
    </w:p>
    <w:p w14:paraId="15786831" w14:textId="77777777" w:rsidR="00BA4592" w:rsidRPr="009A0DA6" w:rsidRDefault="00BA4592" w:rsidP="00E87E30">
      <w:pPr>
        <w:tabs>
          <w:tab w:val="center" w:pos="4394"/>
          <w:tab w:val="right" w:pos="5670"/>
          <w:tab w:val="right" w:pos="7088"/>
          <w:tab w:val="right" w:pos="8647"/>
        </w:tabs>
        <w:spacing w:before="120" w:after="120" w:line="240" w:lineRule="auto"/>
        <w:ind w:right="-46"/>
        <w:contextualSpacing/>
        <w:rPr>
          <w:rFonts w:ascii="Cambria" w:hAnsi="Cambria" w:cstheme="minorHAnsi"/>
        </w:rPr>
      </w:pPr>
      <w:r w:rsidRPr="009A0DA6">
        <w:rPr>
          <w:rFonts w:ascii="Cambria" w:hAnsi="Cambria" w:cstheme="minorHAnsi"/>
          <w:b/>
        </w:rPr>
        <w:t>Balance as at 31 December 2017</w:t>
      </w:r>
      <w:r w:rsidRPr="009A0DA6">
        <w:rPr>
          <w:rFonts w:ascii="Cambria" w:hAnsi="Cambria" w:cstheme="minorHAnsi"/>
          <w:b/>
        </w:rPr>
        <w:tab/>
      </w:r>
      <w:r w:rsidRPr="009A0DA6">
        <w:rPr>
          <w:rFonts w:ascii="Cambria" w:hAnsi="Cambria" w:cstheme="minorHAnsi"/>
          <w:b/>
        </w:rPr>
        <w:tab/>
        <w:t>$</w:t>
      </w:r>
      <w:r w:rsidRPr="009A0DA6">
        <w:rPr>
          <w:rFonts w:ascii="Cambria" w:eastAsia="Times New Roman" w:hAnsi="Cambria" w:cstheme="minorHAnsi"/>
          <w:b/>
          <w:spacing w:val="1"/>
        </w:rPr>
        <w:t>3,49</w:t>
      </w:r>
      <w:r w:rsidRPr="009A0DA6">
        <w:rPr>
          <w:rFonts w:ascii="Cambria" w:eastAsia="Times New Roman" w:hAnsi="Cambria" w:cstheme="minorHAnsi"/>
          <w:b/>
          <w:spacing w:val="-1"/>
        </w:rPr>
        <w:t>8</w:t>
      </w:r>
      <w:r w:rsidRPr="009A0DA6">
        <w:rPr>
          <w:rFonts w:ascii="Cambria" w:eastAsia="Times New Roman" w:hAnsi="Cambria" w:cstheme="minorHAnsi"/>
          <w:b/>
          <w:spacing w:val="1"/>
        </w:rPr>
        <w:t>,9</w:t>
      </w:r>
      <w:r w:rsidRPr="009A0DA6">
        <w:rPr>
          <w:rFonts w:ascii="Cambria" w:eastAsia="Times New Roman" w:hAnsi="Cambria" w:cstheme="minorHAnsi"/>
          <w:b/>
          <w:spacing w:val="-1"/>
        </w:rPr>
        <w:t>8</w:t>
      </w:r>
      <w:r w:rsidRPr="009A0DA6">
        <w:rPr>
          <w:rFonts w:ascii="Cambria" w:eastAsia="Times New Roman" w:hAnsi="Cambria" w:cstheme="minorHAnsi"/>
          <w:b/>
        </w:rPr>
        <w:t>7</w:t>
      </w:r>
      <w:r w:rsidRPr="009A0DA6">
        <w:rPr>
          <w:rFonts w:ascii="Cambria" w:eastAsia="Times New Roman" w:hAnsi="Cambria" w:cstheme="minorHAnsi"/>
          <w:b/>
        </w:rPr>
        <w:tab/>
        <w:t>$</w:t>
      </w:r>
      <w:r w:rsidRPr="009A0DA6">
        <w:rPr>
          <w:rFonts w:ascii="Cambria" w:eastAsia="Times New Roman" w:hAnsi="Cambria" w:cstheme="minorHAnsi"/>
          <w:b/>
          <w:spacing w:val="1"/>
        </w:rPr>
        <w:t>9,98</w:t>
      </w:r>
      <w:r w:rsidRPr="009A0DA6">
        <w:rPr>
          <w:rFonts w:ascii="Cambria" w:eastAsia="Times New Roman" w:hAnsi="Cambria" w:cstheme="minorHAnsi"/>
          <w:b/>
          <w:spacing w:val="-1"/>
        </w:rPr>
        <w:t>0</w:t>
      </w:r>
      <w:r w:rsidRPr="009A0DA6">
        <w:rPr>
          <w:rFonts w:ascii="Cambria" w:eastAsia="Times New Roman" w:hAnsi="Cambria" w:cstheme="minorHAnsi"/>
          <w:b/>
          <w:spacing w:val="1"/>
        </w:rPr>
        <w:t>,4</w:t>
      </w:r>
      <w:r w:rsidRPr="009A0DA6">
        <w:rPr>
          <w:rFonts w:ascii="Cambria" w:eastAsia="Times New Roman" w:hAnsi="Cambria" w:cstheme="minorHAnsi"/>
          <w:b/>
          <w:spacing w:val="-1"/>
        </w:rPr>
        <w:t>3</w:t>
      </w:r>
      <w:r w:rsidRPr="009A0DA6">
        <w:rPr>
          <w:rFonts w:ascii="Cambria" w:eastAsia="Times New Roman" w:hAnsi="Cambria" w:cstheme="minorHAnsi"/>
          <w:b/>
        </w:rPr>
        <w:t>4</w:t>
      </w:r>
      <w:r w:rsidRPr="009A0DA6">
        <w:rPr>
          <w:rFonts w:ascii="Cambria" w:eastAsia="Times New Roman" w:hAnsi="Cambria" w:cstheme="minorHAnsi"/>
          <w:b/>
        </w:rPr>
        <w:tab/>
        <w:t>$</w:t>
      </w:r>
      <w:r w:rsidRPr="009A0DA6">
        <w:rPr>
          <w:rFonts w:ascii="Cambria" w:eastAsia="Times New Roman" w:hAnsi="Cambria" w:cstheme="minorHAnsi"/>
          <w:b/>
          <w:spacing w:val="1"/>
        </w:rPr>
        <w:t>13,4</w:t>
      </w:r>
      <w:r w:rsidRPr="009A0DA6">
        <w:rPr>
          <w:rFonts w:ascii="Cambria" w:eastAsia="Times New Roman" w:hAnsi="Cambria" w:cstheme="minorHAnsi"/>
          <w:b/>
          <w:spacing w:val="-1"/>
        </w:rPr>
        <w:t>7</w:t>
      </w:r>
      <w:r w:rsidRPr="009A0DA6">
        <w:rPr>
          <w:rFonts w:ascii="Cambria" w:eastAsia="Times New Roman" w:hAnsi="Cambria" w:cstheme="minorHAnsi"/>
          <w:b/>
          <w:spacing w:val="1"/>
        </w:rPr>
        <w:t>9,</w:t>
      </w:r>
      <w:r w:rsidRPr="009A0DA6">
        <w:rPr>
          <w:rFonts w:ascii="Cambria" w:eastAsia="Times New Roman" w:hAnsi="Cambria" w:cstheme="minorHAnsi"/>
          <w:b/>
          <w:spacing w:val="-1"/>
        </w:rPr>
        <w:t>4</w:t>
      </w:r>
      <w:r w:rsidRPr="009A0DA6">
        <w:rPr>
          <w:rFonts w:ascii="Cambria" w:eastAsia="Times New Roman" w:hAnsi="Cambria" w:cstheme="minorHAnsi"/>
          <w:b/>
          <w:spacing w:val="1"/>
        </w:rPr>
        <w:t>2</w:t>
      </w:r>
      <w:r w:rsidRPr="009A0DA6">
        <w:rPr>
          <w:rFonts w:ascii="Cambria" w:eastAsia="Times New Roman" w:hAnsi="Cambria" w:cstheme="minorHAnsi"/>
          <w:b/>
        </w:rPr>
        <w:t>1</w:t>
      </w:r>
    </w:p>
    <w:p w14:paraId="4741E748" w14:textId="77777777" w:rsidR="00BA4592" w:rsidRPr="009A0DA6" w:rsidRDefault="00BA4592" w:rsidP="00BA4592">
      <w:pPr>
        <w:tabs>
          <w:tab w:val="center" w:pos="4394"/>
          <w:tab w:val="right" w:pos="6095"/>
          <w:tab w:val="right" w:pos="7371"/>
          <w:tab w:val="right" w:pos="8647"/>
        </w:tabs>
        <w:spacing w:before="120" w:after="120" w:line="240" w:lineRule="auto"/>
        <w:ind w:right="2"/>
        <w:contextualSpacing/>
        <w:rPr>
          <w:rFonts w:ascii="Cambria" w:hAnsi="Cambria" w:cstheme="minorHAnsi"/>
        </w:rPr>
      </w:pPr>
      <w:r w:rsidRPr="009A0DA6">
        <w:rPr>
          <w:rFonts w:ascii="Cambria" w:hAnsi="Cambria" w:cstheme="minorHAnsi"/>
        </w:rPr>
        <w:t>The accompanying notes form part of these financial statements.</w:t>
      </w:r>
    </w:p>
    <w:p w14:paraId="1CEA8513" w14:textId="14DF7005" w:rsidR="00E4168D" w:rsidRPr="009A0DA6" w:rsidRDefault="00E4168D" w:rsidP="00766B14">
      <w:pPr>
        <w:pStyle w:val="NoSpacing"/>
        <w:rPr>
          <w:b/>
        </w:rPr>
      </w:pPr>
      <w:r w:rsidRPr="009A0DA6">
        <w:rPr>
          <w:b/>
        </w:rPr>
        <w:lastRenderedPageBreak/>
        <w:t>STATEMENT OF CASH FLOWS</w:t>
      </w:r>
    </w:p>
    <w:p w14:paraId="03183000" w14:textId="77777777" w:rsidR="00FF7E8B" w:rsidRPr="009A0DA6" w:rsidRDefault="00FF7E8B" w:rsidP="00FF7E8B">
      <w:pPr>
        <w:pStyle w:val="NoSpacing"/>
        <w:rPr>
          <w:b/>
        </w:rPr>
      </w:pPr>
      <w:r w:rsidRPr="009A0DA6">
        <w:rPr>
          <w:b/>
        </w:rPr>
        <w:t xml:space="preserve">FOR </w:t>
      </w:r>
      <w:r>
        <w:rPr>
          <w:b/>
        </w:rPr>
        <w:t>THE PERIODS ENDING</w:t>
      </w:r>
      <w:r w:rsidRPr="009A0DA6">
        <w:rPr>
          <w:b/>
        </w:rPr>
        <w:t xml:space="preserve"> 31 DECEMBER </w:t>
      </w:r>
    </w:p>
    <w:p w14:paraId="6733FC2F" w14:textId="77777777" w:rsidR="00BA4592" w:rsidRPr="009A0DA6" w:rsidRDefault="00BA4592" w:rsidP="00E87E30">
      <w:pPr>
        <w:tabs>
          <w:tab w:val="center" w:pos="4395"/>
          <w:tab w:val="right" w:pos="5954"/>
          <w:tab w:val="right" w:pos="7371"/>
          <w:tab w:val="right" w:pos="8647"/>
        </w:tabs>
        <w:spacing w:before="120" w:after="120" w:line="240" w:lineRule="auto"/>
        <w:ind w:right="-329"/>
        <w:contextualSpacing/>
        <w:rPr>
          <w:rFonts w:ascii="Cambria" w:hAnsi="Cambria" w:cstheme="minorHAnsi"/>
          <w:b/>
        </w:rPr>
      </w:pPr>
      <w:r w:rsidRPr="009A0DA6">
        <w:rPr>
          <w:rFonts w:ascii="Cambria" w:hAnsi="Cambria" w:cstheme="minorHAnsi"/>
          <w:b/>
        </w:rPr>
        <w:tab/>
        <w:t>Note</w:t>
      </w:r>
      <w:r w:rsidRPr="009A0DA6">
        <w:rPr>
          <w:rFonts w:ascii="Cambria" w:hAnsi="Cambria" w:cstheme="minorHAnsi"/>
          <w:b/>
        </w:rPr>
        <w:tab/>
        <w:t>2017</w:t>
      </w:r>
      <w:r w:rsidRPr="009A0DA6">
        <w:rPr>
          <w:rFonts w:ascii="Cambria" w:hAnsi="Cambria" w:cstheme="minorHAnsi"/>
          <w:b/>
        </w:rPr>
        <w:tab/>
        <w:t>2016</w:t>
      </w:r>
      <w:r w:rsidRPr="009A0DA6">
        <w:rPr>
          <w:rFonts w:ascii="Cambria" w:hAnsi="Cambria" w:cstheme="minorHAnsi"/>
          <w:b/>
        </w:rPr>
        <w:tab/>
        <w:t>2015</w:t>
      </w:r>
    </w:p>
    <w:p w14:paraId="505E79C1" w14:textId="77777777" w:rsidR="00BA4592" w:rsidRPr="009A0DA6" w:rsidRDefault="00BA4592" w:rsidP="00E87E30">
      <w:pPr>
        <w:tabs>
          <w:tab w:val="center" w:pos="4395"/>
          <w:tab w:val="right" w:pos="5954"/>
          <w:tab w:val="right" w:pos="7371"/>
          <w:tab w:val="right" w:pos="8647"/>
        </w:tabs>
        <w:spacing w:before="120" w:after="120" w:line="240" w:lineRule="auto"/>
        <w:ind w:right="-329"/>
        <w:contextualSpacing/>
        <w:rPr>
          <w:rFonts w:ascii="Cambria" w:hAnsi="Cambria" w:cstheme="minorHAnsi"/>
          <w:b/>
        </w:rPr>
      </w:pPr>
      <w:r w:rsidRPr="009A0DA6">
        <w:rPr>
          <w:rFonts w:ascii="Cambria" w:hAnsi="Cambria" w:cstheme="minorHAnsi"/>
          <w:b/>
        </w:rPr>
        <w:t>CASH FLOWS FROM OPERATING ACTIVITIES</w:t>
      </w:r>
    </w:p>
    <w:p w14:paraId="5371C36B" w14:textId="77777777" w:rsidR="00BA4592" w:rsidRPr="009A0DA6" w:rsidRDefault="00BA4592" w:rsidP="00E87E30">
      <w:pPr>
        <w:tabs>
          <w:tab w:val="center" w:pos="4395"/>
          <w:tab w:val="right" w:pos="5954"/>
          <w:tab w:val="right" w:pos="7371"/>
          <w:tab w:val="right" w:pos="8647"/>
        </w:tabs>
        <w:spacing w:before="120" w:after="120" w:line="240" w:lineRule="auto"/>
        <w:ind w:right="-329"/>
        <w:contextualSpacing/>
        <w:rPr>
          <w:rFonts w:ascii="Cambria" w:hAnsi="Cambria" w:cstheme="minorHAnsi"/>
        </w:rPr>
      </w:pPr>
      <w:r w:rsidRPr="009A0DA6">
        <w:rPr>
          <w:rFonts w:ascii="Cambria" w:hAnsi="Cambria" w:cstheme="minorHAnsi"/>
        </w:rPr>
        <w:t>Receipts from ordinary activities</w:t>
      </w:r>
      <w:r w:rsidRPr="009A0DA6">
        <w:rPr>
          <w:rFonts w:ascii="Cambria" w:hAnsi="Cambria" w:cstheme="minorHAnsi"/>
        </w:rPr>
        <w:tab/>
      </w:r>
      <w:r w:rsidRPr="009A0DA6">
        <w:rPr>
          <w:rFonts w:ascii="Cambria" w:hAnsi="Cambria" w:cstheme="minorHAnsi"/>
        </w:rPr>
        <w:tab/>
      </w:r>
      <w:r w:rsidRPr="009A0DA6">
        <w:rPr>
          <w:rFonts w:ascii="Cambria" w:eastAsia="Times New Roman" w:hAnsi="Cambria" w:cstheme="minorHAnsi"/>
          <w:spacing w:val="1"/>
        </w:rPr>
        <w:t>9,37</w:t>
      </w:r>
      <w:r w:rsidRPr="009A0DA6">
        <w:rPr>
          <w:rFonts w:ascii="Cambria" w:eastAsia="Times New Roman" w:hAnsi="Cambria" w:cstheme="minorHAnsi"/>
          <w:spacing w:val="-1"/>
        </w:rPr>
        <w:t>1</w:t>
      </w:r>
      <w:r w:rsidRPr="009A0DA6">
        <w:rPr>
          <w:rFonts w:ascii="Cambria" w:eastAsia="Times New Roman" w:hAnsi="Cambria" w:cstheme="minorHAnsi"/>
          <w:spacing w:val="1"/>
        </w:rPr>
        <w:t>,3</w:t>
      </w:r>
      <w:r w:rsidRPr="009A0DA6">
        <w:rPr>
          <w:rFonts w:ascii="Cambria" w:eastAsia="Times New Roman" w:hAnsi="Cambria" w:cstheme="minorHAnsi"/>
          <w:spacing w:val="-1"/>
        </w:rPr>
        <w:t>1</w:t>
      </w:r>
      <w:r w:rsidRPr="009A0DA6">
        <w:rPr>
          <w:rFonts w:ascii="Cambria" w:eastAsia="Times New Roman" w:hAnsi="Cambria" w:cstheme="minorHAnsi"/>
        </w:rPr>
        <w:t>5</w:t>
      </w:r>
      <w:r w:rsidRPr="009A0DA6">
        <w:rPr>
          <w:rFonts w:ascii="Cambria" w:hAnsi="Cambria" w:cstheme="minorHAnsi"/>
        </w:rPr>
        <w:tab/>
      </w:r>
      <w:r w:rsidRPr="009A0DA6">
        <w:rPr>
          <w:rFonts w:ascii="Cambria" w:eastAsia="Times New Roman" w:hAnsi="Cambria" w:cstheme="minorHAnsi"/>
          <w:spacing w:val="1"/>
        </w:rPr>
        <w:t>9,47</w:t>
      </w:r>
      <w:r w:rsidRPr="009A0DA6">
        <w:rPr>
          <w:rFonts w:ascii="Cambria" w:eastAsia="Times New Roman" w:hAnsi="Cambria" w:cstheme="minorHAnsi"/>
          <w:spacing w:val="-1"/>
        </w:rPr>
        <w:t>7</w:t>
      </w:r>
      <w:r w:rsidRPr="009A0DA6">
        <w:rPr>
          <w:rFonts w:ascii="Cambria" w:eastAsia="Times New Roman" w:hAnsi="Cambria" w:cstheme="minorHAnsi"/>
          <w:spacing w:val="1"/>
        </w:rPr>
        <w:t>,0</w:t>
      </w:r>
      <w:r w:rsidRPr="009A0DA6">
        <w:rPr>
          <w:rFonts w:ascii="Cambria" w:eastAsia="Times New Roman" w:hAnsi="Cambria" w:cstheme="minorHAnsi"/>
          <w:spacing w:val="-1"/>
        </w:rPr>
        <w:t>7</w:t>
      </w:r>
      <w:r w:rsidRPr="009A0DA6">
        <w:rPr>
          <w:rFonts w:ascii="Cambria" w:eastAsia="Times New Roman" w:hAnsi="Cambria" w:cstheme="minorHAnsi"/>
        </w:rPr>
        <w:t>0</w:t>
      </w:r>
      <w:r w:rsidRPr="009A0DA6">
        <w:rPr>
          <w:rFonts w:ascii="Cambria" w:hAnsi="Cambria" w:cstheme="minorHAnsi"/>
        </w:rPr>
        <w:tab/>
      </w:r>
      <w:r w:rsidRPr="009A0DA6">
        <w:rPr>
          <w:rFonts w:ascii="Cambria" w:eastAsia="Times New Roman" w:hAnsi="Cambria" w:cstheme="minorHAnsi"/>
          <w:w w:val="105"/>
        </w:rPr>
        <w:t>8,061,470</w:t>
      </w:r>
    </w:p>
    <w:p w14:paraId="4E62C5B3" w14:textId="77777777" w:rsidR="00BA4592" w:rsidRPr="009A0DA6" w:rsidRDefault="00BA4592" w:rsidP="00E87E30">
      <w:pPr>
        <w:tabs>
          <w:tab w:val="center" w:pos="4395"/>
          <w:tab w:val="right" w:pos="5954"/>
          <w:tab w:val="right" w:pos="7371"/>
          <w:tab w:val="right" w:pos="8647"/>
        </w:tabs>
        <w:spacing w:before="120" w:after="120" w:line="240" w:lineRule="auto"/>
        <w:ind w:right="-329"/>
        <w:contextualSpacing/>
        <w:rPr>
          <w:rFonts w:ascii="Cambria" w:hAnsi="Cambria" w:cstheme="minorHAnsi"/>
        </w:rPr>
      </w:pPr>
      <w:r w:rsidRPr="009A0DA6">
        <w:rPr>
          <w:rFonts w:ascii="Cambria" w:hAnsi="Cambria" w:cstheme="minorHAnsi"/>
        </w:rPr>
        <w:t>Donations and legacies received</w:t>
      </w:r>
      <w:r w:rsidRPr="009A0DA6">
        <w:rPr>
          <w:rFonts w:ascii="Cambria" w:hAnsi="Cambria" w:cstheme="minorHAnsi"/>
        </w:rPr>
        <w:tab/>
      </w:r>
      <w:r w:rsidRPr="009A0DA6">
        <w:rPr>
          <w:rFonts w:ascii="Cambria" w:hAnsi="Cambria" w:cstheme="minorHAnsi"/>
        </w:rPr>
        <w:tab/>
      </w:r>
      <w:r w:rsidRPr="009A0DA6">
        <w:rPr>
          <w:rFonts w:ascii="Cambria" w:eastAsia="Times New Roman" w:hAnsi="Cambria" w:cstheme="minorHAnsi"/>
          <w:spacing w:val="1"/>
        </w:rPr>
        <w:t>1,34</w:t>
      </w:r>
      <w:r w:rsidRPr="009A0DA6">
        <w:rPr>
          <w:rFonts w:ascii="Cambria" w:eastAsia="Times New Roman" w:hAnsi="Cambria" w:cstheme="minorHAnsi"/>
          <w:spacing w:val="-1"/>
        </w:rPr>
        <w:t>2</w:t>
      </w:r>
      <w:r w:rsidRPr="009A0DA6">
        <w:rPr>
          <w:rFonts w:ascii="Cambria" w:eastAsia="Times New Roman" w:hAnsi="Cambria" w:cstheme="minorHAnsi"/>
          <w:spacing w:val="1"/>
        </w:rPr>
        <w:t>,9</w:t>
      </w:r>
      <w:r w:rsidRPr="009A0DA6">
        <w:rPr>
          <w:rFonts w:ascii="Cambria" w:eastAsia="Times New Roman" w:hAnsi="Cambria" w:cstheme="minorHAnsi"/>
          <w:spacing w:val="-1"/>
        </w:rPr>
        <w:t>3</w:t>
      </w:r>
      <w:r w:rsidRPr="009A0DA6">
        <w:rPr>
          <w:rFonts w:ascii="Cambria" w:eastAsia="Times New Roman" w:hAnsi="Cambria" w:cstheme="minorHAnsi"/>
        </w:rPr>
        <w:t>5</w:t>
      </w:r>
      <w:r w:rsidRPr="009A0DA6">
        <w:rPr>
          <w:rFonts w:ascii="Cambria" w:hAnsi="Cambria" w:cstheme="minorHAnsi"/>
        </w:rPr>
        <w:tab/>
      </w:r>
      <w:r w:rsidRPr="009A0DA6">
        <w:rPr>
          <w:rFonts w:ascii="Cambria" w:eastAsia="Times New Roman" w:hAnsi="Cambria" w:cstheme="minorHAnsi"/>
          <w:spacing w:val="1"/>
        </w:rPr>
        <w:t>2,12</w:t>
      </w:r>
      <w:r w:rsidRPr="009A0DA6">
        <w:rPr>
          <w:rFonts w:ascii="Cambria" w:eastAsia="Times New Roman" w:hAnsi="Cambria" w:cstheme="minorHAnsi"/>
          <w:spacing w:val="-1"/>
        </w:rPr>
        <w:t>7</w:t>
      </w:r>
      <w:r w:rsidRPr="009A0DA6">
        <w:rPr>
          <w:rFonts w:ascii="Cambria" w:eastAsia="Times New Roman" w:hAnsi="Cambria" w:cstheme="minorHAnsi"/>
          <w:spacing w:val="1"/>
        </w:rPr>
        <w:t>,1</w:t>
      </w:r>
      <w:r w:rsidRPr="009A0DA6">
        <w:rPr>
          <w:rFonts w:ascii="Cambria" w:eastAsia="Times New Roman" w:hAnsi="Cambria" w:cstheme="minorHAnsi"/>
          <w:spacing w:val="-1"/>
        </w:rPr>
        <w:t>3</w:t>
      </w:r>
      <w:r w:rsidRPr="009A0DA6">
        <w:rPr>
          <w:rFonts w:ascii="Cambria" w:eastAsia="Times New Roman" w:hAnsi="Cambria" w:cstheme="minorHAnsi"/>
        </w:rPr>
        <w:t>3</w:t>
      </w:r>
      <w:r w:rsidRPr="009A0DA6">
        <w:rPr>
          <w:rFonts w:ascii="Cambria" w:hAnsi="Cambria" w:cstheme="minorHAnsi"/>
        </w:rPr>
        <w:tab/>
      </w:r>
      <w:r w:rsidRPr="009A0DA6">
        <w:rPr>
          <w:rFonts w:ascii="Cambria" w:eastAsia="Times New Roman" w:hAnsi="Cambria" w:cstheme="minorHAnsi"/>
          <w:w w:val="105"/>
        </w:rPr>
        <w:t>1,435,392</w:t>
      </w:r>
    </w:p>
    <w:p w14:paraId="3E473819" w14:textId="77777777" w:rsidR="00BA4592" w:rsidRPr="009A0DA6" w:rsidRDefault="00BA4592" w:rsidP="00E87E30">
      <w:pPr>
        <w:tabs>
          <w:tab w:val="center" w:pos="4395"/>
          <w:tab w:val="right" w:pos="5954"/>
          <w:tab w:val="right" w:pos="7371"/>
          <w:tab w:val="right" w:pos="8647"/>
        </w:tabs>
        <w:spacing w:before="120" w:after="120" w:line="240" w:lineRule="auto"/>
        <w:ind w:right="-329"/>
        <w:contextualSpacing/>
        <w:rPr>
          <w:rFonts w:ascii="Cambria" w:hAnsi="Cambria" w:cstheme="minorHAnsi"/>
        </w:rPr>
      </w:pPr>
      <w:r w:rsidRPr="009A0DA6">
        <w:rPr>
          <w:rFonts w:ascii="Cambria" w:hAnsi="Cambria" w:cstheme="minorHAnsi"/>
        </w:rPr>
        <w:t>Investment income received</w:t>
      </w:r>
      <w:r w:rsidRPr="009A0DA6">
        <w:rPr>
          <w:rFonts w:ascii="Cambria" w:hAnsi="Cambria" w:cstheme="minorHAnsi"/>
        </w:rPr>
        <w:tab/>
      </w:r>
      <w:r w:rsidRPr="009A0DA6">
        <w:rPr>
          <w:rFonts w:ascii="Cambria" w:hAnsi="Cambria" w:cstheme="minorHAnsi"/>
        </w:rPr>
        <w:tab/>
      </w:r>
      <w:r w:rsidRPr="009A0DA6">
        <w:rPr>
          <w:rFonts w:ascii="Cambria" w:eastAsia="Times New Roman" w:hAnsi="Cambria" w:cstheme="minorHAnsi"/>
          <w:spacing w:val="1"/>
        </w:rPr>
        <w:t>722,</w:t>
      </w:r>
      <w:r w:rsidRPr="009A0DA6">
        <w:rPr>
          <w:rFonts w:ascii="Cambria" w:eastAsia="Times New Roman" w:hAnsi="Cambria" w:cstheme="minorHAnsi"/>
          <w:spacing w:val="-1"/>
        </w:rPr>
        <w:t>9</w:t>
      </w:r>
      <w:r w:rsidRPr="009A0DA6">
        <w:rPr>
          <w:rFonts w:ascii="Cambria" w:eastAsia="Times New Roman" w:hAnsi="Cambria" w:cstheme="minorHAnsi"/>
          <w:spacing w:val="1"/>
        </w:rPr>
        <w:t>1</w:t>
      </w:r>
      <w:r w:rsidRPr="009A0DA6">
        <w:rPr>
          <w:rFonts w:ascii="Cambria" w:eastAsia="Times New Roman" w:hAnsi="Cambria" w:cstheme="minorHAnsi"/>
        </w:rPr>
        <w:t>5</w:t>
      </w:r>
      <w:r w:rsidRPr="009A0DA6">
        <w:rPr>
          <w:rFonts w:ascii="Cambria" w:hAnsi="Cambria" w:cstheme="minorHAnsi"/>
        </w:rPr>
        <w:tab/>
      </w:r>
      <w:r w:rsidRPr="009A0DA6">
        <w:rPr>
          <w:rFonts w:ascii="Cambria" w:eastAsia="Times New Roman" w:hAnsi="Cambria" w:cstheme="minorHAnsi"/>
          <w:spacing w:val="1"/>
        </w:rPr>
        <w:t>415,</w:t>
      </w:r>
      <w:r w:rsidRPr="009A0DA6">
        <w:rPr>
          <w:rFonts w:ascii="Cambria" w:eastAsia="Times New Roman" w:hAnsi="Cambria" w:cstheme="minorHAnsi"/>
          <w:spacing w:val="-1"/>
        </w:rPr>
        <w:t>7</w:t>
      </w:r>
      <w:r w:rsidRPr="009A0DA6">
        <w:rPr>
          <w:rFonts w:ascii="Cambria" w:eastAsia="Times New Roman" w:hAnsi="Cambria" w:cstheme="minorHAnsi"/>
          <w:spacing w:val="1"/>
        </w:rPr>
        <w:t>7</w:t>
      </w:r>
      <w:r w:rsidRPr="009A0DA6">
        <w:rPr>
          <w:rFonts w:ascii="Cambria" w:eastAsia="Times New Roman" w:hAnsi="Cambria" w:cstheme="minorHAnsi"/>
        </w:rPr>
        <w:t>5</w:t>
      </w:r>
      <w:r w:rsidRPr="009A0DA6">
        <w:rPr>
          <w:rFonts w:ascii="Cambria" w:hAnsi="Cambria" w:cstheme="minorHAnsi"/>
        </w:rPr>
        <w:tab/>
      </w:r>
      <w:r w:rsidRPr="009A0DA6">
        <w:rPr>
          <w:rFonts w:ascii="Cambria" w:eastAsia="Times New Roman" w:hAnsi="Cambria" w:cstheme="minorHAnsi"/>
          <w:w w:val="105"/>
        </w:rPr>
        <w:t>545,120</w:t>
      </w:r>
    </w:p>
    <w:p w14:paraId="4D3FE947" w14:textId="77777777" w:rsidR="00BA4592" w:rsidRPr="009A0DA6" w:rsidRDefault="00BA4592" w:rsidP="00E87E30">
      <w:pPr>
        <w:tabs>
          <w:tab w:val="center" w:pos="4395"/>
          <w:tab w:val="right" w:pos="5954"/>
          <w:tab w:val="right" w:pos="7371"/>
          <w:tab w:val="right" w:pos="8647"/>
        </w:tabs>
        <w:spacing w:before="120" w:after="120" w:line="240" w:lineRule="auto"/>
        <w:ind w:right="-329"/>
        <w:contextualSpacing/>
        <w:rPr>
          <w:rFonts w:ascii="Cambria" w:hAnsi="Cambria" w:cstheme="minorHAnsi"/>
        </w:rPr>
      </w:pPr>
      <w:r w:rsidRPr="009A0DA6">
        <w:rPr>
          <w:rFonts w:ascii="Cambria" w:hAnsi="Cambria" w:cstheme="minorHAnsi"/>
        </w:rPr>
        <w:t>Other income</w:t>
      </w:r>
      <w:r w:rsidRPr="009A0DA6">
        <w:rPr>
          <w:rFonts w:ascii="Cambria" w:hAnsi="Cambria" w:cstheme="minorHAnsi"/>
        </w:rPr>
        <w:tab/>
      </w:r>
      <w:r w:rsidRPr="009A0DA6">
        <w:rPr>
          <w:rFonts w:ascii="Cambria" w:hAnsi="Cambria" w:cstheme="minorHAnsi"/>
        </w:rPr>
        <w:tab/>
      </w:r>
      <w:r w:rsidRPr="009A0DA6">
        <w:rPr>
          <w:rFonts w:ascii="Cambria" w:eastAsia="Times New Roman" w:hAnsi="Cambria" w:cstheme="minorHAnsi"/>
          <w:spacing w:val="1"/>
        </w:rPr>
        <w:t>791,</w:t>
      </w:r>
      <w:r w:rsidRPr="009A0DA6">
        <w:rPr>
          <w:rFonts w:ascii="Cambria" w:eastAsia="Times New Roman" w:hAnsi="Cambria" w:cstheme="minorHAnsi"/>
          <w:spacing w:val="-1"/>
        </w:rPr>
        <w:t>6</w:t>
      </w:r>
      <w:r w:rsidRPr="009A0DA6">
        <w:rPr>
          <w:rFonts w:ascii="Cambria" w:eastAsia="Times New Roman" w:hAnsi="Cambria" w:cstheme="minorHAnsi"/>
          <w:spacing w:val="1"/>
        </w:rPr>
        <w:t>0</w:t>
      </w:r>
      <w:r w:rsidRPr="009A0DA6">
        <w:rPr>
          <w:rFonts w:ascii="Cambria" w:eastAsia="Times New Roman" w:hAnsi="Cambria" w:cstheme="minorHAnsi"/>
        </w:rPr>
        <w:t>2</w:t>
      </w:r>
      <w:r w:rsidRPr="009A0DA6">
        <w:rPr>
          <w:rFonts w:ascii="Cambria" w:hAnsi="Cambria" w:cstheme="minorHAnsi"/>
        </w:rPr>
        <w:tab/>
      </w:r>
      <w:r w:rsidRPr="009A0DA6">
        <w:rPr>
          <w:rFonts w:ascii="Cambria" w:eastAsia="Times New Roman" w:hAnsi="Cambria" w:cstheme="minorHAnsi"/>
          <w:spacing w:val="1"/>
        </w:rPr>
        <w:t>733,</w:t>
      </w:r>
      <w:r w:rsidRPr="009A0DA6">
        <w:rPr>
          <w:rFonts w:ascii="Cambria" w:eastAsia="Times New Roman" w:hAnsi="Cambria" w:cstheme="minorHAnsi"/>
          <w:spacing w:val="-1"/>
        </w:rPr>
        <w:t>3</w:t>
      </w:r>
      <w:r w:rsidRPr="009A0DA6">
        <w:rPr>
          <w:rFonts w:ascii="Cambria" w:eastAsia="Times New Roman" w:hAnsi="Cambria" w:cstheme="minorHAnsi"/>
          <w:spacing w:val="1"/>
        </w:rPr>
        <w:t>7</w:t>
      </w:r>
      <w:r w:rsidRPr="009A0DA6">
        <w:rPr>
          <w:rFonts w:ascii="Cambria" w:eastAsia="Times New Roman" w:hAnsi="Cambria" w:cstheme="minorHAnsi"/>
        </w:rPr>
        <w:t>1</w:t>
      </w:r>
      <w:r w:rsidRPr="009A0DA6">
        <w:rPr>
          <w:rFonts w:ascii="Cambria" w:hAnsi="Cambria" w:cstheme="minorHAnsi"/>
        </w:rPr>
        <w:tab/>
      </w:r>
      <w:r w:rsidRPr="009A0DA6">
        <w:rPr>
          <w:rFonts w:ascii="Cambria" w:eastAsia="Times New Roman" w:hAnsi="Cambria" w:cstheme="minorHAnsi"/>
          <w:w w:val="105"/>
        </w:rPr>
        <w:t>857,576</w:t>
      </w:r>
    </w:p>
    <w:p w14:paraId="27E52C99" w14:textId="77777777" w:rsidR="00BA4592" w:rsidRPr="009A0DA6" w:rsidRDefault="00BA4592" w:rsidP="00E87E30">
      <w:pPr>
        <w:tabs>
          <w:tab w:val="center" w:pos="4395"/>
          <w:tab w:val="right" w:pos="5954"/>
          <w:tab w:val="right" w:pos="7371"/>
          <w:tab w:val="right" w:pos="8647"/>
        </w:tabs>
        <w:spacing w:before="120" w:after="120" w:line="240" w:lineRule="auto"/>
        <w:ind w:right="-329"/>
        <w:contextualSpacing/>
        <w:rPr>
          <w:rFonts w:ascii="Cambria" w:hAnsi="Cambria" w:cstheme="minorHAnsi"/>
        </w:rPr>
      </w:pPr>
      <w:r w:rsidRPr="009A0DA6">
        <w:rPr>
          <w:rFonts w:ascii="Cambria" w:hAnsi="Cambria" w:cstheme="minorHAnsi"/>
        </w:rPr>
        <w:t>Payments to suppliers and employees</w:t>
      </w:r>
      <w:r w:rsidRPr="009A0DA6">
        <w:rPr>
          <w:rFonts w:ascii="Cambria" w:hAnsi="Cambria" w:cstheme="minorHAnsi"/>
        </w:rPr>
        <w:tab/>
      </w:r>
      <w:r w:rsidRPr="009A0DA6">
        <w:rPr>
          <w:rFonts w:ascii="Cambria" w:hAnsi="Cambria" w:cstheme="minorHAnsi"/>
        </w:rPr>
        <w:tab/>
      </w:r>
      <w:r w:rsidRPr="009A0DA6">
        <w:rPr>
          <w:rFonts w:ascii="Cambria" w:eastAsia="Times New Roman" w:hAnsi="Cambria" w:cstheme="minorHAnsi"/>
          <w:spacing w:val="1"/>
        </w:rPr>
        <w:t>(11,</w:t>
      </w:r>
      <w:r w:rsidRPr="009A0DA6">
        <w:rPr>
          <w:rFonts w:ascii="Cambria" w:eastAsia="Times New Roman" w:hAnsi="Cambria" w:cstheme="minorHAnsi"/>
          <w:spacing w:val="-1"/>
        </w:rPr>
        <w:t>8</w:t>
      </w:r>
      <w:r w:rsidRPr="009A0DA6">
        <w:rPr>
          <w:rFonts w:ascii="Cambria" w:eastAsia="Times New Roman" w:hAnsi="Cambria" w:cstheme="minorHAnsi"/>
          <w:spacing w:val="1"/>
        </w:rPr>
        <w:t>39</w:t>
      </w:r>
      <w:r w:rsidRPr="009A0DA6">
        <w:rPr>
          <w:rFonts w:ascii="Cambria" w:eastAsia="Times New Roman" w:hAnsi="Cambria" w:cstheme="minorHAnsi"/>
          <w:spacing w:val="-2"/>
        </w:rPr>
        <w:t>,</w:t>
      </w:r>
      <w:r w:rsidRPr="009A0DA6">
        <w:rPr>
          <w:rFonts w:ascii="Cambria" w:eastAsia="Times New Roman" w:hAnsi="Cambria" w:cstheme="minorHAnsi"/>
          <w:spacing w:val="1"/>
        </w:rPr>
        <w:t>743</w:t>
      </w:r>
      <w:r w:rsidRPr="009A0DA6">
        <w:rPr>
          <w:rFonts w:ascii="Cambria" w:eastAsia="Times New Roman" w:hAnsi="Cambria" w:cstheme="minorHAnsi"/>
        </w:rPr>
        <w:t>)</w:t>
      </w:r>
      <w:r w:rsidRPr="009A0DA6">
        <w:rPr>
          <w:rFonts w:ascii="Cambria" w:hAnsi="Cambria" w:cstheme="minorHAnsi"/>
        </w:rPr>
        <w:tab/>
      </w:r>
      <w:r w:rsidRPr="009A0DA6">
        <w:rPr>
          <w:rFonts w:ascii="Cambria" w:eastAsia="Times New Roman" w:hAnsi="Cambria" w:cstheme="minorHAnsi"/>
          <w:spacing w:val="1"/>
        </w:rPr>
        <w:t>(11,</w:t>
      </w:r>
      <w:r w:rsidRPr="009A0DA6">
        <w:rPr>
          <w:rFonts w:ascii="Cambria" w:eastAsia="Times New Roman" w:hAnsi="Cambria" w:cstheme="minorHAnsi"/>
          <w:spacing w:val="-1"/>
        </w:rPr>
        <w:t>0</w:t>
      </w:r>
      <w:r w:rsidRPr="009A0DA6">
        <w:rPr>
          <w:rFonts w:ascii="Cambria" w:eastAsia="Times New Roman" w:hAnsi="Cambria" w:cstheme="minorHAnsi"/>
          <w:spacing w:val="1"/>
        </w:rPr>
        <w:t>80</w:t>
      </w:r>
      <w:r w:rsidRPr="009A0DA6">
        <w:rPr>
          <w:rFonts w:ascii="Cambria" w:eastAsia="Times New Roman" w:hAnsi="Cambria" w:cstheme="minorHAnsi"/>
          <w:spacing w:val="-2"/>
        </w:rPr>
        <w:t>,</w:t>
      </w:r>
      <w:r w:rsidRPr="009A0DA6">
        <w:rPr>
          <w:rFonts w:ascii="Cambria" w:eastAsia="Times New Roman" w:hAnsi="Cambria" w:cstheme="minorHAnsi"/>
          <w:spacing w:val="1"/>
        </w:rPr>
        <w:t>624</w:t>
      </w:r>
      <w:r w:rsidRPr="009A0DA6">
        <w:rPr>
          <w:rFonts w:ascii="Cambria" w:eastAsia="Times New Roman" w:hAnsi="Cambria" w:cstheme="minorHAnsi"/>
        </w:rPr>
        <w:t>)</w:t>
      </w:r>
      <w:r w:rsidRPr="009A0DA6">
        <w:rPr>
          <w:rFonts w:ascii="Cambria" w:hAnsi="Cambria" w:cstheme="minorHAnsi"/>
        </w:rPr>
        <w:tab/>
      </w:r>
      <w:r w:rsidRPr="009A0DA6">
        <w:rPr>
          <w:rFonts w:ascii="Cambria" w:eastAsia="Times New Roman" w:hAnsi="Cambria" w:cstheme="minorHAnsi"/>
          <w:w w:val="106"/>
        </w:rPr>
        <w:t>(10,911,471)</w:t>
      </w:r>
    </w:p>
    <w:p w14:paraId="1DECC153" w14:textId="0A2E35D1" w:rsidR="00BA4592" w:rsidRPr="009A0DA6" w:rsidRDefault="00BA4592" w:rsidP="00E87E30">
      <w:pPr>
        <w:tabs>
          <w:tab w:val="center" w:pos="4395"/>
          <w:tab w:val="right" w:pos="5954"/>
          <w:tab w:val="right" w:pos="7371"/>
          <w:tab w:val="right" w:pos="8647"/>
        </w:tabs>
        <w:spacing w:before="120" w:after="120" w:line="240" w:lineRule="auto"/>
        <w:ind w:right="-329"/>
        <w:contextualSpacing/>
        <w:rPr>
          <w:rFonts w:ascii="Cambria" w:hAnsi="Cambria" w:cstheme="minorHAnsi"/>
          <w:b/>
        </w:rPr>
      </w:pPr>
      <w:r w:rsidRPr="009A0DA6">
        <w:rPr>
          <w:rFonts w:ascii="Cambria" w:hAnsi="Cambria" w:cstheme="minorHAnsi"/>
          <w:b/>
        </w:rPr>
        <w:t>Net cash (used) provided by</w:t>
      </w:r>
      <w:r w:rsidR="00E87E30">
        <w:rPr>
          <w:rFonts w:ascii="Cambria" w:hAnsi="Cambria" w:cstheme="minorHAnsi"/>
          <w:b/>
        </w:rPr>
        <w:br/>
      </w:r>
      <w:r w:rsidRPr="009A0DA6">
        <w:rPr>
          <w:rFonts w:ascii="Cambria" w:hAnsi="Cambria" w:cstheme="minorHAnsi"/>
          <w:b/>
        </w:rPr>
        <w:t>operating activities</w:t>
      </w:r>
      <w:r w:rsidRPr="009A0DA6">
        <w:rPr>
          <w:rFonts w:ascii="Cambria" w:hAnsi="Cambria" w:cstheme="minorHAnsi"/>
          <w:b/>
          <w:vertAlign w:val="superscript"/>
        </w:rPr>
        <w:t xml:space="preserve">  </w:t>
      </w:r>
      <w:r w:rsidRPr="009A0DA6">
        <w:rPr>
          <w:rFonts w:ascii="Cambria" w:hAnsi="Cambria" w:cstheme="minorHAnsi"/>
          <w:b/>
        </w:rPr>
        <w:t>11</w:t>
      </w:r>
      <w:r w:rsidRPr="009A0DA6">
        <w:rPr>
          <w:rFonts w:ascii="Cambria" w:hAnsi="Cambria" w:cstheme="minorHAnsi"/>
          <w:b/>
        </w:rPr>
        <w:tab/>
      </w:r>
      <w:r w:rsidR="00E87E30">
        <w:rPr>
          <w:rFonts w:ascii="Cambria" w:hAnsi="Cambria" w:cstheme="minorHAnsi"/>
          <w:b/>
        </w:rPr>
        <w:tab/>
      </w:r>
      <w:r w:rsidRPr="009A0DA6">
        <w:rPr>
          <w:rFonts w:ascii="Cambria" w:eastAsia="Times New Roman" w:hAnsi="Cambria" w:cstheme="minorHAnsi"/>
          <w:b/>
          <w:spacing w:val="1"/>
        </w:rPr>
        <w:t>389,</w:t>
      </w:r>
      <w:r w:rsidRPr="009A0DA6">
        <w:rPr>
          <w:rFonts w:ascii="Cambria" w:eastAsia="Times New Roman" w:hAnsi="Cambria" w:cstheme="minorHAnsi"/>
          <w:b/>
          <w:spacing w:val="-1"/>
        </w:rPr>
        <w:t>0</w:t>
      </w:r>
      <w:r w:rsidRPr="009A0DA6">
        <w:rPr>
          <w:rFonts w:ascii="Cambria" w:eastAsia="Times New Roman" w:hAnsi="Cambria" w:cstheme="minorHAnsi"/>
          <w:b/>
          <w:spacing w:val="1"/>
        </w:rPr>
        <w:t>2</w:t>
      </w:r>
      <w:r w:rsidRPr="009A0DA6">
        <w:rPr>
          <w:rFonts w:ascii="Cambria" w:eastAsia="Times New Roman" w:hAnsi="Cambria" w:cstheme="minorHAnsi"/>
          <w:b/>
        </w:rPr>
        <w:t>4</w:t>
      </w:r>
      <w:r w:rsidRPr="009A0DA6">
        <w:rPr>
          <w:rFonts w:ascii="Cambria" w:hAnsi="Cambria" w:cstheme="minorHAnsi"/>
          <w:b/>
        </w:rPr>
        <w:tab/>
      </w:r>
      <w:r w:rsidRPr="009A0DA6">
        <w:rPr>
          <w:rFonts w:ascii="Cambria" w:eastAsia="Times New Roman" w:hAnsi="Cambria" w:cstheme="minorHAnsi"/>
          <w:b/>
          <w:spacing w:val="1"/>
        </w:rPr>
        <w:t>1,67</w:t>
      </w:r>
      <w:r w:rsidRPr="009A0DA6">
        <w:rPr>
          <w:rFonts w:ascii="Cambria" w:eastAsia="Times New Roman" w:hAnsi="Cambria" w:cstheme="minorHAnsi"/>
          <w:b/>
          <w:spacing w:val="-1"/>
        </w:rPr>
        <w:t>2</w:t>
      </w:r>
      <w:r w:rsidRPr="009A0DA6">
        <w:rPr>
          <w:rFonts w:ascii="Cambria" w:eastAsia="Times New Roman" w:hAnsi="Cambria" w:cstheme="minorHAnsi"/>
          <w:b/>
          <w:spacing w:val="1"/>
        </w:rPr>
        <w:t>,7</w:t>
      </w:r>
      <w:r w:rsidRPr="009A0DA6">
        <w:rPr>
          <w:rFonts w:ascii="Cambria" w:eastAsia="Times New Roman" w:hAnsi="Cambria" w:cstheme="minorHAnsi"/>
          <w:b/>
          <w:spacing w:val="-1"/>
        </w:rPr>
        <w:t>2</w:t>
      </w:r>
      <w:r w:rsidRPr="009A0DA6">
        <w:rPr>
          <w:rFonts w:ascii="Cambria" w:eastAsia="Times New Roman" w:hAnsi="Cambria" w:cstheme="minorHAnsi"/>
          <w:b/>
        </w:rPr>
        <w:t>5</w:t>
      </w:r>
      <w:r w:rsidRPr="009A0DA6">
        <w:rPr>
          <w:rFonts w:ascii="Cambria" w:hAnsi="Cambria" w:cstheme="minorHAnsi"/>
          <w:b/>
        </w:rPr>
        <w:tab/>
      </w:r>
      <w:r w:rsidRPr="009A0DA6">
        <w:rPr>
          <w:rFonts w:ascii="Cambria" w:eastAsia="Times New Roman" w:hAnsi="Cambria" w:cstheme="minorHAnsi"/>
          <w:w w:val="106"/>
        </w:rPr>
        <w:t>(11,913)</w:t>
      </w:r>
    </w:p>
    <w:p w14:paraId="1EC15B88" w14:textId="77777777" w:rsidR="00BA4592" w:rsidRPr="009A0DA6" w:rsidRDefault="00BA4592" w:rsidP="00E87E30">
      <w:pPr>
        <w:tabs>
          <w:tab w:val="center" w:pos="4395"/>
          <w:tab w:val="right" w:pos="5954"/>
          <w:tab w:val="right" w:pos="7371"/>
          <w:tab w:val="right" w:pos="8647"/>
        </w:tabs>
        <w:spacing w:before="120" w:after="120" w:line="240" w:lineRule="auto"/>
        <w:ind w:right="-329"/>
        <w:contextualSpacing/>
        <w:rPr>
          <w:rFonts w:ascii="Cambria" w:hAnsi="Cambria" w:cstheme="minorHAnsi"/>
        </w:rPr>
      </w:pPr>
      <w:r w:rsidRPr="009A0DA6">
        <w:rPr>
          <w:rFonts w:ascii="Cambria" w:hAnsi="Cambria" w:cstheme="minorHAnsi"/>
        </w:rPr>
        <w:tab/>
      </w:r>
      <w:r w:rsidRPr="009A0DA6">
        <w:rPr>
          <w:rFonts w:ascii="Cambria" w:hAnsi="Cambria" w:cstheme="minorHAnsi"/>
        </w:rPr>
        <w:tab/>
      </w:r>
    </w:p>
    <w:p w14:paraId="7AE123BB" w14:textId="77777777" w:rsidR="00BA4592" w:rsidRPr="009A0DA6" w:rsidRDefault="00BA4592" w:rsidP="00E87E30">
      <w:pPr>
        <w:tabs>
          <w:tab w:val="center" w:pos="4395"/>
          <w:tab w:val="right" w:pos="5954"/>
          <w:tab w:val="right" w:pos="7371"/>
          <w:tab w:val="right" w:pos="8647"/>
        </w:tabs>
        <w:spacing w:before="120" w:after="120" w:line="240" w:lineRule="auto"/>
        <w:ind w:right="-329"/>
        <w:contextualSpacing/>
        <w:rPr>
          <w:rFonts w:ascii="Cambria" w:hAnsi="Cambria" w:cstheme="minorHAnsi"/>
          <w:b/>
        </w:rPr>
      </w:pPr>
      <w:r w:rsidRPr="009A0DA6">
        <w:rPr>
          <w:rFonts w:ascii="Cambria" w:hAnsi="Cambria" w:cstheme="minorHAnsi"/>
          <w:b/>
        </w:rPr>
        <w:t>CASH FLOW FROM INVESTING ACTIVITIES</w:t>
      </w:r>
    </w:p>
    <w:p w14:paraId="2A24A709" w14:textId="77777777" w:rsidR="00BA4592" w:rsidRPr="009A0DA6" w:rsidRDefault="00BA4592" w:rsidP="00E87E30">
      <w:pPr>
        <w:tabs>
          <w:tab w:val="center" w:pos="4395"/>
          <w:tab w:val="right" w:pos="5954"/>
          <w:tab w:val="right" w:pos="7371"/>
          <w:tab w:val="right" w:pos="8647"/>
        </w:tabs>
        <w:spacing w:before="120" w:after="120" w:line="240" w:lineRule="auto"/>
        <w:ind w:right="-329"/>
        <w:contextualSpacing/>
        <w:rPr>
          <w:rFonts w:ascii="Cambria" w:hAnsi="Cambria" w:cstheme="minorHAnsi"/>
        </w:rPr>
      </w:pPr>
      <w:r w:rsidRPr="009A0DA6">
        <w:rPr>
          <w:rFonts w:ascii="Cambria" w:hAnsi="Cambria" w:cstheme="minorHAnsi"/>
        </w:rPr>
        <w:t>Payment for property, plant and equipment</w:t>
      </w:r>
      <w:r w:rsidRPr="009A0DA6">
        <w:rPr>
          <w:rFonts w:ascii="Cambria" w:hAnsi="Cambria" w:cstheme="minorHAnsi"/>
        </w:rPr>
        <w:tab/>
      </w:r>
      <w:r w:rsidRPr="009A0DA6">
        <w:rPr>
          <w:rFonts w:ascii="Cambria" w:hAnsi="Cambria" w:cstheme="minorHAnsi"/>
        </w:rPr>
        <w:tab/>
      </w:r>
      <w:r w:rsidRPr="009A0DA6">
        <w:rPr>
          <w:rFonts w:ascii="Cambria" w:eastAsia="Times New Roman" w:hAnsi="Cambria" w:cstheme="minorHAnsi"/>
          <w:spacing w:val="1"/>
        </w:rPr>
        <w:t>(85,</w:t>
      </w:r>
      <w:r w:rsidRPr="009A0DA6">
        <w:rPr>
          <w:rFonts w:ascii="Cambria" w:eastAsia="Times New Roman" w:hAnsi="Cambria" w:cstheme="minorHAnsi"/>
          <w:spacing w:val="-1"/>
        </w:rPr>
        <w:t>3</w:t>
      </w:r>
      <w:r w:rsidRPr="009A0DA6">
        <w:rPr>
          <w:rFonts w:ascii="Cambria" w:eastAsia="Times New Roman" w:hAnsi="Cambria" w:cstheme="minorHAnsi"/>
          <w:spacing w:val="1"/>
        </w:rPr>
        <w:t>86)</w:t>
      </w:r>
      <w:r w:rsidRPr="009A0DA6">
        <w:rPr>
          <w:rFonts w:ascii="Cambria" w:hAnsi="Cambria" w:cstheme="minorHAnsi"/>
        </w:rPr>
        <w:tab/>
      </w:r>
      <w:r w:rsidRPr="009A0DA6">
        <w:rPr>
          <w:rFonts w:ascii="Cambria" w:eastAsia="Times New Roman" w:hAnsi="Cambria" w:cstheme="minorHAnsi"/>
          <w:spacing w:val="1"/>
        </w:rPr>
        <w:t>(61,</w:t>
      </w:r>
      <w:r w:rsidRPr="009A0DA6">
        <w:rPr>
          <w:rFonts w:ascii="Cambria" w:eastAsia="Times New Roman" w:hAnsi="Cambria" w:cstheme="minorHAnsi"/>
          <w:spacing w:val="-1"/>
        </w:rPr>
        <w:t>2</w:t>
      </w:r>
      <w:r w:rsidRPr="009A0DA6">
        <w:rPr>
          <w:rFonts w:ascii="Cambria" w:eastAsia="Times New Roman" w:hAnsi="Cambria" w:cstheme="minorHAnsi"/>
          <w:spacing w:val="1"/>
        </w:rPr>
        <w:t>83)</w:t>
      </w:r>
      <w:r w:rsidRPr="009A0DA6">
        <w:rPr>
          <w:rFonts w:ascii="Cambria" w:hAnsi="Cambria" w:cstheme="minorHAnsi"/>
        </w:rPr>
        <w:tab/>
      </w:r>
      <w:r w:rsidRPr="009A0DA6">
        <w:rPr>
          <w:rFonts w:ascii="Cambria" w:eastAsia="Times New Roman" w:hAnsi="Cambria" w:cstheme="minorHAnsi"/>
          <w:w w:val="105"/>
        </w:rPr>
        <w:t>(113,001)</w:t>
      </w:r>
    </w:p>
    <w:p w14:paraId="5B28BF89" w14:textId="77777777" w:rsidR="00BA4592" w:rsidRPr="009A0DA6" w:rsidRDefault="00BA4592" w:rsidP="00E87E30">
      <w:pPr>
        <w:tabs>
          <w:tab w:val="center" w:pos="4395"/>
          <w:tab w:val="right" w:pos="5954"/>
          <w:tab w:val="right" w:pos="7371"/>
          <w:tab w:val="right" w:pos="8647"/>
        </w:tabs>
        <w:spacing w:before="120" w:after="120" w:line="240" w:lineRule="auto"/>
        <w:ind w:right="-329"/>
        <w:contextualSpacing/>
        <w:rPr>
          <w:rFonts w:ascii="Cambria" w:hAnsi="Cambria" w:cstheme="minorHAnsi"/>
        </w:rPr>
      </w:pPr>
      <w:r w:rsidRPr="009A0DA6">
        <w:rPr>
          <w:rFonts w:ascii="Cambria" w:eastAsia="Times New Roman" w:hAnsi="Cambria" w:cstheme="minorHAnsi"/>
          <w:spacing w:val="2"/>
        </w:rPr>
        <w:t>P</w:t>
      </w:r>
      <w:r w:rsidRPr="009A0DA6">
        <w:rPr>
          <w:rFonts w:ascii="Cambria" w:eastAsia="Times New Roman" w:hAnsi="Cambria" w:cstheme="minorHAnsi"/>
          <w:spacing w:val="1"/>
        </w:rPr>
        <w:t>ro</w:t>
      </w:r>
      <w:r w:rsidRPr="009A0DA6">
        <w:rPr>
          <w:rFonts w:ascii="Cambria" w:eastAsia="Times New Roman" w:hAnsi="Cambria" w:cstheme="minorHAnsi"/>
        </w:rPr>
        <w:t>ce</w:t>
      </w:r>
      <w:r w:rsidRPr="009A0DA6">
        <w:rPr>
          <w:rFonts w:ascii="Cambria" w:eastAsia="Times New Roman" w:hAnsi="Cambria" w:cstheme="minorHAnsi"/>
          <w:spacing w:val="-2"/>
        </w:rPr>
        <w:t>e</w:t>
      </w:r>
      <w:r w:rsidRPr="009A0DA6">
        <w:rPr>
          <w:rFonts w:ascii="Cambria" w:eastAsia="Times New Roman" w:hAnsi="Cambria" w:cstheme="minorHAnsi"/>
          <w:spacing w:val="1"/>
        </w:rPr>
        <w:t>d</w:t>
      </w:r>
      <w:r w:rsidRPr="009A0DA6">
        <w:rPr>
          <w:rFonts w:ascii="Cambria" w:eastAsia="Times New Roman" w:hAnsi="Cambria" w:cstheme="minorHAnsi"/>
        </w:rPr>
        <w:t>s</w:t>
      </w:r>
      <w:r w:rsidRPr="009A0DA6">
        <w:rPr>
          <w:rFonts w:ascii="Cambria" w:eastAsia="Times New Roman" w:hAnsi="Cambria" w:cstheme="minorHAnsi"/>
          <w:spacing w:val="-7"/>
        </w:rPr>
        <w:t xml:space="preserve"> </w:t>
      </w:r>
      <w:r w:rsidRPr="009A0DA6">
        <w:rPr>
          <w:rFonts w:ascii="Cambria" w:eastAsia="Times New Roman" w:hAnsi="Cambria" w:cstheme="minorHAnsi"/>
          <w:spacing w:val="-1"/>
        </w:rPr>
        <w:t>f</w:t>
      </w:r>
      <w:r w:rsidRPr="009A0DA6">
        <w:rPr>
          <w:rFonts w:ascii="Cambria" w:eastAsia="Times New Roman" w:hAnsi="Cambria" w:cstheme="minorHAnsi"/>
          <w:spacing w:val="1"/>
        </w:rPr>
        <w:t>r</w:t>
      </w:r>
      <w:r w:rsidRPr="009A0DA6">
        <w:rPr>
          <w:rFonts w:ascii="Cambria" w:eastAsia="Times New Roman" w:hAnsi="Cambria" w:cstheme="minorHAnsi"/>
          <w:spacing w:val="4"/>
        </w:rPr>
        <w:t>o</w:t>
      </w:r>
      <w:r w:rsidRPr="009A0DA6">
        <w:rPr>
          <w:rFonts w:ascii="Cambria" w:eastAsia="Times New Roman" w:hAnsi="Cambria" w:cstheme="minorHAnsi"/>
        </w:rPr>
        <w:t>m</w:t>
      </w:r>
      <w:r w:rsidRPr="009A0DA6">
        <w:rPr>
          <w:rFonts w:ascii="Cambria" w:eastAsia="Times New Roman" w:hAnsi="Cambria" w:cstheme="minorHAnsi"/>
          <w:spacing w:val="-7"/>
        </w:rPr>
        <w:t xml:space="preserve"> </w:t>
      </w:r>
      <w:r w:rsidRPr="009A0DA6">
        <w:rPr>
          <w:rFonts w:ascii="Cambria" w:eastAsia="Times New Roman" w:hAnsi="Cambria" w:cstheme="minorHAnsi"/>
          <w:spacing w:val="-1"/>
        </w:rPr>
        <w:t>s</w:t>
      </w:r>
      <w:r w:rsidRPr="009A0DA6">
        <w:rPr>
          <w:rFonts w:ascii="Cambria" w:eastAsia="Times New Roman" w:hAnsi="Cambria" w:cstheme="minorHAnsi"/>
        </w:rPr>
        <w:t>ale</w:t>
      </w:r>
      <w:r w:rsidRPr="009A0DA6">
        <w:rPr>
          <w:rFonts w:ascii="Cambria" w:eastAsia="Times New Roman" w:hAnsi="Cambria" w:cstheme="minorHAnsi"/>
          <w:spacing w:val="-2"/>
        </w:rPr>
        <w:t xml:space="preserve"> </w:t>
      </w:r>
      <w:r w:rsidRPr="009A0DA6">
        <w:rPr>
          <w:rFonts w:ascii="Cambria" w:eastAsia="Times New Roman" w:hAnsi="Cambria" w:cstheme="minorHAnsi"/>
          <w:spacing w:val="1"/>
        </w:rPr>
        <w:t>o</w:t>
      </w:r>
      <w:r w:rsidRPr="009A0DA6">
        <w:rPr>
          <w:rFonts w:ascii="Cambria" w:eastAsia="Times New Roman" w:hAnsi="Cambria" w:cstheme="minorHAnsi"/>
        </w:rPr>
        <w:t>f</w:t>
      </w:r>
      <w:r w:rsidRPr="009A0DA6">
        <w:rPr>
          <w:rFonts w:ascii="Cambria" w:eastAsia="Times New Roman" w:hAnsi="Cambria" w:cstheme="minorHAnsi"/>
          <w:spacing w:val="-3"/>
        </w:rPr>
        <w:t xml:space="preserve"> </w:t>
      </w:r>
      <w:r w:rsidRPr="009A0DA6">
        <w:rPr>
          <w:rFonts w:ascii="Cambria" w:eastAsia="Times New Roman" w:hAnsi="Cambria" w:cstheme="minorHAnsi"/>
          <w:spacing w:val="1"/>
        </w:rPr>
        <w:t>prop</w:t>
      </w:r>
      <w:r w:rsidRPr="009A0DA6">
        <w:rPr>
          <w:rFonts w:ascii="Cambria" w:eastAsia="Times New Roman" w:hAnsi="Cambria" w:cstheme="minorHAnsi"/>
        </w:rPr>
        <w:t>e</w:t>
      </w:r>
      <w:r w:rsidRPr="009A0DA6">
        <w:rPr>
          <w:rFonts w:ascii="Cambria" w:eastAsia="Times New Roman" w:hAnsi="Cambria" w:cstheme="minorHAnsi"/>
          <w:spacing w:val="1"/>
        </w:rPr>
        <w:t>r</w:t>
      </w:r>
      <w:r w:rsidRPr="009A0DA6">
        <w:rPr>
          <w:rFonts w:ascii="Cambria" w:eastAsia="Times New Roman" w:hAnsi="Cambria" w:cstheme="minorHAnsi"/>
        </w:rPr>
        <w:t>ty</w:t>
      </w:r>
      <w:r w:rsidRPr="009A0DA6">
        <w:rPr>
          <w:rFonts w:ascii="Cambria" w:eastAsia="Times New Roman" w:hAnsi="Cambria" w:cstheme="minorHAnsi"/>
        </w:rPr>
        <w:tab/>
      </w:r>
      <w:r w:rsidRPr="009A0DA6">
        <w:rPr>
          <w:rFonts w:ascii="Cambria" w:eastAsia="Times New Roman" w:hAnsi="Cambria" w:cstheme="minorHAnsi"/>
        </w:rPr>
        <w:tab/>
        <w:t>0</w:t>
      </w:r>
      <w:r w:rsidRPr="009A0DA6">
        <w:rPr>
          <w:rFonts w:ascii="Cambria" w:eastAsia="Times New Roman" w:hAnsi="Cambria" w:cstheme="minorHAnsi"/>
        </w:rPr>
        <w:tab/>
      </w:r>
      <w:r w:rsidRPr="009A0DA6">
        <w:rPr>
          <w:rFonts w:ascii="Cambria" w:eastAsia="Times New Roman" w:hAnsi="Cambria" w:cstheme="minorHAnsi"/>
          <w:spacing w:val="1"/>
        </w:rPr>
        <w:t>765,</w:t>
      </w:r>
      <w:r w:rsidRPr="009A0DA6">
        <w:rPr>
          <w:rFonts w:ascii="Cambria" w:eastAsia="Times New Roman" w:hAnsi="Cambria" w:cstheme="minorHAnsi"/>
          <w:spacing w:val="-1"/>
        </w:rPr>
        <w:t>2</w:t>
      </w:r>
      <w:r w:rsidRPr="009A0DA6">
        <w:rPr>
          <w:rFonts w:ascii="Cambria" w:eastAsia="Times New Roman" w:hAnsi="Cambria" w:cstheme="minorHAnsi"/>
          <w:spacing w:val="1"/>
        </w:rPr>
        <w:t>0</w:t>
      </w:r>
      <w:r w:rsidRPr="009A0DA6">
        <w:rPr>
          <w:rFonts w:ascii="Cambria" w:eastAsia="Times New Roman" w:hAnsi="Cambria" w:cstheme="minorHAnsi"/>
        </w:rPr>
        <w:t>4</w:t>
      </w:r>
      <w:r w:rsidRPr="009A0DA6">
        <w:rPr>
          <w:rFonts w:ascii="Cambria" w:eastAsia="Times New Roman" w:hAnsi="Cambria" w:cstheme="minorHAnsi"/>
        </w:rPr>
        <w:tab/>
        <w:t>0</w:t>
      </w:r>
    </w:p>
    <w:p w14:paraId="4548DE9C" w14:textId="77777777" w:rsidR="00BA4592" w:rsidRPr="009A0DA6" w:rsidRDefault="00BA4592" w:rsidP="00E87E30">
      <w:pPr>
        <w:tabs>
          <w:tab w:val="center" w:pos="4395"/>
          <w:tab w:val="right" w:pos="5954"/>
          <w:tab w:val="right" w:pos="7371"/>
          <w:tab w:val="right" w:pos="8647"/>
        </w:tabs>
        <w:spacing w:before="120" w:after="120" w:line="240" w:lineRule="auto"/>
        <w:ind w:right="-329"/>
        <w:contextualSpacing/>
        <w:rPr>
          <w:rFonts w:ascii="Cambria" w:hAnsi="Cambria" w:cstheme="minorHAnsi"/>
          <w:b/>
        </w:rPr>
      </w:pPr>
      <w:r w:rsidRPr="009A0DA6">
        <w:rPr>
          <w:rFonts w:ascii="Cambria" w:hAnsi="Cambria" w:cstheme="minorHAnsi"/>
          <w:b/>
        </w:rPr>
        <w:t>Net cash (used in) investing activities</w:t>
      </w:r>
      <w:r w:rsidRPr="009A0DA6">
        <w:rPr>
          <w:rFonts w:ascii="Cambria" w:hAnsi="Cambria" w:cstheme="minorHAnsi"/>
          <w:b/>
        </w:rPr>
        <w:tab/>
      </w:r>
      <w:r w:rsidRPr="009A0DA6">
        <w:rPr>
          <w:rFonts w:ascii="Cambria" w:hAnsi="Cambria" w:cstheme="minorHAnsi"/>
          <w:b/>
        </w:rPr>
        <w:tab/>
      </w:r>
      <w:r w:rsidRPr="009A0DA6">
        <w:rPr>
          <w:rFonts w:ascii="Cambria" w:eastAsia="Times New Roman" w:hAnsi="Cambria" w:cstheme="minorHAnsi"/>
          <w:b/>
          <w:spacing w:val="1"/>
        </w:rPr>
        <w:t>(85,</w:t>
      </w:r>
      <w:r w:rsidRPr="009A0DA6">
        <w:rPr>
          <w:rFonts w:ascii="Cambria" w:eastAsia="Times New Roman" w:hAnsi="Cambria" w:cstheme="minorHAnsi"/>
          <w:b/>
          <w:spacing w:val="-1"/>
        </w:rPr>
        <w:t>3</w:t>
      </w:r>
      <w:r w:rsidRPr="009A0DA6">
        <w:rPr>
          <w:rFonts w:ascii="Cambria" w:eastAsia="Times New Roman" w:hAnsi="Cambria" w:cstheme="minorHAnsi"/>
          <w:b/>
          <w:spacing w:val="1"/>
        </w:rPr>
        <w:t>86)</w:t>
      </w:r>
      <w:r w:rsidRPr="009A0DA6">
        <w:rPr>
          <w:rFonts w:ascii="Cambria" w:hAnsi="Cambria" w:cstheme="minorHAnsi"/>
          <w:b/>
        </w:rPr>
        <w:tab/>
      </w:r>
      <w:r w:rsidRPr="009A0DA6">
        <w:rPr>
          <w:rFonts w:ascii="Cambria" w:eastAsia="Times New Roman" w:hAnsi="Cambria" w:cstheme="minorHAnsi"/>
          <w:b/>
          <w:spacing w:val="1"/>
        </w:rPr>
        <w:t>703,</w:t>
      </w:r>
      <w:r w:rsidRPr="009A0DA6">
        <w:rPr>
          <w:rFonts w:ascii="Cambria" w:eastAsia="Times New Roman" w:hAnsi="Cambria" w:cstheme="minorHAnsi"/>
          <w:b/>
          <w:spacing w:val="-1"/>
        </w:rPr>
        <w:t>9</w:t>
      </w:r>
      <w:r w:rsidRPr="009A0DA6">
        <w:rPr>
          <w:rFonts w:ascii="Cambria" w:eastAsia="Times New Roman" w:hAnsi="Cambria" w:cstheme="minorHAnsi"/>
          <w:b/>
          <w:spacing w:val="1"/>
        </w:rPr>
        <w:t>2</w:t>
      </w:r>
      <w:r w:rsidRPr="009A0DA6">
        <w:rPr>
          <w:rFonts w:ascii="Cambria" w:eastAsia="Times New Roman" w:hAnsi="Cambria" w:cstheme="minorHAnsi"/>
          <w:b/>
        </w:rPr>
        <w:t>1</w:t>
      </w:r>
      <w:r w:rsidRPr="009A0DA6">
        <w:rPr>
          <w:rFonts w:ascii="Cambria" w:eastAsia="Times New Roman" w:hAnsi="Cambria" w:cstheme="minorHAnsi"/>
          <w:b/>
        </w:rPr>
        <w:tab/>
      </w:r>
      <w:r w:rsidRPr="009A0DA6">
        <w:rPr>
          <w:rFonts w:ascii="Cambria" w:eastAsia="Times New Roman" w:hAnsi="Cambria" w:cstheme="minorHAnsi"/>
          <w:w w:val="105"/>
        </w:rPr>
        <w:t>(113,001)</w:t>
      </w:r>
    </w:p>
    <w:p w14:paraId="1790D978" w14:textId="77777777" w:rsidR="00BA4592" w:rsidRPr="009A0DA6" w:rsidRDefault="00BA4592" w:rsidP="00E87E30">
      <w:pPr>
        <w:tabs>
          <w:tab w:val="center" w:pos="4395"/>
          <w:tab w:val="right" w:pos="5954"/>
          <w:tab w:val="right" w:pos="7371"/>
          <w:tab w:val="right" w:pos="8647"/>
        </w:tabs>
        <w:spacing w:before="120" w:after="120" w:line="240" w:lineRule="auto"/>
        <w:ind w:right="-329"/>
        <w:contextualSpacing/>
        <w:rPr>
          <w:rFonts w:ascii="Cambria" w:hAnsi="Cambria" w:cstheme="minorHAnsi"/>
        </w:rPr>
      </w:pPr>
      <w:r w:rsidRPr="009A0DA6">
        <w:rPr>
          <w:rFonts w:ascii="Cambria" w:hAnsi="Cambria" w:cstheme="minorHAnsi"/>
        </w:rPr>
        <w:tab/>
      </w:r>
      <w:r w:rsidRPr="009A0DA6">
        <w:rPr>
          <w:rFonts w:ascii="Cambria" w:hAnsi="Cambria" w:cstheme="minorHAnsi"/>
        </w:rPr>
        <w:tab/>
      </w:r>
    </w:p>
    <w:p w14:paraId="2AF39F6C" w14:textId="77777777" w:rsidR="00BA4592" w:rsidRPr="009A0DA6" w:rsidRDefault="00BA4592" w:rsidP="00E87E30">
      <w:pPr>
        <w:tabs>
          <w:tab w:val="center" w:pos="4395"/>
          <w:tab w:val="right" w:pos="5954"/>
          <w:tab w:val="right" w:pos="7371"/>
          <w:tab w:val="right" w:pos="8647"/>
        </w:tabs>
        <w:spacing w:before="120" w:after="120" w:line="240" w:lineRule="auto"/>
        <w:ind w:right="-329"/>
        <w:contextualSpacing/>
        <w:rPr>
          <w:rFonts w:ascii="Cambria" w:hAnsi="Cambria" w:cstheme="minorHAnsi"/>
          <w:b/>
        </w:rPr>
      </w:pPr>
      <w:r w:rsidRPr="009A0DA6">
        <w:rPr>
          <w:rFonts w:ascii="Cambria" w:hAnsi="Cambria" w:cstheme="minorHAnsi"/>
          <w:b/>
        </w:rPr>
        <w:t>CASH FLOW FROM FINANCING ACTIVITIES</w:t>
      </w:r>
    </w:p>
    <w:p w14:paraId="5F37A901" w14:textId="77777777" w:rsidR="00BA4592" w:rsidRPr="009A0DA6" w:rsidRDefault="00BA4592" w:rsidP="00E87E30">
      <w:pPr>
        <w:tabs>
          <w:tab w:val="center" w:pos="4395"/>
          <w:tab w:val="right" w:pos="5954"/>
          <w:tab w:val="right" w:pos="7371"/>
          <w:tab w:val="right" w:pos="8647"/>
        </w:tabs>
        <w:spacing w:before="120" w:after="120" w:line="240" w:lineRule="auto"/>
        <w:ind w:right="-329"/>
        <w:contextualSpacing/>
        <w:rPr>
          <w:rFonts w:ascii="Cambria" w:hAnsi="Cambria" w:cstheme="minorHAnsi"/>
        </w:rPr>
      </w:pPr>
      <w:r w:rsidRPr="009A0DA6">
        <w:rPr>
          <w:rFonts w:ascii="Cambria" w:hAnsi="Cambria" w:cstheme="minorHAnsi"/>
        </w:rPr>
        <w:t xml:space="preserve">Injection of cash funds to (from) reserve accounts </w:t>
      </w:r>
      <w:r w:rsidRPr="009A0DA6">
        <w:rPr>
          <w:rFonts w:ascii="Cambria" w:hAnsi="Cambria" w:cstheme="minorHAnsi"/>
        </w:rPr>
        <w:tab/>
      </w:r>
      <w:r w:rsidRPr="009A0DA6">
        <w:rPr>
          <w:rFonts w:ascii="Cambria" w:eastAsia="Times New Roman" w:hAnsi="Cambria" w:cstheme="minorHAnsi"/>
          <w:spacing w:val="1"/>
        </w:rPr>
        <w:t>423,</w:t>
      </w:r>
      <w:r w:rsidRPr="009A0DA6">
        <w:rPr>
          <w:rFonts w:ascii="Cambria" w:eastAsia="Times New Roman" w:hAnsi="Cambria" w:cstheme="minorHAnsi"/>
          <w:spacing w:val="-1"/>
        </w:rPr>
        <w:t>5</w:t>
      </w:r>
      <w:r w:rsidRPr="009A0DA6">
        <w:rPr>
          <w:rFonts w:ascii="Cambria" w:eastAsia="Times New Roman" w:hAnsi="Cambria" w:cstheme="minorHAnsi"/>
          <w:spacing w:val="1"/>
        </w:rPr>
        <w:t>6</w:t>
      </w:r>
      <w:r w:rsidRPr="009A0DA6">
        <w:rPr>
          <w:rFonts w:ascii="Cambria" w:eastAsia="Times New Roman" w:hAnsi="Cambria" w:cstheme="minorHAnsi"/>
        </w:rPr>
        <w:t>8</w:t>
      </w:r>
      <w:r w:rsidRPr="009A0DA6">
        <w:rPr>
          <w:rFonts w:ascii="Cambria" w:hAnsi="Cambria" w:cstheme="minorHAnsi"/>
        </w:rPr>
        <w:tab/>
      </w:r>
      <w:r w:rsidRPr="009A0DA6">
        <w:rPr>
          <w:rFonts w:ascii="Cambria" w:eastAsia="Times New Roman" w:hAnsi="Cambria" w:cstheme="minorHAnsi"/>
          <w:spacing w:val="1"/>
        </w:rPr>
        <w:t>(56,</w:t>
      </w:r>
      <w:r w:rsidRPr="009A0DA6">
        <w:rPr>
          <w:rFonts w:ascii="Cambria" w:eastAsia="Times New Roman" w:hAnsi="Cambria" w:cstheme="minorHAnsi"/>
          <w:spacing w:val="-1"/>
        </w:rPr>
        <w:t>8</w:t>
      </w:r>
      <w:r w:rsidRPr="009A0DA6">
        <w:rPr>
          <w:rFonts w:ascii="Cambria" w:eastAsia="Times New Roman" w:hAnsi="Cambria" w:cstheme="minorHAnsi"/>
          <w:spacing w:val="1"/>
        </w:rPr>
        <w:t>17)</w:t>
      </w:r>
      <w:r w:rsidRPr="009A0DA6">
        <w:rPr>
          <w:rFonts w:ascii="Cambria" w:eastAsia="Times New Roman" w:hAnsi="Cambria" w:cstheme="minorHAnsi"/>
          <w:spacing w:val="1"/>
        </w:rPr>
        <w:tab/>
        <w:t>0</w:t>
      </w:r>
    </w:p>
    <w:p w14:paraId="755B8319" w14:textId="77777777" w:rsidR="00BA4592" w:rsidRPr="009A0DA6" w:rsidRDefault="00BA4592" w:rsidP="00E87E30">
      <w:pPr>
        <w:tabs>
          <w:tab w:val="center" w:pos="4395"/>
          <w:tab w:val="right" w:pos="5954"/>
          <w:tab w:val="right" w:pos="7371"/>
          <w:tab w:val="right" w:pos="8647"/>
        </w:tabs>
        <w:spacing w:before="120" w:after="120" w:line="240" w:lineRule="auto"/>
        <w:ind w:right="-329"/>
        <w:contextualSpacing/>
        <w:rPr>
          <w:rFonts w:ascii="Cambria" w:eastAsia="Times New Roman" w:hAnsi="Cambria" w:cstheme="minorHAnsi"/>
          <w:spacing w:val="-1"/>
        </w:rPr>
      </w:pPr>
      <w:r w:rsidRPr="009A0DA6">
        <w:rPr>
          <w:rFonts w:ascii="Cambria" w:eastAsia="Times New Roman" w:hAnsi="Cambria" w:cstheme="minorHAnsi"/>
          <w:spacing w:val="3"/>
        </w:rPr>
        <w:t>T</w:t>
      </w:r>
      <w:r w:rsidRPr="009A0DA6">
        <w:rPr>
          <w:rFonts w:ascii="Cambria" w:eastAsia="Times New Roman" w:hAnsi="Cambria" w:cstheme="minorHAnsi"/>
          <w:spacing w:val="1"/>
        </w:rPr>
        <w:t>r</w:t>
      </w:r>
      <w:r w:rsidRPr="009A0DA6">
        <w:rPr>
          <w:rFonts w:ascii="Cambria" w:eastAsia="Times New Roman" w:hAnsi="Cambria" w:cstheme="minorHAnsi"/>
        </w:rPr>
        <w:t>a</w:t>
      </w:r>
      <w:r w:rsidRPr="009A0DA6">
        <w:rPr>
          <w:rFonts w:ascii="Cambria" w:eastAsia="Times New Roman" w:hAnsi="Cambria" w:cstheme="minorHAnsi"/>
          <w:spacing w:val="-1"/>
        </w:rPr>
        <w:t>nsf</w:t>
      </w:r>
      <w:r w:rsidRPr="009A0DA6">
        <w:rPr>
          <w:rFonts w:ascii="Cambria" w:eastAsia="Times New Roman" w:hAnsi="Cambria" w:cstheme="minorHAnsi"/>
        </w:rPr>
        <w:t>e</w:t>
      </w:r>
      <w:r w:rsidRPr="009A0DA6">
        <w:rPr>
          <w:rFonts w:ascii="Cambria" w:eastAsia="Times New Roman" w:hAnsi="Cambria" w:cstheme="minorHAnsi"/>
          <w:spacing w:val="1"/>
        </w:rPr>
        <w:t>r</w:t>
      </w:r>
      <w:r w:rsidRPr="009A0DA6">
        <w:rPr>
          <w:rFonts w:ascii="Cambria" w:eastAsia="Times New Roman" w:hAnsi="Cambria" w:cstheme="minorHAnsi"/>
        </w:rPr>
        <w:t>s</w:t>
      </w:r>
      <w:r w:rsidRPr="009A0DA6">
        <w:rPr>
          <w:rFonts w:ascii="Cambria" w:eastAsia="Times New Roman" w:hAnsi="Cambria" w:cstheme="minorHAnsi"/>
          <w:spacing w:val="-8"/>
        </w:rPr>
        <w:t xml:space="preserve"> </w:t>
      </w:r>
      <w:r w:rsidRPr="009A0DA6">
        <w:rPr>
          <w:rFonts w:ascii="Cambria" w:eastAsia="Times New Roman" w:hAnsi="Cambria" w:cstheme="minorHAnsi"/>
        </w:rPr>
        <w:t xml:space="preserve">to </w:t>
      </w:r>
      <w:r w:rsidRPr="009A0DA6">
        <w:rPr>
          <w:rFonts w:ascii="Cambria" w:eastAsia="Times New Roman" w:hAnsi="Cambria" w:cstheme="minorHAnsi"/>
          <w:spacing w:val="1"/>
        </w:rPr>
        <w:t>L</w:t>
      </w:r>
      <w:r w:rsidRPr="009A0DA6">
        <w:rPr>
          <w:rFonts w:ascii="Cambria" w:eastAsia="Times New Roman" w:hAnsi="Cambria" w:cstheme="minorHAnsi"/>
          <w:spacing w:val="2"/>
        </w:rPr>
        <w:t>C</w:t>
      </w:r>
      <w:r w:rsidRPr="009A0DA6">
        <w:rPr>
          <w:rFonts w:ascii="Cambria" w:eastAsia="Times New Roman" w:hAnsi="Cambria" w:cstheme="minorHAnsi"/>
        </w:rPr>
        <w:t>A</w:t>
      </w:r>
      <w:r w:rsidRPr="009A0DA6">
        <w:rPr>
          <w:rFonts w:ascii="Cambria" w:eastAsia="Times New Roman" w:hAnsi="Cambria" w:cstheme="minorHAnsi"/>
          <w:spacing w:val="-6"/>
        </w:rPr>
        <w:t xml:space="preserve"> </w:t>
      </w:r>
      <w:r w:rsidRPr="009A0DA6">
        <w:rPr>
          <w:rFonts w:ascii="Cambria" w:eastAsia="Times New Roman" w:hAnsi="Cambria" w:cstheme="minorHAnsi"/>
          <w:spacing w:val="2"/>
        </w:rPr>
        <w:t>P</w:t>
      </w:r>
      <w:r w:rsidRPr="009A0DA6">
        <w:rPr>
          <w:rFonts w:ascii="Cambria" w:eastAsia="Times New Roman" w:hAnsi="Cambria" w:cstheme="minorHAnsi"/>
          <w:spacing w:val="1"/>
        </w:rPr>
        <w:t>rop</w:t>
      </w:r>
      <w:r w:rsidRPr="009A0DA6">
        <w:rPr>
          <w:rFonts w:ascii="Cambria" w:eastAsia="Times New Roman" w:hAnsi="Cambria" w:cstheme="minorHAnsi"/>
        </w:rPr>
        <w:t>e</w:t>
      </w:r>
      <w:r w:rsidRPr="009A0DA6">
        <w:rPr>
          <w:rFonts w:ascii="Cambria" w:eastAsia="Times New Roman" w:hAnsi="Cambria" w:cstheme="minorHAnsi"/>
          <w:spacing w:val="1"/>
        </w:rPr>
        <w:t>r</w:t>
      </w:r>
      <w:r w:rsidRPr="009A0DA6">
        <w:rPr>
          <w:rFonts w:ascii="Cambria" w:eastAsia="Times New Roman" w:hAnsi="Cambria" w:cstheme="minorHAnsi"/>
        </w:rPr>
        <w:t>ty</w:t>
      </w:r>
      <w:r w:rsidRPr="009A0DA6">
        <w:rPr>
          <w:rFonts w:ascii="Cambria" w:hAnsi="Cambria" w:cstheme="minorHAnsi"/>
        </w:rPr>
        <w:tab/>
      </w:r>
      <w:r w:rsidRPr="009A0DA6">
        <w:rPr>
          <w:rFonts w:ascii="Cambria" w:hAnsi="Cambria" w:cstheme="minorHAnsi"/>
        </w:rPr>
        <w:tab/>
        <w:t>0</w:t>
      </w:r>
      <w:r w:rsidRPr="009A0DA6">
        <w:rPr>
          <w:rFonts w:ascii="Cambria" w:hAnsi="Cambria" w:cstheme="minorHAnsi"/>
        </w:rPr>
        <w:tab/>
      </w:r>
      <w:r w:rsidRPr="009A0DA6">
        <w:rPr>
          <w:rFonts w:ascii="Cambria" w:eastAsia="Times New Roman" w:hAnsi="Cambria" w:cstheme="minorHAnsi"/>
          <w:spacing w:val="1"/>
        </w:rPr>
        <w:t>(694</w:t>
      </w:r>
      <w:r w:rsidRPr="009A0DA6">
        <w:rPr>
          <w:rFonts w:ascii="Cambria" w:eastAsia="Times New Roman" w:hAnsi="Cambria" w:cstheme="minorHAnsi"/>
          <w:spacing w:val="-2"/>
        </w:rPr>
        <w:t>,</w:t>
      </w:r>
      <w:r w:rsidRPr="009A0DA6">
        <w:rPr>
          <w:rFonts w:ascii="Cambria" w:eastAsia="Times New Roman" w:hAnsi="Cambria" w:cstheme="minorHAnsi"/>
          <w:spacing w:val="1"/>
        </w:rPr>
        <w:t>24</w:t>
      </w:r>
      <w:r w:rsidRPr="009A0DA6">
        <w:rPr>
          <w:rFonts w:ascii="Cambria" w:eastAsia="Times New Roman" w:hAnsi="Cambria" w:cstheme="minorHAnsi"/>
          <w:spacing w:val="-1"/>
        </w:rPr>
        <w:t>1</w:t>
      </w:r>
      <w:r w:rsidRPr="009A0DA6">
        <w:rPr>
          <w:rFonts w:ascii="Cambria" w:eastAsia="Times New Roman" w:hAnsi="Cambria" w:cstheme="minorHAnsi"/>
          <w:spacing w:val="-1"/>
        </w:rPr>
        <w:tab/>
      </w:r>
      <w:r w:rsidRPr="009A0DA6">
        <w:rPr>
          <w:rFonts w:ascii="Cambria" w:eastAsia="Times New Roman" w:hAnsi="Cambria" w:cstheme="minorHAnsi"/>
          <w:w w:val="105"/>
        </w:rPr>
        <w:t>(755,644)</w:t>
      </w:r>
    </w:p>
    <w:p w14:paraId="52C139F6" w14:textId="77777777" w:rsidR="00BA4592" w:rsidRPr="009A0DA6" w:rsidRDefault="00BA4592" w:rsidP="00E87E30">
      <w:pPr>
        <w:tabs>
          <w:tab w:val="center" w:pos="4395"/>
          <w:tab w:val="right" w:pos="5954"/>
          <w:tab w:val="right" w:pos="7371"/>
          <w:tab w:val="right" w:pos="8647"/>
        </w:tabs>
        <w:spacing w:before="120" w:after="120" w:line="240" w:lineRule="auto"/>
        <w:ind w:right="-329"/>
        <w:contextualSpacing/>
        <w:rPr>
          <w:rFonts w:ascii="Cambria" w:eastAsia="Times New Roman" w:hAnsi="Cambria" w:cstheme="minorHAnsi"/>
        </w:rPr>
      </w:pPr>
      <w:r w:rsidRPr="009A0DA6">
        <w:rPr>
          <w:rFonts w:ascii="Cambria" w:eastAsia="Times New Roman" w:hAnsi="Cambria" w:cstheme="minorHAnsi"/>
          <w:spacing w:val="-1"/>
        </w:rPr>
        <w:t>Proceeds (R</w:t>
      </w:r>
      <w:r w:rsidRPr="009A0DA6">
        <w:rPr>
          <w:rFonts w:ascii="Cambria" w:eastAsia="Times New Roman" w:hAnsi="Cambria" w:cstheme="minorHAnsi"/>
        </w:rPr>
        <w:t>e</w:t>
      </w:r>
      <w:r w:rsidRPr="009A0DA6">
        <w:rPr>
          <w:rFonts w:ascii="Cambria" w:eastAsia="Times New Roman" w:hAnsi="Cambria" w:cstheme="minorHAnsi"/>
          <w:spacing w:val="1"/>
        </w:rPr>
        <w:t>p</w:t>
      </w:r>
      <w:r w:rsidRPr="009A0DA6">
        <w:rPr>
          <w:rFonts w:ascii="Cambria" w:eastAsia="Times New Roman" w:hAnsi="Cambria" w:cstheme="minorHAnsi"/>
          <w:spacing w:val="3"/>
        </w:rPr>
        <w:t>a</w:t>
      </w:r>
      <w:r w:rsidRPr="009A0DA6">
        <w:rPr>
          <w:rFonts w:ascii="Cambria" w:eastAsia="Times New Roman" w:hAnsi="Cambria" w:cstheme="minorHAnsi"/>
          <w:spacing w:val="-1"/>
        </w:rPr>
        <w:t>ym</w:t>
      </w:r>
      <w:r w:rsidRPr="009A0DA6">
        <w:rPr>
          <w:rFonts w:ascii="Cambria" w:eastAsia="Times New Roman" w:hAnsi="Cambria" w:cstheme="minorHAnsi"/>
        </w:rPr>
        <w:t>e</w:t>
      </w:r>
      <w:r w:rsidRPr="009A0DA6">
        <w:rPr>
          <w:rFonts w:ascii="Cambria" w:eastAsia="Times New Roman" w:hAnsi="Cambria" w:cstheme="minorHAnsi"/>
          <w:spacing w:val="1"/>
        </w:rPr>
        <w:t>n</w:t>
      </w:r>
      <w:r w:rsidRPr="009A0DA6">
        <w:rPr>
          <w:rFonts w:ascii="Cambria" w:eastAsia="Times New Roman" w:hAnsi="Cambria" w:cstheme="minorHAnsi"/>
        </w:rPr>
        <w:t>t</w:t>
      </w:r>
      <w:r w:rsidRPr="009A0DA6">
        <w:rPr>
          <w:rFonts w:ascii="Cambria" w:eastAsia="Times New Roman" w:hAnsi="Cambria" w:cstheme="minorHAnsi"/>
          <w:spacing w:val="-9"/>
        </w:rPr>
        <w:t xml:space="preserve">) </w:t>
      </w:r>
      <w:r w:rsidRPr="009A0DA6">
        <w:rPr>
          <w:rFonts w:ascii="Cambria" w:eastAsia="Times New Roman" w:hAnsi="Cambria" w:cstheme="minorHAnsi"/>
          <w:spacing w:val="1"/>
        </w:rPr>
        <w:t>o</w:t>
      </w:r>
      <w:r w:rsidRPr="009A0DA6">
        <w:rPr>
          <w:rFonts w:ascii="Cambria" w:eastAsia="Times New Roman" w:hAnsi="Cambria" w:cstheme="minorHAnsi"/>
        </w:rPr>
        <w:t>f</w:t>
      </w:r>
      <w:r w:rsidRPr="009A0DA6">
        <w:rPr>
          <w:rFonts w:ascii="Cambria" w:eastAsia="Times New Roman" w:hAnsi="Cambria" w:cstheme="minorHAnsi"/>
          <w:spacing w:val="-3"/>
        </w:rPr>
        <w:t xml:space="preserve"> </w:t>
      </w:r>
      <w:r w:rsidRPr="009A0DA6">
        <w:rPr>
          <w:rFonts w:ascii="Cambria" w:eastAsia="Times New Roman" w:hAnsi="Cambria" w:cstheme="minorHAnsi"/>
          <w:spacing w:val="1"/>
        </w:rPr>
        <w:t>borro</w:t>
      </w:r>
      <w:r w:rsidRPr="009A0DA6">
        <w:rPr>
          <w:rFonts w:ascii="Cambria" w:eastAsia="Times New Roman" w:hAnsi="Cambria" w:cstheme="minorHAnsi"/>
          <w:spacing w:val="-5"/>
        </w:rPr>
        <w:t>w</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spacing w:val="-1"/>
        </w:rPr>
        <w:t>g</w:t>
      </w:r>
      <w:r w:rsidRPr="009A0DA6">
        <w:rPr>
          <w:rFonts w:ascii="Cambria" w:eastAsia="Times New Roman" w:hAnsi="Cambria" w:cstheme="minorHAnsi"/>
        </w:rPr>
        <w:t>s</w:t>
      </w:r>
      <w:r w:rsidRPr="009A0DA6">
        <w:rPr>
          <w:rFonts w:ascii="Cambria" w:eastAsia="Times New Roman" w:hAnsi="Cambria" w:cstheme="minorHAnsi"/>
        </w:rPr>
        <w:tab/>
      </w:r>
      <w:r w:rsidRPr="009A0DA6">
        <w:rPr>
          <w:rFonts w:ascii="Cambria" w:eastAsia="Times New Roman" w:hAnsi="Cambria" w:cstheme="minorHAnsi"/>
        </w:rPr>
        <w:tab/>
        <w:t>(10,000)</w:t>
      </w:r>
      <w:r w:rsidRPr="009A0DA6">
        <w:rPr>
          <w:rFonts w:ascii="Cambria" w:eastAsia="Times New Roman" w:hAnsi="Cambria" w:cstheme="minorHAnsi"/>
        </w:rPr>
        <w:tab/>
        <w:t>(17,500)</w:t>
      </w:r>
      <w:r w:rsidRPr="009A0DA6">
        <w:rPr>
          <w:rFonts w:ascii="Cambria" w:eastAsia="Times New Roman" w:hAnsi="Cambria" w:cstheme="minorHAnsi"/>
        </w:rPr>
        <w:tab/>
      </w:r>
      <w:r w:rsidRPr="009A0DA6">
        <w:rPr>
          <w:rFonts w:ascii="Cambria" w:eastAsia="Times New Roman" w:hAnsi="Cambria" w:cstheme="minorHAnsi"/>
          <w:w w:val="104"/>
        </w:rPr>
        <w:t>100,000</w:t>
      </w:r>
    </w:p>
    <w:p w14:paraId="59D97126" w14:textId="77777777" w:rsidR="00BA4592" w:rsidRPr="009A0DA6" w:rsidRDefault="00BA4592" w:rsidP="00E87E30">
      <w:pPr>
        <w:tabs>
          <w:tab w:val="center" w:pos="4395"/>
          <w:tab w:val="right" w:pos="5954"/>
          <w:tab w:val="right" w:pos="7371"/>
          <w:tab w:val="right" w:pos="8647"/>
        </w:tabs>
        <w:spacing w:before="120" w:after="120" w:line="240" w:lineRule="auto"/>
        <w:ind w:right="-329"/>
        <w:contextualSpacing/>
        <w:rPr>
          <w:rFonts w:ascii="Cambria" w:eastAsiaTheme="minorEastAsia" w:hAnsi="Cambria" w:cstheme="minorHAnsi"/>
          <w:b/>
        </w:rPr>
      </w:pPr>
      <w:r w:rsidRPr="009A0DA6">
        <w:rPr>
          <w:rFonts w:ascii="Cambria" w:hAnsi="Cambria" w:cstheme="minorHAnsi"/>
          <w:b/>
        </w:rPr>
        <w:t>Net cash provided by financing activities</w:t>
      </w:r>
      <w:r w:rsidRPr="009A0DA6">
        <w:rPr>
          <w:rFonts w:ascii="Cambria" w:hAnsi="Cambria" w:cstheme="minorHAnsi"/>
          <w:b/>
        </w:rPr>
        <w:tab/>
      </w:r>
      <w:r w:rsidRPr="009A0DA6">
        <w:rPr>
          <w:rFonts w:ascii="Cambria" w:hAnsi="Cambria" w:cstheme="minorHAnsi"/>
          <w:b/>
        </w:rPr>
        <w:tab/>
      </w:r>
      <w:r w:rsidRPr="009A0DA6">
        <w:rPr>
          <w:rFonts w:ascii="Cambria" w:eastAsia="Times New Roman" w:hAnsi="Cambria" w:cstheme="minorHAnsi"/>
          <w:b/>
          <w:spacing w:val="1"/>
        </w:rPr>
        <w:t>413,</w:t>
      </w:r>
      <w:r w:rsidRPr="009A0DA6">
        <w:rPr>
          <w:rFonts w:ascii="Cambria" w:eastAsia="Times New Roman" w:hAnsi="Cambria" w:cstheme="minorHAnsi"/>
          <w:b/>
          <w:spacing w:val="-1"/>
        </w:rPr>
        <w:t>5</w:t>
      </w:r>
      <w:r w:rsidRPr="009A0DA6">
        <w:rPr>
          <w:rFonts w:ascii="Cambria" w:eastAsia="Times New Roman" w:hAnsi="Cambria" w:cstheme="minorHAnsi"/>
          <w:b/>
          <w:spacing w:val="1"/>
        </w:rPr>
        <w:t>6</w:t>
      </w:r>
      <w:r w:rsidRPr="009A0DA6">
        <w:rPr>
          <w:rFonts w:ascii="Cambria" w:eastAsia="Times New Roman" w:hAnsi="Cambria" w:cstheme="minorHAnsi"/>
          <w:b/>
        </w:rPr>
        <w:t>8</w:t>
      </w:r>
      <w:r w:rsidRPr="009A0DA6">
        <w:rPr>
          <w:rFonts w:ascii="Cambria" w:hAnsi="Cambria" w:cstheme="minorHAnsi"/>
          <w:b/>
        </w:rPr>
        <w:tab/>
      </w:r>
      <w:r w:rsidRPr="009A0DA6">
        <w:rPr>
          <w:rFonts w:ascii="Cambria" w:eastAsia="Times New Roman" w:hAnsi="Cambria" w:cstheme="minorHAnsi"/>
          <w:b/>
          <w:spacing w:val="1"/>
        </w:rPr>
        <w:t>768</w:t>
      </w:r>
      <w:r w:rsidRPr="009A0DA6">
        <w:rPr>
          <w:rFonts w:ascii="Cambria" w:eastAsia="Times New Roman" w:hAnsi="Cambria" w:cstheme="minorHAnsi"/>
          <w:b/>
          <w:spacing w:val="-2"/>
        </w:rPr>
        <w:t>,</w:t>
      </w:r>
      <w:r w:rsidRPr="009A0DA6">
        <w:rPr>
          <w:rFonts w:ascii="Cambria" w:eastAsia="Times New Roman" w:hAnsi="Cambria" w:cstheme="minorHAnsi"/>
          <w:b/>
          <w:spacing w:val="1"/>
        </w:rPr>
        <w:t>55</w:t>
      </w:r>
      <w:r w:rsidRPr="009A0DA6">
        <w:rPr>
          <w:rFonts w:ascii="Cambria" w:eastAsia="Times New Roman" w:hAnsi="Cambria" w:cstheme="minorHAnsi"/>
          <w:b/>
          <w:spacing w:val="-1"/>
        </w:rPr>
        <w:t>8</w:t>
      </w:r>
      <w:r w:rsidRPr="009A0DA6">
        <w:rPr>
          <w:rFonts w:ascii="Cambria" w:eastAsia="Times New Roman" w:hAnsi="Cambria" w:cstheme="minorHAnsi"/>
          <w:b/>
        </w:rPr>
        <w:t>)</w:t>
      </w:r>
      <w:r w:rsidRPr="009A0DA6">
        <w:rPr>
          <w:rFonts w:ascii="Cambria" w:hAnsi="Cambria" w:cstheme="minorHAnsi"/>
          <w:b/>
        </w:rPr>
        <w:tab/>
      </w:r>
      <w:r w:rsidRPr="009A0DA6">
        <w:rPr>
          <w:rFonts w:ascii="Cambria" w:eastAsia="Times New Roman" w:hAnsi="Cambria" w:cstheme="minorHAnsi"/>
          <w:w w:val="106"/>
        </w:rPr>
        <w:t>(655,644)</w:t>
      </w:r>
    </w:p>
    <w:p w14:paraId="05D6B665" w14:textId="77777777" w:rsidR="00BA4592" w:rsidRPr="009A0DA6" w:rsidRDefault="00BA4592" w:rsidP="00E87E30">
      <w:pPr>
        <w:tabs>
          <w:tab w:val="center" w:pos="4395"/>
          <w:tab w:val="right" w:pos="5954"/>
          <w:tab w:val="right" w:pos="7371"/>
          <w:tab w:val="right" w:pos="8647"/>
        </w:tabs>
        <w:spacing w:before="120" w:after="120" w:line="240" w:lineRule="auto"/>
        <w:ind w:right="-329"/>
        <w:contextualSpacing/>
        <w:rPr>
          <w:rFonts w:ascii="Cambria" w:hAnsi="Cambria" w:cstheme="minorHAnsi"/>
        </w:rPr>
      </w:pPr>
    </w:p>
    <w:p w14:paraId="191FF046" w14:textId="77777777" w:rsidR="00BA4592" w:rsidRPr="009A0DA6" w:rsidRDefault="00BA4592" w:rsidP="00E87E30">
      <w:pPr>
        <w:tabs>
          <w:tab w:val="center" w:pos="4395"/>
          <w:tab w:val="right" w:pos="5954"/>
          <w:tab w:val="right" w:pos="7371"/>
          <w:tab w:val="right" w:pos="8647"/>
        </w:tabs>
        <w:spacing w:before="120" w:after="120" w:line="240" w:lineRule="auto"/>
        <w:ind w:right="-329"/>
        <w:contextualSpacing/>
        <w:rPr>
          <w:rFonts w:ascii="Cambria" w:hAnsi="Cambria" w:cstheme="minorHAnsi"/>
        </w:rPr>
      </w:pPr>
      <w:r w:rsidRPr="009A0DA6">
        <w:rPr>
          <w:rFonts w:ascii="Cambria" w:hAnsi="Cambria" w:cstheme="minorHAnsi"/>
        </w:rPr>
        <w:t>Net increase in cash and cash equivalents held</w:t>
      </w:r>
      <w:r w:rsidRPr="009A0DA6">
        <w:rPr>
          <w:rFonts w:ascii="Cambria" w:hAnsi="Cambria" w:cstheme="minorHAnsi"/>
        </w:rPr>
        <w:tab/>
      </w:r>
      <w:r w:rsidRPr="009A0DA6">
        <w:rPr>
          <w:rFonts w:ascii="Cambria" w:hAnsi="Cambria" w:cstheme="minorHAnsi"/>
        </w:rPr>
        <w:tab/>
      </w:r>
      <w:r w:rsidRPr="009A0DA6">
        <w:rPr>
          <w:rFonts w:ascii="Cambria" w:eastAsia="Times New Roman" w:hAnsi="Cambria" w:cstheme="minorHAnsi"/>
          <w:spacing w:val="1"/>
        </w:rPr>
        <w:t>717,</w:t>
      </w:r>
      <w:r w:rsidRPr="009A0DA6">
        <w:rPr>
          <w:rFonts w:ascii="Cambria" w:eastAsia="Times New Roman" w:hAnsi="Cambria" w:cstheme="minorHAnsi"/>
          <w:spacing w:val="-1"/>
        </w:rPr>
        <w:t>2</w:t>
      </w:r>
      <w:r w:rsidRPr="009A0DA6">
        <w:rPr>
          <w:rFonts w:ascii="Cambria" w:eastAsia="Times New Roman" w:hAnsi="Cambria" w:cstheme="minorHAnsi"/>
          <w:spacing w:val="1"/>
        </w:rPr>
        <w:t>0</w:t>
      </w:r>
      <w:r w:rsidRPr="009A0DA6">
        <w:rPr>
          <w:rFonts w:ascii="Cambria" w:eastAsia="Times New Roman" w:hAnsi="Cambria" w:cstheme="minorHAnsi"/>
        </w:rPr>
        <w:t>6</w:t>
      </w:r>
      <w:r w:rsidRPr="009A0DA6">
        <w:rPr>
          <w:rFonts w:ascii="Cambria" w:hAnsi="Cambria" w:cstheme="minorHAnsi"/>
        </w:rPr>
        <w:tab/>
      </w:r>
      <w:r w:rsidRPr="009A0DA6">
        <w:rPr>
          <w:rFonts w:ascii="Cambria" w:eastAsia="Times New Roman" w:hAnsi="Cambria" w:cstheme="minorHAnsi"/>
          <w:spacing w:val="1"/>
        </w:rPr>
        <w:t>1,60</w:t>
      </w:r>
      <w:r w:rsidRPr="009A0DA6">
        <w:rPr>
          <w:rFonts w:ascii="Cambria" w:eastAsia="Times New Roman" w:hAnsi="Cambria" w:cstheme="minorHAnsi"/>
          <w:spacing w:val="-1"/>
        </w:rPr>
        <w:t>8</w:t>
      </w:r>
      <w:r w:rsidRPr="009A0DA6">
        <w:rPr>
          <w:rFonts w:ascii="Cambria" w:eastAsia="Times New Roman" w:hAnsi="Cambria" w:cstheme="minorHAnsi"/>
          <w:spacing w:val="1"/>
        </w:rPr>
        <w:t>,0</w:t>
      </w:r>
      <w:r w:rsidRPr="009A0DA6">
        <w:rPr>
          <w:rFonts w:ascii="Cambria" w:eastAsia="Times New Roman" w:hAnsi="Cambria" w:cstheme="minorHAnsi"/>
          <w:spacing w:val="-1"/>
        </w:rPr>
        <w:t>8</w:t>
      </w:r>
      <w:r w:rsidRPr="009A0DA6">
        <w:rPr>
          <w:rFonts w:ascii="Cambria" w:eastAsia="Times New Roman" w:hAnsi="Cambria" w:cstheme="minorHAnsi"/>
        </w:rPr>
        <w:t>8</w:t>
      </w:r>
      <w:r w:rsidRPr="009A0DA6">
        <w:rPr>
          <w:rFonts w:ascii="Cambria" w:hAnsi="Cambria" w:cstheme="minorHAnsi"/>
        </w:rPr>
        <w:tab/>
      </w:r>
      <w:r w:rsidRPr="009A0DA6">
        <w:rPr>
          <w:rFonts w:ascii="Cambria" w:eastAsia="Times New Roman" w:hAnsi="Cambria" w:cstheme="minorHAnsi"/>
          <w:w w:val="106"/>
        </w:rPr>
        <w:t>(780,558)</w:t>
      </w:r>
    </w:p>
    <w:p w14:paraId="79516E04" w14:textId="77777777" w:rsidR="00BA4592" w:rsidRPr="009A0DA6" w:rsidRDefault="00BA4592" w:rsidP="00E87E30">
      <w:pPr>
        <w:tabs>
          <w:tab w:val="center" w:pos="4395"/>
          <w:tab w:val="right" w:pos="5954"/>
          <w:tab w:val="right" w:pos="7371"/>
          <w:tab w:val="right" w:pos="8647"/>
        </w:tabs>
        <w:spacing w:before="120" w:after="120" w:line="240" w:lineRule="auto"/>
        <w:ind w:right="-329"/>
        <w:contextualSpacing/>
        <w:rPr>
          <w:rFonts w:ascii="Cambria" w:hAnsi="Cambria" w:cstheme="minorHAnsi"/>
        </w:rPr>
      </w:pPr>
      <w:r w:rsidRPr="009A0DA6">
        <w:rPr>
          <w:rFonts w:ascii="Cambria" w:hAnsi="Cambria" w:cstheme="minorHAnsi"/>
        </w:rPr>
        <w:t>Cash and cash equivalents at beginning of year</w:t>
      </w:r>
      <w:r w:rsidRPr="009A0DA6">
        <w:rPr>
          <w:rFonts w:ascii="Cambria" w:hAnsi="Cambria" w:cstheme="minorHAnsi"/>
        </w:rPr>
        <w:tab/>
      </w:r>
      <w:r w:rsidRPr="009A0DA6">
        <w:rPr>
          <w:rFonts w:ascii="Cambria" w:hAnsi="Cambria" w:cstheme="minorHAnsi"/>
        </w:rPr>
        <w:tab/>
      </w:r>
      <w:r w:rsidRPr="009A0DA6">
        <w:rPr>
          <w:rFonts w:ascii="Cambria" w:eastAsia="Times New Roman" w:hAnsi="Cambria" w:cstheme="minorHAnsi"/>
          <w:spacing w:val="1"/>
        </w:rPr>
        <w:t>12,9</w:t>
      </w:r>
      <w:r w:rsidRPr="009A0DA6">
        <w:rPr>
          <w:rFonts w:ascii="Cambria" w:eastAsia="Times New Roman" w:hAnsi="Cambria" w:cstheme="minorHAnsi"/>
          <w:spacing w:val="-1"/>
        </w:rPr>
        <w:t>4</w:t>
      </w:r>
      <w:r w:rsidRPr="009A0DA6">
        <w:rPr>
          <w:rFonts w:ascii="Cambria" w:eastAsia="Times New Roman" w:hAnsi="Cambria" w:cstheme="minorHAnsi"/>
          <w:spacing w:val="1"/>
        </w:rPr>
        <w:t>6,</w:t>
      </w:r>
      <w:r w:rsidRPr="009A0DA6">
        <w:rPr>
          <w:rFonts w:ascii="Cambria" w:eastAsia="Times New Roman" w:hAnsi="Cambria" w:cstheme="minorHAnsi"/>
          <w:spacing w:val="-1"/>
        </w:rPr>
        <w:t>8</w:t>
      </w:r>
      <w:r w:rsidRPr="009A0DA6">
        <w:rPr>
          <w:rFonts w:ascii="Cambria" w:eastAsia="Times New Roman" w:hAnsi="Cambria" w:cstheme="minorHAnsi"/>
          <w:spacing w:val="1"/>
        </w:rPr>
        <w:t>7</w:t>
      </w:r>
      <w:r w:rsidRPr="009A0DA6">
        <w:rPr>
          <w:rFonts w:ascii="Cambria" w:eastAsia="Times New Roman" w:hAnsi="Cambria" w:cstheme="minorHAnsi"/>
        </w:rPr>
        <w:t>1</w:t>
      </w:r>
      <w:r w:rsidRPr="009A0DA6">
        <w:rPr>
          <w:rFonts w:ascii="Cambria" w:hAnsi="Cambria" w:cstheme="minorHAnsi"/>
        </w:rPr>
        <w:tab/>
      </w:r>
      <w:r w:rsidRPr="009A0DA6">
        <w:rPr>
          <w:rFonts w:ascii="Cambria" w:eastAsia="Times New Roman" w:hAnsi="Cambria" w:cstheme="minorHAnsi"/>
          <w:spacing w:val="1"/>
        </w:rPr>
        <w:t>11,3</w:t>
      </w:r>
      <w:r w:rsidRPr="009A0DA6">
        <w:rPr>
          <w:rFonts w:ascii="Cambria" w:eastAsia="Times New Roman" w:hAnsi="Cambria" w:cstheme="minorHAnsi"/>
          <w:spacing w:val="-1"/>
        </w:rPr>
        <w:t>3</w:t>
      </w:r>
      <w:r w:rsidRPr="009A0DA6">
        <w:rPr>
          <w:rFonts w:ascii="Cambria" w:eastAsia="Times New Roman" w:hAnsi="Cambria" w:cstheme="minorHAnsi"/>
          <w:spacing w:val="1"/>
        </w:rPr>
        <w:t>8,</w:t>
      </w:r>
      <w:r w:rsidRPr="009A0DA6">
        <w:rPr>
          <w:rFonts w:ascii="Cambria" w:eastAsia="Times New Roman" w:hAnsi="Cambria" w:cstheme="minorHAnsi"/>
          <w:spacing w:val="-1"/>
        </w:rPr>
        <w:t>7</w:t>
      </w:r>
      <w:r w:rsidRPr="009A0DA6">
        <w:rPr>
          <w:rFonts w:ascii="Cambria" w:eastAsia="Times New Roman" w:hAnsi="Cambria" w:cstheme="minorHAnsi"/>
          <w:spacing w:val="1"/>
        </w:rPr>
        <w:t>8</w:t>
      </w:r>
      <w:r w:rsidRPr="009A0DA6">
        <w:rPr>
          <w:rFonts w:ascii="Cambria" w:eastAsia="Times New Roman" w:hAnsi="Cambria" w:cstheme="minorHAnsi"/>
        </w:rPr>
        <w:t>3</w:t>
      </w:r>
      <w:r w:rsidRPr="009A0DA6">
        <w:rPr>
          <w:rFonts w:ascii="Cambria" w:hAnsi="Cambria" w:cstheme="minorHAnsi"/>
        </w:rPr>
        <w:tab/>
      </w:r>
      <w:r w:rsidRPr="009A0DA6">
        <w:rPr>
          <w:rFonts w:ascii="Cambria" w:eastAsia="Times New Roman" w:hAnsi="Cambria" w:cstheme="minorHAnsi"/>
          <w:w w:val="104"/>
        </w:rPr>
        <w:t>12,119,341</w:t>
      </w:r>
    </w:p>
    <w:p w14:paraId="43F67F52" w14:textId="77777777" w:rsidR="00BA4592" w:rsidRPr="009A0DA6" w:rsidRDefault="00BA4592" w:rsidP="00E87E30">
      <w:pPr>
        <w:tabs>
          <w:tab w:val="center" w:pos="4395"/>
          <w:tab w:val="right" w:pos="5954"/>
          <w:tab w:val="right" w:pos="7371"/>
          <w:tab w:val="right" w:pos="8647"/>
        </w:tabs>
        <w:spacing w:before="120" w:after="120" w:line="240" w:lineRule="auto"/>
        <w:ind w:right="-329"/>
        <w:contextualSpacing/>
        <w:rPr>
          <w:rFonts w:ascii="Cambria" w:hAnsi="Cambria" w:cstheme="minorHAnsi"/>
          <w:b/>
        </w:rPr>
      </w:pPr>
      <w:r w:rsidRPr="009A0DA6">
        <w:rPr>
          <w:rFonts w:ascii="Cambria" w:hAnsi="Cambria" w:cstheme="minorHAnsi"/>
          <w:b/>
        </w:rPr>
        <w:t>Cash and cash equivalents at end of year</w:t>
      </w:r>
      <w:r w:rsidRPr="009A0DA6">
        <w:rPr>
          <w:rFonts w:ascii="Cambria" w:hAnsi="Cambria" w:cstheme="minorHAnsi"/>
          <w:b/>
        </w:rPr>
        <w:tab/>
        <w:t>2</w:t>
      </w:r>
      <w:r w:rsidRPr="009A0DA6">
        <w:rPr>
          <w:rFonts w:ascii="Cambria" w:hAnsi="Cambria" w:cstheme="minorHAnsi"/>
          <w:b/>
        </w:rPr>
        <w:tab/>
      </w:r>
      <w:r w:rsidRPr="009A0DA6">
        <w:rPr>
          <w:rFonts w:ascii="Cambria" w:eastAsia="Times New Roman" w:hAnsi="Cambria" w:cstheme="minorHAnsi"/>
          <w:b/>
          <w:spacing w:val="1"/>
        </w:rPr>
        <w:t>13,6</w:t>
      </w:r>
      <w:r w:rsidRPr="009A0DA6">
        <w:rPr>
          <w:rFonts w:ascii="Cambria" w:eastAsia="Times New Roman" w:hAnsi="Cambria" w:cstheme="minorHAnsi"/>
          <w:b/>
          <w:spacing w:val="-1"/>
        </w:rPr>
        <w:t>6</w:t>
      </w:r>
      <w:r w:rsidRPr="009A0DA6">
        <w:rPr>
          <w:rFonts w:ascii="Cambria" w:eastAsia="Times New Roman" w:hAnsi="Cambria" w:cstheme="minorHAnsi"/>
          <w:b/>
          <w:spacing w:val="1"/>
        </w:rPr>
        <w:t>4,</w:t>
      </w:r>
      <w:r w:rsidRPr="009A0DA6">
        <w:rPr>
          <w:rFonts w:ascii="Cambria" w:eastAsia="Times New Roman" w:hAnsi="Cambria" w:cstheme="minorHAnsi"/>
          <w:b/>
          <w:spacing w:val="-1"/>
        </w:rPr>
        <w:t>0</w:t>
      </w:r>
      <w:r w:rsidRPr="009A0DA6">
        <w:rPr>
          <w:rFonts w:ascii="Cambria" w:eastAsia="Times New Roman" w:hAnsi="Cambria" w:cstheme="minorHAnsi"/>
          <w:b/>
          <w:spacing w:val="1"/>
        </w:rPr>
        <w:t>7</w:t>
      </w:r>
      <w:r w:rsidRPr="009A0DA6">
        <w:rPr>
          <w:rFonts w:ascii="Cambria" w:eastAsia="Times New Roman" w:hAnsi="Cambria" w:cstheme="minorHAnsi"/>
          <w:b/>
        </w:rPr>
        <w:t>7</w:t>
      </w:r>
      <w:r w:rsidRPr="009A0DA6">
        <w:rPr>
          <w:rFonts w:ascii="Cambria" w:hAnsi="Cambria" w:cstheme="minorHAnsi"/>
          <w:b/>
        </w:rPr>
        <w:tab/>
      </w:r>
      <w:r w:rsidRPr="009A0DA6">
        <w:rPr>
          <w:rFonts w:ascii="Cambria" w:eastAsia="Times New Roman" w:hAnsi="Cambria" w:cstheme="minorHAnsi"/>
          <w:b/>
          <w:spacing w:val="1"/>
        </w:rPr>
        <w:t>12,9</w:t>
      </w:r>
      <w:r w:rsidRPr="009A0DA6">
        <w:rPr>
          <w:rFonts w:ascii="Cambria" w:eastAsia="Times New Roman" w:hAnsi="Cambria" w:cstheme="minorHAnsi"/>
          <w:b/>
          <w:spacing w:val="-1"/>
        </w:rPr>
        <w:t>4</w:t>
      </w:r>
      <w:r w:rsidRPr="009A0DA6">
        <w:rPr>
          <w:rFonts w:ascii="Cambria" w:eastAsia="Times New Roman" w:hAnsi="Cambria" w:cstheme="minorHAnsi"/>
          <w:b/>
          <w:spacing w:val="1"/>
        </w:rPr>
        <w:t>6,</w:t>
      </w:r>
      <w:r w:rsidRPr="009A0DA6">
        <w:rPr>
          <w:rFonts w:ascii="Cambria" w:eastAsia="Times New Roman" w:hAnsi="Cambria" w:cstheme="minorHAnsi"/>
          <w:b/>
          <w:spacing w:val="-1"/>
        </w:rPr>
        <w:t>8</w:t>
      </w:r>
      <w:r w:rsidRPr="009A0DA6">
        <w:rPr>
          <w:rFonts w:ascii="Cambria" w:eastAsia="Times New Roman" w:hAnsi="Cambria" w:cstheme="minorHAnsi"/>
          <w:b/>
          <w:spacing w:val="1"/>
        </w:rPr>
        <w:t>7</w:t>
      </w:r>
      <w:r w:rsidRPr="009A0DA6">
        <w:rPr>
          <w:rFonts w:ascii="Cambria" w:eastAsia="Times New Roman" w:hAnsi="Cambria" w:cstheme="minorHAnsi"/>
          <w:b/>
        </w:rPr>
        <w:t>1</w:t>
      </w:r>
      <w:r w:rsidRPr="009A0DA6">
        <w:rPr>
          <w:rFonts w:ascii="Cambria" w:eastAsia="Times New Roman" w:hAnsi="Cambria" w:cstheme="minorHAnsi"/>
          <w:b/>
        </w:rPr>
        <w:tab/>
      </w:r>
      <w:r w:rsidRPr="009A0DA6">
        <w:rPr>
          <w:rFonts w:ascii="Cambria" w:eastAsia="Times New Roman" w:hAnsi="Cambria" w:cstheme="minorHAnsi"/>
          <w:w w:val="107"/>
        </w:rPr>
        <w:t>11.338.783</w:t>
      </w:r>
    </w:p>
    <w:p w14:paraId="627F4DF8"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hAnsi="Cambria" w:cstheme="minorHAnsi"/>
        </w:rPr>
      </w:pPr>
      <w:r w:rsidRPr="009A0DA6">
        <w:rPr>
          <w:rFonts w:ascii="Cambria" w:hAnsi="Cambria" w:cstheme="minorHAnsi"/>
        </w:rPr>
        <w:t>The accompanying notes form part of these financial statements.</w:t>
      </w:r>
    </w:p>
    <w:p w14:paraId="30FB6792" w14:textId="77777777" w:rsidR="00BA4592" w:rsidRPr="009A0DA6" w:rsidRDefault="00BA4592" w:rsidP="00E4168D">
      <w:pPr>
        <w:pStyle w:val="Subtitle"/>
      </w:pPr>
      <w:r w:rsidRPr="009A0DA6">
        <w:t>NOTES TO THE FINANCIAL STATEMENTS</w:t>
      </w:r>
    </w:p>
    <w:p w14:paraId="05DA314E" w14:textId="77777777" w:rsidR="00BA4592" w:rsidRPr="009A0DA6" w:rsidRDefault="00BA4592" w:rsidP="00BA4592">
      <w:pPr>
        <w:tabs>
          <w:tab w:val="decimal" w:pos="6840"/>
          <w:tab w:val="decimal" w:pos="8280"/>
        </w:tabs>
        <w:spacing w:before="120" w:after="120" w:line="240" w:lineRule="auto"/>
        <w:ind w:right="-331"/>
        <w:contextualSpacing/>
        <w:rPr>
          <w:rFonts w:ascii="Cambria" w:hAnsi="Cambria" w:cstheme="minorHAnsi"/>
          <w:b/>
        </w:rPr>
      </w:pPr>
      <w:r w:rsidRPr="009A0DA6">
        <w:rPr>
          <w:rFonts w:ascii="Cambria" w:hAnsi="Cambria" w:cstheme="minorHAnsi"/>
          <w:b/>
        </w:rPr>
        <w:t>Note 1: Statement on Significant Accounting Policies</w:t>
      </w:r>
    </w:p>
    <w:p w14:paraId="1EA230E4" w14:textId="7D901804" w:rsidR="00BA4592" w:rsidRPr="009A0DA6" w:rsidRDefault="00BA4592" w:rsidP="00BA4592">
      <w:pPr>
        <w:tabs>
          <w:tab w:val="center" w:pos="4394"/>
          <w:tab w:val="right" w:pos="6095"/>
          <w:tab w:val="right" w:pos="7371"/>
          <w:tab w:val="right" w:pos="8647"/>
        </w:tabs>
        <w:spacing w:before="120" w:after="120" w:line="240" w:lineRule="auto"/>
        <w:ind w:right="-51"/>
        <w:contextualSpacing/>
        <w:rPr>
          <w:rFonts w:ascii="Cambria" w:eastAsia="Times New Roman" w:hAnsi="Cambria" w:cstheme="minorHAnsi"/>
        </w:rPr>
      </w:pPr>
      <w:r w:rsidRPr="009A0DA6">
        <w:rPr>
          <w:rFonts w:ascii="Cambria" w:eastAsia="Times New Roman" w:hAnsi="Cambria" w:cstheme="minorHAnsi"/>
          <w:spacing w:val="3"/>
        </w:rPr>
        <w:t>T</w:t>
      </w:r>
      <w:r w:rsidRPr="009A0DA6">
        <w:rPr>
          <w:rFonts w:ascii="Cambria" w:eastAsia="Times New Roman" w:hAnsi="Cambria" w:cstheme="minorHAnsi"/>
          <w:spacing w:val="-1"/>
        </w:rPr>
        <w:t>h</w:t>
      </w:r>
      <w:r w:rsidRPr="009A0DA6">
        <w:rPr>
          <w:rFonts w:ascii="Cambria" w:eastAsia="Times New Roman" w:hAnsi="Cambria" w:cstheme="minorHAnsi"/>
        </w:rPr>
        <w:t>is</w:t>
      </w:r>
      <w:r w:rsidRPr="009A0DA6">
        <w:rPr>
          <w:rFonts w:ascii="Cambria" w:eastAsia="Times New Roman" w:hAnsi="Cambria" w:cstheme="minorHAnsi"/>
          <w:spacing w:val="1"/>
        </w:rPr>
        <w:t xml:space="preserve"> </w:t>
      </w:r>
      <w:r w:rsidRPr="009A0DA6">
        <w:rPr>
          <w:rFonts w:ascii="Cambria" w:eastAsia="Times New Roman" w:hAnsi="Cambria" w:cstheme="minorHAnsi"/>
          <w:spacing w:val="-1"/>
        </w:rPr>
        <w:t>f</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spacing w:val="3"/>
        </w:rPr>
        <w:t>a</w:t>
      </w:r>
      <w:r w:rsidRPr="009A0DA6">
        <w:rPr>
          <w:rFonts w:ascii="Cambria" w:eastAsia="Times New Roman" w:hAnsi="Cambria" w:cstheme="minorHAnsi"/>
          <w:spacing w:val="-1"/>
        </w:rPr>
        <w:t>n</w:t>
      </w:r>
      <w:r w:rsidRPr="009A0DA6">
        <w:rPr>
          <w:rFonts w:ascii="Cambria" w:eastAsia="Times New Roman" w:hAnsi="Cambria" w:cstheme="minorHAnsi"/>
        </w:rPr>
        <w:t>cial</w:t>
      </w:r>
      <w:r w:rsidRPr="009A0DA6">
        <w:rPr>
          <w:rFonts w:ascii="Cambria" w:eastAsia="Times New Roman" w:hAnsi="Cambria" w:cstheme="minorHAnsi"/>
          <w:spacing w:val="-2"/>
        </w:rPr>
        <w:t xml:space="preserve"> </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1"/>
        </w:rPr>
        <w:t>por</w:t>
      </w:r>
      <w:r w:rsidRPr="009A0DA6">
        <w:rPr>
          <w:rFonts w:ascii="Cambria" w:eastAsia="Times New Roman" w:hAnsi="Cambria" w:cstheme="minorHAnsi"/>
        </w:rPr>
        <w:t>t is</w:t>
      </w:r>
      <w:r w:rsidRPr="009A0DA6">
        <w:rPr>
          <w:rFonts w:ascii="Cambria" w:eastAsia="Times New Roman" w:hAnsi="Cambria" w:cstheme="minorHAnsi"/>
          <w:spacing w:val="4"/>
        </w:rPr>
        <w:t xml:space="preserve"> </w:t>
      </w:r>
      <w:r w:rsidRPr="009A0DA6">
        <w:rPr>
          <w:rFonts w:ascii="Cambria" w:eastAsia="Times New Roman" w:hAnsi="Cambria" w:cstheme="minorHAnsi"/>
        </w:rPr>
        <w:t>a</w:t>
      </w:r>
      <w:r w:rsidRPr="009A0DA6">
        <w:rPr>
          <w:rFonts w:ascii="Cambria" w:eastAsia="Times New Roman" w:hAnsi="Cambria" w:cstheme="minorHAnsi"/>
          <w:spacing w:val="7"/>
        </w:rPr>
        <w:t xml:space="preserve"> </w:t>
      </w:r>
      <w:r w:rsidRPr="009A0DA6">
        <w:rPr>
          <w:rFonts w:ascii="Cambria" w:eastAsia="Times New Roman" w:hAnsi="Cambria" w:cstheme="minorHAnsi"/>
          <w:spacing w:val="-1"/>
        </w:rPr>
        <w:t>s</w:t>
      </w:r>
      <w:r w:rsidRPr="009A0DA6">
        <w:rPr>
          <w:rFonts w:ascii="Cambria" w:eastAsia="Times New Roman" w:hAnsi="Cambria" w:cstheme="minorHAnsi"/>
          <w:spacing w:val="1"/>
        </w:rPr>
        <w:t>p</w:t>
      </w:r>
      <w:r w:rsidRPr="009A0DA6">
        <w:rPr>
          <w:rFonts w:ascii="Cambria" w:eastAsia="Times New Roman" w:hAnsi="Cambria" w:cstheme="minorHAnsi"/>
        </w:rPr>
        <w:t>ec</w:t>
      </w:r>
      <w:r w:rsidRPr="009A0DA6">
        <w:rPr>
          <w:rFonts w:ascii="Cambria" w:eastAsia="Times New Roman" w:hAnsi="Cambria" w:cstheme="minorHAnsi"/>
          <w:spacing w:val="2"/>
        </w:rPr>
        <w:t>i</w:t>
      </w:r>
      <w:r w:rsidRPr="009A0DA6">
        <w:rPr>
          <w:rFonts w:ascii="Cambria" w:eastAsia="Times New Roman" w:hAnsi="Cambria" w:cstheme="minorHAnsi"/>
        </w:rPr>
        <w:t>al</w:t>
      </w:r>
      <w:r w:rsidRPr="009A0DA6">
        <w:rPr>
          <w:rFonts w:ascii="Cambria" w:eastAsia="Times New Roman" w:hAnsi="Cambria" w:cstheme="minorHAnsi"/>
          <w:spacing w:val="-1"/>
        </w:rPr>
        <w:t xml:space="preserve"> </w:t>
      </w:r>
      <w:r w:rsidRPr="009A0DA6">
        <w:rPr>
          <w:rFonts w:ascii="Cambria" w:eastAsia="Times New Roman" w:hAnsi="Cambria" w:cstheme="minorHAnsi"/>
          <w:spacing w:val="1"/>
        </w:rPr>
        <w:t>p</w:t>
      </w:r>
      <w:r w:rsidRPr="009A0DA6">
        <w:rPr>
          <w:rFonts w:ascii="Cambria" w:eastAsia="Times New Roman" w:hAnsi="Cambria" w:cstheme="minorHAnsi"/>
          <w:spacing w:val="-1"/>
        </w:rPr>
        <w:t>u</w:t>
      </w:r>
      <w:r w:rsidRPr="009A0DA6">
        <w:rPr>
          <w:rFonts w:ascii="Cambria" w:eastAsia="Times New Roman" w:hAnsi="Cambria" w:cstheme="minorHAnsi"/>
          <w:spacing w:val="1"/>
        </w:rPr>
        <w:t>rpo</w:t>
      </w:r>
      <w:r w:rsidRPr="009A0DA6">
        <w:rPr>
          <w:rFonts w:ascii="Cambria" w:eastAsia="Times New Roman" w:hAnsi="Cambria" w:cstheme="minorHAnsi"/>
          <w:spacing w:val="-1"/>
        </w:rPr>
        <w:t>s</w:t>
      </w:r>
      <w:r w:rsidRPr="009A0DA6">
        <w:rPr>
          <w:rFonts w:ascii="Cambria" w:eastAsia="Times New Roman" w:hAnsi="Cambria" w:cstheme="minorHAnsi"/>
        </w:rPr>
        <w:t xml:space="preserve">e </w:t>
      </w:r>
      <w:r w:rsidRPr="009A0DA6">
        <w:rPr>
          <w:rFonts w:ascii="Cambria" w:eastAsia="Times New Roman" w:hAnsi="Cambria" w:cstheme="minorHAnsi"/>
          <w:spacing w:val="-1"/>
        </w:rPr>
        <w:t>f</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spacing w:val="3"/>
        </w:rPr>
        <w:t>a</w:t>
      </w:r>
      <w:r w:rsidRPr="009A0DA6">
        <w:rPr>
          <w:rFonts w:ascii="Cambria" w:eastAsia="Times New Roman" w:hAnsi="Cambria" w:cstheme="minorHAnsi"/>
          <w:spacing w:val="-1"/>
        </w:rPr>
        <w:t>n</w:t>
      </w:r>
      <w:r w:rsidRPr="009A0DA6">
        <w:rPr>
          <w:rFonts w:ascii="Cambria" w:eastAsia="Times New Roman" w:hAnsi="Cambria" w:cstheme="minorHAnsi"/>
        </w:rPr>
        <w:t>cial</w:t>
      </w:r>
      <w:r w:rsidRPr="009A0DA6">
        <w:rPr>
          <w:rFonts w:ascii="Cambria" w:eastAsia="Times New Roman" w:hAnsi="Cambria" w:cstheme="minorHAnsi"/>
          <w:spacing w:val="-2"/>
        </w:rPr>
        <w:t xml:space="preserve"> </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1"/>
        </w:rPr>
        <w:t>por</w:t>
      </w:r>
      <w:r w:rsidRPr="009A0DA6">
        <w:rPr>
          <w:rFonts w:ascii="Cambria" w:eastAsia="Times New Roman" w:hAnsi="Cambria" w:cstheme="minorHAnsi"/>
        </w:rPr>
        <w:t xml:space="preserve">t </w:t>
      </w:r>
      <w:r w:rsidRPr="009A0DA6">
        <w:rPr>
          <w:rFonts w:ascii="Cambria" w:eastAsia="Times New Roman" w:hAnsi="Cambria" w:cstheme="minorHAnsi"/>
          <w:spacing w:val="1"/>
        </w:rPr>
        <w:t>pr</w:t>
      </w:r>
      <w:r w:rsidRPr="009A0DA6">
        <w:rPr>
          <w:rFonts w:ascii="Cambria" w:eastAsia="Times New Roman" w:hAnsi="Cambria" w:cstheme="minorHAnsi"/>
        </w:rPr>
        <w:t>e</w:t>
      </w:r>
      <w:r w:rsidRPr="009A0DA6">
        <w:rPr>
          <w:rFonts w:ascii="Cambria" w:eastAsia="Times New Roman" w:hAnsi="Cambria" w:cstheme="minorHAnsi"/>
          <w:spacing w:val="1"/>
        </w:rPr>
        <w:t>p</w:t>
      </w:r>
      <w:r w:rsidRPr="009A0DA6">
        <w:rPr>
          <w:rFonts w:ascii="Cambria" w:eastAsia="Times New Roman" w:hAnsi="Cambria" w:cstheme="minorHAnsi"/>
        </w:rPr>
        <w:t>a</w:t>
      </w:r>
      <w:r w:rsidRPr="009A0DA6">
        <w:rPr>
          <w:rFonts w:ascii="Cambria" w:eastAsia="Times New Roman" w:hAnsi="Cambria" w:cstheme="minorHAnsi"/>
          <w:spacing w:val="1"/>
        </w:rPr>
        <w:t>r</w:t>
      </w:r>
      <w:r w:rsidRPr="009A0DA6">
        <w:rPr>
          <w:rFonts w:ascii="Cambria" w:eastAsia="Times New Roman" w:hAnsi="Cambria" w:cstheme="minorHAnsi"/>
        </w:rPr>
        <w:t>ed</w:t>
      </w:r>
      <w:r w:rsidRPr="009A0DA6">
        <w:rPr>
          <w:rFonts w:ascii="Cambria" w:eastAsia="Times New Roman" w:hAnsi="Cambria" w:cstheme="minorHAnsi"/>
          <w:spacing w:val="-1"/>
        </w:rPr>
        <w:t xml:space="preserve"> </w:t>
      </w:r>
      <w:r w:rsidRPr="009A0DA6">
        <w:rPr>
          <w:rFonts w:ascii="Cambria" w:eastAsia="Times New Roman" w:hAnsi="Cambria" w:cstheme="minorHAnsi"/>
        </w:rPr>
        <w:t>in</w:t>
      </w:r>
      <w:r w:rsidRPr="009A0DA6">
        <w:rPr>
          <w:rFonts w:ascii="Cambria" w:eastAsia="Times New Roman" w:hAnsi="Cambria" w:cstheme="minorHAnsi"/>
          <w:spacing w:val="2"/>
        </w:rPr>
        <w:t xml:space="preserve"> </w:t>
      </w:r>
      <w:r w:rsidRPr="009A0DA6">
        <w:rPr>
          <w:rFonts w:ascii="Cambria" w:eastAsia="Times New Roman" w:hAnsi="Cambria" w:cstheme="minorHAnsi"/>
          <w:spacing w:val="1"/>
        </w:rPr>
        <w:t>ord</w:t>
      </w:r>
      <w:r w:rsidRPr="009A0DA6">
        <w:rPr>
          <w:rFonts w:ascii="Cambria" w:eastAsia="Times New Roman" w:hAnsi="Cambria" w:cstheme="minorHAnsi"/>
        </w:rPr>
        <w:t>er</w:t>
      </w:r>
      <w:r w:rsidRPr="009A0DA6">
        <w:rPr>
          <w:rFonts w:ascii="Cambria" w:eastAsia="Times New Roman" w:hAnsi="Cambria" w:cstheme="minorHAnsi"/>
          <w:spacing w:val="2"/>
        </w:rPr>
        <w:t xml:space="preserve"> </w:t>
      </w:r>
      <w:r w:rsidRPr="009A0DA6">
        <w:rPr>
          <w:rFonts w:ascii="Cambria" w:eastAsia="Times New Roman" w:hAnsi="Cambria" w:cstheme="minorHAnsi"/>
        </w:rPr>
        <w:t>to</w:t>
      </w:r>
      <w:r w:rsidRPr="009A0DA6">
        <w:rPr>
          <w:rFonts w:ascii="Cambria" w:eastAsia="Times New Roman" w:hAnsi="Cambria" w:cstheme="minorHAnsi"/>
          <w:spacing w:val="4"/>
        </w:rPr>
        <w:t xml:space="preserve"> </w:t>
      </w:r>
      <w:r w:rsidRPr="009A0DA6">
        <w:rPr>
          <w:rFonts w:ascii="Cambria" w:eastAsia="Times New Roman" w:hAnsi="Cambria" w:cstheme="minorHAnsi"/>
          <w:spacing w:val="-1"/>
        </w:rPr>
        <w:t>s</w:t>
      </w:r>
      <w:r w:rsidRPr="009A0DA6">
        <w:rPr>
          <w:rFonts w:ascii="Cambria" w:eastAsia="Times New Roman" w:hAnsi="Cambria" w:cstheme="minorHAnsi"/>
        </w:rPr>
        <w:t>ati</w:t>
      </w:r>
      <w:r w:rsidRPr="009A0DA6">
        <w:rPr>
          <w:rFonts w:ascii="Cambria" w:eastAsia="Times New Roman" w:hAnsi="Cambria" w:cstheme="minorHAnsi"/>
          <w:spacing w:val="2"/>
        </w:rPr>
        <w:t>s</w:t>
      </w:r>
      <w:r w:rsidRPr="009A0DA6">
        <w:rPr>
          <w:rFonts w:ascii="Cambria" w:eastAsia="Times New Roman" w:hAnsi="Cambria" w:cstheme="minorHAnsi"/>
          <w:spacing w:val="1"/>
        </w:rPr>
        <w:t>f</w:t>
      </w:r>
      <w:r w:rsidRPr="009A0DA6">
        <w:rPr>
          <w:rFonts w:ascii="Cambria" w:eastAsia="Times New Roman" w:hAnsi="Cambria" w:cstheme="minorHAnsi"/>
        </w:rPr>
        <w:t>y</w:t>
      </w:r>
      <w:r w:rsidRPr="009A0DA6">
        <w:rPr>
          <w:rFonts w:ascii="Cambria" w:eastAsia="Times New Roman" w:hAnsi="Cambria" w:cstheme="minorHAnsi"/>
          <w:spacing w:val="-1"/>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6"/>
        </w:rPr>
        <w:t xml:space="preserve"> </w:t>
      </w:r>
      <w:r w:rsidRPr="009A0DA6">
        <w:rPr>
          <w:rFonts w:ascii="Cambria" w:eastAsia="Times New Roman" w:hAnsi="Cambria" w:cstheme="minorHAnsi"/>
          <w:spacing w:val="1"/>
        </w:rPr>
        <w:t>f</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rPr>
        <w:t>ci</w:t>
      </w:r>
      <w:r w:rsidRPr="009A0DA6">
        <w:rPr>
          <w:rFonts w:ascii="Cambria" w:eastAsia="Times New Roman" w:hAnsi="Cambria" w:cstheme="minorHAnsi"/>
          <w:spacing w:val="3"/>
        </w:rPr>
        <w:t>a</w:t>
      </w:r>
      <w:r w:rsidRPr="009A0DA6">
        <w:rPr>
          <w:rFonts w:ascii="Cambria" w:eastAsia="Times New Roman" w:hAnsi="Cambria" w:cstheme="minorHAnsi"/>
        </w:rPr>
        <w:t>l</w:t>
      </w:r>
      <w:r w:rsidRPr="009A0DA6">
        <w:rPr>
          <w:rFonts w:ascii="Cambria" w:eastAsia="Times New Roman" w:hAnsi="Cambria" w:cstheme="minorHAnsi"/>
          <w:spacing w:val="-2"/>
        </w:rPr>
        <w:t xml:space="preserve"> </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1"/>
        </w:rPr>
        <w:t>por</w:t>
      </w:r>
      <w:r w:rsidRPr="009A0DA6">
        <w:rPr>
          <w:rFonts w:ascii="Cambria" w:eastAsia="Times New Roman" w:hAnsi="Cambria" w:cstheme="minorHAnsi"/>
        </w:rPr>
        <w:t>ti</w:t>
      </w:r>
      <w:r w:rsidRPr="009A0DA6">
        <w:rPr>
          <w:rFonts w:ascii="Cambria" w:eastAsia="Times New Roman" w:hAnsi="Cambria" w:cstheme="minorHAnsi"/>
          <w:spacing w:val="-1"/>
        </w:rPr>
        <w:t>n</w:t>
      </w:r>
      <w:r w:rsidRPr="009A0DA6">
        <w:rPr>
          <w:rFonts w:ascii="Cambria" w:eastAsia="Times New Roman" w:hAnsi="Cambria" w:cstheme="minorHAnsi"/>
        </w:rPr>
        <w:t xml:space="preserve">g </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1"/>
        </w:rPr>
        <w:t>q</w:t>
      </w:r>
      <w:r w:rsidRPr="009A0DA6">
        <w:rPr>
          <w:rFonts w:ascii="Cambria" w:eastAsia="Times New Roman" w:hAnsi="Cambria" w:cstheme="minorHAnsi"/>
          <w:spacing w:val="-1"/>
        </w:rPr>
        <w:t>u</w:t>
      </w:r>
      <w:r w:rsidRPr="009A0DA6">
        <w:rPr>
          <w:rFonts w:ascii="Cambria" w:eastAsia="Times New Roman" w:hAnsi="Cambria" w:cstheme="minorHAnsi"/>
        </w:rPr>
        <w:t>i</w:t>
      </w:r>
      <w:r w:rsidRPr="009A0DA6">
        <w:rPr>
          <w:rFonts w:ascii="Cambria" w:eastAsia="Times New Roman" w:hAnsi="Cambria" w:cstheme="minorHAnsi"/>
          <w:spacing w:val="1"/>
        </w:rPr>
        <w:t>r</w:t>
      </w:r>
      <w:r w:rsidRPr="009A0DA6">
        <w:rPr>
          <w:rFonts w:ascii="Cambria" w:eastAsia="Times New Roman" w:hAnsi="Cambria" w:cstheme="minorHAnsi"/>
          <w:spacing w:val="3"/>
        </w:rPr>
        <w:t>e</w:t>
      </w:r>
      <w:r w:rsidRPr="009A0DA6">
        <w:rPr>
          <w:rFonts w:ascii="Cambria" w:eastAsia="Times New Roman" w:hAnsi="Cambria" w:cstheme="minorHAnsi"/>
          <w:spacing w:val="-4"/>
        </w:rPr>
        <w:t>m</w:t>
      </w:r>
      <w:r w:rsidRPr="009A0DA6">
        <w:rPr>
          <w:rFonts w:ascii="Cambria" w:eastAsia="Times New Roman" w:hAnsi="Cambria" w:cstheme="minorHAnsi"/>
        </w:rPr>
        <w:t>e</w:t>
      </w:r>
      <w:r w:rsidRPr="009A0DA6">
        <w:rPr>
          <w:rFonts w:ascii="Cambria" w:eastAsia="Times New Roman" w:hAnsi="Cambria" w:cstheme="minorHAnsi"/>
          <w:spacing w:val="1"/>
        </w:rPr>
        <w:t>n</w:t>
      </w:r>
      <w:r w:rsidRPr="009A0DA6">
        <w:rPr>
          <w:rFonts w:ascii="Cambria" w:eastAsia="Times New Roman" w:hAnsi="Cambria" w:cstheme="minorHAnsi"/>
        </w:rPr>
        <w:t>ts</w:t>
      </w:r>
      <w:r w:rsidRPr="009A0DA6">
        <w:rPr>
          <w:rFonts w:ascii="Cambria" w:eastAsia="Times New Roman" w:hAnsi="Cambria" w:cstheme="minorHAnsi"/>
          <w:spacing w:val="4"/>
        </w:rPr>
        <w:t xml:space="preserve"> </w:t>
      </w:r>
      <w:r w:rsidRPr="009A0DA6">
        <w:rPr>
          <w:rFonts w:ascii="Cambria" w:eastAsia="Times New Roman" w:hAnsi="Cambria" w:cstheme="minorHAnsi"/>
          <w:spacing w:val="1"/>
        </w:rPr>
        <w:t>o</w:t>
      </w:r>
      <w:r w:rsidRPr="009A0DA6">
        <w:rPr>
          <w:rFonts w:ascii="Cambria" w:eastAsia="Times New Roman" w:hAnsi="Cambria" w:cstheme="minorHAnsi"/>
        </w:rPr>
        <w:t>f</w:t>
      </w:r>
      <w:r w:rsidRPr="009A0DA6">
        <w:rPr>
          <w:rFonts w:ascii="Cambria" w:eastAsia="Times New Roman" w:hAnsi="Cambria" w:cstheme="minorHAnsi"/>
          <w:spacing w:val="11"/>
        </w:rPr>
        <w:t xml:space="preserve"> </w:t>
      </w:r>
      <w:r w:rsidRPr="009A0DA6">
        <w:rPr>
          <w:rFonts w:ascii="Cambria" w:eastAsia="Times New Roman" w:hAnsi="Cambria" w:cstheme="minorHAnsi"/>
          <w:spacing w:val="2"/>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13"/>
        </w:rPr>
        <w:t xml:space="preserve"> </w:t>
      </w:r>
      <w:r w:rsidRPr="009A0DA6">
        <w:rPr>
          <w:rFonts w:ascii="Cambria" w:eastAsia="Times New Roman" w:hAnsi="Cambria" w:cstheme="minorHAnsi"/>
          <w:spacing w:val="1"/>
        </w:rPr>
        <w:t>Au</w:t>
      </w:r>
      <w:r w:rsidRPr="009A0DA6">
        <w:rPr>
          <w:rFonts w:ascii="Cambria" w:eastAsia="Times New Roman" w:hAnsi="Cambria" w:cstheme="minorHAnsi"/>
          <w:spacing w:val="-1"/>
        </w:rPr>
        <w:t>s</w:t>
      </w:r>
      <w:r w:rsidRPr="009A0DA6">
        <w:rPr>
          <w:rFonts w:ascii="Cambria" w:eastAsia="Times New Roman" w:hAnsi="Cambria" w:cstheme="minorHAnsi"/>
        </w:rPr>
        <w:t>t</w:t>
      </w:r>
      <w:r w:rsidRPr="009A0DA6">
        <w:rPr>
          <w:rFonts w:ascii="Cambria" w:eastAsia="Times New Roman" w:hAnsi="Cambria" w:cstheme="minorHAnsi"/>
          <w:spacing w:val="-1"/>
        </w:rPr>
        <w:t>r</w:t>
      </w:r>
      <w:r w:rsidRPr="009A0DA6">
        <w:rPr>
          <w:rFonts w:ascii="Cambria" w:eastAsia="Times New Roman" w:hAnsi="Cambria" w:cstheme="minorHAnsi"/>
          <w:spacing w:val="1"/>
        </w:rPr>
        <w:t>a</w:t>
      </w:r>
      <w:r w:rsidRPr="009A0DA6">
        <w:rPr>
          <w:rFonts w:ascii="Cambria" w:eastAsia="Times New Roman" w:hAnsi="Cambria" w:cstheme="minorHAnsi"/>
        </w:rPr>
        <w:t>li</w:t>
      </w:r>
      <w:r w:rsidRPr="009A0DA6">
        <w:rPr>
          <w:rFonts w:ascii="Cambria" w:eastAsia="Times New Roman" w:hAnsi="Cambria" w:cstheme="minorHAnsi"/>
          <w:spacing w:val="4"/>
        </w:rPr>
        <w:t>a</w:t>
      </w:r>
      <w:r w:rsidRPr="009A0DA6">
        <w:rPr>
          <w:rFonts w:ascii="Cambria" w:eastAsia="Times New Roman" w:hAnsi="Cambria" w:cstheme="minorHAnsi"/>
        </w:rPr>
        <w:t>n</w:t>
      </w:r>
      <w:r w:rsidRPr="009A0DA6">
        <w:rPr>
          <w:rFonts w:ascii="Cambria" w:eastAsia="Times New Roman" w:hAnsi="Cambria" w:cstheme="minorHAnsi"/>
          <w:spacing w:val="20"/>
        </w:rPr>
        <w:t xml:space="preserve"> </w:t>
      </w:r>
      <w:r w:rsidRPr="009A0DA6">
        <w:rPr>
          <w:rFonts w:ascii="Cambria" w:eastAsia="Times New Roman" w:hAnsi="Cambria" w:cstheme="minorHAnsi"/>
          <w:spacing w:val="-1"/>
        </w:rPr>
        <w:t>C</w:t>
      </w:r>
      <w:r w:rsidRPr="009A0DA6">
        <w:rPr>
          <w:rFonts w:ascii="Cambria" w:eastAsia="Times New Roman" w:hAnsi="Cambria" w:cstheme="minorHAnsi"/>
          <w:spacing w:val="1"/>
        </w:rPr>
        <w:t>ha</w:t>
      </w:r>
      <w:r w:rsidRPr="009A0DA6">
        <w:rPr>
          <w:rFonts w:ascii="Cambria" w:eastAsia="Times New Roman" w:hAnsi="Cambria" w:cstheme="minorHAnsi"/>
          <w:spacing w:val="-1"/>
        </w:rPr>
        <w:t>r</w:t>
      </w:r>
      <w:r w:rsidRPr="009A0DA6">
        <w:rPr>
          <w:rFonts w:ascii="Cambria" w:eastAsia="Times New Roman" w:hAnsi="Cambria" w:cstheme="minorHAnsi"/>
        </w:rPr>
        <w:t>ities</w:t>
      </w:r>
      <w:r w:rsidRPr="009A0DA6">
        <w:rPr>
          <w:rFonts w:ascii="Cambria" w:eastAsia="Times New Roman" w:hAnsi="Cambria" w:cstheme="minorHAnsi"/>
          <w:spacing w:val="30"/>
        </w:rPr>
        <w:t xml:space="preserve"> </w:t>
      </w:r>
      <w:r w:rsidRPr="009A0DA6">
        <w:rPr>
          <w:rFonts w:ascii="Cambria" w:eastAsia="Times New Roman" w:hAnsi="Cambria" w:cstheme="minorHAnsi"/>
          <w:spacing w:val="1"/>
        </w:rPr>
        <w:t>an</w:t>
      </w:r>
      <w:r w:rsidRPr="009A0DA6">
        <w:rPr>
          <w:rFonts w:ascii="Cambria" w:eastAsia="Times New Roman" w:hAnsi="Cambria" w:cstheme="minorHAnsi"/>
        </w:rPr>
        <w:t>d</w:t>
      </w:r>
      <w:r w:rsidRPr="009A0DA6">
        <w:rPr>
          <w:rFonts w:ascii="Cambria" w:eastAsia="Times New Roman" w:hAnsi="Cambria" w:cstheme="minorHAnsi"/>
          <w:spacing w:val="25"/>
        </w:rPr>
        <w:t xml:space="preserve"> </w:t>
      </w:r>
      <w:r w:rsidRPr="009A0DA6">
        <w:rPr>
          <w:rFonts w:ascii="Cambria" w:eastAsia="Times New Roman" w:hAnsi="Cambria" w:cstheme="minorHAnsi"/>
          <w:spacing w:val="-1"/>
          <w:w w:val="99"/>
        </w:rPr>
        <w:t>N</w:t>
      </w:r>
      <w:r w:rsidRPr="009A0DA6">
        <w:rPr>
          <w:rFonts w:ascii="Cambria" w:eastAsia="Times New Roman" w:hAnsi="Cambria" w:cstheme="minorHAnsi"/>
          <w:spacing w:val="1"/>
          <w:w w:val="99"/>
        </w:rPr>
        <w:t>o</w:t>
      </w:r>
      <w:r w:rsidRPr="009A0DA6">
        <w:rPr>
          <w:rFonts w:ascii="Cambria" w:eastAsia="Times New Roman" w:hAnsi="Cambria" w:cstheme="minorHAnsi"/>
          <w:w w:val="99"/>
        </w:rPr>
        <w:t>t</w:t>
      </w:r>
      <w:r w:rsidRPr="009A0DA6">
        <w:rPr>
          <w:rFonts w:ascii="Cambria" w:eastAsia="Times New Roman" w:hAnsi="Cambria" w:cstheme="minorHAnsi"/>
          <w:spacing w:val="1"/>
          <w:w w:val="99"/>
        </w:rPr>
        <w:t>-</w:t>
      </w:r>
      <w:r w:rsidRPr="009A0DA6">
        <w:rPr>
          <w:rFonts w:ascii="Cambria" w:eastAsia="Times New Roman" w:hAnsi="Cambria" w:cstheme="minorHAnsi"/>
          <w:w w:val="99"/>
        </w:rPr>
        <w:t>f</w:t>
      </w:r>
      <w:r w:rsidRPr="009A0DA6">
        <w:rPr>
          <w:rFonts w:ascii="Cambria" w:eastAsia="Times New Roman" w:hAnsi="Cambria" w:cstheme="minorHAnsi"/>
          <w:spacing w:val="1"/>
          <w:w w:val="99"/>
        </w:rPr>
        <w:t>o</w:t>
      </w:r>
      <w:r w:rsidRPr="009A0DA6">
        <w:rPr>
          <w:rFonts w:ascii="Cambria" w:eastAsia="Times New Roman" w:hAnsi="Cambria" w:cstheme="minorHAnsi"/>
          <w:spacing w:val="-1"/>
          <w:w w:val="99"/>
        </w:rPr>
        <w:t>r</w:t>
      </w:r>
      <w:r w:rsidRPr="009A0DA6">
        <w:rPr>
          <w:rFonts w:ascii="Cambria" w:eastAsia="Times New Roman" w:hAnsi="Cambria" w:cstheme="minorHAnsi"/>
          <w:spacing w:val="1"/>
          <w:w w:val="99"/>
        </w:rPr>
        <w:t>-P</w:t>
      </w:r>
      <w:r w:rsidRPr="009A0DA6">
        <w:rPr>
          <w:rFonts w:ascii="Cambria" w:eastAsia="Times New Roman" w:hAnsi="Cambria" w:cstheme="minorHAnsi"/>
          <w:spacing w:val="-1"/>
          <w:w w:val="99"/>
        </w:rPr>
        <w:t>r</w:t>
      </w:r>
      <w:r w:rsidRPr="009A0DA6">
        <w:rPr>
          <w:rFonts w:ascii="Cambria" w:eastAsia="Times New Roman" w:hAnsi="Cambria" w:cstheme="minorHAnsi"/>
          <w:spacing w:val="1"/>
          <w:w w:val="99"/>
        </w:rPr>
        <w:t>o</w:t>
      </w:r>
      <w:r w:rsidRPr="009A0DA6">
        <w:rPr>
          <w:rFonts w:ascii="Cambria" w:eastAsia="Times New Roman" w:hAnsi="Cambria" w:cstheme="minorHAnsi"/>
          <w:w w:val="99"/>
        </w:rPr>
        <w:t>fits</w:t>
      </w:r>
      <w:r w:rsidRPr="009A0DA6">
        <w:rPr>
          <w:rFonts w:ascii="Cambria" w:eastAsia="Times New Roman" w:hAnsi="Cambria" w:cstheme="minorHAnsi"/>
          <w:spacing w:val="15"/>
          <w:w w:val="99"/>
        </w:rPr>
        <w:t xml:space="preserve"> </w:t>
      </w:r>
      <w:r w:rsidRPr="009A0DA6">
        <w:rPr>
          <w:rFonts w:ascii="Cambria" w:eastAsia="Times New Roman" w:hAnsi="Cambria" w:cstheme="minorHAnsi"/>
          <w:spacing w:val="-1"/>
        </w:rPr>
        <w:t>C</w:t>
      </w:r>
      <w:r w:rsidRPr="009A0DA6">
        <w:rPr>
          <w:rFonts w:ascii="Cambria" w:eastAsia="Times New Roman" w:hAnsi="Cambria" w:cstheme="minorHAnsi"/>
          <w:spacing w:val="1"/>
        </w:rPr>
        <w:t>o</w:t>
      </w:r>
      <w:r w:rsidRPr="009A0DA6">
        <w:rPr>
          <w:rFonts w:ascii="Cambria" w:eastAsia="Times New Roman" w:hAnsi="Cambria" w:cstheme="minorHAnsi"/>
        </w:rPr>
        <w:t>mm</w:t>
      </w:r>
      <w:r w:rsidRPr="009A0DA6">
        <w:rPr>
          <w:rFonts w:ascii="Cambria" w:eastAsia="Times New Roman" w:hAnsi="Cambria" w:cstheme="minorHAnsi"/>
          <w:spacing w:val="2"/>
        </w:rPr>
        <w:t>i</w:t>
      </w:r>
      <w:r w:rsidRPr="009A0DA6">
        <w:rPr>
          <w:rFonts w:ascii="Cambria" w:eastAsia="Times New Roman" w:hAnsi="Cambria" w:cstheme="minorHAnsi"/>
          <w:spacing w:val="-1"/>
        </w:rPr>
        <w:t>ss</w:t>
      </w:r>
      <w:r w:rsidRPr="009A0DA6">
        <w:rPr>
          <w:rFonts w:ascii="Cambria" w:eastAsia="Times New Roman" w:hAnsi="Cambria" w:cstheme="minorHAnsi"/>
        </w:rPr>
        <w:t>i</w:t>
      </w:r>
      <w:r w:rsidRPr="009A0DA6">
        <w:rPr>
          <w:rFonts w:ascii="Cambria" w:eastAsia="Times New Roman" w:hAnsi="Cambria" w:cstheme="minorHAnsi"/>
          <w:spacing w:val="1"/>
        </w:rPr>
        <w:t>o</w:t>
      </w:r>
      <w:r w:rsidRPr="009A0DA6">
        <w:rPr>
          <w:rFonts w:ascii="Cambria" w:eastAsia="Times New Roman" w:hAnsi="Cambria" w:cstheme="minorHAnsi"/>
        </w:rPr>
        <w:t>n</w:t>
      </w:r>
      <w:r w:rsidRPr="009A0DA6">
        <w:rPr>
          <w:rFonts w:ascii="Cambria" w:eastAsia="Times New Roman" w:hAnsi="Cambria" w:cstheme="minorHAnsi"/>
          <w:spacing w:val="-16"/>
        </w:rPr>
        <w:t xml:space="preserve"> </w:t>
      </w:r>
      <w:r w:rsidRPr="009A0DA6">
        <w:rPr>
          <w:rFonts w:ascii="Cambria" w:eastAsia="Times New Roman" w:hAnsi="Cambria" w:cstheme="minorHAnsi"/>
          <w:spacing w:val="1"/>
        </w:rPr>
        <w:t>A</w:t>
      </w:r>
      <w:r w:rsidRPr="009A0DA6">
        <w:rPr>
          <w:rFonts w:ascii="Cambria" w:eastAsia="Times New Roman" w:hAnsi="Cambria" w:cstheme="minorHAnsi"/>
        </w:rPr>
        <w:t>ct</w:t>
      </w:r>
      <w:r w:rsidRPr="009A0DA6">
        <w:rPr>
          <w:rFonts w:ascii="Cambria" w:eastAsia="Times New Roman" w:hAnsi="Cambria" w:cstheme="minorHAnsi"/>
          <w:spacing w:val="-10"/>
        </w:rPr>
        <w:t xml:space="preserve"> </w:t>
      </w:r>
      <w:r w:rsidRPr="009A0DA6">
        <w:rPr>
          <w:rFonts w:ascii="Cambria" w:eastAsia="Times New Roman" w:hAnsi="Cambria" w:cstheme="minorHAnsi"/>
          <w:spacing w:val="1"/>
        </w:rPr>
        <w:t>201</w:t>
      </w:r>
      <w:r w:rsidRPr="009A0DA6">
        <w:rPr>
          <w:rFonts w:ascii="Cambria" w:eastAsia="Times New Roman" w:hAnsi="Cambria" w:cstheme="minorHAnsi"/>
        </w:rPr>
        <w:t>2</w:t>
      </w:r>
      <w:r w:rsidRPr="009A0DA6">
        <w:rPr>
          <w:rFonts w:ascii="Cambria" w:eastAsia="Times New Roman" w:hAnsi="Cambria" w:cstheme="minorHAnsi"/>
          <w:spacing w:val="12"/>
        </w:rPr>
        <w:t xml:space="preserve"> </w:t>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spacing w:val="13"/>
        </w:rPr>
        <w:t xml:space="preserve"> </w:t>
      </w:r>
      <w:r w:rsidRPr="009A0DA6">
        <w:rPr>
          <w:rFonts w:ascii="Cambria" w:eastAsia="Times New Roman" w:hAnsi="Cambria" w:cstheme="minorHAnsi"/>
          <w:spacing w:val="-3"/>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13"/>
        </w:rPr>
        <w:t xml:space="preserve"> </w:t>
      </w:r>
      <w:r w:rsidRPr="009A0DA6">
        <w:rPr>
          <w:rFonts w:ascii="Cambria" w:eastAsia="Times New Roman" w:hAnsi="Cambria" w:cstheme="minorHAnsi"/>
          <w:spacing w:val="-1"/>
        </w:rPr>
        <w:t>s</w:t>
      </w:r>
      <w:r w:rsidRPr="009A0DA6">
        <w:rPr>
          <w:rFonts w:ascii="Cambria" w:eastAsia="Times New Roman" w:hAnsi="Cambria" w:cstheme="minorHAnsi"/>
          <w:spacing w:val="1"/>
        </w:rPr>
        <w:t>p</w:t>
      </w:r>
      <w:r w:rsidRPr="009A0DA6">
        <w:rPr>
          <w:rFonts w:ascii="Cambria" w:eastAsia="Times New Roman" w:hAnsi="Cambria" w:cstheme="minorHAnsi"/>
        </w:rPr>
        <w:t>eci</w:t>
      </w:r>
      <w:r w:rsidRPr="009A0DA6">
        <w:rPr>
          <w:rFonts w:ascii="Cambria" w:eastAsia="Times New Roman" w:hAnsi="Cambria" w:cstheme="minorHAnsi"/>
          <w:spacing w:val="1"/>
        </w:rPr>
        <w:t>f</w:t>
      </w:r>
      <w:r w:rsidRPr="009A0DA6">
        <w:rPr>
          <w:rFonts w:ascii="Cambria" w:eastAsia="Times New Roman" w:hAnsi="Cambria" w:cstheme="minorHAnsi"/>
        </w:rPr>
        <w:t>ic</w:t>
      </w:r>
      <w:r w:rsidRPr="009A0DA6">
        <w:rPr>
          <w:rFonts w:ascii="Cambria" w:eastAsia="Times New Roman" w:hAnsi="Cambria" w:cstheme="minorHAnsi"/>
          <w:spacing w:val="9"/>
        </w:rPr>
        <w:t xml:space="preserve"> </w:t>
      </w:r>
      <w:r w:rsidRPr="009A0DA6">
        <w:rPr>
          <w:rFonts w:ascii="Cambria" w:eastAsia="Times New Roman" w:hAnsi="Cambria" w:cstheme="minorHAnsi"/>
          <w:spacing w:val="-1"/>
        </w:rPr>
        <w:t>n</w:t>
      </w:r>
      <w:r w:rsidRPr="009A0DA6">
        <w:rPr>
          <w:rFonts w:ascii="Cambria" w:eastAsia="Times New Roman" w:hAnsi="Cambria" w:cstheme="minorHAnsi"/>
        </w:rPr>
        <w:t>ee</w:t>
      </w:r>
      <w:r w:rsidRPr="009A0DA6">
        <w:rPr>
          <w:rFonts w:ascii="Cambria" w:eastAsia="Times New Roman" w:hAnsi="Cambria" w:cstheme="minorHAnsi"/>
          <w:spacing w:val="1"/>
        </w:rPr>
        <w:t>d</w:t>
      </w:r>
      <w:r w:rsidRPr="009A0DA6">
        <w:rPr>
          <w:rFonts w:ascii="Cambria" w:eastAsia="Times New Roman" w:hAnsi="Cambria" w:cstheme="minorHAnsi"/>
        </w:rPr>
        <w:t xml:space="preserve">s </w:t>
      </w:r>
      <w:r w:rsidRPr="009A0DA6">
        <w:rPr>
          <w:rFonts w:ascii="Cambria" w:eastAsia="Times New Roman" w:hAnsi="Cambria" w:cstheme="minorHAnsi"/>
          <w:spacing w:val="1"/>
        </w:rPr>
        <w:t>o</w:t>
      </w:r>
      <w:r w:rsidRPr="009A0DA6">
        <w:rPr>
          <w:rFonts w:ascii="Cambria" w:eastAsia="Times New Roman" w:hAnsi="Cambria" w:cstheme="minorHAnsi"/>
        </w:rPr>
        <w:t>f</w:t>
      </w:r>
      <w:r w:rsidRPr="009A0DA6">
        <w:rPr>
          <w:rFonts w:ascii="Cambria" w:eastAsia="Times New Roman" w:hAnsi="Cambria" w:cstheme="minorHAnsi"/>
          <w:spacing w:val="-1"/>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4"/>
        </w:rPr>
        <w:t xml:space="preserve"> </w:t>
      </w:r>
      <w:r w:rsidRPr="009A0DA6">
        <w:rPr>
          <w:rFonts w:ascii="Cambria" w:eastAsia="Times New Roman" w:hAnsi="Cambria" w:cstheme="minorHAnsi"/>
          <w:spacing w:val="-1"/>
        </w:rPr>
        <w:t>m</w:t>
      </w:r>
      <w:r w:rsidRPr="009A0DA6">
        <w:rPr>
          <w:rFonts w:ascii="Cambria" w:eastAsia="Times New Roman" w:hAnsi="Cambria" w:cstheme="minorHAnsi"/>
          <w:spacing w:val="3"/>
        </w:rPr>
        <w:t>e</w:t>
      </w:r>
      <w:r w:rsidRPr="009A0DA6">
        <w:rPr>
          <w:rFonts w:ascii="Cambria" w:eastAsia="Times New Roman" w:hAnsi="Cambria" w:cstheme="minorHAnsi"/>
          <w:spacing w:val="-4"/>
        </w:rPr>
        <w:t>m</w:t>
      </w:r>
      <w:r w:rsidRPr="009A0DA6">
        <w:rPr>
          <w:rFonts w:ascii="Cambria" w:eastAsia="Times New Roman" w:hAnsi="Cambria" w:cstheme="minorHAnsi"/>
          <w:spacing w:val="1"/>
        </w:rPr>
        <w:t>b</w:t>
      </w:r>
      <w:r w:rsidRPr="009A0DA6">
        <w:rPr>
          <w:rFonts w:ascii="Cambria" w:eastAsia="Times New Roman" w:hAnsi="Cambria" w:cstheme="minorHAnsi"/>
        </w:rPr>
        <w:t>e</w:t>
      </w:r>
      <w:r w:rsidRPr="009A0DA6">
        <w:rPr>
          <w:rFonts w:ascii="Cambria" w:eastAsia="Times New Roman" w:hAnsi="Cambria" w:cstheme="minorHAnsi"/>
          <w:spacing w:val="1"/>
        </w:rPr>
        <w:t>r</w:t>
      </w:r>
      <w:r w:rsidRPr="009A0DA6">
        <w:rPr>
          <w:rFonts w:ascii="Cambria" w:eastAsia="Times New Roman" w:hAnsi="Cambria" w:cstheme="minorHAnsi"/>
        </w:rPr>
        <w:t>s</w:t>
      </w:r>
      <w:r w:rsidRPr="009A0DA6">
        <w:rPr>
          <w:rFonts w:ascii="Cambria" w:eastAsia="Times New Roman" w:hAnsi="Cambria" w:cstheme="minorHAnsi"/>
          <w:spacing w:val="-5"/>
        </w:rPr>
        <w:t xml:space="preserve"> </w:t>
      </w:r>
      <w:r w:rsidRPr="009A0DA6">
        <w:rPr>
          <w:rFonts w:ascii="Cambria" w:eastAsia="Times New Roman" w:hAnsi="Cambria" w:cstheme="minorHAnsi"/>
          <w:spacing w:val="4"/>
        </w:rPr>
        <w:t>o</w:t>
      </w:r>
      <w:r w:rsidRPr="009A0DA6">
        <w:rPr>
          <w:rFonts w:ascii="Cambria" w:eastAsia="Times New Roman" w:hAnsi="Cambria" w:cstheme="minorHAnsi"/>
        </w:rPr>
        <w:t>f</w:t>
      </w:r>
      <w:r w:rsidRPr="009A0DA6">
        <w:rPr>
          <w:rFonts w:ascii="Cambria" w:eastAsia="Times New Roman" w:hAnsi="Cambria" w:cstheme="minorHAnsi"/>
          <w:spacing w:val="2"/>
        </w:rPr>
        <w:t xml:space="preserve"> </w:t>
      </w:r>
      <w:r w:rsidRPr="009A0DA6">
        <w:rPr>
          <w:rFonts w:ascii="Cambria" w:eastAsia="Times New Roman" w:hAnsi="Cambria" w:cstheme="minorHAnsi"/>
          <w:spacing w:val="-2"/>
        </w:rPr>
        <w:t>L</w:t>
      </w:r>
      <w:r w:rsidRPr="009A0DA6">
        <w:rPr>
          <w:rFonts w:ascii="Cambria" w:eastAsia="Times New Roman" w:hAnsi="Cambria" w:cstheme="minorHAnsi"/>
          <w:spacing w:val="-1"/>
        </w:rPr>
        <w:t>u</w:t>
      </w:r>
      <w:r w:rsidRPr="009A0DA6">
        <w:rPr>
          <w:rFonts w:ascii="Cambria" w:eastAsia="Times New Roman" w:hAnsi="Cambria" w:cstheme="minorHAnsi"/>
          <w:spacing w:val="2"/>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1"/>
        </w:rPr>
        <w:t>r</w:t>
      </w:r>
      <w:r w:rsidRPr="009A0DA6">
        <w:rPr>
          <w:rFonts w:ascii="Cambria" w:eastAsia="Times New Roman" w:hAnsi="Cambria" w:cstheme="minorHAnsi"/>
          <w:spacing w:val="3"/>
        </w:rPr>
        <w:t>a</w:t>
      </w:r>
      <w:r w:rsidRPr="009A0DA6">
        <w:rPr>
          <w:rFonts w:ascii="Cambria" w:eastAsia="Times New Roman" w:hAnsi="Cambria" w:cstheme="minorHAnsi"/>
        </w:rPr>
        <w:t>n</w:t>
      </w:r>
      <w:r w:rsidRPr="009A0DA6">
        <w:rPr>
          <w:rFonts w:ascii="Cambria" w:eastAsia="Times New Roman" w:hAnsi="Cambria" w:cstheme="minorHAnsi"/>
          <w:spacing w:val="-5"/>
        </w:rPr>
        <w:t xml:space="preserve"> </w:t>
      </w:r>
      <w:r w:rsidRPr="009A0DA6">
        <w:rPr>
          <w:rFonts w:ascii="Cambria" w:eastAsia="Times New Roman" w:hAnsi="Cambria" w:cstheme="minorHAnsi"/>
          <w:spacing w:val="2"/>
        </w:rPr>
        <w:t>C</w:t>
      </w:r>
      <w:r w:rsidRPr="009A0DA6">
        <w:rPr>
          <w:rFonts w:ascii="Cambria" w:eastAsia="Times New Roman" w:hAnsi="Cambria" w:cstheme="minorHAnsi"/>
          <w:spacing w:val="-1"/>
        </w:rPr>
        <w:t>hu</w:t>
      </w:r>
      <w:r w:rsidRPr="009A0DA6">
        <w:rPr>
          <w:rFonts w:ascii="Cambria" w:eastAsia="Times New Roman" w:hAnsi="Cambria" w:cstheme="minorHAnsi"/>
          <w:spacing w:val="1"/>
        </w:rPr>
        <w:t>r</w:t>
      </w:r>
      <w:r w:rsidRPr="009A0DA6">
        <w:rPr>
          <w:rFonts w:ascii="Cambria" w:eastAsia="Times New Roman" w:hAnsi="Cambria" w:cstheme="minorHAnsi"/>
          <w:spacing w:val="3"/>
        </w:rPr>
        <w:t>c</w:t>
      </w:r>
      <w:r w:rsidRPr="009A0DA6">
        <w:rPr>
          <w:rFonts w:ascii="Cambria" w:eastAsia="Times New Roman" w:hAnsi="Cambria" w:cstheme="minorHAnsi"/>
        </w:rPr>
        <w:t>h</w:t>
      </w:r>
      <w:r w:rsidRPr="009A0DA6">
        <w:rPr>
          <w:rFonts w:ascii="Cambria" w:eastAsia="Times New Roman" w:hAnsi="Cambria" w:cstheme="minorHAnsi"/>
          <w:spacing w:val="-4"/>
        </w:rPr>
        <w:t xml:space="preserve"> </w:t>
      </w:r>
      <w:r w:rsidRPr="009A0DA6">
        <w:rPr>
          <w:rFonts w:ascii="Cambria" w:eastAsia="Times New Roman" w:hAnsi="Cambria" w:cstheme="minorHAnsi"/>
          <w:spacing w:val="1"/>
        </w:rPr>
        <w:t>o</w:t>
      </w:r>
      <w:r w:rsidRPr="009A0DA6">
        <w:rPr>
          <w:rFonts w:ascii="Cambria" w:eastAsia="Times New Roman" w:hAnsi="Cambria" w:cstheme="minorHAnsi"/>
        </w:rPr>
        <w:t>f</w:t>
      </w:r>
      <w:r w:rsidRPr="009A0DA6">
        <w:rPr>
          <w:rFonts w:ascii="Cambria" w:eastAsia="Times New Roman" w:hAnsi="Cambria" w:cstheme="minorHAnsi"/>
          <w:spacing w:val="2"/>
        </w:rPr>
        <w:t xml:space="preserve"> </w:t>
      </w:r>
      <w:r w:rsidRPr="009A0DA6">
        <w:rPr>
          <w:rFonts w:ascii="Cambria" w:eastAsia="Times New Roman" w:hAnsi="Cambria" w:cstheme="minorHAnsi"/>
        </w:rPr>
        <w:t>A</w:t>
      </w:r>
      <w:r w:rsidRPr="009A0DA6">
        <w:rPr>
          <w:rFonts w:ascii="Cambria" w:eastAsia="Times New Roman" w:hAnsi="Cambria" w:cstheme="minorHAnsi"/>
          <w:spacing w:val="-1"/>
        </w:rPr>
        <w:t>us</w:t>
      </w:r>
      <w:r w:rsidRPr="009A0DA6">
        <w:rPr>
          <w:rFonts w:ascii="Cambria" w:eastAsia="Times New Roman" w:hAnsi="Cambria" w:cstheme="minorHAnsi"/>
        </w:rPr>
        <w:t>t</w:t>
      </w:r>
      <w:r w:rsidRPr="009A0DA6">
        <w:rPr>
          <w:rFonts w:ascii="Cambria" w:eastAsia="Times New Roman" w:hAnsi="Cambria" w:cstheme="minorHAnsi"/>
          <w:spacing w:val="1"/>
        </w:rPr>
        <w:t>r</w:t>
      </w:r>
      <w:r w:rsidRPr="009A0DA6">
        <w:rPr>
          <w:rFonts w:ascii="Cambria" w:eastAsia="Times New Roman" w:hAnsi="Cambria" w:cstheme="minorHAnsi"/>
        </w:rPr>
        <w:t>alia</w:t>
      </w:r>
      <w:r w:rsidRPr="009A0DA6">
        <w:rPr>
          <w:rFonts w:ascii="Cambria" w:eastAsia="Times New Roman" w:hAnsi="Cambria" w:cstheme="minorHAnsi"/>
          <w:spacing w:val="-4"/>
        </w:rPr>
        <w:t xml:space="preserve"> </w:t>
      </w:r>
      <w:r w:rsidRPr="009A0DA6">
        <w:rPr>
          <w:rFonts w:ascii="Cambria" w:eastAsia="Times New Roman" w:hAnsi="Cambria" w:cstheme="minorHAnsi"/>
          <w:spacing w:val="3"/>
        </w:rPr>
        <w:t>I</w:t>
      </w:r>
      <w:r w:rsidRPr="009A0DA6">
        <w:rPr>
          <w:rFonts w:ascii="Cambria" w:eastAsia="Times New Roman" w:hAnsi="Cambria" w:cstheme="minorHAnsi"/>
          <w:spacing w:val="-1"/>
        </w:rPr>
        <w:t>n</w:t>
      </w:r>
      <w:r w:rsidRPr="009A0DA6">
        <w:rPr>
          <w:rFonts w:ascii="Cambria" w:eastAsia="Times New Roman" w:hAnsi="Cambria" w:cstheme="minorHAnsi"/>
        </w:rPr>
        <w:t>c</w:t>
      </w:r>
      <w:r w:rsidRPr="009A0DA6">
        <w:rPr>
          <w:rFonts w:ascii="Cambria" w:eastAsia="Times New Roman" w:hAnsi="Cambria" w:cstheme="minorHAnsi"/>
          <w:spacing w:val="1"/>
        </w:rPr>
        <w:t>orpor</w:t>
      </w:r>
      <w:r w:rsidRPr="009A0DA6">
        <w:rPr>
          <w:rFonts w:ascii="Cambria" w:eastAsia="Times New Roman" w:hAnsi="Cambria" w:cstheme="minorHAnsi"/>
        </w:rPr>
        <w:t>at</w:t>
      </w:r>
      <w:r w:rsidRPr="009A0DA6">
        <w:rPr>
          <w:rFonts w:ascii="Cambria" w:eastAsia="Times New Roman" w:hAnsi="Cambria" w:cstheme="minorHAnsi"/>
          <w:spacing w:val="-2"/>
        </w:rPr>
        <w:t>e</w:t>
      </w:r>
      <w:r w:rsidRPr="009A0DA6">
        <w:rPr>
          <w:rFonts w:ascii="Cambria" w:eastAsia="Times New Roman" w:hAnsi="Cambria" w:cstheme="minorHAnsi"/>
        </w:rPr>
        <w:t>d</w:t>
      </w:r>
      <w:r w:rsidRPr="009A0DA6">
        <w:rPr>
          <w:rFonts w:ascii="Cambria" w:eastAsia="Times New Roman" w:hAnsi="Cambria" w:cstheme="minorHAnsi"/>
          <w:spacing w:val="-6"/>
        </w:rPr>
        <w:t xml:space="preserve"> </w:t>
      </w:r>
      <w:r w:rsidRPr="009A0DA6">
        <w:rPr>
          <w:rFonts w:ascii="Cambria" w:eastAsia="Times New Roman" w:hAnsi="Cambria" w:cstheme="minorHAnsi"/>
          <w:spacing w:val="1"/>
        </w:rPr>
        <w:t>(</w:t>
      </w:r>
      <w:r w:rsidRPr="009A0DA6">
        <w:rPr>
          <w:rFonts w:ascii="Cambria" w:eastAsia="Times New Roman" w:hAnsi="Cambria" w:cstheme="minorHAnsi"/>
          <w:spacing w:val="-1"/>
        </w:rPr>
        <w:t>‘</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1"/>
        </w:rPr>
        <w:t xml:space="preserve"> </w:t>
      </w:r>
      <w:r w:rsidRPr="009A0DA6">
        <w:rPr>
          <w:rFonts w:ascii="Cambria" w:eastAsia="Times New Roman" w:hAnsi="Cambria" w:cstheme="minorHAnsi"/>
          <w:spacing w:val="2"/>
        </w:rPr>
        <w:t>C</w:t>
      </w:r>
      <w:r w:rsidRPr="009A0DA6">
        <w:rPr>
          <w:rFonts w:ascii="Cambria" w:eastAsia="Times New Roman" w:hAnsi="Cambria" w:cstheme="minorHAnsi"/>
          <w:spacing w:val="1"/>
        </w:rPr>
        <w:t>h</w:t>
      </w:r>
      <w:r w:rsidRPr="009A0DA6">
        <w:rPr>
          <w:rFonts w:ascii="Cambria" w:eastAsia="Times New Roman" w:hAnsi="Cambria" w:cstheme="minorHAnsi"/>
          <w:spacing w:val="-1"/>
        </w:rPr>
        <w:t>u</w:t>
      </w:r>
      <w:r w:rsidRPr="009A0DA6">
        <w:rPr>
          <w:rFonts w:ascii="Cambria" w:eastAsia="Times New Roman" w:hAnsi="Cambria" w:cstheme="minorHAnsi"/>
          <w:spacing w:val="1"/>
        </w:rPr>
        <w:t>r</w:t>
      </w:r>
      <w:r w:rsidRPr="009A0DA6">
        <w:rPr>
          <w:rFonts w:ascii="Cambria" w:eastAsia="Times New Roman" w:hAnsi="Cambria" w:cstheme="minorHAnsi"/>
        </w:rPr>
        <w:t>c</w:t>
      </w:r>
      <w:r w:rsidRPr="009A0DA6">
        <w:rPr>
          <w:rFonts w:ascii="Cambria" w:eastAsia="Times New Roman" w:hAnsi="Cambria" w:cstheme="minorHAnsi"/>
          <w:spacing w:val="1"/>
        </w:rPr>
        <w:t>h</w:t>
      </w:r>
      <w:r w:rsidRPr="009A0DA6">
        <w:rPr>
          <w:rFonts w:ascii="Cambria" w:eastAsia="Times New Roman" w:hAnsi="Cambria" w:cstheme="minorHAnsi"/>
          <w:spacing w:val="-1"/>
        </w:rPr>
        <w:t>’</w:t>
      </w:r>
      <w:r w:rsidRPr="009A0DA6">
        <w:rPr>
          <w:rFonts w:ascii="Cambria" w:eastAsia="Times New Roman" w:hAnsi="Cambria" w:cstheme="minorHAnsi"/>
          <w:spacing w:val="1"/>
        </w:rPr>
        <w:t>)</w:t>
      </w:r>
      <w:r w:rsidRPr="009A0DA6">
        <w:rPr>
          <w:rFonts w:ascii="Cambria" w:eastAsia="Times New Roman" w:hAnsi="Cambria" w:cstheme="minorHAnsi"/>
        </w:rPr>
        <w:t>.</w:t>
      </w:r>
      <w:r w:rsidRPr="009A0DA6">
        <w:rPr>
          <w:rFonts w:ascii="Cambria" w:eastAsia="Times New Roman" w:hAnsi="Cambria" w:cstheme="minorHAnsi"/>
          <w:spacing w:val="48"/>
        </w:rPr>
        <w:t xml:space="preserve"> </w:t>
      </w:r>
      <w:r w:rsidRPr="009A0DA6">
        <w:rPr>
          <w:rFonts w:ascii="Cambria" w:eastAsia="Times New Roman" w:hAnsi="Cambria" w:cstheme="minorHAnsi"/>
          <w:spacing w:val="3"/>
        </w:rPr>
        <w:t>T</w:t>
      </w:r>
      <w:r w:rsidRPr="009A0DA6">
        <w:rPr>
          <w:rFonts w:ascii="Cambria" w:eastAsia="Times New Roman" w:hAnsi="Cambria" w:cstheme="minorHAnsi"/>
          <w:spacing w:val="-1"/>
        </w:rPr>
        <w:t>h</w:t>
      </w:r>
      <w:r w:rsidRPr="009A0DA6">
        <w:rPr>
          <w:rFonts w:ascii="Cambria" w:eastAsia="Times New Roman" w:hAnsi="Cambria" w:cstheme="minorHAnsi"/>
        </w:rPr>
        <w:t>e Ge</w:t>
      </w:r>
      <w:r w:rsidRPr="009A0DA6">
        <w:rPr>
          <w:rFonts w:ascii="Cambria" w:eastAsia="Times New Roman" w:hAnsi="Cambria" w:cstheme="minorHAnsi"/>
          <w:spacing w:val="-1"/>
        </w:rPr>
        <w:t>n</w:t>
      </w:r>
      <w:r w:rsidRPr="009A0DA6">
        <w:rPr>
          <w:rFonts w:ascii="Cambria" w:eastAsia="Times New Roman" w:hAnsi="Cambria" w:cstheme="minorHAnsi"/>
        </w:rPr>
        <w:t>e</w:t>
      </w:r>
      <w:r w:rsidRPr="009A0DA6">
        <w:rPr>
          <w:rFonts w:ascii="Cambria" w:eastAsia="Times New Roman" w:hAnsi="Cambria" w:cstheme="minorHAnsi"/>
          <w:spacing w:val="1"/>
        </w:rPr>
        <w:t>r</w:t>
      </w:r>
      <w:r w:rsidRPr="009A0DA6">
        <w:rPr>
          <w:rFonts w:ascii="Cambria" w:eastAsia="Times New Roman" w:hAnsi="Cambria" w:cstheme="minorHAnsi"/>
        </w:rPr>
        <w:t>al</w:t>
      </w:r>
      <w:r w:rsidRPr="009A0DA6">
        <w:rPr>
          <w:rFonts w:ascii="Cambria" w:eastAsia="Times New Roman" w:hAnsi="Cambria" w:cstheme="minorHAnsi"/>
          <w:spacing w:val="-3"/>
        </w:rPr>
        <w:t xml:space="preserve"> </w:t>
      </w:r>
      <w:r w:rsidRPr="009A0DA6">
        <w:rPr>
          <w:rFonts w:ascii="Cambria" w:eastAsia="Times New Roman" w:hAnsi="Cambria" w:cstheme="minorHAnsi"/>
          <w:spacing w:val="-1"/>
        </w:rPr>
        <w:t>C</w:t>
      </w:r>
      <w:r w:rsidRPr="009A0DA6">
        <w:rPr>
          <w:rFonts w:ascii="Cambria" w:eastAsia="Times New Roman" w:hAnsi="Cambria" w:cstheme="minorHAnsi"/>
          <w:spacing w:val="1"/>
        </w:rPr>
        <w:t>h</w:t>
      </w:r>
      <w:r w:rsidRPr="009A0DA6">
        <w:rPr>
          <w:rFonts w:ascii="Cambria" w:eastAsia="Times New Roman" w:hAnsi="Cambria" w:cstheme="minorHAnsi"/>
          <w:spacing w:val="-1"/>
        </w:rPr>
        <w:t>u</w:t>
      </w:r>
      <w:r w:rsidRPr="009A0DA6">
        <w:rPr>
          <w:rFonts w:ascii="Cambria" w:eastAsia="Times New Roman" w:hAnsi="Cambria" w:cstheme="minorHAnsi"/>
          <w:spacing w:val="1"/>
        </w:rPr>
        <w:t>r</w:t>
      </w:r>
      <w:r w:rsidRPr="009A0DA6">
        <w:rPr>
          <w:rFonts w:ascii="Cambria" w:eastAsia="Times New Roman" w:hAnsi="Cambria" w:cstheme="minorHAnsi"/>
        </w:rPr>
        <w:t>ch</w:t>
      </w:r>
      <w:r w:rsidRPr="009A0DA6">
        <w:rPr>
          <w:rFonts w:ascii="Cambria" w:eastAsia="Times New Roman" w:hAnsi="Cambria" w:cstheme="minorHAnsi"/>
          <w:spacing w:val="-2"/>
        </w:rPr>
        <w:t xml:space="preserve"> </w:t>
      </w:r>
      <w:r w:rsidRPr="009A0DA6">
        <w:rPr>
          <w:rFonts w:ascii="Cambria" w:eastAsia="Times New Roman" w:hAnsi="Cambria" w:cstheme="minorHAnsi"/>
          <w:spacing w:val="-1"/>
        </w:rPr>
        <w:t>C</w:t>
      </w:r>
      <w:r w:rsidRPr="009A0DA6">
        <w:rPr>
          <w:rFonts w:ascii="Cambria" w:eastAsia="Times New Roman" w:hAnsi="Cambria" w:cstheme="minorHAnsi"/>
          <w:spacing w:val="1"/>
        </w:rPr>
        <w:t>ou</w:t>
      </w:r>
      <w:r w:rsidRPr="009A0DA6">
        <w:rPr>
          <w:rFonts w:ascii="Cambria" w:eastAsia="Times New Roman" w:hAnsi="Cambria" w:cstheme="minorHAnsi"/>
          <w:spacing w:val="-1"/>
        </w:rPr>
        <w:t>n</w:t>
      </w:r>
      <w:r w:rsidRPr="009A0DA6">
        <w:rPr>
          <w:rFonts w:ascii="Cambria" w:eastAsia="Times New Roman" w:hAnsi="Cambria" w:cstheme="minorHAnsi"/>
        </w:rPr>
        <w:t>c</w:t>
      </w:r>
      <w:r w:rsidRPr="009A0DA6">
        <w:rPr>
          <w:rFonts w:ascii="Cambria" w:eastAsia="Times New Roman" w:hAnsi="Cambria" w:cstheme="minorHAnsi"/>
          <w:spacing w:val="2"/>
        </w:rPr>
        <w:t>i</w:t>
      </w:r>
      <w:r w:rsidRPr="009A0DA6">
        <w:rPr>
          <w:rFonts w:ascii="Cambria" w:eastAsia="Times New Roman" w:hAnsi="Cambria" w:cstheme="minorHAnsi"/>
        </w:rPr>
        <w:t xml:space="preserve">l </w:t>
      </w:r>
      <w:r w:rsidRPr="009A0DA6">
        <w:rPr>
          <w:rFonts w:ascii="Cambria" w:eastAsia="Times New Roman" w:hAnsi="Cambria" w:cstheme="minorHAnsi"/>
          <w:spacing w:val="-1"/>
        </w:rPr>
        <w:t>h</w:t>
      </w:r>
      <w:r w:rsidRPr="009A0DA6">
        <w:rPr>
          <w:rFonts w:ascii="Cambria" w:eastAsia="Times New Roman" w:hAnsi="Cambria" w:cstheme="minorHAnsi"/>
        </w:rPr>
        <w:t>as</w:t>
      </w:r>
      <w:r w:rsidRPr="009A0DA6">
        <w:rPr>
          <w:rFonts w:ascii="Cambria" w:eastAsia="Times New Roman" w:hAnsi="Cambria" w:cstheme="minorHAnsi"/>
          <w:spacing w:val="-3"/>
        </w:rPr>
        <w:t xml:space="preserve"> </w:t>
      </w:r>
      <w:r w:rsidRPr="009A0DA6">
        <w:rPr>
          <w:rFonts w:ascii="Cambria" w:eastAsia="Times New Roman" w:hAnsi="Cambria" w:cstheme="minorHAnsi"/>
          <w:spacing w:val="1"/>
        </w:rPr>
        <w:t>d</w:t>
      </w:r>
      <w:r w:rsidRPr="009A0DA6">
        <w:rPr>
          <w:rFonts w:ascii="Cambria" w:eastAsia="Times New Roman" w:hAnsi="Cambria" w:cstheme="minorHAnsi"/>
        </w:rPr>
        <w:t>ete</w:t>
      </w:r>
      <w:r w:rsidRPr="009A0DA6">
        <w:rPr>
          <w:rFonts w:ascii="Cambria" w:eastAsia="Times New Roman" w:hAnsi="Cambria" w:cstheme="minorHAnsi"/>
          <w:spacing w:val="3"/>
        </w:rPr>
        <w:t>r</w:t>
      </w:r>
      <w:r w:rsidRPr="009A0DA6">
        <w:rPr>
          <w:rFonts w:ascii="Cambria" w:eastAsia="Times New Roman" w:hAnsi="Cambria" w:cstheme="minorHAnsi"/>
          <w:spacing w:val="-4"/>
        </w:rPr>
        <w:t>m</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rPr>
        <w:t>ed</w:t>
      </w:r>
      <w:r w:rsidRPr="009A0DA6">
        <w:rPr>
          <w:rFonts w:ascii="Cambria" w:eastAsia="Times New Roman" w:hAnsi="Cambria" w:cstheme="minorHAnsi"/>
          <w:spacing w:val="-7"/>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spacing w:val="3"/>
        </w:rPr>
        <w:t>a</w:t>
      </w:r>
      <w:r w:rsidRPr="009A0DA6">
        <w:rPr>
          <w:rFonts w:ascii="Cambria" w:eastAsia="Times New Roman" w:hAnsi="Cambria" w:cstheme="minorHAnsi"/>
        </w:rPr>
        <w:t>t</w:t>
      </w:r>
      <w:r w:rsidRPr="009A0DA6">
        <w:rPr>
          <w:rFonts w:ascii="Cambria" w:eastAsia="Times New Roman" w:hAnsi="Cambria" w:cstheme="minorHAnsi"/>
          <w:spacing w:val="-3"/>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1"/>
        </w:rPr>
        <w:t xml:space="preserve"> </w:t>
      </w:r>
      <w:r w:rsidRPr="009A0DA6">
        <w:rPr>
          <w:rFonts w:ascii="Cambria" w:eastAsia="Times New Roman" w:hAnsi="Cambria" w:cstheme="minorHAnsi"/>
          <w:spacing w:val="-1"/>
        </w:rPr>
        <w:t>C</w:t>
      </w:r>
      <w:r w:rsidRPr="009A0DA6">
        <w:rPr>
          <w:rFonts w:ascii="Cambria" w:eastAsia="Times New Roman" w:hAnsi="Cambria" w:cstheme="minorHAnsi"/>
          <w:spacing w:val="1"/>
        </w:rPr>
        <w:t>h</w:t>
      </w:r>
      <w:r w:rsidRPr="009A0DA6">
        <w:rPr>
          <w:rFonts w:ascii="Cambria" w:eastAsia="Times New Roman" w:hAnsi="Cambria" w:cstheme="minorHAnsi"/>
          <w:spacing w:val="-1"/>
        </w:rPr>
        <w:t>u</w:t>
      </w:r>
      <w:r w:rsidRPr="009A0DA6">
        <w:rPr>
          <w:rFonts w:ascii="Cambria" w:eastAsia="Times New Roman" w:hAnsi="Cambria" w:cstheme="minorHAnsi"/>
          <w:spacing w:val="1"/>
        </w:rPr>
        <w:t>r</w:t>
      </w:r>
      <w:r w:rsidRPr="009A0DA6">
        <w:rPr>
          <w:rFonts w:ascii="Cambria" w:eastAsia="Times New Roman" w:hAnsi="Cambria" w:cstheme="minorHAnsi"/>
          <w:spacing w:val="3"/>
        </w:rPr>
        <w:t>c</w:t>
      </w:r>
      <w:r w:rsidRPr="009A0DA6">
        <w:rPr>
          <w:rFonts w:ascii="Cambria" w:eastAsia="Times New Roman" w:hAnsi="Cambria" w:cstheme="minorHAnsi"/>
        </w:rPr>
        <w:t>h</w:t>
      </w:r>
      <w:r w:rsidRPr="009A0DA6">
        <w:rPr>
          <w:rFonts w:ascii="Cambria" w:eastAsia="Times New Roman" w:hAnsi="Cambria" w:cstheme="minorHAnsi"/>
          <w:spacing w:val="-7"/>
        </w:rPr>
        <w:t xml:space="preserve"> </w:t>
      </w:r>
      <w:r w:rsidRPr="009A0DA6">
        <w:rPr>
          <w:rFonts w:ascii="Cambria" w:eastAsia="Times New Roman" w:hAnsi="Cambria" w:cstheme="minorHAnsi"/>
        </w:rPr>
        <w:t>is</w:t>
      </w:r>
      <w:r w:rsidRPr="009A0DA6">
        <w:rPr>
          <w:rFonts w:ascii="Cambria" w:eastAsia="Times New Roman" w:hAnsi="Cambria" w:cstheme="minorHAnsi"/>
          <w:spacing w:val="1"/>
        </w:rPr>
        <w:t xml:space="preserve"> </w:t>
      </w:r>
      <w:r w:rsidRPr="009A0DA6">
        <w:rPr>
          <w:rFonts w:ascii="Cambria" w:eastAsia="Times New Roman" w:hAnsi="Cambria" w:cstheme="minorHAnsi"/>
          <w:spacing w:val="-1"/>
        </w:rPr>
        <w:t>n</w:t>
      </w:r>
      <w:r w:rsidRPr="009A0DA6">
        <w:rPr>
          <w:rFonts w:ascii="Cambria" w:eastAsia="Times New Roman" w:hAnsi="Cambria" w:cstheme="minorHAnsi"/>
          <w:spacing w:val="1"/>
        </w:rPr>
        <w:t>o</w:t>
      </w:r>
      <w:r w:rsidRPr="009A0DA6">
        <w:rPr>
          <w:rFonts w:ascii="Cambria" w:eastAsia="Times New Roman" w:hAnsi="Cambria" w:cstheme="minorHAnsi"/>
        </w:rPr>
        <w:t>t</w:t>
      </w:r>
      <w:r w:rsidRPr="009A0DA6">
        <w:rPr>
          <w:rFonts w:ascii="Cambria" w:eastAsia="Times New Roman" w:hAnsi="Cambria" w:cstheme="minorHAnsi"/>
          <w:spacing w:val="-3"/>
        </w:rPr>
        <w:t xml:space="preserve"> </w:t>
      </w:r>
      <w:r w:rsidRPr="009A0DA6">
        <w:rPr>
          <w:rFonts w:ascii="Cambria" w:eastAsia="Times New Roman" w:hAnsi="Cambria" w:cstheme="minorHAnsi"/>
        </w:rPr>
        <w:t xml:space="preserve">a </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1"/>
        </w:rPr>
        <w:t>por</w:t>
      </w:r>
      <w:r w:rsidRPr="009A0DA6">
        <w:rPr>
          <w:rFonts w:ascii="Cambria" w:eastAsia="Times New Roman" w:hAnsi="Cambria" w:cstheme="minorHAnsi"/>
        </w:rPr>
        <w:t>ti</w:t>
      </w:r>
      <w:r w:rsidRPr="009A0DA6">
        <w:rPr>
          <w:rFonts w:ascii="Cambria" w:eastAsia="Times New Roman" w:hAnsi="Cambria" w:cstheme="minorHAnsi"/>
          <w:spacing w:val="-1"/>
        </w:rPr>
        <w:t>n</w:t>
      </w:r>
      <w:r w:rsidRPr="009A0DA6">
        <w:rPr>
          <w:rFonts w:ascii="Cambria" w:eastAsia="Times New Roman" w:hAnsi="Cambria" w:cstheme="minorHAnsi"/>
        </w:rPr>
        <w:t>g</w:t>
      </w:r>
      <w:r w:rsidRPr="009A0DA6">
        <w:rPr>
          <w:rFonts w:ascii="Cambria" w:eastAsia="Times New Roman" w:hAnsi="Cambria" w:cstheme="minorHAnsi"/>
          <w:spacing w:val="-8"/>
        </w:rPr>
        <w:t xml:space="preserve"> </w:t>
      </w:r>
      <w:r w:rsidRPr="009A0DA6">
        <w:rPr>
          <w:rFonts w:ascii="Cambria" w:eastAsia="Times New Roman" w:hAnsi="Cambria" w:cstheme="minorHAnsi"/>
        </w:rPr>
        <w:t>e</w:t>
      </w:r>
      <w:r w:rsidRPr="009A0DA6">
        <w:rPr>
          <w:rFonts w:ascii="Cambria" w:eastAsia="Times New Roman" w:hAnsi="Cambria" w:cstheme="minorHAnsi"/>
          <w:spacing w:val="-1"/>
        </w:rPr>
        <w:t>n</w:t>
      </w:r>
      <w:r w:rsidRPr="009A0DA6">
        <w:rPr>
          <w:rFonts w:ascii="Cambria" w:eastAsia="Times New Roman" w:hAnsi="Cambria" w:cstheme="minorHAnsi"/>
        </w:rPr>
        <w:t>t</w:t>
      </w:r>
      <w:r w:rsidRPr="009A0DA6">
        <w:rPr>
          <w:rFonts w:ascii="Cambria" w:eastAsia="Times New Roman" w:hAnsi="Cambria" w:cstheme="minorHAnsi"/>
          <w:spacing w:val="2"/>
        </w:rPr>
        <w:t>it</w:t>
      </w:r>
      <w:r w:rsidRPr="009A0DA6">
        <w:rPr>
          <w:rFonts w:ascii="Cambria" w:eastAsia="Times New Roman" w:hAnsi="Cambria" w:cstheme="minorHAnsi"/>
          <w:spacing w:val="-4"/>
        </w:rPr>
        <w:t>y</w:t>
      </w:r>
      <w:r w:rsidRPr="009A0DA6">
        <w:rPr>
          <w:rFonts w:ascii="Cambria" w:eastAsia="Times New Roman" w:hAnsi="Cambria" w:cstheme="minorHAnsi"/>
        </w:rPr>
        <w:t>.</w:t>
      </w:r>
    </w:p>
    <w:p w14:paraId="1BF651A8" w14:textId="77777777" w:rsidR="00B81951" w:rsidRPr="009A0DA6" w:rsidRDefault="00B81951" w:rsidP="00BA4592">
      <w:pPr>
        <w:tabs>
          <w:tab w:val="center" w:pos="4394"/>
          <w:tab w:val="right" w:pos="6095"/>
          <w:tab w:val="right" w:pos="7371"/>
          <w:tab w:val="right" w:pos="8647"/>
        </w:tabs>
        <w:spacing w:before="120" w:after="120" w:line="240" w:lineRule="auto"/>
        <w:ind w:right="-51"/>
        <w:contextualSpacing/>
        <w:rPr>
          <w:rFonts w:ascii="Cambria" w:eastAsia="Times New Roman" w:hAnsi="Cambria" w:cstheme="minorHAnsi"/>
        </w:rPr>
      </w:pPr>
    </w:p>
    <w:p w14:paraId="4F3A4D1B" w14:textId="77777777" w:rsidR="00BA4592" w:rsidRPr="009A0DA6" w:rsidRDefault="00BA4592" w:rsidP="00BA4592">
      <w:pPr>
        <w:tabs>
          <w:tab w:val="center" w:pos="4394"/>
          <w:tab w:val="right" w:pos="6095"/>
          <w:tab w:val="right" w:pos="7371"/>
          <w:tab w:val="right" w:pos="8647"/>
        </w:tabs>
        <w:spacing w:before="120" w:after="120" w:line="240" w:lineRule="auto"/>
        <w:ind w:right="-51"/>
        <w:contextualSpacing/>
        <w:rPr>
          <w:rFonts w:ascii="Cambria" w:eastAsia="Times New Roman" w:hAnsi="Cambria" w:cstheme="minorHAnsi"/>
        </w:rPr>
      </w:pPr>
      <w:r w:rsidRPr="009A0DA6">
        <w:rPr>
          <w:rFonts w:ascii="Cambria" w:eastAsia="Times New Roman" w:hAnsi="Cambria" w:cstheme="minorHAnsi"/>
          <w:spacing w:val="3"/>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3"/>
        </w:rPr>
        <w:t xml:space="preserve"> </w:t>
      </w:r>
      <w:r w:rsidRPr="009A0DA6">
        <w:rPr>
          <w:rFonts w:ascii="Cambria" w:eastAsia="Times New Roman" w:hAnsi="Cambria" w:cstheme="minorHAnsi"/>
          <w:spacing w:val="-1"/>
        </w:rPr>
        <w:t>f</w:t>
      </w:r>
      <w:r w:rsidRPr="009A0DA6">
        <w:rPr>
          <w:rFonts w:ascii="Cambria" w:eastAsia="Times New Roman" w:hAnsi="Cambria" w:cstheme="minorHAnsi"/>
        </w:rPr>
        <w:t>i</w:t>
      </w:r>
      <w:r w:rsidRPr="009A0DA6">
        <w:rPr>
          <w:rFonts w:ascii="Cambria" w:eastAsia="Times New Roman" w:hAnsi="Cambria" w:cstheme="minorHAnsi"/>
          <w:spacing w:val="-1"/>
        </w:rPr>
        <w:t>n</w:t>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spacing w:val="3"/>
        </w:rPr>
        <w:t>c</w:t>
      </w:r>
      <w:r w:rsidRPr="009A0DA6">
        <w:rPr>
          <w:rFonts w:ascii="Cambria" w:eastAsia="Times New Roman" w:hAnsi="Cambria" w:cstheme="minorHAnsi"/>
        </w:rPr>
        <w:t>ial</w:t>
      </w:r>
      <w:r w:rsidRPr="009A0DA6">
        <w:rPr>
          <w:rFonts w:ascii="Cambria" w:eastAsia="Times New Roman" w:hAnsi="Cambria" w:cstheme="minorHAnsi"/>
          <w:spacing w:val="-2"/>
        </w:rPr>
        <w:t xml:space="preserve"> </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1"/>
        </w:rPr>
        <w:t>por</w:t>
      </w:r>
      <w:r w:rsidRPr="009A0DA6">
        <w:rPr>
          <w:rFonts w:ascii="Cambria" w:eastAsia="Times New Roman" w:hAnsi="Cambria" w:cstheme="minorHAnsi"/>
        </w:rPr>
        <w:t xml:space="preserve">t </w:t>
      </w:r>
      <w:r w:rsidRPr="009A0DA6">
        <w:rPr>
          <w:rFonts w:ascii="Cambria" w:eastAsia="Times New Roman" w:hAnsi="Cambria" w:cstheme="minorHAnsi"/>
          <w:spacing w:val="-1"/>
        </w:rPr>
        <w:t>h</w:t>
      </w:r>
      <w:r w:rsidRPr="009A0DA6">
        <w:rPr>
          <w:rFonts w:ascii="Cambria" w:eastAsia="Times New Roman" w:hAnsi="Cambria" w:cstheme="minorHAnsi"/>
        </w:rPr>
        <w:t>as</w:t>
      </w:r>
      <w:r w:rsidRPr="009A0DA6">
        <w:rPr>
          <w:rFonts w:ascii="Cambria" w:eastAsia="Times New Roman" w:hAnsi="Cambria" w:cstheme="minorHAnsi"/>
          <w:spacing w:val="2"/>
        </w:rPr>
        <w:t xml:space="preserve"> </w:t>
      </w:r>
      <w:r w:rsidRPr="009A0DA6">
        <w:rPr>
          <w:rFonts w:ascii="Cambria" w:eastAsia="Times New Roman" w:hAnsi="Cambria" w:cstheme="minorHAnsi"/>
          <w:spacing w:val="1"/>
        </w:rPr>
        <w:t>b</w:t>
      </w:r>
      <w:r w:rsidRPr="009A0DA6">
        <w:rPr>
          <w:rFonts w:ascii="Cambria" w:eastAsia="Times New Roman" w:hAnsi="Cambria" w:cstheme="minorHAnsi"/>
        </w:rPr>
        <w:t xml:space="preserve">een </w:t>
      </w:r>
      <w:r w:rsidRPr="009A0DA6">
        <w:rPr>
          <w:rFonts w:ascii="Cambria" w:eastAsia="Times New Roman" w:hAnsi="Cambria" w:cstheme="minorHAnsi"/>
          <w:spacing w:val="1"/>
        </w:rPr>
        <w:t>pr</w:t>
      </w:r>
      <w:r w:rsidRPr="009A0DA6">
        <w:rPr>
          <w:rFonts w:ascii="Cambria" w:eastAsia="Times New Roman" w:hAnsi="Cambria" w:cstheme="minorHAnsi"/>
        </w:rPr>
        <w:t>e</w:t>
      </w:r>
      <w:r w:rsidRPr="009A0DA6">
        <w:rPr>
          <w:rFonts w:ascii="Cambria" w:eastAsia="Times New Roman" w:hAnsi="Cambria" w:cstheme="minorHAnsi"/>
          <w:spacing w:val="1"/>
        </w:rPr>
        <w:t>p</w:t>
      </w:r>
      <w:r w:rsidRPr="009A0DA6">
        <w:rPr>
          <w:rFonts w:ascii="Cambria" w:eastAsia="Times New Roman" w:hAnsi="Cambria" w:cstheme="minorHAnsi"/>
        </w:rPr>
        <w:t>a</w:t>
      </w:r>
      <w:r w:rsidRPr="009A0DA6">
        <w:rPr>
          <w:rFonts w:ascii="Cambria" w:eastAsia="Times New Roman" w:hAnsi="Cambria" w:cstheme="minorHAnsi"/>
          <w:spacing w:val="1"/>
        </w:rPr>
        <w:t>r</w:t>
      </w:r>
      <w:r w:rsidRPr="009A0DA6">
        <w:rPr>
          <w:rFonts w:ascii="Cambria" w:eastAsia="Times New Roman" w:hAnsi="Cambria" w:cstheme="minorHAnsi"/>
          <w:spacing w:val="-2"/>
        </w:rPr>
        <w:t>e</w:t>
      </w:r>
      <w:r w:rsidRPr="009A0DA6">
        <w:rPr>
          <w:rFonts w:ascii="Cambria" w:eastAsia="Times New Roman" w:hAnsi="Cambria" w:cstheme="minorHAnsi"/>
        </w:rPr>
        <w:t>d</w:t>
      </w:r>
      <w:r w:rsidRPr="009A0DA6">
        <w:rPr>
          <w:rFonts w:ascii="Cambria" w:eastAsia="Times New Roman" w:hAnsi="Cambria" w:cstheme="minorHAnsi"/>
          <w:spacing w:val="-1"/>
        </w:rPr>
        <w:t xml:space="preserve"> </w:t>
      </w:r>
      <w:r w:rsidRPr="009A0DA6">
        <w:rPr>
          <w:rFonts w:ascii="Cambria" w:eastAsia="Times New Roman" w:hAnsi="Cambria" w:cstheme="minorHAnsi"/>
        </w:rPr>
        <w:t>in</w:t>
      </w:r>
      <w:r w:rsidRPr="009A0DA6">
        <w:rPr>
          <w:rFonts w:ascii="Cambria" w:eastAsia="Times New Roman" w:hAnsi="Cambria" w:cstheme="minorHAnsi"/>
          <w:spacing w:val="2"/>
        </w:rPr>
        <w:t xml:space="preserve"> </w:t>
      </w:r>
      <w:r w:rsidRPr="009A0DA6">
        <w:rPr>
          <w:rFonts w:ascii="Cambria" w:eastAsia="Times New Roman" w:hAnsi="Cambria" w:cstheme="minorHAnsi"/>
        </w:rPr>
        <w:t>acc</w:t>
      </w:r>
      <w:r w:rsidRPr="009A0DA6">
        <w:rPr>
          <w:rFonts w:ascii="Cambria" w:eastAsia="Times New Roman" w:hAnsi="Cambria" w:cstheme="minorHAnsi"/>
          <w:spacing w:val="1"/>
        </w:rPr>
        <w:t>ord</w:t>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rPr>
        <w:t>ce</w:t>
      </w:r>
      <w:r w:rsidRPr="009A0DA6">
        <w:rPr>
          <w:rFonts w:ascii="Cambria" w:eastAsia="Times New Roman" w:hAnsi="Cambria" w:cstheme="minorHAnsi"/>
          <w:spacing w:val="-3"/>
        </w:rPr>
        <w:t xml:space="preserve"> </w:t>
      </w:r>
      <w:r w:rsidRPr="009A0DA6">
        <w:rPr>
          <w:rFonts w:ascii="Cambria" w:eastAsia="Times New Roman" w:hAnsi="Cambria" w:cstheme="minorHAnsi"/>
          <w:spacing w:val="-5"/>
        </w:rPr>
        <w:t>w</w:t>
      </w:r>
      <w:r w:rsidRPr="009A0DA6">
        <w:rPr>
          <w:rFonts w:ascii="Cambria" w:eastAsia="Times New Roman" w:hAnsi="Cambria" w:cstheme="minorHAnsi"/>
        </w:rPr>
        <w:t>i</w:t>
      </w:r>
      <w:r w:rsidRPr="009A0DA6">
        <w:rPr>
          <w:rFonts w:ascii="Cambria" w:eastAsia="Times New Roman" w:hAnsi="Cambria" w:cstheme="minorHAnsi"/>
          <w:spacing w:val="2"/>
        </w:rPr>
        <w:t>t</w:t>
      </w:r>
      <w:r w:rsidRPr="009A0DA6">
        <w:rPr>
          <w:rFonts w:ascii="Cambria" w:eastAsia="Times New Roman" w:hAnsi="Cambria" w:cstheme="minorHAnsi"/>
        </w:rPr>
        <w:t xml:space="preserve">h </w:t>
      </w:r>
      <w:r w:rsidRPr="009A0DA6">
        <w:rPr>
          <w:rFonts w:ascii="Cambria" w:eastAsia="Times New Roman" w:hAnsi="Cambria" w:cstheme="minorHAnsi"/>
          <w:spacing w:val="2"/>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4"/>
        </w:rPr>
        <w:t xml:space="preserve"> </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1"/>
        </w:rPr>
        <w:t>q</w:t>
      </w:r>
      <w:r w:rsidRPr="009A0DA6">
        <w:rPr>
          <w:rFonts w:ascii="Cambria" w:eastAsia="Times New Roman" w:hAnsi="Cambria" w:cstheme="minorHAnsi"/>
          <w:spacing w:val="-1"/>
        </w:rPr>
        <w:t>u</w:t>
      </w:r>
      <w:r w:rsidRPr="009A0DA6">
        <w:rPr>
          <w:rFonts w:ascii="Cambria" w:eastAsia="Times New Roman" w:hAnsi="Cambria" w:cstheme="minorHAnsi"/>
        </w:rPr>
        <w:t>i</w:t>
      </w:r>
      <w:r w:rsidRPr="009A0DA6">
        <w:rPr>
          <w:rFonts w:ascii="Cambria" w:eastAsia="Times New Roman" w:hAnsi="Cambria" w:cstheme="minorHAnsi"/>
          <w:spacing w:val="1"/>
        </w:rPr>
        <w:t>r</w:t>
      </w:r>
      <w:r w:rsidRPr="009A0DA6">
        <w:rPr>
          <w:rFonts w:ascii="Cambria" w:eastAsia="Times New Roman" w:hAnsi="Cambria" w:cstheme="minorHAnsi"/>
          <w:spacing w:val="3"/>
        </w:rPr>
        <w:t>e</w:t>
      </w:r>
      <w:r w:rsidRPr="009A0DA6">
        <w:rPr>
          <w:rFonts w:ascii="Cambria" w:eastAsia="Times New Roman" w:hAnsi="Cambria" w:cstheme="minorHAnsi"/>
          <w:spacing w:val="-4"/>
        </w:rPr>
        <w:t>m</w:t>
      </w:r>
      <w:r w:rsidRPr="009A0DA6">
        <w:rPr>
          <w:rFonts w:ascii="Cambria" w:eastAsia="Times New Roman" w:hAnsi="Cambria" w:cstheme="minorHAnsi"/>
          <w:spacing w:val="3"/>
        </w:rPr>
        <w:t>e</w:t>
      </w:r>
      <w:r w:rsidRPr="009A0DA6">
        <w:rPr>
          <w:rFonts w:ascii="Cambria" w:eastAsia="Times New Roman" w:hAnsi="Cambria" w:cstheme="minorHAnsi"/>
          <w:spacing w:val="-1"/>
        </w:rPr>
        <w:t>n</w:t>
      </w:r>
      <w:r w:rsidRPr="009A0DA6">
        <w:rPr>
          <w:rFonts w:ascii="Cambria" w:eastAsia="Times New Roman" w:hAnsi="Cambria" w:cstheme="minorHAnsi"/>
        </w:rPr>
        <w:t>ts</w:t>
      </w:r>
      <w:r w:rsidRPr="009A0DA6">
        <w:rPr>
          <w:rFonts w:ascii="Cambria" w:eastAsia="Times New Roman" w:hAnsi="Cambria" w:cstheme="minorHAnsi"/>
          <w:spacing w:val="-5"/>
        </w:rPr>
        <w:t xml:space="preserve"> </w:t>
      </w:r>
      <w:r w:rsidRPr="009A0DA6">
        <w:rPr>
          <w:rFonts w:ascii="Cambria" w:eastAsia="Times New Roman" w:hAnsi="Cambria" w:cstheme="minorHAnsi"/>
          <w:spacing w:val="1"/>
        </w:rPr>
        <w:t>o</w:t>
      </w:r>
      <w:r w:rsidRPr="009A0DA6">
        <w:rPr>
          <w:rFonts w:ascii="Cambria" w:eastAsia="Times New Roman" w:hAnsi="Cambria" w:cstheme="minorHAnsi"/>
        </w:rPr>
        <w:t>f</w:t>
      </w:r>
      <w:r w:rsidRPr="009A0DA6">
        <w:rPr>
          <w:rFonts w:ascii="Cambria" w:eastAsia="Times New Roman" w:hAnsi="Cambria" w:cstheme="minorHAnsi"/>
          <w:spacing w:val="2"/>
        </w:rPr>
        <w:t xml:space="preserve"> 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4"/>
        </w:rPr>
        <w:t xml:space="preserve"> </w:t>
      </w:r>
      <w:r w:rsidRPr="009A0DA6">
        <w:rPr>
          <w:rFonts w:ascii="Cambria" w:eastAsia="Times New Roman" w:hAnsi="Cambria" w:cstheme="minorHAnsi"/>
          <w:spacing w:val="1"/>
        </w:rPr>
        <w:t>Au</w:t>
      </w:r>
      <w:r w:rsidRPr="009A0DA6">
        <w:rPr>
          <w:rFonts w:ascii="Cambria" w:eastAsia="Times New Roman" w:hAnsi="Cambria" w:cstheme="minorHAnsi"/>
          <w:spacing w:val="-1"/>
        </w:rPr>
        <w:t>s</w:t>
      </w:r>
      <w:r w:rsidRPr="009A0DA6">
        <w:rPr>
          <w:rFonts w:ascii="Cambria" w:eastAsia="Times New Roman" w:hAnsi="Cambria" w:cstheme="minorHAnsi"/>
        </w:rPr>
        <w:t>t</w:t>
      </w:r>
      <w:r w:rsidRPr="009A0DA6">
        <w:rPr>
          <w:rFonts w:ascii="Cambria" w:eastAsia="Times New Roman" w:hAnsi="Cambria" w:cstheme="minorHAnsi"/>
          <w:spacing w:val="-1"/>
        </w:rPr>
        <w:t>r</w:t>
      </w:r>
      <w:r w:rsidRPr="009A0DA6">
        <w:rPr>
          <w:rFonts w:ascii="Cambria" w:eastAsia="Times New Roman" w:hAnsi="Cambria" w:cstheme="minorHAnsi"/>
          <w:spacing w:val="1"/>
        </w:rPr>
        <w:t>a</w:t>
      </w:r>
      <w:r w:rsidRPr="009A0DA6">
        <w:rPr>
          <w:rFonts w:ascii="Cambria" w:eastAsia="Times New Roman" w:hAnsi="Cambria" w:cstheme="minorHAnsi"/>
          <w:spacing w:val="2"/>
        </w:rPr>
        <w:t>l</w:t>
      </w:r>
      <w:r w:rsidRPr="009A0DA6">
        <w:rPr>
          <w:rFonts w:ascii="Cambria" w:eastAsia="Times New Roman" w:hAnsi="Cambria" w:cstheme="minorHAnsi"/>
        </w:rPr>
        <w:t>i</w:t>
      </w:r>
      <w:r w:rsidRPr="009A0DA6">
        <w:rPr>
          <w:rFonts w:ascii="Cambria" w:eastAsia="Times New Roman" w:hAnsi="Cambria" w:cstheme="minorHAnsi"/>
          <w:spacing w:val="1"/>
        </w:rPr>
        <w:t>a</w:t>
      </w:r>
      <w:r w:rsidRPr="009A0DA6">
        <w:rPr>
          <w:rFonts w:ascii="Cambria" w:eastAsia="Times New Roman" w:hAnsi="Cambria" w:cstheme="minorHAnsi"/>
        </w:rPr>
        <w:t>n</w:t>
      </w:r>
      <w:r w:rsidRPr="009A0DA6">
        <w:rPr>
          <w:rFonts w:ascii="Cambria" w:eastAsia="Times New Roman" w:hAnsi="Cambria" w:cstheme="minorHAnsi"/>
          <w:spacing w:val="10"/>
        </w:rPr>
        <w:t xml:space="preserve"> </w:t>
      </w:r>
      <w:r w:rsidRPr="009A0DA6">
        <w:rPr>
          <w:rFonts w:ascii="Cambria" w:eastAsia="Times New Roman" w:hAnsi="Cambria" w:cstheme="minorHAnsi"/>
          <w:spacing w:val="-1"/>
        </w:rPr>
        <w:t>C</w:t>
      </w:r>
      <w:r w:rsidRPr="009A0DA6">
        <w:rPr>
          <w:rFonts w:ascii="Cambria" w:eastAsia="Times New Roman" w:hAnsi="Cambria" w:cstheme="minorHAnsi"/>
          <w:spacing w:val="1"/>
        </w:rPr>
        <w:t>ha</w:t>
      </w:r>
      <w:r w:rsidRPr="009A0DA6">
        <w:rPr>
          <w:rFonts w:ascii="Cambria" w:eastAsia="Times New Roman" w:hAnsi="Cambria" w:cstheme="minorHAnsi"/>
          <w:spacing w:val="-1"/>
        </w:rPr>
        <w:t>r</w:t>
      </w:r>
      <w:r w:rsidRPr="009A0DA6">
        <w:rPr>
          <w:rFonts w:ascii="Cambria" w:eastAsia="Times New Roman" w:hAnsi="Cambria" w:cstheme="minorHAnsi"/>
        </w:rPr>
        <w:t>ities</w:t>
      </w:r>
      <w:r w:rsidRPr="009A0DA6">
        <w:rPr>
          <w:rFonts w:ascii="Cambria" w:eastAsia="Times New Roman" w:hAnsi="Cambria" w:cstheme="minorHAnsi"/>
          <w:spacing w:val="21"/>
        </w:rPr>
        <w:t xml:space="preserve"> </w:t>
      </w:r>
      <w:r w:rsidRPr="009A0DA6">
        <w:rPr>
          <w:rFonts w:ascii="Cambria" w:eastAsia="Times New Roman" w:hAnsi="Cambria" w:cstheme="minorHAnsi"/>
          <w:spacing w:val="1"/>
          <w:w w:val="112"/>
        </w:rPr>
        <w:t>a</w:t>
      </w:r>
      <w:r w:rsidRPr="009A0DA6">
        <w:rPr>
          <w:rFonts w:ascii="Cambria" w:eastAsia="Times New Roman" w:hAnsi="Cambria" w:cstheme="minorHAnsi"/>
          <w:spacing w:val="1"/>
          <w:w w:val="99"/>
        </w:rPr>
        <w:t>n</w:t>
      </w:r>
      <w:r w:rsidRPr="009A0DA6">
        <w:rPr>
          <w:rFonts w:ascii="Cambria" w:eastAsia="Times New Roman" w:hAnsi="Cambria" w:cstheme="minorHAnsi"/>
          <w:w w:val="99"/>
        </w:rPr>
        <w:t xml:space="preserve">d </w:t>
      </w:r>
      <w:r w:rsidRPr="009A0DA6">
        <w:rPr>
          <w:rFonts w:ascii="Cambria" w:eastAsia="Times New Roman" w:hAnsi="Cambria" w:cstheme="minorHAnsi"/>
          <w:spacing w:val="-1"/>
          <w:w w:val="95"/>
        </w:rPr>
        <w:t>N</w:t>
      </w:r>
      <w:r w:rsidRPr="009A0DA6">
        <w:rPr>
          <w:rFonts w:ascii="Cambria" w:eastAsia="Times New Roman" w:hAnsi="Cambria" w:cstheme="minorHAnsi"/>
          <w:spacing w:val="1"/>
          <w:w w:val="95"/>
        </w:rPr>
        <w:t>o</w:t>
      </w:r>
      <w:r w:rsidRPr="009A0DA6">
        <w:rPr>
          <w:rFonts w:ascii="Cambria" w:eastAsia="Times New Roman" w:hAnsi="Cambria" w:cstheme="minorHAnsi"/>
          <w:w w:val="95"/>
        </w:rPr>
        <w:t>t</w:t>
      </w:r>
      <w:r w:rsidRPr="009A0DA6">
        <w:rPr>
          <w:rFonts w:ascii="Cambria" w:eastAsia="Times New Roman" w:hAnsi="Cambria" w:cstheme="minorHAnsi"/>
          <w:spacing w:val="1"/>
          <w:w w:val="95"/>
        </w:rPr>
        <w:t>-</w:t>
      </w:r>
      <w:r w:rsidRPr="009A0DA6">
        <w:rPr>
          <w:rFonts w:ascii="Cambria" w:eastAsia="Times New Roman" w:hAnsi="Cambria" w:cstheme="minorHAnsi"/>
          <w:w w:val="95"/>
        </w:rPr>
        <w:t>f</w:t>
      </w:r>
      <w:r w:rsidRPr="009A0DA6">
        <w:rPr>
          <w:rFonts w:ascii="Cambria" w:eastAsia="Times New Roman" w:hAnsi="Cambria" w:cstheme="minorHAnsi"/>
          <w:spacing w:val="1"/>
          <w:w w:val="95"/>
        </w:rPr>
        <w:t>o</w:t>
      </w:r>
      <w:r w:rsidRPr="009A0DA6">
        <w:rPr>
          <w:rFonts w:ascii="Cambria" w:eastAsia="Times New Roman" w:hAnsi="Cambria" w:cstheme="minorHAnsi"/>
          <w:spacing w:val="-1"/>
          <w:w w:val="95"/>
        </w:rPr>
        <w:t>r</w:t>
      </w:r>
      <w:r w:rsidRPr="009A0DA6">
        <w:rPr>
          <w:rFonts w:ascii="Cambria" w:eastAsia="Times New Roman" w:hAnsi="Cambria" w:cstheme="minorHAnsi"/>
          <w:spacing w:val="1"/>
          <w:w w:val="95"/>
        </w:rPr>
        <w:t>-P</w:t>
      </w:r>
      <w:r w:rsidRPr="009A0DA6">
        <w:rPr>
          <w:rFonts w:ascii="Cambria" w:eastAsia="Times New Roman" w:hAnsi="Cambria" w:cstheme="minorHAnsi"/>
          <w:spacing w:val="-1"/>
          <w:w w:val="95"/>
        </w:rPr>
        <w:t>r</w:t>
      </w:r>
      <w:r w:rsidRPr="009A0DA6">
        <w:rPr>
          <w:rFonts w:ascii="Cambria" w:eastAsia="Times New Roman" w:hAnsi="Cambria" w:cstheme="minorHAnsi"/>
          <w:spacing w:val="1"/>
          <w:w w:val="95"/>
        </w:rPr>
        <w:t>o</w:t>
      </w:r>
      <w:r w:rsidRPr="009A0DA6">
        <w:rPr>
          <w:rFonts w:ascii="Cambria" w:eastAsia="Times New Roman" w:hAnsi="Cambria" w:cstheme="minorHAnsi"/>
          <w:w w:val="95"/>
        </w:rPr>
        <w:t xml:space="preserve">fits </w:t>
      </w:r>
      <w:r w:rsidRPr="009A0DA6">
        <w:rPr>
          <w:rFonts w:ascii="Cambria" w:eastAsia="Times New Roman" w:hAnsi="Cambria" w:cstheme="minorHAnsi"/>
          <w:spacing w:val="-1"/>
          <w:w w:val="95"/>
        </w:rPr>
        <w:t>C</w:t>
      </w:r>
      <w:r w:rsidRPr="009A0DA6">
        <w:rPr>
          <w:rFonts w:ascii="Cambria" w:eastAsia="Times New Roman" w:hAnsi="Cambria" w:cstheme="minorHAnsi"/>
          <w:spacing w:val="1"/>
          <w:w w:val="95"/>
        </w:rPr>
        <w:t>o</w:t>
      </w:r>
      <w:r w:rsidRPr="009A0DA6">
        <w:rPr>
          <w:rFonts w:ascii="Cambria" w:eastAsia="Times New Roman" w:hAnsi="Cambria" w:cstheme="minorHAnsi"/>
          <w:w w:val="95"/>
        </w:rPr>
        <w:t>mmi</w:t>
      </w:r>
      <w:r w:rsidRPr="009A0DA6">
        <w:rPr>
          <w:rFonts w:ascii="Cambria" w:eastAsia="Times New Roman" w:hAnsi="Cambria" w:cstheme="minorHAnsi"/>
          <w:spacing w:val="2"/>
          <w:w w:val="95"/>
        </w:rPr>
        <w:t>s</w:t>
      </w:r>
      <w:r w:rsidRPr="009A0DA6">
        <w:rPr>
          <w:rFonts w:ascii="Cambria" w:eastAsia="Times New Roman" w:hAnsi="Cambria" w:cstheme="minorHAnsi"/>
          <w:spacing w:val="-1"/>
          <w:w w:val="95"/>
        </w:rPr>
        <w:t>s</w:t>
      </w:r>
      <w:r w:rsidRPr="009A0DA6">
        <w:rPr>
          <w:rFonts w:ascii="Cambria" w:eastAsia="Times New Roman" w:hAnsi="Cambria" w:cstheme="minorHAnsi"/>
          <w:w w:val="95"/>
        </w:rPr>
        <w:t>i</w:t>
      </w:r>
      <w:r w:rsidRPr="009A0DA6">
        <w:rPr>
          <w:rFonts w:ascii="Cambria" w:eastAsia="Times New Roman" w:hAnsi="Cambria" w:cstheme="minorHAnsi"/>
          <w:spacing w:val="1"/>
          <w:w w:val="95"/>
        </w:rPr>
        <w:t>o</w:t>
      </w:r>
      <w:r w:rsidRPr="009A0DA6">
        <w:rPr>
          <w:rFonts w:ascii="Cambria" w:eastAsia="Times New Roman" w:hAnsi="Cambria" w:cstheme="minorHAnsi"/>
          <w:w w:val="95"/>
        </w:rPr>
        <w:t>n</w:t>
      </w:r>
      <w:r w:rsidRPr="009A0DA6">
        <w:rPr>
          <w:rFonts w:ascii="Cambria" w:eastAsia="Times New Roman" w:hAnsi="Cambria" w:cstheme="minorHAnsi"/>
          <w:spacing w:val="23"/>
          <w:w w:val="95"/>
        </w:rPr>
        <w:t xml:space="preserve"> </w:t>
      </w:r>
      <w:r w:rsidRPr="009A0DA6">
        <w:rPr>
          <w:rFonts w:ascii="Cambria" w:eastAsia="Times New Roman" w:hAnsi="Cambria" w:cstheme="minorHAnsi"/>
          <w:spacing w:val="1"/>
          <w:w w:val="95"/>
        </w:rPr>
        <w:t>A</w:t>
      </w:r>
      <w:r w:rsidRPr="009A0DA6">
        <w:rPr>
          <w:rFonts w:ascii="Cambria" w:eastAsia="Times New Roman" w:hAnsi="Cambria" w:cstheme="minorHAnsi"/>
          <w:w w:val="95"/>
        </w:rPr>
        <w:t>ct</w:t>
      </w:r>
      <w:r w:rsidRPr="009A0DA6">
        <w:rPr>
          <w:rFonts w:ascii="Cambria" w:eastAsia="Times New Roman" w:hAnsi="Cambria" w:cstheme="minorHAnsi"/>
          <w:spacing w:val="-8"/>
          <w:w w:val="95"/>
        </w:rPr>
        <w:t xml:space="preserve"> </w:t>
      </w:r>
      <w:r w:rsidRPr="009A0DA6">
        <w:rPr>
          <w:rFonts w:ascii="Cambria" w:eastAsia="Times New Roman" w:hAnsi="Cambria" w:cstheme="minorHAnsi"/>
          <w:spacing w:val="-1"/>
        </w:rPr>
        <w:t>(</w:t>
      </w:r>
      <w:r w:rsidRPr="009A0DA6">
        <w:rPr>
          <w:rFonts w:ascii="Cambria" w:eastAsia="Times New Roman" w:hAnsi="Cambria" w:cstheme="minorHAnsi"/>
          <w:spacing w:val="1"/>
        </w:rPr>
        <w:t>2012</w:t>
      </w:r>
      <w:r w:rsidRPr="009A0DA6">
        <w:rPr>
          <w:rFonts w:ascii="Cambria" w:eastAsia="Times New Roman" w:hAnsi="Cambria" w:cstheme="minorHAnsi"/>
        </w:rPr>
        <w:t>)</w:t>
      </w:r>
      <w:r w:rsidRPr="009A0DA6">
        <w:rPr>
          <w:rFonts w:ascii="Cambria" w:eastAsia="Times New Roman" w:hAnsi="Cambria" w:cstheme="minorHAnsi"/>
          <w:spacing w:val="-6"/>
        </w:rPr>
        <w:t xml:space="preserve"> </w:t>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spacing w:val="-1"/>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1"/>
        </w:rPr>
        <w:t xml:space="preserve"> </w:t>
      </w:r>
      <w:r w:rsidRPr="009A0DA6">
        <w:rPr>
          <w:rFonts w:ascii="Cambria" w:eastAsia="Times New Roman" w:hAnsi="Cambria" w:cstheme="minorHAnsi"/>
          <w:spacing w:val="-1"/>
        </w:rPr>
        <w:t>f</w:t>
      </w:r>
      <w:r w:rsidRPr="009A0DA6">
        <w:rPr>
          <w:rFonts w:ascii="Cambria" w:eastAsia="Times New Roman" w:hAnsi="Cambria" w:cstheme="minorHAnsi"/>
          <w:spacing w:val="1"/>
        </w:rPr>
        <w:t>o</w:t>
      </w:r>
      <w:r w:rsidRPr="009A0DA6">
        <w:rPr>
          <w:rFonts w:ascii="Cambria" w:eastAsia="Times New Roman" w:hAnsi="Cambria" w:cstheme="minorHAnsi"/>
        </w:rPr>
        <w:t>ll</w:t>
      </w:r>
      <w:r w:rsidRPr="009A0DA6">
        <w:rPr>
          <w:rFonts w:ascii="Cambria" w:eastAsia="Times New Roman" w:hAnsi="Cambria" w:cstheme="minorHAnsi"/>
          <w:spacing w:val="4"/>
        </w:rPr>
        <w:t>o</w:t>
      </w:r>
      <w:r w:rsidRPr="009A0DA6">
        <w:rPr>
          <w:rFonts w:ascii="Cambria" w:eastAsia="Times New Roman" w:hAnsi="Cambria" w:cstheme="minorHAnsi"/>
          <w:spacing w:val="-2"/>
        </w:rPr>
        <w:t>w</w:t>
      </w:r>
      <w:r w:rsidRPr="009A0DA6">
        <w:rPr>
          <w:rFonts w:ascii="Cambria" w:eastAsia="Times New Roman" w:hAnsi="Cambria" w:cstheme="minorHAnsi"/>
        </w:rPr>
        <w:t>i</w:t>
      </w:r>
      <w:r w:rsidRPr="009A0DA6">
        <w:rPr>
          <w:rFonts w:ascii="Cambria" w:eastAsia="Times New Roman" w:hAnsi="Cambria" w:cstheme="minorHAnsi"/>
          <w:spacing w:val="1"/>
        </w:rPr>
        <w:t>n</w:t>
      </w:r>
      <w:r w:rsidRPr="009A0DA6">
        <w:rPr>
          <w:rFonts w:ascii="Cambria" w:eastAsia="Times New Roman" w:hAnsi="Cambria" w:cstheme="minorHAnsi"/>
        </w:rPr>
        <w:t>g</w:t>
      </w:r>
      <w:r w:rsidRPr="009A0DA6">
        <w:rPr>
          <w:rFonts w:ascii="Cambria" w:eastAsia="Times New Roman" w:hAnsi="Cambria" w:cstheme="minorHAnsi"/>
          <w:spacing w:val="-6"/>
        </w:rPr>
        <w:t xml:space="preserve"> </w:t>
      </w:r>
      <w:r w:rsidRPr="009A0DA6">
        <w:rPr>
          <w:rFonts w:ascii="Cambria" w:eastAsia="Times New Roman" w:hAnsi="Cambria" w:cstheme="minorHAnsi"/>
        </w:rPr>
        <w:t>A</w:t>
      </w:r>
      <w:r w:rsidRPr="009A0DA6">
        <w:rPr>
          <w:rFonts w:ascii="Cambria" w:eastAsia="Times New Roman" w:hAnsi="Cambria" w:cstheme="minorHAnsi"/>
          <w:spacing w:val="-1"/>
        </w:rPr>
        <w:t>us</w:t>
      </w:r>
      <w:r w:rsidRPr="009A0DA6">
        <w:rPr>
          <w:rFonts w:ascii="Cambria" w:eastAsia="Times New Roman" w:hAnsi="Cambria" w:cstheme="minorHAnsi"/>
        </w:rPr>
        <w:t>t</w:t>
      </w:r>
      <w:r w:rsidRPr="009A0DA6">
        <w:rPr>
          <w:rFonts w:ascii="Cambria" w:eastAsia="Times New Roman" w:hAnsi="Cambria" w:cstheme="minorHAnsi"/>
          <w:spacing w:val="1"/>
        </w:rPr>
        <w:t>r</w:t>
      </w:r>
      <w:r w:rsidRPr="009A0DA6">
        <w:rPr>
          <w:rFonts w:ascii="Cambria" w:eastAsia="Times New Roman" w:hAnsi="Cambria" w:cstheme="minorHAnsi"/>
        </w:rPr>
        <w:t>ali</w:t>
      </w:r>
      <w:r w:rsidRPr="009A0DA6">
        <w:rPr>
          <w:rFonts w:ascii="Cambria" w:eastAsia="Times New Roman" w:hAnsi="Cambria" w:cstheme="minorHAnsi"/>
          <w:spacing w:val="3"/>
        </w:rPr>
        <w:t>a</w:t>
      </w:r>
      <w:r w:rsidRPr="009A0DA6">
        <w:rPr>
          <w:rFonts w:ascii="Cambria" w:eastAsia="Times New Roman" w:hAnsi="Cambria" w:cstheme="minorHAnsi"/>
        </w:rPr>
        <w:t>n</w:t>
      </w:r>
      <w:r w:rsidRPr="009A0DA6">
        <w:rPr>
          <w:rFonts w:ascii="Cambria" w:eastAsia="Times New Roman" w:hAnsi="Cambria" w:cstheme="minorHAnsi"/>
          <w:spacing w:val="-6"/>
        </w:rPr>
        <w:t xml:space="preserve"> </w:t>
      </w:r>
      <w:r w:rsidRPr="009A0DA6">
        <w:rPr>
          <w:rFonts w:ascii="Cambria" w:eastAsia="Times New Roman" w:hAnsi="Cambria" w:cstheme="minorHAnsi"/>
          <w:spacing w:val="-2"/>
        </w:rPr>
        <w:t>A</w:t>
      </w:r>
      <w:r w:rsidRPr="009A0DA6">
        <w:rPr>
          <w:rFonts w:ascii="Cambria" w:eastAsia="Times New Roman" w:hAnsi="Cambria" w:cstheme="minorHAnsi"/>
        </w:rPr>
        <w:t>cc</w:t>
      </w:r>
      <w:r w:rsidRPr="009A0DA6">
        <w:rPr>
          <w:rFonts w:ascii="Cambria" w:eastAsia="Times New Roman" w:hAnsi="Cambria" w:cstheme="minorHAnsi"/>
          <w:spacing w:val="1"/>
        </w:rPr>
        <w:t>ou</w:t>
      </w:r>
      <w:r w:rsidRPr="009A0DA6">
        <w:rPr>
          <w:rFonts w:ascii="Cambria" w:eastAsia="Times New Roman" w:hAnsi="Cambria" w:cstheme="minorHAnsi"/>
          <w:spacing w:val="-1"/>
        </w:rPr>
        <w:t>n</w:t>
      </w:r>
      <w:r w:rsidRPr="009A0DA6">
        <w:rPr>
          <w:rFonts w:ascii="Cambria" w:eastAsia="Times New Roman" w:hAnsi="Cambria" w:cstheme="minorHAnsi"/>
        </w:rPr>
        <w:t>t</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rPr>
        <w:t>g</w:t>
      </w:r>
      <w:r w:rsidRPr="009A0DA6">
        <w:rPr>
          <w:rFonts w:ascii="Cambria" w:eastAsia="Times New Roman" w:hAnsi="Cambria" w:cstheme="minorHAnsi"/>
          <w:spacing w:val="-10"/>
        </w:rPr>
        <w:t xml:space="preserve"> </w:t>
      </w:r>
      <w:r w:rsidRPr="009A0DA6">
        <w:rPr>
          <w:rFonts w:ascii="Cambria" w:eastAsia="Times New Roman" w:hAnsi="Cambria" w:cstheme="minorHAnsi"/>
        </w:rPr>
        <w:t>St</w:t>
      </w:r>
      <w:r w:rsidRPr="009A0DA6">
        <w:rPr>
          <w:rFonts w:ascii="Cambria" w:eastAsia="Times New Roman" w:hAnsi="Cambria" w:cstheme="minorHAnsi"/>
          <w:spacing w:val="3"/>
        </w:rPr>
        <w:t>a</w:t>
      </w:r>
      <w:r w:rsidRPr="009A0DA6">
        <w:rPr>
          <w:rFonts w:ascii="Cambria" w:eastAsia="Times New Roman" w:hAnsi="Cambria" w:cstheme="minorHAnsi"/>
          <w:spacing w:val="-1"/>
        </w:rPr>
        <w:t>n</w:t>
      </w:r>
      <w:r w:rsidRPr="009A0DA6">
        <w:rPr>
          <w:rFonts w:ascii="Cambria" w:eastAsia="Times New Roman" w:hAnsi="Cambria" w:cstheme="minorHAnsi"/>
          <w:spacing w:val="1"/>
        </w:rPr>
        <w:t>d</w:t>
      </w:r>
      <w:r w:rsidRPr="009A0DA6">
        <w:rPr>
          <w:rFonts w:ascii="Cambria" w:eastAsia="Times New Roman" w:hAnsi="Cambria" w:cstheme="minorHAnsi"/>
        </w:rPr>
        <w:t>a</w:t>
      </w:r>
      <w:r w:rsidRPr="009A0DA6">
        <w:rPr>
          <w:rFonts w:ascii="Cambria" w:eastAsia="Times New Roman" w:hAnsi="Cambria" w:cstheme="minorHAnsi"/>
          <w:spacing w:val="1"/>
        </w:rPr>
        <w:t>rd</w:t>
      </w:r>
      <w:r w:rsidRPr="009A0DA6">
        <w:rPr>
          <w:rFonts w:ascii="Cambria" w:eastAsia="Times New Roman" w:hAnsi="Cambria" w:cstheme="minorHAnsi"/>
          <w:spacing w:val="-1"/>
        </w:rPr>
        <w:t>s</w:t>
      </w:r>
      <w:r w:rsidRPr="009A0DA6">
        <w:rPr>
          <w:rFonts w:ascii="Cambria" w:eastAsia="Times New Roman" w:hAnsi="Cambria" w:cstheme="minorHAnsi"/>
        </w:rPr>
        <w:t xml:space="preserve">: </w:t>
      </w:r>
    </w:p>
    <w:p w14:paraId="0AACDA15" w14:textId="77777777" w:rsidR="00BA4592" w:rsidRPr="009A0DA6" w:rsidRDefault="00BA4592" w:rsidP="00BA4592">
      <w:pPr>
        <w:tabs>
          <w:tab w:val="left" w:pos="1560"/>
          <w:tab w:val="center" w:pos="4394"/>
          <w:tab w:val="right" w:pos="6095"/>
          <w:tab w:val="right" w:pos="7371"/>
          <w:tab w:val="right" w:pos="8647"/>
        </w:tabs>
        <w:spacing w:before="120" w:after="120" w:line="240" w:lineRule="auto"/>
        <w:ind w:right="-51"/>
        <w:contextualSpacing/>
        <w:rPr>
          <w:rFonts w:ascii="Cambria" w:eastAsia="Times New Roman" w:hAnsi="Cambria" w:cstheme="minorHAnsi"/>
        </w:rPr>
      </w:pPr>
      <w:r w:rsidRPr="009A0DA6">
        <w:rPr>
          <w:rFonts w:ascii="Cambria" w:eastAsia="Times New Roman" w:hAnsi="Cambria" w:cstheme="minorHAnsi"/>
        </w:rPr>
        <w:t>AASB</w:t>
      </w:r>
      <w:r w:rsidRPr="009A0DA6">
        <w:rPr>
          <w:rFonts w:ascii="Cambria" w:eastAsia="Times New Roman" w:hAnsi="Cambria" w:cstheme="minorHAnsi"/>
          <w:spacing w:val="-3"/>
        </w:rPr>
        <w:t xml:space="preserve"> </w:t>
      </w:r>
      <w:r w:rsidRPr="009A0DA6">
        <w:rPr>
          <w:rFonts w:ascii="Cambria" w:eastAsia="Times New Roman" w:hAnsi="Cambria" w:cstheme="minorHAnsi"/>
          <w:spacing w:val="1"/>
        </w:rPr>
        <w:t>103</w:t>
      </w:r>
      <w:r w:rsidRPr="009A0DA6">
        <w:rPr>
          <w:rFonts w:ascii="Cambria" w:eastAsia="Times New Roman" w:hAnsi="Cambria" w:cstheme="minorHAnsi"/>
        </w:rPr>
        <w:t xml:space="preserve">1 </w:t>
      </w:r>
      <w:r w:rsidRPr="009A0DA6">
        <w:rPr>
          <w:rFonts w:ascii="Cambria" w:eastAsia="Times New Roman" w:hAnsi="Cambria" w:cstheme="minorHAnsi"/>
        </w:rPr>
        <w:tab/>
      </w:r>
      <w:r w:rsidRPr="009A0DA6">
        <w:rPr>
          <w:rFonts w:ascii="Cambria" w:eastAsia="Times New Roman" w:hAnsi="Cambria" w:cstheme="minorHAnsi"/>
          <w:spacing w:val="1"/>
        </w:rPr>
        <w:t>M</w:t>
      </w:r>
      <w:r w:rsidRPr="009A0DA6">
        <w:rPr>
          <w:rFonts w:ascii="Cambria" w:eastAsia="Times New Roman" w:hAnsi="Cambria" w:cstheme="minorHAnsi"/>
        </w:rPr>
        <w:t>ate</w:t>
      </w:r>
      <w:r w:rsidRPr="009A0DA6">
        <w:rPr>
          <w:rFonts w:ascii="Cambria" w:eastAsia="Times New Roman" w:hAnsi="Cambria" w:cstheme="minorHAnsi"/>
          <w:spacing w:val="1"/>
        </w:rPr>
        <w:t>r</w:t>
      </w:r>
      <w:r w:rsidRPr="009A0DA6">
        <w:rPr>
          <w:rFonts w:ascii="Cambria" w:eastAsia="Times New Roman" w:hAnsi="Cambria" w:cstheme="minorHAnsi"/>
        </w:rPr>
        <w:t>iali</w:t>
      </w:r>
      <w:r w:rsidRPr="009A0DA6">
        <w:rPr>
          <w:rFonts w:ascii="Cambria" w:eastAsia="Times New Roman" w:hAnsi="Cambria" w:cstheme="minorHAnsi"/>
          <w:spacing w:val="2"/>
        </w:rPr>
        <w:t>t</w:t>
      </w:r>
      <w:r w:rsidRPr="009A0DA6">
        <w:rPr>
          <w:rFonts w:ascii="Cambria" w:eastAsia="Times New Roman" w:hAnsi="Cambria" w:cstheme="minorHAnsi"/>
        </w:rPr>
        <w:t>y</w:t>
      </w:r>
    </w:p>
    <w:p w14:paraId="2436FFDE" w14:textId="77777777" w:rsidR="00BA4592" w:rsidRPr="009A0DA6" w:rsidRDefault="00BA4592" w:rsidP="00BA4592">
      <w:pPr>
        <w:tabs>
          <w:tab w:val="left" w:pos="1560"/>
          <w:tab w:val="center" w:pos="4394"/>
          <w:tab w:val="right" w:pos="6095"/>
          <w:tab w:val="right" w:pos="7371"/>
          <w:tab w:val="right" w:pos="8647"/>
        </w:tabs>
        <w:spacing w:before="120" w:after="120" w:line="240" w:lineRule="auto"/>
        <w:ind w:right="-51"/>
        <w:contextualSpacing/>
        <w:rPr>
          <w:rFonts w:ascii="Cambria" w:eastAsia="Times New Roman" w:hAnsi="Cambria" w:cstheme="minorHAnsi"/>
        </w:rPr>
      </w:pPr>
      <w:r w:rsidRPr="009A0DA6">
        <w:rPr>
          <w:rFonts w:ascii="Cambria" w:eastAsia="Times New Roman" w:hAnsi="Cambria" w:cstheme="minorHAnsi"/>
        </w:rPr>
        <w:t>AASB</w:t>
      </w:r>
      <w:r w:rsidRPr="009A0DA6">
        <w:rPr>
          <w:rFonts w:ascii="Cambria" w:eastAsia="Times New Roman" w:hAnsi="Cambria" w:cstheme="minorHAnsi"/>
          <w:spacing w:val="-3"/>
        </w:rPr>
        <w:t xml:space="preserve"> </w:t>
      </w:r>
      <w:r w:rsidRPr="009A0DA6">
        <w:rPr>
          <w:rFonts w:ascii="Cambria" w:eastAsia="Times New Roman" w:hAnsi="Cambria" w:cstheme="minorHAnsi"/>
          <w:spacing w:val="1"/>
        </w:rPr>
        <w:t>11</w:t>
      </w:r>
      <w:r w:rsidRPr="009A0DA6">
        <w:rPr>
          <w:rFonts w:ascii="Cambria" w:eastAsia="Times New Roman" w:hAnsi="Cambria" w:cstheme="minorHAnsi"/>
        </w:rPr>
        <w:t xml:space="preserve">0 </w:t>
      </w:r>
      <w:r w:rsidRPr="009A0DA6">
        <w:rPr>
          <w:rFonts w:ascii="Cambria" w:eastAsia="Times New Roman" w:hAnsi="Cambria" w:cstheme="minorHAnsi"/>
        </w:rPr>
        <w:tab/>
      </w:r>
      <w:r w:rsidRPr="009A0DA6">
        <w:rPr>
          <w:rFonts w:ascii="Cambria" w:eastAsia="Times New Roman" w:hAnsi="Cambria" w:cstheme="minorHAnsi"/>
          <w:spacing w:val="1"/>
        </w:rPr>
        <w:t>E</w:t>
      </w:r>
      <w:r w:rsidRPr="009A0DA6">
        <w:rPr>
          <w:rFonts w:ascii="Cambria" w:eastAsia="Times New Roman" w:hAnsi="Cambria" w:cstheme="minorHAnsi"/>
          <w:spacing w:val="-1"/>
        </w:rPr>
        <w:t>v</w:t>
      </w:r>
      <w:r w:rsidRPr="009A0DA6">
        <w:rPr>
          <w:rFonts w:ascii="Cambria" w:eastAsia="Times New Roman" w:hAnsi="Cambria" w:cstheme="minorHAnsi"/>
        </w:rPr>
        <w:t>e</w:t>
      </w:r>
      <w:r w:rsidRPr="009A0DA6">
        <w:rPr>
          <w:rFonts w:ascii="Cambria" w:eastAsia="Times New Roman" w:hAnsi="Cambria" w:cstheme="minorHAnsi"/>
          <w:spacing w:val="-1"/>
        </w:rPr>
        <w:t>n</w:t>
      </w:r>
      <w:r w:rsidRPr="009A0DA6">
        <w:rPr>
          <w:rFonts w:ascii="Cambria" w:eastAsia="Times New Roman" w:hAnsi="Cambria" w:cstheme="minorHAnsi"/>
          <w:spacing w:val="2"/>
        </w:rPr>
        <w:t>t</w:t>
      </w:r>
      <w:r w:rsidRPr="009A0DA6">
        <w:rPr>
          <w:rFonts w:ascii="Cambria" w:eastAsia="Times New Roman" w:hAnsi="Cambria" w:cstheme="minorHAnsi"/>
        </w:rPr>
        <w:t>s</w:t>
      </w:r>
      <w:r w:rsidRPr="009A0DA6">
        <w:rPr>
          <w:rFonts w:ascii="Cambria" w:eastAsia="Times New Roman" w:hAnsi="Cambria" w:cstheme="minorHAnsi"/>
          <w:spacing w:val="-5"/>
        </w:rPr>
        <w:t xml:space="preserve"> </w:t>
      </w:r>
      <w:r w:rsidRPr="009A0DA6">
        <w:rPr>
          <w:rFonts w:ascii="Cambria" w:eastAsia="Times New Roman" w:hAnsi="Cambria" w:cstheme="minorHAnsi"/>
        </w:rPr>
        <w:t>a</w:t>
      </w:r>
      <w:r w:rsidRPr="009A0DA6">
        <w:rPr>
          <w:rFonts w:ascii="Cambria" w:eastAsia="Times New Roman" w:hAnsi="Cambria" w:cstheme="minorHAnsi"/>
          <w:spacing w:val="1"/>
        </w:rPr>
        <w:t>f</w:t>
      </w:r>
      <w:r w:rsidRPr="009A0DA6">
        <w:rPr>
          <w:rFonts w:ascii="Cambria" w:eastAsia="Times New Roman" w:hAnsi="Cambria" w:cstheme="minorHAnsi"/>
        </w:rPr>
        <w:t>ter</w:t>
      </w:r>
      <w:r w:rsidRPr="009A0DA6">
        <w:rPr>
          <w:rFonts w:ascii="Cambria" w:eastAsia="Times New Roman" w:hAnsi="Cambria" w:cstheme="minorHAnsi"/>
          <w:spacing w:val="-3"/>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1"/>
        </w:rPr>
        <w:t xml:space="preserve"> </w:t>
      </w:r>
      <w:r w:rsidRPr="009A0DA6">
        <w:rPr>
          <w:rFonts w:ascii="Cambria" w:eastAsia="Times New Roman" w:hAnsi="Cambria" w:cstheme="minorHAnsi"/>
          <w:spacing w:val="2"/>
        </w:rPr>
        <w:t>B</w:t>
      </w:r>
      <w:r w:rsidRPr="009A0DA6">
        <w:rPr>
          <w:rFonts w:ascii="Cambria" w:eastAsia="Times New Roman" w:hAnsi="Cambria" w:cstheme="minorHAnsi"/>
        </w:rPr>
        <w:t>ala</w:t>
      </w:r>
      <w:r w:rsidRPr="009A0DA6">
        <w:rPr>
          <w:rFonts w:ascii="Cambria" w:eastAsia="Times New Roman" w:hAnsi="Cambria" w:cstheme="minorHAnsi"/>
          <w:spacing w:val="-1"/>
        </w:rPr>
        <w:t>n</w:t>
      </w:r>
      <w:r w:rsidRPr="009A0DA6">
        <w:rPr>
          <w:rFonts w:ascii="Cambria" w:eastAsia="Times New Roman" w:hAnsi="Cambria" w:cstheme="minorHAnsi"/>
        </w:rPr>
        <w:t>ce</w:t>
      </w:r>
      <w:r w:rsidRPr="009A0DA6">
        <w:rPr>
          <w:rFonts w:ascii="Cambria" w:eastAsia="Times New Roman" w:hAnsi="Cambria" w:cstheme="minorHAnsi"/>
          <w:spacing w:val="-5"/>
        </w:rPr>
        <w:t xml:space="preserve"> d</w:t>
      </w:r>
      <w:r w:rsidRPr="009A0DA6">
        <w:rPr>
          <w:rFonts w:ascii="Cambria" w:eastAsia="Times New Roman" w:hAnsi="Cambria" w:cstheme="minorHAnsi"/>
        </w:rPr>
        <w:t>ate</w:t>
      </w:r>
    </w:p>
    <w:p w14:paraId="6D02AFE0" w14:textId="77777777" w:rsidR="00BA4592" w:rsidRPr="009A0DA6" w:rsidRDefault="00BA4592" w:rsidP="00B81951">
      <w:pPr>
        <w:pStyle w:val="NoSpacing"/>
      </w:pPr>
      <w:r w:rsidRPr="009A0DA6">
        <w:t>No other applicable Accounting Standards, Urgent Issues Group Interpretations or other authoritative pronouncements of the Australian Accounting Standards Board have been applied.</w:t>
      </w:r>
    </w:p>
    <w:p w14:paraId="58DE91A6" w14:textId="77777777" w:rsidR="00B81951" w:rsidRPr="009A0DA6" w:rsidRDefault="00B81951" w:rsidP="00B81951">
      <w:pPr>
        <w:pStyle w:val="NoSpacing"/>
      </w:pPr>
    </w:p>
    <w:p w14:paraId="1B22287A" w14:textId="53A76BC7" w:rsidR="00BA4592" w:rsidRPr="009A0DA6" w:rsidRDefault="00BA4592" w:rsidP="00B81951">
      <w:pPr>
        <w:pStyle w:val="NoSpacing"/>
      </w:pPr>
      <w:r w:rsidRPr="009A0DA6">
        <w:t>The financial report has been prepared on an accruals basis and is based on historic costs and does not take into account changing money values or, except where specially stated, current valuations of non-current assets.</w:t>
      </w:r>
    </w:p>
    <w:p w14:paraId="5B93E10E" w14:textId="77777777" w:rsidR="00B81951" w:rsidRPr="009A0DA6" w:rsidRDefault="00B81951" w:rsidP="00B81951">
      <w:pPr>
        <w:pStyle w:val="NoSpacing"/>
      </w:pPr>
    </w:p>
    <w:p w14:paraId="08778CCB" w14:textId="7E8DE2F4" w:rsidR="00BA4592" w:rsidRPr="009A0DA6" w:rsidRDefault="00BA4592" w:rsidP="00B81951">
      <w:pPr>
        <w:pStyle w:val="NoSpacing"/>
      </w:pPr>
      <w:r w:rsidRPr="009A0DA6">
        <w:t xml:space="preserve">The significant accounting policies adopted by the </w:t>
      </w:r>
      <w:r w:rsidR="00336CE0" w:rsidRPr="009A0DA6">
        <w:t>church</w:t>
      </w:r>
      <w:r w:rsidRPr="009A0DA6">
        <w:t xml:space="preserve"> are stated in order to assist in a general understanding of the financial statements.</w:t>
      </w:r>
    </w:p>
    <w:p w14:paraId="1DE7C490" w14:textId="77777777" w:rsidR="00B81951" w:rsidRPr="009A0DA6" w:rsidRDefault="00B81951" w:rsidP="00B81951">
      <w:pPr>
        <w:pStyle w:val="NoSpacing"/>
      </w:pPr>
    </w:p>
    <w:p w14:paraId="6D60EB42" w14:textId="532DC4E7" w:rsidR="00BA4592" w:rsidRPr="009A0DA6" w:rsidRDefault="00BA4592" w:rsidP="00B81951">
      <w:pPr>
        <w:pStyle w:val="NoSpacing"/>
      </w:pPr>
      <w:r w:rsidRPr="009A0DA6">
        <w:t>The following material accounting policies and information, which are consistent with the previous period unless otherwise stated, have been adopted in the preparation of this financial report.</w:t>
      </w:r>
    </w:p>
    <w:p w14:paraId="3A2E46ED" w14:textId="77777777" w:rsidR="00BA4592" w:rsidRPr="009A0DA6" w:rsidRDefault="00BA4592" w:rsidP="00BA4592">
      <w:pPr>
        <w:tabs>
          <w:tab w:val="center" w:pos="4394"/>
          <w:tab w:val="right" w:pos="6095"/>
          <w:tab w:val="right" w:pos="7371"/>
          <w:tab w:val="right" w:pos="8647"/>
        </w:tabs>
        <w:spacing w:before="120" w:after="120" w:line="240" w:lineRule="auto"/>
        <w:ind w:right="-51"/>
        <w:contextualSpacing/>
        <w:rPr>
          <w:rFonts w:ascii="Cambria" w:eastAsia="Times New Roman" w:hAnsi="Cambria" w:cstheme="minorHAnsi"/>
          <w:b/>
        </w:rPr>
      </w:pPr>
      <w:r w:rsidRPr="009A0DA6">
        <w:rPr>
          <w:rFonts w:ascii="Cambria" w:eastAsia="Times New Roman" w:hAnsi="Cambria" w:cstheme="minorHAnsi"/>
          <w:b/>
        </w:rPr>
        <w:lastRenderedPageBreak/>
        <w:t>Sc</w:t>
      </w:r>
      <w:r w:rsidRPr="009A0DA6">
        <w:rPr>
          <w:rFonts w:ascii="Cambria" w:eastAsia="Times New Roman" w:hAnsi="Cambria" w:cstheme="minorHAnsi"/>
          <w:b/>
          <w:spacing w:val="1"/>
        </w:rPr>
        <w:t>o</w:t>
      </w:r>
      <w:r w:rsidRPr="009A0DA6">
        <w:rPr>
          <w:rFonts w:ascii="Cambria" w:eastAsia="Times New Roman" w:hAnsi="Cambria" w:cstheme="minorHAnsi"/>
          <w:b/>
        </w:rPr>
        <w:t>pe</w:t>
      </w:r>
      <w:r w:rsidRPr="009A0DA6">
        <w:rPr>
          <w:rFonts w:ascii="Cambria" w:eastAsia="Times New Roman" w:hAnsi="Cambria" w:cstheme="minorHAnsi"/>
          <w:b/>
          <w:spacing w:val="7"/>
        </w:rPr>
        <w:t xml:space="preserve"> </w:t>
      </w:r>
      <w:r w:rsidRPr="009A0DA6">
        <w:rPr>
          <w:rFonts w:ascii="Cambria" w:eastAsia="Times New Roman" w:hAnsi="Cambria" w:cstheme="minorHAnsi"/>
          <w:b/>
          <w:spacing w:val="1"/>
        </w:rPr>
        <w:t>o</w:t>
      </w:r>
      <w:r w:rsidRPr="009A0DA6">
        <w:rPr>
          <w:rFonts w:ascii="Cambria" w:eastAsia="Times New Roman" w:hAnsi="Cambria" w:cstheme="minorHAnsi"/>
          <w:b/>
        </w:rPr>
        <w:t>f</w:t>
      </w:r>
      <w:r w:rsidRPr="009A0DA6">
        <w:rPr>
          <w:rFonts w:ascii="Cambria" w:eastAsia="Times New Roman" w:hAnsi="Cambria" w:cstheme="minorHAnsi"/>
          <w:b/>
          <w:spacing w:val="-1"/>
        </w:rPr>
        <w:t xml:space="preserve"> </w:t>
      </w:r>
      <w:r w:rsidRPr="009A0DA6">
        <w:rPr>
          <w:rFonts w:ascii="Cambria" w:eastAsia="Times New Roman" w:hAnsi="Cambria" w:cstheme="minorHAnsi"/>
          <w:b/>
          <w:spacing w:val="1"/>
        </w:rPr>
        <w:t>t</w:t>
      </w:r>
      <w:r w:rsidRPr="009A0DA6">
        <w:rPr>
          <w:rFonts w:ascii="Cambria" w:eastAsia="Times New Roman" w:hAnsi="Cambria" w:cstheme="minorHAnsi"/>
          <w:b/>
        </w:rPr>
        <w:t>he</w:t>
      </w:r>
      <w:r w:rsidRPr="009A0DA6">
        <w:rPr>
          <w:rFonts w:ascii="Cambria" w:eastAsia="Times New Roman" w:hAnsi="Cambria" w:cstheme="minorHAnsi"/>
          <w:b/>
          <w:spacing w:val="21"/>
        </w:rPr>
        <w:t xml:space="preserve"> </w:t>
      </w:r>
      <w:r w:rsidRPr="009A0DA6">
        <w:rPr>
          <w:rFonts w:ascii="Cambria" w:eastAsia="Times New Roman" w:hAnsi="Cambria" w:cstheme="minorHAnsi"/>
          <w:b/>
          <w:spacing w:val="1"/>
        </w:rPr>
        <w:t>f</w:t>
      </w:r>
      <w:r w:rsidRPr="009A0DA6">
        <w:rPr>
          <w:rFonts w:ascii="Cambria" w:eastAsia="Times New Roman" w:hAnsi="Cambria" w:cstheme="minorHAnsi"/>
          <w:b/>
        </w:rPr>
        <w:t>in</w:t>
      </w:r>
      <w:r w:rsidRPr="009A0DA6">
        <w:rPr>
          <w:rFonts w:ascii="Cambria" w:eastAsia="Times New Roman" w:hAnsi="Cambria" w:cstheme="minorHAnsi"/>
          <w:b/>
          <w:spacing w:val="1"/>
        </w:rPr>
        <w:t>a</w:t>
      </w:r>
      <w:r w:rsidRPr="009A0DA6">
        <w:rPr>
          <w:rFonts w:ascii="Cambria" w:eastAsia="Times New Roman" w:hAnsi="Cambria" w:cstheme="minorHAnsi"/>
          <w:b/>
        </w:rPr>
        <w:t>nci</w:t>
      </w:r>
      <w:r w:rsidRPr="009A0DA6">
        <w:rPr>
          <w:rFonts w:ascii="Cambria" w:eastAsia="Times New Roman" w:hAnsi="Cambria" w:cstheme="minorHAnsi"/>
          <w:b/>
          <w:spacing w:val="1"/>
        </w:rPr>
        <w:t>a</w:t>
      </w:r>
      <w:r w:rsidRPr="009A0DA6">
        <w:rPr>
          <w:rFonts w:ascii="Cambria" w:eastAsia="Times New Roman" w:hAnsi="Cambria" w:cstheme="minorHAnsi"/>
          <w:b/>
        </w:rPr>
        <w:t>l</w:t>
      </w:r>
      <w:r w:rsidRPr="009A0DA6">
        <w:rPr>
          <w:rFonts w:ascii="Cambria" w:eastAsia="Times New Roman" w:hAnsi="Cambria" w:cstheme="minorHAnsi"/>
          <w:b/>
          <w:spacing w:val="38"/>
        </w:rPr>
        <w:t xml:space="preserve"> </w:t>
      </w:r>
      <w:r w:rsidRPr="009A0DA6">
        <w:rPr>
          <w:rFonts w:ascii="Cambria" w:eastAsia="Times New Roman" w:hAnsi="Cambria" w:cstheme="minorHAnsi"/>
          <w:b/>
          <w:spacing w:val="1"/>
          <w:w w:val="112"/>
        </w:rPr>
        <w:t>a</w:t>
      </w:r>
      <w:r w:rsidRPr="009A0DA6">
        <w:rPr>
          <w:rFonts w:ascii="Cambria" w:eastAsia="Times New Roman" w:hAnsi="Cambria" w:cstheme="minorHAnsi"/>
          <w:b/>
          <w:w w:val="99"/>
        </w:rPr>
        <w:t>cc</w:t>
      </w:r>
      <w:r w:rsidRPr="009A0DA6">
        <w:rPr>
          <w:rFonts w:ascii="Cambria" w:eastAsia="Times New Roman" w:hAnsi="Cambria" w:cstheme="minorHAnsi"/>
          <w:b/>
          <w:spacing w:val="1"/>
          <w:w w:val="99"/>
        </w:rPr>
        <w:t>o</w:t>
      </w:r>
      <w:r w:rsidRPr="009A0DA6">
        <w:rPr>
          <w:rFonts w:ascii="Cambria" w:eastAsia="Times New Roman" w:hAnsi="Cambria" w:cstheme="minorHAnsi"/>
          <w:b/>
          <w:spacing w:val="-3"/>
          <w:w w:val="110"/>
        </w:rPr>
        <w:t>u</w:t>
      </w:r>
      <w:r w:rsidRPr="009A0DA6">
        <w:rPr>
          <w:rFonts w:ascii="Cambria" w:eastAsia="Times New Roman" w:hAnsi="Cambria" w:cstheme="minorHAnsi"/>
          <w:b/>
          <w:w w:val="110"/>
        </w:rPr>
        <w:t>n</w:t>
      </w:r>
      <w:r w:rsidRPr="009A0DA6">
        <w:rPr>
          <w:rFonts w:ascii="Cambria" w:eastAsia="Times New Roman" w:hAnsi="Cambria" w:cstheme="minorHAnsi"/>
          <w:b/>
          <w:spacing w:val="1"/>
          <w:w w:val="119"/>
        </w:rPr>
        <w:t>t</w:t>
      </w:r>
      <w:r w:rsidRPr="009A0DA6">
        <w:rPr>
          <w:rFonts w:ascii="Cambria" w:eastAsia="Times New Roman" w:hAnsi="Cambria" w:cstheme="minorHAnsi"/>
          <w:b/>
          <w:w w:val="99"/>
        </w:rPr>
        <w:t>s</w:t>
      </w:r>
    </w:p>
    <w:p w14:paraId="1C63C6FE" w14:textId="7D84338A" w:rsidR="00BA4592" w:rsidRPr="009A0DA6" w:rsidRDefault="00BA4592" w:rsidP="00BA4592">
      <w:pPr>
        <w:tabs>
          <w:tab w:val="center" w:pos="4394"/>
          <w:tab w:val="right" w:pos="6095"/>
          <w:tab w:val="right" w:pos="7371"/>
          <w:tab w:val="right" w:pos="8647"/>
        </w:tabs>
        <w:spacing w:before="120" w:after="120" w:line="240" w:lineRule="auto"/>
        <w:ind w:right="-51"/>
        <w:contextualSpacing/>
        <w:rPr>
          <w:rFonts w:ascii="Cambria" w:eastAsia="Times New Roman" w:hAnsi="Cambria" w:cstheme="minorHAnsi"/>
        </w:rPr>
      </w:pPr>
      <w:r w:rsidRPr="009A0DA6">
        <w:rPr>
          <w:rFonts w:ascii="Cambria" w:eastAsia="Times New Roman" w:hAnsi="Cambria" w:cstheme="minorHAnsi"/>
          <w:spacing w:val="3"/>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31"/>
        </w:rPr>
        <w:t xml:space="preserve"> </w:t>
      </w:r>
      <w:r w:rsidRPr="009A0DA6">
        <w:rPr>
          <w:rFonts w:ascii="Cambria" w:eastAsia="Times New Roman" w:hAnsi="Cambria" w:cstheme="minorHAnsi"/>
          <w:spacing w:val="-1"/>
        </w:rPr>
        <w:t>f</w:t>
      </w:r>
      <w:r w:rsidRPr="009A0DA6">
        <w:rPr>
          <w:rFonts w:ascii="Cambria" w:eastAsia="Times New Roman" w:hAnsi="Cambria" w:cstheme="minorHAnsi"/>
        </w:rPr>
        <w:t>i</w:t>
      </w:r>
      <w:r w:rsidRPr="009A0DA6">
        <w:rPr>
          <w:rFonts w:ascii="Cambria" w:eastAsia="Times New Roman" w:hAnsi="Cambria" w:cstheme="minorHAnsi"/>
          <w:spacing w:val="-1"/>
        </w:rPr>
        <w:t>n</w:t>
      </w:r>
      <w:r w:rsidRPr="009A0DA6">
        <w:rPr>
          <w:rFonts w:ascii="Cambria" w:eastAsia="Times New Roman" w:hAnsi="Cambria" w:cstheme="minorHAnsi"/>
          <w:spacing w:val="3"/>
        </w:rPr>
        <w:t>a</w:t>
      </w:r>
      <w:r w:rsidRPr="009A0DA6">
        <w:rPr>
          <w:rFonts w:ascii="Cambria" w:eastAsia="Times New Roman" w:hAnsi="Cambria" w:cstheme="minorHAnsi"/>
          <w:spacing w:val="-1"/>
        </w:rPr>
        <w:t>n</w:t>
      </w:r>
      <w:r w:rsidRPr="009A0DA6">
        <w:rPr>
          <w:rFonts w:ascii="Cambria" w:eastAsia="Times New Roman" w:hAnsi="Cambria" w:cstheme="minorHAnsi"/>
        </w:rPr>
        <w:t>cial</w:t>
      </w:r>
      <w:r w:rsidRPr="009A0DA6">
        <w:rPr>
          <w:rFonts w:ascii="Cambria" w:eastAsia="Times New Roman" w:hAnsi="Cambria" w:cstheme="minorHAnsi"/>
          <w:spacing w:val="29"/>
        </w:rPr>
        <w:t xml:space="preserve"> </w:t>
      </w:r>
      <w:r w:rsidRPr="009A0DA6">
        <w:rPr>
          <w:rFonts w:ascii="Cambria" w:eastAsia="Times New Roman" w:hAnsi="Cambria" w:cstheme="minorHAnsi"/>
          <w:spacing w:val="-1"/>
        </w:rPr>
        <w:t>s</w:t>
      </w:r>
      <w:r w:rsidRPr="009A0DA6">
        <w:rPr>
          <w:rFonts w:ascii="Cambria" w:eastAsia="Times New Roman" w:hAnsi="Cambria" w:cstheme="minorHAnsi"/>
        </w:rPr>
        <w:t>tat</w:t>
      </w:r>
      <w:r w:rsidRPr="009A0DA6">
        <w:rPr>
          <w:rFonts w:ascii="Cambria" w:eastAsia="Times New Roman" w:hAnsi="Cambria" w:cstheme="minorHAnsi"/>
          <w:spacing w:val="3"/>
        </w:rPr>
        <w:t>e</w:t>
      </w:r>
      <w:r w:rsidRPr="009A0DA6">
        <w:rPr>
          <w:rFonts w:ascii="Cambria" w:eastAsia="Times New Roman" w:hAnsi="Cambria" w:cstheme="minorHAnsi"/>
          <w:spacing w:val="-1"/>
        </w:rPr>
        <w:t>m</w:t>
      </w:r>
      <w:r w:rsidRPr="009A0DA6">
        <w:rPr>
          <w:rFonts w:ascii="Cambria" w:eastAsia="Times New Roman" w:hAnsi="Cambria" w:cstheme="minorHAnsi"/>
        </w:rPr>
        <w:t>e</w:t>
      </w:r>
      <w:r w:rsidRPr="009A0DA6">
        <w:rPr>
          <w:rFonts w:ascii="Cambria" w:eastAsia="Times New Roman" w:hAnsi="Cambria" w:cstheme="minorHAnsi"/>
          <w:spacing w:val="1"/>
        </w:rPr>
        <w:t>n</w:t>
      </w:r>
      <w:r w:rsidRPr="009A0DA6">
        <w:rPr>
          <w:rFonts w:ascii="Cambria" w:eastAsia="Times New Roman" w:hAnsi="Cambria" w:cstheme="minorHAnsi"/>
        </w:rPr>
        <w:t>ts</w:t>
      </w:r>
      <w:r w:rsidRPr="009A0DA6">
        <w:rPr>
          <w:rFonts w:ascii="Cambria" w:eastAsia="Times New Roman" w:hAnsi="Cambria" w:cstheme="minorHAnsi"/>
          <w:spacing w:val="25"/>
        </w:rPr>
        <w:t xml:space="preserve"> </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4"/>
        </w:rPr>
        <w:t>p</w:t>
      </w:r>
      <w:r w:rsidRPr="009A0DA6">
        <w:rPr>
          <w:rFonts w:ascii="Cambria" w:eastAsia="Times New Roman" w:hAnsi="Cambria" w:cstheme="minorHAnsi"/>
          <w:spacing w:val="1"/>
        </w:rPr>
        <w:t>or</w:t>
      </w:r>
      <w:r w:rsidRPr="009A0DA6">
        <w:rPr>
          <w:rFonts w:ascii="Cambria" w:eastAsia="Times New Roman" w:hAnsi="Cambria" w:cstheme="minorHAnsi"/>
        </w:rPr>
        <w:t>t</w:t>
      </w:r>
      <w:r w:rsidRPr="009A0DA6">
        <w:rPr>
          <w:rFonts w:ascii="Cambria" w:eastAsia="Times New Roman" w:hAnsi="Cambria" w:cstheme="minorHAnsi"/>
          <w:spacing w:val="29"/>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32"/>
        </w:rPr>
        <w:t xml:space="preserve"> </w:t>
      </w:r>
      <w:r w:rsidRPr="009A0DA6">
        <w:rPr>
          <w:rFonts w:ascii="Cambria" w:eastAsia="Times New Roman" w:hAnsi="Cambria" w:cstheme="minorHAnsi"/>
        </w:rPr>
        <w:t>i</w:t>
      </w:r>
      <w:r w:rsidRPr="009A0DA6">
        <w:rPr>
          <w:rFonts w:ascii="Cambria" w:eastAsia="Times New Roman" w:hAnsi="Cambria" w:cstheme="minorHAnsi"/>
          <w:spacing w:val="-1"/>
        </w:rPr>
        <w:t>n</w:t>
      </w:r>
      <w:r w:rsidRPr="009A0DA6">
        <w:rPr>
          <w:rFonts w:ascii="Cambria" w:eastAsia="Times New Roman" w:hAnsi="Cambria" w:cstheme="minorHAnsi"/>
        </w:rPr>
        <w:t>c</w:t>
      </w:r>
      <w:r w:rsidRPr="009A0DA6">
        <w:rPr>
          <w:rFonts w:ascii="Cambria" w:eastAsia="Times New Roman" w:hAnsi="Cambria" w:cstheme="minorHAnsi"/>
          <w:spacing w:val="4"/>
        </w:rPr>
        <w:t>o</w:t>
      </w:r>
      <w:r w:rsidRPr="009A0DA6">
        <w:rPr>
          <w:rFonts w:ascii="Cambria" w:eastAsia="Times New Roman" w:hAnsi="Cambria" w:cstheme="minorHAnsi"/>
          <w:spacing w:val="-1"/>
        </w:rPr>
        <w:t>m</w:t>
      </w:r>
      <w:r w:rsidRPr="009A0DA6">
        <w:rPr>
          <w:rFonts w:ascii="Cambria" w:eastAsia="Times New Roman" w:hAnsi="Cambria" w:cstheme="minorHAnsi"/>
        </w:rPr>
        <w:t>e</w:t>
      </w:r>
      <w:r w:rsidRPr="009A0DA6">
        <w:rPr>
          <w:rFonts w:ascii="Cambria" w:eastAsia="Times New Roman" w:hAnsi="Cambria" w:cstheme="minorHAnsi"/>
          <w:spacing w:val="28"/>
        </w:rPr>
        <w:t xml:space="preserve"> </w:t>
      </w:r>
      <w:r w:rsidRPr="009A0DA6">
        <w:rPr>
          <w:rFonts w:ascii="Cambria" w:eastAsia="Times New Roman" w:hAnsi="Cambria" w:cstheme="minorHAnsi"/>
          <w:spacing w:val="3"/>
        </w:rPr>
        <w:t>a</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spacing w:val="32"/>
        </w:rPr>
        <w:t xml:space="preserve"> </w:t>
      </w:r>
      <w:r w:rsidRPr="009A0DA6">
        <w:rPr>
          <w:rFonts w:ascii="Cambria" w:eastAsia="Times New Roman" w:hAnsi="Cambria" w:cstheme="minorHAnsi"/>
        </w:rPr>
        <w:t>e</w:t>
      </w:r>
      <w:r w:rsidRPr="009A0DA6">
        <w:rPr>
          <w:rFonts w:ascii="Cambria" w:eastAsia="Times New Roman" w:hAnsi="Cambria" w:cstheme="minorHAnsi"/>
          <w:spacing w:val="-1"/>
        </w:rPr>
        <w:t>x</w:t>
      </w:r>
      <w:r w:rsidRPr="009A0DA6">
        <w:rPr>
          <w:rFonts w:ascii="Cambria" w:eastAsia="Times New Roman" w:hAnsi="Cambria" w:cstheme="minorHAnsi"/>
          <w:spacing w:val="1"/>
        </w:rPr>
        <w:t>p</w:t>
      </w:r>
      <w:r w:rsidRPr="009A0DA6">
        <w:rPr>
          <w:rFonts w:ascii="Cambria" w:eastAsia="Times New Roman" w:hAnsi="Cambria" w:cstheme="minorHAnsi"/>
        </w:rPr>
        <w:t>e</w:t>
      </w:r>
      <w:r w:rsidRPr="009A0DA6">
        <w:rPr>
          <w:rFonts w:ascii="Cambria" w:eastAsia="Times New Roman" w:hAnsi="Cambria" w:cstheme="minorHAnsi"/>
          <w:spacing w:val="-1"/>
        </w:rPr>
        <w:t>n</w:t>
      </w:r>
      <w:r w:rsidRPr="009A0DA6">
        <w:rPr>
          <w:rFonts w:ascii="Cambria" w:eastAsia="Times New Roman" w:hAnsi="Cambria" w:cstheme="minorHAnsi"/>
          <w:spacing w:val="1"/>
        </w:rPr>
        <w:t>d</w:t>
      </w:r>
      <w:r w:rsidRPr="009A0DA6">
        <w:rPr>
          <w:rFonts w:ascii="Cambria" w:eastAsia="Times New Roman" w:hAnsi="Cambria" w:cstheme="minorHAnsi"/>
        </w:rPr>
        <w:t>i</w:t>
      </w:r>
      <w:r w:rsidRPr="009A0DA6">
        <w:rPr>
          <w:rFonts w:ascii="Cambria" w:eastAsia="Times New Roman" w:hAnsi="Cambria" w:cstheme="minorHAnsi"/>
          <w:spacing w:val="2"/>
        </w:rPr>
        <w:t>t</w:t>
      </w:r>
      <w:r w:rsidRPr="009A0DA6">
        <w:rPr>
          <w:rFonts w:ascii="Cambria" w:eastAsia="Times New Roman" w:hAnsi="Cambria" w:cstheme="minorHAnsi"/>
          <w:spacing w:val="-1"/>
        </w:rPr>
        <w:t>u</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25"/>
        </w:rPr>
        <w:t xml:space="preserve"> </w:t>
      </w:r>
      <w:r w:rsidRPr="009A0DA6">
        <w:rPr>
          <w:rFonts w:ascii="Cambria" w:eastAsia="Times New Roman" w:hAnsi="Cambria" w:cstheme="minorHAnsi"/>
          <w:spacing w:val="1"/>
        </w:rPr>
        <w:t>o</w:t>
      </w:r>
      <w:r w:rsidRPr="009A0DA6">
        <w:rPr>
          <w:rFonts w:ascii="Cambria" w:eastAsia="Times New Roman" w:hAnsi="Cambria" w:cstheme="minorHAnsi"/>
        </w:rPr>
        <w:t>f</w:t>
      </w:r>
      <w:r w:rsidRPr="009A0DA6">
        <w:rPr>
          <w:rFonts w:ascii="Cambria" w:eastAsia="Times New Roman" w:hAnsi="Cambria" w:cstheme="minorHAnsi"/>
          <w:spacing w:val="31"/>
        </w:rPr>
        <w:t xml:space="preserve"> </w:t>
      </w:r>
      <w:r w:rsidRPr="009A0DA6">
        <w:rPr>
          <w:rFonts w:ascii="Cambria" w:eastAsia="Times New Roman" w:hAnsi="Cambria" w:cstheme="minorHAnsi"/>
          <w:spacing w:val="2"/>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32"/>
        </w:rPr>
        <w:t xml:space="preserve"> </w:t>
      </w:r>
      <w:r w:rsidR="00336CE0" w:rsidRPr="009A0DA6">
        <w:rPr>
          <w:rFonts w:ascii="Cambria" w:eastAsia="Times New Roman" w:hAnsi="Cambria" w:cstheme="minorHAnsi"/>
          <w:spacing w:val="2"/>
        </w:rPr>
        <w:t>church</w:t>
      </w:r>
      <w:r w:rsidRPr="009A0DA6">
        <w:rPr>
          <w:rFonts w:ascii="Cambria" w:eastAsia="Times New Roman" w:hAnsi="Cambria" w:cstheme="minorHAnsi"/>
          <w:spacing w:val="27"/>
        </w:rPr>
        <w:t xml:space="preserve"> </w:t>
      </w:r>
      <w:r w:rsidRPr="009A0DA6">
        <w:rPr>
          <w:rFonts w:ascii="Cambria" w:eastAsia="Times New Roman" w:hAnsi="Cambria" w:cstheme="minorHAnsi"/>
          <w:spacing w:val="1"/>
        </w:rPr>
        <w:t>p</w:t>
      </w:r>
      <w:r w:rsidRPr="009A0DA6">
        <w:rPr>
          <w:rFonts w:ascii="Cambria" w:eastAsia="Times New Roman" w:hAnsi="Cambria" w:cstheme="minorHAnsi"/>
        </w:rPr>
        <w:t>e</w:t>
      </w:r>
      <w:r w:rsidRPr="009A0DA6">
        <w:rPr>
          <w:rFonts w:ascii="Cambria" w:eastAsia="Times New Roman" w:hAnsi="Cambria" w:cstheme="minorHAnsi"/>
          <w:spacing w:val="1"/>
        </w:rPr>
        <w:t>r</w:t>
      </w:r>
      <w:r w:rsidRPr="009A0DA6">
        <w:rPr>
          <w:rFonts w:ascii="Cambria" w:eastAsia="Times New Roman" w:hAnsi="Cambria" w:cstheme="minorHAnsi"/>
        </w:rPr>
        <w:t>ta</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rPr>
        <w:t>g</w:t>
      </w:r>
      <w:r w:rsidRPr="009A0DA6">
        <w:rPr>
          <w:rFonts w:ascii="Cambria" w:eastAsia="Times New Roman" w:hAnsi="Cambria" w:cstheme="minorHAnsi"/>
          <w:spacing w:val="27"/>
        </w:rPr>
        <w:t xml:space="preserve"> </w:t>
      </w:r>
      <w:r w:rsidRPr="009A0DA6">
        <w:rPr>
          <w:rFonts w:ascii="Cambria" w:eastAsia="Times New Roman" w:hAnsi="Cambria" w:cstheme="minorHAnsi"/>
        </w:rPr>
        <w:t>to</w:t>
      </w:r>
      <w:r w:rsidRPr="009A0DA6">
        <w:rPr>
          <w:rFonts w:ascii="Cambria" w:eastAsia="Times New Roman" w:hAnsi="Cambria" w:cstheme="minorHAnsi"/>
          <w:spacing w:val="33"/>
        </w:rPr>
        <w:t xml:space="preserve"> </w:t>
      </w:r>
      <w:r w:rsidRPr="009A0DA6">
        <w:rPr>
          <w:rFonts w:ascii="Cambria" w:eastAsia="Times New Roman" w:hAnsi="Cambria" w:cstheme="minorHAnsi"/>
        </w:rPr>
        <w:t>its</w:t>
      </w:r>
      <w:r w:rsidRPr="009A0DA6">
        <w:rPr>
          <w:rFonts w:ascii="Cambria" w:eastAsia="Times New Roman" w:hAnsi="Cambria" w:cstheme="minorHAnsi"/>
          <w:spacing w:val="31"/>
        </w:rPr>
        <w:t xml:space="preserve"> </w:t>
      </w:r>
      <w:r w:rsidRPr="009A0DA6">
        <w:rPr>
          <w:rFonts w:ascii="Cambria" w:eastAsia="Times New Roman" w:hAnsi="Cambria" w:cstheme="minorHAnsi"/>
        </w:rPr>
        <w:t>c</w:t>
      </w:r>
      <w:r w:rsidRPr="009A0DA6">
        <w:rPr>
          <w:rFonts w:ascii="Cambria" w:eastAsia="Times New Roman" w:hAnsi="Cambria" w:cstheme="minorHAnsi"/>
          <w:spacing w:val="1"/>
        </w:rPr>
        <w:t>or</w:t>
      </w:r>
      <w:r w:rsidRPr="009A0DA6">
        <w:rPr>
          <w:rFonts w:ascii="Cambria" w:eastAsia="Times New Roman" w:hAnsi="Cambria" w:cstheme="minorHAnsi"/>
        </w:rPr>
        <w:t xml:space="preserve">e </w:t>
      </w:r>
      <w:r w:rsidRPr="009A0DA6">
        <w:rPr>
          <w:rFonts w:ascii="Cambria" w:eastAsia="Times New Roman" w:hAnsi="Cambria" w:cstheme="minorHAnsi"/>
          <w:spacing w:val="1"/>
        </w:rPr>
        <w:t>o</w:t>
      </w:r>
      <w:r w:rsidRPr="009A0DA6">
        <w:rPr>
          <w:rFonts w:ascii="Cambria" w:eastAsia="Times New Roman" w:hAnsi="Cambria" w:cstheme="minorHAnsi"/>
          <w:spacing w:val="-1"/>
        </w:rPr>
        <w:t>b</w:t>
      </w:r>
      <w:r w:rsidRPr="009A0DA6">
        <w:rPr>
          <w:rFonts w:ascii="Cambria" w:eastAsia="Times New Roman" w:hAnsi="Cambria" w:cstheme="minorHAnsi"/>
          <w:spacing w:val="2"/>
        </w:rPr>
        <w:t>j</w:t>
      </w:r>
      <w:r w:rsidRPr="009A0DA6">
        <w:rPr>
          <w:rFonts w:ascii="Cambria" w:eastAsia="Times New Roman" w:hAnsi="Cambria" w:cstheme="minorHAnsi"/>
        </w:rPr>
        <w:t>ects</w:t>
      </w:r>
      <w:r w:rsidRPr="009A0DA6">
        <w:rPr>
          <w:rFonts w:ascii="Cambria" w:eastAsia="Times New Roman" w:hAnsi="Cambria" w:cstheme="minorHAnsi"/>
          <w:spacing w:val="-6"/>
        </w:rPr>
        <w:t xml:space="preserve"> </w:t>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spacing w:val="1"/>
        </w:rPr>
        <w:t xml:space="preserve"> </w:t>
      </w:r>
      <w:r w:rsidRPr="009A0DA6">
        <w:rPr>
          <w:rFonts w:ascii="Cambria" w:eastAsia="Times New Roman" w:hAnsi="Cambria" w:cstheme="minorHAnsi"/>
          <w:spacing w:val="-1"/>
        </w:rPr>
        <w:t>m</w:t>
      </w:r>
      <w:r w:rsidRPr="009A0DA6">
        <w:rPr>
          <w:rFonts w:ascii="Cambria" w:eastAsia="Times New Roman" w:hAnsi="Cambria" w:cstheme="minorHAnsi"/>
        </w:rPr>
        <w:t>i</w:t>
      </w:r>
      <w:r w:rsidRPr="009A0DA6">
        <w:rPr>
          <w:rFonts w:ascii="Cambria" w:eastAsia="Times New Roman" w:hAnsi="Cambria" w:cstheme="minorHAnsi"/>
          <w:spacing w:val="1"/>
        </w:rPr>
        <w:t>n</w:t>
      </w:r>
      <w:r w:rsidRPr="009A0DA6">
        <w:rPr>
          <w:rFonts w:ascii="Cambria" w:eastAsia="Times New Roman" w:hAnsi="Cambria" w:cstheme="minorHAnsi"/>
        </w:rPr>
        <w:t>i</w:t>
      </w:r>
      <w:r w:rsidRPr="009A0DA6">
        <w:rPr>
          <w:rFonts w:ascii="Cambria" w:eastAsia="Times New Roman" w:hAnsi="Cambria" w:cstheme="minorHAnsi"/>
          <w:spacing w:val="-1"/>
        </w:rPr>
        <w:t>s</w:t>
      </w:r>
      <w:r w:rsidRPr="009A0DA6">
        <w:rPr>
          <w:rFonts w:ascii="Cambria" w:eastAsia="Times New Roman" w:hAnsi="Cambria" w:cstheme="minorHAnsi"/>
        </w:rPr>
        <w:t>t</w:t>
      </w:r>
      <w:r w:rsidRPr="009A0DA6">
        <w:rPr>
          <w:rFonts w:ascii="Cambria" w:eastAsia="Times New Roman" w:hAnsi="Cambria" w:cstheme="minorHAnsi"/>
          <w:spacing w:val="1"/>
        </w:rPr>
        <w:t>r</w:t>
      </w:r>
      <w:r w:rsidRPr="009A0DA6">
        <w:rPr>
          <w:rFonts w:ascii="Cambria" w:eastAsia="Times New Roman" w:hAnsi="Cambria" w:cstheme="minorHAnsi"/>
        </w:rPr>
        <w:t>ie</w:t>
      </w:r>
      <w:r w:rsidRPr="009A0DA6">
        <w:rPr>
          <w:rFonts w:ascii="Cambria" w:eastAsia="Times New Roman" w:hAnsi="Cambria" w:cstheme="minorHAnsi"/>
          <w:spacing w:val="-1"/>
        </w:rPr>
        <w:t>s</w:t>
      </w:r>
      <w:r w:rsidRPr="009A0DA6">
        <w:rPr>
          <w:rFonts w:ascii="Cambria" w:eastAsia="Times New Roman" w:hAnsi="Cambria" w:cstheme="minorHAnsi"/>
        </w:rPr>
        <w:t>.</w:t>
      </w:r>
      <w:r w:rsidRPr="009A0DA6">
        <w:rPr>
          <w:rFonts w:ascii="Cambria" w:eastAsia="Times New Roman" w:hAnsi="Cambria" w:cstheme="minorHAnsi"/>
          <w:spacing w:val="-7"/>
        </w:rPr>
        <w:t xml:space="preserve"> </w:t>
      </w:r>
      <w:r w:rsidRPr="009A0DA6">
        <w:rPr>
          <w:rFonts w:ascii="Cambria" w:eastAsia="Times New Roman" w:hAnsi="Cambria" w:cstheme="minorHAnsi"/>
          <w:spacing w:val="3"/>
        </w:rPr>
        <w:t>T</w:t>
      </w:r>
      <w:r w:rsidRPr="009A0DA6">
        <w:rPr>
          <w:rFonts w:ascii="Cambria" w:eastAsia="Times New Roman" w:hAnsi="Cambria" w:cstheme="minorHAnsi"/>
          <w:spacing w:val="-1"/>
        </w:rPr>
        <w:t>h</w:t>
      </w:r>
      <w:r w:rsidRPr="009A0DA6">
        <w:rPr>
          <w:rFonts w:ascii="Cambria" w:eastAsia="Times New Roman" w:hAnsi="Cambria" w:cstheme="minorHAnsi"/>
        </w:rPr>
        <w:t xml:space="preserve">e </w:t>
      </w:r>
      <w:r w:rsidRPr="009A0DA6">
        <w:rPr>
          <w:rFonts w:ascii="Cambria" w:eastAsia="Times New Roman" w:hAnsi="Cambria" w:cstheme="minorHAnsi"/>
          <w:spacing w:val="-1"/>
        </w:rPr>
        <w:t>f</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rPr>
        <w:t>cial</w:t>
      </w:r>
      <w:r w:rsidRPr="009A0DA6">
        <w:rPr>
          <w:rFonts w:ascii="Cambria" w:eastAsia="Times New Roman" w:hAnsi="Cambria" w:cstheme="minorHAnsi"/>
          <w:spacing w:val="-7"/>
        </w:rPr>
        <w:t xml:space="preserve"> </w:t>
      </w:r>
      <w:r w:rsidRPr="009A0DA6">
        <w:rPr>
          <w:rFonts w:ascii="Cambria" w:eastAsia="Times New Roman" w:hAnsi="Cambria" w:cstheme="minorHAnsi"/>
        </w:rPr>
        <w:t>acc</w:t>
      </w:r>
      <w:r w:rsidRPr="009A0DA6">
        <w:rPr>
          <w:rFonts w:ascii="Cambria" w:eastAsia="Times New Roman" w:hAnsi="Cambria" w:cstheme="minorHAnsi"/>
          <w:spacing w:val="1"/>
        </w:rPr>
        <w:t>ou</w:t>
      </w:r>
      <w:r w:rsidRPr="009A0DA6">
        <w:rPr>
          <w:rFonts w:ascii="Cambria" w:eastAsia="Times New Roman" w:hAnsi="Cambria" w:cstheme="minorHAnsi"/>
          <w:spacing w:val="-1"/>
        </w:rPr>
        <w:t>n</w:t>
      </w:r>
      <w:r w:rsidRPr="009A0DA6">
        <w:rPr>
          <w:rFonts w:ascii="Cambria" w:eastAsia="Times New Roman" w:hAnsi="Cambria" w:cstheme="minorHAnsi"/>
          <w:spacing w:val="2"/>
        </w:rPr>
        <w:t>t</w:t>
      </w:r>
      <w:r w:rsidRPr="009A0DA6">
        <w:rPr>
          <w:rFonts w:ascii="Cambria" w:eastAsia="Times New Roman" w:hAnsi="Cambria" w:cstheme="minorHAnsi"/>
        </w:rPr>
        <w:t>s</w:t>
      </w:r>
      <w:r w:rsidRPr="009A0DA6">
        <w:rPr>
          <w:rFonts w:ascii="Cambria" w:eastAsia="Times New Roman" w:hAnsi="Cambria" w:cstheme="minorHAnsi"/>
          <w:spacing w:val="-7"/>
        </w:rPr>
        <w:t xml:space="preserve"> </w:t>
      </w:r>
      <w:r w:rsidRPr="009A0DA6">
        <w:rPr>
          <w:rFonts w:ascii="Cambria" w:eastAsia="Times New Roman" w:hAnsi="Cambria" w:cstheme="minorHAnsi"/>
        </w:rPr>
        <w:t>al</w:t>
      </w:r>
      <w:r w:rsidRPr="009A0DA6">
        <w:rPr>
          <w:rFonts w:ascii="Cambria" w:eastAsia="Times New Roman" w:hAnsi="Cambria" w:cstheme="minorHAnsi"/>
          <w:spacing w:val="-1"/>
        </w:rPr>
        <w:t>s</w:t>
      </w:r>
      <w:r w:rsidRPr="009A0DA6">
        <w:rPr>
          <w:rFonts w:ascii="Cambria" w:eastAsia="Times New Roman" w:hAnsi="Cambria" w:cstheme="minorHAnsi"/>
        </w:rPr>
        <w:t>o</w:t>
      </w:r>
      <w:r w:rsidRPr="009A0DA6">
        <w:rPr>
          <w:rFonts w:ascii="Cambria" w:eastAsia="Times New Roman" w:hAnsi="Cambria" w:cstheme="minorHAnsi"/>
          <w:spacing w:val="-1"/>
        </w:rPr>
        <w:t xml:space="preserve"> </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rPr>
        <w:t>c</w:t>
      </w:r>
      <w:r w:rsidRPr="009A0DA6">
        <w:rPr>
          <w:rFonts w:ascii="Cambria" w:eastAsia="Times New Roman" w:hAnsi="Cambria" w:cstheme="minorHAnsi"/>
          <w:spacing w:val="2"/>
        </w:rPr>
        <w:t>l</w:t>
      </w:r>
      <w:r w:rsidRPr="009A0DA6">
        <w:rPr>
          <w:rFonts w:ascii="Cambria" w:eastAsia="Times New Roman" w:hAnsi="Cambria" w:cstheme="minorHAnsi"/>
          <w:spacing w:val="-1"/>
        </w:rPr>
        <w:t>u</w:t>
      </w:r>
      <w:r w:rsidRPr="009A0DA6">
        <w:rPr>
          <w:rFonts w:ascii="Cambria" w:eastAsia="Times New Roman" w:hAnsi="Cambria" w:cstheme="minorHAnsi"/>
          <w:spacing w:val="1"/>
        </w:rPr>
        <w:t>d</w:t>
      </w:r>
      <w:r w:rsidRPr="009A0DA6">
        <w:rPr>
          <w:rFonts w:ascii="Cambria" w:eastAsia="Times New Roman" w:hAnsi="Cambria" w:cstheme="minorHAnsi"/>
        </w:rPr>
        <w:t>e</w:t>
      </w:r>
      <w:r w:rsidRPr="009A0DA6">
        <w:rPr>
          <w:rFonts w:ascii="Cambria" w:eastAsia="Times New Roman" w:hAnsi="Cambria" w:cstheme="minorHAnsi"/>
          <w:spacing w:val="-5"/>
        </w:rPr>
        <w:t xml:space="preserve"> </w:t>
      </w:r>
      <w:r w:rsidRPr="009A0DA6">
        <w:rPr>
          <w:rFonts w:ascii="Cambria" w:eastAsia="Times New Roman" w:hAnsi="Cambria" w:cstheme="minorHAnsi"/>
          <w:spacing w:val="2"/>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1"/>
        </w:rPr>
        <w:t xml:space="preserve"> </w:t>
      </w:r>
      <w:r w:rsidRPr="009A0DA6">
        <w:rPr>
          <w:rFonts w:ascii="Cambria" w:eastAsia="Times New Roman" w:hAnsi="Cambria" w:cstheme="minorHAnsi"/>
        </w:rPr>
        <w:t>a</w:t>
      </w:r>
      <w:r w:rsidRPr="009A0DA6">
        <w:rPr>
          <w:rFonts w:ascii="Cambria" w:eastAsia="Times New Roman" w:hAnsi="Cambria" w:cstheme="minorHAnsi"/>
          <w:spacing w:val="-1"/>
        </w:rPr>
        <w:t>ss</w:t>
      </w:r>
      <w:r w:rsidRPr="009A0DA6">
        <w:rPr>
          <w:rFonts w:ascii="Cambria" w:eastAsia="Times New Roman" w:hAnsi="Cambria" w:cstheme="minorHAnsi"/>
        </w:rPr>
        <w:t>e</w:t>
      </w:r>
      <w:r w:rsidRPr="009A0DA6">
        <w:rPr>
          <w:rFonts w:ascii="Cambria" w:eastAsia="Times New Roman" w:hAnsi="Cambria" w:cstheme="minorHAnsi"/>
          <w:spacing w:val="2"/>
        </w:rPr>
        <w:t>t</w:t>
      </w:r>
      <w:r w:rsidRPr="009A0DA6">
        <w:rPr>
          <w:rFonts w:ascii="Cambria" w:eastAsia="Times New Roman" w:hAnsi="Cambria" w:cstheme="minorHAnsi"/>
          <w:spacing w:val="-1"/>
        </w:rPr>
        <w:t>s</w:t>
      </w:r>
      <w:r w:rsidRPr="009A0DA6">
        <w:rPr>
          <w:rFonts w:ascii="Cambria" w:eastAsia="Times New Roman" w:hAnsi="Cambria" w:cstheme="minorHAnsi"/>
        </w:rPr>
        <w:t>,</w:t>
      </w:r>
      <w:r w:rsidRPr="009A0DA6">
        <w:rPr>
          <w:rFonts w:ascii="Cambria" w:eastAsia="Times New Roman" w:hAnsi="Cambria" w:cstheme="minorHAnsi"/>
          <w:spacing w:val="-4"/>
        </w:rPr>
        <w:t xml:space="preserve"> </w:t>
      </w:r>
      <w:r w:rsidRPr="009A0DA6">
        <w:rPr>
          <w:rFonts w:ascii="Cambria" w:eastAsia="Times New Roman" w:hAnsi="Cambria" w:cstheme="minorHAnsi"/>
        </w:rPr>
        <w:t>lia</w:t>
      </w:r>
      <w:r w:rsidRPr="009A0DA6">
        <w:rPr>
          <w:rFonts w:ascii="Cambria" w:eastAsia="Times New Roman" w:hAnsi="Cambria" w:cstheme="minorHAnsi"/>
          <w:spacing w:val="1"/>
        </w:rPr>
        <w:t>b</w:t>
      </w:r>
      <w:r w:rsidRPr="009A0DA6">
        <w:rPr>
          <w:rFonts w:ascii="Cambria" w:eastAsia="Times New Roman" w:hAnsi="Cambria" w:cstheme="minorHAnsi"/>
        </w:rPr>
        <w:t>iliti</w:t>
      </w:r>
      <w:r w:rsidRPr="009A0DA6">
        <w:rPr>
          <w:rFonts w:ascii="Cambria" w:eastAsia="Times New Roman" w:hAnsi="Cambria" w:cstheme="minorHAnsi"/>
          <w:spacing w:val="3"/>
        </w:rPr>
        <w:t>e</w:t>
      </w:r>
      <w:r w:rsidRPr="009A0DA6">
        <w:rPr>
          <w:rFonts w:ascii="Cambria" w:eastAsia="Times New Roman" w:hAnsi="Cambria" w:cstheme="minorHAnsi"/>
        </w:rPr>
        <w:t>s</w:t>
      </w:r>
      <w:r w:rsidRPr="009A0DA6">
        <w:rPr>
          <w:rFonts w:ascii="Cambria" w:eastAsia="Times New Roman" w:hAnsi="Cambria" w:cstheme="minorHAnsi"/>
          <w:spacing w:val="-7"/>
        </w:rPr>
        <w:t xml:space="preserve"> </w:t>
      </w:r>
      <w:r w:rsidRPr="009A0DA6">
        <w:rPr>
          <w:rFonts w:ascii="Cambria" w:eastAsia="Times New Roman" w:hAnsi="Cambria" w:cstheme="minorHAnsi"/>
          <w:spacing w:val="3"/>
        </w:rPr>
        <w:t>a</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spacing w:val="-1"/>
        </w:rPr>
        <w:t xml:space="preserve"> </w:t>
      </w:r>
      <w:r w:rsidRPr="009A0DA6">
        <w:rPr>
          <w:rFonts w:ascii="Cambria" w:eastAsia="Times New Roman" w:hAnsi="Cambria" w:cstheme="minorHAnsi"/>
        </w:rPr>
        <w:t>e</w:t>
      </w:r>
      <w:r w:rsidRPr="009A0DA6">
        <w:rPr>
          <w:rFonts w:ascii="Cambria" w:eastAsia="Times New Roman" w:hAnsi="Cambria" w:cstheme="minorHAnsi"/>
          <w:spacing w:val="1"/>
        </w:rPr>
        <w:t>q</w:t>
      </w:r>
      <w:r w:rsidRPr="009A0DA6">
        <w:rPr>
          <w:rFonts w:ascii="Cambria" w:eastAsia="Times New Roman" w:hAnsi="Cambria" w:cstheme="minorHAnsi"/>
          <w:spacing w:val="-1"/>
        </w:rPr>
        <w:t>u</w:t>
      </w:r>
      <w:r w:rsidRPr="009A0DA6">
        <w:rPr>
          <w:rFonts w:ascii="Cambria" w:eastAsia="Times New Roman" w:hAnsi="Cambria" w:cstheme="minorHAnsi"/>
        </w:rPr>
        <w:t>i</w:t>
      </w:r>
      <w:r w:rsidRPr="009A0DA6">
        <w:rPr>
          <w:rFonts w:ascii="Cambria" w:eastAsia="Times New Roman" w:hAnsi="Cambria" w:cstheme="minorHAnsi"/>
          <w:spacing w:val="2"/>
        </w:rPr>
        <w:t>t</w:t>
      </w:r>
      <w:r w:rsidRPr="009A0DA6">
        <w:rPr>
          <w:rFonts w:ascii="Cambria" w:eastAsia="Times New Roman" w:hAnsi="Cambria" w:cstheme="minorHAnsi"/>
        </w:rPr>
        <w:t>y</w:t>
      </w:r>
      <w:r w:rsidRPr="009A0DA6">
        <w:rPr>
          <w:rFonts w:ascii="Cambria" w:eastAsia="Times New Roman" w:hAnsi="Cambria" w:cstheme="minorHAnsi"/>
          <w:spacing w:val="-3"/>
        </w:rPr>
        <w:t xml:space="preserve"> </w:t>
      </w:r>
      <w:r w:rsidRPr="009A0DA6">
        <w:rPr>
          <w:rFonts w:ascii="Cambria" w:eastAsia="Times New Roman" w:hAnsi="Cambria" w:cstheme="minorHAnsi"/>
          <w:spacing w:val="1"/>
        </w:rPr>
        <w:t>o</w:t>
      </w:r>
      <w:r w:rsidRPr="009A0DA6">
        <w:rPr>
          <w:rFonts w:ascii="Cambria" w:eastAsia="Times New Roman" w:hAnsi="Cambria" w:cstheme="minorHAnsi"/>
        </w:rPr>
        <w:t>f</w:t>
      </w:r>
      <w:r w:rsidRPr="009A0DA6">
        <w:rPr>
          <w:rFonts w:ascii="Cambria" w:eastAsia="Times New Roman" w:hAnsi="Cambria" w:cstheme="minorHAnsi"/>
          <w:spacing w:val="-3"/>
        </w:rPr>
        <w:t xml:space="preserve"> </w:t>
      </w:r>
      <w:r w:rsidRPr="009A0DA6">
        <w:rPr>
          <w:rFonts w:ascii="Cambria" w:eastAsia="Times New Roman" w:hAnsi="Cambria" w:cstheme="minorHAnsi"/>
          <w:spacing w:val="-1"/>
        </w:rPr>
        <w:t>v</w:t>
      </w:r>
      <w:r w:rsidRPr="009A0DA6">
        <w:rPr>
          <w:rFonts w:ascii="Cambria" w:eastAsia="Times New Roman" w:hAnsi="Cambria" w:cstheme="minorHAnsi"/>
        </w:rPr>
        <w:t>a</w:t>
      </w:r>
      <w:r w:rsidRPr="009A0DA6">
        <w:rPr>
          <w:rFonts w:ascii="Cambria" w:eastAsia="Times New Roman" w:hAnsi="Cambria" w:cstheme="minorHAnsi"/>
          <w:spacing w:val="1"/>
        </w:rPr>
        <w:t>r</w:t>
      </w:r>
      <w:r w:rsidRPr="009A0DA6">
        <w:rPr>
          <w:rFonts w:ascii="Cambria" w:eastAsia="Times New Roman" w:hAnsi="Cambria" w:cstheme="minorHAnsi"/>
        </w:rPr>
        <w:t>i</w:t>
      </w:r>
      <w:r w:rsidRPr="009A0DA6">
        <w:rPr>
          <w:rFonts w:ascii="Cambria" w:eastAsia="Times New Roman" w:hAnsi="Cambria" w:cstheme="minorHAnsi"/>
          <w:spacing w:val="4"/>
        </w:rPr>
        <w:t>o</w:t>
      </w:r>
      <w:r w:rsidRPr="009A0DA6">
        <w:rPr>
          <w:rFonts w:ascii="Cambria" w:eastAsia="Times New Roman" w:hAnsi="Cambria" w:cstheme="minorHAnsi"/>
          <w:spacing w:val="-1"/>
        </w:rPr>
        <w:t>u</w:t>
      </w:r>
      <w:r w:rsidRPr="009A0DA6">
        <w:rPr>
          <w:rFonts w:ascii="Cambria" w:eastAsia="Times New Roman" w:hAnsi="Cambria" w:cstheme="minorHAnsi"/>
        </w:rPr>
        <w:t xml:space="preserve">s </w:t>
      </w:r>
      <w:r w:rsidR="006862AD" w:rsidRPr="009A0DA6">
        <w:rPr>
          <w:rFonts w:ascii="Cambria" w:eastAsia="Times New Roman" w:hAnsi="Cambria" w:cstheme="minorHAnsi"/>
          <w:spacing w:val="2"/>
        </w:rPr>
        <w:t>boards</w:t>
      </w:r>
      <w:r w:rsidRPr="009A0DA6">
        <w:rPr>
          <w:rFonts w:ascii="Cambria" w:eastAsia="Times New Roman" w:hAnsi="Cambria" w:cstheme="minorHAnsi"/>
        </w:rPr>
        <w:t>,</w:t>
      </w:r>
      <w:r w:rsidRPr="009A0DA6">
        <w:rPr>
          <w:rFonts w:ascii="Cambria" w:eastAsia="Times New Roman" w:hAnsi="Cambria" w:cstheme="minorHAnsi"/>
          <w:spacing w:val="-5"/>
        </w:rPr>
        <w:t xml:space="preserve"> </w:t>
      </w:r>
      <w:r w:rsidRPr="009A0DA6">
        <w:rPr>
          <w:rFonts w:ascii="Cambria" w:eastAsia="Times New Roman" w:hAnsi="Cambria" w:cstheme="minorHAnsi"/>
        </w:rPr>
        <w:t>De</w:t>
      </w:r>
      <w:r w:rsidRPr="009A0DA6">
        <w:rPr>
          <w:rFonts w:ascii="Cambria" w:eastAsia="Times New Roman" w:hAnsi="Cambria" w:cstheme="minorHAnsi"/>
          <w:spacing w:val="1"/>
        </w:rPr>
        <w:t>p</w:t>
      </w:r>
      <w:r w:rsidRPr="009A0DA6">
        <w:rPr>
          <w:rFonts w:ascii="Cambria" w:eastAsia="Times New Roman" w:hAnsi="Cambria" w:cstheme="minorHAnsi"/>
          <w:spacing w:val="-2"/>
        </w:rPr>
        <w:t>a</w:t>
      </w:r>
      <w:r w:rsidRPr="009A0DA6">
        <w:rPr>
          <w:rFonts w:ascii="Cambria" w:eastAsia="Times New Roman" w:hAnsi="Cambria" w:cstheme="minorHAnsi"/>
          <w:spacing w:val="1"/>
        </w:rPr>
        <w:t>r</w:t>
      </w:r>
      <w:r w:rsidRPr="009A0DA6">
        <w:rPr>
          <w:rFonts w:ascii="Cambria" w:eastAsia="Times New Roman" w:hAnsi="Cambria" w:cstheme="minorHAnsi"/>
        </w:rPr>
        <w:t>t</w:t>
      </w:r>
      <w:r w:rsidRPr="009A0DA6">
        <w:rPr>
          <w:rFonts w:ascii="Cambria" w:eastAsia="Times New Roman" w:hAnsi="Cambria" w:cstheme="minorHAnsi"/>
          <w:spacing w:val="-4"/>
        </w:rPr>
        <w:t>m</w:t>
      </w:r>
      <w:r w:rsidRPr="009A0DA6">
        <w:rPr>
          <w:rFonts w:ascii="Cambria" w:eastAsia="Times New Roman" w:hAnsi="Cambria" w:cstheme="minorHAnsi"/>
          <w:spacing w:val="3"/>
        </w:rPr>
        <w:t>e</w:t>
      </w:r>
      <w:r w:rsidRPr="009A0DA6">
        <w:rPr>
          <w:rFonts w:ascii="Cambria" w:eastAsia="Times New Roman" w:hAnsi="Cambria" w:cstheme="minorHAnsi"/>
          <w:spacing w:val="-1"/>
        </w:rPr>
        <w:t>n</w:t>
      </w:r>
      <w:r w:rsidRPr="009A0DA6">
        <w:rPr>
          <w:rFonts w:ascii="Cambria" w:eastAsia="Times New Roman" w:hAnsi="Cambria" w:cstheme="minorHAnsi"/>
          <w:spacing w:val="2"/>
        </w:rPr>
        <w:t>t</w:t>
      </w:r>
      <w:r w:rsidRPr="009A0DA6">
        <w:rPr>
          <w:rFonts w:ascii="Cambria" w:eastAsia="Times New Roman" w:hAnsi="Cambria" w:cstheme="minorHAnsi"/>
        </w:rPr>
        <w:t>s</w:t>
      </w:r>
      <w:r w:rsidRPr="009A0DA6">
        <w:rPr>
          <w:rFonts w:ascii="Cambria" w:eastAsia="Times New Roman" w:hAnsi="Cambria" w:cstheme="minorHAnsi"/>
          <w:spacing w:val="-10"/>
        </w:rPr>
        <w:t xml:space="preserve"> </w:t>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spacing w:val="-1"/>
        </w:rPr>
        <w:t xml:space="preserve"> </w:t>
      </w:r>
      <w:r w:rsidRPr="009A0DA6">
        <w:rPr>
          <w:rFonts w:ascii="Cambria" w:eastAsia="Times New Roman" w:hAnsi="Cambria" w:cstheme="minorHAnsi"/>
        </w:rPr>
        <w:t>act</w:t>
      </w:r>
      <w:r w:rsidRPr="009A0DA6">
        <w:rPr>
          <w:rFonts w:ascii="Cambria" w:eastAsia="Times New Roman" w:hAnsi="Cambria" w:cstheme="minorHAnsi"/>
          <w:spacing w:val="2"/>
        </w:rPr>
        <w:t>i</w:t>
      </w:r>
      <w:r w:rsidRPr="009A0DA6">
        <w:rPr>
          <w:rFonts w:ascii="Cambria" w:eastAsia="Times New Roman" w:hAnsi="Cambria" w:cstheme="minorHAnsi"/>
          <w:spacing w:val="-1"/>
        </w:rPr>
        <w:t>v</w:t>
      </w:r>
      <w:r w:rsidRPr="009A0DA6">
        <w:rPr>
          <w:rFonts w:ascii="Cambria" w:eastAsia="Times New Roman" w:hAnsi="Cambria" w:cstheme="minorHAnsi"/>
        </w:rPr>
        <w:t>iti</w:t>
      </w:r>
      <w:r w:rsidRPr="009A0DA6">
        <w:rPr>
          <w:rFonts w:ascii="Cambria" w:eastAsia="Times New Roman" w:hAnsi="Cambria" w:cstheme="minorHAnsi"/>
          <w:spacing w:val="3"/>
        </w:rPr>
        <w:t>e</w:t>
      </w:r>
      <w:r w:rsidRPr="009A0DA6">
        <w:rPr>
          <w:rFonts w:ascii="Cambria" w:eastAsia="Times New Roman" w:hAnsi="Cambria" w:cstheme="minorHAnsi"/>
        </w:rPr>
        <w:t>s</w:t>
      </w:r>
      <w:r w:rsidRPr="009A0DA6">
        <w:rPr>
          <w:rFonts w:ascii="Cambria" w:eastAsia="Times New Roman" w:hAnsi="Cambria" w:cstheme="minorHAnsi"/>
          <w:spacing w:val="-7"/>
        </w:rPr>
        <w:t xml:space="preserve"> </w:t>
      </w:r>
      <w:r w:rsidRPr="009A0DA6">
        <w:rPr>
          <w:rFonts w:ascii="Cambria" w:eastAsia="Times New Roman" w:hAnsi="Cambria" w:cstheme="minorHAnsi"/>
          <w:spacing w:val="1"/>
        </w:rPr>
        <w:t>o</w:t>
      </w:r>
      <w:r w:rsidRPr="009A0DA6">
        <w:rPr>
          <w:rFonts w:ascii="Cambria" w:eastAsia="Times New Roman" w:hAnsi="Cambria" w:cstheme="minorHAnsi"/>
        </w:rPr>
        <w:t>f</w:t>
      </w:r>
      <w:r w:rsidRPr="009A0DA6">
        <w:rPr>
          <w:rFonts w:ascii="Cambria" w:eastAsia="Times New Roman" w:hAnsi="Cambria" w:cstheme="minorHAnsi"/>
          <w:spacing w:val="-3"/>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1"/>
        </w:rPr>
        <w:t xml:space="preserve"> </w:t>
      </w:r>
      <w:r w:rsidR="00336CE0" w:rsidRPr="009A0DA6">
        <w:rPr>
          <w:rFonts w:ascii="Cambria" w:eastAsia="Times New Roman" w:hAnsi="Cambria" w:cstheme="minorHAnsi"/>
          <w:spacing w:val="2"/>
        </w:rPr>
        <w:t>church</w:t>
      </w:r>
      <w:r w:rsidRPr="009A0DA6">
        <w:rPr>
          <w:rFonts w:ascii="Cambria" w:eastAsia="Times New Roman" w:hAnsi="Cambria" w:cstheme="minorHAnsi"/>
          <w:spacing w:val="-7"/>
        </w:rPr>
        <w:t xml:space="preserve"> </w:t>
      </w:r>
      <w:r w:rsidRPr="009A0DA6">
        <w:rPr>
          <w:rFonts w:ascii="Cambria" w:eastAsia="Times New Roman" w:hAnsi="Cambria" w:cstheme="minorHAnsi"/>
        </w:rPr>
        <w:t>i</w:t>
      </w:r>
      <w:r w:rsidRPr="009A0DA6">
        <w:rPr>
          <w:rFonts w:ascii="Cambria" w:eastAsia="Times New Roman" w:hAnsi="Cambria" w:cstheme="minorHAnsi"/>
          <w:spacing w:val="-1"/>
        </w:rPr>
        <w:t>n</w:t>
      </w:r>
      <w:r w:rsidRPr="009A0DA6">
        <w:rPr>
          <w:rFonts w:ascii="Cambria" w:eastAsia="Times New Roman" w:hAnsi="Cambria" w:cstheme="minorHAnsi"/>
        </w:rPr>
        <w:t>c</w:t>
      </w:r>
      <w:r w:rsidRPr="009A0DA6">
        <w:rPr>
          <w:rFonts w:ascii="Cambria" w:eastAsia="Times New Roman" w:hAnsi="Cambria" w:cstheme="minorHAnsi"/>
          <w:spacing w:val="2"/>
        </w:rPr>
        <w:t>l</w:t>
      </w:r>
      <w:r w:rsidRPr="009A0DA6">
        <w:rPr>
          <w:rFonts w:ascii="Cambria" w:eastAsia="Times New Roman" w:hAnsi="Cambria" w:cstheme="minorHAnsi"/>
          <w:spacing w:val="-1"/>
        </w:rPr>
        <w:t>u</w:t>
      </w:r>
      <w:r w:rsidRPr="009A0DA6">
        <w:rPr>
          <w:rFonts w:ascii="Cambria" w:eastAsia="Times New Roman" w:hAnsi="Cambria" w:cstheme="minorHAnsi"/>
          <w:spacing w:val="1"/>
        </w:rPr>
        <w:t>d</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rPr>
        <w:t>g</w:t>
      </w:r>
      <w:r w:rsidRPr="009A0DA6">
        <w:rPr>
          <w:rFonts w:ascii="Cambria" w:eastAsia="Times New Roman" w:hAnsi="Cambria" w:cstheme="minorHAnsi"/>
          <w:spacing w:val="-6"/>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1"/>
        </w:rPr>
        <w:t xml:space="preserve"> f</w:t>
      </w:r>
      <w:r w:rsidRPr="009A0DA6">
        <w:rPr>
          <w:rFonts w:ascii="Cambria" w:eastAsia="Times New Roman" w:hAnsi="Cambria" w:cstheme="minorHAnsi"/>
          <w:spacing w:val="1"/>
        </w:rPr>
        <w:t>o</w:t>
      </w:r>
      <w:r w:rsidRPr="009A0DA6">
        <w:rPr>
          <w:rFonts w:ascii="Cambria" w:eastAsia="Times New Roman" w:hAnsi="Cambria" w:cstheme="minorHAnsi"/>
        </w:rPr>
        <w:t>ll</w:t>
      </w:r>
      <w:r w:rsidRPr="009A0DA6">
        <w:rPr>
          <w:rFonts w:ascii="Cambria" w:eastAsia="Times New Roman" w:hAnsi="Cambria" w:cstheme="minorHAnsi"/>
          <w:spacing w:val="4"/>
        </w:rPr>
        <w:t>o</w:t>
      </w:r>
      <w:r w:rsidRPr="009A0DA6">
        <w:rPr>
          <w:rFonts w:ascii="Cambria" w:eastAsia="Times New Roman" w:hAnsi="Cambria" w:cstheme="minorHAnsi"/>
          <w:spacing w:val="-2"/>
        </w:rPr>
        <w:t>w</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spacing w:val="-1"/>
        </w:rPr>
        <w:t>g</w:t>
      </w:r>
      <w:r w:rsidRPr="009A0DA6">
        <w:rPr>
          <w:rFonts w:ascii="Cambria" w:eastAsia="Times New Roman" w:hAnsi="Cambria" w:cstheme="minorHAnsi"/>
        </w:rPr>
        <w:t>:</w:t>
      </w:r>
    </w:p>
    <w:p w14:paraId="3AD5D065" w14:textId="77777777" w:rsidR="00BA4592" w:rsidRPr="009A0DA6" w:rsidRDefault="00BA4592" w:rsidP="00F55252">
      <w:pPr>
        <w:pStyle w:val="ListParagraph"/>
        <w:widowControl w:val="0"/>
        <w:numPr>
          <w:ilvl w:val="0"/>
          <w:numId w:val="274"/>
        </w:numPr>
        <w:tabs>
          <w:tab w:val="center" w:pos="4394"/>
          <w:tab w:val="right" w:pos="6095"/>
          <w:tab w:val="right" w:pos="7371"/>
          <w:tab w:val="right" w:pos="8647"/>
        </w:tabs>
        <w:spacing w:before="120" w:after="120" w:line="240" w:lineRule="auto"/>
        <w:ind w:left="567" w:right="-51" w:hanging="538"/>
        <w:rPr>
          <w:rFonts w:ascii="Cambria" w:eastAsia="Times New Roman" w:hAnsi="Cambria" w:cstheme="minorHAnsi"/>
        </w:rPr>
      </w:pPr>
      <w:r w:rsidRPr="009A0DA6">
        <w:rPr>
          <w:rFonts w:ascii="Cambria" w:eastAsia="Times New Roman" w:hAnsi="Cambria" w:cstheme="minorHAnsi"/>
          <w:spacing w:val="1"/>
        </w:rPr>
        <w:t>I</w:t>
      </w:r>
      <w:r w:rsidRPr="009A0DA6">
        <w:rPr>
          <w:rFonts w:ascii="Cambria" w:eastAsia="Times New Roman" w:hAnsi="Cambria" w:cstheme="minorHAnsi"/>
          <w:spacing w:val="-1"/>
        </w:rPr>
        <w:t>n</w:t>
      </w:r>
      <w:r w:rsidRPr="009A0DA6">
        <w:rPr>
          <w:rFonts w:ascii="Cambria" w:eastAsia="Times New Roman" w:hAnsi="Cambria" w:cstheme="minorHAnsi"/>
        </w:rPr>
        <w:t>te</w:t>
      </w:r>
      <w:r w:rsidRPr="009A0DA6">
        <w:rPr>
          <w:rFonts w:ascii="Cambria" w:eastAsia="Times New Roman" w:hAnsi="Cambria" w:cstheme="minorHAnsi"/>
          <w:spacing w:val="1"/>
        </w:rPr>
        <w:t>r</w:t>
      </w:r>
      <w:r w:rsidRPr="009A0DA6">
        <w:rPr>
          <w:rFonts w:ascii="Cambria" w:eastAsia="Times New Roman" w:hAnsi="Cambria" w:cstheme="minorHAnsi"/>
          <w:spacing w:val="-1"/>
        </w:rPr>
        <w:t>n</w:t>
      </w:r>
      <w:r w:rsidRPr="009A0DA6">
        <w:rPr>
          <w:rFonts w:ascii="Cambria" w:eastAsia="Times New Roman" w:hAnsi="Cambria" w:cstheme="minorHAnsi"/>
        </w:rPr>
        <w:t>ati</w:t>
      </w:r>
      <w:r w:rsidRPr="009A0DA6">
        <w:rPr>
          <w:rFonts w:ascii="Cambria" w:eastAsia="Times New Roman" w:hAnsi="Cambria" w:cstheme="minorHAnsi"/>
          <w:spacing w:val="4"/>
        </w:rPr>
        <w:t>o</w:t>
      </w:r>
      <w:r w:rsidRPr="009A0DA6">
        <w:rPr>
          <w:rFonts w:ascii="Cambria" w:eastAsia="Times New Roman" w:hAnsi="Cambria" w:cstheme="minorHAnsi"/>
          <w:spacing w:val="-1"/>
        </w:rPr>
        <w:t>n</w:t>
      </w:r>
      <w:r w:rsidRPr="009A0DA6">
        <w:rPr>
          <w:rFonts w:ascii="Cambria" w:eastAsia="Times New Roman" w:hAnsi="Cambria" w:cstheme="minorHAnsi"/>
        </w:rPr>
        <w:t>al</w:t>
      </w:r>
      <w:r w:rsidRPr="009A0DA6">
        <w:rPr>
          <w:rFonts w:ascii="Cambria" w:eastAsia="Times New Roman" w:hAnsi="Cambria" w:cstheme="minorHAnsi"/>
          <w:spacing w:val="-10"/>
        </w:rPr>
        <w:t xml:space="preserve"> </w:t>
      </w:r>
      <w:r w:rsidRPr="009A0DA6">
        <w:rPr>
          <w:rFonts w:ascii="Cambria" w:eastAsia="Times New Roman" w:hAnsi="Cambria" w:cstheme="minorHAnsi"/>
          <w:spacing w:val="1"/>
        </w:rPr>
        <w:t>M</w:t>
      </w:r>
      <w:r w:rsidRPr="009A0DA6">
        <w:rPr>
          <w:rFonts w:ascii="Cambria" w:eastAsia="Times New Roman" w:hAnsi="Cambria" w:cstheme="minorHAnsi"/>
        </w:rPr>
        <w:t>i</w:t>
      </w:r>
      <w:r w:rsidRPr="009A0DA6">
        <w:rPr>
          <w:rFonts w:ascii="Cambria" w:eastAsia="Times New Roman" w:hAnsi="Cambria" w:cstheme="minorHAnsi"/>
          <w:spacing w:val="2"/>
        </w:rPr>
        <w:t>s</w:t>
      </w:r>
      <w:r w:rsidRPr="009A0DA6">
        <w:rPr>
          <w:rFonts w:ascii="Cambria" w:eastAsia="Times New Roman" w:hAnsi="Cambria" w:cstheme="minorHAnsi"/>
          <w:spacing w:val="-1"/>
        </w:rPr>
        <w:t>s</w:t>
      </w:r>
      <w:r w:rsidRPr="009A0DA6">
        <w:rPr>
          <w:rFonts w:ascii="Cambria" w:eastAsia="Times New Roman" w:hAnsi="Cambria" w:cstheme="minorHAnsi"/>
        </w:rPr>
        <w:t>i</w:t>
      </w:r>
      <w:r w:rsidRPr="009A0DA6">
        <w:rPr>
          <w:rFonts w:ascii="Cambria" w:eastAsia="Times New Roman" w:hAnsi="Cambria" w:cstheme="minorHAnsi"/>
          <w:spacing w:val="1"/>
        </w:rPr>
        <w:t>o</w:t>
      </w:r>
      <w:r w:rsidRPr="009A0DA6">
        <w:rPr>
          <w:rFonts w:ascii="Cambria" w:eastAsia="Times New Roman" w:hAnsi="Cambria" w:cstheme="minorHAnsi"/>
        </w:rPr>
        <w:t>n</w:t>
      </w:r>
    </w:p>
    <w:p w14:paraId="37A88F87" w14:textId="77777777" w:rsidR="00BA4592" w:rsidRPr="009A0DA6" w:rsidRDefault="00BA4592" w:rsidP="00F55252">
      <w:pPr>
        <w:pStyle w:val="ListParagraph"/>
        <w:widowControl w:val="0"/>
        <w:numPr>
          <w:ilvl w:val="0"/>
          <w:numId w:val="274"/>
        </w:numPr>
        <w:tabs>
          <w:tab w:val="center" w:pos="4394"/>
          <w:tab w:val="right" w:pos="6095"/>
          <w:tab w:val="right" w:pos="7371"/>
          <w:tab w:val="right" w:pos="8647"/>
        </w:tabs>
        <w:spacing w:before="120" w:after="120" w:line="240" w:lineRule="auto"/>
        <w:ind w:left="567" w:right="-51" w:hanging="538"/>
        <w:rPr>
          <w:rFonts w:ascii="Cambria" w:eastAsia="Times New Roman" w:hAnsi="Cambria" w:cstheme="minorHAnsi"/>
        </w:rPr>
      </w:pPr>
      <w:r w:rsidRPr="009A0DA6">
        <w:rPr>
          <w:rFonts w:ascii="Cambria" w:eastAsia="Times New Roman" w:hAnsi="Cambria" w:cstheme="minorHAnsi"/>
          <w:spacing w:val="-2"/>
        </w:rPr>
        <w:t>L</w:t>
      </w:r>
      <w:r w:rsidRPr="009A0DA6">
        <w:rPr>
          <w:rFonts w:ascii="Cambria" w:eastAsia="Times New Roman" w:hAnsi="Cambria" w:cstheme="minorHAnsi"/>
          <w:spacing w:val="1"/>
        </w:rPr>
        <w:t>o</w:t>
      </w:r>
      <w:r w:rsidRPr="009A0DA6">
        <w:rPr>
          <w:rFonts w:ascii="Cambria" w:eastAsia="Times New Roman" w:hAnsi="Cambria" w:cstheme="minorHAnsi"/>
        </w:rPr>
        <w:t>cal</w:t>
      </w:r>
      <w:r w:rsidRPr="009A0DA6">
        <w:rPr>
          <w:rFonts w:ascii="Cambria" w:eastAsia="Times New Roman" w:hAnsi="Cambria" w:cstheme="minorHAnsi"/>
          <w:spacing w:val="-5"/>
        </w:rPr>
        <w:t xml:space="preserve"> </w:t>
      </w:r>
      <w:r w:rsidRPr="009A0DA6">
        <w:rPr>
          <w:rFonts w:ascii="Cambria" w:eastAsia="Times New Roman" w:hAnsi="Cambria" w:cstheme="minorHAnsi"/>
          <w:spacing w:val="1"/>
        </w:rPr>
        <w:t>M</w:t>
      </w:r>
      <w:r w:rsidRPr="009A0DA6">
        <w:rPr>
          <w:rFonts w:ascii="Cambria" w:eastAsia="Times New Roman" w:hAnsi="Cambria" w:cstheme="minorHAnsi"/>
        </w:rPr>
        <w:t>i</w:t>
      </w:r>
      <w:r w:rsidRPr="009A0DA6">
        <w:rPr>
          <w:rFonts w:ascii="Cambria" w:eastAsia="Times New Roman" w:hAnsi="Cambria" w:cstheme="minorHAnsi"/>
          <w:spacing w:val="2"/>
        </w:rPr>
        <w:t>s</w:t>
      </w:r>
      <w:r w:rsidRPr="009A0DA6">
        <w:rPr>
          <w:rFonts w:ascii="Cambria" w:eastAsia="Times New Roman" w:hAnsi="Cambria" w:cstheme="minorHAnsi"/>
          <w:spacing w:val="-1"/>
        </w:rPr>
        <w:t>s</w:t>
      </w:r>
      <w:r w:rsidRPr="009A0DA6">
        <w:rPr>
          <w:rFonts w:ascii="Cambria" w:eastAsia="Times New Roman" w:hAnsi="Cambria" w:cstheme="minorHAnsi"/>
        </w:rPr>
        <w:t>i</w:t>
      </w:r>
      <w:r w:rsidRPr="009A0DA6">
        <w:rPr>
          <w:rFonts w:ascii="Cambria" w:eastAsia="Times New Roman" w:hAnsi="Cambria" w:cstheme="minorHAnsi"/>
          <w:spacing w:val="1"/>
        </w:rPr>
        <w:t>o</w:t>
      </w:r>
      <w:r w:rsidRPr="009A0DA6">
        <w:rPr>
          <w:rFonts w:ascii="Cambria" w:eastAsia="Times New Roman" w:hAnsi="Cambria" w:cstheme="minorHAnsi"/>
        </w:rPr>
        <w:t>n</w:t>
      </w:r>
    </w:p>
    <w:p w14:paraId="589709E7" w14:textId="77777777" w:rsidR="00BA4592" w:rsidRPr="009A0DA6" w:rsidRDefault="00BA4592" w:rsidP="00F55252">
      <w:pPr>
        <w:pStyle w:val="ListParagraph"/>
        <w:widowControl w:val="0"/>
        <w:numPr>
          <w:ilvl w:val="0"/>
          <w:numId w:val="274"/>
        </w:numPr>
        <w:tabs>
          <w:tab w:val="center" w:pos="4394"/>
          <w:tab w:val="right" w:pos="6095"/>
          <w:tab w:val="right" w:pos="7371"/>
          <w:tab w:val="right" w:pos="8647"/>
        </w:tabs>
        <w:spacing w:before="120" w:after="120" w:line="240" w:lineRule="auto"/>
        <w:ind w:left="567" w:right="-51" w:hanging="538"/>
        <w:rPr>
          <w:rFonts w:ascii="Cambria" w:eastAsia="Times New Roman" w:hAnsi="Cambria" w:cstheme="minorHAnsi"/>
        </w:rPr>
      </w:pPr>
      <w:r w:rsidRPr="009A0DA6">
        <w:rPr>
          <w:rFonts w:ascii="Cambria" w:eastAsia="Times New Roman" w:hAnsi="Cambria" w:cstheme="minorHAnsi"/>
          <w:spacing w:val="1"/>
        </w:rPr>
        <w:t>L</w:t>
      </w:r>
      <w:r w:rsidRPr="009A0DA6">
        <w:rPr>
          <w:rFonts w:ascii="Cambria" w:eastAsia="Times New Roman" w:hAnsi="Cambria" w:cstheme="minorHAnsi"/>
          <w:spacing w:val="-1"/>
        </w:rPr>
        <w:t>u</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1"/>
        </w:rPr>
        <w:t>r</w:t>
      </w:r>
      <w:r w:rsidRPr="009A0DA6">
        <w:rPr>
          <w:rFonts w:ascii="Cambria" w:eastAsia="Times New Roman" w:hAnsi="Cambria" w:cstheme="minorHAnsi"/>
          <w:spacing w:val="3"/>
        </w:rPr>
        <w:t>a</w:t>
      </w:r>
      <w:r w:rsidRPr="009A0DA6">
        <w:rPr>
          <w:rFonts w:ascii="Cambria" w:eastAsia="Times New Roman" w:hAnsi="Cambria" w:cstheme="minorHAnsi"/>
        </w:rPr>
        <w:t>n</w:t>
      </w:r>
      <w:r w:rsidRPr="009A0DA6">
        <w:rPr>
          <w:rFonts w:ascii="Cambria" w:eastAsia="Times New Roman" w:hAnsi="Cambria" w:cstheme="minorHAnsi"/>
          <w:spacing w:val="-8"/>
        </w:rPr>
        <w:t xml:space="preserve"> </w:t>
      </w:r>
      <w:r w:rsidRPr="009A0DA6">
        <w:rPr>
          <w:rFonts w:ascii="Cambria" w:eastAsia="Times New Roman" w:hAnsi="Cambria" w:cstheme="minorHAnsi"/>
          <w:spacing w:val="1"/>
        </w:rPr>
        <w:t>M</w:t>
      </w:r>
      <w:r w:rsidRPr="009A0DA6">
        <w:rPr>
          <w:rFonts w:ascii="Cambria" w:eastAsia="Times New Roman" w:hAnsi="Cambria" w:cstheme="minorHAnsi"/>
        </w:rPr>
        <w:t>e</w:t>
      </w:r>
      <w:r w:rsidRPr="009A0DA6">
        <w:rPr>
          <w:rFonts w:ascii="Cambria" w:eastAsia="Times New Roman" w:hAnsi="Cambria" w:cstheme="minorHAnsi"/>
          <w:spacing w:val="1"/>
        </w:rPr>
        <w:t>d</w:t>
      </w:r>
      <w:r w:rsidRPr="009A0DA6">
        <w:rPr>
          <w:rFonts w:ascii="Cambria" w:eastAsia="Times New Roman" w:hAnsi="Cambria" w:cstheme="minorHAnsi"/>
        </w:rPr>
        <w:t>ia</w:t>
      </w:r>
      <w:r w:rsidRPr="009A0DA6">
        <w:rPr>
          <w:rFonts w:ascii="Cambria" w:eastAsia="Times New Roman" w:hAnsi="Cambria" w:cstheme="minorHAnsi"/>
          <w:spacing w:val="-4"/>
        </w:rPr>
        <w:t xml:space="preserve"> </w:t>
      </w:r>
      <w:r w:rsidRPr="009A0DA6">
        <w:rPr>
          <w:rFonts w:ascii="Cambria" w:eastAsia="Times New Roman" w:hAnsi="Cambria" w:cstheme="minorHAnsi"/>
          <w:spacing w:val="1"/>
        </w:rPr>
        <w:t>M</w:t>
      </w:r>
      <w:r w:rsidRPr="009A0DA6">
        <w:rPr>
          <w:rFonts w:ascii="Cambria" w:eastAsia="Times New Roman" w:hAnsi="Cambria" w:cstheme="minorHAnsi"/>
        </w:rPr>
        <w:t>i</w:t>
      </w:r>
      <w:r w:rsidRPr="009A0DA6">
        <w:rPr>
          <w:rFonts w:ascii="Cambria" w:eastAsia="Times New Roman" w:hAnsi="Cambria" w:cstheme="minorHAnsi"/>
          <w:spacing w:val="-1"/>
        </w:rPr>
        <w:t>n</w:t>
      </w:r>
      <w:r w:rsidRPr="009A0DA6">
        <w:rPr>
          <w:rFonts w:ascii="Cambria" w:eastAsia="Times New Roman" w:hAnsi="Cambria" w:cstheme="minorHAnsi"/>
          <w:spacing w:val="2"/>
        </w:rPr>
        <w:t>i</w:t>
      </w:r>
      <w:r w:rsidRPr="009A0DA6">
        <w:rPr>
          <w:rFonts w:ascii="Cambria" w:eastAsia="Times New Roman" w:hAnsi="Cambria" w:cstheme="minorHAnsi"/>
          <w:spacing w:val="-1"/>
        </w:rPr>
        <w:t>s</w:t>
      </w:r>
      <w:r w:rsidRPr="009A0DA6">
        <w:rPr>
          <w:rFonts w:ascii="Cambria" w:eastAsia="Times New Roman" w:hAnsi="Cambria" w:cstheme="minorHAnsi"/>
        </w:rPr>
        <w:t>t</w:t>
      </w:r>
      <w:r w:rsidRPr="009A0DA6">
        <w:rPr>
          <w:rFonts w:ascii="Cambria" w:eastAsia="Times New Roman" w:hAnsi="Cambria" w:cstheme="minorHAnsi"/>
          <w:spacing w:val="3"/>
        </w:rPr>
        <w:t>r</w:t>
      </w:r>
      <w:r w:rsidRPr="009A0DA6">
        <w:rPr>
          <w:rFonts w:ascii="Cambria" w:eastAsia="Times New Roman" w:hAnsi="Cambria" w:cstheme="minorHAnsi"/>
        </w:rPr>
        <w:t>y</w:t>
      </w:r>
    </w:p>
    <w:p w14:paraId="3563D748" w14:textId="77777777" w:rsidR="00BA4592" w:rsidRPr="009A0DA6" w:rsidRDefault="00BA4592" w:rsidP="00F55252">
      <w:pPr>
        <w:pStyle w:val="ListParagraph"/>
        <w:widowControl w:val="0"/>
        <w:numPr>
          <w:ilvl w:val="0"/>
          <w:numId w:val="274"/>
        </w:numPr>
        <w:tabs>
          <w:tab w:val="center" w:pos="4394"/>
          <w:tab w:val="right" w:pos="6095"/>
          <w:tab w:val="right" w:pos="7371"/>
          <w:tab w:val="right" w:pos="8647"/>
        </w:tabs>
        <w:spacing w:before="120" w:after="120" w:line="240" w:lineRule="auto"/>
        <w:ind w:left="567" w:right="-51" w:hanging="538"/>
        <w:rPr>
          <w:rFonts w:ascii="Cambria" w:eastAsia="Times New Roman" w:hAnsi="Cambria" w:cstheme="minorHAnsi"/>
        </w:rPr>
      </w:pPr>
      <w:r w:rsidRPr="009A0DA6">
        <w:rPr>
          <w:rFonts w:ascii="Cambria" w:eastAsia="Times New Roman" w:hAnsi="Cambria" w:cstheme="minorHAnsi"/>
          <w:spacing w:val="1"/>
        </w:rPr>
        <w:t>L</w:t>
      </w:r>
      <w:r w:rsidRPr="009A0DA6">
        <w:rPr>
          <w:rFonts w:ascii="Cambria" w:eastAsia="Times New Roman" w:hAnsi="Cambria" w:cstheme="minorHAnsi"/>
          <w:spacing w:val="-1"/>
        </w:rPr>
        <w:t>u</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1"/>
        </w:rPr>
        <w:t>r</w:t>
      </w:r>
      <w:r w:rsidRPr="009A0DA6">
        <w:rPr>
          <w:rFonts w:ascii="Cambria" w:eastAsia="Times New Roman" w:hAnsi="Cambria" w:cstheme="minorHAnsi"/>
          <w:spacing w:val="3"/>
        </w:rPr>
        <w:t>a</w:t>
      </w:r>
      <w:r w:rsidRPr="009A0DA6">
        <w:rPr>
          <w:rFonts w:ascii="Cambria" w:eastAsia="Times New Roman" w:hAnsi="Cambria" w:cstheme="minorHAnsi"/>
        </w:rPr>
        <w:t>n</w:t>
      </w:r>
      <w:r w:rsidRPr="009A0DA6">
        <w:rPr>
          <w:rFonts w:ascii="Cambria" w:eastAsia="Times New Roman" w:hAnsi="Cambria" w:cstheme="minorHAnsi"/>
          <w:spacing w:val="-5"/>
        </w:rPr>
        <w:t xml:space="preserve"> </w:t>
      </w:r>
      <w:r w:rsidRPr="009A0DA6">
        <w:rPr>
          <w:rFonts w:ascii="Cambria" w:eastAsia="Times New Roman" w:hAnsi="Cambria" w:cstheme="minorHAnsi"/>
          <w:spacing w:val="-2"/>
        </w:rPr>
        <w:t>A</w:t>
      </w:r>
      <w:r w:rsidRPr="009A0DA6">
        <w:rPr>
          <w:rFonts w:ascii="Cambria" w:eastAsia="Times New Roman" w:hAnsi="Cambria" w:cstheme="minorHAnsi"/>
          <w:spacing w:val="1"/>
        </w:rPr>
        <w:t>r</w:t>
      </w:r>
      <w:r w:rsidRPr="009A0DA6">
        <w:rPr>
          <w:rFonts w:ascii="Cambria" w:eastAsia="Times New Roman" w:hAnsi="Cambria" w:cstheme="minorHAnsi"/>
        </w:rPr>
        <w:t>c</w:t>
      </w:r>
      <w:r w:rsidRPr="009A0DA6">
        <w:rPr>
          <w:rFonts w:ascii="Cambria" w:eastAsia="Times New Roman" w:hAnsi="Cambria" w:cstheme="minorHAnsi"/>
          <w:spacing w:val="-1"/>
        </w:rPr>
        <w:t>h</w:t>
      </w:r>
      <w:r w:rsidRPr="009A0DA6">
        <w:rPr>
          <w:rFonts w:ascii="Cambria" w:eastAsia="Times New Roman" w:hAnsi="Cambria" w:cstheme="minorHAnsi"/>
          <w:spacing w:val="2"/>
        </w:rPr>
        <w:t>i</w:t>
      </w:r>
      <w:r w:rsidRPr="009A0DA6">
        <w:rPr>
          <w:rFonts w:ascii="Cambria" w:eastAsia="Times New Roman" w:hAnsi="Cambria" w:cstheme="minorHAnsi"/>
          <w:spacing w:val="-1"/>
        </w:rPr>
        <w:t>v</w:t>
      </w:r>
      <w:r w:rsidRPr="009A0DA6">
        <w:rPr>
          <w:rFonts w:ascii="Cambria" w:eastAsia="Times New Roman" w:hAnsi="Cambria" w:cstheme="minorHAnsi"/>
        </w:rPr>
        <w:t>es</w:t>
      </w:r>
    </w:p>
    <w:p w14:paraId="5246C25E" w14:textId="77777777" w:rsidR="00BA4592" w:rsidRPr="009A0DA6" w:rsidRDefault="00BA4592" w:rsidP="00F55252">
      <w:pPr>
        <w:pStyle w:val="ListParagraph"/>
        <w:widowControl w:val="0"/>
        <w:numPr>
          <w:ilvl w:val="0"/>
          <w:numId w:val="274"/>
        </w:numPr>
        <w:tabs>
          <w:tab w:val="center" w:pos="4394"/>
          <w:tab w:val="right" w:pos="6095"/>
          <w:tab w:val="right" w:pos="7371"/>
          <w:tab w:val="right" w:pos="8647"/>
        </w:tabs>
        <w:spacing w:before="120" w:after="120" w:line="240" w:lineRule="auto"/>
        <w:ind w:left="567" w:right="-51" w:hanging="538"/>
        <w:rPr>
          <w:rFonts w:ascii="Cambria" w:eastAsia="Times New Roman" w:hAnsi="Cambria" w:cstheme="minorHAnsi"/>
        </w:rPr>
      </w:pPr>
      <w:r w:rsidRPr="009A0DA6">
        <w:rPr>
          <w:rFonts w:ascii="Cambria" w:eastAsia="Times New Roman" w:hAnsi="Cambria" w:cstheme="minorHAnsi"/>
          <w:spacing w:val="-1"/>
        </w:rPr>
        <w:t>C</w:t>
      </w:r>
      <w:r w:rsidRPr="009A0DA6">
        <w:rPr>
          <w:rFonts w:ascii="Cambria" w:eastAsia="Times New Roman" w:hAnsi="Cambria" w:cstheme="minorHAnsi"/>
          <w:spacing w:val="1"/>
        </w:rPr>
        <w:t>h</w:t>
      </w:r>
      <w:r w:rsidRPr="009A0DA6">
        <w:rPr>
          <w:rFonts w:ascii="Cambria" w:eastAsia="Times New Roman" w:hAnsi="Cambria" w:cstheme="minorHAnsi"/>
          <w:spacing w:val="-1"/>
        </w:rPr>
        <w:t>u</w:t>
      </w:r>
      <w:r w:rsidRPr="009A0DA6">
        <w:rPr>
          <w:rFonts w:ascii="Cambria" w:eastAsia="Times New Roman" w:hAnsi="Cambria" w:cstheme="minorHAnsi"/>
          <w:spacing w:val="1"/>
        </w:rPr>
        <w:t>r</w:t>
      </w:r>
      <w:r w:rsidRPr="009A0DA6">
        <w:rPr>
          <w:rFonts w:ascii="Cambria" w:eastAsia="Times New Roman" w:hAnsi="Cambria" w:cstheme="minorHAnsi"/>
        </w:rPr>
        <w:t>ch</w:t>
      </w:r>
      <w:r w:rsidRPr="009A0DA6">
        <w:rPr>
          <w:rFonts w:ascii="Cambria" w:eastAsia="Times New Roman" w:hAnsi="Cambria" w:cstheme="minorHAnsi"/>
          <w:spacing w:val="-7"/>
        </w:rPr>
        <w:t xml:space="preserve"> </w:t>
      </w:r>
      <w:r w:rsidRPr="009A0DA6">
        <w:rPr>
          <w:rFonts w:ascii="Cambria" w:eastAsia="Times New Roman" w:hAnsi="Cambria" w:cstheme="minorHAnsi"/>
          <w:spacing w:val="2"/>
        </w:rPr>
        <w:t>W</w:t>
      </w:r>
      <w:r w:rsidRPr="009A0DA6">
        <w:rPr>
          <w:rFonts w:ascii="Cambria" w:eastAsia="Times New Roman" w:hAnsi="Cambria" w:cstheme="minorHAnsi"/>
          <w:spacing w:val="1"/>
        </w:rPr>
        <w:t>or</w:t>
      </w:r>
      <w:r w:rsidRPr="009A0DA6">
        <w:rPr>
          <w:rFonts w:ascii="Cambria" w:eastAsia="Times New Roman" w:hAnsi="Cambria" w:cstheme="minorHAnsi"/>
          <w:spacing w:val="-1"/>
        </w:rPr>
        <w:t>k</w:t>
      </w:r>
      <w:r w:rsidRPr="009A0DA6">
        <w:rPr>
          <w:rFonts w:ascii="Cambria" w:eastAsia="Times New Roman" w:hAnsi="Cambria" w:cstheme="minorHAnsi"/>
        </w:rPr>
        <w:t>er</w:t>
      </w:r>
      <w:r w:rsidRPr="009A0DA6">
        <w:rPr>
          <w:rFonts w:ascii="Cambria" w:eastAsia="Times New Roman" w:hAnsi="Cambria" w:cstheme="minorHAnsi"/>
          <w:spacing w:val="-5"/>
        </w:rPr>
        <w:t xml:space="preserve"> </w:t>
      </w:r>
      <w:r w:rsidRPr="009A0DA6">
        <w:rPr>
          <w:rFonts w:ascii="Cambria" w:eastAsia="Times New Roman" w:hAnsi="Cambria" w:cstheme="minorHAnsi"/>
          <w:spacing w:val="2"/>
        </w:rPr>
        <w:t>S</w:t>
      </w:r>
      <w:r w:rsidRPr="009A0DA6">
        <w:rPr>
          <w:rFonts w:ascii="Cambria" w:eastAsia="Times New Roman" w:hAnsi="Cambria" w:cstheme="minorHAnsi"/>
          <w:spacing w:val="-1"/>
        </w:rPr>
        <w:t>u</w:t>
      </w:r>
      <w:r w:rsidRPr="009A0DA6">
        <w:rPr>
          <w:rFonts w:ascii="Cambria" w:eastAsia="Times New Roman" w:hAnsi="Cambria" w:cstheme="minorHAnsi"/>
          <w:spacing w:val="1"/>
        </w:rPr>
        <w:t>ppor</w:t>
      </w:r>
      <w:r w:rsidRPr="009A0DA6">
        <w:rPr>
          <w:rFonts w:ascii="Cambria" w:eastAsia="Times New Roman" w:hAnsi="Cambria" w:cstheme="minorHAnsi"/>
        </w:rPr>
        <w:t>t</w:t>
      </w:r>
      <w:r w:rsidRPr="009A0DA6">
        <w:rPr>
          <w:rFonts w:ascii="Cambria" w:eastAsia="Times New Roman" w:hAnsi="Cambria" w:cstheme="minorHAnsi"/>
          <w:spacing w:val="-6"/>
        </w:rPr>
        <w:t xml:space="preserve"> </w:t>
      </w:r>
      <w:r w:rsidRPr="009A0DA6">
        <w:rPr>
          <w:rFonts w:ascii="Cambria" w:eastAsia="Times New Roman" w:hAnsi="Cambria" w:cstheme="minorHAnsi"/>
        </w:rPr>
        <w:t>De</w:t>
      </w:r>
      <w:r w:rsidRPr="009A0DA6">
        <w:rPr>
          <w:rFonts w:ascii="Cambria" w:eastAsia="Times New Roman" w:hAnsi="Cambria" w:cstheme="minorHAnsi"/>
          <w:spacing w:val="1"/>
        </w:rPr>
        <w:t>p</w:t>
      </w:r>
      <w:r w:rsidRPr="009A0DA6">
        <w:rPr>
          <w:rFonts w:ascii="Cambria" w:eastAsia="Times New Roman" w:hAnsi="Cambria" w:cstheme="minorHAnsi"/>
          <w:spacing w:val="-2"/>
        </w:rPr>
        <w:t>a</w:t>
      </w:r>
      <w:r w:rsidRPr="009A0DA6">
        <w:rPr>
          <w:rFonts w:ascii="Cambria" w:eastAsia="Times New Roman" w:hAnsi="Cambria" w:cstheme="minorHAnsi"/>
          <w:spacing w:val="1"/>
        </w:rPr>
        <w:t>r</w:t>
      </w:r>
      <w:r w:rsidRPr="009A0DA6">
        <w:rPr>
          <w:rFonts w:ascii="Cambria" w:eastAsia="Times New Roman" w:hAnsi="Cambria" w:cstheme="minorHAnsi"/>
          <w:spacing w:val="2"/>
        </w:rPr>
        <w:t>t</w:t>
      </w:r>
      <w:r w:rsidRPr="009A0DA6">
        <w:rPr>
          <w:rFonts w:ascii="Cambria" w:eastAsia="Times New Roman" w:hAnsi="Cambria" w:cstheme="minorHAnsi"/>
          <w:spacing w:val="-4"/>
        </w:rPr>
        <w:t>m</w:t>
      </w:r>
      <w:r w:rsidRPr="009A0DA6">
        <w:rPr>
          <w:rFonts w:ascii="Cambria" w:eastAsia="Times New Roman" w:hAnsi="Cambria" w:cstheme="minorHAnsi"/>
        </w:rPr>
        <w:t>e</w:t>
      </w:r>
      <w:r w:rsidRPr="009A0DA6">
        <w:rPr>
          <w:rFonts w:ascii="Cambria" w:eastAsia="Times New Roman" w:hAnsi="Cambria" w:cstheme="minorHAnsi"/>
          <w:spacing w:val="1"/>
        </w:rPr>
        <w:t>n</w:t>
      </w:r>
      <w:r w:rsidRPr="009A0DA6">
        <w:rPr>
          <w:rFonts w:ascii="Cambria" w:eastAsia="Times New Roman" w:hAnsi="Cambria" w:cstheme="minorHAnsi"/>
        </w:rPr>
        <w:t>t</w:t>
      </w:r>
    </w:p>
    <w:p w14:paraId="7F9B687C" w14:textId="77777777" w:rsidR="00BA4592" w:rsidRPr="009A0DA6" w:rsidRDefault="00BA4592" w:rsidP="00F55252">
      <w:pPr>
        <w:pStyle w:val="ListParagraph"/>
        <w:widowControl w:val="0"/>
        <w:numPr>
          <w:ilvl w:val="0"/>
          <w:numId w:val="274"/>
        </w:numPr>
        <w:tabs>
          <w:tab w:val="center" w:pos="4394"/>
          <w:tab w:val="right" w:pos="6095"/>
          <w:tab w:val="right" w:pos="7371"/>
          <w:tab w:val="right" w:pos="8647"/>
        </w:tabs>
        <w:spacing w:before="120" w:after="120" w:line="240" w:lineRule="auto"/>
        <w:ind w:left="567" w:right="-51" w:hanging="538"/>
        <w:rPr>
          <w:rFonts w:ascii="Cambria" w:eastAsia="Times New Roman" w:hAnsi="Cambria" w:cstheme="minorHAnsi"/>
        </w:rPr>
      </w:pPr>
      <w:r w:rsidRPr="009A0DA6">
        <w:rPr>
          <w:rFonts w:ascii="Cambria" w:eastAsia="Times New Roman" w:hAnsi="Cambria" w:cstheme="minorHAnsi"/>
          <w:spacing w:val="-1"/>
        </w:rPr>
        <w:t>Ch</w:t>
      </w:r>
      <w:r w:rsidRPr="009A0DA6">
        <w:rPr>
          <w:rFonts w:ascii="Cambria" w:eastAsia="Times New Roman" w:hAnsi="Cambria" w:cstheme="minorHAnsi"/>
          <w:spacing w:val="2"/>
        </w:rPr>
        <w:t>i</w:t>
      </w:r>
      <w:r w:rsidRPr="009A0DA6">
        <w:rPr>
          <w:rFonts w:ascii="Cambria" w:eastAsia="Times New Roman" w:hAnsi="Cambria" w:cstheme="minorHAnsi"/>
        </w:rPr>
        <w:t>l</w:t>
      </w:r>
      <w:r w:rsidRPr="009A0DA6">
        <w:rPr>
          <w:rFonts w:ascii="Cambria" w:eastAsia="Times New Roman" w:hAnsi="Cambria" w:cstheme="minorHAnsi"/>
          <w:spacing w:val="1"/>
        </w:rPr>
        <w:t>d</w:t>
      </w:r>
      <w:r w:rsidRPr="009A0DA6">
        <w:rPr>
          <w:rFonts w:ascii="Cambria" w:eastAsia="Times New Roman" w:hAnsi="Cambria" w:cstheme="minorHAnsi"/>
        </w:rPr>
        <w:t>,</w:t>
      </w:r>
      <w:r w:rsidRPr="009A0DA6">
        <w:rPr>
          <w:rFonts w:ascii="Cambria" w:eastAsia="Times New Roman" w:hAnsi="Cambria" w:cstheme="minorHAnsi"/>
          <w:spacing w:val="-4"/>
        </w:rPr>
        <w:t xml:space="preserve"> </w:t>
      </w:r>
      <w:r w:rsidRPr="009A0DA6">
        <w:rPr>
          <w:rFonts w:ascii="Cambria" w:eastAsia="Times New Roman" w:hAnsi="Cambria" w:cstheme="minorHAnsi"/>
        </w:rPr>
        <w:t>Y</w:t>
      </w:r>
      <w:r w:rsidRPr="009A0DA6">
        <w:rPr>
          <w:rFonts w:ascii="Cambria" w:eastAsia="Times New Roman" w:hAnsi="Cambria" w:cstheme="minorHAnsi"/>
          <w:spacing w:val="1"/>
        </w:rPr>
        <w:t>o</w:t>
      </w:r>
      <w:r w:rsidRPr="009A0DA6">
        <w:rPr>
          <w:rFonts w:ascii="Cambria" w:eastAsia="Times New Roman" w:hAnsi="Cambria" w:cstheme="minorHAnsi"/>
          <w:spacing w:val="-1"/>
        </w:rPr>
        <w:t>u</w:t>
      </w:r>
      <w:r w:rsidRPr="009A0DA6">
        <w:rPr>
          <w:rFonts w:ascii="Cambria" w:eastAsia="Times New Roman" w:hAnsi="Cambria" w:cstheme="minorHAnsi"/>
        </w:rPr>
        <w:t>th</w:t>
      </w:r>
      <w:r w:rsidRPr="009A0DA6">
        <w:rPr>
          <w:rFonts w:ascii="Cambria" w:eastAsia="Times New Roman" w:hAnsi="Cambria" w:cstheme="minorHAnsi"/>
          <w:spacing w:val="-3"/>
        </w:rPr>
        <w:t xml:space="preserve"> </w:t>
      </w:r>
      <w:r w:rsidRPr="009A0DA6">
        <w:rPr>
          <w:rFonts w:ascii="Cambria" w:eastAsia="Times New Roman" w:hAnsi="Cambria" w:cstheme="minorHAnsi"/>
        </w:rPr>
        <w:t>&amp;</w:t>
      </w:r>
      <w:r w:rsidRPr="009A0DA6">
        <w:rPr>
          <w:rFonts w:ascii="Cambria" w:eastAsia="Times New Roman" w:hAnsi="Cambria" w:cstheme="minorHAnsi"/>
          <w:spacing w:val="-3"/>
        </w:rPr>
        <w:t xml:space="preserve"> </w:t>
      </w:r>
      <w:r w:rsidRPr="009A0DA6">
        <w:rPr>
          <w:rFonts w:ascii="Cambria" w:eastAsia="Times New Roman" w:hAnsi="Cambria" w:cstheme="minorHAnsi"/>
        </w:rPr>
        <w:t>F</w:t>
      </w:r>
      <w:r w:rsidRPr="009A0DA6">
        <w:rPr>
          <w:rFonts w:ascii="Cambria" w:eastAsia="Times New Roman" w:hAnsi="Cambria" w:cstheme="minorHAnsi"/>
          <w:spacing w:val="3"/>
        </w:rPr>
        <w:t>a</w:t>
      </w:r>
      <w:r w:rsidRPr="009A0DA6">
        <w:rPr>
          <w:rFonts w:ascii="Cambria" w:eastAsia="Times New Roman" w:hAnsi="Cambria" w:cstheme="minorHAnsi"/>
          <w:spacing w:val="-1"/>
        </w:rPr>
        <w:t>m</w:t>
      </w:r>
      <w:r w:rsidRPr="009A0DA6">
        <w:rPr>
          <w:rFonts w:ascii="Cambria" w:eastAsia="Times New Roman" w:hAnsi="Cambria" w:cstheme="minorHAnsi"/>
        </w:rPr>
        <w:t>i</w:t>
      </w:r>
      <w:r w:rsidRPr="009A0DA6">
        <w:rPr>
          <w:rFonts w:ascii="Cambria" w:eastAsia="Times New Roman" w:hAnsi="Cambria" w:cstheme="minorHAnsi"/>
          <w:spacing w:val="2"/>
        </w:rPr>
        <w:t>l</w:t>
      </w:r>
      <w:r w:rsidRPr="009A0DA6">
        <w:rPr>
          <w:rFonts w:ascii="Cambria" w:eastAsia="Times New Roman" w:hAnsi="Cambria" w:cstheme="minorHAnsi"/>
        </w:rPr>
        <w:t>y</w:t>
      </w:r>
      <w:r w:rsidRPr="009A0DA6">
        <w:rPr>
          <w:rFonts w:ascii="Cambria" w:eastAsia="Times New Roman" w:hAnsi="Cambria" w:cstheme="minorHAnsi"/>
          <w:spacing w:val="-7"/>
        </w:rPr>
        <w:t xml:space="preserve"> </w:t>
      </w:r>
      <w:r w:rsidRPr="009A0DA6">
        <w:rPr>
          <w:rFonts w:ascii="Cambria" w:eastAsia="Times New Roman" w:hAnsi="Cambria" w:cstheme="minorHAnsi"/>
          <w:spacing w:val="1"/>
        </w:rPr>
        <w:t>M</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rPr>
        <w:t>i</w:t>
      </w:r>
      <w:r w:rsidRPr="009A0DA6">
        <w:rPr>
          <w:rFonts w:ascii="Cambria" w:eastAsia="Times New Roman" w:hAnsi="Cambria" w:cstheme="minorHAnsi"/>
          <w:spacing w:val="-1"/>
        </w:rPr>
        <w:t>s</w:t>
      </w:r>
      <w:r w:rsidRPr="009A0DA6">
        <w:rPr>
          <w:rFonts w:ascii="Cambria" w:eastAsia="Times New Roman" w:hAnsi="Cambria" w:cstheme="minorHAnsi"/>
          <w:spacing w:val="2"/>
        </w:rPr>
        <w:t>t</w:t>
      </w:r>
      <w:r w:rsidRPr="009A0DA6">
        <w:rPr>
          <w:rFonts w:ascii="Cambria" w:eastAsia="Times New Roman" w:hAnsi="Cambria" w:cstheme="minorHAnsi"/>
          <w:spacing w:val="1"/>
        </w:rPr>
        <w:t>r</w:t>
      </w:r>
      <w:r w:rsidRPr="009A0DA6">
        <w:rPr>
          <w:rFonts w:ascii="Cambria" w:eastAsia="Times New Roman" w:hAnsi="Cambria" w:cstheme="minorHAnsi"/>
        </w:rPr>
        <w:t>y</w:t>
      </w:r>
    </w:p>
    <w:p w14:paraId="0804632C" w14:textId="77777777" w:rsidR="00BA4592" w:rsidRPr="009A0DA6" w:rsidRDefault="00BA4592" w:rsidP="00F55252">
      <w:pPr>
        <w:pStyle w:val="ListParagraph"/>
        <w:widowControl w:val="0"/>
        <w:numPr>
          <w:ilvl w:val="0"/>
          <w:numId w:val="274"/>
        </w:numPr>
        <w:tabs>
          <w:tab w:val="center" w:pos="4394"/>
          <w:tab w:val="right" w:pos="6095"/>
          <w:tab w:val="right" w:pos="7371"/>
          <w:tab w:val="right" w:pos="8647"/>
        </w:tabs>
        <w:spacing w:before="120" w:after="120" w:line="240" w:lineRule="auto"/>
        <w:ind w:left="567" w:right="-51" w:hanging="538"/>
        <w:rPr>
          <w:rFonts w:ascii="Cambria" w:eastAsia="Times New Roman" w:hAnsi="Cambria" w:cstheme="minorHAnsi"/>
        </w:rPr>
      </w:pPr>
      <w:r w:rsidRPr="009A0DA6">
        <w:rPr>
          <w:rFonts w:ascii="Cambria" w:eastAsia="Times New Roman" w:hAnsi="Cambria" w:cstheme="minorHAnsi"/>
          <w:spacing w:val="1"/>
        </w:rPr>
        <w:t>L</w:t>
      </w:r>
      <w:r w:rsidRPr="009A0DA6">
        <w:rPr>
          <w:rFonts w:ascii="Cambria" w:eastAsia="Times New Roman" w:hAnsi="Cambria" w:cstheme="minorHAnsi"/>
          <w:spacing w:val="-1"/>
        </w:rPr>
        <w:t>u</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1"/>
        </w:rPr>
        <w:t>r</w:t>
      </w:r>
      <w:r w:rsidRPr="009A0DA6">
        <w:rPr>
          <w:rFonts w:ascii="Cambria" w:eastAsia="Times New Roman" w:hAnsi="Cambria" w:cstheme="minorHAnsi"/>
          <w:spacing w:val="3"/>
        </w:rPr>
        <w:t>a</w:t>
      </w:r>
      <w:r w:rsidRPr="009A0DA6">
        <w:rPr>
          <w:rFonts w:ascii="Cambria" w:eastAsia="Times New Roman" w:hAnsi="Cambria" w:cstheme="minorHAnsi"/>
        </w:rPr>
        <w:t>n</w:t>
      </w:r>
      <w:r w:rsidRPr="009A0DA6">
        <w:rPr>
          <w:rFonts w:ascii="Cambria" w:eastAsia="Times New Roman" w:hAnsi="Cambria" w:cstheme="minorHAnsi"/>
          <w:spacing w:val="-8"/>
        </w:rPr>
        <w:t xml:space="preserve"> </w:t>
      </w:r>
      <w:r w:rsidRPr="009A0DA6">
        <w:rPr>
          <w:rFonts w:ascii="Cambria" w:eastAsia="Times New Roman" w:hAnsi="Cambria" w:cstheme="minorHAnsi"/>
          <w:spacing w:val="2"/>
        </w:rPr>
        <w:t>B</w:t>
      </w:r>
      <w:r w:rsidRPr="009A0DA6">
        <w:rPr>
          <w:rFonts w:ascii="Cambria" w:eastAsia="Times New Roman" w:hAnsi="Cambria" w:cstheme="minorHAnsi"/>
        </w:rPr>
        <w:t>i</w:t>
      </w:r>
      <w:r w:rsidRPr="009A0DA6">
        <w:rPr>
          <w:rFonts w:ascii="Cambria" w:eastAsia="Times New Roman" w:hAnsi="Cambria" w:cstheme="minorHAnsi"/>
          <w:spacing w:val="1"/>
        </w:rPr>
        <w:t>b</w:t>
      </w:r>
      <w:r w:rsidRPr="009A0DA6">
        <w:rPr>
          <w:rFonts w:ascii="Cambria" w:eastAsia="Times New Roman" w:hAnsi="Cambria" w:cstheme="minorHAnsi"/>
        </w:rPr>
        <w:t>le</w:t>
      </w:r>
      <w:r w:rsidRPr="009A0DA6">
        <w:rPr>
          <w:rFonts w:ascii="Cambria" w:eastAsia="Times New Roman" w:hAnsi="Cambria" w:cstheme="minorHAnsi"/>
          <w:spacing w:val="-3"/>
        </w:rPr>
        <w:t xml:space="preserve"> </w:t>
      </w:r>
      <w:r w:rsidRPr="009A0DA6">
        <w:rPr>
          <w:rFonts w:ascii="Cambria" w:eastAsia="Times New Roman" w:hAnsi="Cambria" w:cstheme="minorHAnsi"/>
          <w:spacing w:val="3"/>
        </w:rPr>
        <w:t>T</w:t>
      </w:r>
      <w:r w:rsidRPr="009A0DA6">
        <w:rPr>
          <w:rFonts w:ascii="Cambria" w:eastAsia="Times New Roman" w:hAnsi="Cambria" w:cstheme="minorHAnsi"/>
          <w:spacing w:val="1"/>
        </w:rPr>
        <w:t>r</w:t>
      </w:r>
      <w:r w:rsidRPr="009A0DA6">
        <w:rPr>
          <w:rFonts w:ascii="Cambria" w:eastAsia="Times New Roman" w:hAnsi="Cambria" w:cstheme="minorHAnsi"/>
        </w:rPr>
        <w:t>a</w:t>
      </w:r>
      <w:r w:rsidRPr="009A0DA6">
        <w:rPr>
          <w:rFonts w:ascii="Cambria" w:eastAsia="Times New Roman" w:hAnsi="Cambria" w:cstheme="minorHAnsi"/>
          <w:spacing w:val="-1"/>
        </w:rPr>
        <w:t>ns</w:t>
      </w:r>
      <w:r w:rsidRPr="009A0DA6">
        <w:rPr>
          <w:rFonts w:ascii="Cambria" w:eastAsia="Times New Roman" w:hAnsi="Cambria" w:cstheme="minorHAnsi"/>
        </w:rPr>
        <w:t>lat</w:t>
      </w:r>
      <w:r w:rsidRPr="009A0DA6">
        <w:rPr>
          <w:rFonts w:ascii="Cambria" w:eastAsia="Times New Roman" w:hAnsi="Cambria" w:cstheme="minorHAnsi"/>
          <w:spacing w:val="1"/>
        </w:rPr>
        <w:t>or</w:t>
      </w:r>
      <w:r w:rsidRPr="009A0DA6">
        <w:rPr>
          <w:rFonts w:ascii="Cambria" w:eastAsia="Times New Roman" w:hAnsi="Cambria" w:cstheme="minorHAnsi"/>
        </w:rPr>
        <w:t>s</w:t>
      </w:r>
      <w:r w:rsidRPr="009A0DA6">
        <w:rPr>
          <w:rFonts w:ascii="Cambria" w:eastAsia="Times New Roman" w:hAnsi="Cambria" w:cstheme="minorHAnsi"/>
          <w:spacing w:val="-9"/>
        </w:rPr>
        <w:t xml:space="preserve"> </w:t>
      </w:r>
      <w:r w:rsidRPr="009A0DA6">
        <w:rPr>
          <w:rFonts w:ascii="Cambria" w:eastAsia="Times New Roman" w:hAnsi="Cambria" w:cstheme="minorHAnsi"/>
        </w:rPr>
        <w:t>A</w:t>
      </w:r>
      <w:r w:rsidRPr="009A0DA6">
        <w:rPr>
          <w:rFonts w:ascii="Cambria" w:eastAsia="Times New Roman" w:hAnsi="Cambria" w:cstheme="minorHAnsi"/>
          <w:spacing w:val="1"/>
        </w:rPr>
        <w:t>u</w:t>
      </w:r>
      <w:r w:rsidRPr="009A0DA6">
        <w:rPr>
          <w:rFonts w:ascii="Cambria" w:eastAsia="Times New Roman" w:hAnsi="Cambria" w:cstheme="minorHAnsi"/>
          <w:spacing w:val="-1"/>
        </w:rPr>
        <w:t>s</w:t>
      </w:r>
      <w:r w:rsidRPr="009A0DA6">
        <w:rPr>
          <w:rFonts w:ascii="Cambria" w:eastAsia="Times New Roman" w:hAnsi="Cambria" w:cstheme="minorHAnsi"/>
        </w:rPr>
        <w:t>t</w:t>
      </w:r>
      <w:r w:rsidRPr="009A0DA6">
        <w:rPr>
          <w:rFonts w:ascii="Cambria" w:eastAsia="Times New Roman" w:hAnsi="Cambria" w:cstheme="minorHAnsi"/>
          <w:spacing w:val="1"/>
        </w:rPr>
        <w:t>r</w:t>
      </w:r>
      <w:r w:rsidRPr="009A0DA6">
        <w:rPr>
          <w:rFonts w:ascii="Cambria" w:eastAsia="Times New Roman" w:hAnsi="Cambria" w:cstheme="minorHAnsi"/>
        </w:rPr>
        <w:t>alia</w:t>
      </w:r>
    </w:p>
    <w:p w14:paraId="2B5D47DB" w14:textId="77777777" w:rsidR="00BA4592" w:rsidRPr="009A0DA6" w:rsidRDefault="00BA4592" w:rsidP="00F55252">
      <w:pPr>
        <w:pStyle w:val="ListParagraph"/>
        <w:widowControl w:val="0"/>
        <w:numPr>
          <w:ilvl w:val="0"/>
          <w:numId w:val="274"/>
        </w:numPr>
        <w:tabs>
          <w:tab w:val="center" w:pos="4394"/>
          <w:tab w:val="right" w:pos="6095"/>
          <w:tab w:val="right" w:pos="7371"/>
          <w:tab w:val="right" w:pos="8647"/>
        </w:tabs>
        <w:spacing w:before="120" w:after="120" w:line="240" w:lineRule="auto"/>
        <w:ind w:left="567" w:right="-51" w:hanging="538"/>
        <w:rPr>
          <w:rFonts w:ascii="Cambria" w:eastAsia="Times New Roman" w:hAnsi="Cambria" w:cstheme="minorHAnsi"/>
        </w:rPr>
      </w:pPr>
      <w:r w:rsidRPr="009A0DA6">
        <w:rPr>
          <w:rFonts w:ascii="Cambria" w:eastAsia="Times New Roman" w:hAnsi="Cambria" w:cstheme="minorHAnsi"/>
          <w:spacing w:val="-2"/>
        </w:rPr>
        <w:t>L</w:t>
      </w:r>
      <w:r w:rsidRPr="009A0DA6">
        <w:rPr>
          <w:rFonts w:ascii="Cambria" w:eastAsia="Times New Roman" w:hAnsi="Cambria" w:cstheme="minorHAnsi"/>
          <w:spacing w:val="2"/>
        </w:rPr>
        <w:t>C</w:t>
      </w:r>
      <w:r w:rsidRPr="009A0DA6">
        <w:rPr>
          <w:rFonts w:ascii="Cambria" w:eastAsia="Times New Roman" w:hAnsi="Cambria" w:cstheme="minorHAnsi"/>
        </w:rPr>
        <w:t>A</w:t>
      </w:r>
      <w:r w:rsidRPr="009A0DA6">
        <w:rPr>
          <w:rFonts w:ascii="Cambria" w:eastAsia="Times New Roman" w:hAnsi="Cambria" w:cstheme="minorHAnsi"/>
          <w:spacing w:val="-3"/>
        </w:rPr>
        <w:t xml:space="preserve"> </w:t>
      </w:r>
      <w:r w:rsidRPr="009A0DA6">
        <w:rPr>
          <w:rFonts w:ascii="Cambria" w:eastAsia="Times New Roman" w:hAnsi="Cambria" w:cstheme="minorHAnsi"/>
          <w:spacing w:val="2"/>
        </w:rPr>
        <w:t>S</w:t>
      </w:r>
      <w:r w:rsidRPr="009A0DA6">
        <w:rPr>
          <w:rFonts w:ascii="Cambria" w:eastAsia="Times New Roman" w:hAnsi="Cambria" w:cstheme="minorHAnsi"/>
          <w:spacing w:val="-1"/>
        </w:rPr>
        <w:t>u</w:t>
      </w:r>
      <w:r w:rsidRPr="009A0DA6">
        <w:rPr>
          <w:rFonts w:ascii="Cambria" w:eastAsia="Times New Roman" w:hAnsi="Cambria" w:cstheme="minorHAnsi"/>
          <w:spacing w:val="1"/>
        </w:rPr>
        <w:t>b</w:t>
      </w:r>
      <w:r w:rsidRPr="009A0DA6">
        <w:rPr>
          <w:rFonts w:ascii="Cambria" w:eastAsia="Times New Roman" w:hAnsi="Cambria" w:cstheme="minorHAnsi"/>
          <w:spacing w:val="-1"/>
        </w:rPr>
        <w:t>s</w:t>
      </w:r>
      <w:r w:rsidRPr="009A0DA6">
        <w:rPr>
          <w:rFonts w:ascii="Cambria" w:eastAsia="Times New Roman" w:hAnsi="Cambria" w:cstheme="minorHAnsi"/>
        </w:rPr>
        <w:t>c</w:t>
      </w:r>
      <w:r w:rsidRPr="009A0DA6">
        <w:rPr>
          <w:rFonts w:ascii="Cambria" w:eastAsia="Times New Roman" w:hAnsi="Cambria" w:cstheme="minorHAnsi"/>
          <w:spacing w:val="1"/>
        </w:rPr>
        <w:t>r</w:t>
      </w:r>
      <w:r w:rsidRPr="009A0DA6">
        <w:rPr>
          <w:rFonts w:ascii="Cambria" w:eastAsia="Times New Roman" w:hAnsi="Cambria" w:cstheme="minorHAnsi"/>
        </w:rPr>
        <w:t>i</w:t>
      </w:r>
      <w:r w:rsidRPr="009A0DA6">
        <w:rPr>
          <w:rFonts w:ascii="Cambria" w:eastAsia="Times New Roman" w:hAnsi="Cambria" w:cstheme="minorHAnsi"/>
          <w:spacing w:val="1"/>
        </w:rPr>
        <w:t>p</w:t>
      </w:r>
      <w:r w:rsidRPr="009A0DA6">
        <w:rPr>
          <w:rFonts w:ascii="Cambria" w:eastAsia="Times New Roman" w:hAnsi="Cambria" w:cstheme="minorHAnsi"/>
        </w:rPr>
        <w:t>ti</w:t>
      </w:r>
      <w:r w:rsidRPr="009A0DA6">
        <w:rPr>
          <w:rFonts w:ascii="Cambria" w:eastAsia="Times New Roman" w:hAnsi="Cambria" w:cstheme="minorHAnsi"/>
          <w:spacing w:val="1"/>
        </w:rPr>
        <w:t>o</w:t>
      </w:r>
      <w:r w:rsidRPr="009A0DA6">
        <w:rPr>
          <w:rFonts w:ascii="Cambria" w:eastAsia="Times New Roman" w:hAnsi="Cambria" w:cstheme="minorHAnsi"/>
          <w:spacing w:val="-1"/>
        </w:rPr>
        <w:t>ns</w:t>
      </w:r>
      <w:r w:rsidRPr="009A0DA6">
        <w:rPr>
          <w:rFonts w:ascii="Cambria" w:eastAsia="Times New Roman" w:hAnsi="Cambria" w:cstheme="minorHAnsi"/>
        </w:rPr>
        <w:t>.</w:t>
      </w:r>
    </w:p>
    <w:p w14:paraId="349A713B" w14:textId="5A4A0F63" w:rsidR="00BA4592" w:rsidRPr="009A0DA6" w:rsidRDefault="00BA4592" w:rsidP="00BA4592">
      <w:pPr>
        <w:tabs>
          <w:tab w:val="center" w:pos="4394"/>
          <w:tab w:val="right" w:pos="6095"/>
          <w:tab w:val="right" w:pos="7371"/>
          <w:tab w:val="right" w:pos="8647"/>
        </w:tabs>
        <w:spacing w:before="120" w:after="120" w:line="240" w:lineRule="auto"/>
        <w:ind w:right="-51"/>
        <w:contextualSpacing/>
        <w:rPr>
          <w:rFonts w:ascii="Cambria" w:eastAsia="Times New Roman" w:hAnsi="Cambria" w:cstheme="minorHAnsi"/>
        </w:rPr>
      </w:pPr>
      <w:r w:rsidRPr="009A0DA6">
        <w:rPr>
          <w:rFonts w:ascii="Cambria" w:eastAsia="Times New Roman" w:hAnsi="Cambria" w:cstheme="minorHAnsi"/>
          <w:spacing w:val="3"/>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5"/>
        </w:rPr>
        <w:t xml:space="preserve"> </w:t>
      </w:r>
      <w:r w:rsidRPr="009A0DA6">
        <w:rPr>
          <w:rFonts w:ascii="Cambria" w:eastAsia="Times New Roman" w:hAnsi="Cambria" w:cstheme="minorHAnsi"/>
          <w:spacing w:val="-1"/>
        </w:rPr>
        <w:t>f</w:t>
      </w:r>
      <w:r w:rsidRPr="009A0DA6">
        <w:rPr>
          <w:rFonts w:ascii="Cambria" w:eastAsia="Times New Roman" w:hAnsi="Cambria" w:cstheme="minorHAnsi"/>
        </w:rPr>
        <w:t>i</w:t>
      </w:r>
      <w:r w:rsidRPr="009A0DA6">
        <w:rPr>
          <w:rFonts w:ascii="Cambria" w:eastAsia="Times New Roman" w:hAnsi="Cambria" w:cstheme="minorHAnsi"/>
          <w:spacing w:val="-1"/>
        </w:rPr>
        <w:t>n</w:t>
      </w:r>
      <w:r w:rsidRPr="009A0DA6">
        <w:rPr>
          <w:rFonts w:ascii="Cambria" w:eastAsia="Times New Roman" w:hAnsi="Cambria" w:cstheme="minorHAnsi"/>
          <w:spacing w:val="3"/>
        </w:rPr>
        <w:t>a</w:t>
      </w:r>
      <w:r w:rsidRPr="009A0DA6">
        <w:rPr>
          <w:rFonts w:ascii="Cambria" w:eastAsia="Times New Roman" w:hAnsi="Cambria" w:cstheme="minorHAnsi"/>
          <w:spacing w:val="-1"/>
        </w:rPr>
        <w:t>n</w:t>
      </w:r>
      <w:r w:rsidRPr="009A0DA6">
        <w:rPr>
          <w:rFonts w:ascii="Cambria" w:eastAsia="Times New Roman" w:hAnsi="Cambria" w:cstheme="minorHAnsi"/>
        </w:rPr>
        <w:t>cial acc</w:t>
      </w:r>
      <w:r w:rsidRPr="009A0DA6">
        <w:rPr>
          <w:rFonts w:ascii="Cambria" w:eastAsia="Times New Roman" w:hAnsi="Cambria" w:cstheme="minorHAnsi"/>
          <w:spacing w:val="4"/>
        </w:rPr>
        <w:t>o</w:t>
      </w:r>
      <w:r w:rsidRPr="009A0DA6">
        <w:rPr>
          <w:rFonts w:ascii="Cambria" w:eastAsia="Times New Roman" w:hAnsi="Cambria" w:cstheme="minorHAnsi"/>
          <w:spacing w:val="-1"/>
        </w:rPr>
        <w:t>un</w:t>
      </w:r>
      <w:r w:rsidRPr="009A0DA6">
        <w:rPr>
          <w:rFonts w:ascii="Cambria" w:eastAsia="Times New Roman" w:hAnsi="Cambria" w:cstheme="minorHAnsi"/>
          <w:spacing w:val="2"/>
        </w:rPr>
        <w:t>t</w:t>
      </w:r>
      <w:r w:rsidRPr="009A0DA6">
        <w:rPr>
          <w:rFonts w:ascii="Cambria" w:eastAsia="Times New Roman" w:hAnsi="Cambria" w:cstheme="minorHAnsi"/>
        </w:rPr>
        <w:t xml:space="preserve">s </w:t>
      </w:r>
      <w:r w:rsidRPr="009A0DA6">
        <w:rPr>
          <w:rFonts w:ascii="Cambria" w:eastAsia="Times New Roman" w:hAnsi="Cambria" w:cstheme="minorHAnsi"/>
          <w:spacing w:val="1"/>
        </w:rPr>
        <w:t>d</w:t>
      </w:r>
      <w:r w:rsidRPr="009A0DA6">
        <w:rPr>
          <w:rFonts w:ascii="Cambria" w:eastAsia="Times New Roman" w:hAnsi="Cambria" w:cstheme="minorHAnsi"/>
        </w:rPr>
        <w:t>o</w:t>
      </w:r>
      <w:r w:rsidRPr="009A0DA6">
        <w:rPr>
          <w:rFonts w:ascii="Cambria" w:eastAsia="Times New Roman" w:hAnsi="Cambria" w:cstheme="minorHAnsi"/>
          <w:spacing w:val="7"/>
        </w:rPr>
        <w:t xml:space="preserve"> </w:t>
      </w:r>
      <w:r w:rsidRPr="009A0DA6">
        <w:rPr>
          <w:rFonts w:ascii="Cambria" w:eastAsia="Times New Roman" w:hAnsi="Cambria" w:cstheme="minorHAnsi"/>
          <w:spacing w:val="-1"/>
        </w:rPr>
        <w:t>n</w:t>
      </w:r>
      <w:r w:rsidRPr="009A0DA6">
        <w:rPr>
          <w:rFonts w:ascii="Cambria" w:eastAsia="Times New Roman" w:hAnsi="Cambria" w:cstheme="minorHAnsi"/>
          <w:spacing w:val="4"/>
        </w:rPr>
        <w:t>o</w:t>
      </w:r>
      <w:r w:rsidRPr="009A0DA6">
        <w:rPr>
          <w:rFonts w:ascii="Cambria" w:eastAsia="Times New Roman" w:hAnsi="Cambria" w:cstheme="minorHAnsi"/>
        </w:rPr>
        <w:t>t</w:t>
      </w:r>
      <w:r w:rsidRPr="009A0DA6">
        <w:rPr>
          <w:rFonts w:ascii="Cambria" w:eastAsia="Times New Roman" w:hAnsi="Cambria" w:cstheme="minorHAnsi"/>
          <w:spacing w:val="4"/>
        </w:rPr>
        <w:t xml:space="preserve"> </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1"/>
        </w:rPr>
        <w:t>por</w:t>
      </w:r>
      <w:r w:rsidRPr="009A0DA6">
        <w:rPr>
          <w:rFonts w:ascii="Cambria" w:eastAsia="Times New Roman" w:hAnsi="Cambria" w:cstheme="minorHAnsi"/>
        </w:rPr>
        <w:t>t</w:t>
      </w:r>
      <w:r w:rsidRPr="009A0DA6">
        <w:rPr>
          <w:rFonts w:ascii="Cambria" w:eastAsia="Times New Roman" w:hAnsi="Cambria" w:cstheme="minorHAnsi"/>
          <w:spacing w:val="2"/>
        </w:rPr>
        <w:t xml:space="preserve"> </w:t>
      </w:r>
      <w:r w:rsidRPr="009A0DA6">
        <w:rPr>
          <w:rFonts w:ascii="Cambria" w:eastAsia="Times New Roman" w:hAnsi="Cambria" w:cstheme="minorHAnsi"/>
          <w:spacing w:val="1"/>
        </w:rPr>
        <w:t>o</w:t>
      </w:r>
      <w:r w:rsidRPr="009A0DA6">
        <w:rPr>
          <w:rFonts w:ascii="Cambria" w:eastAsia="Times New Roman" w:hAnsi="Cambria" w:cstheme="minorHAnsi"/>
        </w:rPr>
        <w:t>n</w:t>
      </w:r>
      <w:r w:rsidRPr="009A0DA6">
        <w:rPr>
          <w:rFonts w:ascii="Cambria" w:eastAsia="Times New Roman" w:hAnsi="Cambria" w:cstheme="minorHAnsi"/>
          <w:spacing w:val="4"/>
        </w:rPr>
        <w:t xml:space="preserve"> </w:t>
      </w:r>
      <w:r w:rsidRPr="009A0DA6">
        <w:rPr>
          <w:rFonts w:ascii="Cambria" w:eastAsia="Times New Roman" w:hAnsi="Cambria" w:cstheme="minorHAnsi"/>
        </w:rPr>
        <w:t>acti</w:t>
      </w:r>
      <w:r w:rsidRPr="009A0DA6">
        <w:rPr>
          <w:rFonts w:ascii="Cambria" w:eastAsia="Times New Roman" w:hAnsi="Cambria" w:cstheme="minorHAnsi"/>
          <w:spacing w:val="-1"/>
        </w:rPr>
        <w:t>v</w:t>
      </w:r>
      <w:r w:rsidRPr="009A0DA6">
        <w:rPr>
          <w:rFonts w:ascii="Cambria" w:eastAsia="Times New Roman" w:hAnsi="Cambria" w:cstheme="minorHAnsi"/>
        </w:rPr>
        <w:t>i</w:t>
      </w:r>
      <w:r w:rsidRPr="009A0DA6">
        <w:rPr>
          <w:rFonts w:ascii="Cambria" w:eastAsia="Times New Roman" w:hAnsi="Cambria" w:cstheme="minorHAnsi"/>
          <w:spacing w:val="2"/>
        </w:rPr>
        <w:t>t</w:t>
      </w:r>
      <w:r w:rsidRPr="009A0DA6">
        <w:rPr>
          <w:rFonts w:ascii="Cambria" w:eastAsia="Times New Roman" w:hAnsi="Cambria" w:cstheme="minorHAnsi"/>
        </w:rPr>
        <w:t xml:space="preserve">y </w:t>
      </w:r>
      <w:r w:rsidRPr="009A0DA6">
        <w:rPr>
          <w:rFonts w:ascii="Cambria" w:eastAsia="Times New Roman" w:hAnsi="Cambria" w:cstheme="minorHAnsi"/>
          <w:spacing w:val="1"/>
        </w:rPr>
        <w:t>o</w:t>
      </w:r>
      <w:r w:rsidRPr="009A0DA6">
        <w:rPr>
          <w:rFonts w:ascii="Cambria" w:eastAsia="Times New Roman" w:hAnsi="Cambria" w:cstheme="minorHAnsi"/>
        </w:rPr>
        <w:t>f</w:t>
      </w:r>
      <w:r w:rsidRPr="009A0DA6">
        <w:rPr>
          <w:rFonts w:ascii="Cambria" w:eastAsia="Times New Roman" w:hAnsi="Cambria" w:cstheme="minorHAnsi"/>
          <w:spacing w:val="6"/>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8"/>
        </w:rPr>
        <w:t xml:space="preserve"> </w:t>
      </w:r>
      <w:r w:rsidR="00336CE0" w:rsidRPr="009A0DA6">
        <w:rPr>
          <w:rFonts w:ascii="Cambria" w:eastAsia="Times New Roman" w:hAnsi="Cambria" w:cstheme="minorHAnsi"/>
          <w:spacing w:val="2"/>
        </w:rPr>
        <w:t>church</w:t>
      </w:r>
      <w:r w:rsidRPr="009A0DA6">
        <w:rPr>
          <w:rFonts w:ascii="Cambria" w:eastAsia="Times New Roman" w:hAnsi="Cambria" w:cstheme="minorHAnsi"/>
        </w:rPr>
        <w:t xml:space="preserve"> </w:t>
      </w:r>
      <w:r w:rsidRPr="009A0DA6">
        <w:rPr>
          <w:rFonts w:ascii="Cambria" w:eastAsia="Times New Roman" w:hAnsi="Cambria" w:cstheme="minorHAnsi"/>
          <w:spacing w:val="2"/>
        </w:rPr>
        <w:t>t</w:t>
      </w:r>
      <w:r w:rsidRPr="009A0DA6">
        <w:rPr>
          <w:rFonts w:ascii="Cambria" w:eastAsia="Times New Roman" w:hAnsi="Cambria" w:cstheme="minorHAnsi"/>
          <w:spacing w:val="-1"/>
        </w:rPr>
        <w:t>h</w:t>
      </w:r>
      <w:r w:rsidRPr="009A0DA6">
        <w:rPr>
          <w:rFonts w:ascii="Cambria" w:eastAsia="Times New Roman" w:hAnsi="Cambria" w:cstheme="minorHAnsi"/>
        </w:rPr>
        <w:t>at</w:t>
      </w:r>
      <w:r w:rsidRPr="009A0DA6">
        <w:rPr>
          <w:rFonts w:ascii="Cambria" w:eastAsia="Times New Roman" w:hAnsi="Cambria" w:cstheme="minorHAnsi"/>
          <w:spacing w:val="4"/>
        </w:rPr>
        <w:t xml:space="preserve"> </w:t>
      </w:r>
      <w:r w:rsidRPr="009A0DA6">
        <w:rPr>
          <w:rFonts w:ascii="Cambria" w:eastAsia="Times New Roman" w:hAnsi="Cambria" w:cstheme="minorHAnsi"/>
          <w:spacing w:val="2"/>
        </w:rPr>
        <w:t>i</w:t>
      </w:r>
      <w:r w:rsidRPr="009A0DA6">
        <w:rPr>
          <w:rFonts w:ascii="Cambria" w:eastAsia="Times New Roman" w:hAnsi="Cambria" w:cstheme="minorHAnsi"/>
        </w:rPr>
        <w:t>s</w:t>
      </w:r>
      <w:r w:rsidRPr="009A0DA6">
        <w:rPr>
          <w:rFonts w:ascii="Cambria" w:eastAsia="Times New Roman" w:hAnsi="Cambria" w:cstheme="minorHAnsi"/>
          <w:spacing w:val="6"/>
        </w:rPr>
        <w:t xml:space="preserve"> </w:t>
      </w:r>
      <w:r w:rsidRPr="009A0DA6">
        <w:rPr>
          <w:rFonts w:ascii="Cambria" w:eastAsia="Times New Roman" w:hAnsi="Cambria" w:cstheme="minorHAnsi"/>
          <w:spacing w:val="1"/>
        </w:rPr>
        <w:t>ou</w:t>
      </w:r>
      <w:r w:rsidRPr="009A0DA6">
        <w:rPr>
          <w:rFonts w:ascii="Cambria" w:eastAsia="Times New Roman" w:hAnsi="Cambria" w:cstheme="minorHAnsi"/>
        </w:rPr>
        <w:t>t</w:t>
      </w:r>
      <w:r w:rsidRPr="009A0DA6">
        <w:rPr>
          <w:rFonts w:ascii="Cambria" w:eastAsia="Times New Roman" w:hAnsi="Cambria" w:cstheme="minorHAnsi"/>
          <w:spacing w:val="-1"/>
        </w:rPr>
        <w:t>s</w:t>
      </w:r>
      <w:r w:rsidRPr="009A0DA6">
        <w:rPr>
          <w:rFonts w:ascii="Cambria" w:eastAsia="Times New Roman" w:hAnsi="Cambria" w:cstheme="minorHAnsi"/>
        </w:rPr>
        <w:t>i</w:t>
      </w:r>
      <w:r w:rsidRPr="009A0DA6">
        <w:rPr>
          <w:rFonts w:ascii="Cambria" w:eastAsia="Times New Roman" w:hAnsi="Cambria" w:cstheme="minorHAnsi"/>
          <w:spacing w:val="1"/>
        </w:rPr>
        <w:t>d</w:t>
      </w:r>
      <w:r w:rsidRPr="009A0DA6">
        <w:rPr>
          <w:rFonts w:ascii="Cambria" w:eastAsia="Times New Roman" w:hAnsi="Cambria" w:cstheme="minorHAnsi"/>
        </w:rPr>
        <w:t>e</w:t>
      </w:r>
      <w:r w:rsidRPr="009A0DA6">
        <w:rPr>
          <w:rFonts w:ascii="Cambria" w:eastAsia="Times New Roman" w:hAnsi="Cambria" w:cstheme="minorHAnsi"/>
          <w:spacing w:val="2"/>
        </w:rPr>
        <w:t xml:space="preserve"> </w:t>
      </w:r>
      <w:r w:rsidRPr="009A0DA6">
        <w:rPr>
          <w:rFonts w:ascii="Cambria" w:eastAsia="Times New Roman" w:hAnsi="Cambria" w:cstheme="minorHAnsi"/>
          <w:spacing w:val="1"/>
        </w:rPr>
        <w:t>o</w:t>
      </w:r>
      <w:r w:rsidRPr="009A0DA6">
        <w:rPr>
          <w:rFonts w:ascii="Cambria" w:eastAsia="Times New Roman" w:hAnsi="Cambria" w:cstheme="minorHAnsi"/>
        </w:rPr>
        <w:t>f</w:t>
      </w:r>
      <w:r w:rsidRPr="009A0DA6">
        <w:rPr>
          <w:rFonts w:ascii="Cambria" w:eastAsia="Times New Roman" w:hAnsi="Cambria" w:cstheme="minorHAnsi"/>
          <w:spacing w:val="6"/>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8"/>
        </w:rPr>
        <w:t xml:space="preserve"> </w:t>
      </w:r>
      <w:r w:rsidRPr="009A0DA6">
        <w:rPr>
          <w:rFonts w:ascii="Cambria" w:eastAsia="Times New Roman" w:hAnsi="Cambria" w:cstheme="minorHAnsi"/>
          <w:spacing w:val="-1"/>
        </w:rPr>
        <w:t>s</w:t>
      </w:r>
      <w:r w:rsidRPr="009A0DA6">
        <w:rPr>
          <w:rFonts w:ascii="Cambria" w:eastAsia="Times New Roman" w:hAnsi="Cambria" w:cstheme="minorHAnsi"/>
          <w:spacing w:val="3"/>
        </w:rPr>
        <w:t>c</w:t>
      </w:r>
      <w:r w:rsidRPr="009A0DA6">
        <w:rPr>
          <w:rFonts w:ascii="Cambria" w:eastAsia="Times New Roman" w:hAnsi="Cambria" w:cstheme="minorHAnsi"/>
          <w:spacing w:val="1"/>
        </w:rPr>
        <w:t>op</w:t>
      </w:r>
      <w:r w:rsidRPr="009A0DA6">
        <w:rPr>
          <w:rFonts w:ascii="Cambria" w:eastAsia="Times New Roman" w:hAnsi="Cambria" w:cstheme="minorHAnsi"/>
        </w:rPr>
        <w:t>e</w:t>
      </w:r>
      <w:r w:rsidRPr="009A0DA6">
        <w:rPr>
          <w:rFonts w:ascii="Cambria" w:eastAsia="Times New Roman" w:hAnsi="Cambria" w:cstheme="minorHAnsi"/>
          <w:spacing w:val="3"/>
        </w:rPr>
        <w:t xml:space="preserve"> </w:t>
      </w:r>
      <w:r w:rsidRPr="009A0DA6">
        <w:rPr>
          <w:rFonts w:ascii="Cambria" w:eastAsia="Times New Roman" w:hAnsi="Cambria" w:cstheme="minorHAnsi"/>
          <w:spacing w:val="1"/>
        </w:rPr>
        <w:t>o</w:t>
      </w:r>
      <w:r w:rsidRPr="009A0DA6">
        <w:rPr>
          <w:rFonts w:ascii="Cambria" w:eastAsia="Times New Roman" w:hAnsi="Cambria" w:cstheme="minorHAnsi"/>
        </w:rPr>
        <w:t>f</w:t>
      </w:r>
      <w:r w:rsidRPr="009A0DA6">
        <w:rPr>
          <w:rFonts w:ascii="Cambria" w:eastAsia="Times New Roman" w:hAnsi="Cambria" w:cstheme="minorHAnsi"/>
          <w:spacing w:val="4"/>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 a</w:t>
      </w:r>
      <w:r w:rsidRPr="009A0DA6">
        <w:rPr>
          <w:rFonts w:ascii="Cambria" w:eastAsia="Times New Roman" w:hAnsi="Cambria" w:cstheme="minorHAnsi"/>
          <w:spacing w:val="1"/>
        </w:rPr>
        <w:t>bo</w:t>
      </w:r>
      <w:r w:rsidRPr="009A0DA6">
        <w:rPr>
          <w:rFonts w:ascii="Cambria" w:eastAsia="Times New Roman" w:hAnsi="Cambria" w:cstheme="minorHAnsi"/>
          <w:spacing w:val="-1"/>
        </w:rPr>
        <w:t>v</w:t>
      </w:r>
      <w:r w:rsidRPr="009A0DA6">
        <w:rPr>
          <w:rFonts w:ascii="Cambria" w:eastAsia="Times New Roman" w:hAnsi="Cambria" w:cstheme="minorHAnsi"/>
        </w:rPr>
        <w:t>e</w:t>
      </w:r>
      <w:r w:rsidRPr="009A0DA6">
        <w:rPr>
          <w:rFonts w:ascii="Cambria" w:eastAsia="Times New Roman" w:hAnsi="Cambria" w:cstheme="minorHAnsi"/>
          <w:spacing w:val="25"/>
        </w:rPr>
        <w:t xml:space="preserve"> </w:t>
      </w:r>
      <w:r w:rsidRPr="009A0DA6">
        <w:rPr>
          <w:rFonts w:ascii="Cambria" w:eastAsia="Times New Roman" w:hAnsi="Cambria" w:cstheme="minorHAnsi"/>
          <w:spacing w:val="-4"/>
        </w:rPr>
        <w:t>m</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rPr>
        <w:t>i</w:t>
      </w:r>
      <w:r w:rsidRPr="009A0DA6">
        <w:rPr>
          <w:rFonts w:ascii="Cambria" w:eastAsia="Times New Roman" w:hAnsi="Cambria" w:cstheme="minorHAnsi"/>
          <w:spacing w:val="2"/>
        </w:rPr>
        <w:t>s</w:t>
      </w:r>
      <w:r w:rsidRPr="009A0DA6">
        <w:rPr>
          <w:rFonts w:ascii="Cambria" w:eastAsia="Times New Roman" w:hAnsi="Cambria" w:cstheme="minorHAnsi"/>
        </w:rPr>
        <w:t>t</w:t>
      </w:r>
      <w:r w:rsidRPr="009A0DA6">
        <w:rPr>
          <w:rFonts w:ascii="Cambria" w:eastAsia="Times New Roman" w:hAnsi="Cambria" w:cstheme="minorHAnsi"/>
          <w:spacing w:val="1"/>
        </w:rPr>
        <w:t>r</w:t>
      </w:r>
      <w:r w:rsidRPr="009A0DA6">
        <w:rPr>
          <w:rFonts w:ascii="Cambria" w:eastAsia="Times New Roman" w:hAnsi="Cambria" w:cstheme="minorHAnsi"/>
        </w:rPr>
        <w:t>ies</w:t>
      </w:r>
      <w:r w:rsidRPr="009A0DA6">
        <w:rPr>
          <w:rFonts w:ascii="Cambria" w:eastAsia="Times New Roman" w:hAnsi="Cambria" w:cstheme="minorHAnsi"/>
          <w:spacing w:val="18"/>
        </w:rPr>
        <w:t xml:space="preserve"> </w:t>
      </w:r>
      <w:r w:rsidRPr="009A0DA6">
        <w:rPr>
          <w:rFonts w:ascii="Cambria" w:eastAsia="Times New Roman" w:hAnsi="Cambria" w:cstheme="minorHAnsi"/>
          <w:spacing w:val="3"/>
        </w:rPr>
        <w:t>a</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spacing w:val="25"/>
        </w:rPr>
        <w:t xml:space="preserve"> </w:t>
      </w:r>
      <w:r w:rsidRPr="009A0DA6">
        <w:rPr>
          <w:rFonts w:ascii="Cambria" w:eastAsia="Times New Roman" w:hAnsi="Cambria" w:cstheme="minorHAnsi"/>
        </w:rPr>
        <w:t>c</w:t>
      </w:r>
      <w:r w:rsidRPr="009A0DA6">
        <w:rPr>
          <w:rFonts w:ascii="Cambria" w:eastAsia="Times New Roman" w:hAnsi="Cambria" w:cstheme="minorHAnsi"/>
          <w:spacing w:val="1"/>
        </w:rPr>
        <w:t>or</w:t>
      </w:r>
      <w:r w:rsidRPr="009A0DA6">
        <w:rPr>
          <w:rFonts w:ascii="Cambria" w:eastAsia="Times New Roman" w:hAnsi="Cambria" w:cstheme="minorHAnsi"/>
        </w:rPr>
        <w:t>e</w:t>
      </w:r>
      <w:r w:rsidRPr="009A0DA6">
        <w:rPr>
          <w:rFonts w:ascii="Cambria" w:eastAsia="Times New Roman" w:hAnsi="Cambria" w:cstheme="minorHAnsi"/>
          <w:spacing w:val="24"/>
        </w:rPr>
        <w:t xml:space="preserve"> </w:t>
      </w:r>
      <w:r w:rsidRPr="009A0DA6">
        <w:rPr>
          <w:rFonts w:ascii="Cambria" w:eastAsia="Times New Roman" w:hAnsi="Cambria" w:cstheme="minorHAnsi"/>
          <w:spacing w:val="1"/>
        </w:rPr>
        <w:t>bud</w:t>
      </w:r>
      <w:r w:rsidRPr="009A0DA6">
        <w:rPr>
          <w:rFonts w:ascii="Cambria" w:eastAsia="Times New Roman" w:hAnsi="Cambria" w:cstheme="minorHAnsi"/>
          <w:spacing w:val="-1"/>
        </w:rPr>
        <w:t>g</w:t>
      </w:r>
      <w:r w:rsidRPr="009A0DA6">
        <w:rPr>
          <w:rFonts w:ascii="Cambria" w:eastAsia="Times New Roman" w:hAnsi="Cambria" w:cstheme="minorHAnsi"/>
        </w:rPr>
        <w:t>et.</w:t>
      </w:r>
      <w:r w:rsidRPr="009A0DA6">
        <w:rPr>
          <w:rFonts w:ascii="Cambria" w:eastAsia="Times New Roman" w:hAnsi="Cambria" w:cstheme="minorHAnsi"/>
          <w:spacing w:val="21"/>
        </w:rPr>
        <w:t xml:space="preserve"> </w:t>
      </w:r>
      <w:r w:rsidRPr="009A0DA6">
        <w:rPr>
          <w:rFonts w:ascii="Cambria" w:eastAsia="Times New Roman" w:hAnsi="Cambria" w:cstheme="minorHAnsi"/>
          <w:spacing w:val="3"/>
        </w:rPr>
        <w:t>T</w:t>
      </w:r>
      <w:r w:rsidRPr="009A0DA6">
        <w:rPr>
          <w:rFonts w:ascii="Cambria" w:eastAsia="Times New Roman" w:hAnsi="Cambria" w:cstheme="minorHAnsi"/>
          <w:spacing w:val="-1"/>
        </w:rPr>
        <w:t>h</w:t>
      </w:r>
      <w:r w:rsidRPr="009A0DA6">
        <w:rPr>
          <w:rFonts w:ascii="Cambria" w:eastAsia="Times New Roman" w:hAnsi="Cambria" w:cstheme="minorHAnsi"/>
        </w:rPr>
        <w:t>is</w:t>
      </w:r>
      <w:r w:rsidRPr="009A0DA6">
        <w:rPr>
          <w:rFonts w:ascii="Cambria" w:eastAsia="Times New Roman" w:hAnsi="Cambria" w:cstheme="minorHAnsi"/>
          <w:spacing w:val="22"/>
        </w:rPr>
        <w:t xml:space="preserve"> </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rPr>
        <w:t>c</w:t>
      </w:r>
      <w:r w:rsidRPr="009A0DA6">
        <w:rPr>
          <w:rFonts w:ascii="Cambria" w:eastAsia="Times New Roman" w:hAnsi="Cambria" w:cstheme="minorHAnsi"/>
          <w:spacing w:val="2"/>
        </w:rPr>
        <w:t>l</w:t>
      </w:r>
      <w:r w:rsidRPr="009A0DA6">
        <w:rPr>
          <w:rFonts w:ascii="Cambria" w:eastAsia="Times New Roman" w:hAnsi="Cambria" w:cstheme="minorHAnsi"/>
          <w:spacing w:val="-1"/>
        </w:rPr>
        <w:t>u</w:t>
      </w:r>
      <w:r w:rsidRPr="009A0DA6">
        <w:rPr>
          <w:rFonts w:ascii="Cambria" w:eastAsia="Times New Roman" w:hAnsi="Cambria" w:cstheme="minorHAnsi"/>
          <w:spacing w:val="1"/>
        </w:rPr>
        <w:t>d</w:t>
      </w:r>
      <w:r w:rsidRPr="009A0DA6">
        <w:rPr>
          <w:rFonts w:ascii="Cambria" w:eastAsia="Times New Roman" w:hAnsi="Cambria" w:cstheme="minorHAnsi"/>
        </w:rPr>
        <w:t>es</w:t>
      </w:r>
      <w:r w:rsidRPr="009A0DA6">
        <w:rPr>
          <w:rFonts w:ascii="Cambria" w:eastAsia="Times New Roman" w:hAnsi="Cambria" w:cstheme="minorHAnsi"/>
          <w:spacing w:val="19"/>
        </w:rPr>
        <w:t xml:space="preserve"> </w:t>
      </w:r>
      <w:r w:rsidRPr="009A0DA6">
        <w:rPr>
          <w:rFonts w:ascii="Cambria" w:eastAsia="Times New Roman" w:hAnsi="Cambria" w:cstheme="minorHAnsi"/>
          <w:spacing w:val="-1"/>
        </w:rPr>
        <w:t>s</w:t>
      </w:r>
      <w:r w:rsidRPr="009A0DA6">
        <w:rPr>
          <w:rFonts w:ascii="Cambria" w:eastAsia="Times New Roman" w:hAnsi="Cambria" w:cstheme="minorHAnsi"/>
          <w:spacing w:val="4"/>
        </w:rPr>
        <w:t>o</w:t>
      </w:r>
      <w:r w:rsidRPr="009A0DA6">
        <w:rPr>
          <w:rFonts w:ascii="Cambria" w:eastAsia="Times New Roman" w:hAnsi="Cambria" w:cstheme="minorHAnsi"/>
          <w:spacing w:val="-1"/>
        </w:rPr>
        <w:t>m</w:t>
      </w:r>
      <w:r w:rsidRPr="009A0DA6">
        <w:rPr>
          <w:rFonts w:ascii="Cambria" w:eastAsia="Times New Roman" w:hAnsi="Cambria" w:cstheme="minorHAnsi"/>
        </w:rPr>
        <w:t>e</w:t>
      </w:r>
      <w:r w:rsidRPr="009A0DA6">
        <w:rPr>
          <w:rFonts w:ascii="Cambria" w:eastAsia="Times New Roman" w:hAnsi="Cambria" w:cstheme="minorHAnsi"/>
          <w:spacing w:val="23"/>
        </w:rPr>
        <w:t xml:space="preserve"> </w:t>
      </w:r>
      <w:r w:rsidRPr="009A0DA6">
        <w:rPr>
          <w:rFonts w:ascii="Cambria" w:eastAsia="Times New Roman" w:hAnsi="Cambria" w:cstheme="minorHAnsi"/>
          <w:spacing w:val="-1"/>
        </w:rPr>
        <w:t>s</w:t>
      </w:r>
      <w:r w:rsidRPr="009A0DA6">
        <w:rPr>
          <w:rFonts w:ascii="Cambria" w:eastAsia="Times New Roman" w:hAnsi="Cambria" w:cstheme="minorHAnsi"/>
          <w:spacing w:val="1"/>
        </w:rPr>
        <w:t>p</w:t>
      </w:r>
      <w:r w:rsidRPr="009A0DA6">
        <w:rPr>
          <w:rFonts w:ascii="Cambria" w:eastAsia="Times New Roman" w:hAnsi="Cambria" w:cstheme="minorHAnsi"/>
          <w:spacing w:val="3"/>
        </w:rPr>
        <w:t>e</w:t>
      </w:r>
      <w:r w:rsidRPr="009A0DA6">
        <w:rPr>
          <w:rFonts w:ascii="Cambria" w:eastAsia="Times New Roman" w:hAnsi="Cambria" w:cstheme="minorHAnsi"/>
        </w:rPr>
        <w:t>ci</w:t>
      </w:r>
      <w:r w:rsidRPr="009A0DA6">
        <w:rPr>
          <w:rFonts w:ascii="Cambria" w:eastAsia="Times New Roman" w:hAnsi="Cambria" w:cstheme="minorHAnsi"/>
          <w:spacing w:val="-1"/>
        </w:rPr>
        <w:t>f</w:t>
      </w:r>
      <w:r w:rsidRPr="009A0DA6">
        <w:rPr>
          <w:rFonts w:ascii="Cambria" w:eastAsia="Times New Roman" w:hAnsi="Cambria" w:cstheme="minorHAnsi"/>
        </w:rPr>
        <w:t>ic</w:t>
      </w:r>
      <w:r w:rsidRPr="009A0DA6">
        <w:rPr>
          <w:rFonts w:ascii="Cambria" w:eastAsia="Times New Roman" w:hAnsi="Cambria" w:cstheme="minorHAnsi"/>
          <w:spacing w:val="24"/>
        </w:rPr>
        <w:t xml:space="preserve"> </w:t>
      </w:r>
      <w:r w:rsidRPr="009A0DA6">
        <w:rPr>
          <w:rFonts w:ascii="Cambria" w:eastAsia="Times New Roman" w:hAnsi="Cambria" w:cstheme="minorHAnsi"/>
          <w:spacing w:val="1"/>
        </w:rPr>
        <w:t>f</w:t>
      </w:r>
      <w:r w:rsidRPr="009A0DA6">
        <w:rPr>
          <w:rFonts w:ascii="Cambria" w:eastAsia="Times New Roman" w:hAnsi="Cambria" w:cstheme="minorHAnsi"/>
          <w:spacing w:val="-1"/>
        </w:rPr>
        <w:t>un</w:t>
      </w:r>
      <w:r w:rsidRPr="009A0DA6">
        <w:rPr>
          <w:rFonts w:ascii="Cambria" w:eastAsia="Times New Roman" w:hAnsi="Cambria" w:cstheme="minorHAnsi"/>
          <w:spacing w:val="1"/>
        </w:rPr>
        <w:t>d</w:t>
      </w:r>
      <w:r w:rsidRPr="009A0DA6">
        <w:rPr>
          <w:rFonts w:ascii="Cambria" w:eastAsia="Times New Roman" w:hAnsi="Cambria" w:cstheme="minorHAnsi"/>
        </w:rPr>
        <w:t>s</w:t>
      </w:r>
      <w:r w:rsidRPr="009A0DA6">
        <w:rPr>
          <w:rFonts w:ascii="Cambria" w:eastAsia="Times New Roman" w:hAnsi="Cambria" w:cstheme="minorHAnsi"/>
          <w:spacing w:val="25"/>
        </w:rPr>
        <w:t xml:space="preserve"> </w:t>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spacing w:val="27"/>
        </w:rPr>
        <w:t xml:space="preserve"> </w:t>
      </w:r>
      <w:r w:rsidRPr="009A0DA6">
        <w:rPr>
          <w:rFonts w:ascii="Cambria" w:eastAsia="Times New Roman" w:hAnsi="Cambria" w:cstheme="minorHAnsi"/>
          <w:spacing w:val="1"/>
        </w:rPr>
        <w:t>u</w:t>
      </w:r>
      <w:r w:rsidRPr="009A0DA6">
        <w:rPr>
          <w:rFonts w:ascii="Cambria" w:eastAsia="Times New Roman" w:hAnsi="Cambria" w:cstheme="minorHAnsi"/>
          <w:spacing w:val="-1"/>
        </w:rPr>
        <w:t>n</w:t>
      </w:r>
      <w:r w:rsidRPr="009A0DA6">
        <w:rPr>
          <w:rFonts w:ascii="Cambria" w:eastAsia="Times New Roman" w:hAnsi="Cambria" w:cstheme="minorHAnsi"/>
          <w:spacing w:val="1"/>
        </w:rPr>
        <w:t>-</w:t>
      </w:r>
      <w:r w:rsidRPr="009A0DA6">
        <w:rPr>
          <w:rFonts w:ascii="Cambria" w:eastAsia="Times New Roman" w:hAnsi="Cambria" w:cstheme="minorHAnsi"/>
        </w:rPr>
        <w:t>i</w:t>
      </w:r>
      <w:r w:rsidRPr="009A0DA6">
        <w:rPr>
          <w:rFonts w:ascii="Cambria" w:eastAsia="Times New Roman" w:hAnsi="Cambria" w:cstheme="minorHAnsi"/>
          <w:spacing w:val="-1"/>
        </w:rPr>
        <w:t>n</w:t>
      </w:r>
      <w:r w:rsidRPr="009A0DA6">
        <w:rPr>
          <w:rFonts w:ascii="Cambria" w:eastAsia="Times New Roman" w:hAnsi="Cambria" w:cstheme="minorHAnsi"/>
        </w:rPr>
        <w:t>c</w:t>
      </w:r>
      <w:r w:rsidRPr="009A0DA6">
        <w:rPr>
          <w:rFonts w:ascii="Cambria" w:eastAsia="Times New Roman" w:hAnsi="Cambria" w:cstheme="minorHAnsi"/>
          <w:spacing w:val="1"/>
        </w:rPr>
        <w:t>orpor</w:t>
      </w:r>
      <w:r w:rsidRPr="009A0DA6">
        <w:rPr>
          <w:rFonts w:ascii="Cambria" w:eastAsia="Times New Roman" w:hAnsi="Cambria" w:cstheme="minorHAnsi"/>
        </w:rPr>
        <w:t>ated</w:t>
      </w:r>
      <w:r w:rsidRPr="009A0DA6">
        <w:rPr>
          <w:rFonts w:ascii="Cambria" w:eastAsia="Times New Roman" w:hAnsi="Cambria" w:cstheme="minorHAnsi"/>
          <w:spacing w:val="15"/>
        </w:rPr>
        <w:t xml:space="preserve"> </w:t>
      </w:r>
      <w:r w:rsidRPr="009A0DA6">
        <w:rPr>
          <w:rFonts w:ascii="Cambria" w:eastAsia="Times New Roman" w:hAnsi="Cambria" w:cstheme="minorHAnsi"/>
        </w:rPr>
        <w:t>e</w:t>
      </w:r>
      <w:r w:rsidRPr="009A0DA6">
        <w:rPr>
          <w:rFonts w:ascii="Cambria" w:eastAsia="Times New Roman" w:hAnsi="Cambria" w:cstheme="minorHAnsi"/>
          <w:spacing w:val="-1"/>
        </w:rPr>
        <w:t>n</w:t>
      </w:r>
      <w:r w:rsidRPr="009A0DA6">
        <w:rPr>
          <w:rFonts w:ascii="Cambria" w:eastAsia="Times New Roman" w:hAnsi="Cambria" w:cstheme="minorHAnsi"/>
        </w:rPr>
        <w:t>titi</w:t>
      </w:r>
      <w:r w:rsidRPr="009A0DA6">
        <w:rPr>
          <w:rFonts w:ascii="Cambria" w:eastAsia="Times New Roman" w:hAnsi="Cambria" w:cstheme="minorHAnsi"/>
          <w:spacing w:val="3"/>
        </w:rPr>
        <w:t>e</w:t>
      </w:r>
      <w:r w:rsidRPr="009A0DA6">
        <w:rPr>
          <w:rFonts w:ascii="Cambria" w:eastAsia="Times New Roman" w:hAnsi="Cambria" w:cstheme="minorHAnsi"/>
        </w:rPr>
        <w:t xml:space="preserve">s </w:t>
      </w:r>
      <w:r w:rsidRPr="009A0DA6">
        <w:rPr>
          <w:rFonts w:ascii="Cambria" w:eastAsia="Times New Roman" w:hAnsi="Cambria" w:cstheme="minorHAnsi"/>
          <w:spacing w:val="-1"/>
        </w:rPr>
        <w:t>su</w:t>
      </w:r>
      <w:r w:rsidRPr="009A0DA6">
        <w:rPr>
          <w:rFonts w:ascii="Cambria" w:eastAsia="Times New Roman" w:hAnsi="Cambria" w:cstheme="minorHAnsi"/>
          <w:spacing w:val="3"/>
        </w:rPr>
        <w:t>c</w:t>
      </w:r>
      <w:r w:rsidRPr="009A0DA6">
        <w:rPr>
          <w:rFonts w:ascii="Cambria" w:eastAsia="Times New Roman" w:hAnsi="Cambria" w:cstheme="minorHAnsi"/>
        </w:rPr>
        <w:t>h</w:t>
      </w:r>
      <w:r w:rsidRPr="009A0DA6">
        <w:rPr>
          <w:rFonts w:ascii="Cambria" w:eastAsia="Times New Roman" w:hAnsi="Cambria" w:cstheme="minorHAnsi"/>
          <w:spacing w:val="3"/>
        </w:rPr>
        <w:t xml:space="preserve"> </w:t>
      </w:r>
      <w:r w:rsidRPr="009A0DA6">
        <w:rPr>
          <w:rFonts w:ascii="Cambria" w:eastAsia="Times New Roman" w:hAnsi="Cambria" w:cstheme="minorHAnsi"/>
        </w:rPr>
        <w:t>as</w:t>
      </w:r>
      <w:r w:rsidRPr="009A0DA6">
        <w:rPr>
          <w:rFonts w:ascii="Cambria" w:eastAsia="Times New Roman" w:hAnsi="Cambria" w:cstheme="minorHAnsi"/>
          <w:spacing w:val="8"/>
        </w:rPr>
        <w:t xml:space="preserve"> </w:t>
      </w:r>
      <w:r w:rsidRPr="009A0DA6">
        <w:rPr>
          <w:rFonts w:ascii="Cambria" w:eastAsia="Times New Roman" w:hAnsi="Cambria" w:cstheme="minorHAnsi"/>
          <w:spacing w:val="2"/>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8"/>
        </w:rPr>
        <w:t xml:space="preserve"> </w:t>
      </w:r>
      <w:r w:rsidRPr="009A0DA6">
        <w:rPr>
          <w:rFonts w:ascii="Cambria" w:eastAsia="Times New Roman" w:hAnsi="Cambria" w:cstheme="minorHAnsi"/>
          <w:spacing w:val="-2"/>
        </w:rPr>
        <w:t>L</w:t>
      </w:r>
      <w:r w:rsidRPr="009A0DA6">
        <w:rPr>
          <w:rFonts w:ascii="Cambria" w:eastAsia="Times New Roman" w:hAnsi="Cambria" w:cstheme="minorHAnsi"/>
          <w:spacing w:val="2"/>
        </w:rPr>
        <w:t>C</w:t>
      </w:r>
      <w:r w:rsidRPr="009A0DA6">
        <w:rPr>
          <w:rFonts w:ascii="Cambria" w:eastAsia="Times New Roman" w:hAnsi="Cambria" w:cstheme="minorHAnsi"/>
        </w:rPr>
        <w:t>A</w:t>
      </w:r>
      <w:r w:rsidRPr="009A0DA6">
        <w:rPr>
          <w:rFonts w:ascii="Cambria" w:eastAsia="Times New Roman" w:hAnsi="Cambria" w:cstheme="minorHAnsi"/>
          <w:spacing w:val="3"/>
        </w:rPr>
        <w:t xml:space="preserve"> </w:t>
      </w:r>
      <w:r w:rsidRPr="009A0DA6">
        <w:rPr>
          <w:rFonts w:ascii="Cambria" w:eastAsia="Times New Roman" w:hAnsi="Cambria" w:cstheme="minorHAnsi"/>
          <w:spacing w:val="1"/>
        </w:rPr>
        <w:t>In</w:t>
      </w:r>
      <w:r w:rsidRPr="009A0DA6">
        <w:rPr>
          <w:rFonts w:ascii="Cambria" w:eastAsia="Times New Roman" w:hAnsi="Cambria" w:cstheme="minorHAnsi"/>
          <w:spacing w:val="-1"/>
        </w:rPr>
        <w:t>su</w:t>
      </w:r>
      <w:r w:rsidRPr="009A0DA6">
        <w:rPr>
          <w:rFonts w:ascii="Cambria" w:eastAsia="Times New Roman" w:hAnsi="Cambria" w:cstheme="minorHAnsi"/>
          <w:spacing w:val="1"/>
        </w:rPr>
        <w:t>r</w:t>
      </w:r>
      <w:r w:rsidRPr="009A0DA6">
        <w:rPr>
          <w:rFonts w:ascii="Cambria" w:eastAsia="Times New Roman" w:hAnsi="Cambria" w:cstheme="minorHAnsi"/>
          <w:spacing w:val="3"/>
        </w:rPr>
        <w:t>a</w:t>
      </w:r>
      <w:r w:rsidRPr="009A0DA6">
        <w:rPr>
          <w:rFonts w:ascii="Cambria" w:eastAsia="Times New Roman" w:hAnsi="Cambria" w:cstheme="minorHAnsi"/>
          <w:spacing w:val="-1"/>
        </w:rPr>
        <w:t>n</w:t>
      </w:r>
      <w:r w:rsidRPr="009A0DA6">
        <w:rPr>
          <w:rFonts w:ascii="Cambria" w:eastAsia="Times New Roman" w:hAnsi="Cambria" w:cstheme="minorHAnsi"/>
        </w:rPr>
        <w:t xml:space="preserve">ce, </w:t>
      </w:r>
      <w:r w:rsidRPr="009A0DA6">
        <w:rPr>
          <w:rFonts w:ascii="Cambria" w:eastAsia="Times New Roman" w:hAnsi="Cambria" w:cstheme="minorHAnsi"/>
          <w:spacing w:val="2"/>
        </w:rPr>
        <w:t>P</w:t>
      </w:r>
      <w:r w:rsidRPr="009A0DA6">
        <w:rPr>
          <w:rFonts w:ascii="Cambria" w:eastAsia="Times New Roman" w:hAnsi="Cambria" w:cstheme="minorHAnsi"/>
        </w:rPr>
        <w:t>e</w:t>
      </w:r>
      <w:r w:rsidRPr="009A0DA6">
        <w:rPr>
          <w:rFonts w:ascii="Cambria" w:eastAsia="Times New Roman" w:hAnsi="Cambria" w:cstheme="minorHAnsi"/>
          <w:spacing w:val="-1"/>
        </w:rPr>
        <w:t>ns</w:t>
      </w:r>
      <w:r w:rsidRPr="009A0DA6">
        <w:rPr>
          <w:rFonts w:ascii="Cambria" w:eastAsia="Times New Roman" w:hAnsi="Cambria" w:cstheme="minorHAnsi"/>
        </w:rPr>
        <w:t>i</w:t>
      </w:r>
      <w:r w:rsidRPr="009A0DA6">
        <w:rPr>
          <w:rFonts w:ascii="Cambria" w:eastAsia="Times New Roman" w:hAnsi="Cambria" w:cstheme="minorHAnsi"/>
          <w:spacing w:val="4"/>
        </w:rPr>
        <w:t>o</w:t>
      </w:r>
      <w:r w:rsidRPr="009A0DA6">
        <w:rPr>
          <w:rFonts w:ascii="Cambria" w:eastAsia="Times New Roman" w:hAnsi="Cambria" w:cstheme="minorHAnsi"/>
        </w:rPr>
        <w:t xml:space="preserve">n </w:t>
      </w:r>
      <w:r w:rsidRPr="009A0DA6">
        <w:rPr>
          <w:rFonts w:ascii="Cambria" w:eastAsia="Times New Roman" w:hAnsi="Cambria" w:cstheme="minorHAnsi"/>
          <w:spacing w:val="2"/>
        </w:rPr>
        <w:t>F</w:t>
      </w:r>
      <w:r w:rsidRPr="009A0DA6">
        <w:rPr>
          <w:rFonts w:ascii="Cambria" w:eastAsia="Times New Roman" w:hAnsi="Cambria" w:cstheme="minorHAnsi"/>
          <w:spacing w:val="1"/>
        </w:rPr>
        <w:t>u</w:t>
      </w:r>
      <w:r w:rsidRPr="009A0DA6">
        <w:rPr>
          <w:rFonts w:ascii="Cambria" w:eastAsia="Times New Roman" w:hAnsi="Cambria" w:cstheme="minorHAnsi"/>
          <w:spacing w:val="-1"/>
        </w:rPr>
        <w:t>n</w:t>
      </w:r>
      <w:r w:rsidRPr="009A0DA6">
        <w:rPr>
          <w:rFonts w:ascii="Cambria" w:eastAsia="Times New Roman" w:hAnsi="Cambria" w:cstheme="minorHAnsi"/>
          <w:spacing w:val="1"/>
        </w:rPr>
        <w:t>d</w:t>
      </w:r>
      <w:r w:rsidRPr="009A0DA6">
        <w:rPr>
          <w:rFonts w:ascii="Cambria" w:eastAsia="Times New Roman" w:hAnsi="Cambria" w:cstheme="minorHAnsi"/>
        </w:rPr>
        <w:t>,</w:t>
      </w:r>
      <w:r w:rsidRPr="009A0DA6">
        <w:rPr>
          <w:rFonts w:ascii="Cambria" w:eastAsia="Times New Roman" w:hAnsi="Cambria" w:cstheme="minorHAnsi"/>
          <w:spacing w:val="4"/>
        </w:rPr>
        <w:t xml:space="preserve"> </w:t>
      </w:r>
      <w:r w:rsidRPr="009A0DA6">
        <w:rPr>
          <w:rFonts w:ascii="Cambria" w:eastAsia="Times New Roman" w:hAnsi="Cambria" w:cstheme="minorHAnsi"/>
          <w:spacing w:val="-1"/>
        </w:rPr>
        <w:t>v</w:t>
      </w:r>
      <w:r w:rsidRPr="009A0DA6">
        <w:rPr>
          <w:rFonts w:ascii="Cambria" w:eastAsia="Times New Roman" w:hAnsi="Cambria" w:cstheme="minorHAnsi"/>
        </w:rPr>
        <w:t>a</w:t>
      </w:r>
      <w:r w:rsidRPr="009A0DA6">
        <w:rPr>
          <w:rFonts w:ascii="Cambria" w:eastAsia="Times New Roman" w:hAnsi="Cambria" w:cstheme="minorHAnsi"/>
          <w:spacing w:val="1"/>
        </w:rPr>
        <w:t>r</w:t>
      </w:r>
      <w:r w:rsidRPr="009A0DA6">
        <w:rPr>
          <w:rFonts w:ascii="Cambria" w:eastAsia="Times New Roman" w:hAnsi="Cambria" w:cstheme="minorHAnsi"/>
        </w:rPr>
        <w:t>i</w:t>
      </w:r>
      <w:r w:rsidRPr="009A0DA6">
        <w:rPr>
          <w:rFonts w:ascii="Cambria" w:eastAsia="Times New Roman" w:hAnsi="Cambria" w:cstheme="minorHAnsi"/>
          <w:spacing w:val="1"/>
        </w:rPr>
        <w:t>ou</w:t>
      </w:r>
      <w:r w:rsidRPr="009A0DA6">
        <w:rPr>
          <w:rFonts w:ascii="Cambria" w:eastAsia="Times New Roman" w:hAnsi="Cambria" w:cstheme="minorHAnsi"/>
        </w:rPr>
        <w:t>s</w:t>
      </w:r>
      <w:r w:rsidRPr="009A0DA6">
        <w:rPr>
          <w:rFonts w:ascii="Cambria" w:eastAsia="Times New Roman" w:hAnsi="Cambria" w:cstheme="minorHAnsi"/>
          <w:spacing w:val="3"/>
        </w:rPr>
        <w:t xml:space="preserve"> </w:t>
      </w:r>
      <w:r w:rsidRPr="009A0DA6">
        <w:rPr>
          <w:rFonts w:ascii="Cambria" w:eastAsia="Times New Roman" w:hAnsi="Cambria" w:cstheme="minorHAnsi"/>
          <w:spacing w:val="-1"/>
        </w:rPr>
        <w:t>g</w:t>
      </w:r>
      <w:r w:rsidRPr="009A0DA6">
        <w:rPr>
          <w:rFonts w:ascii="Cambria" w:eastAsia="Times New Roman" w:hAnsi="Cambria" w:cstheme="minorHAnsi"/>
        </w:rPr>
        <w:t>i</w:t>
      </w:r>
      <w:r w:rsidRPr="009A0DA6">
        <w:rPr>
          <w:rFonts w:ascii="Cambria" w:eastAsia="Times New Roman" w:hAnsi="Cambria" w:cstheme="minorHAnsi"/>
          <w:spacing w:val="1"/>
        </w:rPr>
        <w:t>f</w:t>
      </w:r>
      <w:r w:rsidRPr="009A0DA6">
        <w:rPr>
          <w:rFonts w:ascii="Cambria" w:eastAsia="Times New Roman" w:hAnsi="Cambria" w:cstheme="minorHAnsi"/>
        </w:rPr>
        <w:t>t</w:t>
      </w:r>
      <w:r w:rsidRPr="009A0DA6">
        <w:rPr>
          <w:rFonts w:ascii="Cambria" w:eastAsia="Times New Roman" w:hAnsi="Cambria" w:cstheme="minorHAnsi"/>
          <w:spacing w:val="7"/>
        </w:rPr>
        <w:t xml:space="preserve"> </w:t>
      </w:r>
      <w:r w:rsidRPr="009A0DA6">
        <w:rPr>
          <w:rFonts w:ascii="Cambria" w:eastAsia="Times New Roman" w:hAnsi="Cambria" w:cstheme="minorHAnsi"/>
          <w:spacing w:val="-1"/>
        </w:rPr>
        <w:t>f</w:t>
      </w:r>
      <w:r w:rsidRPr="009A0DA6">
        <w:rPr>
          <w:rFonts w:ascii="Cambria" w:eastAsia="Times New Roman" w:hAnsi="Cambria" w:cstheme="minorHAnsi"/>
          <w:spacing w:val="1"/>
        </w:rPr>
        <w:t>und</w:t>
      </w:r>
      <w:r w:rsidRPr="009A0DA6">
        <w:rPr>
          <w:rFonts w:ascii="Cambria" w:eastAsia="Times New Roman" w:hAnsi="Cambria" w:cstheme="minorHAnsi"/>
          <w:spacing w:val="-1"/>
        </w:rPr>
        <w:t>s</w:t>
      </w:r>
      <w:r w:rsidRPr="009A0DA6">
        <w:rPr>
          <w:rFonts w:ascii="Cambria" w:eastAsia="Times New Roman" w:hAnsi="Cambria" w:cstheme="minorHAnsi"/>
        </w:rPr>
        <w:t>,</w:t>
      </w:r>
      <w:r w:rsidRPr="009A0DA6">
        <w:rPr>
          <w:rFonts w:ascii="Cambria" w:eastAsia="Times New Roman" w:hAnsi="Cambria" w:cstheme="minorHAnsi"/>
          <w:spacing w:val="3"/>
        </w:rPr>
        <w:t xml:space="preserve"> </w:t>
      </w:r>
      <w:r w:rsidRPr="009A0DA6">
        <w:rPr>
          <w:rFonts w:ascii="Cambria" w:eastAsia="Times New Roman" w:hAnsi="Cambria" w:cstheme="minorHAnsi"/>
        </w:rPr>
        <w:t>Fi</w:t>
      </w:r>
      <w:r w:rsidRPr="009A0DA6">
        <w:rPr>
          <w:rFonts w:ascii="Cambria" w:eastAsia="Times New Roman" w:hAnsi="Cambria" w:cstheme="minorHAnsi"/>
          <w:spacing w:val="1"/>
        </w:rPr>
        <w:t>n</w:t>
      </w:r>
      <w:r w:rsidRPr="009A0DA6">
        <w:rPr>
          <w:rFonts w:ascii="Cambria" w:eastAsia="Times New Roman" w:hAnsi="Cambria" w:cstheme="minorHAnsi"/>
          <w:spacing w:val="-1"/>
        </w:rPr>
        <w:t>k</w:t>
      </w:r>
      <w:r w:rsidRPr="009A0DA6">
        <w:rPr>
          <w:rFonts w:ascii="Cambria" w:eastAsia="Times New Roman" w:hAnsi="Cambria" w:cstheme="minorHAnsi"/>
        </w:rPr>
        <w:t>e</w:t>
      </w:r>
      <w:r w:rsidRPr="009A0DA6">
        <w:rPr>
          <w:rFonts w:ascii="Cambria" w:eastAsia="Times New Roman" w:hAnsi="Cambria" w:cstheme="minorHAnsi"/>
          <w:spacing w:val="6"/>
        </w:rPr>
        <w:t xml:space="preserve"> </w:t>
      </w:r>
      <w:r w:rsidRPr="009A0DA6">
        <w:rPr>
          <w:rFonts w:ascii="Cambria" w:eastAsia="Times New Roman" w:hAnsi="Cambria" w:cstheme="minorHAnsi"/>
          <w:spacing w:val="-1"/>
        </w:rPr>
        <w:t>R</w:t>
      </w:r>
      <w:r w:rsidRPr="009A0DA6">
        <w:rPr>
          <w:rFonts w:ascii="Cambria" w:eastAsia="Times New Roman" w:hAnsi="Cambria" w:cstheme="minorHAnsi"/>
          <w:spacing w:val="2"/>
        </w:rPr>
        <w:t>i</w:t>
      </w:r>
      <w:r w:rsidRPr="009A0DA6">
        <w:rPr>
          <w:rFonts w:ascii="Cambria" w:eastAsia="Times New Roman" w:hAnsi="Cambria" w:cstheme="minorHAnsi"/>
          <w:spacing w:val="-1"/>
        </w:rPr>
        <w:t>v</w:t>
      </w:r>
      <w:r w:rsidRPr="009A0DA6">
        <w:rPr>
          <w:rFonts w:ascii="Cambria" w:eastAsia="Times New Roman" w:hAnsi="Cambria" w:cstheme="minorHAnsi"/>
        </w:rPr>
        <w:t>er</w:t>
      </w:r>
      <w:r w:rsidRPr="009A0DA6">
        <w:rPr>
          <w:rFonts w:ascii="Cambria" w:eastAsia="Times New Roman" w:hAnsi="Cambria" w:cstheme="minorHAnsi"/>
          <w:spacing w:val="4"/>
        </w:rPr>
        <w:t xml:space="preserve"> </w:t>
      </w:r>
      <w:r w:rsidRPr="009A0DA6">
        <w:rPr>
          <w:rFonts w:ascii="Cambria" w:eastAsia="Times New Roman" w:hAnsi="Cambria" w:cstheme="minorHAnsi"/>
          <w:spacing w:val="1"/>
        </w:rPr>
        <w:t>M</w:t>
      </w:r>
      <w:r w:rsidRPr="009A0DA6">
        <w:rPr>
          <w:rFonts w:ascii="Cambria" w:eastAsia="Times New Roman" w:hAnsi="Cambria" w:cstheme="minorHAnsi"/>
        </w:rPr>
        <w:t>i</w:t>
      </w:r>
      <w:r w:rsidRPr="009A0DA6">
        <w:rPr>
          <w:rFonts w:ascii="Cambria" w:eastAsia="Times New Roman" w:hAnsi="Cambria" w:cstheme="minorHAnsi"/>
          <w:spacing w:val="2"/>
        </w:rPr>
        <w:t>s</w:t>
      </w:r>
      <w:r w:rsidRPr="009A0DA6">
        <w:rPr>
          <w:rFonts w:ascii="Cambria" w:eastAsia="Times New Roman" w:hAnsi="Cambria" w:cstheme="minorHAnsi"/>
          <w:spacing w:val="-1"/>
        </w:rPr>
        <w:t>s</w:t>
      </w:r>
      <w:r w:rsidRPr="009A0DA6">
        <w:rPr>
          <w:rFonts w:ascii="Cambria" w:eastAsia="Times New Roman" w:hAnsi="Cambria" w:cstheme="minorHAnsi"/>
        </w:rPr>
        <w:t>i</w:t>
      </w:r>
      <w:r w:rsidRPr="009A0DA6">
        <w:rPr>
          <w:rFonts w:ascii="Cambria" w:eastAsia="Times New Roman" w:hAnsi="Cambria" w:cstheme="minorHAnsi"/>
          <w:spacing w:val="1"/>
        </w:rPr>
        <w:t>o</w:t>
      </w:r>
      <w:r w:rsidRPr="009A0DA6">
        <w:rPr>
          <w:rFonts w:ascii="Cambria" w:eastAsia="Times New Roman" w:hAnsi="Cambria" w:cstheme="minorHAnsi"/>
        </w:rPr>
        <w:t>n</w:t>
      </w:r>
      <w:r w:rsidRPr="009A0DA6">
        <w:rPr>
          <w:rFonts w:ascii="Cambria" w:eastAsia="Times New Roman" w:hAnsi="Cambria" w:cstheme="minorHAnsi"/>
          <w:spacing w:val="2"/>
        </w:rPr>
        <w:t xml:space="preserve"> </w:t>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spacing w:val="8"/>
        </w:rPr>
        <w:t xml:space="preserve"> </w:t>
      </w:r>
      <w:r w:rsidRPr="009A0DA6">
        <w:rPr>
          <w:rFonts w:ascii="Cambria" w:eastAsia="Times New Roman" w:hAnsi="Cambria" w:cstheme="minorHAnsi"/>
        </w:rPr>
        <w:t>A</w:t>
      </w:r>
      <w:r w:rsidRPr="009A0DA6">
        <w:rPr>
          <w:rFonts w:ascii="Cambria" w:eastAsia="Times New Roman" w:hAnsi="Cambria" w:cstheme="minorHAnsi"/>
          <w:spacing w:val="-1"/>
        </w:rPr>
        <w:t>us</w:t>
      </w:r>
      <w:r w:rsidRPr="009A0DA6">
        <w:rPr>
          <w:rFonts w:ascii="Cambria" w:eastAsia="Times New Roman" w:hAnsi="Cambria" w:cstheme="minorHAnsi"/>
        </w:rPr>
        <w:t>t</w:t>
      </w:r>
      <w:r w:rsidRPr="009A0DA6">
        <w:rPr>
          <w:rFonts w:ascii="Cambria" w:eastAsia="Times New Roman" w:hAnsi="Cambria" w:cstheme="minorHAnsi"/>
          <w:spacing w:val="1"/>
        </w:rPr>
        <w:t>r</w:t>
      </w:r>
      <w:r w:rsidRPr="009A0DA6">
        <w:rPr>
          <w:rFonts w:ascii="Cambria" w:eastAsia="Times New Roman" w:hAnsi="Cambria" w:cstheme="minorHAnsi"/>
        </w:rPr>
        <w:t>ali</w:t>
      </w:r>
      <w:r w:rsidRPr="009A0DA6">
        <w:rPr>
          <w:rFonts w:ascii="Cambria" w:eastAsia="Times New Roman" w:hAnsi="Cambria" w:cstheme="minorHAnsi"/>
          <w:spacing w:val="3"/>
        </w:rPr>
        <w:t>a</w:t>
      </w:r>
      <w:r w:rsidRPr="009A0DA6">
        <w:rPr>
          <w:rFonts w:ascii="Cambria" w:eastAsia="Times New Roman" w:hAnsi="Cambria" w:cstheme="minorHAnsi"/>
        </w:rPr>
        <w:t xml:space="preserve">n </w:t>
      </w:r>
      <w:r w:rsidRPr="009A0DA6">
        <w:rPr>
          <w:rFonts w:ascii="Cambria" w:eastAsia="Times New Roman" w:hAnsi="Cambria" w:cstheme="minorHAnsi"/>
          <w:spacing w:val="1"/>
        </w:rPr>
        <w:t>L</w:t>
      </w:r>
      <w:r w:rsidRPr="009A0DA6">
        <w:rPr>
          <w:rFonts w:ascii="Cambria" w:eastAsia="Times New Roman" w:hAnsi="Cambria" w:cstheme="minorHAnsi"/>
          <w:spacing w:val="-1"/>
        </w:rPr>
        <w:t>u</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1"/>
        </w:rPr>
        <w:t>r</w:t>
      </w:r>
      <w:r w:rsidRPr="009A0DA6">
        <w:rPr>
          <w:rFonts w:ascii="Cambria" w:eastAsia="Times New Roman" w:hAnsi="Cambria" w:cstheme="minorHAnsi"/>
          <w:spacing w:val="3"/>
        </w:rPr>
        <w:t>a</w:t>
      </w:r>
      <w:r w:rsidRPr="009A0DA6">
        <w:rPr>
          <w:rFonts w:ascii="Cambria" w:eastAsia="Times New Roman" w:hAnsi="Cambria" w:cstheme="minorHAnsi"/>
        </w:rPr>
        <w:t>n</w:t>
      </w:r>
      <w:r w:rsidRPr="009A0DA6">
        <w:rPr>
          <w:rFonts w:ascii="Cambria" w:eastAsia="Times New Roman" w:hAnsi="Cambria" w:cstheme="minorHAnsi"/>
          <w:spacing w:val="-3"/>
        </w:rPr>
        <w:t xml:space="preserve"> </w:t>
      </w:r>
      <w:r w:rsidRPr="009A0DA6">
        <w:rPr>
          <w:rFonts w:ascii="Cambria" w:eastAsia="Times New Roman" w:hAnsi="Cambria" w:cstheme="minorHAnsi"/>
          <w:spacing w:val="2"/>
        </w:rPr>
        <w:t>W</w:t>
      </w:r>
      <w:r w:rsidRPr="009A0DA6">
        <w:rPr>
          <w:rFonts w:ascii="Cambria" w:eastAsia="Times New Roman" w:hAnsi="Cambria" w:cstheme="minorHAnsi"/>
          <w:spacing w:val="1"/>
        </w:rPr>
        <w:t>or</w:t>
      </w:r>
      <w:r w:rsidRPr="009A0DA6">
        <w:rPr>
          <w:rFonts w:ascii="Cambria" w:eastAsia="Times New Roman" w:hAnsi="Cambria" w:cstheme="minorHAnsi"/>
        </w:rPr>
        <w:t>ld</w:t>
      </w:r>
      <w:r w:rsidRPr="009A0DA6">
        <w:rPr>
          <w:rFonts w:ascii="Cambria" w:eastAsia="Times New Roman" w:hAnsi="Cambria" w:cstheme="minorHAnsi"/>
          <w:spacing w:val="1"/>
        </w:rPr>
        <w:t xml:space="preserve"> </w:t>
      </w:r>
      <w:r w:rsidRPr="009A0DA6">
        <w:rPr>
          <w:rFonts w:ascii="Cambria" w:eastAsia="Times New Roman" w:hAnsi="Cambria" w:cstheme="minorHAnsi"/>
        </w:rPr>
        <w:t>Se</w:t>
      </w:r>
      <w:r w:rsidRPr="009A0DA6">
        <w:rPr>
          <w:rFonts w:ascii="Cambria" w:eastAsia="Times New Roman" w:hAnsi="Cambria" w:cstheme="minorHAnsi"/>
          <w:spacing w:val="1"/>
        </w:rPr>
        <w:t>r</w:t>
      </w:r>
      <w:r w:rsidRPr="009A0DA6">
        <w:rPr>
          <w:rFonts w:ascii="Cambria" w:eastAsia="Times New Roman" w:hAnsi="Cambria" w:cstheme="minorHAnsi"/>
          <w:spacing w:val="-1"/>
        </w:rPr>
        <w:t>v</w:t>
      </w:r>
      <w:r w:rsidRPr="009A0DA6">
        <w:rPr>
          <w:rFonts w:ascii="Cambria" w:eastAsia="Times New Roman" w:hAnsi="Cambria" w:cstheme="minorHAnsi"/>
        </w:rPr>
        <w:t>ice. Se</w:t>
      </w:r>
      <w:r w:rsidRPr="009A0DA6">
        <w:rPr>
          <w:rFonts w:ascii="Cambria" w:eastAsia="Times New Roman" w:hAnsi="Cambria" w:cstheme="minorHAnsi"/>
          <w:spacing w:val="1"/>
        </w:rPr>
        <w:t>p</w:t>
      </w:r>
      <w:r w:rsidRPr="009A0DA6">
        <w:rPr>
          <w:rFonts w:ascii="Cambria" w:eastAsia="Times New Roman" w:hAnsi="Cambria" w:cstheme="minorHAnsi"/>
        </w:rPr>
        <w:t>a</w:t>
      </w:r>
      <w:r w:rsidRPr="009A0DA6">
        <w:rPr>
          <w:rFonts w:ascii="Cambria" w:eastAsia="Times New Roman" w:hAnsi="Cambria" w:cstheme="minorHAnsi"/>
          <w:spacing w:val="1"/>
        </w:rPr>
        <w:t>r</w:t>
      </w:r>
      <w:r w:rsidRPr="009A0DA6">
        <w:rPr>
          <w:rFonts w:ascii="Cambria" w:eastAsia="Times New Roman" w:hAnsi="Cambria" w:cstheme="minorHAnsi"/>
        </w:rPr>
        <w:t>ate</w:t>
      </w:r>
      <w:r w:rsidRPr="009A0DA6">
        <w:rPr>
          <w:rFonts w:ascii="Cambria" w:eastAsia="Times New Roman" w:hAnsi="Cambria" w:cstheme="minorHAnsi"/>
          <w:spacing w:val="-1"/>
        </w:rPr>
        <w:t xml:space="preserve"> f</w:t>
      </w:r>
      <w:r w:rsidRPr="009A0DA6">
        <w:rPr>
          <w:rFonts w:ascii="Cambria" w:eastAsia="Times New Roman" w:hAnsi="Cambria" w:cstheme="minorHAnsi"/>
        </w:rPr>
        <w:t>i</w:t>
      </w:r>
      <w:r w:rsidRPr="009A0DA6">
        <w:rPr>
          <w:rFonts w:ascii="Cambria" w:eastAsia="Times New Roman" w:hAnsi="Cambria" w:cstheme="minorHAnsi"/>
          <w:spacing w:val="-1"/>
        </w:rPr>
        <w:t>n</w:t>
      </w:r>
      <w:r w:rsidRPr="009A0DA6">
        <w:rPr>
          <w:rFonts w:ascii="Cambria" w:eastAsia="Times New Roman" w:hAnsi="Cambria" w:cstheme="minorHAnsi"/>
          <w:spacing w:val="3"/>
        </w:rPr>
        <w:t>a</w:t>
      </w:r>
      <w:r w:rsidRPr="009A0DA6">
        <w:rPr>
          <w:rFonts w:ascii="Cambria" w:eastAsia="Times New Roman" w:hAnsi="Cambria" w:cstheme="minorHAnsi"/>
          <w:spacing w:val="-1"/>
        </w:rPr>
        <w:t>n</w:t>
      </w:r>
      <w:r w:rsidRPr="009A0DA6">
        <w:rPr>
          <w:rFonts w:ascii="Cambria" w:eastAsia="Times New Roman" w:hAnsi="Cambria" w:cstheme="minorHAnsi"/>
        </w:rPr>
        <w:t>cial</w:t>
      </w:r>
      <w:r w:rsidRPr="009A0DA6">
        <w:rPr>
          <w:rFonts w:ascii="Cambria" w:eastAsia="Times New Roman" w:hAnsi="Cambria" w:cstheme="minorHAnsi"/>
          <w:spacing w:val="-2"/>
        </w:rPr>
        <w:t xml:space="preserve"> </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1"/>
        </w:rPr>
        <w:t>por</w:t>
      </w:r>
      <w:r w:rsidRPr="009A0DA6">
        <w:rPr>
          <w:rFonts w:ascii="Cambria" w:eastAsia="Times New Roman" w:hAnsi="Cambria" w:cstheme="minorHAnsi"/>
        </w:rPr>
        <w:t>ti</w:t>
      </w:r>
      <w:r w:rsidRPr="009A0DA6">
        <w:rPr>
          <w:rFonts w:ascii="Cambria" w:eastAsia="Times New Roman" w:hAnsi="Cambria" w:cstheme="minorHAnsi"/>
          <w:spacing w:val="1"/>
        </w:rPr>
        <w:t>n</w:t>
      </w:r>
      <w:r w:rsidRPr="009A0DA6">
        <w:rPr>
          <w:rFonts w:ascii="Cambria" w:eastAsia="Times New Roman" w:hAnsi="Cambria" w:cstheme="minorHAnsi"/>
        </w:rPr>
        <w:t>g</w:t>
      </w:r>
      <w:r w:rsidRPr="009A0DA6">
        <w:rPr>
          <w:rFonts w:ascii="Cambria" w:eastAsia="Times New Roman" w:hAnsi="Cambria" w:cstheme="minorHAnsi"/>
          <w:spacing w:val="-3"/>
        </w:rPr>
        <w:t xml:space="preserve"> </w:t>
      </w:r>
      <w:r w:rsidRPr="009A0DA6">
        <w:rPr>
          <w:rFonts w:ascii="Cambria" w:eastAsia="Times New Roman" w:hAnsi="Cambria" w:cstheme="minorHAnsi"/>
        </w:rPr>
        <w:t>t</w:t>
      </w:r>
      <w:r w:rsidRPr="009A0DA6">
        <w:rPr>
          <w:rFonts w:ascii="Cambria" w:eastAsia="Times New Roman" w:hAnsi="Cambria" w:cstheme="minorHAnsi"/>
          <w:spacing w:val="3"/>
        </w:rPr>
        <w:t>a</w:t>
      </w:r>
      <w:r w:rsidRPr="009A0DA6">
        <w:rPr>
          <w:rFonts w:ascii="Cambria" w:eastAsia="Times New Roman" w:hAnsi="Cambria" w:cstheme="minorHAnsi"/>
          <w:spacing w:val="-1"/>
        </w:rPr>
        <w:t>k</w:t>
      </w:r>
      <w:r w:rsidRPr="009A0DA6">
        <w:rPr>
          <w:rFonts w:ascii="Cambria" w:eastAsia="Times New Roman" w:hAnsi="Cambria" w:cstheme="minorHAnsi"/>
        </w:rPr>
        <w:t>es</w:t>
      </w:r>
      <w:r w:rsidRPr="009A0DA6">
        <w:rPr>
          <w:rFonts w:ascii="Cambria" w:eastAsia="Times New Roman" w:hAnsi="Cambria" w:cstheme="minorHAnsi"/>
          <w:spacing w:val="3"/>
        </w:rPr>
        <w:t xml:space="preserve"> </w:t>
      </w:r>
      <w:r w:rsidRPr="009A0DA6">
        <w:rPr>
          <w:rFonts w:ascii="Cambria" w:eastAsia="Times New Roman" w:hAnsi="Cambria" w:cstheme="minorHAnsi"/>
          <w:spacing w:val="1"/>
        </w:rPr>
        <w:t>p</w:t>
      </w:r>
      <w:r w:rsidRPr="009A0DA6">
        <w:rPr>
          <w:rFonts w:ascii="Cambria" w:eastAsia="Times New Roman" w:hAnsi="Cambria" w:cstheme="minorHAnsi"/>
        </w:rPr>
        <w:t>lace</w:t>
      </w:r>
      <w:r w:rsidRPr="009A0DA6">
        <w:rPr>
          <w:rFonts w:ascii="Cambria" w:eastAsia="Times New Roman" w:hAnsi="Cambria" w:cstheme="minorHAnsi"/>
          <w:spacing w:val="2"/>
        </w:rPr>
        <w:t xml:space="preserve"> </w:t>
      </w:r>
      <w:r w:rsidRPr="009A0DA6">
        <w:rPr>
          <w:rFonts w:ascii="Cambria" w:eastAsia="Times New Roman" w:hAnsi="Cambria" w:cstheme="minorHAnsi"/>
          <w:spacing w:val="-1"/>
        </w:rPr>
        <w:t>f</w:t>
      </w:r>
      <w:r w:rsidRPr="009A0DA6">
        <w:rPr>
          <w:rFonts w:ascii="Cambria" w:eastAsia="Times New Roman" w:hAnsi="Cambria" w:cstheme="minorHAnsi"/>
          <w:spacing w:val="1"/>
        </w:rPr>
        <w:t>o</w:t>
      </w:r>
      <w:r w:rsidRPr="009A0DA6">
        <w:rPr>
          <w:rFonts w:ascii="Cambria" w:eastAsia="Times New Roman" w:hAnsi="Cambria" w:cstheme="minorHAnsi"/>
        </w:rPr>
        <w:t>r</w:t>
      </w:r>
      <w:r w:rsidRPr="009A0DA6">
        <w:rPr>
          <w:rFonts w:ascii="Cambria" w:eastAsia="Times New Roman" w:hAnsi="Cambria" w:cstheme="minorHAnsi"/>
          <w:spacing w:val="4"/>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1"/>
        </w:rPr>
        <w:t>s</w:t>
      </w:r>
      <w:r w:rsidRPr="009A0DA6">
        <w:rPr>
          <w:rFonts w:ascii="Cambria" w:eastAsia="Times New Roman" w:hAnsi="Cambria" w:cstheme="minorHAnsi"/>
        </w:rPr>
        <w:t>e</w:t>
      </w:r>
      <w:r w:rsidRPr="009A0DA6">
        <w:rPr>
          <w:rFonts w:ascii="Cambria" w:eastAsia="Times New Roman" w:hAnsi="Cambria" w:cstheme="minorHAnsi"/>
          <w:spacing w:val="2"/>
        </w:rPr>
        <w:t xml:space="preserve"> </w:t>
      </w:r>
      <w:r w:rsidRPr="009A0DA6">
        <w:rPr>
          <w:rFonts w:ascii="Cambria" w:eastAsia="Times New Roman" w:hAnsi="Cambria" w:cstheme="minorHAnsi"/>
        </w:rPr>
        <w:t>ac</w:t>
      </w:r>
      <w:r w:rsidRPr="009A0DA6">
        <w:rPr>
          <w:rFonts w:ascii="Cambria" w:eastAsia="Times New Roman" w:hAnsi="Cambria" w:cstheme="minorHAnsi"/>
          <w:spacing w:val="2"/>
        </w:rPr>
        <w:t>t</w:t>
      </w:r>
      <w:r w:rsidRPr="009A0DA6">
        <w:rPr>
          <w:rFonts w:ascii="Cambria" w:eastAsia="Times New Roman" w:hAnsi="Cambria" w:cstheme="minorHAnsi"/>
        </w:rPr>
        <w:t>i</w:t>
      </w:r>
      <w:r w:rsidRPr="009A0DA6">
        <w:rPr>
          <w:rFonts w:ascii="Cambria" w:eastAsia="Times New Roman" w:hAnsi="Cambria" w:cstheme="minorHAnsi"/>
          <w:spacing w:val="-1"/>
        </w:rPr>
        <w:t>v</w:t>
      </w:r>
      <w:r w:rsidRPr="009A0DA6">
        <w:rPr>
          <w:rFonts w:ascii="Cambria" w:eastAsia="Times New Roman" w:hAnsi="Cambria" w:cstheme="minorHAnsi"/>
          <w:spacing w:val="2"/>
        </w:rPr>
        <w:t>i</w:t>
      </w:r>
      <w:r w:rsidRPr="009A0DA6">
        <w:rPr>
          <w:rFonts w:ascii="Cambria" w:eastAsia="Times New Roman" w:hAnsi="Cambria" w:cstheme="minorHAnsi"/>
        </w:rPr>
        <w:t>ties</w:t>
      </w:r>
      <w:r w:rsidRPr="009A0DA6">
        <w:rPr>
          <w:rFonts w:ascii="Cambria" w:eastAsia="Times New Roman" w:hAnsi="Cambria" w:cstheme="minorHAnsi"/>
          <w:spacing w:val="-2"/>
        </w:rPr>
        <w:t xml:space="preserve"> </w:t>
      </w:r>
      <w:r w:rsidRPr="009A0DA6">
        <w:rPr>
          <w:rFonts w:ascii="Cambria" w:eastAsia="Times New Roman" w:hAnsi="Cambria" w:cstheme="minorHAnsi"/>
          <w:spacing w:val="1"/>
        </w:rPr>
        <w:t>ou</w:t>
      </w:r>
      <w:r w:rsidRPr="009A0DA6">
        <w:rPr>
          <w:rFonts w:ascii="Cambria" w:eastAsia="Times New Roman" w:hAnsi="Cambria" w:cstheme="minorHAnsi"/>
        </w:rPr>
        <w:t>t</w:t>
      </w:r>
      <w:r w:rsidRPr="009A0DA6">
        <w:rPr>
          <w:rFonts w:ascii="Cambria" w:eastAsia="Times New Roman" w:hAnsi="Cambria" w:cstheme="minorHAnsi"/>
          <w:spacing w:val="-1"/>
        </w:rPr>
        <w:t>s</w:t>
      </w:r>
      <w:r w:rsidRPr="009A0DA6">
        <w:rPr>
          <w:rFonts w:ascii="Cambria" w:eastAsia="Times New Roman" w:hAnsi="Cambria" w:cstheme="minorHAnsi"/>
          <w:spacing w:val="2"/>
        </w:rPr>
        <w:t>i</w:t>
      </w:r>
      <w:r w:rsidRPr="009A0DA6">
        <w:rPr>
          <w:rFonts w:ascii="Cambria" w:eastAsia="Times New Roman" w:hAnsi="Cambria" w:cstheme="minorHAnsi"/>
          <w:spacing w:val="1"/>
        </w:rPr>
        <w:t>d</w:t>
      </w:r>
      <w:r w:rsidRPr="009A0DA6">
        <w:rPr>
          <w:rFonts w:ascii="Cambria" w:eastAsia="Times New Roman" w:hAnsi="Cambria" w:cstheme="minorHAnsi"/>
        </w:rPr>
        <w:t xml:space="preserve">e </w:t>
      </w:r>
      <w:r w:rsidRPr="009A0DA6">
        <w:rPr>
          <w:rFonts w:ascii="Cambria" w:eastAsia="Times New Roman" w:hAnsi="Cambria" w:cstheme="minorHAnsi"/>
          <w:spacing w:val="1"/>
        </w:rPr>
        <w:t>o</w:t>
      </w:r>
      <w:r w:rsidRPr="009A0DA6">
        <w:rPr>
          <w:rFonts w:ascii="Cambria" w:eastAsia="Times New Roman" w:hAnsi="Cambria" w:cstheme="minorHAnsi"/>
        </w:rPr>
        <w:t>f</w:t>
      </w:r>
      <w:r w:rsidRPr="009A0DA6">
        <w:rPr>
          <w:rFonts w:ascii="Cambria" w:eastAsia="Times New Roman" w:hAnsi="Cambria" w:cstheme="minorHAnsi"/>
          <w:spacing w:val="2"/>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2"/>
        </w:rPr>
        <w:t>s</w:t>
      </w:r>
      <w:r w:rsidRPr="009A0DA6">
        <w:rPr>
          <w:rFonts w:ascii="Cambria" w:eastAsia="Times New Roman" w:hAnsi="Cambria" w:cstheme="minorHAnsi"/>
        </w:rPr>
        <w:t xml:space="preserve">e </w:t>
      </w:r>
      <w:r w:rsidRPr="009A0DA6">
        <w:rPr>
          <w:rFonts w:ascii="Cambria" w:eastAsia="Times New Roman" w:hAnsi="Cambria" w:cstheme="minorHAnsi"/>
          <w:spacing w:val="-1"/>
        </w:rPr>
        <w:t>f</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rPr>
        <w:t>ci</w:t>
      </w:r>
      <w:r w:rsidRPr="009A0DA6">
        <w:rPr>
          <w:rFonts w:ascii="Cambria" w:eastAsia="Times New Roman" w:hAnsi="Cambria" w:cstheme="minorHAnsi"/>
          <w:spacing w:val="3"/>
        </w:rPr>
        <w:t>a</w:t>
      </w:r>
      <w:r w:rsidRPr="009A0DA6">
        <w:rPr>
          <w:rFonts w:ascii="Cambria" w:eastAsia="Times New Roman" w:hAnsi="Cambria" w:cstheme="minorHAnsi"/>
        </w:rPr>
        <w:t>l</w:t>
      </w:r>
      <w:r w:rsidRPr="009A0DA6">
        <w:rPr>
          <w:rFonts w:ascii="Cambria" w:eastAsia="Times New Roman" w:hAnsi="Cambria" w:cstheme="minorHAnsi"/>
          <w:spacing w:val="-7"/>
        </w:rPr>
        <w:t xml:space="preserve"> </w:t>
      </w:r>
      <w:r w:rsidRPr="009A0DA6">
        <w:rPr>
          <w:rFonts w:ascii="Cambria" w:eastAsia="Times New Roman" w:hAnsi="Cambria" w:cstheme="minorHAnsi"/>
        </w:rPr>
        <w:t>acc</w:t>
      </w:r>
      <w:r w:rsidRPr="009A0DA6">
        <w:rPr>
          <w:rFonts w:ascii="Cambria" w:eastAsia="Times New Roman" w:hAnsi="Cambria" w:cstheme="minorHAnsi"/>
          <w:spacing w:val="1"/>
        </w:rPr>
        <w:t>o</w:t>
      </w:r>
      <w:r w:rsidRPr="009A0DA6">
        <w:rPr>
          <w:rFonts w:ascii="Cambria" w:eastAsia="Times New Roman" w:hAnsi="Cambria" w:cstheme="minorHAnsi"/>
          <w:spacing w:val="-1"/>
        </w:rPr>
        <w:t>un</w:t>
      </w:r>
      <w:r w:rsidRPr="009A0DA6">
        <w:rPr>
          <w:rFonts w:ascii="Cambria" w:eastAsia="Times New Roman" w:hAnsi="Cambria" w:cstheme="minorHAnsi"/>
          <w:spacing w:val="2"/>
        </w:rPr>
        <w:t>t</w:t>
      </w:r>
      <w:r w:rsidRPr="009A0DA6">
        <w:rPr>
          <w:rFonts w:ascii="Cambria" w:eastAsia="Times New Roman" w:hAnsi="Cambria" w:cstheme="minorHAnsi"/>
        </w:rPr>
        <w:t>s</w:t>
      </w:r>
      <w:r w:rsidRPr="009A0DA6">
        <w:rPr>
          <w:rFonts w:ascii="Cambria" w:eastAsia="Times New Roman" w:hAnsi="Cambria" w:cstheme="minorHAnsi"/>
          <w:spacing w:val="-7"/>
        </w:rPr>
        <w:t xml:space="preserve"> </w:t>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spacing w:val="-1"/>
        </w:rPr>
        <w:t xml:space="preserve"> </w:t>
      </w:r>
      <w:r w:rsidRPr="009A0DA6">
        <w:rPr>
          <w:rFonts w:ascii="Cambria" w:eastAsia="Times New Roman" w:hAnsi="Cambria" w:cstheme="minorHAnsi"/>
          <w:spacing w:val="2"/>
        </w:rPr>
        <w:t>i</w:t>
      </w:r>
      <w:r w:rsidRPr="009A0DA6">
        <w:rPr>
          <w:rFonts w:ascii="Cambria" w:eastAsia="Times New Roman" w:hAnsi="Cambria" w:cstheme="minorHAnsi"/>
        </w:rPr>
        <w:t>s</w:t>
      </w:r>
      <w:r w:rsidRPr="009A0DA6">
        <w:rPr>
          <w:rFonts w:ascii="Cambria" w:eastAsia="Times New Roman" w:hAnsi="Cambria" w:cstheme="minorHAnsi"/>
          <w:spacing w:val="-1"/>
        </w:rPr>
        <w:t xml:space="preserve"> su</w:t>
      </w:r>
      <w:r w:rsidRPr="009A0DA6">
        <w:rPr>
          <w:rFonts w:ascii="Cambria" w:eastAsia="Times New Roman" w:hAnsi="Cambria" w:cstheme="minorHAnsi"/>
          <w:spacing w:val="1"/>
        </w:rPr>
        <w:t>b</w:t>
      </w:r>
      <w:r w:rsidRPr="009A0DA6">
        <w:rPr>
          <w:rFonts w:ascii="Cambria" w:eastAsia="Times New Roman" w:hAnsi="Cambria" w:cstheme="minorHAnsi"/>
          <w:spacing w:val="2"/>
        </w:rPr>
        <w:t>j</w:t>
      </w:r>
      <w:r w:rsidRPr="009A0DA6">
        <w:rPr>
          <w:rFonts w:ascii="Cambria" w:eastAsia="Times New Roman" w:hAnsi="Cambria" w:cstheme="minorHAnsi"/>
        </w:rPr>
        <w:t>ect</w:t>
      </w:r>
      <w:r w:rsidRPr="009A0DA6">
        <w:rPr>
          <w:rFonts w:ascii="Cambria" w:eastAsia="Times New Roman" w:hAnsi="Cambria" w:cstheme="minorHAnsi"/>
          <w:spacing w:val="-6"/>
        </w:rPr>
        <w:t xml:space="preserve"> </w:t>
      </w:r>
      <w:r w:rsidRPr="009A0DA6">
        <w:rPr>
          <w:rFonts w:ascii="Cambria" w:eastAsia="Times New Roman" w:hAnsi="Cambria" w:cstheme="minorHAnsi"/>
        </w:rPr>
        <w:t>to i</w:t>
      </w:r>
      <w:r w:rsidRPr="009A0DA6">
        <w:rPr>
          <w:rFonts w:ascii="Cambria" w:eastAsia="Times New Roman" w:hAnsi="Cambria" w:cstheme="minorHAnsi"/>
          <w:spacing w:val="-1"/>
        </w:rPr>
        <w:t>n</w:t>
      </w:r>
      <w:r w:rsidRPr="009A0DA6">
        <w:rPr>
          <w:rFonts w:ascii="Cambria" w:eastAsia="Times New Roman" w:hAnsi="Cambria" w:cstheme="minorHAnsi"/>
          <w:spacing w:val="1"/>
        </w:rPr>
        <w:t>d</w:t>
      </w:r>
      <w:r w:rsidRPr="009A0DA6">
        <w:rPr>
          <w:rFonts w:ascii="Cambria" w:eastAsia="Times New Roman" w:hAnsi="Cambria" w:cstheme="minorHAnsi"/>
        </w:rPr>
        <w:t>e</w:t>
      </w:r>
      <w:r w:rsidRPr="009A0DA6">
        <w:rPr>
          <w:rFonts w:ascii="Cambria" w:eastAsia="Times New Roman" w:hAnsi="Cambria" w:cstheme="minorHAnsi"/>
          <w:spacing w:val="1"/>
        </w:rPr>
        <w:t>p</w:t>
      </w:r>
      <w:r w:rsidRPr="009A0DA6">
        <w:rPr>
          <w:rFonts w:ascii="Cambria" w:eastAsia="Times New Roman" w:hAnsi="Cambria" w:cstheme="minorHAnsi"/>
        </w:rPr>
        <w:t>e</w:t>
      </w:r>
      <w:r w:rsidRPr="009A0DA6">
        <w:rPr>
          <w:rFonts w:ascii="Cambria" w:eastAsia="Times New Roman" w:hAnsi="Cambria" w:cstheme="minorHAnsi"/>
          <w:spacing w:val="-1"/>
        </w:rPr>
        <w:t>n</w:t>
      </w:r>
      <w:r w:rsidRPr="009A0DA6">
        <w:rPr>
          <w:rFonts w:ascii="Cambria" w:eastAsia="Times New Roman" w:hAnsi="Cambria" w:cstheme="minorHAnsi"/>
          <w:spacing w:val="1"/>
        </w:rPr>
        <w:t>d</w:t>
      </w:r>
      <w:r w:rsidRPr="009A0DA6">
        <w:rPr>
          <w:rFonts w:ascii="Cambria" w:eastAsia="Times New Roman" w:hAnsi="Cambria" w:cstheme="minorHAnsi"/>
        </w:rPr>
        <w:t>e</w:t>
      </w:r>
      <w:r w:rsidRPr="009A0DA6">
        <w:rPr>
          <w:rFonts w:ascii="Cambria" w:eastAsia="Times New Roman" w:hAnsi="Cambria" w:cstheme="minorHAnsi"/>
          <w:spacing w:val="-1"/>
        </w:rPr>
        <w:t>n</w:t>
      </w:r>
      <w:r w:rsidRPr="009A0DA6">
        <w:rPr>
          <w:rFonts w:ascii="Cambria" w:eastAsia="Times New Roman" w:hAnsi="Cambria" w:cstheme="minorHAnsi"/>
        </w:rPr>
        <w:t>t</w:t>
      </w:r>
      <w:r w:rsidRPr="009A0DA6">
        <w:rPr>
          <w:rFonts w:ascii="Cambria" w:eastAsia="Times New Roman" w:hAnsi="Cambria" w:cstheme="minorHAnsi"/>
          <w:spacing w:val="-10"/>
        </w:rPr>
        <w:t xml:space="preserve"> </w:t>
      </w:r>
      <w:r w:rsidRPr="009A0DA6">
        <w:rPr>
          <w:rFonts w:ascii="Cambria" w:eastAsia="Times New Roman" w:hAnsi="Cambria" w:cstheme="minorHAnsi"/>
        </w:rPr>
        <w:t>a</w:t>
      </w:r>
      <w:r w:rsidRPr="009A0DA6">
        <w:rPr>
          <w:rFonts w:ascii="Cambria" w:eastAsia="Times New Roman" w:hAnsi="Cambria" w:cstheme="minorHAnsi"/>
          <w:spacing w:val="-1"/>
        </w:rPr>
        <w:t>u</w:t>
      </w:r>
      <w:r w:rsidRPr="009A0DA6">
        <w:rPr>
          <w:rFonts w:ascii="Cambria" w:eastAsia="Times New Roman" w:hAnsi="Cambria" w:cstheme="minorHAnsi"/>
          <w:spacing w:val="1"/>
        </w:rPr>
        <w:t>d</w:t>
      </w:r>
      <w:r w:rsidRPr="009A0DA6">
        <w:rPr>
          <w:rFonts w:ascii="Cambria" w:eastAsia="Times New Roman" w:hAnsi="Cambria" w:cstheme="minorHAnsi"/>
        </w:rPr>
        <w:t>it.</w:t>
      </w:r>
    </w:p>
    <w:p w14:paraId="4C36B7DE" w14:textId="77777777" w:rsidR="00B81951" w:rsidRPr="009A0DA6" w:rsidRDefault="00B81951" w:rsidP="00BA4592">
      <w:pPr>
        <w:tabs>
          <w:tab w:val="center" w:pos="4394"/>
          <w:tab w:val="right" w:pos="6095"/>
          <w:tab w:val="right" w:pos="7371"/>
          <w:tab w:val="right" w:pos="8647"/>
        </w:tabs>
        <w:spacing w:before="120" w:after="120" w:line="240" w:lineRule="auto"/>
        <w:ind w:right="-51"/>
        <w:contextualSpacing/>
        <w:rPr>
          <w:rFonts w:ascii="Cambria" w:eastAsia="Times New Roman" w:hAnsi="Cambria" w:cstheme="minorHAnsi"/>
          <w:spacing w:val="3"/>
        </w:rPr>
      </w:pPr>
    </w:p>
    <w:p w14:paraId="23F6A1A7" w14:textId="4A9EE151" w:rsidR="00BA4592" w:rsidRPr="009A0DA6" w:rsidRDefault="00BA4592" w:rsidP="00BA4592">
      <w:pPr>
        <w:tabs>
          <w:tab w:val="center" w:pos="4394"/>
          <w:tab w:val="right" w:pos="6095"/>
          <w:tab w:val="right" w:pos="7371"/>
          <w:tab w:val="right" w:pos="8647"/>
        </w:tabs>
        <w:spacing w:before="120" w:after="120" w:line="240" w:lineRule="auto"/>
        <w:ind w:right="-51"/>
        <w:contextualSpacing/>
        <w:rPr>
          <w:rFonts w:ascii="Cambria" w:eastAsiaTheme="minorEastAsia" w:hAnsi="Cambria" w:cstheme="minorHAnsi"/>
        </w:rPr>
      </w:pPr>
      <w:r w:rsidRPr="009A0DA6">
        <w:rPr>
          <w:rFonts w:ascii="Cambria" w:eastAsia="Times New Roman" w:hAnsi="Cambria" w:cstheme="minorHAnsi"/>
          <w:spacing w:val="3"/>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7"/>
        </w:rPr>
        <w:t xml:space="preserve"> </w:t>
      </w:r>
      <w:r w:rsidRPr="009A0DA6">
        <w:rPr>
          <w:rFonts w:ascii="Cambria" w:eastAsia="Times New Roman" w:hAnsi="Cambria" w:cstheme="minorHAnsi"/>
          <w:spacing w:val="-2"/>
        </w:rPr>
        <w:t>L</w:t>
      </w:r>
      <w:r w:rsidRPr="009A0DA6">
        <w:rPr>
          <w:rFonts w:ascii="Cambria" w:eastAsia="Times New Roman" w:hAnsi="Cambria" w:cstheme="minorHAnsi"/>
          <w:spacing w:val="2"/>
        </w:rPr>
        <w:t>C</w:t>
      </w:r>
      <w:r w:rsidRPr="009A0DA6">
        <w:rPr>
          <w:rFonts w:ascii="Cambria" w:eastAsia="Times New Roman" w:hAnsi="Cambria" w:cstheme="minorHAnsi"/>
        </w:rPr>
        <w:t>A</w:t>
      </w:r>
      <w:r w:rsidRPr="009A0DA6">
        <w:rPr>
          <w:rFonts w:ascii="Cambria" w:eastAsia="Times New Roman" w:hAnsi="Cambria" w:cstheme="minorHAnsi"/>
          <w:spacing w:val="6"/>
        </w:rPr>
        <w:t xml:space="preserve"> </w:t>
      </w:r>
      <w:r w:rsidRPr="009A0DA6">
        <w:rPr>
          <w:rFonts w:ascii="Cambria" w:eastAsia="Times New Roman" w:hAnsi="Cambria" w:cstheme="minorHAnsi"/>
          <w:spacing w:val="-1"/>
        </w:rPr>
        <w:t>h</w:t>
      </w:r>
      <w:r w:rsidRPr="009A0DA6">
        <w:rPr>
          <w:rFonts w:ascii="Cambria" w:eastAsia="Times New Roman" w:hAnsi="Cambria" w:cstheme="minorHAnsi"/>
        </w:rPr>
        <w:t>as</w:t>
      </w:r>
      <w:r w:rsidRPr="009A0DA6">
        <w:rPr>
          <w:rFonts w:ascii="Cambria" w:eastAsia="Times New Roman" w:hAnsi="Cambria" w:cstheme="minorHAnsi"/>
          <w:spacing w:val="6"/>
        </w:rPr>
        <w:t xml:space="preserve"> </w:t>
      </w:r>
      <w:r w:rsidRPr="009A0DA6">
        <w:rPr>
          <w:rFonts w:ascii="Cambria" w:eastAsia="Times New Roman" w:hAnsi="Cambria" w:cstheme="minorHAnsi"/>
        </w:rPr>
        <w:t>a</w:t>
      </w:r>
      <w:r w:rsidRPr="009A0DA6">
        <w:rPr>
          <w:rFonts w:ascii="Cambria" w:eastAsia="Times New Roman" w:hAnsi="Cambria" w:cstheme="minorHAnsi"/>
          <w:spacing w:val="9"/>
        </w:rPr>
        <w:t xml:space="preserve"> </w:t>
      </w:r>
      <w:r w:rsidRPr="009A0DA6">
        <w:rPr>
          <w:rFonts w:ascii="Cambria" w:eastAsia="Times New Roman" w:hAnsi="Cambria" w:cstheme="minorHAnsi"/>
        </w:rPr>
        <w:t>c</w:t>
      </w:r>
      <w:r w:rsidRPr="009A0DA6">
        <w:rPr>
          <w:rFonts w:ascii="Cambria" w:eastAsia="Times New Roman" w:hAnsi="Cambria" w:cstheme="minorHAnsi"/>
          <w:spacing w:val="1"/>
        </w:rPr>
        <w:t>on</w:t>
      </w:r>
      <w:r w:rsidRPr="009A0DA6">
        <w:rPr>
          <w:rFonts w:ascii="Cambria" w:eastAsia="Times New Roman" w:hAnsi="Cambria" w:cstheme="minorHAnsi"/>
          <w:spacing w:val="-1"/>
        </w:rPr>
        <w:t>s</w:t>
      </w:r>
      <w:r w:rsidRPr="009A0DA6">
        <w:rPr>
          <w:rFonts w:ascii="Cambria" w:eastAsia="Times New Roman" w:hAnsi="Cambria" w:cstheme="minorHAnsi"/>
        </w:rPr>
        <w:t>ti</w:t>
      </w:r>
      <w:r w:rsidRPr="009A0DA6">
        <w:rPr>
          <w:rFonts w:ascii="Cambria" w:eastAsia="Times New Roman" w:hAnsi="Cambria" w:cstheme="minorHAnsi"/>
          <w:spacing w:val="2"/>
        </w:rPr>
        <w:t>t</w:t>
      </w:r>
      <w:r w:rsidRPr="009A0DA6">
        <w:rPr>
          <w:rFonts w:ascii="Cambria" w:eastAsia="Times New Roman" w:hAnsi="Cambria" w:cstheme="minorHAnsi"/>
          <w:spacing w:val="-1"/>
        </w:rPr>
        <w:t>u</w:t>
      </w:r>
      <w:r w:rsidRPr="009A0DA6">
        <w:rPr>
          <w:rFonts w:ascii="Cambria" w:eastAsia="Times New Roman" w:hAnsi="Cambria" w:cstheme="minorHAnsi"/>
        </w:rPr>
        <w:t>ti</w:t>
      </w:r>
      <w:r w:rsidRPr="009A0DA6">
        <w:rPr>
          <w:rFonts w:ascii="Cambria" w:eastAsia="Times New Roman" w:hAnsi="Cambria" w:cstheme="minorHAnsi"/>
          <w:spacing w:val="4"/>
        </w:rPr>
        <w:t>o</w:t>
      </w:r>
      <w:r w:rsidRPr="009A0DA6">
        <w:rPr>
          <w:rFonts w:ascii="Cambria" w:eastAsia="Times New Roman" w:hAnsi="Cambria" w:cstheme="minorHAnsi"/>
          <w:spacing w:val="-1"/>
        </w:rPr>
        <w:t>n</w:t>
      </w:r>
      <w:r w:rsidRPr="009A0DA6">
        <w:rPr>
          <w:rFonts w:ascii="Cambria" w:eastAsia="Times New Roman" w:hAnsi="Cambria" w:cstheme="minorHAnsi"/>
        </w:rPr>
        <w:t>al</w:t>
      </w:r>
      <w:r w:rsidRPr="009A0DA6">
        <w:rPr>
          <w:rFonts w:ascii="Cambria" w:eastAsia="Times New Roman" w:hAnsi="Cambria" w:cstheme="minorHAnsi"/>
          <w:spacing w:val="1"/>
        </w:rPr>
        <w:t xml:space="preserve"> </w:t>
      </w:r>
      <w:r w:rsidRPr="009A0DA6">
        <w:rPr>
          <w:rFonts w:ascii="Cambria" w:eastAsia="Times New Roman" w:hAnsi="Cambria" w:cstheme="minorHAnsi"/>
        </w:rPr>
        <w:t>li</w:t>
      </w:r>
      <w:r w:rsidRPr="009A0DA6">
        <w:rPr>
          <w:rFonts w:ascii="Cambria" w:eastAsia="Times New Roman" w:hAnsi="Cambria" w:cstheme="minorHAnsi"/>
          <w:spacing w:val="1"/>
        </w:rPr>
        <w:t>n</w:t>
      </w:r>
      <w:r w:rsidRPr="009A0DA6">
        <w:rPr>
          <w:rFonts w:ascii="Cambria" w:eastAsia="Times New Roman" w:hAnsi="Cambria" w:cstheme="minorHAnsi"/>
          <w:spacing w:val="-1"/>
        </w:rPr>
        <w:t>k</w:t>
      </w:r>
      <w:r w:rsidRPr="009A0DA6">
        <w:rPr>
          <w:rFonts w:ascii="Cambria" w:eastAsia="Times New Roman" w:hAnsi="Cambria" w:cstheme="minorHAnsi"/>
        </w:rPr>
        <w:t>a</w:t>
      </w:r>
      <w:r w:rsidRPr="009A0DA6">
        <w:rPr>
          <w:rFonts w:ascii="Cambria" w:eastAsia="Times New Roman" w:hAnsi="Cambria" w:cstheme="minorHAnsi"/>
          <w:spacing w:val="-1"/>
        </w:rPr>
        <w:t>g</w:t>
      </w:r>
      <w:r w:rsidRPr="009A0DA6">
        <w:rPr>
          <w:rFonts w:ascii="Cambria" w:eastAsia="Times New Roman" w:hAnsi="Cambria" w:cstheme="minorHAnsi"/>
        </w:rPr>
        <w:t>e</w:t>
      </w:r>
      <w:r w:rsidRPr="009A0DA6">
        <w:rPr>
          <w:rFonts w:ascii="Cambria" w:eastAsia="Times New Roman" w:hAnsi="Cambria" w:cstheme="minorHAnsi"/>
          <w:spacing w:val="4"/>
        </w:rPr>
        <w:t xml:space="preserve"> </w:t>
      </w:r>
      <w:r w:rsidRPr="009A0DA6">
        <w:rPr>
          <w:rFonts w:ascii="Cambria" w:eastAsia="Times New Roman" w:hAnsi="Cambria" w:cstheme="minorHAnsi"/>
        </w:rPr>
        <w:t>to</w:t>
      </w:r>
      <w:r w:rsidRPr="009A0DA6">
        <w:rPr>
          <w:rFonts w:ascii="Cambria" w:eastAsia="Times New Roman" w:hAnsi="Cambria" w:cstheme="minorHAnsi"/>
          <w:spacing w:val="9"/>
        </w:rPr>
        <w:t xml:space="preserve"> </w:t>
      </w:r>
      <w:r w:rsidRPr="009A0DA6">
        <w:rPr>
          <w:rFonts w:ascii="Cambria" w:eastAsia="Times New Roman" w:hAnsi="Cambria" w:cstheme="minorHAnsi"/>
        </w:rPr>
        <w:t>a</w:t>
      </w:r>
      <w:r w:rsidRPr="009A0DA6">
        <w:rPr>
          <w:rFonts w:ascii="Cambria" w:eastAsia="Times New Roman" w:hAnsi="Cambria" w:cstheme="minorHAnsi"/>
          <w:spacing w:val="9"/>
        </w:rPr>
        <w:t xml:space="preserve"> </w:t>
      </w:r>
      <w:r w:rsidRPr="009A0DA6">
        <w:rPr>
          <w:rFonts w:ascii="Cambria" w:eastAsia="Times New Roman" w:hAnsi="Cambria" w:cstheme="minorHAnsi"/>
          <w:spacing w:val="1"/>
        </w:rPr>
        <w:t>r</w:t>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spacing w:val="-1"/>
        </w:rPr>
        <w:t>g</w:t>
      </w:r>
      <w:r w:rsidRPr="009A0DA6">
        <w:rPr>
          <w:rFonts w:ascii="Cambria" w:eastAsia="Times New Roman" w:hAnsi="Cambria" w:cstheme="minorHAnsi"/>
        </w:rPr>
        <w:t>e</w:t>
      </w:r>
      <w:r w:rsidRPr="009A0DA6">
        <w:rPr>
          <w:rFonts w:ascii="Cambria" w:eastAsia="Times New Roman" w:hAnsi="Cambria" w:cstheme="minorHAnsi"/>
          <w:spacing w:val="6"/>
        </w:rPr>
        <w:t xml:space="preserve"> </w:t>
      </w:r>
      <w:r w:rsidRPr="009A0DA6">
        <w:rPr>
          <w:rFonts w:ascii="Cambria" w:eastAsia="Times New Roman" w:hAnsi="Cambria" w:cstheme="minorHAnsi"/>
          <w:spacing w:val="1"/>
        </w:rPr>
        <w:t>o</w:t>
      </w:r>
      <w:r w:rsidRPr="009A0DA6">
        <w:rPr>
          <w:rFonts w:ascii="Cambria" w:eastAsia="Times New Roman" w:hAnsi="Cambria" w:cstheme="minorHAnsi"/>
        </w:rPr>
        <w:t>f</w:t>
      </w:r>
      <w:r w:rsidRPr="009A0DA6">
        <w:rPr>
          <w:rFonts w:ascii="Cambria" w:eastAsia="Times New Roman" w:hAnsi="Cambria" w:cstheme="minorHAnsi"/>
          <w:spacing w:val="7"/>
        </w:rPr>
        <w:t xml:space="preserve"> </w:t>
      </w:r>
      <w:r w:rsidRPr="009A0DA6">
        <w:rPr>
          <w:rFonts w:ascii="Cambria" w:eastAsia="Times New Roman" w:hAnsi="Cambria" w:cstheme="minorHAnsi"/>
          <w:spacing w:val="1"/>
        </w:rPr>
        <w:t>or</w:t>
      </w:r>
      <w:r w:rsidRPr="009A0DA6">
        <w:rPr>
          <w:rFonts w:ascii="Cambria" w:eastAsia="Times New Roman" w:hAnsi="Cambria" w:cstheme="minorHAnsi"/>
          <w:spacing w:val="-1"/>
        </w:rPr>
        <w:t>g</w:t>
      </w:r>
      <w:r w:rsidRPr="009A0DA6">
        <w:rPr>
          <w:rFonts w:ascii="Cambria" w:eastAsia="Times New Roman" w:hAnsi="Cambria" w:cstheme="minorHAnsi"/>
          <w:spacing w:val="3"/>
        </w:rPr>
        <w:t>a</w:t>
      </w:r>
      <w:r w:rsidRPr="009A0DA6">
        <w:rPr>
          <w:rFonts w:ascii="Cambria" w:eastAsia="Times New Roman" w:hAnsi="Cambria" w:cstheme="minorHAnsi"/>
          <w:spacing w:val="-1"/>
        </w:rPr>
        <w:t>n</w:t>
      </w:r>
      <w:r w:rsidRPr="009A0DA6">
        <w:rPr>
          <w:rFonts w:ascii="Cambria" w:eastAsia="Times New Roman" w:hAnsi="Cambria" w:cstheme="minorHAnsi"/>
          <w:spacing w:val="2"/>
        </w:rPr>
        <w:t>i</w:t>
      </w:r>
      <w:r w:rsidRPr="009A0DA6">
        <w:rPr>
          <w:rFonts w:ascii="Cambria" w:eastAsia="Times New Roman" w:hAnsi="Cambria" w:cstheme="minorHAnsi"/>
          <w:spacing w:val="-1"/>
        </w:rPr>
        <w:t>s</w:t>
      </w:r>
      <w:r w:rsidRPr="009A0DA6">
        <w:rPr>
          <w:rFonts w:ascii="Cambria" w:eastAsia="Times New Roman" w:hAnsi="Cambria" w:cstheme="minorHAnsi"/>
        </w:rPr>
        <w:t>ati</w:t>
      </w:r>
      <w:r w:rsidRPr="009A0DA6">
        <w:rPr>
          <w:rFonts w:ascii="Cambria" w:eastAsia="Times New Roman" w:hAnsi="Cambria" w:cstheme="minorHAnsi"/>
          <w:spacing w:val="1"/>
        </w:rPr>
        <w:t>o</w:t>
      </w:r>
      <w:r w:rsidRPr="009A0DA6">
        <w:rPr>
          <w:rFonts w:ascii="Cambria" w:eastAsia="Times New Roman" w:hAnsi="Cambria" w:cstheme="minorHAnsi"/>
          <w:spacing w:val="-1"/>
        </w:rPr>
        <w:t>n</w:t>
      </w:r>
      <w:r w:rsidRPr="009A0DA6">
        <w:rPr>
          <w:rFonts w:ascii="Cambria" w:eastAsia="Times New Roman" w:hAnsi="Cambria" w:cstheme="minorHAnsi"/>
        </w:rPr>
        <w:t>s</w:t>
      </w:r>
      <w:r w:rsidRPr="009A0DA6">
        <w:rPr>
          <w:rFonts w:ascii="Cambria" w:eastAsia="Times New Roman" w:hAnsi="Cambria" w:cstheme="minorHAnsi"/>
          <w:spacing w:val="-2"/>
        </w:rPr>
        <w:t xml:space="preserve"> </w:t>
      </w:r>
      <w:r w:rsidRPr="009A0DA6">
        <w:rPr>
          <w:rFonts w:ascii="Cambria" w:eastAsia="Times New Roman" w:hAnsi="Cambria" w:cstheme="minorHAnsi"/>
          <w:spacing w:val="3"/>
        </w:rPr>
        <w:t>a</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spacing w:val="8"/>
        </w:rPr>
        <w:t xml:space="preserve"> </w:t>
      </w:r>
      <w:r w:rsidRPr="009A0DA6">
        <w:rPr>
          <w:rFonts w:ascii="Cambria" w:eastAsia="Times New Roman" w:hAnsi="Cambria" w:cstheme="minorHAnsi"/>
        </w:rPr>
        <w:t>e</w:t>
      </w:r>
      <w:r w:rsidRPr="009A0DA6">
        <w:rPr>
          <w:rFonts w:ascii="Cambria" w:eastAsia="Times New Roman" w:hAnsi="Cambria" w:cstheme="minorHAnsi"/>
          <w:spacing w:val="-1"/>
        </w:rPr>
        <w:t>n</w:t>
      </w:r>
      <w:r w:rsidRPr="009A0DA6">
        <w:rPr>
          <w:rFonts w:ascii="Cambria" w:eastAsia="Times New Roman" w:hAnsi="Cambria" w:cstheme="minorHAnsi"/>
        </w:rPr>
        <w:t>ti</w:t>
      </w:r>
      <w:r w:rsidRPr="009A0DA6">
        <w:rPr>
          <w:rFonts w:ascii="Cambria" w:eastAsia="Times New Roman" w:hAnsi="Cambria" w:cstheme="minorHAnsi"/>
          <w:spacing w:val="2"/>
        </w:rPr>
        <w:t>t</w:t>
      </w:r>
      <w:r w:rsidRPr="009A0DA6">
        <w:rPr>
          <w:rFonts w:ascii="Cambria" w:eastAsia="Times New Roman" w:hAnsi="Cambria" w:cstheme="minorHAnsi"/>
        </w:rPr>
        <w:t>ies</w:t>
      </w:r>
      <w:r w:rsidRPr="009A0DA6">
        <w:rPr>
          <w:rFonts w:ascii="Cambria" w:eastAsia="Times New Roman" w:hAnsi="Cambria" w:cstheme="minorHAnsi"/>
          <w:spacing w:val="3"/>
        </w:rPr>
        <w:t xml:space="preserve"> </w:t>
      </w:r>
      <w:r w:rsidRPr="009A0DA6">
        <w:rPr>
          <w:rFonts w:ascii="Cambria" w:eastAsia="Times New Roman" w:hAnsi="Cambria" w:cstheme="minorHAnsi"/>
          <w:spacing w:val="2"/>
        </w:rPr>
        <w:t>t</w:t>
      </w:r>
      <w:r w:rsidRPr="009A0DA6">
        <w:rPr>
          <w:rFonts w:ascii="Cambria" w:eastAsia="Times New Roman" w:hAnsi="Cambria" w:cstheme="minorHAnsi"/>
          <w:spacing w:val="-1"/>
        </w:rPr>
        <w:t>h</w:t>
      </w:r>
      <w:r w:rsidRPr="009A0DA6">
        <w:rPr>
          <w:rFonts w:ascii="Cambria" w:eastAsia="Times New Roman" w:hAnsi="Cambria" w:cstheme="minorHAnsi"/>
        </w:rPr>
        <w:t>at</w:t>
      </w:r>
      <w:r w:rsidRPr="009A0DA6">
        <w:rPr>
          <w:rFonts w:ascii="Cambria" w:eastAsia="Times New Roman" w:hAnsi="Cambria" w:cstheme="minorHAnsi"/>
          <w:spacing w:val="7"/>
        </w:rPr>
        <w:t xml:space="preserve"> </w:t>
      </w:r>
      <w:r w:rsidRPr="009A0DA6">
        <w:rPr>
          <w:rFonts w:ascii="Cambria" w:eastAsia="Times New Roman" w:hAnsi="Cambria" w:cstheme="minorHAnsi"/>
        </w:rPr>
        <w:t>a</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8"/>
        </w:rPr>
        <w:t xml:space="preserve"> </w:t>
      </w:r>
      <w:r w:rsidRPr="009A0DA6">
        <w:rPr>
          <w:rFonts w:ascii="Cambria" w:eastAsia="Times New Roman" w:hAnsi="Cambria" w:cstheme="minorHAnsi"/>
          <w:spacing w:val="-1"/>
        </w:rPr>
        <w:t>s</w:t>
      </w:r>
      <w:r w:rsidRPr="009A0DA6">
        <w:rPr>
          <w:rFonts w:ascii="Cambria" w:eastAsia="Times New Roman" w:hAnsi="Cambria" w:cstheme="minorHAnsi"/>
        </w:rPr>
        <w:t>e</w:t>
      </w:r>
      <w:r w:rsidRPr="009A0DA6">
        <w:rPr>
          <w:rFonts w:ascii="Cambria" w:eastAsia="Times New Roman" w:hAnsi="Cambria" w:cstheme="minorHAnsi"/>
          <w:spacing w:val="1"/>
        </w:rPr>
        <w:t>p</w:t>
      </w:r>
      <w:r w:rsidRPr="009A0DA6">
        <w:rPr>
          <w:rFonts w:ascii="Cambria" w:eastAsia="Times New Roman" w:hAnsi="Cambria" w:cstheme="minorHAnsi"/>
        </w:rPr>
        <w:t>a</w:t>
      </w:r>
      <w:r w:rsidRPr="009A0DA6">
        <w:rPr>
          <w:rFonts w:ascii="Cambria" w:eastAsia="Times New Roman" w:hAnsi="Cambria" w:cstheme="minorHAnsi"/>
          <w:spacing w:val="1"/>
        </w:rPr>
        <w:t>r</w:t>
      </w:r>
      <w:r w:rsidRPr="009A0DA6">
        <w:rPr>
          <w:rFonts w:ascii="Cambria" w:eastAsia="Times New Roman" w:hAnsi="Cambria" w:cstheme="minorHAnsi"/>
        </w:rPr>
        <w:t>ate</w:t>
      </w:r>
      <w:r w:rsidRPr="009A0DA6">
        <w:rPr>
          <w:rFonts w:ascii="Cambria" w:eastAsia="Times New Roman" w:hAnsi="Cambria" w:cstheme="minorHAnsi"/>
          <w:spacing w:val="3"/>
        </w:rPr>
        <w:t xml:space="preserve"> </w:t>
      </w:r>
      <w:r w:rsidRPr="009A0DA6">
        <w:rPr>
          <w:rFonts w:ascii="Cambria" w:eastAsia="Times New Roman" w:hAnsi="Cambria" w:cstheme="minorHAnsi"/>
        </w:rPr>
        <w:t>le</w:t>
      </w:r>
      <w:r w:rsidRPr="009A0DA6">
        <w:rPr>
          <w:rFonts w:ascii="Cambria" w:eastAsia="Times New Roman" w:hAnsi="Cambria" w:cstheme="minorHAnsi"/>
          <w:spacing w:val="-1"/>
        </w:rPr>
        <w:t>g</w:t>
      </w:r>
      <w:r w:rsidRPr="009A0DA6">
        <w:rPr>
          <w:rFonts w:ascii="Cambria" w:eastAsia="Times New Roman" w:hAnsi="Cambria" w:cstheme="minorHAnsi"/>
        </w:rPr>
        <w:t>al e</w:t>
      </w:r>
      <w:r w:rsidRPr="009A0DA6">
        <w:rPr>
          <w:rFonts w:ascii="Cambria" w:eastAsia="Times New Roman" w:hAnsi="Cambria" w:cstheme="minorHAnsi"/>
          <w:spacing w:val="-1"/>
        </w:rPr>
        <w:t>n</w:t>
      </w:r>
      <w:r w:rsidRPr="009A0DA6">
        <w:rPr>
          <w:rFonts w:ascii="Cambria" w:eastAsia="Times New Roman" w:hAnsi="Cambria" w:cstheme="minorHAnsi"/>
        </w:rPr>
        <w:t>titi</w:t>
      </w:r>
      <w:r w:rsidRPr="009A0DA6">
        <w:rPr>
          <w:rFonts w:ascii="Cambria" w:eastAsia="Times New Roman" w:hAnsi="Cambria" w:cstheme="minorHAnsi"/>
          <w:spacing w:val="3"/>
        </w:rPr>
        <w:t>e</w:t>
      </w:r>
      <w:r w:rsidRPr="009A0DA6">
        <w:rPr>
          <w:rFonts w:ascii="Cambria" w:eastAsia="Times New Roman" w:hAnsi="Cambria" w:cstheme="minorHAnsi"/>
          <w:spacing w:val="-1"/>
        </w:rPr>
        <w:t>s</w:t>
      </w:r>
      <w:r w:rsidRPr="009A0DA6">
        <w:rPr>
          <w:rFonts w:ascii="Cambria" w:eastAsia="Times New Roman" w:hAnsi="Cambria" w:cstheme="minorHAnsi"/>
        </w:rPr>
        <w:t>.</w:t>
      </w:r>
      <w:r w:rsidRPr="009A0DA6">
        <w:rPr>
          <w:rFonts w:ascii="Cambria" w:eastAsia="Times New Roman" w:hAnsi="Cambria" w:cstheme="minorHAnsi"/>
          <w:spacing w:val="2"/>
        </w:rPr>
        <w:t xml:space="preserve"> </w:t>
      </w:r>
      <w:r w:rsidRPr="009A0DA6">
        <w:rPr>
          <w:rFonts w:ascii="Cambria" w:eastAsia="Times New Roman" w:hAnsi="Cambria" w:cstheme="minorHAnsi"/>
        </w:rPr>
        <w:t>Se</w:t>
      </w:r>
      <w:r w:rsidRPr="009A0DA6">
        <w:rPr>
          <w:rFonts w:ascii="Cambria" w:eastAsia="Times New Roman" w:hAnsi="Cambria" w:cstheme="minorHAnsi"/>
          <w:spacing w:val="1"/>
        </w:rPr>
        <w:t>p</w:t>
      </w:r>
      <w:r w:rsidRPr="009A0DA6">
        <w:rPr>
          <w:rFonts w:ascii="Cambria" w:eastAsia="Times New Roman" w:hAnsi="Cambria" w:cstheme="minorHAnsi"/>
        </w:rPr>
        <w:t>a</w:t>
      </w:r>
      <w:r w:rsidRPr="009A0DA6">
        <w:rPr>
          <w:rFonts w:ascii="Cambria" w:eastAsia="Times New Roman" w:hAnsi="Cambria" w:cstheme="minorHAnsi"/>
          <w:spacing w:val="1"/>
        </w:rPr>
        <w:t>r</w:t>
      </w:r>
      <w:r w:rsidRPr="009A0DA6">
        <w:rPr>
          <w:rFonts w:ascii="Cambria" w:eastAsia="Times New Roman" w:hAnsi="Cambria" w:cstheme="minorHAnsi"/>
        </w:rPr>
        <w:t>ate</w:t>
      </w:r>
      <w:r w:rsidRPr="009A0DA6">
        <w:rPr>
          <w:rFonts w:ascii="Cambria" w:eastAsia="Times New Roman" w:hAnsi="Cambria" w:cstheme="minorHAnsi"/>
          <w:spacing w:val="3"/>
        </w:rPr>
        <w:t xml:space="preserve"> </w:t>
      </w:r>
      <w:r w:rsidRPr="009A0DA6">
        <w:rPr>
          <w:rFonts w:ascii="Cambria" w:eastAsia="Times New Roman" w:hAnsi="Cambria" w:cstheme="minorHAnsi"/>
          <w:spacing w:val="-1"/>
        </w:rPr>
        <w:t>f</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rPr>
        <w:t>ci</w:t>
      </w:r>
      <w:r w:rsidRPr="009A0DA6">
        <w:rPr>
          <w:rFonts w:ascii="Cambria" w:eastAsia="Times New Roman" w:hAnsi="Cambria" w:cstheme="minorHAnsi"/>
          <w:spacing w:val="3"/>
        </w:rPr>
        <w:t>a</w:t>
      </w:r>
      <w:r w:rsidRPr="009A0DA6">
        <w:rPr>
          <w:rFonts w:ascii="Cambria" w:eastAsia="Times New Roman" w:hAnsi="Cambria" w:cstheme="minorHAnsi"/>
        </w:rPr>
        <w:t xml:space="preserve">l </w:t>
      </w:r>
      <w:r w:rsidRPr="009A0DA6">
        <w:rPr>
          <w:rFonts w:ascii="Cambria" w:eastAsia="Times New Roman" w:hAnsi="Cambria" w:cstheme="minorHAnsi"/>
          <w:spacing w:val="1"/>
        </w:rPr>
        <w:t>r</w:t>
      </w:r>
      <w:r w:rsidRPr="009A0DA6">
        <w:rPr>
          <w:rFonts w:ascii="Cambria" w:eastAsia="Times New Roman" w:hAnsi="Cambria" w:cstheme="minorHAnsi"/>
          <w:spacing w:val="3"/>
        </w:rPr>
        <w:t>e</w:t>
      </w:r>
      <w:r w:rsidRPr="009A0DA6">
        <w:rPr>
          <w:rFonts w:ascii="Cambria" w:eastAsia="Times New Roman" w:hAnsi="Cambria" w:cstheme="minorHAnsi"/>
          <w:spacing w:val="1"/>
        </w:rPr>
        <w:t>por</w:t>
      </w:r>
      <w:r w:rsidRPr="009A0DA6">
        <w:rPr>
          <w:rFonts w:ascii="Cambria" w:eastAsia="Times New Roman" w:hAnsi="Cambria" w:cstheme="minorHAnsi"/>
        </w:rPr>
        <w:t>ts</w:t>
      </w:r>
      <w:r w:rsidRPr="009A0DA6">
        <w:rPr>
          <w:rFonts w:ascii="Cambria" w:eastAsia="Times New Roman" w:hAnsi="Cambria" w:cstheme="minorHAnsi"/>
          <w:spacing w:val="1"/>
        </w:rPr>
        <w:t xml:space="preserve"> </w:t>
      </w:r>
      <w:r w:rsidRPr="009A0DA6">
        <w:rPr>
          <w:rFonts w:ascii="Cambria" w:eastAsia="Times New Roman" w:hAnsi="Cambria" w:cstheme="minorHAnsi"/>
        </w:rPr>
        <w:t>a</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6"/>
        </w:rPr>
        <w:t xml:space="preserve"> </w:t>
      </w:r>
      <w:r w:rsidRPr="009A0DA6">
        <w:rPr>
          <w:rFonts w:ascii="Cambria" w:eastAsia="Times New Roman" w:hAnsi="Cambria" w:cstheme="minorHAnsi"/>
          <w:spacing w:val="1"/>
        </w:rPr>
        <w:t>pr</w:t>
      </w:r>
      <w:r w:rsidRPr="009A0DA6">
        <w:rPr>
          <w:rFonts w:ascii="Cambria" w:eastAsia="Times New Roman" w:hAnsi="Cambria" w:cstheme="minorHAnsi"/>
        </w:rPr>
        <w:t>e</w:t>
      </w:r>
      <w:r w:rsidRPr="009A0DA6">
        <w:rPr>
          <w:rFonts w:ascii="Cambria" w:eastAsia="Times New Roman" w:hAnsi="Cambria" w:cstheme="minorHAnsi"/>
          <w:spacing w:val="1"/>
        </w:rPr>
        <w:t>p</w:t>
      </w:r>
      <w:r w:rsidRPr="009A0DA6">
        <w:rPr>
          <w:rFonts w:ascii="Cambria" w:eastAsia="Times New Roman" w:hAnsi="Cambria" w:cstheme="minorHAnsi"/>
        </w:rPr>
        <w:t>a</w:t>
      </w:r>
      <w:r w:rsidRPr="009A0DA6">
        <w:rPr>
          <w:rFonts w:ascii="Cambria" w:eastAsia="Times New Roman" w:hAnsi="Cambria" w:cstheme="minorHAnsi"/>
          <w:spacing w:val="1"/>
        </w:rPr>
        <w:t>r</w:t>
      </w:r>
      <w:r w:rsidRPr="009A0DA6">
        <w:rPr>
          <w:rFonts w:ascii="Cambria" w:eastAsia="Times New Roman" w:hAnsi="Cambria" w:cstheme="minorHAnsi"/>
        </w:rPr>
        <w:t>ed</w:t>
      </w:r>
      <w:r w:rsidRPr="009A0DA6">
        <w:rPr>
          <w:rFonts w:ascii="Cambria" w:eastAsia="Times New Roman" w:hAnsi="Cambria" w:cstheme="minorHAnsi"/>
          <w:spacing w:val="1"/>
        </w:rPr>
        <w:t xml:space="preserve"> </w:t>
      </w:r>
      <w:r w:rsidRPr="009A0DA6">
        <w:rPr>
          <w:rFonts w:ascii="Cambria" w:eastAsia="Times New Roman" w:hAnsi="Cambria" w:cstheme="minorHAnsi"/>
          <w:spacing w:val="-1"/>
        </w:rPr>
        <w:t>f</w:t>
      </w:r>
      <w:r w:rsidRPr="009A0DA6">
        <w:rPr>
          <w:rFonts w:ascii="Cambria" w:eastAsia="Times New Roman" w:hAnsi="Cambria" w:cstheme="minorHAnsi"/>
          <w:spacing w:val="1"/>
        </w:rPr>
        <w:t>o</w:t>
      </w:r>
      <w:r w:rsidRPr="009A0DA6">
        <w:rPr>
          <w:rFonts w:ascii="Cambria" w:eastAsia="Times New Roman" w:hAnsi="Cambria" w:cstheme="minorHAnsi"/>
        </w:rPr>
        <w:t>r</w:t>
      </w:r>
      <w:r w:rsidRPr="009A0DA6">
        <w:rPr>
          <w:rFonts w:ascii="Cambria" w:eastAsia="Times New Roman" w:hAnsi="Cambria" w:cstheme="minorHAnsi"/>
          <w:spacing w:val="6"/>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1"/>
        </w:rPr>
        <w:t>s</w:t>
      </w:r>
      <w:r w:rsidRPr="009A0DA6">
        <w:rPr>
          <w:rFonts w:ascii="Cambria" w:eastAsia="Times New Roman" w:hAnsi="Cambria" w:cstheme="minorHAnsi"/>
        </w:rPr>
        <w:t>e</w:t>
      </w:r>
      <w:r w:rsidRPr="009A0DA6">
        <w:rPr>
          <w:rFonts w:ascii="Cambria" w:eastAsia="Times New Roman" w:hAnsi="Cambria" w:cstheme="minorHAnsi"/>
          <w:spacing w:val="4"/>
        </w:rPr>
        <w:t xml:space="preserve"> </w:t>
      </w:r>
      <w:r w:rsidRPr="009A0DA6">
        <w:rPr>
          <w:rFonts w:ascii="Cambria" w:eastAsia="Times New Roman" w:hAnsi="Cambria" w:cstheme="minorHAnsi"/>
          <w:spacing w:val="2"/>
        </w:rPr>
        <w:t>l</w:t>
      </w:r>
      <w:r w:rsidRPr="009A0DA6">
        <w:rPr>
          <w:rFonts w:ascii="Cambria" w:eastAsia="Times New Roman" w:hAnsi="Cambria" w:cstheme="minorHAnsi"/>
        </w:rPr>
        <w:t>e</w:t>
      </w:r>
      <w:r w:rsidRPr="009A0DA6">
        <w:rPr>
          <w:rFonts w:ascii="Cambria" w:eastAsia="Times New Roman" w:hAnsi="Cambria" w:cstheme="minorHAnsi"/>
          <w:spacing w:val="-1"/>
        </w:rPr>
        <w:t>g</w:t>
      </w:r>
      <w:r w:rsidRPr="009A0DA6">
        <w:rPr>
          <w:rFonts w:ascii="Cambria" w:eastAsia="Times New Roman" w:hAnsi="Cambria" w:cstheme="minorHAnsi"/>
        </w:rPr>
        <w:t>al</w:t>
      </w:r>
      <w:r w:rsidRPr="009A0DA6">
        <w:rPr>
          <w:rFonts w:ascii="Cambria" w:eastAsia="Times New Roman" w:hAnsi="Cambria" w:cstheme="minorHAnsi"/>
          <w:spacing w:val="3"/>
        </w:rPr>
        <w:t xml:space="preserve"> e</w:t>
      </w:r>
      <w:r w:rsidRPr="009A0DA6">
        <w:rPr>
          <w:rFonts w:ascii="Cambria" w:eastAsia="Times New Roman" w:hAnsi="Cambria" w:cstheme="minorHAnsi"/>
          <w:spacing w:val="-1"/>
        </w:rPr>
        <w:t>n</w:t>
      </w:r>
      <w:r w:rsidRPr="009A0DA6">
        <w:rPr>
          <w:rFonts w:ascii="Cambria" w:eastAsia="Times New Roman" w:hAnsi="Cambria" w:cstheme="minorHAnsi"/>
        </w:rPr>
        <w:t>titi</w:t>
      </w:r>
      <w:r w:rsidRPr="009A0DA6">
        <w:rPr>
          <w:rFonts w:ascii="Cambria" w:eastAsia="Times New Roman" w:hAnsi="Cambria" w:cstheme="minorHAnsi"/>
          <w:spacing w:val="3"/>
        </w:rPr>
        <w:t>e</w:t>
      </w:r>
      <w:r w:rsidRPr="009A0DA6">
        <w:rPr>
          <w:rFonts w:ascii="Cambria" w:eastAsia="Times New Roman" w:hAnsi="Cambria" w:cstheme="minorHAnsi"/>
        </w:rPr>
        <w:t>s</w:t>
      </w:r>
      <w:r w:rsidRPr="009A0DA6">
        <w:rPr>
          <w:rFonts w:ascii="Cambria" w:eastAsia="Times New Roman" w:hAnsi="Cambria" w:cstheme="minorHAnsi"/>
          <w:spacing w:val="1"/>
        </w:rPr>
        <w:t xml:space="preserve"> </w:t>
      </w:r>
      <w:r w:rsidRPr="009A0DA6">
        <w:rPr>
          <w:rFonts w:ascii="Cambria" w:eastAsia="Times New Roman" w:hAnsi="Cambria" w:cstheme="minorHAnsi"/>
        </w:rPr>
        <w:t>at</w:t>
      </w:r>
      <w:r w:rsidRPr="009A0DA6">
        <w:rPr>
          <w:rFonts w:ascii="Cambria" w:eastAsia="Times New Roman" w:hAnsi="Cambria" w:cstheme="minorHAnsi"/>
          <w:spacing w:val="8"/>
        </w:rPr>
        <w:t xml:space="preserve"> </w:t>
      </w:r>
      <w:r w:rsidRPr="009A0DA6">
        <w:rPr>
          <w:rFonts w:ascii="Cambria" w:eastAsia="Times New Roman" w:hAnsi="Cambria" w:cstheme="minorHAnsi"/>
        </w:rPr>
        <w:t>l</w:t>
      </w:r>
      <w:r w:rsidRPr="009A0DA6">
        <w:rPr>
          <w:rFonts w:ascii="Cambria" w:eastAsia="Times New Roman" w:hAnsi="Cambria" w:cstheme="minorHAnsi"/>
          <w:spacing w:val="3"/>
        </w:rPr>
        <w:t>a</w:t>
      </w:r>
      <w:r w:rsidRPr="009A0DA6">
        <w:rPr>
          <w:rFonts w:ascii="Cambria" w:eastAsia="Times New Roman" w:hAnsi="Cambria" w:cstheme="minorHAnsi"/>
        </w:rPr>
        <w:t>w</w:t>
      </w:r>
      <w:r w:rsidRPr="009A0DA6">
        <w:rPr>
          <w:rFonts w:ascii="Cambria" w:eastAsia="Times New Roman" w:hAnsi="Cambria" w:cstheme="minorHAnsi"/>
          <w:spacing w:val="2"/>
        </w:rPr>
        <w:t xml:space="preserve"> </w:t>
      </w:r>
      <w:r w:rsidRPr="009A0DA6">
        <w:rPr>
          <w:rFonts w:ascii="Cambria" w:eastAsia="Times New Roman" w:hAnsi="Cambria" w:cstheme="minorHAnsi"/>
          <w:spacing w:val="3"/>
        </w:rPr>
        <w:t>a</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spacing w:val="8"/>
        </w:rPr>
        <w:t xml:space="preserve"> </w:t>
      </w:r>
      <w:r w:rsidRPr="009A0DA6">
        <w:rPr>
          <w:rFonts w:ascii="Cambria" w:eastAsia="Times New Roman" w:hAnsi="Cambria" w:cstheme="minorHAnsi"/>
          <w:spacing w:val="-1"/>
        </w:rPr>
        <w:t>n</w:t>
      </w:r>
      <w:r w:rsidRPr="009A0DA6">
        <w:rPr>
          <w:rFonts w:ascii="Cambria" w:eastAsia="Times New Roman" w:hAnsi="Cambria" w:cstheme="minorHAnsi"/>
        </w:rPr>
        <w:t>o</w:t>
      </w:r>
      <w:r w:rsidRPr="009A0DA6">
        <w:rPr>
          <w:rFonts w:ascii="Cambria" w:eastAsia="Times New Roman" w:hAnsi="Cambria" w:cstheme="minorHAnsi"/>
          <w:spacing w:val="6"/>
        </w:rPr>
        <w:t xml:space="preserve"> </w:t>
      </w:r>
      <w:r w:rsidRPr="009A0DA6">
        <w:rPr>
          <w:rFonts w:ascii="Cambria" w:eastAsia="Times New Roman" w:hAnsi="Cambria" w:cstheme="minorHAnsi"/>
        </w:rPr>
        <w:t>c</w:t>
      </w:r>
      <w:r w:rsidRPr="009A0DA6">
        <w:rPr>
          <w:rFonts w:ascii="Cambria" w:eastAsia="Times New Roman" w:hAnsi="Cambria" w:cstheme="minorHAnsi"/>
          <w:spacing w:val="1"/>
        </w:rPr>
        <w:t>o</w:t>
      </w:r>
      <w:r w:rsidRPr="009A0DA6">
        <w:rPr>
          <w:rFonts w:ascii="Cambria" w:eastAsia="Times New Roman" w:hAnsi="Cambria" w:cstheme="minorHAnsi"/>
          <w:spacing w:val="-1"/>
        </w:rPr>
        <w:t>ns</w:t>
      </w:r>
      <w:r w:rsidRPr="009A0DA6">
        <w:rPr>
          <w:rFonts w:ascii="Cambria" w:eastAsia="Times New Roman" w:hAnsi="Cambria" w:cstheme="minorHAnsi"/>
          <w:spacing w:val="1"/>
        </w:rPr>
        <w:t>o</w:t>
      </w:r>
      <w:r w:rsidRPr="009A0DA6">
        <w:rPr>
          <w:rFonts w:ascii="Cambria" w:eastAsia="Times New Roman" w:hAnsi="Cambria" w:cstheme="minorHAnsi"/>
        </w:rPr>
        <w:t>li</w:t>
      </w:r>
      <w:r w:rsidRPr="009A0DA6">
        <w:rPr>
          <w:rFonts w:ascii="Cambria" w:eastAsia="Times New Roman" w:hAnsi="Cambria" w:cstheme="minorHAnsi"/>
          <w:spacing w:val="1"/>
        </w:rPr>
        <w:t>d</w:t>
      </w:r>
      <w:r w:rsidRPr="009A0DA6">
        <w:rPr>
          <w:rFonts w:ascii="Cambria" w:eastAsia="Times New Roman" w:hAnsi="Cambria" w:cstheme="minorHAnsi"/>
        </w:rPr>
        <w:t>ati</w:t>
      </w:r>
      <w:r w:rsidRPr="009A0DA6">
        <w:rPr>
          <w:rFonts w:ascii="Cambria" w:eastAsia="Times New Roman" w:hAnsi="Cambria" w:cstheme="minorHAnsi"/>
          <w:spacing w:val="1"/>
        </w:rPr>
        <w:t>o</w:t>
      </w:r>
      <w:r w:rsidRPr="009A0DA6">
        <w:rPr>
          <w:rFonts w:ascii="Cambria" w:eastAsia="Times New Roman" w:hAnsi="Cambria" w:cstheme="minorHAnsi"/>
        </w:rPr>
        <w:t xml:space="preserve">n </w:t>
      </w:r>
      <w:r w:rsidRPr="009A0DA6">
        <w:rPr>
          <w:rFonts w:ascii="Cambria" w:eastAsia="Times New Roman" w:hAnsi="Cambria" w:cstheme="minorHAnsi"/>
          <w:spacing w:val="-2"/>
        </w:rPr>
        <w:t>w</w:t>
      </w:r>
      <w:r w:rsidRPr="009A0DA6">
        <w:rPr>
          <w:rFonts w:ascii="Cambria" w:eastAsia="Times New Roman" w:hAnsi="Cambria" w:cstheme="minorHAnsi"/>
        </w:rPr>
        <w:t>i</w:t>
      </w:r>
      <w:r w:rsidRPr="009A0DA6">
        <w:rPr>
          <w:rFonts w:ascii="Cambria" w:eastAsia="Times New Roman" w:hAnsi="Cambria" w:cstheme="minorHAnsi"/>
          <w:spacing w:val="2"/>
        </w:rPr>
        <w:t>t</w:t>
      </w:r>
      <w:r w:rsidRPr="009A0DA6">
        <w:rPr>
          <w:rFonts w:ascii="Cambria" w:eastAsia="Times New Roman" w:hAnsi="Cambria" w:cstheme="minorHAnsi"/>
        </w:rPr>
        <w:t>h</w:t>
      </w:r>
      <w:r w:rsidRPr="009A0DA6">
        <w:rPr>
          <w:rFonts w:ascii="Cambria" w:eastAsia="Times New Roman" w:hAnsi="Cambria" w:cstheme="minorHAnsi"/>
          <w:spacing w:val="3"/>
        </w:rPr>
        <w:t xml:space="preserve"> </w:t>
      </w:r>
      <w:r w:rsidRPr="009A0DA6">
        <w:rPr>
          <w:rFonts w:ascii="Cambria" w:eastAsia="Times New Roman" w:hAnsi="Cambria" w:cstheme="minorHAnsi"/>
          <w:spacing w:val="2"/>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8"/>
        </w:rPr>
        <w:t xml:space="preserve"> </w:t>
      </w:r>
      <w:r w:rsidRPr="009A0DA6">
        <w:rPr>
          <w:rFonts w:ascii="Cambria" w:eastAsia="Times New Roman" w:hAnsi="Cambria" w:cstheme="minorHAnsi"/>
          <w:spacing w:val="1"/>
        </w:rPr>
        <w:t>L</w:t>
      </w:r>
      <w:r w:rsidRPr="009A0DA6">
        <w:rPr>
          <w:rFonts w:ascii="Cambria" w:eastAsia="Times New Roman" w:hAnsi="Cambria" w:cstheme="minorHAnsi"/>
          <w:spacing w:val="2"/>
        </w:rPr>
        <w:t>C</w:t>
      </w:r>
      <w:r w:rsidRPr="009A0DA6">
        <w:rPr>
          <w:rFonts w:ascii="Cambria" w:eastAsia="Times New Roman" w:hAnsi="Cambria" w:cstheme="minorHAnsi"/>
        </w:rPr>
        <w:t>A</w:t>
      </w:r>
      <w:r w:rsidRPr="009A0DA6">
        <w:rPr>
          <w:rFonts w:ascii="Cambria" w:eastAsia="Times New Roman" w:hAnsi="Cambria" w:cstheme="minorHAnsi"/>
          <w:spacing w:val="1"/>
        </w:rPr>
        <w:t xml:space="preserve"> </w:t>
      </w:r>
      <w:r w:rsidRPr="009A0DA6">
        <w:rPr>
          <w:rFonts w:ascii="Cambria" w:eastAsia="Times New Roman" w:hAnsi="Cambria" w:cstheme="minorHAnsi"/>
        </w:rPr>
        <w:t>is</w:t>
      </w:r>
      <w:r w:rsidRPr="009A0DA6">
        <w:rPr>
          <w:rFonts w:ascii="Cambria" w:eastAsia="Times New Roman" w:hAnsi="Cambria" w:cstheme="minorHAnsi"/>
          <w:spacing w:val="6"/>
        </w:rPr>
        <w:t xml:space="preserve"> </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1"/>
        </w:rPr>
        <w:t>qu</w:t>
      </w:r>
      <w:r w:rsidRPr="009A0DA6">
        <w:rPr>
          <w:rFonts w:ascii="Cambria" w:eastAsia="Times New Roman" w:hAnsi="Cambria" w:cstheme="minorHAnsi"/>
        </w:rPr>
        <w:t>i</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1"/>
        </w:rPr>
        <w:t>d</w:t>
      </w:r>
      <w:r w:rsidRPr="009A0DA6">
        <w:rPr>
          <w:rFonts w:ascii="Cambria" w:eastAsia="Times New Roman" w:hAnsi="Cambria" w:cstheme="minorHAnsi"/>
        </w:rPr>
        <w:t>.</w:t>
      </w:r>
      <w:r w:rsidRPr="009A0DA6">
        <w:rPr>
          <w:rFonts w:ascii="Cambria" w:eastAsia="Times New Roman" w:hAnsi="Cambria" w:cstheme="minorHAnsi"/>
          <w:spacing w:val="1"/>
        </w:rPr>
        <w:t xml:space="preserve"> </w:t>
      </w:r>
      <w:r w:rsidRPr="009A0DA6">
        <w:rPr>
          <w:rFonts w:ascii="Cambria" w:eastAsia="Times New Roman" w:hAnsi="Cambria" w:cstheme="minorHAnsi"/>
          <w:spacing w:val="3"/>
        </w:rPr>
        <w:t>T</w:t>
      </w:r>
      <w:r w:rsidRPr="009A0DA6">
        <w:rPr>
          <w:rFonts w:ascii="Cambria" w:eastAsia="Times New Roman" w:hAnsi="Cambria" w:cstheme="minorHAnsi"/>
          <w:spacing w:val="-1"/>
        </w:rPr>
        <w:t>h</w:t>
      </w:r>
      <w:r w:rsidRPr="009A0DA6">
        <w:rPr>
          <w:rFonts w:ascii="Cambria" w:eastAsia="Times New Roman" w:hAnsi="Cambria" w:cstheme="minorHAnsi"/>
        </w:rPr>
        <w:t>is</w:t>
      </w:r>
      <w:r w:rsidRPr="009A0DA6">
        <w:rPr>
          <w:rFonts w:ascii="Cambria" w:eastAsia="Times New Roman" w:hAnsi="Cambria" w:cstheme="minorHAnsi"/>
          <w:spacing w:val="4"/>
        </w:rPr>
        <w:t xml:space="preserve"> </w:t>
      </w:r>
      <w:r w:rsidRPr="009A0DA6">
        <w:rPr>
          <w:rFonts w:ascii="Cambria" w:eastAsia="Times New Roman" w:hAnsi="Cambria" w:cstheme="minorHAnsi"/>
        </w:rPr>
        <w:t>i</w:t>
      </w:r>
      <w:r w:rsidRPr="009A0DA6">
        <w:rPr>
          <w:rFonts w:ascii="Cambria" w:eastAsia="Times New Roman" w:hAnsi="Cambria" w:cstheme="minorHAnsi"/>
          <w:spacing w:val="-1"/>
        </w:rPr>
        <w:t>n</w:t>
      </w:r>
      <w:r w:rsidRPr="009A0DA6">
        <w:rPr>
          <w:rFonts w:ascii="Cambria" w:eastAsia="Times New Roman" w:hAnsi="Cambria" w:cstheme="minorHAnsi"/>
        </w:rPr>
        <w:t>c</w:t>
      </w:r>
      <w:r w:rsidRPr="009A0DA6">
        <w:rPr>
          <w:rFonts w:ascii="Cambria" w:eastAsia="Times New Roman" w:hAnsi="Cambria" w:cstheme="minorHAnsi"/>
          <w:spacing w:val="2"/>
        </w:rPr>
        <w:t>l</w:t>
      </w:r>
      <w:r w:rsidRPr="009A0DA6">
        <w:rPr>
          <w:rFonts w:ascii="Cambria" w:eastAsia="Times New Roman" w:hAnsi="Cambria" w:cstheme="minorHAnsi"/>
          <w:spacing w:val="-1"/>
        </w:rPr>
        <w:t>u</w:t>
      </w:r>
      <w:r w:rsidRPr="009A0DA6">
        <w:rPr>
          <w:rFonts w:ascii="Cambria" w:eastAsia="Times New Roman" w:hAnsi="Cambria" w:cstheme="minorHAnsi"/>
          <w:spacing w:val="1"/>
        </w:rPr>
        <w:t>d</w:t>
      </w:r>
      <w:r w:rsidRPr="009A0DA6">
        <w:rPr>
          <w:rFonts w:ascii="Cambria" w:eastAsia="Times New Roman" w:hAnsi="Cambria" w:cstheme="minorHAnsi"/>
        </w:rPr>
        <w:t>es</w:t>
      </w:r>
      <w:r w:rsidRPr="009A0DA6">
        <w:rPr>
          <w:rFonts w:ascii="Cambria" w:eastAsia="Times New Roman" w:hAnsi="Cambria" w:cstheme="minorHAnsi"/>
          <w:spacing w:val="3"/>
        </w:rPr>
        <w:t xml:space="preserve"> </w:t>
      </w:r>
      <w:r w:rsidRPr="009A0DA6">
        <w:rPr>
          <w:rFonts w:ascii="Cambria" w:eastAsia="Times New Roman" w:hAnsi="Cambria" w:cstheme="minorHAnsi"/>
        </w:rPr>
        <w:t>A</w:t>
      </w:r>
      <w:r w:rsidRPr="009A0DA6">
        <w:rPr>
          <w:rFonts w:ascii="Cambria" w:eastAsia="Times New Roman" w:hAnsi="Cambria" w:cstheme="minorHAnsi"/>
          <w:spacing w:val="-1"/>
        </w:rPr>
        <w:t>us</w:t>
      </w:r>
      <w:r w:rsidRPr="009A0DA6">
        <w:rPr>
          <w:rFonts w:ascii="Cambria" w:eastAsia="Times New Roman" w:hAnsi="Cambria" w:cstheme="minorHAnsi"/>
        </w:rPr>
        <w:t>t</w:t>
      </w:r>
      <w:r w:rsidRPr="009A0DA6">
        <w:rPr>
          <w:rFonts w:ascii="Cambria" w:eastAsia="Times New Roman" w:hAnsi="Cambria" w:cstheme="minorHAnsi"/>
          <w:spacing w:val="1"/>
        </w:rPr>
        <w:t>r</w:t>
      </w:r>
      <w:r w:rsidRPr="009A0DA6">
        <w:rPr>
          <w:rFonts w:ascii="Cambria" w:eastAsia="Times New Roman" w:hAnsi="Cambria" w:cstheme="minorHAnsi"/>
        </w:rPr>
        <w:t>ali</w:t>
      </w:r>
      <w:r w:rsidRPr="009A0DA6">
        <w:rPr>
          <w:rFonts w:ascii="Cambria" w:eastAsia="Times New Roman" w:hAnsi="Cambria" w:cstheme="minorHAnsi"/>
          <w:spacing w:val="3"/>
        </w:rPr>
        <w:t>a</w:t>
      </w:r>
      <w:r w:rsidRPr="009A0DA6">
        <w:rPr>
          <w:rFonts w:ascii="Cambria" w:eastAsia="Times New Roman" w:hAnsi="Cambria" w:cstheme="minorHAnsi"/>
        </w:rPr>
        <w:t xml:space="preserve">n </w:t>
      </w:r>
      <w:r w:rsidRPr="009A0DA6">
        <w:rPr>
          <w:rFonts w:ascii="Cambria" w:eastAsia="Times New Roman" w:hAnsi="Cambria" w:cstheme="minorHAnsi"/>
          <w:spacing w:val="1"/>
        </w:rPr>
        <w:t>Lu</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1"/>
        </w:rPr>
        <w:t>r</w:t>
      </w:r>
      <w:r w:rsidRPr="009A0DA6">
        <w:rPr>
          <w:rFonts w:ascii="Cambria" w:eastAsia="Times New Roman" w:hAnsi="Cambria" w:cstheme="minorHAnsi"/>
        </w:rPr>
        <w:t>an</w:t>
      </w:r>
      <w:r w:rsidRPr="009A0DA6">
        <w:rPr>
          <w:rFonts w:ascii="Cambria" w:eastAsia="Times New Roman" w:hAnsi="Cambria" w:cstheme="minorHAnsi"/>
          <w:spacing w:val="1"/>
        </w:rPr>
        <w:t xml:space="preserve"> </w:t>
      </w:r>
      <w:r w:rsidRPr="009A0DA6">
        <w:rPr>
          <w:rFonts w:ascii="Cambria" w:eastAsia="Times New Roman" w:hAnsi="Cambria" w:cstheme="minorHAnsi"/>
          <w:spacing w:val="-1"/>
        </w:rPr>
        <w:t>C</w:t>
      </w:r>
      <w:r w:rsidRPr="009A0DA6">
        <w:rPr>
          <w:rFonts w:ascii="Cambria" w:eastAsia="Times New Roman" w:hAnsi="Cambria" w:cstheme="minorHAnsi"/>
          <w:spacing w:val="1"/>
        </w:rPr>
        <w:t>o</w:t>
      </w:r>
      <w:r w:rsidRPr="009A0DA6">
        <w:rPr>
          <w:rFonts w:ascii="Cambria" w:eastAsia="Times New Roman" w:hAnsi="Cambria" w:cstheme="minorHAnsi"/>
        </w:rPr>
        <w:t>lle</w:t>
      </w:r>
      <w:r w:rsidRPr="009A0DA6">
        <w:rPr>
          <w:rFonts w:ascii="Cambria" w:eastAsia="Times New Roman" w:hAnsi="Cambria" w:cstheme="minorHAnsi"/>
          <w:spacing w:val="-1"/>
        </w:rPr>
        <w:t>g</w:t>
      </w:r>
      <w:r w:rsidRPr="009A0DA6">
        <w:rPr>
          <w:rFonts w:ascii="Cambria" w:eastAsia="Times New Roman" w:hAnsi="Cambria" w:cstheme="minorHAnsi"/>
        </w:rPr>
        <w:t>e</w:t>
      </w:r>
      <w:r w:rsidRPr="009A0DA6">
        <w:rPr>
          <w:rFonts w:ascii="Cambria" w:eastAsia="Times New Roman" w:hAnsi="Cambria" w:cstheme="minorHAnsi"/>
          <w:spacing w:val="4"/>
        </w:rPr>
        <w:t xml:space="preserve"> </w:t>
      </w:r>
      <w:r w:rsidRPr="009A0DA6">
        <w:rPr>
          <w:rFonts w:ascii="Cambria" w:eastAsia="Times New Roman" w:hAnsi="Cambria" w:cstheme="minorHAnsi"/>
          <w:spacing w:val="1"/>
        </w:rPr>
        <w:t>L</w:t>
      </w:r>
      <w:r w:rsidRPr="009A0DA6">
        <w:rPr>
          <w:rFonts w:ascii="Cambria" w:eastAsia="Times New Roman" w:hAnsi="Cambria" w:cstheme="minorHAnsi"/>
          <w:spacing w:val="2"/>
        </w:rPr>
        <w:t>i</w:t>
      </w:r>
      <w:r w:rsidRPr="009A0DA6">
        <w:rPr>
          <w:rFonts w:ascii="Cambria" w:eastAsia="Times New Roman" w:hAnsi="Cambria" w:cstheme="minorHAnsi"/>
          <w:spacing w:val="-1"/>
        </w:rPr>
        <w:t>m</w:t>
      </w:r>
      <w:r w:rsidRPr="009A0DA6">
        <w:rPr>
          <w:rFonts w:ascii="Cambria" w:eastAsia="Times New Roman" w:hAnsi="Cambria" w:cstheme="minorHAnsi"/>
        </w:rPr>
        <w:t>ited</w:t>
      </w:r>
      <w:r w:rsidRPr="009A0DA6">
        <w:rPr>
          <w:rFonts w:ascii="Cambria" w:eastAsia="Times New Roman" w:hAnsi="Cambria" w:cstheme="minorHAnsi"/>
          <w:spacing w:val="2"/>
        </w:rPr>
        <w:t xml:space="preserve"> </w:t>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spacing w:val="8"/>
        </w:rPr>
        <w:t xml:space="preserve"> </w:t>
      </w:r>
      <w:r w:rsidRPr="009A0DA6">
        <w:rPr>
          <w:rFonts w:ascii="Cambria" w:eastAsia="Times New Roman" w:hAnsi="Cambria" w:cstheme="minorHAnsi"/>
          <w:spacing w:val="1"/>
        </w:rPr>
        <w:t>L</w:t>
      </w:r>
      <w:r w:rsidRPr="009A0DA6">
        <w:rPr>
          <w:rFonts w:ascii="Cambria" w:eastAsia="Times New Roman" w:hAnsi="Cambria" w:cstheme="minorHAnsi"/>
          <w:spacing w:val="-1"/>
        </w:rPr>
        <w:t>u</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1"/>
        </w:rPr>
        <w:t>r</w:t>
      </w:r>
      <w:r w:rsidRPr="009A0DA6">
        <w:rPr>
          <w:rFonts w:ascii="Cambria" w:eastAsia="Times New Roman" w:hAnsi="Cambria" w:cstheme="minorHAnsi"/>
          <w:spacing w:val="3"/>
        </w:rPr>
        <w:t>a</w:t>
      </w:r>
      <w:r w:rsidRPr="009A0DA6">
        <w:rPr>
          <w:rFonts w:ascii="Cambria" w:eastAsia="Times New Roman" w:hAnsi="Cambria" w:cstheme="minorHAnsi"/>
        </w:rPr>
        <w:t xml:space="preserve">n </w:t>
      </w:r>
      <w:r w:rsidRPr="009A0DA6">
        <w:rPr>
          <w:rFonts w:ascii="Cambria" w:eastAsia="Times New Roman" w:hAnsi="Cambria" w:cstheme="minorHAnsi"/>
          <w:spacing w:val="1"/>
        </w:rPr>
        <w:t>Ed</w:t>
      </w:r>
      <w:r w:rsidRPr="009A0DA6">
        <w:rPr>
          <w:rFonts w:ascii="Cambria" w:eastAsia="Times New Roman" w:hAnsi="Cambria" w:cstheme="minorHAnsi"/>
          <w:spacing w:val="-1"/>
        </w:rPr>
        <w:t>u</w:t>
      </w:r>
      <w:r w:rsidRPr="009A0DA6">
        <w:rPr>
          <w:rFonts w:ascii="Cambria" w:eastAsia="Times New Roman" w:hAnsi="Cambria" w:cstheme="minorHAnsi"/>
        </w:rPr>
        <w:t>cati</w:t>
      </w:r>
      <w:r w:rsidRPr="009A0DA6">
        <w:rPr>
          <w:rFonts w:ascii="Cambria" w:eastAsia="Times New Roman" w:hAnsi="Cambria" w:cstheme="minorHAnsi"/>
          <w:spacing w:val="1"/>
        </w:rPr>
        <w:t>o</w:t>
      </w:r>
      <w:r w:rsidRPr="009A0DA6">
        <w:rPr>
          <w:rFonts w:ascii="Cambria" w:eastAsia="Times New Roman" w:hAnsi="Cambria" w:cstheme="minorHAnsi"/>
        </w:rPr>
        <w:t>n</w:t>
      </w:r>
      <w:r w:rsidRPr="009A0DA6">
        <w:rPr>
          <w:rFonts w:ascii="Cambria" w:eastAsia="Times New Roman" w:hAnsi="Cambria" w:cstheme="minorHAnsi"/>
          <w:spacing w:val="-6"/>
        </w:rPr>
        <w:t xml:space="preserve"> </w:t>
      </w:r>
      <w:r w:rsidRPr="009A0DA6">
        <w:rPr>
          <w:rFonts w:ascii="Cambria" w:eastAsia="Times New Roman" w:hAnsi="Cambria" w:cstheme="minorHAnsi"/>
        </w:rPr>
        <w:t>A</w:t>
      </w:r>
      <w:r w:rsidRPr="009A0DA6">
        <w:rPr>
          <w:rFonts w:ascii="Cambria" w:eastAsia="Times New Roman" w:hAnsi="Cambria" w:cstheme="minorHAnsi"/>
          <w:spacing w:val="-1"/>
        </w:rPr>
        <w:t>us</w:t>
      </w:r>
      <w:r w:rsidRPr="009A0DA6">
        <w:rPr>
          <w:rFonts w:ascii="Cambria" w:eastAsia="Times New Roman" w:hAnsi="Cambria" w:cstheme="minorHAnsi"/>
        </w:rPr>
        <w:t>t</w:t>
      </w:r>
      <w:r w:rsidRPr="009A0DA6">
        <w:rPr>
          <w:rFonts w:ascii="Cambria" w:eastAsia="Times New Roman" w:hAnsi="Cambria" w:cstheme="minorHAnsi"/>
          <w:spacing w:val="1"/>
        </w:rPr>
        <w:t>r</w:t>
      </w:r>
      <w:r w:rsidRPr="009A0DA6">
        <w:rPr>
          <w:rFonts w:ascii="Cambria" w:eastAsia="Times New Roman" w:hAnsi="Cambria" w:cstheme="minorHAnsi"/>
        </w:rPr>
        <w:t>alia</w:t>
      </w:r>
      <w:r w:rsidRPr="009A0DA6">
        <w:rPr>
          <w:rFonts w:ascii="Cambria" w:eastAsia="Times New Roman" w:hAnsi="Cambria" w:cstheme="minorHAnsi"/>
          <w:spacing w:val="-4"/>
        </w:rPr>
        <w:t xml:space="preserve"> </w:t>
      </w:r>
      <w:r w:rsidRPr="009A0DA6">
        <w:rPr>
          <w:rFonts w:ascii="Cambria" w:eastAsia="Times New Roman" w:hAnsi="Cambria" w:cstheme="minorHAnsi"/>
          <w:spacing w:val="-2"/>
        </w:rPr>
        <w:t>L</w:t>
      </w:r>
      <w:r w:rsidRPr="009A0DA6">
        <w:rPr>
          <w:rFonts w:ascii="Cambria" w:eastAsia="Times New Roman" w:hAnsi="Cambria" w:cstheme="minorHAnsi"/>
          <w:spacing w:val="2"/>
        </w:rPr>
        <w:t>i</w:t>
      </w:r>
      <w:r w:rsidRPr="009A0DA6">
        <w:rPr>
          <w:rFonts w:ascii="Cambria" w:eastAsia="Times New Roman" w:hAnsi="Cambria" w:cstheme="minorHAnsi"/>
          <w:spacing w:val="-1"/>
        </w:rPr>
        <w:t>m</w:t>
      </w:r>
      <w:r w:rsidRPr="009A0DA6">
        <w:rPr>
          <w:rFonts w:ascii="Cambria" w:eastAsia="Times New Roman" w:hAnsi="Cambria" w:cstheme="minorHAnsi"/>
        </w:rPr>
        <w:t>ite</w:t>
      </w:r>
      <w:r w:rsidRPr="009A0DA6">
        <w:rPr>
          <w:rFonts w:ascii="Cambria" w:eastAsia="Times New Roman" w:hAnsi="Cambria" w:cstheme="minorHAnsi"/>
          <w:spacing w:val="1"/>
        </w:rPr>
        <w:t>d</w:t>
      </w:r>
      <w:r w:rsidRPr="009A0DA6">
        <w:rPr>
          <w:rFonts w:ascii="Cambria" w:eastAsia="Times New Roman" w:hAnsi="Cambria" w:cstheme="minorHAnsi"/>
        </w:rPr>
        <w:t>.</w:t>
      </w:r>
    </w:p>
    <w:p w14:paraId="4B0CF1A3" w14:textId="77777777" w:rsidR="00B81951" w:rsidRPr="009A0DA6" w:rsidRDefault="00B81951" w:rsidP="00BA4592">
      <w:pPr>
        <w:tabs>
          <w:tab w:val="center" w:pos="4394"/>
          <w:tab w:val="right" w:pos="6095"/>
          <w:tab w:val="right" w:pos="7371"/>
          <w:tab w:val="right" w:pos="8647"/>
        </w:tabs>
        <w:spacing w:before="120" w:after="120" w:line="240" w:lineRule="auto"/>
        <w:ind w:right="-51"/>
        <w:contextualSpacing/>
        <w:rPr>
          <w:rFonts w:ascii="Cambria" w:eastAsia="Times New Roman" w:hAnsi="Cambria" w:cstheme="minorHAnsi"/>
          <w:i/>
          <w:spacing w:val="-1"/>
          <w:w w:val="109"/>
        </w:rPr>
      </w:pPr>
    </w:p>
    <w:p w14:paraId="47A44681" w14:textId="31B371DB" w:rsidR="00BA4592" w:rsidRPr="009A0DA6" w:rsidRDefault="00BA4592" w:rsidP="00BA4592">
      <w:pPr>
        <w:tabs>
          <w:tab w:val="center" w:pos="4394"/>
          <w:tab w:val="right" w:pos="6095"/>
          <w:tab w:val="right" w:pos="7371"/>
          <w:tab w:val="right" w:pos="8647"/>
        </w:tabs>
        <w:spacing w:before="120" w:after="120" w:line="240" w:lineRule="auto"/>
        <w:ind w:right="-51"/>
        <w:contextualSpacing/>
        <w:rPr>
          <w:rFonts w:ascii="Cambria" w:eastAsia="Times New Roman" w:hAnsi="Cambria" w:cstheme="minorHAnsi"/>
          <w:b/>
        </w:rPr>
      </w:pPr>
      <w:r w:rsidRPr="009A0DA6">
        <w:rPr>
          <w:rFonts w:ascii="Cambria" w:eastAsia="Times New Roman" w:hAnsi="Cambria" w:cstheme="minorHAnsi"/>
          <w:b/>
          <w:spacing w:val="-1"/>
          <w:w w:val="109"/>
        </w:rPr>
        <w:t>L</w:t>
      </w:r>
      <w:r w:rsidRPr="009A0DA6">
        <w:rPr>
          <w:rFonts w:ascii="Cambria" w:eastAsia="Times New Roman" w:hAnsi="Cambria" w:cstheme="minorHAnsi"/>
          <w:b/>
          <w:w w:val="109"/>
        </w:rPr>
        <w:t>u</w:t>
      </w:r>
      <w:r w:rsidRPr="009A0DA6">
        <w:rPr>
          <w:rFonts w:ascii="Cambria" w:eastAsia="Times New Roman" w:hAnsi="Cambria" w:cstheme="minorHAnsi"/>
          <w:b/>
          <w:spacing w:val="1"/>
          <w:w w:val="109"/>
        </w:rPr>
        <w:t>t</w:t>
      </w:r>
      <w:r w:rsidRPr="009A0DA6">
        <w:rPr>
          <w:rFonts w:ascii="Cambria" w:eastAsia="Times New Roman" w:hAnsi="Cambria" w:cstheme="minorHAnsi"/>
          <w:b/>
          <w:w w:val="109"/>
        </w:rPr>
        <w:t>her</w:t>
      </w:r>
      <w:r w:rsidRPr="009A0DA6">
        <w:rPr>
          <w:rFonts w:ascii="Cambria" w:eastAsia="Times New Roman" w:hAnsi="Cambria" w:cstheme="minorHAnsi"/>
          <w:b/>
          <w:spacing w:val="1"/>
          <w:w w:val="109"/>
        </w:rPr>
        <w:t>a</w:t>
      </w:r>
      <w:r w:rsidRPr="009A0DA6">
        <w:rPr>
          <w:rFonts w:ascii="Cambria" w:eastAsia="Times New Roman" w:hAnsi="Cambria" w:cstheme="minorHAnsi"/>
          <w:b/>
          <w:w w:val="109"/>
        </w:rPr>
        <w:t>n</w:t>
      </w:r>
      <w:r w:rsidRPr="009A0DA6">
        <w:rPr>
          <w:rFonts w:ascii="Cambria" w:eastAsia="Times New Roman" w:hAnsi="Cambria" w:cstheme="minorHAnsi"/>
          <w:b/>
          <w:spacing w:val="12"/>
          <w:w w:val="109"/>
        </w:rPr>
        <w:t xml:space="preserve"> </w:t>
      </w:r>
      <w:r w:rsidRPr="009A0DA6">
        <w:rPr>
          <w:rFonts w:ascii="Cambria" w:eastAsia="Times New Roman" w:hAnsi="Cambria" w:cstheme="minorHAnsi"/>
          <w:b/>
          <w:w w:val="109"/>
        </w:rPr>
        <w:t>C</w:t>
      </w:r>
      <w:r w:rsidRPr="009A0DA6">
        <w:rPr>
          <w:rFonts w:ascii="Cambria" w:eastAsia="Times New Roman" w:hAnsi="Cambria" w:cstheme="minorHAnsi"/>
          <w:b/>
          <w:spacing w:val="2"/>
          <w:w w:val="109"/>
        </w:rPr>
        <w:t>h</w:t>
      </w:r>
      <w:r w:rsidRPr="009A0DA6">
        <w:rPr>
          <w:rFonts w:ascii="Cambria" w:eastAsia="Times New Roman" w:hAnsi="Cambria" w:cstheme="minorHAnsi"/>
          <w:b/>
          <w:w w:val="109"/>
        </w:rPr>
        <w:t>urch</w:t>
      </w:r>
      <w:r w:rsidRPr="009A0DA6">
        <w:rPr>
          <w:rFonts w:ascii="Cambria" w:eastAsia="Times New Roman" w:hAnsi="Cambria" w:cstheme="minorHAnsi"/>
          <w:b/>
          <w:spacing w:val="2"/>
          <w:w w:val="109"/>
        </w:rPr>
        <w:t xml:space="preserve"> </w:t>
      </w:r>
      <w:r w:rsidRPr="009A0DA6">
        <w:rPr>
          <w:rFonts w:ascii="Cambria" w:eastAsia="Times New Roman" w:hAnsi="Cambria" w:cstheme="minorHAnsi"/>
          <w:b/>
          <w:spacing w:val="1"/>
          <w:w w:val="109"/>
        </w:rPr>
        <w:t>g</w:t>
      </w:r>
      <w:r w:rsidRPr="009A0DA6">
        <w:rPr>
          <w:rFonts w:ascii="Cambria" w:eastAsia="Times New Roman" w:hAnsi="Cambria" w:cstheme="minorHAnsi"/>
          <w:b/>
          <w:w w:val="109"/>
        </w:rPr>
        <w:t>r</w:t>
      </w:r>
      <w:r w:rsidRPr="009A0DA6">
        <w:rPr>
          <w:rFonts w:ascii="Cambria" w:eastAsia="Times New Roman" w:hAnsi="Cambria" w:cstheme="minorHAnsi"/>
          <w:b/>
          <w:spacing w:val="1"/>
          <w:w w:val="109"/>
        </w:rPr>
        <w:t>o</w:t>
      </w:r>
      <w:r w:rsidRPr="009A0DA6">
        <w:rPr>
          <w:rFonts w:ascii="Cambria" w:eastAsia="Times New Roman" w:hAnsi="Cambria" w:cstheme="minorHAnsi"/>
          <w:b/>
          <w:w w:val="109"/>
        </w:rPr>
        <w:t>up</w:t>
      </w:r>
      <w:r w:rsidRPr="009A0DA6">
        <w:rPr>
          <w:rFonts w:ascii="Cambria" w:eastAsia="Times New Roman" w:hAnsi="Cambria" w:cstheme="minorHAnsi"/>
          <w:b/>
          <w:spacing w:val="-7"/>
          <w:w w:val="109"/>
        </w:rPr>
        <w:t xml:space="preserve"> </w:t>
      </w:r>
      <w:r w:rsidRPr="009A0DA6">
        <w:rPr>
          <w:rFonts w:ascii="Cambria" w:eastAsia="Times New Roman" w:hAnsi="Cambria" w:cstheme="minorHAnsi"/>
          <w:b/>
          <w:w w:val="99"/>
        </w:rPr>
        <w:t>i</w:t>
      </w:r>
      <w:r w:rsidRPr="009A0DA6">
        <w:rPr>
          <w:rFonts w:ascii="Cambria" w:eastAsia="Times New Roman" w:hAnsi="Cambria" w:cstheme="minorHAnsi"/>
          <w:b/>
          <w:w w:val="110"/>
        </w:rPr>
        <w:t>n</w:t>
      </w:r>
      <w:r w:rsidRPr="009A0DA6">
        <w:rPr>
          <w:rFonts w:ascii="Cambria" w:eastAsia="Times New Roman" w:hAnsi="Cambria" w:cstheme="minorHAnsi"/>
          <w:b/>
          <w:spacing w:val="3"/>
          <w:w w:val="99"/>
        </w:rPr>
        <w:t>c</w:t>
      </w:r>
      <w:r w:rsidRPr="009A0DA6">
        <w:rPr>
          <w:rFonts w:ascii="Cambria" w:eastAsia="Times New Roman" w:hAnsi="Cambria" w:cstheme="minorHAnsi"/>
          <w:b/>
          <w:spacing w:val="4"/>
          <w:w w:val="99"/>
        </w:rPr>
        <w:t>o</w:t>
      </w:r>
      <w:r w:rsidRPr="009A0DA6">
        <w:rPr>
          <w:rFonts w:ascii="Cambria" w:eastAsia="Times New Roman" w:hAnsi="Cambria" w:cstheme="minorHAnsi"/>
          <w:b/>
          <w:spacing w:val="-5"/>
          <w:w w:val="106"/>
        </w:rPr>
        <w:t>m</w:t>
      </w:r>
      <w:r w:rsidRPr="009A0DA6">
        <w:rPr>
          <w:rFonts w:ascii="Cambria" w:eastAsia="Times New Roman" w:hAnsi="Cambria" w:cstheme="minorHAnsi"/>
          <w:b/>
          <w:w w:val="99"/>
        </w:rPr>
        <w:t>e</w:t>
      </w:r>
    </w:p>
    <w:p w14:paraId="04319D9B" w14:textId="77777777" w:rsidR="00BA4592" w:rsidRPr="009A0DA6" w:rsidRDefault="00BA4592" w:rsidP="00BA4592">
      <w:pPr>
        <w:tabs>
          <w:tab w:val="center" w:pos="4394"/>
          <w:tab w:val="right" w:pos="6095"/>
          <w:tab w:val="right" w:pos="7371"/>
          <w:tab w:val="right" w:pos="8647"/>
        </w:tabs>
        <w:spacing w:before="120" w:after="120" w:line="240" w:lineRule="auto"/>
        <w:ind w:right="-51"/>
        <w:contextualSpacing/>
        <w:rPr>
          <w:rFonts w:ascii="Cambria" w:eastAsia="Times New Roman" w:hAnsi="Cambria" w:cstheme="minorHAnsi"/>
        </w:rPr>
      </w:pPr>
      <w:r w:rsidRPr="009A0DA6">
        <w:rPr>
          <w:rFonts w:ascii="Cambria" w:eastAsia="Times New Roman" w:hAnsi="Cambria" w:cstheme="minorHAnsi"/>
          <w:spacing w:val="3"/>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48"/>
        </w:rPr>
        <w:t xml:space="preserve"> </w:t>
      </w:r>
      <w:r w:rsidRPr="009A0DA6">
        <w:rPr>
          <w:rFonts w:ascii="Cambria" w:eastAsia="Times New Roman" w:hAnsi="Cambria" w:cstheme="minorHAnsi"/>
        </w:rPr>
        <w:t>la</w:t>
      </w:r>
      <w:r w:rsidRPr="009A0DA6">
        <w:rPr>
          <w:rFonts w:ascii="Cambria" w:eastAsia="Times New Roman" w:hAnsi="Cambria" w:cstheme="minorHAnsi"/>
          <w:spacing w:val="1"/>
        </w:rPr>
        <w:t>b</w:t>
      </w:r>
      <w:r w:rsidRPr="009A0DA6">
        <w:rPr>
          <w:rFonts w:ascii="Cambria" w:eastAsia="Times New Roman" w:hAnsi="Cambria" w:cstheme="minorHAnsi"/>
        </w:rPr>
        <w:t>el</w:t>
      </w:r>
      <w:r w:rsidRPr="009A0DA6">
        <w:rPr>
          <w:rFonts w:ascii="Cambria" w:eastAsia="Times New Roman" w:hAnsi="Cambria" w:cstheme="minorHAnsi"/>
          <w:spacing w:val="44"/>
        </w:rPr>
        <w:t xml:space="preserve"> </w:t>
      </w:r>
      <w:r w:rsidRPr="009A0DA6">
        <w:rPr>
          <w:rFonts w:ascii="Cambria" w:eastAsia="Times New Roman" w:hAnsi="Cambria" w:cstheme="minorHAnsi"/>
          <w:spacing w:val="-1"/>
        </w:rPr>
        <w:t>g</w:t>
      </w:r>
      <w:r w:rsidRPr="009A0DA6">
        <w:rPr>
          <w:rFonts w:ascii="Cambria" w:eastAsia="Times New Roman" w:hAnsi="Cambria" w:cstheme="minorHAnsi"/>
        </w:rPr>
        <w:t>i</w:t>
      </w:r>
      <w:r w:rsidRPr="009A0DA6">
        <w:rPr>
          <w:rFonts w:ascii="Cambria" w:eastAsia="Times New Roman" w:hAnsi="Cambria" w:cstheme="minorHAnsi"/>
          <w:spacing w:val="-1"/>
        </w:rPr>
        <w:t>v</w:t>
      </w:r>
      <w:r w:rsidRPr="009A0DA6">
        <w:rPr>
          <w:rFonts w:ascii="Cambria" w:eastAsia="Times New Roman" w:hAnsi="Cambria" w:cstheme="minorHAnsi"/>
          <w:spacing w:val="3"/>
        </w:rPr>
        <w:t>e</w:t>
      </w:r>
      <w:r w:rsidRPr="009A0DA6">
        <w:rPr>
          <w:rFonts w:ascii="Cambria" w:eastAsia="Times New Roman" w:hAnsi="Cambria" w:cstheme="minorHAnsi"/>
        </w:rPr>
        <w:t>n</w:t>
      </w:r>
      <w:r w:rsidRPr="009A0DA6">
        <w:rPr>
          <w:rFonts w:ascii="Cambria" w:eastAsia="Times New Roman" w:hAnsi="Cambria" w:cstheme="minorHAnsi"/>
          <w:spacing w:val="46"/>
        </w:rPr>
        <w:t xml:space="preserve"> </w:t>
      </w:r>
      <w:r w:rsidRPr="009A0DA6">
        <w:rPr>
          <w:rFonts w:ascii="Cambria" w:eastAsia="Times New Roman" w:hAnsi="Cambria" w:cstheme="minorHAnsi"/>
        </w:rPr>
        <w:t xml:space="preserve">to </w:t>
      </w:r>
      <w:r w:rsidRPr="009A0DA6">
        <w:rPr>
          <w:rFonts w:ascii="Cambria" w:eastAsia="Times New Roman" w:hAnsi="Cambria" w:cstheme="minorHAnsi"/>
          <w:spacing w:val="-1"/>
        </w:rPr>
        <w:t>‘</w:t>
      </w:r>
      <w:r w:rsidRPr="009A0DA6">
        <w:rPr>
          <w:rFonts w:ascii="Cambria" w:eastAsia="Times New Roman" w:hAnsi="Cambria" w:cstheme="minorHAnsi"/>
          <w:spacing w:val="1"/>
        </w:rPr>
        <w:t>L</w:t>
      </w:r>
      <w:r w:rsidRPr="009A0DA6">
        <w:rPr>
          <w:rFonts w:ascii="Cambria" w:eastAsia="Times New Roman" w:hAnsi="Cambria" w:cstheme="minorHAnsi"/>
          <w:spacing w:val="-1"/>
        </w:rPr>
        <w:t>u</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1"/>
        </w:rPr>
        <w:t>r</w:t>
      </w:r>
      <w:r w:rsidRPr="009A0DA6">
        <w:rPr>
          <w:rFonts w:ascii="Cambria" w:eastAsia="Times New Roman" w:hAnsi="Cambria" w:cstheme="minorHAnsi"/>
          <w:spacing w:val="3"/>
        </w:rPr>
        <w:t>a</w:t>
      </w:r>
      <w:r w:rsidRPr="009A0DA6">
        <w:rPr>
          <w:rFonts w:ascii="Cambria" w:eastAsia="Times New Roman" w:hAnsi="Cambria" w:cstheme="minorHAnsi"/>
        </w:rPr>
        <w:t>n</w:t>
      </w:r>
      <w:r w:rsidRPr="009A0DA6">
        <w:rPr>
          <w:rFonts w:ascii="Cambria" w:eastAsia="Times New Roman" w:hAnsi="Cambria" w:cstheme="minorHAnsi"/>
          <w:spacing w:val="42"/>
        </w:rPr>
        <w:t xml:space="preserve"> </w:t>
      </w:r>
      <w:r w:rsidRPr="009A0DA6">
        <w:rPr>
          <w:rFonts w:ascii="Cambria" w:eastAsia="Times New Roman" w:hAnsi="Cambria" w:cstheme="minorHAnsi"/>
          <w:spacing w:val="-1"/>
        </w:rPr>
        <w:t>C</w:t>
      </w:r>
      <w:r w:rsidRPr="009A0DA6">
        <w:rPr>
          <w:rFonts w:ascii="Cambria" w:eastAsia="Times New Roman" w:hAnsi="Cambria" w:cstheme="minorHAnsi"/>
          <w:spacing w:val="1"/>
        </w:rPr>
        <w:t>h</w:t>
      </w:r>
      <w:r w:rsidRPr="009A0DA6">
        <w:rPr>
          <w:rFonts w:ascii="Cambria" w:eastAsia="Times New Roman" w:hAnsi="Cambria" w:cstheme="minorHAnsi"/>
          <w:spacing w:val="-1"/>
        </w:rPr>
        <w:t>u</w:t>
      </w:r>
      <w:r w:rsidRPr="009A0DA6">
        <w:rPr>
          <w:rFonts w:ascii="Cambria" w:eastAsia="Times New Roman" w:hAnsi="Cambria" w:cstheme="minorHAnsi"/>
          <w:spacing w:val="1"/>
        </w:rPr>
        <w:t>r</w:t>
      </w:r>
      <w:r w:rsidRPr="009A0DA6">
        <w:rPr>
          <w:rFonts w:ascii="Cambria" w:eastAsia="Times New Roman" w:hAnsi="Cambria" w:cstheme="minorHAnsi"/>
        </w:rPr>
        <w:t>ch</w:t>
      </w:r>
      <w:r w:rsidRPr="009A0DA6">
        <w:rPr>
          <w:rFonts w:ascii="Cambria" w:eastAsia="Times New Roman" w:hAnsi="Cambria" w:cstheme="minorHAnsi"/>
          <w:spacing w:val="46"/>
        </w:rPr>
        <w:t xml:space="preserve"> </w:t>
      </w:r>
      <w:r w:rsidRPr="009A0DA6">
        <w:rPr>
          <w:rFonts w:ascii="Cambria" w:eastAsia="Times New Roman" w:hAnsi="Cambria" w:cstheme="minorHAnsi"/>
          <w:spacing w:val="-1"/>
        </w:rPr>
        <w:t>g</w:t>
      </w:r>
      <w:r w:rsidRPr="009A0DA6">
        <w:rPr>
          <w:rFonts w:ascii="Cambria" w:eastAsia="Times New Roman" w:hAnsi="Cambria" w:cstheme="minorHAnsi"/>
          <w:spacing w:val="1"/>
        </w:rPr>
        <w:t>ro</w:t>
      </w:r>
      <w:r w:rsidRPr="009A0DA6">
        <w:rPr>
          <w:rFonts w:ascii="Cambria" w:eastAsia="Times New Roman" w:hAnsi="Cambria" w:cstheme="minorHAnsi"/>
          <w:spacing w:val="-1"/>
        </w:rPr>
        <w:t>u</w:t>
      </w:r>
      <w:r w:rsidRPr="009A0DA6">
        <w:rPr>
          <w:rFonts w:ascii="Cambria" w:eastAsia="Times New Roman" w:hAnsi="Cambria" w:cstheme="minorHAnsi"/>
        </w:rPr>
        <w:t>p</w:t>
      </w:r>
      <w:r w:rsidRPr="009A0DA6">
        <w:rPr>
          <w:rFonts w:ascii="Cambria" w:eastAsia="Times New Roman" w:hAnsi="Cambria" w:cstheme="minorHAnsi"/>
          <w:spacing w:val="47"/>
        </w:rPr>
        <w:t xml:space="preserve"> </w:t>
      </w:r>
      <w:r w:rsidRPr="009A0DA6">
        <w:rPr>
          <w:rFonts w:ascii="Cambria" w:eastAsia="Times New Roman" w:hAnsi="Cambria" w:cstheme="minorHAnsi"/>
        </w:rPr>
        <w:t>i</w:t>
      </w:r>
      <w:r w:rsidRPr="009A0DA6">
        <w:rPr>
          <w:rFonts w:ascii="Cambria" w:eastAsia="Times New Roman" w:hAnsi="Cambria" w:cstheme="minorHAnsi"/>
          <w:spacing w:val="-1"/>
        </w:rPr>
        <w:t>n</w:t>
      </w:r>
      <w:r w:rsidRPr="009A0DA6">
        <w:rPr>
          <w:rFonts w:ascii="Cambria" w:eastAsia="Times New Roman" w:hAnsi="Cambria" w:cstheme="minorHAnsi"/>
        </w:rPr>
        <w:t>c</w:t>
      </w:r>
      <w:r w:rsidRPr="009A0DA6">
        <w:rPr>
          <w:rFonts w:ascii="Cambria" w:eastAsia="Times New Roman" w:hAnsi="Cambria" w:cstheme="minorHAnsi"/>
          <w:spacing w:val="4"/>
        </w:rPr>
        <w:t>o</w:t>
      </w:r>
      <w:r w:rsidRPr="009A0DA6">
        <w:rPr>
          <w:rFonts w:ascii="Cambria" w:eastAsia="Times New Roman" w:hAnsi="Cambria" w:cstheme="minorHAnsi"/>
          <w:spacing w:val="-4"/>
        </w:rPr>
        <w:t>m</w:t>
      </w:r>
      <w:r w:rsidRPr="009A0DA6">
        <w:rPr>
          <w:rFonts w:ascii="Cambria" w:eastAsia="Times New Roman" w:hAnsi="Cambria" w:cstheme="minorHAnsi"/>
          <w:spacing w:val="3"/>
        </w:rPr>
        <w:t>e</w:t>
      </w:r>
      <w:r w:rsidRPr="009A0DA6">
        <w:rPr>
          <w:rFonts w:ascii="Cambria" w:eastAsia="Times New Roman" w:hAnsi="Cambria" w:cstheme="minorHAnsi"/>
        </w:rPr>
        <w:t>’</w:t>
      </w:r>
      <w:r w:rsidRPr="009A0DA6">
        <w:rPr>
          <w:rFonts w:ascii="Cambria" w:eastAsia="Times New Roman" w:hAnsi="Cambria" w:cstheme="minorHAnsi"/>
          <w:spacing w:val="42"/>
        </w:rPr>
        <w:t xml:space="preserve"> </w:t>
      </w:r>
      <w:r w:rsidRPr="009A0DA6">
        <w:rPr>
          <w:rFonts w:ascii="Cambria" w:eastAsia="Times New Roman" w:hAnsi="Cambria" w:cstheme="minorHAnsi"/>
        </w:rPr>
        <w:t>in 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49"/>
        </w:rPr>
        <w:t xml:space="preserve"> </w:t>
      </w:r>
      <w:r w:rsidRPr="009A0DA6">
        <w:rPr>
          <w:rFonts w:ascii="Cambria" w:eastAsia="Times New Roman" w:hAnsi="Cambria" w:cstheme="minorHAnsi"/>
        </w:rPr>
        <w:t>i</w:t>
      </w:r>
      <w:r w:rsidRPr="009A0DA6">
        <w:rPr>
          <w:rFonts w:ascii="Cambria" w:eastAsia="Times New Roman" w:hAnsi="Cambria" w:cstheme="minorHAnsi"/>
          <w:spacing w:val="-1"/>
        </w:rPr>
        <w:t>n</w:t>
      </w:r>
      <w:r w:rsidRPr="009A0DA6">
        <w:rPr>
          <w:rFonts w:ascii="Cambria" w:eastAsia="Times New Roman" w:hAnsi="Cambria" w:cstheme="minorHAnsi"/>
        </w:rPr>
        <w:t>c</w:t>
      </w:r>
      <w:r w:rsidRPr="009A0DA6">
        <w:rPr>
          <w:rFonts w:ascii="Cambria" w:eastAsia="Times New Roman" w:hAnsi="Cambria" w:cstheme="minorHAnsi"/>
          <w:spacing w:val="4"/>
        </w:rPr>
        <w:t>o</w:t>
      </w:r>
      <w:r w:rsidRPr="009A0DA6">
        <w:rPr>
          <w:rFonts w:ascii="Cambria" w:eastAsia="Times New Roman" w:hAnsi="Cambria" w:cstheme="minorHAnsi"/>
          <w:spacing w:val="-4"/>
        </w:rPr>
        <w:t>m</w:t>
      </w:r>
      <w:r w:rsidRPr="009A0DA6">
        <w:rPr>
          <w:rFonts w:ascii="Cambria" w:eastAsia="Times New Roman" w:hAnsi="Cambria" w:cstheme="minorHAnsi"/>
        </w:rPr>
        <w:t>e</w:t>
      </w:r>
      <w:r w:rsidRPr="009A0DA6">
        <w:rPr>
          <w:rFonts w:ascii="Cambria" w:eastAsia="Times New Roman" w:hAnsi="Cambria" w:cstheme="minorHAnsi"/>
          <w:spacing w:val="45"/>
        </w:rPr>
        <w:t xml:space="preserve"> </w:t>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spacing w:val="49"/>
        </w:rPr>
        <w:t xml:space="preserve"> </w:t>
      </w:r>
      <w:r w:rsidRPr="009A0DA6">
        <w:rPr>
          <w:rFonts w:ascii="Cambria" w:eastAsia="Times New Roman" w:hAnsi="Cambria" w:cstheme="minorHAnsi"/>
        </w:rPr>
        <w:t>e</w:t>
      </w:r>
      <w:r w:rsidRPr="009A0DA6">
        <w:rPr>
          <w:rFonts w:ascii="Cambria" w:eastAsia="Times New Roman" w:hAnsi="Cambria" w:cstheme="minorHAnsi"/>
          <w:spacing w:val="-1"/>
        </w:rPr>
        <w:t>x</w:t>
      </w:r>
      <w:r w:rsidRPr="009A0DA6">
        <w:rPr>
          <w:rFonts w:ascii="Cambria" w:eastAsia="Times New Roman" w:hAnsi="Cambria" w:cstheme="minorHAnsi"/>
          <w:spacing w:val="1"/>
        </w:rPr>
        <w:t>p</w:t>
      </w:r>
      <w:r w:rsidRPr="009A0DA6">
        <w:rPr>
          <w:rFonts w:ascii="Cambria" w:eastAsia="Times New Roman" w:hAnsi="Cambria" w:cstheme="minorHAnsi"/>
        </w:rPr>
        <w:t>e</w:t>
      </w:r>
      <w:r w:rsidRPr="009A0DA6">
        <w:rPr>
          <w:rFonts w:ascii="Cambria" w:eastAsia="Times New Roman" w:hAnsi="Cambria" w:cstheme="minorHAnsi"/>
          <w:spacing w:val="-1"/>
        </w:rPr>
        <w:t>n</w:t>
      </w:r>
      <w:r w:rsidRPr="009A0DA6">
        <w:rPr>
          <w:rFonts w:ascii="Cambria" w:eastAsia="Times New Roman" w:hAnsi="Cambria" w:cstheme="minorHAnsi"/>
          <w:spacing w:val="1"/>
        </w:rPr>
        <w:t>d</w:t>
      </w:r>
      <w:r w:rsidRPr="009A0DA6">
        <w:rPr>
          <w:rFonts w:ascii="Cambria" w:eastAsia="Times New Roman" w:hAnsi="Cambria" w:cstheme="minorHAnsi"/>
        </w:rPr>
        <w:t>i</w:t>
      </w:r>
      <w:r w:rsidRPr="009A0DA6">
        <w:rPr>
          <w:rFonts w:ascii="Cambria" w:eastAsia="Times New Roman" w:hAnsi="Cambria" w:cstheme="minorHAnsi"/>
          <w:spacing w:val="2"/>
        </w:rPr>
        <w:t>t</w:t>
      </w:r>
      <w:r w:rsidRPr="009A0DA6">
        <w:rPr>
          <w:rFonts w:ascii="Cambria" w:eastAsia="Times New Roman" w:hAnsi="Cambria" w:cstheme="minorHAnsi"/>
          <w:spacing w:val="-1"/>
        </w:rPr>
        <w:t>u</w:t>
      </w:r>
      <w:r w:rsidRPr="009A0DA6">
        <w:rPr>
          <w:rFonts w:ascii="Cambria" w:eastAsia="Times New Roman" w:hAnsi="Cambria" w:cstheme="minorHAnsi"/>
          <w:spacing w:val="3"/>
        </w:rPr>
        <w:t>r</w:t>
      </w:r>
      <w:r w:rsidRPr="009A0DA6">
        <w:rPr>
          <w:rFonts w:ascii="Cambria" w:eastAsia="Times New Roman" w:hAnsi="Cambria" w:cstheme="minorHAnsi"/>
        </w:rPr>
        <w:t>e</w:t>
      </w:r>
      <w:r w:rsidRPr="009A0DA6">
        <w:rPr>
          <w:rFonts w:ascii="Cambria" w:eastAsia="Times New Roman" w:hAnsi="Cambria" w:cstheme="minorHAnsi"/>
          <w:spacing w:val="42"/>
        </w:rPr>
        <w:t xml:space="preserve"> </w:t>
      </w:r>
      <w:r w:rsidRPr="009A0DA6">
        <w:rPr>
          <w:rFonts w:ascii="Cambria" w:eastAsia="Times New Roman" w:hAnsi="Cambria" w:cstheme="minorHAnsi"/>
          <w:spacing w:val="-1"/>
        </w:rPr>
        <w:t>s</w:t>
      </w:r>
      <w:r w:rsidRPr="009A0DA6">
        <w:rPr>
          <w:rFonts w:ascii="Cambria" w:eastAsia="Times New Roman" w:hAnsi="Cambria" w:cstheme="minorHAnsi"/>
        </w:rPr>
        <w:t>tat</w:t>
      </w:r>
      <w:r w:rsidRPr="009A0DA6">
        <w:rPr>
          <w:rFonts w:ascii="Cambria" w:eastAsia="Times New Roman" w:hAnsi="Cambria" w:cstheme="minorHAnsi"/>
          <w:spacing w:val="3"/>
        </w:rPr>
        <w:t>e</w:t>
      </w:r>
      <w:r w:rsidRPr="009A0DA6">
        <w:rPr>
          <w:rFonts w:ascii="Cambria" w:eastAsia="Times New Roman" w:hAnsi="Cambria" w:cstheme="minorHAnsi"/>
          <w:spacing w:val="-4"/>
        </w:rPr>
        <w:t>m</w:t>
      </w:r>
      <w:r w:rsidRPr="009A0DA6">
        <w:rPr>
          <w:rFonts w:ascii="Cambria" w:eastAsia="Times New Roman" w:hAnsi="Cambria" w:cstheme="minorHAnsi"/>
          <w:spacing w:val="3"/>
        </w:rPr>
        <w:t>e</w:t>
      </w:r>
      <w:r w:rsidRPr="009A0DA6">
        <w:rPr>
          <w:rFonts w:ascii="Cambria" w:eastAsia="Times New Roman" w:hAnsi="Cambria" w:cstheme="minorHAnsi"/>
          <w:spacing w:val="-1"/>
        </w:rPr>
        <w:t>n</w:t>
      </w:r>
      <w:r w:rsidRPr="009A0DA6">
        <w:rPr>
          <w:rFonts w:ascii="Cambria" w:eastAsia="Times New Roman" w:hAnsi="Cambria" w:cstheme="minorHAnsi"/>
        </w:rPr>
        <w:t>t c</w:t>
      </w:r>
      <w:r w:rsidRPr="009A0DA6">
        <w:rPr>
          <w:rFonts w:ascii="Cambria" w:eastAsia="Times New Roman" w:hAnsi="Cambria" w:cstheme="minorHAnsi"/>
          <w:spacing w:val="1"/>
        </w:rPr>
        <w:t>o</w:t>
      </w:r>
      <w:r w:rsidRPr="009A0DA6">
        <w:rPr>
          <w:rFonts w:ascii="Cambria" w:eastAsia="Times New Roman" w:hAnsi="Cambria" w:cstheme="minorHAnsi"/>
          <w:spacing w:val="-4"/>
        </w:rPr>
        <w:t>m</w:t>
      </w:r>
      <w:r w:rsidRPr="009A0DA6">
        <w:rPr>
          <w:rFonts w:ascii="Cambria" w:eastAsia="Times New Roman" w:hAnsi="Cambria" w:cstheme="minorHAnsi"/>
          <w:spacing w:val="1"/>
        </w:rPr>
        <w:t>pr</w:t>
      </w:r>
      <w:r w:rsidRPr="009A0DA6">
        <w:rPr>
          <w:rFonts w:ascii="Cambria" w:eastAsia="Times New Roman" w:hAnsi="Cambria" w:cstheme="minorHAnsi"/>
        </w:rPr>
        <w:t>i</w:t>
      </w:r>
      <w:r w:rsidRPr="009A0DA6">
        <w:rPr>
          <w:rFonts w:ascii="Cambria" w:eastAsia="Times New Roman" w:hAnsi="Cambria" w:cstheme="minorHAnsi"/>
          <w:spacing w:val="-1"/>
        </w:rPr>
        <w:t>s</w:t>
      </w:r>
      <w:r w:rsidRPr="009A0DA6">
        <w:rPr>
          <w:rFonts w:ascii="Cambria" w:eastAsia="Times New Roman" w:hAnsi="Cambria" w:cstheme="minorHAnsi"/>
          <w:spacing w:val="3"/>
        </w:rPr>
        <w:t>e</w:t>
      </w:r>
      <w:r w:rsidRPr="009A0DA6">
        <w:rPr>
          <w:rFonts w:ascii="Cambria" w:eastAsia="Times New Roman" w:hAnsi="Cambria" w:cstheme="minorHAnsi"/>
        </w:rPr>
        <w:t>s</w:t>
      </w:r>
      <w:r w:rsidRPr="009A0DA6">
        <w:rPr>
          <w:rFonts w:ascii="Cambria" w:eastAsia="Times New Roman" w:hAnsi="Cambria" w:cstheme="minorHAnsi"/>
          <w:spacing w:val="-8"/>
        </w:rPr>
        <w:t xml:space="preserve"> </w:t>
      </w:r>
      <w:r w:rsidRPr="009A0DA6">
        <w:rPr>
          <w:rFonts w:ascii="Cambria" w:eastAsia="Times New Roman" w:hAnsi="Cambria" w:cstheme="minorHAnsi"/>
          <w:spacing w:val="2"/>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1"/>
        </w:rPr>
        <w:t xml:space="preserve"> f</w:t>
      </w:r>
      <w:r w:rsidRPr="009A0DA6">
        <w:rPr>
          <w:rFonts w:ascii="Cambria" w:eastAsia="Times New Roman" w:hAnsi="Cambria" w:cstheme="minorHAnsi"/>
          <w:spacing w:val="1"/>
        </w:rPr>
        <w:t>o</w:t>
      </w:r>
      <w:r w:rsidRPr="009A0DA6">
        <w:rPr>
          <w:rFonts w:ascii="Cambria" w:eastAsia="Times New Roman" w:hAnsi="Cambria" w:cstheme="minorHAnsi"/>
        </w:rPr>
        <w:t>ll</w:t>
      </w:r>
      <w:r w:rsidRPr="009A0DA6">
        <w:rPr>
          <w:rFonts w:ascii="Cambria" w:eastAsia="Times New Roman" w:hAnsi="Cambria" w:cstheme="minorHAnsi"/>
          <w:spacing w:val="4"/>
        </w:rPr>
        <w:t>o</w:t>
      </w:r>
      <w:r w:rsidRPr="009A0DA6">
        <w:rPr>
          <w:rFonts w:ascii="Cambria" w:eastAsia="Times New Roman" w:hAnsi="Cambria" w:cstheme="minorHAnsi"/>
          <w:spacing w:val="-2"/>
        </w:rPr>
        <w:t>w</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spacing w:val="1"/>
        </w:rPr>
        <w:t>g</w:t>
      </w:r>
      <w:r w:rsidRPr="009A0DA6">
        <w:rPr>
          <w:rFonts w:ascii="Cambria" w:eastAsia="Times New Roman" w:hAnsi="Cambria" w:cstheme="minorHAnsi"/>
        </w:rPr>
        <w:t>:</w:t>
      </w:r>
    </w:p>
    <w:p w14:paraId="7E77F582" w14:textId="77777777" w:rsidR="00BA4592" w:rsidRPr="009A0DA6" w:rsidRDefault="00BA4592" w:rsidP="00E87E30">
      <w:pPr>
        <w:tabs>
          <w:tab w:val="center" w:pos="3402"/>
          <w:tab w:val="right" w:pos="5245"/>
          <w:tab w:val="right" w:pos="6946"/>
          <w:tab w:val="right" w:pos="8647"/>
        </w:tabs>
        <w:spacing w:before="120" w:after="120" w:line="240" w:lineRule="auto"/>
        <w:ind w:right="-329"/>
        <w:contextualSpacing/>
        <w:rPr>
          <w:rFonts w:ascii="Cambria" w:eastAsiaTheme="minorEastAsia" w:hAnsi="Cambria" w:cstheme="minorHAnsi"/>
          <w:b/>
        </w:rPr>
      </w:pPr>
      <w:r w:rsidRPr="009A0DA6">
        <w:rPr>
          <w:rFonts w:ascii="Cambria" w:hAnsi="Cambria" w:cstheme="minorHAnsi"/>
          <w:b/>
        </w:rPr>
        <w:tab/>
        <w:t>Note</w:t>
      </w:r>
      <w:r w:rsidRPr="009A0DA6">
        <w:rPr>
          <w:rFonts w:ascii="Cambria" w:hAnsi="Cambria" w:cstheme="minorHAnsi"/>
          <w:b/>
        </w:rPr>
        <w:tab/>
        <w:t>2017</w:t>
      </w:r>
      <w:r w:rsidRPr="009A0DA6">
        <w:rPr>
          <w:rFonts w:ascii="Cambria" w:hAnsi="Cambria" w:cstheme="minorHAnsi"/>
          <w:b/>
        </w:rPr>
        <w:tab/>
        <w:t>2016</w:t>
      </w:r>
      <w:r w:rsidRPr="009A0DA6">
        <w:rPr>
          <w:rFonts w:ascii="Cambria" w:hAnsi="Cambria" w:cstheme="minorHAnsi"/>
          <w:b/>
        </w:rPr>
        <w:tab/>
        <w:t>2015</w:t>
      </w:r>
    </w:p>
    <w:p w14:paraId="5B1270E3" w14:textId="77777777" w:rsidR="00BA4592" w:rsidRPr="009A0DA6" w:rsidRDefault="00BA4592" w:rsidP="00E87E30">
      <w:pPr>
        <w:tabs>
          <w:tab w:val="center" w:pos="3402"/>
          <w:tab w:val="right" w:pos="5245"/>
          <w:tab w:val="right" w:pos="6946"/>
          <w:tab w:val="right" w:pos="8647"/>
        </w:tabs>
        <w:spacing w:before="120" w:after="120" w:line="240" w:lineRule="auto"/>
        <w:ind w:right="-329"/>
        <w:contextualSpacing/>
        <w:rPr>
          <w:rFonts w:ascii="Cambria" w:eastAsia="Times New Roman" w:hAnsi="Cambria" w:cstheme="minorHAnsi"/>
        </w:rPr>
      </w:pPr>
      <w:r w:rsidRPr="009A0DA6">
        <w:rPr>
          <w:rFonts w:ascii="Cambria" w:eastAsia="Times New Roman" w:hAnsi="Cambria" w:cstheme="minorHAnsi"/>
          <w:spacing w:val="1"/>
        </w:rPr>
        <w:t>I</w:t>
      </w:r>
      <w:r w:rsidRPr="009A0DA6">
        <w:rPr>
          <w:rFonts w:ascii="Cambria" w:eastAsia="Times New Roman" w:hAnsi="Cambria" w:cstheme="minorHAnsi"/>
          <w:spacing w:val="-1"/>
        </w:rPr>
        <w:t>n</w:t>
      </w:r>
      <w:r w:rsidRPr="009A0DA6">
        <w:rPr>
          <w:rFonts w:ascii="Cambria" w:eastAsia="Times New Roman" w:hAnsi="Cambria" w:cstheme="minorHAnsi"/>
        </w:rPr>
        <w:t>c</w:t>
      </w:r>
      <w:r w:rsidRPr="009A0DA6">
        <w:rPr>
          <w:rFonts w:ascii="Cambria" w:eastAsia="Times New Roman" w:hAnsi="Cambria" w:cstheme="minorHAnsi"/>
          <w:spacing w:val="4"/>
        </w:rPr>
        <w:t>o</w:t>
      </w:r>
      <w:r w:rsidRPr="009A0DA6">
        <w:rPr>
          <w:rFonts w:ascii="Cambria" w:eastAsia="Times New Roman" w:hAnsi="Cambria" w:cstheme="minorHAnsi"/>
          <w:spacing w:val="-4"/>
        </w:rPr>
        <w:t>m</w:t>
      </w:r>
      <w:r w:rsidRPr="009A0DA6">
        <w:rPr>
          <w:rFonts w:ascii="Cambria" w:eastAsia="Times New Roman" w:hAnsi="Cambria" w:cstheme="minorHAnsi"/>
        </w:rPr>
        <w:t>e</w:t>
      </w:r>
      <w:r w:rsidRPr="009A0DA6">
        <w:rPr>
          <w:rFonts w:ascii="Cambria" w:eastAsia="Times New Roman" w:hAnsi="Cambria" w:cstheme="minorHAnsi"/>
          <w:spacing w:val="-5"/>
        </w:rPr>
        <w:t xml:space="preserve"> </w:t>
      </w:r>
      <w:r w:rsidRPr="009A0DA6">
        <w:rPr>
          <w:rFonts w:ascii="Cambria" w:eastAsia="Times New Roman" w:hAnsi="Cambria" w:cstheme="minorHAnsi"/>
          <w:spacing w:val="-1"/>
        </w:rPr>
        <w:t>f</w:t>
      </w:r>
      <w:r w:rsidRPr="009A0DA6">
        <w:rPr>
          <w:rFonts w:ascii="Cambria" w:eastAsia="Times New Roman" w:hAnsi="Cambria" w:cstheme="minorHAnsi"/>
          <w:spacing w:val="1"/>
        </w:rPr>
        <w:t>r</w:t>
      </w:r>
      <w:r w:rsidRPr="009A0DA6">
        <w:rPr>
          <w:rFonts w:ascii="Cambria" w:eastAsia="Times New Roman" w:hAnsi="Cambria" w:cstheme="minorHAnsi"/>
          <w:spacing w:val="4"/>
        </w:rPr>
        <w:t>o</w:t>
      </w:r>
      <w:r w:rsidRPr="009A0DA6">
        <w:rPr>
          <w:rFonts w:ascii="Cambria" w:eastAsia="Times New Roman" w:hAnsi="Cambria" w:cstheme="minorHAnsi"/>
        </w:rPr>
        <w:t>m</w:t>
      </w:r>
      <w:r w:rsidRPr="009A0DA6">
        <w:rPr>
          <w:rFonts w:ascii="Cambria" w:eastAsia="Times New Roman" w:hAnsi="Cambria" w:cstheme="minorHAnsi"/>
          <w:spacing w:val="-5"/>
        </w:rPr>
        <w:t xml:space="preserve"> </w:t>
      </w:r>
      <w:r w:rsidRPr="009A0DA6">
        <w:rPr>
          <w:rFonts w:ascii="Cambria" w:eastAsia="Times New Roman" w:hAnsi="Cambria" w:cstheme="minorHAnsi"/>
        </w:rPr>
        <w:t>Di</w:t>
      </w:r>
      <w:r w:rsidRPr="009A0DA6">
        <w:rPr>
          <w:rFonts w:ascii="Cambria" w:eastAsia="Times New Roman" w:hAnsi="Cambria" w:cstheme="minorHAnsi"/>
          <w:spacing w:val="-1"/>
        </w:rPr>
        <w:t>s</w:t>
      </w:r>
      <w:r w:rsidRPr="009A0DA6">
        <w:rPr>
          <w:rFonts w:ascii="Cambria" w:eastAsia="Times New Roman" w:hAnsi="Cambria" w:cstheme="minorHAnsi"/>
        </w:rPr>
        <w:t>t</w:t>
      </w:r>
      <w:r w:rsidRPr="009A0DA6">
        <w:rPr>
          <w:rFonts w:ascii="Cambria" w:eastAsia="Times New Roman" w:hAnsi="Cambria" w:cstheme="minorHAnsi"/>
          <w:spacing w:val="1"/>
        </w:rPr>
        <w:t>r</w:t>
      </w:r>
      <w:r w:rsidRPr="009A0DA6">
        <w:rPr>
          <w:rFonts w:ascii="Cambria" w:eastAsia="Times New Roman" w:hAnsi="Cambria" w:cstheme="minorHAnsi"/>
        </w:rPr>
        <w:t>i</w:t>
      </w:r>
      <w:r w:rsidRPr="009A0DA6">
        <w:rPr>
          <w:rFonts w:ascii="Cambria" w:eastAsia="Times New Roman" w:hAnsi="Cambria" w:cstheme="minorHAnsi"/>
          <w:spacing w:val="3"/>
        </w:rPr>
        <w:t>c</w:t>
      </w:r>
      <w:r w:rsidRPr="009A0DA6">
        <w:rPr>
          <w:rFonts w:ascii="Cambria" w:eastAsia="Times New Roman" w:hAnsi="Cambria" w:cstheme="minorHAnsi"/>
        </w:rPr>
        <w:t>ts</w:t>
      </w:r>
      <w:r w:rsidRPr="009A0DA6">
        <w:rPr>
          <w:rFonts w:ascii="Cambria" w:eastAsia="Times New Roman" w:hAnsi="Cambria" w:cstheme="minorHAnsi"/>
        </w:rPr>
        <w:tab/>
      </w:r>
      <w:r w:rsidRPr="009A0DA6">
        <w:rPr>
          <w:rFonts w:ascii="Cambria" w:eastAsia="Times New Roman" w:hAnsi="Cambria" w:cstheme="minorHAnsi"/>
        </w:rPr>
        <w:tab/>
      </w:r>
      <w:r w:rsidRPr="009A0DA6">
        <w:rPr>
          <w:rFonts w:ascii="Cambria" w:eastAsia="Times New Roman" w:hAnsi="Cambria" w:cstheme="minorHAnsi"/>
          <w:spacing w:val="1"/>
        </w:rPr>
        <w:t>2,25</w:t>
      </w:r>
      <w:r w:rsidRPr="009A0DA6">
        <w:rPr>
          <w:rFonts w:ascii="Cambria" w:eastAsia="Times New Roman" w:hAnsi="Cambria" w:cstheme="minorHAnsi"/>
          <w:spacing w:val="-1"/>
        </w:rPr>
        <w:t>1</w:t>
      </w:r>
      <w:r w:rsidRPr="009A0DA6">
        <w:rPr>
          <w:rFonts w:ascii="Cambria" w:eastAsia="Times New Roman" w:hAnsi="Cambria" w:cstheme="minorHAnsi"/>
          <w:spacing w:val="1"/>
        </w:rPr>
        <w:t>,9</w:t>
      </w:r>
      <w:r w:rsidRPr="009A0DA6">
        <w:rPr>
          <w:rFonts w:ascii="Cambria" w:eastAsia="Times New Roman" w:hAnsi="Cambria" w:cstheme="minorHAnsi"/>
          <w:spacing w:val="-1"/>
        </w:rPr>
        <w:t>9</w:t>
      </w:r>
      <w:r w:rsidRPr="009A0DA6">
        <w:rPr>
          <w:rFonts w:ascii="Cambria" w:eastAsia="Times New Roman" w:hAnsi="Cambria" w:cstheme="minorHAnsi"/>
        </w:rPr>
        <w:t>6</w:t>
      </w:r>
      <w:r w:rsidRPr="009A0DA6">
        <w:rPr>
          <w:rFonts w:ascii="Cambria" w:eastAsia="Times New Roman" w:hAnsi="Cambria" w:cstheme="minorHAnsi"/>
        </w:rPr>
        <w:tab/>
      </w:r>
      <w:r w:rsidRPr="009A0DA6">
        <w:rPr>
          <w:rFonts w:ascii="Cambria" w:eastAsia="Times New Roman" w:hAnsi="Cambria" w:cstheme="minorHAnsi"/>
          <w:spacing w:val="1"/>
        </w:rPr>
        <w:t>2,49</w:t>
      </w:r>
      <w:r w:rsidRPr="009A0DA6">
        <w:rPr>
          <w:rFonts w:ascii="Cambria" w:eastAsia="Times New Roman" w:hAnsi="Cambria" w:cstheme="minorHAnsi"/>
          <w:spacing w:val="-1"/>
        </w:rPr>
        <w:t>6</w:t>
      </w:r>
      <w:r w:rsidRPr="009A0DA6">
        <w:rPr>
          <w:rFonts w:ascii="Cambria" w:eastAsia="Times New Roman" w:hAnsi="Cambria" w:cstheme="minorHAnsi"/>
          <w:spacing w:val="1"/>
        </w:rPr>
        <w:t>,9</w:t>
      </w:r>
      <w:r w:rsidRPr="009A0DA6">
        <w:rPr>
          <w:rFonts w:ascii="Cambria" w:eastAsia="Times New Roman" w:hAnsi="Cambria" w:cstheme="minorHAnsi"/>
          <w:spacing w:val="-1"/>
        </w:rPr>
        <w:t>0</w:t>
      </w:r>
      <w:r w:rsidRPr="009A0DA6">
        <w:rPr>
          <w:rFonts w:ascii="Cambria" w:eastAsia="Times New Roman" w:hAnsi="Cambria" w:cstheme="minorHAnsi"/>
        </w:rPr>
        <w:t>3</w:t>
      </w:r>
      <w:r w:rsidRPr="009A0DA6">
        <w:rPr>
          <w:rFonts w:ascii="Cambria" w:eastAsia="Times New Roman" w:hAnsi="Cambria" w:cstheme="minorHAnsi"/>
        </w:rPr>
        <w:tab/>
        <w:t>1,687,143</w:t>
      </w:r>
    </w:p>
    <w:p w14:paraId="6D81AD9F" w14:textId="77777777" w:rsidR="00BA4592" w:rsidRPr="009A0DA6" w:rsidRDefault="00BA4592" w:rsidP="00E87E30">
      <w:pPr>
        <w:tabs>
          <w:tab w:val="center" w:pos="3402"/>
          <w:tab w:val="right" w:pos="5245"/>
          <w:tab w:val="right" w:pos="6946"/>
          <w:tab w:val="right" w:pos="8647"/>
        </w:tabs>
        <w:spacing w:before="120" w:after="120" w:line="240" w:lineRule="auto"/>
        <w:ind w:right="-329"/>
        <w:contextualSpacing/>
        <w:rPr>
          <w:rFonts w:ascii="Cambria" w:eastAsia="Times New Roman" w:hAnsi="Cambria" w:cstheme="minorHAnsi"/>
        </w:rPr>
      </w:pPr>
      <w:r w:rsidRPr="009A0DA6">
        <w:rPr>
          <w:rFonts w:ascii="Cambria" w:eastAsia="Times New Roman" w:hAnsi="Cambria" w:cstheme="minorHAnsi"/>
        </w:rPr>
        <w:t>Ge</w:t>
      </w:r>
      <w:r w:rsidRPr="009A0DA6">
        <w:rPr>
          <w:rFonts w:ascii="Cambria" w:eastAsia="Times New Roman" w:hAnsi="Cambria" w:cstheme="minorHAnsi"/>
          <w:spacing w:val="-1"/>
        </w:rPr>
        <w:t>n</w:t>
      </w:r>
      <w:r w:rsidRPr="009A0DA6">
        <w:rPr>
          <w:rFonts w:ascii="Cambria" w:eastAsia="Times New Roman" w:hAnsi="Cambria" w:cstheme="minorHAnsi"/>
        </w:rPr>
        <w:t>e</w:t>
      </w:r>
      <w:r w:rsidRPr="009A0DA6">
        <w:rPr>
          <w:rFonts w:ascii="Cambria" w:eastAsia="Times New Roman" w:hAnsi="Cambria" w:cstheme="minorHAnsi"/>
          <w:spacing w:val="1"/>
        </w:rPr>
        <w:t>r</w:t>
      </w:r>
      <w:r w:rsidRPr="009A0DA6">
        <w:rPr>
          <w:rFonts w:ascii="Cambria" w:eastAsia="Times New Roman" w:hAnsi="Cambria" w:cstheme="minorHAnsi"/>
        </w:rPr>
        <w:t>al</w:t>
      </w:r>
      <w:r w:rsidRPr="009A0DA6">
        <w:rPr>
          <w:rFonts w:ascii="Cambria" w:eastAsia="Times New Roman" w:hAnsi="Cambria" w:cstheme="minorHAnsi"/>
          <w:spacing w:val="-6"/>
        </w:rPr>
        <w:t xml:space="preserve"> </w:t>
      </w:r>
      <w:r w:rsidRPr="009A0DA6">
        <w:rPr>
          <w:rFonts w:ascii="Cambria" w:eastAsia="Times New Roman" w:hAnsi="Cambria" w:cstheme="minorHAnsi"/>
        </w:rPr>
        <w:t>c</w:t>
      </w:r>
      <w:r w:rsidRPr="009A0DA6">
        <w:rPr>
          <w:rFonts w:ascii="Cambria" w:eastAsia="Times New Roman" w:hAnsi="Cambria" w:cstheme="minorHAnsi"/>
          <w:spacing w:val="1"/>
        </w:rPr>
        <w:t>on</w:t>
      </w:r>
      <w:r w:rsidRPr="009A0DA6">
        <w:rPr>
          <w:rFonts w:ascii="Cambria" w:eastAsia="Times New Roman" w:hAnsi="Cambria" w:cstheme="minorHAnsi"/>
          <w:spacing w:val="-1"/>
        </w:rPr>
        <w:t>v</w:t>
      </w:r>
      <w:r w:rsidRPr="009A0DA6">
        <w:rPr>
          <w:rFonts w:ascii="Cambria" w:eastAsia="Times New Roman" w:hAnsi="Cambria" w:cstheme="minorHAnsi"/>
        </w:rPr>
        <w:t>e</w:t>
      </w:r>
      <w:r w:rsidRPr="009A0DA6">
        <w:rPr>
          <w:rFonts w:ascii="Cambria" w:eastAsia="Times New Roman" w:hAnsi="Cambria" w:cstheme="minorHAnsi"/>
          <w:spacing w:val="-1"/>
        </w:rPr>
        <w:t>n</w:t>
      </w:r>
      <w:r w:rsidRPr="009A0DA6">
        <w:rPr>
          <w:rFonts w:ascii="Cambria" w:eastAsia="Times New Roman" w:hAnsi="Cambria" w:cstheme="minorHAnsi"/>
          <w:spacing w:val="2"/>
        </w:rPr>
        <w:t>t</w:t>
      </w:r>
      <w:r w:rsidRPr="009A0DA6">
        <w:rPr>
          <w:rFonts w:ascii="Cambria" w:eastAsia="Times New Roman" w:hAnsi="Cambria" w:cstheme="minorHAnsi"/>
        </w:rPr>
        <w:t>i</w:t>
      </w:r>
      <w:r w:rsidRPr="009A0DA6">
        <w:rPr>
          <w:rFonts w:ascii="Cambria" w:eastAsia="Times New Roman" w:hAnsi="Cambria" w:cstheme="minorHAnsi"/>
          <w:spacing w:val="1"/>
        </w:rPr>
        <w:t>o</w:t>
      </w:r>
      <w:r w:rsidRPr="009A0DA6">
        <w:rPr>
          <w:rFonts w:ascii="Cambria" w:eastAsia="Times New Roman" w:hAnsi="Cambria" w:cstheme="minorHAnsi"/>
        </w:rPr>
        <w:t>n</w:t>
      </w:r>
      <w:r w:rsidRPr="009A0DA6">
        <w:rPr>
          <w:rFonts w:ascii="Cambria" w:eastAsia="Times New Roman" w:hAnsi="Cambria" w:cstheme="minorHAnsi"/>
          <w:spacing w:val="1"/>
        </w:rPr>
        <w:tab/>
      </w:r>
      <w:r w:rsidRPr="009A0DA6">
        <w:rPr>
          <w:rFonts w:ascii="Cambria" w:eastAsia="Times New Roman" w:hAnsi="Cambria" w:cstheme="minorHAnsi"/>
          <w:spacing w:val="1"/>
        </w:rPr>
        <w:tab/>
        <w:t>5,23</w:t>
      </w:r>
      <w:r w:rsidRPr="009A0DA6">
        <w:rPr>
          <w:rFonts w:ascii="Cambria" w:eastAsia="Times New Roman" w:hAnsi="Cambria" w:cstheme="minorHAnsi"/>
        </w:rPr>
        <w:t>3</w:t>
      </w:r>
      <w:r w:rsidRPr="009A0DA6">
        <w:rPr>
          <w:rFonts w:ascii="Cambria" w:eastAsia="Times New Roman" w:hAnsi="Cambria" w:cstheme="minorHAnsi"/>
        </w:rPr>
        <w:tab/>
      </w:r>
      <w:r w:rsidRPr="009A0DA6">
        <w:rPr>
          <w:rFonts w:ascii="Cambria" w:eastAsia="Times New Roman" w:hAnsi="Cambria" w:cstheme="minorHAnsi"/>
          <w:spacing w:val="1"/>
        </w:rPr>
        <w:t>2,09</w:t>
      </w:r>
      <w:r w:rsidRPr="009A0DA6">
        <w:rPr>
          <w:rFonts w:ascii="Cambria" w:eastAsia="Times New Roman" w:hAnsi="Cambria" w:cstheme="minorHAnsi"/>
        </w:rPr>
        <w:t>5</w:t>
      </w:r>
      <w:r w:rsidRPr="009A0DA6">
        <w:rPr>
          <w:rFonts w:ascii="Cambria" w:eastAsia="Times New Roman" w:hAnsi="Cambria" w:cstheme="minorHAnsi"/>
        </w:rPr>
        <w:tab/>
        <w:t>591,272</w:t>
      </w:r>
    </w:p>
    <w:p w14:paraId="22EEA1F4" w14:textId="77777777" w:rsidR="00BA4592" w:rsidRPr="009A0DA6" w:rsidRDefault="00BA4592" w:rsidP="00E87E30">
      <w:pPr>
        <w:tabs>
          <w:tab w:val="center" w:pos="3402"/>
          <w:tab w:val="right" w:pos="5245"/>
          <w:tab w:val="right" w:pos="6946"/>
          <w:tab w:val="right" w:pos="8647"/>
        </w:tabs>
        <w:spacing w:before="120" w:after="120" w:line="240" w:lineRule="auto"/>
        <w:ind w:right="-329"/>
        <w:contextualSpacing/>
        <w:rPr>
          <w:rFonts w:ascii="Cambria" w:eastAsia="Times New Roman" w:hAnsi="Cambria" w:cstheme="minorHAnsi"/>
        </w:rPr>
      </w:pPr>
      <w:r w:rsidRPr="009A0DA6">
        <w:rPr>
          <w:rFonts w:ascii="Cambria" w:eastAsia="Times New Roman" w:hAnsi="Cambria" w:cstheme="minorHAnsi"/>
          <w:spacing w:val="-2"/>
        </w:rPr>
        <w:t>L</w:t>
      </w:r>
      <w:r w:rsidRPr="009A0DA6">
        <w:rPr>
          <w:rFonts w:ascii="Cambria" w:eastAsia="Times New Roman" w:hAnsi="Cambria" w:cstheme="minorHAnsi"/>
          <w:spacing w:val="2"/>
        </w:rPr>
        <w:t>C</w:t>
      </w:r>
      <w:r w:rsidRPr="009A0DA6">
        <w:rPr>
          <w:rFonts w:ascii="Cambria" w:eastAsia="Times New Roman" w:hAnsi="Cambria" w:cstheme="minorHAnsi"/>
        </w:rPr>
        <w:t>A</w:t>
      </w:r>
      <w:r w:rsidRPr="009A0DA6">
        <w:rPr>
          <w:rFonts w:ascii="Cambria" w:eastAsia="Times New Roman" w:hAnsi="Cambria" w:cstheme="minorHAnsi"/>
          <w:spacing w:val="-3"/>
        </w:rPr>
        <w:t xml:space="preserve"> </w:t>
      </w:r>
      <w:r w:rsidRPr="009A0DA6">
        <w:rPr>
          <w:rFonts w:ascii="Cambria" w:eastAsia="Times New Roman" w:hAnsi="Cambria" w:cstheme="minorHAnsi"/>
          <w:spacing w:val="-2"/>
        </w:rPr>
        <w:t>L</w:t>
      </w:r>
      <w:r w:rsidRPr="009A0DA6">
        <w:rPr>
          <w:rFonts w:ascii="Cambria" w:eastAsia="Times New Roman" w:hAnsi="Cambria" w:cstheme="minorHAnsi"/>
          <w:spacing w:val="3"/>
        </w:rPr>
        <w:t>e</w:t>
      </w:r>
      <w:r w:rsidRPr="009A0DA6">
        <w:rPr>
          <w:rFonts w:ascii="Cambria" w:eastAsia="Times New Roman" w:hAnsi="Cambria" w:cstheme="minorHAnsi"/>
          <w:spacing w:val="1"/>
        </w:rPr>
        <w:t>v</w:t>
      </w:r>
      <w:r w:rsidRPr="009A0DA6">
        <w:rPr>
          <w:rFonts w:ascii="Cambria" w:eastAsia="Times New Roman" w:hAnsi="Cambria" w:cstheme="minorHAnsi"/>
        </w:rPr>
        <w:t>y</w:t>
      </w:r>
      <w:r w:rsidRPr="009A0DA6">
        <w:rPr>
          <w:rFonts w:ascii="Cambria" w:eastAsia="Times New Roman" w:hAnsi="Cambria" w:cstheme="minorHAnsi"/>
          <w:spacing w:val="-5"/>
        </w:rPr>
        <w:t xml:space="preserve"> </w:t>
      </w:r>
      <w:r w:rsidRPr="009A0DA6">
        <w:rPr>
          <w:rFonts w:ascii="Cambria" w:eastAsia="Times New Roman" w:hAnsi="Cambria" w:cstheme="minorHAnsi"/>
          <w:spacing w:val="2"/>
        </w:rPr>
        <w:t>F</w:t>
      </w:r>
      <w:r w:rsidRPr="009A0DA6">
        <w:rPr>
          <w:rFonts w:ascii="Cambria" w:eastAsia="Times New Roman" w:hAnsi="Cambria" w:cstheme="minorHAnsi"/>
          <w:spacing w:val="-1"/>
        </w:rPr>
        <w:t>un</w:t>
      </w:r>
      <w:r w:rsidRPr="009A0DA6">
        <w:rPr>
          <w:rFonts w:ascii="Cambria" w:eastAsia="Times New Roman" w:hAnsi="Cambria" w:cstheme="minorHAnsi"/>
        </w:rPr>
        <w:t>d</w:t>
      </w:r>
      <w:r w:rsidRPr="009A0DA6">
        <w:rPr>
          <w:rFonts w:ascii="Cambria" w:eastAsia="Times New Roman" w:hAnsi="Cambria" w:cstheme="minorHAnsi"/>
          <w:spacing w:val="-2"/>
        </w:rPr>
        <w:t xml:space="preserve"> </w:t>
      </w:r>
      <w:r w:rsidRPr="009A0DA6">
        <w:rPr>
          <w:rFonts w:ascii="Cambria" w:eastAsia="Times New Roman" w:hAnsi="Cambria" w:cstheme="minorHAnsi"/>
        </w:rPr>
        <w:t>G</w:t>
      </w:r>
      <w:r w:rsidRPr="009A0DA6">
        <w:rPr>
          <w:rFonts w:ascii="Cambria" w:eastAsia="Times New Roman" w:hAnsi="Cambria" w:cstheme="minorHAnsi"/>
          <w:spacing w:val="1"/>
        </w:rPr>
        <w:t>r</w:t>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rPr>
        <w:t>ts</w:t>
      </w:r>
      <w:r w:rsidRPr="009A0DA6">
        <w:rPr>
          <w:rFonts w:ascii="Cambria" w:eastAsia="Times New Roman" w:hAnsi="Cambria" w:cstheme="minorHAnsi"/>
        </w:rPr>
        <w:tab/>
      </w:r>
      <w:r w:rsidRPr="009A0DA6">
        <w:rPr>
          <w:rFonts w:ascii="Cambria" w:eastAsia="Times New Roman" w:hAnsi="Cambria" w:cstheme="minorHAnsi"/>
        </w:rPr>
        <w:tab/>
      </w:r>
      <w:r w:rsidRPr="009A0DA6">
        <w:rPr>
          <w:rFonts w:ascii="Cambria" w:eastAsia="Times New Roman" w:hAnsi="Cambria" w:cstheme="minorHAnsi"/>
          <w:spacing w:val="1"/>
        </w:rPr>
        <w:t>321,</w:t>
      </w:r>
      <w:r w:rsidRPr="009A0DA6">
        <w:rPr>
          <w:rFonts w:ascii="Cambria" w:eastAsia="Times New Roman" w:hAnsi="Cambria" w:cstheme="minorHAnsi"/>
          <w:spacing w:val="-1"/>
        </w:rPr>
        <w:t>2</w:t>
      </w:r>
      <w:r w:rsidRPr="009A0DA6">
        <w:rPr>
          <w:rFonts w:ascii="Cambria" w:eastAsia="Times New Roman" w:hAnsi="Cambria" w:cstheme="minorHAnsi"/>
          <w:spacing w:val="1"/>
        </w:rPr>
        <w:t>0</w:t>
      </w:r>
      <w:r w:rsidRPr="009A0DA6">
        <w:rPr>
          <w:rFonts w:ascii="Cambria" w:eastAsia="Times New Roman" w:hAnsi="Cambria" w:cstheme="minorHAnsi"/>
        </w:rPr>
        <w:t>0</w:t>
      </w:r>
      <w:r w:rsidRPr="009A0DA6">
        <w:rPr>
          <w:rFonts w:ascii="Cambria" w:eastAsia="Times New Roman" w:hAnsi="Cambria" w:cstheme="minorHAnsi"/>
        </w:rPr>
        <w:tab/>
      </w:r>
      <w:r w:rsidRPr="009A0DA6">
        <w:rPr>
          <w:rFonts w:ascii="Cambria" w:eastAsia="Times New Roman" w:hAnsi="Cambria" w:cstheme="minorHAnsi"/>
          <w:spacing w:val="1"/>
        </w:rPr>
        <w:t>318,</w:t>
      </w:r>
      <w:r w:rsidRPr="009A0DA6">
        <w:rPr>
          <w:rFonts w:ascii="Cambria" w:eastAsia="Times New Roman" w:hAnsi="Cambria" w:cstheme="minorHAnsi"/>
          <w:spacing w:val="-1"/>
        </w:rPr>
        <w:t>0</w:t>
      </w:r>
      <w:r w:rsidRPr="009A0DA6">
        <w:rPr>
          <w:rFonts w:ascii="Cambria" w:eastAsia="Times New Roman" w:hAnsi="Cambria" w:cstheme="minorHAnsi"/>
          <w:spacing w:val="1"/>
        </w:rPr>
        <w:t>0</w:t>
      </w:r>
      <w:r w:rsidRPr="009A0DA6">
        <w:rPr>
          <w:rFonts w:ascii="Cambria" w:eastAsia="Times New Roman" w:hAnsi="Cambria" w:cstheme="minorHAnsi"/>
        </w:rPr>
        <w:t>0</w:t>
      </w:r>
      <w:r w:rsidRPr="009A0DA6">
        <w:rPr>
          <w:rFonts w:ascii="Cambria" w:eastAsia="Times New Roman" w:hAnsi="Cambria" w:cstheme="minorHAnsi"/>
        </w:rPr>
        <w:tab/>
        <w:t>309,000</w:t>
      </w:r>
    </w:p>
    <w:p w14:paraId="37C7C46A" w14:textId="77777777" w:rsidR="00BA4592" w:rsidRPr="009A0DA6" w:rsidRDefault="00BA4592" w:rsidP="00E87E30">
      <w:pPr>
        <w:tabs>
          <w:tab w:val="center" w:pos="3402"/>
          <w:tab w:val="right" w:pos="5245"/>
          <w:tab w:val="right" w:pos="6946"/>
          <w:tab w:val="right" w:pos="8647"/>
        </w:tabs>
        <w:spacing w:before="120" w:after="120" w:line="240" w:lineRule="auto"/>
        <w:ind w:right="-329"/>
        <w:contextualSpacing/>
        <w:rPr>
          <w:rFonts w:ascii="Cambria" w:eastAsia="Times New Roman" w:hAnsi="Cambria" w:cstheme="minorHAnsi"/>
        </w:rPr>
      </w:pPr>
      <w:r w:rsidRPr="009A0DA6">
        <w:rPr>
          <w:rFonts w:ascii="Cambria" w:eastAsia="Times New Roman" w:hAnsi="Cambria" w:cstheme="minorHAnsi"/>
          <w:spacing w:val="-2"/>
        </w:rPr>
        <w:t>L</w:t>
      </w:r>
      <w:r w:rsidRPr="009A0DA6">
        <w:rPr>
          <w:rFonts w:ascii="Cambria" w:eastAsia="Times New Roman" w:hAnsi="Cambria" w:cstheme="minorHAnsi"/>
          <w:spacing w:val="2"/>
        </w:rPr>
        <w:t>C</w:t>
      </w:r>
      <w:r w:rsidRPr="009A0DA6">
        <w:rPr>
          <w:rFonts w:ascii="Cambria" w:eastAsia="Times New Roman" w:hAnsi="Cambria" w:cstheme="minorHAnsi"/>
        </w:rPr>
        <w:t>A</w:t>
      </w:r>
      <w:r w:rsidRPr="009A0DA6">
        <w:rPr>
          <w:rFonts w:ascii="Cambria" w:eastAsia="Times New Roman" w:hAnsi="Cambria" w:cstheme="minorHAnsi"/>
          <w:spacing w:val="-3"/>
        </w:rPr>
        <w:t xml:space="preserve"> </w:t>
      </w:r>
      <w:r w:rsidRPr="009A0DA6">
        <w:rPr>
          <w:rFonts w:ascii="Cambria" w:eastAsia="Times New Roman" w:hAnsi="Cambria" w:cstheme="minorHAnsi"/>
          <w:spacing w:val="1"/>
        </w:rPr>
        <w:t>I</w:t>
      </w:r>
      <w:r w:rsidRPr="009A0DA6">
        <w:rPr>
          <w:rFonts w:ascii="Cambria" w:eastAsia="Times New Roman" w:hAnsi="Cambria" w:cstheme="minorHAnsi"/>
          <w:spacing w:val="-1"/>
        </w:rPr>
        <w:t>n</w:t>
      </w:r>
      <w:r w:rsidRPr="009A0DA6">
        <w:rPr>
          <w:rFonts w:ascii="Cambria" w:eastAsia="Times New Roman" w:hAnsi="Cambria" w:cstheme="minorHAnsi"/>
          <w:spacing w:val="2"/>
        </w:rPr>
        <w:t>s</w:t>
      </w:r>
      <w:r w:rsidRPr="009A0DA6">
        <w:rPr>
          <w:rFonts w:ascii="Cambria" w:eastAsia="Times New Roman" w:hAnsi="Cambria" w:cstheme="minorHAnsi"/>
          <w:spacing w:val="-1"/>
        </w:rPr>
        <w:t>u</w:t>
      </w:r>
      <w:r w:rsidRPr="009A0DA6">
        <w:rPr>
          <w:rFonts w:ascii="Cambria" w:eastAsia="Times New Roman" w:hAnsi="Cambria" w:cstheme="minorHAnsi"/>
          <w:spacing w:val="1"/>
        </w:rPr>
        <w:t>r</w:t>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rPr>
        <w:t>ce Grants</w:t>
      </w:r>
      <w:r w:rsidRPr="009A0DA6">
        <w:rPr>
          <w:rFonts w:ascii="Cambria" w:eastAsia="Times New Roman" w:hAnsi="Cambria" w:cstheme="minorHAnsi"/>
        </w:rPr>
        <w:tab/>
      </w:r>
      <w:r w:rsidRPr="009A0DA6">
        <w:rPr>
          <w:rFonts w:ascii="Cambria" w:eastAsia="Times New Roman" w:hAnsi="Cambria" w:cstheme="minorHAnsi"/>
        </w:rPr>
        <w:tab/>
      </w:r>
      <w:r w:rsidRPr="009A0DA6">
        <w:rPr>
          <w:rFonts w:ascii="Cambria" w:eastAsia="Times New Roman" w:hAnsi="Cambria" w:cstheme="minorHAnsi"/>
          <w:spacing w:val="1"/>
        </w:rPr>
        <w:t>623,</w:t>
      </w:r>
      <w:r w:rsidRPr="009A0DA6">
        <w:rPr>
          <w:rFonts w:ascii="Cambria" w:eastAsia="Times New Roman" w:hAnsi="Cambria" w:cstheme="minorHAnsi"/>
          <w:spacing w:val="-1"/>
        </w:rPr>
        <w:t>1</w:t>
      </w:r>
      <w:r w:rsidRPr="009A0DA6">
        <w:rPr>
          <w:rFonts w:ascii="Cambria" w:eastAsia="Times New Roman" w:hAnsi="Cambria" w:cstheme="minorHAnsi"/>
          <w:spacing w:val="1"/>
        </w:rPr>
        <w:t>0</w:t>
      </w:r>
      <w:r w:rsidRPr="009A0DA6">
        <w:rPr>
          <w:rFonts w:ascii="Cambria" w:eastAsia="Times New Roman" w:hAnsi="Cambria" w:cstheme="minorHAnsi"/>
        </w:rPr>
        <w:t>4</w:t>
      </w:r>
      <w:r w:rsidRPr="009A0DA6">
        <w:rPr>
          <w:rFonts w:ascii="Cambria" w:eastAsia="Times New Roman" w:hAnsi="Cambria" w:cstheme="minorHAnsi"/>
        </w:rPr>
        <w:tab/>
      </w:r>
      <w:r w:rsidRPr="009A0DA6">
        <w:rPr>
          <w:rFonts w:ascii="Cambria" w:eastAsia="Times New Roman" w:hAnsi="Cambria" w:cstheme="minorHAnsi"/>
          <w:spacing w:val="1"/>
        </w:rPr>
        <w:t>608,</w:t>
      </w:r>
      <w:r w:rsidRPr="009A0DA6">
        <w:rPr>
          <w:rFonts w:ascii="Cambria" w:eastAsia="Times New Roman" w:hAnsi="Cambria" w:cstheme="minorHAnsi"/>
          <w:spacing w:val="-1"/>
        </w:rPr>
        <w:t>8</w:t>
      </w:r>
      <w:r w:rsidRPr="009A0DA6">
        <w:rPr>
          <w:rFonts w:ascii="Cambria" w:eastAsia="Times New Roman" w:hAnsi="Cambria" w:cstheme="minorHAnsi"/>
          <w:spacing w:val="1"/>
        </w:rPr>
        <w:t>0</w:t>
      </w:r>
      <w:r w:rsidRPr="009A0DA6">
        <w:rPr>
          <w:rFonts w:ascii="Cambria" w:eastAsia="Times New Roman" w:hAnsi="Cambria" w:cstheme="minorHAnsi"/>
        </w:rPr>
        <w:t>0</w:t>
      </w:r>
      <w:r w:rsidRPr="009A0DA6">
        <w:rPr>
          <w:rFonts w:ascii="Cambria" w:eastAsia="Times New Roman" w:hAnsi="Cambria" w:cstheme="minorHAnsi"/>
        </w:rPr>
        <w:tab/>
        <w:t>494,000</w:t>
      </w:r>
    </w:p>
    <w:p w14:paraId="05C6E7E2" w14:textId="77777777" w:rsidR="00BA4592" w:rsidRPr="009A0DA6" w:rsidRDefault="00BA4592" w:rsidP="00E87E30">
      <w:pPr>
        <w:tabs>
          <w:tab w:val="center" w:pos="3402"/>
          <w:tab w:val="right" w:pos="5245"/>
          <w:tab w:val="right" w:pos="6946"/>
          <w:tab w:val="right" w:pos="8647"/>
        </w:tabs>
        <w:spacing w:before="120" w:after="120" w:line="240" w:lineRule="auto"/>
        <w:ind w:right="-329"/>
        <w:contextualSpacing/>
        <w:rPr>
          <w:rFonts w:ascii="Cambria" w:eastAsia="Times New Roman" w:hAnsi="Cambria" w:cstheme="minorHAnsi"/>
        </w:rPr>
      </w:pPr>
      <w:r w:rsidRPr="009A0DA6">
        <w:rPr>
          <w:rFonts w:ascii="Cambria" w:eastAsia="Times New Roman" w:hAnsi="Cambria" w:cstheme="minorHAnsi"/>
          <w:spacing w:val="1"/>
        </w:rPr>
        <w:t>LL</w:t>
      </w:r>
      <w:r w:rsidRPr="009A0DA6">
        <w:rPr>
          <w:rFonts w:ascii="Cambria" w:eastAsia="Times New Roman" w:hAnsi="Cambria" w:cstheme="minorHAnsi"/>
        </w:rPr>
        <w:t>L</w:t>
      </w:r>
      <w:r w:rsidRPr="009A0DA6">
        <w:rPr>
          <w:rFonts w:ascii="Cambria" w:eastAsia="Times New Roman" w:hAnsi="Cambria" w:cstheme="minorHAnsi"/>
          <w:spacing w:val="-5"/>
        </w:rPr>
        <w:t xml:space="preserve"> </w:t>
      </w:r>
      <w:r w:rsidRPr="009A0DA6">
        <w:rPr>
          <w:rFonts w:ascii="Cambria" w:eastAsia="Times New Roman" w:hAnsi="Cambria" w:cstheme="minorHAnsi"/>
        </w:rPr>
        <w:t>G</w:t>
      </w:r>
      <w:r w:rsidRPr="009A0DA6">
        <w:rPr>
          <w:rFonts w:ascii="Cambria" w:eastAsia="Times New Roman" w:hAnsi="Cambria" w:cstheme="minorHAnsi"/>
          <w:spacing w:val="1"/>
        </w:rPr>
        <w:t>r</w:t>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spacing w:val="2"/>
        </w:rPr>
        <w:t>t</w:t>
      </w:r>
      <w:r w:rsidRPr="009A0DA6">
        <w:rPr>
          <w:rFonts w:ascii="Cambria" w:eastAsia="Times New Roman" w:hAnsi="Cambria" w:cstheme="minorHAnsi"/>
        </w:rPr>
        <w:t>s</w:t>
      </w:r>
      <w:r w:rsidRPr="009A0DA6">
        <w:rPr>
          <w:rFonts w:ascii="Cambria" w:eastAsia="Times New Roman" w:hAnsi="Cambria" w:cstheme="minorHAnsi"/>
          <w:spacing w:val="-5"/>
        </w:rPr>
        <w:t xml:space="preserve"> </w:t>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spacing w:val="-1"/>
        </w:rPr>
        <w:t xml:space="preserve"> </w:t>
      </w:r>
      <w:r w:rsidRPr="009A0DA6">
        <w:rPr>
          <w:rFonts w:ascii="Cambria" w:eastAsia="Times New Roman" w:hAnsi="Cambria" w:cstheme="minorHAnsi"/>
        </w:rPr>
        <w:t>all</w:t>
      </w:r>
      <w:r w:rsidRPr="009A0DA6">
        <w:rPr>
          <w:rFonts w:ascii="Cambria" w:eastAsia="Times New Roman" w:hAnsi="Cambria" w:cstheme="minorHAnsi"/>
          <w:spacing w:val="1"/>
        </w:rPr>
        <w:t>o</w:t>
      </w:r>
      <w:r w:rsidRPr="009A0DA6">
        <w:rPr>
          <w:rFonts w:ascii="Cambria" w:eastAsia="Times New Roman" w:hAnsi="Cambria" w:cstheme="minorHAnsi"/>
        </w:rPr>
        <w:t>cati</w:t>
      </w:r>
      <w:r w:rsidRPr="009A0DA6">
        <w:rPr>
          <w:rFonts w:ascii="Cambria" w:eastAsia="Times New Roman" w:hAnsi="Cambria" w:cstheme="minorHAnsi"/>
          <w:spacing w:val="1"/>
        </w:rPr>
        <w:t>on</w:t>
      </w:r>
      <w:r w:rsidRPr="009A0DA6">
        <w:rPr>
          <w:rFonts w:ascii="Cambria" w:eastAsia="Times New Roman" w:hAnsi="Cambria" w:cstheme="minorHAnsi"/>
        </w:rPr>
        <w:t>s</w:t>
      </w:r>
      <w:r w:rsidRPr="009A0DA6">
        <w:rPr>
          <w:rFonts w:ascii="Cambria" w:eastAsia="Times New Roman" w:hAnsi="Cambria" w:cstheme="minorHAnsi"/>
        </w:rPr>
        <w:tab/>
      </w:r>
      <w:r w:rsidRPr="009A0DA6">
        <w:rPr>
          <w:rFonts w:ascii="Cambria" w:eastAsia="Times New Roman" w:hAnsi="Cambria" w:cstheme="minorHAnsi"/>
        </w:rPr>
        <w:tab/>
      </w:r>
      <w:r w:rsidRPr="009A0DA6">
        <w:rPr>
          <w:rFonts w:ascii="Cambria" w:eastAsia="Times New Roman" w:hAnsi="Cambria" w:cstheme="minorHAnsi"/>
          <w:spacing w:val="1"/>
        </w:rPr>
        <w:t>3,84</w:t>
      </w:r>
      <w:r w:rsidRPr="009A0DA6">
        <w:rPr>
          <w:rFonts w:ascii="Cambria" w:eastAsia="Times New Roman" w:hAnsi="Cambria" w:cstheme="minorHAnsi"/>
          <w:spacing w:val="-1"/>
        </w:rPr>
        <w:t>4</w:t>
      </w:r>
      <w:r w:rsidRPr="009A0DA6">
        <w:rPr>
          <w:rFonts w:ascii="Cambria" w:eastAsia="Times New Roman" w:hAnsi="Cambria" w:cstheme="minorHAnsi"/>
          <w:spacing w:val="1"/>
        </w:rPr>
        <w:t>,1</w:t>
      </w:r>
      <w:r w:rsidRPr="009A0DA6">
        <w:rPr>
          <w:rFonts w:ascii="Cambria" w:eastAsia="Times New Roman" w:hAnsi="Cambria" w:cstheme="minorHAnsi"/>
          <w:spacing w:val="-1"/>
        </w:rPr>
        <w:t>4</w:t>
      </w:r>
      <w:r w:rsidRPr="009A0DA6">
        <w:rPr>
          <w:rFonts w:ascii="Cambria" w:eastAsia="Times New Roman" w:hAnsi="Cambria" w:cstheme="minorHAnsi"/>
        </w:rPr>
        <w:t>1</w:t>
      </w:r>
      <w:r w:rsidRPr="009A0DA6">
        <w:rPr>
          <w:rFonts w:ascii="Cambria" w:eastAsia="Times New Roman" w:hAnsi="Cambria" w:cstheme="minorHAnsi"/>
        </w:rPr>
        <w:tab/>
      </w:r>
      <w:r w:rsidRPr="009A0DA6">
        <w:rPr>
          <w:rFonts w:ascii="Cambria" w:eastAsia="Times New Roman" w:hAnsi="Cambria" w:cstheme="minorHAnsi"/>
          <w:spacing w:val="1"/>
        </w:rPr>
        <w:t>4,15</w:t>
      </w:r>
      <w:r w:rsidRPr="009A0DA6">
        <w:rPr>
          <w:rFonts w:ascii="Cambria" w:eastAsia="Times New Roman" w:hAnsi="Cambria" w:cstheme="minorHAnsi"/>
          <w:spacing w:val="-1"/>
        </w:rPr>
        <w:t>0</w:t>
      </w:r>
      <w:r w:rsidRPr="009A0DA6">
        <w:rPr>
          <w:rFonts w:ascii="Cambria" w:eastAsia="Times New Roman" w:hAnsi="Cambria" w:cstheme="minorHAnsi"/>
          <w:spacing w:val="1"/>
        </w:rPr>
        <w:t>,0</w:t>
      </w:r>
      <w:r w:rsidRPr="009A0DA6">
        <w:rPr>
          <w:rFonts w:ascii="Cambria" w:eastAsia="Times New Roman" w:hAnsi="Cambria" w:cstheme="minorHAnsi"/>
          <w:spacing w:val="-1"/>
        </w:rPr>
        <w:t>3</w:t>
      </w:r>
      <w:r w:rsidRPr="009A0DA6">
        <w:rPr>
          <w:rFonts w:ascii="Cambria" w:eastAsia="Times New Roman" w:hAnsi="Cambria" w:cstheme="minorHAnsi"/>
        </w:rPr>
        <w:t>7</w:t>
      </w:r>
      <w:r w:rsidRPr="009A0DA6">
        <w:rPr>
          <w:rFonts w:ascii="Cambria" w:eastAsia="Times New Roman" w:hAnsi="Cambria" w:cstheme="minorHAnsi"/>
        </w:rPr>
        <w:tab/>
        <w:t>3,039,252</w:t>
      </w:r>
    </w:p>
    <w:p w14:paraId="3ABA869E" w14:textId="77777777" w:rsidR="00BA4592" w:rsidRPr="009A0DA6" w:rsidRDefault="00BA4592" w:rsidP="00E87E30">
      <w:pPr>
        <w:tabs>
          <w:tab w:val="center" w:pos="3402"/>
          <w:tab w:val="right" w:pos="5245"/>
          <w:tab w:val="right" w:pos="6946"/>
          <w:tab w:val="right" w:pos="8647"/>
        </w:tabs>
        <w:spacing w:before="120" w:after="120" w:line="240" w:lineRule="auto"/>
        <w:ind w:right="-329"/>
        <w:contextualSpacing/>
        <w:rPr>
          <w:rFonts w:ascii="Cambria" w:eastAsia="Times New Roman" w:hAnsi="Cambria" w:cstheme="minorHAnsi"/>
        </w:rPr>
      </w:pPr>
      <w:r w:rsidRPr="009A0DA6">
        <w:rPr>
          <w:rFonts w:ascii="Cambria" w:eastAsia="Times New Roman" w:hAnsi="Cambria" w:cstheme="minorHAnsi"/>
          <w:spacing w:val="3"/>
        </w:rPr>
        <w:t>T</w:t>
      </w:r>
      <w:r w:rsidRPr="009A0DA6">
        <w:rPr>
          <w:rFonts w:ascii="Cambria" w:eastAsia="Times New Roman" w:hAnsi="Cambria" w:cstheme="minorHAnsi"/>
          <w:spacing w:val="1"/>
        </w:rPr>
        <w:t>r</w:t>
      </w:r>
      <w:r w:rsidRPr="009A0DA6">
        <w:rPr>
          <w:rFonts w:ascii="Cambria" w:eastAsia="Times New Roman" w:hAnsi="Cambria" w:cstheme="minorHAnsi"/>
        </w:rPr>
        <w:t>a</w:t>
      </w:r>
      <w:r w:rsidRPr="009A0DA6">
        <w:rPr>
          <w:rFonts w:ascii="Cambria" w:eastAsia="Times New Roman" w:hAnsi="Cambria" w:cstheme="minorHAnsi"/>
          <w:spacing w:val="-1"/>
        </w:rPr>
        <w:t>nsf</w:t>
      </w:r>
      <w:r w:rsidRPr="009A0DA6">
        <w:rPr>
          <w:rFonts w:ascii="Cambria" w:eastAsia="Times New Roman" w:hAnsi="Cambria" w:cstheme="minorHAnsi"/>
        </w:rPr>
        <w:t>er</w:t>
      </w:r>
      <w:r w:rsidRPr="009A0DA6">
        <w:rPr>
          <w:rFonts w:ascii="Cambria" w:eastAsia="Times New Roman" w:hAnsi="Cambria" w:cstheme="minorHAnsi"/>
          <w:spacing w:val="-6"/>
        </w:rPr>
        <w:t xml:space="preserve"> </w:t>
      </w:r>
      <w:r w:rsidRPr="009A0DA6">
        <w:rPr>
          <w:rFonts w:ascii="Cambria" w:eastAsia="Times New Roman" w:hAnsi="Cambria" w:cstheme="minorHAnsi"/>
        </w:rPr>
        <w:t>F</w:t>
      </w:r>
      <w:r w:rsidRPr="009A0DA6">
        <w:rPr>
          <w:rFonts w:ascii="Cambria" w:eastAsia="Times New Roman" w:hAnsi="Cambria" w:cstheme="minorHAnsi"/>
          <w:spacing w:val="1"/>
        </w:rPr>
        <w:t>u</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rPr>
        <w:tab/>
      </w:r>
      <w:r w:rsidRPr="009A0DA6">
        <w:rPr>
          <w:rFonts w:ascii="Cambria" w:eastAsia="Times New Roman" w:hAnsi="Cambria" w:cstheme="minorHAnsi"/>
        </w:rPr>
        <w:tab/>
      </w:r>
      <w:r w:rsidRPr="009A0DA6">
        <w:rPr>
          <w:rFonts w:ascii="Cambria" w:eastAsia="Times New Roman" w:hAnsi="Cambria" w:cstheme="minorHAnsi"/>
          <w:spacing w:val="1"/>
        </w:rPr>
        <w:t>961,</w:t>
      </w:r>
      <w:r w:rsidRPr="009A0DA6">
        <w:rPr>
          <w:rFonts w:ascii="Cambria" w:eastAsia="Times New Roman" w:hAnsi="Cambria" w:cstheme="minorHAnsi"/>
          <w:spacing w:val="-1"/>
        </w:rPr>
        <w:t>2</w:t>
      </w:r>
      <w:r w:rsidRPr="009A0DA6">
        <w:rPr>
          <w:rFonts w:ascii="Cambria" w:eastAsia="Times New Roman" w:hAnsi="Cambria" w:cstheme="minorHAnsi"/>
          <w:spacing w:val="1"/>
        </w:rPr>
        <w:t>1</w:t>
      </w:r>
      <w:r w:rsidRPr="009A0DA6">
        <w:rPr>
          <w:rFonts w:ascii="Cambria" w:eastAsia="Times New Roman" w:hAnsi="Cambria" w:cstheme="minorHAnsi"/>
        </w:rPr>
        <w:t>5</w:t>
      </w:r>
      <w:r w:rsidRPr="009A0DA6">
        <w:rPr>
          <w:rFonts w:ascii="Cambria" w:eastAsia="Times New Roman" w:hAnsi="Cambria" w:cstheme="minorHAnsi"/>
        </w:rPr>
        <w:tab/>
      </w:r>
      <w:r w:rsidRPr="009A0DA6">
        <w:rPr>
          <w:rFonts w:ascii="Cambria" w:eastAsia="Times New Roman" w:hAnsi="Cambria" w:cstheme="minorHAnsi"/>
          <w:spacing w:val="1"/>
        </w:rPr>
        <w:t>790,</w:t>
      </w:r>
      <w:r w:rsidRPr="009A0DA6">
        <w:rPr>
          <w:rFonts w:ascii="Cambria" w:eastAsia="Times New Roman" w:hAnsi="Cambria" w:cstheme="minorHAnsi"/>
          <w:spacing w:val="-1"/>
        </w:rPr>
        <w:t>5</w:t>
      </w:r>
      <w:r w:rsidRPr="009A0DA6">
        <w:rPr>
          <w:rFonts w:ascii="Cambria" w:eastAsia="Times New Roman" w:hAnsi="Cambria" w:cstheme="minorHAnsi"/>
          <w:spacing w:val="1"/>
        </w:rPr>
        <w:t>2</w:t>
      </w:r>
      <w:r w:rsidRPr="009A0DA6">
        <w:rPr>
          <w:rFonts w:ascii="Cambria" w:eastAsia="Times New Roman" w:hAnsi="Cambria" w:cstheme="minorHAnsi"/>
        </w:rPr>
        <w:t>4</w:t>
      </w:r>
      <w:r w:rsidRPr="009A0DA6">
        <w:rPr>
          <w:rFonts w:ascii="Cambria" w:eastAsia="Times New Roman" w:hAnsi="Cambria" w:cstheme="minorHAnsi"/>
        </w:rPr>
        <w:tab/>
        <w:t>179,458</w:t>
      </w:r>
    </w:p>
    <w:p w14:paraId="20CB3A1C" w14:textId="77777777" w:rsidR="00BA4592" w:rsidRPr="009A0DA6" w:rsidRDefault="00BA4592" w:rsidP="00E87E30">
      <w:pPr>
        <w:tabs>
          <w:tab w:val="center" w:pos="3402"/>
          <w:tab w:val="right" w:pos="5245"/>
          <w:tab w:val="right" w:pos="6946"/>
          <w:tab w:val="right" w:pos="8647"/>
        </w:tabs>
        <w:spacing w:before="120" w:after="120" w:line="240" w:lineRule="auto"/>
        <w:ind w:right="-329"/>
        <w:contextualSpacing/>
        <w:rPr>
          <w:rFonts w:ascii="Cambria" w:eastAsia="Times New Roman" w:hAnsi="Cambria" w:cstheme="minorHAnsi"/>
        </w:rPr>
      </w:pPr>
      <w:r w:rsidRPr="009A0DA6">
        <w:rPr>
          <w:rFonts w:ascii="Cambria" w:eastAsia="Times New Roman" w:hAnsi="Cambria" w:cstheme="minorHAnsi"/>
          <w:spacing w:val="-2"/>
        </w:rPr>
        <w:t>A</w:t>
      </w:r>
      <w:r w:rsidRPr="009A0DA6">
        <w:rPr>
          <w:rFonts w:ascii="Cambria" w:eastAsia="Times New Roman" w:hAnsi="Cambria" w:cstheme="minorHAnsi"/>
        </w:rPr>
        <w:t>ll</w:t>
      </w:r>
      <w:r w:rsidRPr="009A0DA6">
        <w:rPr>
          <w:rFonts w:ascii="Cambria" w:eastAsia="Times New Roman" w:hAnsi="Cambria" w:cstheme="minorHAnsi"/>
          <w:spacing w:val="-3"/>
        </w:rPr>
        <w:t xml:space="preserve"> </w:t>
      </w:r>
      <w:r w:rsidRPr="009A0DA6">
        <w:rPr>
          <w:rFonts w:ascii="Cambria" w:eastAsia="Times New Roman" w:hAnsi="Cambria" w:cstheme="minorHAnsi"/>
          <w:spacing w:val="1"/>
        </w:rPr>
        <w:t>o</w:t>
      </w:r>
      <w:r w:rsidRPr="009A0DA6">
        <w:rPr>
          <w:rFonts w:ascii="Cambria" w:eastAsia="Times New Roman" w:hAnsi="Cambria" w:cstheme="minorHAnsi"/>
          <w:spacing w:val="2"/>
        </w:rPr>
        <w:t>t</w:t>
      </w:r>
      <w:r w:rsidRPr="009A0DA6">
        <w:rPr>
          <w:rFonts w:ascii="Cambria" w:eastAsia="Times New Roman" w:hAnsi="Cambria" w:cstheme="minorHAnsi"/>
          <w:spacing w:val="-1"/>
        </w:rPr>
        <w:t>h</w:t>
      </w:r>
      <w:r w:rsidRPr="009A0DA6">
        <w:rPr>
          <w:rFonts w:ascii="Cambria" w:eastAsia="Times New Roman" w:hAnsi="Cambria" w:cstheme="minorHAnsi"/>
        </w:rPr>
        <w:t>er</w:t>
      </w:r>
      <w:r w:rsidRPr="009A0DA6">
        <w:rPr>
          <w:rFonts w:ascii="Cambria" w:eastAsia="Times New Roman" w:hAnsi="Cambria" w:cstheme="minorHAnsi"/>
          <w:spacing w:val="-3"/>
        </w:rPr>
        <w:t xml:space="preserve"> </w:t>
      </w:r>
      <w:r w:rsidRPr="009A0DA6">
        <w:rPr>
          <w:rFonts w:ascii="Cambria" w:eastAsia="Times New Roman" w:hAnsi="Cambria" w:cstheme="minorHAnsi"/>
        </w:rPr>
        <w:t>i</w:t>
      </w:r>
      <w:r w:rsidRPr="009A0DA6">
        <w:rPr>
          <w:rFonts w:ascii="Cambria" w:eastAsia="Times New Roman" w:hAnsi="Cambria" w:cstheme="minorHAnsi"/>
          <w:spacing w:val="-1"/>
        </w:rPr>
        <w:t>n</w:t>
      </w:r>
      <w:r w:rsidRPr="009A0DA6">
        <w:rPr>
          <w:rFonts w:ascii="Cambria" w:eastAsia="Times New Roman" w:hAnsi="Cambria" w:cstheme="minorHAnsi"/>
        </w:rPr>
        <w:t>c</w:t>
      </w:r>
      <w:r w:rsidRPr="009A0DA6">
        <w:rPr>
          <w:rFonts w:ascii="Cambria" w:eastAsia="Times New Roman" w:hAnsi="Cambria" w:cstheme="minorHAnsi"/>
          <w:spacing w:val="4"/>
        </w:rPr>
        <w:t>o</w:t>
      </w:r>
      <w:r w:rsidRPr="009A0DA6">
        <w:rPr>
          <w:rFonts w:ascii="Cambria" w:eastAsia="Times New Roman" w:hAnsi="Cambria" w:cstheme="minorHAnsi"/>
          <w:spacing w:val="-1"/>
        </w:rPr>
        <w:t>m</w:t>
      </w:r>
      <w:r w:rsidRPr="009A0DA6">
        <w:rPr>
          <w:rFonts w:ascii="Cambria" w:eastAsia="Times New Roman" w:hAnsi="Cambria" w:cstheme="minorHAnsi"/>
        </w:rPr>
        <w:t>e</w:t>
      </w:r>
      <w:r w:rsidRPr="009A0DA6">
        <w:rPr>
          <w:rFonts w:ascii="Cambria" w:eastAsia="Times New Roman" w:hAnsi="Cambria" w:cstheme="minorHAnsi"/>
        </w:rPr>
        <w:tab/>
      </w:r>
      <w:r w:rsidRPr="009A0DA6">
        <w:rPr>
          <w:rFonts w:ascii="Cambria" w:eastAsia="Times New Roman" w:hAnsi="Cambria" w:cstheme="minorHAnsi"/>
        </w:rPr>
        <w:tab/>
      </w:r>
      <w:r w:rsidRPr="009A0DA6">
        <w:rPr>
          <w:rFonts w:ascii="Cambria" w:eastAsia="Times New Roman" w:hAnsi="Cambria" w:cstheme="minorHAnsi"/>
          <w:spacing w:val="1"/>
        </w:rPr>
        <w:t>745,</w:t>
      </w:r>
      <w:r w:rsidRPr="009A0DA6">
        <w:rPr>
          <w:rFonts w:ascii="Cambria" w:eastAsia="Times New Roman" w:hAnsi="Cambria" w:cstheme="minorHAnsi"/>
          <w:spacing w:val="-1"/>
        </w:rPr>
        <w:t>5</w:t>
      </w:r>
      <w:r w:rsidRPr="009A0DA6">
        <w:rPr>
          <w:rFonts w:ascii="Cambria" w:eastAsia="Times New Roman" w:hAnsi="Cambria" w:cstheme="minorHAnsi"/>
          <w:spacing w:val="1"/>
        </w:rPr>
        <w:t>7</w:t>
      </w:r>
      <w:r w:rsidRPr="009A0DA6">
        <w:rPr>
          <w:rFonts w:ascii="Cambria" w:eastAsia="Times New Roman" w:hAnsi="Cambria" w:cstheme="minorHAnsi"/>
        </w:rPr>
        <w:t>8</w:t>
      </w:r>
      <w:r w:rsidRPr="009A0DA6">
        <w:rPr>
          <w:rFonts w:ascii="Cambria" w:eastAsia="Times New Roman" w:hAnsi="Cambria" w:cstheme="minorHAnsi"/>
        </w:rPr>
        <w:tab/>
      </w:r>
      <w:r w:rsidRPr="009A0DA6">
        <w:rPr>
          <w:rFonts w:ascii="Cambria" w:eastAsia="Times New Roman" w:hAnsi="Cambria" w:cstheme="minorHAnsi"/>
          <w:spacing w:val="1"/>
        </w:rPr>
        <w:t>1,14</w:t>
      </w:r>
      <w:r w:rsidRPr="009A0DA6">
        <w:rPr>
          <w:rFonts w:ascii="Cambria" w:eastAsia="Times New Roman" w:hAnsi="Cambria" w:cstheme="minorHAnsi"/>
          <w:spacing w:val="-1"/>
        </w:rPr>
        <w:t>4</w:t>
      </w:r>
      <w:r w:rsidRPr="009A0DA6">
        <w:rPr>
          <w:rFonts w:ascii="Cambria" w:eastAsia="Times New Roman" w:hAnsi="Cambria" w:cstheme="minorHAnsi"/>
          <w:spacing w:val="1"/>
        </w:rPr>
        <w:t>,8</w:t>
      </w:r>
      <w:r w:rsidRPr="009A0DA6">
        <w:rPr>
          <w:rFonts w:ascii="Cambria" w:eastAsia="Times New Roman" w:hAnsi="Cambria" w:cstheme="minorHAnsi"/>
          <w:spacing w:val="-1"/>
        </w:rPr>
        <w:t>3</w:t>
      </w:r>
      <w:r w:rsidRPr="009A0DA6">
        <w:rPr>
          <w:rFonts w:ascii="Cambria" w:eastAsia="Times New Roman" w:hAnsi="Cambria" w:cstheme="minorHAnsi"/>
        </w:rPr>
        <w:t>4</w:t>
      </w:r>
      <w:r w:rsidRPr="009A0DA6">
        <w:rPr>
          <w:rFonts w:ascii="Cambria" w:eastAsia="Times New Roman" w:hAnsi="Cambria" w:cstheme="minorHAnsi"/>
        </w:rPr>
        <w:tab/>
        <w:t>216,377</w:t>
      </w:r>
    </w:p>
    <w:p w14:paraId="2F810E6D" w14:textId="77777777" w:rsidR="00BA4592" w:rsidRPr="009A0DA6" w:rsidRDefault="00BA4592" w:rsidP="00E87E30">
      <w:pPr>
        <w:tabs>
          <w:tab w:val="center" w:pos="3402"/>
          <w:tab w:val="right" w:pos="5245"/>
          <w:tab w:val="right" w:pos="6946"/>
          <w:tab w:val="right" w:pos="8647"/>
        </w:tabs>
        <w:spacing w:before="120" w:after="120" w:line="240" w:lineRule="auto"/>
        <w:ind w:right="-329"/>
        <w:contextualSpacing/>
        <w:rPr>
          <w:rFonts w:ascii="Cambria" w:eastAsia="Times New Roman" w:hAnsi="Cambria" w:cstheme="minorHAnsi"/>
          <w:b/>
        </w:rPr>
      </w:pPr>
      <w:r w:rsidRPr="009A0DA6">
        <w:rPr>
          <w:rFonts w:ascii="Cambria" w:eastAsia="Times New Roman" w:hAnsi="Cambria" w:cstheme="minorHAnsi"/>
          <w:b/>
        </w:rPr>
        <w:tab/>
      </w:r>
      <w:r w:rsidRPr="009A0DA6">
        <w:rPr>
          <w:rFonts w:ascii="Cambria" w:eastAsia="Times New Roman" w:hAnsi="Cambria" w:cstheme="minorHAnsi"/>
          <w:b/>
        </w:rPr>
        <w:tab/>
        <w:t>$</w:t>
      </w:r>
      <w:r w:rsidRPr="009A0DA6">
        <w:rPr>
          <w:rFonts w:ascii="Cambria" w:eastAsia="Times New Roman" w:hAnsi="Cambria" w:cstheme="minorHAnsi"/>
          <w:b/>
          <w:spacing w:val="1"/>
          <w:w w:val="99"/>
        </w:rPr>
        <w:t>8,75</w:t>
      </w:r>
      <w:r w:rsidRPr="009A0DA6">
        <w:rPr>
          <w:rFonts w:ascii="Cambria" w:eastAsia="Times New Roman" w:hAnsi="Cambria" w:cstheme="minorHAnsi"/>
          <w:b/>
          <w:spacing w:val="-1"/>
          <w:w w:val="99"/>
        </w:rPr>
        <w:t>2</w:t>
      </w:r>
      <w:r w:rsidRPr="009A0DA6">
        <w:rPr>
          <w:rFonts w:ascii="Cambria" w:eastAsia="Times New Roman" w:hAnsi="Cambria" w:cstheme="minorHAnsi"/>
          <w:b/>
          <w:spacing w:val="1"/>
          <w:w w:val="99"/>
        </w:rPr>
        <w:t>,4</w:t>
      </w:r>
      <w:r w:rsidRPr="009A0DA6">
        <w:rPr>
          <w:rFonts w:ascii="Cambria" w:eastAsia="Times New Roman" w:hAnsi="Cambria" w:cstheme="minorHAnsi"/>
          <w:b/>
          <w:spacing w:val="-1"/>
          <w:w w:val="99"/>
        </w:rPr>
        <w:t>6</w:t>
      </w:r>
      <w:r w:rsidRPr="009A0DA6">
        <w:rPr>
          <w:rFonts w:ascii="Cambria" w:eastAsia="Times New Roman" w:hAnsi="Cambria" w:cstheme="minorHAnsi"/>
          <w:b/>
          <w:w w:val="99"/>
        </w:rPr>
        <w:t>7</w:t>
      </w:r>
      <w:r w:rsidRPr="009A0DA6">
        <w:rPr>
          <w:rFonts w:ascii="Cambria" w:eastAsia="Times New Roman" w:hAnsi="Cambria" w:cstheme="minorHAnsi"/>
          <w:b/>
        </w:rPr>
        <w:tab/>
        <w:t>$</w:t>
      </w:r>
      <w:r w:rsidRPr="009A0DA6">
        <w:rPr>
          <w:rFonts w:ascii="Cambria" w:eastAsia="Times New Roman" w:hAnsi="Cambria" w:cstheme="minorHAnsi"/>
          <w:b/>
          <w:spacing w:val="1"/>
          <w:w w:val="99"/>
        </w:rPr>
        <w:t>9,51</w:t>
      </w:r>
      <w:r w:rsidRPr="009A0DA6">
        <w:rPr>
          <w:rFonts w:ascii="Cambria" w:eastAsia="Times New Roman" w:hAnsi="Cambria" w:cstheme="minorHAnsi"/>
          <w:b/>
          <w:spacing w:val="-1"/>
          <w:w w:val="99"/>
        </w:rPr>
        <w:t>1</w:t>
      </w:r>
      <w:r w:rsidRPr="009A0DA6">
        <w:rPr>
          <w:rFonts w:ascii="Cambria" w:eastAsia="Times New Roman" w:hAnsi="Cambria" w:cstheme="minorHAnsi"/>
          <w:b/>
          <w:spacing w:val="1"/>
          <w:w w:val="99"/>
        </w:rPr>
        <w:t>,1</w:t>
      </w:r>
      <w:r w:rsidRPr="009A0DA6">
        <w:rPr>
          <w:rFonts w:ascii="Cambria" w:eastAsia="Times New Roman" w:hAnsi="Cambria" w:cstheme="minorHAnsi"/>
          <w:b/>
          <w:spacing w:val="-1"/>
          <w:w w:val="99"/>
        </w:rPr>
        <w:t>9</w:t>
      </w:r>
      <w:r w:rsidRPr="009A0DA6">
        <w:rPr>
          <w:rFonts w:ascii="Cambria" w:eastAsia="Times New Roman" w:hAnsi="Cambria" w:cstheme="minorHAnsi"/>
          <w:b/>
          <w:w w:val="99"/>
        </w:rPr>
        <w:t>3</w:t>
      </w:r>
      <w:r w:rsidRPr="009A0DA6">
        <w:rPr>
          <w:rFonts w:ascii="Cambria" w:eastAsia="Times New Roman" w:hAnsi="Cambria" w:cstheme="minorHAnsi"/>
          <w:b/>
          <w:w w:val="99"/>
        </w:rPr>
        <w:tab/>
        <w:t>$7.416,801</w:t>
      </w:r>
    </w:p>
    <w:p w14:paraId="051345AA" w14:textId="77777777" w:rsidR="00BA4592" w:rsidRPr="009A0DA6" w:rsidRDefault="00BA4592" w:rsidP="00BA4592">
      <w:pPr>
        <w:tabs>
          <w:tab w:val="center" w:pos="4394"/>
          <w:tab w:val="right" w:pos="6095"/>
          <w:tab w:val="right" w:pos="7371"/>
          <w:tab w:val="right" w:pos="8647"/>
        </w:tabs>
        <w:spacing w:before="120" w:after="120" w:line="240" w:lineRule="auto"/>
        <w:ind w:right="-51"/>
        <w:contextualSpacing/>
        <w:rPr>
          <w:rFonts w:ascii="Cambria" w:eastAsia="Times New Roman" w:hAnsi="Cambria" w:cstheme="minorHAnsi"/>
          <w:b/>
        </w:rPr>
      </w:pPr>
      <w:r w:rsidRPr="009A0DA6">
        <w:rPr>
          <w:rFonts w:ascii="Cambria" w:eastAsia="Times New Roman" w:hAnsi="Cambria" w:cstheme="minorHAnsi"/>
          <w:b/>
          <w:spacing w:val="-1"/>
        </w:rPr>
        <w:t>I</w:t>
      </w:r>
      <w:r w:rsidRPr="009A0DA6">
        <w:rPr>
          <w:rFonts w:ascii="Cambria" w:eastAsia="Times New Roman" w:hAnsi="Cambria" w:cstheme="minorHAnsi"/>
          <w:b/>
        </w:rPr>
        <w:t>nc</w:t>
      </w:r>
      <w:r w:rsidRPr="009A0DA6">
        <w:rPr>
          <w:rFonts w:ascii="Cambria" w:eastAsia="Times New Roman" w:hAnsi="Cambria" w:cstheme="minorHAnsi"/>
          <w:b/>
          <w:spacing w:val="4"/>
        </w:rPr>
        <w:t>o</w:t>
      </w:r>
      <w:r w:rsidRPr="009A0DA6">
        <w:rPr>
          <w:rFonts w:ascii="Cambria" w:eastAsia="Times New Roman" w:hAnsi="Cambria" w:cstheme="minorHAnsi"/>
          <w:b/>
          <w:spacing w:val="-3"/>
        </w:rPr>
        <w:t>m</w:t>
      </w:r>
      <w:r w:rsidRPr="009A0DA6">
        <w:rPr>
          <w:rFonts w:ascii="Cambria" w:eastAsia="Times New Roman" w:hAnsi="Cambria" w:cstheme="minorHAnsi"/>
          <w:b/>
        </w:rPr>
        <w:t>e</w:t>
      </w:r>
      <w:r w:rsidRPr="009A0DA6">
        <w:rPr>
          <w:rFonts w:ascii="Cambria" w:eastAsia="Times New Roman" w:hAnsi="Cambria" w:cstheme="minorHAnsi"/>
          <w:b/>
          <w:spacing w:val="28"/>
        </w:rPr>
        <w:t xml:space="preserve"> </w:t>
      </w:r>
      <w:r w:rsidRPr="009A0DA6">
        <w:rPr>
          <w:rFonts w:ascii="Cambria" w:eastAsia="Times New Roman" w:hAnsi="Cambria" w:cstheme="minorHAnsi"/>
          <w:b/>
          <w:spacing w:val="1"/>
          <w:w w:val="119"/>
        </w:rPr>
        <w:t>t</w:t>
      </w:r>
      <w:r w:rsidRPr="009A0DA6">
        <w:rPr>
          <w:rFonts w:ascii="Cambria" w:eastAsia="Times New Roman" w:hAnsi="Cambria" w:cstheme="minorHAnsi"/>
          <w:b/>
          <w:spacing w:val="1"/>
          <w:w w:val="112"/>
        </w:rPr>
        <w:t>a</w:t>
      </w:r>
      <w:r w:rsidRPr="009A0DA6">
        <w:rPr>
          <w:rFonts w:ascii="Cambria" w:eastAsia="Times New Roman" w:hAnsi="Cambria" w:cstheme="minorHAnsi"/>
          <w:b/>
          <w:w w:val="99"/>
        </w:rPr>
        <w:t>x</w:t>
      </w:r>
    </w:p>
    <w:p w14:paraId="4F644AF9" w14:textId="5DF45A06" w:rsidR="00BA4592" w:rsidRPr="009A0DA6" w:rsidRDefault="00BA4592" w:rsidP="00BA4592">
      <w:pPr>
        <w:tabs>
          <w:tab w:val="center" w:pos="4394"/>
          <w:tab w:val="right" w:pos="6095"/>
          <w:tab w:val="right" w:pos="7371"/>
          <w:tab w:val="right" w:pos="8647"/>
        </w:tabs>
        <w:spacing w:before="120" w:after="120" w:line="240" w:lineRule="auto"/>
        <w:ind w:right="-51"/>
        <w:contextualSpacing/>
        <w:rPr>
          <w:rFonts w:ascii="Cambria" w:eastAsia="Times New Roman" w:hAnsi="Cambria" w:cstheme="minorHAnsi"/>
        </w:rPr>
      </w:pPr>
      <w:r w:rsidRPr="009A0DA6">
        <w:rPr>
          <w:rFonts w:ascii="Cambria" w:eastAsia="Times New Roman" w:hAnsi="Cambria" w:cstheme="minorHAnsi"/>
          <w:spacing w:val="3"/>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17"/>
        </w:rPr>
        <w:t xml:space="preserve"> </w:t>
      </w:r>
      <w:r w:rsidR="00336CE0" w:rsidRPr="009A0DA6">
        <w:rPr>
          <w:rFonts w:ascii="Cambria" w:eastAsia="Times New Roman" w:hAnsi="Cambria" w:cstheme="minorHAnsi"/>
          <w:spacing w:val="-1"/>
        </w:rPr>
        <w:t>church</w:t>
      </w:r>
      <w:r w:rsidRPr="009A0DA6">
        <w:rPr>
          <w:rFonts w:ascii="Cambria" w:eastAsia="Times New Roman" w:hAnsi="Cambria" w:cstheme="minorHAnsi"/>
          <w:spacing w:val="15"/>
        </w:rPr>
        <w:t xml:space="preserve"> </w:t>
      </w:r>
      <w:r w:rsidRPr="009A0DA6">
        <w:rPr>
          <w:rFonts w:ascii="Cambria" w:eastAsia="Times New Roman" w:hAnsi="Cambria" w:cstheme="minorHAnsi"/>
        </w:rPr>
        <w:t>is</w:t>
      </w:r>
      <w:r w:rsidRPr="009A0DA6">
        <w:rPr>
          <w:rFonts w:ascii="Cambria" w:eastAsia="Times New Roman" w:hAnsi="Cambria" w:cstheme="minorHAnsi"/>
          <w:spacing w:val="18"/>
        </w:rPr>
        <w:t xml:space="preserve"> </w:t>
      </w:r>
      <w:r w:rsidRPr="009A0DA6">
        <w:rPr>
          <w:rFonts w:ascii="Cambria" w:eastAsia="Times New Roman" w:hAnsi="Cambria" w:cstheme="minorHAnsi"/>
          <w:spacing w:val="3"/>
        </w:rPr>
        <w:t>e</w:t>
      </w:r>
      <w:r w:rsidRPr="009A0DA6">
        <w:rPr>
          <w:rFonts w:ascii="Cambria" w:eastAsia="Times New Roman" w:hAnsi="Cambria" w:cstheme="minorHAnsi"/>
          <w:spacing w:val="-1"/>
        </w:rPr>
        <w:t>x</w:t>
      </w:r>
      <w:r w:rsidRPr="009A0DA6">
        <w:rPr>
          <w:rFonts w:ascii="Cambria" w:eastAsia="Times New Roman" w:hAnsi="Cambria" w:cstheme="minorHAnsi"/>
          <w:spacing w:val="3"/>
        </w:rPr>
        <w:t>e</w:t>
      </w:r>
      <w:r w:rsidRPr="009A0DA6">
        <w:rPr>
          <w:rFonts w:ascii="Cambria" w:eastAsia="Times New Roman" w:hAnsi="Cambria" w:cstheme="minorHAnsi"/>
          <w:spacing w:val="-4"/>
        </w:rPr>
        <w:t>m</w:t>
      </w:r>
      <w:r w:rsidRPr="009A0DA6">
        <w:rPr>
          <w:rFonts w:ascii="Cambria" w:eastAsia="Times New Roman" w:hAnsi="Cambria" w:cstheme="minorHAnsi"/>
          <w:spacing w:val="4"/>
        </w:rPr>
        <w:t>p</w:t>
      </w:r>
      <w:r w:rsidRPr="009A0DA6">
        <w:rPr>
          <w:rFonts w:ascii="Cambria" w:eastAsia="Times New Roman" w:hAnsi="Cambria" w:cstheme="minorHAnsi"/>
        </w:rPr>
        <w:t>t</w:t>
      </w:r>
      <w:r w:rsidRPr="009A0DA6">
        <w:rPr>
          <w:rFonts w:ascii="Cambria" w:eastAsia="Times New Roman" w:hAnsi="Cambria" w:cstheme="minorHAnsi"/>
          <w:spacing w:val="16"/>
        </w:rPr>
        <w:t xml:space="preserve"> </w:t>
      </w:r>
      <w:r w:rsidRPr="009A0DA6">
        <w:rPr>
          <w:rFonts w:ascii="Cambria" w:eastAsia="Times New Roman" w:hAnsi="Cambria" w:cstheme="minorHAnsi"/>
          <w:spacing w:val="-1"/>
        </w:rPr>
        <w:t>f</w:t>
      </w:r>
      <w:r w:rsidRPr="009A0DA6">
        <w:rPr>
          <w:rFonts w:ascii="Cambria" w:eastAsia="Times New Roman" w:hAnsi="Cambria" w:cstheme="minorHAnsi"/>
          <w:spacing w:val="1"/>
        </w:rPr>
        <w:t>r</w:t>
      </w:r>
      <w:r w:rsidRPr="009A0DA6">
        <w:rPr>
          <w:rFonts w:ascii="Cambria" w:eastAsia="Times New Roman" w:hAnsi="Cambria" w:cstheme="minorHAnsi"/>
          <w:spacing w:val="4"/>
        </w:rPr>
        <w:t>o</w:t>
      </w:r>
      <w:r w:rsidRPr="009A0DA6">
        <w:rPr>
          <w:rFonts w:ascii="Cambria" w:eastAsia="Times New Roman" w:hAnsi="Cambria" w:cstheme="minorHAnsi"/>
        </w:rPr>
        <w:t>m</w:t>
      </w:r>
      <w:r w:rsidRPr="009A0DA6">
        <w:rPr>
          <w:rFonts w:ascii="Cambria" w:eastAsia="Times New Roman" w:hAnsi="Cambria" w:cstheme="minorHAnsi"/>
          <w:spacing w:val="12"/>
        </w:rPr>
        <w:t xml:space="preserve"> </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rPr>
        <w:t>c</w:t>
      </w:r>
      <w:r w:rsidRPr="009A0DA6">
        <w:rPr>
          <w:rFonts w:ascii="Cambria" w:eastAsia="Times New Roman" w:hAnsi="Cambria" w:cstheme="minorHAnsi"/>
          <w:spacing w:val="4"/>
        </w:rPr>
        <w:t>o</w:t>
      </w:r>
      <w:r w:rsidRPr="009A0DA6">
        <w:rPr>
          <w:rFonts w:ascii="Cambria" w:eastAsia="Times New Roman" w:hAnsi="Cambria" w:cstheme="minorHAnsi"/>
          <w:spacing w:val="-4"/>
        </w:rPr>
        <w:t>m</w:t>
      </w:r>
      <w:r w:rsidRPr="009A0DA6">
        <w:rPr>
          <w:rFonts w:ascii="Cambria" w:eastAsia="Times New Roman" w:hAnsi="Cambria" w:cstheme="minorHAnsi"/>
        </w:rPr>
        <w:t>e</w:t>
      </w:r>
      <w:r w:rsidRPr="009A0DA6">
        <w:rPr>
          <w:rFonts w:ascii="Cambria" w:eastAsia="Times New Roman" w:hAnsi="Cambria" w:cstheme="minorHAnsi"/>
          <w:spacing w:val="16"/>
        </w:rPr>
        <w:t xml:space="preserve"> </w:t>
      </w:r>
      <w:r w:rsidRPr="009A0DA6">
        <w:rPr>
          <w:rFonts w:ascii="Cambria" w:eastAsia="Times New Roman" w:hAnsi="Cambria" w:cstheme="minorHAnsi"/>
        </w:rPr>
        <w:t>tax</w:t>
      </w:r>
      <w:r w:rsidRPr="009A0DA6">
        <w:rPr>
          <w:rFonts w:ascii="Cambria" w:eastAsia="Times New Roman" w:hAnsi="Cambria" w:cstheme="minorHAnsi"/>
          <w:spacing w:val="19"/>
        </w:rPr>
        <w:t xml:space="preserve"> </w:t>
      </w:r>
      <w:r w:rsidRPr="009A0DA6">
        <w:rPr>
          <w:rFonts w:ascii="Cambria" w:eastAsia="Times New Roman" w:hAnsi="Cambria" w:cstheme="minorHAnsi"/>
          <w:spacing w:val="1"/>
        </w:rPr>
        <w:t>u</w:t>
      </w:r>
      <w:r w:rsidRPr="009A0DA6">
        <w:rPr>
          <w:rFonts w:ascii="Cambria" w:eastAsia="Times New Roman" w:hAnsi="Cambria" w:cstheme="minorHAnsi"/>
          <w:spacing w:val="-1"/>
        </w:rPr>
        <w:t>n</w:t>
      </w:r>
      <w:r w:rsidRPr="009A0DA6">
        <w:rPr>
          <w:rFonts w:ascii="Cambria" w:eastAsia="Times New Roman" w:hAnsi="Cambria" w:cstheme="minorHAnsi"/>
          <w:spacing w:val="1"/>
        </w:rPr>
        <w:t>d</w:t>
      </w:r>
      <w:r w:rsidRPr="009A0DA6">
        <w:rPr>
          <w:rFonts w:ascii="Cambria" w:eastAsia="Times New Roman" w:hAnsi="Cambria" w:cstheme="minorHAnsi"/>
        </w:rPr>
        <w:t>er</w:t>
      </w:r>
      <w:r w:rsidRPr="009A0DA6">
        <w:rPr>
          <w:rFonts w:ascii="Cambria" w:eastAsia="Times New Roman" w:hAnsi="Cambria" w:cstheme="minorHAnsi"/>
          <w:spacing w:val="16"/>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20"/>
        </w:rPr>
        <w:t xml:space="preserve"> </w:t>
      </w:r>
      <w:r w:rsidRPr="009A0DA6">
        <w:rPr>
          <w:rFonts w:ascii="Cambria" w:eastAsia="Times New Roman" w:hAnsi="Cambria" w:cstheme="minorHAnsi"/>
          <w:spacing w:val="1"/>
        </w:rPr>
        <w:t>I</w:t>
      </w:r>
      <w:r w:rsidRPr="009A0DA6">
        <w:rPr>
          <w:rFonts w:ascii="Cambria" w:eastAsia="Times New Roman" w:hAnsi="Cambria" w:cstheme="minorHAnsi"/>
          <w:spacing w:val="-1"/>
        </w:rPr>
        <w:t>n</w:t>
      </w:r>
      <w:r w:rsidRPr="009A0DA6">
        <w:rPr>
          <w:rFonts w:ascii="Cambria" w:eastAsia="Times New Roman" w:hAnsi="Cambria" w:cstheme="minorHAnsi"/>
        </w:rPr>
        <w:t>c</w:t>
      </w:r>
      <w:r w:rsidRPr="009A0DA6">
        <w:rPr>
          <w:rFonts w:ascii="Cambria" w:eastAsia="Times New Roman" w:hAnsi="Cambria" w:cstheme="minorHAnsi"/>
          <w:spacing w:val="4"/>
        </w:rPr>
        <w:t>o</w:t>
      </w:r>
      <w:r w:rsidRPr="009A0DA6">
        <w:rPr>
          <w:rFonts w:ascii="Cambria" w:eastAsia="Times New Roman" w:hAnsi="Cambria" w:cstheme="minorHAnsi"/>
          <w:spacing w:val="-4"/>
        </w:rPr>
        <w:t>m</w:t>
      </w:r>
      <w:r w:rsidRPr="009A0DA6">
        <w:rPr>
          <w:rFonts w:ascii="Cambria" w:eastAsia="Times New Roman" w:hAnsi="Cambria" w:cstheme="minorHAnsi"/>
        </w:rPr>
        <w:t>e</w:t>
      </w:r>
      <w:r w:rsidRPr="009A0DA6">
        <w:rPr>
          <w:rFonts w:ascii="Cambria" w:eastAsia="Times New Roman" w:hAnsi="Cambria" w:cstheme="minorHAnsi"/>
          <w:spacing w:val="19"/>
        </w:rPr>
        <w:t xml:space="preserve"> </w:t>
      </w:r>
      <w:r w:rsidRPr="009A0DA6">
        <w:rPr>
          <w:rFonts w:ascii="Cambria" w:eastAsia="Times New Roman" w:hAnsi="Cambria" w:cstheme="minorHAnsi"/>
          <w:spacing w:val="3"/>
        </w:rPr>
        <w:t>T</w:t>
      </w:r>
      <w:r w:rsidRPr="009A0DA6">
        <w:rPr>
          <w:rFonts w:ascii="Cambria" w:eastAsia="Times New Roman" w:hAnsi="Cambria" w:cstheme="minorHAnsi"/>
        </w:rPr>
        <w:t>ax</w:t>
      </w:r>
      <w:r w:rsidRPr="009A0DA6">
        <w:rPr>
          <w:rFonts w:ascii="Cambria" w:eastAsia="Times New Roman" w:hAnsi="Cambria" w:cstheme="minorHAnsi"/>
          <w:spacing w:val="15"/>
        </w:rPr>
        <w:t xml:space="preserve"> </w:t>
      </w:r>
      <w:r w:rsidRPr="009A0DA6">
        <w:rPr>
          <w:rFonts w:ascii="Cambria" w:eastAsia="Times New Roman" w:hAnsi="Cambria" w:cstheme="minorHAnsi"/>
          <w:spacing w:val="-2"/>
        </w:rPr>
        <w:t>A</w:t>
      </w:r>
      <w:r w:rsidRPr="009A0DA6">
        <w:rPr>
          <w:rFonts w:ascii="Cambria" w:eastAsia="Times New Roman" w:hAnsi="Cambria" w:cstheme="minorHAnsi"/>
          <w:spacing w:val="2"/>
        </w:rPr>
        <w:t>s</w:t>
      </w:r>
      <w:r w:rsidRPr="009A0DA6">
        <w:rPr>
          <w:rFonts w:ascii="Cambria" w:eastAsia="Times New Roman" w:hAnsi="Cambria" w:cstheme="minorHAnsi"/>
          <w:spacing w:val="-1"/>
        </w:rPr>
        <w:t>s</w:t>
      </w:r>
      <w:r w:rsidRPr="009A0DA6">
        <w:rPr>
          <w:rFonts w:ascii="Cambria" w:eastAsia="Times New Roman" w:hAnsi="Cambria" w:cstheme="minorHAnsi"/>
        </w:rPr>
        <w:t>e</w:t>
      </w:r>
      <w:r w:rsidRPr="009A0DA6">
        <w:rPr>
          <w:rFonts w:ascii="Cambria" w:eastAsia="Times New Roman" w:hAnsi="Cambria" w:cstheme="minorHAnsi"/>
          <w:spacing w:val="2"/>
        </w:rPr>
        <w:t>ss</w:t>
      </w:r>
      <w:r w:rsidRPr="009A0DA6">
        <w:rPr>
          <w:rFonts w:ascii="Cambria" w:eastAsia="Times New Roman" w:hAnsi="Cambria" w:cstheme="minorHAnsi"/>
          <w:spacing w:val="-1"/>
        </w:rPr>
        <w:t>m</w:t>
      </w:r>
      <w:r w:rsidRPr="009A0DA6">
        <w:rPr>
          <w:rFonts w:ascii="Cambria" w:eastAsia="Times New Roman" w:hAnsi="Cambria" w:cstheme="minorHAnsi"/>
        </w:rPr>
        <w:t>e</w:t>
      </w:r>
      <w:r w:rsidRPr="009A0DA6">
        <w:rPr>
          <w:rFonts w:ascii="Cambria" w:eastAsia="Times New Roman" w:hAnsi="Cambria" w:cstheme="minorHAnsi"/>
          <w:spacing w:val="-1"/>
        </w:rPr>
        <w:t>n</w:t>
      </w:r>
      <w:r w:rsidRPr="009A0DA6">
        <w:rPr>
          <w:rFonts w:ascii="Cambria" w:eastAsia="Times New Roman" w:hAnsi="Cambria" w:cstheme="minorHAnsi"/>
        </w:rPr>
        <w:t>t</w:t>
      </w:r>
      <w:r w:rsidRPr="009A0DA6">
        <w:rPr>
          <w:rFonts w:ascii="Cambria" w:eastAsia="Times New Roman" w:hAnsi="Cambria" w:cstheme="minorHAnsi"/>
          <w:spacing w:val="15"/>
        </w:rPr>
        <w:t xml:space="preserve"> </w:t>
      </w:r>
      <w:r w:rsidRPr="009A0DA6">
        <w:rPr>
          <w:rFonts w:ascii="Cambria" w:eastAsia="Times New Roman" w:hAnsi="Cambria" w:cstheme="minorHAnsi"/>
          <w:spacing w:val="-2"/>
        </w:rPr>
        <w:t>A</w:t>
      </w:r>
      <w:r w:rsidRPr="009A0DA6">
        <w:rPr>
          <w:rFonts w:ascii="Cambria" w:eastAsia="Times New Roman" w:hAnsi="Cambria" w:cstheme="minorHAnsi"/>
        </w:rPr>
        <w:t>ct,</w:t>
      </w:r>
      <w:r w:rsidRPr="009A0DA6">
        <w:rPr>
          <w:rFonts w:ascii="Cambria" w:eastAsia="Times New Roman" w:hAnsi="Cambria" w:cstheme="minorHAnsi"/>
          <w:spacing w:val="17"/>
        </w:rPr>
        <w:t xml:space="preserve"> </w:t>
      </w:r>
      <w:r w:rsidRPr="009A0DA6">
        <w:rPr>
          <w:rFonts w:ascii="Cambria" w:eastAsia="Times New Roman" w:hAnsi="Cambria" w:cstheme="minorHAnsi"/>
          <w:spacing w:val="1"/>
        </w:rPr>
        <w:t>193</w:t>
      </w:r>
      <w:r w:rsidRPr="009A0DA6">
        <w:rPr>
          <w:rFonts w:ascii="Cambria" w:eastAsia="Times New Roman" w:hAnsi="Cambria" w:cstheme="minorHAnsi"/>
        </w:rPr>
        <w:t>6</w:t>
      </w:r>
      <w:r w:rsidRPr="009A0DA6">
        <w:rPr>
          <w:rFonts w:ascii="Cambria" w:eastAsia="Times New Roman" w:hAnsi="Cambria" w:cstheme="minorHAnsi"/>
          <w:spacing w:val="17"/>
        </w:rPr>
        <w:t xml:space="preserve"> </w:t>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spacing w:val="18"/>
        </w:rPr>
        <w:t xml:space="preserve"> </w:t>
      </w:r>
      <w:r w:rsidRPr="009A0DA6">
        <w:rPr>
          <w:rFonts w:ascii="Cambria" w:eastAsia="Times New Roman" w:hAnsi="Cambria" w:cstheme="minorHAnsi"/>
          <w:spacing w:val="1"/>
        </w:rPr>
        <w:t>I</w:t>
      </w:r>
      <w:r w:rsidRPr="009A0DA6">
        <w:rPr>
          <w:rFonts w:ascii="Cambria" w:eastAsia="Times New Roman" w:hAnsi="Cambria" w:cstheme="minorHAnsi"/>
          <w:spacing w:val="-1"/>
        </w:rPr>
        <w:t>n</w:t>
      </w:r>
      <w:r w:rsidRPr="009A0DA6">
        <w:rPr>
          <w:rFonts w:ascii="Cambria" w:eastAsia="Times New Roman" w:hAnsi="Cambria" w:cstheme="minorHAnsi"/>
        </w:rPr>
        <w:t>c</w:t>
      </w:r>
      <w:r w:rsidRPr="009A0DA6">
        <w:rPr>
          <w:rFonts w:ascii="Cambria" w:eastAsia="Times New Roman" w:hAnsi="Cambria" w:cstheme="minorHAnsi"/>
          <w:spacing w:val="4"/>
        </w:rPr>
        <w:t>o</w:t>
      </w:r>
      <w:r w:rsidRPr="009A0DA6">
        <w:rPr>
          <w:rFonts w:ascii="Cambria" w:eastAsia="Times New Roman" w:hAnsi="Cambria" w:cstheme="minorHAnsi"/>
          <w:spacing w:val="-1"/>
        </w:rPr>
        <w:t>m</w:t>
      </w:r>
      <w:r w:rsidRPr="009A0DA6">
        <w:rPr>
          <w:rFonts w:ascii="Cambria" w:eastAsia="Times New Roman" w:hAnsi="Cambria" w:cstheme="minorHAnsi"/>
        </w:rPr>
        <w:t xml:space="preserve">e </w:t>
      </w:r>
      <w:r w:rsidRPr="009A0DA6">
        <w:rPr>
          <w:rFonts w:ascii="Cambria" w:eastAsia="Times New Roman" w:hAnsi="Cambria" w:cstheme="minorHAnsi"/>
          <w:spacing w:val="3"/>
        </w:rPr>
        <w:t>T</w:t>
      </w:r>
      <w:r w:rsidRPr="009A0DA6">
        <w:rPr>
          <w:rFonts w:ascii="Cambria" w:eastAsia="Times New Roman" w:hAnsi="Cambria" w:cstheme="minorHAnsi"/>
        </w:rPr>
        <w:t>ax</w:t>
      </w:r>
      <w:r w:rsidRPr="009A0DA6">
        <w:rPr>
          <w:rFonts w:ascii="Cambria" w:eastAsia="Times New Roman" w:hAnsi="Cambria" w:cstheme="minorHAnsi"/>
          <w:spacing w:val="-4"/>
        </w:rPr>
        <w:t xml:space="preserve"> </w:t>
      </w:r>
      <w:r w:rsidRPr="009A0DA6">
        <w:rPr>
          <w:rFonts w:ascii="Cambria" w:eastAsia="Times New Roman" w:hAnsi="Cambria" w:cstheme="minorHAnsi"/>
          <w:spacing w:val="-2"/>
        </w:rPr>
        <w:t>A</w:t>
      </w:r>
      <w:r w:rsidRPr="009A0DA6">
        <w:rPr>
          <w:rFonts w:ascii="Cambria" w:eastAsia="Times New Roman" w:hAnsi="Cambria" w:cstheme="minorHAnsi"/>
          <w:spacing w:val="-1"/>
        </w:rPr>
        <w:t>ss</w:t>
      </w:r>
      <w:r w:rsidRPr="009A0DA6">
        <w:rPr>
          <w:rFonts w:ascii="Cambria" w:eastAsia="Times New Roman" w:hAnsi="Cambria" w:cstheme="minorHAnsi"/>
          <w:spacing w:val="3"/>
        </w:rPr>
        <w:t>e</w:t>
      </w:r>
      <w:r w:rsidRPr="009A0DA6">
        <w:rPr>
          <w:rFonts w:ascii="Cambria" w:eastAsia="Times New Roman" w:hAnsi="Cambria" w:cstheme="minorHAnsi"/>
          <w:spacing w:val="-1"/>
        </w:rPr>
        <w:t>s</w:t>
      </w:r>
      <w:r w:rsidRPr="009A0DA6">
        <w:rPr>
          <w:rFonts w:ascii="Cambria" w:eastAsia="Times New Roman" w:hAnsi="Cambria" w:cstheme="minorHAnsi"/>
          <w:spacing w:val="2"/>
        </w:rPr>
        <w:t>s</w:t>
      </w:r>
      <w:r w:rsidRPr="009A0DA6">
        <w:rPr>
          <w:rFonts w:ascii="Cambria" w:eastAsia="Times New Roman" w:hAnsi="Cambria" w:cstheme="minorHAnsi"/>
          <w:spacing w:val="-1"/>
        </w:rPr>
        <w:t>m</w:t>
      </w:r>
      <w:r w:rsidRPr="009A0DA6">
        <w:rPr>
          <w:rFonts w:ascii="Cambria" w:eastAsia="Times New Roman" w:hAnsi="Cambria" w:cstheme="minorHAnsi"/>
          <w:spacing w:val="3"/>
        </w:rPr>
        <w:t>e</w:t>
      </w:r>
      <w:r w:rsidRPr="009A0DA6">
        <w:rPr>
          <w:rFonts w:ascii="Cambria" w:eastAsia="Times New Roman" w:hAnsi="Cambria" w:cstheme="minorHAnsi"/>
          <w:spacing w:val="-1"/>
        </w:rPr>
        <w:t>n</w:t>
      </w:r>
      <w:r w:rsidRPr="009A0DA6">
        <w:rPr>
          <w:rFonts w:ascii="Cambria" w:eastAsia="Times New Roman" w:hAnsi="Cambria" w:cstheme="minorHAnsi"/>
        </w:rPr>
        <w:t>t</w:t>
      </w:r>
      <w:r w:rsidRPr="009A0DA6">
        <w:rPr>
          <w:rFonts w:ascii="Cambria" w:eastAsia="Times New Roman" w:hAnsi="Cambria" w:cstheme="minorHAnsi"/>
          <w:spacing w:val="-6"/>
        </w:rPr>
        <w:t xml:space="preserve"> </w:t>
      </w:r>
      <w:r w:rsidRPr="009A0DA6">
        <w:rPr>
          <w:rFonts w:ascii="Cambria" w:eastAsia="Times New Roman" w:hAnsi="Cambria" w:cstheme="minorHAnsi"/>
          <w:spacing w:val="-2"/>
        </w:rPr>
        <w:t>A</w:t>
      </w:r>
      <w:r w:rsidRPr="009A0DA6">
        <w:rPr>
          <w:rFonts w:ascii="Cambria" w:eastAsia="Times New Roman" w:hAnsi="Cambria" w:cstheme="minorHAnsi"/>
        </w:rPr>
        <w:t>ct,</w:t>
      </w:r>
      <w:r w:rsidRPr="009A0DA6">
        <w:rPr>
          <w:rFonts w:ascii="Cambria" w:eastAsia="Times New Roman" w:hAnsi="Cambria" w:cstheme="minorHAnsi"/>
          <w:spacing w:val="-2"/>
        </w:rPr>
        <w:t xml:space="preserve"> </w:t>
      </w:r>
      <w:r w:rsidRPr="009A0DA6">
        <w:rPr>
          <w:rFonts w:ascii="Cambria" w:eastAsia="Times New Roman" w:hAnsi="Cambria" w:cstheme="minorHAnsi"/>
          <w:spacing w:val="1"/>
        </w:rPr>
        <w:t>199</w:t>
      </w:r>
      <w:r w:rsidRPr="009A0DA6">
        <w:rPr>
          <w:rFonts w:ascii="Cambria" w:eastAsia="Times New Roman" w:hAnsi="Cambria" w:cstheme="minorHAnsi"/>
        </w:rPr>
        <w:t>7</w:t>
      </w:r>
      <w:r w:rsidRPr="009A0DA6">
        <w:rPr>
          <w:rFonts w:ascii="Cambria" w:eastAsia="Times New Roman" w:hAnsi="Cambria" w:cstheme="minorHAnsi"/>
          <w:spacing w:val="-2"/>
        </w:rPr>
        <w:t xml:space="preserve"> </w:t>
      </w:r>
      <w:r w:rsidRPr="009A0DA6">
        <w:rPr>
          <w:rFonts w:ascii="Cambria" w:eastAsia="Times New Roman" w:hAnsi="Cambria" w:cstheme="minorHAnsi"/>
        </w:rPr>
        <w:t>as</w:t>
      </w:r>
      <w:r w:rsidRPr="009A0DA6">
        <w:rPr>
          <w:rFonts w:ascii="Cambria" w:eastAsia="Times New Roman" w:hAnsi="Cambria" w:cstheme="minorHAnsi"/>
          <w:spacing w:val="-2"/>
        </w:rPr>
        <w:t xml:space="preserve"> </w:t>
      </w:r>
      <w:r w:rsidRPr="009A0DA6">
        <w:rPr>
          <w:rFonts w:ascii="Cambria" w:eastAsia="Times New Roman" w:hAnsi="Cambria" w:cstheme="minorHAnsi"/>
          <w:spacing w:val="3"/>
        </w:rPr>
        <w:t>a</w:t>
      </w:r>
      <w:r w:rsidRPr="009A0DA6">
        <w:rPr>
          <w:rFonts w:ascii="Cambria" w:eastAsia="Times New Roman" w:hAnsi="Cambria" w:cstheme="minorHAnsi"/>
          <w:spacing w:val="-4"/>
        </w:rPr>
        <w:t>m</w:t>
      </w:r>
      <w:r w:rsidRPr="009A0DA6">
        <w:rPr>
          <w:rFonts w:ascii="Cambria" w:eastAsia="Times New Roman" w:hAnsi="Cambria" w:cstheme="minorHAnsi"/>
        </w:rPr>
        <w:t>e</w:t>
      </w:r>
      <w:r w:rsidRPr="009A0DA6">
        <w:rPr>
          <w:rFonts w:ascii="Cambria" w:eastAsia="Times New Roman" w:hAnsi="Cambria" w:cstheme="minorHAnsi"/>
          <w:spacing w:val="-1"/>
        </w:rPr>
        <w:t>n</w:t>
      </w:r>
      <w:r w:rsidRPr="009A0DA6">
        <w:rPr>
          <w:rFonts w:ascii="Cambria" w:eastAsia="Times New Roman" w:hAnsi="Cambria" w:cstheme="minorHAnsi"/>
          <w:spacing w:val="1"/>
        </w:rPr>
        <w:t>d</w:t>
      </w:r>
      <w:r w:rsidRPr="009A0DA6">
        <w:rPr>
          <w:rFonts w:ascii="Cambria" w:eastAsia="Times New Roman" w:hAnsi="Cambria" w:cstheme="minorHAnsi"/>
        </w:rPr>
        <w:t>e</w:t>
      </w:r>
      <w:r w:rsidRPr="009A0DA6">
        <w:rPr>
          <w:rFonts w:ascii="Cambria" w:eastAsia="Times New Roman" w:hAnsi="Cambria" w:cstheme="minorHAnsi"/>
          <w:spacing w:val="1"/>
        </w:rPr>
        <w:t>d</w:t>
      </w:r>
      <w:r w:rsidRPr="009A0DA6">
        <w:rPr>
          <w:rFonts w:ascii="Cambria" w:eastAsia="Times New Roman" w:hAnsi="Cambria" w:cstheme="minorHAnsi"/>
        </w:rPr>
        <w:t>.</w:t>
      </w:r>
    </w:p>
    <w:p w14:paraId="5458D068" w14:textId="77777777" w:rsidR="00B81951" w:rsidRPr="007408EE" w:rsidRDefault="00B81951" w:rsidP="00BA4592">
      <w:pPr>
        <w:tabs>
          <w:tab w:val="center" w:pos="4394"/>
          <w:tab w:val="right" w:pos="6095"/>
          <w:tab w:val="right" w:pos="7371"/>
          <w:tab w:val="right" w:pos="8647"/>
        </w:tabs>
        <w:spacing w:before="120" w:after="120" w:line="240" w:lineRule="auto"/>
        <w:ind w:right="-51"/>
        <w:contextualSpacing/>
        <w:rPr>
          <w:rFonts w:ascii="Cambria" w:eastAsia="Times New Roman" w:hAnsi="Cambria" w:cstheme="minorHAnsi"/>
          <w:i/>
          <w:sz w:val="2"/>
        </w:rPr>
      </w:pPr>
    </w:p>
    <w:p w14:paraId="559CFF7B" w14:textId="6145F870" w:rsidR="00BA4592" w:rsidRPr="009A0DA6" w:rsidRDefault="00BA4592" w:rsidP="00B81951">
      <w:pPr>
        <w:pStyle w:val="NoSpacing"/>
        <w:rPr>
          <w:b/>
        </w:rPr>
      </w:pPr>
      <w:r w:rsidRPr="009A0DA6">
        <w:rPr>
          <w:b/>
        </w:rPr>
        <w:t>Cash assets</w:t>
      </w:r>
    </w:p>
    <w:p w14:paraId="03020766" w14:textId="3336AD9B" w:rsidR="00BA4592" w:rsidRPr="009A0DA6" w:rsidRDefault="00BA4592" w:rsidP="00BA4592">
      <w:pPr>
        <w:tabs>
          <w:tab w:val="center" w:pos="4394"/>
          <w:tab w:val="right" w:pos="6095"/>
          <w:tab w:val="right" w:pos="7371"/>
          <w:tab w:val="right" w:pos="8647"/>
        </w:tabs>
        <w:spacing w:before="120" w:after="120" w:line="240" w:lineRule="auto"/>
        <w:ind w:right="-51"/>
        <w:contextualSpacing/>
        <w:rPr>
          <w:rFonts w:ascii="Cambria" w:eastAsia="Times New Roman" w:hAnsi="Cambria" w:cstheme="minorHAnsi"/>
        </w:rPr>
      </w:pPr>
      <w:r w:rsidRPr="009A0DA6">
        <w:rPr>
          <w:rFonts w:ascii="Cambria" w:eastAsia="Times New Roman" w:hAnsi="Cambria" w:cstheme="minorHAnsi"/>
          <w:spacing w:val="3"/>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3"/>
        </w:rPr>
        <w:t xml:space="preserve"> </w:t>
      </w:r>
      <w:r w:rsidR="00336CE0" w:rsidRPr="009A0DA6">
        <w:rPr>
          <w:rFonts w:ascii="Cambria" w:eastAsia="Times New Roman" w:hAnsi="Cambria" w:cstheme="minorHAnsi"/>
          <w:spacing w:val="-1"/>
        </w:rPr>
        <w:t>church</w:t>
      </w:r>
      <w:r w:rsidRPr="009A0DA6">
        <w:rPr>
          <w:rFonts w:ascii="Cambria" w:eastAsia="Times New Roman" w:hAnsi="Cambria" w:cstheme="minorHAnsi"/>
          <w:spacing w:val="1"/>
        </w:rPr>
        <w:t xml:space="preserve"> </w:t>
      </w:r>
      <w:r w:rsidRPr="009A0DA6">
        <w:rPr>
          <w:rFonts w:ascii="Cambria" w:eastAsia="Times New Roman" w:hAnsi="Cambria" w:cstheme="minorHAnsi"/>
          <w:spacing w:val="-1"/>
        </w:rPr>
        <w:t>h</w:t>
      </w:r>
      <w:r w:rsidRPr="009A0DA6">
        <w:rPr>
          <w:rFonts w:ascii="Cambria" w:eastAsia="Times New Roman" w:hAnsi="Cambria" w:cstheme="minorHAnsi"/>
          <w:spacing w:val="1"/>
        </w:rPr>
        <w:t>o</w:t>
      </w:r>
      <w:r w:rsidRPr="009A0DA6">
        <w:rPr>
          <w:rFonts w:ascii="Cambria" w:eastAsia="Times New Roman" w:hAnsi="Cambria" w:cstheme="minorHAnsi"/>
        </w:rPr>
        <w:t>l</w:t>
      </w:r>
      <w:r w:rsidRPr="009A0DA6">
        <w:rPr>
          <w:rFonts w:ascii="Cambria" w:eastAsia="Times New Roman" w:hAnsi="Cambria" w:cstheme="minorHAnsi"/>
          <w:spacing w:val="1"/>
        </w:rPr>
        <w:t>d</w:t>
      </w:r>
      <w:r w:rsidRPr="009A0DA6">
        <w:rPr>
          <w:rFonts w:ascii="Cambria" w:eastAsia="Times New Roman" w:hAnsi="Cambria" w:cstheme="minorHAnsi"/>
        </w:rPr>
        <w:t>s</w:t>
      </w:r>
      <w:r w:rsidRPr="009A0DA6">
        <w:rPr>
          <w:rFonts w:ascii="Cambria" w:eastAsia="Times New Roman" w:hAnsi="Cambria" w:cstheme="minorHAnsi"/>
          <w:spacing w:val="1"/>
        </w:rPr>
        <w:t xml:space="preserve"> </w:t>
      </w:r>
      <w:r w:rsidRPr="009A0DA6">
        <w:rPr>
          <w:rFonts w:ascii="Cambria" w:eastAsia="Times New Roman" w:hAnsi="Cambria" w:cstheme="minorHAnsi"/>
        </w:rPr>
        <w:t>its</w:t>
      </w:r>
      <w:r w:rsidRPr="009A0DA6">
        <w:rPr>
          <w:rFonts w:ascii="Cambria" w:eastAsia="Times New Roman" w:hAnsi="Cambria" w:cstheme="minorHAnsi"/>
          <w:spacing w:val="3"/>
        </w:rPr>
        <w:t xml:space="preserve"> </w:t>
      </w:r>
      <w:r w:rsidRPr="009A0DA6">
        <w:rPr>
          <w:rFonts w:ascii="Cambria" w:eastAsia="Times New Roman" w:hAnsi="Cambria" w:cstheme="minorHAnsi"/>
        </w:rPr>
        <w:t>c</w:t>
      </w:r>
      <w:r w:rsidRPr="009A0DA6">
        <w:rPr>
          <w:rFonts w:ascii="Cambria" w:eastAsia="Times New Roman" w:hAnsi="Cambria" w:cstheme="minorHAnsi"/>
          <w:spacing w:val="3"/>
        </w:rPr>
        <w:t>a</w:t>
      </w:r>
      <w:r w:rsidRPr="009A0DA6">
        <w:rPr>
          <w:rFonts w:ascii="Cambria" w:eastAsia="Times New Roman" w:hAnsi="Cambria" w:cstheme="minorHAnsi"/>
          <w:spacing w:val="-1"/>
        </w:rPr>
        <w:t>s</w:t>
      </w:r>
      <w:r w:rsidRPr="009A0DA6">
        <w:rPr>
          <w:rFonts w:ascii="Cambria" w:eastAsia="Times New Roman" w:hAnsi="Cambria" w:cstheme="minorHAnsi"/>
        </w:rPr>
        <w:t>h</w:t>
      </w:r>
      <w:r w:rsidRPr="009A0DA6">
        <w:rPr>
          <w:rFonts w:ascii="Cambria" w:eastAsia="Times New Roman" w:hAnsi="Cambria" w:cstheme="minorHAnsi"/>
          <w:spacing w:val="2"/>
        </w:rPr>
        <w:t xml:space="preserve"> </w:t>
      </w:r>
      <w:r w:rsidRPr="009A0DA6">
        <w:rPr>
          <w:rFonts w:ascii="Cambria" w:eastAsia="Times New Roman" w:hAnsi="Cambria" w:cstheme="minorHAnsi"/>
          <w:spacing w:val="3"/>
        </w:rPr>
        <w:t>a</w:t>
      </w:r>
      <w:r w:rsidRPr="009A0DA6">
        <w:rPr>
          <w:rFonts w:ascii="Cambria" w:eastAsia="Times New Roman" w:hAnsi="Cambria" w:cstheme="minorHAnsi"/>
          <w:spacing w:val="-1"/>
        </w:rPr>
        <w:t>s</w:t>
      </w:r>
      <w:r w:rsidRPr="009A0DA6">
        <w:rPr>
          <w:rFonts w:ascii="Cambria" w:eastAsia="Times New Roman" w:hAnsi="Cambria" w:cstheme="minorHAnsi"/>
          <w:spacing w:val="2"/>
        </w:rPr>
        <w:t>s</w:t>
      </w:r>
      <w:r w:rsidRPr="009A0DA6">
        <w:rPr>
          <w:rFonts w:ascii="Cambria" w:eastAsia="Times New Roman" w:hAnsi="Cambria" w:cstheme="minorHAnsi"/>
        </w:rPr>
        <w:t>ets in</w:t>
      </w:r>
      <w:r w:rsidRPr="009A0DA6">
        <w:rPr>
          <w:rFonts w:ascii="Cambria" w:eastAsia="Times New Roman" w:hAnsi="Cambria" w:cstheme="minorHAnsi"/>
          <w:spacing w:val="4"/>
        </w:rPr>
        <w:t xml:space="preserve"> </w:t>
      </w:r>
      <w:r w:rsidRPr="009A0DA6">
        <w:rPr>
          <w:rFonts w:ascii="Cambria" w:eastAsia="Times New Roman" w:hAnsi="Cambria" w:cstheme="minorHAnsi"/>
        </w:rPr>
        <w:t>a</w:t>
      </w:r>
      <w:r w:rsidRPr="009A0DA6">
        <w:rPr>
          <w:rFonts w:ascii="Cambria" w:eastAsia="Times New Roman" w:hAnsi="Cambria" w:cstheme="minorHAnsi"/>
          <w:spacing w:val="5"/>
        </w:rPr>
        <w:t xml:space="preserve"> </w:t>
      </w:r>
      <w:r w:rsidRPr="009A0DA6">
        <w:rPr>
          <w:rFonts w:ascii="Cambria" w:eastAsia="Times New Roman" w:hAnsi="Cambria" w:cstheme="minorHAnsi"/>
          <w:spacing w:val="3"/>
        </w:rPr>
        <w:t>c</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1"/>
        </w:rPr>
        <w:t>q</w:t>
      </w:r>
      <w:r w:rsidRPr="009A0DA6">
        <w:rPr>
          <w:rFonts w:ascii="Cambria" w:eastAsia="Times New Roman" w:hAnsi="Cambria" w:cstheme="minorHAnsi"/>
          <w:spacing w:val="-1"/>
        </w:rPr>
        <w:t>u</w:t>
      </w:r>
      <w:r w:rsidRPr="009A0DA6">
        <w:rPr>
          <w:rFonts w:ascii="Cambria" w:eastAsia="Times New Roman" w:hAnsi="Cambria" w:cstheme="minorHAnsi"/>
        </w:rPr>
        <w:t>e acc</w:t>
      </w:r>
      <w:r w:rsidRPr="009A0DA6">
        <w:rPr>
          <w:rFonts w:ascii="Cambria" w:eastAsia="Times New Roman" w:hAnsi="Cambria" w:cstheme="minorHAnsi"/>
          <w:spacing w:val="4"/>
        </w:rPr>
        <w:t>o</w:t>
      </w:r>
      <w:r w:rsidRPr="009A0DA6">
        <w:rPr>
          <w:rFonts w:ascii="Cambria" w:eastAsia="Times New Roman" w:hAnsi="Cambria" w:cstheme="minorHAnsi"/>
          <w:spacing w:val="-1"/>
        </w:rPr>
        <w:t>un</w:t>
      </w:r>
      <w:r w:rsidRPr="009A0DA6">
        <w:rPr>
          <w:rFonts w:ascii="Cambria" w:eastAsia="Times New Roman" w:hAnsi="Cambria" w:cstheme="minorHAnsi"/>
        </w:rPr>
        <w:t>t</w:t>
      </w:r>
      <w:r w:rsidRPr="009A0DA6">
        <w:rPr>
          <w:rFonts w:ascii="Cambria" w:eastAsia="Times New Roman" w:hAnsi="Cambria" w:cstheme="minorHAnsi"/>
          <w:spacing w:val="4"/>
        </w:rPr>
        <w:t xml:space="preserve"> </w:t>
      </w:r>
      <w:r w:rsidRPr="009A0DA6">
        <w:rPr>
          <w:rFonts w:ascii="Cambria" w:eastAsia="Times New Roman" w:hAnsi="Cambria" w:cstheme="minorHAnsi"/>
          <w:spacing w:val="-2"/>
        </w:rPr>
        <w:t>w</w:t>
      </w:r>
      <w:r w:rsidRPr="009A0DA6">
        <w:rPr>
          <w:rFonts w:ascii="Cambria" w:eastAsia="Times New Roman" w:hAnsi="Cambria" w:cstheme="minorHAnsi"/>
        </w:rPr>
        <w:t>i</w:t>
      </w:r>
      <w:r w:rsidRPr="009A0DA6">
        <w:rPr>
          <w:rFonts w:ascii="Cambria" w:eastAsia="Times New Roman" w:hAnsi="Cambria" w:cstheme="minorHAnsi"/>
          <w:spacing w:val="2"/>
        </w:rPr>
        <w:t>t</w:t>
      </w:r>
      <w:r w:rsidRPr="009A0DA6">
        <w:rPr>
          <w:rFonts w:ascii="Cambria" w:eastAsia="Times New Roman" w:hAnsi="Cambria" w:cstheme="minorHAnsi"/>
        </w:rPr>
        <w:t>h</w:t>
      </w:r>
      <w:r w:rsidRPr="009A0DA6">
        <w:rPr>
          <w:rFonts w:ascii="Cambria" w:eastAsia="Times New Roman" w:hAnsi="Cambria" w:cstheme="minorHAnsi"/>
          <w:spacing w:val="4"/>
        </w:rPr>
        <w:t xml:space="preserve"> </w:t>
      </w:r>
      <w:r w:rsidRPr="009A0DA6">
        <w:rPr>
          <w:rFonts w:ascii="Cambria" w:eastAsia="Times New Roman" w:hAnsi="Cambria" w:cstheme="minorHAnsi"/>
          <w:spacing w:val="-2"/>
        </w:rPr>
        <w:t>A</w:t>
      </w:r>
      <w:r w:rsidRPr="009A0DA6">
        <w:rPr>
          <w:rFonts w:ascii="Cambria" w:eastAsia="Times New Roman" w:hAnsi="Cambria" w:cstheme="minorHAnsi"/>
          <w:spacing w:val="3"/>
        </w:rPr>
        <w:t>N</w:t>
      </w:r>
      <w:r w:rsidRPr="009A0DA6">
        <w:rPr>
          <w:rFonts w:ascii="Cambria" w:eastAsia="Times New Roman" w:hAnsi="Cambria" w:cstheme="minorHAnsi"/>
        </w:rPr>
        <w:t xml:space="preserve">Z </w:t>
      </w:r>
      <w:r w:rsidRPr="009A0DA6">
        <w:rPr>
          <w:rFonts w:ascii="Cambria" w:eastAsia="Times New Roman" w:hAnsi="Cambria" w:cstheme="minorHAnsi"/>
          <w:spacing w:val="2"/>
        </w:rPr>
        <w:t>B</w:t>
      </w:r>
      <w:r w:rsidRPr="009A0DA6">
        <w:rPr>
          <w:rFonts w:ascii="Cambria" w:eastAsia="Times New Roman" w:hAnsi="Cambria" w:cstheme="minorHAnsi"/>
          <w:spacing w:val="3"/>
        </w:rPr>
        <w:t>a</w:t>
      </w:r>
      <w:r w:rsidRPr="009A0DA6">
        <w:rPr>
          <w:rFonts w:ascii="Cambria" w:eastAsia="Times New Roman" w:hAnsi="Cambria" w:cstheme="minorHAnsi"/>
          <w:spacing w:val="-1"/>
        </w:rPr>
        <w:t>n</w:t>
      </w:r>
      <w:r w:rsidRPr="009A0DA6">
        <w:rPr>
          <w:rFonts w:ascii="Cambria" w:eastAsia="Times New Roman" w:hAnsi="Cambria" w:cstheme="minorHAnsi"/>
        </w:rPr>
        <w:t>k</w:t>
      </w:r>
      <w:r w:rsidRPr="009A0DA6">
        <w:rPr>
          <w:rFonts w:ascii="Cambria" w:eastAsia="Times New Roman" w:hAnsi="Cambria" w:cstheme="minorHAnsi"/>
          <w:spacing w:val="3"/>
        </w:rPr>
        <w:t xml:space="preserve"> </w:t>
      </w:r>
      <w:r w:rsidRPr="009A0DA6">
        <w:rPr>
          <w:rFonts w:ascii="Cambria" w:eastAsia="Times New Roman" w:hAnsi="Cambria" w:cstheme="minorHAnsi"/>
          <w:spacing w:val="-2"/>
        </w:rPr>
        <w:t>L</w:t>
      </w:r>
      <w:r w:rsidRPr="009A0DA6">
        <w:rPr>
          <w:rFonts w:ascii="Cambria" w:eastAsia="Times New Roman" w:hAnsi="Cambria" w:cstheme="minorHAnsi"/>
        </w:rPr>
        <w:t>td</w:t>
      </w:r>
      <w:r w:rsidRPr="009A0DA6">
        <w:rPr>
          <w:rFonts w:ascii="Cambria" w:eastAsia="Times New Roman" w:hAnsi="Cambria" w:cstheme="minorHAnsi"/>
          <w:spacing w:val="4"/>
        </w:rPr>
        <w:t xml:space="preserve"> </w:t>
      </w:r>
      <w:r w:rsidRPr="009A0DA6">
        <w:rPr>
          <w:rFonts w:ascii="Cambria" w:eastAsia="Times New Roman" w:hAnsi="Cambria" w:cstheme="minorHAnsi"/>
        </w:rPr>
        <w:t>t</w:t>
      </w:r>
      <w:r w:rsidRPr="009A0DA6">
        <w:rPr>
          <w:rFonts w:ascii="Cambria" w:eastAsia="Times New Roman" w:hAnsi="Cambria" w:cstheme="minorHAnsi"/>
          <w:spacing w:val="1"/>
        </w:rPr>
        <w:t>o</w:t>
      </w:r>
      <w:r w:rsidRPr="009A0DA6">
        <w:rPr>
          <w:rFonts w:ascii="Cambria" w:eastAsia="Times New Roman" w:hAnsi="Cambria" w:cstheme="minorHAnsi"/>
          <w:spacing w:val="-1"/>
        </w:rPr>
        <w:t>g</w:t>
      </w:r>
      <w:r w:rsidRPr="009A0DA6">
        <w:rPr>
          <w:rFonts w:ascii="Cambria" w:eastAsia="Times New Roman" w:hAnsi="Cambria" w:cstheme="minorHAnsi"/>
          <w:spacing w:val="3"/>
        </w:rPr>
        <w:t>e</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er</w:t>
      </w:r>
      <w:r w:rsidRPr="009A0DA6">
        <w:rPr>
          <w:rFonts w:ascii="Cambria" w:eastAsia="Times New Roman" w:hAnsi="Cambria" w:cstheme="minorHAnsi"/>
          <w:spacing w:val="3"/>
        </w:rPr>
        <w:t xml:space="preserve"> </w:t>
      </w:r>
      <w:r w:rsidRPr="009A0DA6">
        <w:rPr>
          <w:rFonts w:ascii="Cambria" w:eastAsia="Times New Roman" w:hAnsi="Cambria" w:cstheme="minorHAnsi"/>
          <w:spacing w:val="-2"/>
        </w:rPr>
        <w:t>w</w:t>
      </w:r>
      <w:r w:rsidRPr="009A0DA6">
        <w:rPr>
          <w:rFonts w:ascii="Cambria" w:eastAsia="Times New Roman" w:hAnsi="Cambria" w:cstheme="minorHAnsi"/>
        </w:rPr>
        <w:t>i</w:t>
      </w:r>
      <w:r w:rsidRPr="009A0DA6">
        <w:rPr>
          <w:rFonts w:ascii="Cambria" w:eastAsia="Times New Roman" w:hAnsi="Cambria" w:cstheme="minorHAnsi"/>
          <w:spacing w:val="2"/>
        </w:rPr>
        <w:t>t</w:t>
      </w:r>
      <w:r w:rsidRPr="009A0DA6">
        <w:rPr>
          <w:rFonts w:ascii="Cambria" w:eastAsia="Times New Roman" w:hAnsi="Cambria" w:cstheme="minorHAnsi"/>
        </w:rPr>
        <w:t>h</w:t>
      </w:r>
      <w:r w:rsidRPr="009A0DA6">
        <w:rPr>
          <w:rFonts w:ascii="Cambria" w:eastAsia="Times New Roman" w:hAnsi="Cambria" w:cstheme="minorHAnsi"/>
          <w:spacing w:val="4"/>
        </w:rPr>
        <w:t xml:space="preserve"> </w:t>
      </w:r>
      <w:r w:rsidRPr="009A0DA6">
        <w:rPr>
          <w:rFonts w:ascii="Cambria" w:eastAsia="Times New Roman" w:hAnsi="Cambria" w:cstheme="minorHAnsi"/>
          <w:spacing w:val="-1"/>
        </w:rPr>
        <w:t>n</w:t>
      </w:r>
      <w:r w:rsidRPr="009A0DA6">
        <w:rPr>
          <w:rFonts w:ascii="Cambria" w:eastAsia="Times New Roman" w:hAnsi="Cambria" w:cstheme="minorHAnsi"/>
          <w:spacing w:val="1"/>
        </w:rPr>
        <w:t>u</w:t>
      </w:r>
      <w:r w:rsidRPr="009A0DA6">
        <w:rPr>
          <w:rFonts w:ascii="Cambria" w:eastAsia="Times New Roman" w:hAnsi="Cambria" w:cstheme="minorHAnsi"/>
          <w:spacing w:val="-1"/>
        </w:rPr>
        <w:t>m</w:t>
      </w:r>
      <w:r w:rsidRPr="009A0DA6">
        <w:rPr>
          <w:rFonts w:ascii="Cambria" w:eastAsia="Times New Roman" w:hAnsi="Cambria" w:cstheme="minorHAnsi"/>
        </w:rPr>
        <w:t>e</w:t>
      </w:r>
      <w:r w:rsidRPr="009A0DA6">
        <w:rPr>
          <w:rFonts w:ascii="Cambria" w:eastAsia="Times New Roman" w:hAnsi="Cambria" w:cstheme="minorHAnsi"/>
          <w:spacing w:val="1"/>
        </w:rPr>
        <w:t>rou</w:t>
      </w:r>
      <w:r w:rsidRPr="009A0DA6">
        <w:rPr>
          <w:rFonts w:ascii="Cambria" w:eastAsia="Times New Roman" w:hAnsi="Cambria" w:cstheme="minorHAnsi"/>
        </w:rPr>
        <w:t>s acc</w:t>
      </w:r>
      <w:r w:rsidRPr="009A0DA6">
        <w:rPr>
          <w:rFonts w:ascii="Cambria" w:eastAsia="Times New Roman" w:hAnsi="Cambria" w:cstheme="minorHAnsi"/>
          <w:spacing w:val="1"/>
        </w:rPr>
        <w:t>o</w:t>
      </w:r>
      <w:r w:rsidRPr="009A0DA6">
        <w:rPr>
          <w:rFonts w:ascii="Cambria" w:eastAsia="Times New Roman" w:hAnsi="Cambria" w:cstheme="minorHAnsi"/>
          <w:spacing w:val="-1"/>
        </w:rPr>
        <w:t>un</w:t>
      </w:r>
      <w:r w:rsidRPr="009A0DA6">
        <w:rPr>
          <w:rFonts w:ascii="Cambria" w:eastAsia="Times New Roman" w:hAnsi="Cambria" w:cstheme="minorHAnsi"/>
          <w:spacing w:val="2"/>
        </w:rPr>
        <w:t>t</w:t>
      </w:r>
      <w:r w:rsidRPr="009A0DA6">
        <w:rPr>
          <w:rFonts w:ascii="Cambria" w:eastAsia="Times New Roman" w:hAnsi="Cambria" w:cstheme="minorHAnsi"/>
        </w:rPr>
        <w:t>s</w:t>
      </w:r>
      <w:r w:rsidRPr="009A0DA6">
        <w:rPr>
          <w:rFonts w:ascii="Cambria" w:eastAsia="Times New Roman" w:hAnsi="Cambria" w:cstheme="minorHAnsi"/>
          <w:spacing w:val="-5"/>
        </w:rPr>
        <w:t xml:space="preserve"> </w:t>
      </w:r>
      <w:r w:rsidRPr="009A0DA6">
        <w:rPr>
          <w:rFonts w:ascii="Cambria" w:eastAsia="Times New Roman" w:hAnsi="Cambria" w:cstheme="minorHAnsi"/>
          <w:spacing w:val="-2"/>
        </w:rPr>
        <w:t>w</w:t>
      </w:r>
      <w:r w:rsidRPr="009A0DA6">
        <w:rPr>
          <w:rFonts w:ascii="Cambria" w:eastAsia="Times New Roman" w:hAnsi="Cambria" w:cstheme="minorHAnsi"/>
        </w:rPr>
        <w:t>i</w:t>
      </w:r>
      <w:r w:rsidRPr="009A0DA6">
        <w:rPr>
          <w:rFonts w:ascii="Cambria" w:eastAsia="Times New Roman" w:hAnsi="Cambria" w:cstheme="minorHAnsi"/>
          <w:spacing w:val="2"/>
        </w:rPr>
        <w:t>t</w:t>
      </w:r>
      <w:r w:rsidRPr="009A0DA6">
        <w:rPr>
          <w:rFonts w:ascii="Cambria" w:eastAsia="Times New Roman" w:hAnsi="Cambria" w:cstheme="minorHAnsi"/>
        </w:rPr>
        <w:t>h</w:t>
      </w:r>
      <w:r w:rsidRPr="009A0DA6">
        <w:rPr>
          <w:rFonts w:ascii="Cambria" w:eastAsia="Times New Roman" w:hAnsi="Cambria" w:cstheme="minorHAnsi"/>
          <w:spacing w:val="-5"/>
        </w:rPr>
        <w:t xml:space="preserve"> </w:t>
      </w:r>
      <w:r w:rsidRPr="009A0DA6">
        <w:rPr>
          <w:rFonts w:ascii="Cambria" w:eastAsia="Times New Roman" w:hAnsi="Cambria" w:cstheme="minorHAnsi"/>
          <w:spacing w:val="2"/>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1"/>
        </w:rPr>
        <w:t xml:space="preserve"> L</w:t>
      </w:r>
      <w:r w:rsidRPr="009A0DA6">
        <w:rPr>
          <w:rFonts w:ascii="Cambria" w:eastAsia="Times New Roman" w:hAnsi="Cambria" w:cstheme="minorHAnsi"/>
          <w:spacing w:val="-1"/>
        </w:rPr>
        <w:t>u</w:t>
      </w:r>
      <w:r w:rsidRPr="009A0DA6">
        <w:rPr>
          <w:rFonts w:ascii="Cambria" w:eastAsia="Times New Roman" w:hAnsi="Cambria" w:cstheme="minorHAnsi"/>
          <w:spacing w:val="2"/>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1"/>
        </w:rPr>
        <w:t>r</w:t>
      </w:r>
      <w:r w:rsidRPr="009A0DA6">
        <w:rPr>
          <w:rFonts w:ascii="Cambria" w:eastAsia="Times New Roman" w:hAnsi="Cambria" w:cstheme="minorHAnsi"/>
        </w:rPr>
        <w:t>an</w:t>
      </w:r>
      <w:r w:rsidRPr="009A0DA6">
        <w:rPr>
          <w:rFonts w:ascii="Cambria" w:eastAsia="Times New Roman" w:hAnsi="Cambria" w:cstheme="minorHAnsi"/>
          <w:spacing w:val="-5"/>
        </w:rPr>
        <w:t xml:space="preserve"> </w:t>
      </w:r>
      <w:r w:rsidRPr="009A0DA6">
        <w:rPr>
          <w:rFonts w:ascii="Cambria" w:eastAsia="Times New Roman" w:hAnsi="Cambria" w:cstheme="minorHAnsi"/>
          <w:spacing w:val="-2"/>
        </w:rPr>
        <w:t>L</w:t>
      </w:r>
      <w:r w:rsidRPr="009A0DA6">
        <w:rPr>
          <w:rFonts w:ascii="Cambria" w:eastAsia="Times New Roman" w:hAnsi="Cambria" w:cstheme="minorHAnsi"/>
          <w:spacing w:val="3"/>
        </w:rPr>
        <w:t>a</w:t>
      </w:r>
      <w:r w:rsidRPr="009A0DA6">
        <w:rPr>
          <w:rFonts w:ascii="Cambria" w:eastAsia="Times New Roman" w:hAnsi="Cambria" w:cstheme="minorHAnsi"/>
          <w:spacing w:val="-4"/>
        </w:rPr>
        <w:t>y</w:t>
      </w:r>
      <w:r w:rsidRPr="009A0DA6">
        <w:rPr>
          <w:rFonts w:ascii="Cambria" w:eastAsia="Times New Roman" w:hAnsi="Cambria" w:cstheme="minorHAnsi"/>
          <w:spacing w:val="1"/>
        </w:rPr>
        <w:t>p</w:t>
      </w:r>
      <w:r w:rsidRPr="009A0DA6">
        <w:rPr>
          <w:rFonts w:ascii="Cambria" w:eastAsia="Times New Roman" w:hAnsi="Cambria" w:cstheme="minorHAnsi"/>
        </w:rPr>
        <w:t>e</w:t>
      </w:r>
      <w:r w:rsidRPr="009A0DA6">
        <w:rPr>
          <w:rFonts w:ascii="Cambria" w:eastAsia="Times New Roman" w:hAnsi="Cambria" w:cstheme="minorHAnsi"/>
          <w:spacing w:val="1"/>
        </w:rPr>
        <w:t>op</w:t>
      </w:r>
      <w:r w:rsidRPr="009A0DA6">
        <w:rPr>
          <w:rFonts w:ascii="Cambria" w:eastAsia="Times New Roman" w:hAnsi="Cambria" w:cstheme="minorHAnsi"/>
        </w:rPr>
        <w:t>l</w:t>
      </w:r>
      <w:r w:rsidRPr="009A0DA6">
        <w:rPr>
          <w:rFonts w:ascii="Cambria" w:eastAsia="Times New Roman" w:hAnsi="Cambria" w:cstheme="minorHAnsi"/>
          <w:spacing w:val="3"/>
        </w:rPr>
        <w:t>e</w:t>
      </w:r>
      <w:r w:rsidRPr="009A0DA6">
        <w:rPr>
          <w:rFonts w:ascii="Cambria" w:eastAsia="Times New Roman" w:hAnsi="Cambria" w:cstheme="minorHAnsi"/>
          <w:spacing w:val="-1"/>
        </w:rPr>
        <w:t>’</w:t>
      </w:r>
      <w:r w:rsidRPr="009A0DA6">
        <w:rPr>
          <w:rFonts w:ascii="Cambria" w:eastAsia="Times New Roman" w:hAnsi="Cambria" w:cstheme="minorHAnsi"/>
        </w:rPr>
        <w:t>s</w:t>
      </w:r>
      <w:r w:rsidRPr="009A0DA6">
        <w:rPr>
          <w:rFonts w:ascii="Cambria" w:eastAsia="Times New Roman" w:hAnsi="Cambria" w:cstheme="minorHAnsi"/>
          <w:spacing w:val="-8"/>
        </w:rPr>
        <w:t xml:space="preserve"> </w:t>
      </w:r>
      <w:r w:rsidRPr="009A0DA6">
        <w:rPr>
          <w:rFonts w:ascii="Cambria" w:eastAsia="Times New Roman" w:hAnsi="Cambria" w:cstheme="minorHAnsi"/>
          <w:spacing w:val="-2"/>
        </w:rPr>
        <w:t>L</w:t>
      </w:r>
      <w:r w:rsidRPr="009A0DA6">
        <w:rPr>
          <w:rFonts w:ascii="Cambria" w:eastAsia="Times New Roman" w:hAnsi="Cambria" w:cstheme="minorHAnsi"/>
        </w:rPr>
        <w:t>e</w:t>
      </w:r>
      <w:r w:rsidRPr="009A0DA6">
        <w:rPr>
          <w:rFonts w:ascii="Cambria" w:eastAsia="Times New Roman" w:hAnsi="Cambria" w:cstheme="minorHAnsi"/>
          <w:spacing w:val="3"/>
        </w:rPr>
        <w:t>a</w:t>
      </w:r>
      <w:r w:rsidRPr="009A0DA6">
        <w:rPr>
          <w:rFonts w:ascii="Cambria" w:eastAsia="Times New Roman" w:hAnsi="Cambria" w:cstheme="minorHAnsi"/>
          <w:spacing w:val="-1"/>
        </w:rPr>
        <w:t>gu</w:t>
      </w:r>
      <w:r w:rsidRPr="009A0DA6">
        <w:rPr>
          <w:rFonts w:ascii="Cambria" w:eastAsia="Times New Roman" w:hAnsi="Cambria" w:cstheme="minorHAnsi"/>
        </w:rPr>
        <w:t>e</w:t>
      </w:r>
      <w:r w:rsidRPr="009A0DA6">
        <w:rPr>
          <w:rFonts w:ascii="Cambria" w:eastAsia="Times New Roman" w:hAnsi="Cambria" w:cstheme="minorHAnsi"/>
          <w:spacing w:val="-3"/>
        </w:rPr>
        <w:t xml:space="preserve"> </w:t>
      </w:r>
      <w:r w:rsidRPr="009A0DA6">
        <w:rPr>
          <w:rFonts w:ascii="Cambria" w:eastAsia="Times New Roman" w:hAnsi="Cambria" w:cstheme="minorHAnsi"/>
          <w:spacing w:val="1"/>
        </w:rPr>
        <w:t>o</w:t>
      </w:r>
      <w:r w:rsidRPr="009A0DA6">
        <w:rPr>
          <w:rFonts w:ascii="Cambria" w:eastAsia="Times New Roman" w:hAnsi="Cambria" w:cstheme="minorHAnsi"/>
        </w:rPr>
        <w:t>f</w:t>
      </w:r>
      <w:r w:rsidRPr="009A0DA6">
        <w:rPr>
          <w:rFonts w:ascii="Cambria" w:eastAsia="Times New Roman" w:hAnsi="Cambria" w:cstheme="minorHAnsi"/>
          <w:spacing w:val="-1"/>
        </w:rPr>
        <w:t xml:space="preserve"> </w:t>
      </w:r>
      <w:r w:rsidRPr="009A0DA6">
        <w:rPr>
          <w:rFonts w:ascii="Cambria" w:eastAsia="Times New Roman" w:hAnsi="Cambria" w:cstheme="minorHAnsi"/>
        </w:rPr>
        <w:t>A</w:t>
      </w:r>
      <w:r w:rsidRPr="009A0DA6">
        <w:rPr>
          <w:rFonts w:ascii="Cambria" w:eastAsia="Times New Roman" w:hAnsi="Cambria" w:cstheme="minorHAnsi"/>
          <w:spacing w:val="-1"/>
        </w:rPr>
        <w:t>u</w:t>
      </w:r>
      <w:r w:rsidRPr="009A0DA6">
        <w:rPr>
          <w:rFonts w:ascii="Cambria" w:eastAsia="Times New Roman" w:hAnsi="Cambria" w:cstheme="minorHAnsi"/>
          <w:spacing w:val="2"/>
        </w:rPr>
        <w:t>s</w:t>
      </w:r>
      <w:r w:rsidRPr="009A0DA6">
        <w:rPr>
          <w:rFonts w:ascii="Cambria" w:eastAsia="Times New Roman" w:hAnsi="Cambria" w:cstheme="minorHAnsi"/>
        </w:rPr>
        <w:t>t</w:t>
      </w:r>
      <w:r w:rsidRPr="009A0DA6">
        <w:rPr>
          <w:rFonts w:ascii="Cambria" w:eastAsia="Times New Roman" w:hAnsi="Cambria" w:cstheme="minorHAnsi"/>
          <w:spacing w:val="1"/>
        </w:rPr>
        <w:t>r</w:t>
      </w:r>
      <w:r w:rsidRPr="009A0DA6">
        <w:rPr>
          <w:rFonts w:ascii="Cambria" w:eastAsia="Times New Roman" w:hAnsi="Cambria" w:cstheme="minorHAnsi"/>
        </w:rPr>
        <w:t>alia</w:t>
      </w:r>
      <w:r w:rsidRPr="009A0DA6">
        <w:rPr>
          <w:rFonts w:ascii="Cambria" w:eastAsia="Times New Roman" w:hAnsi="Cambria" w:cstheme="minorHAnsi"/>
          <w:spacing w:val="-4"/>
        </w:rPr>
        <w:t xml:space="preserve"> </w:t>
      </w:r>
      <w:r w:rsidRPr="009A0DA6">
        <w:rPr>
          <w:rFonts w:ascii="Cambria" w:eastAsia="Times New Roman" w:hAnsi="Cambria" w:cstheme="minorHAnsi"/>
          <w:spacing w:val="1"/>
        </w:rPr>
        <w:t>I</w:t>
      </w:r>
      <w:r w:rsidRPr="009A0DA6">
        <w:rPr>
          <w:rFonts w:ascii="Cambria" w:eastAsia="Times New Roman" w:hAnsi="Cambria" w:cstheme="minorHAnsi"/>
          <w:spacing w:val="-1"/>
        </w:rPr>
        <w:t>n</w:t>
      </w:r>
      <w:r w:rsidRPr="009A0DA6">
        <w:rPr>
          <w:rFonts w:ascii="Cambria" w:eastAsia="Times New Roman" w:hAnsi="Cambria" w:cstheme="minorHAnsi"/>
        </w:rPr>
        <w:t>c</w:t>
      </w:r>
      <w:r w:rsidRPr="009A0DA6">
        <w:rPr>
          <w:rFonts w:ascii="Cambria" w:eastAsia="Times New Roman" w:hAnsi="Cambria" w:cstheme="minorHAnsi"/>
          <w:spacing w:val="1"/>
        </w:rPr>
        <w:t>orpor</w:t>
      </w:r>
      <w:r w:rsidRPr="009A0DA6">
        <w:rPr>
          <w:rFonts w:ascii="Cambria" w:eastAsia="Times New Roman" w:hAnsi="Cambria" w:cstheme="minorHAnsi"/>
        </w:rPr>
        <w:t>ate</w:t>
      </w:r>
      <w:r w:rsidRPr="009A0DA6">
        <w:rPr>
          <w:rFonts w:ascii="Cambria" w:eastAsia="Times New Roman" w:hAnsi="Cambria" w:cstheme="minorHAnsi"/>
          <w:spacing w:val="1"/>
        </w:rPr>
        <w:t>d</w:t>
      </w:r>
      <w:r w:rsidRPr="009A0DA6">
        <w:rPr>
          <w:rFonts w:ascii="Cambria" w:eastAsia="Times New Roman" w:hAnsi="Cambria" w:cstheme="minorHAnsi"/>
        </w:rPr>
        <w:t>.</w:t>
      </w:r>
      <w:r w:rsidRPr="009A0DA6">
        <w:rPr>
          <w:rFonts w:ascii="Cambria" w:eastAsia="Times New Roman" w:hAnsi="Cambria" w:cstheme="minorHAnsi"/>
          <w:spacing w:val="-12"/>
        </w:rPr>
        <w:t xml:space="preserve"> </w:t>
      </w:r>
      <w:r w:rsidRPr="009A0DA6">
        <w:rPr>
          <w:rFonts w:ascii="Cambria" w:eastAsia="Times New Roman" w:hAnsi="Cambria" w:cstheme="minorHAnsi"/>
          <w:spacing w:val="3"/>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1"/>
        </w:rPr>
        <w:t>s</w:t>
      </w:r>
      <w:r w:rsidRPr="009A0DA6">
        <w:rPr>
          <w:rFonts w:ascii="Cambria" w:eastAsia="Times New Roman" w:hAnsi="Cambria" w:cstheme="minorHAnsi"/>
        </w:rPr>
        <w:t>e</w:t>
      </w:r>
      <w:r w:rsidRPr="009A0DA6">
        <w:rPr>
          <w:rFonts w:ascii="Cambria" w:eastAsia="Times New Roman" w:hAnsi="Cambria" w:cstheme="minorHAnsi"/>
          <w:spacing w:val="-2"/>
        </w:rPr>
        <w:t xml:space="preserve"> </w:t>
      </w:r>
      <w:r w:rsidRPr="009A0DA6">
        <w:rPr>
          <w:rFonts w:ascii="Cambria" w:eastAsia="Times New Roman" w:hAnsi="Cambria" w:cstheme="minorHAnsi"/>
          <w:spacing w:val="-4"/>
        </w:rPr>
        <w:t>m</w:t>
      </w:r>
      <w:r w:rsidRPr="009A0DA6">
        <w:rPr>
          <w:rFonts w:ascii="Cambria" w:eastAsia="Times New Roman" w:hAnsi="Cambria" w:cstheme="minorHAnsi"/>
          <w:spacing w:val="1"/>
        </w:rPr>
        <w:t>o</w:t>
      </w:r>
      <w:r w:rsidRPr="009A0DA6">
        <w:rPr>
          <w:rFonts w:ascii="Cambria" w:eastAsia="Times New Roman" w:hAnsi="Cambria" w:cstheme="minorHAnsi"/>
          <w:spacing w:val="-1"/>
        </w:rPr>
        <w:t>n</w:t>
      </w:r>
      <w:r w:rsidRPr="009A0DA6">
        <w:rPr>
          <w:rFonts w:ascii="Cambria" w:eastAsia="Times New Roman" w:hAnsi="Cambria" w:cstheme="minorHAnsi"/>
          <w:spacing w:val="3"/>
        </w:rPr>
        <w:t>e</w:t>
      </w:r>
      <w:r w:rsidRPr="009A0DA6">
        <w:rPr>
          <w:rFonts w:ascii="Cambria" w:eastAsia="Times New Roman" w:hAnsi="Cambria" w:cstheme="minorHAnsi"/>
          <w:spacing w:val="-1"/>
        </w:rPr>
        <w:t>y</w:t>
      </w:r>
      <w:r w:rsidRPr="009A0DA6">
        <w:rPr>
          <w:rFonts w:ascii="Cambria" w:eastAsia="Times New Roman" w:hAnsi="Cambria" w:cstheme="minorHAnsi"/>
        </w:rPr>
        <w:t>s</w:t>
      </w:r>
      <w:r w:rsidRPr="009A0DA6">
        <w:rPr>
          <w:rFonts w:ascii="Cambria" w:eastAsia="Times New Roman" w:hAnsi="Cambria" w:cstheme="minorHAnsi"/>
          <w:spacing w:val="-1"/>
        </w:rPr>
        <w:t xml:space="preserve"> </w:t>
      </w:r>
      <w:r w:rsidRPr="009A0DA6">
        <w:rPr>
          <w:rFonts w:ascii="Cambria" w:eastAsia="Times New Roman" w:hAnsi="Cambria" w:cstheme="minorHAnsi"/>
        </w:rPr>
        <w:t>a</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1"/>
        </w:rPr>
        <w:t xml:space="preserve"> </w:t>
      </w:r>
      <w:r w:rsidRPr="009A0DA6">
        <w:rPr>
          <w:rFonts w:ascii="Cambria" w:eastAsia="Times New Roman" w:hAnsi="Cambria" w:cstheme="minorHAnsi"/>
        </w:rPr>
        <w:t>la</w:t>
      </w:r>
      <w:r w:rsidRPr="009A0DA6">
        <w:rPr>
          <w:rFonts w:ascii="Cambria" w:eastAsia="Times New Roman" w:hAnsi="Cambria" w:cstheme="minorHAnsi"/>
          <w:spacing w:val="1"/>
        </w:rPr>
        <w:t>r</w:t>
      </w:r>
      <w:r w:rsidRPr="009A0DA6">
        <w:rPr>
          <w:rFonts w:ascii="Cambria" w:eastAsia="Times New Roman" w:hAnsi="Cambria" w:cstheme="minorHAnsi"/>
          <w:spacing w:val="-1"/>
        </w:rPr>
        <w:t>g</w:t>
      </w:r>
      <w:r w:rsidRPr="009A0DA6">
        <w:rPr>
          <w:rFonts w:ascii="Cambria" w:eastAsia="Times New Roman" w:hAnsi="Cambria" w:cstheme="minorHAnsi"/>
        </w:rPr>
        <w:t>e</w:t>
      </w:r>
      <w:r w:rsidRPr="009A0DA6">
        <w:rPr>
          <w:rFonts w:ascii="Cambria" w:eastAsia="Times New Roman" w:hAnsi="Cambria" w:cstheme="minorHAnsi"/>
          <w:spacing w:val="2"/>
        </w:rPr>
        <w:t>l</w:t>
      </w:r>
      <w:r w:rsidRPr="009A0DA6">
        <w:rPr>
          <w:rFonts w:ascii="Cambria" w:eastAsia="Times New Roman" w:hAnsi="Cambria" w:cstheme="minorHAnsi"/>
        </w:rPr>
        <w:t>y c</w:t>
      </w:r>
      <w:r w:rsidRPr="009A0DA6">
        <w:rPr>
          <w:rFonts w:ascii="Cambria" w:eastAsia="Times New Roman" w:hAnsi="Cambria" w:cstheme="minorHAnsi"/>
          <w:spacing w:val="1"/>
        </w:rPr>
        <w:t>o</w:t>
      </w:r>
      <w:r w:rsidRPr="009A0DA6">
        <w:rPr>
          <w:rFonts w:ascii="Cambria" w:eastAsia="Times New Roman" w:hAnsi="Cambria" w:cstheme="minorHAnsi"/>
          <w:spacing w:val="-1"/>
        </w:rPr>
        <w:t>mm</w:t>
      </w:r>
      <w:r w:rsidRPr="009A0DA6">
        <w:rPr>
          <w:rFonts w:ascii="Cambria" w:eastAsia="Times New Roman" w:hAnsi="Cambria" w:cstheme="minorHAnsi"/>
          <w:spacing w:val="2"/>
        </w:rPr>
        <w:t>i</w:t>
      </w:r>
      <w:r w:rsidRPr="009A0DA6">
        <w:rPr>
          <w:rFonts w:ascii="Cambria" w:eastAsia="Times New Roman" w:hAnsi="Cambria" w:cstheme="minorHAnsi"/>
        </w:rPr>
        <w:t>tted</w:t>
      </w:r>
      <w:r w:rsidRPr="009A0DA6">
        <w:rPr>
          <w:rFonts w:ascii="Cambria" w:eastAsia="Times New Roman" w:hAnsi="Cambria" w:cstheme="minorHAnsi"/>
          <w:spacing w:val="-7"/>
        </w:rPr>
        <w:t xml:space="preserve"> </w:t>
      </w:r>
      <w:r w:rsidRPr="009A0DA6">
        <w:rPr>
          <w:rFonts w:ascii="Cambria" w:eastAsia="Times New Roman" w:hAnsi="Cambria" w:cstheme="minorHAnsi"/>
          <w:spacing w:val="-1"/>
        </w:rPr>
        <w:t>f</w:t>
      </w:r>
      <w:r w:rsidRPr="009A0DA6">
        <w:rPr>
          <w:rFonts w:ascii="Cambria" w:eastAsia="Times New Roman" w:hAnsi="Cambria" w:cstheme="minorHAnsi"/>
          <w:spacing w:val="1"/>
        </w:rPr>
        <w:t>o</w:t>
      </w:r>
      <w:r w:rsidRPr="009A0DA6">
        <w:rPr>
          <w:rFonts w:ascii="Cambria" w:eastAsia="Times New Roman" w:hAnsi="Cambria" w:cstheme="minorHAnsi"/>
        </w:rPr>
        <w:t>r</w:t>
      </w:r>
      <w:r w:rsidRPr="009A0DA6">
        <w:rPr>
          <w:rFonts w:ascii="Cambria" w:eastAsia="Times New Roman" w:hAnsi="Cambria" w:cstheme="minorHAnsi"/>
          <w:spacing w:val="-1"/>
        </w:rPr>
        <w:t xml:space="preserve"> s</w:t>
      </w:r>
      <w:r w:rsidRPr="009A0DA6">
        <w:rPr>
          <w:rFonts w:ascii="Cambria" w:eastAsia="Times New Roman" w:hAnsi="Cambria" w:cstheme="minorHAnsi"/>
          <w:spacing w:val="1"/>
        </w:rPr>
        <w:t>p</w:t>
      </w:r>
      <w:r w:rsidRPr="009A0DA6">
        <w:rPr>
          <w:rFonts w:ascii="Cambria" w:eastAsia="Times New Roman" w:hAnsi="Cambria" w:cstheme="minorHAnsi"/>
        </w:rPr>
        <w:t>eci</w:t>
      </w:r>
      <w:r w:rsidRPr="009A0DA6">
        <w:rPr>
          <w:rFonts w:ascii="Cambria" w:eastAsia="Times New Roman" w:hAnsi="Cambria" w:cstheme="minorHAnsi"/>
          <w:spacing w:val="1"/>
        </w:rPr>
        <w:t>f</w:t>
      </w:r>
      <w:r w:rsidRPr="009A0DA6">
        <w:rPr>
          <w:rFonts w:ascii="Cambria" w:eastAsia="Times New Roman" w:hAnsi="Cambria" w:cstheme="minorHAnsi"/>
        </w:rPr>
        <w:t>ied</w:t>
      </w:r>
      <w:r w:rsidRPr="009A0DA6">
        <w:rPr>
          <w:rFonts w:ascii="Cambria" w:eastAsia="Times New Roman" w:hAnsi="Cambria" w:cstheme="minorHAnsi"/>
          <w:spacing w:val="-5"/>
        </w:rPr>
        <w:t xml:space="preserve"> </w:t>
      </w:r>
      <w:r w:rsidRPr="009A0DA6">
        <w:rPr>
          <w:rFonts w:ascii="Cambria" w:eastAsia="Times New Roman" w:hAnsi="Cambria" w:cstheme="minorHAnsi"/>
          <w:spacing w:val="1"/>
        </w:rPr>
        <w:t>p</w:t>
      </w:r>
      <w:r w:rsidRPr="009A0DA6">
        <w:rPr>
          <w:rFonts w:ascii="Cambria" w:eastAsia="Times New Roman" w:hAnsi="Cambria" w:cstheme="minorHAnsi"/>
          <w:spacing w:val="-1"/>
        </w:rPr>
        <w:t>u</w:t>
      </w:r>
      <w:r w:rsidRPr="009A0DA6">
        <w:rPr>
          <w:rFonts w:ascii="Cambria" w:eastAsia="Times New Roman" w:hAnsi="Cambria" w:cstheme="minorHAnsi"/>
          <w:spacing w:val="1"/>
        </w:rPr>
        <w:t>rpo</w:t>
      </w:r>
      <w:r w:rsidRPr="009A0DA6">
        <w:rPr>
          <w:rFonts w:ascii="Cambria" w:eastAsia="Times New Roman" w:hAnsi="Cambria" w:cstheme="minorHAnsi"/>
          <w:spacing w:val="-1"/>
        </w:rPr>
        <w:t>s</w:t>
      </w:r>
      <w:r w:rsidRPr="009A0DA6">
        <w:rPr>
          <w:rFonts w:ascii="Cambria" w:eastAsia="Times New Roman" w:hAnsi="Cambria" w:cstheme="minorHAnsi"/>
        </w:rPr>
        <w:t>es</w:t>
      </w:r>
      <w:r w:rsidRPr="009A0DA6">
        <w:rPr>
          <w:rFonts w:ascii="Cambria" w:eastAsia="Times New Roman" w:hAnsi="Cambria" w:cstheme="minorHAnsi"/>
          <w:spacing w:val="-7"/>
        </w:rPr>
        <w:t xml:space="preserve"> </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rPr>
        <w:t>cl</w:t>
      </w:r>
      <w:r w:rsidRPr="009A0DA6">
        <w:rPr>
          <w:rFonts w:ascii="Cambria" w:eastAsia="Times New Roman" w:hAnsi="Cambria" w:cstheme="minorHAnsi"/>
          <w:spacing w:val="-1"/>
        </w:rPr>
        <w:t>u</w:t>
      </w:r>
      <w:r w:rsidRPr="009A0DA6">
        <w:rPr>
          <w:rFonts w:ascii="Cambria" w:eastAsia="Times New Roman" w:hAnsi="Cambria" w:cstheme="minorHAnsi"/>
          <w:spacing w:val="1"/>
        </w:rPr>
        <w:t>d</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rPr>
        <w:t>g</w:t>
      </w:r>
      <w:r w:rsidRPr="009A0DA6">
        <w:rPr>
          <w:rFonts w:ascii="Cambria" w:eastAsia="Times New Roman" w:hAnsi="Cambria" w:cstheme="minorHAnsi"/>
          <w:spacing w:val="-9"/>
        </w:rPr>
        <w:t xml:space="preserve"> </w:t>
      </w:r>
      <w:r w:rsidRPr="009A0DA6">
        <w:rPr>
          <w:rFonts w:ascii="Cambria" w:eastAsia="Times New Roman" w:hAnsi="Cambria" w:cstheme="minorHAnsi"/>
          <w:spacing w:val="1"/>
        </w:rPr>
        <w:t>pro</w:t>
      </w:r>
      <w:r w:rsidRPr="009A0DA6">
        <w:rPr>
          <w:rFonts w:ascii="Cambria" w:eastAsia="Times New Roman" w:hAnsi="Cambria" w:cstheme="minorHAnsi"/>
          <w:spacing w:val="-1"/>
        </w:rPr>
        <w:t>v</w:t>
      </w:r>
      <w:r w:rsidRPr="009A0DA6">
        <w:rPr>
          <w:rFonts w:ascii="Cambria" w:eastAsia="Times New Roman" w:hAnsi="Cambria" w:cstheme="minorHAnsi"/>
        </w:rPr>
        <w:t>i</w:t>
      </w:r>
      <w:r w:rsidRPr="009A0DA6">
        <w:rPr>
          <w:rFonts w:ascii="Cambria" w:eastAsia="Times New Roman" w:hAnsi="Cambria" w:cstheme="minorHAnsi"/>
          <w:spacing w:val="-1"/>
        </w:rPr>
        <w:t>s</w:t>
      </w:r>
      <w:r w:rsidRPr="009A0DA6">
        <w:rPr>
          <w:rFonts w:ascii="Cambria" w:eastAsia="Times New Roman" w:hAnsi="Cambria" w:cstheme="minorHAnsi"/>
        </w:rPr>
        <w:t>i</w:t>
      </w:r>
      <w:r w:rsidRPr="009A0DA6">
        <w:rPr>
          <w:rFonts w:ascii="Cambria" w:eastAsia="Times New Roman" w:hAnsi="Cambria" w:cstheme="minorHAnsi"/>
          <w:spacing w:val="1"/>
        </w:rPr>
        <w:t>on</w:t>
      </w:r>
      <w:r w:rsidRPr="009A0DA6">
        <w:rPr>
          <w:rFonts w:ascii="Cambria" w:eastAsia="Times New Roman" w:hAnsi="Cambria" w:cstheme="minorHAnsi"/>
          <w:spacing w:val="-1"/>
        </w:rPr>
        <w:t>s</w:t>
      </w:r>
      <w:r w:rsidRPr="009A0DA6">
        <w:rPr>
          <w:rFonts w:ascii="Cambria" w:eastAsia="Times New Roman" w:hAnsi="Cambria" w:cstheme="minorHAnsi"/>
        </w:rPr>
        <w:t>,</w:t>
      </w:r>
      <w:r w:rsidRPr="009A0DA6">
        <w:rPr>
          <w:rFonts w:ascii="Cambria" w:eastAsia="Times New Roman" w:hAnsi="Cambria" w:cstheme="minorHAnsi"/>
          <w:spacing w:val="-8"/>
        </w:rPr>
        <w:t xml:space="preserve"> </w:t>
      </w:r>
      <w:r w:rsidRPr="009A0DA6">
        <w:rPr>
          <w:rFonts w:ascii="Cambria" w:eastAsia="Times New Roman" w:hAnsi="Cambria" w:cstheme="minorHAnsi"/>
          <w:spacing w:val="-1"/>
        </w:rPr>
        <w:t>s</w:t>
      </w:r>
      <w:r w:rsidRPr="009A0DA6">
        <w:rPr>
          <w:rFonts w:ascii="Cambria" w:eastAsia="Times New Roman" w:hAnsi="Cambria" w:cstheme="minorHAnsi"/>
          <w:spacing w:val="1"/>
        </w:rPr>
        <w:t>p</w:t>
      </w:r>
      <w:r w:rsidRPr="009A0DA6">
        <w:rPr>
          <w:rFonts w:ascii="Cambria" w:eastAsia="Times New Roman" w:hAnsi="Cambria" w:cstheme="minorHAnsi"/>
        </w:rPr>
        <w:t>ec</w:t>
      </w:r>
      <w:r w:rsidRPr="009A0DA6">
        <w:rPr>
          <w:rFonts w:ascii="Cambria" w:eastAsia="Times New Roman" w:hAnsi="Cambria" w:cstheme="minorHAnsi"/>
          <w:spacing w:val="2"/>
        </w:rPr>
        <w:t>i</w:t>
      </w:r>
      <w:r w:rsidRPr="009A0DA6">
        <w:rPr>
          <w:rFonts w:ascii="Cambria" w:eastAsia="Times New Roman" w:hAnsi="Cambria" w:cstheme="minorHAnsi"/>
        </w:rPr>
        <w:t>al</w:t>
      </w:r>
      <w:r w:rsidRPr="009A0DA6">
        <w:rPr>
          <w:rFonts w:ascii="Cambria" w:eastAsia="Times New Roman" w:hAnsi="Cambria" w:cstheme="minorHAnsi"/>
          <w:spacing w:val="-6"/>
        </w:rPr>
        <w:t xml:space="preserve"> </w:t>
      </w:r>
      <w:r w:rsidRPr="009A0DA6">
        <w:rPr>
          <w:rFonts w:ascii="Cambria" w:eastAsia="Times New Roman" w:hAnsi="Cambria" w:cstheme="minorHAnsi"/>
          <w:spacing w:val="1"/>
        </w:rPr>
        <w:t>f</w:t>
      </w:r>
      <w:r w:rsidRPr="009A0DA6">
        <w:rPr>
          <w:rFonts w:ascii="Cambria" w:eastAsia="Times New Roman" w:hAnsi="Cambria" w:cstheme="minorHAnsi"/>
          <w:spacing w:val="-1"/>
        </w:rPr>
        <w:t>un</w:t>
      </w:r>
      <w:r w:rsidRPr="009A0DA6">
        <w:rPr>
          <w:rFonts w:ascii="Cambria" w:eastAsia="Times New Roman" w:hAnsi="Cambria" w:cstheme="minorHAnsi"/>
          <w:spacing w:val="1"/>
        </w:rPr>
        <w:t>d</w:t>
      </w:r>
      <w:r w:rsidRPr="009A0DA6">
        <w:rPr>
          <w:rFonts w:ascii="Cambria" w:eastAsia="Times New Roman" w:hAnsi="Cambria" w:cstheme="minorHAnsi"/>
          <w:spacing w:val="-1"/>
        </w:rPr>
        <w:t>s</w:t>
      </w:r>
      <w:r w:rsidRPr="009A0DA6">
        <w:rPr>
          <w:rFonts w:ascii="Cambria" w:eastAsia="Times New Roman" w:hAnsi="Cambria" w:cstheme="minorHAnsi"/>
        </w:rPr>
        <w:t>,</w:t>
      </w:r>
      <w:r w:rsidRPr="009A0DA6">
        <w:rPr>
          <w:rFonts w:ascii="Cambria" w:eastAsia="Times New Roman" w:hAnsi="Cambria" w:cstheme="minorHAnsi"/>
          <w:spacing w:val="-4"/>
        </w:rPr>
        <w:t xml:space="preserve"> </w:t>
      </w:r>
      <w:r w:rsidRPr="009A0DA6">
        <w:rPr>
          <w:rFonts w:ascii="Cambria" w:eastAsia="Times New Roman" w:hAnsi="Cambria" w:cstheme="minorHAnsi"/>
          <w:spacing w:val="1"/>
        </w:rPr>
        <w:t>borr</w:t>
      </w:r>
      <w:r w:rsidRPr="009A0DA6">
        <w:rPr>
          <w:rFonts w:ascii="Cambria" w:eastAsia="Times New Roman" w:hAnsi="Cambria" w:cstheme="minorHAnsi"/>
          <w:spacing w:val="4"/>
        </w:rPr>
        <w:t>o</w:t>
      </w:r>
      <w:r w:rsidRPr="009A0DA6">
        <w:rPr>
          <w:rFonts w:ascii="Cambria" w:eastAsia="Times New Roman" w:hAnsi="Cambria" w:cstheme="minorHAnsi"/>
          <w:spacing w:val="-5"/>
        </w:rPr>
        <w:t>w</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spacing w:val="1"/>
        </w:rPr>
        <w:t>g</w:t>
      </w:r>
      <w:r w:rsidRPr="009A0DA6">
        <w:rPr>
          <w:rFonts w:ascii="Cambria" w:eastAsia="Times New Roman" w:hAnsi="Cambria" w:cstheme="minorHAnsi"/>
        </w:rPr>
        <w:t>s</w:t>
      </w:r>
      <w:r w:rsidRPr="009A0DA6">
        <w:rPr>
          <w:rFonts w:ascii="Cambria" w:eastAsia="Times New Roman" w:hAnsi="Cambria" w:cstheme="minorHAnsi"/>
          <w:spacing w:val="-9"/>
        </w:rPr>
        <w:t xml:space="preserve"> </w:t>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spacing w:val="-1"/>
        </w:rPr>
        <w:t xml:space="preserve"> </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1"/>
        </w:rPr>
        <w:t>s</w:t>
      </w:r>
      <w:r w:rsidRPr="009A0DA6">
        <w:rPr>
          <w:rFonts w:ascii="Cambria" w:eastAsia="Times New Roman" w:hAnsi="Cambria" w:cstheme="minorHAnsi"/>
        </w:rPr>
        <w:t>e</w:t>
      </w:r>
      <w:r w:rsidRPr="009A0DA6">
        <w:rPr>
          <w:rFonts w:ascii="Cambria" w:eastAsia="Times New Roman" w:hAnsi="Cambria" w:cstheme="minorHAnsi"/>
          <w:spacing w:val="3"/>
        </w:rPr>
        <w:t>r</w:t>
      </w:r>
      <w:r w:rsidRPr="009A0DA6">
        <w:rPr>
          <w:rFonts w:ascii="Cambria" w:eastAsia="Times New Roman" w:hAnsi="Cambria" w:cstheme="minorHAnsi"/>
          <w:spacing w:val="-1"/>
        </w:rPr>
        <w:t>v</w:t>
      </w:r>
      <w:r w:rsidRPr="009A0DA6">
        <w:rPr>
          <w:rFonts w:ascii="Cambria" w:eastAsia="Times New Roman" w:hAnsi="Cambria" w:cstheme="minorHAnsi"/>
        </w:rPr>
        <w:t>es</w:t>
      </w:r>
      <w:r w:rsidRPr="009A0DA6">
        <w:rPr>
          <w:rFonts w:ascii="Cambria" w:eastAsia="Times New Roman" w:hAnsi="Cambria" w:cstheme="minorHAnsi"/>
          <w:spacing w:val="-7"/>
        </w:rPr>
        <w:t xml:space="preserve"> </w:t>
      </w:r>
      <w:r w:rsidRPr="009A0DA6">
        <w:rPr>
          <w:rFonts w:ascii="Cambria" w:eastAsia="Times New Roman" w:hAnsi="Cambria" w:cstheme="minorHAnsi"/>
          <w:spacing w:val="1"/>
        </w:rPr>
        <w:t>o</w:t>
      </w:r>
      <w:r w:rsidRPr="009A0DA6">
        <w:rPr>
          <w:rFonts w:ascii="Cambria" w:eastAsia="Times New Roman" w:hAnsi="Cambria" w:cstheme="minorHAnsi"/>
        </w:rPr>
        <w:t>f</w:t>
      </w:r>
      <w:r w:rsidRPr="009A0DA6">
        <w:rPr>
          <w:rFonts w:ascii="Cambria" w:eastAsia="Times New Roman" w:hAnsi="Cambria" w:cstheme="minorHAnsi"/>
          <w:spacing w:val="-1"/>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 xml:space="preserve">e </w:t>
      </w:r>
      <w:r w:rsidR="00336CE0" w:rsidRPr="009A0DA6">
        <w:rPr>
          <w:rFonts w:ascii="Cambria" w:eastAsia="Times New Roman" w:hAnsi="Cambria" w:cstheme="minorHAnsi"/>
          <w:spacing w:val="-1"/>
        </w:rPr>
        <w:t>church</w:t>
      </w:r>
      <w:r w:rsidRPr="009A0DA6">
        <w:rPr>
          <w:rFonts w:ascii="Cambria" w:eastAsia="Times New Roman" w:hAnsi="Cambria" w:cstheme="minorHAnsi"/>
          <w:spacing w:val="-7"/>
        </w:rPr>
        <w:t xml:space="preserve"> </w:t>
      </w:r>
      <w:r w:rsidRPr="009A0DA6">
        <w:rPr>
          <w:rFonts w:ascii="Cambria" w:eastAsia="Times New Roman" w:hAnsi="Cambria" w:cstheme="minorHAnsi"/>
          <w:spacing w:val="3"/>
        </w:rPr>
        <w:t>a</w:t>
      </w:r>
      <w:r w:rsidRPr="009A0DA6">
        <w:rPr>
          <w:rFonts w:ascii="Cambria" w:eastAsia="Times New Roman" w:hAnsi="Cambria" w:cstheme="minorHAnsi"/>
        </w:rPr>
        <w:t>s</w:t>
      </w:r>
      <w:r w:rsidRPr="009A0DA6">
        <w:rPr>
          <w:rFonts w:ascii="Cambria" w:eastAsia="Times New Roman" w:hAnsi="Cambria" w:cstheme="minorHAnsi"/>
          <w:spacing w:val="-2"/>
        </w:rPr>
        <w:t xml:space="preserve"> </w:t>
      </w:r>
      <w:r w:rsidRPr="009A0DA6">
        <w:rPr>
          <w:rFonts w:ascii="Cambria" w:eastAsia="Times New Roman" w:hAnsi="Cambria" w:cstheme="minorHAnsi"/>
          <w:spacing w:val="1"/>
        </w:rPr>
        <w:t>d</w:t>
      </w:r>
      <w:r w:rsidRPr="009A0DA6">
        <w:rPr>
          <w:rFonts w:ascii="Cambria" w:eastAsia="Times New Roman" w:hAnsi="Cambria" w:cstheme="minorHAnsi"/>
        </w:rPr>
        <w:t>i</w:t>
      </w:r>
      <w:r w:rsidRPr="009A0DA6">
        <w:rPr>
          <w:rFonts w:ascii="Cambria" w:eastAsia="Times New Roman" w:hAnsi="Cambria" w:cstheme="minorHAnsi"/>
          <w:spacing w:val="-1"/>
        </w:rPr>
        <w:t>s</w:t>
      </w:r>
      <w:r w:rsidRPr="009A0DA6">
        <w:rPr>
          <w:rFonts w:ascii="Cambria" w:eastAsia="Times New Roman" w:hAnsi="Cambria" w:cstheme="minorHAnsi"/>
        </w:rPr>
        <w:t>cl</w:t>
      </w:r>
      <w:r w:rsidRPr="009A0DA6">
        <w:rPr>
          <w:rFonts w:ascii="Cambria" w:eastAsia="Times New Roman" w:hAnsi="Cambria" w:cstheme="minorHAnsi"/>
          <w:spacing w:val="1"/>
        </w:rPr>
        <w:t>o</w:t>
      </w:r>
      <w:r w:rsidRPr="009A0DA6">
        <w:rPr>
          <w:rFonts w:ascii="Cambria" w:eastAsia="Times New Roman" w:hAnsi="Cambria" w:cstheme="minorHAnsi"/>
          <w:spacing w:val="-1"/>
        </w:rPr>
        <w:t>s</w:t>
      </w:r>
      <w:r w:rsidRPr="009A0DA6">
        <w:rPr>
          <w:rFonts w:ascii="Cambria" w:eastAsia="Times New Roman" w:hAnsi="Cambria" w:cstheme="minorHAnsi"/>
        </w:rPr>
        <w:t>ed</w:t>
      </w:r>
      <w:r w:rsidRPr="009A0DA6">
        <w:rPr>
          <w:rFonts w:ascii="Cambria" w:eastAsia="Times New Roman" w:hAnsi="Cambria" w:cstheme="minorHAnsi"/>
          <w:spacing w:val="-5"/>
        </w:rPr>
        <w:t xml:space="preserve"> </w:t>
      </w:r>
      <w:r w:rsidRPr="009A0DA6">
        <w:rPr>
          <w:rFonts w:ascii="Cambria" w:eastAsia="Times New Roman" w:hAnsi="Cambria" w:cstheme="minorHAnsi"/>
        </w:rPr>
        <w:t>at</w:t>
      </w:r>
      <w:r w:rsidRPr="009A0DA6">
        <w:rPr>
          <w:rFonts w:ascii="Cambria" w:eastAsia="Times New Roman" w:hAnsi="Cambria" w:cstheme="minorHAnsi"/>
          <w:spacing w:val="-1"/>
        </w:rPr>
        <w:t xml:space="preserve"> n</w:t>
      </w:r>
      <w:r w:rsidRPr="009A0DA6">
        <w:rPr>
          <w:rFonts w:ascii="Cambria" w:eastAsia="Times New Roman" w:hAnsi="Cambria" w:cstheme="minorHAnsi"/>
          <w:spacing w:val="1"/>
        </w:rPr>
        <w:t>o</w:t>
      </w:r>
      <w:r w:rsidRPr="009A0DA6">
        <w:rPr>
          <w:rFonts w:ascii="Cambria" w:eastAsia="Times New Roman" w:hAnsi="Cambria" w:cstheme="minorHAnsi"/>
        </w:rPr>
        <w:t>tes</w:t>
      </w:r>
      <w:r w:rsidRPr="009A0DA6">
        <w:rPr>
          <w:rFonts w:ascii="Cambria" w:eastAsia="Times New Roman" w:hAnsi="Cambria" w:cstheme="minorHAnsi"/>
          <w:spacing w:val="-4"/>
        </w:rPr>
        <w:t xml:space="preserve"> </w:t>
      </w:r>
      <w:r w:rsidRPr="009A0DA6">
        <w:rPr>
          <w:rFonts w:ascii="Cambria" w:eastAsia="Times New Roman" w:hAnsi="Cambria" w:cstheme="minorHAnsi"/>
          <w:spacing w:val="4"/>
        </w:rPr>
        <w:t>8</w:t>
      </w:r>
      <w:r w:rsidRPr="009A0DA6">
        <w:rPr>
          <w:rFonts w:ascii="Cambria" w:eastAsia="Times New Roman" w:hAnsi="Cambria" w:cstheme="minorHAnsi"/>
        </w:rPr>
        <w:t xml:space="preserve">, </w:t>
      </w:r>
      <w:r w:rsidRPr="009A0DA6">
        <w:rPr>
          <w:rFonts w:ascii="Cambria" w:eastAsia="Times New Roman" w:hAnsi="Cambria" w:cstheme="minorHAnsi"/>
          <w:spacing w:val="1"/>
        </w:rPr>
        <w:t>9</w:t>
      </w:r>
      <w:r w:rsidRPr="009A0DA6">
        <w:rPr>
          <w:rFonts w:ascii="Cambria" w:eastAsia="Times New Roman" w:hAnsi="Cambria" w:cstheme="minorHAnsi"/>
        </w:rPr>
        <w:t xml:space="preserve">, </w:t>
      </w:r>
      <w:r w:rsidRPr="009A0DA6">
        <w:rPr>
          <w:rFonts w:ascii="Cambria" w:eastAsia="Times New Roman" w:hAnsi="Cambria" w:cstheme="minorHAnsi"/>
          <w:spacing w:val="-1"/>
        </w:rPr>
        <w:t>1</w:t>
      </w:r>
      <w:r w:rsidRPr="009A0DA6">
        <w:rPr>
          <w:rFonts w:ascii="Cambria" w:eastAsia="Times New Roman" w:hAnsi="Cambria" w:cstheme="minorHAnsi"/>
        </w:rPr>
        <w:t>0 a</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spacing w:val="-1"/>
        </w:rPr>
        <w:t xml:space="preserve"> </w:t>
      </w:r>
      <w:r w:rsidRPr="009A0DA6">
        <w:rPr>
          <w:rFonts w:ascii="Cambria" w:eastAsia="Times New Roman" w:hAnsi="Cambria" w:cstheme="minorHAnsi"/>
          <w:spacing w:val="1"/>
        </w:rPr>
        <w:t>1</w:t>
      </w:r>
      <w:r w:rsidRPr="009A0DA6">
        <w:rPr>
          <w:rFonts w:ascii="Cambria" w:eastAsia="Times New Roman" w:hAnsi="Cambria" w:cstheme="minorHAnsi"/>
        </w:rPr>
        <w:t>2</w:t>
      </w:r>
      <w:r w:rsidRPr="009A0DA6">
        <w:rPr>
          <w:rFonts w:ascii="Cambria" w:eastAsia="Times New Roman" w:hAnsi="Cambria" w:cstheme="minorHAnsi"/>
          <w:spacing w:val="-3"/>
        </w:rPr>
        <w:t xml:space="preserve"> </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1"/>
        </w:rPr>
        <w:t>f</w:t>
      </w:r>
      <w:r w:rsidRPr="009A0DA6">
        <w:rPr>
          <w:rFonts w:ascii="Cambria" w:eastAsia="Times New Roman" w:hAnsi="Cambria" w:cstheme="minorHAnsi"/>
        </w:rPr>
        <w:t>er</w:t>
      </w:r>
      <w:r w:rsidRPr="009A0DA6">
        <w:rPr>
          <w:rFonts w:ascii="Cambria" w:eastAsia="Times New Roman" w:hAnsi="Cambria" w:cstheme="minorHAnsi"/>
          <w:spacing w:val="-3"/>
        </w:rPr>
        <w:t xml:space="preserve"> </w:t>
      </w:r>
      <w:r w:rsidRPr="009A0DA6">
        <w:rPr>
          <w:rFonts w:ascii="Cambria" w:eastAsia="Times New Roman" w:hAnsi="Cambria" w:cstheme="minorHAnsi"/>
        </w:rPr>
        <w:t>al</w:t>
      </w:r>
      <w:r w:rsidRPr="009A0DA6">
        <w:rPr>
          <w:rFonts w:ascii="Cambria" w:eastAsia="Times New Roman" w:hAnsi="Cambria" w:cstheme="minorHAnsi"/>
          <w:spacing w:val="-1"/>
        </w:rPr>
        <w:t>s</w:t>
      </w:r>
      <w:r w:rsidRPr="009A0DA6">
        <w:rPr>
          <w:rFonts w:ascii="Cambria" w:eastAsia="Times New Roman" w:hAnsi="Cambria" w:cstheme="minorHAnsi"/>
        </w:rPr>
        <w:t>o</w:t>
      </w:r>
      <w:r w:rsidRPr="009A0DA6">
        <w:rPr>
          <w:rFonts w:ascii="Cambria" w:eastAsia="Times New Roman" w:hAnsi="Cambria" w:cstheme="minorHAnsi"/>
          <w:spacing w:val="-1"/>
        </w:rPr>
        <w:t xml:space="preserve"> </w:t>
      </w:r>
      <w:r w:rsidRPr="009A0DA6">
        <w:rPr>
          <w:rFonts w:ascii="Cambria" w:eastAsia="Times New Roman" w:hAnsi="Cambria" w:cstheme="minorHAnsi"/>
          <w:spacing w:val="1"/>
        </w:rPr>
        <w:t>p</w:t>
      </w:r>
      <w:r w:rsidRPr="009A0DA6">
        <w:rPr>
          <w:rFonts w:ascii="Cambria" w:eastAsia="Times New Roman" w:hAnsi="Cambria" w:cstheme="minorHAnsi"/>
        </w:rPr>
        <w:t>a</w:t>
      </w:r>
      <w:r w:rsidRPr="009A0DA6">
        <w:rPr>
          <w:rFonts w:ascii="Cambria" w:eastAsia="Times New Roman" w:hAnsi="Cambria" w:cstheme="minorHAnsi"/>
          <w:spacing w:val="1"/>
        </w:rPr>
        <w:t>r</w:t>
      </w:r>
      <w:r w:rsidRPr="009A0DA6">
        <w:rPr>
          <w:rFonts w:ascii="Cambria" w:eastAsia="Times New Roman" w:hAnsi="Cambria" w:cstheme="minorHAnsi"/>
        </w:rPr>
        <w:t>a</w:t>
      </w:r>
      <w:r w:rsidRPr="009A0DA6">
        <w:rPr>
          <w:rFonts w:ascii="Cambria" w:eastAsia="Times New Roman" w:hAnsi="Cambria" w:cstheme="minorHAnsi"/>
          <w:spacing w:val="-1"/>
        </w:rPr>
        <w:t>g</w:t>
      </w:r>
      <w:r w:rsidRPr="009A0DA6">
        <w:rPr>
          <w:rFonts w:ascii="Cambria" w:eastAsia="Times New Roman" w:hAnsi="Cambria" w:cstheme="minorHAnsi"/>
          <w:spacing w:val="1"/>
        </w:rPr>
        <w:t>r</w:t>
      </w:r>
      <w:r w:rsidRPr="009A0DA6">
        <w:rPr>
          <w:rFonts w:ascii="Cambria" w:eastAsia="Times New Roman" w:hAnsi="Cambria" w:cstheme="minorHAnsi"/>
        </w:rPr>
        <w:t>a</w:t>
      </w:r>
      <w:r w:rsidRPr="009A0DA6">
        <w:rPr>
          <w:rFonts w:ascii="Cambria" w:eastAsia="Times New Roman" w:hAnsi="Cambria" w:cstheme="minorHAnsi"/>
          <w:spacing w:val="1"/>
        </w:rPr>
        <w:t>p</w:t>
      </w:r>
      <w:r w:rsidRPr="009A0DA6">
        <w:rPr>
          <w:rFonts w:ascii="Cambria" w:eastAsia="Times New Roman" w:hAnsi="Cambria" w:cstheme="minorHAnsi"/>
        </w:rPr>
        <w:t>h</w:t>
      </w:r>
      <w:r w:rsidRPr="009A0DA6">
        <w:rPr>
          <w:rFonts w:ascii="Cambria" w:eastAsia="Times New Roman" w:hAnsi="Cambria" w:cstheme="minorHAnsi"/>
          <w:spacing w:val="-9"/>
        </w:rPr>
        <w:t xml:space="preserve"> </w:t>
      </w:r>
      <w:r w:rsidRPr="009A0DA6">
        <w:rPr>
          <w:rFonts w:ascii="Cambria" w:eastAsia="Times New Roman" w:hAnsi="Cambria" w:cstheme="minorHAnsi"/>
          <w:spacing w:val="1"/>
        </w:rPr>
        <w:t>(</w:t>
      </w:r>
      <w:r w:rsidRPr="009A0DA6">
        <w:rPr>
          <w:rFonts w:ascii="Cambria" w:eastAsia="Times New Roman" w:hAnsi="Cambria" w:cstheme="minorHAnsi"/>
        </w:rPr>
        <w:t>e)</w:t>
      </w:r>
      <w:r w:rsidRPr="009A0DA6">
        <w:rPr>
          <w:rFonts w:ascii="Cambria" w:eastAsia="Times New Roman" w:hAnsi="Cambria" w:cstheme="minorHAnsi"/>
          <w:spacing w:val="-1"/>
        </w:rPr>
        <w:t xml:space="preserve"> </w:t>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spacing w:val="-1"/>
        </w:rPr>
        <w:t xml:space="preserve"> </w:t>
      </w:r>
      <w:r w:rsidRPr="009A0DA6">
        <w:rPr>
          <w:rFonts w:ascii="Cambria" w:eastAsia="Times New Roman" w:hAnsi="Cambria" w:cstheme="minorHAnsi"/>
          <w:spacing w:val="1"/>
        </w:rPr>
        <w:t>(</w:t>
      </w:r>
      <w:r w:rsidRPr="009A0DA6">
        <w:rPr>
          <w:rFonts w:ascii="Cambria" w:eastAsia="Times New Roman" w:hAnsi="Cambria" w:cstheme="minorHAnsi"/>
          <w:spacing w:val="-1"/>
        </w:rPr>
        <w:t>f</w:t>
      </w:r>
      <w:r w:rsidRPr="009A0DA6">
        <w:rPr>
          <w:rFonts w:ascii="Cambria" w:eastAsia="Times New Roman" w:hAnsi="Cambria" w:cstheme="minorHAnsi"/>
        </w:rPr>
        <w:t>)</w:t>
      </w:r>
      <w:r w:rsidRPr="009A0DA6">
        <w:rPr>
          <w:rFonts w:ascii="Cambria" w:eastAsia="Times New Roman" w:hAnsi="Cambria" w:cstheme="minorHAnsi"/>
          <w:spacing w:val="-1"/>
        </w:rPr>
        <w:t xml:space="preserve"> </w:t>
      </w:r>
      <w:r w:rsidRPr="009A0DA6">
        <w:rPr>
          <w:rFonts w:ascii="Cambria" w:eastAsia="Times New Roman" w:hAnsi="Cambria" w:cstheme="minorHAnsi"/>
          <w:spacing w:val="1"/>
        </w:rPr>
        <w:t>b</w:t>
      </w:r>
      <w:r w:rsidRPr="009A0DA6">
        <w:rPr>
          <w:rFonts w:ascii="Cambria" w:eastAsia="Times New Roman" w:hAnsi="Cambria" w:cstheme="minorHAnsi"/>
        </w:rPr>
        <w:t>el</w:t>
      </w:r>
      <w:r w:rsidRPr="009A0DA6">
        <w:rPr>
          <w:rFonts w:ascii="Cambria" w:eastAsia="Times New Roman" w:hAnsi="Cambria" w:cstheme="minorHAnsi"/>
          <w:spacing w:val="1"/>
        </w:rPr>
        <w:t>o</w:t>
      </w:r>
      <w:r w:rsidRPr="009A0DA6">
        <w:rPr>
          <w:rFonts w:ascii="Cambria" w:eastAsia="Times New Roman" w:hAnsi="Cambria" w:cstheme="minorHAnsi"/>
          <w:spacing w:val="-5"/>
        </w:rPr>
        <w:t>w</w:t>
      </w:r>
      <w:r w:rsidRPr="009A0DA6">
        <w:rPr>
          <w:rFonts w:ascii="Cambria" w:eastAsia="Times New Roman" w:hAnsi="Cambria" w:cstheme="minorHAnsi"/>
          <w:spacing w:val="1"/>
        </w:rPr>
        <w:t>)</w:t>
      </w:r>
      <w:r w:rsidRPr="009A0DA6">
        <w:rPr>
          <w:rFonts w:ascii="Cambria" w:eastAsia="Times New Roman" w:hAnsi="Cambria" w:cstheme="minorHAnsi"/>
        </w:rPr>
        <w:t>.</w:t>
      </w:r>
    </w:p>
    <w:p w14:paraId="273E73F2" w14:textId="77777777" w:rsidR="00B81951" w:rsidRPr="007408EE" w:rsidRDefault="00B81951" w:rsidP="00BA4592">
      <w:pPr>
        <w:tabs>
          <w:tab w:val="center" w:pos="4394"/>
          <w:tab w:val="right" w:pos="6095"/>
          <w:tab w:val="right" w:pos="7371"/>
          <w:tab w:val="right" w:pos="8647"/>
        </w:tabs>
        <w:spacing w:before="120" w:after="120" w:line="240" w:lineRule="auto"/>
        <w:ind w:right="-51"/>
        <w:contextualSpacing/>
        <w:rPr>
          <w:rFonts w:ascii="Cambria" w:eastAsia="Times New Roman" w:hAnsi="Cambria" w:cstheme="minorHAnsi"/>
          <w:spacing w:val="3"/>
          <w:sz w:val="10"/>
        </w:rPr>
      </w:pPr>
    </w:p>
    <w:p w14:paraId="7FE2953D" w14:textId="2AD75588" w:rsidR="00BA4592" w:rsidRPr="009A0DA6" w:rsidRDefault="00BA4592" w:rsidP="00BA4592">
      <w:pPr>
        <w:tabs>
          <w:tab w:val="center" w:pos="4394"/>
          <w:tab w:val="right" w:pos="6095"/>
          <w:tab w:val="right" w:pos="7371"/>
          <w:tab w:val="right" w:pos="8647"/>
        </w:tabs>
        <w:spacing w:before="120" w:after="120" w:line="240" w:lineRule="auto"/>
        <w:ind w:right="-51"/>
        <w:contextualSpacing/>
        <w:rPr>
          <w:rFonts w:ascii="Cambria" w:eastAsia="Times New Roman" w:hAnsi="Cambria" w:cstheme="minorHAnsi"/>
        </w:rPr>
      </w:pPr>
      <w:r w:rsidRPr="009A0DA6">
        <w:rPr>
          <w:rFonts w:ascii="Cambria" w:eastAsia="Times New Roman" w:hAnsi="Cambria" w:cstheme="minorHAnsi"/>
          <w:spacing w:val="3"/>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9"/>
        </w:rPr>
        <w:t xml:space="preserve"> </w:t>
      </w:r>
      <w:r w:rsidR="00336CE0" w:rsidRPr="009A0DA6">
        <w:rPr>
          <w:rFonts w:ascii="Cambria" w:eastAsia="Times New Roman" w:hAnsi="Cambria" w:cstheme="minorHAnsi"/>
          <w:spacing w:val="-1"/>
        </w:rPr>
        <w:t>church</w:t>
      </w:r>
      <w:r w:rsidRPr="009A0DA6">
        <w:rPr>
          <w:rFonts w:ascii="Cambria" w:eastAsia="Times New Roman" w:hAnsi="Cambria" w:cstheme="minorHAnsi"/>
          <w:spacing w:val="4"/>
        </w:rPr>
        <w:t xml:space="preserve"> </w:t>
      </w:r>
      <w:r w:rsidRPr="009A0DA6">
        <w:rPr>
          <w:rFonts w:ascii="Cambria" w:eastAsia="Times New Roman" w:hAnsi="Cambria" w:cstheme="minorHAnsi"/>
          <w:spacing w:val="1"/>
        </w:rPr>
        <w:t>d</w:t>
      </w:r>
      <w:r w:rsidRPr="009A0DA6">
        <w:rPr>
          <w:rFonts w:ascii="Cambria" w:eastAsia="Times New Roman" w:hAnsi="Cambria" w:cstheme="minorHAnsi"/>
          <w:spacing w:val="2"/>
        </w:rPr>
        <w:t>i</w:t>
      </w:r>
      <w:r w:rsidRPr="009A0DA6">
        <w:rPr>
          <w:rFonts w:ascii="Cambria" w:eastAsia="Times New Roman" w:hAnsi="Cambria" w:cstheme="minorHAnsi"/>
          <w:spacing w:val="-1"/>
        </w:rPr>
        <w:t>s</w:t>
      </w:r>
      <w:r w:rsidRPr="009A0DA6">
        <w:rPr>
          <w:rFonts w:ascii="Cambria" w:eastAsia="Times New Roman" w:hAnsi="Cambria" w:cstheme="minorHAnsi"/>
        </w:rPr>
        <w:t>cl</w:t>
      </w:r>
      <w:r w:rsidRPr="009A0DA6">
        <w:rPr>
          <w:rFonts w:ascii="Cambria" w:eastAsia="Times New Roman" w:hAnsi="Cambria" w:cstheme="minorHAnsi"/>
          <w:spacing w:val="1"/>
        </w:rPr>
        <w:t>o</w:t>
      </w:r>
      <w:r w:rsidRPr="009A0DA6">
        <w:rPr>
          <w:rFonts w:ascii="Cambria" w:eastAsia="Times New Roman" w:hAnsi="Cambria" w:cstheme="minorHAnsi"/>
          <w:spacing w:val="-1"/>
        </w:rPr>
        <w:t>s</w:t>
      </w:r>
      <w:r w:rsidRPr="009A0DA6">
        <w:rPr>
          <w:rFonts w:ascii="Cambria" w:eastAsia="Times New Roman" w:hAnsi="Cambria" w:cstheme="minorHAnsi"/>
        </w:rPr>
        <w:t>es</w:t>
      </w:r>
      <w:r w:rsidRPr="009A0DA6">
        <w:rPr>
          <w:rFonts w:ascii="Cambria" w:eastAsia="Times New Roman" w:hAnsi="Cambria" w:cstheme="minorHAnsi"/>
          <w:spacing w:val="6"/>
        </w:rPr>
        <w:t xml:space="preserve"> </w:t>
      </w:r>
      <w:r w:rsidRPr="009A0DA6">
        <w:rPr>
          <w:rFonts w:ascii="Cambria" w:eastAsia="Times New Roman" w:hAnsi="Cambria" w:cstheme="minorHAnsi"/>
        </w:rPr>
        <w:t>its</w:t>
      </w:r>
      <w:r w:rsidRPr="009A0DA6">
        <w:rPr>
          <w:rFonts w:ascii="Cambria" w:eastAsia="Times New Roman" w:hAnsi="Cambria" w:cstheme="minorHAnsi"/>
          <w:spacing w:val="9"/>
        </w:rPr>
        <w:t xml:space="preserve"> </w:t>
      </w:r>
      <w:r w:rsidRPr="009A0DA6">
        <w:rPr>
          <w:rFonts w:ascii="Cambria" w:eastAsia="Times New Roman" w:hAnsi="Cambria" w:cstheme="minorHAnsi"/>
        </w:rPr>
        <w:t>c</w:t>
      </w:r>
      <w:r w:rsidRPr="009A0DA6">
        <w:rPr>
          <w:rFonts w:ascii="Cambria" w:eastAsia="Times New Roman" w:hAnsi="Cambria" w:cstheme="minorHAnsi"/>
          <w:spacing w:val="3"/>
        </w:rPr>
        <w:t>a</w:t>
      </w:r>
      <w:r w:rsidRPr="009A0DA6">
        <w:rPr>
          <w:rFonts w:ascii="Cambria" w:eastAsia="Times New Roman" w:hAnsi="Cambria" w:cstheme="minorHAnsi"/>
          <w:spacing w:val="2"/>
        </w:rPr>
        <w:t>s</w:t>
      </w:r>
      <w:r w:rsidRPr="009A0DA6">
        <w:rPr>
          <w:rFonts w:ascii="Cambria" w:eastAsia="Times New Roman" w:hAnsi="Cambria" w:cstheme="minorHAnsi"/>
        </w:rPr>
        <w:t>h</w:t>
      </w:r>
      <w:r w:rsidRPr="009A0DA6">
        <w:rPr>
          <w:rFonts w:ascii="Cambria" w:eastAsia="Times New Roman" w:hAnsi="Cambria" w:cstheme="minorHAnsi"/>
          <w:spacing w:val="6"/>
        </w:rPr>
        <w:t xml:space="preserve"> </w:t>
      </w:r>
      <w:r w:rsidRPr="009A0DA6">
        <w:rPr>
          <w:rFonts w:ascii="Cambria" w:eastAsia="Times New Roman" w:hAnsi="Cambria" w:cstheme="minorHAnsi"/>
        </w:rPr>
        <w:t>a</w:t>
      </w:r>
      <w:r w:rsidRPr="009A0DA6">
        <w:rPr>
          <w:rFonts w:ascii="Cambria" w:eastAsia="Times New Roman" w:hAnsi="Cambria" w:cstheme="minorHAnsi"/>
          <w:spacing w:val="2"/>
        </w:rPr>
        <w:t>s</w:t>
      </w:r>
      <w:r w:rsidRPr="009A0DA6">
        <w:rPr>
          <w:rFonts w:ascii="Cambria" w:eastAsia="Times New Roman" w:hAnsi="Cambria" w:cstheme="minorHAnsi"/>
          <w:spacing w:val="-1"/>
        </w:rPr>
        <w:t>s</w:t>
      </w:r>
      <w:r w:rsidRPr="009A0DA6">
        <w:rPr>
          <w:rFonts w:ascii="Cambria" w:eastAsia="Times New Roman" w:hAnsi="Cambria" w:cstheme="minorHAnsi"/>
        </w:rPr>
        <w:t>ets</w:t>
      </w:r>
      <w:r w:rsidRPr="009A0DA6">
        <w:rPr>
          <w:rFonts w:ascii="Cambria" w:eastAsia="Times New Roman" w:hAnsi="Cambria" w:cstheme="minorHAnsi"/>
          <w:spacing w:val="6"/>
        </w:rPr>
        <w:t xml:space="preserve"> </w:t>
      </w:r>
      <w:r w:rsidRPr="009A0DA6">
        <w:rPr>
          <w:rFonts w:ascii="Cambria" w:eastAsia="Times New Roman" w:hAnsi="Cambria" w:cstheme="minorHAnsi"/>
          <w:spacing w:val="3"/>
        </w:rPr>
        <w:t>a</w:t>
      </w:r>
      <w:r w:rsidRPr="009A0DA6">
        <w:rPr>
          <w:rFonts w:ascii="Cambria" w:eastAsia="Times New Roman" w:hAnsi="Cambria" w:cstheme="minorHAnsi"/>
        </w:rPr>
        <w:t>s</w:t>
      </w:r>
      <w:r w:rsidRPr="009A0DA6">
        <w:rPr>
          <w:rFonts w:ascii="Cambria" w:eastAsia="Times New Roman" w:hAnsi="Cambria" w:cstheme="minorHAnsi"/>
          <w:spacing w:val="11"/>
        </w:rPr>
        <w:t xml:space="preserve"> </w:t>
      </w:r>
      <w:r w:rsidRPr="009A0DA6">
        <w:rPr>
          <w:rFonts w:ascii="Cambria" w:eastAsia="Times New Roman" w:hAnsi="Cambria" w:cstheme="minorHAnsi"/>
          <w:spacing w:val="-1"/>
        </w:rPr>
        <w:t>‘</w:t>
      </w:r>
      <w:r w:rsidRPr="009A0DA6">
        <w:rPr>
          <w:rFonts w:ascii="Cambria" w:eastAsia="Times New Roman" w:hAnsi="Cambria" w:cstheme="minorHAnsi"/>
        </w:rPr>
        <w:t>c</w:t>
      </w:r>
      <w:r w:rsidRPr="009A0DA6">
        <w:rPr>
          <w:rFonts w:ascii="Cambria" w:eastAsia="Times New Roman" w:hAnsi="Cambria" w:cstheme="minorHAnsi"/>
          <w:spacing w:val="4"/>
        </w:rPr>
        <w:t>o</w:t>
      </w:r>
      <w:r w:rsidRPr="009A0DA6">
        <w:rPr>
          <w:rFonts w:ascii="Cambria" w:eastAsia="Times New Roman" w:hAnsi="Cambria" w:cstheme="minorHAnsi"/>
          <w:spacing w:val="-1"/>
        </w:rPr>
        <w:t>mm</w:t>
      </w:r>
      <w:r w:rsidRPr="009A0DA6">
        <w:rPr>
          <w:rFonts w:ascii="Cambria" w:eastAsia="Times New Roman" w:hAnsi="Cambria" w:cstheme="minorHAnsi"/>
        </w:rPr>
        <w:t>i</w:t>
      </w:r>
      <w:r w:rsidRPr="009A0DA6">
        <w:rPr>
          <w:rFonts w:ascii="Cambria" w:eastAsia="Times New Roman" w:hAnsi="Cambria" w:cstheme="minorHAnsi"/>
          <w:spacing w:val="2"/>
        </w:rPr>
        <w:t>t</w:t>
      </w:r>
      <w:r w:rsidRPr="009A0DA6">
        <w:rPr>
          <w:rFonts w:ascii="Cambria" w:eastAsia="Times New Roman" w:hAnsi="Cambria" w:cstheme="minorHAnsi"/>
        </w:rPr>
        <w:t>te</w:t>
      </w:r>
      <w:r w:rsidRPr="009A0DA6">
        <w:rPr>
          <w:rFonts w:ascii="Cambria" w:eastAsia="Times New Roman" w:hAnsi="Cambria" w:cstheme="minorHAnsi"/>
          <w:spacing w:val="1"/>
        </w:rPr>
        <w:t>d</w:t>
      </w:r>
      <w:r w:rsidRPr="009A0DA6">
        <w:rPr>
          <w:rFonts w:ascii="Cambria" w:eastAsia="Times New Roman" w:hAnsi="Cambria" w:cstheme="minorHAnsi"/>
        </w:rPr>
        <w:t xml:space="preserve">’ </w:t>
      </w:r>
      <w:r w:rsidRPr="009A0DA6">
        <w:rPr>
          <w:rFonts w:ascii="Cambria" w:eastAsia="Times New Roman" w:hAnsi="Cambria" w:cstheme="minorHAnsi"/>
          <w:spacing w:val="3"/>
        </w:rPr>
        <w:t>a</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spacing w:val="12"/>
        </w:rPr>
        <w:t xml:space="preserve"> </w:t>
      </w:r>
      <w:r w:rsidRPr="009A0DA6">
        <w:rPr>
          <w:rFonts w:ascii="Cambria" w:eastAsia="Times New Roman" w:hAnsi="Cambria" w:cstheme="minorHAnsi"/>
          <w:spacing w:val="-1"/>
        </w:rPr>
        <w:t>‘</w:t>
      </w:r>
      <w:r w:rsidRPr="009A0DA6">
        <w:rPr>
          <w:rFonts w:ascii="Cambria" w:eastAsia="Times New Roman" w:hAnsi="Cambria" w:cstheme="minorHAnsi"/>
          <w:spacing w:val="1"/>
        </w:rPr>
        <w:t>u</w:t>
      </w:r>
      <w:r w:rsidRPr="009A0DA6">
        <w:rPr>
          <w:rFonts w:ascii="Cambria" w:eastAsia="Times New Roman" w:hAnsi="Cambria" w:cstheme="minorHAnsi"/>
          <w:spacing w:val="-1"/>
        </w:rPr>
        <w:t>n</w:t>
      </w:r>
      <w:r w:rsidRPr="009A0DA6">
        <w:rPr>
          <w:rFonts w:ascii="Cambria" w:eastAsia="Times New Roman" w:hAnsi="Cambria" w:cstheme="minorHAnsi"/>
        </w:rPr>
        <w:t>c</w:t>
      </w:r>
      <w:r w:rsidRPr="009A0DA6">
        <w:rPr>
          <w:rFonts w:ascii="Cambria" w:eastAsia="Times New Roman" w:hAnsi="Cambria" w:cstheme="minorHAnsi"/>
          <w:spacing w:val="4"/>
        </w:rPr>
        <w:t>o</w:t>
      </w:r>
      <w:r w:rsidRPr="009A0DA6">
        <w:rPr>
          <w:rFonts w:ascii="Cambria" w:eastAsia="Times New Roman" w:hAnsi="Cambria" w:cstheme="minorHAnsi"/>
          <w:spacing w:val="-1"/>
        </w:rPr>
        <w:t>mm</w:t>
      </w:r>
      <w:r w:rsidRPr="009A0DA6">
        <w:rPr>
          <w:rFonts w:ascii="Cambria" w:eastAsia="Times New Roman" w:hAnsi="Cambria" w:cstheme="minorHAnsi"/>
          <w:spacing w:val="2"/>
        </w:rPr>
        <w:t>i</w:t>
      </w:r>
      <w:r w:rsidRPr="009A0DA6">
        <w:rPr>
          <w:rFonts w:ascii="Cambria" w:eastAsia="Times New Roman" w:hAnsi="Cambria" w:cstheme="minorHAnsi"/>
        </w:rPr>
        <w:t>tte</w:t>
      </w:r>
      <w:r w:rsidRPr="009A0DA6">
        <w:rPr>
          <w:rFonts w:ascii="Cambria" w:eastAsia="Times New Roman" w:hAnsi="Cambria" w:cstheme="minorHAnsi"/>
          <w:spacing w:val="1"/>
        </w:rPr>
        <w:t>d</w:t>
      </w:r>
      <w:r w:rsidRPr="009A0DA6">
        <w:rPr>
          <w:rFonts w:ascii="Cambria" w:eastAsia="Times New Roman" w:hAnsi="Cambria" w:cstheme="minorHAnsi"/>
          <w:spacing w:val="-1"/>
        </w:rPr>
        <w:t>’</w:t>
      </w:r>
      <w:r w:rsidRPr="009A0DA6">
        <w:rPr>
          <w:rFonts w:ascii="Cambria" w:eastAsia="Times New Roman" w:hAnsi="Cambria" w:cstheme="minorHAnsi"/>
        </w:rPr>
        <w:t>.</w:t>
      </w:r>
      <w:r w:rsidRPr="009A0DA6">
        <w:rPr>
          <w:rFonts w:ascii="Cambria" w:eastAsia="Times New Roman" w:hAnsi="Cambria" w:cstheme="minorHAnsi"/>
          <w:spacing w:val="2"/>
        </w:rPr>
        <w:t xml:space="preserve"> </w:t>
      </w:r>
      <w:r w:rsidRPr="009A0DA6">
        <w:rPr>
          <w:rFonts w:ascii="Cambria" w:eastAsia="Times New Roman" w:hAnsi="Cambria" w:cstheme="minorHAnsi"/>
          <w:spacing w:val="-1"/>
        </w:rPr>
        <w:t>C</w:t>
      </w:r>
      <w:r w:rsidRPr="009A0DA6">
        <w:rPr>
          <w:rFonts w:ascii="Cambria" w:eastAsia="Times New Roman" w:hAnsi="Cambria" w:cstheme="minorHAnsi"/>
          <w:spacing w:val="4"/>
        </w:rPr>
        <w:t>o</w:t>
      </w:r>
      <w:r w:rsidRPr="009A0DA6">
        <w:rPr>
          <w:rFonts w:ascii="Cambria" w:eastAsia="Times New Roman" w:hAnsi="Cambria" w:cstheme="minorHAnsi"/>
          <w:spacing w:val="-1"/>
        </w:rPr>
        <w:t>mm</w:t>
      </w:r>
      <w:r w:rsidRPr="009A0DA6">
        <w:rPr>
          <w:rFonts w:ascii="Cambria" w:eastAsia="Times New Roman" w:hAnsi="Cambria" w:cstheme="minorHAnsi"/>
        </w:rPr>
        <w:t>i</w:t>
      </w:r>
      <w:r w:rsidRPr="009A0DA6">
        <w:rPr>
          <w:rFonts w:ascii="Cambria" w:eastAsia="Times New Roman" w:hAnsi="Cambria" w:cstheme="minorHAnsi"/>
          <w:spacing w:val="2"/>
        </w:rPr>
        <w:t>t</w:t>
      </w:r>
      <w:r w:rsidRPr="009A0DA6">
        <w:rPr>
          <w:rFonts w:ascii="Cambria" w:eastAsia="Times New Roman" w:hAnsi="Cambria" w:cstheme="minorHAnsi"/>
        </w:rPr>
        <w:t>ted</w:t>
      </w:r>
      <w:r w:rsidRPr="009A0DA6">
        <w:rPr>
          <w:rFonts w:ascii="Cambria" w:eastAsia="Times New Roman" w:hAnsi="Cambria" w:cstheme="minorHAnsi"/>
          <w:spacing w:val="4"/>
        </w:rPr>
        <w:t xml:space="preserve"> </w:t>
      </w:r>
      <w:r w:rsidRPr="009A0DA6">
        <w:rPr>
          <w:rFonts w:ascii="Cambria" w:eastAsia="Times New Roman" w:hAnsi="Cambria" w:cstheme="minorHAnsi"/>
        </w:rPr>
        <w:t>ca</w:t>
      </w:r>
      <w:r w:rsidRPr="009A0DA6">
        <w:rPr>
          <w:rFonts w:ascii="Cambria" w:eastAsia="Times New Roman" w:hAnsi="Cambria" w:cstheme="minorHAnsi"/>
          <w:spacing w:val="-1"/>
        </w:rPr>
        <w:t>s</w:t>
      </w:r>
      <w:r w:rsidRPr="009A0DA6">
        <w:rPr>
          <w:rFonts w:ascii="Cambria" w:eastAsia="Times New Roman" w:hAnsi="Cambria" w:cstheme="minorHAnsi"/>
        </w:rPr>
        <w:t>h</w:t>
      </w:r>
      <w:r w:rsidRPr="009A0DA6">
        <w:rPr>
          <w:rFonts w:ascii="Cambria" w:eastAsia="Times New Roman" w:hAnsi="Cambria" w:cstheme="minorHAnsi"/>
          <w:spacing w:val="6"/>
        </w:rPr>
        <w:t xml:space="preserve"> </w:t>
      </w:r>
      <w:r w:rsidRPr="009A0DA6">
        <w:rPr>
          <w:rFonts w:ascii="Cambria" w:eastAsia="Times New Roman" w:hAnsi="Cambria" w:cstheme="minorHAnsi"/>
          <w:spacing w:val="3"/>
        </w:rPr>
        <w:t>a</w:t>
      </w:r>
      <w:r w:rsidRPr="009A0DA6">
        <w:rPr>
          <w:rFonts w:ascii="Cambria" w:eastAsia="Times New Roman" w:hAnsi="Cambria" w:cstheme="minorHAnsi"/>
          <w:spacing w:val="-1"/>
        </w:rPr>
        <w:t>ss</w:t>
      </w:r>
      <w:r w:rsidRPr="009A0DA6">
        <w:rPr>
          <w:rFonts w:ascii="Cambria" w:eastAsia="Times New Roman" w:hAnsi="Cambria" w:cstheme="minorHAnsi"/>
        </w:rPr>
        <w:t>e</w:t>
      </w:r>
      <w:r w:rsidRPr="009A0DA6">
        <w:rPr>
          <w:rFonts w:ascii="Cambria" w:eastAsia="Times New Roman" w:hAnsi="Cambria" w:cstheme="minorHAnsi"/>
          <w:spacing w:val="2"/>
        </w:rPr>
        <w:t>t</w:t>
      </w:r>
      <w:r w:rsidRPr="009A0DA6">
        <w:rPr>
          <w:rFonts w:ascii="Cambria" w:eastAsia="Times New Roman" w:hAnsi="Cambria" w:cstheme="minorHAnsi"/>
        </w:rPr>
        <w:t xml:space="preserve">s </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1"/>
        </w:rPr>
        <w:t>pr</w:t>
      </w:r>
      <w:r w:rsidRPr="009A0DA6">
        <w:rPr>
          <w:rFonts w:ascii="Cambria" w:eastAsia="Times New Roman" w:hAnsi="Cambria" w:cstheme="minorHAnsi"/>
        </w:rPr>
        <w:t>e</w:t>
      </w:r>
      <w:r w:rsidRPr="009A0DA6">
        <w:rPr>
          <w:rFonts w:ascii="Cambria" w:eastAsia="Times New Roman" w:hAnsi="Cambria" w:cstheme="minorHAnsi"/>
          <w:spacing w:val="-1"/>
        </w:rPr>
        <w:t>s</w:t>
      </w:r>
      <w:r w:rsidRPr="009A0DA6">
        <w:rPr>
          <w:rFonts w:ascii="Cambria" w:eastAsia="Times New Roman" w:hAnsi="Cambria" w:cstheme="minorHAnsi"/>
        </w:rPr>
        <w:t>e</w:t>
      </w:r>
      <w:r w:rsidRPr="009A0DA6">
        <w:rPr>
          <w:rFonts w:ascii="Cambria" w:eastAsia="Times New Roman" w:hAnsi="Cambria" w:cstheme="minorHAnsi"/>
          <w:spacing w:val="-1"/>
        </w:rPr>
        <w:t>n</w:t>
      </w:r>
      <w:r w:rsidRPr="009A0DA6">
        <w:rPr>
          <w:rFonts w:ascii="Cambria" w:eastAsia="Times New Roman" w:hAnsi="Cambria" w:cstheme="minorHAnsi"/>
        </w:rPr>
        <w:t xml:space="preserve">t </w:t>
      </w:r>
      <w:r w:rsidRPr="009A0DA6">
        <w:rPr>
          <w:rFonts w:ascii="Cambria" w:eastAsia="Times New Roman" w:hAnsi="Cambria" w:cstheme="minorHAnsi"/>
          <w:spacing w:val="2"/>
        </w:rPr>
        <w:t>t</w:t>
      </w:r>
      <w:r w:rsidRPr="009A0DA6">
        <w:rPr>
          <w:rFonts w:ascii="Cambria" w:eastAsia="Times New Roman" w:hAnsi="Cambria" w:cstheme="minorHAnsi"/>
          <w:spacing w:val="-1"/>
        </w:rPr>
        <w:t>h</w:t>
      </w:r>
      <w:r w:rsidRPr="009A0DA6">
        <w:rPr>
          <w:rFonts w:ascii="Cambria" w:eastAsia="Times New Roman" w:hAnsi="Cambria" w:cstheme="minorHAnsi"/>
          <w:spacing w:val="1"/>
        </w:rPr>
        <w:t>o</w:t>
      </w:r>
      <w:r w:rsidRPr="009A0DA6">
        <w:rPr>
          <w:rFonts w:ascii="Cambria" w:eastAsia="Times New Roman" w:hAnsi="Cambria" w:cstheme="minorHAnsi"/>
          <w:spacing w:val="-1"/>
        </w:rPr>
        <w:t>s</w:t>
      </w:r>
      <w:r w:rsidRPr="009A0DA6">
        <w:rPr>
          <w:rFonts w:ascii="Cambria" w:eastAsia="Times New Roman" w:hAnsi="Cambria" w:cstheme="minorHAnsi"/>
        </w:rPr>
        <w:t>e</w:t>
      </w:r>
      <w:r w:rsidRPr="009A0DA6">
        <w:rPr>
          <w:rFonts w:ascii="Cambria" w:eastAsia="Times New Roman" w:hAnsi="Cambria" w:cstheme="minorHAnsi"/>
          <w:spacing w:val="6"/>
        </w:rPr>
        <w:t xml:space="preserve"> </w:t>
      </w:r>
      <w:r w:rsidRPr="009A0DA6">
        <w:rPr>
          <w:rFonts w:ascii="Cambria" w:eastAsia="Times New Roman" w:hAnsi="Cambria" w:cstheme="minorHAnsi"/>
          <w:spacing w:val="-4"/>
        </w:rPr>
        <w:t>m</w:t>
      </w:r>
      <w:r w:rsidRPr="009A0DA6">
        <w:rPr>
          <w:rFonts w:ascii="Cambria" w:eastAsia="Times New Roman" w:hAnsi="Cambria" w:cstheme="minorHAnsi"/>
          <w:spacing w:val="4"/>
        </w:rPr>
        <w:t>o</w:t>
      </w:r>
      <w:r w:rsidRPr="009A0DA6">
        <w:rPr>
          <w:rFonts w:ascii="Cambria" w:eastAsia="Times New Roman" w:hAnsi="Cambria" w:cstheme="minorHAnsi"/>
          <w:spacing w:val="-1"/>
        </w:rPr>
        <w:t>n</w:t>
      </w:r>
      <w:r w:rsidRPr="009A0DA6">
        <w:rPr>
          <w:rFonts w:ascii="Cambria" w:eastAsia="Times New Roman" w:hAnsi="Cambria" w:cstheme="minorHAnsi"/>
          <w:spacing w:val="3"/>
        </w:rPr>
        <w:t>e</w:t>
      </w:r>
      <w:r w:rsidRPr="009A0DA6">
        <w:rPr>
          <w:rFonts w:ascii="Cambria" w:eastAsia="Times New Roman" w:hAnsi="Cambria" w:cstheme="minorHAnsi"/>
          <w:spacing w:val="-1"/>
        </w:rPr>
        <w:t>y</w:t>
      </w:r>
      <w:r w:rsidRPr="009A0DA6">
        <w:rPr>
          <w:rFonts w:ascii="Cambria" w:eastAsia="Times New Roman" w:hAnsi="Cambria" w:cstheme="minorHAnsi"/>
        </w:rPr>
        <w:t>s</w:t>
      </w:r>
      <w:r w:rsidRPr="009A0DA6">
        <w:rPr>
          <w:rFonts w:ascii="Cambria" w:eastAsia="Times New Roman" w:hAnsi="Cambria" w:cstheme="minorHAnsi"/>
          <w:spacing w:val="3"/>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spacing w:val="3"/>
        </w:rPr>
        <w:t>a</w:t>
      </w:r>
      <w:r w:rsidRPr="009A0DA6">
        <w:rPr>
          <w:rFonts w:ascii="Cambria" w:eastAsia="Times New Roman" w:hAnsi="Cambria" w:cstheme="minorHAnsi"/>
        </w:rPr>
        <w:t>t</w:t>
      </w:r>
      <w:r w:rsidRPr="009A0DA6">
        <w:rPr>
          <w:rFonts w:ascii="Cambria" w:eastAsia="Times New Roman" w:hAnsi="Cambria" w:cstheme="minorHAnsi"/>
          <w:spacing w:val="4"/>
        </w:rPr>
        <w:t xml:space="preserve"> </w:t>
      </w:r>
      <w:r w:rsidRPr="009A0DA6">
        <w:rPr>
          <w:rFonts w:ascii="Cambria" w:eastAsia="Times New Roman" w:hAnsi="Cambria" w:cstheme="minorHAnsi"/>
          <w:spacing w:val="2"/>
        </w:rPr>
        <w:t>s</w:t>
      </w:r>
      <w:r w:rsidRPr="009A0DA6">
        <w:rPr>
          <w:rFonts w:ascii="Cambria" w:eastAsia="Times New Roman" w:hAnsi="Cambria" w:cstheme="minorHAnsi"/>
          <w:spacing w:val="-1"/>
        </w:rPr>
        <w:t>u</w:t>
      </w:r>
      <w:r w:rsidRPr="009A0DA6">
        <w:rPr>
          <w:rFonts w:ascii="Cambria" w:eastAsia="Times New Roman" w:hAnsi="Cambria" w:cstheme="minorHAnsi"/>
          <w:spacing w:val="1"/>
        </w:rPr>
        <w:t>ppor</w:t>
      </w:r>
      <w:r w:rsidRPr="009A0DA6">
        <w:rPr>
          <w:rFonts w:ascii="Cambria" w:eastAsia="Times New Roman" w:hAnsi="Cambria" w:cstheme="minorHAnsi"/>
        </w:rPr>
        <w:t>t</w:t>
      </w:r>
      <w:r w:rsidRPr="009A0DA6">
        <w:rPr>
          <w:rFonts w:ascii="Cambria" w:eastAsia="Times New Roman" w:hAnsi="Cambria" w:cstheme="minorHAnsi"/>
          <w:spacing w:val="1"/>
        </w:rPr>
        <w:t xml:space="preserve"> </w:t>
      </w:r>
      <w:r w:rsidRPr="009A0DA6">
        <w:rPr>
          <w:rFonts w:ascii="Cambria" w:eastAsia="Times New Roman" w:hAnsi="Cambria" w:cstheme="minorHAnsi"/>
          <w:spacing w:val="-1"/>
        </w:rPr>
        <w:t>s</w:t>
      </w:r>
      <w:r w:rsidRPr="009A0DA6">
        <w:rPr>
          <w:rFonts w:ascii="Cambria" w:eastAsia="Times New Roman" w:hAnsi="Cambria" w:cstheme="minorHAnsi"/>
          <w:spacing w:val="1"/>
        </w:rPr>
        <w:t>p</w:t>
      </w:r>
      <w:r w:rsidRPr="009A0DA6">
        <w:rPr>
          <w:rFonts w:ascii="Cambria" w:eastAsia="Times New Roman" w:hAnsi="Cambria" w:cstheme="minorHAnsi"/>
        </w:rPr>
        <w:t>ecial</w:t>
      </w:r>
      <w:r w:rsidRPr="009A0DA6">
        <w:rPr>
          <w:rFonts w:ascii="Cambria" w:eastAsia="Times New Roman" w:hAnsi="Cambria" w:cstheme="minorHAnsi"/>
          <w:spacing w:val="1"/>
        </w:rPr>
        <w:t xml:space="preserve"> fu</w:t>
      </w:r>
      <w:r w:rsidRPr="009A0DA6">
        <w:rPr>
          <w:rFonts w:ascii="Cambria" w:eastAsia="Times New Roman" w:hAnsi="Cambria" w:cstheme="minorHAnsi"/>
          <w:spacing w:val="-1"/>
        </w:rPr>
        <w:t>n</w:t>
      </w:r>
      <w:r w:rsidRPr="009A0DA6">
        <w:rPr>
          <w:rFonts w:ascii="Cambria" w:eastAsia="Times New Roman" w:hAnsi="Cambria" w:cstheme="minorHAnsi"/>
          <w:spacing w:val="1"/>
        </w:rPr>
        <w:t>d</w:t>
      </w:r>
      <w:r w:rsidRPr="009A0DA6">
        <w:rPr>
          <w:rFonts w:ascii="Cambria" w:eastAsia="Times New Roman" w:hAnsi="Cambria" w:cstheme="minorHAnsi"/>
        </w:rPr>
        <w:t>s</w:t>
      </w:r>
      <w:r w:rsidRPr="009A0DA6">
        <w:rPr>
          <w:rFonts w:ascii="Cambria" w:eastAsia="Times New Roman" w:hAnsi="Cambria" w:cstheme="minorHAnsi"/>
          <w:spacing w:val="3"/>
        </w:rPr>
        <w:t xml:space="preserve"> a</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spacing w:val="6"/>
        </w:rPr>
        <w:t xml:space="preserve"> </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1"/>
        </w:rPr>
        <w:t>s</w:t>
      </w:r>
      <w:r w:rsidRPr="009A0DA6">
        <w:rPr>
          <w:rFonts w:ascii="Cambria" w:eastAsia="Times New Roman" w:hAnsi="Cambria" w:cstheme="minorHAnsi"/>
        </w:rPr>
        <w:t>e</w:t>
      </w:r>
      <w:r w:rsidRPr="009A0DA6">
        <w:rPr>
          <w:rFonts w:ascii="Cambria" w:eastAsia="Times New Roman" w:hAnsi="Cambria" w:cstheme="minorHAnsi"/>
          <w:spacing w:val="3"/>
        </w:rPr>
        <w:t>r</w:t>
      </w:r>
      <w:r w:rsidRPr="009A0DA6">
        <w:rPr>
          <w:rFonts w:ascii="Cambria" w:eastAsia="Times New Roman" w:hAnsi="Cambria" w:cstheme="minorHAnsi"/>
          <w:spacing w:val="-1"/>
        </w:rPr>
        <w:t>v</w:t>
      </w:r>
      <w:r w:rsidRPr="009A0DA6">
        <w:rPr>
          <w:rFonts w:ascii="Cambria" w:eastAsia="Times New Roman" w:hAnsi="Cambria" w:cstheme="minorHAnsi"/>
        </w:rPr>
        <w:t xml:space="preserve">es </w:t>
      </w:r>
      <w:r w:rsidRPr="009A0DA6">
        <w:rPr>
          <w:rFonts w:ascii="Cambria" w:eastAsia="Times New Roman" w:hAnsi="Cambria" w:cstheme="minorHAnsi"/>
          <w:spacing w:val="4"/>
        </w:rPr>
        <w:t>o</w:t>
      </w:r>
      <w:r w:rsidRPr="009A0DA6">
        <w:rPr>
          <w:rFonts w:ascii="Cambria" w:eastAsia="Times New Roman" w:hAnsi="Cambria" w:cstheme="minorHAnsi"/>
        </w:rPr>
        <w:t>f</w:t>
      </w:r>
      <w:r w:rsidRPr="009A0DA6">
        <w:rPr>
          <w:rFonts w:ascii="Cambria" w:eastAsia="Times New Roman" w:hAnsi="Cambria" w:cstheme="minorHAnsi"/>
          <w:spacing w:val="4"/>
        </w:rPr>
        <w:t xml:space="preserve"> </w:t>
      </w:r>
      <w:r w:rsidRPr="009A0DA6">
        <w:rPr>
          <w:rFonts w:ascii="Cambria" w:eastAsia="Times New Roman" w:hAnsi="Cambria" w:cstheme="minorHAnsi"/>
          <w:spacing w:val="2"/>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8"/>
        </w:rPr>
        <w:t xml:space="preserve"> </w:t>
      </w:r>
      <w:r w:rsidR="00336CE0" w:rsidRPr="009A0DA6">
        <w:rPr>
          <w:rFonts w:ascii="Cambria" w:eastAsia="Times New Roman" w:hAnsi="Cambria" w:cstheme="minorHAnsi"/>
          <w:spacing w:val="2"/>
        </w:rPr>
        <w:t>church</w:t>
      </w:r>
      <w:r w:rsidRPr="009A0DA6">
        <w:rPr>
          <w:rFonts w:ascii="Cambria" w:eastAsia="Times New Roman" w:hAnsi="Cambria" w:cstheme="minorHAnsi"/>
        </w:rPr>
        <w:t xml:space="preserve"> as</w:t>
      </w:r>
      <w:r w:rsidRPr="009A0DA6">
        <w:rPr>
          <w:rFonts w:ascii="Cambria" w:eastAsia="Times New Roman" w:hAnsi="Cambria" w:cstheme="minorHAnsi"/>
          <w:spacing w:val="7"/>
        </w:rPr>
        <w:t xml:space="preserve"> </w:t>
      </w:r>
      <w:r w:rsidRPr="009A0DA6">
        <w:rPr>
          <w:rFonts w:ascii="Cambria" w:eastAsia="Times New Roman" w:hAnsi="Cambria" w:cstheme="minorHAnsi"/>
          <w:spacing w:val="-1"/>
        </w:rPr>
        <w:t>n</w:t>
      </w:r>
      <w:r w:rsidRPr="009A0DA6">
        <w:rPr>
          <w:rFonts w:ascii="Cambria" w:eastAsia="Times New Roman" w:hAnsi="Cambria" w:cstheme="minorHAnsi"/>
          <w:spacing w:val="1"/>
        </w:rPr>
        <w:t>o</w:t>
      </w:r>
      <w:r w:rsidRPr="009A0DA6">
        <w:rPr>
          <w:rFonts w:ascii="Cambria" w:eastAsia="Times New Roman" w:hAnsi="Cambria" w:cstheme="minorHAnsi"/>
        </w:rPr>
        <w:t>ted</w:t>
      </w:r>
      <w:r w:rsidRPr="009A0DA6">
        <w:rPr>
          <w:rFonts w:ascii="Cambria" w:eastAsia="Times New Roman" w:hAnsi="Cambria" w:cstheme="minorHAnsi"/>
          <w:spacing w:val="5"/>
        </w:rPr>
        <w:t xml:space="preserve"> </w:t>
      </w:r>
      <w:r w:rsidRPr="009A0DA6">
        <w:rPr>
          <w:rFonts w:ascii="Cambria" w:eastAsia="Times New Roman" w:hAnsi="Cambria" w:cstheme="minorHAnsi"/>
        </w:rPr>
        <w:t>a</w:t>
      </w:r>
      <w:r w:rsidRPr="009A0DA6">
        <w:rPr>
          <w:rFonts w:ascii="Cambria" w:eastAsia="Times New Roman" w:hAnsi="Cambria" w:cstheme="minorHAnsi"/>
          <w:spacing w:val="4"/>
        </w:rPr>
        <w:t>b</w:t>
      </w:r>
      <w:r w:rsidRPr="009A0DA6">
        <w:rPr>
          <w:rFonts w:ascii="Cambria" w:eastAsia="Times New Roman" w:hAnsi="Cambria" w:cstheme="minorHAnsi"/>
          <w:spacing w:val="1"/>
        </w:rPr>
        <w:t>o</w:t>
      </w:r>
      <w:r w:rsidRPr="009A0DA6">
        <w:rPr>
          <w:rFonts w:ascii="Cambria" w:eastAsia="Times New Roman" w:hAnsi="Cambria" w:cstheme="minorHAnsi"/>
          <w:spacing w:val="-1"/>
        </w:rPr>
        <w:t>v</w:t>
      </w:r>
      <w:r w:rsidRPr="009A0DA6">
        <w:rPr>
          <w:rFonts w:ascii="Cambria" w:eastAsia="Times New Roman" w:hAnsi="Cambria" w:cstheme="minorHAnsi"/>
        </w:rPr>
        <w:t>e.</w:t>
      </w:r>
      <w:r w:rsidRPr="009A0DA6">
        <w:rPr>
          <w:rFonts w:ascii="Cambria" w:eastAsia="Times New Roman" w:hAnsi="Cambria" w:cstheme="minorHAnsi"/>
          <w:spacing w:val="3"/>
        </w:rPr>
        <w:t xml:space="preserve"> </w:t>
      </w:r>
      <w:r w:rsidRPr="009A0DA6">
        <w:rPr>
          <w:rFonts w:ascii="Cambria" w:eastAsia="Times New Roman" w:hAnsi="Cambria" w:cstheme="minorHAnsi"/>
          <w:spacing w:val="-1"/>
        </w:rPr>
        <w:t>R</w:t>
      </w:r>
      <w:r w:rsidRPr="009A0DA6">
        <w:rPr>
          <w:rFonts w:ascii="Cambria" w:eastAsia="Times New Roman" w:hAnsi="Cambria" w:cstheme="minorHAnsi"/>
          <w:spacing w:val="3"/>
        </w:rPr>
        <w:t>e</w:t>
      </w:r>
      <w:r w:rsidRPr="009A0DA6">
        <w:rPr>
          <w:rFonts w:ascii="Cambria" w:eastAsia="Times New Roman" w:hAnsi="Cambria" w:cstheme="minorHAnsi"/>
          <w:spacing w:val="-1"/>
        </w:rPr>
        <w:t>f</w:t>
      </w:r>
      <w:r w:rsidRPr="009A0DA6">
        <w:rPr>
          <w:rFonts w:ascii="Cambria" w:eastAsia="Times New Roman" w:hAnsi="Cambria" w:cstheme="minorHAnsi"/>
        </w:rPr>
        <w:t>er N</w:t>
      </w:r>
      <w:r w:rsidRPr="009A0DA6">
        <w:rPr>
          <w:rFonts w:ascii="Cambria" w:eastAsia="Times New Roman" w:hAnsi="Cambria" w:cstheme="minorHAnsi"/>
          <w:spacing w:val="1"/>
        </w:rPr>
        <w:t>o</w:t>
      </w:r>
      <w:r w:rsidRPr="009A0DA6">
        <w:rPr>
          <w:rFonts w:ascii="Cambria" w:eastAsia="Times New Roman" w:hAnsi="Cambria" w:cstheme="minorHAnsi"/>
        </w:rPr>
        <w:t>te</w:t>
      </w:r>
      <w:r w:rsidRPr="009A0DA6">
        <w:rPr>
          <w:rFonts w:ascii="Cambria" w:eastAsia="Times New Roman" w:hAnsi="Cambria" w:cstheme="minorHAnsi"/>
          <w:spacing w:val="-3"/>
        </w:rPr>
        <w:t xml:space="preserve"> </w:t>
      </w:r>
      <w:r w:rsidRPr="009A0DA6">
        <w:rPr>
          <w:rFonts w:ascii="Cambria" w:eastAsia="Times New Roman" w:hAnsi="Cambria" w:cstheme="minorHAnsi"/>
        </w:rPr>
        <w:t>2</w:t>
      </w:r>
      <w:r w:rsidRPr="009A0DA6">
        <w:rPr>
          <w:rFonts w:ascii="Cambria" w:eastAsia="Times New Roman" w:hAnsi="Cambria" w:cstheme="minorHAnsi"/>
          <w:spacing w:val="1"/>
        </w:rPr>
        <w:t xml:space="preserve"> </w:t>
      </w:r>
      <w:r w:rsidRPr="009A0DA6">
        <w:rPr>
          <w:rFonts w:ascii="Cambria" w:eastAsia="Times New Roman" w:hAnsi="Cambria" w:cstheme="minorHAnsi"/>
        </w:rPr>
        <w:t>in</w:t>
      </w:r>
      <w:r w:rsidRPr="009A0DA6">
        <w:rPr>
          <w:rFonts w:ascii="Cambria" w:eastAsia="Times New Roman" w:hAnsi="Cambria" w:cstheme="minorHAnsi"/>
          <w:spacing w:val="-3"/>
        </w:rPr>
        <w:t xml:space="preserve"> </w:t>
      </w:r>
      <w:r w:rsidRPr="009A0DA6">
        <w:rPr>
          <w:rFonts w:ascii="Cambria" w:eastAsia="Times New Roman" w:hAnsi="Cambria" w:cstheme="minorHAnsi"/>
          <w:spacing w:val="1"/>
        </w:rPr>
        <w:t>r</w:t>
      </w:r>
      <w:r w:rsidRPr="009A0DA6">
        <w:rPr>
          <w:rFonts w:ascii="Cambria" w:eastAsia="Times New Roman" w:hAnsi="Cambria" w:cstheme="minorHAnsi"/>
        </w:rPr>
        <w:t>elati</w:t>
      </w:r>
      <w:r w:rsidRPr="009A0DA6">
        <w:rPr>
          <w:rFonts w:ascii="Cambria" w:eastAsia="Times New Roman" w:hAnsi="Cambria" w:cstheme="minorHAnsi"/>
          <w:spacing w:val="1"/>
        </w:rPr>
        <w:t>o</w:t>
      </w:r>
      <w:r w:rsidRPr="009A0DA6">
        <w:rPr>
          <w:rFonts w:ascii="Cambria" w:eastAsia="Times New Roman" w:hAnsi="Cambria" w:cstheme="minorHAnsi"/>
        </w:rPr>
        <w:t>n</w:t>
      </w:r>
      <w:r w:rsidRPr="009A0DA6">
        <w:rPr>
          <w:rFonts w:ascii="Cambria" w:eastAsia="Times New Roman" w:hAnsi="Cambria" w:cstheme="minorHAnsi"/>
          <w:spacing w:val="-7"/>
        </w:rPr>
        <w:t xml:space="preserve"> </w:t>
      </w:r>
      <w:r w:rsidRPr="009A0DA6">
        <w:rPr>
          <w:rFonts w:ascii="Cambria" w:eastAsia="Times New Roman" w:hAnsi="Cambria" w:cstheme="minorHAnsi"/>
        </w:rPr>
        <w:t>to 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1"/>
        </w:rPr>
        <w:t>s</w:t>
      </w:r>
      <w:r w:rsidRPr="009A0DA6">
        <w:rPr>
          <w:rFonts w:ascii="Cambria" w:eastAsia="Times New Roman" w:hAnsi="Cambria" w:cstheme="minorHAnsi"/>
        </w:rPr>
        <w:t>e</w:t>
      </w:r>
      <w:r w:rsidRPr="009A0DA6">
        <w:rPr>
          <w:rFonts w:ascii="Cambria" w:eastAsia="Times New Roman" w:hAnsi="Cambria" w:cstheme="minorHAnsi"/>
          <w:spacing w:val="-3"/>
        </w:rPr>
        <w:t xml:space="preserve"> </w:t>
      </w:r>
      <w:r w:rsidRPr="009A0DA6">
        <w:rPr>
          <w:rFonts w:ascii="Cambria" w:eastAsia="Times New Roman" w:hAnsi="Cambria" w:cstheme="minorHAnsi"/>
          <w:spacing w:val="1"/>
        </w:rPr>
        <w:t>d</w:t>
      </w:r>
      <w:r w:rsidRPr="009A0DA6">
        <w:rPr>
          <w:rFonts w:ascii="Cambria" w:eastAsia="Times New Roman" w:hAnsi="Cambria" w:cstheme="minorHAnsi"/>
        </w:rPr>
        <w:t>i</w:t>
      </w:r>
      <w:r w:rsidRPr="009A0DA6">
        <w:rPr>
          <w:rFonts w:ascii="Cambria" w:eastAsia="Times New Roman" w:hAnsi="Cambria" w:cstheme="minorHAnsi"/>
          <w:spacing w:val="-1"/>
        </w:rPr>
        <w:t>s</w:t>
      </w:r>
      <w:r w:rsidRPr="009A0DA6">
        <w:rPr>
          <w:rFonts w:ascii="Cambria" w:eastAsia="Times New Roman" w:hAnsi="Cambria" w:cstheme="minorHAnsi"/>
          <w:spacing w:val="3"/>
        </w:rPr>
        <w:t>c</w:t>
      </w:r>
      <w:r w:rsidRPr="009A0DA6">
        <w:rPr>
          <w:rFonts w:ascii="Cambria" w:eastAsia="Times New Roman" w:hAnsi="Cambria" w:cstheme="minorHAnsi"/>
        </w:rPr>
        <w:t>l</w:t>
      </w:r>
      <w:r w:rsidRPr="009A0DA6">
        <w:rPr>
          <w:rFonts w:ascii="Cambria" w:eastAsia="Times New Roman" w:hAnsi="Cambria" w:cstheme="minorHAnsi"/>
          <w:spacing w:val="1"/>
        </w:rPr>
        <w:t>o</w:t>
      </w:r>
      <w:r w:rsidRPr="009A0DA6">
        <w:rPr>
          <w:rFonts w:ascii="Cambria" w:eastAsia="Times New Roman" w:hAnsi="Cambria" w:cstheme="minorHAnsi"/>
          <w:spacing w:val="-1"/>
        </w:rPr>
        <w:t>su</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1"/>
        </w:rPr>
        <w:t>s</w:t>
      </w:r>
      <w:r w:rsidRPr="009A0DA6">
        <w:rPr>
          <w:rFonts w:ascii="Cambria" w:eastAsia="Times New Roman" w:hAnsi="Cambria" w:cstheme="minorHAnsi"/>
        </w:rPr>
        <w:t>.</w:t>
      </w:r>
    </w:p>
    <w:p w14:paraId="7BA96F87" w14:textId="77777777" w:rsidR="00B81951" w:rsidRPr="007408EE" w:rsidRDefault="00B81951" w:rsidP="00BA4592">
      <w:pPr>
        <w:tabs>
          <w:tab w:val="center" w:pos="4394"/>
          <w:tab w:val="right" w:pos="6095"/>
          <w:tab w:val="right" w:pos="7371"/>
          <w:tab w:val="right" w:pos="8647"/>
        </w:tabs>
        <w:spacing w:before="120" w:after="120" w:line="240" w:lineRule="auto"/>
        <w:ind w:right="-51"/>
        <w:contextualSpacing/>
        <w:rPr>
          <w:rFonts w:ascii="Cambria" w:eastAsia="Times New Roman" w:hAnsi="Cambria" w:cstheme="minorHAnsi"/>
          <w:i/>
          <w:spacing w:val="1"/>
          <w:w w:val="109"/>
          <w:sz w:val="10"/>
        </w:rPr>
      </w:pPr>
    </w:p>
    <w:p w14:paraId="3284466A" w14:textId="21F2D386" w:rsidR="00BA4592" w:rsidRPr="009A0DA6" w:rsidRDefault="00BA4592" w:rsidP="00BA4592">
      <w:pPr>
        <w:tabs>
          <w:tab w:val="center" w:pos="4394"/>
          <w:tab w:val="right" w:pos="6095"/>
          <w:tab w:val="right" w:pos="7371"/>
          <w:tab w:val="right" w:pos="8647"/>
        </w:tabs>
        <w:spacing w:before="120" w:after="120" w:line="240" w:lineRule="auto"/>
        <w:ind w:right="-51"/>
        <w:contextualSpacing/>
        <w:rPr>
          <w:rFonts w:ascii="Cambria" w:eastAsia="Times New Roman" w:hAnsi="Cambria" w:cstheme="minorHAnsi"/>
          <w:b/>
        </w:rPr>
      </w:pPr>
      <w:r w:rsidRPr="009A0DA6">
        <w:rPr>
          <w:rFonts w:ascii="Cambria" w:eastAsia="Times New Roman" w:hAnsi="Cambria" w:cstheme="minorHAnsi"/>
          <w:b/>
          <w:spacing w:val="1"/>
          <w:w w:val="109"/>
        </w:rPr>
        <w:t>P</w:t>
      </w:r>
      <w:r w:rsidRPr="009A0DA6">
        <w:rPr>
          <w:rFonts w:ascii="Cambria" w:eastAsia="Times New Roman" w:hAnsi="Cambria" w:cstheme="minorHAnsi"/>
          <w:b/>
          <w:w w:val="132"/>
        </w:rPr>
        <w:t>r</w:t>
      </w:r>
      <w:r w:rsidRPr="009A0DA6">
        <w:rPr>
          <w:rFonts w:ascii="Cambria" w:eastAsia="Times New Roman" w:hAnsi="Cambria" w:cstheme="minorHAnsi"/>
          <w:b/>
          <w:spacing w:val="1"/>
          <w:w w:val="99"/>
        </w:rPr>
        <w:t>ov</w:t>
      </w:r>
      <w:r w:rsidRPr="009A0DA6">
        <w:rPr>
          <w:rFonts w:ascii="Cambria" w:eastAsia="Times New Roman" w:hAnsi="Cambria" w:cstheme="minorHAnsi"/>
          <w:b/>
          <w:w w:val="99"/>
        </w:rPr>
        <w:t>i</w:t>
      </w:r>
      <w:r w:rsidRPr="009A0DA6">
        <w:rPr>
          <w:rFonts w:ascii="Cambria" w:eastAsia="Times New Roman" w:hAnsi="Cambria" w:cstheme="minorHAnsi"/>
          <w:b/>
          <w:spacing w:val="-1"/>
          <w:w w:val="99"/>
        </w:rPr>
        <w:t>s</w:t>
      </w:r>
      <w:r w:rsidRPr="009A0DA6">
        <w:rPr>
          <w:rFonts w:ascii="Cambria" w:eastAsia="Times New Roman" w:hAnsi="Cambria" w:cstheme="minorHAnsi"/>
          <w:b/>
          <w:w w:val="99"/>
        </w:rPr>
        <w:t>i</w:t>
      </w:r>
      <w:r w:rsidRPr="009A0DA6">
        <w:rPr>
          <w:rFonts w:ascii="Cambria" w:eastAsia="Times New Roman" w:hAnsi="Cambria" w:cstheme="minorHAnsi"/>
          <w:b/>
          <w:spacing w:val="1"/>
          <w:w w:val="99"/>
        </w:rPr>
        <w:t>o</w:t>
      </w:r>
      <w:r w:rsidRPr="009A0DA6">
        <w:rPr>
          <w:rFonts w:ascii="Cambria" w:eastAsia="Times New Roman" w:hAnsi="Cambria" w:cstheme="minorHAnsi"/>
          <w:b/>
          <w:w w:val="110"/>
        </w:rPr>
        <w:t>n</w:t>
      </w:r>
      <w:r w:rsidRPr="009A0DA6">
        <w:rPr>
          <w:rFonts w:ascii="Cambria" w:eastAsia="Times New Roman" w:hAnsi="Cambria" w:cstheme="minorHAnsi"/>
          <w:b/>
          <w:w w:val="99"/>
        </w:rPr>
        <w:t>s</w:t>
      </w:r>
      <w:r w:rsidRPr="009A0DA6">
        <w:rPr>
          <w:rFonts w:ascii="Cambria" w:eastAsia="Times New Roman" w:hAnsi="Cambria" w:cstheme="minorHAnsi"/>
          <w:b/>
        </w:rPr>
        <w:t xml:space="preserve"> </w:t>
      </w:r>
      <w:r w:rsidRPr="009A0DA6">
        <w:rPr>
          <w:rFonts w:ascii="Cambria" w:eastAsia="Times New Roman" w:hAnsi="Cambria" w:cstheme="minorHAnsi"/>
          <w:b/>
          <w:spacing w:val="1"/>
        </w:rPr>
        <w:t>a</w:t>
      </w:r>
      <w:r w:rsidRPr="009A0DA6">
        <w:rPr>
          <w:rFonts w:ascii="Cambria" w:eastAsia="Times New Roman" w:hAnsi="Cambria" w:cstheme="minorHAnsi"/>
          <w:b/>
        </w:rPr>
        <w:t>nd</w:t>
      </w:r>
      <w:r w:rsidRPr="009A0DA6">
        <w:rPr>
          <w:rFonts w:ascii="Cambria" w:eastAsia="Times New Roman" w:hAnsi="Cambria" w:cstheme="minorHAnsi"/>
          <w:b/>
          <w:spacing w:val="31"/>
        </w:rPr>
        <w:t xml:space="preserve"> </w:t>
      </w:r>
      <w:r w:rsidRPr="009A0DA6">
        <w:rPr>
          <w:rFonts w:ascii="Cambria" w:eastAsia="Times New Roman" w:hAnsi="Cambria" w:cstheme="minorHAnsi"/>
          <w:b/>
          <w:spacing w:val="-1"/>
        </w:rPr>
        <w:t>s</w:t>
      </w:r>
      <w:r w:rsidRPr="009A0DA6">
        <w:rPr>
          <w:rFonts w:ascii="Cambria" w:eastAsia="Times New Roman" w:hAnsi="Cambria" w:cstheme="minorHAnsi"/>
          <w:b/>
        </w:rPr>
        <w:t>peci</w:t>
      </w:r>
      <w:r w:rsidRPr="009A0DA6">
        <w:rPr>
          <w:rFonts w:ascii="Cambria" w:eastAsia="Times New Roman" w:hAnsi="Cambria" w:cstheme="minorHAnsi"/>
          <w:b/>
          <w:spacing w:val="1"/>
        </w:rPr>
        <w:t>f</w:t>
      </w:r>
      <w:r w:rsidRPr="009A0DA6">
        <w:rPr>
          <w:rFonts w:ascii="Cambria" w:eastAsia="Times New Roman" w:hAnsi="Cambria" w:cstheme="minorHAnsi"/>
          <w:b/>
        </w:rPr>
        <w:t>ic</w:t>
      </w:r>
      <w:r w:rsidRPr="009A0DA6">
        <w:rPr>
          <w:rFonts w:ascii="Cambria" w:eastAsia="Times New Roman" w:hAnsi="Cambria" w:cstheme="minorHAnsi"/>
          <w:b/>
          <w:spacing w:val="6"/>
        </w:rPr>
        <w:t xml:space="preserve"> </w:t>
      </w:r>
      <w:r w:rsidRPr="009A0DA6">
        <w:rPr>
          <w:rFonts w:ascii="Cambria" w:eastAsia="Times New Roman" w:hAnsi="Cambria" w:cstheme="minorHAnsi"/>
          <w:b/>
          <w:spacing w:val="1"/>
        </w:rPr>
        <w:t>f</w:t>
      </w:r>
      <w:r w:rsidRPr="009A0DA6">
        <w:rPr>
          <w:rFonts w:ascii="Cambria" w:eastAsia="Times New Roman" w:hAnsi="Cambria" w:cstheme="minorHAnsi"/>
          <w:b/>
          <w:spacing w:val="2"/>
        </w:rPr>
        <w:t>u</w:t>
      </w:r>
      <w:r w:rsidRPr="009A0DA6">
        <w:rPr>
          <w:rFonts w:ascii="Cambria" w:eastAsia="Times New Roman" w:hAnsi="Cambria" w:cstheme="minorHAnsi"/>
          <w:b/>
        </w:rPr>
        <w:t>n</w:t>
      </w:r>
      <w:r w:rsidRPr="009A0DA6">
        <w:rPr>
          <w:rFonts w:ascii="Cambria" w:eastAsia="Times New Roman" w:hAnsi="Cambria" w:cstheme="minorHAnsi"/>
          <w:b/>
          <w:spacing w:val="2"/>
        </w:rPr>
        <w:t>d</w:t>
      </w:r>
      <w:r w:rsidRPr="009A0DA6">
        <w:rPr>
          <w:rFonts w:ascii="Cambria" w:eastAsia="Times New Roman" w:hAnsi="Cambria" w:cstheme="minorHAnsi"/>
          <w:b/>
        </w:rPr>
        <w:t>s</w:t>
      </w:r>
      <w:r w:rsidRPr="009A0DA6">
        <w:rPr>
          <w:rFonts w:ascii="Cambria" w:eastAsia="Times New Roman" w:hAnsi="Cambria" w:cstheme="minorHAnsi"/>
          <w:b/>
          <w:spacing w:val="29"/>
        </w:rPr>
        <w:t xml:space="preserve"> </w:t>
      </w:r>
      <w:r w:rsidRPr="009A0DA6">
        <w:rPr>
          <w:rFonts w:ascii="Cambria" w:eastAsia="Times New Roman" w:hAnsi="Cambria" w:cstheme="minorHAnsi"/>
          <w:b/>
          <w:w w:val="110"/>
        </w:rPr>
        <w:t>h</w:t>
      </w:r>
      <w:r w:rsidRPr="009A0DA6">
        <w:rPr>
          <w:rFonts w:ascii="Cambria" w:eastAsia="Times New Roman" w:hAnsi="Cambria" w:cstheme="minorHAnsi"/>
          <w:b/>
          <w:w w:val="99"/>
        </w:rPr>
        <w:t>el</w:t>
      </w:r>
      <w:r w:rsidRPr="009A0DA6">
        <w:rPr>
          <w:rFonts w:ascii="Cambria" w:eastAsia="Times New Roman" w:hAnsi="Cambria" w:cstheme="minorHAnsi"/>
          <w:b/>
          <w:w w:val="110"/>
        </w:rPr>
        <w:t>d</w:t>
      </w:r>
    </w:p>
    <w:p w14:paraId="178E27A7" w14:textId="7A68879E" w:rsidR="00BA4592" w:rsidRPr="009A0DA6" w:rsidRDefault="00BA4592" w:rsidP="00BA4592">
      <w:pPr>
        <w:tabs>
          <w:tab w:val="center" w:pos="4394"/>
          <w:tab w:val="right" w:pos="6095"/>
          <w:tab w:val="right" w:pos="7371"/>
          <w:tab w:val="right" w:pos="8647"/>
        </w:tabs>
        <w:spacing w:before="120" w:after="120" w:line="240" w:lineRule="auto"/>
        <w:ind w:right="-51"/>
        <w:contextualSpacing/>
        <w:rPr>
          <w:rFonts w:ascii="Cambria" w:eastAsia="Times New Roman" w:hAnsi="Cambria" w:cstheme="minorHAnsi"/>
        </w:rPr>
      </w:pPr>
      <w:r w:rsidRPr="009A0DA6">
        <w:rPr>
          <w:rFonts w:ascii="Cambria" w:eastAsia="Times New Roman" w:hAnsi="Cambria" w:cstheme="minorHAnsi"/>
          <w:spacing w:val="1"/>
        </w:rPr>
        <w:t>Mo</w:t>
      </w:r>
      <w:r w:rsidRPr="009A0DA6">
        <w:rPr>
          <w:rFonts w:ascii="Cambria" w:eastAsia="Times New Roman" w:hAnsi="Cambria" w:cstheme="minorHAnsi"/>
          <w:spacing w:val="-1"/>
        </w:rPr>
        <w:t>n</w:t>
      </w:r>
      <w:r w:rsidRPr="009A0DA6">
        <w:rPr>
          <w:rFonts w:ascii="Cambria" w:eastAsia="Times New Roman" w:hAnsi="Cambria" w:cstheme="minorHAnsi"/>
          <w:spacing w:val="3"/>
        </w:rPr>
        <w:t>e</w:t>
      </w:r>
      <w:r w:rsidRPr="009A0DA6">
        <w:rPr>
          <w:rFonts w:ascii="Cambria" w:eastAsia="Times New Roman" w:hAnsi="Cambria" w:cstheme="minorHAnsi"/>
          <w:spacing w:val="-1"/>
        </w:rPr>
        <w:t>y</w:t>
      </w:r>
      <w:r w:rsidRPr="009A0DA6">
        <w:rPr>
          <w:rFonts w:ascii="Cambria" w:eastAsia="Times New Roman" w:hAnsi="Cambria" w:cstheme="minorHAnsi"/>
        </w:rPr>
        <w:t>s</w:t>
      </w:r>
      <w:r w:rsidRPr="009A0DA6">
        <w:rPr>
          <w:rFonts w:ascii="Cambria" w:eastAsia="Times New Roman" w:hAnsi="Cambria" w:cstheme="minorHAnsi"/>
          <w:spacing w:val="1"/>
        </w:rPr>
        <w:t xml:space="preserve"> </w:t>
      </w:r>
      <w:r w:rsidRPr="009A0DA6">
        <w:rPr>
          <w:rFonts w:ascii="Cambria" w:eastAsia="Times New Roman" w:hAnsi="Cambria" w:cstheme="minorHAnsi"/>
          <w:spacing w:val="-1"/>
        </w:rPr>
        <w:t>h</w:t>
      </w:r>
      <w:r w:rsidRPr="009A0DA6">
        <w:rPr>
          <w:rFonts w:ascii="Cambria" w:eastAsia="Times New Roman" w:hAnsi="Cambria" w:cstheme="minorHAnsi"/>
          <w:spacing w:val="3"/>
        </w:rPr>
        <w:t>e</w:t>
      </w:r>
      <w:r w:rsidRPr="009A0DA6">
        <w:rPr>
          <w:rFonts w:ascii="Cambria" w:eastAsia="Times New Roman" w:hAnsi="Cambria" w:cstheme="minorHAnsi"/>
        </w:rPr>
        <w:t>ld</w:t>
      </w:r>
      <w:r w:rsidRPr="009A0DA6">
        <w:rPr>
          <w:rFonts w:ascii="Cambria" w:eastAsia="Times New Roman" w:hAnsi="Cambria" w:cstheme="minorHAnsi"/>
          <w:spacing w:val="6"/>
        </w:rPr>
        <w:t xml:space="preserve"> </w:t>
      </w:r>
      <w:r w:rsidRPr="009A0DA6">
        <w:rPr>
          <w:rFonts w:ascii="Cambria" w:eastAsia="Times New Roman" w:hAnsi="Cambria" w:cstheme="minorHAnsi"/>
          <w:spacing w:val="1"/>
        </w:rPr>
        <w:t>o</w:t>
      </w:r>
      <w:r w:rsidRPr="009A0DA6">
        <w:rPr>
          <w:rFonts w:ascii="Cambria" w:eastAsia="Times New Roman" w:hAnsi="Cambria" w:cstheme="minorHAnsi"/>
        </w:rPr>
        <w:t>n</w:t>
      </w:r>
      <w:r w:rsidRPr="009A0DA6">
        <w:rPr>
          <w:rFonts w:ascii="Cambria" w:eastAsia="Times New Roman" w:hAnsi="Cambria" w:cstheme="minorHAnsi"/>
          <w:spacing w:val="4"/>
        </w:rPr>
        <w:t xml:space="preserve"> </w:t>
      </w:r>
      <w:r w:rsidRPr="009A0DA6">
        <w:rPr>
          <w:rFonts w:ascii="Cambria" w:eastAsia="Times New Roman" w:hAnsi="Cambria" w:cstheme="minorHAnsi"/>
          <w:spacing w:val="1"/>
        </w:rPr>
        <w:t>b</w:t>
      </w:r>
      <w:r w:rsidRPr="009A0DA6">
        <w:rPr>
          <w:rFonts w:ascii="Cambria" w:eastAsia="Times New Roman" w:hAnsi="Cambria" w:cstheme="minorHAnsi"/>
        </w:rPr>
        <w:t>e</w:t>
      </w:r>
      <w:r w:rsidRPr="009A0DA6">
        <w:rPr>
          <w:rFonts w:ascii="Cambria" w:eastAsia="Times New Roman" w:hAnsi="Cambria" w:cstheme="minorHAnsi"/>
          <w:spacing w:val="-1"/>
        </w:rPr>
        <w:t>h</w:t>
      </w:r>
      <w:r w:rsidRPr="009A0DA6">
        <w:rPr>
          <w:rFonts w:ascii="Cambria" w:eastAsia="Times New Roman" w:hAnsi="Cambria" w:cstheme="minorHAnsi"/>
        </w:rPr>
        <w:t>a</w:t>
      </w:r>
      <w:r w:rsidRPr="009A0DA6">
        <w:rPr>
          <w:rFonts w:ascii="Cambria" w:eastAsia="Times New Roman" w:hAnsi="Cambria" w:cstheme="minorHAnsi"/>
          <w:spacing w:val="2"/>
        </w:rPr>
        <w:t>l</w:t>
      </w:r>
      <w:r w:rsidRPr="009A0DA6">
        <w:rPr>
          <w:rFonts w:ascii="Cambria" w:eastAsia="Times New Roman" w:hAnsi="Cambria" w:cstheme="minorHAnsi"/>
        </w:rPr>
        <w:t>f</w:t>
      </w:r>
      <w:r w:rsidRPr="009A0DA6">
        <w:rPr>
          <w:rFonts w:ascii="Cambria" w:eastAsia="Times New Roman" w:hAnsi="Cambria" w:cstheme="minorHAnsi"/>
          <w:spacing w:val="1"/>
        </w:rPr>
        <w:t xml:space="preserve"> </w:t>
      </w:r>
      <w:r w:rsidRPr="009A0DA6">
        <w:rPr>
          <w:rFonts w:ascii="Cambria" w:eastAsia="Times New Roman" w:hAnsi="Cambria" w:cstheme="minorHAnsi"/>
          <w:spacing w:val="4"/>
        </w:rPr>
        <w:t>o</w:t>
      </w:r>
      <w:r w:rsidRPr="009A0DA6">
        <w:rPr>
          <w:rFonts w:ascii="Cambria" w:eastAsia="Times New Roman" w:hAnsi="Cambria" w:cstheme="minorHAnsi"/>
        </w:rPr>
        <w:t>f</w:t>
      </w:r>
      <w:r w:rsidRPr="009A0DA6">
        <w:rPr>
          <w:rFonts w:ascii="Cambria" w:eastAsia="Times New Roman" w:hAnsi="Cambria" w:cstheme="minorHAnsi"/>
          <w:spacing w:val="4"/>
        </w:rPr>
        <w:t xml:space="preserve"> </w:t>
      </w:r>
      <w:r w:rsidRPr="009A0DA6">
        <w:rPr>
          <w:rFonts w:ascii="Cambria" w:eastAsia="Times New Roman" w:hAnsi="Cambria" w:cstheme="minorHAnsi"/>
        </w:rPr>
        <w:t>a</w:t>
      </w:r>
      <w:r w:rsidRPr="009A0DA6">
        <w:rPr>
          <w:rFonts w:ascii="Cambria" w:eastAsia="Times New Roman" w:hAnsi="Cambria" w:cstheme="minorHAnsi"/>
          <w:spacing w:val="2"/>
        </w:rPr>
        <w:t>ss</w:t>
      </w:r>
      <w:r w:rsidRPr="009A0DA6">
        <w:rPr>
          <w:rFonts w:ascii="Cambria" w:eastAsia="Times New Roman" w:hAnsi="Cambria" w:cstheme="minorHAnsi"/>
          <w:spacing w:val="1"/>
        </w:rPr>
        <w:t>o</w:t>
      </w:r>
      <w:r w:rsidRPr="009A0DA6">
        <w:rPr>
          <w:rFonts w:ascii="Cambria" w:eastAsia="Times New Roman" w:hAnsi="Cambria" w:cstheme="minorHAnsi"/>
        </w:rPr>
        <w:t>ciated</w:t>
      </w:r>
      <w:r w:rsidRPr="009A0DA6">
        <w:rPr>
          <w:rFonts w:ascii="Cambria" w:eastAsia="Times New Roman" w:hAnsi="Cambria" w:cstheme="minorHAnsi"/>
          <w:spacing w:val="1"/>
        </w:rPr>
        <w:t xml:space="preserve"> </w:t>
      </w:r>
      <w:r w:rsidRPr="009A0DA6">
        <w:rPr>
          <w:rFonts w:ascii="Cambria" w:eastAsia="Times New Roman" w:hAnsi="Cambria" w:cstheme="minorHAnsi"/>
          <w:spacing w:val="-1"/>
        </w:rPr>
        <w:t>g</w:t>
      </w:r>
      <w:r w:rsidRPr="009A0DA6">
        <w:rPr>
          <w:rFonts w:ascii="Cambria" w:eastAsia="Times New Roman" w:hAnsi="Cambria" w:cstheme="minorHAnsi"/>
          <w:spacing w:val="1"/>
        </w:rPr>
        <w:t>ro</w:t>
      </w:r>
      <w:r w:rsidRPr="009A0DA6">
        <w:rPr>
          <w:rFonts w:ascii="Cambria" w:eastAsia="Times New Roman" w:hAnsi="Cambria" w:cstheme="minorHAnsi"/>
          <w:spacing w:val="-1"/>
        </w:rPr>
        <w:t>u</w:t>
      </w:r>
      <w:r w:rsidRPr="009A0DA6">
        <w:rPr>
          <w:rFonts w:ascii="Cambria" w:eastAsia="Times New Roman" w:hAnsi="Cambria" w:cstheme="minorHAnsi"/>
          <w:spacing w:val="1"/>
        </w:rPr>
        <w:t>p</w:t>
      </w:r>
      <w:r w:rsidRPr="009A0DA6">
        <w:rPr>
          <w:rFonts w:ascii="Cambria" w:eastAsia="Times New Roman" w:hAnsi="Cambria" w:cstheme="minorHAnsi"/>
        </w:rPr>
        <w:t>s</w:t>
      </w:r>
      <w:r w:rsidRPr="009A0DA6">
        <w:rPr>
          <w:rFonts w:ascii="Cambria" w:eastAsia="Times New Roman" w:hAnsi="Cambria" w:cstheme="minorHAnsi"/>
          <w:spacing w:val="2"/>
        </w:rPr>
        <w:t xml:space="preserve"> </w:t>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spacing w:val="8"/>
        </w:rPr>
        <w:t xml:space="preserve"> </w:t>
      </w:r>
      <w:r w:rsidRPr="009A0DA6">
        <w:rPr>
          <w:rFonts w:ascii="Cambria" w:eastAsia="Times New Roman" w:hAnsi="Cambria" w:cstheme="minorHAnsi"/>
          <w:spacing w:val="-1"/>
        </w:rPr>
        <w:t>f</w:t>
      </w:r>
      <w:r w:rsidRPr="009A0DA6">
        <w:rPr>
          <w:rFonts w:ascii="Cambria" w:eastAsia="Times New Roman" w:hAnsi="Cambria" w:cstheme="minorHAnsi"/>
          <w:spacing w:val="1"/>
        </w:rPr>
        <w:t>o</w:t>
      </w:r>
      <w:r w:rsidRPr="009A0DA6">
        <w:rPr>
          <w:rFonts w:ascii="Cambria" w:eastAsia="Times New Roman" w:hAnsi="Cambria" w:cstheme="minorHAnsi"/>
        </w:rPr>
        <w:t>r</w:t>
      </w:r>
      <w:r w:rsidRPr="009A0DA6">
        <w:rPr>
          <w:rFonts w:ascii="Cambria" w:eastAsia="Times New Roman" w:hAnsi="Cambria" w:cstheme="minorHAnsi"/>
          <w:spacing w:val="7"/>
        </w:rPr>
        <w:t xml:space="preserve"> </w:t>
      </w:r>
      <w:r w:rsidRPr="009A0DA6">
        <w:rPr>
          <w:rFonts w:ascii="Cambria" w:eastAsia="Times New Roman" w:hAnsi="Cambria" w:cstheme="minorHAnsi"/>
          <w:spacing w:val="-1"/>
        </w:rPr>
        <w:t>s</w:t>
      </w:r>
      <w:r w:rsidRPr="009A0DA6">
        <w:rPr>
          <w:rFonts w:ascii="Cambria" w:eastAsia="Times New Roman" w:hAnsi="Cambria" w:cstheme="minorHAnsi"/>
          <w:spacing w:val="1"/>
        </w:rPr>
        <w:t>p</w:t>
      </w:r>
      <w:r w:rsidRPr="009A0DA6">
        <w:rPr>
          <w:rFonts w:ascii="Cambria" w:eastAsia="Times New Roman" w:hAnsi="Cambria" w:cstheme="minorHAnsi"/>
        </w:rPr>
        <w:t>ec</w:t>
      </w:r>
      <w:r w:rsidRPr="009A0DA6">
        <w:rPr>
          <w:rFonts w:ascii="Cambria" w:eastAsia="Times New Roman" w:hAnsi="Cambria" w:cstheme="minorHAnsi"/>
          <w:spacing w:val="2"/>
        </w:rPr>
        <w:t>i</w:t>
      </w:r>
      <w:r w:rsidRPr="009A0DA6">
        <w:rPr>
          <w:rFonts w:ascii="Cambria" w:eastAsia="Times New Roman" w:hAnsi="Cambria" w:cstheme="minorHAnsi"/>
          <w:spacing w:val="-1"/>
        </w:rPr>
        <w:t>f</w:t>
      </w:r>
      <w:r w:rsidRPr="009A0DA6">
        <w:rPr>
          <w:rFonts w:ascii="Cambria" w:eastAsia="Times New Roman" w:hAnsi="Cambria" w:cstheme="minorHAnsi"/>
          <w:spacing w:val="2"/>
        </w:rPr>
        <w:t>i</w:t>
      </w:r>
      <w:r w:rsidRPr="009A0DA6">
        <w:rPr>
          <w:rFonts w:ascii="Cambria" w:eastAsia="Times New Roman" w:hAnsi="Cambria" w:cstheme="minorHAnsi"/>
        </w:rPr>
        <w:t>c</w:t>
      </w:r>
      <w:r w:rsidRPr="009A0DA6">
        <w:rPr>
          <w:rFonts w:ascii="Cambria" w:eastAsia="Times New Roman" w:hAnsi="Cambria" w:cstheme="minorHAnsi"/>
          <w:spacing w:val="2"/>
        </w:rPr>
        <w:t xml:space="preserve"> </w:t>
      </w:r>
      <w:r w:rsidRPr="009A0DA6">
        <w:rPr>
          <w:rFonts w:ascii="Cambria" w:eastAsia="Times New Roman" w:hAnsi="Cambria" w:cstheme="minorHAnsi"/>
          <w:spacing w:val="1"/>
        </w:rPr>
        <w:t>p</w:t>
      </w:r>
      <w:r w:rsidRPr="009A0DA6">
        <w:rPr>
          <w:rFonts w:ascii="Cambria" w:eastAsia="Times New Roman" w:hAnsi="Cambria" w:cstheme="minorHAnsi"/>
          <w:spacing w:val="-1"/>
        </w:rPr>
        <w:t>u</w:t>
      </w:r>
      <w:r w:rsidRPr="009A0DA6">
        <w:rPr>
          <w:rFonts w:ascii="Cambria" w:eastAsia="Times New Roman" w:hAnsi="Cambria" w:cstheme="minorHAnsi"/>
          <w:spacing w:val="1"/>
        </w:rPr>
        <w:t>rpo</w:t>
      </w:r>
      <w:r w:rsidRPr="009A0DA6">
        <w:rPr>
          <w:rFonts w:ascii="Cambria" w:eastAsia="Times New Roman" w:hAnsi="Cambria" w:cstheme="minorHAnsi"/>
          <w:spacing w:val="-1"/>
        </w:rPr>
        <w:t>s</w:t>
      </w:r>
      <w:r w:rsidRPr="009A0DA6">
        <w:rPr>
          <w:rFonts w:ascii="Cambria" w:eastAsia="Times New Roman" w:hAnsi="Cambria" w:cstheme="minorHAnsi"/>
        </w:rPr>
        <w:t>es a</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6"/>
        </w:rPr>
        <w:t xml:space="preserve"> </w:t>
      </w:r>
      <w:r w:rsidRPr="009A0DA6">
        <w:rPr>
          <w:rFonts w:ascii="Cambria" w:eastAsia="Times New Roman" w:hAnsi="Cambria" w:cstheme="minorHAnsi"/>
          <w:spacing w:val="1"/>
        </w:rPr>
        <w:t>d</w:t>
      </w:r>
      <w:r w:rsidRPr="009A0DA6">
        <w:rPr>
          <w:rFonts w:ascii="Cambria" w:eastAsia="Times New Roman" w:hAnsi="Cambria" w:cstheme="minorHAnsi"/>
        </w:rPr>
        <w:t>i</w:t>
      </w:r>
      <w:r w:rsidRPr="009A0DA6">
        <w:rPr>
          <w:rFonts w:ascii="Cambria" w:eastAsia="Times New Roman" w:hAnsi="Cambria" w:cstheme="minorHAnsi"/>
          <w:spacing w:val="-1"/>
        </w:rPr>
        <w:t>s</w:t>
      </w:r>
      <w:r w:rsidRPr="009A0DA6">
        <w:rPr>
          <w:rFonts w:ascii="Cambria" w:eastAsia="Times New Roman" w:hAnsi="Cambria" w:cstheme="minorHAnsi"/>
        </w:rPr>
        <w:t>cl</w:t>
      </w:r>
      <w:r w:rsidRPr="009A0DA6">
        <w:rPr>
          <w:rFonts w:ascii="Cambria" w:eastAsia="Times New Roman" w:hAnsi="Cambria" w:cstheme="minorHAnsi"/>
          <w:spacing w:val="1"/>
        </w:rPr>
        <w:t>o</w:t>
      </w:r>
      <w:r w:rsidRPr="009A0DA6">
        <w:rPr>
          <w:rFonts w:ascii="Cambria" w:eastAsia="Times New Roman" w:hAnsi="Cambria" w:cstheme="minorHAnsi"/>
          <w:spacing w:val="-1"/>
        </w:rPr>
        <w:t>s</w:t>
      </w:r>
      <w:r w:rsidRPr="009A0DA6">
        <w:rPr>
          <w:rFonts w:ascii="Cambria" w:eastAsia="Times New Roman" w:hAnsi="Cambria" w:cstheme="minorHAnsi"/>
        </w:rPr>
        <w:t>ed</w:t>
      </w:r>
      <w:r w:rsidRPr="009A0DA6">
        <w:rPr>
          <w:rFonts w:ascii="Cambria" w:eastAsia="Times New Roman" w:hAnsi="Cambria" w:cstheme="minorHAnsi"/>
          <w:spacing w:val="2"/>
        </w:rPr>
        <w:t xml:space="preserve"> </w:t>
      </w:r>
      <w:r w:rsidRPr="009A0DA6">
        <w:rPr>
          <w:rFonts w:ascii="Cambria" w:eastAsia="Times New Roman" w:hAnsi="Cambria" w:cstheme="minorHAnsi"/>
        </w:rPr>
        <w:t>at</w:t>
      </w:r>
      <w:r w:rsidRPr="009A0DA6">
        <w:rPr>
          <w:rFonts w:ascii="Cambria" w:eastAsia="Times New Roman" w:hAnsi="Cambria" w:cstheme="minorHAnsi"/>
          <w:spacing w:val="9"/>
        </w:rPr>
        <w:t xml:space="preserve"> </w:t>
      </w:r>
      <w:r w:rsidRPr="009A0DA6">
        <w:rPr>
          <w:rFonts w:ascii="Cambria" w:eastAsia="Times New Roman" w:hAnsi="Cambria" w:cstheme="minorHAnsi"/>
          <w:spacing w:val="-1"/>
        </w:rPr>
        <w:t>n</w:t>
      </w:r>
      <w:r w:rsidRPr="009A0DA6">
        <w:rPr>
          <w:rFonts w:ascii="Cambria" w:eastAsia="Times New Roman" w:hAnsi="Cambria" w:cstheme="minorHAnsi"/>
          <w:spacing w:val="4"/>
        </w:rPr>
        <w:t>o</w:t>
      </w:r>
      <w:r w:rsidRPr="009A0DA6">
        <w:rPr>
          <w:rFonts w:ascii="Cambria" w:eastAsia="Times New Roman" w:hAnsi="Cambria" w:cstheme="minorHAnsi"/>
        </w:rPr>
        <w:t>te</w:t>
      </w:r>
      <w:r w:rsidRPr="009A0DA6">
        <w:rPr>
          <w:rFonts w:ascii="Cambria" w:eastAsia="Times New Roman" w:hAnsi="Cambria" w:cstheme="minorHAnsi"/>
          <w:spacing w:val="5"/>
        </w:rPr>
        <w:t xml:space="preserve"> </w:t>
      </w:r>
      <w:r w:rsidRPr="009A0DA6">
        <w:rPr>
          <w:rFonts w:ascii="Cambria" w:eastAsia="Times New Roman" w:hAnsi="Cambria" w:cstheme="minorHAnsi"/>
          <w:spacing w:val="1"/>
        </w:rPr>
        <w:t>8</w:t>
      </w:r>
      <w:r w:rsidRPr="009A0DA6">
        <w:rPr>
          <w:rFonts w:ascii="Cambria" w:eastAsia="Times New Roman" w:hAnsi="Cambria" w:cstheme="minorHAnsi"/>
        </w:rPr>
        <w:t>,</w:t>
      </w:r>
      <w:r w:rsidRPr="009A0DA6">
        <w:rPr>
          <w:rFonts w:ascii="Cambria" w:eastAsia="Times New Roman" w:hAnsi="Cambria" w:cstheme="minorHAnsi"/>
          <w:spacing w:val="9"/>
        </w:rPr>
        <w:t xml:space="preserve"> </w:t>
      </w:r>
      <w:r w:rsidRPr="009A0DA6">
        <w:rPr>
          <w:rFonts w:ascii="Cambria" w:eastAsia="Times New Roman" w:hAnsi="Cambria" w:cstheme="minorHAnsi"/>
          <w:spacing w:val="-2"/>
        </w:rPr>
        <w:t>w</w:t>
      </w:r>
      <w:r w:rsidRPr="009A0DA6">
        <w:rPr>
          <w:rFonts w:ascii="Cambria" w:eastAsia="Times New Roman" w:hAnsi="Cambria" w:cstheme="minorHAnsi"/>
          <w:spacing w:val="-1"/>
        </w:rPr>
        <w:t>h</w:t>
      </w:r>
      <w:r w:rsidRPr="009A0DA6">
        <w:rPr>
          <w:rFonts w:ascii="Cambria" w:eastAsia="Times New Roman" w:hAnsi="Cambria" w:cstheme="minorHAnsi"/>
        </w:rPr>
        <w:t xml:space="preserve">ile </w:t>
      </w:r>
      <w:r w:rsidRPr="009A0DA6">
        <w:rPr>
          <w:rFonts w:ascii="Cambria" w:eastAsia="Times New Roman" w:hAnsi="Cambria" w:cstheme="minorHAnsi"/>
          <w:spacing w:val="1"/>
        </w:rPr>
        <w:t>pro</w:t>
      </w:r>
      <w:r w:rsidRPr="009A0DA6">
        <w:rPr>
          <w:rFonts w:ascii="Cambria" w:eastAsia="Times New Roman" w:hAnsi="Cambria" w:cstheme="minorHAnsi"/>
          <w:spacing w:val="-1"/>
        </w:rPr>
        <w:t>v</w:t>
      </w:r>
      <w:r w:rsidRPr="009A0DA6">
        <w:rPr>
          <w:rFonts w:ascii="Cambria" w:eastAsia="Times New Roman" w:hAnsi="Cambria" w:cstheme="minorHAnsi"/>
        </w:rPr>
        <w:t>i</w:t>
      </w:r>
      <w:r w:rsidRPr="009A0DA6">
        <w:rPr>
          <w:rFonts w:ascii="Cambria" w:eastAsia="Times New Roman" w:hAnsi="Cambria" w:cstheme="minorHAnsi"/>
          <w:spacing w:val="-1"/>
        </w:rPr>
        <w:t>s</w:t>
      </w:r>
      <w:r w:rsidRPr="009A0DA6">
        <w:rPr>
          <w:rFonts w:ascii="Cambria" w:eastAsia="Times New Roman" w:hAnsi="Cambria" w:cstheme="minorHAnsi"/>
        </w:rPr>
        <w:t>i</w:t>
      </w:r>
      <w:r w:rsidRPr="009A0DA6">
        <w:rPr>
          <w:rFonts w:ascii="Cambria" w:eastAsia="Times New Roman" w:hAnsi="Cambria" w:cstheme="minorHAnsi"/>
          <w:spacing w:val="1"/>
        </w:rPr>
        <w:t>o</w:t>
      </w:r>
      <w:r w:rsidRPr="009A0DA6">
        <w:rPr>
          <w:rFonts w:ascii="Cambria" w:eastAsia="Times New Roman" w:hAnsi="Cambria" w:cstheme="minorHAnsi"/>
          <w:spacing w:val="-1"/>
        </w:rPr>
        <w:t>n</w:t>
      </w:r>
      <w:r w:rsidRPr="009A0DA6">
        <w:rPr>
          <w:rFonts w:ascii="Cambria" w:eastAsia="Times New Roman" w:hAnsi="Cambria" w:cstheme="minorHAnsi"/>
        </w:rPr>
        <w:t>s</w:t>
      </w:r>
      <w:r w:rsidRPr="009A0DA6">
        <w:rPr>
          <w:rFonts w:ascii="Cambria" w:eastAsia="Times New Roman" w:hAnsi="Cambria" w:cstheme="minorHAnsi"/>
          <w:spacing w:val="1"/>
        </w:rPr>
        <w:t xml:space="preserve"> p</w:t>
      </w:r>
      <w:r w:rsidRPr="009A0DA6">
        <w:rPr>
          <w:rFonts w:ascii="Cambria" w:eastAsia="Times New Roman" w:hAnsi="Cambria" w:cstheme="minorHAnsi"/>
        </w:rPr>
        <w:t>e</w:t>
      </w:r>
      <w:r w:rsidRPr="009A0DA6">
        <w:rPr>
          <w:rFonts w:ascii="Cambria" w:eastAsia="Times New Roman" w:hAnsi="Cambria" w:cstheme="minorHAnsi"/>
          <w:spacing w:val="1"/>
        </w:rPr>
        <w:t>r</w:t>
      </w:r>
      <w:r w:rsidRPr="009A0DA6">
        <w:rPr>
          <w:rFonts w:ascii="Cambria" w:eastAsia="Times New Roman" w:hAnsi="Cambria" w:cstheme="minorHAnsi"/>
        </w:rPr>
        <w:t>tai</w:t>
      </w:r>
      <w:r w:rsidRPr="009A0DA6">
        <w:rPr>
          <w:rFonts w:ascii="Cambria" w:eastAsia="Times New Roman" w:hAnsi="Cambria" w:cstheme="minorHAnsi"/>
          <w:spacing w:val="-1"/>
        </w:rPr>
        <w:t>n</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rPr>
        <w:t>g to</w:t>
      </w:r>
      <w:r w:rsidRPr="009A0DA6">
        <w:rPr>
          <w:rFonts w:ascii="Cambria" w:eastAsia="Times New Roman" w:hAnsi="Cambria" w:cstheme="minorHAnsi"/>
          <w:spacing w:val="7"/>
        </w:rPr>
        <w:t xml:space="preserve"> </w:t>
      </w:r>
      <w:r w:rsidRPr="009A0DA6">
        <w:rPr>
          <w:rFonts w:ascii="Cambria" w:eastAsia="Times New Roman" w:hAnsi="Cambria" w:cstheme="minorHAnsi"/>
          <w:spacing w:val="3"/>
        </w:rPr>
        <w:t>e</w:t>
      </w:r>
      <w:r w:rsidRPr="009A0DA6">
        <w:rPr>
          <w:rFonts w:ascii="Cambria" w:eastAsia="Times New Roman" w:hAnsi="Cambria" w:cstheme="minorHAnsi"/>
          <w:spacing w:val="-4"/>
        </w:rPr>
        <w:t>m</w:t>
      </w:r>
      <w:r w:rsidRPr="009A0DA6">
        <w:rPr>
          <w:rFonts w:ascii="Cambria" w:eastAsia="Times New Roman" w:hAnsi="Cambria" w:cstheme="minorHAnsi"/>
          <w:spacing w:val="4"/>
        </w:rPr>
        <w:t>p</w:t>
      </w:r>
      <w:r w:rsidRPr="009A0DA6">
        <w:rPr>
          <w:rFonts w:ascii="Cambria" w:eastAsia="Times New Roman" w:hAnsi="Cambria" w:cstheme="minorHAnsi"/>
          <w:spacing w:val="2"/>
        </w:rPr>
        <w:t>l</w:t>
      </w:r>
      <w:r w:rsidRPr="009A0DA6">
        <w:rPr>
          <w:rFonts w:ascii="Cambria" w:eastAsia="Times New Roman" w:hAnsi="Cambria" w:cstheme="minorHAnsi"/>
          <w:spacing w:val="1"/>
        </w:rPr>
        <w:t>o</w:t>
      </w:r>
      <w:r w:rsidRPr="009A0DA6">
        <w:rPr>
          <w:rFonts w:ascii="Cambria" w:eastAsia="Times New Roman" w:hAnsi="Cambria" w:cstheme="minorHAnsi"/>
          <w:spacing w:val="-4"/>
        </w:rPr>
        <w:t>y</w:t>
      </w:r>
      <w:r w:rsidRPr="009A0DA6">
        <w:rPr>
          <w:rFonts w:ascii="Cambria" w:eastAsia="Times New Roman" w:hAnsi="Cambria" w:cstheme="minorHAnsi"/>
        </w:rPr>
        <w:t>ee</w:t>
      </w:r>
      <w:r w:rsidRPr="009A0DA6">
        <w:rPr>
          <w:rFonts w:ascii="Cambria" w:eastAsia="Times New Roman" w:hAnsi="Cambria" w:cstheme="minorHAnsi"/>
          <w:spacing w:val="2"/>
        </w:rPr>
        <w:t xml:space="preserve"> </w:t>
      </w:r>
      <w:r w:rsidRPr="009A0DA6">
        <w:rPr>
          <w:rFonts w:ascii="Cambria" w:eastAsia="Times New Roman" w:hAnsi="Cambria" w:cstheme="minorHAnsi"/>
          <w:spacing w:val="1"/>
        </w:rPr>
        <w:t>b</w:t>
      </w:r>
      <w:r w:rsidRPr="009A0DA6">
        <w:rPr>
          <w:rFonts w:ascii="Cambria" w:eastAsia="Times New Roman" w:hAnsi="Cambria" w:cstheme="minorHAnsi"/>
        </w:rPr>
        <w:t>e</w:t>
      </w:r>
      <w:r w:rsidRPr="009A0DA6">
        <w:rPr>
          <w:rFonts w:ascii="Cambria" w:eastAsia="Times New Roman" w:hAnsi="Cambria" w:cstheme="minorHAnsi"/>
          <w:spacing w:val="-1"/>
        </w:rPr>
        <w:t>n</w:t>
      </w:r>
      <w:r w:rsidRPr="009A0DA6">
        <w:rPr>
          <w:rFonts w:ascii="Cambria" w:eastAsia="Times New Roman" w:hAnsi="Cambria" w:cstheme="minorHAnsi"/>
          <w:spacing w:val="3"/>
        </w:rPr>
        <w:t>e</w:t>
      </w:r>
      <w:r w:rsidRPr="009A0DA6">
        <w:rPr>
          <w:rFonts w:ascii="Cambria" w:eastAsia="Times New Roman" w:hAnsi="Cambria" w:cstheme="minorHAnsi"/>
          <w:spacing w:val="-1"/>
        </w:rPr>
        <w:t>f</w:t>
      </w:r>
      <w:r w:rsidRPr="009A0DA6">
        <w:rPr>
          <w:rFonts w:ascii="Cambria" w:eastAsia="Times New Roman" w:hAnsi="Cambria" w:cstheme="minorHAnsi"/>
        </w:rPr>
        <w:t>its</w:t>
      </w:r>
      <w:r w:rsidRPr="009A0DA6">
        <w:rPr>
          <w:rFonts w:ascii="Cambria" w:eastAsia="Times New Roman" w:hAnsi="Cambria" w:cstheme="minorHAnsi"/>
          <w:spacing w:val="3"/>
        </w:rPr>
        <w:t xml:space="preserve"> </w:t>
      </w:r>
      <w:r w:rsidRPr="009A0DA6">
        <w:rPr>
          <w:rFonts w:ascii="Cambria" w:eastAsia="Times New Roman" w:hAnsi="Cambria" w:cstheme="minorHAnsi"/>
        </w:rPr>
        <w:t>a</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6"/>
        </w:rPr>
        <w:t xml:space="preserve"> </w:t>
      </w:r>
      <w:r w:rsidRPr="009A0DA6">
        <w:rPr>
          <w:rFonts w:ascii="Cambria" w:eastAsia="Times New Roman" w:hAnsi="Cambria" w:cstheme="minorHAnsi"/>
          <w:spacing w:val="1"/>
        </w:rPr>
        <w:t>d</w:t>
      </w:r>
      <w:r w:rsidRPr="009A0DA6">
        <w:rPr>
          <w:rFonts w:ascii="Cambria" w:eastAsia="Times New Roman" w:hAnsi="Cambria" w:cstheme="minorHAnsi"/>
        </w:rPr>
        <w:t>i</w:t>
      </w:r>
      <w:r w:rsidRPr="009A0DA6">
        <w:rPr>
          <w:rFonts w:ascii="Cambria" w:eastAsia="Times New Roman" w:hAnsi="Cambria" w:cstheme="minorHAnsi"/>
          <w:spacing w:val="-1"/>
        </w:rPr>
        <w:t>s</w:t>
      </w:r>
      <w:r w:rsidRPr="009A0DA6">
        <w:rPr>
          <w:rFonts w:ascii="Cambria" w:eastAsia="Times New Roman" w:hAnsi="Cambria" w:cstheme="minorHAnsi"/>
        </w:rPr>
        <w:t>cl</w:t>
      </w:r>
      <w:r w:rsidRPr="009A0DA6">
        <w:rPr>
          <w:rFonts w:ascii="Cambria" w:eastAsia="Times New Roman" w:hAnsi="Cambria" w:cstheme="minorHAnsi"/>
          <w:spacing w:val="1"/>
        </w:rPr>
        <w:t>o</w:t>
      </w:r>
      <w:r w:rsidRPr="009A0DA6">
        <w:rPr>
          <w:rFonts w:ascii="Cambria" w:eastAsia="Times New Roman" w:hAnsi="Cambria" w:cstheme="minorHAnsi"/>
          <w:spacing w:val="-1"/>
        </w:rPr>
        <w:t>s</w:t>
      </w:r>
      <w:r w:rsidRPr="009A0DA6">
        <w:rPr>
          <w:rFonts w:ascii="Cambria" w:eastAsia="Times New Roman" w:hAnsi="Cambria" w:cstheme="minorHAnsi"/>
        </w:rPr>
        <w:t>ed</w:t>
      </w:r>
      <w:r w:rsidRPr="009A0DA6">
        <w:rPr>
          <w:rFonts w:ascii="Cambria" w:eastAsia="Times New Roman" w:hAnsi="Cambria" w:cstheme="minorHAnsi"/>
          <w:spacing w:val="1"/>
        </w:rPr>
        <w:t xml:space="preserve"> </w:t>
      </w:r>
      <w:r w:rsidRPr="009A0DA6">
        <w:rPr>
          <w:rFonts w:ascii="Cambria" w:eastAsia="Times New Roman" w:hAnsi="Cambria" w:cstheme="minorHAnsi"/>
          <w:spacing w:val="3"/>
        </w:rPr>
        <w:t>a</w:t>
      </w:r>
      <w:r w:rsidRPr="009A0DA6">
        <w:rPr>
          <w:rFonts w:ascii="Cambria" w:eastAsia="Times New Roman" w:hAnsi="Cambria" w:cstheme="minorHAnsi"/>
        </w:rPr>
        <w:t>t</w:t>
      </w:r>
      <w:r w:rsidRPr="009A0DA6">
        <w:rPr>
          <w:rFonts w:ascii="Cambria" w:eastAsia="Times New Roman" w:hAnsi="Cambria" w:cstheme="minorHAnsi"/>
          <w:spacing w:val="8"/>
        </w:rPr>
        <w:t xml:space="preserve"> </w:t>
      </w:r>
      <w:r w:rsidRPr="009A0DA6">
        <w:rPr>
          <w:rFonts w:ascii="Cambria" w:eastAsia="Times New Roman" w:hAnsi="Cambria" w:cstheme="minorHAnsi"/>
        </w:rPr>
        <w:t>N</w:t>
      </w:r>
      <w:r w:rsidRPr="009A0DA6">
        <w:rPr>
          <w:rFonts w:ascii="Cambria" w:eastAsia="Times New Roman" w:hAnsi="Cambria" w:cstheme="minorHAnsi"/>
          <w:spacing w:val="1"/>
        </w:rPr>
        <w:t>o</w:t>
      </w:r>
      <w:r w:rsidRPr="009A0DA6">
        <w:rPr>
          <w:rFonts w:ascii="Cambria" w:eastAsia="Times New Roman" w:hAnsi="Cambria" w:cstheme="minorHAnsi"/>
        </w:rPr>
        <w:t>te</w:t>
      </w:r>
      <w:r w:rsidRPr="009A0DA6">
        <w:rPr>
          <w:rFonts w:ascii="Cambria" w:eastAsia="Times New Roman" w:hAnsi="Cambria" w:cstheme="minorHAnsi"/>
          <w:spacing w:val="4"/>
        </w:rPr>
        <w:t xml:space="preserve"> </w:t>
      </w:r>
      <w:r w:rsidRPr="009A0DA6">
        <w:rPr>
          <w:rFonts w:ascii="Cambria" w:eastAsia="Times New Roman" w:hAnsi="Cambria" w:cstheme="minorHAnsi"/>
          <w:spacing w:val="1"/>
        </w:rPr>
        <w:t>9</w:t>
      </w:r>
      <w:r w:rsidRPr="009A0DA6">
        <w:rPr>
          <w:rFonts w:ascii="Cambria" w:eastAsia="Times New Roman" w:hAnsi="Cambria" w:cstheme="minorHAnsi"/>
        </w:rPr>
        <w:t>.</w:t>
      </w:r>
      <w:r w:rsidRPr="009A0DA6">
        <w:rPr>
          <w:rFonts w:ascii="Cambria" w:eastAsia="Times New Roman" w:hAnsi="Cambria" w:cstheme="minorHAnsi"/>
          <w:spacing w:val="7"/>
        </w:rPr>
        <w:t xml:space="preserve"> </w:t>
      </w:r>
      <w:r w:rsidRPr="009A0DA6">
        <w:rPr>
          <w:rFonts w:ascii="Cambria" w:eastAsia="Times New Roman" w:hAnsi="Cambria" w:cstheme="minorHAnsi"/>
          <w:spacing w:val="3"/>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1"/>
        </w:rPr>
        <w:t>s</w:t>
      </w:r>
      <w:r w:rsidRPr="009A0DA6">
        <w:rPr>
          <w:rFonts w:ascii="Cambria" w:eastAsia="Times New Roman" w:hAnsi="Cambria" w:cstheme="minorHAnsi"/>
        </w:rPr>
        <w:t>e</w:t>
      </w:r>
      <w:r w:rsidRPr="009A0DA6">
        <w:rPr>
          <w:rFonts w:ascii="Cambria" w:eastAsia="Times New Roman" w:hAnsi="Cambria" w:cstheme="minorHAnsi"/>
          <w:spacing w:val="5"/>
        </w:rPr>
        <w:t xml:space="preserve"> </w:t>
      </w:r>
      <w:r w:rsidRPr="009A0DA6">
        <w:rPr>
          <w:rFonts w:ascii="Cambria" w:eastAsia="Times New Roman" w:hAnsi="Cambria" w:cstheme="minorHAnsi"/>
          <w:spacing w:val="-4"/>
        </w:rPr>
        <w:t>m</w:t>
      </w:r>
      <w:r w:rsidRPr="009A0DA6">
        <w:rPr>
          <w:rFonts w:ascii="Cambria" w:eastAsia="Times New Roman" w:hAnsi="Cambria" w:cstheme="minorHAnsi"/>
          <w:spacing w:val="4"/>
        </w:rPr>
        <w:t>o</w:t>
      </w:r>
      <w:r w:rsidRPr="009A0DA6">
        <w:rPr>
          <w:rFonts w:ascii="Cambria" w:eastAsia="Times New Roman" w:hAnsi="Cambria" w:cstheme="minorHAnsi"/>
          <w:spacing w:val="-1"/>
        </w:rPr>
        <w:t>n</w:t>
      </w:r>
      <w:r w:rsidRPr="009A0DA6">
        <w:rPr>
          <w:rFonts w:ascii="Cambria" w:eastAsia="Times New Roman" w:hAnsi="Cambria" w:cstheme="minorHAnsi"/>
          <w:spacing w:val="3"/>
        </w:rPr>
        <w:t>e</w:t>
      </w:r>
      <w:r w:rsidRPr="009A0DA6">
        <w:rPr>
          <w:rFonts w:ascii="Cambria" w:eastAsia="Times New Roman" w:hAnsi="Cambria" w:cstheme="minorHAnsi"/>
          <w:spacing w:val="-1"/>
        </w:rPr>
        <w:t>y</w:t>
      </w:r>
      <w:r w:rsidRPr="009A0DA6">
        <w:rPr>
          <w:rFonts w:ascii="Cambria" w:eastAsia="Times New Roman" w:hAnsi="Cambria" w:cstheme="minorHAnsi"/>
        </w:rPr>
        <w:t>s</w:t>
      </w:r>
      <w:r w:rsidRPr="009A0DA6">
        <w:rPr>
          <w:rFonts w:ascii="Cambria" w:eastAsia="Times New Roman" w:hAnsi="Cambria" w:cstheme="minorHAnsi"/>
          <w:spacing w:val="1"/>
        </w:rPr>
        <w:t xml:space="preserve"> r</w:t>
      </w:r>
      <w:r w:rsidRPr="009A0DA6">
        <w:rPr>
          <w:rFonts w:ascii="Cambria" w:eastAsia="Times New Roman" w:hAnsi="Cambria" w:cstheme="minorHAnsi"/>
        </w:rPr>
        <w:t>e</w:t>
      </w:r>
      <w:r w:rsidRPr="009A0DA6">
        <w:rPr>
          <w:rFonts w:ascii="Cambria" w:eastAsia="Times New Roman" w:hAnsi="Cambria" w:cstheme="minorHAnsi"/>
          <w:spacing w:val="1"/>
        </w:rPr>
        <w:t>pr</w:t>
      </w:r>
      <w:r w:rsidRPr="009A0DA6">
        <w:rPr>
          <w:rFonts w:ascii="Cambria" w:eastAsia="Times New Roman" w:hAnsi="Cambria" w:cstheme="minorHAnsi"/>
          <w:spacing w:val="3"/>
        </w:rPr>
        <w:t>e</w:t>
      </w:r>
      <w:r w:rsidRPr="009A0DA6">
        <w:rPr>
          <w:rFonts w:ascii="Cambria" w:eastAsia="Times New Roman" w:hAnsi="Cambria" w:cstheme="minorHAnsi"/>
          <w:spacing w:val="-1"/>
        </w:rPr>
        <w:t>s</w:t>
      </w:r>
      <w:r w:rsidRPr="009A0DA6">
        <w:rPr>
          <w:rFonts w:ascii="Cambria" w:eastAsia="Times New Roman" w:hAnsi="Cambria" w:cstheme="minorHAnsi"/>
        </w:rPr>
        <w:t>e</w:t>
      </w:r>
      <w:r w:rsidRPr="009A0DA6">
        <w:rPr>
          <w:rFonts w:ascii="Cambria" w:eastAsia="Times New Roman" w:hAnsi="Cambria" w:cstheme="minorHAnsi"/>
          <w:spacing w:val="-1"/>
        </w:rPr>
        <w:t>n</w:t>
      </w:r>
      <w:r w:rsidRPr="009A0DA6">
        <w:rPr>
          <w:rFonts w:ascii="Cambria" w:eastAsia="Times New Roman" w:hAnsi="Cambria" w:cstheme="minorHAnsi"/>
        </w:rPr>
        <w:t>t</w:t>
      </w:r>
      <w:r w:rsidRPr="009A0DA6">
        <w:rPr>
          <w:rFonts w:ascii="Cambria" w:eastAsia="Times New Roman" w:hAnsi="Cambria" w:cstheme="minorHAnsi"/>
          <w:spacing w:val="2"/>
        </w:rPr>
        <w:t xml:space="preserve"> </w:t>
      </w:r>
      <w:r w:rsidRPr="009A0DA6">
        <w:rPr>
          <w:rFonts w:ascii="Cambria" w:eastAsia="Times New Roman" w:hAnsi="Cambria" w:cstheme="minorHAnsi"/>
          <w:spacing w:val="1"/>
        </w:rPr>
        <w:t>f</w:t>
      </w:r>
      <w:r w:rsidRPr="009A0DA6">
        <w:rPr>
          <w:rFonts w:ascii="Cambria" w:eastAsia="Times New Roman" w:hAnsi="Cambria" w:cstheme="minorHAnsi"/>
          <w:spacing w:val="-1"/>
        </w:rPr>
        <w:t>u</w:t>
      </w:r>
      <w:r w:rsidRPr="009A0DA6">
        <w:rPr>
          <w:rFonts w:ascii="Cambria" w:eastAsia="Times New Roman" w:hAnsi="Cambria" w:cstheme="minorHAnsi"/>
          <w:spacing w:val="2"/>
        </w:rPr>
        <w:t>t</w:t>
      </w:r>
      <w:r w:rsidRPr="009A0DA6">
        <w:rPr>
          <w:rFonts w:ascii="Cambria" w:eastAsia="Times New Roman" w:hAnsi="Cambria" w:cstheme="minorHAnsi"/>
          <w:spacing w:val="-1"/>
        </w:rPr>
        <w:t>u</w:t>
      </w:r>
      <w:r w:rsidRPr="009A0DA6">
        <w:rPr>
          <w:rFonts w:ascii="Cambria" w:eastAsia="Times New Roman" w:hAnsi="Cambria" w:cstheme="minorHAnsi"/>
          <w:spacing w:val="1"/>
        </w:rPr>
        <w:t>r</w:t>
      </w:r>
      <w:r w:rsidRPr="009A0DA6">
        <w:rPr>
          <w:rFonts w:ascii="Cambria" w:eastAsia="Times New Roman" w:hAnsi="Cambria" w:cstheme="minorHAnsi"/>
        </w:rPr>
        <w:t>e c</w:t>
      </w:r>
      <w:r w:rsidRPr="009A0DA6">
        <w:rPr>
          <w:rFonts w:ascii="Cambria" w:eastAsia="Times New Roman" w:hAnsi="Cambria" w:cstheme="minorHAnsi"/>
          <w:spacing w:val="1"/>
        </w:rPr>
        <w:t>o</w:t>
      </w:r>
      <w:r w:rsidRPr="009A0DA6">
        <w:rPr>
          <w:rFonts w:ascii="Cambria" w:eastAsia="Times New Roman" w:hAnsi="Cambria" w:cstheme="minorHAnsi"/>
          <w:spacing w:val="-1"/>
        </w:rPr>
        <w:t>mm</w:t>
      </w:r>
      <w:r w:rsidRPr="009A0DA6">
        <w:rPr>
          <w:rFonts w:ascii="Cambria" w:eastAsia="Times New Roman" w:hAnsi="Cambria" w:cstheme="minorHAnsi"/>
          <w:spacing w:val="2"/>
        </w:rPr>
        <w:t>it</w:t>
      </w:r>
      <w:r w:rsidRPr="009A0DA6">
        <w:rPr>
          <w:rFonts w:ascii="Cambria" w:eastAsia="Times New Roman" w:hAnsi="Cambria" w:cstheme="minorHAnsi"/>
          <w:spacing w:val="-4"/>
        </w:rPr>
        <w:t>m</w:t>
      </w:r>
      <w:r w:rsidRPr="009A0DA6">
        <w:rPr>
          <w:rFonts w:ascii="Cambria" w:eastAsia="Times New Roman" w:hAnsi="Cambria" w:cstheme="minorHAnsi"/>
          <w:spacing w:val="3"/>
        </w:rPr>
        <w:t>e</w:t>
      </w:r>
      <w:r w:rsidRPr="009A0DA6">
        <w:rPr>
          <w:rFonts w:ascii="Cambria" w:eastAsia="Times New Roman" w:hAnsi="Cambria" w:cstheme="minorHAnsi"/>
          <w:spacing w:val="-1"/>
        </w:rPr>
        <w:t>n</w:t>
      </w:r>
      <w:r w:rsidRPr="009A0DA6">
        <w:rPr>
          <w:rFonts w:ascii="Cambria" w:eastAsia="Times New Roman" w:hAnsi="Cambria" w:cstheme="minorHAnsi"/>
          <w:spacing w:val="2"/>
        </w:rPr>
        <w:t>t</w:t>
      </w:r>
      <w:r w:rsidRPr="009A0DA6">
        <w:rPr>
          <w:rFonts w:ascii="Cambria" w:eastAsia="Times New Roman" w:hAnsi="Cambria" w:cstheme="minorHAnsi"/>
        </w:rPr>
        <w:t>s</w:t>
      </w:r>
      <w:r w:rsidRPr="009A0DA6">
        <w:rPr>
          <w:rFonts w:ascii="Cambria" w:eastAsia="Times New Roman" w:hAnsi="Cambria" w:cstheme="minorHAnsi"/>
          <w:spacing w:val="-11"/>
        </w:rPr>
        <w:t xml:space="preserve"> </w:t>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spacing w:val="-1"/>
        </w:rPr>
        <w:t xml:space="preserve"> </w:t>
      </w:r>
      <w:r w:rsidRPr="009A0DA6">
        <w:rPr>
          <w:rFonts w:ascii="Cambria" w:eastAsia="Times New Roman" w:hAnsi="Cambria" w:cstheme="minorHAnsi"/>
          <w:spacing w:val="1"/>
        </w:rPr>
        <w:t>ob</w:t>
      </w:r>
      <w:r w:rsidRPr="009A0DA6">
        <w:rPr>
          <w:rFonts w:ascii="Cambria" w:eastAsia="Times New Roman" w:hAnsi="Cambria" w:cstheme="minorHAnsi"/>
        </w:rPr>
        <w:t>li</w:t>
      </w:r>
      <w:r w:rsidRPr="009A0DA6">
        <w:rPr>
          <w:rFonts w:ascii="Cambria" w:eastAsia="Times New Roman" w:hAnsi="Cambria" w:cstheme="minorHAnsi"/>
          <w:spacing w:val="-1"/>
        </w:rPr>
        <w:t>g</w:t>
      </w:r>
      <w:r w:rsidRPr="009A0DA6">
        <w:rPr>
          <w:rFonts w:ascii="Cambria" w:eastAsia="Times New Roman" w:hAnsi="Cambria" w:cstheme="minorHAnsi"/>
        </w:rPr>
        <w:t>ati</w:t>
      </w:r>
      <w:r w:rsidRPr="009A0DA6">
        <w:rPr>
          <w:rFonts w:ascii="Cambria" w:eastAsia="Times New Roman" w:hAnsi="Cambria" w:cstheme="minorHAnsi"/>
          <w:spacing w:val="4"/>
        </w:rPr>
        <w:t>o</w:t>
      </w:r>
      <w:r w:rsidRPr="009A0DA6">
        <w:rPr>
          <w:rFonts w:ascii="Cambria" w:eastAsia="Times New Roman" w:hAnsi="Cambria" w:cstheme="minorHAnsi"/>
          <w:spacing w:val="-1"/>
        </w:rPr>
        <w:t>n</w:t>
      </w:r>
      <w:r w:rsidRPr="009A0DA6">
        <w:rPr>
          <w:rFonts w:ascii="Cambria" w:eastAsia="Times New Roman" w:hAnsi="Cambria" w:cstheme="minorHAnsi"/>
        </w:rPr>
        <w:t>s</w:t>
      </w:r>
      <w:r w:rsidRPr="009A0DA6">
        <w:rPr>
          <w:rFonts w:ascii="Cambria" w:eastAsia="Times New Roman" w:hAnsi="Cambria" w:cstheme="minorHAnsi"/>
          <w:spacing w:val="-7"/>
        </w:rPr>
        <w:t xml:space="preserve"> </w:t>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spacing w:val="-1"/>
        </w:rPr>
        <w:t xml:space="preserve"> </w:t>
      </w:r>
      <w:r w:rsidRPr="009A0DA6">
        <w:rPr>
          <w:rFonts w:ascii="Cambria" w:eastAsia="Times New Roman" w:hAnsi="Cambria" w:cstheme="minorHAnsi"/>
        </w:rPr>
        <w:t>a</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1"/>
        </w:rPr>
        <w:t xml:space="preserve"> </w:t>
      </w:r>
      <w:r w:rsidRPr="009A0DA6">
        <w:rPr>
          <w:rFonts w:ascii="Cambria" w:eastAsia="Times New Roman" w:hAnsi="Cambria" w:cstheme="minorHAnsi"/>
        </w:rPr>
        <w:t>acc</w:t>
      </w:r>
      <w:r w:rsidRPr="009A0DA6">
        <w:rPr>
          <w:rFonts w:ascii="Cambria" w:eastAsia="Times New Roman" w:hAnsi="Cambria" w:cstheme="minorHAnsi"/>
          <w:spacing w:val="1"/>
        </w:rPr>
        <w:t>ord</w:t>
      </w:r>
      <w:r w:rsidRPr="009A0DA6">
        <w:rPr>
          <w:rFonts w:ascii="Cambria" w:eastAsia="Times New Roman" w:hAnsi="Cambria" w:cstheme="minorHAnsi"/>
        </w:rPr>
        <w:t>i</w:t>
      </w:r>
      <w:r w:rsidRPr="009A0DA6">
        <w:rPr>
          <w:rFonts w:ascii="Cambria" w:eastAsia="Times New Roman" w:hAnsi="Cambria" w:cstheme="minorHAnsi"/>
          <w:spacing w:val="-1"/>
        </w:rPr>
        <w:t>ng</w:t>
      </w:r>
      <w:r w:rsidRPr="009A0DA6">
        <w:rPr>
          <w:rFonts w:ascii="Cambria" w:eastAsia="Times New Roman" w:hAnsi="Cambria" w:cstheme="minorHAnsi"/>
          <w:spacing w:val="2"/>
        </w:rPr>
        <w:t>l</w:t>
      </w:r>
      <w:r w:rsidRPr="009A0DA6">
        <w:rPr>
          <w:rFonts w:ascii="Cambria" w:eastAsia="Times New Roman" w:hAnsi="Cambria" w:cstheme="minorHAnsi"/>
        </w:rPr>
        <w:t>y</w:t>
      </w:r>
      <w:r w:rsidRPr="009A0DA6">
        <w:rPr>
          <w:rFonts w:ascii="Cambria" w:eastAsia="Times New Roman" w:hAnsi="Cambria" w:cstheme="minorHAnsi"/>
          <w:spacing w:val="-12"/>
        </w:rPr>
        <w:t xml:space="preserve"> </w:t>
      </w:r>
      <w:r w:rsidRPr="009A0DA6">
        <w:rPr>
          <w:rFonts w:ascii="Cambria" w:eastAsia="Times New Roman" w:hAnsi="Cambria" w:cstheme="minorHAnsi"/>
          <w:spacing w:val="1"/>
        </w:rPr>
        <w:t>d</w:t>
      </w:r>
      <w:r w:rsidRPr="009A0DA6">
        <w:rPr>
          <w:rFonts w:ascii="Cambria" w:eastAsia="Times New Roman" w:hAnsi="Cambria" w:cstheme="minorHAnsi"/>
        </w:rPr>
        <w:t>i</w:t>
      </w:r>
      <w:r w:rsidRPr="009A0DA6">
        <w:rPr>
          <w:rFonts w:ascii="Cambria" w:eastAsia="Times New Roman" w:hAnsi="Cambria" w:cstheme="minorHAnsi"/>
          <w:spacing w:val="-1"/>
        </w:rPr>
        <w:t>s</w:t>
      </w:r>
      <w:r w:rsidRPr="009A0DA6">
        <w:rPr>
          <w:rFonts w:ascii="Cambria" w:eastAsia="Times New Roman" w:hAnsi="Cambria" w:cstheme="minorHAnsi"/>
        </w:rPr>
        <w:t>cl</w:t>
      </w:r>
      <w:r w:rsidRPr="009A0DA6">
        <w:rPr>
          <w:rFonts w:ascii="Cambria" w:eastAsia="Times New Roman" w:hAnsi="Cambria" w:cstheme="minorHAnsi"/>
          <w:spacing w:val="1"/>
        </w:rPr>
        <w:t>o</w:t>
      </w:r>
      <w:r w:rsidRPr="009A0DA6">
        <w:rPr>
          <w:rFonts w:ascii="Cambria" w:eastAsia="Times New Roman" w:hAnsi="Cambria" w:cstheme="minorHAnsi"/>
          <w:spacing w:val="-1"/>
        </w:rPr>
        <w:t>s</w:t>
      </w:r>
      <w:r w:rsidRPr="009A0DA6">
        <w:rPr>
          <w:rFonts w:ascii="Cambria" w:eastAsia="Times New Roman" w:hAnsi="Cambria" w:cstheme="minorHAnsi"/>
        </w:rPr>
        <w:t>ed</w:t>
      </w:r>
      <w:r w:rsidRPr="009A0DA6">
        <w:rPr>
          <w:rFonts w:ascii="Cambria" w:eastAsia="Times New Roman" w:hAnsi="Cambria" w:cstheme="minorHAnsi"/>
          <w:spacing w:val="-3"/>
        </w:rPr>
        <w:t xml:space="preserve"> </w:t>
      </w:r>
      <w:r w:rsidRPr="009A0DA6">
        <w:rPr>
          <w:rFonts w:ascii="Cambria" w:eastAsia="Times New Roman" w:hAnsi="Cambria" w:cstheme="minorHAnsi"/>
        </w:rPr>
        <w:t>as</w:t>
      </w:r>
      <w:r w:rsidRPr="009A0DA6">
        <w:rPr>
          <w:rFonts w:ascii="Cambria" w:eastAsia="Times New Roman" w:hAnsi="Cambria" w:cstheme="minorHAnsi"/>
          <w:spacing w:val="-2"/>
        </w:rPr>
        <w:t xml:space="preserve"> </w:t>
      </w:r>
      <w:r w:rsidRPr="009A0DA6">
        <w:rPr>
          <w:rFonts w:ascii="Cambria" w:eastAsia="Times New Roman" w:hAnsi="Cambria" w:cstheme="minorHAnsi"/>
        </w:rPr>
        <w:t>lia</w:t>
      </w:r>
      <w:r w:rsidRPr="009A0DA6">
        <w:rPr>
          <w:rFonts w:ascii="Cambria" w:eastAsia="Times New Roman" w:hAnsi="Cambria" w:cstheme="minorHAnsi"/>
          <w:spacing w:val="1"/>
        </w:rPr>
        <w:t>b</w:t>
      </w:r>
      <w:r w:rsidRPr="009A0DA6">
        <w:rPr>
          <w:rFonts w:ascii="Cambria" w:eastAsia="Times New Roman" w:hAnsi="Cambria" w:cstheme="minorHAnsi"/>
        </w:rPr>
        <w:t>ilities</w:t>
      </w:r>
      <w:r w:rsidRPr="009A0DA6">
        <w:rPr>
          <w:rFonts w:ascii="Cambria" w:eastAsia="Times New Roman" w:hAnsi="Cambria" w:cstheme="minorHAnsi"/>
          <w:spacing w:val="-7"/>
        </w:rPr>
        <w:t xml:space="preserve"> </w:t>
      </w:r>
      <w:r w:rsidRPr="009A0DA6">
        <w:rPr>
          <w:rFonts w:ascii="Cambria" w:eastAsia="Times New Roman" w:hAnsi="Cambria" w:cstheme="minorHAnsi"/>
          <w:spacing w:val="4"/>
        </w:rPr>
        <w:t>o</w:t>
      </w:r>
      <w:r w:rsidRPr="009A0DA6">
        <w:rPr>
          <w:rFonts w:ascii="Cambria" w:eastAsia="Times New Roman" w:hAnsi="Cambria" w:cstheme="minorHAnsi"/>
        </w:rPr>
        <w:t>f</w:t>
      </w:r>
      <w:r w:rsidRPr="009A0DA6">
        <w:rPr>
          <w:rFonts w:ascii="Cambria" w:eastAsia="Times New Roman" w:hAnsi="Cambria" w:cstheme="minorHAnsi"/>
          <w:spacing w:val="-3"/>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1"/>
        </w:rPr>
        <w:t xml:space="preserve"> </w:t>
      </w:r>
      <w:r w:rsidR="00336CE0" w:rsidRPr="009A0DA6">
        <w:rPr>
          <w:rFonts w:ascii="Cambria" w:eastAsia="Times New Roman" w:hAnsi="Cambria" w:cstheme="minorHAnsi"/>
          <w:spacing w:val="-1"/>
        </w:rPr>
        <w:t>church</w:t>
      </w:r>
      <w:r w:rsidRPr="009A0DA6">
        <w:rPr>
          <w:rFonts w:ascii="Cambria" w:eastAsia="Times New Roman" w:hAnsi="Cambria" w:cstheme="minorHAnsi"/>
        </w:rPr>
        <w:t>.</w:t>
      </w:r>
    </w:p>
    <w:p w14:paraId="4393EEA9" w14:textId="2E28828F" w:rsidR="00BA4592" w:rsidRPr="009A0DA6" w:rsidRDefault="00BA4592" w:rsidP="00B81951">
      <w:pPr>
        <w:pStyle w:val="NoSpacing"/>
        <w:rPr>
          <w:b/>
        </w:rPr>
      </w:pPr>
      <w:r w:rsidRPr="009A0DA6">
        <w:rPr>
          <w:b/>
        </w:rPr>
        <w:lastRenderedPageBreak/>
        <w:t>Reserves</w:t>
      </w:r>
    </w:p>
    <w:p w14:paraId="1D379DB1" w14:textId="3313C40C" w:rsidR="00BA4592" w:rsidRPr="009A0DA6" w:rsidRDefault="00BA4592" w:rsidP="00B81951">
      <w:pPr>
        <w:pStyle w:val="NoSpacing"/>
      </w:pPr>
      <w:r w:rsidRPr="009A0DA6">
        <w:t xml:space="preserve">Reserve balances as at 31 December 2017 are disclosed at Note 12. Reserves represent moneys set aside by General Church Council for future purposes over which it has discretion together with the equity balances of specific departments and auspices of the </w:t>
      </w:r>
      <w:r w:rsidR="00336CE0" w:rsidRPr="009A0DA6">
        <w:t>church</w:t>
      </w:r>
      <w:r w:rsidRPr="009A0DA6">
        <w:t>.</w:t>
      </w:r>
    </w:p>
    <w:p w14:paraId="79A95009" w14:textId="102F80B2" w:rsidR="00BA4592" w:rsidRPr="009A0DA6" w:rsidRDefault="007408EE" w:rsidP="00B81951">
      <w:pPr>
        <w:pStyle w:val="NoSpacing"/>
        <w:rPr>
          <w:b/>
        </w:rPr>
      </w:pPr>
      <w:r>
        <w:rPr>
          <w:b/>
        </w:rPr>
        <w:br/>
      </w:r>
      <w:r w:rsidR="00BA4592" w:rsidRPr="009A0DA6">
        <w:rPr>
          <w:b/>
        </w:rPr>
        <w:t>Property, plant and equipment</w:t>
      </w:r>
    </w:p>
    <w:p w14:paraId="6F706712" w14:textId="77777777" w:rsidR="00BA4592" w:rsidRPr="009A0DA6" w:rsidRDefault="00BA4592" w:rsidP="00BA4592">
      <w:pPr>
        <w:tabs>
          <w:tab w:val="center" w:pos="4394"/>
          <w:tab w:val="right" w:pos="6095"/>
          <w:tab w:val="right" w:pos="7371"/>
          <w:tab w:val="right" w:pos="8647"/>
        </w:tabs>
        <w:spacing w:before="120" w:after="120" w:line="240" w:lineRule="auto"/>
        <w:ind w:right="-51"/>
        <w:contextualSpacing/>
        <w:rPr>
          <w:rFonts w:ascii="Cambria" w:eastAsia="Times New Roman" w:hAnsi="Cambria" w:cstheme="minorHAnsi"/>
          <w:i/>
        </w:rPr>
      </w:pPr>
      <w:r w:rsidRPr="009A0DA6">
        <w:rPr>
          <w:rFonts w:ascii="Cambria" w:eastAsia="Times New Roman" w:hAnsi="Cambria" w:cstheme="minorHAnsi"/>
          <w:i/>
          <w:spacing w:val="1"/>
          <w:w w:val="109"/>
        </w:rPr>
        <w:t>P</w:t>
      </w:r>
      <w:r w:rsidRPr="009A0DA6">
        <w:rPr>
          <w:rFonts w:ascii="Cambria" w:eastAsia="Times New Roman" w:hAnsi="Cambria" w:cstheme="minorHAnsi"/>
          <w:i/>
          <w:w w:val="132"/>
        </w:rPr>
        <w:t>r</w:t>
      </w:r>
      <w:r w:rsidRPr="009A0DA6">
        <w:rPr>
          <w:rFonts w:ascii="Cambria" w:eastAsia="Times New Roman" w:hAnsi="Cambria" w:cstheme="minorHAnsi"/>
          <w:i/>
          <w:spacing w:val="1"/>
          <w:w w:val="99"/>
        </w:rPr>
        <w:t>o</w:t>
      </w:r>
      <w:r w:rsidRPr="009A0DA6">
        <w:rPr>
          <w:rFonts w:ascii="Cambria" w:eastAsia="Times New Roman" w:hAnsi="Cambria" w:cstheme="minorHAnsi"/>
          <w:i/>
          <w:w w:val="110"/>
        </w:rPr>
        <w:t>p</w:t>
      </w:r>
      <w:r w:rsidRPr="009A0DA6">
        <w:rPr>
          <w:rFonts w:ascii="Cambria" w:eastAsia="Times New Roman" w:hAnsi="Cambria" w:cstheme="minorHAnsi"/>
          <w:i/>
          <w:w w:val="99"/>
        </w:rPr>
        <w:t>e</w:t>
      </w:r>
      <w:r w:rsidRPr="009A0DA6">
        <w:rPr>
          <w:rFonts w:ascii="Cambria" w:eastAsia="Times New Roman" w:hAnsi="Cambria" w:cstheme="minorHAnsi"/>
          <w:i/>
          <w:w w:val="132"/>
        </w:rPr>
        <w:t>r</w:t>
      </w:r>
      <w:r w:rsidRPr="009A0DA6">
        <w:rPr>
          <w:rFonts w:ascii="Cambria" w:eastAsia="Times New Roman" w:hAnsi="Cambria" w:cstheme="minorHAnsi"/>
          <w:i/>
          <w:spacing w:val="1"/>
          <w:w w:val="119"/>
        </w:rPr>
        <w:t>t</w:t>
      </w:r>
      <w:r w:rsidRPr="009A0DA6">
        <w:rPr>
          <w:rFonts w:ascii="Cambria" w:eastAsia="Times New Roman" w:hAnsi="Cambria" w:cstheme="minorHAnsi"/>
          <w:i/>
          <w:w w:val="99"/>
        </w:rPr>
        <w:t>y</w:t>
      </w:r>
    </w:p>
    <w:p w14:paraId="462F1CD8" w14:textId="59AB19F8" w:rsidR="00BA4592" w:rsidRPr="007408EE" w:rsidRDefault="00BA4592" w:rsidP="00BA4592">
      <w:pPr>
        <w:tabs>
          <w:tab w:val="center" w:pos="4394"/>
          <w:tab w:val="right" w:pos="6095"/>
          <w:tab w:val="right" w:pos="7371"/>
          <w:tab w:val="right" w:pos="8647"/>
        </w:tabs>
        <w:spacing w:before="120" w:after="120" w:line="240" w:lineRule="auto"/>
        <w:ind w:right="-51"/>
        <w:contextualSpacing/>
        <w:rPr>
          <w:rFonts w:ascii="Cambria" w:eastAsia="Times New Roman" w:hAnsi="Cambria" w:cstheme="minorHAnsi"/>
          <w:sz w:val="10"/>
        </w:rPr>
      </w:pPr>
      <w:r w:rsidRPr="009A0DA6">
        <w:rPr>
          <w:rFonts w:ascii="Cambria" w:eastAsia="Times New Roman" w:hAnsi="Cambria" w:cstheme="minorHAnsi"/>
          <w:spacing w:val="3"/>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6"/>
        </w:rPr>
        <w:t xml:space="preserve"> </w:t>
      </w:r>
      <w:r w:rsidRPr="009A0DA6">
        <w:rPr>
          <w:rFonts w:ascii="Cambria" w:eastAsia="Times New Roman" w:hAnsi="Cambria" w:cstheme="minorHAnsi"/>
          <w:spacing w:val="1"/>
        </w:rPr>
        <w:t>prop</w:t>
      </w:r>
      <w:r w:rsidRPr="009A0DA6">
        <w:rPr>
          <w:rFonts w:ascii="Cambria" w:eastAsia="Times New Roman" w:hAnsi="Cambria" w:cstheme="minorHAnsi"/>
          <w:spacing w:val="-2"/>
        </w:rPr>
        <w:t>e</w:t>
      </w:r>
      <w:r w:rsidRPr="009A0DA6">
        <w:rPr>
          <w:rFonts w:ascii="Cambria" w:eastAsia="Times New Roman" w:hAnsi="Cambria" w:cstheme="minorHAnsi"/>
          <w:spacing w:val="1"/>
        </w:rPr>
        <w:t>r</w:t>
      </w:r>
      <w:r w:rsidRPr="009A0DA6">
        <w:rPr>
          <w:rFonts w:ascii="Cambria" w:eastAsia="Times New Roman" w:hAnsi="Cambria" w:cstheme="minorHAnsi"/>
        </w:rPr>
        <w:t xml:space="preserve">ties </w:t>
      </w:r>
      <w:r w:rsidRPr="009A0DA6">
        <w:rPr>
          <w:rFonts w:ascii="Cambria" w:eastAsia="Times New Roman" w:hAnsi="Cambria" w:cstheme="minorHAnsi"/>
          <w:spacing w:val="1"/>
        </w:rPr>
        <w:t>o</w:t>
      </w:r>
      <w:r w:rsidRPr="009A0DA6">
        <w:rPr>
          <w:rFonts w:ascii="Cambria" w:eastAsia="Times New Roman" w:hAnsi="Cambria" w:cstheme="minorHAnsi"/>
        </w:rPr>
        <w:t>f</w:t>
      </w:r>
      <w:r w:rsidRPr="009A0DA6">
        <w:rPr>
          <w:rFonts w:ascii="Cambria" w:eastAsia="Times New Roman" w:hAnsi="Cambria" w:cstheme="minorHAnsi"/>
          <w:spacing w:val="5"/>
        </w:rPr>
        <w:t xml:space="preserve"> </w:t>
      </w:r>
      <w:r w:rsidRPr="009A0DA6">
        <w:rPr>
          <w:rFonts w:ascii="Cambria" w:eastAsia="Times New Roman" w:hAnsi="Cambria" w:cstheme="minorHAnsi"/>
          <w:spacing w:val="2"/>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10"/>
        </w:rPr>
        <w:t xml:space="preserve"> </w:t>
      </w:r>
      <w:r w:rsidR="00336CE0" w:rsidRPr="009A0DA6">
        <w:rPr>
          <w:rFonts w:ascii="Cambria" w:eastAsia="Times New Roman" w:hAnsi="Cambria" w:cstheme="minorHAnsi"/>
          <w:spacing w:val="-1"/>
        </w:rPr>
        <w:t>church</w:t>
      </w:r>
      <w:r w:rsidRPr="009A0DA6">
        <w:rPr>
          <w:rFonts w:ascii="Cambria" w:eastAsia="Times New Roman" w:hAnsi="Cambria" w:cstheme="minorHAnsi"/>
          <w:spacing w:val="6"/>
        </w:rPr>
        <w:t xml:space="preserve"> </w:t>
      </w:r>
      <w:r w:rsidRPr="009A0DA6">
        <w:rPr>
          <w:rFonts w:ascii="Cambria" w:eastAsia="Times New Roman" w:hAnsi="Cambria" w:cstheme="minorHAnsi"/>
          <w:spacing w:val="1"/>
        </w:rPr>
        <w:t>d</w:t>
      </w:r>
      <w:r w:rsidRPr="009A0DA6">
        <w:rPr>
          <w:rFonts w:ascii="Cambria" w:eastAsia="Times New Roman" w:hAnsi="Cambria" w:cstheme="minorHAnsi"/>
        </w:rPr>
        <w:t>i</w:t>
      </w:r>
      <w:r w:rsidRPr="009A0DA6">
        <w:rPr>
          <w:rFonts w:ascii="Cambria" w:eastAsia="Times New Roman" w:hAnsi="Cambria" w:cstheme="minorHAnsi"/>
          <w:spacing w:val="-1"/>
        </w:rPr>
        <w:t>s</w:t>
      </w:r>
      <w:r w:rsidRPr="009A0DA6">
        <w:rPr>
          <w:rFonts w:ascii="Cambria" w:eastAsia="Times New Roman" w:hAnsi="Cambria" w:cstheme="minorHAnsi"/>
        </w:rPr>
        <w:t>cl</w:t>
      </w:r>
      <w:r w:rsidRPr="009A0DA6">
        <w:rPr>
          <w:rFonts w:ascii="Cambria" w:eastAsia="Times New Roman" w:hAnsi="Cambria" w:cstheme="minorHAnsi"/>
          <w:spacing w:val="1"/>
        </w:rPr>
        <w:t>o</w:t>
      </w:r>
      <w:r w:rsidRPr="009A0DA6">
        <w:rPr>
          <w:rFonts w:ascii="Cambria" w:eastAsia="Times New Roman" w:hAnsi="Cambria" w:cstheme="minorHAnsi"/>
          <w:spacing w:val="-1"/>
        </w:rPr>
        <w:t>s</w:t>
      </w:r>
      <w:r w:rsidRPr="009A0DA6">
        <w:rPr>
          <w:rFonts w:ascii="Cambria" w:eastAsia="Times New Roman" w:hAnsi="Cambria" w:cstheme="minorHAnsi"/>
        </w:rPr>
        <w:t>ed</w:t>
      </w:r>
      <w:r w:rsidRPr="009A0DA6">
        <w:rPr>
          <w:rFonts w:ascii="Cambria" w:eastAsia="Times New Roman" w:hAnsi="Cambria" w:cstheme="minorHAnsi"/>
          <w:spacing w:val="3"/>
        </w:rPr>
        <w:t xml:space="preserve"> </w:t>
      </w:r>
      <w:r w:rsidRPr="009A0DA6">
        <w:rPr>
          <w:rFonts w:ascii="Cambria" w:eastAsia="Times New Roman" w:hAnsi="Cambria" w:cstheme="minorHAnsi"/>
        </w:rPr>
        <w:t>in</w:t>
      </w:r>
      <w:r w:rsidRPr="009A0DA6">
        <w:rPr>
          <w:rFonts w:ascii="Cambria" w:eastAsia="Times New Roman" w:hAnsi="Cambria" w:cstheme="minorHAnsi"/>
          <w:spacing w:val="8"/>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spacing w:val="3"/>
        </w:rPr>
        <w:t>e</w:t>
      </w:r>
      <w:r w:rsidRPr="009A0DA6">
        <w:rPr>
          <w:rFonts w:ascii="Cambria" w:eastAsia="Times New Roman" w:hAnsi="Cambria" w:cstheme="minorHAnsi"/>
          <w:spacing w:val="-1"/>
        </w:rPr>
        <w:t>s</w:t>
      </w:r>
      <w:r w:rsidRPr="009A0DA6">
        <w:rPr>
          <w:rFonts w:ascii="Cambria" w:eastAsia="Times New Roman" w:hAnsi="Cambria" w:cstheme="minorHAnsi"/>
        </w:rPr>
        <w:t>e</w:t>
      </w:r>
      <w:r w:rsidRPr="009A0DA6">
        <w:rPr>
          <w:rFonts w:ascii="Cambria" w:eastAsia="Times New Roman" w:hAnsi="Cambria" w:cstheme="minorHAnsi"/>
          <w:spacing w:val="5"/>
        </w:rPr>
        <w:t xml:space="preserve"> </w:t>
      </w:r>
      <w:r w:rsidRPr="009A0DA6">
        <w:rPr>
          <w:rFonts w:ascii="Cambria" w:eastAsia="Times New Roman" w:hAnsi="Cambria" w:cstheme="minorHAnsi"/>
        </w:rPr>
        <w:t>acc</w:t>
      </w:r>
      <w:r w:rsidRPr="009A0DA6">
        <w:rPr>
          <w:rFonts w:ascii="Cambria" w:eastAsia="Times New Roman" w:hAnsi="Cambria" w:cstheme="minorHAnsi"/>
          <w:spacing w:val="1"/>
        </w:rPr>
        <w:t>ou</w:t>
      </w:r>
      <w:r w:rsidRPr="009A0DA6">
        <w:rPr>
          <w:rFonts w:ascii="Cambria" w:eastAsia="Times New Roman" w:hAnsi="Cambria" w:cstheme="minorHAnsi"/>
          <w:spacing w:val="-1"/>
        </w:rPr>
        <w:t>n</w:t>
      </w:r>
      <w:r w:rsidRPr="009A0DA6">
        <w:rPr>
          <w:rFonts w:ascii="Cambria" w:eastAsia="Times New Roman" w:hAnsi="Cambria" w:cstheme="minorHAnsi"/>
          <w:spacing w:val="2"/>
        </w:rPr>
        <w:t>t</w:t>
      </w:r>
      <w:r w:rsidRPr="009A0DA6">
        <w:rPr>
          <w:rFonts w:ascii="Cambria" w:eastAsia="Times New Roman" w:hAnsi="Cambria" w:cstheme="minorHAnsi"/>
        </w:rPr>
        <w:t>s</w:t>
      </w:r>
      <w:r w:rsidRPr="009A0DA6">
        <w:rPr>
          <w:rFonts w:ascii="Cambria" w:eastAsia="Times New Roman" w:hAnsi="Cambria" w:cstheme="minorHAnsi"/>
          <w:spacing w:val="1"/>
        </w:rPr>
        <w:t xml:space="preserve"> </w:t>
      </w:r>
      <w:r w:rsidRPr="009A0DA6">
        <w:rPr>
          <w:rFonts w:ascii="Cambria" w:eastAsia="Times New Roman" w:hAnsi="Cambria" w:cstheme="minorHAnsi"/>
        </w:rPr>
        <w:t>a</w:t>
      </w:r>
      <w:r w:rsidRPr="009A0DA6">
        <w:rPr>
          <w:rFonts w:ascii="Cambria" w:eastAsia="Times New Roman" w:hAnsi="Cambria" w:cstheme="minorHAnsi"/>
          <w:spacing w:val="3"/>
        </w:rPr>
        <w:t>r</w:t>
      </w:r>
      <w:r w:rsidRPr="009A0DA6">
        <w:rPr>
          <w:rFonts w:ascii="Cambria" w:eastAsia="Times New Roman" w:hAnsi="Cambria" w:cstheme="minorHAnsi"/>
        </w:rPr>
        <w:t>e</w:t>
      </w:r>
      <w:r w:rsidRPr="009A0DA6">
        <w:rPr>
          <w:rFonts w:ascii="Cambria" w:eastAsia="Times New Roman" w:hAnsi="Cambria" w:cstheme="minorHAnsi"/>
          <w:spacing w:val="7"/>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spacing w:val="1"/>
        </w:rPr>
        <w:t>o</w:t>
      </w:r>
      <w:r w:rsidRPr="009A0DA6">
        <w:rPr>
          <w:rFonts w:ascii="Cambria" w:eastAsia="Times New Roman" w:hAnsi="Cambria" w:cstheme="minorHAnsi"/>
          <w:spacing w:val="-1"/>
        </w:rPr>
        <w:t>s</w:t>
      </w:r>
      <w:r w:rsidRPr="009A0DA6">
        <w:rPr>
          <w:rFonts w:ascii="Cambria" w:eastAsia="Times New Roman" w:hAnsi="Cambria" w:cstheme="minorHAnsi"/>
        </w:rPr>
        <w:t>e</w:t>
      </w:r>
      <w:r w:rsidRPr="009A0DA6">
        <w:rPr>
          <w:rFonts w:ascii="Cambria" w:eastAsia="Times New Roman" w:hAnsi="Cambria" w:cstheme="minorHAnsi"/>
          <w:spacing w:val="8"/>
        </w:rPr>
        <w:t xml:space="preserve"> </w:t>
      </w:r>
      <w:r w:rsidRPr="009A0DA6">
        <w:rPr>
          <w:rFonts w:ascii="Cambria" w:eastAsia="Times New Roman" w:hAnsi="Cambria" w:cstheme="minorHAnsi"/>
          <w:spacing w:val="-1"/>
        </w:rPr>
        <w:t>h</w:t>
      </w:r>
      <w:r w:rsidRPr="009A0DA6">
        <w:rPr>
          <w:rFonts w:ascii="Cambria" w:eastAsia="Times New Roman" w:hAnsi="Cambria" w:cstheme="minorHAnsi"/>
        </w:rPr>
        <w:t>eld</w:t>
      </w:r>
      <w:r w:rsidRPr="009A0DA6">
        <w:rPr>
          <w:rFonts w:ascii="Cambria" w:eastAsia="Times New Roman" w:hAnsi="Cambria" w:cstheme="minorHAnsi"/>
          <w:spacing w:val="7"/>
        </w:rPr>
        <w:t xml:space="preserve"> </w:t>
      </w:r>
      <w:r w:rsidRPr="009A0DA6">
        <w:rPr>
          <w:rFonts w:ascii="Cambria" w:eastAsia="Times New Roman" w:hAnsi="Cambria" w:cstheme="minorHAnsi"/>
          <w:spacing w:val="2"/>
        </w:rPr>
        <w:t>i</w:t>
      </w:r>
      <w:r w:rsidRPr="009A0DA6">
        <w:rPr>
          <w:rFonts w:ascii="Cambria" w:eastAsia="Times New Roman" w:hAnsi="Cambria" w:cstheme="minorHAnsi"/>
        </w:rPr>
        <w:t>n</w:t>
      </w:r>
      <w:r w:rsidRPr="009A0DA6">
        <w:rPr>
          <w:rFonts w:ascii="Cambria" w:eastAsia="Times New Roman" w:hAnsi="Cambria" w:cstheme="minorHAnsi"/>
          <w:spacing w:val="6"/>
        </w:rPr>
        <w:t xml:space="preserve"> </w:t>
      </w:r>
      <w:r w:rsidRPr="009A0DA6">
        <w:rPr>
          <w:rFonts w:ascii="Cambria" w:eastAsia="Times New Roman" w:hAnsi="Cambria" w:cstheme="minorHAnsi"/>
          <w:spacing w:val="2"/>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10"/>
        </w:rPr>
        <w:t xml:space="preserve"> </w:t>
      </w:r>
      <w:r w:rsidRPr="009A0DA6">
        <w:rPr>
          <w:rFonts w:ascii="Cambria" w:eastAsia="Times New Roman" w:hAnsi="Cambria" w:cstheme="minorHAnsi"/>
          <w:spacing w:val="-1"/>
        </w:rPr>
        <w:t>n</w:t>
      </w:r>
      <w:r w:rsidRPr="009A0DA6">
        <w:rPr>
          <w:rFonts w:ascii="Cambria" w:eastAsia="Times New Roman" w:hAnsi="Cambria" w:cstheme="minorHAnsi"/>
          <w:spacing w:val="3"/>
        </w:rPr>
        <w:t>a</w:t>
      </w:r>
      <w:r w:rsidRPr="009A0DA6">
        <w:rPr>
          <w:rFonts w:ascii="Cambria" w:eastAsia="Times New Roman" w:hAnsi="Cambria" w:cstheme="minorHAnsi"/>
          <w:spacing w:val="-1"/>
        </w:rPr>
        <w:t>m</w:t>
      </w:r>
      <w:r w:rsidRPr="009A0DA6">
        <w:rPr>
          <w:rFonts w:ascii="Cambria" w:eastAsia="Times New Roman" w:hAnsi="Cambria" w:cstheme="minorHAnsi"/>
        </w:rPr>
        <w:t>e</w:t>
      </w:r>
      <w:r w:rsidRPr="009A0DA6">
        <w:rPr>
          <w:rFonts w:ascii="Cambria" w:eastAsia="Times New Roman" w:hAnsi="Cambria" w:cstheme="minorHAnsi"/>
          <w:spacing w:val="5"/>
        </w:rPr>
        <w:t xml:space="preserve"> </w:t>
      </w:r>
      <w:r w:rsidRPr="009A0DA6">
        <w:rPr>
          <w:rFonts w:ascii="Cambria" w:eastAsia="Times New Roman" w:hAnsi="Cambria" w:cstheme="minorHAnsi"/>
          <w:spacing w:val="1"/>
        </w:rPr>
        <w:t>o</w:t>
      </w:r>
      <w:r w:rsidRPr="009A0DA6">
        <w:rPr>
          <w:rFonts w:ascii="Cambria" w:eastAsia="Times New Roman" w:hAnsi="Cambria" w:cstheme="minorHAnsi"/>
        </w:rPr>
        <w:t>f</w:t>
      </w:r>
      <w:r w:rsidRPr="009A0DA6">
        <w:rPr>
          <w:rFonts w:ascii="Cambria" w:eastAsia="Times New Roman" w:hAnsi="Cambria" w:cstheme="minorHAnsi"/>
          <w:spacing w:val="8"/>
        </w:rPr>
        <w:t xml:space="preserve"> </w:t>
      </w:r>
      <w:r w:rsidRPr="009A0DA6">
        <w:rPr>
          <w:rFonts w:ascii="Cambria" w:eastAsia="Times New Roman" w:hAnsi="Cambria" w:cstheme="minorHAnsi"/>
          <w:spacing w:val="2"/>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7"/>
        </w:rPr>
        <w:t xml:space="preserve"> </w:t>
      </w:r>
      <w:r w:rsidR="00336CE0" w:rsidRPr="009A0DA6">
        <w:rPr>
          <w:rFonts w:ascii="Cambria" w:eastAsia="Times New Roman" w:hAnsi="Cambria" w:cstheme="minorHAnsi"/>
          <w:spacing w:val="2"/>
        </w:rPr>
        <w:t>church</w:t>
      </w:r>
      <w:r w:rsidRPr="009A0DA6">
        <w:rPr>
          <w:rFonts w:ascii="Cambria" w:eastAsia="Times New Roman" w:hAnsi="Cambria" w:cstheme="minorHAnsi"/>
        </w:rPr>
        <w:t xml:space="preserve"> a</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spacing w:val="3"/>
        </w:rPr>
        <w:t xml:space="preserve"> </w:t>
      </w:r>
      <w:r w:rsidRPr="009A0DA6">
        <w:rPr>
          <w:rFonts w:ascii="Cambria" w:eastAsia="Times New Roman" w:hAnsi="Cambria" w:cstheme="minorHAnsi"/>
        </w:rPr>
        <w:t>a</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4"/>
        </w:rPr>
        <w:t xml:space="preserve"> </w:t>
      </w:r>
      <w:r w:rsidRPr="009A0DA6">
        <w:rPr>
          <w:rFonts w:ascii="Cambria" w:eastAsia="Times New Roman" w:hAnsi="Cambria" w:cstheme="minorHAnsi"/>
          <w:spacing w:val="-1"/>
        </w:rPr>
        <w:t>us</w:t>
      </w:r>
      <w:r w:rsidRPr="009A0DA6">
        <w:rPr>
          <w:rFonts w:ascii="Cambria" w:eastAsia="Times New Roman" w:hAnsi="Cambria" w:cstheme="minorHAnsi"/>
        </w:rPr>
        <w:t>ed</w:t>
      </w:r>
      <w:r w:rsidRPr="009A0DA6">
        <w:rPr>
          <w:rFonts w:ascii="Cambria" w:eastAsia="Times New Roman" w:hAnsi="Cambria" w:cstheme="minorHAnsi"/>
          <w:spacing w:val="2"/>
        </w:rPr>
        <w:t xml:space="preserve"> </w:t>
      </w:r>
      <w:r w:rsidRPr="009A0DA6">
        <w:rPr>
          <w:rFonts w:ascii="Cambria" w:eastAsia="Times New Roman" w:hAnsi="Cambria" w:cstheme="minorHAnsi"/>
          <w:spacing w:val="-1"/>
        </w:rPr>
        <w:t>f</w:t>
      </w:r>
      <w:r w:rsidRPr="009A0DA6">
        <w:rPr>
          <w:rFonts w:ascii="Cambria" w:eastAsia="Times New Roman" w:hAnsi="Cambria" w:cstheme="minorHAnsi"/>
          <w:spacing w:val="1"/>
        </w:rPr>
        <w:t>o</w:t>
      </w:r>
      <w:r w:rsidRPr="009A0DA6">
        <w:rPr>
          <w:rFonts w:ascii="Cambria" w:eastAsia="Times New Roman" w:hAnsi="Cambria" w:cstheme="minorHAnsi"/>
        </w:rPr>
        <w:t>r</w:t>
      </w:r>
      <w:r w:rsidRPr="009A0DA6">
        <w:rPr>
          <w:rFonts w:ascii="Cambria" w:eastAsia="Times New Roman" w:hAnsi="Cambria" w:cstheme="minorHAnsi"/>
          <w:spacing w:val="4"/>
        </w:rPr>
        <w:t xml:space="preserve"> </w:t>
      </w:r>
      <w:r w:rsidRPr="009A0DA6">
        <w:rPr>
          <w:rFonts w:ascii="Cambria" w:eastAsia="Times New Roman" w:hAnsi="Cambria" w:cstheme="minorHAnsi"/>
          <w:spacing w:val="-1"/>
        </w:rPr>
        <w:t>s</w:t>
      </w:r>
      <w:r w:rsidRPr="009A0DA6">
        <w:rPr>
          <w:rFonts w:ascii="Cambria" w:eastAsia="Times New Roman" w:hAnsi="Cambria" w:cstheme="minorHAnsi"/>
          <w:spacing w:val="1"/>
        </w:rPr>
        <w:t>p</w:t>
      </w:r>
      <w:r w:rsidRPr="009A0DA6">
        <w:rPr>
          <w:rFonts w:ascii="Cambria" w:eastAsia="Times New Roman" w:hAnsi="Cambria" w:cstheme="minorHAnsi"/>
        </w:rPr>
        <w:t>eci</w:t>
      </w:r>
      <w:r w:rsidRPr="009A0DA6">
        <w:rPr>
          <w:rFonts w:ascii="Cambria" w:eastAsia="Times New Roman" w:hAnsi="Cambria" w:cstheme="minorHAnsi"/>
          <w:spacing w:val="-1"/>
        </w:rPr>
        <w:t>f</w:t>
      </w:r>
      <w:r w:rsidRPr="009A0DA6">
        <w:rPr>
          <w:rFonts w:ascii="Cambria" w:eastAsia="Times New Roman" w:hAnsi="Cambria" w:cstheme="minorHAnsi"/>
        </w:rPr>
        <w:t>ic</w:t>
      </w:r>
      <w:r w:rsidRPr="009A0DA6">
        <w:rPr>
          <w:rFonts w:ascii="Cambria" w:eastAsia="Times New Roman" w:hAnsi="Cambria" w:cstheme="minorHAnsi"/>
          <w:spacing w:val="2"/>
        </w:rPr>
        <w:t xml:space="preserve"> </w:t>
      </w:r>
      <w:r w:rsidRPr="009A0DA6">
        <w:rPr>
          <w:rFonts w:ascii="Cambria" w:eastAsia="Times New Roman" w:hAnsi="Cambria" w:cstheme="minorHAnsi"/>
          <w:spacing w:val="-1"/>
        </w:rPr>
        <w:t>m</w:t>
      </w:r>
      <w:r w:rsidRPr="009A0DA6">
        <w:rPr>
          <w:rFonts w:ascii="Cambria" w:eastAsia="Times New Roman" w:hAnsi="Cambria" w:cstheme="minorHAnsi"/>
        </w:rPr>
        <w:t>i</w:t>
      </w:r>
      <w:r w:rsidRPr="009A0DA6">
        <w:rPr>
          <w:rFonts w:ascii="Cambria" w:eastAsia="Times New Roman" w:hAnsi="Cambria" w:cstheme="minorHAnsi"/>
          <w:spacing w:val="1"/>
        </w:rPr>
        <w:t>n</w:t>
      </w:r>
      <w:r w:rsidRPr="009A0DA6">
        <w:rPr>
          <w:rFonts w:ascii="Cambria" w:eastAsia="Times New Roman" w:hAnsi="Cambria" w:cstheme="minorHAnsi"/>
          <w:spacing w:val="2"/>
        </w:rPr>
        <w:t>i</w:t>
      </w:r>
      <w:r w:rsidRPr="009A0DA6">
        <w:rPr>
          <w:rFonts w:ascii="Cambria" w:eastAsia="Times New Roman" w:hAnsi="Cambria" w:cstheme="minorHAnsi"/>
          <w:spacing w:val="-1"/>
        </w:rPr>
        <w:t>s</w:t>
      </w:r>
      <w:r w:rsidRPr="009A0DA6">
        <w:rPr>
          <w:rFonts w:ascii="Cambria" w:eastAsia="Times New Roman" w:hAnsi="Cambria" w:cstheme="minorHAnsi"/>
        </w:rPr>
        <w:t>t</w:t>
      </w:r>
      <w:r w:rsidRPr="009A0DA6">
        <w:rPr>
          <w:rFonts w:ascii="Cambria" w:eastAsia="Times New Roman" w:hAnsi="Cambria" w:cstheme="minorHAnsi"/>
          <w:spacing w:val="3"/>
        </w:rPr>
        <w:t>r</w:t>
      </w:r>
      <w:r w:rsidRPr="009A0DA6">
        <w:rPr>
          <w:rFonts w:ascii="Cambria" w:eastAsia="Times New Roman" w:hAnsi="Cambria" w:cstheme="minorHAnsi"/>
        </w:rPr>
        <w:t>y</w:t>
      </w:r>
      <w:r w:rsidRPr="009A0DA6">
        <w:rPr>
          <w:rFonts w:ascii="Cambria" w:eastAsia="Times New Roman" w:hAnsi="Cambria" w:cstheme="minorHAnsi"/>
          <w:spacing w:val="-5"/>
        </w:rPr>
        <w:t xml:space="preserve"> </w:t>
      </w:r>
      <w:r w:rsidRPr="009A0DA6">
        <w:rPr>
          <w:rFonts w:ascii="Cambria" w:eastAsia="Times New Roman" w:hAnsi="Cambria" w:cstheme="minorHAnsi"/>
          <w:spacing w:val="1"/>
        </w:rPr>
        <w:t>p</w:t>
      </w:r>
      <w:r w:rsidRPr="009A0DA6">
        <w:rPr>
          <w:rFonts w:ascii="Cambria" w:eastAsia="Times New Roman" w:hAnsi="Cambria" w:cstheme="minorHAnsi"/>
          <w:spacing w:val="-1"/>
        </w:rPr>
        <w:t>u</w:t>
      </w:r>
      <w:r w:rsidRPr="009A0DA6">
        <w:rPr>
          <w:rFonts w:ascii="Cambria" w:eastAsia="Times New Roman" w:hAnsi="Cambria" w:cstheme="minorHAnsi"/>
          <w:spacing w:val="1"/>
        </w:rPr>
        <w:t>rpo</w:t>
      </w:r>
      <w:r w:rsidRPr="009A0DA6">
        <w:rPr>
          <w:rFonts w:ascii="Cambria" w:eastAsia="Times New Roman" w:hAnsi="Cambria" w:cstheme="minorHAnsi"/>
          <w:spacing w:val="-1"/>
        </w:rPr>
        <w:t>s</w:t>
      </w:r>
      <w:r w:rsidRPr="009A0DA6">
        <w:rPr>
          <w:rFonts w:ascii="Cambria" w:eastAsia="Times New Roman" w:hAnsi="Cambria" w:cstheme="minorHAnsi"/>
        </w:rPr>
        <w:t>es</w:t>
      </w:r>
      <w:r w:rsidRPr="009A0DA6">
        <w:rPr>
          <w:rFonts w:ascii="Cambria" w:eastAsia="Times New Roman" w:hAnsi="Cambria" w:cstheme="minorHAnsi"/>
          <w:spacing w:val="-2"/>
        </w:rPr>
        <w:t xml:space="preserve"> </w:t>
      </w:r>
      <w:r w:rsidRPr="009A0DA6">
        <w:rPr>
          <w:rFonts w:ascii="Cambria" w:eastAsia="Times New Roman" w:hAnsi="Cambria" w:cstheme="minorHAnsi"/>
          <w:spacing w:val="1"/>
        </w:rPr>
        <w:t>o</w:t>
      </w:r>
      <w:r w:rsidRPr="009A0DA6">
        <w:rPr>
          <w:rFonts w:ascii="Cambria" w:eastAsia="Times New Roman" w:hAnsi="Cambria" w:cstheme="minorHAnsi"/>
        </w:rPr>
        <w:t>f</w:t>
      </w:r>
      <w:r w:rsidRPr="009A0DA6">
        <w:rPr>
          <w:rFonts w:ascii="Cambria" w:eastAsia="Times New Roman" w:hAnsi="Cambria" w:cstheme="minorHAnsi"/>
          <w:spacing w:val="2"/>
        </w:rPr>
        <w:t xml:space="preserve"> 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4"/>
        </w:rPr>
        <w:t xml:space="preserve"> </w:t>
      </w:r>
      <w:r w:rsidR="00336CE0" w:rsidRPr="009A0DA6">
        <w:rPr>
          <w:rFonts w:ascii="Cambria" w:eastAsia="Times New Roman" w:hAnsi="Cambria" w:cstheme="minorHAnsi"/>
          <w:spacing w:val="2"/>
        </w:rPr>
        <w:t>church</w:t>
      </w:r>
      <w:r w:rsidRPr="009A0DA6">
        <w:rPr>
          <w:rFonts w:ascii="Cambria" w:eastAsia="Times New Roman" w:hAnsi="Cambria" w:cstheme="minorHAnsi"/>
        </w:rPr>
        <w:t>. Ot</w:t>
      </w:r>
      <w:r w:rsidRPr="009A0DA6">
        <w:rPr>
          <w:rFonts w:ascii="Cambria" w:eastAsia="Times New Roman" w:hAnsi="Cambria" w:cstheme="minorHAnsi"/>
          <w:spacing w:val="-1"/>
        </w:rPr>
        <w:t>h</w:t>
      </w:r>
      <w:r w:rsidRPr="009A0DA6">
        <w:rPr>
          <w:rFonts w:ascii="Cambria" w:eastAsia="Times New Roman" w:hAnsi="Cambria" w:cstheme="minorHAnsi"/>
        </w:rPr>
        <w:t>er</w:t>
      </w:r>
      <w:r w:rsidRPr="009A0DA6">
        <w:rPr>
          <w:rFonts w:ascii="Cambria" w:eastAsia="Times New Roman" w:hAnsi="Cambria" w:cstheme="minorHAnsi"/>
          <w:spacing w:val="1"/>
        </w:rPr>
        <w:t xml:space="preserve"> prop</w:t>
      </w:r>
      <w:r w:rsidRPr="009A0DA6">
        <w:rPr>
          <w:rFonts w:ascii="Cambria" w:eastAsia="Times New Roman" w:hAnsi="Cambria" w:cstheme="minorHAnsi"/>
        </w:rPr>
        <w:t>e</w:t>
      </w:r>
      <w:r w:rsidRPr="009A0DA6">
        <w:rPr>
          <w:rFonts w:ascii="Cambria" w:eastAsia="Times New Roman" w:hAnsi="Cambria" w:cstheme="minorHAnsi"/>
          <w:spacing w:val="1"/>
        </w:rPr>
        <w:t>r</w:t>
      </w:r>
      <w:r w:rsidRPr="009A0DA6">
        <w:rPr>
          <w:rFonts w:ascii="Cambria" w:eastAsia="Times New Roman" w:hAnsi="Cambria" w:cstheme="minorHAnsi"/>
        </w:rPr>
        <w:t>ty</w:t>
      </w:r>
      <w:r w:rsidRPr="009A0DA6">
        <w:rPr>
          <w:rFonts w:ascii="Cambria" w:eastAsia="Times New Roman" w:hAnsi="Cambria" w:cstheme="minorHAnsi"/>
          <w:spacing w:val="-5"/>
        </w:rPr>
        <w:t xml:space="preserve"> </w:t>
      </w:r>
      <w:r w:rsidRPr="009A0DA6">
        <w:rPr>
          <w:rFonts w:ascii="Cambria" w:eastAsia="Times New Roman" w:hAnsi="Cambria" w:cstheme="minorHAnsi"/>
          <w:spacing w:val="1"/>
        </w:rPr>
        <w:t>o</w:t>
      </w:r>
      <w:r w:rsidRPr="009A0DA6">
        <w:rPr>
          <w:rFonts w:ascii="Cambria" w:eastAsia="Times New Roman" w:hAnsi="Cambria" w:cstheme="minorHAnsi"/>
        </w:rPr>
        <w:t>cc</w:t>
      </w:r>
      <w:r w:rsidRPr="009A0DA6">
        <w:rPr>
          <w:rFonts w:ascii="Cambria" w:eastAsia="Times New Roman" w:hAnsi="Cambria" w:cstheme="minorHAnsi"/>
          <w:spacing w:val="-1"/>
        </w:rPr>
        <w:t>u</w:t>
      </w:r>
      <w:r w:rsidRPr="009A0DA6">
        <w:rPr>
          <w:rFonts w:ascii="Cambria" w:eastAsia="Times New Roman" w:hAnsi="Cambria" w:cstheme="minorHAnsi"/>
          <w:spacing w:val="1"/>
        </w:rPr>
        <w:t>p</w:t>
      </w:r>
      <w:r w:rsidRPr="009A0DA6">
        <w:rPr>
          <w:rFonts w:ascii="Cambria" w:eastAsia="Times New Roman" w:hAnsi="Cambria" w:cstheme="minorHAnsi"/>
        </w:rPr>
        <w:t>ied</w:t>
      </w:r>
      <w:r w:rsidRPr="009A0DA6">
        <w:rPr>
          <w:rFonts w:ascii="Cambria" w:eastAsia="Times New Roman" w:hAnsi="Cambria" w:cstheme="minorHAnsi"/>
          <w:spacing w:val="-1"/>
        </w:rPr>
        <w:t xml:space="preserve"> </w:t>
      </w:r>
      <w:r w:rsidRPr="009A0DA6">
        <w:rPr>
          <w:rFonts w:ascii="Cambria" w:eastAsia="Times New Roman" w:hAnsi="Cambria" w:cstheme="minorHAnsi"/>
          <w:spacing w:val="1"/>
        </w:rPr>
        <w:t>b</w:t>
      </w:r>
      <w:r w:rsidRPr="009A0DA6">
        <w:rPr>
          <w:rFonts w:ascii="Cambria" w:eastAsia="Times New Roman" w:hAnsi="Cambria" w:cstheme="minorHAnsi"/>
        </w:rPr>
        <w:t xml:space="preserve">y </w:t>
      </w:r>
      <w:r w:rsidRPr="009A0DA6">
        <w:rPr>
          <w:rFonts w:ascii="Cambria" w:eastAsia="Times New Roman" w:hAnsi="Cambria" w:cstheme="minorHAnsi"/>
          <w:spacing w:val="2"/>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4"/>
        </w:rPr>
        <w:t xml:space="preserve"> </w:t>
      </w:r>
      <w:r w:rsidR="00336CE0" w:rsidRPr="009A0DA6">
        <w:rPr>
          <w:rFonts w:ascii="Cambria" w:eastAsia="Times New Roman" w:hAnsi="Cambria" w:cstheme="minorHAnsi"/>
          <w:spacing w:val="-1"/>
        </w:rPr>
        <w:t>church</w:t>
      </w:r>
      <w:r w:rsidRPr="009A0DA6">
        <w:rPr>
          <w:rFonts w:ascii="Cambria" w:eastAsia="Times New Roman" w:hAnsi="Cambria" w:cstheme="minorHAnsi"/>
          <w:spacing w:val="-2"/>
        </w:rPr>
        <w:t xml:space="preserve"> </w:t>
      </w:r>
      <w:r w:rsidRPr="009A0DA6">
        <w:rPr>
          <w:rFonts w:ascii="Cambria" w:eastAsia="Times New Roman" w:hAnsi="Cambria" w:cstheme="minorHAnsi"/>
        </w:rPr>
        <w:t xml:space="preserve">is </w:t>
      </w:r>
      <w:r w:rsidRPr="009A0DA6">
        <w:rPr>
          <w:rFonts w:ascii="Cambria" w:eastAsia="Times New Roman" w:hAnsi="Cambria" w:cstheme="minorHAnsi"/>
          <w:spacing w:val="-1"/>
        </w:rPr>
        <w:t>h</w:t>
      </w:r>
      <w:r w:rsidRPr="009A0DA6">
        <w:rPr>
          <w:rFonts w:ascii="Cambria" w:eastAsia="Times New Roman" w:hAnsi="Cambria" w:cstheme="minorHAnsi"/>
        </w:rPr>
        <w:t>eld</w:t>
      </w:r>
      <w:r w:rsidRPr="009A0DA6">
        <w:rPr>
          <w:rFonts w:ascii="Cambria" w:eastAsia="Times New Roman" w:hAnsi="Cambria" w:cstheme="minorHAnsi"/>
          <w:spacing w:val="6"/>
        </w:rPr>
        <w:t xml:space="preserve"> </w:t>
      </w:r>
      <w:r w:rsidRPr="009A0DA6">
        <w:rPr>
          <w:rFonts w:ascii="Cambria" w:eastAsia="Times New Roman" w:hAnsi="Cambria" w:cstheme="minorHAnsi"/>
          <w:spacing w:val="4"/>
        </w:rPr>
        <w:t>b</w:t>
      </w:r>
      <w:r w:rsidRPr="009A0DA6">
        <w:rPr>
          <w:rFonts w:ascii="Cambria" w:eastAsia="Times New Roman" w:hAnsi="Cambria" w:cstheme="minorHAnsi"/>
        </w:rPr>
        <w:t>y</w:t>
      </w:r>
      <w:r w:rsidRPr="009A0DA6">
        <w:rPr>
          <w:rFonts w:ascii="Cambria" w:eastAsia="Times New Roman" w:hAnsi="Cambria" w:cstheme="minorHAnsi"/>
          <w:spacing w:val="2"/>
        </w:rPr>
        <w:t xml:space="preserve"> 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8"/>
        </w:rPr>
        <w:t xml:space="preserve"> </w:t>
      </w:r>
      <w:r w:rsidRPr="009A0DA6">
        <w:rPr>
          <w:rFonts w:ascii="Cambria" w:eastAsia="Times New Roman" w:hAnsi="Cambria" w:cstheme="minorHAnsi"/>
          <w:spacing w:val="-2"/>
        </w:rPr>
        <w:t>L</w:t>
      </w:r>
      <w:r w:rsidRPr="009A0DA6">
        <w:rPr>
          <w:rFonts w:ascii="Cambria" w:eastAsia="Times New Roman" w:hAnsi="Cambria" w:cstheme="minorHAnsi"/>
          <w:spacing w:val="2"/>
        </w:rPr>
        <w:t>C</w:t>
      </w:r>
      <w:r w:rsidRPr="009A0DA6">
        <w:rPr>
          <w:rFonts w:ascii="Cambria" w:eastAsia="Times New Roman" w:hAnsi="Cambria" w:cstheme="minorHAnsi"/>
        </w:rPr>
        <w:t>A</w:t>
      </w:r>
      <w:r w:rsidRPr="009A0DA6">
        <w:rPr>
          <w:rFonts w:ascii="Cambria" w:eastAsia="Times New Roman" w:hAnsi="Cambria" w:cstheme="minorHAnsi"/>
          <w:spacing w:val="1"/>
        </w:rPr>
        <w:t xml:space="preserve"> </w:t>
      </w:r>
      <w:r w:rsidRPr="009A0DA6">
        <w:rPr>
          <w:rFonts w:ascii="Cambria" w:eastAsia="Times New Roman" w:hAnsi="Cambria" w:cstheme="minorHAnsi"/>
          <w:spacing w:val="2"/>
        </w:rPr>
        <w:t>P</w:t>
      </w:r>
      <w:r w:rsidRPr="009A0DA6">
        <w:rPr>
          <w:rFonts w:ascii="Cambria" w:eastAsia="Times New Roman" w:hAnsi="Cambria" w:cstheme="minorHAnsi"/>
          <w:spacing w:val="1"/>
        </w:rPr>
        <w:t>rop</w:t>
      </w:r>
      <w:r w:rsidRPr="009A0DA6">
        <w:rPr>
          <w:rFonts w:ascii="Cambria" w:eastAsia="Times New Roman" w:hAnsi="Cambria" w:cstheme="minorHAnsi"/>
        </w:rPr>
        <w:t>e</w:t>
      </w:r>
      <w:r w:rsidRPr="009A0DA6">
        <w:rPr>
          <w:rFonts w:ascii="Cambria" w:eastAsia="Times New Roman" w:hAnsi="Cambria" w:cstheme="minorHAnsi"/>
          <w:spacing w:val="1"/>
        </w:rPr>
        <w:t>r</w:t>
      </w:r>
      <w:r w:rsidRPr="009A0DA6">
        <w:rPr>
          <w:rFonts w:ascii="Cambria" w:eastAsia="Times New Roman" w:hAnsi="Cambria" w:cstheme="minorHAnsi"/>
        </w:rPr>
        <w:t>ty</w:t>
      </w:r>
      <w:r w:rsidRPr="009A0DA6">
        <w:rPr>
          <w:rFonts w:ascii="Cambria" w:eastAsia="Times New Roman" w:hAnsi="Cambria" w:cstheme="minorHAnsi"/>
          <w:spacing w:val="-1"/>
        </w:rPr>
        <w:t xml:space="preserve"> </w:t>
      </w:r>
      <w:r w:rsidRPr="009A0DA6">
        <w:rPr>
          <w:rFonts w:ascii="Cambria" w:eastAsia="Times New Roman" w:hAnsi="Cambria" w:cstheme="minorHAnsi"/>
          <w:spacing w:val="1"/>
        </w:rPr>
        <w:t>L</w:t>
      </w:r>
      <w:r w:rsidRPr="009A0DA6">
        <w:rPr>
          <w:rFonts w:ascii="Cambria" w:eastAsia="Times New Roman" w:hAnsi="Cambria" w:cstheme="minorHAnsi"/>
          <w:spacing w:val="2"/>
        </w:rPr>
        <w:t>i</w:t>
      </w:r>
      <w:r w:rsidRPr="009A0DA6">
        <w:rPr>
          <w:rFonts w:ascii="Cambria" w:eastAsia="Times New Roman" w:hAnsi="Cambria" w:cstheme="minorHAnsi"/>
          <w:spacing w:val="-1"/>
        </w:rPr>
        <w:t>m</w:t>
      </w:r>
      <w:r w:rsidRPr="009A0DA6">
        <w:rPr>
          <w:rFonts w:ascii="Cambria" w:eastAsia="Times New Roman" w:hAnsi="Cambria" w:cstheme="minorHAnsi"/>
        </w:rPr>
        <w:t>ite</w:t>
      </w:r>
      <w:r w:rsidRPr="009A0DA6">
        <w:rPr>
          <w:rFonts w:ascii="Cambria" w:eastAsia="Times New Roman" w:hAnsi="Cambria" w:cstheme="minorHAnsi"/>
          <w:spacing w:val="1"/>
        </w:rPr>
        <w:t>d</w:t>
      </w:r>
      <w:r w:rsidRPr="009A0DA6">
        <w:rPr>
          <w:rFonts w:ascii="Cambria" w:eastAsia="Times New Roman" w:hAnsi="Cambria" w:cstheme="minorHAnsi"/>
        </w:rPr>
        <w:t>,</w:t>
      </w:r>
      <w:r w:rsidRPr="009A0DA6">
        <w:rPr>
          <w:rFonts w:ascii="Cambria" w:eastAsia="Times New Roman" w:hAnsi="Cambria" w:cstheme="minorHAnsi"/>
          <w:spacing w:val="1"/>
        </w:rPr>
        <w:t xml:space="preserve"> </w:t>
      </w:r>
      <w:r w:rsidRPr="009A0DA6">
        <w:rPr>
          <w:rFonts w:ascii="Cambria" w:eastAsia="Times New Roman" w:hAnsi="Cambria" w:cstheme="minorHAnsi"/>
        </w:rPr>
        <w:t>a</w:t>
      </w:r>
      <w:r w:rsidRPr="009A0DA6">
        <w:rPr>
          <w:rFonts w:ascii="Cambria" w:eastAsia="Times New Roman" w:hAnsi="Cambria" w:cstheme="minorHAnsi"/>
          <w:spacing w:val="7"/>
        </w:rPr>
        <w:t xml:space="preserve"> </w:t>
      </w:r>
      <w:r w:rsidRPr="009A0DA6">
        <w:rPr>
          <w:rFonts w:ascii="Cambria" w:eastAsia="Times New Roman" w:hAnsi="Cambria" w:cstheme="minorHAnsi"/>
          <w:spacing w:val="1"/>
        </w:rPr>
        <w:t>p</w:t>
      </w:r>
      <w:r w:rsidRPr="009A0DA6">
        <w:rPr>
          <w:rFonts w:ascii="Cambria" w:eastAsia="Times New Roman" w:hAnsi="Cambria" w:cstheme="minorHAnsi"/>
          <w:spacing w:val="-1"/>
        </w:rPr>
        <w:t>u</w:t>
      </w:r>
      <w:r w:rsidRPr="009A0DA6">
        <w:rPr>
          <w:rFonts w:ascii="Cambria" w:eastAsia="Times New Roman" w:hAnsi="Cambria" w:cstheme="minorHAnsi"/>
          <w:spacing w:val="1"/>
        </w:rPr>
        <w:t>b</w:t>
      </w:r>
      <w:r w:rsidRPr="009A0DA6">
        <w:rPr>
          <w:rFonts w:ascii="Cambria" w:eastAsia="Times New Roman" w:hAnsi="Cambria" w:cstheme="minorHAnsi"/>
        </w:rPr>
        <w:t>lic</w:t>
      </w:r>
      <w:r w:rsidRPr="009A0DA6">
        <w:rPr>
          <w:rFonts w:ascii="Cambria" w:eastAsia="Times New Roman" w:hAnsi="Cambria" w:cstheme="minorHAnsi"/>
          <w:spacing w:val="3"/>
        </w:rPr>
        <w:t xml:space="preserve"> </w:t>
      </w:r>
      <w:r w:rsidRPr="009A0DA6">
        <w:rPr>
          <w:rFonts w:ascii="Cambria" w:eastAsia="Times New Roman" w:hAnsi="Cambria" w:cstheme="minorHAnsi"/>
        </w:rPr>
        <w:t>c</w:t>
      </w:r>
      <w:r w:rsidRPr="009A0DA6">
        <w:rPr>
          <w:rFonts w:ascii="Cambria" w:eastAsia="Times New Roman" w:hAnsi="Cambria" w:cstheme="minorHAnsi"/>
          <w:spacing w:val="4"/>
        </w:rPr>
        <w:t>o</w:t>
      </w:r>
      <w:r w:rsidRPr="009A0DA6">
        <w:rPr>
          <w:rFonts w:ascii="Cambria" w:eastAsia="Times New Roman" w:hAnsi="Cambria" w:cstheme="minorHAnsi"/>
          <w:spacing w:val="-4"/>
        </w:rPr>
        <w:t>m</w:t>
      </w:r>
      <w:r w:rsidRPr="009A0DA6">
        <w:rPr>
          <w:rFonts w:ascii="Cambria" w:eastAsia="Times New Roman" w:hAnsi="Cambria" w:cstheme="minorHAnsi"/>
          <w:spacing w:val="1"/>
        </w:rPr>
        <w:t>p</w:t>
      </w:r>
      <w:r w:rsidRPr="009A0DA6">
        <w:rPr>
          <w:rFonts w:ascii="Cambria" w:eastAsia="Times New Roman" w:hAnsi="Cambria" w:cstheme="minorHAnsi"/>
          <w:spacing w:val="3"/>
        </w:rPr>
        <w:t>a</w:t>
      </w:r>
      <w:r w:rsidRPr="009A0DA6">
        <w:rPr>
          <w:rFonts w:ascii="Cambria" w:eastAsia="Times New Roman" w:hAnsi="Cambria" w:cstheme="minorHAnsi"/>
          <w:spacing w:val="1"/>
        </w:rPr>
        <w:t>n</w:t>
      </w:r>
      <w:r w:rsidRPr="009A0DA6">
        <w:rPr>
          <w:rFonts w:ascii="Cambria" w:eastAsia="Times New Roman" w:hAnsi="Cambria" w:cstheme="minorHAnsi"/>
        </w:rPr>
        <w:t>y</w:t>
      </w:r>
      <w:r w:rsidRPr="009A0DA6">
        <w:rPr>
          <w:rFonts w:ascii="Cambria" w:eastAsia="Times New Roman" w:hAnsi="Cambria" w:cstheme="minorHAnsi"/>
          <w:spacing w:val="-1"/>
        </w:rPr>
        <w:t xml:space="preserve"> </w:t>
      </w:r>
      <w:r w:rsidRPr="009A0DA6">
        <w:rPr>
          <w:rFonts w:ascii="Cambria" w:eastAsia="Times New Roman" w:hAnsi="Cambria" w:cstheme="minorHAnsi"/>
        </w:rPr>
        <w:t>l</w:t>
      </w:r>
      <w:r w:rsidRPr="009A0DA6">
        <w:rPr>
          <w:rFonts w:ascii="Cambria" w:eastAsia="Times New Roman" w:hAnsi="Cambria" w:cstheme="minorHAnsi"/>
          <w:spacing w:val="2"/>
        </w:rPr>
        <w:t>i</w:t>
      </w:r>
      <w:r w:rsidRPr="009A0DA6">
        <w:rPr>
          <w:rFonts w:ascii="Cambria" w:eastAsia="Times New Roman" w:hAnsi="Cambria" w:cstheme="minorHAnsi"/>
          <w:spacing w:val="-1"/>
        </w:rPr>
        <w:t>m</w:t>
      </w:r>
      <w:r w:rsidRPr="009A0DA6">
        <w:rPr>
          <w:rFonts w:ascii="Cambria" w:eastAsia="Times New Roman" w:hAnsi="Cambria" w:cstheme="minorHAnsi"/>
        </w:rPr>
        <w:t>i</w:t>
      </w:r>
      <w:r w:rsidRPr="009A0DA6">
        <w:rPr>
          <w:rFonts w:ascii="Cambria" w:eastAsia="Times New Roman" w:hAnsi="Cambria" w:cstheme="minorHAnsi"/>
          <w:spacing w:val="2"/>
        </w:rPr>
        <w:t>t</w:t>
      </w:r>
      <w:r w:rsidRPr="009A0DA6">
        <w:rPr>
          <w:rFonts w:ascii="Cambria" w:eastAsia="Times New Roman" w:hAnsi="Cambria" w:cstheme="minorHAnsi"/>
        </w:rPr>
        <w:t>ed</w:t>
      </w:r>
      <w:r w:rsidRPr="009A0DA6">
        <w:rPr>
          <w:rFonts w:ascii="Cambria" w:eastAsia="Times New Roman" w:hAnsi="Cambria" w:cstheme="minorHAnsi"/>
          <w:spacing w:val="3"/>
        </w:rPr>
        <w:t xml:space="preserve"> </w:t>
      </w:r>
      <w:r w:rsidRPr="009A0DA6">
        <w:rPr>
          <w:rFonts w:ascii="Cambria" w:eastAsia="Times New Roman" w:hAnsi="Cambria" w:cstheme="minorHAnsi"/>
          <w:spacing w:val="1"/>
        </w:rPr>
        <w:t>b</w:t>
      </w:r>
      <w:r w:rsidRPr="009A0DA6">
        <w:rPr>
          <w:rFonts w:ascii="Cambria" w:eastAsia="Times New Roman" w:hAnsi="Cambria" w:cstheme="minorHAnsi"/>
        </w:rPr>
        <w:t>y</w:t>
      </w:r>
      <w:r w:rsidRPr="009A0DA6">
        <w:rPr>
          <w:rFonts w:ascii="Cambria" w:eastAsia="Times New Roman" w:hAnsi="Cambria" w:cstheme="minorHAnsi"/>
          <w:spacing w:val="4"/>
        </w:rPr>
        <w:t xml:space="preserve"> </w:t>
      </w:r>
      <w:r w:rsidRPr="009A0DA6">
        <w:rPr>
          <w:rFonts w:ascii="Cambria" w:eastAsia="Times New Roman" w:hAnsi="Cambria" w:cstheme="minorHAnsi"/>
          <w:spacing w:val="-1"/>
        </w:rPr>
        <w:t>gu</w:t>
      </w:r>
      <w:r w:rsidRPr="009A0DA6">
        <w:rPr>
          <w:rFonts w:ascii="Cambria" w:eastAsia="Times New Roman" w:hAnsi="Cambria" w:cstheme="minorHAnsi"/>
        </w:rPr>
        <w:t>a</w:t>
      </w:r>
      <w:r w:rsidRPr="009A0DA6">
        <w:rPr>
          <w:rFonts w:ascii="Cambria" w:eastAsia="Times New Roman" w:hAnsi="Cambria" w:cstheme="minorHAnsi"/>
          <w:spacing w:val="1"/>
        </w:rPr>
        <w:t>r</w:t>
      </w:r>
      <w:r w:rsidRPr="009A0DA6">
        <w:rPr>
          <w:rFonts w:ascii="Cambria" w:eastAsia="Times New Roman" w:hAnsi="Cambria" w:cstheme="minorHAnsi"/>
          <w:spacing w:val="3"/>
        </w:rPr>
        <w:t>a</w:t>
      </w:r>
      <w:r w:rsidRPr="009A0DA6">
        <w:rPr>
          <w:rFonts w:ascii="Cambria" w:eastAsia="Times New Roman" w:hAnsi="Cambria" w:cstheme="minorHAnsi"/>
          <w:spacing w:val="-1"/>
        </w:rPr>
        <w:t>n</w:t>
      </w:r>
      <w:r w:rsidRPr="009A0DA6">
        <w:rPr>
          <w:rFonts w:ascii="Cambria" w:eastAsia="Times New Roman" w:hAnsi="Cambria" w:cstheme="minorHAnsi"/>
        </w:rPr>
        <w:t>tee, a</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spacing w:val="6"/>
        </w:rPr>
        <w:t xml:space="preserve"> </w:t>
      </w:r>
      <w:r w:rsidRPr="009A0DA6">
        <w:rPr>
          <w:rFonts w:ascii="Cambria" w:eastAsia="Times New Roman" w:hAnsi="Cambria" w:cstheme="minorHAnsi"/>
        </w:rPr>
        <w:t>a</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6"/>
        </w:rPr>
        <w:t xml:space="preserve"> </w:t>
      </w:r>
      <w:r w:rsidRPr="009A0DA6">
        <w:rPr>
          <w:rFonts w:ascii="Cambria" w:eastAsia="Times New Roman" w:hAnsi="Cambria" w:cstheme="minorHAnsi"/>
          <w:spacing w:val="1"/>
        </w:rPr>
        <w:t>d</w:t>
      </w:r>
      <w:r w:rsidRPr="009A0DA6">
        <w:rPr>
          <w:rFonts w:ascii="Cambria" w:eastAsia="Times New Roman" w:hAnsi="Cambria" w:cstheme="minorHAnsi"/>
        </w:rPr>
        <w:t>i</w:t>
      </w:r>
      <w:r w:rsidRPr="009A0DA6">
        <w:rPr>
          <w:rFonts w:ascii="Cambria" w:eastAsia="Times New Roman" w:hAnsi="Cambria" w:cstheme="minorHAnsi"/>
          <w:spacing w:val="-1"/>
        </w:rPr>
        <w:t>s</w:t>
      </w:r>
      <w:r w:rsidRPr="009A0DA6">
        <w:rPr>
          <w:rFonts w:ascii="Cambria" w:eastAsia="Times New Roman" w:hAnsi="Cambria" w:cstheme="minorHAnsi"/>
        </w:rPr>
        <w:t>c</w:t>
      </w:r>
      <w:r w:rsidRPr="009A0DA6">
        <w:rPr>
          <w:rFonts w:ascii="Cambria" w:eastAsia="Times New Roman" w:hAnsi="Cambria" w:cstheme="minorHAnsi"/>
          <w:spacing w:val="2"/>
        </w:rPr>
        <w:t>l</w:t>
      </w:r>
      <w:r w:rsidRPr="009A0DA6">
        <w:rPr>
          <w:rFonts w:ascii="Cambria" w:eastAsia="Times New Roman" w:hAnsi="Cambria" w:cstheme="minorHAnsi"/>
          <w:spacing w:val="1"/>
        </w:rPr>
        <w:t>o</w:t>
      </w:r>
      <w:r w:rsidRPr="009A0DA6">
        <w:rPr>
          <w:rFonts w:ascii="Cambria" w:eastAsia="Times New Roman" w:hAnsi="Cambria" w:cstheme="minorHAnsi"/>
          <w:spacing w:val="-1"/>
        </w:rPr>
        <w:t>s</w:t>
      </w:r>
      <w:r w:rsidRPr="009A0DA6">
        <w:rPr>
          <w:rFonts w:ascii="Cambria" w:eastAsia="Times New Roman" w:hAnsi="Cambria" w:cstheme="minorHAnsi"/>
        </w:rPr>
        <w:t>ed</w:t>
      </w:r>
      <w:r w:rsidRPr="009A0DA6">
        <w:rPr>
          <w:rFonts w:ascii="Cambria" w:eastAsia="Times New Roman" w:hAnsi="Cambria" w:cstheme="minorHAnsi"/>
          <w:spacing w:val="2"/>
        </w:rPr>
        <w:t xml:space="preserve"> </w:t>
      </w:r>
      <w:r w:rsidRPr="009A0DA6">
        <w:rPr>
          <w:rFonts w:ascii="Cambria" w:eastAsia="Times New Roman" w:hAnsi="Cambria" w:cstheme="minorHAnsi"/>
        </w:rPr>
        <w:t>in</w:t>
      </w:r>
      <w:r w:rsidRPr="009A0DA6">
        <w:rPr>
          <w:rFonts w:ascii="Cambria" w:eastAsia="Times New Roman" w:hAnsi="Cambria" w:cstheme="minorHAnsi"/>
          <w:spacing w:val="4"/>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 xml:space="preserve">e </w:t>
      </w:r>
      <w:r w:rsidRPr="009A0DA6">
        <w:rPr>
          <w:rFonts w:ascii="Cambria" w:eastAsia="Times New Roman" w:hAnsi="Cambria" w:cstheme="minorHAnsi"/>
          <w:spacing w:val="-1"/>
        </w:rPr>
        <w:t>f</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rPr>
        <w:t>ci</w:t>
      </w:r>
      <w:r w:rsidRPr="009A0DA6">
        <w:rPr>
          <w:rFonts w:ascii="Cambria" w:eastAsia="Times New Roman" w:hAnsi="Cambria" w:cstheme="minorHAnsi"/>
          <w:spacing w:val="3"/>
        </w:rPr>
        <w:t>a</w:t>
      </w:r>
      <w:r w:rsidRPr="009A0DA6">
        <w:rPr>
          <w:rFonts w:ascii="Cambria" w:eastAsia="Times New Roman" w:hAnsi="Cambria" w:cstheme="minorHAnsi"/>
        </w:rPr>
        <w:t>l</w:t>
      </w:r>
      <w:r w:rsidRPr="009A0DA6">
        <w:rPr>
          <w:rFonts w:ascii="Cambria" w:eastAsia="Times New Roman" w:hAnsi="Cambria" w:cstheme="minorHAnsi"/>
          <w:spacing w:val="-7"/>
        </w:rPr>
        <w:t xml:space="preserve"> </w:t>
      </w:r>
      <w:r w:rsidRPr="009A0DA6">
        <w:rPr>
          <w:rFonts w:ascii="Cambria" w:eastAsia="Times New Roman" w:hAnsi="Cambria" w:cstheme="minorHAnsi"/>
        </w:rPr>
        <w:t>acc</w:t>
      </w:r>
      <w:r w:rsidRPr="009A0DA6">
        <w:rPr>
          <w:rFonts w:ascii="Cambria" w:eastAsia="Times New Roman" w:hAnsi="Cambria" w:cstheme="minorHAnsi"/>
          <w:spacing w:val="1"/>
        </w:rPr>
        <w:t>o</w:t>
      </w:r>
      <w:r w:rsidRPr="009A0DA6">
        <w:rPr>
          <w:rFonts w:ascii="Cambria" w:eastAsia="Times New Roman" w:hAnsi="Cambria" w:cstheme="minorHAnsi"/>
          <w:spacing w:val="-1"/>
        </w:rPr>
        <w:t>un</w:t>
      </w:r>
      <w:r w:rsidRPr="009A0DA6">
        <w:rPr>
          <w:rFonts w:ascii="Cambria" w:eastAsia="Times New Roman" w:hAnsi="Cambria" w:cstheme="minorHAnsi"/>
          <w:spacing w:val="2"/>
        </w:rPr>
        <w:t>t</w:t>
      </w:r>
      <w:r w:rsidRPr="009A0DA6">
        <w:rPr>
          <w:rFonts w:ascii="Cambria" w:eastAsia="Times New Roman" w:hAnsi="Cambria" w:cstheme="minorHAnsi"/>
        </w:rPr>
        <w:t>s</w:t>
      </w:r>
      <w:r w:rsidRPr="009A0DA6">
        <w:rPr>
          <w:rFonts w:ascii="Cambria" w:eastAsia="Times New Roman" w:hAnsi="Cambria" w:cstheme="minorHAnsi"/>
          <w:spacing w:val="-7"/>
        </w:rPr>
        <w:t xml:space="preserve"> </w:t>
      </w:r>
      <w:r w:rsidRPr="009A0DA6">
        <w:rPr>
          <w:rFonts w:ascii="Cambria" w:eastAsia="Times New Roman" w:hAnsi="Cambria" w:cstheme="minorHAnsi"/>
          <w:spacing w:val="1"/>
        </w:rPr>
        <w:t>o</w:t>
      </w:r>
      <w:r w:rsidRPr="009A0DA6">
        <w:rPr>
          <w:rFonts w:ascii="Cambria" w:eastAsia="Times New Roman" w:hAnsi="Cambria" w:cstheme="minorHAnsi"/>
        </w:rPr>
        <w:t>f</w:t>
      </w:r>
      <w:r w:rsidRPr="009A0DA6">
        <w:rPr>
          <w:rFonts w:ascii="Cambria" w:eastAsia="Times New Roman" w:hAnsi="Cambria" w:cstheme="minorHAnsi"/>
          <w:spacing w:val="-3"/>
        </w:rPr>
        <w:t xml:space="preserve"> </w:t>
      </w:r>
      <w:r w:rsidRPr="009A0DA6">
        <w:rPr>
          <w:rFonts w:ascii="Cambria" w:eastAsia="Times New Roman" w:hAnsi="Cambria" w:cstheme="minorHAnsi"/>
          <w:spacing w:val="2"/>
        </w:rPr>
        <w:t>t</w:t>
      </w:r>
      <w:r w:rsidRPr="009A0DA6">
        <w:rPr>
          <w:rFonts w:ascii="Cambria" w:eastAsia="Times New Roman" w:hAnsi="Cambria" w:cstheme="minorHAnsi"/>
          <w:spacing w:val="-1"/>
        </w:rPr>
        <w:t>h</w:t>
      </w:r>
      <w:r w:rsidRPr="009A0DA6">
        <w:rPr>
          <w:rFonts w:ascii="Cambria" w:eastAsia="Times New Roman" w:hAnsi="Cambria" w:cstheme="minorHAnsi"/>
        </w:rPr>
        <w:t>at</w:t>
      </w:r>
      <w:r w:rsidRPr="009A0DA6">
        <w:rPr>
          <w:rFonts w:ascii="Cambria" w:eastAsia="Times New Roman" w:hAnsi="Cambria" w:cstheme="minorHAnsi"/>
          <w:spacing w:val="-3"/>
        </w:rPr>
        <w:t xml:space="preserve"> </w:t>
      </w:r>
      <w:r w:rsidRPr="009A0DA6">
        <w:rPr>
          <w:rFonts w:ascii="Cambria" w:eastAsia="Times New Roman" w:hAnsi="Cambria" w:cstheme="minorHAnsi"/>
        </w:rPr>
        <w:t>e</w:t>
      </w:r>
      <w:r w:rsidRPr="009A0DA6">
        <w:rPr>
          <w:rFonts w:ascii="Cambria" w:eastAsia="Times New Roman" w:hAnsi="Cambria" w:cstheme="minorHAnsi"/>
          <w:spacing w:val="1"/>
        </w:rPr>
        <w:t>n</w:t>
      </w:r>
      <w:r w:rsidRPr="009A0DA6">
        <w:rPr>
          <w:rFonts w:ascii="Cambria" w:eastAsia="Times New Roman" w:hAnsi="Cambria" w:cstheme="minorHAnsi"/>
        </w:rPr>
        <w:t>ti</w:t>
      </w:r>
      <w:r w:rsidRPr="009A0DA6">
        <w:rPr>
          <w:rFonts w:ascii="Cambria" w:eastAsia="Times New Roman" w:hAnsi="Cambria" w:cstheme="minorHAnsi"/>
          <w:spacing w:val="2"/>
        </w:rPr>
        <w:t>t</w:t>
      </w:r>
      <w:r w:rsidRPr="009A0DA6">
        <w:rPr>
          <w:rFonts w:ascii="Cambria" w:eastAsia="Times New Roman" w:hAnsi="Cambria" w:cstheme="minorHAnsi"/>
          <w:spacing w:val="-1"/>
        </w:rPr>
        <w:t>y</w:t>
      </w:r>
      <w:r w:rsidRPr="009A0DA6">
        <w:rPr>
          <w:rFonts w:ascii="Cambria" w:eastAsia="Times New Roman" w:hAnsi="Cambria" w:cstheme="minorHAnsi"/>
        </w:rPr>
        <w:t>.</w:t>
      </w:r>
      <w:r w:rsidR="00B81951" w:rsidRPr="009A0DA6">
        <w:rPr>
          <w:rFonts w:ascii="Cambria" w:eastAsia="Times New Roman" w:hAnsi="Cambria" w:cstheme="minorHAnsi"/>
        </w:rPr>
        <w:br/>
      </w:r>
    </w:p>
    <w:p w14:paraId="18725553" w14:textId="37117FF3" w:rsidR="00BA4592" w:rsidRPr="007408EE" w:rsidRDefault="00BA4592" w:rsidP="00BA4592">
      <w:pPr>
        <w:tabs>
          <w:tab w:val="center" w:pos="4394"/>
          <w:tab w:val="right" w:pos="6095"/>
          <w:tab w:val="right" w:pos="7371"/>
          <w:tab w:val="right" w:pos="8647"/>
        </w:tabs>
        <w:spacing w:before="120" w:after="120" w:line="240" w:lineRule="auto"/>
        <w:ind w:right="-51"/>
        <w:contextualSpacing/>
        <w:rPr>
          <w:rFonts w:ascii="Cambria" w:eastAsia="Times New Roman" w:hAnsi="Cambria" w:cstheme="minorHAnsi"/>
          <w:sz w:val="10"/>
        </w:rPr>
      </w:pPr>
      <w:r w:rsidRPr="009A0DA6">
        <w:rPr>
          <w:rFonts w:ascii="Cambria" w:eastAsia="Times New Roman" w:hAnsi="Cambria" w:cstheme="minorHAnsi"/>
        </w:rPr>
        <w:t>Gai</w:t>
      </w:r>
      <w:r w:rsidRPr="009A0DA6">
        <w:rPr>
          <w:rFonts w:ascii="Cambria" w:eastAsia="Times New Roman" w:hAnsi="Cambria" w:cstheme="minorHAnsi"/>
          <w:spacing w:val="-1"/>
        </w:rPr>
        <w:t>n</w:t>
      </w:r>
      <w:r w:rsidRPr="009A0DA6">
        <w:rPr>
          <w:rFonts w:ascii="Cambria" w:eastAsia="Times New Roman" w:hAnsi="Cambria" w:cstheme="minorHAnsi"/>
        </w:rPr>
        <w:t>s</w:t>
      </w:r>
      <w:r w:rsidRPr="009A0DA6">
        <w:rPr>
          <w:rFonts w:ascii="Cambria" w:eastAsia="Times New Roman" w:hAnsi="Cambria" w:cstheme="minorHAnsi"/>
          <w:spacing w:val="5"/>
        </w:rPr>
        <w:t xml:space="preserve"> </w:t>
      </w:r>
      <w:r w:rsidRPr="009A0DA6">
        <w:rPr>
          <w:rFonts w:ascii="Cambria" w:eastAsia="Times New Roman" w:hAnsi="Cambria" w:cstheme="minorHAnsi"/>
          <w:spacing w:val="3"/>
        </w:rPr>
        <w:t>a</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spacing w:val="9"/>
        </w:rPr>
        <w:t xml:space="preserve"> </w:t>
      </w:r>
      <w:r w:rsidRPr="009A0DA6">
        <w:rPr>
          <w:rFonts w:ascii="Cambria" w:eastAsia="Times New Roman" w:hAnsi="Cambria" w:cstheme="minorHAnsi"/>
        </w:rPr>
        <w:t>l</w:t>
      </w:r>
      <w:r w:rsidRPr="009A0DA6">
        <w:rPr>
          <w:rFonts w:ascii="Cambria" w:eastAsia="Times New Roman" w:hAnsi="Cambria" w:cstheme="minorHAnsi"/>
          <w:spacing w:val="1"/>
        </w:rPr>
        <w:t>o</w:t>
      </w:r>
      <w:r w:rsidRPr="009A0DA6">
        <w:rPr>
          <w:rFonts w:ascii="Cambria" w:eastAsia="Times New Roman" w:hAnsi="Cambria" w:cstheme="minorHAnsi"/>
          <w:spacing w:val="-1"/>
        </w:rPr>
        <w:t>ss</w:t>
      </w:r>
      <w:r w:rsidRPr="009A0DA6">
        <w:rPr>
          <w:rFonts w:ascii="Cambria" w:eastAsia="Times New Roman" w:hAnsi="Cambria" w:cstheme="minorHAnsi"/>
        </w:rPr>
        <w:t>es</w:t>
      </w:r>
      <w:r w:rsidRPr="009A0DA6">
        <w:rPr>
          <w:rFonts w:ascii="Cambria" w:eastAsia="Times New Roman" w:hAnsi="Cambria" w:cstheme="minorHAnsi"/>
          <w:spacing w:val="5"/>
        </w:rPr>
        <w:t xml:space="preserve"> </w:t>
      </w:r>
      <w:r w:rsidRPr="009A0DA6">
        <w:rPr>
          <w:rFonts w:ascii="Cambria" w:eastAsia="Times New Roman" w:hAnsi="Cambria" w:cstheme="minorHAnsi"/>
          <w:spacing w:val="1"/>
        </w:rPr>
        <w:t>o</w:t>
      </w:r>
      <w:r w:rsidRPr="009A0DA6">
        <w:rPr>
          <w:rFonts w:ascii="Cambria" w:eastAsia="Times New Roman" w:hAnsi="Cambria" w:cstheme="minorHAnsi"/>
        </w:rPr>
        <w:t>n</w:t>
      </w:r>
      <w:r w:rsidRPr="009A0DA6">
        <w:rPr>
          <w:rFonts w:ascii="Cambria" w:eastAsia="Times New Roman" w:hAnsi="Cambria" w:cstheme="minorHAnsi"/>
          <w:spacing w:val="8"/>
        </w:rPr>
        <w:t xml:space="preserve"> </w:t>
      </w:r>
      <w:r w:rsidRPr="009A0DA6">
        <w:rPr>
          <w:rFonts w:ascii="Cambria" w:eastAsia="Times New Roman" w:hAnsi="Cambria" w:cstheme="minorHAnsi"/>
          <w:spacing w:val="1"/>
        </w:rPr>
        <w:t>d</w:t>
      </w:r>
      <w:r w:rsidRPr="009A0DA6">
        <w:rPr>
          <w:rFonts w:ascii="Cambria" w:eastAsia="Times New Roman" w:hAnsi="Cambria" w:cstheme="minorHAnsi"/>
        </w:rPr>
        <w:t>i</w:t>
      </w:r>
      <w:r w:rsidRPr="009A0DA6">
        <w:rPr>
          <w:rFonts w:ascii="Cambria" w:eastAsia="Times New Roman" w:hAnsi="Cambria" w:cstheme="minorHAnsi"/>
          <w:spacing w:val="-1"/>
        </w:rPr>
        <w:t>s</w:t>
      </w:r>
      <w:r w:rsidRPr="009A0DA6">
        <w:rPr>
          <w:rFonts w:ascii="Cambria" w:eastAsia="Times New Roman" w:hAnsi="Cambria" w:cstheme="minorHAnsi"/>
          <w:spacing w:val="1"/>
        </w:rPr>
        <w:t>po</w:t>
      </w:r>
      <w:r w:rsidRPr="009A0DA6">
        <w:rPr>
          <w:rFonts w:ascii="Cambria" w:eastAsia="Times New Roman" w:hAnsi="Cambria" w:cstheme="minorHAnsi"/>
          <w:spacing w:val="-1"/>
        </w:rPr>
        <w:t>s</w:t>
      </w:r>
      <w:r w:rsidRPr="009A0DA6">
        <w:rPr>
          <w:rFonts w:ascii="Cambria" w:eastAsia="Times New Roman" w:hAnsi="Cambria" w:cstheme="minorHAnsi"/>
        </w:rPr>
        <w:t>als</w:t>
      </w:r>
      <w:r w:rsidRPr="009A0DA6">
        <w:rPr>
          <w:rFonts w:ascii="Cambria" w:eastAsia="Times New Roman" w:hAnsi="Cambria" w:cstheme="minorHAnsi"/>
          <w:spacing w:val="5"/>
        </w:rPr>
        <w:t xml:space="preserve"> </w:t>
      </w:r>
      <w:r w:rsidRPr="009A0DA6">
        <w:rPr>
          <w:rFonts w:ascii="Cambria" w:eastAsia="Times New Roman" w:hAnsi="Cambria" w:cstheme="minorHAnsi"/>
          <w:spacing w:val="1"/>
        </w:rPr>
        <w:t>o</w:t>
      </w:r>
      <w:r w:rsidRPr="009A0DA6">
        <w:rPr>
          <w:rFonts w:ascii="Cambria" w:eastAsia="Times New Roman" w:hAnsi="Cambria" w:cstheme="minorHAnsi"/>
        </w:rPr>
        <w:t>f</w:t>
      </w:r>
      <w:r w:rsidRPr="009A0DA6">
        <w:rPr>
          <w:rFonts w:ascii="Cambria" w:eastAsia="Times New Roman" w:hAnsi="Cambria" w:cstheme="minorHAnsi"/>
          <w:spacing w:val="7"/>
        </w:rPr>
        <w:t xml:space="preserve"> </w:t>
      </w:r>
      <w:r w:rsidRPr="009A0DA6">
        <w:rPr>
          <w:rFonts w:ascii="Cambria" w:eastAsia="Times New Roman" w:hAnsi="Cambria" w:cstheme="minorHAnsi"/>
          <w:spacing w:val="1"/>
        </w:rPr>
        <w:t>pr</w:t>
      </w:r>
      <w:r w:rsidRPr="009A0DA6">
        <w:rPr>
          <w:rFonts w:ascii="Cambria" w:eastAsia="Times New Roman" w:hAnsi="Cambria" w:cstheme="minorHAnsi"/>
          <w:spacing w:val="-1"/>
        </w:rPr>
        <w:t>o</w:t>
      </w:r>
      <w:r w:rsidRPr="009A0DA6">
        <w:rPr>
          <w:rFonts w:ascii="Cambria" w:eastAsia="Times New Roman" w:hAnsi="Cambria" w:cstheme="minorHAnsi"/>
          <w:spacing w:val="1"/>
        </w:rPr>
        <w:t>p</w:t>
      </w:r>
      <w:r w:rsidRPr="009A0DA6">
        <w:rPr>
          <w:rFonts w:ascii="Cambria" w:eastAsia="Times New Roman" w:hAnsi="Cambria" w:cstheme="minorHAnsi"/>
        </w:rPr>
        <w:t>e</w:t>
      </w:r>
      <w:r w:rsidRPr="009A0DA6">
        <w:rPr>
          <w:rFonts w:ascii="Cambria" w:eastAsia="Times New Roman" w:hAnsi="Cambria" w:cstheme="minorHAnsi"/>
          <w:spacing w:val="1"/>
        </w:rPr>
        <w:t>r</w:t>
      </w:r>
      <w:r w:rsidRPr="009A0DA6">
        <w:rPr>
          <w:rFonts w:ascii="Cambria" w:eastAsia="Times New Roman" w:hAnsi="Cambria" w:cstheme="minorHAnsi"/>
        </w:rPr>
        <w:t>ty a</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8"/>
        </w:rPr>
        <w:t xml:space="preserve"> </w:t>
      </w:r>
      <w:r w:rsidRPr="009A0DA6">
        <w:rPr>
          <w:rFonts w:ascii="Cambria" w:eastAsia="Times New Roman" w:hAnsi="Cambria" w:cstheme="minorHAnsi"/>
          <w:spacing w:val="1"/>
        </w:rPr>
        <w:t>d</w:t>
      </w:r>
      <w:r w:rsidRPr="009A0DA6">
        <w:rPr>
          <w:rFonts w:ascii="Cambria" w:eastAsia="Times New Roman" w:hAnsi="Cambria" w:cstheme="minorHAnsi"/>
        </w:rPr>
        <w:t>ete</w:t>
      </w:r>
      <w:r w:rsidRPr="009A0DA6">
        <w:rPr>
          <w:rFonts w:ascii="Cambria" w:eastAsia="Times New Roman" w:hAnsi="Cambria" w:cstheme="minorHAnsi"/>
          <w:spacing w:val="1"/>
        </w:rPr>
        <w:t>r</w:t>
      </w:r>
      <w:r w:rsidRPr="009A0DA6">
        <w:rPr>
          <w:rFonts w:ascii="Cambria" w:eastAsia="Times New Roman" w:hAnsi="Cambria" w:cstheme="minorHAnsi"/>
          <w:spacing w:val="-4"/>
        </w:rPr>
        <w:t>m</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rPr>
        <w:t>ed</w:t>
      </w:r>
      <w:r w:rsidRPr="009A0DA6">
        <w:rPr>
          <w:rFonts w:ascii="Cambria" w:eastAsia="Times New Roman" w:hAnsi="Cambria" w:cstheme="minorHAnsi"/>
          <w:spacing w:val="3"/>
        </w:rPr>
        <w:t xml:space="preserve"> </w:t>
      </w:r>
      <w:r w:rsidRPr="009A0DA6">
        <w:rPr>
          <w:rFonts w:ascii="Cambria" w:eastAsia="Times New Roman" w:hAnsi="Cambria" w:cstheme="minorHAnsi"/>
          <w:spacing w:val="1"/>
        </w:rPr>
        <w:t>b</w:t>
      </w:r>
      <w:r w:rsidRPr="009A0DA6">
        <w:rPr>
          <w:rFonts w:ascii="Cambria" w:eastAsia="Times New Roman" w:hAnsi="Cambria" w:cstheme="minorHAnsi"/>
        </w:rPr>
        <w:t>y</w:t>
      </w:r>
      <w:r w:rsidRPr="009A0DA6">
        <w:rPr>
          <w:rFonts w:ascii="Cambria" w:eastAsia="Times New Roman" w:hAnsi="Cambria" w:cstheme="minorHAnsi"/>
          <w:spacing w:val="5"/>
        </w:rPr>
        <w:t xml:space="preserve"> </w:t>
      </w:r>
      <w:r w:rsidRPr="009A0DA6">
        <w:rPr>
          <w:rFonts w:ascii="Cambria" w:eastAsia="Times New Roman" w:hAnsi="Cambria" w:cstheme="minorHAnsi"/>
        </w:rPr>
        <w:t>c</w:t>
      </w:r>
      <w:r w:rsidRPr="009A0DA6">
        <w:rPr>
          <w:rFonts w:ascii="Cambria" w:eastAsia="Times New Roman" w:hAnsi="Cambria" w:cstheme="minorHAnsi"/>
          <w:spacing w:val="4"/>
        </w:rPr>
        <w:t>o</w:t>
      </w:r>
      <w:r w:rsidRPr="009A0DA6">
        <w:rPr>
          <w:rFonts w:ascii="Cambria" w:eastAsia="Times New Roman" w:hAnsi="Cambria" w:cstheme="minorHAnsi"/>
          <w:spacing w:val="-4"/>
        </w:rPr>
        <w:t>m</w:t>
      </w:r>
      <w:r w:rsidRPr="009A0DA6">
        <w:rPr>
          <w:rFonts w:ascii="Cambria" w:eastAsia="Times New Roman" w:hAnsi="Cambria" w:cstheme="minorHAnsi"/>
          <w:spacing w:val="1"/>
        </w:rPr>
        <w:t>p</w:t>
      </w:r>
      <w:r w:rsidRPr="009A0DA6">
        <w:rPr>
          <w:rFonts w:ascii="Cambria" w:eastAsia="Times New Roman" w:hAnsi="Cambria" w:cstheme="minorHAnsi"/>
        </w:rPr>
        <w:t>a</w:t>
      </w:r>
      <w:r w:rsidRPr="009A0DA6">
        <w:rPr>
          <w:rFonts w:ascii="Cambria" w:eastAsia="Times New Roman" w:hAnsi="Cambria" w:cstheme="minorHAnsi"/>
          <w:spacing w:val="1"/>
        </w:rPr>
        <w:t>r</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rPr>
        <w:t>g</w:t>
      </w:r>
      <w:r w:rsidRPr="009A0DA6">
        <w:rPr>
          <w:rFonts w:ascii="Cambria" w:eastAsia="Times New Roman" w:hAnsi="Cambria" w:cstheme="minorHAnsi"/>
          <w:spacing w:val="1"/>
        </w:rPr>
        <w:t xml:space="preserve"> pro</w:t>
      </w:r>
      <w:r w:rsidRPr="009A0DA6">
        <w:rPr>
          <w:rFonts w:ascii="Cambria" w:eastAsia="Times New Roman" w:hAnsi="Cambria" w:cstheme="minorHAnsi"/>
        </w:rPr>
        <w:t>cee</w:t>
      </w:r>
      <w:r w:rsidRPr="009A0DA6">
        <w:rPr>
          <w:rFonts w:ascii="Cambria" w:eastAsia="Times New Roman" w:hAnsi="Cambria" w:cstheme="minorHAnsi"/>
          <w:spacing w:val="1"/>
        </w:rPr>
        <w:t>d</w:t>
      </w:r>
      <w:r w:rsidRPr="009A0DA6">
        <w:rPr>
          <w:rFonts w:ascii="Cambria" w:eastAsia="Times New Roman" w:hAnsi="Cambria" w:cstheme="minorHAnsi"/>
        </w:rPr>
        <w:t>s</w:t>
      </w:r>
      <w:r w:rsidRPr="009A0DA6">
        <w:rPr>
          <w:rFonts w:ascii="Cambria" w:eastAsia="Times New Roman" w:hAnsi="Cambria" w:cstheme="minorHAnsi"/>
          <w:spacing w:val="3"/>
        </w:rPr>
        <w:t xml:space="preserve"> </w:t>
      </w:r>
      <w:r w:rsidRPr="009A0DA6">
        <w:rPr>
          <w:rFonts w:ascii="Cambria" w:eastAsia="Times New Roman" w:hAnsi="Cambria" w:cstheme="minorHAnsi"/>
          <w:spacing w:val="-5"/>
        </w:rPr>
        <w:t>w</w:t>
      </w:r>
      <w:r w:rsidRPr="009A0DA6">
        <w:rPr>
          <w:rFonts w:ascii="Cambria" w:eastAsia="Times New Roman" w:hAnsi="Cambria" w:cstheme="minorHAnsi"/>
        </w:rPr>
        <w:t>i</w:t>
      </w:r>
      <w:r w:rsidRPr="009A0DA6">
        <w:rPr>
          <w:rFonts w:ascii="Cambria" w:eastAsia="Times New Roman" w:hAnsi="Cambria" w:cstheme="minorHAnsi"/>
          <w:spacing w:val="2"/>
        </w:rPr>
        <w:t>t</w:t>
      </w:r>
      <w:r w:rsidRPr="009A0DA6">
        <w:rPr>
          <w:rFonts w:ascii="Cambria" w:eastAsia="Times New Roman" w:hAnsi="Cambria" w:cstheme="minorHAnsi"/>
        </w:rPr>
        <w:t>h</w:t>
      </w:r>
      <w:r w:rsidRPr="009A0DA6">
        <w:rPr>
          <w:rFonts w:ascii="Cambria" w:eastAsia="Times New Roman" w:hAnsi="Cambria" w:cstheme="minorHAnsi"/>
          <w:spacing w:val="6"/>
        </w:rPr>
        <w:t xml:space="preserve"> </w:t>
      </w:r>
      <w:r w:rsidRPr="009A0DA6">
        <w:rPr>
          <w:rFonts w:ascii="Cambria" w:eastAsia="Times New Roman" w:hAnsi="Cambria" w:cstheme="minorHAnsi"/>
          <w:spacing w:val="2"/>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8"/>
        </w:rPr>
        <w:t xml:space="preserve"> </w:t>
      </w:r>
      <w:r w:rsidRPr="009A0DA6">
        <w:rPr>
          <w:rFonts w:ascii="Cambria" w:eastAsia="Times New Roman" w:hAnsi="Cambria" w:cstheme="minorHAnsi"/>
        </w:rPr>
        <w:t>ca</w:t>
      </w:r>
      <w:r w:rsidRPr="009A0DA6">
        <w:rPr>
          <w:rFonts w:ascii="Cambria" w:eastAsia="Times New Roman" w:hAnsi="Cambria" w:cstheme="minorHAnsi"/>
          <w:spacing w:val="1"/>
        </w:rPr>
        <w:t>rr</w:t>
      </w:r>
      <w:r w:rsidRPr="009A0DA6">
        <w:rPr>
          <w:rFonts w:ascii="Cambria" w:eastAsia="Times New Roman" w:hAnsi="Cambria" w:cstheme="minorHAnsi"/>
          <w:spacing w:val="-4"/>
        </w:rPr>
        <w:t>y</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rPr>
        <w:t xml:space="preserve">g </w:t>
      </w:r>
      <w:r w:rsidRPr="009A0DA6">
        <w:rPr>
          <w:rFonts w:ascii="Cambria" w:eastAsia="Times New Roman" w:hAnsi="Cambria" w:cstheme="minorHAnsi"/>
          <w:spacing w:val="3"/>
        </w:rPr>
        <w:t>a</w:t>
      </w:r>
      <w:r w:rsidRPr="009A0DA6">
        <w:rPr>
          <w:rFonts w:ascii="Cambria" w:eastAsia="Times New Roman" w:hAnsi="Cambria" w:cstheme="minorHAnsi"/>
          <w:spacing w:val="-4"/>
        </w:rPr>
        <w:t>m</w:t>
      </w:r>
      <w:r w:rsidRPr="009A0DA6">
        <w:rPr>
          <w:rFonts w:ascii="Cambria" w:eastAsia="Times New Roman" w:hAnsi="Cambria" w:cstheme="minorHAnsi"/>
          <w:spacing w:val="1"/>
        </w:rPr>
        <w:t>ou</w:t>
      </w:r>
      <w:r w:rsidRPr="009A0DA6">
        <w:rPr>
          <w:rFonts w:ascii="Cambria" w:eastAsia="Times New Roman" w:hAnsi="Cambria" w:cstheme="minorHAnsi"/>
          <w:spacing w:val="-1"/>
        </w:rPr>
        <w:t>n</w:t>
      </w:r>
      <w:r w:rsidRPr="009A0DA6">
        <w:rPr>
          <w:rFonts w:ascii="Cambria" w:eastAsia="Times New Roman" w:hAnsi="Cambria" w:cstheme="minorHAnsi"/>
        </w:rPr>
        <w:t>t.</w:t>
      </w:r>
      <w:r w:rsidRPr="009A0DA6">
        <w:rPr>
          <w:rFonts w:ascii="Cambria" w:eastAsia="Times New Roman" w:hAnsi="Cambria" w:cstheme="minorHAnsi"/>
          <w:spacing w:val="18"/>
        </w:rPr>
        <w:t xml:space="preserve"> </w:t>
      </w:r>
      <w:r w:rsidRPr="009A0DA6">
        <w:rPr>
          <w:rFonts w:ascii="Cambria" w:eastAsia="Times New Roman" w:hAnsi="Cambria" w:cstheme="minorHAnsi"/>
          <w:spacing w:val="3"/>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1"/>
        </w:rPr>
        <w:t>s</w:t>
      </w:r>
      <w:r w:rsidRPr="009A0DA6">
        <w:rPr>
          <w:rFonts w:ascii="Cambria" w:eastAsia="Times New Roman" w:hAnsi="Cambria" w:cstheme="minorHAnsi"/>
        </w:rPr>
        <w:t>e</w:t>
      </w:r>
      <w:r w:rsidRPr="009A0DA6">
        <w:rPr>
          <w:rFonts w:ascii="Cambria" w:eastAsia="Times New Roman" w:hAnsi="Cambria" w:cstheme="minorHAnsi"/>
          <w:spacing w:val="22"/>
        </w:rPr>
        <w:t xml:space="preserve"> </w:t>
      </w:r>
      <w:r w:rsidRPr="009A0DA6">
        <w:rPr>
          <w:rFonts w:ascii="Cambria" w:eastAsia="Times New Roman" w:hAnsi="Cambria" w:cstheme="minorHAnsi"/>
          <w:spacing w:val="-1"/>
        </w:rPr>
        <w:t>g</w:t>
      </w:r>
      <w:r w:rsidRPr="009A0DA6">
        <w:rPr>
          <w:rFonts w:ascii="Cambria" w:eastAsia="Times New Roman" w:hAnsi="Cambria" w:cstheme="minorHAnsi"/>
        </w:rPr>
        <w:t>a</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rPr>
        <w:t>s</w:t>
      </w:r>
      <w:r w:rsidRPr="009A0DA6">
        <w:rPr>
          <w:rFonts w:ascii="Cambria" w:eastAsia="Times New Roman" w:hAnsi="Cambria" w:cstheme="minorHAnsi"/>
          <w:spacing w:val="20"/>
        </w:rPr>
        <w:t xml:space="preserve"> </w:t>
      </w:r>
      <w:r w:rsidRPr="009A0DA6">
        <w:rPr>
          <w:rFonts w:ascii="Cambria" w:eastAsia="Times New Roman" w:hAnsi="Cambria" w:cstheme="minorHAnsi"/>
          <w:spacing w:val="1"/>
        </w:rPr>
        <w:t>o</w:t>
      </w:r>
      <w:r w:rsidRPr="009A0DA6">
        <w:rPr>
          <w:rFonts w:ascii="Cambria" w:eastAsia="Times New Roman" w:hAnsi="Cambria" w:cstheme="minorHAnsi"/>
        </w:rPr>
        <w:t>r</w:t>
      </w:r>
      <w:r w:rsidRPr="009A0DA6">
        <w:rPr>
          <w:rFonts w:ascii="Cambria" w:eastAsia="Times New Roman" w:hAnsi="Cambria" w:cstheme="minorHAnsi"/>
          <w:spacing w:val="23"/>
        </w:rPr>
        <w:t xml:space="preserve"> </w:t>
      </w:r>
      <w:r w:rsidRPr="009A0DA6">
        <w:rPr>
          <w:rFonts w:ascii="Cambria" w:eastAsia="Times New Roman" w:hAnsi="Cambria" w:cstheme="minorHAnsi"/>
        </w:rPr>
        <w:t>l</w:t>
      </w:r>
      <w:r w:rsidRPr="009A0DA6">
        <w:rPr>
          <w:rFonts w:ascii="Cambria" w:eastAsia="Times New Roman" w:hAnsi="Cambria" w:cstheme="minorHAnsi"/>
          <w:spacing w:val="1"/>
        </w:rPr>
        <w:t>o</w:t>
      </w:r>
      <w:r w:rsidRPr="009A0DA6">
        <w:rPr>
          <w:rFonts w:ascii="Cambria" w:eastAsia="Times New Roman" w:hAnsi="Cambria" w:cstheme="minorHAnsi"/>
          <w:spacing w:val="2"/>
        </w:rPr>
        <w:t>s</w:t>
      </w:r>
      <w:r w:rsidRPr="009A0DA6">
        <w:rPr>
          <w:rFonts w:ascii="Cambria" w:eastAsia="Times New Roman" w:hAnsi="Cambria" w:cstheme="minorHAnsi"/>
          <w:spacing w:val="-1"/>
        </w:rPr>
        <w:t>s</w:t>
      </w:r>
      <w:r w:rsidRPr="009A0DA6">
        <w:rPr>
          <w:rFonts w:ascii="Cambria" w:eastAsia="Times New Roman" w:hAnsi="Cambria" w:cstheme="minorHAnsi"/>
          <w:spacing w:val="3"/>
        </w:rPr>
        <w:t>e</w:t>
      </w:r>
      <w:r w:rsidRPr="009A0DA6">
        <w:rPr>
          <w:rFonts w:ascii="Cambria" w:eastAsia="Times New Roman" w:hAnsi="Cambria" w:cstheme="minorHAnsi"/>
        </w:rPr>
        <w:t>s</w:t>
      </w:r>
      <w:r w:rsidRPr="009A0DA6">
        <w:rPr>
          <w:rFonts w:ascii="Cambria" w:eastAsia="Times New Roman" w:hAnsi="Cambria" w:cstheme="minorHAnsi"/>
          <w:spacing w:val="19"/>
        </w:rPr>
        <w:t xml:space="preserve"> </w:t>
      </w:r>
      <w:r w:rsidRPr="009A0DA6">
        <w:rPr>
          <w:rFonts w:ascii="Cambria" w:eastAsia="Times New Roman" w:hAnsi="Cambria" w:cstheme="minorHAnsi"/>
        </w:rPr>
        <w:t>a</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23"/>
        </w:rPr>
        <w:t xml:space="preserve"> </w:t>
      </w:r>
      <w:r w:rsidRPr="009A0DA6">
        <w:rPr>
          <w:rFonts w:ascii="Cambria" w:eastAsia="Times New Roman" w:hAnsi="Cambria" w:cstheme="minorHAnsi"/>
        </w:rPr>
        <w:t>i</w:t>
      </w:r>
      <w:r w:rsidRPr="009A0DA6">
        <w:rPr>
          <w:rFonts w:ascii="Cambria" w:eastAsia="Times New Roman" w:hAnsi="Cambria" w:cstheme="minorHAnsi"/>
          <w:spacing w:val="-1"/>
        </w:rPr>
        <w:t>n</w:t>
      </w:r>
      <w:r w:rsidRPr="009A0DA6">
        <w:rPr>
          <w:rFonts w:ascii="Cambria" w:eastAsia="Times New Roman" w:hAnsi="Cambria" w:cstheme="minorHAnsi"/>
          <w:spacing w:val="3"/>
        </w:rPr>
        <w:t>c</w:t>
      </w:r>
      <w:r w:rsidRPr="009A0DA6">
        <w:rPr>
          <w:rFonts w:ascii="Cambria" w:eastAsia="Times New Roman" w:hAnsi="Cambria" w:cstheme="minorHAnsi"/>
        </w:rPr>
        <w:t>l</w:t>
      </w:r>
      <w:r w:rsidRPr="009A0DA6">
        <w:rPr>
          <w:rFonts w:ascii="Cambria" w:eastAsia="Times New Roman" w:hAnsi="Cambria" w:cstheme="minorHAnsi"/>
          <w:spacing w:val="-1"/>
        </w:rPr>
        <w:t>u</w:t>
      </w:r>
      <w:r w:rsidRPr="009A0DA6">
        <w:rPr>
          <w:rFonts w:ascii="Cambria" w:eastAsia="Times New Roman" w:hAnsi="Cambria" w:cstheme="minorHAnsi"/>
          <w:spacing w:val="1"/>
        </w:rPr>
        <w:t>d</w:t>
      </w:r>
      <w:r w:rsidRPr="009A0DA6">
        <w:rPr>
          <w:rFonts w:ascii="Cambria" w:eastAsia="Times New Roman" w:hAnsi="Cambria" w:cstheme="minorHAnsi"/>
        </w:rPr>
        <w:t>ed</w:t>
      </w:r>
      <w:r w:rsidRPr="009A0DA6">
        <w:rPr>
          <w:rFonts w:ascii="Cambria" w:eastAsia="Times New Roman" w:hAnsi="Cambria" w:cstheme="minorHAnsi"/>
          <w:spacing w:val="19"/>
        </w:rPr>
        <w:t xml:space="preserve"> </w:t>
      </w:r>
      <w:r w:rsidRPr="009A0DA6">
        <w:rPr>
          <w:rFonts w:ascii="Cambria" w:eastAsia="Times New Roman" w:hAnsi="Cambria" w:cstheme="minorHAnsi"/>
          <w:spacing w:val="2"/>
        </w:rPr>
        <w:t>i</w:t>
      </w:r>
      <w:r w:rsidRPr="009A0DA6">
        <w:rPr>
          <w:rFonts w:ascii="Cambria" w:eastAsia="Times New Roman" w:hAnsi="Cambria" w:cstheme="minorHAnsi"/>
        </w:rPr>
        <w:t>n</w:t>
      </w:r>
      <w:r w:rsidRPr="009A0DA6">
        <w:rPr>
          <w:rFonts w:ascii="Cambria" w:eastAsia="Times New Roman" w:hAnsi="Cambria" w:cstheme="minorHAnsi"/>
          <w:spacing w:val="21"/>
        </w:rPr>
        <w:t xml:space="preserve"> </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rPr>
        <w:t>c</w:t>
      </w:r>
      <w:r w:rsidRPr="009A0DA6">
        <w:rPr>
          <w:rFonts w:ascii="Cambria" w:eastAsia="Times New Roman" w:hAnsi="Cambria" w:cstheme="minorHAnsi"/>
          <w:spacing w:val="4"/>
        </w:rPr>
        <w:t>o</w:t>
      </w:r>
      <w:r w:rsidRPr="009A0DA6">
        <w:rPr>
          <w:rFonts w:ascii="Cambria" w:eastAsia="Times New Roman" w:hAnsi="Cambria" w:cstheme="minorHAnsi"/>
          <w:spacing w:val="-4"/>
        </w:rPr>
        <w:t>m</w:t>
      </w:r>
      <w:r w:rsidRPr="009A0DA6">
        <w:rPr>
          <w:rFonts w:ascii="Cambria" w:eastAsia="Times New Roman" w:hAnsi="Cambria" w:cstheme="minorHAnsi"/>
        </w:rPr>
        <w:t>e</w:t>
      </w:r>
      <w:r w:rsidRPr="009A0DA6">
        <w:rPr>
          <w:rFonts w:ascii="Cambria" w:eastAsia="Times New Roman" w:hAnsi="Cambria" w:cstheme="minorHAnsi"/>
          <w:spacing w:val="19"/>
        </w:rPr>
        <w:t xml:space="preserve"> </w:t>
      </w:r>
      <w:r w:rsidRPr="009A0DA6">
        <w:rPr>
          <w:rFonts w:ascii="Cambria" w:eastAsia="Times New Roman" w:hAnsi="Cambria" w:cstheme="minorHAnsi"/>
          <w:spacing w:val="3"/>
        </w:rPr>
        <w:t>a</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spacing w:val="25"/>
        </w:rPr>
        <w:t xml:space="preserve"> </w:t>
      </w:r>
      <w:r w:rsidRPr="009A0DA6">
        <w:rPr>
          <w:rFonts w:ascii="Cambria" w:eastAsia="Times New Roman" w:hAnsi="Cambria" w:cstheme="minorHAnsi"/>
        </w:rPr>
        <w:t>e</w:t>
      </w:r>
      <w:r w:rsidRPr="009A0DA6">
        <w:rPr>
          <w:rFonts w:ascii="Cambria" w:eastAsia="Times New Roman" w:hAnsi="Cambria" w:cstheme="minorHAnsi"/>
          <w:spacing w:val="-1"/>
        </w:rPr>
        <w:t>x</w:t>
      </w:r>
      <w:r w:rsidRPr="009A0DA6">
        <w:rPr>
          <w:rFonts w:ascii="Cambria" w:eastAsia="Times New Roman" w:hAnsi="Cambria" w:cstheme="minorHAnsi"/>
          <w:spacing w:val="1"/>
        </w:rPr>
        <w:t>p</w:t>
      </w:r>
      <w:r w:rsidRPr="009A0DA6">
        <w:rPr>
          <w:rFonts w:ascii="Cambria" w:eastAsia="Times New Roman" w:hAnsi="Cambria" w:cstheme="minorHAnsi"/>
        </w:rPr>
        <w:t>e</w:t>
      </w:r>
      <w:r w:rsidRPr="009A0DA6">
        <w:rPr>
          <w:rFonts w:ascii="Cambria" w:eastAsia="Times New Roman" w:hAnsi="Cambria" w:cstheme="minorHAnsi"/>
          <w:spacing w:val="-1"/>
        </w:rPr>
        <w:t>n</w:t>
      </w:r>
      <w:r w:rsidRPr="009A0DA6">
        <w:rPr>
          <w:rFonts w:ascii="Cambria" w:eastAsia="Times New Roman" w:hAnsi="Cambria" w:cstheme="minorHAnsi"/>
          <w:spacing w:val="1"/>
        </w:rPr>
        <w:t>d</w:t>
      </w:r>
      <w:r w:rsidRPr="009A0DA6">
        <w:rPr>
          <w:rFonts w:ascii="Cambria" w:eastAsia="Times New Roman" w:hAnsi="Cambria" w:cstheme="minorHAnsi"/>
        </w:rPr>
        <w:t>i</w:t>
      </w:r>
      <w:r w:rsidRPr="009A0DA6">
        <w:rPr>
          <w:rFonts w:ascii="Cambria" w:eastAsia="Times New Roman" w:hAnsi="Cambria" w:cstheme="minorHAnsi"/>
          <w:spacing w:val="2"/>
        </w:rPr>
        <w:t>t</w:t>
      </w:r>
      <w:r w:rsidRPr="009A0DA6">
        <w:rPr>
          <w:rFonts w:ascii="Cambria" w:eastAsia="Times New Roman" w:hAnsi="Cambria" w:cstheme="minorHAnsi"/>
          <w:spacing w:val="-1"/>
        </w:rPr>
        <w:t>u</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15"/>
        </w:rPr>
        <w:t xml:space="preserve"> </w:t>
      </w:r>
      <w:r w:rsidRPr="009A0DA6">
        <w:rPr>
          <w:rFonts w:ascii="Cambria" w:eastAsia="Times New Roman" w:hAnsi="Cambria" w:cstheme="minorHAnsi"/>
          <w:spacing w:val="2"/>
        </w:rPr>
        <w:t>W</w:t>
      </w:r>
      <w:r w:rsidRPr="009A0DA6">
        <w:rPr>
          <w:rFonts w:ascii="Cambria" w:eastAsia="Times New Roman" w:hAnsi="Cambria" w:cstheme="minorHAnsi"/>
          <w:spacing w:val="-1"/>
        </w:rPr>
        <w:t>h</w:t>
      </w:r>
      <w:r w:rsidRPr="009A0DA6">
        <w:rPr>
          <w:rFonts w:ascii="Cambria" w:eastAsia="Times New Roman" w:hAnsi="Cambria" w:cstheme="minorHAnsi"/>
          <w:spacing w:val="3"/>
        </w:rPr>
        <w:t>e</w:t>
      </w:r>
      <w:r w:rsidRPr="009A0DA6">
        <w:rPr>
          <w:rFonts w:ascii="Cambria" w:eastAsia="Times New Roman" w:hAnsi="Cambria" w:cstheme="minorHAnsi"/>
        </w:rPr>
        <w:t>n</w:t>
      </w:r>
      <w:r w:rsidRPr="009A0DA6">
        <w:rPr>
          <w:rFonts w:ascii="Cambria" w:eastAsia="Times New Roman" w:hAnsi="Cambria" w:cstheme="minorHAnsi"/>
          <w:spacing w:val="18"/>
        </w:rPr>
        <w:t xml:space="preserve"> </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1"/>
        </w:rPr>
        <w:t>v</w:t>
      </w:r>
      <w:r w:rsidRPr="009A0DA6">
        <w:rPr>
          <w:rFonts w:ascii="Cambria" w:eastAsia="Times New Roman" w:hAnsi="Cambria" w:cstheme="minorHAnsi"/>
        </w:rPr>
        <w:t>a</w:t>
      </w:r>
      <w:r w:rsidRPr="009A0DA6">
        <w:rPr>
          <w:rFonts w:ascii="Cambria" w:eastAsia="Times New Roman" w:hAnsi="Cambria" w:cstheme="minorHAnsi"/>
          <w:spacing w:val="2"/>
        </w:rPr>
        <w:t>l</w:t>
      </w:r>
      <w:r w:rsidRPr="009A0DA6">
        <w:rPr>
          <w:rFonts w:ascii="Cambria" w:eastAsia="Times New Roman" w:hAnsi="Cambria" w:cstheme="minorHAnsi"/>
          <w:spacing w:val="-1"/>
        </w:rPr>
        <w:t>u</w:t>
      </w:r>
      <w:r w:rsidRPr="009A0DA6">
        <w:rPr>
          <w:rFonts w:ascii="Cambria" w:eastAsia="Times New Roman" w:hAnsi="Cambria" w:cstheme="minorHAnsi"/>
        </w:rPr>
        <w:t>ed</w:t>
      </w:r>
      <w:r w:rsidRPr="009A0DA6">
        <w:rPr>
          <w:rFonts w:ascii="Cambria" w:eastAsia="Times New Roman" w:hAnsi="Cambria" w:cstheme="minorHAnsi"/>
          <w:spacing w:val="21"/>
        </w:rPr>
        <w:t xml:space="preserve"> </w:t>
      </w:r>
      <w:r w:rsidRPr="009A0DA6">
        <w:rPr>
          <w:rFonts w:ascii="Cambria" w:eastAsia="Times New Roman" w:hAnsi="Cambria" w:cstheme="minorHAnsi"/>
        </w:rPr>
        <w:t>a</w:t>
      </w:r>
      <w:r w:rsidRPr="009A0DA6">
        <w:rPr>
          <w:rFonts w:ascii="Cambria" w:eastAsia="Times New Roman" w:hAnsi="Cambria" w:cstheme="minorHAnsi"/>
          <w:spacing w:val="-1"/>
        </w:rPr>
        <w:t>ss</w:t>
      </w:r>
      <w:r w:rsidRPr="009A0DA6">
        <w:rPr>
          <w:rFonts w:ascii="Cambria" w:eastAsia="Times New Roman" w:hAnsi="Cambria" w:cstheme="minorHAnsi"/>
        </w:rPr>
        <w:t>e</w:t>
      </w:r>
      <w:r w:rsidRPr="009A0DA6">
        <w:rPr>
          <w:rFonts w:ascii="Cambria" w:eastAsia="Times New Roman" w:hAnsi="Cambria" w:cstheme="minorHAnsi"/>
          <w:spacing w:val="2"/>
        </w:rPr>
        <w:t>t</w:t>
      </w:r>
      <w:r w:rsidRPr="009A0DA6">
        <w:rPr>
          <w:rFonts w:ascii="Cambria" w:eastAsia="Times New Roman" w:hAnsi="Cambria" w:cstheme="minorHAnsi"/>
        </w:rPr>
        <w:t>s</w:t>
      </w:r>
      <w:r w:rsidRPr="009A0DA6">
        <w:rPr>
          <w:rFonts w:ascii="Cambria" w:eastAsia="Times New Roman" w:hAnsi="Cambria" w:cstheme="minorHAnsi"/>
          <w:spacing w:val="19"/>
        </w:rPr>
        <w:t xml:space="preserve"> </w:t>
      </w:r>
      <w:r w:rsidRPr="009A0DA6">
        <w:rPr>
          <w:rFonts w:ascii="Cambria" w:eastAsia="Times New Roman" w:hAnsi="Cambria" w:cstheme="minorHAnsi"/>
        </w:rPr>
        <w:t>a</w:t>
      </w:r>
      <w:r w:rsidRPr="009A0DA6">
        <w:rPr>
          <w:rFonts w:ascii="Cambria" w:eastAsia="Times New Roman" w:hAnsi="Cambria" w:cstheme="minorHAnsi"/>
          <w:spacing w:val="1"/>
        </w:rPr>
        <w:t>r</w:t>
      </w:r>
      <w:r w:rsidRPr="009A0DA6">
        <w:rPr>
          <w:rFonts w:ascii="Cambria" w:eastAsia="Times New Roman" w:hAnsi="Cambria" w:cstheme="minorHAnsi"/>
        </w:rPr>
        <w:t xml:space="preserve">e </w:t>
      </w:r>
      <w:r w:rsidRPr="009A0DA6">
        <w:rPr>
          <w:rFonts w:ascii="Cambria" w:eastAsia="Times New Roman" w:hAnsi="Cambria" w:cstheme="minorHAnsi"/>
          <w:spacing w:val="-1"/>
        </w:rPr>
        <w:t>s</w:t>
      </w:r>
      <w:r w:rsidRPr="009A0DA6">
        <w:rPr>
          <w:rFonts w:ascii="Cambria" w:eastAsia="Times New Roman" w:hAnsi="Cambria" w:cstheme="minorHAnsi"/>
          <w:spacing w:val="1"/>
        </w:rPr>
        <w:t>o</w:t>
      </w:r>
      <w:r w:rsidRPr="009A0DA6">
        <w:rPr>
          <w:rFonts w:ascii="Cambria" w:eastAsia="Times New Roman" w:hAnsi="Cambria" w:cstheme="minorHAnsi"/>
        </w:rPr>
        <w:t>l</w:t>
      </w:r>
      <w:r w:rsidRPr="009A0DA6">
        <w:rPr>
          <w:rFonts w:ascii="Cambria" w:eastAsia="Times New Roman" w:hAnsi="Cambria" w:cstheme="minorHAnsi"/>
          <w:spacing w:val="1"/>
        </w:rPr>
        <w:t>d</w:t>
      </w:r>
      <w:r w:rsidRPr="009A0DA6">
        <w:rPr>
          <w:rFonts w:ascii="Cambria" w:eastAsia="Times New Roman" w:hAnsi="Cambria" w:cstheme="minorHAnsi"/>
        </w:rPr>
        <w:t>,</w:t>
      </w:r>
      <w:r w:rsidRPr="009A0DA6">
        <w:rPr>
          <w:rFonts w:ascii="Cambria" w:eastAsia="Times New Roman" w:hAnsi="Cambria" w:cstheme="minorHAnsi"/>
          <w:spacing w:val="26"/>
        </w:rPr>
        <w:t xml:space="preserve"> </w:t>
      </w:r>
      <w:r w:rsidRPr="009A0DA6">
        <w:rPr>
          <w:rFonts w:ascii="Cambria" w:eastAsia="Times New Roman" w:hAnsi="Cambria" w:cstheme="minorHAnsi"/>
        </w:rPr>
        <w:t>a</w:t>
      </w:r>
      <w:r w:rsidRPr="009A0DA6">
        <w:rPr>
          <w:rFonts w:ascii="Cambria" w:eastAsia="Times New Roman" w:hAnsi="Cambria" w:cstheme="minorHAnsi"/>
          <w:spacing w:val="-4"/>
        </w:rPr>
        <w:t>m</w:t>
      </w:r>
      <w:r w:rsidRPr="009A0DA6">
        <w:rPr>
          <w:rFonts w:ascii="Cambria" w:eastAsia="Times New Roman" w:hAnsi="Cambria" w:cstheme="minorHAnsi"/>
          <w:spacing w:val="1"/>
        </w:rPr>
        <w:t>ou</w:t>
      </w:r>
      <w:r w:rsidRPr="009A0DA6">
        <w:rPr>
          <w:rFonts w:ascii="Cambria" w:eastAsia="Times New Roman" w:hAnsi="Cambria" w:cstheme="minorHAnsi"/>
          <w:spacing w:val="-1"/>
        </w:rPr>
        <w:t>n</w:t>
      </w:r>
      <w:r w:rsidRPr="009A0DA6">
        <w:rPr>
          <w:rFonts w:ascii="Cambria" w:eastAsia="Times New Roman" w:hAnsi="Cambria" w:cstheme="minorHAnsi"/>
          <w:spacing w:val="2"/>
        </w:rPr>
        <w:t>t</w:t>
      </w:r>
      <w:r w:rsidRPr="009A0DA6">
        <w:rPr>
          <w:rFonts w:ascii="Cambria" w:eastAsia="Times New Roman" w:hAnsi="Cambria" w:cstheme="minorHAnsi"/>
        </w:rPr>
        <w:t>s</w:t>
      </w:r>
      <w:r w:rsidRPr="009A0DA6">
        <w:rPr>
          <w:rFonts w:ascii="Cambria" w:eastAsia="Times New Roman" w:hAnsi="Cambria" w:cstheme="minorHAnsi"/>
          <w:spacing w:val="22"/>
        </w:rPr>
        <w:t xml:space="preserve"> </w:t>
      </w:r>
      <w:r w:rsidRPr="009A0DA6">
        <w:rPr>
          <w:rFonts w:ascii="Cambria" w:eastAsia="Times New Roman" w:hAnsi="Cambria" w:cstheme="minorHAnsi"/>
        </w:rPr>
        <w:t>i</w:t>
      </w:r>
      <w:r w:rsidRPr="009A0DA6">
        <w:rPr>
          <w:rFonts w:ascii="Cambria" w:eastAsia="Times New Roman" w:hAnsi="Cambria" w:cstheme="minorHAnsi"/>
          <w:spacing w:val="-1"/>
        </w:rPr>
        <w:t>n</w:t>
      </w:r>
      <w:r w:rsidRPr="009A0DA6">
        <w:rPr>
          <w:rFonts w:ascii="Cambria" w:eastAsia="Times New Roman" w:hAnsi="Cambria" w:cstheme="minorHAnsi"/>
        </w:rPr>
        <w:t>c</w:t>
      </w:r>
      <w:r w:rsidRPr="009A0DA6">
        <w:rPr>
          <w:rFonts w:ascii="Cambria" w:eastAsia="Times New Roman" w:hAnsi="Cambria" w:cstheme="minorHAnsi"/>
          <w:spacing w:val="2"/>
        </w:rPr>
        <w:t>l</w:t>
      </w:r>
      <w:r w:rsidRPr="009A0DA6">
        <w:rPr>
          <w:rFonts w:ascii="Cambria" w:eastAsia="Times New Roman" w:hAnsi="Cambria" w:cstheme="minorHAnsi"/>
          <w:spacing w:val="-1"/>
        </w:rPr>
        <w:t>u</w:t>
      </w:r>
      <w:r w:rsidRPr="009A0DA6">
        <w:rPr>
          <w:rFonts w:ascii="Cambria" w:eastAsia="Times New Roman" w:hAnsi="Cambria" w:cstheme="minorHAnsi"/>
          <w:spacing w:val="1"/>
        </w:rPr>
        <w:t>d</w:t>
      </w:r>
      <w:r w:rsidRPr="009A0DA6">
        <w:rPr>
          <w:rFonts w:ascii="Cambria" w:eastAsia="Times New Roman" w:hAnsi="Cambria" w:cstheme="minorHAnsi"/>
        </w:rPr>
        <w:t>ed</w:t>
      </w:r>
      <w:r w:rsidRPr="009A0DA6">
        <w:rPr>
          <w:rFonts w:ascii="Cambria" w:eastAsia="Times New Roman" w:hAnsi="Cambria" w:cstheme="minorHAnsi"/>
          <w:spacing w:val="23"/>
        </w:rPr>
        <w:t xml:space="preserve"> </w:t>
      </w:r>
      <w:r w:rsidRPr="009A0DA6">
        <w:rPr>
          <w:rFonts w:ascii="Cambria" w:eastAsia="Times New Roman" w:hAnsi="Cambria" w:cstheme="minorHAnsi"/>
        </w:rPr>
        <w:t>in</w:t>
      </w:r>
      <w:r w:rsidRPr="009A0DA6">
        <w:rPr>
          <w:rFonts w:ascii="Cambria" w:eastAsia="Times New Roman" w:hAnsi="Cambria" w:cstheme="minorHAnsi"/>
          <w:spacing w:val="26"/>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28"/>
        </w:rPr>
        <w:t xml:space="preserve"> </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1"/>
        </w:rPr>
        <w:t>v</w:t>
      </w:r>
      <w:r w:rsidRPr="009A0DA6">
        <w:rPr>
          <w:rFonts w:ascii="Cambria" w:eastAsia="Times New Roman" w:hAnsi="Cambria" w:cstheme="minorHAnsi"/>
        </w:rPr>
        <w:t>al</w:t>
      </w:r>
      <w:r w:rsidRPr="009A0DA6">
        <w:rPr>
          <w:rFonts w:ascii="Cambria" w:eastAsia="Times New Roman" w:hAnsi="Cambria" w:cstheme="minorHAnsi"/>
          <w:spacing w:val="-1"/>
        </w:rPr>
        <w:t>u</w:t>
      </w:r>
      <w:r w:rsidRPr="009A0DA6">
        <w:rPr>
          <w:rFonts w:ascii="Cambria" w:eastAsia="Times New Roman" w:hAnsi="Cambria" w:cstheme="minorHAnsi"/>
        </w:rPr>
        <w:t>ati</w:t>
      </w:r>
      <w:r w:rsidRPr="009A0DA6">
        <w:rPr>
          <w:rFonts w:ascii="Cambria" w:eastAsia="Times New Roman" w:hAnsi="Cambria" w:cstheme="minorHAnsi"/>
          <w:spacing w:val="1"/>
        </w:rPr>
        <w:t>o</w:t>
      </w:r>
      <w:r w:rsidRPr="009A0DA6">
        <w:rPr>
          <w:rFonts w:ascii="Cambria" w:eastAsia="Times New Roman" w:hAnsi="Cambria" w:cstheme="minorHAnsi"/>
        </w:rPr>
        <w:t>n</w:t>
      </w:r>
      <w:r w:rsidRPr="009A0DA6">
        <w:rPr>
          <w:rFonts w:ascii="Cambria" w:eastAsia="Times New Roman" w:hAnsi="Cambria" w:cstheme="minorHAnsi"/>
          <w:spacing w:val="19"/>
        </w:rPr>
        <w:t xml:space="preserve"> </w:t>
      </w:r>
      <w:r w:rsidRPr="009A0DA6">
        <w:rPr>
          <w:rFonts w:ascii="Cambria" w:eastAsia="Times New Roman" w:hAnsi="Cambria" w:cstheme="minorHAnsi"/>
          <w:spacing w:val="2"/>
        </w:rPr>
        <w:t>s</w:t>
      </w:r>
      <w:r w:rsidRPr="009A0DA6">
        <w:rPr>
          <w:rFonts w:ascii="Cambria" w:eastAsia="Times New Roman" w:hAnsi="Cambria" w:cstheme="minorHAnsi"/>
          <w:spacing w:val="-1"/>
        </w:rPr>
        <w:t>u</w:t>
      </w:r>
      <w:r w:rsidRPr="009A0DA6">
        <w:rPr>
          <w:rFonts w:ascii="Cambria" w:eastAsia="Times New Roman" w:hAnsi="Cambria" w:cstheme="minorHAnsi"/>
          <w:spacing w:val="1"/>
        </w:rPr>
        <w:t>rp</w:t>
      </w:r>
      <w:r w:rsidRPr="009A0DA6">
        <w:rPr>
          <w:rFonts w:ascii="Cambria" w:eastAsia="Times New Roman" w:hAnsi="Cambria" w:cstheme="minorHAnsi"/>
        </w:rPr>
        <w:t>l</w:t>
      </w:r>
      <w:r w:rsidRPr="009A0DA6">
        <w:rPr>
          <w:rFonts w:ascii="Cambria" w:eastAsia="Times New Roman" w:hAnsi="Cambria" w:cstheme="minorHAnsi"/>
          <w:spacing w:val="-1"/>
        </w:rPr>
        <w:t>u</w:t>
      </w:r>
      <w:r w:rsidRPr="009A0DA6">
        <w:rPr>
          <w:rFonts w:ascii="Cambria" w:eastAsia="Times New Roman" w:hAnsi="Cambria" w:cstheme="minorHAnsi"/>
        </w:rPr>
        <w:t>s</w:t>
      </w:r>
      <w:r w:rsidRPr="009A0DA6">
        <w:rPr>
          <w:rFonts w:ascii="Cambria" w:eastAsia="Times New Roman" w:hAnsi="Cambria" w:cstheme="minorHAnsi"/>
          <w:spacing w:val="23"/>
        </w:rPr>
        <w:t xml:space="preserve"> </w:t>
      </w:r>
      <w:r w:rsidRPr="009A0DA6">
        <w:rPr>
          <w:rFonts w:ascii="Cambria" w:eastAsia="Times New Roman" w:hAnsi="Cambria" w:cstheme="minorHAnsi"/>
          <w:spacing w:val="1"/>
        </w:rPr>
        <w:t>r</w:t>
      </w:r>
      <w:r w:rsidRPr="009A0DA6">
        <w:rPr>
          <w:rFonts w:ascii="Cambria" w:eastAsia="Times New Roman" w:hAnsi="Cambria" w:cstheme="minorHAnsi"/>
        </w:rPr>
        <w:t>elat</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rPr>
        <w:t>g</w:t>
      </w:r>
      <w:r w:rsidRPr="009A0DA6">
        <w:rPr>
          <w:rFonts w:ascii="Cambria" w:eastAsia="Times New Roman" w:hAnsi="Cambria" w:cstheme="minorHAnsi"/>
          <w:spacing w:val="24"/>
        </w:rPr>
        <w:t xml:space="preserve"> </w:t>
      </w:r>
      <w:r w:rsidRPr="009A0DA6">
        <w:rPr>
          <w:rFonts w:ascii="Cambria" w:eastAsia="Times New Roman" w:hAnsi="Cambria" w:cstheme="minorHAnsi"/>
        </w:rPr>
        <w:t>to</w:t>
      </w:r>
      <w:r w:rsidRPr="009A0DA6">
        <w:rPr>
          <w:rFonts w:ascii="Cambria" w:eastAsia="Times New Roman" w:hAnsi="Cambria" w:cstheme="minorHAnsi"/>
          <w:spacing w:val="28"/>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at</w:t>
      </w:r>
      <w:r w:rsidRPr="009A0DA6">
        <w:rPr>
          <w:rFonts w:ascii="Cambria" w:eastAsia="Times New Roman" w:hAnsi="Cambria" w:cstheme="minorHAnsi"/>
          <w:spacing w:val="26"/>
        </w:rPr>
        <w:t xml:space="preserve"> </w:t>
      </w:r>
      <w:r w:rsidRPr="009A0DA6">
        <w:rPr>
          <w:rFonts w:ascii="Cambria" w:eastAsia="Times New Roman" w:hAnsi="Cambria" w:cstheme="minorHAnsi"/>
        </w:rPr>
        <w:t>a</w:t>
      </w:r>
      <w:r w:rsidRPr="009A0DA6">
        <w:rPr>
          <w:rFonts w:ascii="Cambria" w:eastAsia="Times New Roman" w:hAnsi="Cambria" w:cstheme="minorHAnsi"/>
          <w:spacing w:val="-1"/>
        </w:rPr>
        <w:t>ss</w:t>
      </w:r>
      <w:r w:rsidRPr="009A0DA6">
        <w:rPr>
          <w:rFonts w:ascii="Cambria" w:eastAsia="Times New Roman" w:hAnsi="Cambria" w:cstheme="minorHAnsi"/>
        </w:rPr>
        <w:t>et</w:t>
      </w:r>
      <w:r w:rsidRPr="009A0DA6">
        <w:rPr>
          <w:rFonts w:ascii="Cambria" w:eastAsia="Times New Roman" w:hAnsi="Cambria" w:cstheme="minorHAnsi"/>
          <w:spacing w:val="25"/>
        </w:rPr>
        <w:t xml:space="preserve"> </w:t>
      </w:r>
      <w:r w:rsidRPr="009A0DA6">
        <w:rPr>
          <w:rFonts w:ascii="Cambria" w:eastAsia="Times New Roman" w:hAnsi="Cambria" w:cstheme="minorHAnsi"/>
        </w:rPr>
        <w:t>a</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25"/>
        </w:rPr>
        <w:t xml:space="preserve"> </w:t>
      </w:r>
      <w:r w:rsidRPr="009A0DA6">
        <w:rPr>
          <w:rFonts w:ascii="Cambria" w:eastAsia="Times New Roman" w:hAnsi="Cambria" w:cstheme="minorHAnsi"/>
        </w:rPr>
        <w:t>t</w:t>
      </w:r>
      <w:r w:rsidRPr="009A0DA6">
        <w:rPr>
          <w:rFonts w:ascii="Cambria" w:eastAsia="Times New Roman" w:hAnsi="Cambria" w:cstheme="minorHAnsi"/>
          <w:spacing w:val="1"/>
        </w:rPr>
        <w:t>r</w:t>
      </w:r>
      <w:r w:rsidRPr="009A0DA6">
        <w:rPr>
          <w:rFonts w:ascii="Cambria" w:eastAsia="Times New Roman" w:hAnsi="Cambria" w:cstheme="minorHAnsi"/>
        </w:rPr>
        <w:t>a</w:t>
      </w:r>
      <w:r w:rsidRPr="009A0DA6">
        <w:rPr>
          <w:rFonts w:ascii="Cambria" w:eastAsia="Times New Roman" w:hAnsi="Cambria" w:cstheme="minorHAnsi"/>
          <w:spacing w:val="-1"/>
        </w:rPr>
        <w:t>nsf</w:t>
      </w:r>
      <w:r w:rsidRPr="009A0DA6">
        <w:rPr>
          <w:rFonts w:ascii="Cambria" w:eastAsia="Times New Roman" w:hAnsi="Cambria" w:cstheme="minorHAnsi"/>
        </w:rPr>
        <w:t>e</w:t>
      </w:r>
      <w:r w:rsidRPr="009A0DA6">
        <w:rPr>
          <w:rFonts w:ascii="Cambria" w:eastAsia="Times New Roman" w:hAnsi="Cambria" w:cstheme="minorHAnsi"/>
          <w:spacing w:val="1"/>
        </w:rPr>
        <w:t>rr</w:t>
      </w:r>
      <w:r w:rsidRPr="009A0DA6">
        <w:rPr>
          <w:rFonts w:ascii="Cambria" w:eastAsia="Times New Roman" w:hAnsi="Cambria" w:cstheme="minorHAnsi"/>
        </w:rPr>
        <w:t>ed</w:t>
      </w:r>
      <w:r w:rsidRPr="009A0DA6">
        <w:rPr>
          <w:rFonts w:ascii="Cambria" w:eastAsia="Times New Roman" w:hAnsi="Cambria" w:cstheme="minorHAnsi"/>
          <w:spacing w:val="21"/>
        </w:rPr>
        <w:t xml:space="preserve"> </w:t>
      </w:r>
      <w:r w:rsidRPr="009A0DA6">
        <w:rPr>
          <w:rFonts w:ascii="Cambria" w:eastAsia="Times New Roman" w:hAnsi="Cambria" w:cstheme="minorHAnsi"/>
        </w:rPr>
        <w:t>to</w:t>
      </w:r>
      <w:r w:rsidRPr="009A0DA6">
        <w:rPr>
          <w:rFonts w:ascii="Cambria" w:eastAsia="Times New Roman" w:hAnsi="Cambria" w:cstheme="minorHAnsi"/>
          <w:spacing w:val="28"/>
        </w:rPr>
        <w:t xml:space="preserve"> </w:t>
      </w:r>
      <w:r w:rsidRPr="009A0DA6">
        <w:rPr>
          <w:rFonts w:ascii="Cambria" w:eastAsia="Times New Roman" w:hAnsi="Cambria" w:cstheme="minorHAnsi"/>
          <w:spacing w:val="1"/>
        </w:rPr>
        <w:t>r</w:t>
      </w:r>
      <w:r w:rsidRPr="009A0DA6">
        <w:rPr>
          <w:rFonts w:ascii="Cambria" w:eastAsia="Times New Roman" w:hAnsi="Cambria" w:cstheme="minorHAnsi"/>
        </w:rPr>
        <w:t>etai</w:t>
      </w:r>
      <w:r w:rsidRPr="009A0DA6">
        <w:rPr>
          <w:rFonts w:ascii="Cambria" w:eastAsia="Times New Roman" w:hAnsi="Cambria" w:cstheme="minorHAnsi"/>
          <w:spacing w:val="-1"/>
        </w:rPr>
        <w:t>n</w:t>
      </w:r>
      <w:r w:rsidRPr="009A0DA6">
        <w:rPr>
          <w:rFonts w:ascii="Cambria" w:eastAsia="Times New Roman" w:hAnsi="Cambria" w:cstheme="minorHAnsi"/>
        </w:rPr>
        <w:t xml:space="preserve">ed </w:t>
      </w:r>
      <w:r w:rsidRPr="009A0DA6">
        <w:rPr>
          <w:rFonts w:ascii="Cambria" w:eastAsia="Times New Roman" w:hAnsi="Cambria" w:cstheme="minorHAnsi"/>
          <w:spacing w:val="-1"/>
        </w:rPr>
        <w:t>su</w:t>
      </w:r>
      <w:r w:rsidRPr="009A0DA6">
        <w:rPr>
          <w:rFonts w:ascii="Cambria" w:eastAsia="Times New Roman" w:hAnsi="Cambria" w:cstheme="minorHAnsi"/>
          <w:spacing w:val="1"/>
        </w:rPr>
        <w:t>rp</w:t>
      </w:r>
      <w:r w:rsidRPr="009A0DA6">
        <w:rPr>
          <w:rFonts w:ascii="Cambria" w:eastAsia="Times New Roman" w:hAnsi="Cambria" w:cstheme="minorHAnsi"/>
        </w:rPr>
        <w:t>l</w:t>
      </w:r>
      <w:r w:rsidRPr="009A0DA6">
        <w:rPr>
          <w:rFonts w:ascii="Cambria" w:eastAsia="Times New Roman" w:hAnsi="Cambria" w:cstheme="minorHAnsi"/>
          <w:spacing w:val="1"/>
        </w:rPr>
        <w:t>u</w:t>
      </w:r>
      <w:r w:rsidRPr="009A0DA6">
        <w:rPr>
          <w:rFonts w:ascii="Cambria" w:eastAsia="Times New Roman" w:hAnsi="Cambria" w:cstheme="minorHAnsi"/>
          <w:spacing w:val="-1"/>
        </w:rPr>
        <w:t>s</w:t>
      </w:r>
      <w:r w:rsidRPr="009A0DA6">
        <w:rPr>
          <w:rFonts w:ascii="Cambria" w:eastAsia="Times New Roman" w:hAnsi="Cambria" w:cstheme="minorHAnsi"/>
        </w:rPr>
        <w:t>e</w:t>
      </w:r>
      <w:r w:rsidRPr="009A0DA6">
        <w:rPr>
          <w:rFonts w:ascii="Cambria" w:eastAsia="Times New Roman" w:hAnsi="Cambria" w:cstheme="minorHAnsi"/>
          <w:spacing w:val="-1"/>
        </w:rPr>
        <w:t>s</w:t>
      </w:r>
      <w:r w:rsidRPr="009A0DA6">
        <w:rPr>
          <w:rFonts w:ascii="Cambria" w:eastAsia="Times New Roman" w:hAnsi="Cambria" w:cstheme="minorHAnsi"/>
        </w:rPr>
        <w:t>.</w:t>
      </w:r>
      <w:r w:rsidR="00B81951" w:rsidRPr="009A0DA6">
        <w:rPr>
          <w:rFonts w:ascii="Cambria" w:eastAsia="Times New Roman" w:hAnsi="Cambria" w:cstheme="minorHAnsi"/>
        </w:rPr>
        <w:br/>
      </w:r>
    </w:p>
    <w:p w14:paraId="7540163C" w14:textId="77777777" w:rsidR="00BA4592" w:rsidRPr="009A0DA6" w:rsidRDefault="00BA4592" w:rsidP="00BA4592">
      <w:pPr>
        <w:tabs>
          <w:tab w:val="center" w:pos="4394"/>
          <w:tab w:val="right" w:pos="6095"/>
          <w:tab w:val="right" w:pos="7371"/>
          <w:tab w:val="right" w:pos="8647"/>
        </w:tabs>
        <w:spacing w:before="120" w:after="120" w:line="240" w:lineRule="auto"/>
        <w:ind w:right="-51"/>
        <w:contextualSpacing/>
        <w:rPr>
          <w:rFonts w:ascii="Cambria" w:eastAsia="Times New Roman" w:hAnsi="Cambria" w:cstheme="minorHAnsi"/>
        </w:rPr>
      </w:pPr>
      <w:r w:rsidRPr="009A0DA6">
        <w:rPr>
          <w:rFonts w:ascii="Cambria" w:eastAsia="Times New Roman" w:hAnsi="Cambria" w:cstheme="minorHAnsi"/>
        </w:rPr>
        <w:t>D</w:t>
      </w:r>
      <w:r w:rsidRPr="009A0DA6">
        <w:rPr>
          <w:rFonts w:ascii="Cambria" w:eastAsia="Times New Roman" w:hAnsi="Cambria" w:cstheme="minorHAnsi"/>
          <w:spacing w:val="-1"/>
        </w:rPr>
        <w:t>u</w:t>
      </w:r>
      <w:r w:rsidRPr="009A0DA6">
        <w:rPr>
          <w:rFonts w:ascii="Cambria" w:eastAsia="Times New Roman" w:hAnsi="Cambria" w:cstheme="minorHAnsi"/>
          <w:spacing w:val="1"/>
        </w:rPr>
        <w:t>r</w:t>
      </w:r>
      <w:r w:rsidRPr="009A0DA6">
        <w:rPr>
          <w:rFonts w:ascii="Cambria" w:eastAsia="Times New Roman" w:hAnsi="Cambria" w:cstheme="minorHAnsi"/>
        </w:rPr>
        <w:t>i</w:t>
      </w:r>
      <w:r w:rsidRPr="009A0DA6">
        <w:rPr>
          <w:rFonts w:ascii="Cambria" w:eastAsia="Times New Roman" w:hAnsi="Cambria" w:cstheme="minorHAnsi"/>
          <w:spacing w:val="1"/>
        </w:rPr>
        <w:t>n</w:t>
      </w:r>
      <w:r w:rsidRPr="009A0DA6">
        <w:rPr>
          <w:rFonts w:ascii="Cambria" w:eastAsia="Times New Roman" w:hAnsi="Cambria" w:cstheme="minorHAnsi"/>
        </w:rPr>
        <w:t>g</w:t>
      </w:r>
      <w:r w:rsidRPr="009A0DA6">
        <w:rPr>
          <w:rFonts w:ascii="Cambria" w:eastAsia="Times New Roman" w:hAnsi="Cambria" w:cstheme="minorHAnsi"/>
          <w:spacing w:val="-2"/>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6"/>
        </w:rPr>
        <w:t xml:space="preserve"> </w:t>
      </w:r>
      <w:r w:rsidRPr="009A0DA6">
        <w:rPr>
          <w:rFonts w:ascii="Cambria" w:eastAsia="Times New Roman" w:hAnsi="Cambria" w:cstheme="minorHAnsi"/>
          <w:spacing w:val="-1"/>
        </w:rPr>
        <w:t>y</w:t>
      </w:r>
      <w:r w:rsidRPr="009A0DA6">
        <w:rPr>
          <w:rFonts w:ascii="Cambria" w:eastAsia="Times New Roman" w:hAnsi="Cambria" w:cstheme="minorHAnsi"/>
        </w:rPr>
        <w:t>ear</w:t>
      </w:r>
      <w:r w:rsidRPr="009A0DA6">
        <w:rPr>
          <w:rFonts w:ascii="Cambria" w:eastAsia="Times New Roman" w:hAnsi="Cambria" w:cstheme="minorHAnsi"/>
          <w:spacing w:val="3"/>
        </w:rPr>
        <w:t xml:space="preserve"> </w:t>
      </w:r>
      <w:r w:rsidRPr="009A0DA6">
        <w:rPr>
          <w:rFonts w:ascii="Cambria" w:eastAsia="Times New Roman" w:hAnsi="Cambria" w:cstheme="minorHAnsi"/>
        </w:rPr>
        <w:t>e</w:t>
      </w:r>
      <w:r w:rsidRPr="009A0DA6">
        <w:rPr>
          <w:rFonts w:ascii="Cambria" w:eastAsia="Times New Roman" w:hAnsi="Cambria" w:cstheme="minorHAnsi"/>
          <w:spacing w:val="-1"/>
        </w:rPr>
        <w:t>n</w:t>
      </w:r>
      <w:r w:rsidRPr="009A0DA6">
        <w:rPr>
          <w:rFonts w:ascii="Cambria" w:eastAsia="Times New Roman" w:hAnsi="Cambria" w:cstheme="minorHAnsi"/>
          <w:spacing w:val="1"/>
        </w:rPr>
        <w:t>d</w:t>
      </w:r>
      <w:r w:rsidRPr="009A0DA6">
        <w:rPr>
          <w:rFonts w:ascii="Cambria" w:eastAsia="Times New Roman" w:hAnsi="Cambria" w:cstheme="minorHAnsi"/>
        </w:rPr>
        <w:t>ed</w:t>
      </w:r>
      <w:r w:rsidRPr="009A0DA6">
        <w:rPr>
          <w:rFonts w:ascii="Cambria" w:eastAsia="Times New Roman" w:hAnsi="Cambria" w:cstheme="minorHAnsi"/>
          <w:spacing w:val="1"/>
        </w:rPr>
        <w:t xml:space="preserve"> 3</w:t>
      </w:r>
      <w:r w:rsidRPr="009A0DA6">
        <w:rPr>
          <w:rFonts w:ascii="Cambria" w:eastAsia="Times New Roman" w:hAnsi="Cambria" w:cstheme="minorHAnsi"/>
        </w:rPr>
        <w:t>1</w:t>
      </w:r>
      <w:r w:rsidRPr="009A0DA6">
        <w:rPr>
          <w:rFonts w:ascii="Cambria" w:eastAsia="Times New Roman" w:hAnsi="Cambria" w:cstheme="minorHAnsi"/>
          <w:spacing w:val="2"/>
        </w:rPr>
        <w:t xml:space="preserve"> </w:t>
      </w:r>
      <w:r w:rsidRPr="009A0DA6">
        <w:rPr>
          <w:rFonts w:ascii="Cambria" w:eastAsia="Times New Roman" w:hAnsi="Cambria" w:cstheme="minorHAnsi"/>
        </w:rPr>
        <w:t>De</w:t>
      </w:r>
      <w:r w:rsidRPr="009A0DA6">
        <w:rPr>
          <w:rFonts w:ascii="Cambria" w:eastAsia="Times New Roman" w:hAnsi="Cambria" w:cstheme="minorHAnsi"/>
          <w:spacing w:val="-2"/>
        </w:rPr>
        <w:t>c</w:t>
      </w:r>
      <w:r w:rsidRPr="009A0DA6">
        <w:rPr>
          <w:rFonts w:ascii="Cambria" w:eastAsia="Times New Roman" w:hAnsi="Cambria" w:cstheme="minorHAnsi"/>
          <w:spacing w:val="3"/>
        </w:rPr>
        <w:t>e</w:t>
      </w:r>
      <w:r w:rsidRPr="009A0DA6">
        <w:rPr>
          <w:rFonts w:ascii="Cambria" w:eastAsia="Times New Roman" w:hAnsi="Cambria" w:cstheme="minorHAnsi"/>
          <w:spacing w:val="-4"/>
        </w:rPr>
        <w:t>m</w:t>
      </w:r>
      <w:r w:rsidRPr="009A0DA6">
        <w:rPr>
          <w:rFonts w:ascii="Cambria" w:eastAsia="Times New Roman" w:hAnsi="Cambria" w:cstheme="minorHAnsi"/>
          <w:spacing w:val="1"/>
        </w:rPr>
        <w:t>b</w:t>
      </w:r>
      <w:r w:rsidRPr="009A0DA6">
        <w:rPr>
          <w:rFonts w:ascii="Cambria" w:eastAsia="Times New Roman" w:hAnsi="Cambria" w:cstheme="minorHAnsi"/>
        </w:rPr>
        <w:t>er</w:t>
      </w:r>
      <w:r w:rsidRPr="009A0DA6">
        <w:rPr>
          <w:rFonts w:ascii="Cambria" w:eastAsia="Times New Roman" w:hAnsi="Cambria" w:cstheme="minorHAnsi"/>
          <w:spacing w:val="-2"/>
        </w:rPr>
        <w:t xml:space="preserve"> </w:t>
      </w:r>
      <w:r w:rsidRPr="009A0DA6">
        <w:rPr>
          <w:rFonts w:ascii="Cambria" w:eastAsia="Times New Roman" w:hAnsi="Cambria" w:cstheme="minorHAnsi"/>
          <w:spacing w:val="1"/>
        </w:rPr>
        <w:t>20</w:t>
      </w:r>
      <w:r w:rsidRPr="009A0DA6">
        <w:rPr>
          <w:rFonts w:ascii="Cambria" w:eastAsia="Times New Roman" w:hAnsi="Cambria" w:cstheme="minorHAnsi"/>
          <w:spacing w:val="-1"/>
        </w:rPr>
        <w:t>1</w:t>
      </w:r>
      <w:r w:rsidRPr="009A0DA6">
        <w:rPr>
          <w:rFonts w:ascii="Cambria" w:eastAsia="Times New Roman" w:hAnsi="Cambria" w:cstheme="minorHAnsi"/>
          <w:spacing w:val="1"/>
        </w:rPr>
        <w:t>7</w:t>
      </w:r>
      <w:r w:rsidRPr="009A0DA6">
        <w:rPr>
          <w:rFonts w:ascii="Cambria" w:eastAsia="Times New Roman" w:hAnsi="Cambria" w:cstheme="minorHAnsi"/>
        </w:rPr>
        <w:t>,</w:t>
      </w:r>
      <w:r w:rsidRPr="009A0DA6">
        <w:rPr>
          <w:rFonts w:ascii="Cambria" w:eastAsia="Times New Roman" w:hAnsi="Cambria" w:cstheme="minorHAnsi"/>
          <w:spacing w:val="1"/>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4"/>
        </w:rPr>
        <w:t xml:space="preserve"> </w:t>
      </w:r>
      <w:r w:rsidRPr="009A0DA6">
        <w:rPr>
          <w:rFonts w:ascii="Cambria" w:eastAsia="Times New Roman" w:hAnsi="Cambria" w:cstheme="minorHAnsi"/>
          <w:spacing w:val="-2"/>
        </w:rPr>
        <w:t>L</w:t>
      </w:r>
      <w:r w:rsidRPr="009A0DA6">
        <w:rPr>
          <w:rFonts w:ascii="Cambria" w:eastAsia="Times New Roman" w:hAnsi="Cambria" w:cstheme="minorHAnsi"/>
          <w:spacing w:val="2"/>
        </w:rPr>
        <w:t>C</w:t>
      </w:r>
      <w:r w:rsidRPr="009A0DA6">
        <w:rPr>
          <w:rFonts w:ascii="Cambria" w:eastAsia="Times New Roman" w:hAnsi="Cambria" w:cstheme="minorHAnsi"/>
        </w:rPr>
        <w:t>A</w:t>
      </w:r>
      <w:r w:rsidRPr="009A0DA6">
        <w:rPr>
          <w:rFonts w:ascii="Cambria" w:eastAsia="Times New Roman" w:hAnsi="Cambria" w:cstheme="minorHAnsi"/>
          <w:spacing w:val="-1"/>
        </w:rPr>
        <w:t xml:space="preserve"> </w:t>
      </w:r>
      <w:r w:rsidRPr="009A0DA6">
        <w:rPr>
          <w:rFonts w:ascii="Cambria" w:eastAsia="Times New Roman" w:hAnsi="Cambria" w:cstheme="minorHAnsi"/>
        </w:rPr>
        <w:t>t</w:t>
      </w:r>
      <w:r w:rsidRPr="009A0DA6">
        <w:rPr>
          <w:rFonts w:ascii="Cambria" w:eastAsia="Times New Roman" w:hAnsi="Cambria" w:cstheme="minorHAnsi"/>
          <w:spacing w:val="1"/>
        </w:rPr>
        <w:t>r</w:t>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spacing w:val="2"/>
        </w:rPr>
        <w:t>s</w:t>
      </w:r>
      <w:r w:rsidRPr="009A0DA6">
        <w:rPr>
          <w:rFonts w:ascii="Cambria" w:eastAsia="Times New Roman" w:hAnsi="Cambria" w:cstheme="minorHAnsi"/>
          <w:spacing w:val="-1"/>
        </w:rPr>
        <w:t>f</w:t>
      </w:r>
      <w:r w:rsidRPr="009A0DA6">
        <w:rPr>
          <w:rFonts w:ascii="Cambria" w:eastAsia="Times New Roman" w:hAnsi="Cambria" w:cstheme="minorHAnsi"/>
        </w:rPr>
        <w:t>e</w:t>
      </w:r>
      <w:r w:rsidRPr="009A0DA6">
        <w:rPr>
          <w:rFonts w:ascii="Cambria" w:eastAsia="Times New Roman" w:hAnsi="Cambria" w:cstheme="minorHAnsi"/>
          <w:spacing w:val="3"/>
        </w:rPr>
        <w:t>r</w:t>
      </w:r>
      <w:r w:rsidRPr="009A0DA6">
        <w:rPr>
          <w:rFonts w:ascii="Cambria" w:eastAsia="Times New Roman" w:hAnsi="Cambria" w:cstheme="minorHAnsi"/>
          <w:spacing w:val="1"/>
        </w:rPr>
        <w:t>r</w:t>
      </w:r>
      <w:r w:rsidRPr="009A0DA6">
        <w:rPr>
          <w:rFonts w:ascii="Cambria" w:eastAsia="Times New Roman" w:hAnsi="Cambria" w:cstheme="minorHAnsi"/>
        </w:rPr>
        <w:t>ed</w:t>
      </w:r>
      <w:r w:rsidRPr="009A0DA6">
        <w:rPr>
          <w:rFonts w:ascii="Cambria" w:eastAsia="Times New Roman" w:hAnsi="Cambria" w:cstheme="minorHAnsi"/>
          <w:spacing w:val="-3"/>
        </w:rPr>
        <w:t xml:space="preserve"> </w:t>
      </w:r>
      <w:r w:rsidRPr="009A0DA6">
        <w:rPr>
          <w:rFonts w:ascii="Cambria" w:eastAsia="Times New Roman" w:hAnsi="Cambria" w:cstheme="minorHAnsi"/>
          <w:spacing w:val="-1"/>
        </w:rPr>
        <w:t>p</w:t>
      </w:r>
      <w:r w:rsidRPr="009A0DA6">
        <w:rPr>
          <w:rFonts w:ascii="Cambria" w:eastAsia="Times New Roman" w:hAnsi="Cambria" w:cstheme="minorHAnsi"/>
          <w:spacing w:val="1"/>
        </w:rPr>
        <w:t>rop</w:t>
      </w:r>
      <w:r w:rsidRPr="009A0DA6">
        <w:rPr>
          <w:rFonts w:ascii="Cambria" w:eastAsia="Times New Roman" w:hAnsi="Cambria" w:cstheme="minorHAnsi"/>
          <w:spacing w:val="-2"/>
        </w:rPr>
        <w:t>e</w:t>
      </w:r>
      <w:r w:rsidRPr="009A0DA6">
        <w:rPr>
          <w:rFonts w:ascii="Cambria" w:eastAsia="Times New Roman" w:hAnsi="Cambria" w:cstheme="minorHAnsi"/>
          <w:spacing w:val="1"/>
        </w:rPr>
        <w:t>r</w:t>
      </w:r>
      <w:r w:rsidRPr="009A0DA6">
        <w:rPr>
          <w:rFonts w:ascii="Cambria" w:eastAsia="Times New Roman" w:hAnsi="Cambria" w:cstheme="minorHAnsi"/>
        </w:rPr>
        <w:t>ty</w:t>
      </w:r>
      <w:r w:rsidRPr="009A0DA6">
        <w:rPr>
          <w:rFonts w:ascii="Cambria" w:eastAsia="Times New Roman" w:hAnsi="Cambria" w:cstheme="minorHAnsi"/>
          <w:spacing w:val="-5"/>
        </w:rPr>
        <w:t xml:space="preserve"> </w:t>
      </w:r>
      <w:r w:rsidRPr="009A0DA6">
        <w:rPr>
          <w:rFonts w:ascii="Cambria" w:eastAsia="Times New Roman" w:hAnsi="Cambria" w:cstheme="minorHAnsi"/>
        </w:rPr>
        <w:t>at</w:t>
      </w:r>
      <w:r w:rsidRPr="009A0DA6">
        <w:rPr>
          <w:rFonts w:ascii="Cambria" w:eastAsia="Times New Roman" w:hAnsi="Cambria" w:cstheme="minorHAnsi"/>
          <w:spacing w:val="4"/>
        </w:rPr>
        <w:t xml:space="preserve"> </w:t>
      </w:r>
      <w:r w:rsidRPr="009A0DA6">
        <w:rPr>
          <w:rFonts w:ascii="Cambria" w:eastAsia="Times New Roman" w:hAnsi="Cambria" w:cstheme="minorHAnsi"/>
          <w:spacing w:val="1"/>
        </w:rPr>
        <w:t>53</w:t>
      </w:r>
      <w:r w:rsidRPr="009A0DA6">
        <w:rPr>
          <w:rFonts w:ascii="Cambria" w:eastAsia="Times New Roman" w:hAnsi="Cambria" w:cstheme="minorHAnsi"/>
        </w:rPr>
        <w:t xml:space="preserve">A </w:t>
      </w:r>
      <w:r w:rsidRPr="009A0DA6">
        <w:rPr>
          <w:rFonts w:ascii="Cambria" w:eastAsia="Times New Roman" w:hAnsi="Cambria" w:cstheme="minorHAnsi"/>
          <w:spacing w:val="1"/>
        </w:rPr>
        <w:t>L</w:t>
      </w:r>
      <w:r w:rsidRPr="009A0DA6">
        <w:rPr>
          <w:rFonts w:ascii="Cambria" w:eastAsia="Times New Roman" w:hAnsi="Cambria" w:cstheme="minorHAnsi"/>
        </w:rPr>
        <w:t>i</w:t>
      </w:r>
      <w:r w:rsidRPr="009A0DA6">
        <w:rPr>
          <w:rFonts w:ascii="Cambria" w:eastAsia="Times New Roman" w:hAnsi="Cambria" w:cstheme="minorHAnsi"/>
          <w:spacing w:val="-1"/>
        </w:rPr>
        <w:t>v</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spacing w:val="-1"/>
        </w:rPr>
        <w:t>gs</w:t>
      </w:r>
      <w:r w:rsidRPr="009A0DA6">
        <w:rPr>
          <w:rFonts w:ascii="Cambria" w:eastAsia="Times New Roman" w:hAnsi="Cambria" w:cstheme="minorHAnsi"/>
        </w:rPr>
        <w:t>t</w:t>
      </w:r>
      <w:r w:rsidRPr="009A0DA6">
        <w:rPr>
          <w:rFonts w:ascii="Cambria" w:eastAsia="Times New Roman" w:hAnsi="Cambria" w:cstheme="minorHAnsi"/>
          <w:spacing w:val="4"/>
        </w:rPr>
        <w:t>o</w:t>
      </w:r>
      <w:r w:rsidRPr="009A0DA6">
        <w:rPr>
          <w:rFonts w:ascii="Cambria" w:eastAsia="Times New Roman" w:hAnsi="Cambria" w:cstheme="minorHAnsi"/>
        </w:rPr>
        <w:t>n</w:t>
      </w:r>
      <w:r w:rsidRPr="009A0DA6">
        <w:rPr>
          <w:rFonts w:ascii="Cambria" w:eastAsia="Times New Roman" w:hAnsi="Cambria" w:cstheme="minorHAnsi"/>
          <w:spacing w:val="-5"/>
        </w:rPr>
        <w:t xml:space="preserve"> </w:t>
      </w:r>
      <w:r w:rsidRPr="009A0DA6">
        <w:rPr>
          <w:rFonts w:ascii="Cambria" w:eastAsia="Times New Roman" w:hAnsi="Cambria" w:cstheme="minorHAnsi"/>
        </w:rPr>
        <w:t>A</w:t>
      </w:r>
      <w:r w:rsidRPr="009A0DA6">
        <w:rPr>
          <w:rFonts w:ascii="Cambria" w:eastAsia="Times New Roman" w:hAnsi="Cambria" w:cstheme="minorHAnsi"/>
          <w:spacing w:val="-1"/>
        </w:rPr>
        <w:t>v</w:t>
      </w:r>
      <w:r w:rsidRPr="009A0DA6">
        <w:rPr>
          <w:rFonts w:ascii="Cambria" w:eastAsia="Times New Roman" w:hAnsi="Cambria" w:cstheme="minorHAnsi"/>
          <w:spacing w:val="3"/>
        </w:rPr>
        <w:t>e</w:t>
      </w:r>
      <w:r w:rsidRPr="009A0DA6">
        <w:rPr>
          <w:rFonts w:ascii="Cambria" w:eastAsia="Times New Roman" w:hAnsi="Cambria" w:cstheme="minorHAnsi"/>
          <w:spacing w:val="-1"/>
        </w:rPr>
        <w:t>nu</w:t>
      </w:r>
      <w:r w:rsidRPr="009A0DA6">
        <w:rPr>
          <w:rFonts w:ascii="Cambria" w:eastAsia="Times New Roman" w:hAnsi="Cambria" w:cstheme="minorHAnsi"/>
        </w:rPr>
        <w:t xml:space="preserve">e, </w:t>
      </w:r>
      <w:r w:rsidRPr="009A0DA6">
        <w:rPr>
          <w:rFonts w:ascii="Cambria" w:eastAsia="Times New Roman" w:hAnsi="Cambria" w:cstheme="minorHAnsi"/>
          <w:spacing w:val="2"/>
        </w:rPr>
        <w:t>P</w:t>
      </w:r>
      <w:r w:rsidRPr="009A0DA6">
        <w:rPr>
          <w:rFonts w:ascii="Cambria" w:eastAsia="Times New Roman" w:hAnsi="Cambria" w:cstheme="minorHAnsi"/>
          <w:spacing w:val="1"/>
        </w:rPr>
        <w:t>ro</w:t>
      </w:r>
      <w:r w:rsidRPr="009A0DA6">
        <w:rPr>
          <w:rFonts w:ascii="Cambria" w:eastAsia="Times New Roman" w:hAnsi="Cambria" w:cstheme="minorHAnsi"/>
          <w:spacing w:val="-1"/>
        </w:rPr>
        <w:t>s</w:t>
      </w:r>
      <w:r w:rsidRPr="009A0DA6">
        <w:rPr>
          <w:rFonts w:ascii="Cambria" w:eastAsia="Times New Roman" w:hAnsi="Cambria" w:cstheme="minorHAnsi"/>
          <w:spacing w:val="1"/>
        </w:rPr>
        <w:t>p</w:t>
      </w:r>
      <w:r w:rsidRPr="009A0DA6">
        <w:rPr>
          <w:rFonts w:ascii="Cambria" w:eastAsia="Times New Roman" w:hAnsi="Cambria" w:cstheme="minorHAnsi"/>
        </w:rPr>
        <w:t>ect</w:t>
      </w:r>
      <w:r w:rsidRPr="009A0DA6">
        <w:rPr>
          <w:rFonts w:ascii="Cambria" w:eastAsia="Times New Roman" w:hAnsi="Cambria" w:cstheme="minorHAnsi"/>
          <w:spacing w:val="-7"/>
        </w:rPr>
        <w:t xml:space="preserve"> </w:t>
      </w:r>
      <w:r w:rsidRPr="009A0DA6">
        <w:rPr>
          <w:rFonts w:ascii="Cambria" w:eastAsia="Times New Roman" w:hAnsi="Cambria" w:cstheme="minorHAnsi"/>
        </w:rPr>
        <w:t xml:space="preserve">to </w:t>
      </w:r>
      <w:r w:rsidRPr="009A0DA6">
        <w:rPr>
          <w:rFonts w:ascii="Cambria" w:eastAsia="Times New Roman" w:hAnsi="Cambria" w:cstheme="minorHAnsi"/>
          <w:spacing w:val="-2"/>
        </w:rPr>
        <w:t>L</w:t>
      </w:r>
      <w:r w:rsidRPr="009A0DA6">
        <w:rPr>
          <w:rFonts w:ascii="Cambria" w:eastAsia="Times New Roman" w:hAnsi="Cambria" w:cstheme="minorHAnsi"/>
          <w:spacing w:val="-1"/>
        </w:rPr>
        <w:t>C</w:t>
      </w:r>
      <w:r w:rsidRPr="009A0DA6">
        <w:rPr>
          <w:rFonts w:ascii="Cambria" w:eastAsia="Times New Roman" w:hAnsi="Cambria" w:cstheme="minorHAnsi"/>
        </w:rPr>
        <w:t>A</w:t>
      </w:r>
      <w:r w:rsidRPr="009A0DA6">
        <w:rPr>
          <w:rFonts w:ascii="Cambria" w:eastAsia="Times New Roman" w:hAnsi="Cambria" w:cstheme="minorHAnsi"/>
          <w:spacing w:val="-6"/>
        </w:rPr>
        <w:t xml:space="preserve"> </w:t>
      </w:r>
      <w:r w:rsidRPr="009A0DA6">
        <w:rPr>
          <w:rFonts w:ascii="Cambria" w:eastAsia="Times New Roman" w:hAnsi="Cambria" w:cstheme="minorHAnsi"/>
          <w:spacing w:val="2"/>
        </w:rPr>
        <w:t>P</w:t>
      </w:r>
      <w:r w:rsidRPr="009A0DA6">
        <w:rPr>
          <w:rFonts w:ascii="Cambria" w:eastAsia="Times New Roman" w:hAnsi="Cambria" w:cstheme="minorHAnsi"/>
          <w:spacing w:val="1"/>
        </w:rPr>
        <w:t>rop</w:t>
      </w:r>
      <w:r w:rsidRPr="009A0DA6">
        <w:rPr>
          <w:rFonts w:ascii="Cambria" w:eastAsia="Times New Roman" w:hAnsi="Cambria" w:cstheme="minorHAnsi"/>
        </w:rPr>
        <w:t>e</w:t>
      </w:r>
      <w:r w:rsidRPr="009A0DA6">
        <w:rPr>
          <w:rFonts w:ascii="Cambria" w:eastAsia="Times New Roman" w:hAnsi="Cambria" w:cstheme="minorHAnsi"/>
          <w:spacing w:val="1"/>
        </w:rPr>
        <w:t>r</w:t>
      </w:r>
      <w:r w:rsidRPr="009A0DA6">
        <w:rPr>
          <w:rFonts w:ascii="Cambria" w:eastAsia="Times New Roman" w:hAnsi="Cambria" w:cstheme="minorHAnsi"/>
        </w:rPr>
        <w:t>ty</w:t>
      </w:r>
      <w:r w:rsidRPr="009A0DA6">
        <w:rPr>
          <w:rFonts w:ascii="Cambria" w:eastAsia="Times New Roman" w:hAnsi="Cambria" w:cstheme="minorHAnsi"/>
          <w:spacing w:val="-8"/>
        </w:rPr>
        <w:t xml:space="preserve"> </w:t>
      </w:r>
      <w:r w:rsidRPr="009A0DA6">
        <w:rPr>
          <w:rFonts w:ascii="Cambria" w:eastAsia="Times New Roman" w:hAnsi="Cambria" w:cstheme="minorHAnsi"/>
          <w:spacing w:val="-2"/>
        </w:rPr>
        <w:t>L</w:t>
      </w:r>
      <w:r w:rsidRPr="009A0DA6">
        <w:rPr>
          <w:rFonts w:ascii="Cambria" w:eastAsia="Times New Roman" w:hAnsi="Cambria" w:cstheme="minorHAnsi"/>
          <w:spacing w:val="2"/>
        </w:rPr>
        <w:t>i</w:t>
      </w:r>
      <w:r w:rsidRPr="009A0DA6">
        <w:rPr>
          <w:rFonts w:ascii="Cambria" w:eastAsia="Times New Roman" w:hAnsi="Cambria" w:cstheme="minorHAnsi"/>
          <w:spacing w:val="-1"/>
        </w:rPr>
        <w:t>m</w:t>
      </w:r>
      <w:r w:rsidRPr="009A0DA6">
        <w:rPr>
          <w:rFonts w:ascii="Cambria" w:eastAsia="Times New Roman" w:hAnsi="Cambria" w:cstheme="minorHAnsi"/>
        </w:rPr>
        <w:t>ite</w:t>
      </w:r>
      <w:r w:rsidRPr="009A0DA6">
        <w:rPr>
          <w:rFonts w:ascii="Cambria" w:eastAsia="Times New Roman" w:hAnsi="Cambria" w:cstheme="minorHAnsi"/>
          <w:spacing w:val="1"/>
        </w:rPr>
        <w:t>d</w:t>
      </w:r>
      <w:r w:rsidRPr="009A0DA6">
        <w:rPr>
          <w:rFonts w:ascii="Cambria" w:eastAsia="Times New Roman" w:hAnsi="Cambria" w:cstheme="minorHAnsi"/>
        </w:rPr>
        <w:t>.</w:t>
      </w:r>
      <w:r w:rsidRPr="009A0DA6">
        <w:rPr>
          <w:rFonts w:ascii="Cambria" w:eastAsia="Times New Roman" w:hAnsi="Cambria" w:cstheme="minorHAnsi"/>
          <w:spacing w:val="-6"/>
        </w:rPr>
        <w:t xml:space="preserve"> </w:t>
      </w:r>
      <w:r w:rsidRPr="009A0DA6">
        <w:rPr>
          <w:rFonts w:ascii="Cambria" w:eastAsia="Times New Roman" w:hAnsi="Cambria" w:cstheme="minorHAnsi"/>
          <w:spacing w:val="3"/>
        </w:rPr>
        <w:t>T</w:t>
      </w:r>
      <w:r w:rsidRPr="009A0DA6">
        <w:rPr>
          <w:rFonts w:ascii="Cambria" w:eastAsia="Times New Roman" w:hAnsi="Cambria" w:cstheme="minorHAnsi"/>
          <w:spacing w:val="-1"/>
        </w:rPr>
        <w:t>h</w:t>
      </w:r>
      <w:r w:rsidRPr="009A0DA6">
        <w:rPr>
          <w:rFonts w:ascii="Cambria" w:eastAsia="Times New Roman" w:hAnsi="Cambria" w:cstheme="minorHAnsi"/>
        </w:rPr>
        <w:t>is</w:t>
      </w:r>
      <w:r w:rsidRPr="009A0DA6">
        <w:rPr>
          <w:rFonts w:ascii="Cambria" w:eastAsia="Times New Roman" w:hAnsi="Cambria" w:cstheme="minorHAnsi"/>
          <w:spacing w:val="-4"/>
        </w:rPr>
        <w:t xml:space="preserve"> </w:t>
      </w:r>
      <w:r w:rsidRPr="009A0DA6">
        <w:rPr>
          <w:rFonts w:ascii="Cambria" w:eastAsia="Times New Roman" w:hAnsi="Cambria" w:cstheme="minorHAnsi"/>
        </w:rPr>
        <w:t>t</w:t>
      </w:r>
      <w:r w:rsidRPr="009A0DA6">
        <w:rPr>
          <w:rFonts w:ascii="Cambria" w:eastAsia="Times New Roman" w:hAnsi="Cambria" w:cstheme="minorHAnsi"/>
          <w:spacing w:val="1"/>
        </w:rPr>
        <w:t>r</w:t>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spacing w:val="2"/>
        </w:rPr>
        <w:t>s</w:t>
      </w:r>
      <w:r w:rsidRPr="009A0DA6">
        <w:rPr>
          <w:rFonts w:ascii="Cambria" w:eastAsia="Times New Roman" w:hAnsi="Cambria" w:cstheme="minorHAnsi"/>
          <w:spacing w:val="-1"/>
        </w:rPr>
        <w:t>f</w:t>
      </w:r>
      <w:r w:rsidRPr="009A0DA6">
        <w:rPr>
          <w:rFonts w:ascii="Cambria" w:eastAsia="Times New Roman" w:hAnsi="Cambria" w:cstheme="minorHAnsi"/>
        </w:rPr>
        <w:t>er</w:t>
      </w:r>
      <w:r w:rsidRPr="009A0DA6">
        <w:rPr>
          <w:rFonts w:ascii="Cambria" w:eastAsia="Times New Roman" w:hAnsi="Cambria" w:cstheme="minorHAnsi"/>
          <w:spacing w:val="-2"/>
        </w:rPr>
        <w:t xml:space="preserve"> w</w:t>
      </w:r>
      <w:r w:rsidRPr="009A0DA6">
        <w:rPr>
          <w:rFonts w:ascii="Cambria" w:eastAsia="Times New Roman" w:hAnsi="Cambria" w:cstheme="minorHAnsi"/>
        </w:rPr>
        <w:t>as</w:t>
      </w:r>
      <w:r w:rsidRPr="009A0DA6">
        <w:rPr>
          <w:rFonts w:ascii="Cambria" w:eastAsia="Times New Roman" w:hAnsi="Cambria" w:cstheme="minorHAnsi"/>
          <w:spacing w:val="-1"/>
        </w:rPr>
        <w:t xml:space="preserve"> m</w:t>
      </w:r>
      <w:r w:rsidRPr="009A0DA6">
        <w:rPr>
          <w:rFonts w:ascii="Cambria" w:eastAsia="Times New Roman" w:hAnsi="Cambria" w:cstheme="minorHAnsi"/>
        </w:rPr>
        <w:t>a</w:t>
      </w:r>
      <w:r w:rsidRPr="009A0DA6">
        <w:rPr>
          <w:rFonts w:ascii="Cambria" w:eastAsia="Times New Roman" w:hAnsi="Cambria" w:cstheme="minorHAnsi"/>
          <w:spacing w:val="1"/>
        </w:rPr>
        <w:t>d</w:t>
      </w:r>
      <w:r w:rsidRPr="009A0DA6">
        <w:rPr>
          <w:rFonts w:ascii="Cambria" w:eastAsia="Times New Roman" w:hAnsi="Cambria" w:cstheme="minorHAnsi"/>
        </w:rPr>
        <w:t>e</w:t>
      </w:r>
      <w:r w:rsidRPr="009A0DA6">
        <w:rPr>
          <w:rFonts w:ascii="Cambria" w:eastAsia="Times New Roman" w:hAnsi="Cambria" w:cstheme="minorHAnsi"/>
          <w:spacing w:val="-1"/>
        </w:rPr>
        <w:t xml:space="preserve"> f</w:t>
      </w:r>
      <w:r w:rsidRPr="009A0DA6">
        <w:rPr>
          <w:rFonts w:ascii="Cambria" w:eastAsia="Times New Roman" w:hAnsi="Cambria" w:cstheme="minorHAnsi"/>
          <w:spacing w:val="1"/>
        </w:rPr>
        <w:t>o</w:t>
      </w:r>
      <w:r w:rsidRPr="009A0DA6">
        <w:rPr>
          <w:rFonts w:ascii="Cambria" w:eastAsia="Times New Roman" w:hAnsi="Cambria" w:cstheme="minorHAnsi"/>
        </w:rPr>
        <w:t>r</w:t>
      </w:r>
      <w:r w:rsidRPr="009A0DA6">
        <w:rPr>
          <w:rFonts w:ascii="Cambria" w:eastAsia="Times New Roman" w:hAnsi="Cambria" w:cstheme="minorHAnsi"/>
          <w:spacing w:val="-1"/>
        </w:rPr>
        <w:t xml:space="preserve"> </w:t>
      </w:r>
      <w:r w:rsidRPr="009A0DA6">
        <w:rPr>
          <w:rFonts w:ascii="Cambria" w:eastAsia="Times New Roman" w:hAnsi="Cambria" w:cstheme="minorHAnsi"/>
          <w:spacing w:val="1"/>
        </w:rPr>
        <w:t>$49</w:t>
      </w:r>
      <w:r w:rsidRPr="009A0DA6">
        <w:rPr>
          <w:rFonts w:ascii="Cambria" w:eastAsia="Times New Roman" w:hAnsi="Cambria" w:cstheme="minorHAnsi"/>
          <w:spacing w:val="-1"/>
        </w:rPr>
        <w:t>8</w:t>
      </w:r>
      <w:r w:rsidRPr="009A0DA6">
        <w:rPr>
          <w:rFonts w:ascii="Cambria" w:eastAsia="Times New Roman" w:hAnsi="Cambria" w:cstheme="minorHAnsi"/>
          <w:spacing w:val="1"/>
        </w:rPr>
        <w:t>,0</w:t>
      </w:r>
      <w:r w:rsidRPr="009A0DA6">
        <w:rPr>
          <w:rFonts w:ascii="Cambria" w:eastAsia="Times New Roman" w:hAnsi="Cambria" w:cstheme="minorHAnsi"/>
          <w:spacing w:val="-1"/>
        </w:rPr>
        <w:t>0</w:t>
      </w:r>
      <w:r w:rsidRPr="009A0DA6">
        <w:rPr>
          <w:rFonts w:ascii="Cambria" w:eastAsia="Times New Roman" w:hAnsi="Cambria" w:cstheme="minorHAnsi"/>
          <w:spacing w:val="1"/>
        </w:rPr>
        <w:t>0</w:t>
      </w:r>
      <w:r w:rsidRPr="009A0DA6">
        <w:rPr>
          <w:rFonts w:ascii="Cambria" w:eastAsia="Times New Roman" w:hAnsi="Cambria" w:cstheme="minorHAnsi"/>
        </w:rPr>
        <w:t>.</w:t>
      </w:r>
    </w:p>
    <w:p w14:paraId="36A1E7C5" w14:textId="13EF25CC" w:rsidR="00BA4592" w:rsidRPr="009A0DA6" w:rsidRDefault="00B81951" w:rsidP="00BA4592">
      <w:pPr>
        <w:tabs>
          <w:tab w:val="center" w:pos="4394"/>
          <w:tab w:val="right" w:pos="6095"/>
          <w:tab w:val="right" w:pos="7371"/>
          <w:tab w:val="right" w:pos="8647"/>
        </w:tabs>
        <w:spacing w:before="120" w:after="120" w:line="240" w:lineRule="auto"/>
        <w:ind w:right="-51"/>
        <w:contextualSpacing/>
        <w:rPr>
          <w:rFonts w:ascii="Cambria" w:eastAsia="Times New Roman" w:hAnsi="Cambria" w:cstheme="minorHAnsi"/>
          <w:i/>
        </w:rPr>
      </w:pPr>
      <w:r w:rsidRPr="007408EE">
        <w:rPr>
          <w:rFonts w:ascii="Cambria" w:eastAsia="Times New Roman" w:hAnsi="Cambria" w:cstheme="minorHAnsi"/>
          <w:i/>
          <w:spacing w:val="1"/>
          <w:sz w:val="10"/>
        </w:rPr>
        <w:br/>
      </w:r>
      <w:r w:rsidR="00BA4592" w:rsidRPr="009A0DA6">
        <w:rPr>
          <w:rFonts w:ascii="Cambria" w:eastAsia="Times New Roman" w:hAnsi="Cambria" w:cstheme="minorHAnsi"/>
          <w:i/>
          <w:spacing w:val="1"/>
        </w:rPr>
        <w:t>P</w:t>
      </w:r>
      <w:r w:rsidR="00BA4592" w:rsidRPr="009A0DA6">
        <w:rPr>
          <w:rFonts w:ascii="Cambria" w:eastAsia="Times New Roman" w:hAnsi="Cambria" w:cstheme="minorHAnsi"/>
          <w:i/>
        </w:rPr>
        <w:t>l</w:t>
      </w:r>
      <w:r w:rsidR="00BA4592" w:rsidRPr="009A0DA6">
        <w:rPr>
          <w:rFonts w:ascii="Cambria" w:eastAsia="Times New Roman" w:hAnsi="Cambria" w:cstheme="minorHAnsi"/>
          <w:i/>
          <w:spacing w:val="1"/>
        </w:rPr>
        <w:t>a</w:t>
      </w:r>
      <w:r w:rsidR="00BA4592" w:rsidRPr="009A0DA6">
        <w:rPr>
          <w:rFonts w:ascii="Cambria" w:eastAsia="Times New Roman" w:hAnsi="Cambria" w:cstheme="minorHAnsi"/>
          <w:i/>
        </w:rPr>
        <w:t>nt</w:t>
      </w:r>
      <w:r w:rsidR="00BA4592" w:rsidRPr="009A0DA6">
        <w:rPr>
          <w:rFonts w:ascii="Cambria" w:eastAsia="Times New Roman" w:hAnsi="Cambria" w:cstheme="minorHAnsi"/>
          <w:i/>
          <w:spacing w:val="42"/>
        </w:rPr>
        <w:t xml:space="preserve"> </w:t>
      </w:r>
      <w:r w:rsidR="00BA4592" w:rsidRPr="009A0DA6">
        <w:rPr>
          <w:rFonts w:ascii="Cambria" w:eastAsia="Times New Roman" w:hAnsi="Cambria" w:cstheme="minorHAnsi"/>
          <w:i/>
          <w:spacing w:val="1"/>
        </w:rPr>
        <w:t>a</w:t>
      </w:r>
      <w:r w:rsidR="00BA4592" w:rsidRPr="009A0DA6">
        <w:rPr>
          <w:rFonts w:ascii="Cambria" w:eastAsia="Times New Roman" w:hAnsi="Cambria" w:cstheme="minorHAnsi"/>
          <w:i/>
        </w:rPr>
        <w:t>nd</w:t>
      </w:r>
      <w:r w:rsidR="00BA4592" w:rsidRPr="009A0DA6">
        <w:rPr>
          <w:rFonts w:ascii="Cambria" w:eastAsia="Times New Roman" w:hAnsi="Cambria" w:cstheme="minorHAnsi"/>
          <w:i/>
          <w:spacing w:val="31"/>
        </w:rPr>
        <w:t xml:space="preserve"> </w:t>
      </w:r>
      <w:r w:rsidR="00BA4592" w:rsidRPr="009A0DA6">
        <w:rPr>
          <w:rFonts w:ascii="Cambria" w:eastAsia="Times New Roman" w:hAnsi="Cambria" w:cstheme="minorHAnsi"/>
          <w:i/>
          <w:w w:val="99"/>
        </w:rPr>
        <w:t>e</w:t>
      </w:r>
      <w:r w:rsidR="00BA4592" w:rsidRPr="009A0DA6">
        <w:rPr>
          <w:rFonts w:ascii="Cambria" w:eastAsia="Times New Roman" w:hAnsi="Cambria" w:cstheme="minorHAnsi"/>
          <w:i/>
          <w:w w:val="110"/>
        </w:rPr>
        <w:t>qu</w:t>
      </w:r>
      <w:r w:rsidR="00BA4592" w:rsidRPr="009A0DA6">
        <w:rPr>
          <w:rFonts w:ascii="Cambria" w:eastAsia="Times New Roman" w:hAnsi="Cambria" w:cstheme="minorHAnsi"/>
          <w:i/>
          <w:w w:val="99"/>
        </w:rPr>
        <w:t>i</w:t>
      </w:r>
      <w:r w:rsidR="00BA4592" w:rsidRPr="009A0DA6">
        <w:rPr>
          <w:rFonts w:ascii="Cambria" w:eastAsia="Times New Roman" w:hAnsi="Cambria" w:cstheme="minorHAnsi"/>
          <w:i/>
          <w:spacing w:val="2"/>
          <w:w w:val="110"/>
        </w:rPr>
        <w:t>p</w:t>
      </w:r>
      <w:r w:rsidR="00BA4592" w:rsidRPr="009A0DA6">
        <w:rPr>
          <w:rFonts w:ascii="Cambria" w:eastAsia="Times New Roman" w:hAnsi="Cambria" w:cstheme="minorHAnsi"/>
          <w:i/>
          <w:spacing w:val="-3"/>
          <w:w w:val="106"/>
        </w:rPr>
        <w:t>m</w:t>
      </w:r>
      <w:r w:rsidR="00BA4592" w:rsidRPr="009A0DA6">
        <w:rPr>
          <w:rFonts w:ascii="Cambria" w:eastAsia="Times New Roman" w:hAnsi="Cambria" w:cstheme="minorHAnsi"/>
          <w:i/>
          <w:spacing w:val="3"/>
          <w:w w:val="99"/>
        </w:rPr>
        <w:t>e</w:t>
      </w:r>
      <w:r w:rsidR="00BA4592" w:rsidRPr="009A0DA6">
        <w:rPr>
          <w:rFonts w:ascii="Cambria" w:eastAsia="Times New Roman" w:hAnsi="Cambria" w:cstheme="minorHAnsi"/>
          <w:i/>
          <w:w w:val="110"/>
        </w:rPr>
        <w:t>n</w:t>
      </w:r>
      <w:r w:rsidR="00BA4592" w:rsidRPr="009A0DA6">
        <w:rPr>
          <w:rFonts w:ascii="Cambria" w:eastAsia="Times New Roman" w:hAnsi="Cambria" w:cstheme="minorHAnsi"/>
          <w:i/>
          <w:w w:val="119"/>
        </w:rPr>
        <w:t>t</w:t>
      </w:r>
    </w:p>
    <w:p w14:paraId="7C4540A9" w14:textId="77777777" w:rsidR="00BA4592" w:rsidRPr="009A0DA6" w:rsidRDefault="00BA4592" w:rsidP="00BA4592">
      <w:pPr>
        <w:tabs>
          <w:tab w:val="center" w:pos="4394"/>
          <w:tab w:val="right" w:pos="6095"/>
          <w:tab w:val="right" w:pos="7371"/>
          <w:tab w:val="right" w:pos="8647"/>
        </w:tabs>
        <w:spacing w:before="120" w:after="120" w:line="240" w:lineRule="auto"/>
        <w:ind w:right="-51"/>
        <w:contextualSpacing/>
        <w:rPr>
          <w:rFonts w:ascii="Cambria" w:eastAsia="Times New Roman" w:hAnsi="Cambria" w:cstheme="minorHAnsi"/>
        </w:rPr>
      </w:pPr>
      <w:r w:rsidRPr="009A0DA6">
        <w:rPr>
          <w:rFonts w:ascii="Cambria" w:eastAsia="Times New Roman" w:hAnsi="Cambria" w:cstheme="minorHAnsi"/>
          <w:spacing w:val="3"/>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6"/>
        </w:rPr>
        <w:t xml:space="preserve"> </w:t>
      </w:r>
      <w:r w:rsidRPr="009A0DA6">
        <w:rPr>
          <w:rFonts w:ascii="Cambria" w:eastAsia="Times New Roman" w:hAnsi="Cambria" w:cstheme="minorHAnsi"/>
          <w:spacing w:val="-2"/>
        </w:rPr>
        <w:t>L</w:t>
      </w:r>
      <w:r w:rsidRPr="009A0DA6">
        <w:rPr>
          <w:rFonts w:ascii="Cambria" w:eastAsia="Times New Roman" w:hAnsi="Cambria" w:cstheme="minorHAnsi"/>
          <w:spacing w:val="2"/>
        </w:rPr>
        <w:t>C</w:t>
      </w:r>
      <w:r w:rsidRPr="009A0DA6">
        <w:rPr>
          <w:rFonts w:ascii="Cambria" w:eastAsia="Times New Roman" w:hAnsi="Cambria" w:cstheme="minorHAnsi"/>
        </w:rPr>
        <w:t>A</w:t>
      </w:r>
      <w:r w:rsidRPr="009A0DA6">
        <w:rPr>
          <w:rFonts w:ascii="Cambria" w:eastAsia="Times New Roman" w:hAnsi="Cambria" w:cstheme="minorHAnsi"/>
          <w:spacing w:val="5"/>
        </w:rPr>
        <w:t xml:space="preserve"> </w:t>
      </w:r>
      <w:r w:rsidRPr="009A0DA6">
        <w:rPr>
          <w:rFonts w:ascii="Cambria" w:eastAsia="Times New Roman" w:hAnsi="Cambria" w:cstheme="minorHAnsi"/>
          <w:spacing w:val="1"/>
        </w:rPr>
        <w:t>u</w:t>
      </w:r>
      <w:r w:rsidRPr="009A0DA6">
        <w:rPr>
          <w:rFonts w:ascii="Cambria" w:eastAsia="Times New Roman" w:hAnsi="Cambria" w:cstheme="minorHAnsi"/>
          <w:spacing w:val="-1"/>
        </w:rPr>
        <w:t>n</w:t>
      </w:r>
      <w:r w:rsidRPr="009A0DA6">
        <w:rPr>
          <w:rFonts w:ascii="Cambria" w:eastAsia="Times New Roman" w:hAnsi="Cambria" w:cstheme="minorHAnsi"/>
          <w:spacing w:val="1"/>
        </w:rPr>
        <w:t>d</w:t>
      </w:r>
      <w:r w:rsidRPr="009A0DA6">
        <w:rPr>
          <w:rFonts w:ascii="Cambria" w:eastAsia="Times New Roman" w:hAnsi="Cambria" w:cstheme="minorHAnsi"/>
        </w:rPr>
        <w:t>e</w:t>
      </w:r>
      <w:r w:rsidRPr="009A0DA6">
        <w:rPr>
          <w:rFonts w:ascii="Cambria" w:eastAsia="Times New Roman" w:hAnsi="Cambria" w:cstheme="minorHAnsi"/>
          <w:spacing w:val="1"/>
        </w:rPr>
        <w:t>r</w:t>
      </w:r>
      <w:r w:rsidRPr="009A0DA6">
        <w:rPr>
          <w:rFonts w:ascii="Cambria" w:eastAsia="Times New Roman" w:hAnsi="Cambria" w:cstheme="minorHAnsi"/>
        </w:rPr>
        <w:t>t</w:t>
      </w:r>
      <w:r w:rsidRPr="009A0DA6">
        <w:rPr>
          <w:rFonts w:ascii="Cambria" w:eastAsia="Times New Roman" w:hAnsi="Cambria" w:cstheme="minorHAnsi"/>
          <w:spacing w:val="1"/>
        </w:rPr>
        <w:t>oo</w:t>
      </w:r>
      <w:r w:rsidRPr="009A0DA6">
        <w:rPr>
          <w:rFonts w:ascii="Cambria" w:eastAsia="Times New Roman" w:hAnsi="Cambria" w:cstheme="minorHAnsi"/>
        </w:rPr>
        <w:t>k a</w:t>
      </w:r>
      <w:r w:rsidRPr="009A0DA6">
        <w:rPr>
          <w:rFonts w:ascii="Cambria" w:eastAsia="Times New Roman" w:hAnsi="Cambria" w:cstheme="minorHAnsi"/>
          <w:spacing w:val="8"/>
        </w:rPr>
        <w:t xml:space="preserve"> </w:t>
      </w:r>
      <w:r w:rsidRPr="009A0DA6">
        <w:rPr>
          <w:rFonts w:ascii="Cambria" w:eastAsia="Times New Roman" w:hAnsi="Cambria" w:cstheme="minorHAnsi"/>
        </w:rPr>
        <w:t>c</w:t>
      </w:r>
      <w:r w:rsidRPr="009A0DA6">
        <w:rPr>
          <w:rFonts w:ascii="Cambria" w:eastAsia="Times New Roman" w:hAnsi="Cambria" w:cstheme="minorHAnsi"/>
          <w:spacing w:val="4"/>
        </w:rPr>
        <w:t>o</w:t>
      </w:r>
      <w:r w:rsidRPr="009A0DA6">
        <w:rPr>
          <w:rFonts w:ascii="Cambria" w:eastAsia="Times New Roman" w:hAnsi="Cambria" w:cstheme="minorHAnsi"/>
          <w:spacing w:val="-4"/>
        </w:rPr>
        <w:t>m</w:t>
      </w:r>
      <w:r w:rsidRPr="009A0DA6">
        <w:rPr>
          <w:rFonts w:ascii="Cambria" w:eastAsia="Times New Roman" w:hAnsi="Cambria" w:cstheme="minorHAnsi"/>
          <w:spacing w:val="1"/>
        </w:rPr>
        <w:t>p</w:t>
      </w:r>
      <w:r w:rsidRPr="009A0DA6">
        <w:rPr>
          <w:rFonts w:ascii="Cambria" w:eastAsia="Times New Roman" w:hAnsi="Cambria" w:cstheme="minorHAnsi"/>
          <w:spacing w:val="2"/>
        </w:rPr>
        <w:t>l</w:t>
      </w:r>
      <w:r w:rsidRPr="009A0DA6">
        <w:rPr>
          <w:rFonts w:ascii="Cambria" w:eastAsia="Times New Roman" w:hAnsi="Cambria" w:cstheme="minorHAnsi"/>
        </w:rPr>
        <w:t>ete</w:t>
      </w:r>
      <w:r w:rsidRPr="009A0DA6">
        <w:rPr>
          <w:rFonts w:ascii="Cambria" w:eastAsia="Times New Roman" w:hAnsi="Cambria" w:cstheme="minorHAnsi"/>
          <w:spacing w:val="2"/>
        </w:rPr>
        <w:t xml:space="preserve"> </w:t>
      </w:r>
      <w:r w:rsidRPr="009A0DA6">
        <w:rPr>
          <w:rFonts w:ascii="Cambria" w:eastAsia="Times New Roman" w:hAnsi="Cambria" w:cstheme="minorHAnsi"/>
          <w:spacing w:val="-1"/>
        </w:rPr>
        <w:t>s</w:t>
      </w:r>
      <w:r w:rsidRPr="009A0DA6">
        <w:rPr>
          <w:rFonts w:ascii="Cambria" w:eastAsia="Times New Roman" w:hAnsi="Cambria" w:cstheme="minorHAnsi"/>
        </w:rPr>
        <w:t>t</w:t>
      </w:r>
      <w:r w:rsidRPr="009A0DA6">
        <w:rPr>
          <w:rFonts w:ascii="Cambria" w:eastAsia="Times New Roman" w:hAnsi="Cambria" w:cstheme="minorHAnsi"/>
          <w:spacing w:val="1"/>
        </w:rPr>
        <w:t>o</w:t>
      </w:r>
      <w:r w:rsidRPr="009A0DA6">
        <w:rPr>
          <w:rFonts w:ascii="Cambria" w:eastAsia="Times New Roman" w:hAnsi="Cambria" w:cstheme="minorHAnsi"/>
        </w:rPr>
        <w:t>c</w:t>
      </w:r>
      <w:r w:rsidRPr="009A0DA6">
        <w:rPr>
          <w:rFonts w:ascii="Cambria" w:eastAsia="Times New Roman" w:hAnsi="Cambria" w:cstheme="minorHAnsi"/>
          <w:spacing w:val="-1"/>
        </w:rPr>
        <w:t>k</w:t>
      </w:r>
      <w:r w:rsidRPr="009A0DA6">
        <w:rPr>
          <w:rFonts w:ascii="Cambria" w:eastAsia="Times New Roman" w:hAnsi="Cambria" w:cstheme="minorHAnsi"/>
        </w:rPr>
        <w:t>t</w:t>
      </w:r>
      <w:r w:rsidRPr="009A0DA6">
        <w:rPr>
          <w:rFonts w:ascii="Cambria" w:eastAsia="Times New Roman" w:hAnsi="Cambria" w:cstheme="minorHAnsi"/>
          <w:spacing w:val="3"/>
        </w:rPr>
        <w:t>a</w:t>
      </w:r>
      <w:r w:rsidRPr="009A0DA6">
        <w:rPr>
          <w:rFonts w:ascii="Cambria" w:eastAsia="Times New Roman" w:hAnsi="Cambria" w:cstheme="minorHAnsi"/>
          <w:spacing w:val="-1"/>
        </w:rPr>
        <w:t>k</w:t>
      </w:r>
      <w:r w:rsidRPr="009A0DA6">
        <w:rPr>
          <w:rFonts w:ascii="Cambria" w:eastAsia="Times New Roman" w:hAnsi="Cambria" w:cstheme="minorHAnsi"/>
        </w:rPr>
        <w:t>e</w:t>
      </w:r>
      <w:r w:rsidRPr="009A0DA6">
        <w:rPr>
          <w:rFonts w:ascii="Cambria" w:eastAsia="Times New Roman" w:hAnsi="Cambria" w:cstheme="minorHAnsi"/>
          <w:spacing w:val="2"/>
        </w:rPr>
        <w:t xml:space="preserve"> </w:t>
      </w:r>
      <w:r w:rsidRPr="009A0DA6">
        <w:rPr>
          <w:rFonts w:ascii="Cambria" w:eastAsia="Times New Roman" w:hAnsi="Cambria" w:cstheme="minorHAnsi"/>
          <w:spacing w:val="1"/>
        </w:rPr>
        <w:t>o</w:t>
      </w:r>
      <w:r w:rsidRPr="009A0DA6">
        <w:rPr>
          <w:rFonts w:ascii="Cambria" w:eastAsia="Times New Roman" w:hAnsi="Cambria" w:cstheme="minorHAnsi"/>
        </w:rPr>
        <w:t>f</w:t>
      </w:r>
      <w:r w:rsidRPr="009A0DA6">
        <w:rPr>
          <w:rFonts w:ascii="Cambria" w:eastAsia="Times New Roman" w:hAnsi="Cambria" w:cstheme="minorHAnsi"/>
          <w:spacing w:val="8"/>
        </w:rPr>
        <w:t xml:space="preserve"> </w:t>
      </w:r>
      <w:r w:rsidRPr="009A0DA6">
        <w:rPr>
          <w:rFonts w:ascii="Cambria" w:eastAsia="Times New Roman" w:hAnsi="Cambria" w:cstheme="minorHAnsi"/>
        </w:rPr>
        <w:t>its</w:t>
      </w:r>
      <w:r w:rsidRPr="009A0DA6">
        <w:rPr>
          <w:rFonts w:ascii="Cambria" w:eastAsia="Times New Roman" w:hAnsi="Cambria" w:cstheme="minorHAnsi"/>
          <w:spacing w:val="9"/>
        </w:rPr>
        <w:t xml:space="preserve"> </w:t>
      </w:r>
      <w:r w:rsidRPr="009A0DA6">
        <w:rPr>
          <w:rFonts w:ascii="Cambria" w:eastAsia="Times New Roman" w:hAnsi="Cambria" w:cstheme="minorHAnsi"/>
          <w:spacing w:val="-1"/>
        </w:rPr>
        <w:t>f</w:t>
      </w:r>
      <w:r w:rsidRPr="009A0DA6">
        <w:rPr>
          <w:rFonts w:ascii="Cambria" w:eastAsia="Times New Roman" w:hAnsi="Cambria" w:cstheme="minorHAnsi"/>
          <w:spacing w:val="2"/>
        </w:rPr>
        <w:t>i</w:t>
      </w:r>
      <w:r w:rsidRPr="009A0DA6">
        <w:rPr>
          <w:rFonts w:ascii="Cambria" w:eastAsia="Times New Roman" w:hAnsi="Cambria" w:cstheme="minorHAnsi"/>
          <w:spacing w:val="-1"/>
        </w:rPr>
        <w:t>x</w:t>
      </w:r>
      <w:r w:rsidRPr="009A0DA6">
        <w:rPr>
          <w:rFonts w:ascii="Cambria" w:eastAsia="Times New Roman" w:hAnsi="Cambria" w:cstheme="minorHAnsi"/>
        </w:rPr>
        <w:t>ed</w:t>
      </w:r>
      <w:r w:rsidRPr="009A0DA6">
        <w:rPr>
          <w:rFonts w:ascii="Cambria" w:eastAsia="Times New Roman" w:hAnsi="Cambria" w:cstheme="minorHAnsi"/>
          <w:spacing w:val="6"/>
        </w:rPr>
        <w:t xml:space="preserve"> </w:t>
      </w:r>
      <w:r w:rsidRPr="009A0DA6">
        <w:rPr>
          <w:rFonts w:ascii="Cambria" w:eastAsia="Times New Roman" w:hAnsi="Cambria" w:cstheme="minorHAnsi"/>
        </w:rPr>
        <w:t>a</w:t>
      </w:r>
      <w:r w:rsidRPr="009A0DA6">
        <w:rPr>
          <w:rFonts w:ascii="Cambria" w:eastAsia="Times New Roman" w:hAnsi="Cambria" w:cstheme="minorHAnsi"/>
          <w:spacing w:val="2"/>
        </w:rPr>
        <w:t>s</w:t>
      </w:r>
      <w:r w:rsidRPr="009A0DA6">
        <w:rPr>
          <w:rFonts w:ascii="Cambria" w:eastAsia="Times New Roman" w:hAnsi="Cambria" w:cstheme="minorHAnsi"/>
          <w:spacing w:val="-1"/>
        </w:rPr>
        <w:t>s</w:t>
      </w:r>
      <w:r w:rsidRPr="009A0DA6">
        <w:rPr>
          <w:rFonts w:ascii="Cambria" w:eastAsia="Times New Roman" w:hAnsi="Cambria" w:cstheme="minorHAnsi"/>
          <w:spacing w:val="3"/>
        </w:rPr>
        <w:t>e</w:t>
      </w:r>
      <w:r w:rsidRPr="009A0DA6">
        <w:rPr>
          <w:rFonts w:ascii="Cambria" w:eastAsia="Times New Roman" w:hAnsi="Cambria" w:cstheme="minorHAnsi"/>
        </w:rPr>
        <w:t>t</w:t>
      </w:r>
      <w:r w:rsidRPr="009A0DA6">
        <w:rPr>
          <w:rFonts w:ascii="Cambria" w:eastAsia="Times New Roman" w:hAnsi="Cambria" w:cstheme="minorHAnsi"/>
          <w:spacing w:val="5"/>
        </w:rPr>
        <w:t xml:space="preserve"> </w:t>
      </w:r>
      <w:r w:rsidRPr="009A0DA6">
        <w:rPr>
          <w:rFonts w:ascii="Cambria" w:eastAsia="Times New Roman" w:hAnsi="Cambria" w:cstheme="minorHAnsi"/>
        </w:rPr>
        <w:t>as</w:t>
      </w:r>
      <w:r w:rsidRPr="009A0DA6">
        <w:rPr>
          <w:rFonts w:ascii="Cambria" w:eastAsia="Times New Roman" w:hAnsi="Cambria" w:cstheme="minorHAnsi"/>
          <w:spacing w:val="6"/>
        </w:rPr>
        <w:t xml:space="preserve"> </w:t>
      </w:r>
      <w:r w:rsidRPr="009A0DA6">
        <w:rPr>
          <w:rFonts w:ascii="Cambria" w:eastAsia="Times New Roman" w:hAnsi="Cambria" w:cstheme="minorHAnsi"/>
        </w:rPr>
        <w:t>at</w:t>
      </w:r>
      <w:r w:rsidRPr="009A0DA6">
        <w:rPr>
          <w:rFonts w:ascii="Cambria" w:eastAsia="Times New Roman" w:hAnsi="Cambria" w:cstheme="minorHAnsi"/>
          <w:spacing w:val="8"/>
        </w:rPr>
        <w:t xml:space="preserve"> </w:t>
      </w:r>
      <w:r w:rsidRPr="009A0DA6">
        <w:rPr>
          <w:rFonts w:ascii="Cambria" w:eastAsia="Times New Roman" w:hAnsi="Cambria" w:cstheme="minorHAnsi"/>
          <w:spacing w:val="1"/>
        </w:rPr>
        <w:t>3</w:t>
      </w:r>
      <w:r w:rsidRPr="009A0DA6">
        <w:rPr>
          <w:rFonts w:ascii="Cambria" w:eastAsia="Times New Roman" w:hAnsi="Cambria" w:cstheme="minorHAnsi"/>
        </w:rPr>
        <w:t>1</w:t>
      </w:r>
      <w:r w:rsidRPr="009A0DA6">
        <w:rPr>
          <w:rFonts w:ascii="Cambria" w:eastAsia="Times New Roman" w:hAnsi="Cambria" w:cstheme="minorHAnsi"/>
          <w:spacing w:val="8"/>
        </w:rPr>
        <w:t xml:space="preserve"> </w:t>
      </w:r>
      <w:r w:rsidRPr="009A0DA6">
        <w:rPr>
          <w:rFonts w:ascii="Cambria" w:eastAsia="Times New Roman" w:hAnsi="Cambria" w:cstheme="minorHAnsi"/>
        </w:rPr>
        <w:t>Dec</w:t>
      </w:r>
      <w:r w:rsidRPr="009A0DA6">
        <w:rPr>
          <w:rFonts w:ascii="Cambria" w:eastAsia="Times New Roman" w:hAnsi="Cambria" w:cstheme="minorHAnsi"/>
          <w:spacing w:val="3"/>
        </w:rPr>
        <w:t>e</w:t>
      </w:r>
      <w:r w:rsidRPr="009A0DA6">
        <w:rPr>
          <w:rFonts w:ascii="Cambria" w:eastAsia="Times New Roman" w:hAnsi="Cambria" w:cstheme="minorHAnsi"/>
          <w:spacing w:val="-4"/>
        </w:rPr>
        <w:t>m</w:t>
      </w:r>
      <w:r w:rsidRPr="009A0DA6">
        <w:rPr>
          <w:rFonts w:ascii="Cambria" w:eastAsia="Times New Roman" w:hAnsi="Cambria" w:cstheme="minorHAnsi"/>
          <w:spacing w:val="1"/>
        </w:rPr>
        <w:t>b</w:t>
      </w:r>
      <w:r w:rsidRPr="009A0DA6">
        <w:rPr>
          <w:rFonts w:ascii="Cambria" w:eastAsia="Times New Roman" w:hAnsi="Cambria" w:cstheme="minorHAnsi"/>
        </w:rPr>
        <w:t>er</w:t>
      </w:r>
      <w:r w:rsidRPr="009A0DA6">
        <w:rPr>
          <w:rFonts w:ascii="Cambria" w:eastAsia="Times New Roman" w:hAnsi="Cambria" w:cstheme="minorHAnsi"/>
          <w:spacing w:val="2"/>
        </w:rPr>
        <w:t xml:space="preserve"> </w:t>
      </w:r>
      <w:r w:rsidRPr="009A0DA6">
        <w:rPr>
          <w:rFonts w:ascii="Cambria" w:eastAsia="Times New Roman" w:hAnsi="Cambria" w:cstheme="minorHAnsi"/>
          <w:spacing w:val="1"/>
        </w:rPr>
        <w:t>201</w:t>
      </w:r>
      <w:r w:rsidRPr="009A0DA6">
        <w:rPr>
          <w:rFonts w:ascii="Cambria" w:eastAsia="Times New Roman" w:hAnsi="Cambria" w:cstheme="minorHAnsi"/>
        </w:rPr>
        <w:t>5</w:t>
      </w:r>
      <w:r w:rsidRPr="009A0DA6">
        <w:rPr>
          <w:rFonts w:ascii="Cambria" w:eastAsia="Times New Roman" w:hAnsi="Cambria" w:cstheme="minorHAnsi"/>
          <w:spacing w:val="6"/>
        </w:rPr>
        <w:t xml:space="preserve"> </w:t>
      </w:r>
      <w:r w:rsidRPr="009A0DA6">
        <w:rPr>
          <w:rFonts w:ascii="Cambria" w:eastAsia="Times New Roman" w:hAnsi="Cambria" w:cstheme="minorHAnsi"/>
          <w:spacing w:val="1"/>
        </w:rPr>
        <w:t>b</w:t>
      </w:r>
      <w:r w:rsidRPr="009A0DA6">
        <w:rPr>
          <w:rFonts w:ascii="Cambria" w:eastAsia="Times New Roman" w:hAnsi="Cambria" w:cstheme="minorHAnsi"/>
        </w:rPr>
        <w:t>y</w:t>
      </w:r>
      <w:r w:rsidRPr="009A0DA6">
        <w:rPr>
          <w:rFonts w:ascii="Cambria" w:eastAsia="Times New Roman" w:hAnsi="Cambria" w:cstheme="minorHAnsi"/>
          <w:spacing w:val="8"/>
        </w:rPr>
        <w:t xml:space="preserve"> </w:t>
      </w:r>
      <w:r w:rsidRPr="009A0DA6">
        <w:rPr>
          <w:rFonts w:ascii="Cambria" w:eastAsia="Times New Roman" w:hAnsi="Cambria" w:cstheme="minorHAnsi"/>
          <w:spacing w:val="-5"/>
        </w:rPr>
        <w:t>w</w:t>
      </w:r>
      <w:r w:rsidRPr="009A0DA6">
        <w:rPr>
          <w:rFonts w:ascii="Cambria" w:eastAsia="Times New Roman" w:hAnsi="Cambria" w:cstheme="minorHAnsi"/>
          <w:spacing w:val="3"/>
        </w:rPr>
        <w:t>a</w:t>
      </w:r>
      <w:r w:rsidRPr="009A0DA6">
        <w:rPr>
          <w:rFonts w:ascii="Cambria" w:eastAsia="Times New Roman" w:hAnsi="Cambria" w:cstheme="minorHAnsi"/>
        </w:rPr>
        <w:t>y</w:t>
      </w:r>
      <w:r w:rsidRPr="009A0DA6">
        <w:rPr>
          <w:rFonts w:ascii="Cambria" w:eastAsia="Times New Roman" w:hAnsi="Cambria" w:cstheme="minorHAnsi"/>
          <w:spacing w:val="5"/>
        </w:rPr>
        <w:t xml:space="preserve"> </w:t>
      </w:r>
      <w:r w:rsidRPr="009A0DA6">
        <w:rPr>
          <w:rFonts w:ascii="Cambria" w:eastAsia="Times New Roman" w:hAnsi="Cambria" w:cstheme="minorHAnsi"/>
          <w:spacing w:val="1"/>
        </w:rPr>
        <w:t>o</w:t>
      </w:r>
      <w:r w:rsidRPr="009A0DA6">
        <w:rPr>
          <w:rFonts w:ascii="Cambria" w:eastAsia="Times New Roman" w:hAnsi="Cambria" w:cstheme="minorHAnsi"/>
        </w:rPr>
        <w:t>f</w:t>
      </w:r>
      <w:r w:rsidRPr="009A0DA6">
        <w:rPr>
          <w:rFonts w:ascii="Cambria" w:eastAsia="Times New Roman" w:hAnsi="Cambria" w:cstheme="minorHAnsi"/>
          <w:spacing w:val="8"/>
        </w:rPr>
        <w:t xml:space="preserve"> </w:t>
      </w:r>
      <w:r w:rsidRPr="009A0DA6">
        <w:rPr>
          <w:rFonts w:ascii="Cambria" w:eastAsia="Times New Roman" w:hAnsi="Cambria" w:cstheme="minorHAnsi"/>
        </w:rPr>
        <w:t xml:space="preserve">a </w:t>
      </w:r>
      <w:r w:rsidRPr="009A0DA6">
        <w:rPr>
          <w:rFonts w:ascii="Cambria" w:eastAsia="Times New Roman" w:hAnsi="Cambria" w:cstheme="minorHAnsi"/>
          <w:spacing w:val="-1"/>
        </w:rPr>
        <w:t>f</w:t>
      </w:r>
      <w:r w:rsidRPr="009A0DA6">
        <w:rPr>
          <w:rFonts w:ascii="Cambria" w:eastAsia="Times New Roman" w:hAnsi="Cambria" w:cstheme="minorHAnsi"/>
          <w:spacing w:val="1"/>
        </w:rPr>
        <w:t>o</w:t>
      </w:r>
      <w:r w:rsidRPr="009A0DA6">
        <w:rPr>
          <w:rFonts w:ascii="Cambria" w:eastAsia="Times New Roman" w:hAnsi="Cambria" w:cstheme="minorHAnsi"/>
          <w:spacing w:val="3"/>
        </w:rPr>
        <w:t>r</w:t>
      </w:r>
      <w:r w:rsidRPr="009A0DA6">
        <w:rPr>
          <w:rFonts w:ascii="Cambria" w:eastAsia="Times New Roman" w:hAnsi="Cambria" w:cstheme="minorHAnsi"/>
          <w:spacing w:val="-4"/>
        </w:rPr>
        <w:t>m</w:t>
      </w:r>
      <w:r w:rsidRPr="009A0DA6">
        <w:rPr>
          <w:rFonts w:ascii="Cambria" w:eastAsia="Times New Roman" w:hAnsi="Cambria" w:cstheme="minorHAnsi"/>
        </w:rPr>
        <w:t>al</w:t>
      </w:r>
      <w:r w:rsidRPr="009A0DA6">
        <w:rPr>
          <w:rFonts w:ascii="Cambria" w:eastAsia="Times New Roman" w:hAnsi="Cambria" w:cstheme="minorHAnsi"/>
          <w:spacing w:val="-5"/>
        </w:rPr>
        <w:t xml:space="preserve"> </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1"/>
        </w:rPr>
        <w:t>v</w:t>
      </w:r>
      <w:r w:rsidRPr="009A0DA6">
        <w:rPr>
          <w:rFonts w:ascii="Cambria" w:eastAsia="Times New Roman" w:hAnsi="Cambria" w:cstheme="minorHAnsi"/>
        </w:rPr>
        <w:t>i</w:t>
      </w:r>
      <w:r w:rsidRPr="009A0DA6">
        <w:rPr>
          <w:rFonts w:ascii="Cambria" w:eastAsia="Times New Roman" w:hAnsi="Cambria" w:cstheme="minorHAnsi"/>
          <w:spacing w:val="3"/>
        </w:rPr>
        <w:t>e</w:t>
      </w:r>
      <w:r w:rsidRPr="009A0DA6">
        <w:rPr>
          <w:rFonts w:ascii="Cambria" w:eastAsia="Times New Roman" w:hAnsi="Cambria" w:cstheme="minorHAnsi"/>
        </w:rPr>
        <w:t>w</w:t>
      </w:r>
      <w:r w:rsidRPr="009A0DA6">
        <w:rPr>
          <w:rFonts w:ascii="Cambria" w:eastAsia="Times New Roman" w:hAnsi="Cambria" w:cstheme="minorHAnsi"/>
          <w:spacing w:val="-7"/>
        </w:rPr>
        <w:t xml:space="preserve"> </w:t>
      </w:r>
      <w:r w:rsidRPr="009A0DA6">
        <w:rPr>
          <w:rFonts w:ascii="Cambria" w:eastAsia="Times New Roman" w:hAnsi="Cambria" w:cstheme="minorHAnsi"/>
        </w:rPr>
        <w:t>c</w:t>
      </w:r>
      <w:r w:rsidRPr="009A0DA6">
        <w:rPr>
          <w:rFonts w:ascii="Cambria" w:eastAsia="Times New Roman" w:hAnsi="Cambria" w:cstheme="minorHAnsi"/>
          <w:spacing w:val="1"/>
        </w:rPr>
        <w:t>o</w:t>
      </w:r>
      <w:r w:rsidRPr="009A0DA6">
        <w:rPr>
          <w:rFonts w:ascii="Cambria" w:eastAsia="Times New Roman" w:hAnsi="Cambria" w:cstheme="minorHAnsi"/>
          <w:spacing w:val="-1"/>
        </w:rPr>
        <w:t>n</w:t>
      </w:r>
      <w:r w:rsidRPr="009A0DA6">
        <w:rPr>
          <w:rFonts w:ascii="Cambria" w:eastAsia="Times New Roman" w:hAnsi="Cambria" w:cstheme="minorHAnsi"/>
          <w:spacing w:val="1"/>
        </w:rPr>
        <w:t>d</w:t>
      </w:r>
      <w:r w:rsidRPr="009A0DA6">
        <w:rPr>
          <w:rFonts w:ascii="Cambria" w:eastAsia="Times New Roman" w:hAnsi="Cambria" w:cstheme="minorHAnsi"/>
          <w:spacing w:val="-1"/>
        </w:rPr>
        <w:t>u</w:t>
      </w:r>
      <w:r w:rsidRPr="009A0DA6">
        <w:rPr>
          <w:rFonts w:ascii="Cambria" w:eastAsia="Times New Roman" w:hAnsi="Cambria" w:cstheme="minorHAnsi"/>
        </w:rPr>
        <w:t>cted</w:t>
      </w:r>
      <w:r w:rsidRPr="009A0DA6">
        <w:rPr>
          <w:rFonts w:ascii="Cambria" w:eastAsia="Times New Roman" w:hAnsi="Cambria" w:cstheme="minorHAnsi"/>
          <w:spacing w:val="-6"/>
        </w:rPr>
        <w:t xml:space="preserve"> </w:t>
      </w:r>
      <w:r w:rsidRPr="009A0DA6">
        <w:rPr>
          <w:rFonts w:ascii="Cambria" w:eastAsia="Times New Roman" w:hAnsi="Cambria" w:cstheme="minorHAnsi"/>
          <w:spacing w:val="4"/>
        </w:rPr>
        <w:t>b</w:t>
      </w:r>
      <w:r w:rsidRPr="009A0DA6">
        <w:rPr>
          <w:rFonts w:ascii="Cambria" w:eastAsia="Times New Roman" w:hAnsi="Cambria" w:cstheme="minorHAnsi"/>
        </w:rPr>
        <w:t>y</w:t>
      </w:r>
      <w:r w:rsidRPr="009A0DA6">
        <w:rPr>
          <w:rFonts w:ascii="Cambria" w:eastAsia="Times New Roman" w:hAnsi="Cambria" w:cstheme="minorHAnsi"/>
          <w:spacing w:val="-5"/>
        </w:rPr>
        <w:t xml:space="preserve"> </w:t>
      </w:r>
      <w:r w:rsidRPr="009A0DA6">
        <w:rPr>
          <w:rFonts w:ascii="Cambria" w:eastAsia="Times New Roman" w:hAnsi="Cambria" w:cstheme="minorHAnsi"/>
          <w:spacing w:val="4"/>
        </w:rPr>
        <w:t>B</w:t>
      </w:r>
      <w:r w:rsidRPr="009A0DA6">
        <w:rPr>
          <w:rFonts w:ascii="Cambria" w:eastAsia="Times New Roman" w:hAnsi="Cambria" w:cstheme="minorHAnsi"/>
          <w:spacing w:val="1"/>
        </w:rPr>
        <w:t>M</w:t>
      </w:r>
      <w:r w:rsidRPr="009A0DA6">
        <w:rPr>
          <w:rFonts w:ascii="Cambria" w:eastAsia="Times New Roman" w:hAnsi="Cambria" w:cstheme="minorHAnsi"/>
        </w:rPr>
        <w:t>T Q</w:t>
      </w:r>
      <w:r w:rsidRPr="009A0DA6">
        <w:rPr>
          <w:rFonts w:ascii="Cambria" w:eastAsia="Times New Roman" w:hAnsi="Cambria" w:cstheme="minorHAnsi"/>
          <w:spacing w:val="-1"/>
        </w:rPr>
        <w:t>u</w:t>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rPr>
        <w:t>ti</w:t>
      </w:r>
      <w:r w:rsidRPr="009A0DA6">
        <w:rPr>
          <w:rFonts w:ascii="Cambria" w:eastAsia="Times New Roman" w:hAnsi="Cambria" w:cstheme="minorHAnsi"/>
          <w:spacing w:val="2"/>
        </w:rPr>
        <w:t>t</w:t>
      </w:r>
      <w:r w:rsidRPr="009A0DA6">
        <w:rPr>
          <w:rFonts w:ascii="Cambria" w:eastAsia="Times New Roman" w:hAnsi="Cambria" w:cstheme="minorHAnsi"/>
        </w:rPr>
        <w:t>y</w:t>
      </w:r>
      <w:r w:rsidRPr="009A0DA6">
        <w:rPr>
          <w:rFonts w:ascii="Cambria" w:eastAsia="Times New Roman" w:hAnsi="Cambria" w:cstheme="minorHAnsi"/>
          <w:spacing w:val="-8"/>
        </w:rPr>
        <w:t xml:space="preserve"> </w:t>
      </w:r>
      <w:r w:rsidRPr="009A0DA6">
        <w:rPr>
          <w:rFonts w:ascii="Cambria" w:eastAsia="Times New Roman" w:hAnsi="Cambria" w:cstheme="minorHAnsi"/>
        </w:rPr>
        <w:t>S</w:t>
      </w:r>
      <w:r w:rsidRPr="009A0DA6">
        <w:rPr>
          <w:rFonts w:ascii="Cambria" w:eastAsia="Times New Roman" w:hAnsi="Cambria" w:cstheme="minorHAnsi"/>
          <w:spacing w:val="-1"/>
        </w:rPr>
        <w:t>u</w:t>
      </w:r>
      <w:r w:rsidRPr="009A0DA6">
        <w:rPr>
          <w:rFonts w:ascii="Cambria" w:eastAsia="Times New Roman" w:hAnsi="Cambria" w:cstheme="minorHAnsi"/>
          <w:spacing w:val="3"/>
        </w:rPr>
        <w:t>r</w:t>
      </w:r>
      <w:r w:rsidRPr="009A0DA6">
        <w:rPr>
          <w:rFonts w:ascii="Cambria" w:eastAsia="Times New Roman" w:hAnsi="Cambria" w:cstheme="minorHAnsi"/>
          <w:spacing w:val="-1"/>
        </w:rPr>
        <w:t>v</w:t>
      </w:r>
      <w:r w:rsidRPr="009A0DA6">
        <w:rPr>
          <w:rFonts w:ascii="Cambria" w:eastAsia="Times New Roman" w:hAnsi="Cambria" w:cstheme="minorHAnsi"/>
          <w:spacing w:val="3"/>
        </w:rPr>
        <w:t>e</w:t>
      </w:r>
      <w:r w:rsidRPr="009A0DA6">
        <w:rPr>
          <w:rFonts w:ascii="Cambria" w:eastAsia="Times New Roman" w:hAnsi="Cambria" w:cstheme="minorHAnsi"/>
          <w:spacing w:val="-4"/>
        </w:rPr>
        <w:t>y</w:t>
      </w:r>
      <w:r w:rsidRPr="009A0DA6">
        <w:rPr>
          <w:rFonts w:ascii="Cambria" w:eastAsia="Times New Roman" w:hAnsi="Cambria" w:cstheme="minorHAnsi"/>
          <w:spacing w:val="1"/>
        </w:rPr>
        <w:t>or</w:t>
      </w:r>
      <w:r w:rsidRPr="009A0DA6">
        <w:rPr>
          <w:rFonts w:ascii="Cambria" w:eastAsia="Times New Roman" w:hAnsi="Cambria" w:cstheme="minorHAnsi"/>
          <w:spacing w:val="-1"/>
        </w:rPr>
        <w:t>s</w:t>
      </w:r>
      <w:r w:rsidRPr="009A0DA6">
        <w:rPr>
          <w:rFonts w:ascii="Cambria" w:eastAsia="Times New Roman" w:hAnsi="Cambria" w:cstheme="minorHAnsi"/>
        </w:rPr>
        <w:t>.</w:t>
      </w:r>
    </w:p>
    <w:p w14:paraId="07CE9A45" w14:textId="0A9B2F50" w:rsidR="00BA4592" w:rsidRPr="009A0DA6" w:rsidRDefault="00B81951" w:rsidP="00BA4592">
      <w:pPr>
        <w:tabs>
          <w:tab w:val="center" w:pos="4394"/>
          <w:tab w:val="right" w:pos="6095"/>
          <w:tab w:val="right" w:pos="7371"/>
          <w:tab w:val="right" w:pos="8647"/>
        </w:tabs>
        <w:spacing w:before="120" w:after="120" w:line="240" w:lineRule="auto"/>
        <w:ind w:right="-51"/>
        <w:contextualSpacing/>
        <w:rPr>
          <w:rFonts w:ascii="Cambria" w:eastAsia="Times New Roman" w:hAnsi="Cambria" w:cstheme="minorHAnsi"/>
        </w:rPr>
      </w:pPr>
      <w:r w:rsidRPr="007408EE">
        <w:rPr>
          <w:rFonts w:ascii="Cambria" w:eastAsia="Times New Roman" w:hAnsi="Cambria" w:cstheme="minorHAnsi"/>
          <w:spacing w:val="3"/>
          <w:sz w:val="10"/>
        </w:rPr>
        <w:br/>
      </w:r>
      <w:r w:rsidR="00BA4592" w:rsidRPr="009A0DA6">
        <w:rPr>
          <w:rFonts w:ascii="Cambria" w:eastAsia="Times New Roman" w:hAnsi="Cambria" w:cstheme="minorHAnsi"/>
          <w:spacing w:val="3"/>
        </w:rPr>
        <w:t>T</w:t>
      </w:r>
      <w:r w:rsidR="00BA4592" w:rsidRPr="009A0DA6">
        <w:rPr>
          <w:rFonts w:ascii="Cambria" w:eastAsia="Times New Roman" w:hAnsi="Cambria" w:cstheme="minorHAnsi"/>
          <w:spacing w:val="-1"/>
        </w:rPr>
        <w:t>h</w:t>
      </w:r>
      <w:r w:rsidR="00BA4592" w:rsidRPr="009A0DA6">
        <w:rPr>
          <w:rFonts w:ascii="Cambria" w:eastAsia="Times New Roman" w:hAnsi="Cambria" w:cstheme="minorHAnsi"/>
        </w:rPr>
        <w:t>e</w:t>
      </w:r>
      <w:r w:rsidR="00BA4592" w:rsidRPr="009A0DA6">
        <w:rPr>
          <w:rFonts w:ascii="Cambria" w:eastAsia="Times New Roman" w:hAnsi="Cambria" w:cstheme="minorHAnsi"/>
          <w:spacing w:val="5"/>
        </w:rPr>
        <w:t xml:space="preserve"> </w:t>
      </w:r>
      <w:r w:rsidR="00BA4592" w:rsidRPr="009A0DA6">
        <w:rPr>
          <w:rFonts w:ascii="Cambria" w:eastAsia="Times New Roman" w:hAnsi="Cambria" w:cstheme="minorHAnsi"/>
          <w:spacing w:val="-2"/>
        </w:rPr>
        <w:t>L</w:t>
      </w:r>
      <w:r w:rsidR="00BA4592" w:rsidRPr="009A0DA6">
        <w:rPr>
          <w:rFonts w:ascii="Cambria" w:eastAsia="Times New Roman" w:hAnsi="Cambria" w:cstheme="minorHAnsi"/>
          <w:spacing w:val="2"/>
        </w:rPr>
        <w:t>C</w:t>
      </w:r>
      <w:r w:rsidR="00BA4592" w:rsidRPr="009A0DA6">
        <w:rPr>
          <w:rFonts w:ascii="Cambria" w:eastAsia="Times New Roman" w:hAnsi="Cambria" w:cstheme="minorHAnsi"/>
        </w:rPr>
        <w:t>A</w:t>
      </w:r>
      <w:r w:rsidR="00BA4592" w:rsidRPr="009A0DA6">
        <w:rPr>
          <w:rFonts w:ascii="Cambria" w:eastAsia="Times New Roman" w:hAnsi="Cambria" w:cstheme="minorHAnsi"/>
          <w:spacing w:val="1"/>
        </w:rPr>
        <w:t xml:space="preserve"> </w:t>
      </w:r>
      <w:r w:rsidR="00BA4592" w:rsidRPr="009A0DA6">
        <w:rPr>
          <w:rFonts w:ascii="Cambria" w:eastAsia="Times New Roman" w:hAnsi="Cambria" w:cstheme="minorHAnsi"/>
          <w:spacing w:val="-1"/>
        </w:rPr>
        <w:t>h</w:t>
      </w:r>
      <w:r w:rsidR="00BA4592" w:rsidRPr="009A0DA6">
        <w:rPr>
          <w:rFonts w:ascii="Cambria" w:eastAsia="Times New Roman" w:hAnsi="Cambria" w:cstheme="minorHAnsi"/>
        </w:rPr>
        <w:t>as</w:t>
      </w:r>
      <w:r w:rsidR="00BA4592" w:rsidRPr="009A0DA6">
        <w:rPr>
          <w:rFonts w:ascii="Cambria" w:eastAsia="Times New Roman" w:hAnsi="Cambria" w:cstheme="minorHAnsi"/>
          <w:spacing w:val="4"/>
        </w:rPr>
        <w:t xml:space="preserve"> </w:t>
      </w:r>
      <w:r w:rsidR="00BA4592" w:rsidRPr="009A0DA6">
        <w:rPr>
          <w:rFonts w:ascii="Cambria" w:eastAsia="Times New Roman" w:hAnsi="Cambria" w:cstheme="minorHAnsi"/>
        </w:rPr>
        <w:t>a</w:t>
      </w:r>
      <w:r w:rsidR="00BA4592" w:rsidRPr="009A0DA6">
        <w:rPr>
          <w:rFonts w:ascii="Cambria" w:eastAsia="Times New Roman" w:hAnsi="Cambria" w:cstheme="minorHAnsi"/>
          <w:spacing w:val="1"/>
        </w:rPr>
        <w:t>dop</w:t>
      </w:r>
      <w:r w:rsidR="00BA4592" w:rsidRPr="009A0DA6">
        <w:rPr>
          <w:rFonts w:ascii="Cambria" w:eastAsia="Times New Roman" w:hAnsi="Cambria" w:cstheme="minorHAnsi"/>
        </w:rPr>
        <w:t>ted</w:t>
      </w:r>
      <w:r w:rsidR="00BA4592" w:rsidRPr="009A0DA6">
        <w:rPr>
          <w:rFonts w:ascii="Cambria" w:eastAsia="Times New Roman" w:hAnsi="Cambria" w:cstheme="minorHAnsi"/>
          <w:spacing w:val="3"/>
        </w:rPr>
        <w:t xml:space="preserve"> </w:t>
      </w:r>
      <w:r w:rsidR="00BA4592" w:rsidRPr="009A0DA6">
        <w:rPr>
          <w:rFonts w:ascii="Cambria" w:eastAsia="Times New Roman" w:hAnsi="Cambria" w:cstheme="minorHAnsi"/>
        </w:rPr>
        <w:t>a</w:t>
      </w:r>
      <w:r w:rsidR="00BA4592" w:rsidRPr="009A0DA6">
        <w:rPr>
          <w:rFonts w:ascii="Cambria" w:eastAsia="Times New Roman" w:hAnsi="Cambria" w:cstheme="minorHAnsi"/>
          <w:spacing w:val="5"/>
        </w:rPr>
        <w:t xml:space="preserve"> </w:t>
      </w:r>
      <w:r w:rsidR="00BA4592" w:rsidRPr="009A0DA6">
        <w:rPr>
          <w:rFonts w:ascii="Cambria" w:eastAsia="Times New Roman" w:hAnsi="Cambria" w:cstheme="minorHAnsi"/>
          <w:spacing w:val="1"/>
        </w:rPr>
        <w:t>po</w:t>
      </w:r>
      <w:r w:rsidR="00BA4592" w:rsidRPr="009A0DA6">
        <w:rPr>
          <w:rFonts w:ascii="Cambria" w:eastAsia="Times New Roman" w:hAnsi="Cambria" w:cstheme="minorHAnsi"/>
        </w:rPr>
        <w:t>li</w:t>
      </w:r>
      <w:r w:rsidR="00BA4592" w:rsidRPr="009A0DA6">
        <w:rPr>
          <w:rFonts w:ascii="Cambria" w:eastAsia="Times New Roman" w:hAnsi="Cambria" w:cstheme="minorHAnsi"/>
          <w:spacing w:val="-2"/>
        </w:rPr>
        <w:t>c</w:t>
      </w:r>
      <w:r w:rsidR="00BA4592" w:rsidRPr="009A0DA6">
        <w:rPr>
          <w:rFonts w:ascii="Cambria" w:eastAsia="Times New Roman" w:hAnsi="Cambria" w:cstheme="minorHAnsi"/>
        </w:rPr>
        <w:t>y</w:t>
      </w:r>
      <w:r w:rsidR="00BA4592" w:rsidRPr="009A0DA6">
        <w:rPr>
          <w:rFonts w:ascii="Cambria" w:eastAsia="Times New Roman" w:hAnsi="Cambria" w:cstheme="minorHAnsi"/>
          <w:spacing w:val="1"/>
        </w:rPr>
        <w:t xml:space="preserve"> </w:t>
      </w:r>
      <w:r w:rsidR="00BA4592" w:rsidRPr="009A0DA6">
        <w:rPr>
          <w:rFonts w:ascii="Cambria" w:eastAsia="Times New Roman" w:hAnsi="Cambria" w:cstheme="minorHAnsi"/>
          <w:spacing w:val="-1"/>
        </w:rPr>
        <w:t>f</w:t>
      </w:r>
      <w:r w:rsidR="00BA4592" w:rsidRPr="009A0DA6">
        <w:rPr>
          <w:rFonts w:ascii="Cambria" w:eastAsia="Times New Roman" w:hAnsi="Cambria" w:cstheme="minorHAnsi"/>
          <w:spacing w:val="1"/>
        </w:rPr>
        <w:t>o</w:t>
      </w:r>
      <w:r w:rsidR="00BA4592" w:rsidRPr="009A0DA6">
        <w:rPr>
          <w:rFonts w:ascii="Cambria" w:eastAsia="Times New Roman" w:hAnsi="Cambria" w:cstheme="minorHAnsi"/>
        </w:rPr>
        <w:t>r</w:t>
      </w:r>
      <w:r w:rsidR="00BA4592" w:rsidRPr="009A0DA6">
        <w:rPr>
          <w:rFonts w:ascii="Cambria" w:eastAsia="Times New Roman" w:hAnsi="Cambria" w:cstheme="minorHAnsi"/>
          <w:spacing w:val="7"/>
        </w:rPr>
        <w:t xml:space="preserve"> </w:t>
      </w:r>
      <w:r w:rsidR="00BA4592" w:rsidRPr="009A0DA6">
        <w:rPr>
          <w:rFonts w:ascii="Cambria" w:eastAsia="Times New Roman" w:hAnsi="Cambria" w:cstheme="minorHAnsi"/>
          <w:spacing w:val="1"/>
        </w:rPr>
        <w:t>r</w:t>
      </w:r>
      <w:r w:rsidR="00BA4592" w:rsidRPr="009A0DA6">
        <w:rPr>
          <w:rFonts w:ascii="Cambria" w:eastAsia="Times New Roman" w:hAnsi="Cambria" w:cstheme="minorHAnsi"/>
        </w:rPr>
        <w:t>ec</w:t>
      </w:r>
      <w:r w:rsidR="00BA4592" w:rsidRPr="009A0DA6">
        <w:rPr>
          <w:rFonts w:ascii="Cambria" w:eastAsia="Times New Roman" w:hAnsi="Cambria" w:cstheme="minorHAnsi"/>
          <w:spacing w:val="1"/>
        </w:rPr>
        <w:t>o</w:t>
      </w:r>
      <w:r w:rsidR="00BA4592" w:rsidRPr="009A0DA6">
        <w:rPr>
          <w:rFonts w:ascii="Cambria" w:eastAsia="Times New Roman" w:hAnsi="Cambria" w:cstheme="minorHAnsi"/>
          <w:spacing w:val="-1"/>
        </w:rPr>
        <w:t>gn</w:t>
      </w:r>
      <w:r w:rsidR="00BA4592" w:rsidRPr="009A0DA6">
        <w:rPr>
          <w:rFonts w:ascii="Cambria" w:eastAsia="Times New Roman" w:hAnsi="Cambria" w:cstheme="minorHAnsi"/>
        </w:rPr>
        <w:t>i</w:t>
      </w:r>
      <w:r w:rsidR="00BA4592" w:rsidRPr="009A0DA6">
        <w:rPr>
          <w:rFonts w:ascii="Cambria" w:eastAsia="Times New Roman" w:hAnsi="Cambria" w:cstheme="minorHAnsi"/>
          <w:spacing w:val="-1"/>
        </w:rPr>
        <w:t>s</w:t>
      </w:r>
      <w:r w:rsidR="00BA4592" w:rsidRPr="009A0DA6">
        <w:rPr>
          <w:rFonts w:ascii="Cambria" w:eastAsia="Times New Roman" w:hAnsi="Cambria" w:cstheme="minorHAnsi"/>
          <w:spacing w:val="2"/>
        </w:rPr>
        <w:t>i</w:t>
      </w:r>
      <w:r w:rsidR="00BA4592" w:rsidRPr="009A0DA6">
        <w:rPr>
          <w:rFonts w:ascii="Cambria" w:eastAsia="Times New Roman" w:hAnsi="Cambria" w:cstheme="minorHAnsi"/>
          <w:spacing w:val="1"/>
        </w:rPr>
        <w:t>n</w:t>
      </w:r>
      <w:r w:rsidR="00BA4592" w:rsidRPr="009A0DA6">
        <w:rPr>
          <w:rFonts w:ascii="Cambria" w:eastAsia="Times New Roman" w:hAnsi="Cambria" w:cstheme="minorHAnsi"/>
        </w:rPr>
        <w:t>g</w:t>
      </w:r>
      <w:r w:rsidR="00BA4592" w:rsidRPr="009A0DA6">
        <w:rPr>
          <w:rFonts w:ascii="Cambria" w:eastAsia="Times New Roman" w:hAnsi="Cambria" w:cstheme="minorHAnsi"/>
          <w:spacing w:val="-3"/>
        </w:rPr>
        <w:t xml:space="preserve"> </w:t>
      </w:r>
      <w:r w:rsidR="00BA4592" w:rsidRPr="009A0DA6">
        <w:rPr>
          <w:rFonts w:ascii="Cambria" w:eastAsia="Times New Roman" w:hAnsi="Cambria" w:cstheme="minorHAnsi"/>
          <w:spacing w:val="1"/>
        </w:rPr>
        <w:t>d</w:t>
      </w:r>
      <w:r w:rsidR="00BA4592" w:rsidRPr="009A0DA6">
        <w:rPr>
          <w:rFonts w:ascii="Cambria" w:eastAsia="Times New Roman" w:hAnsi="Cambria" w:cstheme="minorHAnsi"/>
        </w:rPr>
        <w:t>e</w:t>
      </w:r>
      <w:r w:rsidR="00BA4592" w:rsidRPr="009A0DA6">
        <w:rPr>
          <w:rFonts w:ascii="Cambria" w:eastAsia="Times New Roman" w:hAnsi="Cambria" w:cstheme="minorHAnsi"/>
          <w:spacing w:val="1"/>
        </w:rPr>
        <w:t>pr</w:t>
      </w:r>
      <w:r w:rsidR="00BA4592" w:rsidRPr="009A0DA6">
        <w:rPr>
          <w:rFonts w:ascii="Cambria" w:eastAsia="Times New Roman" w:hAnsi="Cambria" w:cstheme="minorHAnsi"/>
        </w:rPr>
        <w:t>ecia</w:t>
      </w:r>
      <w:r w:rsidR="00BA4592" w:rsidRPr="009A0DA6">
        <w:rPr>
          <w:rFonts w:ascii="Cambria" w:eastAsia="Times New Roman" w:hAnsi="Cambria" w:cstheme="minorHAnsi"/>
          <w:spacing w:val="1"/>
        </w:rPr>
        <w:t>b</w:t>
      </w:r>
      <w:r w:rsidR="00BA4592" w:rsidRPr="009A0DA6">
        <w:rPr>
          <w:rFonts w:ascii="Cambria" w:eastAsia="Times New Roman" w:hAnsi="Cambria" w:cstheme="minorHAnsi"/>
        </w:rPr>
        <w:t>le</w:t>
      </w:r>
      <w:r w:rsidR="00BA4592" w:rsidRPr="009A0DA6">
        <w:rPr>
          <w:rFonts w:ascii="Cambria" w:eastAsia="Times New Roman" w:hAnsi="Cambria" w:cstheme="minorHAnsi"/>
          <w:spacing w:val="-3"/>
        </w:rPr>
        <w:t xml:space="preserve"> </w:t>
      </w:r>
      <w:r w:rsidR="00BA4592" w:rsidRPr="009A0DA6">
        <w:rPr>
          <w:rFonts w:ascii="Cambria" w:eastAsia="Times New Roman" w:hAnsi="Cambria" w:cstheme="minorHAnsi"/>
        </w:rPr>
        <w:t>a</w:t>
      </w:r>
      <w:r w:rsidR="00BA4592" w:rsidRPr="009A0DA6">
        <w:rPr>
          <w:rFonts w:ascii="Cambria" w:eastAsia="Times New Roman" w:hAnsi="Cambria" w:cstheme="minorHAnsi"/>
          <w:spacing w:val="-1"/>
        </w:rPr>
        <w:t>ss</w:t>
      </w:r>
      <w:r w:rsidR="00BA4592" w:rsidRPr="009A0DA6">
        <w:rPr>
          <w:rFonts w:ascii="Cambria" w:eastAsia="Times New Roman" w:hAnsi="Cambria" w:cstheme="minorHAnsi"/>
        </w:rPr>
        <w:t>ets</w:t>
      </w:r>
      <w:r w:rsidR="00BA4592" w:rsidRPr="009A0DA6">
        <w:rPr>
          <w:rFonts w:ascii="Cambria" w:eastAsia="Times New Roman" w:hAnsi="Cambria" w:cstheme="minorHAnsi"/>
          <w:spacing w:val="4"/>
        </w:rPr>
        <w:t xml:space="preserve"> </w:t>
      </w:r>
      <w:r w:rsidR="00BA4592" w:rsidRPr="009A0DA6">
        <w:rPr>
          <w:rFonts w:ascii="Cambria" w:eastAsia="Times New Roman" w:hAnsi="Cambria" w:cstheme="minorHAnsi"/>
          <w:spacing w:val="-2"/>
        </w:rPr>
        <w:t>w</w:t>
      </w:r>
      <w:r w:rsidR="00BA4592" w:rsidRPr="009A0DA6">
        <w:rPr>
          <w:rFonts w:ascii="Cambria" w:eastAsia="Times New Roman" w:hAnsi="Cambria" w:cstheme="minorHAnsi"/>
          <w:spacing w:val="1"/>
        </w:rPr>
        <w:t>h</w:t>
      </w:r>
      <w:r w:rsidR="00BA4592" w:rsidRPr="009A0DA6">
        <w:rPr>
          <w:rFonts w:ascii="Cambria" w:eastAsia="Times New Roman" w:hAnsi="Cambria" w:cstheme="minorHAnsi"/>
        </w:rPr>
        <w:t>e</w:t>
      </w:r>
      <w:r w:rsidR="00BA4592" w:rsidRPr="009A0DA6">
        <w:rPr>
          <w:rFonts w:ascii="Cambria" w:eastAsia="Times New Roman" w:hAnsi="Cambria" w:cstheme="minorHAnsi"/>
          <w:spacing w:val="1"/>
        </w:rPr>
        <w:t>r</w:t>
      </w:r>
      <w:r w:rsidR="00BA4592" w:rsidRPr="009A0DA6">
        <w:rPr>
          <w:rFonts w:ascii="Cambria" w:eastAsia="Times New Roman" w:hAnsi="Cambria" w:cstheme="minorHAnsi"/>
        </w:rPr>
        <w:t>e</w:t>
      </w:r>
      <w:r w:rsidR="00BA4592" w:rsidRPr="009A0DA6">
        <w:rPr>
          <w:rFonts w:ascii="Cambria" w:eastAsia="Times New Roman" w:hAnsi="Cambria" w:cstheme="minorHAnsi"/>
          <w:spacing w:val="4"/>
        </w:rPr>
        <w:t>b</w:t>
      </w:r>
      <w:r w:rsidR="00BA4592" w:rsidRPr="009A0DA6">
        <w:rPr>
          <w:rFonts w:ascii="Cambria" w:eastAsia="Times New Roman" w:hAnsi="Cambria" w:cstheme="minorHAnsi"/>
        </w:rPr>
        <w:t>y</w:t>
      </w:r>
      <w:r w:rsidR="00BA4592" w:rsidRPr="009A0DA6">
        <w:rPr>
          <w:rFonts w:ascii="Cambria" w:eastAsia="Times New Roman" w:hAnsi="Cambria" w:cstheme="minorHAnsi"/>
          <w:spacing w:val="-3"/>
        </w:rPr>
        <w:t xml:space="preserve"> </w:t>
      </w:r>
      <w:r w:rsidR="00BA4592" w:rsidRPr="009A0DA6">
        <w:rPr>
          <w:rFonts w:ascii="Cambria" w:eastAsia="Times New Roman" w:hAnsi="Cambria" w:cstheme="minorHAnsi"/>
        </w:rPr>
        <w:t>i</w:t>
      </w:r>
      <w:r w:rsidR="00BA4592" w:rsidRPr="009A0DA6">
        <w:rPr>
          <w:rFonts w:ascii="Cambria" w:eastAsia="Times New Roman" w:hAnsi="Cambria" w:cstheme="minorHAnsi"/>
          <w:spacing w:val="-1"/>
        </w:rPr>
        <w:t>n</w:t>
      </w:r>
      <w:r w:rsidR="00BA4592" w:rsidRPr="009A0DA6">
        <w:rPr>
          <w:rFonts w:ascii="Cambria" w:eastAsia="Times New Roman" w:hAnsi="Cambria" w:cstheme="minorHAnsi"/>
          <w:spacing w:val="1"/>
        </w:rPr>
        <w:t>d</w:t>
      </w:r>
      <w:r w:rsidR="00BA4592" w:rsidRPr="009A0DA6">
        <w:rPr>
          <w:rFonts w:ascii="Cambria" w:eastAsia="Times New Roman" w:hAnsi="Cambria" w:cstheme="minorHAnsi"/>
          <w:spacing w:val="2"/>
        </w:rPr>
        <w:t>i</w:t>
      </w:r>
      <w:r w:rsidR="00BA4592" w:rsidRPr="009A0DA6">
        <w:rPr>
          <w:rFonts w:ascii="Cambria" w:eastAsia="Times New Roman" w:hAnsi="Cambria" w:cstheme="minorHAnsi"/>
          <w:spacing w:val="-1"/>
        </w:rPr>
        <w:t>v</w:t>
      </w:r>
      <w:r w:rsidR="00BA4592" w:rsidRPr="009A0DA6">
        <w:rPr>
          <w:rFonts w:ascii="Cambria" w:eastAsia="Times New Roman" w:hAnsi="Cambria" w:cstheme="minorHAnsi"/>
        </w:rPr>
        <w:t>i</w:t>
      </w:r>
      <w:r w:rsidR="00BA4592" w:rsidRPr="009A0DA6">
        <w:rPr>
          <w:rFonts w:ascii="Cambria" w:eastAsia="Times New Roman" w:hAnsi="Cambria" w:cstheme="minorHAnsi"/>
          <w:spacing w:val="1"/>
        </w:rPr>
        <w:t>d</w:t>
      </w:r>
      <w:r w:rsidR="00BA4592" w:rsidRPr="009A0DA6">
        <w:rPr>
          <w:rFonts w:ascii="Cambria" w:eastAsia="Times New Roman" w:hAnsi="Cambria" w:cstheme="minorHAnsi"/>
          <w:spacing w:val="-1"/>
        </w:rPr>
        <w:t>u</w:t>
      </w:r>
      <w:r w:rsidR="00BA4592" w:rsidRPr="009A0DA6">
        <w:rPr>
          <w:rFonts w:ascii="Cambria" w:eastAsia="Times New Roman" w:hAnsi="Cambria" w:cstheme="minorHAnsi"/>
        </w:rPr>
        <w:t>al</w:t>
      </w:r>
      <w:r w:rsidR="00BA4592" w:rsidRPr="009A0DA6">
        <w:rPr>
          <w:rFonts w:ascii="Cambria" w:eastAsia="Times New Roman" w:hAnsi="Cambria" w:cstheme="minorHAnsi"/>
          <w:spacing w:val="-1"/>
        </w:rPr>
        <w:t xml:space="preserve"> </w:t>
      </w:r>
      <w:r w:rsidR="00BA4592" w:rsidRPr="009A0DA6">
        <w:rPr>
          <w:rFonts w:ascii="Cambria" w:eastAsia="Times New Roman" w:hAnsi="Cambria" w:cstheme="minorHAnsi"/>
        </w:rPr>
        <w:t>a</w:t>
      </w:r>
      <w:r w:rsidR="00BA4592" w:rsidRPr="009A0DA6">
        <w:rPr>
          <w:rFonts w:ascii="Cambria" w:eastAsia="Times New Roman" w:hAnsi="Cambria" w:cstheme="minorHAnsi"/>
          <w:spacing w:val="2"/>
        </w:rPr>
        <w:t>ss</w:t>
      </w:r>
      <w:r w:rsidR="00BA4592" w:rsidRPr="009A0DA6">
        <w:rPr>
          <w:rFonts w:ascii="Cambria" w:eastAsia="Times New Roman" w:hAnsi="Cambria" w:cstheme="minorHAnsi"/>
        </w:rPr>
        <w:t>ets</w:t>
      </w:r>
      <w:r w:rsidR="00BA4592" w:rsidRPr="009A0DA6">
        <w:rPr>
          <w:rFonts w:ascii="Cambria" w:eastAsia="Times New Roman" w:hAnsi="Cambria" w:cstheme="minorHAnsi"/>
          <w:spacing w:val="2"/>
        </w:rPr>
        <w:t xml:space="preserve"> </w:t>
      </w:r>
      <w:r w:rsidR="00BA4592" w:rsidRPr="009A0DA6">
        <w:rPr>
          <w:rFonts w:ascii="Cambria" w:eastAsia="Times New Roman" w:hAnsi="Cambria" w:cstheme="minorHAnsi"/>
          <w:spacing w:val="1"/>
        </w:rPr>
        <w:t>o</w:t>
      </w:r>
      <w:r w:rsidR="00BA4592" w:rsidRPr="009A0DA6">
        <w:rPr>
          <w:rFonts w:ascii="Cambria" w:eastAsia="Times New Roman" w:hAnsi="Cambria" w:cstheme="minorHAnsi"/>
        </w:rPr>
        <w:t>f</w:t>
      </w:r>
      <w:r w:rsidR="00BA4592" w:rsidRPr="009A0DA6">
        <w:rPr>
          <w:rFonts w:ascii="Cambria" w:eastAsia="Times New Roman" w:hAnsi="Cambria" w:cstheme="minorHAnsi"/>
          <w:spacing w:val="4"/>
        </w:rPr>
        <w:t xml:space="preserve"> </w:t>
      </w:r>
      <w:r w:rsidR="00BA4592" w:rsidRPr="009A0DA6">
        <w:rPr>
          <w:rFonts w:ascii="Cambria" w:eastAsia="Times New Roman" w:hAnsi="Cambria" w:cstheme="minorHAnsi"/>
          <w:spacing w:val="1"/>
        </w:rPr>
        <w:t>$5</w:t>
      </w:r>
      <w:r w:rsidR="00BA4592" w:rsidRPr="009A0DA6">
        <w:rPr>
          <w:rFonts w:ascii="Cambria" w:eastAsia="Times New Roman" w:hAnsi="Cambria" w:cstheme="minorHAnsi"/>
          <w:spacing w:val="-1"/>
        </w:rPr>
        <w:t>0</w:t>
      </w:r>
      <w:r w:rsidR="00BA4592" w:rsidRPr="009A0DA6">
        <w:rPr>
          <w:rFonts w:ascii="Cambria" w:eastAsia="Times New Roman" w:hAnsi="Cambria" w:cstheme="minorHAnsi"/>
        </w:rPr>
        <w:t xml:space="preserve">0 </w:t>
      </w:r>
      <w:r w:rsidR="00BA4592" w:rsidRPr="009A0DA6">
        <w:rPr>
          <w:rFonts w:ascii="Cambria" w:eastAsia="Times New Roman" w:hAnsi="Cambria" w:cstheme="minorHAnsi"/>
          <w:spacing w:val="1"/>
        </w:rPr>
        <w:t>o</w:t>
      </w:r>
      <w:r w:rsidR="00BA4592" w:rsidRPr="009A0DA6">
        <w:rPr>
          <w:rFonts w:ascii="Cambria" w:eastAsia="Times New Roman" w:hAnsi="Cambria" w:cstheme="minorHAnsi"/>
        </w:rPr>
        <w:t>r</w:t>
      </w:r>
      <w:r w:rsidR="00BA4592" w:rsidRPr="009A0DA6">
        <w:rPr>
          <w:rFonts w:ascii="Cambria" w:eastAsia="Times New Roman" w:hAnsi="Cambria" w:cstheme="minorHAnsi"/>
          <w:spacing w:val="7"/>
        </w:rPr>
        <w:t xml:space="preserve"> </w:t>
      </w:r>
      <w:r w:rsidR="00BA4592" w:rsidRPr="009A0DA6">
        <w:rPr>
          <w:rFonts w:ascii="Cambria" w:eastAsia="Times New Roman" w:hAnsi="Cambria" w:cstheme="minorHAnsi"/>
          <w:spacing w:val="-4"/>
        </w:rPr>
        <w:t>m</w:t>
      </w:r>
      <w:r w:rsidR="00BA4592" w:rsidRPr="009A0DA6">
        <w:rPr>
          <w:rFonts w:ascii="Cambria" w:eastAsia="Times New Roman" w:hAnsi="Cambria" w:cstheme="minorHAnsi"/>
          <w:spacing w:val="1"/>
        </w:rPr>
        <w:t>or</w:t>
      </w:r>
      <w:r w:rsidR="00BA4592" w:rsidRPr="009A0DA6">
        <w:rPr>
          <w:rFonts w:ascii="Cambria" w:eastAsia="Times New Roman" w:hAnsi="Cambria" w:cstheme="minorHAnsi"/>
        </w:rPr>
        <w:t>e</w:t>
      </w:r>
      <w:r w:rsidR="00BA4592" w:rsidRPr="009A0DA6">
        <w:rPr>
          <w:rFonts w:ascii="Cambria" w:eastAsia="Times New Roman" w:hAnsi="Cambria" w:cstheme="minorHAnsi"/>
          <w:spacing w:val="4"/>
        </w:rPr>
        <w:t xml:space="preserve"> </w:t>
      </w:r>
      <w:r w:rsidR="00BA4592" w:rsidRPr="009A0DA6">
        <w:rPr>
          <w:rFonts w:ascii="Cambria" w:eastAsia="Times New Roman" w:hAnsi="Cambria" w:cstheme="minorHAnsi"/>
        </w:rPr>
        <w:t>a</w:t>
      </w:r>
      <w:r w:rsidR="00BA4592" w:rsidRPr="009A0DA6">
        <w:rPr>
          <w:rFonts w:ascii="Cambria" w:eastAsia="Times New Roman" w:hAnsi="Cambria" w:cstheme="minorHAnsi"/>
          <w:spacing w:val="1"/>
        </w:rPr>
        <w:t>r</w:t>
      </w:r>
      <w:r w:rsidR="00BA4592" w:rsidRPr="009A0DA6">
        <w:rPr>
          <w:rFonts w:ascii="Cambria" w:eastAsia="Times New Roman" w:hAnsi="Cambria" w:cstheme="minorHAnsi"/>
        </w:rPr>
        <w:t>e</w:t>
      </w:r>
      <w:r w:rsidR="00BA4592" w:rsidRPr="009A0DA6">
        <w:rPr>
          <w:rFonts w:ascii="Cambria" w:eastAsia="Times New Roman" w:hAnsi="Cambria" w:cstheme="minorHAnsi"/>
          <w:spacing w:val="6"/>
        </w:rPr>
        <w:t xml:space="preserve"> </w:t>
      </w:r>
      <w:r w:rsidR="00BA4592" w:rsidRPr="009A0DA6">
        <w:rPr>
          <w:rFonts w:ascii="Cambria" w:eastAsia="Times New Roman" w:hAnsi="Cambria" w:cstheme="minorHAnsi"/>
          <w:spacing w:val="2"/>
        </w:rPr>
        <w:t>s</w:t>
      </w:r>
      <w:r w:rsidR="00BA4592" w:rsidRPr="009A0DA6">
        <w:rPr>
          <w:rFonts w:ascii="Cambria" w:eastAsia="Times New Roman" w:hAnsi="Cambria" w:cstheme="minorHAnsi"/>
          <w:spacing w:val="-1"/>
        </w:rPr>
        <w:t>u</w:t>
      </w:r>
      <w:r w:rsidR="00BA4592" w:rsidRPr="009A0DA6">
        <w:rPr>
          <w:rFonts w:ascii="Cambria" w:eastAsia="Times New Roman" w:hAnsi="Cambria" w:cstheme="minorHAnsi"/>
          <w:spacing w:val="1"/>
        </w:rPr>
        <w:t>b</w:t>
      </w:r>
      <w:r w:rsidR="00BA4592" w:rsidRPr="009A0DA6">
        <w:rPr>
          <w:rFonts w:ascii="Cambria" w:eastAsia="Times New Roman" w:hAnsi="Cambria" w:cstheme="minorHAnsi"/>
          <w:spacing w:val="2"/>
        </w:rPr>
        <w:t>j</w:t>
      </w:r>
      <w:r w:rsidR="00BA4592" w:rsidRPr="009A0DA6">
        <w:rPr>
          <w:rFonts w:ascii="Cambria" w:eastAsia="Times New Roman" w:hAnsi="Cambria" w:cstheme="minorHAnsi"/>
        </w:rPr>
        <w:t>ect</w:t>
      </w:r>
      <w:r w:rsidR="00BA4592" w:rsidRPr="009A0DA6">
        <w:rPr>
          <w:rFonts w:ascii="Cambria" w:eastAsia="Times New Roman" w:hAnsi="Cambria" w:cstheme="minorHAnsi"/>
          <w:spacing w:val="1"/>
        </w:rPr>
        <w:t xml:space="preserve"> </w:t>
      </w:r>
      <w:r w:rsidR="00BA4592" w:rsidRPr="009A0DA6">
        <w:rPr>
          <w:rFonts w:ascii="Cambria" w:eastAsia="Times New Roman" w:hAnsi="Cambria" w:cstheme="minorHAnsi"/>
        </w:rPr>
        <w:t>to</w:t>
      </w:r>
      <w:r w:rsidR="00BA4592" w:rsidRPr="009A0DA6">
        <w:rPr>
          <w:rFonts w:ascii="Cambria" w:eastAsia="Times New Roman" w:hAnsi="Cambria" w:cstheme="minorHAnsi"/>
          <w:spacing w:val="7"/>
        </w:rPr>
        <w:t xml:space="preserve"> </w:t>
      </w:r>
      <w:r w:rsidR="00BA4592" w:rsidRPr="009A0DA6">
        <w:rPr>
          <w:rFonts w:ascii="Cambria" w:eastAsia="Times New Roman" w:hAnsi="Cambria" w:cstheme="minorHAnsi"/>
          <w:spacing w:val="1"/>
        </w:rPr>
        <w:t>d</w:t>
      </w:r>
      <w:r w:rsidR="00BA4592" w:rsidRPr="009A0DA6">
        <w:rPr>
          <w:rFonts w:ascii="Cambria" w:eastAsia="Times New Roman" w:hAnsi="Cambria" w:cstheme="minorHAnsi"/>
        </w:rPr>
        <w:t>e</w:t>
      </w:r>
      <w:r w:rsidR="00BA4592" w:rsidRPr="009A0DA6">
        <w:rPr>
          <w:rFonts w:ascii="Cambria" w:eastAsia="Times New Roman" w:hAnsi="Cambria" w:cstheme="minorHAnsi"/>
          <w:spacing w:val="1"/>
        </w:rPr>
        <w:t>pr</w:t>
      </w:r>
      <w:r w:rsidR="00BA4592" w:rsidRPr="009A0DA6">
        <w:rPr>
          <w:rFonts w:ascii="Cambria" w:eastAsia="Times New Roman" w:hAnsi="Cambria" w:cstheme="minorHAnsi"/>
        </w:rPr>
        <w:t>ec</w:t>
      </w:r>
      <w:r w:rsidR="00BA4592" w:rsidRPr="009A0DA6">
        <w:rPr>
          <w:rFonts w:ascii="Cambria" w:eastAsia="Times New Roman" w:hAnsi="Cambria" w:cstheme="minorHAnsi"/>
          <w:spacing w:val="-3"/>
        </w:rPr>
        <w:t>i</w:t>
      </w:r>
      <w:r w:rsidR="00BA4592" w:rsidRPr="009A0DA6">
        <w:rPr>
          <w:rFonts w:ascii="Cambria" w:eastAsia="Times New Roman" w:hAnsi="Cambria" w:cstheme="minorHAnsi"/>
        </w:rPr>
        <w:t>ati</w:t>
      </w:r>
      <w:r w:rsidR="00BA4592" w:rsidRPr="009A0DA6">
        <w:rPr>
          <w:rFonts w:ascii="Cambria" w:eastAsia="Times New Roman" w:hAnsi="Cambria" w:cstheme="minorHAnsi"/>
          <w:spacing w:val="1"/>
        </w:rPr>
        <w:t>o</w:t>
      </w:r>
      <w:r w:rsidR="00BA4592" w:rsidRPr="009A0DA6">
        <w:rPr>
          <w:rFonts w:ascii="Cambria" w:eastAsia="Times New Roman" w:hAnsi="Cambria" w:cstheme="minorHAnsi"/>
          <w:spacing w:val="-1"/>
        </w:rPr>
        <w:t>n</w:t>
      </w:r>
      <w:r w:rsidR="00BA4592" w:rsidRPr="009A0DA6">
        <w:rPr>
          <w:rFonts w:ascii="Cambria" w:eastAsia="Times New Roman" w:hAnsi="Cambria" w:cstheme="minorHAnsi"/>
        </w:rPr>
        <w:t>,</w:t>
      </w:r>
      <w:r w:rsidR="00BA4592" w:rsidRPr="009A0DA6">
        <w:rPr>
          <w:rFonts w:ascii="Cambria" w:eastAsia="Times New Roman" w:hAnsi="Cambria" w:cstheme="minorHAnsi"/>
          <w:spacing w:val="-2"/>
        </w:rPr>
        <w:t xml:space="preserve"> </w:t>
      </w:r>
      <w:r w:rsidR="00BA4592" w:rsidRPr="009A0DA6">
        <w:rPr>
          <w:rFonts w:ascii="Cambria" w:eastAsia="Times New Roman" w:hAnsi="Cambria" w:cstheme="minorHAnsi"/>
        </w:rPr>
        <w:t>a</w:t>
      </w:r>
      <w:r w:rsidR="00BA4592" w:rsidRPr="009A0DA6">
        <w:rPr>
          <w:rFonts w:ascii="Cambria" w:eastAsia="Times New Roman" w:hAnsi="Cambria" w:cstheme="minorHAnsi"/>
          <w:spacing w:val="1"/>
        </w:rPr>
        <w:t>p</w:t>
      </w:r>
      <w:r w:rsidR="00BA4592" w:rsidRPr="009A0DA6">
        <w:rPr>
          <w:rFonts w:ascii="Cambria" w:eastAsia="Times New Roman" w:hAnsi="Cambria" w:cstheme="minorHAnsi"/>
        </w:rPr>
        <w:t>a</w:t>
      </w:r>
      <w:r w:rsidR="00BA4592" w:rsidRPr="009A0DA6">
        <w:rPr>
          <w:rFonts w:ascii="Cambria" w:eastAsia="Times New Roman" w:hAnsi="Cambria" w:cstheme="minorHAnsi"/>
          <w:spacing w:val="1"/>
        </w:rPr>
        <w:t>r</w:t>
      </w:r>
      <w:r w:rsidR="00BA4592" w:rsidRPr="009A0DA6">
        <w:rPr>
          <w:rFonts w:ascii="Cambria" w:eastAsia="Times New Roman" w:hAnsi="Cambria" w:cstheme="minorHAnsi"/>
        </w:rPr>
        <w:t>t</w:t>
      </w:r>
      <w:r w:rsidR="00BA4592" w:rsidRPr="009A0DA6">
        <w:rPr>
          <w:rFonts w:ascii="Cambria" w:eastAsia="Times New Roman" w:hAnsi="Cambria" w:cstheme="minorHAnsi"/>
          <w:spacing w:val="3"/>
        </w:rPr>
        <w:t xml:space="preserve"> </w:t>
      </w:r>
      <w:r w:rsidR="00BA4592" w:rsidRPr="009A0DA6">
        <w:rPr>
          <w:rFonts w:ascii="Cambria" w:eastAsia="Times New Roman" w:hAnsi="Cambria" w:cstheme="minorHAnsi"/>
          <w:spacing w:val="-1"/>
        </w:rPr>
        <w:t>f</w:t>
      </w:r>
      <w:r w:rsidR="00BA4592" w:rsidRPr="009A0DA6">
        <w:rPr>
          <w:rFonts w:ascii="Cambria" w:eastAsia="Times New Roman" w:hAnsi="Cambria" w:cstheme="minorHAnsi"/>
          <w:spacing w:val="1"/>
        </w:rPr>
        <w:t>r</w:t>
      </w:r>
      <w:r w:rsidR="00BA4592" w:rsidRPr="009A0DA6">
        <w:rPr>
          <w:rFonts w:ascii="Cambria" w:eastAsia="Times New Roman" w:hAnsi="Cambria" w:cstheme="minorHAnsi"/>
          <w:spacing w:val="4"/>
        </w:rPr>
        <w:t>o</w:t>
      </w:r>
      <w:r w:rsidR="00BA4592" w:rsidRPr="009A0DA6">
        <w:rPr>
          <w:rFonts w:ascii="Cambria" w:eastAsia="Times New Roman" w:hAnsi="Cambria" w:cstheme="minorHAnsi"/>
        </w:rPr>
        <w:t>m a</w:t>
      </w:r>
      <w:r w:rsidR="00BA4592" w:rsidRPr="009A0DA6">
        <w:rPr>
          <w:rFonts w:ascii="Cambria" w:eastAsia="Times New Roman" w:hAnsi="Cambria" w:cstheme="minorHAnsi"/>
          <w:spacing w:val="1"/>
        </w:rPr>
        <w:t>r</w:t>
      </w:r>
      <w:r w:rsidR="00BA4592" w:rsidRPr="009A0DA6">
        <w:rPr>
          <w:rFonts w:ascii="Cambria" w:eastAsia="Times New Roman" w:hAnsi="Cambria" w:cstheme="minorHAnsi"/>
        </w:rPr>
        <w:t>t</w:t>
      </w:r>
      <w:r w:rsidR="00BA4592" w:rsidRPr="009A0DA6">
        <w:rPr>
          <w:rFonts w:ascii="Cambria" w:eastAsia="Times New Roman" w:hAnsi="Cambria" w:cstheme="minorHAnsi"/>
          <w:spacing w:val="10"/>
        </w:rPr>
        <w:t xml:space="preserve"> </w:t>
      </w:r>
      <w:r w:rsidR="00BA4592" w:rsidRPr="009A0DA6">
        <w:rPr>
          <w:rFonts w:ascii="Cambria" w:eastAsia="Times New Roman" w:hAnsi="Cambria" w:cstheme="minorHAnsi"/>
          <w:spacing w:val="-5"/>
        </w:rPr>
        <w:t>w</w:t>
      </w:r>
      <w:r w:rsidR="00BA4592" w:rsidRPr="009A0DA6">
        <w:rPr>
          <w:rFonts w:ascii="Cambria" w:eastAsia="Times New Roman" w:hAnsi="Cambria" w:cstheme="minorHAnsi"/>
          <w:spacing w:val="1"/>
        </w:rPr>
        <w:t>o</w:t>
      </w:r>
      <w:r w:rsidR="00BA4592" w:rsidRPr="009A0DA6">
        <w:rPr>
          <w:rFonts w:ascii="Cambria" w:eastAsia="Times New Roman" w:hAnsi="Cambria" w:cstheme="minorHAnsi"/>
          <w:spacing w:val="3"/>
        </w:rPr>
        <w:t>r</w:t>
      </w:r>
      <w:r w:rsidR="00BA4592" w:rsidRPr="009A0DA6">
        <w:rPr>
          <w:rFonts w:ascii="Cambria" w:eastAsia="Times New Roman" w:hAnsi="Cambria" w:cstheme="minorHAnsi"/>
          <w:spacing w:val="-1"/>
        </w:rPr>
        <w:t>k</w:t>
      </w:r>
      <w:r w:rsidR="00BA4592" w:rsidRPr="009A0DA6">
        <w:rPr>
          <w:rFonts w:ascii="Cambria" w:eastAsia="Times New Roman" w:hAnsi="Cambria" w:cstheme="minorHAnsi"/>
        </w:rPr>
        <w:t>s</w:t>
      </w:r>
      <w:r w:rsidR="00BA4592" w:rsidRPr="009A0DA6">
        <w:rPr>
          <w:rFonts w:ascii="Cambria" w:eastAsia="Times New Roman" w:hAnsi="Cambria" w:cstheme="minorHAnsi"/>
          <w:spacing w:val="4"/>
        </w:rPr>
        <w:t xml:space="preserve"> </w:t>
      </w:r>
      <w:r w:rsidR="00BA4592" w:rsidRPr="009A0DA6">
        <w:rPr>
          <w:rFonts w:ascii="Cambria" w:eastAsia="Times New Roman" w:hAnsi="Cambria" w:cstheme="minorHAnsi"/>
        </w:rPr>
        <w:t>w</w:t>
      </w:r>
      <w:r w:rsidR="00BA4592" w:rsidRPr="009A0DA6">
        <w:rPr>
          <w:rFonts w:ascii="Cambria" w:eastAsia="Times New Roman" w:hAnsi="Cambria" w:cstheme="minorHAnsi"/>
          <w:spacing w:val="-1"/>
        </w:rPr>
        <w:t>h</w:t>
      </w:r>
      <w:r w:rsidR="00BA4592" w:rsidRPr="009A0DA6">
        <w:rPr>
          <w:rFonts w:ascii="Cambria" w:eastAsia="Times New Roman" w:hAnsi="Cambria" w:cstheme="minorHAnsi"/>
        </w:rPr>
        <w:t>ich</w:t>
      </w:r>
      <w:r w:rsidR="00BA4592" w:rsidRPr="009A0DA6">
        <w:rPr>
          <w:rFonts w:ascii="Cambria" w:eastAsia="Times New Roman" w:hAnsi="Cambria" w:cstheme="minorHAnsi"/>
          <w:spacing w:val="4"/>
        </w:rPr>
        <w:t xml:space="preserve"> </w:t>
      </w:r>
      <w:r w:rsidR="00BA4592" w:rsidRPr="009A0DA6">
        <w:rPr>
          <w:rFonts w:ascii="Cambria" w:eastAsia="Times New Roman" w:hAnsi="Cambria" w:cstheme="minorHAnsi"/>
        </w:rPr>
        <w:t>a</w:t>
      </w:r>
      <w:r w:rsidR="00BA4592" w:rsidRPr="009A0DA6">
        <w:rPr>
          <w:rFonts w:ascii="Cambria" w:eastAsia="Times New Roman" w:hAnsi="Cambria" w:cstheme="minorHAnsi"/>
          <w:spacing w:val="1"/>
        </w:rPr>
        <w:t>r</w:t>
      </w:r>
      <w:r w:rsidR="00BA4592" w:rsidRPr="009A0DA6">
        <w:rPr>
          <w:rFonts w:ascii="Cambria" w:eastAsia="Times New Roman" w:hAnsi="Cambria" w:cstheme="minorHAnsi"/>
        </w:rPr>
        <w:t>e</w:t>
      </w:r>
      <w:r w:rsidR="00BA4592" w:rsidRPr="009A0DA6">
        <w:rPr>
          <w:rFonts w:ascii="Cambria" w:eastAsia="Times New Roman" w:hAnsi="Cambria" w:cstheme="minorHAnsi"/>
          <w:spacing w:val="6"/>
        </w:rPr>
        <w:t xml:space="preserve"> </w:t>
      </w:r>
      <w:r w:rsidR="00BA4592" w:rsidRPr="009A0DA6">
        <w:rPr>
          <w:rFonts w:ascii="Cambria" w:eastAsia="Times New Roman" w:hAnsi="Cambria" w:cstheme="minorHAnsi"/>
          <w:spacing w:val="-1"/>
        </w:rPr>
        <w:t>n</w:t>
      </w:r>
      <w:r w:rsidR="00BA4592" w:rsidRPr="009A0DA6">
        <w:rPr>
          <w:rFonts w:ascii="Cambria" w:eastAsia="Times New Roman" w:hAnsi="Cambria" w:cstheme="minorHAnsi"/>
          <w:spacing w:val="1"/>
        </w:rPr>
        <w:t>o</w:t>
      </w:r>
      <w:r w:rsidR="00BA4592" w:rsidRPr="009A0DA6">
        <w:rPr>
          <w:rFonts w:ascii="Cambria" w:eastAsia="Times New Roman" w:hAnsi="Cambria" w:cstheme="minorHAnsi"/>
        </w:rPr>
        <w:t>t</w:t>
      </w:r>
      <w:r w:rsidR="00BA4592" w:rsidRPr="009A0DA6">
        <w:rPr>
          <w:rFonts w:ascii="Cambria" w:eastAsia="Times New Roman" w:hAnsi="Cambria" w:cstheme="minorHAnsi"/>
          <w:spacing w:val="4"/>
        </w:rPr>
        <w:t xml:space="preserve"> </w:t>
      </w:r>
      <w:r w:rsidR="00BA4592" w:rsidRPr="009A0DA6">
        <w:rPr>
          <w:rFonts w:ascii="Cambria" w:eastAsia="Times New Roman" w:hAnsi="Cambria" w:cstheme="minorHAnsi"/>
          <w:spacing w:val="1"/>
        </w:rPr>
        <w:t>d</w:t>
      </w:r>
      <w:r w:rsidR="00BA4592" w:rsidRPr="009A0DA6">
        <w:rPr>
          <w:rFonts w:ascii="Cambria" w:eastAsia="Times New Roman" w:hAnsi="Cambria" w:cstheme="minorHAnsi"/>
        </w:rPr>
        <w:t>e</w:t>
      </w:r>
      <w:r w:rsidR="00BA4592" w:rsidRPr="009A0DA6">
        <w:rPr>
          <w:rFonts w:ascii="Cambria" w:eastAsia="Times New Roman" w:hAnsi="Cambria" w:cstheme="minorHAnsi"/>
          <w:spacing w:val="1"/>
        </w:rPr>
        <w:t>pr</w:t>
      </w:r>
      <w:r w:rsidR="00BA4592" w:rsidRPr="009A0DA6">
        <w:rPr>
          <w:rFonts w:ascii="Cambria" w:eastAsia="Times New Roman" w:hAnsi="Cambria" w:cstheme="minorHAnsi"/>
        </w:rPr>
        <w:t>eciate</w:t>
      </w:r>
      <w:r w:rsidR="00BA4592" w:rsidRPr="009A0DA6">
        <w:rPr>
          <w:rFonts w:ascii="Cambria" w:eastAsia="Times New Roman" w:hAnsi="Cambria" w:cstheme="minorHAnsi"/>
          <w:spacing w:val="1"/>
        </w:rPr>
        <w:t>d</w:t>
      </w:r>
      <w:r w:rsidR="00BA4592" w:rsidRPr="009A0DA6">
        <w:rPr>
          <w:rFonts w:ascii="Cambria" w:eastAsia="Times New Roman" w:hAnsi="Cambria" w:cstheme="minorHAnsi"/>
        </w:rPr>
        <w:t>.</w:t>
      </w:r>
      <w:r w:rsidR="00BA4592" w:rsidRPr="009A0DA6">
        <w:rPr>
          <w:rFonts w:ascii="Cambria" w:eastAsia="Times New Roman" w:hAnsi="Cambria" w:cstheme="minorHAnsi"/>
          <w:spacing w:val="-2"/>
        </w:rPr>
        <w:t xml:space="preserve"> </w:t>
      </w:r>
      <w:r w:rsidRPr="009A0DA6">
        <w:rPr>
          <w:rFonts w:ascii="Cambria" w:eastAsia="Times New Roman" w:hAnsi="Cambria" w:cstheme="minorHAnsi"/>
          <w:spacing w:val="-2"/>
        </w:rPr>
        <w:br/>
      </w:r>
      <w:r w:rsidRPr="007408EE">
        <w:rPr>
          <w:rFonts w:ascii="Cambria" w:eastAsia="Times New Roman" w:hAnsi="Cambria" w:cstheme="minorHAnsi"/>
          <w:spacing w:val="-2"/>
          <w:sz w:val="2"/>
        </w:rPr>
        <w:br/>
      </w:r>
      <w:r w:rsidR="00BA4592" w:rsidRPr="009A0DA6">
        <w:rPr>
          <w:rFonts w:ascii="Cambria" w:eastAsia="Times New Roman" w:hAnsi="Cambria" w:cstheme="minorHAnsi"/>
          <w:spacing w:val="-2"/>
        </w:rPr>
        <w:t>A</w:t>
      </w:r>
      <w:r w:rsidR="00BA4592" w:rsidRPr="009A0DA6">
        <w:rPr>
          <w:rFonts w:ascii="Cambria" w:eastAsia="Times New Roman" w:hAnsi="Cambria" w:cstheme="minorHAnsi"/>
        </w:rPr>
        <w:t>c</w:t>
      </w:r>
      <w:r w:rsidR="00BA4592" w:rsidRPr="009A0DA6">
        <w:rPr>
          <w:rFonts w:ascii="Cambria" w:eastAsia="Times New Roman" w:hAnsi="Cambria" w:cstheme="minorHAnsi"/>
          <w:spacing w:val="4"/>
        </w:rPr>
        <w:t>q</w:t>
      </w:r>
      <w:r w:rsidR="00BA4592" w:rsidRPr="009A0DA6">
        <w:rPr>
          <w:rFonts w:ascii="Cambria" w:eastAsia="Times New Roman" w:hAnsi="Cambria" w:cstheme="minorHAnsi"/>
          <w:spacing w:val="-1"/>
        </w:rPr>
        <w:t>u</w:t>
      </w:r>
      <w:r w:rsidR="00BA4592" w:rsidRPr="009A0DA6">
        <w:rPr>
          <w:rFonts w:ascii="Cambria" w:eastAsia="Times New Roman" w:hAnsi="Cambria" w:cstheme="minorHAnsi"/>
        </w:rPr>
        <w:t>i</w:t>
      </w:r>
      <w:r w:rsidR="00BA4592" w:rsidRPr="009A0DA6">
        <w:rPr>
          <w:rFonts w:ascii="Cambria" w:eastAsia="Times New Roman" w:hAnsi="Cambria" w:cstheme="minorHAnsi"/>
          <w:spacing w:val="-1"/>
        </w:rPr>
        <w:t>s</w:t>
      </w:r>
      <w:r w:rsidR="00BA4592" w:rsidRPr="009A0DA6">
        <w:rPr>
          <w:rFonts w:ascii="Cambria" w:eastAsia="Times New Roman" w:hAnsi="Cambria" w:cstheme="minorHAnsi"/>
          <w:spacing w:val="2"/>
        </w:rPr>
        <w:t>i</w:t>
      </w:r>
      <w:r w:rsidR="00BA4592" w:rsidRPr="009A0DA6">
        <w:rPr>
          <w:rFonts w:ascii="Cambria" w:eastAsia="Times New Roman" w:hAnsi="Cambria" w:cstheme="minorHAnsi"/>
        </w:rPr>
        <w:t>ti</w:t>
      </w:r>
      <w:r w:rsidR="00BA4592" w:rsidRPr="009A0DA6">
        <w:rPr>
          <w:rFonts w:ascii="Cambria" w:eastAsia="Times New Roman" w:hAnsi="Cambria" w:cstheme="minorHAnsi"/>
          <w:spacing w:val="1"/>
        </w:rPr>
        <w:t>o</w:t>
      </w:r>
      <w:r w:rsidR="00BA4592" w:rsidRPr="009A0DA6">
        <w:rPr>
          <w:rFonts w:ascii="Cambria" w:eastAsia="Times New Roman" w:hAnsi="Cambria" w:cstheme="minorHAnsi"/>
          <w:spacing w:val="-1"/>
        </w:rPr>
        <w:t>n</w:t>
      </w:r>
      <w:r w:rsidR="00BA4592" w:rsidRPr="009A0DA6">
        <w:rPr>
          <w:rFonts w:ascii="Cambria" w:eastAsia="Times New Roman" w:hAnsi="Cambria" w:cstheme="minorHAnsi"/>
        </w:rPr>
        <w:t>s</w:t>
      </w:r>
      <w:r w:rsidR="00BA4592" w:rsidRPr="009A0DA6">
        <w:rPr>
          <w:rFonts w:ascii="Cambria" w:eastAsia="Times New Roman" w:hAnsi="Cambria" w:cstheme="minorHAnsi"/>
          <w:spacing w:val="-1"/>
        </w:rPr>
        <w:t xml:space="preserve"> </w:t>
      </w:r>
      <w:r w:rsidR="00BA4592" w:rsidRPr="009A0DA6">
        <w:rPr>
          <w:rFonts w:ascii="Cambria" w:eastAsia="Times New Roman" w:hAnsi="Cambria" w:cstheme="minorHAnsi"/>
          <w:spacing w:val="1"/>
        </w:rPr>
        <w:t>o</w:t>
      </w:r>
      <w:r w:rsidR="00BA4592" w:rsidRPr="009A0DA6">
        <w:rPr>
          <w:rFonts w:ascii="Cambria" w:eastAsia="Times New Roman" w:hAnsi="Cambria" w:cstheme="minorHAnsi"/>
        </w:rPr>
        <w:t>f a</w:t>
      </w:r>
      <w:r w:rsidR="00BA4592" w:rsidRPr="009A0DA6">
        <w:rPr>
          <w:rFonts w:ascii="Cambria" w:eastAsia="Times New Roman" w:hAnsi="Cambria" w:cstheme="minorHAnsi"/>
          <w:spacing w:val="-1"/>
        </w:rPr>
        <w:t>ss</w:t>
      </w:r>
      <w:r w:rsidR="00BA4592" w:rsidRPr="009A0DA6">
        <w:rPr>
          <w:rFonts w:ascii="Cambria" w:eastAsia="Times New Roman" w:hAnsi="Cambria" w:cstheme="minorHAnsi"/>
        </w:rPr>
        <w:t>ets</w:t>
      </w:r>
      <w:r w:rsidR="00BA4592" w:rsidRPr="009A0DA6">
        <w:rPr>
          <w:rFonts w:ascii="Cambria" w:eastAsia="Times New Roman" w:hAnsi="Cambria" w:cstheme="minorHAnsi"/>
          <w:spacing w:val="-5"/>
        </w:rPr>
        <w:t xml:space="preserve"> </w:t>
      </w:r>
      <w:r w:rsidR="00BA4592" w:rsidRPr="009A0DA6">
        <w:rPr>
          <w:rFonts w:ascii="Cambria" w:eastAsia="Times New Roman" w:hAnsi="Cambria" w:cstheme="minorHAnsi"/>
          <w:spacing w:val="1"/>
        </w:rPr>
        <w:t>b</w:t>
      </w:r>
      <w:r w:rsidR="00BA4592" w:rsidRPr="009A0DA6">
        <w:rPr>
          <w:rFonts w:ascii="Cambria" w:eastAsia="Times New Roman" w:hAnsi="Cambria" w:cstheme="minorHAnsi"/>
        </w:rPr>
        <w:t>el</w:t>
      </w:r>
      <w:r w:rsidR="00BA4592" w:rsidRPr="009A0DA6">
        <w:rPr>
          <w:rFonts w:ascii="Cambria" w:eastAsia="Times New Roman" w:hAnsi="Cambria" w:cstheme="minorHAnsi"/>
          <w:spacing w:val="4"/>
        </w:rPr>
        <w:t>o</w:t>
      </w:r>
      <w:r w:rsidR="00BA4592" w:rsidRPr="009A0DA6">
        <w:rPr>
          <w:rFonts w:ascii="Cambria" w:eastAsia="Times New Roman" w:hAnsi="Cambria" w:cstheme="minorHAnsi"/>
        </w:rPr>
        <w:t>w</w:t>
      </w:r>
      <w:r w:rsidR="00BA4592" w:rsidRPr="009A0DA6">
        <w:rPr>
          <w:rFonts w:ascii="Cambria" w:eastAsia="Times New Roman" w:hAnsi="Cambria" w:cstheme="minorHAnsi"/>
          <w:spacing w:val="-7"/>
        </w:rPr>
        <w:t xml:space="preserve"> </w:t>
      </w:r>
      <w:r w:rsidR="00BA4592" w:rsidRPr="009A0DA6">
        <w:rPr>
          <w:rFonts w:ascii="Cambria" w:eastAsia="Times New Roman" w:hAnsi="Cambria" w:cstheme="minorHAnsi"/>
          <w:spacing w:val="1"/>
        </w:rPr>
        <w:t>$50</w:t>
      </w:r>
      <w:r w:rsidR="00BA4592" w:rsidRPr="009A0DA6">
        <w:rPr>
          <w:rFonts w:ascii="Cambria" w:eastAsia="Times New Roman" w:hAnsi="Cambria" w:cstheme="minorHAnsi"/>
        </w:rPr>
        <w:t>0</w:t>
      </w:r>
      <w:r w:rsidR="00BA4592" w:rsidRPr="009A0DA6">
        <w:rPr>
          <w:rFonts w:ascii="Cambria" w:eastAsia="Times New Roman" w:hAnsi="Cambria" w:cstheme="minorHAnsi"/>
          <w:spacing w:val="-2"/>
        </w:rPr>
        <w:t xml:space="preserve"> </w:t>
      </w:r>
      <w:r w:rsidR="00BA4592" w:rsidRPr="009A0DA6">
        <w:rPr>
          <w:rFonts w:ascii="Cambria" w:eastAsia="Times New Roman" w:hAnsi="Cambria" w:cstheme="minorHAnsi"/>
        </w:rPr>
        <w:t>a</w:t>
      </w:r>
      <w:r w:rsidR="00BA4592" w:rsidRPr="009A0DA6">
        <w:rPr>
          <w:rFonts w:ascii="Cambria" w:eastAsia="Times New Roman" w:hAnsi="Cambria" w:cstheme="minorHAnsi"/>
          <w:spacing w:val="1"/>
        </w:rPr>
        <w:t>r</w:t>
      </w:r>
      <w:r w:rsidR="00BA4592" w:rsidRPr="009A0DA6">
        <w:rPr>
          <w:rFonts w:ascii="Cambria" w:eastAsia="Times New Roman" w:hAnsi="Cambria" w:cstheme="minorHAnsi"/>
        </w:rPr>
        <w:t>e</w:t>
      </w:r>
      <w:r w:rsidR="00BA4592" w:rsidRPr="009A0DA6">
        <w:rPr>
          <w:rFonts w:ascii="Cambria" w:eastAsia="Times New Roman" w:hAnsi="Cambria" w:cstheme="minorHAnsi"/>
          <w:spacing w:val="-1"/>
        </w:rPr>
        <w:t xml:space="preserve"> </w:t>
      </w:r>
      <w:r w:rsidR="00BA4592" w:rsidRPr="009A0DA6">
        <w:rPr>
          <w:rFonts w:ascii="Cambria" w:eastAsia="Times New Roman" w:hAnsi="Cambria" w:cstheme="minorHAnsi"/>
        </w:rPr>
        <w:t>e</w:t>
      </w:r>
      <w:r w:rsidR="00BA4592" w:rsidRPr="009A0DA6">
        <w:rPr>
          <w:rFonts w:ascii="Cambria" w:eastAsia="Times New Roman" w:hAnsi="Cambria" w:cstheme="minorHAnsi"/>
          <w:spacing w:val="-1"/>
        </w:rPr>
        <w:t>x</w:t>
      </w:r>
      <w:r w:rsidR="00BA4592" w:rsidRPr="009A0DA6">
        <w:rPr>
          <w:rFonts w:ascii="Cambria" w:eastAsia="Times New Roman" w:hAnsi="Cambria" w:cstheme="minorHAnsi"/>
          <w:spacing w:val="1"/>
        </w:rPr>
        <w:t>p</w:t>
      </w:r>
      <w:r w:rsidR="00BA4592" w:rsidRPr="009A0DA6">
        <w:rPr>
          <w:rFonts w:ascii="Cambria" w:eastAsia="Times New Roman" w:hAnsi="Cambria" w:cstheme="minorHAnsi"/>
        </w:rPr>
        <w:t>e</w:t>
      </w:r>
      <w:r w:rsidR="00BA4592" w:rsidRPr="009A0DA6">
        <w:rPr>
          <w:rFonts w:ascii="Cambria" w:eastAsia="Times New Roman" w:hAnsi="Cambria" w:cstheme="minorHAnsi"/>
          <w:spacing w:val="-1"/>
        </w:rPr>
        <w:t>ns</w:t>
      </w:r>
      <w:r w:rsidR="00BA4592" w:rsidRPr="009A0DA6">
        <w:rPr>
          <w:rFonts w:ascii="Cambria" w:eastAsia="Times New Roman" w:hAnsi="Cambria" w:cstheme="minorHAnsi"/>
        </w:rPr>
        <w:t>e</w:t>
      </w:r>
      <w:r w:rsidR="00BA4592" w:rsidRPr="009A0DA6">
        <w:rPr>
          <w:rFonts w:ascii="Cambria" w:eastAsia="Times New Roman" w:hAnsi="Cambria" w:cstheme="minorHAnsi"/>
          <w:spacing w:val="1"/>
        </w:rPr>
        <w:t>d</w:t>
      </w:r>
      <w:r w:rsidR="00BA4592" w:rsidRPr="009A0DA6">
        <w:rPr>
          <w:rFonts w:ascii="Cambria" w:eastAsia="Times New Roman" w:hAnsi="Cambria" w:cstheme="minorHAnsi"/>
        </w:rPr>
        <w:t>.</w:t>
      </w:r>
    </w:p>
    <w:p w14:paraId="1C00FABF" w14:textId="7E72CB7A" w:rsidR="00BA4592" w:rsidRPr="009A0DA6" w:rsidRDefault="00B81951" w:rsidP="00BA4592">
      <w:pPr>
        <w:tabs>
          <w:tab w:val="center" w:pos="4394"/>
          <w:tab w:val="right" w:pos="6095"/>
          <w:tab w:val="right" w:pos="7371"/>
          <w:tab w:val="right" w:pos="8647"/>
        </w:tabs>
        <w:spacing w:before="120" w:after="120" w:line="240" w:lineRule="auto"/>
        <w:ind w:right="-51"/>
        <w:contextualSpacing/>
        <w:rPr>
          <w:rFonts w:ascii="Cambria" w:eastAsia="Times New Roman" w:hAnsi="Cambria" w:cstheme="minorHAnsi"/>
        </w:rPr>
      </w:pPr>
      <w:r w:rsidRPr="007408EE">
        <w:rPr>
          <w:rFonts w:ascii="Cambria" w:eastAsia="Times New Roman" w:hAnsi="Cambria" w:cstheme="minorHAnsi"/>
          <w:spacing w:val="3"/>
          <w:sz w:val="10"/>
        </w:rPr>
        <w:br/>
      </w:r>
      <w:r w:rsidR="00BA4592" w:rsidRPr="009A0DA6">
        <w:rPr>
          <w:rFonts w:ascii="Cambria" w:eastAsia="Times New Roman" w:hAnsi="Cambria" w:cstheme="minorHAnsi"/>
          <w:spacing w:val="3"/>
        </w:rPr>
        <w:t>T</w:t>
      </w:r>
      <w:r w:rsidR="00BA4592" w:rsidRPr="009A0DA6">
        <w:rPr>
          <w:rFonts w:ascii="Cambria" w:eastAsia="Times New Roman" w:hAnsi="Cambria" w:cstheme="minorHAnsi"/>
          <w:spacing w:val="-1"/>
        </w:rPr>
        <w:t>h</w:t>
      </w:r>
      <w:r w:rsidR="00BA4592" w:rsidRPr="009A0DA6">
        <w:rPr>
          <w:rFonts w:ascii="Cambria" w:eastAsia="Times New Roman" w:hAnsi="Cambria" w:cstheme="minorHAnsi"/>
        </w:rPr>
        <w:t>e</w:t>
      </w:r>
      <w:r w:rsidR="00BA4592" w:rsidRPr="009A0DA6">
        <w:rPr>
          <w:rFonts w:ascii="Cambria" w:eastAsia="Times New Roman" w:hAnsi="Cambria" w:cstheme="minorHAnsi"/>
          <w:spacing w:val="-2"/>
        </w:rPr>
        <w:t xml:space="preserve"> </w:t>
      </w:r>
      <w:r w:rsidR="00BA4592" w:rsidRPr="009A0DA6">
        <w:rPr>
          <w:rFonts w:ascii="Cambria" w:eastAsia="Times New Roman" w:hAnsi="Cambria" w:cstheme="minorHAnsi"/>
          <w:spacing w:val="1"/>
        </w:rPr>
        <w:t>d</w:t>
      </w:r>
      <w:r w:rsidR="00BA4592" w:rsidRPr="009A0DA6">
        <w:rPr>
          <w:rFonts w:ascii="Cambria" w:eastAsia="Times New Roman" w:hAnsi="Cambria" w:cstheme="minorHAnsi"/>
        </w:rPr>
        <w:t>e</w:t>
      </w:r>
      <w:r w:rsidR="00BA4592" w:rsidRPr="009A0DA6">
        <w:rPr>
          <w:rFonts w:ascii="Cambria" w:eastAsia="Times New Roman" w:hAnsi="Cambria" w:cstheme="minorHAnsi"/>
          <w:spacing w:val="-1"/>
        </w:rPr>
        <w:t>p</w:t>
      </w:r>
      <w:r w:rsidR="00BA4592" w:rsidRPr="009A0DA6">
        <w:rPr>
          <w:rFonts w:ascii="Cambria" w:eastAsia="Times New Roman" w:hAnsi="Cambria" w:cstheme="minorHAnsi"/>
          <w:spacing w:val="1"/>
        </w:rPr>
        <w:t>r</w:t>
      </w:r>
      <w:r w:rsidR="00BA4592" w:rsidRPr="009A0DA6">
        <w:rPr>
          <w:rFonts w:ascii="Cambria" w:eastAsia="Times New Roman" w:hAnsi="Cambria" w:cstheme="minorHAnsi"/>
        </w:rPr>
        <w:t>eciati</w:t>
      </w:r>
      <w:r w:rsidR="00BA4592" w:rsidRPr="009A0DA6">
        <w:rPr>
          <w:rFonts w:ascii="Cambria" w:eastAsia="Times New Roman" w:hAnsi="Cambria" w:cstheme="minorHAnsi"/>
          <w:spacing w:val="1"/>
        </w:rPr>
        <w:t>o</w:t>
      </w:r>
      <w:r w:rsidR="00BA4592" w:rsidRPr="009A0DA6">
        <w:rPr>
          <w:rFonts w:ascii="Cambria" w:eastAsia="Times New Roman" w:hAnsi="Cambria" w:cstheme="minorHAnsi"/>
        </w:rPr>
        <w:t>n</w:t>
      </w:r>
      <w:r w:rsidR="00BA4592" w:rsidRPr="009A0DA6">
        <w:rPr>
          <w:rFonts w:ascii="Cambria" w:eastAsia="Times New Roman" w:hAnsi="Cambria" w:cstheme="minorHAnsi"/>
          <w:spacing w:val="-11"/>
        </w:rPr>
        <w:t xml:space="preserve"> </w:t>
      </w:r>
      <w:r w:rsidR="00BA4592" w:rsidRPr="009A0DA6">
        <w:rPr>
          <w:rFonts w:ascii="Cambria" w:eastAsia="Times New Roman" w:hAnsi="Cambria" w:cstheme="minorHAnsi"/>
          <w:spacing w:val="1"/>
        </w:rPr>
        <w:t>r</w:t>
      </w:r>
      <w:r w:rsidR="00BA4592" w:rsidRPr="009A0DA6">
        <w:rPr>
          <w:rFonts w:ascii="Cambria" w:eastAsia="Times New Roman" w:hAnsi="Cambria" w:cstheme="minorHAnsi"/>
        </w:rPr>
        <w:t>ates</w:t>
      </w:r>
      <w:r w:rsidR="00BA4592" w:rsidRPr="009A0DA6">
        <w:rPr>
          <w:rFonts w:ascii="Cambria" w:eastAsia="Times New Roman" w:hAnsi="Cambria" w:cstheme="minorHAnsi"/>
          <w:spacing w:val="-4"/>
        </w:rPr>
        <w:t xml:space="preserve"> </w:t>
      </w:r>
      <w:r w:rsidR="00BA4592" w:rsidRPr="009A0DA6">
        <w:rPr>
          <w:rFonts w:ascii="Cambria" w:eastAsia="Times New Roman" w:hAnsi="Cambria" w:cstheme="minorHAnsi"/>
          <w:spacing w:val="-1"/>
        </w:rPr>
        <w:t>us</w:t>
      </w:r>
      <w:r w:rsidR="00BA4592" w:rsidRPr="009A0DA6">
        <w:rPr>
          <w:rFonts w:ascii="Cambria" w:eastAsia="Times New Roman" w:hAnsi="Cambria" w:cstheme="minorHAnsi"/>
        </w:rPr>
        <w:t xml:space="preserve">ed </w:t>
      </w:r>
      <w:r w:rsidR="00BA4592" w:rsidRPr="009A0DA6">
        <w:rPr>
          <w:rFonts w:ascii="Cambria" w:eastAsia="Times New Roman" w:hAnsi="Cambria" w:cstheme="minorHAnsi"/>
          <w:spacing w:val="-1"/>
        </w:rPr>
        <w:t>f</w:t>
      </w:r>
      <w:r w:rsidR="00BA4592" w:rsidRPr="009A0DA6">
        <w:rPr>
          <w:rFonts w:ascii="Cambria" w:eastAsia="Times New Roman" w:hAnsi="Cambria" w:cstheme="minorHAnsi"/>
          <w:spacing w:val="1"/>
        </w:rPr>
        <w:t>o</w:t>
      </w:r>
      <w:r w:rsidR="00BA4592" w:rsidRPr="009A0DA6">
        <w:rPr>
          <w:rFonts w:ascii="Cambria" w:eastAsia="Times New Roman" w:hAnsi="Cambria" w:cstheme="minorHAnsi"/>
        </w:rPr>
        <w:t>r</w:t>
      </w:r>
      <w:r w:rsidR="00BA4592" w:rsidRPr="009A0DA6">
        <w:rPr>
          <w:rFonts w:ascii="Cambria" w:eastAsia="Times New Roman" w:hAnsi="Cambria" w:cstheme="minorHAnsi"/>
          <w:spacing w:val="-1"/>
        </w:rPr>
        <w:t xml:space="preserve"> </w:t>
      </w:r>
      <w:r w:rsidR="00BA4592" w:rsidRPr="009A0DA6">
        <w:rPr>
          <w:rFonts w:ascii="Cambria" w:eastAsia="Times New Roman" w:hAnsi="Cambria" w:cstheme="minorHAnsi"/>
        </w:rPr>
        <w:t>each</w:t>
      </w:r>
      <w:r w:rsidR="00BA4592" w:rsidRPr="009A0DA6">
        <w:rPr>
          <w:rFonts w:ascii="Cambria" w:eastAsia="Times New Roman" w:hAnsi="Cambria" w:cstheme="minorHAnsi"/>
          <w:spacing w:val="-5"/>
        </w:rPr>
        <w:t xml:space="preserve"> </w:t>
      </w:r>
      <w:r w:rsidR="00BA4592" w:rsidRPr="009A0DA6">
        <w:rPr>
          <w:rFonts w:ascii="Cambria" w:eastAsia="Times New Roman" w:hAnsi="Cambria" w:cstheme="minorHAnsi"/>
        </w:rPr>
        <w:t>cla</w:t>
      </w:r>
      <w:r w:rsidR="00BA4592" w:rsidRPr="009A0DA6">
        <w:rPr>
          <w:rFonts w:ascii="Cambria" w:eastAsia="Times New Roman" w:hAnsi="Cambria" w:cstheme="minorHAnsi"/>
          <w:spacing w:val="-1"/>
        </w:rPr>
        <w:t>s</w:t>
      </w:r>
      <w:r w:rsidR="00BA4592" w:rsidRPr="009A0DA6">
        <w:rPr>
          <w:rFonts w:ascii="Cambria" w:eastAsia="Times New Roman" w:hAnsi="Cambria" w:cstheme="minorHAnsi"/>
        </w:rPr>
        <w:t>s</w:t>
      </w:r>
      <w:r w:rsidR="00BA4592" w:rsidRPr="009A0DA6">
        <w:rPr>
          <w:rFonts w:ascii="Cambria" w:eastAsia="Times New Roman" w:hAnsi="Cambria" w:cstheme="minorHAnsi"/>
          <w:spacing w:val="-4"/>
        </w:rPr>
        <w:t xml:space="preserve"> </w:t>
      </w:r>
      <w:r w:rsidR="00BA4592" w:rsidRPr="009A0DA6">
        <w:rPr>
          <w:rFonts w:ascii="Cambria" w:eastAsia="Times New Roman" w:hAnsi="Cambria" w:cstheme="minorHAnsi"/>
          <w:spacing w:val="1"/>
        </w:rPr>
        <w:t>o</w:t>
      </w:r>
      <w:r w:rsidR="00BA4592" w:rsidRPr="009A0DA6">
        <w:rPr>
          <w:rFonts w:ascii="Cambria" w:eastAsia="Times New Roman" w:hAnsi="Cambria" w:cstheme="minorHAnsi"/>
        </w:rPr>
        <w:t>f</w:t>
      </w:r>
      <w:r w:rsidR="00BA4592" w:rsidRPr="009A0DA6">
        <w:rPr>
          <w:rFonts w:ascii="Cambria" w:eastAsia="Times New Roman" w:hAnsi="Cambria" w:cstheme="minorHAnsi"/>
          <w:spacing w:val="-3"/>
        </w:rPr>
        <w:t xml:space="preserve"> </w:t>
      </w:r>
      <w:r w:rsidR="00BA4592" w:rsidRPr="009A0DA6">
        <w:rPr>
          <w:rFonts w:ascii="Cambria" w:eastAsia="Times New Roman" w:hAnsi="Cambria" w:cstheme="minorHAnsi"/>
          <w:spacing w:val="1"/>
        </w:rPr>
        <w:t>d</w:t>
      </w:r>
      <w:r w:rsidR="00BA4592" w:rsidRPr="009A0DA6">
        <w:rPr>
          <w:rFonts w:ascii="Cambria" w:eastAsia="Times New Roman" w:hAnsi="Cambria" w:cstheme="minorHAnsi"/>
        </w:rPr>
        <w:t>e</w:t>
      </w:r>
      <w:r w:rsidR="00BA4592" w:rsidRPr="009A0DA6">
        <w:rPr>
          <w:rFonts w:ascii="Cambria" w:eastAsia="Times New Roman" w:hAnsi="Cambria" w:cstheme="minorHAnsi"/>
          <w:spacing w:val="1"/>
        </w:rPr>
        <w:t>pr</w:t>
      </w:r>
      <w:r w:rsidR="00BA4592" w:rsidRPr="009A0DA6">
        <w:rPr>
          <w:rFonts w:ascii="Cambria" w:eastAsia="Times New Roman" w:hAnsi="Cambria" w:cstheme="minorHAnsi"/>
        </w:rPr>
        <w:t>ecia</w:t>
      </w:r>
      <w:r w:rsidR="00BA4592" w:rsidRPr="009A0DA6">
        <w:rPr>
          <w:rFonts w:ascii="Cambria" w:eastAsia="Times New Roman" w:hAnsi="Cambria" w:cstheme="minorHAnsi"/>
          <w:spacing w:val="1"/>
        </w:rPr>
        <w:t>b</w:t>
      </w:r>
      <w:r w:rsidR="00BA4592" w:rsidRPr="009A0DA6">
        <w:rPr>
          <w:rFonts w:ascii="Cambria" w:eastAsia="Times New Roman" w:hAnsi="Cambria" w:cstheme="minorHAnsi"/>
        </w:rPr>
        <w:t>le</w:t>
      </w:r>
      <w:r w:rsidR="00BA4592" w:rsidRPr="009A0DA6">
        <w:rPr>
          <w:rFonts w:ascii="Cambria" w:eastAsia="Times New Roman" w:hAnsi="Cambria" w:cstheme="minorHAnsi"/>
          <w:spacing w:val="-8"/>
        </w:rPr>
        <w:t xml:space="preserve"> </w:t>
      </w:r>
      <w:r w:rsidR="00BA4592" w:rsidRPr="009A0DA6">
        <w:rPr>
          <w:rFonts w:ascii="Cambria" w:eastAsia="Times New Roman" w:hAnsi="Cambria" w:cstheme="minorHAnsi"/>
        </w:rPr>
        <w:t>a</w:t>
      </w:r>
      <w:r w:rsidR="00BA4592" w:rsidRPr="009A0DA6">
        <w:rPr>
          <w:rFonts w:ascii="Cambria" w:eastAsia="Times New Roman" w:hAnsi="Cambria" w:cstheme="minorHAnsi"/>
          <w:spacing w:val="-1"/>
        </w:rPr>
        <w:t>s</w:t>
      </w:r>
      <w:r w:rsidR="00BA4592" w:rsidRPr="009A0DA6">
        <w:rPr>
          <w:rFonts w:ascii="Cambria" w:eastAsia="Times New Roman" w:hAnsi="Cambria" w:cstheme="minorHAnsi"/>
          <w:spacing w:val="2"/>
        </w:rPr>
        <w:t>s</w:t>
      </w:r>
      <w:r w:rsidR="00BA4592" w:rsidRPr="009A0DA6">
        <w:rPr>
          <w:rFonts w:ascii="Cambria" w:eastAsia="Times New Roman" w:hAnsi="Cambria" w:cstheme="minorHAnsi"/>
        </w:rPr>
        <w:t>ets</w:t>
      </w:r>
      <w:r w:rsidR="00BA4592" w:rsidRPr="009A0DA6">
        <w:rPr>
          <w:rFonts w:ascii="Cambria" w:eastAsia="Times New Roman" w:hAnsi="Cambria" w:cstheme="minorHAnsi"/>
          <w:spacing w:val="-5"/>
        </w:rPr>
        <w:t xml:space="preserve"> </w:t>
      </w:r>
      <w:r w:rsidR="00BA4592" w:rsidRPr="009A0DA6">
        <w:rPr>
          <w:rFonts w:ascii="Cambria" w:eastAsia="Times New Roman" w:hAnsi="Cambria" w:cstheme="minorHAnsi"/>
        </w:rPr>
        <w:t>a</w:t>
      </w:r>
      <w:r w:rsidR="00BA4592" w:rsidRPr="009A0DA6">
        <w:rPr>
          <w:rFonts w:ascii="Cambria" w:eastAsia="Times New Roman" w:hAnsi="Cambria" w:cstheme="minorHAnsi"/>
          <w:spacing w:val="1"/>
        </w:rPr>
        <w:t>r</w:t>
      </w:r>
      <w:r w:rsidR="00BA4592" w:rsidRPr="009A0DA6">
        <w:rPr>
          <w:rFonts w:ascii="Cambria" w:eastAsia="Times New Roman" w:hAnsi="Cambria" w:cstheme="minorHAnsi"/>
        </w:rPr>
        <w:t>e:</w:t>
      </w:r>
    </w:p>
    <w:p w14:paraId="6CA03545" w14:textId="77777777" w:rsidR="00BA4592" w:rsidRPr="009A0DA6" w:rsidRDefault="00BA4592" w:rsidP="00BA4592">
      <w:pPr>
        <w:tabs>
          <w:tab w:val="center" w:pos="4253"/>
          <w:tab w:val="right" w:pos="6095"/>
          <w:tab w:val="right" w:pos="7371"/>
          <w:tab w:val="right" w:pos="8647"/>
        </w:tabs>
        <w:spacing w:before="120" w:after="120" w:line="240" w:lineRule="auto"/>
        <w:ind w:right="-51"/>
        <w:contextualSpacing/>
        <w:rPr>
          <w:rFonts w:ascii="Cambria" w:eastAsia="Times New Roman" w:hAnsi="Cambria" w:cstheme="minorHAnsi"/>
        </w:rPr>
      </w:pPr>
      <w:r w:rsidRPr="009A0DA6">
        <w:rPr>
          <w:rFonts w:ascii="Cambria" w:eastAsia="Times New Roman" w:hAnsi="Cambria" w:cstheme="minorHAnsi"/>
        </w:rPr>
        <w:t>Cl</w:t>
      </w:r>
      <w:r w:rsidRPr="009A0DA6">
        <w:rPr>
          <w:rFonts w:ascii="Cambria" w:eastAsia="Times New Roman" w:hAnsi="Cambria" w:cstheme="minorHAnsi"/>
          <w:spacing w:val="1"/>
        </w:rPr>
        <w:t>a</w:t>
      </w:r>
      <w:r w:rsidRPr="009A0DA6">
        <w:rPr>
          <w:rFonts w:ascii="Cambria" w:eastAsia="Times New Roman" w:hAnsi="Cambria" w:cstheme="minorHAnsi"/>
          <w:spacing w:val="-1"/>
        </w:rPr>
        <w:t>s</w:t>
      </w:r>
      <w:r w:rsidRPr="009A0DA6">
        <w:rPr>
          <w:rFonts w:ascii="Cambria" w:eastAsia="Times New Roman" w:hAnsi="Cambria" w:cstheme="minorHAnsi"/>
        </w:rPr>
        <w:t>s</w:t>
      </w:r>
      <w:r w:rsidRPr="009A0DA6">
        <w:rPr>
          <w:rFonts w:ascii="Cambria" w:eastAsia="Times New Roman" w:hAnsi="Cambria" w:cstheme="minorHAnsi"/>
          <w:spacing w:val="18"/>
        </w:rPr>
        <w:t xml:space="preserve"> </w:t>
      </w:r>
      <w:r w:rsidRPr="009A0DA6">
        <w:rPr>
          <w:rFonts w:ascii="Cambria" w:eastAsia="Times New Roman" w:hAnsi="Cambria" w:cstheme="minorHAnsi"/>
          <w:spacing w:val="1"/>
        </w:rPr>
        <w:t>o</w:t>
      </w:r>
      <w:r w:rsidRPr="009A0DA6">
        <w:rPr>
          <w:rFonts w:ascii="Cambria" w:eastAsia="Times New Roman" w:hAnsi="Cambria" w:cstheme="minorHAnsi"/>
        </w:rPr>
        <w:t>f</w:t>
      </w:r>
      <w:r w:rsidRPr="009A0DA6">
        <w:rPr>
          <w:rFonts w:ascii="Cambria" w:eastAsia="Times New Roman" w:hAnsi="Cambria" w:cstheme="minorHAnsi"/>
          <w:spacing w:val="-1"/>
        </w:rPr>
        <w:t xml:space="preserve"> </w:t>
      </w:r>
      <w:r w:rsidRPr="009A0DA6">
        <w:rPr>
          <w:rFonts w:ascii="Cambria" w:eastAsia="Times New Roman" w:hAnsi="Cambria" w:cstheme="minorHAnsi"/>
          <w:spacing w:val="1"/>
        </w:rPr>
        <w:t>f</w:t>
      </w:r>
      <w:r w:rsidRPr="009A0DA6">
        <w:rPr>
          <w:rFonts w:ascii="Cambria" w:eastAsia="Times New Roman" w:hAnsi="Cambria" w:cstheme="minorHAnsi"/>
        </w:rPr>
        <w:t>i</w:t>
      </w:r>
      <w:r w:rsidRPr="009A0DA6">
        <w:rPr>
          <w:rFonts w:ascii="Cambria" w:eastAsia="Times New Roman" w:hAnsi="Cambria" w:cstheme="minorHAnsi"/>
          <w:spacing w:val="-1"/>
        </w:rPr>
        <w:t>x</w:t>
      </w:r>
      <w:r w:rsidRPr="009A0DA6">
        <w:rPr>
          <w:rFonts w:ascii="Cambria" w:eastAsia="Times New Roman" w:hAnsi="Cambria" w:cstheme="minorHAnsi"/>
        </w:rPr>
        <w:t>ed</w:t>
      </w:r>
      <w:r w:rsidRPr="009A0DA6">
        <w:rPr>
          <w:rFonts w:ascii="Cambria" w:eastAsia="Times New Roman" w:hAnsi="Cambria" w:cstheme="minorHAnsi"/>
          <w:spacing w:val="7"/>
        </w:rPr>
        <w:t xml:space="preserve"> </w:t>
      </w:r>
      <w:r w:rsidRPr="009A0DA6">
        <w:rPr>
          <w:rFonts w:ascii="Cambria" w:eastAsia="Times New Roman" w:hAnsi="Cambria" w:cstheme="minorHAnsi"/>
          <w:spacing w:val="1"/>
        </w:rPr>
        <w:t>a</w:t>
      </w:r>
      <w:r w:rsidRPr="009A0DA6">
        <w:rPr>
          <w:rFonts w:ascii="Cambria" w:eastAsia="Times New Roman" w:hAnsi="Cambria" w:cstheme="minorHAnsi"/>
          <w:spacing w:val="-1"/>
        </w:rPr>
        <w:t>ss</w:t>
      </w:r>
      <w:r w:rsidRPr="009A0DA6">
        <w:rPr>
          <w:rFonts w:ascii="Cambria" w:eastAsia="Times New Roman" w:hAnsi="Cambria" w:cstheme="minorHAnsi"/>
        </w:rPr>
        <w:t>et</w:t>
      </w:r>
      <w:r w:rsidRPr="009A0DA6">
        <w:rPr>
          <w:rFonts w:ascii="Cambria" w:eastAsia="Times New Roman" w:hAnsi="Cambria" w:cstheme="minorHAnsi"/>
          <w:spacing w:val="24"/>
        </w:rPr>
        <w:tab/>
      </w:r>
      <w:r w:rsidRPr="009A0DA6">
        <w:rPr>
          <w:rFonts w:ascii="Cambria" w:eastAsia="Times New Roman" w:hAnsi="Cambria" w:cstheme="minorHAnsi"/>
          <w:w w:val="99"/>
        </w:rPr>
        <w:t>De</w:t>
      </w:r>
      <w:r w:rsidRPr="009A0DA6">
        <w:rPr>
          <w:rFonts w:ascii="Cambria" w:eastAsia="Times New Roman" w:hAnsi="Cambria" w:cstheme="minorHAnsi"/>
          <w:w w:val="110"/>
        </w:rPr>
        <w:t>p</w:t>
      </w:r>
      <w:r w:rsidRPr="009A0DA6">
        <w:rPr>
          <w:rFonts w:ascii="Cambria" w:eastAsia="Times New Roman" w:hAnsi="Cambria" w:cstheme="minorHAnsi"/>
          <w:w w:val="132"/>
        </w:rPr>
        <w:t>r</w:t>
      </w:r>
      <w:r w:rsidRPr="009A0DA6">
        <w:rPr>
          <w:rFonts w:ascii="Cambria" w:eastAsia="Times New Roman" w:hAnsi="Cambria" w:cstheme="minorHAnsi"/>
          <w:w w:val="99"/>
        </w:rPr>
        <w:t>eci</w:t>
      </w:r>
      <w:r w:rsidRPr="009A0DA6">
        <w:rPr>
          <w:rFonts w:ascii="Cambria" w:eastAsia="Times New Roman" w:hAnsi="Cambria" w:cstheme="minorHAnsi"/>
          <w:spacing w:val="1"/>
          <w:w w:val="112"/>
        </w:rPr>
        <w:t>a</w:t>
      </w:r>
      <w:r w:rsidRPr="009A0DA6">
        <w:rPr>
          <w:rFonts w:ascii="Cambria" w:eastAsia="Times New Roman" w:hAnsi="Cambria" w:cstheme="minorHAnsi"/>
          <w:spacing w:val="1"/>
          <w:w w:val="119"/>
        </w:rPr>
        <w:t>t</w:t>
      </w:r>
      <w:r w:rsidRPr="009A0DA6">
        <w:rPr>
          <w:rFonts w:ascii="Cambria" w:eastAsia="Times New Roman" w:hAnsi="Cambria" w:cstheme="minorHAnsi"/>
          <w:w w:val="99"/>
        </w:rPr>
        <w:t>i</w:t>
      </w:r>
      <w:r w:rsidRPr="009A0DA6">
        <w:rPr>
          <w:rFonts w:ascii="Cambria" w:eastAsia="Times New Roman" w:hAnsi="Cambria" w:cstheme="minorHAnsi"/>
          <w:spacing w:val="1"/>
          <w:w w:val="99"/>
        </w:rPr>
        <w:t>o</w:t>
      </w:r>
      <w:r w:rsidRPr="009A0DA6">
        <w:rPr>
          <w:rFonts w:ascii="Cambria" w:eastAsia="Times New Roman" w:hAnsi="Cambria" w:cstheme="minorHAnsi"/>
          <w:w w:val="110"/>
        </w:rPr>
        <w:t>n</w:t>
      </w:r>
      <w:r w:rsidRPr="009A0DA6">
        <w:rPr>
          <w:rFonts w:ascii="Cambria" w:eastAsia="Times New Roman" w:hAnsi="Cambria" w:cstheme="minorHAnsi"/>
        </w:rPr>
        <w:t xml:space="preserve"> </w:t>
      </w:r>
      <w:r w:rsidRPr="009A0DA6">
        <w:rPr>
          <w:rFonts w:ascii="Cambria" w:eastAsia="Times New Roman" w:hAnsi="Cambria" w:cstheme="minorHAnsi"/>
          <w:w w:val="132"/>
        </w:rPr>
        <w:t>r</w:t>
      </w:r>
      <w:r w:rsidRPr="009A0DA6">
        <w:rPr>
          <w:rFonts w:ascii="Cambria" w:eastAsia="Times New Roman" w:hAnsi="Cambria" w:cstheme="minorHAnsi"/>
          <w:spacing w:val="1"/>
          <w:w w:val="112"/>
        </w:rPr>
        <w:t>a</w:t>
      </w:r>
      <w:r w:rsidRPr="009A0DA6">
        <w:rPr>
          <w:rFonts w:ascii="Cambria" w:eastAsia="Times New Roman" w:hAnsi="Cambria" w:cstheme="minorHAnsi"/>
          <w:spacing w:val="1"/>
          <w:w w:val="119"/>
        </w:rPr>
        <w:t>t</w:t>
      </w:r>
      <w:r w:rsidRPr="009A0DA6">
        <w:rPr>
          <w:rFonts w:ascii="Cambria" w:eastAsia="Times New Roman" w:hAnsi="Cambria" w:cstheme="minorHAnsi"/>
          <w:w w:val="99"/>
        </w:rPr>
        <w:t>e</w:t>
      </w:r>
    </w:p>
    <w:p w14:paraId="592887A2" w14:textId="77777777" w:rsidR="00BA4592" w:rsidRPr="009A0DA6" w:rsidRDefault="00BA4592" w:rsidP="00BA4592">
      <w:pPr>
        <w:tabs>
          <w:tab w:val="center" w:pos="4394"/>
          <w:tab w:val="right" w:pos="6095"/>
          <w:tab w:val="right" w:pos="7371"/>
          <w:tab w:val="right" w:pos="8647"/>
        </w:tabs>
        <w:spacing w:before="120" w:after="120" w:line="240" w:lineRule="auto"/>
        <w:ind w:right="-51"/>
        <w:contextualSpacing/>
        <w:rPr>
          <w:rFonts w:ascii="Cambria" w:eastAsia="Times New Roman" w:hAnsi="Cambria" w:cstheme="minorHAnsi"/>
        </w:rPr>
      </w:pPr>
      <w:r w:rsidRPr="009A0DA6">
        <w:rPr>
          <w:rFonts w:ascii="Cambria" w:eastAsia="Times New Roman" w:hAnsi="Cambria" w:cstheme="minorHAnsi"/>
          <w:spacing w:val="2"/>
        </w:rPr>
        <w:t>P</w:t>
      </w:r>
      <w:r w:rsidRPr="009A0DA6">
        <w:rPr>
          <w:rFonts w:ascii="Cambria" w:eastAsia="Times New Roman" w:hAnsi="Cambria" w:cstheme="minorHAnsi"/>
        </w:rPr>
        <w:t>la</w:t>
      </w:r>
      <w:r w:rsidRPr="009A0DA6">
        <w:rPr>
          <w:rFonts w:ascii="Cambria" w:eastAsia="Times New Roman" w:hAnsi="Cambria" w:cstheme="minorHAnsi"/>
          <w:spacing w:val="-1"/>
        </w:rPr>
        <w:t>n</w:t>
      </w:r>
      <w:r w:rsidRPr="009A0DA6">
        <w:rPr>
          <w:rFonts w:ascii="Cambria" w:eastAsia="Times New Roman" w:hAnsi="Cambria" w:cstheme="minorHAnsi"/>
        </w:rPr>
        <w:t>t</w:t>
      </w:r>
      <w:r w:rsidRPr="009A0DA6">
        <w:rPr>
          <w:rFonts w:ascii="Cambria" w:eastAsia="Times New Roman" w:hAnsi="Cambria" w:cstheme="minorHAnsi"/>
          <w:spacing w:val="-4"/>
        </w:rPr>
        <w:t xml:space="preserve"> </w:t>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spacing w:val="-1"/>
        </w:rPr>
        <w:t xml:space="preserve"> </w:t>
      </w:r>
      <w:r w:rsidRPr="009A0DA6">
        <w:rPr>
          <w:rFonts w:ascii="Cambria" w:eastAsia="Times New Roman" w:hAnsi="Cambria" w:cstheme="minorHAnsi"/>
        </w:rPr>
        <w:t>e</w:t>
      </w:r>
      <w:r w:rsidRPr="009A0DA6">
        <w:rPr>
          <w:rFonts w:ascii="Cambria" w:eastAsia="Times New Roman" w:hAnsi="Cambria" w:cstheme="minorHAnsi"/>
          <w:spacing w:val="1"/>
        </w:rPr>
        <w:t>q</w:t>
      </w:r>
      <w:r w:rsidRPr="009A0DA6">
        <w:rPr>
          <w:rFonts w:ascii="Cambria" w:eastAsia="Times New Roman" w:hAnsi="Cambria" w:cstheme="minorHAnsi"/>
          <w:spacing w:val="-1"/>
        </w:rPr>
        <w:t>u</w:t>
      </w:r>
      <w:r w:rsidRPr="009A0DA6">
        <w:rPr>
          <w:rFonts w:ascii="Cambria" w:eastAsia="Times New Roman" w:hAnsi="Cambria" w:cstheme="minorHAnsi"/>
        </w:rPr>
        <w:t>i</w:t>
      </w:r>
      <w:r w:rsidRPr="009A0DA6">
        <w:rPr>
          <w:rFonts w:ascii="Cambria" w:eastAsia="Times New Roman" w:hAnsi="Cambria" w:cstheme="minorHAnsi"/>
          <w:spacing w:val="4"/>
        </w:rPr>
        <w:t>p</w:t>
      </w:r>
      <w:r w:rsidRPr="009A0DA6">
        <w:rPr>
          <w:rFonts w:ascii="Cambria" w:eastAsia="Times New Roman" w:hAnsi="Cambria" w:cstheme="minorHAnsi"/>
          <w:spacing w:val="-4"/>
        </w:rPr>
        <w:t>m</w:t>
      </w:r>
      <w:r w:rsidRPr="009A0DA6">
        <w:rPr>
          <w:rFonts w:ascii="Cambria" w:eastAsia="Times New Roman" w:hAnsi="Cambria" w:cstheme="minorHAnsi"/>
          <w:spacing w:val="3"/>
        </w:rPr>
        <w:t>e</w:t>
      </w:r>
      <w:r w:rsidRPr="009A0DA6">
        <w:rPr>
          <w:rFonts w:ascii="Cambria" w:eastAsia="Times New Roman" w:hAnsi="Cambria" w:cstheme="minorHAnsi"/>
          <w:spacing w:val="-1"/>
        </w:rPr>
        <w:t>n</w:t>
      </w:r>
      <w:r w:rsidRPr="009A0DA6">
        <w:rPr>
          <w:rFonts w:ascii="Cambria" w:eastAsia="Times New Roman" w:hAnsi="Cambria" w:cstheme="minorHAnsi"/>
        </w:rPr>
        <w:t>t</w:t>
      </w:r>
      <w:r w:rsidRPr="009A0DA6">
        <w:rPr>
          <w:rFonts w:ascii="Cambria" w:eastAsia="Times New Roman" w:hAnsi="Cambria" w:cstheme="minorHAnsi"/>
        </w:rPr>
        <w:tab/>
      </w:r>
      <w:r w:rsidRPr="009A0DA6">
        <w:rPr>
          <w:rFonts w:ascii="Cambria" w:eastAsia="Times New Roman" w:hAnsi="Cambria" w:cstheme="minorHAnsi"/>
          <w:spacing w:val="1"/>
        </w:rPr>
        <w:t>10.0</w:t>
      </w:r>
      <w:r w:rsidRPr="009A0DA6">
        <w:rPr>
          <w:rFonts w:ascii="Cambria" w:eastAsia="Times New Roman" w:hAnsi="Cambria" w:cstheme="minorHAnsi"/>
        </w:rPr>
        <w:t xml:space="preserve">% </w:t>
      </w:r>
    </w:p>
    <w:p w14:paraId="02E83D87" w14:textId="77777777" w:rsidR="00BA4592" w:rsidRPr="009A0DA6" w:rsidRDefault="00BA4592" w:rsidP="00BA4592">
      <w:pPr>
        <w:tabs>
          <w:tab w:val="center" w:pos="4394"/>
          <w:tab w:val="right" w:pos="6095"/>
          <w:tab w:val="right" w:pos="7371"/>
          <w:tab w:val="right" w:pos="8647"/>
        </w:tabs>
        <w:spacing w:before="120" w:after="120" w:line="240" w:lineRule="auto"/>
        <w:ind w:right="-51"/>
        <w:contextualSpacing/>
        <w:rPr>
          <w:rFonts w:ascii="Cambria" w:eastAsia="Times New Roman" w:hAnsi="Cambria" w:cstheme="minorHAnsi"/>
        </w:rPr>
      </w:pPr>
      <w:r w:rsidRPr="009A0DA6">
        <w:rPr>
          <w:rFonts w:ascii="Cambria" w:eastAsia="Times New Roman" w:hAnsi="Cambria" w:cstheme="minorHAnsi"/>
        </w:rPr>
        <w:t>F</w:t>
      </w:r>
      <w:r w:rsidRPr="009A0DA6">
        <w:rPr>
          <w:rFonts w:ascii="Cambria" w:eastAsia="Times New Roman" w:hAnsi="Cambria" w:cstheme="minorHAnsi"/>
          <w:spacing w:val="-1"/>
        </w:rPr>
        <w:t>u</w:t>
      </w:r>
      <w:r w:rsidRPr="009A0DA6">
        <w:rPr>
          <w:rFonts w:ascii="Cambria" w:eastAsia="Times New Roman" w:hAnsi="Cambria" w:cstheme="minorHAnsi"/>
          <w:spacing w:val="1"/>
        </w:rPr>
        <w:t>rn</w:t>
      </w:r>
      <w:r w:rsidRPr="009A0DA6">
        <w:rPr>
          <w:rFonts w:ascii="Cambria" w:eastAsia="Times New Roman" w:hAnsi="Cambria" w:cstheme="minorHAnsi"/>
        </w:rPr>
        <w:t>it</w:t>
      </w:r>
      <w:r w:rsidRPr="009A0DA6">
        <w:rPr>
          <w:rFonts w:ascii="Cambria" w:eastAsia="Times New Roman" w:hAnsi="Cambria" w:cstheme="minorHAnsi"/>
          <w:spacing w:val="-1"/>
        </w:rPr>
        <w:t>u</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6"/>
        </w:rPr>
        <w:t xml:space="preserve"> </w:t>
      </w:r>
      <w:r w:rsidRPr="009A0DA6">
        <w:rPr>
          <w:rFonts w:ascii="Cambria" w:eastAsia="Times New Roman" w:hAnsi="Cambria" w:cstheme="minorHAnsi"/>
          <w:spacing w:val="3"/>
        </w:rPr>
        <w:t>a</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spacing w:val="-1"/>
        </w:rPr>
        <w:t xml:space="preserve"> f</w:t>
      </w:r>
      <w:r w:rsidRPr="009A0DA6">
        <w:rPr>
          <w:rFonts w:ascii="Cambria" w:eastAsia="Times New Roman" w:hAnsi="Cambria" w:cstheme="minorHAnsi"/>
        </w:rPr>
        <w:t>it</w:t>
      </w:r>
      <w:r w:rsidRPr="009A0DA6">
        <w:rPr>
          <w:rFonts w:ascii="Cambria" w:eastAsia="Times New Roman" w:hAnsi="Cambria" w:cstheme="minorHAnsi"/>
          <w:spacing w:val="2"/>
        </w:rPr>
        <w:t>t</w:t>
      </w:r>
      <w:r w:rsidRPr="009A0DA6">
        <w:rPr>
          <w:rFonts w:ascii="Cambria" w:eastAsia="Times New Roman" w:hAnsi="Cambria" w:cstheme="minorHAnsi"/>
        </w:rPr>
        <w:t>i</w:t>
      </w:r>
      <w:r w:rsidRPr="009A0DA6">
        <w:rPr>
          <w:rFonts w:ascii="Cambria" w:eastAsia="Times New Roman" w:hAnsi="Cambria" w:cstheme="minorHAnsi"/>
          <w:spacing w:val="1"/>
        </w:rPr>
        <w:t>n</w:t>
      </w:r>
      <w:r w:rsidRPr="009A0DA6">
        <w:rPr>
          <w:rFonts w:ascii="Cambria" w:eastAsia="Times New Roman" w:hAnsi="Cambria" w:cstheme="minorHAnsi"/>
          <w:spacing w:val="-1"/>
        </w:rPr>
        <w:t>g</w:t>
      </w:r>
      <w:r w:rsidRPr="009A0DA6">
        <w:rPr>
          <w:rFonts w:ascii="Cambria" w:eastAsia="Times New Roman" w:hAnsi="Cambria" w:cstheme="minorHAnsi"/>
        </w:rPr>
        <w:t>s</w:t>
      </w:r>
      <w:r w:rsidRPr="009A0DA6">
        <w:rPr>
          <w:rFonts w:ascii="Cambria" w:eastAsia="Times New Roman" w:hAnsi="Cambria" w:cstheme="minorHAnsi"/>
        </w:rPr>
        <w:tab/>
      </w:r>
      <w:r w:rsidRPr="009A0DA6">
        <w:rPr>
          <w:rFonts w:ascii="Cambria" w:eastAsia="Times New Roman" w:hAnsi="Cambria" w:cstheme="minorHAnsi"/>
          <w:spacing w:val="1"/>
        </w:rPr>
        <w:t>10.0</w:t>
      </w:r>
      <w:r w:rsidRPr="009A0DA6">
        <w:rPr>
          <w:rFonts w:ascii="Cambria" w:eastAsia="Times New Roman" w:hAnsi="Cambria" w:cstheme="minorHAnsi"/>
        </w:rPr>
        <w:t>%</w:t>
      </w:r>
    </w:p>
    <w:p w14:paraId="228D1832" w14:textId="14F50919" w:rsidR="00BA4592" w:rsidRPr="009A0DA6" w:rsidRDefault="00B81951" w:rsidP="00BA4592">
      <w:pPr>
        <w:tabs>
          <w:tab w:val="center" w:pos="4394"/>
          <w:tab w:val="right" w:pos="6095"/>
          <w:tab w:val="right" w:pos="7371"/>
          <w:tab w:val="right" w:pos="8647"/>
        </w:tabs>
        <w:spacing w:before="120" w:after="120" w:line="240" w:lineRule="auto"/>
        <w:ind w:right="-51"/>
        <w:contextualSpacing/>
        <w:rPr>
          <w:rFonts w:ascii="Cambria" w:eastAsia="Times New Roman" w:hAnsi="Cambria" w:cstheme="minorHAnsi"/>
          <w:b/>
        </w:rPr>
      </w:pPr>
      <w:r w:rsidRPr="007408EE">
        <w:rPr>
          <w:rFonts w:ascii="Cambria" w:eastAsia="Times New Roman" w:hAnsi="Cambria" w:cstheme="minorHAnsi"/>
          <w:i/>
          <w:w w:val="107"/>
          <w:sz w:val="10"/>
        </w:rPr>
        <w:br/>
      </w:r>
      <w:r w:rsidR="00BA4592" w:rsidRPr="009A0DA6">
        <w:rPr>
          <w:rFonts w:ascii="Cambria" w:eastAsia="Times New Roman" w:hAnsi="Cambria" w:cstheme="minorHAnsi"/>
          <w:b/>
          <w:w w:val="107"/>
        </w:rPr>
        <w:t>C</w:t>
      </w:r>
      <w:r w:rsidR="00BA4592" w:rsidRPr="009A0DA6">
        <w:rPr>
          <w:rFonts w:ascii="Cambria" w:eastAsia="Times New Roman" w:hAnsi="Cambria" w:cstheme="minorHAnsi"/>
          <w:b/>
          <w:spacing w:val="4"/>
          <w:w w:val="107"/>
        </w:rPr>
        <w:t>o</w:t>
      </w:r>
      <w:r w:rsidR="00BA4592" w:rsidRPr="009A0DA6">
        <w:rPr>
          <w:rFonts w:ascii="Cambria" w:eastAsia="Times New Roman" w:hAnsi="Cambria" w:cstheme="minorHAnsi"/>
          <w:b/>
          <w:spacing w:val="-3"/>
          <w:w w:val="107"/>
        </w:rPr>
        <w:t>m</w:t>
      </w:r>
      <w:r w:rsidR="00BA4592" w:rsidRPr="009A0DA6">
        <w:rPr>
          <w:rFonts w:ascii="Cambria" w:eastAsia="Times New Roman" w:hAnsi="Cambria" w:cstheme="minorHAnsi"/>
          <w:b/>
          <w:w w:val="107"/>
        </w:rPr>
        <w:t>p</w:t>
      </w:r>
      <w:r w:rsidR="00BA4592" w:rsidRPr="009A0DA6">
        <w:rPr>
          <w:rFonts w:ascii="Cambria" w:eastAsia="Times New Roman" w:hAnsi="Cambria" w:cstheme="minorHAnsi"/>
          <w:b/>
          <w:spacing w:val="1"/>
          <w:w w:val="107"/>
        </w:rPr>
        <w:t>a</w:t>
      </w:r>
      <w:r w:rsidR="00BA4592" w:rsidRPr="009A0DA6">
        <w:rPr>
          <w:rFonts w:ascii="Cambria" w:eastAsia="Times New Roman" w:hAnsi="Cambria" w:cstheme="minorHAnsi"/>
          <w:b/>
          <w:w w:val="107"/>
        </w:rPr>
        <w:t>r</w:t>
      </w:r>
      <w:r w:rsidR="00BA4592" w:rsidRPr="009A0DA6">
        <w:rPr>
          <w:rFonts w:ascii="Cambria" w:eastAsia="Times New Roman" w:hAnsi="Cambria" w:cstheme="minorHAnsi"/>
          <w:b/>
          <w:spacing w:val="1"/>
          <w:w w:val="107"/>
        </w:rPr>
        <w:t>at</w:t>
      </w:r>
      <w:r w:rsidR="00BA4592" w:rsidRPr="009A0DA6">
        <w:rPr>
          <w:rFonts w:ascii="Cambria" w:eastAsia="Times New Roman" w:hAnsi="Cambria" w:cstheme="minorHAnsi"/>
          <w:b/>
          <w:w w:val="107"/>
        </w:rPr>
        <w:t>i</w:t>
      </w:r>
      <w:r w:rsidR="00BA4592" w:rsidRPr="009A0DA6">
        <w:rPr>
          <w:rFonts w:ascii="Cambria" w:eastAsia="Times New Roman" w:hAnsi="Cambria" w:cstheme="minorHAnsi"/>
          <w:b/>
          <w:spacing w:val="1"/>
          <w:w w:val="107"/>
        </w:rPr>
        <w:t>v</w:t>
      </w:r>
      <w:r w:rsidR="00BA4592" w:rsidRPr="009A0DA6">
        <w:rPr>
          <w:rFonts w:ascii="Cambria" w:eastAsia="Times New Roman" w:hAnsi="Cambria" w:cstheme="minorHAnsi"/>
          <w:b/>
          <w:w w:val="107"/>
        </w:rPr>
        <w:t>e</w:t>
      </w:r>
      <w:r w:rsidR="00BA4592" w:rsidRPr="009A0DA6">
        <w:rPr>
          <w:rFonts w:ascii="Cambria" w:eastAsia="Times New Roman" w:hAnsi="Cambria" w:cstheme="minorHAnsi"/>
          <w:b/>
          <w:spacing w:val="3"/>
          <w:w w:val="107"/>
        </w:rPr>
        <w:t xml:space="preserve"> </w:t>
      </w:r>
      <w:r w:rsidR="00BA4592" w:rsidRPr="009A0DA6">
        <w:rPr>
          <w:rFonts w:ascii="Cambria" w:eastAsia="Times New Roman" w:hAnsi="Cambria" w:cstheme="minorHAnsi"/>
          <w:b/>
          <w:w w:val="99"/>
        </w:rPr>
        <w:t>i</w:t>
      </w:r>
      <w:r w:rsidR="00BA4592" w:rsidRPr="009A0DA6">
        <w:rPr>
          <w:rFonts w:ascii="Cambria" w:eastAsia="Times New Roman" w:hAnsi="Cambria" w:cstheme="minorHAnsi"/>
          <w:b/>
          <w:w w:val="110"/>
        </w:rPr>
        <w:t>n</w:t>
      </w:r>
      <w:r w:rsidR="00BA4592" w:rsidRPr="009A0DA6">
        <w:rPr>
          <w:rFonts w:ascii="Cambria" w:eastAsia="Times New Roman" w:hAnsi="Cambria" w:cstheme="minorHAnsi"/>
          <w:b/>
          <w:spacing w:val="1"/>
          <w:w w:val="99"/>
        </w:rPr>
        <w:t>fo</w:t>
      </w:r>
      <w:r w:rsidR="00BA4592" w:rsidRPr="009A0DA6">
        <w:rPr>
          <w:rFonts w:ascii="Cambria" w:eastAsia="Times New Roman" w:hAnsi="Cambria" w:cstheme="minorHAnsi"/>
          <w:b/>
          <w:spacing w:val="3"/>
          <w:w w:val="132"/>
        </w:rPr>
        <w:t>r</w:t>
      </w:r>
      <w:r w:rsidR="00BA4592" w:rsidRPr="009A0DA6">
        <w:rPr>
          <w:rFonts w:ascii="Cambria" w:eastAsia="Times New Roman" w:hAnsi="Cambria" w:cstheme="minorHAnsi"/>
          <w:b/>
          <w:spacing w:val="-5"/>
          <w:w w:val="106"/>
        </w:rPr>
        <w:t>m</w:t>
      </w:r>
      <w:r w:rsidR="00BA4592" w:rsidRPr="009A0DA6">
        <w:rPr>
          <w:rFonts w:ascii="Cambria" w:eastAsia="Times New Roman" w:hAnsi="Cambria" w:cstheme="minorHAnsi"/>
          <w:b/>
          <w:spacing w:val="1"/>
          <w:w w:val="112"/>
        </w:rPr>
        <w:t>a</w:t>
      </w:r>
      <w:r w:rsidR="00BA4592" w:rsidRPr="009A0DA6">
        <w:rPr>
          <w:rFonts w:ascii="Cambria" w:eastAsia="Times New Roman" w:hAnsi="Cambria" w:cstheme="minorHAnsi"/>
          <w:b/>
          <w:spacing w:val="1"/>
          <w:w w:val="119"/>
        </w:rPr>
        <w:t>t</w:t>
      </w:r>
      <w:r w:rsidR="00BA4592" w:rsidRPr="009A0DA6">
        <w:rPr>
          <w:rFonts w:ascii="Cambria" w:eastAsia="Times New Roman" w:hAnsi="Cambria" w:cstheme="minorHAnsi"/>
          <w:b/>
          <w:w w:val="99"/>
        </w:rPr>
        <w:t>i</w:t>
      </w:r>
      <w:r w:rsidR="00BA4592" w:rsidRPr="009A0DA6">
        <w:rPr>
          <w:rFonts w:ascii="Cambria" w:eastAsia="Times New Roman" w:hAnsi="Cambria" w:cstheme="minorHAnsi"/>
          <w:b/>
          <w:spacing w:val="1"/>
          <w:w w:val="99"/>
        </w:rPr>
        <w:t>o</w:t>
      </w:r>
      <w:r w:rsidR="00BA4592" w:rsidRPr="009A0DA6">
        <w:rPr>
          <w:rFonts w:ascii="Cambria" w:eastAsia="Times New Roman" w:hAnsi="Cambria" w:cstheme="minorHAnsi"/>
          <w:b/>
          <w:w w:val="110"/>
        </w:rPr>
        <w:t>n</w:t>
      </w:r>
    </w:p>
    <w:p w14:paraId="19E5F9D4" w14:textId="77777777" w:rsidR="00BA4592" w:rsidRPr="009A0DA6" w:rsidRDefault="00BA4592" w:rsidP="00BA4592">
      <w:pPr>
        <w:tabs>
          <w:tab w:val="center" w:pos="4394"/>
          <w:tab w:val="right" w:pos="6095"/>
          <w:tab w:val="right" w:pos="7371"/>
          <w:tab w:val="right" w:pos="8647"/>
        </w:tabs>
        <w:spacing w:before="120" w:after="120" w:line="240" w:lineRule="auto"/>
        <w:ind w:right="-51"/>
        <w:contextualSpacing/>
        <w:rPr>
          <w:rFonts w:ascii="Cambria" w:eastAsia="Times New Roman" w:hAnsi="Cambria" w:cstheme="minorHAnsi"/>
        </w:rPr>
      </w:pPr>
      <w:r w:rsidRPr="009A0DA6">
        <w:rPr>
          <w:rFonts w:ascii="Cambria" w:eastAsia="Times New Roman" w:hAnsi="Cambria" w:cstheme="minorHAnsi"/>
          <w:spacing w:val="2"/>
        </w:rPr>
        <w:t>W</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2"/>
        </w:rPr>
        <w:t xml:space="preserve"> </w:t>
      </w:r>
      <w:r w:rsidRPr="009A0DA6">
        <w:rPr>
          <w:rFonts w:ascii="Cambria" w:eastAsia="Times New Roman" w:hAnsi="Cambria" w:cstheme="minorHAnsi"/>
          <w:spacing w:val="-1"/>
        </w:rPr>
        <w:t>n</w:t>
      </w:r>
      <w:r w:rsidRPr="009A0DA6">
        <w:rPr>
          <w:rFonts w:ascii="Cambria" w:eastAsia="Times New Roman" w:hAnsi="Cambria" w:cstheme="minorHAnsi"/>
        </w:rPr>
        <w:t>ece</w:t>
      </w:r>
      <w:r w:rsidRPr="009A0DA6">
        <w:rPr>
          <w:rFonts w:ascii="Cambria" w:eastAsia="Times New Roman" w:hAnsi="Cambria" w:cstheme="minorHAnsi"/>
          <w:spacing w:val="-1"/>
        </w:rPr>
        <w:t>ss</w:t>
      </w:r>
      <w:r w:rsidRPr="009A0DA6">
        <w:rPr>
          <w:rFonts w:ascii="Cambria" w:eastAsia="Times New Roman" w:hAnsi="Cambria" w:cstheme="minorHAnsi"/>
        </w:rPr>
        <w:t>a</w:t>
      </w:r>
      <w:r w:rsidRPr="009A0DA6">
        <w:rPr>
          <w:rFonts w:ascii="Cambria" w:eastAsia="Times New Roman" w:hAnsi="Cambria" w:cstheme="minorHAnsi"/>
          <w:spacing w:val="3"/>
        </w:rPr>
        <w:t>r</w:t>
      </w:r>
      <w:r w:rsidRPr="009A0DA6">
        <w:rPr>
          <w:rFonts w:ascii="Cambria" w:eastAsia="Times New Roman" w:hAnsi="Cambria" w:cstheme="minorHAnsi"/>
          <w:spacing w:val="-4"/>
        </w:rPr>
        <w:t>y</w:t>
      </w:r>
      <w:r w:rsidRPr="009A0DA6">
        <w:rPr>
          <w:rFonts w:ascii="Cambria" w:eastAsia="Times New Roman" w:hAnsi="Cambria" w:cstheme="minorHAnsi"/>
        </w:rPr>
        <w:t>,</w:t>
      </w:r>
      <w:r w:rsidRPr="009A0DA6">
        <w:rPr>
          <w:rFonts w:ascii="Cambria" w:eastAsia="Times New Roman" w:hAnsi="Cambria" w:cstheme="minorHAnsi"/>
          <w:spacing w:val="-5"/>
        </w:rPr>
        <w:t xml:space="preserve"> </w:t>
      </w:r>
      <w:r w:rsidRPr="009A0DA6">
        <w:rPr>
          <w:rFonts w:ascii="Cambria" w:eastAsia="Times New Roman" w:hAnsi="Cambria" w:cstheme="minorHAnsi"/>
        </w:rPr>
        <w:t>c</w:t>
      </w:r>
      <w:r w:rsidRPr="009A0DA6">
        <w:rPr>
          <w:rFonts w:ascii="Cambria" w:eastAsia="Times New Roman" w:hAnsi="Cambria" w:cstheme="minorHAnsi"/>
          <w:spacing w:val="4"/>
        </w:rPr>
        <w:t>o</w:t>
      </w:r>
      <w:r w:rsidRPr="009A0DA6">
        <w:rPr>
          <w:rFonts w:ascii="Cambria" w:eastAsia="Times New Roman" w:hAnsi="Cambria" w:cstheme="minorHAnsi"/>
          <w:spacing w:val="-4"/>
        </w:rPr>
        <w:t>m</w:t>
      </w:r>
      <w:r w:rsidRPr="009A0DA6">
        <w:rPr>
          <w:rFonts w:ascii="Cambria" w:eastAsia="Times New Roman" w:hAnsi="Cambria" w:cstheme="minorHAnsi"/>
          <w:spacing w:val="1"/>
        </w:rPr>
        <w:t>p</w:t>
      </w:r>
      <w:r w:rsidRPr="009A0DA6">
        <w:rPr>
          <w:rFonts w:ascii="Cambria" w:eastAsia="Times New Roman" w:hAnsi="Cambria" w:cstheme="minorHAnsi"/>
        </w:rPr>
        <w:t>a</w:t>
      </w:r>
      <w:r w:rsidRPr="009A0DA6">
        <w:rPr>
          <w:rFonts w:ascii="Cambria" w:eastAsia="Times New Roman" w:hAnsi="Cambria" w:cstheme="minorHAnsi"/>
          <w:spacing w:val="1"/>
        </w:rPr>
        <w:t>r</w:t>
      </w:r>
      <w:r w:rsidRPr="009A0DA6">
        <w:rPr>
          <w:rFonts w:ascii="Cambria" w:eastAsia="Times New Roman" w:hAnsi="Cambria" w:cstheme="minorHAnsi"/>
        </w:rPr>
        <w:t>at</w:t>
      </w:r>
      <w:r w:rsidRPr="009A0DA6">
        <w:rPr>
          <w:rFonts w:ascii="Cambria" w:eastAsia="Times New Roman" w:hAnsi="Cambria" w:cstheme="minorHAnsi"/>
          <w:spacing w:val="2"/>
        </w:rPr>
        <w:t>i</w:t>
      </w:r>
      <w:r w:rsidRPr="009A0DA6">
        <w:rPr>
          <w:rFonts w:ascii="Cambria" w:eastAsia="Times New Roman" w:hAnsi="Cambria" w:cstheme="minorHAnsi"/>
          <w:spacing w:val="-1"/>
        </w:rPr>
        <w:t>v</w:t>
      </w:r>
      <w:r w:rsidRPr="009A0DA6">
        <w:rPr>
          <w:rFonts w:ascii="Cambria" w:eastAsia="Times New Roman" w:hAnsi="Cambria" w:cstheme="minorHAnsi"/>
        </w:rPr>
        <w:t>e</w:t>
      </w:r>
      <w:r w:rsidRPr="009A0DA6">
        <w:rPr>
          <w:rFonts w:ascii="Cambria" w:eastAsia="Times New Roman" w:hAnsi="Cambria" w:cstheme="minorHAnsi"/>
          <w:spacing w:val="-4"/>
        </w:rPr>
        <w:t xml:space="preserve"> </w:t>
      </w:r>
      <w:r w:rsidRPr="009A0DA6">
        <w:rPr>
          <w:rFonts w:ascii="Cambria" w:eastAsia="Times New Roman" w:hAnsi="Cambria" w:cstheme="minorHAnsi"/>
          <w:spacing w:val="-1"/>
        </w:rPr>
        <w:t>f</w:t>
      </w:r>
      <w:r w:rsidRPr="009A0DA6">
        <w:rPr>
          <w:rFonts w:ascii="Cambria" w:eastAsia="Times New Roman" w:hAnsi="Cambria" w:cstheme="minorHAnsi"/>
        </w:rPr>
        <w:t>i</w:t>
      </w:r>
      <w:r w:rsidRPr="009A0DA6">
        <w:rPr>
          <w:rFonts w:ascii="Cambria" w:eastAsia="Times New Roman" w:hAnsi="Cambria" w:cstheme="minorHAnsi"/>
          <w:spacing w:val="1"/>
        </w:rPr>
        <w:t>g</w:t>
      </w:r>
      <w:r w:rsidRPr="009A0DA6">
        <w:rPr>
          <w:rFonts w:ascii="Cambria" w:eastAsia="Times New Roman" w:hAnsi="Cambria" w:cstheme="minorHAnsi"/>
          <w:spacing w:val="-1"/>
        </w:rPr>
        <w:t>u</w:t>
      </w:r>
      <w:r w:rsidRPr="009A0DA6">
        <w:rPr>
          <w:rFonts w:ascii="Cambria" w:eastAsia="Times New Roman" w:hAnsi="Cambria" w:cstheme="minorHAnsi"/>
          <w:spacing w:val="1"/>
        </w:rPr>
        <w:t>r</w:t>
      </w:r>
      <w:r w:rsidRPr="009A0DA6">
        <w:rPr>
          <w:rFonts w:ascii="Cambria" w:eastAsia="Times New Roman" w:hAnsi="Cambria" w:cstheme="minorHAnsi"/>
        </w:rPr>
        <w:t>es</w:t>
      </w:r>
      <w:r w:rsidRPr="009A0DA6">
        <w:rPr>
          <w:rFonts w:ascii="Cambria" w:eastAsia="Times New Roman" w:hAnsi="Cambria" w:cstheme="minorHAnsi"/>
          <w:spacing w:val="-4"/>
        </w:rPr>
        <w:t xml:space="preserve"> </w:t>
      </w:r>
      <w:r w:rsidRPr="009A0DA6">
        <w:rPr>
          <w:rFonts w:ascii="Cambria" w:eastAsia="Times New Roman" w:hAnsi="Cambria" w:cstheme="minorHAnsi"/>
          <w:spacing w:val="-1"/>
        </w:rPr>
        <w:t>h</w:t>
      </w:r>
      <w:r w:rsidRPr="009A0DA6">
        <w:rPr>
          <w:rFonts w:ascii="Cambria" w:eastAsia="Times New Roman" w:hAnsi="Cambria" w:cstheme="minorHAnsi"/>
          <w:spacing w:val="3"/>
        </w:rPr>
        <w:t>a</w:t>
      </w:r>
      <w:r w:rsidRPr="009A0DA6">
        <w:rPr>
          <w:rFonts w:ascii="Cambria" w:eastAsia="Times New Roman" w:hAnsi="Cambria" w:cstheme="minorHAnsi"/>
          <w:spacing w:val="-1"/>
        </w:rPr>
        <w:t>v</w:t>
      </w:r>
      <w:r w:rsidRPr="009A0DA6">
        <w:rPr>
          <w:rFonts w:ascii="Cambria" w:eastAsia="Times New Roman" w:hAnsi="Cambria" w:cstheme="minorHAnsi"/>
        </w:rPr>
        <w:t>e</w:t>
      </w:r>
      <w:r w:rsidRPr="009A0DA6">
        <w:rPr>
          <w:rFonts w:ascii="Cambria" w:eastAsia="Times New Roman" w:hAnsi="Cambria" w:cstheme="minorHAnsi"/>
          <w:spacing w:val="-1"/>
        </w:rPr>
        <w:t xml:space="preserve"> </w:t>
      </w:r>
      <w:r w:rsidRPr="009A0DA6">
        <w:rPr>
          <w:rFonts w:ascii="Cambria" w:eastAsia="Times New Roman" w:hAnsi="Cambria" w:cstheme="minorHAnsi"/>
          <w:spacing w:val="1"/>
        </w:rPr>
        <w:t>b</w:t>
      </w:r>
      <w:r w:rsidRPr="009A0DA6">
        <w:rPr>
          <w:rFonts w:ascii="Cambria" w:eastAsia="Times New Roman" w:hAnsi="Cambria" w:cstheme="minorHAnsi"/>
        </w:rPr>
        <w:t>een</w:t>
      </w:r>
      <w:r w:rsidRPr="009A0DA6">
        <w:rPr>
          <w:rFonts w:ascii="Cambria" w:eastAsia="Times New Roman" w:hAnsi="Cambria" w:cstheme="minorHAnsi"/>
          <w:spacing w:val="-2"/>
        </w:rPr>
        <w:t xml:space="preserve"> </w:t>
      </w:r>
      <w:r w:rsidRPr="009A0DA6">
        <w:rPr>
          <w:rFonts w:ascii="Cambria" w:eastAsia="Times New Roman" w:hAnsi="Cambria" w:cstheme="minorHAnsi"/>
        </w:rPr>
        <w:t>a</w:t>
      </w:r>
      <w:r w:rsidRPr="009A0DA6">
        <w:rPr>
          <w:rFonts w:ascii="Cambria" w:eastAsia="Times New Roman" w:hAnsi="Cambria" w:cstheme="minorHAnsi"/>
          <w:spacing w:val="1"/>
        </w:rPr>
        <w:t>d</w:t>
      </w:r>
      <w:r w:rsidRPr="009A0DA6">
        <w:rPr>
          <w:rFonts w:ascii="Cambria" w:eastAsia="Times New Roman" w:hAnsi="Cambria" w:cstheme="minorHAnsi"/>
          <w:spacing w:val="2"/>
        </w:rPr>
        <w:t>j</w:t>
      </w:r>
      <w:r w:rsidRPr="009A0DA6">
        <w:rPr>
          <w:rFonts w:ascii="Cambria" w:eastAsia="Times New Roman" w:hAnsi="Cambria" w:cstheme="minorHAnsi"/>
          <w:spacing w:val="-1"/>
        </w:rPr>
        <w:t>us</w:t>
      </w:r>
      <w:r w:rsidRPr="009A0DA6">
        <w:rPr>
          <w:rFonts w:ascii="Cambria" w:eastAsia="Times New Roman" w:hAnsi="Cambria" w:cstheme="minorHAnsi"/>
        </w:rPr>
        <w:t>ted</w:t>
      </w:r>
      <w:r w:rsidRPr="009A0DA6">
        <w:rPr>
          <w:rFonts w:ascii="Cambria" w:eastAsia="Times New Roman" w:hAnsi="Cambria" w:cstheme="minorHAnsi"/>
          <w:spacing w:val="-3"/>
        </w:rPr>
        <w:t xml:space="preserve"> </w:t>
      </w:r>
      <w:r w:rsidRPr="009A0DA6">
        <w:rPr>
          <w:rFonts w:ascii="Cambria" w:eastAsia="Times New Roman" w:hAnsi="Cambria" w:cstheme="minorHAnsi"/>
        </w:rPr>
        <w:t>to c</w:t>
      </w:r>
      <w:r w:rsidRPr="009A0DA6">
        <w:rPr>
          <w:rFonts w:ascii="Cambria" w:eastAsia="Times New Roman" w:hAnsi="Cambria" w:cstheme="minorHAnsi"/>
          <w:spacing w:val="1"/>
        </w:rPr>
        <w:t>o</w:t>
      </w:r>
      <w:r w:rsidRPr="009A0DA6">
        <w:rPr>
          <w:rFonts w:ascii="Cambria" w:eastAsia="Times New Roman" w:hAnsi="Cambria" w:cstheme="minorHAnsi"/>
          <w:spacing w:val="-1"/>
        </w:rPr>
        <w:t>nf</w:t>
      </w:r>
      <w:r w:rsidRPr="009A0DA6">
        <w:rPr>
          <w:rFonts w:ascii="Cambria" w:eastAsia="Times New Roman" w:hAnsi="Cambria" w:cstheme="minorHAnsi"/>
        </w:rPr>
        <w:t>i</w:t>
      </w:r>
      <w:r w:rsidRPr="009A0DA6">
        <w:rPr>
          <w:rFonts w:ascii="Cambria" w:eastAsia="Times New Roman" w:hAnsi="Cambria" w:cstheme="minorHAnsi"/>
          <w:spacing w:val="3"/>
        </w:rPr>
        <w:t>r</w:t>
      </w:r>
      <w:r w:rsidRPr="009A0DA6">
        <w:rPr>
          <w:rFonts w:ascii="Cambria" w:eastAsia="Times New Roman" w:hAnsi="Cambria" w:cstheme="minorHAnsi"/>
        </w:rPr>
        <w:t>m</w:t>
      </w:r>
      <w:r w:rsidRPr="009A0DA6">
        <w:rPr>
          <w:rFonts w:ascii="Cambria" w:eastAsia="Times New Roman" w:hAnsi="Cambria" w:cstheme="minorHAnsi"/>
          <w:spacing w:val="-2"/>
        </w:rPr>
        <w:t xml:space="preserve"> w</w:t>
      </w:r>
      <w:r w:rsidRPr="009A0DA6">
        <w:rPr>
          <w:rFonts w:ascii="Cambria" w:eastAsia="Times New Roman" w:hAnsi="Cambria" w:cstheme="minorHAnsi"/>
        </w:rPr>
        <w:t>i</w:t>
      </w:r>
      <w:r w:rsidRPr="009A0DA6">
        <w:rPr>
          <w:rFonts w:ascii="Cambria" w:eastAsia="Times New Roman" w:hAnsi="Cambria" w:cstheme="minorHAnsi"/>
          <w:spacing w:val="2"/>
        </w:rPr>
        <w:t>t</w:t>
      </w:r>
      <w:r w:rsidRPr="009A0DA6">
        <w:rPr>
          <w:rFonts w:ascii="Cambria" w:eastAsia="Times New Roman" w:hAnsi="Cambria" w:cstheme="minorHAnsi"/>
        </w:rPr>
        <w:t>h</w:t>
      </w:r>
      <w:r w:rsidRPr="009A0DA6">
        <w:rPr>
          <w:rFonts w:ascii="Cambria" w:eastAsia="Times New Roman" w:hAnsi="Cambria" w:cstheme="minorHAnsi"/>
          <w:spacing w:val="-2"/>
        </w:rPr>
        <w:t xml:space="preserve"> </w:t>
      </w:r>
      <w:r w:rsidRPr="009A0DA6">
        <w:rPr>
          <w:rFonts w:ascii="Cambria" w:eastAsia="Times New Roman" w:hAnsi="Cambria" w:cstheme="minorHAnsi"/>
        </w:rPr>
        <w:t>c</w:t>
      </w:r>
      <w:r w:rsidRPr="009A0DA6">
        <w:rPr>
          <w:rFonts w:ascii="Cambria" w:eastAsia="Times New Roman" w:hAnsi="Cambria" w:cstheme="minorHAnsi"/>
          <w:spacing w:val="-1"/>
        </w:rPr>
        <w:t>h</w:t>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spacing w:val="-1"/>
        </w:rPr>
        <w:t>g</w:t>
      </w:r>
      <w:r w:rsidRPr="009A0DA6">
        <w:rPr>
          <w:rFonts w:ascii="Cambria" w:eastAsia="Times New Roman" w:hAnsi="Cambria" w:cstheme="minorHAnsi"/>
          <w:spacing w:val="3"/>
        </w:rPr>
        <w:t>e</w:t>
      </w:r>
      <w:r w:rsidRPr="009A0DA6">
        <w:rPr>
          <w:rFonts w:ascii="Cambria" w:eastAsia="Times New Roman" w:hAnsi="Cambria" w:cstheme="minorHAnsi"/>
        </w:rPr>
        <w:t>s</w:t>
      </w:r>
      <w:r w:rsidRPr="009A0DA6">
        <w:rPr>
          <w:rFonts w:ascii="Cambria" w:eastAsia="Times New Roman" w:hAnsi="Cambria" w:cstheme="minorHAnsi"/>
          <w:spacing w:val="-4"/>
        </w:rPr>
        <w:t xml:space="preserve"> </w:t>
      </w:r>
      <w:r w:rsidRPr="009A0DA6">
        <w:rPr>
          <w:rFonts w:ascii="Cambria" w:eastAsia="Times New Roman" w:hAnsi="Cambria" w:cstheme="minorHAnsi"/>
        </w:rPr>
        <w:t xml:space="preserve">in </w:t>
      </w:r>
      <w:r w:rsidRPr="009A0DA6">
        <w:rPr>
          <w:rFonts w:ascii="Cambria" w:eastAsia="Times New Roman" w:hAnsi="Cambria" w:cstheme="minorHAnsi"/>
          <w:spacing w:val="1"/>
        </w:rPr>
        <w:t>pr</w:t>
      </w:r>
      <w:r w:rsidRPr="009A0DA6">
        <w:rPr>
          <w:rFonts w:ascii="Cambria" w:eastAsia="Times New Roman" w:hAnsi="Cambria" w:cstheme="minorHAnsi"/>
        </w:rPr>
        <w:t>e</w:t>
      </w:r>
      <w:r w:rsidRPr="009A0DA6">
        <w:rPr>
          <w:rFonts w:ascii="Cambria" w:eastAsia="Times New Roman" w:hAnsi="Cambria" w:cstheme="minorHAnsi"/>
          <w:spacing w:val="-1"/>
        </w:rPr>
        <w:t>s</w:t>
      </w:r>
      <w:r w:rsidRPr="009A0DA6">
        <w:rPr>
          <w:rFonts w:ascii="Cambria" w:eastAsia="Times New Roman" w:hAnsi="Cambria" w:cstheme="minorHAnsi"/>
        </w:rPr>
        <w:t>e</w:t>
      </w:r>
      <w:r w:rsidRPr="009A0DA6">
        <w:rPr>
          <w:rFonts w:ascii="Cambria" w:eastAsia="Times New Roman" w:hAnsi="Cambria" w:cstheme="minorHAnsi"/>
          <w:spacing w:val="-1"/>
        </w:rPr>
        <w:t>n</w:t>
      </w:r>
      <w:r w:rsidRPr="009A0DA6">
        <w:rPr>
          <w:rFonts w:ascii="Cambria" w:eastAsia="Times New Roman" w:hAnsi="Cambria" w:cstheme="minorHAnsi"/>
        </w:rPr>
        <w:t>tati</w:t>
      </w:r>
      <w:r w:rsidRPr="009A0DA6">
        <w:rPr>
          <w:rFonts w:ascii="Cambria" w:eastAsia="Times New Roman" w:hAnsi="Cambria" w:cstheme="minorHAnsi"/>
          <w:spacing w:val="1"/>
        </w:rPr>
        <w:t>o</w:t>
      </w:r>
      <w:r w:rsidRPr="009A0DA6">
        <w:rPr>
          <w:rFonts w:ascii="Cambria" w:eastAsia="Times New Roman" w:hAnsi="Cambria" w:cstheme="minorHAnsi"/>
        </w:rPr>
        <w:t>n</w:t>
      </w:r>
      <w:r w:rsidRPr="009A0DA6">
        <w:rPr>
          <w:rFonts w:ascii="Cambria" w:eastAsia="Times New Roman" w:hAnsi="Cambria" w:cstheme="minorHAnsi"/>
          <w:spacing w:val="-8"/>
        </w:rPr>
        <w:t xml:space="preserve"> </w:t>
      </w:r>
      <w:r w:rsidRPr="009A0DA6">
        <w:rPr>
          <w:rFonts w:ascii="Cambria" w:eastAsia="Times New Roman" w:hAnsi="Cambria" w:cstheme="minorHAnsi"/>
          <w:spacing w:val="2"/>
        </w:rPr>
        <w:t>i</w:t>
      </w:r>
      <w:r w:rsidRPr="009A0DA6">
        <w:rPr>
          <w:rFonts w:ascii="Cambria" w:eastAsia="Times New Roman" w:hAnsi="Cambria" w:cstheme="minorHAnsi"/>
        </w:rPr>
        <w:t>n 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1"/>
        </w:rPr>
        <w:t xml:space="preserve"> </w:t>
      </w:r>
      <w:r w:rsidRPr="009A0DA6">
        <w:rPr>
          <w:rFonts w:ascii="Cambria" w:eastAsia="Times New Roman" w:hAnsi="Cambria" w:cstheme="minorHAnsi"/>
        </w:rPr>
        <w:t>c</w:t>
      </w:r>
      <w:r w:rsidRPr="009A0DA6">
        <w:rPr>
          <w:rFonts w:ascii="Cambria" w:eastAsia="Times New Roman" w:hAnsi="Cambria" w:cstheme="minorHAnsi"/>
          <w:spacing w:val="-1"/>
        </w:rPr>
        <w:t>u</w:t>
      </w:r>
      <w:r w:rsidRPr="009A0DA6">
        <w:rPr>
          <w:rFonts w:ascii="Cambria" w:eastAsia="Times New Roman" w:hAnsi="Cambria" w:cstheme="minorHAnsi"/>
          <w:spacing w:val="1"/>
        </w:rPr>
        <w:t>rr</w:t>
      </w:r>
      <w:r w:rsidRPr="009A0DA6">
        <w:rPr>
          <w:rFonts w:ascii="Cambria" w:eastAsia="Times New Roman" w:hAnsi="Cambria" w:cstheme="minorHAnsi"/>
        </w:rPr>
        <w:t>e</w:t>
      </w:r>
      <w:r w:rsidRPr="009A0DA6">
        <w:rPr>
          <w:rFonts w:ascii="Cambria" w:eastAsia="Times New Roman" w:hAnsi="Cambria" w:cstheme="minorHAnsi"/>
          <w:spacing w:val="1"/>
        </w:rPr>
        <w:t>n</w:t>
      </w:r>
      <w:r w:rsidRPr="009A0DA6">
        <w:rPr>
          <w:rFonts w:ascii="Cambria" w:eastAsia="Times New Roman" w:hAnsi="Cambria" w:cstheme="minorHAnsi"/>
        </w:rPr>
        <w:t>t</w:t>
      </w:r>
      <w:r w:rsidRPr="009A0DA6">
        <w:rPr>
          <w:rFonts w:ascii="Cambria" w:eastAsia="Times New Roman" w:hAnsi="Cambria" w:cstheme="minorHAnsi"/>
          <w:spacing w:val="-3"/>
        </w:rPr>
        <w:t xml:space="preserve"> </w:t>
      </w:r>
      <w:r w:rsidRPr="009A0DA6">
        <w:rPr>
          <w:rFonts w:ascii="Cambria" w:eastAsia="Times New Roman" w:hAnsi="Cambria" w:cstheme="minorHAnsi"/>
          <w:spacing w:val="-4"/>
        </w:rPr>
        <w:t>y</w:t>
      </w:r>
      <w:r w:rsidRPr="009A0DA6">
        <w:rPr>
          <w:rFonts w:ascii="Cambria" w:eastAsia="Times New Roman" w:hAnsi="Cambria" w:cstheme="minorHAnsi"/>
        </w:rPr>
        <w:t>ea</w:t>
      </w:r>
      <w:r w:rsidRPr="009A0DA6">
        <w:rPr>
          <w:rFonts w:ascii="Cambria" w:eastAsia="Times New Roman" w:hAnsi="Cambria" w:cstheme="minorHAnsi"/>
          <w:spacing w:val="1"/>
        </w:rPr>
        <w:t>r</w:t>
      </w:r>
      <w:r w:rsidRPr="009A0DA6">
        <w:rPr>
          <w:rFonts w:ascii="Cambria" w:eastAsia="Times New Roman" w:hAnsi="Cambria" w:cstheme="minorHAnsi"/>
        </w:rPr>
        <w:t>.</w:t>
      </w:r>
    </w:p>
    <w:p w14:paraId="26AE0552" w14:textId="5E3985DC" w:rsidR="00BA4592" w:rsidRPr="009A0DA6" w:rsidRDefault="00742F47" w:rsidP="00742F47">
      <w:pPr>
        <w:tabs>
          <w:tab w:val="center" w:pos="3402"/>
          <w:tab w:val="right" w:pos="5387"/>
          <w:tab w:val="right" w:pos="6946"/>
          <w:tab w:val="right" w:pos="8647"/>
        </w:tabs>
        <w:spacing w:before="120" w:after="120" w:line="240" w:lineRule="auto"/>
        <w:ind w:right="-329"/>
        <w:contextualSpacing/>
        <w:rPr>
          <w:rFonts w:ascii="Cambria" w:eastAsiaTheme="minorEastAsia" w:hAnsi="Cambria" w:cstheme="minorHAnsi"/>
          <w:b/>
        </w:rPr>
      </w:pPr>
      <w:r>
        <w:rPr>
          <w:rFonts w:ascii="Cambria" w:hAnsi="Cambria" w:cstheme="minorHAnsi"/>
          <w:b/>
        </w:rPr>
        <w:tab/>
        <w:t>Note</w:t>
      </w:r>
      <w:r>
        <w:rPr>
          <w:rFonts w:ascii="Cambria" w:hAnsi="Cambria" w:cstheme="minorHAnsi"/>
          <w:b/>
        </w:rPr>
        <w:tab/>
      </w:r>
      <w:r w:rsidR="00BA4592" w:rsidRPr="009A0DA6">
        <w:rPr>
          <w:rFonts w:ascii="Cambria" w:hAnsi="Cambria" w:cstheme="minorHAnsi"/>
          <w:b/>
        </w:rPr>
        <w:t>2017</w:t>
      </w:r>
      <w:r w:rsidR="00BA4592" w:rsidRPr="009A0DA6">
        <w:rPr>
          <w:rFonts w:ascii="Cambria" w:hAnsi="Cambria" w:cstheme="minorHAnsi"/>
          <w:b/>
        </w:rPr>
        <w:tab/>
        <w:t>2016</w:t>
      </w:r>
      <w:r w:rsidR="00BA4592" w:rsidRPr="009A0DA6">
        <w:rPr>
          <w:rFonts w:ascii="Cambria" w:hAnsi="Cambria" w:cstheme="minorHAnsi"/>
          <w:b/>
        </w:rPr>
        <w:tab/>
        <w:t>2015</w:t>
      </w:r>
    </w:p>
    <w:p w14:paraId="7D0EE351" w14:textId="77777777" w:rsidR="00BA4592" w:rsidRPr="009A0DA6" w:rsidRDefault="00BA4592" w:rsidP="00E87E30">
      <w:pPr>
        <w:tabs>
          <w:tab w:val="center" w:pos="3402"/>
          <w:tab w:val="right" w:pos="6095"/>
          <w:tab w:val="right" w:pos="7371"/>
          <w:tab w:val="right" w:pos="8647"/>
        </w:tabs>
        <w:spacing w:before="120" w:after="120" w:line="240" w:lineRule="auto"/>
        <w:ind w:left="567" w:right="-331" w:hanging="567"/>
        <w:contextualSpacing/>
        <w:rPr>
          <w:rFonts w:ascii="Cambria" w:hAnsi="Cambria" w:cstheme="minorHAnsi"/>
          <w:b/>
        </w:rPr>
      </w:pPr>
      <w:r w:rsidRPr="009A0DA6">
        <w:rPr>
          <w:rFonts w:ascii="Cambria" w:hAnsi="Cambria" w:cstheme="minorHAnsi"/>
          <w:b/>
        </w:rPr>
        <w:t>Note 2: Cash Assets</w:t>
      </w:r>
    </w:p>
    <w:p w14:paraId="3F339409" w14:textId="77777777" w:rsidR="00BA4592" w:rsidRPr="009A0DA6" w:rsidRDefault="00BA4592" w:rsidP="00E87E30">
      <w:pPr>
        <w:tabs>
          <w:tab w:val="center" w:pos="3402"/>
          <w:tab w:val="right" w:pos="6095"/>
          <w:tab w:val="right" w:pos="7371"/>
          <w:tab w:val="right" w:pos="8647"/>
        </w:tabs>
        <w:spacing w:before="120" w:after="120" w:line="240" w:lineRule="auto"/>
        <w:ind w:right="-331"/>
        <w:contextualSpacing/>
        <w:rPr>
          <w:rFonts w:ascii="Cambria" w:hAnsi="Cambria" w:cstheme="minorHAnsi"/>
          <w:b/>
        </w:rPr>
      </w:pPr>
      <w:r w:rsidRPr="009A0DA6">
        <w:rPr>
          <w:rFonts w:ascii="Cambria" w:hAnsi="Cambria" w:cstheme="minorHAnsi"/>
          <w:b/>
        </w:rPr>
        <w:t>Funds held as:</w:t>
      </w:r>
    </w:p>
    <w:p w14:paraId="38C2EF9E" w14:textId="1F5ED030" w:rsidR="00BA4592" w:rsidRPr="009A0DA6" w:rsidRDefault="00BA4592" w:rsidP="00860C7B">
      <w:pPr>
        <w:tabs>
          <w:tab w:val="center" w:pos="3402"/>
          <w:tab w:val="right" w:pos="5387"/>
          <w:tab w:val="right" w:pos="6946"/>
          <w:tab w:val="right" w:pos="8647"/>
        </w:tabs>
        <w:spacing w:before="120" w:after="120" w:line="240" w:lineRule="auto"/>
        <w:ind w:right="-331"/>
        <w:contextualSpacing/>
        <w:rPr>
          <w:rFonts w:ascii="Cambria" w:hAnsi="Cambria" w:cstheme="minorHAnsi"/>
        </w:rPr>
      </w:pPr>
      <w:r w:rsidRPr="009A0DA6">
        <w:rPr>
          <w:rFonts w:ascii="Cambria" w:hAnsi="Cambria" w:cstheme="minorHAnsi"/>
        </w:rPr>
        <w:t>Cash on hand</w:t>
      </w:r>
      <w:r w:rsidRPr="009A0DA6">
        <w:rPr>
          <w:rFonts w:ascii="Cambria" w:hAnsi="Cambria" w:cstheme="minorHAnsi"/>
        </w:rPr>
        <w:tab/>
      </w:r>
      <w:r w:rsidRPr="009A0DA6">
        <w:rPr>
          <w:rFonts w:ascii="Cambria" w:hAnsi="Cambria" w:cstheme="minorHAnsi"/>
        </w:rPr>
        <w:tab/>
        <w:t>300</w:t>
      </w:r>
      <w:r w:rsidRPr="009A0DA6">
        <w:rPr>
          <w:rFonts w:ascii="Cambria" w:hAnsi="Cambria" w:cstheme="minorHAnsi"/>
        </w:rPr>
        <w:tab/>
        <w:t>100</w:t>
      </w:r>
      <w:r w:rsidR="00860C7B">
        <w:rPr>
          <w:rFonts w:ascii="Cambria" w:hAnsi="Cambria" w:cstheme="minorHAnsi"/>
        </w:rPr>
        <w:tab/>
        <w:t>100</w:t>
      </w:r>
    </w:p>
    <w:p w14:paraId="296F4BC7" w14:textId="1551C6AD" w:rsidR="00BA4592" w:rsidRPr="009A0DA6" w:rsidRDefault="00BA4592" w:rsidP="00742F47">
      <w:pPr>
        <w:tabs>
          <w:tab w:val="center" w:pos="3402"/>
          <w:tab w:val="right" w:pos="5387"/>
          <w:tab w:val="right" w:pos="6946"/>
          <w:tab w:val="right" w:pos="8647"/>
        </w:tabs>
        <w:spacing w:before="120" w:after="120" w:line="240" w:lineRule="auto"/>
        <w:ind w:right="-331"/>
        <w:contextualSpacing/>
        <w:rPr>
          <w:rFonts w:ascii="Cambria" w:hAnsi="Cambria" w:cstheme="minorHAnsi"/>
        </w:rPr>
      </w:pPr>
      <w:r w:rsidRPr="009A0DA6">
        <w:rPr>
          <w:rFonts w:ascii="Cambria" w:hAnsi="Cambria" w:cstheme="minorHAnsi"/>
        </w:rPr>
        <w:t>Cash at bank</w:t>
      </w:r>
      <w:r w:rsidRPr="009A0DA6">
        <w:rPr>
          <w:rFonts w:ascii="Cambria" w:hAnsi="Cambria" w:cstheme="minorHAnsi"/>
        </w:rPr>
        <w:tab/>
      </w:r>
      <w:r w:rsidRPr="009A0DA6">
        <w:rPr>
          <w:rFonts w:ascii="Cambria" w:hAnsi="Cambria" w:cstheme="minorHAnsi"/>
        </w:rPr>
        <w:tab/>
      </w:r>
      <w:r w:rsidRPr="009A0DA6">
        <w:rPr>
          <w:rFonts w:ascii="Cambria" w:eastAsia="Times New Roman" w:hAnsi="Cambria" w:cstheme="minorHAnsi"/>
          <w:spacing w:val="1"/>
        </w:rPr>
        <w:t>63,9</w:t>
      </w:r>
      <w:r w:rsidRPr="009A0DA6">
        <w:rPr>
          <w:rFonts w:ascii="Cambria" w:eastAsia="Times New Roman" w:hAnsi="Cambria" w:cstheme="minorHAnsi"/>
          <w:spacing w:val="-1"/>
        </w:rPr>
        <w:t>7</w:t>
      </w:r>
      <w:r w:rsidRPr="009A0DA6">
        <w:rPr>
          <w:rFonts w:ascii="Cambria" w:eastAsia="Times New Roman" w:hAnsi="Cambria" w:cstheme="minorHAnsi"/>
        </w:rPr>
        <w:t>4</w:t>
      </w:r>
      <w:r w:rsidRPr="009A0DA6">
        <w:rPr>
          <w:rFonts w:ascii="Cambria" w:eastAsia="Times New Roman" w:hAnsi="Cambria" w:cstheme="minorHAnsi"/>
        </w:rPr>
        <w:tab/>
      </w:r>
      <w:r w:rsidRPr="009A0DA6">
        <w:rPr>
          <w:rFonts w:ascii="Cambria" w:eastAsia="Times New Roman" w:hAnsi="Cambria" w:cstheme="minorHAnsi"/>
          <w:spacing w:val="1"/>
        </w:rPr>
        <w:t>34,4</w:t>
      </w:r>
      <w:r w:rsidRPr="009A0DA6">
        <w:rPr>
          <w:rFonts w:ascii="Cambria" w:eastAsia="Times New Roman" w:hAnsi="Cambria" w:cstheme="minorHAnsi"/>
          <w:spacing w:val="-1"/>
        </w:rPr>
        <w:t>4</w:t>
      </w:r>
      <w:r w:rsidRPr="009A0DA6">
        <w:rPr>
          <w:rFonts w:ascii="Cambria" w:eastAsia="Times New Roman" w:hAnsi="Cambria" w:cstheme="minorHAnsi"/>
        </w:rPr>
        <w:t>2</w:t>
      </w:r>
      <w:r w:rsidR="00742F47">
        <w:rPr>
          <w:rFonts w:ascii="Cambria" w:eastAsia="Times New Roman" w:hAnsi="Cambria" w:cstheme="minorHAnsi"/>
        </w:rPr>
        <w:tab/>
      </w:r>
      <w:r w:rsidRPr="009A0DA6">
        <w:rPr>
          <w:rFonts w:ascii="Cambria" w:eastAsia="Times New Roman" w:hAnsi="Cambria" w:cstheme="minorHAnsi"/>
        </w:rPr>
        <w:t>49,236</w:t>
      </w:r>
    </w:p>
    <w:p w14:paraId="2DBAE0CB" w14:textId="0988FE58" w:rsidR="00BA4592" w:rsidRPr="009A0DA6" w:rsidRDefault="00BA4592" w:rsidP="00742F47">
      <w:pPr>
        <w:tabs>
          <w:tab w:val="center" w:pos="3402"/>
          <w:tab w:val="right" w:pos="5387"/>
          <w:tab w:val="right" w:pos="6946"/>
          <w:tab w:val="right" w:pos="8647"/>
        </w:tabs>
        <w:spacing w:before="120" w:after="120" w:line="240" w:lineRule="auto"/>
        <w:ind w:right="-331"/>
        <w:contextualSpacing/>
        <w:rPr>
          <w:rFonts w:ascii="Cambria" w:hAnsi="Cambria" w:cstheme="minorHAnsi"/>
        </w:rPr>
      </w:pPr>
      <w:r w:rsidRPr="009A0DA6">
        <w:rPr>
          <w:rFonts w:ascii="Cambria" w:hAnsi="Cambria" w:cstheme="minorHAnsi"/>
        </w:rPr>
        <w:t>Cash on deposit at the LLL</w:t>
      </w:r>
      <w:r w:rsidRPr="009A0DA6">
        <w:rPr>
          <w:rFonts w:ascii="Cambria" w:hAnsi="Cambria" w:cstheme="minorHAnsi"/>
        </w:rPr>
        <w:tab/>
      </w:r>
      <w:r w:rsidRPr="009A0DA6">
        <w:rPr>
          <w:rFonts w:ascii="Cambria" w:hAnsi="Cambria" w:cstheme="minorHAnsi"/>
        </w:rPr>
        <w:tab/>
      </w:r>
      <w:r w:rsidRPr="009A0DA6">
        <w:rPr>
          <w:rFonts w:ascii="Cambria" w:eastAsia="Times New Roman" w:hAnsi="Cambria" w:cstheme="minorHAnsi"/>
          <w:spacing w:val="1"/>
        </w:rPr>
        <w:t>13,5</w:t>
      </w:r>
      <w:r w:rsidRPr="009A0DA6">
        <w:rPr>
          <w:rFonts w:ascii="Cambria" w:eastAsia="Times New Roman" w:hAnsi="Cambria" w:cstheme="minorHAnsi"/>
          <w:spacing w:val="-1"/>
        </w:rPr>
        <w:t>9</w:t>
      </w:r>
      <w:r w:rsidRPr="009A0DA6">
        <w:rPr>
          <w:rFonts w:ascii="Cambria" w:eastAsia="Times New Roman" w:hAnsi="Cambria" w:cstheme="minorHAnsi"/>
          <w:spacing w:val="1"/>
        </w:rPr>
        <w:t>9,</w:t>
      </w:r>
      <w:r w:rsidRPr="009A0DA6">
        <w:rPr>
          <w:rFonts w:ascii="Cambria" w:eastAsia="Times New Roman" w:hAnsi="Cambria" w:cstheme="minorHAnsi"/>
          <w:spacing w:val="-1"/>
        </w:rPr>
        <w:t>8</w:t>
      </w:r>
      <w:r w:rsidRPr="009A0DA6">
        <w:rPr>
          <w:rFonts w:ascii="Cambria" w:eastAsia="Times New Roman" w:hAnsi="Cambria" w:cstheme="minorHAnsi"/>
          <w:spacing w:val="1"/>
        </w:rPr>
        <w:t>0</w:t>
      </w:r>
      <w:r w:rsidRPr="009A0DA6">
        <w:rPr>
          <w:rFonts w:ascii="Cambria" w:eastAsia="Times New Roman" w:hAnsi="Cambria" w:cstheme="minorHAnsi"/>
        </w:rPr>
        <w:t>3</w:t>
      </w:r>
      <w:r w:rsidR="00742F47">
        <w:rPr>
          <w:rFonts w:ascii="Cambria" w:eastAsia="Times New Roman" w:hAnsi="Cambria" w:cstheme="minorHAnsi"/>
        </w:rPr>
        <w:tab/>
      </w:r>
      <w:r w:rsidRPr="009A0DA6">
        <w:rPr>
          <w:rFonts w:ascii="Cambria" w:eastAsia="Times New Roman" w:hAnsi="Cambria" w:cstheme="minorHAnsi"/>
          <w:spacing w:val="1"/>
        </w:rPr>
        <w:t>12,9</w:t>
      </w:r>
      <w:r w:rsidRPr="009A0DA6">
        <w:rPr>
          <w:rFonts w:ascii="Cambria" w:eastAsia="Times New Roman" w:hAnsi="Cambria" w:cstheme="minorHAnsi"/>
          <w:spacing w:val="-1"/>
        </w:rPr>
        <w:t>1</w:t>
      </w:r>
      <w:r w:rsidRPr="009A0DA6">
        <w:rPr>
          <w:rFonts w:ascii="Cambria" w:eastAsia="Times New Roman" w:hAnsi="Cambria" w:cstheme="minorHAnsi"/>
          <w:spacing w:val="1"/>
        </w:rPr>
        <w:t>2,</w:t>
      </w:r>
      <w:r w:rsidRPr="009A0DA6">
        <w:rPr>
          <w:rFonts w:ascii="Cambria" w:eastAsia="Times New Roman" w:hAnsi="Cambria" w:cstheme="minorHAnsi"/>
          <w:spacing w:val="-1"/>
        </w:rPr>
        <w:t>3</w:t>
      </w:r>
      <w:r w:rsidRPr="009A0DA6">
        <w:rPr>
          <w:rFonts w:ascii="Cambria" w:eastAsia="Times New Roman" w:hAnsi="Cambria" w:cstheme="minorHAnsi"/>
          <w:spacing w:val="1"/>
        </w:rPr>
        <w:t>2</w:t>
      </w:r>
      <w:r w:rsidRPr="009A0DA6">
        <w:rPr>
          <w:rFonts w:ascii="Cambria" w:eastAsia="Times New Roman" w:hAnsi="Cambria" w:cstheme="minorHAnsi"/>
        </w:rPr>
        <w:t>9</w:t>
      </w:r>
      <w:r w:rsidR="00742F47">
        <w:rPr>
          <w:rFonts w:ascii="Cambria" w:eastAsia="Times New Roman" w:hAnsi="Cambria" w:cstheme="minorHAnsi"/>
        </w:rPr>
        <w:tab/>
      </w:r>
      <w:r w:rsidRPr="009A0DA6">
        <w:rPr>
          <w:rFonts w:ascii="Cambria" w:eastAsia="Times New Roman" w:hAnsi="Cambria" w:cstheme="minorHAnsi"/>
        </w:rPr>
        <w:t>11,289,447</w:t>
      </w:r>
    </w:p>
    <w:p w14:paraId="754E9ADE" w14:textId="5224E02B" w:rsidR="00BA4592" w:rsidRPr="009A0DA6" w:rsidRDefault="00BA4592" w:rsidP="00742F47">
      <w:pPr>
        <w:tabs>
          <w:tab w:val="center" w:pos="3402"/>
          <w:tab w:val="right" w:pos="5387"/>
          <w:tab w:val="right" w:pos="6946"/>
          <w:tab w:val="right" w:pos="8647"/>
        </w:tabs>
        <w:spacing w:before="120" w:after="120" w:line="240" w:lineRule="auto"/>
        <w:ind w:right="-331"/>
        <w:contextualSpacing/>
        <w:rPr>
          <w:rFonts w:ascii="Cambria" w:hAnsi="Cambria" w:cstheme="minorHAnsi"/>
          <w:b/>
        </w:rPr>
      </w:pPr>
      <w:r w:rsidRPr="009A0DA6">
        <w:rPr>
          <w:rFonts w:ascii="Cambria" w:hAnsi="Cambria" w:cstheme="minorHAnsi"/>
          <w:b/>
        </w:rPr>
        <w:t>TOTAL CASH ASSETS</w:t>
      </w:r>
      <w:r w:rsidRPr="009A0DA6">
        <w:rPr>
          <w:rFonts w:ascii="Cambria" w:hAnsi="Cambria" w:cstheme="minorHAnsi"/>
          <w:b/>
        </w:rPr>
        <w:tab/>
      </w:r>
      <w:r w:rsidRPr="009A0DA6">
        <w:rPr>
          <w:rFonts w:ascii="Cambria" w:hAnsi="Cambria" w:cstheme="minorHAnsi"/>
          <w:b/>
        </w:rPr>
        <w:tab/>
        <w:t>$</w:t>
      </w:r>
      <w:r w:rsidRPr="009A0DA6">
        <w:rPr>
          <w:rFonts w:ascii="Cambria" w:eastAsia="Times New Roman" w:hAnsi="Cambria" w:cstheme="minorHAnsi"/>
          <w:b/>
          <w:spacing w:val="1"/>
        </w:rPr>
        <w:t>13,6</w:t>
      </w:r>
      <w:r w:rsidRPr="009A0DA6">
        <w:rPr>
          <w:rFonts w:ascii="Cambria" w:eastAsia="Times New Roman" w:hAnsi="Cambria" w:cstheme="minorHAnsi"/>
          <w:b/>
          <w:spacing w:val="-1"/>
        </w:rPr>
        <w:t>6</w:t>
      </w:r>
      <w:r w:rsidRPr="009A0DA6">
        <w:rPr>
          <w:rFonts w:ascii="Cambria" w:eastAsia="Times New Roman" w:hAnsi="Cambria" w:cstheme="minorHAnsi"/>
          <w:b/>
          <w:spacing w:val="1"/>
        </w:rPr>
        <w:t>4,</w:t>
      </w:r>
      <w:r w:rsidRPr="009A0DA6">
        <w:rPr>
          <w:rFonts w:ascii="Cambria" w:eastAsia="Times New Roman" w:hAnsi="Cambria" w:cstheme="minorHAnsi"/>
          <w:b/>
          <w:spacing w:val="-1"/>
        </w:rPr>
        <w:t>0</w:t>
      </w:r>
      <w:r w:rsidRPr="009A0DA6">
        <w:rPr>
          <w:rFonts w:ascii="Cambria" w:eastAsia="Times New Roman" w:hAnsi="Cambria" w:cstheme="minorHAnsi"/>
          <w:b/>
          <w:spacing w:val="1"/>
        </w:rPr>
        <w:t>7</w:t>
      </w:r>
      <w:r w:rsidRPr="009A0DA6">
        <w:rPr>
          <w:rFonts w:ascii="Cambria" w:eastAsia="Times New Roman" w:hAnsi="Cambria" w:cstheme="minorHAnsi"/>
          <w:b/>
        </w:rPr>
        <w:t>7</w:t>
      </w:r>
      <w:r w:rsidRPr="009A0DA6">
        <w:rPr>
          <w:rFonts w:ascii="Cambria" w:eastAsia="Times New Roman" w:hAnsi="Cambria" w:cstheme="minorHAnsi"/>
          <w:b/>
          <w:spacing w:val="-41"/>
        </w:rPr>
        <w:t xml:space="preserve"> </w:t>
      </w:r>
      <w:r w:rsidRPr="009A0DA6">
        <w:rPr>
          <w:rFonts w:ascii="Cambria" w:eastAsia="Times New Roman" w:hAnsi="Cambria" w:cstheme="minorHAnsi"/>
          <w:b/>
        </w:rPr>
        <w:tab/>
      </w:r>
      <w:r w:rsidR="00742F47">
        <w:rPr>
          <w:rFonts w:ascii="Cambria" w:eastAsia="Times New Roman" w:hAnsi="Cambria" w:cstheme="minorHAnsi"/>
          <w:b/>
        </w:rPr>
        <w:t xml:space="preserve">      </w:t>
      </w:r>
      <w:r w:rsidRPr="009A0DA6">
        <w:rPr>
          <w:rFonts w:ascii="Cambria" w:eastAsia="Times New Roman" w:hAnsi="Cambria" w:cstheme="minorHAnsi"/>
          <w:b/>
        </w:rPr>
        <w:t>$</w:t>
      </w:r>
      <w:r w:rsidRPr="009A0DA6">
        <w:rPr>
          <w:rFonts w:ascii="Cambria" w:eastAsia="Times New Roman" w:hAnsi="Cambria" w:cstheme="minorHAnsi"/>
          <w:b/>
          <w:spacing w:val="1"/>
        </w:rPr>
        <w:t>12,9</w:t>
      </w:r>
      <w:r w:rsidRPr="009A0DA6">
        <w:rPr>
          <w:rFonts w:ascii="Cambria" w:eastAsia="Times New Roman" w:hAnsi="Cambria" w:cstheme="minorHAnsi"/>
          <w:b/>
          <w:spacing w:val="-1"/>
        </w:rPr>
        <w:t>4</w:t>
      </w:r>
      <w:r w:rsidRPr="009A0DA6">
        <w:rPr>
          <w:rFonts w:ascii="Cambria" w:eastAsia="Times New Roman" w:hAnsi="Cambria" w:cstheme="minorHAnsi"/>
          <w:b/>
          <w:spacing w:val="1"/>
        </w:rPr>
        <w:t>6,</w:t>
      </w:r>
      <w:r w:rsidRPr="009A0DA6">
        <w:rPr>
          <w:rFonts w:ascii="Cambria" w:eastAsia="Times New Roman" w:hAnsi="Cambria" w:cstheme="minorHAnsi"/>
          <w:b/>
          <w:spacing w:val="-1"/>
        </w:rPr>
        <w:t>8</w:t>
      </w:r>
      <w:r w:rsidRPr="009A0DA6">
        <w:rPr>
          <w:rFonts w:ascii="Cambria" w:eastAsia="Times New Roman" w:hAnsi="Cambria" w:cstheme="minorHAnsi"/>
          <w:b/>
          <w:spacing w:val="1"/>
        </w:rPr>
        <w:t>7</w:t>
      </w:r>
      <w:r w:rsidRPr="009A0DA6">
        <w:rPr>
          <w:rFonts w:ascii="Cambria" w:eastAsia="Times New Roman" w:hAnsi="Cambria" w:cstheme="minorHAnsi"/>
          <w:b/>
        </w:rPr>
        <w:t>1</w:t>
      </w:r>
      <w:r w:rsidRPr="009A0DA6">
        <w:rPr>
          <w:rFonts w:ascii="Cambria" w:eastAsia="Times New Roman" w:hAnsi="Cambria" w:cstheme="minorHAnsi"/>
          <w:b/>
        </w:rPr>
        <w:tab/>
        <w:t>$11,338,783</w:t>
      </w:r>
    </w:p>
    <w:p w14:paraId="63982FA8" w14:textId="77777777" w:rsidR="00BA4592" w:rsidRPr="009A0DA6" w:rsidRDefault="00BA4592" w:rsidP="00742F47">
      <w:pPr>
        <w:tabs>
          <w:tab w:val="center" w:pos="3402"/>
          <w:tab w:val="right" w:pos="5387"/>
          <w:tab w:val="right" w:pos="6946"/>
          <w:tab w:val="right" w:pos="8647"/>
        </w:tabs>
        <w:spacing w:before="120" w:after="120" w:line="240" w:lineRule="auto"/>
        <w:ind w:right="-331"/>
        <w:contextualSpacing/>
        <w:rPr>
          <w:rFonts w:ascii="Cambria" w:hAnsi="Cambria" w:cstheme="minorHAnsi"/>
          <w:b/>
        </w:rPr>
      </w:pPr>
      <w:r w:rsidRPr="009A0DA6">
        <w:rPr>
          <w:rFonts w:ascii="Cambria" w:hAnsi="Cambria" w:cstheme="minorHAnsi"/>
          <w:b/>
        </w:rPr>
        <w:t>Disclosed as:</w:t>
      </w:r>
    </w:p>
    <w:p w14:paraId="6069275B" w14:textId="6B17D55B" w:rsidR="00BA4592" w:rsidRPr="009A0DA6" w:rsidRDefault="00BA4592" w:rsidP="00742F47">
      <w:pPr>
        <w:tabs>
          <w:tab w:val="center" w:pos="3402"/>
          <w:tab w:val="right" w:pos="5387"/>
          <w:tab w:val="right" w:pos="6946"/>
          <w:tab w:val="right" w:pos="8647"/>
        </w:tabs>
        <w:spacing w:before="120" w:after="120" w:line="240" w:lineRule="auto"/>
        <w:ind w:right="-331"/>
        <w:contextualSpacing/>
        <w:rPr>
          <w:rFonts w:ascii="Cambria" w:hAnsi="Cambria" w:cstheme="minorHAnsi"/>
          <w:b/>
        </w:rPr>
      </w:pPr>
      <w:r w:rsidRPr="009A0DA6">
        <w:rPr>
          <w:rFonts w:ascii="Cambria" w:hAnsi="Cambria" w:cstheme="minorHAnsi"/>
          <w:b/>
        </w:rPr>
        <w:t xml:space="preserve">CASH ASSETS – UNCOMMITTED </w:t>
      </w:r>
      <w:r w:rsidRPr="009A0DA6">
        <w:rPr>
          <w:rFonts w:ascii="Cambria" w:hAnsi="Cambria" w:cstheme="minorHAnsi"/>
          <w:b/>
        </w:rPr>
        <w:tab/>
      </w:r>
      <w:r w:rsidRPr="009A0DA6">
        <w:rPr>
          <w:rFonts w:ascii="Cambria" w:hAnsi="Cambria" w:cstheme="minorHAnsi"/>
          <w:b/>
        </w:rPr>
        <w:tab/>
      </w:r>
      <w:r w:rsidRPr="009A0DA6">
        <w:rPr>
          <w:rFonts w:ascii="Cambria" w:eastAsia="Times New Roman" w:hAnsi="Cambria" w:cstheme="minorHAnsi"/>
          <w:b/>
          <w:spacing w:val="1"/>
        </w:rPr>
        <w:t>1,53</w:t>
      </w:r>
      <w:r w:rsidRPr="009A0DA6">
        <w:rPr>
          <w:rFonts w:ascii="Cambria" w:eastAsia="Times New Roman" w:hAnsi="Cambria" w:cstheme="minorHAnsi"/>
          <w:b/>
          <w:spacing w:val="-1"/>
        </w:rPr>
        <w:t>0</w:t>
      </w:r>
      <w:r w:rsidRPr="009A0DA6">
        <w:rPr>
          <w:rFonts w:ascii="Cambria" w:eastAsia="Times New Roman" w:hAnsi="Cambria" w:cstheme="minorHAnsi"/>
          <w:b/>
          <w:spacing w:val="1"/>
        </w:rPr>
        <w:t>,7</w:t>
      </w:r>
      <w:r w:rsidRPr="009A0DA6">
        <w:rPr>
          <w:rFonts w:ascii="Cambria" w:eastAsia="Times New Roman" w:hAnsi="Cambria" w:cstheme="minorHAnsi"/>
          <w:b/>
          <w:spacing w:val="-1"/>
        </w:rPr>
        <w:t>1</w:t>
      </w:r>
      <w:r w:rsidRPr="009A0DA6">
        <w:rPr>
          <w:rFonts w:ascii="Cambria" w:eastAsia="Times New Roman" w:hAnsi="Cambria" w:cstheme="minorHAnsi"/>
          <w:b/>
        </w:rPr>
        <w:t>5</w:t>
      </w:r>
      <w:r w:rsidR="00742F47">
        <w:rPr>
          <w:rFonts w:ascii="Cambria" w:eastAsia="Times New Roman" w:hAnsi="Cambria" w:cstheme="minorHAnsi"/>
          <w:b/>
        </w:rPr>
        <w:tab/>
      </w:r>
      <w:r w:rsidRPr="009A0DA6">
        <w:rPr>
          <w:rFonts w:ascii="Cambria" w:eastAsia="Times New Roman" w:hAnsi="Cambria" w:cstheme="minorHAnsi"/>
          <w:b/>
          <w:spacing w:val="1"/>
        </w:rPr>
        <w:t>1,43</w:t>
      </w:r>
      <w:r w:rsidRPr="009A0DA6">
        <w:rPr>
          <w:rFonts w:ascii="Cambria" w:eastAsia="Times New Roman" w:hAnsi="Cambria" w:cstheme="minorHAnsi"/>
          <w:b/>
          <w:spacing w:val="-1"/>
        </w:rPr>
        <w:t>1</w:t>
      </w:r>
      <w:r w:rsidRPr="009A0DA6">
        <w:rPr>
          <w:rFonts w:ascii="Cambria" w:eastAsia="Times New Roman" w:hAnsi="Cambria" w:cstheme="minorHAnsi"/>
          <w:b/>
          <w:spacing w:val="1"/>
        </w:rPr>
        <w:t>,4</w:t>
      </w:r>
      <w:r w:rsidRPr="009A0DA6">
        <w:rPr>
          <w:rFonts w:ascii="Cambria" w:eastAsia="Times New Roman" w:hAnsi="Cambria" w:cstheme="minorHAnsi"/>
          <w:b/>
          <w:spacing w:val="-1"/>
        </w:rPr>
        <w:t>6</w:t>
      </w:r>
      <w:r w:rsidRPr="009A0DA6">
        <w:rPr>
          <w:rFonts w:ascii="Cambria" w:eastAsia="Times New Roman" w:hAnsi="Cambria" w:cstheme="minorHAnsi"/>
          <w:b/>
        </w:rPr>
        <w:t>9</w:t>
      </w:r>
      <w:r w:rsidRPr="009A0DA6">
        <w:rPr>
          <w:rFonts w:ascii="Cambria" w:eastAsia="Times New Roman" w:hAnsi="Cambria" w:cstheme="minorHAnsi"/>
          <w:b/>
        </w:rPr>
        <w:tab/>
        <w:t>822,527</w:t>
      </w:r>
    </w:p>
    <w:p w14:paraId="3D17BA68" w14:textId="37DBC848" w:rsidR="00BA4592" w:rsidRPr="009A0DA6" w:rsidRDefault="00BA4592" w:rsidP="00742F47">
      <w:pPr>
        <w:tabs>
          <w:tab w:val="center" w:pos="3402"/>
          <w:tab w:val="right" w:pos="5387"/>
          <w:tab w:val="right" w:pos="6946"/>
          <w:tab w:val="right" w:pos="8647"/>
        </w:tabs>
        <w:spacing w:before="120" w:after="120" w:line="240" w:lineRule="auto"/>
        <w:ind w:right="-331"/>
        <w:contextualSpacing/>
        <w:rPr>
          <w:rFonts w:ascii="Cambria" w:hAnsi="Cambria" w:cstheme="minorHAnsi"/>
          <w:b/>
        </w:rPr>
      </w:pPr>
      <w:r w:rsidRPr="009A0DA6">
        <w:rPr>
          <w:rFonts w:ascii="Cambria" w:hAnsi="Cambria" w:cstheme="minorHAnsi"/>
          <w:b/>
        </w:rPr>
        <w:t xml:space="preserve">CASH ASSETS – COMMITTED </w:t>
      </w:r>
      <w:r w:rsidRPr="009A0DA6">
        <w:rPr>
          <w:rFonts w:ascii="Cambria" w:hAnsi="Cambria" w:cstheme="minorHAnsi"/>
          <w:b/>
        </w:rPr>
        <w:tab/>
      </w:r>
      <w:r w:rsidRPr="009A0DA6">
        <w:rPr>
          <w:rFonts w:ascii="Cambria" w:hAnsi="Cambria" w:cstheme="minorHAnsi"/>
          <w:b/>
        </w:rPr>
        <w:tab/>
      </w:r>
      <w:r w:rsidRPr="009A0DA6">
        <w:rPr>
          <w:rFonts w:ascii="Cambria" w:eastAsia="Times New Roman" w:hAnsi="Cambria" w:cstheme="minorHAnsi"/>
          <w:b/>
          <w:spacing w:val="1"/>
        </w:rPr>
        <w:t>12,1</w:t>
      </w:r>
      <w:r w:rsidRPr="009A0DA6">
        <w:rPr>
          <w:rFonts w:ascii="Cambria" w:eastAsia="Times New Roman" w:hAnsi="Cambria" w:cstheme="minorHAnsi"/>
          <w:b/>
          <w:spacing w:val="-1"/>
        </w:rPr>
        <w:t>3</w:t>
      </w:r>
      <w:r w:rsidRPr="009A0DA6">
        <w:rPr>
          <w:rFonts w:ascii="Cambria" w:eastAsia="Times New Roman" w:hAnsi="Cambria" w:cstheme="minorHAnsi"/>
          <w:b/>
          <w:spacing w:val="1"/>
        </w:rPr>
        <w:t>3,</w:t>
      </w:r>
      <w:r w:rsidRPr="009A0DA6">
        <w:rPr>
          <w:rFonts w:ascii="Cambria" w:eastAsia="Times New Roman" w:hAnsi="Cambria" w:cstheme="minorHAnsi"/>
          <w:b/>
          <w:spacing w:val="-1"/>
        </w:rPr>
        <w:t>3</w:t>
      </w:r>
      <w:r w:rsidRPr="009A0DA6">
        <w:rPr>
          <w:rFonts w:ascii="Cambria" w:eastAsia="Times New Roman" w:hAnsi="Cambria" w:cstheme="minorHAnsi"/>
          <w:b/>
          <w:spacing w:val="1"/>
        </w:rPr>
        <w:t>6</w:t>
      </w:r>
      <w:r w:rsidRPr="009A0DA6">
        <w:rPr>
          <w:rFonts w:ascii="Cambria" w:eastAsia="Times New Roman" w:hAnsi="Cambria" w:cstheme="minorHAnsi"/>
          <w:b/>
        </w:rPr>
        <w:t>2</w:t>
      </w:r>
      <w:r w:rsidR="00742F47">
        <w:rPr>
          <w:rFonts w:ascii="Cambria" w:eastAsia="Times New Roman" w:hAnsi="Cambria" w:cstheme="minorHAnsi"/>
          <w:b/>
        </w:rPr>
        <w:tab/>
      </w:r>
      <w:r w:rsidRPr="009A0DA6">
        <w:rPr>
          <w:rFonts w:ascii="Cambria" w:eastAsia="Times New Roman" w:hAnsi="Cambria" w:cstheme="minorHAnsi"/>
          <w:b/>
          <w:spacing w:val="1"/>
        </w:rPr>
        <w:t>11,5</w:t>
      </w:r>
      <w:r w:rsidRPr="009A0DA6">
        <w:rPr>
          <w:rFonts w:ascii="Cambria" w:eastAsia="Times New Roman" w:hAnsi="Cambria" w:cstheme="minorHAnsi"/>
          <w:b/>
          <w:spacing w:val="-1"/>
        </w:rPr>
        <w:t>1</w:t>
      </w:r>
      <w:r w:rsidRPr="009A0DA6">
        <w:rPr>
          <w:rFonts w:ascii="Cambria" w:eastAsia="Times New Roman" w:hAnsi="Cambria" w:cstheme="minorHAnsi"/>
          <w:b/>
          <w:spacing w:val="1"/>
        </w:rPr>
        <w:t>5,</w:t>
      </w:r>
      <w:r w:rsidRPr="009A0DA6">
        <w:rPr>
          <w:rFonts w:ascii="Cambria" w:eastAsia="Times New Roman" w:hAnsi="Cambria" w:cstheme="minorHAnsi"/>
          <w:b/>
          <w:spacing w:val="-1"/>
        </w:rPr>
        <w:t>4</w:t>
      </w:r>
      <w:r w:rsidRPr="009A0DA6">
        <w:rPr>
          <w:rFonts w:ascii="Cambria" w:eastAsia="Times New Roman" w:hAnsi="Cambria" w:cstheme="minorHAnsi"/>
          <w:b/>
          <w:spacing w:val="1"/>
        </w:rPr>
        <w:t>0</w:t>
      </w:r>
      <w:r w:rsidRPr="009A0DA6">
        <w:rPr>
          <w:rFonts w:ascii="Cambria" w:eastAsia="Times New Roman" w:hAnsi="Cambria" w:cstheme="minorHAnsi"/>
          <w:b/>
        </w:rPr>
        <w:t>2</w:t>
      </w:r>
      <w:r w:rsidRPr="009A0DA6">
        <w:rPr>
          <w:rFonts w:ascii="Cambria" w:eastAsia="Times New Roman" w:hAnsi="Cambria" w:cstheme="minorHAnsi"/>
          <w:b/>
        </w:rPr>
        <w:tab/>
        <w:t>10</w:t>
      </w:r>
      <w:r w:rsidR="00742F47">
        <w:rPr>
          <w:rFonts w:ascii="Cambria" w:eastAsia="Times New Roman" w:hAnsi="Cambria" w:cstheme="minorHAnsi"/>
          <w:b/>
        </w:rPr>
        <w:t>,</w:t>
      </w:r>
      <w:r w:rsidRPr="009A0DA6">
        <w:rPr>
          <w:rFonts w:ascii="Cambria" w:eastAsia="Times New Roman" w:hAnsi="Cambria" w:cstheme="minorHAnsi"/>
          <w:b/>
        </w:rPr>
        <w:t>516,256</w:t>
      </w:r>
    </w:p>
    <w:p w14:paraId="5256F448" w14:textId="32C740D7" w:rsidR="00BA4592" w:rsidRPr="009A0DA6" w:rsidRDefault="00BA4592" w:rsidP="00742F47">
      <w:pPr>
        <w:tabs>
          <w:tab w:val="center" w:pos="3402"/>
          <w:tab w:val="right" w:pos="5387"/>
          <w:tab w:val="right" w:pos="6946"/>
          <w:tab w:val="right" w:pos="8647"/>
        </w:tabs>
        <w:spacing w:before="120" w:after="120" w:line="240" w:lineRule="auto"/>
        <w:ind w:right="-331"/>
        <w:contextualSpacing/>
        <w:rPr>
          <w:rFonts w:ascii="Cambria" w:hAnsi="Cambria" w:cstheme="minorHAnsi"/>
          <w:b/>
        </w:rPr>
      </w:pPr>
      <w:r w:rsidRPr="009A0DA6">
        <w:rPr>
          <w:rFonts w:ascii="Cambria" w:hAnsi="Cambria" w:cstheme="minorHAnsi"/>
          <w:b/>
        </w:rPr>
        <w:t>TOTAL CASH ASSETS</w:t>
      </w:r>
      <w:r w:rsidRPr="009A0DA6">
        <w:rPr>
          <w:rFonts w:ascii="Cambria" w:hAnsi="Cambria" w:cstheme="minorHAnsi"/>
          <w:b/>
        </w:rPr>
        <w:tab/>
      </w:r>
      <w:r w:rsidRPr="009A0DA6">
        <w:rPr>
          <w:rFonts w:ascii="Cambria" w:hAnsi="Cambria" w:cstheme="minorHAnsi"/>
          <w:b/>
        </w:rPr>
        <w:tab/>
        <w:t>$</w:t>
      </w:r>
      <w:r w:rsidRPr="009A0DA6">
        <w:rPr>
          <w:rFonts w:ascii="Cambria" w:eastAsia="Times New Roman" w:hAnsi="Cambria" w:cstheme="minorHAnsi"/>
          <w:b/>
          <w:spacing w:val="1"/>
        </w:rPr>
        <w:t>13,6</w:t>
      </w:r>
      <w:r w:rsidRPr="009A0DA6">
        <w:rPr>
          <w:rFonts w:ascii="Cambria" w:eastAsia="Times New Roman" w:hAnsi="Cambria" w:cstheme="minorHAnsi"/>
          <w:b/>
          <w:spacing w:val="-1"/>
        </w:rPr>
        <w:t>6</w:t>
      </w:r>
      <w:r w:rsidRPr="009A0DA6">
        <w:rPr>
          <w:rFonts w:ascii="Cambria" w:eastAsia="Times New Roman" w:hAnsi="Cambria" w:cstheme="minorHAnsi"/>
          <w:b/>
          <w:spacing w:val="1"/>
        </w:rPr>
        <w:t>4,</w:t>
      </w:r>
      <w:r w:rsidRPr="009A0DA6">
        <w:rPr>
          <w:rFonts w:ascii="Cambria" w:eastAsia="Times New Roman" w:hAnsi="Cambria" w:cstheme="minorHAnsi"/>
          <w:b/>
          <w:spacing w:val="-1"/>
        </w:rPr>
        <w:t>0</w:t>
      </w:r>
      <w:r w:rsidRPr="009A0DA6">
        <w:rPr>
          <w:rFonts w:ascii="Cambria" w:eastAsia="Times New Roman" w:hAnsi="Cambria" w:cstheme="minorHAnsi"/>
          <w:b/>
          <w:spacing w:val="1"/>
        </w:rPr>
        <w:t>7</w:t>
      </w:r>
      <w:r w:rsidRPr="009A0DA6">
        <w:rPr>
          <w:rFonts w:ascii="Cambria" w:eastAsia="Times New Roman" w:hAnsi="Cambria" w:cstheme="minorHAnsi"/>
          <w:b/>
        </w:rPr>
        <w:t>7</w:t>
      </w:r>
      <w:r w:rsidRPr="009A0DA6">
        <w:rPr>
          <w:rFonts w:ascii="Cambria" w:eastAsia="Times New Roman" w:hAnsi="Cambria" w:cstheme="minorHAnsi"/>
          <w:b/>
          <w:spacing w:val="-41"/>
        </w:rPr>
        <w:t xml:space="preserve"> </w:t>
      </w:r>
      <w:r w:rsidRPr="009A0DA6">
        <w:rPr>
          <w:rFonts w:ascii="Cambria" w:eastAsia="Times New Roman" w:hAnsi="Cambria" w:cstheme="minorHAnsi"/>
          <w:b/>
        </w:rPr>
        <w:tab/>
        <w:t>$</w:t>
      </w:r>
      <w:r w:rsidRPr="009A0DA6">
        <w:rPr>
          <w:rFonts w:ascii="Cambria" w:eastAsia="Times New Roman" w:hAnsi="Cambria" w:cstheme="minorHAnsi"/>
          <w:b/>
          <w:spacing w:val="1"/>
        </w:rPr>
        <w:t>12,9</w:t>
      </w:r>
      <w:r w:rsidRPr="009A0DA6">
        <w:rPr>
          <w:rFonts w:ascii="Cambria" w:eastAsia="Times New Roman" w:hAnsi="Cambria" w:cstheme="minorHAnsi"/>
          <w:b/>
          <w:spacing w:val="-1"/>
        </w:rPr>
        <w:t>4</w:t>
      </w:r>
      <w:r w:rsidRPr="009A0DA6">
        <w:rPr>
          <w:rFonts w:ascii="Cambria" w:eastAsia="Times New Roman" w:hAnsi="Cambria" w:cstheme="minorHAnsi"/>
          <w:b/>
          <w:spacing w:val="1"/>
        </w:rPr>
        <w:t>6,</w:t>
      </w:r>
      <w:r w:rsidRPr="009A0DA6">
        <w:rPr>
          <w:rFonts w:ascii="Cambria" w:eastAsia="Times New Roman" w:hAnsi="Cambria" w:cstheme="minorHAnsi"/>
          <w:b/>
          <w:spacing w:val="-1"/>
        </w:rPr>
        <w:t>8</w:t>
      </w:r>
      <w:r w:rsidRPr="009A0DA6">
        <w:rPr>
          <w:rFonts w:ascii="Cambria" w:eastAsia="Times New Roman" w:hAnsi="Cambria" w:cstheme="minorHAnsi"/>
          <w:b/>
          <w:spacing w:val="1"/>
        </w:rPr>
        <w:t>7</w:t>
      </w:r>
      <w:r w:rsidRPr="009A0DA6">
        <w:rPr>
          <w:rFonts w:ascii="Cambria" w:eastAsia="Times New Roman" w:hAnsi="Cambria" w:cstheme="minorHAnsi"/>
          <w:b/>
        </w:rPr>
        <w:t>1</w:t>
      </w:r>
      <w:r w:rsidR="00742F47">
        <w:rPr>
          <w:rFonts w:ascii="Cambria" w:eastAsia="Times New Roman" w:hAnsi="Cambria" w:cstheme="minorHAnsi"/>
          <w:b/>
        </w:rPr>
        <w:tab/>
      </w:r>
      <w:r w:rsidRPr="009A0DA6">
        <w:rPr>
          <w:rFonts w:ascii="Cambria" w:eastAsia="Times New Roman" w:hAnsi="Cambria" w:cstheme="minorHAnsi"/>
          <w:b/>
        </w:rPr>
        <w:t>$11,338,783</w:t>
      </w:r>
    </w:p>
    <w:p w14:paraId="6CE65973" w14:textId="77777777" w:rsidR="00BA4592" w:rsidRPr="009A0DA6" w:rsidRDefault="00BA4592" w:rsidP="00742F47">
      <w:pPr>
        <w:tabs>
          <w:tab w:val="center" w:pos="4394"/>
          <w:tab w:val="right" w:pos="5387"/>
          <w:tab w:val="right" w:pos="6095"/>
          <w:tab w:val="right" w:pos="6946"/>
          <w:tab w:val="right" w:pos="8647"/>
        </w:tabs>
        <w:spacing w:before="120" w:after="120" w:line="240" w:lineRule="auto"/>
        <w:ind w:right="-51"/>
        <w:contextualSpacing/>
        <w:rPr>
          <w:rFonts w:ascii="Cambria" w:eastAsia="Times New Roman" w:hAnsi="Cambria" w:cstheme="minorHAnsi"/>
        </w:rPr>
      </w:pPr>
    </w:p>
    <w:p w14:paraId="5C02952D" w14:textId="77777777" w:rsidR="00BA4592" w:rsidRPr="009A0DA6" w:rsidRDefault="00BA4592" w:rsidP="00742F47">
      <w:pPr>
        <w:tabs>
          <w:tab w:val="center" w:pos="4394"/>
          <w:tab w:val="right" w:pos="5387"/>
          <w:tab w:val="right" w:pos="6095"/>
          <w:tab w:val="right" w:pos="6946"/>
          <w:tab w:val="right" w:pos="8647"/>
        </w:tabs>
        <w:spacing w:before="120" w:after="120" w:line="240" w:lineRule="auto"/>
        <w:ind w:left="567" w:right="-331" w:hanging="567"/>
        <w:contextualSpacing/>
        <w:rPr>
          <w:rFonts w:ascii="Cambria" w:eastAsiaTheme="minorEastAsia" w:hAnsi="Cambria" w:cstheme="minorHAnsi"/>
          <w:b/>
        </w:rPr>
      </w:pPr>
      <w:r w:rsidRPr="009A0DA6">
        <w:rPr>
          <w:rFonts w:ascii="Cambria" w:hAnsi="Cambria" w:cstheme="minorHAnsi"/>
          <w:b/>
        </w:rPr>
        <w:t>Note 3: Trade and Other receivables</w:t>
      </w:r>
    </w:p>
    <w:p w14:paraId="6A21B7B0" w14:textId="77777777" w:rsidR="00BA4592" w:rsidRPr="009A0DA6" w:rsidRDefault="00BA4592" w:rsidP="00742F47">
      <w:pPr>
        <w:tabs>
          <w:tab w:val="center" w:pos="4394"/>
          <w:tab w:val="right" w:pos="5387"/>
          <w:tab w:val="right" w:pos="6946"/>
          <w:tab w:val="right" w:pos="8647"/>
        </w:tabs>
        <w:spacing w:before="120" w:after="120" w:line="240" w:lineRule="auto"/>
        <w:ind w:left="567" w:right="-331" w:hanging="567"/>
        <w:contextualSpacing/>
        <w:rPr>
          <w:rFonts w:ascii="Cambria" w:eastAsia="Times New Roman" w:hAnsi="Cambria" w:cstheme="minorHAnsi"/>
        </w:rPr>
      </w:pPr>
      <w:r w:rsidRPr="009A0DA6">
        <w:rPr>
          <w:rFonts w:ascii="Cambria" w:eastAsia="Times New Roman" w:hAnsi="Cambria" w:cstheme="minorHAnsi"/>
          <w:spacing w:val="-2"/>
        </w:rPr>
        <w:t>L</w:t>
      </w:r>
      <w:r w:rsidRPr="009A0DA6">
        <w:rPr>
          <w:rFonts w:ascii="Cambria" w:eastAsia="Times New Roman" w:hAnsi="Cambria" w:cstheme="minorHAnsi"/>
          <w:spacing w:val="2"/>
        </w:rPr>
        <w:t>C</w:t>
      </w:r>
      <w:r w:rsidRPr="009A0DA6">
        <w:rPr>
          <w:rFonts w:ascii="Cambria" w:eastAsia="Times New Roman" w:hAnsi="Cambria" w:cstheme="minorHAnsi"/>
        </w:rPr>
        <w:t>A</w:t>
      </w:r>
      <w:r w:rsidRPr="009A0DA6">
        <w:rPr>
          <w:rFonts w:ascii="Cambria" w:eastAsia="Times New Roman" w:hAnsi="Cambria" w:cstheme="minorHAnsi"/>
          <w:spacing w:val="-3"/>
        </w:rPr>
        <w:t xml:space="preserve"> </w:t>
      </w:r>
      <w:r w:rsidRPr="009A0DA6">
        <w:rPr>
          <w:rFonts w:ascii="Cambria" w:eastAsia="Times New Roman" w:hAnsi="Cambria" w:cstheme="minorHAnsi"/>
          <w:spacing w:val="-2"/>
        </w:rPr>
        <w:t>L</w:t>
      </w:r>
      <w:r w:rsidRPr="009A0DA6">
        <w:rPr>
          <w:rFonts w:ascii="Cambria" w:eastAsia="Times New Roman" w:hAnsi="Cambria" w:cstheme="minorHAnsi"/>
          <w:spacing w:val="3"/>
        </w:rPr>
        <w:t>e</w:t>
      </w:r>
      <w:r w:rsidRPr="009A0DA6">
        <w:rPr>
          <w:rFonts w:ascii="Cambria" w:eastAsia="Times New Roman" w:hAnsi="Cambria" w:cstheme="minorHAnsi"/>
          <w:spacing w:val="-1"/>
        </w:rPr>
        <w:t>v</w:t>
      </w:r>
      <w:r w:rsidRPr="009A0DA6">
        <w:rPr>
          <w:rFonts w:ascii="Cambria" w:eastAsia="Times New Roman" w:hAnsi="Cambria" w:cstheme="minorHAnsi"/>
        </w:rPr>
        <w:t>i</w:t>
      </w:r>
      <w:r w:rsidRPr="009A0DA6">
        <w:rPr>
          <w:rFonts w:ascii="Cambria" w:eastAsia="Times New Roman" w:hAnsi="Cambria" w:cstheme="minorHAnsi"/>
          <w:spacing w:val="3"/>
        </w:rPr>
        <w:t>e</w:t>
      </w:r>
      <w:r w:rsidRPr="009A0DA6">
        <w:rPr>
          <w:rFonts w:ascii="Cambria" w:eastAsia="Times New Roman" w:hAnsi="Cambria" w:cstheme="minorHAnsi"/>
        </w:rPr>
        <w:t>s</w:t>
      </w:r>
      <w:r w:rsidRPr="009A0DA6">
        <w:rPr>
          <w:rFonts w:ascii="Cambria" w:eastAsia="Times New Roman" w:hAnsi="Cambria" w:cstheme="minorHAnsi"/>
          <w:spacing w:val="-5"/>
        </w:rPr>
        <w:t xml:space="preserve"> </w:t>
      </w:r>
      <w:r w:rsidRPr="009A0DA6">
        <w:rPr>
          <w:rFonts w:ascii="Cambria" w:eastAsia="Times New Roman" w:hAnsi="Cambria" w:cstheme="minorHAnsi"/>
          <w:spacing w:val="1"/>
        </w:rPr>
        <w:t>r</w:t>
      </w:r>
      <w:r w:rsidRPr="009A0DA6">
        <w:rPr>
          <w:rFonts w:ascii="Cambria" w:eastAsia="Times New Roman" w:hAnsi="Cambria" w:cstheme="minorHAnsi"/>
        </w:rPr>
        <w:t>ecei</w:t>
      </w:r>
      <w:r w:rsidRPr="009A0DA6">
        <w:rPr>
          <w:rFonts w:ascii="Cambria" w:eastAsia="Times New Roman" w:hAnsi="Cambria" w:cstheme="minorHAnsi"/>
          <w:spacing w:val="-1"/>
        </w:rPr>
        <w:t>v</w:t>
      </w:r>
      <w:r w:rsidRPr="009A0DA6">
        <w:rPr>
          <w:rFonts w:ascii="Cambria" w:eastAsia="Times New Roman" w:hAnsi="Cambria" w:cstheme="minorHAnsi"/>
        </w:rPr>
        <w:t>a</w:t>
      </w:r>
      <w:r w:rsidRPr="009A0DA6">
        <w:rPr>
          <w:rFonts w:ascii="Cambria" w:eastAsia="Times New Roman" w:hAnsi="Cambria" w:cstheme="minorHAnsi"/>
          <w:spacing w:val="1"/>
        </w:rPr>
        <w:t>b</w:t>
      </w:r>
      <w:r w:rsidRPr="009A0DA6">
        <w:rPr>
          <w:rFonts w:ascii="Cambria" w:eastAsia="Times New Roman" w:hAnsi="Cambria" w:cstheme="minorHAnsi"/>
        </w:rPr>
        <w:t>le</w:t>
      </w:r>
      <w:r w:rsidRPr="009A0DA6">
        <w:rPr>
          <w:rFonts w:ascii="Cambria" w:eastAsia="Times New Roman" w:hAnsi="Cambria" w:cstheme="minorHAnsi"/>
        </w:rPr>
        <w:tab/>
      </w:r>
      <w:r w:rsidRPr="009A0DA6">
        <w:rPr>
          <w:rFonts w:ascii="Cambria" w:eastAsia="Times New Roman" w:hAnsi="Cambria" w:cstheme="minorHAnsi"/>
        </w:rPr>
        <w:tab/>
        <w:t>0</w:t>
      </w:r>
      <w:r w:rsidRPr="009A0DA6">
        <w:rPr>
          <w:rFonts w:ascii="Cambria" w:eastAsia="Times New Roman" w:hAnsi="Cambria" w:cstheme="minorHAnsi"/>
        </w:rPr>
        <w:tab/>
      </w:r>
      <w:r w:rsidRPr="009A0DA6">
        <w:rPr>
          <w:rFonts w:ascii="Cambria" w:eastAsia="Times New Roman" w:hAnsi="Cambria" w:cstheme="minorHAnsi"/>
          <w:spacing w:val="1"/>
        </w:rPr>
        <w:t>318,</w:t>
      </w:r>
      <w:r w:rsidRPr="009A0DA6">
        <w:rPr>
          <w:rFonts w:ascii="Cambria" w:eastAsia="Times New Roman" w:hAnsi="Cambria" w:cstheme="minorHAnsi"/>
          <w:spacing w:val="-1"/>
        </w:rPr>
        <w:t>0</w:t>
      </w:r>
      <w:r w:rsidRPr="009A0DA6">
        <w:rPr>
          <w:rFonts w:ascii="Cambria" w:eastAsia="Times New Roman" w:hAnsi="Cambria" w:cstheme="minorHAnsi"/>
          <w:spacing w:val="1"/>
        </w:rPr>
        <w:t>0</w:t>
      </w:r>
      <w:r w:rsidRPr="009A0DA6">
        <w:rPr>
          <w:rFonts w:ascii="Cambria" w:eastAsia="Times New Roman" w:hAnsi="Cambria" w:cstheme="minorHAnsi"/>
        </w:rPr>
        <w:t>0</w:t>
      </w:r>
      <w:r w:rsidRPr="009A0DA6">
        <w:rPr>
          <w:rFonts w:ascii="Cambria" w:eastAsia="Times New Roman" w:hAnsi="Cambria" w:cstheme="minorHAnsi"/>
        </w:rPr>
        <w:tab/>
        <w:t>0</w:t>
      </w:r>
    </w:p>
    <w:p w14:paraId="2A90BAB3" w14:textId="77777777" w:rsidR="00BA4592" w:rsidRPr="009A0DA6" w:rsidRDefault="00BA4592" w:rsidP="00742F47">
      <w:pPr>
        <w:tabs>
          <w:tab w:val="center" w:pos="4394"/>
          <w:tab w:val="right" w:pos="5387"/>
          <w:tab w:val="right" w:pos="6946"/>
          <w:tab w:val="right" w:pos="8647"/>
        </w:tabs>
        <w:spacing w:before="120" w:after="120" w:line="240" w:lineRule="auto"/>
        <w:ind w:left="567" w:right="-331" w:hanging="567"/>
        <w:contextualSpacing/>
        <w:rPr>
          <w:rFonts w:ascii="Cambria" w:eastAsia="Times New Roman" w:hAnsi="Cambria" w:cstheme="minorHAnsi"/>
        </w:rPr>
      </w:pPr>
      <w:r w:rsidRPr="009A0DA6">
        <w:rPr>
          <w:rFonts w:ascii="Cambria" w:eastAsia="Times New Roman" w:hAnsi="Cambria" w:cstheme="minorHAnsi"/>
          <w:spacing w:val="3"/>
        </w:rPr>
        <w:t>T</w:t>
      </w:r>
      <w:r w:rsidRPr="009A0DA6">
        <w:rPr>
          <w:rFonts w:ascii="Cambria" w:eastAsia="Times New Roman" w:hAnsi="Cambria" w:cstheme="minorHAnsi"/>
          <w:spacing w:val="1"/>
        </w:rPr>
        <w:t>r</w:t>
      </w:r>
      <w:r w:rsidRPr="009A0DA6">
        <w:rPr>
          <w:rFonts w:ascii="Cambria" w:eastAsia="Times New Roman" w:hAnsi="Cambria" w:cstheme="minorHAnsi"/>
          <w:spacing w:val="-2"/>
        </w:rPr>
        <w:t>a</w:t>
      </w:r>
      <w:r w:rsidRPr="009A0DA6">
        <w:rPr>
          <w:rFonts w:ascii="Cambria" w:eastAsia="Times New Roman" w:hAnsi="Cambria" w:cstheme="minorHAnsi"/>
          <w:spacing w:val="1"/>
        </w:rPr>
        <w:t>d</w:t>
      </w:r>
      <w:r w:rsidRPr="009A0DA6">
        <w:rPr>
          <w:rFonts w:ascii="Cambria" w:eastAsia="Times New Roman" w:hAnsi="Cambria" w:cstheme="minorHAnsi"/>
        </w:rPr>
        <w:t>e</w:t>
      </w:r>
      <w:r w:rsidRPr="009A0DA6">
        <w:rPr>
          <w:rFonts w:ascii="Cambria" w:eastAsia="Times New Roman" w:hAnsi="Cambria" w:cstheme="minorHAnsi"/>
          <w:spacing w:val="-4"/>
        </w:rPr>
        <w:t xml:space="preserve"> </w:t>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spacing w:val="-1"/>
        </w:rPr>
        <w:t xml:space="preserve"> sun</w:t>
      </w:r>
      <w:r w:rsidRPr="009A0DA6">
        <w:rPr>
          <w:rFonts w:ascii="Cambria" w:eastAsia="Times New Roman" w:hAnsi="Cambria" w:cstheme="minorHAnsi"/>
          <w:spacing w:val="1"/>
        </w:rPr>
        <w:t>d</w:t>
      </w:r>
      <w:r w:rsidRPr="009A0DA6">
        <w:rPr>
          <w:rFonts w:ascii="Cambria" w:eastAsia="Times New Roman" w:hAnsi="Cambria" w:cstheme="minorHAnsi"/>
          <w:spacing w:val="3"/>
        </w:rPr>
        <w:t>r</w:t>
      </w:r>
      <w:r w:rsidRPr="009A0DA6">
        <w:rPr>
          <w:rFonts w:ascii="Cambria" w:eastAsia="Times New Roman" w:hAnsi="Cambria" w:cstheme="minorHAnsi"/>
        </w:rPr>
        <w:t>y</w:t>
      </w:r>
      <w:r w:rsidRPr="009A0DA6">
        <w:rPr>
          <w:rFonts w:ascii="Cambria" w:eastAsia="Times New Roman" w:hAnsi="Cambria" w:cstheme="minorHAnsi"/>
          <w:spacing w:val="-8"/>
        </w:rPr>
        <w:t xml:space="preserve"> </w:t>
      </w:r>
      <w:r w:rsidRPr="009A0DA6">
        <w:rPr>
          <w:rFonts w:ascii="Cambria" w:eastAsia="Times New Roman" w:hAnsi="Cambria" w:cstheme="minorHAnsi"/>
          <w:spacing w:val="1"/>
        </w:rPr>
        <w:t>d</w:t>
      </w:r>
      <w:r w:rsidRPr="009A0DA6">
        <w:rPr>
          <w:rFonts w:ascii="Cambria" w:eastAsia="Times New Roman" w:hAnsi="Cambria" w:cstheme="minorHAnsi"/>
        </w:rPr>
        <w:t>e</w:t>
      </w:r>
      <w:r w:rsidRPr="009A0DA6">
        <w:rPr>
          <w:rFonts w:ascii="Cambria" w:eastAsia="Times New Roman" w:hAnsi="Cambria" w:cstheme="minorHAnsi"/>
          <w:spacing w:val="1"/>
        </w:rPr>
        <w:t>b</w:t>
      </w:r>
      <w:r w:rsidRPr="009A0DA6">
        <w:rPr>
          <w:rFonts w:ascii="Cambria" w:eastAsia="Times New Roman" w:hAnsi="Cambria" w:cstheme="minorHAnsi"/>
        </w:rPr>
        <w:t>t</w:t>
      </w:r>
      <w:r w:rsidRPr="009A0DA6">
        <w:rPr>
          <w:rFonts w:ascii="Cambria" w:eastAsia="Times New Roman" w:hAnsi="Cambria" w:cstheme="minorHAnsi"/>
          <w:spacing w:val="1"/>
        </w:rPr>
        <w:t>or</w:t>
      </w:r>
      <w:r w:rsidRPr="009A0DA6">
        <w:rPr>
          <w:rFonts w:ascii="Cambria" w:eastAsia="Times New Roman" w:hAnsi="Cambria" w:cstheme="minorHAnsi"/>
        </w:rPr>
        <w:t>s</w:t>
      </w:r>
      <w:r w:rsidRPr="009A0DA6">
        <w:rPr>
          <w:rFonts w:ascii="Cambria" w:eastAsia="Times New Roman" w:hAnsi="Cambria" w:cstheme="minorHAnsi"/>
        </w:rPr>
        <w:tab/>
      </w:r>
      <w:r w:rsidRPr="009A0DA6">
        <w:rPr>
          <w:rFonts w:ascii="Cambria" w:eastAsia="Times New Roman" w:hAnsi="Cambria" w:cstheme="minorHAnsi"/>
        </w:rPr>
        <w:tab/>
      </w:r>
      <w:r w:rsidRPr="009A0DA6">
        <w:rPr>
          <w:rFonts w:ascii="Cambria" w:eastAsia="Times New Roman" w:hAnsi="Cambria" w:cstheme="minorHAnsi"/>
          <w:spacing w:val="1"/>
        </w:rPr>
        <w:t>204,</w:t>
      </w:r>
      <w:r w:rsidRPr="009A0DA6">
        <w:rPr>
          <w:rFonts w:ascii="Cambria" w:eastAsia="Times New Roman" w:hAnsi="Cambria" w:cstheme="minorHAnsi"/>
          <w:spacing w:val="-1"/>
        </w:rPr>
        <w:t>4</w:t>
      </w:r>
      <w:r w:rsidRPr="009A0DA6">
        <w:rPr>
          <w:rFonts w:ascii="Cambria" w:eastAsia="Times New Roman" w:hAnsi="Cambria" w:cstheme="minorHAnsi"/>
          <w:spacing w:val="1"/>
        </w:rPr>
        <w:t>3</w:t>
      </w:r>
      <w:r w:rsidRPr="009A0DA6">
        <w:rPr>
          <w:rFonts w:ascii="Cambria" w:eastAsia="Times New Roman" w:hAnsi="Cambria" w:cstheme="minorHAnsi"/>
        </w:rPr>
        <w:t>4</w:t>
      </w:r>
      <w:r w:rsidRPr="009A0DA6">
        <w:rPr>
          <w:rFonts w:ascii="Cambria" w:eastAsia="Times New Roman" w:hAnsi="Cambria" w:cstheme="minorHAnsi"/>
        </w:rPr>
        <w:tab/>
      </w:r>
      <w:r w:rsidRPr="009A0DA6">
        <w:rPr>
          <w:rFonts w:ascii="Cambria" w:eastAsia="Times New Roman" w:hAnsi="Cambria" w:cstheme="minorHAnsi"/>
          <w:spacing w:val="1"/>
        </w:rPr>
        <w:t>215,</w:t>
      </w:r>
      <w:r w:rsidRPr="009A0DA6">
        <w:rPr>
          <w:rFonts w:ascii="Cambria" w:eastAsia="Times New Roman" w:hAnsi="Cambria" w:cstheme="minorHAnsi"/>
          <w:spacing w:val="-1"/>
        </w:rPr>
        <w:t>1</w:t>
      </w:r>
      <w:r w:rsidRPr="009A0DA6">
        <w:rPr>
          <w:rFonts w:ascii="Cambria" w:eastAsia="Times New Roman" w:hAnsi="Cambria" w:cstheme="minorHAnsi"/>
          <w:spacing w:val="1"/>
        </w:rPr>
        <w:t>5</w:t>
      </w:r>
      <w:r w:rsidRPr="009A0DA6">
        <w:rPr>
          <w:rFonts w:ascii="Cambria" w:eastAsia="Times New Roman" w:hAnsi="Cambria" w:cstheme="minorHAnsi"/>
        </w:rPr>
        <w:t>5</w:t>
      </w:r>
      <w:r w:rsidRPr="009A0DA6">
        <w:rPr>
          <w:rFonts w:ascii="Cambria" w:eastAsia="Times New Roman" w:hAnsi="Cambria" w:cstheme="minorHAnsi"/>
        </w:rPr>
        <w:tab/>
        <w:t>197,490</w:t>
      </w:r>
    </w:p>
    <w:p w14:paraId="0D571DC0" w14:textId="77777777" w:rsidR="00BA4592" w:rsidRPr="009A0DA6" w:rsidRDefault="00BA4592" w:rsidP="00742F47">
      <w:pPr>
        <w:tabs>
          <w:tab w:val="center" w:pos="4394"/>
          <w:tab w:val="right" w:pos="5387"/>
          <w:tab w:val="right" w:pos="6946"/>
          <w:tab w:val="right" w:pos="8647"/>
        </w:tabs>
        <w:spacing w:before="120" w:after="120" w:line="240" w:lineRule="auto"/>
        <w:ind w:left="567" w:right="-331" w:hanging="567"/>
        <w:contextualSpacing/>
        <w:rPr>
          <w:rFonts w:ascii="Cambria" w:eastAsia="Times New Roman" w:hAnsi="Cambria" w:cstheme="minorHAnsi"/>
        </w:rPr>
      </w:pPr>
      <w:r w:rsidRPr="009A0DA6">
        <w:rPr>
          <w:rFonts w:ascii="Cambria" w:eastAsia="Times New Roman" w:hAnsi="Cambria" w:cstheme="minorHAnsi"/>
          <w:spacing w:val="3"/>
        </w:rPr>
        <w:t>T</w:t>
      </w:r>
      <w:r w:rsidRPr="009A0DA6">
        <w:rPr>
          <w:rFonts w:ascii="Cambria" w:eastAsia="Times New Roman" w:hAnsi="Cambria" w:cstheme="minorHAnsi"/>
        </w:rPr>
        <w:t>ax</w:t>
      </w:r>
      <w:r w:rsidRPr="009A0DA6">
        <w:rPr>
          <w:rFonts w:ascii="Cambria" w:eastAsia="Times New Roman" w:hAnsi="Cambria" w:cstheme="minorHAnsi"/>
          <w:spacing w:val="-4"/>
        </w:rPr>
        <w:t xml:space="preserve"> </w:t>
      </w:r>
      <w:r w:rsidRPr="009A0DA6">
        <w:rPr>
          <w:rFonts w:ascii="Cambria" w:eastAsia="Times New Roman" w:hAnsi="Cambria" w:cstheme="minorHAnsi"/>
          <w:spacing w:val="1"/>
        </w:rPr>
        <w:t>r</w:t>
      </w:r>
      <w:r w:rsidRPr="009A0DA6">
        <w:rPr>
          <w:rFonts w:ascii="Cambria" w:eastAsia="Times New Roman" w:hAnsi="Cambria" w:cstheme="minorHAnsi"/>
        </w:rPr>
        <w:t>ecei</w:t>
      </w:r>
      <w:r w:rsidRPr="009A0DA6">
        <w:rPr>
          <w:rFonts w:ascii="Cambria" w:eastAsia="Times New Roman" w:hAnsi="Cambria" w:cstheme="minorHAnsi"/>
          <w:spacing w:val="-1"/>
        </w:rPr>
        <w:t>v</w:t>
      </w:r>
      <w:r w:rsidRPr="009A0DA6">
        <w:rPr>
          <w:rFonts w:ascii="Cambria" w:eastAsia="Times New Roman" w:hAnsi="Cambria" w:cstheme="minorHAnsi"/>
        </w:rPr>
        <w:t>a</w:t>
      </w:r>
      <w:r w:rsidRPr="009A0DA6">
        <w:rPr>
          <w:rFonts w:ascii="Cambria" w:eastAsia="Times New Roman" w:hAnsi="Cambria" w:cstheme="minorHAnsi"/>
          <w:spacing w:val="1"/>
        </w:rPr>
        <w:t>b</w:t>
      </w:r>
      <w:r w:rsidRPr="009A0DA6">
        <w:rPr>
          <w:rFonts w:ascii="Cambria" w:eastAsia="Times New Roman" w:hAnsi="Cambria" w:cstheme="minorHAnsi"/>
        </w:rPr>
        <w:t>les</w:t>
      </w:r>
      <w:r w:rsidRPr="009A0DA6">
        <w:rPr>
          <w:rFonts w:ascii="Cambria" w:eastAsia="Times New Roman" w:hAnsi="Cambria" w:cstheme="minorHAnsi"/>
        </w:rPr>
        <w:tab/>
      </w:r>
      <w:r w:rsidRPr="009A0DA6">
        <w:rPr>
          <w:rFonts w:ascii="Cambria" w:eastAsia="Times New Roman" w:hAnsi="Cambria" w:cstheme="minorHAnsi"/>
        </w:rPr>
        <w:tab/>
      </w:r>
      <w:r w:rsidRPr="009A0DA6">
        <w:rPr>
          <w:rFonts w:ascii="Cambria" w:eastAsia="Times New Roman" w:hAnsi="Cambria" w:cstheme="minorHAnsi"/>
          <w:spacing w:val="1"/>
        </w:rPr>
        <w:t>23,2</w:t>
      </w:r>
      <w:r w:rsidRPr="009A0DA6">
        <w:rPr>
          <w:rFonts w:ascii="Cambria" w:eastAsia="Times New Roman" w:hAnsi="Cambria" w:cstheme="minorHAnsi"/>
          <w:spacing w:val="-1"/>
        </w:rPr>
        <w:t>7</w:t>
      </w:r>
      <w:r w:rsidRPr="009A0DA6">
        <w:rPr>
          <w:rFonts w:ascii="Cambria" w:eastAsia="Times New Roman" w:hAnsi="Cambria" w:cstheme="minorHAnsi"/>
        </w:rPr>
        <w:t>6</w:t>
      </w:r>
      <w:r w:rsidRPr="009A0DA6">
        <w:rPr>
          <w:rFonts w:ascii="Cambria" w:eastAsia="Times New Roman" w:hAnsi="Cambria" w:cstheme="minorHAnsi"/>
        </w:rPr>
        <w:tab/>
      </w:r>
      <w:r w:rsidRPr="009A0DA6">
        <w:rPr>
          <w:rFonts w:ascii="Cambria" w:eastAsia="Times New Roman" w:hAnsi="Cambria" w:cstheme="minorHAnsi"/>
          <w:spacing w:val="1"/>
        </w:rPr>
        <w:t>19,0</w:t>
      </w:r>
      <w:r w:rsidRPr="009A0DA6">
        <w:rPr>
          <w:rFonts w:ascii="Cambria" w:eastAsia="Times New Roman" w:hAnsi="Cambria" w:cstheme="minorHAnsi"/>
          <w:spacing w:val="-1"/>
        </w:rPr>
        <w:t>8</w:t>
      </w:r>
      <w:r w:rsidRPr="009A0DA6">
        <w:rPr>
          <w:rFonts w:ascii="Cambria" w:eastAsia="Times New Roman" w:hAnsi="Cambria" w:cstheme="minorHAnsi"/>
        </w:rPr>
        <w:t>4</w:t>
      </w:r>
      <w:r w:rsidRPr="009A0DA6">
        <w:rPr>
          <w:rFonts w:ascii="Cambria" w:eastAsia="Times New Roman" w:hAnsi="Cambria" w:cstheme="minorHAnsi"/>
        </w:rPr>
        <w:tab/>
        <w:t>35,842</w:t>
      </w:r>
    </w:p>
    <w:p w14:paraId="4178B808" w14:textId="77777777" w:rsidR="00742F47" w:rsidRDefault="00BA4592" w:rsidP="00742F47">
      <w:pPr>
        <w:tabs>
          <w:tab w:val="center" w:pos="4394"/>
          <w:tab w:val="right" w:pos="5387"/>
          <w:tab w:val="right" w:pos="6946"/>
          <w:tab w:val="right" w:pos="8647"/>
        </w:tabs>
        <w:spacing w:before="120" w:after="120" w:line="240" w:lineRule="auto"/>
        <w:ind w:left="567" w:right="-331" w:hanging="567"/>
        <w:contextualSpacing/>
        <w:rPr>
          <w:rFonts w:ascii="Cambria" w:hAnsi="Cambria" w:cstheme="minorHAnsi"/>
          <w:b/>
        </w:rPr>
      </w:pPr>
      <w:r w:rsidRPr="009A0DA6">
        <w:rPr>
          <w:rFonts w:ascii="Cambria" w:hAnsi="Cambria" w:cstheme="minorHAnsi"/>
          <w:b/>
        </w:rPr>
        <w:t xml:space="preserve">TOTAL TRADE AND </w:t>
      </w:r>
    </w:p>
    <w:p w14:paraId="621D157B" w14:textId="79CB6F9D" w:rsidR="00BA4592" w:rsidRPr="009A0DA6" w:rsidRDefault="00BA4592" w:rsidP="00742F47">
      <w:pPr>
        <w:tabs>
          <w:tab w:val="center" w:pos="4394"/>
          <w:tab w:val="right" w:pos="5387"/>
          <w:tab w:val="right" w:pos="6946"/>
          <w:tab w:val="right" w:pos="8647"/>
        </w:tabs>
        <w:spacing w:before="120" w:after="120" w:line="240" w:lineRule="auto"/>
        <w:ind w:left="567" w:right="-331" w:hanging="567"/>
        <w:contextualSpacing/>
        <w:rPr>
          <w:rFonts w:ascii="Cambria" w:eastAsia="Times New Roman" w:hAnsi="Cambria" w:cstheme="minorHAnsi"/>
          <w:b/>
        </w:rPr>
      </w:pPr>
      <w:r w:rsidRPr="009A0DA6">
        <w:rPr>
          <w:rFonts w:ascii="Cambria" w:hAnsi="Cambria" w:cstheme="minorHAnsi"/>
          <w:b/>
        </w:rPr>
        <w:t>OTHER RECEIVABLES</w:t>
      </w:r>
      <w:r w:rsidRPr="009A0DA6">
        <w:rPr>
          <w:rFonts w:ascii="Cambria" w:hAnsi="Cambria" w:cstheme="minorHAnsi"/>
          <w:b/>
        </w:rPr>
        <w:tab/>
      </w:r>
      <w:r w:rsidR="00742F47">
        <w:rPr>
          <w:rFonts w:ascii="Cambria" w:hAnsi="Cambria" w:cstheme="minorHAnsi"/>
          <w:b/>
        </w:rPr>
        <w:tab/>
      </w:r>
      <w:r w:rsidRPr="009A0DA6">
        <w:rPr>
          <w:rFonts w:ascii="Cambria" w:hAnsi="Cambria" w:cstheme="minorHAnsi"/>
          <w:b/>
        </w:rPr>
        <w:t>$</w:t>
      </w:r>
      <w:r w:rsidRPr="009A0DA6">
        <w:rPr>
          <w:rFonts w:ascii="Cambria" w:eastAsia="Times New Roman" w:hAnsi="Cambria" w:cstheme="minorHAnsi"/>
          <w:b/>
          <w:spacing w:val="1"/>
        </w:rPr>
        <w:t>22</w:t>
      </w:r>
      <w:r w:rsidRPr="009A0DA6">
        <w:rPr>
          <w:rFonts w:ascii="Cambria" w:eastAsia="Times New Roman" w:hAnsi="Cambria" w:cstheme="minorHAnsi"/>
          <w:b/>
          <w:spacing w:val="-1"/>
        </w:rPr>
        <w:t>7</w:t>
      </w:r>
      <w:r w:rsidRPr="009A0DA6">
        <w:rPr>
          <w:rFonts w:ascii="Cambria" w:eastAsia="Times New Roman" w:hAnsi="Cambria" w:cstheme="minorHAnsi"/>
          <w:b/>
          <w:spacing w:val="1"/>
        </w:rPr>
        <w:t>,7</w:t>
      </w:r>
      <w:r w:rsidRPr="009A0DA6">
        <w:rPr>
          <w:rFonts w:ascii="Cambria" w:eastAsia="Times New Roman" w:hAnsi="Cambria" w:cstheme="minorHAnsi"/>
          <w:b/>
          <w:spacing w:val="-1"/>
        </w:rPr>
        <w:t>1</w:t>
      </w:r>
      <w:r w:rsidRPr="009A0DA6">
        <w:rPr>
          <w:rFonts w:ascii="Cambria" w:eastAsia="Times New Roman" w:hAnsi="Cambria" w:cstheme="minorHAnsi"/>
          <w:b/>
        </w:rPr>
        <w:t>0</w:t>
      </w:r>
      <w:r w:rsidRPr="009A0DA6">
        <w:rPr>
          <w:rFonts w:ascii="Cambria" w:eastAsia="Times New Roman" w:hAnsi="Cambria" w:cstheme="minorHAnsi"/>
          <w:b/>
          <w:spacing w:val="-43"/>
        </w:rPr>
        <w:t xml:space="preserve"> </w:t>
      </w:r>
      <w:r w:rsidRPr="009A0DA6">
        <w:rPr>
          <w:rFonts w:ascii="Cambria" w:eastAsia="Times New Roman" w:hAnsi="Cambria" w:cstheme="minorHAnsi"/>
          <w:b/>
        </w:rPr>
        <w:tab/>
      </w:r>
      <w:r w:rsidRPr="009A0DA6">
        <w:rPr>
          <w:rFonts w:ascii="Cambria" w:eastAsia="Times New Roman" w:hAnsi="Cambria" w:cstheme="minorHAnsi"/>
          <w:b/>
          <w:spacing w:val="1"/>
          <w:w w:val="99"/>
        </w:rPr>
        <w:t xml:space="preserve"> $</w:t>
      </w:r>
      <w:r w:rsidRPr="009A0DA6">
        <w:rPr>
          <w:rFonts w:ascii="Cambria" w:eastAsia="Times New Roman" w:hAnsi="Cambria" w:cstheme="minorHAnsi"/>
          <w:b/>
          <w:spacing w:val="1"/>
        </w:rPr>
        <w:t>552</w:t>
      </w:r>
      <w:r w:rsidRPr="009A0DA6">
        <w:rPr>
          <w:rFonts w:ascii="Cambria" w:eastAsia="Times New Roman" w:hAnsi="Cambria" w:cstheme="minorHAnsi"/>
          <w:b/>
          <w:spacing w:val="-2"/>
        </w:rPr>
        <w:t>,</w:t>
      </w:r>
      <w:r w:rsidRPr="009A0DA6">
        <w:rPr>
          <w:rFonts w:ascii="Cambria" w:eastAsia="Times New Roman" w:hAnsi="Cambria" w:cstheme="minorHAnsi"/>
          <w:b/>
          <w:spacing w:val="1"/>
        </w:rPr>
        <w:t>23</w:t>
      </w:r>
      <w:r w:rsidRPr="009A0DA6">
        <w:rPr>
          <w:rFonts w:ascii="Cambria" w:eastAsia="Times New Roman" w:hAnsi="Cambria" w:cstheme="minorHAnsi"/>
          <w:b/>
        </w:rPr>
        <w:t>9</w:t>
      </w:r>
      <w:r w:rsidRPr="009A0DA6">
        <w:rPr>
          <w:rFonts w:ascii="Cambria" w:eastAsia="Times New Roman" w:hAnsi="Cambria" w:cstheme="minorHAnsi"/>
          <w:b/>
        </w:rPr>
        <w:tab/>
        <w:t>$233,332</w:t>
      </w:r>
    </w:p>
    <w:p w14:paraId="10CDFB82" w14:textId="77777777" w:rsidR="00BA4592" w:rsidRPr="007408EE" w:rsidRDefault="00BA4592" w:rsidP="00BA4592">
      <w:pPr>
        <w:tabs>
          <w:tab w:val="center" w:pos="4394"/>
          <w:tab w:val="right" w:pos="6095"/>
          <w:tab w:val="right" w:pos="7371"/>
          <w:tab w:val="right" w:pos="8647"/>
        </w:tabs>
        <w:spacing w:before="120" w:after="120" w:line="240" w:lineRule="auto"/>
        <w:ind w:right="-51"/>
        <w:contextualSpacing/>
        <w:rPr>
          <w:rFonts w:ascii="Cambria" w:eastAsiaTheme="minorEastAsia" w:hAnsi="Cambria" w:cstheme="minorHAnsi"/>
          <w:sz w:val="8"/>
        </w:rPr>
      </w:pPr>
    </w:p>
    <w:p w14:paraId="589F18F6" w14:textId="77777777" w:rsidR="00206BF6" w:rsidRDefault="00206BF6">
      <w:pPr>
        <w:rPr>
          <w:rFonts w:ascii="Cambria" w:hAnsi="Cambria" w:cstheme="minorHAnsi"/>
          <w:b/>
        </w:rPr>
      </w:pPr>
      <w:r>
        <w:rPr>
          <w:rFonts w:ascii="Cambria" w:hAnsi="Cambria" w:cstheme="minorHAnsi"/>
          <w:b/>
        </w:rPr>
        <w:br w:type="page"/>
      </w:r>
    </w:p>
    <w:p w14:paraId="49366C50" w14:textId="50D00D6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hAnsi="Cambria" w:cstheme="minorHAnsi"/>
          <w:b/>
        </w:rPr>
      </w:pPr>
      <w:r w:rsidRPr="009A0DA6">
        <w:rPr>
          <w:rFonts w:ascii="Cambria" w:hAnsi="Cambria" w:cstheme="minorHAnsi"/>
          <w:b/>
        </w:rPr>
        <w:lastRenderedPageBreak/>
        <w:t>Note 4: Other Assets</w:t>
      </w:r>
    </w:p>
    <w:p w14:paraId="47E61AD8"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hAnsi="Cambria" w:cstheme="minorHAnsi"/>
          <w:b/>
        </w:rPr>
      </w:pPr>
      <w:r w:rsidRPr="009A0DA6">
        <w:rPr>
          <w:rFonts w:ascii="Cambria" w:eastAsia="Times New Roman" w:hAnsi="Cambria" w:cstheme="minorHAnsi"/>
          <w:spacing w:val="1"/>
        </w:rPr>
        <w:t>I</w:t>
      </w:r>
      <w:r w:rsidRPr="009A0DA6">
        <w:rPr>
          <w:rFonts w:ascii="Cambria" w:eastAsia="Times New Roman" w:hAnsi="Cambria" w:cstheme="minorHAnsi"/>
          <w:spacing w:val="-1"/>
        </w:rPr>
        <w:t>nv</w:t>
      </w:r>
      <w:r w:rsidRPr="009A0DA6">
        <w:rPr>
          <w:rFonts w:ascii="Cambria" w:eastAsia="Times New Roman" w:hAnsi="Cambria" w:cstheme="minorHAnsi"/>
          <w:spacing w:val="3"/>
        </w:rPr>
        <w:t>e</w:t>
      </w:r>
      <w:r w:rsidRPr="009A0DA6">
        <w:rPr>
          <w:rFonts w:ascii="Cambria" w:eastAsia="Times New Roman" w:hAnsi="Cambria" w:cstheme="minorHAnsi"/>
          <w:spacing w:val="-1"/>
        </w:rPr>
        <w:t>n</w:t>
      </w:r>
      <w:r w:rsidRPr="009A0DA6">
        <w:rPr>
          <w:rFonts w:ascii="Cambria" w:eastAsia="Times New Roman" w:hAnsi="Cambria" w:cstheme="minorHAnsi"/>
        </w:rPr>
        <w:t>t</w:t>
      </w:r>
      <w:r w:rsidRPr="009A0DA6">
        <w:rPr>
          <w:rFonts w:ascii="Cambria" w:eastAsia="Times New Roman" w:hAnsi="Cambria" w:cstheme="minorHAnsi"/>
          <w:spacing w:val="1"/>
        </w:rPr>
        <w:t>o</w:t>
      </w:r>
      <w:r w:rsidRPr="009A0DA6">
        <w:rPr>
          <w:rFonts w:ascii="Cambria" w:eastAsia="Times New Roman" w:hAnsi="Cambria" w:cstheme="minorHAnsi"/>
          <w:spacing w:val="3"/>
        </w:rPr>
        <w:t>r</w:t>
      </w:r>
      <w:r w:rsidRPr="009A0DA6">
        <w:rPr>
          <w:rFonts w:ascii="Cambria" w:eastAsia="Times New Roman" w:hAnsi="Cambria" w:cstheme="minorHAnsi"/>
        </w:rPr>
        <w:t>y</w:t>
      </w:r>
      <w:r w:rsidRPr="009A0DA6">
        <w:rPr>
          <w:rFonts w:ascii="Cambria" w:eastAsia="Times New Roman" w:hAnsi="Cambria" w:cstheme="minorHAnsi"/>
        </w:rPr>
        <w:tab/>
      </w:r>
      <w:r w:rsidRPr="009A0DA6">
        <w:rPr>
          <w:rFonts w:ascii="Cambria" w:eastAsia="Times New Roman" w:hAnsi="Cambria" w:cstheme="minorHAnsi"/>
        </w:rPr>
        <w:tab/>
      </w:r>
      <w:r w:rsidRPr="009A0DA6">
        <w:rPr>
          <w:rFonts w:ascii="Cambria" w:eastAsia="Times New Roman" w:hAnsi="Cambria" w:cstheme="minorHAnsi"/>
          <w:spacing w:val="1"/>
        </w:rPr>
        <w:t>57,1</w:t>
      </w:r>
      <w:r w:rsidRPr="009A0DA6">
        <w:rPr>
          <w:rFonts w:ascii="Cambria" w:eastAsia="Times New Roman" w:hAnsi="Cambria" w:cstheme="minorHAnsi"/>
          <w:spacing w:val="-1"/>
        </w:rPr>
        <w:t>5</w:t>
      </w:r>
      <w:r w:rsidRPr="009A0DA6">
        <w:rPr>
          <w:rFonts w:ascii="Cambria" w:eastAsia="Times New Roman" w:hAnsi="Cambria" w:cstheme="minorHAnsi"/>
        </w:rPr>
        <w:t>4</w:t>
      </w:r>
      <w:r w:rsidRPr="009A0DA6">
        <w:rPr>
          <w:rFonts w:ascii="Cambria" w:eastAsia="Times New Roman" w:hAnsi="Cambria" w:cstheme="minorHAnsi"/>
        </w:rPr>
        <w:tab/>
      </w:r>
      <w:r w:rsidRPr="009A0DA6">
        <w:rPr>
          <w:rFonts w:ascii="Cambria" w:eastAsia="Times New Roman" w:hAnsi="Cambria" w:cstheme="minorHAnsi"/>
          <w:spacing w:val="1"/>
        </w:rPr>
        <w:t>56,6</w:t>
      </w:r>
      <w:r w:rsidRPr="009A0DA6">
        <w:rPr>
          <w:rFonts w:ascii="Cambria" w:eastAsia="Times New Roman" w:hAnsi="Cambria" w:cstheme="minorHAnsi"/>
          <w:spacing w:val="-1"/>
        </w:rPr>
        <w:t>5</w:t>
      </w:r>
      <w:r w:rsidRPr="009A0DA6">
        <w:rPr>
          <w:rFonts w:ascii="Cambria" w:eastAsia="Times New Roman" w:hAnsi="Cambria" w:cstheme="minorHAnsi"/>
        </w:rPr>
        <w:t>9</w:t>
      </w:r>
      <w:r w:rsidRPr="009A0DA6">
        <w:rPr>
          <w:rFonts w:ascii="Cambria" w:eastAsia="Times New Roman" w:hAnsi="Cambria" w:cstheme="minorHAnsi"/>
        </w:rPr>
        <w:tab/>
        <w:t>80,724</w:t>
      </w:r>
    </w:p>
    <w:p w14:paraId="61A0ABE1"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hAnsi="Cambria" w:cstheme="minorHAnsi"/>
          <w:b/>
        </w:rPr>
      </w:pPr>
      <w:r w:rsidRPr="009A0DA6">
        <w:rPr>
          <w:rFonts w:ascii="Cambria" w:eastAsia="Times New Roman" w:hAnsi="Cambria" w:cstheme="minorHAnsi"/>
          <w:spacing w:val="2"/>
        </w:rPr>
        <w:t>P</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1"/>
        </w:rPr>
        <w:t>p</w:t>
      </w:r>
      <w:r w:rsidRPr="009A0DA6">
        <w:rPr>
          <w:rFonts w:ascii="Cambria" w:eastAsia="Times New Roman" w:hAnsi="Cambria" w:cstheme="minorHAnsi"/>
        </w:rPr>
        <w:t>a</w:t>
      </w:r>
      <w:r w:rsidRPr="009A0DA6">
        <w:rPr>
          <w:rFonts w:ascii="Cambria" w:eastAsia="Times New Roman" w:hAnsi="Cambria" w:cstheme="minorHAnsi"/>
          <w:spacing w:val="-1"/>
        </w:rPr>
        <w:t>y</w:t>
      </w:r>
      <w:r w:rsidRPr="009A0DA6">
        <w:rPr>
          <w:rFonts w:ascii="Cambria" w:eastAsia="Times New Roman" w:hAnsi="Cambria" w:cstheme="minorHAnsi"/>
          <w:spacing w:val="-4"/>
        </w:rPr>
        <w:t>m</w:t>
      </w:r>
      <w:r w:rsidRPr="009A0DA6">
        <w:rPr>
          <w:rFonts w:ascii="Cambria" w:eastAsia="Times New Roman" w:hAnsi="Cambria" w:cstheme="minorHAnsi"/>
          <w:spacing w:val="3"/>
        </w:rPr>
        <w:t>e</w:t>
      </w:r>
      <w:r w:rsidRPr="009A0DA6">
        <w:rPr>
          <w:rFonts w:ascii="Cambria" w:eastAsia="Times New Roman" w:hAnsi="Cambria" w:cstheme="minorHAnsi"/>
          <w:spacing w:val="-1"/>
        </w:rPr>
        <w:t>n</w:t>
      </w:r>
      <w:r w:rsidRPr="009A0DA6">
        <w:rPr>
          <w:rFonts w:ascii="Cambria" w:eastAsia="Times New Roman" w:hAnsi="Cambria" w:cstheme="minorHAnsi"/>
        </w:rPr>
        <w:t>ts</w:t>
      </w:r>
      <w:r w:rsidRPr="009A0DA6">
        <w:rPr>
          <w:rFonts w:ascii="Cambria" w:eastAsia="Times New Roman" w:hAnsi="Cambria" w:cstheme="minorHAnsi"/>
        </w:rPr>
        <w:tab/>
      </w:r>
      <w:r w:rsidRPr="009A0DA6">
        <w:rPr>
          <w:rFonts w:ascii="Cambria" w:eastAsia="Times New Roman" w:hAnsi="Cambria" w:cstheme="minorHAnsi"/>
        </w:rPr>
        <w:tab/>
      </w:r>
      <w:r w:rsidRPr="009A0DA6">
        <w:rPr>
          <w:rFonts w:ascii="Cambria" w:eastAsia="Times New Roman" w:hAnsi="Cambria" w:cstheme="minorHAnsi"/>
          <w:spacing w:val="1"/>
        </w:rPr>
        <w:t>77,5</w:t>
      </w:r>
      <w:r w:rsidRPr="009A0DA6">
        <w:rPr>
          <w:rFonts w:ascii="Cambria" w:eastAsia="Times New Roman" w:hAnsi="Cambria" w:cstheme="minorHAnsi"/>
          <w:spacing w:val="-1"/>
        </w:rPr>
        <w:t>9</w:t>
      </w:r>
      <w:r w:rsidRPr="009A0DA6">
        <w:rPr>
          <w:rFonts w:ascii="Cambria" w:eastAsia="Times New Roman" w:hAnsi="Cambria" w:cstheme="minorHAnsi"/>
        </w:rPr>
        <w:t>8</w:t>
      </w:r>
      <w:r w:rsidRPr="009A0DA6">
        <w:rPr>
          <w:rFonts w:ascii="Cambria" w:eastAsia="Times New Roman" w:hAnsi="Cambria" w:cstheme="minorHAnsi"/>
        </w:rPr>
        <w:tab/>
      </w:r>
      <w:r w:rsidRPr="009A0DA6">
        <w:rPr>
          <w:rFonts w:ascii="Cambria" w:eastAsia="Times New Roman" w:hAnsi="Cambria" w:cstheme="minorHAnsi"/>
          <w:spacing w:val="1"/>
        </w:rPr>
        <w:t>98,8</w:t>
      </w:r>
      <w:r w:rsidRPr="009A0DA6">
        <w:rPr>
          <w:rFonts w:ascii="Cambria" w:eastAsia="Times New Roman" w:hAnsi="Cambria" w:cstheme="minorHAnsi"/>
          <w:spacing w:val="-1"/>
        </w:rPr>
        <w:t>8</w:t>
      </w:r>
      <w:r w:rsidRPr="009A0DA6">
        <w:rPr>
          <w:rFonts w:ascii="Cambria" w:eastAsia="Times New Roman" w:hAnsi="Cambria" w:cstheme="minorHAnsi"/>
        </w:rPr>
        <w:t>4</w:t>
      </w:r>
      <w:r w:rsidRPr="009A0DA6">
        <w:rPr>
          <w:rFonts w:ascii="Cambria" w:eastAsia="Times New Roman" w:hAnsi="Cambria" w:cstheme="minorHAnsi"/>
        </w:rPr>
        <w:tab/>
        <w:t>157,069</w:t>
      </w:r>
    </w:p>
    <w:p w14:paraId="6BEEC7A7"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hAnsi="Cambria" w:cstheme="minorHAnsi"/>
          <w:b/>
        </w:rPr>
      </w:pPr>
      <w:r w:rsidRPr="009A0DA6">
        <w:rPr>
          <w:rFonts w:ascii="Cambria" w:eastAsia="Times New Roman" w:hAnsi="Cambria" w:cstheme="minorHAnsi"/>
          <w:spacing w:val="-2"/>
        </w:rPr>
        <w:t>L</w:t>
      </w:r>
      <w:r w:rsidRPr="009A0DA6">
        <w:rPr>
          <w:rFonts w:ascii="Cambria" w:eastAsia="Times New Roman" w:hAnsi="Cambria" w:cstheme="minorHAnsi"/>
          <w:spacing w:val="1"/>
        </w:rPr>
        <w:t>o</w:t>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rPr>
        <w:t>s</w:t>
      </w:r>
      <w:r w:rsidRPr="009A0DA6">
        <w:rPr>
          <w:rFonts w:ascii="Cambria" w:eastAsia="Times New Roman" w:hAnsi="Cambria" w:cstheme="minorHAnsi"/>
          <w:spacing w:val="-5"/>
        </w:rPr>
        <w:t xml:space="preserve"> </w:t>
      </w:r>
      <w:r w:rsidRPr="009A0DA6">
        <w:rPr>
          <w:rFonts w:ascii="Cambria" w:eastAsia="Times New Roman" w:hAnsi="Cambria" w:cstheme="minorHAnsi"/>
        </w:rPr>
        <w:t xml:space="preserve">to </w:t>
      </w:r>
      <w:r w:rsidRPr="009A0DA6">
        <w:rPr>
          <w:rFonts w:ascii="Cambria" w:eastAsia="Times New Roman" w:hAnsi="Cambria" w:cstheme="minorHAnsi"/>
          <w:spacing w:val="1"/>
        </w:rPr>
        <w:t>L</w:t>
      </w:r>
      <w:r w:rsidRPr="009A0DA6">
        <w:rPr>
          <w:rFonts w:ascii="Cambria" w:eastAsia="Times New Roman" w:hAnsi="Cambria" w:cstheme="minorHAnsi"/>
          <w:spacing w:val="2"/>
        </w:rPr>
        <w:t>C</w:t>
      </w:r>
      <w:r w:rsidRPr="009A0DA6">
        <w:rPr>
          <w:rFonts w:ascii="Cambria" w:eastAsia="Times New Roman" w:hAnsi="Cambria" w:cstheme="minorHAnsi"/>
        </w:rPr>
        <w:t>A</w:t>
      </w:r>
      <w:r w:rsidRPr="009A0DA6">
        <w:rPr>
          <w:rFonts w:ascii="Cambria" w:eastAsia="Times New Roman" w:hAnsi="Cambria" w:cstheme="minorHAnsi"/>
          <w:spacing w:val="-6"/>
        </w:rPr>
        <w:t xml:space="preserve"> </w:t>
      </w:r>
      <w:r w:rsidRPr="009A0DA6">
        <w:rPr>
          <w:rFonts w:ascii="Cambria" w:eastAsia="Times New Roman" w:hAnsi="Cambria" w:cstheme="minorHAnsi"/>
          <w:spacing w:val="2"/>
        </w:rPr>
        <w:t>P</w:t>
      </w:r>
      <w:r w:rsidRPr="009A0DA6">
        <w:rPr>
          <w:rFonts w:ascii="Cambria" w:eastAsia="Times New Roman" w:hAnsi="Cambria" w:cstheme="minorHAnsi"/>
          <w:spacing w:val="1"/>
        </w:rPr>
        <w:t>rop</w:t>
      </w:r>
      <w:r w:rsidRPr="009A0DA6">
        <w:rPr>
          <w:rFonts w:ascii="Cambria" w:eastAsia="Times New Roman" w:hAnsi="Cambria" w:cstheme="minorHAnsi"/>
        </w:rPr>
        <w:t>e</w:t>
      </w:r>
      <w:r w:rsidRPr="009A0DA6">
        <w:rPr>
          <w:rFonts w:ascii="Cambria" w:eastAsia="Times New Roman" w:hAnsi="Cambria" w:cstheme="minorHAnsi"/>
          <w:spacing w:val="1"/>
        </w:rPr>
        <w:t>r</w:t>
      </w:r>
      <w:r w:rsidRPr="009A0DA6">
        <w:rPr>
          <w:rFonts w:ascii="Cambria" w:eastAsia="Times New Roman" w:hAnsi="Cambria" w:cstheme="minorHAnsi"/>
        </w:rPr>
        <w:t>ty</w:t>
      </w:r>
      <w:r w:rsidRPr="009A0DA6">
        <w:rPr>
          <w:rFonts w:ascii="Cambria" w:eastAsia="Times New Roman" w:hAnsi="Cambria" w:cstheme="minorHAnsi"/>
          <w:spacing w:val="-10"/>
        </w:rPr>
        <w:t xml:space="preserve"> </w:t>
      </w:r>
      <w:r w:rsidRPr="009A0DA6">
        <w:rPr>
          <w:rFonts w:ascii="Cambria" w:eastAsia="Times New Roman" w:hAnsi="Cambria" w:cstheme="minorHAnsi"/>
          <w:spacing w:val="1"/>
        </w:rPr>
        <w:t>L</w:t>
      </w:r>
      <w:r w:rsidRPr="009A0DA6">
        <w:rPr>
          <w:rFonts w:ascii="Cambria" w:eastAsia="Times New Roman" w:hAnsi="Cambria" w:cstheme="minorHAnsi"/>
        </w:rPr>
        <w:t>td</w:t>
      </w:r>
      <w:r w:rsidRPr="009A0DA6">
        <w:rPr>
          <w:rFonts w:ascii="Cambria" w:eastAsia="Times New Roman" w:hAnsi="Cambria" w:cstheme="minorHAnsi"/>
        </w:rPr>
        <w:tab/>
      </w:r>
      <w:r w:rsidRPr="009A0DA6">
        <w:rPr>
          <w:rFonts w:ascii="Cambria" w:eastAsia="Times New Roman" w:hAnsi="Cambria" w:cstheme="minorHAnsi"/>
        </w:rPr>
        <w:tab/>
      </w:r>
      <w:r w:rsidRPr="009A0DA6">
        <w:rPr>
          <w:rFonts w:ascii="Cambria" w:eastAsia="Times New Roman" w:hAnsi="Cambria" w:cstheme="minorHAnsi"/>
          <w:spacing w:val="1"/>
        </w:rPr>
        <w:t>78,6</w:t>
      </w:r>
      <w:r w:rsidRPr="009A0DA6">
        <w:rPr>
          <w:rFonts w:ascii="Cambria" w:eastAsia="Times New Roman" w:hAnsi="Cambria" w:cstheme="minorHAnsi"/>
          <w:spacing w:val="-1"/>
        </w:rPr>
        <w:t>6</w:t>
      </w:r>
      <w:r w:rsidRPr="009A0DA6">
        <w:rPr>
          <w:rFonts w:ascii="Cambria" w:eastAsia="Times New Roman" w:hAnsi="Cambria" w:cstheme="minorHAnsi"/>
        </w:rPr>
        <w:t>6</w:t>
      </w:r>
      <w:r w:rsidRPr="009A0DA6">
        <w:rPr>
          <w:rFonts w:ascii="Cambria" w:eastAsia="Times New Roman" w:hAnsi="Cambria" w:cstheme="minorHAnsi"/>
        </w:rPr>
        <w:tab/>
      </w:r>
      <w:r w:rsidRPr="009A0DA6">
        <w:rPr>
          <w:rFonts w:ascii="Cambria" w:eastAsia="Times New Roman" w:hAnsi="Cambria" w:cstheme="minorHAnsi"/>
          <w:spacing w:val="1"/>
        </w:rPr>
        <w:t>45,8</w:t>
      </w:r>
      <w:r w:rsidRPr="009A0DA6">
        <w:rPr>
          <w:rFonts w:ascii="Cambria" w:eastAsia="Times New Roman" w:hAnsi="Cambria" w:cstheme="minorHAnsi"/>
          <w:spacing w:val="-1"/>
        </w:rPr>
        <w:t>5</w:t>
      </w:r>
      <w:r w:rsidRPr="009A0DA6">
        <w:rPr>
          <w:rFonts w:ascii="Cambria" w:eastAsia="Times New Roman" w:hAnsi="Cambria" w:cstheme="minorHAnsi"/>
        </w:rPr>
        <w:t>7</w:t>
      </w:r>
      <w:r w:rsidRPr="009A0DA6">
        <w:rPr>
          <w:rFonts w:ascii="Cambria" w:eastAsia="Times New Roman" w:hAnsi="Cambria" w:cstheme="minorHAnsi"/>
        </w:rPr>
        <w:tab/>
        <w:t>0</w:t>
      </w:r>
    </w:p>
    <w:p w14:paraId="426E479B"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eastAsia="Times New Roman" w:hAnsi="Cambria" w:cstheme="minorHAnsi"/>
        </w:rPr>
      </w:pPr>
      <w:r w:rsidRPr="009A0DA6">
        <w:rPr>
          <w:rFonts w:ascii="Cambria" w:eastAsia="Times New Roman" w:hAnsi="Cambria" w:cstheme="minorHAnsi"/>
          <w:spacing w:val="-2"/>
        </w:rPr>
        <w:t>L</w:t>
      </w:r>
      <w:r w:rsidRPr="009A0DA6">
        <w:rPr>
          <w:rFonts w:ascii="Cambria" w:eastAsia="Times New Roman" w:hAnsi="Cambria" w:cstheme="minorHAnsi"/>
          <w:spacing w:val="1"/>
        </w:rPr>
        <w:t>o</w:t>
      </w:r>
      <w:r w:rsidRPr="009A0DA6">
        <w:rPr>
          <w:rFonts w:ascii="Cambria" w:eastAsia="Times New Roman" w:hAnsi="Cambria" w:cstheme="minorHAnsi"/>
        </w:rPr>
        <w:t>an</w:t>
      </w:r>
      <w:r w:rsidRPr="009A0DA6">
        <w:rPr>
          <w:rFonts w:ascii="Cambria" w:eastAsia="Times New Roman" w:hAnsi="Cambria" w:cstheme="minorHAnsi"/>
          <w:spacing w:val="-5"/>
        </w:rPr>
        <w:t xml:space="preserve"> </w:t>
      </w:r>
      <w:r w:rsidRPr="009A0DA6">
        <w:rPr>
          <w:rFonts w:ascii="Cambria" w:eastAsia="Times New Roman" w:hAnsi="Cambria" w:cstheme="minorHAnsi"/>
        </w:rPr>
        <w:t>to</w:t>
      </w:r>
      <w:r w:rsidRPr="009A0DA6">
        <w:rPr>
          <w:rFonts w:ascii="Cambria" w:eastAsia="Times New Roman" w:hAnsi="Cambria" w:cstheme="minorHAnsi"/>
          <w:spacing w:val="2"/>
        </w:rPr>
        <w:t xml:space="preserve"> </w:t>
      </w:r>
      <w:r w:rsidRPr="009A0DA6">
        <w:rPr>
          <w:rFonts w:ascii="Cambria" w:eastAsia="Times New Roman" w:hAnsi="Cambria" w:cstheme="minorHAnsi"/>
          <w:spacing w:val="-2"/>
        </w:rPr>
        <w:t>L</w:t>
      </w:r>
      <w:r w:rsidRPr="009A0DA6">
        <w:rPr>
          <w:rFonts w:ascii="Cambria" w:eastAsia="Times New Roman" w:hAnsi="Cambria" w:cstheme="minorHAnsi"/>
          <w:spacing w:val="2"/>
        </w:rPr>
        <w:t>C</w:t>
      </w:r>
      <w:r w:rsidRPr="009A0DA6">
        <w:rPr>
          <w:rFonts w:ascii="Cambria" w:eastAsia="Times New Roman" w:hAnsi="Cambria" w:cstheme="minorHAnsi"/>
        </w:rPr>
        <w:t>A</w:t>
      </w:r>
      <w:r w:rsidRPr="009A0DA6">
        <w:rPr>
          <w:rFonts w:ascii="Cambria" w:eastAsia="Times New Roman" w:hAnsi="Cambria" w:cstheme="minorHAnsi"/>
          <w:spacing w:val="-3"/>
        </w:rPr>
        <w:t xml:space="preserve"> </w:t>
      </w:r>
      <w:r w:rsidRPr="009A0DA6">
        <w:rPr>
          <w:rFonts w:ascii="Cambria" w:eastAsia="Times New Roman" w:hAnsi="Cambria" w:cstheme="minorHAnsi"/>
          <w:spacing w:val="-2"/>
        </w:rPr>
        <w:t>A</w:t>
      </w:r>
      <w:r w:rsidRPr="009A0DA6">
        <w:rPr>
          <w:rFonts w:ascii="Cambria" w:eastAsia="Times New Roman" w:hAnsi="Cambria" w:cstheme="minorHAnsi"/>
          <w:spacing w:val="1"/>
        </w:rPr>
        <w:t>r</w:t>
      </w:r>
      <w:r w:rsidRPr="009A0DA6">
        <w:rPr>
          <w:rFonts w:ascii="Cambria" w:eastAsia="Times New Roman" w:hAnsi="Cambria" w:cstheme="minorHAnsi"/>
          <w:spacing w:val="3"/>
        </w:rPr>
        <w:t>c</w:t>
      </w:r>
      <w:r w:rsidRPr="009A0DA6">
        <w:rPr>
          <w:rFonts w:ascii="Cambria" w:eastAsia="Times New Roman" w:hAnsi="Cambria" w:cstheme="minorHAnsi"/>
          <w:spacing w:val="-1"/>
        </w:rPr>
        <w:t>h</w:t>
      </w:r>
      <w:r w:rsidRPr="009A0DA6">
        <w:rPr>
          <w:rFonts w:ascii="Cambria" w:eastAsia="Times New Roman" w:hAnsi="Cambria" w:cstheme="minorHAnsi"/>
          <w:spacing w:val="2"/>
        </w:rPr>
        <w:t>i</w:t>
      </w:r>
      <w:r w:rsidRPr="009A0DA6">
        <w:rPr>
          <w:rFonts w:ascii="Cambria" w:eastAsia="Times New Roman" w:hAnsi="Cambria" w:cstheme="minorHAnsi"/>
          <w:spacing w:val="-1"/>
        </w:rPr>
        <w:t>v</w:t>
      </w:r>
      <w:r w:rsidRPr="009A0DA6">
        <w:rPr>
          <w:rFonts w:ascii="Cambria" w:eastAsia="Times New Roman" w:hAnsi="Cambria" w:cstheme="minorHAnsi"/>
        </w:rPr>
        <w:t>es</w:t>
      </w:r>
      <w:r w:rsidRPr="009A0DA6">
        <w:rPr>
          <w:rFonts w:ascii="Cambria" w:eastAsia="Times New Roman" w:hAnsi="Cambria" w:cstheme="minorHAnsi"/>
          <w:spacing w:val="-5"/>
        </w:rPr>
        <w:t xml:space="preserve"> </w:t>
      </w:r>
      <w:r w:rsidRPr="009A0DA6">
        <w:rPr>
          <w:rFonts w:ascii="Cambria" w:eastAsia="Times New Roman" w:hAnsi="Cambria" w:cstheme="minorHAnsi"/>
          <w:spacing w:val="-2"/>
        </w:rPr>
        <w:t>L</w:t>
      </w:r>
      <w:r w:rsidRPr="009A0DA6">
        <w:rPr>
          <w:rFonts w:ascii="Cambria" w:eastAsia="Times New Roman" w:hAnsi="Cambria" w:cstheme="minorHAnsi"/>
        </w:rPr>
        <w:t>td</w:t>
      </w:r>
      <w:r w:rsidRPr="009A0DA6">
        <w:rPr>
          <w:rFonts w:ascii="Cambria" w:eastAsia="Times New Roman" w:hAnsi="Cambria" w:cstheme="minorHAnsi"/>
        </w:rPr>
        <w:tab/>
      </w:r>
      <w:r w:rsidRPr="009A0DA6">
        <w:rPr>
          <w:rFonts w:ascii="Cambria" w:eastAsia="Times New Roman" w:hAnsi="Cambria" w:cstheme="minorHAnsi"/>
        </w:rPr>
        <w:tab/>
      </w:r>
      <w:r w:rsidRPr="009A0DA6">
        <w:rPr>
          <w:rFonts w:ascii="Cambria" w:eastAsia="Times New Roman" w:hAnsi="Cambria" w:cstheme="minorHAnsi"/>
          <w:spacing w:val="1"/>
        </w:rPr>
        <w:t>1,50</w:t>
      </w:r>
      <w:r w:rsidRPr="009A0DA6">
        <w:rPr>
          <w:rFonts w:ascii="Cambria" w:eastAsia="Times New Roman" w:hAnsi="Cambria" w:cstheme="minorHAnsi"/>
        </w:rPr>
        <w:t>0</w:t>
      </w:r>
      <w:r w:rsidRPr="009A0DA6">
        <w:rPr>
          <w:rFonts w:ascii="Cambria" w:eastAsia="Times New Roman" w:hAnsi="Cambria" w:cstheme="minorHAnsi"/>
        </w:rPr>
        <w:tab/>
      </w:r>
      <w:r w:rsidRPr="009A0DA6">
        <w:rPr>
          <w:rFonts w:ascii="Cambria" w:eastAsia="Times New Roman" w:hAnsi="Cambria" w:cstheme="minorHAnsi"/>
          <w:spacing w:val="1"/>
        </w:rPr>
        <w:t>1,50</w:t>
      </w:r>
      <w:r w:rsidRPr="009A0DA6">
        <w:rPr>
          <w:rFonts w:ascii="Cambria" w:eastAsia="Times New Roman" w:hAnsi="Cambria" w:cstheme="minorHAnsi"/>
        </w:rPr>
        <w:t>0</w:t>
      </w:r>
      <w:r w:rsidRPr="009A0DA6">
        <w:rPr>
          <w:rFonts w:ascii="Cambria" w:eastAsia="Times New Roman" w:hAnsi="Cambria" w:cstheme="minorHAnsi"/>
        </w:rPr>
        <w:tab/>
        <w:t>0</w:t>
      </w:r>
    </w:p>
    <w:p w14:paraId="1BBDDB8E"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eastAsia="Times New Roman" w:hAnsi="Cambria" w:cstheme="minorHAnsi"/>
        </w:rPr>
      </w:pPr>
      <w:r w:rsidRPr="009A0DA6">
        <w:rPr>
          <w:rFonts w:ascii="Cambria" w:eastAsia="Times New Roman" w:hAnsi="Cambria" w:cstheme="minorHAnsi"/>
          <w:spacing w:val="-2"/>
        </w:rPr>
        <w:t>L</w:t>
      </w:r>
      <w:r w:rsidRPr="009A0DA6">
        <w:rPr>
          <w:rFonts w:ascii="Cambria" w:eastAsia="Times New Roman" w:hAnsi="Cambria" w:cstheme="minorHAnsi"/>
          <w:spacing w:val="1"/>
        </w:rPr>
        <w:t>o</w:t>
      </w:r>
      <w:r w:rsidRPr="009A0DA6">
        <w:rPr>
          <w:rFonts w:ascii="Cambria" w:eastAsia="Times New Roman" w:hAnsi="Cambria" w:cstheme="minorHAnsi"/>
        </w:rPr>
        <w:t>an</w:t>
      </w:r>
      <w:r w:rsidRPr="009A0DA6">
        <w:rPr>
          <w:rFonts w:ascii="Cambria" w:eastAsia="Times New Roman" w:hAnsi="Cambria" w:cstheme="minorHAnsi"/>
          <w:spacing w:val="-5"/>
        </w:rPr>
        <w:t xml:space="preserve"> </w:t>
      </w:r>
      <w:r w:rsidRPr="009A0DA6">
        <w:rPr>
          <w:rFonts w:ascii="Cambria" w:eastAsia="Times New Roman" w:hAnsi="Cambria" w:cstheme="minorHAnsi"/>
        </w:rPr>
        <w:t>to</w:t>
      </w:r>
      <w:r w:rsidRPr="009A0DA6">
        <w:rPr>
          <w:rFonts w:ascii="Cambria" w:eastAsia="Times New Roman" w:hAnsi="Cambria" w:cstheme="minorHAnsi"/>
          <w:spacing w:val="2"/>
        </w:rPr>
        <w:t xml:space="preserve"> </w:t>
      </w:r>
      <w:r w:rsidRPr="009A0DA6">
        <w:rPr>
          <w:rFonts w:ascii="Cambria" w:eastAsia="Times New Roman" w:hAnsi="Cambria" w:cstheme="minorHAnsi"/>
        </w:rPr>
        <w:t>A</w:t>
      </w:r>
      <w:r w:rsidRPr="009A0DA6">
        <w:rPr>
          <w:rFonts w:ascii="Cambria" w:eastAsia="Times New Roman" w:hAnsi="Cambria" w:cstheme="minorHAnsi"/>
          <w:spacing w:val="-2"/>
        </w:rPr>
        <w:t>L</w:t>
      </w:r>
      <w:r w:rsidRPr="009A0DA6">
        <w:rPr>
          <w:rFonts w:ascii="Cambria" w:eastAsia="Times New Roman" w:hAnsi="Cambria" w:cstheme="minorHAnsi"/>
        </w:rPr>
        <w:t>C</w:t>
      </w:r>
      <w:r w:rsidRPr="009A0DA6">
        <w:rPr>
          <w:rFonts w:ascii="Cambria" w:eastAsia="Times New Roman" w:hAnsi="Cambria" w:cstheme="minorHAnsi"/>
          <w:spacing w:val="-2"/>
        </w:rPr>
        <w:t xml:space="preserve"> L</w:t>
      </w:r>
      <w:r w:rsidRPr="009A0DA6">
        <w:rPr>
          <w:rFonts w:ascii="Cambria" w:eastAsia="Times New Roman" w:hAnsi="Cambria" w:cstheme="minorHAnsi"/>
          <w:spacing w:val="3"/>
        </w:rPr>
        <w:t>a</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spacing w:val="-2"/>
        </w:rPr>
        <w:t xml:space="preserve"> L</w:t>
      </w:r>
      <w:r w:rsidRPr="009A0DA6">
        <w:rPr>
          <w:rFonts w:ascii="Cambria" w:eastAsia="Times New Roman" w:hAnsi="Cambria" w:cstheme="minorHAnsi"/>
        </w:rPr>
        <w:t>td</w:t>
      </w:r>
      <w:r w:rsidRPr="009A0DA6">
        <w:rPr>
          <w:rFonts w:ascii="Cambria" w:eastAsia="Times New Roman" w:hAnsi="Cambria" w:cstheme="minorHAnsi"/>
        </w:rPr>
        <w:tab/>
      </w:r>
      <w:r w:rsidRPr="009A0DA6">
        <w:rPr>
          <w:rFonts w:ascii="Cambria" w:eastAsia="Times New Roman" w:hAnsi="Cambria" w:cstheme="minorHAnsi"/>
        </w:rPr>
        <w:tab/>
      </w:r>
      <w:r w:rsidRPr="009A0DA6">
        <w:rPr>
          <w:rFonts w:ascii="Cambria" w:eastAsia="Times New Roman" w:hAnsi="Cambria" w:cstheme="minorHAnsi"/>
          <w:spacing w:val="1"/>
        </w:rPr>
        <w:t>3,70</w:t>
      </w:r>
      <w:r w:rsidRPr="009A0DA6">
        <w:rPr>
          <w:rFonts w:ascii="Cambria" w:eastAsia="Times New Roman" w:hAnsi="Cambria" w:cstheme="minorHAnsi"/>
        </w:rPr>
        <w:t>0</w:t>
      </w:r>
      <w:r w:rsidRPr="009A0DA6">
        <w:rPr>
          <w:rFonts w:ascii="Cambria" w:eastAsia="Times New Roman" w:hAnsi="Cambria" w:cstheme="minorHAnsi"/>
        </w:rPr>
        <w:tab/>
      </w:r>
      <w:r w:rsidRPr="009A0DA6">
        <w:rPr>
          <w:rFonts w:ascii="Cambria" w:eastAsia="Times New Roman" w:hAnsi="Cambria" w:cstheme="minorHAnsi"/>
          <w:spacing w:val="1"/>
        </w:rPr>
        <w:t>1,50</w:t>
      </w:r>
      <w:r w:rsidRPr="009A0DA6">
        <w:rPr>
          <w:rFonts w:ascii="Cambria" w:eastAsia="Times New Roman" w:hAnsi="Cambria" w:cstheme="minorHAnsi"/>
        </w:rPr>
        <w:t>0</w:t>
      </w:r>
      <w:r w:rsidRPr="009A0DA6">
        <w:rPr>
          <w:rFonts w:ascii="Cambria" w:eastAsia="Times New Roman" w:hAnsi="Cambria" w:cstheme="minorHAnsi"/>
        </w:rPr>
        <w:tab/>
        <w:t>0</w:t>
      </w:r>
    </w:p>
    <w:p w14:paraId="5D9C8CAF"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eastAsia="Times New Roman" w:hAnsi="Cambria" w:cstheme="minorHAnsi"/>
          <w:b/>
        </w:rPr>
      </w:pPr>
      <w:r w:rsidRPr="009A0DA6">
        <w:rPr>
          <w:rFonts w:ascii="Cambria" w:hAnsi="Cambria" w:cstheme="minorHAnsi"/>
          <w:b/>
        </w:rPr>
        <w:t>TOTAL OTHER ASSETS</w:t>
      </w:r>
      <w:r w:rsidRPr="009A0DA6">
        <w:rPr>
          <w:rFonts w:ascii="Cambria" w:eastAsia="Times New Roman" w:hAnsi="Cambria" w:cstheme="minorHAnsi"/>
          <w:b/>
        </w:rPr>
        <w:tab/>
      </w:r>
      <w:r w:rsidRPr="009A0DA6">
        <w:rPr>
          <w:rFonts w:ascii="Cambria" w:eastAsia="Times New Roman" w:hAnsi="Cambria" w:cstheme="minorHAnsi"/>
          <w:b/>
          <w:w w:val="99"/>
        </w:rPr>
        <w:tab/>
        <w:t>$</w:t>
      </w:r>
      <w:r w:rsidRPr="009A0DA6">
        <w:rPr>
          <w:rFonts w:ascii="Cambria" w:eastAsia="Times New Roman" w:hAnsi="Cambria" w:cstheme="minorHAnsi"/>
          <w:b/>
          <w:spacing w:val="1"/>
        </w:rPr>
        <w:t>21</w:t>
      </w:r>
      <w:r w:rsidRPr="009A0DA6">
        <w:rPr>
          <w:rFonts w:ascii="Cambria" w:eastAsia="Times New Roman" w:hAnsi="Cambria" w:cstheme="minorHAnsi"/>
          <w:b/>
          <w:spacing w:val="-1"/>
        </w:rPr>
        <w:t>8</w:t>
      </w:r>
      <w:r w:rsidRPr="009A0DA6">
        <w:rPr>
          <w:rFonts w:ascii="Cambria" w:eastAsia="Times New Roman" w:hAnsi="Cambria" w:cstheme="minorHAnsi"/>
          <w:b/>
          <w:spacing w:val="1"/>
        </w:rPr>
        <w:t>,6</w:t>
      </w:r>
      <w:r w:rsidRPr="009A0DA6">
        <w:rPr>
          <w:rFonts w:ascii="Cambria" w:eastAsia="Times New Roman" w:hAnsi="Cambria" w:cstheme="minorHAnsi"/>
          <w:b/>
          <w:spacing w:val="-1"/>
        </w:rPr>
        <w:t>1</w:t>
      </w:r>
      <w:r w:rsidRPr="009A0DA6">
        <w:rPr>
          <w:rFonts w:ascii="Cambria" w:eastAsia="Times New Roman" w:hAnsi="Cambria" w:cstheme="minorHAnsi"/>
          <w:b/>
        </w:rPr>
        <w:t>8</w:t>
      </w:r>
      <w:r w:rsidRPr="009A0DA6">
        <w:rPr>
          <w:rFonts w:ascii="Cambria" w:eastAsia="Times New Roman" w:hAnsi="Cambria" w:cstheme="minorHAnsi"/>
          <w:b/>
          <w:spacing w:val="-43"/>
        </w:rPr>
        <w:t xml:space="preserve"> </w:t>
      </w:r>
      <w:r w:rsidRPr="009A0DA6">
        <w:rPr>
          <w:rFonts w:ascii="Cambria" w:eastAsia="Times New Roman" w:hAnsi="Cambria" w:cstheme="minorHAnsi"/>
          <w:b/>
        </w:rPr>
        <w:tab/>
      </w:r>
      <w:r w:rsidRPr="009A0DA6">
        <w:rPr>
          <w:rFonts w:ascii="Cambria" w:eastAsia="Times New Roman" w:hAnsi="Cambria" w:cstheme="minorHAnsi"/>
          <w:b/>
          <w:spacing w:val="1"/>
          <w:w w:val="99"/>
        </w:rPr>
        <w:t>$</w:t>
      </w:r>
      <w:r w:rsidRPr="009A0DA6">
        <w:rPr>
          <w:rFonts w:ascii="Cambria" w:eastAsia="Times New Roman" w:hAnsi="Cambria" w:cstheme="minorHAnsi"/>
          <w:b/>
          <w:spacing w:val="1"/>
        </w:rPr>
        <w:t>204</w:t>
      </w:r>
      <w:r w:rsidRPr="009A0DA6">
        <w:rPr>
          <w:rFonts w:ascii="Cambria" w:eastAsia="Times New Roman" w:hAnsi="Cambria" w:cstheme="minorHAnsi"/>
          <w:b/>
          <w:spacing w:val="-2"/>
        </w:rPr>
        <w:t>,</w:t>
      </w:r>
      <w:r w:rsidRPr="009A0DA6">
        <w:rPr>
          <w:rFonts w:ascii="Cambria" w:eastAsia="Times New Roman" w:hAnsi="Cambria" w:cstheme="minorHAnsi"/>
          <w:b/>
          <w:spacing w:val="1"/>
        </w:rPr>
        <w:t>40</w:t>
      </w:r>
      <w:r w:rsidRPr="009A0DA6">
        <w:rPr>
          <w:rFonts w:ascii="Cambria" w:eastAsia="Times New Roman" w:hAnsi="Cambria" w:cstheme="minorHAnsi"/>
          <w:b/>
        </w:rPr>
        <w:t>0</w:t>
      </w:r>
      <w:r w:rsidRPr="009A0DA6">
        <w:rPr>
          <w:rFonts w:ascii="Cambria" w:eastAsia="Times New Roman" w:hAnsi="Cambria" w:cstheme="minorHAnsi"/>
          <w:b/>
        </w:rPr>
        <w:tab/>
        <w:t>$237,793</w:t>
      </w:r>
    </w:p>
    <w:p w14:paraId="59CDF4F5" w14:textId="77777777" w:rsidR="00BA4592" w:rsidRPr="007408EE" w:rsidRDefault="00BA4592" w:rsidP="00BA4592">
      <w:pPr>
        <w:tabs>
          <w:tab w:val="center" w:pos="4394"/>
          <w:tab w:val="right" w:pos="6095"/>
          <w:tab w:val="right" w:pos="7371"/>
          <w:tab w:val="right" w:pos="8647"/>
        </w:tabs>
        <w:spacing w:before="120" w:after="120" w:line="240" w:lineRule="auto"/>
        <w:ind w:right="-51"/>
        <w:contextualSpacing/>
        <w:rPr>
          <w:rFonts w:ascii="Cambria" w:eastAsiaTheme="minorEastAsia" w:hAnsi="Cambria" w:cstheme="minorHAnsi"/>
          <w:sz w:val="14"/>
        </w:rPr>
      </w:pPr>
    </w:p>
    <w:p w14:paraId="4D3B3D9C" w14:textId="77777777" w:rsidR="00BA4592" w:rsidRPr="009A0DA6" w:rsidRDefault="00BA4592" w:rsidP="00BA4592">
      <w:pPr>
        <w:tabs>
          <w:tab w:val="center" w:pos="4394"/>
          <w:tab w:val="right" w:pos="6095"/>
          <w:tab w:val="right" w:pos="7371"/>
          <w:tab w:val="right" w:pos="8647"/>
        </w:tabs>
        <w:spacing w:before="120" w:after="120" w:line="240" w:lineRule="auto"/>
        <w:ind w:right="-49"/>
        <w:contextualSpacing/>
        <w:rPr>
          <w:rFonts w:ascii="Cambria" w:hAnsi="Cambria" w:cstheme="minorHAnsi"/>
          <w:b/>
        </w:rPr>
      </w:pPr>
      <w:r w:rsidRPr="009A0DA6">
        <w:rPr>
          <w:rFonts w:ascii="Cambria" w:hAnsi="Cambria" w:cstheme="minorHAnsi"/>
          <w:b/>
        </w:rPr>
        <w:t>Note 5: Financial Assets</w:t>
      </w:r>
    </w:p>
    <w:p w14:paraId="74B76502"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hAnsi="Cambria" w:cstheme="minorHAnsi"/>
        </w:rPr>
      </w:pPr>
      <w:r w:rsidRPr="009A0DA6">
        <w:rPr>
          <w:rFonts w:ascii="Cambria" w:hAnsi="Cambria" w:cstheme="minorHAnsi"/>
        </w:rPr>
        <w:t>Shares in listed companies</w:t>
      </w:r>
      <w:r w:rsidRPr="009A0DA6">
        <w:rPr>
          <w:rFonts w:ascii="Cambria" w:hAnsi="Cambria" w:cstheme="minorHAnsi"/>
        </w:rPr>
        <w:tab/>
      </w:r>
      <w:r w:rsidRPr="009A0DA6">
        <w:rPr>
          <w:rFonts w:ascii="Cambria" w:hAnsi="Cambria" w:cstheme="minorHAnsi"/>
        </w:rPr>
        <w:tab/>
        <w:t>3,514</w:t>
      </w:r>
      <w:r w:rsidRPr="009A0DA6">
        <w:rPr>
          <w:rFonts w:ascii="Cambria" w:hAnsi="Cambria" w:cstheme="minorHAnsi"/>
        </w:rPr>
        <w:tab/>
        <w:t>3,514</w:t>
      </w:r>
      <w:r w:rsidRPr="009A0DA6">
        <w:rPr>
          <w:rFonts w:ascii="Cambria" w:hAnsi="Cambria" w:cstheme="minorHAnsi"/>
        </w:rPr>
        <w:tab/>
        <w:t>3,514</w:t>
      </w:r>
    </w:p>
    <w:p w14:paraId="3AAAE7AD"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hAnsi="Cambria" w:cstheme="minorHAnsi"/>
          <w:b/>
        </w:rPr>
      </w:pPr>
      <w:r w:rsidRPr="009A0DA6">
        <w:rPr>
          <w:rFonts w:ascii="Cambria" w:hAnsi="Cambria" w:cstheme="minorHAnsi"/>
          <w:b/>
        </w:rPr>
        <w:t>TOTAL FINANCIAL ASSETS</w:t>
      </w:r>
      <w:r w:rsidRPr="009A0DA6">
        <w:rPr>
          <w:rFonts w:ascii="Cambria" w:hAnsi="Cambria" w:cstheme="minorHAnsi"/>
          <w:b/>
        </w:rPr>
        <w:tab/>
      </w:r>
      <w:r w:rsidRPr="009A0DA6">
        <w:rPr>
          <w:rFonts w:ascii="Cambria" w:hAnsi="Cambria" w:cstheme="minorHAnsi"/>
          <w:b/>
        </w:rPr>
        <w:tab/>
        <w:t>$3,514</w:t>
      </w:r>
      <w:r w:rsidRPr="009A0DA6">
        <w:rPr>
          <w:rFonts w:ascii="Cambria" w:hAnsi="Cambria" w:cstheme="minorHAnsi"/>
          <w:b/>
        </w:rPr>
        <w:tab/>
        <w:t>$3,514</w:t>
      </w:r>
      <w:r w:rsidRPr="009A0DA6">
        <w:rPr>
          <w:rFonts w:ascii="Cambria" w:hAnsi="Cambria" w:cstheme="minorHAnsi"/>
          <w:b/>
        </w:rPr>
        <w:tab/>
        <w:t>$3,514</w:t>
      </w:r>
    </w:p>
    <w:p w14:paraId="4986ABB1" w14:textId="77777777" w:rsidR="00BA4592" w:rsidRPr="007408EE" w:rsidRDefault="00BA4592" w:rsidP="00BA4592">
      <w:pPr>
        <w:tabs>
          <w:tab w:val="center" w:pos="4394"/>
          <w:tab w:val="right" w:pos="6095"/>
          <w:tab w:val="right" w:pos="7371"/>
          <w:tab w:val="right" w:pos="8647"/>
        </w:tabs>
        <w:spacing w:before="120" w:after="120" w:line="240" w:lineRule="auto"/>
        <w:ind w:right="-51"/>
        <w:contextualSpacing/>
        <w:rPr>
          <w:rFonts w:ascii="Cambria" w:hAnsi="Cambria" w:cstheme="minorHAnsi"/>
          <w:sz w:val="14"/>
        </w:rPr>
      </w:pPr>
    </w:p>
    <w:p w14:paraId="4E7588F4"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hAnsi="Cambria" w:cstheme="minorHAnsi"/>
          <w:b/>
        </w:rPr>
      </w:pPr>
      <w:r w:rsidRPr="009A0DA6">
        <w:rPr>
          <w:rFonts w:ascii="Cambria" w:hAnsi="Cambria" w:cstheme="minorHAnsi"/>
          <w:b/>
        </w:rPr>
        <w:t>Note 6: Property, Plant and Equipment</w:t>
      </w:r>
    </w:p>
    <w:p w14:paraId="0E13E8D0"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hAnsi="Cambria" w:cstheme="minorHAnsi"/>
          <w:b/>
        </w:rPr>
      </w:pPr>
      <w:r w:rsidRPr="009A0DA6">
        <w:rPr>
          <w:rFonts w:ascii="Cambria" w:hAnsi="Cambria" w:cstheme="minorHAnsi"/>
          <w:b/>
        </w:rPr>
        <w:t>Property</w:t>
      </w:r>
    </w:p>
    <w:p w14:paraId="2CD723D1" w14:textId="77777777" w:rsidR="00BA4592" w:rsidRPr="009A0DA6" w:rsidRDefault="00BA4592" w:rsidP="00BA4592">
      <w:pPr>
        <w:tabs>
          <w:tab w:val="center" w:pos="4394"/>
          <w:tab w:val="right" w:pos="6095"/>
          <w:tab w:val="right" w:pos="7371"/>
          <w:tab w:val="right" w:pos="8647"/>
        </w:tabs>
        <w:spacing w:before="120" w:after="120" w:line="240" w:lineRule="auto"/>
        <w:ind w:right="-51"/>
        <w:contextualSpacing/>
        <w:rPr>
          <w:rFonts w:ascii="Cambria" w:hAnsi="Cambria" w:cstheme="minorHAnsi"/>
        </w:rPr>
      </w:pPr>
      <w:r w:rsidRPr="009A0DA6">
        <w:rPr>
          <w:rFonts w:ascii="Cambria" w:hAnsi="Cambria" w:cstheme="minorHAnsi"/>
        </w:rPr>
        <w:t>Property at valuation</w:t>
      </w:r>
      <w:r w:rsidRPr="009A0DA6">
        <w:rPr>
          <w:rFonts w:ascii="Cambria" w:hAnsi="Cambria" w:cstheme="minorHAnsi"/>
        </w:rPr>
        <w:tab/>
      </w:r>
      <w:r w:rsidRPr="009A0DA6">
        <w:rPr>
          <w:rFonts w:ascii="Cambria" w:hAnsi="Cambria" w:cstheme="minorHAnsi"/>
        </w:rPr>
        <w:tab/>
        <w:t>1,635,000</w:t>
      </w:r>
      <w:r w:rsidRPr="009A0DA6">
        <w:rPr>
          <w:rFonts w:ascii="Cambria" w:hAnsi="Cambria" w:cstheme="minorHAnsi"/>
        </w:rPr>
        <w:tab/>
        <w:t>1,635,000</w:t>
      </w:r>
      <w:r w:rsidRPr="009A0DA6">
        <w:rPr>
          <w:rFonts w:ascii="Cambria" w:hAnsi="Cambria" w:cstheme="minorHAnsi"/>
        </w:rPr>
        <w:tab/>
        <w:t>1,635,000</w:t>
      </w:r>
    </w:p>
    <w:p w14:paraId="5485E1DD"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hAnsi="Cambria" w:cstheme="minorHAnsi"/>
        </w:rPr>
      </w:pPr>
      <w:r w:rsidRPr="009A0DA6">
        <w:rPr>
          <w:rFonts w:ascii="Cambria" w:hAnsi="Cambria" w:cstheme="minorHAnsi"/>
        </w:rPr>
        <w:t>Property at cost</w:t>
      </w:r>
      <w:r w:rsidRPr="009A0DA6">
        <w:rPr>
          <w:rFonts w:ascii="Cambria" w:hAnsi="Cambria" w:cstheme="minorHAnsi"/>
        </w:rPr>
        <w:tab/>
      </w:r>
      <w:r w:rsidRPr="009A0DA6">
        <w:rPr>
          <w:rFonts w:ascii="Cambria" w:hAnsi="Cambria" w:cstheme="minorHAnsi"/>
        </w:rPr>
        <w:tab/>
      </w:r>
      <w:r w:rsidRPr="009A0DA6">
        <w:rPr>
          <w:rFonts w:ascii="Cambria" w:eastAsia="Times New Roman" w:hAnsi="Cambria" w:cstheme="minorHAnsi"/>
          <w:spacing w:val="1"/>
        </w:rPr>
        <w:t>480,</w:t>
      </w:r>
      <w:r w:rsidRPr="009A0DA6">
        <w:rPr>
          <w:rFonts w:ascii="Cambria" w:eastAsia="Times New Roman" w:hAnsi="Cambria" w:cstheme="minorHAnsi"/>
          <w:spacing w:val="-1"/>
        </w:rPr>
        <w:t>7</w:t>
      </w:r>
      <w:r w:rsidRPr="009A0DA6">
        <w:rPr>
          <w:rFonts w:ascii="Cambria" w:eastAsia="Times New Roman" w:hAnsi="Cambria" w:cstheme="minorHAnsi"/>
          <w:spacing w:val="1"/>
        </w:rPr>
        <w:t>1</w:t>
      </w:r>
      <w:r w:rsidRPr="009A0DA6">
        <w:rPr>
          <w:rFonts w:ascii="Cambria" w:eastAsia="Times New Roman" w:hAnsi="Cambria" w:cstheme="minorHAnsi"/>
        </w:rPr>
        <w:t>4</w:t>
      </w:r>
      <w:r w:rsidRPr="009A0DA6">
        <w:rPr>
          <w:rFonts w:ascii="Cambria" w:hAnsi="Cambria" w:cstheme="minorHAnsi"/>
        </w:rPr>
        <w:tab/>
      </w:r>
      <w:r w:rsidRPr="009A0DA6">
        <w:rPr>
          <w:rFonts w:ascii="Cambria" w:eastAsia="Times New Roman" w:hAnsi="Cambria" w:cstheme="minorHAnsi"/>
          <w:spacing w:val="1"/>
        </w:rPr>
        <w:t>978,</w:t>
      </w:r>
      <w:r w:rsidRPr="009A0DA6">
        <w:rPr>
          <w:rFonts w:ascii="Cambria" w:eastAsia="Times New Roman" w:hAnsi="Cambria" w:cstheme="minorHAnsi"/>
          <w:spacing w:val="-1"/>
        </w:rPr>
        <w:t>7</w:t>
      </w:r>
      <w:r w:rsidRPr="009A0DA6">
        <w:rPr>
          <w:rFonts w:ascii="Cambria" w:eastAsia="Times New Roman" w:hAnsi="Cambria" w:cstheme="minorHAnsi"/>
          <w:spacing w:val="1"/>
        </w:rPr>
        <w:t>1</w:t>
      </w:r>
      <w:r w:rsidRPr="009A0DA6">
        <w:rPr>
          <w:rFonts w:ascii="Cambria" w:eastAsia="Times New Roman" w:hAnsi="Cambria" w:cstheme="minorHAnsi"/>
        </w:rPr>
        <w:t>4</w:t>
      </w:r>
      <w:r w:rsidRPr="009A0DA6">
        <w:rPr>
          <w:rFonts w:ascii="Cambria" w:hAnsi="Cambria" w:cstheme="minorHAnsi"/>
        </w:rPr>
        <w:tab/>
        <w:t>978,714</w:t>
      </w:r>
    </w:p>
    <w:p w14:paraId="2F36CC6E"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eastAsia="Times New Roman" w:hAnsi="Cambria" w:cstheme="minorHAnsi"/>
        </w:rPr>
      </w:pPr>
      <w:r w:rsidRPr="009A0DA6">
        <w:rPr>
          <w:rFonts w:ascii="Cambria" w:eastAsia="Times New Roman" w:hAnsi="Cambria" w:cstheme="minorHAnsi"/>
          <w:spacing w:val="2"/>
        </w:rPr>
        <w:t>P</w:t>
      </w:r>
      <w:r w:rsidRPr="009A0DA6">
        <w:rPr>
          <w:rFonts w:ascii="Cambria" w:eastAsia="Times New Roman" w:hAnsi="Cambria" w:cstheme="minorHAnsi"/>
          <w:spacing w:val="1"/>
        </w:rPr>
        <w:t>r</w:t>
      </w:r>
      <w:r w:rsidRPr="009A0DA6">
        <w:rPr>
          <w:rFonts w:ascii="Cambria" w:eastAsia="Times New Roman" w:hAnsi="Cambria" w:cstheme="minorHAnsi"/>
          <w:spacing w:val="-1"/>
        </w:rPr>
        <w:t>o</w:t>
      </w:r>
      <w:r w:rsidRPr="009A0DA6">
        <w:rPr>
          <w:rFonts w:ascii="Cambria" w:eastAsia="Times New Roman" w:hAnsi="Cambria" w:cstheme="minorHAnsi"/>
          <w:spacing w:val="1"/>
        </w:rPr>
        <w:t>p</w:t>
      </w:r>
      <w:r w:rsidRPr="009A0DA6">
        <w:rPr>
          <w:rFonts w:ascii="Cambria" w:eastAsia="Times New Roman" w:hAnsi="Cambria" w:cstheme="minorHAnsi"/>
        </w:rPr>
        <w:t>e</w:t>
      </w:r>
      <w:r w:rsidRPr="009A0DA6">
        <w:rPr>
          <w:rFonts w:ascii="Cambria" w:eastAsia="Times New Roman" w:hAnsi="Cambria" w:cstheme="minorHAnsi"/>
          <w:spacing w:val="1"/>
        </w:rPr>
        <w:t>r</w:t>
      </w:r>
      <w:r w:rsidRPr="009A0DA6">
        <w:rPr>
          <w:rFonts w:ascii="Cambria" w:eastAsia="Times New Roman" w:hAnsi="Cambria" w:cstheme="minorHAnsi"/>
        </w:rPr>
        <w:t>ty</w:t>
      </w:r>
      <w:r w:rsidRPr="009A0DA6">
        <w:rPr>
          <w:rFonts w:ascii="Cambria" w:eastAsia="Times New Roman" w:hAnsi="Cambria" w:cstheme="minorHAnsi"/>
          <w:spacing w:val="-10"/>
        </w:rPr>
        <w:t xml:space="preserve"> </w:t>
      </w:r>
      <w:r w:rsidRPr="009A0DA6">
        <w:rPr>
          <w:rFonts w:ascii="Cambria" w:eastAsia="Times New Roman" w:hAnsi="Cambria" w:cstheme="minorHAnsi"/>
          <w:spacing w:val="2"/>
        </w:rPr>
        <w:t>i</w:t>
      </w:r>
      <w:r w:rsidRPr="009A0DA6">
        <w:rPr>
          <w:rFonts w:ascii="Cambria" w:eastAsia="Times New Roman" w:hAnsi="Cambria" w:cstheme="minorHAnsi"/>
          <w:spacing w:val="-4"/>
        </w:rPr>
        <w:t>m</w:t>
      </w:r>
      <w:r w:rsidRPr="009A0DA6">
        <w:rPr>
          <w:rFonts w:ascii="Cambria" w:eastAsia="Times New Roman" w:hAnsi="Cambria" w:cstheme="minorHAnsi"/>
          <w:spacing w:val="1"/>
        </w:rPr>
        <w:t>pr</w:t>
      </w:r>
      <w:r w:rsidRPr="009A0DA6">
        <w:rPr>
          <w:rFonts w:ascii="Cambria" w:eastAsia="Times New Roman" w:hAnsi="Cambria" w:cstheme="minorHAnsi"/>
          <w:spacing w:val="4"/>
        </w:rPr>
        <w:t>o</w:t>
      </w:r>
      <w:r w:rsidRPr="009A0DA6">
        <w:rPr>
          <w:rFonts w:ascii="Cambria" w:eastAsia="Times New Roman" w:hAnsi="Cambria" w:cstheme="minorHAnsi"/>
          <w:spacing w:val="-1"/>
        </w:rPr>
        <w:t>v</w:t>
      </w:r>
      <w:r w:rsidRPr="009A0DA6">
        <w:rPr>
          <w:rFonts w:ascii="Cambria" w:eastAsia="Times New Roman" w:hAnsi="Cambria" w:cstheme="minorHAnsi"/>
          <w:spacing w:val="3"/>
        </w:rPr>
        <w:t>e</w:t>
      </w:r>
      <w:r w:rsidRPr="009A0DA6">
        <w:rPr>
          <w:rFonts w:ascii="Cambria" w:eastAsia="Times New Roman" w:hAnsi="Cambria" w:cstheme="minorHAnsi"/>
          <w:spacing w:val="-4"/>
        </w:rPr>
        <w:t>m</w:t>
      </w:r>
      <w:r w:rsidRPr="009A0DA6">
        <w:rPr>
          <w:rFonts w:ascii="Cambria" w:eastAsia="Times New Roman" w:hAnsi="Cambria" w:cstheme="minorHAnsi"/>
          <w:spacing w:val="3"/>
        </w:rPr>
        <w:t>e</w:t>
      </w:r>
      <w:r w:rsidRPr="009A0DA6">
        <w:rPr>
          <w:rFonts w:ascii="Cambria" w:eastAsia="Times New Roman" w:hAnsi="Cambria" w:cstheme="minorHAnsi"/>
          <w:spacing w:val="-1"/>
        </w:rPr>
        <w:t>n</w:t>
      </w:r>
      <w:r w:rsidRPr="009A0DA6">
        <w:rPr>
          <w:rFonts w:ascii="Cambria" w:eastAsia="Times New Roman" w:hAnsi="Cambria" w:cstheme="minorHAnsi"/>
          <w:spacing w:val="2"/>
        </w:rPr>
        <w:t>t</w:t>
      </w:r>
      <w:r w:rsidRPr="009A0DA6">
        <w:rPr>
          <w:rFonts w:ascii="Cambria" w:eastAsia="Times New Roman" w:hAnsi="Cambria" w:cstheme="minorHAnsi"/>
        </w:rPr>
        <w:t>s</w:t>
      </w:r>
      <w:r w:rsidRPr="009A0DA6">
        <w:rPr>
          <w:rFonts w:ascii="Cambria" w:eastAsia="Times New Roman" w:hAnsi="Cambria" w:cstheme="minorHAnsi"/>
          <w:spacing w:val="-11"/>
        </w:rPr>
        <w:t xml:space="preserve"> </w:t>
      </w:r>
      <w:r w:rsidRPr="009A0DA6">
        <w:rPr>
          <w:rFonts w:ascii="Cambria" w:eastAsia="Times New Roman" w:hAnsi="Cambria" w:cstheme="minorHAnsi"/>
        </w:rPr>
        <w:t>at</w:t>
      </w:r>
      <w:r w:rsidRPr="009A0DA6">
        <w:rPr>
          <w:rFonts w:ascii="Cambria" w:eastAsia="Times New Roman" w:hAnsi="Cambria" w:cstheme="minorHAnsi"/>
          <w:spacing w:val="-1"/>
        </w:rPr>
        <w:t xml:space="preserve"> </w:t>
      </w:r>
      <w:r w:rsidRPr="009A0DA6">
        <w:rPr>
          <w:rFonts w:ascii="Cambria" w:eastAsia="Times New Roman" w:hAnsi="Cambria" w:cstheme="minorHAnsi"/>
        </w:rPr>
        <w:t>c</w:t>
      </w:r>
      <w:r w:rsidRPr="009A0DA6">
        <w:rPr>
          <w:rFonts w:ascii="Cambria" w:eastAsia="Times New Roman" w:hAnsi="Cambria" w:cstheme="minorHAnsi"/>
          <w:spacing w:val="1"/>
        </w:rPr>
        <w:t>o</w:t>
      </w:r>
      <w:r w:rsidRPr="009A0DA6">
        <w:rPr>
          <w:rFonts w:ascii="Cambria" w:eastAsia="Times New Roman" w:hAnsi="Cambria" w:cstheme="minorHAnsi"/>
          <w:spacing w:val="-1"/>
        </w:rPr>
        <w:t>s</w:t>
      </w:r>
      <w:r w:rsidRPr="009A0DA6">
        <w:rPr>
          <w:rFonts w:ascii="Cambria" w:eastAsia="Times New Roman" w:hAnsi="Cambria" w:cstheme="minorHAnsi"/>
        </w:rPr>
        <w:t>t</w:t>
      </w:r>
      <w:r w:rsidRPr="009A0DA6">
        <w:rPr>
          <w:rFonts w:ascii="Cambria" w:hAnsi="Cambria" w:cstheme="minorHAnsi"/>
        </w:rPr>
        <w:t xml:space="preserve"> </w:t>
      </w:r>
      <w:r w:rsidRPr="009A0DA6">
        <w:rPr>
          <w:rFonts w:ascii="Cambria" w:hAnsi="Cambria" w:cstheme="minorHAnsi"/>
        </w:rPr>
        <w:tab/>
      </w:r>
      <w:r w:rsidRPr="009A0DA6">
        <w:rPr>
          <w:rFonts w:ascii="Cambria" w:hAnsi="Cambria" w:cstheme="minorHAnsi"/>
        </w:rPr>
        <w:tab/>
      </w:r>
      <w:r w:rsidRPr="009A0DA6">
        <w:rPr>
          <w:rFonts w:ascii="Cambria" w:eastAsia="Times New Roman" w:hAnsi="Cambria" w:cstheme="minorHAnsi"/>
          <w:spacing w:val="1"/>
        </w:rPr>
        <w:t>146,</w:t>
      </w:r>
      <w:r w:rsidRPr="009A0DA6">
        <w:rPr>
          <w:rFonts w:ascii="Cambria" w:eastAsia="Times New Roman" w:hAnsi="Cambria" w:cstheme="minorHAnsi"/>
          <w:spacing w:val="-1"/>
        </w:rPr>
        <w:t>2</w:t>
      </w:r>
      <w:r w:rsidRPr="009A0DA6">
        <w:rPr>
          <w:rFonts w:ascii="Cambria" w:eastAsia="Times New Roman" w:hAnsi="Cambria" w:cstheme="minorHAnsi"/>
          <w:spacing w:val="1"/>
        </w:rPr>
        <w:t>3</w:t>
      </w:r>
      <w:r w:rsidRPr="009A0DA6">
        <w:rPr>
          <w:rFonts w:ascii="Cambria" w:eastAsia="Times New Roman" w:hAnsi="Cambria" w:cstheme="minorHAnsi"/>
        </w:rPr>
        <w:t>2</w:t>
      </w:r>
      <w:r w:rsidRPr="009A0DA6">
        <w:rPr>
          <w:rFonts w:ascii="Cambria" w:eastAsia="Times New Roman" w:hAnsi="Cambria" w:cstheme="minorHAnsi"/>
        </w:rPr>
        <w:tab/>
      </w:r>
      <w:r w:rsidRPr="009A0DA6">
        <w:rPr>
          <w:rFonts w:ascii="Cambria" w:eastAsia="Times New Roman" w:hAnsi="Cambria" w:cstheme="minorHAnsi"/>
          <w:spacing w:val="1"/>
        </w:rPr>
        <w:t>130,</w:t>
      </w:r>
      <w:r w:rsidRPr="009A0DA6">
        <w:rPr>
          <w:rFonts w:ascii="Cambria" w:eastAsia="Times New Roman" w:hAnsi="Cambria" w:cstheme="minorHAnsi"/>
          <w:spacing w:val="-1"/>
        </w:rPr>
        <w:t>1</w:t>
      </w:r>
      <w:r w:rsidRPr="009A0DA6">
        <w:rPr>
          <w:rFonts w:ascii="Cambria" w:eastAsia="Times New Roman" w:hAnsi="Cambria" w:cstheme="minorHAnsi"/>
          <w:spacing w:val="1"/>
        </w:rPr>
        <w:t>9</w:t>
      </w:r>
      <w:r w:rsidRPr="009A0DA6">
        <w:rPr>
          <w:rFonts w:ascii="Cambria" w:eastAsia="Times New Roman" w:hAnsi="Cambria" w:cstheme="minorHAnsi"/>
        </w:rPr>
        <w:t>2</w:t>
      </w:r>
      <w:r w:rsidRPr="009A0DA6">
        <w:rPr>
          <w:rFonts w:ascii="Cambria" w:eastAsia="Times New Roman" w:hAnsi="Cambria" w:cstheme="minorHAnsi"/>
        </w:rPr>
        <w:tab/>
        <w:t>130,912</w:t>
      </w:r>
    </w:p>
    <w:p w14:paraId="644D5613"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eastAsia="Times New Roman" w:hAnsi="Cambria" w:cstheme="minorHAnsi"/>
          <w:spacing w:val="1"/>
        </w:rPr>
      </w:pPr>
      <w:r w:rsidRPr="009A0DA6">
        <w:rPr>
          <w:rFonts w:ascii="Cambria" w:eastAsia="Times New Roman" w:hAnsi="Cambria" w:cstheme="minorHAnsi"/>
        </w:rPr>
        <w:t>Less accumulated depreciation</w:t>
      </w:r>
      <w:r w:rsidRPr="009A0DA6">
        <w:rPr>
          <w:rFonts w:ascii="Cambria" w:eastAsia="Times New Roman" w:hAnsi="Cambria" w:cstheme="minorHAnsi"/>
        </w:rPr>
        <w:tab/>
      </w:r>
      <w:r w:rsidRPr="009A0DA6">
        <w:rPr>
          <w:rFonts w:ascii="Cambria" w:eastAsia="Times New Roman" w:hAnsi="Cambria" w:cstheme="minorHAnsi"/>
        </w:rPr>
        <w:tab/>
      </w:r>
      <w:r w:rsidRPr="009A0DA6">
        <w:rPr>
          <w:rFonts w:ascii="Cambria" w:eastAsia="Times New Roman" w:hAnsi="Cambria" w:cstheme="minorHAnsi"/>
          <w:spacing w:val="1"/>
        </w:rPr>
        <w:t>(66,</w:t>
      </w:r>
      <w:r w:rsidRPr="009A0DA6">
        <w:rPr>
          <w:rFonts w:ascii="Cambria" w:eastAsia="Times New Roman" w:hAnsi="Cambria" w:cstheme="minorHAnsi"/>
          <w:spacing w:val="-1"/>
        </w:rPr>
        <w:t>5</w:t>
      </w:r>
      <w:r w:rsidRPr="009A0DA6">
        <w:rPr>
          <w:rFonts w:ascii="Cambria" w:eastAsia="Times New Roman" w:hAnsi="Cambria" w:cstheme="minorHAnsi"/>
          <w:spacing w:val="1"/>
        </w:rPr>
        <w:t>79</w:t>
      </w:r>
      <w:r w:rsidRPr="009A0DA6">
        <w:rPr>
          <w:rFonts w:ascii="Cambria" w:eastAsia="Times New Roman" w:hAnsi="Cambria" w:cstheme="minorHAnsi"/>
        </w:rPr>
        <w:t>)</w:t>
      </w:r>
      <w:r w:rsidRPr="009A0DA6">
        <w:rPr>
          <w:rFonts w:ascii="Cambria" w:eastAsia="Times New Roman" w:hAnsi="Cambria" w:cstheme="minorHAnsi"/>
        </w:rPr>
        <w:tab/>
      </w:r>
      <w:r w:rsidRPr="009A0DA6">
        <w:rPr>
          <w:rFonts w:ascii="Cambria" w:eastAsia="Times New Roman" w:hAnsi="Cambria" w:cstheme="minorHAnsi"/>
          <w:spacing w:val="1"/>
        </w:rPr>
        <w:t>(53,</w:t>
      </w:r>
      <w:r w:rsidRPr="009A0DA6">
        <w:rPr>
          <w:rFonts w:ascii="Cambria" w:eastAsia="Times New Roman" w:hAnsi="Cambria" w:cstheme="minorHAnsi"/>
          <w:spacing w:val="-1"/>
        </w:rPr>
        <w:t>5</w:t>
      </w:r>
      <w:r w:rsidRPr="009A0DA6">
        <w:rPr>
          <w:rFonts w:ascii="Cambria" w:eastAsia="Times New Roman" w:hAnsi="Cambria" w:cstheme="minorHAnsi"/>
          <w:spacing w:val="1"/>
        </w:rPr>
        <w:t>60</w:t>
      </w:r>
      <w:r w:rsidRPr="009A0DA6">
        <w:rPr>
          <w:rFonts w:ascii="Cambria" w:eastAsia="Times New Roman" w:hAnsi="Cambria" w:cstheme="minorHAnsi"/>
          <w:spacing w:val="1"/>
        </w:rPr>
        <w:tab/>
        <w:t>26,780</w:t>
      </w:r>
    </w:p>
    <w:p w14:paraId="05EC0700"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eastAsiaTheme="minorEastAsia" w:hAnsi="Cambria" w:cstheme="minorHAnsi"/>
          <w:b/>
        </w:rPr>
      </w:pPr>
      <w:r w:rsidRPr="009A0DA6">
        <w:rPr>
          <w:rFonts w:ascii="Cambria" w:hAnsi="Cambria" w:cstheme="minorHAnsi"/>
          <w:b/>
        </w:rPr>
        <w:t>TOTAL PROPERTY</w:t>
      </w:r>
      <w:r w:rsidRPr="009A0DA6">
        <w:rPr>
          <w:rFonts w:ascii="Cambria" w:hAnsi="Cambria" w:cstheme="minorHAnsi"/>
          <w:b/>
        </w:rPr>
        <w:tab/>
      </w:r>
      <w:r w:rsidRPr="009A0DA6">
        <w:rPr>
          <w:rFonts w:ascii="Cambria" w:hAnsi="Cambria" w:cstheme="minorHAnsi"/>
          <w:b/>
        </w:rPr>
        <w:tab/>
      </w:r>
      <w:r w:rsidRPr="009A0DA6">
        <w:rPr>
          <w:rFonts w:ascii="Cambria" w:eastAsia="Times New Roman" w:hAnsi="Cambria" w:cstheme="minorHAnsi"/>
          <w:b/>
          <w:spacing w:val="1"/>
        </w:rPr>
        <w:t>1,44</w:t>
      </w:r>
      <w:r w:rsidRPr="009A0DA6">
        <w:rPr>
          <w:rFonts w:ascii="Cambria" w:eastAsia="Times New Roman" w:hAnsi="Cambria" w:cstheme="minorHAnsi"/>
          <w:b/>
          <w:spacing w:val="-1"/>
        </w:rPr>
        <w:t>5</w:t>
      </w:r>
      <w:r w:rsidRPr="009A0DA6">
        <w:rPr>
          <w:rFonts w:ascii="Cambria" w:eastAsia="Times New Roman" w:hAnsi="Cambria" w:cstheme="minorHAnsi"/>
          <w:b/>
          <w:spacing w:val="1"/>
        </w:rPr>
        <w:t>,3</w:t>
      </w:r>
      <w:r w:rsidRPr="009A0DA6">
        <w:rPr>
          <w:rFonts w:ascii="Cambria" w:eastAsia="Times New Roman" w:hAnsi="Cambria" w:cstheme="minorHAnsi"/>
          <w:b/>
          <w:spacing w:val="-1"/>
        </w:rPr>
        <w:t>6</w:t>
      </w:r>
      <w:r w:rsidRPr="009A0DA6">
        <w:rPr>
          <w:rFonts w:ascii="Cambria" w:eastAsia="Times New Roman" w:hAnsi="Cambria" w:cstheme="minorHAnsi"/>
          <w:b/>
        </w:rPr>
        <w:t>7</w:t>
      </w:r>
      <w:r w:rsidRPr="009A0DA6">
        <w:rPr>
          <w:rFonts w:ascii="Cambria" w:eastAsia="Times New Roman" w:hAnsi="Cambria" w:cstheme="minorHAnsi"/>
          <w:b/>
        </w:rPr>
        <w:tab/>
      </w:r>
      <w:r w:rsidRPr="009A0DA6">
        <w:rPr>
          <w:rFonts w:ascii="Cambria" w:eastAsia="Times New Roman" w:hAnsi="Cambria" w:cstheme="minorHAnsi"/>
          <w:b/>
          <w:spacing w:val="1"/>
        </w:rPr>
        <w:t>1,94</w:t>
      </w:r>
      <w:r w:rsidRPr="009A0DA6">
        <w:rPr>
          <w:rFonts w:ascii="Cambria" w:eastAsia="Times New Roman" w:hAnsi="Cambria" w:cstheme="minorHAnsi"/>
          <w:b/>
          <w:spacing w:val="-1"/>
        </w:rPr>
        <w:t>0</w:t>
      </w:r>
      <w:r w:rsidRPr="009A0DA6">
        <w:rPr>
          <w:rFonts w:ascii="Cambria" w:eastAsia="Times New Roman" w:hAnsi="Cambria" w:cstheme="minorHAnsi"/>
          <w:b/>
          <w:spacing w:val="1"/>
        </w:rPr>
        <w:t>,3</w:t>
      </w:r>
      <w:r w:rsidRPr="009A0DA6">
        <w:rPr>
          <w:rFonts w:ascii="Cambria" w:eastAsia="Times New Roman" w:hAnsi="Cambria" w:cstheme="minorHAnsi"/>
          <w:b/>
          <w:spacing w:val="-1"/>
        </w:rPr>
        <w:t>4</w:t>
      </w:r>
      <w:r w:rsidRPr="009A0DA6">
        <w:rPr>
          <w:rFonts w:ascii="Cambria" w:eastAsia="Times New Roman" w:hAnsi="Cambria" w:cstheme="minorHAnsi"/>
          <w:b/>
        </w:rPr>
        <w:t>6</w:t>
      </w:r>
      <w:r w:rsidRPr="009A0DA6">
        <w:rPr>
          <w:rFonts w:ascii="Cambria" w:eastAsia="Times New Roman" w:hAnsi="Cambria" w:cstheme="minorHAnsi"/>
          <w:b/>
        </w:rPr>
        <w:tab/>
        <w:t>2,717,126</w:t>
      </w:r>
    </w:p>
    <w:p w14:paraId="4AD53449"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hAnsi="Cambria" w:cstheme="minorHAnsi"/>
          <w:b/>
        </w:rPr>
      </w:pPr>
      <w:r w:rsidRPr="009A0DA6">
        <w:rPr>
          <w:rFonts w:ascii="Cambria" w:hAnsi="Cambria" w:cstheme="minorHAnsi"/>
          <w:b/>
        </w:rPr>
        <w:t>Plant and equipment</w:t>
      </w:r>
      <w:r w:rsidRPr="009A0DA6">
        <w:rPr>
          <w:rFonts w:ascii="Cambria" w:hAnsi="Cambria" w:cstheme="minorHAnsi"/>
          <w:b/>
        </w:rPr>
        <w:tab/>
      </w:r>
      <w:r w:rsidRPr="009A0DA6">
        <w:rPr>
          <w:rFonts w:ascii="Cambria" w:hAnsi="Cambria" w:cstheme="minorHAnsi"/>
          <w:b/>
        </w:rPr>
        <w:tab/>
      </w:r>
    </w:p>
    <w:p w14:paraId="7043B194"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hAnsi="Cambria" w:cstheme="minorHAnsi"/>
        </w:rPr>
      </w:pPr>
      <w:r w:rsidRPr="009A0DA6">
        <w:rPr>
          <w:rFonts w:ascii="Cambria" w:eastAsia="Times New Roman" w:hAnsi="Cambria" w:cstheme="minorHAnsi"/>
        </w:rPr>
        <w:t>F</w:t>
      </w:r>
      <w:r w:rsidRPr="009A0DA6">
        <w:rPr>
          <w:rFonts w:ascii="Cambria" w:eastAsia="Times New Roman" w:hAnsi="Cambria" w:cstheme="minorHAnsi"/>
          <w:spacing w:val="-1"/>
        </w:rPr>
        <w:t>u</w:t>
      </w:r>
      <w:r w:rsidRPr="009A0DA6">
        <w:rPr>
          <w:rFonts w:ascii="Cambria" w:eastAsia="Times New Roman" w:hAnsi="Cambria" w:cstheme="minorHAnsi"/>
          <w:spacing w:val="1"/>
        </w:rPr>
        <w:t>rn</w:t>
      </w:r>
      <w:r w:rsidRPr="009A0DA6">
        <w:rPr>
          <w:rFonts w:ascii="Cambria" w:eastAsia="Times New Roman" w:hAnsi="Cambria" w:cstheme="minorHAnsi"/>
        </w:rPr>
        <w:t>it</w:t>
      </w:r>
      <w:r w:rsidRPr="009A0DA6">
        <w:rPr>
          <w:rFonts w:ascii="Cambria" w:eastAsia="Times New Roman" w:hAnsi="Cambria" w:cstheme="minorHAnsi"/>
          <w:spacing w:val="-1"/>
        </w:rPr>
        <w:t>u</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6"/>
        </w:rPr>
        <w:t xml:space="preserve"> </w:t>
      </w:r>
      <w:r w:rsidRPr="009A0DA6">
        <w:rPr>
          <w:rFonts w:ascii="Cambria" w:eastAsia="Times New Roman" w:hAnsi="Cambria" w:cstheme="minorHAnsi"/>
          <w:spacing w:val="3"/>
        </w:rPr>
        <w:t>a</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spacing w:val="-1"/>
        </w:rPr>
        <w:t xml:space="preserve"> f</w:t>
      </w:r>
      <w:r w:rsidRPr="009A0DA6">
        <w:rPr>
          <w:rFonts w:ascii="Cambria" w:eastAsia="Times New Roman" w:hAnsi="Cambria" w:cstheme="minorHAnsi"/>
        </w:rPr>
        <w:t>it</w:t>
      </w:r>
      <w:r w:rsidRPr="009A0DA6">
        <w:rPr>
          <w:rFonts w:ascii="Cambria" w:eastAsia="Times New Roman" w:hAnsi="Cambria" w:cstheme="minorHAnsi"/>
          <w:spacing w:val="2"/>
        </w:rPr>
        <w:t>t</w:t>
      </w:r>
      <w:r w:rsidRPr="009A0DA6">
        <w:rPr>
          <w:rFonts w:ascii="Cambria" w:eastAsia="Times New Roman" w:hAnsi="Cambria" w:cstheme="minorHAnsi"/>
        </w:rPr>
        <w:t>i</w:t>
      </w:r>
      <w:r w:rsidRPr="009A0DA6">
        <w:rPr>
          <w:rFonts w:ascii="Cambria" w:eastAsia="Times New Roman" w:hAnsi="Cambria" w:cstheme="minorHAnsi"/>
          <w:spacing w:val="1"/>
        </w:rPr>
        <w:t>n</w:t>
      </w:r>
      <w:r w:rsidRPr="009A0DA6">
        <w:rPr>
          <w:rFonts w:ascii="Cambria" w:eastAsia="Times New Roman" w:hAnsi="Cambria" w:cstheme="minorHAnsi"/>
          <w:spacing w:val="-1"/>
        </w:rPr>
        <w:t>g</w:t>
      </w:r>
      <w:r w:rsidRPr="009A0DA6">
        <w:rPr>
          <w:rFonts w:ascii="Cambria" w:eastAsia="Times New Roman" w:hAnsi="Cambria" w:cstheme="minorHAnsi"/>
        </w:rPr>
        <w:t>s</w:t>
      </w:r>
      <w:r w:rsidRPr="009A0DA6">
        <w:rPr>
          <w:rFonts w:ascii="Cambria" w:eastAsia="Times New Roman" w:hAnsi="Cambria" w:cstheme="minorHAnsi"/>
        </w:rPr>
        <w:tab/>
      </w:r>
      <w:r w:rsidRPr="009A0DA6">
        <w:rPr>
          <w:rFonts w:ascii="Cambria" w:eastAsia="Times New Roman" w:hAnsi="Cambria" w:cstheme="minorHAnsi"/>
        </w:rPr>
        <w:tab/>
      </w:r>
      <w:r w:rsidRPr="009A0DA6">
        <w:rPr>
          <w:rFonts w:ascii="Cambria" w:eastAsia="Times New Roman" w:hAnsi="Cambria" w:cstheme="minorHAnsi"/>
          <w:spacing w:val="1"/>
        </w:rPr>
        <w:t>485,</w:t>
      </w:r>
      <w:r w:rsidRPr="009A0DA6">
        <w:rPr>
          <w:rFonts w:ascii="Cambria" w:eastAsia="Times New Roman" w:hAnsi="Cambria" w:cstheme="minorHAnsi"/>
          <w:spacing w:val="-1"/>
        </w:rPr>
        <w:t>2</w:t>
      </w:r>
      <w:r w:rsidRPr="009A0DA6">
        <w:rPr>
          <w:rFonts w:ascii="Cambria" w:eastAsia="Times New Roman" w:hAnsi="Cambria" w:cstheme="minorHAnsi"/>
          <w:spacing w:val="1"/>
        </w:rPr>
        <w:t>8</w:t>
      </w:r>
      <w:r w:rsidRPr="009A0DA6">
        <w:rPr>
          <w:rFonts w:ascii="Cambria" w:eastAsia="Times New Roman" w:hAnsi="Cambria" w:cstheme="minorHAnsi"/>
        </w:rPr>
        <w:t>3</w:t>
      </w:r>
      <w:r w:rsidRPr="009A0DA6">
        <w:rPr>
          <w:rFonts w:ascii="Cambria" w:eastAsia="Times New Roman" w:hAnsi="Cambria" w:cstheme="minorHAnsi"/>
        </w:rPr>
        <w:tab/>
      </w:r>
      <w:r w:rsidRPr="009A0DA6">
        <w:rPr>
          <w:rFonts w:ascii="Cambria" w:eastAsia="Times New Roman" w:hAnsi="Cambria" w:cstheme="minorHAnsi"/>
          <w:spacing w:val="1"/>
        </w:rPr>
        <w:t>481,</w:t>
      </w:r>
      <w:r w:rsidRPr="009A0DA6">
        <w:rPr>
          <w:rFonts w:ascii="Cambria" w:eastAsia="Times New Roman" w:hAnsi="Cambria" w:cstheme="minorHAnsi"/>
          <w:spacing w:val="-1"/>
        </w:rPr>
        <w:t>8</w:t>
      </w:r>
      <w:r w:rsidRPr="009A0DA6">
        <w:rPr>
          <w:rFonts w:ascii="Cambria" w:eastAsia="Times New Roman" w:hAnsi="Cambria" w:cstheme="minorHAnsi"/>
          <w:spacing w:val="1"/>
        </w:rPr>
        <w:t>4</w:t>
      </w:r>
      <w:r w:rsidRPr="009A0DA6">
        <w:rPr>
          <w:rFonts w:ascii="Cambria" w:eastAsia="Times New Roman" w:hAnsi="Cambria" w:cstheme="minorHAnsi"/>
        </w:rPr>
        <w:t>1</w:t>
      </w:r>
      <w:r w:rsidRPr="009A0DA6">
        <w:rPr>
          <w:rFonts w:ascii="Cambria" w:eastAsia="Times New Roman" w:hAnsi="Cambria" w:cstheme="minorHAnsi"/>
        </w:rPr>
        <w:tab/>
      </w:r>
      <w:r w:rsidRPr="009A0DA6">
        <w:rPr>
          <w:rFonts w:ascii="Cambria" w:eastAsia="Times New Roman" w:hAnsi="Cambria" w:cstheme="minorHAnsi"/>
          <w:spacing w:val="1"/>
        </w:rPr>
        <w:t>451,</w:t>
      </w:r>
      <w:r w:rsidRPr="009A0DA6">
        <w:rPr>
          <w:rFonts w:ascii="Cambria" w:eastAsia="Times New Roman" w:hAnsi="Cambria" w:cstheme="minorHAnsi"/>
          <w:spacing w:val="-1"/>
        </w:rPr>
        <w:t>213</w:t>
      </w:r>
    </w:p>
    <w:p w14:paraId="70006B88"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hAnsi="Cambria" w:cstheme="minorHAnsi"/>
        </w:rPr>
      </w:pPr>
      <w:r w:rsidRPr="009A0DA6">
        <w:rPr>
          <w:rFonts w:ascii="Cambria" w:eastAsia="Times New Roman" w:hAnsi="Cambria" w:cstheme="minorHAnsi"/>
          <w:spacing w:val="-2"/>
        </w:rPr>
        <w:t>L</w:t>
      </w:r>
      <w:r w:rsidRPr="009A0DA6">
        <w:rPr>
          <w:rFonts w:ascii="Cambria" w:eastAsia="Times New Roman" w:hAnsi="Cambria" w:cstheme="minorHAnsi"/>
        </w:rPr>
        <w:t>e</w:t>
      </w:r>
      <w:r w:rsidRPr="009A0DA6">
        <w:rPr>
          <w:rFonts w:ascii="Cambria" w:eastAsia="Times New Roman" w:hAnsi="Cambria" w:cstheme="minorHAnsi"/>
          <w:spacing w:val="2"/>
        </w:rPr>
        <w:t>s</w:t>
      </w:r>
      <w:r w:rsidRPr="009A0DA6">
        <w:rPr>
          <w:rFonts w:ascii="Cambria" w:eastAsia="Times New Roman" w:hAnsi="Cambria" w:cstheme="minorHAnsi"/>
        </w:rPr>
        <w:t>s</w:t>
      </w:r>
      <w:r w:rsidRPr="009A0DA6">
        <w:rPr>
          <w:rFonts w:ascii="Cambria" w:eastAsia="Times New Roman" w:hAnsi="Cambria" w:cstheme="minorHAnsi"/>
          <w:spacing w:val="-4"/>
        </w:rPr>
        <w:t xml:space="preserve"> </w:t>
      </w:r>
      <w:r w:rsidRPr="009A0DA6">
        <w:rPr>
          <w:rFonts w:ascii="Cambria" w:eastAsia="Times New Roman" w:hAnsi="Cambria" w:cstheme="minorHAnsi"/>
        </w:rPr>
        <w:t>acc</w:t>
      </w:r>
      <w:r w:rsidRPr="009A0DA6">
        <w:rPr>
          <w:rFonts w:ascii="Cambria" w:eastAsia="Times New Roman" w:hAnsi="Cambria" w:cstheme="minorHAnsi"/>
          <w:spacing w:val="1"/>
        </w:rPr>
        <w:t>u</w:t>
      </w:r>
      <w:r w:rsidRPr="009A0DA6">
        <w:rPr>
          <w:rFonts w:ascii="Cambria" w:eastAsia="Times New Roman" w:hAnsi="Cambria" w:cstheme="minorHAnsi"/>
          <w:spacing w:val="-1"/>
        </w:rPr>
        <w:t>m</w:t>
      </w:r>
      <w:r w:rsidRPr="009A0DA6">
        <w:rPr>
          <w:rFonts w:ascii="Cambria" w:eastAsia="Times New Roman" w:hAnsi="Cambria" w:cstheme="minorHAnsi"/>
          <w:spacing w:val="1"/>
        </w:rPr>
        <w:t>u</w:t>
      </w:r>
      <w:r w:rsidRPr="009A0DA6">
        <w:rPr>
          <w:rFonts w:ascii="Cambria" w:eastAsia="Times New Roman" w:hAnsi="Cambria" w:cstheme="minorHAnsi"/>
        </w:rPr>
        <w:t>lated</w:t>
      </w:r>
      <w:r w:rsidRPr="009A0DA6">
        <w:rPr>
          <w:rFonts w:ascii="Cambria" w:eastAsia="Times New Roman" w:hAnsi="Cambria" w:cstheme="minorHAnsi"/>
          <w:spacing w:val="-8"/>
        </w:rPr>
        <w:t xml:space="preserve"> </w:t>
      </w:r>
      <w:r w:rsidRPr="009A0DA6">
        <w:rPr>
          <w:rFonts w:ascii="Cambria" w:eastAsia="Times New Roman" w:hAnsi="Cambria" w:cstheme="minorHAnsi"/>
          <w:spacing w:val="1"/>
        </w:rPr>
        <w:t>d</w:t>
      </w:r>
      <w:r w:rsidRPr="009A0DA6">
        <w:rPr>
          <w:rFonts w:ascii="Cambria" w:eastAsia="Times New Roman" w:hAnsi="Cambria" w:cstheme="minorHAnsi"/>
        </w:rPr>
        <w:t>e</w:t>
      </w:r>
      <w:r w:rsidRPr="009A0DA6">
        <w:rPr>
          <w:rFonts w:ascii="Cambria" w:eastAsia="Times New Roman" w:hAnsi="Cambria" w:cstheme="minorHAnsi"/>
          <w:spacing w:val="1"/>
        </w:rPr>
        <w:t>pr</w:t>
      </w:r>
      <w:r w:rsidRPr="009A0DA6">
        <w:rPr>
          <w:rFonts w:ascii="Cambria" w:eastAsia="Times New Roman" w:hAnsi="Cambria" w:cstheme="minorHAnsi"/>
        </w:rPr>
        <w:t>eciati</w:t>
      </w:r>
      <w:r w:rsidRPr="009A0DA6">
        <w:rPr>
          <w:rFonts w:ascii="Cambria" w:eastAsia="Times New Roman" w:hAnsi="Cambria" w:cstheme="minorHAnsi"/>
          <w:spacing w:val="1"/>
        </w:rPr>
        <w:t>o</w:t>
      </w:r>
      <w:r w:rsidRPr="009A0DA6">
        <w:rPr>
          <w:rFonts w:ascii="Cambria" w:eastAsia="Times New Roman" w:hAnsi="Cambria" w:cstheme="minorHAnsi"/>
        </w:rPr>
        <w:t>n</w:t>
      </w:r>
      <w:r w:rsidRPr="009A0DA6">
        <w:rPr>
          <w:rFonts w:ascii="Cambria" w:eastAsia="Times New Roman" w:hAnsi="Cambria" w:cstheme="minorHAnsi"/>
        </w:rPr>
        <w:tab/>
      </w:r>
      <w:r w:rsidRPr="009A0DA6">
        <w:rPr>
          <w:rFonts w:ascii="Cambria" w:eastAsia="Times New Roman" w:hAnsi="Cambria" w:cstheme="minorHAnsi"/>
        </w:rPr>
        <w:tab/>
      </w:r>
      <w:r w:rsidRPr="009A0DA6">
        <w:rPr>
          <w:rFonts w:ascii="Cambria" w:eastAsia="Times New Roman" w:hAnsi="Cambria" w:cstheme="minorHAnsi"/>
          <w:spacing w:val="1"/>
        </w:rPr>
        <w:t>(93,</w:t>
      </w:r>
      <w:r w:rsidRPr="009A0DA6">
        <w:rPr>
          <w:rFonts w:ascii="Cambria" w:eastAsia="Times New Roman" w:hAnsi="Cambria" w:cstheme="minorHAnsi"/>
          <w:spacing w:val="-1"/>
        </w:rPr>
        <w:t>5</w:t>
      </w:r>
      <w:r w:rsidRPr="009A0DA6">
        <w:rPr>
          <w:rFonts w:ascii="Cambria" w:eastAsia="Times New Roman" w:hAnsi="Cambria" w:cstheme="minorHAnsi"/>
          <w:spacing w:val="1"/>
        </w:rPr>
        <w:t>21</w:t>
      </w:r>
      <w:r w:rsidRPr="009A0DA6">
        <w:rPr>
          <w:rFonts w:ascii="Cambria" w:eastAsia="Times New Roman" w:hAnsi="Cambria" w:cstheme="minorHAnsi"/>
        </w:rPr>
        <w:t>)</w:t>
      </w:r>
      <w:r w:rsidRPr="009A0DA6">
        <w:rPr>
          <w:rFonts w:ascii="Cambria" w:hAnsi="Cambria" w:cstheme="minorHAnsi"/>
        </w:rPr>
        <w:tab/>
      </w:r>
      <w:r w:rsidRPr="009A0DA6">
        <w:rPr>
          <w:rFonts w:ascii="Cambria" w:eastAsia="Times New Roman" w:hAnsi="Cambria" w:cstheme="minorHAnsi"/>
          <w:spacing w:val="1"/>
        </w:rPr>
        <w:t>(45,</w:t>
      </w:r>
      <w:r w:rsidRPr="009A0DA6">
        <w:rPr>
          <w:rFonts w:ascii="Cambria" w:eastAsia="Times New Roman" w:hAnsi="Cambria" w:cstheme="minorHAnsi"/>
          <w:spacing w:val="-1"/>
        </w:rPr>
        <w:t>3</w:t>
      </w:r>
      <w:r w:rsidRPr="009A0DA6">
        <w:rPr>
          <w:rFonts w:ascii="Cambria" w:eastAsia="Times New Roman" w:hAnsi="Cambria" w:cstheme="minorHAnsi"/>
          <w:spacing w:val="1"/>
        </w:rPr>
        <w:t>04</w:t>
      </w:r>
      <w:r w:rsidRPr="009A0DA6">
        <w:rPr>
          <w:rFonts w:ascii="Cambria" w:eastAsia="Times New Roman" w:hAnsi="Cambria" w:cstheme="minorHAnsi"/>
        </w:rPr>
        <w:t>)</w:t>
      </w:r>
      <w:r w:rsidRPr="009A0DA6">
        <w:rPr>
          <w:rFonts w:ascii="Cambria" w:eastAsia="Times New Roman" w:hAnsi="Cambria" w:cstheme="minorHAnsi"/>
        </w:rPr>
        <w:tab/>
        <w:t>0</w:t>
      </w:r>
    </w:p>
    <w:p w14:paraId="5B2A287B"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eastAsia="Times New Roman" w:hAnsi="Cambria" w:cstheme="minorHAnsi"/>
          <w:b/>
        </w:rPr>
      </w:pPr>
      <w:r w:rsidRPr="009A0DA6">
        <w:rPr>
          <w:rFonts w:ascii="Cambria" w:hAnsi="Cambria" w:cstheme="minorHAnsi"/>
          <w:b/>
        </w:rPr>
        <w:tab/>
      </w:r>
      <w:r w:rsidRPr="009A0DA6">
        <w:rPr>
          <w:rFonts w:ascii="Cambria" w:hAnsi="Cambria" w:cstheme="minorHAnsi"/>
          <w:b/>
        </w:rPr>
        <w:tab/>
      </w:r>
      <w:r w:rsidRPr="009A0DA6">
        <w:rPr>
          <w:rFonts w:ascii="Cambria" w:eastAsia="Times New Roman" w:hAnsi="Cambria" w:cstheme="minorHAnsi"/>
          <w:b/>
          <w:spacing w:val="1"/>
        </w:rPr>
        <w:t>391,</w:t>
      </w:r>
      <w:r w:rsidRPr="009A0DA6">
        <w:rPr>
          <w:rFonts w:ascii="Cambria" w:eastAsia="Times New Roman" w:hAnsi="Cambria" w:cstheme="minorHAnsi"/>
          <w:b/>
          <w:spacing w:val="-1"/>
        </w:rPr>
        <w:t>7</w:t>
      </w:r>
      <w:r w:rsidRPr="009A0DA6">
        <w:rPr>
          <w:rFonts w:ascii="Cambria" w:eastAsia="Times New Roman" w:hAnsi="Cambria" w:cstheme="minorHAnsi"/>
          <w:b/>
          <w:spacing w:val="1"/>
        </w:rPr>
        <w:t>6</w:t>
      </w:r>
      <w:r w:rsidRPr="009A0DA6">
        <w:rPr>
          <w:rFonts w:ascii="Cambria" w:eastAsia="Times New Roman" w:hAnsi="Cambria" w:cstheme="minorHAnsi"/>
          <w:b/>
        </w:rPr>
        <w:t>2</w:t>
      </w:r>
      <w:r w:rsidRPr="009A0DA6">
        <w:rPr>
          <w:rFonts w:ascii="Cambria" w:eastAsia="Times New Roman" w:hAnsi="Cambria" w:cstheme="minorHAnsi"/>
          <w:b/>
        </w:rPr>
        <w:tab/>
      </w:r>
      <w:r w:rsidRPr="009A0DA6">
        <w:rPr>
          <w:rFonts w:ascii="Cambria" w:eastAsia="Times New Roman" w:hAnsi="Cambria" w:cstheme="minorHAnsi"/>
          <w:b/>
          <w:spacing w:val="1"/>
        </w:rPr>
        <w:t>436</w:t>
      </w:r>
      <w:r w:rsidRPr="009A0DA6">
        <w:rPr>
          <w:rFonts w:ascii="Cambria" w:eastAsia="Times New Roman" w:hAnsi="Cambria" w:cstheme="minorHAnsi"/>
          <w:b/>
          <w:spacing w:val="-2"/>
        </w:rPr>
        <w:t>,</w:t>
      </w:r>
      <w:r w:rsidRPr="009A0DA6">
        <w:rPr>
          <w:rFonts w:ascii="Cambria" w:eastAsia="Times New Roman" w:hAnsi="Cambria" w:cstheme="minorHAnsi"/>
          <w:b/>
          <w:spacing w:val="1"/>
        </w:rPr>
        <w:t>53</w:t>
      </w:r>
      <w:r w:rsidRPr="009A0DA6">
        <w:rPr>
          <w:rFonts w:ascii="Cambria" w:eastAsia="Times New Roman" w:hAnsi="Cambria" w:cstheme="minorHAnsi"/>
          <w:b/>
        </w:rPr>
        <w:t>7</w:t>
      </w:r>
      <w:r w:rsidRPr="009A0DA6">
        <w:rPr>
          <w:rFonts w:ascii="Cambria" w:eastAsia="Times New Roman" w:hAnsi="Cambria" w:cstheme="minorHAnsi"/>
          <w:b/>
        </w:rPr>
        <w:tab/>
        <w:t>485,213</w:t>
      </w:r>
    </w:p>
    <w:p w14:paraId="7B5FDC0F"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eastAsia="Times New Roman" w:hAnsi="Cambria" w:cstheme="minorHAnsi"/>
        </w:rPr>
      </w:pPr>
      <w:r w:rsidRPr="009A0DA6">
        <w:rPr>
          <w:rFonts w:ascii="Cambria" w:eastAsia="Times New Roman" w:hAnsi="Cambria" w:cstheme="minorHAnsi"/>
          <w:spacing w:val="-1"/>
        </w:rPr>
        <w:t>C</w:t>
      </w:r>
      <w:r w:rsidRPr="009A0DA6">
        <w:rPr>
          <w:rFonts w:ascii="Cambria" w:eastAsia="Times New Roman" w:hAnsi="Cambria" w:cstheme="minorHAnsi"/>
          <w:spacing w:val="4"/>
        </w:rPr>
        <w:t>o</w:t>
      </w:r>
      <w:r w:rsidRPr="009A0DA6">
        <w:rPr>
          <w:rFonts w:ascii="Cambria" w:eastAsia="Times New Roman" w:hAnsi="Cambria" w:cstheme="minorHAnsi"/>
          <w:spacing w:val="-4"/>
        </w:rPr>
        <w:t>m</w:t>
      </w:r>
      <w:r w:rsidRPr="009A0DA6">
        <w:rPr>
          <w:rFonts w:ascii="Cambria" w:eastAsia="Times New Roman" w:hAnsi="Cambria" w:cstheme="minorHAnsi"/>
          <w:spacing w:val="1"/>
        </w:rPr>
        <w:t>pu</w:t>
      </w:r>
      <w:r w:rsidRPr="009A0DA6">
        <w:rPr>
          <w:rFonts w:ascii="Cambria" w:eastAsia="Times New Roman" w:hAnsi="Cambria" w:cstheme="minorHAnsi"/>
        </w:rPr>
        <w:t>ter</w:t>
      </w:r>
      <w:r w:rsidRPr="009A0DA6">
        <w:rPr>
          <w:rFonts w:ascii="Cambria" w:eastAsia="Times New Roman" w:hAnsi="Cambria" w:cstheme="minorHAnsi"/>
          <w:spacing w:val="-7"/>
        </w:rPr>
        <w:t xml:space="preserve"> </w:t>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spacing w:val="-1"/>
        </w:rPr>
        <w:t xml:space="preserve"> </w:t>
      </w:r>
      <w:r w:rsidRPr="009A0DA6">
        <w:rPr>
          <w:rFonts w:ascii="Cambria" w:eastAsia="Times New Roman" w:hAnsi="Cambria" w:cstheme="minorHAnsi"/>
          <w:spacing w:val="1"/>
        </w:rPr>
        <w:t>o</w:t>
      </w:r>
      <w:r w:rsidRPr="009A0DA6">
        <w:rPr>
          <w:rFonts w:ascii="Cambria" w:eastAsia="Times New Roman" w:hAnsi="Cambria" w:cstheme="minorHAnsi"/>
          <w:spacing w:val="-1"/>
        </w:rPr>
        <w:t>f</w:t>
      </w:r>
      <w:r w:rsidRPr="009A0DA6">
        <w:rPr>
          <w:rFonts w:ascii="Cambria" w:eastAsia="Times New Roman" w:hAnsi="Cambria" w:cstheme="minorHAnsi"/>
          <w:spacing w:val="1"/>
        </w:rPr>
        <w:t>f</w:t>
      </w:r>
      <w:r w:rsidRPr="009A0DA6">
        <w:rPr>
          <w:rFonts w:ascii="Cambria" w:eastAsia="Times New Roman" w:hAnsi="Cambria" w:cstheme="minorHAnsi"/>
        </w:rPr>
        <w:t>ice</w:t>
      </w:r>
      <w:r w:rsidRPr="009A0DA6">
        <w:rPr>
          <w:rFonts w:ascii="Cambria" w:eastAsia="Times New Roman" w:hAnsi="Cambria" w:cstheme="minorHAnsi"/>
          <w:spacing w:val="-2"/>
        </w:rPr>
        <w:t xml:space="preserve"> </w:t>
      </w:r>
      <w:r w:rsidRPr="009A0DA6">
        <w:rPr>
          <w:rFonts w:ascii="Cambria" w:eastAsia="Times New Roman" w:hAnsi="Cambria" w:cstheme="minorHAnsi"/>
          <w:spacing w:val="-4"/>
        </w:rPr>
        <w:t>m</w:t>
      </w:r>
      <w:r w:rsidRPr="009A0DA6">
        <w:rPr>
          <w:rFonts w:ascii="Cambria" w:eastAsia="Times New Roman" w:hAnsi="Cambria" w:cstheme="minorHAnsi"/>
        </w:rPr>
        <w:t>a</w:t>
      </w:r>
      <w:r w:rsidRPr="009A0DA6">
        <w:rPr>
          <w:rFonts w:ascii="Cambria" w:eastAsia="Times New Roman" w:hAnsi="Cambria" w:cstheme="minorHAnsi"/>
          <w:spacing w:val="3"/>
        </w:rPr>
        <w:t>c</w:t>
      </w:r>
      <w:r w:rsidRPr="009A0DA6">
        <w:rPr>
          <w:rFonts w:ascii="Cambria" w:eastAsia="Times New Roman" w:hAnsi="Cambria" w:cstheme="minorHAnsi"/>
          <w:spacing w:val="-1"/>
        </w:rPr>
        <w:t>h</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rPr>
        <w:t>e</w:t>
      </w:r>
      <w:r w:rsidRPr="009A0DA6">
        <w:rPr>
          <w:rFonts w:ascii="Cambria" w:eastAsia="Times New Roman" w:hAnsi="Cambria" w:cstheme="minorHAnsi"/>
          <w:spacing w:val="3"/>
        </w:rPr>
        <w:t>r</w:t>
      </w:r>
      <w:r w:rsidRPr="009A0DA6">
        <w:rPr>
          <w:rFonts w:ascii="Cambria" w:eastAsia="Times New Roman" w:hAnsi="Cambria" w:cstheme="minorHAnsi"/>
        </w:rPr>
        <w:t>y</w:t>
      </w:r>
      <w:r w:rsidRPr="009A0DA6">
        <w:rPr>
          <w:rFonts w:ascii="Cambria" w:eastAsia="Times New Roman" w:hAnsi="Cambria" w:cstheme="minorHAnsi"/>
        </w:rPr>
        <w:tab/>
      </w:r>
      <w:r w:rsidRPr="009A0DA6">
        <w:rPr>
          <w:rFonts w:ascii="Cambria" w:eastAsia="Times New Roman" w:hAnsi="Cambria" w:cstheme="minorHAnsi"/>
        </w:rPr>
        <w:tab/>
      </w:r>
      <w:r w:rsidRPr="009A0DA6">
        <w:rPr>
          <w:rFonts w:ascii="Cambria" w:eastAsia="Times New Roman" w:hAnsi="Cambria" w:cstheme="minorHAnsi"/>
          <w:spacing w:val="1"/>
        </w:rPr>
        <w:t>414,</w:t>
      </w:r>
      <w:r w:rsidRPr="009A0DA6">
        <w:rPr>
          <w:rFonts w:ascii="Cambria" w:eastAsia="Times New Roman" w:hAnsi="Cambria" w:cstheme="minorHAnsi"/>
          <w:spacing w:val="-1"/>
        </w:rPr>
        <w:t>7</w:t>
      </w:r>
      <w:r w:rsidRPr="009A0DA6">
        <w:rPr>
          <w:rFonts w:ascii="Cambria" w:eastAsia="Times New Roman" w:hAnsi="Cambria" w:cstheme="minorHAnsi"/>
          <w:spacing w:val="1"/>
        </w:rPr>
        <w:t>2</w:t>
      </w:r>
      <w:r w:rsidRPr="009A0DA6">
        <w:rPr>
          <w:rFonts w:ascii="Cambria" w:eastAsia="Times New Roman" w:hAnsi="Cambria" w:cstheme="minorHAnsi"/>
        </w:rPr>
        <w:t>8</w:t>
      </w:r>
      <w:r w:rsidRPr="009A0DA6">
        <w:rPr>
          <w:rFonts w:ascii="Cambria" w:eastAsia="Times New Roman" w:hAnsi="Cambria" w:cstheme="minorHAnsi"/>
        </w:rPr>
        <w:tab/>
      </w:r>
      <w:r w:rsidRPr="009A0DA6">
        <w:rPr>
          <w:rFonts w:ascii="Cambria" w:eastAsia="Times New Roman" w:hAnsi="Cambria" w:cstheme="minorHAnsi"/>
          <w:spacing w:val="1"/>
        </w:rPr>
        <w:t>352,</w:t>
      </w:r>
      <w:r w:rsidRPr="009A0DA6">
        <w:rPr>
          <w:rFonts w:ascii="Cambria" w:eastAsia="Times New Roman" w:hAnsi="Cambria" w:cstheme="minorHAnsi"/>
          <w:spacing w:val="-1"/>
        </w:rPr>
        <w:t>6</w:t>
      </w:r>
      <w:r w:rsidRPr="009A0DA6">
        <w:rPr>
          <w:rFonts w:ascii="Cambria" w:eastAsia="Times New Roman" w:hAnsi="Cambria" w:cstheme="minorHAnsi"/>
          <w:spacing w:val="1"/>
        </w:rPr>
        <w:t>6</w:t>
      </w:r>
      <w:r w:rsidRPr="009A0DA6">
        <w:rPr>
          <w:rFonts w:ascii="Cambria" w:eastAsia="Times New Roman" w:hAnsi="Cambria" w:cstheme="minorHAnsi"/>
        </w:rPr>
        <w:t>8</w:t>
      </w:r>
      <w:r w:rsidRPr="009A0DA6">
        <w:rPr>
          <w:rFonts w:ascii="Cambria" w:eastAsia="Times New Roman" w:hAnsi="Cambria" w:cstheme="minorHAnsi"/>
        </w:rPr>
        <w:tab/>
        <w:t>302,950</w:t>
      </w:r>
    </w:p>
    <w:p w14:paraId="278A2270"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eastAsia="Times New Roman" w:hAnsi="Cambria" w:cstheme="minorHAnsi"/>
        </w:rPr>
      </w:pPr>
      <w:r w:rsidRPr="009A0DA6">
        <w:rPr>
          <w:rFonts w:ascii="Cambria" w:eastAsia="Times New Roman" w:hAnsi="Cambria" w:cstheme="minorHAnsi"/>
          <w:spacing w:val="-2"/>
        </w:rPr>
        <w:t>L</w:t>
      </w:r>
      <w:r w:rsidRPr="009A0DA6">
        <w:rPr>
          <w:rFonts w:ascii="Cambria" w:eastAsia="Times New Roman" w:hAnsi="Cambria" w:cstheme="minorHAnsi"/>
        </w:rPr>
        <w:t>e</w:t>
      </w:r>
      <w:r w:rsidRPr="009A0DA6">
        <w:rPr>
          <w:rFonts w:ascii="Cambria" w:eastAsia="Times New Roman" w:hAnsi="Cambria" w:cstheme="minorHAnsi"/>
          <w:spacing w:val="2"/>
        </w:rPr>
        <w:t>s</w:t>
      </w:r>
      <w:r w:rsidRPr="009A0DA6">
        <w:rPr>
          <w:rFonts w:ascii="Cambria" w:eastAsia="Times New Roman" w:hAnsi="Cambria" w:cstheme="minorHAnsi"/>
        </w:rPr>
        <w:t>s</w:t>
      </w:r>
      <w:r w:rsidRPr="009A0DA6">
        <w:rPr>
          <w:rFonts w:ascii="Cambria" w:eastAsia="Times New Roman" w:hAnsi="Cambria" w:cstheme="minorHAnsi"/>
          <w:spacing w:val="-4"/>
        </w:rPr>
        <w:t xml:space="preserve"> </w:t>
      </w:r>
      <w:r w:rsidRPr="009A0DA6">
        <w:rPr>
          <w:rFonts w:ascii="Cambria" w:eastAsia="Times New Roman" w:hAnsi="Cambria" w:cstheme="minorHAnsi"/>
        </w:rPr>
        <w:t>acc</w:t>
      </w:r>
      <w:r w:rsidRPr="009A0DA6">
        <w:rPr>
          <w:rFonts w:ascii="Cambria" w:eastAsia="Times New Roman" w:hAnsi="Cambria" w:cstheme="minorHAnsi"/>
          <w:spacing w:val="1"/>
        </w:rPr>
        <w:t>u</w:t>
      </w:r>
      <w:r w:rsidRPr="009A0DA6">
        <w:rPr>
          <w:rFonts w:ascii="Cambria" w:eastAsia="Times New Roman" w:hAnsi="Cambria" w:cstheme="minorHAnsi"/>
          <w:spacing w:val="-1"/>
        </w:rPr>
        <w:t>m</w:t>
      </w:r>
      <w:r w:rsidRPr="009A0DA6">
        <w:rPr>
          <w:rFonts w:ascii="Cambria" w:eastAsia="Times New Roman" w:hAnsi="Cambria" w:cstheme="minorHAnsi"/>
          <w:spacing w:val="1"/>
        </w:rPr>
        <w:t>u</w:t>
      </w:r>
      <w:r w:rsidRPr="009A0DA6">
        <w:rPr>
          <w:rFonts w:ascii="Cambria" w:eastAsia="Times New Roman" w:hAnsi="Cambria" w:cstheme="minorHAnsi"/>
        </w:rPr>
        <w:t>lated</w:t>
      </w:r>
      <w:r w:rsidRPr="009A0DA6">
        <w:rPr>
          <w:rFonts w:ascii="Cambria" w:eastAsia="Times New Roman" w:hAnsi="Cambria" w:cstheme="minorHAnsi"/>
          <w:spacing w:val="-8"/>
        </w:rPr>
        <w:t xml:space="preserve"> </w:t>
      </w:r>
      <w:r w:rsidRPr="009A0DA6">
        <w:rPr>
          <w:rFonts w:ascii="Cambria" w:eastAsia="Times New Roman" w:hAnsi="Cambria" w:cstheme="minorHAnsi"/>
          <w:spacing w:val="1"/>
        </w:rPr>
        <w:t>d</w:t>
      </w:r>
      <w:r w:rsidRPr="009A0DA6">
        <w:rPr>
          <w:rFonts w:ascii="Cambria" w:eastAsia="Times New Roman" w:hAnsi="Cambria" w:cstheme="minorHAnsi"/>
        </w:rPr>
        <w:t>e</w:t>
      </w:r>
      <w:r w:rsidRPr="009A0DA6">
        <w:rPr>
          <w:rFonts w:ascii="Cambria" w:eastAsia="Times New Roman" w:hAnsi="Cambria" w:cstheme="minorHAnsi"/>
          <w:spacing w:val="1"/>
        </w:rPr>
        <w:t>pr</w:t>
      </w:r>
      <w:r w:rsidRPr="009A0DA6">
        <w:rPr>
          <w:rFonts w:ascii="Cambria" w:eastAsia="Times New Roman" w:hAnsi="Cambria" w:cstheme="minorHAnsi"/>
        </w:rPr>
        <w:t>eciati</w:t>
      </w:r>
      <w:r w:rsidRPr="009A0DA6">
        <w:rPr>
          <w:rFonts w:ascii="Cambria" w:eastAsia="Times New Roman" w:hAnsi="Cambria" w:cstheme="minorHAnsi"/>
          <w:spacing w:val="1"/>
        </w:rPr>
        <w:t>o</w:t>
      </w:r>
      <w:r w:rsidRPr="009A0DA6">
        <w:rPr>
          <w:rFonts w:ascii="Cambria" w:eastAsia="Times New Roman" w:hAnsi="Cambria" w:cstheme="minorHAnsi"/>
        </w:rPr>
        <w:t>n</w:t>
      </w:r>
      <w:r w:rsidRPr="009A0DA6">
        <w:rPr>
          <w:rFonts w:ascii="Cambria" w:eastAsia="Times New Roman" w:hAnsi="Cambria" w:cstheme="minorHAnsi"/>
        </w:rPr>
        <w:tab/>
      </w:r>
      <w:r w:rsidRPr="009A0DA6">
        <w:rPr>
          <w:rFonts w:ascii="Cambria" w:eastAsia="Times New Roman" w:hAnsi="Cambria" w:cstheme="minorHAnsi"/>
        </w:rPr>
        <w:tab/>
      </w:r>
      <w:r w:rsidRPr="009A0DA6">
        <w:rPr>
          <w:rFonts w:ascii="Cambria" w:eastAsia="Times New Roman" w:hAnsi="Cambria" w:cstheme="minorHAnsi"/>
          <w:spacing w:val="1"/>
        </w:rPr>
        <w:t>(72,</w:t>
      </w:r>
      <w:r w:rsidRPr="009A0DA6">
        <w:rPr>
          <w:rFonts w:ascii="Cambria" w:eastAsia="Times New Roman" w:hAnsi="Cambria" w:cstheme="minorHAnsi"/>
          <w:spacing w:val="-1"/>
        </w:rPr>
        <w:t>9</w:t>
      </w:r>
      <w:r w:rsidRPr="009A0DA6">
        <w:rPr>
          <w:rFonts w:ascii="Cambria" w:eastAsia="Times New Roman" w:hAnsi="Cambria" w:cstheme="minorHAnsi"/>
          <w:spacing w:val="1"/>
        </w:rPr>
        <w:t>50</w:t>
      </w:r>
      <w:r w:rsidRPr="009A0DA6">
        <w:rPr>
          <w:rFonts w:ascii="Cambria" w:eastAsia="Times New Roman" w:hAnsi="Cambria" w:cstheme="minorHAnsi"/>
        </w:rPr>
        <w:t>)</w:t>
      </w:r>
      <w:r w:rsidRPr="009A0DA6">
        <w:rPr>
          <w:rFonts w:ascii="Cambria" w:eastAsia="Times New Roman" w:hAnsi="Cambria" w:cstheme="minorHAnsi"/>
        </w:rPr>
        <w:tab/>
      </w:r>
      <w:r w:rsidRPr="009A0DA6">
        <w:rPr>
          <w:rFonts w:ascii="Cambria" w:eastAsia="Times New Roman" w:hAnsi="Cambria" w:cstheme="minorHAnsi"/>
          <w:spacing w:val="1"/>
        </w:rPr>
        <w:t>(33,</w:t>
      </w:r>
      <w:r w:rsidRPr="009A0DA6">
        <w:rPr>
          <w:rFonts w:ascii="Cambria" w:eastAsia="Times New Roman" w:hAnsi="Cambria" w:cstheme="minorHAnsi"/>
          <w:spacing w:val="-1"/>
        </w:rPr>
        <w:t>6</w:t>
      </w:r>
      <w:r w:rsidRPr="009A0DA6">
        <w:rPr>
          <w:rFonts w:ascii="Cambria" w:eastAsia="Times New Roman" w:hAnsi="Cambria" w:cstheme="minorHAnsi"/>
          <w:spacing w:val="1"/>
        </w:rPr>
        <w:t>59</w:t>
      </w:r>
      <w:r w:rsidRPr="009A0DA6">
        <w:rPr>
          <w:rFonts w:ascii="Cambria" w:eastAsia="Times New Roman" w:hAnsi="Cambria" w:cstheme="minorHAnsi"/>
        </w:rPr>
        <w:t>)</w:t>
      </w:r>
      <w:r w:rsidRPr="009A0DA6">
        <w:rPr>
          <w:rFonts w:ascii="Cambria" w:eastAsia="Times New Roman" w:hAnsi="Cambria" w:cstheme="minorHAnsi"/>
        </w:rPr>
        <w:tab/>
        <w:t>0</w:t>
      </w:r>
    </w:p>
    <w:p w14:paraId="7957E73E"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eastAsia="Times New Roman" w:hAnsi="Cambria" w:cstheme="minorHAnsi"/>
          <w:b/>
        </w:rPr>
      </w:pPr>
      <w:r w:rsidRPr="009A0DA6">
        <w:rPr>
          <w:rFonts w:ascii="Cambria" w:eastAsia="Times New Roman" w:hAnsi="Cambria" w:cstheme="minorHAnsi"/>
          <w:b/>
        </w:rPr>
        <w:tab/>
      </w:r>
      <w:r w:rsidRPr="009A0DA6">
        <w:rPr>
          <w:rFonts w:ascii="Cambria" w:eastAsia="Times New Roman" w:hAnsi="Cambria" w:cstheme="minorHAnsi"/>
          <w:b/>
        </w:rPr>
        <w:tab/>
      </w:r>
      <w:r w:rsidRPr="009A0DA6">
        <w:rPr>
          <w:rFonts w:ascii="Cambria" w:eastAsia="Times New Roman" w:hAnsi="Cambria" w:cstheme="minorHAnsi"/>
          <w:b/>
          <w:spacing w:val="1"/>
        </w:rPr>
        <w:t>341,</w:t>
      </w:r>
      <w:r w:rsidRPr="009A0DA6">
        <w:rPr>
          <w:rFonts w:ascii="Cambria" w:eastAsia="Times New Roman" w:hAnsi="Cambria" w:cstheme="minorHAnsi"/>
          <w:b/>
          <w:spacing w:val="-1"/>
        </w:rPr>
        <w:t>7</w:t>
      </w:r>
      <w:r w:rsidRPr="009A0DA6">
        <w:rPr>
          <w:rFonts w:ascii="Cambria" w:eastAsia="Times New Roman" w:hAnsi="Cambria" w:cstheme="minorHAnsi"/>
          <w:b/>
          <w:spacing w:val="1"/>
        </w:rPr>
        <w:t>7</w:t>
      </w:r>
      <w:r w:rsidRPr="009A0DA6">
        <w:rPr>
          <w:rFonts w:ascii="Cambria" w:eastAsia="Times New Roman" w:hAnsi="Cambria" w:cstheme="minorHAnsi"/>
          <w:b/>
        </w:rPr>
        <w:t>8</w:t>
      </w:r>
      <w:r w:rsidRPr="009A0DA6">
        <w:rPr>
          <w:rFonts w:ascii="Cambria" w:eastAsia="Times New Roman" w:hAnsi="Cambria" w:cstheme="minorHAnsi"/>
          <w:b/>
        </w:rPr>
        <w:tab/>
      </w:r>
      <w:r w:rsidRPr="009A0DA6">
        <w:rPr>
          <w:rFonts w:ascii="Cambria" w:eastAsia="Times New Roman" w:hAnsi="Cambria" w:cstheme="minorHAnsi"/>
          <w:b/>
          <w:spacing w:val="1"/>
        </w:rPr>
        <w:t>319,</w:t>
      </w:r>
      <w:r w:rsidRPr="009A0DA6">
        <w:rPr>
          <w:rFonts w:ascii="Cambria" w:eastAsia="Times New Roman" w:hAnsi="Cambria" w:cstheme="minorHAnsi"/>
          <w:b/>
          <w:spacing w:val="-1"/>
        </w:rPr>
        <w:t>0</w:t>
      </w:r>
      <w:r w:rsidRPr="009A0DA6">
        <w:rPr>
          <w:rFonts w:ascii="Cambria" w:eastAsia="Times New Roman" w:hAnsi="Cambria" w:cstheme="minorHAnsi"/>
          <w:b/>
          <w:spacing w:val="1"/>
        </w:rPr>
        <w:t>0</w:t>
      </w:r>
      <w:r w:rsidRPr="009A0DA6">
        <w:rPr>
          <w:rFonts w:ascii="Cambria" w:eastAsia="Times New Roman" w:hAnsi="Cambria" w:cstheme="minorHAnsi"/>
          <w:b/>
        </w:rPr>
        <w:t>9</w:t>
      </w:r>
      <w:r w:rsidRPr="009A0DA6">
        <w:rPr>
          <w:rFonts w:ascii="Cambria" w:eastAsia="Times New Roman" w:hAnsi="Cambria" w:cstheme="minorHAnsi"/>
          <w:b/>
        </w:rPr>
        <w:tab/>
        <w:t>302,950</w:t>
      </w:r>
    </w:p>
    <w:p w14:paraId="3C4F3D72"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eastAsia="Times New Roman" w:hAnsi="Cambria" w:cstheme="minorHAnsi"/>
          <w:b/>
        </w:rPr>
      </w:pPr>
      <w:r w:rsidRPr="009A0DA6">
        <w:rPr>
          <w:rFonts w:ascii="Cambria" w:eastAsia="Times New Roman" w:hAnsi="Cambria" w:cstheme="minorHAnsi"/>
          <w:b/>
          <w:spacing w:val="-2"/>
        </w:rPr>
        <w:t>A</w:t>
      </w:r>
      <w:r w:rsidRPr="009A0DA6">
        <w:rPr>
          <w:rFonts w:ascii="Cambria" w:eastAsia="Times New Roman" w:hAnsi="Cambria" w:cstheme="minorHAnsi"/>
          <w:b/>
          <w:spacing w:val="1"/>
        </w:rPr>
        <w:t>r</w:t>
      </w:r>
      <w:r w:rsidRPr="009A0DA6">
        <w:rPr>
          <w:rFonts w:ascii="Cambria" w:eastAsia="Times New Roman" w:hAnsi="Cambria" w:cstheme="minorHAnsi"/>
          <w:b/>
          <w:spacing w:val="2"/>
        </w:rPr>
        <w:t>t</w:t>
      </w:r>
      <w:r w:rsidRPr="009A0DA6">
        <w:rPr>
          <w:rFonts w:ascii="Cambria" w:eastAsia="Times New Roman" w:hAnsi="Cambria" w:cstheme="minorHAnsi"/>
          <w:b/>
          <w:spacing w:val="-2"/>
        </w:rPr>
        <w:t>w</w:t>
      </w:r>
      <w:r w:rsidRPr="009A0DA6">
        <w:rPr>
          <w:rFonts w:ascii="Cambria" w:eastAsia="Times New Roman" w:hAnsi="Cambria" w:cstheme="minorHAnsi"/>
          <w:b/>
          <w:spacing w:val="1"/>
        </w:rPr>
        <w:t>or</w:t>
      </w:r>
      <w:r w:rsidRPr="009A0DA6">
        <w:rPr>
          <w:rFonts w:ascii="Cambria" w:eastAsia="Times New Roman" w:hAnsi="Cambria" w:cstheme="minorHAnsi"/>
          <w:b/>
          <w:spacing w:val="-1"/>
        </w:rPr>
        <w:t>k</w:t>
      </w:r>
      <w:r w:rsidRPr="009A0DA6">
        <w:rPr>
          <w:rFonts w:ascii="Cambria" w:eastAsia="Times New Roman" w:hAnsi="Cambria" w:cstheme="minorHAnsi"/>
          <w:b/>
        </w:rPr>
        <w:t>,</w:t>
      </w:r>
      <w:r w:rsidRPr="009A0DA6">
        <w:rPr>
          <w:rFonts w:ascii="Cambria" w:eastAsia="Times New Roman" w:hAnsi="Cambria" w:cstheme="minorHAnsi"/>
          <w:b/>
          <w:spacing w:val="-6"/>
        </w:rPr>
        <w:t xml:space="preserve"> </w:t>
      </w:r>
      <w:r w:rsidRPr="009A0DA6">
        <w:rPr>
          <w:rFonts w:ascii="Cambria" w:eastAsia="Times New Roman" w:hAnsi="Cambria" w:cstheme="minorHAnsi"/>
          <w:b/>
        </w:rPr>
        <w:t>at</w:t>
      </w:r>
      <w:r w:rsidRPr="009A0DA6">
        <w:rPr>
          <w:rFonts w:ascii="Cambria" w:eastAsia="Times New Roman" w:hAnsi="Cambria" w:cstheme="minorHAnsi"/>
          <w:b/>
          <w:spacing w:val="2"/>
        </w:rPr>
        <w:t xml:space="preserve"> </w:t>
      </w:r>
      <w:r w:rsidRPr="009A0DA6">
        <w:rPr>
          <w:rFonts w:ascii="Cambria" w:eastAsia="Times New Roman" w:hAnsi="Cambria" w:cstheme="minorHAnsi"/>
          <w:b/>
          <w:spacing w:val="-1"/>
        </w:rPr>
        <w:t>v</w:t>
      </w:r>
      <w:r w:rsidRPr="009A0DA6">
        <w:rPr>
          <w:rFonts w:ascii="Cambria" w:eastAsia="Times New Roman" w:hAnsi="Cambria" w:cstheme="minorHAnsi"/>
          <w:b/>
        </w:rPr>
        <w:t>a</w:t>
      </w:r>
      <w:r w:rsidRPr="009A0DA6">
        <w:rPr>
          <w:rFonts w:ascii="Cambria" w:eastAsia="Times New Roman" w:hAnsi="Cambria" w:cstheme="minorHAnsi"/>
          <w:b/>
          <w:spacing w:val="2"/>
        </w:rPr>
        <w:t>l</w:t>
      </w:r>
      <w:r w:rsidRPr="009A0DA6">
        <w:rPr>
          <w:rFonts w:ascii="Cambria" w:eastAsia="Times New Roman" w:hAnsi="Cambria" w:cstheme="minorHAnsi"/>
          <w:b/>
          <w:spacing w:val="-1"/>
        </w:rPr>
        <w:t>u</w:t>
      </w:r>
      <w:r w:rsidRPr="009A0DA6">
        <w:rPr>
          <w:rFonts w:ascii="Cambria" w:eastAsia="Times New Roman" w:hAnsi="Cambria" w:cstheme="minorHAnsi"/>
          <w:b/>
        </w:rPr>
        <w:t>ati</w:t>
      </w:r>
      <w:r w:rsidRPr="009A0DA6">
        <w:rPr>
          <w:rFonts w:ascii="Cambria" w:eastAsia="Times New Roman" w:hAnsi="Cambria" w:cstheme="minorHAnsi"/>
          <w:b/>
          <w:spacing w:val="1"/>
        </w:rPr>
        <w:t>o</w:t>
      </w:r>
      <w:r w:rsidRPr="009A0DA6">
        <w:rPr>
          <w:rFonts w:ascii="Cambria" w:eastAsia="Times New Roman" w:hAnsi="Cambria" w:cstheme="minorHAnsi"/>
          <w:b/>
        </w:rPr>
        <w:t>n</w:t>
      </w:r>
      <w:r w:rsidRPr="009A0DA6">
        <w:rPr>
          <w:rFonts w:ascii="Cambria" w:eastAsia="Times New Roman" w:hAnsi="Cambria" w:cstheme="minorHAnsi"/>
          <w:b/>
        </w:rPr>
        <w:tab/>
      </w:r>
      <w:r w:rsidRPr="009A0DA6">
        <w:rPr>
          <w:rFonts w:ascii="Cambria" w:eastAsia="Times New Roman" w:hAnsi="Cambria" w:cstheme="minorHAnsi"/>
          <w:b/>
        </w:rPr>
        <w:tab/>
      </w:r>
      <w:r w:rsidRPr="009A0DA6">
        <w:rPr>
          <w:rFonts w:ascii="Cambria" w:eastAsia="Times New Roman" w:hAnsi="Cambria" w:cstheme="minorHAnsi"/>
          <w:b/>
          <w:spacing w:val="1"/>
          <w:w w:val="99"/>
        </w:rPr>
        <w:t>4,90</w:t>
      </w:r>
      <w:r w:rsidRPr="009A0DA6">
        <w:rPr>
          <w:rFonts w:ascii="Cambria" w:eastAsia="Times New Roman" w:hAnsi="Cambria" w:cstheme="minorHAnsi"/>
          <w:b/>
          <w:w w:val="99"/>
        </w:rPr>
        <w:t>0</w:t>
      </w:r>
      <w:r w:rsidRPr="009A0DA6">
        <w:rPr>
          <w:rFonts w:ascii="Cambria" w:eastAsia="Times New Roman" w:hAnsi="Cambria" w:cstheme="minorHAnsi"/>
          <w:b/>
        </w:rPr>
        <w:tab/>
      </w:r>
      <w:r w:rsidRPr="009A0DA6">
        <w:rPr>
          <w:rFonts w:ascii="Cambria" w:eastAsia="Times New Roman" w:hAnsi="Cambria" w:cstheme="minorHAnsi"/>
          <w:b/>
          <w:spacing w:val="1"/>
        </w:rPr>
        <w:t>4,60</w:t>
      </w:r>
      <w:r w:rsidRPr="009A0DA6">
        <w:rPr>
          <w:rFonts w:ascii="Cambria" w:eastAsia="Times New Roman" w:hAnsi="Cambria" w:cstheme="minorHAnsi"/>
          <w:b/>
        </w:rPr>
        <w:t>0</w:t>
      </w:r>
      <w:r w:rsidRPr="009A0DA6">
        <w:rPr>
          <w:rFonts w:ascii="Cambria" w:eastAsia="Times New Roman" w:hAnsi="Cambria" w:cstheme="minorHAnsi"/>
          <w:b/>
        </w:rPr>
        <w:tab/>
        <w:t>4,600</w:t>
      </w:r>
    </w:p>
    <w:p w14:paraId="46F50512"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eastAsia="Times New Roman" w:hAnsi="Cambria" w:cstheme="minorHAnsi"/>
        </w:rPr>
      </w:pPr>
      <w:r w:rsidRPr="009A0DA6">
        <w:rPr>
          <w:rFonts w:ascii="Cambria" w:eastAsia="Times New Roman" w:hAnsi="Cambria" w:cstheme="minorHAnsi"/>
        </w:rPr>
        <w:t>Motor Vehicles at cost</w:t>
      </w:r>
      <w:r w:rsidRPr="009A0DA6">
        <w:rPr>
          <w:rFonts w:ascii="Cambria" w:eastAsia="Times New Roman" w:hAnsi="Cambria" w:cstheme="minorHAnsi"/>
        </w:rPr>
        <w:tab/>
      </w:r>
      <w:r w:rsidRPr="009A0DA6">
        <w:rPr>
          <w:rFonts w:ascii="Cambria" w:eastAsia="Times New Roman" w:hAnsi="Cambria" w:cstheme="minorHAnsi"/>
        </w:rPr>
        <w:tab/>
        <w:t>0</w:t>
      </w:r>
      <w:r w:rsidRPr="009A0DA6">
        <w:rPr>
          <w:rFonts w:ascii="Cambria" w:eastAsia="Times New Roman" w:hAnsi="Cambria" w:cstheme="minorHAnsi"/>
        </w:rPr>
        <w:tab/>
        <w:t>0</w:t>
      </w:r>
      <w:r w:rsidRPr="009A0DA6">
        <w:rPr>
          <w:rFonts w:ascii="Cambria" w:eastAsia="Times New Roman" w:hAnsi="Cambria" w:cstheme="minorHAnsi"/>
        </w:rPr>
        <w:tab/>
        <w:t>83,879</w:t>
      </w:r>
    </w:p>
    <w:p w14:paraId="40D06865"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eastAsia="Times New Roman" w:hAnsi="Cambria" w:cstheme="minorHAnsi"/>
        </w:rPr>
      </w:pPr>
      <w:r w:rsidRPr="009A0DA6">
        <w:rPr>
          <w:rFonts w:ascii="Cambria" w:eastAsia="Times New Roman" w:hAnsi="Cambria" w:cstheme="minorHAnsi"/>
        </w:rPr>
        <w:t>Less Accumulated depreciation</w:t>
      </w:r>
      <w:r w:rsidRPr="009A0DA6">
        <w:rPr>
          <w:rFonts w:ascii="Cambria" w:eastAsia="Times New Roman" w:hAnsi="Cambria" w:cstheme="minorHAnsi"/>
        </w:rPr>
        <w:tab/>
      </w:r>
      <w:r w:rsidRPr="009A0DA6">
        <w:rPr>
          <w:rFonts w:ascii="Cambria" w:eastAsia="Times New Roman" w:hAnsi="Cambria" w:cstheme="minorHAnsi"/>
        </w:rPr>
        <w:tab/>
        <w:t>0</w:t>
      </w:r>
      <w:r w:rsidRPr="009A0DA6">
        <w:rPr>
          <w:rFonts w:ascii="Cambria" w:eastAsia="Times New Roman" w:hAnsi="Cambria" w:cstheme="minorHAnsi"/>
        </w:rPr>
        <w:tab/>
        <w:t>0</w:t>
      </w:r>
      <w:r w:rsidRPr="009A0DA6">
        <w:rPr>
          <w:rFonts w:ascii="Cambria" w:eastAsia="Times New Roman" w:hAnsi="Cambria" w:cstheme="minorHAnsi"/>
        </w:rPr>
        <w:tab/>
        <w:t>(49,613)</w:t>
      </w:r>
    </w:p>
    <w:p w14:paraId="1641B0E7"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eastAsia="Times New Roman" w:hAnsi="Cambria" w:cstheme="minorHAnsi"/>
          <w:b/>
        </w:rPr>
      </w:pPr>
      <w:r w:rsidRPr="009A0DA6">
        <w:rPr>
          <w:rFonts w:ascii="Cambria" w:eastAsia="Times New Roman" w:hAnsi="Cambria" w:cstheme="minorHAnsi"/>
          <w:b/>
        </w:rPr>
        <w:tab/>
      </w:r>
      <w:r w:rsidRPr="009A0DA6">
        <w:rPr>
          <w:rFonts w:ascii="Cambria" w:eastAsia="Times New Roman" w:hAnsi="Cambria" w:cstheme="minorHAnsi"/>
          <w:b/>
        </w:rPr>
        <w:tab/>
        <w:t>0</w:t>
      </w:r>
      <w:r w:rsidRPr="009A0DA6">
        <w:rPr>
          <w:rFonts w:ascii="Cambria" w:eastAsia="Times New Roman" w:hAnsi="Cambria" w:cstheme="minorHAnsi"/>
          <w:b/>
        </w:rPr>
        <w:tab/>
        <w:t>0</w:t>
      </w:r>
      <w:r w:rsidRPr="009A0DA6">
        <w:rPr>
          <w:rFonts w:ascii="Cambria" w:eastAsia="Times New Roman" w:hAnsi="Cambria" w:cstheme="minorHAnsi"/>
          <w:b/>
        </w:rPr>
        <w:tab/>
        <w:t>34,266</w:t>
      </w:r>
    </w:p>
    <w:p w14:paraId="712C48F5"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eastAsia="Times New Roman" w:hAnsi="Cambria" w:cstheme="minorHAnsi"/>
          <w:b/>
        </w:rPr>
      </w:pPr>
      <w:r w:rsidRPr="009A0DA6">
        <w:rPr>
          <w:rFonts w:ascii="Cambria" w:hAnsi="Cambria" w:cstheme="minorHAnsi"/>
          <w:b/>
        </w:rPr>
        <w:t>TOTAL PLANT AND EQUIPMENT</w:t>
      </w:r>
      <w:r w:rsidRPr="009A0DA6">
        <w:rPr>
          <w:rFonts w:ascii="Cambria" w:hAnsi="Cambria" w:cstheme="minorHAnsi"/>
          <w:b/>
        </w:rPr>
        <w:tab/>
      </w:r>
      <w:r w:rsidRPr="009A0DA6">
        <w:rPr>
          <w:rFonts w:ascii="Cambria" w:hAnsi="Cambria" w:cstheme="minorHAnsi"/>
          <w:b/>
        </w:rPr>
        <w:tab/>
      </w:r>
      <w:r w:rsidRPr="009A0DA6">
        <w:rPr>
          <w:rFonts w:ascii="Cambria" w:eastAsia="Times New Roman" w:hAnsi="Cambria" w:cstheme="minorHAnsi"/>
          <w:b/>
          <w:spacing w:val="1"/>
        </w:rPr>
        <w:t>738,</w:t>
      </w:r>
      <w:r w:rsidRPr="009A0DA6">
        <w:rPr>
          <w:rFonts w:ascii="Cambria" w:eastAsia="Times New Roman" w:hAnsi="Cambria" w:cstheme="minorHAnsi"/>
          <w:b/>
          <w:spacing w:val="-1"/>
        </w:rPr>
        <w:t>4</w:t>
      </w:r>
      <w:r w:rsidRPr="009A0DA6">
        <w:rPr>
          <w:rFonts w:ascii="Cambria" w:eastAsia="Times New Roman" w:hAnsi="Cambria" w:cstheme="minorHAnsi"/>
          <w:b/>
          <w:spacing w:val="1"/>
        </w:rPr>
        <w:t>4</w:t>
      </w:r>
      <w:r w:rsidRPr="009A0DA6">
        <w:rPr>
          <w:rFonts w:ascii="Cambria" w:eastAsia="Times New Roman" w:hAnsi="Cambria" w:cstheme="minorHAnsi"/>
          <w:b/>
        </w:rPr>
        <w:t>0</w:t>
      </w:r>
      <w:r w:rsidRPr="009A0DA6">
        <w:rPr>
          <w:rFonts w:ascii="Cambria" w:eastAsia="Times New Roman" w:hAnsi="Cambria" w:cstheme="minorHAnsi"/>
          <w:b/>
        </w:rPr>
        <w:tab/>
      </w:r>
      <w:r w:rsidRPr="009A0DA6">
        <w:rPr>
          <w:rFonts w:ascii="Cambria" w:eastAsia="Times New Roman" w:hAnsi="Cambria" w:cstheme="minorHAnsi"/>
          <w:b/>
          <w:spacing w:val="1"/>
        </w:rPr>
        <w:t>760,</w:t>
      </w:r>
      <w:r w:rsidRPr="009A0DA6">
        <w:rPr>
          <w:rFonts w:ascii="Cambria" w:eastAsia="Times New Roman" w:hAnsi="Cambria" w:cstheme="minorHAnsi"/>
          <w:b/>
          <w:spacing w:val="-1"/>
        </w:rPr>
        <w:t>1</w:t>
      </w:r>
      <w:r w:rsidRPr="009A0DA6">
        <w:rPr>
          <w:rFonts w:ascii="Cambria" w:eastAsia="Times New Roman" w:hAnsi="Cambria" w:cstheme="minorHAnsi"/>
          <w:b/>
          <w:spacing w:val="1"/>
        </w:rPr>
        <w:t>4</w:t>
      </w:r>
      <w:r w:rsidRPr="009A0DA6">
        <w:rPr>
          <w:rFonts w:ascii="Cambria" w:eastAsia="Times New Roman" w:hAnsi="Cambria" w:cstheme="minorHAnsi"/>
          <w:b/>
        </w:rPr>
        <w:t>6</w:t>
      </w:r>
      <w:r w:rsidRPr="009A0DA6">
        <w:rPr>
          <w:rFonts w:ascii="Cambria" w:eastAsia="Times New Roman" w:hAnsi="Cambria" w:cstheme="minorHAnsi"/>
          <w:b/>
        </w:rPr>
        <w:tab/>
        <w:t>793,029</w:t>
      </w:r>
    </w:p>
    <w:p w14:paraId="4AF7E44D"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eastAsia="Times New Roman" w:hAnsi="Cambria" w:cstheme="minorHAnsi"/>
          <w:b/>
        </w:rPr>
      </w:pPr>
      <w:r w:rsidRPr="009A0DA6">
        <w:rPr>
          <w:rFonts w:ascii="Cambria" w:hAnsi="Cambria" w:cstheme="minorHAnsi"/>
          <w:b/>
        </w:rPr>
        <w:t>TOTAL PROPERTY, PLANT AND EQUIPMENT</w:t>
      </w:r>
      <w:r w:rsidRPr="009A0DA6">
        <w:rPr>
          <w:rFonts w:ascii="Cambria" w:hAnsi="Cambria" w:cstheme="minorHAnsi"/>
          <w:b/>
        </w:rPr>
        <w:tab/>
      </w:r>
      <w:r w:rsidRPr="009A0DA6">
        <w:rPr>
          <w:rFonts w:ascii="Cambria" w:eastAsia="Times New Roman" w:hAnsi="Cambria" w:cstheme="minorHAnsi"/>
          <w:b/>
          <w:spacing w:val="1"/>
          <w:w w:val="99"/>
        </w:rPr>
        <w:t>$</w:t>
      </w:r>
      <w:r w:rsidRPr="009A0DA6">
        <w:rPr>
          <w:rFonts w:ascii="Cambria" w:eastAsia="Times New Roman" w:hAnsi="Cambria" w:cstheme="minorHAnsi"/>
          <w:b/>
          <w:spacing w:val="1"/>
        </w:rPr>
        <w:t>2,1</w:t>
      </w:r>
      <w:r w:rsidRPr="009A0DA6">
        <w:rPr>
          <w:rFonts w:ascii="Cambria" w:eastAsia="Times New Roman" w:hAnsi="Cambria" w:cstheme="minorHAnsi"/>
          <w:b/>
          <w:spacing w:val="-1"/>
        </w:rPr>
        <w:t>8</w:t>
      </w:r>
      <w:r w:rsidRPr="009A0DA6">
        <w:rPr>
          <w:rFonts w:ascii="Cambria" w:eastAsia="Times New Roman" w:hAnsi="Cambria" w:cstheme="minorHAnsi"/>
          <w:b/>
          <w:spacing w:val="1"/>
        </w:rPr>
        <w:t>3,8</w:t>
      </w:r>
      <w:r w:rsidRPr="009A0DA6">
        <w:rPr>
          <w:rFonts w:ascii="Cambria" w:eastAsia="Times New Roman" w:hAnsi="Cambria" w:cstheme="minorHAnsi"/>
          <w:b/>
          <w:spacing w:val="-1"/>
        </w:rPr>
        <w:t>0</w:t>
      </w:r>
      <w:r w:rsidRPr="009A0DA6">
        <w:rPr>
          <w:rFonts w:ascii="Cambria" w:eastAsia="Times New Roman" w:hAnsi="Cambria" w:cstheme="minorHAnsi"/>
          <w:b/>
        </w:rPr>
        <w:t>7</w:t>
      </w:r>
      <w:r w:rsidRPr="009A0DA6">
        <w:rPr>
          <w:rFonts w:ascii="Cambria" w:eastAsia="Times New Roman" w:hAnsi="Cambria" w:cstheme="minorHAnsi"/>
          <w:b/>
        </w:rPr>
        <w:tab/>
        <w:t>$</w:t>
      </w:r>
      <w:r w:rsidRPr="009A0DA6">
        <w:rPr>
          <w:rFonts w:ascii="Cambria" w:eastAsia="Times New Roman" w:hAnsi="Cambria" w:cstheme="minorHAnsi"/>
          <w:b/>
          <w:spacing w:val="1"/>
        </w:rPr>
        <w:t>2,7</w:t>
      </w:r>
      <w:r w:rsidRPr="009A0DA6">
        <w:rPr>
          <w:rFonts w:ascii="Cambria" w:eastAsia="Times New Roman" w:hAnsi="Cambria" w:cstheme="minorHAnsi"/>
          <w:b/>
          <w:spacing w:val="-1"/>
        </w:rPr>
        <w:t>0</w:t>
      </w:r>
      <w:r w:rsidRPr="009A0DA6">
        <w:rPr>
          <w:rFonts w:ascii="Cambria" w:eastAsia="Times New Roman" w:hAnsi="Cambria" w:cstheme="minorHAnsi"/>
          <w:b/>
          <w:spacing w:val="1"/>
        </w:rPr>
        <w:t>0,4</w:t>
      </w:r>
      <w:r w:rsidRPr="009A0DA6">
        <w:rPr>
          <w:rFonts w:ascii="Cambria" w:eastAsia="Times New Roman" w:hAnsi="Cambria" w:cstheme="minorHAnsi"/>
          <w:b/>
          <w:spacing w:val="-1"/>
        </w:rPr>
        <w:t>9</w:t>
      </w:r>
      <w:r w:rsidRPr="009A0DA6">
        <w:rPr>
          <w:rFonts w:ascii="Cambria" w:eastAsia="Times New Roman" w:hAnsi="Cambria" w:cstheme="minorHAnsi"/>
          <w:b/>
        </w:rPr>
        <w:t>2</w:t>
      </w:r>
      <w:r w:rsidRPr="009A0DA6">
        <w:rPr>
          <w:rFonts w:ascii="Cambria" w:eastAsia="Times New Roman" w:hAnsi="Cambria" w:cstheme="minorHAnsi"/>
          <w:b/>
        </w:rPr>
        <w:tab/>
        <w:t>$3,510,155</w:t>
      </w:r>
    </w:p>
    <w:p w14:paraId="22FE3D35"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eastAsia="Times New Roman" w:hAnsi="Cambria" w:cstheme="minorHAnsi"/>
        </w:rPr>
      </w:pPr>
    </w:p>
    <w:p w14:paraId="0E7EEEED"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eastAsiaTheme="minorEastAsia" w:hAnsi="Cambria" w:cstheme="minorHAnsi"/>
          <w:b/>
        </w:rPr>
      </w:pPr>
      <w:r w:rsidRPr="009A0DA6">
        <w:rPr>
          <w:rFonts w:ascii="Cambria" w:hAnsi="Cambria" w:cstheme="minorHAnsi"/>
          <w:b/>
        </w:rPr>
        <w:t>Note 7: Trade and Other Payables</w:t>
      </w:r>
    </w:p>
    <w:p w14:paraId="36A0B751"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hAnsi="Cambria" w:cstheme="minorHAnsi"/>
          <w:b/>
        </w:rPr>
      </w:pPr>
      <w:r w:rsidRPr="009A0DA6">
        <w:rPr>
          <w:rFonts w:ascii="Cambria" w:eastAsia="Times New Roman" w:hAnsi="Cambria" w:cstheme="minorHAnsi"/>
        </w:rPr>
        <w:t>H</w:t>
      </w:r>
      <w:r w:rsidRPr="009A0DA6">
        <w:rPr>
          <w:rFonts w:ascii="Cambria" w:eastAsia="Times New Roman" w:hAnsi="Cambria" w:cstheme="minorHAnsi"/>
          <w:spacing w:val="-1"/>
        </w:rPr>
        <w:t>R</w:t>
      </w:r>
      <w:r w:rsidRPr="009A0DA6">
        <w:rPr>
          <w:rFonts w:ascii="Cambria" w:eastAsia="Times New Roman" w:hAnsi="Cambria" w:cstheme="minorHAnsi"/>
        </w:rPr>
        <w:t>S</w:t>
      </w:r>
      <w:r w:rsidRPr="009A0DA6">
        <w:rPr>
          <w:rFonts w:ascii="Cambria" w:eastAsia="Times New Roman" w:hAnsi="Cambria" w:cstheme="minorHAnsi"/>
          <w:spacing w:val="-4"/>
        </w:rPr>
        <w:t xml:space="preserve"> </w:t>
      </w:r>
      <w:r w:rsidRPr="009A0DA6">
        <w:rPr>
          <w:rFonts w:ascii="Cambria" w:eastAsia="Times New Roman" w:hAnsi="Cambria" w:cstheme="minorHAnsi"/>
          <w:spacing w:val="3"/>
        </w:rPr>
        <w:t>a</w:t>
      </w:r>
      <w:r w:rsidRPr="009A0DA6">
        <w:rPr>
          <w:rFonts w:ascii="Cambria" w:eastAsia="Times New Roman" w:hAnsi="Cambria" w:cstheme="minorHAnsi"/>
          <w:spacing w:val="-4"/>
        </w:rPr>
        <w:t>m</w:t>
      </w:r>
      <w:r w:rsidRPr="009A0DA6">
        <w:rPr>
          <w:rFonts w:ascii="Cambria" w:eastAsia="Times New Roman" w:hAnsi="Cambria" w:cstheme="minorHAnsi"/>
          <w:spacing w:val="4"/>
        </w:rPr>
        <w:t>o</w:t>
      </w:r>
      <w:r w:rsidRPr="009A0DA6">
        <w:rPr>
          <w:rFonts w:ascii="Cambria" w:eastAsia="Times New Roman" w:hAnsi="Cambria" w:cstheme="minorHAnsi"/>
          <w:spacing w:val="1"/>
        </w:rPr>
        <w:t>u</w:t>
      </w:r>
      <w:r w:rsidRPr="009A0DA6">
        <w:rPr>
          <w:rFonts w:ascii="Cambria" w:eastAsia="Times New Roman" w:hAnsi="Cambria" w:cstheme="minorHAnsi"/>
          <w:spacing w:val="-1"/>
        </w:rPr>
        <w:t>n</w:t>
      </w:r>
      <w:r w:rsidRPr="009A0DA6">
        <w:rPr>
          <w:rFonts w:ascii="Cambria" w:eastAsia="Times New Roman" w:hAnsi="Cambria" w:cstheme="minorHAnsi"/>
        </w:rPr>
        <w:t>ts</w:t>
      </w:r>
      <w:r w:rsidRPr="009A0DA6">
        <w:rPr>
          <w:rFonts w:ascii="Cambria" w:eastAsia="Times New Roman" w:hAnsi="Cambria" w:cstheme="minorHAnsi"/>
          <w:spacing w:val="-5"/>
        </w:rPr>
        <w:t xml:space="preserve"> </w:t>
      </w:r>
      <w:r w:rsidRPr="009A0DA6">
        <w:rPr>
          <w:rFonts w:ascii="Cambria" w:eastAsia="Times New Roman" w:hAnsi="Cambria" w:cstheme="minorHAnsi"/>
          <w:spacing w:val="-1"/>
        </w:rPr>
        <w:t>h</w:t>
      </w:r>
      <w:r w:rsidRPr="009A0DA6">
        <w:rPr>
          <w:rFonts w:ascii="Cambria" w:eastAsia="Times New Roman" w:hAnsi="Cambria" w:cstheme="minorHAnsi"/>
        </w:rPr>
        <w:t>eld</w:t>
      </w:r>
      <w:r w:rsidRPr="009A0DA6">
        <w:rPr>
          <w:rFonts w:ascii="Cambria" w:eastAsia="Times New Roman" w:hAnsi="Cambria" w:cstheme="minorHAnsi"/>
        </w:rPr>
        <w:tab/>
      </w:r>
      <w:r w:rsidRPr="009A0DA6">
        <w:rPr>
          <w:rFonts w:ascii="Cambria" w:eastAsia="Times New Roman" w:hAnsi="Cambria" w:cstheme="minorHAnsi"/>
        </w:rPr>
        <w:tab/>
      </w:r>
      <w:r w:rsidRPr="009A0DA6">
        <w:rPr>
          <w:rFonts w:ascii="Cambria" w:eastAsia="Times New Roman" w:hAnsi="Cambria" w:cstheme="minorHAnsi"/>
          <w:spacing w:val="1"/>
        </w:rPr>
        <w:t>33,3</w:t>
      </w:r>
      <w:r w:rsidRPr="009A0DA6">
        <w:rPr>
          <w:rFonts w:ascii="Cambria" w:eastAsia="Times New Roman" w:hAnsi="Cambria" w:cstheme="minorHAnsi"/>
          <w:spacing w:val="-1"/>
        </w:rPr>
        <w:t>0</w:t>
      </w:r>
      <w:r w:rsidRPr="009A0DA6">
        <w:rPr>
          <w:rFonts w:ascii="Cambria" w:eastAsia="Times New Roman" w:hAnsi="Cambria" w:cstheme="minorHAnsi"/>
        </w:rPr>
        <w:t>1</w:t>
      </w:r>
      <w:r w:rsidRPr="009A0DA6">
        <w:rPr>
          <w:rFonts w:ascii="Cambria" w:eastAsia="Times New Roman" w:hAnsi="Cambria" w:cstheme="minorHAnsi"/>
        </w:rPr>
        <w:tab/>
      </w:r>
      <w:r w:rsidRPr="009A0DA6">
        <w:rPr>
          <w:rFonts w:ascii="Cambria" w:eastAsia="Times New Roman" w:hAnsi="Cambria" w:cstheme="minorHAnsi"/>
          <w:spacing w:val="1"/>
        </w:rPr>
        <w:t>44,9</w:t>
      </w:r>
      <w:r w:rsidRPr="009A0DA6">
        <w:rPr>
          <w:rFonts w:ascii="Cambria" w:eastAsia="Times New Roman" w:hAnsi="Cambria" w:cstheme="minorHAnsi"/>
          <w:spacing w:val="-1"/>
        </w:rPr>
        <w:t>4</w:t>
      </w:r>
      <w:r w:rsidRPr="009A0DA6">
        <w:rPr>
          <w:rFonts w:ascii="Cambria" w:eastAsia="Times New Roman" w:hAnsi="Cambria" w:cstheme="minorHAnsi"/>
        </w:rPr>
        <w:t>2</w:t>
      </w:r>
      <w:r w:rsidRPr="009A0DA6">
        <w:rPr>
          <w:rFonts w:ascii="Cambria" w:eastAsia="Times New Roman" w:hAnsi="Cambria" w:cstheme="minorHAnsi"/>
        </w:rPr>
        <w:tab/>
        <w:t>0</w:t>
      </w:r>
    </w:p>
    <w:p w14:paraId="4EA56143"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hAnsi="Cambria" w:cstheme="minorHAnsi"/>
          <w:b/>
        </w:rPr>
      </w:pPr>
      <w:r w:rsidRPr="009A0DA6">
        <w:rPr>
          <w:rFonts w:ascii="Cambria" w:eastAsia="Times New Roman" w:hAnsi="Cambria" w:cstheme="minorHAnsi"/>
          <w:spacing w:val="3"/>
        </w:rPr>
        <w:t>T</w:t>
      </w:r>
      <w:r w:rsidRPr="009A0DA6">
        <w:rPr>
          <w:rFonts w:ascii="Cambria" w:eastAsia="Times New Roman" w:hAnsi="Cambria" w:cstheme="minorHAnsi"/>
          <w:spacing w:val="1"/>
        </w:rPr>
        <w:t>r</w:t>
      </w:r>
      <w:r w:rsidRPr="009A0DA6">
        <w:rPr>
          <w:rFonts w:ascii="Cambria" w:eastAsia="Times New Roman" w:hAnsi="Cambria" w:cstheme="minorHAnsi"/>
          <w:spacing w:val="-2"/>
        </w:rPr>
        <w:t>a</w:t>
      </w:r>
      <w:r w:rsidRPr="009A0DA6">
        <w:rPr>
          <w:rFonts w:ascii="Cambria" w:eastAsia="Times New Roman" w:hAnsi="Cambria" w:cstheme="minorHAnsi"/>
          <w:spacing w:val="1"/>
        </w:rPr>
        <w:t>d</w:t>
      </w:r>
      <w:r w:rsidRPr="009A0DA6">
        <w:rPr>
          <w:rFonts w:ascii="Cambria" w:eastAsia="Times New Roman" w:hAnsi="Cambria" w:cstheme="minorHAnsi"/>
        </w:rPr>
        <w:t>e</w:t>
      </w:r>
      <w:r w:rsidRPr="009A0DA6">
        <w:rPr>
          <w:rFonts w:ascii="Cambria" w:eastAsia="Times New Roman" w:hAnsi="Cambria" w:cstheme="minorHAnsi"/>
          <w:spacing w:val="-4"/>
        </w:rPr>
        <w:t xml:space="preserve"> </w:t>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spacing w:val="-1"/>
        </w:rPr>
        <w:t xml:space="preserve"> sun</w:t>
      </w:r>
      <w:r w:rsidRPr="009A0DA6">
        <w:rPr>
          <w:rFonts w:ascii="Cambria" w:eastAsia="Times New Roman" w:hAnsi="Cambria" w:cstheme="minorHAnsi"/>
          <w:spacing w:val="1"/>
        </w:rPr>
        <w:t>d</w:t>
      </w:r>
      <w:r w:rsidRPr="009A0DA6">
        <w:rPr>
          <w:rFonts w:ascii="Cambria" w:eastAsia="Times New Roman" w:hAnsi="Cambria" w:cstheme="minorHAnsi"/>
          <w:spacing w:val="3"/>
        </w:rPr>
        <w:t>r</w:t>
      </w:r>
      <w:r w:rsidRPr="009A0DA6">
        <w:rPr>
          <w:rFonts w:ascii="Cambria" w:eastAsia="Times New Roman" w:hAnsi="Cambria" w:cstheme="minorHAnsi"/>
        </w:rPr>
        <w:t>y</w:t>
      </w:r>
      <w:r w:rsidRPr="009A0DA6">
        <w:rPr>
          <w:rFonts w:ascii="Cambria" w:eastAsia="Times New Roman" w:hAnsi="Cambria" w:cstheme="minorHAnsi"/>
          <w:spacing w:val="-8"/>
        </w:rPr>
        <w:t xml:space="preserve"> </w:t>
      </w:r>
      <w:r w:rsidRPr="009A0DA6">
        <w:rPr>
          <w:rFonts w:ascii="Cambria" w:eastAsia="Times New Roman" w:hAnsi="Cambria" w:cstheme="minorHAnsi"/>
        </w:rPr>
        <w:t>c</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1"/>
        </w:rPr>
        <w:t>d</w:t>
      </w:r>
      <w:r w:rsidRPr="009A0DA6">
        <w:rPr>
          <w:rFonts w:ascii="Cambria" w:eastAsia="Times New Roman" w:hAnsi="Cambria" w:cstheme="minorHAnsi"/>
        </w:rPr>
        <w:t>it</w:t>
      </w:r>
      <w:r w:rsidRPr="009A0DA6">
        <w:rPr>
          <w:rFonts w:ascii="Cambria" w:eastAsia="Times New Roman" w:hAnsi="Cambria" w:cstheme="minorHAnsi"/>
          <w:spacing w:val="1"/>
        </w:rPr>
        <w:t>or</w:t>
      </w:r>
      <w:r w:rsidRPr="009A0DA6">
        <w:rPr>
          <w:rFonts w:ascii="Cambria" w:eastAsia="Times New Roman" w:hAnsi="Cambria" w:cstheme="minorHAnsi"/>
        </w:rPr>
        <w:t>s</w:t>
      </w:r>
      <w:r w:rsidRPr="009A0DA6">
        <w:rPr>
          <w:rFonts w:ascii="Cambria" w:eastAsia="Times New Roman" w:hAnsi="Cambria" w:cstheme="minorHAnsi"/>
        </w:rPr>
        <w:tab/>
      </w:r>
      <w:r w:rsidRPr="009A0DA6">
        <w:rPr>
          <w:rFonts w:ascii="Cambria" w:eastAsia="Times New Roman" w:hAnsi="Cambria" w:cstheme="minorHAnsi"/>
        </w:rPr>
        <w:tab/>
      </w:r>
      <w:r w:rsidRPr="009A0DA6">
        <w:rPr>
          <w:rFonts w:ascii="Cambria" w:eastAsia="Times New Roman" w:hAnsi="Cambria" w:cstheme="minorHAnsi"/>
          <w:spacing w:val="1"/>
        </w:rPr>
        <w:t>238,</w:t>
      </w:r>
      <w:r w:rsidRPr="009A0DA6">
        <w:rPr>
          <w:rFonts w:ascii="Cambria" w:eastAsia="Times New Roman" w:hAnsi="Cambria" w:cstheme="minorHAnsi"/>
          <w:spacing w:val="-1"/>
        </w:rPr>
        <w:t>1</w:t>
      </w:r>
      <w:r w:rsidRPr="009A0DA6">
        <w:rPr>
          <w:rFonts w:ascii="Cambria" w:eastAsia="Times New Roman" w:hAnsi="Cambria" w:cstheme="minorHAnsi"/>
          <w:spacing w:val="1"/>
        </w:rPr>
        <w:t>9</w:t>
      </w:r>
      <w:r w:rsidRPr="009A0DA6">
        <w:rPr>
          <w:rFonts w:ascii="Cambria" w:eastAsia="Times New Roman" w:hAnsi="Cambria" w:cstheme="minorHAnsi"/>
        </w:rPr>
        <w:t>3</w:t>
      </w:r>
      <w:r w:rsidRPr="009A0DA6">
        <w:rPr>
          <w:rFonts w:ascii="Cambria" w:eastAsia="Times New Roman" w:hAnsi="Cambria" w:cstheme="minorHAnsi"/>
        </w:rPr>
        <w:tab/>
      </w:r>
      <w:r w:rsidRPr="009A0DA6">
        <w:rPr>
          <w:rFonts w:ascii="Cambria" w:eastAsia="Times New Roman" w:hAnsi="Cambria" w:cstheme="minorHAnsi"/>
          <w:spacing w:val="1"/>
        </w:rPr>
        <w:t>370,</w:t>
      </w:r>
      <w:r w:rsidRPr="009A0DA6">
        <w:rPr>
          <w:rFonts w:ascii="Cambria" w:eastAsia="Times New Roman" w:hAnsi="Cambria" w:cstheme="minorHAnsi"/>
          <w:spacing w:val="-1"/>
        </w:rPr>
        <w:t>9</w:t>
      </w:r>
      <w:r w:rsidRPr="009A0DA6">
        <w:rPr>
          <w:rFonts w:ascii="Cambria" w:eastAsia="Times New Roman" w:hAnsi="Cambria" w:cstheme="minorHAnsi"/>
          <w:spacing w:val="1"/>
        </w:rPr>
        <w:t>6</w:t>
      </w:r>
      <w:r w:rsidRPr="009A0DA6">
        <w:rPr>
          <w:rFonts w:ascii="Cambria" w:eastAsia="Times New Roman" w:hAnsi="Cambria" w:cstheme="minorHAnsi"/>
        </w:rPr>
        <w:t>1</w:t>
      </w:r>
      <w:r w:rsidRPr="009A0DA6">
        <w:rPr>
          <w:rFonts w:ascii="Cambria" w:eastAsia="Times New Roman" w:hAnsi="Cambria" w:cstheme="minorHAnsi"/>
        </w:rPr>
        <w:tab/>
        <w:t>161,064</w:t>
      </w:r>
    </w:p>
    <w:p w14:paraId="39912214"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hAnsi="Cambria" w:cstheme="minorHAnsi"/>
          <w:b/>
        </w:rPr>
      </w:pPr>
      <w:r w:rsidRPr="009A0DA6">
        <w:rPr>
          <w:rFonts w:ascii="Cambria" w:eastAsia="Times New Roman" w:hAnsi="Cambria" w:cstheme="minorHAnsi"/>
          <w:b/>
          <w:spacing w:val="-1"/>
        </w:rPr>
        <w:t>T</w:t>
      </w:r>
      <w:r w:rsidRPr="009A0DA6">
        <w:rPr>
          <w:rFonts w:ascii="Cambria" w:eastAsia="Times New Roman" w:hAnsi="Cambria" w:cstheme="minorHAnsi"/>
          <w:b/>
          <w:spacing w:val="1"/>
        </w:rPr>
        <w:t>O</w:t>
      </w:r>
      <w:r w:rsidRPr="009A0DA6">
        <w:rPr>
          <w:rFonts w:ascii="Cambria" w:eastAsia="Times New Roman" w:hAnsi="Cambria" w:cstheme="minorHAnsi"/>
          <w:b/>
          <w:spacing w:val="-1"/>
        </w:rPr>
        <w:t>T</w:t>
      </w:r>
      <w:r w:rsidRPr="009A0DA6">
        <w:rPr>
          <w:rFonts w:ascii="Cambria" w:eastAsia="Times New Roman" w:hAnsi="Cambria" w:cstheme="minorHAnsi"/>
          <w:b/>
          <w:spacing w:val="3"/>
        </w:rPr>
        <w:t>A</w:t>
      </w:r>
      <w:r w:rsidRPr="009A0DA6">
        <w:rPr>
          <w:rFonts w:ascii="Cambria" w:eastAsia="Times New Roman" w:hAnsi="Cambria" w:cstheme="minorHAnsi"/>
          <w:b/>
        </w:rPr>
        <w:t>L</w:t>
      </w:r>
      <w:r w:rsidRPr="009A0DA6">
        <w:rPr>
          <w:rFonts w:ascii="Cambria" w:eastAsia="Times New Roman" w:hAnsi="Cambria" w:cstheme="minorHAnsi"/>
          <w:b/>
          <w:spacing w:val="38"/>
        </w:rPr>
        <w:t xml:space="preserve"> </w:t>
      </w:r>
      <w:r w:rsidRPr="009A0DA6">
        <w:rPr>
          <w:rFonts w:ascii="Cambria" w:eastAsia="Times New Roman" w:hAnsi="Cambria" w:cstheme="minorHAnsi"/>
          <w:b/>
          <w:spacing w:val="-1"/>
        </w:rPr>
        <w:t>T</w:t>
      </w:r>
      <w:r w:rsidRPr="009A0DA6">
        <w:rPr>
          <w:rFonts w:ascii="Cambria" w:eastAsia="Times New Roman" w:hAnsi="Cambria" w:cstheme="minorHAnsi"/>
          <w:b/>
          <w:spacing w:val="3"/>
        </w:rPr>
        <w:t>R</w:t>
      </w:r>
      <w:r w:rsidRPr="009A0DA6">
        <w:rPr>
          <w:rFonts w:ascii="Cambria" w:eastAsia="Times New Roman" w:hAnsi="Cambria" w:cstheme="minorHAnsi"/>
          <w:b/>
        </w:rPr>
        <w:t>ADE</w:t>
      </w:r>
      <w:r w:rsidRPr="009A0DA6">
        <w:rPr>
          <w:rFonts w:ascii="Cambria" w:eastAsia="Times New Roman" w:hAnsi="Cambria" w:cstheme="minorHAnsi"/>
          <w:b/>
          <w:spacing w:val="26"/>
        </w:rPr>
        <w:t xml:space="preserve"> </w:t>
      </w:r>
      <w:r w:rsidRPr="009A0DA6">
        <w:rPr>
          <w:rFonts w:ascii="Cambria" w:eastAsia="Times New Roman" w:hAnsi="Cambria" w:cstheme="minorHAnsi"/>
          <w:b/>
          <w:spacing w:val="3"/>
        </w:rPr>
        <w:t>A</w:t>
      </w:r>
      <w:r w:rsidRPr="009A0DA6">
        <w:rPr>
          <w:rFonts w:ascii="Cambria" w:eastAsia="Times New Roman" w:hAnsi="Cambria" w:cstheme="minorHAnsi"/>
          <w:b/>
        </w:rPr>
        <w:t>ND</w:t>
      </w:r>
      <w:r w:rsidRPr="009A0DA6">
        <w:rPr>
          <w:rFonts w:ascii="Cambria" w:eastAsia="Times New Roman" w:hAnsi="Cambria" w:cstheme="minorHAnsi"/>
          <w:b/>
          <w:spacing w:val="-3"/>
        </w:rPr>
        <w:t xml:space="preserve"> </w:t>
      </w:r>
      <w:r w:rsidRPr="009A0DA6">
        <w:rPr>
          <w:rFonts w:ascii="Cambria" w:eastAsia="Times New Roman" w:hAnsi="Cambria" w:cstheme="minorHAnsi"/>
          <w:b/>
          <w:spacing w:val="1"/>
        </w:rPr>
        <w:t>O</w:t>
      </w:r>
      <w:r w:rsidRPr="009A0DA6">
        <w:rPr>
          <w:rFonts w:ascii="Cambria" w:eastAsia="Times New Roman" w:hAnsi="Cambria" w:cstheme="minorHAnsi"/>
          <w:b/>
          <w:spacing w:val="-1"/>
        </w:rPr>
        <w:t>T</w:t>
      </w:r>
      <w:r w:rsidRPr="009A0DA6">
        <w:rPr>
          <w:rFonts w:ascii="Cambria" w:eastAsia="Times New Roman" w:hAnsi="Cambria" w:cstheme="minorHAnsi"/>
          <w:b/>
          <w:spacing w:val="4"/>
        </w:rPr>
        <w:t>H</w:t>
      </w:r>
      <w:r w:rsidRPr="009A0DA6">
        <w:rPr>
          <w:rFonts w:ascii="Cambria" w:eastAsia="Times New Roman" w:hAnsi="Cambria" w:cstheme="minorHAnsi"/>
          <w:b/>
          <w:spacing w:val="-1"/>
        </w:rPr>
        <w:t>E</w:t>
      </w:r>
      <w:r w:rsidRPr="009A0DA6">
        <w:rPr>
          <w:rFonts w:ascii="Cambria" w:eastAsia="Times New Roman" w:hAnsi="Cambria" w:cstheme="minorHAnsi"/>
          <w:b/>
        </w:rPr>
        <w:t xml:space="preserve">R  </w:t>
      </w:r>
      <w:r w:rsidRPr="009A0DA6">
        <w:rPr>
          <w:rFonts w:ascii="Cambria" w:eastAsia="Times New Roman" w:hAnsi="Cambria" w:cstheme="minorHAnsi"/>
          <w:b/>
          <w:spacing w:val="1"/>
          <w:w w:val="109"/>
        </w:rPr>
        <w:t>P</w:t>
      </w:r>
      <w:r w:rsidRPr="009A0DA6">
        <w:rPr>
          <w:rFonts w:ascii="Cambria" w:eastAsia="Times New Roman" w:hAnsi="Cambria" w:cstheme="minorHAnsi"/>
          <w:b/>
          <w:w w:val="99"/>
        </w:rPr>
        <w:t>AYA</w:t>
      </w:r>
      <w:r w:rsidRPr="009A0DA6">
        <w:rPr>
          <w:rFonts w:ascii="Cambria" w:eastAsia="Times New Roman" w:hAnsi="Cambria" w:cstheme="minorHAnsi"/>
          <w:b/>
          <w:spacing w:val="2"/>
          <w:w w:val="99"/>
        </w:rPr>
        <w:t>B</w:t>
      </w:r>
      <w:r w:rsidRPr="009A0DA6">
        <w:rPr>
          <w:rFonts w:ascii="Cambria" w:eastAsia="Times New Roman" w:hAnsi="Cambria" w:cstheme="minorHAnsi"/>
          <w:b/>
          <w:spacing w:val="2"/>
          <w:w w:val="108"/>
        </w:rPr>
        <w:t>L</w:t>
      </w:r>
      <w:r w:rsidRPr="009A0DA6">
        <w:rPr>
          <w:rFonts w:ascii="Cambria" w:eastAsia="Times New Roman" w:hAnsi="Cambria" w:cstheme="minorHAnsi"/>
          <w:b/>
          <w:spacing w:val="-1"/>
          <w:w w:val="108"/>
        </w:rPr>
        <w:t>E</w:t>
      </w:r>
      <w:r w:rsidRPr="009A0DA6">
        <w:rPr>
          <w:rFonts w:ascii="Cambria" w:eastAsia="Times New Roman" w:hAnsi="Cambria" w:cstheme="minorHAnsi"/>
          <w:b/>
          <w:w w:val="99"/>
        </w:rPr>
        <w:t>S</w:t>
      </w:r>
      <w:r w:rsidRPr="009A0DA6">
        <w:rPr>
          <w:rFonts w:ascii="Cambria" w:eastAsia="Times New Roman" w:hAnsi="Cambria" w:cstheme="minorHAnsi"/>
          <w:b/>
        </w:rPr>
        <w:tab/>
      </w:r>
      <w:r w:rsidRPr="009A0DA6">
        <w:rPr>
          <w:rFonts w:ascii="Cambria" w:eastAsia="Times New Roman" w:hAnsi="Cambria" w:cstheme="minorHAnsi"/>
          <w:b/>
        </w:rPr>
        <w:tab/>
      </w:r>
      <w:r w:rsidRPr="009A0DA6">
        <w:rPr>
          <w:rFonts w:ascii="Cambria" w:eastAsia="Times New Roman" w:hAnsi="Cambria" w:cstheme="minorHAnsi"/>
          <w:b/>
          <w:w w:val="99"/>
        </w:rPr>
        <w:t xml:space="preserve"> </w:t>
      </w:r>
      <w:r w:rsidRPr="009A0DA6">
        <w:rPr>
          <w:rFonts w:ascii="Cambria" w:eastAsia="Times New Roman" w:hAnsi="Cambria" w:cstheme="minorHAnsi"/>
          <w:b/>
        </w:rPr>
        <w:t>$2</w:t>
      </w:r>
      <w:r w:rsidRPr="009A0DA6">
        <w:rPr>
          <w:rFonts w:ascii="Cambria" w:eastAsia="Times New Roman" w:hAnsi="Cambria" w:cstheme="minorHAnsi"/>
          <w:b/>
          <w:spacing w:val="1"/>
        </w:rPr>
        <w:t>7</w:t>
      </w:r>
      <w:r w:rsidRPr="009A0DA6">
        <w:rPr>
          <w:rFonts w:ascii="Cambria" w:eastAsia="Times New Roman" w:hAnsi="Cambria" w:cstheme="minorHAnsi"/>
          <w:b/>
          <w:spacing w:val="-1"/>
        </w:rPr>
        <w:t>1</w:t>
      </w:r>
      <w:r w:rsidRPr="009A0DA6">
        <w:rPr>
          <w:rFonts w:ascii="Cambria" w:eastAsia="Times New Roman" w:hAnsi="Cambria" w:cstheme="minorHAnsi"/>
          <w:b/>
          <w:spacing w:val="1"/>
        </w:rPr>
        <w:t>,4</w:t>
      </w:r>
      <w:r w:rsidRPr="009A0DA6">
        <w:rPr>
          <w:rFonts w:ascii="Cambria" w:eastAsia="Times New Roman" w:hAnsi="Cambria" w:cstheme="minorHAnsi"/>
          <w:b/>
          <w:spacing w:val="-1"/>
        </w:rPr>
        <w:t>9</w:t>
      </w:r>
      <w:r w:rsidRPr="009A0DA6">
        <w:rPr>
          <w:rFonts w:ascii="Cambria" w:eastAsia="Times New Roman" w:hAnsi="Cambria" w:cstheme="minorHAnsi"/>
          <w:b/>
        </w:rPr>
        <w:t>4</w:t>
      </w:r>
      <w:r w:rsidRPr="009A0DA6">
        <w:rPr>
          <w:rFonts w:ascii="Cambria" w:eastAsia="Times New Roman" w:hAnsi="Cambria" w:cstheme="minorHAnsi"/>
          <w:b/>
        </w:rPr>
        <w:tab/>
        <w:t>$</w:t>
      </w:r>
      <w:r w:rsidRPr="009A0DA6">
        <w:rPr>
          <w:rFonts w:ascii="Cambria" w:eastAsia="Times New Roman" w:hAnsi="Cambria" w:cstheme="minorHAnsi"/>
          <w:b/>
          <w:spacing w:val="1"/>
        </w:rPr>
        <w:t>415</w:t>
      </w:r>
      <w:r w:rsidRPr="009A0DA6">
        <w:rPr>
          <w:rFonts w:ascii="Cambria" w:eastAsia="Times New Roman" w:hAnsi="Cambria" w:cstheme="minorHAnsi"/>
          <w:b/>
          <w:spacing w:val="-2"/>
        </w:rPr>
        <w:t>,</w:t>
      </w:r>
      <w:r w:rsidRPr="009A0DA6">
        <w:rPr>
          <w:rFonts w:ascii="Cambria" w:eastAsia="Times New Roman" w:hAnsi="Cambria" w:cstheme="minorHAnsi"/>
          <w:b/>
          <w:spacing w:val="1"/>
        </w:rPr>
        <w:t>90</w:t>
      </w:r>
      <w:r w:rsidRPr="009A0DA6">
        <w:rPr>
          <w:rFonts w:ascii="Cambria" w:eastAsia="Times New Roman" w:hAnsi="Cambria" w:cstheme="minorHAnsi"/>
          <w:b/>
        </w:rPr>
        <w:t>3</w:t>
      </w:r>
      <w:r w:rsidRPr="009A0DA6">
        <w:rPr>
          <w:rFonts w:ascii="Cambria" w:eastAsia="Times New Roman" w:hAnsi="Cambria" w:cstheme="minorHAnsi"/>
          <w:b/>
        </w:rPr>
        <w:tab/>
        <w:t>$161,064</w:t>
      </w:r>
    </w:p>
    <w:p w14:paraId="0FD531D6" w14:textId="77777777" w:rsidR="00BA4592" w:rsidRPr="009A0DA6" w:rsidRDefault="00BA4592" w:rsidP="00BA4592">
      <w:pPr>
        <w:tabs>
          <w:tab w:val="center" w:pos="4394"/>
          <w:tab w:val="right" w:pos="6095"/>
          <w:tab w:val="right" w:pos="7371"/>
          <w:tab w:val="right" w:pos="8647"/>
        </w:tabs>
        <w:spacing w:before="120" w:after="120" w:line="240" w:lineRule="auto"/>
        <w:ind w:right="-51"/>
        <w:contextualSpacing/>
        <w:rPr>
          <w:rFonts w:ascii="Cambria" w:hAnsi="Cambria" w:cstheme="minorHAnsi"/>
        </w:rPr>
      </w:pPr>
    </w:p>
    <w:p w14:paraId="00E586AF" w14:textId="61838AD4" w:rsidR="00BA4592" w:rsidRPr="009A0DA6" w:rsidRDefault="00351A0F" w:rsidP="00BA4592">
      <w:pPr>
        <w:tabs>
          <w:tab w:val="center" w:pos="4394"/>
          <w:tab w:val="right" w:pos="6095"/>
          <w:tab w:val="right" w:pos="7371"/>
          <w:tab w:val="right" w:pos="8647"/>
        </w:tabs>
        <w:spacing w:before="120" w:after="120" w:line="240" w:lineRule="auto"/>
        <w:ind w:right="-331"/>
        <w:contextualSpacing/>
        <w:rPr>
          <w:rFonts w:ascii="Cambria" w:hAnsi="Cambria" w:cstheme="minorHAnsi"/>
          <w:b/>
        </w:rPr>
      </w:pPr>
      <w:r>
        <w:rPr>
          <w:rFonts w:ascii="Cambria" w:hAnsi="Cambria" w:cstheme="minorHAnsi"/>
          <w:b/>
        </w:rPr>
        <w:t xml:space="preserve">Note 8: </w:t>
      </w:r>
      <w:r w:rsidR="00BA4592" w:rsidRPr="009A0DA6">
        <w:rPr>
          <w:rFonts w:ascii="Cambria" w:hAnsi="Cambria" w:cstheme="minorHAnsi"/>
          <w:b/>
        </w:rPr>
        <w:t>Specific Funds Held</w:t>
      </w:r>
    </w:p>
    <w:p w14:paraId="006C93F0"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hAnsi="Cambria" w:cstheme="minorHAnsi"/>
          <w:b/>
        </w:rPr>
      </w:pPr>
      <w:r w:rsidRPr="009A0DA6">
        <w:rPr>
          <w:rFonts w:ascii="Cambria" w:eastAsia="Times New Roman" w:hAnsi="Cambria" w:cstheme="minorHAnsi"/>
          <w:spacing w:val="-2"/>
        </w:rPr>
        <w:t>A</w:t>
      </w:r>
      <w:r w:rsidRPr="009A0DA6">
        <w:rPr>
          <w:rFonts w:ascii="Cambria" w:eastAsia="Times New Roman" w:hAnsi="Cambria" w:cstheme="minorHAnsi"/>
          <w:spacing w:val="1"/>
        </w:rPr>
        <w:t>bor</w:t>
      </w:r>
      <w:r w:rsidRPr="009A0DA6">
        <w:rPr>
          <w:rFonts w:ascii="Cambria" w:eastAsia="Times New Roman" w:hAnsi="Cambria" w:cstheme="minorHAnsi"/>
        </w:rPr>
        <w:t>i</w:t>
      </w:r>
      <w:r w:rsidRPr="009A0DA6">
        <w:rPr>
          <w:rFonts w:ascii="Cambria" w:eastAsia="Times New Roman" w:hAnsi="Cambria" w:cstheme="minorHAnsi"/>
          <w:spacing w:val="-1"/>
        </w:rPr>
        <w:t>g</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rPr>
        <w:t>al</w:t>
      </w:r>
      <w:r w:rsidRPr="009A0DA6">
        <w:rPr>
          <w:rFonts w:ascii="Cambria" w:eastAsia="Times New Roman" w:hAnsi="Cambria" w:cstheme="minorHAnsi"/>
          <w:spacing w:val="-9"/>
        </w:rPr>
        <w:t xml:space="preserve"> </w:t>
      </w:r>
      <w:r w:rsidRPr="009A0DA6">
        <w:rPr>
          <w:rFonts w:ascii="Cambria" w:eastAsia="Times New Roman" w:hAnsi="Cambria" w:cstheme="minorHAnsi"/>
        </w:rPr>
        <w:t>t</w:t>
      </w:r>
      <w:r w:rsidRPr="009A0DA6">
        <w:rPr>
          <w:rFonts w:ascii="Cambria" w:eastAsia="Times New Roman" w:hAnsi="Cambria" w:cstheme="minorHAnsi"/>
          <w:spacing w:val="1"/>
        </w:rPr>
        <w:t>r</w:t>
      </w:r>
      <w:r w:rsidRPr="009A0DA6">
        <w:rPr>
          <w:rFonts w:ascii="Cambria" w:eastAsia="Times New Roman" w:hAnsi="Cambria" w:cstheme="minorHAnsi"/>
        </w:rPr>
        <w:t>a</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rPr>
        <w:t>i</w:t>
      </w:r>
      <w:r w:rsidRPr="009A0DA6">
        <w:rPr>
          <w:rFonts w:ascii="Cambria" w:eastAsia="Times New Roman" w:hAnsi="Cambria" w:cstheme="minorHAnsi"/>
          <w:spacing w:val="1"/>
        </w:rPr>
        <w:t>n</w:t>
      </w:r>
      <w:r w:rsidRPr="009A0DA6">
        <w:rPr>
          <w:rFonts w:ascii="Cambria" w:eastAsia="Times New Roman" w:hAnsi="Cambria" w:cstheme="minorHAnsi"/>
        </w:rPr>
        <w:t>g</w:t>
      </w:r>
      <w:r w:rsidRPr="009A0DA6">
        <w:rPr>
          <w:rFonts w:ascii="Cambria" w:eastAsia="Times New Roman" w:hAnsi="Cambria" w:cstheme="minorHAnsi"/>
          <w:spacing w:val="-4"/>
        </w:rPr>
        <w:t xml:space="preserve"> </w:t>
      </w:r>
      <w:r w:rsidRPr="009A0DA6">
        <w:rPr>
          <w:rFonts w:ascii="Cambria" w:eastAsia="Times New Roman" w:hAnsi="Cambria" w:cstheme="minorHAnsi"/>
          <w:spacing w:val="-1"/>
        </w:rPr>
        <w:t>f</w:t>
      </w:r>
      <w:r w:rsidRPr="009A0DA6">
        <w:rPr>
          <w:rFonts w:ascii="Cambria" w:eastAsia="Times New Roman" w:hAnsi="Cambria" w:cstheme="minorHAnsi"/>
          <w:spacing w:val="1"/>
        </w:rPr>
        <w:t>u</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rPr>
        <w:tab/>
      </w:r>
      <w:r w:rsidRPr="009A0DA6">
        <w:rPr>
          <w:rFonts w:ascii="Cambria" w:eastAsia="Times New Roman" w:hAnsi="Cambria" w:cstheme="minorHAnsi"/>
        </w:rPr>
        <w:tab/>
      </w:r>
      <w:r w:rsidRPr="009A0DA6">
        <w:rPr>
          <w:rFonts w:ascii="Cambria" w:eastAsia="Times New Roman" w:hAnsi="Cambria" w:cstheme="minorHAnsi"/>
          <w:spacing w:val="1"/>
        </w:rPr>
        <w:t>20,8</w:t>
      </w:r>
      <w:r w:rsidRPr="009A0DA6">
        <w:rPr>
          <w:rFonts w:ascii="Cambria" w:eastAsia="Times New Roman" w:hAnsi="Cambria" w:cstheme="minorHAnsi"/>
          <w:spacing w:val="-1"/>
        </w:rPr>
        <w:t>4</w:t>
      </w:r>
      <w:r w:rsidRPr="009A0DA6">
        <w:rPr>
          <w:rFonts w:ascii="Cambria" w:eastAsia="Times New Roman" w:hAnsi="Cambria" w:cstheme="minorHAnsi"/>
        </w:rPr>
        <w:t>7</w:t>
      </w:r>
      <w:r w:rsidRPr="009A0DA6">
        <w:rPr>
          <w:rFonts w:ascii="Cambria" w:eastAsia="Times New Roman" w:hAnsi="Cambria" w:cstheme="minorHAnsi"/>
        </w:rPr>
        <w:tab/>
      </w:r>
      <w:r w:rsidRPr="009A0DA6">
        <w:rPr>
          <w:rFonts w:ascii="Cambria" w:eastAsia="Times New Roman" w:hAnsi="Cambria" w:cstheme="minorHAnsi"/>
          <w:spacing w:val="1"/>
        </w:rPr>
        <w:t>19,9</w:t>
      </w:r>
      <w:r w:rsidRPr="009A0DA6">
        <w:rPr>
          <w:rFonts w:ascii="Cambria" w:eastAsia="Times New Roman" w:hAnsi="Cambria" w:cstheme="minorHAnsi"/>
          <w:spacing w:val="-1"/>
        </w:rPr>
        <w:t>8</w:t>
      </w:r>
      <w:r w:rsidRPr="009A0DA6">
        <w:rPr>
          <w:rFonts w:ascii="Cambria" w:eastAsia="Times New Roman" w:hAnsi="Cambria" w:cstheme="minorHAnsi"/>
        </w:rPr>
        <w:t>5</w:t>
      </w:r>
      <w:r w:rsidRPr="009A0DA6">
        <w:rPr>
          <w:rFonts w:ascii="Cambria" w:eastAsia="Times New Roman" w:hAnsi="Cambria" w:cstheme="minorHAnsi"/>
        </w:rPr>
        <w:tab/>
        <w:t>19,428</w:t>
      </w:r>
    </w:p>
    <w:p w14:paraId="6073FFAE"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eastAsia="Times New Roman" w:hAnsi="Cambria" w:cstheme="minorHAnsi"/>
        </w:rPr>
      </w:pPr>
      <w:r w:rsidRPr="009A0DA6">
        <w:rPr>
          <w:rFonts w:ascii="Cambria" w:eastAsia="Times New Roman" w:hAnsi="Cambria" w:cstheme="minorHAnsi"/>
        </w:rPr>
        <w:t>A</w:t>
      </w:r>
      <w:r w:rsidRPr="009A0DA6">
        <w:rPr>
          <w:rFonts w:ascii="Cambria" w:eastAsia="Times New Roman" w:hAnsi="Cambria" w:cstheme="minorHAnsi"/>
          <w:spacing w:val="1"/>
        </w:rPr>
        <w:t>L</w:t>
      </w:r>
      <w:r w:rsidRPr="009A0DA6">
        <w:rPr>
          <w:rFonts w:ascii="Cambria" w:eastAsia="Times New Roman" w:hAnsi="Cambria" w:cstheme="minorHAnsi"/>
        </w:rPr>
        <w:t>C</w:t>
      </w:r>
      <w:r w:rsidRPr="009A0DA6">
        <w:rPr>
          <w:rFonts w:ascii="Cambria" w:eastAsia="Times New Roman" w:hAnsi="Cambria" w:cstheme="minorHAnsi"/>
          <w:spacing w:val="-4"/>
        </w:rPr>
        <w:t xml:space="preserve"> </w:t>
      </w:r>
      <w:r w:rsidRPr="009A0DA6">
        <w:rPr>
          <w:rFonts w:ascii="Cambria" w:eastAsia="Times New Roman" w:hAnsi="Cambria" w:cstheme="minorHAnsi"/>
          <w:spacing w:val="2"/>
        </w:rPr>
        <w:t>s</w:t>
      </w:r>
      <w:r w:rsidRPr="009A0DA6">
        <w:rPr>
          <w:rFonts w:ascii="Cambria" w:eastAsia="Times New Roman" w:hAnsi="Cambria" w:cstheme="minorHAnsi"/>
          <w:spacing w:val="-1"/>
        </w:rPr>
        <w:t>u</w:t>
      </w:r>
      <w:r w:rsidRPr="009A0DA6">
        <w:rPr>
          <w:rFonts w:ascii="Cambria" w:eastAsia="Times New Roman" w:hAnsi="Cambria" w:cstheme="minorHAnsi"/>
        </w:rPr>
        <w:t>cce</w:t>
      </w:r>
      <w:r w:rsidRPr="009A0DA6">
        <w:rPr>
          <w:rFonts w:ascii="Cambria" w:eastAsia="Times New Roman" w:hAnsi="Cambria" w:cstheme="minorHAnsi"/>
          <w:spacing w:val="-1"/>
        </w:rPr>
        <w:t>s</w:t>
      </w:r>
      <w:r w:rsidRPr="009A0DA6">
        <w:rPr>
          <w:rFonts w:ascii="Cambria" w:eastAsia="Times New Roman" w:hAnsi="Cambria" w:cstheme="minorHAnsi"/>
          <w:spacing w:val="2"/>
        </w:rPr>
        <w:t>s</w:t>
      </w:r>
      <w:r w:rsidRPr="009A0DA6">
        <w:rPr>
          <w:rFonts w:ascii="Cambria" w:eastAsia="Times New Roman" w:hAnsi="Cambria" w:cstheme="minorHAnsi"/>
        </w:rPr>
        <w:t>i</w:t>
      </w:r>
      <w:r w:rsidRPr="009A0DA6">
        <w:rPr>
          <w:rFonts w:ascii="Cambria" w:eastAsia="Times New Roman" w:hAnsi="Cambria" w:cstheme="minorHAnsi"/>
          <w:spacing w:val="1"/>
        </w:rPr>
        <w:t>o</w:t>
      </w:r>
      <w:r w:rsidRPr="009A0DA6">
        <w:rPr>
          <w:rFonts w:ascii="Cambria" w:eastAsia="Times New Roman" w:hAnsi="Cambria" w:cstheme="minorHAnsi"/>
        </w:rPr>
        <w:t>n</w:t>
      </w:r>
      <w:r w:rsidRPr="009A0DA6">
        <w:rPr>
          <w:rFonts w:ascii="Cambria" w:eastAsia="Times New Roman" w:hAnsi="Cambria" w:cstheme="minorHAnsi"/>
          <w:spacing w:val="-10"/>
        </w:rPr>
        <w:t xml:space="preserve"> </w:t>
      </w:r>
      <w:r w:rsidRPr="009A0DA6">
        <w:rPr>
          <w:rFonts w:ascii="Cambria" w:eastAsia="Times New Roman" w:hAnsi="Cambria" w:cstheme="minorHAnsi"/>
          <w:spacing w:val="1"/>
        </w:rPr>
        <w:t>p</w:t>
      </w:r>
      <w:r w:rsidRPr="009A0DA6">
        <w:rPr>
          <w:rFonts w:ascii="Cambria" w:eastAsia="Times New Roman" w:hAnsi="Cambria" w:cstheme="minorHAnsi"/>
        </w:rPr>
        <w:t>la</w:t>
      </w:r>
      <w:r w:rsidRPr="009A0DA6">
        <w:rPr>
          <w:rFonts w:ascii="Cambria" w:eastAsia="Times New Roman" w:hAnsi="Cambria" w:cstheme="minorHAnsi"/>
          <w:spacing w:val="1"/>
        </w:rPr>
        <w:t>n</w:t>
      </w:r>
      <w:r w:rsidRPr="009A0DA6">
        <w:rPr>
          <w:rFonts w:ascii="Cambria" w:eastAsia="Times New Roman" w:hAnsi="Cambria" w:cstheme="minorHAnsi"/>
          <w:spacing w:val="-1"/>
        </w:rPr>
        <w:t>n</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rPr>
        <w:t>g</w:t>
      </w:r>
      <w:r w:rsidRPr="009A0DA6">
        <w:rPr>
          <w:rFonts w:ascii="Cambria" w:eastAsia="Times New Roman" w:hAnsi="Cambria" w:cstheme="minorHAnsi"/>
          <w:spacing w:val="-5"/>
        </w:rPr>
        <w:t xml:space="preserve"> </w:t>
      </w:r>
      <w:r w:rsidRPr="009A0DA6">
        <w:rPr>
          <w:rFonts w:ascii="Cambria" w:eastAsia="Times New Roman" w:hAnsi="Cambria" w:cstheme="minorHAnsi"/>
          <w:spacing w:val="1"/>
        </w:rPr>
        <w:t>f</w:t>
      </w:r>
      <w:r w:rsidRPr="009A0DA6">
        <w:rPr>
          <w:rFonts w:ascii="Cambria" w:eastAsia="Times New Roman" w:hAnsi="Cambria" w:cstheme="minorHAnsi"/>
          <w:spacing w:val="-1"/>
        </w:rPr>
        <w:t>u</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rPr>
        <w:tab/>
      </w:r>
      <w:r w:rsidRPr="009A0DA6">
        <w:rPr>
          <w:rFonts w:ascii="Cambria" w:eastAsia="Times New Roman" w:hAnsi="Cambria" w:cstheme="minorHAnsi"/>
        </w:rPr>
        <w:tab/>
      </w:r>
      <w:r w:rsidRPr="009A0DA6">
        <w:rPr>
          <w:rFonts w:ascii="Cambria" w:eastAsia="Times New Roman" w:hAnsi="Cambria" w:cstheme="minorHAnsi"/>
          <w:spacing w:val="1"/>
        </w:rPr>
        <w:t>26,3</w:t>
      </w:r>
      <w:r w:rsidRPr="009A0DA6">
        <w:rPr>
          <w:rFonts w:ascii="Cambria" w:eastAsia="Times New Roman" w:hAnsi="Cambria" w:cstheme="minorHAnsi"/>
          <w:spacing w:val="-1"/>
        </w:rPr>
        <w:t>0</w:t>
      </w:r>
      <w:r w:rsidRPr="009A0DA6">
        <w:rPr>
          <w:rFonts w:ascii="Cambria" w:eastAsia="Times New Roman" w:hAnsi="Cambria" w:cstheme="minorHAnsi"/>
        </w:rPr>
        <w:t>3</w:t>
      </w:r>
      <w:r w:rsidRPr="009A0DA6">
        <w:rPr>
          <w:rFonts w:ascii="Cambria" w:eastAsia="Times New Roman" w:hAnsi="Cambria" w:cstheme="minorHAnsi"/>
        </w:rPr>
        <w:tab/>
      </w:r>
      <w:r w:rsidRPr="009A0DA6">
        <w:rPr>
          <w:rFonts w:ascii="Cambria" w:eastAsia="Times New Roman" w:hAnsi="Cambria" w:cstheme="minorHAnsi"/>
          <w:spacing w:val="1"/>
        </w:rPr>
        <w:t>(9,3</w:t>
      </w:r>
      <w:r w:rsidRPr="009A0DA6">
        <w:rPr>
          <w:rFonts w:ascii="Cambria" w:eastAsia="Times New Roman" w:hAnsi="Cambria" w:cstheme="minorHAnsi"/>
          <w:spacing w:val="-1"/>
        </w:rPr>
        <w:t>5</w:t>
      </w:r>
      <w:r w:rsidRPr="009A0DA6">
        <w:rPr>
          <w:rFonts w:ascii="Cambria" w:eastAsia="Times New Roman" w:hAnsi="Cambria" w:cstheme="minorHAnsi"/>
          <w:spacing w:val="1"/>
        </w:rPr>
        <w:t>0)</w:t>
      </w:r>
      <w:r w:rsidRPr="009A0DA6">
        <w:rPr>
          <w:rFonts w:ascii="Cambria" w:eastAsia="Times New Roman" w:hAnsi="Cambria" w:cstheme="minorHAnsi"/>
          <w:spacing w:val="1"/>
        </w:rPr>
        <w:tab/>
        <w:t>63,262</w:t>
      </w:r>
    </w:p>
    <w:p w14:paraId="5D24A2F7"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eastAsiaTheme="minorEastAsia" w:hAnsi="Cambria" w:cstheme="minorHAnsi"/>
          <w:b/>
        </w:rPr>
      </w:pPr>
      <w:r w:rsidRPr="009A0DA6">
        <w:rPr>
          <w:rFonts w:ascii="Cambria" w:eastAsia="Times New Roman" w:hAnsi="Cambria" w:cstheme="minorHAnsi"/>
          <w:spacing w:val="-1"/>
        </w:rPr>
        <w:t>Ch</w:t>
      </w:r>
      <w:r w:rsidRPr="009A0DA6">
        <w:rPr>
          <w:rFonts w:ascii="Cambria" w:eastAsia="Times New Roman" w:hAnsi="Cambria" w:cstheme="minorHAnsi"/>
          <w:spacing w:val="2"/>
        </w:rPr>
        <w:t>i</w:t>
      </w:r>
      <w:r w:rsidRPr="009A0DA6">
        <w:rPr>
          <w:rFonts w:ascii="Cambria" w:eastAsia="Times New Roman" w:hAnsi="Cambria" w:cstheme="minorHAnsi"/>
        </w:rPr>
        <w:t>l</w:t>
      </w:r>
      <w:r w:rsidRPr="009A0DA6">
        <w:rPr>
          <w:rFonts w:ascii="Cambria" w:eastAsia="Times New Roman" w:hAnsi="Cambria" w:cstheme="minorHAnsi"/>
          <w:spacing w:val="1"/>
        </w:rPr>
        <w:t>d</w:t>
      </w:r>
      <w:r w:rsidRPr="009A0DA6">
        <w:rPr>
          <w:rFonts w:ascii="Cambria" w:eastAsia="Times New Roman" w:hAnsi="Cambria" w:cstheme="minorHAnsi"/>
        </w:rPr>
        <w:t>,</w:t>
      </w:r>
      <w:r w:rsidRPr="009A0DA6">
        <w:rPr>
          <w:rFonts w:ascii="Cambria" w:eastAsia="Times New Roman" w:hAnsi="Cambria" w:cstheme="minorHAnsi"/>
          <w:spacing w:val="-4"/>
        </w:rPr>
        <w:t xml:space="preserve"> </w:t>
      </w:r>
      <w:r w:rsidRPr="009A0DA6">
        <w:rPr>
          <w:rFonts w:ascii="Cambria" w:eastAsia="Times New Roman" w:hAnsi="Cambria" w:cstheme="minorHAnsi"/>
        </w:rPr>
        <w:t>Y</w:t>
      </w:r>
      <w:r w:rsidRPr="009A0DA6">
        <w:rPr>
          <w:rFonts w:ascii="Cambria" w:eastAsia="Times New Roman" w:hAnsi="Cambria" w:cstheme="minorHAnsi"/>
          <w:spacing w:val="1"/>
        </w:rPr>
        <w:t>o</w:t>
      </w:r>
      <w:r w:rsidRPr="009A0DA6">
        <w:rPr>
          <w:rFonts w:ascii="Cambria" w:eastAsia="Times New Roman" w:hAnsi="Cambria" w:cstheme="minorHAnsi"/>
          <w:spacing w:val="-1"/>
        </w:rPr>
        <w:t>u</w:t>
      </w:r>
      <w:r w:rsidRPr="009A0DA6">
        <w:rPr>
          <w:rFonts w:ascii="Cambria" w:eastAsia="Times New Roman" w:hAnsi="Cambria" w:cstheme="minorHAnsi"/>
        </w:rPr>
        <w:t>th</w:t>
      </w:r>
      <w:r w:rsidRPr="009A0DA6">
        <w:rPr>
          <w:rFonts w:ascii="Cambria" w:eastAsia="Times New Roman" w:hAnsi="Cambria" w:cstheme="minorHAnsi"/>
          <w:spacing w:val="-3"/>
        </w:rPr>
        <w:t xml:space="preserve"> </w:t>
      </w:r>
      <w:r w:rsidRPr="009A0DA6">
        <w:rPr>
          <w:rFonts w:ascii="Cambria" w:eastAsia="Times New Roman" w:hAnsi="Cambria" w:cstheme="minorHAnsi"/>
        </w:rPr>
        <w:t>&amp;</w:t>
      </w:r>
      <w:r w:rsidRPr="009A0DA6">
        <w:rPr>
          <w:rFonts w:ascii="Cambria" w:eastAsia="Times New Roman" w:hAnsi="Cambria" w:cstheme="minorHAnsi"/>
          <w:spacing w:val="-3"/>
        </w:rPr>
        <w:t xml:space="preserve"> </w:t>
      </w:r>
      <w:r w:rsidRPr="009A0DA6">
        <w:rPr>
          <w:rFonts w:ascii="Cambria" w:eastAsia="Times New Roman" w:hAnsi="Cambria" w:cstheme="minorHAnsi"/>
        </w:rPr>
        <w:t>F</w:t>
      </w:r>
      <w:r w:rsidRPr="009A0DA6">
        <w:rPr>
          <w:rFonts w:ascii="Cambria" w:eastAsia="Times New Roman" w:hAnsi="Cambria" w:cstheme="minorHAnsi"/>
          <w:spacing w:val="3"/>
        </w:rPr>
        <w:t>a</w:t>
      </w:r>
      <w:r w:rsidRPr="009A0DA6">
        <w:rPr>
          <w:rFonts w:ascii="Cambria" w:eastAsia="Times New Roman" w:hAnsi="Cambria" w:cstheme="minorHAnsi"/>
          <w:spacing w:val="-1"/>
        </w:rPr>
        <w:t>m</w:t>
      </w:r>
      <w:r w:rsidRPr="009A0DA6">
        <w:rPr>
          <w:rFonts w:ascii="Cambria" w:eastAsia="Times New Roman" w:hAnsi="Cambria" w:cstheme="minorHAnsi"/>
        </w:rPr>
        <w:t>i</w:t>
      </w:r>
      <w:r w:rsidRPr="009A0DA6">
        <w:rPr>
          <w:rFonts w:ascii="Cambria" w:eastAsia="Times New Roman" w:hAnsi="Cambria" w:cstheme="minorHAnsi"/>
          <w:spacing w:val="2"/>
        </w:rPr>
        <w:t>l</w:t>
      </w:r>
      <w:r w:rsidRPr="009A0DA6">
        <w:rPr>
          <w:rFonts w:ascii="Cambria" w:eastAsia="Times New Roman" w:hAnsi="Cambria" w:cstheme="minorHAnsi"/>
        </w:rPr>
        <w:t>y</w:t>
      </w:r>
      <w:r w:rsidRPr="009A0DA6">
        <w:rPr>
          <w:rFonts w:ascii="Cambria" w:eastAsia="Times New Roman" w:hAnsi="Cambria" w:cstheme="minorHAnsi"/>
          <w:spacing w:val="-7"/>
        </w:rPr>
        <w:t xml:space="preserve"> </w:t>
      </w:r>
      <w:r w:rsidRPr="009A0DA6">
        <w:rPr>
          <w:rFonts w:ascii="Cambria" w:eastAsia="Times New Roman" w:hAnsi="Cambria" w:cstheme="minorHAnsi"/>
          <w:spacing w:val="1"/>
        </w:rPr>
        <w:t>M</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rPr>
        <w:t>i</w:t>
      </w:r>
      <w:r w:rsidRPr="009A0DA6">
        <w:rPr>
          <w:rFonts w:ascii="Cambria" w:eastAsia="Times New Roman" w:hAnsi="Cambria" w:cstheme="minorHAnsi"/>
          <w:spacing w:val="-1"/>
        </w:rPr>
        <w:t>s</w:t>
      </w:r>
      <w:r w:rsidRPr="009A0DA6">
        <w:rPr>
          <w:rFonts w:ascii="Cambria" w:eastAsia="Times New Roman" w:hAnsi="Cambria" w:cstheme="minorHAnsi"/>
          <w:spacing w:val="2"/>
        </w:rPr>
        <w:t>t</w:t>
      </w:r>
      <w:r w:rsidRPr="009A0DA6">
        <w:rPr>
          <w:rFonts w:ascii="Cambria" w:eastAsia="Times New Roman" w:hAnsi="Cambria" w:cstheme="minorHAnsi"/>
          <w:spacing w:val="1"/>
        </w:rPr>
        <w:t>r</w:t>
      </w:r>
      <w:r w:rsidRPr="009A0DA6">
        <w:rPr>
          <w:rFonts w:ascii="Cambria" w:eastAsia="Times New Roman" w:hAnsi="Cambria" w:cstheme="minorHAnsi"/>
        </w:rPr>
        <w:t>y</w:t>
      </w:r>
      <w:r w:rsidRPr="009A0DA6">
        <w:rPr>
          <w:rFonts w:ascii="Cambria" w:eastAsia="Times New Roman" w:hAnsi="Cambria" w:cstheme="minorHAnsi"/>
          <w:spacing w:val="-10"/>
        </w:rPr>
        <w:t xml:space="preserve"> </w:t>
      </w:r>
      <w:r w:rsidRPr="009A0DA6">
        <w:rPr>
          <w:rFonts w:ascii="Cambria" w:eastAsia="Times New Roman" w:hAnsi="Cambria" w:cstheme="minorHAnsi"/>
        </w:rPr>
        <w:t>lea</w:t>
      </w:r>
      <w:r w:rsidRPr="009A0DA6">
        <w:rPr>
          <w:rFonts w:ascii="Cambria" w:eastAsia="Times New Roman" w:hAnsi="Cambria" w:cstheme="minorHAnsi"/>
          <w:spacing w:val="1"/>
        </w:rPr>
        <w:t>d</w:t>
      </w:r>
      <w:r w:rsidRPr="009A0DA6">
        <w:rPr>
          <w:rFonts w:ascii="Cambria" w:eastAsia="Times New Roman" w:hAnsi="Cambria" w:cstheme="minorHAnsi"/>
        </w:rPr>
        <w:t>e</w:t>
      </w:r>
      <w:r w:rsidRPr="009A0DA6">
        <w:rPr>
          <w:rFonts w:ascii="Cambria" w:eastAsia="Times New Roman" w:hAnsi="Cambria" w:cstheme="minorHAnsi"/>
          <w:spacing w:val="1"/>
        </w:rPr>
        <w:t>r</w:t>
      </w:r>
      <w:r w:rsidRPr="009A0DA6">
        <w:rPr>
          <w:rFonts w:ascii="Cambria" w:eastAsia="Times New Roman" w:hAnsi="Cambria" w:cstheme="minorHAnsi"/>
          <w:spacing w:val="2"/>
        </w:rPr>
        <w:t>s</w:t>
      </w:r>
      <w:r w:rsidRPr="009A0DA6">
        <w:rPr>
          <w:rFonts w:ascii="Cambria" w:eastAsia="Times New Roman" w:hAnsi="Cambria" w:cstheme="minorHAnsi"/>
          <w:spacing w:val="-1"/>
        </w:rPr>
        <w:t>h</w:t>
      </w:r>
      <w:r w:rsidRPr="009A0DA6">
        <w:rPr>
          <w:rFonts w:ascii="Cambria" w:eastAsia="Times New Roman" w:hAnsi="Cambria" w:cstheme="minorHAnsi"/>
        </w:rPr>
        <w:t>ip</w:t>
      </w:r>
      <w:r w:rsidRPr="009A0DA6">
        <w:rPr>
          <w:rFonts w:ascii="Cambria" w:eastAsia="Times New Roman" w:hAnsi="Cambria" w:cstheme="minorHAnsi"/>
          <w:spacing w:val="-6"/>
        </w:rPr>
        <w:t xml:space="preserve"> </w:t>
      </w:r>
      <w:r w:rsidRPr="009A0DA6">
        <w:rPr>
          <w:rFonts w:ascii="Cambria" w:eastAsia="Times New Roman" w:hAnsi="Cambria" w:cstheme="minorHAnsi"/>
        </w:rPr>
        <w:t>t</w:t>
      </w:r>
      <w:r w:rsidRPr="009A0DA6">
        <w:rPr>
          <w:rFonts w:ascii="Cambria" w:eastAsia="Times New Roman" w:hAnsi="Cambria" w:cstheme="minorHAnsi"/>
          <w:spacing w:val="1"/>
        </w:rPr>
        <w:t>r</w:t>
      </w:r>
      <w:r w:rsidRPr="009A0DA6">
        <w:rPr>
          <w:rFonts w:ascii="Cambria" w:eastAsia="Times New Roman" w:hAnsi="Cambria" w:cstheme="minorHAnsi"/>
        </w:rPr>
        <w:t>ai</w:t>
      </w:r>
      <w:r w:rsidRPr="009A0DA6">
        <w:rPr>
          <w:rFonts w:ascii="Cambria" w:eastAsia="Times New Roman" w:hAnsi="Cambria" w:cstheme="minorHAnsi"/>
          <w:spacing w:val="-1"/>
        </w:rPr>
        <w:t>n</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rPr>
        <w:t>g</w:t>
      </w:r>
      <w:r w:rsidRPr="009A0DA6">
        <w:rPr>
          <w:rFonts w:ascii="Cambria" w:eastAsia="Times New Roman" w:hAnsi="Cambria" w:cstheme="minorHAnsi"/>
          <w:spacing w:val="-7"/>
        </w:rPr>
        <w:t xml:space="preserve"> </w:t>
      </w:r>
      <w:r w:rsidRPr="009A0DA6">
        <w:rPr>
          <w:rFonts w:ascii="Cambria" w:eastAsia="Times New Roman" w:hAnsi="Cambria" w:cstheme="minorHAnsi"/>
          <w:spacing w:val="1"/>
        </w:rPr>
        <w:t>fu</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rPr>
        <w:tab/>
      </w:r>
      <w:r w:rsidRPr="009A0DA6">
        <w:rPr>
          <w:rFonts w:ascii="Cambria" w:eastAsia="Times New Roman" w:hAnsi="Cambria" w:cstheme="minorHAnsi"/>
          <w:spacing w:val="1"/>
        </w:rPr>
        <w:t>20,8</w:t>
      </w:r>
      <w:r w:rsidRPr="009A0DA6">
        <w:rPr>
          <w:rFonts w:ascii="Cambria" w:eastAsia="Times New Roman" w:hAnsi="Cambria" w:cstheme="minorHAnsi"/>
          <w:spacing w:val="-1"/>
        </w:rPr>
        <w:t>2</w:t>
      </w:r>
      <w:r w:rsidRPr="009A0DA6">
        <w:rPr>
          <w:rFonts w:ascii="Cambria" w:eastAsia="Times New Roman" w:hAnsi="Cambria" w:cstheme="minorHAnsi"/>
        </w:rPr>
        <w:t>8</w:t>
      </w:r>
      <w:r w:rsidRPr="009A0DA6">
        <w:rPr>
          <w:rFonts w:ascii="Cambria" w:eastAsia="Times New Roman" w:hAnsi="Cambria" w:cstheme="minorHAnsi"/>
        </w:rPr>
        <w:tab/>
      </w:r>
      <w:r w:rsidRPr="009A0DA6">
        <w:rPr>
          <w:rFonts w:ascii="Cambria" w:eastAsia="Times New Roman" w:hAnsi="Cambria" w:cstheme="minorHAnsi"/>
          <w:spacing w:val="1"/>
        </w:rPr>
        <w:t>20,8</w:t>
      </w:r>
      <w:r w:rsidRPr="009A0DA6">
        <w:rPr>
          <w:rFonts w:ascii="Cambria" w:eastAsia="Times New Roman" w:hAnsi="Cambria" w:cstheme="minorHAnsi"/>
          <w:spacing w:val="-1"/>
        </w:rPr>
        <w:t>6</w:t>
      </w:r>
      <w:r w:rsidRPr="009A0DA6">
        <w:rPr>
          <w:rFonts w:ascii="Cambria" w:eastAsia="Times New Roman" w:hAnsi="Cambria" w:cstheme="minorHAnsi"/>
        </w:rPr>
        <w:t>0</w:t>
      </w:r>
      <w:r w:rsidRPr="009A0DA6">
        <w:rPr>
          <w:rFonts w:ascii="Cambria" w:eastAsia="Times New Roman" w:hAnsi="Cambria" w:cstheme="minorHAnsi"/>
        </w:rPr>
        <w:tab/>
        <w:t>28,694</w:t>
      </w:r>
    </w:p>
    <w:p w14:paraId="618CCCC6" w14:textId="3F6D474C"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hAnsi="Cambria" w:cstheme="minorHAnsi"/>
          <w:b/>
        </w:rPr>
      </w:pPr>
      <w:r w:rsidRPr="009A0DA6">
        <w:rPr>
          <w:rFonts w:ascii="Cambria" w:eastAsia="Times New Roman" w:hAnsi="Cambria" w:cstheme="minorHAnsi"/>
          <w:spacing w:val="-1"/>
        </w:rPr>
        <w:t>Ch</w:t>
      </w:r>
      <w:r w:rsidRPr="009A0DA6">
        <w:rPr>
          <w:rFonts w:ascii="Cambria" w:eastAsia="Times New Roman" w:hAnsi="Cambria" w:cstheme="minorHAnsi"/>
          <w:spacing w:val="2"/>
        </w:rPr>
        <w:t>i</w:t>
      </w:r>
      <w:r w:rsidRPr="009A0DA6">
        <w:rPr>
          <w:rFonts w:ascii="Cambria" w:eastAsia="Times New Roman" w:hAnsi="Cambria" w:cstheme="minorHAnsi"/>
        </w:rPr>
        <w:t>l</w:t>
      </w:r>
      <w:r w:rsidRPr="009A0DA6">
        <w:rPr>
          <w:rFonts w:ascii="Cambria" w:eastAsia="Times New Roman" w:hAnsi="Cambria" w:cstheme="minorHAnsi"/>
          <w:spacing w:val="1"/>
        </w:rPr>
        <w:t>d</w:t>
      </w:r>
      <w:r w:rsidRPr="009A0DA6">
        <w:rPr>
          <w:rFonts w:ascii="Cambria" w:eastAsia="Times New Roman" w:hAnsi="Cambria" w:cstheme="minorHAnsi"/>
        </w:rPr>
        <w:t>,</w:t>
      </w:r>
      <w:r w:rsidRPr="009A0DA6">
        <w:rPr>
          <w:rFonts w:ascii="Cambria" w:eastAsia="Times New Roman" w:hAnsi="Cambria" w:cstheme="minorHAnsi"/>
          <w:spacing w:val="-4"/>
        </w:rPr>
        <w:t xml:space="preserve"> </w:t>
      </w:r>
      <w:r w:rsidRPr="009A0DA6">
        <w:rPr>
          <w:rFonts w:ascii="Cambria" w:eastAsia="Times New Roman" w:hAnsi="Cambria" w:cstheme="minorHAnsi"/>
        </w:rPr>
        <w:t>Y</w:t>
      </w:r>
      <w:r w:rsidRPr="009A0DA6">
        <w:rPr>
          <w:rFonts w:ascii="Cambria" w:eastAsia="Times New Roman" w:hAnsi="Cambria" w:cstheme="minorHAnsi"/>
          <w:spacing w:val="1"/>
        </w:rPr>
        <w:t>o</w:t>
      </w:r>
      <w:r w:rsidRPr="009A0DA6">
        <w:rPr>
          <w:rFonts w:ascii="Cambria" w:eastAsia="Times New Roman" w:hAnsi="Cambria" w:cstheme="minorHAnsi"/>
          <w:spacing w:val="-1"/>
        </w:rPr>
        <w:t>u</w:t>
      </w:r>
      <w:r w:rsidRPr="009A0DA6">
        <w:rPr>
          <w:rFonts w:ascii="Cambria" w:eastAsia="Times New Roman" w:hAnsi="Cambria" w:cstheme="minorHAnsi"/>
        </w:rPr>
        <w:t>th</w:t>
      </w:r>
      <w:r w:rsidRPr="009A0DA6">
        <w:rPr>
          <w:rFonts w:ascii="Cambria" w:eastAsia="Times New Roman" w:hAnsi="Cambria" w:cstheme="minorHAnsi"/>
          <w:spacing w:val="-3"/>
        </w:rPr>
        <w:t xml:space="preserve"> </w:t>
      </w:r>
      <w:r w:rsidRPr="009A0DA6">
        <w:rPr>
          <w:rFonts w:ascii="Cambria" w:eastAsia="Times New Roman" w:hAnsi="Cambria" w:cstheme="minorHAnsi"/>
        </w:rPr>
        <w:t>&amp;</w:t>
      </w:r>
      <w:r w:rsidRPr="009A0DA6">
        <w:rPr>
          <w:rFonts w:ascii="Cambria" w:eastAsia="Times New Roman" w:hAnsi="Cambria" w:cstheme="minorHAnsi"/>
          <w:spacing w:val="-3"/>
        </w:rPr>
        <w:t xml:space="preserve"> </w:t>
      </w:r>
      <w:r w:rsidRPr="009A0DA6">
        <w:rPr>
          <w:rFonts w:ascii="Cambria" w:eastAsia="Times New Roman" w:hAnsi="Cambria" w:cstheme="minorHAnsi"/>
        </w:rPr>
        <w:t>F</w:t>
      </w:r>
      <w:r w:rsidRPr="009A0DA6">
        <w:rPr>
          <w:rFonts w:ascii="Cambria" w:eastAsia="Times New Roman" w:hAnsi="Cambria" w:cstheme="minorHAnsi"/>
          <w:spacing w:val="3"/>
        </w:rPr>
        <w:t>a</w:t>
      </w:r>
      <w:r w:rsidRPr="009A0DA6">
        <w:rPr>
          <w:rFonts w:ascii="Cambria" w:eastAsia="Times New Roman" w:hAnsi="Cambria" w:cstheme="minorHAnsi"/>
          <w:spacing w:val="-1"/>
        </w:rPr>
        <w:t>m</w:t>
      </w:r>
      <w:r w:rsidRPr="009A0DA6">
        <w:rPr>
          <w:rFonts w:ascii="Cambria" w:eastAsia="Times New Roman" w:hAnsi="Cambria" w:cstheme="minorHAnsi"/>
        </w:rPr>
        <w:t>i</w:t>
      </w:r>
      <w:r w:rsidRPr="009A0DA6">
        <w:rPr>
          <w:rFonts w:ascii="Cambria" w:eastAsia="Times New Roman" w:hAnsi="Cambria" w:cstheme="minorHAnsi"/>
          <w:spacing w:val="2"/>
        </w:rPr>
        <w:t>l</w:t>
      </w:r>
      <w:r w:rsidRPr="009A0DA6">
        <w:rPr>
          <w:rFonts w:ascii="Cambria" w:eastAsia="Times New Roman" w:hAnsi="Cambria" w:cstheme="minorHAnsi"/>
        </w:rPr>
        <w:t>y</w:t>
      </w:r>
      <w:r w:rsidRPr="009A0DA6">
        <w:rPr>
          <w:rFonts w:ascii="Cambria" w:eastAsia="Times New Roman" w:hAnsi="Cambria" w:cstheme="minorHAnsi"/>
          <w:spacing w:val="-7"/>
        </w:rPr>
        <w:t xml:space="preserve"> </w:t>
      </w:r>
      <w:r w:rsidRPr="009A0DA6">
        <w:rPr>
          <w:rFonts w:ascii="Cambria" w:eastAsia="Times New Roman" w:hAnsi="Cambria" w:cstheme="minorHAnsi"/>
          <w:spacing w:val="1"/>
        </w:rPr>
        <w:t>M</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rPr>
        <w:t>i</w:t>
      </w:r>
      <w:r w:rsidRPr="009A0DA6">
        <w:rPr>
          <w:rFonts w:ascii="Cambria" w:eastAsia="Times New Roman" w:hAnsi="Cambria" w:cstheme="minorHAnsi"/>
          <w:spacing w:val="-1"/>
        </w:rPr>
        <w:t>s</w:t>
      </w:r>
      <w:r w:rsidRPr="009A0DA6">
        <w:rPr>
          <w:rFonts w:ascii="Cambria" w:eastAsia="Times New Roman" w:hAnsi="Cambria" w:cstheme="minorHAnsi"/>
          <w:spacing w:val="2"/>
        </w:rPr>
        <w:t>t</w:t>
      </w:r>
      <w:r w:rsidRPr="009A0DA6">
        <w:rPr>
          <w:rFonts w:ascii="Cambria" w:eastAsia="Times New Roman" w:hAnsi="Cambria" w:cstheme="minorHAnsi"/>
          <w:spacing w:val="1"/>
        </w:rPr>
        <w:t>r</w:t>
      </w:r>
      <w:r w:rsidRPr="009A0DA6">
        <w:rPr>
          <w:rFonts w:ascii="Cambria" w:eastAsia="Times New Roman" w:hAnsi="Cambria" w:cstheme="minorHAnsi"/>
        </w:rPr>
        <w:t>y</w:t>
      </w:r>
      <w:r w:rsidRPr="009A0DA6">
        <w:rPr>
          <w:rFonts w:ascii="Cambria" w:eastAsia="Times New Roman" w:hAnsi="Cambria" w:cstheme="minorHAnsi"/>
          <w:spacing w:val="-10"/>
        </w:rPr>
        <w:t xml:space="preserve"> </w:t>
      </w:r>
      <w:r w:rsidRPr="009A0DA6">
        <w:rPr>
          <w:rFonts w:ascii="Cambria" w:eastAsia="Times New Roman" w:hAnsi="Cambria" w:cstheme="minorHAnsi"/>
          <w:spacing w:val="1"/>
        </w:rPr>
        <w:t>p</w:t>
      </w:r>
      <w:r w:rsidRPr="009A0DA6">
        <w:rPr>
          <w:rFonts w:ascii="Cambria" w:eastAsia="Times New Roman" w:hAnsi="Cambria" w:cstheme="minorHAnsi"/>
        </w:rPr>
        <w:t>e</w:t>
      </w:r>
      <w:r w:rsidRPr="009A0DA6">
        <w:rPr>
          <w:rFonts w:ascii="Cambria" w:eastAsia="Times New Roman" w:hAnsi="Cambria" w:cstheme="minorHAnsi"/>
          <w:spacing w:val="3"/>
        </w:rPr>
        <w:t>r</w:t>
      </w:r>
      <w:r w:rsidRPr="009A0DA6">
        <w:rPr>
          <w:rFonts w:ascii="Cambria" w:eastAsia="Times New Roman" w:hAnsi="Cambria" w:cstheme="minorHAnsi"/>
          <w:spacing w:val="-4"/>
        </w:rPr>
        <w:t>m</w:t>
      </w:r>
      <w:r w:rsidRPr="009A0DA6">
        <w:rPr>
          <w:rFonts w:ascii="Cambria" w:eastAsia="Times New Roman" w:hAnsi="Cambria" w:cstheme="minorHAnsi"/>
          <w:spacing w:val="3"/>
        </w:rPr>
        <w:t>a</w:t>
      </w:r>
      <w:r w:rsidRPr="009A0DA6">
        <w:rPr>
          <w:rFonts w:ascii="Cambria" w:eastAsia="Times New Roman" w:hAnsi="Cambria" w:cstheme="minorHAnsi"/>
          <w:spacing w:val="-1"/>
        </w:rPr>
        <w:t>n</w:t>
      </w:r>
      <w:r w:rsidRPr="009A0DA6">
        <w:rPr>
          <w:rFonts w:ascii="Cambria" w:eastAsia="Times New Roman" w:hAnsi="Cambria" w:cstheme="minorHAnsi"/>
          <w:spacing w:val="3"/>
        </w:rPr>
        <w:t>e</w:t>
      </w:r>
      <w:r w:rsidRPr="009A0DA6">
        <w:rPr>
          <w:rFonts w:ascii="Cambria" w:eastAsia="Times New Roman" w:hAnsi="Cambria" w:cstheme="minorHAnsi"/>
          <w:spacing w:val="-1"/>
        </w:rPr>
        <w:t>n</w:t>
      </w:r>
      <w:r w:rsidRPr="009A0DA6">
        <w:rPr>
          <w:rFonts w:ascii="Cambria" w:eastAsia="Times New Roman" w:hAnsi="Cambria" w:cstheme="minorHAnsi"/>
        </w:rPr>
        <w:t>t</w:t>
      </w:r>
      <w:r w:rsidRPr="009A0DA6">
        <w:rPr>
          <w:rFonts w:ascii="Cambria" w:eastAsia="Times New Roman" w:hAnsi="Cambria" w:cstheme="minorHAnsi"/>
          <w:spacing w:val="-5"/>
        </w:rPr>
        <w:t xml:space="preserve"> </w:t>
      </w:r>
      <w:r w:rsidRPr="009A0DA6">
        <w:rPr>
          <w:rFonts w:ascii="Cambria" w:eastAsia="Times New Roman" w:hAnsi="Cambria" w:cstheme="minorHAnsi"/>
          <w:spacing w:val="-1"/>
        </w:rPr>
        <w:t>f</w:t>
      </w:r>
      <w:r w:rsidRPr="009A0DA6">
        <w:rPr>
          <w:rFonts w:ascii="Cambria" w:eastAsia="Times New Roman" w:hAnsi="Cambria" w:cstheme="minorHAnsi"/>
          <w:spacing w:val="1"/>
        </w:rPr>
        <w:t>u</w:t>
      </w:r>
      <w:r w:rsidRPr="009A0DA6">
        <w:rPr>
          <w:rFonts w:ascii="Cambria" w:eastAsia="Times New Roman" w:hAnsi="Cambria" w:cstheme="minorHAnsi"/>
          <w:spacing w:val="-1"/>
        </w:rPr>
        <w:t>n</w:t>
      </w:r>
      <w:r w:rsidR="00351A0F">
        <w:rPr>
          <w:rFonts w:ascii="Cambria" w:eastAsia="Times New Roman" w:hAnsi="Cambria" w:cstheme="minorHAnsi"/>
        </w:rPr>
        <w:t>d</w:t>
      </w:r>
      <w:r w:rsidRPr="009A0DA6">
        <w:rPr>
          <w:rFonts w:ascii="Cambria" w:eastAsia="Times New Roman" w:hAnsi="Cambria" w:cstheme="minorHAnsi"/>
        </w:rPr>
        <w:tab/>
      </w:r>
      <w:r w:rsidRPr="009A0DA6">
        <w:rPr>
          <w:rFonts w:ascii="Cambria" w:eastAsia="Times New Roman" w:hAnsi="Cambria" w:cstheme="minorHAnsi"/>
          <w:spacing w:val="1"/>
        </w:rPr>
        <w:t>45,7</w:t>
      </w:r>
      <w:r w:rsidRPr="009A0DA6">
        <w:rPr>
          <w:rFonts w:ascii="Cambria" w:eastAsia="Times New Roman" w:hAnsi="Cambria" w:cstheme="minorHAnsi"/>
          <w:spacing w:val="-1"/>
        </w:rPr>
        <w:t>4</w:t>
      </w:r>
      <w:r w:rsidRPr="009A0DA6">
        <w:rPr>
          <w:rFonts w:ascii="Cambria" w:eastAsia="Times New Roman" w:hAnsi="Cambria" w:cstheme="minorHAnsi"/>
        </w:rPr>
        <w:t>5</w:t>
      </w:r>
      <w:r w:rsidRPr="009A0DA6">
        <w:rPr>
          <w:rFonts w:ascii="Cambria" w:eastAsia="Times New Roman" w:hAnsi="Cambria" w:cstheme="minorHAnsi"/>
        </w:rPr>
        <w:tab/>
      </w:r>
      <w:r w:rsidRPr="009A0DA6">
        <w:rPr>
          <w:rFonts w:ascii="Cambria" w:eastAsia="Times New Roman" w:hAnsi="Cambria" w:cstheme="minorHAnsi"/>
          <w:spacing w:val="1"/>
        </w:rPr>
        <w:t>45,7</w:t>
      </w:r>
      <w:r w:rsidRPr="009A0DA6">
        <w:rPr>
          <w:rFonts w:ascii="Cambria" w:eastAsia="Times New Roman" w:hAnsi="Cambria" w:cstheme="minorHAnsi"/>
          <w:spacing w:val="-1"/>
        </w:rPr>
        <w:t>4</w:t>
      </w:r>
      <w:r w:rsidRPr="009A0DA6">
        <w:rPr>
          <w:rFonts w:ascii="Cambria" w:eastAsia="Times New Roman" w:hAnsi="Cambria" w:cstheme="minorHAnsi"/>
        </w:rPr>
        <w:t>5</w:t>
      </w:r>
      <w:r w:rsidRPr="009A0DA6">
        <w:rPr>
          <w:rFonts w:ascii="Cambria" w:eastAsia="Times New Roman" w:hAnsi="Cambria" w:cstheme="minorHAnsi"/>
        </w:rPr>
        <w:tab/>
        <w:t>45,745</w:t>
      </w:r>
    </w:p>
    <w:p w14:paraId="7198A91C"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hAnsi="Cambria" w:cstheme="minorHAnsi"/>
          <w:b/>
        </w:rPr>
      </w:pPr>
      <w:r w:rsidRPr="009A0DA6">
        <w:rPr>
          <w:rFonts w:ascii="Cambria" w:eastAsia="Times New Roman" w:hAnsi="Cambria" w:cstheme="minorHAnsi"/>
          <w:spacing w:val="-1"/>
        </w:rPr>
        <w:t>C</w:t>
      </w:r>
      <w:r w:rsidRPr="009A0DA6">
        <w:rPr>
          <w:rFonts w:ascii="Cambria" w:eastAsia="Times New Roman" w:hAnsi="Cambria" w:cstheme="minorHAnsi"/>
          <w:spacing w:val="1"/>
        </w:rPr>
        <w:t>h</w:t>
      </w:r>
      <w:r w:rsidRPr="009A0DA6">
        <w:rPr>
          <w:rFonts w:ascii="Cambria" w:eastAsia="Times New Roman" w:hAnsi="Cambria" w:cstheme="minorHAnsi"/>
          <w:spacing w:val="-1"/>
        </w:rPr>
        <w:t>u</w:t>
      </w:r>
      <w:r w:rsidRPr="009A0DA6">
        <w:rPr>
          <w:rFonts w:ascii="Cambria" w:eastAsia="Times New Roman" w:hAnsi="Cambria" w:cstheme="minorHAnsi"/>
          <w:spacing w:val="1"/>
        </w:rPr>
        <w:t>r</w:t>
      </w:r>
      <w:r w:rsidRPr="009A0DA6">
        <w:rPr>
          <w:rFonts w:ascii="Cambria" w:eastAsia="Times New Roman" w:hAnsi="Cambria" w:cstheme="minorHAnsi"/>
        </w:rPr>
        <w:t>ch</w:t>
      </w:r>
      <w:r w:rsidRPr="009A0DA6">
        <w:rPr>
          <w:rFonts w:ascii="Cambria" w:eastAsia="Times New Roman" w:hAnsi="Cambria" w:cstheme="minorHAnsi"/>
          <w:spacing w:val="-7"/>
        </w:rPr>
        <w:t xml:space="preserve"> </w:t>
      </w:r>
      <w:r w:rsidRPr="009A0DA6">
        <w:rPr>
          <w:rFonts w:ascii="Cambria" w:eastAsia="Times New Roman" w:hAnsi="Cambria" w:cstheme="minorHAnsi"/>
          <w:spacing w:val="2"/>
        </w:rPr>
        <w:t>W</w:t>
      </w:r>
      <w:r w:rsidRPr="009A0DA6">
        <w:rPr>
          <w:rFonts w:ascii="Cambria" w:eastAsia="Times New Roman" w:hAnsi="Cambria" w:cstheme="minorHAnsi"/>
          <w:spacing w:val="1"/>
        </w:rPr>
        <w:t>or</w:t>
      </w:r>
      <w:r w:rsidRPr="009A0DA6">
        <w:rPr>
          <w:rFonts w:ascii="Cambria" w:eastAsia="Times New Roman" w:hAnsi="Cambria" w:cstheme="minorHAnsi"/>
          <w:spacing w:val="-1"/>
        </w:rPr>
        <w:t>k</w:t>
      </w:r>
      <w:r w:rsidRPr="009A0DA6">
        <w:rPr>
          <w:rFonts w:ascii="Cambria" w:eastAsia="Times New Roman" w:hAnsi="Cambria" w:cstheme="minorHAnsi"/>
        </w:rPr>
        <w:t>er</w:t>
      </w:r>
      <w:r w:rsidRPr="009A0DA6">
        <w:rPr>
          <w:rFonts w:ascii="Cambria" w:eastAsia="Times New Roman" w:hAnsi="Cambria" w:cstheme="minorHAnsi"/>
          <w:spacing w:val="-5"/>
        </w:rPr>
        <w:t xml:space="preserve"> </w:t>
      </w:r>
      <w:r w:rsidRPr="009A0DA6">
        <w:rPr>
          <w:rFonts w:ascii="Cambria" w:eastAsia="Times New Roman" w:hAnsi="Cambria" w:cstheme="minorHAnsi"/>
          <w:spacing w:val="2"/>
        </w:rPr>
        <w:t>S</w:t>
      </w:r>
      <w:r w:rsidRPr="009A0DA6">
        <w:rPr>
          <w:rFonts w:ascii="Cambria" w:eastAsia="Times New Roman" w:hAnsi="Cambria" w:cstheme="minorHAnsi"/>
          <w:spacing w:val="-1"/>
        </w:rPr>
        <w:t>u</w:t>
      </w:r>
      <w:r w:rsidRPr="009A0DA6">
        <w:rPr>
          <w:rFonts w:ascii="Cambria" w:eastAsia="Times New Roman" w:hAnsi="Cambria" w:cstheme="minorHAnsi"/>
          <w:spacing w:val="1"/>
        </w:rPr>
        <w:t>ppor</w:t>
      </w:r>
      <w:r w:rsidRPr="009A0DA6">
        <w:rPr>
          <w:rFonts w:ascii="Cambria" w:eastAsia="Times New Roman" w:hAnsi="Cambria" w:cstheme="minorHAnsi"/>
        </w:rPr>
        <w:t>t</w:t>
      </w:r>
      <w:r w:rsidRPr="009A0DA6">
        <w:rPr>
          <w:rFonts w:ascii="Cambria" w:eastAsia="Times New Roman" w:hAnsi="Cambria" w:cstheme="minorHAnsi"/>
          <w:spacing w:val="-6"/>
        </w:rPr>
        <w:t xml:space="preserve"> </w:t>
      </w:r>
      <w:r w:rsidRPr="009A0DA6">
        <w:rPr>
          <w:rFonts w:ascii="Cambria" w:eastAsia="Times New Roman" w:hAnsi="Cambria" w:cstheme="minorHAnsi"/>
        </w:rPr>
        <w:t>De</w:t>
      </w:r>
      <w:r w:rsidRPr="009A0DA6">
        <w:rPr>
          <w:rFonts w:ascii="Cambria" w:eastAsia="Times New Roman" w:hAnsi="Cambria" w:cstheme="minorHAnsi"/>
          <w:spacing w:val="1"/>
        </w:rPr>
        <w:t>p</w:t>
      </w:r>
      <w:r w:rsidRPr="009A0DA6">
        <w:rPr>
          <w:rFonts w:ascii="Cambria" w:eastAsia="Times New Roman" w:hAnsi="Cambria" w:cstheme="minorHAnsi"/>
          <w:spacing w:val="-2"/>
        </w:rPr>
        <w:t>a</w:t>
      </w:r>
      <w:r w:rsidRPr="009A0DA6">
        <w:rPr>
          <w:rFonts w:ascii="Cambria" w:eastAsia="Times New Roman" w:hAnsi="Cambria" w:cstheme="minorHAnsi"/>
          <w:spacing w:val="1"/>
        </w:rPr>
        <w:t>r</w:t>
      </w:r>
      <w:r w:rsidRPr="009A0DA6">
        <w:rPr>
          <w:rFonts w:ascii="Cambria" w:eastAsia="Times New Roman" w:hAnsi="Cambria" w:cstheme="minorHAnsi"/>
          <w:spacing w:val="2"/>
        </w:rPr>
        <w:t>t</w:t>
      </w:r>
      <w:r w:rsidRPr="009A0DA6">
        <w:rPr>
          <w:rFonts w:ascii="Cambria" w:eastAsia="Times New Roman" w:hAnsi="Cambria" w:cstheme="minorHAnsi"/>
          <w:spacing w:val="-4"/>
        </w:rPr>
        <w:t>m</w:t>
      </w:r>
      <w:r w:rsidRPr="009A0DA6">
        <w:rPr>
          <w:rFonts w:ascii="Cambria" w:eastAsia="Times New Roman" w:hAnsi="Cambria" w:cstheme="minorHAnsi"/>
        </w:rPr>
        <w:t>e</w:t>
      </w:r>
      <w:r w:rsidRPr="009A0DA6">
        <w:rPr>
          <w:rFonts w:ascii="Cambria" w:eastAsia="Times New Roman" w:hAnsi="Cambria" w:cstheme="minorHAnsi"/>
          <w:spacing w:val="1"/>
        </w:rPr>
        <w:t>n</w:t>
      </w:r>
      <w:r w:rsidRPr="009A0DA6">
        <w:rPr>
          <w:rFonts w:ascii="Cambria" w:eastAsia="Times New Roman" w:hAnsi="Cambria" w:cstheme="minorHAnsi"/>
        </w:rPr>
        <w:t>t</w:t>
      </w:r>
      <w:r w:rsidRPr="009A0DA6">
        <w:rPr>
          <w:rFonts w:ascii="Cambria" w:eastAsia="Times New Roman" w:hAnsi="Cambria" w:cstheme="minorHAnsi"/>
          <w:spacing w:val="-9"/>
        </w:rPr>
        <w:t xml:space="preserve"> </w:t>
      </w:r>
      <w:r w:rsidRPr="009A0DA6">
        <w:rPr>
          <w:rFonts w:ascii="Cambria" w:eastAsia="Times New Roman" w:hAnsi="Cambria" w:cstheme="minorHAnsi"/>
        </w:rPr>
        <w:t>–</w:t>
      </w:r>
      <w:r w:rsidRPr="009A0DA6">
        <w:rPr>
          <w:rFonts w:ascii="Cambria" w:eastAsia="Times New Roman" w:hAnsi="Cambria" w:cstheme="minorHAnsi"/>
          <w:spacing w:val="1"/>
        </w:rPr>
        <w:t xml:space="preserve"> </w:t>
      </w:r>
      <w:r w:rsidRPr="009A0DA6">
        <w:rPr>
          <w:rFonts w:ascii="Cambria" w:eastAsia="Times New Roman" w:hAnsi="Cambria" w:cstheme="minorHAnsi"/>
          <w:spacing w:val="3"/>
        </w:rPr>
        <w:t>T</w:t>
      </w:r>
      <w:r w:rsidRPr="009A0DA6">
        <w:rPr>
          <w:rFonts w:ascii="Cambria" w:eastAsia="Times New Roman" w:hAnsi="Cambria" w:cstheme="minorHAnsi"/>
          <w:spacing w:val="1"/>
        </w:rPr>
        <w:t>r</w:t>
      </w:r>
      <w:r w:rsidRPr="009A0DA6">
        <w:rPr>
          <w:rFonts w:ascii="Cambria" w:eastAsia="Times New Roman" w:hAnsi="Cambria" w:cstheme="minorHAnsi"/>
        </w:rPr>
        <w:t>ai</w:t>
      </w:r>
      <w:r w:rsidRPr="009A0DA6">
        <w:rPr>
          <w:rFonts w:ascii="Cambria" w:eastAsia="Times New Roman" w:hAnsi="Cambria" w:cstheme="minorHAnsi"/>
          <w:spacing w:val="-1"/>
        </w:rPr>
        <w:t>n</w:t>
      </w:r>
      <w:r w:rsidRPr="009A0DA6">
        <w:rPr>
          <w:rFonts w:ascii="Cambria" w:eastAsia="Times New Roman" w:hAnsi="Cambria" w:cstheme="minorHAnsi"/>
        </w:rPr>
        <w:t>i</w:t>
      </w:r>
      <w:r w:rsidRPr="009A0DA6">
        <w:rPr>
          <w:rFonts w:ascii="Cambria" w:eastAsia="Times New Roman" w:hAnsi="Cambria" w:cstheme="minorHAnsi"/>
          <w:spacing w:val="-1"/>
        </w:rPr>
        <w:t>n</w:t>
      </w:r>
      <w:r w:rsidRPr="009A0DA6">
        <w:rPr>
          <w:rFonts w:ascii="Cambria" w:eastAsia="Times New Roman" w:hAnsi="Cambria" w:cstheme="minorHAnsi"/>
        </w:rPr>
        <w:t>g</w:t>
      </w:r>
      <w:r w:rsidRPr="009A0DA6">
        <w:rPr>
          <w:rFonts w:ascii="Cambria" w:eastAsia="Times New Roman" w:hAnsi="Cambria" w:cstheme="minorHAnsi"/>
          <w:spacing w:val="-8"/>
        </w:rPr>
        <w:t xml:space="preserve"> </w:t>
      </w:r>
      <w:r w:rsidRPr="009A0DA6">
        <w:rPr>
          <w:rFonts w:ascii="Cambria" w:eastAsia="Times New Roman" w:hAnsi="Cambria" w:cstheme="minorHAnsi"/>
          <w:spacing w:val="-1"/>
        </w:rPr>
        <w:t>g</w:t>
      </w:r>
      <w:r w:rsidRPr="009A0DA6">
        <w:rPr>
          <w:rFonts w:ascii="Cambria" w:eastAsia="Times New Roman" w:hAnsi="Cambria" w:cstheme="minorHAnsi"/>
          <w:spacing w:val="1"/>
        </w:rPr>
        <w:t>r</w:t>
      </w:r>
      <w:r w:rsidRPr="009A0DA6">
        <w:rPr>
          <w:rFonts w:ascii="Cambria" w:eastAsia="Times New Roman" w:hAnsi="Cambria" w:cstheme="minorHAnsi"/>
          <w:spacing w:val="3"/>
        </w:rPr>
        <w:t>a</w:t>
      </w:r>
      <w:r w:rsidRPr="009A0DA6">
        <w:rPr>
          <w:rFonts w:ascii="Cambria" w:eastAsia="Times New Roman" w:hAnsi="Cambria" w:cstheme="minorHAnsi"/>
          <w:spacing w:val="-1"/>
        </w:rPr>
        <w:t>n</w:t>
      </w:r>
      <w:r w:rsidRPr="009A0DA6">
        <w:rPr>
          <w:rFonts w:ascii="Cambria" w:eastAsia="Times New Roman" w:hAnsi="Cambria" w:cstheme="minorHAnsi"/>
        </w:rPr>
        <w:t>ts</w:t>
      </w:r>
      <w:r w:rsidRPr="009A0DA6">
        <w:rPr>
          <w:rFonts w:ascii="Cambria" w:eastAsia="Times New Roman" w:hAnsi="Cambria" w:cstheme="minorHAnsi"/>
        </w:rPr>
        <w:tab/>
      </w:r>
      <w:r w:rsidRPr="009A0DA6">
        <w:rPr>
          <w:rFonts w:ascii="Cambria" w:eastAsia="Times New Roman" w:hAnsi="Cambria" w:cstheme="minorHAnsi"/>
          <w:spacing w:val="1"/>
        </w:rPr>
        <w:t>39,2</w:t>
      </w:r>
      <w:r w:rsidRPr="009A0DA6">
        <w:rPr>
          <w:rFonts w:ascii="Cambria" w:eastAsia="Times New Roman" w:hAnsi="Cambria" w:cstheme="minorHAnsi"/>
          <w:spacing w:val="-1"/>
        </w:rPr>
        <w:t>4</w:t>
      </w:r>
      <w:r w:rsidRPr="009A0DA6">
        <w:rPr>
          <w:rFonts w:ascii="Cambria" w:eastAsia="Times New Roman" w:hAnsi="Cambria" w:cstheme="minorHAnsi"/>
        </w:rPr>
        <w:t>0</w:t>
      </w:r>
      <w:r w:rsidRPr="009A0DA6">
        <w:rPr>
          <w:rFonts w:ascii="Cambria" w:eastAsia="Times New Roman" w:hAnsi="Cambria" w:cstheme="minorHAnsi"/>
        </w:rPr>
        <w:tab/>
      </w:r>
      <w:r w:rsidRPr="009A0DA6">
        <w:rPr>
          <w:rFonts w:ascii="Cambria" w:eastAsia="Times New Roman" w:hAnsi="Cambria" w:cstheme="minorHAnsi"/>
          <w:spacing w:val="1"/>
        </w:rPr>
        <w:t>39,2</w:t>
      </w:r>
      <w:r w:rsidRPr="009A0DA6">
        <w:rPr>
          <w:rFonts w:ascii="Cambria" w:eastAsia="Times New Roman" w:hAnsi="Cambria" w:cstheme="minorHAnsi"/>
          <w:spacing w:val="-1"/>
        </w:rPr>
        <w:t>4</w:t>
      </w:r>
      <w:r w:rsidRPr="009A0DA6">
        <w:rPr>
          <w:rFonts w:ascii="Cambria" w:eastAsia="Times New Roman" w:hAnsi="Cambria" w:cstheme="minorHAnsi"/>
        </w:rPr>
        <w:t>0</w:t>
      </w:r>
      <w:r w:rsidRPr="009A0DA6">
        <w:rPr>
          <w:rFonts w:ascii="Cambria" w:eastAsia="Times New Roman" w:hAnsi="Cambria" w:cstheme="minorHAnsi"/>
        </w:rPr>
        <w:tab/>
        <w:t>39240</w:t>
      </w:r>
    </w:p>
    <w:p w14:paraId="089C8791"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hAnsi="Cambria" w:cstheme="minorHAnsi"/>
          <w:b/>
        </w:rPr>
      </w:pPr>
      <w:r w:rsidRPr="009A0DA6">
        <w:rPr>
          <w:rFonts w:ascii="Cambria" w:eastAsia="Times New Roman" w:hAnsi="Cambria" w:cstheme="minorHAnsi"/>
          <w:spacing w:val="-1"/>
        </w:rPr>
        <w:t>C</w:t>
      </w:r>
      <w:r w:rsidRPr="009A0DA6">
        <w:rPr>
          <w:rFonts w:ascii="Cambria" w:eastAsia="Times New Roman" w:hAnsi="Cambria" w:cstheme="minorHAnsi"/>
          <w:spacing w:val="1"/>
        </w:rPr>
        <w:t>o</w:t>
      </w:r>
      <w:r w:rsidRPr="009A0DA6">
        <w:rPr>
          <w:rFonts w:ascii="Cambria" w:eastAsia="Times New Roman" w:hAnsi="Cambria" w:cstheme="minorHAnsi"/>
          <w:spacing w:val="-1"/>
        </w:rPr>
        <w:t>n</w:t>
      </w:r>
      <w:r w:rsidRPr="009A0DA6">
        <w:rPr>
          <w:rFonts w:ascii="Cambria" w:eastAsia="Times New Roman" w:hAnsi="Cambria" w:cstheme="minorHAnsi"/>
        </w:rPr>
        <w:t>t</w:t>
      </w:r>
      <w:r w:rsidRPr="009A0DA6">
        <w:rPr>
          <w:rFonts w:ascii="Cambria" w:eastAsia="Times New Roman" w:hAnsi="Cambria" w:cstheme="minorHAnsi"/>
          <w:spacing w:val="1"/>
        </w:rPr>
        <w:t>r</w:t>
      </w:r>
      <w:r w:rsidRPr="009A0DA6">
        <w:rPr>
          <w:rFonts w:ascii="Cambria" w:eastAsia="Times New Roman" w:hAnsi="Cambria" w:cstheme="minorHAnsi"/>
        </w:rPr>
        <w:t>i</w:t>
      </w:r>
      <w:r w:rsidRPr="009A0DA6">
        <w:rPr>
          <w:rFonts w:ascii="Cambria" w:eastAsia="Times New Roman" w:hAnsi="Cambria" w:cstheme="minorHAnsi"/>
          <w:spacing w:val="1"/>
        </w:rPr>
        <w:t>b</w:t>
      </w:r>
      <w:r w:rsidRPr="009A0DA6">
        <w:rPr>
          <w:rFonts w:ascii="Cambria" w:eastAsia="Times New Roman" w:hAnsi="Cambria" w:cstheme="minorHAnsi"/>
          <w:spacing w:val="-1"/>
        </w:rPr>
        <w:t>u</w:t>
      </w:r>
      <w:r w:rsidRPr="009A0DA6">
        <w:rPr>
          <w:rFonts w:ascii="Cambria" w:eastAsia="Times New Roman" w:hAnsi="Cambria" w:cstheme="minorHAnsi"/>
          <w:spacing w:val="2"/>
        </w:rPr>
        <w:t>t</w:t>
      </w:r>
      <w:r w:rsidRPr="009A0DA6">
        <w:rPr>
          <w:rFonts w:ascii="Cambria" w:eastAsia="Times New Roman" w:hAnsi="Cambria" w:cstheme="minorHAnsi"/>
        </w:rPr>
        <w:t>i</w:t>
      </w:r>
      <w:r w:rsidRPr="009A0DA6">
        <w:rPr>
          <w:rFonts w:ascii="Cambria" w:eastAsia="Times New Roman" w:hAnsi="Cambria" w:cstheme="minorHAnsi"/>
          <w:spacing w:val="1"/>
        </w:rPr>
        <w:t>o</w:t>
      </w:r>
      <w:r w:rsidRPr="009A0DA6">
        <w:rPr>
          <w:rFonts w:ascii="Cambria" w:eastAsia="Times New Roman" w:hAnsi="Cambria" w:cstheme="minorHAnsi"/>
        </w:rPr>
        <w:t>n</w:t>
      </w:r>
      <w:r w:rsidRPr="009A0DA6">
        <w:rPr>
          <w:rFonts w:ascii="Cambria" w:eastAsia="Times New Roman" w:hAnsi="Cambria" w:cstheme="minorHAnsi"/>
          <w:spacing w:val="-8"/>
        </w:rPr>
        <w:t xml:space="preserve"> </w:t>
      </w:r>
      <w:r w:rsidRPr="009A0DA6">
        <w:rPr>
          <w:rFonts w:ascii="Cambria" w:eastAsia="Times New Roman" w:hAnsi="Cambria" w:cstheme="minorHAnsi"/>
          <w:spacing w:val="-1"/>
        </w:rPr>
        <w:t>f</w:t>
      </w:r>
      <w:r w:rsidRPr="009A0DA6">
        <w:rPr>
          <w:rFonts w:ascii="Cambria" w:eastAsia="Times New Roman" w:hAnsi="Cambria" w:cstheme="minorHAnsi"/>
          <w:spacing w:val="1"/>
        </w:rPr>
        <w:t>o</w:t>
      </w:r>
      <w:r w:rsidRPr="009A0DA6">
        <w:rPr>
          <w:rFonts w:ascii="Cambria" w:eastAsia="Times New Roman" w:hAnsi="Cambria" w:cstheme="minorHAnsi"/>
        </w:rPr>
        <w:t>r</w:t>
      </w:r>
      <w:r w:rsidRPr="009A0DA6">
        <w:rPr>
          <w:rFonts w:ascii="Cambria" w:eastAsia="Times New Roman" w:hAnsi="Cambria" w:cstheme="minorHAnsi"/>
          <w:spacing w:val="-1"/>
        </w:rPr>
        <w:t xml:space="preserve"> </w:t>
      </w:r>
      <w:r w:rsidRPr="009A0DA6">
        <w:rPr>
          <w:rFonts w:ascii="Cambria" w:eastAsia="Times New Roman" w:hAnsi="Cambria" w:cstheme="minorHAnsi"/>
        </w:rPr>
        <w:t>le</w:t>
      </w:r>
      <w:r w:rsidRPr="009A0DA6">
        <w:rPr>
          <w:rFonts w:ascii="Cambria" w:eastAsia="Times New Roman" w:hAnsi="Cambria" w:cstheme="minorHAnsi"/>
          <w:spacing w:val="-1"/>
        </w:rPr>
        <w:t>g</w:t>
      </w:r>
      <w:r w:rsidRPr="009A0DA6">
        <w:rPr>
          <w:rFonts w:ascii="Cambria" w:eastAsia="Times New Roman" w:hAnsi="Cambria" w:cstheme="minorHAnsi"/>
        </w:rPr>
        <w:t>al</w:t>
      </w:r>
      <w:r w:rsidRPr="009A0DA6">
        <w:rPr>
          <w:rFonts w:ascii="Cambria" w:eastAsia="Times New Roman" w:hAnsi="Cambria" w:cstheme="minorHAnsi"/>
          <w:spacing w:val="-4"/>
        </w:rPr>
        <w:t xml:space="preserve"> </w:t>
      </w:r>
      <w:r w:rsidRPr="009A0DA6">
        <w:rPr>
          <w:rFonts w:ascii="Cambria" w:eastAsia="Times New Roman" w:hAnsi="Cambria" w:cstheme="minorHAnsi"/>
        </w:rPr>
        <w:t>c</w:t>
      </w:r>
      <w:r w:rsidRPr="009A0DA6">
        <w:rPr>
          <w:rFonts w:ascii="Cambria" w:eastAsia="Times New Roman" w:hAnsi="Cambria" w:cstheme="minorHAnsi"/>
          <w:spacing w:val="1"/>
        </w:rPr>
        <w:t>o</w:t>
      </w:r>
      <w:r w:rsidRPr="009A0DA6">
        <w:rPr>
          <w:rFonts w:ascii="Cambria" w:eastAsia="Times New Roman" w:hAnsi="Cambria" w:cstheme="minorHAnsi"/>
          <w:spacing w:val="-1"/>
        </w:rPr>
        <w:t>s</w:t>
      </w:r>
      <w:r w:rsidRPr="009A0DA6">
        <w:rPr>
          <w:rFonts w:ascii="Cambria" w:eastAsia="Times New Roman" w:hAnsi="Cambria" w:cstheme="minorHAnsi"/>
        </w:rPr>
        <w:t>ts</w:t>
      </w:r>
      <w:r w:rsidRPr="009A0DA6">
        <w:rPr>
          <w:rFonts w:ascii="Cambria" w:eastAsia="Times New Roman" w:hAnsi="Cambria" w:cstheme="minorHAnsi"/>
        </w:rPr>
        <w:tab/>
      </w:r>
      <w:r w:rsidRPr="009A0DA6">
        <w:rPr>
          <w:rFonts w:ascii="Cambria" w:eastAsia="Times New Roman" w:hAnsi="Cambria" w:cstheme="minorHAnsi"/>
        </w:rPr>
        <w:tab/>
      </w:r>
      <w:r w:rsidRPr="009A0DA6">
        <w:rPr>
          <w:rFonts w:ascii="Cambria" w:eastAsia="Times New Roman" w:hAnsi="Cambria" w:cstheme="minorHAnsi"/>
          <w:spacing w:val="1"/>
        </w:rPr>
        <w:t>10,0</w:t>
      </w:r>
      <w:r w:rsidRPr="009A0DA6">
        <w:rPr>
          <w:rFonts w:ascii="Cambria" w:eastAsia="Times New Roman" w:hAnsi="Cambria" w:cstheme="minorHAnsi"/>
          <w:spacing w:val="-1"/>
        </w:rPr>
        <w:t>0</w:t>
      </w:r>
      <w:r w:rsidRPr="009A0DA6">
        <w:rPr>
          <w:rFonts w:ascii="Cambria" w:eastAsia="Times New Roman" w:hAnsi="Cambria" w:cstheme="minorHAnsi"/>
        </w:rPr>
        <w:t>0</w:t>
      </w:r>
      <w:r w:rsidRPr="009A0DA6">
        <w:rPr>
          <w:rFonts w:ascii="Cambria" w:eastAsia="Times New Roman" w:hAnsi="Cambria" w:cstheme="minorHAnsi"/>
        </w:rPr>
        <w:tab/>
      </w:r>
      <w:r w:rsidRPr="009A0DA6">
        <w:rPr>
          <w:rFonts w:ascii="Cambria" w:eastAsia="Times New Roman" w:hAnsi="Cambria" w:cstheme="minorHAnsi"/>
          <w:spacing w:val="1"/>
        </w:rPr>
        <w:t>10,0</w:t>
      </w:r>
      <w:r w:rsidRPr="009A0DA6">
        <w:rPr>
          <w:rFonts w:ascii="Cambria" w:eastAsia="Times New Roman" w:hAnsi="Cambria" w:cstheme="minorHAnsi"/>
          <w:spacing w:val="-1"/>
        </w:rPr>
        <w:t>0</w:t>
      </w:r>
      <w:r w:rsidRPr="009A0DA6">
        <w:rPr>
          <w:rFonts w:ascii="Cambria" w:eastAsia="Times New Roman" w:hAnsi="Cambria" w:cstheme="minorHAnsi"/>
        </w:rPr>
        <w:t>0</w:t>
      </w:r>
      <w:r w:rsidRPr="009A0DA6">
        <w:rPr>
          <w:rFonts w:ascii="Cambria" w:eastAsia="Times New Roman" w:hAnsi="Cambria" w:cstheme="minorHAnsi"/>
        </w:rPr>
        <w:tab/>
        <w:t>10,000</w:t>
      </w:r>
    </w:p>
    <w:p w14:paraId="78098AD5"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hAnsi="Cambria" w:cstheme="minorHAnsi"/>
          <w:b/>
        </w:rPr>
      </w:pPr>
      <w:r w:rsidRPr="009A0DA6">
        <w:rPr>
          <w:rFonts w:ascii="Cambria" w:eastAsia="Times New Roman" w:hAnsi="Cambria" w:cstheme="minorHAnsi"/>
        </w:rPr>
        <w:t>Di</w:t>
      </w:r>
      <w:r w:rsidRPr="009A0DA6">
        <w:rPr>
          <w:rFonts w:ascii="Cambria" w:eastAsia="Times New Roman" w:hAnsi="Cambria" w:cstheme="minorHAnsi"/>
          <w:spacing w:val="-1"/>
        </w:rPr>
        <w:t>s</w:t>
      </w:r>
      <w:r w:rsidRPr="009A0DA6">
        <w:rPr>
          <w:rFonts w:ascii="Cambria" w:eastAsia="Times New Roman" w:hAnsi="Cambria" w:cstheme="minorHAnsi"/>
        </w:rPr>
        <w:t>a</w:t>
      </w:r>
      <w:r w:rsidRPr="009A0DA6">
        <w:rPr>
          <w:rFonts w:ascii="Cambria" w:eastAsia="Times New Roman" w:hAnsi="Cambria" w:cstheme="minorHAnsi"/>
          <w:spacing w:val="-1"/>
        </w:rPr>
        <w:t>s</w:t>
      </w:r>
      <w:r w:rsidRPr="009A0DA6">
        <w:rPr>
          <w:rFonts w:ascii="Cambria" w:eastAsia="Times New Roman" w:hAnsi="Cambria" w:cstheme="minorHAnsi"/>
        </w:rPr>
        <w:t>ter</w:t>
      </w:r>
      <w:r w:rsidRPr="009A0DA6">
        <w:rPr>
          <w:rFonts w:ascii="Cambria" w:eastAsia="Times New Roman" w:hAnsi="Cambria" w:cstheme="minorHAnsi"/>
          <w:spacing w:val="-3"/>
        </w:rPr>
        <w:t xml:space="preserve"> </w:t>
      </w:r>
      <w:r w:rsidRPr="009A0DA6">
        <w:rPr>
          <w:rFonts w:ascii="Cambria" w:eastAsia="Times New Roman" w:hAnsi="Cambria" w:cstheme="minorHAnsi"/>
          <w:spacing w:val="-2"/>
        </w:rPr>
        <w:t>w</w:t>
      </w:r>
      <w:r w:rsidRPr="009A0DA6">
        <w:rPr>
          <w:rFonts w:ascii="Cambria" w:eastAsia="Times New Roman" w:hAnsi="Cambria" w:cstheme="minorHAnsi"/>
        </w:rPr>
        <w:t>e</w:t>
      </w:r>
      <w:r w:rsidRPr="009A0DA6">
        <w:rPr>
          <w:rFonts w:ascii="Cambria" w:eastAsia="Times New Roman" w:hAnsi="Cambria" w:cstheme="minorHAnsi"/>
          <w:spacing w:val="2"/>
        </w:rPr>
        <w:t>l</w:t>
      </w:r>
      <w:r w:rsidRPr="009A0DA6">
        <w:rPr>
          <w:rFonts w:ascii="Cambria" w:eastAsia="Times New Roman" w:hAnsi="Cambria" w:cstheme="minorHAnsi"/>
          <w:spacing w:val="-1"/>
        </w:rPr>
        <w:t>f</w:t>
      </w:r>
      <w:r w:rsidRPr="009A0DA6">
        <w:rPr>
          <w:rFonts w:ascii="Cambria" w:eastAsia="Times New Roman" w:hAnsi="Cambria" w:cstheme="minorHAnsi"/>
        </w:rPr>
        <w:t>a</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5"/>
        </w:rPr>
        <w:t xml:space="preserve"> </w:t>
      </w:r>
      <w:r w:rsidRPr="009A0DA6">
        <w:rPr>
          <w:rFonts w:ascii="Cambria" w:eastAsia="Times New Roman" w:hAnsi="Cambria" w:cstheme="minorHAnsi"/>
          <w:spacing w:val="1"/>
        </w:rPr>
        <w:t>fu</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rPr>
        <w:tab/>
      </w:r>
      <w:r w:rsidRPr="009A0DA6">
        <w:rPr>
          <w:rFonts w:ascii="Cambria" w:eastAsia="Times New Roman" w:hAnsi="Cambria" w:cstheme="minorHAnsi"/>
        </w:rPr>
        <w:tab/>
      </w:r>
      <w:r w:rsidRPr="009A0DA6">
        <w:rPr>
          <w:rFonts w:ascii="Cambria" w:eastAsia="Times New Roman" w:hAnsi="Cambria" w:cstheme="minorHAnsi"/>
          <w:spacing w:val="1"/>
        </w:rPr>
        <w:t>569,</w:t>
      </w:r>
      <w:r w:rsidRPr="009A0DA6">
        <w:rPr>
          <w:rFonts w:ascii="Cambria" w:eastAsia="Times New Roman" w:hAnsi="Cambria" w:cstheme="minorHAnsi"/>
          <w:spacing w:val="-1"/>
        </w:rPr>
        <w:t>5</w:t>
      </w:r>
      <w:r w:rsidRPr="009A0DA6">
        <w:rPr>
          <w:rFonts w:ascii="Cambria" w:eastAsia="Times New Roman" w:hAnsi="Cambria" w:cstheme="minorHAnsi"/>
          <w:spacing w:val="1"/>
        </w:rPr>
        <w:t>0</w:t>
      </w:r>
      <w:r w:rsidRPr="009A0DA6">
        <w:rPr>
          <w:rFonts w:ascii="Cambria" w:eastAsia="Times New Roman" w:hAnsi="Cambria" w:cstheme="minorHAnsi"/>
        </w:rPr>
        <w:t>5</w:t>
      </w:r>
      <w:r w:rsidRPr="009A0DA6">
        <w:rPr>
          <w:rFonts w:ascii="Cambria" w:eastAsia="Times New Roman" w:hAnsi="Cambria" w:cstheme="minorHAnsi"/>
        </w:rPr>
        <w:tab/>
      </w:r>
      <w:r w:rsidRPr="009A0DA6">
        <w:rPr>
          <w:rFonts w:ascii="Cambria" w:eastAsia="Times New Roman" w:hAnsi="Cambria" w:cstheme="minorHAnsi"/>
          <w:spacing w:val="1"/>
        </w:rPr>
        <w:t>553,</w:t>
      </w:r>
      <w:r w:rsidRPr="009A0DA6">
        <w:rPr>
          <w:rFonts w:ascii="Cambria" w:eastAsia="Times New Roman" w:hAnsi="Cambria" w:cstheme="minorHAnsi"/>
          <w:spacing w:val="-1"/>
        </w:rPr>
        <w:t>9</w:t>
      </w:r>
      <w:r w:rsidRPr="009A0DA6">
        <w:rPr>
          <w:rFonts w:ascii="Cambria" w:eastAsia="Times New Roman" w:hAnsi="Cambria" w:cstheme="minorHAnsi"/>
          <w:spacing w:val="1"/>
        </w:rPr>
        <w:t>2</w:t>
      </w:r>
      <w:r w:rsidRPr="009A0DA6">
        <w:rPr>
          <w:rFonts w:ascii="Cambria" w:eastAsia="Times New Roman" w:hAnsi="Cambria" w:cstheme="minorHAnsi"/>
        </w:rPr>
        <w:t>2</w:t>
      </w:r>
      <w:r w:rsidRPr="009A0DA6">
        <w:rPr>
          <w:rFonts w:ascii="Cambria" w:eastAsia="Times New Roman" w:hAnsi="Cambria" w:cstheme="minorHAnsi"/>
        </w:rPr>
        <w:tab/>
        <w:t>601,938</w:t>
      </w:r>
    </w:p>
    <w:p w14:paraId="21200052"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hAnsi="Cambria" w:cstheme="minorHAnsi"/>
          <w:b/>
        </w:rPr>
      </w:pPr>
      <w:r w:rsidRPr="009A0DA6">
        <w:rPr>
          <w:rFonts w:ascii="Cambria" w:eastAsia="Times New Roman" w:hAnsi="Cambria" w:cstheme="minorHAnsi"/>
        </w:rPr>
        <w:t>Fi</w:t>
      </w:r>
      <w:r w:rsidRPr="009A0DA6">
        <w:rPr>
          <w:rFonts w:ascii="Cambria" w:eastAsia="Times New Roman" w:hAnsi="Cambria" w:cstheme="minorHAnsi"/>
          <w:spacing w:val="1"/>
        </w:rPr>
        <w:t>n</w:t>
      </w:r>
      <w:r w:rsidRPr="009A0DA6">
        <w:rPr>
          <w:rFonts w:ascii="Cambria" w:eastAsia="Times New Roman" w:hAnsi="Cambria" w:cstheme="minorHAnsi"/>
          <w:spacing w:val="-1"/>
        </w:rPr>
        <w:t>k</w:t>
      </w:r>
      <w:r w:rsidRPr="009A0DA6">
        <w:rPr>
          <w:rFonts w:ascii="Cambria" w:eastAsia="Times New Roman" w:hAnsi="Cambria" w:cstheme="minorHAnsi"/>
        </w:rPr>
        <w:t>e</w:t>
      </w:r>
      <w:r w:rsidRPr="009A0DA6">
        <w:rPr>
          <w:rFonts w:ascii="Cambria" w:eastAsia="Times New Roman" w:hAnsi="Cambria" w:cstheme="minorHAnsi"/>
          <w:spacing w:val="-4"/>
        </w:rPr>
        <w:t xml:space="preserve"> </w:t>
      </w:r>
      <w:r w:rsidRPr="009A0DA6">
        <w:rPr>
          <w:rFonts w:ascii="Cambria" w:eastAsia="Times New Roman" w:hAnsi="Cambria" w:cstheme="minorHAnsi"/>
          <w:spacing w:val="-1"/>
        </w:rPr>
        <w:t>R</w:t>
      </w:r>
      <w:r w:rsidRPr="009A0DA6">
        <w:rPr>
          <w:rFonts w:ascii="Cambria" w:eastAsia="Times New Roman" w:hAnsi="Cambria" w:cstheme="minorHAnsi"/>
          <w:spacing w:val="2"/>
        </w:rPr>
        <w:t>i</w:t>
      </w:r>
      <w:r w:rsidRPr="009A0DA6">
        <w:rPr>
          <w:rFonts w:ascii="Cambria" w:eastAsia="Times New Roman" w:hAnsi="Cambria" w:cstheme="minorHAnsi"/>
          <w:spacing w:val="-1"/>
        </w:rPr>
        <w:t>v</w:t>
      </w:r>
      <w:r w:rsidRPr="009A0DA6">
        <w:rPr>
          <w:rFonts w:ascii="Cambria" w:eastAsia="Times New Roman" w:hAnsi="Cambria" w:cstheme="minorHAnsi"/>
        </w:rPr>
        <w:t xml:space="preserve">er </w:t>
      </w:r>
      <w:r w:rsidRPr="009A0DA6">
        <w:rPr>
          <w:rFonts w:ascii="Cambria" w:eastAsia="Times New Roman" w:hAnsi="Cambria" w:cstheme="minorHAnsi"/>
          <w:spacing w:val="-1"/>
        </w:rPr>
        <w:t>m</w:t>
      </w:r>
      <w:r w:rsidRPr="009A0DA6">
        <w:rPr>
          <w:rFonts w:ascii="Cambria" w:eastAsia="Times New Roman" w:hAnsi="Cambria" w:cstheme="minorHAnsi"/>
        </w:rPr>
        <w:t>i</w:t>
      </w:r>
      <w:r w:rsidRPr="009A0DA6">
        <w:rPr>
          <w:rFonts w:ascii="Cambria" w:eastAsia="Times New Roman" w:hAnsi="Cambria" w:cstheme="minorHAnsi"/>
          <w:spacing w:val="2"/>
        </w:rPr>
        <w:t>s</w:t>
      </w:r>
      <w:r w:rsidRPr="009A0DA6">
        <w:rPr>
          <w:rFonts w:ascii="Cambria" w:eastAsia="Times New Roman" w:hAnsi="Cambria" w:cstheme="minorHAnsi"/>
          <w:spacing w:val="-1"/>
        </w:rPr>
        <w:t>s</w:t>
      </w:r>
      <w:r w:rsidRPr="009A0DA6">
        <w:rPr>
          <w:rFonts w:ascii="Cambria" w:eastAsia="Times New Roman" w:hAnsi="Cambria" w:cstheme="minorHAnsi"/>
        </w:rPr>
        <w:t>i</w:t>
      </w:r>
      <w:r w:rsidRPr="009A0DA6">
        <w:rPr>
          <w:rFonts w:ascii="Cambria" w:eastAsia="Times New Roman" w:hAnsi="Cambria" w:cstheme="minorHAnsi"/>
          <w:spacing w:val="1"/>
        </w:rPr>
        <w:t>o</w:t>
      </w:r>
      <w:r w:rsidRPr="009A0DA6">
        <w:rPr>
          <w:rFonts w:ascii="Cambria" w:eastAsia="Times New Roman" w:hAnsi="Cambria" w:cstheme="minorHAnsi"/>
        </w:rPr>
        <w:t>n</w:t>
      </w:r>
      <w:r w:rsidRPr="009A0DA6">
        <w:rPr>
          <w:rFonts w:ascii="Cambria" w:eastAsia="Times New Roman" w:hAnsi="Cambria" w:cstheme="minorHAnsi"/>
          <w:spacing w:val="-4"/>
        </w:rPr>
        <w:t xml:space="preserve"> </w:t>
      </w:r>
      <w:r w:rsidRPr="009A0DA6">
        <w:rPr>
          <w:rFonts w:ascii="Cambria" w:eastAsia="Times New Roman" w:hAnsi="Cambria" w:cstheme="minorHAnsi"/>
          <w:spacing w:val="-1"/>
        </w:rPr>
        <w:t>f</w:t>
      </w:r>
      <w:r w:rsidRPr="009A0DA6">
        <w:rPr>
          <w:rFonts w:ascii="Cambria" w:eastAsia="Times New Roman" w:hAnsi="Cambria" w:cstheme="minorHAnsi"/>
          <w:spacing w:val="1"/>
        </w:rPr>
        <w:t>u</w:t>
      </w:r>
      <w:r w:rsidRPr="009A0DA6">
        <w:rPr>
          <w:rFonts w:ascii="Cambria" w:eastAsia="Times New Roman" w:hAnsi="Cambria" w:cstheme="minorHAnsi"/>
          <w:spacing w:val="-1"/>
        </w:rPr>
        <w:t>n</w:t>
      </w:r>
      <w:r w:rsidRPr="009A0DA6">
        <w:rPr>
          <w:rFonts w:ascii="Cambria" w:eastAsia="Times New Roman" w:hAnsi="Cambria" w:cstheme="minorHAnsi"/>
          <w:spacing w:val="1"/>
        </w:rPr>
        <w:t>d</w:t>
      </w:r>
      <w:r w:rsidRPr="009A0DA6">
        <w:rPr>
          <w:rFonts w:ascii="Cambria" w:eastAsia="Times New Roman" w:hAnsi="Cambria" w:cstheme="minorHAnsi"/>
        </w:rPr>
        <w:t>s</w:t>
      </w:r>
      <w:r w:rsidRPr="009A0DA6">
        <w:rPr>
          <w:rFonts w:ascii="Cambria" w:eastAsia="Times New Roman" w:hAnsi="Cambria" w:cstheme="minorHAnsi"/>
          <w:spacing w:val="-4"/>
        </w:rPr>
        <w:t xml:space="preserve"> </w:t>
      </w:r>
      <w:r w:rsidRPr="009A0DA6">
        <w:rPr>
          <w:rFonts w:ascii="Cambria" w:eastAsia="Times New Roman" w:hAnsi="Cambria" w:cstheme="minorHAnsi"/>
          <w:spacing w:val="3"/>
        </w:rPr>
        <w:t>e</w:t>
      </w:r>
      <w:r w:rsidRPr="009A0DA6">
        <w:rPr>
          <w:rFonts w:ascii="Cambria" w:eastAsia="Times New Roman" w:hAnsi="Cambria" w:cstheme="minorHAnsi"/>
        </w:rPr>
        <w:t>x</w:t>
      </w:r>
      <w:r w:rsidRPr="009A0DA6">
        <w:rPr>
          <w:rFonts w:ascii="Cambria" w:eastAsia="Times New Roman" w:hAnsi="Cambria" w:cstheme="minorHAnsi"/>
          <w:spacing w:val="-3"/>
        </w:rPr>
        <w:t xml:space="preserve"> </w:t>
      </w:r>
      <w:r w:rsidRPr="009A0DA6">
        <w:rPr>
          <w:rFonts w:ascii="Cambria" w:eastAsia="Times New Roman" w:hAnsi="Cambria" w:cstheme="minorHAnsi"/>
        </w:rPr>
        <w:t>a</w:t>
      </w:r>
      <w:r w:rsidRPr="009A0DA6">
        <w:rPr>
          <w:rFonts w:ascii="Cambria" w:eastAsia="Times New Roman" w:hAnsi="Cambria" w:cstheme="minorHAnsi"/>
          <w:spacing w:val="1"/>
        </w:rPr>
        <w:t>pp</w:t>
      </w:r>
      <w:r w:rsidRPr="009A0DA6">
        <w:rPr>
          <w:rFonts w:ascii="Cambria" w:eastAsia="Times New Roman" w:hAnsi="Cambria" w:cstheme="minorHAnsi"/>
        </w:rPr>
        <w:t>eal</w:t>
      </w:r>
      <w:r w:rsidRPr="009A0DA6">
        <w:rPr>
          <w:rFonts w:ascii="Cambria" w:eastAsia="Times New Roman" w:hAnsi="Cambria" w:cstheme="minorHAnsi"/>
        </w:rPr>
        <w:tab/>
      </w:r>
      <w:r w:rsidRPr="009A0DA6">
        <w:rPr>
          <w:rFonts w:ascii="Cambria" w:eastAsia="Times New Roman" w:hAnsi="Cambria" w:cstheme="minorHAnsi"/>
        </w:rPr>
        <w:tab/>
      </w:r>
      <w:r w:rsidRPr="009A0DA6">
        <w:rPr>
          <w:rFonts w:ascii="Cambria" w:eastAsia="Times New Roman" w:hAnsi="Cambria" w:cstheme="minorHAnsi"/>
          <w:spacing w:val="1"/>
        </w:rPr>
        <w:t>91,4</w:t>
      </w:r>
      <w:r w:rsidRPr="009A0DA6">
        <w:rPr>
          <w:rFonts w:ascii="Cambria" w:eastAsia="Times New Roman" w:hAnsi="Cambria" w:cstheme="minorHAnsi"/>
          <w:spacing w:val="-1"/>
        </w:rPr>
        <w:t>8</w:t>
      </w:r>
      <w:r w:rsidRPr="009A0DA6">
        <w:rPr>
          <w:rFonts w:ascii="Cambria" w:eastAsia="Times New Roman" w:hAnsi="Cambria" w:cstheme="minorHAnsi"/>
        </w:rPr>
        <w:t>9</w:t>
      </w:r>
      <w:r w:rsidRPr="009A0DA6">
        <w:rPr>
          <w:rFonts w:ascii="Cambria" w:eastAsia="Times New Roman" w:hAnsi="Cambria" w:cstheme="minorHAnsi"/>
        </w:rPr>
        <w:tab/>
      </w:r>
      <w:r w:rsidRPr="009A0DA6">
        <w:rPr>
          <w:rFonts w:ascii="Cambria" w:eastAsia="Times New Roman" w:hAnsi="Cambria" w:cstheme="minorHAnsi"/>
          <w:spacing w:val="1"/>
        </w:rPr>
        <w:t>91,4</w:t>
      </w:r>
      <w:r w:rsidRPr="009A0DA6">
        <w:rPr>
          <w:rFonts w:ascii="Cambria" w:eastAsia="Times New Roman" w:hAnsi="Cambria" w:cstheme="minorHAnsi"/>
          <w:spacing w:val="-1"/>
        </w:rPr>
        <w:t>8</w:t>
      </w:r>
      <w:r w:rsidRPr="009A0DA6">
        <w:rPr>
          <w:rFonts w:ascii="Cambria" w:eastAsia="Times New Roman" w:hAnsi="Cambria" w:cstheme="minorHAnsi"/>
        </w:rPr>
        <w:t>9</w:t>
      </w:r>
      <w:r w:rsidRPr="009A0DA6">
        <w:rPr>
          <w:rFonts w:ascii="Cambria" w:eastAsia="Times New Roman" w:hAnsi="Cambria" w:cstheme="minorHAnsi"/>
        </w:rPr>
        <w:tab/>
        <w:t>91,489</w:t>
      </w:r>
    </w:p>
    <w:p w14:paraId="63B915D7"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hAnsi="Cambria" w:cstheme="minorHAnsi"/>
          <w:b/>
        </w:rPr>
      </w:pPr>
      <w:r w:rsidRPr="009A0DA6">
        <w:rPr>
          <w:rFonts w:ascii="Cambria" w:eastAsia="Times New Roman" w:hAnsi="Cambria" w:cstheme="minorHAnsi"/>
          <w:spacing w:val="2"/>
        </w:rPr>
        <w:t>J</w:t>
      </w:r>
      <w:r w:rsidRPr="009A0DA6">
        <w:rPr>
          <w:rFonts w:ascii="Cambria" w:eastAsia="Times New Roman" w:hAnsi="Cambria" w:cstheme="minorHAnsi"/>
          <w:spacing w:val="1"/>
        </w:rPr>
        <w:t>ord</w:t>
      </w:r>
      <w:r w:rsidRPr="009A0DA6">
        <w:rPr>
          <w:rFonts w:ascii="Cambria" w:eastAsia="Times New Roman" w:hAnsi="Cambria" w:cstheme="minorHAnsi"/>
        </w:rPr>
        <w:t>an</w:t>
      </w:r>
      <w:r w:rsidRPr="009A0DA6">
        <w:rPr>
          <w:rFonts w:ascii="Cambria" w:eastAsia="Times New Roman" w:hAnsi="Cambria" w:cstheme="minorHAnsi"/>
          <w:spacing w:val="-6"/>
        </w:rPr>
        <w:t xml:space="preserve"> </w:t>
      </w:r>
      <w:r w:rsidRPr="009A0DA6">
        <w:rPr>
          <w:rFonts w:ascii="Cambria" w:eastAsia="Times New Roman" w:hAnsi="Cambria" w:cstheme="minorHAnsi"/>
        </w:rPr>
        <w:t>Vicar</w:t>
      </w:r>
      <w:r w:rsidRPr="009A0DA6">
        <w:rPr>
          <w:rFonts w:ascii="Cambria" w:eastAsia="Times New Roman" w:hAnsi="Cambria" w:cstheme="minorHAnsi"/>
          <w:spacing w:val="-3"/>
        </w:rPr>
        <w:t xml:space="preserve"> </w:t>
      </w:r>
      <w:r w:rsidRPr="009A0DA6">
        <w:rPr>
          <w:rFonts w:ascii="Cambria" w:eastAsia="Times New Roman" w:hAnsi="Cambria" w:cstheme="minorHAnsi"/>
        </w:rPr>
        <w:t>F</w:t>
      </w:r>
      <w:r w:rsidRPr="009A0DA6">
        <w:rPr>
          <w:rFonts w:ascii="Cambria" w:eastAsia="Times New Roman" w:hAnsi="Cambria" w:cstheme="minorHAnsi"/>
          <w:spacing w:val="-1"/>
        </w:rPr>
        <w:t>un</w:t>
      </w:r>
      <w:r w:rsidRPr="009A0DA6">
        <w:rPr>
          <w:rFonts w:ascii="Cambria" w:eastAsia="Times New Roman" w:hAnsi="Cambria" w:cstheme="minorHAnsi"/>
        </w:rPr>
        <w:t>d</w:t>
      </w:r>
      <w:r w:rsidRPr="009A0DA6">
        <w:rPr>
          <w:rFonts w:ascii="Cambria" w:eastAsia="Times New Roman" w:hAnsi="Cambria" w:cstheme="minorHAnsi"/>
        </w:rPr>
        <w:tab/>
      </w:r>
      <w:r w:rsidRPr="009A0DA6">
        <w:rPr>
          <w:rFonts w:ascii="Cambria" w:eastAsia="Times New Roman" w:hAnsi="Cambria" w:cstheme="minorHAnsi"/>
        </w:rPr>
        <w:tab/>
      </w:r>
      <w:r w:rsidRPr="009A0DA6">
        <w:rPr>
          <w:rFonts w:ascii="Cambria" w:eastAsia="Times New Roman" w:hAnsi="Cambria" w:cstheme="minorHAnsi"/>
          <w:spacing w:val="1"/>
        </w:rPr>
        <w:t>3,77</w:t>
      </w:r>
      <w:r w:rsidRPr="009A0DA6">
        <w:rPr>
          <w:rFonts w:ascii="Cambria" w:eastAsia="Times New Roman" w:hAnsi="Cambria" w:cstheme="minorHAnsi"/>
        </w:rPr>
        <w:t>3</w:t>
      </w:r>
      <w:r w:rsidRPr="009A0DA6">
        <w:rPr>
          <w:rFonts w:ascii="Cambria" w:eastAsia="Times New Roman" w:hAnsi="Cambria" w:cstheme="minorHAnsi"/>
        </w:rPr>
        <w:tab/>
      </w:r>
      <w:r w:rsidRPr="009A0DA6">
        <w:rPr>
          <w:rFonts w:ascii="Cambria" w:eastAsia="Times New Roman" w:hAnsi="Cambria" w:cstheme="minorHAnsi"/>
          <w:spacing w:val="1"/>
        </w:rPr>
        <w:t>3,77</w:t>
      </w:r>
      <w:r w:rsidRPr="009A0DA6">
        <w:rPr>
          <w:rFonts w:ascii="Cambria" w:eastAsia="Times New Roman" w:hAnsi="Cambria" w:cstheme="minorHAnsi"/>
        </w:rPr>
        <w:t>3</w:t>
      </w:r>
      <w:r w:rsidRPr="009A0DA6">
        <w:rPr>
          <w:rFonts w:ascii="Cambria" w:eastAsia="Times New Roman" w:hAnsi="Cambria" w:cstheme="minorHAnsi"/>
        </w:rPr>
        <w:tab/>
        <w:t>6,032</w:t>
      </w:r>
    </w:p>
    <w:p w14:paraId="4E87C0F5"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hAnsi="Cambria" w:cstheme="minorHAnsi"/>
          <w:b/>
        </w:rPr>
      </w:pPr>
      <w:r w:rsidRPr="009A0DA6">
        <w:rPr>
          <w:rFonts w:ascii="Cambria" w:eastAsia="Times New Roman" w:hAnsi="Cambria" w:cstheme="minorHAnsi"/>
          <w:spacing w:val="1"/>
        </w:rPr>
        <w:t>L</w:t>
      </w:r>
      <w:r w:rsidRPr="009A0DA6">
        <w:rPr>
          <w:rFonts w:ascii="Cambria" w:eastAsia="Times New Roman" w:hAnsi="Cambria" w:cstheme="minorHAnsi"/>
          <w:spacing w:val="-1"/>
        </w:rPr>
        <w:t>u</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1"/>
        </w:rPr>
        <w:t>r</w:t>
      </w:r>
      <w:r w:rsidRPr="009A0DA6">
        <w:rPr>
          <w:rFonts w:ascii="Cambria" w:eastAsia="Times New Roman" w:hAnsi="Cambria" w:cstheme="minorHAnsi"/>
          <w:spacing w:val="3"/>
        </w:rPr>
        <w:t>a</w:t>
      </w:r>
      <w:r w:rsidRPr="009A0DA6">
        <w:rPr>
          <w:rFonts w:ascii="Cambria" w:eastAsia="Times New Roman" w:hAnsi="Cambria" w:cstheme="minorHAnsi"/>
        </w:rPr>
        <w:t>n</w:t>
      </w:r>
      <w:r w:rsidRPr="009A0DA6">
        <w:rPr>
          <w:rFonts w:ascii="Cambria" w:eastAsia="Times New Roman" w:hAnsi="Cambria" w:cstheme="minorHAnsi"/>
          <w:spacing w:val="-5"/>
        </w:rPr>
        <w:t xml:space="preserve"> </w:t>
      </w:r>
      <w:r w:rsidRPr="009A0DA6">
        <w:rPr>
          <w:rFonts w:ascii="Cambria" w:eastAsia="Times New Roman" w:hAnsi="Cambria" w:cstheme="minorHAnsi"/>
          <w:spacing w:val="-2"/>
        </w:rPr>
        <w:t>A</w:t>
      </w:r>
      <w:r w:rsidRPr="009A0DA6">
        <w:rPr>
          <w:rFonts w:ascii="Cambria" w:eastAsia="Times New Roman" w:hAnsi="Cambria" w:cstheme="minorHAnsi"/>
          <w:spacing w:val="1"/>
        </w:rPr>
        <w:t>r</w:t>
      </w:r>
      <w:r w:rsidRPr="009A0DA6">
        <w:rPr>
          <w:rFonts w:ascii="Cambria" w:eastAsia="Times New Roman" w:hAnsi="Cambria" w:cstheme="minorHAnsi"/>
        </w:rPr>
        <w:t>c</w:t>
      </w:r>
      <w:r w:rsidRPr="009A0DA6">
        <w:rPr>
          <w:rFonts w:ascii="Cambria" w:eastAsia="Times New Roman" w:hAnsi="Cambria" w:cstheme="minorHAnsi"/>
          <w:spacing w:val="-1"/>
        </w:rPr>
        <w:t>h</w:t>
      </w:r>
      <w:r w:rsidRPr="009A0DA6">
        <w:rPr>
          <w:rFonts w:ascii="Cambria" w:eastAsia="Times New Roman" w:hAnsi="Cambria" w:cstheme="minorHAnsi"/>
          <w:spacing w:val="2"/>
        </w:rPr>
        <w:t>i</w:t>
      </w:r>
      <w:r w:rsidRPr="009A0DA6">
        <w:rPr>
          <w:rFonts w:ascii="Cambria" w:eastAsia="Times New Roman" w:hAnsi="Cambria" w:cstheme="minorHAnsi"/>
          <w:spacing w:val="-1"/>
        </w:rPr>
        <w:t>v</w:t>
      </w:r>
      <w:r w:rsidRPr="009A0DA6">
        <w:rPr>
          <w:rFonts w:ascii="Cambria" w:eastAsia="Times New Roman" w:hAnsi="Cambria" w:cstheme="minorHAnsi"/>
        </w:rPr>
        <w:t>es</w:t>
      </w:r>
      <w:r w:rsidRPr="009A0DA6">
        <w:rPr>
          <w:rFonts w:ascii="Cambria" w:eastAsia="Times New Roman" w:hAnsi="Cambria" w:cstheme="minorHAnsi"/>
          <w:spacing w:val="-5"/>
        </w:rPr>
        <w:t xml:space="preserve"> </w:t>
      </w:r>
      <w:r w:rsidRPr="009A0DA6">
        <w:rPr>
          <w:rFonts w:ascii="Cambria" w:eastAsia="Times New Roman" w:hAnsi="Cambria" w:cstheme="minorHAnsi"/>
          <w:spacing w:val="1"/>
        </w:rPr>
        <w:t>f</w:t>
      </w:r>
      <w:r w:rsidRPr="009A0DA6">
        <w:rPr>
          <w:rFonts w:ascii="Cambria" w:eastAsia="Times New Roman" w:hAnsi="Cambria" w:cstheme="minorHAnsi"/>
          <w:spacing w:val="-1"/>
        </w:rPr>
        <w:t>un</w:t>
      </w:r>
      <w:r w:rsidRPr="009A0DA6">
        <w:rPr>
          <w:rFonts w:ascii="Cambria" w:eastAsia="Times New Roman" w:hAnsi="Cambria" w:cstheme="minorHAnsi"/>
        </w:rPr>
        <w:t>d</w:t>
      </w:r>
      <w:r w:rsidRPr="009A0DA6">
        <w:rPr>
          <w:rFonts w:ascii="Cambria" w:eastAsia="Times New Roman" w:hAnsi="Cambria" w:cstheme="minorHAnsi"/>
        </w:rPr>
        <w:tab/>
      </w:r>
      <w:r w:rsidRPr="009A0DA6">
        <w:rPr>
          <w:rFonts w:ascii="Cambria" w:eastAsia="Times New Roman" w:hAnsi="Cambria" w:cstheme="minorHAnsi"/>
        </w:rPr>
        <w:tab/>
      </w:r>
      <w:r w:rsidRPr="009A0DA6">
        <w:rPr>
          <w:rFonts w:ascii="Cambria" w:eastAsia="Times New Roman" w:hAnsi="Cambria" w:cstheme="minorHAnsi"/>
          <w:spacing w:val="1"/>
        </w:rPr>
        <w:t>268,</w:t>
      </w:r>
      <w:r w:rsidRPr="009A0DA6">
        <w:rPr>
          <w:rFonts w:ascii="Cambria" w:eastAsia="Times New Roman" w:hAnsi="Cambria" w:cstheme="minorHAnsi"/>
          <w:spacing w:val="-1"/>
        </w:rPr>
        <w:t>6</w:t>
      </w:r>
      <w:r w:rsidRPr="009A0DA6">
        <w:rPr>
          <w:rFonts w:ascii="Cambria" w:eastAsia="Times New Roman" w:hAnsi="Cambria" w:cstheme="minorHAnsi"/>
          <w:spacing w:val="1"/>
        </w:rPr>
        <w:t>8</w:t>
      </w:r>
      <w:r w:rsidRPr="009A0DA6">
        <w:rPr>
          <w:rFonts w:ascii="Cambria" w:eastAsia="Times New Roman" w:hAnsi="Cambria" w:cstheme="minorHAnsi"/>
        </w:rPr>
        <w:t>7</w:t>
      </w:r>
      <w:r w:rsidRPr="009A0DA6">
        <w:rPr>
          <w:rFonts w:ascii="Cambria" w:eastAsia="Times New Roman" w:hAnsi="Cambria" w:cstheme="minorHAnsi"/>
        </w:rPr>
        <w:tab/>
      </w:r>
      <w:r w:rsidRPr="009A0DA6">
        <w:rPr>
          <w:rFonts w:ascii="Cambria" w:eastAsia="Times New Roman" w:hAnsi="Cambria" w:cstheme="minorHAnsi"/>
          <w:spacing w:val="1"/>
        </w:rPr>
        <w:t>245,</w:t>
      </w:r>
      <w:r w:rsidRPr="009A0DA6">
        <w:rPr>
          <w:rFonts w:ascii="Cambria" w:eastAsia="Times New Roman" w:hAnsi="Cambria" w:cstheme="minorHAnsi"/>
          <w:spacing w:val="-1"/>
        </w:rPr>
        <w:t>5</w:t>
      </w:r>
      <w:r w:rsidRPr="009A0DA6">
        <w:rPr>
          <w:rFonts w:ascii="Cambria" w:eastAsia="Times New Roman" w:hAnsi="Cambria" w:cstheme="minorHAnsi"/>
          <w:spacing w:val="1"/>
        </w:rPr>
        <w:t>3</w:t>
      </w:r>
      <w:r w:rsidRPr="009A0DA6">
        <w:rPr>
          <w:rFonts w:ascii="Cambria" w:eastAsia="Times New Roman" w:hAnsi="Cambria" w:cstheme="minorHAnsi"/>
        </w:rPr>
        <w:t>8</w:t>
      </w:r>
      <w:r w:rsidRPr="009A0DA6">
        <w:rPr>
          <w:rFonts w:ascii="Cambria" w:eastAsia="Times New Roman" w:hAnsi="Cambria" w:cstheme="minorHAnsi"/>
        </w:rPr>
        <w:tab/>
        <w:t>239,055</w:t>
      </w:r>
    </w:p>
    <w:p w14:paraId="49024767"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hAnsi="Cambria" w:cstheme="minorHAnsi"/>
          <w:b/>
        </w:rPr>
      </w:pPr>
      <w:r w:rsidRPr="009A0DA6">
        <w:rPr>
          <w:rFonts w:ascii="Cambria" w:eastAsia="Times New Roman" w:hAnsi="Cambria" w:cstheme="minorHAnsi"/>
          <w:spacing w:val="1"/>
        </w:rPr>
        <w:t>L</w:t>
      </w:r>
      <w:r w:rsidRPr="009A0DA6">
        <w:rPr>
          <w:rFonts w:ascii="Cambria" w:eastAsia="Times New Roman" w:hAnsi="Cambria" w:cstheme="minorHAnsi"/>
          <w:spacing w:val="-1"/>
        </w:rPr>
        <w:t>u</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1"/>
        </w:rPr>
        <w:t>r</w:t>
      </w:r>
      <w:r w:rsidRPr="009A0DA6">
        <w:rPr>
          <w:rFonts w:ascii="Cambria" w:eastAsia="Times New Roman" w:hAnsi="Cambria" w:cstheme="minorHAnsi"/>
          <w:spacing w:val="3"/>
        </w:rPr>
        <w:t>a</w:t>
      </w:r>
      <w:r w:rsidRPr="009A0DA6">
        <w:rPr>
          <w:rFonts w:ascii="Cambria" w:eastAsia="Times New Roman" w:hAnsi="Cambria" w:cstheme="minorHAnsi"/>
        </w:rPr>
        <w:t>n</w:t>
      </w:r>
      <w:r w:rsidRPr="009A0DA6">
        <w:rPr>
          <w:rFonts w:ascii="Cambria" w:eastAsia="Times New Roman" w:hAnsi="Cambria" w:cstheme="minorHAnsi"/>
          <w:spacing w:val="-5"/>
        </w:rPr>
        <w:t xml:space="preserve"> </w:t>
      </w:r>
      <w:r w:rsidRPr="009A0DA6">
        <w:rPr>
          <w:rFonts w:ascii="Cambria" w:eastAsia="Times New Roman" w:hAnsi="Cambria" w:cstheme="minorHAnsi"/>
          <w:spacing w:val="-2"/>
        </w:rPr>
        <w:t>A</w:t>
      </w:r>
      <w:r w:rsidRPr="009A0DA6">
        <w:rPr>
          <w:rFonts w:ascii="Cambria" w:eastAsia="Times New Roman" w:hAnsi="Cambria" w:cstheme="minorHAnsi"/>
          <w:spacing w:val="1"/>
        </w:rPr>
        <w:t>r</w:t>
      </w:r>
      <w:r w:rsidRPr="009A0DA6">
        <w:rPr>
          <w:rFonts w:ascii="Cambria" w:eastAsia="Times New Roman" w:hAnsi="Cambria" w:cstheme="minorHAnsi"/>
        </w:rPr>
        <w:t>c</w:t>
      </w:r>
      <w:r w:rsidRPr="009A0DA6">
        <w:rPr>
          <w:rFonts w:ascii="Cambria" w:eastAsia="Times New Roman" w:hAnsi="Cambria" w:cstheme="minorHAnsi"/>
          <w:spacing w:val="-1"/>
        </w:rPr>
        <w:t>h</w:t>
      </w:r>
      <w:r w:rsidRPr="009A0DA6">
        <w:rPr>
          <w:rFonts w:ascii="Cambria" w:eastAsia="Times New Roman" w:hAnsi="Cambria" w:cstheme="minorHAnsi"/>
          <w:spacing w:val="2"/>
        </w:rPr>
        <w:t>i</w:t>
      </w:r>
      <w:r w:rsidRPr="009A0DA6">
        <w:rPr>
          <w:rFonts w:ascii="Cambria" w:eastAsia="Times New Roman" w:hAnsi="Cambria" w:cstheme="minorHAnsi"/>
          <w:spacing w:val="-1"/>
        </w:rPr>
        <w:t>v</w:t>
      </w:r>
      <w:r w:rsidRPr="009A0DA6">
        <w:rPr>
          <w:rFonts w:ascii="Cambria" w:eastAsia="Times New Roman" w:hAnsi="Cambria" w:cstheme="minorHAnsi"/>
        </w:rPr>
        <w:t>es</w:t>
      </w:r>
      <w:r w:rsidRPr="009A0DA6">
        <w:rPr>
          <w:rFonts w:ascii="Cambria" w:eastAsia="Times New Roman" w:hAnsi="Cambria" w:cstheme="minorHAnsi"/>
          <w:spacing w:val="-7"/>
        </w:rPr>
        <w:t xml:space="preserve"> </w:t>
      </w:r>
      <w:r w:rsidRPr="009A0DA6">
        <w:rPr>
          <w:rFonts w:ascii="Cambria" w:eastAsia="Times New Roman" w:hAnsi="Cambria" w:cstheme="minorHAnsi"/>
        </w:rPr>
        <w:t>t</w:t>
      </w:r>
      <w:r w:rsidRPr="009A0DA6">
        <w:rPr>
          <w:rFonts w:ascii="Cambria" w:eastAsia="Times New Roman" w:hAnsi="Cambria" w:cstheme="minorHAnsi"/>
          <w:spacing w:val="3"/>
        </w:rPr>
        <w:t>r</w:t>
      </w:r>
      <w:r w:rsidRPr="009A0DA6">
        <w:rPr>
          <w:rFonts w:ascii="Cambria" w:eastAsia="Times New Roman" w:hAnsi="Cambria" w:cstheme="minorHAnsi"/>
          <w:spacing w:val="-1"/>
        </w:rPr>
        <w:t>us</w:t>
      </w:r>
      <w:r w:rsidRPr="009A0DA6">
        <w:rPr>
          <w:rFonts w:ascii="Cambria" w:eastAsia="Times New Roman" w:hAnsi="Cambria" w:cstheme="minorHAnsi"/>
        </w:rPr>
        <w:t>t</w:t>
      </w:r>
      <w:r w:rsidRPr="009A0DA6">
        <w:rPr>
          <w:rFonts w:ascii="Cambria" w:eastAsia="Times New Roman" w:hAnsi="Cambria" w:cstheme="minorHAnsi"/>
          <w:spacing w:val="-4"/>
        </w:rPr>
        <w:t xml:space="preserve"> </w:t>
      </w:r>
      <w:r w:rsidRPr="009A0DA6">
        <w:rPr>
          <w:rFonts w:ascii="Cambria" w:eastAsia="Times New Roman" w:hAnsi="Cambria" w:cstheme="minorHAnsi"/>
        </w:rPr>
        <w:t>acc</w:t>
      </w:r>
      <w:r w:rsidRPr="009A0DA6">
        <w:rPr>
          <w:rFonts w:ascii="Cambria" w:eastAsia="Times New Roman" w:hAnsi="Cambria" w:cstheme="minorHAnsi"/>
          <w:spacing w:val="4"/>
        </w:rPr>
        <w:t>o</w:t>
      </w:r>
      <w:r w:rsidRPr="009A0DA6">
        <w:rPr>
          <w:rFonts w:ascii="Cambria" w:eastAsia="Times New Roman" w:hAnsi="Cambria" w:cstheme="minorHAnsi"/>
          <w:spacing w:val="1"/>
        </w:rPr>
        <w:t>u</w:t>
      </w:r>
      <w:r w:rsidRPr="009A0DA6">
        <w:rPr>
          <w:rFonts w:ascii="Cambria" w:eastAsia="Times New Roman" w:hAnsi="Cambria" w:cstheme="minorHAnsi"/>
          <w:spacing w:val="-1"/>
        </w:rPr>
        <w:t>n</w:t>
      </w:r>
      <w:r w:rsidRPr="009A0DA6">
        <w:rPr>
          <w:rFonts w:ascii="Cambria" w:eastAsia="Times New Roman" w:hAnsi="Cambria" w:cstheme="minorHAnsi"/>
        </w:rPr>
        <w:t>t</w:t>
      </w:r>
      <w:r w:rsidRPr="009A0DA6">
        <w:rPr>
          <w:rFonts w:ascii="Cambria" w:eastAsia="Times New Roman" w:hAnsi="Cambria" w:cstheme="minorHAnsi"/>
        </w:rPr>
        <w:tab/>
      </w:r>
      <w:r w:rsidRPr="009A0DA6">
        <w:rPr>
          <w:rFonts w:ascii="Cambria" w:eastAsia="Times New Roman" w:hAnsi="Cambria" w:cstheme="minorHAnsi"/>
        </w:rPr>
        <w:tab/>
      </w:r>
      <w:r w:rsidRPr="009A0DA6">
        <w:rPr>
          <w:rFonts w:ascii="Cambria" w:eastAsia="Times New Roman" w:hAnsi="Cambria" w:cstheme="minorHAnsi"/>
          <w:spacing w:val="1"/>
        </w:rPr>
        <w:t>2,32</w:t>
      </w:r>
      <w:r w:rsidRPr="009A0DA6">
        <w:rPr>
          <w:rFonts w:ascii="Cambria" w:eastAsia="Times New Roman" w:hAnsi="Cambria" w:cstheme="minorHAnsi"/>
        </w:rPr>
        <w:t>6</w:t>
      </w:r>
      <w:r w:rsidRPr="009A0DA6">
        <w:rPr>
          <w:rFonts w:ascii="Cambria" w:eastAsia="Times New Roman" w:hAnsi="Cambria" w:cstheme="minorHAnsi"/>
        </w:rPr>
        <w:tab/>
      </w:r>
      <w:r w:rsidRPr="009A0DA6">
        <w:rPr>
          <w:rFonts w:ascii="Cambria" w:eastAsia="Times New Roman" w:hAnsi="Cambria" w:cstheme="minorHAnsi"/>
          <w:spacing w:val="1"/>
        </w:rPr>
        <w:t>20</w:t>
      </w:r>
      <w:r w:rsidRPr="009A0DA6">
        <w:rPr>
          <w:rFonts w:ascii="Cambria" w:eastAsia="Times New Roman" w:hAnsi="Cambria" w:cstheme="minorHAnsi"/>
        </w:rPr>
        <w:t>9</w:t>
      </w:r>
      <w:r w:rsidRPr="009A0DA6">
        <w:rPr>
          <w:rFonts w:ascii="Cambria" w:eastAsia="Times New Roman" w:hAnsi="Cambria" w:cstheme="minorHAnsi"/>
        </w:rPr>
        <w:tab/>
        <w:t>(1,077)</w:t>
      </w:r>
    </w:p>
    <w:p w14:paraId="777A106F"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hAnsi="Cambria" w:cstheme="minorHAnsi"/>
          <w:b/>
        </w:rPr>
      </w:pPr>
      <w:r w:rsidRPr="009A0DA6">
        <w:rPr>
          <w:rFonts w:ascii="Cambria" w:eastAsia="Times New Roman" w:hAnsi="Cambria" w:cstheme="minorHAnsi"/>
          <w:spacing w:val="2"/>
        </w:rPr>
        <w:t>P</w:t>
      </w:r>
      <w:r w:rsidRPr="009A0DA6">
        <w:rPr>
          <w:rFonts w:ascii="Cambria" w:eastAsia="Times New Roman" w:hAnsi="Cambria" w:cstheme="minorHAnsi"/>
        </w:rPr>
        <w:t>a</w:t>
      </w:r>
      <w:r w:rsidRPr="009A0DA6">
        <w:rPr>
          <w:rFonts w:ascii="Cambria" w:eastAsia="Times New Roman" w:hAnsi="Cambria" w:cstheme="minorHAnsi"/>
          <w:spacing w:val="-1"/>
        </w:rPr>
        <w:t>s</w:t>
      </w:r>
      <w:r w:rsidRPr="009A0DA6">
        <w:rPr>
          <w:rFonts w:ascii="Cambria" w:eastAsia="Times New Roman" w:hAnsi="Cambria" w:cstheme="minorHAnsi"/>
        </w:rPr>
        <w:t>t</w:t>
      </w:r>
      <w:r w:rsidRPr="009A0DA6">
        <w:rPr>
          <w:rFonts w:ascii="Cambria" w:eastAsia="Times New Roman" w:hAnsi="Cambria" w:cstheme="minorHAnsi"/>
          <w:spacing w:val="1"/>
        </w:rPr>
        <w:t>or</w:t>
      </w:r>
      <w:r w:rsidRPr="009A0DA6">
        <w:rPr>
          <w:rFonts w:ascii="Cambria" w:eastAsia="Times New Roman" w:hAnsi="Cambria" w:cstheme="minorHAnsi"/>
          <w:spacing w:val="-1"/>
        </w:rPr>
        <w:t>’</w:t>
      </w:r>
      <w:r w:rsidRPr="009A0DA6">
        <w:rPr>
          <w:rFonts w:ascii="Cambria" w:eastAsia="Times New Roman" w:hAnsi="Cambria" w:cstheme="minorHAnsi"/>
        </w:rPr>
        <w:t>s</w:t>
      </w:r>
      <w:r w:rsidRPr="009A0DA6">
        <w:rPr>
          <w:rFonts w:ascii="Cambria" w:eastAsia="Times New Roman" w:hAnsi="Cambria" w:cstheme="minorHAnsi"/>
          <w:spacing w:val="-6"/>
        </w:rPr>
        <w:t xml:space="preserve"> </w:t>
      </w:r>
      <w:r w:rsidRPr="009A0DA6">
        <w:rPr>
          <w:rFonts w:ascii="Cambria" w:eastAsia="Times New Roman" w:hAnsi="Cambria" w:cstheme="minorHAnsi"/>
        </w:rPr>
        <w:t>c</w:t>
      </w:r>
      <w:r w:rsidRPr="009A0DA6">
        <w:rPr>
          <w:rFonts w:ascii="Cambria" w:eastAsia="Times New Roman" w:hAnsi="Cambria" w:cstheme="minorHAnsi"/>
          <w:spacing w:val="1"/>
        </w:rPr>
        <w:t>o</w:t>
      </w:r>
      <w:r w:rsidRPr="009A0DA6">
        <w:rPr>
          <w:rFonts w:ascii="Cambria" w:eastAsia="Times New Roman" w:hAnsi="Cambria" w:cstheme="minorHAnsi"/>
          <w:spacing w:val="-1"/>
        </w:rPr>
        <w:t>nf</w:t>
      </w:r>
      <w:r w:rsidRPr="009A0DA6">
        <w:rPr>
          <w:rFonts w:ascii="Cambria" w:eastAsia="Times New Roman" w:hAnsi="Cambria" w:cstheme="minorHAnsi"/>
        </w:rPr>
        <w:t>e</w:t>
      </w:r>
      <w:r w:rsidRPr="009A0DA6">
        <w:rPr>
          <w:rFonts w:ascii="Cambria" w:eastAsia="Times New Roman" w:hAnsi="Cambria" w:cstheme="minorHAnsi"/>
          <w:spacing w:val="1"/>
        </w:rPr>
        <w:t>r</w:t>
      </w:r>
      <w:r w:rsidRPr="009A0DA6">
        <w:rPr>
          <w:rFonts w:ascii="Cambria" w:eastAsia="Times New Roman" w:hAnsi="Cambria" w:cstheme="minorHAnsi"/>
          <w:spacing w:val="3"/>
        </w:rPr>
        <w:t>e</w:t>
      </w:r>
      <w:r w:rsidRPr="009A0DA6">
        <w:rPr>
          <w:rFonts w:ascii="Cambria" w:eastAsia="Times New Roman" w:hAnsi="Cambria" w:cstheme="minorHAnsi"/>
          <w:spacing w:val="-1"/>
        </w:rPr>
        <w:t>n</w:t>
      </w:r>
      <w:r w:rsidRPr="009A0DA6">
        <w:rPr>
          <w:rFonts w:ascii="Cambria" w:eastAsia="Times New Roman" w:hAnsi="Cambria" w:cstheme="minorHAnsi"/>
        </w:rPr>
        <w:t>ce</w:t>
      </w:r>
      <w:r w:rsidRPr="009A0DA6">
        <w:rPr>
          <w:rFonts w:ascii="Cambria" w:eastAsia="Times New Roman" w:hAnsi="Cambria" w:cstheme="minorHAnsi"/>
          <w:spacing w:val="-8"/>
        </w:rPr>
        <w:t xml:space="preserve"> </w:t>
      </w:r>
      <w:r w:rsidRPr="009A0DA6">
        <w:rPr>
          <w:rFonts w:ascii="Cambria" w:eastAsia="Times New Roman" w:hAnsi="Cambria" w:cstheme="minorHAnsi"/>
          <w:spacing w:val="1"/>
        </w:rPr>
        <w:t>pro</w:t>
      </w:r>
      <w:r w:rsidRPr="009A0DA6">
        <w:rPr>
          <w:rFonts w:ascii="Cambria" w:eastAsia="Times New Roman" w:hAnsi="Cambria" w:cstheme="minorHAnsi"/>
          <w:spacing w:val="-1"/>
        </w:rPr>
        <w:t>v</w:t>
      </w:r>
      <w:r w:rsidRPr="009A0DA6">
        <w:rPr>
          <w:rFonts w:ascii="Cambria" w:eastAsia="Times New Roman" w:hAnsi="Cambria" w:cstheme="minorHAnsi"/>
        </w:rPr>
        <w:t>i</w:t>
      </w:r>
      <w:r w:rsidRPr="009A0DA6">
        <w:rPr>
          <w:rFonts w:ascii="Cambria" w:eastAsia="Times New Roman" w:hAnsi="Cambria" w:cstheme="minorHAnsi"/>
          <w:spacing w:val="-1"/>
        </w:rPr>
        <w:t>s</w:t>
      </w:r>
      <w:r w:rsidRPr="009A0DA6">
        <w:rPr>
          <w:rFonts w:ascii="Cambria" w:eastAsia="Times New Roman" w:hAnsi="Cambria" w:cstheme="minorHAnsi"/>
        </w:rPr>
        <w:t>i</w:t>
      </w:r>
      <w:r w:rsidRPr="009A0DA6">
        <w:rPr>
          <w:rFonts w:ascii="Cambria" w:eastAsia="Times New Roman" w:hAnsi="Cambria" w:cstheme="minorHAnsi"/>
          <w:spacing w:val="4"/>
        </w:rPr>
        <w:t>o</w:t>
      </w:r>
      <w:r w:rsidRPr="009A0DA6">
        <w:rPr>
          <w:rFonts w:ascii="Cambria" w:eastAsia="Times New Roman" w:hAnsi="Cambria" w:cstheme="minorHAnsi"/>
        </w:rPr>
        <w:t>n</w:t>
      </w:r>
      <w:r w:rsidRPr="009A0DA6">
        <w:rPr>
          <w:rFonts w:ascii="Cambria" w:eastAsia="Times New Roman" w:hAnsi="Cambria" w:cstheme="minorHAnsi"/>
        </w:rPr>
        <w:tab/>
      </w:r>
      <w:r w:rsidRPr="009A0DA6">
        <w:rPr>
          <w:rFonts w:ascii="Cambria" w:eastAsia="Times New Roman" w:hAnsi="Cambria" w:cstheme="minorHAnsi"/>
        </w:rPr>
        <w:tab/>
      </w:r>
      <w:r w:rsidRPr="009A0DA6">
        <w:rPr>
          <w:rFonts w:ascii="Cambria" w:eastAsia="Times New Roman" w:hAnsi="Cambria" w:cstheme="minorHAnsi"/>
          <w:spacing w:val="1"/>
        </w:rPr>
        <w:t>52,0</w:t>
      </w:r>
      <w:r w:rsidRPr="009A0DA6">
        <w:rPr>
          <w:rFonts w:ascii="Cambria" w:eastAsia="Times New Roman" w:hAnsi="Cambria" w:cstheme="minorHAnsi"/>
          <w:spacing w:val="-1"/>
        </w:rPr>
        <w:t>0</w:t>
      </w:r>
      <w:r w:rsidRPr="009A0DA6">
        <w:rPr>
          <w:rFonts w:ascii="Cambria" w:eastAsia="Times New Roman" w:hAnsi="Cambria" w:cstheme="minorHAnsi"/>
        </w:rPr>
        <w:t>0</w:t>
      </w:r>
      <w:r w:rsidRPr="009A0DA6">
        <w:rPr>
          <w:rFonts w:ascii="Cambria" w:eastAsia="Times New Roman" w:hAnsi="Cambria" w:cstheme="minorHAnsi"/>
        </w:rPr>
        <w:tab/>
      </w:r>
      <w:r w:rsidRPr="009A0DA6">
        <w:rPr>
          <w:rFonts w:ascii="Cambria" w:eastAsia="Times New Roman" w:hAnsi="Cambria" w:cstheme="minorHAnsi"/>
          <w:spacing w:val="1"/>
        </w:rPr>
        <w:t>26,0</w:t>
      </w:r>
      <w:r w:rsidRPr="009A0DA6">
        <w:rPr>
          <w:rFonts w:ascii="Cambria" w:eastAsia="Times New Roman" w:hAnsi="Cambria" w:cstheme="minorHAnsi"/>
          <w:spacing w:val="-1"/>
        </w:rPr>
        <w:t>0</w:t>
      </w:r>
      <w:r w:rsidRPr="009A0DA6">
        <w:rPr>
          <w:rFonts w:ascii="Cambria" w:eastAsia="Times New Roman" w:hAnsi="Cambria" w:cstheme="minorHAnsi"/>
        </w:rPr>
        <w:t>0</w:t>
      </w:r>
      <w:r w:rsidRPr="009A0DA6">
        <w:rPr>
          <w:rFonts w:ascii="Cambria" w:eastAsia="Times New Roman" w:hAnsi="Cambria" w:cstheme="minorHAnsi"/>
        </w:rPr>
        <w:tab/>
        <w:t>0</w:t>
      </w:r>
    </w:p>
    <w:p w14:paraId="20D5603F"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hAnsi="Cambria" w:cstheme="minorHAnsi"/>
          <w:b/>
        </w:rPr>
      </w:pPr>
      <w:r w:rsidRPr="009A0DA6">
        <w:rPr>
          <w:rFonts w:ascii="Cambria" w:eastAsia="Times New Roman" w:hAnsi="Cambria" w:cstheme="minorHAnsi"/>
        </w:rPr>
        <w:t>Sc</w:t>
      </w:r>
      <w:r w:rsidRPr="009A0DA6">
        <w:rPr>
          <w:rFonts w:ascii="Cambria" w:eastAsia="Times New Roman" w:hAnsi="Cambria" w:cstheme="minorHAnsi"/>
          <w:spacing w:val="-1"/>
        </w:rPr>
        <w:t>h</w:t>
      </w:r>
      <w:r w:rsidRPr="009A0DA6">
        <w:rPr>
          <w:rFonts w:ascii="Cambria" w:eastAsia="Times New Roman" w:hAnsi="Cambria" w:cstheme="minorHAnsi"/>
          <w:spacing w:val="1"/>
        </w:rPr>
        <w:t>o</w:t>
      </w:r>
      <w:r w:rsidRPr="009A0DA6">
        <w:rPr>
          <w:rFonts w:ascii="Cambria" w:eastAsia="Times New Roman" w:hAnsi="Cambria" w:cstheme="minorHAnsi"/>
        </w:rPr>
        <w:t>la</w:t>
      </w:r>
      <w:r w:rsidRPr="009A0DA6">
        <w:rPr>
          <w:rFonts w:ascii="Cambria" w:eastAsia="Times New Roman" w:hAnsi="Cambria" w:cstheme="minorHAnsi"/>
          <w:spacing w:val="1"/>
        </w:rPr>
        <w:t>r</w:t>
      </w:r>
      <w:r w:rsidRPr="009A0DA6">
        <w:rPr>
          <w:rFonts w:ascii="Cambria" w:eastAsia="Times New Roman" w:hAnsi="Cambria" w:cstheme="minorHAnsi"/>
          <w:spacing w:val="2"/>
        </w:rPr>
        <w:t>s</w:t>
      </w:r>
      <w:r w:rsidRPr="009A0DA6">
        <w:rPr>
          <w:rFonts w:ascii="Cambria" w:eastAsia="Times New Roman" w:hAnsi="Cambria" w:cstheme="minorHAnsi"/>
          <w:spacing w:val="-1"/>
        </w:rPr>
        <w:t>h</w:t>
      </w:r>
      <w:r w:rsidRPr="009A0DA6">
        <w:rPr>
          <w:rFonts w:ascii="Cambria" w:eastAsia="Times New Roman" w:hAnsi="Cambria" w:cstheme="minorHAnsi"/>
        </w:rPr>
        <w:t>ip</w:t>
      </w:r>
      <w:r w:rsidRPr="009A0DA6">
        <w:rPr>
          <w:rFonts w:ascii="Cambria" w:eastAsia="Times New Roman" w:hAnsi="Cambria" w:cstheme="minorHAnsi"/>
          <w:spacing w:val="-7"/>
        </w:rPr>
        <w:t xml:space="preserve"> </w:t>
      </w:r>
      <w:r w:rsidRPr="009A0DA6">
        <w:rPr>
          <w:rFonts w:ascii="Cambria" w:eastAsia="Times New Roman" w:hAnsi="Cambria" w:cstheme="minorHAnsi"/>
          <w:spacing w:val="1"/>
        </w:rPr>
        <w:t>f</w:t>
      </w:r>
      <w:r w:rsidRPr="009A0DA6">
        <w:rPr>
          <w:rFonts w:ascii="Cambria" w:eastAsia="Times New Roman" w:hAnsi="Cambria" w:cstheme="minorHAnsi"/>
          <w:spacing w:val="-1"/>
        </w:rPr>
        <w:t>un</w:t>
      </w:r>
      <w:r w:rsidRPr="009A0DA6">
        <w:rPr>
          <w:rFonts w:ascii="Cambria" w:eastAsia="Times New Roman" w:hAnsi="Cambria" w:cstheme="minorHAnsi"/>
        </w:rPr>
        <w:t>d</w:t>
      </w:r>
      <w:r w:rsidRPr="009A0DA6">
        <w:rPr>
          <w:rFonts w:ascii="Cambria" w:eastAsia="Times New Roman" w:hAnsi="Cambria" w:cstheme="minorHAnsi"/>
        </w:rPr>
        <w:tab/>
      </w:r>
      <w:r w:rsidRPr="009A0DA6">
        <w:rPr>
          <w:rFonts w:ascii="Cambria" w:eastAsia="Times New Roman" w:hAnsi="Cambria" w:cstheme="minorHAnsi"/>
        </w:rPr>
        <w:tab/>
      </w:r>
      <w:r w:rsidRPr="009A0DA6">
        <w:rPr>
          <w:rFonts w:ascii="Cambria" w:eastAsia="Times New Roman" w:hAnsi="Cambria" w:cstheme="minorHAnsi"/>
          <w:spacing w:val="1"/>
        </w:rPr>
        <w:t>407,</w:t>
      </w:r>
      <w:r w:rsidRPr="009A0DA6">
        <w:rPr>
          <w:rFonts w:ascii="Cambria" w:eastAsia="Times New Roman" w:hAnsi="Cambria" w:cstheme="minorHAnsi"/>
          <w:spacing w:val="-1"/>
        </w:rPr>
        <w:t>3</w:t>
      </w:r>
      <w:r w:rsidRPr="009A0DA6">
        <w:rPr>
          <w:rFonts w:ascii="Cambria" w:eastAsia="Times New Roman" w:hAnsi="Cambria" w:cstheme="minorHAnsi"/>
          <w:spacing w:val="1"/>
        </w:rPr>
        <w:t>0</w:t>
      </w:r>
      <w:r w:rsidRPr="009A0DA6">
        <w:rPr>
          <w:rFonts w:ascii="Cambria" w:eastAsia="Times New Roman" w:hAnsi="Cambria" w:cstheme="minorHAnsi"/>
        </w:rPr>
        <w:t>6</w:t>
      </w:r>
      <w:r w:rsidRPr="009A0DA6">
        <w:rPr>
          <w:rFonts w:ascii="Cambria" w:eastAsia="Times New Roman" w:hAnsi="Cambria" w:cstheme="minorHAnsi"/>
        </w:rPr>
        <w:tab/>
      </w:r>
      <w:r w:rsidRPr="009A0DA6">
        <w:rPr>
          <w:rFonts w:ascii="Cambria" w:eastAsia="Times New Roman" w:hAnsi="Cambria" w:cstheme="minorHAnsi"/>
          <w:spacing w:val="1"/>
        </w:rPr>
        <w:t>277,</w:t>
      </w:r>
      <w:r w:rsidRPr="009A0DA6">
        <w:rPr>
          <w:rFonts w:ascii="Cambria" w:eastAsia="Times New Roman" w:hAnsi="Cambria" w:cstheme="minorHAnsi"/>
          <w:spacing w:val="-1"/>
        </w:rPr>
        <w:t>7</w:t>
      </w:r>
      <w:r w:rsidRPr="009A0DA6">
        <w:rPr>
          <w:rFonts w:ascii="Cambria" w:eastAsia="Times New Roman" w:hAnsi="Cambria" w:cstheme="minorHAnsi"/>
          <w:spacing w:val="1"/>
        </w:rPr>
        <w:t>1</w:t>
      </w:r>
      <w:r w:rsidRPr="009A0DA6">
        <w:rPr>
          <w:rFonts w:ascii="Cambria" w:eastAsia="Times New Roman" w:hAnsi="Cambria" w:cstheme="minorHAnsi"/>
        </w:rPr>
        <w:t>6</w:t>
      </w:r>
      <w:r w:rsidRPr="009A0DA6">
        <w:rPr>
          <w:rFonts w:ascii="Cambria" w:eastAsia="Times New Roman" w:hAnsi="Cambria" w:cstheme="minorHAnsi"/>
        </w:rPr>
        <w:tab/>
        <w:t>245,536</w:t>
      </w:r>
    </w:p>
    <w:p w14:paraId="34DA1659"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eastAsia="Times New Roman" w:hAnsi="Cambria" w:cstheme="minorHAnsi"/>
        </w:rPr>
      </w:pPr>
      <w:r w:rsidRPr="009A0DA6">
        <w:rPr>
          <w:rFonts w:ascii="Cambria" w:eastAsia="Times New Roman" w:hAnsi="Cambria" w:cstheme="minorHAnsi"/>
        </w:rPr>
        <w:t>Vica</w:t>
      </w:r>
      <w:r w:rsidRPr="009A0DA6">
        <w:rPr>
          <w:rFonts w:ascii="Cambria" w:eastAsia="Times New Roman" w:hAnsi="Cambria" w:cstheme="minorHAnsi"/>
          <w:spacing w:val="1"/>
        </w:rPr>
        <w:t>r</w:t>
      </w:r>
      <w:r w:rsidRPr="009A0DA6">
        <w:rPr>
          <w:rFonts w:ascii="Cambria" w:eastAsia="Times New Roman" w:hAnsi="Cambria" w:cstheme="minorHAnsi"/>
        </w:rPr>
        <w:t>a</w:t>
      </w:r>
      <w:r w:rsidRPr="009A0DA6">
        <w:rPr>
          <w:rFonts w:ascii="Cambria" w:eastAsia="Times New Roman" w:hAnsi="Cambria" w:cstheme="minorHAnsi"/>
          <w:spacing w:val="-1"/>
        </w:rPr>
        <w:t>g</w:t>
      </w:r>
      <w:r w:rsidRPr="009A0DA6">
        <w:rPr>
          <w:rFonts w:ascii="Cambria" w:eastAsia="Times New Roman" w:hAnsi="Cambria" w:cstheme="minorHAnsi"/>
        </w:rPr>
        <w:t>e</w:t>
      </w:r>
      <w:r w:rsidRPr="009A0DA6">
        <w:rPr>
          <w:rFonts w:ascii="Cambria" w:eastAsia="Times New Roman" w:hAnsi="Cambria" w:cstheme="minorHAnsi"/>
          <w:spacing w:val="-6"/>
        </w:rPr>
        <w:t xml:space="preserve"> </w:t>
      </w:r>
      <w:r w:rsidRPr="009A0DA6">
        <w:rPr>
          <w:rFonts w:ascii="Cambria" w:eastAsia="Times New Roman" w:hAnsi="Cambria" w:cstheme="minorHAnsi"/>
          <w:spacing w:val="1"/>
        </w:rPr>
        <w:t>p</w:t>
      </w:r>
      <w:r w:rsidRPr="009A0DA6">
        <w:rPr>
          <w:rFonts w:ascii="Cambria" w:eastAsia="Times New Roman" w:hAnsi="Cambria" w:cstheme="minorHAnsi"/>
        </w:rPr>
        <w:t>e</w:t>
      </w:r>
      <w:r w:rsidRPr="009A0DA6">
        <w:rPr>
          <w:rFonts w:ascii="Cambria" w:eastAsia="Times New Roman" w:hAnsi="Cambria" w:cstheme="minorHAnsi"/>
          <w:spacing w:val="3"/>
        </w:rPr>
        <w:t>r</w:t>
      </w:r>
      <w:r w:rsidRPr="009A0DA6">
        <w:rPr>
          <w:rFonts w:ascii="Cambria" w:eastAsia="Times New Roman" w:hAnsi="Cambria" w:cstheme="minorHAnsi"/>
          <w:spacing w:val="-4"/>
        </w:rPr>
        <w:t>m</w:t>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spacing w:val="3"/>
        </w:rPr>
        <w:t>e</w:t>
      </w:r>
      <w:r w:rsidRPr="009A0DA6">
        <w:rPr>
          <w:rFonts w:ascii="Cambria" w:eastAsia="Times New Roman" w:hAnsi="Cambria" w:cstheme="minorHAnsi"/>
          <w:spacing w:val="-1"/>
        </w:rPr>
        <w:t>n</w:t>
      </w:r>
      <w:r w:rsidRPr="009A0DA6">
        <w:rPr>
          <w:rFonts w:ascii="Cambria" w:eastAsia="Times New Roman" w:hAnsi="Cambria" w:cstheme="minorHAnsi"/>
        </w:rPr>
        <w:t>t</w:t>
      </w:r>
      <w:r w:rsidRPr="009A0DA6">
        <w:rPr>
          <w:rFonts w:ascii="Cambria" w:eastAsia="Times New Roman" w:hAnsi="Cambria" w:cstheme="minorHAnsi"/>
          <w:spacing w:val="-5"/>
        </w:rPr>
        <w:t xml:space="preserve"> </w:t>
      </w:r>
      <w:r w:rsidRPr="009A0DA6">
        <w:rPr>
          <w:rFonts w:ascii="Cambria" w:eastAsia="Times New Roman" w:hAnsi="Cambria" w:cstheme="minorHAnsi"/>
          <w:spacing w:val="1"/>
        </w:rPr>
        <w:t>f</w:t>
      </w:r>
      <w:r w:rsidRPr="009A0DA6">
        <w:rPr>
          <w:rFonts w:ascii="Cambria" w:eastAsia="Times New Roman" w:hAnsi="Cambria" w:cstheme="minorHAnsi"/>
          <w:spacing w:val="-1"/>
        </w:rPr>
        <w:t>un</w:t>
      </w:r>
      <w:r w:rsidRPr="009A0DA6">
        <w:rPr>
          <w:rFonts w:ascii="Cambria" w:eastAsia="Times New Roman" w:hAnsi="Cambria" w:cstheme="minorHAnsi"/>
        </w:rPr>
        <w:t>d</w:t>
      </w:r>
      <w:r w:rsidRPr="009A0DA6">
        <w:rPr>
          <w:rFonts w:ascii="Cambria" w:eastAsia="Times New Roman" w:hAnsi="Cambria" w:cstheme="minorHAnsi"/>
        </w:rPr>
        <w:tab/>
      </w:r>
      <w:r w:rsidRPr="009A0DA6">
        <w:rPr>
          <w:rFonts w:ascii="Cambria" w:eastAsia="Times New Roman" w:hAnsi="Cambria" w:cstheme="minorHAnsi"/>
        </w:rPr>
        <w:tab/>
      </w:r>
      <w:r w:rsidRPr="009A0DA6">
        <w:rPr>
          <w:rFonts w:ascii="Cambria" w:eastAsia="Times New Roman" w:hAnsi="Cambria" w:cstheme="minorHAnsi"/>
          <w:spacing w:val="1"/>
        </w:rPr>
        <w:t>140,</w:t>
      </w:r>
      <w:r w:rsidRPr="009A0DA6">
        <w:rPr>
          <w:rFonts w:ascii="Cambria" w:eastAsia="Times New Roman" w:hAnsi="Cambria" w:cstheme="minorHAnsi"/>
          <w:spacing w:val="-1"/>
        </w:rPr>
        <w:t>1</w:t>
      </w:r>
      <w:r w:rsidRPr="009A0DA6">
        <w:rPr>
          <w:rFonts w:ascii="Cambria" w:eastAsia="Times New Roman" w:hAnsi="Cambria" w:cstheme="minorHAnsi"/>
          <w:spacing w:val="1"/>
        </w:rPr>
        <w:t>2</w:t>
      </w:r>
      <w:r w:rsidRPr="009A0DA6">
        <w:rPr>
          <w:rFonts w:ascii="Cambria" w:eastAsia="Times New Roman" w:hAnsi="Cambria" w:cstheme="minorHAnsi"/>
        </w:rPr>
        <w:t>6</w:t>
      </w:r>
      <w:r w:rsidRPr="009A0DA6">
        <w:rPr>
          <w:rFonts w:ascii="Cambria" w:eastAsia="Times New Roman" w:hAnsi="Cambria" w:cstheme="minorHAnsi"/>
        </w:rPr>
        <w:tab/>
      </w:r>
      <w:r w:rsidRPr="009A0DA6">
        <w:rPr>
          <w:rFonts w:ascii="Cambria" w:eastAsia="Times New Roman" w:hAnsi="Cambria" w:cstheme="minorHAnsi"/>
          <w:spacing w:val="1"/>
        </w:rPr>
        <w:t>136,</w:t>
      </w:r>
      <w:r w:rsidRPr="009A0DA6">
        <w:rPr>
          <w:rFonts w:ascii="Cambria" w:eastAsia="Times New Roman" w:hAnsi="Cambria" w:cstheme="minorHAnsi"/>
          <w:spacing w:val="-1"/>
        </w:rPr>
        <w:t>4</w:t>
      </w:r>
      <w:r w:rsidRPr="009A0DA6">
        <w:rPr>
          <w:rFonts w:ascii="Cambria" w:eastAsia="Times New Roman" w:hAnsi="Cambria" w:cstheme="minorHAnsi"/>
          <w:spacing w:val="1"/>
        </w:rPr>
        <w:t>1</w:t>
      </w:r>
      <w:r w:rsidRPr="009A0DA6">
        <w:rPr>
          <w:rFonts w:ascii="Cambria" w:eastAsia="Times New Roman" w:hAnsi="Cambria" w:cstheme="minorHAnsi"/>
        </w:rPr>
        <w:t>5</w:t>
      </w:r>
      <w:r w:rsidRPr="009A0DA6">
        <w:rPr>
          <w:rFonts w:ascii="Cambria" w:eastAsia="Times New Roman" w:hAnsi="Cambria" w:cstheme="minorHAnsi"/>
        </w:rPr>
        <w:tab/>
        <w:t>132,452</w:t>
      </w:r>
    </w:p>
    <w:p w14:paraId="2D98166C"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eastAsia="Times New Roman" w:hAnsi="Cambria" w:cstheme="minorHAnsi"/>
          <w:b/>
        </w:rPr>
      </w:pPr>
      <w:r w:rsidRPr="009A0DA6">
        <w:rPr>
          <w:rFonts w:ascii="Cambria" w:hAnsi="Cambria" w:cstheme="minorHAnsi"/>
          <w:b/>
        </w:rPr>
        <w:t>TOTAL SPECIFIC FUNDS HELD</w:t>
      </w:r>
      <w:r w:rsidRPr="009A0DA6">
        <w:rPr>
          <w:rFonts w:ascii="Cambria" w:hAnsi="Cambria" w:cstheme="minorHAnsi"/>
          <w:b/>
        </w:rPr>
        <w:tab/>
      </w:r>
      <w:r w:rsidRPr="009A0DA6">
        <w:rPr>
          <w:rFonts w:ascii="Cambria" w:hAnsi="Cambria" w:cstheme="minorHAnsi"/>
          <w:b/>
        </w:rPr>
        <w:tab/>
        <w:t>$</w:t>
      </w:r>
      <w:r w:rsidRPr="009A0DA6">
        <w:rPr>
          <w:rFonts w:ascii="Cambria" w:eastAsia="Times New Roman" w:hAnsi="Cambria" w:cstheme="minorHAnsi"/>
          <w:b/>
          <w:spacing w:val="1"/>
        </w:rPr>
        <w:t>1,69</w:t>
      </w:r>
      <w:r w:rsidRPr="009A0DA6">
        <w:rPr>
          <w:rFonts w:ascii="Cambria" w:eastAsia="Times New Roman" w:hAnsi="Cambria" w:cstheme="minorHAnsi"/>
          <w:b/>
          <w:spacing w:val="-1"/>
        </w:rPr>
        <w:t>8</w:t>
      </w:r>
      <w:r w:rsidRPr="009A0DA6">
        <w:rPr>
          <w:rFonts w:ascii="Cambria" w:eastAsia="Times New Roman" w:hAnsi="Cambria" w:cstheme="minorHAnsi"/>
          <w:b/>
          <w:spacing w:val="1"/>
        </w:rPr>
        <w:t>,1</w:t>
      </w:r>
      <w:r w:rsidRPr="009A0DA6">
        <w:rPr>
          <w:rFonts w:ascii="Cambria" w:eastAsia="Times New Roman" w:hAnsi="Cambria" w:cstheme="minorHAnsi"/>
          <w:b/>
          <w:spacing w:val="-1"/>
        </w:rPr>
        <w:t>7</w:t>
      </w:r>
      <w:r w:rsidRPr="009A0DA6">
        <w:rPr>
          <w:rFonts w:ascii="Cambria" w:eastAsia="Times New Roman" w:hAnsi="Cambria" w:cstheme="minorHAnsi"/>
          <w:b/>
        </w:rPr>
        <w:t>5</w:t>
      </w:r>
      <w:r w:rsidRPr="009A0DA6">
        <w:rPr>
          <w:rFonts w:ascii="Cambria" w:eastAsia="Times New Roman" w:hAnsi="Cambria" w:cstheme="minorHAnsi"/>
          <w:b/>
        </w:rPr>
        <w:tab/>
        <w:t>$</w:t>
      </w:r>
      <w:r w:rsidRPr="009A0DA6">
        <w:rPr>
          <w:rFonts w:ascii="Cambria" w:eastAsia="Times New Roman" w:hAnsi="Cambria" w:cstheme="minorHAnsi"/>
          <w:b/>
          <w:spacing w:val="1"/>
        </w:rPr>
        <w:t>1,46</w:t>
      </w:r>
      <w:r w:rsidRPr="009A0DA6">
        <w:rPr>
          <w:rFonts w:ascii="Cambria" w:eastAsia="Times New Roman" w:hAnsi="Cambria" w:cstheme="minorHAnsi"/>
          <w:b/>
          <w:spacing w:val="-1"/>
        </w:rPr>
        <w:t>1</w:t>
      </w:r>
      <w:r w:rsidRPr="009A0DA6">
        <w:rPr>
          <w:rFonts w:ascii="Cambria" w:eastAsia="Times New Roman" w:hAnsi="Cambria" w:cstheme="minorHAnsi"/>
          <w:b/>
          <w:spacing w:val="1"/>
        </w:rPr>
        <w:t>,5</w:t>
      </w:r>
      <w:r w:rsidRPr="009A0DA6">
        <w:rPr>
          <w:rFonts w:ascii="Cambria" w:eastAsia="Times New Roman" w:hAnsi="Cambria" w:cstheme="minorHAnsi"/>
          <w:b/>
          <w:spacing w:val="-1"/>
        </w:rPr>
        <w:t>4</w:t>
      </w:r>
      <w:r w:rsidRPr="009A0DA6">
        <w:rPr>
          <w:rFonts w:ascii="Cambria" w:eastAsia="Times New Roman" w:hAnsi="Cambria" w:cstheme="minorHAnsi"/>
          <w:b/>
        </w:rPr>
        <w:t>2</w:t>
      </w:r>
      <w:r w:rsidRPr="009A0DA6">
        <w:rPr>
          <w:rFonts w:ascii="Cambria" w:eastAsia="Times New Roman" w:hAnsi="Cambria" w:cstheme="minorHAnsi"/>
          <w:b/>
        </w:rPr>
        <w:tab/>
        <w:t>$1,589,694</w:t>
      </w:r>
    </w:p>
    <w:p w14:paraId="3EA0E8A7"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eastAsia="Times New Roman" w:hAnsi="Cambria" w:cstheme="minorHAnsi"/>
        </w:rPr>
      </w:pPr>
    </w:p>
    <w:p w14:paraId="4DED6191" w14:textId="77777777" w:rsidR="00206BF6" w:rsidRDefault="00206BF6">
      <w:pPr>
        <w:rPr>
          <w:rFonts w:ascii="Cambria" w:eastAsia="Times New Roman" w:hAnsi="Cambria" w:cstheme="minorHAnsi"/>
          <w:b/>
        </w:rPr>
      </w:pPr>
      <w:r>
        <w:rPr>
          <w:rFonts w:ascii="Cambria" w:eastAsia="Times New Roman" w:hAnsi="Cambria" w:cstheme="minorHAnsi"/>
          <w:b/>
        </w:rPr>
        <w:br w:type="page"/>
      </w:r>
    </w:p>
    <w:p w14:paraId="3E0A2A15" w14:textId="6A8D6876"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eastAsia="Times New Roman" w:hAnsi="Cambria" w:cstheme="minorHAnsi"/>
          <w:b/>
        </w:rPr>
      </w:pPr>
      <w:r w:rsidRPr="009A0DA6">
        <w:rPr>
          <w:rFonts w:ascii="Cambria" w:eastAsia="Times New Roman" w:hAnsi="Cambria" w:cstheme="minorHAnsi"/>
          <w:b/>
        </w:rPr>
        <w:lastRenderedPageBreak/>
        <w:t>Note 9</w:t>
      </w:r>
      <w:r w:rsidR="00351A0F">
        <w:rPr>
          <w:rFonts w:ascii="Cambria" w:eastAsia="Times New Roman" w:hAnsi="Cambria" w:cstheme="minorHAnsi"/>
          <w:b/>
        </w:rPr>
        <w:t>:</w:t>
      </w:r>
      <w:r w:rsidRPr="009A0DA6">
        <w:rPr>
          <w:rFonts w:ascii="Cambria" w:eastAsia="Times New Roman" w:hAnsi="Cambria" w:cstheme="minorHAnsi"/>
          <w:b/>
        </w:rPr>
        <w:t xml:space="preserve"> Provisions</w:t>
      </w:r>
    </w:p>
    <w:p w14:paraId="26FD322F"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eastAsia="Times New Roman" w:hAnsi="Cambria" w:cstheme="minorHAnsi"/>
        </w:rPr>
      </w:pP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spacing w:val="-1"/>
        </w:rPr>
        <w:t>nu</w:t>
      </w:r>
      <w:r w:rsidRPr="009A0DA6">
        <w:rPr>
          <w:rFonts w:ascii="Cambria" w:eastAsia="Times New Roman" w:hAnsi="Cambria" w:cstheme="minorHAnsi"/>
        </w:rPr>
        <w:t>al</w:t>
      </w:r>
      <w:r w:rsidRPr="009A0DA6">
        <w:rPr>
          <w:rFonts w:ascii="Cambria" w:eastAsia="Times New Roman" w:hAnsi="Cambria" w:cstheme="minorHAnsi"/>
          <w:spacing w:val="-6"/>
        </w:rPr>
        <w:t xml:space="preserve"> </w:t>
      </w:r>
      <w:r w:rsidRPr="009A0DA6">
        <w:rPr>
          <w:rFonts w:ascii="Cambria" w:eastAsia="Times New Roman" w:hAnsi="Cambria" w:cstheme="minorHAnsi"/>
        </w:rPr>
        <w:t>le</w:t>
      </w:r>
      <w:r w:rsidRPr="009A0DA6">
        <w:rPr>
          <w:rFonts w:ascii="Cambria" w:eastAsia="Times New Roman" w:hAnsi="Cambria" w:cstheme="minorHAnsi"/>
          <w:spacing w:val="3"/>
        </w:rPr>
        <w:t>a</w:t>
      </w:r>
      <w:r w:rsidRPr="009A0DA6">
        <w:rPr>
          <w:rFonts w:ascii="Cambria" w:eastAsia="Times New Roman" w:hAnsi="Cambria" w:cstheme="minorHAnsi"/>
          <w:spacing w:val="-1"/>
        </w:rPr>
        <w:t>v</w:t>
      </w:r>
      <w:r w:rsidRPr="009A0DA6">
        <w:rPr>
          <w:rFonts w:ascii="Cambria" w:eastAsia="Times New Roman" w:hAnsi="Cambria" w:cstheme="minorHAnsi"/>
        </w:rPr>
        <w:t>e</w:t>
      </w:r>
      <w:r w:rsidRPr="009A0DA6">
        <w:rPr>
          <w:rFonts w:ascii="Cambria" w:eastAsia="Times New Roman" w:hAnsi="Cambria" w:cstheme="minorHAnsi"/>
          <w:spacing w:val="-3"/>
        </w:rPr>
        <w:t xml:space="preserve"> </w:t>
      </w:r>
      <w:r w:rsidRPr="009A0DA6">
        <w:rPr>
          <w:rFonts w:ascii="Cambria" w:eastAsia="Times New Roman" w:hAnsi="Cambria" w:cstheme="minorHAnsi"/>
          <w:spacing w:val="1"/>
        </w:rPr>
        <w:t>pro</w:t>
      </w:r>
      <w:r w:rsidRPr="009A0DA6">
        <w:rPr>
          <w:rFonts w:ascii="Cambria" w:eastAsia="Times New Roman" w:hAnsi="Cambria" w:cstheme="minorHAnsi"/>
          <w:spacing w:val="-1"/>
        </w:rPr>
        <w:t>v</w:t>
      </w:r>
      <w:r w:rsidRPr="009A0DA6">
        <w:rPr>
          <w:rFonts w:ascii="Cambria" w:eastAsia="Times New Roman" w:hAnsi="Cambria" w:cstheme="minorHAnsi"/>
        </w:rPr>
        <w:t>i</w:t>
      </w:r>
      <w:r w:rsidRPr="009A0DA6">
        <w:rPr>
          <w:rFonts w:ascii="Cambria" w:eastAsia="Times New Roman" w:hAnsi="Cambria" w:cstheme="minorHAnsi"/>
          <w:spacing w:val="-1"/>
        </w:rPr>
        <w:t>s</w:t>
      </w:r>
      <w:r w:rsidRPr="009A0DA6">
        <w:rPr>
          <w:rFonts w:ascii="Cambria" w:eastAsia="Times New Roman" w:hAnsi="Cambria" w:cstheme="minorHAnsi"/>
        </w:rPr>
        <w:t>i</w:t>
      </w:r>
      <w:r w:rsidRPr="009A0DA6">
        <w:rPr>
          <w:rFonts w:ascii="Cambria" w:eastAsia="Times New Roman" w:hAnsi="Cambria" w:cstheme="minorHAnsi"/>
          <w:spacing w:val="4"/>
        </w:rPr>
        <w:t>o</w:t>
      </w:r>
      <w:r w:rsidRPr="009A0DA6">
        <w:rPr>
          <w:rFonts w:ascii="Cambria" w:eastAsia="Times New Roman" w:hAnsi="Cambria" w:cstheme="minorHAnsi"/>
        </w:rPr>
        <w:t>n</w:t>
      </w:r>
      <w:r w:rsidRPr="009A0DA6">
        <w:rPr>
          <w:rFonts w:ascii="Cambria" w:eastAsia="Times New Roman" w:hAnsi="Cambria" w:cstheme="minorHAnsi"/>
        </w:rPr>
        <w:tab/>
      </w:r>
      <w:r w:rsidRPr="009A0DA6">
        <w:rPr>
          <w:rFonts w:ascii="Cambria" w:eastAsia="Times New Roman" w:hAnsi="Cambria" w:cstheme="minorHAnsi"/>
        </w:rPr>
        <w:tab/>
      </w:r>
      <w:r w:rsidRPr="009A0DA6">
        <w:rPr>
          <w:rFonts w:ascii="Cambria" w:eastAsia="Times New Roman" w:hAnsi="Cambria" w:cstheme="minorHAnsi"/>
          <w:spacing w:val="1"/>
        </w:rPr>
        <w:t>302,</w:t>
      </w:r>
      <w:r w:rsidRPr="009A0DA6">
        <w:rPr>
          <w:rFonts w:ascii="Cambria" w:eastAsia="Times New Roman" w:hAnsi="Cambria" w:cstheme="minorHAnsi"/>
          <w:spacing w:val="-1"/>
        </w:rPr>
        <w:t>5</w:t>
      </w:r>
      <w:r w:rsidRPr="009A0DA6">
        <w:rPr>
          <w:rFonts w:ascii="Cambria" w:eastAsia="Times New Roman" w:hAnsi="Cambria" w:cstheme="minorHAnsi"/>
          <w:spacing w:val="1"/>
        </w:rPr>
        <w:t>8</w:t>
      </w:r>
      <w:r w:rsidRPr="009A0DA6">
        <w:rPr>
          <w:rFonts w:ascii="Cambria" w:eastAsia="Times New Roman" w:hAnsi="Cambria" w:cstheme="minorHAnsi"/>
        </w:rPr>
        <w:t>3</w:t>
      </w:r>
      <w:r w:rsidRPr="009A0DA6">
        <w:rPr>
          <w:rFonts w:ascii="Cambria" w:eastAsia="Times New Roman" w:hAnsi="Cambria" w:cstheme="minorHAnsi"/>
        </w:rPr>
        <w:tab/>
      </w:r>
      <w:r w:rsidRPr="009A0DA6">
        <w:rPr>
          <w:rFonts w:ascii="Cambria" w:eastAsia="Times New Roman" w:hAnsi="Cambria" w:cstheme="minorHAnsi"/>
          <w:spacing w:val="1"/>
        </w:rPr>
        <w:t>264,</w:t>
      </w:r>
      <w:r w:rsidRPr="009A0DA6">
        <w:rPr>
          <w:rFonts w:ascii="Cambria" w:eastAsia="Times New Roman" w:hAnsi="Cambria" w:cstheme="minorHAnsi"/>
          <w:spacing w:val="-1"/>
        </w:rPr>
        <w:t>8</w:t>
      </w:r>
      <w:r w:rsidRPr="009A0DA6">
        <w:rPr>
          <w:rFonts w:ascii="Cambria" w:eastAsia="Times New Roman" w:hAnsi="Cambria" w:cstheme="minorHAnsi"/>
          <w:spacing w:val="1"/>
        </w:rPr>
        <w:t>5</w:t>
      </w:r>
      <w:r w:rsidRPr="009A0DA6">
        <w:rPr>
          <w:rFonts w:ascii="Cambria" w:eastAsia="Times New Roman" w:hAnsi="Cambria" w:cstheme="minorHAnsi"/>
        </w:rPr>
        <w:t>6</w:t>
      </w:r>
      <w:r w:rsidRPr="009A0DA6">
        <w:rPr>
          <w:rFonts w:ascii="Cambria" w:eastAsia="Times New Roman" w:hAnsi="Cambria" w:cstheme="minorHAnsi"/>
        </w:rPr>
        <w:tab/>
        <w:t>225,897</w:t>
      </w:r>
    </w:p>
    <w:p w14:paraId="5A7B04A6"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eastAsia="Times New Roman" w:hAnsi="Cambria" w:cstheme="minorHAnsi"/>
        </w:rPr>
      </w:pPr>
      <w:r w:rsidRPr="009A0DA6">
        <w:rPr>
          <w:rFonts w:ascii="Cambria" w:eastAsia="Times New Roman" w:hAnsi="Cambria" w:cstheme="minorHAnsi"/>
          <w:spacing w:val="-2"/>
        </w:rPr>
        <w:t>L</w:t>
      </w:r>
      <w:r w:rsidRPr="009A0DA6">
        <w:rPr>
          <w:rFonts w:ascii="Cambria" w:eastAsia="Times New Roman" w:hAnsi="Cambria" w:cstheme="minorHAnsi"/>
          <w:spacing w:val="1"/>
        </w:rPr>
        <w:t>on</w:t>
      </w:r>
      <w:r w:rsidRPr="009A0DA6">
        <w:rPr>
          <w:rFonts w:ascii="Cambria" w:eastAsia="Times New Roman" w:hAnsi="Cambria" w:cstheme="minorHAnsi"/>
        </w:rPr>
        <w:t>g</w:t>
      </w:r>
      <w:r w:rsidRPr="009A0DA6">
        <w:rPr>
          <w:rFonts w:ascii="Cambria" w:eastAsia="Times New Roman" w:hAnsi="Cambria" w:cstheme="minorHAnsi"/>
          <w:spacing w:val="-5"/>
        </w:rPr>
        <w:t xml:space="preserve"> </w:t>
      </w:r>
      <w:r w:rsidRPr="009A0DA6">
        <w:rPr>
          <w:rFonts w:ascii="Cambria" w:eastAsia="Times New Roman" w:hAnsi="Cambria" w:cstheme="minorHAnsi"/>
          <w:spacing w:val="-1"/>
        </w:rPr>
        <w:t>s</w:t>
      </w:r>
      <w:r w:rsidRPr="009A0DA6">
        <w:rPr>
          <w:rFonts w:ascii="Cambria" w:eastAsia="Times New Roman" w:hAnsi="Cambria" w:cstheme="minorHAnsi"/>
        </w:rPr>
        <w:t>e</w:t>
      </w:r>
      <w:r w:rsidRPr="009A0DA6">
        <w:rPr>
          <w:rFonts w:ascii="Cambria" w:eastAsia="Times New Roman" w:hAnsi="Cambria" w:cstheme="minorHAnsi"/>
          <w:spacing w:val="3"/>
        </w:rPr>
        <w:t>r</w:t>
      </w:r>
      <w:r w:rsidRPr="009A0DA6">
        <w:rPr>
          <w:rFonts w:ascii="Cambria" w:eastAsia="Times New Roman" w:hAnsi="Cambria" w:cstheme="minorHAnsi"/>
          <w:spacing w:val="-1"/>
        </w:rPr>
        <w:t>v</w:t>
      </w:r>
      <w:r w:rsidRPr="009A0DA6">
        <w:rPr>
          <w:rFonts w:ascii="Cambria" w:eastAsia="Times New Roman" w:hAnsi="Cambria" w:cstheme="minorHAnsi"/>
        </w:rPr>
        <w:t>ice</w:t>
      </w:r>
      <w:r w:rsidRPr="009A0DA6">
        <w:rPr>
          <w:rFonts w:ascii="Cambria" w:eastAsia="Times New Roman" w:hAnsi="Cambria" w:cstheme="minorHAnsi"/>
          <w:spacing w:val="-5"/>
        </w:rPr>
        <w:t xml:space="preserve"> </w:t>
      </w:r>
      <w:r w:rsidRPr="009A0DA6">
        <w:rPr>
          <w:rFonts w:ascii="Cambria" w:eastAsia="Times New Roman" w:hAnsi="Cambria" w:cstheme="minorHAnsi"/>
        </w:rPr>
        <w:t>lea</w:t>
      </w:r>
      <w:r w:rsidRPr="009A0DA6">
        <w:rPr>
          <w:rFonts w:ascii="Cambria" w:eastAsia="Times New Roman" w:hAnsi="Cambria" w:cstheme="minorHAnsi"/>
          <w:spacing w:val="-1"/>
        </w:rPr>
        <w:t>v</w:t>
      </w:r>
      <w:r w:rsidRPr="009A0DA6">
        <w:rPr>
          <w:rFonts w:ascii="Cambria" w:eastAsia="Times New Roman" w:hAnsi="Cambria" w:cstheme="minorHAnsi"/>
        </w:rPr>
        <w:t>e</w:t>
      </w:r>
      <w:r w:rsidRPr="009A0DA6">
        <w:rPr>
          <w:rFonts w:ascii="Cambria" w:eastAsia="Times New Roman" w:hAnsi="Cambria" w:cstheme="minorHAnsi"/>
          <w:spacing w:val="-3"/>
        </w:rPr>
        <w:t xml:space="preserve"> </w:t>
      </w:r>
      <w:r w:rsidRPr="009A0DA6">
        <w:rPr>
          <w:rFonts w:ascii="Cambria" w:eastAsia="Times New Roman" w:hAnsi="Cambria" w:cstheme="minorHAnsi"/>
          <w:spacing w:val="1"/>
        </w:rPr>
        <w:t>pro</w:t>
      </w:r>
      <w:r w:rsidRPr="009A0DA6">
        <w:rPr>
          <w:rFonts w:ascii="Cambria" w:eastAsia="Times New Roman" w:hAnsi="Cambria" w:cstheme="minorHAnsi"/>
          <w:spacing w:val="-1"/>
        </w:rPr>
        <w:t>v</w:t>
      </w:r>
      <w:r w:rsidRPr="009A0DA6">
        <w:rPr>
          <w:rFonts w:ascii="Cambria" w:eastAsia="Times New Roman" w:hAnsi="Cambria" w:cstheme="minorHAnsi"/>
          <w:spacing w:val="2"/>
        </w:rPr>
        <w:t>i</w:t>
      </w:r>
      <w:r w:rsidRPr="009A0DA6">
        <w:rPr>
          <w:rFonts w:ascii="Cambria" w:eastAsia="Times New Roman" w:hAnsi="Cambria" w:cstheme="minorHAnsi"/>
          <w:spacing w:val="-1"/>
        </w:rPr>
        <w:t>s</w:t>
      </w:r>
      <w:r w:rsidRPr="009A0DA6">
        <w:rPr>
          <w:rFonts w:ascii="Cambria" w:eastAsia="Times New Roman" w:hAnsi="Cambria" w:cstheme="minorHAnsi"/>
        </w:rPr>
        <w:t>i</w:t>
      </w:r>
      <w:r w:rsidRPr="009A0DA6">
        <w:rPr>
          <w:rFonts w:ascii="Cambria" w:eastAsia="Times New Roman" w:hAnsi="Cambria" w:cstheme="minorHAnsi"/>
          <w:spacing w:val="1"/>
        </w:rPr>
        <w:t>o</w:t>
      </w:r>
      <w:r w:rsidRPr="009A0DA6">
        <w:rPr>
          <w:rFonts w:ascii="Cambria" w:eastAsia="Times New Roman" w:hAnsi="Cambria" w:cstheme="minorHAnsi"/>
        </w:rPr>
        <w:t>n</w:t>
      </w:r>
      <w:r w:rsidRPr="009A0DA6">
        <w:rPr>
          <w:rFonts w:ascii="Cambria" w:eastAsia="Times New Roman" w:hAnsi="Cambria" w:cstheme="minorHAnsi"/>
        </w:rPr>
        <w:tab/>
      </w:r>
      <w:r w:rsidRPr="009A0DA6">
        <w:rPr>
          <w:rFonts w:ascii="Cambria" w:eastAsia="Times New Roman" w:hAnsi="Cambria" w:cstheme="minorHAnsi"/>
        </w:rPr>
        <w:tab/>
      </w:r>
      <w:r w:rsidRPr="009A0DA6">
        <w:rPr>
          <w:rFonts w:ascii="Cambria" w:eastAsia="Times New Roman" w:hAnsi="Cambria" w:cstheme="minorHAnsi"/>
          <w:spacing w:val="1"/>
        </w:rPr>
        <w:t>457,</w:t>
      </w:r>
      <w:r w:rsidRPr="009A0DA6">
        <w:rPr>
          <w:rFonts w:ascii="Cambria" w:eastAsia="Times New Roman" w:hAnsi="Cambria" w:cstheme="minorHAnsi"/>
          <w:spacing w:val="-1"/>
        </w:rPr>
        <w:t>3</w:t>
      </w:r>
      <w:r w:rsidRPr="009A0DA6">
        <w:rPr>
          <w:rFonts w:ascii="Cambria" w:eastAsia="Times New Roman" w:hAnsi="Cambria" w:cstheme="minorHAnsi"/>
          <w:spacing w:val="1"/>
        </w:rPr>
        <w:t>7</w:t>
      </w:r>
      <w:r w:rsidRPr="009A0DA6">
        <w:rPr>
          <w:rFonts w:ascii="Cambria" w:eastAsia="Times New Roman" w:hAnsi="Cambria" w:cstheme="minorHAnsi"/>
        </w:rPr>
        <w:t>1</w:t>
      </w:r>
      <w:r w:rsidRPr="009A0DA6">
        <w:rPr>
          <w:rFonts w:ascii="Cambria" w:eastAsia="Times New Roman" w:hAnsi="Cambria" w:cstheme="minorHAnsi"/>
        </w:rPr>
        <w:tab/>
      </w:r>
      <w:r w:rsidRPr="009A0DA6">
        <w:rPr>
          <w:rFonts w:ascii="Cambria" w:eastAsia="Times New Roman" w:hAnsi="Cambria" w:cstheme="minorHAnsi"/>
          <w:spacing w:val="1"/>
        </w:rPr>
        <w:t>421,</w:t>
      </w:r>
      <w:r w:rsidRPr="009A0DA6">
        <w:rPr>
          <w:rFonts w:ascii="Cambria" w:eastAsia="Times New Roman" w:hAnsi="Cambria" w:cstheme="minorHAnsi"/>
          <w:spacing w:val="-1"/>
        </w:rPr>
        <w:t>2</w:t>
      </w:r>
      <w:r w:rsidRPr="009A0DA6">
        <w:rPr>
          <w:rFonts w:ascii="Cambria" w:eastAsia="Times New Roman" w:hAnsi="Cambria" w:cstheme="minorHAnsi"/>
          <w:spacing w:val="1"/>
        </w:rPr>
        <w:t>8</w:t>
      </w:r>
      <w:r w:rsidRPr="009A0DA6">
        <w:rPr>
          <w:rFonts w:ascii="Cambria" w:eastAsia="Times New Roman" w:hAnsi="Cambria" w:cstheme="minorHAnsi"/>
        </w:rPr>
        <w:t>6</w:t>
      </w:r>
      <w:r w:rsidRPr="009A0DA6">
        <w:rPr>
          <w:rFonts w:ascii="Cambria" w:eastAsia="Times New Roman" w:hAnsi="Cambria" w:cstheme="minorHAnsi"/>
        </w:rPr>
        <w:tab/>
        <w:t>414,748</w:t>
      </w:r>
    </w:p>
    <w:p w14:paraId="3C6E2A66"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eastAsia="Times New Roman" w:hAnsi="Cambria" w:cstheme="minorHAnsi"/>
          <w:b/>
        </w:rPr>
      </w:pPr>
      <w:r w:rsidRPr="009A0DA6">
        <w:rPr>
          <w:rFonts w:ascii="Cambria" w:eastAsia="Times New Roman" w:hAnsi="Cambria" w:cstheme="minorHAnsi"/>
          <w:b/>
          <w:spacing w:val="-1"/>
        </w:rPr>
        <w:t>T</w:t>
      </w:r>
      <w:r w:rsidRPr="009A0DA6">
        <w:rPr>
          <w:rFonts w:ascii="Cambria" w:eastAsia="Times New Roman" w:hAnsi="Cambria" w:cstheme="minorHAnsi"/>
          <w:b/>
          <w:spacing w:val="1"/>
        </w:rPr>
        <w:t>O</w:t>
      </w:r>
      <w:r w:rsidRPr="009A0DA6">
        <w:rPr>
          <w:rFonts w:ascii="Cambria" w:eastAsia="Times New Roman" w:hAnsi="Cambria" w:cstheme="minorHAnsi"/>
          <w:b/>
          <w:spacing w:val="-1"/>
        </w:rPr>
        <w:t>T</w:t>
      </w:r>
      <w:r w:rsidRPr="009A0DA6">
        <w:rPr>
          <w:rFonts w:ascii="Cambria" w:eastAsia="Times New Roman" w:hAnsi="Cambria" w:cstheme="minorHAnsi"/>
          <w:b/>
          <w:spacing w:val="3"/>
        </w:rPr>
        <w:t>A</w:t>
      </w:r>
      <w:r w:rsidRPr="009A0DA6">
        <w:rPr>
          <w:rFonts w:ascii="Cambria" w:eastAsia="Times New Roman" w:hAnsi="Cambria" w:cstheme="minorHAnsi"/>
          <w:b/>
        </w:rPr>
        <w:t>L</w:t>
      </w:r>
      <w:r w:rsidRPr="009A0DA6">
        <w:rPr>
          <w:rFonts w:ascii="Cambria" w:eastAsia="Times New Roman" w:hAnsi="Cambria" w:cstheme="minorHAnsi"/>
          <w:b/>
          <w:spacing w:val="38"/>
        </w:rPr>
        <w:t xml:space="preserve"> </w:t>
      </w:r>
      <w:r w:rsidRPr="009A0DA6">
        <w:rPr>
          <w:rFonts w:ascii="Cambria" w:eastAsia="Times New Roman" w:hAnsi="Cambria" w:cstheme="minorHAnsi"/>
          <w:b/>
          <w:spacing w:val="1"/>
        </w:rPr>
        <w:t>P</w:t>
      </w:r>
      <w:r w:rsidRPr="009A0DA6">
        <w:rPr>
          <w:rFonts w:ascii="Cambria" w:eastAsia="Times New Roman" w:hAnsi="Cambria" w:cstheme="minorHAnsi"/>
          <w:b/>
        </w:rPr>
        <w:t>R</w:t>
      </w:r>
      <w:r w:rsidRPr="009A0DA6">
        <w:rPr>
          <w:rFonts w:ascii="Cambria" w:eastAsia="Times New Roman" w:hAnsi="Cambria" w:cstheme="minorHAnsi"/>
          <w:b/>
          <w:spacing w:val="1"/>
        </w:rPr>
        <w:t>O</w:t>
      </w:r>
      <w:r w:rsidRPr="009A0DA6">
        <w:rPr>
          <w:rFonts w:ascii="Cambria" w:eastAsia="Times New Roman" w:hAnsi="Cambria" w:cstheme="minorHAnsi"/>
          <w:b/>
        </w:rPr>
        <w:t>V</w:t>
      </w:r>
      <w:r w:rsidRPr="009A0DA6">
        <w:rPr>
          <w:rFonts w:ascii="Cambria" w:eastAsia="Times New Roman" w:hAnsi="Cambria" w:cstheme="minorHAnsi"/>
          <w:b/>
          <w:spacing w:val="-1"/>
        </w:rPr>
        <w:t>I</w:t>
      </w:r>
      <w:r w:rsidRPr="009A0DA6">
        <w:rPr>
          <w:rFonts w:ascii="Cambria" w:eastAsia="Times New Roman" w:hAnsi="Cambria" w:cstheme="minorHAnsi"/>
          <w:b/>
          <w:spacing w:val="2"/>
        </w:rPr>
        <w:t>S</w:t>
      </w:r>
      <w:r w:rsidRPr="009A0DA6">
        <w:rPr>
          <w:rFonts w:ascii="Cambria" w:eastAsia="Times New Roman" w:hAnsi="Cambria" w:cstheme="minorHAnsi"/>
          <w:b/>
          <w:spacing w:val="-1"/>
        </w:rPr>
        <w:t>I</w:t>
      </w:r>
      <w:r w:rsidRPr="009A0DA6">
        <w:rPr>
          <w:rFonts w:ascii="Cambria" w:eastAsia="Times New Roman" w:hAnsi="Cambria" w:cstheme="minorHAnsi"/>
          <w:b/>
          <w:spacing w:val="1"/>
        </w:rPr>
        <w:t>O</w:t>
      </w:r>
      <w:r w:rsidRPr="009A0DA6">
        <w:rPr>
          <w:rFonts w:ascii="Cambria" w:eastAsia="Times New Roman" w:hAnsi="Cambria" w:cstheme="minorHAnsi"/>
          <w:b/>
        </w:rPr>
        <w:t>NS</w:t>
      </w:r>
      <w:r w:rsidRPr="009A0DA6">
        <w:rPr>
          <w:rFonts w:ascii="Cambria" w:eastAsia="Times New Roman" w:hAnsi="Cambria" w:cstheme="minorHAnsi"/>
          <w:b/>
          <w:spacing w:val="6"/>
        </w:rPr>
        <w:t xml:space="preserve"> </w:t>
      </w:r>
      <w:r w:rsidRPr="009A0DA6">
        <w:rPr>
          <w:rFonts w:ascii="Cambria" w:eastAsia="Times New Roman" w:hAnsi="Cambria" w:cstheme="minorHAnsi"/>
          <w:b/>
        </w:rPr>
        <w:tab/>
      </w:r>
      <w:r w:rsidRPr="009A0DA6">
        <w:rPr>
          <w:rFonts w:ascii="Cambria" w:eastAsia="Times New Roman" w:hAnsi="Cambria" w:cstheme="minorHAnsi"/>
          <w:b/>
        </w:rPr>
        <w:tab/>
      </w:r>
      <w:r w:rsidRPr="009A0DA6">
        <w:rPr>
          <w:rFonts w:ascii="Cambria" w:eastAsia="Times New Roman" w:hAnsi="Cambria" w:cstheme="minorHAnsi"/>
          <w:b/>
          <w:w w:val="99"/>
        </w:rPr>
        <w:t>$</w:t>
      </w:r>
      <w:r w:rsidRPr="009A0DA6">
        <w:rPr>
          <w:rFonts w:ascii="Cambria" w:eastAsia="Times New Roman" w:hAnsi="Cambria" w:cstheme="minorHAnsi"/>
          <w:b/>
          <w:spacing w:val="1"/>
        </w:rPr>
        <w:t>75</w:t>
      </w:r>
      <w:r w:rsidRPr="009A0DA6">
        <w:rPr>
          <w:rFonts w:ascii="Cambria" w:eastAsia="Times New Roman" w:hAnsi="Cambria" w:cstheme="minorHAnsi"/>
          <w:b/>
          <w:spacing w:val="-1"/>
        </w:rPr>
        <w:t>9</w:t>
      </w:r>
      <w:r w:rsidRPr="009A0DA6">
        <w:rPr>
          <w:rFonts w:ascii="Cambria" w:eastAsia="Times New Roman" w:hAnsi="Cambria" w:cstheme="minorHAnsi"/>
          <w:b/>
          <w:spacing w:val="1"/>
        </w:rPr>
        <w:t>,9</w:t>
      </w:r>
      <w:r w:rsidRPr="009A0DA6">
        <w:rPr>
          <w:rFonts w:ascii="Cambria" w:eastAsia="Times New Roman" w:hAnsi="Cambria" w:cstheme="minorHAnsi"/>
          <w:b/>
          <w:spacing w:val="-1"/>
        </w:rPr>
        <w:t>5</w:t>
      </w:r>
      <w:r w:rsidRPr="009A0DA6">
        <w:rPr>
          <w:rFonts w:ascii="Cambria" w:eastAsia="Times New Roman" w:hAnsi="Cambria" w:cstheme="minorHAnsi"/>
          <w:b/>
        </w:rPr>
        <w:t>4</w:t>
      </w:r>
      <w:r w:rsidRPr="009A0DA6">
        <w:rPr>
          <w:rFonts w:ascii="Cambria" w:eastAsia="Times New Roman" w:hAnsi="Cambria" w:cstheme="minorHAnsi"/>
          <w:b/>
          <w:spacing w:val="-43"/>
        </w:rPr>
        <w:t xml:space="preserve"> </w:t>
      </w:r>
      <w:r w:rsidRPr="009A0DA6">
        <w:rPr>
          <w:rFonts w:ascii="Cambria" w:eastAsia="Times New Roman" w:hAnsi="Cambria" w:cstheme="minorHAnsi"/>
          <w:b/>
        </w:rPr>
        <w:tab/>
      </w:r>
      <w:r w:rsidRPr="009A0DA6">
        <w:rPr>
          <w:rFonts w:ascii="Cambria" w:eastAsia="Times New Roman" w:hAnsi="Cambria" w:cstheme="minorHAnsi"/>
          <w:b/>
          <w:spacing w:val="1"/>
          <w:w w:val="99"/>
        </w:rPr>
        <w:t>$</w:t>
      </w:r>
      <w:r w:rsidRPr="009A0DA6">
        <w:rPr>
          <w:rFonts w:ascii="Cambria" w:eastAsia="Times New Roman" w:hAnsi="Cambria" w:cstheme="minorHAnsi"/>
          <w:b/>
          <w:spacing w:val="1"/>
        </w:rPr>
        <w:t>686</w:t>
      </w:r>
      <w:r w:rsidRPr="009A0DA6">
        <w:rPr>
          <w:rFonts w:ascii="Cambria" w:eastAsia="Times New Roman" w:hAnsi="Cambria" w:cstheme="minorHAnsi"/>
          <w:b/>
          <w:spacing w:val="-2"/>
        </w:rPr>
        <w:t>,</w:t>
      </w:r>
      <w:r w:rsidRPr="009A0DA6">
        <w:rPr>
          <w:rFonts w:ascii="Cambria" w:eastAsia="Times New Roman" w:hAnsi="Cambria" w:cstheme="minorHAnsi"/>
          <w:b/>
          <w:spacing w:val="1"/>
        </w:rPr>
        <w:t>14</w:t>
      </w:r>
      <w:r w:rsidRPr="009A0DA6">
        <w:rPr>
          <w:rFonts w:ascii="Cambria" w:eastAsia="Times New Roman" w:hAnsi="Cambria" w:cstheme="minorHAnsi"/>
          <w:b/>
        </w:rPr>
        <w:t>2</w:t>
      </w:r>
      <w:r w:rsidRPr="009A0DA6">
        <w:rPr>
          <w:rFonts w:ascii="Cambria" w:eastAsia="Times New Roman" w:hAnsi="Cambria" w:cstheme="minorHAnsi"/>
          <w:b/>
        </w:rPr>
        <w:tab/>
        <w:t>$640,645</w:t>
      </w:r>
    </w:p>
    <w:p w14:paraId="695D5994"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eastAsia="Times New Roman" w:hAnsi="Cambria" w:cstheme="minorHAnsi"/>
          <w:b/>
        </w:rPr>
      </w:pPr>
    </w:p>
    <w:p w14:paraId="3D426A64" w14:textId="7DF5C3AC"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eastAsia="Times New Roman" w:hAnsi="Cambria" w:cstheme="minorHAnsi"/>
          <w:b/>
        </w:rPr>
      </w:pPr>
      <w:r w:rsidRPr="009A0DA6">
        <w:rPr>
          <w:rFonts w:ascii="Cambria" w:hAnsi="Cambria" w:cstheme="minorHAnsi"/>
          <w:b/>
        </w:rPr>
        <w:t>Note 10</w:t>
      </w:r>
      <w:r w:rsidR="00351A0F">
        <w:rPr>
          <w:rFonts w:ascii="Cambria" w:hAnsi="Cambria" w:cstheme="minorHAnsi"/>
          <w:b/>
        </w:rPr>
        <w:t>:</w:t>
      </w:r>
      <w:r w:rsidRPr="009A0DA6">
        <w:rPr>
          <w:rFonts w:ascii="Cambria" w:hAnsi="Cambria" w:cstheme="minorHAnsi"/>
          <w:b/>
        </w:rPr>
        <w:t xml:space="preserve"> Borrowings</w:t>
      </w:r>
    </w:p>
    <w:p w14:paraId="37F8602F"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eastAsiaTheme="minorEastAsia" w:hAnsi="Cambria" w:cstheme="minorHAnsi"/>
        </w:rPr>
      </w:pPr>
      <w:r w:rsidRPr="009A0DA6">
        <w:rPr>
          <w:rFonts w:ascii="Cambria" w:hAnsi="Cambria" w:cstheme="minorHAnsi"/>
        </w:rPr>
        <w:t>Long Term Borrowings</w:t>
      </w:r>
      <w:r w:rsidRPr="009A0DA6">
        <w:rPr>
          <w:rFonts w:ascii="Cambria" w:hAnsi="Cambria" w:cstheme="minorHAnsi"/>
        </w:rPr>
        <w:tab/>
      </w:r>
      <w:r w:rsidRPr="009A0DA6">
        <w:rPr>
          <w:rFonts w:ascii="Cambria" w:hAnsi="Cambria" w:cstheme="minorHAnsi"/>
        </w:rPr>
        <w:tab/>
        <w:t>88,682</w:t>
      </w:r>
      <w:r w:rsidRPr="009A0DA6">
        <w:rPr>
          <w:rFonts w:ascii="Cambria" w:hAnsi="Cambria" w:cstheme="minorHAnsi"/>
        </w:rPr>
        <w:tab/>
        <w:t>82,500</w:t>
      </w:r>
      <w:r w:rsidRPr="009A0DA6">
        <w:rPr>
          <w:rFonts w:ascii="Cambria" w:hAnsi="Cambria" w:cstheme="minorHAnsi"/>
        </w:rPr>
        <w:tab/>
        <w:t>100,000</w:t>
      </w:r>
    </w:p>
    <w:p w14:paraId="4E8ECD74"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hAnsi="Cambria" w:cstheme="minorHAnsi"/>
          <w:b/>
        </w:rPr>
      </w:pPr>
      <w:r w:rsidRPr="009A0DA6">
        <w:rPr>
          <w:rFonts w:ascii="Cambria" w:hAnsi="Cambria" w:cstheme="minorHAnsi"/>
          <w:b/>
        </w:rPr>
        <w:t>TOTAL BORROWINGS</w:t>
      </w:r>
      <w:r w:rsidRPr="009A0DA6">
        <w:rPr>
          <w:rFonts w:ascii="Cambria" w:hAnsi="Cambria" w:cstheme="minorHAnsi"/>
          <w:b/>
        </w:rPr>
        <w:tab/>
      </w:r>
      <w:r w:rsidRPr="009A0DA6">
        <w:rPr>
          <w:rFonts w:ascii="Cambria" w:hAnsi="Cambria" w:cstheme="minorHAnsi"/>
          <w:b/>
        </w:rPr>
        <w:tab/>
        <w:t>$88,682</w:t>
      </w:r>
      <w:r w:rsidRPr="009A0DA6">
        <w:rPr>
          <w:rFonts w:ascii="Cambria" w:hAnsi="Cambria" w:cstheme="minorHAnsi"/>
          <w:b/>
        </w:rPr>
        <w:tab/>
        <w:t>$82,500</w:t>
      </w:r>
      <w:r w:rsidRPr="009A0DA6">
        <w:rPr>
          <w:rFonts w:ascii="Cambria" w:hAnsi="Cambria" w:cstheme="minorHAnsi"/>
          <w:b/>
        </w:rPr>
        <w:tab/>
        <w:t>$100,000</w:t>
      </w:r>
    </w:p>
    <w:p w14:paraId="576CC7EF"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hAnsi="Cambria" w:cstheme="minorHAnsi"/>
          <w:b/>
        </w:rPr>
      </w:pPr>
    </w:p>
    <w:p w14:paraId="033F1224" w14:textId="58609631"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hAnsi="Cambria" w:cstheme="minorHAnsi"/>
          <w:b/>
        </w:rPr>
      </w:pPr>
      <w:r w:rsidRPr="009A0DA6">
        <w:rPr>
          <w:rFonts w:ascii="Cambria" w:hAnsi="Cambria" w:cstheme="minorHAnsi"/>
          <w:b/>
        </w:rPr>
        <w:t>Note 11</w:t>
      </w:r>
      <w:r w:rsidR="00351A0F">
        <w:rPr>
          <w:rFonts w:ascii="Cambria" w:hAnsi="Cambria" w:cstheme="minorHAnsi"/>
          <w:b/>
        </w:rPr>
        <w:t>:</w:t>
      </w:r>
      <w:r w:rsidRPr="009A0DA6">
        <w:rPr>
          <w:rFonts w:ascii="Cambria" w:hAnsi="Cambria" w:cstheme="minorHAnsi"/>
          <w:b/>
        </w:rPr>
        <w:t xml:space="preserve"> Accumulated funds</w:t>
      </w:r>
    </w:p>
    <w:p w14:paraId="25A79B4A"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hAnsi="Cambria" w:cstheme="minorHAnsi"/>
          <w:b/>
        </w:rPr>
      </w:pPr>
      <w:r w:rsidRPr="009A0DA6">
        <w:rPr>
          <w:rFonts w:ascii="Cambria" w:eastAsia="Times New Roman" w:hAnsi="Cambria" w:cstheme="minorHAnsi"/>
        </w:rPr>
        <w:t>O</w:t>
      </w:r>
      <w:r w:rsidRPr="009A0DA6">
        <w:rPr>
          <w:rFonts w:ascii="Cambria" w:eastAsia="Times New Roman" w:hAnsi="Cambria" w:cstheme="minorHAnsi"/>
          <w:spacing w:val="1"/>
        </w:rPr>
        <w:t>p</w:t>
      </w:r>
      <w:r w:rsidRPr="009A0DA6">
        <w:rPr>
          <w:rFonts w:ascii="Cambria" w:eastAsia="Times New Roman" w:hAnsi="Cambria" w:cstheme="minorHAnsi"/>
        </w:rPr>
        <w:t>e</w:t>
      </w:r>
      <w:r w:rsidRPr="009A0DA6">
        <w:rPr>
          <w:rFonts w:ascii="Cambria" w:eastAsia="Times New Roman" w:hAnsi="Cambria" w:cstheme="minorHAnsi"/>
          <w:spacing w:val="-1"/>
        </w:rPr>
        <w:t>n</w:t>
      </w:r>
      <w:r w:rsidRPr="009A0DA6">
        <w:rPr>
          <w:rFonts w:ascii="Cambria" w:eastAsia="Times New Roman" w:hAnsi="Cambria" w:cstheme="minorHAnsi"/>
        </w:rPr>
        <w:t>i</w:t>
      </w:r>
      <w:r w:rsidRPr="009A0DA6">
        <w:rPr>
          <w:rFonts w:ascii="Cambria" w:eastAsia="Times New Roman" w:hAnsi="Cambria" w:cstheme="minorHAnsi"/>
          <w:spacing w:val="1"/>
        </w:rPr>
        <w:t>n</w:t>
      </w:r>
      <w:r w:rsidRPr="009A0DA6">
        <w:rPr>
          <w:rFonts w:ascii="Cambria" w:eastAsia="Times New Roman" w:hAnsi="Cambria" w:cstheme="minorHAnsi"/>
        </w:rPr>
        <w:t>g</w:t>
      </w:r>
      <w:r w:rsidRPr="009A0DA6">
        <w:rPr>
          <w:rFonts w:ascii="Cambria" w:eastAsia="Times New Roman" w:hAnsi="Cambria" w:cstheme="minorHAnsi"/>
          <w:spacing w:val="-8"/>
        </w:rPr>
        <w:t xml:space="preserve"> </w:t>
      </w:r>
      <w:r w:rsidRPr="009A0DA6">
        <w:rPr>
          <w:rFonts w:ascii="Cambria" w:eastAsia="Times New Roman" w:hAnsi="Cambria" w:cstheme="minorHAnsi"/>
        </w:rPr>
        <w:t>acc</w:t>
      </w:r>
      <w:r w:rsidRPr="009A0DA6">
        <w:rPr>
          <w:rFonts w:ascii="Cambria" w:eastAsia="Times New Roman" w:hAnsi="Cambria" w:cstheme="minorHAnsi"/>
          <w:spacing w:val="1"/>
        </w:rPr>
        <w:t>u</w:t>
      </w:r>
      <w:r w:rsidRPr="009A0DA6">
        <w:rPr>
          <w:rFonts w:ascii="Cambria" w:eastAsia="Times New Roman" w:hAnsi="Cambria" w:cstheme="minorHAnsi"/>
          <w:spacing w:val="-1"/>
        </w:rPr>
        <w:t>m</w:t>
      </w:r>
      <w:r w:rsidRPr="009A0DA6">
        <w:rPr>
          <w:rFonts w:ascii="Cambria" w:eastAsia="Times New Roman" w:hAnsi="Cambria" w:cstheme="minorHAnsi"/>
          <w:spacing w:val="1"/>
        </w:rPr>
        <w:t>u</w:t>
      </w:r>
      <w:r w:rsidRPr="009A0DA6">
        <w:rPr>
          <w:rFonts w:ascii="Cambria" w:eastAsia="Times New Roman" w:hAnsi="Cambria" w:cstheme="minorHAnsi"/>
        </w:rPr>
        <w:t>lated</w:t>
      </w:r>
      <w:r w:rsidRPr="009A0DA6">
        <w:rPr>
          <w:rFonts w:ascii="Cambria" w:eastAsia="Times New Roman" w:hAnsi="Cambria" w:cstheme="minorHAnsi"/>
          <w:spacing w:val="-6"/>
        </w:rPr>
        <w:t xml:space="preserve"> </w:t>
      </w:r>
      <w:r w:rsidRPr="009A0DA6">
        <w:rPr>
          <w:rFonts w:ascii="Cambria" w:eastAsia="Times New Roman" w:hAnsi="Cambria" w:cstheme="minorHAnsi"/>
          <w:spacing w:val="-1"/>
        </w:rPr>
        <w:t>f</w:t>
      </w:r>
      <w:r w:rsidRPr="009A0DA6">
        <w:rPr>
          <w:rFonts w:ascii="Cambria" w:eastAsia="Times New Roman" w:hAnsi="Cambria" w:cstheme="minorHAnsi"/>
          <w:spacing w:val="1"/>
        </w:rPr>
        <w:t>u</w:t>
      </w:r>
      <w:r w:rsidRPr="009A0DA6">
        <w:rPr>
          <w:rFonts w:ascii="Cambria" w:eastAsia="Times New Roman" w:hAnsi="Cambria" w:cstheme="minorHAnsi"/>
          <w:spacing w:val="-1"/>
        </w:rPr>
        <w:t>n</w:t>
      </w:r>
      <w:r w:rsidRPr="009A0DA6">
        <w:rPr>
          <w:rFonts w:ascii="Cambria" w:eastAsia="Times New Roman" w:hAnsi="Cambria" w:cstheme="minorHAnsi"/>
          <w:spacing w:val="1"/>
        </w:rPr>
        <w:t>d</w:t>
      </w:r>
      <w:r w:rsidRPr="009A0DA6">
        <w:rPr>
          <w:rFonts w:ascii="Cambria" w:eastAsia="Times New Roman" w:hAnsi="Cambria" w:cstheme="minorHAnsi"/>
        </w:rPr>
        <w:t>s</w:t>
      </w:r>
      <w:r w:rsidRPr="009A0DA6">
        <w:rPr>
          <w:rFonts w:ascii="Cambria" w:eastAsia="Times New Roman" w:hAnsi="Cambria" w:cstheme="minorHAnsi"/>
        </w:rPr>
        <w:tab/>
      </w:r>
      <w:r w:rsidRPr="009A0DA6">
        <w:rPr>
          <w:rFonts w:ascii="Cambria" w:eastAsia="Times New Roman" w:hAnsi="Cambria" w:cstheme="minorHAnsi"/>
        </w:rPr>
        <w:tab/>
      </w:r>
      <w:r w:rsidRPr="009A0DA6">
        <w:rPr>
          <w:rFonts w:ascii="Cambria" w:eastAsia="Times New Roman" w:hAnsi="Cambria" w:cstheme="minorHAnsi"/>
          <w:spacing w:val="1"/>
        </w:rPr>
        <w:t>4,08</w:t>
      </w:r>
      <w:r w:rsidRPr="009A0DA6">
        <w:rPr>
          <w:rFonts w:ascii="Cambria" w:eastAsia="Times New Roman" w:hAnsi="Cambria" w:cstheme="minorHAnsi"/>
          <w:spacing w:val="-1"/>
        </w:rPr>
        <w:t>2</w:t>
      </w:r>
      <w:r w:rsidRPr="009A0DA6">
        <w:rPr>
          <w:rFonts w:ascii="Cambria" w:eastAsia="Times New Roman" w:hAnsi="Cambria" w:cstheme="minorHAnsi"/>
          <w:spacing w:val="1"/>
        </w:rPr>
        <w:t>,3</w:t>
      </w:r>
      <w:r w:rsidRPr="009A0DA6">
        <w:rPr>
          <w:rFonts w:ascii="Cambria" w:eastAsia="Times New Roman" w:hAnsi="Cambria" w:cstheme="minorHAnsi"/>
          <w:spacing w:val="-1"/>
        </w:rPr>
        <w:t>2</w:t>
      </w:r>
      <w:r w:rsidRPr="009A0DA6">
        <w:rPr>
          <w:rFonts w:ascii="Cambria" w:eastAsia="Times New Roman" w:hAnsi="Cambria" w:cstheme="minorHAnsi"/>
        </w:rPr>
        <w:t>8</w:t>
      </w:r>
      <w:r w:rsidRPr="009A0DA6">
        <w:rPr>
          <w:rFonts w:ascii="Cambria" w:hAnsi="Cambria" w:cstheme="minorHAnsi"/>
        </w:rPr>
        <w:tab/>
      </w:r>
      <w:r w:rsidRPr="009A0DA6">
        <w:rPr>
          <w:rFonts w:ascii="Cambria" w:eastAsia="Times New Roman" w:hAnsi="Cambria" w:cstheme="minorHAnsi"/>
          <w:spacing w:val="1"/>
        </w:rPr>
        <w:t>3,58</w:t>
      </w:r>
      <w:r w:rsidRPr="009A0DA6">
        <w:rPr>
          <w:rFonts w:ascii="Cambria" w:eastAsia="Times New Roman" w:hAnsi="Cambria" w:cstheme="minorHAnsi"/>
          <w:spacing w:val="-1"/>
        </w:rPr>
        <w:t>1</w:t>
      </w:r>
      <w:r w:rsidRPr="009A0DA6">
        <w:rPr>
          <w:rFonts w:ascii="Cambria" w:eastAsia="Times New Roman" w:hAnsi="Cambria" w:cstheme="minorHAnsi"/>
          <w:spacing w:val="1"/>
        </w:rPr>
        <w:t>,1</w:t>
      </w:r>
      <w:r w:rsidRPr="009A0DA6">
        <w:rPr>
          <w:rFonts w:ascii="Cambria" w:eastAsia="Times New Roman" w:hAnsi="Cambria" w:cstheme="minorHAnsi"/>
          <w:spacing w:val="-1"/>
        </w:rPr>
        <w:t>6</w:t>
      </w:r>
      <w:r w:rsidRPr="009A0DA6">
        <w:rPr>
          <w:rFonts w:ascii="Cambria" w:eastAsia="Times New Roman" w:hAnsi="Cambria" w:cstheme="minorHAnsi"/>
        </w:rPr>
        <w:t>4</w:t>
      </w:r>
      <w:r w:rsidRPr="009A0DA6">
        <w:rPr>
          <w:rFonts w:ascii="Cambria" w:eastAsia="Times New Roman" w:hAnsi="Cambria" w:cstheme="minorHAnsi"/>
        </w:rPr>
        <w:tab/>
        <w:t>3,250,637</w:t>
      </w:r>
    </w:p>
    <w:p w14:paraId="29FD1FCE"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hAnsi="Cambria" w:cstheme="minorHAnsi"/>
          <w:b/>
        </w:rPr>
      </w:pPr>
      <w:r w:rsidRPr="009A0DA6">
        <w:rPr>
          <w:rFonts w:ascii="Cambria" w:eastAsia="Times New Roman" w:hAnsi="Cambria" w:cstheme="minorHAnsi"/>
        </w:rPr>
        <w:t>Net</w:t>
      </w:r>
      <w:r w:rsidRPr="009A0DA6">
        <w:rPr>
          <w:rFonts w:ascii="Cambria" w:eastAsia="Times New Roman" w:hAnsi="Cambria" w:cstheme="minorHAnsi"/>
          <w:spacing w:val="-3"/>
        </w:rPr>
        <w:t xml:space="preserve"> </w:t>
      </w:r>
      <w:r w:rsidRPr="009A0DA6">
        <w:rPr>
          <w:rFonts w:ascii="Cambria" w:eastAsia="Times New Roman" w:hAnsi="Cambria" w:cstheme="minorHAnsi"/>
          <w:spacing w:val="-1"/>
        </w:rPr>
        <w:t>su</w:t>
      </w:r>
      <w:r w:rsidRPr="009A0DA6">
        <w:rPr>
          <w:rFonts w:ascii="Cambria" w:eastAsia="Times New Roman" w:hAnsi="Cambria" w:cstheme="minorHAnsi"/>
          <w:spacing w:val="1"/>
        </w:rPr>
        <w:t>rp</w:t>
      </w:r>
      <w:r w:rsidRPr="009A0DA6">
        <w:rPr>
          <w:rFonts w:ascii="Cambria" w:eastAsia="Times New Roman" w:hAnsi="Cambria" w:cstheme="minorHAnsi"/>
          <w:spacing w:val="2"/>
        </w:rPr>
        <w:t>l</w:t>
      </w:r>
      <w:r w:rsidRPr="009A0DA6">
        <w:rPr>
          <w:rFonts w:ascii="Cambria" w:eastAsia="Times New Roman" w:hAnsi="Cambria" w:cstheme="minorHAnsi"/>
          <w:spacing w:val="-1"/>
        </w:rPr>
        <w:t>u</w:t>
      </w:r>
      <w:r w:rsidRPr="009A0DA6">
        <w:rPr>
          <w:rFonts w:ascii="Cambria" w:eastAsia="Times New Roman" w:hAnsi="Cambria" w:cstheme="minorHAnsi"/>
        </w:rPr>
        <w:t>s</w:t>
      </w:r>
      <w:r w:rsidRPr="009A0DA6">
        <w:rPr>
          <w:rFonts w:ascii="Cambria" w:eastAsia="Times New Roman" w:hAnsi="Cambria" w:cstheme="minorHAnsi"/>
          <w:spacing w:val="-6"/>
        </w:rPr>
        <w:t xml:space="preserve"> </w:t>
      </w:r>
      <w:r w:rsidRPr="009A0DA6">
        <w:rPr>
          <w:rFonts w:ascii="Cambria" w:eastAsia="Times New Roman" w:hAnsi="Cambria" w:cstheme="minorHAnsi"/>
          <w:spacing w:val="1"/>
        </w:rPr>
        <w:t>(d</w:t>
      </w:r>
      <w:r w:rsidRPr="009A0DA6">
        <w:rPr>
          <w:rFonts w:ascii="Cambria" w:eastAsia="Times New Roman" w:hAnsi="Cambria" w:cstheme="minorHAnsi"/>
        </w:rPr>
        <w:t>e</w:t>
      </w:r>
      <w:r w:rsidRPr="009A0DA6">
        <w:rPr>
          <w:rFonts w:ascii="Cambria" w:eastAsia="Times New Roman" w:hAnsi="Cambria" w:cstheme="minorHAnsi"/>
          <w:spacing w:val="-1"/>
        </w:rPr>
        <w:t>f</w:t>
      </w:r>
      <w:r w:rsidRPr="009A0DA6">
        <w:rPr>
          <w:rFonts w:ascii="Cambria" w:eastAsia="Times New Roman" w:hAnsi="Cambria" w:cstheme="minorHAnsi"/>
        </w:rPr>
        <w:t>icit)</w:t>
      </w:r>
      <w:r w:rsidRPr="009A0DA6">
        <w:rPr>
          <w:rFonts w:ascii="Cambria" w:eastAsia="Times New Roman" w:hAnsi="Cambria" w:cstheme="minorHAnsi"/>
          <w:spacing w:val="-2"/>
        </w:rPr>
        <w:t xml:space="preserve"> </w:t>
      </w:r>
      <w:r w:rsidRPr="009A0DA6">
        <w:rPr>
          <w:rFonts w:ascii="Cambria" w:eastAsia="Times New Roman" w:hAnsi="Cambria" w:cstheme="minorHAnsi"/>
          <w:spacing w:val="-1"/>
        </w:rPr>
        <w:t>f</w:t>
      </w:r>
      <w:r w:rsidRPr="009A0DA6">
        <w:rPr>
          <w:rFonts w:ascii="Cambria" w:eastAsia="Times New Roman" w:hAnsi="Cambria" w:cstheme="minorHAnsi"/>
          <w:spacing w:val="1"/>
        </w:rPr>
        <w:t>o</w:t>
      </w:r>
      <w:r w:rsidRPr="009A0DA6">
        <w:rPr>
          <w:rFonts w:ascii="Cambria" w:eastAsia="Times New Roman" w:hAnsi="Cambria" w:cstheme="minorHAnsi"/>
        </w:rPr>
        <w:t>r</w:t>
      </w:r>
      <w:r w:rsidRPr="009A0DA6">
        <w:rPr>
          <w:rFonts w:ascii="Cambria" w:eastAsia="Times New Roman" w:hAnsi="Cambria" w:cstheme="minorHAnsi"/>
          <w:spacing w:val="-1"/>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1"/>
        </w:rPr>
        <w:t xml:space="preserve"> </w:t>
      </w:r>
      <w:r w:rsidRPr="009A0DA6">
        <w:rPr>
          <w:rFonts w:ascii="Cambria" w:eastAsia="Times New Roman" w:hAnsi="Cambria" w:cstheme="minorHAnsi"/>
          <w:spacing w:val="-4"/>
        </w:rPr>
        <w:t>y</w:t>
      </w:r>
      <w:r w:rsidRPr="009A0DA6">
        <w:rPr>
          <w:rFonts w:ascii="Cambria" w:eastAsia="Times New Roman" w:hAnsi="Cambria" w:cstheme="minorHAnsi"/>
          <w:spacing w:val="3"/>
        </w:rPr>
        <w:t>e</w:t>
      </w:r>
      <w:r w:rsidRPr="009A0DA6">
        <w:rPr>
          <w:rFonts w:ascii="Cambria" w:eastAsia="Times New Roman" w:hAnsi="Cambria" w:cstheme="minorHAnsi"/>
        </w:rPr>
        <w:t>ar</w:t>
      </w:r>
      <w:r w:rsidRPr="009A0DA6">
        <w:rPr>
          <w:rFonts w:ascii="Cambria" w:eastAsia="Times New Roman" w:hAnsi="Cambria" w:cstheme="minorHAnsi"/>
          <w:spacing w:val="-2"/>
        </w:rPr>
        <w:t xml:space="preserve"> </w:t>
      </w:r>
      <w:r w:rsidRPr="009A0DA6">
        <w:rPr>
          <w:rFonts w:ascii="Cambria" w:eastAsia="Times New Roman" w:hAnsi="Cambria" w:cstheme="minorHAnsi"/>
        </w:rPr>
        <w:t>-</w:t>
      </w:r>
      <w:r w:rsidRPr="009A0DA6">
        <w:rPr>
          <w:rFonts w:ascii="Cambria" w:eastAsia="Times New Roman" w:hAnsi="Cambria" w:cstheme="minorHAnsi"/>
          <w:spacing w:val="-2"/>
        </w:rPr>
        <w:t xml:space="preserve"> </w:t>
      </w:r>
      <w:r w:rsidRPr="009A0DA6">
        <w:rPr>
          <w:rFonts w:ascii="Cambria" w:eastAsia="Times New Roman" w:hAnsi="Cambria" w:cstheme="minorHAnsi"/>
          <w:spacing w:val="-1"/>
        </w:rPr>
        <w:t>n</w:t>
      </w:r>
      <w:r w:rsidRPr="009A0DA6">
        <w:rPr>
          <w:rFonts w:ascii="Cambria" w:eastAsia="Times New Roman" w:hAnsi="Cambria" w:cstheme="minorHAnsi"/>
        </w:rPr>
        <w:t>ati</w:t>
      </w:r>
      <w:r w:rsidRPr="009A0DA6">
        <w:rPr>
          <w:rFonts w:ascii="Cambria" w:eastAsia="Times New Roman" w:hAnsi="Cambria" w:cstheme="minorHAnsi"/>
          <w:spacing w:val="1"/>
        </w:rPr>
        <w:t>o</w:t>
      </w:r>
      <w:r w:rsidRPr="009A0DA6">
        <w:rPr>
          <w:rFonts w:ascii="Cambria" w:eastAsia="Times New Roman" w:hAnsi="Cambria" w:cstheme="minorHAnsi"/>
          <w:spacing w:val="-1"/>
        </w:rPr>
        <w:t>n</w:t>
      </w:r>
      <w:r w:rsidRPr="009A0DA6">
        <w:rPr>
          <w:rFonts w:ascii="Cambria" w:eastAsia="Times New Roman" w:hAnsi="Cambria" w:cstheme="minorHAnsi"/>
          <w:spacing w:val="3"/>
        </w:rPr>
        <w:t>a</w:t>
      </w:r>
      <w:r w:rsidRPr="009A0DA6">
        <w:rPr>
          <w:rFonts w:ascii="Cambria" w:eastAsia="Times New Roman" w:hAnsi="Cambria" w:cstheme="minorHAnsi"/>
        </w:rPr>
        <w:t>l</w:t>
      </w:r>
      <w:r w:rsidRPr="009A0DA6">
        <w:rPr>
          <w:rFonts w:ascii="Cambria" w:eastAsia="Times New Roman" w:hAnsi="Cambria" w:cstheme="minorHAnsi"/>
          <w:spacing w:val="-6"/>
        </w:rPr>
        <w:t xml:space="preserve"> </w:t>
      </w:r>
      <w:r w:rsidRPr="009A0DA6">
        <w:rPr>
          <w:rFonts w:ascii="Cambria" w:eastAsia="Times New Roman" w:hAnsi="Cambria" w:cstheme="minorHAnsi"/>
          <w:spacing w:val="1"/>
        </w:rPr>
        <w:t>b</w:t>
      </w:r>
      <w:r w:rsidRPr="009A0DA6">
        <w:rPr>
          <w:rFonts w:ascii="Cambria" w:eastAsia="Times New Roman" w:hAnsi="Cambria" w:cstheme="minorHAnsi"/>
          <w:spacing w:val="-1"/>
        </w:rPr>
        <w:t>u</w:t>
      </w:r>
      <w:r w:rsidRPr="009A0DA6">
        <w:rPr>
          <w:rFonts w:ascii="Cambria" w:eastAsia="Times New Roman" w:hAnsi="Cambria" w:cstheme="minorHAnsi"/>
          <w:spacing w:val="1"/>
        </w:rPr>
        <w:t>d</w:t>
      </w:r>
      <w:r w:rsidRPr="009A0DA6">
        <w:rPr>
          <w:rFonts w:ascii="Cambria" w:eastAsia="Times New Roman" w:hAnsi="Cambria" w:cstheme="minorHAnsi"/>
          <w:spacing w:val="-1"/>
        </w:rPr>
        <w:t>g</w:t>
      </w:r>
      <w:r w:rsidRPr="009A0DA6">
        <w:rPr>
          <w:rFonts w:ascii="Cambria" w:eastAsia="Times New Roman" w:hAnsi="Cambria" w:cstheme="minorHAnsi"/>
        </w:rPr>
        <w:t>et</w:t>
      </w:r>
      <w:r w:rsidRPr="009A0DA6">
        <w:rPr>
          <w:rFonts w:ascii="Cambria" w:eastAsia="Times New Roman" w:hAnsi="Cambria" w:cstheme="minorHAnsi"/>
        </w:rPr>
        <w:tab/>
      </w:r>
      <w:r w:rsidRPr="009A0DA6">
        <w:rPr>
          <w:rFonts w:ascii="Cambria" w:eastAsia="Times New Roman" w:hAnsi="Cambria" w:cstheme="minorHAnsi"/>
          <w:spacing w:val="1"/>
        </w:rPr>
        <w:t>(206</w:t>
      </w:r>
      <w:r w:rsidRPr="009A0DA6">
        <w:rPr>
          <w:rFonts w:ascii="Cambria" w:eastAsia="Times New Roman" w:hAnsi="Cambria" w:cstheme="minorHAnsi"/>
          <w:spacing w:val="-2"/>
        </w:rPr>
        <w:t>,</w:t>
      </w:r>
      <w:r w:rsidRPr="009A0DA6">
        <w:rPr>
          <w:rFonts w:ascii="Cambria" w:eastAsia="Times New Roman" w:hAnsi="Cambria" w:cstheme="minorHAnsi"/>
          <w:spacing w:val="1"/>
        </w:rPr>
        <w:t>36</w:t>
      </w:r>
      <w:r w:rsidRPr="009A0DA6">
        <w:rPr>
          <w:rFonts w:ascii="Cambria" w:eastAsia="Times New Roman" w:hAnsi="Cambria" w:cstheme="minorHAnsi"/>
          <w:spacing w:val="-1"/>
        </w:rPr>
        <w:t>4</w:t>
      </w:r>
      <w:r w:rsidRPr="009A0DA6">
        <w:rPr>
          <w:rFonts w:ascii="Cambria" w:eastAsia="Times New Roman" w:hAnsi="Cambria" w:cstheme="minorHAnsi"/>
        </w:rPr>
        <w:t>)</w:t>
      </w:r>
      <w:r w:rsidRPr="009A0DA6">
        <w:rPr>
          <w:rFonts w:ascii="Cambria" w:hAnsi="Cambria" w:cstheme="minorHAnsi"/>
        </w:rPr>
        <w:tab/>
      </w:r>
      <w:r w:rsidRPr="009A0DA6">
        <w:rPr>
          <w:rFonts w:ascii="Cambria" w:eastAsia="Times New Roman" w:hAnsi="Cambria" w:cstheme="minorHAnsi"/>
          <w:spacing w:val="1"/>
        </w:rPr>
        <w:t>(190</w:t>
      </w:r>
      <w:r w:rsidRPr="009A0DA6">
        <w:rPr>
          <w:rFonts w:ascii="Cambria" w:eastAsia="Times New Roman" w:hAnsi="Cambria" w:cstheme="minorHAnsi"/>
          <w:spacing w:val="-2"/>
        </w:rPr>
        <w:t>,</w:t>
      </w:r>
      <w:r w:rsidRPr="009A0DA6">
        <w:rPr>
          <w:rFonts w:ascii="Cambria" w:eastAsia="Times New Roman" w:hAnsi="Cambria" w:cstheme="minorHAnsi"/>
          <w:spacing w:val="1"/>
        </w:rPr>
        <w:t>25</w:t>
      </w:r>
      <w:r w:rsidRPr="009A0DA6">
        <w:rPr>
          <w:rFonts w:ascii="Cambria" w:eastAsia="Times New Roman" w:hAnsi="Cambria" w:cstheme="minorHAnsi"/>
          <w:spacing w:val="-1"/>
        </w:rPr>
        <w:t>5</w:t>
      </w:r>
      <w:r w:rsidRPr="009A0DA6">
        <w:rPr>
          <w:rFonts w:ascii="Cambria" w:eastAsia="Times New Roman" w:hAnsi="Cambria" w:cstheme="minorHAnsi"/>
        </w:rPr>
        <w:t>)</w:t>
      </w:r>
      <w:r w:rsidRPr="009A0DA6">
        <w:rPr>
          <w:rFonts w:ascii="Cambria" w:eastAsia="Times New Roman" w:hAnsi="Cambria" w:cstheme="minorHAnsi"/>
        </w:rPr>
        <w:tab/>
        <w:t>(4,142)</w:t>
      </w:r>
    </w:p>
    <w:p w14:paraId="6EB9FBF9"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hAnsi="Cambria" w:cstheme="minorHAnsi"/>
          <w:b/>
        </w:rPr>
      </w:pPr>
      <w:r w:rsidRPr="009A0DA6">
        <w:rPr>
          <w:rFonts w:ascii="Cambria" w:eastAsia="Times New Roman" w:hAnsi="Cambria" w:cstheme="minorHAnsi"/>
        </w:rPr>
        <w:t>Net</w:t>
      </w:r>
      <w:r w:rsidRPr="009A0DA6">
        <w:rPr>
          <w:rFonts w:ascii="Cambria" w:eastAsia="Times New Roman" w:hAnsi="Cambria" w:cstheme="minorHAnsi"/>
          <w:spacing w:val="-3"/>
        </w:rPr>
        <w:t xml:space="preserve"> </w:t>
      </w:r>
      <w:r w:rsidRPr="009A0DA6">
        <w:rPr>
          <w:rFonts w:ascii="Cambria" w:eastAsia="Times New Roman" w:hAnsi="Cambria" w:cstheme="minorHAnsi"/>
          <w:spacing w:val="-1"/>
        </w:rPr>
        <w:t>su</w:t>
      </w:r>
      <w:r w:rsidRPr="009A0DA6">
        <w:rPr>
          <w:rFonts w:ascii="Cambria" w:eastAsia="Times New Roman" w:hAnsi="Cambria" w:cstheme="minorHAnsi"/>
          <w:spacing w:val="1"/>
        </w:rPr>
        <w:t>rp</w:t>
      </w:r>
      <w:r w:rsidRPr="009A0DA6">
        <w:rPr>
          <w:rFonts w:ascii="Cambria" w:eastAsia="Times New Roman" w:hAnsi="Cambria" w:cstheme="minorHAnsi"/>
          <w:spacing w:val="2"/>
        </w:rPr>
        <w:t>l</w:t>
      </w:r>
      <w:r w:rsidRPr="009A0DA6">
        <w:rPr>
          <w:rFonts w:ascii="Cambria" w:eastAsia="Times New Roman" w:hAnsi="Cambria" w:cstheme="minorHAnsi"/>
          <w:spacing w:val="-1"/>
        </w:rPr>
        <w:t>u</w:t>
      </w:r>
      <w:r w:rsidRPr="009A0DA6">
        <w:rPr>
          <w:rFonts w:ascii="Cambria" w:eastAsia="Times New Roman" w:hAnsi="Cambria" w:cstheme="minorHAnsi"/>
        </w:rPr>
        <w:t>s</w:t>
      </w:r>
      <w:r w:rsidRPr="009A0DA6">
        <w:rPr>
          <w:rFonts w:ascii="Cambria" w:eastAsia="Times New Roman" w:hAnsi="Cambria" w:cstheme="minorHAnsi"/>
          <w:spacing w:val="-4"/>
        </w:rPr>
        <w:t xml:space="preserve"> </w:t>
      </w:r>
      <w:r w:rsidRPr="009A0DA6">
        <w:rPr>
          <w:rFonts w:ascii="Cambria" w:eastAsia="Times New Roman" w:hAnsi="Cambria" w:cstheme="minorHAnsi"/>
          <w:spacing w:val="-1"/>
        </w:rPr>
        <w:t>f</w:t>
      </w:r>
      <w:r w:rsidRPr="009A0DA6">
        <w:rPr>
          <w:rFonts w:ascii="Cambria" w:eastAsia="Times New Roman" w:hAnsi="Cambria" w:cstheme="minorHAnsi"/>
          <w:spacing w:val="1"/>
        </w:rPr>
        <w:t>o</w:t>
      </w:r>
      <w:r w:rsidRPr="009A0DA6">
        <w:rPr>
          <w:rFonts w:ascii="Cambria" w:eastAsia="Times New Roman" w:hAnsi="Cambria" w:cstheme="minorHAnsi"/>
        </w:rPr>
        <w:t>r</w:t>
      </w:r>
      <w:r w:rsidRPr="009A0DA6">
        <w:rPr>
          <w:rFonts w:ascii="Cambria" w:eastAsia="Times New Roman" w:hAnsi="Cambria" w:cstheme="minorHAnsi"/>
          <w:spacing w:val="-1"/>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1"/>
        </w:rPr>
        <w:t xml:space="preserve"> </w:t>
      </w:r>
      <w:r w:rsidRPr="009A0DA6">
        <w:rPr>
          <w:rFonts w:ascii="Cambria" w:eastAsia="Times New Roman" w:hAnsi="Cambria" w:cstheme="minorHAnsi"/>
          <w:spacing w:val="-4"/>
        </w:rPr>
        <w:t>y</w:t>
      </w:r>
      <w:r w:rsidRPr="009A0DA6">
        <w:rPr>
          <w:rFonts w:ascii="Cambria" w:eastAsia="Times New Roman" w:hAnsi="Cambria" w:cstheme="minorHAnsi"/>
        </w:rPr>
        <w:t>ear</w:t>
      </w:r>
      <w:r w:rsidRPr="009A0DA6">
        <w:rPr>
          <w:rFonts w:ascii="Cambria" w:eastAsia="Times New Roman" w:hAnsi="Cambria" w:cstheme="minorHAnsi"/>
          <w:spacing w:val="-2"/>
        </w:rPr>
        <w:t xml:space="preserve"> </w:t>
      </w:r>
      <w:r w:rsidRPr="009A0DA6">
        <w:rPr>
          <w:rFonts w:ascii="Cambria" w:eastAsia="Times New Roman" w:hAnsi="Cambria" w:cstheme="minorHAnsi"/>
        </w:rPr>
        <w:t>-</w:t>
      </w:r>
      <w:r w:rsidRPr="009A0DA6">
        <w:rPr>
          <w:rFonts w:ascii="Cambria" w:eastAsia="Times New Roman" w:hAnsi="Cambria" w:cstheme="minorHAnsi"/>
          <w:spacing w:val="-2"/>
        </w:rPr>
        <w:t xml:space="preserve"> </w:t>
      </w:r>
      <w:r w:rsidRPr="009A0DA6">
        <w:rPr>
          <w:rFonts w:ascii="Cambria" w:eastAsia="Times New Roman" w:hAnsi="Cambria" w:cstheme="minorHAnsi"/>
          <w:spacing w:val="1"/>
        </w:rPr>
        <w:t>d</w:t>
      </w:r>
      <w:r w:rsidRPr="009A0DA6">
        <w:rPr>
          <w:rFonts w:ascii="Cambria" w:eastAsia="Times New Roman" w:hAnsi="Cambria" w:cstheme="minorHAnsi"/>
        </w:rPr>
        <w:t>e</w:t>
      </w:r>
      <w:r w:rsidRPr="009A0DA6">
        <w:rPr>
          <w:rFonts w:ascii="Cambria" w:eastAsia="Times New Roman" w:hAnsi="Cambria" w:cstheme="minorHAnsi"/>
          <w:spacing w:val="1"/>
        </w:rPr>
        <w:t>p</w:t>
      </w:r>
      <w:r w:rsidRPr="009A0DA6">
        <w:rPr>
          <w:rFonts w:ascii="Cambria" w:eastAsia="Times New Roman" w:hAnsi="Cambria" w:cstheme="minorHAnsi"/>
          <w:spacing w:val="3"/>
        </w:rPr>
        <w:t>a</w:t>
      </w:r>
      <w:r w:rsidRPr="009A0DA6">
        <w:rPr>
          <w:rFonts w:ascii="Cambria" w:eastAsia="Times New Roman" w:hAnsi="Cambria" w:cstheme="minorHAnsi"/>
          <w:spacing w:val="1"/>
        </w:rPr>
        <w:t>r</w:t>
      </w:r>
      <w:r w:rsidRPr="009A0DA6">
        <w:rPr>
          <w:rFonts w:ascii="Cambria" w:eastAsia="Times New Roman" w:hAnsi="Cambria" w:cstheme="minorHAnsi"/>
          <w:spacing w:val="2"/>
        </w:rPr>
        <w:t>t</w:t>
      </w:r>
      <w:r w:rsidRPr="009A0DA6">
        <w:rPr>
          <w:rFonts w:ascii="Cambria" w:eastAsia="Times New Roman" w:hAnsi="Cambria" w:cstheme="minorHAnsi"/>
          <w:spacing w:val="-4"/>
        </w:rPr>
        <w:t>m</w:t>
      </w:r>
      <w:r w:rsidRPr="009A0DA6">
        <w:rPr>
          <w:rFonts w:ascii="Cambria" w:eastAsia="Times New Roman" w:hAnsi="Cambria" w:cstheme="minorHAnsi"/>
        </w:rPr>
        <w:t>e</w:t>
      </w:r>
      <w:r w:rsidRPr="009A0DA6">
        <w:rPr>
          <w:rFonts w:ascii="Cambria" w:eastAsia="Times New Roman" w:hAnsi="Cambria" w:cstheme="minorHAnsi"/>
          <w:spacing w:val="1"/>
        </w:rPr>
        <w:t>n</w:t>
      </w:r>
      <w:r w:rsidRPr="009A0DA6">
        <w:rPr>
          <w:rFonts w:ascii="Cambria" w:eastAsia="Times New Roman" w:hAnsi="Cambria" w:cstheme="minorHAnsi"/>
        </w:rPr>
        <w:t>ts</w:t>
      </w:r>
      <w:r w:rsidRPr="009A0DA6">
        <w:rPr>
          <w:rFonts w:ascii="Cambria" w:eastAsia="Times New Roman" w:hAnsi="Cambria" w:cstheme="minorHAnsi"/>
        </w:rPr>
        <w:tab/>
      </w:r>
      <w:r w:rsidRPr="009A0DA6">
        <w:rPr>
          <w:rFonts w:ascii="Cambria" w:eastAsia="Times New Roman" w:hAnsi="Cambria" w:cstheme="minorHAnsi"/>
        </w:rPr>
        <w:tab/>
      </w:r>
      <w:r w:rsidRPr="009A0DA6">
        <w:rPr>
          <w:rFonts w:ascii="Cambria" w:eastAsia="Times New Roman" w:hAnsi="Cambria" w:cstheme="minorHAnsi"/>
          <w:spacing w:val="1"/>
        </w:rPr>
        <w:t>92,3</w:t>
      </w:r>
      <w:r w:rsidRPr="009A0DA6">
        <w:rPr>
          <w:rFonts w:ascii="Cambria" w:eastAsia="Times New Roman" w:hAnsi="Cambria" w:cstheme="minorHAnsi"/>
          <w:spacing w:val="-1"/>
        </w:rPr>
        <w:t>2</w:t>
      </w:r>
      <w:r w:rsidRPr="009A0DA6">
        <w:rPr>
          <w:rFonts w:ascii="Cambria" w:eastAsia="Times New Roman" w:hAnsi="Cambria" w:cstheme="minorHAnsi"/>
        </w:rPr>
        <w:t>4</w:t>
      </w:r>
      <w:r w:rsidRPr="009A0DA6">
        <w:rPr>
          <w:rFonts w:ascii="Cambria" w:eastAsia="Times New Roman" w:hAnsi="Cambria" w:cstheme="minorHAnsi"/>
        </w:rPr>
        <w:tab/>
      </w:r>
      <w:r w:rsidRPr="009A0DA6">
        <w:rPr>
          <w:rFonts w:ascii="Cambria" w:eastAsia="Times New Roman" w:hAnsi="Cambria" w:cstheme="minorHAnsi"/>
          <w:spacing w:val="1"/>
        </w:rPr>
        <w:t>95,8</w:t>
      </w:r>
      <w:r w:rsidRPr="009A0DA6">
        <w:rPr>
          <w:rFonts w:ascii="Cambria" w:eastAsia="Times New Roman" w:hAnsi="Cambria" w:cstheme="minorHAnsi"/>
          <w:spacing w:val="-1"/>
        </w:rPr>
        <w:t>9</w:t>
      </w:r>
      <w:r w:rsidRPr="009A0DA6">
        <w:rPr>
          <w:rFonts w:ascii="Cambria" w:eastAsia="Times New Roman" w:hAnsi="Cambria" w:cstheme="minorHAnsi"/>
        </w:rPr>
        <w:t>6</w:t>
      </w:r>
      <w:r w:rsidRPr="009A0DA6">
        <w:rPr>
          <w:rFonts w:ascii="Cambria" w:eastAsia="Times New Roman" w:hAnsi="Cambria" w:cstheme="minorHAnsi"/>
        </w:rPr>
        <w:tab/>
        <w:t>(67,391)</w:t>
      </w:r>
    </w:p>
    <w:p w14:paraId="70046D00"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hAnsi="Cambria" w:cstheme="minorHAnsi"/>
          <w:b/>
        </w:rPr>
      </w:pPr>
      <w:r w:rsidRPr="009A0DA6">
        <w:rPr>
          <w:rFonts w:ascii="Cambria" w:eastAsia="Times New Roman" w:hAnsi="Cambria" w:cstheme="minorHAnsi"/>
        </w:rPr>
        <w:t>Net</w:t>
      </w:r>
      <w:r w:rsidRPr="009A0DA6">
        <w:rPr>
          <w:rFonts w:ascii="Cambria" w:eastAsia="Times New Roman" w:hAnsi="Cambria" w:cstheme="minorHAnsi"/>
          <w:spacing w:val="-3"/>
        </w:rPr>
        <w:t xml:space="preserve"> </w:t>
      </w:r>
      <w:r w:rsidRPr="009A0DA6">
        <w:rPr>
          <w:rFonts w:ascii="Cambria" w:eastAsia="Times New Roman" w:hAnsi="Cambria" w:cstheme="minorHAnsi"/>
        </w:rPr>
        <w:t>t</w:t>
      </w:r>
      <w:r w:rsidRPr="009A0DA6">
        <w:rPr>
          <w:rFonts w:ascii="Cambria" w:eastAsia="Times New Roman" w:hAnsi="Cambria" w:cstheme="minorHAnsi"/>
          <w:spacing w:val="1"/>
        </w:rPr>
        <w:t>r</w:t>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spacing w:val="2"/>
        </w:rPr>
        <w:t>s</w:t>
      </w:r>
      <w:r w:rsidRPr="009A0DA6">
        <w:rPr>
          <w:rFonts w:ascii="Cambria" w:eastAsia="Times New Roman" w:hAnsi="Cambria" w:cstheme="minorHAnsi"/>
          <w:spacing w:val="-1"/>
        </w:rPr>
        <w:t>f</w:t>
      </w:r>
      <w:r w:rsidRPr="009A0DA6">
        <w:rPr>
          <w:rFonts w:ascii="Cambria" w:eastAsia="Times New Roman" w:hAnsi="Cambria" w:cstheme="minorHAnsi"/>
        </w:rPr>
        <w:t>e</w:t>
      </w:r>
      <w:r w:rsidRPr="009A0DA6">
        <w:rPr>
          <w:rFonts w:ascii="Cambria" w:eastAsia="Times New Roman" w:hAnsi="Cambria" w:cstheme="minorHAnsi"/>
          <w:spacing w:val="1"/>
        </w:rPr>
        <w:t>r</w:t>
      </w:r>
      <w:r w:rsidRPr="009A0DA6">
        <w:rPr>
          <w:rFonts w:ascii="Cambria" w:eastAsia="Times New Roman" w:hAnsi="Cambria" w:cstheme="minorHAnsi"/>
        </w:rPr>
        <w:t>s</w:t>
      </w:r>
      <w:r w:rsidRPr="009A0DA6">
        <w:rPr>
          <w:rFonts w:ascii="Cambria" w:eastAsia="Times New Roman" w:hAnsi="Cambria" w:cstheme="minorHAnsi"/>
          <w:spacing w:val="-5"/>
        </w:rPr>
        <w:t xml:space="preserve"> </w:t>
      </w:r>
      <w:r w:rsidRPr="009A0DA6">
        <w:rPr>
          <w:rFonts w:ascii="Cambria" w:eastAsia="Times New Roman" w:hAnsi="Cambria" w:cstheme="minorHAnsi"/>
          <w:spacing w:val="-1"/>
        </w:rPr>
        <w:t>f</w:t>
      </w:r>
      <w:r w:rsidRPr="009A0DA6">
        <w:rPr>
          <w:rFonts w:ascii="Cambria" w:eastAsia="Times New Roman" w:hAnsi="Cambria" w:cstheme="minorHAnsi"/>
          <w:spacing w:val="1"/>
        </w:rPr>
        <w:t>r</w:t>
      </w:r>
      <w:r w:rsidRPr="009A0DA6">
        <w:rPr>
          <w:rFonts w:ascii="Cambria" w:eastAsia="Times New Roman" w:hAnsi="Cambria" w:cstheme="minorHAnsi"/>
          <w:spacing w:val="4"/>
        </w:rPr>
        <w:t>o</w:t>
      </w:r>
      <w:r w:rsidRPr="009A0DA6">
        <w:rPr>
          <w:rFonts w:ascii="Cambria" w:eastAsia="Times New Roman" w:hAnsi="Cambria" w:cstheme="minorHAnsi"/>
        </w:rPr>
        <w:t>m</w:t>
      </w:r>
      <w:r w:rsidRPr="009A0DA6">
        <w:rPr>
          <w:rFonts w:ascii="Cambria" w:eastAsia="Times New Roman" w:hAnsi="Cambria" w:cstheme="minorHAnsi"/>
          <w:spacing w:val="-7"/>
        </w:rPr>
        <w:t xml:space="preserve"> </w:t>
      </w:r>
      <w:r w:rsidRPr="009A0DA6">
        <w:rPr>
          <w:rFonts w:ascii="Cambria" w:eastAsia="Times New Roman" w:hAnsi="Cambria" w:cstheme="minorHAnsi"/>
          <w:spacing w:val="1"/>
        </w:rPr>
        <w:t>(</w:t>
      </w:r>
      <w:r w:rsidRPr="009A0DA6">
        <w:rPr>
          <w:rFonts w:ascii="Cambria" w:eastAsia="Times New Roman" w:hAnsi="Cambria" w:cstheme="minorHAnsi"/>
        </w:rPr>
        <w:t>t</w:t>
      </w:r>
      <w:r w:rsidRPr="009A0DA6">
        <w:rPr>
          <w:rFonts w:ascii="Cambria" w:eastAsia="Times New Roman" w:hAnsi="Cambria" w:cstheme="minorHAnsi"/>
          <w:spacing w:val="1"/>
        </w:rPr>
        <w:t>o</w:t>
      </w:r>
      <w:r w:rsidRPr="009A0DA6">
        <w:rPr>
          <w:rFonts w:ascii="Cambria" w:eastAsia="Times New Roman" w:hAnsi="Cambria" w:cstheme="minorHAnsi"/>
        </w:rPr>
        <w:t>)</w:t>
      </w:r>
      <w:r w:rsidRPr="009A0DA6">
        <w:rPr>
          <w:rFonts w:ascii="Cambria" w:eastAsia="Times New Roman" w:hAnsi="Cambria" w:cstheme="minorHAnsi"/>
          <w:spacing w:val="-2"/>
        </w:rPr>
        <w:t xml:space="preserve"> </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1"/>
        </w:rPr>
        <w:t>s</w:t>
      </w:r>
      <w:r w:rsidRPr="009A0DA6">
        <w:rPr>
          <w:rFonts w:ascii="Cambria" w:eastAsia="Times New Roman" w:hAnsi="Cambria" w:cstheme="minorHAnsi"/>
        </w:rPr>
        <w:t>e</w:t>
      </w:r>
      <w:r w:rsidRPr="009A0DA6">
        <w:rPr>
          <w:rFonts w:ascii="Cambria" w:eastAsia="Times New Roman" w:hAnsi="Cambria" w:cstheme="minorHAnsi"/>
          <w:spacing w:val="1"/>
        </w:rPr>
        <w:t>r</w:t>
      </w:r>
      <w:r w:rsidRPr="009A0DA6">
        <w:rPr>
          <w:rFonts w:ascii="Cambria" w:eastAsia="Times New Roman" w:hAnsi="Cambria" w:cstheme="minorHAnsi"/>
          <w:spacing w:val="-1"/>
        </w:rPr>
        <w:t>v</w:t>
      </w:r>
      <w:r w:rsidRPr="009A0DA6">
        <w:rPr>
          <w:rFonts w:ascii="Cambria" w:eastAsia="Times New Roman" w:hAnsi="Cambria" w:cstheme="minorHAnsi"/>
        </w:rPr>
        <w:t>e</w:t>
      </w:r>
      <w:r w:rsidRPr="009A0DA6">
        <w:rPr>
          <w:rFonts w:ascii="Cambria" w:eastAsia="Times New Roman" w:hAnsi="Cambria" w:cstheme="minorHAnsi"/>
          <w:spacing w:val="-3"/>
        </w:rPr>
        <w:t xml:space="preserve"> </w:t>
      </w:r>
      <w:r w:rsidRPr="009A0DA6">
        <w:rPr>
          <w:rFonts w:ascii="Cambria" w:eastAsia="Times New Roman" w:hAnsi="Cambria" w:cstheme="minorHAnsi"/>
        </w:rPr>
        <w:t>acc</w:t>
      </w:r>
      <w:r w:rsidRPr="009A0DA6">
        <w:rPr>
          <w:rFonts w:ascii="Cambria" w:eastAsia="Times New Roman" w:hAnsi="Cambria" w:cstheme="minorHAnsi"/>
          <w:spacing w:val="1"/>
        </w:rPr>
        <w:t>o</w:t>
      </w:r>
      <w:r w:rsidRPr="009A0DA6">
        <w:rPr>
          <w:rFonts w:ascii="Cambria" w:eastAsia="Times New Roman" w:hAnsi="Cambria" w:cstheme="minorHAnsi"/>
          <w:spacing w:val="-1"/>
        </w:rPr>
        <w:t>un</w:t>
      </w:r>
      <w:r w:rsidRPr="009A0DA6">
        <w:rPr>
          <w:rFonts w:ascii="Cambria" w:eastAsia="Times New Roman" w:hAnsi="Cambria" w:cstheme="minorHAnsi"/>
        </w:rPr>
        <w:t>ts</w:t>
      </w:r>
      <w:r w:rsidRPr="009A0DA6">
        <w:rPr>
          <w:rFonts w:ascii="Cambria" w:eastAsia="Times New Roman" w:hAnsi="Cambria" w:cstheme="minorHAnsi"/>
        </w:rPr>
        <w:tab/>
      </w:r>
      <w:r w:rsidRPr="009A0DA6">
        <w:rPr>
          <w:rFonts w:ascii="Cambria" w:eastAsia="Times New Roman" w:hAnsi="Cambria" w:cstheme="minorHAnsi"/>
        </w:rPr>
        <w:tab/>
      </w:r>
      <w:r w:rsidRPr="009A0DA6">
        <w:rPr>
          <w:rFonts w:ascii="Cambria" w:eastAsia="Times New Roman" w:hAnsi="Cambria" w:cstheme="minorHAnsi"/>
          <w:spacing w:val="1"/>
        </w:rPr>
        <w:t>28,6</w:t>
      </w:r>
      <w:r w:rsidRPr="009A0DA6">
        <w:rPr>
          <w:rFonts w:ascii="Cambria" w:eastAsia="Times New Roman" w:hAnsi="Cambria" w:cstheme="minorHAnsi"/>
          <w:spacing w:val="-1"/>
        </w:rPr>
        <w:t>9</w:t>
      </w:r>
      <w:r w:rsidRPr="009A0DA6">
        <w:rPr>
          <w:rFonts w:ascii="Cambria" w:eastAsia="Times New Roman" w:hAnsi="Cambria" w:cstheme="minorHAnsi"/>
        </w:rPr>
        <w:t>9</w:t>
      </w:r>
      <w:r w:rsidRPr="009A0DA6">
        <w:rPr>
          <w:rFonts w:ascii="Cambria" w:hAnsi="Cambria" w:cstheme="minorHAnsi"/>
        </w:rPr>
        <w:tab/>
      </w:r>
      <w:r w:rsidRPr="009A0DA6">
        <w:rPr>
          <w:rFonts w:ascii="Cambria" w:eastAsia="Times New Roman" w:hAnsi="Cambria" w:cstheme="minorHAnsi"/>
          <w:spacing w:val="1"/>
        </w:rPr>
        <w:t>(75,</w:t>
      </w:r>
      <w:r w:rsidRPr="009A0DA6">
        <w:rPr>
          <w:rFonts w:ascii="Cambria" w:eastAsia="Times New Roman" w:hAnsi="Cambria" w:cstheme="minorHAnsi"/>
          <w:spacing w:val="-1"/>
        </w:rPr>
        <w:t>6</w:t>
      </w:r>
      <w:r w:rsidRPr="009A0DA6">
        <w:rPr>
          <w:rFonts w:ascii="Cambria" w:eastAsia="Times New Roman" w:hAnsi="Cambria" w:cstheme="minorHAnsi"/>
          <w:spacing w:val="1"/>
        </w:rPr>
        <w:t>87</w:t>
      </w:r>
      <w:r w:rsidRPr="009A0DA6">
        <w:rPr>
          <w:rFonts w:ascii="Cambria" w:eastAsia="Times New Roman" w:hAnsi="Cambria" w:cstheme="minorHAnsi"/>
        </w:rPr>
        <w:t>)</w:t>
      </w:r>
      <w:r w:rsidRPr="009A0DA6">
        <w:rPr>
          <w:rFonts w:ascii="Cambria" w:eastAsia="Times New Roman" w:hAnsi="Cambria" w:cstheme="minorHAnsi"/>
        </w:rPr>
        <w:tab/>
        <w:t>(3,069)</w:t>
      </w:r>
    </w:p>
    <w:p w14:paraId="74D6886A"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eastAsia="Times New Roman" w:hAnsi="Cambria" w:cstheme="minorHAnsi"/>
          <w:spacing w:val="3"/>
        </w:rPr>
      </w:pPr>
      <w:r w:rsidRPr="009A0DA6">
        <w:rPr>
          <w:rFonts w:ascii="Cambria" w:eastAsia="Times New Roman" w:hAnsi="Cambria" w:cstheme="minorHAnsi"/>
          <w:spacing w:val="3"/>
        </w:rPr>
        <w:t>Gain on recognition of fixed assets</w:t>
      </w:r>
      <w:r w:rsidRPr="009A0DA6">
        <w:rPr>
          <w:rFonts w:ascii="Cambria" w:eastAsia="Times New Roman" w:hAnsi="Cambria" w:cstheme="minorHAnsi"/>
          <w:spacing w:val="3"/>
        </w:rPr>
        <w:tab/>
      </w:r>
      <w:r w:rsidRPr="009A0DA6">
        <w:rPr>
          <w:rFonts w:ascii="Cambria" w:eastAsia="Times New Roman" w:hAnsi="Cambria" w:cstheme="minorHAnsi"/>
          <w:spacing w:val="3"/>
        </w:rPr>
        <w:tab/>
        <w:t>0</w:t>
      </w:r>
      <w:r w:rsidRPr="009A0DA6">
        <w:rPr>
          <w:rFonts w:ascii="Cambria" w:eastAsia="Times New Roman" w:hAnsi="Cambria" w:cstheme="minorHAnsi"/>
          <w:spacing w:val="3"/>
        </w:rPr>
        <w:tab/>
        <w:t>0</w:t>
      </w:r>
      <w:r w:rsidRPr="009A0DA6">
        <w:rPr>
          <w:rFonts w:ascii="Cambria" w:eastAsia="Times New Roman" w:hAnsi="Cambria" w:cstheme="minorHAnsi"/>
          <w:spacing w:val="3"/>
        </w:rPr>
        <w:tab/>
        <w:t>405,129</w:t>
      </w:r>
    </w:p>
    <w:p w14:paraId="653C4E9B"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eastAsiaTheme="minorEastAsia" w:hAnsi="Cambria" w:cstheme="minorHAnsi"/>
          <w:b/>
        </w:rPr>
      </w:pPr>
      <w:r w:rsidRPr="009A0DA6">
        <w:rPr>
          <w:rFonts w:ascii="Cambria" w:eastAsia="Times New Roman" w:hAnsi="Cambria" w:cstheme="minorHAnsi"/>
          <w:spacing w:val="3"/>
        </w:rPr>
        <w:t>T</w:t>
      </w:r>
      <w:r w:rsidRPr="009A0DA6">
        <w:rPr>
          <w:rFonts w:ascii="Cambria" w:eastAsia="Times New Roman" w:hAnsi="Cambria" w:cstheme="minorHAnsi"/>
          <w:spacing w:val="1"/>
        </w:rPr>
        <w:t>r</w:t>
      </w:r>
      <w:r w:rsidRPr="009A0DA6">
        <w:rPr>
          <w:rFonts w:ascii="Cambria" w:eastAsia="Times New Roman" w:hAnsi="Cambria" w:cstheme="minorHAnsi"/>
        </w:rPr>
        <w:t>a</w:t>
      </w:r>
      <w:r w:rsidRPr="009A0DA6">
        <w:rPr>
          <w:rFonts w:ascii="Cambria" w:eastAsia="Times New Roman" w:hAnsi="Cambria" w:cstheme="minorHAnsi"/>
          <w:spacing w:val="-1"/>
        </w:rPr>
        <w:t>nsf</w:t>
      </w:r>
      <w:r w:rsidRPr="009A0DA6">
        <w:rPr>
          <w:rFonts w:ascii="Cambria" w:eastAsia="Times New Roman" w:hAnsi="Cambria" w:cstheme="minorHAnsi"/>
        </w:rPr>
        <w:t>er</w:t>
      </w:r>
      <w:r w:rsidRPr="009A0DA6">
        <w:rPr>
          <w:rFonts w:ascii="Cambria" w:eastAsia="Times New Roman" w:hAnsi="Cambria" w:cstheme="minorHAnsi"/>
          <w:spacing w:val="-6"/>
        </w:rPr>
        <w:t xml:space="preserve"> </w:t>
      </w:r>
      <w:r w:rsidRPr="009A0DA6">
        <w:rPr>
          <w:rFonts w:ascii="Cambria" w:eastAsia="Times New Roman" w:hAnsi="Cambria" w:cstheme="minorHAnsi"/>
          <w:spacing w:val="-1"/>
        </w:rPr>
        <w:t>f</w:t>
      </w:r>
      <w:r w:rsidRPr="009A0DA6">
        <w:rPr>
          <w:rFonts w:ascii="Cambria" w:eastAsia="Times New Roman" w:hAnsi="Cambria" w:cstheme="minorHAnsi"/>
          <w:spacing w:val="1"/>
        </w:rPr>
        <w:t>r</w:t>
      </w:r>
      <w:r w:rsidRPr="009A0DA6">
        <w:rPr>
          <w:rFonts w:ascii="Cambria" w:eastAsia="Times New Roman" w:hAnsi="Cambria" w:cstheme="minorHAnsi"/>
          <w:spacing w:val="4"/>
        </w:rPr>
        <w:t>o</w:t>
      </w:r>
      <w:r w:rsidRPr="009A0DA6">
        <w:rPr>
          <w:rFonts w:ascii="Cambria" w:eastAsia="Times New Roman" w:hAnsi="Cambria" w:cstheme="minorHAnsi"/>
        </w:rPr>
        <w:t>m</w:t>
      </w:r>
      <w:r w:rsidRPr="009A0DA6">
        <w:rPr>
          <w:rFonts w:ascii="Cambria" w:eastAsia="Times New Roman" w:hAnsi="Cambria" w:cstheme="minorHAnsi"/>
          <w:spacing w:val="-7"/>
        </w:rPr>
        <w:t xml:space="preserve"> </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1"/>
        </w:rPr>
        <w:t>v</w:t>
      </w:r>
      <w:r w:rsidRPr="009A0DA6">
        <w:rPr>
          <w:rFonts w:ascii="Cambria" w:eastAsia="Times New Roman" w:hAnsi="Cambria" w:cstheme="minorHAnsi"/>
        </w:rPr>
        <w:t>a</w:t>
      </w:r>
      <w:r w:rsidRPr="009A0DA6">
        <w:rPr>
          <w:rFonts w:ascii="Cambria" w:eastAsia="Times New Roman" w:hAnsi="Cambria" w:cstheme="minorHAnsi"/>
          <w:spacing w:val="2"/>
        </w:rPr>
        <w:t>l</w:t>
      </w:r>
      <w:r w:rsidRPr="009A0DA6">
        <w:rPr>
          <w:rFonts w:ascii="Cambria" w:eastAsia="Times New Roman" w:hAnsi="Cambria" w:cstheme="minorHAnsi"/>
          <w:spacing w:val="-1"/>
        </w:rPr>
        <w:t>u</w:t>
      </w:r>
      <w:r w:rsidRPr="009A0DA6">
        <w:rPr>
          <w:rFonts w:ascii="Cambria" w:eastAsia="Times New Roman" w:hAnsi="Cambria" w:cstheme="minorHAnsi"/>
        </w:rPr>
        <w:t>ati</w:t>
      </w:r>
      <w:r w:rsidRPr="009A0DA6">
        <w:rPr>
          <w:rFonts w:ascii="Cambria" w:eastAsia="Times New Roman" w:hAnsi="Cambria" w:cstheme="minorHAnsi"/>
          <w:spacing w:val="4"/>
        </w:rPr>
        <w:t>o</w:t>
      </w:r>
      <w:r w:rsidRPr="009A0DA6">
        <w:rPr>
          <w:rFonts w:ascii="Cambria" w:eastAsia="Times New Roman" w:hAnsi="Cambria" w:cstheme="minorHAnsi"/>
        </w:rPr>
        <w:t>n</w:t>
      </w:r>
      <w:r w:rsidRPr="009A0DA6">
        <w:rPr>
          <w:rFonts w:ascii="Cambria" w:eastAsia="Times New Roman" w:hAnsi="Cambria" w:cstheme="minorHAnsi"/>
          <w:spacing w:val="-10"/>
        </w:rPr>
        <w:t xml:space="preserve"> </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1"/>
        </w:rPr>
        <w:t>s</w:t>
      </w:r>
      <w:r w:rsidRPr="009A0DA6">
        <w:rPr>
          <w:rFonts w:ascii="Cambria" w:eastAsia="Times New Roman" w:hAnsi="Cambria" w:cstheme="minorHAnsi"/>
          <w:spacing w:val="3"/>
        </w:rPr>
        <w:t>e</w:t>
      </w:r>
      <w:r w:rsidRPr="009A0DA6">
        <w:rPr>
          <w:rFonts w:ascii="Cambria" w:eastAsia="Times New Roman" w:hAnsi="Cambria" w:cstheme="minorHAnsi"/>
          <w:spacing w:val="1"/>
        </w:rPr>
        <w:t>r</w:t>
      </w:r>
      <w:r w:rsidRPr="009A0DA6">
        <w:rPr>
          <w:rFonts w:ascii="Cambria" w:eastAsia="Times New Roman" w:hAnsi="Cambria" w:cstheme="minorHAnsi"/>
          <w:spacing w:val="-1"/>
        </w:rPr>
        <w:t>v</w:t>
      </w:r>
      <w:r w:rsidRPr="009A0DA6">
        <w:rPr>
          <w:rFonts w:ascii="Cambria" w:eastAsia="Times New Roman" w:hAnsi="Cambria" w:cstheme="minorHAnsi"/>
        </w:rPr>
        <w:t>e</w:t>
      </w:r>
      <w:r w:rsidRPr="009A0DA6">
        <w:rPr>
          <w:rFonts w:ascii="Cambria" w:eastAsia="Times New Roman" w:hAnsi="Cambria" w:cstheme="minorHAnsi"/>
          <w:spacing w:val="-5"/>
        </w:rPr>
        <w:t xml:space="preserve"> </w:t>
      </w:r>
      <w:r w:rsidRPr="009A0DA6">
        <w:rPr>
          <w:rFonts w:ascii="Cambria" w:eastAsia="Times New Roman" w:hAnsi="Cambria" w:cstheme="minorHAnsi"/>
          <w:spacing w:val="-1"/>
        </w:rPr>
        <w:t>u</w:t>
      </w:r>
      <w:r w:rsidRPr="009A0DA6">
        <w:rPr>
          <w:rFonts w:ascii="Cambria" w:eastAsia="Times New Roman" w:hAnsi="Cambria" w:cstheme="minorHAnsi"/>
          <w:spacing w:val="1"/>
        </w:rPr>
        <w:t>po</w:t>
      </w:r>
      <w:r w:rsidRPr="009A0DA6">
        <w:rPr>
          <w:rFonts w:ascii="Cambria" w:eastAsia="Times New Roman" w:hAnsi="Cambria" w:cstheme="minorHAnsi"/>
        </w:rPr>
        <w:t>n</w:t>
      </w:r>
      <w:r w:rsidRPr="009A0DA6">
        <w:rPr>
          <w:rFonts w:ascii="Cambria" w:eastAsia="Times New Roman" w:hAnsi="Cambria" w:cstheme="minorHAnsi"/>
          <w:spacing w:val="-5"/>
        </w:rPr>
        <w:t xml:space="preserve"> </w:t>
      </w:r>
      <w:r w:rsidRPr="009A0DA6">
        <w:rPr>
          <w:rFonts w:ascii="Cambria" w:eastAsia="Times New Roman" w:hAnsi="Cambria" w:cstheme="minorHAnsi"/>
          <w:spacing w:val="-1"/>
        </w:rPr>
        <w:t>s</w:t>
      </w:r>
      <w:r w:rsidRPr="009A0DA6">
        <w:rPr>
          <w:rFonts w:ascii="Cambria" w:eastAsia="Times New Roman" w:hAnsi="Cambria" w:cstheme="minorHAnsi"/>
        </w:rPr>
        <w:t>ale</w:t>
      </w:r>
      <w:r w:rsidRPr="009A0DA6">
        <w:rPr>
          <w:rFonts w:ascii="Cambria" w:eastAsia="Times New Roman" w:hAnsi="Cambria" w:cstheme="minorHAnsi"/>
          <w:spacing w:val="-2"/>
        </w:rPr>
        <w:t xml:space="preserve"> </w:t>
      </w:r>
      <w:r w:rsidRPr="009A0DA6">
        <w:rPr>
          <w:rFonts w:ascii="Cambria" w:eastAsia="Times New Roman" w:hAnsi="Cambria" w:cstheme="minorHAnsi"/>
          <w:spacing w:val="4"/>
        </w:rPr>
        <w:t>o</w:t>
      </w:r>
      <w:r w:rsidRPr="009A0DA6">
        <w:rPr>
          <w:rFonts w:ascii="Cambria" w:eastAsia="Times New Roman" w:hAnsi="Cambria" w:cstheme="minorHAnsi"/>
        </w:rPr>
        <w:t>f</w:t>
      </w:r>
      <w:r w:rsidRPr="009A0DA6">
        <w:rPr>
          <w:rFonts w:ascii="Cambria" w:eastAsia="Times New Roman" w:hAnsi="Cambria" w:cstheme="minorHAnsi"/>
          <w:spacing w:val="-3"/>
        </w:rPr>
        <w:t xml:space="preserve"> </w:t>
      </w:r>
      <w:r w:rsidRPr="009A0DA6">
        <w:rPr>
          <w:rFonts w:ascii="Cambria" w:eastAsia="Times New Roman" w:hAnsi="Cambria" w:cstheme="minorHAnsi"/>
          <w:spacing w:val="1"/>
        </w:rPr>
        <w:t>prop</w:t>
      </w:r>
      <w:r w:rsidRPr="009A0DA6">
        <w:rPr>
          <w:rFonts w:ascii="Cambria" w:eastAsia="Times New Roman" w:hAnsi="Cambria" w:cstheme="minorHAnsi"/>
        </w:rPr>
        <w:t>e</w:t>
      </w:r>
      <w:r w:rsidRPr="009A0DA6">
        <w:rPr>
          <w:rFonts w:ascii="Cambria" w:eastAsia="Times New Roman" w:hAnsi="Cambria" w:cstheme="minorHAnsi"/>
          <w:spacing w:val="1"/>
        </w:rPr>
        <w:t>r</w:t>
      </w:r>
      <w:r w:rsidRPr="009A0DA6">
        <w:rPr>
          <w:rFonts w:ascii="Cambria" w:eastAsia="Times New Roman" w:hAnsi="Cambria" w:cstheme="minorHAnsi"/>
        </w:rPr>
        <w:t xml:space="preserve">ty </w:t>
      </w:r>
      <w:r w:rsidRPr="009A0DA6">
        <w:rPr>
          <w:rFonts w:ascii="Cambria" w:eastAsia="Times New Roman" w:hAnsi="Cambria" w:cstheme="minorHAnsi"/>
          <w:spacing w:val="1"/>
        </w:rPr>
        <w:t>1(</w:t>
      </w:r>
      <w:r w:rsidRPr="009A0DA6">
        <w:rPr>
          <w:rFonts w:ascii="Cambria" w:eastAsia="Times New Roman" w:hAnsi="Cambria" w:cstheme="minorHAnsi"/>
          <w:spacing w:val="-1"/>
        </w:rPr>
        <w:t>g</w:t>
      </w:r>
      <w:r w:rsidRPr="009A0DA6">
        <w:rPr>
          <w:rFonts w:ascii="Cambria" w:eastAsia="Times New Roman" w:hAnsi="Cambria" w:cstheme="minorHAnsi"/>
          <w:spacing w:val="1"/>
        </w:rPr>
        <w:t>)</w:t>
      </w:r>
      <w:r w:rsidRPr="009A0DA6">
        <w:rPr>
          <w:rFonts w:ascii="Cambria" w:eastAsia="Times New Roman" w:hAnsi="Cambria" w:cstheme="minorHAnsi"/>
        </w:rPr>
        <w:tab/>
      </w:r>
      <w:r w:rsidRPr="009A0DA6">
        <w:rPr>
          <w:rFonts w:ascii="Cambria" w:eastAsia="Times New Roman" w:hAnsi="Cambria" w:cstheme="minorHAnsi"/>
          <w:w w:val="99"/>
        </w:rPr>
        <w:t>0</w:t>
      </w:r>
      <w:r w:rsidRPr="009A0DA6">
        <w:rPr>
          <w:rFonts w:ascii="Cambria" w:hAnsi="Cambria" w:cstheme="minorHAnsi"/>
        </w:rPr>
        <w:tab/>
      </w:r>
      <w:r w:rsidRPr="009A0DA6">
        <w:rPr>
          <w:rFonts w:ascii="Cambria" w:eastAsia="Times New Roman" w:hAnsi="Cambria" w:cstheme="minorHAnsi"/>
          <w:spacing w:val="1"/>
        </w:rPr>
        <w:t>671,</w:t>
      </w:r>
      <w:r w:rsidRPr="009A0DA6">
        <w:rPr>
          <w:rFonts w:ascii="Cambria" w:eastAsia="Times New Roman" w:hAnsi="Cambria" w:cstheme="minorHAnsi"/>
          <w:spacing w:val="-1"/>
        </w:rPr>
        <w:t>2</w:t>
      </w:r>
      <w:r w:rsidRPr="009A0DA6">
        <w:rPr>
          <w:rFonts w:ascii="Cambria" w:eastAsia="Times New Roman" w:hAnsi="Cambria" w:cstheme="minorHAnsi"/>
          <w:spacing w:val="1"/>
        </w:rPr>
        <w:t>1</w:t>
      </w:r>
      <w:r w:rsidRPr="009A0DA6">
        <w:rPr>
          <w:rFonts w:ascii="Cambria" w:eastAsia="Times New Roman" w:hAnsi="Cambria" w:cstheme="minorHAnsi"/>
        </w:rPr>
        <w:t>0</w:t>
      </w:r>
      <w:r w:rsidRPr="009A0DA6">
        <w:rPr>
          <w:rFonts w:ascii="Cambria" w:eastAsia="Times New Roman" w:hAnsi="Cambria" w:cstheme="minorHAnsi"/>
        </w:rPr>
        <w:tab/>
        <w:t>0</w:t>
      </w:r>
    </w:p>
    <w:p w14:paraId="55A07323"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hAnsi="Cambria" w:cstheme="minorHAnsi"/>
          <w:b/>
        </w:rPr>
      </w:pPr>
      <w:r w:rsidRPr="009A0DA6">
        <w:rPr>
          <w:rFonts w:ascii="Cambria" w:eastAsia="Times New Roman" w:hAnsi="Cambria" w:cstheme="minorHAnsi"/>
          <w:spacing w:val="3"/>
        </w:rPr>
        <w:t>T</w:t>
      </w:r>
      <w:r w:rsidRPr="009A0DA6">
        <w:rPr>
          <w:rFonts w:ascii="Cambria" w:eastAsia="Times New Roman" w:hAnsi="Cambria" w:cstheme="minorHAnsi"/>
          <w:spacing w:val="1"/>
        </w:rPr>
        <w:t>r</w:t>
      </w:r>
      <w:r w:rsidRPr="009A0DA6">
        <w:rPr>
          <w:rFonts w:ascii="Cambria" w:eastAsia="Times New Roman" w:hAnsi="Cambria" w:cstheme="minorHAnsi"/>
        </w:rPr>
        <w:t>a</w:t>
      </w:r>
      <w:r w:rsidRPr="009A0DA6">
        <w:rPr>
          <w:rFonts w:ascii="Cambria" w:eastAsia="Times New Roman" w:hAnsi="Cambria" w:cstheme="minorHAnsi"/>
          <w:spacing w:val="-1"/>
        </w:rPr>
        <w:t>nsf</w:t>
      </w:r>
      <w:r w:rsidRPr="009A0DA6">
        <w:rPr>
          <w:rFonts w:ascii="Cambria" w:eastAsia="Times New Roman" w:hAnsi="Cambria" w:cstheme="minorHAnsi"/>
        </w:rPr>
        <w:t>er</w:t>
      </w:r>
      <w:r w:rsidRPr="009A0DA6">
        <w:rPr>
          <w:rFonts w:ascii="Cambria" w:eastAsia="Times New Roman" w:hAnsi="Cambria" w:cstheme="minorHAnsi"/>
          <w:spacing w:val="-6"/>
        </w:rPr>
        <w:t xml:space="preserve"> </w:t>
      </w:r>
      <w:r w:rsidRPr="009A0DA6">
        <w:rPr>
          <w:rFonts w:ascii="Cambria" w:eastAsia="Times New Roman" w:hAnsi="Cambria" w:cstheme="minorHAnsi"/>
          <w:spacing w:val="1"/>
        </w:rPr>
        <w:t>o</w:t>
      </w:r>
      <w:r w:rsidRPr="009A0DA6">
        <w:rPr>
          <w:rFonts w:ascii="Cambria" w:eastAsia="Times New Roman" w:hAnsi="Cambria" w:cstheme="minorHAnsi"/>
        </w:rPr>
        <w:t>f</w:t>
      </w:r>
      <w:r w:rsidRPr="009A0DA6">
        <w:rPr>
          <w:rFonts w:ascii="Cambria" w:eastAsia="Times New Roman" w:hAnsi="Cambria" w:cstheme="minorHAnsi"/>
          <w:spacing w:val="-3"/>
        </w:rPr>
        <w:t xml:space="preserve"> </w:t>
      </w:r>
      <w:r w:rsidRPr="009A0DA6">
        <w:rPr>
          <w:rFonts w:ascii="Cambria" w:eastAsia="Times New Roman" w:hAnsi="Cambria" w:cstheme="minorHAnsi"/>
          <w:spacing w:val="1"/>
        </w:rPr>
        <w:t>prop</w:t>
      </w:r>
      <w:r w:rsidRPr="009A0DA6">
        <w:rPr>
          <w:rFonts w:ascii="Cambria" w:eastAsia="Times New Roman" w:hAnsi="Cambria" w:cstheme="minorHAnsi"/>
        </w:rPr>
        <w:t>e</w:t>
      </w:r>
      <w:r w:rsidRPr="009A0DA6">
        <w:rPr>
          <w:rFonts w:ascii="Cambria" w:eastAsia="Times New Roman" w:hAnsi="Cambria" w:cstheme="minorHAnsi"/>
          <w:spacing w:val="1"/>
        </w:rPr>
        <w:t>r</w:t>
      </w:r>
      <w:r w:rsidRPr="009A0DA6">
        <w:rPr>
          <w:rFonts w:ascii="Cambria" w:eastAsia="Times New Roman" w:hAnsi="Cambria" w:cstheme="minorHAnsi"/>
        </w:rPr>
        <w:t>ty</w:t>
      </w:r>
      <w:r w:rsidRPr="009A0DA6">
        <w:rPr>
          <w:rFonts w:ascii="Cambria" w:eastAsia="Times New Roman" w:hAnsi="Cambria" w:cstheme="minorHAnsi"/>
          <w:spacing w:val="-10"/>
        </w:rPr>
        <w:t xml:space="preserve"> </w:t>
      </w:r>
      <w:r w:rsidRPr="009A0DA6">
        <w:rPr>
          <w:rFonts w:ascii="Cambria" w:eastAsia="Times New Roman" w:hAnsi="Cambria" w:cstheme="minorHAnsi"/>
        </w:rPr>
        <w:t>at</w:t>
      </w:r>
      <w:r w:rsidRPr="009A0DA6">
        <w:rPr>
          <w:rFonts w:ascii="Cambria" w:eastAsia="Times New Roman" w:hAnsi="Cambria" w:cstheme="minorHAnsi"/>
          <w:spacing w:val="-1"/>
        </w:rPr>
        <w:t xml:space="preserve"> </w:t>
      </w:r>
      <w:r w:rsidRPr="009A0DA6">
        <w:rPr>
          <w:rFonts w:ascii="Cambria" w:eastAsia="Times New Roman" w:hAnsi="Cambria" w:cstheme="minorHAnsi"/>
        </w:rPr>
        <w:t>c</w:t>
      </w:r>
      <w:r w:rsidRPr="009A0DA6">
        <w:rPr>
          <w:rFonts w:ascii="Cambria" w:eastAsia="Times New Roman" w:hAnsi="Cambria" w:cstheme="minorHAnsi"/>
          <w:spacing w:val="1"/>
        </w:rPr>
        <w:t>o</w:t>
      </w:r>
      <w:r w:rsidRPr="009A0DA6">
        <w:rPr>
          <w:rFonts w:ascii="Cambria" w:eastAsia="Times New Roman" w:hAnsi="Cambria" w:cstheme="minorHAnsi"/>
          <w:spacing w:val="-1"/>
        </w:rPr>
        <w:t>s</w:t>
      </w:r>
      <w:r w:rsidRPr="009A0DA6">
        <w:rPr>
          <w:rFonts w:ascii="Cambria" w:eastAsia="Times New Roman" w:hAnsi="Cambria" w:cstheme="minorHAnsi"/>
        </w:rPr>
        <w:t>t</w:t>
      </w:r>
      <w:r w:rsidRPr="009A0DA6">
        <w:rPr>
          <w:rFonts w:ascii="Cambria" w:eastAsia="Times New Roman" w:hAnsi="Cambria" w:cstheme="minorHAnsi"/>
          <w:spacing w:val="-3"/>
        </w:rPr>
        <w:t xml:space="preserve"> </w:t>
      </w:r>
      <w:r w:rsidRPr="009A0DA6">
        <w:rPr>
          <w:rFonts w:ascii="Cambria" w:eastAsia="Times New Roman" w:hAnsi="Cambria" w:cstheme="minorHAnsi"/>
        </w:rPr>
        <w:t xml:space="preserve">to </w:t>
      </w:r>
      <w:r w:rsidRPr="009A0DA6">
        <w:rPr>
          <w:rFonts w:ascii="Cambria" w:eastAsia="Times New Roman" w:hAnsi="Cambria" w:cstheme="minorHAnsi"/>
          <w:spacing w:val="-2"/>
        </w:rPr>
        <w:t>L</w:t>
      </w:r>
      <w:r w:rsidRPr="009A0DA6">
        <w:rPr>
          <w:rFonts w:ascii="Cambria" w:eastAsia="Times New Roman" w:hAnsi="Cambria" w:cstheme="minorHAnsi"/>
          <w:spacing w:val="2"/>
        </w:rPr>
        <w:t>C</w:t>
      </w:r>
      <w:r w:rsidRPr="009A0DA6">
        <w:rPr>
          <w:rFonts w:ascii="Cambria" w:eastAsia="Times New Roman" w:hAnsi="Cambria" w:cstheme="minorHAnsi"/>
        </w:rPr>
        <w:t>A</w:t>
      </w:r>
      <w:r w:rsidRPr="009A0DA6">
        <w:rPr>
          <w:rFonts w:ascii="Cambria" w:eastAsia="Times New Roman" w:hAnsi="Cambria" w:cstheme="minorHAnsi"/>
          <w:spacing w:val="-3"/>
        </w:rPr>
        <w:t xml:space="preserve"> </w:t>
      </w:r>
      <w:r w:rsidRPr="009A0DA6">
        <w:rPr>
          <w:rFonts w:ascii="Cambria" w:eastAsia="Times New Roman" w:hAnsi="Cambria" w:cstheme="minorHAnsi"/>
          <w:spacing w:val="2"/>
        </w:rPr>
        <w:t>P</w:t>
      </w:r>
      <w:r w:rsidRPr="009A0DA6">
        <w:rPr>
          <w:rFonts w:ascii="Cambria" w:eastAsia="Times New Roman" w:hAnsi="Cambria" w:cstheme="minorHAnsi"/>
          <w:spacing w:val="1"/>
        </w:rPr>
        <w:t>rop</w:t>
      </w:r>
      <w:r w:rsidRPr="009A0DA6">
        <w:rPr>
          <w:rFonts w:ascii="Cambria" w:eastAsia="Times New Roman" w:hAnsi="Cambria" w:cstheme="minorHAnsi"/>
        </w:rPr>
        <w:t>e</w:t>
      </w:r>
      <w:r w:rsidRPr="009A0DA6">
        <w:rPr>
          <w:rFonts w:ascii="Cambria" w:eastAsia="Times New Roman" w:hAnsi="Cambria" w:cstheme="minorHAnsi"/>
          <w:spacing w:val="1"/>
        </w:rPr>
        <w:t>r</w:t>
      </w:r>
      <w:r w:rsidRPr="009A0DA6">
        <w:rPr>
          <w:rFonts w:ascii="Cambria" w:eastAsia="Times New Roman" w:hAnsi="Cambria" w:cstheme="minorHAnsi"/>
        </w:rPr>
        <w:t>ty</w:t>
      </w:r>
      <w:r w:rsidRPr="009A0DA6">
        <w:rPr>
          <w:rFonts w:ascii="Cambria" w:eastAsia="Times New Roman" w:hAnsi="Cambria" w:cstheme="minorHAnsi"/>
          <w:spacing w:val="-10"/>
        </w:rPr>
        <w:t xml:space="preserve"> </w:t>
      </w:r>
      <w:r w:rsidRPr="009A0DA6">
        <w:rPr>
          <w:rFonts w:ascii="Cambria" w:eastAsia="Times New Roman" w:hAnsi="Cambria" w:cstheme="minorHAnsi"/>
          <w:spacing w:val="-2"/>
        </w:rPr>
        <w:t>L</w:t>
      </w:r>
      <w:r w:rsidRPr="009A0DA6">
        <w:rPr>
          <w:rFonts w:ascii="Cambria" w:eastAsia="Times New Roman" w:hAnsi="Cambria" w:cstheme="minorHAnsi"/>
        </w:rPr>
        <w:t>td</w:t>
      </w:r>
      <w:r w:rsidRPr="009A0DA6">
        <w:rPr>
          <w:rFonts w:ascii="Cambria" w:eastAsia="Times New Roman" w:hAnsi="Cambria" w:cstheme="minorHAnsi"/>
        </w:rPr>
        <w:tab/>
      </w:r>
      <w:r w:rsidRPr="009A0DA6">
        <w:rPr>
          <w:rFonts w:ascii="Cambria" w:eastAsia="Times New Roman" w:hAnsi="Cambria" w:cstheme="minorHAnsi"/>
          <w:spacing w:val="1"/>
        </w:rPr>
        <w:t>(498</w:t>
      </w:r>
      <w:r w:rsidRPr="009A0DA6">
        <w:rPr>
          <w:rFonts w:ascii="Cambria" w:eastAsia="Times New Roman" w:hAnsi="Cambria" w:cstheme="minorHAnsi"/>
          <w:spacing w:val="-2"/>
        </w:rPr>
        <w:t>,</w:t>
      </w:r>
      <w:r w:rsidRPr="009A0DA6">
        <w:rPr>
          <w:rFonts w:ascii="Cambria" w:eastAsia="Times New Roman" w:hAnsi="Cambria" w:cstheme="minorHAnsi"/>
          <w:spacing w:val="1"/>
        </w:rPr>
        <w:t>00</w:t>
      </w:r>
      <w:r w:rsidRPr="009A0DA6">
        <w:rPr>
          <w:rFonts w:ascii="Cambria" w:eastAsia="Times New Roman" w:hAnsi="Cambria" w:cstheme="minorHAnsi"/>
          <w:spacing w:val="-1"/>
        </w:rPr>
        <w:t>0</w:t>
      </w:r>
      <w:r w:rsidRPr="009A0DA6">
        <w:rPr>
          <w:rFonts w:ascii="Cambria" w:eastAsia="Times New Roman" w:hAnsi="Cambria" w:cstheme="minorHAnsi"/>
        </w:rPr>
        <w:t>)</w:t>
      </w:r>
      <w:r w:rsidRPr="009A0DA6">
        <w:rPr>
          <w:rFonts w:ascii="Cambria" w:eastAsia="Times New Roman" w:hAnsi="Cambria" w:cstheme="minorHAnsi"/>
        </w:rPr>
        <w:tab/>
      </w:r>
      <w:r w:rsidRPr="009A0DA6">
        <w:rPr>
          <w:rFonts w:ascii="Cambria" w:eastAsia="Times New Roman" w:hAnsi="Cambria" w:cstheme="minorHAnsi"/>
          <w:w w:val="99"/>
        </w:rPr>
        <w:t>0</w:t>
      </w:r>
      <w:r w:rsidRPr="009A0DA6">
        <w:rPr>
          <w:rFonts w:ascii="Cambria" w:eastAsia="Times New Roman" w:hAnsi="Cambria" w:cstheme="minorHAnsi"/>
          <w:w w:val="99"/>
        </w:rPr>
        <w:tab/>
        <w:t>0</w:t>
      </w:r>
    </w:p>
    <w:p w14:paraId="076DF5F6"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hAnsi="Cambria" w:cstheme="minorHAnsi"/>
          <w:b/>
        </w:rPr>
      </w:pPr>
      <w:r w:rsidRPr="009A0DA6">
        <w:rPr>
          <w:rFonts w:ascii="Cambria" w:eastAsia="Times New Roman" w:hAnsi="Cambria" w:cstheme="minorHAnsi"/>
          <w:b/>
          <w:spacing w:val="-1"/>
        </w:rPr>
        <w:t>T</w:t>
      </w:r>
      <w:r w:rsidRPr="009A0DA6">
        <w:rPr>
          <w:rFonts w:ascii="Cambria" w:eastAsia="Times New Roman" w:hAnsi="Cambria" w:cstheme="minorHAnsi"/>
          <w:b/>
          <w:spacing w:val="1"/>
        </w:rPr>
        <w:t>O</w:t>
      </w:r>
      <w:r w:rsidRPr="009A0DA6">
        <w:rPr>
          <w:rFonts w:ascii="Cambria" w:eastAsia="Times New Roman" w:hAnsi="Cambria" w:cstheme="minorHAnsi"/>
          <w:b/>
          <w:spacing w:val="-1"/>
        </w:rPr>
        <w:t>T</w:t>
      </w:r>
      <w:r w:rsidRPr="009A0DA6">
        <w:rPr>
          <w:rFonts w:ascii="Cambria" w:eastAsia="Times New Roman" w:hAnsi="Cambria" w:cstheme="minorHAnsi"/>
          <w:b/>
          <w:spacing w:val="3"/>
        </w:rPr>
        <w:t>A</w:t>
      </w:r>
      <w:r w:rsidRPr="009A0DA6">
        <w:rPr>
          <w:rFonts w:ascii="Cambria" w:eastAsia="Times New Roman" w:hAnsi="Cambria" w:cstheme="minorHAnsi"/>
          <w:b/>
        </w:rPr>
        <w:t>L</w:t>
      </w:r>
      <w:r w:rsidRPr="009A0DA6">
        <w:rPr>
          <w:rFonts w:ascii="Cambria" w:eastAsia="Times New Roman" w:hAnsi="Cambria" w:cstheme="minorHAnsi"/>
          <w:b/>
          <w:spacing w:val="38"/>
        </w:rPr>
        <w:t xml:space="preserve"> </w:t>
      </w:r>
      <w:r w:rsidRPr="009A0DA6">
        <w:rPr>
          <w:rFonts w:ascii="Cambria" w:eastAsia="Times New Roman" w:hAnsi="Cambria" w:cstheme="minorHAnsi"/>
          <w:b/>
        </w:rPr>
        <w:t>ACCU</w:t>
      </w:r>
      <w:r w:rsidRPr="009A0DA6">
        <w:rPr>
          <w:rFonts w:ascii="Cambria" w:eastAsia="Times New Roman" w:hAnsi="Cambria" w:cstheme="minorHAnsi"/>
          <w:b/>
          <w:spacing w:val="4"/>
        </w:rPr>
        <w:t>M</w:t>
      </w:r>
      <w:r w:rsidRPr="009A0DA6">
        <w:rPr>
          <w:rFonts w:ascii="Cambria" w:eastAsia="Times New Roman" w:hAnsi="Cambria" w:cstheme="minorHAnsi"/>
          <w:b/>
        </w:rPr>
        <w:t>U</w:t>
      </w:r>
      <w:r w:rsidRPr="009A0DA6">
        <w:rPr>
          <w:rFonts w:ascii="Cambria" w:eastAsia="Times New Roman" w:hAnsi="Cambria" w:cstheme="minorHAnsi"/>
          <w:b/>
          <w:spacing w:val="-1"/>
        </w:rPr>
        <w:t>L</w:t>
      </w:r>
      <w:r w:rsidRPr="009A0DA6">
        <w:rPr>
          <w:rFonts w:ascii="Cambria" w:eastAsia="Times New Roman" w:hAnsi="Cambria" w:cstheme="minorHAnsi"/>
          <w:b/>
          <w:spacing w:val="3"/>
        </w:rPr>
        <w:t>A</w:t>
      </w:r>
      <w:r w:rsidRPr="009A0DA6">
        <w:rPr>
          <w:rFonts w:ascii="Cambria" w:eastAsia="Times New Roman" w:hAnsi="Cambria" w:cstheme="minorHAnsi"/>
          <w:b/>
          <w:spacing w:val="-1"/>
        </w:rPr>
        <w:t>TE</w:t>
      </w:r>
      <w:r w:rsidRPr="009A0DA6">
        <w:rPr>
          <w:rFonts w:ascii="Cambria" w:eastAsia="Times New Roman" w:hAnsi="Cambria" w:cstheme="minorHAnsi"/>
          <w:b/>
        </w:rPr>
        <w:t>D</w:t>
      </w:r>
      <w:r w:rsidRPr="009A0DA6">
        <w:rPr>
          <w:rFonts w:ascii="Cambria" w:eastAsia="Times New Roman" w:hAnsi="Cambria" w:cstheme="minorHAnsi"/>
          <w:b/>
          <w:spacing w:val="3"/>
        </w:rPr>
        <w:t xml:space="preserve"> </w:t>
      </w:r>
      <w:r w:rsidRPr="009A0DA6">
        <w:rPr>
          <w:rFonts w:ascii="Cambria" w:eastAsia="Times New Roman" w:hAnsi="Cambria" w:cstheme="minorHAnsi"/>
          <w:b/>
          <w:spacing w:val="1"/>
        </w:rPr>
        <w:t>F</w:t>
      </w:r>
      <w:r w:rsidRPr="009A0DA6">
        <w:rPr>
          <w:rFonts w:ascii="Cambria" w:eastAsia="Times New Roman" w:hAnsi="Cambria" w:cstheme="minorHAnsi"/>
          <w:b/>
        </w:rPr>
        <w:t>UNDS</w:t>
      </w:r>
      <w:r w:rsidRPr="009A0DA6">
        <w:rPr>
          <w:rFonts w:ascii="Cambria" w:eastAsia="Times New Roman" w:hAnsi="Cambria" w:cstheme="minorHAnsi"/>
          <w:b/>
          <w:spacing w:val="-45"/>
        </w:rPr>
        <w:t xml:space="preserve"> </w:t>
      </w:r>
      <w:r w:rsidRPr="009A0DA6">
        <w:rPr>
          <w:rFonts w:ascii="Cambria" w:eastAsia="Times New Roman" w:hAnsi="Cambria" w:cstheme="minorHAnsi"/>
          <w:b/>
        </w:rPr>
        <w:tab/>
      </w:r>
      <w:r w:rsidRPr="009A0DA6">
        <w:rPr>
          <w:rFonts w:ascii="Cambria" w:eastAsia="Times New Roman" w:hAnsi="Cambria" w:cstheme="minorHAnsi"/>
          <w:b/>
        </w:rPr>
        <w:tab/>
      </w:r>
      <w:r w:rsidRPr="009A0DA6">
        <w:rPr>
          <w:rFonts w:ascii="Cambria" w:eastAsia="Times New Roman" w:hAnsi="Cambria" w:cstheme="minorHAnsi"/>
          <w:b/>
          <w:w w:val="99"/>
        </w:rPr>
        <w:t xml:space="preserve"> </w:t>
      </w:r>
      <w:r w:rsidRPr="009A0DA6">
        <w:rPr>
          <w:rFonts w:ascii="Cambria" w:eastAsia="Times New Roman" w:hAnsi="Cambria" w:cstheme="minorHAnsi"/>
          <w:b/>
          <w:spacing w:val="1"/>
        </w:rPr>
        <w:t xml:space="preserve"> $3,4</w:t>
      </w:r>
      <w:r w:rsidRPr="009A0DA6">
        <w:rPr>
          <w:rFonts w:ascii="Cambria" w:eastAsia="Times New Roman" w:hAnsi="Cambria" w:cstheme="minorHAnsi"/>
          <w:b/>
          <w:spacing w:val="-1"/>
        </w:rPr>
        <w:t>9</w:t>
      </w:r>
      <w:r w:rsidRPr="009A0DA6">
        <w:rPr>
          <w:rFonts w:ascii="Cambria" w:eastAsia="Times New Roman" w:hAnsi="Cambria" w:cstheme="minorHAnsi"/>
          <w:b/>
          <w:spacing w:val="1"/>
        </w:rPr>
        <w:t>8,</w:t>
      </w:r>
      <w:r w:rsidRPr="009A0DA6">
        <w:rPr>
          <w:rFonts w:ascii="Cambria" w:eastAsia="Times New Roman" w:hAnsi="Cambria" w:cstheme="minorHAnsi"/>
          <w:b/>
          <w:spacing w:val="-1"/>
        </w:rPr>
        <w:t>9</w:t>
      </w:r>
      <w:r w:rsidRPr="009A0DA6">
        <w:rPr>
          <w:rFonts w:ascii="Cambria" w:eastAsia="Times New Roman" w:hAnsi="Cambria" w:cstheme="minorHAnsi"/>
          <w:b/>
          <w:spacing w:val="1"/>
        </w:rPr>
        <w:t>8</w:t>
      </w:r>
      <w:r w:rsidRPr="009A0DA6">
        <w:rPr>
          <w:rFonts w:ascii="Cambria" w:eastAsia="Times New Roman" w:hAnsi="Cambria" w:cstheme="minorHAnsi"/>
          <w:b/>
        </w:rPr>
        <w:t>7</w:t>
      </w:r>
      <w:r w:rsidRPr="009A0DA6">
        <w:rPr>
          <w:rFonts w:ascii="Cambria" w:eastAsia="Times New Roman" w:hAnsi="Cambria" w:cstheme="minorHAnsi"/>
          <w:b/>
          <w:spacing w:val="-42"/>
        </w:rPr>
        <w:t xml:space="preserve"> </w:t>
      </w:r>
      <w:r w:rsidRPr="009A0DA6">
        <w:rPr>
          <w:rFonts w:ascii="Cambria" w:eastAsia="Times New Roman" w:hAnsi="Cambria" w:cstheme="minorHAnsi"/>
          <w:b/>
        </w:rPr>
        <w:tab/>
      </w:r>
      <w:r w:rsidRPr="009A0DA6">
        <w:rPr>
          <w:rFonts w:ascii="Cambria" w:eastAsia="Times New Roman" w:hAnsi="Cambria" w:cstheme="minorHAnsi"/>
          <w:b/>
          <w:spacing w:val="1"/>
          <w:w w:val="99"/>
        </w:rPr>
        <w:t xml:space="preserve"> $</w:t>
      </w:r>
      <w:r w:rsidRPr="009A0DA6">
        <w:rPr>
          <w:rFonts w:ascii="Cambria" w:eastAsia="Times New Roman" w:hAnsi="Cambria" w:cstheme="minorHAnsi"/>
          <w:b/>
          <w:spacing w:val="1"/>
        </w:rPr>
        <w:t>4,0</w:t>
      </w:r>
      <w:r w:rsidRPr="009A0DA6">
        <w:rPr>
          <w:rFonts w:ascii="Cambria" w:eastAsia="Times New Roman" w:hAnsi="Cambria" w:cstheme="minorHAnsi"/>
          <w:b/>
          <w:spacing w:val="-1"/>
        </w:rPr>
        <w:t>8</w:t>
      </w:r>
      <w:r w:rsidRPr="009A0DA6">
        <w:rPr>
          <w:rFonts w:ascii="Cambria" w:eastAsia="Times New Roman" w:hAnsi="Cambria" w:cstheme="minorHAnsi"/>
          <w:b/>
          <w:spacing w:val="1"/>
        </w:rPr>
        <w:t>2,3</w:t>
      </w:r>
      <w:r w:rsidRPr="009A0DA6">
        <w:rPr>
          <w:rFonts w:ascii="Cambria" w:eastAsia="Times New Roman" w:hAnsi="Cambria" w:cstheme="minorHAnsi"/>
          <w:b/>
          <w:spacing w:val="-1"/>
        </w:rPr>
        <w:t>2</w:t>
      </w:r>
      <w:r w:rsidRPr="009A0DA6">
        <w:rPr>
          <w:rFonts w:ascii="Cambria" w:eastAsia="Times New Roman" w:hAnsi="Cambria" w:cstheme="minorHAnsi"/>
          <w:b/>
        </w:rPr>
        <w:t>8</w:t>
      </w:r>
      <w:r w:rsidRPr="009A0DA6">
        <w:rPr>
          <w:rFonts w:ascii="Cambria" w:eastAsia="Times New Roman" w:hAnsi="Cambria" w:cstheme="minorHAnsi"/>
          <w:b/>
        </w:rPr>
        <w:tab/>
        <w:t>$3,581,164</w:t>
      </w:r>
    </w:p>
    <w:p w14:paraId="20819597"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hAnsi="Cambria" w:cstheme="minorHAnsi"/>
          <w:b/>
        </w:rPr>
      </w:pPr>
    </w:p>
    <w:p w14:paraId="265496AD"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hAnsi="Cambria" w:cstheme="minorHAnsi"/>
          <w:b/>
        </w:rPr>
      </w:pPr>
      <w:r w:rsidRPr="009A0DA6">
        <w:rPr>
          <w:rFonts w:ascii="Cambria" w:eastAsia="Times New Roman" w:hAnsi="Cambria" w:cstheme="minorHAnsi"/>
          <w:spacing w:val="-1"/>
        </w:rPr>
        <w:t>C</w:t>
      </w:r>
      <w:r w:rsidRPr="009A0DA6">
        <w:rPr>
          <w:rFonts w:ascii="Cambria" w:eastAsia="Times New Roman" w:hAnsi="Cambria" w:cstheme="minorHAnsi"/>
          <w:spacing w:val="1"/>
        </w:rPr>
        <w:t>o</w:t>
      </w:r>
      <w:r w:rsidRPr="009A0DA6">
        <w:rPr>
          <w:rFonts w:ascii="Cambria" w:eastAsia="Times New Roman" w:hAnsi="Cambria" w:cstheme="minorHAnsi"/>
          <w:spacing w:val="4"/>
        </w:rPr>
        <w:t>m</w:t>
      </w:r>
      <w:r w:rsidRPr="009A0DA6">
        <w:rPr>
          <w:rFonts w:ascii="Cambria" w:eastAsia="Times New Roman" w:hAnsi="Cambria" w:cstheme="minorHAnsi"/>
          <w:spacing w:val="1"/>
        </w:rPr>
        <w:t>p</w:t>
      </w:r>
      <w:r w:rsidRPr="009A0DA6">
        <w:rPr>
          <w:rFonts w:ascii="Cambria" w:eastAsia="Times New Roman" w:hAnsi="Cambria" w:cstheme="minorHAnsi"/>
          <w:spacing w:val="-1"/>
        </w:rPr>
        <w:t>r</w:t>
      </w:r>
      <w:r w:rsidRPr="009A0DA6">
        <w:rPr>
          <w:rFonts w:ascii="Cambria" w:eastAsia="Times New Roman" w:hAnsi="Cambria" w:cstheme="minorHAnsi"/>
        </w:rPr>
        <w:t>i</w:t>
      </w:r>
      <w:r w:rsidRPr="009A0DA6">
        <w:rPr>
          <w:rFonts w:ascii="Cambria" w:eastAsia="Times New Roman" w:hAnsi="Cambria" w:cstheme="minorHAnsi"/>
          <w:spacing w:val="-1"/>
        </w:rPr>
        <w:t>s</w:t>
      </w:r>
      <w:r w:rsidRPr="009A0DA6">
        <w:rPr>
          <w:rFonts w:ascii="Cambria" w:eastAsia="Times New Roman" w:hAnsi="Cambria" w:cstheme="minorHAnsi"/>
        </w:rPr>
        <w:t>ed</w:t>
      </w:r>
      <w:r w:rsidRPr="009A0DA6">
        <w:rPr>
          <w:rFonts w:ascii="Cambria" w:eastAsia="Times New Roman" w:hAnsi="Cambria" w:cstheme="minorHAnsi"/>
          <w:spacing w:val="5"/>
        </w:rPr>
        <w:t xml:space="preserve"> </w:t>
      </w:r>
      <w:r w:rsidRPr="009A0DA6">
        <w:rPr>
          <w:rFonts w:ascii="Cambria" w:eastAsia="Times New Roman" w:hAnsi="Cambria" w:cstheme="minorHAnsi"/>
          <w:spacing w:val="1"/>
          <w:w w:val="104"/>
        </w:rPr>
        <w:t>o</w:t>
      </w:r>
      <w:r w:rsidRPr="009A0DA6">
        <w:rPr>
          <w:rFonts w:ascii="Cambria" w:eastAsia="Times New Roman" w:hAnsi="Cambria" w:cstheme="minorHAnsi"/>
          <w:spacing w:val="-1"/>
          <w:w w:val="104"/>
        </w:rPr>
        <w:t>f</w:t>
      </w:r>
      <w:r w:rsidRPr="009A0DA6">
        <w:rPr>
          <w:rFonts w:ascii="Cambria" w:eastAsia="Times New Roman" w:hAnsi="Cambria" w:cstheme="minorHAnsi"/>
          <w:w w:val="104"/>
        </w:rPr>
        <w:t>:</w:t>
      </w:r>
    </w:p>
    <w:p w14:paraId="16253601"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eastAsia="Times New Roman" w:hAnsi="Cambria" w:cstheme="minorHAnsi"/>
        </w:rPr>
      </w:pPr>
      <w:r w:rsidRPr="009A0DA6">
        <w:rPr>
          <w:rFonts w:ascii="Cambria" w:eastAsia="Times New Roman" w:hAnsi="Cambria" w:cstheme="minorHAnsi"/>
          <w:spacing w:val="-2"/>
        </w:rPr>
        <w:t>L</w:t>
      </w:r>
      <w:r w:rsidRPr="009A0DA6">
        <w:rPr>
          <w:rFonts w:ascii="Cambria" w:eastAsia="Times New Roman" w:hAnsi="Cambria" w:cstheme="minorHAnsi"/>
          <w:spacing w:val="2"/>
        </w:rPr>
        <w:t>C</w:t>
      </w:r>
      <w:r w:rsidRPr="009A0DA6">
        <w:rPr>
          <w:rFonts w:ascii="Cambria" w:eastAsia="Times New Roman" w:hAnsi="Cambria" w:cstheme="minorHAnsi"/>
        </w:rPr>
        <w:t>A</w:t>
      </w:r>
      <w:r w:rsidRPr="009A0DA6">
        <w:rPr>
          <w:rFonts w:ascii="Cambria" w:eastAsia="Times New Roman" w:hAnsi="Cambria" w:cstheme="minorHAnsi"/>
          <w:spacing w:val="-3"/>
        </w:rPr>
        <w:t xml:space="preserve"> </w:t>
      </w:r>
      <w:r w:rsidRPr="009A0DA6">
        <w:rPr>
          <w:rFonts w:ascii="Cambria" w:eastAsia="Times New Roman" w:hAnsi="Cambria" w:cstheme="minorHAnsi"/>
        </w:rPr>
        <w:t>Nati</w:t>
      </w:r>
      <w:r w:rsidRPr="009A0DA6">
        <w:rPr>
          <w:rFonts w:ascii="Cambria" w:eastAsia="Times New Roman" w:hAnsi="Cambria" w:cstheme="minorHAnsi"/>
          <w:spacing w:val="1"/>
        </w:rPr>
        <w:t>o</w:t>
      </w:r>
      <w:r w:rsidRPr="009A0DA6">
        <w:rPr>
          <w:rFonts w:ascii="Cambria" w:eastAsia="Times New Roman" w:hAnsi="Cambria" w:cstheme="minorHAnsi"/>
          <w:spacing w:val="-1"/>
        </w:rPr>
        <w:t>n</w:t>
      </w:r>
      <w:r w:rsidRPr="009A0DA6">
        <w:rPr>
          <w:rFonts w:ascii="Cambria" w:eastAsia="Times New Roman" w:hAnsi="Cambria" w:cstheme="minorHAnsi"/>
        </w:rPr>
        <w:t>al</w:t>
      </w:r>
      <w:r w:rsidRPr="009A0DA6">
        <w:rPr>
          <w:rFonts w:ascii="Cambria" w:eastAsia="Times New Roman" w:hAnsi="Cambria" w:cstheme="minorHAnsi"/>
          <w:spacing w:val="-4"/>
        </w:rPr>
        <w:t xml:space="preserve"> </w:t>
      </w:r>
      <w:r w:rsidRPr="009A0DA6">
        <w:rPr>
          <w:rFonts w:ascii="Cambria" w:eastAsia="Times New Roman" w:hAnsi="Cambria" w:cstheme="minorHAnsi"/>
        </w:rPr>
        <w:t>O</w:t>
      </w:r>
      <w:r w:rsidRPr="009A0DA6">
        <w:rPr>
          <w:rFonts w:ascii="Cambria" w:eastAsia="Times New Roman" w:hAnsi="Cambria" w:cstheme="minorHAnsi"/>
          <w:spacing w:val="1"/>
        </w:rPr>
        <w:t>f</w:t>
      </w:r>
      <w:r w:rsidRPr="009A0DA6">
        <w:rPr>
          <w:rFonts w:ascii="Cambria" w:eastAsia="Times New Roman" w:hAnsi="Cambria" w:cstheme="minorHAnsi"/>
          <w:spacing w:val="-1"/>
        </w:rPr>
        <w:t>f</w:t>
      </w:r>
      <w:r w:rsidRPr="009A0DA6">
        <w:rPr>
          <w:rFonts w:ascii="Cambria" w:eastAsia="Times New Roman" w:hAnsi="Cambria" w:cstheme="minorHAnsi"/>
        </w:rPr>
        <w:t>ice</w:t>
      </w:r>
      <w:r w:rsidRPr="009A0DA6">
        <w:rPr>
          <w:rFonts w:ascii="Cambria" w:eastAsia="Times New Roman" w:hAnsi="Cambria" w:cstheme="minorHAnsi"/>
        </w:rPr>
        <w:tab/>
      </w:r>
      <w:r w:rsidRPr="009A0DA6">
        <w:rPr>
          <w:rFonts w:ascii="Cambria" w:eastAsia="Times New Roman" w:hAnsi="Cambria" w:cstheme="minorHAnsi"/>
        </w:rPr>
        <w:tab/>
      </w:r>
      <w:r w:rsidRPr="009A0DA6">
        <w:rPr>
          <w:rFonts w:ascii="Cambria" w:eastAsia="Times New Roman" w:hAnsi="Cambria" w:cstheme="minorHAnsi"/>
          <w:spacing w:val="1"/>
        </w:rPr>
        <w:t>1,21</w:t>
      </w:r>
      <w:r w:rsidRPr="009A0DA6">
        <w:rPr>
          <w:rFonts w:ascii="Cambria" w:eastAsia="Times New Roman" w:hAnsi="Cambria" w:cstheme="minorHAnsi"/>
          <w:spacing w:val="-1"/>
        </w:rPr>
        <w:t>9</w:t>
      </w:r>
      <w:r w:rsidRPr="009A0DA6">
        <w:rPr>
          <w:rFonts w:ascii="Cambria" w:eastAsia="Times New Roman" w:hAnsi="Cambria" w:cstheme="minorHAnsi"/>
          <w:spacing w:val="1"/>
        </w:rPr>
        <w:t>,5</w:t>
      </w:r>
      <w:r w:rsidRPr="009A0DA6">
        <w:rPr>
          <w:rFonts w:ascii="Cambria" w:eastAsia="Times New Roman" w:hAnsi="Cambria" w:cstheme="minorHAnsi"/>
          <w:spacing w:val="-1"/>
        </w:rPr>
        <w:t>3</w:t>
      </w:r>
      <w:r w:rsidRPr="009A0DA6">
        <w:rPr>
          <w:rFonts w:ascii="Cambria" w:eastAsia="Times New Roman" w:hAnsi="Cambria" w:cstheme="minorHAnsi"/>
        </w:rPr>
        <w:t>3</w:t>
      </w:r>
      <w:r w:rsidRPr="009A0DA6">
        <w:rPr>
          <w:rFonts w:ascii="Cambria" w:eastAsia="Times New Roman" w:hAnsi="Cambria" w:cstheme="minorHAnsi"/>
        </w:rPr>
        <w:tab/>
      </w:r>
      <w:r w:rsidRPr="009A0DA6">
        <w:rPr>
          <w:rFonts w:ascii="Cambria" w:eastAsia="Times New Roman" w:hAnsi="Cambria" w:cstheme="minorHAnsi"/>
          <w:spacing w:val="1"/>
        </w:rPr>
        <w:t>1,92</w:t>
      </w:r>
      <w:r w:rsidRPr="009A0DA6">
        <w:rPr>
          <w:rFonts w:ascii="Cambria" w:eastAsia="Times New Roman" w:hAnsi="Cambria" w:cstheme="minorHAnsi"/>
          <w:spacing w:val="-1"/>
        </w:rPr>
        <w:t>3</w:t>
      </w:r>
      <w:r w:rsidRPr="009A0DA6">
        <w:rPr>
          <w:rFonts w:ascii="Cambria" w:eastAsia="Times New Roman" w:hAnsi="Cambria" w:cstheme="minorHAnsi"/>
          <w:spacing w:val="1"/>
        </w:rPr>
        <w:t>,8</w:t>
      </w:r>
      <w:r w:rsidRPr="009A0DA6">
        <w:rPr>
          <w:rFonts w:ascii="Cambria" w:eastAsia="Times New Roman" w:hAnsi="Cambria" w:cstheme="minorHAnsi"/>
          <w:spacing w:val="-1"/>
        </w:rPr>
        <w:t>9</w:t>
      </w:r>
      <w:r w:rsidRPr="009A0DA6">
        <w:rPr>
          <w:rFonts w:ascii="Cambria" w:eastAsia="Times New Roman" w:hAnsi="Cambria" w:cstheme="minorHAnsi"/>
        </w:rPr>
        <w:t>7</w:t>
      </w:r>
      <w:r w:rsidRPr="009A0DA6">
        <w:rPr>
          <w:rFonts w:ascii="Cambria" w:eastAsia="Times New Roman" w:hAnsi="Cambria" w:cstheme="minorHAnsi"/>
        </w:rPr>
        <w:tab/>
        <w:t>2,191,911</w:t>
      </w:r>
    </w:p>
    <w:p w14:paraId="2C957EF5"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eastAsia="Times New Roman" w:hAnsi="Cambria" w:cstheme="minorHAnsi"/>
        </w:rPr>
      </w:pPr>
      <w:r w:rsidRPr="009A0DA6">
        <w:rPr>
          <w:rFonts w:ascii="Cambria" w:eastAsia="Times New Roman" w:hAnsi="Cambria" w:cstheme="minorHAnsi"/>
          <w:spacing w:val="-1"/>
        </w:rPr>
        <w:t>C</w:t>
      </w:r>
      <w:r w:rsidRPr="009A0DA6">
        <w:rPr>
          <w:rFonts w:ascii="Cambria" w:eastAsia="Times New Roman" w:hAnsi="Cambria" w:cstheme="minorHAnsi"/>
          <w:spacing w:val="1"/>
        </w:rPr>
        <w:t>h</w:t>
      </w:r>
      <w:r w:rsidRPr="009A0DA6">
        <w:rPr>
          <w:rFonts w:ascii="Cambria" w:eastAsia="Times New Roman" w:hAnsi="Cambria" w:cstheme="minorHAnsi"/>
          <w:spacing w:val="-1"/>
        </w:rPr>
        <w:t>u</w:t>
      </w:r>
      <w:r w:rsidRPr="009A0DA6">
        <w:rPr>
          <w:rFonts w:ascii="Cambria" w:eastAsia="Times New Roman" w:hAnsi="Cambria" w:cstheme="minorHAnsi"/>
          <w:spacing w:val="1"/>
        </w:rPr>
        <w:t>r</w:t>
      </w:r>
      <w:r w:rsidRPr="009A0DA6">
        <w:rPr>
          <w:rFonts w:ascii="Cambria" w:eastAsia="Times New Roman" w:hAnsi="Cambria" w:cstheme="minorHAnsi"/>
        </w:rPr>
        <w:t>ch</w:t>
      </w:r>
      <w:r w:rsidRPr="009A0DA6">
        <w:rPr>
          <w:rFonts w:ascii="Cambria" w:eastAsia="Times New Roman" w:hAnsi="Cambria" w:cstheme="minorHAnsi"/>
          <w:spacing w:val="-7"/>
        </w:rPr>
        <w:t xml:space="preserve"> </w:t>
      </w:r>
      <w:r w:rsidRPr="009A0DA6">
        <w:rPr>
          <w:rFonts w:ascii="Cambria" w:eastAsia="Times New Roman" w:hAnsi="Cambria" w:cstheme="minorHAnsi"/>
          <w:spacing w:val="2"/>
        </w:rPr>
        <w:t>W</w:t>
      </w:r>
      <w:r w:rsidRPr="009A0DA6">
        <w:rPr>
          <w:rFonts w:ascii="Cambria" w:eastAsia="Times New Roman" w:hAnsi="Cambria" w:cstheme="minorHAnsi"/>
          <w:spacing w:val="1"/>
        </w:rPr>
        <w:t>or</w:t>
      </w:r>
      <w:r w:rsidRPr="009A0DA6">
        <w:rPr>
          <w:rFonts w:ascii="Cambria" w:eastAsia="Times New Roman" w:hAnsi="Cambria" w:cstheme="minorHAnsi"/>
          <w:spacing w:val="-1"/>
        </w:rPr>
        <w:t>k</w:t>
      </w:r>
      <w:r w:rsidRPr="009A0DA6">
        <w:rPr>
          <w:rFonts w:ascii="Cambria" w:eastAsia="Times New Roman" w:hAnsi="Cambria" w:cstheme="minorHAnsi"/>
        </w:rPr>
        <w:t>er</w:t>
      </w:r>
      <w:r w:rsidRPr="009A0DA6">
        <w:rPr>
          <w:rFonts w:ascii="Cambria" w:eastAsia="Times New Roman" w:hAnsi="Cambria" w:cstheme="minorHAnsi"/>
          <w:spacing w:val="-5"/>
        </w:rPr>
        <w:t xml:space="preserve"> </w:t>
      </w:r>
      <w:r w:rsidRPr="009A0DA6">
        <w:rPr>
          <w:rFonts w:ascii="Cambria" w:eastAsia="Times New Roman" w:hAnsi="Cambria" w:cstheme="minorHAnsi"/>
          <w:spacing w:val="2"/>
        </w:rPr>
        <w:t>S</w:t>
      </w:r>
      <w:r w:rsidRPr="009A0DA6">
        <w:rPr>
          <w:rFonts w:ascii="Cambria" w:eastAsia="Times New Roman" w:hAnsi="Cambria" w:cstheme="minorHAnsi"/>
          <w:spacing w:val="-1"/>
        </w:rPr>
        <w:t>u</w:t>
      </w:r>
      <w:r w:rsidRPr="009A0DA6">
        <w:rPr>
          <w:rFonts w:ascii="Cambria" w:eastAsia="Times New Roman" w:hAnsi="Cambria" w:cstheme="minorHAnsi"/>
          <w:spacing w:val="1"/>
        </w:rPr>
        <w:t>ppor</w:t>
      </w:r>
      <w:r w:rsidRPr="009A0DA6">
        <w:rPr>
          <w:rFonts w:ascii="Cambria" w:eastAsia="Times New Roman" w:hAnsi="Cambria" w:cstheme="minorHAnsi"/>
        </w:rPr>
        <w:t>t</w:t>
      </w:r>
      <w:r w:rsidRPr="009A0DA6">
        <w:rPr>
          <w:rFonts w:ascii="Cambria" w:eastAsia="Times New Roman" w:hAnsi="Cambria" w:cstheme="minorHAnsi"/>
          <w:spacing w:val="-6"/>
        </w:rPr>
        <w:t xml:space="preserve"> </w:t>
      </w:r>
      <w:r w:rsidRPr="009A0DA6">
        <w:rPr>
          <w:rFonts w:ascii="Cambria" w:eastAsia="Times New Roman" w:hAnsi="Cambria" w:cstheme="minorHAnsi"/>
        </w:rPr>
        <w:t>De</w:t>
      </w:r>
      <w:r w:rsidRPr="009A0DA6">
        <w:rPr>
          <w:rFonts w:ascii="Cambria" w:eastAsia="Times New Roman" w:hAnsi="Cambria" w:cstheme="minorHAnsi"/>
          <w:spacing w:val="1"/>
        </w:rPr>
        <w:t>p</w:t>
      </w:r>
      <w:r w:rsidRPr="009A0DA6">
        <w:rPr>
          <w:rFonts w:ascii="Cambria" w:eastAsia="Times New Roman" w:hAnsi="Cambria" w:cstheme="minorHAnsi"/>
          <w:spacing w:val="-2"/>
        </w:rPr>
        <w:t>a</w:t>
      </w:r>
      <w:r w:rsidRPr="009A0DA6">
        <w:rPr>
          <w:rFonts w:ascii="Cambria" w:eastAsia="Times New Roman" w:hAnsi="Cambria" w:cstheme="minorHAnsi"/>
          <w:spacing w:val="1"/>
        </w:rPr>
        <w:t>r</w:t>
      </w:r>
      <w:r w:rsidRPr="009A0DA6">
        <w:rPr>
          <w:rFonts w:ascii="Cambria" w:eastAsia="Times New Roman" w:hAnsi="Cambria" w:cstheme="minorHAnsi"/>
          <w:spacing w:val="2"/>
        </w:rPr>
        <w:t>t</w:t>
      </w:r>
      <w:r w:rsidRPr="009A0DA6">
        <w:rPr>
          <w:rFonts w:ascii="Cambria" w:eastAsia="Times New Roman" w:hAnsi="Cambria" w:cstheme="minorHAnsi"/>
          <w:spacing w:val="-4"/>
        </w:rPr>
        <w:t>m</w:t>
      </w:r>
      <w:r w:rsidRPr="009A0DA6">
        <w:rPr>
          <w:rFonts w:ascii="Cambria" w:eastAsia="Times New Roman" w:hAnsi="Cambria" w:cstheme="minorHAnsi"/>
        </w:rPr>
        <w:t>e</w:t>
      </w:r>
      <w:r w:rsidRPr="009A0DA6">
        <w:rPr>
          <w:rFonts w:ascii="Cambria" w:eastAsia="Times New Roman" w:hAnsi="Cambria" w:cstheme="minorHAnsi"/>
          <w:spacing w:val="1"/>
        </w:rPr>
        <w:t>n</w:t>
      </w:r>
      <w:r w:rsidRPr="009A0DA6">
        <w:rPr>
          <w:rFonts w:ascii="Cambria" w:eastAsia="Times New Roman" w:hAnsi="Cambria" w:cstheme="minorHAnsi"/>
        </w:rPr>
        <w:t>t</w:t>
      </w:r>
      <w:r w:rsidRPr="009A0DA6">
        <w:rPr>
          <w:rFonts w:ascii="Cambria" w:eastAsia="Times New Roman" w:hAnsi="Cambria" w:cstheme="minorHAnsi"/>
        </w:rPr>
        <w:tab/>
      </w:r>
      <w:r w:rsidRPr="009A0DA6">
        <w:rPr>
          <w:rFonts w:ascii="Cambria" w:eastAsia="Times New Roman" w:hAnsi="Cambria" w:cstheme="minorHAnsi"/>
        </w:rPr>
        <w:tab/>
      </w:r>
      <w:r w:rsidRPr="009A0DA6">
        <w:rPr>
          <w:rFonts w:ascii="Cambria" w:eastAsia="Times New Roman" w:hAnsi="Cambria" w:cstheme="minorHAnsi"/>
          <w:spacing w:val="1"/>
        </w:rPr>
        <w:t>398,</w:t>
      </w:r>
      <w:r w:rsidRPr="009A0DA6">
        <w:rPr>
          <w:rFonts w:ascii="Cambria" w:eastAsia="Times New Roman" w:hAnsi="Cambria" w:cstheme="minorHAnsi"/>
          <w:spacing w:val="-1"/>
        </w:rPr>
        <w:t>2</w:t>
      </w:r>
      <w:r w:rsidRPr="009A0DA6">
        <w:rPr>
          <w:rFonts w:ascii="Cambria" w:eastAsia="Times New Roman" w:hAnsi="Cambria" w:cstheme="minorHAnsi"/>
          <w:spacing w:val="1"/>
        </w:rPr>
        <w:t>9</w:t>
      </w:r>
      <w:r w:rsidRPr="009A0DA6">
        <w:rPr>
          <w:rFonts w:ascii="Cambria" w:eastAsia="Times New Roman" w:hAnsi="Cambria" w:cstheme="minorHAnsi"/>
        </w:rPr>
        <w:t>3</w:t>
      </w:r>
      <w:r w:rsidRPr="009A0DA6">
        <w:rPr>
          <w:rFonts w:ascii="Cambria" w:eastAsia="Times New Roman" w:hAnsi="Cambria" w:cstheme="minorHAnsi"/>
        </w:rPr>
        <w:tab/>
      </w:r>
      <w:r w:rsidRPr="009A0DA6">
        <w:rPr>
          <w:rFonts w:ascii="Cambria" w:eastAsia="Times New Roman" w:hAnsi="Cambria" w:cstheme="minorHAnsi"/>
          <w:spacing w:val="1"/>
        </w:rPr>
        <w:t>321,</w:t>
      </w:r>
      <w:r w:rsidRPr="009A0DA6">
        <w:rPr>
          <w:rFonts w:ascii="Cambria" w:eastAsia="Times New Roman" w:hAnsi="Cambria" w:cstheme="minorHAnsi"/>
          <w:spacing w:val="-1"/>
        </w:rPr>
        <w:t>7</w:t>
      </w:r>
      <w:r w:rsidRPr="009A0DA6">
        <w:rPr>
          <w:rFonts w:ascii="Cambria" w:eastAsia="Times New Roman" w:hAnsi="Cambria" w:cstheme="minorHAnsi"/>
          <w:spacing w:val="1"/>
        </w:rPr>
        <w:t>4</w:t>
      </w:r>
      <w:r w:rsidRPr="009A0DA6">
        <w:rPr>
          <w:rFonts w:ascii="Cambria" w:eastAsia="Times New Roman" w:hAnsi="Cambria" w:cstheme="minorHAnsi"/>
        </w:rPr>
        <w:t>2</w:t>
      </w:r>
      <w:r w:rsidRPr="009A0DA6">
        <w:rPr>
          <w:rFonts w:ascii="Cambria" w:eastAsia="Times New Roman" w:hAnsi="Cambria" w:cstheme="minorHAnsi"/>
        </w:rPr>
        <w:tab/>
        <w:t>282,230</w:t>
      </w:r>
    </w:p>
    <w:p w14:paraId="7E34587D"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eastAsia="Times New Roman" w:hAnsi="Cambria" w:cstheme="minorHAnsi"/>
        </w:rPr>
      </w:pPr>
      <w:r w:rsidRPr="009A0DA6">
        <w:rPr>
          <w:rFonts w:ascii="Cambria" w:eastAsia="Times New Roman" w:hAnsi="Cambria" w:cstheme="minorHAnsi"/>
          <w:spacing w:val="1"/>
        </w:rPr>
        <w:t>L</w:t>
      </w:r>
      <w:r w:rsidRPr="009A0DA6">
        <w:rPr>
          <w:rFonts w:ascii="Cambria" w:eastAsia="Times New Roman" w:hAnsi="Cambria" w:cstheme="minorHAnsi"/>
          <w:spacing w:val="-1"/>
        </w:rPr>
        <w:t>u</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1"/>
        </w:rPr>
        <w:t>r</w:t>
      </w:r>
      <w:r w:rsidRPr="009A0DA6">
        <w:rPr>
          <w:rFonts w:ascii="Cambria" w:eastAsia="Times New Roman" w:hAnsi="Cambria" w:cstheme="minorHAnsi"/>
          <w:spacing w:val="3"/>
        </w:rPr>
        <w:t>a</w:t>
      </w:r>
      <w:r w:rsidRPr="009A0DA6">
        <w:rPr>
          <w:rFonts w:ascii="Cambria" w:eastAsia="Times New Roman" w:hAnsi="Cambria" w:cstheme="minorHAnsi"/>
        </w:rPr>
        <w:t>n</w:t>
      </w:r>
      <w:r w:rsidRPr="009A0DA6">
        <w:rPr>
          <w:rFonts w:ascii="Cambria" w:eastAsia="Times New Roman" w:hAnsi="Cambria" w:cstheme="minorHAnsi"/>
          <w:spacing w:val="-5"/>
        </w:rPr>
        <w:t xml:space="preserve"> </w:t>
      </w:r>
      <w:r w:rsidRPr="009A0DA6">
        <w:rPr>
          <w:rFonts w:ascii="Cambria" w:eastAsia="Times New Roman" w:hAnsi="Cambria" w:cstheme="minorHAnsi"/>
          <w:spacing w:val="-2"/>
        </w:rPr>
        <w:t>A</w:t>
      </w:r>
      <w:r w:rsidRPr="009A0DA6">
        <w:rPr>
          <w:rFonts w:ascii="Cambria" w:eastAsia="Times New Roman" w:hAnsi="Cambria" w:cstheme="minorHAnsi"/>
          <w:spacing w:val="1"/>
        </w:rPr>
        <w:t>r</w:t>
      </w:r>
      <w:r w:rsidRPr="009A0DA6">
        <w:rPr>
          <w:rFonts w:ascii="Cambria" w:eastAsia="Times New Roman" w:hAnsi="Cambria" w:cstheme="minorHAnsi"/>
        </w:rPr>
        <w:t>c</w:t>
      </w:r>
      <w:r w:rsidRPr="009A0DA6">
        <w:rPr>
          <w:rFonts w:ascii="Cambria" w:eastAsia="Times New Roman" w:hAnsi="Cambria" w:cstheme="minorHAnsi"/>
          <w:spacing w:val="-1"/>
        </w:rPr>
        <w:t>h</w:t>
      </w:r>
      <w:r w:rsidRPr="009A0DA6">
        <w:rPr>
          <w:rFonts w:ascii="Cambria" w:eastAsia="Times New Roman" w:hAnsi="Cambria" w:cstheme="minorHAnsi"/>
          <w:spacing w:val="2"/>
        </w:rPr>
        <w:t>i</w:t>
      </w:r>
      <w:r w:rsidRPr="009A0DA6">
        <w:rPr>
          <w:rFonts w:ascii="Cambria" w:eastAsia="Times New Roman" w:hAnsi="Cambria" w:cstheme="minorHAnsi"/>
          <w:spacing w:val="-1"/>
        </w:rPr>
        <w:t>v</w:t>
      </w:r>
      <w:r w:rsidRPr="009A0DA6">
        <w:rPr>
          <w:rFonts w:ascii="Cambria" w:eastAsia="Times New Roman" w:hAnsi="Cambria" w:cstheme="minorHAnsi"/>
        </w:rPr>
        <w:t>es</w:t>
      </w:r>
      <w:r w:rsidRPr="009A0DA6">
        <w:rPr>
          <w:rFonts w:ascii="Cambria" w:eastAsia="Times New Roman" w:hAnsi="Cambria" w:cstheme="minorHAnsi"/>
        </w:rPr>
        <w:tab/>
      </w:r>
      <w:r w:rsidRPr="009A0DA6">
        <w:rPr>
          <w:rFonts w:ascii="Cambria" w:eastAsia="Times New Roman" w:hAnsi="Cambria" w:cstheme="minorHAnsi"/>
        </w:rPr>
        <w:tab/>
      </w:r>
      <w:r w:rsidRPr="009A0DA6">
        <w:rPr>
          <w:rFonts w:ascii="Cambria" w:eastAsia="Times New Roman" w:hAnsi="Cambria" w:cstheme="minorHAnsi"/>
          <w:spacing w:val="1"/>
        </w:rPr>
        <w:t>374,</w:t>
      </w:r>
      <w:r w:rsidRPr="009A0DA6">
        <w:rPr>
          <w:rFonts w:ascii="Cambria" w:eastAsia="Times New Roman" w:hAnsi="Cambria" w:cstheme="minorHAnsi"/>
          <w:spacing w:val="-1"/>
        </w:rPr>
        <w:t>8</w:t>
      </w:r>
      <w:r w:rsidRPr="009A0DA6">
        <w:rPr>
          <w:rFonts w:ascii="Cambria" w:eastAsia="Times New Roman" w:hAnsi="Cambria" w:cstheme="minorHAnsi"/>
          <w:spacing w:val="1"/>
        </w:rPr>
        <w:t>7</w:t>
      </w:r>
      <w:r w:rsidRPr="009A0DA6">
        <w:rPr>
          <w:rFonts w:ascii="Cambria" w:eastAsia="Times New Roman" w:hAnsi="Cambria" w:cstheme="minorHAnsi"/>
        </w:rPr>
        <w:t>0</w:t>
      </w:r>
      <w:r w:rsidRPr="009A0DA6">
        <w:rPr>
          <w:rFonts w:ascii="Cambria" w:eastAsia="Times New Roman" w:hAnsi="Cambria" w:cstheme="minorHAnsi"/>
        </w:rPr>
        <w:tab/>
      </w:r>
      <w:r w:rsidRPr="009A0DA6">
        <w:rPr>
          <w:rFonts w:ascii="Cambria" w:eastAsia="Times New Roman" w:hAnsi="Cambria" w:cstheme="minorHAnsi"/>
          <w:spacing w:val="1"/>
        </w:rPr>
        <w:t>391,</w:t>
      </w:r>
      <w:r w:rsidRPr="009A0DA6">
        <w:rPr>
          <w:rFonts w:ascii="Cambria" w:eastAsia="Times New Roman" w:hAnsi="Cambria" w:cstheme="minorHAnsi"/>
          <w:spacing w:val="-1"/>
        </w:rPr>
        <w:t>1</w:t>
      </w:r>
      <w:r w:rsidRPr="009A0DA6">
        <w:rPr>
          <w:rFonts w:ascii="Cambria" w:eastAsia="Times New Roman" w:hAnsi="Cambria" w:cstheme="minorHAnsi"/>
          <w:spacing w:val="1"/>
        </w:rPr>
        <w:t>4</w:t>
      </w:r>
      <w:r w:rsidRPr="009A0DA6">
        <w:rPr>
          <w:rFonts w:ascii="Cambria" w:eastAsia="Times New Roman" w:hAnsi="Cambria" w:cstheme="minorHAnsi"/>
        </w:rPr>
        <w:t>3</w:t>
      </w:r>
      <w:r w:rsidRPr="009A0DA6">
        <w:rPr>
          <w:rFonts w:ascii="Cambria" w:eastAsia="Times New Roman" w:hAnsi="Cambria" w:cstheme="minorHAnsi"/>
        </w:rPr>
        <w:tab/>
        <w:t>374,870</w:t>
      </w:r>
    </w:p>
    <w:p w14:paraId="3933AB4C"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eastAsia="Times New Roman" w:hAnsi="Cambria" w:cstheme="minorHAnsi"/>
        </w:rPr>
      </w:pPr>
      <w:r w:rsidRPr="009A0DA6">
        <w:rPr>
          <w:rFonts w:ascii="Cambria" w:eastAsia="Times New Roman" w:hAnsi="Cambria" w:cstheme="minorHAnsi"/>
          <w:spacing w:val="-1"/>
        </w:rPr>
        <w:t>Ch</w:t>
      </w:r>
      <w:r w:rsidRPr="009A0DA6">
        <w:rPr>
          <w:rFonts w:ascii="Cambria" w:eastAsia="Times New Roman" w:hAnsi="Cambria" w:cstheme="minorHAnsi"/>
          <w:spacing w:val="2"/>
        </w:rPr>
        <w:t>i</w:t>
      </w:r>
      <w:r w:rsidRPr="009A0DA6">
        <w:rPr>
          <w:rFonts w:ascii="Cambria" w:eastAsia="Times New Roman" w:hAnsi="Cambria" w:cstheme="minorHAnsi"/>
        </w:rPr>
        <w:t>l</w:t>
      </w:r>
      <w:r w:rsidRPr="009A0DA6">
        <w:rPr>
          <w:rFonts w:ascii="Cambria" w:eastAsia="Times New Roman" w:hAnsi="Cambria" w:cstheme="minorHAnsi"/>
          <w:spacing w:val="1"/>
        </w:rPr>
        <w:t>d</w:t>
      </w:r>
      <w:r w:rsidRPr="009A0DA6">
        <w:rPr>
          <w:rFonts w:ascii="Cambria" w:eastAsia="Times New Roman" w:hAnsi="Cambria" w:cstheme="minorHAnsi"/>
        </w:rPr>
        <w:t>,</w:t>
      </w:r>
      <w:r w:rsidRPr="009A0DA6">
        <w:rPr>
          <w:rFonts w:ascii="Cambria" w:eastAsia="Times New Roman" w:hAnsi="Cambria" w:cstheme="minorHAnsi"/>
          <w:spacing w:val="-4"/>
        </w:rPr>
        <w:t xml:space="preserve"> </w:t>
      </w:r>
      <w:r w:rsidRPr="009A0DA6">
        <w:rPr>
          <w:rFonts w:ascii="Cambria" w:eastAsia="Times New Roman" w:hAnsi="Cambria" w:cstheme="minorHAnsi"/>
        </w:rPr>
        <w:t>Y</w:t>
      </w:r>
      <w:r w:rsidRPr="009A0DA6">
        <w:rPr>
          <w:rFonts w:ascii="Cambria" w:eastAsia="Times New Roman" w:hAnsi="Cambria" w:cstheme="minorHAnsi"/>
          <w:spacing w:val="1"/>
        </w:rPr>
        <w:t>o</w:t>
      </w:r>
      <w:r w:rsidRPr="009A0DA6">
        <w:rPr>
          <w:rFonts w:ascii="Cambria" w:eastAsia="Times New Roman" w:hAnsi="Cambria" w:cstheme="minorHAnsi"/>
          <w:spacing w:val="-1"/>
        </w:rPr>
        <w:t>u</w:t>
      </w:r>
      <w:r w:rsidRPr="009A0DA6">
        <w:rPr>
          <w:rFonts w:ascii="Cambria" w:eastAsia="Times New Roman" w:hAnsi="Cambria" w:cstheme="minorHAnsi"/>
        </w:rPr>
        <w:t>th</w:t>
      </w:r>
      <w:r w:rsidRPr="009A0DA6">
        <w:rPr>
          <w:rFonts w:ascii="Cambria" w:eastAsia="Times New Roman" w:hAnsi="Cambria" w:cstheme="minorHAnsi"/>
          <w:spacing w:val="-6"/>
        </w:rPr>
        <w:t xml:space="preserve"> </w:t>
      </w:r>
      <w:r w:rsidRPr="009A0DA6">
        <w:rPr>
          <w:rFonts w:ascii="Cambria" w:eastAsia="Times New Roman" w:hAnsi="Cambria" w:cstheme="minorHAnsi"/>
          <w:spacing w:val="3"/>
        </w:rPr>
        <w:t>a</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spacing w:val="-1"/>
        </w:rPr>
        <w:t xml:space="preserve"> </w:t>
      </w:r>
      <w:r w:rsidRPr="009A0DA6">
        <w:rPr>
          <w:rFonts w:ascii="Cambria" w:eastAsia="Times New Roman" w:hAnsi="Cambria" w:cstheme="minorHAnsi"/>
        </w:rPr>
        <w:t>F</w:t>
      </w:r>
      <w:r w:rsidRPr="009A0DA6">
        <w:rPr>
          <w:rFonts w:ascii="Cambria" w:eastAsia="Times New Roman" w:hAnsi="Cambria" w:cstheme="minorHAnsi"/>
          <w:spacing w:val="3"/>
        </w:rPr>
        <w:t>a</w:t>
      </w:r>
      <w:r w:rsidRPr="009A0DA6">
        <w:rPr>
          <w:rFonts w:ascii="Cambria" w:eastAsia="Times New Roman" w:hAnsi="Cambria" w:cstheme="minorHAnsi"/>
          <w:spacing w:val="-1"/>
        </w:rPr>
        <w:t>m</w:t>
      </w:r>
      <w:r w:rsidRPr="009A0DA6">
        <w:rPr>
          <w:rFonts w:ascii="Cambria" w:eastAsia="Times New Roman" w:hAnsi="Cambria" w:cstheme="minorHAnsi"/>
        </w:rPr>
        <w:t>i</w:t>
      </w:r>
      <w:r w:rsidRPr="009A0DA6">
        <w:rPr>
          <w:rFonts w:ascii="Cambria" w:eastAsia="Times New Roman" w:hAnsi="Cambria" w:cstheme="minorHAnsi"/>
          <w:spacing w:val="2"/>
        </w:rPr>
        <w:t>l</w:t>
      </w:r>
      <w:r w:rsidRPr="009A0DA6">
        <w:rPr>
          <w:rFonts w:ascii="Cambria" w:eastAsia="Times New Roman" w:hAnsi="Cambria" w:cstheme="minorHAnsi"/>
        </w:rPr>
        <w:t>y</w:t>
      </w:r>
      <w:r w:rsidRPr="009A0DA6">
        <w:rPr>
          <w:rFonts w:ascii="Cambria" w:eastAsia="Times New Roman" w:hAnsi="Cambria" w:cstheme="minorHAnsi"/>
          <w:spacing w:val="-9"/>
        </w:rPr>
        <w:t xml:space="preserve"> </w:t>
      </w:r>
      <w:r w:rsidRPr="009A0DA6">
        <w:rPr>
          <w:rFonts w:ascii="Cambria" w:eastAsia="Times New Roman" w:hAnsi="Cambria" w:cstheme="minorHAnsi"/>
          <w:spacing w:val="1"/>
        </w:rPr>
        <w:t>M</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spacing w:val="2"/>
        </w:rPr>
        <w:t>i</w:t>
      </w:r>
      <w:r w:rsidRPr="009A0DA6">
        <w:rPr>
          <w:rFonts w:ascii="Cambria" w:eastAsia="Times New Roman" w:hAnsi="Cambria" w:cstheme="minorHAnsi"/>
          <w:spacing w:val="-1"/>
        </w:rPr>
        <w:t>s</w:t>
      </w:r>
      <w:r w:rsidRPr="009A0DA6">
        <w:rPr>
          <w:rFonts w:ascii="Cambria" w:eastAsia="Times New Roman" w:hAnsi="Cambria" w:cstheme="minorHAnsi"/>
        </w:rPr>
        <w:t>t</w:t>
      </w:r>
      <w:r w:rsidRPr="009A0DA6">
        <w:rPr>
          <w:rFonts w:ascii="Cambria" w:eastAsia="Times New Roman" w:hAnsi="Cambria" w:cstheme="minorHAnsi"/>
          <w:spacing w:val="3"/>
        </w:rPr>
        <w:t>r</w:t>
      </w:r>
      <w:r w:rsidRPr="009A0DA6">
        <w:rPr>
          <w:rFonts w:ascii="Cambria" w:eastAsia="Times New Roman" w:hAnsi="Cambria" w:cstheme="minorHAnsi"/>
        </w:rPr>
        <w:t>y</w:t>
      </w:r>
      <w:r w:rsidRPr="009A0DA6">
        <w:rPr>
          <w:rFonts w:ascii="Cambria" w:eastAsia="Times New Roman" w:hAnsi="Cambria" w:cstheme="minorHAnsi"/>
        </w:rPr>
        <w:tab/>
      </w:r>
      <w:r w:rsidRPr="009A0DA6">
        <w:rPr>
          <w:rFonts w:ascii="Cambria" w:eastAsia="Times New Roman" w:hAnsi="Cambria" w:cstheme="minorHAnsi"/>
        </w:rPr>
        <w:tab/>
      </w:r>
      <w:r w:rsidRPr="009A0DA6">
        <w:rPr>
          <w:rFonts w:ascii="Cambria" w:eastAsia="Times New Roman" w:hAnsi="Cambria" w:cstheme="minorHAnsi"/>
          <w:spacing w:val="1"/>
        </w:rPr>
        <w:t>178,</w:t>
      </w:r>
      <w:r w:rsidRPr="009A0DA6">
        <w:rPr>
          <w:rFonts w:ascii="Cambria" w:eastAsia="Times New Roman" w:hAnsi="Cambria" w:cstheme="minorHAnsi"/>
          <w:spacing w:val="-1"/>
        </w:rPr>
        <w:t>0</w:t>
      </w:r>
      <w:r w:rsidRPr="009A0DA6">
        <w:rPr>
          <w:rFonts w:ascii="Cambria" w:eastAsia="Times New Roman" w:hAnsi="Cambria" w:cstheme="minorHAnsi"/>
          <w:spacing w:val="1"/>
        </w:rPr>
        <w:t>5</w:t>
      </w:r>
      <w:r w:rsidRPr="009A0DA6">
        <w:rPr>
          <w:rFonts w:ascii="Cambria" w:eastAsia="Times New Roman" w:hAnsi="Cambria" w:cstheme="minorHAnsi"/>
        </w:rPr>
        <w:t>4</w:t>
      </w:r>
      <w:r w:rsidRPr="009A0DA6">
        <w:rPr>
          <w:rFonts w:ascii="Cambria" w:eastAsia="Times New Roman" w:hAnsi="Cambria" w:cstheme="minorHAnsi"/>
        </w:rPr>
        <w:tab/>
      </w:r>
      <w:r w:rsidRPr="009A0DA6">
        <w:rPr>
          <w:rFonts w:ascii="Cambria" w:eastAsia="Times New Roman" w:hAnsi="Cambria" w:cstheme="minorHAnsi"/>
          <w:spacing w:val="1"/>
        </w:rPr>
        <w:t>93,8</w:t>
      </w:r>
      <w:r w:rsidRPr="009A0DA6">
        <w:rPr>
          <w:rFonts w:ascii="Cambria" w:eastAsia="Times New Roman" w:hAnsi="Cambria" w:cstheme="minorHAnsi"/>
          <w:spacing w:val="-1"/>
        </w:rPr>
        <w:t>1</w:t>
      </w:r>
      <w:r w:rsidRPr="009A0DA6">
        <w:rPr>
          <w:rFonts w:ascii="Cambria" w:eastAsia="Times New Roman" w:hAnsi="Cambria" w:cstheme="minorHAnsi"/>
        </w:rPr>
        <w:t>9</w:t>
      </w:r>
      <w:r w:rsidRPr="009A0DA6">
        <w:rPr>
          <w:rFonts w:ascii="Cambria" w:eastAsia="Times New Roman" w:hAnsi="Cambria" w:cstheme="minorHAnsi"/>
        </w:rPr>
        <w:tab/>
        <w:t>172,215</w:t>
      </w:r>
    </w:p>
    <w:p w14:paraId="0E3F4E11"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eastAsia="Times New Roman" w:hAnsi="Cambria" w:cstheme="minorHAnsi"/>
        </w:rPr>
      </w:pPr>
      <w:r w:rsidRPr="009A0DA6">
        <w:rPr>
          <w:rFonts w:ascii="Cambria" w:eastAsia="Times New Roman" w:hAnsi="Cambria" w:cstheme="minorHAnsi"/>
          <w:spacing w:val="1"/>
        </w:rPr>
        <w:t>L</w:t>
      </w:r>
      <w:r w:rsidRPr="009A0DA6">
        <w:rPr>
          <w:rFonts w:ascii="Cambria" w:eastAsia="Times New Roman" w:hAnsi="Cambria" w:cstheme="minorHAnsi"/>
          <w:spacing w:val="-1"/>
        </w:rPr>
        <w:t>u</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1"/>
        </w:rPr>
        <w:t>r</w:t>
      </w:r>
      <w:r w:rsidRPr="009A0DA6">
        <w:rPr>
          <w:rFonts w:ascii="Cambria" w:eastAsia="Times New Roman" w:hAnsi="Cambria" w:cstheme="minorHAnsi"/>
          <w:spacing w:val="3"/>
        </w:rPr>
        <w:t>a</w:t>
      </w:r>
      <w:r w:rsidRPr="009A0DA6">
        <w:rPr>
          <w:rFonts w:ascii="Cambria" w:eastAsia="Times New Roman" w:hAnsi="Cambria" w:cstheme="minorHAnsi"/>
        </w:rPr>
        <w:t>n</w:t>
      </w:r>
      <w:r w:rsidRPr="009A0DA6">
        <w:rPr>
          <w:rFonts w:ascii="Cambria" w:eastAsia="Times New Roman" w:hAnsi="Cambria" w:cstheme="minorHAnsi"/>
          <w:spacing w:val="-8"/>
        </w:rPr>
        <w:t xml:space="preserve"> </w:t>
      </w:r>
      <w:r w:rsidRPr="009A0DA6">
        <w:rPr>
          <w:rFonts w:ascii="Cambria" w:eastAsia="Times New Roman" w:hAnsi="Cambria" w:cstheme="minorHAnsi"/>
          <w:spacing w:val="1"/>
        </w:rPr>
        <w:t>M</w:t>
      </w:r>
      <w:r w:rsidRPr="009A0DA6">
        <w:rPr>
          <w:rFonts w:ascii="Cambria" w:eastAsia="Times New Roman" w:hAnsi="Cambria" w:cstheme="minorHAnsi"/>
        </w:rPr>
        <w:t>e</w:t>
      </w:r>
      <w:r w:rsidRPr="009A0DA6">
        <w:rPr>
          <w:rFonts w:ascii="Cambria" w:eastAsia="Times New Roman" w:hAnsi="Cambria" w:cstheme="minorHAnsi"/>
          <w:spacing w:val="1"/>
        </w:rPr>
        <w:t>d</w:t>
      </w:r>
      <w:r w:rsidRPr="009A0DA6">
        <w:rPr>
          <w:rFonts w:ascii="Cambria" w:eastAsia="Times New Roman" w:hAnsi="Cambria" w:cstheme="minorHAnsi"/>
        </w:rPr>
        <w:t>ia</w:t>
      </w:r>
      <w:r w:rsidRPr="009A0DA6">
        <w:rPr>
          <w:rFonts w:ascii="Cambria" w:eastAsia="Times New Roman" w:hAnsi="Cambria" w:cstheme="minorHAnsi"/>
          <w:spacing w:val="-4"/>
        </w:rPr>
        <w:t xml:space="preserve"> </w:t>
      </w:r>
      <w:r w:rsidRPr="009A0DA6">
        <w:rPr>
          <w:rFonts w:ascii="Cambria" w:eastAsia="Times New Roman" w:hAnsi="Cambria" w:cstheme="minorHAnsi"/>
          <w:spacing w:val="1"/>
        </w:rPr>
        <w:t>M</w:t>
      </w:r>
      <w:r w:rsidRPr="009A0DA6">
        <w:rPr>
          <w:rFonts w:ascii="Cambria" w:eastAsia="Times New Roman" w:hAnsi="Cambria" w:cstheme="minorHAnsi"/>
        </w:rPr>
        <w:t>i</w:t>
      </w:r>
      <w:r w:rsidRPr="009A0DA6">
        <w:rPr>
          <w:rFonts w:ascii="Cambria" w:eastAsia="Times New Roman" w:hAnsi="Cambria" w:cstheme="minorHAnsi"/>
          <w:spacing w:val="-1"/>
        </w:rPr>
        <w:t>n</w:t>
      </w:r>
      <w:r w:rsidRPr="009A0DA6">
        <w:rPr>
          <w:rFonts w:ascii="Cambria" w:eastAsia="Times New Roman" w:hAnsi="Cambria" w:cstheme="minorHAnsi"/>
          <w:spacing w:val="2"/>
        </w:rPr>
        <w:t>i</w:t>
      </w:r>
      <w:r w:rsidRPr="009A0DA6">
        <w:rPr>
          <w:rFonts w:ascii="Cambria" w:eastAsia="Times New Roman" w:hAnsi="Cambria" w:cstheme="minorHAnsi"/>
          <w:spacing w:val="-1"/>
        </w:rPr>
        <w:t>s</w:t>
      </w:r>
      <w:r w:rsidRPr="009A0DA6">
        <w:rPr>
          <w:rFonts w:ascii="Cambria" w:eastAsia="Times New Roman" w:hAnsi="Cambria" w:cstheme="minorHAnsi"/>
        </w:rPr>
        <w:t>t</w:t>
      </w:r>
      <w:r w:rsidRPr="009A0DA6">
        <w:rPr>
          <w:rFonts w:ascii="Cambria" w:eastAsia="Times New Roman" w:hAnsi="Cambria" w:cstheme="minorHAnsi"/>
          <w:spacing w:val="3"/>
        </w:rPr>
        <w:t>r</w:t>
      </w:r>
      <w:r w:rsidRPr="009A0DA6">
        <w:rPr>
          <w:rFonts w:ascii="Cambria" w:eastAsia="Times New Roman" w:hAnsi="Cambria" w:cstheme="minorHAnsi"/>
        </w:rPr>
        <w:t>y</w:t>
      </w:r>
      <w:r w:rsidRPr="009A0DA6">
        <w:rPr>
          <w:rFonts w:ascii="Cambria" w:eastAsia="Times New Roman" w:hAnsi="Cambria" w:cstheme="minorHAnsi"/>
        </w:rPr>
        <w:tab/>
      </w:r>
      <w:r w:rsidRPr="009A0DA6">
        <w:rPr>
          <w:rFonts w:ascii="Cambria" w:eastAsia="Times New Roman" w:hAnsi="Cambria" w:cstheme="minorHAnsi"/>
        </w:rPr>
        <w:tab/>
      </w:r>
      <w:r w:rsidRPr="009A0DA6">
        <w:rPr>
          <w:rFonts w:ascii="Cambria" w:eastAsia="Times New Roman" w:hAnsi="Cambria" w:cstheme="minorHAnsi"/>
          <w:spacing w:val="1"/>
        </w:rPr>
        <w:t>(195</w:t>
      </w:r>
      <w:r w:rsidRPr="009A0DA6">
        <w:rPr>
          <w:rFonts w:ascii="Cambria" w:eastAsia="Times New Roman" w:hAnsi="Cambria" w:cstheme="minorHAnsi"/>
          <w:spacing w:val="-2"/>
        </w:rPr>
        <w:t>,</w:t>
      </w:r>
      <w:r w:rsidRPr="009A0DA6">
        <w:rPr>
          <w:rFonts w:ascii="Cambria" w:eastAsia="Times New Roman" w:hAnsi="Cambria" w:cstheme="minorHAnsi"/>
          <w:spacing w:val="1"/>
        </w:rPr>
        <w:t>45</w:t>
      </w:r>
      <w:r w:rsidRPr="009A0DA6">
        <w:rPr>
          <w:rFonts w:ascii="Cambria" w:eastAsia="Times New Roman" w:hAnsi="Cambria" w:cstheme="minorHAnsi"/>
          <w:spacing w:val="-1"/>
        </w:rPr>
        <w:t>4</w:t>
      </w:r>
      <w:r w:rsidRPr="009A0DA6">
        <w:rPr>
          <w:rFonts w:ascii="Cambria" w:eastAsia="Times New Roman" w:hAnsi="Cambria" w:cstheme="minorHAnsi"/>
        </w:rPr>
        <w:t>)</w:t>
      </w:r>
      <w:r w:rsidRPr="009A0DA6">
        <w:rPr>
          <w:rFonts w:ascii="Cambria" w:eastAsia="Times New Roman" w:hAnsi="Cambria" w:cstheme="minorHAnsi"/>
        </w:rPr>
        <w:tab/>
      </w:r>
      <w:r w:rsidRPr="009A0DA6">
        <w:rPr>
          <w:rFonts w:ascii="Cambria" w:eastAsia="Times New Roman" w:hAnsi="Cambria" w:cstheme="minorHAnsi"/>
          <w:spacing w:val="1"/>
        </w:rPr>
        <w:t>(44,</w:t>
      </w:r>
      <w:r w:rsidRPr="009A0DA6">
        <w:rPr>
          <w:rFonts w:ascii="Cambria" w:eastAsia="Times New Roman" w:hAnsi="Cambria" w:cstheme="minorHAnsi"/>
          <w:spacing w:val="-1"/>
        </w:rPr>
        <w:t>9</w:t>
      </w:r>
      <w:r w:rsidRPr="009A0DA6">
        <w:rPr>
          <w:rFonts w:ascii="Cambria" w:eastAsia="Times New Roman" w:hAnsi="Cambria" w:cstheme="minorHAnsi"/>
          <w:spacing w:val="1"/>
        </w:rPr>
        <w:t>72</w:t>
      </w:r>
      <w:r w:rsidRPr="009A0DA6">
        <w:rPr>
          <w:rFonts w:ascii="Cambria" w:eastAsia="Times New Roman" w:hAnsi="Cambria" w:cstheme="minorHAnsi"/>
        </w:rPr>
        <w:t>)</w:t>
      </w:r>
      <w:r w:rsidRPr="009A0DA6">
        <w:rPr>
          <w:rFonts w:ascii="Cambria" w:eastAsia="Times New Roman" w:hAnsi="Cambria" w:cstheme="minorHAnsi"/>
        </w:rPr>
        <w:tab/>
        <w:t>(6,313)</w:t>
      </w:r>
    </w:p>
    <w:p w14:paraId="2DA29248"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eastAsia="Times New Roman" w:hAnsi="Cambria" w:cstheme="minorHAnsi"/>
        </w:rPr>
      </w:pPr>
      <w:r w:rsidRPr="009A0DA6">
        <w:rPr>
          <w:rFonts w:ascii="Cambria" w:eastAsia="Times New Roman" w:hAnsi="Cambria" w:cstheme="minorHAnsi"/>
          <w:spacing w:val="-2"/>
        </w:rPr>
        <w:t>L</w:t>
      </w:r>
      <w:r w:rsidRPr="009A0DA6">
        <w:rPr>
          <w:rFonts w:ascii="Cambria" w:eastAsia="Times New Roman" w:hAnsi="Cambria" w:cstheme="minorHAnsi"/>
          <w:spacing w:val="2"/>
        </w:rPr>
        <w:t>C</w:t>
      </w:r>
      <w:r w:rsidRPr="009A0DA6">
        <w:rPr>
          <w:rFonts w:ascii="Cambria" w:eastAsia="Times New Roman" w:hAnsi="Cambria" w:cstheme="minorHAnsi"/>
        </w:rPr>
        <w:t>A</w:t>
      </w:r>
      <w:r w:rsidRPr="009A0DA6">
        <w:rPr>
          <w:rFonts w:ascii="Cambria" w:eastAsia="Times New Roman" w:hAnsi="Cambria" w:cstheme="minorHAnsi"/>
          <w:spacing w:val="-3"/>
        </w:rPr>
        <w:t xml:space="preserve"> </w:t>
      </w:r>
      <w:r w:rsidRPr="009A0DA6">
        <w:rPr>
          <w:rFonts w:ascii="Cambria" w:eastAsia="Times New Roman" w:hAnsi="Cambria" w:cstheme="minorHAnsi"/>
          <w:spacing w:val="2"/>
        </w:rPr>
        <w:t>S</w:t>
      </w:r>
      <w:r w:rsidRPr="009A0DA6">
        <w:rPr>
          <w:rFonts w:ascii="Cambria" w:eastAsia="Times New Roman" w:hAnsi="Cambria" w:cstheme="minorHAnsi"/>
          <w:spacing w:val="-1"/>
        </w:rPr>
        <w:t>u</w:t>
      </w:r>
      <w:r w:rsidRPr="009A0DA6">
        <w:rPr>
          <w:rFonts w:ascii="Cambria" w:eastAsia="Times New Roman" w:hAnsi="Cambria" w:cstheme="minorHAnsi"/>
          <w:spacing w:val="1"/>
        </w:rPr>
        <w:t>b</w:t>
      </w:r>
      <w:r w:rsidRPr="009A0DA6">
        <w:rPr>
          <w:rFonts w:ascii="Cambria" w:eastAsia="Times New Roman" w:hAnsi="Cambria" w:cstheme="minorHAnsi"/>
          <w:spacing w:val="-1"/>
        </w:rPr>
        <w:t>s</w:t>
      </w:r>
      <w:r w:rsidRPr="009A0DA6">
        <w:rPr>
          <w:rFonts w:ascii="Cambria" w:eastAsia="Times New Roman" w:hAnsi="Cambria" w:cstheme="minorHAnsi"/>
        </w:rPr>
        <w:t>c</w:t>
      </w:r>
      <w:r w:rsidRPr="009A0DA6">
        <w:rPr>
          <w:rFonts w:ascii="Cambria" w:eastAsia="Times New Roman" w:hAnsi="Cambria" w:cstheme="minorHAnsi"/>
          <w:spacing w:val="1"/>
        </w:rPr>
        <w:t>r</w:t>
      </w:r>
      <w:r w:rsidRPr="009A0DA6">
        <w:rPr>
          <w:rFonts w:ascii="Cambria" w:eastAsia="Times New Roman" w:hAnsi="Cambria" w:cstheme="minorHAnsi"/>
        </w:rPr>
        <w:t>i</w:t>
      </w:r>
      <w:r w:rsidRPr="009A0DA6">
        <w:rPr>
          <w:rFonts w:ascii="Cambria" w:eastAsia="Times New Roman" w:hAnsi="Cambria" w:cstheme="minorHAnsi"/>
          <w:spacing w:val="1"/>
        </w:rPr>
        <w:t>p</w:t>
      </w:r>
      <w:r w:rsidRPr="009A0DA6">
        <w:rPr>
          <w:rFonts w:ascii="Cambria" w:eastAsia="Times New Roman" w:hAnsi="Cambria" w:cstheme="minorHAnsi"/>
        </w:rPr>
        <w:t>ti</w:t>
      </w:r>
      <w:r w:rsidRPr="009A0DA6">
        <w:rPr>
          <w:rFonts w:ascii="Cambria" w:eastAsia="Times New Roman" w:hAnsi="Cambria" w:cstheme="minorHAnsi"/>
          <w:spacing w:val="1"/>
        </w:rPr>
        <w:t>o</w:t>
      </w:r>
      <w:r w:rsidRPr="009A0DA6">
        <w:rPr>
          <w:rFonts w:ascii="Cambria" w:eastAsia="Times New Roman" w:hAnsi="Cambria" w:cstheme="minorHAnsi"/>
          <w:spacing w:val="-1"/>
        </w:rPr>
        <w:t>n</w:t>
      </w:r>
      <w:r w:rsidRPr="009A0DA6">
        <w:rPr>
          <w:rFonts w:ascii="Cambria" w:eastAsia="Times New Roman" w:hAnsi="Cambria" w:cstheme="minorHAnsi"/>
        </w:rPr>
        <w:t>s</w:t>
      </w:r>
      <w:r w:rsidRPr="009A0DA6">
        <w:rPr>
          <w:rFonts w:ascii="Cambria" w:eastAsia="Times New Roman" w:hAnsi="Cambria" w:cstheme="minorHAnsi"/>
        </w:rPr>
        <w:tab/>
      </w:r>
      <w:r w:rsidRPr="009A0DA6">
        <w:rPr>
          <w:rFonts w:ascii="Cambria" w:eastAsia="Times New Roman" w:hAnsi="Cambria" w:cstheme="minorHAnsi"/>
        </w:rPr>
        <w:tab/>
      </w:r>
      <w:r w:rsidRPr="009A0DA6">
        <w:rPr>
          <w:rFonts w:ascii="Cambria" w:eastAsia="Times New Roman" w:hAnsi="Cambria" w:cstheme="minorHAnsi"/>
          <w:spacing w:val="1"/>
        </w:rPr>
        <w:t>219,</w:t>
      </w:r>
      <w:r w:rsidRPr="009A0DA6">
        <w:rPr>
          <w:rFonts w:ascii="Cambria" w:eastAsia="Times New Roman" w:hAnsi="Cambria" w:cstheme="minorHAnsi"/>
          <w:spacing w:val="-1"/>
        </w:rPr>
        <w:t>1</w:t>
      </w:r>
      <w:r w:rsidRPr="009A0DA6">
        <w:rPr>
          <w:rFonts w:ascii="Cambria" w:eastAsia="Times New Roman" w:hAnsi="Cambria" w:cstheme="minorHAnsi"/>
          <w:spacing w:val="1"/>
        </w:rPr>
        <w:t>8</w:t>
      </w:r>
      <w:r w:rsidRPr="009A0DA6">
        <w:rPr>
          <w:rFonts w:ascii="Cambria" w:eastAsia="Times New Roman" w:hAnsi="Cambria" w:cstheme="minorHAnsi"/>
        </w:rPr>
        <w:t>7</w:t>
      </w:r>
      <w:r w:rsidRPr="009A0DA6">
        <w:rPr>
          <w:rFonts w:ascii="Cambria" w:eastAsia="Times New Roman" w:hAnsi="Cambria" w:cstheme="minorHAnsi"/>
        </w:rPr>
        <w:tab/>
      </w:r>
      <w:r w:rsidRPr="009A0DA6">
        <w:rPr>
          <w:rFonts w:ascii="Cambria" w:eastAsia="Times New Roman" w:hAnsi="Cambria" w:cstheme="minorHAnsi"/>
          <w:spacing w:val="1"/>
        </w:rPr>
        <w:t>214,</w:t>
      </w:r>
      <w:r w:rsidRPr="009A0DA6">
        <w:rPr>
          <w:rFonts w:ascii="Cambria" w:eastAsia="Times New Roman" w:hAnsi="Cambria" w:cstheme="minorHAnsi"/>
          <w:spacing w:val="-1"/>
        </w:rPr>
        <w:t>1</w:t>
      </w:r>
      <w:r w:rsidRPr="009A0DA6">
        <w:rPr>
          <w:rFonts w:ascii="Cambria" w:eastAsia="Times New Roman" w:hAnsi="Cambria" w:cstheme="minorHAnsi"/>
          <w:spacing w:val="1"/>
        </w:rPr>
        <w:t>0</w:t>
      </w:r>
      <w:r w:rsidRPr="009A0DA6">
        <w:rPr>
          <w:rFonts w:ascii="Cambria" w:eastAsia="Times New Roman" w:hAnsi="Cambria" w:cstheme="minorHAnsi"/>
        </w:rPr>
        <w:t>7</w:t>
      </w:r>
      <w:r w:rsidRPr="009A0DA6">
        <w:rPr>
          <w:rFonts w:ascii="Cambria" w:eastAsia="Times New Roman" w:hAnsi="Cambria" w:cstheme="minorHAnsi"/>
        </w:rPr>
        <w:tab/>
        <w:t>211,304</w:t>
      </w:r>
    </w:p>
    <w:p w14:paraId="50D29F29"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eastAsia="Times New Roman" w:hAnsi="Cambria" w:cstheme="minorHAnsi"/>
        </w:rPr>
      </w:pPr>
      <w:r w:rsidRPr="009A0DA6">
        <w:rPr>
          <w:rFonts w:ascii="Cambria" w:eastAsia="Times New Roman" w:hAnsi="Cambria" w:cstheme="minorHAnsi"/>
        </w:rPr>
        <w:t>L</w:t>
      </w:r>
      <w:r w:rsidRPr="009A0DA6">
        <w:rPr>
          <w:rFonts w:ascii="Cambria" w:eastAsia="Times New Roman" w:hAnsi="Cambria" w:cstheme="minorHAnsi"/>
          <w:spacing w:val="-1"/>
        </w:rPr>
        <w:t>u</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1"/>
        </w:rPr>
        <w:t>r</w:t>
      </w:r>
      <w:r w:rsidRPr="009A0DA6">
        <w:rPr>
          <w:rFonts w:ascii="Cambria" w:eastAsia="Times New Roman" w:hAnsi="Cambria" w:cstheme="minorHAnsi"/>
          <w:spacing w:val="3"/>
        </w:rPr>
        <w:t>a</w:t>
      </w:r>
      <w:r w:rsidRPr="009A0DA6">
        <w:rPr>
          <w:rFonts w:ascii="Cambria" w:eastAsia="Times New Roman" w:hAnsi="Cambria" w:cstheme="minorHAnsi"/>
        </w:rPr>
        <w:t>n</w:t>
      </w:r>
      <w:r w:rsidRPr="009A0DA6">
        <w:rPr>
          <w:rFonts w:ascii="Cambria" w:eastAsia="Times New Roman" w:hAnsi="Cambria" w:cstheme="minorHAnsi"/>
          <w:spacing w:val="-8"/>
        </w:rPr>
        <w:t xml:space="preserve"> </w:t>
      </w:r>
      <w:r w:rsidRPr="009A0DA6">
        <w:rPr>
          <w:rFonts w:ascii="Cambria" w:eastAsia="Times New Roman" w:hAnsi="Cambria" w:cstheme="minorHAnsi"/>
          <w:spacing w:val="2"/>
        </w:rPr>
        <w:t>B</w:t>
      </w:r>
      <w:r w:rsidRPr="009A0DA6">
        <w:rPr>
          <w:rFonts w:ascii="Cambria" w:eastAsia="Times New Roman" w:hAnsi="Cambria" w:cstheme="minorHAnsi"/>
        </w:rPr>
        <w:t>i</w:t>
      </w:r>
      <w:r w:rsidRPr="009A0DA6">
        <w:rPr>
          <w:rFonts w:ascii="Cambria" w:eastAsia="Times New Roman" w:hAnsi="Cambria" w:cstheme="minorHAnsi"/>
          <w:spacing w:val="1"/>
        </w:rPr>
        <w:t>b</w:t>
      </w:r>
      <w:r w:rsidRPr="009A0DA6">
        <w:rPr>
          <w:rFonts w:ascii="Cambria" w:eastAsia="Times New Roman" w:hAnsi="Cambria" w:cstheme="minorHAnsi"/>
        </w:rPr>
        <w:t>le</w:t>
      </w:r>
      <w:r w:rsidRPr="009A0DA6">
        <w:rPr>
          <w:rFonts w:ascii="Cambria" w:eastAsia="Times New Roman" w:hAnsi="Cambria" w:cstheme="minorHAnsi"/>
          <w:spacing w:val="-3"/>
        </w:rPr>
        <w:t xml:space="preserve"> </w:t>
      </w:r>
      <w:r w:rsidRPr="009A0DA6">
        <w:rPr>
          <w:rFonts w:ascii="Cambria" w:eastAsia="Times New Roman" w:hAnsi="Cambria" w:cstheme="minorHAnsi"/>
          <w:spacing w:val="3"/>
        </w:rPr>
        <w:t>T</w:t>
      </w:r>
      <w:r w:rsidRPr="009A0DA6">
        <w:rPr>
          <w:rFonts w:ascii="Cambria" w:eastAsia="Times New Roman" w:hAnsi="Cambria" w:cstheme="minorHAnsi"/>
          <w:spacing w:val="1"/>
        </w:rPr>
        <w:t>r</w:t>
      </w:r>
      <w:r w:rsidRPr="009A0DA6">
        <w:rPr>
          <w:rFonts w:ascii="Cambria" w:eastAsia="Times New Roman" w:hAnsi="Cambria" w:cstheme="minorHAnsi"/>
        </w:rPr>
        <w:t>a</w:t>
      </w:r>
      <w:r w:rsidRPr="009A0DA6">
        <w:rPr>
          <w:rFonts w:ascii="Cambria" w:eastAsia="Times New Roman" w:hAnsi="Cambria" w:cstheme="minorHAnsi"/>
          <w:spacing w:val="-1"/>
        </w:rPr>
        <w:t>ns</w:t>
      </w:r>
      <w:r w:rsidRPr="009A0DA6">
        <w:rPr>
          <w:rFonts w:ascii="Cambria" w:eastAsia="Times New Roman" w:hAnsi="Cambria" w:cstheme="minorHAnsi"/>
        </w:rPr>
        <w:t>lat</w:t>
      </w:r>
      <w:r w:rsidRPr="009A0DA6">
        <w:rPr>
          <w:rFonts w:ascii="Cambria" w:eastAsia="Times New Roman" w:hAnsi="Cambria" w:cstheme="minorHAnsi"/>
          <w:spacing w:val="1"/>
        </w:rPr>
        <w:t>or</w:t>
      </w:r>
      <w:r w:rsidRPr="009A0DA6">
        <w:rPr>
          <w:rFonts w:ascii="Cambria" w:eastAsia="Times New Roman" w:hAnsi="Cambria" w:cstheme="minorHAnsi"/>
        </w:rPr>
        <w:t>s</w:t>
      </w:r>
      <w:r w:rsidRPr="009A0DA6">
        <w:rPr>
          <w:rFonts w:ascii="Cambria" w:eastAsia="Times New Roman" w:hAnsi="Cambria" w:cstheme="minorHAnsi"/>
          <w:spacing w:val="-9"/>
        </w:rPr>
        <w:t xml:space="preserve"> </w:t>
      </w:r>
      <w:r w:rsidRPr="009A0DA6">
        <w:rPr>
          <w:rFonts w:ascii="Cambria" w:eastAsia="Times New Roman" w:hAnsi="Cambria" w:cstheme="minorHAnsi"/>
        </w:rPr>
        <w:t>A</w:t>
      </w:r>
      <w:r w:rsidRPr="009A0DA6">
        <w:rPr>
          <w:rFonts w:ascii="Cambria" w:eastAsia="Times New Roman" w:hAnsi="Cambria" w:cstheme="minorHAnsi"/>
          <w:spacing w:val="1"/>
        </w:rPr>
        <w:t>u</w:t>
      </w:r>
      <w:r w:rsidRPr="009A0DA6">
        <w:rPr>
          <w:rFonts w:ascii="Cambria" w:eastAsia="Times New Roman" w:hAnsi="Cambria" w:cstheme="minorHAnsi"/>
          <w:spacing w:val="-1"/>
        </w:rPr>
        <w:t>s</w:t>
      </w:r>
      <w:r w:rsidRPr="009A0DA6">
        <w:rPr>
          <w:rFonts w:ascii="Cambria" w:eastAsia="Times New Roman" w:hAnsi="Cambria" w:cstheme="minorHAnsi"/>
        </w:rPr>
        <w:t>t</w:t>
      </w:r>
      <w:r w:rsidRPr="009A0DA6">
        <w:rPr>
          <w:rFonts w:ascii="Cambria" w:eastAsia="Times New Roman" w:hAnsi="Cambria" w:cstheme="minorHAnsi"/>
          <w:spacing w:val="1"/>
        </w:rPr>
        <w:t>r</w:t>
      </w:r>
      <w:r w:rsidRPr="009A0DA6">
        <w:rPr>
          <w:rFonts w:ascii="Cambria" w:eastAsia="Times New Roman" w:hAnsi="Cambria" w:cstheme="minorHAnsi"/>
        </w:rPr>
        <w:t>alia</w:t>
      </w:r>
      <w:r w:rsidRPr="009A0DA6">
        <w:rPr>
          <w:rFonts w:ascii="Cambria" w:eastAsia="Times New Roman" w:hAnsi="Cambria" w:cstheme="minorHAnsi"/>
        </w:rPr>
        <w:tab/>
      </w:r>
      <w:r w:rsidRPr="009A0DA6">
        <w:rPr>
          <w:rFonts w:ascii="Cambria" w:eastAsia="Times New Roman" w:hAnsi="Cambria" w:cstheme="minorHAnsi"/>
        </w:rPr>
        <w:tab/>
      </w:r>
      <w:r w:rsidRPr="009A0DA6">
        <w:rPr>
          <w:rFonts w:ascii="Cambria" w:eastAsia="Times New Roman" w:hAnsi="Cambria" w:cstheme="minorHAnsi"/>
          <w:spacing w:val="1"/>
        </w:rPr>
        <w:t>(90,</w:t>
      </w:r>
      <w:r w:rsidRPr="009A0DA6">
        <w:rPr>
          <w:rFonts w:ascii="Cambria" w:eastAsia="Times New Roman" w:hAnsi="Cambria" w:cstheme="minorHAnsi"/>
          <w:spacing w:val="-1"/>
        </w:rPr>
        <w:t>0</w:t>
      </w:r>
      <w:r w:rsidRPr="009A0DA6">
        <w:rPr>
          <w:rFonts w:ascii="Cambria" w:eastAsia="Times New Roman" w:hAnsi="Cambria" w:cstheme="minorHAnsi"/>
          <w:spacing w:val="1"/>
        </w:rPr>
        <w:t>58</w:t>
      </w:r>
      <w:r w:rsidRPr="009A0DA6">
        <w:rPr>
          <w:rFonts w:ascii="Cambria" w:eastAsia="Times New Roman" w:hAnsi="Cambria" w:cstheme="minorHAnsi"/>
        </w:rPr>
        <w:t>)</w:t>
      </w:r>
      <w:r w:rsidRPr="009A0DA6">
        <w:rPr>
          <w:rFonts w:ascii="Cambria" w:eastAsia="Times New Roman" w:hAnsi="Cambria" w:cstheme="minorHAnsi"/>
        </w:rPr>
        <w:tab/>
      </w:r>
      <w:r w:rsidRPr="009A0DA6">
        <w:rPr>
          <w:rFonts w:ascii="Cambria" w:eastAsia="Times New Roman" w:hAnsi="Cambria" w:cstheme="minorHAnsi"/>
          <w:spacing w:val="1"/>
        </w:rPr>
        <w:t>(56,</w:t>
      </w:r>
      <w:r w:rsidRPr="009A0DA6">
        <w:rPr>
          <w:rFonts w:ascii="Cambria" w:eastAsia="Times New Roman" w:hAnsi="Cambria" w:cstheme="minorHAnsi"/>
          <w:spacing w:val="-1"/>
        </w:rPr>
        <w:t>9</w:t>
      </w:r>
      <w:r w:rsidRPr="009A0DA6">
        <w:rPr>
          <w:rFonts w:ascii="Cambria" w:eastAsia="Times New Roman" w:hAnsi="Cambria" w:cstheme="minorHAnsi"/>
          <w:spacing w:val="1"/>
        </w:rPr>
        <w:t>50</w:t>
      </w:r>
      <w:r w:rsidRPr="009A0DA6">
        <w:rPr>
          <w:rFonts w:ascii="Cambria" w:eastAsia="Times New Roman" w:hAnsi="Cambria" w:cstheme="minorHAnsi"/>
        </w:rPr>
        <w:t>)</w:t>
      </w:r>
      <w:r w:rsidRPr="009A0DA6">
        <w:rPr>
          <w:rFonts w:ascii="Cambria" w:eastAsia="Times New Roman" w:hAnsi="Cambria" w:cstheme="minorHAnsi"/>
        </w:rPr>
        <w:tab/>
        <w:t>(33,857)</w:t>
      </w:r>
    </w:p>
    <w:p w14:paraId="3B30BAEA"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eastAsia="Times New Roman" w:hAnsi="Cambria" w:cstheme="minorHAnsi"/>
        </w:rPr>
      </w:pPr>
      <w:r w:rsidRPr="009A0DA6">
        <w:rPr>
          <w:rFonts w:ascii="Cambria" w:eastAsia="Times New Roman" w:hAnsi="Cambria" w:cstheme="minorHAnsi"/>
          <w:spacing w:val="-2"/>
        </w:rPr>
        <w:t>L</w:t>
      </w:r>
      <w:r w:rsidRPr="009A0DA6">
        <w:rPr>
          <w:rFonts w:ascii="Cambria" w:eastAsia="Times New Roman" w:hAnsi="Cambria" w:cstheme="minorHAnsi"/>
          <w:spacing w:val="1"/>
        </w:rPr>
        <w:t>o</w:t>
      </w:r>
      <w:r w:rsidRPr="009A0DA6">
        <w:rPr>
          <w:rFonts w:ascii="Cambria" w:eastAsia="Times New Roman" w:hAnsi="Cambria" w:cstheme="minorHAnsi"/>
        </w:rPr>
        <w:t>cal</w:t>
      </w:r>
      <w:r w:rsidRPr="009A0DA6">
        <w:rPr>
          <w:rFonts w:ascii="Cambria" w:eastAsia="Times New Roman" w:hAnsi="Cambria" w:cstheme="minorHAnsi"/>
          <w:spacing w:val="-5"/>
        </w:rPr>
        <w:t xml:space="preserve"> </w:t>
      </w:r>
      <w:r w:rsidRPr="009A0DA6">
        <w:rPr>
          <w:rFonts w:ascii="Cambria" w:eastAsia="Times New Roman" w:hAnsi="Cambria" w:cstheme="minorHAnsi"/>
          <w:spacing w:val="1"/>
        </w:rPr>
        <w:t>M</w:t>
      </w:r>
      <w:r w:rsidRPr="009A0DA6">
        <w:rPr>
          <w:rFonts w:ascii="Cambria" w:eastAsia="Times New Roman" w:hAnsi="Cambria" w:cstheme="minorHAnsi"/>
        </w:rPr>
        <w:t>i</w:t>
      </w:r>
      <w:r w:rsidRPr="009A0DA6">
        <w:rPr>
          <w:rFonts w:ascii="Cambria" w:eastAsia="Times New Roman" w:hAnsi="Cambria" w:cstheme="minorHAnsi"/>
          <w:spacing w:val="2"/>
        </w:rPr>
        <w:t>s</w:t>
      </w:r>
      <w:r w:rsidRPr="009A0DA6">
        <w:rPr>
          <w:rFonts w:ascii="Cambria" w:eastAsia="Times New Roman" w:hAnsi="Cambria" w:cstheme="minorHAnsi"/>
          <w:spacing w:val="-1"/>
        </w:rPr>
        <w:t>s</w:t>
      </w:r>
      <w:r w:rsidRPr="009A0DA6">
        <w:rPr>
          <w:rFonts w:ascii="Cambria" w:eastAsia="Times New Roman" w:hAnsi="Cambria" w:cstheme="minorHAnsi"/>
        </w:rPr>
        <w:t>i</w:t>
      </w:r>
      <w:r w:rsidRPr="009A0DA6">
        <w:rPr>
          <w:rFonts w:ascii="Cambria" w:eastAsia="Times New Roman" w:hAnsi="Cambria" w:cstheme="minorHAnsi"/>
          <w:spacing w:val="1"/>
        </w:rPr>
        <w:t>o</w:t>
      </w:r>
      <w:r w:rsidRPr="009A0DA6">
        <w:rPr>
          <w:rFonts w:ascii="Cambria" w:eastAsia="Times New Roman" w:hAnsi="Cambria" w:cstheme="minorHAnsi"/>
        </w:rPr>
        <w:t>n</w:t>
      </w:r>
      <w:r w:rsidRPr="009A0DA6">
        <w:rPr>
          <w:rFonts w:ascii="Cambria" w:eastAsia="Times New Roman" w:hAnsi="Cambria" w:cstheme="minorHAnsi"/>
        </w:rPr>
        <w:tab/>
      </w:r>
      <w:r w:rsidRPr="009A0DA6">
        <w:rPr>
          <w:rFonts w:ascii="Cambria" w:eastAsia="Times New Roman" w:hAnsi="Cambria" w:cstheme="minorHAnsi"/>
        </w:rPr>
        <w:tab/>
      </w:r>
      <w:r w:rsidRPr="009A0DA6">
        <w:rPr>
          <w:rFonts w:ascii="Cambria" w:eastAsia="Times New Roman" w:hAnsi="Cambria" w:cstheme="minorHAnsi"/>
          <w:spacing w:val="1"/>
        </w:rPr>
        <w:t>312,</w:t>
      </w:r>
      <w:r w:rsidRPr="009A0DA6">
        <w:rPr>
          <w:rFonts w:ascii="Cambria" w:eastAsia="Times New Roman" w:hAnsi="Cambria" w:cstheme="minorHAnsi"/>
          <w:spacing w:val="-1"/>
        </w:rPr>
        <w:t>7</w:t>
      </w:r>
      <w:r w:rsidRPr="009A0DA6">
        <w:rPr>
          <w:rFonts w:ascii="Cambria" w:eastAsia="Times New Roman" w:hAnsi="Cambria" w:cstheme="minorHAnsi"/>
          <w:spacing w:val="1"/>
        </w:rPr>
        <w:t>1</w:t>
      </w:r>
      <w:r w:rsidRPr="009A0DA6">
        <w:rPr>
          <w:rFonts w:ascii="Cambria" w:eastAsia="Times New Roman" w:hAnsi="Cambria" w:cstheme="minorHAnsi"/>
        </w:rPr>
        <w:t>5</w:t>
      </w:r>
      <w:r w:rsidRPr="009A0DA6">
        <w:rPr>
          <w:rFonts w:ascii="Cambria" w:eastAsia="Times New Roman" w:hAnsi="Cambria" w:cstheme="minorHAnsi"/>
        </w:rPr>
        <w:tab/>
      </w:r>
      <w:r w:rsidRPr="009A0DA6">
        <w:rPr>
          <w:rFonts w:ascii="Cambria" w:eastAsia="Times New Roman" w:hAnsi="Cambria" w:cstheme="minorHAnsi"/>
          <w:spacing w:val="1"/>
        </w:rPr>
        <w:t>139,</w:t>
      </w:r>
      <w:r w:rsidRPr="009A0DA6">
        <w:rPr>
          <w:rFonts w:ascii="Cambria" w:eastAsia="Times New Roman" w:hAnsi="Cambria" w:cstheme="minorHAnsi"/>
          <w:spacing w:val="-1"/>
        </w:rPr>
        <w:t>5</w:t>
      </w:r>
      <w:r w:rsidRPr="009A0DA6">
        <w:rPr>
          <w:rFonts w:ascii="Cambria" w:eastAsia="Times New Roman" w:hAnsi="Cambria" w:cstheme="minorHAnsi"/>
          <w:spacing w:val="1"/>
        </w:rPr>
        <w:t>9</w:t>
      </w:r>
      <w:r w:rsidRPr="009A0DA6">
        <w:rPr>
          <w:rFonts w:ascii="Cambria" w:eastAsia="Times New Roman" w:hAnsi="Cambria" w:cstheme="minorHAnsi"/>
        </w:rPr>
        <w:t>2</w:t>
      </w:r>
      <w:r w:rsidRPr="009A0DA6">
        <w:rPr>
          <w:rFonts w:ascii="Cambria" w:eastAsia="Times New Roman" w:hAnsi="Cambria" w:cstheme="minorHAnsi"/>
        </w:rPr>
        <w:tab/>
        <w:t>134,793</w:t>
      </w:r>
    </w:p>
    <w:p w14:paraId="577F86BC"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eastAsia="Times New Roman" w:hAnsi="Cambria" w:cstheme="minorHAnsi"/>
        </w:rPr>
      </w:pPr>
      <w:r w:rsidRPr="009A0DA6">
        <w:rPr>
          <w:rFonts w:ascii="Cambria" w:eastAsia="Times New Roman" w:hAnsi="Cambria" w:cstheme="minorHAnsi"/>
          <w:spacing w:val="1"/>
        </w:rPr>
        <w:t>I</w:t>
      </w:r>
      <w:r w:rsidRPr="009A0DA6">
        <w:rPr>
          <w:rFonts w:ascii="Cambria" w:eastAsia="Times New Roman" w:hAnsi="Cambria" w:cstheme="minorHAnsi"/>
          <w:spacing w:val="-1"/>
        </w:rPr>
        <w:t>n</w:t>
      </w:r>
      <w:r w:rsidRPr="009A0DA6">
        <w:rPr>
          <w:rFonts w:ascii="Cambria" w:eastAsia="Times New Roman" w:hAnsi="Cambria" w:cstheme="minorHAnsi"/>
        </w:rPr>
        <w:t>te</w:t>
      </w:r>
      <w:r w:rsidRPr="009A0DA6">
        <w:rPr>
          <w:rFonts w:ascii="Cambria" w:eastAsia="Times New Roman" w:hAnsi="Cambria" w:cstheme="minorHAnsi"/>
          <w:spacing w:val="1"/>
        </w:rPr>
        <w:t>r</w:t>
      </w:r>
      <w:r w:rsidRPr="009A0DA6">
        <w:rPr>
          <w:rFonts w:ascii="Cambria" w:eastAsia="Times New Roman" w:hAnsi="Cambria" w:cstheme="minorHAnsi"/>
          <w:spacing w:val="-1"/>
        </w:rPr>
        <w:t>n</w:t>
      </w:r>
      <w:r w:rsidRPr="009A0DA6">
        <w:rPr>
          <w:rFonts w:ascii="Cambria" w:eastAsia="Times New Roman" w:hAnsi="Cambria" w:cstheme="minorHAnsi"/>
        </w:rPr>
        <w:t>ati</w:t>
      </w:r>
      <w:r w:rsidRPr="009A0DA6">
        <w:rPr>
          <w:rFonts w:ascii="Cambria" w:eastAsia="Times New Roman" w:hAnsi="Cambria" w:cstheme="minorHAnsi"/>
          <w:spacing w:val="4"/>
        </w:rPr>
        <w:t>o</w:t>
      </w:r>
      <w:r w:rsidRPr="009A0DA6">
        <w:rPr>
          <w:rFonts w:ascii="Cambria" w:eastAsia="Times New Roman" w:hAnsi="Cambria" w:cstheme="minorHAnsi"/>
          <w:spacing w:val="-1"/>
        </w:rPr>
        <w:t>n</w:t>
      </w:r>
      <w:r w:rsidRPr="009A0DA6">
        <w:rPr>
          <w:rFonts w:ascii="Cambria" w:eastAsia="Times New Roman" w:hAnsi="Cambria" w:cstheme="minorHAnsi"/>
        </w:rPr>
        <w:t>al</w:t>
      </w:r>
      <w:r w:rsidRPr="009A0DA6">
        <w:rPr>
          <w:rFonts w:ascii="Cambria" w:eastAsia="Times New Roman" w:hAnsi="Cambria" w:cstheme="minorHAnsi"/>
          <w:spacing w:val="-10"/>
        </w:rPr>
        <w:t xml:space="preserve"> </w:t>
      </w:r>
      <w:r w:rsidRPr="009A0DA6">
        <w:rPr>
          <w:rFonts w:ascii="Cambria" w:eastAsia="Times New Roman" w:hAnsi="Cambria" w:cstheme="minorHAnsi"/>
          <w:spacing w:val="1"/>
        </w:rPr>
        <w:t>M</w:t>
      </w:r>
      <w:r w:rsidRPr="009A0DA6">
        <w:rPr>
          <w:rFonts w:ascii="Cambria" w:eastAsia="Times New Roman" w:hAnsi="Cambria" w:cstheme="minorHAnsi"/>
        </w:rPr>
        <w:t>i</w:t>
      </w:r>
      <w:r w:rsidRPr="009A0DA6">
        <w:rPr>
          <w:rFonts w:ascii="Cambria" w:eastAsia="Times New Roman" w:hAnsi="Cambria" w:cstheme="minorHAnsi"/>
          <w:spacing w:val="2"/>
        </w:rPr>
        <w:t>s</w:t>
      </w:r>
      <w:r w:rsidRPr="009A0DA6">
        <w:rPr>
          <w:rFonts w:ascii="Cambria" w:eastAsia="Times New Roman" w:hAnsi="Cambria" w:cstheme="minorHAnsi"/>
          <w:spacing w:val="-1"/>
        </w:rPr>
        <w:t>s</w:t>
      </w:r>
      <w:r w:rsidRPr="009A0DA6">
        <w:rPr>
          <w:rFonts w:ascii="Cambria" w:eastAsia="Times New Roman" w:hAnsi="Cambria" w:cstheme="minorHAnsi"/>
        </w:rPr>
        <w:t>i</w:t>
      </w:r>
      <w:r w:rsidRPr="009A0DA6">
        <w:rPr>
          <w:rFonts w:ascii="Cambria" w:eastAsia="Times New Roman" w:hAnsi="Cambria" w:cstheme="minorHAnsi"/>
          <w:spacing w:val="1"/>
        </w:rPr>
        <w:t>o</w:t>
      </w:r>
      <w:r w:rsidRPr="009A0DA6">
        <w:rPr>
          <w:rFonts w:ascii="Cambria" w:eastAsia="Times New Roman" w:hAnsi="Cambria" w:cstheme="minorHAnsi"/>
        </w:rPr>
        <w:t>n</w:t>
      </w:r>
      <w:r w:rsidRPr="009A0DA6">
        <w:rPr>
          <w:rFonts w:ascii="Cambria" w:eastAsia="Times New Roman" w:hAnsi="Cambria" w:cstheme="minorHAnsi"/>
        </w:rPr>
        <w:tab/>
      </w:r>
      <w:r w:rsidRPr="009A0DA6">
        <w:rPr>
          <w:rFonts w:ascii="Cambria" w:eastAsia="Times New Roman" w:hAnsi="Cambria" w:cstheme="minorHAnsi"/>
        </w:rPr>
        <w:tab/>
      </w:r>
      <w:r w:rsidRPr="009A0DA6">
        <w:rPr>
          <w:rFonts w:ascii="Cambria" w:eastAsia="Times New Roman" w:hAnsi="Cambria" w:cstheme="minorHAnsi"/>
          <w:spacing w:val="1"/>
        </w:rPr>
        <w:t>1,08</w:t>
      </w:r>
      <w:r w:rsidRPr="009A0DA6">
        <w:rPr>
          <w:rFonts w:ascii="Cambria" w:eastAsia="Times New Roman" w:hAnsi="Cambria" w:cstheme="minorHAnsi"/>
          <w:spacing w:val="-1"/>
        </w:rPr>
        <w:t>1</w:t>
      </w:r>
      <w:r w:rsidRPr="009A0DA6">
        <w:rPr>
          <w:rFonts w:ascii="Cambria" w:eastAsia="Times New Roman" w:hAnsi="Cambria" w:cstheme="minorHAnsi"/>
          <w:spacing w:val="1"/>
        </w:rPr>
        <w:t>,8</w:t>
      </w:r>
      <w:r w:rsidRPr="009A0DA6">
        <w:rPr>
          <w:rFonts w:ascii="Cambria" w:eastAsia="Times New Roman" w:hAnsi="Cambria" w:cstheme="minorHAnsi"/>
          <w:spacing w:val="-1"/>
        </w:rPr>
        <w:t>4</w:t>
      </w:r>
      <w:r w:rsidRPr="009A0DA6">
        <w:rPr>
          <w:rFonts w:ascii="Cambria" w:eastAsia="Times New Roman" w:hAnsi="Cambria" w:cstheme="minorHAnsi"/>
        </w:rPr>
        <w:t>7</w:t>
      </w:r>
      <w:r w:rsidRPr="009A0DA6">
        <w:rPr>
          <w:rFonts w:ascii="Cambria" w:eastAsia="Times New Roman" w:hAnsi="Cambria" w:cstheme="minorHAnsi"/>
        </w:rPr>
        <w:tab/>
      </w:r>
      <w:r w:rsidRPr="009A0DA6">
        <w:rPr>
          <w:rFonts w:ascii="Cambria" w:eastAsia="Times New Roman" w:hAnsi="Cambria" w:cstheme="minorHAnsi"/>
          <w:spacing w:val="1"/>
        </w:rPr>
        <w:t>1,09</w:t>
      </w:r>
      <w:r w:rsidRPr="009A0DA6">
        <w:rPr>
          <w:rFonts w:ascii="Cambria" w:eastAsia="Times New Roman" w:hAnsi="Cambria" w:cstheme="minorHAnsi"/>
          <w:spacing w:val="-1"/>
        </w:rPr>
        <w:t>9</w:t>
      </w:r>
      <w:r w:rsidRPr="009A0DA6">
        <w:rPr>
          <w:rFonts w:ascii="Cambria" w:eastAsia="Times New Roman" w:hAnsi="Cambria" w:cstheme="minorHAnsi"/>
          <w:spacing w:val="1"/>
        </w:rPr>
        <w:t>,9</w:t>
      </w:r>
      <w:r w:rsidRPr="009A0DA6">
        <w:rPr>
          <w:rFonts w:ascii="Cambria" w:eastAsia="Times New Roman" w:hAnsi="Cambria" w:cstheme="minorHAnsi"/>
          <w:spacing w:val="-1"/>
        </w:rPr>
        <w:t>5</w:t>
      </w:r>
      <w:r w:rsidRPr="009A0DA6">
        <w:rPr>
          <w:rFonts w:ascii="Cambria" w:eastAsia="Times New Roman" w:hAnsi="Cambria" w:cstheme="minorHAnsi"/>
        </w:rPr>
        <w:t>0</w:t>
      </w:r>
      <w:r w:rsidRPr="009A0DA6">
        <w:rPr>
          <w:rFonts w:ascii="Cambria" w:eastAsia="Times New Roman" w:hAnsi="Cambria" w:cstheme="minorHAnsi"/>
        </w:rPr>
        <w:tab/>
        <w:t>254,011</w:t>
      </w:r>
    </w:p>
    <w:p w14:paraId="5260D16F"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eastAsia="Times New Roman" w:hAnsi="Cambria" w:cstheme="minorHAnsi"/>
          <w:b/>
          <w:w w:val="99"/>
        </w:rPr>
      </w:pPr>
      <w:r w:rsidRPr="009A0DA6">
        <w:rPr>
          <w:rFonts w:ascii="Cambria" w:eastAsia="Times New Roman" w:hAnsi="Cambria" w:cstheme="minorHAnsi"/>
          <w:b/>
          <w:spacing w:val="-1"/>
        </w:rPr>
        <w:t>T</w:t>
      </w:r>
      <w:r w:rsidRPr="009A0DA6">
        <w:rPr>
          <w:rFonts w:ascii="Cambria" w:eastAsia="Times New Roman" w:hAnsi="Cambria" w:cstheme="minorHAnsi"/>
          <w:b/>
          <w:spacing w:val="1"/>
        </w:rPr>
        <w:t>O</w:t>
      </w:r>
      <w:r w:rsidRPr="009A0DA6">
        <w:rPr>
          <w:rFonts w:ascii="Cambria" w:eastAsia="Times New Roman" w:hAnsi="Cambria" w:cstheme="minorHAnsi"/>
          <w:b/>
          <w:spacing w:val="-1"/>
        </w:rPr>
        <w:t>T</w:t>
      </w:r>
      <w:r w:rsidRPr="009A0DA6">
        <w:rPr>
          <w:rFonts w:ascii="Cambria" w:eastAsia="Times New Roman" w:hAnsi="Cambria" w:cstheme="minorHAnsi"/>
          <w:b/>
          <w:spacing w:val="3"/>
        </w:rPr>
        <w:t>A</w:t>
      </w:r>
      <w:r w:rsidRPr="009A0DA6">
        <w:rPr>
          <w:rFonts w:ascii="Cambria" w:eastAsia="Times New Roman" w:hAnsi="Cambria" w:cstheme="minorHAnsi"/>
          <w:b/>
        </w:rPr>
        <w:t>L</w:t>
      </w:r>
      <w:r w:rsidRPr="009A0DA6">
        <w:rPr>
          <w:rFonts w:ascii="Cambria" w:eastAsia="Times New Roman" w:hAnsi="Cambria" w:cstheme="minorHAnsi"/>
          <w:b/>
          <w:spacing w:val="38"/>
        </w:rPr>
        <w:t xml:space="preserve"> </w:t>
      </w:r>
      <w:r w:rsidRPr="009A0DA6">
        <w:rPr>
          <w:rFonts w:ascii="Cambria" w:eastAsia="Times New Roman" w:hAnsi="Cambria" w:cstheme="minorHAnsi"/>
          <w:b/>
        </w:rPr>
        <w:t>ACCU</w:t>
      </w:r>
      <w:r w:rsidRPr="009A0DA6">
        <w:rPr>
          <w:rFonts w:ascii="Cambria" w:eastAsia="Times New Roman" w:hAnsi="Cambria" w:cstheme="minorHAnsi"/>
          <w:b/>
          <w:spacing w:val="4"/>
        </w:rPr>
        <w:t>M</w:t>
      </w:r>
      <w:r w:rsidRPr="009A0DA6">
        <w:rPr>
          <w:rFonts w:ascii="Cambria" w:eastAsia="Times New Roman" w:hAnsi="Cambria" w:cstheme="minorHAnsi"/>
          <w:b/>
        </w:rPr>
        <w:t>U</w:t>
      </w:r>
      <w:r w:rsidRPr="009A0DA6">
        <w:rPr>
          <w:rFonts w:ascii="Cambria" w:eastAsia="Times New Roman" w:hAnsi="Cambria" w:cstheme="minorHAnsi"/>
          <w:b/>
          <w:spacing w:val="-1"/>
        </w:rPr>
        <w:t>L</w:t>
      </w:r>
      <w:r w:rsidRPr="009A0DA6">
        <w:rPr>
          <w:rFonts w:ascii="Cambria" w:eastAsia="Times New Roman" w:hAnsi="Cambria" w:cstheme="minorHAnsi"/>
          <w:b/>
          <w:spacing w:val="3"/>
        </w:rPr>
        <w:t>A</w:t>
      </w:r>
      <w:r w:rsidRPr="009A0DA6">
        <w:rPr>
          <w:rFonts w:ascii="Cambria" w:eastAsia="Times New Roman" w:hAnsi="Cambria" w:cstheme="minorHAnsi"/>
          <w:b/>
          <w:spacing w:val="-1"/>
        </w:rPr>
        <w:t>TE</w:t>
      </w:r>
      <w:r w:rsidRPr="009A0DA6">
        <w:rPr>
          <w:rFonts w:ascii="Cambria" w:eastAsia="Times New Roman" w:hAnsi="Cambria" w:cstheme="minorHAnsi"/>
          <w:b/>
        </w:rPr>
        <w:t>D</w:t>
      </w:r>
      <w:r w:rsidRPr="009A0DA6">
        <w:rPr>
          <w:rFonts w:ascii="Cambria" w:eastAsia="Times New Roman" w:hAnsi="Cambria" w:cstheme="minorHAnsi"/>
          <w:b/>
          <w:spacing w:val="3"/>
        </w:rPr>
        <w:t xml:space="preserve"> </w:t>
      </w:r>
      <w:r w:rsidRPr="009A0DA6">
        <w:rPr>
          <w:rFonts w:ascii="Cambria" w:eastAsia="Times New Roman" w:hAnsi="Cambria" w:cstheme="minorHAnsi"/>
          <w:b/>
          <w:spacing w:val="1"/>
        </w:rPr>
        <w:t>F</w:t>
      </w:r>
      <w:r w:rsidRPr="009A0DA6">
        <w:rPr>
          <w:rFonts w:ascii="Cambria" w:eastAsia="Times New Roman" w:hAnsi="Cambria" w:cstheme="minorHAnsi"/>
          <w:b/>
        </w:rPr>
        <w:t>UNDS</w:t>
      </w:r>
      <w:r w:rsidRPr="009A0DA6">
        <w:rPr>
          <w:rFonts w:ascii="Cambria" w:eastAsia="Times New Roman" w:hAnsi="Cambria" w:cstheme="minorHAnsi"/>
          <w:b/>
        </w:rPr>
        <w:tab/>
      </w:r>
      <w:r w:rsidRPr="009A0DA6">
        <w:rPr>
          <w:rFonts w:ascii="Cambria" w:eastAsia="Times New Roman" w:hAnsi="Cambria" w:cstheme="minorHAnsi"/>
          <w:b/>
        </w:rPr>
        <w:tab/>
        <w:t>$</w:t>
      </w:r>
      <w:r w:rsidRPr="009A0DA6">
        <w:rPr>
          <w:rFonts w:ascii="Cambria" w:eastAsia="Times New Roman" w:hAnsi="Cambria" w:cstheme="minorHAnsi"/>
          <w:b/>
          <w:spacing w:val="1"/>
          <w:w w:val="99"/>
        </w:rPr>
        <w:t>3,49</w:t>
      </w:r>
      <w:r w:rsidRPr="009A0DA6">
        <w:rPr>
          <w:rFonts w:ascii="Cambria" w:eastAsia="Times New Roman" w:hAnsi="Cambria" w:cstheme="minorHAnsi"/>
          <w:b/>
          <w:spacing w:val="-1"/>
          <w:w w:val="99"/>
        </w:rPr>
        <w:t>8</w:t>
      </w:r>
      <w:r w:rsidRPr="009A0DA6">
        <w:rPr>
          <w:rFonts w:ascii="Cambria" w:eastAsia="Times New Roman" w:hAnsi="Cambria" w:cstheme="minorHAnsi"/>
          <w:b/>
          <w:spacing w:val="1"/>
          <w:w w:val="99"/>
        </w:rPr>
        <w:t>,9</w:t>
      </w:r>
      <w:r w:rsidRPr="009A0DA6">
        <w:rPr>
          <w:rFonts w:ascii="Cambria" w:eastAsia="Times New Roman" w:hAnsi="Cambria" w:cstheme="minorHAnsi"/>
          <w:b/>
          <w:spacing w:val="-1"/>
          <w:w w:val="99"/>
        </w:rPr>
        <w:t>8</w:t>
      </w:r>
      <w:r w:rsidRPr="009A0DA6">
        <w:rPr>
          <w:rFonts w:ascii="Cambria" w:eastAsia="Times New Roman" w:hAnsi="Cambria" w:cstheme="minorHAnsi"/>
          <w:b/>
          <w:w w:val="99"/>
        </w:rPr>
        <w:t>7</w:t>
      </w:r>
      <w:r w:rsidRPr="009A0DA6">
        <w:rPr>
          <w:rFonts w:ascii="Cambria" w:eastAsia="Times New Roman" w:hAnsi="Cambria" w:cstheme="minorHAnsi"/>
          <w:b/>
        </w:rPr>
        <w:tab/>
        <w:t>$</w:t>
      </w:r>
      <w:r w:rsidRPr="009A0DA6">
        <w:rPr>
          <w:rFonts w:ascii="Cambria" w:eastAsia="Times New Roman" w:hAnsi="Cambria" w:cstheme="minorHAnsi"/>
          <w:b/>
          <w:spacing w:val="1"/>
          <w:w w:val="99"/>
        </w:rPr>
        <w:t>4,08</w:t>
      </w:r>
      <w:r w:rsidRPr="009A0DA6">
        <w:rPr>
          <w:rFonts w:ascii="Cambria" w:eastAsia="Times New Roman" w:hAnsi="Cambria" w:cstheme="minorHAnsi"/>
          <w:b/>
          <w:spacing w:val="-1"/>
          <w:w w:val="99"/>
        </w:rPr>
        <w:t>2</w:t>
      </w:r>
      <w:r w:rsidRPr="009A0DA6">
        <w:rPr>
          <w:rFonts w:ascii="Cambria" w:eastAsia="Times New Roman" w:hAnsi="Cambria" w:cstheme="minorHAnsi"/>
          <w:b/>
          <w:spacing w:val="1"/>
          <w:w w:val="99"/>
        </w:rPr>
        <w:t>,3</w:t>
      </w:r>
      <w:r w:rsidRPr="009A0DA6">
        <w:rPr>
          <w:rFonts w:ascii="Cambria" w:eastAsia="Times New Roman" w:hAnsi="Cambria" w:cstheme="minorHAnsi"/>
          <w:b/>
          <w:spacing w:val="-1"/>
          <w:w w:val="99"/>
        </w:rPr>
        <w:t>2</w:t>
      </w:r>
      <w:r w:rsidRPr="009A0DA6">
        <w:rPr>
          <w:rFonts w:ascii="Cambria" w:eastAsia="Times New Roman" w:hAnsi="Cambria" w:cstheme="minorHAnsi"/>
          <w:b/>
          <w:w w:val="99"/>
        </w:rPr>
        <w:t>8</w:t>
      </w:r>
      <w:r w:rsidRPr="009A0DA6">
        <w:rPr>
          <w:rFonts w:ascii="Cambria" w:eastAsia="Times New Roman" w:hAnsi="Cambria" w:cstheme="minorHAnsi"/>
          <w:b/>
          <w:w w:val="99"/>
        </w:rPr>
        <w:tab/>
        <w:t>$3,581,164</w:t>
      </w:r>
    </w:p>
    <w:p w14:paraId="674F61D1" w14:textId="77777777" w:rsidR="00BA4592" w:rsidRPr="007408EE" w:rsidRDefault="00BA4592" w:rsidP="00BA4592">
      <w:pPr>
        <w:tabs>
          <w:tab w:val="center" w:pos="4394"/>
          <w:tab w:val="right" w:pos="6095"/>
          <w:tab w:val="right" w:pos="7371"/>
          <w:tab w:val="right" w:pos="8647"/>
        </w:tabs>
        <w:spacing w:before="120" w:after="120" w:line="240" w:lineRule="auto"/>
        <w:ind w:right="-331"/>
        <w:contextualSpacing/>
        <w:rPr>
          <w:rFonts w:ascii="Cambria" w:eastAsia="Times New Roman" w:hAnsi="Cambria" w:cstheme="minorHAnsi"/>
          <w:b/>
          <w:w w:val="99"/>
          <w:sz w:val="8"/>
        </w:rPr>
      </w:pPr>
    </w:p>
    <w:p w14:paraId="6B688E9A" w14:textId="0C6EC79F" w:rsidR="00BA4592" w:rsidRPr="007408EE" w:rsidRDefault="00BA4592" w:rsidP="007408EE">
      <w:pPr>
        <w:pStyle w:val="NoSpacing"/>
        <w:rPr>
          <w:b/>
        </w:rPr>
      </w:pPr>
      <w:r w:rsidRPr="007408EE">
        <w:rPr>
          <w:b/>
        </w:rPr>
        <w:t>Note 12</w:t>
      </w:r>
      <w:r w:rsidR="00351A0F">
        <w:rPr>
          <w:b/>
        </w:rPr>
        <w:t>:</w:t>
      </w:r>
      <w:r w:rsidRPr="007408EE">
        <w:rPr>
          <w:b/>
        </w:rPr>
        <w:t xml:space="preserve"> Reserves</w:t>
      </w:r>
    </w:p>
    <w:p w14:paraId="25339791"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eastAsia="Times New Roman" w:hAnsi="Cambria" w:cstheme="minorHAnsi"/>
          <w:b/>
          <w:w w:val="99"/>
        </w:rPr>
      </w:pPr>
      <w:r w:rsidRPr="009A0DA6">
        <w:rPr>
          <w:rFonts w:ascii="Cambria" w:eastAsia="Times New Roman" w:hAnsi="Cambria" w:cstheme="minorHAnsi"/>
        </w:rPr>
        <w:t>A</w:t>
      </w:r>
      <w:r w:rsidRPr="009A0DA6">
        <w:rPr>
          <w:rFonts w:ascii="Cambria" w:eastAsia="Times New Roman" w:hAnsi="Cambria" w:cstheme="minorHAnsi"/>
          <w:spacing w:val="-1"/>
        </w:rPr>
        <w:t>ss</w:t>
      </w:r>
      <w:r w:rsidRPr="009A0DA6">
        <w:rPr>
          <w:rFonts w:ascii="Cambria" w:eastAsia="Times New Roman" w:hAnsi="Cambria" w:cstheme="minorHAnsi"/>
        </w:rPr>
        <w:t>et</w:t>
      </w:r>
      <w:r w:rsidRPr="009A0DA6">
        <w:rPr>
          <w:rFonts w:ascii="Cambria" w:eastAsia="Times New Roman" w:hAnsi="Cambria" w:cstheme="minorHAnsi"/>
          <w:spacing w:val="-4"/>
        </w:rPr>
        <w:t xml:space="preserve"> </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1"/>
        </w:rPr>
        <w:t>v</w:t>
      </w:r>
      <w:r w:rsidRPr="009A0DA6">
        <w:rPr>
          <w:rFonts w:ascii="Cambria" w:eastAsia="Times New Roman" w:hAnsi="Cambria" w:cstheme="minorHAnsi"/>
          <w:spacing w:val="3"/>
        </w:rPr>
        <w:t>a</w:t>
      </w:r>
      <w:r w:rsidRPr="009A0DA6">
        <w:rPr>
          <w:rFonts w:ascii="Cambria" w:eastAsia="Times New Roman" w:hAnsi="Cambria" w:cstheme="minorHAnsi"/>
        </w:rPr>
        <w:t>l</w:t>
      </w:r>
      <w:r w:rsidRPr="009A0DA6">
        <w:rPr>
          <w:rFonts w:ascii="Cambria" w:eastAsia="Times New Roman" w:hAnsi="Cambria" w:cstheme="minorHAnsi"/>
          <w:spacing w:val="-1"/>
        </w:rPr>
        <w:t>u</w:t>
      </w:r>
      <w:r w:rsidRPr="009A0DA6">
        <w:rPr>
          <w:rFonts w:ascii="Cambria" w:eastAsia="Times New Roman" w:hAnsi="Cambria" w:cstheme="minorHAnsi"/>
        </w:rPr>
        <w:t>a</w:t>
      </w:r>
      <w:r w:rsidRPr="009A0DA6">
        <w:rPr>
          <w:rFonts w:ascii="Cambria" w:eastAsia="Times New Roman" w:hAnsi="Cambria" w:cstheme="minorHAnsi"/>
          <w:spacing w:val="2"/>
        </w:rPr>
        <w:t>t</w:t>
      </w:r>
      <w:r w:rsidRPr="009A0DA6">
        <w:rPr>
          <w:rFonts w:ascii="Cambria" w:eastAsia="Times New Roman" w:hAnsi="Cambria" w:cstheme="minorHAnsi"/>
        </w:rPr>
        <w:t>i</w:t>
      </w:r>
      <w:r w:rsidRPr="009A0DA6">
        <w:rPr>
          <w:rFonts w:ascii="Cambria" w:eastAsia="Times New Roman" w:hAnsi="Cambria" w:cstheme="minorHAnsi"/>
          <w:spacing w:val="1"/>
        </w:rPr>
        <w:t>o</w:t>
      </w:r>
      <w:r w:rsidRPr="009A0DA6">
        <w:rPr>
          <w:rFonts w:ascii="Cambria" w:eastAsia="Times New Roman" w:hAnsi="Cambria" w:cstheme="minorHAnsi"/>
        </w:rPr>
        <w:t>n</w:t>
      </w:r>
      <w:r w:rsidRPr="009A0DA6">
        <w:rPr>
          <w:rFonts w:ascii="Cambria" w:eastAsia="Times New Roman" w:hAnsi="Cambria" w:cstheme="minorHAnsi"/>
        </w:rPr>
        <w:tab/>
      </w:r>
      <w:r w:rsidRPr="009A0DA6">
        <w:rPr>
          <w:rFonts w:ascii="Cambria" w:eastAsia="Times New Roman" w:hAnsi="Cambria" w:cstheme="minorHAnsi"/>
        </w:rPr>
        <w:tab/>
      </w:r>
      <w:r w:rsidRPr="009A0DA6">
        <w:rPr>
          <w:rFonts w:ascii="Cambria" w:eastAsia="Times New Roman" w:hAnsi="Cambria" w:cstheme="minorHAnsi"/>
          <w:spacing w:val="1"/>
        </w:rPr>
        <w:t>393,</w:t>
      </w:r>
      <w:r w:rsidRPr="009A0DA6">
        <w:rPr>
          <w:rFonts w:ascii="Cambria" w:eastAsia="Times New Roman" w:hAnsi="Cambria" w:cstheme="minorHAnsi"/>
          <w:spacing w:val="-1"/>
        </w:rPr>
        <w:t>8</w:t>
      </w:r>
      <w:r w:rsidRPr="009A0DA6">
        <w:rPr>
          <w:rFonts w:ascii="Cambria" w:eastAsia="Times New Roman" w:hAnsi="Cambria" w:cstheme="minorHAnsi"/>
          <w:spacing w:val="1"/>
        </w:rPr>
        <w:t>8</w:t>
      </w:r>
      <w:r w:rsidRPr="009A0DA6">
        <w:rPr>
          <w:rFonts w:ascii="Cambria" w:eastAsia="Times New Roman" w:hAnsi="Cambria" w:cstheme="minorHAnsi"/>
        </w:rPr>
        <w:t>3</w:t>
      </w:r>
      <w:r w:rsidRPr="009A0DA6">
        <w:rPr>
          <w:rFonts w:ascii="Cambria" w:hAnsi="Cambria" w:cstheme="minorHAnsi"/>
        </w:rPr>
        <w:tab/>
      </w:r>
      <w:r w:rsidRPr="009A0DA6">
        <w:rPr>
          <w:rFonts w:ascii="Cambria" w:eastAsia="Times New Roman" w:hAnsi="Cambria" w:cstheme="minorHAnsi"/>
          <w:spacing w:val="1"/>
        </w:rPr>
        <w:t>393,</w:t>
      </w:r>
      <w:r w:rsidRPr="009A0DA6">
        <w:rPr>
          <w:rFonts w:ascii="Cambria" w:eastAsia="Times New Roman" w:hAnsi="Cambria" w:cstheme="minorHAnsi"/>
          <w:spacing w:val="-1"/>
        </w:rPr>
        <w:t>8</w:t>
      </w:r>
      <w:r w:rsidRPr="009A0DA6">
        <w:rPr>
          <w:rFonts w:ascii="Cambria" w:eastAsia="Times New Roman" w:hAnsi="Cambria" w:cstheme="minorHAnsi"/>
          <w:spacing w:val="1"/>
        </w:rPr>
        <w:t>8</w:t>
      </w:r>
      <w:r w:rsidRPr="009A0DA6">
        <w:rPr>
          <w:rFonts w:ascii="Cambria" w:eastAsia="Times New Roman" w:hAnsi="Cambria" w:cstheme="minorHAnsi"/>
        </w:rPr>
        <w:t>3</w:t>
      </w:r>
      <w:r w:rsidRPr="009A0DA6">
        <w:rPr>
          <w:rFonts w:ascii="Cambria" w:eastAsia="Times New Roman" w:hAnsi="Cambria" w:cstheme="minorHAnsi"/>
        </w:rPr>
        <w:tab/>
        <w:t>1,065,093</w:t>
      </w:r>
    </w:p>
    <w:p w14:paraId="474A65A0"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eastAsia="Times New Roman" w:hAnsi="Cambria" w:cstheme="minorHAnsi"/>
        </w:rPr>
      </w:pPr>
      <w:r w:rsidRPr="009A0DA6">
        <w:rPr>
          <w:rFonts w:ascii="Cambria" w:eastAsia="Times New Roman" w:hAnsi="Cambria" w:cstheme="minorHAnsi"/>
          <w:spacing w:val="1"/>
        </w:rPr>
        <w:t>E</w:t>
      </w:r>
      <w:r w:rsidRPr="009A0DA6">
        <w:rPr>
          <w:rFonts w:ascii="Cambria" w:eastAsia="Times New Roman" w:hAnsi="Cambria" w:cstheme="minorHAnsi"/>
          <w:spacing w:val="-1"/>
        </w:rPr>
        <w:t>x</w:t>
      </w:r>
      <w:r w:rsidRPr="009A0DA6">
        <w:rPr>
          <w:rFonts w:ascii="Cambria" w:eastAsia="Times New Roman" w:hAnsi="Cambria" w:cstheme="minorHAnsi"/>
        </w:rPr>
        <w:t>ec</w:t>
      </w:r>
      <w:r w:rsidRPr="009A0DA6">
        <w:rPr>
          <w:rFonts w:ascii="Cambria" w:eastAsia="Times New Roman" w:hAnsi="Cambria" w:cstheme="minorHAnsi"/>
          <w:spacing w:val="-1"/>
        </w:rPr>
        <w:t>u</w:t>
      </w:r>
      <w:r w:rsidRPr="009A0DA6">
        <w:rPr>
          <w:rFonts w:ascii="Cambria" w:eastAsia="Times New Roman" w:hAnsi="Cambria" w:cstheme="minorHAnsi"/>
          <w:spacing w:val="2"/>
        </w:rPr>
        <w:t>t</w:t>
      </w:r>
      <w:r w:rsidRPr="009A0DA6">
        <w:rPr>
          <w:rFonts w:ascii="Cambria" w:eastAsia="Times New Roman" w:hAnsi="Cambria" w:cstheme="minorHAnsi"/>
        </w:rPr>
        <w:t>i</w:t>
      </w:r>
      <w:r w:rsidRPr="009A0DA6">
        <w:rPr>
          <w:rFonts w:ascii="Cambria" w:eastAsia="Times New Roman" w:hAnsi="Cambria" w:cstheme="minorHAnsi"/>
          <w:spacing w:val="-1"/>
        </w:rPr>
        <w:t>v</w:t>
      </w:r>
      <w:r w:rsidRPr="009A0DA6">
        <w:rPr>
          <w:rFonts w:ascii="Cambria" w:eastAsia="Times New Roman" w:hAnsi="Cambria" w:cstheme="minorHAnsi"/>
        </w:rPr>
        <w:t>e</w:t>
      </w:r>
      <w:r w:rsidRPr="009A0DA6">
        <w:rPr>
          <w:rFonts w:ascii="Cambria" w:eastAsia="Times New Roman" w:hAnsi="Cambria" w:cstheme="minorHAnsi"/>
          <w:spacing w:val="-7"/>
        </w:rPr>
        <w:t xml:space="preserve"> </w:t>
      </w:r>
      <w:r w:rsidRPr="009A0DA6">
        <w:rPr>
          <w:rFonts w:ascii="Cambria" w:eastAsia="Times New Roman" w:hAnsi="Cambria" w:cstheme="minorHAnsi"/>
          <w:spacing w:val="3"/>
        </w:rPr>
        <w:t>O</w:t>
      </w:r>
      <w:r w:rsidRPr="009A0DA6">
        <w:rPr>
          <w:rFonts w:ascii="Cambria" w:eastAsia="Times New Roman" w:hAnsi="Cambria" w:cstheme="minorHAnsi"/>
          <w:spacing w:val="1"/>
        </w:rPr>
        <w:t>f</w:t>
      </w:r>
      <w:r w:rsidRPr="009A0DA6">
        <w:rPr>
          <w:rFonts w:ascii="Cambria" w:eastAsia="Times New Roman" w:hAnsi="Cambria" w:cstheme="minorHAnsi"/>
          <w:spacing w:val="-1"/>
        </w:rPr>
        <w:t>f</w:t>
      </w:r>
      <w:r w:rsidRPr="009A0DA6">
        <w:rPr>
          <w:rFonts w:ascii="Cambria" w:eastAsia="Times New Roman" w:hAnsi="Cambria" w:cstheme="minorHAnsi"/>
        </w:rPr>
        <w:t>ice</w:t>
      </w:r>
      <w:r w:rsidRPr="009A0DA6">
        <w:rPr>
          <w:rFonts w:ascii="Cambria" w:eastAsia="Times New Roman" w:hAnsi="Cambria" w:cstheme="minorHAnsi"/>
          <w:spacing w:val="1"/>
        </w:rPr>
        <w:t>r</w:t>
      </w:r>
      <w:r w:rsidRPr="009A0DA6">
        <w:rPr>
          <w:rFonts w:ascii="Cambria" w:eastAsia="Times New Roman" w:hAnsi="Cambria" w:cstheme="minorHAnsi"/>
        </w:rPr>
        <w:t>s</w:t>
      </w:r>
      <w:r w:rsidRPr="009A0DA6">
        <w:rPr>
          <w:rFonts w:ascii="Cambria" w:eastAsia="Times New Roman" w:hAnsi="Cambria" w:cstheme="minorHAnsi"/>
          <w:spacing w:val="-7"/>
        </w:rPr>
        <w:t xml:space="preserve"> </w:t>
      </w:r>
      <w:r w:rsidRPr="009A0DA6">
        <w:rPr>
          <w:rFonts w:ascii="Cambria" w:eastAsia="Times New Roman" w:hAnsi="Cambria" w:cstheme="minorHAnsi"/>
        </w:rPr>
        <w:t>all</w:t>
      </w:r>
      <w:r w:rsidRPr="009A0DA6">
        <w:rPr>
          <w:rFonts w:ascii="Cambria" w:eastAsia="Times New Roman" w:hAnsi="Cambria" w:cstheme="minorHAnsi"/>
          <w:spacing w:val="1"/>
        </w:rPr>
        <w:t>o</w:t>
      </w:r>
      <w:r w:rsidRPr="009A0DA6">
        <w:rPr>
          <w:rFonts w:ascii="Cambria" w:eastAsia="Times New Roman" w:hAnsi="Cambria" w:cstheme="minorHAnsi"/>
        </w:rPr>
        <w:t>cati</w:t>
      </w:r>
      <w:r w:rsidRPr="009A0DA6">
        <w:rPr>
          <w:rFonts w:ascii="Cambria" w:eastAsia="Times New Roman" w:hAnsi="Cambria" w:cstheme="minorHAnsi"/>
          <w:spacing w:val="1"/>
        </w:rPr>
        <w:t>o</w:t>
      </w:r>
      <w:r w:rsidRPr="009A0DA6">
        <w:rPr>
          <w:rFonts w:ascii="Cambria" w:eastAsia="Times New Roman" w:hAnsi="Cambria" w:cstheme="minorHAnsi"/>
        </w:rPr>
        <w:t>n</w:t>
      </w:r>
      <w:r w:rsidRPr="009A0DA6">
        <w:rPr>
          <w:rFonts w:ascii="Cambria" w:eastAsia="Times New Roman" w:hAnsi="Cambria" w:cstheme="minorHAnsi"/>
        </w:rPr>
        <w:tab/>
      </w:r>
      <w:r w:rsidRPr="009A0DA6">
        <w:rPr>
          <w:rFonts w:ascii="Cambria" w:eastAsia="Times New Roman" w:hAnsi="Cambria" w:cstheme="minorHAnsi"/>
        </w:rPr>
        <w:tab/>
      </w:r>
      <w:r w:rsidRPr="009A0DA6">
        <w:rPr>
          <w:rFonts w:ascii="Cambria" w:eastAsia="Times New Roman" w:hAnsi="Cambria" w:cstheme="minorHAnsi"/>
          <w:spacing w:val="1"/>
        </w:rPr>
        <w:t>309,</w:t>
      </w:r>
      <w:r w:rsidRPr="009A0DA6">
        <w:rPr>
          <w:rFonts w:ascii="Cambria" w:eastAsia="Times New Roman" w:hAnsi="Cambria" w:cstheme="minorHAnsi"/>
          <w:spacing w:val="-1"/>
        </w:rPr>
        <w:t>9</w:t>
      </w:r>
      <w:r w:rsidRPr="009A0DA6">
        <w:rPr>
          <w:rFonts w:ascii="Cambria" w:eastAsia="Times New Roman" w:hAnsi="Cambria" w:cstheme="minorHAnsi"/>
          <w:spacing w:val="1"/>
        </w:rPr>
        <w:t>7</w:t>
      </w:r>
      <w:r w:rsidRPr="009A0DA6">
        <w:rPr>
          <w:rFonts w:ascii="Cambria" w:eastAsia="Times New Roman" w:hAnsi="Cambria" w:cstheme="minorHAnsi"/>
        </w:rPr>
        <w:t>2</w:t>
      </w:r>
      <w:r w:rsidRPr="009A0DA6">
        <w:rPr>
          <w:rFonts w:ascii="Cambria" w:hAnsi="Cambria" w:cstheme="minorHAnsi"/>
        </w:rPr>
        <w:tab/>
      </w:r>
      <w:r w:rsidRPr="009A0DA6">
        <w:rPr>
          <w:rFonts w:ascii="Cambria" w:eastAsia="Times New Roman" w:hAnsi="Cambria" w:cstheme="minorHAnsi"/>
          <w:spacing w:val="1"/>
        </w:rPr>
        <w:t>447,</w:t>
      </w:r>
      <w:r w:rsidRPr="009A0DA6">
        <w:rPr>
          <w:rFonts w:ascii="Cambria" w:eastAsia="Times New Roman" w:hAnsi="Cambria" w:cstheme="minorHAnsi"/>
          <w:spacing w:val="-1"/>
        </w:rPr>
        <w:t>7</w:t>
      </w:r>
      <w:r w:rsidRPr="009A0DA6">
        <w:rPr>
          <w:rFonts w:ascii="Cambria" w:eastAsia="Times New Roman" w:hAnsi="Cambria" w:cstheme="minorHAnsi"/>
          <w:spacing w:val="1"/>
        </w:rPr>
        <w:t>3</w:t>
      </w:r>
      <w:r w:rsidRPr="009A0DA6">
        <w:rPr>
          <w:rFonts w:ascii="Cambria" w:eastAsia="Times New Roman" w:hAnsi="Cambria" w:cstheme="minorHAnsi"/>
        </w:rPr>
        <w:t>9</w:t>
      </w:r>
      <w:r w:rsidRPr="009A0DA6">
        <w:rPr>
          <w:rFonts w:ascii="Cambria" w:eastAsia="Times New Roman" w:hAnsi="Cambria" w:cstheme="minorHAnsi"/>
        </w:rPr>
        <w:tab/>
        <w:t>412,188</w:t>
      </w:r>
    </w:p>
    <w:p w14:paraId="0C297DB3"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eastAsia="Times New Roman" w:hAnsi="Cambria" w:cstheme="minorHAnsi"/>
          <w:b/>
          <w:w w:val="99"/>
        </w:rPr>
      </w:pPr>
      <w:r w:rsidRPr="009A0DA6">
        <w:rPr>
          <w:rFonts w:ascii="Cambria" w:eastAsia="Times New Roman" w:hAnsi="Cambria" w:cstheme="minorHAnsi"/>
        </w:rPr>
        <w:t>G</w:t>
      </w:r>
      <w:r w:rsidRPr="009A0DA6">
        <w:rPr>
          <w:rFonts w:ascii="Cambria" w:eastAsia="Times New Roman" w:hAnsi="Cambria" w:cstheme="minorHAnsi"/>
          <w:spacing w:val="1"/>
        </w:rPr>
        <w:t>r</w:t>
      </w:r>
      <w:r w:rsidRPr="009A0DA6">
        <w:rPr>
          <w:rFonts w:ascii="Cambria" w:eastAsia="Times New Roman" w:hAnsi="Cambria" w:cstheme="minorHAnsi"/>
        </w:rPr>
        <w:t>a</w:t>
      </w:r>
      <w:r w:rsidRPr="009A0DA6">
        <w:rPr>
          <w:rFonts w:ascii="Cambria" w:eastAsia="Times New Roman" w:hAnsi="Cambria" w:cstheme="minorHAnsi"/>
          <w:spacing w:val="1"/>
        </w:rPr>
        <w:t>d</w:t>
      </w:r>
      <w:r w:rsidRPr="009A0DA6">
        <w:rPr>
          <w:rFonts w:ascii="Cambria" w:eastAsia="Times New Roman" w:hAnsi="Cambria" w:cstheme="minorHAnsi"/>
          <w:spacing w:val="-1"/>
        </w:rPr>
        <w:t>u</w:t>
      </w:r>
      <w:r w:rsidRPr="009A0DA6">
        <w:rPr>
          <w:rFonts w:ascii="Cambria" w:eastAsia="Times New Roman" w:hAnsi="Cambria" w:cstheme="minorHAnsi"/>
        </w:rPr>
        <w:t>ates</w:t>
      </w:r>
      <w:r w:rsidRPr="009A0DA6">
        <w:rPr>
          <w:rFonts w:ascii="Cambria" w:eastAsia="Times New Roman" w:hAnsi="Cambria" w:cstheme="minorHAnsi"/>
          <w:spacing w:val="-8"/>
        </w:rPr>
        <w:t xml:space="preserve"> </w:t>
      </w:r>
      <w:r w:rsidRPr="009A0DA6">
        <w:rPr>
          <w:rFonts w:ascii="Cambria" w:eastAsia="Times New Roman" w:hAnsi="Cambria" w:cstheme="minorHAnsi"/>
          <w:spacing w:val="1"/>
        </w:rPr>
        <w:t>fu</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rPr>
        <w:tab/>
      </w:r>
      <w:r w:rsidRPr="009A0DA6">
        <w:rPr>
          <w:rFonts w:ascii="Cambria" w:eastAsia="Times New Roman" w:hAnsi="Cambria" w:cstheme="minorHAnsi"/>
        </w:rPr>
        <w:tab/>
      </w:r>
      <w:r w:rsidRPr="009A0DA6">
        <w:rPr>
          <w:rFonts w:ascii="Cambria" w:eastAsia="Times New Roman" w:hAnsi="Cambria" w:cstheme="minorHAnsi"/>
          <w:spacing w:val="1"/>
        </w:rPr>
        <w:t>36,2</w:t>
      </w:r>
      <w:r w:rsidRPr="009A0DA6">
        <w:rPr>
          <w:rFonts w:ascii="Cambria" w:eastAsia="Times New Roman" w:hAnsi="Cambria" w:cstheme="minorHAnsi"/>
          <w:spacing w:val="-1"/>
        </w:rPr>
        <w:t>9</w:t>
      </w:r>
      <w:r w:rsidRPr="009A0DA6">
        <w:rPr>
          <w:rFonts w:ascii="Cambria" w:eastAsia="Times New Roman" w:hAnsi="Cambria" w:cstheme="minorHAnsi"/>
        </w:rPr>
        <w:t>0</w:t>
      </w:r>
      <w:r w:rsidRPr="009A0DA6">
        <w:rPr>
          <w:rFonts w:ascii="Cambria" w:hAnsi="Cambria" w:cstheme="minorHAnsi"/>
        </w:rPr>
        <w:tab/>
      </w:r>
      <w:r w:rsidRPr="009A0DA6">
        <w:rPr>
          <w:rFonts w:ascii="Cambria" w:eastAsia="Times New Roman" w:hAnsi="Cambria" w:cstheme="minorHAnsi"/>
          <w:spacing w:val="1"/>
        </w:rPr>
        <w:t>36,2</w:t>
      </w:r>
      <w:r w:rsidRPr="009A0DA6">
        <w:rPr>
          <w:rFonts w:ascii="Cambria" w:eastAsia="Times New Roman" w:hAnsi="Cambria" w:cstheme="minorHAnsi"/>
          <w:spacing w:val="-1"/>
        </w:rPr>
        <w:t>9</w:t>
      </w:r>
      <w:r w:rsidRPr="009A0DA6">
        <w:rPr>
          <w:rFonts w:ascii="Cambria" w:eastAsia="Times New Roman" w:hAnsi="Cambria" w:cstheme="minorHAnsi"/>
        </w:rPr>
        <w:t>0</w:t>
      </w:r>
      <w:r w:rsidRPr="009A0DA6">
        <w:rPr>
          <w:rFonts w:ascii="Cambria" w:eastAsia="Times New Roman" w:hAnsi="Cambria" w:cstheme="minorHAnsi"/>
        </w:rPr>
        <w:tab/>
        <w:t>36,290</w:t>
      </w:r>
    </w:p>
    <w:p w14:paraId="2EC7F5F3"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eastAsia="Times New Roman" w:hAnsi="Cambria" w:cstheme="minorHAnsi"/>
          <w:b/>
          <w:w w:val="99"/>
        </w:rPr>
      </w:pPr>
      <w:r w:rsidRPr="009A0DA6">
        <w:rPr>
          <w:rFonts w:ascii="Cambria" w:eastAsia="Times New Roman" w:hAnsi="Cambria" w:cstheme="minorHAnsi"/>
          <w:spacing w:val="1"/>
        </w:rPr>
        <w:t>I</w:t>
      </w:r>
      <w:r w:rsidRPr="009A0DA6">
        <w:rPr>
          <w:rFonts w:ascii="Cambria" w:eastAsia="Times New Roman" w:hAnsi="Cambria" w:cstheme="minorHAnsi"/>
          <w:spacing w:val="-1"/>
        </w:rPr>
        <w:t>n</w:t>
      </w:r>
      <w:r w:rsidRPr="009A0DA6">
        <w:rPr>
          <w:rFonts w:ascii="Cambria" w:eastAsia="Times New Roman" w:hAnsi="Cambria" w:cstheme="minorHAnsi"/>
        </w:rPr>
        <w:t>te</w:t>
      </w:r>
      <w:r w:rsidRPr="009A0DA6">
        <w:rPr>
          <w:rFonts w:ascii="Cambria" w:eastAsia="Times New Roman" w:hAnsi="Cambria" w:cstheme="minorHAnsi"/>
          <w:spacing w:val="1"/>
        </w:rPr>
        <w:t>r</w:t>
      </w:r>
      <w:r w:rsidRPr="009A0DA6">
        <w:rPr>
          <w:rFonts w:ascii="Cambria" w:eastAsia="Times New Roman" w:hAnsi="Cambria" w:cstheme="minorHAnsi"/>
          <w:spacing w:val="2"/>
        </w:rPr>
        <w:t>i</w:t>
      </w:r>
      <w:r w:rsidRPr="009A0DA6">
        <w:rPr>
          <w:rFonts w:ascii="Cambria" w:eastAsia="Times New Roman" w:hAnsi="Cambria" w:cstheme="minorHAnsi"/>
        </w:rPr>
        <w:t>m</w:t>
      </w:r>
      <w:r w:rsidRPr="009A0DA6">
        <w:rPr>
          <w:rFonts w:ascii="Cambria" w:eastAsia="Times New Roman" w:hAnsi="Cambria" w:cstheme="minorHAnsi"/>
          <w:spacing w:val="-9"/>
        </w:rPr>
        <w:t xml:space="preserve"> </w:t>
      </w:r>
      <w:r w:rsidRPr="009A0DA6">
        <w:rPr>
          <w:rFonts w:ascii="Cambria" w:eastAsia="Times New Roman" w:hAnsi="Cambria" w:cstheme="minorHAnsi"/>
          <w:spacing w:val="2"/>
        </w:rPr>
        <w:t>P</w:t>
      </w:r>
      <w:r w:rsidRPr="009A0DA6">
        <w:rPr>
          <w:rFonts w:ascii="Cambria" w:eastAsia="Times New Roman" w:hAnsi="Cambria" w:cstheme="minorHAnsi"/>
        </w:rPr>
        <w:t>a</w:t>
      </w:r>
      <w:r w:rsidRPr="009A0DA6">
        <w:rPr>
          <w:rFonts w:ascii="Cambria" w:eastAsia="Times New Roman" w:hAnsi="Cambria" w:cstheme="minorHAnsi"/>
          <w:spacing w:val="-1"/>
        </w:rPr>
        <w:t>s</w:t>
      </w:r>
      <w:r w:rsidRPr="009A0DA6">
        <w:rPr>
          <w:rFonts w:ascii="Cambria" w:eastAsia="Times New Roman" w:hAnsi="Cambria" w:cstheme="minorHAnsi"/>
        </w:rPr>
        <w:t>t</w:t>
      </w:r>
      <w:r w:rsidRPr="009A0DA6">
        <w:rPr>
          <w:rFonts w:ascii="Cambria" w:eastAsia="Times New Roman" w:hAnsi="Cambria" w:cstheme="minorHAnsi"/>
          <w:spacing w:val="1"/>
        </w:rPr>
        <w:t>or</w:t>
      </w:r>
      <w:r w:rsidRPr="009A0DA6">
        <w:rPr>
          <w:rFonts w:ascii="Cambria" w:eastAsia="Times New Roman" w:hAnsi="Cambria" w:cstheme="minorHAnsi"/>
        </w:rPr>
        <w:t>s</w:t>
      </w:r>
      <w:r w:rsidRPr="009A0DA6">
        <w:rPr>
          <w:rFonts w:ascii="Cambria" w:eastAsia="Times New Roman" w:hAnsi="Cambria" w:cstheme="minorHAnsi"/>
          <w:spacing w:val="-4"/>
        </w:rPr>
        <w:t xml:space="preserve"> </w:t>
      </w:r>
      <w:r w:rsidRPr="009A0DA6">
        <w:rPr>
          <w:rFonts w:ascii="Cambria" w:eastAsia="Times New Roman" w:hAnsi="Cambria" w:cstheme="minorHAnsi"/>
          <w:spacing w:val="-1"/>
        </w:rPr>
        <w:t>f</w:t>
      </w:r>
      <w:r w:rsidRPr="009A0DA6">
        <w:rPr>
          <w:rFonts w:ascii="Cambria" w:eastAsia="Times New Roman" w:hAnsi="Cambria" w:cstheme="minorHAnsi"/>
          <w:spacing w:val="1"/>
        </w:rPr>
        <w:t>u</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rPr>
        <w:tab/>
      </w:r>
      <w:r w:rsidRPr="009A0DA6">
        <w:rPr>
          <w:rFonts w:ascii="Cambria" w:eastAsia="Times New Roman" w:hAnsi="Cambria" w:cstheme="minorHAnsi"/>
        </w:rPr>
        <w:tab/>
      </w:r>
      <w:r w:rsidRPr="009A0DA6">
        <w:rPr>
          <w:rFonts w:ascii="Cambria" w:eastAsia="Times New Roman" w:hAnsi="Cambria" w:cstheme="minorHAnsi"/>
          <w:spacing w:val="1"/>
        </w:rPr>
        <w:t>(85,</w:t>
      </w:r>
      <w:r w:rsidRPr="009A0DA6">
        <w:rPr>
          <w:rFonts w:ascii="Cambria" w:eastAsia="Times New Roman" w:hAnsi="Cambria" w:cstheme="minorHAnsi"/>
          <w:spacing w:val="-1"/>
        </w:rPr>
        <w:t>9</w:t>
      </w:r>
      <w:r w:rsidRPr="009A0DA6">
        <w:rPr>
          <w:rFonts w:ascii="Cambria" w:eastAsia="Times New Roman" w:hAnsi="Cambria" w:cstheme="minorHAnsi"/>
          <w:spacing w:val="1"/>
        </w:rPr>
        <w:t>17</w:t>
      </w:r>
      <w:r w:rsidRPr="009A0DA6">
        <w:rPr>
          <w:rFonts w:ascii="Cambria" w:eastAsia="Times New Roman" w:hAnsi="Cambria" w:cstheme="minorHAnsi"/>
        </w:rPr>
        <w:t>)</w:t>
      </w:r>
      <w:r w:rsidRPr="009A0DA6">
        <w:rPr>
          <w:rFonts w:ascii="Cambria" w:hAnsi="Cambria" w:cstheme="minorHAnsi"/>
        </w:rPr>
        <w:tab/>
      </w:r>
      <w:r w:rsidRPr="009A0DA6">
        <w:rPr>
          <w:rFonts w:ascii="Cambria" w:eastAsia="Times New Roman" w:hAnsi="Cambria" w:cstheme="minorHAnsi"/>
          <w:spacing w:val="1"/>
        </w:rPr>
        <w:t>(51,</w:t>
      </w:r>
      <w:r w:rsidRPr="009A0DA6">
        <w:rPr>
          <w:rFonts w:ascii="Cambria" w:eastAsia="Times New Roman" w:hAnsi="Cambria" w:cstheme="minorHAnsi"/>
          <w:spacing w:val="-1"/>
        </w:rPr>
        <w:t>7</w:t>
      </w:r>
      <w:r w:rsidRPr="009A0DA6">
        <w:rPr>
          <w:rFonts w:ascii="Cambria" w:eastAsia="Times New Roman" w:hAnsi="Cambria" w:cstheme="minorHAnsi"/>
          <w:spacing w:val="1"/>
        </w:rPr>
        <w:t>72</w:t>
      </w:r>
      <w:r w:rsidRPr="009A0DA6">
        <w:rPr>
          <w:rFonts w:ascii="Cambria" w:eastAsia="Times New Roman" w:hAnsi="Cambria" w:cstheme="minorHAnsi"/>
        </w:rPr>
        <w:t>)</w:t>
      </w:r>
      <w:r w:rsidRPr="009A0DA6">
        <w:rPr>
          <w:rFonts w:ascii="Cambria" w:eastAsia="Times New Roman" w:hAnsi="Cambria" w:cstheme="minorHAnsi"/>
        </w:rPr>
        <w:tab/>
        <w:t>14,170</w:t>
      </w:r>
    </w:p>
    <w:p w14:paraId="48332E6A"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eastAsia="Times New Roman" w:hAnsi="Cambria" w:cstheme="minorHAnsi"/>
          <w:b/>
          <w:w w:val="99"/>
        </w:rPr>
      </w:pPr>
      <w:r w:rsidRPr="009A0DA6">
        <w:rPr>
          <w:rFonts w:ascii="Cambria" w:eastAsia="Times New Roman" w:hAnsi="Cambria" w:cstheme="minorHAnsi"/>
        </w:rPr>
        <w:t>Kl</w:t>
      </w:r>
      <w:r w:rsidRPr="009A0DA6">
        <w:rPr>
          <w:rFonts w:ascii="Cambria" w:eastAsia="Times New Roman" w:hAnsi="Cambria" w:cstheme="minorHAnsi"/>
          <w:spacing w:val="3"/>
        </w:rPr>
        <w:t>e</w:t>
      </w:r>
      <w:r w:rsidRPr="009A0DA6">
        <w:rPr>
          <w:rFonts w:ascii="Cambria" w:eastAsia="Times New Roman" w:hAnsi="Cambria" w:cstheme="minorHAnsi"/>
          <w:spacing w:val="-4"/>
        </w:rPr>
        <w:t>m</w:t>
      </w:r>
      <w:r w:rsidRPr="009A0DA6">
        <w:rPr>
          <w:rFonts w:ascii="Cambria" w:eastAsia="Times New Roman" w:hAnsi="Cambria" w:cstheme="minorHAnsi"/>
        </w:rPr>
        <w:t>z</w:t>
      </w:r>
      <w:r w:rsidRPr="009A0DA6">
        <w:rPr>
          <w:rFonts w:ascii="Cambria" w:eastAsia="Times New Roman" w:hAnsi="Cambria" w:cstheme="minorHAnsi"/>
          <w:spacing w:val="2"/>
        </w:rPr>
        <w:t>i</w:t>
      </w:r>
      <w:r w:rsidRPr="009A0DA6">
        <w:rPr>
          <w:rFonts w:ascii="Cambria" w:eastAsia="Times New Roman" w:hAnsi="Cambria" w:cstheme="minorHAnsi"/>
        </w:rPr>
        <w:t>g</w:t>
      </w:r>
      <w:r w:rsidRPr="009A0DA6">
        <w:rPr>
          <w:rFonts w:ascii="Cambria" w:eastAsia="Times New Roman" w:hAnsi="Cambria" w:cstheme="minorHAnsi"/>
          <w:spacing w:val="-8"/>
        </w:rPr>
        <w:t xml:space="preserve"> </w:t>
      </w:r>
      <w:r w:rsidRPr="009A0DA6">
        <w:rPr>
          <w:rFonts w:ascii="Cambria" w:eastAsia="Times New Roman" w:hAnsi="Cambria" w:cstheme="minorHAnsi"/>
        </w:rPr>
        <w:t>c</w:t>
      </w:r>
      <w:r w:rsidRPr="009A0DA6">
        <w:rPr>
          <w:rFonts w:ascii="Cambria" w:eastAsia="Times New Roman" w:hAnsi="Cambria" w:cstheme="minorHAnsi"/>
          <w:spacing w:val="3"/>
        </w:rPr>
        <w:t>e</w:t>
      </w:r>
      <w:r w:rsidRPr="009A0DA6">
        <w:rPr>
          <w:rFonts w:ascii="Cambria" w:eastAsia="Times New Roman" w:hAnsi="Cambria" w:cstheme="minorHAnsi"/>
          <w:spacing w:val="-1"/>
        </w:rPr>
        <w:t>m</w:t>
      </w:r>
      <w:r w:rsidRPr="009A0DA6">
        <w:rPr>
          <w:rFonts w:ascii="Cambria" w:eastAsia="Times New Roman" w:hAnsi="Cambria" w:cstheme="minorHAnsi"/>
        </w:rPr>
        <w:t>ete</w:t>
      </w:r>
      <w:r w:rsidRPr="009A0DA6">
        <w:rPr>
          <w:rFonts w:ascii="Cambria" w:eastAsia="Times New Roman" w:hAnsi="Cambria" w:cstheme="minorHAnsi"/>
          <w:spacing w:val="3"/>
        </w:rPr>
        <w:t>r</w:t>
      </w:r>
      <w:r w:rsidRPr="009A0DA6">
        <w:rPr>
          <w:rFonts w:ascii="Cambria" w:eastAsia="Times New Roman" w:hAnsi="Cambria" w:cstheme="minorHAnsi"/>
        </w:rPr>
        <w:t>y</w:t>
      </w:r>
      <w:r w:rsidRPr="009A0DA6">
        <w:rPr>
          <w:rFonts w:ascii="Cambria" w:eastAsia="Times New Roman" w:hAnsi="Cambria" w:cstheme="minorHAnsi"/>
          <w:spacing w:val="-8"/>
        </w:rPr>
        <w:t xml:space="preserve"> </w:t>
      </w:r>
      <w:r w:rsidRPr="009A0DA6">
        <w:rPr>
          <w:rFonts w:ascii="Cambria" w:eastAsia="Times New Roman" w:hAnsi="Cambria" w:cstheme="minorHAnsi"/>
          <w:spacing w:val="-1"/>
        </w:rPr>
        <w:t>m</w:t>
      </w:r>
      <w:r w:rsidRPr="009A0DA6">
        <w:rPr>
          <w:rFonts w:ascii="Cambria" w:eastAsia="Times New Roman" w:hAnsi="Cambria" w:cstheme="minorHAnsi"/>
          <w:spacing w:val="3"/>
        </w:rPr>
        <w:t>e</w:t>
      </w:r>
      <w:r w:rsidRPr="009A0DA6">
        <w:rPr>
          <w:rFonts w:ascii="Cambria" w:eastAsia="Times New Roman" w:hAnsi="Cambria" w:cstheme="minorHAnsi"/>
          <w:spacing w:val="-4"/>
        </w:rPr>
        <w:t>m</w:t>
      </w:r>
      <w:r w:rsidRPr="009A0DA6">
        <w:rPr>
          <w:rFonts w:ascii="Cambria" w:eastAsia="Times New Roman" w:hAnsi="Cambria" w:cstheme="minorHAnsi"/>
          <w:spacing w:val="1"/>
        </w:rPr>
        <w:t>or</w:t>
      </w:r>
      <w:r w:rsidRPr="009A0DA6">
        <w:rPr>
          <w:rFonts w:ascii="Cambria" w:eastAsia="Times New Roman" w:hAnsi="Cambria" w:cstheme="minorHAnsi"/>
        </w:rPr>
        <w:t>ial</w:t>
      </w:r>
      <w:r w:rsidRPr="009A0DA6">
        <w:rPr>
          <w:rFonts w:ascii="Cambria" w:eastAsia="Times New Roman" w:hAnsi="Cambria" w:cstheme="minorHAnsi"/>
        </w:rPr>
        <w:tab/>
      </w:r>
      <w:r w:rsidRPr="009A0DA6">
        <w:rPr>
          <w:rFonts w:ascii="Cambria" w:eastAsia="Times New Roman" w:hAnsi="Cambria" w:cstheme="minorHAnsi"/>
        </w:rPr>
        <w:tab/>
      </w:r>
      <w:r w:rsidRPr="009A0DA6">
        <w:rPr>
          <w:rFonts w:ascii="Cambria" w:eastAsia="Times New Roman" w:hAnsi="Cambria" w:cstheme="minorHAnsi"/>
          <w:w w:val="99"/>
        </w:rPr>
        <w:t>0</w:t>
      </w:r>
      <w:r w:rsidRPr="009A0DA6">
        <w:rPr>
          <w:rFonts w:ascii="Cambria" w:hAnsi="Cambria" w:cstheme="minorHAnsi"/>
        </w:rPr>
        <w:tab/>
      </w:r>
      <w:r w:rsidRPr="009A0DA6">
        <w:rPr>
          <w:rFonts w:ascii="Cambria" w:eastAsia="Times New Roman" w:hAnsi="Cambria" w:cstheme="minorHAnsi"/>
          <w:spacing w:val="1"/>
        </w:rPr>
        <w:t>1,79</w:t>
      </w:r>
      <w:r w:rsidRPr="009A0DA6">
        <w:rPr>
          <w:rFonts w:ascii="Cambria" w:eastAsia="Times New Roman" w:hAnsi="Cambria" w:cstheme="minorHAnsi"/>
        </w:rPr>
        <w:t>3</w:t>
      </w:r>
      <w:r w:rsidRPr="009A0DA6">
        <w:rPr>
          <w:rFonts w:ascii="Cambria" w:eastAsia="Times New Roman" w:hAnsi="Cambria" w:cstheme="minorHAnsi"/>
        </w:rPr>
        <w:tab/>
        <w:t>1,885</w:t>
      </w:r>
    </w:p>
    <w:p w14:paraId="6E8868C1"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eastAsia="Times New Roman" w:hAnsi="Cambria" w:cstheme="minorHAnsi"/>
          <w:b/>
          <w:w w:val="99"/>
        </w:rPr>
      </w:pPr>
      <w:r w:rsidRPr="009A0DA6">
        <w:rPr>
          <w:rFonts w:ascii="Cambria" w:eastAsia="Times New Roman" w:hAnsi="Cambria" w:cstheme="minorHAnsi"/>
          <w:spacing w:val="-2"/>
        </w:rPr>
        <w:t>L</w:t>
      </w:r>
      <w:r w:rsidRPr="009A0DA6">
        <w:rPr>
          <w:rFonts w:ascii="Cambria" w:eastAsia="Times New Roman" w:hAnsi="Cambria" w:cstheme="minorHAnsi"/>
          <w:spacing w:val="2"/>
        </w:rPr>
        <w:t>C</w:t>
      </w:r>
      <w:r w:rsidRPr="009A0DA6">
        <w:rPr>
          <w:rFonts w:ascii="Cambria" w:eastAsia="Times New Roman" w:hAnsi="Cambria" w:cstheme="minorHAnsi"/>
        </w:rPr>
        <w:t>A</w:t>
      </w:r>
      <w:r w:rsidRPr="009A0DA6">
        <w:rPr>
          <w:rFonts w:ascii="Cambria" w:eastAsia="Times New Roman" w:hAnsi="Cambria" w:cstheme="minorHAnsi"/>
          <w:spacing w:val="-3"/>
        </w:rPr>
        <w:t xml:space="preserve"> </w:t>
      </w:r>
      <w:r w:rsidRPr="009A0DA6">
        <w:rPr>
          <w:rFonts w:ascii="Cambria" w:eastAsia="Times New Roman" w:hAnsi="Cambria" w:cstheme="minorHAnsi"/>
          <w:spacing w:val="1"/>
        </w:rPr>
        <w:t>M</w:t>
      </w:r>
      <w:r w:rsidRPr="009A0DA6">
        <w:rPr>
          <w:rFonts w:ascii="Cambria" w:eastAsia="Times New Roman" w:hAnsi="Cambria" w:cstheme="minorHAnsi"/>
        </w:rPr>
        <w:t>i</w:t>
      </w:r>
      <w:r w:rsidRPr="009A0DA6">
        <w:rPr>
          <w:rFonts w:ascii="Cambria" w:eastAsia="Times New Roman" w:hAnsi="Cambria" w:cstheme="minorHAnsi"/>
          <w:spacing w:val="2"/>
        </w:rPr>
        <w:t>s</w:t>
      </w:r>
      <w:r w:rsidRPr="009A0DA6">
        <w:rPr>
          <w:rFonts w:ascii="Cambria" w:eastAsia="Times New Roman" w:hAnsi="Cambria" w:cstheme="minorHAnsi"/>
          <w:spacing w:val="-1"/>
        </w:rPr>
        <w:t>s</w:t>
      </w:r>
      <w:r w:rsidRPr="009A0DA6">
        <w:rPr>
          <w:rFonts w:ascii="Cambria" w:eastAsia="Times New Roman" w:hAnsi="Cambria" w:cstheme="minorHAnsi"/>
        </w:rPr>
        <w:t>i</w:t>
      </w:r>
      <w:r w:rsidRPr="009A0DA6">
        <w:rPr>
          <w:rFonts w:ascii="Cambria" w:eastAsia="Times New Roman" w:hAnsi="Cambria" w:cstheme="minorHAnsi"/>
          <w:spacing w:val="1"/>
        </w:rPr>
        <w:t>o</w:t>
      </w:r>
      <w:r w:rsidRPr="009A0DA6">
        <w:rPr>
          <w:rFonts w:ascii="Cambria" w:eastAsia="Times New Roman" w:hAnsi="Cambria" w:cstheme="minorHAnsi"/>
        </w:rPr>
        <w:t>n</w:t>
      </w:r>
      <w:r w:rsidRPr="009A0DA6">
        <w:rPr>
          <w:rFonts w:ascii="Cambria" w:eastAsia="Times New Roman" w:hAnsi="Cambria" w:cstheme="minorHAnsi"/>
          <w:spacing w:val="-4"/>
        </w:rPr>
        <w:t xml:space="preserve"> </w:t>
      </w:r>
      <w:r w:rsidRPr="009A0DA6">
        <w:rPr>
          <w:rFonts w:ascii="Cambria" w:eastAsia="Times New Roman" w:hAnsi="Cambria" w:cstheme="minorHAnsi"/>
          <w:spacing w:val="-1"/>
        </w:rPr>
        <w:t>f</w:t>
      </w:r>
      <w:r w:rsidRPr="009A0DA6">
        <w:rPr>
          <w:rFonts w:ascii="Cambria" w:eastAsia="Times New Roman" w:hAnsi="Cambria" w:cstheme="minorHAnsi"/>
          <w:spacing w:val="1"/>
        </w:rPr>
        <w:t>u</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rPr>
        <w:tab/>
      </w:r>
      <w:r w:rsidRPr="009A0DA6">
        <w:rPr>
          <w:rFonts w:ascii="Cambria" w:eastAsia="Times New Roman" w:hAnsi="Cambria" w:cstheme="minorHAnsi"/>
        </w:rPr>
        <w:tab/>
      </w:r>
      <w:r w:rsidRPr="009A0DA6">
        <w:rPr>
          <w:rFonts w:ascii="Cambria" w:eastAsia="Times New Roman" w:hAnsi="Cambria" w:cstheme="minorHAnsi"/>
          <w:spacing w:val="1"/>
        </w:rPr>
        <w:t>525,</w:t>
      </w:r>
      <w:r w:rsidRPr="009A0DA6">
        <w:rPr>
          <w:rFonts w:ascii="Cambria" w:eastAsia="Times New Roman" w:hAnsi="Cambria" w:cstheme="minorHAnsi"/>
          <w:spacing w:val="-1"/>
        </w:rPr>
        <w:t>9</w:t>
      </w:r>
      <w:r w:rsidRPr="009A0DA6">
        <w:rPr>
          <w:rFonts w:ascii="Cambria" w:eastAsia="Times New Roman" w:hAnsi="Cambria" w:cstheme="minorHAnsi"/>
          <w:spacing w:val="1"/>
        </w:rPr>
        <w:t>4</w:t>
      </w:r>
      <w:r w:rsidRPr="009A0DA6">
        <w:rPr>
          <w:rFonts w:ascii="Cambria" w:eastAsia="Times New Roman" w:hAnsi="Cambria" w:cstheme="minorHAnsi"/>
        </w:rPr>
        <w:t>4</w:t>
      </w:r>
      <w:r w:rsidRPr="009A0DA6">
        <w:rPr>
          <w:rFonts w:ascii="Cambria" w:hAnsi="Cambria" w:cstheme="minorHAnsi"/>
        </w:rPr>
        <w:tab/>
      </w:r>
      <w:r w:rsidRPr="009A0DA6">
        <w:rPr>
          <w:rFonts w:ascii="Cambria" w:eastAsia="Times New Roman" w:hAnsi="Cambria" w:cstheme="minorHAnsi"/>
          <w:spacing w:val="1"/>
        </w:rPr>
        <w:t>488,</w:t>
      </w:r>
      <w:r w:rsidRPr="009A0DA6">
        <w:rPr>
          <w:rFonts w:ascii="Cambria" w:eastAsia="Times New Roman" w:hAnsi="Cambria" w:cstheme="minorHAnsi"/>
          <w:spacing w:val="-1"/>
        </w:rPr>
        <w:t>6</w:t>
      </w:r>
      <w:r w:rsidRPr="009A0DA6">
        <w:rPr>
          <w:rFonts w:ascii="Cambria" w:eastAsia="Times New Roman" w:hAnsi="Cambria" w:cstheme="minorHAnsi"/>
          <w:spacing w:val="1"/>
        </w:rPr>
        <w:t>0</w:t>
      </w:r>
      <w:r w:rsidRPr="009A0DA6">
        <w:rPr>
          <w:rFonts w:ascii="Cambria" w:eastAsia="Times New Roman" w:hAnsi="Cambria" w:cstheme="minorHAnsi"/>
        </w:rPr>
        <w:t>4</w:t>
      </w:r>
      <w:r w:rsidRPr="009A0DA6">
        <w:rPr>
          <w:rFonts w:ascii="Cambria" w:eastAsia="Times New Roman" w:hAnsi="Cambria" w:cstheme="minorHAnsi"/>
        </w:rPr>
        <w:tab/>
        <w:t>368,670</w:t>
      </w:r>
    </w:p>
    <w:p w14:paraId="0227A290"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eastAsia="Times New Roman" w:hAnsi="Cambria" w:cstheme="minorHAnsi"/>
          <w:b/>
          <w:w w:val="99"/>
        </w:rPr>
      </w:pPr>
      <w:r w:rsidRPr="009A0DA6">
        <w:rPr>
          <w:rFonts w:ascii="Cambria" w:eastAsia="Times New Roman" w:hAnsi="Cambria" w:cstheme="minorHAnsi"/>
          <w:spacing w:val="2"/>
        </w:rPr>
        <w:t>P</w:t>
      </w:r>
      <w:r w:rsidRPr="009A0DA6">
        <w:rPr>
          <w:rFonts w:ascii="Cambria" w:eastAsia="Times New Roman" w:hAnsi="Cambria" w:cstheme="minorHAnsi"/>
          <w:spacing w:val="1"/>
        </w:rPr>
        <w:t>ro</w:t>
      </w:r>
      <w:r w:rsidRPr="009A0DA6">
        <w:rPr>
          <w:rFonts w:ascii="Cambria" w:eastAsia="Times New Roman" w:hAnsi="Cambria" w:cstheme="minorHAnsi"/>
          <w:spacing w:val="-1"/>
        </w:rPr>
        <w:t>f</w:t>
      </w:r>
      <w:r w:rsidRPr="009A0DA6">
        <w:rPr>
          <w:rFonts w:ascii="Cambria" w:eastAsia="Times New Roman" w:hAnsi="Cambria" w:cstheme="minorHAnsi"/>
        </w:rPr>
        <w:t>e</w:t>
      </w:r>
      <w:r w:rsidRPr="009A0DA6">
        <w:rPr>
          <w:rFonts w:ascii="Cambria" w:eastAsia="Times New Roman" w:hAnsi="Cambria" w:cstheme="minorHAnsi"/>
          <w:spacing w:val="-1"/>
        </w:rPr>
        <w:t>ss</w:t>
      </w:r>
      <w:r w:rsidRPr="009A0DA6">
        <w:rPr>
          <w:rFonts w:ascii="Cambria" w:eastAsia="Times New Roman" w:hAnsi="Cambria" w:cstheme="minorHAnsi"/>
        </w:rPr>
        <w:t>i</w:t>
      </w:r>
      <w:r w:rsidRPr="009A0DA6">
        <w:rPr>
          <w:rFonts w:ascii="Cambria" w:eastAsia="Times New Roman" w:hAnsi="Cambria" w:cstheme="minorHAnsi"/>
          <w:spacing w:val="1"/>
        </w:rPr>
        <w:t>o</w:t>
      </w:r>
      <w:r w:rsidRPr="009A0DA6">
        <w:rPr>
          <w:rFonts w:ascii="Cambria" w:eastAsia="Times New Roman" w:hAnsi="Cambria" w:cstheme="minorHAnsi"/>
          <w:spacing w:val="-1"/>
        </w:rPr>
        <w:t>n</w:t>
      </w:r>
      <w:r w:rsidRPr="009A0DA6">
        <w:rPr>
          <w:rFonts w:ascii="Cambria" w:eastAsia="Times New Roman" w:hAnsi="Cambria" w:cstheme="minorHAnsi"/>
        </w:rPr>
        <w:t>al</w:t>
      </w:r>
      <w:r w:rsidRPr="009A0DA6">
        <w:rPr>
          <w:rFonts w:ascii="Cambria" w:eastAsia="Times New Roman" w:hAnsi="Cambria" w:cstheme="minorHAnsi"/>
          <w:spacing w:val="-10"/>
        </w:rPr>
        <w:t xml:space="preserve"> </w:t>
      </w:r>
      <w:r w:rsidRPr="009A0DA6">
        <w:rPr>
          <w:rFonts w:ascii="Cambria" w:eastAsia="Times New Roman" w:hAnsi="Cambria" w:cstheme="minorHAnsi"/>
          <w:spacing w:val="-1"/>
        </w:rPr>
        <w:t>s</w:t>
      </w:r>
      <w:r w:rsidRPr="009A0DA6">
        <w:rPr>
          <w:rFonts w:ascii="Cambria" w:eastAsia="Times New Roman" w:hAnsi="Cambria" w:cstheme="minorHAnsi"/>
        </w:rPr>
        <w:t>t</w:t>
      </w:r>
      <w:r w:rsidRPr="009A0DA6">
        <w:rPr>
          <w:rFonts w:ascii="Cambria" w:eastAsia="Times New Roman" w:hAnsi="Cambria" w:cstheme="minorHAnsi"/>
          <w:spacing w:val="3"/>
        </w:rPr>
        <w:t>a</w:t>
      </w:r>
      <w:r w:rsidRPr="009A0DA6">
        <w:rPr>
          <w:rFonts w:ascii="Cambria" w:eastAsia="Times New Roman" w:hAnsi="Cambria" w:cstheme="minorHAnsi"/>
          <w:spacing w:val="-1"/>
        </w:rPr>
        <w:t>n</w:t>
      </w:r>
      <w:r w:rsidRPr="009A0DA6">
        <w:rPr>
          <w:rFonts w:ascii="Cambria" w:eastAsia="Times New Roman" w:hAnsi="Cambria" w:cstheme="minorHAnsi"/>
          <w:spacing w:val="1"/>
        </w:rPr>
        <w:t>d</w:t>
      </w:r>
      <w:r w:rsidRPr="009A0DA6">
        <w:rPr>
          <w:rFonts w:ascii="Cambria" w:eastAsia="Times New Roman" w:hAnsi="Cambria" w:cstheme="minorHAnsi"/>
        </w:rPr>
        <w:t>a</w:t>
      </w:r>
      <w:r w:rsidRPr="009A0DA6">
        <w:rPr>
          <w:rFonts w:ascii="Cambria" w:eastAsia="Times New Roman" w:hAnsi="Cambria" w:cstheme="minorHAnsi"/>
          <w:spacing w:val="1"/>
        </w:rPr>
        <w:t>rd</w:t>
      </w:r>
      <w:r w:rsidRPr="009A0DA6">
        <w:rPr>
          <w:rFonts w:ascii="Cambria" w:eastAsia="Times New Roman" w:hAnsi="Cambria" w:cstheme="minorHAnsi"/>
        </w:rPr>
        <w:t>s</w:t>
      </w:r>
      <w:r w:rsidRPr="009A0DA6">
        <w:rPr>
          <w:rFonts w:ascii="Cambria" w:eastAsia="Times New Roman" w:hAnsi="Cambria" w:cstheme="minorHAnsi"/>
          <w:spacing w:val="-8"/>
        </w:rPr>
        <w:t xml:space="preserve"> </w:t>
      </w:r>
      <w:r w:rsidRPr="009A0DA6">
        <w:rPr>
          <w:rFonts w:ascii="Cambria" w:eastAsia="Times New Roman" w:hAnsi="Cambria" w:cstheme="minorHAnsi"/>
          <w:spacing w:val="1"/>
        </w:rPr>
        <w:t>d</w:t>
      </w:r>
      <w:r w:rsidRPr="009A0DA6">
        <w:rPr>
          <w:rFonts w:ascii="Cambria" w:eastAsia="Times New Roman" w:hAnsi="Cambria" w:cstheme="minorHAnsi"/>
        </w:rPr>
        <w:t>e</w:t>
      </w:r>
      <w:r w:rsidRPr="009A0DA6">
        <w:rPr>
          <w:rFonts w:ascii="Cambria" w:eastAsia="Times New Roman" w:hAnsi="Cambria" w:cstheme="minorHAnsi"/>
          <w:spacing w:val="1"/>
        </w:rPr>
        <w:t>p</w:t>
      </w:r>
      <w:r w:rsidRPr="009A0DA6">
        <w:rPr>
          <w:rFonts w:ascii="Cambria" w:eastAsia="Times New Roman" w:hAnsi="Cambria" w:cstheme="minorHAnsi"/>
        </w:rPr>
        <w:t>a</w:t>
      </w:r>
      <w:r w:rsidRPr="009A0DA6">
        <w:rPr>
          <w:rFonts w:ascii="Cambria" w:eastAsia="Times New Roman" w:hAnsi="Cambria" w:cstheme="minorHAnsi"/>
          <w:spacing w:val="1"/>
        </w:rPr>
        <w:t>r</w:t>
      </w:r>
      <w:r w:rsidRPr="009A0DA6">
        <w:rPr>
          <w:rFonts w:ascii="Cambria" w:eastAsia="Times New Roman" w:hAnsi="Cambria" w:cstheme="minorHAnsi"/>
        </w:rPr>
        <w:t>t</w:t>
      </w:r>
      <w:r w:rsidRPr="009A0DA6">
        <w:rPr>
          <w:rFonts w:ascii="Cambria" w:eastAsia="Times New Roman" w:hAnsi="Cambria" w:cstheme="minorHAnsi"/>
          <w:spacing w:val="-1"/>
        </w:rPr>
        <w:t>m</w:t>
      </w:r>
      <w:r w:rsidRPr="009A0DA6">
        <w:rPr>
          <w:rFonts w:ascii="Cambria" w:eastAsia="Times New Roman" w:hAnsi="Cambria" w:cstheme="minorHAnsi"/>
        </w:rPr>
        <w:t>e</w:t>
      </w:r>
      <w:r w:rsidRPr="009A0DA6">
        <w:rPr>
          <w:rFonts w:ascii="Cambria" w:eastAsia="Times New Roman" w:hAnsi="Cambria" w:cstheme="minorHAnsi"/>
          <w:spacing w:val="1"/>
        </w:rPr>
        <w:t>n</w:t>
      </w:r>
      <w:r w:rsidRPr="009A0DA6">
        <w:rPr>
          <w:rFonts w:ascii="Cambria" w:eastAsia="Times New Roman" w:hAnsi="Cambria" w:cstheme="minorHAnsi"/>
        </w:rPr>
        <w:t>t</w:t>
      </w:r>
      <w:r w:rsidRPr="009A0DA6">
        <w:rPr>
          <w:rFonts w:ascii="Cambria" w:eastAsia="Times New Roman" w:hAnsi="Cambria" w:cstheme="minorHAnsi"/>
          <w:spacing w:val="-9"/>
        </w:rPr>
        <w:t xml:space="preserve"> </w:t>
      </w:r>
      <w:r w:rsidRPr="009A0DA6">
        <w:rPr>
          <w:rFonts w:ascii="Cambria" w:eastAsia="Times New Roman" w:hAnsi="Cambria" w:cstheme="minorHAnsi"/>
        </w:rPr>
        <w:t>all</w:t>
      </w:r>
      <w:r w:rsidRPr="009A0DA6">
        <w:rPr>
          <w:rFonts w:ascii="Cambria" w:eastAsia="Times New Roman" w:hAnsi="Cambria" w:cstheme="minorHAnsi"/>
          <w:spacing w:val="1"/>
        </w:rPr>
        <w:t>o</w:t>
      </w:r>
      <w:r w:rsidRPr="009A0DA6">
        <w:rPr>
          <w:rFonts w:ascii="Cambria" w:eastAsia="Times New Roman" w:hAnsi="Cambria" w:cstheme="minorHAnsi"/>
        </w:rPr>
        <w:t>cati</w:t>
      </w:r>
      <w:r w:rsidRPr="009A0DA6">
        <w:rPr>
          <w:rFonts w:ascii="Cambria" w:eastAsia="Times New Roman" w:hAnsi="Cambria" w:cstheme="minorHAnsi"/>
          <w:spacing w:val="1"/>
        </w:rPr>
        <w:t>o</w:t>
      </w:r>
      <w:r w:rsidRPr="009A0DA6">
        <w:rPr>
          <w:rFonts w:ascii="Cambria" w:eastAsia="Times New Roman" w:hAnsi="Cambria" w:cstheme="minorHAnsi"/>
        </w:rPr>
        <w:t>n</w:t>
      </w:r>
      <w:r w:rsidRPr="009A0DA6">
        <w:rPr>
          <w:rFonts w:ascii="Cambria" w:eastAsia="Times New Roman" w:hAnsi="Cambria" w:cstheme="minorHAnsi"/>
        </w:rPr>
        <w:tab/>
      </w:r>
      <w:r w:rsidRPr="009A0DA6">
        <w:rPr>
          <w:rFonts w:ascii="Cambria" w:eastAsia="Times New Roman" w:hAnsi="Cambria" w:cstheme="minorHAnsi"/>
        </w:rPr>
        <w:tab/>
      </w:r>
      <w:r w:rsidRPr="009A0DA6">
        <w:rPr>
          <w:rFonts w:ascii="Cambria" w:eastAsia="Times New Roman" w:hAnsi="Cambria" w:cstheme="minorHAnsi"/>
          <w:spacing w:val="1"/>
        </w:rPr>
        <w:t>198,</w:t>
      </w:r>
      <w:r w:rsidRPr="009A0DA6">
        <w:rPr>
          <w:rFonts w:ascii="Cambria" w:eastAsia="Times New Roman" w:hAnsi="Cambria" w:cstheme="minorHAnsi"/>
          <w:spacing w:val="-1"/>
        </w:rPr>
        <w:t>6</w:t>
      </w:r>
      <w:r w:rsidRPr="009A0DA6">
        <w:rPr>
          <w:rFonts w:ascii="Cambria" w:eastAsia="Times New Roman" w:hAnsi="Cambria" w:cstheme="minorHAnsi"/>
          <w:spacing w:val="1"/>
        </w:rPr>
        <w:t>8</w:t>
      </w:r>
      <w:r w:rsidRPr="009A0DA6">
        <w:rPr>
          <w:rFonts w:ascii="Cambria" w:eastAsia="Times New Roman" w:hAnsi="Cambria" w:cstheme="minorHAnsi"/>
        </w:rPr>
        <w:t>2</w:t>
      </w:r>
      <w:r w:rsidRPr="009A0DA6">
        <w:rPr>
          <w:rFonts w:ascii="Cambria" w:hAnsi="Cambria" w:cstheme="minorHAnsi"/>
        </w:rPr>
        <w:tab/>
      </w:r>
      <w:r w:rsidRPr="009A0DA6">
        <w:rPr>
          <w:rFonts w:ascii="Cambria" w:eastAsia="Times New Roman" w:hAnsi="Cambria" w:cstheme="minorHAnsi"/>
          <w:spacing w:val="1"/>
        </w:rPr>
        <w:t>210,</w:t>
      </w:r>
      <w:r w:rsidRPr="009A0DA6">
        <w:rPr>
          <w:rFonts w:ascii="Cambria" w:eastAsia="Times New Roman" w:hAnsi="Cambria" w:cstheme="minorHAnsi"/>
          <w:spacing w:val="-1"/>
        </w:rPr>
        <w:t>6</w:t>
      </w:r>
      <w:r w:rsidRPr="009A0DA6">
        <w:rPr>
          <w:rFonts w:ascii="Cambria" w:eastAsia="Times New Roman" w:hAnsi="Cambria" w:cstheme="minorHAnsi"/>
          <w:spacing w:val="1"/>
        </w:rPr>
        <w:t>0</w:t>
      </w:r>
      <w:r w:rsidRPr="009A0DA6">
        <w:rPr>
          <w:rFonts w:ascii="Cambria" w:eastAsia="Times New Roman" w:hAnsi="Cambria" w:cstheme="minorHAnsi"/>
        </w:rPr>
        <w:t>7</w:t>
      </w:r>
      <w:r w:rsidRPr="009A0DA6">
        <w:rPr>
          <w:rFonts w:ascii="Cambria" w:eastAsia="Times New Roman" w:hAnsi="Cambria" w:cstheme="minorHAnsi"/>
        </w:rPr>
        <w:tab/>
        <w:t>314,563</w:t>
      </w:r>
    </w:p>
    <w:p w14:paraId="459417E6"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eastAsia="Times New Roman" w:hAnsi="Cambria" w:cstheme="minorHAnsi"/>
          <w:b/>
          <w:w w:val="99"/>
        </w:rPr>
      </w:pPr>
      <w:r w:rsidRPr="009A0DA6">
        <w:rPr>
          <w:rFonts w:ascii="Cambria" w:eastAsia="Times New Roman" w:hAnsi="Cambria" w:cstheme="minorHAnsi"/>
        </w:rPr>
        <w:t>S</w:t>
      </w:r>
      <w:r w:rsidRPr="009A0DA6">
        <w:rPr>
          <w:rFonts w:ascii="Cambria" w:eastAsia="Times New Roman" w:hAnsi="Cambria" w:cstheme="minorHAnsi"/>
          <w:spacing w:val="1"/>
        </w:rPr>
        <w:t>p</w:t>
      </w:r>
      <w:r w:rsidRPr="009A0DA6">
        <w:rPr>
          <w:rFonts w:ascii="Cambria" w:eastAsia="Times New Roman" w:hAnsi="Cambria" w:cstheme="minorHAnsi"/>
        </w:rPr>
        <w:t>ecial</w:t>
      </w:r>
      <w:r w:rsidRPr="009A0DA6">
        <w:rPr>
          <w:rFonts w:ascii="Cambria" w:eastAsia="Times New Roman" w:hAnsi="Cambria" w:cstheme="minorHAnsi"/>
          <w:spacing w:val="-6"/>
        </w:rPr>
        <w:t xml:space="preserve"> </w:t>
      </w:r>
      <w:r w:rsidRPr="009A0DA6">
        <w:rPr>
          <w:rFonts w:ascii="Cambria" w:eastAsia="Times New Roman" w:hAnsi="Cambria" w:cstheme="minorHAnsi"/>
          <w:spacing w:val="-1"/>
        </w:rPr>
        <w:t>g</w:t>
      </w:r>
      <w:r w:rsidRPr="009A0DA6">
        <w:rPr>
          <w:rFonts w:ascii="Cambria" w:eastAsia="Times New Roman" w:hAnsi="Cambria" w:cstheme="minorHAnsi"/>
          <w:spacing w:val="2"/>
        </w:rPr>
        <w:t>i</w:t>
      </w:r>
      <w:r w:rsidRPr="009A0DA6">
        <w:rPr>
          <w:rFonts w:ascii="Cambria" w:eastAsia="Times New Roman" w:hAnsi="Cambria" w:cstheme="minorHAnsi"/>
          <w:spacing w:val="-1"/>
        </w:rPr>
        <w:t>f</w:t>
      </w:r>
      <w:r w:rsidRPr="009A0DA6">
        <w:rPr>
          <w:rFonts w:ascii="Cambria" w:eastAsia="Times New Roman" w:hAnsi="Cambria" w:cstheme="minorHAnsi"/>
        </w:rPr>
        <w:t>ts</w:t>
      </w:r>
      <w:r w:rsidRPr="009A0DA6">
        <w:rPr>
          <w:rFonts w:ascii="Cambria" w:eastAsia="Times New Roman" w:hAnsi="Cambria" w:cstheme="minorHAnsi"/>
          <w:spacing w:val="-2"/>
        </w:rPr>
        <w:t xml:space="preserve"> </w:t>
      </w:r>
      <w:r w:rsidRPr="009A0DA6">
        <w:rPr>
          <w:rFonts w:ascii="Cambria" w:eastAsia="Times New Roman" w:hAnsi="Cambria" w:cstheme="minorHAnsi"/>
          <w:spacing w:val="-1"/>
        </w:rPr>
        <w:t>f</w:t>
      </w:r>
      <w:r w:rsidRPr="009A0DA6">
        <w:rPr>
          <w:rFonts w:ascii="Cambria" w:eastAsia="Times New Roman" w:hAnsi="Cambria" w:cstheme="minorHAnsi"/>
          <w:spacing w:val="1"/>
        </w:rPr>
        <w:t>o</w:t>
      </w:r>
      <w:r w:rsidRPr="009A0DA6">
        <w:rPr>
          <w:rFonts w:ascii="Cambria" w:eastAsia="Times New Roman" w:hAnsi="Cambria" w:cstheme="minorHAnsi"/>
        </w:rPr>
        <w:t>r</w:t>
      </w:r>
      <w:r w:rsidRPr="009A0DA6">
        <w:rPr>
          <w:rFonts w:ascii="Cambria" w:eastAsia="Times New Roman" w:hAnsi="Cambria" w:cstheme="minorHAnsi"/>
          <w:spacing w:val="-1"/>
        </w:rPr>
        <w:t xml:space="preserve"> s</w:t>
      </w:r>
      <w:r w:rsidRPr="009A0DA6">
        <w:rPr>
          <w:rFonts w:ascii="Cambria" w:eastAsia="Times New Roman" w:hAnsi="Cambria" w:cstheme="minorHAnsi"/>
          <w:spacing w:val="1"/>
        </w:rPr>
        <w:t>p</w:t>
      </w:r>
      <w:r w:rsidRPr="009A0DA6">
        <w:rPr>
          <w:rFonts w:ascii="Cambria" w:eastAsia="Times New Roman" w:hAnsi="Cambria" w:cstheme="minorHAnsi"/>
        </w:rPr>
        <w:t>ecial</w:t>
      </w:r>
      <w:r w:rsidRPr="009A0DA6">
        <w:rPr>
          <w:rFonts w:ascii="Cambria" w:eastAsia="Times New Roman" w:hAnsi="Cambria" w:cstheme="minorHAnsi"/>
          <w:spacing w:val="-6"/>
        </w:rPr>
        <w:t xml:space="preserve"> </w:t>
      </w:r>
      <w:r w:rsidRPr="009A0DA6">
        <w:rPr>
          <w:rFonts w:ascii="Cambria" w:eastAsia="Times New Roman" w:hAnsi="Cambria" w:cstheme="minorHAnsi"/>
          <w:spacing w:val="1"/>
        </w:rPr>
        <w:t>p</w:t>
      </w:r>
      <w:r w:rsidRPr="009A0DA6">
        <w:rPr>
          <w:rFonts w:ascii="Cambria" w:eastAsia="Times New Roman" w:hAnsi="Cambria" w:cstheme="minorHAnsi"/>
          <w:spacing w:val="-1"/>
        </w:rPr>
        <w:t>u</w:t>
      </w:r>
      <w:r w:rsidRPr="009A0DA6">
        <w:rPr>
          <w:rFonts w:ascii="Cambria" w:eastAsia="Times New Roman" w:hAnsi="Cambria" w:cstheme="minorHAnsi"/>
          <w:spacing w:val="1"/>
        </w:rPr>
        <w:t>rpo</w:t>
      </w:r>
      <w:r w:rsidRPr="009A0DA6">
        <w:rPr>
          <w:rFonts w:ascii="Cambria" w:eastAsia="Times New Roman" w:hAnsi="Cambria" w:cstheme="minorHAnsi"/>
          <w:spacing w:val="-1"/>
        </w:rPr>
        <w:t>s</w:t>
      </w:r>
      <w:r w:rsidRPr="009A0DA6">
        <w:rPr>
          <w:rFonts w:ascii="Cambria" w:eastAsia="Times New Roman" w:hAnsi="Cambria" w:cstheme="minorHAnsi"/>
        </w:rPr>
        <w:t>es</w:t>
      </w:r>
      <w:r w:rsidRPr="009A0DA6">
        <w:rPr>
          <w:rFonts w:ascii="Cambria" w:eastAsia="Times New Roman" w:hAnsi="Cambria" w:cstheme="minorHAnsi"/>
        </w:rPr>
        <w:tab/>
      </w:r>
      <w:r w:rsidRPr="009A0DA6">
        <w:rPr>
          <w:rFonts w:ascii="Cambria" w:eastAsia="Times New Roman" w:hAnsi="Cambria" w:cstheme="minorHAnsi"/>
        </w:rPr>
        <w:tab/>
      </w:r>
      <w:r w:rsidRPr="009A0DA6">
        <w:rPr>
          <w:rFonts w:ascii="Cambria" w:eastAsia="Times New Roman" w:hAnsi="Cambria" w:cstheme="minorHAnsi"/>
          <w:spacing w:val="1"/>
        </w:rPr>
        <w:t>3,47</w:t>
      </w:r>
      <w:r w:rsidRPr="009A0DA6">
        <w:rPr>
          <w:rFonts w:ascii="Cambria" w:eastAsia="Times New Roman" w:hAnsi="Cambria" w:cstheme="minorHAnsi"/>
          <w:spacing w:val="-1"/>
        </w:rPr>
        <w:t>0</w:t>
      </w:r>
      <w:r w:rsidRPr="009A0DA6">
        <w:rPr>
          <w:rFonts w:ascii="Cambria" w:eastAsia="Times New Roman" w:hAnsi="Cambria" w:cstheme="minorHAnsi"/>
          <w:spacing w:val="1"/>
        </w:rPr>
        <w:t>,3</w:t>
      </w:r>
      <w:r w:rsidRPr="009A0DA6">
        <w:rPr>
          <w:rFonts w:ascii="Cambria" w:eastAsia="Times New Roman" w:hAnsi="Cambria" w:cstheme="minorHAnsi"/>
          <w:spacing w:val="-1"/>
        </w:rPr>
        <w:t>0</w:t>
      </w:r>
      <w:r w:rsidRPr="009A0DA6">
        <w:rPr>
          <w:rFonts w:ascii="Cambria" w:eastAsia="Times New Roman" w:hAnsi="Cambria" w:cstheme="minorHAnsi"/>
        </w:rPr>
        <w:t>9</w:t>
      </w:r>
      <w:r w:rsidRPr="009A0DA6">
        <w:rPr>
          <w:rFonts w:ascii="Cambria" w:hAnsi="Cambria" w:cstheme="minorHAnsi"/>
        </w:rPr>
        <w:tab/>
      </w:r>
      <w:r w:rsidRPr="009A0DA6">
        <w:rPr>
          <w:rFonts w:ascii="Cambria" w:eastAsia="Times New Roman" w:hAnsi="Cambria" w:cstheme="minorHAnsi"/>
          <w:spacing w:val="1"/>
        </w:rPr>
        <w:t>3,59</w:t>
      </w:r>
      <w:r w:rsidRPr="009A0DA6">
        <w:rPr>
          <w:rFonts w:ascii="Cambria" w:eastAsia="Times New Roman" w:hAnsi="Cambria" w:cstheme="minorHAnsi"/>
          <w:spacing w:val="-1"/>
        </w:rPr>
        <w:t>9</w:t>
      </w:r>
      <w:r w:rsidRPr="009A0DA6">
        <w:rPr>
          <w:rFonts w:ascii="Cambria" w:eastAsia="Times New Roman" w:hAnsi="Cambria" w:cstheme="minorHAnsi"/>
          <w:spacing w:val="1"/>
        </w:rPr>
        <w:t>,7</w:t>
      </w:r>
      <w:r w:rsidRPr="009A0DA6">
        <w:rPr>
          <w:rFonts w:ascii="Cambria" w:eastAsia="Times New Roman" w:hAnsi="Cambria" w:cstheme="minorHAnsi"/>
          <w:spacing w:val="-1"/>
        </w:rPr>
        <w:t>3</w:t>
      </w:r>
      <w:r w:rsidRPr="009A0DA6">
        <w:rPr>
          <w:rFonts w:ascii="Cambria" w:eastAsia="Times New Roman" w:hAnsi="Cambria" w:cstheme="minorHAnsi"/>
        </w:rPr>
        <w:t>9</w:t>
      </w:r>
      <w:r w:rsidRPr="009A0DA6">
        <w:rPr>
          <w:rFonts w:ascii="Cambria" w:eastAsia="Times New Roman" w:hAnsi="Cambria" w:cstheme="minorHAnsi"/>
        </w:rPr>
        <w:tab/>
        <w:t>2,691,032</w:t>
      </w:r>
    </w:p>
    <w:p w14:paraId="5D65A520"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eastAsia="Times New Roman" w:hAnsi="Cambria" w:cstheme="minorHAnsi"/>
          <w:b/>
          <w:w w:val="99"/>
        </w:rPr>
      </w:pPr>
      <w:r w:rsidRPr="009A0DA6">
        <w:rPr>
          <w:rFonts w:ascii="Cambria" w:eastAsia="Times New Roman" w:hAnsi="Cambria" w:cstheme="minorHAnsi"/>
          <w:spacing w:val="-2"/>
        </w:rPr>
        <w:t>L</w:t>
      </w:r>
      <w:r w:rsidRPr="009A0DA6">
        <w:rPr>
          <w:rFonts w:ascii="Cambria" w:eastAsia="Times New Roman" w:hAnsi="Cambria" w:cstheme="minorHAnsi"/>
          <w:spacing w:val="2"/>
        </w:rPr>
        <w:t>C</w:t>
      </w:r>
      <w:r w:rsidRPr="009A0DA6">
        <w:rPr>
          <w:rFonts w:ascii="Cambria" w:eastAsia="Times New Roman" w:hAnsi="Cambria" w:cstheme="minorHAnsi"/>
        </w:rPr>
        <w:t>A</w:t>
      </w:r>
      <w:r w:rsidRPr="009A0DA6">
        <w:rPr>
          <w:rFonts w:ascii="Cambria" w:eastAsia="Times New Roman" w:hAnsi="Cambria" w:cstheme="minorHAnsi"/>
          <w:spacing w:val="-3"/>
        </w:rPr>
        <w:t xml:space="preserve"> Pastors </w:t>
      </w:r>
      <w:r w:rsidRPr="009A0DA6">
        <w:rPr>
          <w:rFonts w:ascii="Cambria" w:eastAsia="Times New Roman" w:hAnsi="Cambria" w:cstheme="minorHAnsi"/>
          <w:spacing w:val="3"/>
        </w:rPr>
        <w:t>T</w:t>
      </w:r>
      <w:r w:rsidRPr="009A0DA6">
        <w:rPr>
          <w:rFonts w:ascii="Cambria" w:eastAsia="Times New Roman" w:hAnsi="Cambria" w:cstheme="minorHAnsi"/>
          <w:spacing w:val="1"/>
        </w:rPr>
        <w:t>r</w:t>
      </w:r>
      <w:r w:rsidRPr="009A0DA6">
        <w:rPr>
          <w:rFonts w:ascii="Cambria" w:eastAsia="Times New Roman" w:hAnsi="Cambria" w:cstheme="minorHAnsi"/>
        </w:rPr>
        <w:t>a</w:t>
      </w:r>
      <w:r w:rsidRPr="009A0DA6">
        <w:rPr>
          <w:rFonts w:ascii="Cambria" w:eastAsia="Times New Roman" w:hAnsi="Cambria" w:cstheme="minorHAnsi"/>
          <w:spacing w:val="-1"/>
        </w:rPr>
        <w:t>nsf</w:t>
      </w:r>
      <w:r w:rsidRPr="009A0DA6">
        <w:rPr>
          <w:rFonts w:ascii="Cambria" w:eastAsia="Times New Roman" w:hAnsi="Cambria" w:cstheme="minorHAnsi"/>
        </w:rPr>
        <w:t>er and Support F</w:t>
      </w:r>
      <w:r w:rsidRPr="009A0DA6">
        <w:rPr>
          <w:rFonts w:ascii="Cambria" w:eastAsia="Times New Roman" w:hAnsi="Cambria" w:cstheme="minorHAnsi"/>
          <w:spacing w:val="1"/>
        </w:rPr>
        <w:t>u</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rPr>
        <w:tab/>
      </w:r>
      <w:r w:rsidRPr="009A0DA6">
        <w:rPr>
          <w:rFonts w:ascii="Cambria" w:eastAsia="Times New Roman" w:hAnsi="Cambria" w:cstheme="minorHAnsi"/>
        </w:rPr>
        <w:tab/>
      </w:r>
      <w:r w:rsidRPr="009A0DA6">
        <w:rPr>
          <w:rFonts w:ascii="Cambria" w:eastAsia="Times New Roman" w:hAnsi="Cambria" w:cstheme="minorHAnsi"/>
          <w:spacing w:val="1"/>
        </w:rPr>
        <w:t>1,97</w:t>
      </w:r>
      <w:r w:rsidRPr="009A0DA6">
        <w:rPr>
          <w:rFonts w:ascii="Cambria" w:eastAsia="Times New Roman" w:hAnsi="Cambria" w:cstheme="minorHAnsi"/>
          <w:spacing w:val="-1"/>
        </w:rPr>
        <w:t>6</w:t>
      </w:r>
      <w:r w:rsidRPr="009A0DA6">
        <w:rPr>
          <w:rFonts w:ascii="Cambria" w:eastAsia="Times New Roman" w:hAnsi="Cambria" w:cstheme="minorHAnsi"/>
          <w:spacing w:val="1"/>
        </w:rPr>
        <w:t>,3</w:t>
      </w:r>
      <w:r w:rsidRPr="009A0DA6">
        <w:rPr>
          <w:rFonts w:ascii="Cambria" w:eastAsia="Times New Roman" w:hAnsi="Cambria" w:cstheme="minorHAnsi"/>
          <w:spacing w:val="-1"/>
        </w:rPr>
        <w:t>0</w:t>
      </w:r>
      <w:r w:rsidRPr="009A0DA6">
        <w:rPr>
          <w:rFonts w:ascii="Cambria" w:eastAsia="Times New Roman" w:hAnsi="Cambria" w:cstheme="minorHAnsi"/>
        </w:rPr>
        <w:t>6</w:t>
      </w:r>
      <w:r w:rsidRPr="009A0DA6">
        <w:rPr>
          <w:rFonts w:ascii="Cambria" w:hAnsi="Cambria" w:cstheme="minorHAnsi"/>
        </w:rPr>
        <w:tab/>
      </w:r>
      <w:r w:rsidRPr="009A0DA6">
        <w:rPr>
          <w:rFonts w:ascii="Cambria" w:eastAsia="Times New Roman" w:hAnsi="Cambria" w:cstheme="minorHAnsi"/>
          <w:spacing w:val="1"/>
        </w:rPr>
        <w:t>1,77</w:t>
      </w:r>
      <w:r w:rsidRPr="009A0DA6">
        <w:rPr>
          <w:rFonts w:ascii="Cambria" w:eastAsia="Times New Roman" w:hAnsi="Cambria" w:cstheme="minorHAnsi"/>
          <w:spacing w:val="-1"/>
        </w:rPr>
        <w:t>8</w:t>
      </w:r>
      <w:r w:rsidRPr="009A0DA6">
        <w:rPr>
          <w:rFonts w:ascii="Cambria" w:eastAsia="Times New Roman" w:hAnsi="Cambria" w:cstheme="minorHAnsi"/>
          <w:spacing w:val="1"/>
        </w:rPr>
        <w:t>,9</w:t>
      </w:r>
      <w:r w:rsidRPr="009A0DA6">
        <w:rPr>
          <w:rFonts w:ascii="Cambria" w:eastAsia="Times New Roman" w:hAnsi="Cambria" w:cstheme="minorHAnsi"/>
          <w:spacing w:val="-1"/>
        </w:rPr>
        <w:t>5</w:t>
      </w:r>
      <w:r w:rsidRPr="009A0DA6">
        <w:rPr>
          <w:rFonts w:ascii="Cambria" w:eastAsia="Times New Roman" w:hAnsi="Cambria" w:cstheme="minorHAnsi"/>
        </w:rPr>
        <w:t>8</w:t>
      </w:r>
      <w:r w:rsidRPr="009A0DA6">
        <w:rPr>
          <w:rFonts w:ascii="Cambria" w:eastAsia="Times New Roman" w:hAnsi="Cambria" w:cstheme="minorHAnsi"/>
        </w:rPr>
        <w:tab/>
        <w:t>1,033,692</w:t>
      </w:r>
    </w:p>
    <w:p w14:paraId="1F7CB3EA"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eastAsia="Times New Roman" w:hAnsi="Cambria" w:cstheme="minorHAnsi"/>
          <w:b/>
          <w:w w:val="99"/>
        </w:rPr>
      </w:pPr>
      <w:r w:rsidRPr="009A0DA6">
        <w:rPr>
          <w:rFonts w:ascii="Cambria" w:eastAsia="Times New Roman" w:hAnsi="Cambria" w:cstheme="minorHAnsi"/>
          <w:spacing w:val="1"/>
        </w:rPr>
        <w:t>50.5</w:t>
      </w:r>
      <w:r w:rsidRPr="009A0DA6">
        <w:rPr>
          <w:rFonts w:ascii="Cambria" w:eastAsia="Times New Roman" w:hAnsi="Cambria" w:cstheme="minorHAnsi"/>
          <w:spacing w:val="-1"/>
        </w:rPr>
        <w:t>0</w:t>
      </w:r>
      <w:r w:rsidRPr="009A0DA6">
        <w:rPr>
          <w:rFonts w:ascii="Cambria" w:eastAsia="Times New Roman" w:hAnsi="Cambria" w:cstheme="minorHAnsi"/>
        </w:rPr>
        <w:t>0</w:t>
      </w:r>
      <w:r w:rsidRPr="009A0DA6">
        <w:rPr>
          <w:rFonts w:ascii="Cambria" w:eastAsia="Times New Roman" w:hAnsi="Cambria" w:cstheme="minorHAnsi"/>
          <w:spacing w:val="-6"/>
        </w:rPr>
        <w:t xml:space="preserve"> </w:t>
      </w:r>
      <w:r w:rsidRPr="009A0DA6">
        <w:rPr>
          <w:rFonts w:ascii="Cambria" w:eastAsia="Times New Roman" w:hAnsi="Cambria" w:cstheme="minorHAnsi"/>
          <w:spacing w:val="2"/>
        </w:rPr>
        <w:t>P</w:t>
      </w:r>
      <w:r w:rsidRPr="009A0DA6">
        <w:rPr>
          <w:rFonts w:ascii="Cambria" w:eastAsia="Times New Roman" w:hAnsi="Cambria" w:cstheme="minorHAnsi"/>
          <w:spacing w:val="1"/>
        </w:rPr>
        <w:t>r</w:t>
      </w:r>
      <w:r w:rsidRPr="009A0DA6">
        <w:rPr>
          <w:rFonts w:ascii="Cambria" w:eastAsia="Times New Roman" w:hAnsi="Cambria" w:cstheme="minorHAnsi"/>
          <w:spacing w:val="-1"/>
        </w:rPr>
        <w:t>o</w:t>
      </w:r>
      <w:r w:rsidRPr="009A0DA6">
        <w:rPr>
          <w:rFonts w:ascii="Cambria" w:eastAsia="Times New Roman" w:hAnsi="Cambria" w:cstheme="minorHAnsi"/>
          <w:spacing w:val="2"/>
        </w:rPr>
        <w:t>j</w:t>
      </w:r>
      <w:r w:rsidRPr="009A0DA6">
        <w:rPr>
          <w:rFonts w:ascii="Cambria" w:eastAsia="Times New Roman" w:hAnsi="Cambria" w:cstheme="minorHAnsi"/>
        </w:rPr>
        <w:t>ect</w:t>
      </w:r>
      <w:r w:rsidRPr="009A0DA6">
        <w:rPr>
          <w:rFonts w:ascii="Cambria" w:eastAsia="Times New Roman" w:hAnsi="Cambria" w:cstheme="minorHAnsi"/>
          <w:spacing w:val="-6"/>
        </w:rPr>
        <w:t xml:space="preserve"> </w:t>
      </w:r>
      <w:r w:rsidRPr="009A0DA6">
        <w:rPr>
          <w:rFonts w:ascii="Cambria" w:eastAsia="Times New Roman" w:hAnsi="Cambria" w:cstheme="minorHAnsi"/>
          <w:spacing w:val="-1"/>
        </w:rPr>
        <w:t>fun</w:t>
      </w:r>
      <w:r w:rsidRPr="009A0DA6">
        <w:rPr>
          <w:rFonts w:ascii="Cambria" w:eastAsia="Times New Roman" w:hAnsi="Cambria" w:cstheme="minorHAnsi"/>
        </w:rPr>
        <w:t>d</w:t>
      </w:r>
      <w:r w:rsidRPr="009A0DA6">
        <w:rPr>
          <w:rFonts w:ascii="Cambria" w:eastAsia="Times New Roman" w:hAnsi="Cambria" w:cstheme="minorHAnsi"/>
        </w:rPr>
        <w:tab/>
      </w:r>
      <w:r w:rsidRPr="009A0DA6">
        <w:rPr>
          <w:rFonts w:ascii="Cambria" w:eastAsia="Times New Roman" w:hAnsi="Cambria" w:cstheme="minorHAnsi"/>
        </w:rPr>
        <w:tab/>
      </w:r>
      <w:r w:rsidRPr="009A0DA6">
        <w:rPr>
          <w:rFonts w:ascii="Cambria" w:eastAsia="Times New Roman" w:hAnsi="Cambria" w:cstheme="minorHAnsi"/>
          <w:spacing w:val="1"/>
        </w:rPr>
        <w:t>183,</w:t>
      </w:r>
      <w:r w:rsidRPr="009A0DA6">
        <w:rPr>
          <w:rFonts w:ascii="Cambria" w:eastAsia="Times New Roman" w:hAnsi="Cambria" w:cstheme="minorHAnsi"/>
          <w:spacing w:val="-1"/>
        </w:rPr>
        <w:t>4</w:t>
      </w:r>
      <w:r w:rsidRPr="009A0DA6">
        <w:rPr>
          <w:rFonts w:ascii="Cambria" w:eastAsia="Times New Roman" w:hAnsi="Cambria" w:cstheme="minorHAnsi"/>
          <w:spacing w:val="1"/>
        </w:rPr>
        <w:t>8</w:t>
      </w:r>
      <w:r w:rsidRPr="009A0DA6">
        <w:rPr>
          <w:rFonts w:ascii="Cambria" w:eastAsia="Times New Roman" w:hAnsi="Cambria" w:cstheme="minorHAnsi"/>
        </w:rPr>
        <w:t>2</w:t>
      </w:r>
      <w:r w:rsidRPr="009A0DA6">
        <w:rPr>
          <w:rFonts w:ascii="Cambria" w:hAnsi="Cambria" w:cstheme="minorHAnsi"/>
        </w:rPr>
        <w:tab/>
      </w:r>
      <w:r w:rsidRPr="009A0DA6">
        <w:rPr>
          <w:rFonts w:ascii="Cambria" w:eastAsia="Times New Roman" w:hAnsi="Cambria" w:cstheme="minorHAnsi"/>
          <w:w w:val="99"/>
        </w:rPr>
        <w:t>0</w:t>
      </w:r>
      <w:r w:rsidRPr="009A0DA6">
        <w:rPr>
          <w:rFonts w:ascii="Cambria" w:eastAsia="Times New Roman" w:hAnsi="Cambria" w:cstheme="minorHAnsi"/>
          <w:w w:val="99"/>
        </w:rPr>
        <w:tab/>
        <w:t>0</w:t>
      </w:r>
    </w:p>
    <w:p w14:paraId="0E0ED215"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eastAsia="Times New Roman" w:hAnsi="Cambria" w:cstheme="minorHAnsi"/>
          <w:b/>
          <w:w w:val="99"/>
        </w:rPr>
      </w:pPr>
      <w:r w:rsidRPr="009A0DA6">
        <w:rPr>
          <w:rFonts w:ascii="Cambria" w:eastAsia="Times New Roman" w:hAnsi="Cambria" w:cstheme="minorHAnsi"/>
          <w:spacing w:val="1"/>
        </w:rPr>
        <w:t>M</w:t>
      </w:r>
      <w:r w:rsidRPr="009A0DA6">
        <w:rPr>
          <w:rFonts w:ascii="Cambria" w:eastAsia="Times New Roman" w:hAnsi="Cambria" w:cstheme="minorHAnsi"/>
        </w:rPr>
        <w:t>i</w:t>
      </w:r>
      <w:r w:rsidRPr="009A0DA6">
        <w:rPr>
          <w:rFonts w:ascii="Cambria" w:eastAsia="Times New Roman" w:hAnsi="Cambria" w:cstheme="minorHAnsi"/>
          <w:spacing w:val="-1"/>
        </w:rPr>
        <w:t>n</w:t>
      </w:r>
      <w:r w:rsidRPr="009A0DA6">
        <w:rPr>
          <w:rFonts w:ascii="Cambria" w:eastAsia="Times New Roman" w:hAnsi="Cambria" w:cstheme="minorHAnsi"/>
          <w:spacing w:val="2"/>
        </w:rPr>
        <w:t>i</w:t>
      </w:r>
      <w:r w:rsidRPr="009A0DA6">
        <w:rPr>
          <w:rFonts w:ascii="Cambria" w:eastAsia="Times New Roman" w:hAnsi="Cambria" w:cstheme="minorHAnsi"/>
          <w:spacing w:val="-1"/>
        </w:rPr>
        <w:t>s</w:t>
      </w:r>
      <w:r w:rsidRPr="009A0DA6">
        <w:rPr>
          <w:rFonts w:ascii="Cambria" w:eastAsia="Times New Roman" w:hAnsi="Cambria" w:cstheme="minorHAnsi"/>
        </w:rPr>
        <w:t>t</w:t>
      </w:r>
      <w:r w:rsidRPr="009A0DA6">
        <w:rPr>
          <w:rFonts w:ascii="Cambria" w:eastAsia="Times New Roman" w:hAnsi="Cambria" w:cstheme="minorHAnsi"/>
          <w:spacing w:val="3"/>
        </w:rPr>
        <w:t>r</w:t>
      </w:r>
      <w:r w:rsidRPr="009A0DA6">
        <w:rPr>
          <w:rFonts w:ascii="Cambria" w:eastAsia="Times New Roman" w:hAnsi="Cambria" w:cstheme="minorHAnsi"/>
        </w:rPr>
        <w:t>y</w:t>
      </w:r>
      <w:r w:rsidRPr="009A0DA6">
        <w:rPr>
          <w:rFonts w:ascii="Cambria" w:eastAsia="Times New Roman" w:hAnsi="Cambria" w:cstheme="minorHAnsi"/>
          <w:spacing w:val="-8"/>
        </w:rPr>
        <w:t xml:space="preserve"> </w:t>
      </w:r>
      <w:r w:rsidRPr="009A0DA6">
        <w:rPr>
          <w:rFonts w:ascii="Cambria" w:eastAsia="Times New Roman" w:hAnsi="Cambria" w:cstheme="minorHAnsi"/>
          <w:spacing w:val="-2"/>
        </w:rPr>
        <w:t>w</w:t>
      </w:r>
      <w:r w:rsidRPr="009A0DA6">
        <w:rPr>
          <w:rFonts w:ascii="Cambria" w:eastAsia="Times New Roman" w:hAnsi="Cambria" w:cstheme="minorHAnsi"/>
        </w:rPr>
        <w:t>i</w:t>
      </w:r>
      <w:r w:rsidRPr="009A0DA6">
        <w:rPr>
          <w:rFonts w:ascii="Cambria" w:eastAsia="Times New Roman" w:hAnsi="Cambria" w:cstheme="minorHAnsi"/>
          <w:spacing w:val="2"/>
        </w:rPr>
        <w:t>t</w:t>
      </w:r>
      <w:r w:rsidRPr="009A0DA6">
        <w:rPr>
          <w:rFonts w:ascii="Cambria" w:eastAsia="Times New Roman" w:hAnsi="Cambria" w:cstheme="minorHAnsi"/>
        </w:rPr>
        <w:t>h</w:t>
      </w:r>
      <w:r w:rsidRPr="009A0DA6">
        <w:rPr>
          <w:rFonts w:ascii="Cambria" w:eastAsia="Times New Roman" w:hAnsi="Cambria" w:cstheme="minorHAnsi"/>
          <w:spacing w:val="-5"/>
        </w:rPr>
        <w:t xml:space="preserve"> </w:t>
      </w:r>
      <w:r w:rsidRPr="009A0DA6">
        <w:rPr>
          <w:rFonts w:ascii="Cambria" w:eastAsia="Times New Roman" w:hAnsi="Cambria" w:cstheme="minorHAnsi"/>
          <w:spacing w:val="2"/>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1"/>
        </w:rPr>
        <w:t xml:space="preserve"> </w:t>
      </w:r>
      <w:r w:rsidRPr="009A0DA6">
        <w:rPr>
          <w:rFonts w:ascii="Cambria" w:eastAsia="Times New Roman" w:hAnsi="Cambria" w:cstheme="minorHAnsi"/>
          <w:spacing w:val="-2"/>
        </w:rPr>
        <w:t>A</w:t>
      </w:r>
      <w:r w:rsidRPr="009A0DA6">
        <w:rPr>
          <w:rFonts w:ascii="Cambria" w:eastAsia="Times New Roman" w:hAnsi="Cambria" w:cstheme="minorHAnsi"/>
          <w:spacing w:val="-1"/>
        </w:rPr>
        <w:t>g</w:t>
      </w:r>
      <w:r w:rsidRPr="009A0DA6">
        <w:rPr>
          <w:rFonts w:ascii="Cambria" w:eastAsia="Times New Roman" w:hAnsi="Cambria" w:cstheme="minorHAnsi"/>
          <w:spacing w:val="3"/>
        </w:rPr>
        <w:t>e</w:t>
      </w:r>
      <w:r w:rsidRPr="009A0DA6">
        <w:rPr>
          <w:rFonts w:ascii="Cambria" w:eastAsia="Times New Roman" w:hAnsi="Cambria" w:cstheme="minorHAnsi"/>
        </w:rPr>
        <w:t>i</w:t>
      </w:r>
      <w:r w:rsidRPr="009A0DA6">
        <w:rPr>
          <w:rFonts w:ascii="Cambria" w:eastAsia="Times New Roman" w:hAnsi="Cambria" w:cstheme="minorHAnsi"/>
          <w:spacing w:val="1"/>
        </w:rPr>
        <w:t>n</w:t>
      </w:r>
      <w:r w:rsidRPr="009A0DA6">
        <w:rPr>
          <w:rFonts w:ascii="Cambria" w:eastAsia="Times New Roman" w:hAnsi="Cambria" w:cstheme="minorHAnsi"/>
        </w:rPr>
        <w:t>g</w:t>
      </w:r>
      <w:r w:rsidRPr="009A0DA6">
        <w:rPr>
          <w:rFonts w:ascii="Cambria" w:eastAsia="Times New Roman" w:hAnsi="Cambria" w:cstheme="minorHAnsi"/>
        </w:rPr>
        <w:tab/>
      </w:r>
      <w:r w:rsidRPr="009A0DA6">
        <w:rPr>
          <w:rFonts w:ascii="Cambria" w:eastAsia="Times New Roman" w:hAnsi="Cambria" w:cstheme="minorHAnsi"/>
        </w:rPr>
        <w:tab/>
      </w:r>
      <w:r w:rsidRPr="009A0DA6">
        <w:rPr>
          <w:rFonts w:ascii="Cambria" w:eastAsia="Times New Roman" w:hAnsi="Cambria" w:cstheme="minorHAnsi"/>
          <w:spacing w:val="1"/>
        </w:rPr>
        <w:t>10,0</w:t>
      </w:r>
      <w:r w:rsidRPr="009A0DA6">
        <w:rPr>
          <w:rFonts w:ascii="Cambria" w:eastAsia="Times New Roman" w:hAnsi="Cambria" w:cstheme="minorHAnsi"/>
          <w:spacing w:val="-1"/>
        </w:rPr>
        <w:t>6</w:t>
      </w:r>
      <w:r w:rsidRPr="009A0DA6">
        <w:rPr>
          <w:rFonts w:ascii="Cambria" w:eastAsia="Times New Roman" w:hAnsi="Cambria" w:cstheme="minorHAnsi"/>
        </w:rPr>
        <w:t>2</w:t>
      </w:r>
      <w:r w:rsidRPr="009A0DA6">
        <w:rPr>
          <w:rFonts w:ascii="Cambria" w:hAnsi="Cambria" w:cstheme="minorHAnsi"/>
        </w:rPr>
        <w:tab/>
      </w:r>
      <w:r w:rsidRPr="009A0DA6">
        <w:rPr>
          <w:rFonts w:ascii="Cambria" w:eastAsia="Times New Roman" w:hAnsi="Cambria" w:cstheme="minorHAnsi"/>
          <w:w w:val="99"/>
        </w:rPr>
        <w:t>0</w:t>
      </w:r>
      <w:r w:rsidRPr="009A0DA6">
        <w:rPr>
          <w:rFonts w:ascii="Cambria" w:eastAsia="Times New Roman" w:hAnsi="Cambria" w:cstheme="minorHAnsi"/>
          <w:w w:val="99"/>
        </w:rPr>
        <w:tab/>
        <w:t>0</w:t>
      </w:r>
    </w:p>
    <w:p w14:paraId="699E1A56"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eastAsia="Times New Roman" w:hAnsi="Cambria" w:cstheme="minorHAnsi"/>
          <w:b/>
          <w:w w:val="99"/>
        </w:rPr>
      </w:pPr>
      <w:r w:rsidRPr="009A0DA6">
        <w:rPr>
          <w:rFonts w:ascii="Cambria" w:eastAsia="Times New Roman" w:hAnsi="Cambria" w:cstheme="minorHAnsi"/>
        </w:rPr>
        <w:t>A</w:t>
      </w:r>
      <w:r w:rsidRPr="009A0DA6">
        <w:rPr>
          <w:rFonts w:ascii="Cambria" w:eastAsia="Times New Roman" w:hAnsi="Cambria" w:cstheme="minorHAnsi"/>
          <w:spacing w:val="-1"/>
        </w:rPr>
        <w:t>g</w:t>
      </w:r>
      <w:r w:rsidRPr="009A0DA6">
        <w:rPr>
          <w:rFonts w:ascii="Cambria" w:eastAsia="Times New Roman" w:hAnsi="Cambria" w:cstheme="minorHAnsi"/>
        </w:rPr>
        <w:t>ed</w:t>
      </w:r>
      <w:r w:rsidRPr="009A0DA6">
        <w:rPr>
          <w:rFonts w:ascii="Cambria" w:eastAsia="Times New Roman" w:hAnsi="Cambria" w:cstheme="minorHAnsi"/>
          <w:spacing w:val="-2"/>
        </w:rPr>
        <w:t xml:space="preserve"> </w:t>
      </w:r>
      <w:r w:rsidRPr="009A0DA6">
        <w:rPr>
          <w:rFonts w:ascii="Cambria" w:eastAsia="Times New Roman" w:hAnsi="Cambria" w:cstheme="minorHAnsi"/>
          <w:spacing w:val="-1"/>
        </w:rPr>
        <w:t>C</w:t>
      </w:r>
      <w:r w:rsidRPr="009A0DA6">
        <w:rPr>
          <w:rFonts w:ascii="Cambria" w:eastAsia="Times New Roman" w:hAnsi="Cambria" w:cstheme="minorHAnsi"/>
        </w:rPr>
        <w:t>a</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3"/>
        </w:rPr>
        <w:t xml:space="preserve"> </w:t>
      </w:r>
      <w:r w:rsidRPr="009A0DA6">
        <w:rPr>
          <w:rFonts w:ascii="Cambria" w:eastAsia="Times New Roman" w:hAnsi="Cambria" w:cstheme="minorHAnsi"/>
        </w:rPr>
        <w:t>S</w:t>
      </w:r>
      <w:r w:rsidRPr="009A0DA6">
        <w:rPr>
          <w:rFonts w:ascii="Cambria" w:eastAsia="Times New Roman" w:hAnsi="Cambria" w:cstheme="minorHAnsi"/>
          <w:spacing w:val="3"/>
        </w:rPr>
        <w:t>c</w:t>
      </w:r>
      <w:r w:rsidRPr="009A0DA6">
        <w:rPr>
          <w:rFonts w:ascii="Cambria" w:eastAsia="Times New Roman" w:hAnsi="Cambria" w:cstheme="minorHAnsi"/>
          <w:spacing w:val="-1"/>
        </w:rPr>
        <w:t>h</w:t>
      </w:r>
      <w:r w:rsidRPr="009A0DA6">
        <w:rPr>
          <w:rFonts w:ascii="Cambria" w:eastAsia="Times New Roman" w:hAnsi="Cambria" w:cstheme="minorHAnsi"/>
          <w:spacing w:val="1"/>
        </w:rPr>
        <w:t>o</w:t>
      </w:r>
      <w:r w:rsidRPr="009A0DA6">
        <w:rPr>
          <w:rFonts w:ascii="Cambria" w:eastAsia="Times New Roman" w:hAnsi="Cambria" w:cstheme="minorHAnsi"/>
        </w:rPr>
        <w:t>la</w:t>
      </w:r>
      <w:r w:rsidRPr="009A0DA6">
        <w:rPr>
          <w:rFonts w:ascii="Cambria" w:eastAsia="Times New Roman" w:hAnsi="Cambria" w:cstheme="minorHAnsi"/>
          <w:spacing w:val="1"/>
        </w:rPr>
        <w:t>r</w:t>
      </w:r>
      <w:r w:rsidRPr="009A0DA6">
        <w:rPr>
          <w:rFonts w:ascii="Cambria" w:eastAsia="Times New Roman" w:hAnsi="Cambria" w:cstheme="minorHAnsi"/>
          <w:spacing w:val="-1"/>
        </w:rPr>
        <w:t>sh</w:t>
      </w:r>
      <w:r w:rsidRPr="009A0DA6">
        <w:rPr>
          <w:rFonts w:ascii="Cambria" w:eastAsia="Times New Roman" w:hAnsi="Cambria" w:cstheme="minorHAnsi"/>
        </w:rPr>
        <w:t>ip</w:t>
      </w:r>
      <w:r w:rsidRPr="009A0DA6">
        <w:rPr>
          <w:rFonts w:ascii="Cambria" w:eastAsia="Times New Roman" w:hAnsi="Cambria" w:cstheme="minorHAnsi"/>
        </w:rPr>
        <w:tab/>
      </w:r>
      <w:r w:rsidRPr="009A0DA6">
        <w:rPr>
          <w:rFonts w:ascii="Cambria" w:eastAsia="Times New Roman" w:hAnsi="Cambria" w:cstheme="minorHAnsi"/>
        </w:rPr>
        <w:tab/>
      </w:r>
      <w:r w:rsidRPr="009A0DA6">
        <w:rPr>
          <w:rFonts w:ascii="Cambria" w:eastAsia="Times New Roman" w:hAnsi="Cambria" w:cstheme="minorHAnsi"/>
          <w:spacing w:val="1"/>
        </w:rPr>
        <w:t>(2,1</w:t>
      </w:r>
      <w:r w:rsidRPr="009A0DA6">
        <w:rPr>
          <w:rFonts w:ascii="Cambria" w:eastAsia="Times New Roman" w:hAnsi="Cambria" w:cstheme="minorHAnsi"/>
          <w:spacing w:val="-1"/>
        </w:rPr>
        <w:t>8</w:t>
      </w:r>
      <w:r w:rsidRPr="009A0DA6">
        <w:rPr>
          <w:rFonts w:ascii="Cambria" w:eastAsia="Times New Roman" w:hAnsi="Cambria" w:cstheme="minorHAnsi"/>
          <w:spacing w:val="1"/>
        </w:rPr>
        <w:t>6</w:t>
      </w:r>
      <w:r w:rsidRPr="009A0DA6">
        <w:rPr>
          <w:rFonts w:ascii="Cambria" w:eastAsia="Times New Roman" w:hAnsi="Cambria" w:cstheme="minorHAnsi"/>
        </w:rPr>
        <w:t>)</w:t>
      </w:r>
      <w:r w:rsidRPr="009A0DA6">
        <w:rPr>
          <w:rFonts w:ascii="Cambria" w:hAnsi="Cambria" w:cstheme="minorHAnsi"/>
        </w:rPr>
        <w:tab/>
      </w:r>
      <w:r w:rsidRPr="009A0DA6">
        <w:rPr>
          <w:rFonts w:ascii="Cambria" w:eastAsia="Times New Roman" w:hAnsi="Cambria" w:cstheme="minorHAnsi"/>
          <w:w w:val="99"/>
        </w:rPr>
        <w:t>0</w:t>
      </w:r>
      <w:r w:rsidRPr="009A0DA6">
        <w:rPr>
          <w:rFonts w:ascii="Cambria" w:eastAsia="Times New Roman" w:hAnsi="Cambria" w:cstheme="minorHAnsi"/>
          <w:w w:val="99"/>
        </w:rPr>
        <w:tab/>
        <w:t>0</w:t>
      </w:r>
    </w:p>
    <w:p w14:paraId="7165439C"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eastAsia="Times New Roman" w:hAnsi="Cambria" w:cstheme="minorHAnsi"/>
          <w:b/>
          <w:w w:val="99"/>
        </w:rPr>
      </w:pPr>
      <w:r w:rsidRPr="009A0DA6">
        <w:rPr>
          <w:rFonts w:ascii="Cambria" w:eastAsia="Times New Roman" w:hAnsi="Cambria" w:cstheme="minorHAnsi"/>
        </w:rPr>
        <w:t>S</w:t>
      </w:r>
      <w:r w:rsidRPr="009A0DA6">
        <w:rPr>
          <w:rFonts w:ascii="Cambria" w:eastAsia="Times New Roman" w:hAnsi="Cambria" w:cstheme="minorHAnsi"/>
          <w:spacing w:val="-1"/>
        </w:rPr>
        <w:t>u</w:t>
      </w:r>
      <w:r w:rsidRPr="009A0DA6">
        <w:rPr>
          <w:rFonts w:ascii="Cambria" w:eastAsia="Times New Roman" w:hAnsi="Cambria" w:cstheme="minorHAnsi"/>
          <w:spacing w:val="4"/>
        </w:rPr>
        <w:t>o</w:t>
      </w:r>
      <w:r w:rsidRPr="009A0DA6">
        <w:rPr>
          <w:rFonts w:ascii="Cambria" w:eastAsia="Times New Roman" w:hAnsi="Cambria" w:cstheme="minorHAnsi"/>
          <w:spacing w:val="-1"/>
        </w:rPr>
        <w:t>m</w:t>
      </w:r>
      <w:r w:rsidRPr="009A0DA6">
        <w:rPr>
          <w:rFonts w:ascii="Cambria" w:eastAsia="Times New Roman" w:hAnsi="Cambria" w:cstheme="minorHAnsi"/>
        </w:rPr>
        <w:t>i</w:t>
      </w:r>
      <w:r w:rsidRPr="009A0DA6">
        <w:rPr>
          <w:rFonts w:ascii="Cambria" w:eastAsia="Times New Roman" w:hAnsi="Cambria" w:cstheme="minorHAnsi"/>
          <w:spacing w:val="-5"/>
        </w:rPr>
        <w:t xml:space="preserve"> </w:t>
      </w:r>
      <w:r w:rsidRPr="009A0DA6">
        <w:rPr>
          <w:rFonts w:ascii="Cambria" w:eastAsia="Times New Roman" w:hAnsi="Cambria" w:cstheme="minorHAnsi"/>
          <w:spacing w:val="-1"/>
        </w:rPr>
        <w:t>C</w:t>
      </w:r>
      <w:r w:rsidRPr="009A0DA6">
        <w:rPr>
          <w:rFonts w:ascii="Cambria" w:eastAsia="Times New Roman" w:hAnsi="Cambria" w:cstheme="minorHAnsi"/>
          <w:spacing w:val="1"/>
        </w:rPr>
        <w:t>on</w:t>
      </w:r>
      <w:r w:rsidRPr="009A0DA6">
        <w:rPr>
          <w:rFonts w:ascii="Cambria" w:eastAsia="Times New Roman" w:hAnsi="Cambria" w:cstheme="minorHAnsi"/>
          <w:spacing w:val="-1"/>
        </w:rPr>
        <w:t>f</w:t>
      </w:r>
      <w:r w:rsidRPr="009A0DA6">
        <w:rPr>
          <w:rFonts w:ascii="Cambria" w:eastAsia="Times New Roman" w:hAnsi="Cambria" w:cstheme="minorHAnsi"/>
        </w:rPr>
        <w:t>e</w:t>
      </w:r>
      <w:r w:rsidRPr="009A0DA6">
        <w:rPr>
          <w:rFonts w:ascii="Cambria" w:eastAsia="Times New Roman" w:hAnsi="Cambria" w:cstheme="minorHAnsi"/>
          <w:spacing w:val="1"/>
        </w:rPr>
        <w:t>r</w:t>
      </w:r>
      <w:r w:rsidRPr="009A0DA6">
        <w:rPr>
          <w:rFonts w:ascii="Cambria" w:eastAsia="Times New Roman" w:hAnsi="Cambria" w:cstheme="minorHAnsi"/>
          <w:spacing w:val="3"/>
        </w:rPr>
        <w:t>e</w:t>
      </w:r>
      <w:r w:rsidRPr="009A0DA6">
        <w:rPr>
          <w:rFonts w:ascii="Cambria" w:eastAsia="Times New Roman" w:hAnsi="Cambria" w:cstheme="minorHAnsi"/>
          <w:spacing w:val="-1"/>
        </w:rPr>
        <w:t>n</w:t>
      </w:r>
      <w:r w:rsidRPr="009A0DA6">
        <w:rPr>
          <w:rFonts w:ascii="Cambria" w:eastAsia="Times New Roman" w:hAnsi="Cambria" w:cstheme="minorHAnsi"/>
        </w:rPr>
        <w:t>ce</w:t>
      </w:r>
      <w:r w:rsidRPr="009A0DA6">
        <w:rPr>
          <w:rFonts w:ascii="Cambria" w:eastAsia="Times New Roman" w:hAnsi="Cambria" w:cstheme="minorHAnsi"/>
          <w:spacing w:val="-8"/>
        </w:rPr>
        <w:t xml:space="preserve"> </w:t>
      </w:r>
      <w:r w:rsidRPr="009A0DA6">
        <w:rPr>
          <w:rFonts w:ascii="Cambria" w:eastAsia="Times New Roman" w:hAnsi="Cambria" w:cstheme="minorHAnsi"/>
          <w:spacing w:val="1"/>
        </w:rPr>
        <w:t>f</w:t>
      </w:r>
      <w:r w:rsidRPr="009A0DA6">
        <w:rPr>
          <w:rFonts w:ascii="Cambria" w:eastAsia="Times New Roman" w:hAnsi="Cambria" w:cstheme="minorHAnsi"/>
          <w:spacing w:val="-1"/>
        </w:rPr>
        <w:t>un</w:t>
      </w:r>
      <w:r w:rsidRPr="009A0DA6">
        <w:rPr>
          <w:rFonts w:ascii="Cambria" w:eastAsia="Times New Roman" w:hAnsi="Cambria" w:cstheme="minorHAnsi"/>
        </w:rPr>
        <w:t>d</w:t>
      </w:r>
      <w:r w:rsidRPr="009A0DA6">
        <w:rPr>
          <w:rFonts w:ascii="Cambria" w:eastAsia="Times New Roman" w:hAnsi="Cambria" w:cstheme="minorHAnsi"/>
        </w:rPr>
        <w:tab/>
      </w:r>
      <w:r w:rsidRPr="009A0DA6">
        <w:rPr>
          <w:rFonts w:ascii="Cambria" w:eastAsia="Times New Roman" w:hAnsi="Cambria" w:cstheme="minorHAnsi"/>
        </w:rPr>
        <w:tab/>
      </w:r>
      <w:r w:rsidRPr="009A0DA6">
        <w:rPr>
          <w:rFonts w:ascii="Cambria" w:eastAsia="Times New Roman" w:hAnsi="Cambria" w:cstheme="minorHAnsi"/>
          <w:spacing w:val="1"/>
        </w:rPr>
        <w:t>10,5</w:t>
      </w:r>
      <w:r w:rsidRPr="009A0DA6">
        <w:rPr>
          <w:rFonts w:ascii="Cambria" w:eastAsia="Times New Roman" w:hAnsi="Cambria" w:cstheme="minorHAnsi"/>
          <w:spacing w:val="-1"/>
        </w:rPr>
        <w:t>1</w:t>
      </w:r>
      <w:r w:rsidRPr="009A0DA6">
        <w:rPr>
          <w:rFonts w:ascii="Cambria" w:eastAsia="Times New Roman" w:hAnsi="Cambria" w:cstheme="minorHAnsi"/>
        </w:rPr>
        <w:t>0</w:t>
      </w:r>
      <w:r w:rsidRPr="009A0DA6">
        <w:rPr>
          <w:rFonts w:ascii="Cambria" w:hAnsi="Cambria" w:cstheme="minorHAnsi"/>
        </w:rPr>
        <w:tab/>
      </w:r>
      <w:r w:rsidRPr="009A0DA6">
        <w:rPr>
          <w:rFonts w:ascii="Cambria" w:eastAsia="Times New Roman" w:hAnsi="Cambria" w:cstheme="minorHAnsi"/>
          <w:spacing w:val="1"/>
        </w:rPr>
        <w:t>10,5</w:t>
      </w:r>
      <w:r w:rsidRPr="009A0DA6">
        <w:rPr>
          <w:rFonts w:ascii="Cambria" w:eastAsia="Times New Roman" w:hAnsi="Cambria" w:cstheme="minorHAnsi"/>
          <w:spacing w:val="-1"/>
        </w:rPr>
        <w:t>1</w:t>
      </w:r>
      <w:r w:rsidRPr="009A0DA6">
        <w:rPr>
          <w:rFonts w:ascii="Cambria" w:eastAsia="Times New Roman" w:hAnsi="Cambria" w:cstheme="minorHAnsi"/>
        </w:rPr>
        <w:t>0</w:t>
      </w:r>
      <w:r w:rsidRPr="009A0DA6">
        <w:rPr>
          <w:rFonts w:ascii="Cambria" w:eastAsia="Times New Roman" w:hAnsi="Cambria" w:cstheme="minorHAnsi"/>
        </w:rPr>
        <w:tab/>
        <w:t>10,510</w:t>
      </w:r>
    </w:p>
    <w:p w14:paraId="54DFA6DD"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eastAsia="Times New Roman" w:hAnsi="Cambria" w:cstheme="minorHAnsi"/>
          <w:b/>
          <w:w w:val="99"/>
        </w:rPr>
      </w:pPr>
      <w:r w:rsidRPr="009A0DA6">
        <w:rPr>
          <w:rFonts w:ascii="Cambria" w:eastAsia="Times New Roman" w:hAnsi="Cambria" w:cstheme="minorHAnsi"/>
          <w:spacing w:val="2"/>
        </w:rPr>
        <w:t>B</w:t>
      </w:r>
      <w:r w:rsidRPr="009A0DA6">
        <w:rPr>
          <w:rFonts w:ascii="Cambria" w:eastAsia="Times New Roman" w:hAnsi="Cambria" w:cstheme="minorHAnsi"/>
          <w:spacing w:val="1"/>
        </w:rPr>
        <w:t>or</w:t>
      </w:r>
      <w:r w:rsidRPr="009A0DA6">
        <w:rPr>
          <w:rFonts w:ascii="Cambria" w:eastAsia="Times New Roman" w:hAnsi="Cambria" w:cstheme="minorHAnsi"/>
          <w:spacing w:val="-1"/>
        </w:rPr>
        <w:t>gf</w:t>
      </w:r>
      <w:r w:rsidRPr="009A0DA6">
        <w:rPr>
          <w:rFonts w:ascii="Cambria" w:eastAsia="Times New Roman" w:hAnsi="Cambria" w:cstheme="minorHAnsi"/>
        </w:rPr>
        <w:t>el</w:t>
      </w:r>
      <w:r w:rsidRPr="009A0DA6">
        <w:rPr>
          <w:rFonts w:ascii="Cambria" w:eastAsia="Times New Roman" w:hAnsi="Cambria" w:cstheme="minorHAnsi"/>
          <w:spacing w:val="1"/>
        </w:rPr>
        <w:t>d</w:t>
      </w:r>
      <w:r w:rsidRPr="009A0DA6">
        <w:rPr>
          <w:rFonts w:ascii="Cambria" w:eastAsia="Times New Roman" w:hAnsi="Cambria" w:cstheme="minorHAnsi"/>
        </w:rPr>
        <w:t>t</w:t>
      </w:r>
      <w:r w:rsidRPr="009A0DA6">
        <w:rPr>
          <w:rFonts w:ascii="Cambria" w:eastAsia="Times New Roman" w:hAnsi="Cambria" w:cstheme="minorHAnsi"/>
          <w:spacing w:val="-8"/>
        </w:rPr>
        <w:t xml:space="preserve"> </w:t>
      </w:r>
      <w:r w:rsidRPr="009A0DA6">
        <w:rPr>
          <w:rFonts w:ascii="Cambria" w:eastAsia="Times New Roman" w:hAnsi="Cambria" w:cstheme="minorHAnsi"/>
          <w:spacing w:val="1"/>
        </w:rPr>
        <w:t>E</w:t>
      </w:r>
      <w:r w:rsidRPr="009A0DA6">
        <w:rPr>
          <w:rFonts w:ascii="Cambria" w:eastAsia="Times New Roman" w:hAnsi="Cambria" w:cstheme="minorHAnsi"/>
          <w:spacing w:val="-1"/>
        </w:rPr>
        <w:t>s</w:t>
      </w:r>
      <w:r w:rsidRPr="009A0DA6">
        <w:rPr>
          <w:rFonts w:ascii="Cambria" w:eastAsia="Times New Roman" w:hAnsi="Cambria" w:cstheme="minorHAnsi"/>
        </w:rPr>
        <w:t>tate</w:t>
      </w:r>
      <w:r w:rsidRPr="009A0DA6">
        <w:rPr>
          <w:rFonts w:ascii="Cambria" w:eastAsia="Times New Roman" w:hAnsi="Cambria" w:cstheme="minorHAnsi"/>
          <w:spacing w:val="-2"/>
        </w:rPr>
        <w:t xml:space="preserve"> L</w:t>
      </w:r>
      <w:r w:rsidRPr="009A0DA6">
        <w:rPr>
          <w:rFonts w:ascii="Cambria" w:eastAsia="Times New Roman" w:hAnsi="Cambria" w:cstheme="minorHAnsi"/>
        </w:rPr>
        <w:t>e</w:t>
      </w:r>
      <w:r w:rsidRPr="009A0DA6">
        <w:rPr>
          <w:rFonts w:ascii="Cambria" w:eastAsia="Times New Roman" w:hAnsi="Cambria" w:cstheme="minorHAnsi"/>
          <w:spacing w:val="-1"/>
        </w:rPr>
        <w:t>g</w:t>
      </w:r>
      <w:r w:rsidRPr="009A0DA6">
        <w:rPr>
          <w:rFonts w:ascii="Cambria" w:eastAsia="Times New Roman" w:hAnsi="Cambria" w:cstheme="minorHAnsi"/>
        </w:rPr>
        <w:t>a</w:t>
      </w:r>
      <w:r w:rsidRPr="009A0DA6">
        <w:rPr>
          <w:rFonts w:ascii="Cambria" w:eastAsia="Times New Roman" w:hAnsi="Cambria" w:cstheme="minorHAnsi"/>
          <w:spacing w:val="3"/>
        </w:rPr>
        <w:t>c</w:t>
      </w:r>
      <w:r w:rsidRPr="009A0DA6">
        <w:rPr>
          <w:rFonts w:ascii="Cambria" w:eastAsia="Times New Roman" w:hAnsi="Cambria" w:cstheme="minorHAnsi"/>
        </w:rPr>
        <w:t>y</w:t>
      </w:r>
      <w:r w:rsidRPr="009A0DA6">
        <w:rPr>
          <w:rFonts w:ascii="Cambria" w:eastAsia="Times New Roman" w:hAnsi="Cambria" w:cstheme="minorHAnsi"/>
          <w:spacing w:val="-7"/>
        </w:rPr>
        <w:t xml:space="preserve"> </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1"/>
        </w:rPr>
        <w:t>s</w:t>
      </w:r>
      <w:r w:rsidRPr="009A0DA6">
        <w:rPr>
          <w:rFonts w:ascii="Cambria" w:eastAsia="Times New Roman" w:hAnsi="Cambria" w:cstheme="minorHAnsi"/>
        </w:rPr>
        <w:t>e</w:t>
      </w:r>
      <w:r w:rsidRPr="009A0DA6">
        <w:rPr>
          <w:rFonts w:ascii="Cambria" w:eastAsia="Times New Roman" w:hAnsi="Cambria" w:cstheme="minorHAnsi"/>
          <w:spacing w:val="3"/>
        </w:rPr>
        <w:t>r</w:t>
      </w:r>
      <w:r w:rsidRPr="009A0DA6">
        <w:rPr>
          <w:rFonts w:ascii="Cambria" w:eastAsia="Times New Roman" w:hAnsi="Cambria" w:cstheme="minorHAnsi"/>
          <w:spacing w:val="-1"/>
        </w:rPr>
        <w:t>v</w:t>
      </w:r>
      <w:r w:rsidRPr="009A0DA6">
        <w:rPr>
          <w:rFonts w:ascii="Cambria" w:eastAsia="Times New Roman" w:hAnsi="Cambria" w:cstheme="minorHAnsi"/>
        </w:rPr>
        <w:t>es</w:t>
      </w:r>
      <w:r w:rsidRPr="009A0DA6">
        <w:rPr>
          <w:rFonts w:ascii="Cambria" w:eastAsia="Times New Roman" w:hAnsi="Cambria" w:cstheme="minorHAnsi"/>
        </w:rPr>
        <w:tab/>
      </w:r>
      <w:r w:rsidRPr="009A0DA6">
        <w:rPr>
          <w:rFonts w:ascii="Cambria" w:eastAsia="Times New Roman" w:hAnsi="Cambria" w:cstheme="minorHAnsi"/>
        </w:rPr>
        <w:tab/>
      </w:r>
      <w:r w:rsidRPr="009A0DA6">
        <w:rPr>
          <w:rFonts w:ascii="Cambria" w:eastAsia="Times New Roman" w:hAnsi="Cambria" w:cstheme="minorHAnsi"/>
          <w:spacing w:val="1"/>
        </w:rPr>
        <w:t>740,</w:t>
      </w:r>
      <w:r w:rsidRPr="009A0DA6">
        <w:rPr>
          <w:rFonts w:ascii="Cambria" w:eastAsia="Times New Roman" w:hAnsi="Cambria" w:cstheme="minorHAnsi"/>
          <w:spacing w:val="-1"/>
        </w:rPr>
        <w:t>0</w:t>
      </w:r>
      <w:r w:rsidRPr="009A0DA6">
        <w:rPr>
          <w:rFonts w:ascii="Cambria" w:eastAsia="Times New Roman" w:hAnsi="Cambria" w:cstheme="minorHAnsi"/>
          <w:spacing w:val="1"/>
        </w:rPr>
        <w:t>4</w:t>
      </w:r>
      <w:r w:rsidRPr="009A0DA6">
        <w:rPr>
          <w:rFonts w:ascii="Cambria" w:eastAsia="Times New Roman" w:hAnsi="Cambria" w:cstheme="minorHAnsi"/>
        </w:rPr>
        <w:t>7</w:t>
      </w:r>
      <w:r w:rsidRPr="009A0DA6">
        <w:rPr>
          <w:rFonts w:ascii="Cambria" w:hAnsi="Cambria" w:cstheme="minorHAnsi"/>
        </w:rPr>
        <w:tab/>
      </w:r>
      <w:r w:rsidRPr="009A0DA6">
        <w:rPr>
          <w:rFonts w:ascii="Cambria" w:eastAsia="Times New Roman" w:hAnsi="Cambria" w:cstheme="minorHAnsi"/>
          <w:spacing w:val="1"/>
        </w:rPr>
        <w:t>704,</w:t>
      </w:r>
      <w:r w:rsidRPr="009A0DA6">
        <w:rPr>
          <w:rFonts w:ascii="Cambria" w:eastAsia="Times New Roman" w:hAnsi="Cambria" w:cstheme="minorHAnsi"/>
          <w:spacing w:val="-1"/>
        </w:rPr>
        <w:t>3</w:t>
      </w:r>
      <w:r w:rsidRPr="009A0DA6">
        <w:rPr>
          <w:rFonts w:ascii="Cambria" w:eastAsia="Times New Roman" w:hAnsi="Cambria" w:cstheme="minorHAnsi"/>
          <w:spacing w:val="1"/>
        </w:rPr>
        <w:t>5</w:t>
      </w:r>
      <w:r w:rsidRPr="009A0DA6">
        <w:rPr>
          <w:rFonts w:ascii="Cambria" w:eastAsia="Times New Roman" w:hAnsi="Cambria" w:cstheme="minorHAnsi"/>
        </w:rPr>
        <w:t>3</w:t>
      </w:r>
      <w:r w:rsidRPr="009A0DA6">
        <w:rPr>
          <w:rFonts w:ascii="Cambria" w:eastAsia="Times New Roman" w:hAnsi="Cambria" w:cstheme="minorHAnsi"/>
        </w:rPr>
        <w:tab/>
        <w:t>684,616</w:t>
      </w:r>
    </w:p>
    <w:p w14:paraId="23115B68"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eastAsia="Times New Roman" w:hAnsi="Cambria" w:cstheme="minorHAnsi"/>
          <w:b/>
          <w:w w:val="99"/>
        </w:rPr>
      </w:pPr>
      <w:r w:rsidRPr="009A0DA6">
        <w:rPr>
          <w:rFonts w:ascii="Cambria" w:eastAsia="Times New Roman" w:hAnsi="Cambria" w:cstheme="minorHAnsi"/>
          <w:spacing w:val="-2"/>
        </w:rPr>
        <w:t>L</w:t>
      </w:r>
      <w:r w:rsidRPr="009A0DA6">
        <w:rPr>
          <w:rFonts w:ascii="Cambria" w:eastAsia="Times New Roman" w:hAnsi="Cambria" w:cstheme="minorHAnsi"/>
          <w:spacing w:val="1"/>
        </w:rPr>
        <w:t>o</w:t>
      </w:r>
      <w:r w:rsidRPr="009A0DA6">
        <w:rPr>
          <w:rFonts w:ascii="Cambria" w:eastAsia="Times New Roman" w:hAnsi="Cambria" w:cstheme="minorHAnsi"/>
        </w:rPr>
        <w:t>cal</w:t>
      </w:r>
      <w:r w:rsidRPr="009A0DA6">
        <w:rPr>
          <w:rFonts w:ascii="Cambria" w:eastAsia="Times New Roman" w:hAnsi="Cambria" w:cstheme="minorHAnsi"/>
          <w:spacing w:val="-5"/>
        </w:rPr>
        <w:t xml:space="preserve"> </w:t>
      </w:r>
      <w:r w:rsidRPr="009A0DA6">
        <w:rPr>
          <w:rFonts w:ascii="Cambria" w:eastAsia="Times New Roman" w:hAnsi="Cambria" w:cstheme="minorHAnsi"/>
          <w:spacing w:val="1"/>
        </w:rPr>
        <w:t>M</w:t>
      </w:r>
      <w:r w:rsidRPr="009A0DA6">
        <w:rPr>
          <w:rFonts w:ascii="Cambria" w:eastAsia="Times New Roman" w:hAnsi="Cambria" w:cstheme="minorHAnsi"/>
        </w:rPr>
        <w:t>i</w:t>
      </w:r>
      <w:r w:rsidRPr="009A0DA6">
        <w:rPr>
          <w:rFonts w:ascii="Cambria" w:eastAsia="Times New Roman" w:hAnsi="Cambria" w:cstheme="minorHAnsi"/>
          <w:spacing w:val="2"/>
        </w:rPr>
        <w:t>s</w:t>
      </w:r>
      <w:r w:rsidRPr="009A0DA6">
        <w:rPr>
          <w:rFonts w:ascii="Cambria" w:eastAsia="Times New Roman" w:hAnsi="Cambria" w:cstheme="minorHAnsi"/>
          <w:spacing w:val="-1"/>
        </w:rPr>
        <w:t>s</w:t>
      </w:r>
      <w:r w:rsidRPr="009A0DA6">
        <w:rPr>
          <w:rFonts w:ascii="Cambria" w:eastAsia="Times New Roman" w:hAnsi="Cambria" w:cstheme="minorHAnsi"/>
        </w:rPr>
        <w:t>i</w:t>
      </w:r>
      <w:r w:rsidRPr="009A0DA6">
        <w:rPr>
          <w:rFonts w:ascii="Cambria" w:eastAsia="Times New Roman" w:hAnsi="Cambria" w:cstheme="minorHAnsi"/>
          <w:spacing w:val="1"/>
        </w:rPr>
        <w:t>o</w:t>
      </w:r>
      <w:r w:rsidRPr="009A0DA6">
        <w:rPr>
          <w:rFonts w:ascii="Cambria" w:eastAsia="Times New Roman" w:hAnsi="Cambria" w:cstheme="minorHAnsi"/>
        </w:rPr>
        <w:t>n</w:t>
      </w:r>
      <w:r w:rsidRPr="009A0DA6">
        <w:rPr>
          <w:rFonts w:ascii="Cambria" w:eastAsia="Times New Roman" w:hAnsi="Cambria" w:cstheme="minorHAnsi"/>
          <w:spacing w:val="-4"/>
        </w:rPr>
        <w:t xml:space="preserve"> </w:t>
      </w:r>
      <w:r w:rsidRPr="009A0DA6">
        <w:rPr>
          <w:rFonts w:ascii="Cambria" w:eastAsia="Times New Roman" w:hAnsi="Cambria" w:cstheme="minorHAnsi"/>
          <w:spacing w:val="-1"/>
        </w:rPr>
        <w:t>f</w:t>
      </w:r>
      <w:r w:rsidRPr="009A0DA6">
        <w:rPr>
          <w:rFonts w:ascii="Cambria" w:eastAsia="Times New Roman" w:hAnsi="Cambria" w:cstheme="minorHAnsi"/>
          <w:spacing w:val="1"/>
        </w:rPr>
        <w:t>u</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rPr>
        <w:tab/>
      </w:r>
      <w:r w:rsidRPr="009A0DA6">
        <w:rPr>
          <w:rFonts w:ascii="Cambria" w:eastAsia="Times New Roman" w:hAnsi="Cambria" w:cstheme="minorHAnsi"/>
        </w:rPr>
        <w:tab/>
      </w:r>
      <w:r w:rsidRPr="009A0DA6">
        <w:rPr>
          <w:rFonts w:ascii="Cambria" w:eastAsia="Times New Roman" w:hAnsi="Cambria" w:cstheme="minorHAnsi"/>
          <w:spacing w:val="1"/>
        </w:rPr>
        <w:t>200,</w:t>
      </w:r>
      <w:r w:rsidRPr="009A0DA6">
        <w:rPr>
          <w:rFonts w:ascii="Cambria" w:eastAsia="Times New Roman" w:hAnsi="Cambria" w:cstheme="minorHAnsi"/>
          <w:spacing w:val="-1"/>
        </w:rPr>
        <w:t>0</w:t>
      </w:r>
      <w:r w:rsidRPr="009A0DA6">
        <w:rPr>
          <w:rFonts w:ascii="Cambria" w:eastAsia="Times New Roman" w:hAnsi="Cambria" w:cstheme="minorHAnsi"/>
          <w:spacing w:val="1"/>
        </w:rPr>
        <w:t>0</w:t>
      </w:r>
      <w:r w:rsidRPr="009A0DA6">
        <w:rPr>
          <w:rFonts w:ascii="Cambria" w:eastAsia="Times New Roman" w:hAnsi="Cambria" w:cstheme="minorHAnsi"/>
        </w:rPr>
        <w:t>0</w:t>
      </w:r>
      <w:r w:rsidRPr="009A0DA6">
        <w:rPr>
          <w:rFonts w:ascii="Cambria" w:hAnsi="Cambria" w:cstheme="minorHAnsi"/>
        </w:rPr>
        <w:tab/>
      </w:r>
      <w:r w:rsidRPr="009A0DA6">
        <w:rPr>
          <w:rFonts w:ascii="Cambria" w:eastAsia="Times New Roman" w:hAnsi="Cambria" w:cstheme="minorHAnsi"/>
          <w:spacing w:val="1"/>
        </w:rPr>
        <w:t>200,</w:t>
      </w:r>
      <w:r w:rsidRPr="009A0DA6">
        <w:rPr>
          <w:rFonts w:ascii="Cambria" w:eastAsia="Times New Roman" w:hAnsi="Cambria" w:cstheme="minorHAnsi"/>
          <w:spacing w:val="-1"/>
        </w:rPr>
        <w:t>0</w:t>
      </w:r>
      <w:r w:rsidRPr="009A0DA6">
        <w:rPr>
          <w:rFonts w:ascii="Cambria" w:eastAsia="Times New Roman" w:hAnsi="Cambria" w:cstheme="minorHAnsi"/>
          <w:spacing w:val="1"/>
        </w:rPr>
        <w:t>0</w:t>
      </w:r>
      <w:r w:rsidRPr="009A0DA6">
        <w:rPr>
          <w:rFonts w:ascii="Cambria" w:eastAsia="Times New Roman" w:hAnsi="Cambria" w:cstheme="minorHAnsi"/>
        </w:rPr>
        <w:t>0</w:t>
      </w:r>
      <w:r w:rsidRPr="009A0DA6">
        <w:rPr>
          <w:rFonts w:ascii="Cambria" w:eastAsia="Times New Roman" w:hAnsi="Cambria" w:cstheme="minorHAnsi"/>
        </w:rPr>
        <w:tab/>
        <w:t>200,000</w:t>
      </w:r>
    </w:p>
    <w:p w14:paraId="6BEC6691"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eastAsia="Times New Roman" w:hAnsi="Cambria" w:cstheme="minorHAnsi"/>
          <w:b/>
          <w:w w:val="99"/>
        </w:rPr>
      </w:pPr>
      <w:r w:rsidRPr="009A0DA6">
        <w:rPr>
          <w:rFonts w:ascii="Cambria" w:eastAsia="Times New Roman" w:hAnsi="Cambria" w:cstheme="minorHAnsi"/>
        </w:rPr>
        <w:t>S</w:t>
      </w:r>
      <w:r w:rsidRPr="009A0DA6">
        <w:rPr>
          <w:rFonts w:ascii="Cambria" w:eastAsia="Times New Roman" w:hAnsi="Cambria" w:cstheme="minorHAnsi"/>
          <w:spacing w:val="1"/>
        </w:rPr>
        <w:t>p</w:t>
      </w:r>
      <w:r w:rsidRPr="009A0DA6">
        <w:rPr>
          <w:rFonts w:ascii="Cambria" w:eastAsia="Times New Roman" w:hAnsi="Cambria" w:cstheme="minorHAnsi"/>
        </w:rPr>
        <w:t>eci</w:t>
      </w:r>
      <w:r w:rsidRPr="009A0DA6">
        <w:rPr>
          <w:rFonts w:ascii="Cambria" w:eastAsia="Times New Roman" w:hAnsi="Cambria" w:cstheme="minorHAnsi"/>
          <w:spacing w:val="-1"/>
        </w:rPr>
        <w:t>f</w:t>
      </w:r>
      <w:r w:rsidRPr="009A0DA6">
        <w:rPr>
          <w:rFonts w:ascii="Cambria" w:eastAsia="Times New Roman" w:hAnsi="Cambria" w:cstheme="minorHAnsi"/>
        </w:rPr>
        <w:t>ic</w:t>
      </w:r>
      <w:r w:rsidRPr="009A0DA6">
        <w:rPr>
          <w:rFonts w:ascii="Cambria" w:eastAsia="Times New Roman" w:hAnsi="Cambria" w:cstheme="minorHAnsi"/>
          <w:spacing w:val="-4"/>
        </w:rPr>
        <w:t xml:space="preserve"> </w:t>
      </w:r>
      <w:r w:rsidRPr="009A0DA6">
        <w:rPr>
          <w:rFonts w:ascii="Cambria" w:eastAsia="Times New Roman" w:hAnsi="Cambria" w:cstheme="minorHAnsi"/>
          <w:spacing w:val="-2"/>
        </w:rPr>
        <w:t>L</w:t>
      </w:r>
      <w:r w:rsidRPr="009A0DA6">
        <w:rPr>
          <w:rFonts w:ascii="Cambria" w:eastAsia="Times New Roman" w:hAnsi="Cambria" w:cstheme="minorHAnsi"/>
        </w:rPr>
        <w:t>e</w:t>
      </w:r>
      <w:r w:rsidRPr="009A0DA6">
        <w:rPr>
          <w:rFonts w:ascii="Cambria" w:eastAsia="Times New Roman" w:hAnsi="Cambria" w:cstheme="minorHAnsi"/>
          <w:spacing w:val="-1"/>
        </w:rPr>
        <w:t>g</w:t>
      </w:r>
      <w:r w:rsidRPr="009A0DA6">
        <w:rPr>
          <w:rFonts w:ascii="Cambria" w:eastAsia="Times New Roman" w:hAnsi="Cambria" w:cstheme="minorHAnsi"/>
        </w:rPr>
        <w:t>a</w:t>
      </w:r>
      <w:r w:rsidRPr="009A0DA6">
        <w:rPr>
          <w:rFonts w:ascii="Cambria" w:eastAsia="Times New Roman" w:hAnsi="Cambria" w:cstheme="minorHAnsi"/>
          <w:spacing w:val="3"/>
        </w:rPr>
        <w:t>c</w:t>
      </w:r>
      <w:r w:rsidRPr="009A0DA6">
        <w:rPr>
          <w:rFonts w:ascii="Cambria" w:eastAsia="Times New Roman" w:hAnsi="Cambria" w:cstheme="minorHAnsi"/>
        </w:rPr>
        <w:t>y</w:t>
      </w:r>
      <w:r w:rsidRPr="009A0DA6">
        <w:rPr>
          <w:rFonts w:ascii="Cambria" w:eastAsia="Times New Roman" w:hAnsi="Cambria" w:cstheme="minorHAnsi"/>
          <w:spacing w:val="-7"/>
        </w:rPr>
        <w:t xml:space="preserve"> </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1"/>
        </w:rPr>
        <w:t>s</w:t>
      </w:r>
      <w:r w:rsidRPr="009A0DA6">
        <w:rPr>
          <w:rFonts w:ascii="Cambria" w:eastAsia="Times New Roman" w:hAnsi="Cambria" w:cstheme="minorHAnsi"/>
        </w:rPr>
        <w:t>e</w:t>
      </w:r>
      <w:r w:rsidRPr="009A0DA6">
        <w:rPr>
          <w:rFonts w:ascii="Cambria" w:eastAsia="Times New Roman" w:hAnsi="Cambria" w:cstheme="minorHAnsi"/>
          <w:spacing w:val="3"/>
        </w:rPr>
        <w:t>r</w:t>
      </w:r>
      <w:r w:rsidRPr="009A0DA6">
        <w:rPr>
          <w:rFonts w:ascii="Cambria" w:eastAsia="Times New Roman" w:hAnsi="Cambria" w:cstheme="minorHAnsi"/>
          <w:spacing w:val="-1"/>
        </w:rPr>
        <w:t>v</w:t>
      </w:r>
      <w:r w:rsidRPr="009A0DA6">
        <w:rPr>
          <w:rFonts w:ascii="Cambria" w:eastAsia="Times New Roman" w:hAnsi="Cambria" w:cstheme="minorHAnsi"/>
        </w:rPr>
        <w:t>es</w:t>
      </w:r>
      <w:r w:rsidRPr="009A0DA6">
        <w:rPr>
          <w:rFonts w:ascii="Cambria" w:eastAsia="Times New Roman" w:hAnsi="Cambria" w:cstheme="minorHAnsi"/>
        </w:rPr>
        <w:tab/>
      </w:r>
      <w:r w:rsidRPr="009A0DA6">
        <w:rPr>
          <w:rFonts w:ascii="Cambria" w:eastAsia="Times New Roman" w:hAnsi="Cambria" w:cstheme="minorHAnsi"/>
        </w:rPr>
        <w:tab/>
      </w:r>
      <w:r w:rsidRPr="009A0DA6">
        <w:rPr>
          <w:rFonts w:ascii="Cambria" w:eastAsia="Times New Roman" w:hAnsi="Cambria" w:cstheme="minorHAnsi"/>
          <w:spacing w:val="1"/>
        </w:rPr>
        <w:t>1,80</w:t>
      </w:r>
      <w:r w:rsidRPr="009A0DA6">
        <w:rPr>
          <w:rFonts w:ascii="Cambria" w:eastAsia="Times New Roman" w:hAnsi="Cambria" w:cstheme="minorHAnsi"/>
          <w:spacing w:val="-1"/>
        </w:rPr>
        <w:t>6</w:t>
      </w:r>
      <w:r w:rsidRPr="009A0DA6">
        <w:rPr>
          <w:rFonts w:ascii="Cambria" w:eastAsia="Times New Roman" w:hAnsi="Cambria" w:cstheme="minorHAnsi"/>
          <w:spacing w:val="1"/>
        </w:rPr>
        <w:t>,3</w:t>
      </w:r>
      <w:r w:rsidRPr="009A0DA6">
        <w:rPr>
          <w:rFonts w:ascii="Cambria" w:eastAsia="Times New Roman" w:hAnsi="Cambria" w:cstheme="minorHAnsi"/>
          <w:spacing w:val="-1"/>
        </w:rPr>
        <w:t>9</w:t>
      </w:r>
      <w:r w:rsidRPr="009A0DA6">
        <w:rPr>
          <w:rFonts w:ascii="Cambria" w:eastAsia="Times New Roman" w:hAnsi="Cambria" w:cstheme="minorHAnsi"/>
        </w:rPr>
        <w:t>2</w:t>
      </w:r>
      <w:r w:rsidRPr="009A0DA6">
        <w:rPr>
          <w:rFonts w:ascii="Cambria" w:hAnsi="Cambria" w:cstheme="minorHAnsi"/>
        </w:rPr>
        <w:tab/>
      </w:r>
      <w:r w:rsidRPr="009A0DA6">
        <w:rPr>
          <w:rFonts w:ascii="Cambria" w:eastAsia="Times New Roman" w:hAnsi="Cambria" w:cstheme="minorHAnsi"/>
          <w:spacing w:val="1"/>
        </w:rPr>
        <w:t>1,76</w:t>
      </w:r>
      <w:r w:rsidRPr="009A0DA6">
        <w:rPr>
          <w:rFonts w:ascii="Cambria" w:eastAsia="Times New Roman" w:hAnsi="Cambria" w:cstheme="minorHAnsi"/>
          <w:spacing w:val="-1"/>
        </w:rPr>
        <w:t>5</w:t>
      </w:r>
      <w:r w:rsidRPr="009A0DA6">
        <w:rPr>
          <w:rFonts w:ascii="Cambria" w:eastAsia="Times New Roman" w:hAnsi="Cambria" w:cstheme="minorHAnsi"/>
          <w:spacing w:val="1"/>
        </w:rPr>
        <w:t>,1</w:t>
      </w:r>
      <w:r w:rsidRPr="009A0DA6">
        <w:rPr>
          <w:rFonts w:ascii="Cambria" w:eastAsia="Times New Roman" w:hAnsi="Cambria" w:cstheme="minorHAnsi"/>
          <w:spacing w:val="-1"/>
        </w:rPr>
        <w:t>5</w:t>
      </w:r>
      <w:r w:rsidRPr="009A0DA6">
        <w:rPr>
          <w:rFonts w:ascii="Cambria" w:eastAsia="Times New Roman" w:hAnsi="Cambria" w:cstheme="minorHAnsi"/>
        </w:rPr>
        <w:t>7</w:t>
      </w:r>
      <w:r w:rsidRPr="009A0DA6">
        <w:rPr>
          <w:rFonts w:ascii="Cambria" w:eastAsia="Times New Roman" w:hAnsi="Cambria" w:cstheme="minorHAnsi"/>
        </w:rPr>
        <w:tab/>
        <w:t>1,742,138</w:t>
      </w:r>
    </w:p>
    <w:p w14:paraId="6727B4F2"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eastAsia="Times New Roman" w:hAnsi="Cambria" w:cstheme="minorHAnsi"/>
        </w:rPr>
      </w:pPr>
      <w:r w:rsidRPr="009A0DA6">
        <w:rPr>
          <w:rFonts w:ascii="Cambria" w:eastAsia="Times New Roman" w:hAnsi="Cambria" w:cstheme="minorHAnsi"/>
        </w:rPr>
        <w:t>Ge</w:t>
      </w:r>
      <w:r w:rsidRPr="009A0DA6">
        <w:rPr>
          <w:rFonts w:ascii="Cambria" w:eastAsia="Times New Roman" w:hAnsi="Cambria" w:cstheme="minorHAnsi"/>
          <w:spacing w:val="-1"/>
        </w:rPr>
        <w:t>n</w:t>
      </w:r>
      <w:r w:rsidRPr="009A0DA6">
        <w:rPr>
          <w:rFonts w:ascii="Cambria" w:eastAsia="Times New Roman" w:hAnsi="Cambria" w:cstheme="minorHAnsi"/>
        </w:rPr>
        <w:t>e</w:t>
      </w:r>
      <w:r w:rsidRPr="009A0DA6">
        <w:rPr>
          <w:rFonts w:ascii="Cambria" w:eastAsia="Times New Roman" w:hAnsi="Cambria" w:cstheme="minorHAnsi"/>
          <w:spacing w:val="1"/>
        </w:rPr>
        <w:t>r</w:t>
      </w:r>
      <w:r w:rsidRPr="009A0DA6">
        <w:rPr>
          <w:rFonts w:ascii="Cambria" w:eastAsia="Times New Roman" w:hAnsi="Cambria" w:cstheme="minorHAnsi"/>
        </w:rPr>
        <w:t>al</w:t>
      </w:r>
      <w:r w:rsidRPr="009A0DA6">
        <w:rPr>
          <w:rFonts w:ascii="Cambria" w:eastAsia="Times New Roman" w:hAnsi="Cambria" w:cstheme="minorHAnsi"/>
          <w:spacing w:val="-6"/>
        </w:rPr>
        <w:t xml:space="preserve"> </w:t>
      </w:r>
      <w:r w:rsidRPr="009A0DA6">
        <w:rPr>
          <w:rFonts w:ascii="Cambria" w:eastAsia="Times New Roman" w:hAnsi="Cambria" w:cstheme="minorHAnsi"/>
          <w:spacing w:val="-2"/>
        </w:rPr>
        <w:t>L</w:t>
      </w:r>
      <w:r w:rsidRPr="009A0DA6">
        <w:rPr>
          <w:rFonts w:ascii="Cambria" w:eastAsia="Times New Roman" w:hAnsi="Cambria" w:cstheme="minorHAnsi"/>
          <w:spacing w:val="3"/>
        </w:rPr>
        <w:t>e</w:t>
      </w:r>
      <w:r w:rsidRPr="009A0DA6">
        <w:rPr>
          <w:rFonts w:ascii="Cambria" w:eastAsia="Times New Roman" w:hAnsi="Cambria" w:cstheme="minorHAnsi"/>
          <w:spacing w:val="-1"/>
        </w:rPr>
        <w:t>g</w:t>
      </w:r>
      <w:r w:rsidRPr="009A0DA6">
        <w:rPr>
          <w:rFonts w:ascii="Cambria" w:eastAsia="Times New Roman" w:hAnsi="Cambria" w:cstheme="minorHAnsi"/>
        </w:rPr>
        <w:t>a</w:t>
      </w:r>
      <w:r w:rsidRPr="009A0DA6">
        <w:rPr>
          <w:rFonts w:ascii="Cambria" w:eastAsia="Times New Roman" w:hAnsi="Cambria" w:cstheme="minorHAnsi"/>
          <w:spacing w:val="3"/>
        </w:rPr>
        <w:t>c</w:t>
      </w:r>
      <w:r w:rsidRPr="009A0DA6">
        <w:rPr>
          <w:rFonts w:ascii="Cambria" w:eastAsia="Times New Roman" w:hAnsi="Cambria" w:cstheme="minorHAnsi"/>
        </w:rPr>
        <w:t>y</w:t>
      </w:r>
      <w:r w:rsidRPr="009A0DA6">
        <w:rPr>
          <w:rFonts w:ascii="Cambria" w:eastAsia="Times New Roman" w:hAnsi="Cambria" w:cstheme="minorHAnsi"/>
          <w:spacing w:val="-7"/>
        </w:rPr>
        <w:t xml:space="preserve"> </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1"/>
        </w:rPr>
        <w:t>s</w:t>
      </w:r>
      <w:r w:rsidRPr="009A0DA6">
        <w:rPr>
          <w:rFonts w:ascii="Cambria" w:eastAsia="Times New Roman" w:hAnsi="Cambria" w:cstheme="minorHAnsi"/>
        </w:rPr>
        <w:t>e</w:t>
      </w:r>
      <w:r w:rsidRPr="009A0DA6">
        <w:rPr>
          <w:rFonts w:ascii="Cambria" w:eastAsia="Times New Roman" w:hAnsi="Cambria" w:cstheme="minorHAnsi"/>
          <w:spacing w:val="1"/>
        </w:rPr>
        <w:t>r</w:t>
      </w:r>
      <w:r w:rsidRPr="009A0DA6">
        <w:rPr>
          <w:rFonts w:ascii="Cambria" w:eastAsia="Times New Roman" w:hAnsi="Cambria" w:cstheme="minorHAnsi"/>
          <w:spacing w:val="-1"/>
        </w:rPr>
        <w:t>v</w:t>
      </w:r>
      <w:r w:rsidRPr="009A0DA6">
        <w:rPr>
          <w:rFonts w:ascii="Cambria" w:eastAsia="Times New Roman" w:hAnsi="Cambria" w:cstheme="minorHAnsi"/>
          <w:spacing w:val="3"/>
        </w:rPr>
        <w:t>e</w:t>
      </w:r>
      <w:r w:rsidRPr="009A0DA6">
        <w:rPr>
          <w:rFonts w:ascii="Cambria" w:eastAsia="Times New Roman" w:hAnsi="Cambria" w:cstheme="minorHAnsi"/>
        </w:rPr>
        <w:t>s</w:t>
      </w:r>
      <w:r w:rsidRPr="009A0DA6">
        <w:rPr>
          <w:rFonts w:ascii="Cambria" w:eastAsia="Times New Roman" w:hAnsi="Cambria" w:cstheme="minorHAnsi"/>
        </w:rPr>
        <w:tab/>
      </w:r>
      <w:r w:rsidRPr="009A0DA6">
        <w:rPr>
          <w:rFonts w:ascii="Cambria" w:eastAsia="Times New Roman" w:hAnsi="Cambria" w:cstheme="minorHAnsi"/>
        </w:rPr>
        <w:tab/>
      </w:r>
      <w:r w:rsidRPr="009A0DA6">
        <w:rPr>
          <w:rFonts w:ascii="Cambria" w:eastAsia="Times New Roman" w:hAnsi="Cambria" w:cstheme="minorHAnsi"/>
          <w:spacing w:val="1"/>
        </w:rPr>
        <w:t>206,</w:t>
      </w:r>
      <w:r w:rsidRPr="009A0DA6">
        <w:rPr>
          <w:rFonts w:ascii="Cambria" w:eastAsia="Times New Roman" w:hAnsi="Cambria" w:cstheme="minorHAnsi"/>
          <w:spacing w:val="-1"/>
        </w:rPr>
        <w:t>6</w:t>
      </w:r>
      <w:r w:rsidRPr="009A0DA6">
        <w:rPr>
          <w:rFonts w:ascii="Cambria" w:eastAsia="Times New Roman" w:hAnsi="Cambria" w:cstheme="minorHAnsi"/>
          <w:spacing w:val="1"/>
        </w:rPr>
        <w:t>5</w:t>
      </w:r>
      <w:r w:rsidRPr="009A0DA6">
        <w:rPr>
          <w:rFonts w:ascii="Cambria" w:eastAsia="Times New Roman" w:hAnsi="Cambria" w:cstheme="minorHAnsi"/>
        </w:rPr>
        <w:t>8</w:t>
      </w:r>
      <w:r w:rsidRPr="009A0DA6">
        <w:rPr>
          <w:rFonts w:ascii="Cambria" w:hAnsi="Cambria" w:cstheme="minorHAnsi"/>
        </w:rPr>
        <w:tab/>
      </w:r>
      <w:r w:rsidRPr="009A0DA6">
        <w:rPr>
          <w:rFonts w:ascii="Cambria" w:eastAsia="Times New Roman" w:hAnsi="Cambria" w:cstheme="minorHAnsi"/>
          <w:spacing w:val="1"/>
        </w:rPr>
        <w:t>93,2</w:t>
      </w:r>
      <w:r w:rsidRPr="009A0DA6">
        <w:rPr>
          <w:rFonts w:ascii="Cambria" w:eastAsia="Times New Roman" w:hAnsi="Cambria" w:cstheme="minorHAnsi"/>
          <w:spacing w:val="-1"/>
        </w:rPr>
        <w:t>4</w:t>
      </w:r>
      <w:r w:rsidRPr="009A0DA6">
        <w:rPr>
          <w:rFonts w:ascii="Cambria" w:eastAsia="Times New Roman" w:hAnsi="Cambria" w:cstheme="minorHAnsi"/>
        </w:rPr>
        <w:t>0</w:t>
      </w:r>
      <w:r w:rsidRPr="009A0DA6">
        <w:rPr>
          <w:rFonts w:ascii="Cambria" w:eastAsia="Times New Roman" w:hAnsi="Cambria" w:cstheme="minorHAnsi"/>
        </w:rPr>
        <w:tab/>
        <w:t>93,240</w:t>
      </w:r>
    </w:p>
    <w:p w14:paraId="795593E2"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eastAsia="Times New Roman" w:hAnsi="Cambria" w:cstheme="minorHAnsi"/>
          <w:b/>
        </w:rPr>
      </w:pPr>
      <w:r w:rsidRPr="009A0DA6">
        <w:rPr>
          <w:rFonts w:ascii="Cambria" w:eastAsia="Times New Roman" w:hAnsi="Cambria" w:cstheme="minorHAnsi"/>
          <w:b/>
          <w:spacing w:val="-1"/>
        </w:rPr>
        <w:t>T</w:t>
      </w:r>
      <w:r w:rsidRPr="009A0DA6">
        <w:rPr>
          <w:rFonts w:ascii="Cambria" w:eastAsia="Times New Roman" w:hAnsi="Cambria" w:cstheme="minorHAnsi"/>
          <w:b/>
          <w:spacing w:val="1"/>
        </w:rPr>
        <w:t>O</w:t>
      </w:r>
      <w:r w:rsidRPr="009A0DA6">
        <w:rPr>
          <w:rFonts w:ascii="Cambria" w:eastAsia="Times New Roman" w:hAnsi="Cambria" w:cstheme="minorHAnsi"/>
          <w:b/>
          <w:spacing w:val="-1"/>
        </w:rPr>
        <w:t>T</w:t>
      </w:r>
      <w:r w:rsidRPr="009A0DA6">
        <w:rPr>
          <w:rFonts w:ascii="Cambria" w:eastAsia="Times New Roman" w:hAnsi="Cambria" w:cstheme="minorHAnsi"/>
          <w:b/>
          <w:spacing w:val="3"/>
        </w:rPr>
        <w:t>A</w:t>
      </w:r>
      <w:r w:rsidRPr="009A0DA6">
        <w:rPr>
          <w:rFonts w:ascii="Cambria" w:eastAsia="Times New Roman" w:hAnsi="Cambria" w:cstheme="minorHAnsi"/>
          <w:b/>
        </w:rPr>
        <w:t>L</w:t>
      </w:r>
      <w:r w:rsidRPr="009A0DA6">
        <w:rPr>
          <w:rFonts w:ascii="Cambria" w:eastAsia="Times New Roman" w:hAnsi="Cambria" w:cstheme="minorHAnsi"/>
          <w:b/>
          <w:spacing w:val="38"/>
        </w:rPr>
        <w:t xml:space="preserve"> </w:t>
      </w:r>
      <w:r w:rsidRPr="009A0DA6">
        <w:rPr>
          <w:rFonts w:ascii="Cambria" w:eastAsia="Times New Roman" w:hAnsi="Cambria" w:cstheme="minorHAnsi"/>
          <w:b/>
        </w:rPr>
        <w:t>R</w:t>
      </w:r>
      <w:r w:rsidRPr="009A0DA6">
        <w:rPr>
          <w:rFonts w:ascii="Cambria" w:eastAsia="Times New Roman" w:hAnsi="Cambria" w:cstheme="minorHAnsi"/>
          <w:b/>
          <w:spacing w:val="2"/>
        </w:rPr>
        <w:t>E</w:t>
      </w:r>
      <w:r w:rsidRPr="009A0DA6">
        <w:rPr>
          <w:rFonts w:ascii="Cambria" w:eastAsia="Times New Roman" w:hAnsi="Cambria" w:cstheme="minorHAnsi"/>
          <w:b/>
        </w:rPr>
        <w:t>S</w:t>
      </w:r>
      <w:r w:rsidRPr="009A0DA6">
        <w:rPr>
          <w:rFonts w:ascii="Cambria" w:eastAsia="Times New Roman" w:hAnsi="Cambria" w:cstheme="minorHAnsi"/>
          <w:b/>
          <w:spacing w:val="2"/>
        </w:rPr>
        <w:t>E</w:t>
      </w:r>
      <w:r w:rsidRPr="009A0DA6">
        <w:rPr>
          <w:rFonts w:ascii="Cambria" w:eastAsia="Times New Roman" w:hAnsi="Cambria" w:cstheme="minorHAnsi"/>
          <w:b/>
        </w:rPr>
        <w:t>RV</w:t>
      </w:r>
      <w:r w:rsidRPr="009A0DA6">
        <w:rPr>
          <w:rFonts w:ascii="Cambria" w:eastAsia="Times New Roman" w:hAnsi="Cambria" w:cstheme="minorHAnsi"/>
          <w:b/>
          <w:spacing w:val="2"/>
        </w:rPr>
        <w:t>E</w:t>
      </w:r>
      <w:r w:rsidRPr="009A0DA6">
        <w:rPr>
          <w:rFonts w:ascii="Cambria" w:eastAsia="Times New Roman" w:hAnsi="Cambria" w:cstheme="minorHAnsi"/>
          <w:b/>
        </w:rPr>
        <w:t>S</w:t>
      </w:r>
      <w:r w:rsidRPr="009A0DA6">
        <w:rPr>
          <w:rFonts w:ascii="Cambria" w:eastAsia="Times New Roman" w:hAnsi="Cambria" w:cstheme="minorHAnsi"/>
          <w:b/>
          <w:spacing w:val="-6"/>
        </w:rPr>
        <w:t xml:space="preserve"> </w:t>
      </w:r>
      <w:r w:rsidRPr="009A0DA6">
        <w:rPr>
          <w:rFonts w:ascii="Cambria" w:eastAsia="Times New Roman" w:hAnsi="Cambria" w:cstheme="minorHAnsi"/>
          <w:b/>
        </w:rPr>
        <w:tab/>
      </w:r>
      <w:r w:rsidRPr="009A0DA6">
        <w:rPr>
          <w:rFonts w:ascii="Cambria" w:eastAsia="Times New Roman" w:hAnsi="Cambria" w:cstheme="minorHAnsi"/>
          <w:b/>
        </w:rPr>
        <w:tab/>
      </w:r>
      <w:r w:rsidRPr="009A0DA6">
        <w:rPr>
          <w:rFonts w:ascii="Cambria" w:eastAsia="Times New Roman" w:hAnsi="Cambria" w:cstheme="minorHAnsi"/>
          <w:b/>
          <w:spacing w:val="1"/>
          <w:w w:val="99"/>
        </w:rPr>
        <w:t>$</w:t>
      </w:r>
      <w:r w:rsidRPr="009A0DA6">
        <w:rPr>
          <w:rFonts w:ascii="Cambria" w:eastAsia="Times New Roman" w:hAnsi="Cambria" w:cstheme="minorHAnsi"/>
          <w:b/>
          <w:spacing w:val="1"/>
        </w:rPr>
        <w:t>9,9</w:t>
      </w:r>
      <w:r w:rsidRPr="009A0DA6">
        <w:rPr>
          <w:rFonts w:ascii="Cambria" w:eastAsia="Times New Roman" w:hAnsi="Cambria" w:cstheme="minorHAnsi"/>
          <w:b/>
          <w:spacing w:val="-1"/>
        </w:rPr>
        <w:t>8</w:t>
      </w:r>
      <w:r w:rsidRPr="009A0DA6">
        <w:rPr>
          <w:rFonts w:ascii="Cambria" w:eastAsia="Times New Roman" w:hAnsi="Cambria" w:cstheme="minorHAnsi"/>
          <w:b/>
          <w:spacing w:val="1"/>
        </w:rPr>
        <w:t>0,4</w:t>
      </w:r>
      <w:r w:rsidRPr="009A0DA6">
        <w:rPr>
          <w:rFonts w:ascii="Cambria" w:eastAsia="Times New Roman" w:hAnsi="Cambria" w:cstheme="minorHAnsi"/>
          <w:b/>
          <w:spacing w:val="-1"/>
        </w:rPr>
        <w:t>3</w:t>
      </w:r>
      <w:r w:rsidRPr="009A0DA6">
        <w:rPr>
          <w:rFonts w:ascii="Cambria" w:eastAsia="Times New Roman" w:hAnsi="Cambria" w:cstheme="minorHAnsi"/>
          <w:b/>
        </w:rPr>
        <w:t>4</w:t>
      </w:r>
      <w:r w:rsidRPr="009A0DA6">
        <w:rPr>
          <w:rFonts w:ascii="Cambria" w:eastAsia="Times New Roman" w:hAnsi="Cambria" w:cstheme="minorHAnsi"/>
          <w:b/>
          <w:spacing w:val="-42"/>
        </w:rPr>
        <w:t xml:space="preserve"> </w:t>
      </w:r>
      <w:r w:rsidRPr="009A0DA6">
        <w:rPr>
          <w:rFonts w:ascii="Cambria" w:eastAsia="Times New Roman" w:hAnsi="Cambria" w:cstheme="minorHAnsi"/>
          <w:b/>
          <w:spacing w:val="-42"/>
        </w:rPr>
        <w:tab/>
      </w:r>
      <w:r w:rsidRPr="009A0DA6">
        <w:rPr>
          <w:rFonts w:ascii="Cambria" w:eastAsia="Times New Roman" w:hAnsi="Cambria" w:cstheme="minorHAnsi"/>
          <w:b/>
        </w:rPr>
        <w:t>$</w:t>
      </w:r>
      <w:r w:rsidRPr="009A0DA6">
        <w:rPr>
          <w:rFonts w:ascii="Cambria" w:eastAsia="Times New Roman" w:hAnsi="Cambria" w:cstheme="minorHAnsi"/>
          <w:b/>
          <w:spacing w:val="1"/>
          <w:w w:val="99"/>
        </w:rPr>
        <w:t xml:space="preserve"> </w:t>
      </w:r>
      <w:r w:rsidRPr="009A0DA6">
        <w:rPr>
          <w:rFonts w:ascii="Cambria" w:eastAsia="Times New Roman" w:hAnsi="Cambria" w:cstheme="minorHAnsi"/>
          <w:b/>
          <w:spacing w:val="1"/>
        </w:rPr>
        <w:t>9,6</w:t>
      </w:r>
      <w:r w:rsidRPr="009A0DA6">
        <w:rPr>
          <w:rFonts w:ascii="Cambria" w:eastAsia="Times New Roman" w:hAnsi="Cambria" w:cstheme="minorHAnsi"/>
          <w:b/>
          <w:spacing w:val="-1"/>
        </w:rPr>
        <w:t>7</w:t>
      </w:r>
      <w:r w:rsidRPr="009A0DA6">
        <w:rPr>
          <w:rFonts w:ascii="Cambria" w:eastAsia="Times New Roman" w:hAnsi="Cambria" w:cstheme="minorHAnsi"/>
          <w:b/>
          <w:spacing w:val="1"/>
        </w:rPr>
        <w:t>9,1</w:t>
      </w:r>
      <w:r w:rsidRPr="009A0DA6">
        <w:rPr>
          <w:rFonts w:ascii="Cambria" w:eastAsia="Times New Roman" w:hAnsi="Cambria" w:cstheme="minorHAnsi"/>
          <w:b/>
          <w:spacing w:val="-1"/>
        </w:rPr>
        <w:t>0</w:t>
      </w:r>
      <w:r w:rsidRPr="009A0DA6">
        <w:rPr>
          <w:rFonts w:ascii="Cambria" w:eastAsia="Times New Roman" w:hAnsi="Cambria" w:cstheme="minorHAnsi"/>
          <w:b/>
        </w:rPr>
        <w:t>1</w:t>
      </w:r>
      <w:r w:rsidRPr="009A0DA6">
        <w:rPr>
          <w:rFonts w:ascii="Cambria" w:eastAsia="Times New Roman" w:hAnsi="Cambria" w:cstheme="minorHAnsi"/>
          <w:b/>
        </w:rPr>
        <w:tab/>
        <w:t>$9,260,010</w:t>
      </w:r>
    </w:p>
    <w:p w14:paraId="63173B7D" w14:textId="77777777" w:rsidR="00BA4592" w:rsidRPr="009A0DA6" w:rsidRDefault="00BA4592" w:rsidP="00BA4592">
      <w:pPr>
        <w:tabs>
          <w:tab w:val="center" w:pos="4394"/>
          <w:tab w:val="right" w:pos="6095"/>
          <w:tab w:val="right" w:pos="7371"/>
          <w:tab w:val="right" w:pos="8647"/>
        </w:tabs>
        <w:spacing w:before="120" w:after="120" w:line="240" w:lineRule="auto"/>
        <w:ind w:right="-51"/>
        <w:contextualSpacing/>
        <w:rPr>
          <w:rFonts w:ascii="Cambria" w:eastAsiaTheme="minorEastAsia" w:hAnsi="Cambria" w:cstheme="minorHAnsi"/>
        </w:rPr>
      </w:pPr>
    </w:p>
    <w:p w14:paraId="65AC9D62" w14:textId="77777777" w:rsidR="00206BF6" w:rsidRDefault="00206BF6">
      <w:pPr>
        <w:rPr>
          <w:rFonts w:ascii="Cambria" w:hAnsi="Cambria"/>
          <w:b/>
        </w:rPr>
      </w:pPr>
      <w:r>
        <w:rPr>
          <w:b/>
        </w:rPr>
        <w:br w:type="page"/>
      </w:r>
    </w:p>
    <w:p w14:paraId="0D5203F4" w14:textId="26C4C454" w:rsidR="00BA4592" w:rsidRPr="007408EE" w:rsidRDefault="00BA4592" w:rsidP="007408EE">
      <w:pPr>
        <w:pStyle w:val="NoSpacing"/>
        <w:rPr>
          <w:b/>
        </w:rPr>
      </w:pPr>
      <w:r w:rsidRPr="007408EE">
        <w:rPr>
          <w:b/>
        </w:rPr>
        <w:lastRenderedPageBreak/>
        <w:t>Note 13</w:t>
      </w:r>
      <w:r w:rsidR="00351A0F">
        <w:rPr>
          <w:b/>
        </w:rPr>
        <w:t>:</w:t>
      </w:r>
      <w:r w:rsidRPr="007408EE">
        <w:rPr>
          <w:b/>
        </w:rPr>
        <w:t xml:space="preserve"> Reconciliation of Cash Flows from Operations to Surplus</w:t>
      </w:r>
    </w:p>
    <w:p w14:paraId="1E6E5D71"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eastAsia="Times New Roman" w:hAnsi="Cambria" w:cstheme="minorHAnsi"/>
          <w:b/>
          <w:w w:val="99"/>
        </w:rPr>
      </w:pPr>
      <w:r w:rsidRPr="009A0DA6">
        <w:rPr>
          <w:rFonts w:ascii="Cambria" w:eastAsia="Times New Roman" w:hAnsi="Cambria" w:cstheme="minorHAnsi"/>
          <w:spacing w:val="1"/>
        </w:rPr>
        <w:t>(</w:t>
      </w:r>
      <w:r w:rsidRPr="009A0DA6">
        <w:rPr>
          <w:rFonts w:ascii="Cambria" w:eastAsia="Times New Roman" w:hAnsi="Cambria" w:cstheme="minorHAnsi"/>
        </w:rPr>
        <w:t>De</w:t>
      </w:r>
      <w:r w:rsidRPr="009A0DA6">
        <w:rPr>
          <w:rFonts w:ascii="Cambria" w:eastAsia="Times New Roman" w:hAnsi="Cambria" w:cstheme="minorHAnsi"/>
          <w:spacing w:val="-1"/>
        </w:rPr>
        <w:t>f</w:t>
      </w:r>
      <w:r w:rsidRPr="009A0DA6">
        <w:rPr>
          <w:rFonts w:ascii="Cambria" w:eastAsia="Times New Roman" w:hAnsi="Cambria" w:cstheme="minorHAnsi"/>
        </w:rPr>
        <w:t>icit)</w:t>
      </w:r>
      <w:r w:rsidRPr="009A0DA6">
        <w:rPr>
          <w:rFonts w:ascii="Cambria" w:eastAsia="Times New Roman" w:hAnsi="Cambria" w:cstheme="minorHAnsi"/>
          <w:spacing w:val="-6"/>
        </w:rPr>
        <w:t xml:space="preserve"> </w:t>
      </w:r>
      <w:r w:rsidRPr="009A0DA6">
        <w:rPr>
          <w:rFonts w:ascii="Cambria" w:eastAsia="Times New Roman" w:hAnsi="Cambria" w:cstheme="minorHAnsi"/>
          <w:spacing w:val="2"/>
        </w:rPr>
        <w:t>S</w:t>
      </w:r>
      <w:r w:rsidRPr="009A0DA6">
        <w:rPr>
          <w:rFonts w:ascii="Cambria" w:eastAsia="Times New Roman" w:hAnsi="Cambria" w:cstheme="minorHAnsi"/>
          <w:spacing w:val="-1"/>
        </w:rPr>
        <w:t>u</w:t>
      </w:r>
      <w:r w:rsidRPr="009A0DA6">
        <w:rPr>
          <w:rFonts w:ascii="Cambria" w:eastAsia="Times New Roman" w:hAnsi="Cambria" w:cstheme="minorHAnsi"/>
          <w:spacing w:val="1"/>
        </w:rPr>
        <w:t>rp</w:t>
      </w:r>
      <w:r w:rsidRPr="009A0DA6">
        <w:rPr>
          <w:rFonts w:ascii="Cambria" w:eastAsia="Times New Roman" w:hAnsi="Cambria" w:cstheme="minorHAnsi"/>
        </w:rPr>
        <w:t>l</w:t>
      </w:r>
      <w:r w:rsidRPr="009A0DA6">
        <w:rPr>
          <w:rFonts w:ascii="Cambria" w:eastAsia="Times New Roman" w:hAnsi="Cambria" w:cstheme="minorHAnsi"/>
          <w:spacing w:val="-1"/>
        </w:rPr>
        <w:t>u</w:t>
      </w:r>
      <w:r w:rsidRPr="009A0DA6">
        <w:rPr>
          <w:rFonts w:ascii="Cambria" w:eastAsia="Times New Roman" w:hAnsi="Cambria" w:cstheme="minorHAnsi"/>
        </w:rPr>
        <w:t>s</w:t>
      </w:r>
      <w:r w:rsidRPr="009A0DA6">
        <w:rPr>
          <w:rFonts w:ascii="Cambria" w:eastAsia="Times New Roman" w:hAnsi="Cambria" w:cstheme="minorHAnsi"/>
          <w:spacing w:val="-4"/>
        </w:rPr>
        <w:t xml:space="preserve"> </w:t>
      </w:r>
      <w:r w:rsidRPr="009A0DA6">
        <w:rPr>
          <w:rFonts w:ascii="Cambria" w:eastAsia="Times New Roman" w:hAnsi="Cambria" w:cstheme="minorHAnsi"/>
          <w:spacing w:val="-1"/>
        </w:rPr>
        <w:t>f</w:t>
      </w:r>
      <w:r w:rsidRPr="009A0DA6">
        <w:rPr>
          <w:rFonts w:ascii="Cambria" w:eastAsia="Times New Roman" w:hAnsi="Cambria" w:cstheme="minorHAnsi"/>
          <w:spacing w:val="1"/>
        </w:rPr>
        <w:t>r</w:t>
      </w:r>
      <w:r w:rsidRPr="009A0DA6">
        <w:rPr>
          <w:rFonts w:ascii="Cambria" w:eastAsia="Times New Roman" w:hAnsi="Cambria" w:cstheme="minorHAnsi"/>
          <w:spacing w:val="4"/>
        </w:rPr>
        <w:t>o</w:t>
      </w:r>
      <w:r w:rsidRPr="009A0DA6">
        <w:rPr>
          <w:rFonts w:ascii="Cambria" w:eastAsia="Times New Roman" w:hAnsi="Cambria" w:cstheme="minorHAnsi"/>
        </w:rPr>
        <w:t>m</w:t>
      </w:r>
      <w:r w:rsidRPr="009A0DA6">
        <w:rPr>
          <w:rFonts w:ascii="Cambria" w:eastAsia="Times New Roman" w:hAnsi="Cambria" w:cstheme="minorHAnsi"/>
          <w:spacing w:val="-7"/>
        </w:rPr>
        <w:t xml:space="preserve"> </w:t>
      </w:r>
      <w:r w:rsidRPr="009A0DA6">
        <w:rPr>
          <w:rFonts w:ascii="Cambria" w:eastAsia="Times New Roman" w:hAnsi="Cambria" w:cstheme="minorHAnsi"/>
          <w:spacing w:val="1"/>
        </w:rPr>
        <w:t>op</w:t>
      </w:r>
      <w:r w:rsidRPr="009A0DA6">
        <w:rPr>
          <w:rFonts w:ascii="Cambria" w:eastAsia="Times New Roman" w:hAnsi="Cambria" w:cstheme="minorHAnsi"/>
        </w:rPr>
        <w:t>e</w:t>
      </w:r>
      <w:r w:rsidRPr="009A0DA6">
        <w:rPr>
          <w:rFonts w:ascii="Cambria" w:eastAsia="Times New Roman" w:hAnsi="Cambria" w:cstheme="minorHAnsi"/>
          <w:spacing w:val="1"/>
        </w:rPr>
        <w:t>r</w:t>
      </w:r>
      <w:r w:rsidRPr="009A0DA6">
        <w:rPr>
          <w:rFonts w:ascii="Cambria" w:eastAsia="Times New Roman" w:hAnsi="Cambria" w:cstheme="minorHAnsi"/>
        </w:rPr>
        <w:t>ati</w:t>
      </w:r>
      <w:r w:rsidRPr="009A0DA6">
        <w:rPr>
          <w:rFonts w:ascii="Cambria" w:eastAsia="Times New Roman" w:hAnsi="Cambria" w:cstheme="minorHAnsi"/>
          <w:spacing w:val="1"/>
        </w:rPr>
        <w:t>o</w:t>
      </w:r>
      <w:r w:rsidRPr="009A0DA6">
        <w:rPr>
          <w:rFonts w:ascii="Cambria" w:eastAsia="Times New Roman" w:hAnsi="Cambria" w:cstheme="minorHAnsi"/>
          <w:spacing w:val="-1"/>
        </w:rPr>
        <w:t>n</w:t>
      </w:r>
      <w:r w:rsidRPr="009A0DA6">
        <w:rPr>
          <w:rFonts w:ascii="Cambria" w:eastAsia="Times New Roman" w:hAnsi="Cambria" w:cstheme="minorHAnsi"/>
        </w:rPr>
        <w:t>s</w:t>
      </w:r>
      <w:r w:rsidRPr="009A0DA6">
        <w:rPr>
          <w:rFonts w:ascii="Cambria" w:eastAsia="Times New Roman" w:hAnsi="Cambria" w:cstheme="minorHAnsi"/>
        </w:rPr>
        <w:tab/>
      </w:r>
      <w:r w:rsidRPr="009A0DA6">
        <w:rPr>
          <w:rFonts w:ascii="Cambria" w:eastAsia="Times New Roman" w:hAnsi="Cambria" w:cstheme="minorHAnsi"/>
        </w:rPr>
        <w:tab/>
      </w:r>
      <w:r w:rsidRPr="009A0DA6">
        <w:rPr>
          <w:rFonts w:ascii="Cambria" w:eastAsia="Times New Roman" w:hAnsi="Cambria" w:cstheme="minorHAnsi"/>
          <w:spacing w:val="1"/>
        </w:rPr>
        <w:t>(187</w:t>
      </w:r>
      <w:r w:rsidRPr="009A0DA6">
        <w:rPr>
          <w:rFonts w:ascii="Cambria" w:eastAsia="Times New Roman" w:hAnsi="Cambria" w:cstheme="minorHAnsi"/>
          <w:spacing w:val="-2"/>
        </w:rPr>
        <w:t>,</w:t>
      </w:r>
      <w:r w:rsidRPr="009A0DA6">
        <w:rPr>
          <w:rFonts w:ascii="Cambria" w:eastAsia="Times New Roman" w:hAnsi="Cambria" w:cstheme="minorHAnsi"/>
          <w:spacing w:val="1"/>
        </w:rPr>
        <w:t>88</w:t>
      </w:r>
      <w:r w:rsidRPr="009A0DA6">
        <w:rPr>
          <w:rFonts w:ascii="Cambria" w:eastAsia="Times New Roman" w:hAnsi="Cambria" w:cstheme="minorHAnsi"/>
          <w:spacing w:val="-1"/>
        </w:rPr>
        <w:t>7</w:t>
      </w:r>
      <w:r w:rsidRPr="009A0DA6">
        <w:rPr>
          <w:rFonts w:ascii="Cambria" w:eastAsia="Times New Roman" w:hAnsi="Cambria" w:cstheme="minorHAnsi"/>
        </w:rPr>
        <w:t>)</w:t>
      </w:r>
      <w:r w:rsidRPr="009A0DA6">
        <w:rPr>
          <w:rFonts w:ascii="Cambria" w:eastAsia="Times New Roman" w:hAnsi="Cambria" w:cstheme="minorHAnsi"/>
        </w:rPr>
        <w:tab/>
      </w:r>
      <w:r w:rsidRPr="009A0DA6">
        <w:rPr>
          <w:rFonts w:ascii="Cambria" w:eastAsia="Times New Roman" w:hAnsi="Cambria" w:cstheme="minorHAnsi"/>
          <w:spacing w:val="1"/>
        </w:rPr>
        <w:t>1,67</w:t>
      </w:r>
      <w:r w:rsidRPr="009A0DA6">
        <w:rPr>
          <w:rFonts w:ascii="Cambria" w:eastAsia="Times New Roman" w:hAnsi="Cambria" w:cstheme="minorHAnsi"/>
          <w:spacing w:val="-1"/>
        </w:rPr>
        <w:t>1</w:t>
      </w:r>
      <w:r w:rsidRPr="009A0DA6">
        <w:rPr>
          <w:rFonts w:ascii="Cambria" w:eastAsia="Times New Roman" w:hAnsi="Cambria" w:cstheme="minorHAnsi"/>
          <w:spacing w:val="1"/>
        </w:rPr>
        <w:t>,3</w:t>
      </w:r>
      <w:r w:rsidRPr="009A0DA6">
        <w:rPr>
          <w:rFonts w:ascii="Cambria" w:eastAsia="Times New Roman" w:hAnsi="Cambria" w:cstheme="minorHAnsi"/>
          <w:spacing w:val="-1"/>
        </w:rPr>
        <w:t>1</w:t>
      </w:r>
      <w:r w:rsidRPr="009A0DA6">
        <w:rPr>
          <w:rFonts w:ascii="Cambria" w:eastAsia="Times New Roman" w:hAnsi="Cambria" w:cstheme="minorHAnsi"/>
        </w:rPr>
        <w:t>3</w:t>
      </w:r>
      <w:r w:rsidRPr="009A0DA6">
        <w:rPr>
          <w:rFonts w:ascii="Cambria" w:eastAsia="Times New Roman" w:hAnsi="Cambria" w:cstheme="minorHAnsi"/>
        </w:rPr>
        <w:tab/>
        <w:t>(71,533)</w:t>
      </w:r>
    </w:p>
    <w:p w14:paraId="0B037B91"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eastAsia="Times New Roman" w:hAnsi="Cambria" w:cstheme="minorHAnsi"/>
          <w:b/>
          <w:w w:val="99"/>
        </w:rPr>
      </w:pPr>
      <w:r w:rsidRPr="009A0DA6">
        <w:rPr>
          <w:rFonts w:ascii="Cambria" w:eastAsia="Times New Roman" w:hAnsi="Cambria" w:cstheme="minorHAnsi"/>
        </w:rPr>
        <w:t>N</w:t>
      </w:r>
      <w:r w:rsidRPr="009A0DA6">
        <w:rPr>
          <w:rFonts w:ascii="Cambria" w:eastAsia="Times New Roman" w:hAnsi="Cambria" w:cstheme="minorHAnsi"/>
          <w:spacing w:val="1"/>
        </w:rPr>
        <w:t>o</w:t>
      </w:r>
      <w:r w:rsidRPr="009A0DA6">
        <w:rPr>
          <w:rFonts w:ascii="Cambria" w:eastAsia="Times New Roman" w:hAnsi="Cambria" w:cstheme="minorHAnsi"/>
          <w:spacing w:val="-1"/>
        </w:rPr>
        <w:t>n-</w:t>
      </w:r>
      <w:r w:rsidRPr="009A0DA6">
        <w:rPr>
          <w:rFonts w:ascii="Cambria" w:eastAsia="Times New Roman" w:hAnsi="Cambria" w:cstheme="minorHAnsi"/>
        </w:rPr>
        <w:t>c</w:t>
      </w:r>
      <w:r w:rsidRPr="009A0DA6">
        <w:rPr>
          <w:rFonts w:ascii="Cambria" w:eastAsia="Times New Roman" w:hAnsi="Cambria" w:cstheme="minorHAnsi"/>
          <w:spacing w:val="3"/>
        </w:rPr>
        <w:t>a</w:t>
      </w:r>
      <w:r w:rsidRPr="009A0DA6">
        <w:rPr>
          <w:rFonts w:ascii="Cambria" w:eastAsia="Times New Roman" w:hAnsi="Cambria" w:cstheme="minorHAnsi"/>
          <w:spacing w:val="-1"/>
        </w:rPr>
        <w:t>s</w:t>
      </w:r>
      <w:r w:rsidRPr="009A0DA6">
        <w:rPr>
          <w:rFonts w:ascii="Cambria" w:eastAsia="Times New Roman" w:hAnsi="Cambria" w:cstheme="minorHAnsi"/>
        </w:rPr>
        <w:t>h</w:t>
      </w:r>
      <w:r w:rsidRPr="009A0DA6">
        <w:rPr>
          <w:rFonts w:ascii="Cambria" w:eastAsia="Times New Roman" w:hAnsi="Cambria" w:cstheme="minorHAnsi"/>
          <w:spacing w:val="-6"/>
        </w:rPr>
        <w:t xml:space="preserve"> </w:t>
      </w:r>
      <w:r w:rsidRPr="009A0DA6">
        <w:rPr>
          <w:rFonts w:ascii="Cambria" w:eastAsia="Times New Roman" w:hAnsi="Cambria" w:cstheme="minorHAnsi"/>
          <w:spacing w:val="-1"/>
        </w:rPr>
        <w:t>f</w:t>
      </w:r>
      <w:r w:rsidRPr="009A0DA6">
        <w:rPr>
          <w:rFonts w:ascii="Cambria" w:eastAsia="Times New Roman" w:hAnsi="Cambria" w:cstheme="minorHAnsi"/>
        </w:rPr>
        <w:t>l</w:t>
      </w:r>
      <w:r w:rsidRPr="009A0DA6">
        <w:rPr>
          <w:rFonts w:ascii="Cambria" w:eastAsia="Times New Roman" w:hAnsi="Cambria" w:cstheme="minorHAnsi"/>
          <w:spacing w:val="4"/>
        </w:rPr>
        <w:t>o</w:t>
      </w:r>
      <w:r w:rsidRPr="009A0DA6">
        <w:rPr>
          <w:rFonts w:ascii="Cambria" w:eastAsia="Times New Roman" w:hAnsi="Cambria" w:cstheme="minorHAnsi"/>
          <w:spacing w:val="-2"/>
        </w:rPr>
        <w:t>w</w:t>
      </w:r>
      <w:r w:rsidRPr="009A0DA6">
        <w:rPr>
          <w:rFonts w:ascii="Cambria" w:eastAsia="Times New Roman" w:hAnsi="Cambria" w:cstheme="minorHAnsi"/>
        </w:rPr>
        <w:t>s</w:t>
      </w:r>
      <w:r w:rsidRPr="009A0DA6">
        <w:rPr>
          <w:rFonts w:ascii="Cambria" w:eastAsia="Times New Roman" w:hAnsi="Cambria" w:cstheme="minorHAnsi"/>
          <w:spacing w:val="-4"/>
        </w:rPr>
        <w:t xml:space="preserve"> </w:t>
      </w:r>
      <w:r w:rsidRPr="009A0DA6">
        <w:rPr>
          <w:rFonts w:ascii="Cambria" w:eastAsia="Times New Roman" w:hAnsi="Cambria" w:cstheme="minorHAnsi"/>
          <w:spacing w:val="2"/>
        </w:rPr>
        <w:t>i</w:t>
      </w:r>
      <w:r w:rsidRPr="009A0DA6">
        <w:rPr>
          <w:rFonts w:ascii="Cambria" w:eastAsia="Times New Roman" w:hAnsi="Cambria" w:cstheme="minorHAnsi"/>
        </w:rPr>
        <w:t>n</w:t>
      </w:r>
      <w:r w:rsidRPr="009A0DA6">
        <w:rPr>
          <w:rFonts w:ascii="Cambria" w:eastAsia="Times New Roman" w:hAnsi="Cambria" w:cstheme="minorHAnsi"/>
          <w:spacing w:val="-3"/>
        </w:rPr>
        <w:t xml:space="preserve"> </w:t>
      </w:r>
      <w:r w:rsidRPr="009A0DA6">
        <w:rPr>
          <w:rFonts w:ascii="Cambria" w:eastAsia="Times New Roman" w:hAnsi="Cambria" w:cstheme="minorHAnsi"/>
          <w:spacing w:val="2"/>
        </w:rPr>
        <w:t>s</w:t>
      </w:r>
      <w:r w:rsidRPr="009A0DA6">
        <w:rPr>
          <w:rFonts w:ascii="Cambria" w:eastAsia="Times New Roman" w:hAnsi="Cambria" w:cstheme="minorHAnsi"/>
          <w:spacing w:val="-1"/>
        </w:rPr>
        <w:t>u</w:t>
      </w:r>
      <w:r w:rsidRPr="009A0DA6">
        <w:rPr>
          <w:rFonts w:ascii="Cambria" w:eastAsia="Times New Roman" w:hAnsi="Cambria" w:cstheme="minorHAnsi"/>
          <w:spacing w:val="1"/>
        </w:rPr>
        <w:t>rp</w:t>
      </w:r>
      <w:r w:rsidRPr="009A0DA6">
        <w:rPr>
          <w:rFonts w:ascii="Cambria" w:eastAsia="Times New Roman" w:hAnsi="Cambria" w:cstheme="minorHAnsi"/>
        </w:rPr>
        <w:t>l</w:t>
      </w:r>
      <w:r w:rsidRPr="009A0DA6">
        <w:rPr>
          <w:rFonts w:ascii="Cambria" w:eastAsia="Times New Roman" w:hAnsi="Cambria" w:cstheme="minorHAnsi"/>
          <w:spacing w:val="1"/>
        </w:rPr>
        <w:t>u</w:t>
      </w:r>
      <w:r w:rsidRPr="009A0DA6">
        <w:rPr>
          <w:rFonts w:ascii="Cambria" w:eastAsia="Times New Roman" w:hAnsi="Cambria" w:cstheme="minorHAnsi"/>
        </w:rPr>
        <w:t>s</w:t>
      </w:r>
    </w:p>
    <w:p w14:paraId="1FA8100B" w14:textId="77777777" w:rsidR="00BA4592" w:rsidRPr="009A0DA6" w:rsidRDefault="00BA4592" w:rsidP="00F55252">
      <w:pPr>
        <w:pStyle w:val="ListParagraph"/>
        <w:widowControl w:val="0"/>
        <w:numPr>
          <w:ilvl w:val="0"/>
          <w:numId w:val="275"/>
        </w:numPr>
        <w:tabs>
          <w:tab w:val="center" w:pos="4394"/>
          <w:tab w:val="right" w:pos="6095"/>
          <w:tab w:val="right" w:pos="7371"/>
          <w:tab w:val="right" w:pos="8647"/>
        </w:tabs>
        <w:spacing w:before="120" w:after="120" w:line="240" w:lineRule="auto"/>
        <w:ind w:left="426" w:right="-331"/>
        <w:rPr>
          <w:rFonts w:ascii="Cambria" w:eastAsia="Times New Roman" w:hAnsi="Cambria" w:cstheme="minorHAnsi"/>
          <w:b/>
          <w:w w:val="99"/>
        </w:rPr>
      </w:pPr>
      <w:r w:rsidRPr="009A0DA6">
        <w:rPr>
          <w:rFonts w:ascii="Cambria" w:eastAsia="Times New Roman" w:hAnsi="Cambria" w:cstheme="minorHAnsi"/>
        </w:rPr>
        <w:t>De</w:t>
      </w:r>
      <w:r w:rsidRPr="009A0DA6">
        <w:rPr>
          <w:rFonts w:ascii="Cambria" w:eastAsia="Times New Roman" w:hAnsi="Cambria" w:cstheme="minorHAnsi"/>
          <w:spacing w:val="1"/>
        </w:rPr>
        <w:t>pr</w:t>
      </w:r>
      <w:r w:rsidRPr="009A0DA6">
        <w:rPr>
          <w:rFonts w:ascii="Cambria" w:eastAsia="Times New Roman" w:hAnsi="Cambria" w:cstheme="minorHAnsi"/>
        </w:rPr>
        <w:t>eciati</w:t>
      </w:r>
      <w:r w:rsidRPr="009A0DA6">
        <w:rPr>
          <w:rFonts w:ascii="Cambria" w:eastAsia="Times New Roman" w:hAnsi="Cambria" w:cstheme="minorHAnsi"/>
          <w:spacing w:val="1"/>
        </w:rPr>
        <w:t>o</w:t>
      </w:r>
      <w:r w:rsidRPr="009A0DA6">
        <w:rPr>
          <w:rFonts w:ascii="Cambria" w:eastAsia="Times New Roman" w:hAnsi="Cambria" w:cstheme="minorHAnsi"/>
        </w:rPr>
        <w:t>n</w:t>
      </w:r>
      <w:r w:rsidRPr="009A0DA6">
        <w:rPr>
          <w:rFonts w:ascii="Cambria" w:eastAsia="Times New Roman" w:hAnsi="Cambria" w:cstheme="minorHAnsi"/>
        </w:rPr>
        <w:tab/>
      </w:r>
      <w:r w:rsidRPr="009A0DA6">
        <w:rPr>
          <w:rFonts w:ascii="Cambria" w:eastAsia="Times New Roman" w:hAnsi="Cambria" w:cstheme="minorHAnsi"/>
        </w:rPr>
        <w:tab/>
      </w:r>
      <w:r w:rsidRPr="009A0DA6">
        <w:rPr>
          <w:rFonts w:ascii="Cambria" w:eastAsia="Times New Roman" w:hAnsi="Cambria" w:cstheme="minorHAnsi"/>
          <w:spacing w:val="1"/>
        </w:rPr>
        <w:t>100,</w:t>
      </w:r>
      <w:r w:rsidRPr="009A0DA6">
        <w:rPr>
          <w:rFonts w:ascii="Cambria" w:eastAsia="Times New Roman" w:hAnsi="Cambria" w:cstheme="minorHAnsi"/>
          <w:spacing w:val="-1"/>
        </w:rPr>
        <w:t>5</w:t>
      </w:r>
      <w:r w:rsidRPr="009A0DA6">
        <w:rPr>
          <w:rFonts w:ascii="Cambria" w:eastAsia="Times New Roman" w:hAnsi="Cambria" w:cstheme="minorHAnsi"/>
          <w:spacing w:val="1"/>
        </w:rPr>
        <w:t>6</w:t>
      </w:r>
      <w:r w:rsidRPr="009A0DA6">
        <w:rPr>
          <w:rFonts w:ascii="Cambria" w:eastAsia="Times New Roman" w:hAnsi="Cambria" w:cstheme="minorHAnsi"/>
        </w:rPr>
        <w:t>4</w:t>
      </w:r>
      <w:r w:rsidRPr="009A0DA6">
        <w:rPr>
          <w:rFonts w:ascii="Cambria" w:eastAsia="Times New Roman" w:hAnsi="Cambria" w:cstheme="minorHAnsi"/>
        </w:rPr>
        <w:tab/>
      </w:r>
      <w:r w:rsidRPr="009A0DA6">
        <w:rPr>
          <w:rFonts w:ascii="Cambria" w:eastAsia="Times New Roman" w:hAnsi="Cambria" w:cstheme="minorHAnsi"/>
          <w:spacing w:val="1"/>
        </w:rPr>
        <w:t>105,</w:t>
      </w:r>
      <w:r w:rsidRPr="009A0DA6">
        <w:rPr>
          <w:rFonts w:ascii="Cambria" w:eastAsia="Times New Roman" w:hAnsi="Cambria" w:cstheme="minorHAnsi"/>
          <w:spacing w:val="-1"/>
        </w:rPr>
        <w:t>7</w:t>
      </w:r>
      <w:r w:rsidRPr="009A0DA6">
        <w:rPr>
          <w:rFonts w:ascii="Cambria" w:eastAsia="Times New Roman" w:hAnsi="Cambria" w:cstheme="minorHAnsi"/>
          <w:spacing w:val="1"/>
        </w:rPr>
        <w:t>4</w:t>
      </w:r>
      <w:r w:rsidRPr="009A0DA6">
        <w:rPr>
          <w:rFonts w:ascii="Cambria" w:eastAsia="Times New Roman" w:hAnsi="Cambria" w:cstheme="minorHAnsi"/>
        </w:rPr>
        <w:t>2</w:t>
      </w:r>
      <w:r w:rsidRPr="009A0DA6">
        <w:rPr>
          <w:rFonts w:ascii="Cambria" w:eastAsia="Times New Roman" w:hAnsi="Cambria" w:cstheme="minorHAnsi"/>
        </w:rPr>
        <w:tab/>
        <w:t>40,218</w:t>
      </w:r>
    </w:p>
    <w:p w14:paraId="0D7C297A" w14:textId="77777777" w:rsidR="00BA4592" w:rsidRPr="009A0DA6" w:rsidRDefault="00BA4592" w:rsidP="00BA4592">
      <w:pPr>
        <w:tabs>
          <w:tab w:val="center" w:pos="4394"/>
          <w:tab w:val="right" w:pos="6095"/>
          <w:tab w:val="right" w:pos="7371"/>
          <w:tab w:val="right" w:pos="8647"/>
        </w:tabs>
        <w:spacing w:before="120" w:after="120" w:line="240" w:lineRule="auto"/>
        <w:ind w:right="-331"/>
        <w:contextualSpacing/>
        <w:rPr>
          <w:rFonts w:ascii="Cambria" w:eastAsia="Times New Roman" w:hAnsi="Cambria" w:cstheme="minorHAnsi"/>
        </w:rPr>
      </w:pPr>
      <w:r w:rsidRPr="009A0DA6">
        <w:rPr>
          <w:rFonts w:ascii="Cambria" w:eastAsia="Times New Roman" w:hAnsi="Cambria" w:cstheme="minorHAnsi"/>
          <w:spacing w:val="-1"/>
        </w:rPr>
        <w:t>Ch</w:t>
      </w:r>
      <w:r w:rsidRPr="009A0DA6">
        <w:rPr>
          <w:rFonts w:ascii="Cambria" w:eastAsia="Times New Roman" w:hAnsi="Cambria" w:cstheme="minorHAnsi"/>
          <w:spacing w:val="3"/>
        </w:rPr>
        <w:t>a</w:t>
      </w:r>
      <w:r w:rsidRPr="009A0DA6">
        <w:rPr>
          <w:rFonts w:ascii="Cambria" w:eastAsia="Times New Roman" w:hAnsi="Cambria" w:cstheme="minorHAnsi"/>
          <w:spacing w:val="1"/>
        </w:rPr>
        <w:t>n</w:t>
      </w:r>
      <w:r w:rsidRPr="009A0DA6">
        <w:rPr>
          <w:rFonts w:ascii="Cambria" w:eastAsia="Times New Roman" w:hAnsi="Cambria" w:cstheme="minorHAnsi"/>
          <w:spacing w:val="-1"/>
        </w:rPr>
        <w:t>g</w:t>
      </w:r>
      <w:r w:rsidRPr="009A0DA6">
        <w:rPr>
          <w:rFonts w:ascii="Cambria" w:eastAsia="Times New Roman" w:hAnsi="Cambria" w:cstheme="minorHAnsi"/>
        </w:rPr>
        <w:t>es</w:t>
      </w:r>
      <w:r w:rsidRPr="009A0DA6">
        <w:rPr>
          <w:rFonts w:ascii="Cambria" w:eastAsia="Times New Roman" w:hAnsi="Cambria" w:cstheme="minorHAnsi"/>
          <w:spacing w:val="-7"/>
        </w:rPr>
        <w:t xml:space="preserve"> </w:t>
      </w:r>
      <w:r w:rsidRPr="009A0DA6">
        <w:rPr>
          <w:rFonts w:ascii="Cambria" w:eastAsia="Times New Roman" w:hAnsi="Cambria" w:cstheme="minorHAnsi"/>
          <w:spacing w:val="2"/>
        </w:rPr>
        <w:t>i</w:t>
      </w:r>
      <w:r w:rsidRPr="009A0DA6">
        <w:rPr>
          <w:rFonts w:ascii="Cambria" w:eastAsia="Times New Roman" w:hAnsi="Cambria" w:cstheme="minorHAnsi"/>
        </w:rPr>
        <w:t>n</w:t>
      </w:r>
      <w:r w:rsidRPr="009A0DA6">
        <w:rPr>
          <w:rFonts w:ascii="Cambria" w:eastAsia="Times New Roman" w:hAnsi="Cambria" w:cstheme="minorHAnsi"/>
          <w:spacing w:val="-3"/>
        </w:rPr>
        <w:t xml:space="preserve"> </w:t>
      </w:r>
      <w:r w:rsidRPr="009A0DA6">
        <w:rPr>
          <w:rFonts w:ascii="Cambria" w:eastAsia="Times New Roman" w:hAnsi="Cambria" w:cstheme="minorHAnsi"/>
        </w:rPr>
        <w:t>a</w:t>
      </w:r>
      <w:r w:rsidRPr="009A0DA6">
        <w:rPr>
          <w:rFonts w:ascii="Cambria" w:eastAsia="Times New Roman" w:hAnsi="Cambria" w:cstheme="minorHAnsi"/>
          <w:spacing w:val="-1"/>
        </w:rPr>
        <w:t>ss</w:t>
      </w:r>
      <w:r w:rsidRPr="009A0DA6">
        <w:rPr>
          <w:rFonts w:ascii="Cambria" w:eastAsia="Times New Roman" w:hAnsi="Cambria" w:cstheme="minorHAnsi"/>
          <w:spacing w:val="3"/>
        </w:rPr>
        <w:t>e</w:t>
      </w:r>
      <w:r w:rsidRPr="009A0DA6">
        <w:rPr>
          <w:rFonts w:ascii="Cambria" w:eastAsia="Times New Roman" w:hAnsi="Cambria" w:cstheme="minorHAnsi"/>
        </w:rPr>
        <w:t>ts</w:t>
      </w:r>
      <w:r w:rsidRPr="009A0DA6">
        <w:rPr>
          <w:rFonts w:ascii="Cambria" w:eastAsia="Times New Roman" w:hAnsi="Cambria" w:cstheme="minorHAnsi"/>
          <w:spacing w:val="-5"/>
        </w:rPr>
        <w:t xml:space="preserve"> </w:t>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spacing w:val="-1"/>
        </w:rPr>
        <w:t xml:space="preserve"> </w:t>
      </w:r>
      <w:r w:rsidRPr="009A0DA6">
        <w:rPr>
          <w:rFonts w:ascii="Cambria" w:eastAsia="Times New Roman" w:hAnsi="Cambria" w:cstheme="minorHAnsi"/>
        </w:rPr>
        <w:t>lia</w:t>
      </w:r>
      <w:r w:rsidRPr="009A0DA6">
        <w:rPr>
          <w:rFonts w:ascii="Cambria" w:eastAsia="Times New Roman" w:hAnsi="Cambria" w:cstheme="minorHAnsi"/>
          <w:spacing w:val="1"/>
        </w:rPr>
        <w:t>b</w:t>
      </w:r>
      <w:r w:rsidRPr="009A0DA6">
        <w:rPr>
          <w:rFonts w:ascii="Cambria" w:eastAsia="Times New Roman" w:hAnsi="Cambria" w:cstheme="minorHAnsi"/>
        </w:rPr>
        <w:t>il</w:t>
      </w:r>
      <w:r w:rsidRPr="009A0DA6">
        <w:rPr>
          <w:rFonts w:ascii="Cambria" w:eastAsia="Times New Roman" w:hAnsi="Cambria" w:cstheme="minorHAnsi"/>
          <w:spacing w:val="2"/>
        </w:rPr>
        <w:t>i</w:t>
      </w:r>
      <w:r w:rsidRPr="009A0DA6">
        <w:rPr>
          <w:rFonts w:ascii="Cambria" w:eastAsia="Times New Roman" w:hAnsi="Cambria" w:cstheme="minorHAnsi"/>
        </w:rPr>
        <w:t>t</w:t>
      </w:r>
      <w:r w:rsidRPr="009A0DA6">
        <w:rPr>
          <w:rFonts w:ascii="Cambria" w:eastAsia="Times New Roman" w:hAnsi="Cambria" w:cstheme="minorHAnsi"/>
          <w:spacing w:val="2"/>
        </w:rPr>
        <w:t>i</w:t>
      </w:r>
      <w:r w:rsidRPr="009A0DA6">
        <w:rPr>
          <w:rFonts w:ascii="Cambria" w:eastAsia="Times New Roman" w:hAnsi="Cambria" w:cstheme="minorHAnsi"/>
        </w:rPr>
        <w:t>es</w:t>
      </w:r>
    </w:p>
    <w:p w14:paraId="6F4FD8A0" w14:textId="77777777" w:rsidR="00BA4592" w:rsidRPr="009A0DA6" w:rsidRDefault="00BA4592" w:rsidP="00F55252">
      <w:pPr>
        <w:pStyle w:val="ListParagraph"/>
        <w:widowControl w:val="0"/>
        <w:numPr>
          <w:ilvl w:val="0"/>
          <w:numId w:val="275"/>
        </w:numPr>
        <w:tabs>
          <w:tab w:val="center" w:pos="4394"/>
          <w:tab w:val="right" w:pos="6095"/>
          <w:tab w:val="right" w:pos="7371"/>
          <w:tab w:val="right" w:pos="8647"/>
        </w:tabs>
        <w:spacing w:before="120" w:after="120" w:line="240" w:lineRule="auto"/>
        <w:ind w:left="426" w:right="-331"/>
        <w:rPr>
          <w:rFonts w:ascii="Cambria" w:eastAsia="Times New Roman" w:hAnsi="Cambria" w:cstheme="minorHAnsi"/>
        </w:rPr>
      </w:pPr>
      <w:r w:rsidRPr="009A0DA6">
        <w:rPr>
          <w:rFonts w:ascii="Cambria" w:eastAsia="Times New Roman" w:hAnsi="Cambria" w:cstheme="minorHAnsi"/>
        </w:rPr>
        <w:t>Dec</w:t>
      </w:r>
      <w:r w:rsidRPr="009A0DA6">
        <w:rPr>
          <w:rFonts w:ascii="Cambria" w:eastAsia="Times New Roman" w:hAnsi="Cambria" w:cstheme="minorHAnsi"/>
          <w:spacing w:val="1"/>
        </w:rPr>
        <w:t>r</w:t>
      </w:r>
      <w:r w:rsidRPr="009A0DA6">
        <w:rPr>
          <w:rFonts w:ascii="Cambria" w:eastAsia="Times New Roman" w:hAnsi="Cambria" w:cstheme="minorHAnsi"/>
        </w:rPr>
        <w:t>ea</w:t>
      </w:r>
      <w:r w:rsidRPr="009A0DA6">
        <w:rPr>
          <w:rFonts w:ascii="Cambria" w:eastAsia="Times New Roman" w:hAnsi="Cambria" w:cstheme="minorHAnsi"/>
          <w:spacing w:val="-1"/>
        </w:rPr>
        <w:t>s</w:t>
      </w:r>
      <w:r w:rsidRPr="009A0DA6">
        <w:rPr>
          <w:rFonts w:ascii="Cambria" w:eastAsia="Times New Roman" w:hAnsi="Cambria" w:cstheme="minorHAnsi"/>
        </w:rPr>
        <w:t>e</w:t>
      </w:r>
      <w:r w:rsidRPr="009A0DA6">
        <w:rPr>
          <w:rFonts w:ascii="Cambria" w:eastAsia="Times New Roman" w:hAnsi="Cambria" w:cstheme="minorHAnsi"/>
          <w:spacing w:val="-6"/>
        </w:rPr>
        <w:t xml:space="preserve"> </w:t>
      </w:r>
      <w:r w:rsidRPr="009A0DA6">
        <w:rPr>
          <w:rFonts w:ascii="Cambria" w:eastAsia="Times New Roman" w:hAnsi="Cambria" w:cstheme="minorHAnsi"/>
          <w:spacing w:val="1"/>
        </w:rPr>
        <w:t>(I</w:t>
      </w:r>
      <w:r w:rsidRPr="009A0DA6">
        <w:rPr>
          <w:rFonts w:ascii="Cambria" w:eastAsia="Times New Roman" w:hAnsi="Cambria" w:cstheme="minorHAnsi"/>
          <w:spacing w:val="-1"/>
        </w:rPr>
        <w:t>n</w:t>
      </w:r>
      <w:r w:rsidRPr="009A0DA6">
        <w:rPr>
          <w:rFonts w:ascii="Cambria" w:eastAsia="Times New Roman" w:hAnsi="Cambria" w:cstheme="minorHAnsi"/>
        </w:rPr>
        <w:t>c</w:t>
      </w:r>
      <w:r w:rsidRPr="009A0DA6">
        <w:rPr>
          <w:rFonts w:ascii="Cambria" w:eastAsia="Times New Roman" w:hAnsi="Cambria" w:cstheme="minorHAnsi"/>
          <w:spacing w:val="1"/>
        </w:rPr>
        <w:t>r</w:t>
      </w:r>
      <w:r w:rsidRPr="009A0DA6">
        <w:rPr>
          <w:rFonts w:ascii="Cambria" w:eastAsia="Times New Roman" w:hAnsi="Cambria" w:cstheme="minorHAnsi"/>
        </w:rPr>
        <w:t>ea</w:t>
      </w:r>
      <w:r w:rsidRPr="009A0DA6">
        <w:rPr>
          <w:rFonts w:ascii="Cambria" w:eastAsia="Times New Roman" w:hAnsi="Cambria" w:cstheme="minorHAnsi"/>
          <w:spacing w:val="-1"/>
        </w:rPr>
        <w:t>s</w:t>
      </w:r>
      <w:r w:rsidRPr="009A0DA6">
        <w:rPr>
          <w:rFonts w:ascii="Cambria" w:eastAsia="Times New Roman" w:hAnsi="Cambria" w:cstheme="minorHAnsi"/>
        </w:rPr>
        <w:t>e)</w:t>
      </w:r>
      <w:r w:rsidRPr="009A0DA6">
        <w:rPr>
          <w:rFonts w:ascii="Cambria" w:eastAsia="Times New Roman" w:hAnsi="Cambria" w:cstheme="minorHAnsi"/>
          <w:spacing w:val="-7"/>
        </w:rPr>
        <w:t xml:space="preserve"> </w:t>
      </w:r>
      <w:r w:rsidRPr="009A0DA6">
        <w:rPr>
          <w:rFonts w:ascii="Cambria" w:eastAsia="Times New Roman" w:hAnsi="Cambria" w:cstheme="minorHAnsi"/>
        </w:rPr>
        <w:t>in</w:t>
      </w:r>
      <w:r w:rsidRPr="009A0DA6">
        <w:rPr>
          <w:rFonts w:ascii="Cambria" w:eastAsia="Times New Roman" w:hAnsi="Cambria" w:cstheme="minorHAnsi"/>
          <w:spacing w:val="-3"/>
        </w:rPr>
        <w:t xml:space="preserve"> </w:t>
      </w:r>
      <w:r w:rsidRPr="009A0DA6">
        <w:rPr>
          <w:rFonts w:ascii="Cambria" w:eastAsia="Times New Roman" w:hAnsi="Cambria" w:cstheme="minorHAnsi"/>
        </w:rPr>
        <w:t>t</w:t>
      </w:r>
      <w:r w:rsidRPr="009A0DA6">
        <w:rPr>
          <w:rFonts w:ascii="Cambria" w:eastAsia="Times New Roman" w:hAnsi="Cambria" w:cstheme="minorHAnsi"/>
          <w:spacing w:val="1"/>
        </w:rPr>
        <w:t>r</w:t>
      </w:r>
      <w:r w:rsidRPr="009A0DA6">
        <w:rPr>
          <w:rFonts w:ascii="Cambria" w:eastAsia="Times New Roman" w:hAnsi="Cambria" w:cstheme="minorHAnsi"/>
        </w:rPr>
        <w:t>a</w:t>
      </w:r>
      <w:r w:rsidRPr="009A0DA6">
        <w:rPr>
          <w:rFonts w:ascii="Cambria" w:eastAsia="Times New Roman" w:hAnsi="Cambria" w:cstheme="minorHAnsi"/>
          <w:spacing w:val="1"/>
        </w:rPr>
        <w:t>d</w:t>
      </w:r>
      <w:r w:rsidRPr="009A0DA6">
        <w:rPr>
          <w:rFonts w:ascii="Cambria" w:eastAsia="Times New Roman" w:hAnsi="Cambria" w:cstheme="minorHAnsi"/>
        </w:rPr>
        <w:t>e</w:t>
      </w:r>
      <w:r w:rsidRPr="009A0DA6">
        <w:rPr>
          <w:rFonts w:ascii="Cambria" w:eastAsia="Times New Roman" w:hAnsi="Cambria" w:cstheme="minorHAnsi"/>
          <w:spacing w:val="-3"/>
        </w:rPr>
        <w:t xml:space="preserve"> </w:t>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spacing w:val="-1"/>
        </w:rPr>
        <w:t xml:space="preserve"> </w:t>
      </w:r>
      <w:r w:rsidRPr="009A0DA6">
        <w:rPr>
          <w:rFonts w:ascii="Cambria" w:eastAsia="Times New Roman" w:hAnsi="Cambria" w:cstheme="minorHAnsi"/>
          <w:spacing w:val="1"/>
        </w:rPr>
        <w:t>o</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er</w:t>
      </w:r>
      <w:r w:rsidRPr="009A0DA6">
        <w:rPr>
          <w:rFonts w:ascii="Cambria" w:eastAsia="Times New Roman" w:hAnsi="Cambria" w:cstheme="minorHAnsi"/>
          <w:spacing w:val="-3"/>
        </w:rPr>
        <w:t xml:space="preserve"> </w:t>
      </w:r>
      <w:r w:rsidRPr="009A0DA6">
        <w:rPr>
          <w:rFonts w:ascii="Cambria" w:eastAsia="Times New Roman" w:hAnsi="Cambria" w:cstheme="minorHAnsi"/>
          <w:spacing w:val="1"/>
        </w:rPr>
        <w:t>r</w:t>
      </w:r>
      <w:r w:rsidRPr="009A0DA6">
        <w:rPr>
          <w:rFonts w:ascii="Cambria" w:eastAsia="Times New Roman" w:hAnsi="Cambria" w:cstheme="minorHAnsi"/>
        </w:rPr>
        <w:t>ecei</w:t>
      </w:r>
      <w:r w:rsidRPr="009A0DA6">
        <w:rPr>
          <w:rFonts w:ascii="Cambria" w:eastAsia="Times New Roman" w:hAnsi="Cambria" w:cstheme="minorHAnsi"/>
          <w:spacing w:val="-1"/>
        </w:rPr>
        <w:t>v</w:t>
      </w:r>
      <w:r w:rsidRPr="009A0DA6">
        <w:rPr>
          <w:rFonts w:ascii="Cambria" w:eastAsia="Times New Roman" w:hAnsi="Cambria" w:cstheme="minorHAnsi"/>
        </w:rPr>
        <w:t>a</w:t>
      </w:r>
      <w:r w:rsidRPr="009A0DA6">
        <w:rPr>
          <w:rFonts w:ascii="Cambria" w:eastAsia="Times New Roman" w:hAnsi="Cambria" w:cstheme="minorHAnsi"/>
          <w:spacing w:val="1"/>
        </w:rPr>
        <w:t>b</w:t>
      </w:r>
      <w:r w:rsidRPr="009A0DA6">
        <w:rPr>
          <w:rFonts w:ascii="Cambria" w:eastAsia="Times New Roman" w:hAnsi="Cambria" w:cstheme="minorHAnsi"/>
        </w:rPr>
        <w:t>les</w:t>
      </w:r>
      <w:r w:rsidRPr="009A0DA6">
        <w:rPr>
          <w:rFonts w:ascii="Cambria" w:eastAsia="Times New Roman" w:hAnsi="Cambria" w:cstheme="minorHAnsi"/>
        </w:rPr>
        <w:tab/>
      </w:r>
      <w:r w:rsidRPr="009A0DA6">
        <w:rPr>
          <w:rFonts w:ascii="Cambria" w:eastAsia="Times New Roman" w:hAnsi="Cambria" w:cstheme="minorHAnsi"/>
          <w:spacing w:val="1"/>
        </w:rPr>
        <w:t>324,</w:t>
      </w:r>
      <w:r w:rsidRPr="009A0DA6">
        <w:rPr>
          <w:rFonts w:ascii="Cambria" w:eastAsia="Times New Roman" w:hAnsi="Cambria" w:cstheme="minorHAnsi"/>
          <w:spacing w:val="-1"/>
        </w:rPr>
        <w:t>5</w:t>
      </w:r>
      <w:r w:rsidRPr="009A0DA6">
        <w:rPr>
          <w:rFonts w:ascii="Cambria" w:eastAsia="Times New Roman" w:hAnsi="Cambria" w:cstheme="minorHAnsi"/>
          <w:spacing w:val="1"/>
        </w:rPr>
        <w:t>2</w:t>
      </w:r>
      <w:r w:rsidRPr="009A0DA6">
        <w:rPr>
          <w:rFonts w:ascii="Cambria" w:eastAsia="Times New Roman" w:hAnsi="Cambria" w:cstheme="minorHAnsi"/>
        </w:rPr>
        <w:t>9</w:t>
      </w:r>
      <w:r w:rsidRPr="009A0DA6">
        <w:rPr>
          <w:rFonts w:ascii="Cambria" w:hAnsi="Cambria" w:cstheme="minorHAnsi"/>
        </w:rPr>
        <w:tab/>
      </w:r>
      <w:r w:rsidRPr="009A0DA6">
        <w:rPr>
          <w:rFonts w:ascii="Cambria" w:eastAsia="Times New Roman" w:hAnsi="Cambria" w:cstheme="minorHAnsi"/>
          <w:spacing w:val="1"/>
        </w:rPr>
        <w:t>(318</w:t>
      </w:r>
      <w:r w:rsidRPr="009A0DA6">
        <w:rPr>
          <w:rFonts w:ascii="Cambria" w:eastAsia="Times New Roman" w:hAnsi="Cambria" w:cstheme="minorHAnsi"/>
          <w:spacing w:val="-2"/>
        </w:rPr>
        <w:t>,</w:t>
      </w:r>
      <w:r w:rsidRPr="009A0DA6">
        <w:rPr>
          <w:rFonts w:ascii="Cambria" w:eastAsia="Times New Roman" w:hAnsi="Cambria" w:cstheme="minorHAnsi"/>
          <w:spacing w:val="1"/>
        </w:rPr>
        <w:t>90</w:t>
      </w:r>
      <w:r w:rsidRPr="009A0DA6">
        <w:rPr>
          <w:rFonts w:ascii="Cambria" w:eastAsia="Times New Roman" w:hAnsi="Cambria" w:cstheme="minorHAnsi"/>
          <w:spacing w:val="-1"/>
        </w:rPr>
        <w:t>7</w:t>
      </w:r>
      <w:r w:rsidRPr="009A0DA6">
        <w:rPr>
          <w:rFonts w:ascii="Cambria" w:eastAsia="Times New Roman" w:hAnsi="Cambria" w:cstheme="minorHAnsi"/>
        </w:rPr>
        <w:t>)</w:t>
      </w:r>
      <w:r w:rsidRPr="009A0DA6">
        <w:rPr>
          <w:rFonts w:ascii="Cambria" w:eastAsia="Times New Roman" w:hAnsi="Cambria" w:cstheme="minorHAnsi"/>
        </w:rPr>
        <w:tab/>
        <w:t>313,651</w:t>
      </w:r>
    </w:p>
    <w:p w14:paraId="653671E0" w14:textId="77777777" w:rsidR="00BA4592" w:rsidRPr="009A0DA6" w:rsidRDefault="00BA4592" w:rsidP="00F55252">
      <w:pPr>
        <w:pStyle w:val="ListParagraph"/>
        <w:widowControl w:val="0"/>
        <w:numPr>
          <w:ilvl w:val="0"/>
          <w:numId w:val="275"/>
        </w:numPr>
        <w:tabs>
          <w:tab w:val="center" w:pos="4394"/>
          <w:tab w:val="right" w:pos="6095"/>
          <w:tab w:val="right" w:pos="7371"/>
          <w:tab w:val="right" w:pos="8647"/>
        </w:tabs>
        <w:spacing w:before="120" w:after="120" w:line="240" w:lineRule="auto"/>
        <w:ind w:left="426" w:right="-331"/>
        <w:rPr>
          <w:rFonts w:ascii="Cambria" w:eastAsia="Times New Roman" w:hAnsi="Cambria" w:cstheme="minorHAnsi"/>
        </w:rPr>
      </w:pPr>
      <w:r w:rsidRPr="009A0DA6">
        <w:rPr>
          <w:rFonts w:ascii="Cambria" w:eastAsia="Times New Roman" w:hAnsi="Cambria" w:cstheme="minorHAnsi"/>
          <w:spacing w:val="1"/>
        </w:rPr>
        <w:t>(I</w:t>
      </w:r>
      <w:r w:rsidRPr="009A0DA6">
        <w:rPr>
          <w:rFonts w:ascii="Cambria" w:eastAsia="Times New Roman" w:hAnsi="Cambria" w:cstheme="minorHAnsi"/>
          <w:spacing w:val="-1"/>
        </w:rPr>
        <w:t>n</w:t>
      </w:r>
      <w:r w:rsidRPr="009A0DA6">
        <w:rPr>
          <w:rFonts w:ascii="Cambria" w:eastAsia="Times New Roman" w:hAnsi="Cambria" w:cstheme="minorHAnsi"/>
        </w:rPr>
        <w:t>c</w:t>
      </w:r>
      <w:r w:rsidRPr="009A0DA6">
        <w:rPr>
          <w:rFonts w:ascii="Cambria" w:eastAsia="Times New Roman" w:hAnsi="Cambria" w:cstheme="minorHAnsi"/>
          <w:spacing w:val="1"/>
        </w:rPr>
        <w:t>r</w:t>
      </w:r>
      <w:r w:rsidRPr="009A0DA6">
        <w:rPr>
          <w:rFonts w:ascii="Cambria" w:eastAsia="Times New Roman" w:hAnsi="Cambria" w:cstheme="minorHAnsi"/>
        </w:rPr>
        <w:t>ea</w:t>
      </w:r>
      <w:r w:rsidRPr="009A0DA6">
        <w:rPr>
          <w:rFonts w:ascii="Cambria" w:eastAsia="Times New Roman" w:hAnsi="Cambria" w:cstheme="minorHAnsi"/>
          <w:spacing w:val="-1"/>
        </w:rPr>
        <w:t>s</w:t>
      </w:r>
      <w:r w:rsidRPr="009A0DA6">
        <w:rPr>
          <w:rFonts w:ascii="Cambria" w:eastAsia="Times New Roman" w:hAnsi="Cambria" w:cstheme="minorHAnsi"/>
        </w:rPr>
        <w:t>e)</w:t>
      </w:r>
      <w:r w:rsidRPr="009A0DA6">
        <w:rPr>
          <w:rFonts w:ascii="Cambria" w:eastAsia="Times New Roman" w:hAnsi="Cambria" w:cstheme="minorHAnsi"/>
          <w:spacing w:val="-7"/>
        </w:rPr>
        <w:t xml:space="preserve"> </w:t>
      </w:r>
      <w:r w:rsidRPr="009A0DA6">
        <w:rPr>
          <w:rFonts w:ascii="Cambria" w:eastAsia="Times New Roman" w:hAnsi="Cambria" w:cstheme="minorHAnsi"/>
        </w:rPr>
        <w:t>Dec</w:t>
      </w:r>
      <w:r w:rsidRPr="009A0DA6">
        <w:rPr>
          <w:rFonts w:ascii="Cambria" w:eastAsia="Times New Roman" w:hAnsi="Cambria" w:cstheme="minorHAnsi"/>
          <w:spacing w:val="1"/>
        </w:rPr>
        <w:t>r</w:t>
      </w:r>
      <w:r w:rsidRPr="009A0DA6">
        <w:rPr>
          <w:rFonts w:ascii="Cambria" w:eastAsia="Times New Roman" w:hAnsi="Cambria" w:cstheme="minorHAnsi"/>
        </w:rPr>
        <w:t>ea</w:t>
      </w:r>
      <w:r w:rsidRPr="009A0DA6">
        <w:rPr>
          <w:rFonts w:ascii="Cambria" w:eastAsia="Times New Roman" w:hAnsi="Cambria" w:cstheme="minorHAnsi"/>
          <w:spacing w:val="-1"/>
        </w:rPr>
        <w:t>s</w:t>
      </w:r>
      <w:r w:rsidRPr="009A0DA6">
        <w:rPr>
          <w:rFonts w:ascii="Cambria" w:eastAsia="Times New Roman" w:hAnsi="Cambria" w:cstheme="minorHAnsi"/>
        </w:rPr>
        <w:t>e</w:t>
      </w:r>
      <w:r w:rsidRPr="009A0DA6">
        <w:rPr>
          <w:rFonts w:ascii="Cambria" w:eastAsia="Times New Roman" w:hAnsi="Cambria" w:cstheme="minorHAnsi"/>
          <w:spacing w:val="-6"/>
        </w:rPr>
        <w:t xml:space="preserve"> </w:t>
      </w:r>
      <w:r w:rsidRPr="009A0DA6">
        <w:rPr>
          <w:rFonts w:ascii="Cambria" w:eastAsia="Times New Roman" w:hAnsi="Cambria" w:cstheme="minorHAnsi"/>
        </w:rPr>
        <w:t>in</w:t>
      </w:r>
      <w:r w:rsidRPr="009A0DA6">
        <w:rPr>
          <w:rFonts w:ascii="Cambria" w:eastAsia="Times New Roman" w:hAnsi="Cambria" w:cstheme="minorHAnsi"/>
          <w:spacing w:val="-3"/>
        </w:rPr>
        <w:t xml:space="preserve"> </w:t>
      </w:r>
      <w:r w:rsidRPr="009A0DA6">
        <w:rPr>
          <w:rFonts w:ascii="Cambria" w:eastAsia="Times New Roman" w:hAnsi="Cambria" w:cstheme="minorHAnsi"/>
          <w:spacing w:val="1"/>
        </w:rPr>
        <w:t>pr</w:t>
      </w:r>
      <w:r w:rsidRPr="009A0DA6">
        <w:rPr>
          <w:rFonts w:ascii="Cambria" w:eastAsia="Times New Roman" w:hAnsi="Cambria" w:cstheme="minorHAnsi"/>
        </w:rPr>
        <w:t>e</w:t>
      </w:r>
      <w:r w:rsidRPr="009A0DA6">
        <w:rPr>
          <w:rFonts w:ascii="Cambria" w:eastAsia="Times New Roman" w:hAnsi="Cambria" w:cstheme="minorHAnsi"/>
          <w:spacing w:val="1"/>
        </w:rPr>
        <w:t>p</w:t>
      </w:r>
      <w:r w:rsidRPr="009A0DA6">
        <w:rPr>
          <w:rFonts w:ascii="Cambria" w:eastAsia="Times New Roman" w:hAnsi="Cambria" w:cstheme="minorHAnsi"/>
        </w:rPr>
        <w:t>a</w:t>
      </w:r>
      <w:r w:rsidRPr="009A0DA6">
        <w:rPr>
          <w:rFonts w:ascii="Cambria" w:eastAsia="Times New Roman" w:hAnsi="Cambria" w:cstheme="minorHAnsi"/>
          <w:spacing w:val="-1"/>
        </w:rPr>
        <w:t>ym</w:t>
      </w:r>
      <w:r w:rsidRPr="009A0DA6">
        <w:rPr>
          <w:rFonts w:ascii="Cambria" w:eastAsia="Times New Roman" w:hAnsi="Cambria" w:cstheme="minorHAnsi"/>
        </w:rPr>
        <w:t>e</w:t>
      </w:r>
      <w:r w:rsidRPr="009A0DA6">
        <w:rPr>
          <w:rFonts w:ascii="Cambria" w:eastAsia="Times New Roman" w:hAnsi="Cambria" w:cstheme="minorHAnsi"/>
          <w:spacing w:val="1"/>
        </w:rPr>
        <w:t>n</w:t>
      </w:r>
      <w:r w:rsidRPr="009A0DA6">
        <w:rPr>
          <w:rFonts w:ascii="Cambria" w:eastAsia="Times New Roman" w:hAnsi="Cambria" w:cstheme="minorHAnsi"/>
        </w:rPr>
        <w:t>ts</w:t>
      </w:r>
      <w:r w:rsidRPr="009A0DA6">
        <w:rPr>
          <w:rFonts w:ascii="Cambria" w:eastAsia="Times New Roman" w:hAnsi="Cambria" w:cstheme="minorHAnsi"/>
        </w:rPr>
        <w:tab/>
      </w:r>
      <w:r w:rsidRPr="009A0DA6">
        <w:rPr>
          <w:rFonts w:ascii="Cambria" w:eastAsia="Times New Roman" w:hAnsi="Cambria" w:cstheme="minorHAnsi"/>
        </w:rPr>
        <w:tab/>
      </w:r>
      <w:r w:rsidRPr="009A0DA6">
        <w:rPr>
          <w:rFonts w:ascii="Cambria" w:eastAsia="Times New Roman" w:hAnsi="Cambria" w:cstheme="minorHAnsi"/>
          <w:spacing w:val="1"/>
        </w:rPr>
        <w:t>(14,</w:t>
      </w:r>
      <w:r w:rsidRPr="009A0DA6">
        <w:rPr>
          <w:rFonts w:ascii="Cambria" w:eastAsia="Times New Roman" w:hAnsi="Cambria" w:cstheme="minorHAnsi"/>
          <w:spacing w:val="-1"/>
        </w:rPr>
        <w:t>2</w:t>
      </w:r>
      <w:r w:rsidRPr="009A0DA6">
        <w:rPr>
          <w:rFonts w:ascii="Cambria" w:eastAsia="Times New Roman" w:hAnsi="Cambria" w:cstheme="minorHAnsi"/>
          <w:spacing w:val="1"/>
        </w:rPr>
        <w:t>18</w:t>
      </w:r>
      <w:r w:rsidRPr="009A0DA6">
        <w:rPr>
          <w:rFonts w:ascii="Cambria" w:eastAsia="Times New Roman" w:hAnsi="Cambria" w:cstheme="minorHAnsi"/>
        </w:rPr>
        <w:t>)</w:t>
      </w:r>
      <w:r w:rsidRPr="009A0DA6">
        <w:rPr>
          <w:rFonts w:ascii="Cambria" w:eastAsia="Times New Roman" w:hAnsi="Cambria" w:cstheme="minorHAnsi"/>
        </w:rPr>
        <w:tab/>
      </w:r>
      <w:r w:rsidRPr="009A0DA6">
        <w:rPr>
          <w:rFonts w:ascii="Cambria" w:eastAsia="Times New Roman" w:hAnsi="Cambria" w:cstheme="minorHAnsi"/>
          <w:spacing w:val="1"/>
        </w:rPr>
        <w:t>33,3</w:t>
      </w:r>
      <w:r w:rsidRPr="009A0DA6">
        <w:rPr>
          <w:rFonts w:ascii="Cambria" w:eastAsia="Times New Roman" w:hAnsi="Cambria" w:cstheme="minorHAnsi"/>
          <w:spacing w:val="-1"/>
        </w:rPr>
        <w:t>9</w:t>
      </w:r>
      <w:r w:rsidRPr="009A0DA6">
        <w:rPr>
          <w:rFonts w:ascii="Cambria" w:eastAsia="Times New Roman" w:hAnsi="Cambria" w:cstheme="minorHAnsi"/>
        </w:rPr>
        <w:t>3</w:t>
      </w:r>
      <w:r w:rsidRPr="009A0DA6">
        <w:rPr>
          <w:rFonts w:ascii="Cambria" w:eastAsia="Times New Roman" w:hAnsi="Cambria" w:cstheme="minorHAnsi"/>
        </w:rPr>
        <w:tab/>
        <w:t>(82,809)</w:t>
      </w:r>
    </w:p>
    <w:p w14:paraId="74BB9309" w14:textId="77777777" w:rsidR="00BA4592" w:rsidRPr="009A0DA6" w:rsidRDefault="00BA4592" w:rsidP="00F55252">
      <w:pPr>
        <w:pStyle w:val="ListParagraph"/>
        <w:widowControl w:val="0"/>
        <w:numPr>
          <w:ilvl w:val="0"/>
          <w:numId w:val="275"/>
        </w:numPr>
        <w:tabs>
          <w:tab w:val="center" w:pos="4394"/>
          <w:tab w:val="right" w:pos="6095"/>
          <w:tab w:val="right" w:pos="7371"/>
          <w:tab w:val="right" w:pos="8647"/>
        </w:tabs>
        <w:spacing w:before="120" w:after="120" w:line="240" w:lineRule="auto"/>
        <w:ind w:left="425" w:right="-331" w:hanging="357"/>
        <w:rPr>
          <w:rFonts w:ascii="Cambria" w:eastAsia="Times New Roman" w:hAnsi="Cambria" w:cstheme="minorHAnsi"/>
        </w:rPr>
      </w:pPr>
      <w:r w:rsidRPr="009A0DA6">
        <w:rPr>
          <w:rFonts w:ascii="Cambria" w:eastAsia="Times New Roman" w:hAnsi="Cambria" w:cstheme="minorHAnsi"/>
          <w:spacing w:val="1"/>
        </w:rPr>
        <w:t>(</w:t>
      </w:r>
      <w:r w:rsidRPr="009A0DA6">
        <w:rPr>
          <w:rFonts w:ascii="Cambria" w:eastAsia="Times New Roman" w:hAnsi="Cambria" w:cstheme="minorHAnsi"/>
        </w:rPr>
        <w:t>Dec</w:t>
      </w:r>
      <w:r w:rsidRPr="009A0DA6">
        <w:rPr>
          <w:rFonts w:ascii="Cambria" w:eastAsia="Times New Roman" w:hAnsi="Cambria" w:cstheme="minorHAnsi"/>
          <w:spacing w:val="1"/>
        </w:rPr>
        <w:t>r</w:t>
      </w:r>
      <w:r w:rsidRPr="009A0DA6">
        <w:rPr>
          <w:rFonts w:ascii="Cambria" w:eastAsia="Times New Roman" w:hAnsi="Cambria" w:cstheme="minorHAnsi"/>
        </w:rPr>
        <w:t>ea</w:t>
      </w:r>
      <w:r w:rsidRPr="009A0DA6">
        <w:rPr>
          <w:rFonts w:ascii="Cambria" w:eastAsia="Times New Roman" w:hAnsi="Cambria" w:cstheme="minorHAnsi"/>
          <w:spacing w:val="-1"/>
        </w:rPr>
        <w:t>s</w:t>
      </w:r>
      <w:r w:rsidRPr="009A0DA6">
        <w:rPr>
          <w:rFonts w:ascii="Cambria" w:eastAsia="Times New Roman" w:hAnsi="Cambria" w:cstheme="minorHAnsi"/>
        </w:rPr>
        <w:t>e)</w:t>
      </w:r>
      <w:r w:rsidRPr="009A0DA6">
        <w:rPr>
          <w:rFonts w:ascii="Cambria" w:eastAsia="Times New Roman" w:hAnsi="Cambria" w:cstheme="minorHAnsi"/>
          <w:spacing w:val="-8"/>
        </w:rPr>
        <w:t xml:space="preserve"> </w:t>
      </w:r>
      <w:r w:rsidRPr="009A0DA6">
        <w:rPr>
          <w:rFonts w:ascii="Cambria" w:eastAsia="Times New Roman" w:hAnsi="Cambria" w:cstheme="minorHAnsi"/>
          <w:spacing w:val="1"/>
        </w:rPr>
        <w:t>I</w:t>
      </w:r>
      <w:r w:rsidRPr="009A0DA6">
        <w:rPr>
          <w:rFonts w:ascii="Cambria" w:eastAsia="Times New Roman" w:hAnsi="Cambria" w:cstheme="minorHAnsi"/>
          <w:spacing w:val="-1"/>
        </w:rPr>
        <w:t>n</w:t>
      </w:r>
      <w:r w:rsidRPr="009A0DA6">
        <w:rPr>
          <w:rFonts w:ascii="Cambria" w:eastAsia="Times New Roman" w:hAnsi="Cambria" w:cstheme="minorHAnsi"/>
        </w:rPr>
        <w:t>c</w:t>
      </w:r>
      <w:r w:rsidRPr="009A0DA6">
        <w:rPr>
          <w:rFonts w:ascii="Cambria" w:eastAsia="Times New Roman" w:hAnsi="Cambria" w:cstheme="minorHAnsi"/>
          <w:spacing w:val="1"/>
        </w:rPr>
        <w:t>r</w:t>
      </w:r>
      <w:r w:rsidRPr="009A0DA6">
        <w:rPr>
          <w:rFonts w:ascii="Cambria" w:eastAsia="Times New Roman" w:hAnsi="Cambria" w:cstheme="minorHAnsi"/>
        </w:rPr>
        <w:t>ea</w:t>
      </w:r>
      <w:r w:rsidRPr="009A0DA6">
        <w:rPr>
          <w:rFonts w:ascii="Cambria" w:eastAsia="Times New Roman" w:hAnsi="Cambria" w:cstheme="minorHAnsi"/>
          <w:spacing w:val="-1"/>
        </w:rPr>
        <w:t>s</w:t>
      </w:r>
      <w:r w:rsidRPr="009A0DA6">
        <w:rPr>
          <w:rFonts w:ascii="Cambria" w:eastAsia="Times New Roman" w:hAnsi="Cambria" w:cstheme="minorHAnsi"/>
        </w:rPr>
        <w:t>e</w:t>
      </w:r>
      <w:r w:rsidRPr="009A0DA6">
        <w:rPr>
          <w:rFonts w:ascii="Cambria" w:eastAsia="Times New Roman" w:hAnsi="Cambria" w:cstheme="minorHAnsi"/>
          <w:spacing w:val="-6"/>
        </w:rPr>
        <w:t xml:space="preserve"> </w:t>
      </w:r>
      <w:r w:rsidRPr="009A0DA6">
        <w:rPr>
          <w:rFonts w:ascii="Cambria" w:eastAsia="Times New Roman" w:hAnsi="Cambria" w:cstheme="minorHAnsi"/>
        </w:rPr>
        <w:t>in</w:t>
      </w:r>
      <w:r w:rsidRPr="009A0DA6">
        <w:rPr>
          <w:rFonts w:ascii="Cambria" w:eastAsia="Times New Roman" w:hAnsi="Cambria" w:cstheme="minorHAnsi"/>
          <w:spacing w:val="-3"/>
        </w:rPr>
        <w:t xml:space="preserve"> </w:t>
      </w:r>
      <w:r w:rsidRPr="009A0DA6">
        <w:rPr>
          <w:rFonts w:ascii="Cambria" w:eastAsia="Times New Roman" w:hAnsi="Cambria" w:cstheme="minorHAnsi"/>
        </w:rPr>
        <w:t>t</w:t>
      </w:r>
      <w:r w:rsidRPr="009A0DA6">
        <w:rPr>
          <w:rFonts w:ascii="Cambria" w:eastAsia="Times New Roman" w:hAnsi="Cambria" w:cstheme="minorHAnsi"/>
          <w:spacing w:val="1"/>
        </w:rPr>
        <w:t>r</w:t>
      </w:r>
      <w:r w:rsidRPr="009A0DA6">
        <w:rPr>
          <w:rFonts w:ascii="Cambria" w:eastAsia="Times New Roman" w:hAnsi="Cambria" w:cstheme="minorHAnsi"/>
        </w:rPr>
        <w:t>a</w:t>
      </w:r>
      <w:r w:rsidRPr="009A0DA6">
        <w:rPr>
          <w:rFonts w:ascii="Cambria" w:eastAsia="Times New Roman" w:hAnsi="Cambria" w:cstheme="minorHAnsi"/>
          <w:spacing w:val="1"/>
        </w:rPr>
        <w:t>d</w:t>
      </w:r>
      <w:r w:rsidRPr="009A0DA6">
        <w:rPr>
          <w:rFonts w:ascii="Cambria" w:eastAsia="Times New Roman" w:hAnsi="Cambria" w:cstheme="minorHAnsi"/>
        </w:rPr>
        <w:t>e</w:t>
      </w:r>
      <w:r w:rsidRPr="009A0DA6">
        <w:rPr>
          <w:rFonts w:ascii="Cambria" w:eastAsia="Times New Roman" w:hAnsi="Cambria" w:cstheme="minorHAnsi"/>
          <w:spacing w:val="-3"/>
        </w:rPr>
        <w:t xml:space="preserve"> </w:t>
      </w:r>
      <w:r w:rsidRPr="009A0DA6">
        <w:rPr>
          <w:rFonts w:ascii="Cambria" w:eastAsia="Times New Roman" w:hAnsi="Cambria" w:cstheme="minorHAnsi"/>
          <w:spacing w:val="1"/>
        </w:rPr>
        <w:t>p</w:t>
      </w:r>
      <w:r w:rsidRPr="009A0DA6">
        <w:rPr>
          <w:rFonts w:ascii="Cambria" w:eastAsia="Times New Roman" w:hAnsi="Cambria" w:cstheme="minorHAnsi"/>
          <w:spacing w:val="3"/>
        </w:rPr>
        <w:t>a</w:t>
      </w:r>
      <w:r w:rsidRPr="009A0DA6">
        <w:rPr>
          <w:rFonts w:ascii="Cambria" w:eastAsia="Times New Roman" w:hAnsi="Cambria" w:cstheme="minorHAnsi"/>
          <w:spacing w:val="-4"/>
        </w:rPr>
        <w:t>y</w:t>
      </w:r>
      <w:r w:rsidRPr="009A0DA6">
        <w:rPr>
          <w:rFonts w:ascii="Cambria" w:eastAsia="Times New Roman" w:hAnsi="Cambria" w:cstheme="minorHAnsi"/>
        </w:rPr>
        <w:t>a</w:t>
      </w:r>
      <w:r w:rsidRPr="009A0DA6">
        <w:rPr>
          <w:rFonts w:ascii="Cambria" w:eastAsia="Times New Roman" w:hAnsi="Cambria" w:cstheme="minorHAnsi"/>
          <w:spacing w:val="1"/>
        </w:rPr>
        <w:t>b</w:t>
      </w:r>
      <w:r w:rsidRPr="009A0DA6">
        <w:rPr>
          <w:rFonts w:ascii="Cambria" w:eastAsia="Times New Roman" w:hAnsi="Cambria" w:cstheme="minorHAnsi"/>
        </w:rPr>
        <w:t>les</w:t>
      </w:r>
      <w:r w:rsidRPr="009A0DA6">
        <w:rPr>
          <w:rFonts w:ascii="Cambria" w:eastAsia="Times New Roman" w:hAnsi="Cambria" w:cstheme="minorHAnsi"/>
          <w:spacing w:val="-7"/>
        </w:rPr>
        <w:t xml:space="preserve"> </w:t>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spacing w:val="-1"/>
        </w:rPr>
        <w:t xml:space="preserve"> </w:t>
      </w:r>
      <w:r w:rsidRPr="009A0DA6">
        <w:rPr>
          <w:rFonts w:ascii="Cambria" w:eastAsia="Times New Roman" w:hAnsi="Cambria" w:cstheme="minorHAnsi"/>
        </w:rPr>
        <w:t>acc</w:t>
      </w:r>
      <w:r w:rsidRPr="009A0DA6">
        <w:rPr>
          <w:rFonts w:ascii="Cambria" w:eastAsia="Times New Roman" w:hAnsi="Cambria" w:cstheme="minorHAnsi"/>
          <w:spacing w:val="1"/>
        </w:rPr>
        <w:t>r</w:t>
      </w:r>
      <w:r w:rsidRPr="009A0DA6">
        <w:rPr>
          <w:rFonts w:ascii="Cambria" w:eastAsia="Times New Roman" w:hAnsi="Cambria" w:cstheme="minorHAnsi"/>
          <w:spacing w:val="-1"/>
        </w:rPr>
        <w:t>u</w:t>
      </w:r>
      <w:r w:rsidRPr="009A0DA6">
        <w:rPr>
          <w:rFonts w:ascii="Cambria" w:eastAsia="Times New Roman" w:hAnsi="Cambria" w:cstheme="minorHAnsi"/>
        </w:rPr>
        <w:t>a</w:t>
      </w:r>
      <w:r w:rsidRPr="009A0DA6">
        <w:rPr>
          <w:rFonts w:ascii="Cambria" w:eastAsia="Times New Roman" w:hAnsi="Cambria" w:cstheme="minorHAnsi"/>
          <w:spacing w:val="2"/>
        </w:rPr>
        <w:t>l</w:t>
      </w:r>
      <w:r w:rsidRPr="009A0DA6">
        <w:rPr>
          <w:rFonts w:ascii="Cambria" w:eastAsia="Times New Roman" w:hAnsi="Cambria" w:cstheme="minorHAnsi"/>
        </w:rPr>
        <w:t>s</w:t>
      </w:r>
      <w:r w:rsidRPr="009A0DA6">
        <w:rPr>
          <w:rFonts w:ascii="Cambria" w:eastAsia="Times New Roman" w:hAnsi="Cambria" w:cstheme="minorHAnsi"/>
        </w:rPr>
        <w:tab/>
      </w:r>
      <w:r w:rsidRPr="009A0DA6">
        <w:rPr>
          <w:rFonts w:ascii="Cambria" w:eastAsia="Times New Roman" w:hAnsi="Cambria" w:cstheme="minorHAnsi"/>
          <w:spacing w:val="1"/>
        </w:rPr>
        <w:t>(144</w:t>
      </w:r>
      <w:r w:rsidRPr="009A0DA6">
        <w:rPr>
          <w:rFonts w:ascii="Cambria" w:eastAsia="Times New Roman" w:hAnsi="Cambria" w:cstheme="minorHAnsi"/>
          <w:spacing w:val="-2"/>
        </w:rPr>
        <w:t>,</w:t>
      </w:r>
      <w:r w:rsidRPr="009A0DA6">
        <w:rPr>
          <w:rFonts w:ascii="Cambria" w:eastAsia="Times New Roman" w:hAnsi="Cambria" w:cstheme="minorHAnsi"/>
          <w:spacing w:val="1"/>
        </w:rPr>
        <w:t>40</w:t>
      </w:r>
      <w:r w:rsidRPr="009A0DA6">
        <w:rPr>
          <w:rFonts w:ascii="Cambria" w:eastAsia="Times New Roman" w:hAnsi="Cambria" w:cstheme="minorHAnsi"/>
          <w:spacing w:val="-1"/>
        </w:rPr>
        <w:t>9</w:t>
      </w:r>
      <w:r w:rsidRPr="009A0DA6">
        <w:rPr>
          <w:rFonts w:ascii="Cambria" w:eastAsia="Times New Roman" w:hAnsi="Cambria" w:cstheme="minorHAnsi"/>
        </w:rPr>
        <w:t>)</w:t>
      </w:r>
      <w:r w:rsidRPr="009A0DA6">
        <w:rPr>
          <w:rFonts w:ascii="Cambria" w:eastAsia="Times New Roman" w:hAnsi="Cambria" w:cstheme="minorHAnsi"/>
        </w:rPr>
        <w:tab/>
      </w:r>
      <w:r w:rsidRPr="009A0DA6">
        <w:rPr>
          <w:rFonts w:ascii="Cambria" w:eastAsia="Times New Roman" w:hAnsi="Cambria" w:cstheme="minorHAnsi"/>
          <w:spacing w:val="1"/>
        </w:rPr>
        <w:t>254,</w:t>
      </w:r>
      <w:r w:rsidRPr="009A0DA6">
        <w:rPr>
          <w:rFonts w:ascii="Cambria" w:eastAsia="Times New Roman" w:hAnsi="Cambria" w:cstheme="minorHAnsi"/>
          <w:spacing w:val="-1"/>
        </w:rPr>
        <w:t>8</w:t>
      </w:r>
      <w:r w:rsidRPr="009A0DA6">
        <w:rPr>
          <w:rFonts w:ascii="Cambria" w:eastAsia="Times New Roman" w:hAnsi="Cambria" w:cstheme="minorHAnsi"/>
          <w:spacing w:val="1"/>
        </w:rPr>
        <w:t>3</w:t>
      </w:r>
      <w:r w:rsidRPr="009A0DA6">
        <w:rPr>
          <w:rFonts w:ascii="Cambria" w:eastAsia="Times New Roman" w:hAnsi="Cambria" w:cstheme="minorHAnsi"/>
        </w:rPr>
        <w:t>9</w:t>
      </w:r>
      <w:r w:rsidRPr="009A0DA6">
        <w:rPr>
          <w:rFonts w:ascii="Cambria" w:eastAsia="Times New Roman" w:hAnsi="Cambria" w:cstheme="minorHAnsi"/>
        </w:rPr>
        <w:tab/>
        <w:t>28,225</w:t>
      </w:r>
    </w:p>
    <w:p w14:paraId="5B04B95A" w14:textId="77777777" w:rsidR="00BA4592" w:rsidRPr="009A0DA6" w:rsidRDefault="00BA4592" w:rsidP="00F55252">
      <w:pPr>
        <w:pStyle w:val="ListParagraph"/>
        <w:widowControl w:val="0"/>
        <w:numPr>
          <w:ilvl w:val="0"/>
          <w:numId w:val="275"/>
        </w:numPr>
        <w:tabs>
          <w:tab w:val="center" w:pos="4394"/>
          <w:tab w:val="right" w:pos="6095"/>
          <w:tab w:val="right" w:pos="7371"/>
          <w:tab w:val="right" w:pos="8647"/>
        </w:tabs>
        <w:spacing w:before="120" w:after="120" w:line="240" w:lineRule="auto"/>
        <w:ind w:left="425" w:right="-51" w:hanging="357"/>
        <w:rPr>
          <w:rFonts w:ascii="Cambria" w:hAnsi="Cambria" w:cstheme="minorHAnsi"/>
        </w:rPr>
      </w:pPr>
      <w:r w:rsidRPr="009A0DA6">
        <w:rPr>
          <w:rFonts w:ascii="Cambria" w:eastAsia="Times New Roman" w:hAnsi="Cambria" w:cstheme="minorHAnsi"/>
          <w:spacing w:val="1"/>
        </w:rPr>
        <w:t>I</w:t>
      </w:r>
      <w:r w:rsidRPr="009A0DA6">
        <w:rPr>
          <w:rFonts w:ascii="Cambria" w:eastAsia="Times New Roman" w:hAnsi="Cambria" w:cstheme="minorHAnsi"/>
          <w:spacing w:val="-1"/>
        </w:rPr>
        <w:t>n</w:t>
      </w:r>
      <w:r w:rsidRPr="009A0DA6">
        <w:rPr>
          <w:rFonts w:ascii="Cambria" w:eastAsia="Times New Roman" w:hAnsi="Cambria" w:cstheme="minorHAnsi"/>
        </w:rPr>
        <w:t>c</w:t>
      </w:r>
      <w:r w:rsidRPr="009A0DA6">
        <w:rPr>
          <w:rFonts w:ascii="Cambria" w:eastAsia="Times New Roman" w:hAnsi="Cambria" w:cstheme="minorHAnsi"/>
          <w:spacing w:val="1"/>
        </w:rPr>
        <w:t>r</w:t>
      </w:r>
      <w:r w:rsidRPr="009A0DA6">
        <w:rPr>
          <w:rFonts w:ascii="Cambria" w:eastAsia="Times New Roman" w:hAnsi="Cambria" w:cstheme="minorHAnsi"/>
        </w:rPr>
        <w:t>ea</w:t>
      </w:r>
      <w:r w:rsidRPr="009A0DA6">
        <w:rPr>
          <w:rFonts w:ascii="Cambria" w:eastAsia="Times New Roman" w:hAnsi="Cambria" w:cstheme="minorHAnsi"/>
          <w:spacing w:val="-1"/>
        </w:rPr>
        <w:t>s</w:t>
      </w:r>
      <w:r w:rsidRPr="009A0DA6">
        <w:rPr>
          <w:rFonts w:ascii="Cambria" w:eastAsia="Times New Roman" w:hAnsi="Cambria" w:cstheme="minorHAnsi"/>
        </w:rPr>
        <w:t>e</w:t>
      </w:r>
      <w:r w:rsidRPr="009A0DA6">
        <w:rPr>
          <w:rFonts w:ascii="Cambria" w:eastAsia="Times New Roman" w:hAnsi="Cambria" w:cstheme="minorHAnsi"/>
          <w:spacing w:val="-6"/>
        </w:rPr>
        <w:t xml:space="preserve"> </w:t>
      </w:r>
      <w:r w:rsidRPr="009A0DA6">
        <w:rPr>
          <w:rFonts w:ascii="Cambria" w:eastAsia="Times New Roman" w:hAnsi="Cambria" w:cstheme="minorHAnsi"/>
          <w:spacing w:val="1"/>
        </w:rPr>
        <w:t>(</w:t>
      </w:r>
      <w:r w:rsidRPr="009A0DA6">
        <w:rPr>
          <w:rFonts w:ascii="Cambria" w:eastAsia="Times New Roman" w:hAnsi="Cambria" w:cstheme="minorHAnsi"/>
        </w:rPr>
        <w:t>Dec</w:t>
      </w:r>
      <w:r w:rsidRPr="009A0DA6">
        <w:rPr>
          <w:rFonts w:ascii="Cambria" w:eastAsia="Times New Roman" w:hAnsi="Cambria" w:cstheme="minorHAnsi"/>
          <w:spacing w:val="1"/>
        </w:rPr>
        <w:t>r</w:t>
      </w:r>
      <w:r w:rsidRPr="009A0DA6">
        <w:rPr>
          <w:rFonts w:ascii="Cambria" w:eastAsia="Times New Roman" w:hAnsi="Cambria" w:cstheme="minorHAnsi"/>
        </w:rPr>
        <w:t>ea</w:t>
      </w:r>
      <w:r w:rsidRPr="009A0DA6">
        <w:rPr>
          <w:rFonts w:ascii="Cambria" w:eastAsia="Times New Roman" w:hAnsi="Cambria" w:cstheme="minorHAnsi"/>
          <w:spacing w:val="-1"/>
        </w:rPr>
        <w:t>s</w:t>
      </w:r>
      <w:r w:rsidRPr="009A0DA6">
        <w:rPr>
          <w:rFonts w:ascii="Cambria" w:eastAsia="Times New Roman" w:hAnsi="Cambria" w:cstheme="minorHAnsi"/>
        </w:rPr>
        <w:t>e)</w:t>
      </w:r>
      <w:r w:rsidRPr="009A0DA6">
        <w:rPr>
          <w:rFonts w:ascii="Cambria" w:eastAsia="Times New Roman" w:hAnsi="Cambria" w:cstheme="minorHAnsi"/>
          <w:spacing w:val="-8"/>
        </w:rPr>
        <w:t xml:space="preserve"> </w:t>
      </w:r>
      <w:r w:rsidRPr="009A0DA6">
        <w:rPr>
          <w:rFonts w:ascii="Cambria" w:eastAsia="Times New Roman" w:hAnsi="Cambria" w:cstheme="minorHAnsi"/>
        </w:rPr>
        <w:t>in</w:t>
      </w:r>
      <w:r w:rsidRPr="009A0DA6">
        <w:rPr>
          <w:rFonts w:ascii="Cambria" w:eastAsia="Times New Roman" w:hAnsi="Cambria" w:cstheme="minorHAnsi"/>
          <w:spacing w:val="-3"/>
        </w:rPr>
        <w:t xml:space="preserve"> </w:t>
      </w:r>
      <w:r w:rsidRPr="009A0DA6">
        <w:rPr>
          <w:rFonts w:ascii="Cambria" w:eastAsia="Times New Roman" w:hAnsi="Cambria" w:cstheme="minorHAnsi"/>
          <w:spacing w:val="1"/>
        </w:rPr>
        <w:t>pro</w:t>
      </w:r>
      <w:r w:rsidRPr="009A0DA6">
        <w:rPr>
          <w:rFonts w:ascii="Cambria" w:eastAsia="Times New Roman" w:hAnsi="Cambria" w:cstheme="minorHAnsi"/>
          <w:spacing w:val="-1"/>
        </w:rPr>
        <w:t>v</w:t>
      </w:r>
      <w:r w:rsidRPr="009A0DA6">
        <w:rPr>
          <w:rFonts w:ascii="Cambria" w:eastAsia="Times New Roman" w:hAnsi="Cambria" w:cstheme="minorHAnsi"/>
        </w:rPr>
        <w:t>i</w:t>
      </w:r>
      <w:r w:rsidRPr="009A0DA6">
        <w:rPr>
          <w:rFonts w:ascii="Cambria" w:eastAsia="Times New Roman" w:hAnsi="Cambria" w:cstheme="minorHAnsi"/>
          <w:spacing w:val="-1"/>
        </w:rPr>
        <w:t>s</w:t>
      </w:r>
      <w:r w:rsidRPr="009A0DA6">
        <w:rPr>
          <w:rFonts w:ascii="Cambria" w:eastAsia="Times New Roman" w:hAnsi="Cambria" w:cstheme="minorHAnsi"/>
          <w:spacing w:val="2"/>
        </w:rPr>
        <w:t>i</w:t>
      </w:r>
      <w:r w:rsidRPr="009A0DA6">
        <w:rPr>
          <w:rFonts w:ascii="Cambria" w:eastAsia="Times New Roman" w:hAnsi="Cambria" w:cstheme="minorHAnsi"/>
          <w:spacing w:val="1"/>
        </w:rPr>
        <w:t>o</w:t>
      </w:r>
      <w:r w:rsidRPr="009A0DA6">
        <w:rPr>
          <w:rFonts w:ascii="Cambria" w:eastAsia="Times New Roman" w:hAnsi="Cambria" w:cstheme="minorHAnsi"/>
          <w:spacing w:val="-1"/>
        </w:rPr>
        <w:t>n</w:t>
      </w:r>
      <w:r w:rsidRPr="009A0DA6">
        <w:rPr>
          <w:rFonts w:ascii="Cambria" w:eastAsia="Times New Roman" w:hAnsi="Cambria" w:cstheme="minorHAnsi"/>
        </w:rPr>
        <w:t>s</w:t>
      </w:r>
      <w:r w:rsidRPr="009A0DA6">
        <w:rPr>
          <w:rFonts w:ascii="Cambria" w:eastAsia="Times New Roman" w:hAnsi="Cambria" w:cstheme="minorHAnsi"/>
          <w:spacing w:val="-8"/>
        </w:rPr>
        <w:t xml:space="preserve"> </w:t>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spacing w:val="-1"/>
        </w:rPr>
        <w:t xml:space="preserve"> </w:t>
      </w:r>
      <w:r w:rsidRPr="009A0DA6">
        <w:rPr>
          <w:rFonts w:ascii="Cambria" w:eastAsia="Times New Roman" w:hAnsi="Cambria" w:cstheme="minorHAnsi"/>
          <w:spacing w:val="-1"/>
        </w:rPr>
        <w:br/>
        <w:t>s</w:t>
      </w:r>
      <w:r w:rsidRPr="009A0DA6">
        <w:rPr>
          <w:rFonts w:ascii="Cambria" w:eastAsia="Times New Roman" w:hAnsi="Cambria" w:cstheme="minorHAnsi"/>
          <w:spacing w:val="1"/>
        </w:rPr>
        <w:t>p</w:t>
      </w:r>
      <w:r w:rsidRPr="009A0DA6">
        <w:rPr>
          <w:rFonts w:ascii="Cambria" w:eastAsia="Times New Roman" w:hAnsi="Cambria" w:cstheme="minorHAnsi"/>
        </w:rPr>
        <w:t>ecial</w:t>
      </w:r>
      <w:r w:rsidRPr="009A0DA6">
        <w:rPr>
          <w:rFonts w:ascii="Cambria" w:eastAsia="Times New Roman" w:hAnsi="Cambria" w:cstheme="minorHAnsi"/>
          <w:spacing w:val="-6"/>
        </w:rPr>
        <w:t xml:space="preserve"> </w:t>
      </w:r>
      <w:r w:rsidRPr="009A0DA6">
        <w:rPr>
          <w:rFonts w:ascii="Cambria" w:eastAsia="Times New Roman" w:hAnsi="Cambria" w:cstheme="minorHAnsi"/>
          <w:spacing w:val="1"/>
        </w:rPr>
        <w:t>p</w:t>
      </w:r>
      <w:r w:rsidRPr="009A0DA6">
        <w:rPr>
          <w:rFonts w:ascii="Cambria" w:eastAsia="Times New Roman" w:hAnsi="Cambria" w:cstheme="minorHAnsi"/>
          <w:spacing w:val="-1"/>
        </w:rPr>
        <w:t>u</w:t>
      </w:r>
      <w:r w:rsidRPr="009A0DA6">
        <w:rPr>
          <w:rFonts w:ascii="Cambria" w:eastAsia="Times New Roman" w:hAnsi="Cambria" w:cstheme="minorHAnsi"/>
          <w:spacing w:val="1"/>
        </w:rPr>
        <w:t>rpo</w:t>
      </w:r>
      <w:r w:rsidRPr="009A0DA6">
        <w:rPr>
          <w:rFonts w:ascii="Cambria" w:eastAsia="Times New Roman" w:hAnsi="Cambria" w:cstheme="minorHAnsi"/>
          <w:spacing w:val="-1"/>
        </w:rPr>
        <w:t>s</w:t>
      </w:r>
      <w:r w:rsidRPr="009A0DA6">
        <w:rPr>
          <w:rFonts w:ascii="Cambria" w:eastAsia="Times New Roman" w:hAnsi="Cambria" w:cstheme="minorHAnsi"/>
        </w:rPr>
        <w:t>e</w:t>
      </w:r>
      <w:r w:rsidRPr="009A0DA6">
        <w:rPr>
          <w:rFonts w:ascii="Cambria" w:eastAsia="Times New Roman" w:hAnsi="Cambria" w:cstheme="minorHAnsi"/>
          <w:spacing w:val="-5"/>
        </w:rPr>
        <w:t xml:space="preserve"> </w:t>
      </w:r>
      <w:r w:rsidRPr="009A0DA6">
        <w:rPr>
          <w:rFonts w:ascii="Cambria" w:eastAsia="Times New Roman" w:hAnsi="Cambria" w:cstheme="minorHAnsi"/>
          <w:spacing w:val="1"/>
        </w:rPr>
        <w:t>fu</w:t>
      </w:r>
      <w:r w:rsidRPr="009A0DA6">
        <w:rPr>
          <w:rFonts w:ascii="Cambria" w:eastAsia="Times New Roman" w:hAnsi="Cambria" w:cstheme="minorHAnsi"/>
          <w:spacing w:val="-1"/>
        </w:rPr>
        <w:t>n</w:t>
      </w:r>
      <w:r w:rsidRPr="009A0DA6">
        <w:rPr>
          <w:rFonts w:ascii="Cambria" w:eastAsia="Times New Roman" w:hAnsi="Cambria" w:cstheme="minorHAnsi"/>
          <w:spacing w:val="1"/>
        </w:rPr>
        <w:t>d</w:t>
      </w:r>
      <w:r w:rsidRPr="009A0DA6">
        <w:rPr>
          <w:rFonts w:ascii="Cambria" w:eastAsia="Times New Roman" w:hAnsi="Cambria" w:cstheme="minorHAnsi"/>
        </w:rPr>
        <w:t>s</w:t>
      </w:r>
      <w:r w:rsidRPr="009A0DA6">
        <w:rPr>
          <w:rFonts w:ascii="Cambria" w:eastAsia="Times New Roman" w:hAnsi="Cambria" w:cstheme="minorHAnsi"/>
        </w:rPr>
        <w:tab/>
      </w:r>
      <w:r w:rsidRPr="009A0DA6">
        <w:rPr>
          <w:rFonts w:ascii="Cambria" w:eastAsia="Times New Roman" w:hAnsi="Cambria" w:cstheme="minorHAnsi"/>
        </w:rPr>
        <w:tab/>
      </w:r>
      <w:r w:rsidRPr="009A0DA6">
        <w:rPr>
          <w:rFonts w:ascii="Cambria" w:eastAsia="Times New Roman" w:hAnsi="Cambria" w:cstheme="minorHAnsi"/>
          <w:spacing w:val="1"/>
        </w:rPr>
        <w:t>310,</w:t>
      </w:r>
      <w:r w:rsidRPr="009A0DA6">
        <w:rPr>
          <w:rFonts w:ascii="Cambria" w:eastAsia="Times New Roman" w:hAnsi="Cambria" w:cstheme="minorHAnsi"/>
          <w:spacing w:val="-1"/>
        </w:rPr>
        <w:t>4</w:t>
      </w:r>
      <w:r w:rsidRPr="009A0DA6">
        <w:rPr>
          <w:rFonts w:ascii="Cambria" w:eastAsia="Times New Roman" w:hAnsi="Cambria" w:cstheme="minorHAnsi"/>
          <w:spacing w:val="1"/>
        </w:rPr>
        <w:t>4</w:t>
      </w:r>
      <w:r w:rsidRPr="009A0DA6">
        <w:rPr>
          <w:rFonts w:ascii="Cambria" w:eastAsia="Times New Roman" w:hAnsi="Cambria" w:cstheme="minorHAnsi"/>
        </w:rPr>
        <w:t>5</w:t>
      </w:r>
      <w:r w:rsidRPr="009A0DA6">
        <w:rPr>
          <w:rFonts w:ascii="Cambria" w:eastAsia="Times New Roman" w:hAnsi="Cambria" w:cstheme="minorHAnsi"/>
        </w:rPr>
        <w:tab/>
      </w:r>
      <w:r w:rsidRPr="009A0DA6">
        <w:rPr>
          <w:rFonts w:ascii="Cambria" w:eastAsia="Times New Roman" w:hAnsi="Cambria" w:cstheme="minorHAnsi"/>
          <w:spacing w:val="1"/>
        </w:rPr>
        <w:t>(73,</w:t>
      </w:r>
      <w:r w:rsidRPr="009A0DA6">
        <w:rPr>
          <w:rFonts w:ascii="Cambria" w:eastAsia="Times New Roman" w:hAnsi="Cambria" w:cstheme="minorHAnsi"/>
          <w:spacing w:val="-1"/>
        </w:rPr>
        <w:t>6</w:t>
      </w:r>
      <w:r w:rsidRPr="009A0DA6">
        <w:rPr>
          <w:rFonts w:ascii="Cambria" w:eastAsia="Times New Roman" w:hAnsi="Cambria" w:cstheme="minorHAnsi"/>
          <w:spacing w:val="1"/>
        </w:rPr>
        <w:t>55</w:t>
      </w:r>
      <w:r w:rsidRPr="009A0DA6">
        <w:rPr>
          <w:rFonts w:ascii="Cambria" w:eastAsia="Times New Roman" w:hAnsi="Cambria" w:cstheme="minorHAnsi"/>
        </w:rPr>
        <w:t>)</w:t>
      </w:r>
      <w:r w:rsidRPr="009A0DA6">
        <w:rPr>
          <w:rFonts w:ascii="Cambria" w:eastAsia="Times New Roman" w:hAnsi="Cambria" w:cstheme="minorHAnsi"/>
        </w:rPr>
        <w:tab/>
        <w:t>236,797</w:t>
      </w:r>
    </w:p>
    <w:p w14:paraId="5F479FEA" w14:textId="77777777" w:rsidR="00BA4592" w:rsidRPr="009A0DA6" w:rsidRDefault="00BA4592" w:rsidP="00F55252">
      <w:pPr>
        <w:pStyle w:val="ListParagraph"/>
        <w:widowControl w:val="0"/>
        <w:numPr>
          <w:ilvl w:val="0"/>
          <w:numId w:val="275"/>
        </w:numPr>
        <w:tabs>
          <w:tab w:val="center" w:pos="4394"/>
          <w:tab w:val="right" w:pos="6095"/>
          <w:tab w:val="right" w:pos="7371"/>
          <w:tab w:val="right" w:pos="8647"/>
        </w:tabs>
        <w:spacing w:before="120" w:after="120" w:line="240" w:lineRule="auto"/>
        <w:ind w:left="425" w:right="-51" w:hanging="357"/>
        <w:rPr>
          <w:rFonts w:ascii="Cambria" w:hAnsi="Cambria" w:cstheme="minorHAnsi"/>
        </w:rPr>
      </w:pPr>
      <w:r w:rsidRPr="009A0DA6">
        <w:rPr>
          <w:rFonts w:ascii="Cambria" w:eastAsia="Times New Roman" w:hAnsi="Cambria" w:cstheme="minorHAnsi"/>
        </w:rPr>
        <w:t>Operational cash flows through reserve accounts</w:t>
      </w:r>
      <w:r w:rsidRPr="009A0DA6">
        <w:rPr>
          <w:rFonts w:ascii="Cambria" w:eastAsia="Times New Roman" w:hAnsi="Cambria" w:cstheme="minorHAnsi"/>
        </w:rPr>
        <w:tab/>
        <w:t>0</w:t>
      </w:r>
      <w:r w:rsidRPr="009A0DA6">
        <w:rPr>
          <w:rFonts w:ascii="Cambria" w:eastAsia="Times New Roman" w:hAnsi="Cambria" w:cstheme="minorHAnsi"/>
        </w:rPr>
        <w:tab/>
        <w:t>0</w:t>
      </w:r>
      <w:r w:rsidRPr="009A0DA6">
        <w:rPr>
          <w:rFonts w:ascii="Cambria" w:eastAsia="Times New Roman" w:hAnsi="Cambria" w:cstheme="minorHAnsi"/>
        </w:rPr>
        <w:tab/>
        <w:t>(476,462)</w:t>
      </w:r>
    </w:p>
    <w:p w14:paraId="59CEB543" w14:textId="77777777" w:rsidR="00BA4592" w:rsidRPr="009A0DA6" w:rsidRDefault="00BA4592" w:rsidP="00BA4592">
      <w:pPr>
        <w:tabs>
          <w:tab w:val="center" w:pos="4394"/>
          <w:tab w:val="right" w:pos="6095"/>
          <w:tab w:val="right" w:pos="7371"/>
          <w:tab w:val="right" w:pos="8647"/>
        </w:tabs>
        <w:spacing w:before="120" w:after="120" w:line="240" w:lineRule="auto"/>
        <w:ind w:right="-51"/>
        <w:contextualSpacing/>
        <w:rPr>
          <w:rFonts w:ascii="Cambria" w:eastAsia="Times New Roman" w:hAnsi="Cambria" w:cstheme="minorHAnsi"/>
          <w:b/>
        </w:rPr>
      </w:pPr>
      <w:r w:rsidRPr="009A0DA6">
        <w:rPr>
          <w:rFonts w:ascii="Cambria" w:eastAsia="Times New Roman" w:hAnsi="Cambria" w:cstheme="minorHAnsi"/>
          <w:b/>
        </w:rPr>
        <w:t>Cash flows from operations</w:t>
      </w:r>
      <w:r w:rsidRPr="009A0DA6">
        <w:rPr>
          <w:rFonts w:ascii="Cambria" w:eastAsia="Times New Roman" w:hAnsi="Cambria" w:cstheme="minorHAnsi"/>
          <w:b/>
        </w:rPr>
        <w:tab/>
      </w:r>
      <w:r w:rsidRPr="009A0DA6">
        <w:rPr>
          <w:rFonts w:ascii="Cambria" w:eastAsia="Times New Roman" w:hAnsi="Cambria" w:cstheme="minorHAnsi"/>
          <w:b/>
        </w:rPr>
        <w:tab/>
        <w:t>$</w:t>
      </w:r>
      <w:r w:rsidRPr="009A0DA6">
        <w:rPr>
          <w:rFonts w:ascii="Cambria" w:eastAsia="Times New Roman" w:hAnsi="Cambria" w:cstheme="minorHAnsi"/>
          <w:b/>
          <w:spacing w:val="1"/>
        </w:rPr>
        <w:t>389,</w:t>
      </w:r>
      <w:r w:rsidRPr="009A0DA6">
        <w:rPr>
          <w:rFonts w:ascii="Cambria" w:eastAsia="Times New Roman" w:hAnsi="Cambria" w:cstheme="minorHAnsi"/>
          <w:b/>
          <w:spacing w:val="-1"/>
        </w:rPr>
        <w:t>0</w:t>
      </w:r>
      <w:r w:rsidRPr="009A0DA6">
        <w:rPr>
          <w:rFonts w:ascii="Cambria" w:eastAsia="Times New Roman" w:hAnsi="Cambria" w:cstheme="minorHAnsi"/>
          <w:b/>
          <w:spacing w:val="1"/>
        </w:rPr>
        <w:t>2</w:t>
      </w:r>
      <w:r w:rsidRPr="009A0DA6">
        <w:rPr>
          <w:rFonts w:ascii="Cambria" w:eastAsia="Times New Roman" w:hAnsi="Cambria" w:cstheme="minorHAnsi"/>
          <w:b/>
        </w:rPr>
        <w:t>4</w:t>
      </w:r>
      <w:r w:rsidRPr="009A0DA6">
        <w:rPr>
          <w:rFonts w:ascii="Cambria" w:eastAsia="Times New Roman" w:hAnsi="Cambria" w:cstheme="minorHAnsi"/>
          <w:b/>
        </w:rPr>
        <w:tab/>
        <w:t>$</w:t>
      </w:r>
      <w:r w:rsidRPr="009A0DA6">
        <w:rPr>
          <w:rFonts w:ascii="Cambria" w:eastAsia="Times New Roman" w:hAnsi="Cambria" w:cstheme="minorHAnsi"/>
          <w:b/>
          <w:spacing w:val="1"/>
        </w:rPr>
        <w:t>1,67</w:t>
      </w:r>
      <w:r w:rsidRPr="009A0DA6">
        <w:rPr>
          <w:rFonts w:ascii="Cambria" w:eastAsia="Times New Roman" w:hAnsi="Cambria" w:cstheme="minorHAnsi"/>
          <w:b/>
          <w:spacing w:val="-1"/>
        </w:rPr>
        <w:t>2</w:t>
      </w:r>
      <w:r w:rsidRPr="009A0DA6">
        <w:rPr>
          <w:rFonts w:ascii="Cambria" w:eastAsia="Times New Roman" w:hAnsi="Cambria" w:cstheme="minorHAnsi"/>
          <w:b/>
          <w:spacing w:val="1"/>
        </w:rPr>
        <w:t>,7</w:t>
      </w:r>
      <w:r w:rsidRPr="009A0DA6">
        <w:rPr>
          <w:rFonts w:ascii="Cambria" w:eastAsia="Times New Roman" w:hAnsi="Cambria" w:cstheme="minorHAnsi"/>
          <w:b/>
          <w:spacing w:val="-1"/>
        </w:rPr>
        <w:t>2</w:t>
      </w:r>
      <w:r w:rsidRPr="009A0DA6">
        <w:rPr>
          <w:rFonts w:ascii="Cambria" w:eastAsia="Times New Roman" w:hAnsi="Cambria" w:cstheme="minorHAnsi"/>
          <w:b/>
        </w:rPr>
        <w:t>5</w:t>
      </w:r>
      <w:r w:rsidRPr="009A0DA6">
        <w:rPr>
          <w:rFonts w:ascii="Cambria" w:eastAsia="Times New Roman" w:hAnsi="Cambria" w:cstheme="minorHAnsi"/>
          <w:b/>
        </w:rPr>
        <w:tab/>
        <w:t>$(11,913)</w:t>
      </w:r>
    </w:p>
    <w:p w14:paraId="6A0CC2B3" w14:textId="77777777" w:rsidR="00BA4592" w:rsidRPr="009A0DA6" w:rsidRDefault="00BA4592" w:rsidP="00BA4592">
      <w:pPr>
        <w:tabs>
          <w:tab w:val="right" w:pos="5954"/>
          <w:tab w:val="right" w:pos="7371"/>
          <w:tab w:val="right" w:pos="8789"/>
        </w:tabs>
        <w:spacing w:before="120" w:after="120" w:line="240" w:lineRule="auto"/>
        <w:ind w:left="66" w:right="-51"/>
        <w:contextualSpacing/>
        <w:rPr>
          <w:rFonts w:ascii="Cambria" w:eastAsia="Times New Roman" w:hAnsi="Cambria" w:cstheme="minorHAnsi"/>
          <w:b/>
        </w:rPr>
      </w:pPr>
    </w:p>
    <w:p w14:paraId="0696346F" w14:textId="67C8E5A6" w:rsidR="00BA4592" w:rsidRPr="009A0DA6" w:rsidRDefault="00BA4592" w:rsidP="00BA4592">
      <w:pPr>
        <w:tabs>
          <w:tab w:val="right" w:pos="5954"/>
          <w:tab w:val="right" w:pos="7371"/>
          <w:tab w:val="right" w:pos="8789"/>
        </w:tabs>
        <w:spacing w:before="120" w:after="120" w:line="240" w:lineRule="auto"/>
        <w:ind w:right="-51"/>
        <w:contextualSpacing/>
        <w:rPr>
          <w:rFonts w:ascii="Cambria" w:eastAsiaTheme="minorEastAsia" w:hAnsi="Cambria" w:cstheme="minorHAnsi"/>
          <w:b/>
        </w:rPr>
      </w:pPr>
      <w:r w:rsidRPr="009A0DA6">
        <w:rPr>
          <w:rFonts w:ascii="Cambria" w:eastAsia="Times New Roman" w:hAnsi="Cambria" w:cstheme="minorHAnsi"/>
          <w:b/>
        </w:rPr>
        <w:t>Note 14</w:t>
      </w:r>
      <w:r w:rsidR="00351A0F">
        <w:rPr>
          <w:rFonts w:ascii="Cambria" w:eastAsia="Times New Roman" w:hAnsi="Cambria" w:cstheme="minorHAnsi"/>
          <w:b/>
        </w:rPr>
        <w:t>:</w:t>
      </w:r>
      <w:r w:rsidRPr="009A0DA6">
        <w:rPr>
          <w:rFonts w:ascii="Cambria" w:eastAsia="Times New Roman" w:hAnsi="Cambria" w:cstheme="minorHAnsi"/>
          <w:b/>
        </w:rPr>
        <w:t xml:space="preserve"> Contingent Liabilities</w:t>
      </w:r>
    </w:p>
    <w:p w14:paraId="4B662CE9" w14:textId="77777777" w:rsidR="00BA4592" w:rsidRPr="009A0DA6" w:rsidRDefault="00BA4592" w:rsidP="00BA4592">
      <w:pPr>
        <w:spacing w:before="120" w:after="120" w:line="240" w:lineRule="auto"/>
        <w:ind w:right="-51"/>
        <w:contextualSpacing/>
        <w:rPr>
          <w:rFonts w:ascii="Cambria" w:eastAsia="Times New Roman" w:hAnsi="Cambria" w:cstheme="minorHAnsi"/>
        </w:rPr>
      </w:pPr>
      <w:r w:rsidRPr="009A0DA6">
        <w:rPr>
          <w:rFonts w:ascii="Cambria" w:eastAsia="Times New Roman" w:hAnsi="Cambria" w:cstheme="minorHAnsi"/>
          <w:spacing w:val="3"/>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6"/>
        </w:rPr>
        <w:t xml:space="preserve"> </w:t>
      </w:r>
      <w:r w:rsidRPr="009A0DA6">
        <w:rPr>
          <w:rFonts w:ascii="Cambria" w:eastAsia="Times New Roman" w:hAnsi="Cambria" w:cstheme="minorHAnsi"/>
          <w:spacing w:val="-2"/>
        </w:rPr>
        <w:t>L</w:t>
      </w:r>
      <w:r w:rsidRPr="009A0DA6">
        <w:rPr>
          <w:rFonts w:ascii="Cambria" w:eastAsia="Times New Roman" w:hAnsi="Cambria" w:cstheme="minorHAnsi"/>
          <w:spacing w:val="-1"/>
        </w:rPr>
        <w:t>u</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1"/>
        </w:rPr>
        <w:t>r</w:t>
      </w:r>
      <w:r w:rsidRPr="009A0DA6">
        <w:rPr>
          <w:rFonts w:ascii="Cambria" w:eastAsia="Times New Roman" w:hAnsi="Cambria" w:cstheme="minorHAnsi"/>
          <w:spacing w:val="3"/>
        </w:rPr>
        <w:t>a</w:t>
      </w:r>
      <w:r w:rsidRPr="009A0DA6">
        <w:rPr>
          <w:rFonts w:ascii="Cambria" w:eastAsia="Times New Roman" w:hAnsi="Cambria" w:cstheme="minorHAnsi"/>
        </w:rPr>
        <w:t>n</w:t>
      </w:r>
      <w:r w:rsidRPr="009A0DA6">
        <w:rPr>
          <w:rFonts w:ascii="Cambria" w:eastAsia="Times New Roman" w:hAnsi="Cambria" w:cstheme="minorHAnsi"/>
          <w:spacing w:val="1"/>
        </w:rPr>
        <w:t xml:space="preserve"> </w:t>
      </w:r>
      <w:r w:rsidRPr="009A0DA6">
        <w:rPr>
          <w:rFonts w:ascii="Cambria" w:eastAsia="Times New Roman" w:hAnsi="Cambria" w:cstheme="minorHAnsi"/>
          <w:spacing w:val="-2"/>
        </w:rPr>
        <w:t>L</w:t>
      </w:r>
      <w:r w:rsidRPr="009A0DA6">
        <w:rPr>
          <w:rFonts w:ascii="Cambria" w:eastAsia="Times New Roman" w:hAnsi="Cambria" w:cstheme="minorHAnsi"/>
          <w:spacing w:val="3"/>
        </w:rPr>
        <w:t>a</w:t>
      </w:r>
      <w:r w:rsidRPr="009A0DA6">
        <w:rPr>
          <w:rFonts w:ascii="Cambria" w:eastAsia="Times New Roman" w:hAnsi="Cambria" w:cstheme="minorHAnsi"/>
          <w:spacing w:val="-1"/>
        </w:rPr>
        <w:t>y</w:t>
      </w:r>
      <w:r w:rsidRPr="009A0DA6">
        <w:rPr>
          <w:rFonts w:ascii="Cambria" w:eastAsia="Times New Roman" w:hAnsi="Cambria" w:cstheme="minorHAnsi"/>
          <w:spacing w:val="1"/>
        </w:rPr>
        <w:t>p</w:t>
      </w:r>
      <w:r w:rsidRPr="009A0DA6">
        <w:rPr>
          <w:rFonts w:ascii="Cambria" w:eastAsia="Times New Roman" w:hAnsi="Cambria" w:cstheme="minorHAnsi"/>
        </w:rPr>
        <w:t>e</w:t>
      </w:r>
      <w:r w:rsidRPr="009A0DA6">
        <w:rPr>
          <w:rFonts w:ascii="Cambria" w:eastAsia="Times New Roman" w:hAnsi="Cambria" w:cstheme="minorHAnsi"/>
          <w:spacing w:val="1"/>
        </w:rPr>
        <w:t>op</w:t>
      </w:r>
      <w:r w:rsidRPr="009A0DA6">
        <w:rPr>
          <w:rFonts w:ascii="Cambria" w:eastAsia="Times New Roman" w:hAnsi="Cambria" w:cstheme="minorHAnsi"/>
        </w:rPr>
        <w:t>le</w:t>
      </w:r>
      <w:r w:rsidRPr="009A0DA6">
        <w:rPr>
          <w:rFonts w:ascii="Cambria" w:eastAsia="Times New Roman" w:hAnsi="Cambria" w:cstheme="minorHAnsi"/>
          <w:spacing w:val="-1"/>
        </w:rPr>
        <w:t>’</w:t>
      </w:r>
      <w:r w:rsidRPr="009A0DA6">
        <w:rPr>
          <w:rFonts w:ascii="Cambria" w:eastAsia="Times New Roman" w:hAnsi="Cambria" w:cstheme="minorHAnsi"/>
        </w:rPr>
        <w:t>s</w:t>
      </w:r>
      <w:r w:rsidRPr="009A0DA6">
        <w:rPr>
          <w:rFonts w:ascii="Cambria" w:eastAsia="Times New Roman" w:hAnsi="Cambria" w:cstheme="minorHAnsi"/>
          <w:spacing w:val="1"/>
        </w:rPr>
        <w:t xml:space="preserve"> </w:t>
      </w:r>
      <w:r w:rsidRPr="009A0DA6">
        <w:rPr>
          <w:rFonts w:ascii="Cambria" w:eastAsia="Times New Roman" w:hAnsi="Cambria" w:cstheme="minorHAnsi"/>
          <w:spacing w:val="-2"/>
        </w:rPr>
        <w:t>L</w:t>
      </w:r>
      <w:r w:rsidRPr="009A0DA6">
        <w:rPr>
          <w:rFonts w:ascii="Cambria" w:eastAsia="Times New Roman" w:hAnsi="Cambria" w:cstheme="minorHAnsi"/>
          <w:spacing w:val="3"/>
        </w:rPr>
        <w:t>e</w:t>
      </w:r>
      <w:r w:rsidRPr="009A0DA6">
        <w:rPr>
          <w:rFonts w:ascii="Cambria" w:eastAsia="Times New Roman" w:hAnsi="Cambria" w:cstheme="minorHAnsi"/>
        </w:rPr>
        <w:t>a</w:t>
      </w:r>
      <w:r w:rsidRPr="009A0DA6">
        <w:rPr>
          <w:rFonts w:ascii="Cambria" w:eastAsia="Times New Roman" w:hAnsi="Cambria" w:cstheme="minorHAnsi"/>
          <w:spacing w:val="-1"/>
        </w:rPr>
        <w:t>gu</w:t>
      </w:r>
      <w:r w:rsidRPr="009A0DA6">
        <w:rPr>
          <w:rFonts w:ascii="Cambria" w:eastAsia="Times New Roman" w:hAnsi="Cambria" w:cstheme="minorHAnsi"/>
        </w:rPr>
        <w:t>e</w:t>
      </w:r>
      <w:r w:rsidRPr="009A0DA6">
        <w:rPr>
          <w:rFonts w:ascii="Cambria" w:eastAsia="Times New Roman" w:hAnsi="Cambria" w:cstheme="minorHAnsi"/>
          <w:spacing w:val="3"/>
        </w:rPr>
        <w:t xml:space="preserve"> </w:t>
      </w:r>
      <w:r w:rsidRPr="009A0DA6">
        <w:rPr>
          <w:rFonts w:ascii="Cambria" w:eastAsia="Times New Roman" w:hAnsi="Cambria" w:cstheme="minorHAnsi"/>
          <w:spacing w:val="1"/>
        </w:rPr>
        <w:t>o</w:t>
      </w:r>
      <w:r w:rsidRPr="009A0DA6">
        <w:rPr>
          <w:rFonts w:ascii="Cambria" w:eastAsia="Times New Roman" w:hAnsi="Cambria" w:cstheme="minorHAnsi"/>
        </w:rPr>
        <w:t>f</w:t>
      </w:r>
      <w:r w:rsidRPr="009A0DA6">
        <w:rPr>
          <w:rFonts w:ascii="Cambria" w:eastAsia="Times New Roman" w:hAnsi="Cambria" w:cstheme="minorHAnsi"/>
          <w:spacing w:val="9"/>
        </w:rPr>
        <w:t xml:space="preserve"> </w:t>
      </w:r>
      <w:r w:rsidRPr="009A0DA6">
        <w:rPr>
          <w:rFonts w:ascii="Cambria" w:eastAsia="Times New Roman" w:hAnsi="Cambria" w:cstheme="minorHAnsi"/>
        </w:rPr>
        <w:t>A</w:t>
      </w:r>
      <w:r w:rsidRPr="009A0DA6">
        <w:rPr>
          <w:rFonts w:ascii="Cambria" w:eastAsia="Times New Roman" w:hAnsi="Cambria" w:cstheme="minorHAnsi"/>
          <w:spacing w:val="-1"/>
        </w:rPr>
        <w:t>us</w:t>
      </w:r>
      <w:r w:rsidRPr="009A0DA6">
        <w:rPr>
          <w:rFonts w:ascii="Cambria" w:eastAsia="Times New Roman" w:hAnsi="Cambria" w:cstheme="minorHAnsi"/>
        </w:rPr>
        <w:t>t</w:t>
      </w:r>
      <w:r w:rsidRPr="009A0DA6">
        <w:rPr>
          <w:rFonts w:ascii="Cambria" w:eastAsia="Times New Roman" w:hAnsi="Cambria" w:cstheme="minorHAnsi"/>
          <w:spacing w:val="1"/>
        </w:rPr>
        <w:t>r</w:t>
      </w:r>
      <w:r w:rsidRPr="009A0DA6">
        <w:rPr>
          <w:rFonts w:ascii="Cambria" w:eastAsia="Times New Roman" w:hAnsi="Cambria" w:cstheme="minorHAnsi"/>
        </w:rPr>
        <w:t>alia</w:t>
      </w:r>
      <w:r w:rsidRPr="009A0DA6">
        <w:rPr>
          <w:rFonts w:ascii="Cambria" w:eastAsia="Times New Roman" w:hAnsi="Cambria" w:cstheme="minorHAnsi"/>
          <w:spacing w:val="2"/>
        </w:rPr>
        <w:t xml:space="preserve"> </w:t>
      </w:r>
      <w:r w:rsidRPr="009A0DA6">
        <w:rPr>
          <w:rFonts w:ascii="Cambria" w:eastAsia="Times New Roman" w:hAnsi="Cambria" w:cstheme="minorHAnsi"/>
          <w:spacing w:val="1"/>
        </w:rPr>
        <w:t>I</w:t>
      </w:r>
      <w:r w:rsidRPr="009A0DA6">
        <w:rPr>
          <w:rFonts w:ascii="Cambria" w:eastAsia="Times New Roman" w:hAnsi="Cambria" w:cstheme="minorHAnsi"/>
          <w:spacing w:val="-1"/>
        </w:rPr>
        <w:t>n</w:t>
      </w:r>
      <w:r w:rsidRPr="009A0DA6">
        <w:rPr>
          <w:rFonts w:ascii="Cambria" w:eastAsia="Times New Roman" w:hAnsi="Cambria" w:cstheme="minorHAnsi"/>
        </w:rPr>
        <w:t>c</w:t>
      </w:r>
      <w:r w:rsidRPr="009A0DA6">
        <w:rPr>
          <w:rFonts w:ascii="Cambria" w:eastAsia="Times New Roman" w:hAnsi="Cambria" w:cstheme="minorHAnsi"/>
          <w:spacing w:val="1"/>
        </w:rPr>
        <w:t>orpor</w:t>
      </w:r>
      <w:r w:rsidRPr="009A0DA6">
        <w:rPr>
          <w:rFonts w:ascii="Cambria" w:eastAsia="Times New Roman" w:hAnsi="Cambria" w:cstheme="minorHAnsi"/>
        </w:rPr>
        <w:t xml:space="preserve">ated </w:t>
      </w:r>
      <w:r w:rsidRPr="009A0DA6">
        <w:rPr>
          <w:rFonts w:ascii="Cambria" w:eastAsia="Times New Roman" w:hAnsi="Cambria" w:cstheme="minorHAnsi"/>
          <w:spacing w:val="1"/>
        </w:rPr>
        <w:t>(</w:t>
      </w:r>
      <w:r w:rsidRPr="009A0DA6">
        <w:rPr>
          <w:rFonts w:ascii="Cambria" w:eastAsia="Times New Roman" w:hAnsi="Cambria" w:cstheme="minorHAnsi"/>
          <w:spacing w:val="-2"/>
        </w:rPr>
        <w:t>L</w:t>
      </w:r>
      <w:r w:rsidRPr="009A0DA6">
        <w:rPr>
          <w:rFonts w:ascii="Cambria" w:eastAsia="Times New Roman" w:hAnsi="Cambria" w:cstheme="minorHAnsi"/>
          <w:spacing w:val="1"/>
        </w:rPr>
        <w:t>L</w:t>
      </w:r>
      <w:r w:rsidRPr="009A0DA6">
        <w:rPr>
          <w:rFonts w:ascii="Cambria" w:eastAsia="Times New Roman" w:hAnsi="Cambria" w:cstheme="minorHAnsi"/>
          <w:spacing w:val="-2"/>
        </w:rPr>
        <w:t>L</w:t>
      </w:r>
      <w:r w:rsidRPr="009A0DA6">
        <w:rPr>
          <w:rFonts w:ascii="Cambria" w:eastAsia="Times New Roman" w:hAnsi="Cambria" w:cstheme="minorHAnsi"/>
        </w:rPr>
        <w:t>)</w:t>
      </w:r>
      <w:r w:rsidRPr="009A0DA6">
        <w:rPr>
          <w:rFonts w:ascii="Cambria" w:eastAsia="Times New Roman" w:hAnsi="Cambria" w:cstheme="minorHAnsi"/>
          <w:spacing w:val="5"/>
        </w:rPr>
        <w:t xml:space="preserve"> </w:t>
      </w:r>
      <w:r w:rsidRPr="009A0DA6">
        <w:rPr>
          <w:rFonts w:ascii="Cambria" w:eastAsia="Times New Roman" w:hAnsi="Cambria" w:cstheme="minorHAnsi"/>
          <w:spacing w:val="1"/>
        </w:rPr>
        <w:t>pro</w:t>
      </w:r>
      <w:r w:rsidRPr="009A0DA6">
        <w:rPr>
          <w:rFonts w:ascii="Cambria" w:eastAsia="Times New Roman" w:hAnsi="Cambria" w:cstheme="minorHAnsi"/>
          <w:spacing w:val="-1"/>
        </w:rPr>
        <w:t>v</w:t>
      </w:r>
      <w:r w:rsidRPr="009A0DA6">
        <w:rPr>
          <w:rFonts w:ascii="Cambria" w:eastAsia="Times New Roman" w:hAnsi="Cambria" w:cstheme="minorHAnsi"/>
        </w:rPr>
        <w:t>i</w:t>
      </w:r>
      <w:r w:rsidRPr="009A0DA6">
        <w:rPr>
          <w:rFonts w:ascii="Cambria" w:eastAsia="Times New Roman" w:hAnsi="Cambria" w:cstheme="minorHAnsi"/>
          <w:spacing w:val="1"/>
        </w:rPr>
        <w:t>d</w:t>
      </w:r>
      <w:r w:rsidRPr="009A0DA6">
        <w:rPr>
          <w:rFonts w:ascii="Cambria" w:eastAsia="Times New Roman" w:hAnsi="Cambria" w:cstheme="minorHAnsi"/>
        </w:rPr>
        <w:t>es</w:t>
      </w:r>
      <w:r w:rsidRPr="009A0DA6">
        <w:rPr>
          <w:rFonts w:ascii="Cambria" w:eastAsia="Times New Roman" w:hAnsi="Cambria" w:cstheme="minorHAnsi"/>
          <w:spacing w:val="1"/>
        </w:rPr>
        <w:t xml:space="preserve"> </w:t>
      </w:r>
      <w:r w:rsidRPr="009A0DA6">
        <w:rPr>
          <w:rFonts w:ascii="Cambria" w:eastAsia="Times New Roman" w:hAnsi="Cambria" w:cstheme="minorHAnsi"/>
          <w:spacing w:val="-1"/>
        </w:rPr>
        <w:t>f</w:t>
      </w:r>
      <w:r w:rsidRPr="009A0DA6">
        <w:rPr>
          <w:rFonts w:ascii="Cambria" w:eastAsia="Times New Roman" w:hAnsi="Cambria" w:cstheme="minorHAnsi"/>
        </w:rPr>
        <w:t>i</w:t>
      </w:r>
      <w:r w:rsidRPr="009A0DA6">
        <w:rPr>
          <w:rFonts w:ascii="Cambria" w:eastAsia="Times New Roman" w:hAnsi="Cambria" w:cstheme="minorHAnsi"/>
          <w:spacing w:val="-1"/>
        </w:rPr>
        <w:t>n</w:t>
      </w:r>
      <w:r w:rsidRPr="009A0DA6">
        <w:rPr>
          <w:rFonts w:ascii="Cambria" w:eastAsia="Times New Roman" w:hAnsi="Cambria" w:cstheme="minorHAnsi"/>
          <w:spacing w:val="3"/>
        </w:rPr>
        <w:t>a</w:t>
      </w:r>
      <w:r w:rsidRPr="009A0DA6">
        <w:rPr>
          <w:rFonts w:ascii="Cambria" w:eastAsia="Times New Roman" w:hAnsi="Cambria" w:cstheme="minorHAnsi"/>
          <w:spacing w:val="-1"/>
        </w:rPr>
        <w:t>n</w:t>
      </w:r>
      <w:r w:rsidRPr="009A0DA6">
        <w:rPr>
          <w:rFonts w:ascii="Cambria" w:eastAsia="Times New Roman" w:hAnsi="Cambria" w:cstheme="minorHAnsi"/>
        </w:rPr>
        <w:t>cial</w:t>
      </w:r>
      <w:r w:rsidRPr="009A0DA6">
        <w:rPr>
          <w:rFonts w:ascii="Cambria" w:eastAsia="Times New Roman" w:hAnsi="Cambria" w:cstheme="minorHAnsi"/>
          <w:spacing w:val="2"/>
        </w:rPr>
        <w:t xml:space="preserve"> s</w:t>
      </w:r>
      <w:r w:rsidRPr="009A0DA6">
        <w:rPr>
          <w:rFonts w:ascii="Cambria" w:eastAsia="Times New Roman" w:hAnsi="Cambria" w:cstheme="minorHAnsi"/>
          <w:spacing w:val="1"/>
        </w:rPr>
        <w:t>uppor</w:t>
      </w:r>
      <w:r w:rsidRPr="009A0DA6">
        <w:rPr>
          <w:rFonts w:ascii="Cambria" w:eastAsia="Times New Roman" w:hAnsi="Cambria" w:cstheme="minorHAnsi"/>
        </w:rPr>
        <w:t>t to</w:t>
      </w:r>
      <w:r w:rsidRPr="009A0DA6">
        <w:rPr>
          <w:rFonts w:ascii="Cambria" w:eastAsia="Times New Roman" w:hAnsi="Cambria" w:cstheme="minorHAnsi"/>
          <w:spacing w:val="9"/>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7"/>
        </w:rPr>
        <w:t xml:space="preserve"> </w:t>
      </w:r>
      <w:r w:rsidRPr="009A0DA6">
        <w:rPr>
          <w:rFonts w:ascii="Cambria" w:eastAsia="Times New Roman" w:hAnsi="Cambria" w:cstheme="minorHAnsi"/>
          <w:spacing w:val="-2"/>
        </w:rPr>
        <w:t>L</w:t>
      </w:r>
      <w:r w:rsidRPr="009A0DA6">
        <w:rPr>
          <w:rFonts w:ascii="Cambria" w:eastAsia="Times New Roman" w:hAnsi="Cambria" w:cstheme="minorHAnsi"/>
          <w:spacing w:val="2"/>
        </w:rPr>
        <w:t>C</w:t>
      </w:r>
      <w:r w:rsidRPr="009A0DA6">
        <w:rPr>
          <w:rFonts w:ascii="Cambria" w:eastAsia="Times New Roman" w:hAnsi="Cambria" w:cstheme="minorHAnsi"/>
        </w:rPr>
        <w:t>A a</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spacing w:val="6"/>
        </w:rPr>
        <w:t xml:space="preserve"> </w:t>
      </w:r>
      <w:r w:rsidRPr="009A0DA6">
        <w:rPr>
          <w:rFonts w:ascii="Cambria" w:eastAsia="Times New Roman" w:hAnsi="Cambria" w:cstheme="minorHAnsi"/>
        </w:rPr>
        <w:t>its</w:t>
      </w:r>
      <w:r w:rsidRPr="009A0DA6">
        <w:rPr>
          <w:rFonts w:ascii="Cambria" w:eastAsia="Times New Roman" w:hAnsi="Cambria" w:cstheme="minorHAnsi"/>
          <w:spacing w:val="8"/>
        </w:rPr>
        <w:t xml:space="preserve"> </w:t>
      </w:r>
      <w:r w:rsidRPr="009A0DA6">
        <w:rPr>
          <w:rFonts w:ascii="Cambria" w:eastAsia="Times New Roman" w:hAnsi="Cambria" w:cstheme="minorHAnsi"/>
          <w:spacing w:val="1"/>
        </w:rPr>
        <w:t>u</w:t>
      </w:r>
      <w:r w:rsidRPr="009A0DA6">
        <w:rPr>
          <w:rFonts w:ascii="Cambria" w:eastAsia="Times New Roman" w:hAnsi="Cambria" w:cstheme="minorHAnsi"/>
          <w:spacing w:val="-4"/>
        </w:rPr>
        <w:t>m</w:t>
      </w:r>
      <w:r w:rsidRPr="009A0DA6">
        <w:rPr>
          <w:rFonts w:ascii="Cambria" w:eastAsia="Times New Roman" w:hAnsi="Cambria" w:cstheme="minorHAnsi"/>
          <w:spacing w:val="1"/>
        </w:rPr>
        <w:t>br</w:t>
      </w:r>
      <w:r w:rsidRPr="009A0DA6">
        <w:rPr>
          <w:rFonts w:ascii="Cambria" w:eastAsia="Times New Roman" w:hAnsi="Cambria" w:cstheme="minorHAnsi"/>
        </w:rPr>
        <w:t>ella</w:t>
      </w:r>
      <w:r w:rsidRPr="009A0DA6">
        <w:rPr>
          <w:rFonts w:ascii="Cambria" w:eastAsia="Times New Roman" w:hAnsi="Cambria" w:cstheme="minorHAnsi"/>
          <w:spacing w:val="4"/>
        </w:rPr>
        <w:t xml:space="preserve"> </w:t>
      </w:r>
      <w:r w:rsidRPr="009A0DA6">
        <w:rPr>
          <w:rFonts w:ascii="Cambria" w:eastAsia="Times New Roman" w:hAnsi="Cambria" w:cstheme="minorHAnsi"/>
        </w:rPr>
        <w:t>e</w:t>
      </w:r>
      <w:r w:rsidRPr="009A0DA6">
        <w:rPr>
          <w:rFonts w:ascii="Cambria" w:eastAsia="Times New Roman" w:hAnsi="Cambria" w:cstheme="minorHAnsi"/>
          <w:spacing w:val="-1"/>
        </w:rPr>
        <w:t>n</w:t>
      </w:r>
      <w:r w:rsidRPr="009A0DA6">
        <w:rPr>
          <w:rFonts w:ascii="Cambria" w:eastAsia="Times New Roman" w:hAnsi="Cambria" w:cstheme="minorHAnsi"/>
        </w:rPr>
        <w:t>t</w:t>
      </w:r>
      <w:r w:rsidRPr="009A0DA6">
        <w:rPr>
          <w:rFonts w:ascii="Cambria" w:eastAsia="Times New Roman" w:hAnsi="Cambria" w:cstheme="minorHAnsi"/>
          <w:spacing w:val="2"/>
        </w:rPr>
        <w:t>i</w:t>
      </w:r>
      <w:r w:rsidRPr="009A0DA6">
        <w:rPr>
          <w:rFonts w:ascii="Cambria" w:eastAsia="Times New Roman" w:hAnsi="Cambria" w:cstheme="minorHAnsi"/>
        </w:rPr>
        <w:t>ties</w:t>
      </w:r>
      <w:r w:rsidRPr="009A0DA6">
        <w:rPr>
          <w:rFonts w:ascii="Cambria" w:eastAsia="Times New Roman" w:hAnsi="Cambria" w:cstheme="minorHAnsi"/>
          <w:spacing w:val="1"/>
        </w:rPr>
        <w:t xml:space="preserve"> </w:t>
      </w:r>
      <w:r w:rsidRPr="009A0DA6">
        <w:rPr>
          <w:rFonts w:ascii="Cambria" w:eastAsia="Times New Roman" w:hAnsi="Cambria" w:cstheme="minorHAnsi"/>
          <w:spacing w:val="2"/>
        </w:rPr>
        <w:t>t</w:t>
      </w:r>
      <w:r w:rsidRPr="009A0DA6">
        <w:rPr>
          <w:rFonts w:ascii="Cambria" w:eastAsia="Times New Roman" w:hAnsi="Cambria" w:cstheme="minorHAnsi"/>
          <w:spacing w:val="-1"/>
        </w:rPr>
        <w:t>h</w:t>
      </w:r>
      <w:r w:rsidRPr="009A0DA6">
        <w:rPr>
          <w:rFonts w:ascii="Cambria" w:eastAsia="Times New Roman" w:hAnsi="Cambria" w:cstheme="minorHAnsi"/>
          <w:spacing w:val="3"/>
        </w:rPr>
        <w:t>r</w:t>
      </w:r>
      <w:r w:rsidRPr="009A0DA6">
        <w:rPr>
          <w:rFonts w:ascii="Cambria" w:eastAsia="Times New Roman" w:hAnsi="Cambria" w:cstheme="minorHAnsi"/>
          <w:spacing w:val="1"/>
        </w:rPr>
        <w:t>o</w:t>
      </w:r>
      <w:r w:rsidRPr="009A0DA6">
        <w:rPr>
          <w:rFonts w:ascii="Cambria" w:eastAsia="Times New Roman" w:hAnsi="Cambria" w:cstheme="minorHAnsi"/>
          <w:spacing w:val="-1"/>
        </w:rPr>
        <w:t>u</w:t>
      </w:r>
      <w:r w:rsidRPr="009A0DA6">
        <w:rPr>
          <w:rFonts w:ascii="Cambria" w:eastAsia="Times New Roman" w:hAnsi="Cambria" w:cstheme="minorHAnsi"/>
          <w:spacing w:val="1"/>
        </w:rPr>
        <w:t>g</w:t>
      </w:r>
      <w:r w:rsidRPr="009A0DA6">
        <w:rPr>
          <w:rFonts w:ascii="Cambria" w:eastAsia="Times New Roman" w:hAnsi="Cambria" w:cstheme="minorHAnsi"/>
        </w:rPr>
        <w:t>h</w:t>
      </w:r>
      <w:r w:rsidRPr="009A0DA6">
        <w:rPr>
          <w:rFonts w:ascii="Cambria" w:eastAsia="Times New Roman" w:hAnsi="Cambria" w:cstheme="minorHAnsi"/>
          <w:spacing w:val="1"/>
        </w:rPr>
        <w:t xml:space="preserve"> </w:t>
      </w:r>
      <w:r w:rsidRPr="009A0DA6">
        <w:rPr>
          <w:rFonts w:ascii="Cambria" w:eastAsia="Times New Roman" w:hAnsi="Cambria" w:cstheme="minorHAnsi"/>
          <w:spacing w:val="2"/>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5"/>
        </w:rPr>
        <w:t xml:space="preserve"> </w:t>
      </w:r>
      <w:r w:rsidRPr="009A0DA6">
        <w:rPr>
          <w:rFonts w:ascii="Cambria" w:eastAsia="Times New Roman" w:hAnsi="Cambria" w:cstheme="minorHAnsi"/>
          <w:spacing w:val="1"/>
        </w:rPr>
        <w:t>pro</w:t>
      </w:r>
      <w:r w:rsidRPr="009A0DA6">
        <w:rPr>
          <w:rFonts w:ascii="Cambria" w:eastAsia="Times New Roman" w:hAnsi="Cambria" w:cstheme="minorHAnsi"/>
          <w:spacing w:val="-1"/>
        </w:rPr>
        <w:t>v</w:t>
      </w:r>
      <w:r w:rsidRPr="009A0DA6">
        <w:rPr>
          <w:rFonts w:ascii="Cambria" w:eastAsia="Times New Roman" w:hAnsi="Cambria" w:cstheme="minorHAnsi"/>
        </w:rPr>
        <w:t>i</w:t>
      </w:r>
      <w:r w:rsidRPr="009A0DA6">
        <w:rPr>
          <w:rFonts w:ascii="Cambria" w:eastAsia="Times New Roman" w:hAnsi="Cambria" w:cstheme="minorHAnsi"/>
          <w:spacing w:val="-1"/>
        </w:rPr>
        <w:t>s</w:t>
      </w:r>
      <w:r w:rsidRPr="009A0DA6">
        <w:rPr>
          <w:rFonts w:ascii="Cambria" w:eastAsia="Times New Roman" w:hAnsi="Cambria" w:cstheme="minorHAnsi"/>
        </w:rPr>
        <w:t>i</w:t>
      </w:r>
      <w:r w:rsidRPr="009A0DA6">
        <w:rPr>
          <w:rFonts w:ascii="Cambria" w:eastAsia="Times New Roman" w:hAnsi="Cambria" w:cstheme="minorHAnsi"/>
          <w:spacing w:val="1"/>
        </w:rPr>
        <w:t>o</w:t>
      </w:r>
      <w:r w:rsidRPr="009A0DA6">
        <w:rPr>
          <w:rFonts w:ascii="Cambria" w:eastAsia="Times New Roman" w:hAnsi="Cambria" w:cstheme="minorHAnsi"/>
        </w:rPr>
        <w:t>n</w:t>
      </w:r>
      <w:r w:rsidRPr="009A0DA6">
        <w:rPr>
          <w:rFonts w:ascii="Cambria" w:eastAsia="Times New Roman" w:hAnsi="Cambria" w:cstheme="minorHAnsi"/>
          <w:spacing w:val="1"/>
        </w:rPr>
        <w:t xml:space="preserve"> o</w:t>
      </w:r>
      <w:r w:rsidRPr="009A0DA6">
        <w:rPr>
          <w:rFonts w:ascii="Cambria" w:eastAsia="Times New Roman" w:hAnsi="Cambria" w:cstheme="minorHAnsi"/>
        </w:rPr>
        <w:t>f</w:t>
      </w:r>
      <w:r w:rsidRPr="009A0DA6">
        <w:rPr>
          <w:rFonts w:ascii="Cambria" w:eastAsia="Times New Roman" w:hAnsi="Cambria" w:cstheme="minorHAnsi"/>
          <w:spacing w:val="7"/>
        </w:rPr>
        <w:t xml:space="preserve"> </w:t>
      </w:r>
      <w:r w:rsidRPr="009A0DA6">
        <w:rPr>
          <w:rFonts w:ascii="Cambria" w:eastAsia="Times New Roman" w:hAnsi="Cambria" w:cstheme="minorHAnsi"/>
          <w:spacing w:val="-1"/>
        </w:rPr>
        <w:t>f</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spacing w:val="3"/>
        </w:rPr>
        <w:t>c</w:t>
      </w:r>
      <w:r w:rsidRPr="009A0DA6">
        <w:rPr>
          <w:rFonts w:ascii="Cambria" w:eastAsia="Times New Roman" w:hAnsi="Cambria" w:cstheme="minorHAnsi"/>
        </w:rPr>
        <w:t>e</w:t>
      </w:r>
      <w:r w:rsidRPr="009A0DA6">
        <w:rPr>
          <w:rFonts w:ascii="Cambria" w:eastAsia="Times New Roman" w:hAnsi="Cambria" w:cstheme="minorHAnsi"/>
          <w:spacing w:val="2"/>
        </w:rPr>
        <w:t xml:space="preserve"> </w:t>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spacing w:val="6"/>
        </w:rPr>
        <w:t xml:space="preserve"> </w:t>
      </w:r>
      <w:r w:rsidRPr="009A0DA6">
        <w:rPr>
          <w:rFonts w:ascii="Cambria" w:eastAsia="Times New Roman" w:hAnsi="Cambria" w:cstheme="minorHAnsi"/>
          <w:spacing w:val="-1"/>
        </w:rPr>
        <w:t>s</w:t>
      </w:r>
      <w:r w:rsidRPr="009A0DA6">
        <w:rPr>
          <w:rFonts w:ascii="Cambria" w:eastAsia="Times New Roman" w:hAnsi="Cambria" w:cstheme="minorHAnsi"/>
        </w:rPr>
        <w:t>e</w:t>
      </w:r>
      <w:r w:rsidRPr="009A0DA6">
        <w:rPr>
          <w:rFonts w:ascii="Cambria" w:eastAsia="Times New Roman" w:hAnsi="Cambria" w:cstheme="minorHAnsi"/>
          <w:spacing w:val="1"/>
        </w:rPr>
        <w:t>r</w:t>
      </w:r>
      <w:r w:rsidRPr="009A0DA6">
        <w:rPr>
          <w:rFonts w:ascii="Cambria" w:eastAsia="Times New Roman" w:hAnsi="Cambria" w:cstheme="minorHAnsi"/>
          <w:spacing w:val="-1"/>
        </w:rPr>
        <w:t>v</w:t>
      </w:r>
      <w:r w:rsidRPr="009A0DA6">
        <w:rPr>
          <w:rFonts w:ascii="Cambria" w:eastAsia="Times New Roman" w:hAnsi="Cambria" w:cstheme="minorHAnsi"/>
        </w:rPr>
        <w:t>ic</w:t>
      </w:r>
      <w:r w:rsidRPr="009A0DA6">
        <w:rPr>
          <w:rFonts w:ascii="Cambria" w:eastAsia="Times New Roman" w:hAnsi="Cambria" w:cstheme="minorHAnsi"/>
          <w:spacing w:val="3"/>
        </w:rPr>
        <w:t>e</w:t>
      </w:r>
      <w:r w:rsidRPr="009A0DA6">
        <w:rPr>
          <w:rFonts w:ascii="Cambria" w:eastAsia="Times New Roman" w:hAnsi="Cambria" w:cstheme="minorHAnsi"/>
          <w:spacing w:val="-1"/>
        </w:rPr>
        <w:t>s</w:t>
      </w:r>
      <w:r w:rsidRPr="009A0DA6">
        <w:rPr>
          <w:rFonts w:ascii="Cambria" w:eastAsia="Times New Roman" w:hAnsi="Cambria" w:cstheme="minorHAnsi"/>
        </w:rPr>
        <w:t>.</w:t>
      </w:r>
      <w:r w:rsidRPr="009A0DA6">
        <w:rPr>
          <w:rFonts w:ascii="Cambria" w:eastAsia="Times New Roman" w:hAnsi="Cambria" w:cstheme="minorHAnsi"/>
          <w:spacing w:val="2"/>
        </w:rPr>
        <w:t xml:space="preserve"> </w:t>
      </w:r>
      <w:r w:rsidRPr="009A0DA6">
        <w:rPr>
          <w:rFonts w:ascii="Cambria" w:eastAsia="Times New Roman" w:hAnsi="Cambria" w:cstheme="minorHAnsi"/>
          <w:spacing w:val="3"/>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5"/>
        </w:rPr>
        <w:t xml:space="preserve"> </w:t>
      </w:r>
      <w:r w:rsidRPr="009A0DA6">
        <w:rPr>
          <w:rFonts w:ascii="Cambria" w:eastAsia="Times New Roman" w:hAnsi="Cambria" w:cstheme="minorHAnsi"/>
          <w:spacing w:val="1"/>
        </w:rPr>
        <w:t>L</w:t>
      </w:r>
      <w:r w:rsidRPr="009A0DA6">
        <w:rPr>
          <w:rFonts w:ascii="Cambria" w:eastAsia="Times New Roman" w:hAnsi="Cambria" w:cstheme="minorHAnsi"/>
          <w:spacing w:val="2"/>
        </w:rPr>
        <w:t>C</w:t>
      </w:r>
      <w:r w:rsidRPr="009A0DA6">
        <w:rPr>
          <w:rFonts w:ascii="Cambria" w:eastAsia="Times New Roman" w:hAnsi="Cambria" w:cstheme="minorHAnsi"/>
        </w:rPr>
        <w:t>A</w:t>
      </w:r>
      <w:r w:rsidRPr="009A0DA6">
        <w:rPr>
          <w:rFonts w:ascii="Cambria" w:eastAsia="Times New Roman" w:hAnsi="Cambria" w:cstheme="minorHAnsi"/>
          <w:spacing w:val="2"/>
        </w:rPr>
        <w:t xml:space="preserve"> </w:t>
      </w:r>
      <w:r w:rsidRPr="009A0DA6">
        <w:rPr>
          <w:rFonts w:ascii="Cambria" w:eastAsia="Times New Roman" w:hAnsi="Cambria" w:cstheme="minorHAnsi"/>
          <w:spacing w:val="1"/>
        </w:rPr>
        <w:t>p</w:t>
      </w:r>
      <w:r w:rsidRPr="009A0DA6">
        <w:rPr>
          <w:rFonts w:ascii="Cambria" w:eastAsia="Times New Roman" w:hAnsi="Cambria" w:cstheme="minorHAnsi"/>
          <w:spacing w:val="3"/>
        </w:rPr>
        <w:t>r</w:t>
      </w:r>
      <w:r w:rsidRPr="009A0DA6">
        <w:rPr>
          <w:rFonts w:ascii="Cambria" w:eastAsia="Times New Roman" w:hAnsi="Cambria" w:cstheme="minorHAnsi"/>
          <w:spacing w:val="1"/>
        </w:rPr>
        <w:t>o</w:t>
      </w:r>
      <w:r w:rsidRPr="009A0DA6">
        <w:rPr>
          <w:rFonts w:ascii="Cambria" w:eastAsia="Times New Roman" w:hAnsi="Cambria" w:cstheme="minorHAnsi"/>
          <w:spacing w:val="-1"/>
        </w:rPr>
        <w:t>v</w:t>
      </w:r>
      <w:r w:rsidRPr="009A0DA6">
        <w:rPr>
          <w:rFonts w:ascii="Cambria" w:eastAsia="Times New Roman" w:hAnsi="Cambria" w:cstheme="minorHAnsi"/>
        </w:rPr>
        <w:t>i</w:t>
      </w:r>
      <w:r w:rsidRPr="009A0DA6">
        <w:rPr>
          <w:rFonts w:ascii="Cambria" w:eastAsia="Times New Roman" w:hAnsi="Cambria" w:cstheme="minorHAnsi"/>
          <w:spacing w:val="1"/>
        </w:rPr>
        <w:t>d</w:t>
      </w:r>
      <w:r w:rsidRPr="009A0DA6">
        <w:rPr>
          <w:rFonts w:ascii="Cambria" w:eastAsia="Times New Roman" w:hAnsi="Cambria" w:cstheme="minorHAnsi"/>
        </w:rPr>
        <w:t>es a</w:t>
      </w:r>
      <w:r w:rsidRPr="009A0DA6">
        <w:rPr>
          <w:rFonts w:ascii="Cambria" w:eastAsia="Times New Roman" w:hAnsi="Cambria" w:cstheme="minorHAnsi"/>
          <w:spacing w:val="7"/>
        </w:rPr>
        <w:t xml:space="preserve"> </w:t>
      </w:r>
      <w:r w:rsidRPr="009A0DA6">
        <w:rPr>
          <w:rFonts w:ascii="Cambria" w:eastAsia="Times New Roman" w:hAnsi="Cambria" w:cstheme="minorHAnsi"/>
          <w:spacing w:val="-1"/>
        </w:rPr>
        <w:t>g</w:t>
      </w:r>
      <w:r w:rsidRPr="009A0DA6">
        <w:rPr>
          <w:rFonts w:ascii="Cambria" w:eastAsia="Times New Roman" w:hAnsi="Cambria" w:cstheme="minorHAnsi"/>
          <w:spacing w:val="3"/>
        </w:rPr>
        <w:t>e</w:t>
      </w:r>
      <w:r w:rsidRPr="009A0DA6">
        <w:rPr>
          <w:rFonts w:ascii="Cambria" w:eastAsia="Times New Roman" w:hAnsi="Cambria" w:cstheme="minorHAnsi"/>
          <w:spacing w:val="-1"/>
        </w:rPr>
        <w:t>n</w:t>
      </w:r>
      <w:r w:rsidRPr="009A0DA6">
        <w:rPr>
          <w:rFonts w:ascii="Cambria" w:eastAsia="Times New Roman" w:hAnsi="Cambria" w:cstheme="minorHAnsi"/>
        </w:rPr>
        <w:t>e</w:t>
      </w:r>
      <w:r w:rsidRPr="009A0DA6">
        <w:rPr>
          <w:rFonts w:ascii="Cambria" w:eastAsia="Times New Roman" w:hAnsi="Cambria" w:cstheme="minorHAnsi"/>
          <w:spacing w:val="1"/>
        </w:rPr>
        <w:t>r</w:t>
      </w:r>
      <w:r w:rsidRPr="009A0DA6">
        <w:rPr>
          <w:rFonts w:ascii="Cambria" w:eastAsia="Times New Roman" w:hAnsi="Cambria" w:cstheme="minorHAnsi"/>
        </w:rPr>
        <w:t xml:space="preserve">al </w:t>
      </w:r>
      <w:r w:rsidRPr="009A0DA6">
        <w:rPr>
          <w:rFonts w:ascii="Cambria" w:eastAsia="Times New Roman" w:hAnsi="Cambria" w:cstheme="minorHAnsi"/>
          <w:spacing w:val="-1"/>
        </w:rPr>
        <w:t>gu</w:t>
      </w:r>
      <w:r w:rsidRPr="009A0DA6">
        <w:rPr>
          <w:rFonts w:ascii="Cambria" w:eastAsia="Times New Roman" w:hAnsi="Cambria" w:cstheme="minorHAnsi"/>
        </w:rPr>
        <w:t>a</w:t>
      </w:r>
      <w:r w:rsidRPr="009A0DA6">
        <w:rPr>
          <w:rFonts w:ascii="Cambria" w:eastAsia="Times New Roman" w:hAnsi="Cambria" w:cstheme="minorHAnsi"/>
          <w:spacing w:val="1"/>
        </w:rPr>
        <w:t>r</w:t>
      </w:r>
      <w:r w:rsidRPr="009A0DA6">
        <w:rPr>
          <w:rFonts w:ascii="Cambria" w:eastAsia="Times New Roman" w:hAnsi="Cambria" w:cstheme="minorHAnsi"/>
          <w:spacing w:val="3"/>
        </w:rPr>
        <w:t>a</w:t>
      </w:r>
      <w:r w:rsidRPr="009A0DA6">
        <w:rPr>
          <w:rFonts w:ascii="Cambria" w:eastAsia="Times New Roman" w:hAnsi="Cambria" w:cstheme="minorHAnsi"/>
          <w:spacing w:val="-1"/>
        </w:rPr>
        <w:t>n</w:t>
      </w:r>
      <w:r w:rsidRPr="009A0DA6">
        <w:rPr>
          <w:rFonts w:ascii="Cambria" w:eastAsia="Times New Roman" w:hAnsi="Cambria" w:cstheme="minorHAnsi"/>
        </w:rPr>
        <w:t xml:space="preserve">tee </w:t>
      </w:r>
      <w:r w:rsidRPr="009A0DA6">
        <w:rPr>
          <w:rFonts w:ascii="Cambria" w:eastAsia="Times New Roman" w:hAnsi="Cambria" w:cstheme="minorHAnsi"/>
          <w:spacing w:val="1"/>
        </w:rPr>
        <w:t>o</w:t>
      </w:r>
      <w:r w:rsidRPr="009A0DA6">
        <w:rPr>
          <w:rFonts w:ascii="Cambria" w:eastAsia="Times New Roman" w:hAnsi="Cambria" w:cstheme="minorHAnsi"/>
        </w:rPr>
        <w:t>f</w:t>
      </w:r>
      <w:r w:rsidRPr="009A0DA6">
        <w:rPr>
          <w:rFonts w:ascii="Cambria" w:eastAsia="Times New Roman" w:hAnsi="Cambria" w:cstheme="minorHAnsi"/>
          <w:spacing w:val="4"/>
        </w:rPr>
        <w:t xml:space="preserve"> </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1"/>
        </w:rPr>
        <w:t>p</w:t>
      </w:r>
      <w:r w:rsidRPr="009A0DA6">
        <w:rPr>
          <w:rFonts w:ascii="Cambria" w:eastAsia="Times New Roman" w:hAnsi="Cambria" w:cstheme="minorHAnsi"/>
          <w:spacing w:val="3"/>
        </w:rPr>
        <w:t>a</w:t>
      </w:r>
      <w:r w:rsidRPr="009A0DA6">
        <w:rPr>
          <w:rFonts w:ascii="Cambria" w:eastAsia="Times New Roman" w:hAnsi="Cambria" w:cstheme="minorHAnsi"/>
          <w:spacing w:val="-1"/>
        </w:rPr>
        <w:t>ym</w:t>
      </w:r>
      <w:r w:rsidRPr="009A0DA6">
        <w:rPr>
          <w:rFonts w:ascii="Cambria" w:eastAsia="Times New Roman" w:hAnsi="Cambria" w:cstheme="minorHAnsi"/>
        </w:rPr>
        <w:t>e</w:t>
      </w:r>
      <w:r w:rsidRPr="009A0DA6">
        <w:rPr>
          <w:rFonts w:ascii="Cambria" w:eastAsia="Times New Roman" w:hAnsi="Cambria" w:cstheme="minorHAnsi"/>
          <w:spacing w:val="1"/>
        </w:rPr>
        <w:t>n</w:t>
      </w:r>
      <w:r w:rsidRPr="009A0DA6">
        <w:rPr>
          <w:rFonts w:ascii="Cambria" w:eastAsia="Times New Roman" w:hAnsi="Cambria" w:cstheme="minorHAnsi"/>
        </w:rPr>
        <w:t>t</w:t>
      </w:r>
      <w:r w:rsidRPr="009A0DA6">
        <w:rPr>
          <w:rFonts w:ascii="Cambria" w:eastAsia="Times New Roman" w:hAnsi="Cambria" w:cstheme="minorHAnsi"/>
          <w:spacing w:val="-1"/>
        </w:rPr>
        <w:t xml:space="preserve"> </w:t>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spacing w:val="6"/>
        </w:rPr>
        <w:t xml:space="preserve"> </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spacing w:val="1"/>
        </w:rPr>
        <w:t>d</w:t>
      </w:r>
      <w:r w:rsidRPr="009A0DA6">
        <w:rPr>
          <w:rFonts w:ascii="Cambria" w:eastAsia="Times New Roman" w:hAnsi="Cambria" w:cstheme="minorHAnsi"/>
          <w:spacing w:val="3"/>
        </w:rPr>
        <w:t>e</w:t>
      </w:r>
      <w:r w:rsidRPr="009A0DA6">
        <w:rPr>
          <w:rFonts w:ascii="Cambria" w:eastAsia="Times New Roman" w:hAnsi="Cambria" w:cstheme="minorHAnsi"/>
          <w:spacing w:val="-1"/>
        </w:rPr>
        <w:t>mn</w:t>
      </w:r>
      <w:r w:rsidRPr="009A0DA6">
        <w:rPr>
          <w:rFonts w:ascii="Cambria" w:eastAsia="Times New Roman" w:hAnsi="Cambria" w:cstheme="minorHAnsi"/>
        </w:rPr>
        <w:t>i</w:t>
      </w:r>
      <w:r w:rsidRPr="009A0DA6">
        <w:rPr>
          <w:rFonts w:ascii="Cambria" w:eastAsia="Times New Roman" w:hAnsi="Cambria" w:cstheme="minorHAnsi"/>
          <w:spacing w:val="2"/>
        </w:rPr>
        <w:t>t</w:t>
      </w:r>
      <w:r w:rsidRPr="009A0DA6">
        <w:rPr>
          <w:rFonts w:ascii="Cambria" w:eastAsia="Times New Roman" w:hAnsi="Cambria" w:cstheme="minorHAnsi"/>
        </w:rPr>
        <w:t>y</w:t>
      </w:r>
      <w:r w:rsidRPr="009A0DA6">
        <w:rPr>
          <w:rFonts w:ascii="Cambria" w:eastAsia="Times New Roman" w:hAnsi="Cambria" w:cstheme="minorHAnsi"/>
          <w:spacing w:val="-2"/>
        </w:rPr>
        <w:t xml:space="preserve"> </w:t>
      </w:r>
      <w:r w:rsidRPr="009A0DA6">
        <w:rPr>
          <w:rFonts w:ascii="Cambria" w:eastAsia="Times New Roman" w:hAnsi="Cambria" w:cstheme="minorHAnsi"/>
        </w:rPr>
        <w:t>a</w:t>
      </w:r>
      <w:r w:rsidRPr="009A0DA6">
        <w:rPr>
          <w:rFonts w:ascii="Cambria" w:eastAsia="Times New Roman" w:hAnsi="Cambria" w:cstheme="minorHAnsi"/>
          <w:spacing w:val="-1"/>
        </w:rPr>
        <w:t>g</w:t>
      </w:r>
      <w:r w:rsidRPr="009A0DA6">
        <w:rPr>
          <w:rFonts w:ascii="Cambria" w:eastAsia="Times New Roman" w:hAnsi="Cambria" w:cstheme="minorHAnsi"/>
        </w:rPr>
        <w:t>a</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spacing w:val="2"/>
        </w:rPr>
        <w:t>s</w:t>
      </w:r>
      <w:r w:rsidRPr="009A0DA6">
        <w:rPr>
          <w:rFonts w:ascii="Cambria" w:eastAsia="Times New Roman" w:hAnsi="Cambria" w:cstheme="minorHAnsi"/>
        </w:rPr>
        <w:t>t</w:t>
      </w:r>
      <w:r w:rsidRPr="009A0DA6">
        <w:rPr>
          <w:rFonts w:ascii="Cambria" w:eastAsia="Times New Roman" w:hAnsi="Cambria" w:cstheme="minorHAnsi"/>
          <w:spacing w:val="1"/>
        </w:rPr>
        <w:t xml:space="preserve"> </w:t>
      </w:r>
      <w:r w:rsidRPr="009A0DA6">
        <w:rPr>
          <w:rFonts w:ascii="Cambria" w:eastAsia="Times New Roman" w:hAnsi="Cambria" w:cstheme="minorHAnsi"/>
        </w:rPr>
        <w:t>l</w:t>
      </w:r>
      <w:r w:rsidRPr="009A0DA6">
        <w:rPr>
          <w:rFonts w:ascii="Cambria" w:eastAsia="Times New Roman" w:hAnsi="Cambria" w:cstheme="minorHAnsi"/>
          <w:spacing w:val="1"/>
        </w:rPr>
        <w:t>o</w:t>
      </w:r>
      <w:r w:rsidRPr="009A0DA6">
        <w:rPr>
          <w:rFonts w:ascii="Cambria" w:eastAsia="Times New Roman" w:hAnsi="Cambria" w:cstheme="minorHAnsi"/>
          <w:spacing w:val="-1"/>
        </w:rPr>
        <w:t>s</w:t>
      </w:r>
      <w:r w:rsidRPr="009A0DA6">
        <w:rPr>
          <w:rFonts w:ascii="Cambria" w:eastAsia="Times New Roman" w:hAnsi="Cambria" w:cstheme="minorHAnsi"/>
        </w:rPr>
        <w:t>s</w:t>
      </w:r>
      <w:r w:rsidRPr="009A0DA6">
        <w:rPr>
          <w:rFonts w:ascii="Cambria" w:eastAsia="Times New Roman" w:hAnsi="Cambria" w:cstheme="minorHAnsi"/>
          <w:spacing w:val="4"/>
        </w:rPr>
        <w:t xml:space="preserve"> </w:t>
      </w:r>
      <w:r w:rsidRPr="009A0DA6">
        <w:rPr>
          <w:rFonts w:ascii="Cambria" w:eastAsia="Times New Roman" w:hAnsi="Cambria" w:cstheme="minorHAnsi"/>
        </w:rPr>
        <w:t>to</w:t>
      </w:r>
      <w:r w:rsidRPr="009A0DA6">
        <w:rPr>
          <w:rFonts w:ascii="Cambria" w:eastAsia="Times New Roman" w:hAnsi="Cambria" w:cstheme="minorHAnsi"/>
          <w:spacing w:val="7"/>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8"/>
        </w:rPr>
        <w:t xml:space="preserve"> </w:t>
      </w:r>
      <w:r w:rsidRPr="009A0DA6">
        <w:rPr>
          <w:rFonts w:ascii="Cambria" w:eastAsia="Times New Roman" w:hAnsi="Cambria" w:cstheme="minorHAnsi"/>
          <w:spacing w:val="1"/>
        </w:rPr>
        <w:t>LL</w:t>
      </w:r>
      <w:r w:rsidRPr="009A0DA6">
        <w:rPr>
          <w:rFonts w:ascii="Cambria" w:eastAsia="Times New Roman" w:hAnsi="Cambria" w:cstheme="minorHAnsi"/>
        </w:rPr>
        <w:t>L</w:t>
      </w:r>
      <w:r w:rsidRPr="009A0DA6">
        <w:rPr>
          <w:rFonts w:ascii="Cambria" w:eastAsia="Times New Roman" w:hAnsi="Cambria" w:cstheme="minorHAnsi"/>
          <w:spacing w:val="2"/>
        </w:rPr>
        <w:t xml:space="preserve"> </w:t>
      </w:r>
      <w:r w:rsidRPr="009A0DA6">
        <w:rPr>
          <w:rFonts w:ascii="Cambria" w:eastAsia="Times New Roman" w:hAnsi="Cambria" w:cstheme="minorHAnsi"/>
        </w:rPr>
        <w:t>in</w:t>
      </w:r>
      <w:r w:rsidRPr="009A0DA6">
        <w:rPr>
          <w:rFonts w:ascii="Cambria" w:eastAsia="Times New Roman" w:hAnsi="Cambria" w:cstheme="minorHAnsi"/>
          <w:spacing w:val="4"/>
        </w:rPr>
        <w:t xml:space="preserve"> </w:t>
      </w:r>
      <w:r w:rsidRPr="009A0DA6">
        <w:rPr>
          <w:rFonts w:ascii="Cambria" w:eastAsia="Times New Roman" w:hAnsi="Cambria" w:cstheme="minorHAnsi"/>
          <w:spacing w:val="1"/>
        </w:rPr>
        <w:t>r</w:t>
      </w:r>
      <w:r w:rsidRPr="009A0DA6">
        <w:rPr>
          <w:rFonts w:ascii="Cambria" w:eastAsia="Times New Roman" w:hAnsi="Cambria" w:cstheme="minorHAnsi"/>
        </w:rPr>
        <w:t>elati</w:t>
      </w:r>
      <w:r w:rsidRPr="009A0DA6">
        <w:rPr>
          <w:rFonts w:ascii="Cambria" w:eastAsia="Times New Roman" w:hAnsi="Cambria" w:cstheme="minorHAnsi"/>
          <w:spacing w:val="4"/>
        </w:rPr>
        <w:t>o</w:t>
      </w:r>
      <w:r w:rsidRPr="009A0DA6">
        <w:rPr>
          <w:rFonts w:ascii="Cambria" w:eastAsia="Times New Roman" w:hAnsi="Cambria" w:cstheme="minorHAnsi"/>
        </w:rPr>
        <w:t>n to</w:t>
      </w:r>
      <w:r w:rsidRPr="009A0DA6">
        <w:rPr>
          <w:rFonts w:ascii="Cambria" w:eastAsia="Times New Roman" w:hAnsi="Cambria" w:cstheme="minorHAnsi"/>
          <w:spacing w:val="7"/>
        </w:rPr>
        <w:t xml:space="preserve"> </w:t>
      </w:r>
      <w:r w:rsidRPr="009A0DA6">
        <w:rPr>
          <w:rFonts w:ascii="Cambria" w:eastAsia="Times New Roman" w:hAnsi="Cambria" w:cstheme="minorHAnsi"/>
        </w:rPr>
        <w:t>all</w:t>
      </w:r>
      <w:r w:rsidRPr="009A0DA6">
        <w:rPr>
          <w:rFonts w:ascii="Cambria" w:eastAsia="Times New Roman" w:hAnsi="Cambria" w:cstheme="minorHAnsi"/>
          <w:spacing w:val="5"/>
        </w:rPr>
        <w:t xml:space="preserve"> </w:t>
      </w:r>
      <w:r w:rsidRPr="009A0DA6">
        <w:rPr>
          <w:rFonts w:ascii="Cambria" w:eastAsia="Times New Roman" w:hAnsi="Cambria" w:cstheme="minorHAnsi"/>
          <w:spacing w:val="1"/>
        </w:rPr>
        <w:t>borro</w:t>
      </w:r>
      <w:r w:rsidRPr="009A0DA6">
        <w:rPr>
          <w:rFonts w:ascii="Cambria" w:eastAsia="Times New Roman" w:hAnsi="Cambria" w:cstheme="minorHAnsi"/>
          <w:spacing w:val="-5"/>
        </w:rPr>
        <w:t>w</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spacing w:val="-1"/>
        </w:rPr>
        <w:t>g</w:t>
      </w:r>
      <w:r w:rsidRPr="009A0DA6">
        <w:rPr>
          <w:rFonts w:ascii="Cambria" w:eastAsia="Times New Roman" w:hAnsi="Cambria" w:cstheme="minorHAnsi"/>
        </w:rPr>
        <w:t>s</w:t>
      </w:r>
      <w:r w:rsidRPr="009A0DA6">
        <w:rPr>
          <w:rFonts w:ascii="Cambria" w:eastAsia="Times New Roman" w:hAnsi="Cambria" w:cstheme="minorHAnsi"/>
          <w:spacing w:val="-2"/>
        </w:rPr>
        <w:t xml:space="preserve"> </w:t>
      </w:r>
      <w:r w:rsidRPr="009A0DA6">
        <w:rPr>
          <w:rFonts w:ascii="Cambria" w:eastAsia="Times New Roman" w:hAnsi="Cambria" w:cstheme="minorHAnsi"/>
          <w:spacing w:val="1"/>
        </w:rPr>
        <w:t>pro</w:t>
      </w:r>
      <w:r w:rsidRPr="009A0DA6">
        <w:rPr>
          <w:rFonts w:ascii="Cambria" w:eastAsia="Times New Roman" w:hAnsi="Cambria" w:cstheme="minorHAnsi"/>
          <w:spacing w:val="-1"/>
        </w:rPr>
        <w:t>v</w:t>
      </w:r>
      <w:r w:rsidRPr="009A0DA6">
        <w:rPr>
          <w:rFonts w:ascii="Cambria" w:eastAsia="Times New Roman" w:hAnsi="Cambria" w:cstheme="minorHAnsi"/>
        </w:rPr>
        <w:t>i</w:t>
      </w:r>
      <w:r w:rsidRPr="009A0DA6">
        <w:rPr>
          <w:rFonts w:ascii="Cambria" w:eastAsia="Times New Roman" w:hAnsi="Cambria" w:cstheme="minorHAnsi"/>
          <w:spacing w:val="1"/>
        </w:rPr>
        <w:t>d</w:t>
      </w:r>
      <w:r w:rsidRPr="009A0DA6">
        <w:rPr>
          <w:rFonts w:ascii="Cambria" w:eastAsia="Times New Roman" w:hAnsi="Cambria" w:cstheme="minorHAnsi"/>
        </w:rPr>
        <w:t>ed</w:t>
      </w:r>
      <w:r w:rsidRPr="009A0DA6">
        <w:rPr>
          <w:rFonts w:ascii="Cambria" w:eastAsia="Times New Roman" w:hAnsi="Cambria" w:cstheme="minorHAnsi"/>
          <w:spacing w:val="2"/>
        </w:rPr>
        <w:t xml:space="preserve"> </w:t>
      </w:r>
      <w:r w:rsidRPr="009A0DA6">
        <w:rPr>
          <w:rFonts w:ascii="Cambria" w:eastAsia="Times New Roman" w:hAnsi="Cambria" w:cstheme="minorHAnsi"/>
        </w:rPr>
        <w:t>to</w:t>
      </w:r>
      <w:r w:rsidRPr="009A0DA6">
        <w:rPr>
          <w:rFonts w:ascii="Cambria" w:eastAsia="Times New Roman" w:hAnsi="Cambria" w:cstheme="minorHAnsi"/>
          <w:spacing w:val="7"/>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 xml:space="preserve">e </w:t>
      </w:r>
      <w:r w:rsidRPr="009A0DA6">
        <w:rPr>
          <w:rFonts w:ascii="Cambria" w:eastAsia="Times New Roman" w:hAnsi="Cambria" w:cstheme="minorHAnsi"/>
          <w:spacing w:val="-2"/>
        </w:rPr>
        <w:t>L</w:t>
      </w:r>
      <w:r w:rsidRPr="009A0DA6">
        <w:rPr>
          <w:rFonts w:ascii="Cambria" w:eastAsia="Times New Roman" w:hAnsi="Cambria" w:cstheme="minorHAnsi"/>
          <w:spacing w:val="2"/>
        </w:rPr>
        <w:t>C</w:t>
      </w:r>
      <w:r w:rsidRPr="009A0DA6">
        <w:rPr>
          <w:rFonts w:ascii="Cambria" w:eastAsia="Times New Roman" w:hAnsi="Cambria" w:cstheme="minorHAnsi"/>
        </w:rPr>
        <w:t>A</w:t>
      </w:r>
      <w:r w:rsidRPr="009A0DA6">
        <w:rPr>
          <w:rFonts w:ascii="Cambria" w:eastAsia="Times New Roman" w:hAnsi="Cambria" w:cstheme="minorHAnsi"/>
          <w:spacing w:val="-3"/>
        </w:rPr>
        <w:t xml:space="preserve"> </w:t>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spacing w:val="-1"/>
        </w:rPr>
        <w:t xml:space="preserve"> </w:t>
      </w:r>
      <w:r w:rsidRPr="009A0DA6">
        <w:rPr>
          <w:rFonts w:ascii="Cambria" w:eastAsia="Times New Roman" w:hAnsi="Cambria" w:cstheme="minorHAnsi"/>
        </w:rPr>
        <w:t>its</w:t>
      </w:r>
      <w:r w:rsidRPr="009A0DA6">
        <w:rPr>
          <w:rFonts w:ascii="Cambria" w:eastAsia="Times New Roman" w:hAnsi="Cambria" w:cstheme="minorHAnsi"/>
          <w:spacing w:val="-2"/>
        </w:rPr>
        <w:t xml:space="preserve"> </w:t>
      </w:r>
      <w:r w:rsidRPr="009A0DA6">
        <w:rPr>
          <w:rFonts w:ascii="Cambria" w:eastAsia="Times New Roman" w:hAnsi="Cambria" w:cstheme="minorHAnsi"/>
          <w:spacing w:val="1"/>
        </w:rPr>
        <w:t>r</w:t>
      </w:r>
      <w:r w:rsidRPr="009A0DA6">
        <w:rPr>
          <w:rFonts w:ascii="Cambria" w:eastAsia="Times New Roman" w:hAnsi="Cambria" w:cstheme="minorHAnsi"/>
        </w:rPr>
        <w:t>elated</w:t>
      </w:r>
      <w:r w:rsidRPr="009A0DA6">
        <w:rPr>
          <w:rFonts w:ascii="Cambria" w:eastAsia="Times New Roman" w:hAnsi="Cambria" w:cstheme="minorHAnsi"/>
          <w:spacing w:val="-3"/>
        </w:rPr>
        <w:t xml:space="preserve"> </w:t>
      </w:r>
      <w:r w:rsidRPr="009A0DA6">
        <w:rPr>
          <w:rFonts w:ascii="Cambria" w:eastAsia="Times New Roman" w:hAnsi="Cambria" w:cstheme="minorHAnsi"/>
          <w:spacing w:val="1"/>
        </w:rPr>
        <w:t>bod</w:t>
      </w:r>
      <w:r w:rsidRPr="009A0DA6">
        <w:rPr>
          <w:rFonts w:ascii="Cambria" w:eastAsia="Times New Roman" w:hAnsi="Cambria" w:cstheme="minorHAnsi"/>
        </w:rPr>
        <w:t>ie</w:t>
      </w:r>
      <w:r w:rsidRPr="009A0DA6">
        <w:rPr>
          <w:rFonts w:ascii="Cambria" w:eastAsia="Times New Roman" w:hAnsi="Cambria" w:cstheme="minorHAnsi"/>
          <w:spacing w:val="-1"/>
        </w:rPr>
        <w:t>s</w:t>
      </w:r>
      <w:r w:rsidRPr="009A0DA6">
        <w:rPr>
          <w:rFonts w:ascii="Cambria" w:eastAsia="Times New Roman" w:hAnsi="Cambria" w:cstheme="minorHAnsi"/>
        </w:rPr>
        <w:t>.</w:t>
      </w:r>
    </w:p>
    <w:p w14:paraId="29D5D564" w14:textId="10FBFC73" w:rsidR="00BA4592" w:rsidRPr="009A0DA6" w:rsidRDefault="00B81951" w:rsidP="00BA4592">
      <w:pPr>
        <w:spacing w:before="120" w:after="120" w:line="240" w:lineRule="auto"/>
        <w:ind w:right="-51"/>
        <w:contextualSpacing/>
        <w:rPr>
          <w:rFonts w:ascii="Cambria" w:eastAsia="Times New Roman" w:hAnsi="Cambria" w:cstheme="minorHAnsi"/>
        </w:rPr>
      </w:pPr>
      <w:r w:rsidRPr="009A0DA6">
        <w:rPr>
          <w:rFonts w:ascii="Cambria" w:eastAsia="Times New Roman" w:hAnsi="Cambria" w:cstheme="minorHAnsi"/>
          <w:spacing w:val="3"/>
        </w:rPr>
        <w:br/>
      </w:r>
      <w:r w:rsidR="00BA4592" w:rsidRPr="009A0DA6">
        <w:rPr>
          <w:rFonts w:ascii="Cambria" w:eastAsia="Times New Roman" w:hAnsi="Cambria" w:cstheme="minorHAnsi"/>
          <w:spacing w:val="3"/>
        </w:rPr>
        <w:t>T</w:t>
      </w:r>
      <w:r w:rsidR="00BA4592" w:rsidRPr="009A0DA6">
        <w:rPr>
          <w:rFonts w:ascii="Cambria" w:eastAsia="Times New Roman" w:hAnsi="Cambria" w:cstheme="minorHAnsi"/>
          <w:spacing w:val="-1"/>
        </w:rPr>
        <w:t>h</w:t>
      </w:r>
      <w:r w:rsidR="00BA4592" w:rsidRPr="009A0DA6">
        <w:rPr>
          <w:rFonts w:ascii="Cambria" w:eastAsia="Times New Roman" w:hAnsi="Cambria" w:cstheme="minorHAnsi"/>
        </w:rPr>
        <w:t xml:space="preserve">e </w:t>
      </w:r>
      <w:r w:rsidR="00BA4592" w:rsidRPr="009A0DA6">
        <w:rPr>
          <w:rFonts w:ascii="Cambria" w:eastAsia="Times New Roman" w:hAnsi="Cambria" w:cstheme="minorHAnsi"/>
          <w:spacing w:val="1"/>
        </w:rPr>
        <w:t>pr</w:t>
      </w:r>
      <w:r w:rsidR="00BA4592" w:rsidRPr="009A0DA6">
        <w:rPr>
          <w:rFonts w:ascii="Cambria" w:eastAsia="Times New Roman" w:hAnsi="Cambria" w:cstheme="minorHAnsi"/>
        </w:rPr>
        <w:t>i</w:t>
      </w:r>
      <w:r w:rsidR="00BA4592" w:rsidRPr="009A0DA6">
        <w:rPr>
          <w:rFonts w:ascii="Cambria" w:eastAsia="Times New Roman" w:hAnsi="Cambria" w:cstheme="minorHAnsi"/>
          <w:spacing w:val="-4"/>
        </w:rPr>
        <w:t>m</w:t>
      </w:r>
      <w:r w:rsidR="00BA4592" w:rsidRPr="009A0DA6">
        <w:rPr>
          <w:rFonts w:ascii="Cambria" w:eastAsia="Times New Roman" w:hAnsi="Cambria" w:cstheme="minorHAnsi"/>
        </w:rPr>
        <w:t>a</w:t>
      </w:r>
      <w:r w:rsidR="00BA4592" w:rsidRPr="009A0DA6">
        <w:rPr>
          <w:rFonts w:ascii="Cambria" w:eastAsia="Times New Roman" w:hAnsi="Cambria" w:cstheme="minorHAnsi"/>
          <w:spacing w:val="3"/>
        </w:rPr>
        <w:t>r</w:t>
      </w:r>
      <w:r w:rsidR="00BA4592" w:rsidRPr="009A0DA6">
        <w:rPr>
          <w:rFonts w:ascii="Cambria" w:eastAsia="Times New Roman" w:hAnsi="Cambria" w:cstheme="minorHAnsi"/>
        </w:rPr>
        <w:t>y</w:t>
      </w:r>
      <w:r w:rsidR="00BA4592" w:rsidRPr="009A0DA6">
        <w:rPr>
          <w:rFonts w:ascii="Cambria" w:eastAsia="Times New Roman" w:hAnsi="Cambria" w:cstheme="minorHAnsi"/>
          <w:spacing w:val="48"/>
        </w:rPr>
        <w:t xml:space="preserve"> </w:t>
      </w:r>
      <w:r w:rsidR="00BA4592" w:rsidRPr="009A0DA6">
        <w:rPr>
          <w:rFonts w:ascii="Cambria" w:eastAsia="Times New Roman" w:hAnsi="Cambria" w:cstheme="minorHAnsi"/>
          <w:spacing w:val="1"/>
        </w:rPr>
        <w:t>r</w:t>
      </w:r>
      <w:r w:rsidR="00BA4592" w:rsidRPr="009A0DA6">
        <w:rPr>
          <w:rFonts w:ascii="Cambria" w:eastAsia="Times New Roman" w:hAnsi="Cambria" w:cstheme="minorHAnsi"/>
        </w:rPr>
        <w:t>e</w:t>
      </w:r>
      <w:r w:rsidR="00BA4592" w:rsidRPr="009A0DA6">
        <w:rPr>
          <w:rFonts w:ascii="Cambria" w:eastAsia="Times New Roman" w:hAnsi="Cambria" w:cstheme="minorHAnsi"/>
          <w:spacing w:val="-1"/>
        </w:rPr>
        <w:t>s</w:t>
      </w:r>
      <w:r w:rsidR="00BA4592" w:rsidRPr="009A0DA6">
        <w:rPr>
          <w:rFonts w:ascii="Cambria" w:eastAsia="Times New Roman" w:hAnsi="Cambria" w:cstheme="minorHAnsi"/>
          <w:spacing w:val="1"/>
        </w:rPr>
        <w:t>po</w:t>
      </w:r>
      <w:r w:rsidR="00BA4592" w:rsidRPr="009A0DA6">
        <w:rPr>
          <w:rFonts w:ascii="Cambria" w:eastAsia="Times New Roman" w:hAnsi="Cambria" w:cstheme="minorHAnsi"/>
          <w:spacing w:val="-1"/>
        </w:rPr>
        <w:t>n</w:t>
      </w:r>
      <w:r w:rsidR="00BA4592" w:rsidRPr="009A0DA6">
        <w:rPr>
          <w:rFonts w:ascii="Cambria" w:eastAsia="Times New Roman" w:hAnsi="Cambria" w:cstheme="minorHAnsi"/>
          <w:spacing w:val="2"/>
        </w:rPr>
        <w:t>s</w:t>
      </w:r>
      <w:r w:rsidR="00BA4592" w:rsidRPr="009A0DA6">
        <w:rPr>
          <w:rFonts w:ascii="Cambria" w:eastAsia="Times New Roman" w:hAnsi="Cambria" w:cstheme="minorHAnsi"/>
        </w:rPr>
        <w:t>i</w:t>
      </w:r>
      <w:r w:rsidR="00BA4592" w:rsidRPr="009A0DA6">
        <w:rPr>
          <w:rFonts w:ascii="Cambria" w:eastAsia="Times New Roman" w:hAnsi="Cambria" w:cstheme="minorHAnsi"/>
          <w:spacing w:val="1"/>
        </w:rPr>
        <w:t>b</w:t>
      </w:r>
      <w:r w:rsidR="00BA4592" w:rsidRPr="009A0DA6">
        <w:rPr>
          <w:rFonts w:ascii="Cambria" w:eastAsia="Times New Roman" w:hAnsi="Cambria" w:cstheme="minorHAnsi"/>
        </w:rPr>
        <w:t>ili</w:t>
      </w:r>
      <w:r w:rsidR="00BA4592" w:rsidRPr="009A0DA6">
        <w:rPr>
          <w:rFonts w:ascii="Cambria" w:eastAsia="Times New Roman" w:hAnsi="Cambria" w:cstheme="minorHAnsi"/>
          <w:spacing w:val="2"/>
        </w:rPr>
        <w:t>t</w:t>
      </w:r>
      <w:r w:rsidR="00BA4592" w:rsidRPr="009A0DA6">
        <w:rPr>
          <w:rFonts w:ascii="Cambria" w:eastAsia="Times New Roman" w:hAnsi="Cambria" w:cstheme="minorHAnsi"/>
        </w:rPr>
        <w:t>y</w:t>
      </w:r>
      <w:r w:rsidR="00BA4592" w:rsidRPr="009A0DA6">
        <w:rPr>
          <w:rFonts w:ascii="Cambria" w:eastAsia="Times New Roman" w:hAnsi="Cambria" w:cstheme="minorHAnsi"/>
          <w:spacing w:val="46"/>
        </w:rPr>
        <w:t xml:space="preserve"> </w:t>
      </w:r>
      <w:r w:rsidR="00BA4592" w:rsidRPr="009A0DA6">
        <w:rPr>
          <w:rFonts w:ascii="Cambria" w:eastAsia="Times New Roman" w:hAnsi="Cambria" w:cstheme="minorHAnsi"/>
          <w:spacing w:val="1"/>
        </w:rPr>
        <w:t>fo</w:t>
      </w:r>
      <w:r w:rsidR="00BA4592" w:rsidRPr="009A0DA6">
        <w:rPr>
          <w:rFonts w:ascii="Cambria" w:eastAsia="Times New Roman" w:hAnsi="Cambria" w:cstheme="minorHAnsi"/>
        </w:rPr>
        <w:t>r</w:t>
      </w:r>
      <w:r w:rsidR="00BA4592" w:rsidRPr="009A0DA6">
        <w:rPr>
          <w:rFonts w:ascii="Cambria" w:eastAsia="Times New Roman" w:hAnsi="Cambria" w:cstheme="minorHAnsi"/>
          <w:spacing w:val="5"/>
        </w:rPr>
        <w:t xml:space="preserve"> </w:t>
      </w:r>
      <w:r w:rsidR="00BA4592" w:rsidRPr="009A0DA6">
        <w:rPr>
          <w:rFonts w:ascii="Cambria" w:eastAsia="Times New Roman" w:hAnsi="Cambria" w:cstheme="minorHAnsi"/>
          <w:spacing w:val="1"/>
        </w:rPr>
        <w:t>r</w:t>
      </w:r>
      <w:r w:rsidR="00BA4592" w:rsidRPr="009A0DA6">
        <w:rPr>
          <w:rFonts w:ascii="Cambria" w:eastAsia="Times New Roman" w:hAnsi="Cambria" w:cstheme="minorHAnsi"/>
        </w:rPr>
        <w:t>e</w:t>
      </w:r>
      <w:r w:rsidR="00BA4592" w:rsidRPr="009A0DA6">
        <w:rPr>
          <w:rFonts w:ascii="Cambria" w:eastAsia="Times New Roman" w:hAnsi="Cambria" w:cstheme="minorHAnsi"/>
          <w:spacing w:val="1"/>
        </w:rPr>
        <w:t>p</w:t>
      </w:r>
      <w:r w:rsidR="00BA4592" w:rsidRPr="009A0DA6">
        <w:rPr>
          <w:rFonts w:ascii="Cambria" w:eastAsia="Times New Roman" w:hAnsi="Cambria" w:cstheme="minorHAnsi"/>
        </w:rPr>
        <w:t>a</w:t>
      </w:r>
      <w:r w:rsidR="00BA4592" w:rsidRPr="009A0DA6">
        <w:rPr>
          <w:rFonts w:ascii="Cambria" w:eastAsia="Times New Roman" w:hAnsi="Cambria" w:cstheme="minorHAnsi"/>
          <w:spacing w:val="-1"/>
        </w:rPr>
        <w:t>ym</w:t>
      </w:r>
      <w:r w:rsidR="00BA4592" w:rsidRPr="009A0DA6">
        <w:rPr>
          <w:rFonts w:ascii="Cambria" w:eastAsia="Times New Roman" w:hAnsi="Cambria" w:cstheme="minorHAnsi"/>
        </w:rPr>
        <w:t>e</w:t>
      </w:r>
      <w:r w:rsidR="00BA4592" w:rsidRPr="009A0DA6">
        <w:rPr>
          <w:rFonts w:ascii="Cambria" w:eastAsia="Times New Roman" w:hAnsi="Cambria" w:cstheme="minorHAnsi"/>
          <w:spacing w:val="-1"/>
        </w:rPr>
        <w:t>n</w:t>
      </w:r>
      <w:r w:rsidR="00BA4592" w:rsidRPr="009A0DA6">
        <w:rPr>
          <w:rFonts w:ascii="Cambria" w:eastAsia="Times New Roman" w:hAnsi="Cambria" w:cstheme="minorHAnsi"/>
        </w:rPr>
        <w:t>t</w:t>
      </w:r>
      <w:r w:rsidR="00BA4592" w:rsidRPr="009A0DA6">
        <w:rPr>
          <w:rFonts w:ascii="Cambria" w:eastAsia="Times New Roman" w:hAnsi="Cambria" w:cstheme="minorHAnsi"/>
          <w:spacing w:val="50"/>
        </w:rPr>
        <w:t xml:space="preserve"> </w:t>
      </w:r>
      <w:r w:rsidR="00BA4592" w:rsidRPr="009A0DA6">
        <w:rPr>
          <w:rFonts w:ascii="Cambria" w:eastAsia="Times New Roman" w:hAnsi="Cambria" w:cstheme="minorHAnsi"/>
          <w:spacing w:val="1"/>
        </w:rPr>
        <w:t>o</w:t>
      </w:r>
      <w:r w:rsidR="00BA4592" w:rsidRPr="009A0DA6">
        <w:rPr>
          <w:rFonts w:ascii="Cambria" w:eastAsia="Times New Roman" w:hAnsi="Cambria" w:cstheme="minorHAnsi"/>
        </w:rPr>
        <w:t>f l</w:t>
      </w:r>
      <w:r w:rsidR="00BA4592" w:rsidRPr="009A0DA6">
        <w:rPr>
          <w:rFonts w:ascii="Cambria" w:eastAsia="Times New Roman" w:hAnsi="Cambria" w:cstheme="minorHAnsi"/>
          <w:spacing w:val="1"/>
        </w:rPr>
        <w:t>o</w:t>
      </w:r>
      <w:r w:rsidR="00BA4592" w:rsidRPr="009A0DA6">
        <w:rPr>
          <w:rFonts w:ascii="Cambria" w:eastAsia="Times New Roman" w:hAnsi="Cambria" w:cstheme="minorHAnsi"/>
          <w:spacing w:val="3"/>
        </w:rPr>
        <w:t>a</w:t>
      </w:r>
      <w:r w:rsidR="00BA4592" w:rsidRPr="009A0DA6">
        <w:rPr>
          <w:rFonts w:ascii="Cambria" w:eastAsia="Times New Roman" w:hAnsi="Cambria" w:cstheme="minorHAnsi"/>
          <w:spacing w:val="-1"/>
        </w:rPr>
        <w:t>n</w:t>
      </w:r>
      <w:r w:rsidR="00BA4592" w:rsidRPr="009A0DA6">
        <w:rPr>
          <w:rFonts w:ascii="Cambria" w:eastAsia="Times New Roman" w:hAnsi="Cambria" w:cstheme="minorHAnsi"/>
        </w:rPr>
        <w:t>s</w:t>
      </w:r>
      <w:r w:rsidR="00BA4592" w:rsidRPr="009A0DA6">
        <w:rPr>
          <w:rFonts w:ascii="Cambria" w:eastAsia="Times New Roman" w:hAnsi="Cambria" w:cstheme="minorHAnsi"/>
          <w:spacing w:val="1"/>
        </w:rPr>
        <w:t xml:space="preserve"> r</w:t>
      </w:r>
      <w:r w:rsidR="00BA4592" w:rsidRPr="009A0DA6">
        <w:rPr>
          <w:rFonts w:ascii="Cambria" w:eastAsia="Times New Roman" w:hAnsi="Cambria" w:cstheme="minorHAnsi"/>
          <w:spacing w:val="3"/>
        </w:rPr>
        <w:t>e</w:t>
      </w:r>
      <w:r w:rsidR="00BA4592" w:rsidRPr="009A0DA6">
        <w:rPr>
          <w:rFonts w:ascii="Cambria" w:eastAsia="Times New Roman" w:hAnsi="Cambria" w:cstheme="minorHAnsi"/>
          <w:spacing w:val="-1"/>
        </w:rPr>
        <w:t>s</w:t>
      </w:r>
      <w:r w:rsidR="00BA4592" w:rsidRPr="009A0DA6">
        <w:rPr>
          <w:rFonts w:ascii="Cambria" w:eastAsia="Times New Roman" w:hAnsi="Cambria" w:cstheme="minorHAnsi"/>
        </w:rPr>
        <w:t>ts</w:t>
      </w:r>
      <w:r w:rsidR="00BA4592" w:rsidRPr="009A0DA6">
        <w:rPr>
          <w:rFonts w:ascii="Cambria" w:eastAsia="Times New Roman" w:hAnsi="Cambria" w:cstheme="minorHAnsi"/>
          <w:spacing w:val="6"/>
        </w:rPr>
        <w:t xml:space="preserve"> </w:t>
      </w:r>
      <w:r w:rsidR="00BA4592" w:rsidRPr="009A0DA6">
        <w:rPr>
          <w:rFonts w:ascii="Cambria" w:eastAsia="Times New Roman" w:hAnsi="Cambria" w:cstheme="minorHAnsi"/>
          <w:spacing w:val="-2"/>
        </w:rPr>
        <w:t>w</w:t>
      </w:r>
      <w:r w:rsidR="00BA4592" w:rsidRPr="009A0DA6">
        <w:rPr>
          <w:rFonts w:ascii="Cambria" w:eastAsia="Times New Roman" w:hAnsi="Cambria" w:cstheme="minorHAnsi"/>
        </w:rPr>
        <w:t>ith t</w:t>
      </w:r>
      <w:r w:rsidR="00BA4592" w:rsidRPr="009A0DA6">
        <w:rPr>
          <w:rFonts w:ascii="Cambria" w:eastAsia="Times New Roman" w:hAnsi="Cambria" w:cstheme="minorHAnsi"/>
          <w:spacing w:val="-1"/>
        </w:rPr>
        <w:t>h</w:t>
      </w:r>
      <w:r w:rsidR="00BA4592" w:rsidRPr="009A0DA6">
        <w:rPr>
          <w:rFonts w:ascii="Cambria" w:eastAsia="Times New Roman" w:hAnsi="Cambria" w:cstheme="minorHAnsi"/>
        </w:rPr>
        <w:t xml:space="preserve">e </w:t>
      </w:r>
      <w:r w:rsidR="00BA4592" w:rsidRPr="009A0DA6">
        <w:rPr>
          <w:rFonts w:ascii="Cambria" w:eastAsia="Times New Roman" w:hAnsi="Cambria" w:cstheme="minorHAnsi"/>
          <w:spacing w:val="1"/>
        </w:rPr>
        <w:t>borro</w:t>
      </w:r>
      <w:r w:rsidR="00BA4592" w:rsidRPr="009A0DA6">
        <w:rPr>
          <w:rFonts w:ascii="Cambria" w:eastAsia="Times New Roman" w:hAnsi="Cambria" w:cstheme="minorHAnsi"/>
          <w:spacing w:val="-2"/>
        </w:rPr>
        <w:t>w</w:t>
      </w:r>
      <w:r w:rsidR="00BA4592" w:rsidRPr="009A0DA6">
        <w:rPr>
          <w:rFonts w:ascii="Cambria" w:eastAsia="Times New Roman" w:hAnsi="Cambria" w:cstheme="minorHAnsi"/>
        </w:rPr>
        <w:t>i</w:t>
      </w:r>
      <w:r w:rsidR="00BA4592" w:rsidRPr="009A0DA6">
        <w:rPr>
          <w:rFonts w:ascii="Cambria" w:eastAsia="Times New Roman" w:hAnsi="Cambria" w:cstheme="minorHAnsi"/>
          <w:spacing w:val="1"/>
        </w:rPr>
        <w:t>n</w:t>
      </w:r>
      <w:r w:rsidR="00BA4592" w:rsidRPr="009A0DA6">
        <w:rPr>
          <w:rFonts w:ascii="Cambria" w:eastAsia="Times New Roman" w:hAnsi="Cambria" w:cstheme="minorHAnsi"/>
        </w:rPr>
        <w:t>g</w:t>
      </w:r>
      <w:r w:rsidR="00BA4592" w:rsidRPr="009A0DA6">
        <w:rPr>
          <w:rFonts w:ascii="Cambria" w:eastAsia="Times New Roman" w:hAnsi="Cambria" w:cstheme="minorHAnsi"/>
          <w:spacing w:val="46"/>
        </w:rPr>
        <w:t xml:space="preserve"> </w:t>
      </w:r>
      <w:r w:rsidR="00BA4592" w:rsidRPr="009A0DA6">
        <w:rPr>
          <w:rFonts w:ascii="Cambria" w:eastAsia="Times New Roman" w:hAnsi="Cambria" w:cstheme="minorHAnsi"/>
          <w:spacing w:val="3"/>
        </w:rPr>
        <w:t>e</w:t>
      </w:r>
      <w:r w:rsidR="00BA4592" w:rsidRPr="009A0DA6">
        <w:rPr>
          <w:rFonts w:ascii="Cambria" w:eastAsia="Times New Roman" w:hAnsi="Cambria" w:cstheme="minorHAnsi"/>
          <w:spacing w:val="-1"/>
        </w:rPr>
        <w:t>n</w:t>
      </w:r>
      <w:r w:rsidR="00BA4592" w:rsidRPr="009A0DA6">
        <w:rPr>
          <w:rFonts w:ascii="Cambria" w:eastAsia="Times New Roman" w:hAnsi="Cambria" w:cstheme="minorHAnsi"/>
        </w:rPr>
        <w:t>titi</w:t>
      </w:r>
      <w:r w:rsidR="00BA4592" w:rsidRPr="009A0DA6">
        <w:rPr>
          <w:rFonts w:ascii="Cambria" w:eastAsia="Times New Roman" w:hAnsi="Cambria" w:cstheme="minorHAnsi"/>
          <w:spacing w:val="3"/>
        </w:rPr>
        <w:t>e</w:t>
      </w:r>
      <w:r w:rsidR="00BA4592" w:rsidRPr="009A0DA6">
        <w:rPr>
          <w:rFonts w:ascii="Cambria" w:eastAsia="Times New Roman" w:hAnsi="Cambria" w:cstheme="minorHAnsi"/>
        </w:rPr>
        <w:t>s</w:t>
      </w:r>
      <w:r w:rsidR="00BA4592" w:rsidRPr="009A0DA6">
        <w:rPr>
          <w:rFonts w:ascii="Cambria" w:eastAsia="Times New Roman" w:hAnsi="Cambria" w:cstheme="minorHAnsi"/>
          <w:spacing w:val="1"/>
        </w:rPr>
        <w:t xml:space="preserve"> o</w:t>
      </w:r>
      <w:r w:rsidR="00BA4592" w:rsidRPr="009A0DA6">
        <w:rPr>
          <w:rFonts w:ascii="Cambria" w:eastAsia="Times New Roman" w:hAnsi="Cambria" w:cstheme="minorHAnsi"/>
        </w:rPr>
        <w:t xml:space="preserve">f </w:t>
      </w:r>
      <w:r w:rsidR="00BA4592" w:rsidRPr="009A0DA6">
        <w:rPr>
          <w:rFonts w:ascii="Cambria" w:eastAsia="Times New Roman" w:hAnsi="Cambria" w:cstheme="minorHAnsi"/>
          <w:spacing w:val="2"/>
        </w:rPr>
        <w:t>t</w:t>
      </w:r>
      <w:r w:rsidR="00BA4592" w:rsidRPr="009A0DA6">
        <w:rPr>
          <w:rFonts w:ascii="Cambria" w:eastAsia="Times New Roman" w:hAnsi="Cambria" w:cstheme="minorHAnsi"/>
          <w:spacing w:val="-1"/>
        </w:rPr>
        <w:t>h</w:t>
      </w:r>
      <w:r w:rsidR="00BA4592" w:rsidRPr="009A0DA6">
        <w:rPr>
          <w:rFonts w:ascii="Cambria" w:eastAsia="Times New Roman" w:hAnsi="Cambria" w:cstheme="minorHAnsi"/>
        </w:rPr>
        <w:t>e</w:t>
      </w:r>
      <w:r w:rsidR="00BA4592" w:rsidRPr="009A0DA6">
        <w:rPr>
          <w:rFonts w:ascii="Cambria" w:eastAsia="Times New Roman" w:hAnsi="Cambria" w:cstheme="minorHAnsi"/>
          <w:spacing w:val="6"/>
        </w:rPr>
        <w:t xml:space="preserve"> </w:t>
      </w:r>
      <w:r w:rsidR="00BA4592" w:rsidRPr="009A0DA6">
        <w:rPr>
          <w:rFonts w:ascii="Cambria" w:eastAsia="Times New Roman" w:hAnsi="Cambria" w:cstheme="minorHAnsi"/>
          <w:spacing w:val="-2"/>
        </w:rPr>
        <w:t>L</w:t>
      </w:r>
      <w:r w:rsidR="00BA4592" w:rsidRPr="009A0DA6">
        <w:rPr>
          <w:rFonts w:ascii="Cambria" w:eastAsia="Times New Roman" w:hAnsi="Cambria" w:cstheme="minorHAnsi"/>
          <w:spacing w:val="2"/>
        </w:rPr>
        <w:t>C</w:t>
      </w:r>
      <w:r w:rsidR="00BA4592" w:rsidRPr="009A0DA6">
        <w:rPr>
          <w:rFonts w:ascii="Cambria" w:eastAsia="Times New Roman" w:hAnsi="Cambria" w:cstheme="minorHAnsi"/>
        </w:rPr>
        <w:t>A</w:t>
      </w:r>
      <w:r w:rsidR="00BA4592" w:rsidRPr="009A0DA6">
        <w:rPr>
          <w:rFonts w:ascii="Cambria" w:eastAsia="Times New Roman" w:hAnsi="Cambria" w:cstheme="minorHAnsi"/>
          <w:spacing w:val="2"/>
        </w:rPr>
        <w:t xml:space="preserve"> </w:t>
      </w:r>
      <w:r w:rsidR="00BA4592" w:rsidRPr="009A0DA6">
        <w:rPr>
          <w:rFonts w:ascii="Cambria" w:eastAsia="Times New Roman" w:hAnsi="Cambria" w:cstheme="minorHAnsi"/>
        </w:rPr>
        <w:t>as a</w:t>
      </w:r>
      <w:r w:rsidR="00BA4592" w:rsidRPr="009A0DA6">
        <w:rPr>
          <w:rFonts w:ascii="Cambria" w:eastAsia="Times New Roman" w:hAnsi="Cambria" w:cstheme="minorHAnsi"/>
          <w:spacing w:val="-1"/>
        </w:rPr>
        <w:t>u</w:t>
      </w:r>
      <w:r w:rsidR="00BA4592" w:rsidRPr="009A0DA6">
        <w:rPr>
          <w:rFonts w:ascii="Cambria" w:eastAsia="Times New Roman" w:hAnsi="Cambria" w:cstheme="minorHAnsi"/>
        </w:rPr>
        <w:t>t</w:t>
      </w:r>
      <w:r w:rsidR="00BA4592" w:rsidRPr="009A0DA6">
        <w:rPr>
          <w:rFonts w:ascii="Cambria" w:eastAsia="Times New Roman" w:hAnsi="Cambria" w:cstheme="minorHAnsi"/>
          <w:spacing w:val="-1"/>
        </w:rPr>
        <w:t>h</w:t>
      </w:r>
      <w:r w:rsidR="00BA4592" w:rsidRPr="009A0DA6">
        <w:rPr>
          <w:rFonts w:ascii="Cambria" w:eastAsia="Times New Roman" w:hAnsi="Cambria" w:cstheme="minorHAnsi"/>
          <w:spacing w:val="1"/>
        </w:rPr>
        <w:t>or</w:t>
      </w:r>
      <w:r w:rsidR="00BA4592" w:rsidRPr="009A0DA6">
        <w:rPr>
          <w:rFonts w:ascii="Cambria" w:eastAsia="Times New Roman" w:hAnsi="Cambria" w:cstheme="minorHAnsi"/>
        </w:rPr>
        <w:t>i</w:t>
      </w:r>
      <w:r w:rsidR="00BA4592" w:rsidRPr="009A0DA6">
        <w:rPr>
          <w:rFonts w:ascii="Cambria" w:eastAsia="Times New Roman" w:hAnsi="Cambria" w:cstheme="minorHAnsi"/>
          <w:spacing w:val="-1"/>
        </w:rPr>
        <w:t>s</w:t>
      </w:r>
      <w:r w:rsidR="00BA4592" w:rsidRPr="009A0DA6">
        <w:rPr>
          <w:rFonts w:ascii="Cambria" w:eastAsia="Times New Roman" w:hAnsi="Cambria" w:cstheme="minorHAnsi"/>
        </w:rPr>
        <w:t>ed</w:t>
      </w:r>
      <w:r w:rsidR="00BA4592" w:rsidRPr="009A0DA6">
        <w:rPr>
          <w:rFonts w:ascii="Cambria" w:eastAsia="Times New Roman" w:hAnsi="Cambria" w:cstheme="minorHAnsi"/>
          <w:spacing w:val="-6"/>
        </w:rPr>
        <w:t xml:space="preserve"> </w:t>
      </w:r>
      <w:r w:rsidR="00BA4592" w:rsidRPr="009A0DA6">
        <w:rPr>
          <w:rFonts w:ascii="Cambria" w:eastAsia="Times New Roman" w:hAnsi="Cambria" w:cstheme="minorHAnsi"/>
          <w:spacing w:val="4"/>
        </w:rPr>
        <w:t>b</w:t>
      </w:r>
      <w:r w:rsidR="00BA4592" w:rsidRPr="009A0DA6">
        <w:rPr>
          <w:rFonts w:ascii="Cambria" w:eastAsia="Times New Roman" w:hAnsi="Cambria" w:cstheme="minorHAnsi"/>
        </w:rPr>
        <w:t>y</w:t>
      </w:r>
      <w:r w:rsidR="00BA4592" w:rsidRPr="009A0DA6">
        <w:rPr>
          <w:rFonts w:ascii="Cambria" w:eastAsia="Times New Roman" w:hAnsi="Cambria" w:cstheme="minorHAnsi"/>
          <w:spacing w:val="-5"/>
        </w:rPr>
        <w:t xml:space="preserve"> </w:t>
      </w:r>
      <w:r w:rsidR="00BA4592" w:rsidRPr="009A0DA6">
        <w:rPr>
          <w:rFonts w:ascii="Cambria" w:eastAsia="Times New Roman" w:hAnsi="Cambria" w:cstheme="minorHAnsi"/>
        </w:rPr>
        <w:t>ea</w:t>
      </w:r>
      <w:r w:rsidR="00BA4592" w:rsidRPr="009A0DA6">
        <w:rPr>
          <w:rFonts w:ascii="Cambria" w:eastAsia="Times New Roman" w:hAnsi="Cambria" w:cstheme="minorHAnsi"/>
          <w:spacing w:val="3"/>
        </w:rPr>
        <w:t>c</w:t>
      </w:r>
      <w:r w:rsidR="00BA4592" w:rsidRPr="009A0DA6">
        <w:rPr>
          <w:rFonts w:ascii="Cambria" w:eastAsia="Times New Roman" w:hAnsi="Cambria" w:cstheme="minorHAnsi"/>
        </w:rPr>
        <w:t>h</w:t>
      </w:r>
      <w:r w:rsidR="00BA4592" w:rsidRPr="009A0DA6">
        <w:rPr>
          <w:rFonts w:ascii="Cambria" w:eastAsia="Times New Roman" w:hAnsi="Cambria" w:cstheme="minorHAnsi"/>
          <w:spacing w:val="-5"/>
        </w:rPr>
        <w:t xml:space="preserve"> </w:t>
      </w:r>
      <w:r w:rsidR="00BA4592" w:rsidRPr="009A0DA6">
        <w:rPr>
          <w:rFonts w:ascii="Cambria" w:eastAsia="Times New Roman" w:hAnsi="Cambria" w:cstheme="minorHAnsi"/>
        </w:rPr>
        <w:t>D</w:t>
      </w:r>
      <w:r w:rsidR="00BA4592" w:rsidRPr="009A0DA6">
        <w:rPr>
          <w:rFonts w:ascii="Cambria" w:eastAsia="Times New Roman" w:hAnsi="Cambria" w:cstheme="minorHAnsi"/>
          <w:spacing w:val="2"/>
        </w:rPr>
        <w:t>i</w:t>
      </w:r>
      <w:r w:rsidR="00BA4592" w:rsidRPr="009A0DA6">
        <w:rPr>
          <w:rFonts w:ascii="Cambria" w:eastAsia="Times New Roman" w:hAnsi="Cambria" w:cstheme="minorHAnsi"/>
          <w:spacing w:val="-1"/>
        </w:rPr>
        <w:t>s</w:t>
      </w:r>
      <w:r w:rsidR="00BA4592" w:rsidRPr="009A0DA6">
        <w:rPr>
          <w:rFonts w:ascii="Cambria" w:eastAsia="Times New Roman" w:hAnsi="Cambria" w:cstheme="minorHAnsi"/>
        </w:rPr>
        <w:t>t</w:t>
      </w:r>
      <w:r w:rsidR="00BA4592" w:rsidRPr="009A0DA6">
        <w:rPr>
          <w:rFonts w:ascii="Cambria" w:eastAsia="Times New Roman" w:hAnsi="Cambria" w:cstheme="minorHAnsi"/>
          <w:spacing w:val="1"/>
        </w:rPr>
        <w:t>r</w:t>
      </w:r>
      <w:r w:rsidR="00BA4592" w:rsidRPr="009A0DA6">
        <w:rPr>
          <w:rFonts w:ascii="Cambria" w:eastAsia="Times New Roman" w:hAnsi="Cambria" w:cstheme="minorHAnsi"/>
        </w:rPr>
        <w:t>ict</w:t>
      </w:r>
      <w:r w:rsidR="00BA4592" w:rsidRPr="009A0DA6">
        <w:rPr>
          <w:rFonts w:ascii="Cambria" w:eastAsia="Times New Roman" w:hAnsi="Cambria" w:cstheme="minorHAnsi"/>
          <w:spacing w:val="-6"/>
        </w:rPr>
        <w:t xml:space="preserve"> </w:t>
      </w:r>
      <w:r w:rsidR="00BA4592" w:rsidRPr="009A0DA6">
        <w:rPr>
          <w:rFonts w:ascii="Cambria" w:eastAsia="Times New Roman" w:hAnsi="Cambria" w:cstheme="minorHAnsi"/>
          <w:spacing w:val="1"/>
        </w:rPr>
        <w:t>o</w:t>
      </w:r>
      <w:r w:rsidR="00BA4592" w:rsidRPr="009A0DA6">
        <w:rPr>
          <w:rFonts w:ascii="Cambria" w:eastAsia="Times New Roman" w:hAnsi="Cambria" w:cstheme="minorHAnsi"/>
        </w:rPr>
        <w:t>f</w:t>
      </w:r>
      <w:r w:rsidR="00BA4592" w:rsidRPr="009A0DA6">
        <w:rPr>
          <w:rFonts w:ascii="Cambria" w:eastAsia="Times New Roman" w:hAnsi="Cambria" w:cstheme="minorHAnsi"/>
          <w:spacing w:val="-1"/>
        </w:rPr>
        <w:t xml:space="preserve"> </w:t>
      </w:r>
      <w:r w:rsidR="00BA4592" w:rsidRPr="009A0DA6">
        <w:rPr>
          <w:rFonts w:ascii="Cambria" w:eastAsia="Times New Roman" w:hAnsi="Cambria" w:cstheme="minorHAnsi"/>
        </w:rPr>
        <w:t>t</w:t>
      </w:r>
      <w:r w:rsidR="00BA4592" w:rsidRPr="009A0DA6">
        <w:rPr>
          <w:rFonts w:ascii="Cambria" w:eastAsia="Times New Roman" w:hAnsi="Cambria" w:cstheme="minorHAnsi"/>
          <w:spacing w:val="-1"/>
        </w:rPr>
        <w:t>h</w:t>
      </w:r>
      <w:r w:rsidR="00BA4592" w:rsidRPr="009A0DA6">
        <w:rPr>
          <w:rFonts w:ascii="Cambria" w:eastAsia="Times New Roman" w:hAnsi="Cambria" w:cstheme="minorHAnsi"/>
        </w:rPr>
        <w:t>e</w:t>
      </w:r>
      <w:r w:rsidR="00BA4592" w:rsidRPr="009A0DA6">
        <w:rPr>
          <w:rFonts w:ascii="Cambria" w:eastAsia="Times New Roman" w:hAnsi="Cambria" w:cstheme="minorHAnsi"/>
          <w:spacing w:val="-1"/>
        </w:rPr>
        <w:t xml:space="preserve"> </w:t>
      </w:r>
      <w:r w:rsidR="00336CE0" w:rsidRPr="009A0DA6">
        <w:rPr>
          <w:rFonts w:ascii="Cambria" w:eastAsia="Times New Roman" w:hAnsi="Cambria" w:cstheme="minorHAnsi"/>
          <w:spacing w:val="2"/>
        </w:rPr>
        <w:t>church</w:t>
      </w:r>
      <w:r w:rsidR="00BA4592" w:rsidRPr="009A0DA6">
        <w:rPr>
          <w:rFonts w:ascii="Cambria" w:eastAsia="Times New Roman" w:hAnsi="Cambria" w:cstheme="minorHAnsi"/>
        </w:rPr>
        <w:t>.</w:t>
      </w:r>
      <w:r w:rsidR="00BA4592" w:rsidRPr="009A0DA6">
        <w:rPr>
          <w:rFonts w:ascii="Cambria" w:eastAsia="Times New Roman" w:hAnsi="Cambria" w:cstheme="minorHAnsi"/>
          <w:spacing w:val="-5"/>
        </w:rPr>
        <w:t xml:space="preserve"> </w:t>
      </w:r>
      <w:r w:rsidR="00BA4592" w:rsidRPr="009A0DA6">
        <w:rPr>
          <w:rFonts w:ascii="Cambria" w:eastAsia="Times New Roman" w:hAnsi="Cambria" w:cstheme="minorHAnsi"/>
          <w:spacing w:val="3"/>
        </w:rPr>
        <w:t>T</w:t>
      </w:r>
      <w:r w:rsidR="00BA4592" w:rsidRPr="009A0DA6">
        <w:rPr>
          <w:rFonts w:ascii="Cambria" w:eastAsia="Times New Roman" w:hAnsi="Cambria" w:cstheme="minorHAnsi"/>
          <w:spacing w:val="-1"/>
        </w:rPr>
        <w:t>h</w:t>
      </w:r>
      <w:r w:rsidR="00BA4592" w:rsidRPr="009A0DA6">
        <w:rPr>
          <w:rFonts w:ascii="Cambria" w:eastAsia="Times New Roman" w:hAnsi="Cambria" w:cstheme="minorHAnsi"/>
        </w:rPr>
        <w:t>is</w:t>
      </w:r>
      <w:r w:rsidR="00BA4592" w:rsidRPr="009A0DA6">
        <w:rPr>
          <w:rFonts w:ascii="Cambria" w:eastAsia="Times New Roman" w:hAnsi="Cambria" w:cstheme="minorHAnsi"/>
          <w:spacing w:val="-4"/>
        </w:rPr>
        <w:t xml:space="preserve"> </w:t>
      </w:r>
      <w:r w:rsidR="00BA4592" w:rsidRPr="009A0DA6">
        <w:rPr>
          <w:rFonts w:ascii="Cambria" w:eastAsia="Times New Roman" w:hAnsi="Cambria" w:cstheme="minorHAnsi"/>
          <w:spacing w:val="1"/>
        </w:rPr>
        <w:t>r</w:t>
      </w:r>
      <w:r w:rsidR="00BA4592" w:rsidRPr="009A0DA6">
        <w:rPr>
          <w:rFonts w:ascii="Cambria" w:eastAsia="Times New Roman" w:hAnsi="Cambria" w:cstheme="minorHAnsi"/>
        </w:rPr>
        <w:t>e</w:t>
      </w:r>
      <w:r w:rsidR="00BA4592" w:rsidRPr="009A0DA6">
        <w:rPr>
          <w:rFonts w:ascii="Cambria" w:eastAsia="Times New Roman" w:hAnsi="Cambria" w:cstheme="minorHAnsi"/>
          <w:spacing w:val="-1"/>
        </w:rPr>
        <w:t>s</w:t>
      </w:r>
      <w:r w:rsidR="00BA4592" w:rsidRPr="009A0DA6">
        <w:rPr>
          <w:rFonts w:ascii="Cambria" w:eastAsia="Times New Roman" w:hAnsi="Cambria" w:cstheme="minorHAnsi"/>
          <w:spacing w:val="1"/>
        </w:rPr>
        <w:t>pon</w:t>
      </w:r>
      <w:r w:rsidR="00BA4592" w:rsidRPr="009A0DA6">
        <w:rPr>
          <w:rFonts w:ascii="Cambria" w:eastAsia="Times New Roman" w:hAnsi="Cambria" w:cstheme="minorHAnsi"/>
          <w:spacing w:val="-1"/>
        </w:rPr>
        <w:t>s</w:t>
      </w:r>
      <w:r w:rsidR="00BA4592" w:rsidRPr="009A0DA6">
        <w:rPr>
          <w:rFonts w:ascii="Cambria" w:eastAsia="Times New Roman" w:hAnsi="Cambria" w:cstheme="minorHAnsi"/>
        </w:rPr>
        <w:t>i</w:t>
      </w:r>
      <w:r w:rsidR="00BA4592" w:rsidRPr="009A0DA6">
        <w:rPr>
          <w:rFonts w:ascii="Cambria" w:eastAsia="Times New Roman" w:hAnsi="Cambria" w:cstheme="minorHAnsi"/>
          <w:spacing w:val="1"/>
        </w:rPr>
        <w:t>b</w:t>
      </w:r>
      <w:r w:rsidR="00BA4592" w:rsidRPr="009A0DA6">
        <w:rPr>
          <w:rFonts w:ascii="Cambria" w:eastAsia="Times New Roman" w:hAnsi="Cambria" w:cstheme="minorHAnsi"/>
        </w:rPr>
        <w:t>ili</w:t>
      </w:r>
      <w:r w:rsidR="00BA4592" w:rsidRPr="009A0DA6">
        <w:rPr>
          <w:rFonts w:ascii="Cambria" w:eastAsia="Times New Roman" w:hAnsi="Cambria" w:cstheme="minorHAnsi"/>
          <w:spacing w:val="2"/>
        </w:rPr>
        <w:t>t</w:t>
      </w:r>
      <w:r w:rsidR="00BA4592" w:rsidRPr="009A0DA6">
        <w:rPr>
          <w:rFonts w:ascii="Cambria" w:eastAsia="Times New Roman" w:hAnsi="Cambria" w:cstheme="minorHAnsi"/>
        </w:rPr>
        <w:t>y</w:t>
      </w:r>
      <w:r w:rsidR="00BA4592" w:rsidRPr="009A0DA6">
        <w:rPr>
          <w:rFonts w:ascii="Cambria" w:eastAsia="Times New Roman" w:hAnsi="Cambria" w:cstheme="minorHAnsi"/>
          <w:spacing w:val="-12"/>
        </w:rPr>
        <w:t xml:space="preserve"> </w:t>
      </w:r>
      <w:r w:rsidR="00BA4592" w:rsidRPr="009A0DA6">
        <w:rPr>
          <w:rFonts w:ascii="Cambria" w:eastAsia="Times New Roman" w:hAnsi="Cambria" w:cstheme="minorHAnsi"/>
        </w:rPr>
        <w:t>is</w:t>
      </w:r>
      <w:r w:rsidR="00BA4592" w:rsidRPr="009A0DA6">
        <w:rPr>
          <w:rFonts w:ascii="Cambria" w:eastAsia="Times New Roman" w:hAnsi="Cambria" w:cstheme="minorHAnsi"/>
          <w:spacing w:val="1"/>
        </w:rPr>
        <w:t xml:space="preserve"> </w:t>
      </w:r>
      <w:r w:rsidR="00BA4592" w:rsidRPr="009A0DA6">
        <w:rPr>
          <w:rFonts w:ascii="Cambria" w:eastAsia="Times New Roman" w:hAnsi="Cambria" w:cstheme="minorHAnsi"/>
          <w:spacing w:val="-1"/>
        </w:rPr>
        <w:t>su</w:t>
      </w:r>
      <w:r w:rsidR="00BA4592" w:rsidRPr="009A0DA6">
        <w:rPr>
          <w:rFonts w:ascii="Cambria" w:eastAsia="Times New Roman" w:hAnsi="Cambria" w:cstheme="minorHAnsi"/>
          <w:spacing w:val="1"/>
        </w:rPr>
        <w:t>ppor</w:t>
      </w:r>
      <w:r w:rsidR="00BA4592" w:rsidRPr="009A0DA6">
        <w:rPr>
          <w:rFonts w:ascii="Cambria" w:eastAsia="Times New Roman" w:hAnsi="Cambria" w:cstheme="minorHAnsi"/>
        </w:rPr>
        <w:t>ted</w:t>
      </w:r>
      <w:r w:rsidR="00BA4592" w:rsidRPr="009A0DA6">
        <w:rPr>
          <w:rFonts w:ascii="Cambria" w:eastAsia="Times New Roman" w:hAnsi="Cambria" w:cstheme="minorHAnsi"/>
          <w:spacing w:val="-6"/>
        </w:rPr>
        <w:t xml:space="preserve"> </w:t>
      </w:r>
      <w:r w:rsidR="00BA4592" w:rsidRPr="009A0DA6">
        <w:rPr>
          <w:rFonts w:ascii="Cambria" w:eastAsia="Times New Roman" w:hAnsi="Cambria" w:cstheme="minorHAnsi"/>
          <w:spacing w:val="1"/>
        </w:rPr>
        <w:t>b</w:t>
      </w:r>
      <w:r w:rsidR="00BA4592" w:rsidRPr="009A0DA6">
        <w:rPr>
          <w:rFonts w:ascii="Cambria" w:eastAsia="Times New Roman" w:hAnsi="Cambria" w:cstheme="minorHAnsi"/>
        </w:rPr>
        <w:t>y</w:t>
      </w:r>
      <w:r w:rsidR="00BA4592" w:rsidRPr="009A0DA6">
        <w:rPr>
          <w:rFonts w:ascii="Cambria" w:eastAsia="Times New Roman" w:hAnsi="Cambria" w:cstheme="minorHAnsi"/>
          <w:spacing w:val="-5"/>
        </w:rPr>
        <w:t xml:space="preserve"> </w:t>
      </w:r>
      <w:r w:rsidR="00BA4592" w:rsidRPr="009A0DA6">
        <w:rPr>
          <w:rFonts w:ascii="Cambria" w:eastAsia="Times New Roman" w:hAnsi="Cambria" w:cstheme="minorHAnsi"/>
          <w:spacing w:val="2"/>
        </w:rPr>
        <w:t>s</w:t>
      </w:r>
      <w:r w:rsidR="00BA4592" w:rsidRPr="009A0DA6">
        <w:rPr>
          <w:rFonts w:ascii="Cambria" w:eastAsia="Times New Roman" w:hAnsi="Cambria" w:cstheme="minorHAnsi"/>
        </w:rPr>
        <w:t>i</w:t>
      </w:r>
      <w:r w:rsidR="00BA4592" w:rsidRPr="009A0DA6">
        <w:rPr>
          <w:rFonts w:ascii="Cambria" w:eastAsia="Times New Roman" w:hAnsi="Cambria" w:cstheme="minorHAnsi"/>
          <w:spacing w:val="1"/>
        </w:rPr>
        <w:t>g</w:t>
      </w:r>
      <w:r w:rsidR="00BA4592" w:rsidRPr="009A0DA6">
        <w:rPr>
          <w:rFonts w:ascii="Cambria" w:eastAsia="Times New Roman" w:hAnsi="Cambria" w:cstheme="minorHAnsi"/>
          <w:spacing w:val="-1"/>
        </w:rPr>
        <w:t>n</w:t>
      </w:r>
      <w:r w:rsidR="00BA4592" w:rsidRPr="009A0DA6">
        <w:rPr>
          <w:rFonts w:ascii="Cambria" w:eastAsia="Times New Roman" w:hAnsi="Cambria" w:cstheme="minorHAnsi"/>
          <w:spacing w:val="2"/>
        </w:rPr>
        <w:t>i</w:t>
      </w:r>
      <w:r w:rsidR="00BA4592" w:rsidRPr="009A0DA6">
        <w:rPr>
          <w:rFonts w:ascii="Cambria" w:eastAsia="Times New Roman" w:hAnsi="Cambria" w:cstheme="minorHAnsi"/>
          <w:spacing w:val="-1"/>
        </w:rPr>
        <w:t>f</w:t>
      </w:r>
      <w:r w:rsidR="00BA4592" w:rsidRPr="009A0DA6">
        <w:rPr>
          <w:rFonts w:ascii="Cambria" w:eastAsia="Times New Roman" w:hAnsi="Cambria" w:cstheme="minorHAnsi"/>
        </w:rPr>
        <w:t>ic</w:t>
      </w:r>
      <w:r w:rsidR="00BA4592" w:rsidRPr="009A0DA6">
        <w:rPr>
          <w:rFonts w:ascii="Cambria" w:eastAsia="Times New Roman" w:hAnsi="Cambria" w:cstheme="minorHAnsi"/>
          <w:spacing w:val="3"/>
        </w:rPr>
        <w:t>a</w:t>
      </w:r>
      <w:r w:rsidR="00BA4592" w:rsidRPr="009A0DA6">
        <w:rPr>
          <w:rFonts w:ascii="Cambria" w:eastAsia="Times New Roman" w:hAnsi="Cambria" w:cstheme="minorHAnsi"/>
          <w:spacing w:val="-1"/>
        </w:rPr>
        <w:t>n</w:t>
      </w:r>
      <w:r w:rsidR="00BA4592" w:rsidRPr="009A0DA6">
        <w:rPr>
          <w:rFonts w:ascii="Cambria" w:eastAsia="Times New Roman" w:hAnsi="Cambria" w:cstheme="minorHAnsi"/>
        </w:rPr>
        <w:t>t</w:t>
      </w:r>
      <w:r w:rsidR="00BA4592" w:rsidRPr="009A0DA6">
        <w:rPr>
          <w:rFonts w:ascii="Cambria" w:eastAsia="Times New Roman" w:hAnsi="Cambria" w:cstheme="minorHAnsi"/>
          <w:spacing w:val="-8"/>
        </w:rPr>
        <w:t xml:space="preserve"> </w:t>
      </w:r>
      <w:r w:rsidR="00BA4592" w:rsidRPr="009A0DA6">
        <w:rPr>
          <w:rFonts w:ascii="Cambria" w:eastAsia="Times New Roman" w:hAnsi="Cambria" w:cstheme="minorHAnsi"/>
          <w:spacing w:val="1"/>
        </w:rPr>
        <w:t>prop</w:t>
      </w:r>
      <w:r w:rsidR="00BA4592" w:rsidRPr="009A0DA6">
        <w:rPr>
          <w:rFonts w:ascii="Cambria" w:eastAsia="Times New Roman" w:hAnsi="Cambria" w:cstheme="minorHAnsi"/>
        </w:rPr>
        <w:t>e</w:t>
      </w:r>
      <w:r w:rsidR="00BA4592" w:rsidRPr="009A0DA6">
        <w:rPr>
          <w:rFonts w:ascii="Cambria" w:eastAsia="Times New Roman" w:hAnsi="Cambria" w:cstheme="minorHAnsi"/>
          <w:spacing w:val="1"/>
        </w:rPr>
        <w:t>r</w:t>
      </w:r>
      <w:r w:rsidR="00BA4592" w:rsidRPr="009A0DA6">
        <w:rPr>
          <w:rFonts w:ascii="Cambria" w:eastAsia="Times New Roman" w:hAnsi="Cambria" w:cstheme="minorHAnsi"/>
        </w:rPr>
        <w:t>ty</w:t>
      </w:r>
      <w:r w:rsidR="00BA4592" w:rsidRPr="009A0DA6">
        <w:rPr>
          <w:rFonts w:ascii="Cambria" w:eastAsia="Times New Roman" w:hAnsi="Cambria" w:cstheme="minorHAnsi"/>
          <w:spacing w:val="-10"/>
        </w:rPr>
        <w:t xml:space="preserve"> </w:t>
      </w:r>
      <w:r w:rsidR="00BA4592" w:rsidRPr="009A0DA6">
        <w:rPr>
          <w:rFonts w:ascii="Cambria" w:eastAsia="Times New Roman" w:hAnsi="Cambria" w:cstheme="minorHAnsi"/>
        </w:rPr>
        <w:t>a</w:t>
      </w:r>
      <w:r w:rsidR="00BA4592" w:rsidRPr="009A0DA6">
        <w:rPr>
          <w:rFonts w:ascii="Cambria" w:eastAsia="Times New Roman" w:hAnsi="Cambria" w:cstheme="minorHAnsi"/>
          <w:spacing w:val="-1"/>
        </w:rPr>
        <w:t>ss</w:t>
      </w:r>
      <w:r w:rsidR="00BA4592" w:rsidRPr="009A0DA6">
        <w:rPr>
          <w:rFonts w:ascii="Cambria" w:eastAsia="Times New Roman" w:hAnsi="Cambria" w:cstheme="minorHAnsi"/>
          <w:spacing w:val="3"/>
        </w:rPr>
        <w:t>e</w:t>
      </w:r>
      <w:r w:rsidR="00BA4592" w:rsidRPr="009A0DA6">
        <w:rPr>
          <w:rFonts w:ascii="Cambria" w:eastAsia="Times New Roman" w:hAnsi="Cambria" w:cstheme="minorHAnsi"/>
        </w:rPr>
        <w:t>ts</w:t>
      </w:r>
      <w:r w:rsidR="00BA4592" w:rsidRPr="009A0DA6">
        <w:rPr>
          <w:rFonts w:ascii="Cambria" w:eastAsia="Times New Roman" w:hAnsi="Cambria" w:cstheme="minorHAnsi"/>
          <w:spacing w:val="-5"/>
        </w:rPr>
        <w:t xml:space="preserve"> </w:t>
      </w:r>
      <w:r w:rsidR="00BA4592" w:rsidRPr="009A0DA6">
        <w:rPr>
          <w:rFonts w:ascii="Cambria" w:eastAsia="Times New Roman" w:hAnsi="Cambria" w:cstheme="minorHAnsi"/>
          <w:spacing w:val="3"/>
        </w:rPr>
        <w:t>a</w:t>
      </w:r>
      <w:r w:rsidR="00BA4592" w:rsidRPr="009A0DA6">
        <w:rPr>
          <w:rFonts w:ascii="Cambria" w:eastAsia="Times New Roman" w:hAnsi="Cambria" w:cstheme="minorHAnsi"/>
          <w:spacing w:val="-1"/>
        </w:rPr>
        <w:t>n</w:t>
      </w:r>
      <w:r w:rsidR="00BA4592" w:rsidRPr="009A0DA6">
        <w:rPr>
          <w:rFonts w:ascii="Cambria" w:eastAsia="Times New Roman" w:hAnsi="Cambria" w:cstheme="minorHAnsi"/>
        </w:rPr>
        <w:t xml:space="preserve">d </w:t>
      </w:r>
      <w:r w:rsidR="00BA4592" w:rsidRPr="009A0DA6">
        <w:rPr>
          <w:rFonts w:ascii="Cambria" w:eastAsia="Times New Roman" w:hAnsi="Cambria" w:cstheme="minorHAnsi"/>
          <w:spacing w:val="1"/>
        </w:rPr>
        <w:t>o</w:t>
      </w:r>
      <w:r w:rsidR="00BA4592" w:rsidRPr="009A0DA6">
        <w:rPr>
          <w:rFonts w:ascii="Cambria" w:eastAsia="Times New Roman" w:hAnsi="Cambria" w:cstheme="minorHAnsi"/>
        </w:rPr>
        <w:t>t</w:t>
      </w:r>
      <w:r w:rsidR="00BA4592" w:rsidRPr="009A0DA6">
        <w:rPr>
          <w:rFonts w:ascii="Cambria" w:eastAsia="Times New Roman" w:hAnsi="Cambria" w:cstheme="minorHAnsi"/>
          <w:spacing w:val="-1"/>
        </w:rPr>
        <w:t>h</w:t>
      </w:r>
      <w:r w:rsidR="00BA4592" w:rsidRPr="009A0DA6">
        <w:rPr>
          <w:rFonts w:ascii="Cambria" w:eastAsia="Times New Roman" w:hAnsi="Cambria" w:cstheme="minorHAnsi"/>
        </w:rPr>
        <w:t xml:space="preserve">er </w:t>
      </w:r>
      <w:r w:rsidR="00BA4592" w:rsidRPr="009A0DA6">
        <w:rPr>
          <w:rFonts w:ascii="Cambria" w:eastAsia="Times New Roman" w:hAnsi="Cambria" w:cstheme="minorHAnsi"/>
          <w:spacing w:val="-4"/>
        </w:rPr>
        <w:t>m</w:t>
      </w:r>
      <w:r w:rsidR="00BA4592" w:rsidRPr="009A0DA6">
        <w:rPr>
          <w:rFonts w:ascii="Cambria" w:eastAsia="Times New Roman" w:hAnsi="Cambria" w:cstheme="minorHAnsi"/>
          <w:spacing w:val="1"/>
        </w:rPr>
        <w:t>o</w:t>
      </w:r>
      <w:r w:rsidR="00BA4592" w:rsidRPr="009A0DA6">
        <w:rPr>
          <w:rFonts w:ascii="Cambria" w:eastAsia="Times New Roman" w:hAnsi="Cambria" w:cstheme="minorHAnsi"/>
          <w:spacing w:val="-1"/>
        </w:rPr>
        <w:t>n</w:t>
      </w:r>
      <w:r w:rsidR="00BA4592" w:rsidRPr="009A0DA6">
        <w:rPr>
          <w:rFonts w:ascii="Cambria" w:eastAsia="Times New Roman" w:hAnsi="Cambria" w:cstheme="minorHAnsi"/>
          <w:spacing w:val="3"/>
        </w:rPr>
        <w:t>e</w:t>
      </w:r>
      <w:r w:rsidR="00BA4592" w:rsidRPr="009A0DA6">
        <w:rPr>
          <w:rFonts w:ascii="Cambria" w:eastAsia="Times New Roman" w:hAnsi="Cambria" w:cstheme="minorHAnsi"/>
          <w:spacing w:val="-1"/>
        </w:rPr>
        <w:t>y</w:t>
      </w:r>
      <w:r w:rsidR="00BA4592" w:rsidRPr="009A0DA6">
        <w:rPr>
          <w:rFonts w:ascii="Cambria" w:eastAsia="Times New Roman" w:hAnsi="Cambria" w:cstheme="minorHAnsi"/>
        </w:rPr>
        <w:t>s t</w:t>
      </w:r>
      <w:r w:rsidR="00BA4592" w:rsidRPr="009A0DA6">
        <w:rPr>
          <w:rFonts w:ascii="Cambria" w:eastAsia="Times New Roman" w:hAnsi="Cambria" w:cstheme="minorHAnsi"/>
          <w:spacing w:val="1"/>
        </w:rPr>
        <w:t>o</w:t>
      </w:r>
      <w:r w:rsidR="00BA4592" w:rsidRPr="009A0DA6">
        <w:rPr>
          <w:rFonts w:ascii="Cambria" w:eastAsia="Times New Roman" w:hAnsi="Cambria" w:cstheme="minorHAnsi"/>
          <w:spacing w:val="-1"/>
        </w:rPr>
        <w:t>g</w:t>
      </w:r>
      <w:r w:rsidR="00BA4592" w:rsidRPr="009A0DA6">
        <w:rPr>
          <w:rFonts w:ascii="Cambria" w:eastAsia="Times New Roman" w:hAnsi="Cambria" w:cstheme="minorHAnsi"/>
          <w:spacing w:val="3"/>
        </w:rPr>
        <w:t>e</w:t>
      </w:r>
      <w:r w:rsidR="00BA4592" w:rsidRPr="009A0DA6">
        <w:rPr>
          <w:rFonts w:ascii="Cambria" w:eastAsia="Times New Roman" w:hAnsi="Cambria" w:cstheme="minorHAnsi"/>
        </w:rPr>
        <w:t>t</w:t>
      </w:r>
      <w:r w:rsidR="00BA4592" w:rsidRPr="009A0DA6">
        <w:rPr>
          <w:rFonts w:ascii="Cambria" w:eastAsia="Times New Roman" w:hAnsi="Cambria" w:cstheme="minorHAnsi"/>
          <w:spacing w:val="-1"/>
        </w:rPr>
        <w:t>h</w:t>
      </w:r>
      <w:r w:rsidR="00BA4592" w:rsidRPr="009A0DA6">
        <w:rPr>
          <w:rFonts w:ascii="Cambria" w:eastAsia="Times New Roman" w:hAnsi="Cambria" w:cstheme="minorHAnsi"/>
        </w:rPr>
        <w:t xml:space="preserve">er </w:t>
      </w:r>
      <w:r w:rsidR="00BA4592" w:rsidRPr="009A0DA6">
        <w:rPr>
          <w:rFonts w:ascii="Cambria" w:eastAsia="Times New Roman" w:hAnsi="Cambria" w:cstheme="minorHAnsi"/>
          <w:spacing w:val="-2"/>
        </w:rPr>
        <w:t>w</w:t>
      </w:r>
      <w:r w:rsidR="00BA4592" w:rsidRPr="009A0DA6">
        <w:rPr>
          <w:rFonts w:ascii="Cambria" w:eastAsia="Times New Roman" w:hAnsi="Cambria" w:cstheme="minorHAnsi"/>
        </w:rPr>
        <w:t>i</w:t>
      </w:r>
      <w:r w:rsidR="00BA4592" w:rsidRPr="009A0DA6">
        <w:rPr>
          <w:rFonts w:ascii="Cambria" w:eastAsia="Times New Roman" w:hAnsi="Cambria" w:cstheme="minorHAnsi"/>
          <w:spacing w:val="2"/>
        </w:rPr>
        <w:t>t</w:t>
      </w:r>
      <w:r w:rsidR="00BA4592" w:rsidRPr="009A0DA6">
        <w:rPr>
          <w:rFonts w:ascii="Cambria" w:eastAsia="Times New Roman" w:hAnsi="Cambria" w:cstheme="minorHAnsi"/>
        </w:rPr>
        <w:t>h a</w:t>
      </w:r>
      <w:r w:rsidR="00BA4592" w:rsidRPr="009A0DA6">
        <w:rPr>
          <w:rFonts w:ascii="Cambria" w:eastAsia="Times New Roman" w:hAnsi="Cambria" w:cstheme="minorHAnsi"/>
          <w:spacing w:val="31"/>
        </w:rPr>
        <w:t xml:space="preserve"> </w:t>
      </w:r>
      <w:r w:rsidR="00BA4592" w:rsidRPr="009A0DA6">
        <w:rPr>
          <w:rFonts w:ascii="Cambria" w:eastAsia="Times New Roman" w:hAnsi="Cambria" w:cstheme="minorHAnsi"/>
          <w:spacing w:val="-1"/>
        </w:rPr>
        <w:t>h</w:t>
      </w:r>
      <w:r w:rsidR="00BA4592" w:rsidRPr="009A0DA6">
        <w:rPr>
          <w:rFonts w:ascii="Cambria" w:eastAsia="Times New Roman" w:hAnsi="Cambria" w:cstheme="minorHAnsi"/>
        </w:rPr>
        <w:t>ie</w:t>
      </w:r>
      <w:r w:rsidR="00BA4592" w:rsidRPr="009A0DA6">
        <w:rPr>
          <w:rFonts w:ascii="Cambria" w:eastAsia="Times New Roman" w:hAnsi="Cambria" w:cstheme="minorHAnsi"/>
          <w:spacing w:val="1"/>
        </w:rPr>
        <w:t>r</w:t>
      </w:r>
      <w:r w:rsidR="00BA4592" w:rsidRPr="009A0DA6">
        <w:rPr>
          <w:rFonts w:ascii="Cambria" w:eastAsia="Times New Roman" w:hAnsi="Cambria" w:cstheme="minorHAnsi"/>
        </w:rPr>
        <w:t>a</w:t>
      </w:r>
      <w:r w:rsidR="00BA4592" w:rsidRPr="009A0DA6">
        <w:rPr>
          <w:rFonts w:ascii="Cambria" w:eastAsia="Times New Roman" w:hAnsi="Cambria" w:cstheme="minorHAnsi"/>
          <w:spacing w:val="1"/>
        </w:rPr>
        <w:t>r</w:t>
      </w:r>
      <w:r w:rsidR="00BA4592" w:rsidRPr="009A0DA6">
        <w:rPr>
          <w:rFonts w:ascii="Cambria" w:eastAsia="Times New Roman" w:hAnsi="Cambria" w:cstheme="minorHAnsi"/>
        </w:rPr>
        <w:t>c</w:t>
      </w:r>
      <w:r w:rsidR="00BA4592" w:rsidRPr="009A0DA6">
        <w:rPr>
          <w:rFonts w:ascii="Cambria" w:eastAsia="Times New Roman" w:hAnsi="Cambria" w:cstheme="minorHAnsi"/>
          <w:spacing w:val="-1"/>
        </w:rPr>
        <w:t>h</w:t>
      </w:r>
      <w:r w:rsidR="00BA4592" w:rsidRPr="009A0DA6">
        <w:rPr>
          <w:rFonts w:ascii="Cambria" w:eastAsia="Times New Roman" w:hAnsi="Cambria" w:cstheme="minorHAnsi"/>
        </w:rPr>
        <w:t xml:space="preserve">al </w:t>
      </w:r>
      <w:r w:rsidR="00BA4592" w:rsidRPr="009A0DA6">
        <w:rPr>
          <w:rFonts w:ascii="Cambria" w:eastAsia="Times New Roman" w:hAnsi="Cambria" w:cstheme="minorHAnsi"/>
          <w:spacing w:val="1"/>
        </w:rPr>
        <w:t>g</w:t>
      </w:r>
      <w:r w:rsidR="00BA4592" w:rsidRPr="009A0DA6">
        <w:rPr>
          <w:rFonts w:ascii="Cambria" w:eastAsia="Times New Roman" w:hAnsi="Cambria" w:cstheme="minorHAnsi"/>
          <w:spacing w:val="-1"/>
        </w:rPr>
        <w:t>u</w:t>
      </w:r>
      <w:r w:rsidR="00BA4592" w:rsidRPr="009A0DA6">
        <w:rPr>
          <w:rFonts w:ascii="Cambria" w:eastAsia="Times New Roman" w:hAnsi="Cambria" w:cstheme="minorHAnsi"/>
        </w:rPr>
        <w:t>a</w:t>
      </w:r>
      <w:r w:rsidR="00BA4592" w:rsidRPr="009A0DA6">
        <w:rPr>
          <w:rFonts w:ascii="Cambria" w:eastAsia="Times New Roman" w:hAnsi="Cambria" w:cstheme="minorHAnsi"/>
          <w:spacing w:val="1"/>
        </w:rPr>
        <w:t>r</w:t>
      </w:r>
      <w:r w:rsidR="00BA4592" w:rsidRPr="009A0DA6">
        <w:rPr>
          <w:rFonts w:ascii="Cambria" w:eastAsia="Times New Roman" w:hAnsi="Cambria" w:cstheme="minorHAnsi"/>
        </w:rPr>
        <w:t>a</w:t>
      </w:r>
      <w:r w:rsidR="00BA4592" w:rsidRPr="009A0DA6">
        <w:rPr>
          <w:rFonts w:ascii="Cambria" w:eastAsia="Times New Roman" w:hAnsi="Cambria" w:cstheme="minorHAnsi"/>
          <w:spacing w:val="-1"/>
        </w:rPr>
        <w:t>n</w:t>
      </w:r>
      <w:r w:rsidR="00BA4592" w:rsidRPr="009A0DA6">
        <w:rPr>
          <w:rFonts w:ascii="Cambria" w:eastAsia="Times New Roman" w:hAnsi="Cambria" w:cstheme="minorHAnsi"/>
        </w:rPr>
        <w:t>tee</w:t>
      </w:r>
      <w:r w:rsidR="00BA4592" w:rsidRPr="009A0DA6">
        <w:rPr>
          <w:rFonts w:ascii="Cambria" w:eastAsia="Times New Roman" w:hAnsi="Cambria" w:cstheme="minorHAnsi"/>
          <w:spacing w:val="27"/>
        </w:rPr>
        <w:t xml:space="preserve"> </w:t>
      </w:r>
      <w:r w:rsidR="00BA4592" w:rsidRPr="009A0DA6">
        <w:rPr>
          <w:rFonts w:ascii="Cambria" w:eastAsia="Times New Roman" w:hAnsi="Cambria" w:cstheme="minorHAnsi"/>
          <w:spacing w:val="-1"/>
        </w:rPr>
        <w:t>f</w:t>
      </w:r>
      <w:r w:rsidR="00BA4592" w:rsidRPr="009A0DA6">
        <w:rPr>
          <w:rFonts w:ascii="Cambria" w:eastAsia="Times New Roman" w:hAnsi="Cambria" w:cstheme="minorHAnsi"/>
          <w:spacing w:val="1"/>
        </w:rPr>
        <w:t>o</w:t>
      </w:r>
      <w:r w:rsidR="00BA4592" w:rsidRPr="009A0DA6">
        <w:rPr>
          <w:rFonts w:ascii="Cambria" w:eastAsia="Times New Roman" w:hAnsi="Cambria" w:cstheme="minorHAnsi"/>
        </w:rPr>
        <w:t xml:space="preserve">r </w:t>
      </w:r>
      <w:r w:rsidR="00BA4592" w:rsidRPr="009A0DA6">
        <w:rPr>
          <w:rFonts w:ascii="Cambria" w:eastAsia="Times New Roman" w:hAnsi="Cambria" w:cstheme="minorHAnsi"/>
          <w:spacing w:val="-2"/>
        </w:rPr>
        <w:t>w</w:t>
      </w:r>
      <w:r w:rsidR="00BA4592" w:rsidRPr="009A0DA6">
        <w:rPr>
          <w:rFonts w:ascii="Cambria" w:eastAsia="Times New Roman" w:hAnsi="Cambria" w:cstheme="minorHAnsi"/>
          <w:spacing w:val="-1"/>
        </w:rPr>
        <w:t>h</w:t>
      </w:r>
      <w:r w:rsidR="00BA4592" w:rsidRPr="009A0DA6">
        <w:rPr>
          <w:rFonts w:ascii="Cambria" w:eastAsia="Times New Roman" w:hAnsi="Cambria" w:cstheme="minorHAnsi"/>
        </w:rPr>
        <w:t>ich</w:t>
      </w:r>
      <w:r w:rsidR="00BA4592" w:rsidRPr="009A0DA6">
        <w:rPr>
          <w:rFonts w:ascii="Cambria" w:eastAsia="Times New Roman" w:hAnsi="Cambria" w:cstheme="minorHAnsi"/>
          <w:spacing w:val="26"/>
        </w:rPr>
        <w:t xml:space="preserve"> </w:t>
      </w:r>
      <w:r w:rsidR="00BA4592" w:rsidRPr="009A0DA6">
        <w:rPr>
          <w:rFonts w:ascii="Cambria" w:eastAsia="Times New Roman" w:hAnsi="Cambria" w:cstheme="minorHAnsi"/>
        </w:rPr>
        <w:t>ea</w:t>
      </w:r>
      <w:r w:rsidR="00BA4592" w:rsidRPr="009A0DA6">
        <w:rPr>
          <w:rFonts w:ascii="Cambria" w:eastAsia="Times New Roman" w:hAnsi="Cambria" w:cstheme="minorHAnsi"/>
          <w:spacing w:val="3"/>
        </w:rPr>
        <w:t>c</w:t>
      </w:r>
      <w:r w:rsidR="00BA4592" w:rsidRPr="009A0DA6">
        <w:rPr>
          <w:rFonts w:ascii="Cambria" w:eastAsia="Times New Roman" w:hAnsi="Cambria" w:cstheme="minorHAnsi"/>
        </w:rPr>
        <w:t>h Di</w:t>
      </w:r>
      <w:r w:rsidR="00BA4592" w:rsidRPr="009A0DA6">
        <w:rPr>
          <w:rFonts w:ascii="Cambria" w:eastAsia="Times New Roman" w:hAnsi="Cambria" w:cstheme="minorHAnsi"/>
          <w:spacing w:val="-1"/>
        </w:rPr>
        <w:t>s</w:t>
      </w:r>
      <w:r w:rsidR="00BA4592" w:rsidRPr="009A0DA6">
        <w:rPr>
          <w:rFonts w:ascii="Cambria" w:eastAsia="Times New Roman" w:hAnsi="Cambria" w:cstheme="minorHAnsi"/>
        </w:rPr>
        <w:t>t</w:t>
      </w:r>
      <w:r w:rsidR="00BA4592" w:rsidRPr="009A0DA6">
        <w:rPr>
          <w:rFonts w:ascii="Cambria" w:eastAsia="Times New Roman" w:hAnsi="Cambria" w:cstheme="minorHAnsi"/>
          <w:spacing w:val="1"/>
        </w:rPr>
        <w:t>r</w:t>
      </w:r>
      <w:r w:rsidR="00BA4592" w:rsidRPr="009A0DA6">
        <w:rPr>
          <w:rFonts w:ascii="Cambria" w:eastAsia="Times New Roman" w:hAnsi="Cambria" w:cstheme="minorHAnsi"/>
        </w:rPr>
        <w:t xml:space="preserve">ict </w:t>
      </w:r>
      <w:r w:rsidR="00BA4592" w:rsidRPr="009A0DA6">
        <w:rPr>
          <w:rFonts w:ascii="Cambria" w:eastAsia="Times New Roman" w:hAnsi="Cambria" w:cstheme="minorHAnsi"/>
          <w:spacing w:val="4"/>
        </w:rPr>
        <w:t>o</w:t>
      </w:r>
      <w:r w:rsidR="00BA4592" w:rsidRPr="009A0DA6">
        <w:rPr>
          <w:rFonts w:ascii="Cambria" w:eastAsia="Times New Roman" w:hAnsi="Cambria" w:cstheme="minorHAnsi"/>
        </w:rPr>
        <w:t>f t</w:t>
      </w:r>
      <w:r w:rsidR="00BA4592" w:rsidRPr="009A0DA6">
        <w:rPr>
          <w:rFonts w:ascii="Cambria" w:eastAsia="Times New Roman" w:hAnsi="Cambria" w:cstheme="minorHAnsi"/>
          <w:spacing w:val="1"/>
        </w:rPr>
        <w:t>h</w:t>
      </w:r>
      <w:r w:rsidR="00BA4592" w:rsidRPr="009A0DA6">
        <w:rPr>
          <w:rFonts w:ascii="Cambria" w:eastAsia="Times New Roman" w:hAnsi="Cambria" w:cstheme="minorHAnsi"/>
        </w:rPr>
        <w:t xml:space="preserve">e </w:t>
      </w:r>
      <w:r w:rsidR="00336CE0" w:rsidRPr="009A0DA6">
        <w:rPr>
          <w:rFonts w:ascii="Cambria" w:eastAsia="Times New Roman" w:hAnsi="Cambria" w:cstheme="minorHAnsi"/>
          <w:spacing w:val="-1"/>
        </w:rPr>
        <w:t>church</w:t>
      </w:r>
      <w:r w:rsidR="00BA4592" w:rsidRPr="009A0DA6">
        <w:rPr>
          <w:rFonts w:ascii="Cambria" w:eastAsia="Times New Roman" w:hAnsi="Cambria" w:cstheme="minorHAnsi"/>
        </w:rPr>
        <w:t xml:space="preserve"> t</w:t>
      </w:r>
      <w:r w:rsidR="00BA4592" w:rsidRPr="009A0DA6">
        <w:rPr>
          <w:rFonts w:ascii="Cambria" w:eastAsia="Times New Roman" w:hAnsi="Cambria" w:cstheme="minorHAnsi"/>
          <w:spacing w:val="3"/>
        </w:rPr>
        <w:t>a</w:t>
      </w:r>
      <w:r w:rsidR="00BA4592" w:rsidRPr="009A0DA6">
        <w:rPr>
          <w:rFonts w:ascii="Cambria" w:eastAsia="Times New Roman" w:hAnsi="Cambria" w:cstheme="minorHAnsi"/>
          <w:spacing w:val="-1"/>
        </w:rPr>
        <w:t>k</w:t>
      </w:r>
      <w:r w:rsidR="00BA4592" w:rsidRPr="009A0DA6">
        <w:rPr>
          <w:rFonts w:ascii="Cambria" w:eastAsia="Times New Roman" w:hAnsi="Cambria" w:cstheme="minorHAnsi"/>
        </w:rPr>
        <w:t xml:space="preserve">es </w:t>
      </w:r>
      <w:r w:rsidR="00BA4592" w:rsidRPr="009A0DA6">
        <w:rPr>
          <w:rFonts w:ascii="Cambria" w:eastAsia="Times New Roman" w:hAnsi="Cambria" w:cstheme="minorHAnsi"/>
          <w:spacing w:val="1"/>
        </w:rPr>
        <w:t>r</w:t>
      </w:r>
      <w:r w:rsidR="00BA4592" w:rsidRPr="009A0DA6">
        <w:rPr>
          <w:rFonts w:ascii="Cambria" w:eastAsia="Times New Roman" w:hAnsi="Cambria" w:cstheme="minorHAnsi"/>
        </w:rPr>
        <w:t>e</w:t>
      </w:r>
      <w:r w:rsidR="00BA4592" w:rsidRPr="009A0DA6">
        <w:rPr>
          <w:rFonts w:ascii="Cambria" w:eastAsia="Times New Roman" w:hAnsi="Cambria" w:cstheme="minorHAnsi"/>
          <w:spacing w:val="-1"/>
        </w:rPr>
        <w:t>s</w:t>
      </w:r>
      <w:r w:rsidR="00BA4592" w:rsidRPr="009A0DA6">
        <w:rPr>
          <w:rFonts w:ascii="Cambria" w:eastAsia="Times New Roman" w:hAnsi="Cambria" w:cstheme="minorHAnsi"/>
          <w:spacing w:val="1"/>
        </w:rPr>
        <w:t>po</w:t>
      </w:r>
      <w:r w:rsidR="00BA4592" w:rsidRPr="009A0DA6">
        <w:rPr>
          <w:rFonts w:ascii="Cambria" w:eastAsia="Times New Roman" w:hAnsi="Cambria" w:cstheme="minorHAnsi"/>
          <w:spacing w:val="-1"/>
        </w:rPr>
        <w:t>ns</w:t>
      </w:r>
      <w:r w:rsidR="00BA4592" w:rsidRPr="009A0DA6">
        <w:rPr>
          <w:rFonts w:ascii="Cambria" w:eastAsia="Times New Roman" w:hAnsi="Cambria" w:cstheme="minorHAnsi"/>
        </w:rPr>
        <w:t>i</w:t>
      </w:r>
      <w:r w:rsidR="00BA4592" w:rsidRPr="009A0DA6">
        <w:rPr>
          <w:rFonts w:ascii="Cambria" w:eastAsia="Times New Roman" w:hAnsi="Cambria" w:cstheme="minorHAnsi"/>
          <w:spacing w:val="1"/>
        </w:rPr>
        <w:t>b</w:t>
      </w:r>
      <w:r w:rsidR="00BA4592" w:rsidRPr="009A0DA6">
        <w:rPr>
          <w:rFonts w:ascii="Cambria" w:eastAsia="Times New Roman" w:hAnsi="Cambria" w:cstheme="minorHAnsi"/>
        </w:rPr>
        <w:t>ili</w:t>
      </w:r>
      <w:r w:rsidR="00BA4592" w:rsidRPr="009A0DA6">
        <w:rPr>
          <w:rFonts w:ascii="Cambria" w:eastAsia="Times New Roman" w:hAnsi="Cambria" w:cstheme="minorHAnsi"/>
          <w:spacing w:val="2"/>
        </w:rPr>
        <w:t>t</w:t>
      </w:r>
      <w:r w:rsidR="00BA4592" w:rsidRPr="009A0DA6">
        <w:rPr>
          <w:rFonts w:ascii="Cambria" w:eastAsia="Times New Roman" w:hAnsi="Cambria" w:cstheme="minorHAnsi"/>
          <w:spacing w:val="-1"/>
        </w:rPr>
        <w:t>y</w:t>
      </w:r>
      <w:r w:rsidR="00BA4592" w:rsidRPr="009A0DA6">
        <w:rPr>
          <w:rFonts w:ascii="Cambria" w:eastAsia="Times New Roman" w:hAnsi="Cambria" w:cstheme="minorHAnsi"/>
        </w:rPr>
        <w:t>.</w:t>
      </w:r>
    </w:p>
    <w:p w14:paraId="0B6822A4" w14:textId="5227C555" w:rsidR="00BA4592" w:rsidRPr="009A0DA6" w:rsidRDefault="00B81951" w:rsidP="00BA4592">
      <w:pPr>
        <w:spacing w:before="120" w:after="120" w:line="240" w:lineRule="auto"/>
        <w:ind w:right="-51"/>
        <w:contextualSpacing/>
        <w:rPr>
          <w:rFonts w:ascii="Cambria" w:eastAsia="Times New Roman" w:hAnsi="Cambria" w:cstheme="minorHAnsi"/>
        </w:rPr>
      </w:pPr>
      <w:r w:rsidRPr="009A0DA6">
        <w:rPr>
          <w:rFonts w:ascii="Cambria" w:eastAsia="Times New Roman" w:hAnsi="Cambria" w:cstheme="minorHAnsi"/>
          <w:spacing w:val="1"/>
        </w:rPr>
        <w:br/>
      </w:r>
      <w:r w:rsidR="00BA4592" w:rsidRPr="009A0DA6">
        <w:rPr>
          <w:rFonts w:ascii="Cambria" w:eastAsia="Times New Roman" w:hAnsi="Cambria" w:cstheme="minorHAnsi"/>
          <w:spacing w:val="1"/>
        </w:rPr>
        <w:t>I</w:t>
      </w:r>
      <w:r w:rsidR="00BA4592" w:rsidRPr="009A0DA6">
        <w:rPr>
          <w:rFonts w:ascii="Cambria" w:eastAsia="Times New Roman" w:hAnsi="Cambria" w:cstheme="minorHAnsi"/>
        </w:rPr>
        <w:t>n</w:t>
      </w:r>
      <w:r w:rsidR="00BA4592" w:rsidRPr="009A0DA6">
        <w:rPr>
          <w:rFonts w:ascii="Cambria" w:eastAsia="Times New Roman" w:hAnsi="Cambria" w:cstheme="minorHAnsi"/>
          <w:spacing w:val="7"/>
        </w:rPr>
        <w:t xml:space="preserve"> </w:t>
      </w:r>
      <w:r w:rsidR="00BA4592" w:rsidRPr="009A0DA6">
        <w:rPr>
          <w:rFonts w:ascii="Cambria" w:eastAsia="Times New Roman" w:hAnsi="Cambria" w:cstheme="minorHAnsi"/>
          <w:spacing w:val="-1"/>
        </w:rPr>
        <w:t>s</w:t>
      </w:r>
      <w:r w:rsidR="00BA4592" w:rsidRPr="009A0DA6">
        <w:rPr>
          <w:rFonts w:ascii="Cambria" w:eastAsia="Times New Roman" w:hAnsi="Cambria" w:cstheme="minorHAnsi"/>
          <w:spacing w:val="4"/>
        </w:rPr>
        <w:t>o</w:t>
      </w:r>
      <w:r w:rsidR="00BA4592" w:rsidRPr="009A0DA6">
        <w:rPr>
          <w:rFonts w:ascii="Cambria" w:eastAsia="Times New Roman" w:hAnsi="Cambria" w:cstheme="minorHAnsi"/>
          <w:spacing w:val="-4"/>
        </w:rPr>
        <w:t>m</w:t>
      </w:r>
      <w:r w:rsidR="00BA4592" w:rsidRPr="009A0DA6">
        <w:rPr>
          <w:rFonts w:ascii="Cambria" w:eastAsia="Times New Roman" w:hAnsi="Cambria" w:cstheme="minorHAnsi"/>
        </w:rPr>
        <w:t>e</w:t>
      </w:r>
      <w:r w:rsidR="00BA4592" w:rsidRPr="009A0DA6">
        <w:rPr>
          <w:rFonts w:ascii="Cambria" w:eastAsia="Times New Roman" w:hAnsi="Cambria" w:cstheme="minorHAnsi"/>
          <w:spacing w:val="6"/>
        </w:rPr>
        <w:t xml:space="preserve"> </w:t>
      </w:r>
      <w:r w:rsidR="00BA4592" w:rsidRPr="009A0DA6">
        <w:rPr>
          <w:rFonts w:ascii="Cambria" w:eastAsia="Times New Roman" w:hAnsi="Cambria" w:cstheme="minorHAnsi"/>
          <w:spacing w:val="2"/>
        </w:rPr>
        <w:t>i</w:t>
      </w:r>
      <w:r w:rsidR="00BA4592" w:rsidRPr="009A0DA6">
        <w:rPr>
          <w:rFonts w:ascii="Cambria" w:eastAsia="Times New Roman" w:hAnsi="Cambria" w:cstheme="minorHAnsi"/>
          <w:spacing w:val="-1"/>
        </w:rPr>
        <w:t>ns</w:t>
      </w:r>
      <w:r w:rsidR="00BA4592" w:rsidRPr="009A0DA6">
        <w:rPr>
          <w:rFonts w:ascii="Cambria" w:eastAsia="Times New Roman" w:hAnsi="Cambria" w:cstheme="minorHAnsi"/>
        </w:rPr>
        <w:t>t</w:t>
      </w:r>
      <w:r w:rsidR="00BA4592" w:rsidRPr="009A0DA6">
        <w:rPr>
          <w:rFonts w:ascii="Cambria" w:eastAsia="Times New Roman" w:hAnsi="Cambria" w:cstheme="minorHAnsi"/>
          <w:spacing w:val="3"/>
        </w:rPr>
        <w:t>a</w:t>
      </w:r>
      <w:r w:rsidR="00BA4592" w:rsidRPr="009A0DA6">
        <w:rPr>
          <w:rFonts w:ascii="Cambria" w:eastAsia="Times New Roman" w:hAnsi="Cambria" w:cstheme="minorHAnsi"/>
          <w:spacing w:val="-1"/>
        </w:rPr>
        <w:t>n</w:t>
      </w:r>
      <w:r w:rsidR="00BA4592" w:rsidRPr="009A0DA6">
        <w:rPr>
          <w:rFonts w:ascii="Cambria" w:eastAsia="Times New Roman" w:hAnsi="Cambria" w:cstheme="minorHAnsi"/>
        </w:rPr>
        <w:t>ce</w:t>
      </w:r>
      <w:r w:rsidR="00BA4592" w:rsidRPr="009A0DA6">
        <w:rPr>
          <w:rFonts w:ascii="Cambria" w:eastAsia="Times New Roman" w:hAnsi="Cambria" w:cstheme="minorHAnsi"/>
          <w:spacing w:val="-1"/>
        </w:rPr>
        <w:t>s</w:t>
      </w:r>
      <w:r w:rsidR="00BA4592" w:rsidRPr="009A0DA6">
        <w:rPr>
          <w:rFonts w:ascii="Cambria" w:eastAsia="Times New Roman" w:hAnsi="Cambria" w:cstheme="minorHAnsi"/>
        </w:rPr>
        <w:t>,</w:t>
      </w:r>
      <w:r w:rsidR="00BA4592" w:rsidRPr="009A0DA6">
        <w:rPr>
          <w:rFonts w:ascii="Cambria" w:eastAsia="Times New Roman" w:hAnsi="Cambria" w:cstheme="minorHAnsi"/>
          <w:spacing w:val="2"/>
        </w:rPr>
        <w:t xml:space="preserve"> t</w:t>
      </w:r>
      <w:r w:rsidR="00BA4592" w:rsidRPr="009A0DA6">
        <w:rPr>
          <w:rFonts w:ascii="Cambria" w:eastAsia="Times New Roman" w:hAnsi="Cambria" w:cstheme="minorHAnsi"/>
          <w:spacing w:val="-1"/>
        </w:rPr>
        <w:t>h</w:t>
      </w:r>
      <w:r w:rsidR="00BA4592" w:rsidRPr="009A0DA6">
        <w:rPr>
          <w:rFonts w:ascii="Cambria" w:eastAsia="Times New Roman" w:hAnsi="Cambria" w:cstheme="minorHAnsi"/>
        </w:rPr>
        <w:t>e</w:t>
      </w:r>
      <w:r w:rsidR="00BA4592" w:rsidRPr="009A0DA6">
        <w:rPr>
          <w:rFonts w:ascii="Cambria" w:eastAsia="Times New Roman" w:hAnsi="Cambria" w:cstheme="minorHAnsi"/>
          <w:spacing w:val="8"/>
        </w:rPr>
        <w:t xml:space="preserve"> </w:t>
      </w:r>
      <w:r w:rsidR="00BA4592" w:rsidRPr="009A0DA6">
        <w:rPr>
          <w:rFonts w:ascii="Cambria" w:eastAsia="Times New Roman" w:hAnsi="Cambria" w:cstheme="minorHAnsi"/>
          <w:spacing w:val="1"/>
        </w:rPr>
        <w:t>L</w:t>
      </w:r>
      <w:r w:rsidR="00BA4592" w:rsidRPr="009A0DA6">
        <w:rPr>
          <w:rFonts w:ascii="Cambria" w:eastAsia="Times New Roman" w:hAnsi="Cambria" w:cstheme="minorHAnsi"/>
          <w:spacing w:val="2"/>
        </w:rPr>
        <w:t>C</w:t>
      </w:r>
      <w:r w:rsidR="00BA4592" w:rsidRPr="009A0DA6">
        <w:rPr>
          <w:rFonts w:ascii="Cambria" w:eastAsia="Times New Roman" w:hAnsi="Cambria" w:cstheme="minorHAnsi"/>
        </w:rPr>
        <w:t>A</w:t>
      </w:r>
      <w:r w:rsidR="00BA4592" w:rsidRPr="009A0DA6">
        <w:rPr>
          <w:rFonts w:ascii="Cambria" w:eastAsia="Times New Roman" w:hAnsi="Cambria" w:cstheme="minorHAnsi"/>
          <w:spacing w:val="5"/>
        </w:rPr>
        <w:t xml:space="preserve"> </w:t>
      </w:r>
      <w:r w:rsidR="00BA4592" w:rsidRPr="009A0DA6">
        <w:rPr>
          <w:rFonts w:ascii="Cambria" w:eastAsia="Times New Roman" w:hAnsi="Cambria" w:cstheme="minorHAnsi"/>
          <w:spacing w:val="-1"/>
        </w:rPr>
        <w:t>h</w:t>
      </w:r>
      <w:r w:rsidR="00BA4592" w:rsidRPr="009A0DA6">
        <w:rPr>
          <w:rFonts w:ascii="Cambria" w:eastAsia="Times New Roman" w:hAnsi="Cambria" w:cstheme="minorHAnsi"/>
        </w:rPr>
        <w:t>as</w:t>
      </w:r>
      <w:r w:rsidR="00BA4592" w:rsidRPr="009A0DA6">
        <w:rPr>
          <w:rFonts w:ascii="Cambria" w:eastAsia="Times New Roman" w:hAnsi="Cambria" w:cstheme="minorHAnsi"/>
          <w:spacing w:val="7"/>
        </w:rPr>
        <w:t xml:space="preserve"> </w:t>
      </w:r>
      <w:r w:rsidR="00BA4592" w:rsidRPr="009A0DA6">
        <w:rPr>
          <w:rFonts w:ascii="Cambria" w:eastAsia="Times New Roman" w:hAnsi="Cambria" w:cstheme="minorHAnsi"/>
        </w:rPr>
        <w:t>a</w:t>
      </w:r>
      <w:r w:rsidR="00BA4592" w:rsidRPr="009A0DA6">
        <w:rPr>
          <w:rFonts w:ascii="Cambria" w:eastAsia="Times New Roman" w:hAnsi="Cambria" w:cstheme="minorHAnsi"/>
          <w:spacing w:val="9"/>
        </w:rPr>
        <w:t xml:space="preserve"> </w:t>
      </w:r>
      <w:r w:rsidR="00BA4592" w:rsidRPr="009A0DA6">
        <w:rPr>
          <w:rFonts w:ascii="Cambria" w:eastAsia="Times New Roman" w:hAnsi="Cambria" w:cstheme="minorHAnsi"/>
          <w:spacing w:val="1"/>
        </w:rPr>
        <w:t>pr</w:t>
      </w:r>
      <w:r w:rsidR="00BA4592" w:rsidRPr="009A0DA6">
        <w:rPr>
          <w:rFonts w:ascii="Cambria" w:eastAsia="Times New Roman" w:hAnsi="Cambria" w:cstheme="minorHAnsi"/>
          <w:spacing w:val="2"/>
        </w:rPr>
        <w:t>i</w:t>
      </w:r>
      <w:r w:rsidR="00BA4592" w:rsidRPr="009A0DA6">
        <w:rPr>
          <w:rFonts w:ascii="Cambria" w:eastAsia="Times New Roman" w:hAnsi="Cambria" w:cstheme="minorHAnsi"/>
          <w:spacing w:val="-4"/>
        </w:rPr>
        <w:t>m</w:t>
      </w:r>
      <w:r w:rsidR="00BA4592" w:rsidRPr="009A0DA6">
        <w:rPr>
          <w:rFonts w:ascii="Cambria" w:eastAsia="Times New Roman" w:hAnsi="Cambria" w:cstheme="minorHAnsi"/>
        </w:rPr>
        <w:t>a</w:t>
      </w:r>
      <w:r w:rsidR="00BA4592" w:rsidRPr="009A0DA6">
        <w:rPr>
          <w:rFonts w:ascii="Cambria" w:eastAsia="Times New Roman" w:hAnsi="Cambria" w:cstheme="minorHAnsi"/>
          <w:spacing w:val="3"/>
        </w:rPr>
        <w:t>r</w:t>
      </w:r>
      <w:r w:rsidR="00BA4592" w:rsidRPr="009A0DA6">
        <w:rPr>
          <w:rFonts w:ascii="Cambria" w:eastAsia="Times New Roman" w:hAnsi="Cambria" w:cstheme="minorHAnsi"/>
        </w:rPr>
        <w:t xml:space="preserve">y </w:t>
      </w:r>
      <w:r w:rsidR="00BA4592" w:rsidRPr="009A0DA6">
        <w:rPr>
          <w:rFonts w:ascii="Cambria" w:eastAsia="Times New Roman" w:hAnsi="Cambria" w:cstheme="minorHAnsi"/>
          <w:spacing w:val="1"/>
        </w:rPr>
        <w:t>g</w:t>
      </w:r>
      <w:r w:rsidR="00BA4592" w:rsidRPr="009A0DA6">
        <w:rPr>
          <w:rFonts w:ascii="Cambria" w:eastAsia="Times New Roman" w:hAnsi="Cambria" w:cstheme="minorHAnsi"/>
          <w:spacing w:val="-1"/>
        </w:rPr>
        <w:t>u</w:t>
      </w:r>
      <w:r w:rsidR="00BA4592" w:rsidRPr="009A0DA6">
        <w:rPr>
          <w:rFonts w:ascii="Cambria" w:eastAsia="Times New Roman" w:hAnsi="Cambria" w:cstheme="minorHAnsi"/>
        </w:rPr>
        <w:t>a</w:t>
      </w:r>
      <w:r w:rsidR="00BA4592" w:rsidRPr="009A0DA6">
        <w:rPr>
          <w:rFonts w:ascii="Cambria" w:eastAsia="Times New Roman" w:hAnsi="Cambria" w:cstheme="minorHAnsi"/>
          <w:spacing w:val="1"/>
        </w:rPr>
        <w:t>r</w:t>
      </w:r>
      <w:r w:rsidR="00BA4592" w:rsidRPr="009A0DA6">
        <w:rPr>
          <w:rFonts w:ascii="Cambria" w:eastAsia="Times New Roman" w:hAnsi="Cambria" w:cstheme="minorHAnsi"/>
          <w:spacing w:val="3"/>
        </w:rPr>
        <w:t>a</w:t>
      </w:r>
      <w:r w:rsidR="00BA4592" w:rsidRPr="009A0DA6">
        <w:rPr>
          <w:rFonts w:ascii="Cambria" w:eastAsia="Times New Roman" w:hAnsi="Cambria" w:cstheme="minorHAnsi"/>
          <w:spacing w:val="-1"/>
        </w:rPr>
        <w:t>n</w:t>
      </w:r>
      <w:r w:rsidR="00BA4592" w:rsidRPr="009A0DA6">
        <w:rPr>
          <w:rFonts w:ascii="Cambria" w:eastAsia="Times New Roman" w:hAnsi="Cambria" w:cstheme="minorHAnsi"/>
        </w:rPr>
        <w:t>tee</w:t>
      </w:r>
      <w:r w:rsidR="00BA4592" w:rsidRPr="009A0DA6">
        <w:rPr>
          <w:rFonts w:ascii="Cambria" w:eastAsia="Times New Roman" w:hAnsi="Cambria" w:cstheme="minorHAnsi"/>
          <w:spacing w:val="3"/>
        </w:rPr>
        <w:t xml:space="preserve"> </w:t>
      </w:r>
      <w:r w:rsidR="00BA4592" w:rsidRPr="009A0DA6">
        <w:rPr>
          <w:rFonts w:ascii="Cambria" w:eastAsia="Times New Roman" w:hAnsi="Cambria" w:cstheme="minorHAnsi"/>
          <w:spacing w:val="1"/>
        </w:rPr>
        <w:t>o</w:t>
      </w:r>
      <w:r w:rsidR="00BA4592" w:rsidRPr="009A0DA6">
        <w:rPr>
          <w:rFonts w:ascii="Cambria" w:eastAsia="Times New Roman" w:hAnsi="Cambria" w:cstheme="minorHAnsi"/>
        </w:rPr>
        <w:t>f</w:t>
      </w:r>
      <w:r w:rsidR="00BA4592" w:rsidRPr="009A0DA6">
        <w:rPr>
          <w:rFonts w:ascii="Cambria" w:eastAsia="Times New Roman" w:hAnsi="Cambria" w:cstheme="minorHAnsi"/>
          <w:spacing w:val="9"/>
        </w:rPr>
        <w:t xml:space="preserve"> </w:t>
      </w:r>
      <w:r w:rsidR="00BA4592" w:rsidRPr="009A0DA6">
        <w:rPr>
          <w:rFonts w:ascii="Cambria" w:eastAsia="Times New Roman" w:hAnsi="Cambria" w:cstheme="minorHAnsi"/>
          <w:spacing w:val="1"/>
        </w:rPr>
        <w:t>r</w:t>
      </w:r>
      <w:r w:rsidR="00BA4592" w:rsidRPr="009A0DA6">
        <w:rPr>
          <w:rFonts w:ascii="Cambria" w:eastAsia="Times New Roman" w:hAnsi="Cambria" w:cstheme="minorHAnsi"/>
        </w:rPr>
        <w:t>e</w:t>
      </w:r>
      <w:r w:rsidR="00BA4592" w:rsidRPr="009A0DA6">
        <w:rPr>
          <w:rFonts w:ascii="Cambria" w:eastAsia="Times New Roman" w:hAnsi="Cambria" w:cstheme="minorHAnsi"/>
          <w:spacing w:val="1"/>
        </w:rPr>
        <w:t>p</w:t>
      </w:r>
      <w:r w:rsidR="00BA4592" w:rsidRPr="009A0DA6">
        <w:rPr>
          <w:rFonts w:ascii="Cambria" w:eastAsia="Times New Roman" w:hAnsi="Cambria" w:cstheme="minorHAnsi"/>
        </w:rPr>
        <w:t>a</w:t>
      </w:r>
      <w:r w:rsidR="00BA4592" w:rsidRPr="009A0DA6">
        <w:rPr>
          <w:rFonts w:ascii="Cambria" w:eastAsia="Times New Roman" w:hAnsi="Cambria" w:cstheme="minorHAnsi"/>
          <w:spacing w:val="-1"/>
        </w:rPr>
        <w:t>ym</w:t>
      </w:r>
      <w:r w:rsidR="00BA4592" w:rsidRPr="009A0DA6">
        <w:rPr>
          <w:rFonts w:ascii="Cambria" w:eastAsia="Times New Roman" w:hAnsi="Cambria" w:cstheme="minorHAnsi"/>
        </w:rPr>
        <w:t>e</w:t>
      </w:r>
      <w:r w:rsidR="00BA4592" w:rsidRPr="009A0DA6">
        <w:rPr>
          <w:rFonts w:ascii="Cambria" w:eastAsia="Times New Roman" w:hAnsi="Cambria" w:cstheme="minorHAnsi"/>
          <w:spacing w:val="-1"/>
        </w:rPr>
        <w:t>n</w:t>
      </w:r>
      <w:r w:rsidR="00BA4592" w:rsidRPr="009A0DA6">
        <w:rPr>
          <w:rFonts w:ascii="Cambria" w:eastAsia="Times New Roman" w:hAnsi="Cambria" w:cstheme="minorHAnsi"/>
        </w:rPr>
        <w:t>t</w:t>
      </w:r>
      <w:r w:rsidR="00BA4592" w:rsidRPr="009A0DA6">
        <w:rPr>
          <w:rFonts w:ascii="Cambria" w:eastAsia="Times New Roman" w:hAnsi="Cambria" w:cstheme="minorHAnsi"/>
          <w:spacing w:val="1"/>
        </w:rPr>
        <w:t xml:space="preserve"> </w:t>
      </w:r>
      <w:r w:rsidR="00BA4592" w:rsidRPr="009A0DA6">
        <w:rPr>
          <w:rFonts w:ascii="Cambria" w:eastAsia="Times New Roman" w:hAnsi="Cambria" w:cstheme="minorHAnsi"/>
        </w:rPr>
        <w:t>to</w:t>
      </w:r>
      <w:r w:rsidR="00BA4592" w:rsidRPr="009A0DA6">
        <w:rPr>
          <w:rFonts w:ascii="Cambria" w:eastAsia="Times New Roman" w:hAnsi="Cambria" w:cstheme="minorHAnsi"/>
          <w:spacing w:val="9"/>
        </w:rPr>
        <w:t xml:space="preserve"> </w:t>
      </w:r>
      <w:r w:rsidR="00BA4592" w:rsidRPr="009A0DA6">
        <w:rPr>
          <w:rFonts w:ascii="Cambria" w:eastAsia="Times New Roman" w:hAnsi="Cambria" w:cstheme="minorHAnsi"/>
          <w:spacing w:val="2"/>
        </w:rPr>
        <w:t>t</w:t>
      </w:r>
      <w:r w:rsidR="00BA4592" w:rsidRPr="009A0DA6">
        <w:rPr>
          <w:rFonts w:ascii="Cambria" w:eastAsia="Times New Roman" w:hAnsi="Cambria" w:cstheme="minorHAnsi"/>
          <w:spacing w:val="-1"/>
        </w:rPr>
        <w:t>h</w:t>
      </w:r>
      <w:r w:rsidR="00BA4592" w:rsidRPr="009A0DA6">
        <w:rPr>
          <w:rFonts w:ascii="Cambria" w:eastAsia="Times New Roman" w:hAnsi="Cambria" w:cstheme="minorHAnsi"/>
        </w:rPr>
        <w:t>e</w:t>
      </w:r>
      <w:r w:rsidR="00BA4592" w:rsidRPr="009A0DA6">
        <w:rPr>
          <w:rFonts w:ascii="Cambria" w:eastAsia="Times New Roman" w:hAnsi="Cambria" w:cstheme="minorHAnsi"/>
          <w:spacing w:val="8"/>
        </w:rPr>
        <w:t xml:space="preserve"> </w:t>
      </w:r>
      <w:r w:rsidR="00BA4592" w:rsidRPr="009A0DA6">
        <w:rPr>
          <w:rFonts w:ascii="Cambria" w:eastAsia="Times New Roman" w:hAnsi="Cambria" w:cstheme="minorHAnsi"/>
          <w:spacing w:val="1"/>
        </w:rPr>
        <w:t>LL</w:t>
      </w:r>
      <w:r w:rsidR="00BA4592" w:rsidRPr="009A0DA6">
        <w:rPr>
          <w:rFonts w:ascii="Cambria" w:eastAsia="Times New Roman" w:hAnsi="Cambria" w:cstheme="minorHAnsi"/>
        </w:rPr>
        <w:t>L</w:t>
      </w:r>
      <w:r w:rsidR="00BA4592" w:rsidRPr="009A0DA6">
        <w:rPr>
          <w:rFonts w:ascii="Cambria" w:eastAsia="Times New Roman" w:hAnsi="Cambria" w:cstheme="minorHAnsi"/>
          <w:spacing w:val="5"/>
        </w:rPr>
        <w:t xml:space="preserve"> </w:t>
      </w:r>
      <w:r w:rsidR="00BA4592" w:rsidRPr="009A0DA6">
        <w:rPr>
          <w:rFonts w:ascii="Cambria" w:eastAsia="Times New Roman" w:hAnsi="Cambria" w:cstheme="minorHAnsi"/>
        </w:rPr>
        <w:t>in</w:t>
      </w:r>
      <w:r w:rsidR="00BA4592" w:rsidRPr="009A0DA6">
        <w:rPr>
          <w:rFonts w:ascii="Cambria" w:eastAsia="Times New Roman" w:hAnsi="Cambria" w:cstheme="minorHAnsi"/>
          <w:spacing w:val="7"/>
        </w:rPr>
        <w:t xml:space="preserve"> </w:t>
      </w:r>
      <w:r w:rsidR="00BA4592" w:rsidRPr="009A0DA6">
        <w:rPr>
          <w:rFonts w:ascii="Cambria" w:eastAsia="Times New Roman" w:hAnsi="Cambria" w:cstheme="minorHAnsi"/>
          <w:spacing w:val="3"/>
        </w:rPr>
        <w:t>r</w:t>
      </w:r>
      <w:r w:rsidR="00BA4592" w:rsidRPr="009A0DA6">
        <w:rPr>
          <w:rFonts w:ascii="Cambria" w:eastAsia="Times New Roman" w:hAnsi="Cambria" w:cstheme="minorHAnsi"/>
        </w:rPr>
        <w:t>elati</w:t>
      </w:r>
      <w:r w:rsidR="00BA4592" w:rsidRPr="009A0DA6">
        <w:rPr>
          <w:rFonts w:ascii="Cambria" w:eastAsia="Times New Roman" w:hAnsi="Cambria" w:cstheme="minorHAnsi"/>
          <w:spacing w:val="1"/>
        </w:rPr>
        <w:t>o</w:t>
      </w:r>
      <w:r w:rsidR="00BA4592" w:rsidRPr="009A0DA6">
        <w:rPr>
          <w:rFonts w:ascii="Cambria" w:eastAsia="Times New Roman" w:hAnsi="Cambria" w:cstheme="minorHAnsi"/>
        </w:rPr>
        <w:t>n</w:t>
      </w:r>
      <w:r w:rsidR="00BA4592" w:rsidRPr="009A0DA6">
        <w:rPr>
          <w:rFonts w:ascii="Cambria" w:eastAsia="Times New Roman" w:hAnsi="Cambria" w:cstheme="minorHAnsi"/>
          <w:spacing w:val="2"/>
        </w:rPr>
        <w:t xml:space="preserve"> </w:t>
      </w:r>
      <w:r w:rsidR="00BA4592" w:rsidRPr="009A0DA6">
        <w:rPr>
          <w:rFonts w:ascii="Cambria" w:eastAsia="Times New Roman" w:hAnsi="Cambria" w:cstheme="minorHAnsi"/>
        </w:rPr>
        <w:t>to</w:t>
      </w:r>
      <w:r w:rsidR="00BA4592" w:rsidRPr="009A0DA6">
        <w:rPr>
          <w:rFonts w:ascii="Cambria" w:eastAsia="Times New Roman" w:hAnsi="Cambria" w:cstheme="minorHAnsi"/>
          <w:spacing w:val="9"/>
        </w:rPr>
        <w:t xml:space="preserve"> </w:t>
      </w:r>
      <w:r w:rsidR="00BA4592" w:rsidRPr="009A0DA6">
        <w:rPr>
          <w:rFonts w:ascii="Cambria" w:eastAsia="Times New Roman" w:hAnsi="Cambria" w:cstheme="minorHAnsi"/>
          <w:spacing w:val="-1"/>
        </w:rPr>
        <w:t>s</w:t>
      </w:r>
      <w:r w:rsidR="00BA4592" w:rsidRPr="009A0DA6">
        <w:rPr>
          <w:rFonts w:ascii="Cambria" w:eastAsia="Times New Roman" w:hAnsi="Cambria" w:cstheme="minorHAnsi"/>
          <w:spacing w:val="4"/>
        </w:rPr>
        <w:t>o</w:t>
      </w:r>
      <w:r w:rsidR="00BA4592" w:rsidRPr="009A0DA6">
        <w:rPr>
          <w:rFonts w:ascii="Cambria" w:eastAsia="Times New Roman" w:hAnsi="Cambria" w:cstheme="minorHAnsi"/>
          <w:spacing w:val="-4"/>
        </w:rPr>
        <w:t>m</w:t>
      </w:r>
      <w:r w:rsidR="00BA4592" w:rsidRPr="009A0DA6">
        <w:rPr>
          <w:rFonts w:ascii="Cambria" w:eastAsia="Times New Roman" w:hAnsi="Cambria" w:cstheme="minorHAnsi"/>
        </w:rPr>
        <w:t xml:space="preserve">e </w:t>
      </w:r>
      <w:r w:rsidR="00BA4592" w:rsidRPr="009A0DA6">
        <w:rPr>
          <w:rFonts w:ascii="Cambria" w:eastAsia="Times New Roman" w:hAnsi="Cambria" w:cstheme="minorHAnsi"/>
          <w:spacing w:val="1"/>
        </w:rPr>
        <w:t>borro</w:t>
      </w:r>
      <w:r w:rsidR="00BA4592" w:rsidRPr="009A0DA6">
        <w:rPr>
          <w:rFonts w:ascii="Cambria" w:eastAsia="Times New Roman" w:hAnsi="Cambria" w:cstheme="minorHAnsi"/>
          <w:spacing w:val="-5"/>
        </w:rPr>
        <w:t>w</w:t>
      </w:r>
      <w:r w:rsidR="00BA4592" w:rsidRPr="009A0DA6">
        <w:rPr>
          <w:rFonts w:ascii="Cambria" w:eastAsia="Times New Roman" w:hAnsi="Cambria" w:cstheme="minorHAnsi"/>
          <w:spacing w:val="2"/>
        </w:rPr>
        <w:t>i</w:t>
      </w:r>
      <w:r w:rsidR="00BA4592" w:rsidRPr="009A0DA6">
        <w:rPr>
          <w:rFonts w:ascii="Cambria" w:eastAsia="Times New Roman" w:hAnsi="Cambria" w:cstheme="minorHAnsi"/>
          <w:spacing w:val="-1"/>
        </w:rPr>
        <w:t>n</w:t>
      </w:r>
      <w:r w:rsidR="00BA4592" w:rsidRPr="009A0DA6">
        <w:rPr>
          <w:rFonts w:ascii="Cambria" w:eastAsia="Times New Roman" w:hAnsi="Cambria" w:cstheme="minorHAnsi"/>
          <w:spacing w:val="1"/>
        </w:rPr>
        <w:t>g</w:t>
      </w:r>
      <w:r w:rsidR="00BA4592" w:rsidRPr="009A0DA6">
        <w:rPr>
          <w:rFonts w:ascii="Cambria" w:eastAsia="Times New Roman" w:hAnsi="Cambria" w:cstheme="minorHAnsi"/>
          <w:spacing w:val="-1"/>
        </w:rPr>
        <w:t>s</w:t>
      </w:r>
      <w:r w:rsidR="00BA4592" w:rsidRPr="009A0DA6">
        <w:rPr>
          <w:rFonts w:ascii="Cambria" w:eastAsia="Times New Roman" w:hAnsi="Cambria" w:cstheme="minorHAnsi"/>
        </w:rPr>
        <w:t xml:space="preserve">. </w:t>
      </w:r>
      <w:r w:rsidR="00BA4592" w:rsidRPr="009A0DA6">
        <w:rPr>
          <w:rFonts w:ascii="Cambria" w:eastAsia="Times New Roman" w:hAnsi="Cambria" w:cstheme="minorHAnsi"/>
          <w:spacing w:val="-2"/>
        </w:rPr>
        <w:t>A</w:t>
      </w:r>
      <w:r w:rsidR="00BA4592" w:rsidRPr="009A0DA6">
        <w:rPr>
          <w:rFonts w:ascii="Cambria" w:eastAsia="Times New Roman" w:hAnsi="Cambria" w:cstheme="minorHAnsi"/>
        </w:rPr>
        <w:t>s</w:t>
      </w:r>
      <w:r w:rsidR="00BA4592" w:rsidRPr="009A0DA6">
        <w:rPr>
          <w:rFonts w:ascii="Cambria" w:eastAsia="Times New Roman" w:hAnsi="Cambria" w:cstheme="minorHAnsi"/>
          <w:spacing w:val="6"/>
        </w:rPr>
        <w:t xml:space="preserve"> </w:t>
      </w:r>
      <w:r w:rsidR="00BA4592" w:rsidRPr="009A0DA6">
        <w:rPr>
          <w:rFonts w:ascii="Cambria" w:eastAsia="Times New Roman" w:hAnsi="Cambria" w:cstheme="minorHAnsi"/>
        </w:rPr>
        <w:t>at</w:t>
      </w:r>
      <w:r w:rsidR="00BA4592" w:rsidRPr="009A0DA6">
        <w:rPr>
          <w:rFonts w:ascii="Cambria" w:eastAsia="Times New Roman" w:hAnsi="Cambria" w:cstheme="minorHAnsi"/>
          <w:spacing w:val="7"/>
        </w:rPr>
        <w:t xml:space="preserve"> </w:t>
      </w:r>
      <w:r w:rsidR="00BA4592" w:rsidRPr="009A0DA6">
        <w:rPr>
          <w:rFonts w:ascii="Cambria" w:eastAsia="Times New Roman" w:hAnsi="Cambria" w:cstheme="minorHAnsi"/>
        </w:rPr>
        <w:t>t</w:t>
      </w:r>
      <w:r w:rsidR="00BA4592" w:rsidRPr="009A0DA6">
        <w:rPr>
          <w:rFonts w:ascii="Cambria" w:eastAsia="Times New Roman" w:hAnsi="Cambria" w:cstheme="minorHAnsi"/>
          <w:spacing w:val="-1"/>
        </w:rPr>
        <w:t>h</w:t>
      </w:r>
      <w:r w:rsidR="00BA4592" w:rsidRPr="009A0DA6">
        <w:rPr>
          <w:rFonts w:ascii="Cambria" w:eastAsia="Times New Roman" w:hAnsi="Cambria" w:cstheme="minorHAnsi"/>
        </w:rPr>
        <w:t>e</w:t>
      </w:r>
      <w:r w:rsidR="00BA4592" w:rsidRPr="009A0DA6">
        <w:rPr>
          <w:rFonts w:ascii="Cambria" w:eastAsia="Times New Roman" w:hAnsi="Cambria" w:cstheme="minorHAnsi"/>
          <w:spacing w:val="7"/>
        </w:rPr>
        <w:t xml:space="preserve"> </w:t>
      </w:r>
      <w:r w:rsidR="00BA4592" w:rsidRPr="009A0DA6">
        <w:rPr>
          <w:rFonts w:ascii="Cambria" w:eastAsia="Times New Roman" w:hAnsi="Cambria" w:cstheme="minorHAnsi"/>
        </w:rPr>
        <w:t>t</w:t>
      </w:r>
      <w:r w:rsidR="00BA4592" w:rsidRPr="009A0DA6">
        <w:rPr>
          <w:rFonts w:ascii="Cambria" w:eastAsia="Times New Roman" w:hAnsi="Cambria" w:cstheme="minorHAnsi"/>
          <w:spacing w:val="2"/>
        </w:rPr>
        <w:t>i</w:t>
      </w:r>
      <w:r w:rsidR="00BA4592" w:rsidRPr="009A0DA6">
        <w:rPr>
          <w:rFonts w:ascii="Cambria" w:eastAsia="Times New Roman" w:hAnsi="Cambria" w:cstheme="minorHAnsi"/>
          <w:spacing w:val="-1"/>
        </w:rPr>
        <w:t>m</w:t>
      </w:r>
      <w:r w:rsidR="00BA4592" w:rsidRPr="009A0DA6">
        <w:rPr>
          <w:rFonts w:ascii="Cambria" w:eastAsia="Times New Roman" w:hAnsi="Cambria" w:cstheme="minorHAnsi"/>
        </w:rPr>
        <w:t>e</w:t>
      </w:r>
      <w:r w:rsidR="00BA4592" w:rsidRPr="009A0DA6">
        <w:rPr>
          <w:rFonts w:ascii="Cambria" w:eastAsia="Times New Roman" w:hAnsi="Cambria" w:cstheme="minorHAnsi"/>
          <w:spacing w:val="6"/>
        </w:rPr>
        <w:t xml:space="preserve"> </w:t>
      </w:r>
      <w:r w:rsidR="00BA4592" w:rsidRPr="009A0DA6">
        <w:rPr>
          <w:rFonts w:ascii="Cambria" w:eastAsia="Times New Roman" w:hAnsi="Cambria" w:cstheme="minorHAnsi"/>
          <w:spacing w:val="1"/>
        </w:rPr>
        <w:t>o</w:t>
      </w:r>
      <w:r w:rsidR="00BA4592" w:rsidRPr="009A0DA6">
        <w:rPr>
          <w:rFonts w:ascii="Cambria" w:eastAsia="Times New Roman" w:hAnsi="Cambria" w:cstheme="minorHAnsi"/>
        </w:rPr>
        <w:t>f</w:t>
      </w:r>
      <w:r w:rsidR="00BA4592" w:rsidRPr="009A0DA6">
        <w:rPr>
          <w:rFonts w:ascii="Cambria" w:eastAsia="Times New Roman" w:hAnsi="Cambria" w:cstheme="minorHAnsi"/>
          <w:spacing w:val="6"/>
        </w:rPr>
        <w:t xml:space="preserve"> </w:t>
      </w:r>
      <w:r w:rsidR="00BA4592" w:rsidRPr="009A0DA6">
        <w:rPr>
          <w:rFonts w:ascii="Cambria" w:eastAsia="Times New Roman" w:hAnsi="Cambria" w:cstheme="minorHAnsi"/>
          <w:spacing w:val="-1"/>
        </w:rPr>
        <w:t>s</w:t>
      </w:r>
      <w:r w:rsidR="00BA4592" w:rsidRPr="009A0DA6">
        <w:rPr>
          <w:rFonts w:ascii="Cambria" w:eastAsia="Times New Roman" w:hAnsi="Cambria" w:cstheme="minorHAnsi"/>
        </w:rPr>
        <w:t>i</w:t>
      </w:r>
      <w:r w:rsidR="00BA4592" w:rsidRPr="009A0DA6">
        <w:rPr>
          <w:rFonts w:ascii="Cambria" w:eastAsia="Times New Roman" w:hAnsi="Cambria" w:cstheme="minorHAnsi"/>
          <w:spacing w:val="-1"/>
        </w:rPr>
        <w:t>gn</w:t>
      </w:r>
      <w:r w:rsidR="00BA4592" w:rsidRPr="009A0DA6">
        <w:rPr>
          <w:rFonts w:ascii="Cambria" w:eastAsia="Times New Roman" w:hAnsi="Cambria" w:cstheme="minorHAnsi"/>
          <w:spacing w:val="2"/>
        </w:rPr>
        <w:t>i</w:t>
      </w:r>
      <w:r w:rsidR="00BA4592" w:rsidRPr="009A0DA6">
        <w:rPr>
          <w:rFonts w:ascii="Cambria" w:eastAsia="Times New Roman" w:hAnsi="Cambria" w:cstheme="minorHAnsi"/>
          <w:spacing w:val="1"/>
        </w:rPr>
        <w:t>n</w:t>
      </w:r>
      <w:r w:rsidR="00BA4592" w:rsidRPr="009A0DA6">
        <w:rPr>
          <w:rFonts w:ascii="Cambria" w:eastAsia="Times New Roman" w:hAnsi="Cambria" w:cstheme="minorHAnsi"/>
        </w:rPr>
        <w:t>g</w:t>
      </w:r>
      <w:r w:rsidR="00BA4592" w:rsidRPr="009A0DA6">
        <w:rPr>
          <w:rFonts w:ascii="Cambria" w:eastAsia="Times New Roman" w:hAnsi="Cambria" w:cstheme="minorHAnsi"/>
          <w:spacing w:val="2"/>
        </w:rPr>
        <w:t xml:space="preserve"> </w:t>
      </w:r>
      <w:r w:rsidR="00BA4592" w:rsidRPr="009A0DA6">
        <w:rPr>
          <w:rFonts w:ascii="Cambria" w:eastAsia="Times New Roman" w:hAnsi="Cambria" w:cstheme="minorHAnsi"/>
        </w:rPr>
        <w:t>t</w:t>
      </w:r>
      <w:r w:rsidR="00BA4592" w:rsidRPr="009A0DA6">
        <w:rPr>
          <w:rFonts w:ascii="Cambria" w:eastAsia="Times New Roman" w:hAnsi="Cambria" w:cstheme="minorHAnsi"/>
          <w:spacing w:val="-1"/>
        </w:rPr>
        <w:t>h</w:t>
      </w:r>
      <w:r w:rsidR="00BA4592" w:rsidRPr="009A0DA6">
        <w:rPr>
          <w:rFonts w:ascii="Cambria" w:eastAsia="Times New Roman" w:hAnsi="Cambria" w:cstheme="minorHAnsi"/>
        </w:rPr>
        <w:t>e</w:t>
      </w:r>
      <w:r w:rsidR="00BA4592" w:rsidRPr="009A0DA6">
        <w:rPr>
          <w:rFonts w:ascii="Cambria" w:eastAsia="Times New Roman" w:hAnsi="Cambria" w:cstheme="minorHAnsi"/>
          <w:spacing w:val="7"/>
        </w:rPr>
        <w:t xml:space="preserve"> </w:t>
      </w:r>
      <w:r w:rsidR="00BA4592" w:rsidRPr="009A0DA6">
        <w:rPr>
          <w:rFonts w:ascii="Cambria" w:eastAsia="Times New Roman" w:hAnsi="Cambria" w:cstheme="minorHAnsi"/>
        </w:rPr>
        <w:t>a</w:t>
      </w:r>
      <w:r w:rsidR="00BA4592" w:rsidRPr="009A0DA6">
        <w:rPr>
          <w:rFonts w:ascii="Cambria" w:eastAsia="Times New Roman" w:hAnsi="Cambria" w:cstheme="minorHAnsi"/>
          <w:spacing w:val="-1"/>
        </w:rPr>
        <w:t>u</w:t>
      </w:r>
      <w:r w:rsidR="00BA4592" w:rsidRPr="009A0DA6">
        <w:rPr>
          <w:rFonts w:ascii="Cambria" w:eastAsia="Times New Roman" w:hAnsi="Cambria" w:cstheme="minorHAnsi"/>
          <w:spacing w:val="1"/>
        </w:rPr>
        <w:t>d</w:t>
      </w:r>
      <w:r w:rsidR="00BA4592" w:rsidRPr="009A0DA6">
        <w:rPr>
          <w:rFonts w:ascii="Cambria" w:eastAsia="Times New Roman" w:hAnsi="Cambria" w:cstheme="minorHAnsi"/>
        </w:rPr>
        <w:t>it</w:t>
      </w:r>
      <w:r w:rsidR="00BA4592" w:rsidRPr="009A0DA6">
        <w:rPr>
          <w:rFonts w:ascii="Cambria" w:eastAsia="Times New Roman" w:hAnsi="Cambria" w:cstheme="minorHAnsi"/>
          <w:spacing w:val="5"/>
        </w:rPr>
        <w:t xml:space="preserve"> </w:t>
      </w:r>
      <w:r w:rsidR="00BA4592" w:rsidRPr="009A0DA6">
        <w:rPr>
          <w:rFonts w:ascii="Cambria" w:eastAsia="Times New Roman" w:hAnsi="Cambria" w:cstheme="minorHAnsi"/>
          <w:spacing w:val="1"/>
        </w:rPr>
        <w:t>r</w:t>
      </w:r>
      <w:r w:rsidR="00BA4592" w:rsidRPr="009A0DA6">
        <w:rPr>
          <w:rFonts w:ascii="Cambria" w:eastAsia="Times New Roman" w:hAnsi="Cambria" w:cstheme="minorHAnsi"/>
        </w:rPr>
        <w:t>e</w:t>
      </w:r>
      <w:r w:rsidR="00BA4592" w:rsidRPr="009A0DA6">
        <w:rPr>
          <w:rFonts w:ascii="Cambria" w:eastAsia="Times New Roman" w:hAnsi="Cambria" w:cstheme="minorHAnsi"/>
          <w:spacing w:val="1"/>
        </w:rPr>
        <w:t>por</w:t>
      </w:r>
      <w:r w:rsidR="00BA4592" w:rsidRPr="009A0DA6">
        <w:rPr>
          <w:rFonts w:ascii="Cambria" w:eastAsia="Times New Roman" w:hAnsi="Cambria" w:cstheme="minorHAnsi"/>
        </w:rPr>
        <w:t>t,</w:t>
      </w:r>
      <w:r w:rsidR="00BA4592" w:rsidRPr="009A0DA6">
        <w:rPr>
          <w:rFonts w:ascii="Cambria" w:eastAsia="Times New Roman" w:hAnsi="Cambria" w:cstheme="minorHAnsi"/>
          <w:spacing w:val="1"/>
        </w:rPr>
        <w:t xml:space="preserve"> </w:t>
      </w:r>
      <w:r w:rsidR="00BA4592" w:rsidRPr="009A0DA6">
        <w:rPr>
          <w:rFonts w:ascii="Cambria" w:eastAsia="Times New Roman" w:hAnsi="Cambria" w:cstheme="minorHAnsi"/>
        </w:rPr>
        <w:t>t</w:t>
      </w:r>
      <w:r w:rsidR="00BA4592" w:rsidRPr="009A0DA6">
        <w:rPr>
          <w:rFonts w:ascii="Cambria" w:eastAsia="Times New Roman" w:hAnsi="Cambria" w:cstheme="minorHAnsi"/>
          <w:spacing w:val="-1"/>
        </w:rPr>
        <w:t>h</w:t>
      </w:r>
      <w:r w:rsidR="00BA4592" w:rsidRPr="009A0DA6">
        <w:rPr>
          <w:rFonts w:ascii="Cambria" w:eastAsia="Times New Roman" w:hAnsi="Cambria" w:cstheme="minorHAnsi"/>
        </w:rPr>
        <w:t>e</w:t>
      </w:r>
      <w:r w:rsidR="00BA4592" w:rsidRPr="009A0DA6">
        <w:rPr>
          <w:rFonts w:ascii="Cambria" w:eastAsia="Times New Roman" w:hAnsi="Cambria" w:cstheme="minorHAnsi"/>
          <w:spacing w:val="7"/>
        </w:rPr>
        <w:t xml:space="preserve"> </w:t>
      </w:r>
      <w:r w:rsidR="00336CE0" w:rsidRPr="009A0DA6">
        <w:rPr>
          <w:rFonts w:ascii="Cambria" w:eastAsia="Times New Roman" w:hAnsi="Cambria" w:cstheme="minorHAnsi"/>
          <w:spacing w:val="-1"/>
        </w:rPr>
        <w:t>church</w:t>
      </w:r>
      <w:r w:rsidR="00BA4592" w:rsidRPr="009A0DA6">
        <w:rPr>
          <w:rFonts w:ascii="Cambria" w:eastAsia="Times New Roman" w:hAnsi="Cambria" w:cstheme="minorHAnsi"/>
          <w:spacing w:val="2"/>
        </w:rPr>
        <w:t xml:space="preserve"> </w:t>
      </w:r>
      <w:r w:rsidR="00BA4592" w:rsidRPr="009A0DA6">
        <w:rPr>
          <w:rFonts w:ascii="Cambria" w:eastAsia="Times New Roman" w:hAnsi="Cambria" w:cstheme="minorHAnsi"/>
          <w:spacing w:val="-1"/>
        </w:rPr>
        <w:t>h</w:t>
      </w:r>
      <w:r w:rsidR="00BA4592" w:rsidRPr="009A0DA6">
        <w:rPr>
          <w:rFonts w:ascii="Cambria" w:eastAsia="Times New Roman" w:hAnsi="Cambria" w:cstheme="minorHAnsi"/>
        </w:rPr>
        <w:t>ad</w:t>
      </w:r>
      <w:r w:rsidR="00BA4592" w:rsidRPr="009A0DA6">
        <w:rPr>
          <w:rFonts w:ascii="Cambria" w:eastAsia="Times New Roman" w:hAnsi="Cambria" w:cstheme="minorHAnsi"/>
          <w:spacing w:val="7"/>
        </w:rPr>
        <w:t xml:space="preserve"> </w:t>
      </w:r>
      <w:r w:rsidR="00BA4592" w:rsidRPr="009A0DA6">
        <w:rPr>
          <w:rFonts w:ascii="Cambria" w:eastAsia="Times New Roman" w:hAnsi="Cambria" w:cstheme="minorHAnsi"/>
          <w:spacing w:val="1"/>
        </w:rPr>
        <w:t>pro</w:t>
      </w:r>
      <w:r w:rsidR="00BA4592" w:rsidRPr="009A0DA6">
        <w:rPr>
          <w:rFonts w:ascii="Cambria" w:eastAsia="Times New Roman" w:hAnsi="Cambria" w:cstheme="minorHAnsi"/>
          <w:spacing w:val="-1"/>
        </w:rPr>
        <w:t>v</w:t>
      </w:r>
      <w:r w:rsidR="00BA4592" w:rsidRPr="009A0DA6">
        <w:rPr>
          <w:rFonts w:ascii="Cambria" w:eastAsia="Times New Roman" w:hAnsi="Cambria" w:cstheme="minorHAnsi"/>
        </w:rPr>
        <w:t>i</w:t>
      </w:r>
      <w:r w:rsidR="00BA4592" w:rsidRPr="009A0DA6">
        <w:rPr>
          <w:rFonts w:ascii="Cambria" w:eastAsia="Times New Roman" w:hAnsi="Cambria" w:cstheme="minorHAnsi"/>
          <w:spacing w:val="1"/>
        </w:rPr>
        <w:t>d</w:t>
      </w:r>
      <w:r w:rsidR="00BA4592" w:rsidRPr="009A0DA6">
        <w:rPr>
          <w:rFonts w:ascii="Cambria" w:eastAsia="Times New Roman" w:hAnsi="Cambria" w:cstheme="minorHAnsi"/>
        </w:rPr>
        <w:t>ed</w:t>
      </w:r>
      <w:r w:rsidR="00BA4592" w:rsidRPr="009A0DA6">
        <w:rPr>
          <w:rFonts w:ascii="Cambria" w:eastAsia="Times New Roman" w:hAnsi="Cambria" w:cstheme="minorHAnsi"/>
          <w:spacing w:val="2"/>
        </w:rPr>
        <w:t xml:space="preserve"> </w:t>
      </w:r>
      <w:r w:rsidR="00BA4592" w:rsidRPr="009A0DA6">
        <w:rPr>
          <w:rFonts w:ascii="Cambria" w:eastAsia="Times New Roman" w:hAnsi="Cambria" w:cstheme="minorHAnsi"/>
          <w:spacing w:val="-1"/>
        </w:rPr>
        <w:t>gu</w:t>
      </w:r>
      <w:r w:rsidR="00BA4592" w:rsidRPr="009A0DA6">
        <w:rPr>
          <w:rFonts w:ascii="Cambria" w:eastAsia="Times New Roman" w:hAnsi="Cambria" w:cstheme="minorHAnsi"/>
        </w:rPr>
        <w:t>a</w:t>
      </w:r>
      <w:r w:rsidR="00BA4592" w:rsidRPr="009A0DA6">
        <w:rPr>
          <w:rFonts w:ascii="Cambria" w:eastAsia="Times New Roman" w:hAnsi="Cambria" w:cstheme="minorHAnsi"/>
          <w:spacing w:val="1"/>
        </w:rPr>
        <w:t>r</w:t>
      </w:r>
      <w:r w:rsidR="00BA4592" w:rsidRPr="009A0DA6">
        <w:rPr>
          <w:rFonts w:ascii="Cambria" w:eastAsia="Times New Roman" w:hAnsi="Cambria" w:cstheme="minorHAnsi"/>
        </w:rPr>
        <w:t>a</w:t>
      </w:r>
      <w:r w:rsidR="00BA4592" w:rsidRPr="009A0DA6">
        <w:rPr>
          <w:rFonts w:ascii="Cambria" w:eastAsia="Times New Roman" w:hAnsi="Cambria" w:cstheme="minorHAnsi"/>
          <w:spacing w:val="-1"/>
        </w:rPr>
        <w:t>n</w:t>
      </w:r>
      <w:r w:rsidR="00BA4592" w:rsidRPr="009A0DA6">
        <w:rPr>
          <w:rFonts w:ascii="Cambria" w:eastAsia="Times New Roman" w:hAnsi="Cambria" w:cstheme="minorHAnsi"/>
          <w:spacing w:val="2"/>
        </w:rPr>
        <w:t>t</w:t>
      </w:r>
      <w:r w:rsidR="00BA4592" w:rsidRPr="009A0DA6">
        <w:rPr>
          <w:rFonts w:ascii="Cambria" w:eastAsia="Times New Roman" w:hAnsi="Cambria" w:cstheme="minorHAnsi"/>
        </w:rPr>
        <w:t>ees to</w:t>
      </w:r>
      <w:r w:rsidR="00BA4592" w:rsidRPr="009A0DA6">
        <w:rPr>
          <w:rFonts w:ascii="Cambria" w:eastAsia="Times New Roman" w:hAnsi="Cambria" w:cstheme="minorHAnsi"/>
          <w:spacing w:val="8"/>
        </w:rPr>
        <w:t xml:space="preserve"> </w:t>
      </w:r>
      <w:r w:rsidR="00BA4592" w:rsidRPr="009A0DA6">
        <w:rPr>
          <w:rFonts w:ascii="Cambria" w:eastAsia="Times New Roman" w:hAnsi="Cambria" w:cstheme="minorHAnsi"/>
        </w:rPr>
        <w:t>t</w:t>
      </w:r>
      <w:r w:rsidR="00BA4592" w:rsidRPr="009A0DA6">
        <w:rPr>
          <w:rFonts w:ascii="Cambria" w:eastAsia="Times New Roman" w:hAnsi="Cambria" w:cstheme="minorHAnsi"/>
          <w:spacing w:val="-1"/>
        </w:rPr>
        <w:t>h</w:t>
      </w:r>
      <w:r w:rsidR="00BA4592" w:rsidRPr="009A0DA6">
        <w:rPr>
          <w:rFonts w:ascii="Cambria" w:eastAsia="Times New Roman" w:hAnsi="Cambria" w:cstheme="minorHAnsi"/>
        </w:rPr>
        <w:t>e</w:t>
      </w:r>
      <w:r w:rsidR="00BA4592" w:rsidRPr="009A0DA6">
        <w:rPr>
          <w:rFonts w:ascii="Cambria" w:eastAsia="Times New Roman" w:hAnsi="Cambria" w:cstheme="minorHAnsi"/>
          <w:spacing w:val="7"/>
        </w:rPr>
        <w:t xml:space="preserve"> </w:t>
      </w:r>
      <w:r w:rsidR="00BA4592" w:rsidRPr="009A0DA6">
        <w:rPr>
          <w:rFonts w:ascii="Cambria" w:eastAsia="Times New Roman" w:hAnsi="Cambria" w:cstheme="minorHAnsi"/>
          <w:spacing w:val="-2"/>
        </w:rPr>
        <w:t>L</w:t>
      </w:r>
      <w:r w:rsidR="00BA4592" w:rsidRPr="009A0DA6">
        <w:rPr>
          <w:rFonts w:ascii="Cambria" w:eastAsia="Times New Roman" w:hAnsi="Cambria" w:cstheme="minorHAnsi"/>
          <w:spacing w:val="1"/>
        </w:rPr>
        <w:t>L</w:t>
      </w:r>
      <w:r w:rsidR="00BA4592" w:rsidRPr="009A0DA6">
        <w:rPr>
          <w:rFonts w:ascii="Cambria" w:eastAsia="Times New Roman" w:hAnsi="Cambria" w:cstheme="minorHAnsi"/>
        </w:rPr>
        <w:t>L</w:t>
      </w:r>
      <w:r w:rsidR="00BA4592" w:rsidRPr="009A0DA6">
        <w:rPr>
          <w:rFonts w:ascii="Cambria" w:eastAsia="Times New Roman" w:hAnsi="Cambria" w:cstheme="minorHAnsi"/>
          <w:spacing w:val="4"/>
        </w:rPr>
        <w:t xml:space="preserve"> </w:t>
      </w:r>
      <w:r w:rsidR="00BA4592" w:rsidRPr="009A0DA6">
        <w:rPr>
          <w:rFonts w:ascii="Cambria" w:eastAsia="Times New Roman" w:hAnsi="Cambria" w:cstheme="minorHAnsi"/>
        </w:rPr>
        <w:t xml:space="preserve">in </w:t>
      </w:r>
      <w:r w:rsidR="00BA4592" w:rsidRPr="009A0DA6">
        <w:rPr>
          <w:rFonts w:ascii="Cambria" w:eastAsia="Times New Roman" w:hAnsi="Cambria" w:cstheme="minorHAnsi"/>
          <w:spacing w:val="1"/>
        </w:rPr>
        <w:t>r</w:t>
      </w:r>
      <w:r w:rsidR="00BA4592" w:rsidRPr="009A0DA6">
        <w:rPr>
          <w:rFonts w:ascii="Cambria" w:eastAsia="Times New Roman" w:hAnsi="Cambria" w:cstheme="minorHAnsi"/>
        </w:rPr>
        <w:t>e</w:t>
      </w:r>
      <w:r w:rsidR="00BA4592" w:rsidRPr="009A0DA6">
        <w:rPr>
          <w:rFonts w:ascii="Cambria" w:eastAsia="Times New Roman" w:hAnsi="Cambria" w:cstheme="minorHAnsi"/>
          <w:spacing w:val="-1"/>
        </w:rPr>
        <w:t>s</w:t>
      </w:r>
      <w:r w:rsidR="00BA4592" w:rsidRPr="009A0DA6">
        <w:rPr>
          <w:rFonts w:ascii="Cambria" w:eastAsia="Times New Roman" w:hAnsi="Cambria" w:cstheme="minorHAnsi"/>
          <w:spacing w:val="1"/>
        </w:rPr>
        <w:t>p</w:t>
      </w:r>
      <w:r w:rsidR="00BA4592" w:rsidRPr="009A0DA6">
        <w:rPr>
          <w:rFonts w:ascii="Cambria" w:eastAsia="Times New Roman" w:hAnsi="Cambria" w:cstheme="minorHAnsi"/>
        </w:rPr>
        <w:t>ect</w:t>
      </w:r>
      <w:r w:rsidR="00BA4592" w:rsidRPr="009A0DA6">
        <w:rPr>
          <w:rFonts w:ascii="Cambria" w:eastAsia="Times New Roman" w:hAnsi="Cambria" w:cstheme="minorHAnsi"/>
          <w:spacing w:val="-6"/>
        </w:rPr>
        <w:t xml:space="preserve"> </w:t>
      </w:r>
      <w:r w:rsidR="00BA4592" w:rsidRPr="009A0DA6">
        <w:rPr>
          <w:rFonts w:ascii="Cambria" w:eastAsia="Times New Roman" w:hAnsi="Cambria" w:cstheme="minorHAnsi"/>
          <w:spacing w:val="1"/>
        </w:rPr>
        <w:t>o</w:t>
      </w:r>
      <w:r w:rsidR="00BA4592" w:rsidRPr="009A0DA6">
        <w:rPr>
          <w:rFonts w:ascii="Cambria" w:eastAsia="Times New Roman" w:hAnsi="Cambria" w:cstheme="minorHAnsi"/>
        </w:rPr>
        <w:t>f</w:t>
      </w:r>
      <w:r w:rsidR="00BA4592" w:rsidRPr="009A0DA6">
        <w:rPr>
          <w:rFonts w:ascii="Cambria" w:eastAsia="Times New Roman" w:hAnsi="Cambria" w:cstheme="minorHAnsi"/>
          <w:spacing w:val="-3"/>
        </w:rPr>
        <w:t xml:space="preserve"> </w:t>
      </w:r>
      <w:r w:rsidR="00BA4592" w:rsidRPr="009A0DA6">
        <w:rPr>
          <w:rFonts w:ascii="Cambria" w:eastAsia="Times New Roman" w:hAnsi="Cambria" w:cstheme="minorHAnsi"/>
        </w:rPr>
        <w:t>l</w:t>
      </w:r>
      <w:r w:rsidR="00BA4592" w:rsidRPr="009A0DA6">
        <w:rPr>
          <w:rFonts w:ascii="Cambria" w:eastAsia="Times New Roman" w:hAnsi="Cambria" w:cstheme="minorHAnsi"/>
          <w:spacing w:val="1"/>
        </w:rPr>
        <w:t>o</w:t>
      </w:r>
      <w:r w:rsidR="00BA4592" w:rsidRPr="009A0DA6">
        <w:rPr>
          <w:rFonts w:ascii="Cambria" w:eastAsia="Times New Roman" w:hAnsi="Cambria" w:cstheme="minorHAnsi"/>
        </w:rPr>
        <w:t>a</w:t>
      </w:r>
      <w:r w:rsidR="00BA4592" w:rsidRPr="009A0DA6">
        <w:rPr>
          <w:rFonts w:ascii="Cambria" w:eastAsia="Times New Roman" w:hAnsi="Cambria" w:cstheme="minorHAnsi"/>
          <w:spacing w:val="-1"/>
        </w:rPr>
        <w:t>n</w:t>
      </w:r>
      <w:r w:rsidR="00BA4592" w:rsidRPr="009A0DA6">
        <w:rPr>
          <w:rFonts w:ascii="Cambria" w:eastAsia="Times New Roman" w:hAnsi="Cambria" w:cstheme="minorHAnsi"/>
        </w:rPr>
        <w:t>s</w:t>
      </w:r>
      <w:r w:rsidR="00BA4592" w:rsidRPr="009A0DA6">
        <w:rPr>
          <w:rFonts w:ascii="Cambria" w:eastAsia="Times New Roman" w:hAnsi="Cambria" w:cstheme="minorHAnsi"/>
          <w:spacing w:val="-4"/>
        </w:rPr>
        <w:t xml:space="preserve"> </w:t>
      </w:r>
      <w:r w:rsidR="00BA4592" w:rsidRPr="009A0DA6">
        <w:rPr>
          <w:rFonts w:ascii="Cambria" w:eastAsia="Times New Roman" w:hAnsi="Cambria" w:cstheme="minorHAnsi"/>
          <w:spacing w:val="1"/>
        </w:rPr>
        <w:t>pro</w:t>
      </w:r>
      <w:r w:rsidR="00BA4592" w:rsidRPr="009A0DA6">
        <w:rPr>
          <w:rFonts w:ascii="Cambria" w:eastAsia="Times New Roman" w:hAnsi="Cambria" w:cstheme="minorHAnsi"/>
          <w:spacing w:val="-1"/>
        </w:rPr>
        <w:t>v</w:t>
      </w:r>
      <w:r w:rsidR="00BA4592" w:rsidRPr="009A0DA6">
        <w:rPr>
          <w:rFonts w:ascii="Cambria" w:eastAsia="Times New Roman" w:hAnsi="Cambria" w:cstheme="minorHAnsi"/>
        </w:rPr>
        <w:t>i</w:t>
      </w:r>
      <w:r w:rsidR="00BA4592" w:rsidRPr="009A0DA6">
        <w:rPr>
          <w:rFonts w:ascii="Cambria" w:eastAsia="Times New Roman" w:hAnsi="Cambria" w:cstheme="minorHAnsi"/>
          <w:spacing w:val="1"/>
        </w:rPr>
        <w:t>d</w:t>
      </w:r>
      <w:r w:rsidR="00BA4592" w:rsidRPr="009A0DA6">
        <w:rPr>
          <w:rFonts w:ascii="Cambria" w:eastAsia="Times New Roman" w:hAnsi="Cambria" w:cstheme="minorHAnsi"/>
        </w:rPr>
        <w:t>ed</w:t>
      </w:r>
      <w:r w:rsidR="00BA4592" w:rsidRPr="009A0DA6">
        <w:rPr>
          <w:rFonts w:ascii="Cambria" w:eastAsia="Times New Roman" w:hAnsi="Cambria" w:cstheme="minorHAnsi"/>
          <w:spacing w:val="-5"/>
        </w:rPr>
        <w:t xml:space="preserve"> </w:t>
      </w:r>
      <w:r w:rsidR="00BA4592" w:rsidRPr="009A0DA6">
        <w:rPr>
          <w:rFonts w:ascii="Cambria" w:eastAsia="Times New Roman" w:hAnsi="Cambria" w:cstheme="minorHAnsi"/>
          <w:spacing w:val="1"/>
        </w:rPr>
        <w:t>b</w:t>
      </w:r>
      <w:r w:rsidR="00BA4592" w:rsidRPr="009A0DA6">
        <w:rPr>
          <w:rFonts w:ascii="Cambria" w:eastAsia="Times New Roman" w:hAnsi="Cambria" w:cstheme="minorHAnsi"/>
        </w:rPr>
        <w:t>y</w:t>
      </w:r>
      <w:r w:rsidR="00BA4592" w:rsidRPr="009A0DA6">
        <w:rPr>
          <w:rFonts w:ascii="Cambria" w:eastAsia="Times New Roman" w:hAnsi="Cambria" w:cstheme="minorHAnsi"/>
          <w:spacing w:val="-3"/>
        </w:rPr>
        <w:t xml:space="preserve"> </w:t>
      </w:r>
      <w:r w:rsidR="00BA4592" w:rsidRPr="009A0DA6">
        <w:rPr>
          <w:rFonts w:ascii="Cambria" w:eastAsia="Times New Roman" w:hAnsi="Cambria" w:cstheme="minorHAnsi"/>
          <w:spacing w:val="1"/>
        </w:rPr>
        <w:t>LL</w:t>
      </w:r>
      <w:r w:rsidR="00BA4592" w:rsidRPr="009A0DA6">
        <w:rPr>
          <w:rFonts w:ascii="Cambria" w:eastAsia="Times New Roman" w:hAnsi="Cambria" w:cstheme="minorHAnsi"/>
        </w:rPr>
        <w:t>L</w:t>
      </w:r>
      <w:r w:rsidR="00BA4592" w:rsidRPr="009A0DA6">
        <w:rPr>
          <w:rFonts w:ascii="Cambria" w:eastAsia="Times New Roman" w:hAnsi="Cambria" w:cstheme="minorHAnsi"/>
          <w:spacing w:val="-5"/>
        </w:rPr>
        <w:t xml:space="preserve"> </w:t>
      </w:r>
      <w:r w:rsidR="00BA4592" w:rsidRPr="009A0DA6">
        <w:rPr>
          <w:rFonts w:ascii="Cambria" w:eastAsia="Times New Roman" w:hAnsi="Cambria" w:cstheme="minorHAnsi"/>
          <w:spacing w:val="-1"/>
        </w:rPr>
        <w:t>f</w:t>
      </w:r>
      <w:r w:rsidR="00BA4592" w:rsidRPr="009A0DA6">
        <w:rPr>
          <w:rFonts w:ascii="Cambria" w:eastAsia="Times New Roman" w:hAnsi="Cambria" w:cstheme="minorHAnsi"/>
          <w:spacing w:val="1"/>
        </w:rPr>
        <w:t>or</w:t>
      </w:r>
      <w:r w:rsidR="00BA4592" w:rsidRPr="009A0DA6">
        <w:rPr>
          <w:rFonts w:ascii="Cambria" w:eastAsia="Times New Roman" w:hAnsi="Cambria" w:cstheme="minorHAnsi"/>
        </w:rPr>
        <w:t>:</w:t>
      </w:r>
    </w:p>
    <w:p w14:paraId="3505A1BB" w14:textId="77777777" w:rsidR="00BA4592" w:rsidRPr="009A0DA6" w:rsidRDefault="00BA4592" w:rsidP="00BA4592">
      <w:pPr>
        <w:tabs>
          <w:tab w:val="right" w:pos="5954"/>
          <w:tab w:val="right" w:pos="7371"/>
          <w:tab w:val="right" w:pos="8789"/>
        </w:tabs>
        <w:spacing w:before="120" w:after="120" w:line="240" w:lineRule="auto"/>
        <w:ind w:right="-51"/>
        <w:contextualSpacing/>
        <w:rPr>
          <w:rFonts w:ascii="Cambria" w:eastAsia="Times New Roman" w:hAnsi="Cambria" w:cstheme="minorHAnsi"/>
        </w:rPr>
      </w:pPr>
      <w:r w:rsidRPr="009A0DA6">
        <w:rPr>
          <w:rFonts w:ascii="Cambria" w:eastAsia="Times New Roman" w:hAnsi="Cambria" w:cstheme="minorHAnsi"/>
        </w:rPr>
        <w:t>LCA Pensions Fund</w:t>
      </w:r>
      <w:r w:rsidRPr="009A0DA6">
        <w:rPr>
          <w:rFonts w:ascii="Cambria" w:eastAsia="Times New Roman" w:hAnsi="Cambria" w:cstheme="minorHAnsi"/>
        </w:rPr>
        <w:tab/>
        <w:t>3,054,044</w:t>
      </w:r>
      <w:r w:rsidRPr="009A0DA6">
        <w:rPr>
          <w:rFonts w:ascii="Cambria" w:eastAsia="Times New Roman" w:hAnsi="Cambria" w:cstheme="minorHAnsi"/>
        </w:rPr>
        <w:tab/>
        <w:t>3,421,667</w:t>
      </w:r>
      <w:r w:rsidRPr="009A0DA6">
        <w:rPr>
          <w:rFonts w:ascii="Cambria" w:eastAsia="Times New Roman" w:hAnsi="Cambria" w:cstheme="minorHAnsi"/>
        </w:rPr>
        <w:tab/>
        <w:t>3,632,735</w:t>
      </w:r>
    </w:p>
    <w:p w14:paraId="341A4698" w14:textId="77777777" w:rsidR="00BA4592" w:rsidRPr="009A0DA6" w:rsidRDefault="00BA4592" w:rsidP="00BA4592">
      <w:pPr>
        <w:tabs>
          <w:tab w:val="right" w:pos="5954"/>
          <w:tab w:val="right" w:pos="7371"/>
          <w:tab w:val="right" w:pos="8789"/>
        </w:tabs>
        <w:spacing w:before="120" w:after="120" w:line="240" w:lineRule="auto"/>
        <w:ind w:right="-51"/>
        <w:contextualSpacing/>
        <w:rPr>
          <w:rFonts w:ascii="Cambria" w:eastAsia="Times New Roman" w:hAnsi="Cambria" w:cstheme="minorHAnsi"/>
        </w:rPr>
      </w:pPr>
      <w:r w:rsidRPr="009A0DA6">
        <w:rPr>
          <w:rFonts w:ascii="Cambria" w:eastAsia="Times New Roman" w:hAnsi="Cambria" w:cstheme="minorHAnsi"/>
        </w:rPr>
        <w:t>LCA Car Loans</w:t>
      </w:r>
      <w:r w:rsidRPr="009A0DA6">
        <w:rPr>
          <w:rFonts w:ascii="Cambria" w:eastAsia="Times New Roman" w:hAnsi="Cambria" w:cstheme="minorHAnsi"/>
        </w:rPr>
        <w:tab/>
        <w:t>557,743</w:t>
      </w:r>
      <w:r w:rsidRPr="009A0DA6">
        <w:rPr>
          <w:rFonts w:ascii="Cambria" w:eastAsia="Times New Roman" w:hAnsi="Cambria" w:cstheme="minorHAnsi"/>
        </w:rPr>
        <w:tab/>
        <w:t>667,630</w:t>
      </w:r>
      <w:r w:rsidRPr="009A0DA6">
        <w:rPr>
          <w:rFonts w:ascii="Cambria" w:eastAsia="Times New Roman" w:hAnsi="Cambria" w:cstheme="minorHAnsi"/>
        </w:rPr>
        <w:tab/>
        <w:t>773,668</w:t>
      </w:r>
    </w:p>
    <w:p w14:paraId="6F130FE1" w14:textId="77777777" w:rsidR="00BA4592" w:rsidRPr="009A0DA6" w:rsidRDefault="00BA4592" w:rsidP="00BA4592">
      <w:pPr>
        <w:tabs>
          <w:tab w:val="right" w:pos="5954"/>
          <w:tab w:val="right" w:pos="7371"/>
          <w:tab w:val="right" w:pos="8789"/>
        </w:tabs>
        <w:spacing w:before="120" w:after="120" w:line="240" w:lineRule="auto"/>
        <w:ind w:right="-51"/>
        <w:contextualSpacing/>
        <w:rPr>
          <w:rFonts w:ascii="Cambria" w:eastAsia="Times New Roman" w:hAnsi="Cambria" w:cstheme="minorHAnsi"/>
        </w:rPr>
      </w:pPr>
      <w:r w:rsidRPr="009A0DA6">
        <w:rPr>
          <w:rFonts w:ascii="Cambria" w:hAnsi="Cambria" w:cstheme="minorHAnsi"/>
          <w:b/>
        </w:rPr>
        <w:t>Total Contingent liabilities</w:t>
      </w:r>
      <w:r w:rsidRPr="009A0DA6">
        <w:rPr>
          <w:rFonts w:ascii="Cambria" w:hAnsi="Cambria" w:cstheme="minorHAnsi"/>
          <w:b/>
        </w:rPr>
        <w:tab/>
        <w:t>$</w:t>
      </w:r>
      <w:r w:rsidRPr="009A0DA6">
        <w:rPr>
          <w:rFonts w:ascii="Cambria" w:eastAsia="Times New Roman" w:hAnsi="Cambria" w:cstheme="minorHAnsi"/>
          <w:b/>
          <w:spacing w:val="1"/>
          <w:w w:val="99"/>
        </w:rPr>
        <w:t>3,61</w:t>
      </w:r>
      <w:r w:rsidRPr="009A0DA6">
        <w:rPr>
          <w:rFonts w:ascii="Cambria" w:eastAsia="Times New Roman" w:hAnsi="Cambria" w:cstheme="minorHAnsi"/>
          <w:b/>
          <w:spacing w:val="-1"/>
          <w:w w:val="99"/>
        </w:rPr>
        <w:t>1</w:t>
      </w:r>
      <w:r w:rsidRPr="009A0DA6">
        <w:rPr>
          <w:rFonts w:ascii="Cambria" w:eastAsia="Times New Roman" w:hAnsi="Cambria" w:cstheme="minorHAnsi"/>
          <w:b/>
          <w:spacing w:val="1"/>
          <w:w w:val="99"/>
        </w:rPr>
        <w:t>,7</w:t>
      </w:r>
      <w:r w:rsidRPr="009A0DA6">
        <w:rPr>
          <w:rFonts w:ascii="Cambria" w:eastAsia="Times New Roman" w:hAnsi="Cambria" w:cstheme="minorHAnsi"/>
          <w:b/>
          <w:spacing w:val="-1"/>
          <w:w w:val="99"/>
        </w:rPr>
        <w:t>8</w:t>
      </w:r>
      <w:r w:rsidRPr="009A0DA6">
        <w:rPr>
          <w:rFonts w:ascii="Cambria" w:eastAsia="Times New Roman" w:hAnsi="Cambria" w:cstheme="minorHAnsi"/>
          <w:b/>
          <w:w w:val="99"/>
        </w:rPr>
        <w:t>7</w:t>
      </w:r>
      <w:r w:rsidRPr="009A0DA6">
        <w:rPr>
          <w:rFonts w:ascii="Cambria" w:eastAsia="Times New Roman" w:hAnsi="Cambria" w:cstheme="minorHAnsi"/>
          <w:b/>
          <w:w w:val="99"/>
        </w:rPr>
        <w:tab/>
        <w:t>$4,089,297</w:t>
      </w:r>
      <w:r w:rsidRPr="009A0DA6">
        <w:rPr>
          <w:rFonts w:ascii="Cambria" w:eastAsia="Times New Roman" w:hAnsi="Cambria" w:cstheme="minorHAnsi"/>
          <w:b/>
          <w:w w:val="99"/>
        </w:rPr>
        <w:tab/>
        <w:t>$4,406,403</w:t>
      </w:r>
    </w:p>
    <w:p w14:paraId="4608598A" w14:textId="12EBAF8B" w:rsidR="007408EE" w:rsidRDefault="007408EE" w:rsidP="00BA4592">
      <w:pPr>
        <w:spacing w:before="120" w:after="120" w:line="240" w:lineRule="auto"/>
        <w:ind w:right="-51"/>
        <w:contextualSpacing/>
        <w:rPr>
          <w:rFonts w:ascii="Cambria" w:eastAsia="Times New Roman" w:hAnsi="Cambria" w:cstheme="minorHAnsi"/>
        </w:rPr>
      </w:pPr>
    </w:p>
    <w:p w14:paraId="495522B3" w14:textId="2C94081F" w:rsidR="00BA4592" w:rsidRPr="009A0DA6" w:rsidRDefault="00BA4592" w:rsidP="00BA4592">
      <w:pPr>
        <w:spacing w:before="120" w:after="120" w:line="240" w:lineRule="auto"/>
        <w:ind w:right="-51"/>
        <w:contextualSpacing/>
        <w:rPr>
          <w:rFonts w:ascii="Cambria" w:eastAsia="Times New Roman" w:hAnsi="Cambria" w:cstheme="minorHAnsi"/>
        </w:rPr>
      </w:pPr>
      <w:r w:rsidRPr="009A0DA6">
        <w:rPr>
          <w:rFonts w:ascii="Cambria" w:eastAsia="Times New Roman" w:hAnsi="Cambria" w:cstheme="minorHAnsi"/>
        </w:rPr>
        <w:t>As at</w:t>
      </w:r>
      <w:r w:rsidRPr="009A0DA6">
        <w:rPr>
          <w:rFonts w:ascii="Cambria" w:eastAsia="Times New Roman" w:hAnsi="Cambria" w:cstheme="minorHAnsi"/>
          <w:spacing w:val="2"/>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1"/>
        </w:rPr>
        <w:t xml:space="preserve"> </w:t>
      </w:r>
      <w:r w:rsidRPr="009A0DA6">
        <w:rPr>
          <w:rFonts w:ascii="Cambria" w:eastAsia="Times New Roman" w:hAnsi="Cambria" w:cstheme="minorHAnsi"/>
        </w:rPr>
        <w:t>t</w:t>
      </w:r>
      <w:r w:rsidRPr="009A0DA6">
        <w:rPr>
          <w:rFonts w:ascii="Cambria" w:eastAsia="Times New Roman" w:hAnsi="Cambria" w:cstheme="minorHAnsi"/>
          <w:spacing w:val="2"/>
        </w:rPr>
        <w:t>i</w:t>
      </w:r>
      <w:r w:rsidRPr="009A0DA6">
        <w:rPr>
          <w:rFonts w:ascii="Cambria" w:eastAsia="Times New Roman" w:hAnsi="Cambria" w:cstheme="minorHAnsi"/>
          <w:spacing w:val="-1"/>
        </w:rPr>
        <w:t>m</w:t>
      </w:r>
      <w:r w:rsidRPr="009A0DA6">
        <w:rPr>
          <w:rFonts w:ascii="Cambria" w:eastAsia="Times New Roman" w:hAnsi="Cambria" w:cstheme="minorHAnsi"/>
        </w:rPr>
        <w:t>e</w:t>
      </w:r>
      <w:r w:rsidRPr="009A0DA6">
        <w:rPr>
          <w:rFonts w:ascii="Cambria" w:eastAsia="Times New Roman" w:hAnsi="Cambria" w:cstheme="minorHAnsi"/>
          <w:spacing w:val="-1"/>
        </w:rPr>
        <w:t xml:space="preserve"> </w:t>
      </w:r>
      <w:r w:rsidRPr="009A0DA6">
        <w:rPr>
          <w:rFonts w:ascii="Cambria" w:eastAsia="Times New Roman" w:hAnsi="Cambria" w:cstheme="minorHAnsi"/>
          <w:spacing w:val="1"/>
        </w:rPr>
        <w:t>o</w:t>
      </w:r>
      <w:r w:rsidRPr="009A0DA6">
        <w:rPr>
          <w:rFonts w:ascii="Cambria" w:eastAsia="Times New Roman" w:hAnsi="Cambria" w:cstheme="minorHAnsi"/>
        </w:rPr>
        <w:t>f</w:t>
      </w:r>
      <w:r w:rsidRPr="009A0DA6">
        <w:rPr>
          <w:rFonts w:ascii="Cambria" w:eastAsia="Times New Roman" w:hAnsi="Cambria" w:cstheme="minorHAnsi"/>
          <w:spacing w:val="2"/>
        </w:rPr>
        <w:t xml:space="preserve"> </w:t>
      </w:r>
      <w:r w:rsidRPr="009A0DA6">
        <w:rPr>
          <w:rFonts w:ascii="Cambria" w:eastAsia="Times New Roman" w:hAnsi="Cambria" w:cstheme="minorHAnsi"/>
          <w:spacing w:val="-1"/>
        </w:rPr>
        <w:t>s</w:t>
      </w:r>
      <w:r w:rsidRPr="009A0DA6">
        <w:rPr>
          <w:rFonts w:ascii="Cambria" w:eastAsia="Times New Roman" w:hAnsi="Cambria" w:cstheme="minorHAnsi"/>
        </w:rPr>
        <w:t>i</w:t>
      </w:r>
      <w:r w:rsidRPr="009A0DA6">
        <w:rPr>
          <w:rFonts w:ascii="Cambria" w:eastAsia="Times New Roman" w:hAnsi="Cambria" w:cstheme="minorHAnsi"/>
          <w:spacing w:val="1"/>
        </w:rPr>
        <w:t>g</w:t>
      </w:r>
      <w:r w:rsidRPr="009A0DA6">
        <w:rPr>
          <w:rFonts w:ascii="Cambria" w:eastAsia="Times New Roman" w:hAnsi="Cambria" w:cstheme="minorHAnsi"/>
          <w:spacing w:val="-1"/>
        </w:rPr>
        <w:t>n</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rPr>
        <w:t>g</w:t>
      </w:r>
      <w:r w:rsidRPr="009A0DA6">
        <w:rPr>
          <w:rFonts w:ascii="Cambria" w:eastAsia="Times New Roman" w:hAnsi="Cambria" w:cstheme="minorHAnsi"/>
          <w:spacing w:val="-4"/>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1"/>
        </w:rPr>
        <w:t xml:space="preserve"> </w:t>
      </w:r>
      <w:r w:rsidRPr="009A0DA6">
        <w:rPr>
          <w:rFonts w:ascii="Cambria" w:eastAsia="Times New Roman" w:hAnsi="Cambria" w:cstheme="minorHAnsi"/>
          <w:spacing w:val="3"/>
        </w:rPr>
        <w:t>a</w:t>
      </w:r>
      <w:r w:rsidRPr="009A0DA6">
        <w:rPr>
          <w:rFonts w:ascii="Cambria" w:eastAsia="Times New Roman" w:hAnsi="Cambria" w:cstheme="minorHAnsi"/>
          <w:spacing w:val="-1"/>
        </w:rPr>
        <w:t>u</w:t>
      </w:r>
      <w:r w:rsidRPr="009A0DA6">
        <w:rPr>
          <w:rFonts w:ascii="Cambria" w:eastAsia="Times New Roman" w:hAnsi="Cambria" w:cstheme="minorHAnsi"/>
          <w:spacing w:val="1"/>
        </w:rPr>
        <w:t>d</w:t>
      </w:r>
      <w:r w:rsidRPr="009A0DA6">
        <w:rPr>
          <w:rFonts w:ascii="Cambria" w:eastAsia="Times New Roman" w:hAnsi="Cambria" w:cstheme="minorHAnsi"/>
        </w:rPr>
        <w:t>it</w:t>
      </w:r>
      <w:r w:rsidRPr="009A0DA6">
        <w:rPr>
          <w:rFonts w:ascii="Cambria" w:eastAsia="Times New Roman" w:hAnsi="Cambria" w:cstheme="minorHAnsi"/>
          <w:spacing w:val="-1"/>
        </w:rPr>
        <w:t xml:space="preserve"> </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1"/>
        </w:rPr>
        <w:t>por</w:t>
      </w:r>
      <w:r w:rsidRPr="009A0DA6">
        <w:rPr>
          <w:rFonts w:ascii="Cambria" w:eastAsia="Times New Roman" w:hAnsi="Cambria" w:cstheme="minorHAnsi"/>
        </w:rPr>
        <w:t>t,</w:t>
      </w:r>
      <w:r w:rsidRPr="009A0DA6">
        <w:rPr>
          <w:rFonts w:ascii="Cambria" w:eastAsia="Times New Roman" w:hAnsi="Cambria" w:cstheme="minorHAnsi"/>
          <w:spacing w:val="-2"/>
        </w:rPr>
        <w:t xml:space="preserve"> </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1"/>
        </w:rPr>
        <w:t xml:space="preserve"> </w:t>
      </w:r>
      <w:r w:rsidRPr="009A0DA6">
        <w:rPr>
          <w:rFonts w:ascii="Cambria" w:eastAsia="Times New Roman" w:hAnsi="Cambria" w:cstheme="minorHAnsi"/>
          <w:spacing w:val="-2"/>
        </w:rPr>
        <w:t>L</w:t>
      </w:r>
      <w:r w:rsidRPr="009A0DA6">
        <w:rPr>
          <w:rFonts w:ascii="Cambria" w:eastAsia="Times New Roman" w:hAnsi="Cambria" w:cstheme="minorHAnsi"/>
          <w:spacing w:val="2"/>
        </w:rPr>
        <w:t>C</w:t>
      </w:r>
      <w:r w:rsidRPr="009A0DA6">
        <w:rPr>
          <w:rFonts w:ascii="Cambria" w:eastAsia="Times New Roman" w:hAnsi="Cambria" w:cstheme="minorHAnsi"/>
        </w:rPr>
        <w:t>A</w:t>
      </w:r>
      <w:r w:rsidRPr="009A0DA6">
        <w:rPr>
          <w:rFonts w:ascii="Cambria" w:eastAsia="Times New Roman" w:hAnsi="Cambria" w:cstheme="minorHAnsi"/>
          <w:spacing w:val="-3"/>
        </w:rPr>
        <w:t xml:space="preserve"> </w:t>
      </w:r>
      <w:r w:rsidRPr="009A0DA6">
        <w:rPr>
          <w:rFonts w:ascii="Cambria" w:eastAsia="Times New Roman" w:hAnsi="Cambria" w:cstheme="minorHAnsi"/>
          <w:spacing w:val="2"/>
        </w:rPr>
        <w:t>i</w:t>
      </w:r>
      <w:r w:rsidRPr="009A0DA6">
        <w:rPr>
          <w:rFonts w:ascii="Cambria" w:eastAsia="Times New Roman" w:hAnsi="Cambria" w:cstheme="minorHAnsi"/>
        </w:rPr>
        <w:t>s</w:t>
      </w:r>
      <w:r w:rsidRPr="009A0DA6">
        <w:rPr>
          <w:rFonts w:ascii="Cambria" w:eastAsia="Times New Roman" w:hAnsi="Cambria" w:cstheme="minorHAnsi"/>
          <w:spacing w:val="1"/>
        </w:rPr>
        <w:t xml:space="preserve"> </w:t>
      </w:r>
      <w:r w:rsidRPr="009A0DA6">
        <w:rPr>
          <w:rFonts w:ascii="Cambria" w:eastAsia="Times New Roman" w:hAnsi="Cambria" w:cstheme="minorHAnsi"/>
          <w:spacing w:val="-1"/>
        </w:rPr>
        <w:t>n</w:t>
      </w:r>
      <w:r w:rsidRPr="009A0DA6">
        <w:rPr>
          <w:rFonts w:ascii="Cambria" w:eastAsia="Times New Roman" w:hAnsi="Cambria" w:cstheme="minorHAnsi"/>
          <w:spacing w:val="1"/>
        </w:rPr>
        <w:t>o</w:t>
      </w:r>
      <w:r w:rsidRPr="009A0DA6">
        <w:rPr>
          <w:rFonts w:ascii="Cambria" w:eastAsia="Times New Roman" w:hAnsi="Cambria" w:cstheme="minorHAnsi"/>
        </w:rPr>
        <w:t xml:space="preserve">t </w:t>
      </w:r>
      <w:r w:rsidRPr="009A0DA6">
        <w:rPr>
          <w:rFonts w:ascii="Cambria" w:eastAsia="Times New Roman" w:hAnsi="Cambria" w:cstheme="minorHAnsi"/>
          <w:spacing w:val="3"/>
        </w:rPr>
        <w:t>a</w:t>
      </w:r>
      <w:r w:rsidRPr="009A0DA6">
        <w:rPr>
          <w:rFonts w:ascii="Cambria" w:eastAsia="Times New Roman" w:hAnsi="Cambria" w:cstheme="minorHAnsi"/>
        </w:rPr>
        <w:t>wa</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2"/>
        </w:rPr>
        <w:t xml:space="preserve"> </w:t>
      </w:r>
      <w:r w:rsidRPr="009A0DA6">
        <w:rPr>
          <w:rFonts w:ascii="Cambria" w:eastAsia="Times New Roman" w:hAnsi="Cambria" w:cstheme="minorHAnsi"/>
          <w:spacing w:val="1"/>
        </w:rPr>
        <w:t>o</w:t>
      </w:r>
      <w:r w:rsidRPr="009A0DA6">
        <w:rPr>
          <w:rFonts w:ascii="Cambria" w:eastAsia="Times New Roman" w:hAnsi="Cambria" w:cstheme="minorHAnsi"/>
        </w:rPr>
        <w:t>f</w:t>
      </w:r>
      <w:r w:rsidRPr="009A0DA6">
        <w:rPr>
          <w:rFonts w:ascii="Cambria" w:eastAsia="Times New Roman" w:hAnsi="Cambria" w:cstheme="minorHAnsi"/>
          <w:spacing w:val="-1"/>
        </w:rPr>
        <w:t xml:space="preserve"> </w:t>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rPr>
        <w:t>y</w:t>
      </w:r>
      <w:r w:rsidRPr="009A0DA6">
        <w:rPr>
          <w:rFonts w:ascii="Cambria" w:eastAsia="Times New Roman" w:hAnsi="Cambria" w:cstheme="minorHAnsi"/>
          <w:spacing w:val="-4"/>
        </w:rPr>
        <w:t xml:space="preserve"> </w:t>
      </w:r>
      <w:r w:rsidRPr="009A0DA6">
        <w:rPr>
          <w:rFonts w:ascii="Cambria" w:eastAsia="Times New Roman" w:hAnsi="Cambria" w:cstheme="minorHAnsi"/>
        </w:rPr>
        <w:t>ci</w:t>
      </w:r>
      <w:r w:rsidRPr="009A0DA6">
        <w:rPr>
          <w:rFonts w:ascii="Cambria" w:eastAsia="Times New Roman" w:hAnsi="Cambria" w:cstheme="minorHAnsi"/>
          <w:spacing w:val="1"/>
        </w:rPr>
        <w:t>r</w:t>
      </w:r>
      <w:r w:rsidRPr="009A0DA6">
        <w:rPr>
          <w:rFonts w:ascii="Cambria" w:eastAsia="Times New Roman" w:hAnsi="Cambria" w:cstheme="minorHAnsi"/>
        </w:rPr>
        <w:t>c</w:t>
      </w:r>
      <w:r w:rsidRPr="009A0DA6">
        <w:rPr>
          <w:rFonts w:ascii="Cambria" w:eastAsia="Times New Roman" w:hAnsi="Cambria" w:cstheme="minorHAnsi"/>
          <w:spacing w:val="1"/>
        </w:rPr>
        <w:t>u</w:t>
      </w:r>
      <w:r w:rsidRPr="009A0DA6">
        <w:rPr>
          <w:rFonts w:ascii="Cambria" w:eastAsia="Times New Roman" w:hAnsi="Cambria" w:cstheme="minorHAnsi"/>
          <w:spacing w:val="-1"/>
        </w:rPr>
        <w:t>m</w:t>
      </w:r>
      <w:r w:rsidRPr="009A0DA6">
        <w:rPr>
          <w:rFonts w:ascii="Cambria" w:eastAsia="Times New Roman" w:hAnsi="Cambria" w:cstheme="minorHAnsi"/>
          <w:spacing w:val="2"/>
        </w:rPr>
        <w:t>s</w:t>
      </w:r>
      <w:r w:rsidRPr="009A0DA6">
        <w:rPr>
          <w:rFonts w:ascii="Cambria" w:eastAsia="Times New Roman" w:hAnsi="Cambria" w:cstheme="minorHAnsi"/>
        </w:rPr>
        <w:t>ta</w:t>
      </w:r>
      <w:r w:rsidRPr="009A0DA6">
        <w:rPr>
          <w:rFonts w:ascii="Cambria" w:eastAsia="Times New Roman" w:hAnsi="Cambria" w:cstheme="minorHAnsi"/>
          <w:spacing w:val="-1"/>
        </w:rPr>
        <w:t>n</w:t>
      </w:r>
      <w:r w:rsidRPr="009A0DA6">
        <w:rPr>
          <w:rFonts w:ascii="Cambria" w:eastAsia="Times New Roman" w:hAnsi="Cambria" w:cstheme="minorHAnsi"/>
        </w:rPr>
        <w:t>ce</w:t>
      </w:r>
      <w:r w:rsidRPr="009A0DA6">
        <w:rPr>
          <w:rFonts w:ascii="Cambria" w:eastAsia="Times New Roman" w:hAnsi="Cambria" w:cstheme="minorHAnsi"/>
          <w:spacing w:val="-8"/>
        </w:rPr>
        <w:t xml:space="preserve"> </w:t>
      </w:r>
      <w:r w:rsidRPr="009A0DA6">
        <w:rPr>
          <w:rFonts w:ascii="Cambria" w:eastAsia="Times New Roman" w:hAnsi="Cambria" w:cstheme="minorHAnsi"/>
          <w:spacing w:val="2"/>
        </w:rPr>
        <w:t>t</w:t>
      </w:r>
      <w:r w:rsidRPr="009A0DA6">
        <w:rPr>
          <w:rFonts w:ascii="Cambria" w:eastAsia="Times New Roman" w:hAnsi="Cambria" w:cstheme="minorHAnsi"/>
          <w:spacing w:val="-1"/>
        </w:rPr>
        <w:t>h</w:t>
      </w:r>
      <w:r w:rsidRPr="009A0DA6">
        <w:rPr>
          <w:rFonts w:ascii="Cambria" w:eastAsia="Times New Roman" w:hAnsi="Cambria" w:cstheme="minorHAnsi"/>
        </w:rPr>
        <w:t>at</w:t>
      </w:r>
      <w:r w:rsidRPr="009A0DA6">
        <w:rPr>
          <w:rFonts w:ascii="Cambria" w:eastAsia="Times New Roman" w:hAnsi="Cambria" w:cstheme="minorHAnsi"/>
          <w:spacing w:val="2"/>
        </w:rPr>
        <w:t xml:space="preserve"> </w:t>
      </w:r>
      <w:r w:rsidRPr="009A0DA6">
        <w:rPr>
          <w:rFonts w:ascii="Cambria" w:eastAsia="Times New Roman" w:hAnsi="Cambria" w:cstheme="minorHAnsi"/>
          <w:spacing w:val="-2"/>
        </w:rPr>
        <w:t>w</w:t>
      </w:r>
      <w:r w:rsidRPr="009A0DA6">
        <w:rPr>
          <w:rFonts w:ascii="Cambria" w:eastAsia="Times New Roman" w:hAnsi="Cambria" w:cstheme="minorHAnsi"/>
          <w:spacing w:val="4"/>
        </w:rPr>
        <w:t>o</w:t>
      </w:r>
      <w:r w:rsidRPr="009A0DA6">
        <w:rPr>
          <w:rFonts w:ascii="Cambria" w:eastAsia="Times New Roman" w:hAnsi="Cambria" w:cstheme="minorHAnsi"/>
          <w:spacing w:val="-1"/>
        </w:rPr>
        <w:t>u</w:t>
      </w:r>
      <w:r w:rsidRPr="009A0DA6">
        <w:rPr>
          <w:rFonts w:ascii="Cambria" w:eastAsia="Times New Roman" w:hAnsi="Cambria" w:cstheme="minorHAnsi"/>
        </w:rPr>
        <w:t>ld</w:t>
      </w:r>
      <w:r w:rsidRPr="009A0DA6">
        <w:rPr>
          <w:rFonts w:ascii="Cambria" w:eastAsia="Times New Roman" w:hAnsi="Cambria" w:cstheme="minorHAnsi"/>
          <w:spacing w:val="-1"/>
        </w:rPr>
        <w:t xml:space="preserve"> </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1"/>
        </w:rPr>
        <w:t>q</w:t>
      </w:r>
      <w:r w:rsidRPr="009A0DA6">
        <w:rPr>
          <w:rFonts w:ascii="Cambria" w:eastAsia="Times New Roman" w:hAnsi="Cambria" w:cstheme="minorHAnsi"/>
          <w:spacing w:val="-1"/>
        </w:rPr>
        <w:t>u</w:t>
      </w:r>
      <w:r w:rsidRPr="009A0DA6">
        <w:rPr>
          <w:rFonts w:ascii="Cambria" w:eastAsia="Times New Roman" w:hAnsi="Cambria" w:cstheme="minorHAnsi"/>
        </w:rPr>
        <w:t>i</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3"/>
        </w:rPr>
        <w:t xml:space="preserve"> </w:t>
      </w:r>
      <w:r w:rsidRPr="009A0DA6">
        <w:rPr>
          <w:rFonts w:ascii="Cambria" w:eastAsia="Times New Roman" w:hAnsi="Cambria" w:cstheme="minorHAnsi"/>
        </w:rPr>
        <w:t>it</w:t>
      </w:r>
      <w:r w:rsidRPr="009A0DA6">
        <w:rPr>
          <w:rFonts w:ascii="Cambria" w:eastAsia="Times New Roman" w:hAnsi="Cambria" w:cstheme="minorHAnsi"/>
          <w:spacing w:val="2"/>
        </w:rPr>
        <w:t xml:space="preserve"> </w:t>
      </w:r>
      <w:r w:rsidRPr="009A0DA6">
        <w:rPr>
          <w:rFonts w:ascii="Cambria" w:eastAsia="Times New Roman" w:hAnsi="Cambria" w:cstheme="minorHAnsi"/>
        </w:rPr>
        <w:t xml:space="preserve">to </w:t>
      </w:r>
      <w:r w:rsidRPr="009A0DA6">
        <w:rPr>
          <w:rFonts w:ascii="Cambria" w:eastAsia="Times New Roman" w:hAnsi="Cambria" w:cstheme="minorHAnsi"/>
          <w:spacing w:val="-1"/>
        </w:rPr>
        <w:t>m</w:t>
      </w:r>
      <w:r w:rsidRPr="009A0DA6">
        <w:rPr>
          <w:rFonts w:ascii="Cambria" w:eastAsia="Times New Roman" w:hAnsi="Cambria" w:cstheme="minorHAnsi"/>
        </w:rPr>
        <w:t>eet</w:t>
      </w:r>
      <w:r w:rsidRPr="009A0DA6">
        <w:rPr>
          <w:rFonts w:ascii="Cambria" w:eastAsia="Times New Roman" w:hAnsi="Cambria" w:cstheme="minorHAnsi"/>
          <w:spacing w:val="47"/>
        </w:rPr>
        <w:t xml:space="preserve"> </w:t>
      </w:r>
      <w:r w:rsidRPr="009A0DA6">
        <w:rPr>
          <w:rFonts w:ascii="Cambria" w:eastAsia="Times New Roman" w:hAnsi="Cambria" w:cstheme="minorHAnsi"/>
          <w:spacing w:val="3"/>
        </w:rPr>
        <w:t>a</w:t>
      </w:r>
      <w:r w:rsidRPr="009A0DA6">
        <w:rPr>
          <w:rFonts w:ascii="Cambria" w:eastAsia="Times New Roman" w:hAnsi="Cambria" w:cstheme="minorHAnsi"/>
          <w:spacing w:val="1"/>
        </w:rPr>
        <w:t>n</w:t>
      </w:r>
      <w:r w:rsidRPr="009A0DA6">
        <w:rPr>
          <w:rFonts w:ascii="Cambria" w:eastAsia="Times New Roman" w:hAnsi="Cambria" w:cstheme="minorHAnsi"/>
        </w:rPr>
        <w:t>y</w:t>
      </w:r>
      <w:r w:rsidRPr="009A0DA6">
        <w:rPr>
          <w:rFonts w:ascii="Cambria" w:eastAsia="Times New Roman" w:hAnsi="Cambria" w:cstheme="minorHAnsi"/>
          <w:spacing w:val="47"/>
        </w:rPr>
        <w:t xml:space="preserve"> </w:t>
      </w:r>
      <w:r w:rsidRPr="009A0DA6">
        <w:rPr>
          <w:rFonts w:ascii="Cambria" w:eastAsia="Times New Roman" w:hAnsi="Cambria" w:cstheme="minorHAnsi"/>
          <w:spacing w:val="-1"/>
        </w:rPr>
        <w:t>m</w:t>
      </w:r>
      <w:r w:rsidRPr="009A0DA6">
        <w:rPr>
          <w:rFonts w:ascii="Cambria" w:eastAsia="Times New Roman" w:hAnsi="Cambria" w:cstheme="minorHAnsi"/>
        </w:rPr>
        <w:t>ate</w:t>
      </w:r>
      <w:r w:rsidRPr="009A0DA6">
        <w:rPr>
          <w:rFonts w:ascii="Cambria" w:eastAsia="Times New Roman" w:hAnsi="Cambria" w:cstheme="minorHAnsi"/>
          <w:spacing w:val="1"/>
        </w:rPr>
        <w:t>r</w:t>
      </w:r>
      <w:r w:rsidRPr="009A0DA6">
        <w:rPr>
          <w:rFonts w:ascii="Cambria" w:eastAsia="Times New Roman" w:hAnsi="Cambria" w:cstheme="minorHAnsi"/>
        </w:rPr>
        <w:t>ial</w:t>
      </w:r>
      <w:r w:rsidRPr="009A0DA6">
        <w:rPr>
          <w:rFonts w:ascii="Cambria" w:eastAsia="Times New Roman" w:hAnsi="Cambria" w:cstheme="minorHAnsi"/>
          <w:spacing w:val="46"/>
        </w:rPr>
        <w:t xml:space="preserve"> </w:t>
      </w:r>
      <w:r w:rsidRPr="009A0DA6">
        <w:rPr>
          <w:rFonts w:ascii="Cambria" w:eastAsia="Times New Roman" w:hAnsi="Cambria" w:cstheme="minorHAnsi"/>
        </w:rPr>
        <w:t>lia</w:t>
      </w:r>
      <w:r w:rsidRPr="009A0DA6">
        <w:rPr>
          <w:rFonts w:ascii="Cambria" w:eastAsia="Times New Roman" w:hAnsi="Cambria" w:cstheme="minorHAnsi"/>
          <w:spacing w:val="1"/>
        </w:rPr>
        <w:t>b</w:t>
      </w:r>
      <w:r w:rsidRPr="009A0DA6">
        <w:rPr>
          <w:rFonts w:ascii="Cambria" w:eastAsia="Times New Roman" w:hAnsi="Cambria" w:cstheme="minorHAnsi"/>
        </w:rPr>
        <w:t>ili</w:t>
      </w:r>
      <w:r w:rsidRPr="009A0DA6">
        <w:rPr>
          <w:rFonts w:ascii="Cambria" w:eastAsia="Times New Roman" w:hAnsi="Cambria" w:cstheme="minorHAnsi"/>
          <w:spacing w:val="2"/>
        </w:rPr>
        <w:t>t</w:t>
      </w:r>
      <w:r w:rsidRPr="009A0DA6">
        <w:rPr>
          <w:rFonts w:ascii="Cambria" w:eastAsia="Times New Roman" w:hAnsi="Cambria" w:cstheme="minorHAnsi"/>
        </w:rPr>
        <w:t>y</w:t>
      </w:r>
      <w:r w:rsidRPr="009A0DA6">
        <w:rPr>
          <w:rFonts w:ascii="Cambria" w:eastAsia="Times New Roman" w:hAnsi="Cambria" w:cstheme="minorHAnsi"/>
          <w:spacing w:val="44"/>
        </w:rPr>
        <w:t xml:space="preserve"> </w:t>
      </w:r>
      <w:r w:rsidRPr="009A0DA6">
        <w:rPr>
          <w:rFonts w:ascii="Cambria" w:eastAsia="Times New Roman" w:hAnsi="Cambria" w:cstheme="minorHAnsi"/>
          <w:spacing w:val="2"/>
        </w:rPr>
        <w:t>t</w:t>
      </w:r>
      <w:r w:rsidRPr="009A0DA6">
        <w:rPr>
          <w:rFonts w:ascii="Cambria" w:eastAsia="Times New Roman" w:hAnsi="Cambria" w:cstheme="minorHAnsi"/>
        </w:rPr>
        <w:t>o t</w:t>
      </w:r>
      <w:r w:rsidRPr="009A0DA6">
        <w:rPr>
          <w:rFonts w:ascii="Cambria" w:eastAsia="Times New Roman" w:hAnsi="Cambria" w:cstheme="minorHAnsi"/>
          <w:spacing w:val="-1"/>
        </w:rPr>
        <w:t>h</w:t>
      </w:r>
      <w:r w:rsidRPr="009A0DA6">
        <w:rPr>
          <w:rFonts w:ascii="Cambria" w:eastAsia="Times New Roman" w:hAnsi="Cambria" w:cstheme="minorHAnsi"/>
        </w:rPr>
        <w:t xml:space="preserve">e </w:t>
      </w:r>
      <w:r w:rsidRPr="009A0DA6">
        <w:rPr>
          <w:rFonts w:ascii="Cambria" w:eastAsia="Times New Roman" w:hAnsi="Cambria" w:cstheme="minorHAnsi"/>
          <w:spacing w:val="-2"/>
        </w:rPr>
        <w:t>L</w:t>
      </w:r>
      <w:r w:rsidRPr="009A0DA6">
        <w:rPr>
          <w:rFonts w:ascii="Cambria" w:eastAsia="Times New Roman" w:hAnsi="Cambria" w:cstheme="minorHAnsi"/>
          <w:spacing w:val="1"/>
        </w:rPr>
        <w:t>L</w:t>
      </w:r>
      <w:r w:rsidRPr="009A0DA6">
        <w:rPr>
          <w:rFonts w:ascii="Cambria" w:eastAsia="Times New Roman" w:hAnsi="Cambria" w:cstheme="minorHAnsi"/>
        </w:rPr>
        <w:t>L</w:t>
      </w:r>
      <w:r w:rsidRPr="009A0DA6">
        <w:rPr>
          <w:rFonts w:ascii="Cambria" w:eastAsia="Times New Roman" w:hAnsi="Cambria" w:cstheme="minorHAnsi"/>
          <w:spacing w:val="48"/>
        </w:rPr>
        <w:t xml:space="preserve"> </w:t>
      </w:r>
      <w:r w:rsidRPr="009A0DA6">
        <w:rPr>
          <w:rFonts w:ascii="Cambria" w:eastAsia="Times New Roman" w:hAnsi="Cambria" w:cstheme="minorHAnsi"/>
          <w:spacing w:val="1"/>
        </w:rPr>
        <w:t>u</w:t>
      </w:r>
      <w:r w:rsidRPr="009A0DA6">
        <w:rPr>
          <w:rFonts w:ascii="Cambria" w:eastAsia="Times New Roman" w:hAnsi="Cambria" w:cstheme="minorHAnsi"/>
          <w:spacing w:val="-1"/>
        </w:rPr>
        <w:t>n</w:t>
      </w:r>
      <w:r w:rsidRPr="009A0DA6">
        <w:rPr>
          <w:rFonts w:ascii="Cambria" w:eastAsia="Times New Roman" w:hAnsi="Cambria" w:cstheme="minorHAnsi"/>
          <w:spacing w:val="1"/>
        </w:rPr>
        <w:t>d</w:t>
      </w:r>
      <w:r w:rsidRPr="009A0DA6">
        <w:rPr>
          <w:rFonts w:ascii="Cambria" w:eastAsia="Times New Roman" w:hAnsi="Cambria" w:cstheme="minorHAnsi"/>
        </w:rPr>
        <w:t>er</w:t>
      </w:r>
      <w:r w:rsidRPr="009A0DA6">
        <w:rPr>
          <w:rFonts w:ascii="Cambria" w:eastAsia="Times New Roman" w:hAnsi="Cambria" w:cstheme="minorHAnsi"/>
          <w:spacing w:val="47"/>
        </w:rPr>
        <w:t xml:space="preserve"> </w:t>
      </w:r>
      <w:r w:rsidRPr="009A0DA6">
        <w:rPr>
          <w:rFonts w:ascii="Cambria" w:eastAsia="Times New Roman" w:hAnsi="Cambria" w:cstheme="minorHAnsi"/>
        </w:rPr>
        <w:t xml:space="preserve">its </w:t>
      </w:r>
      <w:r w:rsidRPr="009A0DA6">
        <w:rPr>
          <w:rFonts w:ascii="Cambria" w:eastAsia="Times New Roman" w:hAnsi="Cambria" w:cstheme="minorHAnsi"/>
          <w:spacing w:val="-1"/>
        </w:rPr>
        <w:t>gu</w:t>
      </w:r>
      <w:r w:rsidRPr="009A0DA6">
        <w:rPr>
          <w:rFonts w:ascii="Cambria" w:eastAsia="Times New Roman" w:hAnsi="Cambria" w:cstheme="minorHAnsi"/>
        </w:rPr>
        <w:t>a</w:t>
      </w:r>
      <w:r w:rsidRPr="009A0DA6">
        <w:rPr>
          <w:rFonts w:ascii="Cambria" w:eastAsia="Times New Roman" w:hAnsi="Cambria" w:cstheme="minorHAnsi"/>
          <w:spacing w:val="1"/>
        </w:rPr>
        <w:t>r</w:t>
      </w:r>
      <w:r w:rsidRPr="009A0DA6">
        <w:rPr>
          <w:rFonts w:ascii="Cambria" w:eastAsia="Times New Roman" w:hAnsi="Cambria" w:cstheme="minorHAnsi"/>
          <w:spacing w:val="3"/>
        </w:rPr>
        <w:t>a</w:t>
      </w:r>
      <w:r w:rsidRPr="009A0DA6">
        <w:rPr>
          <w:rFonts w:ascii="Cambria" w:eastAsia="Times New Roman" w:hAnsi="Cambria" w:cstheme="minorHAnsi"/>
          <w:spacing w:val="1"/>
        </w:rPr>
        <w:t>n</w:t>
      </w:r>
      <w:r w:rsidRPr="009A0DA6">
        <w:rPr>
          <w:rFonts w:ascii="Cambria" w:eastAsia="Times New Roman" w:hAnsi="Cambria" w:cstheme="minorHAnsi"/>
        </w:rPr>
        <w:t>tee</w:t>
      </w:r>
      <w:r w:rsidRPr="009A0DA6">
        <w:rPr>
          <w:rFonts w:ascii="Cambria" w:eastAsia="Times New Roman" w:hAnsi="Cambria" w:cstheme="minorHAnsi"/>
          <w:spacing w:val="43"/>
        </w:rPr>
        <w:t xml:space="preserve"> </w:t>
      </w:r>
      <w:r w:rsidRPr="009A0DA6">
        <w:rPr>
          <w:rFonts w:ascii="Cambria" w:eastAsia="Times New Roman" w:hAnsi="Cambria" w:cstheme="minorHAnsi"/>
          <w:spacing w:val="1"/>
        </w:rPr>
        <w:t>o</w:t>
      </w:r>
      <w:r w:rsidRPr="009A0DA6">
        <w:rPr>
          <w:rFonts w:ascii="Cambria" w:eastAsia="Times New Roman" w:hAnsi="Cambria" w:cstheme="minorHAnsi"/>
        </w:rPr>
        <w:t>f</w:t>
      </w:r>
      <w:r w:rsidRPr="009A0DA6">
        <w:rPr>
          <w:rFonts w:ascii="Cambria" w:eastAsia="Times New Roman" w:hAnsi="Cambria" w:cstheme="minorHAnsi"/>
          <w:spacing w:val="47"/>
        </w:rPr>
        <w:t xml:space="preserve"> </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1"/>
        </w:rPr>
        <w:t>p</w:t>
      </w:r>
      <w:r w:rsidRPr="009A0DA6">
        <w:rPr>
          <w:rFonts w:ascii="Cambria" w:eastAsia="Times New Roman" w:hAnsi="Cambria" w:cstheme="minorHAnsi"/>
          <w:spacing w:val="3"/>
        </w:rPr>
        <w:t>a</w:t>
      </w:r>
      <w:r w:rsidRPr="009A0DA6">
        <w:rPr>
          <w:rFonts w:ascii="Cambria" w:eastAsia="Times New Roman" w:hAnsi="Cambria" w:cstheme="minorHAnsi"/>
          <w:spacing w:val="-1"/>
        </w:rPr>
        <w:t>ym</w:t>
      </w:r>
      <w:r w:rsidRPr="009A0DA6">
        <w:rPr>
          <w:rFonts w:ascii="Cambria" w:eastAsia="Times New Roman" w:hAnsi="Cambria" w:cstheme="minorHAnsi"/>
        </w:rPr>
        <w:t>e</w:t>
      </w:r>
      <w:r w:rsidRPr="009A0DA6">
        <w:rPr>
          <w:rFonts w:ascii="Cambria" w:eastAsia="Times New Roman" w:hAnsi="Cambria" w:cstheme="minorHAnsi"/>
          <w:spacing w:val="-1"/>
        </w:rPr>
        <w:t>n</w:t>
      </w:r>
      <w:r w:rsidRPr="009A0DA6">
        <w:rPr>
          <w:rFonts w:ascii="Cambria" w:eastAsia="Times New Roman" w:hAnsi="Cambria" w:cstheme="minorHAnsi"/>
        </w:rPr>
        <w:t>t</w:t>
      </w:r>
      <w:r w:rsidRPr="009A0DA6">
        <w:rPr>
          <w:rFonts w:ascii="Cambria" w:eastAsia="Times New Roman" w:hAnsi="Cambria" w:cstheme="minorHAnsi"/>
          <w:spacing w:val="45"/>
        </w:rPr>
        <w:t xml:space="preserve"> </w:t>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spacing w:val="49"/>
        </w:rPr>
        <w:t xml:space="preserve"> </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spacing w:val="1"/>
        </w:rPr>
        <w:t>d</w:t>
      </w:r>
      <w:r w:rsidRPr="009A0DA6">
        <w:rPr>
          <w:rFonts w:ascii="Cambria" w:eastAsia="Times New Roman" w:hAnsi="Cambria" w:cstheme="minorHAnsi"/>
          <w:spacing w:val="3"/>
        </w:rPr>
        <w:t>e</w:t>
      </w:r>
      <w:r w:rsidRPr="009A0DA6">
        <w:rPr>
          <w:rFonts w:ascii="Cambria" w:eastAsia="Times New Roman" w:hAnsi="Cambria" w:cstheme="minorHAnsi"/>
          <w:spacing w:val="-1"/>
        </w:rPr>
        <w:t>mn</w:t>
      </w:r>
      <w:r w:rsidRPr="009A0DA6">
        <w:rPr>
          <w:rFonts w:ascii="Cambria" w:eastAsia="Times New Roman" w:hAnsi="Cambria" w:cstheme="minorHAnsi"/>
        </w:rPr>
        <w:t>i</w:t>
      </w:r>
      <w:r w:rsidRPr="009A0DA6">
        <w:rPr>
          <w:rFonts w:ascii="Cambria" w:eastAsia="Times New Roman" w:hAnsi="Cambria" w:cstheme="minorHAnsi"/>
          <w:spacing w:val="2"/>
        </w:rPr>
        <w:t>t</w:t>
      </w:r>
      <w:r w:rsidRPr="009A0DA6">
        <w:rPr>
          <w:rFonts w:ascii="Cambria" w:eastAsia="Times New Roman" w:hAnsi="Cambria" w:cstheme="minorHAnsi"/>
        </w:rPr>
        <w:t>y</w:t>
      </w:r>
      <w:r w:rsidRPr="009A0DA6">
        <w:rPr>
          <w:rFonts w:ascii="Cambria" w:eastAsia="Times New Roman" w:hAnsi="Cambria" w:cstheme="minorHAnsi"/>
          <w:spacing w:val="42"/>
        </w:rPr>
        <w:t xml:space="preserve"> </w:t>
      </w:r>
      <w:r w:rsidRPr="009A0DA6">
        <w:rPr>
          <w:rFonts w:ascii="Cambria" w:eastAsia="Times New Roman" w:hAnsi="Cambria" w:cstheme="minorHAnsi"/>
        </w:rPr>
        <w:t>a</w:t>
      </w:r>
      <w:r w:rsidRPr="009A0DA6">
        <w:rPr>
          <w:rFonts w:ascii="Cambria" w:eastAsia="Times New Roman" w:hAnsi="Cambria" w:cstheme="minorHAnsi"/>
          <w:spacing w:val="-1"/>
        </w:rPr>
        <w:t>g</w:t>
      </w:r>
      <w:r w:rsidRPr="009A0DA6">
        <w:rPr>
          <w:rFonts w:ascii="Cambria" w:eastAsia="Times New Roman" w:hAnsi="Cambria" w:cstheme="minorHAnsi"/>
          <w:spacing w:val="3"/>
        </w:rPr>
        <w:t>a</w:t>
      </w:r>
      <w:r w:rsidRPr="009A0DA6">
        <w:rPr>
          <w:rFonts w:ascii="Cambria" w:eastAsia="Times New Roman" w:hAnsi="Cambria" w:cstheme="minorHAnsi"/>
        </w:rPr>
        <w:t>i</w:t>
      </w:r>
      <w:r w:rsidRPr="009A0DA6">
        <w:rPr>
          <w:rFonts w:ascii="Cambria" w:eastAsia="Times New Roman" w:hAnsi="Cambria" w:cstheme="minorHAnsi"/>
          <w:spacing w:val="1"/>
        </w:rPr>
        <w:t>n</w:t>
      </w:r>
      <w:r w:rsidRPr="009A0DA6">
        <w:rPr>
          <w:rFonts w:ascii="Cambria" w:eastAsia="Times New Roman" w:hAnsi="Cambria" w:cstheme="minorHAnsi"/>
          <w:spacing w:val="-1"/>
        </w:rPr>
        <w:t>s</w:t>
      </w:r>
      <w:r w:rsidRPr="009A0DA6">
        <w:rPr>
          <w:rFonts w:ascii="Cambria" w:eastAsia="Times New Roman" w:hAnsi="Cambria" w:cstheme="minorHAnsi"/>
        </w:rPr>
        <w:t>t</w:t>
      </w:r>
      <w:r w:rsidRPr="009A0DA6">
        <w:rPr>
          <w:rFonts w:ascii="Cambria" w:eastAsia="Times New Roman" w:hAnsi="Cambria" w:cstheme="minorHAnsi"/>
          <w:spacing w:val="45"/>
        </w:rPr>
        <w:t xml:space="preserve"> </w:t>
      </w:r>
      <w:r w:rsidRPr="009A0DA6">
        <w:rPr>
          <w:rFonts w:ascii="Cambria" w:eastAsia="Times New Roman" w:hAnsi="Cambria" w:cstheme="minorHAnsi"/>
        </w:rPr>
        <w:t>l</w:t>
      </w:r>
      <w:r w:rsidRPr="009A0DA6">
        <w:rPr>
          <w:rFonts w:ascii="Cambria" w:eastAsia="Times New Roman" w:hAnsi="Cambria" w:cstheme="minorHAnsi"/>
          <w:spacing w:val="1"/>
        </w:rPr>
        <w:t>o</w:t>
      </w:r>
      <w:r w:rsidRPr="009A0DA6">
        <w:rPr>
          <w:rFonts w:ascii="Cambria" w:eastAsia="Times New Roman" w:hAnsi="Cambria" w:cstheme="minorHAnsi"/>
          <w:spacing w:val="2"/>
        </w:rPr>
        <w:t>s</w:t>
      </w:r>
      <w:r w:rsidRPr="009A0DA6">
        <w:rPr>
          <w:rFonts w:ascii="Cambria" w:eastAsia="Times New Roman" w:hAnsi="Cambria" w:cstheme="minorHAnsi"/>
        </w:rPr>
        <w:t xml:space="preserve">s </w:t>
      </w:r>
      <w:r w:rsidRPr="009A0DA6">
        <w:rPr>
          <w:rFonts w:ascii="Cambria" w:eastAsia="Times New Roman" w:hAnsi="Cambria" w:cstheme="minorHAnsi"/>
          <w:spacing w:val="1"/>
        </w:rPr>
        <w:t>pro</w:t>
      </w:r>
      <w:r w:rsidRPr="009A0DA6">
        <w:rPr>
          <w:rFonts w:ascii="Cambria" w:eastAsia="Times New Roman" w:hAnsi="Cambria" w:cstheme="minorHAnsi"/>
          <w:spacing w:val="-1"/>
        </w:rPr>
        <w:t>v</w:t>
      </w:r>
      <w:r w:rsidRPr="009A0DA6">
        <w:rPr>
          <w:rFonts w:ascii="Cambria" w:eastAsia="Times New Roman" w:hAnsi="Cambria" w:cstheme="minorHAnsi"/>
        </w:rPr>
        <w:t>i</w:t>
      </w:r>
      <w:r w:rsidRPr="009A0DA6">
        <w:rPr>
          <w:rFonts w:ascii="Cambria" w:eastAsia="Times New Roman" w:hAnsi="Cambria" w:cstheme="minorHAnsi"/>
          <w:spacing w:val="1"/>
        </w:rPr>
        <w:t>d</w:t>
      </w:r>
      <w:r w:rsidRPr="009A0DA6">
        <w:rPr>
          <w:rFonts w:ascii="Cambria" w:eastAsia="Times New Roman" w:hAnsi="Cambria" w:cstheme="minorHAnsi"/>
        </w:rPr>
        <w:t>e</w:t>
      </w:r>
      <w:r w:rsidRPr="009A0DA6">
        <w:rPr>
          <w:rFonts w:ascii="Cambria" w:eastAsia="Times New Roman" w:hAnsi="Cambria" w:cstheme="minorHAnsi"/>
          <w:spacing w:val="1"/>
        </w:rPr>
        <w:t>d</w:t>
      </w:r>
      <w:r w:rsidRPr="009A0DA6">
        <w:rPr>
          <w:rFonts w:ascii="Cambria" w:eastAsia="Times New Roman" w:hAnsi="Cambria" w:cstheme="minorHAnsi"/>
        </w:rPr>
        <w:t>.</w:t>
      </w:r>
    </w:p>
    <w:p w14:paraId="6220FF86" w14:textId="215807EC" w:rsidR="00BA4592" w:rsidRPr="009A0DA6" w:rsidRDefault="00B81951" w:rsidP="00BA4592">
      <w:pPr>
        <w:spacing w:before="120" w:after="120" w:line="240" w:lineRule="auto"/>
        <w:ind w:right="-51"/>
        <w:contextualSpacing/>
        <w:rPr>
          <w:rFonts w:ascii="Cambria" w:eastAsiaTheme="minorEastAsia" w:hAnsi="Cambria" w:cstheme="minorHAnsi"/>
        </w:rPr>
      </w:pPr>
      <w:r w:rsidRPr="00491DC4">
        <w:rPr>
          <w:rFonts w:ascii="Cambria" w:eastAsia="Times New Roman" w:hAnsi="Cambria" w:cstheme="minorHAnsi"/>
          <w:spacing w:val="3"/>
          <w:sz w:val="12"/>
        </w:rPr>
        <w:br/>
      </w:r>
      <w:r w:rsidR="00BA4592" w:rsidRPr="009A0DA6">
        <w:rPr>
          <w:rFonts w:ascii="Cambria" w:eastAsia="Times New Roman" w:hAnsi="Cambria" w:cstheme="minorHAnsi"/>
          <w:spacing w:val="3"/>
        </w:rPr>
        <w:t>T</w:t>
      </w:r>
      <w:r w:rsidR="00BA4592" w:rsidRPr="009A0DA6">
        <w:rPr>
          <w:rFonts w:ascii="Cambria" w:eastAsia="Times New Roman" w:hAnsi="Cambria" w:cstheme="minorHAnsi"/>
          <w:spacing w:val="-1"/>
        </w:rPr>
        <w:t>h</w:t>
      </w:r>
      <w:r w:rsidR="00BA4592" w:rsidRPr="009A0DA6">
        <w:rPr>
          <w:rFonts w:ascii="Cambria" w:eastAsia="Times New Roman" w:hAnsi="Cambria" w:cstheme="minorHAnsi"/>
        </w:rPr>
        <w:t>e</w:t>
      </w:r>
      <w:r w:rsidR="00BA4592" w:rsidRPr="009A0DA6">
        <w:rPr>
          <w:rFonts w:ascii="Cambria" w:eastAsia="Times New Roman" w:hAnsi="Cambria" w:cstheme="minorHAnsi"/>
          <w:spacing w:val="7"/>
        </w:rPr>
        <w:t xml:space="preserve"> </w:t>
      </w:r>
      <w:r w:rsidR="00BA4592" w:rsidRPr="009A0DA6">
        <w:rPr>
          <w:rFonts w:ascii="Cambria" w:eastAsia="Times New Roman" w:hAnsi="Cambria" w:cstheme="minorHAnsi"/>
          <w:spacing w:val="-2"/>
        </w:rPr>
        <w:t>L</w:t>
      </w:r>
      <w:r w:rsidR="00BA4592" w:rsidRPr="009A0DA6">
        <w:rPr>
          <w:rFonts w:ascii="Cambria" w:eastAsia="Times New Roman" w:hAnsi="Cambria" w:cstheme="minorHAnsi"/>
          <w:spacing w:val="2"/>
        </w:rPr>
        <w:t>C</w:t>
      </w:r>
      <w:r w:rsidR="00BA4592" w:rsidRPr="009A0DA6">
        <w:rPr>
          <w:rFonts w:ascii="Cambria" w:eastAsia="Times New Roman" w:hAnsi="Cambria" w:cstheme="minorHAnsi"/>
        </w:rPr>
        <w:t>A</w:t>
      </w:r>
      <w:r w:rsidR="00BA4592" w:rsidRPr="009A0DA6">
        <w:rPr>
          <w:rFonts w:ascii="Cambria" w:eastAsia="Times New Roman" w:hAnsi="Cambria" w:cstheme="minorHAnsi"/>
          <w:spacing w:val="4"/>
        </w:rPr>
        <w:t xml:space="preserve"> </w:t>
      </w:r>
      <w:r w:rsidR="00BA4592" w:rsidRPr="009A0DA6">
        <w:rPr>
          <w:rFonts w:ascii="Cambria" w:eastAsia="Times New Roman" w:hAnsi="Cambria" w:cstheme="minorHAnsi"/>
        </w:rPr>
        <w:t>a</w:t>
      </w:r>
      <w:r w:rsidR="00BA4592" w:rsidRPr="009A0DA6">
        <w:rPr>
          <w:rFonts w:ascii="Cambria" w:eastAsia="Times New Roman" w:hAnsi="Cambria" w:cstheme="minorHAnsi"/>
          <w:spacing w:val="2"/>
        </w:rPr>
        <w:t>l</w:t>
      </w:r>
      <w:r w:rsidR="00BA4592" w:rsidRPr="009A0DA6">
        <w:rPr>
          <w:rFonts w:ascii="Cambria" w:eastAsia="Times New Roman" w:hAnsi="Cambria" w:cstheme="minorHAnsi"/>
          <w:spacing w:val="-1"/>
        </w:rPr>
        <w:t>s</w:t>
      </w:r>
      <w:r w:rsidR="00BA4592" w:rsidRPr="009A0DA6">
        <w:rPr>
          <w:rFonts w:ascii="Cambria" w:eastAsia="Times New Roman" w:hAnsi="Cambria" w:cstheme="minorHAnsi"/>
        </w:rPr>
        <w:t>o</w:t>
      </w:r>
      <w:r w:rsidR="00BA4592" w:rsidRPr="009A0DA6">
        <w:rPr>
          <w:rFonts w:ascii="Cambria" w:eastAsia="Times New Roman" w:hAnsi="Cambria" w:cstheme="minorHAnsi"/>
          <w:spacing w:val="8"/>
        </w:rPr>
        <w:t xml:space="preserve"> </w:t>
      </w:r>
      <w:r w:rsidR="00BA4592" w:rsidRPr="009A0DA6">
        <w:rPr>
          <w:rFonts w:ascii="Cambria" w:eastAsia="Times New Roman" w:hAnsi="Cambria" w:cstheme="minorHAnsi"/>
        </w:rPr>
        <w:t>acts</w:t>
      </w:r>
      <w:r w:rsidR="00BA4592" w:rsidRPr="009A0DA6">
        <w:rPr>
          <w:rFonts w:ascii="Cambria" w:eastAsia="Times New Roman" w:hAnsi="Cambria" w:cstheme="minorHAnsi"/>
          <w:spacing w:val="6"/>
        </w:rPr>
        <w:t xml:space="preserve"> </w:t>
      </w:r>
      <w:r w:rsidR="00BA4592" w:rsidRPr="009A0DA6">
        <w:rPr>
          <w:rFonts w:ascii="Cambria" w:eastAsia="Times New Roman" w:hAnsi="Cambria" w:cstheme="minorHAnsi"/>
        </w:rPr>
        <w:t>as</w:t>
      </w:r>
      <w:r w:rsidR="00BA4592" w:rsidRPr="009A0DA6">
        <w:rPr>
          <w:rFonts w:ascii="Cambria" w:eastAsia="Times New Roman" w:hAnsi="Cambria" w:cstheme="minorHAnsi"/>
          <w:spacing w:val="10"/>
        </w:rPr>
        <w:t xml:space="preserve"> </w:t>
      </w:r>
      <w:r w:rsidR="00BA4592" w:rsidRPr="009A0DA6">
        <w:rPr>
          <w:rFonts w:ascii="Cambria" w:eastAsia="Times New Roman" w:hAnsi="Cambria" w:cstheme="minorHAnsi"/>
          <w:spacing w:val="-1"/>
        </w:rPr>
        <w:t>gu</w:t>
      </w:r>
      <w:r w:rsidR="00BA4592" w:rsidRPr="009A0DA6">
        <w:rPr>
          <w:rFonts w:ascii="Cambria" w:eastAsia="Times New Roman" w:hAnsi="Cambria" w:cstheme="minorHAnsi"/>
        </w:rPr>
        <w:t>a</w:t>
      </w:r>
      <w:r w:rsidR="00BA4592" w:rsidRPr="009A0DA6">
        <w:rPr>
          <w:rFonts w:ascii="Cambria" w:eastAsia="Times New Roman" w:hAnsi="Cambria" w:cstheme="minorHAnsi"/>
          <w:spacing w:val="1"/>
        </w:rPr>
        <w:t>r</w:t>
      </w:r>
      <w:r w:rsidR="00BA4592" w:rsidRPr="009A0DA6">
        <w:rPr>
          <w:rFonts w:ascii="Cambria" w:eastAsia="Times New Roman" w:hAnsi="Cambria" w:cstheme="minorHAnsi"/>
          <w:spacing w:val="3"/>
        </w:rPr>
        <w:t>a</w:t>
      </w:r>
      <w:r w:rsidR="00BA4592" w:rsidRPr="009A0DA6">
        <w:rPr>
          <w:rFonts w:ascii="Cambria" w:eastAsia="Times New Roman" w:hAnsi="Cambria" w:cstheme="minorHAnsi"/>
          <w:spacing w:val="-1"/>
        </w:rPr>
        <w:t>n</w:t>
      </w:r>
      <w:r w:rsidR="00BA4592" w:rsidRPr="009A0DA6">
        <w:rPr>
          <w:rFonts w:ascii="Cambria" w:eastAsia="Times New Roman" w:hAnsi="Cambria" w:cstheme="minorHAnsi"/>
        </w:rPr>
        <w:t>t</w:t>
      </w:r>
      <w:r w:rsidR="00BA4592" w:rsidRPr="009A0DA6">
        <w:rPr>
          <w:rFonts w:ascii="Cambria" w:eastAsia="Times New Roman" w:hAnsi="Cambria" w:cstheme="minorHAnsi"/>
          <w:spacing w:val="1"/>
        </w:rPr>
        <w:t>o</w:t>
      </w:r>
      <w:r w:rsidR="00BA4592" w:rsidRPr="009A0DA6">
        <w:rPr>
          <w:rFonts w:ascii="Cambria" w:eastAsia="Times New Roman" w:hAnsi="Cambria" w:cstheme="minorHAnsi"/>
        </w:rPr>
        <w:t>r</w:t>
      </w:r>
      <w:r w:rsidR="00BA4592" w:rsidRPr="009A0DA6">
        <w:rPr>
          <w:rFonts w:ascii="Cambria" w:eastAsia="Times New Roman" w:hAnsi="Cambria" w:cstheme="minorHAnsi"/>
          <w:spacing w:val="3"/>
        </w:rPr>
        <w:t xml:space="preserve"> </w:t>
      </w:r>
      <w:r w:rsidR="00BA4592" w:rsidRPr="009A0DA6">
        <w:rPr>
          <w:rFonts w:ascii="Cambria" w:eastAsia="Times New Roman" w:hAnsi="Cambria" w:cstheme="minorHAnsi"/>
          <w:spacing w:val="-1"/>
        </w:rPr>
        <w:t>f</w:t>
      </w:r>
      <w:r w:rsidR="00BA4592" w:rsidRPr="009A0DA6">
        <w:rPr>
          <w:rFonts w:ascii="Cambria" w:eastAsia="Times New Roman" w:hAnsi="Cambria" w:cstheme="minorHAnsi"/>
          <w:spacing w:val="1"/>
        </w:rPr>
        <w:t>o</w:t>
      </w:r>
      <w:r w:rsidR="00BA4592" w:rsidRPr="009A0DA6">
        <w:rPr>
          <w:rFonts w:ascii="Cambria" w:eastAsia="Times New Roman" w:hAnsi="Cambria" w:cstheme="minorHAnsi"/>
        </w:rPr>
        <w:t>r</w:t>
      </w:r>
      <w:r w:rsidR="00BA4592" w:rsidRPr="009A0DA6">
        <w:rPr>
          <w:rFonts w:ascii="Cambria" w:eastAsia="Times New Roman" w:hAnsi="Cambria" w:cstheme="minorHAnsi"/>
          <w:spacing w:val="9"/>
        </w:rPr>
        <w:t xml:space="preserve"> </w:t>
      </w:r>
      <w:r w:rsidR="00BA4592" w:rsidRPr="009A0DA6">
        <w:rPr>
          <w:rFonts w:ascii="Cambria" w:eastAsia="Times New Roman" w:hAnsi="Cambria" w:cstheme="minorHAnsi"/>
        </w:rPr>
        <w:t>ce</w:t>
      </w:r>
      <w:r w:rsidR="00BA4592" w:rsidRPr="009A0DA6">
        <w:rPr>
          <w:rFonts w:ascii="Cambria" w:eastAsia="Times New Roman" w:hAnsi="Cambria" w:cstheme="minorHAnsi"/>
          <w:spacing w:val="1"/>
        </w:rPr>
        <w:t>r</w:t>
      </w:r>
      <w:r w:rsidR="00BA4592" w:rsidRPr="009A0DA6">
        <w:rPr>
          <w:rFonts w:ascii="Cambria" w:eastAsia="Times New Roman" w:hAnsi="Cambria" w:cstheme="minorHAnsi"/>
        </w:rPr>
        <w:t>tain</w:t>
      </w:r>
      <w:r w:rsidR="00BA4592" w:rsidRPr="009A0DA6">
        <w:rPr>
          <w:rFonts w:ascii="Cambria" w:eastAsia="Times New Roman" w:hAnsi="Cambria" w:cstheme="minorHAnsi"/>
          <w:spacing w:val="4"/>
        </w:rPr>
        <w:t xml:space="preserve"> </w:t>
      </w:r>
      <w:r w:rsidR="00BA4592" w:rsidRPr="009A0DA6">
        <w:rPr>
          <w:rFonts w:ascii="Cambria" w:eastAsia="Times New Roman" w:hAnsi="Cambria" w:cstheme="minorHAnsi"/>
          <w:spacing w:val="1"/>
        </w:rPr>
        <w:t>borr</w:t>
      </w:r>
      <w:r w:rsidR="00BA4592" w:rsidRPr="009A0DA6">
        <w:rPr>
          <w:rFonts w:ascii="Cambria" w:eastAsia="Times New Roman" w:hAnsi="Cambria" w:cstheme="minorHAnsi"/>
          <w:spacing w:val="4"/>
        </w:rPr>
        <w:t>o</w:t>
      </w:r>
      <w:r w:rsidR="00BA4592" w:rsidRPr="009A0DA6">
        <w:rPr>
          <w:rFonts w:ascii="Cambria" w:eastAsia="Times New Roman" w:hAnsi="Cambria" w:cstheme="minorHAnsi"/>
          <w:spacing w:val="-5"/>
        </w:rPr>
        <w:t>w</w:t>
      </w:r>
      <w:r w:rsidR="00BA4592" w:rsidRPr="009A0DA6">
        <w:rPr>
          <w:rFonts w:ascii="Cambria" w:eastAsia="Times New Roman" w:hAnsi="Cambria" w:cstheme="minorHAnsi"/>
        </w:rPr>
        <w:t>i</w:t>
      </w:r>
      <w:r w:rsidR="00BA4592" w:rsidRPr="009A0DA6">
        <w:rPr>
          <w:rFonts w:ascii="Cambria" w:eastAsia="Times New Roman" w:hAnsi="Cambria" w:cstheme="minorHAnsi"/>
          <w:spacing w:val="1"/>
        </w:rPr>
        <w:t>ng</w:t>
      </w:r>
      <w:r w:rsidR="00BA4592" w:rsidRPr="009A0DA6">
        <w:rPr>
          <w:rFonts w:ascii="Cambria" w:eastAsia="Times New Roman" w:hAnsi="Cambria" w:cstheme="minorHAnsi"/>
        </w:rPr>
        <w:t xml:space="preserve">s </w:t>
      </w:r>
      <w:r w:rsidR="00BA4592" w:rsidRPr="009A0DA6">
        <w:rPr>
          <w:rFonts w:ascii="Cambria" w:eastAsia="Times New Roman" w:hAnsi="Cambria" w:cstheme="minorHAnsi"/>
          <w:spacing w:val="1"/>
        </w:rPr>
        <w:t>o</w:t>
      </w:r>
      <w:r w:rsidR="00BA4592" w:rsidRPr="009A0DA6">
        <w:rPr>
          <w:rFonts w:ascii="Cambria" w:eastAsia="Times New Roman" w:hAnsi="Cambria" w:cstheme="minorHAnsi"/>
        </w:rPr>
        <w:t>f</w:t>
      </w:r>
      <w:r w:rsidR="00BA4592" w:rsidRPr="009A0DA6">
        <w:rPr>
          <w:rFonts w:ascii="Cambria" w:eastAsia="Times New Roman" w:hAnsi="Cambria" w:cstheme="minorHAnsi"/>
          <w:spacing w:val="7"/>
        </w:rPr>
        <w:t xml:space="preserve"> </w:t>
      </w:r>
      <w:r w:rsidR="00BA4592" w:rsidRPr="009A0DA6">
        <w:rPr>
          <w:rFonts w:ascii="Cambria" w:eastAsia="Times New Roman" w:hAnsi="Cambria" w:cstheme="minorHAnsi"/>
          <w:spacing w:val="1"/>
        </w:rPr>
        <w:t>L</w:t>
      </w:r>
      <w:r w:rsidR="00BA4592" w:rsidRPr="009A0DA6">
        <w:rPr>
          <w:rFonts w:ascii="Cambria" w:eastAsia="Times New Roman" w:hAnsi="Cambria" w:cstheme="minorHAnsi"/>
          <w:spacing w:val="-1"/>
        </w:rPr>
        <w:t>u</w:t>
      </w:r>
      <w:r w:rsidR="00BA4592" w:rsidRPr="009A0DA6">
        <w:rPr>
          <w:rFonts w:ascii="Cambria" w:eastAsia="Times New Roman" w:hAnsi="Cambria" w:cstheme="minorHAnsi"/>
          <w:spacing w:val="2"/>
        </w:rPr>
        <w:t>t</w:t>
      </w:r>
      <w:r w:rsidR="00BA4592" w:rsidRPr="009A0DA6">
        <w:rPr>
          <w:rFonts w:ascii="Cambria" w:eastAsia="Times New Roman" w:hAnsi="Cambria" w:cstheme="minorHAnsi"/>
          <w:spacing w:val="-1"/>
        </w:rPr>
        <w:t>h</w:t>
      </w:r>
      <w:r w:rsidR="00BA4592" w:rsidRPr="009A0DA6">
        <w:rPr>
          <w:rFonts w:ascii="Cambria" w:eastAsia="Times New Roman" w:hAnsi="Cambria" w:cstheme="minorHAnsi"/>
        </w:rPr>
        <w:t>e</w:t>
      </w:r>
      <w:r w:rsidR="00BA4592" w:rsidRPr="009A0DA6">
        <w:rPr>
          <w:rFonts w:ascii="Cambria" w:eastAsia="Times New Roman" w:hAnsi="Cambria" w:cstheme="minorHAnsi"/>
          <w:spacing w:val="1"/>
        </w:rPr>
        <w:t>r</w:t>
      </w:r>
      <w:r w:rsidR="00BA4592" w:rsidRPr="009A0DA6">
        <w:rPr>
          <w:rFonts w:ascii="Cambria" w:eastAsia="Times New Roman" w:hAnsi="Cambria" w:cstheme="minorHAnsi"/>
        </w:rPr>
        <w:t>an</w:t>
      </w:r>
      <w:r w:rsidR="00BA4592" w:rsidRPr="009A0DA6">
        <w:rPr>
          <w:rFonts w:ascii="Cambria" w:eastAsia="Times New Roman" w:hAnsi="Cambria" w:cstheme="minorHAnsi"/>
          <w:spacing w:val="2"/>
        </w:rPr>
        <w:t xml:space="preserve"> </w:t>
      </w:r>
      <w:r w:rsidR="00BA4592" w:rsidRPr="009A0DA6">
        <w:rPr>
          <w:rFonts w:ascii="Cambria" w:eastAsia="Times New Roman" w:hAnsi="Cambria" w:cstheme="minorHAnsi"/>
        </w:rPr>
        <w:t>S</w:t>
      </w:r>
      <w:r w:rsidR="00BA4592" w:rsidRPr="009A0DA6">
        <w:rPr>
          <w:rFonts w:ascii="Cambria" w:eastAsia="Times New Roman" w:hAnsi="Cambria" w:cstheme="minorHAnsi"/>
          <w:spacing w:val="3"/>
        </w:rPr>
        <w:t>c</w:t>
      </w:r>
      <w:r w:rsidR="00BA4592" w:rsidRPr="009A0DA6">
        <w:rPr>
          <w:rFonts w:ascii="Cambria" w:eastAsia="Times New Roman" w:hAnsi="Cambria" w:cstheme="minorHAnsi"/>
          <w:spacing w:val="-1"/>
        </w:rPr>
        <w:t>h</w:t>
      </w:r>
      <w:r w:rsidR="00BA4592" w:rsidRPr="009A0DA6">
        <w:rPr>
          <w:rFonts w:ascii="Cambria" w:eastAsia="Times New Roman" w:hAnsi="Cambria" w:cstheme="minorHAnsi"/>
          <w:spacing w:val="1"/>
        </w:rPr>
        <w:t>oo</w:t>
      </w:r>
      <w:r w:rsidR="00BA4592" w:rsidRPr="009A0DA6">
        <w:rPr>
          <w:rFonts w:ascii="Cambria" w:eastAsia="Times New Roman" w:hAnsi="Cambria" w:cstheme="minorHAnsi"/>
        </w:rPr>
        <w:t>ls</w:t>
      </w:r>
      <w:r w:rsidR="00BA4592" w:rsidRPr="009A0DA6">
        <w:rPr>
          <w:rFonts w:ascii="Cambria" w:eastAsia="Times New Roman" w:hAnsi="Cambria" w:cstheme="minorHAnsi"/>
          <w:spacing w:val="3"/>
        </w:rPr>
        <w:t xml:space="preserve"> a</w:t>
      </w:r>
      <w:r w:rsidR="00BA4592" w:rsidRPr="009A0DA6">
        <w:rPr>
          <w:rFonts w:ascii="Cambria" w:eastAsia="Times New Roman" w:hAnsi="Cambria" w:cstheme="minorHAnsi"/>
          <w:spacing w:val="-1"/>
        </w:rPr>
        <w:t>n</w:t>
      </w:r>
      <w:r w:rsidR="00BA4592" w:rsidRPr="009A0DA6">
        <w:rPr>
          <w:rFonts w:ascii="Cambria" w:eastAsia="Times New Roman" w:hAnsi="Cambria" w:cstheme="minorHAnsi"/>
        </w:rPr>
        <w:t>d</w:t>
      </w:r>
      <w:r w:rsidR="00BA4592" w:rsidRPr="009A0DA6">
        <w:rPr>
          <w:rFonts w:ascii="Cambria" w:eastAsia="Times New Roman" w:hAnsi="Cambria" w:cstheme="minorHAnsi"/>
          <w:spacing w:val="8"/>
        </w:rPr>
        <w:t xml:space="preserve"> </w:t>
      </w:r>
      <w:r w:rsidR="00BA4592" w:rsidRPr="009A0DA6">
        <w:rPr>
          <w:rFonts w:ascii="Cambria" w:eastAsia="Times New Roman" w:hAnsi="Cambria" w:cstheme="minorHAnsi"/>
          <w:spacing w:val="-1"/>
        </w:rPr>
        <w:t>C</w:t>
      </w:r>
      <w:r w:rsidR="00BA4592" w:rsidRPr="009A0DA6">
        <w:rPr>
          <w:rFonts w:ascii="Cambria" w:eastAsia="Times New Roman" w:hAnsi="Cambria" w:cstheme="minorHAnsi"/>
          <w:spacing w:val="1"/>
        </w:rPr>
        <w:t>o</w:t>
      </w:r>
      <w:r w:rsidR="00BA4592" w:rsidRPr="009A0DA6">
        <w:rPr>
          <w:rFonts w:ascii="Cambria" w:eastAsia="Times New Roman" w:hAnsi="Cambria" w:cstheme="minorHAnsi"/>
        </w:rPr>
        <w:t>lle</w:t>
      </w:r>
      <w:r w:rsidR="00BA4592" w:rsidRPr="009A0DA6">
        <w:rPr>
          <w:rFonts w:ascii="Cambria" w:eastAsia="Times New Roman" w:hAnsi="Cambria" w:cstheme="minorHAnsi"/>
          <w:spacing w:val="-1"/>
        </w:rPr>
        <w:t>g</w:t>
      </w:r>
      <w:r w:rsidR="00BA4592" w:rsidRPr="009A0DA6">
        <w:rPr>
          <w:rFonts w:ascii="Cambria" w:eastAsia="Times New Roman" w:hAnsi="Cambria" w:cstheme="minorHAnsi"/>
        </w:rPr>
        <w:t>es</w:t>
      </w:r>
      <w:r w:rsidR="00BA4592" w:rsidRPr="009A0DA6">
        <w:rPr>
          <w:rFonts w:ascii="Cambria" w:eastAsia="Times New Roman" w:hAnsi="Cambria" w:cstheme="minorHAnsi"/>
          <w:spacing w:val="7"/>
        </w:rPr>
        <w:t xml:space="preserve"> </w:t>
      </w:r>
      <w:r w:rsidR="00BA4592" w:rsidRPr="009A0DA6">
        <w:rPr>
          <w:rFonts w:ascii="Cambria" w:eastAsia="Times New Roman" w:hAnsi="Cambria" w:cstheme="minorHAnsi"/>
          <w:spacing w:val="-2"/>
        </w:rPr>
        <w:t>w</w:t>
      </w:r>
      <w:r w:rsidR="00BA4592" w:rsidRPr="009A0DA6">
        <w:rPr>
          <w:rFonts w:ascii="Cambria" w:eastAsia="Times New Roman" w:hAnsi="Cambria" w:cstheme="minorHAnsi"/>
          <w:spacing w:val="-1"/>
        </w:rPr>
        <w:t>h</w:t>
      </w:r>
      <w:r w:rsidR="00BA4592" w:rsidRPr="009A0DA6">
        <w:rPr>
          <w:rFonts w:ascii="Cambria" w:eastAsia="Times New Roman" w:hAnsi="Cambria" w:cstheme="minorHAnsi"/>
        </w:rPr>
        <w:t>i</w:t>
      </w:r>
      <w:r w:rsidR="00BA4592" w:rsidRPr="009A0DA6">
        <w:rPr>
          <w:rFonts w:ascii="Cambria" w:eastAsia="Times New Roman" w:hAnsi="Cambria" w:cstheme="minorHAnsi"/>
          <w:spacing w:val="3"/>
        </w:rPr>
        <w:t>c</w:t>
      </w:r>
      <w:r w:rsidR="00BA4592" w:rsidRPr="009A0DA6">
        <w:rPr>
          <w:rFonts w:ascii="Cambria" w:eastAsia="Times New Roman" w:hAnsi="Cambria" w:cstheme="minorHAnsi"/>
        </w:rPr>
        <w:t>h</w:t>
      </w:r>
      <w:r w:rsidR="00BA4592" w:rsidRPr="009A0DA6">
        <w:rPr>
          <w:rFonts w:ascii="Cambria" w:eastAsia="Times New Roman" w:hAnsi="Cambria" w:cstheme="minorHAnsi"/>
          <w:spacing w:val="4"/>
        </w:rPr>
        <w:t xml:space="preserve"> </w:t>
      </w:r>
      <w:r w:rsidR="00BA4592" w:rsidRPr="009A0DA6">
        <w:rPr>
          <w:rFonts w:ascii="Cambria" w:eastAsia="Times New Roman" w:hAnsi="Cambria" w:cstheme="minorHAnsi"/>
        </w:rPr>
        <w:t>a</w:t>
      </w:r>
      <w:r w:rsidR="00BA4592" w:rsidRPr="009A0DA6">
        <w:rPr>
          <w:rFonts w:ascii="Cambria" w:eastAsia="Times New Roman" w:hAnsi="Cambria" w:cstheme="minorHAnsi"/>
          <w:spacing w:val="3"/>
        </w:rPr>
        <w:t>r</w:t>
      </w:r>
      <w:r w:rsidR="00BA4592" w:rsidRPr="009A0DA6">
        <w:rPr>
          <w:rFonts w:ascii="Cambria" w:eastAsia="Times New Roman" w:hAnsi="Cambria" w:cstheme="minorHAnsi"/>
        </w:rPr>
        <w:t xml:space="preserve">e </w:t>
      </w:r>
      <w:r w:rsidR="00BA4592" w:rsidRPr="009A0DA6">
        <w:rPr>
          <w:rFonts w:ascii="Cambria" w:eastAsia="Times New Roman" w:hAnsi="Cambria" w:cstheme="minorHAnsi"/>
          <w:spacing w:val="1"/>
        </w:rPr>
        <w:t>pro</w:t>
      </w:r>
      <w:r w:rsidR="00BA4592" w:rsidRPr="009A0DA6">
        <w:rPr>
          <w:rFonts w:ascii="Cambria" w:eastAsia="Times New Roman" w:hAnsi="Cambria" w:cstheme="minorHAnsi"/>
          <w:spacing w:val="-1"/>
        </w:rPr>
        <w:t>v</w:t>
      </w:r>
      <w:r w:rsidR="00BA4592" w:rsidRPr="009A0DA6">
        <w:rPr>
          <w:rFonts w:ascii="Cambria" w:eastAsia="Times New Roman" w:hAnsi="Cambria" w:cstheme="minorHAnsi"/>
        </w:rPr>
        <w:t>i</w:t>
      </w:r>
      <w:r w:rsidR="00BA4592" w:rsidRPr="009A0DA6">
        <w:rPr>
          <w:rFonts w:ascii="Cambria" w:eastAsia="Times New Roman" w:hAnsi="Cambria" w:cstheme="minorHAnsi"/>
          <w:spacing w:val="1"/>
        </w:rPr>
        <w:t>d</w:t>
      </w:r>
      <w:r w:rsidR="00BA4592" w:rsidRPr="009A0DA6">
        <w:rPr>
          <w:rFonts w:ascii="Cambria" w:eastAsia="Times New Roman" w:hAnsi="Cambria" w:cstheme="minorHAnsi"/>
        </w:rPr>
        <w:t>ed</w:t>
      </w:r>
      <w:r w:rsidR="00BA4592" w:rsidRPr="009A0DA6">
        <w:rPr>
          <w:rFonts w:ascii="Cambria" w:eastAsia="Times New Roman" w:hAnsi="Cambria" w:cstheme="minorHAnsi"/>
          <w:spacing w:val="23"/>
        </w:rPr>
        <w:t xml:space="preserve"> </w:t>
      </w:r>
      <w:r w:rsidR="00BA4592" w:rsidRPr="009A0DA6">
        <w:rPr>
          <w:rFonts w:ascii="Cambria" w:eastAsia="Times New Roman" w:hAnsi="Cambria" w:cstheme="minorHAnsi"/>
          <w:spacing w:val="1"/>
        </w:rPr>
        <w:t>b</w:t>
      </w:r>
      <w:r w:rsidR="00BA4592" w:rsidRPr="009A0DA6">
        <w:rPr>
          <w:rFonts w:ascii="Cambria" w:eastAsia="Times New Roman" w:hAnsi="Cambria" w:cstheme="minorHAnsi"/>
        </w:rPr>
        <w:t>y</w:t>
      </w:r>
      <w:r w:rsidR="00BA4592" w:rsidRPr="009A0DA6">
        <w:rPr>
          <w:rFonts w:ascii="Cambria" w:eastAsia="Times New Roman" w:hAnsi="Cambria" w:cstheme="minorHAnsi"/>
          <w:spacing w:val="24"/>
        </w:rPr>
        <w:t xml:space="preserve"> </w:t>
      </w:r>
      <w:r w:rsidR="00BA4592" w:rsidRPr="009A0DA6">
        <w:rPr>
          <w:rFonts w:ascii="Cambria" w:eastAsia="Times New Roman" w:hAnsi="Cambria" w:cstheme="minorHAnsi"/>
          <w:spacing w:val="2"/>
        </w:rPr>
        <w:t>W</w:t>
      </w:r>
      <w:r w:rsidR="00BA4592" w:rsidRPr="009A0DA6">
        <w:rPr>
          <w:rFonts w:ascii="Cambria" w:eastAsia="Times New Roman" w:hAnsi="Cambria" w:cstheme="minorHAnsi"/>
        </w:rPr>
        <w:t>e</w:t>
      </w:r>
      <w:r w:rsidR="00BA4592" w:rsidRPr="009A0DA6">
        <w:rPr>
          <w:rFonts w:ascii="Cambria" w:eastAsia="Times New Roman" w:hAnsi="Cambria" w:cstheme="minorHAnsi"/>
          <w:spacing w:val="-1"/>
        </w:rPr>
        <w:t>s</w:t>
      </w:r>
      <w:r w:rsidR="00BA4592" w:rsidRPr="009A0DA6">
        <w:rPr>
          <w:rFonts w:ascii="Cambria" w:eastAsia="Times New Roman" w:hAnsi="Cambria" w:cstheme="minorHAnsi"/>
        </w:rPr>
        <w:t>t</w:t>
      </w:r>
      <w:r w:rsidR="00BA4592" w:rsidRPr="009A0DA6">
        <w:rPr>
          <w:rFonts w:ascii="Cambria" w:eastAsia="Times New Roman" w:hAnsi="Cambria" w:cstheme="minorHAnsi"/>
          <w:spacing w:val="1"/>
        </w:rPr>
        <w:t>p</w:t>
      </w:r>
      <w:r w:rsidR="00BA4592" w:rsidRPr="009A0DA6">
        <w:rPr>
          <w:rFonts w:ascii="Cambria" w:eastAsia="Times New Roman" w:hAnsi="Cambria" w:cstheme="minorHAnsi"/>
        </w:rPr>
        <w:t>ac</w:t>
      </w:r>
      <w:r w:rsidR="00BA4592" w:rsidRPr="009A0DA6">
        <w:rPr>
          <w:rFonts w:ascii="Cambria" w:eastAsia="Times New Roman" w:hAnsi="Cambria" w:cstheme="minorHAnsi"/>
          <w:spacing w:val="23"/>
        </w:rPr>
        <w:t xml:space="preserve"> </w:t>
      </w:r>
      <w:r w:rsidR="00BA4592" w:rsidRPr="009A0DA6">
        <w:rPr>
          <w:rFonts w:ascii="Cambria" w:eastAsia="Times New Roman" w:hAnsi="Cambria" w:cstheme="minorHAnsi"/>
          <w:spacing w:val="2"/>
        </w:rPr>
        <w:t>B</w:t>
      </w:r>
      <w:r w:rsidR="00BA4592" w:rsidRPr="009A0DA6">
        <w:rPr>
          <w:rFonts w:ascii="Cambria" w:eastAsia="Times New Roman" w:hAnsi="Cambria" w:cstheme="minorHAnsi"/>
        </w:rPr>
        <w:t>a</w:t>
      </w:r>
      <w:r w:rsidR="00BA4592" w:rsidRPr="009A0DA6">
        <w:rPr>
          <w:rFonts w:ascii="Cambria" w:eastAsia="Times New Roman" w:hAnsi="Cambria" w:cstheme="minorHAnsi"/>
          <w:spacing w:val="-1"/>
        </w:rPr>
        <w:t>nk</w:t>
      </w:r>
      <w:r w:rsidR="00BA4592" w:rsidRPr="009A0DA6">
        <w:rPr>
          <w:rFonts w:ascii="Cambria" w:eastAsia="Times New Roman" w:hAnsi="Cambria" w:cstheme="minorHAnsi"/>
        </w:rPr>
        <w:t>i</w:t>
      </w:r>
      <w:r w:rsidR="00BA4592" w:rsidRPr="009A0DA6">
        <w:rPr>
          <w:rFonts w:ascii="Cambria" w:eastAsia="Times New Roman" w:hAnsi="Cambria" w:cstheme="minorHAnsi"/>
          <w:spacing w:val="1"/>
        </w:rPr>
        <w:t>n</w:t>
      </w:r>
      <w:r w:rsidR="00BA4592" w:rsidRPr="009A0DA6">
        <w:rPr>
          <w:rFonts w:ascii="Cambria" w:eastAsia="Times New Roman" w:hAnsi="Cambria" w:cstheme="minorHAnsi"/>
        </w:rPr>
        <w:t>g</w:t>
      </w:r>
      <w:r w:rsidR="00BA4592" w:rsidRPr="009A0DA6">
        <w:rPr>
          <w:rFonts w:ascii="Cambria" w:eastAsia="Times New Roman" w:hAnsi="Cambria" w:cstheme="minorHAnsi"/>
          <w:spacing w:val="21"/>
        </w:rPr>
        <w:t xml:space="preserve"> </w:t>
      </w:r>
      <w:r w:rsidR="00BA4592" w:rsidRPr="009A0DA6">
        <w:rPr>
          <w:rFonts w:ascii="Cambria" w:eastAsia="Times New Roman" w:hAnsi="Cambria" w:cstheme="minorHAnsi"/>
          <w:spacing w:val="-1"/>
        </w:rPr>
        <w:t>C</w:t>
      </w:r>
      <w:r w:rsidR="00BA4592" w:rsidRPr="009A0DA6">
        <w:rPr>
          <w:rFonts w:ascii="Cambria" w:eastAsia="Times New Roman" w:hAnsi="Cambria" w:cstheme="minorHAnsi"/>
          <w:spacing w:val="1"/>
        </w:rPr>
        <w:t>orpor</w:t>
      </w:r>
      <w:r w:rsidR="00BA4592" w:rsidRPr="009A0DA6">
        <w:rPr>
          <w:rFonts w:ascii="Cambria" w:eastAsia="Times New Roman" w:hAnsi="Cambria" w:cstheme="minorHAnsi"/>
        </w:rPr>
        <w:t>ati</w:t>
      </w:r>
      <w:r w:rsidR="00BA4592" w:rsidRPr="009A0DA6">
        <w:rPr>
          <w:rFonts w:ascii="Cambria" w:eastAsia="Times New Roman" w:hAnsi="Cambria" w:cstheme="minorHAnsi"/>
          <w:spacing w:val="1"/>
        </w:rPr>
        <w:t>o</w:t>
      </w:r>
      <w:r w:rsidR="00BA4592" w:rsidRPr="009A0DA6">
        <w:rPr>
          <w:rFonts w:ascii="Cambria" w:eastAsia="Times New Roman" w:hAnsi="Cambria" w:cstheme="minorHAnsi"/>
        </w:rPr>
        <w:t>n</w:t>
      </w:r>
      <w:r w:rsidR="00BA4592" w:rsidRPr="009A0DA6">
        <w:rPr>
          <w:rFonts w:ascii="Cambria" w:eastAsia="Times New Roman" w:hAnsi="Cambria" w:cstheme="minorHAnsi"/>
          <w:spacing w:val="18"/>
        </w:rPr>
        <w:t xml:space="preserve"> </w:t>
      </w:r>
      <w:r w:rsidR="00BA4592" w:rsidRPr="009A0DA6">
        <w:rPr>
          <w:rFonts w:ascii="Cambria" w:eastAsia="Times New Roman" w:hAnsi="Cambria" w:cstheme="minorHAnsi"/>
          <w:spacing w:val="-2"/>
        </w:rPr>
        <w:t>L</w:t>
      </w:r>
      <w:r w:rsidR="00BA4592" w:rsidRPr="009A0DA6">
        <w:rPr>
          <w:rFonts w:ascii="Cambria" w:eastAsia="Times New Roman" w:hAnsi="Cambria" w:cstheme="minorHAnsi"/>
          <w:spacing w:val="2"/>
        </w:rPr>
        <w:t>i</w:t>
      </w:r>
      <w:r w:rsidR="00BA4592" w:rsidRPr="009A0DA6">
        <w:rPr>
          <w:rFonts w:ascii="Cambria" w:eastAsia="Times New Roman" w:hAnsi="Cambria" w:cstheme="minorHAnsi"/>
          <w:spacing w:val="-1"/>
        </w:rPr>
        <w:t>m</w:t>
      </w:r>
      <w:r w:rsidR="00BA4592" w:rsidRPr="009A0DA6">
        <w:rPr>
          <w:rFonts w:ascii="Cambria" w:eastAsia="Times New Roman" w:hAnsi="Cambria" w:cstheme="minorHAnsi"/>
        </w:rPr>
        <w:t>ite</w:t>
      </w:r>
      <w:r w:rsidR="00BA4592" w:rsidRPr="009A0DA6">
        <w:rPr>
          <w:rFonts w:ascii="Cambria" w:eastAsia="Times New Roman" w:hAnsi="Cambria" w:cstheme="minorHAnsi"/>
          <w:spacing w:val="1"/>
        </w:rPr>
        <w:t>d</w:t>
      </w:r>
      <w:r w:rsidR="00BA4592" w:rsidRPr="009A0DA6">
        <w:rPr>
          <w:rFonts w:ascii="Cambria" w:eastAsia="Times New Roman" w:hAnsi="Cambria" w:cstheme="minorHAnsi"/>
        </w:rPr>
        <w:t>.</w:t>
      </w:r>
      <w:r w:rsidR="00BA4592" w:rsidRPr="009A0DA6">
        <w:rPr>
          <w:rFonts w:ascii="Cambria" w:eastAsia="Times New Roman" w:hAnsi="Cambria" w:cstheme="minorHAnsi"/>
          <w:spacing w:val="23"/>
        </w:rPr>
        <w:t xml:space="preserve"> </w:t>
      </w:r>
      <w:r w:rsidR="00BA4592" w:rsidRPr="009A0DA6">
        <w:rPr>
          <w:rFonts w:ascii="Cambria" w:eastAsia="Times New Roman" w:hAnsi="Cambria" w:cstheme="minorHAnsi"/>
          <w:spacing w:val="3"/>
        </w:rPr>
        <w:t>T</w:t>
      </w:r>
      <w:r w:rsidR="00BA4592" w:rsidRPr="009A0DA6">
        <w:rPr>
          <w:rFonts w:ascii="Cambria" w:eastAsia="Times New Roman" w:hAnsi="Cambria" w:cstheme="minorHAnsi"/>
          <w:spacing w:val="-1"/>
        </w:rPr>
        <w:t>h</w:t>
      </w:r>
      <w:r w:rsidR="00BA4592" w:rsidRPr="009A0DA6">
        <w:rPr>
          <w:rFonts w:ascii="Cambria" w:eastAsia="Times New Roman" w:hAnsi="Cambria" w:cstheme="minorHAnsi"/>
        </w:rPr>
        <w:t>e</w:t>
      </w:r>
      <w:r w:rsidR="00BA4592" w:rsidRPr="009A0DA6">
        <w:rPr>
          <w:rFonts w:ascii="Cambria" w:eastAsia="Times New Roman" w:hAnsi="Cambria" w:cstheme="minorHAnsi"/>
          <w:spacing w:val="-1"/>
        </w:rPr>
        <w:t>s</w:t>
      </w:r>
      <w:r w:rsidR="00BA4592" w:rsidRPr="009A0DA6">
        <w:rPr>
          <w:rFonts w:ascii="Cambria" w:eastAsia="Times New Roman" w:hAnsi="Cambria" w:cstheme="minorHAnsi"/>
        </w:rPr>
        <w:t>e</w:t>
      </w:r>
      <w:r w:rsidR="00BA4592" w:rsidRPr="009A0DA6">
        <w:rPr>
          <w:rFonts w:ascii="Cambria" w:eastAsia="Times New Roman" w:hAnsi="Cambria" w:cstheme="minorHAnsi"/>
          <w:spacing w:val="25"/>
        </w:rPr>
        <w:t xml:space="preserve"> </w:t>
      </w:r>
      <w:r w:rsidR="00BA4592" w:rsidRPr="009A0DA6">
        <w:rPr>
          <w:rFonts w:ascii="Cambria" w:eastAsia="Times New Roman" w:hAnsi="Cambria" w:cstheme="minorHAnsi"/>
          <w:spacing w:val="1"/>
        </w:rPr>
        <w:t>bor</w:t>
      </w:r>
      <w:r w:rsidR="00BA4592" w:rsidRPr="009A0DA6">
        <w:rPr>
          <w:rFonts w:ascii="Cambria" w:eastAsia="Times New Roman" w:hAnsi="Cambria" w:cstheme="minorHAnsi"/>
          <w:spacing w:val="-1"/>
        </w:rPr>
        <w:t>r</w:t>
      </w:r>
      <w:r w:rsidR="00BA4592" w:rsidRPr="009A0DA6">
        <w:rPr>
          <w:rFonts w:ascii="Cambria" w:eastAsia="Times New Roman" w:hAnsi="Cambria" w:cstheme="minorHAnsi"/>
          <w:spacing w:val="1"/>
        </w:rPr>
        <w:t>o</w:t>
      </w:r>
      <w:r w:rsidR="00BA4592" w:rsidRPr="009A0DA6">
        <w:rPr>
          <w:rFonts w:ascii="Cambria" w:eastAsia="Times New Roman" w:hAnsi="Cambria" w:cstheme="minorHAnsi"/>
          <w:spacing w:val="-2"/>
        </w:rPr>
        <w:t>w</w:t>
      </w:r>
      <w:r w:rsidR="00BA4592" w:rsidRPr="009A0DA6">
        <w:rPr>
          <w:rFonts w:ascii="Cambria" w:eastAsia="Times New Roman" w:hAnsi="Cambria" w:cstheme="minorHAnsi"/>
        </w:rPr>
        <w:t>i</w:t>
      </w:r>
      <w:r w:rsidR="00BA4592" w:rsidRPr="009A0DA6">
        <w:rPr>
          <w:rFonts w:ascii="Cambria" w:eastAsia="Times New Roman" w:hAnsi="Cambria" w:cstheme="minorHAnsi"/>
          <w:spacing w:val="1"/>
        </w:rPr>
        <w:t>n</w:t>
      </w:r>
      <w:r w:rsidR="00BA4592" w:rsidRPr="009A0DA6">
        <w:rPr>
          <w:rFonts w:ascii="Cambria" w:eastAsia="Times New Roman" w:hAnsi="Cambria" w:cstheme="minorHAnsi"/>
          <w:spacing w:val="-1"/>
        </w:rPr>
        <w:t>g</w:t>
      </w:r>
      <w:r w:rsidR="00BA4592" w:rsidRPr="009A0DA6">
        <w:rPr>
          <w:rFonts w:ascii="Cambria" w:eastAsia="Times New Roman" w:hAnsi="Cambria" w:cstheme="minorHAnsi"/>
        </w:rPr>
        <w:t>s</w:t>
      </w:r>
      <w:r w:rsidR="00BA4592" w:rsidRPr="009A0DA6">
        <w:rPr>
          <w:rFonts w:ascii="Cambria" w:eastAsia="Times New Roman" w:hAnsi="Cambria" w:cstheme="minorHAnsi"/>
          <w:spacing w:val="20"/>
        </w:rPr>
        <w:t xml:space="preserve"> </w:t>
      </w:r>
      <w:r w:rsidR="00BA4592" w:rsidRPr="009A0DA6">
        <w:rPr>
          <w:rFonts w:ascii="Cambria" w:eastAsia="Times New Roman" w:hAnsi="Cambria" w:cstheme="minorHAnsi"/>
        </w:rPr>
        <w:t>a</w:t>
      </w:r>
      <w:r w:rsidR="00BA4592" w:rsidRPr="009A0DA6">
        <w:rPr>
          <w:rFonts w:ascii="Cambria" w:eastAsia="Times New Roman" w:hAnsi="Cambria" w:cstheme="minorHAnsi"/>
          <w:spacing w:val="1"/>
        </w:rPr>
        <w:t>r</w:t>
      </w:r>
      <w:r w:rsidR="00BA4592" w:rsidRPr="009A0DA6">
        <w:rPr>
          <w:rFonts w:ascii="Cambria" w:eastAsia="Times New Roman" w:hAnsi="Cambria" w:cstheme="minorHAnsi"/>
        </w:rPr>
        <w:t>e</w:t>
      </w:r>
      <w:r w:rsidR="00BA4592" w:rsidRPr="009A0DA6">
        <w:rPr>
          <w:rFonts w:ascii="Cambria" w:eastAsia="Times New Roman" w:hAnsi="Cambria" w:cstheme="minorHAnsi"/>
          <w:spacing w:val="28"/>
        </w:rPr>
        <w:t xml:space="preserve"> </w:t>
      </w:r>
      <w:r w:rsidR="00BA4592" w:rsidRPr="009A0DA6">
        <w:rPr>
          <w:rFonts w:ascii="Cambria" w:eastAsia="Times New Roman" w:hAnsi="Cambria" w:cstheme="minorHAnsi"/>
          <w:spacing w:val="2"/>
        </w:rPr>
        <w:t>s</w:t>
      </w:r>
      <w:r w:rsidR="00BA4592" w:rsidRPr="009A0DA6">
        <w:rPr>
          <w:rFonts w:ascii="Cambria" w:eastAsia="Times New Roman" w:hAnsi="Cambria" w:cstheme="minorHAnsi"/>
          <w:spacing w:val="-1"/>
        </w:rPr>
        <w:t>u</w:t>
      </w:r>
      <w:r w:rsidR="00BA4592" w:rsidRPr="009A0DA6">
        <w:rPr>
          <w:rFonts w:ascii="Cambria" w:eastAsia="Times New Roman" w:hAnsi="Cambria" w:cstheme="minorHAnsi"/>
          <w:spacing w:val="1"/>
        </w:rPr>
        <w:t>ppor</w:t>
      </w:r>
      <w:r w:rsidR="00BA4592" w:rsidRPr="009A0DA6">
        <w:rPr>
          <w:rFonts w:ascii="Cambria" w:eastAsia="Times New Roman" w:hAnsi="Cambria" w:cstheme="minorHAnsi"/>
        </w:rPr>
        <w:t>ted</w:t>
      </w:r>
      <w:r w:rsidR="00BA4592" w:rsidRPr="009A0DA6">
        <w:rPr>
          <w:rFonts w:ascii="Cambria" w:eastAsia="Times New Roman" w:hAnsi="Cambria" w:cstheme="minorHAnsi"/>
          <w:spacing w:val="22"/>
        </w:rPr>
        <w:t xml:space="preserve"> </w:t>
      </w:r>
      <w:r w:rsidR="00BA4592" w:rsidRPr="009A0DA6">
        <w:rPr>
          <w:rFonts w:ascii="Cambria" w:eastAsia="Times New Roman" w:hAnsi="Cambria" w:cstheme="minorHAnsi"/>
          <w:spacing w:val="-1"/>
        </w:rPr>
        <w:t>b</w:t>
      </w:r>
      <w:r w:rsidR="00BA4592" w:rsidRPr="009A0DA6">
        <w:rPr>
          <w:rFonts w:ascii="Cambria" w:eastAsia="Times New Roman" w:hAnsi="Cambria" w:cstheme="minorHAnsi"/>
        </w:rPr>
        <w:t>y</w:t>
      </w:r>
      <w:r w:rsidR="00BA4592" w:rsidRPr="009A0DA6">
        <w:rPr>
          <w:rFonts w:ascii="Cambria" w:eastAsia="Times New Roman" w:hAnsi="Cambria" w:cstheme="minorHAnsi"/>
          <w:spacing w:val="26"/>
        </w:rPr>
        <w:t xml:space="preserve"> </w:t>
      </w:r>
      <w:r w:rsidR="00BA4592" w:rsidRPr="009A0DA6">
        <w:rPr>
          <w:rFonts w:ascii="Cambria" w:eastAsia="Times New Roman" w:hAnsi="Cambria" w:cstheme="minorHAnsi"/>
          <w:spacing w:val="-1"/>
        </w:rPr>
        <w:t>f</w:t>
      </w:r>
      <w:r w:rsidR="00BA4592" w:rsidRPr="009A0DA6">
        <w:rPr>
          <w:rFonts w:ascii="Cambria" w:eastAsia="Times New Roman" w:hAnsi="Cambria" w:cstheme="minorHAnsi"/>
        </w:rPr>
        <w:t>i</w:t>
      </w:r>
      <w:r w:rsidR="00BA4592" w:rsidRPr="009A0DA6">
        <w:rPr>
          <w:rFonts w:ascii="Cambria" w:eastAsia="Times New Roman" w:hAnsi="Cambria" w:cstheme="minorHAnsi"/>
          <w:spacing w:val="1"/>
        </w:rPr>
        <w:t>r</w:t>
      </w:r>
      <w:r w:rsidR="00BA4592" w:rsidRPr="009A0DA6">
        <w:rPr>
          <w:rFonts w:ascii="Cambria" w:eastAsia="Times New Roman" w:hAnsi="Cambria" w:cstheme="minorHAnsi"/>
          <w:spacing w:val="2"/>
        </w:rPr>
        <w:t>s</w:t>
      </w:r>
      <w:r w:rsidR="00BA4592" w:rsidRPr="009A0DA6">
        <w:rPr>
          <w:rFonts w:ascii="Cambria" w:eastAsia="Times New Roman" w:hAnsi="Cambria" w:cstheme="minorHAnsi"/>
        </w:rPr>
        <w:t>t</w:t>
      </w:r>
      <w:r w:rsidR="00BA4592" w:rsidRPr="009A0DA6">
        <w:rPr>
          <w:rFonts w:ascii="Cambria" w:eastAsia="Times New Roman" w:hAnsi="Cambria" w:cstheme="minorHAnsi"/>
          <w:spacing w:val="28"/>
        </w:rPr>
        <w:t xml:space="preserve"> </w:t>
      </w:r>
      <w:r w:rsidR="00BA4592" w:rsidRPr="009A0DA6">
        <w:rPr>
          <w:rFonts w:ascii="Cambria" w:eastAsia="Times New Roman" w:hAnsi="Cambria" w:cstheme="minorHAnsi"/>
          <w:spacing w:val="-4"/>
        </w:rPr>
        <w:t>m</w:t>
      </w:r>
      <w:r w:rsidR="00BA4592" w:rsidRPr="009A0DA6">
        <w:rPr>
          <w:rFonts w:ascii="Cambria" w:eastAsia="Times New Roman" w:hAnsi="Cambria" w:cstheme="minorHAnsi"/>
          <w:spacing w:val="1"/>
        </w:rPr>
        <w:t>or</w:t>
      </w:r>
      <w:r w:rsidR="00BA4592" w:rsidRPr="009A0DA6">
        <w:rPr>
          <w:rFonts w:ascii="Cambria" w:eastAsia="Times New Roman" w:hAnsi="Cambria" w:cstheme="minorHAnsi"/>
        </w:rPr>
        <w:t>t</w:t>
      </w:r>
      <w:r w:rsidR="00BA4592" w:rsidRPr="009A0DA6">
        <w:rPr>
          <w:rFonts w:ascii="Cambria" w:eastAsia="Times New Roman" w:hAnsi="Cambria" w:cstheme="minorHAnsi"/>
          <w:spacing w:val="-1"/>
        </w:rPr>
        <w:t>g</w:t>
      </w:r>
      <w:r w:rsidR="00BA4592" w:rsidRPr="009A0DA6">
        <w:rPr>
          <w:rFonts w:ascii="Cambria" w:eastAsia="Times New Roman" w:hAnsi="Cambria" w:cstheme="minorHAnsi"/>
          <w:spacing w:val="3"/>
        </w:rPr>
        <w:t>a</w:t>
      </w:r>
      <w:r w:rsidR="00BA4592" w:rsidRPr="009A0DA6">
        <w:rPr>
          <w:rFonts w:ascii="Cambria" w:eastAsia="Times New Roman" w:hAnsi="Cambria" w:cstheme="minorHAnsi"/>
          <w:spacing w:val="-1"/>
        </w:rPr>
        <w:t>g</w:t>
      </w:r>
      <w:r w:rsidR="00BA4592" w:rsidRPr="009A0DA6">
        <w:rPr>
          <w:rFonts w:ascii="Cambria" w:eastAsia="Times New Roman" w:hAnsi="Cambria" w:cstheme="minorHAnsi"/>
          <w:spacing w:val="3"/>
        </w:rPr>
        <w:t>e</w:t>
      </w:r>
      <w:r w:rsidR="00BA4592" w:rsidRPr="009A0DA6">
        <w:rPr>
          <w:rFonts w:ascii="Cambria" w:eastAsia="Times New Roman" w:hAnsi="Cambria" w:cstheme="minorHAnsi"/>
        </w:rPr>
        <w:t xml:space="preserve">s </w:t>
      </w:r>
      <w:r w:rsidR="00BA4592" w:rsidRPr="009A0DA6">
        <w:rPr>
          <w:rFonts w:ascii="Cambria" w:eastAsia="Times New Roman" w:hAnsi="Cambria" w:cstheme="minorHAnsi"/>
          <w:spacing w:val="1"/>
        </w:rPr>
        <w:t>pro</w:t>
      </w:r>
      <w:r w:rsidR="00BA4592" w:rsidRPr="009A0DA6">
        <w:rPr>
          <w:rFonts w:ascii="Cambria" w:eastAsia="Times New Roman" w:hAnsi="Cambria" w:cstheme="minorHAnsi"/>
          <w:spacing w:val="-1"/>
        </w:rPr>
        <w:t>v</w:t>
      </w:r>
      <w:r w:rsidR="00BA4592" w:rsidRPr="009A0DA6">
        <w:rPr>
          <w:rFonts w:ascii="Cambria" w:eastAsia="Times New Roman" w:hAnsi="Cambria" w:cstheme="minorHAnsi"/>
        </w:rPr>
        <w:t>i</w:t>
      </w:r>
      <w:r w:rsidR="00BA4592" w:rsidRPr="009A0DA6">
        <w:rPr>
          <w:rFonts w:ascii="Cambria" w:eastAsia="Times New Roman" w:hAnsi="Cambria" w:cstheme="minorHAnsi"/>
          <w:spacing w:val="1"/>
        </w:rPr>
        <w:t>d</w:t>
      </w:r>
      <w:r w:rsidR="00BA4592" w:rsidRPr="009A0DA6">
        <w:rPr>
          <w:rFonts w:ascii="Cambria" w:eastAsia="Times New Roman" w:hAnsi="Cambria" w:cstheme="minorHAnsi"/>
        </w:rPr>
        <w:t>ed</w:t>
      </w:r>
      <w:r w:rsidR="00BA4592" w:rsidRPr="009A0DA6">
        <w:rPr>
          <w:rFonts w:ascii="Cambria" w:eastAsia="Times New Roman" w:hAnsi="Cambria" w:cstheme="minorHAnsi"/>
          <w:spacing w:val="3"/>
        </w:rPr>
        <w:t xml:space="preserve"> </w:t>
      </w:r>
      <w:r w:rsidR="00BA4592" w:rsidRPr="009A0DA6">
        <w:rPr>
          <w:rFonts w:ascii="Cambria" w:eastAsia="Times New Roman" w:hAnsi="Cambria" w:cstheme="minorHAnsi"/>
          <w:spacing w:val="1"/>
        </w:rPr>
        <w:t>b</w:t>
      </w:r>
      <w:r w:rsidR="00BA4592" w:rsidRPr="009A0DA6">
        <w:rPr>
          <w:rFonts w:ascii="Cambria" w:eastAsia="Times New Roman" w:hAnsi="Cambria" w:cstheme="minorHAnsi"/>
        </w:rPr>
        <w:t>y</w:t>
      </w:r>
      <w:r w:rsidR="00BA4592" w:rsidRPr="009A0DA6">
        <w:rPr>
          <w:rFonts w:ascii="Cambria" w:eastAsia="Times New Roman" w:hAnsi="Cambria" w:cstheme="minorHAnsi"/>
          <w:spacing w:val="3"/>
        </w:rPr>
        <w:t xml:space="preserve"> </w:t>
      </w:r>
      <w:r w:rsidR="00BA4592" w:rsidRPr="009A0DA6">
        <w:rPr>
          <w:rFonts w:ascii="Cambria" w:eastAsia="Times New Roman" w:hAnsi="Cambria" w:cstheme="minorHAnsi"/>
        </w:rPr>
        <w:t>each</w:t>
      </w:r>
      <w:r w:rsidR="00BA4592" w:rsidRPr="009A0DA6">
        <w:rPr>
          <w:rFonts w:ascii="Cambria" w:eastAsia="Times New Roman" w:hAnsi="Cambria" w:cstheme="minorHAnsi"/>
          <w:spacing w:val="4"/>
        </w:rPr>
        <w:t xml:space="preserve"> </w:t>
      </w:r>
      <w:r w:rsidR="00BA4592" w:rsidRPr="009A0DA6">
        <w:rPr>
          <w:rFonts w:ascii="Cambria" w:eastAsia="Times New Roman" w:hAnsi="Cambria" w:cstheme="minorHAnsi"/>
          <w:spacing w:val="1"/>
        </w:rPr>
        <w:t>L</w:t>
      </w:r>
      <w:r w:rsidR="00BA4592" w:rsidRPr="009A0DA6">
        <w:rPr>
          <w:rFonts w:ascii="Cambria" w:eastAsia="Times New Roman" w:hAnsi="Cambria" w:cstheme="minorHAnsi"/>
          <w:spacing w:val="-1"/>
        </w:rPr>
        <w:t>u</w:t>
      </w:r>
      <w:r w:rsidR="00BA4592" w:rsidRPr="009A0DA6">
        <w:rPr>
          <w:rFonts w:ascii="Cambria" w:eastAsia="Times New Roman" w:hAnsi="Cambria" w:cstheme="minorHAnsi"/>
        </w:rPr>
        <w:t>t</w:t>
      </w:r>
      <w:r w:rsidR="00BA4592" w:rsidRPr="009A0DA6">
        <w:rPr>
          <w:rFonts w:ascii="Cambria" w:eastAsia="Times New Roman" w:hAnsi="Cambria" w:cstheme="minorHAnsi"/>
          <w:spacing w:val="-1"/>
        </w:rPr>
        <w:t>h</w:t>
      </w:r>
      <w:r w:rsidR="00BA4592" w:rsidRPr="009A0DA6">
        <w:rPr>
          <w:rFonts w:ascii="Cambria" w:eastAsia="Times New Roman" w:hAnsi="Cambria" w:cstheme="minorHAnsi"/>
        </w:rPr>
        <w:t>e</w:t>
      </w:r>
      <w:r w:rsidR="00BA4592" w:rsidRPr="009A0DA6">
        <w:rPr>
          <w:rFonts w:ascii="Cambria" w:eastAsia="Times New Roman" w:hAnsi="Cambria" w:cstheme="minorHAnsi"/>
          <w:spacing w:val="1"/>
        </w:rPr>
        <w:t>r</w:t>
      </w:r>
      <w:r w:rsidR="00BA4592" w:rsidRPr="009A0DA6">
        <w:rPr>
          <w:rFonts w:ascii="Cambria" w:eastAsia="Times New Roman" w:hAnsi="Cambria" w:cstheme="minorHAnsi"/>
          <w:spacing w:val="3"/>
        </w:rPr>
        <w:t>a</w:t>
      </w:r>
      <w:r w:rsidR="00BA4592" w:rsidRPr="009A0DA6">
        <w:rPr>
          <w:rFonts w:ascii="Cambria" w:eastAsia="Times New Roman" w:hAnsi="Cambria" w:cstheme="minorHAnsi"/>
        </w:rPr>
        <w:t>n S</w:t>
      </w:r>
      <w:r w:rsidR="00BA4592" w:rsidRPr="009A0DA6">
        <w:rPr>
          <w:rFonts w:ascii="Cambria" w:eastAsia="Times New Roman" w:hAnsi="Cambria" w:cstheme="minorHAnsi"/>
          <w:spacing w:val="3"/>
        </w:rPr>
        <w:t>c</w:t>
      </w:r>
      <w:r w:rsidR="00BA4592" w:rsidRPr="009A0DA6">
        <w:rPr>
          <w:rFonts w:ascii="Cambria" w:eastAsia="Times New Roman" w:hAnsi="Cambria" w:cstheme="minorHAnsi"/>
          <w:spacing w:val="-1"/>
        </w:rPr>
        <w:t>h</w:t>
      </w:r>
      <w:r w:rsidR="00BA4592" w:rsidRPr="009A0DA6">
        <w:rPr>
          <w:rFonts w:ascii="Cambria" w:eastAsia="Times New Roman" w:hAnsi="Cambria" w:cstheme="minorHAnsi"/>
          <w:spacing w:val="1"/>
        </w:rPr>
        <w:t>oo</w:t>
      </w:r>
      <w:r w:rsidR="00BA4592" w:rsidRPr="009A0DA6">
        <w:rPr>
          <w:rFonts w:ascii="Cambria" w:eastAsia="Times New Roman" w:hAnsi="Cambria" w:cstheme="minorHAnsi"/>
        </w:rPr>
        <w:t>l</w:t>
      </w:r>
      <w:r w:rsidR="00BA4592" w:rsidRPr="009A0DA6">
        <w:rPr>
          <w:rFonts w:ascii="Cambria" w:eastAsia="Times New Roman" w:hAnsi="Cambria" w:cstheme="minorHAnsi"/>
          <w:spacing w:val="3"/>
        </w:rPr>
        <w:t xml:space="preserve"> </w:t>
      </w:r>
      <w:r w:rsidR="00BA4592" w:rsidRPr="009A0DA6">
        <w:rPr>
          <w:rFonts w:ascii="Cambria" w:eastAsia="Times New Roman" w:hAnsi="Cambria" w:cstheme="minorHAnsi"/>
          <w:spacing w:val="1"/>
        </w:rPr>
        <w:t>o</w:t>
      </w:r>
      <w:r w:rsidR="00BA4592" w:rsidRPr="009A0DA6">
        <w:rPr>
          <w:rFonts w:ascii="Cambria" w:eastAsia="Times New Roman" w:hAnsi="Cambria" w:cstheme="minorHAnsi"/>
        </w:rPr>
        <w:t>r</w:t>
      </w:r>
      <w:r w:rsidR="00BA4592" w:rsidRPr="009A0DA6">
        <w:rPr>
          <w:rFonts w:ascii="Cambria" w:eastAsia="Times New Roman" w:hAnsi="Cambria" w:cstheme="minorHAnsi"/>
          <w:spacing w:val="8"/>
        </w:rPr>
        <w:t xml:space="preserve"> </w:t>
      </w:r>
      <w:r w:rsidR="00BA4592" w:rsidRPr="009A0DA6">
        <w:rPr>
          <w:rFonts w:ascii="Cambria" w:eastAsia="Times New Roman" w:hAnsi="Cambria" w:cstheme="minorHAnsi"/>
          <w:spacing w:val="-1"/>
        </w:rPr>
        <w:t>C</w:t>
      </w:r>
      <w:r w:rsidR="00BA4592" w:rsidRPr="009A0DA6">
        <w:rPr>
          <w:rFonts w:ascii="Cambria" w:eastAsia="Times New Roman" w:hAnsi="Cambria" w:cstheme="minorHAnsi"/>
          <w:spacing w:val="1"/>
        </w:rPr>
        <w:t>o</w:t>
      </w:r>
      <w:r w:rsidR="00BA4592" w:rsidRPr="009A0DA6">
        <w:rPr>
          <w:rFonts w:ascii="Cambria" w:eastAsia="Times New Roman" w:hAnsi="Cambria" w:cstheme="minorHAnsi"/>
        </w:rPr>
        <w:t>lle</w:t>
      </w:r>
      <w:r w:rsidR="00BA4592" w:rsidRPr="009A0DA6">
        <w:rPr>
          <w:rFonts w:ascii="Cambria" w:eastAsia="Times New Roman" w:hAnsi="Cambria" w:cstheme="minorHAnsi"/>
          <w:spacing w:val="-1"/>
        </w:rPr>
        <w:t>g</w:t>
      </w:r>
      <w:r w:rsidR="00BA4592" w:rsidRPr="009A0DA6">
        <w:rPr>
          <w:rFonts w:ascii="Cambria" w:eastAsia="Times New Roman" w:hAnsi="Cambria" w:cstheme="minorHAnsi"/>
        </w:rPr>
        <w:t>e</w:t>
      </w:r>
      <w:r w:rsidR="00BA4592" w:rsidRPr="009A0DA6">
        <w:rPr>
          <w:rFonts w:ascii="Cambria" w:eastAsia="Times New Roman" w:hAnsi="Cambria" w:cstheme="minorHAnsi"/>
          <w:spacing w:val="3"/>
        </w:rPr>
        <w:t xml:space="preserve"> </w:t>
      </w:r>
      <w:r w:rsidR="00BA4592" w:rsidRPr="009A0DA6">
        <w:rPr>
          <w:rFonts w:ascii="Cambria" w:eastAsia="Times New Roman" w:hAnsi="Cambria" w:cstheme="minorHAnsi"/>
          <w:spacing w:val="-1"/>
        </w:rPr>
        <w:t>un</w:t>
      </w:r>
      <w:r w:rsidR="00BA4592" w:rsidRPr="009A0DA6">
        <w:rPr>
          <w:rFonts w:ascii="Cambria" w:eastAsia="Times New Roman" w:hAnsi="Cambria" w:cstheme="minorHAnsi"/>
          <w:spacing w:val="1"/>
        </w:rPr>
        <w:t>d</w:t>
      </w:r>
      <w:r w:rsidR="00BA4592" w:rsidRPr="009A0DA6">
        <w:rPr>
          <w:rFonts w:ascii="Cambria" w:eastAsia="Times New Roman" w:hAnsi="Cambria" w:cstheme="minorHAnsi"/>
        </w:rPr>
        <w:t>er</w:t>
      </w:r>
      <w:r w:rsidR="00BA4592" w:rsidRPr="009A0DA6">
        <w:rPr>
          <w:rFonts w:ascii="Cambria" w:eastAsia="Times New Roman" w:hAnsi="Cambria" w:cstheme="minorHAnsi"/>
          <w:spacing w:val="5"/>
        </w:rPr>
        <w:t xml:space="preserve"> </w:t>
      </w:r>
      <w:r w:rsidR="00BA4592" w:rsidRPr="009A0DA6">
        <w:rPr>
          <w:rFonts w:ascii="Cambria" w:eastAsia="Times New Roman" w:hAnsi="Cambria" w:cstheme="minorHAnsi"/>
        </w:rPr>
        <w:t>t</w:t>
      </w:r>
      <w:r w:rsidR="00BA4592" w:rsidRPr="009A0DA6">
        <w:rPr>
          <w:rFonts w:ascii="Cambria" w:eastAsia="Times New Roman" w:hAnsi="Cambria" w:cstheme="minorHAnsi"/>
          <w:spacing w:val="-1"/>
        </w:rPr>
        <w:t>h</w:t>
      </w:r>
      <w:r w:rsidR="00BA4592" w:rsidRPr="009A0DA6">
        <w:rPr>
          <w:rFonts w:ascii="Cambria" w:eastAsia="Times New Roman" w:hAnsi="Cambria" w:cstheme="minorHAnsi"/>
        </w:rPr>
        <w:t>e</w:t>
      </w:r>
      <w:r w:rsidR="00BA4592" w:rsidRPr="009A0DA6">
        <w:rPr>
          <w:rFonts w:ascii="Cambria" w:eastAsia="Times New Roman" w:hAnsi="Cambria" w:cstheme="minorHAnsi"/>
          <w:spacing w:val="7"/>
        </w:rPr>
        <w:t xml:space="preserve"> </w:t>
      </w:r>
      <w:r w:rsidR="00BA4592" w:rsidRPr="009A0DA6">
        <w:rPr>
          <w:rFonts w:ascii="Cambria" w:eastAsia="Times New Roman" w:hAnsi="Cambria" w:cstheme="minorHAnsi"/>
        </w:rPr>
        <w:t>a</w:t>
      </w:r>
      <w:r w:rsidR="00BA4592" w:rsidRPr="009A0DA6">
        <w:rPr>
          <w:rFonts w:ascii="Cambria" w:eastAsia="Times New Roman" w:hAnsi="Cambria" w:cstheme="minorHAnsi"/>
          <w:spacing w:val="-1"/>
        </w:rPr>
        <w:t>u</w:t>
      </w:r>
      <w:r w:rsidR="00BA4592" w:rsidRPr="009A0DA6">
        <w:rPr>
          <w:rFonts w:ascii="Cambria" w:eastAsia="Times New Roman" w:hAnsi="Cambria" w:cstheme="minorHAnsi"/>
          <w:spacing w:val="2"/>
        </w:rPr>
        <w:t>s</w:t>
      </w:r>
      <w:r w:rsidR="00BA4592" w:rsidRPr="009A0DA6">
        <w:rPr>
          <w:rFonts w:ascii="Cambria" w:eastAsia="Times New Roman" w:hAnsi="Cambria" w:cstheme="minorHAnsi"/>
          <w:spacing w:val="1"/>
        </w:rPr>
        <w:t>p</w:t>
      </w:r>
      <w:r w:rsidR="00BA4592" w:rsidRPr="009A0DA6">
        <w:rPr>
          <w:rFonts w:ascii="Cambria" w:eastAsia="Times New Roman" w:hAnsi="Cambria" w:cstheme="minorHAnsi"/>
        </w:rPr>
        <w:t>ices</w:t>
      </w:r>
      <w:r w:rsidR="00BA4592" w:rsidRPr="009A0DA6">
        <w:rPr>
          <w:rFonts w:ascii="Cambria" w:eastAsia="Times New Roman" w:hAnsi="Cambria" w:cstheme="minorHAnsi"/>
          <w:spacing w:val="1"/>
        </w:rPr>
        <w:t xml:space="preserve"> o</w:t>
      </w:r>
      <w:r w:rsidR="00BA4592" w:rsidRPr="009A0DA6">
        <w:rPr>
          <w:rFonts w:ascii="Cambria" w:eastAsia="Times New Roman" w:hAnsi="Cambria" w:cstheme="minorHAnsi"/>
        </w:rPr>
        <w:t>f</w:t>
      </w:r>
      <w:r w:rsidR="00BA4592" w:rsidRPr="009A0DA6">
        <w:rPr>
          <w:rFonts w:ascii="Cambria" w:eastAsia="Times New Roman" w:hAnsi="Cambria" w:cstheme="minorHAnsi"/>
          <w:spacing w:val="6"/>
        </w:rPr>
        <w:t xml:space="preserve"> </w:t>
      </w:r>
      <w:r w:rsidR="00BA4592" w:rsidRPr="009A0DA6">
        <w:rPr>
          <w:rFonts w:ascii="Cambria" w:eastAsia="Times New Roman" w:hAnsi="Cambria" w:cstheme="minorHAnsi"/>
          <w:spacing w:val="-2"/>
        </w:rPr>
        <w:t>L</w:t>
      </w:r>
      <w:r w:rsidR="00BA4592" w:rsidRPr="009A0DA6">
        <w:rPr>
          <w:rFonts w:ascii="Cambria" w:eastAsia="Times New Roman" w:hAnsi="Cambria" w:cstheme="minorHAnsi"/>
          <w:spacing w:val="1"/>
        </w:rPr>
        <w:t>u</w:t>
      </w:r>
      <w:r w:rsidR="00BA4592" w:rsidRPr="009A0DA6">
        <w:rPr>
          <w:rFonts w:ascii="Cambria" w:eastAsia="Times New Roman" w:hAnsi="Cambria" w:cstheme="minorHAnsi"/>
        </w:rPr>
        <w:t>t</w:t>
      </w:r>
      <w:r w:rsidR="00BA4592" w:rsidRPr="009A0DA6">
        <w:rPr>
          <w:rFonts w:ascii="Cambria" w:eastAsia="Times New Roman" w:hAnsi="Cambria" w:cstheme="minorHAnsi"/>
          <w:spacing w:val="-1"/>
        </w:rPr>
        <w:t>h</w:t>
      </w:r>
      <w:r w:rsidR="00BA4592" w:rsidRPr="009A0DA6">
        <w:rPr>
          <w:rFonts w:ascii="Cambria" w:eastAsia="Times New Roman" w:hAnsi="Cambria" w:cstheme="minorHAnsi"/>
        </w:rPr>
        <w:t>e</w:t>
      </w:r>
      <w:r w:rsidR="00BA4592" w:rsidRPr="009A0DA6">
        <w:rPr>
          <w:rFonts w:ascii="Cambria" w:eastAsia="Times New Roman" w:hAnsi="Cambria" w:cstheme="minorHAnsi"/>
          <w:spacing w:val="1"/>
        </w:rPr>
        <w:t>r</w:t>
      </w:r>
      <w:r w:rsidR="00BA4592" w:rsidRPr="009A0DA6">
        <w:rPr>
          <w:rFonts w:ascii="Cambria" w:eastAsia="Times New Roman" w:hAnsi="Cambria" w:cstheme="minorHAnsi"/>
          <w:spacing w:val="3"/>
        </w:rPr>
        <w:t>a</w:t>
      </w:r>
      <w:r w:rsidR="00BA4592" w:rsidRPr="009A0DA6">
        <w:rPr>
          <w:rFonts w:ascii="Cambria" w:eastAsia="Times New Roman" w:hAnsi="Cambria" w:cstheme="minorHAnsi"/>
        </w:rPr>
        <w:t xml:space="preserve">n </w:t>
      </w:r>
      <w:r w:rsidR="00BA4592" w:rsidRPr="009A0DA6">
        <w:rPr>
          <w:rFonts w:ascii="Cambria" w:eastAsia="Times New Roman" w:hAnsi="Cambria" w:cstheme="minorHAnsi"/>
          <w:spacing w:val="1"/>
        </w:rPr>
        <w:t>Ed</w:t>
      </w:r>
      <w:r w:rsidR="00BA4592" w:rsidRPr="009A0DA6">
        <w:rPr>
          <w:rFonts w:ascii="Cambria" w:eastAsia="Times New Roman" w:hAnsi="Cambria" w:cstheme="minorHAnsi"/>
          <w:spacing w:val="-1"/>
        </w:rPr>
        <w:t>u</w:t>
      </w:r>
      <w:r w:rsidR="00BA4592" w:rsidRPr="009A0DA6">
        <w:rPr>
          <w:rFonts w:ascii="Cambria" w:eastAsia="Times New Roman" w:hAnsi="Cambria" w:cstheme="minorHAnsi"/>
        </w:rPr>
        <w:t>cati</w:t>
      </w:r>
      <w:r w:rsidR="00BA4592" w:rsidRPr="009A0DA6">
        <w:rPr>
          <w:rFonts w:ascii="Cambria" w:eastAsia="Times New Roman" w:hAnsi="Cambria" w:cstheme="minorHAnsi"/>
          <w:spacing w:val="1"/>
        </w:rPr>
        <w:t>o</w:t>
      </w:r>
      <w:r w:rsidR="00BA4592" w:rsidRPr="009A0DA6">
        <w:rPr>
          <w:rFonts w:ascii="Cambria" w:eastAsia="Times New Roman" w:hAnsi="Cambria" w:cstheme="minorHAnsi"/>
        </w:rPr>
        <w:t>n</w:t>
      </w:r>
      <w:r w:rsidR="00BA4592" w:rsidRPr="009A0DA6">
        <w:rPr>
          <w:rFonts w:ascii="Cambria" w:eastAsia="Times New Roman" w:hAnsi="Cambria" w:cstheme="minorHAnsi"/>
          <w:spacing w:val="2"/>
        </w:rPr>
        <w:t xml:space="preserve"> </w:t>
      </w:r>
      <w:r w:rsidR="00BA4592" w:rsidRPr="009A0DA6">
        <w:rPr>
          <w:rFonts w:ascii="Cambria" w:eastAsia="Times New Roman" w:hAnsi="Cambria" w:cstheme="minorHAnsi"/>
        </w:rPr>
        <w:t>A</w:t>
      </w:r>
      <w:r w:rsidR="00BA4592" w:rsidRPr="009A0DA6">
        <w:rPr>
          <w:rFonts w:ascii="Cambria" w:eastAsia="Times New Roman" w:hAnsi="Cambria" w:cstheme="minorHAnsi"/>
          <w:spacing w:val="-1"/>
        </w:rPr>
        <w:t>us</w:t>
      </w:r>
      <w:r w:rsidR="00BA4592" w:rsidRPr="009A0DA6">
        <w:rPr>
          <w:rFonts w:ascii="Cambria" w:eastAsia="Times New Roman" w:hAnsi="Cambria" w:cstheme="minorHAnsi"/>
        </w:rPr>
        <w:t>t</w:t>
      </w:r>
      <w:r w:rsidR="00BA4592" w:rsidRPr="009A0DA6">
        <w:rPr>
          <w:rFonts w:ascii="Cambria" w:eastAsia="Times New Roman" w:hAnsi="Cambria" w:cstheme="minorHAnsi"/>
          <w:spacing w:val="1"/>
        </w:rPr>
        <w:t>r</w:t>
      </w:r>
      <w:r w:rsidR="00BA4592" w:rsidRPr="009A0DA6">
        <w:rPr>
          <w:rFonts w:ascii="Cambria" w:eastAsia="Times New Roman" w:hAnsi="Cambria" w:cstheme="minorHAnsi"/>
        </w:rPr>
        <w:t>alia</w:t>
      </w:r>
      <w:r w:rsidR="00BA4592" w:rsidRPr="009A0DA6">
        <w:rPr>
          <w:rFonts w:ascii="Cambria" w:eastAsia="Times New Roman" w:hAnsi="Cambria" w:cstheme="minorHAnsi"/>
          <w:spacing w:val="4"/>
        </w:rPr>
        <w:t xml:space="preserve"> </w:t>
      </w:r>
      <w:r w:rsidR="00BA4592" w:rsidRPr="009A0DA6">
        <w:rPr>
          <w:rFonts w:ascii="Cambria" w:eastAsia="Times New Roman" w:hAnsi="Cambria" w:cstheme="minorHAnsi"/>
          <w:spacing w:val="-2"/>
        </w:rPr>
        <w:t>L</w:t>
      </w:r>
      <w:r w:rsidR="00BA4592" w:rsidRPr="009A0DA6">
        <w:rPr>
          <w:rFonts w:ascii="Cambria" w:eastAsia="Times New Roman" w:hAnsi="Cambria" w:cstheme="minorHAnsi"/>
          <w:spacing w:val="2"/>
        </w:rPr>
        <w:t>i</w:t>
      </w:r>
      <w:r w:rsidR="00BA4592" w:rsidRPr="009A0DA6">
        <w:rPr>
          <w:rFonts w:ascii="Cambria" w:eastAsia="Times New Roman" w:hAnsi="Cambria" w:cstheme="minorHAnsi"/>
          <w:spacing w:val="-1"/>
        </w:rPr>
        <w:t>m</w:t>
      </w:r>
      <w:r w:rsidR="00BA4592" w:rsidRPr="009A0DA6">
        <w:rPr>
          <w:rFonts w:ascii="Cambria" w:eastAsia="Times New Roman" w:hAnsi="Cambria" w:cstheme="minorHAnsi"/>
        </w:rPr>
        <w:t>ited a</w:t>
      </w:r>
      <w:r w:rsidR="00BA4592" w:rsidRPr="009A0DA6">
        <w:rPr>
          <w:rFonts w:ascii="Cambria" w:eastAsia="Times New Roman" w:hAnsi="Cambria" w:cstheme="minorHAnsi"/>
          <w:spacing w:val="-1"/>
        </w:rPr>
        <w:t>n</w:t>
      </w:r>
      <w:r w:rsidR="00BA4592" w:rsidRPr="009A0DA6">
        <w:rPr>
          <w:rFonts w:ascii="Cambria" w:eastAsia="Times New Roman" w:hAnsi="Cambria" w:cstheme="minorHAnsi"/>
        </w:rPr>
        <w:t>d</w:t>
      </w:r>
      <w:r w:rsidR="00BA4592" w:rsidRPr="009A0DA6">
        <w:rPr>
          <w:rFonts w:ascii="Cambria" w:eastAsia="Times New Roman" w:hAnsi="Cambria" w:cstheme="minorHAnsi"/>
          <w:spacing w:val="6"/>
        </w:rPr>
        <w:t xml:space="preserve"> </w:t>
      </w:r>
      <w:r w:rsidR="00BA4592" w:rsidRPr="009A0DA6">
        <w:rPr>
          <w:rFonts w:ascii="Cambria" w:eastAsia="Times New Roman" w:hAnsi="Cambria" w:cstheme="minorHAnsi"/>
        </w:rPr>
        <w:t>its</w:t>
      </w:r>
      <w:r w:rsidR="00BA4592" w:rsidRPr="009A0DA6">
        <w:rPr>
          <w:rFonts w:ascii="Cambria" w:eastAsia="Times New Roman" w:hAnsi="Cambria" w:cstheme="minorHAnsi"/>
          <w:spacing w:val="5"/>
        </w:rPr>
        <w:t xml:space="preserve"> </w:t>
      </w:r>
      <w:r w:rsidR="00BA4592" w:rsidRPr="009A0DA6">
        <w:rPr>
          <w:rFonts w:ascii="Cambria" w:eastAsia="Times New Roman" w:hAnsi="Cambria" w:cstheme="minorHAnsi"/>
          <w:spacing w:val="-1"/>
        </w:rPr>
        <w:t>s</w:t>
      </w:r>
      <w:r w:rsidR="00BA4592" w:rsidRPr="009A0DA6">
        <w:rPr>
          <w:rFonts w:ascii="Cambria" w:eastAsia="Times New Roman" w:hAnsi="Cambria" w:cstheme="minorHAnsi"/>
        </w:rPr>
        <w:t>tate</w:t>
      </w:r>
      <w:r w:rsidR="00BA4592" w:rsidRPr="009A0DA6">
        <w:rPr>
          <w:rFonts w:ascii="Cambria" w:eastAsia="Times New Roman" w:hAnsi="Cambria" w:cstheme="minorHAnsi"/>
          <w:spacing w:val="4"/>
        </w:rPr>
        <w:t xml:space="preserve"> </w:t>
      </w:r>
      <w:r w:rsidR="00BA4592" w:rsidRPr="009A0DA6">
        <w:rPr>
          <w:rFonts w:ascii="Cambria" w:eastAsia="Times New Roman" w:hAnsi="Cambria" w:cstheme="minorHAnsi"/>
          <w:spacing w:val="1"/>
        </w:rPr>
        <w:t>b</w:t>
      </w:r>
      <w:r w:rsidR="00BA4592" w:rsidRPr="009A0DA6">
        <w:rPr>
          <w:rFonts w:ascii="Cambria" w:eastAsia="Times New Roman" w:hAnsi="Cambria" w:cstheme="minorHAnsi"/>
        </w:rPr>
        <w:t>a</w:t>
      </w:r>
      <w:r w:rsidR="00BA4592" w:rsidRPr="009A0DA6">
        <w:rPr>
          <w:rFonts w:ascii="Cambria" w:eastAsia="Times New Roman" w:hAnsi="Cambria" w:cstheme="minorHAnsi"/>
          <w:spacing w:val="-1"/>
        </w:rPr>
        <w:t>s</w:t>
      </w:r>
      <w:r w:rsidR="00BA4592" w:rsidRPr="009A0DA6">
        <w:rPr>
          <w:rFonts w:ascii="Cambria" w:eastAsia="Times New Roman" w:hAnsi="Cambria" w:cstheme="minorHAnsi"/>
        </w:rPr>
        <w:t>ed</w:t>
      </w:r>
      <w:r w:rsidR="00BA4592" w:rsidRPr="009A0DA6">
        <w:rPr>
          <w:rFonts w:ascii="Cambria" w:eastAsia="Times New Roman" w:hAnsi="Cambria" w:cstheme="minorHAnsi"/>
          <w:spacing w:val="4"/>
        </w:rPr>
        <w:t xml:space="preserve"> </w:t>
      </w:r>
      <w:r w:rsidR="00BA4592" w:rsidRPr="009A0DA6">
        <w:rPr>
          <w:rFonts w:ascii="Cambria" w:eastAsia="Times New Roman" w:hAnsi="Cambria" w:cstheme="minorHAnsi"/>
        </w:rPr>
        <w:t>a</w:t>
      </w:r>
      <w:r w:rsidR="00BA4592" w:rsidRPr="009A0DA6">
        <w:rPr>
          <w:rFonts w:ascii="Cambria" w:eastAsia="Times New Roman" w:hAnsi="Cambria" w:cstheme="minorHAnsi"/>
          <w:spacing w:val="1"/>
        </w:rPr>
        <w:t>f</w:t>
      </w:r>
      <w:r w:rsidR="00BA4592" w:rsidRPr="009A0DA6">
        <w:rPr>
          <w:rFonts w:ascii="Cambria" w:eastAsia="Times New Roman" w:hAnsi="Cambria" w:cstheme="minorHAnsi"/>
          <w:spacing w:val="-1"/>
        </w:rPr>
        <w:t>f</w:t>
      </w:r>
      <w:r w:rsidR="00BA4592" w:rsidRPr="009A0DA6">
        <w:rPr>
          <w:rFonts w:ascii="Cambria" w:eastAsia="Times New Roman" w:hAnsi="Cambria" w:cstheme="minorHAnsi"/>
        </w:rPr>
        <w:t>iliat</w:t>
      </w:r>
      <w:r w:rsidR="00BA4592" w:rsidRPr="009A0DA6">
        <w:rPr>
          <w:rFonts w:ascii="Cambria" w:eastAsia="Times New Roman" w:hAnsi="Cambria" w:cstheme="minorHAnsi"/>
          <w:spacing w:val="3"/>
        </w:rPr>
        <w:t>e</w:t>
      </w:r>
      <w:r w:rsidR="00BA4592" w:rsidRPr="009A0DA6">
        <w:rPr>
          <w:rFonts w:ascii="Cambria" w:eastAsia="Times New Roman" w:hAnsi="Cambria" w:cstheme="minorHAnsi"/>
          <w:spacing w:val="-1"/>
        </w:rPr>
        <w:t>s</w:t>
      </w:r>
      <w:r w:rsidR="00BA4592" w:rsidRPr="009A0DA6">
        <w:rPr>
          <w:rFonts w:ascii="Cambria" w:eastAsia="Times New Roman" w:hAnsi="Cambria" w:cstheme="minorHAnsi"/>
        </w:rPr>
        <w:t>. As</w:t>
      </w:r>
      <w:r w:rsidR="00BA4592" w:rsidRPr="009A0DA6">
        <w:rPr>
          <w:rFonts w:ascii="Cambria" w:eastAsia="Times New Roman" w:hAnsi="Cambria" w:cstheme="minorHAnsi"/>
          <w:spacing w:val="5"/>
        </w:rPr>
        <w:t xml:space="preserve"> </w:t>
      </w:r>
      <w:r w:rsidR="00BA4592" w:rsidRPr="009A0DA6">
        <w:rPr>
          <w:rFonts w:ascii="Cambria" w:eastAsia="Times New Roman" w:hAnsi="Cambria" w:cstheme="minorHAnsi"/>
        </w:rPr>
        <w:t>at</w:t>
      </w:r>
      <w:r w:rsidR="00BA4592" w:rsidRPr="009A0DA6">
        <w:rPr>
          <w:rFonts w:ascii="Cambria" w:eastAsia="Times New Roman" w:hAnsi="Cambria" w:cstheme="minorHAnsi"/>
          <w:spacing w:val="5"/>
        </w:rPr>
        <w:t xml:space="preserve"> </w:t>
      </w:r>
      <w:r w:rsidR="00BA4592" w:rsidRPr="009A0DA6">
        <w:rPr>
          <w:rFonts w:ascii="Cambria" w:eastAsia="Times New Roman" w:hAnsi="Cambria" w:cstheme="minorHAnsi"/>
        </w:rPr>
        <w:t>t</w:t>
      </w:r>
      <w:r w:rsidR="00BA4592" w:rsidRPr="009A0DA6">
        <w:rPr>
          <w:rFonts w:ascii="Cambria" w:eastAsia="Times New Roman" w:hAnsi="Cambria" w:cstheme="minorHAnsi"/>
          <w:spacing w:val="-1"/>
        </w:rPr>
        <w:t>h</w:t>
      </w:r>
      <w:r w:rsidR="00BA4592" w:rsidRPr="009A0DA6">
        <w:rPr>
          <w:rFonts w:ascii="Cambria" w:eastAsia="Times New Roman" w:hAnsi="Cambria" w:cstheme="minorHAnsi"/>
        </w:rPr>
        <w:t>e</w:t>
      </w:r>
      <w:r w:rsidR="00BA4592" w:rsidRPr="009A0DA6">
        <w:rPr>
          <w:rFonts w:ascii="Cambria" w:eastAsia="Times New Roman" w:hAnsi="Cambria" w:cstheme="minorHAnsi"/>
          <w:spacing w:val="5"/>
        </w:rPr>
        <w:t xml:space="preserve"> </w:t>
      </w:r>
      <w:r w:rsidR="00BA4592" w:rsidRPr="009A0DA6">
        <w:rPr>
          <w:rFonts w:ascii="Cambria" w:eastAsia="Times New Roman" w:hAnsi="Cambria" w:cstheme="minorHAnsi"/>
        </w:rPr>
        <w:t>t</w:t>
      </w:r>
      <w:r w:rsidR="00BA4592" w:rsidRPr="009A0DA6">
        <w:rPr>
          <w:rFonts w:ascii="Cambria" w:eastAsia="Times New Roman" w:hAnsi="Cambria" w:cstheme="minorHAnsi"/>
          <w:spacing w:val="2"/>
        </w:rPr>
        <w:t>i</w:t>
      </w:r>
      <w:r w:rsidR="00BA4592" w:rsidRPr="009A0DA6">
        <w:rPr>
          <w:rFonts w:ascii="Cambria" w:eastAsia="Times New Roman" w:hAnsi="Cambria" w:cstheme="minorHAnsi"/>
          <w:spacing w:val="-1"/>
        </w:rPr>
        <w:t>m</w:t>
      </w:r>
      <w:r w:rsidR="00BA4592" w:rsidRPr="009A0DA6">
        <w:rPr>
          <w:rFonts w:ascii="Cambria" w:eastAsia="Times New Roman" w:hAnsi="Cambria" w:cstheme="minorHAnsi"/>
        </w:rPr>
        <w:t>e</w:t>
      </w:r>
      <w:r w:rsidR="00BA4592" w:rsidRPr="009A0DA6">
        <w:rPr>
          <w:rFonts w:ascii="Cambria" w:eastAsia="Times New Roman" w:hAnsi="Cambria" w:cstheme="minorHAnsi"/>
          <w:spacing w:val="4"/>
        </w:rPr>
        <w:t xml:space="preserve"> </w:t>
      </w:r>
      <w:r w:rsidR="00BA4592" w:rsidRPr="009A0DA6">
        <w:rPr>
          <w:rFonts w:ascii="Cambria" w:eastAsia="Times New Roman" w:hAnsi="Cambria" w:cstheme="minorHAnsi"/>
          <w:spacing w:val="1"/>
        </w:rPr>
        <w:t>o</w:t>
      </w:r>
      <w:r w:rsidR="00BA4592" w:rsidRPr="009A0DA6">
        <w:rPr>
          <w:rFonts w:ascii="Cambria" w:eastAsia="Times New Roman" w:hAnsi="Cambria" w:cstheme="minorHAnsi"/>
        </w:rPr>
        <w:t>f</w:t>
      </w:r>
      <w:r w:rsidR="00BA4592" w:rsidRPr="009A0DA6">
        <w:rPr>
          <w:rFonts w:ascii="Cambria" w:eastAsia="Times New Roman" w:hAnsi="Cambria" w:cstheme="minorHAnsi"/>
          <w:spacing w:val="4"/>
        </w:rPr>
        <w:t xml:space="preserve"> </w:t>
      </w:r>
      <w:r w:rsidR="00BA4592" w:rsidRPr="009A0DA6">
        <w:rPr>
          <w:rFonts w:ascii="Cambria" w:eastAsia="Times New Roman" w:hAnsi="Cambria" w:cstheme="minorHAnsi"/>
          <w:spacing w:val="-1"/>
        </w:rPr>
        <w:t>s</w:t>
      </w:r>
      <w:r w:rsidR="00BA4592" w:rsidRPr="009A0DA6">
        <w:rPr>
          <w:rFonts w:ascii="Cambria" w:eastAsia="Times New Roman" w:hAnsi="Cambria" w:cstheme="minorHAnsi"/>
          <w:spacing w:val="2"/>
        </w:rPr>
        <w:t>i</w:t>
      </w:r>
      <w:r w:rsidR="00BA4592" w:rsidRPr="009A0DA6">
        <w:rPr>
          <w:rFonts w:ascii="Cambria" w:eastAsia="Times New Roman" w:hAnsi="Cambria" w:cstheme="minorHAnsi"/>
          <w:spacing w:val="-1"/>
        </w:rPr>
        <w:t>g</w:t>
      </w:r>
      <w:r w:rsidR="00BA4592" w:rsidRPr="009A0DA6">
        <w:rPr>
          <w:rFonts w:ascii="Cambria" w:eastAsia="Times New Roman" w:hAnsi="Cambria" w:cstheme="minorHAnsi"/>
          <w:spacing w:val="1"/>
        </w:rPr>
        <w:t>n</w:t>
      </w:r>
      <w:r w:rsidR="00BA4592" w:rsidRPr="009A0DA6">
        <w:rPr>
          <w:rFonts w:ascii="Cambria" w:eastAsia="Times New Roman" w:hAnsi="Cambria" w:cstheme="minorHAnsi"/>
        </w:rPr>
        <w:t>i</w:t>
      </w:r>
      <w:r w:rsidR="00BA4592" w:rsidRPr="009A0DA6">
        <w:rPr>
          <w:rFonts w:ascii="Cambria" w:eastAsia="Times New Roman" w:hAnsi="Cambria" w:cstheme="minorHAnsi"/>
          <w:spacing w:val="1"/>
        </w:rPr>
        <w:t>n</w:t>
      </w:r>
      <w:r w:rsidR="00BA4592" w:rsidRPr="009A0DA6">
        <w:rPr>
          <w:rFonts w:ascii="Cambria" w:eastAsia="Times New Roman" w:hAnsi="Cambria" w:cstheme="minorHAnsi"/>
        </w:rPr>
        <w:t>g t</w:t>
      </w:r>
      <w:r w:rsidR="00BA4592" w:rsidRPr="009A0DA6">
        <w:rPr>
          <w:rFonts w:ascii="Cambria" w:eastAsia="Times New Roman" w:hAnsi="Cambria" w:cstheme="minorHAnsi"/>
          <w:spacing w:val="-1"/>
        </w:rPr>
        <w:t>h</w:t>
      </w:r>
      <w:r w:rsidR="00BA4592" w:rsidRPr="009A0DA6">
        <w:rPr>
          <w:rFonts w:ascii="Cambria" w:eastAsia="Times New Roman" w:hAnsi="Cambria" w:cstheme="minorHAnsi"/>
        </w:rPr>
        <w:t>e</w:t>
      </w:r>
      <w:r w:rsidR="00BA4592" w:rsidRPr="009A0DA6">
        <w:rPr>
          <w:rFonts w:ascii="Cambria" w:eastAsia="Times New Roman" w:hAnsi="Cambria" w:cstheme="minorHAnsi"/>
          <w:spacing w:val="7"/>
        </w:rPr>
        <w:t xml:space="preserve"> </w:t>
      </w:r>
      <w:r w:rsidR="00BA4592" w:rsidRPr="009A0DA6">
        <w:rPr>
          <w:rFonts w:ascii="Cambria" w:eastAsia="Times New Roman" w:hAnsi="Cambria" w:cstheme="minorHAnsi"/>
        </w:rPr>
        <w:t>a</w:t>
      </w:r>
      <w:r w:rsidR="00BA4592" w:rsidRPr="009A0DA6">
        <w:rPr>
          <w:rFonts w:ascii="Cambria" w:eastAsia="Times New Roman" w:hAnsi="Cambria" w:cstheme="minorHAnsi"/>
          <w:spacing w:val="-1"/>
        </w:rPr>
        <w:t>u</w:t>
      </w:r>
      <w:r w:rsidR="00BA4592" w:rsidRPr="009A0DA6">
        <w:rPr>
          <w:rFonts w:ascii="Cambria" w:eastAsia="Times New Roman" w:hAnsi="Cambria" w:cstheme="minorHAnsi"/>
          <w:spacing w:val="1"/>
        </w:rPr>
        <w:t>d</w:t>
      </w:r>
      <w:r w:rsidR="00BA4592" w:rsidRPr="009A0DA6">
        <w:rPr>
          <w:rFonts w:ascii="Cambria" w:eastAsia="Times New Roman" w:hAnsi="Cambria" w:cstheme="minorHAnsi"/>
        </w:rPr>
        <w:t>it</w:t>
      </w:r>
      <w:r w:rsidR="00BA4592" w:rsidRPr="009A0DA6">
        <w:rPr>
          <w:rFonts w:ascii="Cambria" w:eastAsia="Times New Roman" w:hAnsi="Cambria" w:cstheme="minorHAnsi"/>
          <w:spacing w:val="3"/>
        </w:rPr>
        <w:t xml:space="preserve"> </w:t>
      </w:r>
      <w:r w:rsidR="00BA4592" w:rsidRPr="009A0DA6">
        <w:rPr>
          <w:rFonts w:ascii="Cambria" w:eastAsia="Times New Roman" w:hAnsi="Cambria" w:cstheme="minorHAnsi"/>
          <w:spacing w:val="1"/>
        </w:rPr>
        <w:t>r</w:t>
      </w:r>
      <w:r w:rsidR="00BA4592" w:rsidRPr="009A0DA6">
        <w:rPr>
          <w:rFonts w:ascii="Cambria" w:eastAsia="Times New Roman" w:hAnsi="Cambria" w:cstheme="minorHAnsi"/>
        </w:rPr>
        <w:t>e</w:t>
      </w:r>
      <w:r w:rsidR="00BA4592" w:rsidRPr="009A0DA6">
        <w:rPr>
          <w:rFonts w:ascii="Cambria" w:eastAsia="Times New Roman" w:hAnsi="Cambria" w:cstheme="minorHAnsi"/>
          <w:spacing w:val="1"/>
        </w:rPr>
        <w:t>por</w:t>
      </w:r>
      <w:r w:rsidR="00BA4592" w:rsidRPr="009A0DA6">
        <w:rPr>
          <w:rFonts w:ascii="Cambria" w:eastAsia="Times New Roman" w:hAnsi="Cambria" w:cstheme="minorHAnsi"/>
        </w:rPr>
        <w:t>t</w:t>
      </w:r>
      <w:r w:rsidR="00BA4592" w:rsidRPr="009A0DA6">
        <w:rPr>
          <w:rFonts w:ascii="Cambria" w:eastAsia="Times New Roman" w:hAnsi="Cambria" w:cstheme="minorHAnsi"/>
          <w:spacing w:val="2"/>
        </w:rPr>
        <w:t xml:space="preserve"> </w:t>
      </w:r>
      <w:r w:rsidR="00BA4592" w:rsidRPr="009A0DA6">
        <w:rPr>
          <w:rFonts w:ascii="Cambria" w:eastAsia="Times New Roman" w:hAnsi="Cambria" w:cstheme="minorHAnsi"/>
        </w:rPr>
        <w:t>t</w:t>
      </w:r>
      <w:r w:rsidR="00BA4592" w:rsidRPr="009A0DA6">
        <w:rPr>
          <w:rFonts w:ascii="Cambria" w:eastAsia="Times New Roman" w:hAnsi="Cambria" w:cstheme="minorHAnsi"/>
          <w:spacing w:val="-1"/>
        </w:rPr>
        <w:t>h</w:t>
      </w:r>
      <w:r w:rsidR="00BA4592" w:rsidRPr="009A0DA6">
        <w:rPr>
          <w:rFonts w:ascii="Cambria" w:eastAsia="Times New Roman" w:hAnsi="Cambria" w:cstheme="minorHAnsi"/>
        </w:rPr>
        <w:t>e</w:t>
      </w:r>
      <w:r w:rsidR="00BA4592" w:rsidRPr="009A0DA6">
        <w:rPr>
          <w:rFonts w:ascii="Cambria" w:eastAsia="Times New Roman" w:hAnsi="Cambria" w:cstheme="minorHAnsi"/>
          <w:spacing w:val="1"/>
        </w:rPr>
        <w:t>r</w:t>
      </w:r>
      <w:r w:rsidR="00BA4592" w:rsidRPr="009A0DA6">
        <w:rPr>
          <w:rFonts w:ascii="Cambria" w:eastAsia="Times New Roman" w:hAnsi="Cambria" w:cstheme="minorHAnsi"/>
        </w:rPr>
        <w:t>e</w:t>
      </w:r>
      <w:r w:rsidR="00BA4592" w:rsidRPr="009A0DA6">
        <w:rPr>
          <w:rFonts w:ascii="Cambria" w:eastAsia="Times New Roman" w:hAnsi="Cambria" w:cstheme="minorHAnsi"/>
          <w:spacing w:val="4"/>
        </w:rPr>
        <w:t xml:space="preserve"> </w:t>
      </w:r>
      <w:r w:rsidR="00BA4592" w:rsidRPr="009A0DA6">
        <w:rPr>
          <w:rFonts w:ascii="Cambria" w:eastAsia="Times New Roman" w:hAnsi="Cambria" w:cstheme="minorHAnsi"/>
        </w:rPr>
        <w:t>a</w:t>
      </w:r>
      <w:r w:rsidR="00BA4592" w:rsidRPr="009A0DA6">
        <w:rPr>
          <w:rFonts w:ascii="Cambria" w:eastAsia="Times New Roman" w:hAnsi="Cambria" w:cstheme="minorHAnsi"/>
          <w:spacing w:val="1"/>
        </w:rPr>
        <w:t>r</w:t>
      </w:r>
      <w:r w:rsidR="00BA4592" w:rsidRPr="009A0DA6">
        <w:rPr>
          <w:rFonts w:ascii="Cambria" w:eastAsia="Times New Roman" w:hAnsi="Cambria" w:cstheme="minorHAnsi"/>
        </w:rPr>
        <w:t>e</w:t>
      </w:r>
      <w:r w:rsidR="00BA4592" w:rsidRPr="009A0DA6">
        <w:rPr>
          <w:rFonts w:ascii="Cambria" w:eastAsia="Times New Roman" w:hAnsi="Cambria" w:cstheme="minorHAnsi"/>
          <w:spacing w:val="5"/>
        </w:rPr>
        <w:t xml:space="preserve"> </w:t>
      </w:r>
      <w:r w:rsidR="00BA4592" w:rsidRPr="009A0DA6">
        <w:rPr>
          <w:rFonts w:ascii="Cambria" w:eastAsia="Times New Roman" w:hAnsi="Cambria" w:cstheme="minorHAnsi"/>
          <w:spacing w:val="-1"/>
        </w:rPr>
        <w:t>n</w:t>
      </w:r>
      <w:r w:rsidR="00BA4592" w:rsidRPr="009A0DA6">
        <w:rPr>
          <w:rFonts w:ascii="Cambria" w:eastAsia="Times New Roman" w:hAnsi="Cambria" w:cstheme="minorHAnsi"/>
        </w:rPr>
        <w:t>o</w:t>
      </w:r>
      <w:r w:rsidR="00BA4592" w:rsidRPr="009A0DA6">
        <w:rPr>
          <w:rFonts w:ascii="Cambria" w:eastAsia="Times New Roman" w:hAnsi="Cambria" w:cstheme="minorHAnsi"/>
          <w:spacing w:val="7"/>
        </w:rPr>
        <w:t xml:space="preserve"> </w:t>
      </w:r>
      <w:r w:rsidR="00BA4592" w:rsidRPr="009A0DA6">
        <w:rPr>
          <w:rFonts w:ascii="Cambria" w:eastAsia="Times New Roman" w:hAnsi="Cambria" w:cstheme="minorHAnsi"/>
          <w:spacing w:val="-1"/>
        </w:rPr>
        <w:t>g</w:t>
      </w:r>
      <w:r w:rsidR="00BA4592" w:rsidRPr="009A0DA6">
        <w:rPr>
          <w:rFonts w:ascii="Cambria" w:eastAsia="Times New Roman" w:hAnsi="Cambria" w:cstheme="minorHAnsi"/>
          <w:spacing w:val="1"/>
        </w:rPr>
        <w:t>ro</w:t>
      </w:r>
      <w:r w:rsidR="00BA4592" w:rsidRPr="009A0DA6">
        <w:rPr>
          <w:rFonts w:ascii="Cambria" w:eastAsia="Times New Roman" w:hAnsi="Cambria" w:cstheme="minorHAnsi"/>
          <w:spacing w:val="-4"/>
        </w:rPr>
        <w:t>u</w:t>
      </w:r>
      <w:r w:rsidR="00BA4592" w:rsidRPr="009A0DA6">
        <w:rPr>
          <w:rFonts w:ascii="Cambria" w:eastAsia="Times New Roman" w:hAnsi="Cambria" w:cstheme="minorHAnsi"/>
          <w:spacing w:val="-1"/>
        </w:rPr>
        <w:t>n</w:t>
      </w:r>
      <w:r w:rsidR="00BA4592" w:rsidRPr="009A0DA6">
        <w:rPr>
          <w:rFonts w:ascii="Cambria" w:eastAsia="Times New Roman" w:hAnsi="Cambria" w:cstheme="minorHAnsi"/>
          <w:spacing w:val="1"/>
        </w:rPr>
        <w:t>d</w:t>
      </w:r>
      <w:r w:rsidR="00BA4592" w:rsidRPr="009A0DA6">
        <w:rPr>
          <w:rFonts w:ascii="Cambria" w:eastAsia="Times New Roman" w:hAnsi="Cambria" w:cstheme="minorHAnsi"/>
        </w:rPr>
        <w:t>s to</w:t>
      </w:r>
      <w:r w:rsidR="00BA4592" w:rsidRPr="009A0DA6">
        <w:rPr>
          <w:rFonts w:ascii="Cambria" w:eastAsia="Times New Roman" w:hAnsi="Cambria" w:cstheme="minorHAnsi"/>
          <w:spacing w:val="7"/>
        </w:rPr>
        <w:t xml:space="preserve"> </w:t>
      </w:r>
      <w:r w:rsidR="00BA4592" w:rsidRPr="009A0DA6">
        <w:rPr>
          <w:rFonts w:ascii="Cambria" w:eastAsia="Times New Roman" w:hAnsi="Cambria" w:cstheme="minorHAnsi"/>
          <w:spacing w:val="1"/>
        </w:rPr>
        <w:t>b</w:t>
      </w:r>
      <w:r w:rsidR="00BA4592" w:rsidRPr="009A0DA6">
        <w:rPr>
          <w:rFonts w:ascii="Cambria" w:eastAsia="Times New Roman" w:hAnsi="Cambria" w:cstheme="minorHAnsi"/>
        </w:rPr>
        <w:t>elie</w:t>
      </w:r>
      <w:r w:rsidR="00BA4592" w:rsidRPr="009A0DA6">
        <w:rPr>
          <w:rFonts w:ascii="Cambria" w:eastAsia="Times New Roman" w:hAnsi="Cambria" w:cstheme="minorHAnsi"/>
          <w:spacing w:val="-1"/>
        </w:rPr>
        <w:t>v</w:t>
      </w:r>
      <w:r w:rsidR="00BA4592" w:rsidRPr="009A0DA6">
        <w:rPr>
          <w:rFonts w:ascii="Cambria" w:eastAsia="Times New Roman" w:hAnsi="Cambria" w:cstheme="minorHAnsi"/>
        </w:rPr>
        <w:t>e</w:t>
      </w:r>
      <w:r w:rsidR="00BA4592" w:rsidRPr="009A0DA6">
        <w:rPr>
          <w:rFonts w:ascii="Cambria" w:eastAsia="Times New Roman" w:hAnsi="Cambria" w:cstheme="minorHAnsi"/>
          <w:spacing w:val="2"/>
        </w:rPr>
        <w:t xml:space="preserve"> </w:t>
      </w:r>
      <w:r w:rsidR="00BA4592" w:rsidRPr="009A0DA6">
        <w:rPr>
          <w:rFonts w:ascii="Cambria" w:eastAsia="Times New Roman" w:hAnsi="Cambria" w:cstheme="minorHAnsi"/>
        </w:rPr>
        <w:t>t</w:t>
      </w:r>
      <w:r w:rsidR="00BA4592" w:rsidRPr="009A0DA6">
        <w:rPr>
          <w:rFonts w:ascii="Cambria" w:eastAsia="Times New Roman" w:hAnsi="Cambria" w:cstheme="minorHAnsi"/>
          <w:spacing w:val="-1"/>
        </w:rPr>
        <w:t>h</w:t>
      </w:r>
      <w:r w:rsidR="00BA4592" w:rsidRPr="009A0DA6">
        <w:rPr>
          <w:rFonts w:ascii="Cambria" w:eastAsia="Times New Roman" w:hAnsi="Cambria" w:cstheme="minorHAnsi"/>
          <w:spacing w:val="3"/>
        </w:rPr>
        <w:t>a</w:t>
      </w:r>
      <w:r w:rsidR="00BA4592" w:rsidRPr="009A0DA6">
        <w:rPr>
          <w:rFonts w:ascii="Cambria" w:eastAsia="Times New Roman" w:hAnsi="Cambria" w:cstheme="minorHAnsi"/>
        </w:rPr>
        <w:t>t a</w:t>
      </w:r>
      <w:r w:rsidR="00BA4592" w:rsidRPr="009A0DA6">
        <w:rPr>
          <w:rFonts w:ascii="Cambria" w:eastAsia="Times New Roman" w:hAnsi="Cambria" w:cstheme="minorHAnsi"/>
          <w:spacing w:val="1"/>
        </w:rPr>
        <w:t>n</w:t>
      </w:r>
      <w:r w:rsidR="00BA4592" w:rsidRPr="009A0DA6">
        <w:rPr>
          <w:rFonts w:ascii="Cambria" w:eastAsia="Times New Roman" w:hAnsi="Cambria" w:cstheme="minorHAnsi"/>
        </w:rPr>
        <w:t>y</w:t>
      </w:r>
      <w:r w:rsidR="00BA4592" w:rsidRPr="009A0DA6">
        <w:rPr>
          <w:rFonts w:ascii="Cambria" w:eastAsia="Times New Roman" w:hAnsi="Cambria" w:cstheme="minorHAnsi"/>
          <w:spacing w:val="7"/>
        </w:rPr>
        <w:t xml:space="preserve"> </w:t>
      </w:r>
      <w:r w:rsidR="00BA4592" w:rsidRPr="009A0DA6">
        <w:rPr>
          <w:rFonts w:ascii="Cambria" w:eastAsia="Times New Roman" w:hAnsi="Cambria" w:cstheme="minorHAnsi"/>
          <w:spacing w:val="1"/>
        </w:rPr>
        <w:t>g</w:t>
      </w:r>
      <w:r w:rsidR="00BA4592" w:rsidRPr="009A0DA6">
        <w:rPr>
          <w:rFonts w:ascii="Cambria" w:eastAsia="Times New Roman" w:hAnsi="Cambria" w:cstheme="minorHAnsi"/>
          <w:spacing w:val="-1"/>
        </w:rPr>
        <w:t>u</w:t>
      </w:r>
      <w:r w:rsidR="00BA4592" w:rsidRPr="009A0DA6">
        <w:rPr>
          <w:rFonts w:ascii="Cambria" w:eastAsia="Times New Roman" w:hAnsi="Cambria" w:cstheme="minorHAnsi"/>
        </w:rPr>
        <w:t>a</w:t>
      </w:r>
      <w:r w:rsidR="00BA4592" w:rsidRPr="009A0DA6">
        <w:rPr>
          <w:rFonts w:ascii="Cambria" w:eastAsia="Times New Roman" w:hAnsi="Cambria" w:cstheme="minorHAnsi"/>
          <w:spacing w:val="1"/>
        </w:rPr>
        <w:t>r</w:t>
      </w:r>
      <w:r w:rsidR="00BA4592" w:rsidRPr="009A0DA6">
        <w:rPr>
          <w:rFonts w:ascii="Cambria" w:eastAsia="Times New Roman" w:hAnsi="Cambria" w:cstheme="minorHAnsi"/>
        </w:rPr>
        <w:t>a</w:t>
      </w:r>
      <w:r w:rsidR="00BA4592" w:rsidRPr="009A0DA6">
        <w:rPr>
          <w:rFonts w:ascii="Cambria" w:eastAsia="Times New Roman" w:hAnsi="Cambria" w:cstheme="minorHAnsi"/>
          <w:spacing w:val="-1"/>
        </w:rPr>
        <w:t>n</w:t>
      </w:r>
      <w:r w:rsidR="00BA4592" w:rsidRPr="009A0DA6">
        <w:rPr>
          <w:rFonts w:ascii="Cambria" w:eastAsia="Times New Roman" w:hAnsi="Cambria" w:cstheme="minorHAnsi"/>
        </w:rPr>
        <w:t>tee</w:t>
      </w:r>
      <w:r w:rsidR="00BA4592" w:rsidRPr="009A0DA6">
        <w:rPr>
          <w:rFonts w:ascii="Cambria" w:eastAsia="Times New Roman" w:hAnsi="Cambria" w:cstheme="minorHAnsi"/>
          <w:spacing w:val="3"/>
        </w:rPr>
        <w:t xml:space="preserve"> </w:t>
      </w:r>
      <w:r w:rsidR="00BA4592" w:rsidRPr="009A0DA6">
        <w:rPr>
          <w:rFonts w:ascii="Cambria" w:eastAsia="Times New Roman" w:hAnsi="Cambria" w:cstheme="minorHAnsi"/>
          <w:spacing w:val="1"/>
        </w:rPr>
        <w:t>pro</w:t>
      </w:r>
      <w:r w:rsidR="00BA4592" w:rsidRPr="009A0DA6">
        <w:rPr>
          <w:rFonts w:ascii="Cambria" w:eastAsia="Times New Roman" w:hAnsi="Cambria" w:cstheme="minorHAnsi"/>
          <w:spacing w:val="-1"/>
        </w:rPr>
        <w:t>v</w:t>
      </w:r>
      <w:r w:rsidR="00BA4592" w:rsidRPr="009A0DA6">
        <w:rPr>
          <w:rFonts w:ascii="Cambria" w:eastAsia="Times New Roman" w:hAnsi="Cambria" w:cstheme="minorHAnsi"/>
        </w:rPr>
        <w:t>i</w:t>
      </w:r>
      <w:r w:rsidR="00BA4592" w:rsidRPr="009A0DA6">
        <w:rPr>
          <w:rFonts w:ascii="Cambria" w:eastAsia="Times New Roman" w:hAnsi="Cambria" w:cstheme="minorHAnsi"/>
          <w:spacing w:val="1"/>
        </w:rPr>
        <w:t>d</w:t>
      </w:r>
      <w:r w:rsidR="00BA4592" w:rsidRPr="009A0DA6">
        <w:rPr>
          <w:rFonts w:ascii="Cambria" w:eastAsia="Times New Roman" w:hAnsi="Cambria" w:cstheme="minorHAnsi"/>
        </w:rPr>
        <w:t>ed</w:t>
      </w:r>
      <w:r w:rsidR="00BA4592" w:rsidRPr="009A0DA6">
        <w:rPr>
          <w:rFonts w:ascii="Cambria" w:eastAsia="Times New Roman" w:hAnsi="Cambria" w:cstheme="minorHAnsi"/>
          <w:spacing w:val="5"/>
        </w:rPr>
        <w:t xml:space="preserve"> </w:t>
      </w:r>
      <w:r w:rsidR="00BA4592" w:rsidRPr="009A0DA6">
        <w:rPr>
          <w:rFonts w:ascii="Cambria" w:eastAsia="Times New Roman" w:hAnsi="Cambria" w:cstheme="minorHAnsi"/>
          <w:spacing w:val="1"/>
        </w:rPr>
        <w:t>b</w:t>
      </w:r>
      <w:r w:rsidR="00BA4592" w:rsidRPr="009A0DA6">
        <w:rPr>
          <w:rFonts w:ascii="Cambria" w:eastAsia="Times New Roman" w:hAnsi="Cambria" w:cstheme="minorHAnsi"/>
        </w:rPr>
        <w:t>y</w:t>
      </w:r>
      <w:r w:rsidR="00BA4592" w:rsidRPr="009A0DA6">
        <w:rPr>
          <w:rFonts w:ascii="Cambria" w:eastAsia="Times New Roman" w:hAnsi="Cambria" w:cstheme="minorHAnsi"/>
          <w:spacing w:val="5"/>
        </w:rPr>
        <w:t xml:space="preserve"> </w:t>
      </w:r>
      <w:r w:rsidR="00BA4592" w:rsidRPr="009A0DA6">
        <w:rPr>
          <w:rFonts w:ascii="Cambria" w:eastAsia="Times New Roman" w:hAnsi="Cambria" w:cstheme="minorHAnsi"/>
          <w:spacing w:val="2"/>
        </w:rPr>
        <w:t>t</w:t>
      </w:r>
      <w:r w:rsidR="00BA4592" w:rsidRPr="009A0DA6">
        <w:rPr>
          <w:rFonts w:ascii="Cambria" w:eastAsia="Times New Roman" w:hAnsi="Cambria" w:cstheme="minorHAnsi"/>
          <w:spacing w:val="-1"/>
        </w:rPr>
        <w:t>h</w:t>
      </w:r>
      <w:r w:rsidR="00BA4592" w:rsidRPr="009A0DA6">
        <w:rPr>
          <w:rFonts w:ascii="Cambria" w:eastAsia="Times New Roman" w:hAnsi="Cambria" w:cstheme="minorHAnsi"/>
        </w:rPr>
        <w:t>e</w:t>
      </w:r>
      <w:r w:rsidR="00BA4592" w:rsidRPr="009A0DA6">
        <w:rPr>
          <w:rFonts w:ascii="Cambria" w:eastAsia="Times New Roman" w:hAnsi="Cambria" w:cstheme="minorHAnsi"/>
          <w:spacing w:val="8"/>
        </w:rPr>
        <w:t xml:space="preserve"> </w:t>
      </w:r>
      <w:r w:rsidR="00BA4592" w:rsidRPr="009A0DA6">
        <w:rPr>
          <w:rFonts w:ascii="Cambria" w:eastAsia="Times New Roman" w:hAnsi="Cambria" w:cstheme="minorHAnsi"/>
          <w:spacing w:val="1"/>
        </w:rPr>
        <w:t>L</w:t>
      </w:r>
      <w:r w:rsidR="00BA4592" w:rsidRPr="009A0DA6">
        <w:rPr>
          <w:rFonts w:ascii="Cambria" w:eastAsia="Times New Roman" w:hAnsi="Cambria" w:cstheme="minorHAnsi"/>
          <w:spacing w:val="2"/>
        </w:rPr>
        <w:t>C</w:t>
      </w:r>
      <w:r w:rsidR="00BA4592" w:rsidRPr="009A0DA6">
        <w:rPr>
          <w:rFonts w:ascii="Cambria" w:eastAsia="Times New Roman" w:hAnsi="Cambria" w:cstheme="minorHAnsi"/>
        </w:rPr>
        <w:t>A</w:t>
      </w:r>
      <w:r w:rsidR="00BA4592" w:rsidRPr="009A0DA6">
        <w:rPr>
          <w:rFonts w:ascii="Cambria" w:eastAsia="Times New Roman" w:hAnsi="Cambria" w:cstheme="minorHAnsi"/>
          <w:spacing w:val="5"/>
        </w:rPr>
        <w:t xml:space="preserve"> </w:t>
      </w:r>
      <w:r w:rsidR="00BA4592" w:rsidRPr="009A0DA6">
        <w:rPr>
          <w:rFonts w:ascii="Cambria" w:eastAsia="Times New Roman" w:hAnsi="Cambria" w:cstheme="minorHAnsi"/>
        </w:rPr>
        <w:t>to</w:t>
      </w:r>
      <w:r w:rsidR="00BA4592" w:rsidRPr="009A0DA6">
        <w:rPr>
          <w:rFonts w:ascii="Cambria" w:eastAsia="Times New Roman" w:hAnsi="Cambria" w:cstheme="minorHAnsi"/>
          <w:spacing w:val="10"/>
        </w:rPr>
        <w:t xml:space="preserve"> </w:t>
      </w:r>
      <w:r w:rsidR="00BA4592" w:rsidRPr="009A0DA6">
        <w:rPr>
          <w:rFonts w:ascii="Cambria" w:eastAsia="Times New Roman" w:hAnsi="Cambria" w:cstheme="minorHAnsi"/>
          <w:spacing w:val="2"/>
        </w:rPr>
        <w:t>W</w:t>
      </w:r>
      <w:r w:rsidR="00BA4592" w:rsidRPr="009A0DA6">
        <w:rPr>
          <w:rFonts w:ascii="Cambria" w:eastAsia="Times New Roman" w:hAnsi="Cambria" w:cstheme="minorHAnsi"/>
        </w:rPr>
        <w:t>e</w:t>
      </w:r>
      <w:r w:rsidR="00BA4592" w:rsidRPr="009A0DA6">
        <w:rPr>
          <w:rFonts w:ascii="Cambria" w:eastAsia="Times New Roman" w:hAnsi="Cambria" w:cstheme="minorHAnsi"/>
          <w:spacing w:val="-1"/>
        </w:rPr>
        <w:t>s</w:t>
      </w:r>
      <w:r w:rsidR="00BA4592" w:rsidRPr="009A0DA6">
        <w:rPr>
          <w:rFonts w:ascii="Cambria" w:eastAsia="Times New Roman" w:hAnsi="Cambria" w:cstheme="minorHAnsi"/>
        </w:rPr>
        <w:t>t</w:t>
      </w:r>
      <w:r w:rsidR="00BA4592" w:rsidRPr="009A0DA6">
        <w:rPr>
          <w:rFonts w:ascii="Cambria" w:eastAsia="Times New Roman" w:hAnsi="Cambria" w:cstheme="minorHAnsi"/>
          <w:spacing w:val="1"/>
        </w:rPr>
        <w:t>p</w:t>
      </w:r>
      <w:r w:rsidR="00BA4592" w:rsidRPr="009A0DA6">
        <w:rPr>
          <w:rFonts w:ascii="Cambria" w:eastAsia="Times New Roman" w:hAnsi="Cambria" w:cstheme="minorHAnsi"/>
        </w:rPr>
        <w:t>ac</w:t>
      </w:r>
      <w:r w:rsidR="00BA4592" w:rsidRPr="009A0DA6">
        <w:rPr>
          <w:rFonts w:ascii="Cambria" w:eastAsia="Times New Roman" w:hAnsi="Cambria" w:cstheme="minorHAnsi"/>
          <w:spacing w:val="4"/>
        </w:rPr>
        <w:t xml:space="preserve"> </w:t>
      </w:r>
      <w:r w:rsidR="00BA4592" w:rsidRPr="009A0DA6">
        <w:rPr>
          <w:rFonts w:ascii="Cambria" w:eastAsia="Times New Roman" w:hAnsi="Cambria" w:cstheme="minorHAnsi"/>
          <w:spacing w:val="2"/>
        </w:rPr>
        <w:t>B</w:t>
      </w:r>
      <w:r w:rsidR="00BA4592" w:rsidRPr="009A0DA6">
        <w:rPr>
          <w:rFonts w:ascii="Cambria" w:eastAsia="Times New Roman" w:hAnsi="Cambria" w:cstheme="minorHAnsi"/>
        </w:rPr>
        <w:t>a</w:t>
      </w:r>
      <w:r w:rsidR="00BA4592" w:rsidRPr="009A0DA6">
        <w:rPr>
          <w:rFonts w:ascii="Cambria" w:eastAsia="Times New Roman" w:hAnsi="Cambria" w:cstheme="minorHAnsi"/>
          <w:spacing w:val="-1"/>
        </w:rPr>
        <w:t>nk</w:t>
      </w:r>
      <w:r w:rsidR="00BA4592" w:rsidRPr="009A0DA6">
        <w:rPr>
          <w:rFonts w:ascii="Cambria" w:eastAsia="Times New Roman" w:hAnsi="Cambria" w:cstheme="minorHAnsi"/>
          <w:spacing w:val="2"/>
        </w:rPr>
        <w:t>i</w:t>
      </w:r>
      <w:r w:rsidR="00BA4592" w:rsidRPr="009A0DA6">
        <w:rPr>
          <w:rFonts w:ascii="Cambria" w:eastAsia="Times New Roman" w:hAnsi="Cambria" w:cstheme="minorHAnsi"/>
          <w:spacing w:val="1"/>
        </w:rPr>
        <w:t>n</w:t>
      </w:r>
      <w:r w:rsidR="00BA4592" w:rsidRPr="009A0DA6">
        <w:rPr>
          <w:rFonts w:ascii="Cambria" w:eastAsia="Times New Roman" w:hAnsi="Cambria" w:cstheme="minorHAnsi"/>
        </w:rPr>
        <w:t>g</w:t>
      </w:r>
      <w:r w:rsidR="00BA4592" w:rsidRPr="009A0DA6">
        <w:rPr>
          <w:rFonts w:ascii="Cambria" w:eastAsia="Times New Roman" w:hAnsi="Cambria" w:cstheme="minorHAnsi"/>
          <w:spacing w:val="3"/>
        </w:rPr>
        <w:t xml:space="preserve"> </w:t>
      </w:r>
      <w:r w:rsidR="00BA4592" w:rsidRPr="009A0DA6">
        <w:rPr>
          <w:rFonts w:ascii="Cambria" w:eastAsia="Times New Roman" w:hAnsi="Cambria" w:cstheme="minorHAnsi"/>
          <w:spacing w:val="-1"/>
        </w:rPr>
        <w:t>C</w:t>
      </w:r>
      <w:r w:rsidR="00BA4592" w:rsidRPr="009A0DA6">
        <w:rPr>
          <w:rFonts w:ascii="Cambria" w:eastAsia="Times New Roman" w:hAnsi="Cambria" w:cstheme="minorHAnsi"/>
          <w:spacing w:val="1"/>
        </w:rPr>
        <w:t>orpor</w:t>
      </w:r>
      <w:r w:rsidR="00BA4592" w:rsidRPr="009A0DA6">
        <w:rPr>
          <w:rFonts w:ascii="Cambria" w:eastAsia="Times New Roman" w:hAnsi="Cambria" w:cstheme="minorHAnsi"/>
        </w:rPr>
        <w:t>ati</w:t>
      </w:r>
      <w:r w:rsidR="00BA4592" w:rsidRPr="009A0DA6">
        <w:rPr>
          <w:rFonts w:ascii="Cambria" w:eastAsia="Times New Roman" w:hAnsi="Cambria" w:cstheme="minorHAnsi"/>
          <w:spacing w:val="1"/>
        </w:rPr>
        <w:t>o</w:t>
      </w:r>
      <w:r w:rsidR="00BA4592" w:rsidRPr="009A0DA6">
        <w:rPr>
          <w:rFonts w:ascii="Cambria" w:eastAsia="Times New Roman" w:hAnsi="Cambria" w:cstheme="minorHAnsi"/>
        </w:rPr>
        <w:t>n is</w:t>
      </w:r>
      <w:r w:rsidR="00BA4592" w:rsidRPr="009A0DA6">
        <w:rPr>
          <w:rFonts w:ascii="Cambria" w:eastAsia="Times New Roman" w:hAnsi="Cambria" w:cstheme="minorHAnsi"/>
          <w:spacing w:val="8"/>
        </w:rPr>
        <w:t xml:space="preserve"> </w:t>
      </w:r>
      <w:r w:rsidR="00BA4592" w:rsidRPr="009A0DA6">
        <w:rPr>
          <w:rFonts w:ascii="Cambria" w:eastAsia="Times New Roman" w:hAnsi="Cambria" w:cstheme="minorHAnsi"/>
        </w:rPr>
        <w:t>in</w:t>
      </w:r>
      <w:r w:rsidR="00BA4592" w:rsidRPr="009A0DA6">
        <w:rPr>
          <w:rFonts w:ascii="Cambria" w:eastAsia="Times New Roman" w:hAnsi="Cambria" w:cstheme="minorHAnsi"/>
          <w:spacing w:val="8"/>
        </w:rPr>
        <w:t xml:space="preserve"> </w:t>
      </w:r>
      <w:r w:rsidR="00BA4592" w:rsidRPr="009A0DA6">
        <w:rPr>
          <w:rFonts w:ascii="Cambria" w:eastAsia="Times New Roman" w:hAnsi="Cambria" w:cstheme="minorHAnsi"/>
          <w:spacing w:val="3"/>
        </w:rPr>
        <w:t>a</w:t>
      </w:r>
      <w:r w:rsidR="00BA4592" w:rsidRPr="009A0DA6">
        <w:rPr>
          <w:rFonts w:ascii="Cambria" w:eastAsia="Times New Roman" w:hAnsi="Cambria" w:cstheme="minorHAnsi"/>
          <w:spacing w:val="1"/>
        </w:rPr>
        <w:t>ny</w:t>
      </w:r>
      <w:r w:rsidR="00BA4592" w:rsidRPr="009A0DA6">
        <w:rPr>
          <w:rFonts w:ascii="Cambria" w:eastAsia="Times New Roman" w:hAnsi="Cambria" w:cstheme="minorHAnsi"/>
          <w:spacing w:val="-2"/>
        </w:rPr>
        <w:t>w</w:t>
      </w:r>
      <w:r w:rsidR="00BA4592" w:rsidRPr="009A0DA6">
        <w:rPr>
          <w:rFonts w:ascii="Cambria" w:eastAsia="Times New Roman" w:hAnsi="Cambria" w:cstheme="minorHAnsi"/>
          <w:spacing w:val="3"/>
        </w:rPr>
        <w:t>a</w:t>
      </w:r>
      <w:r w:rsidR="00BA4592" w:rsidRPr="009A0DA6">
        <w:rPr>
          <w:rFonts w:ascii="Cambria" w:eastAsia="Times New Roman" w:hAnsi="Cambria" w:cstheme="minorHAnsi"/>
        </w:rPr>
        <w:t>y</w:t>
      </w:r>
      <w:r w:rsidR="00BA4592" w:rsidRPr="009A0DA6">
        <w:rPr>
          <w:rFonts w:ascii="Cambria" w:eastAsia="Times New Roman" w:hAnsi="Cambria" w:cstheme="minorHAnsi"/>
          <w:spacing w:val="3"/>
        </w:rPr>
        <w:t xml:space="preserve"> </w:t>
      </w:r>
      <w:r w:rsidR="00BA4592" w:rsidRPr="009A0DA6">
        <w:rPr>
          <w:rFonts w:ascii="Cambria" w:eastAsia="Times New Roman" w:hAnsi="Cambria" w:cstheme="minorHAnsi"/>
        </w:rPr>
        <w:t>li</w:t>
      </w:r>
      <w:r w:rsidR="00BA4592" w:rsidRPr="009A0DA6">
        <w:rPr>
          <w:rFonts w:ascii="Cambria" w:eastAsia="Times New Roman" w:hAnsi="Cambria" w:cstheme="minorHAnsi"/>
          <w:spacing w:val="-1"/>
        </w:rPr>
        <w:t>k</w:t>
      </w:r>
      <w:r w:rsidR="00BA4592" w:rsidRPr="009A0DA6">
        <w:rPr>
          <w:rFonts w:ascii="Cambria" w:eastAsia="Times New Roman" w:hAnsi="Cambria" w:cstheme="minorHAnsi"/>
        </w:rPr>
        <w:t>e</w:t>
      </w:r>
      <w:r w:rsidR="00BA4592" w:rsidRPr="009A0DA6">
        <w:rPr>
          <w:rFonts w:ascii="Cambria" w:eastAsia="Times New Roman" w:hAnsi="Cambria" w:cstheme="minorHAnsi"/>
          <w:spacing w:val="2"/>
        </w:rPr>
        <w:t>l</w:t>
      </w:r>
      <w:r w:rsidR="00BA4592" w:rsidRPr="009A0DA6">
        <w:rPr>
          <w:rFonts w:ascii="Cambria" w:eastAsia="Times New Roman" w:hAnsi="Cambria" w:cstheme="minorHAnsi"/>
        </w:rPr>
        <w:t>y</w:t>
      </w:r>
      <w:r w:rsidR="00BA4592" w:rsidRPr="009A0DA6">
        <w:rPr>
          <w:rFonts w:ascii="Cambria" w:eastAsia="Times New Roman" w:hAnsi="Cambria" w:cstheme="minorHAnsi"/>
          <w:spacing w:val="5"/>
        </w:rPr>
        <w:t xml:space="preserve"> </w:t>
      </w:r>
      <w:r w:rsidR="00BA4592" w:rsidRPr="009A0DA6">
        <w:rPr>
          <w:rFonts w:ascii="Cambria" w:eastAsia="Times New Roman" w:hAnsi="Cambria" w:cstheme="minorHAnsi"/>
        </w:rPr>
        <w:t>to</w:t>
      </w:r>
      <w:r w:rsidR="00BA4592" w:rsidRPr="009A0DA6">
        <w:rPr>
          <w:rFonts w:ascii="Cambria" w:eastAsia="Times New Roman" w:hAnsi="Cambria" w:cstheme="minorHAnsi"/>
          <w:spacing w:val="10"/>
        </w:rPr>
        <w:t xml:space="preserve"> </w:t>
      </w:r>
      <w:r w:rsidR="00BA4592" w:rsidRPr="009A0DA6">
        <w:rPr>
          <w:rFonts w:ascii="Cambria" w:eastAsia="Times New Roman" w:hAnsi="Cambria" w:cstheme="minorHAnsi"/>
          <w:spacing w:val="1"/>
        </w:rPr>
        <w:t>r</w:t>
      </w:r>
      <w:r w:rsidR="00BA4592" w:rsidRPr="009A0DA6">
        <w:rPr>
          <w:rFonts w:ascii="Cambria" w:eastAsia="Times New Roman" w:hAnsi="Cambria" w:cstheme="minorHAnsi"/>
        </w:rPr>
        <w:t>e</w:t>
      </w:r>
      <w:r w:rsidR="00BA4592" w:rsidRPr="009A0DA6">
        <w:rPr>
          <w:rFonts w:ascii="Cambria" w:eastAsia="Times New Roman" w:hAnsi="Cambria" w:cstheme="minorHAnsi"/>
          <w:spacing w:val="-1"/>
        </w:rPr>
        <w:t>su</w:t>
      </w:r>
      <w:r w:rsidR="00BA4592" w:rsidRPr="009A0DA6">
        <w:rPr>
          <w:rFonts w:ascii="Cambria" w:eastAsia="Times New Roman" w:hAnsi="Cambria" w:cstheme="minorHAnsi"/>
        </w:rPr>
        <w:t>lt</w:t>
      </w:r>
      <w:r w:rsidR="00BA4592" w:rsidRPr="009A0DA6">
        <w:rPr>
          <w:rFonts w:ascii="Cambria" w:eastAsia="Times New Roman" w:hAnsi="Cambria" w:cstheme="minorHAnsi"/>
          <w:spacing w:val="6"/>
        </w:rPr>
        <w:t xml:space="preserve"> </w:t>
      </w:r>
      <w:r w:rsidR="00BA4592" w:rsidRPr="009A0DA6">
        <w:rPr>
          <w:rFonts w:ascii="Cambria" w:eastAsia="Times New Roman" w:hAnsi="Cambria" w:cstheme="minorHAnsi"/>
          <w:spacing w:val="5"/>
        </w:rPr>
        <w:t>i</w:t>
      </w:r>
      <w:r w:rsidR="00BA4592" w:rsidRPr="009A0DA6">
        <w:rPr>
          <w:rFonts w:ascii="Cambria" w:eastAsia="Times New Roman" w:hAnsi="Cambria" w:cstheme="minorHAnsi"/>
        </w:rPr>
        <w:t xml:space="preserve">n </w:t>
      </w:r>
      <w:r w:rsidR="00BA4592" w:rsidRPr="009A0DA6">
        <w:rPr>
          <w:rFonts w:ascii="Cambria" w:eastAsia="Times New Roman" w:hAnsi="Cambria" w:cstheme="minorHAnsi"/>
          <w:spacing w:val="-1"/>
        </w:rPr>
        <w:t>f</w:t>
      </w:r>
      <w:r w:rsidR="00BA4592" w:rsidRPr="009A0DA6">
        <w:rPr>
          <w:rFonts w:ascii="Cambria" w:eastAsia="Times New Roman" w:hAnsi="Cambria" w:cstheme="minorHAnsi"/>
          <w:spacing w:val="2"/>
        </w:rPr>
        <w:t>i</w:t>
      </w:r>
      <w:r w:rsidR="00BA4592" w:rsidRPr="009A0DA6">
        <w:rPr>
          <w:rFonts w:ascii="Cambria" w:eastAsia="Times New Roman" w:hAnsi="Cambria" w:cstheme="minorHAnsi"/>
          <w:spacing w:val="-1"/>
        </w:rPr>
        <w:t>n</w:t>
      </w:r>
      <w:r w:rsidR="00BA4592" w:rsidRPr="009A0DA6">
        <w:rPr>
          <w:rFonts w:ascii="Cambria" w:eastAsia="Times New Roman" w:hAnsi="Cambria" w:cstheme="minorHAnsi"/>
        </w:rPr>
        <w:t>a</w:t>
      </w:r>
      <w:r w:rsidR="00BA4592" w:rsidRPr="009A0DA6">
        <w:rPr>
          <w:rFonts w:ascii="Cambria" w:eastAsia="Times New Roman" w:hAnsi="Cambria" w:cstheme="minorHAnsi"/>
          <w:spacing w:val="-1"/>
        </w:rPr>
        <w:t>n</w:t>
      </w:r>
      <w:r w:rsidR="00BA4592" w:rsidRPr="009A0DA6">
        <w:rPr>
          <w:rFonts w:ascii="Cambria" w:eastAsia="Times New Roman" w:hAnsi="Cambria" w:cstheme="minorHAnsi"/>
        </w:rPr>
        <w:t>ci</w:t>
      </w:r>
      <w:r w:rsidR="00BA4592" w:rsidRPr="009A0DA6">
        <w:rPr>
          <w:rFonts w:ascii="Cambria" w:eastAsia="Times New Roman" w:hAnsi="Cambria" w:cstheme="minorHAnsi"/>
          <w:spacing w:val="3"/>
        </w:rPr>
        <w:t>a</w:t>
      </w:r>
      <w:r w:rsidR="00BA4592" w:rsidRPr="009A0DA6">
        <w:rPr>
          <w:rFonts w:ascii="Cambria" w:eastAsia="Times New Roman" w:hAnsi="Cambria" w:cstheme="minorHAnsi"/>
        </w:rPr>
        <w:t>l</w:t>
      </w:r>
      <w:r w:rsidR="00BA4592" w:rsidRPr="009A0DA6">
        <w:rPr>
          <w:rFonts w:ascii="Cambria" w:eastAsia="Times New Roman" w:hAnsi="Cambria" w:cstheme="minorHAnsi"/>
          <w:spacing w:val="-7"/>
        </w:rPr>
        <w:t xml:space="preserve"> </w:t>
      </w:r>
      <w:r w:rsidR="00BA4592" w:rsidRPr="009A0DA6">
        <w:rPr>
          <w:rFonts w:ascii="Cambria" w:eastAsia="Times New Roman" w:hAnsi="Cambria" w:cstheme="minorHAnsi"/>
        </w:rPr>
        <w:t>l</w:t>
      </w:r>
      <w:r w:rsidR="00BA4592" w:rsidRPr="009A0DA6">
        <w:rPr>
          <w:rFonts w:ascii="Cambria" w:eastAsia="Times New Roman" w:hAnsi="Cambria" w:cstheme="minorHAnsi"/>
          <w:spacing w:val="1"/>
        </w:rPr>
        <w:t>o</w:t>
      </w:r>
      <w:r w:rsidR="00BA4592" w:rsidRPr="009A0DA6">
        <w:rPr>
          <w:rFonts w:ascii="Cambria" w:eastAsia="Times New Roman" w:hAnsi="Cambria" w:cstheme="minorHAnsi"/>
          <w:spacing w:val="-1"/>
        </w:rPr>
        <w:t>s</w:t>
      </w:r>
      <w:r w:rsidR="00BA4592" w:rsidRPr="009A0DA6">
        <w:rPr>
          <w:rFonts w:ascii="Cambria" w:eastAsia="Times New Roman" w:hAnsi="Cambria" w:cstheme="minorHAnsi"/>
        </w:rPr>
        <w:t>s</w:t>
      </w:r>
      <w:r w:rsidR="00BA4592" w:rsidRPr="009A0DA6">
        <w:rPr>
          <w:rFonts w:ascii="Cambria" w:eastAsia="Times New Roman" w:hAnsi="Cambria" w:cstheme="minorHAnsi"/>
          <w:spacing w:val="-3"/>
        </w:rPr>
        <w:t xml:space="preserve"> </w:t>
      </w:r>
      <w:r w:rsidR="00BA4592" w:rsidRPr="009A0DA6">
        <w:rPr>
          <w:rFonts w:ascii="Cambria" w:eastAsia="Times New Roman" w:hAnsi="Cambria" w:cstheme="minorHAnsi"/>
        </w:rPr>
        <w:t>to t</w:t>
      </w:r>
      <w:r w:rsidR="00BA4592" w:rsidRPr="009A0DA6">
        <w:rPr>
          <w:rFonts w:ascii="Cambria" w:eastAsia="Times New Roman" w:hAnsi="Cambria" w:cstheme="minorHAnsi"/>
          <w:spacing w:val="-1"/>
        </w:rPr>
        <w:t>h</w:t>
      </w:r>
      <w:r w:rsidR="00BA4592" w:rsidRPr="009A0DA6">
        <w:rPr>
          <w:rFonts w:ascii="Cambria" w:eastAsia="Times New Roman" w:hAnsi="Cambria" w:cstheme="minorHAnsi"/>
        </w:rPr>
        <w:t>e</w:t>
      </w:r>
      <w:r w:rsidR="00BA4592" w:rsidRPr="009A0DA6">
        <w:rPr>
          <w:rFonts w:ascii="Cambria" w:eastAsia="Times New Roman" w:hAnsi="Cambria" w:cstheme="minorHAnsi"/>
          <w:spacing w:val="1"/>
        </w:rPr>
        <w:t xml:space="preserve"> L</w:t>
      </w:r>
      <w:r w:rsidR="00BA4592" w:rsidRPr="009A0DA6">
        <w:rPr>
          <w:rFonts w:ascii="Cambria" w:eastAsia="Times New Roman" w:hAnsi="Cambria" w:cstheme="minorHAnsi"/>
          <w:spacing w:val="2"/>
        </w:rPr>
        <w:t>C</w:t>
      </w:r>
      <w:r w:rsidR="00BA4592" w:rsidRPr="009A0DA6">
        <w:rPr>
          <w:rFonts w:ascii="Cambria" w:eastAsia="Times New Roman" w:hAnsi="Cambria" w:cstheme="minorHAnsi"/>
          <w:spacing w:val="-2"/>
        </w:rPr>
        <w:t>A</w:t>
      </w:r>
      <w:r w:rsidR="00BA4592" w:rsidRPr="009A0DA6">
        <w:rPr>
          <w:rFonts w:ascii="Cambria" w:eastAsia="Times New Roman" w:hAnsi="Cambria" w:cstheme="minorHAnsi"/>
        </w:rPr>
        <w:t>.</w:t>
      </w:r>
    </w:p>
    <w:p w14:paraId="26F790FF" w14:textId="77777777" w:rsidR="00BA4592" w:rsidRPr="00491DC4" w:rsidRDefault="00BA4592" w:rsidP="00BA4592">
      <w:pPr>
        <w:spacing w:before="120" w:after="120" w:line="240" w:lineRule="auto"/>
        <w:contextualSpacing/>
        <w:rPr>
          <w:rFonts w:ascii="Cambria" w:hAnsi="Cambria" w:cstheme="minorHAnsi"/>
          <w:sz w:val="12"/>
        </w:rPr>
      </w:pPr>
    </w:p>
    <w:p w14:paraId="77094F7D" w14:textId="77777777" w:rsidR="00206BF6" w:rsidRDefault="00206BF6">
      <w:pPr>
        <w:rPr>
          <w:rFonts w:ascii="Cambria" w:eastAsia="Times New Roman" w:hAnsi="Cambria" w:cstheme="minorHAnsi"/>
          <w:b/>
        </w:rPr>
      </w:pPr>
      <w:r>
        <w:rPr>
          <w:rFonts w:ascii="Cambria" w:eastAsia="Times New Roman" w:hAnsi="Cambria" w:cstheme="minorHAnsi"/>
          <w:b/>
        </w:rPr>
        <w:br w:type="page"/>
      </w:r>
    </w:p>
    <w:p w14:paraId="02824DE6" w14:textId="2A1EB4C2" w:rsidR="00BA4592" w:rsidRPr="009A0DA6" w:rsidRDefault="00BA4592" w:rsidP="00BA4592">
      <w:pPr>
        <w:tabs>
          <w:tab w:val="right" w:pos="5954"/>
          <w:tab w:val="right" w:pos="7371"/>
          <w:tab w:val="right" w:pos="8789"/>
        </w:tabs>
        <w:spacing w:before="120" w:after="120" w:line="240" w:lineRule="auto"/>
        <w:ind w:right="-51"/>
        <w:contextualSpacing/>
        <w:rPr>
          <w:rFonts w:ascii="Cambria" w:hAnsi="Cambria" w:cstheme="minorHAnsi"/>
          <w:b/>
        </w:rPr>
      </w:pPr>
      <w:r w:rsidRPr="009A0DA6">
        <w:rPr>
          <w:rFonts w:ascii="Cambria" w:eastAsia="Times New Roman" w:hAnsi="Cambria" w:cstheme="minorHAnsi"/>
          <w:b/>
        </w:rPr>
        <w:lastRenderedPageBreak/>
        <w:t>Note 15</w:t>
      </w:r>
      <w:r w:rsidR="00351A0F">
        <w:rPr>
          <w:rFonts w:ascii="Cambria" w:eastAsia="Times New Roman" w:hAnsi="Cambria" w:cstheme="minorHAnsi"/>
          <w:b/>
        </w:rPr>
        <w:t>:</w:t>
      </w:r>
      <w:r w:rsidRPr="009A0DA6">
        <w:rPr>
          <w:rFonts w:ascii="Cambria" w:eastAsia="Times New Roman" w:hAnsi="Cambria" w:cstheme="minorHAnsi"/>
          <w:b/>
        </w:rPr>
        <w:t xml:space="preserve"> Segment Reports</w:t>
      </w:r>
    </w:p>
    <w:p w14:paraId="5BF31A10" w14:textId="77777777" w:rsidR="00BA4592" w:rsidRPr="009A0DA6" w:rsidRDefault="00BA4592" w:rsidP="00BA4592">
      <w:pPr>
        <w:spacing w:before="120" w:after="120" w:line="240" w:lineRule="auto"/>
        <w:contextualSpacing/>
        <w:rPr>
          <w:rFonts w:ascii="Cambria" w:hAnsi="Cambria" w:cstheme="minorHAnsi"/>
          <w:b/>
        </w:rPr>
      </w:pPr>
      <w:r w:rsidRPr="009A0DA6">
        <w:rPr>
          <w:rFonts w:ascii="Cambria" w:hAnsi="Cambria" w:cstheme="minorHAnsi"/>
          <w:b/>
        </w:rPr>
        <w:t>For year ending 31 December 2017</w:t>
      </w:r>
    </w:p>
    <w:p w14:paraId="183BC9C9" w14:textId="77777777" w:rsidR="00BA4592" w:rsidRPr="009A0DA6" w:rsidRDefault="00BA4592" w:rsidP="00BA4592">
      <w:pPr>
        <w:tabs>
          <w:tab w:val="right" w:pos="4536"/>
          <w:tab w:val="right" w:pos="5954"/>
          <w:tab w:val="right" w:pos="7371"/>
          <w:tab w:val="right" w:pos="8789"/>
        </w:tabs>
        <w:spacing w:before="120" w:after="120" w:line="240" w:lineRule="auto"/>
        <w:ind w:right="-91"/>
        <w:contextualSpacing/>
        <w:rPr>
          <w:rFonts w:ascii="Cambria" w:eastAsia="Times New Roman" w:hAnsi="Cambria" w:cstheme="minorHAnsi"/>
          <w:b/>
          <w:w w:val="99"/>
        </w:rPr>
      </w:pPr>
      <w:r w:rsidRPr="009A0DA6">
        <w:rPr>
          <w:rFonts w:ascii="Cambria" w:eastAsia="Times New Roman" w:hAnsi="Cambria" w:cstheme="minorHAnsi"/>
          <w:spacing w:val="-1"/>
        </w:rPr>
        <w:tab/>
      </w:r>
      <w:r w:rsidRPr="009A0DA6">
        <w:rPr>
          <w:rFonts w:ascii="Cambria" w:eastAsia="Times New Roman" w:hAnsi="Cambria" w:cstheme="minorHAnsi"/>
          <w:b/>
          <w:spacing w:val="-1"/>
        </w:rPr>
        <w:t>L</w:t>
      </w:r>
      <w:r w:rsidRPr="009A0DA6">
        <w:rPr>
          <w:rFonts w:ascii="Cambria" w:eastAsia="Times New Roman" w:hAnsi="Cambria" w:cstheme="minorHAnsi"/>
          <w:b/>
        </w:rPr>
        <w:t>CA</w:t>
      </w:r>
      <w:r w:rsidRPr="009A0DA6">
        <w:rPr>
          <w:rFonts w:ascii="Cambria" w:eastAsia="Times New Roman" w:hAnsi="Cambria" w:cstheme="minorHAnsi"/>
          <w:b/>
          <w:spacing w:val="-32"/>
        </w:rPr>
        <w:t xml:space="preserve"> </w:t>
      </w:r>
      <w:r w:rsidRPr="009A0DA6">
        <w:rPr>
          <w:rFonts w:ascii="Cambria" w:eastAsia="Times New Roman" w:hAnsi="Cambria" w:cstheme="minorHAnsi"/>
          <w:b/>
        </w:rPr>
        <w:tab/>
      </w:r>
      <w:r w:rsidRPr="009A0DA6">
        <w:rPr>
          <w:rFonts w:ascii="Cambria" w:eastAsia="Times New Roman" w:hAnsi="Cambria" w:cstheme="minorHAnsi"/>
          <w:b/>
          <w:spacing w:val="-1"/>
        </w:rPr>
        <w:t>L</w:t>
      </w:r>
      <w:r w:rsidRPr="009A0DA6">
        <w:rPr>
          <w:rFonts w:ascii="Cambria" w:eastAsia="Times New Roman" w:hAnsi="Cambria" w:cstheme="minorHAnsi"/>
          <w:b/>
        </w:rPr>
        <w:t>CA</w:t>
      </w:r>
      <w:r w:rsidRPr="009A0DA6">
        <w:rPr>
          <w:rFonts w:ascii="Cambria" w:eastAsia="Times New Roman" w:hAnsi="Cambria" w:cstheme="minorHAnsi"/>
          <w:b/>
          <w:spacing w:val="-32"/>
        </w:rPr>
        <w:t xml:space="preserve"> </w:t>
      </w:r>
      <w:r w:rsidRPr="009A0DA6">
        <w:rPr>
          <w:rFonts w:ascii="Cambria" w:eastAsia="Times New Roman" w:hAnsi="Cambria" w:cstheme="minorHAnsi"/>
          <w:b/>
        </w:rPr>
        <w:tab/>
        <w:t>I</w:t>
      </w:r>
      <w:r w:rsidRPr="009A0DA6">
        <w:rPr>
          <w:rFonts w:ascii="Cambria" w:eastAsia="Times New Roman" w:hAnsi="Cambria" w:cstheme="minorHAnsi"/>
          <w:b/>
          <w:spacing w:val="1"/>
        </w:rPr>
        <w:t>n</w:t>
      </w:r>
      <w:r w:rsidRPr="009A0DA6">
        <w:rPr>
          <w:rFonts w:ascii="Cambria" w:eastAsia="Times New Roman" w:hAnsi="Cambria" w:cstheme="minorHAnsi"/>
          <w:b/>
        </w:rPr>
        <w:t>t</w:t>
      </w:r>
      <w:r w:rsidRPr="009A0DA6">
        <w:rPr>
          <w:rFonts w:ascii="Cambria" w:eastAsia="Times New Roman" w:hAnsi="Cambria" w:cstheme="minorHAnsi"/>
          <w:b/>
          <w:spacing w:val="-1"/>
        </w:rPr>
        <w:t>e</w:t>
      </w:r>
      <w:r w:rsidRPr="009A0DA6">
        <w:rPr>
          <w:rFonts w:ascii="Cambria" w:eastAsia="Times New Roman" w:hAnsi="Cambria" w:cstheme="minorHAnsi"/>
          <w:b/>
        </w:rPr>
        <w:t>r</w:t>
      </w:r>
      <w:r w:rsidRPr="009A0DA6">
        <w:rPr>
          <w:rFonts w:ascii="Cambria" w:eastAsia="Times New Roman" w:hAnsi="Cambria" w:cstheme="minorHAnsi"/>
          <w:b/>
          <w:spacing w:val="1"/>
        </w:rPr>
        <w:t>na</w:t>
      </w:r>
      <w:r w:rsidRPr="009A0DA6">
        <w:rPr>
          <w:rFonts w:ascii="Cambria" w:eastAsia="Times New Roman" w:hAnsi="Cambria" w:cstheme="minorHAnsi"/>
          <w:b/>
        </w:rPr>
        <w:t>l</w:t>
      </w:r>
      <w:r w:rsidRPr="009A0DA6">
        <w:rPr>
          <w:rFonts w:ascii="Cambria" w:eastAsia="Times New Roman" w:hAnsi="Cambria" w:cstheme="minorHAnsi"/>
          <w:b/>
          <w:spacing w:val="2"/>
        </w:rPr>
        <w:t xml:space="preserve"> </w:t>
      </w:r>
      <w:r w:rsidRPr="009A0DA6">
        <w:rPr>
          <w:rFonts w:ascii="Cambria" w:eastAsia="Times New Roman" w:hAnsi="Cambria" w:cstheme="minorHAnsi"/>
          <w:b/>
        </w:rPr>
        <w:tab/>
      </w:r>
      <w:r w:rsidRPr="009A0DA6">
        <w:rPr>
          <w:rFonts w:ascii="Cambria" w:eastAsia="Times New Roman" w:hAnsi="Cambria" w:cstheme="minorHAnsi"/>
          <w:b/>
          <w:spacing w:val="-1"/>
          <w:w w:val="108"/>
        </w:rPr>
        <w:t>L</w:t>
      </w:r>
      <w:r w:rsidRPr="009A0DA6">
        <w:rPr>
          <w:rFonts w:ascii="Cambria" w:eastAsia="Times New Roman" w:hAnsi="Cambria" w:cstheme="minorHAnsi"/>
          <w:b/>
          <w:w w:val="107"/>
        </w:rPr>
        <w:t>C</w:t>
      </w:r>
      <w:r w:rsidRPr="009A0DA6">
        <w:rPr>
          <w:rFonts w:ascii="Cambria" w:eastAsia="Times New Roman" w:hAnsi="Cambria" w:cstheme="minorHAnsi"/>
          <w:b/>
          <w:w w:val="99"/>
        </w:rPr>
        <w:t xml:space="preserve">A </w:t>
      </w:r>
    </w:p>
    <w:p w14:paraId="48B8D2B3" w14:textId="77777777" w:rsidR="00BA4592" w:rsidRPr="009A0DA6" w:rsidRDefault="00BA4592" w:rsidP="00BA4592">
      <w:pPr>
        <w:tabs>
          <w:tab w:val="right" w:pos="4536"/>
          <w:tab w:val="right" w:pos="5954"/>
          <w:tab w:val="right" w:pos="7371"/>
          <w:tab w:val="right" w:pos="8931"/>
        </w:tabs>
        <w:spacing w:before="120" w:after="120" w:line="240" w:lineRule="auto"/>
        <w:ind w:right="-91"/>
        <w:contextualSpacing/>
        <w:rPr>
          <w:rFonts w:ascii="Cambria" w:eastAsia="Times New Roman" w:hAnsi="Cambria" w:cstheme="minorHAnsi"/>
          <w:b/>
          <w:w w:val="99"/>
        </w:rPr>
      </w:pPr>
      <w:r w:rsidRPr="009A0DA6">
        <w:rPr>
          <w:rFonts w:ascii="Cambria" w:eastAsia="Times New Roman" w:hAnsi="Cambria" w:cstheme="minorHAnsi"/>
          <w:b/>
        </w:rPr>
        <w:tab/>
        <w:t>N</w:t>
      </w:r>
      <w:r w:rsidRPr="009A0DA6">
        <w:rPr>
          <w:rFonts w:ascii="Cambria" w:eastAsia="Times New Roman" w:hAnsi="Cambria" w:cstheme="minorHAnsi"/>
          <w:b/>
          <w:spacing w:val="1"/>
        </w:rPr>
        <w:t>at</w:t>
      </w:r>
      <w:r w:rsidRPr="009A0DA6">
        <w:rPr>
          <w:rFonts w:ascii="Cambria" w:eastAsia="Times New Roman" w:hAnsi="Cambria" w:cstheme="minorHAnsi"/>
          <w:b/>
        </w:rPr>
        <w:t>i</w:t>
      </w:r>
      <w:r w:rsidRPr="009A0DA6">
        <w:rPr>
          <w:rFonts w:ascii="Cambria" w:eastAsia="Times New Roman" w:hAnsi="Cambria" w:cstheme="minorHAnsi"/>
          <w:b/>
          <w:spacing w:val="1"/>
        </w:rPr>
        <w:t>o</w:t>
      </w:r>
      <w:r w:rsidRPr="009A0DA6">
        <w:rPr>
          <w:rFonts w:ascii="Cambria" w:eastAsia="Times New Roman" w:hAnsi="Cambria" w:cstheme="minorHAnsi"/>
          <w:b/>
        </w:rPr>
        <w:t>n</w:t>
      </w:r>
      <w:r w:rsidRPr="009A0DA6">
        <w:rPr>
          <w:rFonts w:ascii="Cambria" w:eastAsia="Times New Roman" w:hAnsi="Cambria" w:cstheme="minorHAnsi"/>
          <w:b/>
          <w:spacing w:val="1"/>
        </w:rPr>
        <w:t>a</w:t>
      </w:r>
      <w:r w:rsidRPr="009A0DA6">
        <w:rPr>
          <w:rFonts w:ascii="Cambria" w:eastAsia="Times New Roman" w:hAnsi="Cambria" w:cstheme="minorHAnsi"/>
          <w:b/>
        </w:rPr>
        <w:t>l</w:t>
      </w:r>
      <w:r w:rsidRPr="009A0DA6">
        <w:rPr>
          <w:rFonts w:ascii="Cambria" w:eastAsia="Times New Roman" w:hAnsi="Cambria" w:cstheme="minorHAnsi"/>
          <w:b/>
          <w:spacing w:val="-12"/>
        </w:rPr>
        <w:t xml:space="preserve"> </w:t>
      </w:r>
      <w:r w:rsidRPr="009A0DA6">
        <w:rPr>
          <w:rFonts w:ascii="Cambria" w:eastAsia="Times New Roman" w:hAnsi="Cambria" w:cstheme="minorHAnsi"/>
          <w:b/>
        </w:rPr>
        <w:tab/>
      </w:r>
      <w:r w:rsidRPr="009A0DA6">
        <w:rPr>
          <w:rFonts w:ascii="Cambria" w:eastAsia="Times New Roman" w:hAnsi="Cambria" w:cstheme="minorHAnsi"/>
          <w:b/>
          <w:w w:val="107"/>
        </w:rPr>
        <w:t>Dep</w:t>
      </w:r>
      <w:r w:rsidRPr="009A0DA6">
        <w:rPr>
          <w:rFonts w:ascii="Cambria" w:eastAsia="Times New Roman" w:hAnsi="Cambria" w:cstheme="minorHAnsi"/>
          <w:b/>
          <w:spacing w:val="1"/>
          <w:w w:val="107"/>
        </w:rPr>
        <w:t>a</w:t>
      </w:r>
      <w:r w:rsidRPr="009A0DA6">
        <w:rPr>
          <w:rFonts w:ascii="Cambria" w:eastAsia="Times New Roman" w:hAnsi="Cambria" w:cstheme="minorHAnsi"/>
          <w:b/>
          <w:w w:val="107"/>
        </w:rPr>
        <w:t>r</w:t>
      </w:r>
      <w:r w:rsidRPr="009A0DA6">
        <w:rPr>
          <w:rFonts w:ascii="Cambria" w:eastAsia="Times New Roman" w:hAnsi="Cambria" w:cstheme="minorHAnsi"/>
          <w:b/>
          <w:spacing w:val="3"/>
          <w:w w:val="107"/>
        </w:rPr>
        <w:t>t</w:t>
      </w:r>
      <w:r w:rsidRPr="009A0DA6">
        <w:rPr>
          <w:rFonts w:ascii="Cambria" w:eastAsia="Times New Roman" w:hAnsi="Cambria" w:cstheme="minorHAnsi"/>
          <w:b/>
          <w:spacing w:val="-5"/>
          <w:w w:val="107"/>
        </w:rPr>
        <w:t>m</w:t>
      </w:r>
      <w:r w:rsidRPr="009A0DA6">
        <w:rPr>
          <w:rFonts w:ascii="Cambria" w:eastAsia="Times New Roman" w:hAnsi="Cambria" w:cstheme="minorHAnsi"/>
          <w:b/>
          <w:w w:val="107"/>
        </w:rPr>
        <w:t>en</w:t>
      </w:r>
      <w:r w:rsidRPr="009A0DA6">
        <w:rPr>
          <w:rFonts w:ascii="Cambria" w:eastAsia="Times New Roman" w:hAnsi="Cambria" w:cstheme="minorHAnsi"/>
          <w:b/>
          <w:spacing w:val="1"/>
          <w:w w:val="107"/>
        </w:rPr>
        <w:t>t</w:t>
      </w:r>
      <w:r w:rsidRPr="009A0DA6">
        <w:rPr>
          <w:rFonts w:ascii="Cambria" w:eastAsia="Times New Roman" w:hAnsi="Cambria" w:cstheme="minorHAnsi"/>
          <w:b/>
          <w:w w:val="107"/>
        </w:rPr>
        <w:t>s</w:t>
      </w:r>
      <w:r w:rsidRPr="009A0DA6">
        <w:rPr>
          <w:rFonts w:ascii="Cambria" w:eastAsia="Times New Roman" w:hAnsi="Cambria" w:cstheme="minorHAnsi"/>
          <w:b/>
          <w:spacing w:val="-47"/>
          <w:w w:val="107"/>
        </w:rPr>
        <w:t xml:space="preserve"> </w:t>
      </w:r>
      <w:r w:rsidRPr="009A0DA6">
        <w:rPr>
          <w:rFonts w:ascii="Cambria" w:eastAsia="Times New Roman" w:hAnsi="Cambria" w:cstheme="minorHAnsi"/>
          <w:b/>
        </w:rPr>
        <w:tab/>
        <w:t>F</w:t>
      </w:r>
      <w:r w:rsidRPr="009A0DA6">
        <w:rPr>
          <w:rFonts w:ascii="Cambria" w:eastAsia="Times New Roman" w:hAnsi="Cambria" w:cstheme="minorHAnsi"/>
          <w:b/>
          <w:spacing w:val="1"/>
        </w:rPr>
        <w:t>und</w:t>
      </w:r>
      <w:r w:rsidRPr="009A0DA6">
        <w:rPr>
          <w:rFonts w:ascii="Cambria" w:eastAsia="Times New Roman" w:hAnsi="Cambria" w:cstheme="minorHAnsi"/>
          <w:b/>
        </w:rPr>
        <w:t>i</w:t>
      </w:r>
      <w:r w:rsidRPr="009A0DA6">
        <w:rPr>
          <w:rFonts w:ascii="Cambria" w:eastAsia="Times New Roman" w:hAnsi="Cambria" w:cstheme="minorHAnsi"/>
          <w:b/>
          <w:spacing w:val="-2"/>
        </w:rPr>
        <w:t>n</w:t>
      </w:r>
      <w:r w:rsidRPr="009A0DA6">
        <w:rPr>
          <w:rFonts w:ascii="Cambria" w:eastAsia="Times New Roman" w:hAnsi="Cambria" w:cstheme="minorHAnsi"/>
          <w:b/>
        </w:rPr>
        <w:t>g</w:t>
      </w:r>
      <w:r w:rsidRPr="009A0DA6">
        <w:rPr>
          <w:rFonts w:ascii="Cambria" w:eastAsia="Times New Roman" w:hAnsi="Cambria" w:cstheme="minorHAnsi"/>
          <w:b/>
          <w:spacing w:val="1"/>
        </w:rPr>
        <w:t xml:space="preserve"> </w:t>
      </w:r>
      <w:r w:rsidRPr="009A0DA6">
        <w:rPr>
          <w:rFonts w:ascii="Cambria" w:eastAsia="Times New Roman" w:hAnsi="Cambria" w:cstheme="minorHAnsi"/>
          <w:b/>
        </w:rPr>
        <w:tab/>
      </w:r>
      <w:r w:rsidRPr="009A0DA6">
        <w:rPr>
          <w:rFonts w:ascii="Cambria" w:eastAsia="Times New Roman" w:hAnsi="Cambria" w:cstheme="minorHAnsi"/>
          <w:b/>
          <w:w w:val="107"/>
        </w:rPr>
        <w:t>Consolidated</w:t>
      </w:r>
    </w:p>
    <w:p w14:paraId="7577FD15" w14:textId="77777777" w:rsidR="00BA4592" w:rsidRPr="009A0DA6" w:rsidRDefault="00BA4592" w:rsidP="00BA4592">
      <w:pPr>
        <w:tabs>
          <w:tab w:val="right" w:pos="4536"/>
          <w:tab w:val="right" w:pos="5954"/>
          <w:tab w:val="right" w:pos="7371"/>
          <w:tab w:val="right" w:pos="8789"/>
        </w:tabs>
        <w:spacing w:before="120" w:after="120" w:line="240" w:lineRule="auto"/>
        <w:ind w:right="-91"/>
        <w:contextualSpacing/>
        <w:rPr>
          <w:rFonts w:ascii="Cambria" w:eastAsia="Times New Roman" w:hAnsi="Cambria" w:cstheme="minorHAnsi"/>
          <w:b/>
        </w:rPr>
      </w:pPr>
      <w:r w:rsidRPr="009A0DA6">
        <w:rPr>
          <w:rFonts w:ascii="Cambria" w:eastAsia="Times New Roman" w:hAnsi="Cambria" w:cstheme="minorHAnsi"/>
          <w:b/>
          <w:spacing w:val="-1"/>
          <w:w w:val="116"/>
        </w:rPr>
        <w:t>Income</w:t>
      </w:r>
      <w:r w:rsidRPr="009A0DA6">
        <w:rPr>
          <w:rFonts w:ascii="Cambria" w:eastAsia="Times New Roman" w:hAnsi="Cambria" w:cstheme="minorHAnsi"/>
          <w:b/>
          <w:w w:val="99"/>
        </w:rPr>
        <w:tab/>
      </w:r>
      <w:r w:rsidRPr="009A0DA6">
        <w:rPr>
          <w:rFonts w:ascii="Cambria" w:eastAsia="Times New Roman" w:hAnsi="Cambria" w:cstheme="minorHAnsi"/>
          <w:b/>
        </w:rPr>
        <w:t>$</w:t>
      </w:r>
      <w:r w:rsidRPr="009A0DA6">
        <w:rPr>
          <w:rFonts w:ascii="Cambria" w:eastAsia="Times New Roman" w:hAnsi="Cambria" w:cstheme="minorHAnsi"/>
          <w:b/>
        </w:rPr>
        <w:tab/>
        <w:t>$</w:t>
      </w:r>
      <w:r w:rsidRPr="009A0DA6">
        <w:rPr>
          <w:rFonts w:ascii="Cambria" w:eastAsia="Times New Roman" w:hAnsi="Cambria" w:cstheme="minorHAnsi"/>
          <w:b/>
        </w:rPr>
        <w:tab/>
        <w:t>$</w:t>
      </w:r>
      <w:r w:rsidRPr="009A0DA6">
        <w:rPr>
          <w:rFonts w:ascii="Cambria" w:eastAsia="Times New Roman" w:hAnsi="Cambria" w:cstheme="minorHAnsi"/>
          <w:b/>
        </w:rPr>
        <w:tab/>
        <w:t>$</w:t>
      </w:r>
    </w:p>
    <w:p w14:paraId="17350997" w14:textId="77777777" w:rsidR="00BA4592" w:rsidRPr="009A0DA6" w:rsidRDefault="00BA4592" w:rsidP="00BA4592">
      <w:pPr>
        <w:tabs>
          <w:tab w:val="right" w:pos="4536"/>
          <w:tab w:val="right" w:pos="5954"/>
          <w:tab w:val="right" w:pos="7371"/>
          <w:tab w:val="right" w:pos="8789"/>
        </w:tabs>
        <w:spacing w:before="120" w:after="120" w:line="240" w:lineRule="auto"/>
        <w:ind w:right="-91"/>
        <w:contextualSpacing/>
        <w:rPr>
          <w:rFonts w:ascii="Cambria" w:eastAsia="Times New Roman" w:hAnsi="Cambria" w:cstheme="minorHAnsi"/>
        </w:rPr>
      </w:pPr>
      <w:r w:rsidRPr="009A0DA6">
        <w:rPr>
          <w:rFonts w:ascii="Cambria" w:eastAsia="Times New Roman" w:hAnsi="Cambria" w:cstheme="minorHAnsi"/>
          <w:spacing w:val="-2"/>
        </w:rPr>
        <w:t>A</w:t>
      </w:r>
      <w:r w:rsidRPr="009A0DA6">
        <w:rPr>
          <w:rFonts w:ascii="Cambria" w:eastAsia="Times New Roman" w:hAnsi="Cambria" w:cstheme="minorHAnsi"/>
          <w:spacing w:val="1"/>
        </w:rPr>
        <w:t>pp</w:t>
      </w:r>
      <w:r w:rsidRPr="009A0DA6">
        <w:rPr>
          <w:rFonts w:ascii="Cambria" w:eastAsia="Times New Roman" w:hAnsi="Cambria" w:cstheme="minorHAnsi"/>
        </w:rPr>
        <w:t>eal</w:t>
      </w:r>
      <w:r w:rsidRPr="009A0DA6">
        <w:rPr>
          <w:rFonts w:ascii="Cambria" w:eastAsia="Times New Roman" w:hAnsi="Cambria" w:cstheme="minorHAnsi"/>
          <w:spacing w:val="-1"/>
        </w:rPr>
        <w:t>s</w:t>
      </w:r>
      <w:r w:rsidRPr="009A0DA6">
        <w:rPr>
          <w:rFonts w:ascii="Cambria" w:eastAsia="Times New Roman" w:hAnsi="Cambria" w:cstheme="minorHAnsi"/>
        </w:rPr>
        <w:t>,</w:t>
      </w:r>
      <w:r w:rsidRPr="009A0DA6">
        <w:rPr>
          <w:rFonts w:ascii="Cambria" w:eastAsia="Times New Roman" w:hAnsi="Cambria" w:cstheme="minorHAnsi"/>
          <w:spacing w:val="-6"/>
        </w:rPr>
        <w:t xml:space="preserve"> </w:t>
      </w:r>
      <w:r w:rsidRPr="009A0DA6">
        <w:rPr>
          <w:rFonts w:ascii="Cambria" w:eastAsia="Times New Roman" w:hAnsi="Cambria" w:cstheme="minorHAnsi"/>
          <w:spacing w:val="1"/>
        </w:rPr>
        <w:t>do</w:t>
      </w:r>
      <w:r w:rsidRPr="009A0DA6">
        <w:rPr>
          <w:rFonts w:ascii="Cambria" w:eastAsia="Times New Roman" w:hAnsi="Cambria" w:cstheme="minorHAnsi"/>
          <w:spacing w:val="-1"/>
        </w:rPr>
        <w:t>n</w:t>
      </w:r>
      <w:r w:rsidRPr="009A0DA6">
        <w:rPr>
          <w:rFonts w:ascii="Cambria" w:eastAsia="Times New Roman" w:hAnsi="Cambria" w:cstheme="minorHAnsi"/>
        </w:rPr>
        <w:t>ati</w:t>
      </w:r>
      <w:r w:rsidRPr="009A0DA6">
        <w:rPr>
          <w:rFonts w:ascii="Cambria" w:eastAsia="Times New Roman" w:hAnsi="Cambria" w:cstheme="minorHAnsi"/>
          <w:spacing w:val="1"/>
        </w:rPr>
        <w:t>on</w:t>
      </w:r>
      <w:r w:rsidRPr="009A0DA6">
        <w:rPr>
          <w:rFonts w:ascii="Cambria" w:eastAsia="Times New Roman" w:hAnsi="Cambria" w:cstheme="minorHAnsi"/>
        </w:rPr>
        <w:t>s</w:t>
      </w:r>
      <w:r w:rsidRPr="009A0DA6">
        <w:rPr>
          <w:rFonts w:ascii="Cambria" w:eastAsia="Times New Roman" w:hAnsi="Cambria" w:cstheme="minorHAnsi"/>
          <w:spacing w:val="-8"/>
        </w:rPr>
        <w:t xml:space="preserve"> </w:t>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spacing w:val="-1"/>
        </w:rPr>
        <w:t xml:space="preserve"> </w:t>
      </w:r>
      <w:r w:rsidRPr="009A0DA6">
        <w:rPr>
          <w:rFonts w:ascii="Cambria" w:eastAsia="Times New Roman" w:hAnsi="Cambria" w:cstheme="minorHAnsi"/>
          <w:spacing w:val="1"/>
        </w:rPr>
        <w:t>b</w:t>
      </w:r>
      <w:r w:rsidRPr="009A0DA6">
        <w:rPr>
          <w:rFonts w:ascii="Cambria" w:eastAsia="Times New Roman" w:hAnsi="Cambria" w:cstheme="minorHAnsi"/>
        </w:rPr>
        <w:t>e</w:t>
      </w:r>
      <w:r w:rsidRPr="009A0DA6">
        <w:rPr>
          <w:rFonts w:ascii="Cambria" w:eastAsia="Times New Roman" w:hAnsi="Cambria" w:cstheme="minorHAnsi"/>
          <w:spacing w:val="1"/>
        </w:rPr>
        <w:t>q</w:t>
      </w:r>
      <w:r w:rsidRPr="009A0DA6">
        <w:rPr>
          <w:rFonts w:ascii="Cambria" w:eastAsia="Times New Roman" w:hAnsi="Cambria" w:cstheme="minorHAnsi"/>
          <w:spacing w:val="-1"/>
        </w:rPr>
        <w:t>u</w:t>
      </w:r>
      <w:r w:rsidRPr="009A0DA6">
        <w:rPr>
          <w:rFonts w:ascii="Cambria" w:eastAsia="Times New Roman" w:hAnsi="Cambria" w:cstheme="minorHAnsi"/>
          <w:spacing w:val="3"/>
        </w:rPr>
        <w:t>e</w:t>
      </w:r>
      <w:r w:rsidRPr="009A0DA6">
        <w:rPr>
          <w:rFonts w:ascii="Cambria" w:eastAsia="Times New Roman" w:hAnsi="Cambria" w:cstheme="minorHAnsi"/>
          <w:spacing w:val="-1"/>
        </w:rPr>
        <w:t>s</w:t>
      </w:r>
      <w:r w:rsidRPr="009A0DA6">
        <w:rPr>
          <w:rFonts w:ascii="Cambria" w:eastAsia="Times New Roman" w:hAnsi="Cambria" w:cstheme="minorHAnsi"/>
        </w:rPr>
        <w:t>ts</w:t>
      </w:r>
      <w:r w:rsidRPr="009A0DA6">
        <w:rPr>
          <w:rFonts w:ascii="Cambria" w:eastAsia="Times New Roman" w:hAnsi="Cambria" w:cstheme="minorHAnsi"/>
        </w:rPr>
        <w:tab/>
      </w:r>
      <w:r w:rsidRPr="009A0DA6">
        <w:rPr>
          <w:rFonts w:ascii="Cambria" w:eastAsia="Times New Roman" w:hAnsi="Cambria" w:cstheme="minorHAnsi"/>
          <w:spacing w:val="1"/>
        </w:rPr>
        <w:t>273,</w:t>
      </w:r>
      <w:r w:rsidRPr="009A0DA6">
        <w:rPr>
          <w:rFonts w:ascii="Cambria" w:eastAsia="Times New Roman" w:hAnsi="Cambria" w:cstheme="minorHAnsi"/>
          <w:spacing w:val="-1"/>
        </w:rPr>
        <w:t>4</w:t>
      </w:r>
      <w:r w:rsidRPr="009A0DA6">
        <w:rPr>
          <w:rFonts w:ascii="Cambria" w:eastAsia="Times New Roman" w:hAnsi="Cambria" w:cstheme="minorHAnsi"/>
          <w:spacing w:val="1"/>
        </w:rPr>
        <w:t>2</w:t>
      </w:r>
      <w:r w:rsidRPr="009A0DA6">
        <w:rPr>
          <w:rFonts w:ascii="Cambria" w:eastAsia="Times New Roman" w:hAnsi="Cambria" w:cstheme="minorHAnsi"/>
        </w:rPr>
        <w:t>7</w:t>
      </w:r>
      <w:r w:rsidRPr="009A0DA6">
        <w:rPr>
          <w:rFonts w:ascii="Cambria" w:eastAsia="Times New Roman" w:hAnsi="Cambria" w:cstheme="minorHAnsi"/>
        </w:rPr>
        <w:tab/>
      </w:r>
      <w:r w:rsidRPr="009A0DA6">
        <w:rPr>
          <w:rFonts w:ascii="Cambria" w:eastAsia="Times New Roman" w:hAnsi="Cambria" w:cstheme="minorHAnsi"/>
          <w:spacing w:val="1"/>
        </w:rPr>
        <w:t>1,06</w:t>
      </w:r>
      <w:r w:rsidRPr="009A0DA6">
        <w:rPr>
          <w:rFonts w:ascii="Cambria" w:eastAsia="Times New Roman" w:hAnsi="Cambria" w:cstheme="minorHAnsi"/>
          <w:spacing w:val="-1"/>
        </w:rPr>
        <w:t>9</w:t>
      </w:r>
      <w:r w:rsidRPr="009A0DA6">
        <w:rPr>
          <w:rFonts w:ascii="Cambria" w:eastAsia="Times New Roman" w:hAnsi="Cambria" w:cstheme="minorHAnsi"/>
          <w:spacing w:val="1"/>
        </w:rPr>
        <w:t>,5</w:t>
      </w:r>
      <w:r w:rsidRPr="009A0DA6">
        <w:rPr>
          <w:rFonts w:ascii="Cambria" w:eastAsia="Times New Roman" w:hAnsi="Cambria" w:cstheme="minorHAnsi"/>
          <w:spacing w:val="-1"/>
        </w:rPr>
        <w:t>0</w:t>
      </w:r>
      <w:r w:rsidRPr="009A0DA6">
        <w:rPr>
          <w:rFonts w:ascii="Cambria" w:eastAsia="Times New Roman" w:hAnsi="Cambria" w:cstheme="minorHAnsi"/>
        </w:rPr>
        <w:t>8</w:t>
      </w:r>
      <w:r w:rsidRPr="009A0DA6">
        <w:rPr>
          <w:rFonts w:ascii="Cambria" w:eastAsia="Times New Roman" w:hAnsi="Cambria" w:cstheme="minorHAnsi"/>
        </w:rPr>
        <w:tab/>
      </w:r>
      <w:r w:rsidRPr="009A0DA6">
        <w:rPr>
          <w:rFonts w:ascii="Cambria" w:eastAsia="Times New Roman" w:hAnsi="Cambria" w:cstheme="minorHAnsi"/>
          <w:w w:val="99"/>
        </w:rPr>
        <w:t>0</w:t>
      </w:r>
      <w:r w:rsidRPr="009A0DA6">
        <w:rPr>
          <w:rFonts w:ascii="Cambria" w:eastAsia="Times New Roman" w:hAnsi="Cambria" w:cstheme="minorHAnsi"/>
        </w:rPr>
        <w:tab/>
      </w:r>
      <w:r w:rsidRPr="009A0DA6">
        <w:rPr>
          <w:rFonts w:ascii="Cambria" w:eastAsia="Times New Roman" w:hAnsi="Cambria" w:cstheme="minorHAnsi"/>
          <w:spacing w:val="1"/>
        </w:rPr>
        <w:t>1,34</w:t>
      </w:r>
      <w:r w:rsidRPr="009A0DA6">
        <w:rPr>
          <w:rFonts w:ascii="Cambria" w:eastAsia="Times New Roman" w:hAnsi="Cambria" w:cstheme="minorHAnsi"/>
          <w:spacing w:val="-1"/>
        </w:rPr>
        <w:t>2</w:t>
      </w:r>
      <w:r w:rsidRPr="009A0DA6">
        <w:rPr>
          <w:rFonts w:ascii="Cambria" w:eastAsia="Times New Roman" w:hAnsi="Cambria" w:cstheme="minorHAnsi"/>
          <w:spacing w:val="1"/>
        </w:rPr>
        <w:t>,9</w:t>
      </w:r>
      <w:r w:rsidRPr="009A0DA6">
        <w:rPr>
          <w:rFonts w:ascii="Cambria" w:eastAsia="Times New Roman" w:hAnsi="Cambria" w:cstheme="minorHAnsi"/>
          <w:spacing w:val="-1"/>
        </w:rPr>
        <w:t>3</w:t>
      </w:r>
      <w:r w:rsidRPr="009A0DA6">
        <w:rPr>
          <w:rFonts w:ascii="Cambria" w:eastAsia="Times New Roman" w:hAnsi="Cambria" w:cstheme="minorHAnsi"/>
        </w:rPr>
        <w:t>5</w:t>
      </w:r>
    </w:p>
    <w:p w14:paraId="68BD9C2D" w14:textId="77777777" w:rsidR="00BA4592" w:rsidRPr="009A0DA6" w:rsidRDefault="00BA4592" w:rsidP="00BA4592">
      <w:pPr>
        <w:tabs>
          <w:tab w:val="right" w:pos="4536"/>
          <w:tab w:val="right" w:pos="5954"/>
          <w:tab w:val="right" w:pos="7371"/>
          <w:tab w:val="right" w:pos="8789"/>
        </w:tabs>
        <w:spacing w:before="120" w:after="120" w:line="240" w:lineRule="auto"/>
        <w:ind w:right="-91"/>
        <w:contextualSpacing/>
        <w:rPr>
          <w:rFonts w:ascii="Cambria" w:eastAsia="Times New Roman" w:hAnsi="Cambria" w:cstheme="minorHAnsi"/>
        </w:rPr>
      </w:pPr>
      <w:r w:rsidRPr="009A0DA6">
        <w:rPr>
          <w:rFonts w:ascii="Cambria" w:eastAsia="Times New Roman" w:hAnsi="Cambria" w:cstheme="minorHAnsi"/>
          <w:spacing w:val="1"/>
        </w:rPr>
        <w:t>I</w:t>
      </w:r>
      <w:r w:rsidRPr="009A0DA6">
        <w:rPr>
          <w:rFonts w:ascii="Cambria" w:eastAsia="Times New Roman" w:hAnsi="Cambria" w:cstheme="minorHAnsi"/>
          <w:spacing w:val="-1"/>
        </w:rPr>
        <w:t>nv</w:t>
      </w:r>
      <w:r w:rsidRPr="009A0DA6">
        <w:rPr>
          <w:rFonts w:ascii="Cambria" w:eastAsia="Times New Roman" w:hAnsi="Cambria" w:cstheme="minorHAnsi"/>
          <w:spacing w:val="3"/>
        </w:rPr>
        <w:t>e</w:t>
      </w:r>
      <w:r w:rsidRPr="009A0DA6">
        <w:rPr>
          <w:rFonts w:ascii="Cambria" w:eastAsia="Times New Roman" w:hAnsi="Cambria" w:cstheme="minorHAnsi"/>
          <w:spacing w:val="-1"/>
        </w:rPr>
        <w:t>s</w:t>
      </w:r>
      <w:r w:rsidRPr="009A0DA6">
        <w:rPr>
          <w:rFonts w:ascii="Cambria" w:eastAsia="Times New Roman" w:hAnsi="Cambria" w:cstheme="minorHAnsi"/>
          <w:spacing w:val="2"/>
        </w:rPr>
        <w:t>t</w:t>
      </w:r>
      <w:r w:rsidRPr="009A0DA6">
        <w:rPr>
          <w:rFonts w:ascii="Cambria" w:eastAsia="Times New Roman" w:hAnsi="Cambria" w:cstheme="minorHAnsi"/>
          <w:spacing w:val="-4"/>
        </w:rPr>
        <w:t>m</w:t>
      </w:r>
      <w:r w:rsidRPr="009A0DA6">
        <w:rPr>
          <w:rFonts w:ascii="Cambria" w:eastAsia="Times New Roman" w:hAnsi="Cambria" w:cstheme="minorHAnsi"/>
          <w:spacing w:val="3"/>
        </w:rPr>
        <w:t>e</w:t>
      </w:r>
      <w:r w:rsidRPr="009A0DA6">
        <w:rPr>
          <w:rFonts w:ascii="Cambria" w:eastAsia="Times New Roman" w:hAnsi="Cambria" w:cstheme="minorHAnsi"/>
          <w:spacing w:val="-1"/>
        </w:rPr>
        <w:t>n</w:t>
      </w:r>
      <w:r w:rsidRPr="009A0DA6">
        <w:rPr>
          <w:rFonts w:ascii="Cambria" w:eastAsia="Times New Roman" w:hAnsi="Cambria" w:cstheme="minorHAnsi"/>
        </w:rPr>
        <w:t>t</w:t>
      </w:r>
      <w:r w:rsidRPr="009A0DA6">
        <w:rPr>
          <w:rFonts w:ascii="Cambria" w:eastAsia="Times New Roman" w:hAnsi="Cambria" w:cstheme="minorHAnsi"/>
          <w:spacing w:val="-9"/>
        </w:rPr>
        <w:t xml:space="preserve"> </w:t>
      </w:r>
      <w:r w:rsidRPr="009A0DA6">
        <w:rPr>
          <w:rFonts w:ascii="Cambria" w:eastAsia="Times New Roman" w:hAnsi="Cambria" w:cstheme="minorHAnsi"/>
          <w:spacing w:val="3"/>
        </w:rPr>
        <w:t>a</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spacing w:val="-1"/>
        </w:rPr>
        <w:t xml:space="preserve"> </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1"/>
        </w:rPr>
        <w:t>n</w:t>
      </w:r>
      <w:r w:rsidRPr="009A0DA6">
        <w:rPr>
          <w:rFonts w:ascii="Cambria" w:eastAsia="Times New Roman" w:hAnsi="Cambria" w:cstheme="minorHAnsi"/>
        </w:rPr>
        <w:t>tal</w:t>
      </w:r>
      <w:r w:rsidRPr="009A0DA6">
        <w:rPr>
          <w:rFonts w:ascii="Cambria" w:eastAsia="Times New Roman" w:hAnsi="Cambria" w:cstheme="minorHAnsi"/>
          <w:spacing w:val="-5"/>
        </w:rPr>
        <w:t xml:space="preserve"> </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rPr>
        <w:t>c</w:t>
      </w:r>
      <w:r w:rsidRPr="009A0DA6">
        <w:rPr>
          <w:rFonts w:ascii="Cambria" w:eastAsia="Times New Roman" w:hAnsi="Cambria" w:cstheme="minorHAnsi"/>
          <w:spacing w:val="4"/>
        </w:rPr>
        <w:t>o</w:t>
      </w:r>
      <w:r w:rsidRPr="009A0DA6">
        <w:rPr>
          <w:rFonts w:ascii="Cambria" w:eastAsia="Times New Roman" w:hAnsi="Cambria" w:cstheme="minorHAnsi"/>
          <w:spacing w:val="-4"/>
        </w:rPr>
        <w:t>m</w:t>
      </w:r>
      <w:r w:rsidRPr="009A0DA6">
        <w:rPr>
          <w:rFonts w:ascii="Cambria" w:eastAsia="Times New Roman" w:hAnsi="Cambria" w:cstheme="minorHAnsi"/>
        </w:rPr>
        <w:t>e</w:t>
      </w:r>
      <w:r w:rsidRPr="009A0DA6">
        <w:rPr>
          <w:rFonts w:ascii="Cambria" w:eastAsia="Times New Roman" w:hAnsi="Cambria" w:cstheme="minorHAnsi"/>
        </w:rPr>
        <w:tab/>
      </w:r>
      <w:r w:rsidRPr="009A0DA6">
        <w:rPr>
          <w:rFonts w:ascii="Cambria" w:eastAsia="Times New Roman" w:hAnsi="Cambria" w:cstheme="minorHAnsi"/>
          <w:spacing w:val="1"/>
        </w:rPr>
        <w:t>605,</w:t>
      </w:r>
      <w:r w:rsidRPr="009A0DA6">
        <w:rPr>
          <w:rFonts w:ascii="Cambria" w:eastAsia="Times New Roman" w:hAnsi="Cambria" w:cstheme="minorHAnsi"/>
          <w:spacing w:val="-1"/>
        </w:rPr>
        <w:t>0</w:t>
      </w:r>
      <w:r w:rsidRPr="009A0DA6">
        <w:rPr>
          <w:rFonts w:ascii="Cambria" w:eastAsia="Times New Roman" w:hAnsi="Cambria" w:cstheme="minorHAnsi"/>
          <w:spacing w:val="1"/>
        </w:rPr>
        <w:t>9</w:t>
      </w:r>
      <w:r w:rsidRPr="009A0DA6">
        <w:rPr>
          <w:rFonts w:ascii="Cambria" w:eastAsia="Times New Roman" w:hAnsi="Cambria" w:cstheme="minorHAnsi"/>
        </w:rPr>
        <w:t>0</w:t>
      </w:r>
      <w:r w:rsidRPr="009A0DA6">
        <w:rPr>
          <w:rFonts w:ascii="Cambria" w:eastAsia="Times New Roman" w:hAnsi="Cambria" w:cstheme="minorHAnsi"/>
        </w:rPr>
        <w:tab/>
      </w:r>
      <w:r w:rsidRPr="009A0DA6">
        <w:rPr>
          <w:rFonts w:ascii="Cambria" w:eastAsia="Times New Roman" w:hAnsi="Cambria" w:cstheme="minorHAnsi"/>
          <w:spacing w:val="1"/>
        </w:rPr>
        <w:t>117,</w:t>
      </w:r>
      <w:r w:rsidRPr="009A0DA6">
        <w:rPr>
          <w:rFonts w:ascii="Cambria" w:eastAsia="Times New Roman" w:hAnsi="Cambria" w:cstheme="minorHAnsi"/>
          <w:spacing w:val="-1"/>
        </w:rPr>
        <w:t>8</w:t>
      </w:r>
      <w:r w:rsidRPr="009A0DA6">
        <w:rPr>
          <w:rFonts w:ascii="Cambria" w:eastAsia="Times New Roman" w:hAnsi="Cambria" w:cstheme="minorHAnsi"/>
          <w:spacing w:val="1"/>
        </w:rPr>
        <w:t>2</w:t>
      </w:r>
      <w:r w:rsidRPr="009A0DA6">
        <w:rPr>
          <w:rFonts w:ascii="Cambria" w:eastAsia="Times New Roman" w:hAnsi="Cambria" w:cstheme="minorHAnsi"/>
        </w:rPr>
        <w:t>5</w:t>
      </w:r>
      <w:r w:rsidRPr="009A0DA6">
        <w:rPr>
          <w:rFonts w:ascii="Cambria" w:eastAsia="Times New Roman" w:hAnsi="Cambria" w:cstheme="minorHAnsi"/>
        </w:rPr>
        <w:tab/>
      </w:r>
      <w:r w:rsidRPr="009A0DA6">
        <w:rPr>
          <w:rFonts w:ascii="Cambria" w:eastAsia="Times New Roman" w:hAnsi="Cambria" w:cstheme="minorHAnsi"/>
          <w:w w:val="99"/>
        </w:rPr>
        <w:t>0</w:t>
      </w:r>
      <w:r w:rsidRPr="009A0DA6">
        <w:rPr>
          <w:rFonts w:ascii="Cambria" w:eastAsia="Times New Roman" w:hAnsi="Cambria" w:cstheme="minorHAnsi"/>
        </w:rPr>
        <w:tab/>
      </w:r>
      <w:r w:rsidRPr="009A0DA6">
        <w:rPr>
          <w:rFonts w:ascii="Cambria" w:eastAsia="Times New Roman" w:hAnsi="Cambria" w:cstheme="minorHAnsi"/>
          <w:spacing w:val="1"/>
        </w:rPr>
        <w:t>722,</w:t>
      </w:r>
      <w:r w:rsidRPr="009A0DA6">
        <w:rPr>
          <w:rFonts w:ascii="Cambria" w:eastAsia="Times New Roman" w:hAnsi="Cambria" w:cstheme="minorHAnsi"/>
          <w:spacing w:val="-1"/>
        </w:rPr>
        <w:t>9</w:t>
      </w:r>
      <w:r w:rsidRPr="009A0DA6">
        <w:rPr>
          <w:rFonts w:ascii="Cambria" w:eastAsia="Times New Roman" w:hAnsi="Cambria" w:cstheme="minorHAnsi"/>
          <w:spacing w:val="1"/>
        </w:rPr>
        <w:t>1</w:t>
      </w:r>
      <w:r w:rsidRPr="009A0DA6">
        <w:rPr>
          <w:rFonts w:ascii="Cambria" w:eastAsia="Times New Roman" w:hAnsi="Cambria" w:cstheme="minorHAnsi"/>
        </w:rPr>
        <w:t>5</w:t>
      </w:r>
    </w:p>
    <w:p w14:paraId="4D1D5EA3" w14:textId="77777777" w:rsidR="00BA4592" w:rsidRPr="009A0DA6" w:rsidRDefault="00BA4592" w:rsidP="00BA4592">
      <w:pPr>
        <w:tabs>
          <w:tab w:val="right" w:pos="4536"/>
          <w:tab w:val="right" w:pos="5954"/>
          <w:tab w:val="right" w:pos="7371"/>
          <w:tab w:val="right" w:pos="8789"/>
        </w:tabs>
        <w:spacing w:before="120" w:after="120" w:line="240" w:lineRule="auto"/>
        <w:ind w:right="-91"/>
        <w:contextualSpacing/>
        <w:rPr>
          <w:rFonts w:ascii="Cambria" w:eastAsia="Times New Roman" w:hAnsi="Cambria" w:cstheme="minorHAnsi"/>
        </w:rPr>
      </w:pPr>
      <w:r w:rsidRPr="009A0DA6">
        <w:rPr>
          <w:rFonts w:ascii="Cambria" w:eastAsia="Times New Roman" w:hAnsi="Cambria" w:cstheme="minorHAnsi"/>
          <w:spacing w:val="-2"/>
        </w:rPr>
        <w:t>L</w:t>
      </w:r>
      <w:r w:rsidRPr="009A0DA6">
        <w:rPr>
          <w:rFonts w:ascii="Cambria" w:eastAsia="Times New Roman" w:hAnsi="Cambria" w:cstheme="minorHAnsi"/>
          <w:spacing w:val="2"/>
        </w:rPr>
        <w:t>C</w:t>
      </w:r>
      <w:r w:rsidRPr="009A0DA6">
        <w:rPr>
          <w:rFonts w:ascii="Cambria" w:eastAsia="Times New Roman" w:hAnsi="Cambria" w:cstheme="minorHAnsi"/>
        </w:rPr>
        <w:t>A</w:t>
      </w:r>
      <w:r w:rsidRPr="009A0DA6">
        <w:rPr>
          <w:rFonts w:ascii="Cambria" w:eastAsia="Times New Roman" w:hAnsi="Cambria" w:cstheme="minorHAnsi"/>
          <w:spacing w:val="-3"/>
        </w:rPr>
        <w:t xml:space="preserve"> </w:t>
      </w:r>
      <w:r w:rsidRPr="009A0DA6">
        <w:rPr>
          <w:rFonts w:ascii="Cambria" w:eastAsia="Times New Roman" w:hAnsi="Cambria" w:cstheme="minorHAnsi"/>
        </w:rPr>
        <w:t>all</w:t>
      </w:r>
      <w:r w:rsidRPr="009A0DA6">
        <w:rPr>
          <w:rFonts w:ascii="Cambria" w:eastAsia="Times New Roman" w:hAnsi="Cambria" w:cstheme="minorHAnsi"/>
          <w:spacing w:val="1"/>
        </w:rPr>
        <w:t>o</w:t>
      </w:r>
      <w:r w:rsidRPr="009A0DA6">
        <w:rPr>
          <w:rFonts w:ascii="Cambria" w:eastAsia="Times New Roman" w:hAnsi="Cambria" w:cstheme="minorHAnsi"/>
        </w:rPr>
        <w:t>cati</w:t>
      </w:r>
      <w:r w:rsidRPr="009A0DA6">
        <w:rPr>
          <w:rFonts w:ascii="Cambria" w:eastAsia="Times New Roman" w:hAnsi="Cambria" w:cstheme="minorHAnsi"/>
          <w:spacing w:val="1"/>
        </w:rPr>
        <w:t>on</w:t>
      </w:r>
      <w:r w:rsidRPr="009A0DA6">
        <w:rPr>
          <w:rFonts w:ascii="Cambria" w:eastAsia="Times New Roman" w:hAnsi="Cambria" w:cstheme="minorHAnsi"/>
        </w:rPr>
        <w:t>s</w:t>
      </w:r>
      <w:r w:rsidRPr="009A0DA6">
        <w:rPr>
          <w:rFonts w:ascii="Cambria" w:eastAsia="Times New Roman" w:hAnsi="Cambria" w:cstheme="minorHAnsi"/>
          <w:spacing w:val="-9"/>
        </w:rPr>
        <w:t xml:space="preserve"> </w:t>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spacing w:val="-1"/>
        </w:rPr>
        <w:t xml:space="preserve"> </w:t>
      </w:r>
      <w:r w:rsidRPr="009A0DA6">
        <w:rPr>
          <w:rFonts w:ascii="Cambria" w:eastAsia="Times New Roman" w:hAnsi="Cambria" w:cstheme="minorHAnsi"/>
        </w:rPr>
        <w:t>i</w:t>
      </w:r>
      <w:r w:rsidRPr="009A0DA6">
        <w:rPr>
          <w:rFonts w:ascii="Cambria" w:eastAsia="Times New Roman" w:hAnsi="Cambria" w:cstheme="minorHAnsi"/>
          <w:spacing w:val="1"/>
        </w:rPr>
        <w:t>n</w:t>
      </w:r>
      <w:r w:rsidRPr="009A0DA6">
        <w:rPr>
          <w:rFonts w:ascii="Cambria" w:eastAsia="Times New Roman" w:hAnsi="Cambria" w:cstheme="minorHAnsi"/>
        </w:rPr>
        <w:t>te</w:t>
      </w:r>
      <w:r w:rsidRPr="009A0DA6">
        <w:rPr>
          <w:rFonts w:ascii="Cambria" w:eastAsia="Times New Roman" w:hAnsi="Cambria" w:cstheme="minorHAnsi"/>
          <w:spacing w:val="1"/>
        </w:rPr>
        <w:t>r</w:t>
      </w:r>
      <w:r w:rsidRPr="009A0DA6">
        <w:rPr>
          <w:rFonts w:ascii="Cambria" w:eastAsia="Times New Roman" w:hAnsi="Cambria" w:cstheme="minorHAnsi"/>
          <w:spacing w:val="-1"/>
        </w:rPr>
        <w:t>n</w:t>
      </w:r>
      <w:r w:rsidRPr="009A0DA6">
        <w:rPr>
          <w:rFonts w:ascii="Cambria" w:eastAsia="Times New Roman" w:hAnsi="Cambria" w:cstheme="minorHAnsi"/>
        </w:rPr>
        <w:t>al</w:t>
      </w:r>
      <w:r w:rsidRPr="009A0DA6">
        <w:rPr>
          <w:rFonts w:ascii="Cambria" w:eastAsia="Times New Roman" w:hAnsi="Cambria" w:cstheme="minorHAnsi"/>
          <w:spacing w:val="-6"/>
        </w:rPr>
        <w:t xml:space="preserve"> </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rPr>
        <w:t>c</w:t>
      </w:r>
      <w:r w:rsidRPr="009A0DA6">
        <w:rPr>
          <w:rFonts w:ascii="Cambria" w:eastAsia="Times New Roman" w:hAnsi="Cambria" w:cstheme="minorHAnsi"/>
          <w:spacing w:val="4"/>
        </w:rPr>
        <w:t>o</w:t>
      </w:r>
      <w:r w:rsidRPr="009A0DA6">
        <w:rPr>
          <w:rFonts w:ascii="Cambria" w:eastAsia="Times New Roman" w:hAnsi="Cambria" w:cstheme="minorHAnsi"/>
          <w:spacing w:val="-4"/>
        </w:rPr>
        <w:t>m</w:t>
      </w:r>
      <w:r w:rsidRPr="009A0DA6">
        <w:rPr>
          <w:rFonts w:ascii="Cambria" w:eastAsia="Times New Roman" w:hAnsi="Cambria" w:cstheme="minorHAnsi"/>
        </w:rPr>
        <w:t>e</w:t>
      </w:r>
      <w:r w:rsidRPr="009A0DA6">
        <w:rPr>
          <w:rFonts w:ascii="Cambria" w:eastAsia="Times New Roman" w:hAnsi="Cambria" w:cstheme="minorHAnsi"/>
        </w:rPr>
        <w:tab/>
      </w:r>
      <w:r w:rsidRPr="009A0DA6">
        <w:rPr>
          <w:rFonts w:ascii="Cambria" w:eastAsia="Times New Roman" w:hAnsi="Cambria" w:cstheme="minorHAnsi"/>
          <w:spacing w:val="1"/>
        </w:rPr>
        <w:t>71,8</w:t>
      </w:r>
      <w:r w:rsidRPr="009A0DA6">
        <w:rPr>
          <w:rFonts w:ascii="Cambria" w:eastAsia="Times New Roman" w:hAnsi="Cambria" w:cstheme="minorHAnsi"/>
          <w:spacing w:val="-1"/>
        </w:rPr>
        <w:t>7</w:t>
      </w:r>
      <w:r w:rsidRPr="009A0DA6">
        <w:rPr>
          <w:rFonts w:ascii="Cambria" w:eastAsia="Times New Roman" w:hAnsi="Cambria" w:cstheme="minorHAnsi"/>
        </w:rPr>
        <w:t>8</w:t>
      </w:r>
      <w:r w:rsidRPr="009A0DA6">
        <w:rPr>
          <w:rFonts w:ascii="Cambria" w:eastAsia="Times New Roman" w:hAnsi="Cambria" w:cstheme="minorHAnsi"/>
        </w:rPr>
        <w:tab/>
      </w:r>
      <w:r w:rsidRPr="009A0DA6">
        <w:rPr>
          <w:rFonts w:ascii="Cambria" w:eastAsia="Times New Roman" w:hAnsi="Cambria" w:cstheme="minorHAnsi"/>
          <w:spacing w:val="1"/>
        </w:rPr>
        <w:t>1,37</w:t>
      </w:r>
      <w:r w:rsidRPr="009A0DA6">
        <w:rPr>
          <w:rFonts w:ascii="Cambria" w:eastAsia="Times New Roman" w:hAnsi="Cambria" w:cstheme="minorHAnsi"/>
          <w:spacing w:val="-1"/>
        </w:rPr>
        <w:t>5</w:t>
      </w:r>
      <w:r w:rsidRPr="009A0DA6">
        <w:rPr>
          <w:rFonts w:ascii="Cambria" w:eastAsia="Times New Roman" w:hAnsi="Cambria" w:cstheme="minorHAnsi"/>
          <w:spacing w:val="1"/>
        </w:rPr>
        <w:t>,1</w:t>
      </w:r>
      <w:r w:rsidRPr="009A0DA6">
        <w:rPr>
          <w:rFonts w:ascii="Cambria" w:eastAsia="Times New Roman" w:hAnsi="Cambria" w:cstheme="minorHAnsi"/>
          <w:spacing w:val="-1"/>
        </w:rPr>
        <w:t>0</w:t>
      </w:r>
      <w:r w:rsidRPr="009A0DA6">
        <w:rPr>
          <w:rFonts w:ascii="Cambria" w:eastAsia="Times New Roman" w:hAnsi="Cambria" w:cstheme="minorHAnsi"/>
        </w:rPr>
        <w:t>8</w:t>
      </w:r>
      <w:r w:rsidRPr="009A0DA6">
        <w:rPr>
          <w:rFonts w:ascii="Cambria" w:eastAsia="Times New Roman" w:hAnsi="Cambria" w:cstheme="minorHAnsi"/>
        </w:rPr>
        <w:tab/>
      </w:r>
      <w:r w:rsidRPr="009A0DA6">
        <w:rPr>
          <w:rFonts w:ascii="Cambria" w:eastAsia="Times New Roman" w:hAnsi="Cambria" w:cstheme="minorHAnsi"/>
          <w:spacing w:val="1"/>
        </w:rPr>
        <w:t>(1,4</w:t>
      </w:r>
      <w:r w:rsidRPr="009A0DA6">
        <w:rPr>
          <w:rFonts w:ascii="Cambria" w:eastAsia="Times New Roman" w:hAnsi="Cambria" w:cstheme="minorHAnsi"/>
          <w:spacing w:val="-1"/>
        </w:rPr>
        <w:t>4</w:t>
      </w:r>
      <w:r w:rsidRPr="009A0DA6">
        <w:rPr>
          <w:rFonts w:ascii="Cambria" w:eastAsia="Times New Roman" w:hAnsi="Cambria" w:cstheme="minorHAnsi"/>
          <w:spacing w:val="1"/>
        </w:rPr>
        <w:t>6,</w:t>
      </w:r>
      <w:r w:rsidRPr="009A0DA6">
        <w:rPr>
          <w:rFonts w:ascii="Cambria" w:eastAsia="Times New Roman" w:hAnsi="Cambria" w:cstheme="minorHAnsi"/>
          <w:spacing w:val="-1"/>
        </w:rPr>
        <w:t>9</w:t>
      </w:r>
      <w:r w:rsidRPr="009A0DA6">
        <w:rPr>
          <w:rFonts w:ascii="Cambria" w:eastAsia="Times New Roman" w:hAnsi="Cambria" w:cstheme="minorHAnsi"/>
          <w:spacing w:val="1"/>
        </w:rPr>
        <w:t>86</w:t>
      </w:r>
      <w:r w:rsidRPr="009A0DA6">
        <w:rPr>
          <w:rFonts w:ascii="Cambria" w:eastAsia="Times New Roman" w:hAnsi="Cambria" w:cstheme="minorHAnsi"/>
        </w:rPr>
        <w:t>)</w:t>
      </w:r>
      <w:r w:rsidRPr="009A0DA6">
        <w:rPr>
          <w:rFonts w:ascii="Cambria" w:eastAsia="Times New Roman" w:hAnsi="Cambria" w:cstheme="minorHAnsi"/>
        </w:rPr>
        <w:tab/>
      </w:r>
      <w:r w:rsidRPr="009A0DA6">
        <w:rPr>
          <w:rFonts w:ascii="Cambria" w:eastAsia="Times New Roman" w:hAnsi="Cambria" w:cstheme="minorHAnsi"/>
          <w:w w:val="99"/>
        </w:rPr>
        <w:t>0</w:t>
      </w:r>
    </w:p>
    <w:p w14:paraId="7AC46974" w14:textId="77777777" w:rsidR="00BA4592" w:rsidRPr="009A0DA6" w:rsidRDefault="00BA4592" w:rsidP="00BA4592">
      <w:pPr>
        <w:tabs>
          <w:tab w:val="right" w:pos="4536"/>
          <w:tab w:val="right" w:pos="5954"/>
          <w:tab w:val="right" w:pos="7371"/>
          <w:tab w:val="right" w:pos="8789"/>
        </w:tabs>
        <w:spacing w:before="120" w:after="120" w:line="240" w:lineRule="auto"/>
        <w:ind w:right="-91"/>
        <w:contextualSpacing/>
        <w:rPr>
          <w:rFonts w:ascii="Cambria" w:eastAsia="Times New Roman" w:hAnsi="Cambria" w:cstheme="minorHAnsi"/>
        </w:rPr>
      </w:pPr>
      <w:r w:rsidRPr="009A0DA6">
        <w:rPr>
          <w:rFonts w:ascii="Cambria" w:eastAsia="Times New Roman" w:hAnsi="Cambria" w:cstheme="minorHAnsi"/>
          <w:spacing w:val="1"/>
        </w:rPr>
        <w:t>L</w:t>
      </w:r>
      <w:r w:rsidRPr="009A0DA6">
        <w:rPr>
          <w:rFonts w:ascii="Cambria" w:eastAsia="Times New Roman" w:hAnsi="Cambria" w:cstheme="minorHAnsi"/>
          <w:spacing w:val="-1"/>
        </w:rPr>
        <w:t>u</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1"/>
        </w:rPr>
        <w:t>r</w:t>
      </w:r>
      <w:r w:rsidRPr="009A0DA6">
        <w:rPr>
          <w:rFonts w:ascii="Cambria" w:eastAsia="Times New Roman" w:hAnsi="Cambria" w:cstheme="minorHAnsi"/>
          <w:spacing w:val="3"/>
        </w:rPr>
        <w:t>a</w:t>
      </w:r>
      <w:r w:rsidRPr="009A0DA6">
        <w:rPr>
          <w:rFonts w:ascii="Cambria" w:eastAsia="Times New Roman" w:hAnsi="Cambria" w:cstheme="minorHAnsi"/>
        </w:rPr>
        <w:t>n</w:t>
      </w:r>
      <w:r w:rsidRPr="009A0DA6">
        <w:rPr>
          <w:rFonts w:ascii="Cambria" w:eastAsia="Times New Roman" w:hAnsi="Cambria" w:cstheme="minorHAnsi"/>
          <w:spacing w:val="-8"/>
        </w:rPr>
        <w:t xml:space="preserve"> </w:t>
      </w:r>
      <w:r w:rsidRPr="009A0DA6">
        <w:rPr>
          <w:rFonts w:ascii="Cambria" w:eastAsia="Times New Roman" w:hAnsi="Cambria" w:cstheme="minorHAnsi"/>
          <w:spacing w:val="2"/>
        </w:rPr>
        <w:t>C</w:t>
      </w:r>
      <w:r w:rsidRPr="009A0DA6">
        <w:rPr>
          <w:rFonts w:ascii="Cambria" w:eastAsia="Times New Roman" w:hAnsi="Cambria" w:cstheme="minorHAnsi"/>
          <w:spacing w:val="1"/>
        </w:rPr>
        <w:t>h</w:t>
      </w:r>
      <w:r w:rsidRPr="009A0DA6">
        <w:rPr>
          <w:rFonts w:ascii="Cambria" w:eastAsia="Times New Roman" w:hAnsi="Cambria" w:cstheme="minorHAnsi"/>
          <w:spacing w:val="-1"/>
        </w:rPr>
        <w:t>u</w:t>
      </w:r>
      <w:r w:rsidRPr="009A0DA6">
        <w:rPr>
          <w:rFonts w:ascii="Cambria" w:eastAsia="Times New Roman" w:hAnsi="Cambria" w:cstheme="minorHAnsi"/>
          <w:spacing w:val="1"/>
        </w:rPr>
        <w:t>r</w:t>
      </w:r>
      <w:r w:rsidRPr="009A0DA6">
        <w:rPr>
          <w:rFonts w:ascii="Cambria" w:eastAsia="Times New Roman" w:hAnsi="Cambria" w:cstheme="minorHAnsi"/>
        </w:rPr>
        <w:t>ch</w:t>
      </w:r>
      <w:r w:rsidRPr="009A0DA6">
        <w:rPr>
          <w:rFonts w:ascii="Cambria" w:eastAsia="Times New Roman" w:hAnsi="Cambria" w:cstheme="minorHAnsi"/>
          <w:spacing w:val="-7"/>
        </w:rPr>
        <w:t xml:space="preserve"> </w:t>
      </w:r>
      <w:r w:rsidRPr="009A0DA6">
        <w:rPr>
          <w:rFonts w:ascii="Cambria" w:eastAsia="Times New Roman" w:hAnsi="Cambria" w:cstheme="minorHAnsi"/>
          <w:spacing w:val="-1"/>
        </w:rPr>
        <w:t>g</w:t>
      </w:r>
      <w:r w:rsidRPr="009A0DA6">
        <w:rPr>
          <w:rFonts w:ascii="Cambria" w:eastAsia="Times New Roman" w:hAnsi="Cambria" w:cstheme="minorHAnsi"/>
          <w:spacing w:val="1"/>
        </w:rPr>
        <w:t>r</w:t>
      </w:r>
      <w:r w:rsidRPr="009A0DA6">
        <w:rPr>
          <w:rFonts w:ascii="Cambria" w:eastAsia="Times New Roman" w:hAnsi="Cambria" w:cstheme="minorHAnsi"/>
          <w:spacing w:val="4"/>
        </w:rPr>
        <w:t>o</w:t>
      </w:r>
      <w:r w:rsidRPr="009A0DA6">
        <w:rPr>
          <w:rFonts w:ascii="Cambria" w:eastAsia="Times New Roman" w:hAnsi="Cambria" w:cstheme="minorHAnsi"/>
          <w:spacing w:val="-1"/>
        </w:rPr>
        <w:t>u</w:t>
      </w:r>
      <w:r w:rsidRPr="009A0DA6">
        <w:rPr>
          <w:rFonts w:ascii="Cambria" w:eastAsia="Times New Roman" w:hAnsi="Cambria" w:cstheme="minorHAnsi"/>
        </w:rPr>
        <w:t>p</w:t>
      </w:r>
      <w:r w:rsidRPr="009A0DA6">
        <w:rPr>
          <w:rFonts w:ascii="Cambria" w:eastAsia="Times New Roman" w:hAnsi="Cambria" w:cstheme="minorHAnsi"/>
          <w:spacing w:val="-3"/>
        </w:rPr>
        <w:t xml:space="preserve"> </w:t>
      </w:r>
      <w:r w:rsidRPr="009A0DA6">
        <w:rPr>
          <w:rFonts w:ascii="Cambria" w:eastAsia="Times New Roman" w:hAnsi="Cambria" w:cstheme="minorHAnsi"/>
        </w:rPr>
        <w:t>i</w:t>
      </w:r>
      <w:r w:rsidRPr="009A0DA6">
        <w:rPr>
          <w:rFonts w:ascii="Cambria" w:eastAsia="Times New Roman" w:hAnsi="Cambria" w:cstheme="minorHAnsi"/>
          <w:spacing w:val="-1"/>
        </w:rPr>
        <w:t>n</w:t>
      </w:r>
      <w:r w:rsidRPr="009A0DA6">
        <w:rPr>
          <w:rFonts w:ascii="Cambria" w:eastAsia="Times New Roman" w:hAnsi="Cambria" w:cstheme="minorHAnsi"/>
        </w:rPr>
        <w:t>c</w:t>
      </w:r>
      <w:r w:rsidRPr="009A0DA6">
        <w:rPr>
          <w:rFonts w:ascii="Cambria" w:eastAsia="Times New Roman" w:hAnsi="Cambria" w:cstheme="minorHAnsi"/>
          <w:spacing w:val="4"/>
        </w:rPr>
        <w:t>o</w:t>
      </w:r>
      <w:r w:rsidRPr="009A0DA6">
        <w:rPr>
          <w:rFonts w:ascii="Cambria" w:eastAsia="Times New Roman" w:hAnsi="Cambria" w:cstheme="minorHAnsi"/>
          <w:spacing w:val="-1"/>
        </w:rPr>
        <w:t>m</w:t>
      </w:r>
      <w:r w:rsidRPr="009A0DA6">
        <w:rPr>
          <w:rFonts w:ascii="Cambria" w:eastAsia="Times New Roman" w:hAnsi="Cambria" w:cstheme="minorHAnsi"/>
        </w:rPr>
        <w:t>e</w:t>
      </w:r>
      <w:r w:rsidRPr="009A0DA6">
        <w:rPr>
          <w:rFonts w:ascii="Cambria" w:eastAsia="Times New Roman" w:hAnsi="Cambria" w:cstheme="minorHAnsi"/>
        </w:rPr>
        <w:tab/>
      </w:r>
      <w:r w:rsidRPr="009A0DA6">
        <w:rPr>
          <w:rFonts w:ascii="Cambria" w:eastAsia="Times New Roman" w:hAnsi="Cambria" w:cstheme="minorHAnsi"/>
          <w:spacing w:val="1"/>
        </w:rPr>
        <w:t>7,32</w:t>
      </w:r>
      <w:r w:rsidRPr="009A0DA6">
        <w:rPr>
          <w:rFonts w:ascii="Cambria" w:eastAsia="Times New Roman" w:hAnsi="Cambria" w:cstheme="minorHAnsi"/>
          <w:spacing w:val="-1"/>
        </w:rPr>
        <w:t>2</w:t>
      </w:r>
      <w:r w:rsidRPr="009A0DA6">
        <w:rPr>
          <w:rFonts w:ascii="Cambria" w:eastAsia="Times New Roman" w:hAnsi="Cambria" w:cstheme="minorHAnsi"/>
          <w:spacing w:val="1"/>
        </w:rPr>
        <w:t>,9</w:t>
      </w:r>
      <w:r w:rsidRPr="009A0DA6">
        <w:rPr>
          <w:rFonts w:ascii="Cambria" w:eastAsia="Times New Roman" w:hAnsi="Cambria" w:cstheme="minorHAnsi"/>
          <w:spacing w:val="-1"/>
        </w:rPr>
        <w:t>3</w:t>
      </w:r>
      <w:r w:rsidRPr="009A0DA6">
        <w:rPr>
          <w:rFonts w:ascii="Cambria" w:eastAsia="Times New Roman" w:hAnsi="Cambria" w:cstheme="minorHAnsi"/>
        </w:rPr>
        <w:t>4</w:t>
      </w:r>
      <w:r w:rsidRPr="009A0DA6">
        <w:rPr>
          <w:rFonts w:ascii="Cambria" w:hAnsi="Cambria" w:cstheme="minorHAnsi"/>
        </w:rPr>
        <w:tab/>
      </w:r>
      <w:r w:rsidRPr="009A0DA6">
        <w:rPr>
          <w:rFonts w:ascii="Cambria" w:eastAsia="Times New Roman" w:hAnsi="Cambria" w:cstheme="minorHAnsi"/>
          <w:spacing w:val="1"/>
        </w:rPr>
        <w:t>1,42</w:t>
      </w:r>
      <w:r w:rsidRPr="009A0DA6">
        <w:rPr>
          <w:rFonts w:ascii="Cambria" w:eastAsia="Times New Roman" w:hAnsi="Cambria" w:cstheme="minorHAnsi"/>
          <w:spacing w:val="-1"/>
        </w:rPr>
        <w:t>9</w:t>
      </w:r>
      <w:r w:rsidRPr="009A0DA6">
        <w:rPr>
          <w:rFonts w:ascii="Cambria" w:eastAsia="Times New Roman" w:hAnsi="Cambria" w:cstheme="minorHAnsi"/>
          <w:spacing w:val="1"/>
        </w:rPr>
        <w:t>,5</w:t>
      </w:r>
      <w:r w:rsidRPr="009A0DA6">
        <w:rPr>
          <w:rFonts w:ascii="Cambria" w:eastAsia="Times New Roman" w:hAnsi="Cambria" w:cstheme="minorHAnsi"/>
          <w:spacing w:val="-1"/>
        </w:rPr>
        <w:t>3</w:t>
      </w:r>
      <w:r w:rsidRPr="009A0DA6">
        <w:rPr>
          <w:rFonts w:ascii="Cambria" w:eastAsia="Times New Roman" w:hAnsi="Cambria" w:cstheme="minorHAnsi"/>
        </w:rPr>
        <w:t>3</w:t>
      </w:r>
      <w:r w:rsidRPr="009A0DA6">
        <w:rPr>
          <w:rFonts w:ascii="Cambria" w:hAnsi="Cambria" w:cstheme="minorHAnsi"/>
        </w:rPr>
        <w:tab/>
      </w:r>
      <w:r w:rsidRPr="009A0DA6">
        <w:rPr>
          <w:rFonts w:ascii="Cambria" w:eastAsia="Times New Roman" w:hAnsi="Cambria" w:cstheme="minorHAnsi"/>
          <w:w w:val="99"/>
        </w:rPr>
        <w:t>0</w:t>
      </w:r>
      <w:r w:rsidRPr="009A0DA6">
        <w:rPr>
          <w:rFonts w:ascii="Cambria" w:hAnsi="Cambria" w:cstheme="minorHAnsi"/>
        </w:rPr>
        <w:tab/>
      </w:r>
      <w:r w:rsidRPr="009A0DA6">
        <w:rPr>
          <w:rFonts w:ascii="Cambria" w:eastAsia="Times New Roman" w:hAnsi="Cambria" w:cstheme="minorHAnsi"/>
          <w:spacing w:val="1"/>
        </w:rPr>
        <w:t>8,75</w:t>
      </w:r>
      <w:r w:rsidRPr="009A0DA6">
        <w:rPr>
          <w:rFonts w:ascii="Cambria" w:eastAsia="Times New Roman" w:hAnsi="Cambria" w:cstheme="minorHAnsi"/>
          <w:spacing w:val="-1"/>
        </w:rPr>
        <w:t>2</w:t>
      </w:r>
      <w:r w:rsidRPr="009A0DA6">
        <w:rPr>
          <w:rFonts w:ascii="Cambria" w:eastAsia="Times New Roman" w:hAnsi="Cambria" w:cstheme="minorHAnsi"/>
          <w:spacing w:val="1"/>
        </w:rPr>
        <w:t>,4</w:t>
      </w:r>
      <w:r w:rsidRPr="009A0DA6">
        <w:rPr>
          <w:rFonts w:ascii="Cambria" w:eastAsia="Times New Roman" w:hAnsi="Cambria" w:cstheme="minorHAnsi"/>
          <w:spacing w:val="-1"/>
        </w:rPr>
        <w:t>6</w:t>
      </w:r>
      <w:r w:rsidRPr="009A0DA6">
        <w:rPr>
          <w:rFonts w:ascii="Cambria" w:eastAsia="Times New Roman" w:hAnsi="Cambria" w:cstheme="minorHAnsi"/>
        </w:rPr>
        <w:t>7</w:t>
      </w:r>
    </w:p>
    <w:p w14:paraId="5C0E89F7" w14:textId="77777777" w:rsidR="00BA4592" w:rsidRPr="009A0DA6" w:rsidRDefault="00BA4592" w:rsidP="00BA4592">
      <w:pPr>
        <w:tabs>
          <w:tab w:val="right" w:pos="4536"/>
          <w:tab w:val="right" w:pos="5954"/>
          <w:tab w:val="right" w:pos="7371"/>
          <w:tab w:val="right" w:pos="8789"/>
        </w:tabs>
        <w:spacing w:before="120" w:after="120" w:line="240" w:lineRule="auto"/>
        <w:ind w:right="-91"/>
        <w:contextualSpacing/>
        <w:rPr>
          <w:rFonts w:ascii="Cambria" w:eastAsia="Times New Roman" w:hAnsi="Cambria" w:cstheme="minorHAnsi"/>
        </w:rPr>
      </w:pP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2"/>
        </w:rPr>
        <w:t>i</w:t>
      </w:r>
      <w:r w:rsidRPr="009A0DA6">
        <w:rPr>
          <w:rFonts w:ascii="Cambria" w:eastAsia="Times New Roman" w:hAnsi="Cambria" w:cstheme="minorHAnsi"/>
          <w:spacing w:val="-4"/>
        </w:rPr>
        <w:t>m</w:t>
      </w:r>
      <w:r w:rsidRPr="009A0DA6">
        <w:rPr>
          <w:rFonts w:ascii="Cambria" w:eastAsia="Times New Roman" w:hAnsi="Cambria" w:cstheme="minorHAnsi"/>
          <w:spacing w:val="4"/>
        </w:rPr>
        <w:t>b</w:t>
      </w:r>
      <w:r w:rsidRPr="009A0DA6">
        <w:rPr>
          <w:rFonts w:ascii="Cambria" w:eastAsia="Times New Roman" w:hAnsi="Cambria" w:cstheme="minorHAnsi"/>
          <w:spacing w:val="-1"/>
        </w:rPr>
        <w:t>u</w:t>
      </w:r>
      <w:r w:rsidRPr="009A0DA6">
        <w:rPr>
          <w:rFonts w:ascii="Cambria" w:eastAsia="Times New Roman" w:hAnsi="Cambria" w:cstheme="minorHAnsi"/>
          <w:spacing w:val="1"/>
        </w:rPr>
        <w:t>r</w:t>
      </w:r>
      <w:r w:rsidRPr="009A0DA6">
        <w:rPr>
          <w:rFonts w:ascii="Cambria" w:eastAsia="Times New Roman" w:hAnsi="Cambria" w:cstheme="minorHAnsi"/>
          <w:spacing w:val="-1"/>
        </w:rPr>
        <w:t>s</w:t>
      </w:r>
      <w:r w:rsidRPr="009A0DA6">
        <w:rPr>
          <w:rFonts w:ascii="Cambria" w:eastAsia="Times New Roman" w:hAnsi="Cambria" w:cstheme="minorHAnsi"/>
          <w:spacing w:val="3"/>
        </w:rPr>
        <w:t>e</w:t>
      </w:r>
      <w:r w:rsidRPr="009A0DA6">
        <w:rPr>
          <w:rFonts w:ascii="Cambria" w:eastAsia="Times New Roman" w:hAnsi="Cambria" w:cstheme="minorHAnsi"/>
          <w:spacing w:val="-1"/>
        </w:rPr>
        <w:t>m</w:t>
      </w:r>
      <w:r w:rsidRPr="009A0DA6">
        <w:rPr>
          <w:rFonts w:ascii="Cambria" w:eastAsia="Times New Roman" w:hAnsi="Cambria" w:cstheme="minorHAnsi"/>
          <w:spacing w:val="3"/>
        </w:rPr>
        <w:t>e</w:t>
      </w:r>
      <w:r w:rsidRPr="009A0DA6">
        <w:rPr>
          <w:rFonts w:ascii="Cambria" w:eastAsia="Times New Roman" w:hAnsi="Cambria" w:cstheme="minorHAnsi"/>
          <w:spacing w:val="-1"/>
        </w:rPr>
        <w:t>n</w:t>
      </w:r>
      <w:r w:rsidRPr="009A0DA6">
        <w:rPr>
          <w:rFonts w:ascii="Cambria" w:eastAsia="Times New Roman" w:hAnsi="Cambria" w:cstheme="minorHAnsi"/>
        </w:rPr>
        <w:t>ts</w:t>
      </w:r>
      <w:r w:rsidRPr="009A0DA6">
        <w:rPr>
          <w:rFonts w:ascii="Cambria" w:eastAsia="Times New Roman" w:hAnsi="Cambria" w:cstheme="minorHAnsi"/>
        </w:rPr>
        <w:tab/>
      </w:r>
      <w:r w:rsidRPr="009A0DA6">
        <w:rPr>
          <w:rFonts w:ascii="Cambria" w:eastAsia="Times New Roman" w:hAnsi="Cambria" w:cstheme="minorHAnsi"/>
          <w:spacing w:val="1"/>
        </w:rPr>
        <w:t>78,8</w:t>
      </w:r>
      <w:r w:rsidRPr="009A0DA6">
        <w:rPr>
          <w:rFonts w:ascii="Cambria" w:eastAsia="Times New Roman" w:hAnsi="Cambria" w:cstheme="minorHAnsi"/>
          <w:spacing w:val="-1"/>
        </w:rPr>
        <w:t>7</w:t>
      </w:r>
      <w:r w:rsidRPr="009A0DA6">
        <w:rPr>
          <w:rFonts w:ascii="Cambria" w:eastAsia="Times New Roman" w:hAnsi="Cambria" w:cstheme="minorHAnsi"/>
        </w:rPr>
        <w:t>9</w:t>
      </w:r>
      <w:r w:rsidRPr="009A0DA6">
        <w:rPr>
          <w:rFonts w:ascii="Cambria" w:hAnsi="Cambria" w:cstheme="minorHAnsi"/>
        </w:rPr>
        <w:tab/>
      </w:r>
      <w:r w:rsidRPr="009A0DA6">
        <w:rPr>
          <w:rFonts w:ascii="Cambria" w:eastAsia="Times New Roman" w:hAnsi="Cambria" w:cstheme="minorHAnsi"/>
          <w:spacing w:val="1"/>
        </w:rPr>
        <w:t>181,</w:t>
      </w:r>
      <w:r w:rsidRPr="009A0DA6">
        <w:rPr>
          <w:rFonts w:ascii="Cambria" w:eastAsia="Times New Roman" w:hAnsi="Cambria" w:cstheme="minorHAnsi"/>
          <w:spacing w:val="-1"/>
        </w:rPr>
        <w:t>9</w:t>
      </w:r>
      <w:r w:rsidRPr="009A0DA6">
        <w:rPr>
          <w:rFonts w:ascii="Cambria" w:eastAsia="Times New Roman" w:hAnsi="Cambria" w:cstheme="minorHAnsi"/>
          <w:spacing w:val="1"/>
        </w:rPr>
        <w:t>7</w:t>
      </w:r>
      <w:r w:rsidRPr="009A0DA6">
        <w:rPr>
          <w:rFonts w:ascii="Cambria" w:eastAsia="Times New Roman" w:hAnsi="Cambria" w:cstheme="minorHAnsi"/>
        </w:rPr>
        <w:t>5</w:t>
      </w:r>
      <w:r w:rsidRPr="009A0DA6">
        <w:rPr>
          <w:rFonts w:ascii="Cambria" w:hAnsi="Cambria" w:cstheme="minorHAnsi"/>
        </w:rPr>
        <w:tab/>
      </w:r>
      <w:r w:rsidRPr="009A0DA6">
        <w:rPr>
          <w:rFonts w:ascii="Cambria" w:eastAsia="Times New Roman" w:hAnsi="Cambria" w:cstheme="minorHAnsi"/>
          <w:spacing w:val="1"/>
        </w:rPr>
        <w:t>(57,</w:t>
      </w:r>
      <w:r w:rsidRPr="009A0DA6">
        <w:rPr>
          <w:rFonts w:ascii="Cambria" w:eastAsia="Times New Roman" w:hAnsi="Cambria" w:cstheme="minorHAnsi"/>
          <w:spacing w:val="-1"/>
        </w:rPr>
        <w:t>3</w:t>
      </w:r>
      <w:r w:rsidRPr="009A0DA6">
        <w:rPr>
          <w:rFonts w:ascii="Cambria" w:eastAsia="Times New Roman" w:hAnsi="Cambria" w:cstheme="minorHAnsi"/>
          <w:spacing w:val="1"/>
        </w:rPr>
        <w:t>80</w:t>
      </w:r>
      <w:r w:rsidRPr="009A0DA6">
        <w:rPr>
          <w:rFonts w:ascii="Cambria" w:eastAsia="Times New Roman" w:hAnsi="Cambria" w:cstheme="minorHAnsi"/>
        </w:rPr>
        <w:t>)</w:t>
      </w:r>
      <w:r w:rsidRPr="009A0DA6">
        <w:rPr>
          <w:rFonts w:ascii="Cambria" w:hAnsi="Cambria" w:cstheme="minorHAnsi"/>
        </w:rPr>
        <w:tab/>
      </w:r>
      <w:r w:rsidRPr="009A0DA6">
        <w:rPr>
          <w:rFonts w:ascii="Cambria" w:eastAsia="Times New Roman" w:hAnsi="Cambria" w:cstheme="minorHAnsi"/>
          <w:spacing w:val="1"/>
        </w:rPr>
        <w:t>203,</w:t>
      </w:r>
      <w:r w:rsidRPr="009A0DA6">
        <w:rPr>
          <w:rFonts w:ascii="Cambria" w:eastAsia="Times New Roman" w:hAnsi="Cambria" w:cstheme="minorHAnsi"/>
          <w:spacing w:val="-1"/>
        </w:rPr>
        <w:t>4</w:t>
      </w:r>
      <w:r w:rsidRPr="009A0DA6">
        <w:rPr>
          <w:rFonts w:ascii="Cambria" w:eastAsia="Times New Roman" w:hAnsi="Cambria" w:cstheme="minorHAnsi"/>
          <w:spacing w:val="1"/>
        </w:rPr>
        <w:t>7</w:t>
      </w:r>
      <w:r w:rsidRPr="009A0DA6">
        <w:rPr>
          <w:rFonts w:ascii="Cambria" w:eastAsia="Times New Roman" w:hAnsi="Cambria" w:cstheme="minorHAnsi"/>
        </w:rPr>
        <w:t>4</w:t>
      </w:r>
    </w:p>
    <w:p w14:paraId="34CFA844" w14:textId="77777777" w:rsidR="00BA4592" w:rsidRPr="009A0DA6" w:rsidRDefault="00BA4592" w:rsidP="00BA4592">
      <w:pPr>
        <w:tabs>
          <w:tab w:val="right" w:pos="4536"/>
          <w:tab w:val="right" w:pos="5954"/>
          <w:tab w:val="right" w:pos="7371"/>
          <w:tab w:val="right" w:pos="8789"/>
        </w:tabs>
        <w:spacing w:before="120" w:after="120" w:line="240" w:lineRule="auto"/>
        <w:ind w:right="-91"/>
        <w:contextualSpacing/>
        <w:rPr>
          <w:rFonts w:ascii="Cambria" w:eastAsia="Times New Roman" w:hAnsi="Cambria" w:cstheme="minorHAnsi"/>
        </w:rPr>
      </w:pPr>
      <w:r w:rsidRPr="009A0DA6">
        <w:rPr>
          <w:rFonts w:ascii="Cambria" w:eastAsia="Times New Roman" w:hAnsi="Cambria" w:cstheme="minorHAnsi"/>
          <w:spacing w:val="3"/>
        </w:rPr>
        <w:t>T</w:t>
      </w:r>
      <w:r w:rsidRPr="009A0DA6">
        <w:rPr>
          <w:rFonts w:ascii="Cambria" w:eastAsia="Times New Roman" w:hAnsi="Cambria" w:cstheme="minorHAnsi"/>
          <w:spacing w:val="1"/>
        </w:rPr>
        <w:t>r</w:t>
      </w:r>
      <w:r w:rsidRPr="009A0DA6">
        <w:rPr>
          <w:rFonts w:ascii="Cambria" w:eastAsia="Times New Roman" w:hAnsi="Cambria" w:cstheme="minorHAnsi"/>
          <w:spacing w:val="-2"/>
        </w:rPr>
        <w:t>a</w:t>
      </w:r>
      <w:r w:rsidRPr="009A0DA6">
        <w:rPr>
          <w:rFonts w:ascii="Cambria" w:eastAsia="Times New Roman" w:hAnsi="Cambria" w:cstheme="minorHAnsi"/>
          <w:spacing w:val="1"/>
        </w:rPr>
        <w:t>d</w:t>
      </w:r>
      <w:r w:rsidRPr="009A0DA6">
        <w:rPr>
          <w:rFonts w:ascii="Cambria" w:eastAsia="Times New Roman" w:hAnsi="Cambria" w:cstheme="minorHAnsi"/>
        </w:rPr>
        <w:t>i</w:t>
      </w:r>
      <w:r w:rsidRPr="009A0DA6">
        <w:rPr>
          <w:rFonts w:ascii="Cambria" w:eastAsia="Times New Roman" w:hAnsi="Cambria" w:cstheme="minorHAnsi"/>
          <w:spacing w:val="-1"/>
        </w:rPr>
        <w:t>n</w:t>
      </w:r>
      <w:r w:rsidRPr="009A0DA6">
        <w:rPr>
          <w:rFonts w:ascii="Cambria" w:eastAsia="Times New Roman" w:hAnsi="Cambria" w:cstheme="minorHAnsi"/>
        </w:rPr>
        <w:t>g</w:t>
      </w:r>
      <w:r w:rsidRPr="009A0DA6">
        <w:rPr>
          <w:rFonts w:ascii="Cambria" w:eastAsia="Times New Roman" w:hAnsi="Cambria" w:cstheme="minorHAnsi"/>
          <w:spacing w:val="-7"/>
        </w:rPr>
        <w:t xml:space="preserve"> </w:t>
      </w:r>
      <w:r w:rsidRPr="009A0DA6">
        <w:rPr>
          <w:rFonts w:ascii="Cambria" w:eastAsia="Times New Roman" w:hAnsi="Cambria" w:cstheme="minorHAnsi"/>
          <w:spacing w:val="1"/>
        </w:rPr>
        <w:t>I</w:t>
      </w:r>
      <w:r w:rsidRPr="009A0DA6">
        <w:rPr>
          <w:rFonts w:ascii="Cambria" w:eastAsia="Times New Roman" w:hAnsi="Cambria" w:cstheme="minorHAnsi"/>
          <w:spacing w:val="-1"/>
        </w:rPr>
        <w:t>n</w:t>
      </w:r>
      <w:r w:rsidRPr="009A0DA6">
        <w:rPr>
          <w:rFonts w:ascii="Cambria" w:eastAsia="Times New Roman" w:hAnsi="Cambria" w:cstheme="minorHAnsi"/>
        </w:rPr>
        <w:t>c</w:t>
      </w:r>
      <w:r w:rsidRPr="009A0DA6">
        <w:rPr>
          <w:rFonts w:ascii="Cambria" w:eastAsia="Times New Roman" w:hAnsi="Cambria" w:cstheme="minorHAnsi"/>
          <w:spacing w:val="4"/>
        </w:rPr>
        <w:t>o</w:t>
      </w:r>
      <w:r w:rsidRPr="009A0DA6">
        <w:rPr>
          <w:rFonts w:ascii="Cambria" w:eastAsia="Times New Roman" w:hAnsi="Cambria" w:cstheme="minorHAnsi"/>
          <w:spacing w:val="-1"/>
        </w:rPr>
        <w:t>m</w:t>
      </w:r>
      <w:r w:rsidRPr="009A0DA6">
        <w:rPr>
          <w:rFonts w:ascii="Cambria" w:eastAsia="Times New Roman" w:hAnsi="Cambria" w:cstheme="minorHAnsi"/>
        </w:rPr>
        <w:t>e</w:t>
      </w:r>
      <w:r w:rsidRPr="009A0DA6">
        <w:rPr>
          <w:rFonts w:ascii="Cambria" w:eastAsia="Times New Roman" w:hAnsi="Cambria" w:cstheme="minorHAnsi"/>
        </w:rPr>
        <w:tab/>
      </w:r>
      <w:r w:rsidRPr="009A0DA6">
        <w:rPr>
          <w:rFonts w:ascii="Cambria" w:eastAsia="Times New Roman" w:hAnsi="Cambria" w:cstheme="minorHAnsi"/>
          <w:spacing w:val="1"/>
        </w:rPr>
        <w:t>398,</w:t>
      </w:r>
      <w:r w:rsidRPr="009A0DA6">
        <w:rPr>
          <w:rFonts w:ascii="Cambria" w:eastAsia="Times New Roman" w:hAnsi="Cambria" w:cstheme="minorHAnsi"/>
          <w:spacing w:val="-1"/>
        </w:rPr>
        <w:t>0</w:t>
      </w:r>
      <w:r w:rsidRPr="009A0DA6">
        <w:rPr>
          <w:rFonts w:ascii="Cambria" w:eastAsia="Times New Roman" w:hAnsi="Cambria" w:cstheme="minorHAnsi"/>
          <w:spacing w:val="1"/>
        </w:rPr>
        <w:t>3</w:t>
      </w:r>
      <w:r w:rsidRPr="009A0DA6">
        <w:rPr>
          <w:rFonts w:ascii="Cambria" w:eastAsia="Times New Roman" w:hAnsi="Cambria" w:cstheme="minorHAnsi"/>
        </w:rPr>
        <w:t>1</w:t>
      </w:r>
      <w:r w:rsidRPr="009A0DA6">
        <w:rPr>
          <w:rFonts w:ascii="Cambria" w:hAnsi="Cambria" w:cstheme="minorHAnsi"/>
        </w:rPr>
        <w:tab/>
      </w:r>
      <w:r w:rsidRPr="009A0DA6">
        <w:rPr>
          <w:rFonts w:ascii="Cambria" w:eastAsia="Times New Roman" w:hAnsi="Cambria" w:cstheme="minorHAnsi"/>
          <w:spacing w:val="1"/>
        </w:rPr>
        <w:t>190,</w:t>
      </w:r>
      <w:r w:rsidRPr="009A0DA6">
        <w:rPr>
          <w:rFonts w:ascii="Cambria" w:eastAsia="Times New Roman" w:hAnsi="Cambria" w:cstheme="minorHAnsi"/>
          <w:spacing w:val="-1"/>
        </w:rPr>
        <w:t>0</w:t>
      </w:r>
      <w:r w:rsidRPr="009A0DA6">
        <w:rPr>
          <w:rFonts w:ascii="Cambria" w:eastAsia="Times New Roman" w:hAnsi="Cambria" w:cstheme="minorHAnsi"/>
          <w:spacing w:val="1"/>
        </w:rPr>
        <w:t>9</w:t>
      </w:r>
      <w:r w:rsidRPr="009A0DA6">
        <w:rPr>
          <w:rFonts w:ascii="Cambria" w:eastAsia="Times New Roman" w:hAnsi="Cambria" w:cstheme="minorHAnsi"/>
        </w:rPr>
        <w:t>7</w:t>
      </w:r>
      <w:r w:rsidRPr="009A0DA6">
        <w:rPr>
          <w:rFonts w:ascii="Cambria" w:hAnsi="Cambria" w:cstheme="minorHAnsi"/>
        </w:rPr>
        <w:tab/>
      </w:r>
      <w:r w:rsidRPr="009A0DA6">
        <w:rPr>
          <w:rFonts w:ascii="Cambria" w:eastAsia="Times New Roman" w:hAnsi="Cambria" w:cstheme="minorHAnsi"/>
          <w:w w:val="99"/>
        </w:rPr>
        <w:t>0</w:t>
      </w:r>
      <w:r w:rsidRPr="009A0DA6">
        <w:rPr>
          <w:rFonts w:ascii="Cambria" w:hAnsi="Cambria" w:cstheme="minorHAnsi"/>
        </w:rPr>
        <w:tab/>
      </w:r>
      <w:r w:rsidRPr="009A0DA6">
        <w:rPr>
          <w:rFonts w:ascii="Cambria" w:eastAsia="Times New Roman" w:hAnsi="Cambria" w:cstheme="minorHAnsi"/>
          <w:spacing w:val="1"/>
        </w:rPr>
        <w:t>588,</w:t>
      </w:r>
      <w:r w:rsidRPr="009A0DA6">
        <w:rPr>
          <w:rFonts w:ascii="Cambria" w:eastAsia="Times New Roman" w:hAnsi="Cambria" w:cstheme="minorHAnsi"/>
          <w:spacing w:val="-1"/>
        </w:rPr>
        <w:t>1</w:t>
      </w:r>
      <w:r w:rsidRPr="009A0DA6">
        <w:rPr>
          <w:rFonts w:ascii="Cambria" w:eastAsia="Times New Roman" w:hAnsi="Cambria" w:cstheme="minorHAnsi"/>
          <w:spacing w:val="1"/>
        </w:rPr>
        <w:t>2</w:t>
      </w:r>
      <w:r w:rsidRPr="009A0DA6">
        <w:rPr>
          <w:rFonts w:ascii="Cambria" w:eastAsia="Times New Roman" w:hAnsi="Cambria" w:cstheme="minorHAnsi"/>
        </w:rPr>
        <w:t>8</w:t>
      </w:r>
    </w:p>
    <w:p w14:paraId="1D7702E2" w14:textId="77777777" w:rsidR="00BA4592" w:rsidRPr="009A0DA6" w:rsidRDefault="00BA4592" w:rsidP="00BA4592">
      <w:pPr>
        <w:tabs>
          <w:tab w:val="right" w:pos="4536"/>
          <w:tab w:val="right" w:pos="5954"/>
          <w:tab w:val="right" w:pos="7371"/>
          <w:tab w:val="right" w:pos="8789"/>
        </w:tabs>
        <w:spacing w:before="120" w:after="120" w:line="240" w:lineRule="auto"/>
        <w:ind w:right="-91"/>
        <w:contextualSpacing/>
        <w:rPr>
          <w:rFonts w:ascii="Cambria" w:eastAsia="Times New Roman" w:hAnsi="Cambria" w:cstheme="minorHAnsi"/>
        </w:rPr>
      </w:pPr>
      <w:r w:rsidRPr="009A0DA6">
        <w:rPr>
          <w:rFonts w:ascii="Cambria" w:eastAsia="Times New Roman" w:hAnsi="Cambria" w:cstheme="minorHAnsi"/>
          <w:spacing w:val="-1"/>
        </w:rPr>
        <w:t>T</w:t>
      </w:r>
      <w:r w:rsidRPr="009A0DA6">
        <w:rPr>
          <w:rFonts w:ascii="Cambria" w:eastAsia="Times New Roman" w:hAnsi="Cambria" w:cstheme="minorHAnsi"/>
          <w:spacing w:val="1"/>
        </w:rPr>
        <w:t>ota</w:t>
      </w:r>
      <w:r w:rsidRPr="009A0DA6">
        <w:rPr>
          <w:rFonts w:ascii="Cambria" w:eastAsia="Times New Roman" w:hAnsi="Cambria" w:cstheme="minorHAnsi"/>
        </w:rPr>
        <w:t>l</w:t>
      </w:r>
      <w:r w:rsidRPr="009A0DA6">
        <w:rPr>
          <w:rFonts w:ascii="Cambria" w:eastAsia="Times New Roman" w:hAnsi="Cambria" w:cstheme="minorHAnsi"/>
          <w:spacing w:val="29"/>
        </w:rPr>
        <w:t xml:space="preserve"> </w:t>
      </w:r>
      <w:r w:rsidRPr="009A0DA6">
        <w:rPr>
          <w:rFonts w:ascii="Cambria" w:eastAsia="Times New Roman" w:hAnsi="Cambria" w:cstheme="minorHAnsi"/>
        </w:rPr>
        <w:t>inc</w:t>
      </w:r>
      <w:r w:rsidRPr="009A0DA6">
        <w:rPr>
          <w:rFonts w:ascii="Cambria" w:eastAsia="Times New Roman" w:hAnsi="Cambria" w:cstheme="minorHAnsi"/>
          <w:spacing w:val="4"/>
        </w:rPr>
        <w:t>o</w:t>
      </w:r>
      <w:r w:rsidRPr="009A0DA6">
        <w:rPr>
          <w:rFonts w:ascii="Cambria" w:eastAsia="Times New Roman" w:hAnsi="Cambria" w:cstheme="minorHAnsi"/>
          <w:spacing w:val="-5"/>
        </w:rPr>
        <w:t>m</w:t>
      </w:r>
      <w:r w:rsidRPr="009A0DA6">
        <w:rPr>
          <w:rFonts w:ascii="Cambria" w:eastAsia="Times New Roman" w:hAnsi="Cambria" w:cstheme="minorHAnsi"/>
        </w:rPr>
        <w:t>e</w:t>
      </w:r>
      <w:r w:rsidRPr="009A0DA6">
        <w:rPr>
          <w:rFonts w:ascii="Cambria" w:eastAsia="Times New Roman" w:hAnsi="Cambria" w:cstheme="minorHAnsi"/>
          <w:spacing w:val="-34"/>
        </w:rPr>
        <w:t xml:space="preserve"> </w:t>
      </w:r>
      <w:r w:rsidRPr="009A0DA6">
        <w:rPr>
          <w:rFonts w:ascii="Cambria" w:eastAsia="Times New Roman" w:hAnsi="Cambria" w:cstheme="minorHAnsi"/>
        </w:rPr>
        <w:tab/>
      </w:r>
      <w:r w:rsidRPr="009A0DA6">
        <w:rPr>
          <w:rFonts w:ascii="Cambria" w:eastAsia="Times New Roman" w:hAnsi="Cambria" w:cstheme="minorHAnsi"/>
          <w:spacing w:val="1"/>
        </w:rPr>
        <w:t>8,75</w:t>
      </w:r>
      <w:r w:rsidRPr="009A0DA6">
        <w:rPr>
          <w:rFonts w:ascii="Cambria" w:eastAsia="Times New Roman" w:hAnsi="Cambria" w:cstheme="minorHAnsi"/>
          <w:spacing w:val="-1"/>
        </w:rPr>
        <w:t>0</w:t>
      </w:r>
      <w:r w:rsidRPr="009A0DA6">
        <w:rPr>
          <w:rFonts w:ascii="Cambria" w:eastAsia="Times New Roman" w:hAnsi="Cambria" w:cstheme="minorHAnsi"/>
          <w:spacing w:val="1"/>
        </w:rPr>
        <w:t>,2</w:t>
      </w:r>
      <w:r w:rsidRPr="009A0DA6">
        <w:rPr>
          <w:rFonts w:ascii="Cambria" w:eastAsia="Times New Roman" w:hAnsi="Cambria" w:cstheme="minorHAnsi"/>
          <w:spacing w:val="-1"/>
        </w:rPr>
        <w:t>3</w:t>
      </w:r>
      <w:r w:rsidRPr="009A0DA6">
        <w:rPr>
          <w:rFonts w:ascii="Cambria" w:eastAsia="Times New Roman" w:hAnsi="Cambria" w:cstheme="minorHAnsi"/>
        </w:rPr>
        <w:t>9</w:t>
      </w:r>
      <w:r w:rsidRPr="009A0DA6">
        <w:rPr>
          <w:rFonts w:ascii="Cambria" w:eastAsia="Times New Roman" w:hAnsi="Cambria" w:cstheme="minorHAnsi"/>
        </w:rPr>
        <w:tab/>
      </w:r>
      <w:r w:rsidRPr="009A0DA6">
        <w:rPr>
          <w:rFonts w:ascii="Cambria" w:eastAsia="Times New Roman" w:hAnsi="Cambria" w:cstheme="minorHAnsi"/>
          <w:spacing w:val="1"/>
        </w:rPr>
        <w:t>4,36</w:t>
      </w:r>
      <w:r w:rsidRPr="009A0DA6">
        <w:rPr>
          <w:rFonts w:ascii="Cambria" w:eastAsia="Times New Roman" w:hAnsi="Cambria" w:cstheme="minorHAnsi"/>
          <w:spacing w:val="-1"/>
        </w:rPr>
        <w:t>4</w:t>
      </w:r>
      <w:r w:rsidRPr="009A0DA6">
        <w:rPr>
          <w:rFonts w:ascii="Cambria" w:eastAsia="Times New Roman" w:hAnsi="Cambria" w:cstheme="minorHAnsi"/>
          <w:spacing w:val="1"/>
        </w:rPr>
        <w:t>,0</w:t>
      </w:r>
      <w:r w:rsidRPr="009A0DA6">
        <w:rPr>
          <w:rFonts w:ascii="Cambria" w:eastAsia="Times New Roman" w:hAnsi="Cambria" w:cstheme="minorHAnsi"/>
          <w:spacing w:val="-1"/>
        </w:rPr>
        <w:t>4</w:t>
      </w:r>
      <w:r w:rsidRPr="009A0DA6">
        <w:rPr>
          <w:rFonts w:ascii="Cambria" w:eastAsia="Times New Roman" w:hAnsi="Cambria" w:cstheme="minorHAnsi"/>
        </w:rPr>
        <w:t>6</w:t>
      </w:r>
      <w:r w:rsidRPr="009A0DA6">
        <w:rPr>
          <w:rFonts w:ascii="Cambria" w:eastAsia="Times New Roman" w:hAnsi="Cambria" w:cstheme="minorHAnsi"/>
        </w:rPr>
        <w:tab/>
      </w:r>
      <w:r w:rsidRPr="009A0DA6">
        <w:rPr>
          <w:rFonts w:ascii="Cambria" w:eastAsia="Times New Roman" w:hAnsi="Cambria" w:cstheme="minorHAnsi"/>
          <w:spacing w:val="1"/>
        </w:rPr>
        <w:t>(1,5</w:t>
      </w:r>
      <w:r w:rsidRPr="009A0DA6">
        <w:rPr>
          <w:rFonts w:ascii="Cambria" w:eastAsia="Times New Roman" w:hAnsi="Cambria" w:cstheme="minorHAnsi"/>
          <w:spacing w:val="-1"/>
        </w:rPr>
        <w:t>0</w:t>
      </w:r>
      <w:r w:rsidRPr="009A0DA6">
        <w:rPr>
          <w:rFonts w:ascii="Cambria" w:eastAsia="Times New Roman" w:hAnsi="Cambria" w:cstheme="minorHAnsi"/>
          <w:spacing w:val="1"/>
        </w:rPr>
        <w:t>4,</w:t>
      </w:r>
      <w:r w:rsidRPr="009A0DA6">
        <w:rPr>
          <w:rFonts w:ascii="Cambria" w:eastAsia="Times New Roman" w:hAnsi="Cambria" w:cstheme="minorHAnsi"/>
          <w:spacing w:val="-1"/>
        </w:rPr>
        <w:t>3</w:t>
      </w:r>
      <w:r w:rsidRPr="009A0DA6">
        <w:rPr>
          <w:rFonts w:ascii="Cambria" w:eastAsia="Times New Roman" w:hAnsi="Cambria" w:cstheme="minorHAnsi"/>
          <w:spacing w:val="1"/>
        </w:rPr>
        <w:t>66</w:t>
      </w:r>
      <w:r w:rsidRPr="009A0DA6">
        <w:rPr>
          <w:rFonts w:ascii="Cambria" w:eastAsia="Times New Roman" w:hAnsi="Cambria" w:cstheme="minorHAnsi"/>
        </w:rPr>
        <w:t>)</w:t>
      </w:r>
      <w:r w:rsidRPr="009A0DA6">
        <w:rPr>
          <w:rFonts w:ascii="Cambria" w:eastAsia="Times New Roman" w:hAnsi="Cambria" w:cstheme="minorHAnsi"/>
        </w:rPr>
        <w:tab/>
      </w:r>
      <w:r w:rsidRPr="009A0DA6">
        <w:rPr>
          <w:rFonts w:ascii="Cambria" w:eastAsia="Times New Roman" w:hAnsi="Cambria" w:cstheme="minorHAnsi"/>
          <w:spacing w:val="1"/>
        </w:rPr>
        <w:t>11,6</w:t>
      </w:r>
      <w:r w:rsidRPr="009A0DA6">
        <w:rPr>
          <w:rFonts w:ascii="Cambria" w:eastAsia="Times New Roman" w:hAnsi="Cambria" w:cstheme="minorHAnsi"/>
          <w:spacing w:val="-1"/>
        </w:rPr>
        <w:t>0</w:t>
      </w:r>
      <w:r w:rsidRPr="009A0DA6">
        <w:rPr>
          <w:rFonts w:ascii="Cambria" w:eastAsia="Times New Roman" w:hAnsi="Cambria" w:cstheme="minorHAnsi"/>
          <w:spacing w:val="1"/>
        </w:rPr>
        <w:t>9,</w:t>
      </w:r>
      <w:r w:rsidRPr="009A0DA6">
        <w:rPr>
          <w:rFonts w:ascii="Cambria" w:eastAsia="Times New Roman" w:hAnsi="Cambria" w:cstheme="minorHAnsi"/>
          <w:spacing w:val="-1"/>
        </w:rPr>
        <w:t>9</w:t>
      </w:r>
      <w:r w:rsidRPr="009A0DA6">
        <w:rPr>
          <w:rFonts w:ascii="Cambria" w:eastAsia="Times New Roman" w:hAnsi="Cambria" w:cstheme="minorHAnsi"/>
          <w:spacing w:val="1"/>
        </w:rPr>
        <w:t>1</w:t>
      </w:r>
      <w:r w:rsidRPr="009A0DA6">
        <w:rPr>
          <w:rFonts w:ascii="Cambria" w:eastAsia="Times New Roman" w:hAnsi="Cambria" w:cstheme="minorHAnsi"/>
        </w:rPr>
        <w:t>9</w:t>
      </w:r>
    </w:p>
    <w:p w14:paraId="79B66B32" w14:textId="77777777" w:rsidR="00BA4592" w:rsidRPr="009A0DA6" w:rsidRDefault="00BA4592" w:rsidP="00BA4592">
      <w:pPr>
        <w:tabs>
          <w:tab w:val="right" w:pos="4536"/>
          <w:tab w:val="right" w:pos="5954"/>
          <w:tab w:val="right" w:pos="7371"/>
          <w:tab w:val="right" w:pos="8789"/>
        </w:tabs>
        <w:spacing w:before="120" w:after="120" w:line="240" w:lineRule="auto"/>
        <w:contextualSpacing/>
        <w:rPr>
          <w:rFonts w:ascii="Cambria" w:eastAsiaTheme="minorEastAsia" w:hAnsi="Cambria" w:cstheme="minorHAnsi"/>
          <w:b/>
        </w:rPr>
      </w:pPr>
      <w:r w:rsidRPr="009A0DA6">
        <w:rPr>
          <w:rFonts w:ascii="Cambria" w:eastAsia="Times New Roman" w:hAnsi="Cambria" w:cstheme="minorHAnsi"/>
          <w:b/>
          <w:spacing w:val="-1"/>
          <w:w w:val="108"/>
        </w:rPr>
        <w:t>Expenditure</w:t>
      </w:r>
    </w:p>
    <w:p w14:paraId="663B47DC" w14:textId="77777777" w:rsidR="00BA4592" w:rsidRPr="009A0DA6" w:rsidRDefault="00BA4592" w:rsidP="00BA4592">
      <w:pPr>
        <w:tabs>
          <w:tab w:val="right" w:pos="4536"/>
          <w:tab w:val="right" w:pos="5954"/>
          <w:tab w:val="right" w:pos="7371"/>
          <w:tab w:val="right" w:pos="8789"/>
        </w:tabs>
        <w:spacing w:before="120" w:after="120" w:line="240" w:lineRule="auto"/>
        <w:ind w:right="-20"/>
        <w:contextualSpacing/>
        <w:rPr>
          <w:rFonts w:ascii="Cambria" w:eastAsia="Times New Roman" w:hAnsi="Cambria" w:cstheme="minorHAnsi"/>
        </w:rPr>
      </w:pPr>
      <w:r w:rsidRPr="009A0DA6">
        <w:rPr>
          <w:rFonts w:ascii="Cambria" w:eastAsia="Times New Roman" w:hAnsi="Cambria" w:cstheme="minorHAnsi"/>
          <w:spacing w:val="-2"/>
        </w:rPr>
        <w:t>A</w:t>
      </w:r>
      <w:r w:rsidRPr="009A0DA6">
        <w:rPr>
          <w:rFonts w:ascii="Cambria" w:eastAsia="Times New Roman" w:hAnsi="Cambria" w:cstheme="minorHAnsi"/>
          <w:spacing w:val="4"/>
        </w:rPr>
        <w:t>d</w:t>
      </w:r>
      <w:r w:rsidRPr="009A0DA6">
        <w:rPr>
          <w:rFonts w:ascii="Cambria" w:eastAsia="Times New Roman" w:hAnsi="Cambria" w:cstheme="minorHAnsi"/>
          <w:spacing w:val="-1"/>
        </w:rPr>
        <w:t>m</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rPr>
        <w:t>i</w:t>
      </w:r>
      <w:r w:rsidRPr="009A0DA6">
        <w:rPr>
          <w:rFonts w:ascii="Cambria" w:eastAsia="Times New Roman" w:hAnsi="Cambria" w:cstheme="minorHAnsi"/>
          <w:spacing w:val="-1"/>
        </w:rPr>
        <w:t>s</w:t>
      </w:r>
      <w:r w:rsidRPr="009A0DA6">
        <w:rPr>
          <w:rFonts w:ascii="Cambria" w:eastAsia="Times New Roman" w:hAnsi="Cambria" w:cstheme="minorHAnsi"/>
        </w:rPr>
        <w:t>t</w:t>
      </w:r>
      <w:r w:rsidRPr="009A0DA6">
        <w:rPr>
          <w:rFonts w:ascii="Cambria" w:eastAsia="Times New Roman" w:hAnsi="Cambria" w:cstheme="minorHAnsi"/>
          <w:spacing w:val="1"/>
        </w:rPr>
        <w:t>r</w:t>
      </w:r>
      <w:r w:rsidRPr="009A0DA6">
        <w:rPr>
          <w:rFonts w:ascii="Cambria" w:eastAsia="Times New Roman" w:hAnsi="Cambria" w:cstheme="minorHAnsi"/>
        </w:rPr>
        <w:t>ati</w:t>
      </w:r>
      <w:r w:rsidRPr="009A0DA6">
        <w:rPr>
          <w:rFonts w:ascii="Cambria" w:eastAsia="Times New Roman" w:hAnsi="Cambria" w:cstheme="minorHAnsi"/>
          <w:spacing w:val="4"/>
        </w:rPr>
        <w:t>o</w:t>
      </w:r>
      <w:r w:rsidRPr="009A0DA6">
        <w:rPr>
          <w:rFonts w:ascii="Cambria" w:eastAsia="Times New Roman" w:hAnsi="Cambria" w:cstheme="minorHAnsi"/>
        </w:rPr>
        <w:t>n</w:t>
      </w:r>
      <w:r w:rsidRPr="009A0DA6">
        <w:rPr>
          <w:rFonts w:ascii="Cambria" w:eastAsia="Times New Roman" w:hAnsi="Cambria" w:cstheme="minorHAnsi"/>
          <w:spacing w:val="-13"/>
        </w:rPr>
        <w:t xml:space="preserve"> </w:t>
      </w:r>
      <w:r w:rsidRPr="009A0DA6">
        <w:rPr>
          <w:rFonts w:ascii="Cambria" w:eastAsia="Times New Roman" w:hAnsi="Cambria" w:cstheme="minorHAnsi"/>
        </w:rPr>
        <w:t>c</w:t>
      </w:r>
      <w:r w:rsidRPr="009A0DA6">
        <w:rPr>
          <w:rFonts w:ascii="Cambria" w:eastAsia="Times New Roman" w:hAnsi="Cambria" w:cstheme="minorHAnsi"/>
          <w:spacing w:val="1"/>
        </w:rPr>
        <w:t>o</w:t>
      </w:r>
      <w:r w:rsidRPr="009A0DA6">
        <w:rPr>
          <w:rFonts w:ascii="Cambria" w:eastAsia="Times New Roman" w:hAnsi="Cambria" w:cstheme="minorHAnsi"/>
          <w:spacing w:val="-1"/>
        </w:rPr>
        <w:t>s</w:t>
      </w:r>
      <w:r w:rsidRPr="009A0DA6">
        <w:rPr>
          <w:rFonts w:ascii="Cambria" w:eastAsia="Times New Roman" w:hAnsi="Cambria" w:cstheme="minorHAnsi"/>
        </w:rPr>
        <w:t>ts</w:t>
      </w:r>
      <w:r w:rsidRPr="009A0DA6">
        <w:rPr>
          <w:rFonts w:ascii="Cambria" w:eastAsia="Times New Roman" w:hAnsi="Cambria" w:cstheme="minorHAnsi"/>
        </w:rPr>
        <w:tab/>
      </w:r>
      <w:r w:rsidRPr="009A0DA6">
        <w:rPr>
          <w:rFonts w:ascii="Cambria" w:eastAsia="Times New Roman" w:hAnsi="Cambria" w:cstheme="minorHAnsi"/>
          <w:spacing w:val="1"/>
        </w:rPr>
        <w:t>317,</w:t>
      </w:r>
      <w:r w:rsidRPr="009A0DA6">
        <w:rPr>
          <w:rFonts w:ascii="Cambria" w:eastAsia="Times New Roman" w:hAnsi="Cambria" w:cstheme="minorHAnsi"/>
          <w:spacing w:val="-1"/>
        </w:rPr>
        <w:t>7</w:t>
      </w:r>
      <w:r w:rsidRPr="009A0DA6">
        <w:rPr>
          <w:rFonts w:ascii="Cambria" w:eastAsia="Times New Roman" w:hAnsi="Cambria" w:cstheme="minorHAnsi"/>
          <w:spacing w:val="1"/>
        </w:rPr>
        <w:t>0</w:t>
      </w:r>
      <w:r w:rsidRPr="009A0DA6">
        <w:rPr>
          <w:rFonts w:ascii="Cambria" w:eastAsia="Times New Roman" w:hAnsi="Cambria" w:cstheme="minorHAnsi"/>
        </w:rPr>
        <w:t>7</w:t>
      </w:r>
      <w:r w:rsidRPr="009A0DA6">
        <w:rPr>
          <w:rFonts w:ascii="Cambria" w:hAnsi="Cambria" w:cstheme="minorHAnsi"/>
        </w:rPr>
        <w:tab/>
      </w:r>
      <w:r w:rsidRPr="009A0DA6">
        <w:rPr>
          <w:rFonts w:ascii="Cambria" w:eastAsia="Times New Roman" w:hAnsi="Cambria" w:cstheme="minorHAnsi"/>
          <w:spacing w:val="1"/>
        </w:rPr>
        <w:t>243,</w:t>
      </w:r>
      <w:r w:rsidRPr="009A0DA6">
        <w:rPr>
          <w:rFonts w:ascii="Cambria" w:eastAsia="Times New Roman" w:hAnsi="Cambria" w:cstheme="minorHAnsi"/>
          <w:spacing w:val="-1"/>
        </w:rPr>
        <w:t>5</w:t>
      </w:r>
      <w:r w:rsidRPr="009A0DA6">
        <w:rPr>
          <w:rFonts w:ascii="Cambria" w:eastAsia="Times New Roman" w:hAnsi="Cambria" w:cstheme="minorHAnsi"/>
          <w:spacing w:val="1"/>
        </w:rPr>
        <w:t>1</w:t>
      </w:r>
      <w:r w:rsidRPr="009A0DA6">
        <w:rPr>
          <w:rFonts w:ascii="Cambria" w:eastAsia="Times New Roman" w:hAnsi="Cambria" w:cstheme="minorHAnsi"/>
        </w:rPr>
        <w:t>8</w:t>
      </w:r>
      <w:r w:rsidRPr="009A0DA6">
        <w:rPr>
          <w:rFonts w:ascii="Cambria" w:hAnsi="Cambria" w:cstheme="minorHAnsi"/>
        </w:rPr>
        <w:tab/>
      </w:r>
      <w:r w:rsidRPr="009A0DA6">
        <w:rPr>
          <w:rFonts w:ascii="Cambria" w:eastAsia="Times New Roman" w:hAnsi="Cambria" w:cstheme="minorHAnsi"/>
          <w:w w:val="99"/>
        </w:rPr>
        <w:t>0</w:t>
      </w:r>
      <w:r w:rsidRPr="009A0DA6">
        <w:rPr>
          <w:rFonts w:ascii="Cambria" w:hAnsi="Cambria" w:cstheme="minorHAnsi"/>
        </w:rPr>
        <w:tab/>
      </w:r>
      <w:r w:rsidRPr="009A0DA6">
        <w:rPr>
          <w:rFonts w:ascii="Cambria" w:eastAsia="Times New Roman" w:hAnsi="Cambria" w:cstheme="minorHAnsi"/>
          <w:spacing w:val="1"/>
        </w:rPr>
        <w:t>561,</w:t>
      </w:r>
      <w:r w:rsidRPr="009A0DA6">
        <w:rPr>
          <w:rFonts w:ascii="Cambria" w:eastAsia="Times New Roman" w:hAnsi="Cambria" w:cstheme="minorHAnsi"/>
          <w:spacing w:val="-1"/>
        </w:rPr>
        <w:t>2</w:t>
      </w:r>
      <w:r w:rsidRPr="009A0DA6">
        <w:rPr>
          <w:rFonts w:ascii="Cambria" w:eastAsia="Times New Roman" w:hAnsi="Cambria" w:cstheme="minorHAnsi"/>
          <w:spacing w:val="1"/>
        </w:rPr>
        <w:t>2</w:t>
      </w:r>
      <w:r w:rsidRPr="009A0DA6">
        <w:rPr>
          <w:rFonts w:ascii="Cambria" w:eastAsia="Times New Roman" w:hAnsi="Cambria" w:cstheme="minorHAnsi"/>
        </w:rPr>
        <w:t>5</w:t>
      </w:r>
    </w:p>
    <w:p w14:paraId="0B40B5F1" w14:textId="77777777" w:rsidR="00BA4592" w:rsidRPr="009A0DA6" w:rsidRDefault="00BA4592" w:rsidP="00BA4592">
      <w:pPr>
        <w:tabs>
          <w:tab w:val="right" w:pos="4536"/>
          <w:tab w:val="right" w:pos="5954"/>
          <w:tab w:val="right" w:pos="7371"/>
          <w:tab w:val="right" w:pos="8789"/>
        </w:tabs>
        <w:spacing w:before="120" w:after="120" w:line="240" w:lineRule="auto"/>
        <w:ind w:right="-20"/>
        <w:contextualSpacing/>
        <w:rPr>
          <w:rFonts w:ascii="Cambria" w:eastAsia="Times New Roman" w:hAnsi="Cambria" w:cstheme="minorHAnsi"/>
        </w:rPr>
      </w:pPr>
      <w:r w:rsidRPr="009A0DA6">
        <w:rPr>
          <w:rFonts w:ascii="Cambria" w:eastAsia="Times New Roman" w:hAnsi="Cambria" w:cstheme="minorHAnsi"/>
        </w:rPr>
        <w:t>A</w:t>
      </w:r>
      <w:r w:rsidRPr="009A0DA6">
        <w:rPr>
          <w:rFonts w:ascii="Cambria" w:eastAsia="Times New Roman" w:hAnsi="Cambria" w:cstheme="minorHAnsi"/>
          <w:spacing w:val="-1"/>
        </w:rPr>
        <w:t>ss</w:t>
      </w:r>
      <w:r w:rsidRPr="009A0DA6">
        <w:rPr>
          <w:rFonts w:ascii="Cambria" w:eastAsia="Times New Roman" w:hAnsi="Cambria" w:cstheme="minorHAnsi"/>
        </w:rPr>
        <w:t>et</w:t>
      </w:r>
      <w:r w:rsidRPr="009A0DA6">
        <w:rPr>
          <w:rFonts w:ascii="Cambria" w:eastAsia="Times New Roman" w:hAnsi="Cambria" w:cstheme="minorHAnsi"/>
          <w:spacing w:val="-4"/>
        </w:rPr>
        <w:t xml:space="preserve"> </w:t>
      </w:r>
      <w:r w:rsidRPr="009A0DA6">
        <w:rPr>
          <w:rFonts w:ascii="Cambria" w:eastAsia="Times New Roman" w:hAnsi="Cambria" w:cstheme="minorHAnsi"/>
        </w:rPr>
        <w:t>c</w:t>
      </w:r>
      <w:r w:rsidRPr="009A0DA6">
        <w:rPr>
          <w:rFonts w:ascii="Cambria" w:eastAsia="Times New Roman" w:hAnsi="Cambria" w:cstheme="minorHAnsi"/>
          <w:spacing w:val="1"/>
        </w:rPr>
        <w:t>o</w:t>
      </w:r>
      <w:r w:rsidRPr="009A0DA6">
        <w:rPr>
          <w:rFonts w:ascii="Cambria" w:eastAsia="Times New Roman" w:hAnsi="Cambria" w:cstheme="minorHAnsi"/>
          <w:spacing w:val="-1"/>
        </w:rPr>
        <w:t>s</w:t>
      </w:r>
      <w:r w:rsidRPr="009A0DA6">
        <w:rPr>
          <w:rFonts w:ascii="Cambria" w:eastAsia="Times New Roman" w:hAnsi="Cambria" w:cstheme="minorHAnsi"/>
          <w:spacing w:val="2"/>
        </w:rPr>
        <w:t>t</w:t>
      </w:r>
      <w:r w:rsidRPr="009A0DA6">
        <w:rPr>
          <w:rFonts w:ascii="Cambria" w:eastAsia="Times New Roman" w:hAnsi="Cambria" w:cstheme="minorHAnsi"/>
        </w:rPr>
        <w:t>s</w:t>
      </w:r>
      <w:r w:rsidRPr="009A0DA6">
        <w:rPr>
          <w:rFonts w:ascii="Cambria" w:eastAsia="Times New Roman" w:hAnsi="Cambria" w:cstheme="minorHAnsi"/>
        </w:rPr>
        <w:tab/>
      </w:r>
      <w:r w:rsidRPr="009A0DA6">
        <w:rPr>
          <w:rFonts w:ascii="Cambria" w:eastAsia="Times New Roman" w:hAnsi="Cambria" w:cstheme="minorHAnsi"/>
          <w:spacing w:val="1"/>
        </w:rPr>
        <w:t>169,</w:t>
      </w:r>
      <w:r w:rsidRPr="009A0DA6">
        <w:rPr>
          <w:rFonts w:ascii="Cambria" w:eastAsia="Times New Roman" w:hAnsi="Cambria" w:cstheme="minorHAnsi"/>
          <w:spacing w:val="-1"/>
        </w:rPr>
        <w:t>0</w:t>
      </w:r>
      <w:r w:rsidRPr="009A0DA6">
        <w:rPr>
          <w:rFonts w:ascii="Cambria" w:eastAsia="Times New Roman" w:hAnsi="Cambria" w:cstheme="minorHAnsi"/>
          <w:spacing w:val="1"/>
        </w:rPr>
        <w:t>1</w:t>
      </w:r>
      <w:r w:rsidRPr="009A0DA6">
        <w:rPr>
          <w:rFonts w:ascii="Cambria" w:eastAsia="Times New Roman" w:hAnsi="Cambria" w:cstheme="minorHAnsi"/>
        </w:rPr>
        <w:t>2</w:t>
      </w:r>
      <w:r w:rsidRPr="009A0DA6">
        <w:rPr>
          <w:rFonts w:ascii="Cambria" w:hAnsi="Cambria" w:cstheme="minorHAnsi"/>
        </w:rPr>
        <w:tab/>
      </w:r>
      <w:r w:rsidRPr="009A0DA6">
        <w:rPr>
          <w:rFonts w:ascii="Cambria" w:eastAsia="Times New Roman" w:hAnsi="Cambria" w:cstheme="minorHAnsi"/>
          <w:spacing w:val="1"/>
        </w:rPr>
        <w:t>44,3</w:t>
      </w:r>
      <w:r w:rsidRPr="009A0DA6">
        <w:rPr>
          <w:rFonts w:ascii="Cambria" w:eastAsia="Times New Roman" w:hAnsi="Cambria" w:cstheme="minorHAnsi"/>
          <w:spacing w:val="-1"/>
        </w:rPr>
        <w:t>6</w:t>
      </w:r>
      <w:r w:rsidRPr="009A0DA6">
        <w:rPr>
          <w:rFonts w:ascii="Cambria" w:eastAsia="Times New Roman" w:hAnsi="Cambria" w:cstheme="minorHAnsi"/>
        </w:rPr>
        <w:t>3</w:t>
      </w:r>
      <w:r w:rsidRPr="009A0DA6">
        <w:rPr>
          <w:rFonts w:ascii="Cambria" w:hAnsi="Cambria" w:cstheme="minorHAnsi"/>
        </w:rPr>
        <w:tab/>
      </w:r>
      <w:r w:rsidRPr="009A0DA6">
        <w:rPr>
          <w:rFonts w:ascii="Cambria" w:eastAsia="Times New Roman" w:hAnsi="Cambria" w:cstheme="minorHAnsi"/>
          <w:w w:val="99"/>
        </w:rPr>
        <w:t>0</w:t>
      </w:r>
      <w:r w:rsidRPr="009A0DA6">
        <w:rPr>
          <w:rFonts w:ascii="Cambria" w:hAnsi="Cambria" w:cstheme="minorHAnsi"/>
        </w:rPr>
        <w:tab/>
      </w:r>
      <w:r w:rsidRPr="009A0DA6">
        <w:rPr>
          <w:rFonts w:ascii="Cambria" w:eastAsia="Times New Roman" w:hAnsi="Cambria" w:cstheme="minorHAnsi"/>
          <w:spacing w:val="1"/>
        </w:rPr>
        <w:t>213,</w:t>
      </w:r>
      <w:r w:rsidRPr="009A0DA6">
        <w:rPr>
          <w:rFonts w:ascii="Cambria" w:eastAsia="Times New Roman" w:hAnsi="Cambria" w:cstheme="minorHAnsi"/>
          <w:spacing w:val="-1"/>
        </w:rPr>
        <w:t>3</w:t>
      </w:r>
      <w:r w:rsidRPr="009A0DA6">
        <w:rPr>
          <w:rFonts w:ascii="Cambria" w:eastAsia="Times New Roman" w:hAnsi="Cambria" w:cstheme="minorHAnsi"/>
          <w:spacing w:val="1"/>
        </w:rPr>
        <w:t>7</w:t>
      </w:r>
      <w:r w:rsidRPr="009A0DA6">
        <w:rPr>
          <w:rFonts w:ascii="Cambria" w:eastAsia="Times New Roman" w:hAnsi="Cambria" w:cstheme="minorHAnsi"/>
        </w:rPr>
        <w:t>5</w:t>
      </w:r>
    </w:p>
    <w:p w14:paraId="4C908B0F" w14:textId="77777777" w:rsidR="00BA4592" w:rsidRPr="009A0DA6" w:rsidRDefault="00BA4592" w:rsidP="00BA4592">
      <w:pPr>
        <w:tabs>
          <w:tab w:val="right" w:pos="4536"/>
          <w:tab w:val="right" w:pos="5954"/>
          <w:tab w:val="right" w:pos="7371"/>
          <w:tab w:val="right" w:pos="8789"/>
        </w:tabs>
        <w:spacing w:before="120" w:after="120" w:line="240" w:lineRule="auto"/>
        <w:ind w:right="-20"/>
        <w:contextualSpacing/>
        <w:rPr>
          <w:rFonts w:ascii="Cambria" w:eastAsia="Times New Roman" w:hAnsi="Cambria" w:cstheme="minorHAnsi"/>
        </w:rPr>
      </w:pPr>
      <w:r w:rsidRPr="009A0DA6">
        <w:rPr>
          <w:rFonts w:ascii="Cambria" w:eastAsia="Times New Roman" w:hAnsi="Cambria" w:cstheme="minorHAnsi"/>
        </w:rPr>
        <w:t>A</w:t>
      </w:r>
      <w:r w:rsidRPr="009A0DA6">
        <w:rPr>
          <w:rFonts w:ascii="Cambria" w:eastAsia="Times New Roman" w:hAnsi="Cambria" w:cstheme="minorHAnsi"/>
          <w:spacing w:val="-1"/>
        </w:rPr>
        <w:t>us</w:t>
      </w:r>
      <w:r w:rsidRPr="009A0DA6">
        <w:rPr>
          <w:rFonts w:ascii="Cambria" w:eastAsia="Times New Roman" w:hAnsi="Cambria" w:cstheme="minorHAnsi"/>
        </w:rPr>
        <w:t>t</w:t>
      </w:r>
      <w:r w:rsidRPr="009A0DA6">
        <w:rPr>
          <w:rFonts w:ascii="Cambria" w:eastAsia="Times New Roman" w:hAnsi="Cambria" w:cstheme="minorHAnsi"/>
          <w:spacing w:val="1"/>
        </w:rPr>
        <w:t>r</w:t>
      </w:r>
      <w:r w:rsidRPr="009A0DA6">
        <w:rPr>
          <w:rFonts w:ascii="Cambria" w:eastAsia="Times New Roman" w:hAnsi="Cambria" w:cstheme="minorHAnsi"/>
        </w:rPr>
        <w:t>ali</w:t>
      </w:r>
      <w:r w:rsidRPr="009A0DA6">
        <w:rPr>
          <w:rFonts w:ascii="Cambria" w:eastAsia="Times New Roman" w:hAnsi="Cambria" w:cstheme="minorHAnsi"/>
          <w:spacing w:val="3"/>
        </w:rPr>
        <w:t>a</w:t>
      </w:r>
      <w:r w:rsidRPr="009A0DA6">
        <w:rPr>
          <w:rFonts w:ascii="Cambria" w:eastAsia="Times New Roman" w:hAnsi="Cambria" w:cstheme="minorHAnsi"/>
        </w:rPr>
        <w:t>n</w:t>
      </w:r>
      <w:r w:rsidRPr="009A0DA6">
        <w:rPr>
          <w:rFonts w:ascii="Cambria" w:eastAsia="Times New Roman" w:hAnsi="Cambria" w:cstheme="minorHAnsi"/>
          <w:spacing w:val="-6"/>
        </w:rPr>
        <w:t xml:space="preserve"> </w:t>
      </w:r>
      <w:r w:rsidRPr="009A0DA6">
        <w:rPr>
          <w:rFonts w:ascii="Cambria" w:eastAsia="Times New Roman" w:hAnsi="Cambria" w:cstheme="minorHAnsi"/>
          <w:spacing w:val="1"/>
        </w:rPr>
        <w:t>L</w:t>
      </w:r>
      <w:r w:rsidRPr="009A0DA6">
        <w:rPr>
          <w:rFonts w:ascii="Cambria" w:eastAsia="Times New Roman" w:hAnsi="Cambria" w:cstheme="minorHAnsi"/>
          <w:spacing w:val="-1"/>
        </w:rPr>
        <w:t>u</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1"/>
        </w:rPr>
        <w:t>r</w:t>
      </w:r>
      <w:r w:rsidRPr="009A0DA6">
        <w:rPr>
          <w:rFonts w:ascii="Cambria" w:eastAsia="Times New Roman" w:hAnsi="Cambria" w:cstheme="minorHAnsi"/>
          <w:spacing w:val="3"/>
        </w:rPr>
        <w:t>a</w:t>
      </w:r>
      <w:r w:rsidRPr="009A0DA6">
        <w:rPr>
          <w:rFonts w:ascii="Cambria" w:eastAsia="Times New Roman" w:hAnsi="Cambria" w:cstheme="minorHAnsi"/>
        </w:rPr>
        <w:t>n</w:t>
      </w:r>
      <w:r w:rsidRPr="009A0DA6">
        <w:rPr>
          <w:rFonts w:ascii="Cambria" w:eastAsia="Times New Roman" w:hAnsi="Cambria" w:cstheme="minorHAnsi"/>
          <w:spacing w:val="-8"/>
        </w:rPr>
        <w:t xml:space="preserve"> </w:t>
      </w:r>
      <w:r w:rsidRPr="009A0DA6">
        <w:rPr>
          <w:rFonts w:ascii="Cambria" w:eastAsia="Times New Roman" w:hAnsi="Cambria" w:cstheme="minorHAnsi"/>
          <w:spacing w:val="-1"/>
        </w:rPr>
        <w:t>C</w:t>
      </w:r>
      <w:r w:rsidRPr="009A0DA6">
        <w:rPr>
          <w:rFonts w:ascii="Cambria" w:eastAsia="Times New Roman" w:hAnsi="Cambria" w:cstheme="minorHAnsi"/>
          <w:spacing w:val="1"/>
        </w:rPr>
        <w:t>o</w:t>
      </w:r>
      <w:r w:rsidRPr="009A0DA6">
        <w:rPr>
          <w:rFonts w:ascii="Cambria" w:eastAsia="Times New Roman" w:hAnsi="Cambria" w:cstheme="minorHAnsi"/>
        </w:rPr>
        <w:t>ll</w:t>
      </w:r>
      <w:r w:rsidRPr="009A0DA6">
        <w:rPr>
          <w:rFonts w:ascii="Cambria" w:eastAsia="Times New Roman" w:hAnsi="Cambria" w:cstheme="minorHAnsi"/>
          <w:spacing w:val="3"/>
        </w:rPr>
        <w:t>e</w:t>
      </w:r>
      <w:r w:rsidRPr="009A0DA6">
        <w:rPr>
          <w:rFonts w:ascii="Cambria" w:eastAsia="Times New Roman" w:hAnsi="Cambria" w:cstheme="minorHAnsi"/>
          <w:spacing w:val="-1"/>
        </w:rPr>
        <w:t>g</w:t>
      </w:r>
      <w:r w:rsidRPr="009A0DA6">
        <w:rPr>
          <w:rFonts w:ascii="Cambria" w:eastAsia="Times New Roman" w:hAnsi="Cambria" w:cstheme="minorHAnsi"/>
        </w:rPr>
        <w:t>e</w:t>
      </w:r>
      <w:r w:rsidRPr="009A0DA6">
        <w:rPr>
          <w:rFonts w:ascii="Cambria" w:eastAsia="Times New Roman" w:hAnsi="Cambria" w:cstheme="minorHAnsi"/>
          <w:spacing w:val="-5"/>
        </w:rPr>
        <w:t xml:space="preserve"> </w:t>
      </w:r>
      <w:r w:rsidRPr="009A0DA6">
        <w:rPr>
          <w:rFonts w:ascii="Cambria" w:eastAsia="Times New Roman" w:hAnsi="Cambria" w:cstheme="minorHAnsi"/>
          <w:spacing w:val="1"/>
        </w:rPr>
        <w:t>f</w:t>
      </w:r>
      <w:r w:rsidRPr="009A0DA6">
        <w:rPr>
          <w:rFonts w:ascii="Cambria" w:eastAsia="Times New Roman" w:hAnsi="Cambria" w:cstheme="minorHAnsi"/>
          <w:spacing w:val="-1"/>
        </w:rPr>
        <w:t>un</w:t>
      </w:r>
      <w:r w:rsidRPr="009A0DA6">
        <w:rPr>
          <w:rFonts w:ascii="Cambria" w:eastAsia="Times New Roman" w:hAnsi="Cambria" w:cstheme="minorHAnsi"/>
          <w:spacing w:val="1"/>
        </w:rPr>
        <w:t>d</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rPr>
        <w:t>g</w:t>
      </w:r>
      <w:r w:rsidRPr="009A0DA6">
        <w:rPr>
          <w:rFonts w:ascii="Cambria" w:eastAsia="Times New Roman" w:hAnsi="Cambria" w:cstheme="minorHAnsi"/>
        </w:rPr>
        <w:tab/>
      </w:r>
      <w:r w:rsidRPr="009A0DA6">
        <w:rPr>
          <w:rFonts w:ascii="Cambria" w:eastAsia="Times New Roman" w:hAnsi="Cambria" w:cstheme="minorHAnsi"/>
          <w:spacing w:val="1"/>
        </w:rPr>
        <w:t>1,42</w:t>
      </w:r>
      <w:r w:rsidRPr="009A0DA6">
        <w:rPr>
          <w:rFonts w:ascii="Cambria" w:eastAsia="Times New Roman" w:hAnsi="Cambria" w:cstheme="minorHAnsi"/>
          <w:spacing w:val="-1"/>
        </w:rPr>
        <w:t>5</w:t>
      </w:r>
      <w:r w:rsidRPr="009A0DA6">
        <w:rPr>
          <w:rFonts w:ascii="Cambria" w:eastAsia="Times New Roman" w:hAnsi="Cambria" w:cstheme="minorHAnsi"/>
          <w:spacing w:val="1"/>
        </w:rPr>
        <w:t>,0</w:t>
      </w:r>
      <w:r w:rsidRPr="009A0DA6">
        <w:rPr>
          <w:rFonts w:ascii="Cambria" w:eastAsia="Times New Roman" w:hAnsi="Cambria" w:cstheme="minorHAnsi"/>
          <w:spacing w:val="-1"/>
        </w:rPr>
        <w:t>0</w:t>
      </w:r>
      <w:r w:rsidRPr="009A0DA6">
        <w:rPr>
          <w:rFonts w:ascii="Cambria" w:eastAsia="Times New Roman" w:hAnsi="Cambria" w:cstheme="minorHAnsi"/>
        </w:rPr>
        <w:t>0</w:t>
      </w:r>
      <w:r w:rsidRPr="009A0DA6">
        <w:rPr>
          <w:rFonts w:ascii="Cambria" w:eastAsia="Times New Roman" w:hAnsi="Cambria" w:cstheme="minorHAnsi"/>
        </w:rPr>
        <w:tab/>
      </w:r>
      <w:r w:rsidRPr="009A0DA6">
        <w:rPr>
          <w:rFonts w:ascii="Cambria" w:eastAsia="Times New Roman" w:hAnsi="Cambria" w:cstheme="minorHAnsi"/>
          <w:w w:val="99"/>
        </w:rPr>
        <w:t>0</w:t>
      </w:r>
      <w:r w:rsidRPr="009A0DA6">
        <w:rPr>
          <w:rFonts w:ascii="Cambria" w:hAnsi="Cambria" w:cstheme="minorHAnsi"/>
        </w:rPr>
        <w:tab/>
      </w:r>
      <w:r w:rsidRPr="009A0DA6">
        <w:rPr>
          <w:rFonts w:ascii="Cambria" w:eastAsia="Times New Roman" w:hAnsi="Cambria" w:cstheme="minorHAnsi"/>
          <w:w w:val="99"/>
        </w:rPr>
        <w:t>0</w:t>
      </w:r>
      <w:r w:rsidRPr="009A0DA6">
        <w:rPr>
          <w:rFonts w:ascii="Cambria" w:eastAsia="Times New Roman" w:hAnsi="Cambria" w:cstheme="minorHAnsi"/>
        </w:rPr>
        <w:tab/>
      </w:r>
      <w:r w:rsidRPr="009A0DA6">
        <w:rPr>
          <w:rFonts w:ascii="Cambria" w:eastAsia="Times New Roman" w:hAnsi="Cambria" w:cstheme="minorHAnsi"/>
          <w:spacing w:val="1"/>
        </w:rPr>
        <w:t>1,42</w:t>
      </w:r>
      <w:r w:rsidRPr="009A0DA6">
        <w:rPr>
          <w:rFonts w:ascii="Cambria" w:eastAsia="Times New Roman" w:hAnsi="Cambria" w:cstheme="minorHAnsi"/>
          <w:spacing w:val="-1"/>
        </w:rPr>
        <w:t>5</w:t>
      </w:r>
      <w:r w:rsidRPr="009A0DA6">
        <w:rPr>
          <w:rFonts w:ascii="Cambria" w:eastAsia="Times New Roman" w:hAnsi="Cambria" w:cstheme="minorHAnsi"/>
          <w:spacing w:val="1"/>
        </w:rPr>
        <w:t>,0</w:t>
      </w:r>
      <w:r w:rsidRPr="009A0DA6">
        <w:rPr>
          <w:rFonts w:ascii="Cambria" w:eastAsia="Times New Roman" w:hAnsi="Cambria" w:cstheme="minorHAnsi"/>
          <w:spacing w:val="-1"/>
        </w:rPr>
        <w:t>0</w:t>
      </w:r>
      <w:r w:rsidRPr="009A0DA6">
        <w:rPr>
          <w:rFonts w:ascii="Cambria" w:eastAsia="Times New Roman" w:hAnsi="Cambria" w:cstheme="minorHAnsi"/>
        </w:rPr>
        <w:t>0</w:t>
      </w:r>
    </w:p>
    <w:p w14:paraId="6033943E" w14:textId="77777777" w:rsidR="00BA4592" w:rsidRPr="009A0DA6" w:rsidRDefault="00BA4592" w:rsidP="00BA4592">
      <w:pPr>
        <w:tabs>
          <w:tab w:val="right" w:pos="4536"/>
          <w:tab w:val="right" w:pos="5954"/>
          <w:tab w:val="right" w:pos="7371"/>
          <w:tab w:val="right" w:pos="8789"/>
        </w:tabs>
        <w:spacing w:before="120" w:after="120" w:line="240" w:lineRule="auto"/>
        <w:ind w:right="-20"/>
        <w:contextualSpacing/>
        <w:rPr>
          <w:rFonts w:ascii="Cambria" w:eastAsia="Times New Roman" w:hAnsi="Cambria" w:cstheme="minorHAnsi"/>
        </w:rPr>
      </w:pPr>
      <w:r w:rsidRPr="009A0DA6">
        <w:rPr>
          <w:rFonts w:ascii="Cambria" w:eastAsia="Times New Roman" w:hAnsi="Cambria" w:cstheme="minorHAnsi"/>
          <w:spacing w:val="-1"/>
        </w:rPr>
        <w:t>C</w:t>
      </w:r>
      <w:r w:rsidRPr="009A0DA6">
        <w:rPr>
          <w:rFonts w:ascii="Cambria" w:eastAsia="Times New Roman" w:hAnsi="Cambria" w:cstheme="minorHAnsi"/>
          <w:spacing w:val="1"/>
        </w:rPr>
        <w:t>o</w:t>
      </w:r>
      <w:r w:rsidRPr="009A0DA6">
        <w:rPr>
          <w:rFonts w:ascii="Cambria" w:eastAsia="Times New Roman" w:hAnsi="Cambria" w:cstheme="minorHAnsi"/>
          <w:spacing w:val="-1"/>
        </w:rPr>
        <w:t>n</w:t>
      </w:r>
      <w:r w:rsidRPr="009A0DA6">
        <w:rPr>
          <w:rFonts w:ascii="Cambria" w:eastAsia="Times New Roman" w:hAnsi="Cambria" w:cstheme="minorHAnsi"/>
          <w:spacing w:val="2"/>
        </w:rPr>
        <w:t>s</w:t>
      </w:r>
      <w:r w:rsidRPr="009A0DA6">
        <w:rPr>
          <w:rFonts w:ascii="Cambria" w:eastAsia="Times New Roman" w:hAnsi="Cambria" w:cstheme="minorHAnsi"/>
          <w:spacing w:val="-1"/>
        </w:rPr>
        <w:t>u</w:t>
      </w:r>
      <w:r w:rsidRPr="009A0DA6">
        <w:rPr>
          <w:rFonts w:ascii="Cambria" w:eastAsia="Times New Roman" w:hAnsi="Cambria" w:cstheme="minorHAnsi"/>
        </w:rPr>
        <w:t>lt</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rPr>
        <w:t>g</w:t>
      </w:r>
      <w:r w:rsidRPr="009A0DA6">
        <w:rPr>
          <w:rFonts w:ascii="Cambria" w:eastAsia="Times New Roman" w:hAnsi="Cambria" w:cstheme="minorHAnsi"/>
          <w:spacing w:val="-10"/>
        </w:rPr>
        <w:t xml:space="preserve"> </w:t>
      </w:r>
      <w:r w:rsidRPr="009A0DA6">
        <w:rPr>
          <w:rFonts w:ascii="Cambria" w:eastAsia="Times New Roman" w:hAnsi="Cambria" w:cstheme="minorHAnsi"/>
        </w:rPr>
        <w:t>e</w:t>
      </w:r>
      <w:r w:rsidRPr="009A0DA6">
        <w:rPr>
          <w:rFonts w:ascii="Cambria" w:eastAsia="Times New Roman" w:hAnsi="Cambria" w:cstheme="minorHAnsi"/>
          <w:spacing w:val="-1"/>
        </w:rPr>
        <w:t>x</w:t>
      </w:r>
      <w:r w:rsidRPr="009A0DA6">
        <w:rPr>
          <w:rFonts w:ascii="Cambria" w:eastAsia="Times New Roman" w:hAnsi="Cambria" w:cstheme="minorHAnsi"/>
          <w:spacing w:val="1"/>
        </w:rPr>
        <w:t>p</w:t>
      </w:r>
      <w:r w:rsidRPr="009A0DA6">
        <w:rPr>
          <w:rFonts w:ascii="Cambria" w:eastAsia="Times New Roman" w:hAnsi="Cambria" w:cstheme="minorHAnsi"/>
          <w:spacing w:val="3"/>
        </w:rPr>
        <w:t>e</w:t>
      </w:r>
      <w:r w:rsidRPr="009A0DA6">
        <w:rPr>
          <w:rFonts w:ascii="Cambria" w:eastAsia="Times New Roman" w:hAnsi="Cambria" w:cstheme="minorHAnsi"/>
          <w:spacing w:val="-1"/>
        </w:rPr>
        <w:t>ns</w:t>
      </w:r>
      <w:r w:rsidRPr="009A0DA6">
        <w:rPr>
          <w:rFonts w:ascii="Cambria" w:eastAsia="Times New Roman" w:hAnsi="Cambria" w:cstheme="minorHAnsi"/>
          <w:spacing w:val="3"/>
        </w:rPr>
        <w:t>e</w:t>
      </w:r>
      <w:r w:rsidRPr="009A0DA6">
        <w:rPr>
          <w:rFonts w:ascii="Cambria" w:eastAsia="Times New Roman" w:hAnsi="Cambria" w:cstheme="minorHAnsi"/>
        </w:rPr>
        <w:t>s</w:t>
      </w:r>
      <w:r w:rsidRPr="009A0DA6">
        <w:rPr>
          <w:rFonts w:ascii="Cambria" w:eastAsia="Times New Roman" w:hAnsi="Cambria" w:cstheme="minorHAnsi"/>
        </w:rPr>
        <w:tab/>
      </w:r>
      <w:r w:rsidRPr="009A0DA6">
        <w:rPr>
          <w:rFonts w:ascii="Cambria" w:eastAsia="Times New Roman" w:hAnsi="Cambria" w:cstheme="minorHAnsi"/>
          <w:spacing w:val="1"/>
        </w:rPr>
        <w:t>400,</w:t>
      </w:r>
      <w:r w:rsidRPr="009A0DA6">
        <w:rPr>
          <w:rFonts w:ascii="Cambria" w:eastAsia="Times New Roman" w:hAnsi="Cambria" w:cstheme="minorHAnsi"/>
          <w:spacing w:val="-1"/>
        </w:rPr>
        <w:t>4</w:t>
      </w:r>
      <w:r w:rsidRPr="009A0DA6">
        <w:rPr>
          <w:rFonts w:ascii="Cambria" w:eastAsia="Times New Roman" w:hAnsi="Cambria" w:cstheme="minorHAnsi"/>
          <w:spacing w:val="1"/>
        </w:rPr>
        <w:t>9</w:t>
      </w:r>
      <w:r w:rsidRPr="009A0DA6">
        <w:rPr>
          <w:rFonts w:ascii="Cambria" w:eastAsia="Times New Roman" w:hAnsi="Cambria" w:cstheme="minorHAnsi"/>
        </w:rPr>
        <w:t>0</w:t>
      </w:r>
      <w:r w:rsidRPr="009A0DA6">
        <w:rPr>
          <w:rFonts w:ascii="Cambria" w:hAnsi="Cambria" w:cstheme="minorHAnsi"/>
        </w:rPr>
        <w:tab/>
      </w:r>
      <w:r w:rsidRPr="009A0DA6">
        <w:rPr>
          <w:rFonts w:ascii="Cambria" w:eastAsia="Times New Roman" w:hAnsi="Cambria" w:cstheme="minorHAnsi"/>
          <w:spacing w:val="1"/>
        </w:rPr>
        <w:t>120,</w:t>
      </w:r>
      <w:r w:rsidRPr="009A0DA6">
        <w:rPr>
          <w:rFonts w:ascii="Cambria" w:eastAsia="Times New Roman" w:hAnsi="Cambria" w:cstheme="minorHAnsi"/>
          <w:spacing w:val="-1"/>
        </w:rPr>
        <w:t>2</w:t>
      </w:r>
      <w:r w:rsidRPr="009A0DA6">
        <w:rPr>
          <w:rFonts w:ascii="Cambria" w:eastAsia="Times New Roman" w:hAnsi="Cambria" w:cstheme="minorHAnsi"/>
          <w:spacing w:val="1"/>
        </w:rPr>
        <w:t>1</w:t>
      </w:r>
      <w:r w:rsidRPr="009A0DA6">
        <w:rPr>
          <w:rFonts w:ascii="Cambria" w:eastAsia="Times New Roman" w:hAnsi="Cambria" w:cstheme="minorHAnsi"/>
        </w:rPr>
        <w:t>0</w:t>
      </w:r>
      <w:r w:rsidRPr="009A0DA6">
        <w:rPr>
          <w:rFonts w:ascii="Cambria" w:hAnsi="Cambria" w:cstheme="minorHAnsi"/>
        </w:rPr>
        <w:tab/>
      </w:r>
      <w:r w:rsidRPr="009A0DA6">
        <w:rPr>
          <w:rFonts w:ascii="Cambria" w:eastAsia="Times New Roman" w:hAnsi="Cambria" w:cstheme="minorHAnsi"/>
          <w:w w:val="99"/>
        </w:rPr>
        <w:t>0</w:t>
      </w:r>
      <w:r w:rsidRPr="009A0DA6">
        <w:rPr>
          <w:rFonts w:ascii="Cambria" w:eastAsia="Times New Roman" w:hAnsi="Cambria" w:cstheme="minorHAnsi"/>
        </w:rPr>
        <w:tab/>
      </w:r>
      <w:r w:rsidRPr="009A0DA6">
        <w:rPr>
          <w:rFonts w:ascii="Cambria" w:eastAsia="Times New Roman" w:hAnsi="Cambria" w:cstheme="minorHAnsi"/>
          <w:spacing w:val="1"/>
        </w:rPr>
        <w:t>520,</w:t>
      </w:r>
      <w:r w:rsidRPr="009A0DA6">
        <w:rPr>
          <w:rFonts w:ascii="Cambria" w:eastAsia="Times New Roman" w:hAnsi="Cambria" w:cstheme="minorHAnsi"/>
          <w:spacing w:val="-1"/>
        </w:rPr>
        <w:t>7</w:t>
      </w:r>
      <w:r w:rsidRPr="009A0DA6">
        <w:rPr>
          <w:rFonts w:ascii="Cambria" w:eastAsia="Times New Roman" w:hAnsi="Cambria" w:cstheme="minorHAnsi"/>
          <w:spacing w:val="1"/>
        </w:rPr>
        <w:t>0</w:t>
      </w:r>
      <w:r w:rsidRPr="009A0DA6">
        <w:rPr>
          <w:rFonts w:ascii="Cambria" w:eastAsia="Times New Roman" w:hAnsi="Cambria" w:cstheme="minorHAnsi"/>
        </w:rPr>
        <w:t>0</w:t>
      </w:r>
    </w:p>
    <w:p w14:paraId="35CAE78A" w14:textId="77777777" w:rsidR="00BA4592" w:rsidRPr="009A0DA6" w:rsidRDefault="00BA4592" w:rsidP="00BA4592">
      <w:pPr>
        <w:tabs>
          <w:tab w:val="right" w:pos="4536"/>
          <w:tab w:val="right" w:pos="5954"/>
          <w:tab w:val="right" w:pos="7371"/>
          <w:tab w:val="right" w:pos="8789"/>
        </w:tabs>
        <w:spacing w:before="120" w:after="120" w:line="240" w:lineRule="auto"/>
        <w:ind w:right="-20"/>
        <w:contextualSpacing/>
        <w:rPr>
          <w:rFonts w:ascii="Cambria" w:eastAsia="Times New Roman" w:hAnsi="Cambria" w:cstheme="minorHAnsi"/>
        </w:rPr>
      </w:pPr>
      <w:r w:rsidRPr="009A0DA6">
        <w:rPr>
          <w:rFonts w:ascii="Cambria" w:eastAsia="Times New Roman" w:hAnsi="Cambria" w:cstheme="minorHAnsi"/>
        </w:rPr>
        <w:t>De</w:t>
      </w:r>
      <w:r w:rsidRPr="009A0DA6">
        <w:rPr>
          <w:rFonts w:ascii="Cambria" w:eastAsia="Times New Roman" w:hAnsi="Cambria" w:cstheme="minorHAnsi"/>
          <w:spacing w:val="1"/>
        </w:rPr>
        <w:t>pr</w:t>
      </w:r>
      <w:r w:rsidRPr="009A0DA6">
        <w:rPr>
          <w:rFonts w:ascii="Cambria" w:eastAsia="Times New Roman" w:hAnsi="Cambria" w:cstheme="minorHAnsi"/>
        </w:rPr>
        <w:t>eciati</w:t>
      </w:r>
      <w:r w:rsidRPr="009A0DA6">
        <w:rPr>
          <w:rFonts w:ascii="Cambria" w:eastAsia="Times New Roman" w:hAnsi="Cambria" w:cstheme="minorHAnsi"/>
          <w:spacing w:val="1"/>
        </w:rPr>
        <w:t>o</w:t>
      </w:r>
      <w:r w:rsidRPr="009A0DA6">
        <w:rPr>
          <w:rFonts w:ascii="Cambria" w:eastAsia="Times New Roman" w:hAnsi="Cambria" w:cstheme="minorHAnsi"/>
        </w:rPr>
        <w:t>n</w:t>
      </w:r>
      <w:r w:rsidRPr="009A0DA6">
        <w:rPr>
          <w:rFonts w:ascii="Cambria" w:eastAsia="Times New Roman" w:hAnsi="Cambria" w:cstheme="minorHAnsi"/>
          <w:spacing w:val="-11"/>
        </w:rPr>
        <w:t xml:space="preserve"> </w:t>
      </w:r>
      <w:r w:rsidRPr="009A0DA6">
        <w:rPr>
          <w:rFonts w:ascii="Cambria" w:eastAsia="Times New Roman" w:hAnsi="Cambria" w:cstheme="minorHAnsi"/>
        </w:rPr>
        <w:t>e</w:t>
      </w:r>
      <w:r w:rsidRPr="009A0DA6">
        <w:rPr>
          <w:rFonts w:ascii="Cambria" w:eastAsia="Times New Roman" w:hAnsi="Cambria" w:cstheme="minorHAnsi"/>
          <w:spacing w:val="-1"/>
        </w:rPr>
        <w:t>x</w:t>
      </w:r>
      <w:r w:rsidRPr="009A0DA6">
        <w:rPr>
          <w:rFonts w:ascii="Cambria" w:eastAsia="Times New Roman" w:hAnsi="Cambria" w:cstheme="minorHAnsi"/>
          <w:spacing w:val="1"/>
        </w:rPr>
        <w:t>p</w:t>
      </w:r>
      <w:r w:rsidRPr="009A0DA6">
        <w:rPr>
          <w:rFonts w:ascii="Cambria" w:eastAsia="Times New Roman" w:hAnsi="Cambria" w:cstheme="minorHAnsi"/>
        </w:rPr>
        <w:t>e</w:t>
      </w:r>
      <w:r w:rsidRPr="009A0DA6">
        <w:rPr>
          <w:rFonts w:ascii="Cambria" w:eastAsia="Times New Roman" w:hAnsi="Cambria" w:cstheme="minorHAnsi"/>
          <w:spacing w:val="1"/>
        </w:rPr>
        <w:t>n</w:t>
      </w:r>
      <w:r w:rsidRPr="009A0DA6">
        <w:rPr>
          <w:rFonts w:ascii="Cambria" w:eastAsia="Times New Roman" w:hAnsi="Cambria" w:cstheme="minorHAnsi"/>
          <w:spacing w:val="-1"/>
        </w:rPr>
        <w:t>s</w:t>
      </w:r>
      <w:r w:rsidRPr="009A0DA6">
        <w:rPr>
          <w:rFonts w:ascii="Cambria" w:eastAsia="Times New Roman" w:hAnsi="Cambria" w:cstheme="minorHAnsi"/>
        </w:rPr>
        <w:t>e</w:t>
      </w:r>
      <w:r w:rsidRPr="009A0DA6">
        <w:rPr>
          <w:rFonts w:ascii="Cambria" w:eastAsia="Times New Roman" w:hAnsi="Cambria" w:cstheme="minorHAnsi"/>
        </w:rPr>
        <w:tab/>
      </w:r>
      <w:r w:rsidRPr="009A0DA6">
        <w:rPr>
          <w:rFonts w:ascii="Cambria" w:eastAsia="Times New Roman" w:hAnsi="Cambria" w:cstheme="minorHAnsi"/>
          <w:spacing w:val="1"/>
        </w:rPr>
        <w:t>50,2</w:t>
      </w:r>
      <w:r w:rsidRPr="009A0DA6">
        <w:rPr>
          <w:rFonts w:ascii="Cambria" w:eastAsia="Times New Roman" w:hAnsi="Cambria" w:cstheme="minorHAnsi"/>
          <w:spacing w:val="-1"/>
        </w:rPr>
        <w:t>2</w:t>
      </w:r>
      <w:r w:rsidRPr="009A0DA6">
        <w:rPr>
          <w:rFonts w:ascii="Cambria" w:eastAsia="Times New Roman" w:hAnsi="Cambria" w:cstheme="minorHAnsi"/>
        </w:rPr>
        <w:t>3</w:t>
      </w:r>
      <w:r w:rsidRPr="009A0DA6">
        <w:rPr>
          <w:rFonts w:ascii="Cambria" w:eastAsia="Times New Roman" w:hAnsi="Cambria" w:cstheme="minorHAnsi"/>
        </w:rPr>
        <w:tab/>
      </w:r>
      <w:r w:rsidRPr="009A0DA6">
        <w:rPr>
          <w:rFonts w:ascii="Cambria" w:eastAsia="Times New Roman" w:hAnsi="Cambria" w:cstheme="minorHAnsi"/>
          <w:spacing w:val="1"/>
        </w:rPr>
        <w:t>50,3</w:t>
      </w:r>
      <w:r w:rsidRPr="009A0DA6">
        <w:rPr>
          <w:rFonts w:ascii="Cambria" w:eastAsia="Times New Roman" w:hAnsi="Cambria" w:cstheme="minorHAnsi"/>
          <w:spacing w:val="-1"/>
        </w:rPr>
        <w:t>4</w:t>
      </w:r>
      <w:r w:rsidRPr="009A0DA6">
        <w:rPr>
          <w:rFonts w:ascii="Cambria" w:eastAsia="Times New Roman" w:hAnsi="Cambria" w:cstheme="minorHAnsi"/>
        </w:rPr>
        <w:t>1</w:t>
      </w:r>
      <w:r w:rsidRPr="009A0DA6">
        <w:rPr>
          <w:rFonts w:ascii="Cambria" w:eastAsia="Times New Roman" w:hAnsi="Cambria" w:cstheme="minorHAnsi"/>
        </w:rPr>
        <w:tab/>
      </w:r>
      <w:r w:rsidRPr="009A0DA6">
        <w:rPr>
          <w:rFonts w:ascii="Cambria" w:eastAsia="Times New Roman" w:hAnsi="Cambria" w:cstheme="minorHAnsi"/>
          <w:w w:val="99"/>
        </w:rPr>
        <w:t>0</w:t>
      </w:r>
      <w:r w:rsidRPr="009A0DA6">
        <w:rPr>
          <w:rFonts w:ascii="Cambria" w:eastAsia="Times New Roman" w:hAnsi="Cambria" w:cstheme="minorHAnsi"/>
        </w:rPr>
        <w:tab/>
      </w:r>
      <w:r w:rsidRPr="009A0DA6">
        <w:rPr>
          <w:rFonts w:ascii="Cambria" w:eastAsia="Times New Roman" w:hAnsi="Cambria" w:cstheme="minorHAnsi"/>
          <w:spacing w:val="1"/>
        </w:rPr>
        <w:t>100,</w:t>
      </w:r>
      <w:r w:rsidRPr="009A0DA6">
        <w:rPr>
          <w:rFonts w:ascii="Cambria" w:eastAsia="Times New Roman" w:hAnsi="Cambria" w:cstheme="minorHAnsi"/>
          <w:spacing w:val="-1"/>
        </w:rPr>
        <w:t>5</w:t>
      </w:r>
      <w:r w:rsidRPr="009A0DA6">
        <w:rPr>
          <w:rFonts w:ascii="Cambria" w:eastAsia="Times New Roman" w:hAnsi="Cambria" w:cstheme="minorHAnsi"/>
          <w:spacing w:val="1"/>
        </w:rPr>
        <w:t>6</w:t>
      </w:r>
      <w:r w:rsidRPr="009A0DA6">
        <w:rPr>
          <w:rFonts w:ascii="Cambria" w:eastAsia="Times New Roman" w:hAnsi="Cambria" w:cstheme="minorHAnsi"/>
        </w:rPr>
        <w:t>4</w:t>
      </w:r>
    </w:p>
    <w:p w14:paraId="44216AE1" w14:textId="77777777" w:rsidR="00BA4592" w:rsidRPr="009A0DA6" w:rsidRDefault="00BA4592" w:rsidP="00BA4592">
      <w:pPr>
        <w:tabs>
          <w:tab w:val="right" w:pos="4536"/>
          <w:tab w:val="right" w:pos="5954"/>
          <w:tab w:val="right" w:pos="7371"/>
          <w:tab w:val="right" w:pos="8789"/>
        </w:tabs>
        <w:spacing w:before="120" w:after="120" w:line="240" w:lineRule="auto"/>
        <w:ind w:right="-20"/>
        <w:contextualSpacing/>
        <w:rPr>
          <w:rFonts w:ascii="Cambria" w:eastAsia="Times New Roman" w:hAnsi="Cambria" w:cstheme="minorHAnsi"/>
        </w:rPr>
      </w:pPr>
      <w:r w:rsidRPr="009A0DA6">
        <w:rPr>
          <w:rFonts w:ascii="Cambria" w:eastAsia="Times New Roman" w:hAnsi="Cambria" w:cstheme="minorHAnsi"/>
          <w:spacing w:val="3"/>
        </w:rPr>
        <w:t>E</w:t>
      </w:r>
      <w:r w:rsidRPr="009A0DA6">
        <w:rPr>
          <w:rFonts w:ascii="Cambria" w:eastAsia="Times New Roman" w:hAnsi="Cambria" w:cstheme="minorHAnsi"/>
          <w:spacing w:val="-4"/>
        </w:rPr>
        <w:t>m</w:t>
      </w:r>
      <w:r w:rsidRPr="009A0DA6">
        <w:rPr>
          <w:rFonts w:ascii="Cambria" w:eastAsia="Times New Roman" w:hAnsi="Cambria" w:cstheme="minorHAnsi"/>
          <w:spacing w:val="1"/>
        </w:rPr>
        <w:t>p</w:t>
      </w:r>
      <w:r w:rsidRPr="009A0DA6">
        <w:rPr>
          <w:rFonts w:ascii="Cambria" w:eastAsia="Times New Roman" w:hAnsi="Cambria" w:cstheme="minorHAnsi"/>
        </w:rPr>
        <w:t>l</w:t>
      </w:r>
      <w:r w:rsidRPr="009A0DA6">
        <w:rPr>
          <w:rFonts w:ascii="Cambria" w:eastAsia="Times New Roman" w:hAnsi="Cambria" w:cstheme="minorHAnsi"/>
          <w:spacing w:val="4"/>
        </w:rPr>
        <w:t>o</w:t>
      </w:r>
      <w:r w:rsidRPr="009A0DA6">
        <w:rPr>
          <w:rFonts w:ascii="Cambria" w:eastAsia="Times New Roman" w:hAnsi="Cambria" w:cstheme="minorHAnsi"/>
          <w:spacing w:val="-4"/>
        </w:rPr>
        <w:t>y</w:t>
      </w:r>
      <w:r w:rsidRPr="009A0DA6">
        <w:rPr>
          <w:rFonts w:ascii="Cambria" w:eastAsia="Times New Roman" w:hAnsi="Cambria" w:cstheme="minorHAnsi"/>
        </w:rPr>
        <w:t>ee</w:t>
      </w:r>
      <w:r w:rsidRPr="009A0DA6">
        <w:rPr>
          <w:rFonts w:ascii="Cambria" w:eastAsia="Times New Roman" w:hAnsi="Cambria" w:cstheme="minorHAnsi"/>
          <w:spacing w:val="-7"/>
        </w:rPr>
        <w:t xml:space="preserve"> </w:t>
      </w:r>
      <w:r w:rsidRPr="009A0DA6">
        <w:rPr>
          <w:rFonts w:ascii="Cambria" w:eastAsia="Times New Roman" w:hAnsi="Cambria" w:cstheme="minorHAnsi"/>
        </w:rPr>
        <w:t>e</w:t>
      </w:r>
      <w:r w:rsidRPr="009A0DA6">
        <w:rPr>
          <w:rFonts w:ascii="Cambria" w:eastAsia="Times New Roman" w:hAnsi="Cambria" w:cstheme="minorHAnsi"/>
          <w:spacing w:val="-1"/>
        </w:rPr>
        <w:t>x</w:t>
      </w:r>
      <w:r w:rsidRPr="009A0DA6">
        <w:rPr>
          <w:rFonts w:ascii="Cambria" w:eastAsia="Times New Roman" w:hAnsi="Cambria" w:cstheme="minorHAnsi"/>
          <w:spacing w:val="1"/>
        </w:rPr>
        <w:t>p</w:t>
      </w:r>
      <w:r w:rsidRPr="009A0DA6">
        <w:rPr>
          <w:rFonts w:ascii="Cambria" w:eastAsia="Times New Roman" w:hAnsi="Cambria" w:cstheme="minorHAnsi"/>
          <w:spacing w:val="3"/>
        </w:rPr>
        <w:t>e</w:t>
      </w:r>
      <w:r w:rsidRPr="009A0DA6">
        <w:rPr>
          <w:rFonts w:ascii="Cambria" w:eastAsia="Times New Roman" w:hAnsi="Cambria" w:cstheme="minorHAnsi"/>
          <w:spacing w:val="-1"/>
        </w:rPr>
        <w:t>ns</w:t>
      </w:r>
      <w:r w:rsidRPr="009A0DA6">
        <w:rPr>
          <w:rFonts w:ascii="Cambria" w:eastAsia="Times New Roman" w:hAnsi="Cambria" w:cstheme="minorHAnsi"/>
          <w:spacing w:val="3"/>
        </w:rPr>
        <w:t>e</w:t>
      </w:r>
      <w:r w:rsidRPr="009A0DA6">
        <w:rPr>
          <w:rFonts w:ascii="Cambria" w:eastAsia="Times New Roman" w:hAnsi="Cambria" w:cstheme="minorHAnsi"/>
        </w:rPr>
        <w:t>s</w:t>
      </w:r>
      <w:r w:rsidRPr="009A0DA6">
        <w:rPr>
          <w:rFonts w:ascii="Cambria" w:eastAsia="Times New Roman" w:hAnsi="Cambria" w:cstheme="minorHAnsi"/>
        </w:rPr>
        <w:tab/>
      </w:r>
      <w:r w:rsidRPr="009A0DA6">
        <w:rPr>
          <w:rFonts w:ascii="Cambria" w:eastAsia="Times New Roman" w:hAnsi="Cambria" w:cstheme="minorHAnsi"/>
          <w:spacing w:val="1"/>
        </w:rPr>
        <w:t>2,01</w:t>
      </w:r>
      <w:r w:rsidRPr="009A0DA6">
        <w:rPr>
          <w:rFonts w:ascii="Cambria" w:eastAsia="Times New Roman" w:hAnsi="Cambria" w:cstheme="minorHAnsi"/>
          <w:spacing w:val="-1"/>
        </w:rPr>
        <w:t>0</w:t>
      </w:r>
      <w:r w:rsidRPr="009A0DA6">
        <w:rPr>
          <w:rFonts w:ascii="Cambria" w:eastAsia="Times New Roman" w:hAnsi="Cambria" w:cstheme="minorHAnsi"/>
          <w:spacing w:val="1"/>
        </w:rPr>
        <w:t>,4</w:t>
      </w:r>
      <w:r w:rsidRPr="009A0DA6">
        <w:rPr>
          <w:rFonts w:ascii="Cambria" w:eastAsia="Times New Roman" w:hAnsi="Cambria" w:cstheme="minorHAnsi"/>
          <w:spacing w:val="-1"/>
        </w:rPr>
        <w:t>9</w:t>
      </w:r>
      <w:r w:rsidRPr="009A0DA6">
        <w:rPr>
          <w:rFonts w:ascii="Cambria" w:eastAsia="Times New Roman" w:hAnsi="Cambria" w:cstheme="minorHAnsi"/>
        </w:rPr>
        <w:t>0</w:t>
      </w:r>
      <w:r w:rsidRPr="009A0DA6">
        <w:rPr>
          <w:rFonts w:ascii="Cambria" w:hAnsi="Cambria" w:cstheme="minorHAnsi"/>
        </w:rPr>
        <w:tab/>
      </w:r>
      <w:r w:rsidRPr="009A0DA6">
        <w:rPr>
          <w:rFonts w:ascii="Cambria" w:eastAsia="Times New Roman" w:hAnsi="Cambria" w:cstheme="minorHAnsi"/>
          <w:spacing w:val="1"/>
        </w:rPr>
        <w:t>2,12</w:t>
      </w:r>
      <w:r w:rsidRPr="009A0DA6">
        <w:rPr>
          <w:rFonts w:ascii="Cambria" w:eastAsia="Times New Roman" w:hAnsi="Cambria" w:cstheme="minorHAnsi"/>
          <w:spacing w:val="-1"/>
        </w:rPr>
        <w:t>7</w:t>
      </w:r>
      <w:r w:rsidRPr="009A0DA6">
        <w:rPr>
          <w:rFonts w:ascii="Cambria" w:eastAsia="Times New Roman" w:hAnsi="Cambria" w:cstheme="minorHAnsi"/>
          <w:spacing w:val="1"/>
        </w:rPr>
        <w:t>,2</w:t>
      </w:r>
      <w:r w:rsidRPr="009A0DA6">
        <w:rPr>
          <w:rFonts w:ascii="Cambria" w:eastAsia="Times New Roman" w:hAnsi="Cambria" w:cstheme="minorHAnsi"/>
          <w:spacing w:val="-1"/>
        </w:rPr>
        <w:t>4</w:t>
      </w:r>
      <w:r w:rsidRPr="009A0DA6">
        <w:rPr>
          <w:rFonts w:ascii="Cambria" w:eastAsia="Times New Roman" w:hAnsi="Cambria" w:cstheme="minorHAnsi"/>
        </w:rPr>
        <w:t>9</w:t>
      </w:r>
      <w:r w:rsidRPr="009A0DA6">
        <w:rPr>
          <w:rFonts w:ascii="Cambria" w:hAnsi="Cambria" w:cstheme="minorHAnsi"/>
        </w:rPr>
        <w:tab/>
      </w:r>
      <w:r w:rsidRPr="009A0DA6">
        <w:rPr>
          <w:rFonts w:ascii="Cambria" w:eastAsia="Times New Roman" w:hAnsi="Cambria" w:cstheme="minorHAnsi"/>
          <w:w w:val="99"/>
        </w:rPr>
        <w:t>0</w:t>
      </w:r>
      <w:r w:rsidRPr="009A0DA6">
        <w:rPr>
          <w:rFonts w:ascii="Cambria" w:hAnsi="Cambria" w:cstheme="minorHAnsi"/>
        </w:rPr>
        <w:tab/>
      </w:r>
      <w:r w:rsidRPr="009A0DA6">
        <w:rPr>
          <w:rFonts w:ascii="Cambria" w:eastAsia="Times New Roman" w:hAnsi="Cambria" w:cstheme="minorHAnsi"/>
          <w:spacing w:val="1"/>
        </w:rPr>
        <w:t>4,13</w:t>
      </w:r>
      <w:r w:rsidRPr="009A0DA6">
        <w:rPr>
          <w:rFonts w:ascii="Cambria" w:eastAsia="Times New Roman" w:hAnsi="Cambria" w:cstheme="minorHAnsi"/>
          <w:spacing w:val="-1"/>
        </w:rPr>
        <w:t>7</w:t>
      </w:r>
      <w:r w:rsidRPr="009A0DA6">
        <w:rPr>
          <w:rFonts w:ascii="Cambria" w:eastAsia="Times New Roman" w:hAnsi="Cambria" w:cstheme="minorHAnsi"/>
          <w:spacing w:val="1"/>
        </w:rPr>
        <w:t>,7</w:t>
      </w:r>
      <w:r w:rsidRPr="009A0DA6">
        <w:rPr>
          <w:rFonts w:ascii="Cambria" w:eastAsia="Times New Roman" w:hAnsi="Cambria" w:cstheme="minorHAnsi"/>
          <w:spacing w:val="-1"/>
        </w:rPr>
        <w:t>3</w:t>
      </w:r>
      <w:r w:rsidRPr="009A0DA6">
        <w:rPr>
          <w:rFonts w:ascii="Cambria" w:eastAsia="Times New Roman" w:hAnsi="Cambria" w:cstheme="minorHAnsi"/>
        </w:rPr>
        <w:t>9</w:t>
      </w:r>
    </w:p>
    <w:p w14:paraId="510E1A18" w14:textId="77777777" w:rsidR="00BA4592" w:rsidRPr="009A0DA6" w:rsidRDefault="00BA4592" w:rsidP="00BA4592">
      <w:pPr>
        <w:tabs>
          <w:tab w:val="right" w:pos="4536"/>
          <w:tab w:val="right" w:pos="5954"/>
          <w:tab w:val="right" w:pos="7371"/>
          <w:tab w:val="right" w:pos="8789"/>
        </w:tabs>
        <w:spacing w:before="120" w:after="120" w:line="240" w:lineRule="auto"/>
        <w:ind w:right="-20"/>
        <w:contextualSpacing/>
        <w:rPr>
          <w:rFonts w:ascii="Cambria" w:eastAsia="Times New Roman" w:hAnsi="Cambria" w:cstheme="minorHAnsi"/>
        </w:rPr>
      </w:pPr>
      <w:r w:rsidRPr="009A0DA6">
        <w:rPr>
          <w:rFonts w:ascii="Cambria" w:eastAsia="Times New Roman" w:hAnsi="Cambria" w:cstheme="minorHAnsi"/>
        </w:rPr>
        <w:t>G</w:t>
      </w:r>
      <w:r w:rsidRPr="009A0DA6">
        <w:rPr>
          <w:rFonts w:ascii="Cambria" w:eastAsia="Times New Roman" w:hAnsi="Cambria" w:cstheme="minorHAnsi"/>
          <w:spacing w:val="1"/>
        </w:rPr>
        <w:t>o</w:t>
      </w:r>
      <w:r w:rsidRPr="009A0DA6">
        <w:rPr>
          <w:rFonts w:ascii="Cambria" w:eastAsia="Times New Roman" w:hAnsi="Cambria" w:cstheme="minorHAnsi"/>
          <w:spacing w:val="-1"/>
        </w:rPr>
        <w:t>v</w:t>
      </w:r>
      <w:r w:rsidRPr="009A0DA6">
        <w:rPr>
          <w:rFonts w:ascii="Cambria" w:eastAsia="Times New Roman" w:hAnsi="Cambria" w:cstheme="minorHAnsi"/>
        </w:rPr>
        <w:t>e</w:t>
      </w:r>
      <w:r w:rsidRPr="009A0DA6">
        <w:rPr>
          <w:rFonts w:ascii="Cambria" w:eastAsia="Times New Roman" w:hAnsi="Cambria" w:cstheme="minorHAnsi"/>
          <w:spacing w:val="1"/>
        </w:rPr>
        <w:t>r</w:t>
      </w:r>
      <w:r w:rsidRPr="009A0DA6">
        <w:rPr>
          <w:rFonts w:ascii="Cambria" w:eastAsia="Times New Roman" w:hAnsi="Cambria" w:cstheme="minorHAnsi"/>
          <w:spacing w:val="-1"/>
        </w:rPr>
        <w:t>n</w:t>
      </w:r>
      <w:r w:rsidRPr="009A0DA6">
        <w:rPr>
          <w:rFonts w:ascii="Cambria" w:eastAsia="Times New Roman" w:hAnsi="Cambria" w:cstheme="minorHAnsi"/>
          <w:spacing w:val="3"/>
        </w:rPr>
        <w:t>a</w:t>
      </w:r>
      <w:r w:rsidRPr="009A0DA6">
        <w:rPr>
          <w:rFonts w:ascii="Cambria" w:eastAsia="Times New Roman" w:hAnsi="Cambria" w:cstheme="minorHAnsi"/>
          <w:spacing w:val="-1"/>
        </w:rPr>
        <w:t>n</w:t>
      </w:r>
      <w:r w:rsidRPr="009A0DA6">
        <w:rPr>
          <w:rFonts w:ascii="Cambria" w:eastAsia="Times New Roman" w:hAnsi="Cambria" w:cstheme="minorHAnsi"/>
        </w:rPr>
        <w:t>ce</w:t>
      </w:r>
      <w:r w:rsidRPr="009A0DA6">
        <w:rPr>
          <w:rFonts w:ascii="Cambria" w:eastAsia="Times New Roman" w:hAnsi="Cambria" w:cstheme="minorHAnsi"/>
          <w:spacing w:val="-9"/>
        </w:rPr>
        <w:t xml:space="preserve"> </w:t>
      </w:r>
      <w:r w:rsidRPr="009A0DA6">
        <w:rPr>
          <w:rFonts w:ascii="Cambria" w:eastAsia="Times New Roman" w:hAnsi="Cambria" w:cstheme="minorHAnsi"/>
        </w:rPr>
        <w:t>c</w:t>
      </w:r>
      <w:r w:rsidRPr="009A0DA6">
        <w:rPr>
          <w:rFonts w:ascii="Cambria" w:eastAsia="Times New Roman" w:hAnsi="Cambria" w:cstheme="minorHAnsi"/>
          <w:spacing w:val="1"/>
        </w:rPr>
        <w:t>o</w:t>
      </w:r>
      <w:r w:rsidRPr="009A0DA6">
        <w:rPr>
          <w:rFonts w:ascii="Cambria" w:eastAsia="Times New Roman" w:hAnsi="Cambria" w:cstheme="minorHAnsi"/>
          <w:spacing w:val="-1"/>
        </w:rPr>
        <w:t>s</w:t>
      </w:r>
      <w:r w:rsidRPr="009A0DA6">
        <w:rPr>
          <w:rFonts w:ascii="Cambria" w:eastAsia="Times New Roman" w:hAnsi="Cambria" w:cstheme="minorHAnsi"/>
        </w:rPr>
        <w:t>ts</w:t>
      </w:r>
      <w:r w:rsidRPr="009A0DA6">
        <w:rPr>
          <w:rFonts w:ascii="Cambria" w:eastAsia="Times New Roman" w:hAnsi="Cambria" w:cstheme="minorHAnsi"/>
        </w:rPr>
        <w:tab/>
      </w:r>
      <w:r w:rsidRPr="009A0DA6">
        <w:rPr>
          <w:rFonts w:ascii="Cambria" w:eastAsia="Times New Roman" w:hAnsi="Cambria" w:cstheme="minorHAnsi"/>
          <w:spacing w:val="1"/>
        </w:rPr>
        <w:t>295,</w:t>
      </w:r>
      <w:r w:rsidRPr="009A0DA6">
        <w:rPr>
          <w:rFonts w:ascii="Cambria" w:eastAsia="Times New Roman" w:hAnsi="Cambria" w:cstheme="minorHAnsi"/>
          <w:spacing w:val="-1"/>
        </w:rPr>
        <w:t>8</w:t>
      </w:r>
      <w:r w:rsidRPr="009A0DA6">
        <w:rPr>
          <w:rFonts w:ascii="Cambria" w:eastAsia="Times New Roman" w:hAnsi="Cambria" w:cstheme="minorHAnsi"/>
          <w:spacing w:val="1"/>
        </w:rPr>
        <w:t>4</w:t>
      </w:r>
      <w:r w:rsidRPr="009A0DA6">
        <w:rPr>
          <w:rFonts w:ascii="Cambria" w:eastAsia="Times New Roman" w:hAnsi="Cambria" w:cstheme="minorHAnsi"/>
        </w:rPr>
        <w:t>6</w:t>
      </w:r>
      <w:r w:rsidRPr="009A0DA6">
        <w:rPr>
          <w:rFonts w:ascii="Cambria" w:hAnsi="Cambria" w:cstheme="minorHAnsi"/>
        </w:rPr>
        <w:tab/>
      </w:r>
      <w:r w:rsidRPr="009A0DA6">
        <w:rPr>
          <w:rFonts w:ascii="Cambria" w:eastAsia="Times New Roman" w:hAnsi="Cambria" w:cstheme="minorHAnsi"/>
          <w:spacing w:val="1"/>
        </w:rPr>
        <w:t>40,0</w:t>
      </w:r>
      <w:r w:rsidRPr="009A0DA6">
        <w:rPr>
          <w:rFonts w:ascii="Cambria" w:eastAsia="Times New Roman" w:hAnsi="Cambria" w:cstheme="minorHAnsi"/>
          <w:spacing w:val="-1"/>
        </w:rPr>
        <w:t>0</w:t>
      </w:r>
      <w:r w:rsidRPr="009A0DA6">
        <w:rPr>
          <w:rFonts w:ascii="Cambria" w:eastAsia="Times New Roman" w:hAnsi="Cambria" w:cstheme="minorHAnsi"/>
        </w:rPr>
        <w:t>7</w:t>
      </w:r>
      <w:r w:rsidRPr="009A0DA6">
        <w:rPr>
          <w:rFonts w:ascii="Cambria" w:hAnsi="Cambria" w:cstheme="minorHAnsi"/>
        </w:rPr>
        <w:tab/>
      </w:r>
      <w:r w:rsidRPr="009A0DA6">
        <w:rPr>
          <w:rFonts w:ascii="Cambria" w:eastAsia="Times New Roman" w:hAnsi="Cambria" w:cstheme="minorHAnsi"/>
          <w:w w:val="99"/>
        </w:rPr>
        <w:t>0</w:t>
      </w:r>
      <w:r w:rsidRPr="009A0DA6">
        <w:rPr>
          <w:rFonts w:ascii="Cambria" w:hAnsi="Cambria" w:cstheme="minorHAnsi"/>
        </w:rPr>
        <w:tab/>
      </w:r>
      <w:r w:rsidRPr="009A0DA6">
        <w:rPr>
          <w:rFonts w:ascii="Cambria" w:eastAsia="Times New Roman" w:hAnsi="Cambria" w:cstheme="minorHAnsi"/>
          <w:spacing w:val="1"/>
        </w:rPr>
        <w:t>335,</w:t>
      </w:r>
      <w:r w:rsidRPr="009A0DA6">
        <w:rPr>
          <w:rFonts w:ascii="Cambria" w:eastAsia="Times New Roman" w:hAnsi="Cambria" w:cstheme="minorHAnsi"/>
          <w:spacing w:val="-1"/>
        </w:rPr>
        <w:t>8</w:t>
      </w:r>
      <w:r w:rsidRPr="009A0DA6">
        <w:rPr>
          <w:rFonts w:ascii="Cambria" w:eastAsia="Times New Roman" w:hAnsi="Cambria" w:cstheme="minorHAnsi"/>
          <w:spacing w:val="1"/>
        </w:rPr>
        <w:t>5</w:t>
      </w:r>
      <w:r w:rsidRPr="009A0DA6">
        <w:rPr>
          <w:rFonts w:ascii="Cambria" w:eastAsia="Times New Roman" w:hAnsi="Cambria" w:cstheme="minorHAnsi"/>
        </w:rPr>
        <w:t>3</w:t>
      </w:r>
    </w:p>
    <w:p w14:paraId="250BFB30" w14:textId="3EE9E5AB" w:rsidR="00BA4592" w:rsidRPr="009A0DA6" w:rsidRDefault="00BA4592" w:rsidP="00BA4592">
      <w:pPr>
        <w:tabs>
          <w:tab w:val="right" w:pos="4536"/>
          <w:tab w:val="right" w:pos="5954"/>
          <w:tab w:val="right" w:pos="7371"/>
          <w:tab w:val="right" w:pos="8789"/>
        </w:tabs>
        <w:spacing w:before="120" w:after="120" w:line="240" w:lineRule="auto"/>
        <w:ind w:right="22"/>
        <w:contextualSpacing/>
        <w:rPr>
          <w:rFonts w:ascii="Cambria" w:eastAsia="Times New Roman" w:hAnsi="Cambria" w:cstheme="minorHAnsi"/>
        </w:rPr>
      </w:pPr>
      <w:r w:rsidRPr="009A0DA6">
        <w:rPr>
          <w:rFonts w:ascii="Cambria" w:eastAsia="Times New Roman" w:hAnsi="Cambria" w:cstheme="minorHAnsi"/>
          <w:spacing w:val="-2"/>
        </w:rPr>
        <w:t>L</w:t>
      </w:r>
      <w:r w:rsidRPr="009A0DA6">
        <w:rPr>
          <w:rFonts w:ascii="Cambria" w:eastAsia="Times New Roman" w:hAnsi="Cambria" w:cstheme="minorHAnsi"/>
          <w:spacing w:val="2"/>
        </w:rPr>
        <w:t>C</w:t>
      </w:r>
      <w:r w:rsidRPr="009A0DA6">
        <w:rPr>
          <w:rFonts w:ascii="Cambria" w:eastAsia="Times New Roman" w:hAnsi="Cambria" w:cstheme="minorHAnsi"/>
        </w:rPr>
        <w:t>A</w:t>
      </w:r>
      <w:r w:rsidRPr="009A0DA6">
        <w:rPr>
          <w:rFonts w:ascii="Cambria" w:eastAsia="Times New Roman" w:hAnsi="Cambria" w:cstheme="minorHAnsi"/>
          <w:spacing w:val="-3"/>
        </w:rPr>
        <w:t xml:space="preserve"> </w:t>
      </w:r>
      <w:r w:rsidRPr="009A0DA6">
        <w:rPr>
          <w:rFonts w:ascii="Cambria" w:eastAsia="Times New Roman" w:hAnsi="Cambria" w:cstheme="minorHAnsi"/>
        </w:rPr>
        <w:t>all</w:t>
      </w:r>
      <w:r w:rsidRPr="009A0DA6">
        <w:rPr>
          <w:rFonts w:ascii="Cambria" w:eastAsia="Times New Roman" w:hAnsi="Cambria" w:cstheme="minorHAnsi"/>
          <w:spacing w:val="1"/>
        </w:rPr>
        <w:t>o</w:t>
      </w:r>
      <w:r w:rsidRPr="009A0DA6">
        <w:rPr>
          <w:rFonts w:ascii="Cambria" w:eastAsia="Times New Roman" w:hAnsi="Cambria" w:cstheme="minorHAnsi"/>
        </w:rPr>
        <w:t>cati</w:t>
      </w:r>
      <w:r w:rsidRPr="009A0DA6">
        <w:rPr>
          <w:rFonts w:ascii="Cambria" w:eastAsia="Times New Roman" w:hAnsi="Cambria" w:cstheme="minorHAnsi"/>
          <w:spacing w:val="1"/>
        </w:rPr>
        <w:t>on</w:t>
      </w:r>
      <w:r w:rsidRPr="009A0DA6">
        <w:rPr>
          <w:rFonts w:ascii="Cambria" w:eastAsia="Times New Roman" w:hAnsi="Cambria" w:cstheme="minorHAnsi"/>
        </w:rPr>
        <w:t>s</w:t>
      </w:r>
      <w:r w:rsidRPr="009A0DA6">
        <w:rPr>
          <w:rFonts w:ascii="Cambria" w:eastAsia="Times New Roman" w:hAnsi="Cambria" w:cstheme="minorHAnsi"/>
          <w:spacing w:val="-9"/>
        </w:rPr>
        <w:t xml:space="preserve"> </w:t>
      </w:r>
      <w:r w:rsidR="00351A0F">
        <w:rPr>
          <w:rFonts w:ascii="Cambria" w:eastAsia="Times New Roman" w:hAnsi="Cambria" w:cstheme="minorHAnsi"/>
          <w:spacing w:val="-9"/>
        </w:rPr>
        <w:br/>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spacing w:val="-1"/>
        </w:rPr>
        <w:t xml:space="preserve"> </w:t>
      </w:r>
      <w:r w:rsidRPr="009A0DA6">
        <w:rPr>
          <w:rFonts w:ascii="Cambria" w:eastAsia="Times New Roman" w:hAnsi="Cambria" w:cstheme="minorHAnsi"/>
          <w:spacing w:val="1"/>
        </w:rPr>
        <w:t>d</w:t>
      </w:r>
      <w:r w:rsidRPr="009A0DA6">
        <w:rPr>
          <w:rFonts w:ascii="Cambria" w:eastAsia="Times New Roman" w:hAnsi="Cambria" w:cstheme="minorHAnsi"/>
        </w:rPr>
        <w:t>e</w:t>
      </w:r>
      <w:r w:rsidRPr="009A0DA6">
        <w:rPr>
          <w:rFonts w:ascii="Cambria" w:eastAsia="Times New Roman" w:hAnsi="Cambria" w:cstheme="minorHAnsi"/>
          <w:spacing w:val="1"/>
        </w:rPr>
        <w:t>p</w:t>
      </w:r>
      <w:r w:rsidRPr="009A0DA6">
        <w:rPr>
          <w:rFonts w:ascii="Cambria" w:eastAsia="Times New Roman" w:hAnsi="Cambria" w:cstheme="minorHAnsi"/>
        </w:rPr>
        <w:t>a</w:t>
      </w:r>
      <w:r w:rsidRPr="009A0DA6">
        <w:rPr>
          <w:rFonts w:ascii="Cambria" w:eastAsia="Times New Roman" w:hAnsi="Cambria" w:cstheme="minorHAnsi"/>
          <w:spacing w:val="1"/>
        </w:rPr>
        <w:t>r</w:t>
      </w:r>
      <w:r w:rsidRPr="009A0DA6">
        <w:rPr>
          <w:rFonts w:ascii="Cambria" w:eastAsia="Times New Roman" w:hAnsi="Cambria" w:cstheme="minorHAnsi"/>
          <w:spacing w:val="2"/>
        </w:rPr>
        <w:t>t</w:t>
      </w:r>
      <w:r w:rsidRPr="009A0DA6">
        <w:rPr>
          <w:rFonts w:ascii="Cambria" w:eastAsia="Times New Roman" w:hAnsi="Cambria" w:cstheme="minorHAnsi"/>
          <w:spacing w:val="-4"/>
        </w:rPr>
        <w:t>m</w:t>
      </w:r>
      <w:r w:rsidRPr="009A0DA6">
        <w:rPr>
          <w:rFonts w:ascii="Cambria" w:eastAsia="Times New Roman" w:hAnsi="Cambria" w:cstheme="minorHAnsi"/>
          <w:spacing w:val="3"/>
        </w:rPr>
        <w:t>e</w:t>
      </w:r>
      <w:r w:rsidRPr="009A0DA6">
        <w:rPr>
          <w:rFonts w:ascii="Cambria" w:eastAsia="Times New Roman" w:hAnsi="Cambria" w:cstheme="minorHAnsi"/>
          <w:spacing w:val="-1"/>
        </w:rPr>
        <w:t>n</w:t>
      </w:r>
      <w:r w:rsidRPr="009A0DA6">
        <w:rPr>
          <w:rFonts w:ascii="Cambria" w:eastAsia="Times New Roman" w:hAnsi="Cambria" w:cstheme="minorHAnsi"/>
        </w:rPr>
        <w:t>tal</w:t>
      </w:r>
      <w:r w:rsidRPr="009A0DA6">
        <w:rPr>
          <w:rFonts w:ascii="Cambria" w:eastAsia="Times New Roman" w:hAnsi="Cambria" w:cstheme="minorHAnsi"/>
          <w:spacing w:val="-10"/>
        </w:rPr>
        <w:t xml:space="preserve"> </w:t>
      </w:r>
      <w:r w:rsidRPr="009A0DA6">
        <w:rPr>
          <w:rFonts w:ascii="Cambria" w:eastAsia="Times New Roman" w:hAnsi="Cambria" w:cstheme="minorHAnsi"/>
        </w:rPr>
        <w:t>c</w:t>
      </w:r>
      <w:r w:rsidRPr="009A0DA6">
        <w:rPr>
          <w:rFonts w:ascii="Cambria" w:eastAsia="Times New Roman" w:hAnsi="Cambria" w:cstheme="minorHAnsi"/>
          <w:spacing w:val="1"/>
        </w:rPr>
        <w:t>o</w:t>
      </w:r>
      <w:r w:rsidRPr="009A0DA6">
        <w:rPr>
          <w:rFonts w:ascii="Cambria" w:eastAsia="Times New Roman" w:hAnsi="Cambria" w:cstheme="minorHAnsi"/>
          <w:spacing w:val="-1"/>
        </w:rPr>
        <w:t>s</w:t>
      </w:r>
      <w:r w:rsidRPr="009A0DA6">
        <w:rPr>
          <w:rFonts w:ascii="Cambria" w:eastAsia="Times New Roman" w:hAnsi="Cambria" w:cstheme="minorHAnsi"/>
        </w:rPr>
        <w:t>ts</w:t>
      </w:r>
      <w:r w:rsidRPr="009A0DA6">
        <w:rPr>
          <w:rFonts w:ascii="Cambria" w:eastAsia="Times New Roman" w:hAnsi="Cambria" w:cstheme="minorHAnsi"/>
        </w:rPr>
        <w:tab/>
      </w:r>
      <w:r w:rsidRPr="009A0DA6">
        <w:rPr>
          <w:rFonts w:ascii="Cambria" w:eastAsia="Times New Roman" w:hAnsi="Cambria" w:cstheme="minorHAnsi"/>
          <w:spacing w:val="1"/>
        </w:rPr>
        <w:t>1,39</w:t>
      </w:r>
      <w:r w:rsidRPr="009A0DA6">
        <w:rPr>
          <w:rFonts w:ascii="Cambria" w:eastAsia="Times New Roman" w:hAnsi="Cambria" w:cstheme="minorHAnsi"/>
          <w:spacing w:val="-1"/>
        </w:rPr>
        <w:t>8</w:t>
      </w:r>
      <w:r w:rsidRPr="009A0DA6">
        <w:rPr>
          <w:rFonts w:ascii="Cambria" w:eastAsia="Times New Roman" w:hAnsi="Cambria" w:cstheme="minorHAnsi"/>
          <w:spacing w:val="1"/>
        </w:rPr>
        <w:t>,7</w:t>
      </w:r>
      <w:r w:rsidRPr="009A0DA6">
        <w:rPr>
          <w:rFonts w:ascii="Cambria" w:eastAsia="Times New Roman" w:hAnsi="Cambria" w:cstheme="minorHAnsi"/>
          <w:spacing w:val="-1"/>
        </w:rPr>
        <w:t>7</w:t>
      </w:r>
      <w:r w:rsidRPr="009A0DA6">
        <w:rPr>
          <w:rFonts w:ascii="Cambria" w:eastAsia="Times New Roman" w:hAnsi="Cambria" w:cstheme="minorHAnsi"/>
        </w:rPr>
        <w:t>1</w:t>
      </w:r>
      <w:r w:rsidRPr="009A0DA6">
        <w:rPr>
          <w:rFonts w:ascii="Cambria" w:hAnsi="Cambria" w:cstheme="minorHAnsi"/>
        </w:rPr>
        <w:tab/>
      </w:r>
      <w:r w:rsidRPr="009A0DA6">
        <w:rPr>
          <w:rFonts w:ascii="Cambria" w:eastAsia="Times New Roman" w:hAnsi="Cambria" w:cstheme="minorHAnsi"/>
          <w:spacing w:val="1"/>
        </w:rPr>
        <w:t>48,2</w:t>
      </w:r>
      <w:r w:rsidRPr="009A0DA6">
        <w:rPr>
          <w:rFonts w:ascii="Cambria" w:eastAsia="Times New Roman" w:hAnsi="Cambria" w:cstheme="minorHAnsi"/>
          <w:spacing w:val="-1"/>
        </w:rPr>
        <w:t>1</w:t>
      </w:r>
      <w:r w:rsidRPr="009A0DA6">
        <w:rPr>
          <w:rFonts w:ascii="Cambria" w:eastAsia="Times New Roman" w:hAnsi="Cambria" w:cstheme="minorHAnsi"/>
        </w:rPr>
        <w:t>5</w:t>
      </w:r>
      <w:r w:rsidRPr="009A0DA6">
        <w:rPr>
          <w:rFonts w:ascii="Cambria" w:hAnsi="Cambria" w:cstheme="minorHAnsi"/>
        </w:rPr>
        <w:tab/>
      </w:r>
      <w:r w:rsidRPr="009A0DA6">
        <w:rPr>
          <w:rFonts w:ascii="Cambria" w:eastAsia="Times New Roman" w:hAnsi="Cambria" w:cstheme="minorHAnsi"/>
          <w:spacing w:val="1"/>
        </w:rPr>
        <w:t>(1,4</w:t>
      </w:r>
      <w:r w:rsidRPr="009A0DA6">
        <w:rPr>
          <w:rFonts w:ascii="Cambria" w:eastAsia="Times New Roman" w:hAnsi="Cambria" w:cstheme="minorHAnsi"/>
          <w:spacing w:val="-1"/>
        </w:rPr>
        <w:t>4</w:t>
      </w:r>
      <w:r w:rsidRPr="009A0DA6">
        <w:rPr>
          <w:rFonts w:ascii="Cambria" w:eastAsia="Times New Roman" w:hAnsi="Cambria" w:cstheme="minorHAnsi"/>
          <w:spacing w:val="1"/>
        </w:rPr>
        <w:t>6,</w:t>
      </w:r>
      <w:r w:rsidRPr="009A0DA6">
        <w:rPr>
          <w:rFonts w:ascii="Cambria" w:eastAsia="Times New Roman" w:hAnsi="Cambria" w:cstheme="minorHAnsi"/>
          <w:spacing w:val="-1"/>
        </w:rPr>
        <w:t>9</w:t>
      </w:r>
      <w:r w:rsidRPr="009A0DA6">
        <w:rPr>
          <w:rFonts w:ascii="Cambria" w:eastAsia="Times New Roman" w:hAnsi="Cambria" w:cstheme="minorHAnsi"/>
          <w:spacing w:val="1"/>
        </w:rPr>
        <w:t>86</w:t>
      </w:r>
      <w:r w:rsidRPr="009A0DA6">
        <w:rPr>
          <w:rFonts w:ascii="Cambria" w:eastAsia="Times New Roman" w:hAnsi="Cambria" w:cstheme="minorHAnsi"/>
        </w:rPr>
        <w:t>)</w:t>
      </w:r>
      <w:r w:rsidRPr="009A0DA6">
        <w:rPr>
          <w:rFonts w:ascii="Cambria" w:hAnsi="Cambria" w:cstheme="minorHAnsi"/>
        </w:rPr>
        <w:tab/>
      </w:r>
      <w:r w:rsidRPr="009A0DA6">
        <w:rPr>
          <w:rFonts w:ascii="Cambria" w:eastAsia="Times New Roman" w:hAnsi="Cambria" w:cstheme="minorHAnsi"/>
          <w:w w:val="99"/>
        </w:rPr>
        <w:t>0</w:t>
      </w:r>
    </w:p>
    <w:p w14:paraId="57B02C90" w14:textId="77777777" w:rsidR="00BA4592" w:rsidRPr="009A0DA6" w:rsidRDefault="00BA4592" w:rsidP="00BA4592">
      <w:pPr>
        <w:tabs>
          <w:tab w:val="right" w:pos="4536"/>
          <w:tab w:val="right" w:pos="5954"/>
          <w:tab w:val="right" w:pos="7371"/>
          <w:tab w:val="right" w:pos="8789"/>
        </w:tabs>
        <w:spacing w:before="120" w:after="120" w:line="240" w:lineRule="auto"/>
        <w:ind w:right="-20"/>
        <w:contextualSpacing/>
        <w:rPr>
          <w:rFonts w:ascii="Cambria" w:eastAsia="Times New Roman" w:hAnsi="Cambria" w:cstheme="minorHAnsi"/>
        </w:rPr>
      </w:pPr>
      <w:r w:rsidRPr="009A0DA6">
        <w:rPr>
          <w:rFonts w:ascii="Cambria" w:eastAsia="Times New Roman" w:hAnsi="Cambria" w:cstheme="minorHAnsi"/>
          <w:spacing w:val="1"/>
        </w:rPr>
        <w:t>M</w:t>
      </w:r>
      <w:r w:rsidRPr="009A0DA6">
        <w:rPr>
          <w:rFonts w:ascii="Cambria" w:eastAsia="Times New Roman" w:hAnsi="Cambria" w:cstheme="minorHAnsi"/>
        </w:rPr>
        <w:t>i</w:t>
      </w:r>
      <w:r w:rsidRPr="009A0DA6">
        <w:rPr>
          <w:rFonts w:ascii="Cambria" w:eastAsia="Times New Roman" w:hAnsi="Cambria" w:cstheme="minorHAnsi"/>
          <w:spacing w:val="-1"/>
        </w:rPr>
        <w:t>n</w:t>
      </w:r>
      <w:r w:rsidRPr="009A0DA6">
        <w:rPr>
          <w:rFonts w:ascii="Cambria" w:eastAsia="Times New Roman" w:hAnsi="Cambria" w:cstheme="minorHAnsi"/>
          <w:spacing w:val="2"/>
        </w:rPr>
        <w:t>i</w:t>
      </w:r>
      <w:r w:rsidRPr="009A0DA6">
        <w:rPr>
          <w:rFonts w:ascii="Cambria" w:eastAsia="Times New Roman" w:hAnsi="Cambria" w:cstheme="minorHAnsi"/>
          <w:spacing w:val="-1"/>
        </w:rPr>
        <w:t>s</w:t>
      </w:r>
      <w:r w:rsidRPr="009A0DA6">
        <w:rPr>
          <w:rFonts w:ascii="Cambria" w:eastAsia="Times New Roman" w:hAnsi="Cambria" w:cstheme="minorHAnsi"/>
        </w:rPr>
        <w:t>t</w:t>
      </w:r>
      <w:r w:rsidRPr="009A0DA6">
        <w:rPr>
          <w:rFonts w:ascii="Cambria" w:eastAsia="Times New Roman" w:hAnsi="Cambria" w:cstheme="minorHAnsi"/>
          <w:spacing w:val="3"/>
        </w:rPr>
        <w:t>r</w:t>
      </w:r>
      <w:r w:rsidRPr="009A0DA6">
        <w:rPr>
          <w:rFonts w:ascii="Cambria" w:eastAsia="Times New Roman" w:hAnsi="Cambria" w:cstheme="minorHAnsi"/>
        </w:rPr>
        <w:t>y</w:t>
      </w:r>
      <w:r w:rsidRPr="009A0DA6">
        <w:rPr>
          <w:rFonts w:ascii="Cambria" w:eastAsia="Times New Roman" w:hAnsi="Cambria" w:cstheme="minorHAnsi"/>
          <w:spacing w:val="-10"/>
        </w:rPr>
        <w:t xml:space="preserve"> </w:t>
      </w:r>
      <w:r w:rsidRPr="009A0DA6">
        <w:rPr>
          <w:rFonts w:ascii="Cambria" w:eastAsia="Times New Roman" w:hAnsi="Cambria" w:cstheme="minorHAnsi"/>
          <w:spacing w:val="3"/>
        </w:rPr>
        <w:t>e</w:t>
      </w:r>
      <w:r w:rsidRPr="009A0DA6">
        <w:rPr>
          <w:rFonts w:ascii="Cambria" w:eastAsia="Times New Roman" w:hAnsi="Cambria" w:cstheme="minorHAnsi"/>
          <w:spacing w:val="-1"/>
        </w:rPr>
        <w:t>x</w:t>
      </w:r>
      <w:r w:rsidRPr="009A0DA6">
        <w:rPr>
          <w:rFonts w:ascii="Cambria" w:eastAsia="Times New Roman" w:hAnsi="Cambria" w:cstheme="minorHAnsi"/>
          <w:spacing w:val="1"/>
        </w:rPr>
        <w:t>p</w:t>
      </w:r>
      <w:r w:rsidRPr="009A0DA6">
        <w:rPr>
          <w:rFonts w:ascii="Cambria" w:eastAsia="Times New Roman" w:hAnsi="Cambria" w:cstheme="minorHAnsi"/>
        </w:rPr>
        <w:t>e</w:t>
      </w:r>
      <w:r w:rsidRPr="009A0DA6">
        <w:rPr>
          <w:rFonts w:ascii="Cambria" w:eastAsia="Times New Roman" w:hAnsi="Cambria" w:cstheme="minorHAnsi"/>
          <w:spacing w:val="-1"/>
        </w:rPr>
        <w:t>ns</w:t>
      </w:r>
      <w:r w:rsidRPr="009A0DA6">
        <w:rPr>
          <w:rFonts w:ascii="Cambria" w:eastAsia="Times New Roman" w:hAnsi="Cambria" w:cstheme="minorHAnsi"/>
          <w:spacing w:val="3"/>
        </w:rPr>
        <w:t>e</w:t>
      </w:r>
      <w:r w:rsidRPr="009A0DA6">
        <w:rPr>
          <w:rFonts w:ascii="Cambria" w:eastAsia="Times New Roman" w:hAnsi="Cambria" w:cstheme="minorHAnsi"/>
        </w:rPr>
        <w:t>s</w:t>
      </w:r>
      <w:r w:rsidRPr="009A0DA6">
        <w:rPr>
          <w:rFonts w:ascii="Cambria" w:eastAsia="Times New Roman" w:hAnsi="Cambria" w:cstheme="minorHAnsi"/>
        </w:rPr>
        <w:tab/>
      </w:r>
      <w:r w:rsidRPr="009A0DA6">
        <w:rPr>
          <w:rFonts w:ascii="Cambria" w:eastAsia="Times New Roman" w:hAnsi="Cambria" w:cstheme="minorHAnsi"/>
          <w:spacing w:val="1"/>
        </w:rPr>
        <w:t>1,54</w:t>
      </w:r>
      <w:r w:rsidRPr="009A0DA6">
        <w:rPr>
          <w:rFonts w:ascii="Cambria" w:eastAsia="Times New Roman" w:hAnsi="Cambria" w:cstheme="minorHAnsi"/>
          <w:spacing w:val="-1"/>
        </w:rPr>
        <w:t>7</w:t>
      </w:r>
      <w:r w:rsidRPr="009A0DA6">
        <w:rPr>
          <w:rFonts w:ascii="Cambria" w:eastAsia="Times New Roman" w:hAnsi="Cambria" w:cstheme="minorHAnsi"/>
          <w:spacing w:val="1"/>
        </w:rPr>
        <w:t>,6</w:t>
      </w:r>
      <w:r w:rsidRPr="009A0DA6">
        <w:rPr>
          <w:rFonts w:ascii="Cambria" w:eastAsia="Times New Roman" w:hAnsi="Cambria" w:cstheme="minorHAnsi"/>
          <w:spacing w:val="-1"/>
        </w:rPr>
        <w:t>9</w:t>
      </w:r>
      <w:r w:rsidRPr="009A0DA6">
        <w:rPr>
          <w:rFonts w:ascii="Cambria" w:eastAsia="Times New Roman" w:hAnsi="Cambria" w:cstheme="minorHAnsi"/>
        </w:rPr>
        <w:t>6</w:t>
      </w:r>
      <w:r w:rsidRPr="009A0DA6">
        <w:rPr>
          <w:rFonts w:ascii="Cambria" w:hAnsi="Cambria" w:cstheme="minorHAnsi"/>
        </w:rPr>
        <w:tab/>
      </w:r>
      <w:r w:rsidRPr="009A0DA6">
        <w:rPr>
          <w:rFonts w:ascii="Cambria" w:eastAsia="Times New Roman" w:hAnsi="Cambria" w:cstheme="minorHAnsi"/>
          <w:spacing w:val="1"/>
        </w:rPr>
        <w:t>641,</w:t>
      </w:r>
      <w:r w:rsidRPr="009A0DA6">
        <w:rPr>
          <w:rFonts w:ascii="Cambria" w:eastAsia="Times New Roman" w:hAnsi="Cambria" w:cstheme="minorHAnsi"/>
          <w:spacing w:val="-1"/>
        </w:rPr>
        <w:t>0</w:t>
      </w:r>
      <w:r w:rsidRPr="009A0DA6">
        <w:rPr>
          <w:rFonts w:ascii="Cambria" w:eastAsia="Times New Roman" w:hAnsi="Cambria" w:cstheme="minorHAnsi"/>
          <w:spacing w:val="1"/>
        </w:rPr>
        <w:t>7</w:t>
      </w:r>
      <w:r w:rsidRPr="009A0DA6">
        <w:rPr>
          <w:rFonts w:ascii="Cambria" w:eastAsia="Times New Roman" w:hAnsi="Cambria" w:cstheme="minorHAnsi"/>
        </w:rPr>
        <w:t>3</w:t>
      </w:r>
      <w:r w:rsidRPr="009A0DA6">
        <w:rPr>
          <w:rFonts w:ascii="Cambria" w:hAnsi="Cambria" w:cstheme="minorHAnsi"/>
        </w:rPr>
        <w:tab/>
      </w:r>
      <w:r w:rsidRPr="009A0DA6">
        <w:rPr>
          <w:rFonts w:ascii="Cambria" w:eastAsia="Times New Roman" w:hAnsi="Cambria" w:cstheme="minorHAnsi"/>
          <w:w w:val="99"/>
        </w:rPr>
        <w:t>0</w:t>
      </w:r>
      <w:r w:rsidRPr="009A0DA6">
        <w:rPr>
          <w:rFonts w:ascii="Cambria" w:hAnsi="Cambria" w:cstheme="minorHAnsi"/>
        </w:rPr>
        <w:tab/>
      </w:r>
      <w:r w:rsidRPr="009A0DA6">
        <w:rPr>
          <w:rFonts w:ascii="Cambria" w:eastAsia="Times New Roman" w:hAnsi="Cambria" w:cstheme="minorHAnsi"/>
          <w:spacing w:val="1"/>
        </w:rPr>
        <w:t>2,18</w:t>
      </w:r>
      <w:r w:rsidRPr="009A0DA6">
        <w:rPr>
          <w:rFonts w:ascii="Cambria" w:eastAsia="Times New Roman" w:hAnsi="Cambria" w:cstheme="minorHAnsi"/>
          <w:spacing w:val="-1"/>
        </w:rPr>
        <w:t>8</w:t>
      </w:r>
      <w:r w:rsidRPr="009A0DA6">
        <w:rPr>
          <w:rFonts w:ascii="Cambria" w:eastAsia="Times New Roman" w:hAnsi="Cambria" w:cstheme="minorHAnsi"/>
          <w:spacing w:val="1"/>
        </w:rPr>
        <w:t>,7</w:t>
      </w:r>
      <w:r w:rsidRPr="009A0DA6">
        <w:rPr>
          <w:rFonts w:ascii="Cambria" w:eastAsia="Times New Roman" w:hAnsi="Cambria" w:cstheme="minorHAnsi"/>
          <w:spacing w:val="-1"/>
        </w:rPr>
        <w:t>6</w:t>
      </w:r>
      <w:r w:rsidRPr="009A0DA6">
        <w:rPr>
          <w:rFonts w:ascii="Cambria" w:eastAsia="Times New Roman" w:hAnsi="Cambria" w:cstheme="minorHAnsi"/>
        </w:rPr>
        <w:t>9</w:t>
      </w:r>
    </w:p>
    <w:p w14:paraId="1CAA7F22" w14:textId="77777777" w:rsidR="00BA4592" w:rsidRPr="009A0DA6" w:rsidRDefault="00BA4592" w:rsidP="00BA4592">
      <w:pPr>
        <w:tabs>
          <w:tab w:val="right" w:pos="4536"/>
          <w:tab w:val="right" w:pos="5954"/>
          <w:tab w:val="right" w:pos="7371"/>
          <w:tab w:val="right" w:pos="8789"/>
        </w:tabs>
        <w:spacing w:before="120" w:after="120" w:line="240" w:lineRule="auto"/>
        <w:ind w:right="-20"/>
        <w:contextualSpacing/>
        <w:rPr>
          <w:rFonts w:ascii="Cambria" w:eastAsia="Times New Roman" w:hAnsi="Cambria" w:cstheme="minorHAnsi"/>
        </w:rPr>
      </w:pPr>
      <w:r w:rsidRPr="009A0DA6">
        <w:rPr>
          <w:rFonts w:ascii="Cambria" w:eastAsia="Times New Roman" w:hAnsi="Cambria" w:cstheme="minorHAnsi"/>
          <w:spacing w:val="2"/>
        </w:rPr>
        <w:t>P</w:t>
      </w:r>
      <w:r w:rsidRPr="009A0DA6">
        <w:rPr>
          <w:rFonts w:ascii="Cambria" w:eastAsia="Times New Roman" w:hAnsi="Cambria" w:cstheme="minorHAnsi"/>
          <w:spacing w:val="1"/>
        </w:rPr>
        <w:t>r</w:t>
      </w:r>
      <w:r w:rsidRPr="009A0DA6">
        <w:rPr>
          <w:rFonts w:ascii="Cambria" w:eastAsia="Times New Roman" w:hAnsi="Cambria" w:cstheme="minorHAnsi"/>
          <w:spacing w:val="-1"/>
        </w:rPr>
        <w:t>o</w:t>
      </w:r>
      <w:r w:rsidRPr="009A0DA6">
        <w:rPr>
          <w:rFonts w:ascii="Cambria" w:eastAsia="Times New Roman" w:hAnsi="Cambria" w:cstheme="minorHAnsi"/>
          <w:spacing w:val="2"/>
        </w:rPr>
        <w:t>j</w:t>
      </w:r>
      <w:r w:rsidRPr="009A0DA6">
        <w:rPr>
          <w:rFonts w:ascii="Cambria" w:eastAsia="Times New Roman" w:hAnsi="Cambria" w:cstheme="minorHAnsi"/>
        </w:rPr>
        <w:t>ect</w:t>
      </w:r>
      <w:r w:rsidRPr="009A0DA6">
        <w:rPr>
          <w:rFonts w:ascii="Cambria" w:eastAsia="Times New Roman" w:hAnsi="Cambria" w:cstheme="minorHAnsi"/>
          <w:spacing w:val="-6"/>
        </w:rPr>
        <w:t xml:space="preserve"> </w:t>
      </w:r>
      <w:r w:rsidRPr="009A0DA6">
        <w:rPr>
          <w:rFonts w:ascii="Cambria" w:eastAsia="Times New Roman" w:hAnsi="Cambria" w:cstheme="minorHAnsi"/>
        </w:rPr>
        <w:t>c</w:t>
      </w:r>
      <w:r w:rsidRPr="009A0DA6">
        <w:rPr>
          <w:rFonts w:ascii="Cambria" w:eastAsia="Times New Roman" w:hAnsi="Cambria" w:cstheme="minorHAnsi"/>
          <w:spacing w:val="1"/>
        </w:rPr>
        <w:t>o</w:t>
      </w:r>
      <w:r w:rsidRPr="009A0DA6">
        <w:rPr>
          <w:rFonts w:ascii="Cambria" w:eastAsia="Times New Roman" w:hAnsi="Cambria" w:cstheme="minorHAnsi"/>
          <w:spacing w:val="-1"/>
        </w:rPr>
        <w:t>s</w:t>
      </w:r>
      <w:r w:rsidRPr="009A0DA6">
        <w:rPr>
          <w:rFonts w:ascii="Cambria" w:eastAsia="Times New Roman" w:hAnsi="Cambria" w:cstheme="minorHAnsi"/>
        </w:rPr>
        <w:t>ts</w:t>
      </w:r>
      <w:r w:rsidRPr="009A0DA6">
        <w:rPr>
          <w:rFonts w:ascii="Cambria" w:eastAsia="Times New Roman" w:hAnsi="Cambria" w:cstheme="minorHAnsi"/>
        </w:rPr>
        <w:tab/>
      </w:r>
      <w:r w:rsidRPr="009A0DA6">
        <w:rPr>
          <w:rFonts w:ascii="Cambria" w:eastAsia="Times New Roman" w:hAnsi="Cambria" w:cstheme="minorHAnsi"/>
          <w:spacing w:val="1"/>
        </w:rPr>
        <w:t>1,06</w:t>
      </w:r>
      <w:r w:rsidRPr="009A0DA6">
        <w:rPr>
          <w:rFonts w:ascii="Cambria" w:eastAsia="Times New Roman" w:hAnsi="Cambria" w:cstheme="minorHAnsi"/>
          <w:spacing w:val="-1"/>
        </w:rPr>
        <w:t>3</w:t>
      </w:r>
      <w:r w:rsidRPr="009A0DA6">
        <w:rPr>
          <w:rFonts w:ascii="Cambria" w:eastAsia="Times New Roman" w:hAnsi="Cambria" w:cstheme="minorHAnsi"/>
          <w:spacing w:val="1"/>
        </w:rPr>
        <w:t>,5</w:t>
      </w:r>
      <w:r w:rsidRPr="009A0DA6">
        <w:rPr>
          <w:rFonts w:ascii="Cambria" w:eastAsia="Times New Roman" w:hAnsi="Cambria" w:cstheme="minorHAnsi"/>
          <w:spacing w:val="-1"/>
        </w:rPr>
        <w:t>2</w:t>
      </w:r>
      <w:r w:rsidRPr="009A0DA6">
        <w:rPr>
          <w:rFonts w:ascii="Cambria" w:eastAsia="Times New Roman" w:hAnsi="Cambria" w:cstheme="minorHAnsi"/>
        </w:rPr>
        <w:t>8</w:t>
      </w:r>
      <w:r w:rsidRPr="009A0DA6">
        <w:rPr>
          <w:rFonts w:ascii="Cambria" w:hAnsi="Cambria" w:cstheme="minorHAnsi"/>
        </w:rPr>
        <w:tab/>
      </w:r>
      <w:r w:rsidRPr="009A0DA6">
        <w:rPr>
          <w:rFonts w:ascii="Cambria" w:eastAsia="Times New Roman" w:hAnsi="Cambria" w:cstheme="minorHAnsi"/>
          <w:spacing w:val="1"/>
        </w:rPr>
        <w:t>584,</w:t>
      </w:r>
      <w:r w:rsidRPr="009A0DA6">
        <w:rPr>
          <w:rFonts w:ascii="Cambria" w:eastAsia="Times New Roman" w:hAnsi="Cambria" w:cstheme="minorHAnsi"/>
          <w:spacing w:val="-1"/>
        </w:rPr>
        <w:t>9</w:t>
      </w:r>
      <w:r w:rsidRPr="009A0DA6">
        <w:rPr>
          <w:rFonts w:ascii="Cambria" w:eastAsia="Times New Roman" w:hAnsi="Cambria" w:cstheme="minorHAnsi"/>
          <w:spacing w:val="1"/>
        </w:rPr>
        <w:t>8</w:t>
      </w:r>
      <w:r w:rsidRPr="009A0DA6">
        <w:rPr>
          <w:rFonts w:ascii="Cambria" w:eastAsia="Times New Roman" w:hAnsi="Cambria" w:cstheme="minorHAnsi"/>
        </w:rPr>
        <w:t>7</w:t>
      </w:r>
      <w:r w:rsidRPr="009A0DA6">
        <w:rPr>
          <w:rFonts w:ascii="Cambria" w:hAnsi="Cambria" w:cstheme="minorHAnsi"/>
        </w:rPr>
        <w:tab/>
      </w:r>
      <w:r w:rsidRPr="009A0DA6">
        <w:rPr>
          <w:rFonts w:ascii="Cambria" w:eastAsia="Times New Roman" w:hAnsi="Cambria" w:cstheme="minorHAnsi"/>
          <w:w w:val="99"/>
        </w:rPr>
        <w:t>0</w:t>
      </w:r>
      <w:r w:rsidRPr="009A0DA6">
        <w:rPr>
          <w:rFonts w:ascii="Cambria" w:hAnsi="Cambria" w:cstheme="minorHAnsi"/>
        </w:rPr>
        <w:tab/>
      </w:r>
      <w:r w:rsidRPr="009A0DA6">
        <w:rPr>
          <w:rFonts w:ascii="Cambria" w:eastAsia="Times New Roman" w:hAnsi="Cambria" w:cstheme="minorHAnsi"/>
          <w:spacing w:val="1"/>
        </w:rPr>
        <w:t>1,64</w:t>
      </w:r>
      <w:r w:rsidRPr="009A0DA6">
        <w:rPr>
          <w:rFonts w:ascii="Cambria" w:eastAsia="Times New Roman" w:hAnsi="Cambria" w:cstheme="minorHAnsi"/>
          <w:spacing w:val="-1"/>
        </w:rPr>
        <w:t>8</w:t>
      </w:r>
      <w:r w:rsidRPr="009A0DA6">
        <w:rPr>
          <w:rFonts w:ascii="Cambria" w:eastAsia="Times New Roman" w:hAnsi="Cambria" w:cstheme="minorHAnsi"/>
          <w:spacing w:val="1"/>
        </w:rPr>
        <w:t>,5</w:t>
      </w:r>
      <w:r w:rsidRPr="009A0DA6">
        <w:rPr>
          <w:rFonts w:ascii="Cambria" w:eastAsia="Times New Roman" w:hAnsi="Cambria" w:cstheme="minorHAnsi"/>
          <w:spacing w:val="-1"/>
        </w:rPr>
        <w:t>1</w:t>
      </w:r>
      <w:r w:rsidRPr="009A0DA6">
        <w:rPr>
          <w:rFonts w:ascii="Cambria" w:eastAsia="Times New Roman" w:hAnsi="Cambria" w:cstheme="minorHAnsi"/>
        </w:rPr>
        <w:t>5</w:t>
      </w:r>
    </w:p>
    <w:p w14:paraId="53DC07A1" w14:textId="77777777" w:rsidR="00BA4592" w:rsidRPr="009A0DA6" w:rsidRDefault="00BA4592" w:rsidP="00BA4592">
      <w:pPr>
        <w:tabs>
          <w:tab w:val="right" w:pos="4536"/>
          <w:tab w:val="right" w:pos="5954"/>
          <w:tab w:val="right" w:pos="7371"/>
          <w:tab w:val="right" w:pos="8789"/>
        </w:tabs>
        <w:spacing w:before="120" w:after="120" w:line="240" w:lineRule="auto"/>
        <w:ind w:right="-20"/>
        <w:contextualSpacing/>
        <w:rPr>
          <w:rFonts w:ascii="Cambria" w:eastAsia="Times New Roman" w:hAnsi="Cambria" w:cstheme="minorHAnsi"/>
        </w:rPr>
      </w:pPr>
      <w:r w:rsidRPr="009A0DA6">
        <w:rPr>
          <w:rFonts w:ascii="Cambria" w:eastAsia="Times New Roman" w:hAnsi="Cambria" w:cstheme="minorHAnsi"/>
          <w:spacing w:val="2"/>
        </w:rPr>
        <w:t>P</w:t>
      </w:r>
      <w:r w:rsidRPr="009A0DA6">
        <w:rPr>
          <w:rFonts w:ascii="Cambria" w:eastAsia="Times New Roman" w:hAnsi="Cambria" w:cstheme="minorHAnsi"/>
          <w:spacing w:val="1"/>
        </w:rPr>
        <w:t>ro</w:t>
      </w:r>
      <w:r w:rsidRPr="009A0DA6">
        <w:rPr>
          <w:rFonts w:ascii="Cambria" w:eastAsia="Times New Roman" w:hAnsi="Cambria" w:cstheme="minorHAnsi"/>
          <w:spacing w:val="-4"/>
        </w:rPr>
        <w:t>m</w:t>
      </w:r>
      <w:r w:rsidRPr="009A0DA6">
        <w:rPr>
          <w:rFonts w:ascii="Cambria" w:eastAsia="Times New Roman" w:hAnsi="Cambria" w:cstheme="minorHAnsi"/>
          <w:spacing w:val="1"/>
        </w:rPr>
        <w:t>o</w:t>
      </w:r>
      <w:r w:rsidRPr="009A0DA6">
        <w:rPr>
          <w:rFonts w:ascii="Cambria" w:eastAsia="Times New Roman" w:hAnsi="Cambria" w:cstheme="minorHAnsi"/>
        </w:rPr>
        <w:t>ti</w:t>
      </w:r>
      <w:r w:rsidRPr="009A0DA6">
        <w:rPr>
          <w:rFonts w:ascii="Cambria" w:eastAsia="Times New Roman" w:hAnsi="Cambria" w:cstheme="minorHAnsi"/>
          <w:spacing w:val="1"/>
        </w:rPr>
        <w:t>o</w:t>
      </w:r>
      <w:r w:rsidRPr="009A0DA6">
        <w:rPr>
          <w:rFonts w:ascii="Cambria" w:eastAsia="Times New Roman" w:hAnsi="Cambria" w:cstheme="minorHAnsi"/>
        </w:rPr>
        <w:t>n</w:t>
      </w:r>
      <w:r w:rsidRPr="009A0DA6">
        <w:rPr>
          <w:rFonts w:ascii="Cambria" w:eastAsia="Times New Roman" w:hAnsi="Cambria" w:cstheme="minorHAnsi"/>
          <w:spacing w:val="-9"/>
        </w:rPr>
        <w:t xml:space="preserve"> </w:t>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spacing w:val="1"/>
        </w:rPr>
        <w:t xml:space="preserve"> </w:t>
      </w:r>
      <w:r w:rsidRPr="009A0DA6">
        <w:rPr>
          <w:rFonts w:ascii="Cambria" w:eastAsia="Times New Roman" w:hAnsi="Cambria" w:cstheme="minorHAnsi"/>
          <w:spacing w:val="-1"/>
        </w:rPr>
        <w:t>m</w:t>
      </w:r>
      <w:r w:rsidRPr="009A0DA6">
        <w:rPr>
          <w:rFonts w:ascii="Cambria" w:eastAsia="Times New Roman" w:hAnsi="Cambria" w:cstheme="minorHAnsi"/>
        </w:rPr>
        <w:t>a</w:t>
      </w:r>
      <w:r w:rsidRPr="009A0DA6">
        <w:rPr>
          <w:rFonts w:ascii="Cambria" w:eastAsia="Times New Roman" w:hAnsi="Cambria" w:cstheme="minorHAnsi"/>
          <w:spacing w:val="1"/>
        </w:rPr>
        <w:t>r</w:t>
      </w:r>
      <w:r w:rsidRPr="009A0DA6">
        <w:rPr>
          <w:rFonts w:ascii="Cambria" w:eastAsia="Times New Roman" w:hAnsi="Cambria" w:cstheme="minorHAnsi"/>
          <w:spacing w:val="-1"/>
        </w:rPr>
        <w:t>k</w:t>
      </w:r>
      <w:r w:rsidRPr="009A0DA6">
        <w:rPr>
          <w:rFonts w:ascii="Cambria" w:eastAsia="Times New Roman" w:hAnsi="Cambria" w:cstheme="minorHAnsi"/>
        </w:rPr>
        <w:t>et</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rPr>
        <w:t>g</w:t>
      </w:r>
      <w:r w:rsidRPr="009A0DA6">
        <w:rPr>
          <w:rFonts w:ascii="Cambria" w:eastAsia="Times New Roman" w:hAnsi="Cambria" w:cstheme="minorHAnsi"/>
        </w:rPr>
        <w:tab/>
      </w:r>
      <w:r w:rsidRPr="009A0DA6">
        <w:rPr>
          <w:rFonts w:ascii="Cambria" w:eastAsia="Times New Roman" w:hAnsi="Cambria" w:cstheme="minorHAnsi"/>
          <w:spacing w:val="1"/>
        </w:rPr>
        <w:t>39,7</w:t>
      </w:r>
      <w:r w:rsidRPr="009A0DA6">
        <w:rPr>
          <w:rFonts w:ascii="Cambria" w:eastAsia="Times New Roman" w:hAnsi="Cambria" w:cstheme="minorHAnsi"/>
          <w:spacing w:val="-1"/>
        </w:rPr>
        <w:t>9</w:t>
      </w:r>
      <w:r w:rsidRPr="009A0DA6">
        <w:rPr>
          <w:rFonts w:ascii="Cambria" w:eastAsia="Times New Roman" w:hAnsi="Cambria" w:cstheme="minorHAnsi"/>
        </w:rPr>
        <w:t>0</w:t>
      </w:r>
      <w:r w:rsidRPr="009A0DA6">
        <w:rPr>
          <w:rFonts w:ascii="Cambria" w:hAnsi="Cambria" w:cstheme="minorHAnsi"/>
        </w:rPr>
        <w:tab/>
      </w:r>
      <w:r w:rsidRPr="009A0DA6">
        <w:rPr>
          <w:rFonts w:ascii="Cambria" w:eastAsia="Times New Roman" w:hAnsi="Cambria" w:cstheme="minorHAnsi"/>
          <w:spacing w:val="1"/>
        </w:rPr>
        <w:t>284,</w:t>
      </w:r>
      <w:r w:rsidRPr="009A0DA6">
        <w:rPr>
          <w:rFonts w:ascii="Cambria" w:eastAsia="Times New Roman" w:hAnsi="Cambria" w:cstheme="minorHAnsi"/>
          <w:spacing w:val="-1"/>
        </w:rPr>
        <w:t>9</w:t>
      </w:r>
      <w:r w:rsidRPr="009A0DA6">
        <w:rPr>
          <w:rFonts w:ascii="Cambria" w:eastAsia="Times New Roman" w:hAnsi="Cambria" w:cstheme="minorHAnsi"/>
          <w:spacing w:val="1"/>
        </w:rPr>
        <w:t>7</w:t>
      </w:r>
      <w:r w:rsidRPr="009A0DA6">
        <w:rPr>
          <w:rFonts w:ascii="Cambria" w:eastAsia="Times New Roman" w:hAnsi="Cambria" w:cstheme="minorHAnsi"/>
        </w:rPr>
        <w:t>2</w:t>
      </w:r>
      <w:r w:rsidRPr="009A0DA6">
        <w:rPr>
          <w:rFonts w:ascii="Cambria" w:hAnsi="Cambria" w:cstheme="minorHAnsi"/>
        </w:rPr>
        <w:tab/>
      </w:r>
      <w:r w:rsidRPr="009A0DA6">
        <w:rPr>
          <w:rFonts w:ascii="Cambria" w:eastAsia="Times New Roman" w:hAnsi="Cambria" w:cstheme="minorHAnsi"/>
          <w:w w:val="99"/>
        </w:rPr>
        <w:t>0</w:t>
      </w:r>
      <w:r w:rsidRPr="009A0DA6">
        <w:rPr>
          <w:rFonts w:ascii="Cambria" w:hAnsi="Cambria" w:cstheme="minorHAnsi"/>
        </w:rPr>
        <w:tab/>
      </w:r>
      <w:r w:rsidRPr="009A0DA6">
        <w:rPr>
          <w:rFonts w:ascii="Cambria" w:eastAsia="Times New Roman" w:hAnsi="Cambria" w:cstheme="minorHAnsi"/>
          <w:spacing w:val="1"/>
        </w:rPr>
        <w:t>324,</w:t>
      </w:r>
      <w:r w:rsidRPr="009A0DA6">
        <w:rPr>
          <w:rFonts w:ascii="Cambria" w:eastAsia="Times New Roman" w:hAnsi="Cambria" w:cstheme="minorHAnsi"/>
          <w:spacing w:val="-1"/>
        </w:rPr>
        <w:t>7</w:t>
      </w:r>
      <w:r w:rsidRPr="009A0DA6">
        <w:rPr>
          <w:rFonts w:ascii="Cambria" w:eastAsia="Times New Roman" w:hAnsi="Cambria" w:cstheme="minorHAnsi"/>
          <w:spacing w:val="1"/>
        </w:rPr>
        <w:t>6</w:t>
      </w:r>
      <w:r w:rsidRPr="009A0DA6">
        <w:rPr>
          <w:rFonts w:ascii="Cambria" w:eastAsia="Times New Roman" w:hAnsi="Cambria" w:cstheme="minorHAnsi"/>
        </w:rPr>
        <w:t>2</w:t>
      </w:r>
    </w:p>
    <w:p w14:paraId="3B1D81E2" w14:textId="77777777" w:rsidR="00BA4592" w:rsidRPr="009A0DA6" w:rsidRDefault="00BA4592" w:rsidP="00BA4592">
      <w:pPr>
        <w:tabs>
          <w:tab w:val="right" w:pos="4536"/>
          <w:tab w:val="right" w:pos="5954"/>
          <w:tab w:val="right" w:pos="7371"/>
          <w:tab w:val="right" w:pos="8789"/>
        </w:tabs>
        <w:spacing w:before="120" w:after="120" w:line="240" w:lineRule="auto"/>
        <w:ind w:right="22"/>
        <w:contextualSpacing/>
        <w:rPr>
          <w:rFonts w:ascii="Cambria" w:eastAsia="Times New Roman" w:hAnsi="Cambria" w:cstheme="minorHAnsi"/>
        </w:rPr>
      </w:pP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2"/>
        </w:rPr>
        <w:t>i</w:t>
      </w:r>
      <w:r w:rsidRPr="009A0DA6">
        <w:rPr>
          <w:rFonts w:ascii="Cambria" w:eastAsia="Times New Roman" w:hAnsi="Cambria" w:cstheme="minorHAnsi"/>
          <w:spacing w:val="-4"/>
        </w:rPr>
        <w:t>m</w:t>
      </w:r>
      <w:r w:rsidRPr="009A0DA6">
        <w:rPr>
          <w:rFonts w:ascii="Cambria" w:eastAsia="Times New Roman" w:hAnsi="Cambria" w:cstheme="minorHAnsi"/>
          <w:spacing w:val="4"/>
        </w:rPr>
        <w:t>b</w:t>
      </w:r>
      <w:r w:rsidRPr="009A0DA6">
        <w:rPr>
          <w:rFonts w:ascii="Cambria" w:eastAsia="Times New Roman" w:hAnsi="Cambria" w:cstheme="minorHAnsi"/>
          <w:spacing w:val="-1"/>
        </w:rPr>
        <w:t>u</w:t>
      </w:r>
      <w:r w:rsidRPr="009A0DA6">
        <w:rPr>
          <w:rFonts w:ascii="Cambria" w:eastAsia="Times New Roman" w:hAnsi="Cambria" w:cstheme="minorHAnsi"/>
          <w:spacing w:val="1"/>
        </w:rPr>
        <w:t>r</w:t>
      </w:r>
      <w:r w:rsidRPr="009A0DA6">
        <w:rPr>
          <w:rFonts w:ascii="Cambria" w:eastAsia="Times New Roman" w:hAnsi="Cambria" w:cstheme="minorHAnsi"/>
          <w:spacing w:val="-1"/>
        </w:rPr>
        <w:t>s</w:t>
      </w:r>
      <w:r w:rsidRPr="009A0DA6">
        <w:rPr>
          <w:rFonts w:ascii="Cambria" w:eastAsia="Times New Roman" w:hAnsi="Cambria" w:cstheme="minorHAnsi"/>
          <w:spacing w:val="3"/>
        </w:rPr>
        <w:t>e</w:t>
      </w:r>
      <w:r w:rsidRPr="009A0DA6">
        <w:rPr>
          <w:rFonts w:ascii="Cambria" w:eastAsia="Times New Roman" w:hAnsi="Cambria" w:cstheme="minorHAnsi"/>
          <w:spacing w:val="-1"/>
        </w:rPr>
        <w:t>m</w:t>
      </w:r>
      <w:r w:rsidRPr="009A0DA6">
        <w:rPr>
          <w:rFonts w:ascii="Cambria" w:eastAsia="Times New Roman" w:hAnsi="Cambria" w:cstheme="minorHAnsi"/>
          <w:spacing w:val="3"/>
        </w:rPr>
        <w:t>e</w:t>
      </w:r>
      <w:r w:rsidRPr="009A0DA6">
        <w:rPr>
          <w:rFonts w:ascii="Cambria" w:eastAsia="Times New Roman" w:hAnsi="Cambria" w:cstheme="minorHAnsi"/>
          <w:spacing w:val="-1"/>
        </w:rPr>
        <w:t>n</w:t>
      </w:r>
      <w:r w:rsidRPr="009A0DA6">
        <w:rPr>
          <w:rFonts w:ascii="Cambria" w:eastAsia="Times New Roman" w:hAnsi="Cambria" w:cstheme="minorHAnsi"/>
        </w:rPr>
        <w:t>ts</w:t>
      </w:r>
      <w:r w:rsidRPr="009A0DA6">
        <w:rPr>
          <w:rFonts w:ascii="Cambria" w:eastAsia="Times New Roman" w:hAnsi="Cambria" w:cstheme="minorHAnsi"/>
          <w:spacing w:val="-13"/>
        </w:rPr>
        <w:t xml:space="preserve"> </w:t>
      </w:r>
      <w:r w:rsidRPr="009A0DA6">
        <w:rPr>
          <w:rFonts w:ascii="Cambria" w:eastAsia="Times New Roman" w:hAnsi="Cambria" w:cstheme="minorHAnsi"/>
        </w:rPr>
        <w:t>–</w:t>
      </w:r>
      <w:r w:rsidRPr="009A0DA6">
        <w:rPr>
          <w:rFonts w:ascii="Cambria" w:eastAsia="Times New Roman" w:hAnsi="Cambria" w:cstheme="minorHAnsi"/>
          <w:spacing w:val="1"/>
        </w:rPr>
        <w:t xml:space="preserve"> </w:t>
      </w:r>
      <w:r w:rsidRPr="009A0DA6">
        <w:rPr>
          <w:rFonts w:ascii="Cambria" w:eastAsia="Times New Roman" w:hAnsi="Cambria" w:cstheme="minorHAnsi"/>
        </w:rPr>
        <w:t>De</w:t>
      </w:r>
      <w:r w:rsidRPr="009A0DA6">
        <w:rPr>
          <w:rFonts w:ascii="Cambria" w:eastAsia="Times New Roman" w:hAnsi="Cambria" w:cstheme="minorHAnsi"/>
          <w:spacing w:val="1"/>
        </w:rPr>
        <w:t>p</w:t>
      </w:r>
      <w:r w:rsidRPr="009A0DA6">
        <w:rPr>
          <w:rFonts w:ascii="Cambria" w:eastAsia="Times New Roman" w:hAnsi="Cambria" w:cstheme="minorHAnsi"/>
        </w:rPr>
        <w:t>a</w:t>
      </w:r>
      <w:r w:rsidRPr="009A0DA6">
        <w:rPr>
          <w:rFonts w:ascii="Cambria" w:eastAsia="Times New Roman" w:hAnsi="Cambria" w:cstheme="minorHAnsi"/>
          <w:spacing w:val="1"/>
        </w:rPr>
        <w:t>r</w:t>
      </w:r>
      <w:r w:rsidRPr="009A0DA6">
        <w:rPr>
          <w:rFonts w:ascii="Cambria" w:eastAsia="Times New Roman" w:hAnsi="Cambria" w:cstheme="minorHAnsi"/>
          <w:spacing w:val="2"/>
        </w:rPr>
        <w:t>t</w:t>
      </w:r>
      <w:r w:rsidRPr="009A0DA6">
        <w:rPr>
          <w:rFonts w:ascii="Cambria" w:eastAsia="Times New Roman" w:hAnsi="Cambria" w:cstheme="minorHAnsi"/>
          <w:spacing w:val="-4"/>
        </w:rPr>
        <w:t>m</w:t>
      </w:r>
      <w:r w:rsidRPr="009A0DA6">
        <w:rPr>
          <w:rFonts w:ascii="Cambria" w:eastAsia="Times New Roman" w:hAnsi="Cambria" w:cstheme="minorHAnsi"/>
          <w:spacing w:val="3"/>
        </w:rPr>
        <w:t>e</w:t>
      </w:r>
      <w:r w:rsidRPr="009A0DA6">
        <w:rPr>
          <w:rFonts w:ascii="Cambria" w:eastAsia="Times New Roman" w:hAnsi="Cambria" w:cstheme="minorHAnsi"/>
          <w:spacing w:val="1"/>
        </w:rPr>
        <w:t>n</w:t>
      </w:r>
      <w:r w:rsidRPr="009A0DA6">
        <w:rPr>
          <w:rFonts w:ascii="Cambria" w:eastAsia="Times New Roman" w:hAnsi="Cambria" w:cstheme="minorHAnsi"/>
        </w:rPr>
        <w:t>ts</w:t>
      </w:r>
      <w:r w:rsidRPr="009A0DA6">
        <w:rPr>
          <w:rFonts w:ascii="Cambria" w:eastAsia="Times New Roman" w:hAnsi="Cambria" w:cstheme="minorHAnsi"/>
        </w:rPr>
        <w:tab/>
      </w:r>
      <w:r w:rsidRPr="009A0DA6">
        <w:rPr>
          <w:rFonts w:ascii="Cambria" w:eastAsia="Times New Roman" w:hAnsi="Cambria" w:cstheme="minorHAnsi"/>
          <w:spacing w:val="1"/>
        </w:rPr>
        <w:t>14,5</w:t>
      </w:r>
      <w:r w:rsidRPr="009A0DA6">
        <w:rPr>
          <w:rFonts w:ascii="Cambria" w:eastAsia="Times New Roman" w:hAnsi="Cambria" w:cstheme="minorHAnsi"/>
          <w:spacing w:val="-1"/>
        </w:rPr>
        <w:t>5</w:t>
      </w:r>
      <w:r w:rsidRPr="009A0DA6">
        <w:rPr>
          <w:rFonts w:ascii="Cambria" w:eastAsia="Times New Roman" w:hAnsi="Cambria" w:cstheme="minorHAnsi"/>
        </w:rPr>
        <w:t>0</w:t>
      </w:r>
      <w:r w:rsidRPr="009A0DA6">
        <w:rPr>
          <w:rFonts w:ascii="Cambria" w:hAnsi="Cambria" w:cstheme="minorHAnsi"/>
        </w:rPr>
        <w:tab/>
      </w:r>
      <w:r w:rsidRPr="009A0DA6">
        <w:rPr>
          <w:rFonts w:ascii="Cambria" w:eastAsia="Times New Roman" w:hAnsi="Cambria" w:cstheme="minorHAnsi"/>
          <w:spacing w:val="1"/>
        </w:rPr>
        <w:t>42,8</w:t>
      </w:r>
      <w:r w:rsidRPr="009A0DA6">
        <w:rPr>
          <w:rFonts w:ascii="Cambria" w:eastAsia="Times New Roman" w:hAnsi="Cambria" w:cstheme="minorHAnsi"/>
          <w:spacing w:val="-1"/>
        </w:rPr>
        <w:t>3</w:t>
      </w:r>
      <w:r w:rsidRPr="009A0DA6">
        <w:rPr>
          <w:rFonts w:ascii="Cambria" w:eastAsia="Times New Roman" w:hAnsi="Cambria" w:cstheme="minorHAnsi"/>
        </w:rPr>
        <w:t>0</w:t>
      </w:r>
      <w:r w:rsidRPr="009A0DA6">
        <w:rPr>
          <w:rFonts w:ascii="Cambria" w:hAnsi="Cambria" w:cstheme="minorHAnsi"/>
        </w:rPr>
        <w:tab/>
      </w:r>
      <w:r w:rsidRPr="009A0DA6">
        <w:rPr>
          <w:rFonts w:ascii="Cambria" w:eastAsia="Times New Roman" w:hAnsi="Cambria" w:cstheme="minorHAnsi"/>
          <w:spacing w:val="1"/>
        </w:rPr>
        <w:t>(57,</w:t>
      </w:r>
      <w:r w:rsidRPr="009A0DA6">
        <w:rPr>
          <w:rFonts w:ascii="Cambria" w:eastAsia="Times New Roman" w:hAnsi="Cambria" w:cstheme="minorHAnsi"/>
          <w:spacing w:val="-1"/>
        </w:rPr>
        <w:t>3</w:t>
      </w:r>
      <w:r w:rsidRPr="009A0DA6">
        <w:rPr>
          <w:rFonts w:ascii="Cambria" w:eastAsia="Times New Roman" w:hAnsi="Cambria" w:cstheme="minorHAnsi"/>
          <w:spacing w:val="1"/>
        </w:rPr>
        <w:t>80</w:t>
      </w:r>
      <w:r w:rsidRPr="009A0DA6">
        <w:rPr>
          <w:rFonts w:ascii="Cambria" w:eastAsia="Times New Roman" w:hAnsi="Cambria" w:cstheme="minorHAnsi"/>
        </w:rPr>
        <w:t>)</w:t>
      </w:r>
      <w:r w:rsidRPr="009A0DA6">
        <w:rPr>
          <w:rFonts w:ascii="Cambria" w:hAnsi="Cambria" w:cstheme="minorHAnsi"/>
        </w:rPr>
        <w:tab/>
      </w:r>
      <w:r w:rsidRPr="009A0DA6">
        <w:rPr>
          <w:rFonts w:ascii="Cambria" w:eastAsia="Times New Roman" w:hAnsi="Cambria" w:cstheme="minorHAnsi"/>
          <w:w w:val="99"/>
        </w:rPr>
        <w:t>0</w:t>
      </w:r>
    </w:p>
    <w:p w14:paraId="760C7F22" w14:textId="77777777" w:rsidR="00BA4592" w:rsidRPr="009A0DA6" w:rsidRDefault="00BA4592" w:rsidP="00BA4592">
      <w:pPr>
        <w:tabs>
          <w:tab w:val="right" w:pos="4536"/>
          <w:tab w:val="right" w:pos="5954"/>
          <w:tab w:val="right" w:pos="7371"/>
          <w:tab w:val="right" w:pos="8789"/>
        </w:tabs>
        <w:spacing w:before="120" w:after="120" w:line="240" w:lineRule="auto"/>
        <w:ind w:right="-20"/>
        <w:contextualSpacing/>
        <w:rPr>
          <w:rFonts w:ascii="Cambria" w:eastAsia="Times New Roman" w:hAnsi="Cambria" w:cstheme="minorHAnsi"/>
        </w:rPr>
      </w:pPr>
      <w:r w:rsidRPr="009A0DA6">
        <w:rPr>
          <w:rFonts w:ascii="Cambria" w:eastAsia="Times New Roman" w:hAnsi="Cambria" w:cstheme="minorHAnsi"/>
          <w:spacing w:val="3"/>
        </w:rPr>
        <w:t>T</w:t>
      </w:r>
      <w:r w:rsidRPr="009A0DA6">
        <w:rPr>
          <w:rFonts w:ascii="Cambria" w:eastAsia="Times New Roman" w:hAnsi="Cambria" w:cstheme="minorHAnsi"/>
          <w:spacing w:val="1"/>
        </w:rPr>
        <w:t>r</w:t>
      </w:r>
      <w:r w:rsidRPr="009A0DA6">
        <w:rPr>
          <w:rFonts w:ascii="Cambria" w:eastAsia="Times New Roman" w:hAnsi="Cambria" w:cstheme="minorHAnsi"/>
        </w:rPr>
        <w:t>a</w:t>
      </w:r>
      <w:r w:rsidRPr="009A0DA6">
        <w:rPr>
          <w:rFonts w:ascii="Cambria" w:eastAsia="Times New Roman" w:hAnsi="Cambria" w:cstheme="minorHAnsi"/>
          <w:spacing w:val="-1"/>
        </w:rPr>
        <w:t>v</w:t>
      </w:r>
      <w:r w:rsidRPr="009A0DA6">
        <w:rPr>
          <w:rFonts w:ascii="Cambria" w:eastAsia="Times New Roman" w:hAnsi="Cambria" w:cstheme="minorHAnsi"/>
        </w:rPr>
        <w:t>elli</w:t>
      </w:r>
      <w:r w:rsidRPr="009A0DA6">
        <w:rPr>
          <w:rFonts w:ascii="Cambria" w:eastAsia="Times New Roman" w:hAnsi="Cambria" w:cstheme="minorHAnsi"/>
          <w:spacing w:val="-1"/>
        </w:rPr>
        <w:t>n</w:t>
      </w:r>
      <w:r w:rsidRPr="009A0DA6">
        <w:rPr>
          <w:rFonts w:ascii="Cambria" w:eastAsia="Times New Roman" w:hAnsi="Cambria" w:cstheme="minorHAnsi"/>
        </w:rPr>
        <w:t>g</w:t>
      </w:r>
      <w:r w:rsidRPr="009A0DA6">
        <w:rPr>
          <w:rFonts w:ascii="Cambria" w:eastAsia="Times New Roman" w:hAnsi="Cambria" w:cstheme="minorHAnsi"/>
          <w:spacing w:val="-9"/>
        </w:rPr>
        <w:t xml:space="preserve"> </w:t>
      </w:r>
      <w:r w:rsidRPr="009A0DA6">
        <w:rPr>
          <w:rFonts w:ascii="Cambria" w:eastAsia="Times New Roman" w:hAnsi="Cambria" w:cstheme="minorHAnsi"/>
          <w:spacing w:val="3"/>
        </w:rPr>
        <w:t>e</w:t>
      </w:r>
      <w:r w:rsidRPr="009A0DA6">
        <w:rPr>
          <w:rFonts w:ascii="Cambria" w:eastAsia="Times New Roman" w:hAnsi="Cambria" w:cstheme="minorHAnsi"/>
          <w:spacing w:val="-1"/>
        </w:rPr>
        <w:t>x</w:t>
      </w:r>
      <w:r w:rsidRPr="009A0DA6">
        <w:rPr>
          <w:rFonts w:ascii="Cambria" w:eastAsia="Times New Roman" w:hAnsi="Cambria" w:cstheme="minorHAnsi"/>
          <w:spacing w:val="1"/>
        </w:rPr>
        <w:t>p</w:t>
      </w:r>
      <w:r w:rsidRPr="009A0DA6">
        <w:rPr>
          <w:rFonts w:ascii="Cambria" w:eastAsia="Times New Roman" w:hAnsi="Cambria" w:cstheme="minorHAnsi"/>
        </w:rPr>
        <w:t>e</w:t>
      </w:r>
      <w:r w:rsidRPr="009A0DA6">
        <w:rPr>
          <w:rFonts w:ascii="Cambria" w:eastAsia="Times New Roman" w:hAnsi="Cambria" w:cstheme="minorHAnsi"/>
          <w:spacing w:val="-1"/>
        </w:rPr>
        <w:t>ns</w:t>
      </w:r>
      <w:r w:rsidRPr="009A0DA6">
        <w:rPr>
          <w:rFonts w:ascii="Cambria" w:eastAsia="Times New Roman" w:hAnsi="Cambria" w:cstheme="minorHAnsi"/>
          <w:spacing w:val="3"/>
        </w:rPr>
        <w:t>e</w:t>
      </w:r>
      <w:r w:rsidRPr="009A0DA6">
        <w:rPr>
          <w:rFonts w:ascii="Cambria" w:eastAsia="Times New Roman" w:hAnsi="Cambria" w:cstheme="minorHAnsi"/>
        </w:rPr>
        <w:t>s</w:t>
      </w:r>
      <w:r w:rsidRPr="009A0DA6">
        <w:rPr>
          <w:rFonts w:ascii="Cambria" w:eastAsia="Times New Roman" w:hAnsi="Cambria" w:cstheme="minorHAnsi"/>
        </w:rPr>
        <w:tab/>
      </w:r>
      <w:r w:rsidRPr="009A0DA6">
        <w:rPr>
          <w:rFonts w:ascii="Cambria" w:eastAsia="Times New Roman" w:hAnsi="Cambria" w:cstheme="minorHAnsi"/>
          <w:spacing w:val="1"/>
        </w:rPr>
        <w:t>148,</w:t>
      </w:r>
      <w:r w:rsidRPr="009A0DA6">
        <w:rPr>
          <w:rFonts w:ascii="Cambria" w:eastAsia="Times New Roman" w:hAnsi="Cambria" w:cstheme="minorHAnsi"/>
          <w:spacing w:val="-1"/>
        </w:rPr>
        <w:t>3</w:t>
      </w:r>
      <w:r w:rsidRPr="009A0DA6">
        <w:rPr>
          <w:rFonts w:ascii="Cambria" w:eastAsia="Times New Roman" w:hAnsi="Cambria" w:cstheme="minorHAnsi"/>
          <w:spacing w:val="1"/>
        </w:rPr>
        <w:t>7</w:t>
      </w:r>
      <w:r w:rsidRPr="009A0DA6">
        <w:rPr>
          <w:rFonts w:ascii="Cambria" w:eastAsia="Times New Roman" w:hAnsi="Cambria" w:cstheme="minorHAnsi"/>
        </w:rPr>
        <w:t>6</w:t>
      </w:r>
      <w:r w:rsidRPr="009A0DA6">
        <w:rPr>
          <w:rFonts w:ascii="Cambria" w:hAnsi="Cambria" w:cstheme="minorHAnsi"/>
        </w:rPr>
        <w:tab/>
      </w:r>
      <w:r w:rsidRPr="009A0DA6">
        <w:rPr>
          <w:rFonts w:ascii="Cambria" w:eastAsia="Times New Roman" w:hAnsi="Cambria" w:cstheme="minorHAnsi"/>
          <w:spacing w:val="1"/>
        </w:rPr>
        <w:t>192,</w:t>
      </w:r>
      <w:r w:rsidRPr="009A0DA6">
        <w:rPr>
          <w:rFonts w:ascii="Cambria" w:eastAsia="Times New Roman" w:hAnsi="Cambria" w:cstheme="minorHAnsi"/>
          <w:spacing w:val="-1"/>
        </w:rPr>
        <w:t>9</w:t>
      </w:r>
      <w:r w:rsidRPr="009A0DA6">
        <w:rPr>
          <w:rFonts w:ascii="Cambria" w:eastAsia="Times New Roman" w:hAnsi="Cambria" w:cstheme="minorHAnsi"/>
          <w:spacing w:val="1"/>
        </w:rPr>
        <w:t>2</w:t>
      </w:r>
      <w:r w:rsidRPr="009A0DA6">
        <w:rPr>
          <w:rFonts w:ascii="Cambria" w:eastAsia="Times New Roman" w:hAnsi="Cambria" w:cstheme="minorHAnsi"/>
        </w:rPr>
        <w:t>8</w:t>
      </w:r>
      <w:r w:rsidRPr="009A0DA6">
        <w:rPr>
          <w:rFonts w:ascii="Cambria" w:hAnsi="Cambria" w:cstheme="minorHAnsi"/>
        </w:rPr>
        <w:tab/>
      </w:r>
      <w:r w:rsidRPr="009A0DA6">
        <w:rPr>
          <w:rFonts w:ascii="Cambria" w:eastAsia="Times New Roman" w:hAnsi="Cambria" w:cstheme="minorHAnsi"/>
          <w:w w:val="99"/>
        </w:rPr>
        <w:t>0</w:t>
      </w:r>
      <w:r w:rsidRPr="009A0DA6">
        <w:rPr>
          <w:rFonts w:ascii="Cambria" w:hAnsi="Cambria" w:cstheme="minorHAnsi"/>
        </w:rPr>
        <w:tab/>
      </w:r>
      <w:r w:rsidRPr="009A0DA6">
        <w:rPr>
          <w:rFonts w:ascii="Cambria" w:eastAsia="Times New Roman" w:hAnsi="Cambria" w:cstheme="minorHAnsi"/>
          <w:spacing w:val="1"/>
        </w:rPr>
        <w:t>341,</w:t>
      </w:r>
      <w:r w:rsidRPr="009A0DA6">
        <w:rPr>
          <w:rFonts w:ascii="Cambria" w:eastAsia="Times New Roman" w:hAnsi="Cambria" w:cstheme="minorHAnsi"/>
          <w:spacing w:val="-1"/>
        </w:rPr>
        <w:t>3</w:t>
      </w:r>
      <w:r w:rsidRPr="009A0DA6">
        <w:rPr>
          <w:rFonts w:ascii="Cambria" w:eastAsia="Times New Roman" w:hAnsi="Cambria" w:cstheme="minorHAnsi"/>
          <w:spacing w:val="1"/>
        </w:rPr>
        <w:t>0</w:t>
      </w:r>
      <w:r w:rsidRPr="009A0DA6">
        <w:rPr>
          <w:rFonts w:ascii="Cambria" w:eastAsia="Times New Roman" w:hAnsi="Cambria" w:cstheme="minorHAnsi"/>
        </w:rPr>
        <w:t>4</w:t>
      </w:r>
    </w:p>
    <w:p w14:paraId="587638DB" w14:textId="77777777" w:rsidR="00BA4592" w:rsidRPr="009A0DA6" w:rsidRDefault="00BA4592" w:rsidP="00BA4592">
      <w:pPr>
        <w:tabs>
          <w:tab w:val="right" w:pos="4536"/>
          <w:tab w:val="right" w:pos="5954"/>
          <w:tab w:val="right" w:pos="7371"/>
          <w:tab w:val="right" w:pos="8789"/>
        </w:tabs>
        <w:spacing w:before="120" w:after="120" w:line="240" w:lineRule="auto"/>
        <w:ind w:right="-20"/>
        <w:contextualSpacing/>
        <w:rPr>
          <w:rFonts w:ascii="Cambria" w:eastAsia="Times New Roman" w:hAnsi="Cambria" w:cstheme="minorHAnsi"/>
        </w:rPr>
      </w:pPr>
      <w:r w:rsidRPr="009A0DA6">
        <w:rPr>
          <w:rFonts w:ascii="Cambria" w:eastAsia="Times New Roman" w:hAnsi="Cambria" w:cstheme="minorHAnsi"/>
          <w:spacing w:val="-1"/>
        </w:rPr>
        <w:t>T</w:t>
      </w:r>
      <w:r w:rsidRPr="009A0DA6">
        <w:rPr>
          <w:rFonts w:ascii="Cambria" w:eastAsia="Times New Roman" w:hAnsi="Cambria" w:cstheme="minorHAnsi"/>
          <w:spacing w:val="1"/>
        </w:rPr>
        <w:t>ota</w:t>
      </w:r>
      <w:r w:rsidRPr="009A0DA6">
        <w:rPr>
          <w:rFonts w:ascii="Cambria" w:eastAsia="Times New Roman" w:hAnsi="Cambria" w:cstheme="minorHAnsi"/>
        </w:rPr>
        <w:t>l</w:t>
      </w:r>
      <w:r w:rsidRPr="009A0DA6">
        <w:rPr>
          <w:rFonts w:ascii="Cambria" w:eastAsia="Times New Roman" w:hAnsi="Cambria" w:cstheme="minorHAnsi"/>
          <w:spacing w:val="29"/>
        </w:rPr>
        <w:t xml:space="preserve"> </w:t>
      </w:r>
      <w:r w:rsidRPr="009A0DA6">
        <w:rPr>
          <w:rFonts w:ascii="Cambria" w:eastAsia="Times New Roman" w:hAnsi="Cambria" w:cstheme="minorHAnsi"/>
          <w:w w:val="107"/>
        </w:rPr>
        <w:t>e</w:t>
      </w:r>
      <w:r w:rsidRPr="009A0DA6">
        <w:rPr>
          <w:rFonts w:ascii="Cambria" w:eastAsia="Times New Roman" w:hAnsi="Cambria" w:cstheme="minorHAnsi"/>
          <w:spacing w:val="-1"/>
          <w:w w:val="107"/>
        </w:rPr>
        <w:t>x</w:t>
      </w:r>
      <w:r w:rsidRPr="009A0DA6">
        <w:rPr>
          <w:rFonts w:ascii="Cambria" w:eastAsia="Times New Roman" w:hAnsi="Cambria" w:cstheme="minorHAnsi"/>
          <w:w w:val="107"/>
        </w:rPr>
        <w:t>pen</w:t>
      </w:r>
      <w:r w:rsidRPr="009A0DA6">
        <w:rPr>
          <w:rFonts w:ascii="Cambria" w:eastAsia="Times New Roman" w:hAnsi="Cambria" w:cstheme="minorHAnsi"/>
          <w:spacing w:val="2"/>
          <w:w w:val="107"/>
        </w:rPr>
        <w:t>d</w:t>
      </w:r>
      <w:r w:rsidRPr="009A0DA6">
        <w:rPr>
          <w:rFonts w:ascii="Cambria" w:eastAsia="Times New Roman" w:hAnsi="Cambria" w:cstheme="minorHAnsi"/>
          <w:w w:val="107"/>
        </w:rPr>
        <w:t>i</w:t>
      </w:r>
      <w:r w:rsidRPr="009A0DA6">
        <w:rPr>
          <w:rFonts w:ascii="Cambria" w:eastAsia="Times New Roman" w:hAnsi="Cambria" w:cstheme="minorHAnsi"/>
          <w:spacing w:val="1"/>
          <w:w w:val="107"/>
        </w:rPr>
        <w:t>t</w:t>
      </w:r>
      <w:r w:rsidRPr="009A0DA6">
        <w:rPr>
          <w:rFonts w:ascii="Cambria" w:eastAsia="Times New Roman" w:hAnsi="Cambria" w:cstheme="minorHAnsi"/>
          <w:w w:val="107"/>
        </w:rPr>
        <w:t>ure</w:t>
      </w:r>
      <w:r w:rsidRPr="009A0DA6">
        <w:rPr>
          <w:rFonts w:ascii="Cambria" w:eastAsia="Times New Roman" w:hAnsi="Cambria" w:cstheme="minorHAnsi"/>
          <w:spacing w:val="-52"/>
          <w:w w:val="107"/>
        </w:rPr>
        <w:t xml:space="preserve"> </w:t>
      </w:r>
      <w:r w:rsidRPr="009A0DA6">
        <w:rPr>
          <w:rFonts w:ascii="Cambria" w:eastAsia="Times New Roman" w:hAnsi="Cambria" w:cstheme="minorHAnsi"/>
        </w:rPr>
        <w:tab/>
      </w:r>
      <w:r w:rsidRPr="009A0DA6">
        <w:rPr>
          <w:rFonts w:ascii="Cambria" w:eastAsia="Times New Roman" w:hAnsi="Cambria" w:cstheme="minorHAnsi"/>
          <w:spacing w:val="1"/>
        </w:rPr>
        <w:t>8,88</w:t>
      </w:r>
      <w:r w:rsidRPr="009A0DA6">
        <w:rPr>
          <w:rFonts w:ascii="Cambria" w:eastAsia="Times New Roman" w:hAnsi="Cambria" w:cstheme="minorHAnsi"/>
          <w:spacing w:val="-1"/>
        </w:rPr>
        <w:t>1</w:t>
      </w:r>
      <w:r w:rsidRPr="009A0DA6">
        <w:rPr>
          <w:rFonts w:ascii="Cambria" w:eastAsia="Times New Roman" w:hAnsi="Cambria" w:cstheme="minorHAnsi"/>
          <w:spacing w:val="1"/>
        </w:rPr>
        <w:t>,4</w:t>
      </w:r>
      <w:r w:rsidRPr="009A0DA6">
        <w:rPr>
          <w:rFonts w:ascii="Cambria" w:eastAsia="Times New Roman" w:hAnsi="Cambria" w:cstheme="minorHAnsi"/>
          <w:spacing w:val="-1"/>
        </w:rPr>
        <w:t>7</w:t>
      </w:r>
      <w:r w:rsidRPr="009A0DA6">
        <w:rPr>
          <w:rFonts w:ascii="Cambria" w:eastAsia="Times New Roman" w:hAnsi="Cambria" w:cstheme="minorHAnsi"/>
        </w:rPr>
        <w:t>9</w:t>
      </w:r>
      <w:r w:rsidRPr="009A0DA6">
        <w:rPr>
          <w:rFonts w:ascii="Cambria" w:eastAsia="Times New Roman" w:hAnsi="Cambria" w:cstheme="minorHAnsi"/>
        </w:rPr>
        <w:tab/>
      </w:r>
      <w:r w:rsidRPr="009A0DA6">
        <w:rPr>
          <w:rFonts w:ascii="Cambria" w:eastAsia="Times New Roman" w:hAnsi="Cambria" w:cstheme="minorHAnsi"/>
          <w:spacing w:val="1"/>
        </w:rPr>
        <w:t>4,42</w:t>
      </w:r>
      <w:r w:rsidRPr="009A0DA6">
        <w:rPr>
          <w:rFonts w:ascii="Cambria" w:eastAsia="Times New Roman" w:hAnsi="Cambria" w:cstheme="minorHAnsi"/>
          <w:spacing w:val="-1"/>
        </w:rPr>
        <w:t>0</w:t>
      </w:r>
      <w:r w:rsidRPr="009A0DA6">
        <w:rPr>
          <w:rFonts w:ascii="Cambria" w:eastAsia="Times New Roman" w:hAnsi="Cambria" w:cstheme="minorHAnsi"/>
          <w:spacing w:val="1"/>
        </w:rPr>
        <w:t>,6</w:t>
      </w:r>
      <w:r w:rsidRPr="009A0DA6">
        <w:rPr>
          <w:rFonts w:ascii="Cambria" w:eastAsia="Times New Roman" w:hAnsi="Cambria" w:cstheme="minorHAnsi"/>
          <w:spacing w:val="-1"/>
        </w:rPr>
        <w:t>9</w:t>
      </w:r>
      <w:r w:rsidRPr="009A0DA6">
        <w:rPr>
          <w:rFonts w:ascii="Cambria" w:eastAsia="Times New Roman" w:hAnsi="Cambria" w:cstheme="minorHAnsi"/>
        </w:rPr>
        <w:t>3</w:t>
      </w:r>
      <w:r w:rsidRPr="009A0DA6">
        <w:rPr>
          <w:rFonts w:ascii="Cambria" w:eastAsia="Times New Roman" w:hAnsi="Cambria" w:cstheme="minorHAnsi"/>
        </w:rPr>
        <w:tab/>
      </w:r>
      <w:r w:rsidRPr="009A0DA6">
        <w:rPr>
          <w:rFonts w:ascii="Cambria" w:eastAsia="Times New Roman" w:hAnsi="Cambria" w:cstheme="minorHAnsi"/>
          <w:spacing w:val="1"/>
        </w:rPr>
        <w:t>(1,5</w:t>
      </w:r>
      <w:r w:rsidRPr="009A0DA6">
        <w:rPr>
          <w:rFonts w:ascii="Cambria" w:eastAsia="Times New Roman" w:hAnsi="Cambria" w:cstheme="minorHAnsi"/>
          <w:spacing w:val="-1"/>
        </w:rPr>
        <w:t>0</w:t>
      </w:r>
      <w:r w:rsidRPr="009A0DA6">
        <w:rPr>
          <w:rFonts w:ascii="Cambria" w:eastAsia="Times New Roman" w:hAnsi="Cambria" w:cstheme="minorHAnsi"/>
          <w:spacing w:val="1"/>
        </w:rPr>
        <w:t>4,</w:t>
      </w:r>
      <w:r w:rsidRPr="009A0DA6">
        <w:rPr>
          <w:rFonts w:ascii="Cambria" w:eastAsia="Times New Roman" w:hAnsi="Cambria" w:cstheme="minorHAnsi"/>
          <w:spacing w:val="-1"/>
        </w:rPr>
        <w:t>3</w:t>
      </w:r>
      <w:r w:rsidRPr="009A0DA6">
        <w:rPr>
          <w:rFonts w:ascii="Cambria" w:eastAsia="Times New Roman" w:hAnsi="Cambria" w:cstheme="minorHAnsi"/>
          <w:spacing w:val="1"/>
        </w:rPr>
        <w:t>66</w:t>
      </w:r>
      <w:r w:rsidRPr="009A0DA6">
        <w:rPr>
          <w:rFonts w:ascii="Cambria" w:eastAsia="Times New Roman" w:hAnsi="Cambria" w:cstheme="minorHAnsi"/>
        </w:rPr>
        <w:t>)</w:t>
      </w:r>
      <w:r w:rsidRPr="009A0DA6">
        <w:rPr>
          <w:rFonts w:ascii="Cambria" w:eastAsia="Times New Roman" w:hAnsi="Cambria" w:cstheme="minorHAnsi"/>
        </w:rPr>
        <w:tab/>
      </w:r>
      <w:r w:rsidRPr="009A0DA6">
        <w:rPr>
          <w:rFonts w:ascii="Cambria" w:eastAsia="Times New Roman" w:hAnsi="Cambria" w:cstheme="minorHAnsi"/>
          <w:spacing w:val="1"/>
        </w:rPr>
        <w:t>11,7</w:t>
      </w:r>
      <w:r w:rsidRPr="009A0DA6">
        <w:rPr>
          <w:rFonts w:ascii="Cambria" w:eastAsia="Times New Roman" w:hAnsi="Cambria" w:cstheme="minorHAnsi"/>
          <w:spacing w:val="-1"/>
        </w:rPr>
        <w:t>9</w:t>
      </w:r>
      <w:r w:rsidRPr="009A0DA6">
        <w:rPr>
          <w:rFonts w:ascii="Cambria" w:eastAsia="Times New Roman" w:hAnsi="Cambria" w:cstheme="minorHAnsi"/>
          <w:spacing w:val="1"/>
        </w:rPr>
        <w:t>7,</w:t>
      </w:r>
      <w:r w:rsidRPr="009A0DA6">
        <w:rPr>
          <w:rFonts w:ascii="Cambria" w:eastAsia="Times New Roman" w:hAnsi="Cambria" w:cstheme="minorHAnsi"/>
          <w:spacing w:val="-1"/>
        </w:rPr>
        <w:t>8</w:t>
      </w:r>
      <w:r w:rsidRPr="009A0DA6">
        <w:rPr>
          <w:rFonts w:ascii="Cambria" w:eastAsia="Times New Roman" w:hAnsi="Cambria" w:cstheme="minorHAnsi"/>
          <w:spacing w:val="1"/>
        </w:rPr>
        <w:t>0</w:t>
      </w:r>
      <w:r w:rsidRPr="009A0DA6">
        <w:rPr>
          <w:rFonts w:ascii="Cambria" w:eastAsia="Times New Roman" w:hAnsi="Cambria" w:cstheme="minorHAnsi"/>
        </w:rPr>
        <w:t>6</w:t>
      </w:r>
    </w:p>
    <w:p w14:paraId="4A700CFD" w14:textId="77777777" w:rsidR="00BA4592" w:rsidRPr="009A0DA6" w:rsidRDefault="00BA4592" w:rsidP="00BA4592">
      <w:pPr>
        <w:tabs>
          <w:tab w:val="right" w:pos="4536"/>
          <w:tab w:val="right" w:pos="5954"/>
          <w:tab w:val="right" w:pos="7371"/>
          <w:tab w:val="right" w:pos="8789"/>
        </w:tabs>
        <w:spacing w:before="120" w:after="120" w:line="240" w:lineRule="auto"/>
        <w:ind w:right="-20"/>
        <w:contextualSpacing/>
        <w:rPr>
          <w:rFonts w:ascii="Cambria" w:eastAsia="Times New Roman" w:hAnsi="Cambria" w:cstheme="minorHAnsi"/>
        </w:rPr>
      </w:pPr>
      <w:r w:rsidRPr="009A0DA6">
        <w:rPr>
          <w:rFonts w:ascii="Cambria" w:eastAsia="Times New Roman" w:hAnsi="Cambria" w:cstheme="minorHAnsi"/>
          <w:spacing w:val="1"/>
          <w:w w:val="107"/>
        </w:rPr>
        <w:t>O</w:t>
      </w:r>
      <w:r w:rsidRPr="009A0DA6">
        <w:rPr>
          <w:rFonts w:ascii="Cambria" w:eastAsia="Times New Roman" w:hAnsi="Cambria" w:cstheme="minorHAnsi"/>
          <w:w w:val="107"/>
        </w:rPr>
        <w:t>per</w:t>
      </w:r>
      <w:r w:rsidRPr="009A0DA6">
        <w:rPr>
          <w:rFonts w:ascii="Cambria" w:eastAsia="Times New Roman" w:hAnsi="Cambria" w:cstheme="minorHAnsi"/>
          <w:spacing w:val="1"/>
          <w:w w:val="107"/>
        </w:rPr>
        <w:t>at</w:t>
      </w:r>
      <w:r w:rsidRPr="009A0DA6">
        <w:rPr>
          <w:rFonts w:ascii="Cambria" w:eastAsia="Times New Roman" w:hAnsi="Cambria" w:cstheme="minorHAnsi"/>
          <w:w w:val="107"/>
        </w:rPr>
        <w:t>ing</w:t>
      </w:r>
      <w:r w:rsidRPr="009A0DA6">
        <w:rPr>
          <w:rFonts w:ascii="Cambria" w:eastAsia="Times New Roman" w:hAnsi="Cambria" w:cstheme="minorHAnsi"/>
          <w:spacing w:val="12"/>
          <w:w w:val="107"/>
        </w:rPr>
        <w:t xml:space="preserve"> </w:t>
      </w:r>
      <w:r w:rsidRPr="009A0DA6">
        <w:rPr>
          <w:rFonts w:ascii="Cambria" w:eastAsia="Times New Roman" w:hAnsi="Cambria" w:cstheme="minorHAnsi"/>
          <w:w w:val="107"/>
        </w:rPr>
        <w:t>Surpl</w:t>
      </w:r>
      <w:r w:rsidRPr="009A0DA6">
        <w:rPr>
          <w:rFonts w:ascii="Cambria" w:eastAsia="Times New Roman" w:hAnsi="Cambria" w:cstheme="minorHAnsi"/>
          <w:spacing w:val="2"/>
          <w:w w:val="107"/>
        </w:rPr>
        <w:t>u</w:t>
      </w:r>
      <w:r w:rsidRPr="009A0DA6">
        <w:rPr>
          <w:rFonts w:ascii="Cambria" w:eastAsia="Times New Roman" w:hAnsi="Cambria" w:cstheme="minorHAnsi"/>
          <w:w w:val="107"/>
        </w:rPr>
        <w:t>s</w:t>
      </w:r>
      <w:r w:rsidRPr="009A0DA6">
        <w:rPr>
          <w:rFonts w:ascii="Cambria" w:eastAsia="Times New Roman" w:hAnsi="Cambria" w:cstheme="minorHAnsi"/>
          <w:spacing w:val="2"/>
          <w:w w:val="107"/>
        </w:rPr>
        <w:t xml:space="preserve"> </w:t>
      </w:r>
      <w:r w:rsidRPr="009A0DA6">
        <w:rPr>
          <w:rFonts w:ascii="Cambria" w:eastAsia="Times New Roman" w:hAnsi="Cambria" w:cstheme="minorHAnsi"/>
          <w:spacing w:val="1"/>
        </w:rPr>
        <w:t>(</w:t>
      </w:r>
      <w:r w:rsidRPr="009A0DA6">
        <w:rPr>
          <w:rFonts w:ascii="Cambria" w:eastAsia="Times New Roman" w:hAnsi="Cambria" w:cstheme="minorHAnsi"/>
        </w:rPr>
        <w:t>De</w:t>
      </w:r>
      <w:r w:rsidRPr="009A0DA6">
        <w:rPr>
          <w:rFonts w:ascii="Cambria" w:eastAsia="Times New Roman" w:hAnsi="Cambria" w:cstheme="minorHAnsi"/>
          <w:spacing w:val="1"/>
        </w:rPr>
        <w:t>f</w:t>
      </w:r>
      <w:r w:rsidRPr="009A0DA6">
        <w:rPr>
          <w:rFonts w:ascii="Cambria" w:eastAsia="Times New Roman" w:hAnsi="Cambria" w:cstheme="minorHAnsi"/>
        </w:rPr>
        <w:t>ici</w:t>
      </w:r>
      <w:r w:rsidRPr="009A0DA6">
        <w:rPr>
          <w:rFonts w:ascii="Cambria" w:eastAsia="Times New Roman" w:hAnsi="Cambria" w:cstheme="minorHAnsi"/>
          <w:spacing w:val="1"/>
        </w:rPr>
        <w:t>t</w:t>
      </w:r>
      <w:r w:rsidRPr="009A0DA6">
        <w:rPr>
          <w:rFonts w:ascii="Cambria" w:eastAsia="Times New Roman" w:hAnsi="Cambria" w:cstheme="minorHAnsi"/>
        </w:rPr>
        <w:t>)</w:t>
      </w:r>
      <w:r w:rsidRPr="009A0DA6">
        <w:rPr>
          <w:rFonts w:ascii="Cambria" w:eastAsia="Times New Roman" w:hAnsi="Cambria" w:cstheme="minorHAnsi"/>
          <w:spacing w:val="5"/>
        </w:rPr>
        <w:t xml:space="preserve"> </w:t>
      </w:r>
      <w:r w:rsidRPr="009A0DA6">
        <w:rPr>
          <w:rFonts w:ascii="Cambria" w:eastAsia="Times New Roman" w:hAnsi="Cambria" w:cstheme="minorHAnsi"/>
          <w:w w:val="110"/>
        </w:rPr>
        <w:t>p</w:t>
      </w:r>
      <w:r w:rsidRPr="009A0DA6">
        <w:rPr>
          <w:rFonts w:ascii="Cambria" w:eastAsia="Times New Roman" w:hAnsi="Cambria" w:cstheme="minorHAnsi"/>
          <w:w w:val="132"/>
        </w:rPr>
        <w:t>r</w:t>
      </w:r>
      <w:r w:rsidRPr="009A0DA6">
        <w:rPr>
          <w:rFonts w:ascii="Cambria" w:eastAsia="Times New Roman" w:hAnsi="Cambria" w:cstheme="minorHAnsi"/>
          <w:w w:val="99"/>
        </w:rPr>
        <w:t>i</w:t>
      </w:r>
      <w:r w:rsidRPr="009A0DA6">
        <w:rPr>
          <w:rFonts w:ascii="Cambria" w:eastAsia="Times New Roman" w:hAnsi="Cambria" w:cstheme="minorHAnsi"/>
          <w:spacing w:val="1"/>
          <w:w w:val="99"/>
        </w:rPr>
        <w:t>o</w:t>
      </w:r>
      <w:r w:rsidRPr="009A0DA6">
        <w:rPr>
          <w:rFonts w:ascii="Cambria" w:eastAsia="Times New Roman" w:hAnsi="Cambria" w:cstheme="minorHAnsi"/>
          <w:w w:val="132"/>
        </w:rPr>
        <w:t>r</w:t>
      </w:r>
      <w:r w:rsidRPr="009A0DA6">
        <w:rPr>
          <w:rFonts w:ascii="Cambria" w:eastAsia="Times New Roman" w:hAnsi="Cambria" w:cstheme="minorHAnsi"/>
          <w:w w:val="132"/>
        </w:rPr>
        <w:br/>
        <w:t xml:space="preserve">      </w:t>
      </w:r>
      <w:r w:rsidRPr="009A0DA6">
        <w:rPr>
          <w:rFonts w:ascii="Cambria" w:eastAsia="Times New Roman" w:hAnsi="Cambria" w:cstheme="minorHAnsi"/>
          <w:spacing w:val="1"/>
        </w:rPr>
        <w:t>t</w:t>
      </w:r>
      <w:r w:rsidRPr="009A0DA6">
        <w:rPr>
          <w:rFonts w:ascii="Cambria" w:eastAsia="Times New Roman" w:hAnsi="Cambria" w:cstheme="minorHAnsi"/>
        </w:rPr>
        <w:t>o</w:t>
      </w:r>
      <w:r w:rsidRPr="009A0DA6">
        <w:rPr>
          <w:rFonts w:ascii="Cambria" w:eastAsia="Times New Roman" w:hAnsi="Cambria" w:cstheme="minorHAnsi"/>
          <w:spacing w:val="12"/>
        </w:rPr>
        <w:t xml:space="preserve"> </w:t>
      </w:r>
      <w:r w:rsidRPr="009A0DA6">
        <w:rPr>
          <w:rFonts w:ascii="Cambria" w:eastAsia="Times New Roman" w:hAnsi="Cambria" w:cstheme="minorHAnsi"/>
          <w:w w:val="106"/>
        </w:rPr>
        <w:t>re</w:t>
      </w:r>
      <w:r w:rsidRPr="009A0DA6">
        <w:rPr>
          <w:rFonts w:ascii="Cambria" w:eastAsia="Times New Roman" w:hAnsi="Cambria" w:cstheme="minorHAnsi"/>
          <w:spacing w:val="-1"/>
          <w:w w:val="106"/>
        </w:rPr>
        <w:t>s</w:t>
      </w:r>
      <w:r w:rsidRPr="009A0DA6">
        <w:rPr>
          <w:rFonts w:ascii="Cambria" w:eastAsia="Times New Roman" w:hAnsi="Cambria" w:cstheme="minorHAnsi"/>
          <w:w w:val="106"/>
        </w:rPr>
        <w:t>er</w:t>
      </w:r>
      <w:r w:rsidRPr="009A0DA6">
        <w:rPr>
          <w:rFonts w:ascii="Cambria" w:eastAsia="Times New Roman" w:hAnsi="Cambria" w:cstheme="minorHAnsi"/>
          <w:spacing w:val="1"/>
          <w:w w:val="106"/>
        </w:rPr>
        <w:t>v</w:t>
      </w:r>
      <w:r w:rsidRPr="009A0DA6">
        <w:rPr>
          <w:rFonts w:ascii="Cambria" w:eastAsia="Times New Roman" w:hAnsi="Cambria" w:cstheme="minorHAnsi"/>
          <w:w w:val="106"/>
        </w:rPr>
        <w:t>e</w:t>
      </w:r>
      <w:r w:rsidRPr="009A0DA6">
        <w:rPr>
          <w:rFonts w:ascii="Cambria" w:eastAsia="Times New Roman" w:hAnsi="Cambria" w:cstheme="minorHAnsi"/>
          <w:spacing w:val="2"/>
          <w:w w:val="106"/>
        </w:rPr>
        <w:t xml:space="preserve"> </w:t>
      </w:r>
      <w:r w:rsidRPr="009A0DA6">
        <w:rPr>
          <w:rFonts w:ascii="Cambria" w:eastAsia="Times New Roman" w:hAnsi="Cambria" w:cstheme="minorHAnsi"/>
          <w:spacing w:val="1"/>
        </w:rPr>
        <w:t>a</w:t>
      </w:r>
      <w:r w:rsidRPr="009A0DA6">
        <w:rPr>
          <w:rFonts w:ascii="Cambria" w:eastAsia="Times New Roman" w:hAnsi="Cambria" w:cstheme="minorHAnsi"/>
        </w:rPr>
        <w:t>nd</w:t>
      </w:r>
      <w:r w:rsidRPr="009A0DA6">
        <w:rPr>
          <w:rFonts w:ascii="Cambria" w:eastAsia="Times New Roman" w:hAnsi="Cambria" w:cstheme="minorHAnsi"/>
          <w:spacing w:val="31"/>
        </w:rPr>
        <w:t xml:space="preserve"> </w:t>
      </w:r>
      <w:r w:rsidRPr="009A0DA6">
        <w:rPr>
          <w:rFonts w:ascii="Cambria" w:eastAsia="Times New Roman" w:hAnsi="Cambria" w:cstheme="minorHAnsi"/>
        </w:rPr>
        <w:t>equi</w:t>
      </w:r>
      <w:r w:rsidRPr="009A0DA6">
        <w:rPr>
          <w:rFonts w:ascii="Cambria" w:eastAsia="Times New Roman" w:hAnsi="Cambria" w:cstheme="minorHAnsi"/>
          <w:spacing w:val="1"/>
        </w:rPr>
        <w:t>t</w:t>
      </w:r>
      <w:r w:rsidRPr="009A0DA6">
        <w:rPr>
          <w:rFonts w:ascii="Cambria" w:eastAsia="Times New Roman" w:hAnsi="Cambria" w:cstheme="minorHAnsi"/>
        </w:rPr>
        <w:t>y</w:t>
      </w:r>
      <w:r w:rsidRPr="009A0DA6">
        <w:rPr>
          <w:rFonts w:ascii="Cambria" w:eastAsia="Times New Roman" w:hAnsi="Cambria" w:cstheme="minorHAnsi"/>
          <w:spacing w:val="30"/>
        </w:rPr>
        <w:t xml:space="preserve"> </w:t>
      </w:r>
      <w:r w:rsidRPr="009A0DA6">
        <w:rPr>
          <w:rFonts w:ascii="Cambria" w:eastAsia="Times New Roman" w:hAnsi="Cambria" w:cstheme="minorHAnsi"/>
          <w:spacing w:val="1"/>
          <w:w w:val="110"/>
        </w:rPr>
        <w:t>t</w:t>
      </w:r>
      <w:r w:rsidRPr="009A0DA6">
        <w:rPr>
          <w:rFonts w:ascii="Cambria" w:eastAsia="Times New Roman" w:hAnsi="Cambria" w:cstheme="minorHAnsi"/>
          <w:w w:val="110"/>
        </w:rPr>
        <w:t>r</w:t>
      </w:r>
      <w:r w:rsidRPr="009A0DA6">
        <w:rPr>
          <w:rFonts w:ascii="Cambria" w:eastAsia="Times New Roman" w:hAnsi="Cambria" w:cstheme="minorHAnsi"/>
          <w:spacing w:val="1"/>
          <w:w w:val="110"/>
        </w:rPr>
        <w:t>a</w:t>
      </w:r>
      <w:r w:rsidRPr="009A0DA6">
        <w:rPr>
          <w:rFonts w:ascii="Cambria" w:eastAsia="Times New Roman" w:hAnsi="Cambria" w:cstheme="minorHAnsi"/>
          <w:w w:val="110"/>
        </w:rPr>
        <w:t>n</w:t>
      </w:r>
      <w:r w:rsidRPr="009A0DA6">
        <w:rPr>
          <w:rFonts w:ascii="Cambria" w:eastAsia="Times New Roman" w:hAnsi="Cambria" w:cstheme="minorHAnsi"/>
          <w:spacing w:val="-1"/>
          <w:w w:val="110"/>
        </w:rPr>
        <w:t>s</w:t>
      </w:r>
      <w:r w:rsidRPr="009A0DA6">
        <w:rPr>
          <w:rFonts w:ascii="Cambria" w:eastAsia="Times New Roman" w:hAnsi="Cambria" w:cstheme="minorHAnsi"/>
          <w:spacing w:val="1"/>
          <w:w w:val="110"/>
        </w:rPr>
        <w:t>f</w:t>
      </w:r>
      <w:r w:rsidRPr="009A0DA6">
        <w:rPr>
          <w:rFonts w:ascii="Cambria" w:eastAsia="Times New Roman" w:hAnsi="Cambria" w:cstheme="minorHAnsi"/>
          <w:spacing w:val="-2"/>
          <w:w w:val="110"/>
        </w:rPr>
        <w:t>e</w:t>
      </w:r>
      <w:r w:rsidRPr="009A0DA6">
        <w:rPr>
          <w:rFonts w:ascii="Cambria" w:eastAsia="Times New Roman" w:hAnsi="Cambria" w:cstheme="minorHAnsi"/>
          <w:w w:val="110"/>
        </w:rPr>
        <w:t>rs</w:t>
      </w:r>
      <w:r w:rsidRPr="009A0DA6">
        <w:rPr>
          <w:rFonts w:ascii="Cambria" w:eastAsia="Times New Roman" w:hAnsi="Cambria" w:cstheme="minorHAnsi"/>
          <w:spacing w:val="-53"/>
          <w:w w:val="110"/>
        </w:rPr>
        <w:t xml:space="preserve"> </w:t>
      </w:r>
      <w:r w:rsidRPr="009A0DA6">
        <w:rPr>
          <w:rFonts w:ascii="Cambria" w:eastAsia="Times New Roman" w:hAnsi="Cambria" w:cstheme="minorHAnsi"/>
        </w:rPr>
        <w:tab/>
      </w:r>
      <w:r w:rsidRPr="009A0DA6">
        <w:rPr>
          <w:rFonts w:ascii="Cambria" w:eastAsia="Times New Roman" w:hAnsi="Cambria" w:cstheme="minorHAnsi"/>
          <w:spacing w:val="1"/>
        </w:rPr>
        <w:t>(131</w:t>
      </w:r>
      <w:r w:rsidRPr="009A0DA6">
        <w:rPr>
          <w:rFonts w:ascii="Cambria" w:eastAsia="Times New Roman" w:hAnsi="Cambria" w:cstheme="minorHAnsi"/>
          <w:spacing w:val="-2"/>
        </w:rPr>
        <w:t>,</w:t>
      </w:r>
      <w:r w:rsidRPr="009A0DA6">
        <w:rPr>
          <w:rFonts w:ascii="Cambria" w:eastAsia="Times New Roman" w:hAnsi="Cambria" w:cstheme="minorHAnsi"/>
          <w:spacing w:val="1"/>
        </w:rPr>
        <w:t>24</w:t>
      </w:r>
      <w:r w:rsidRPr="009A0DA6">
        <w:rPr>
          <w:rFonts w:ascii="Cambria" w:eastAsia="Times New Roman" w:hAnsi="Cambria" w:cstheme="minorHAnsi"/>
          <w:spacing w:val="-1"/>
        </w:rPr>
        <w:t>0</w:t>
      </w:r>
      <w:r w:rsidRPr="009A0DA6">
        <w:rPr>
          <w:rFonts w:ascii="Cambria" w:eastAsia="Times New Roman" w:hAnsi="Cambria" w:cstheme="minorHAnsi"/>
        </w:rPr>
        <w:t>)</w:t>
      </w:r>
      <w:r w:rsidRPr="009A0DA6">
        <w:rPr>
          <w:rFonts w:ascii="Cambria" w:eastAsia="Times New Roman" w:hAnsi="Cambria" w:cstheme="minorHAnsi"/>
        </w:rPr>
        <w:tab/>
      </w:r>
      <w:r w:rsidRPr="009A0DA6">
        <w:rPr>
          <w:rFonts w:ascii="Cambria" w:eastAsia="Times New Roman" w:hAnsi="Cambria" w:cstheme="minorHAnsi"/>
          <w:spacing w:val="1"/>
        </w:rPr>
        <w:t>(56,</w:t>
      </w:r>
      <w:r w:rsidRPr="009A0DA6">
        <w:rPr>
          <w:rFonts w:ascii="Cambria" w:eastAsia="Times New Roman" w:hAnsi="Cambria" w:cstheme="minorHAnsi"/>
          <w:spacing w:val="-1"/>
        </w:rPr>
        <w:t>6</w:t>
      </w:r>
      <w:r w:rsidRPr="009A0DA6">
        <w:rPr>
          <w:rFonts w:ascii="Cambria" w:eastAsia="Times New Roman" w:hAnsi="Cambria" w:cstheme="minorHAnsi"/>
          <w:spacing w:val="1"/>
        </w:rPr>
        <w:t>47</w:t>
      </w:r>
      <w:r w:rsidRPr="009A0DA6">
        <w:rPr>
          <w:rFonts w:ascii="Cambria" w:eastAsia="Times New Roman" w:hAnsi="Cambria" w:cstheme="minorHAnsi"/>
        </w:rPr>
        <w:t>)</w:t>
      </w:r>
      <w:r w:rsidRPr="009A0DA6">
        <w:rPr>
          <w:rFonts w:ascii="Cambria" w:eastAsia="Times New Roman" w:hAnsi="Cambria" w:cstheme="minorHAnsi"/>
        </w:rPr>
        <w:tab/>
        <w:t>0</w:t>
      </w:r>
      <w:r w:rsidRPr="009A0DA6">
        <w:rPr>
          <w:rFonts w:ascii="Cambria" w:eastAsia="Times New Roman" w:hAnsi="Cambria" w:cstheme="minorHAnsi"/>
        </w:rPr>
        <w:tab/>
      </w:r>
      <w:r w:rsidRPr="009A0DA6">
        <w:rPr>
          <w:rFonts w:ascii="Cambria" w:eastAsia="Times New Roman" w:hAnsi="Cambria" w:cstheme="minorHAnsi"/>
          <w:spacing w:val="1"/>
        </w:rPr>
        <w:t>(187</w:t>
      </w:r>
      <w:r w:rsidRPr="009A0DA6">
        <w:rPr>
          <w:rFonts w:ascii="Cambria" w:eastAsia="Times New Roman" w:hAnsi="Cambria" w:cstheme="minorHAnsi"/>
          <w:spacing w:val="-2"/>
        </w:rPr>
        <w:t>,</w:t>
      </w:r>
      <w:r w:rsidRPr="009A0DA6">
        <w:rPr>
          <w:rFonts w:ascii="Cambria" w:eastAsia="Times New Roman" w:hAnsi="Cambria" w:cstheme="minorHAnsi"/>
          <w:spacing w:val="1"/>
        </w:rPr>
        <w:t>88</w:t>
      </w:r>
      <w:r w:rsidRPr="009A0DA6">
        <w:rPr>
          <w:rFonts w:ascii="Cambria" w:eastAsia="Times New Roman" w:hAnsi="Cambria" w:cstheme="minorHAnsi"/>
          <w:spacing w:val="-1"/>
        </w:rPr>
        <w:t>7</w:t>
      </w:r>
      <w:r w:rsidRPr="009A0DA6">
        <w:rPr>
          <w:rFonts w:ascii="Cambria" w:eastAsia="Times New Roman" w:hAnsi="Cambria" w:cstheme="minorHAnsi"/>
        </w:rPr>
        <w:t>)</w:t>
      </w:r>
    </w:p>
    <w:p w14:paraId="47AF212C" w14:textId="77777777" w:rsidR="00BA4592" w:rsidRPr="009A0DA6" w:rsidRDefault="00BA4592" w:rsidP="00BA4592">
      <w:pPr>
        <w:tabs>
          <w:tab w:val="right" w:pos="4536"/>
          <w:tab w:val="right" w:pos="5954"/>
          <w:tab w:val="right" w:pos="7371"/>
          <w:tab w:val="right" w:pos="8789"/>
        </w:tabs>
        <w:spacing w:before="120" w:after="120" w:line="240" w:lineRule="auto"/>
        <w:ind w:right="-20"/>
        <w:contextualSpacing/>
        <w:rPr>
          <w:rFonts w:ascii="Cambria" w:eastAsia="Times New Roman" w:hAnsi="Cambria" w:cstheme="minorHAnsi"/>
        </w:rPr>
      </w:pPr>
      <w:r w:rsidRPr="009A0DA6">
        <w:rPr>
          <w:rFonts w:ascii="Cambria" w:eastAsia="Times New Roman" w:hAnsi="Cambria" w:cstheme="minorHAnsi"/>
          <w:spacing w:val="3"/>
        </w:rPr>
        <w:t>T</w:t>
      </w:r>
      <w:r w:rsidRPr="009A0DA6">
        <w:rPr>
          <w:rFonts w:ascii="Cambria" w:eastAsia="Times New Roman" w:hAnsi="Cambria" w:cstheme="minorHAnsi"/>
          <w:spacing w:val="1"/>
        </w:rPr>
        <w:t>r</w:t>
      </w:r>
      <w:r w:rsidRPr="009A0DA6">
        <w:rPr>
          <w:rFonts w:ascii="Cambria" w:eastAsia="Times New Roman" w:hAnsi="Cambria" w:cstheme="minorHAnsi"/>
        </w:rPr>
        <w:t>a</w:t>
      </w:r>
      <w:r w:rsidRPr="009A0DA6">
        <w:rPr>
          <w:rFonts w:ascii="Cambria" w:eastAsia="Times New Roman" w:hAnsi="Cambria" w:cstheme="minorHAnsi"/>
          <w:spacing w:val="-1"/>
        </w:rPr>
        <w:t>nsf</w:t>
      </w:r>
      <w:r w:rsidRPr="009A0DA6">
        <w:rPr>
          <w:rFonts w:ascii="Cambria" w:eastAsia="Times New Roman" w:hAnsi="Cambria" w:cstheme="minorHAnsi"/>
        </w:rPr>
        <w:t>er</w:t>
      </w:r>
      <w:r w:rsidRPr="009A0DA6">
        <w:rPr>
          <w:rFonts w:ascii="Cambria" w:eastAsia="Times New Roman" w:hAnsi="Cambria" w:cstheme="minorHAnsi"/>
          <w:spacing w:val="-6"/>
        </w:rPr>
        <w:t xml:space="preserve"> </w:t>
      </w:r>
      <w:r w:rsidRPr="009A0DA6">
        <w:rPr>
          <w:rFonts w:ascii="Cambria" w:eastAsia="Times New Roman" w:hAnsi="Cambria" w:cstheme="minorHAnsi"/>
          <w:spacing w:val="1"/>
        </w:rPr>
        <w:t>(</w:t>
      </w:r>
      <w:r w:rsidRPr="009A0DA6">
        <w:rPr>
          <w:rFonts w:ascii="Cambria" w:eastAsia="Times New Roman" w:hAnsi="Cambria" w:cstheme="minorHAnsi"/>
        </w:rPr>
        <w:t>t</w:t>
      </w:r>
      <w:r w:rsidRPr="009A0DA6">
        <w:rPr>
          <w:rFonts w:ascii="Cambria" w:eastAsia="Times New Roman" w:hAnsi="Cambria" w:cstheme="minorHAnsi"/>
          <w:spacing w:val="1"/>
        </w:rPr>
        <w:t>o</w:t>
      </w:r>
      <w:r w:rsidRPr="009A0DA6">
        <w:rPr>
          <w:rFonts w:ascii="Cambria" w:eastAsia="Times New Roman" w:hAnsi="Cambria" w:cstheme="minorHAnsi"/>
        </w:rPr>
        <w:t>)</w:t>
      </w:r>
      <w:r w:rsidRPr="009A0DA6">
        <w:rPr>
          <w:rFonts w:ascii="Cambria" w:eastAsia="Times New Roman" w:hAnsi="Cambria" w:cstheme="minorHAnsi"/>
          <w:spacing w:val="-2"/>
        </w:rPr>
        <w:t xml:space="preserve"> </w:t>
      </w:r>
      <w:r w:rsidRPr="009A0DA6">
        <w:rPr>
          <w:rFonts w:ascii="Cambria" w:eastAsia="Times New Roman" w:hAnsi="Cambria" w:cstheme="minorHAnsi"/>
          <w:spacing w:val="-1"/>
        </w:rPr>
        <w:t>f</w:t>
      </w:r>
      <w:r w:rsidRPr="009A0DA6">
        <w:rPr>
          <w:rFonts w:ascii="Cambria" w:eastAsia="Times New Roman" w:hAnsi="Cambria" w:cstheme="minorHAnsi"/>
          <w:spacing w:val="1"/>
        </w:rPr>
        <w:t>ro</w:t>
      </w:r>
      <w:r w:rsidRPr="009A0DA6">
        <w:rPr>
          <w:rFonts w:ascii="Cambria" w:eastAsia="Times New Roman" w:hAnsi="Cambria" w:cstheme="minorHAnsi"/>
        </w:rPr>
        <w:t>m</w:t>
      </w:r>
      <w:r w:rsidRPr="009A0DA6">
        <w:rPr>
          <w:rFonts w:ascii="Cambria" w:eastAsia="Times New Roman" w:hAnsi="Cambria" w:cstheme="minorHAnsi"/>
          <w:spacing w:val="-7"/>
        </w:rPr>
        <w:t xml:space="preserve"> </w:t>
      </w:r>
      <w:r w:rsidRPr="009A0DA6">
        <w:rPr>
          <w:rFonts w:ascii="Cambria" w:eastAsia="Times New Roman" w:hAnsi="Cambria" w:cstheme="minorHAnsi"/>
        </w:rPr>
        <w:t>e</w:t>
      </w:r>
      <w:r w:rsidRPr="009A0DA6">
        <w:rPr>
          <w:rFonts w:ascii="Cambria" w:eastAsia="Times New Roman" w:hAnsi="Cambria" w:cstheme="minorHAnsi"/>
          <w:spacing w:val="1"/>
        </w:rPr>
        <w:t>qu</w:t>
      </w:r>
      <w:r w:rsidRPr="009A0DA6">
        <w:rPr>
          <w:rFonts w:ascii="Cambria" w:eastAsia="Times New Roman" w:hAnsi="Cambria" w:cstheme="minorHAnsi"/>
        </w:rPr>
        <w:t>i</w:t>
      </w:r>
      <w:r w:rsidRPr="009A0DA6">
        <w:rPr>
          <w:rFonts w:ascii="Cambria" w:eastAsia="Times New Roman" w:hAnsi="Cambria" w:cstheme="minorHAnsi"/>
          <w:spacing w:val="2"/>
        </w:rPr>
        <w:t>t</w:t>
      </w:r>
      <w:r w:rsidRPr="009A0DA6">
        <w:rPr>
          <w:rFonts w:ascii="Cambria" w:eastAsia="Times New Roman" w:hAnsi="Cambria" w:cstheme="minorHAnsi"/>
        </w:rPr>
        <w:t>y</w:t>
      </w:r>
      <w:r w:rsidRPr="009A0DA6">
        <w:rPr>
          <w:rFonts w:ascii="Cambria" w:eastAsia="Times New Roman" w:hAnsi="Cambria" w:cstheme="minorHAnsi"/>
          <w:spacing w:val="-8"/>
        </w:rPr>
        <w:t xml:space="preserve"> </w:t>
      </w:r>
      <w:r w:rsidRPr="009A0DA6">
        <w:rPr>
          <w:rFonts w:ascii="Cambria" w:eastAsia="Times New Roman" w:hAnsi="Cambria" w:cstheme="minorHAnsi"/>
          <w:spacing w:val="3"/>
        </w:rPr>
        <w:t>a</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spacing w:val="-1"/>
        </w:rPr>
        <w:t xml:space="preserve"> </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1"/>
        </w:rPr>
        <w:t>s</w:t>
      </w:r>
      <w:r w:rsidRPr="009A0DA6">
        <w:rPr>
          <w:rFonts w:ascii="Cambria" w:eastAsia="Times New Roman" w:hAnsi="Cambria" w:cstheme="minorHAnsi"/>
        </w:rPr>
        <w:t>e</w:t>
      </w:r>
      <w:r w:rsidRPr="009A0DA6">
        <w:rPr>
          <w:rFonts w:ascii="Cambria" w:eastAsia="Times New Roman" w:hAnsi="Cambria" w:cstheme="minorHAnsi"/>
          <w:spacing w:val="1"/>
        </w:rPr>
        <w:t>r</w:t>
      </w:r>
      <w:r w:rsidRPr="009A0DA6">
        <w:rPr>
          <w:rFonts w:ascii="Cambria" w:eastAsia="Times New Roman" w:hAnsi="Cambria" w:cstheme="minorHAnsi"/>
          <w:spacing w:val="-1"/>
        </w:rPr>
        <w:t>v</w:t>
      </w:r>
      <w:r w:rsidRPr="009A0DA6">
        <w:rPr>
          <w:rFonts w:ascii="Cambria" w:eastAsia="Times New Roman" w:hAnsi="Cambria" w:cstheme="minorHAnsi"/>
        </w:rPr>
        <w:t>es</w:t>
      </w:r>
      <w:r w:rsidRPr="009A0DA6">
        <w:rPr>
          <w:rFonts w:ascii="Cambria" w:eastAsia="Times New Roman" w:hAnsi="Cambria" w:cstheme="minorHAnsi"/>
        </w:rPr>
        <w:tab/>
      </w:r>
      <w:r w:rsidRPr="009A0DA6">
        <w:rPr>
          <w:rFonts w:ascii="Cambria" w:eastAsia="Times New Roman" w:hAnsi="Cambria" w:cstheme="minorHAnsi"/>
          <w:spacing w:val="1"/>
        </w:rPr>
        <w:t>(75,</w:t>
      </w:r>
      <w:r w:rsidRPr="009A0DA6">
        <w:rPr>
          <w:rFonts w:ascii="Cambria" w:eastAsia="Times New Roman" w:hAnsi="Cambria" w:cstheme="minorHAnsi"/>
          <w:spacing w:val="-1"/>
        </w:rPr>
        <w:t>1</w:t>
      </w:r>
      <w:r w:rsidRPr="009A0DA6">
        <w:rPr>
          <w:rFonts w:ascii="Cambria" w:eastAsia="Times New Roman" w:hAnsi="Cambria" w:cstheme="minorHAnsi"/>
          <w:spacing w:val="1"/>
        </w:rPr>
        <w:t>24</w:t>
      </w:r>
      <w:r w:rsidRPr="009A0DA6">
        <w:rPr>
          <w:rFonts w:ascii="Cambria" w:eastAsia="Times New Roman" w:hAnsi="Cambria" w:cstheme="minorHAnsi"/>
        </w:rPr>
        <w:t>)</w:t>
      </w:r>
      <w:r w:rsidRPr="009A0DA6">
        <w:rPr>
          <w:rFonts w:ascii="Cambria" w:eastAsia="Times New Roman" w:hAnsi="Cambria" w:cstheme="minorHAnsi"/>
        </w:rPr>
        <w:tab/>
      </w:r>
      <w:r w:rsidRPr="009A0DA6">
        <w:rPr>
          <w:rFonts w:ascii="Cambria" w:eastAsia="Times New Roman" w:hAnsi="Cambria" w:cstheme="minorHAnsi"/>
          <w:spacing w:val="1"/>
        </w:rPr>
        <w:t>148,</w:t>
      </w:r>
      <w:r w:rsidRPr="009A0DA6">
        <w:rPr>
          <w:rFonts w:ascii="Cambria" w:eastAsia="Times New Roman" w:hAnsi="Cambria" w:cstheme="minorHAnsi"/>
          <w:spacing w:val="-1"/>
        </w:rPr>
        <w:t>9</w:t>
      </w:r>
      <w:r w:rsidRPr="009A0DA6">
        <w:rPr>
          <w:rFonts w:ascii="Cambria" w:eastAsia="Times New Roman" w:hAnsi="Cambria" w:cstheme="minorHAnsi"/>
          <w:spacing w:val="1"/>
        </w:rPr>
        <w:t>7</w:t>
      </w:r>
      <w:r w:rsidRPr="009A0DA6">
        <w:rPr>
          <w:rFonts w:ascii="Cambria" w:eastAsia="Times New Roman" w:hAnsi="Cambria" w:cstheme="minorHAnsi"/>
        </w:rPr>
        <w:t>1</w:t>
      </w:r>
      <w:r w:rsidRPr="009A0DA6">
        <w:rPr>
          <w:rFonts w:ascii="Cambria" w:eastAsia="Times New Roman" w:hAnsi="Cambria" w:cstheme="minorHAnsi"/>
        </w:rPr>
        <w:tab/>
        <w:t>0</w:t>
      </w:r>
      <w:r w:rsidRPr="009A0DA6">
        <w:rPr>
          <w:rFonts w:ascii="Cambria" w:eastAsia="Times New Roman" w:hAnsi="Cambria" w:cstheme="minorHAnsi"/>
        </w:rPr>
        <w:tab/>
      </w:r>
      <w:r w:rsidRPr="009A0DA6">
        <w:rPr>
          <w:rFonts w:ascii="Cambria" w:eastAsia="Times New Roman" w:hAnsi="Cambria" w:cstheme="minorHAnsi"/>
          <w:spacing w:val="1"/>
        </w:rPr>
        <w:t>73,8</w:t>
      </w:r>
      <w:r w:rsidRPr="009A0DA6">
        <w:rPr>
          <w:rFonts w:ascii="Cambria" w:eastAsia="Times New Roman" w:hAnsi="Cambria" w:cstheme="minorHAnsi"/>
          <w:spacing w:val="-1"/>
        </w:rPr>
        <w:t>4</w:t>
      </w:r>
      <w:r w:rsidRPr="009A0DA6">
        <w:rPr>
          <w:rFonts w:ascii="Cambria" w:eastAsia="Times New Roman" w:hAnsi="Cambria" w:cstheme="minorHAnsi"/>
        </w:rPr>
        <w:t>7</w:t>
      </w:r>
    </w:p>
    <w:p w14:paraId="249877F7" w14:textId="77777777" w:rsidR="00BA4592" w:rsidRPr="009A0DA6" w:rsidRDefault="00BA4592" w:rsidP="00BA4592">
      <w:pPr>
        <w:tabs>
          <w:tab w:val="right" w:pos="4536"/>
          <w:tab w:val="right" w:pos="5954"/>
          <w:tab w:val="right" w:pos="7371"/>
          <w:tab w:val="right" w:pos="8789"/>
        </w:tabs>
        <w:spacing w:before="120" w:after="120" w:line="240" w:lineRule="auto"/>
        <w:ind w:right="-20"/>
        <w:contextualSpacing/>
        <w:rPr>
          <w:rFonts w:ascii="Cambria" w:eastAsia="Times New Roman" w:hAnsi="Cambria" w:cstheme="minorHAnsi"/>
          <w:b/>
        </w:rPr>
      </w:pPr>
      <w:r w:rsidRPr="009A0DA6">
        <w:rPr>
          <w:rFonts w:ascii="Cambria" w:eastAsia="Times New Roman" w:hAnsi="Cambria" w:cstheme="minorHAnsi"/>
          <w:b/>
        </w:rPr>
        <w:t>Net</w:t>
      </w:r>
      <w:r w:rsidRPr="009A0DA6">
        <w:rPr>
          <w:rFonts w:ascii="Cambria" w:eastAsia="Times New Roman" w:hAnsi="Cambria" w:cstheme="minorHAnsi"/>
          <w:b/>
          <w:spacing w:val="9"/>
        </w:rPr>
        <w:t xml:space="preserve"> </w:t>
      </w:r>
      <w:r w:rsidRPr="009A0DA6">
        <w:rPr>
          <w:rFonts w:ascii="Cambria" w:eastAsia="Times New Roman" w:hAnsi="Cambria" w:cstheme="minorHAnsi"/>
          <w:b/>
          <w:spacing w:val="1"/>
        </w:rPr>
        <w:t>(</w:t>
      </w:r>
      <w:r w:rsidRPr="009A0DA6">
        <w:rPr>
          <w:rFonts w:ascii="Cambria" w:eastAsia="Times New Roman" w:hAnsi="Cambria" w:cstheme="minorHAnsi"/>
          <w:b/>
        </w:rPr>
        <w:t>De</w:t>
      </w:r>
      <w:r w:rsidRPr="009A0DA6">
        <w:rPr>
          <w:rFonts w:ascii="Cambria" w:eastAsia="Times New Roman" w:hAnsi="Cambria" w:cstheme="minorHAnsi"/>
          <w:b/>
          <w:spacing w:val="1"/>
        </w:rPr>
        <w:t>f</w:t>
      </w:r>
      <w:r w:rsidRPr="009A0DA6">
        <w:rPr>
          <w:rFonts w:ascii="Cambria" w:eastAsia="Times New Roman" w:hAnsi="Cambria" w:cstheme="minorHAnsi"/>
          <w:b/>
        </w:rPr>
        <w:t>ici</w:t>
      </w:r>
      <w:r w:rsidRPr="009A0DA6">
        <w:rPr>
          <w:rFonts w:ascii="Cambria" w:eastAsia="Times New Roman" w:hAnsi="Cambria" w:cstheme="minorHAnsi"/>
          <w:b/>
          <w:spacing w:val="1"/>
        </w:rPr>
        <w:t>t</w:t>
      </w:r>
      <w:r w:rsidRPr="009A0DA6">
        <w:rPr>
          <w:rFonts w:ascii="Cambria" w:eastAsia="Times New Roman" w:hAnsi="Cambria" w:cstheme="minorHAnsi"/>
          <w:b/>
        </w:rPr>
        <w:t>)</w:t>
      </w:r>
      <w:r w:rsidRPr="009A0DA6">
        <w:rPr>
          <w:rFonts w:ascii="Cambria" w:eastAsia="Times New Roman" w:hAnsi="Cambria" w:cstheme="minorHAnsi"/>
          <w:b/>
          <w:spacing w:val="5"/>
        </w:rPr>
        <w:t xml:space="preserve"> </w:t>
      </w:r>
      <w:r w:rsidRPr="009A0DA6">
        <w:rPr>
          <w:rFonts w:ascii="Cambria" w:eastAsia="Times New Roman" w:hAnsi="Cambria" w:cstheme="minorHAnsi"/>
          <w:b/>
          <w:w w:val="108"/>
        </w:rPr>
        <w:t>Surplus</w:t>
      </w:r>
      <w:r w:rsidRPr="009A0DA6">
        <w:rPr>
          <w:rFonts w:ascii="Cambria" w:eastAsia="Times New Roman" w:hAnsi="Cambria" w:cstheme="minorHAnsi"/>
          <w:b/>
        </w:rPr>
        <w:tab/>
        <w:t>$</w:t>
      </w:r>
      <w:r w:rsidRPr="009A0DA6">
        <w:rPr>
          <w:rFonts w:ascii="Cambria" w:eastAsia="Times New Roman" w:hAnsi="Cambria" w:cstheme="minorHAnsi"/>
          <w:b/>
          <w:spacing w:val="1"/>
        </w:rPr>
        <w:t>(206</w:t>
      </w:r>
      <w:r w:rsidRPr="009A0DA6">
        <w:rPr>
          <w:rFonts w:ascii="Cambria" w:eastAsia="Times New Roman" w:hAnsi="Cambria" w:cstheme="minorHAnsi"/>
          <w:b/>
          <w:spacing w:val="-2"/>
        </w:rPr>
        <w:t>,</w:t>
      </w:r>
      <w:r w:rsidRPr="009A0DA6">
        <w:rPr>
          <w:rFonts w:ascii="Cambria" w:eastAsia="Times New Roman" w:hAnsi="Cambria" w:cstheme="minorHAnsi"/>
          <w:b/>
          <w:spacing w:val="1"/>
        </w:rPr>
        <w:t>36</w:t>
      </w:r>
      <w:r w:rsidRPr="009A0DA6">
        <w:rPr>
          <w:rFonts w:ascii="Cambria" w:eastAsia="Times New Roman" w:hAnsi="Cambria" w:cstheme="minorHAnsi"/>
          <w:b/>
          <w:spacing w:val="-1"/>
        </w:rPr>
        <w:t>4</w:t>
      </w:r>
      <w:r w:rsidRPr="009A0DA6">
        <w:rPr>
          <w:rFonts w:ascii="Cambria" w:eastAsia="Times New Roman" w:hAnsi="Cambria" w:cstheme="minorHAnsi"/>
          <w:b/>
        </w:rPr>
        <w:t>)</w:t>
      </w:r>
      <w:r w:rsidRPr="009A0DA6">
        <w:rPr>
          <w:rFonts w:ascii="Cambria" w:eastAsia="Times New Roman" w:hAnsi="Cambria" w:cstheme="minorHAnsi"/>
          <w:b/>
        </w:rPr>
        <w:tab/>
        <w:t>$</w:t>
      </w:r>
      <w:r w:rsidRPr="009A0DA6">
        <w:rPr>
          <w:rFonts w:ascii="Cambria" w:eastAsia="Times New Roman" w:hAnsi="Cambria" w:cstheme="minorHAnsi"/>
          <w:b/>
          <w:spacing w:val="1"/>
        </w:rPr>
        <w:t>92,3</w:t>
      </w:r>
      <w:r w:rsidRPr="009A0DA6">
        <w:rPr>
          <w:rFonts w:ascii="Cambria" w:eastAsia="Times New Roman" w:hAnsi="Cambria" w:cstheme="minorHAnsi"/>
          <w:b/>
          <w:spacing w:val="-1"/>
        </w:rPr>
        <w:t>2</w:t>
      </w:r>
      <w:r w:rsidRPr="009A0DA6">
        <w:rPr>
          <w:rFonts w:ascii="Cambria" w:eastAsia="Times New Roman" w:hAnsi="Cambria" w:cstheme="minorHAnsi"/>
          <w:b/>
        </w:rPr>
        <w:t>4</w:t>
      </w:r>
      <w:r w:rsidRPr="009A0DA6">
        <w:rPr>
          <w:rFonts w:ascii="Cambria" w:eastAsia="Times New Roman" w:hAnsi="Cambria" w:cstheme="minorHAnsi"/>
          <w:b/>
        </w:rPr>
        <w:tab/>
        <w:t>0</w:t>
      </w:r>
      <w:r w:rsidRPr="009A0DA6">
        <w:rPr>
          <w:rFonts w:ascii="Cambria" w:eastAsia="Times New Roman" w:hAnsi="Cambria" w:cstheme="minorHAnsi"/>
          <w:b/>
        </w:rPr>
        <w:tab/>
        <w:t>$</w:t>
      </w:r>
      <w:r w:rsidRPr="009A0DA6">
        <w:rPr>
          <w:rFonts w:ascii="Cambria" w:eastAsia="Times New Roman" w:hAnsi="Cambria" w:cstheme="minorHAnsi"/>
          <w:b/>
          <w:spacing w:val="1"/>
        </w:rPr>
        <w:t>(114</w:t>
      </w:r>
      <w:r w:rsidRPr="009A0DA6">
        <w:rPr>
          <w:rFonts w:ascii="Cambria" w:eastAsia="Times New Roman" w:hAnsi="Cambria" w:cstheme="minorHAnsi"/>
          <w:b/>
          <w:spacing w:val="-2"/>
        </w:rPr>
        <w:t>,</w:t>
      </w:r>
      <w:r w:rsidRPr="009A0DA6">
        <w:rPr>
          <w:rFonts w:ascii="Cambria" w:eastAsia="Times New Roman" w:hAnsi="Cambria" w:cstheme="minorHAnsi"/>
          <w:b/>
          <w:spacing w:val="1"/>
        </w:rPr>
        <w:t>04</w:t>
      </w:r>
      <w:r w:rsidRPr="009A0DA6">
        <w:rPr>
          <w:rFonts w:ascii="Cambria" w:eastAsia="Times New Roman" w:hAnsi="Cambria" w:cstheme="minorHAnsi"/>
          <w:b/>
          <w:spacing w:val="-1"/>
        </w:rPr>
        <w:t>0</w:t>
      </w:r>
      <w:r w:rsidRPr="009A0DA6">
        <w:rPr>
          <w:rFonts w:ascii="Cambria" w:eastAsia="Times New Roman" w:hAnsi="Cambria" w:cstheme="minorHAnsi"/>
          <w:b/>
        </w:rPr>
        <w:t>)</w:t>
      </w:r>
    </w:p>
    <w:p w14:paraId="083F168D" w14:textId="77777777" w:rsidR="00BA4592" w:rsidRPr="009A0DA6" w:rsidRDefault="00BA4592" w:rsidP="00BA4592">
      <w:pPr>
        <w:tabs>
          <w:tab w:val="right" w:pos="4536"/>
          <w:tab w:val="right" w:pos="5954"/>
          <w:tab w:val="right" w:pos="7371"/>
          <w:tab w:val="right" w:pos="8789"/>
        </w:tabs>
        <w:spacing w:before="120" w:after="120" w:line="240" w:lineRule="auto"/>
        <w:ind w:right="-20"/>
        <w:contextualSpacing/>
        <w:rPr>
          <w:rFonts w:ascii="Cambria" w:eastAsia="Times New Roman" w:hAnsi="Cambria" w:cstheme="minorHAnsi"/>
          <w:b/>
        </w:rPr>
      </w:pPr>
    </w:p>
    <w:p w14:paraId="7750CE33" w14:textId="77777777" w:rsidR="00BA4592" w:rsidRPr="009A0DA6" w:rsidRDefault="00BA4592" w:rsidP="00BA4592">
      <w:pPr>
        <w:spacing w:before="120" w:after="120" w:line="240" w:lineRule="auto"/>
        <w:contextualSpacing/>
        <w:rPr>
          <w:rFonts w:ascii="Cambria" w:eastAsiaTheme="minorEastAsia" w:hAnsi="Cambria" w:cstheme="minorHAnsi"/>
          <w:b/>
        </w:rPr>
      </w:pPr>
      <w:r w:rsidRPr="009A0DA6">
        <w:rPr>
          <w:rFonts w:ascii="Cambria" w:hAnsi="Cambria" w:cstheme="minorHAnsi"/>
          <w:b/>
        </w:rPr>
        <w:t>For year ending 31 December 2016</w:t>
      </w:r>
    </w:p>
    <w:p w14:paraId="72037675" w14:textId="77777777" w:rsidR="00BA4592" w:rsidRPr="009A0DA6" w:rsidRDefault="00BA4592" w:rsidP="00BA4592">
      <w:pPr>
        <w:tabs>
          <w:tab w:val="right" w:pos="4536"/>
          <w:tab w:val="right" w:pos="5954"/>
          <w:tab w:val="right" w:pos="7371"/>
          <w:tab w:val="right" w:pos="8789"/>
        </w:tabs>
        <w:spacing w:before="120" w:after="120" w:line="240" w:lineRule="auto"/>
        <w:ind w:right="-91"/>
        <w:contextualSpacing/>
        <w:rPr>
          <w:rFonts w:ascii="Cambria" w:eastAsia="Times New Roman" w:hAnsi="Cambria" w:cstheme="minorHAnsi"/>
          <w:b/>
          <w:w w:val="99"/>
        </w:rPr>
      </w:pPr>
      <w:r w:rsidRPr="009A0DA6">
        <w:rPr>
          <w:rFonts w:ascii="Cambria" w:eastAsia="Times New Roman" w:hAnsi="Cambria" w:cstheme="minorHAnsi"/>
          <w:b/>
          <w:spacing w:val="-1"/>
        </w:rPr>
        <w:tab/>
        <w:t>L</w:t>
      </w:r>
      <w:r w:rsidRPr="009A0DA6">
        <w:rPr>
          <w:rFonts w:ascii="Cambria" w:eastAsia="Times New Roman" w:hAnsi="Cambria" w:cstheme="minorHAnsi"/>
          <w:b/>
        </w:rPr>
        <w:t>CA</w:t>
      </w:r>
      <w:r w:rsidRPr="009A0DA6">
        <w:rPr>
          <w:rFonts w:ascii="Cambria" w:eastAsia="Times New Roman" w:hAnsi="Cambria" w:cstheme="minorHAnsi"/>
          <w:b/>
          <w:spacing w:val="-32"/>
        </w:rPr>
        <w:t xml:space="preserve"> </w:t>
      </w:r>
      <w:r w:rsidRPr="009A0DA6">
        <w:rPr>
          <w:rFonts w:ascii="Cambria" w:eastAsia="Times New Roman" w:hAnsi="Cambria" w:cstheme="minorHAnsi"/>
          <w:b/>
        </w:rPr>
        <w:tab/>
      </w:r>
      <w:r w:rsidRPr="009A0DA6">
        <w:rPr>
          <w:rFonts w:ascii="Cambria" w:eastAsia="Times New Roman" w:hAnsi="Cambria" w:cstheme="minorHAnsi"/>
          <w:b/>
          <w:spacing w:val="-1"/>
        </w:rPr>
        <w:t>L</w:t>
      </w:r>
      <w:r w:rsidRPr="009A0DA6">
        <w:rPr>
          <w:rFonts w:ascii="Cambria" w:eastAsia="Times New Roman" w:hAnsi="Cambria" w:cstheme="minorHAnsi"/>
          <w:b/>
        </w:rPr>
        <w:t>CA</w:t>
      </w:r>
      <w:r w:rsidRPr="009A0DA6">
        <w:rPr>
          <w:rFonts w:ascii="Cambria" w:eastAsia="Times New Roman" w:hAnsi="Cambria" w:cstheme="minorHAnsi"/>
          <w:b/>
          <w:spacing w:val="-32"/>
        </w:rPr>
        <w:t xml:space="preserve"> </w:t>
      </w:r>
      <w:r w:rsidRPr="009A0DA6">
        <w:rPr>
          <w:rFonts w:ascii="Cambria" w:eastAsia="Times New Roman" w:hAnsi="Cambria" w:cstheme="minorHAnsi"/>
          <w:b/>
        </w:rPr>
        <w:tab/>
        <w:t>I</w:t>
      </w:r>
      <w:r w:rsidRPr="009A0DA6">
        <w:rPr>
          <w:rFonts w:ascii="Cambria" w:eastAsia="Times New Roman" w:hAnsi="Cambria" w:cstheme="minorHAnsi"/>
          <w:b/>
          <w:spacing w:val="1"/>
        </w:rPr>
        <w:t>n</w:t>
      </w:r>
      <w:r w:rsidRPr="009A0DA6">
        <w:rPr>
          <w:rFonts w:ascii="Cambria" w:eastAsia="Times New Roman" w:hAnsi="Cambria" w:cstheme="minorHAnsi"/>
          <w:b/>
        </w:rPr>
        <w:t>t</w:t>
      </w:r>
      <w:r w:rsidRPr="009A0DA6">
        <w:rPr>
          <w:rFonts w:ascii="Cambria" w:eastAsia="Times New Roman" w:hAnsi="Cambria" w:cstheme="minorHAnsi"/>
          <w:b/>
          <w:spacing w:val="-1"/>
        </w:rPr>
        <w:t>e</w:t>
      </w:r>
      <w:r w:rsidRPr="009A0DA6">
        <w:rPr>
          <w:rFonts w:ascii="Cambria" w:eastAsia="Times New Roman" w:hAnsi="Cambria" w:cstheme="minorHAnsi"/>
          <w:b/>
        </w:rPr>
        <w:t>r</w:t>
      </w:r>
      <w:r w:rsidRPr="009A0DA6">
        <w:rPr>
          <w:rFonts w:ascii="Cambria" w:eastAsia="Times New Roman" w:hAnsi="Cambria" w:cstheme="minorHAnsi"/>
          <w:b/>
          <w:spacing w:val="1"/>
        </w:rPr>
        <w:t>na</w:t>
      </w:r>
      <w:r w:rsidRPr="009A0DA6">
        <w:rPr>
          <w:rFonts w:ascii="Cambria" w:eastAsia="Times New Roman" w:hAnsi="Cambria" w:cstheme="minorHAnsi"/>
          <w:b/>
        </w:rPr>
        <w:t>l</w:t>
      </w:r>
      <w:r w:rsidRPr="009A0DA6">
        <w:rPr>
          <w:rFonts w:ascii="Cambria" w:eastAsia="Times New Roman" w:hAnsi="Cambria" w:cstheme="minorHAnsi"/>
          <w:b/>
          <w:spacing w:val="2"/>
        </w:rPr>
        <w:t xml:space="preserve"> </w:t>
      </w:r>
      <w:r w:rsidRPr="009A0DA6">
        <w:rPr>
          <w:rFonts w:ascii="Cambria" w:eastAsia="Times New Roman" w:hAnsi="Cambria" w:cstheme="minorHAnsi"/>
          <w:b/>
        </w:rPr>
        <w:tab/>
      </w:r>
      <w:r w:rsidRPr="009A0DA6">
        <w:rPr>
          <w:rFonts w:ascii="Cambria" w:eastAsia="Times New Roman" w:hAnsi="Cambria" w:cstheme="minorHAnsi"/>
          <w:b/>
          <w:spacing w:val="-1"/>
          <w:w w:val="108"/>
        </w:rPr>
        <w:t>L</w:t>
      </w:r>
      <w:r w:rsidRPr="009A0DA6">
        <w:rPr>
          <w:rFonts w:ascii="Cambria" w:eastAsia="Times New Roman" w:hAnsi="Cambria" w:cstheme="minorHAnsi"/>
          <w:b/>
          <w:w w:val="107"/>
        </w:rPr>
        <w:t>C</w:t>
      </w:r>
      <w:r w:rsidRPr="009A0DA6">
        <w:rPr>
          <w:rFonts w:ascii="Cambria" w:eastAsia="Times New Roman" w:hAnsi="Cambria" w:cstheme="minorHAnsi"/>
          <w:b/>
          <w:w w:val="99"/>
        </w:rPr>
        <w:t xml:space="preserve">A </w:t>
      </w:r>
    </w:p>
    <w:p w14:paraId="09E45121" w14:textId="77777777" w:rsidR="00BA4592" w:rsidRPr="009A0DA6" w:rsidRDefault="00BA4592" w:rsidP="00BA4592">
      <w:pPr>
        <w:tabs>
          <w:tab w:val="right" w:pos="4536"/>
          <w:tab w:val="right" w:pos="5954"/>
          <w:tab w:val="right" w:pos="7371"/>
          <w:tab w:val="right" w:pos="9072"/>
        </w:tabs>
        <w:spacing w:before="120" w:after="120" w:line="240" w:lineRule="auto"/>
        <w:ind w:right="-91"/>
        <w:contextualSpacing/>
        <w:rPr>
          <w:rFonts w:ascii="Cambria" w:eastAsia="Times New Roman" w:hAnsi="Cambria" w:cstheme="minorHAnsi"/>
          <w:b/>
          <w:w w:val="99"/>
        </w:rPr>
      </w:pPr>
      <w:r w:rsidRPr="009A0DA6">
        <w:rPr>
          <w:rFonts w:ascii="Cambria" w:eastAsia="Times New Roman" w:hAnsi="Cambria" w:cstheme="minorHAnsi"/>
          <w:b/>
        </w:rPr>
        <w:tab/>
        <w:t>N</w:t>
      </w:r>
      <w:r w:rsidRPr="009A0DA6">
        <w:rPr>
          <w:rFonts w:ascii="Cambria" w:eastAsia="Times New Roman" w:hAnsi="Cambria" w:cstheme="minorHAnsi"/>
          <w:b/>
          <w:spacing w:val="1"/>
        </w:rPr>
        <w:t>at</w:t>
      </w:r>
      <w:r w:rsidRPr="009A0DA6">
        <w:rPr>
          <w:rFonts w:ascii="Cambria" w:eastAsia="Times New Roman" w:hAnsi="Cambria" w:cstheme="minorHAnsi"/>
          <w:b/>
        </w:rPr>
        <w:t>i</w:t>
      </w:r>
      <w:r w:rsidRPr="009A0DA6">
        <w:rPr>
          <w:rFonts w:ascii="Cambria" w:eastAsia="Times New Roman" w:hAnsi="Cambria" w:cstheme="minorHAnsi"/>
          <w:b/>
          <w:spacing w:val="1"/>
        </w:rPr>
        <w:t>o</w:t>
      </w:r>
      <w:r w:rsidRPr="009A0DA6">
        <w:rPr>
          <w:rFonts w:ascii="Cambria" w:eastAsia="Times New Roman" w:hAnsi="Cambria" w:cstheme="minorHAnsi"/>
          <w:b/>
        </w:rPr>
        <w:t>n</w:t>
      </w:r>
      <w:r w:rsidRPr="009A0DA6">
        <w:rPr>
          <w:rFonts w:ascii="Cambria" w:eastAsia="Times New Roman" w:hAnsi="Cambria" w:cstheme="minorHAnsi"/>
          <w:b/>
          <w:spacing w:val="1"/>
        </w:rPr>
        <w:t>a</w:t>
      </w:r>
      <w:r w:rsidRPr="009A0DA6">
        <w:rPr>
          <w:rFonts w:ascii="Cambria" w:eastAsia="Times New Roman" w:hAnsi="Cambria" w:cstheme="minorHAnsi"/>
          <w:b/>
        </w:rPr>
        <w:t>l</w:t>
      </w:r>
      <w:r w:rsidRPr="009A0DA6">
        <w:rPr>
          <w:rFonts w:ascii="Cambria" w:eastAsia="Times New Roman" w:hAnsi="Cambria" w:cstheme="minorHAnsi"/>
          <w:b/>
          <w:spacing w:val="-12"/>
        </w:rPr>
        <w:t xml:space="preserve"> </w:t>
      </w:r>
      <w:r w:rsidRPr="009A0DA6">
        <w:rPr>
          <w:rFonts w:ascii="Cambria" w:eastAsia="Times New Roman" w:hAnsi="Cambria" w:cstheme="minorHAnsi"/>
          <w:b/>
        </w:rPr>
        <w:tab/>
      </w:r>
      <w:r w:rsidRPr="009A0DA6">
        <w:rPr>
          <w:rFonts w:ascii="Cambria" w:eastAsia="Times New Roman" w:hAnsi="Cambria" w:cstheme="minorHAnsi"/>
          <w:b/>
          <w:w w:val="107"/>
        </w:rPr>
        <w:t>Dep</w:t>
      </w:r>
      <w:r w:rsidRPr="009A0DA6">
        <w:rPr>
          <w:rFonts w:ascii="Cambria" w:eastAsia="Times New Roman" w:hAnsi="Cambria" w:cstheme="minorHAnsi"/>
          <w:b/>
          <w:spacing w:val="1"/>
          <w:w w:val="107"/>
        </w:rPr>
        <w:t>a</w:t>
      </w:r>
      <w:r w:rsidRPr="009A0DA6">
        <w:rPr>
          <w:rFonts w:ascii="Cambria" w:eastAsia="Times New Roman" w:hAnsi="Cambria" w:cstheme="minorHAnsi"/>
          <w:b/>
          <w:w w:val="107"/>
        </w:rPr>
        <w:t>r</w:t>
      </w:r>
      <w:r w:rsidRPr="009A0DA6">
        <w:rPr>
          <w:rFonts w:ascii="Cambria" w:eastAsia="Times New Roman" w:hAnsi="Cambria" w:cstheme="minorHAnsi"/>
          <w:b/>
          <w:spacing w:val="3"/>
          <w:w w:val="107"/>
        </w:rPr>
        <w:t>t</w:t>
      </w:r>
      <w:r w:rsidRPr="009A0DA6">
        <w:rPr>
          <w:rFonts w:ascii="Cambria" w:eastAsia="Times New Roman" w:hAnsi="Cambria" w:cstheme="minorHAnsi"/>
          <w:b/>
          <w:spacing w:val="-5"/>
          <w:w w:val="107"/>
        </w:rPr>
        <w:t>m</w:t>
      </w:r>
      <w:r w:rsidRPr="009A0DA6">
        <w:rPr>
          <w:rFonts w:ascii="Cambria" w:eastAsia="Times New Roman" w:hAnsi="Cambria" w:cstheme="minorHAnsi"/>
          <w:b/>
          <w:w w:val="107"/>
        </w:rPr>
        <w:t>en</w:t>
      </w:r>
      <w:r w:rsidRPr="009A0DA6">
        <w:rPr>
          <w:rFonts w:ascii="Cambria" w:eastAsia="Times New Roman" w:hAnsi="Cambria" w:cstheme="minorHAnsi"/>
          <w:b/>
          <w:spacing w:val="1"/>
          <w:w w:val="107"/>
        </w:rPr>
        <w:t>t</w:t>
      </w:r>
      <w:r w:rsidRPr="009A0DA6">
        <w:rPr>
          <w:rFonts w:ascii="Cambria" w:eastAsia="Times New Roman" w:hAnsi="Cambria" w:cstheme="minorHAnsi"/>
          <w:b/>
          <w:w w:val="107"/>
        </w:rPr>
        <w:t>s</w:t>
      </w:r>
      <w:r w:rsidRPr="009A0DA6">
        <w:rPr>
          <w:rFonts w:ascii="Cambria" w:eastAsia="Times New Roman" w:hAnsi="Cambria" w:cstheme="minorHAnsi"/>
          <w:b/>
          <w:spacing w:val="-47"/>
          <w:w w:val="107"/>
        </w:rPr>
        <w:t xml:space="preserve"> </w:t>
      </w:r>
      <w:r w:rsidRPr="009A0DA6">
        <w:rPr>
          <w:rFonts w:ascii="Cambria" w:eastAsia="Times New Roman" w:hAnsi="Cambria" w:cstheme="minorHAnsi"/>
          <w:b/>
        </w:rPr>
        <w:tab/>
        <w:t>F</w:t>
      </w:r>
      <w:r w:rsidRPr="009A0DA6">
        <w:rPr>
          <w:rFonts w:ascii="Cambria" w:eastAsia="Times New Roman" w:hAnsi="Cambria" w:cstheme="minorHAnsi"/>
          <w:b/>
          <w:spacing w:val="1"/>
        </w:rPr>
        <w:t>und</w:t>
      </w:r>
      <w:r w:rsidRPr="009A0DA6">
        <w:rPr>
          <w:rFonts w:ascii="Cambria" w:eastAsia="Times New Roman" w:hAnsi="Cambria" w:cstheme="minorHAnsi"/>
          <w:b/>
        </w:rPr>
        <w:t>i</w:t>
      </w:r>
      <w:r w:rsidRPr="009A0DA6">
        <w:rPr>
          <w:rFonts w:ascii="Cambria" w:eastAsia="Times New Roman" w:hAnsi="Cambria" w:cstheme="minorHAnsi"/>
          <w:b/>
          <w:spacing w:val="-2"/>
        </w:rPr>
        <w:t>n</w:t>
      </w:r>
      <w:r w:rsidRPr="009A0DA6">
        <w:rPr>
          <w:rFonts w:ascii="Cambria" w:eastAsia="Times New Roman" w:hAnsi="Cambria" w:cstheme="minorHAnsi"/>
          <w:b/>
        </w:rPr>
        <w:t>g</w:t>
      </w:r>
      <w:r w:rsidRPr="009A0DA6">
        <w:rPr>
          <w:rFonts w:ascii="Cambria" w:eastAsia="Times New Roman" w:hAnsi="Cambria" w:cstheme="minorHAnsi"/>
          <w:b/>
          <w:spacing w:val="1"/>
        </w:rPr>
        <w:t xml:space="preserve"> </w:t>
      </w:r>
      <w:r w:rsidRPr="009A0DA6">
        <w:rPr>
          <w:rFonts w:ascii="Cambria" w:eastAsia="Times New Roman" w:hAnsi="Cambria" w:cstheme="minorHAnsi"/>
          <w:b/>
          <w:spacing w:val="1"/>
        </w:rPr>
        <w:tab/>
      </w:r>
      <w:r w:rsidRPr="009A0DA6">
        <w:rPr>
          <w:rFonts w:ascii="Cambria" w:eastAsia="Times New Roman" w:hAnsi="Cambria" w:cstheme="minorHAnsi"/>
          <w:b/>
          <w:w w:val="107"/>
        </w:rPr>
        <w:t>Consolidated</w:t>
      </w:r>
    </w:p>
    <w:p w14:paraId="170924C0" w14:textId="77777777" w:rsidR="00BA4592" w:rsidRPr="009A0DA6" w:rsidRDefault="00BA4592" w:rsidP="00BA4592">
      <w:pPr>
        <w:tabs>
          <w:tab w:val="right" w:pos="4536"/>
          <w:tab w:val="right" w:pos="5954"/>
          <w:tab w:val="right" w:pos="7371"/>
          <w:tab w:val="right" w:pos="8789"/>
        </w:tabs>
        <w:spacing w:before="120" w:after="120" w:line="240" w:lineRule="auto"/>
        <w:ind w:right="-91"/>
        <w:contextualSpacing/>
        <w:rPr>
          <w:rFonts w:ascii="Cambria" w:eastAsia="Times New Roman" w:hAnsi="Cambria" w:cstheme="minorHAnsi"/>
          <w:b/>
        </w:rPr>
      </w:pPr>
      <w:r w:rsidRPr="009A0DA6">
        <w:rPr>
          <w:rFonts w:ascii="Cambria" w:eastAsia="Times New Roman" w:hAnsi="Cambria" w:cstheme="minorHAnsi"/>
          <w:b/>
          <w:spacing w:val="-1"/>
          <w:w w:val="116"/>
        </w:rPr>
        <w:t>Income</w:t>
      </w:r>
      <w:r w:rsidRPr="009A0DA6">
        <w:rPr>
          <w:rFonts w:ascii="Cambria" w:eastAsia="Times New Roman" w:hAnsi="Cambria" w:cstheme="minorHAnsi"/>
          <w:b/>
          <w:w w:val="99"/>
        </w:rPr>
        <w:tab/>
      </w:r>
      <w:r w:rsidRPr="009A0DA6">
        <w:rPr>
          <w:rFonts w:ascii="Cambria" w:eastAsia="Times New Roman" w:hAnsi="Cambria" w:cstheme="minorHAnsi"/>
          <w:b/>
        </w:rPr>
        <w:t>$</w:t>
      </w:r>
      <w:r w:rsidRPr="009A0DA6">
        <w:rPr>
          <w:rFonts w:ascii="Cambria" w:eastAsia="Times New Roman" w:hAnsi="Cambria" w:cstheme="minorHAnsi"/>
          <w:b/>
        </w:rPr>
        <w:tab/>
        <w:t>$</w:t>
      </w:r>
      <w:r w:rsidRPr="009A0DA6">
        <w:rPr>
          <w:rFonts w:ascii="Cambria" w:eastAsia="Times New Roman" w:hAnsi="Cambria" w:cstheme="minorHAnsi"/>
          <w:b/>
        </w:rPr>
        <w:tab/>
        <w:t>$</w:t>
      </w:r>
      <w:r w:rsidRPr="009A0DA6">
        <w:rPr>
          <w:rFonts w:ascii="Cambria" w:eastAsia="Times New Roman" w:hAnsi="Cambria" w:cstheme="minorHAnsi"/>
          <w:b/>
        </w:rPr>
        <w:tab/>
        <w:t>$</w:t>
      </w:r>
    </w:p>
    <w:p w14:paraId="54D39159" w14:textId="77777777" w:rsidR="00BA4592" w:rsidRPr="009A0DA6" w:rsidRDefault="00BA4592" w:rsidP="00BA4592">
      <w:pPr>
        <w:tabs>
          <w:tab w:val="right" w:pos="4536"/>
          <w:tab w:val="right" w:pos="5954"/>
          <w:tab w:val="right" w:pos="7371"/>
          <w:tab w:val="right" w:pos="8789"/>
        </w:tabs>
        <w:spacing w:before="120" w:after="120" w:line="240" w:lineRule="auto"/>
        <w:ind w:right="-91"/>
        <w:contextualSpacing/>
        <w:rPr>
          <w:rFonts w:ascii="Cambria" w:eastAsia="Times New Roman" w:hAnsi="Cambria" w:cstheme="minorHAnsi"/>
        </w:rPr>
      </w:pPr>
      <w:r w:rsidRPr="009A0DA6">
        <w:rPr>
          <w:rFonts w:ascii="Cambria" w:eastAsia="Times New Roman" w:hAnsi="Cambria" w:cstheme="minorHAnsi"/>
          <w:spacing w:val="-2"/>
        </w:rPr>
        <w:t>A</w:t>
      </w:r>
      <w:r w:rsidRPr="009A0DA6">
        <w:rPr>
          <w:rFonts w:ascii="Cambria" w:eastAsia="Times New Roman" w:hAnsi="Cambria" w:cstheme="minorHAnsi"/>
          <w:spacing w:val="1"/>
        </w:rPr>
        <w:t>pp</w:t>
      </w:r>
      <w:r w:rsidRPr="009A0DA6">
        <w:rPr>
          <w:rFonts w:ascii="Cambria" w:eastAsia="Times New Roman" w:hAnsi="Cambria" w:cstheme="minorHAnsi"/>
        </w:rPr>
        <w:t>eal</w:t>
      </w:r>
      <w:r w:rsidRPr="009A0DA6">
        <w:rPr>
          <w:rFonts w:ascii="Cambria" w:eastAsia="Times New Roman" w:hAnsi="Cambria" w:cstheme="minorHAnsi"/>
          <w:spacing w:val="-1"/>
        </w:rPr>
        <w:t>s</w:t>
      </w:r>
      <w:r w:rsidRPr="009A0DA6">
        <w:rPr>
          <w:rFonts w:ascii="Cambria" w:eastAsia="Times New Roman" w:hAnsi="Cambria" w:cstheme="minorHAnsi"/>
        </w:rPr>
        <w:t>,</w:t>
      </w:r>
      <w:r w:rsidRPr="009A0DA6">
        <w:rPr>
          <w:rFonts w:ascii="Cambria" w:eastAsia="Times New Roman" w:hAnsi="Cambria" w:cstheme="minorHAnsi"/>
          <w:spacing w:val="-6"/>
        </w:rPr>
        <w:t xml:space="preserve"> </w:t>
      </w:r>
      <w:r w:rsidRPr="009A0DA6">
        <w:rPr>
          <w:rFonts w:ascii="Cambria" w:eastAsia="Times New Roman" w:hAnsi="Cambria" w:cstheme="minorHAnsi"/>
          <w:spacing w:val="1"/>
        </w:rPr>
        <w:t>do</w:t>
      </w:r>
      <w:r w:rsidRPr="009A0DA6">
        <w:rPr>
          <w:rFonts w:ascii="Cambria" w:eastAsia="Times New Roman" w:hAnsi="Cambria" w:cstheme="minorHAnsi"/>
          <w:spacing w:val="-1"/>
        </w:rPr>
        <w:t>n</w:t>
      </w:r>
      <w:r w:rsidRPr="009A0DA6">
        <w:rPr>
          <w:rFonts w:ascii="Cambria" w:eastAsia="Times New Roman" w:hAnsi="Cambria" w:cstheme="minorHAnsi"/>
        </w:rPr>
        <w:t>ati</w:t>
      </w:r>
      <w:r w:rsidRPr="009A0DA6">
        <w:rPr>
          <w:rFonts w:ascii="Cambria" w:eastAsia="Times New Roman" w:hAnsi="Cambria" w:cstheme="minorHAnsi"/>
          <w:spacing w:val="1"/>
        </w:rPr>
        <w:t>on</w:t>
      </w:r>
      <w:r w:rsidRPr="009A0DA6">
        <w:rPr>
          <w:rFonts w:ascii="Cambria" w:eastAsia="Times New Roman" w:hAnsi="Cambria" w:cstheme="minorHAnsi"/>
        </w:rPr>
        <w:t>s</w:t>
      </w:r>
      <w:r w:rsidRPr="009A0DA6">
        <w:rPr>
          <w:rFonts w:ascii="Cambria" w:eastAsia="Times New Roman" w:hAnsi="Cambria" w:cstheme="minorHAnsi"/>
          <w:spacing w:val="-8"/>
        </w:rPr>
        <w:t xml:space="preserve"> </w:t>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spacing w:val="-1"/>
        </w:rPr>
        <w:t xml:space="preserve"> </w:t>
      </w:r>
      <w:r w:rsidRPr="009A0DA6">
        <w:rPr>
          <w:rFonts w:ascii="Cambria" w:eastAsia="Times New Roman" w:hAnsi="Cambria" w:cstheme="minorHAnsi"/>
          <w:spacing w:val="1"/>
        </w:rPr>
        <w:t>b</w:t>
      </w:r>
      <w:r w:rsidRPr="009A0DA6">
        <w:rPr>
          <w:rFonts w:ascii="Cambria" w:eastAsia="Times New Roman" w:hAnsi="Cambria" w:cstheme="minorHAnsi"/>
        </w:rPr>
        <w:t>e</w:t>
      </w:r>
      <w:r w:rsidRPr="009A0DA6">
        <w:rPr>
          <w:rFonts w:ascii="Cambria" w:eastAsia="Times New Roman" w:hAnsi="Cambria" w:cstheme="minorHAnsi"/>
          <w:spacing w:val="1"/>
        </w:rPr>
        <w:t>q</w:t>
      </w:r>
      <w:r w:rsidRPr="009A0DA6">
        <w:rPr>
          <w:rFonts w:ascii="Cambria" w:eastAsia="Times New Roman" w:hAnsi="Cambria" w:cstheme="minorHAnsi"/>
          <w:spacing w:val="-1"/>
        </w:rPr>
        <w:t>u</w:t>
      </w:r>
      <w:r w:rsidRPr="009A0DA6">
        <w:rPr>
          <w:rFonts w:ascii="Cambria" w:eastAsia="Times New Roman" w:hAnsi="Cambria" w:cstheme="minorHAnsi"/>
          <w:spacing w:val="3"/>
        </w:rPr>
        <w:t>e</w:t>
      </w:r>
      <w:r w:rsidRPr="009A0DA6">
        <w:rPr>
          <w:rFonts w:ascii="Cambria" w:eastAsia="Times New Roman" w:hAnsi="Cambria" w:cstheme="minorHAnsi"/>
          <w:spacing w:val="-1"/>
        </w:rPr>
        <w:t>s</w:t>
      </w:r>
      <w:r w:rsidRPr="009A0DA6">
        <w:rPr>
          <w:rFonts w:ascii="Cambria" w:eastAsia="Times New Roman" w:hAnsi="Cambria" w:cstheme="minorHAnsi"/>
        </w:rPr>
        <w:t>ts</w:t>
      </w:r>
      <w:r w:rsidRPr="009A0DA6">
        <w:rPr>
          <w:rFonts w:ascii="Cambria" w:eastAsia="Times New Roman" w:hAnsi="Cambria" w:cstheme="minorHAnsi"/>
        </w:rPr>
        <w:tab/>
      </w:r>
      <w:r w:rsidRPr="009A0DA6">
        <w:rPr>
          <w:rFonts w:ascii="Cambria" w:eastAsia="Times New Roman" w:hAnsi="Cambria" w:cstheme="minorHAnsi"/>
          <w:spacing w:val="1"/>
        </w:rPr>
        <w:t>600,</w:t>
      </w:r>
      <w:r w:rsidRPr="009A0DA6">
        <w:rPr>
          <w:rFonts w:ascii="Cambria" w:eastAsia="Times New Roman" w:hAnsi="Cambria" w:cstheme="minorHAnsi"/>
          <w:spacing w:val="-1"/>
        </w:rPr>
        <w:t>4</w:t>
      </w:r>
      <w:r w:rsidRPr="009A0DA6">
        <w:rPr>
          <w:rFonts w:ascii="Cambria" w:eastAsia="Times New Roman" w:hAnsi="Cambria" w:cstheme="minorHAnsi"/>
          <w:spacing w:val="1"/>
        </w:rPr>
        <w:t>8</w:t>
      </w:r>
      <w:r w:rsidRPr="009A0DA6">
        <w:rPr>
          <w:rFonts w:ascii="Cambria" w:eastAsia="Times New Roman" w:hAnsi="Cambria" w:cstheme="minorHAnsi"/>
        </w:rPr>
        <w:t>7</w:t>
      </w:r>
      <w:r w:rsidRPr="009A0DA6">
        <w:rPr>
          <w:rFonts w:ascii="Cambria" w:eastAsia="Times New Roman" w:hAnsi="Cambria" w:cstheme="minorHAnsi"/>
        </w:rPr>
        <w:tab/>
      </w:r>
      <w:r w:rsidRPr="009A0DA6">
        <w:rPr>
          <w:rFonts w:ascii="Cambria" w:eastAsia="Times New Roman" w:hAnsi="Cambria" w:cstheme="minorHAnsi"/>
          <w:spacing w:val="1"/>
        </w:rPr>
        <w:t>1,52</w:t>
      </w:r>
      <w:r w:rsidRPr="009A0DA6">
        <w:rPr>
          <w:rFonts w:ascii="Cambria" w:eastAsia="Times New Roman" w:hAnsi="Cambria" w:cstheme="minorHAnsi"/>
          <w:spacing w:val="-1"/>
        </w:rPr>
        <w:t>6</w:t>
      </w:r>
      <w:r w:rsidRPr="009A0DA6">
        <w:rPr>
          <w:rFonts w:ascii="Cambria" w:eastAsia="Times New Roman" w:hAnsi="Cambria" w:cstheme="minorHAnsi"/>
          <w:spacing w:val="1"/>
        </w:rPr>
        <w:t>,6</w:t>
      </w:r>
      <w:r w:rsidRPr="009A0DA6">
        <w:rPr>
          <w:rFonts w:ascii="Cambria" w:eastAsia="Times New Roman" w:hAnsi="Cambria" w:cstheme="minorHAnsi"/>
          <w:spacing w:val="-1"/>
        </w:rPr>
        <w:t>4</w:t>
      </w:r>
      <w:r w:rsidRPr="009A0DA6">
        <w:rPr>
          <w:rFonts w:ascii="Cambria" w:eastAsia="Times New Roman" w:hAnsi="Cambria" w:cstheme="minorHAnsi"/>
        </w:rPr>
        <w:t>6</w:t>
      </w:r>
      <w:r w:rsidRPr="009A0DA6">
        <w:rPr>
          <w:rFonts w:ascii="Cambria" w:hAnsi="Cambria" w:cstheme="minorHAnsi"/>
        </w:rPr>
        <w:tab/>
      </w:r>
      <w:r w:rsidRPr="009A0DA6">
        <w:rPr>
          <w:rFonts w:ascii="Cambria" w:eastAsia="Times New Roman" w:hAnsi="Cambria" w:cstheme="minorHAnsi"/>
          <w:w w:val="99"/>
        </w:rPr>
        <w:t>0</w:t>
      </w:r>
      <w:r w:rsidRPr="009A0DA6">
        <w:rPr>
          <w:rFonts w:ascii="Cambria" w:eastAsia="Times New Roman" w:hAnsi="Cambria" w:cstheme="minorHAnsi"/>
        </w:rPr>
        <w:tab/>
      </w:r>
      <w:r w:rsidRPr="009A0DA6">
        <w:rPr>
          <w:rFonts w:ascii="Cambria" w:eastAsia="Times New Roman" w:hAnsi="Cambria" w:cstheme="minorHAnsi"/>
          <w:spacing w:val="1"/>
        </w:rPr>
        <w:t>2,12</w:t>
      </w:r>
      <w:r w:rsidRPr="009A0DA6">
        <w:rPr>
          <w:rFonts w:ascii="Cambria" w:eastAsia="Times New Roman" w:hAnsi="Cambria" w:cstheme="minorHAnsi"/>
          <w:spacing w:val="-1"/>
        </w:rPr>
        <w:t>7</w:t>
      </w:r>
      <w:r w:rsidRPr="009A0DA6">
        <w:rPr>
          <w:rFonts w:ascii="Cambria" w:eastAsia="Times New Roman" w:hAnsi="Cambria" w:cstheme="minorHAnsi"/>
          <w:spacing w:val="1"/>
        </w:rPr>
        <w:t>,1</w:t>
      </w:r>
      <w:r w:rsidRPr="009A0DA6">
        <w:rPr>
          <w:rFonts w:ascii="Cambria" w:eastAsia="Times New Roman" w:hAnsi="Cambria" w:cstheme="minorHAnsi"/>
          <w:spacing w:val="-1"/>
        </w:rPr>
        <w:t>3</w:t>
      </w:r>
      <w:r w:rsidRPr="009A0DA6">
        <w:rPr>
          <w:rFonts w:ascii="Cambria" w:eastAsia="Times New Roman" w:hAnsi="Cambria" w:cstheme="minorHAnsi"/>
        </w:rPr>
        <w:t>3</w:t>
      </w:r>
    </w:p>
    <w:p w14:paraId="537BD4A1" w14:textId="77777777" w:rsidR="00BA4592" w:rsidRPr="009A0DA6" w:rsidRDefault="00BA4592" w:rsidP="00BA4592">
      <w:pPr>
        <w:tabs>
          <w:tab w:val="right" w:pos="4536"/>
          <w:tab w:val="right" w:pos="5954"/>
          <w:tab w:val="right" w:pos="7371"/>
          <w:tab w:val="right" w:pos="8789"/>
        </w:tabs>
        <w:spacing w:before="120" w:after="120" w:line="240" w:lineRule="auto"/>
        <w:ind w:right="-20"/>
        <w:contextualSpacing/>
        <w:rPr>
          <w:rFonts w:ascii="Cambria" w:eastAsia="Times New Roman" w:hAnsi="Cambria" w:cstheme="minorHAnsi"/>
        </w:rPr>
      </w:pPr>
      <w:r w:rsidRPr="009A0DA6">
        <w:rPr>
          <w:rFonts w:ascii="Cambria" w:eastAsia="Times New Roman" w:hAnsi="Cambria" w:cstheme="minorHAnsi"/>
          <w:spacing w:val="1"/>
        </w:rPr>
        <w:t>I</w:t>
      </w:r>
      <w:r w:rsidRPr="009A0DA6">
        <w:rPr>
          <w:rFonts w:ascii="Cambria" w:eastAsia="Times New Roman" w:hAnsi="Cambria" w:cstheme="minorHAnsi"/>
          <w:spacing w:val="-1"/>
        </w:rPr>
        <w:t>nv</w:t>
      </w:r>
      <w:r w:rsidRPr="009A0DA6">
        <w:rPr>
          <w:rFonts w:ascii="Cambria" w:eastAsia="Times New Roman" w:hAnsi="Cambria" w:cstheme="minorHAnsi"/>
          <w:spacing w:val="3"/>
        </w:rPr>
        <w:t>e</w:t>
      </w:r>
      <w:r w:rsidRPr="009A0DA6">
        <w:rPr>
          <w:rFonts w:ascii="Cambria" w:eastAsia="Times New Roman" w:hAnsi="Cambria" w:cstheme="minorHAnsi"/>
          <w:spacing w:val="-1"/>
        </w:rPr>
        <w:t>s</w:t>
      </w:r>
      <w:r w:rsidRPr="009A0DA6">
        <w:rPr>
          <w:rFonts w:ascii="Cambria" w:eastAsia="Times New Roman" w:hAnsi="Cambria" w:cstheme="minorHAnsi"/>
          <w:spacing w:val="2"/>
        </w:rPr>
        <w:t>t</w:t>
      </w:r>
      <w:r w:rsidRPr="009A0DA6">
        <w:rPr>
          <w:rFonts w:ascii="Cambria" w:eastAsia="Times New Roman" w:hAnsi="Cambria" w:cstheme="minorHAnsi"/>
          <w:spacing w:val="-4"/>
        </w:rPr>
        <w:t>m</w:t>
      </w:r>
      <w:r w:rsidRPr="009A0DA6">
        <w:rPr>
          <w:rFonts w:ascii="Cambria" w:eastAsia="Times New Roman" w:hAnsi="Cambria" w:cstheme="minorHAnsi"/>
          <w:spacing w:val="3"/>
        </w:rPr>
        <w:t>e</w:t>
      </w:r>
      <w:r w:rsidRPr="009A0DA6">
        <w:rPr>
          <w:rFonts w:ascii="Cambria" w:eastAsia="Times New Roman" w:hAnsi="Cambria" w:cstheme="minorHAnsi"/>
          <w:spacing w:val="-1"/>
        </w:rPr>
        <w:t>n</w:t>
      </w:r>
      <w:r w:rsidRPr="009A0DA6">
        <w:rPr>
          <w:rFonts w:ascii="Cambria" w:eastAsia="Times New Roman" w:hAnsi="Cambria" w:cstheme="minorHAnsi"/>
        </w:rPr>
        <w:t>t</w:t>
      </w:r>
      <w:r w:rsidRPr="009A0DA6">
        <w:rPr>
          <w:rFonts w:ascii="Cambria" w:eastAsia="Times New Roman" w:hAnsi="Cambria" w:cstheme="minorHAnsi"/>
          <w:spacing w:val="-9"/>
        </w:rPr>
        <w:t xml:space="preserve"> </w:t>
      </w:r>
      <w:r w:rsidRPr="009A0DA6">
        <w:rPr>
          <w:rFonts w:ascii="Cambria" w:eastAsia="Times New Roman" w:hAnsi="Cambria" w:cstheme="minorHAnsi"/>
          <w:spacing w:val="3"/>
        </w:rPr>
        <w:t>a</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spacing w:val="-1"/>
        </w:rPr>
        <w:t xml:space="preserve"> </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1"/>
        </w:rPr>
        <w:t>n</w:t>
      </w:r>
      <w:r w:rsidRPr="009A0DA6">
        <w:rPr>
          <w:rFonts w:ascii="Cambria" w:eastAsia="Times New Roman" w:hAnsi="Cambria" w:cstheme="minorHAnsi"/>
        </w:rPr>
        <w:t>tal</w:t>
      </w:r>
      <w:r w:rsidRPr="009A0DA6">
        <w:rPr>
          <w:rFonts w:ascii="Cambria" w:eastAsia="Times New Roman" w:hAnsi="Cambria" w:cstheme="minorHAnsi"/>
          <w:spacing w:val="-5"/>
        </w:rPr>
        <w:t xml:space="preserve"> </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rPr>
        <w:t>c</w:t>
      </w:r>
      <w:r w:rsidRPr="009A0DA6">
        <w:rPr>
          <w:rFonts w:ascii="Cambria" w:eastAsia="Times New Roman" w:hAnsi="Cambria" w:cstheme="minorHAnsi"/>
          <w:spacing w:val="4"/>
        </w:rPr>
        <w:t>o</w:t>
      </w:r>
      <w:r w:rsidRPr="009A0DA6">
        <w:rPr>
          <w:rFonts w:ascii="Cambria" w:eastAsia="Times New Roman" w:hAnsi="Cambria" w:cstheme="minorHAnsi"/>
          <w:spacing w:val="-4"/>
        </w:rPr>
        <w:t>m</w:t>
      </w:r>
      <w:r w:rsidRPr="009A0DA6">
        <w:rPr>
          <w:rFonts w:ascii="Cambria" w:eastAsia="Times New Roman" w:hAnsi="Cambria" w:cstheme="minorHAnsi"/>
        </w:rPr>
        <w:t>e</w:t>
      </w:r>
      <w:r w:rsidRPr="009A0DA6">
        <w:rPr>
          <w:rFonts w:ascii="Cambria" w:eastAsia="Times New Roman" w:hAnsi="Cambria" w:cstheme="minorHAnsi"/>
        </w:rPr>
        <w:tab/>
      </w:r>
      <w:r w:rsidRPr="009A0DA6">
        <w:rPr>
          <w:rFonts w:ascii="Cambria" w:eastAsia="Times New Roman" w:hAnsi="Cambria" w:cstheme="minorHAnsi"/>
          <w:spacing w:val="1"/>
        </w:rPr>
        <w:t>285,</w:t>
      </w:r>
      <w:r w:rsidRPr="009A0DA6">
        <w:rPr>
          <w:rFonts w:ascii="Cambria" w:eastAsia="Times New Roman" w:hAnsi="Cambria" w:cstheme="minorHAnsi"/>
          <w:spacing w:val="-1"/>
        </w:rPr>
        <w:t>1</w:t>
      </w:r>
      <w:r w:rsidRPr="009A0DA6">
        <w:rPr>
          <w:rFonts w:ascii="Cambria" w:eastAsia="Times New Roman" w:hAnsi="Cambria" w:cstheme="minorHAnsi"/>
          <w:spacing w:val="1"/>
        </w:rPr>
        <w:t>0</w:t>
      </w:r>
      <w:r w:rsidRPr="009A0DA6">
        <w:rPr>
          <w:rFonts w:ascii="Cambria" w:eastAsia="Times New Roman" w:hAnsi="Cambria" w:cstheme="minorHAnsi"/>
        </w:rPr>
        <w:t>2</w:t>
      </w:r>
      <w:r w:rsidRPr="009A0DA6">
        <w:rPr>
          <w:rFonts w:ascii="Cambria" w:eastAsia="Times New Roman" w:hAnsi="Cambria" w:cstheme="minorHAnsi"/>
        </w:rPr>
        <w:tab/>
      </w:r>
      <w:r w:rsidRPr="009A0DA6">
        <w:rPr>
          <w:rFonts w:ascii="Cambria" w:eastAsia="Times New Roman" w:hAnsi="Cambria" w:cstheme="minorHAnsi"/>
          <w:spacing w:val="1"/>
        </w:rPr>
        <w:t>130,</w:t>
      </w:r>
      <w:r w:rsidRPr="009A0DA6">
        <w:rPr>
          <w:rFonts w:ascii="Cambria" w:eastAsia="Times New Roman" w:hAnsi="Cambria" w:cstheme="minorHAnsi"/>
          <w:spacing w:val="-1"/>
        </w:rPr>
        <w:t>6</w:t>
      </w:r>
      <w:r w:rsidRPr="009A0DA6">
        <w:rPr>
          <w:rFonts w:ascii="Cambria" w:eastAsia="Times New Roman" w:hAnsi="Cambria" w:cstheme="minorHAnsi"/>
          <w:spacing w:val="1"/>
        </w:rPr>
        <w:t>7</w:t>
      </w:r>
      <w:r w:rsidRPr="009A0DA6">
        <w:rPr>
          <w:rFonts w:ascii="Cambria" w:eastAsia="Times New Roman" w:hAnsi="Cambria" w:cstheme="minorHAnsi"/>
        </w:rPr>
        <w:t>3</w:t>
      </w:r>
      <w:r w:rsidRPr="009A0DA6">
        <w:rPr>
          <w:rFonts w:ascii="Cambria" w:eastAsia="Times New Roman" w:hAnsi="Cambria" w:cstheme="minorHAnsi"/>
        </w:rPr>
        <w:tab/>
      </w:r>
      <w:r w:rsidRPr="009A0DA6">
        <w:rPr>
          <w:rFonts w:ascii="Cambria" w:eastAsia="Times New Roman" w:hAnsi="Cambria" w:cstheme="minorHAnsi"/>
          <w:w w:val="99"/>
        </w:rPr>
        <w:t>0</w:t>
      </w:r>
      <w:r w:rsidRPr="009A0DA6">
        <w:rPr>
          <w:rFonts w:ascii="Cambria" w:eastAsia="Times New Roman" w:hAnsi="Cambria" w:cstheme="minorHAnsi"/>
        </w:rPr>
        <w:tab/>
      </w:r>
      <w:r w:rsidRPr="009A0DA6">
        <w:rPr>
          <w:rFonts w:ascii="Cambria" w:eastAsia="Times New Roman" w:hAnsi="Cambria" w:cstheme="minorHAnsi"/>
          <w:spacing w:val="1"/>
        </w:rPr>
        <w:t>415,</w:t>
      </w:r>
      <w:r w:rsidRPr="009A0DA6">
        <w:rPr>
          <w:rFonts w:ascii="Cambria" w:eastAsia="Times New Roman" w:hAnsi="Cambria" w:cstheme="minorHAnsi"/>
          <w:spacing w:val="-1"/>
        </w:rPr>
        <w:t>7</w:t>
      </w:r>
      <w:r w:rsidRPr="009A0DA6">
        <w:rPr>
          <w:rFonts w:ascii="Cambria" w:eastAsia="Times New Roman" w:hAnsi="Cambria" w:cstheme="minorHAnsi"/>
          <w:spacing w:val="1"/>
        </w:rPr>
        <w:t>7</w:t>
      </w:r>
      <w:r w:rsidRPr="009A0DA6">
        <w:rPr>
          <w:rFonts w:ascii="Cambria" w:eastAsia="Times New Roman" w:hAnsi="Cambria" w:cstheme="minorHAnsi"/>
        </w:rPr>
        <w:t>5</w:t>
      </w:r>
    </w:p>
    <w:p w14:paraId="50990166" w14:textId="77777777" w:rsidR="00BA4592" w:rsidRPr="009A0DA6" w:rsidRDefault="00BA4592" w:rsidP="00BA4592">
      <w:pPr>
        <w:tabs>
          <w:tab w:val="right" w:pos="4536"/>
          <w:tab w:val="right" w:pos="5954"/>
          <w:tab w:val="right" w:pos="7371"/>
          <w:tab w:val="right" w:pos="8789"/>
        </w:tabs>
        <w:spacing w:before="120" w:after="120" w:line="240" w:lineRule="auto"/>
        <w:ind w:right="22"/>
        <w:contextualSpacing/>
        <w:rPr>
          <w:rFonts w:ascii="Cambria" w:eastAsia="Times New Roman" w:hAnsi="Cambria" w:cstheme="minorHAnsi"/>
        </w:rPr>
      </w:pPr>
      <w:r w:rsidRPr="009A0DA6">
        <w:rPr>
          <w:rFonts w:ascii="Cambria" w:eastAsia="Times New Roman" w:hAnsi="Cambria" w:cstheme="minorHAnsi"/>
          <w:spacing w:val="-2"/>
        </w:rPr>
        <w:t>L</w:t>
      </w:r>
      <w:r w:rsidRPr="009A0DA6">
        <w:rPr>
          <w:rFonts w:ascii="Cambria" w:eastAsia="Times New Roman" w:hAnsi="Cambria" w:cstheme="minorHAnsi"/>
          <w:spacing w:val="2"/>
        </w:rPr>
        <w:t>C</w:t>
      </w:r>
      <w:r w:rsidRPr="009A0DA6">
        <w:rPr>
          <w:rFonts w:ascii="Cambria" w:eastAsia="Times New Roman" w:hAnsi="Cambria" w:cstheme="minorHAnsi"/>
        </w:rPr>
        <w:t>A</w:t>
      </w:r>
      <w:r w:rsidRPr="009A0DA6">
        <w:rPr>
          <w:rFonts w:ascii="Cambria" w:eastAsia="Times New Roman" w:hAnsi="Cambria" w:cstheme="minorHAnsi"/>
          <w:spacing w:val="-3"/>
        </w:rPr>
        <w:t xml:space="preserve"> </w:t>
      </w:r>
      <w:r w:rsidRPr="009A0DA6">
        <w:rPr>
          <w:rFonts w:ascii="Cambria" w:eastAsia="Times New Roman" w:hAnsi="Cambria" w:cstheme="minorHAnsi"/>
        </w:rPr>
        <w:t>all</w:t>
      </w:r>
      <w:r w:rsidRPr="009A0DA6">
        <w:rPr>
          <w:rFonts w:ascii="Cambria" w:eastAsia="Times New Roman" w:hAnsi="Cambria" w:cstheme="minorHAnsi"/>
          <w:spacing w:val="1"/>
        </w:rPr>
        <w:t>o</w:t>
      </w:r>
      <w:r w:rsidRPr="009A0DA6">
        <w:rPr>
          <w:rFonts w:ascii="Cambria" w:eastAsia="Times New Roman" w:hAnsi="Cambria" w:cstheme="minorHAnsi"/>
        </w:rPr>
        <w:t>cati</w:t>
      </w:r>
      <w:r w:rsidRPr="009A0DA6">
        <w:rPr>
          <w:rFonts w:ascii="Cambria" w:eastAsia="Times New Roman" w:hAnsi="Cambria" w:cstheme="minorHAnsi"/>
          <w:spacing w:val="1"/>
        </w:rPr>
        <w:t>on</w:t>
      </w:r>
      <w:r w:rsidRPr="009A0DA6">
        <w:rPr>
          <w:rFonts w:ascii="Cambria" w:eastAsia="Times New Roman" w:hAnsi="Cambria" w:cstheme="minorHAnsi"/>
        </w:rPr>
        <w:t>s</w:t>
      </w:r>
      <w:r w:rsidRPr="009A0DA6">
        <w:rPr>
          <w:rFonts w:ascii="Cambria" w:eastAsia="Times New Roman" w:hAnsi="Cambria" w:cstheme="minorHAnsi"/>
          <w:spacing w:val="-9"/>
        </w:rPr>
        <w:t xml:space="preserve"> </w:t>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spacing w:val="-1"/>
        </w:rPr>
        <w:t xml:space="preserve"> </w:t>
      </w:r>
      <w:r w:rsidRPr="009A0DA6">
        <w:rPr>
          <w:rFonts w:ascii="Cambria" w:eastAsia="Times New Roman" w:hAnsi="Cambria" w:cstheme="minorHAnsi"/>
        </w:rPr>
        <w:t>i</w:t>
      </w:r>
      <w:r w:rsidRPr="009A0DA6">
        <w:rPr>
          <w:rFonts w:ascii="Cambria" w:eastAsia="Times New Roman" w:hAnsi="Cambria" w:cstheme="minorHAnsi"/>
          <w:spacing w:val="1"/>
        </w:rPr>
        <w:t>n</w:t>
      </w:r>
      <w:r w:rsidRPr="009A0DA6">
        <w:rPr>
          <w:rFonts w:ascii="Cambria" w:eastAsia="Times New Roman" w:hAnsi="Cambria" w:cstheme="minorHAnsi"/>
        </w:rPr>
        <w:t>te</w:t>
      </w:r>
      <w:r w:rsidRPr="009A0DA6">
        <w:rPr>
          <w:rFonts w:ascii="Cambria" w:eastAsia="Times New Roman" w:hAnsi="Cambria" w:cstheme="minorHAnsi"/>
          <w:spacing w:val="1"/>
        </w:rPr>
        <w:t>r</w:t>
      </w:r>
      <w:r w:rsidRPr="009A0DA6">
        <w:rPr>
          <w:rFonts w:ascii="Cambria" w:eastAsia="Times New Roman" w:hAnsi="Cambria" w:cstheme="minorHAnsi"/>
          <w:spacing w:val="-1"/>
        </w:rPr>
        <w:t>n</w:t>
      </w:r>
      <w:r w:rsidRPr="009A0DA6">
        <w:rPr>
          <w:rFonts w:ascii="Cambria" w:eastAsia="Times New Roman" w:hAnsi="Cambria" w:cstheme="minorHAnsi"/>
        </w:rPr>
        <w:t>al</w:t>
      </w:r>
      <w:r w:rsidRPr="009A0DA6">
        <w:rPr>
          <w:rFonts w:ascii="Cambria" w:eastAsia="Times New Roman" w:hAnsi="Cambria" w:cstheme="minorHAnsi"/>
          <w:spacing w:val="-6"/>
        </w:rPr>
        <w:t xml:space="preserve"> </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rPr>
        <w:t>c</w:t>
      </w:r>
      <w:r w:rsidRPr="009A0DA6">
        <w:rPr>
          <w:rFonts w:ascii="Cambria" w:eastAsia="Times New Roman" w:hAnsi="Cambria" w:cstheme="minorHAnsi"/>
          <w:spacing w:val="4"/>
        </w:rPr>
        <w:t>o</w:t>
      </w:r>
      <w:r w:rsidRPr="009A0DA6">
        <w:rPr>
          <w:rFonts w:ascii="Cambria" w:eastAsia="Times New Roman" w:hAnsi="Cambria" w:cstheme="minorHAnsi"/>
          <w:spacing w:val="-4"/>
        </w:rPr>
        <w:t>m</w:t>
      </w:r>
      <w:r w:rsidRPr="009A0DA6">
        <w:rPr>
          <w:rFonts w:ascii="Cambria" w:eastAsia="Times New Roman" w:hAnsi="Cambria" w:cstheme="minorHAnsi"/>
        </w:rPr>
        <w:t>e</w:t>
      </w:r>
      <w:r w:rsidRPr="009A0DA6">
        <w:rPr>
          <w:rFonts w:ascii="Cambria" w:eastAsia="Times New Roman" w:hAnsi="Cambria" w:cstheme="minorHAnsi"/>
        </w:rPr>
        <w:tab/>
      </w:r>
      <w:r w:rsidRPr="009A0DA6">
        <w:rPr>
          <w:rFonts w:ascii="Cambria" w:eastAsia="Times New Roman" w:hAnsi="Cambria" w:cstheme="minorHAnsi"/>
          <w:spacing w:val="1"/>
        </w:rPr>
        <w:t>51,3</w:t>
      </w:r>
      <w:r w:rsidRPr="009A0DA6">
        <w:rPr>
          <w:rFonts w:ascii="Cambria" w:eastAsia="Times New Roman" w:hAnsi="Cambria" w:cstheme="minorHAnsi"/>
          <w:spacing w:val="-1"/>
        </w:rPr>
        <w:t>2</w:t>
      </w:r>
      <w:r w:rsidRPr="009A0DA6">
        <w:rPr>
          <w:rFonts w:ascii="Cambria" w:eastAsia="Times New Roman" w:hAnsi="Cambria" w:cstheme="minorHAnsi"/>
        </w:rPr>
        <w:t>5</w:t>
      </w:r>
      <w:r w:rsidRPr="009A0DA6">
        <w:rPr>
          <w:rFonts w:ascii="Cambria" w:eastAsia="Times New Roman" w:hAnsi="Cambria" w:cstheme="minorHAnsi"/>
        </w:rPr>
        <w:tab/>
      </w:r>
      <w:r w:rsidRPr="009A0DA6">
        <w:rPr>
          <w:rFonts w:ascii="Cambria" w:eastAsia="Times New Roman" w:hAnsi="Cambria" w:cstheme="minorHAnsi"/>
          <w:spacing w:val="1"/>
        </w:rPr>
        <w:t>1,28</w:t>
      </w:r>
      <w:r w:rsidRPr="009A0DA6">
        <w:rPr>
          <w:rFonts w:ascii="Cambria" w:eastAsia="Times New Roman" w:hAnsi="Cambria" w:cstheme="minorHAnsi"/>
          <w:spacing w:val="-1"/>
        </w:rPr>
        <w:t>8</w:t>
      </w:r>
      <w:r w:rsidRPr="009A0DA6">
        <w:rPr>
          <w:rFonts w:ascii="Cambria" w:eastAsia="Times New Roman" w:hAnsi="Cambria" w:cstheme="minorHAnsi"/>
          <w:spacing w:val="1"/>
        </w:rPr>
        <w:t>,4</w:t>
      </w:r>
      <w:r w:rsidRPr="009A0DA6">
        <w:rPr>
          <w:rFonts w:ascii="Cambria" w:eastAsia="Times New Roman" w:hAnsi="Cambria" w:cstheme="minorHAnsi"/>
          <w:spacing w:val="-1"/>
        </w:rPr>
        <w:t>6</w:t>
      </w:r>
      <w:r w:rsidRPr="009A0DA6">
        <w:rPr>
          <w:rFonts w:ascii="Cambria" w:eastAsia="Times New Roman" w:hAnsi="Cambria" w:cstheme="minorHAnsi"/>
        </w:rPr>
        <w:t>6</w:t>
      </w:r>
      <w:r w:rsidRPr="009A0DA6">
        <w:rPr>
          <w:rFonts w:ascii="Cambria" w:eastAsia="Times New Roman" w:hAnsi="Cambria" w:cstheme="minorHAnsi"/>
        </w:rPr>
        <w:tab/>
      </w:r>
      <w:r w:rsidRPr="009A0DA6">
        <w:rPr>
          <w:rFonts w:ascii="Cambria" w:eastAsia="Times New Roman" w:hAnsi="Cambria" w:cstheme="minorHAnsi"/>
          <w:spacing w:val="1"/>
        </w:rPr>
        <w:t>(1,3</w:t>
      </w:r>
      <w:r w:rsidRPr="009A0DA6">
        <w:rPr>
          <w:rFonts w:ascii="Cambria" w:eastAsia="Times New Roman" w:hAnsi="Cambria" w:cstheme="minorHAnsi"/>
          <w:spacing w:val="-1"/>
        </w:rPr>
        <w:t>3</w:t>
      </w:r>
      <w:r w:rsidRPr="009A0DA6">
        <w:rPr>
          <w:rFonts w:ascii="Cambria" w:eastAsia="Times New Roman" w:hAnsi="Cambria" w:cstheme="minorHAnsi"/>
          <w:spacing w:val="1"/>
        </w:rPr>
        <w:t>9,</w:t>
      </w:r>
      <w:r w:rsidRPr="009A0DA6">
        <w:rPr>
          <w:rFonts w:ascii="Cambria" w:eastAsia="Times New Roman" w:hAnsi="Cambria" w:cstheme="minorHAnsi"/>
          <w:spacing w:val="-1"/>
        </w:rPr>
        <w:t>7</w:t>
      </w:r>
      <w:r w:rsidRPr="009A0DA6">
        <w:rPr>
          <w:rFonts w:ascii="Cambria" w:eastAsia="Times New Roman" w:hAnsi="Cambria" w:cstheme="minorHAnsi"/>
          <w:spacing w:val="1"/>
        </w:rPr>
        <w:t>91</w:t>
      </w:r>
      <w:r w:rsidRPr="009A0DA6">
        <w:rPr>
          <w:rFonts w:ascii="Cambria" w:eastAsia="Times New Roman" w:hAnsi="Cambria" w:cstheme="minorHAnsi"/>
        </w:rPr>
        <w:t>)</w:t>
      </w:r>
      <w:r w:rsidRPr="009A0DA6">
        <w:rPr>
          <w:rFonts w:ascii="Cambria" w:eastAsia="Times New Roman" w:hAnsi="Cambria" w:cstheme="minorHAnsi"/>
        </w:rPr>
        <w:tab/>
      </w:r>
      <w:r w:rsidRPr="009A0DA6">
        <w:rPr>
          <w:rFonts w:ascii="Cambria" w:eastAsia="Times New Roman" w:hAnsi="Cambria" w:cstheme="minorHAnsi"/>
          <w:w w:val="99"/>
        </w:rPr>
        <w:t>0</w:t>
      </w:r>
    </w:p>
    <w:p w14:paraId="18D788E3" w14:textId="77777777" w:rsidR="00BA4592" w:rsidRPr="009A0DA6" w:rsidRDefault="00BA4592" w:rsidP="00BA4592">
      <w:pPr>
        <w:tabs>
          <w:tab w:val="right" w:pos="4536"/>
          <w:tab w:val="right" w:pos="5954"/>
          <w:tab w:val="right" w:pos="7371"/>
          <w:tab w:val="right" w:pos="8789"/>
        </w:tabs>
        <w:spacing w:before="120" w:after="120" w:line="240" w:lineRule="auto"/>
        <w:ind w:right="-20"/>
        <w:contextualSpacing/>
        <w:rPr>
          <w:rFonts w:ascii="Cambria" w:eastAsia="Times New Roman" w:hAnsi="Cambria" w:cstheme="minorHAnsi"/>
        </w:rPr>
      </w:pPr>
      <w:r w:rsidRPr="009A0DA6">
        <w:rPr>
          <w:rFonts w:ascii="Cambria" w:eastAsia="Times New Roman" w:hAnsi="Cambria" w:cstheme="minorHAnsi"/>
          <w:spacing w:val="1"/>
        </w:rPr>
        <w:t>L</w:t>
      </w:r>
      <w:r w:rsidRPr="009A0DA6">
        <w:rPr>
          <w:rFonts w:ascii="Cambria" w:eastAsia="Times New Roman" w:hAnsi="Cambria" w:cstheme="minorHAnsi"/>
          <w:spacing w:val="-1"/>
        </w:rPr>
        <w:t>u</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1"/>
        </w:rPr>
        <w:t>r</w:t>
      </w:r>
      <w:r w:rsidRPr="009A0DA6">
        <w:rPr>
          <w:rFonts w:ascii="Cambria" w:eastAsia="Times New Roman" w:hAnsi="Cambria" w:cstheme="minorHAnsi"/>
          <w:spacing w:val="3"/>
        </w:rPr>
        <w:t>a</w:t>
      </w:r>
      <w:r w:rsidRPr="009A0DA6">
        <w:rPr>
          <w:rFonts w:ascii="Cambria" w:eastAsia="Times New Roman" w:hAnsi="Cambria" w:cstheme="minorHAnsi"/>
        </w:rPr>
        <w:t>n</w:t>
      </w:r>
      <w:r w:rsidRPr="009A0DA6">
        <w:rPr>
          <w:rFonts w:ascii="Cambria" w:eastAsia="Times New Roman" w:hAnsi="Cambria" w:cstheme="minorHAnsi"/>
          <w:spacing w:val="-8"/>
        </w:rPr>
        <w:t xml:space="preserve"> </w:t>
      </w:r>
      <w:r w:rsidRPr="009A0DA6">
        <w:rPr>
          <w:rFonts w:ascii="Cambria" w:eastAsia="Times New Roman" w:hAnsi="Cambria" w:cstheme="minorHAnsi"/>
          <w:spacing w:val="2"/>
        </w:rPr>
        <w:t>C</w:t>
      </w:r>
      <w:r w:rsidRPr="009A0DA6">
        <w:rPr>
          <w:rFonts w:ascii="Cambria" w:eastAsia="Times New Roman" w:hAnsi="Cambria" w:cstheme="minorHAnsi"/>
          <w:spacing w:val="1"/>
        </w:rPr>
        <w:t>h</w:t>
      </w:r>
      <w:r w:rsidRPr="009A0DA6">
        <w:rPr>
          <w:rFonts w:ascii="Cambria" w:eastAsia="Times New Roman" w:hAnsi="Cambria" w:cstheme="minorHAnsi"/>
          <w:spacing w:val="-1"/>
        </w:rPr>
        <w:t>u</w:t>
      </w:r>
      <w:r w:rsidRPr="009A0DA6">
        <w:rPr>
          <w:rFonts w:ascii="Cambria" w:eastAsia="Times New Roman" w:hAnsi="Cambria" w:cstheme="minorHAnsi"/>
          <w:spacing w:val="1"/>
        </w:rPr>
        <w:t>r</w:t>
      </w:r>
      <w:r w:rsidRPr="009A0DA6">
        <w:rPr>
          <w:rFonts w:ascii="Cambria" w:eastAsia="Times New Roman" w:hAnsi="Cambria" w:cstheme="minorHAnsi"/>
        </w:rPr>
        <w:t>ch</w:t>
      </w:r>
      <w:r w:rsidRPr="009A0DA6">
        <w:rPr>
          <w:rFonts w:ascii="Cambria" w:eastAsia="Times New Roman" w:hAnsi="Cambria" w:cstheme="minorHAnsi"/>
          <w:spacing w:val="-7"/>
        </w:rPr>
        <w:t xml:space="preserve"> </w:t>
      </w:r>
      <w:r w:rsidRPr="009A0DA6">
        <w:rPr>
          <w:rFonts w:ascii="Cambria" w:eastAsia="Times New Roman" w:hAnsi="Cambria" w:cstheme="minorHAnsi"/>
          <w:spacing w:val="-1"/>
        </w:rPr>
        <w:t>g</w:t>
      </w:r>
      <w:r w:rsidRPr="009A0DA6">
        <w:rPr>
          <w:rFonts w:ascii="Cambria" w:eastAsia="Times New Roman" w:hAnsi="Cambria" w:cstheme="minorHAnsi"/>
          <w:spacing w:val="1"/>
        </w:rPr>
        <w:t>r</w:t>
      </w:r>
      <w:r w:rsidRPr="009A0DA6">
        <w:rPr>
          <w:rFonts w:ascii="Cambria" w:eastAsia="Times New Roman" w:hAnsi="Cambria" w:cstheme="minorHAnsi"/>
          <w:spacing w:val="4"/>
        </w:rPr>
        <w:t>o</w:t>
      </w:r>
      <w:r w:rsidRPr="009A0DA6">
        <w:rPr>
          <w:rFonts w:ascii="Cambria" w:eastAsia="Times New Roman" w:hAnsi="Cambria" w:cstheme="minorHAnsi"/>
          <w:spacing w:val="-1"/>
        </w:rPr>
        <w:t>u</w:t>
      </w:r>
      <w:r w:rsidRPr="009A0DA6">
        <w:rPr>
          <w:rFonts w:ascii="Cambria" w:eastAsia="Times New Roman" w:hAnsi="Cambria" w:cstheme="minorHAnsi"/>
        </w:rPr>
        <w:t>p</w:t>
      </w:r>
      <w:r w:rsidRPr="009A0DA6">
        <w:rPr>
          <w:rFonts w:ascii="Cambria" w:eastAsia="Times New Roman" w:hAnsi="Cambria" w:cstheme="minorHAnsi"/>
          <w:spacing w:val="-3"/>
        </w:rPr>
        <w:t xml:space="preserve"> </w:t>
      </w:r>
      <w:r w:rsidRPr="009A0DA6">
        <w:rPr>
          <w:rFonts w:ascii="Cambria" w:eastAsia="Times New Roman" w:hAnsi="Cambria" w:cstheme="minorHAnsi"/>
        </w:rPr>
        <w:t>i</w:t>
      </w:r>
      <w:r w:rsidRPr="009A0DA6">
        <w:rPr>
          <w:rFonts w:ascii="Cambria" w:eastAsia="Times New Roman" w:hAnsi="Cambria" w:cstheme="minorHAnsi"/>
          <w:spacing w:val="-1"/>
        </w:rPr>
        <w:t>n</w:t>
      </w:r>
      <w:r w:rsidRPr="009A0DA6">
        <w:rPr>
          <w:rFonts w:ascii="Cambria" w:eastAsia="Times New Roman" w:hAnsi="Cambria" w:cstheme="minorHAnsi"/>
        </w:rPr>
        <w:t>c</w:t>
      </w:r>
      <w:r w:rsidRPr="009A0DA6">
        <w:rPr>
          <w:rFonts w:ascii="Cambria" w:eastAsia="Times New Roman" w:hAnsi="Cambria" w:cstheme="minorHAnsi"/>
          <w:spacing w:val="4"/>
        </w:rPr>
        <w:t>o</w:t>
      </w:r>
      <w:r w:rsidRPr="009A0DA6">
        <w:rPr>
          <w:rFonts w:ascii="Cambria" w:eastAsia="Times New Roman" w:hAnsi="Cambria" w:cstheme="minorHAnsi"/>
          <w:spacing w:val="-1"/>
        </w:rPr>
        <w:t>m</w:t>
      </w:r>
      <w:r w:rsidRPr="009A0DA6">
        <w:rPr>
          <w:rFonts w:ascii="Cambria" w:eastAsia="Times New Roman" w:hAnsi="Cambria" w:cstheme="minorHAnsi"/>
        </w:rPr>
        <w:t>e</w:t>
      </w:r>
      <w:r w:rsidRPr="009A0DA6">
        <w:rPr>
          <w:rFonts w:ascii="Cambria" w:eastAsia="Times New Roman" w:hAnsi="Cambria" w:cstheme="minorHAnsi"/>
        </w:rPr>
        <w:tab/>
      </w:r>
      <w:r w:rsidRPr="009A0DA6">
        <w:rPr>
          <w:rFonts w:ascii="Cambria" w:eastAsia="Times New Roman" w:hAnsi="Cambria" w:cstheme="minorHAnsi"/>
          <w:spacing w:val="1"/>
        </w:rPr>
        <w:t>8,30</w:t>
      </w:r>
      <w:r w:rsidRPr="009A0DA6">
        <w:rPr>
          <w:rFonts w:ascii="Cambria" w:eastAsia="Times New Roman" w:hAnsi="Cambria" w:cstheme="minorHAnsi"/>
          <w:spacing w:val="-1"/>
        </w:rPr>
        <w:t>9</w:t>
      </w:r>
      <w:r w:rsidRPr="009A0DA6">
        <w:rPr>
          <w:rFonts w:ascii="Cambria" w:eastAsia="Times New Roman" w:hAnsi="Cambria" w:cstheme="minorHAnsi"/>
          <w:spacing w:val="1"/>
        </w:rPr>
        <w:t>,7</w:t>
      </w:r>
      <w:r w:rsidRPr="009A0DA6">
        <w:rPr>
          <w:rFonts w:ascii="Cambria" w:eastAsia="Times New Roman" w:hAnsi="Cambria" w:cstheme="minorHAnsi"/>
          <w:spacing w:val="-1"/>
        </w:rPr>
        <w:t>8</w:t>
      </w:r>
      <w:r w:rsidRPr="009A0DA6">
        <w:rPr>
          <w:rFonts w:ascii="Cambria" w:eastAsia="Times New Roman" w:hAnsi="Cambria" w:cstheme="minorHAnsi"/>
        </w:rPr>
        <w:t>6</w:t>
      </w:r>
      <w:r w:rsidRPr="009A0DA6">
        <w:rPr>
          <w:rFonts w:ascii="Cambria" w:eastAsia="Times New Roman" w:hAnsi="Cambria" w:cstheme="minorHAnsi"/>
        </w:rPr>
        <w:tab/>
      </w:r>
      <w:r w:rsidRPr="009A0DA6">
        <w:rPr>
          <w:rFonts w:ascii="Cambria" w:eastAsia="Times New Roman" w:hAnsi="Cambria" w:cstheme="minorHAnsi"/>
          <w:spacing w:val="1"/>
        </w:rPr>
        <w:t>1,20</w:t>
      </w:r>
      <w:r w:rsidRPr="009A0DA6">
        <w:rPr>
          <w:rFonts w:ascii="Cambria" w:eastAsia="Times New Roman" w:hAnsi="Cambria" w:cstheme="minorHAnsi"/>
          <w:spacing w:val="-1"/>
        </w:rPr>
        <w:t>1</w:t>
      </w:r>
      <w:r w:rsidRPr="009A0DA6">
        <w:rPr>
          <w:rFonts w:ascii="Cambria" w:eastAsia="Times New Roman" w:hAnsi="Cambria" w:cstheme="minorHAnsi"/>
          <w:spacing w:val="1"/>
        </w:rPr>
        <w:t>,4</w:t>
      </w:r>
      <w:r w:rsidRPr="009A0DA6">
        <w:rPr>
          <w:rFonts w:ascii="Cambria" w:eastAsia="Times New Roman" w:hAnsi="Cambria" w:cstheme="minorHAnsi"/>
          <w:spacing w:val="-1"/>
        </w:rPr>
        <w:t>0</w:t>
      </w:r>
      <w:r w:rsidRPr="009A0DA6">
        <w:rPr>
          <w:rFonts w:ascii="Cambria" w:eastAsia="Times New Roman" w:hAnsi="Cambria" w:cstheme="minorHAnsi"/>
        </w:rPr>
        <w:t>7</w:t>
      </w:r>
      <w:r w:rsidRPr="009A0DA6">
        <w:rPr>
          <w:rFonts w:ascii="Cambria" w:hAnsi="Cambria" w:cstheme="minorHAnsi"/>
        </w:rPr>
        <w:tab/>
      </w:r>
      <w:r w:rsidRPr="009A0DA6">
        <w:rPr>
          <w:rFonts w:ascii="Cambria" w:eastAsia="Times New Roman" w:hAnsi="Cambria" w:cstheme="minorHAnsi"/>
          <w:w w:val="99"/>
        </w:rPr>
        <w:t>0</w:t>
      </w:r>
      <w:r w:rsidRPr="009A0DA6">
        <w:rPr>
          <w:rFonts w:ascii="Cambria" w:hAnsi="Cambria" w:cstheme="minorHAnsi"/>
        </w:rPr>
        <w:tab/>
      </w:r>
      <w:r w:rsidRPr="009A0DA6">
        <w:rPr>
          <w:rFonts w:ascii="Cambria" w:eastAsia="Times New Roman" w:hAnsi="Cambria" w:cstheme="minorHAnsi"/>
          <w:spacing w:val="1"/>
        </w:rPr>
        <w:t>9,51</w:t>
      </w:r>
      <w:r w:rsidRPr="009A0DA6">
        <w:rPr>
          <w:rFonts w:ascii="Cambria" w:eastAsia="Times New Roman" w:hAnsi="Cambria" w:cstheme="minorHAnsi"/>
          <w:spacing w:val="-1"/>
        </w:rPr>
        <w:t>1</w:t>
      </w:r>
      <w:r w:rsidRPr="009A0DA6">
        <w:rPr>
          <w:rFonts w:ascii="Cambria" w:eastAsia="Times New Roman" w:hAnsi="Cambria" w:cstheme="minorHAnsi"/>
          <w:spacing w:val="1"/>
        </w:rPr>
        <w:t>,1</w:t>
      </w:r>
      <w:r w:rsidRPr="009A0DA6">
        <w:rPr>
          <w:rFonts w:ascii="Cambria" w:eastAsia="Times New Roman" w:hAnsi="Cambria" w:cstheme="minorHAnsi"/>
          <w:spacing w:val="-1"/>
        </w:rPr>
        <w:t>9</w:t>
      </w:r>
      <w:r w:rsidRPr="009A0DA6">
        <w:rPr>
          <w:rFonts w:ascii="Cambria" w:eastAsia="Times New Roman" w:hAnsi="Cambria" w:cstheme="minorHAnsi"/>
        </w:rPr>
        <w:t>3</w:t>
      </w:r>
    </w:p>
    <w:p w14:paraId="1FAB3659" w14:textId="77777777" w:rsidR="00BA4592" w:rsidRPr="009A0DA6" w:rsidRDefault="00BA4592" w:rsidP="00BA4592">
      <w:pPr>
        <w:tabs>
          <w:tab w:val="right" w:pos="4536"/>
          <w:tab w:val="right" w:pos="5954"/>
          <w:tab w:val="right" w:pos="7371"/>
          <w:tab w:val="right" w:pos="8789"/>
        </w:tabs>
        <w:spacing w:before="120" w:after="120" w:line="240" w:lineRule="auto"/>
        <w:ind w:right="-20"/>
        <w:contextualSpacing/>
        <w:rPr>
          <w:rFonts w:ascii="Cambria" w:eastAsia="Times New Roman" w:hAnsi="Cambria" w:cstheme="minorHAnsi"/>
        </w:rPr>
      </w:pP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2"/>
        </w:rPr>
        <w:t>i</w:t>
      </w:r>
      <w:r w:rsidRPr="009A0DA6">
        <w:rPr>
          <w:rFonts w:ascii="Cambria" w:eastAsia="Times New Roman" w:hAnsi="Cambria" w:cstheme="minorHAnsi"/>
          <w:spacing w:val="-4"/>
        </w:rPr>
        <w:t>m</w:t>
      </w:r>
      <w:r w:rsidRPr="009A0DA6">
        <w:rPr>
          <w:rFonts w:ascii="Cambria" w:eastAsia="Times New Roman" w:hAnsi="Cambria" w:cstheme="minorHAnsi"/>
          <w:spacing w:val="4"/>
        </w:rPr>
        <w:t>b</w:t>
      </w:r>
      <w:r w:rsidRPr="009A0DA6">
        <w:rPr>
          <w:rFonts w:ascii="Cambria" w:eastAsia="Times New Roman" w:hAnsi="Cambria" w:cstheme="minorHAnsi"/>
          <w:spacing w:val="-1"/>
        </w:rPr>
        <w:t>u</w:t>
      </w:r>
      <w:r w:rsidRPr="009A0DA6">
        <w:rPr>
          <w:rFonts w:ascii="Cambria" w:eastAsia="Times New Roman" w:hAnsi="Cambria" w:cstheme="minorHAnsi"/>
          <w:spacing w:val="1"/>
        </w:rPr>
        <w:t>r</w:t>
      </w:r>
      <w:r w:rsidRPr="009A0DA6">
        <w:rPr>
          <w:rFonts w:ascii="Cambria" w:eastAsia="Times New Roman" w:hAnsi="Cambria" w:cstheme="minorHAnsi"/>
          <w:spacing w:val="-1"/>
        </w:rPr>
        <w:t>s</w:t>
      </w:r>
      <w:r w:rsidRPr="009A0DA6">
        <w:rPr>
          <w:rFonts w:ascii="Cambria" w:eastAsia="Times New Roman" w:hAnsi="Cambria" w:cstheme="minorHAnsi"/>
          <w:spacing w:val="3"/>
        </w:rPr>
        <w:t>e</w:t>
      </w:r>
      <w:r w:rsidRPr="009A0DA6">
        <w:rPr>
          <w:rFonts w:ascii="Cambria" w:eastAsia="Times New Roman" w:hAnsi="Cambria" w:cstheme="minorHAnsi"/>
          <w:spacing w:val="-1"/>
        </w:rPr>
        <w:t>m</w:t>
      </w:r>
      <w:r w:rsidRPr="009A0DA6">
        <w:rPr>
          <w:rFonts w:ascii="Cambria" w:eastAsia="Times New Roman" w:hAnsi="Cambria" w:cstheme="minorHAnsi"/>
          <w:spacing w:val="3"/>
        </w:rPr>
        <w:t>e</w:t>
      </w:r>
      <w:r w:rsidRPr="009A0DA6">
        <w:rPr>
          <w:rFonts w:ascii="Cambria" w:eastAsia="Times New Roman" w:hAnsi="Cambria" w:cstheme="minorHAnsi"/>
          <w:spacing w:val="-1"/>
        </w:rPr>
        <w:t>n</w:t>
      </w:r>
      <w:r w:rsidRPr="009A0DA6">
        <w:rPr>
          <w:rFonts w:ascii="Cambria" w:eastAsia="Times New Roman" w:hAnsi="Cambria" w:cstheme="minorHAnsi"/>
        </w:rPr>
        <w:t>ts</w:t>
      </w:r>
      <w:r w:rsidRPr="009A0DA6">
        <w:rPr>
          <w:rFonts w:ascii="Cambria" w:eastAsia="Times New Roman" w:hAnsi="Cambria" w:cstheme="minorHAnsi"/>
        </w:rPr>
        <w:tab/>
      </w:r>
      <w:r w:rsidRPr="009A0DA6">
        <w:rPr>
          <w:rFonts w:ascii="Cambria" w:eastAsia="Times New Roman" w:hAnsi="Cambria" w:cstheme="minorHAnsi"/>
          <w:spacing w:val="1"/>
        </w:rPr>
        <w:t>114,</w:t>
      </w:r>
      <w:r w:rsidRPr="009A0DA6">
        <w:rPr>
          <w:rFonts w:ascii="Cambria" w:eastAsia="Times New Roman" w:hAnsi="Cambria" w:cstheme="minorHAnsi"/>
          <w:spacing w:val="-1"/>
        </w:rPr>
        <w:t>1</w:t>
      </w:r>
      <w:r w:rsidRPr="009A0DA6">
        <w:rPr>
          <w:rFonts w:ascii="Cambria" w:eastAsia="Times New Roman" w:hAnsi="Cambria" w:cstheme="minorHAnsi"/>
          <w:spacing w:val="1"/>
        </w:rPr>
        <w:t>2</w:t>
      </w:r>
      <w:r w:rsidRPr="009A0DA6">
        <w:rPr>
          <w:rFonts w:ascii="Cambria" w:eastAsia="Times New Roman" w:hAnsi="Cambria" w:cstheme="minorHAnsi"/>
        </w:rPr>
        <w:t>0</w:t>
      </w:r>
      <w:r w:rsidRPr="009A0DA6">
        <w:rPr>
          <w:rFonts w:ascii="Cambria" w:hAnsi="Cambria" w:cstheme="minorHAnsi"/>
        </w:rPr>
        <w:tab/>
      </w:r>
      <w:r w:rsidRPr="009A0DA6">
        <w:rPr>
          <w:rFonts w:ascii="Cambria" w:eastAsia="Times New Roman" w:hAnsi="Cambria" w:cstheme="minorHAnsi"/>
          <w:spacing w:val="1"/>
        </w:rPr>
        <w:t>167,</w:t>
      </w:r>
      <w:r w:rsidRPr="009A0DA6">
        <w:rPr>
          <w:rFonts w:ascii="Cambria" w:eastAsia="Times New Roman" w:hAnsi="Cambria" w:cstheme="minorHAnsi"/>
          <w:spacing w:val="-1"/>
        </w:rPr>
        <w:t>3</w:t>
      </w:r>
      <w:r w:rsidRPr="009A0DA6">
        <w:rPr>
          <w:rFonts w:ascii="Cambria" w:eastAsia="Times New Roman" w:hAnsi="Cambria" w:cstheme="minorHAnsi"/>
          <w:spacing w:val="1"/>
        </w:rPr>
        <w:t>8</w:t>
      </w:r>
      <w:r w:rsidRPr="009A0DA6">
        <w:rPr>
          <w:rFonts w:ascii="Cambria" w:eastAsia="Times New Roman" w:hAnsi="Cambria" w:cstheme="minorHAnsi"/>
        </w:rPr>
        <w:t>4</w:t>
      </w:r>
      <w:r w:rsidRPr="009A0DA6">
        <w:rPr>
          <w:rFonts w:ascii="Cambria" w:eastAsia="Times New Roman" w:hAnsi="Cambria" w:cstheme="minorHAnsi"/>
        </w:rPr>
        <w:tab/>
      </w:r>
      <w:r w:rsidRPr="009A0DA6">
        <w:rPr>
          <w:rFonts w:ascii="Cambria" w:eastAsia="Times New Roman" w:hAnsi="Cambria" w:cstheme="minorHAnsi"/>
          <w:spacing w:val="1"/>
        </w:rPr>
        <w:t>(3,0</w:t>
      </w:r>
      <w:r w:rsidRPr="009A0DA6">
        <w:rPr>
          <w:rFonts w:ascii="Cambria" w:eastAsia="Times New Roman" w:hAnsi="Cambria" w:cstheme="minorHAnsi"/>
          <w:spacing w:val="-1"/>
        </w:rPr>
        <w:t>0</w:t>
      </w:r>
      <w:r w:rsidRPr="009A0DA6">
        <w:rPr>
          <w:rFonts w:ascii="Cambria" w:eastAsia="Times New Roman" w:hAnsi="Cambria" w:cstheme="minorHAnsi"/>
          <w:spacing w:val="1"/>
        </w:rPr>
        <w:t>0</w:t>
      </w:r>
      <w:r w:rsidRPr="009A0DA6">
        <w:rPr>
          <w:rFonts w:ascii="Cambria" w:eastAsia="Times New Roman" w:hAnsi="Cambria" w:cstheme="minorHAnsi"/>
        </w:rPr>
        <w:t>)</w:t>
      </w:r>
      <w:r w:rsidRPr="009A0DA6">
        <w:rPr>
          <w:rFonts w:ascii="Cambria" w:eastAsia="Times New Roman" w:hAnsi="Cambria" w:cstheme="minorHAnsi"/>
        </w:rPr>
        <w:tab/>
      </w:r>
      <w:r w:rsidRPr="009A0DA6">
        <w:rPr>
          <w:rFonts w:ascii="Cambria" w:eastAsia="Times New Roman" w:hAnsi="Cambria" w:cstheme="minorHAnsi"/>
          <w:spacing w:val="1"/>
        </w:rPr>
        <w:t>278,</w:t>
      </w:r>
      <w:r w:rsidRPr="009A0DA6">
        <w:rPr>
          <w:rFonts w:ascii="Cambria" w:eastAsia="Times New Roman" w:hAnsi="Cambria" w:cstheme="minorHAnsi"/>
          <w:spacing w:val="-1"/>
        </w:rPr>
        <w:t>5</w:t>
      </w:r>
      <w:r w:rsidRPr="009A0DA6">
        <w:rPr>
          <w:rFonts w:ascii="Cambria" w:eastAsia="Times New Roman" w:hAnsi="Cambria" w:cstheme="minorHAnsi"/>
          <w:spacing w:val="1"/>
        </w:rPr>
        <w:t>0</w:t>
      </w:r>
      <w:r w:rsidRPr="009A0DA6">
        <w:rPr>
          <w:rFonts w:ascii="Cambria" w:eastAsia="Times New Roman" w:hAnsi="Cambria" w:cstheme="minorHAnsi"/>
        </w:rPr>
        <w:t>4</w:t>
      </w:r>
    </w:p>
    <w:p w14:paraId="0650AB8F" w14:textId="77777777" w:rsidR="00BA4592" w:rsidRPr="009A0DA6" w:rsidRDefault="00BA4592" w:rsidP="00BA4592">
      <w:pPr>
        <w:tabs>
          <w:tab w:val="right" w:pos="4536"/>
          <w:tab w:val="right" w:pos="5954"/>
          <w:tab w:val="right" w:pos="7371"/>
          <w:tab w:val="right" w:pos="8789"/>
        </w:tabs>
        <w:spacing w:before="120" w:after="120" w:line="240" w:lineRule="auto"/>
        <w:ind w:right="-20"/>
        <w:contextualSpacing/>
        <w:rPr>
          <w:rFonts w:ascii="Cambria" w:eastAsia="Times New Roman" w:hAnsi="Cambria" w:cstheme="minorHAnsi"/>
        </w:rPr>
      </w:pPr>
      <w:r w:rsidRPr="009A0DA6">
        <w:rPr>
          <w:rFonts w:ascii="Cambria" w:eastAsia="Times New Roman" w:hAnsi="Cambria" w:cstheme="minorHAnsi"/>
          <w:spacing w:val="3"/>
        </w:rPr>
        <w:t>T</w:t>
      </w:r>
      <w:r w:rsidRPr="009A0DA6">
        <w:rPr>
          <w:rFonts w:ascii="Cambria" w:eastAsia="Times New Roman" w:hAnsi="Cambria" w:cstheme="minorHAnsi"/>
          <w:spacing w:val="1"/>
        </w:rPr>
        <w:t>r</w:t>
      </w:r>
      <w:r w:rsidRPr="009A0DA6">
        <w:rPr>
          <w:rFonts w:ascii="Cambria" w:eastAsia="Times New Roman" w:hAnsi="Cambria" w:cstheme="minorHAnsi"/>
          <w:spacing w:val="-2"/>
        </w:rPr>
        <w:t>a</w:t>
      </w:r>
      <w:r w:rsidRPr="009A0DA6">
        <w:rPr>
          <w:rFonts w:ascii="Cambria" w:eastAsia="Times New Roman" w:hAnsi="Cambria" w:cstheme="minorHAnsi"/>
          <w:spacing w:val="1"/>
        </w:rPr>
        <w:t>d</w:t>
      </w:r>
      <w:r w:rsidRPr="009A0DA6">
        <w:rPr>
          <w:rFonts w:ascii="Cambria" w:eastAsia="Times New Roman" w:hAnsi="Cambria" w:cstheme="minorHAnsi"/>
        </w:rPr>
        <w:t>i</w:t>
      </w:r>
      <w:r w:rsidRPr="009A0DA6">
        <w:rPr>
          <w:rFonts w:ascii="Cambria" w:eastAsia="Times New Roman" w:hAnsi="Cambria" w:cstheme="minorHAnsi"/>
          <w:spacing w:val="-1"/>
        </w:rPr>
        <w:t>n</w:t>
      </w:r>
      <w:r w:rsidRPr="009A0DA6">
        <w:rPr>
          <w:rFonts w:ascii="Cambria" w:eastAsia="Times New Roman" w:hAnsi="Cambria" w:cstheme="minorHAnsi"/>
        </w:rPr>
        <w:t>g</w:t>
      </w:r>
      <w:r w:rsidRPr="009A0DA6">
        <w:rPr>
          <w:rFonts w:ascii="Cambria" w:eastAsia="Times New Roman" w:hAnsi="Cambria" w:cstheme="minorHAnsi"/>
          <w:spacing w:val="-7"/>
        </w:rPr>
        <w:t xml:space="preserve"> </w:t>
      </w:r>
      <w:r w:rsidRPr="009A0DA6">
        <w:rPr>
          <w:rFonts w:ascii="Cambria" w:eastAsia="Times New Roman" w:hAnsi="Cambria" w:cstheme="minorHAnsi"/>
          <w:spacing w:val="1"/>
        </w:rPr>
        <w:t>I</w:t>
      </w:r>
      <w:r w:rsidRPr="009A0DA6">
        <w:rPr>
          <w:rFonts w:ascii="Cambria" w:eastAsia="Times New Roman" w:hAnsi="Cambria" w:cstheme="minorHAnsi"/>
          <w:spacing w:val="-1"/>
        </w:rPr>
        <w:t>n</w:t>
      </w:r>
      <w:r w:rsidRPr="009A0DA6">
        <w:rPr>
          <w:rFonts w:ascii="Cambria" w:eastAsia="Times New Roman" w:hAnsi="Cambria" w:cstheme="minorHAnsi"/>
        </w:rPr>
        <w:t>c</w:t>
      </w:r>
      <w:r w:rsidRPr="009A0DA6">
        <w:rPr>
          <w:rFonts w:ascii="Cambria" w:eastAsia="Times New Roman" w:hAnsi="Cambria" w:cstheme="minorHAnsi"/>
          <w:spacing w:val="4"/>
        </w:rPr>
        <w:t>o</w:t>
      </w:r>
      <w:r w:rsidRPr="009A0DA6">
        <w:rPr>
          <w:rFonts w:ascii="Cambria" w:eastAsia="Times New Roman" w:hAnsi="Cambria" w:cstheme="minorHAnsi"/>
          <w:spacing w:val="-1"/>
        </w:rPr>
        <w:t>m</w:t>
      </w:r>
      <w:r w:rsidRPr="009A0DA6">
        <w:rPr>
          <w:rFonts w:ascii="Cambria" w:eastAsia="Times New Roman" w:hAnsi="Cambria" w:cstheme="minorHAnsi"/>
        </w:rPr>
        <w:t>e</w:t>
      </w:r>
      <w:r w:rsidRPr="009A0DA6">
        <w:rPr>
          <w:rFonts w:ascii="Cambria" w:eastAsia="Times New Roman" w:hAnsi="Cambria" w:cstheme="minorHAnsi"/>
        </w:rPr>
        <w:tab/>
      </w:r>
      <w:r w:rsidRPr="009A0DA6">
        <w:rPr>
          <w:rFonts w:ascii="Cambria" w:eastAsia="Times New Roman" w:hAnsi="Cambria" w:cstheme="minorHAnsi"/>
          <w:spacing w:val="1"/>
        </w:rPr>
        <w:t>332,</w:t>
      </w:r>
      <w:r w:rsidRPr="009A0DA6">
        <w:rPr>
          <w:rFonts w:ascii="Cambria" w:eastAsia="Times New Roman" w:hAnsi="Cambria" w:cstheme="minorHAnsi"/>
          <w:spacing w:val="-1"/>
        </w:rPr>
        <w:t>7</w:t>
      </w:r>
      <w:r w:rsidRPr="009A0DA6">
        <w:rPr>
          <w:rFonts w:ascii="Cambria" w:eastAsia="Times New Roman" w:hAnsi="Cambria" w:cstheme="minorHAnsi"/>
          <w:spacing w:val="1"/>
        </w:rPr>
        <w:t>3</w:t>
      </w:r>
      <w:r w:rsidRPr="009A0DA6">
        <w:rPr>
          <w:rFonts w:ascii="Cambria" w:eastAsia="Times New Roman" w:hAnsi="Cambria" w:cstheme="minorHAnsi"/>
        </w:rPr>
        <w:t>8</w:t>
      </w:r>
      <w:r w:rsidRPr="009A0DA6">
        <w:rPr>
          <w:rFonts w:ascii="Cambria" w:eastAsia="Times New Roman" w:hAnsi="Cambria" w:cstheme="minorHAnsi"/>
        </w:rPr>
        <w:tab/>
      </w:r>
      <w:r w:rsidRPr="009A0DA6">
        <w:rPr>
          <w:rFonts w:ascii="Cambria" w:eastAsia="Times New Roman" w:hAnsi="Cambria" w:cstheme="minorHAnsi"/>
          <w:spacing w:val="1"/>
        </w:rPr>
        <w:t>122,</w:t>
      </w:r>
      <w:r w:rsidRPr="009A0DA6">
        <w:rPr>
          <w:rFonts w:ascii="Cambria" w:eastAsia="Times New Roman" w:hAnsi="Cambria" w:cstheme="minorHAnsi"/>
          <w:spacing w:val="-1"/>
        </w:rPr>
        <w:t>1</w:t>
      </w:r>
      <w:r w:rsidRPr="009A0DA6">
        <w:rPr>
          <w:rFonts w:ascii="Cambria" w:eastAsia="Times New Roman" w:hAnsi="Cambria" w:cstheme="minorHAnsi"/>
          <w:spacing w:val="1"/>
        </w:rPr>
        <w:t>2</w:t>
      </w:r>
      <w:r w:rsidRPr="009A0DA6">
        <w:rPr>
          <w:rFonts w:ascii="Cambria" w:eastAsia="Times New Roman" w:hAnsi="Cambria" w:cstheme="minorHAnsi"/>
        </w:rPr>
        <w:t>9</w:t>
      </w:r>
      <w:r w:rsidRPr="009A0DA6">
        <w:rPr>
          <w:rFonts w:ascii="Cambria" w:eastAsia="Times New Roman" w:hAnsi="Cambria" w:cstheme="minorHAnsi"/>
        </w:rPr>
        <w:tab/>
      </w:r>
      <w:r w:rsidRPr="009A0DA6">
        <w:rPr>
          <w:rFonts w:ascii="Cambria" w:eastAsia="Times New Roman" w:hAnsi="Cambria" w:cstheme="minorHAnsi"/>
          <w:w w:val="99"/>
        </w:rPr>
        <w:t>0</w:t>
      </w:r>
      <w:r w:rsidRPr="009A0DA6">
        <w:rPr>
          <w:rFonts w:ascii="Cambria" w:eastAsia="Times New Roman" w:hAnsi="Cambria" w:cstheme="minorHAnsi"/>
        </w:rPr>
        <w:tab/>
      </w:r>
      <w:r w:rsidRPr="009A0DA6">
        <w:rPr>
          <w:rFonts w:ascii="Cambria" w:eastAsia="Times New Roman" w:hAnsi="Cambria" w:cstheme="minorHAnsi"/>
          <w:spacing w:val="1"/>
        </w:rPr>
        <w:t>454,</w:t>
      </w:r>
      <w:r w:rsidRPr="009A0DA6">
        <w:rPr>
          <w:rFonts w:ascii="Cambria" w:eastAsia="Times New Roman" w:hAnsi="Cambria" w:cstheme="minorHAnsi"/>
          <w:spacing w:val="-1"/>
        </w:rPr>
        <w:t>8</w:t>
      </w:r>
      <w:r w:rsidRPr="009A0DA6">
        <w:rPr>
          <w:rFonts w:ascii="Cambria" w:eastAsia="Times New Roman" w:hAnsi="Cambria" w:cstheme="minorHAnsi"/>
          <w:spacing w:val="1"/>
        </w:rPr>
        <w:t>6</w:t>
      </w:r>
      <w:r w:rsidRPr="009A0DA6">
        <w:rPr>
          <w:rFonts w:ascii="Cambria" w:eastAsia="Times New Roman" w:hAnsi="Cambria" w:cstheme="minorHAnsi"/>
        </w:rPr>
        <w:t>7</w:t>
      </w:r>
    </w:p>
    <w:p w14:paraId="5FD23B67" w14:textId="77777777" w:rsidR="00BA4592" w:rsidRPr="009A0DA6" w:rsidRDefault="00BA4592" w:rsidP="00BA4592">
      <w:pPr>
        <w:tabs>
          <w:tab w:val="right" w:pos="4536"/>
          <w:tab w:val="right" w:pos="5954"/>
          <w:tab w:val="right" w:pos="7371"/>
          <w:tab w:val="right" w:pos="8789"/>
        </w:tabs>
        <w:spacing w:before="120" w:after="120" w:line="240" w:lineRule="auto"/>
        <w:contextualSpacing/>
        <w:rPr>
          <w:rFonts w:ascii="Cambria" w:eastAsia="Times New Roman" w:hAnsi="Cambria" w:cstheme="minorHAnsi"/>
          <w:b/>
        </w:rPr>
      </w:pPr>
      <w:r w:rsidRPr="009A0DA6">
        <w:rPr>
          <w:rFonts w:ascii="Cambria" w:eastAsia="Times New Roman" w:hAnsi="Cambria" w:cstheme="minorHAnsi"/>
          <w:b/>
          <w:spacing w:val="-1"/>
        </w:rPr>
        <w:t>T</w:t>
      </w:r>
      <w:r w:rsidRPr="009A0DA6">
        <w:rPr>
          <w:rFonts w:ascii="Cambria" w:eastAsia="Times New Roman" w:hAnsi="Cambria" w:cstheme="minorHAnsi"/>
          <w:b/>
          <w:spacing w:val="1"/>
        </w:rPr>
        <w:t>ota</w:t>
      </w:r>
      <w:r w:rsidRPr="009A0DA6">
        <w:rPr>
          <w:rFonts w:ascii="Cambria" w:eastAsia="Times New Roman" w:hAnsi="Cambria" w:cstheme="minorHAnsi"/>
          <w:b/>
        </w:rPr>
        <w:t>l</w:t>
      </w:r>
      <w:r w:rsidRPr="009A0DA6">
        <w:rPr>
          <w:rFonts w:ascii="Cambria" w:eastAsia="Times New Roman" w:hAnsi="Cambria" w:cstheme="minorHAnsi"/>
          <w:b/>
          <w:spacing w:val="29"/>
        </w:rPr>
        <w:t xml:space="preserve"> </w:t>
      </w:r>
      <w:r w:rsidRPr="009A0DA6">
        <w:rPr>
          <w:rFonts w:ascii="Cambria" w:eastAsia="Times New Roman" w:hAnsi="Cambria" w:cstheme="minorHAnsi"/>
          <w:b/>
        </w:rPr>
        <w:t>inc</w:t>
      </w:r>
      <w:r w:rsidRPr="009A0DA6">
        <w:rPr>
          <w:rFonts w:ascii="Cambria" w:eastAsia="Times New Roman" w:hAnsi="Cambria" w:cstheme="minorHAnsi"/>
          <w:b/>
          <w:spacing w:val="4"/>
        </w:rPr>
        <w:t>o</w:t>
      </w:r>
      <w:r w:rsidRPr="009A0DA6">
        <w:rPr>
          <w:rFonts w:ascii="Cambria" w:eastAsia="Times New Roman" w:hAnsi="Cambria" w:cstheme="minorHAnsi"/>
          <w:b/>
          <w:spacing w:val="-5"/>
        </w:rPr>
        <w:t>m</w:t>
      </w:r>
      <w:r w:rsidRPr="009A0DA6">
        <w:rPr>
          <w:rFonts w:ascii="Cambria" w:eastAsia="Times New Roman" w:hAnsi="Cambria" w:cstheme="minorHAnsi"/>
          <w:b/>
        </w:rPr>
        <w:t>e</w:t>
      </w:r>
      <w:r w:rsidRPr="009A0DA6">
        <w:rPr>
          <w:rFonts w:ascii="Cambria" w:eastAsia="Times New Roman" w:hAnsi="Cambria" w:cstheme="minorHAnsi"/>
          <w:b/>
          <w:spacing w:val="-34"/>
        </w:rPr>
        <w:t xml:space="preserve"> </w:t>
      </w:r>
      <w:r w:rsidRPr="009A0DA6">
        <w:rPr>
          <w:rFonts w:ascii="Cambria" w:eastAsia="Times New Roman" w:hAnsi="Cambria" w:cstheme="minorHAnsi"/>
          <w:b/>
        </w:rPr>
        <w:tab/>
      </w:r>
      <w:r w:rsidRPr="009A0DA6">
        <w:rPr>
          <w:rFonts w:ascii="Cambria" w:eastAsia="Times New Roman" w:hAnsi="Cambria" w:cstheme="minorHAnsi"/>
          <w:b/>
          <w:spacing w:val="1"/>
        </w:rPr>
        <w:t>9,69</w:t>
      </w:r>
      <w:r w:rsidRPr="009A0DA6">
        <w:rPr>
          <w:rFonts w:ascii="Cambria" w:eastAsia="Times New Roman" w:hAnsi="Cambria" w:cstheme="minorHAnsi"/>
          <w:b/>
          <w:spacing w:val="-1"/>
        </w:rPr>
        <w:t>3</w:t>
      </w:r>
      <w:r w:rsidRPr="009A0DA6">
        <w:rPr>
          <w:rFonts w:ascii="Cambria" w:eastAsia="Times New Roman" w:hAnsi="Cambria" w:cstheme="minorHAnsi"/>
          <w:b/>
          <w:spacing w:val="1"/>
        </w:rPr>
        <w:t>,5</w:t>
      </w:r>
      <w:r w:rsidRPr="009A0DA6">
        <w:rPr>
          <w:rFonts w:ascii="Cambria" w:eastAsia="Times New Roman" w:hAnsi="Cambria" w:cstheme="minorHAnsi"/>
          <w:b/>
          <w:spacing w:val="-1"/>
        </w:rPr>
        <w:t>5</w:t>
      </w:r>
      <w:r w:rsidRPr="009A0DA6">
        <w:rPr>
          <w:rFonts w:ascii="Cambria" w:eastAsia="Times New Roman" w:hAnsi="Cambria" w:cstheme="minorHAnsi"/>
          <w:b/>
        </w:rPr>
        <w:t>8</w:t>
      </w:r>
      <w:r w:rsidRPr="009A0DA6">
        <w:rPr>
          <w:rFonts w:ascii="Cambria" w:eastAsia="Times New Roman" w:hAnsi="Cambria" w:cstheme="minorHAnsi"/>
          <w:b/>
        </w:rPr>
        <w:tab/>
      </w:r>
      <w:r w:rsidRPr="009A0DA6">
        <w:rPr>
          <w:rFonts w:ascii="Cambria" w:eastAsia="Times New Roman" w:hAnsi="Cambria" w:cstheme="minorHAnsi"/>
          <w:b/>
          <w:spacing w:val="1"/>
        </w:rPr>
        <w:t>4,43</w:t>
      </w:r>
      <w:r w:rsidRPr="009A0DA6">
        <w:rPr>
          <w:rFonts w:ascii="Cambria" w:eastAsia="Times New Roman" w:hAnsi="Cambria" w:cstheme="minorHAnsi"/>
          <w:b/>
          <w:spacing w:val="-1"/>
        </w:rPr>
        <w:t>6</w:t>
      </w:r>
      <w:r w:rsidRPr="009A0DA6">
        <w:rPr>
          <w:rFonts w:ascii="Cambria" w:eastAsia="Times New Roman" w:hAnsi="Cambria" w:cstheme="minorHAnsi"/>
          <w:b/>
          <w:spacing w:val="1"/>
        </w:rPr>
        <w:t>,7</w:t>
      </w:r>
      <w:r w:rsidRPr="009A0DA6">
        <w:rPr>
          <w:rFonts w:ascii="Cambria" w:eastAsia="Times New Roman" w:hAnsi="Cambria" w:cstheme="minorHAnsi"/>
          <w:b/>
          <w:spacing w:val="-1"/>
        </w:rPr>
        <w:t>0</w:t>
      </w:r>
      <w:r w:rsidRPr="009A0DA6">
        <w:rPr>
          <w:rFonts w:ascii="Cambria" w:eastAsia="Times New Roman" w:hAnsi="Cambria" w:cstheme="minorHAnsi"/>
          <w:b/>
        </w:rPr>
        <w:t>5</w:t>
      </w:r>
      <w:r w:rsidRPr="009A0DA6">
        <w:rPr>
          <w:rFonts w:ascii="Cambria" w:eastAsia="Times New Roman" w:hAnsi="Cambria" w:cstheme="minorHAnsi"/>
          <w:b/>
        </w:rPr>
        <w:tab/>
      </w:r>
      <w:r w:rsidRPr="009A0DA6">
        <w:rPr>
          <w:rFonts w:ascii="Cambria" w:eastAsia="Times New Roman" w:hAnsi="Cambria" w:cstheme="minorHAnsi"/>
          <w:b/>
          <w:spacing w:val="1"/>
        </w:rPr>
        <w:t>(1,3</w:t>
      </w:r>
      <w:r w:rsidRPr="009A0DA6">
        <w:rPr>
          <w:rFonts w:ascii="Cambria" w:eastAsia="Times New Roman" w:hAnsi="Cambria" w:cstheme="minorHAnsi"/>
          <w:b/>
          <w:spacing w:val="-1"/>
        </w:rPr>
        <w:t>4</w:t>
      </w:r>
      <w:r w:rsidRPr="009A0DA6">
        <w:rPr>
          <w:rFonts w:ascii="Cambria" w:eastAsia="Times New Roman" w:hAnsi="Cambria" w:cstheme="minorHAnsi"/>
          <w:b/>
          <w:spacing w:val="1"/>
        </w:rPr>
        <w:t>2,</w:t>
      </w:r>
      <w:r w:rsidRPr="009A0DA6">
        <w:rPr>
          <w:rFonts w:ascii="Cambria" w:eastAsia="Times New Roman" w:hAnsi="Cambria" w:cstheme="minorHAnsi"/>
          <w:b/>
          <w:spacing w:val="-1"/>
        </w:rPr>
        <w:t>7</w:t>
      </w:r>
      <w:r w:rsidRPr="009A0DA6">
        <w:rPr>
          <w:rFonts w:ascii="Cambria" w:eastAsia="Times New Roman" w:hAnsi="Cambria" w:cstheme="minorHAnsi"/>
          <w:b/>
          <w:spacing w:val="1"/>
        </w:rPr>
        <w:t>91</w:t>
      </w:r>
      <w:r w:rsidRPr="009A0DA6">
        <w:rPr>
          <w:rFonts w:ascii="Cambria" w:eastAsia="Times New Roman" w:hAnsi="Cambria" w:cstheme="minorHAnsi"/>
          <w:b/>
        </w:rPr>
        <w:t>)</w:t>
      </w:r>
      <w:r w:rsidRPr="009A0DA6">
        <w:rPr>
          <w:rFonts w:ascii="Cambria" w:eastAsia="Times New Roman" w:hAnsi="Cambria" w:cstheme="minorHAnsi"/>
          <w:b/>
        </w:rPr>
        <w:tab/>
      </w:r>
      <w:r w:rsidRPr="009A0DA6">
        <w:rPr>
          <w:rFonts w:ascii="Cambria" w:eastAsia="Times New Roman" w:hAnsi="Cambria" w:cstheme="minorHAnsi"/>
          <w:b/>
          <w:spacing w:val="1"/>
        </w:rPr>
        <w:t>12,7</w:t>
      </w:r>
      <w:r w:rsidRPr="009A0DA6">
        <w:rPr>
          <w:rFonts w:ascii="Cambria" w:eastAsia="Times New Roman" w:hAnsi="Cambria" w:cstheme="minorHAnsi"/>
          <w:b/>
          <w:spacing w:val="-1"/>
        </w:rPr>
        <w:t>8</w:t>
      </w:r>
      <w:r w:rsidRPr="009A0DA6">
        <w:rPr>
          <w:rFonts w:ascii="Cambria" w:eastAsia="Times New Roman" w:hAnsi="Cambria" w:cstheme="minorHAnsi"/>
          <w:b/>
          <w:spacing w:val="1"/>
        </w:rPr>
        <w:t>7,</w:t>
      </w:r>
      <w:r w:rsidRPr="009A0DA6">
        <w:rPr>
          <w:rFonts w:ascii="Cambria" w:eastAsia="Times New Roman" w:hAnsi="Cambria" w:cstheme="minorHAnsi"/>
          <w:b/>
          <w:spacing w:val="-1"/>
        </w:rPr>
        <w:t>4</w:t>
      </w:r>
      <w:r w:rsidRPr="009A0DA6">
        <w:rPr>
          <w:rFonts w:ascii="Cambria" w:eastAsia="Times New Roman" w:hAnsi="Cambria" w:cstheme="minorHAnsi"/>
          <w:b/>
          <w:spacing w:val="1"/>
        </w:rPr>
        <w:t>7</w:t>
      </w:r>
      <w:r w:rsidRPr="009A0DA6">
        <w:rPr>
          <w:rFonts w:ascii="Cambria" w:eastAsia="Times New Roman" w:hAnsi="Cambria" w:cstheme="minorHAnsi"/>
          <w:b/>
        </w:rPr>
        <w:t>2</w:t>
      </w:r>
    </w:p>
    <w:p w14:paraId="215EE4C9" w14:textId="495FD986" w:rsidR="00BA4592" w:rsidRPr="009A0DA6" w:rsidRDefault="00BA4592" w:rsidP="00BA4592">
      <w:pPr>
        <w:tabs>
          <w:tab w:val="right" w:pos="4536"/>
          <w:tab w:val="right" w:pos="5954"/>
          <w:tab w:val="right" w:pos="7371"/>
          <w:tab w:val="right" w:pos="8789"/>
        </w:tabs>
        <w:spacing w:before="120" w:after="120" w:line="240" w:lineRule="auto"/>
        <w:contextualSpacing/>
        <w:rPr>
          <w:rFonts w:ascii="Cambria" w:eastAsiaTheme="minorEastAsia" w:hAnsi="Cambria" w:cstheme="minorHAnsi"/>
          <w:b/>
        </w:rPr>
      </w:pPr>
      <w:r w:rsidRPr="009A0DA6">
        <w:rPr>
          <w:rFonts w:ascii="Cambria" w:eastAsia="Times New Roman" w:hAnsi="Cambria" w:cstheme="minorHAnsi"/>
          <w:b/>
          <w:spacing w:val="-1"/>
          <w:w w:val="108"/>
        </w:rPr>
        <w:t>Expenditure</w:t>
      </w:r>
    </w:p>
    <w:p w14:paraId="507BA825" w14:textId="77777777" w:rsidR="00BA4592" w:rsidRPr="009A0DA6" w:rsidRDefault="00BA4592" w:rsidP="00BA4592">
      <w:pPr>
        <w:tabs>
          <w:tab w:val="right" w:pos="4536"/>
          <w:tab w:val="right" w:pos="5954"/>
          <w:tab w:val="right" w:pos="7371"/>
          <w:tab w:val="right" w:pos="8789"/>
        </w:tabs>
        <w:spacing w:before="120" w:after="120" w:line="240" w:lineRule="auto"/>
        <w:ind w:right="-20"/>
        <w:contextualSpacing/>
        <w:rPr>
          <w:rFonts w:ascii="Cambria" w:eastAsia="Times New Roman" w:hAnsi="Cambria" w:cstheme="minorHAnsi"/>
        </w:rPr>
      </w:pPr>
      <w:r w:rsidRPr="009A0DA6">
        <w:rPr>
          <w:rFonts w:ascii="Cambria" w:eastAsia="Times New Roman" w:hAnsi="Cambria" w:cstheme="minorHAnsi"/>
          <w:spacing w:val="-2"/>
        </w:rPr>
        <w:t>A</w:t>
      </w:r>
      <w:r w:rsidRPr="009A0DA6">
        <w:rPr>
          <w:rFonts w:ascii="Cambria" w:eastAsia="Times New Roman" w:hAnsi="Cambria" w:cstheme="minorHAnsi"/>
          <w:spacing w:val="4"/>
        </w:rPr>
        <w:t>d</w:t>
      </w:r>
      <w:r w:rsidRPr="009A0DA6">
        <w:rPr>
          <w:rFonts w:ascii="Cambria" w:eastAsia="Times New Roman" w:hAnsi="Cambria" w:cstheme="minorHAnsi"/>
          <w:spacing w:val="-1"/>
        </w:rPr>
        <w:t>m</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rPr>
        <w:t>i</w:t>
      </w:r>
      <w:r w:rsidRPr="009A0DA6">
        <w:rPr>
          <w:rFonts w:ascii="Cambria" w:eastAsia="Times New Roman" w:hAnsi="Cambria" w:cstheme="minorHAnsi"/>
          <w:spacing w:val="-1"/>
        </w:rPr>
        <w:t>s</w:t>
      </w:r>
      <w:r w:rsidRPr="009A0DA6">
        <w:rPr>
          <w:rFonts w:ascii="Cambria" w:eastAsia="Times New Roman" w:hAnsi="Cambria" w:cstheme="minorHAnsi"/>
        </w:rPr>
        <w:t>t</w:t>
      </w:r>
      <w:r w:rsidRPr="009A0DA6">
        <w:rPr>
          <w:rFonts w:ascii="Cambria" w:eastAsia="Times New Roman" w:hAnsi="Cambria" w:cstheme="minorHAnsi"/>
          <w:spacing w:val="1"/>
        </w:rPr>
        <w:t>r</w:t>
      </w:r>
      <w:r w:rsidRPr="009A0DA6">
        <w:rPr>
          <w:rFonts w:ascii="Cambria" w:eastAsia="Times New Roman" w:hAnsi="Cambria" w:cstheme="minorHAnsi"/>
        </w:rPr>
        <w:t>ati</w:t>
      </w:r>
      <w:r w:rsidRPr="009A0DA6">
        <w:rPr>
          <w:rFonts w:ascii="Cambria" w:eastAsia="Times New Roman" w:hAnsi="Cambria" w:cstheme="minorHAnsi"/>
          <w:spacing w:val="4"/>
        </w:rPr>
        <w:t>o</w:t>
      </w:r>
      <w:r w:rsidRPr="009A0DA6">
        <w:rPr>
          <w:rFonts w:ascii="Cambria" w:eastAsia="Times New Roman" w:hAnsi="Cambria" w:cstheme="minorHAnsi"/>
        </w:rPr>
        <w:t>n</w:t>
      </w:r>
      <w:r w:rsidRPr="009A0DA6">
        <w:rPr>
          <w:rFonts w:ascii="Cambria" w:eastAsia="Times New Roman" w:hAnsi="Cambria" w:cstheme="minorHAnsi"/>
          <w:spacing w:val="-13"/>
        </w:rPr>
        <w:t xml:space="preserve"> </w:t>
      </w:r>
      <w:r w:rsidRPr="009A0DA6">
        <w:rPr>
          <w:rFonts w:ascii="Cambria" w:eastAsia="Times New Roman" w:hAnsi="Cambria" w:cstheme="minorHAnsi"/>
        </w:rPr>
        <w:t>c</w:t>
      </w:r>
      <w:r w:rsidRPr="009A0DA6">
        <w:rPr>
          <w:rFonts w:ascii="Cambria" w:eastAsia="Times New Roman" w:hAnsi="Cambria" w:cstheme="minorHAnsi"/>
          <w:spacing w:val="1"/>
        </w:rPr>
        <w:t>o</w:t>
      </w:r>
      <w:r w:rsidRPr="009A0DA6">
        <w:rPr>
          <w:rFonts w:ascii="Cambria" w:eastAsia="Times New Roman" w:hAnsi="Cambria" w:cstheme="minorHAnsi"/>
          <w:spacing w:val="-1"/>
        </w:rPr>
        <w:t>s</w:t>
      </w:r>
      <w:r w:rsidRPr="009A0DA6">
        <w:rPr>
          <w:rFonts w:ascii="Cambria" w:eastAsia="Times New Roman" w:hAnsi="Cambria" w:cstheme="minorHAnsi"/>
        </w:rPr>
        <w:t>ts</w:t>
      </w:r>
      <w:r w:rsidRPr="009A0DA6">
        <w:rPr>
          <w:rFonts w:ascii="Cambria" w:eastAsia="Times New Roman" w:hAnsi="Cambria" w:cstheme="minorHAnsi"/>
        </w:rPr>
        <w:tab/>
      </w:r>
      <w:r w:rsidRPr="009A0DA6">
        <w:rPr>
          <w:rFonts w:ascii="Cambria" w:eastAsia="Times New Roman" w:hAnsi="Cambria" w:cstheme="minorHAnsi"/>
          <w:spacing w:val="1"/>
        </w:rPr>
        <w:t>261,</w:t>
      </w:r>
      <w:r w:rsidRPr="009A0DA6">
        <w:rPr>
          <w:rFonts w:ascii="Cambria" w:eastAsia="Times New Roman" w:hAnsi="Cambria" w:cstheme="minorHAnsi"/>
          <w:spacing w:val="-1"/>
        </w:rPr>
        <w:t>5</w:t>
      </w:r>
      <w:r w:rsidRPr="009A0DA6">
        <w:rPr>
          <w:rFonts w:ascii="Cambria" w:eastAsia="Times New Roman" w:hAnsi="Cambria" w:cstheme="minorHAnsi"/>
          <w:spacing w:val="1"/>
        </w:rPr>
        <w:t>7</w:t>
      </w:r>
      <w:r w:rsidRPr="009A0DA6">
        <w:rPr>
          <w:rFonts w:ascii="Cambria" w:eastAsia="Times New Roman" w:hAnsi="Cambria" w:cstheme="minorHAnsi"/>
        </w:rPr>
        <w:t>7</w:t>
      </w:r>
      <w:r w:rsidRPr="009A0DA6">
        <w:rPr>
          <w:rFonts w:ascii="Cambria" w:eastAsia="Times New Roman" w:hAnsi="Cambria" w:cstheme="minorHAnsi"/>
        </w:rPr>
        <w:tab/>
      </w:r>
      <w:r w:rsidRPr="009A0DA6">
        <w:rPr>
          <w:rFonts w:ascii="Cambria" w:eastAsia="Times New Roman" w:hAnsi="Cambria" w:cstheme="minorHAnsi"/>
          <w:spacing w:val="1"/>
        </w:rPr>
        <w:t>225,</w:t>
      </w:r>
      <w:r w:rsidRPr="009A0DA6">
        <w:rPr>
          <w:rFonts w:ascii="Cambria" w:eastAsia="Times New Roman" w:hAnsi="Cambria" w:cstheme="minorHAnsi"/>
          <w:spacing w:val="-1"/>
        </w:rPr>
        <w:t>4</w:t>
      </w:r>
      <w:r w:rsidRPr="009A0DA6">
        <w:rPr>
          <w:rFonts w:ascii="Cambria" w:eastAsia="Times New Roman" w:hAnsi="Cambria" w:cstheme="minorHAnsi"/>
          <w:spacing w:val="1"/>
        </w:rPr>
        <w:t>9</w:t>
      </w:r>
      <w:r w:rsidRPr="009A0DA6">
        <w:rPr>
          <w:rFonts w:ascii="Cambria" w:eastAsia="Times New Roman" w:hAnsi="Cambria" w:cstheme="minorHAnsi"/>
        </w:rPr>
        <w:t>7</w:t>
      </w:r>
      <w:r w:rsidRPr="009A0DA6">
        <w:rPr>
          <w:rFonts w:ascii="Cambria" w:eastAsia="Times New Roman" w:hAnsi="Cambria" w:cstheme="minorHAnsi"/>
        </w:rPr>
        <w:tab/>
      </w:r>
      <w:r w:rsidRPr="009A0DA6">
        <w:rPr>
          <w:rFonts w:ascii="Cambria" w:eastAsia="Times New Roman" w:hAnsi="Cambria" w:cstheme="minorHAnsi"/>
          <w:w w:val="99"/>
        </w:rPr>
        <w:t>0</w:t>
      </w:r>
      <w:r w:rsidRPr="009A0DA6">
        <w:rPr>
          <w:rFonts w:ascii="Cambria" w:eastAsia="Times New Roman" w:hAnsi="Cambria" w:cstheme="minorHAnsi"/>
        </w:rPr>
        <w:tab/>
      </w:r>
      <w:r w:rsidRPr="009A0DA6">
        <w:rPr>
          <w:rFonts w:ascii="Cambria" w:eastAsia="Times New Roman" w:hAnsi="Cambria" w:cstheme="minorHAnsi"/>
          <w:spacing w:val="1"/>
        </w:rPr>
        <w:t>487,</w:t>
      </w:r>
      <w:r w:rsidRPr="009A0DA6">
        <w:rPr>
          <w:rFonts w:ascii="Cambria" w:eastAsia="Times New Roman" w:hAnsi="Cambria" w:cstheme="minorHAnsi"/>
          <w:spacing w:val="-1"/>
        </w:rPr>
        <w:t>0</w:t>
      </w:r>
      <w:r w:rsidRPr="009A0DA6">
        <w:rPr>
          <w:rFonts w:ascii="Cambria" w:eastAsia="Times New Roman" w:hAnsi="Cambria" w:cstheme="minorHAnsi"/>
          <w:spacing w:val="1"/>
        </w:rPr>
        <w:t>7</w:t>
      </w:r>
      <w:r w:rsidRPr="009A0DA6">
        <w:rPr>
          <w:rFonts w:ascii="Cambria" w:eastAsia="Times New Roman" w:hAnsi="Cambria" w:cstheme="minorHAnsi"/>
        </w:rPr>
        <w:t>4</w:t>
      </w:r>
    </w:p>
    <w:p w14:paraId="32EE64F7" w14:textId="77777777" w:rsidR="00BA4592" w:rsidRPr="009A0DA6" w:rsidRDefault="00BA4592" w:rsidP="00BA4592">
      <w:pPr>
        <w:tabs>
          <w:tab w:val="right" w:pos="4536"/>
          <w:tab w:val="right" w:pos="5954"/>
          <w:tab w:val="right" w:pos="7371"/>
          <w:tab w:val="right" w:pos="8789"/>
        </w:tabs>
        <w:spacing w:before="120" w:after="120" w:line="240" w:lineRule="auto"/>
        <w:ind w:right="-20"/>
        <w:contextualSpacing/>
        <w:rPr>
          <w:rFonts w:ascii="Cambria" w:eastAsia="Times New Roman" w:hAnsi="Cambria" w:cstheme="minorHAnsi"/>
        </w:rPr>
      </w:pPr>
      <w:r w:rsidRPr="009A0DA6">
        <w:rPr>
          <w:rFonts w:ascii="Cambria" w:eastAsia="Times New Roman" w:hAnsi="Cambria" w:cstheme="minorHAnsi"/>
        </w:rPr>
        <w:t>A</w:t>
      </w:r>
      <w:r w:rsidRPr="009A0DA6">
        <w:rPr>
          <w:rFonts w:ascii="Cambria" w:eastAsia="Times New Roman" w:hAnsi="Cambria" w:cstheme="minorHAnsi"/>
          <w:spacing w:val="-1"/>
        </w:rPr>
        <w:t>ss</w:t>
      </w:r>
      <w:r w:rsidRPr="009A0DA6">
        <w:rPr>
          <w:rFonts w:ascii="Cambria" w:eastAsia="Times New Roman" w:hAnsi="Cambria" w:cstheme="minorHAnsi"/>
        </w:rPr>
        <w:t>et</w:t>
      </w:r>
      <w:r w:rsidRPr="009A0DA6">
        <w:rPr>
          <w:rFonts w:ascii="Cambria" w:eastAsia="Times New Roman" w:hAnsi="Cambria" w:cstheme="minorHAnsi"/>
          <w:spacing w:val="-4"/>
        </w:rPr>
        <w:t xml:space="preserve"> </w:t>
      </w:r>
      <w:r w:rsidRPr="009A0DA6">
        <w:rPr>
          <w:rFonts w:ascii="Cambria" w:eastAsia="Times New Roman" w:hAnsi="Cambria" w:cstheme="minorHAnsi"/>
        </w:rPr>
        <w:t>c</w:t>
      </w:r>
      <w:r w:rsidRPr="009A0DA6">
        <w:rPr>
          <w:rFonts w:ascii="Cambria" w:eastAsia="Times New Roman" w:hAnsi="Cambria" w:cstheme="minorHAnsi"/>
          <w:spacing w:val="1"/>
        </w:rPr>
        <w:t>o</w:t>
      </w:r>
      <w:r w:rsidRPr="009A0DA6">
        <w:rPr>
          <w:rFonts w:ascii="Cambria" w:eastAsia="Times New Roman" w:hAnsi="Cambria" w:cstheme="minorHAnsi"/>
          <w:spacing w:val="-1"/>
        </w:rPr>
        <w:t>s</w:t>
      </w:r>
      <w:r w:rsidRPr="009A0DA6">
        <w:rPr>
          <w:rFonts w:ascii="Cambria" w:eastAsia="Times New Roman" w:hAnsi="Cambria" w:cstheme="minorHAnsi"/>
          <w:spacing w:val="2"/>
        </w:rPr>
        <w:t>t</w:t>
      </w:r>
      <w:r w:rsidRPr="009A0DA6">
        <w:rPr>
          <w:rFonts w:ascii="Cambria" w:eastAsia="Times New Roman" w:hAnsi="Cambria" w:cstheme="minorHAnsi"/>
        </w:rPr>
        <w:t>s</w:t>
      </w:r>
      <w:r w:rsidRPr="009A0DA6">
        <w:rPr>
          <w:rFonts w:ascii="Cambria" w:eastAsia="Times New Roman" w:hAnsi="Cambria" w:cstheme="minorHAnsi"/>
        </w:rPr>
        <w:tab/>
      </w:r>
      <w:r w:rsidRPr="009A0DA6">
        <w:rPr>
          <w:rFonts w:ascii="Cambria" w:eastAsia="Times New Roman" w:hAnsi="Cambria" w:cstheme="minorHAnsi"/>
          <w:spacing w:val="1"/>
        </w:rPr>
        <w:t>165,</w:t>
      </w:r>
      <w:r w:rsidRPr="009A0DA6">
        <w:rPr>
          <w:rFonts w:ascii="Cambria" w:eastAsia="Times New Roman" w:hAnsi="Cambria" w:cstheme="minorHAnsi"/>
          <w:spacing w:val="-1"/>
        </w:rPr>
        <w:t>6</w:t>
      </w:r>
      <w:r w:rsidRPr="009A0DA6">
        <w:rPr>
          <w:rFonts w:ascii="Cambria" w:eastAsia="Times New Roman" w:hAnsi="Cambria" w:cstheme="minorHAnsi"/>
          <w:spacing w:val="1"/>
        </w:rPr>
        <w:t>5</w:t>
      </w:r>
      <w:r w:rsidRPr="009A0DA6">
        <w:rPr>
          <w:rFonts w:ascii="Cambria" w:eastAsia="Times New Roman" w:hAnsi="Cambria" w:cstheme="minorHAnsi"/>
        </w:rPr>
        <w:t>4</w:t>
      </w:r>
      <w:r w:rsidRPr="009A0DA6">
        <w:rPr>
          <w:rFonts w:ascii="Cambria" w:eastAsia="Times New Roman" w:hAnsi="Cambria" w:cstheme="minorHAnsi"/>
        </w:rPr>
        <w:tab/>
      </w:r>
      <w:r w:rsidRPr="009A0DA6">
        <w:rPr>
          <w:rFonts w:ascii="Cambria" w:eastAsia="Times New Roman" w:hAnsi="Cambria" w:cstheme="minorHAnsi"/>
          <w:spacing w:val="1"/>
        </w:rPr>
        <w:t>73,2</w:t>
      </w:r>
      <w:r w:rsidRPr="009A0DA6">
        <w:rPr>
          <w:rFonts w:ascii="Cambria" w:eastAsia="Times New Roman" w:hAnsi="Cambria" w:cstheme="minorHAnsi"/>
          <w:spacing w:val="-1"/>
        </w:rPr>
        <w:t>0</w:t>
      </w:r>
      <w:r w:rsidRPr="009A0DA6">
        <w:rPr>
          <w:rFonts w:ascii="Cambria" w:eastAsia="Times New Roman" w:hAnsi="Cambria" w:cstheme="minorHAnsi"/>
        </w:rPr>
        <w:t>9</w:t>
      </w:r>
      <w:r w:rsidRPr="009A0DA6">
        <w:rPr>
          <w:rFonts w:ascii="Cambria" w:eastAsia="Times New Roman" w:hAnsi="Cambria" w:cstheme="minorHAnsi"/>
        </w:rPr>
        <w:tab/>
      </w:r>
      <w:r w:rsidRPr="009A0DA6">
        <w:rPr>
          <w:rFonts w:ascii="Cambria" w:eastAsia="Times New Roman" w:hAnsi="Cambria" w:cstheme="minorHAnsi"/>
          <w:w w:val="99"/>
        </w:rPr>
        <w:t>0</w:t>
      </w:r>
      <w:r w:rsidRPr="009A0DA6">
        <w:rPr>
          <w:rFonts w:ascii="Cambria" w:eastAsia="Times New Roman" w:hAnsi="Cambria" w:cstheme="minorHAnsi"/>
        </w:rPr>
        <w:tab/>
      </w:r>
      <w:r w:rsidRPr="009A0DA6">
        <w:rPr>
          <w:rFonts w:ascii="Cambria" w:eastAsia="Times New Roman" w:hAnsi="Cambria" w:cstheme="minorHAnsi"/>
          <w:spacing w:val="1"/>
        </w:rPr>
        <w:t>238,</w:t>
      </w:r>
      <w:r w:rsidRPr="009A0DA6">
        <w:rPr>
          <w:rFonts w:ascii="Cambria" w:eastAsia="Times New Roman" w:hAnsi="Cambria" w:cstheme="minorHAnsi"/>
          <w:spacing w:val="-1"/>
        </w:rPr>
        <w:t>8</w:t>
      </w:r>
      <w:r w:rsidRPr="009A0DA6">
        <w:rPr>
          <w:rFonts w:ascii="Cambria" w:eastAsia="Times New Roman" w:hAnsi="Cambria" w:cstheme="minorHAnsi"/>
          <w:spacing w:val="1"/>
        </w:rPr>
        <w:t>6</w:t>
      </w:r>
      <w:r w:rsidRPr="009A0DA6">
        <w:rPr>
          <w:rFonts w:ascii="Cambria" w:eastAsia="Times New Roman" w:hAnsi="Cambria" w:cstheme="minorHAnsi"/>
        </w:rPr>
        <w:t>3</w:t>
      </w:r>
    </w:p>
    <w:p w14:paraId="7EA4232E" w14:textId="77777777" w:rsidR="00BA4592" w:rsidRPr="009A0DA6" w:rsidRDefault="00BA4592" w:rsidP="00BA4592">
      <w:pPr>
        <w:tabs>
          <w:tab w:val="right" w:pos="4536"/>
          <w:tab w:val="right" w:pos="5954"/>
          <w:tab w:val="right" w:pos="7371"/>
          <w:tab w:val="right" w:pos="8789"/>
        </w:tabs>
        <w:spacing w:before="120" w:after="120" w:line="240" w:lineRule="auto"/>
        <w:ind w:right="-20"/>
        <w:contextualSpacing/>
        <w:rPr>
          <w:rFonts w:ascii="Cambria" w:eastAsia="Times New Roman" w:hAnsi="Cambria" w:cstheme="minorHAnsi"/>
        </w:rPr>
      </w:pPr>
      <w:r w:rsidRPr="009A0DA6">
        <w:rPr>
          <w:rFonts w:ascii="Cambria" w:eastAsia="Times New Roman" w:hAnsi="Cambria" w:cstheme="minorHAnsi"/>
        </w:rPr>
        <w:t>A</w:t>
      </w:r>
      <w:r w:rsidRPr="009A0DA6">
        <w:rPr>
          <w:rFonts w:ascii="Cambria" w:eastAsia="Times New Roman" w:hAnsi="Cambria" w:cstheme="minorHAnsi"/>
          <w:spacing w:val="-1"/>
        </w:rPr>
        <w:t>us</w:t>
      </w:r>
      <w:r w:rsidRPr="009A0DA6">
        <w:rPr>
          <w:rFonts w:ascii="Cambria" w:eastAsia="Times New Roman" w:hAnsi="Cambria" w:cstheme="minorHAnsi"/>
        </w:rPr>
        <w:t>t</w:t>
      </w:r>
      <w:r w:rsidRPr="009A0DA6">
        <w:rPr>
          <w:rFonts w:ascii="Cambria" w:eastAsia="Times New Roman" w:hAnsi="Cambria" w:cstheme="minorHAnsi"/>
          <w:spacing w:val="1"/>
        </w:rPr>
        <w:t>r</w:t>
      </w:r>
      <w:r w:rsidRPr="009A0DA6">
        <w:rPr>
          <w:rFonts w:ascii="Cambria" w:eastAsia="Times New Roman" w:hAnsi="Cambria" w:cstheme="minorHAnsi"/>
        </w:rPr>
        <w:t>ali</w:t>
      </w:r>
      <w:r w:rsidRPr="009A0DA6">
        <w:rPr>
          <w:rFonts w:ascii="Cambria" w:eastAsia="Times New Roman" w:hAnsi="Cambria" w:cstheme="minorHAnsi"/>
          <w:spacing w:val="3"/>
        </w:rPr>
        <w:t>a</w:t>
      </w:r>
      <w:r w:rsidRPr="009A0DA6">
        <w:rPr>
          <w:rFonts w:ascii="Cambria" w:eastAsia="Times New Roman" w:hAnsi="Cambria" w:cstheme="minorHAnsi"/>
        </w:rPr>
        <w:t>n</w:t>
      </w:r>
      <w:r w:rsidRPr="009A0DA6">
        <w:rPr>
          <w:rFonts w:ascii="Cambria" w:eastAsia="Times New Roman" w:hAnsi="Cambria" w:cstheme="minorHAnsi"/>
          <w:spacing w:val="-6"/>
        </w:rPr>
        <w:t xml:space="preserve"> </w:t>
      </w:r>
      <w:r w:rsidRPr="009A0DA6">
        <w:rPr>
          <w:rFonts w:ascii="Cambria" w:eastAsia="Times New Roman" w:hAnsi="Cambria" w:cstheme="minorHAnsi"/>
          <w:spacing w:val="1"/>
        </w:rPr>
        <w:t>L</w:t>
      </w:r>
      <w:r w:rsidRPr="009A0DA6">
        <w:rPr>
          <w:rFonts w:ascii="Cambria" w:eastAsia="Times New Roman" w:hAnsi="Cambria" w:cstheme="minorHAnsi"/>
          <w:spacing w:val="-1"/>
        </w:rPr>
        <w:t>u</w:t>
      </w:r>
      <w:r w:rsidRPr="009A0DA6">
        <w:rPr>
          <w:rFonts w:ascii="Cambria" w:eastAsia="Times New Roman" w:hAnsi="Cambria" w:cstheme="minorHAnsi"/>
        </w:rPr>
        <w:t>t</w:t>
      </w:r>
      <w:r w:rsidRPr="009A0DA6">
        <w:rPr>
          <w:rFonts w:ascii="Cambria" w:eastAsia="Times New Roman" w:hAnsi="Cambria" w:cstheme="minorHAnsi"/>
          <w:spacing w:val="-1"/>
        </w:rPr>
        <w:t>h</w:t>
      </w:r>
      <w:r w:rsidRPr="009A0DA6">
        <w:rPr>
          <w:rFonts w:ascii="Cambria" w:eastAsia="Times New Roman" w:hAnsi="Cambria" w:cstheme="minorHAnsi"/>
        </w:rPr>
        <w:t>e</w:t>
      </w:r>
      <w:r w:rsidRPr="009A0DA6">
        <w:rPr>
          <w:rFonts w:ascii="Cambria" w:eastAsia="Times New Roman" w:hAnsi="Cambria" w:cstheme="minorHAnsi"/>
          <w:spacing w:val="1"/>
        </w:rPr>
        <w:t>r</w:t>
      </w:r>
      <w:r w:rsidRPr="009A0DA6">
        <w:rPr>
          <w:rFonts w:ascii="Cambria" w:eastAsia="Times New Roman" w:hAnsi="Cambria" w:cstheme="minorHAnsi"/>
          <w:spacing w:val="3"/>
        </w:rPr>
        <w:t>a</w:t>
      </w:r>
      <w:r w:rsidRPr="009A0DA6">
        <w:rPr>
          <w:rFonts w:ascii="Cambria" w:eastAsia="Times New Roman" w:hAnsi="Cambria" w:cstheme="minorHAnsi"/>
        </w:rPr>
        <w:t>n</w:t>
      </w:r>
      <w:r w:rsidRPr="009A0DA6">
        <w:rPr>
          <w:rFonts w:ascii="Cambria" w:eastAsia="Times New Roman" w:hAnsi="Cambria" w:cstheme="minorHAnsi"/>
          <w:spacing w:val="-8"/>
        </w:rPr>
        <w:t xml:space="preserve"> </w:t>
      </w:r>
      <w:r w:rsidRPr="009A0DA6">
        <w:rPr>
          <w:rFonts w:ascii="Cambria" w:eastAsia="Times New Roman" w:hAnsi="Cambria" w:cstheme="minorHAnsi"/>
          <w:spacing w:val="-1"/>
        </w:rPr>
        <w:t>C</w:t>
      </w:r>
      <w:r w:rsidRPr="009A0DA6">
        <w:rPr>
          <w:rFonts w:ascii="Cambria" w:eastAsia="Times New Roman" w:hAnsi="Cambria" w:cstheme="minorHAnsi"/>
          <w:spacing w:val="1"/>
        </w:rPr>
        <w:t>o</w:t>
      </w:r>
      <w:r w:rsidRPr="009A0DA6">
        <w:rPr>
          <w:rFonts w:ascii="Cambria" w:eastAsia="Times New Roman" w:hAnsi="Cambria" w:cstheme="minorHAnsi"/>
        </w:rPr>
        <w:t>ll</w:t>
      </w:r>
      <w:r w:rsidRPr="009A0DA6">
        <w:rPr>
          <w:rFonts w:ascii="Cambria" w:eastAsia="Times New Roman" w:hAnsi="Cambria" w:cstheme="minorHAnsi"/>
          <w:spacing w:val="3"/>
        </w:rPr>
        <w:t>e</w:t>
      </w:r>
      <w:r w:rsidRPr="009A0DA6">
        <w:rPr>
          <w:rFonts w:ascii="Cambria" w:eastAsia="Times New Roman" w:hAnsi="Cambria" w:cstheme="minorHAnsi"/>
          <w:spacing w:val="-1"/>
        </w:rPr>
        <w:t>g</w:t>
      </w:r>
      <w:r w:rsidRPr="009A0DA6">
        <w:rPr>
          <w:rFonts w:ascii="Cambria" w:eastAsia="Times New Roman" w:hAnsi="Cambria" w:cstheme="minorHAnsi"/>
        </w:rPr>
        <w:t>e</w:t>
      </w:r>
      <w:r w:rsidRPr="009A0DA6">
        <w:rPr>
          <w:rFonts w:ascii="Cambria" w:eastAsia="Times New Roman" w:hAnsi="Cambria" w:cstheme="minorHAnsi"/>
          <w:spacing w:val="-5"/>
        </w:rPr>
        <w:t xml:space="preserve"> </w:t>
      </w:r>
      <w:r w:rsidRPr="009A0DA6">
        <w:rPr>
          <w:rFonts w:ascii="Cambria" w:eastAsia="Times New Roman" w:hAnsi="Cambria" w:cstheme="minorHAnsi"/>
          <w:spacing w:val="1"/>
        </w:rPr>
        <w:t>f</w:t>
      </w:r>
      <w:r w:rsidRPr="009A0DA6">
        <w:rPr>
          <w:rFonts w:ascii="Cambria" w:eastAsia="Times New Roman" w:hAnsi="Cambria" w:cstheme="minorHAnsi"/>
          <w:spacing w:val="-1"/>
        </w:rPr>
        <w:t>un</w:t>
      </w:r>
      <w:r w:rsidRPr="009A0DA6">
        <w:rPr>
          <w:rFonts w:ascii="Cambria" w:eastAsia="Times New Roman" w:hAnsi="Cambria" w:cstheme="minorHAnsi"/>
          <w:spacing w:val="1"/>
        </w:rPr>
        <w:t>d</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rPr>
        <w:t>g</w:t>
      </w:r>
      <w:r w:rsidRPr="009A0DA6">
        <w:rPr>
          <w:rFonts w:ascii="Cambria" w:eastAsia="Times New Roman" w:hAnsi="Cambria" w:cstheme="minorHAnsi"/>
        </w:rPr>
        <w:tab/>
      </w:r>
      <w:r w:rsidRPr="009A0DA6">
        <w:rPr>
          <w:rFonts w:ascii="Cambria" w:eastAsia="Times New Roman" w:hAnsi="Cambria" w:cstheme="minorHAnsi"/>
          <w:spacing w:val="1"/>
        </w:rPr>
        <w:t>1,40</w:t>
      </w:r>
      <w:r w:rsidRPr="009A0DA6">
        <w:rPr>
          <w:rFonts w:ascii="Cambria" w:eastAsia="Times New Roman" w:hAnsi="Cambria" w:cstheme="minorHAnsi"/>
          <w:spacing w:val="-1"/>
        </w:rPr>
        <w:t>0</w:t>
      </w:r>
      <w:r w:rsidRPr="009A0DA6">
        <w:rPr>
          <w:rFonts w:ascii="Cambria" w:eastAsia="Times New Roman" w:hAnsi="Cambria" w:cstheme="minorHAnsi"/>
          <w:spacing w:val="1"/>
        </w:rPr>
        <w:t>,0</w:t>
      </w:r>
      <w:r w:rsidRPr="009A0DA6">
        <w:rPr>
          <w:rFonts w:ascii="Cambria" w:eastAsia="Times New Roman" w:hAnsi="Cambria" w:cstheme="minorHAnsi"/>
          <w:spacing w:val="-1"/>
        </w:rPr>
        <w:t>0</w:t>
      </w:r>
      <w:r w:rsidRPr="009A0DA6">
        <w:rPr>
          <w:rFonts w:ascii="Cambria" w:eastAsia="Times New Roman" w:hAnsi="Cambria" w:cstheme="minorHAnsi"/>
        </w:rPr>
        <w:t>0</w:t>
      </w:r>
      <w:r w:rsidRPr="009A0DA6">
        <w:rPr>
          <w:rFonts w:ascii="Cambria" w:hAnsi="Cambria" w:cstheme="minorHAnsi"/>
        </w:rPr>
        <w:tab/>
      </w:r>
      <w:r w:rsidRPr="009A0DA6">
        <w:rPr>
          <w:rFonts w:ascii="Cambria" w:eastAsia="Times New Roman" w:hAnsi="Cambria" w:cstheme="minorHAnsi"/>
          <w:w w:val="99"/>
        </w:rPr>
        <w:t>0</w:t>
      </w:r>
      <w:r w:rsidRPr="009A0DA6">
        <w:rPr>
          <w:rFonts w:ascii="Cambria" w:eastAsia="Times New Roman" w:hAnsi="Cambria" w:cstheme="minorHAnsi"/>
        </w:rPr>
        <w:tab/>
      </w:r>
      <w:r w:rsidRPr="009A0DA6">
        <w:rPr>
          <w:rFonts w:ascii="Cambria" w:eastAsia="Times New Roman" w:hAnsi="Cambria" w:cstheme="minorHAnsi"/>
          <w:w w:val="99"/>
        </w:rPr>
        <w:t>0</w:t>
      </w:r>
      <w:r w:rsidRPr="009A0DA6">
        <w:rPr>
          <w:rFonts w:ascii="Cambria" w:eastAsia="Times New Roman" w:hAnsi="Cambria" w:cstheme="minorHAnsi"/>
        </w:rPr>
        <w:tab/>
      </w:r>
      <w:r w:rsidRPr="009A0DA6">
        <w:rPr>
          <w:rFonts w:ascii="Cambria" w:eastAsia="Times New Roman" w:hAnsi="Cambria" w:cstheme="minorHAnsi"/>
          <w:spacing w:val="1"/>
        </w:rPr>
        <w:t>1,40</w:t>
      </w:r>
      <w:r w:rsidRPr="009A0DA6">
        <w:rPr>
          <w:rFonts w:ascii="Cambria" w:eastAsia="Times New Roman" w:hAnsi="Cambria" w:cstheme="minorHAnsi"/>
          <w:spacing w:val="-1"/>
        </w:rPr>
        <w:t>0</w:t>
      </w:r>
      <w:r w:rsidRPr="009A0DA6">
        <w:rPr>
          <w:rFonts w:ascii="Cambria" w:eastAsia="Times New Roman" w:hAnsi="Cambria" w:cstheme="minorHAnsi"/>
          <w:spacing w:val="1"/>
        </w:rPr>
        <w:t>,0</w:t>
      </w:r>
      <w:r w:rsidRPr="009A0DA6">
        <w:rPr>
          <w:rFonts w:ascii="Cambria" w:eastAsia="Times New Roman" w:hAnsi="Cambria" w:cstheme="minorHAnsi"/>
          <w:spacing w:val="-1"/>
        </w:rPr>
        <w:t>0</w:t>
      </w:r>
      <w:r w:rsidRPr="009A0DA6">
        <w:rPr>
          <w:rFonts w:ascii="Cambria" w:eastAsia="Times New Roman" w:hAnsi="Cambria" w:cstheme="minorHAnsi"/>
        </w:rPr>
        <w:t>0</w:t>
      </w:r>
    </w:p>
    <w:p w14:paraId="79E6988A" w14:textId="77777777" w:rsidR="00BA4592" w:rsidRPr="009A0DA6" w:rsidRDefault="00BA4592" w:rsidP="00BA4592">
      <w:pPr>
        <w:tabs>
          <w:tab w:val="right" w:pos="4536"/>
          <w:tab w:val="right" w:pos="5954"/>
          <w:tab w:val="right" w:pos="7371"/>
          <w:tab w:val="right" w:pos="8789"/>
        </w:tabs>
        <w:spacing w:before="120" w:after="120" w:line="240" w:lineRule="auto"/>
        <w:ind w:right="-20"/>
        <w:contextualSpacing/>
        <w:rPr>
          <w:rFonts w:ascii="Cambria" w:eastAsia="Times New Roman" w:hAnsi="Cambria" w:cstheme="minorHAnsi"/>
        </w:rPr>
      </w:pPr>
      <w:r w:rsidRPr="009A0DA6">
        <w:rPr>
          <w:rFonts w:ascii="Cambria" w:eastAsia="Times New Roman" w:hAnsi="Cambria" w:cstheme="minorHAnsi"/>
          <w:spacing w:val="-1"/>
        </w:rPr>
        <w:t>C</w:t>
      </w:r>
      <w:r w:rsidRPr="009A0DA6">
        <w:rPr>
          <w:rFonts w:ascii="Cambria" w:eastAsia="Times New Roman" w:hAnsi="Cambria" w:cstheme="minorHAnsi"/>
          <w:spacing w:val="1"/>
        </w:rPr>
        <w:t>o</w:t>
      </w:r>
      <w:r w:rsidRPr="009A0DA6">
        <w:rPr>
          <w:rFonts w:ascii="Cambria" w:eastAsia="Times New Roman" w:hAnsi="Cambria" w:cstheme="minorHAnsi"/>
          <w:spacing w:val="-1"/>
        </w:rPr>
        <w:t>n</w:t>
      </w:r>
      <w:r w:rsidRPr="009A0DA6">
        <w:rPr>
          <w:rFonts w:ascii="Cambria" w:eastAsia="Times New Roman" w:hAnsi="Cambria" w:cstheme="minorHAnsi"/>
          <w:spacing w:val="2"/>
        </w:rPr>
        <w:t>s</w:t>
      </w:r>
      <w:r w:rsidRPr="009A0DA6">
        <w:rPr>
          <w:rFonts w:ascii="Cambria" w:eastAsia="Times New Roman" w:hAnsi="Cambria" w:cstheme="minorHAnsi"/>
          <w:spacing w:val="-1"/>
        </w:rPr>
        <w:t>u</w:t>
      </w:r>
      <w:r w:rsidRPr="009A0DA6">
        <w:rPr>
          <w:rFonts w:ascii="Cambria" w:eastAsia="Times New Roman" w:hAnsi="Cambria" w:cstheme="minorHAnsi"/>
        </w:rPr>
        <w:t>lt</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rPr>
        <w:t>g</w:t>
      </w:r>
      <w:r w:rsidRPr="009A0DA6">
        <w:rPr>
          <w:rFonts w:ascii="Cambria" w:eastAsia="Times New Roman" w:hAnsi="Cambria" w:cstheme="minorHAnsi"/>
          <w:spacing w:val="-10"/>
        </w:rPr>
        <w:t xml:space="preserve"> </w:t>
      </w:r>
      <w:r w:rsidRPr="009A0DA6">
        <w:rPr>
          <w:rFonts w:ascii="Cambria" w:eastAsia="Times New Roman" w:hAnsi="Cambria" w:cstheme="minorHAnsi"/>
        </w:rPr>
        <w:t>e</w:t>
      </w:r>
      <w:r w:rsidRPr="009A0DA6">
        <w:rPr>
          <w:rFonts w:ascii="Cambria" w:eastAsia="Times New Roman" w:hAnsi="Cambria" w:cstheme="minorHAnsi"/>
          <w:spacing w:val="-1"/>
        </w:rPr>
        <w:t>x</w:t>
      </w:r>
      <w:r w:rsidRPr="009A0DA6">
        <w:rPr>
          <w:rFonts w:ascii="Cambria" w:eastAsia="Times New Roman" w:hAnsi="Cambria" w:cstheme="minorHAnsi"/>
          <w:spacing w:val="1"/>
        </w:rPr>
        <w:t>p</w:t>
      </w:r>
      <w:r w:rsidRPr="009A0DA6">
        <w:rPr>
          <w:rFonts w:ascii="Cambria" w:eastAsia="Times New Roman" w:hAnsi="Cambria" w:cstheme="minorHAnsi"/>
          <w:spacing w:val="3"/>
        </w:rPr>
        <w:t>e</w:t>
      </w:r>
      <w:r w:rsidRPr="009A0DA6">
        <w:rPr>
          <w:rFonts w:ascii="Cambria" w:eastAsia="Times New Roman" w:hAnsi="Cambria" w:cstheme="minorHAnsi"/>
          <w:spacing w:val="-1"/>
        </w:rPr>
        <w:t>ns</w:t>
      </w:r>
      <w:r w:rsidRPr="009A0DA6">
        <w:rPr>
          <w:rFonts w:ascii="Cambria" w:eastAsia="Times New Roman" w:hAnsi="Cambria" w:cstheme="minorHAnsi"/>
          <w:spacing w:val="3"/>
        </w:rPr>
        <w:t>e</w:t>
      </w:r>
      <w:r w:rsidRPr="009A0DA6">
        <w:rPr>
          <w:rFonts w:ascii="Cambria" w:eastAsia="Times New Roman" w:hAnsi="Cambria" w:cstheme="minorHAnsi"/>
        </w:rPr>
        <w:t>s</w:t>
      </w:r>
      <w:r w:rsidRPr="009A0DA6">
        <w:rPr>
          <w:rFonts w:ascii="Cambria" w:eastAsia="Times New Roman" w:hAnsi="Cambria" w:cstheme="minorHAnsi"/>
        </w:rPr>
        <w:tab/>
      </w:r>
      <w:r w:rsidRPr="009A0DA6">
        <w:rPr>
          <w:rFonts w:ascii="Cambria" w:eastAsia="Times New Roman" w:hAnsi="Cambria" w:cstheme="minorHAnsi"/>
          <w:spacing w:val="1"/>
        </w:rPr>
        <w:t>388,</w:t>
      </w:r>
      <w:r w:rsidRPr="009A0DA6">
        <w:rPr>
          <w:rFonts w:ascii="Cambria" w:eastAsia="Times New Roman" w:hAnsi="Cambria" w:cstheme="minorHAnsi"/>
          <w:spacing w:val="-1"/>
        </w:rPr>
        <w:t>4</w:t>
      </w:r>
      <w:r w:rsidRPr="009A0DA6">
        <w:rPr>
          <w:rFonts w:ascii="Cambria" w:eastAsia="Times New Roman" w:hAnsi="Cambria" w:cstheme="minorHAnsi"/>
          <w:spacing w:val="1"/>
        </w:rPr>
        <w:t>6</w:t>
      </w:r>
      <w:r w:rsidRPr="009A0DA6">
        <w:rPr>
          <w:rFonts w:ascii="Cambria" w:eastAsia="Times New Roman" w:hAnsi="Cambria" w:cstheme="minorHAnsi"/>
        </w:rPr>
        <w:t>5</w:t>
      </w:r>
      <w:r w:rsidRPr="009A0DA6">
        <w:rPr>
          <w:rFonts w:ascii="Cambria" w:hAnsi="Cambria" w:cstheme="minorHAnsi"/>
        </w:rPr>
        <w:tab/>
      </w:r>
      <w:r w:rsidRPr="009A0DA6">
        <w:rPr>
          <w:rFonts w:ascii="Cambria" w:eastAsia="Times New Roman" w:hAnsi="Cambria" w:cstheme="minorHAnsi"/>
          <w:spacing w:val="1"/>
        </w:rPr>
        <w:t>95,7</w:t>
      </w:r>
      <w:r w:rsidRPr="009A0DA6">
        <w:rPr>
          <w:rFonts w:ascii="Cambria" w:eastAsia="Times New Roman" w:hAnsi="Cambria" w:cstheme="minorHAnsi"/>
          <w:spacing w:val="-1"/>
        </w:rPr>
        <w:t>7</w:t>
      </w:r>
      <w:r w:rsidRPr="009A0DA6">
        <w:rPr>
          <w:rFonts w:ascii="Cambria" w:eastAsia="Times New Roman" w:hAnsi="Cambria" w:cstheme="minorHAnsi"/>
        </w:rPr>
        <w:t>2</w:t>
      </w:r>
      <w:r w:rsidRPr="009A0DA6">
        <w:rPr>
          <w:rFonts w:ascii="Cambria" w:eastAsia="Times New Roman" w:hAnsi="Cambria" w:cstheme="minorHAnsi"/>
        </w:rPr>
        <w:tab/>
      </w:r>
      <w:r w:rsidRPr="009A0DA6">
        <w:rPr>
          <w:rFonts w:ascii="Cambria" w:eastAsia="Times New Roman" w:hAnsi="Cambria" w:cstheme="minorHAnsi"/>
          <w:w w:val="99"/>
        </w:rPr>
        <w:t>0</w:t>
      </w:r>
      <w:r w:rsidRPr="009A0DA6">
        <w:rPr>
          <w:rFonts w:ascii="Cambria" w:eastAsia="Times New Roman" w:hAnsi="Cambria" w:cstheme="minorHAnsi"/>
        </w:rPr>
        <w:tab/>
      </w:r>
      <w:r w:rsidRPr="009A0DA6">
        <w:rPr>
          <w:rFonts w:ascii="Cambria" w:eastAsia="Times New Roman" w:hAnsi="Cambria" w:cstheme="minorHAnsi"/>
          <w:spacing w:val="1"/>
        </w:rPr>
        <w:t>484,</w:t>
      </w:r>
      <w:r w:rsidRPr="009A0DA6">
        <w:rPr>
          <w:rFonts w:ascii="Cambria" w:eastAsia="Times New Roman" w:hAnsi="Cambria" w:cstheme="minorHAnsi"/>
          <w:spacing w:val="-1"/>
        </w:rPr>
        <w:t>2</w:t>
      </w:r>
      <w:r w:rsidRPr="009A0DA6">
        <w:rPr>
          <w:rFonts w:ascii="Cambria" w:eastAsia="Times New Roman" w:hAnsi="Cambria" w:cstheme="minorHAnsi"/>
          <w:spacing w:val="1"/>
        </w:rPr>
        <w:t>3</w:t>
      </w:r>
      <w:r w:rsidRPr="009A0DA6">
        <w:rPr>
          <w:rFonts w:ascii="Cambria" w:eastAsia="Times New Roman" w:hAnsi="Cambria" w:cstheme="minorHAnsi"/>
        </w:rPr>
        <w:t>7</w:t>
      </w:r>
    </w:p>
    <w:p w14:paraId="1E76D7A7" w14:textId="77777777" w:rsidR="00BA4592" w:rsidRPr="009A0DA6" w:rsidRDefault="00BA4592" w:rsidP="00BA4592">
      <w:pPr>
        <w:tabs>
          <w:tab w:val="right" w:pos="4536"/>
          <w:tab w:val="right" w:pos="5954"/>
          <w:tab w:val="right" w:pos="7371"/>
          <w:tab w:val="right" w:pos="8789"/>
        </w:tabs>
        <w:spacing w:before="120" w:after="120" w:line="240" w:lineRule="auto"/>
        <w:ind w:right="-20"/>
        <w:contextualSpacing/>
        <w:rPr>
          <w:rFonts w:ascii="Cambria" w:eastAsia="Times New Roman" w:hAnsi="Cambria" w:cstheme="minorHAnsi"/>
        </w:rPr>
      </w:pPr>
      <w:r w:rsidRPr="009A0DA6">
        <w:rPr>
          <w:rFonts w:ascii="Cambria" w:eastAsia="Times New Roman" w:hAnsi="Cambria" w:cstheme="minorHAnsi"/>
        </w:rPr>
        <w:t>De</w:t>
      </w:r>
      <w:r w:rsidRPr="009A0DA6">
        <w:rPr>
          <w:rFonts w:ascii="Cambria" w:eastAsia="Times New Roman" w:hAnsi="Cambria" w:cstheme="minorHAnsi"/>
          <w:spacing w:val="1"/>
        </w:rPr>
        <w:t>pr</w:t>
      </w:r>
      <w:r w:rsidRPr="009A0DA6">
        <w:rPr>
          <w:rFonts w:ascii="Cambria" w:eastAsia="Times New Roman" w:hAnsi="Cambria" w:cstheme="minorHAnsi"/>
        </w:rPr>
        <w:t>eciati</w:t>
      </w:r>
      <w:r w:rsidRPr="009A0DA6">
        <w:rPr>
          <w:rFonts w:ascii="Cambria" w:eastAsia="Times New Roman" w:hAnsi="Cambria" w:cstheme="minorHAnsi"/>
          <w:spacing w:val="1"/>
        </w:rPr>
        <w:t>o</w:t>
      </w:r>
      <w:r w:rsidRPr="009A0DA6">
        <w:rPr>
          <w:rFonts w:ascii="Cambria" w:eastAsia="Times New Roman" w:hAnsi="Cambria" w:cstheme="minorHAnsi"/>
        </w:rPr>
        <w:t>n</w:t>
      </w:r>
      <w:r w:rsidRPr="009A0DA6">
        <w:rPr>
          <w:rFonts w:ascii="Cambria" w:eastAsia="Times New Roman" w:hAnsi="Cambria" w:cstheme="minorHAnsi"/>
          <w:spacing w:val="-11"/>
        </w:rPr>
        <w:t xml:space="preserve"> </w:t>
      </w:r>
      <w:r w:rsidRPr="009A0DA6">
        <w:rPr>
          <w:rFonts w:ascii="Cambria" w:eastAsia="Times New Roman" w:hAnsi="Cambria" w:cstheme="minorHAnsi"/>
        </w:rPr>
        <w:t>e</w:t>
      </w:r>
      <w:r w:rsidRPr="009A0DA6">
        <w:rPr>
          <w:rFonts w:ascii="Cambria" w:eastAsia="Times New Roman" w:hAnsi="Cambria" w:cstheme="minorHAnsi"/>
          <w:spacing w:val="-1"/>
        </w:rPr>
        <w:t>x</w:t>
      </w:r>
      <w:r w:rsidRPr="009A0DA6">
        <w:rPr>
          <w:rFonts w:ascii="Cambria" w:eastAsia="Times New Roman" w:hAnsi="Cambria" w:cstheme="minorHAnsi"/>
          <w:spacing w:val="1"/>
        </w:rPr>
        <w:t>p</w:t>
      </w:r>
      <w:r w:rsidRPr="009A0DA6">
        <w:rPr>
          <w:rFonts w:ascii="Cambria" w:eastAsia="Times New Roman" w:hAnsi="Cambria" w:cstheme="minorHAnsi"/>
        </w:rPr>
        <w:t>e</w:t>
      </w:r>
      <w:r w:rsidRPr="009A0DA6">
        <w:rPr>
          <w:rFonts w:ascii="Cambria" w:eastAsia="Times New Roman" w:hAnsi="Cambria" w:cstheme="minorHAnsi"/>
          <w:spacing w:val="1"/>
        </w:rPr>
        <w:t>n</w:t>
      </w:r>
      <w:r w:rsidRPr="009A0DA6">
        <w:rPr>
          <w:rFonts w:ascii="Cambria" w:eastAsia="Times New Roman" w:hAnsi="Cambria" w:cstheme="minorHAnsi"/>
          <w:spacing w:val="-1"/>
        </w:rPr>
        <w:t>s</w:t>
      </w:r>
      <w:r w:rsidRPr="009A0DA6">
        <w:rPr>
          <w:rFonts w:ascii="Cambria" w:eastAsia="Times New Roman" w:hAnsi="Cambria" w:cstheme="minorHAnsi"/>
        </w:rPr>
        <w:t>e</w:t>
      </w:r>
      <w:r w:rsidRPr="009A0DA6">
        <w:rPr>
          <w:rFonts w:ascii="Cambria" w:eastAsia="Times New Roman" w:hAnsi="Cambria" w:cstheme="minorHAnsi"/>
        </w:rPr>
        <w:tab/>
      </w:r>
      <w:r w:rsidRPr="009A0DA6">
        <w:rPr>
          <w:rFonts w:ascii="Cambria" w:eastAsia="Times New Roman" w:hAnsi="Cambria" w:cstheme="minorHAnsi"/>
          <w:spacing w:val="1"/>
        </w:rPr>
        <w:t>63,8</w:t>
      </w:r>
      <w:r w:rsidRPr="009A0DA6">
        <w:rPr>
          <w:rFonts w:ascii="Cambria" w:eastAsia="Times New Roman" w:hAnsi="Cambria" w:cstheme="minorHAnsi"/>
          <w:spacing w:val="-1"/>
        </w:rPr>
        <w:t>1</w:t>
      </w:r>
      <w:r w:rsidRPr="009A0DA6">
        <w:rPr>
          <w:rFonts w:ascii="Cambria" w:eastAsia="Times New Roman" w:hAnsi="Cambria" w:cstheme="minorHAnsi"/>
        </w:rPr>
        <w:t>6</w:t>
      </w:r>
      <w:r w:rsidRPr="009A0DA6">
        <w:rPr>
          <w:rFonts w:ascii="Cambria" w:hAnsi="Cambria" w:cstheme="minorHAnsi"/>
        </w:rPr>
        <w:tab/>
      </w:r>
      <w:r w:rsidRPr="009A0DA6">
        <w:rPr>
          <w:rFonts w:ascii="Cambria" w:eastAsia="Times New Roman" w:hAnsi="Cambria" w:cstheme="minorHAnsi"/>
          <w:spacing w:val="1"/>
        </w:rPr>
        <w:t>41,9</w:t>
      </w:r>
      <w:r w:rsidRPr="009A0DA6">
        <w:rPr>
          <w:rFonts w:ascii="Cambria" w:eastAsia="Times New Roman" w:hAnsi="Cambria" w:cstheme="minorHAnsi"/>
          <w:spacing w:val="-1"/>
        </w:rPr>
        <w:t>2</w:t>
      </w:r>
      <w:r w:rsidRPr="009A0DA6">
        <w:rPr>
          <w:rFonts w:ascii="Cambria" w:eastAsia="Times New Roman" w:hAnsi="Cambria" w:cstheme="minorHAnsi"/>
        </w:rPr>
        <w:t>6</w:t>
      </w:r>
      <w:r w:rsidRPr="009A0DA6">
        <w:rPr>
          <w:rFonts w:ascii="Cambria" w:hAnsi="Cambria" w:cstheme="minorHAnsi"/>
        </w:rPr>
        <w:tab/>
      </w:r>
      <w:r w:rsidRPr="009A0DA6">
        <w:rPr>
          <w:rFonts w:ascii="Cambria" w:eastAsia="Times New Roman" w:hAnsi="Cambria" w:cstheme="minorHAnsi"/>
          <w:w w:val="99"/>
        </w:rPr>
        <w:t>0</w:t>
      </w:r>
      <w:r w:rsidRPr="009A0DA6">
        <w:rPr>
          <w:rFonts w:ascii="Cambria" w:eastAsia="Times New Roman" w:hAnsi="Cambria" w:cstheme="minorHAnsi"/>
        </w:rPr>
        <w:tab/>
      </w:r>
      <w:r w:rsidRPr="009A0DA6">
        <w:rPr>
          <w:rFonts w:ascii="Cambria" w:eastAsia="Times New Roman" w:hAnsi="Cambria" w:cstheme="minorHAnsi"/>
          <w:spacing w:val="1"/>
        </w:rPr>
        <w:t>105,</w:t>
      </w:r>
      <w:r w:rsidRPr="009A0DA6">
        <w:rPr>
          <w:rFonts w:ascii="Cambria" w:eastAsia="Times New Roman" w:hAnsi="Cambria" w:cstheme="minorHAnsi"/>
          <w:spacing w:val="-1"/>
        </w:rPr>
        <w:t>7</w:t>
      </w:r>
      <w:r w:rsidRPr="009A0DA6">
        <w:rPr>
          <w:rFonts w:ascii="Cambria" w:eastAsia="Times New Roman" w:hAnsi="Cambria" w:cstheme="minorHAnsi"/>
          <w:spacing w:val="1"/>
        </w:rPr>
        <w:t>4</w:t>
      </w:r>
      <w:r w:rsidRPr="009A0DA6">
        <w:rPr>
          <w:rFonts w:ascii="Cambria" w:eastAsia="Times New Roman" w:hAnsi="Cambria" w:cstheme="minorHAnsi"/>
        </w:rPr>
        <w:t>2</w:t>
      </w:r>
    </w:p>
    <w:p w14:paraId="503BDC56" w14:textId="77777777" w:rsidR="00BA4592" w:rsidRPr="009A0DA6" w:rsidRDefault="00BA4592" w:rsidP="00BA4592">
      <w:pPr>
        <w:tabs>
          <w:tab w:val="right" w:pos="4536"/>
          <w:tab w:val="right" w:pos="5954"/>
          <w:tab w:val="right" w:pos="7371"/>
          <w:tab w:val="right" w:pos="8789"/>
        </w:tabs>
        <w:spacing w:before="120" w:after="120" w:line="240" w:lineRule="auto"/>
        <w:ind w:right="-20"/>
        <w:contextualSpacing/>
        <w:rPr>
          <w:rFonts w:ascii="Cambria" w:eastAsia="Times New Roman" w:hAnsi="Cambria" w:cstheme="minorHAnsi"/>
        </w:rPr>
      </w:pPr>
      <w:r w:rsidRPr="009A0DA6">
        <w:rPr>
          <w:rFonts w:ascii="Cambria" w:eastAsia="Times New Roman" w:hAnsi="Cambria" w:cstheme="minorHAnsi"/>
          <w:spacing w:val="3"/>
        </w:rPr>
        <w:t>E</w:t>
      </w:r>
      <w:r w:rsidRPr="009A0DA6">
        <w:rPr>
          <w:rFonts w:ascii="Cambria" w:eastAsia="Times New Roman" w:hAnsi="Cambria" w:cstheme="minorHAnsi"/>
          <w:spacing w:val="-4"/>
        </w:rPr>
        <w:t>m</w:t>
      </w:r>
      <w:r w:rsidRPr="009A0DA6">
        <w:rPr>
          <w:rFonts w:ascii="Cambria" w:eastAsia="Times New Roman" w:hAnsi="Cambria" w:cstheme="minorHAnsi"/>
          <w:spacing w:val="1"/>
        </w:rPr>
        <w:t>p</w:t>
      </w:r>
      <w:r w:rsidRPr="009A0DA6">
        <w:rPr>
          <w:rFonts w:ascii="Cambria" w:eastAsia="Times New Roman" w:hAnsi="Cambria" w:cstheme="minorHAnsi"/>
        </w:rPr>
        <w:t>l</w:t>
      </w:r>
      <w:r w:rsidRPr="009A0DA6">
        <w:rPr>
          <w:rFonts w:ascii="Cambria" w:eastAsia="Times New Roman" w:hAnsi="Cambria" w:cstheme="minorHAnsi"/>
          <w:spacing w:val="4"/>
        </w:rPr>
        <w:t>o</w:t>
      </w:r>
      <w:r w:rsidRPr="009A0DA6">
        <w:rPr>
          <w:rFonts w:ascii="Cambria" w:eastAsia="Times New Roman" w:hAnsi="Cambria" w:cstheme="minorHAnsi"/>
          <w:spacing w:val="-4"/>
        </w:rPr>
        <w:t>y</w:t>
      </w:r>
      <w:r w:rsidRPr="009A0DA6">
        <w:rPr>
          <w:rFonts w:ascii="Cambria" w:eastAsia="Times New Roman" w:hAnsi="Cambria" w:cstheme="minorHAnsi"/>
        </w:rPr>
        <w:t>ee</w:t>
      </w:r>
      <w:r w:rsidRPr="009A0DA6">
        <w:rPr>
          <w:rFonts w:ascii="Cambria" w:eastAsia="Times New Roman" w:hAnsi="Cambria" w:cstheme="minorHAnsi"/>
          <w:spacing w:val="-7"/>
        </w:rPr>
        <w:t xml:space="preserve"> </w:t>
      </w:r>
      <w:r w:rsidRPr="009A0DA6">
        <w:rPr>
          <w:rFonts w:ascii="Cambria" w:eastAsia="Times New Roman" w:hAnsi="Cambria" w:cstheme="minorHAnsi"/>
        </w:rPr>
        <w:t>e</w:t>
      </w:r>
      <w:r w:rsidRPr="009A0DA6">
        <w:rPr>
          <w:rFonts w:ascii="Cambria" w:eastAsia="Times New Roman" w:hAnsi="Cambria" w:cstheme="minorHAnsi"/>
          <w:spacing w:val="-1"/>
        </w:rPr>
        <w:t>x</w:t>
      </w:r>
      <w:r w:rsidRPr="009A0DA6">
        <w:rPr>
          <w:rFonts w:ascii="Cambria" w:eastAsia="Times New Roman" w:hAnsi="Cambria" w:cstheme="minorHAnsi"/>
          <w:spacing w:val="1"/>
        </w:rPr>
        <w:t>p</w:t>
      </w:r>
      <w:r w:rsidRPr="009A0DA6">
        <w:rPr>
          <w:rFonts w:ascii="Cambria" w:eastAsia="Times New Roman" w:hAnsi="Cambria" w:cstheme="minorHAnsi"/>
          <w:spacing w:val="3"/>
        </w:rPr>
        <w:t>e</w:t>
      </w:r>
      <w:r w:rsidRPr="009A0DA6">
        <w:rPr>
          <w:rFonts w:ascii="Cambria" w:eastAsia="Times New Roman" w:hAnsi="Cambria" w:cstheme="minorHAnsi"/>
          <w:spacing w:val="-1"/>
        </w:rPr>
        <w:t>ns</w:t>
      </w:r>
      <w:r w:rsidRPr="009A0DA6">
        <w:rPr>
          <w:rFonts w:ascii="Cambria" w:eastAsia="Times New Roman" w:hAnsi="Cambria" w:cstheme="minorHAnsi"/>
          <w:spacing w:val="3"/>
        </w:rPr>
        <w:t>e</w:t>
      </w:r>
      <w:r w:rsidRPr="009A0DA6">
        <w:rPr>
          <w:rFonts w:ascii="Cambria" w:eastAsia="Times New Roman" w:hAnsi="Cambria" w:cstheme="minorHAnsi"/>
        </w:rPr>
        <w:t>s</w:t>
      </w:r>
      <w:r w:rsidRPr="009A0DA6">
        <w:rPr>
          <w:rFonts w:ascii="Cambria" w:eastAsia="Times New Roman" w:hAnsi="Cambria" w:cstheme="minorHAnsi"/>
        </w:rPr>
        <w:tab/>
      </w:r>
      <w:r w:rsidRPr="009A0DA6">
        <w:rPr>
          <w:rFonts w:ascii="Cambria" w:eastAsia="Times New Roman" w:hAnsi="Cambria" w:cstheme="minorHAnsi"/>
          <w:spacing w:val="1"/>
        </w:rPr>
        <w:t>1,87</w:t>
      </w:r>
      <w:r w:rsidRPr="009A0DA6">
        <w:rPr>
          <w:rFonts w:ascii="Cambria" w:eastAsia="Times New Roman" w:hAnsi="Cambria" w:cstheme="minorHAnsi"/>
          <w:spacing w:val="-1"/>
        </w:rPr>
        <w:t>7</w:t>
      </w:r>
      <w:r w:rsidRPr="009A0DA6">
        <w:rPr>
          <w:rFonts w:ascii="Cambria" w:eastAsia="Times New Roman" w:hAnsi="Cambria" w:cstheme="minorHAnsi"/>
          <w:spacing w:val="1"/>
        </w:rPr>
        <w:t>,2</w:t>
      </w:r>
      <w:r w:rsidRPr="009A0DA6">
        <w:rPr>
          <w:rFonts w:ascii="Cambria" w:eastAsia="Times New Roman" w:hAnsi="Cambria" w:cstheme="minorHAnsi"/>
          <w:spacing w:val="-1"/>
        </w:rPr>
        <w:t>9</w:t>
      </w:r>
      <w:r w:rsidRPr="009A0DA6">
        <w:rPr>
          <w:rFonts w:ascii="Cambria" w:eastAsia="Times New Roman" w:hAnsi="Cambria" w:cstheme="minorHAnsi"/>
        </w:rPr>
        <w:t>5</w:t>
      </w:r>
      <w:r w:rsidRPr="009A0DA6">
        <w:rPr>
          <w:rFonts w:ascii="Cambria" w:eastAsia="Times New Roman" w:hAnsi="Cambria" w:cstheme="minorHAnsi"/>
        </w:rPr>
        <w:tab/>
      </w:r>
      <w:r w:rsidRPr="009A0DA6">
        <w:rPr>
          <w:rFonts w:ascii="Cambria" w:eastAsia="Times New Roman" w:hAnsi="Cambria" w:cstheme="minorHAnsi"/>
          <w:spacing w:val="1"/>
        </w:rPr>
        <w:t>2,13</w:t>
      </w:r>
      <w:r w:rsidRPr="009A0DA6">
        <w:rPr>
          <w:rFonts w:ascii="Cambria" w:eastAsia="Times New Roman" w:hAnsi="Cambria" w:cstheme="minorHAnsi"/>
          <w:spacing w:val="-1"/>
        </w:rPr>
        <w:t>2</w:t>
      </w:r>
      <w:r w:rsidRPr="009A0DA6">
        <w:rPr>
          <w:rFonts w:ascii="Cambria" w:eastAsia="Times New Roman" w:hAnsi="Cambria" w:cstheme="minorHAnsi"/>
          <w:spacing w:val="1"/>
        </w:rPr>
        <w:t>,7</w:t>
      </w:r>
      <w:r w:rsidRPr="009A0DA6">
        <w:rPr>
          <w:rFonts w:ascii="Cambria" w:eastAsia="Times New Roman" w:hAnsi="Cambria" w:cstheme="minorHAnsi"/>
          <w:spacing w:val="-1"/>
        </w:rPr>
        <w:t>7</w:t>
      </w:r>
      <w:r w:rsidRPr="009A0DA6">
        <w:rPr>
          <w:rFonts w:ascii="Cambria" w:eastAsia="Times New Roman" w:hAnsi="Cambria" w:cstheme="minorHAnsi"/>
        </w:rPr>
        <w:t>2</w:t>
      </w:r>
      <w:r w:rsidRPr="009A0DA6">
        <w:rPr>
          <w:rFonts w:ascii="Cambria" w:hAnsi="Cambria" w:cstheme="minorHAnsi"/>
        </w:rPr>
        <w:tab/>
      </w:r>
      <w:r w:rsidRPr="009A0DA6">
        <w:rPr>
          <w:rFonts w:ascii="Cambria" w:eastAsia="Times New Roman" w:hAnsi="Cambria" w:cstheme="minorHAnsi"/>
          <w:w w:val="99"/>
        </w:rPr>
        <w:t>0</w:t>
      </w:r>
      <w:r w:rsidRPr="009A0DA6">
        <w:rPr>
          <w:rFonts w:ascii="Cambria" w:eastAsia="Times New Roman" w:hAnsi="Cambria" w:cstheme="minorHAnsi"/>
        </w:rPr>
        <w:tab/>
      </w:r>
      <w:r w:rsidRPr="009A0DA6">
        <w:rPr>
          <w:rFonts w:ascii="Cambria" w:eastAsia="Times New Roman" w:hAnsi="Cambria" w:cstheme="minorHAnsi"/>
          <w:spacing w:val="1"/>
        </w:rPr>
        <w:t>4,01</w:t>
      </w:r>
      <w:r w:rsidRPr="009A0DA6">
        <w:rPr>
          <w:rFonts w:ascii="Cambria" w:eastAsia="Times New Roman" w:hAnsi="Cambria" w:cstheme="minorHAnsi"/>
          <w:spacing w:val="-1"/>
        </w:rPr>
        <w:t>0</w:t>
      </w:r>
      <w:r w:rsidRPr="009A0DA6">
        <w:rPr>
          <w:rFonts w:ascii="Cambria" w:eastAsia="Times New Roman" w:hAnsi="Cambria" w:cstheme="minorHAnsi"/>
          <w:spacing w:val="1"/>
        </w:rPr>
        <w:t>,0</w:t>
      </w:r>
      <w:r w:rsidRPr="009A0DA6">
        <w:rPr>
          <w:rFonts w:ascii="Cambria" w:eastAsia="Times New Roman" w:hAnsi="Cambria" w:cstheme="minorHAnsi"/>
          <w:spacing w:val="-1"/>
        </w:rPr>
        <w:t>6</w:t>
      </w:r>
      <w:r w:rsidRPr="009A0DA6">
        <w:rPr>
          <w:rFonts w:ascii="Cambria" w:eastAsia="Times New Roman" w:hAnsi="Cambria" w:cstheme="minorHAnsi"/>
        </w:rPr>
        <w:t>7</w:t>
      </w:r>
    </w:p>
    <w:p w14:paraId="2380B1B3" w14:textId="77777777" w:rsidR="00BA4592" w:rsidRPr="009A0DA6" w:rsidRDefault="00BA4592" w:rsidP="00BA4592">
      <w:pPr>
        <w:tabs>
          <w:tab w:val="right" w:pos="4536"/>
          <w:tab w:val="right" w:pos="5954"/>
          <w:tab w:val="right" w:pos="7371"/>
          <w:tab w:val="right" w:pos="8789"/>
        </w:tabs>
        <w:spacing w:before="120" w:after="120" w:line="240" w:lineRule="auto"/>
        <w:ind w:right="-20"/>
        <w:contextualSpacing/>
        <w:rPr>
          <w:rFonts w:ascii="Cambria" w:eastAsia="Times New Roman" w:hAnsi="Cambria" w:cstheme="minorHAnsi"/>
        </w:rPr>
      </w:pPr>
      <w:r w:rsidRPr="009A0DA6">
        <w:rPr>
          <w:rFonts w:ascii="Cambria" w:eastAsia="Times New Roman" w:hAnsi="Cambria" w:cstheme="minorHAnsi"/>
        </w:rPr>
        <w:t>G</w:t>
      </w:r>
      <w:r w:rsidRPr="009A0DA6">
        <w:rPr>
          <w:rFonts w:ascii="Cambria" w:eastAsia="Times New Roman" w:hAnsi="Cambria" w:cstheme="minorHAnsi"/>
          <w:spacing w:val="1"/>
        </w:rPr>
        <w:t>o</w:t>
      </w:r>
      <w:r w:rsidRPr="009A0DA6">
        <w:rPr>
          <w:rFonts w:ascii="Cambria" w:eastAsia="Times New Roman" w:hAnsi="Cambria" w:cstheme="minorHAnsi"/>
          <w:spacing w:val="-1"/>
        </w:rPr>
        <w:t>v</w:t>
      </w:r>
      <w:r w:rsidRPr="009A0DA6">
        <w:rPr>
          <w:rFonts w:ascii="Cambria" w:eastAsia="Times New Roman" w:hAnsi="Cambria" w:cstheme="minorHAnsi"/>
        </w:rPr>
        <w:t>e</w:t>
      </w:r>
      <w:r w:rsidRPr="009A0DA6">
        <w:rPr>
          <w:rFonts w:ascii="Cambria" w:eastAsia="Times New Roman" w:hAnsi="Cambria" w:cstheme="minorHAnsi"/>
          <w:spacing w:val="1"/>
        </w:rPr>
        <w:t>r</w:t>
      </w:r>
      <w:r w:rsidRPr="009A0DA6">
        <w:rPr>
          <w:rFonts w:ascii="Cambria" w:eastAsia="Times New Roman" w:hAnsi="Cambria" w:cstheme="minorHAnsi"/>
          <w:spacing w:val="-1"/>
        </w:rPr>
        <w:t>n</w:t>
      </w:r>
      <w:r w:rsidRPr="009A0DA6">
        <w:rPr>
          <w:rFonts w:ascii="Cambria" w:eastAsia="Times New Roman" w:hAnsi="Cambria" w:cstheme="minorHAnsi"/>
          <w:spacing w:val="3"/>
        </w:rPr>
        <w:t>a</w:t>
      </w:r>
      <w:r w:rsidRPr="009A0DA6">
        <w:rPr>
          <w:rFonts w:ascii="Cambria" w:eastAsia="Times New Roman" w:hAnsi="Cambria" w:cstheme="minorHAnsi"/>
          <w:spacing w:val="-1"/>
        </w:rPr>
        <w:t>n</w:t>
      </w:r>
      <w:r w:rsidRPr="009A0DA6">
        <w:rPr>
          <w:rFonts w:ascii="Cambria" w:eastAsia="Times New Roman" w:hAnsi="Cambria" w:cstheme="minorHAnsi"/>
        </w:rPr>
        <w:t>ce</w:t>
      </w:r>
      <w:r w:rsidRPr="009A0DA6">
        <w:rPr>
          <w:rFonts w:ascii="Cambria" w:eastAsia="Times New Roman" w:hAnsi="Cambria" w:cstheme="minorHAnsi"/>
          <w:spacing w:val="-9"/>
        </w:rPr>
        <w:t xml:space="preserve"> </w:t>
      </w:r>
      <w:r w:rsidRPr="009A0DA6">
        <w:rPr>
          <w:rFonts w:ascii="Cambria" w:eastAsia="Times New Roman" w:hAnsi="Cambria" w:cstheme="minorHAnsi"/>
        </w:rPr>
        <w:t>c</w:t>
      </w:r>
      <w:r w:rsidRPr="009A0DA6">
        <w:rPr>
          <w:rFonts w:ascii="Cambria" w:eastAsia="Times New Roman" w:hAnsi="Cambria" w:cstheme="minorHAnsi"/>
          <w:spacing w:val="1"/>
        </w:rPr>
        <w:t>o</w:t>
      </w:r>
      <w:r w:rsidRPr="009A0DA6">
        <w:rPr>
          <w:rFonts w:ascii="Cambria" w:eastAsia="Times New Roman" w:hAnsi="Cambria" w:cstheme="minorHAnsi"/>
          <w:spacing w:val="-1"/>
        </w:rPr>
        <w:t>s</w:t>
      </w:r>
      <w:r w:rsidRPr="009A0DA6">
        <w:rPr>
          <w:rFonts w:ascii="Cambria" w:eastAsia="Times New Roman" w:hAnsi="Cambria" w:cstheme="minorHAnsi"/>
        </w:rPr>
        <w:t>ts</w:t>
      </w:r>
      <w:r w:rsidRPr="009A0DA6">
        <w:rPr>
          <w:rFonts w:ascii="Cambria" w:eastAsia="Times New Roman" w:hAnsi="Cambria" w:cstheme="minorHAnsi"/>
        </w:rPr>
        <w:tab/>
      </w:r>
      <w:r w:rsidRPr="009A0DA6">
        <w:rPr>
          <w:rFonts w:ascii="Cambria" w:eastAsia="Times New Roman" w:hAnsi="Cambria" w:cstheme="minorHAnsi"/>
          <w:spacing w:val="1"/>
        </w:rPr>
        <w:t>194,</w:t>
      </w:r>
      <w:r w:rsidRPr="009A0DA6">
        <w:rPr>
          <w:rFonts w:ascii="Cambria" w:eastAsia="Times New Roman" w:hAnsi="Cambria" w:cstheme="minorHAnsi"/>
          <w:spacing w:val="-1"/>
        </w:rPr>
        <w:t>8</w:t>
      </w:r>
      <w:r w:rsidRPr="009A0DA6">
        <w:rPr>
          <w:rFonts w:ascii="Cambria" w:eastAsia="Times New Roman" w:hAnsi="Cambria" w:cstheme="minorHAnsi"/>
          <w:spacing w:val="1"/>
        </w:rPr>
        <w:t>7</w:t>
      </w:r>
      <w:r w:rsidRPr="009A0DA6">
        <w:rPr>
          <w:rFonts w:ascii="Cambria" w:eastAsia="Times New Roman" w:hAnsi="Cambria" w:cstheme="minorHAnsi"/>
        </w:rPr>
        <w:t>4</w:t>
      </w:r>
      <w:r w:rsidRPr="009A0DA6">
        <w:rPr>
          <w:rFonts w:ascii="Cambria" w:eastAsia="Times New Roman" w:hAnsi="Cambria" w:cstheme="minorHAnsi"/>
        </w:rPr>
        <w:tab/>
      </w:r>
      <w:r w:rsidRPr="009A0DA6">
        <w:rPr>
          <w:rFonts w:ascii="Cambria" w:eastAsia="Times New Roman" w:hAnsi="Cambria" w:cstheme="minorHAnsi"/>
          <w:spacing w:val="1"/>
        </w:rPr>
        <w:t>26,3</w:t>
      </w:r>
      <w:r w:rsidRPr="009A0DA6">
        <w:rPr>
          <w:rFonts w:ascii="Cambria" w:eastAsia="Times New Roman" w:hAnsi="Cambria" w:cstheme="minorHAnsi"/>
          <w:spacing w:val="-1"/>
        </w:rPr>
        <w:t>6</w:t>
      </w:r>
      <w:r w:rsidRPr="009A0DA6">
        <w:rPr>
          <w:rFonts w:ascii="Cambria" w:eastAsia="Times New Roman" w:hAnsi="Cambria" w:cstheme="minorHAnsi"/>
        </w:rPr>
        <w:t>3</w:t>
      </w:r>
      <w:r w:rsidRPr="009A0DA6">
        <w:rPr>
          <w:rFonts w:ascii="Cambria" w:hAnsi="Cambria" w:cstheme="minorHAnsi"/>
        </w:rPr>
        <w:tab/>
      </w:r>
      <w:r w:rsidRPr="009A0DA6">
        <w:rPr>
          <w:rFonts w:ascii="Cambria" w:eastAsia="Times New Roman" w:hAnsi="Cambria" w:cstheme="minorHAnsi"/>
          <w:w w:val="99"/>
        </w:rPr>
        <w:t>0</w:t>
      </w:r>
      <w:r w:rsidRPr="009A0DA6">
        <w:rPr>
          <w:rFonts w:ascii="Cambria" w:eastAsia="Times New Roman" w:hAnsi="Cambria" w:cstheme="minorHAnsi"/>
        </w:rPr>
        <w:tab/>
      </w:r>
      <w:r w:rsidRPr="009A0DA6">
        <w:rPr>
          <w:rFonts w:ascii="Cambria" w:eastAsia="Times New Roman" w:hAnsi="Cambria" w:cstheme="minorHAnsi"/>
          <w:spacing w:val="1"/>
        </w:rPr>
        <w:t>221,</w:t>
      </w:r>
      <w:r w:rsidRPr="009A0DA6">
        <w:rPr>
          <w:rFonts w:ascii="Cambria" w:eastAsia="Times New Roman" w:hAnsi="Cambria" w:cstheme="minorHAnsi"/>
          <w:spacing w:val="-1"/>
        </w:rPr>
        <w:t>2</w:t>
      </w:r>
      <w:r w:rsidRPr="009A0DA6">
        <w:rPr>
          <w:rFonts w:ascii="Cambria" w:eastAsia="Times New Roman" w:hAnsi="Cambria" w:cstheme="minorHAnsi"/>
          <w:spacing w:val="1"/>
        </w:rPr>
        <w:t>3</w:t>
      </w:r>
      <w:r w:rsidRPr="009A0DA6">
        <w:rPr>
          <w:rFonts w:ascii="Cambria" w:eastAsia="Times New Roman" w:hAnsi="Cambria" w:cstheme="minorHAnsi"/>
        </w:rPr>
        <w:t>7</w:t>
      </w:r>
    </w:p>
    <w:p w14:paraId="1B2DED6E" w14:textId="2E1CA1E5" w:rsidR="00BA4592" w:rsidRPr="009A0DA6" w:rsidRDefault="00BA4592" w:rsidP="00BA4592">
      <w:pPr>
        <w:tabs>
          <w:tab w:val="right" w:pos="4536"/>
          <w:tab w:val="right" w:pos="5954"/>
          <w:tab w:val="right" w:pos="7371"/>
          <w:tab w:val="right" w:pos="8789"/>
        </w:tabs>
        <w:spacing w:before="120" w:after="120" w:line="240" w:lineRule="auto"/>
        <w:ind w:right="22"/>
        <w:contextualSpacing/>
        <w:rPr>
          <w:rFonts w:ascii="Cambria" w:eastAsia="Times New Roman" w:hAnsi="Cambria" w:cstheme="minorHAnsi"/>
        </w:rPr>
      </w:pPr>
      <w:r w:rsidRPr="009A0DA6">
        <w:rPr>
          <w:rFonts w:ascii="Cambria" w:eastAsia="Times New Roman" w:hAnsi="Cambria" w:cstheme="minorHAnsi"/>
          <w:spacing w:val="-2"/>
        </w:rPr>
        <w:t>L</w:t>
      </w:r>
      <w:r w:rsidRPr="009A0DA6">
        <w:rPr>
          <w:rFonts w:ascii="Cambria" w:eastAsia="Times New Roman" w:hAnsi="Cambria" w:cstheme="minorHAnsi"/>
          <w:spacing w:val="2"/>
        </w:rPr>
        <w:t>C</w:t>
      </w:r>
      <w:r w:rsidRPr="009A0DA6">
        <w:rPr>
          <w:rFonts w:ascii="Cambria" w:eastAsia="Times New Roman" w:hAnsi="Cambria" w:cstheme="minorHAnsi"/>
        </w:rPr>
        <w:t>A</w:t>
      </w:r>
      <w:r w:rsidRPr="009A0DA6">
        <w:rPr>
          <w:rFonts w:ascii="Cambria" w:eastAsia="Times New Roman" w:hAnsi="Cambria" w:cstheme="minorHAnsi"/>
          <w:spacing w:val="-3"/>
        </w:rPr>
        <w:t xml:space="preserve"> </w:t>
      </w:r>
      <w:r w:rsidRPr="009A0DA6">
        <w:rPr>
          <w:rFonts w:ascii="Cambria" w:eastAsia="Times New Roman" w:hAnsi="Cambria" w:cstheme="minorHAnsi"/>
        </w:rPr>
        <w:t>all</w:t>
      </w:r>
      <w:r w:rsidRPr="009A0DA6">
        <w:rPr>
          <w:rFonts w:ascii="Cambria" w:eastAsia="Times New Roman" w:hAnsi="Cambria" w:cstheme="minorHAnsi"/>
          <w:spacing w:val="1"/>
        </w:rPr>
        <w:t>o</w:t>
      </w:r>
      <w:r w:rsidRPr="009A0DA6">
        <w:rPr>
          <w:rFonts w:ascii="Cambria" w:eastAsia="Times New Roman" w:hAnsi="Cambria" w:cstheme="minorHAnsi"/>
        </w:rPr>
        <w:t>cati</w:t>
      </w:r>
      <w:r w:rsidRPr="009A0DA6">
        <w:rPr>
          <w:rFonts w:ascii="Cambria" w:eastAsia="Times New Roman" w:hAnsi="Cambria" w:cstheme="minorHAnsi"/>
          <w:spacing w:val="1"/>
        </w:rPr>
        <w:t>on</w:t>
      </w:r>
      <w:r w:rsidRPr="009A0DA6">
        <w:rPr>
          <w:rFonts w:ascii="Cambria" w:eastAsia="Times New Roman" w:hAnsi="Cambria" w:cstheme="minorHAnsi"/>
        </w:rPr>
        <w:t>s</w:t>
      </w:r>
      <w:r w:rsidRPr="009A0DA6">
        <w:rPr>
          <w:rFonts w:ascii="Cambria" w:eastAsia="Times New Roman" w:hAnsi="Cambria" w:cstheme="minorHAnsi"/>
          <w:spacing w:val="-9"/>
        </w:rPr>
        <w:t xml:space="preserve"> </w:t>
      </w:r>
      <w:r w:rsidR="00351A0F">
        <w:rPr>
          <w:rFonts w:ascii="Cambria" w:eastAsia="Times New Roman" w:hAnsi="Cambria" w:cstheme="minorHAnsi"/>
          <w:spacing w:val="-9"/>
        </w:rPr>
        <w:br/>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spacing w:val="-1"/>
        </w:rPr>
        <w:t xml:space="preserve"> </w:t>
      </w:r>
      <w:r w:rsidRPr="009A0DA6">
        <w:rPr>
          <w:rFonts w:ascii="Cambria" w:eastAsia="Times New Roman" w:hAnsi="Cambria" w:cstheme="minorHAnsi"/>
          <w:spacing w:val="1"/>
        </w:rPr>
        <w:t>d</w:t>
      </w:r>
      <w:r w:rsidRPr="009A0DA6">
        <w:rPr>
          <w:rFonts w:ascii="Cambria" w:eastAsia="Times New Roman" w:hAnsi="Cambria" w:cstheme="minorHAnsi"/>
        </w:rPr>
        <w:t>e</w:t>
      </w:r>
      <w:r w:rsidRPr="009A0DA6">
        <w:rPr>
          <w:rFonts w:ascii="Cambria" w:eastAsia="Times New Roman" w:hAnsi="Cambria" w:cstheme="minorHAnsi"/>
          <w:spacing w:val="1"/>
        </w:rPr>
        <w:t>p</w:t>
      </w:r>
      <w:r w:rsidRPr="009A0DA6">
        <w:rPr>
          <w:rFonts w:ascii="Cambria" w:eastAsia="Times New Roman" w:hAnsi="Cambria" w:cstheme="minorHAnsi"/>
        </w:rPr>
        <w:t>a</w:t>
      </w:r>
      <w:r w:rsidRPr="009A0DA6">
        <w:rPr>
          <w:rFonts w:ascii="Cambria" w:eastAsia="Times New Roman" w:hAnsi="Cambria" w:cstheme="minorHAnsi"/>
          <w:spacing w:val="1"/>
        </w:rPr>
        <w:t>r</w:t>
      </w:r>
      <w:r w:rsidRPr="009A0DA6">
        <w:rPr>
          <w:rFonts w:ascii="Cambria" w:eastAsia="Times New Roman" w:hAnsi="Cambria" w:cstheme="minorHAnsi"/>
          <w:spacing w:val="2"/>
        </w:rPr>
        <w:t>t</w:t>
      </w:r>
      <w:r w:rsidRPr="009A0DA6">
        <w:rPr>
          <w:rFonts w:ascii="Cambria" w:eastAsia="Times New Roman" w:hAnsi="Cambria" w:cstheme="minorHAnsi"/>
          <w:spacing w:val="-4"/>
        </w:rPr>
        <w:t>m</w:t>
      </w:r>
      <w:r w:rsidRPr="009A0DA6">
        <w:rPr>
          <w:rFonts w:ascii="Cambria" w:eastAsia="Times New Roman" w:hAnsi="Cambria" w:cstheme="minorHAnsi"/>
          <w:spacing w:val="3"/>
        </w:rPr>
        <w:t>e</w:t>
      </w:r>
      <w:r w:rsidRPr="009A0DA6">
        <w:rPr>
          <w:rFonts w:ascii="Cambria" w:eastAsia="Times New Roman" w:hAnsi="Cambria" w:cstheme="minorHAnsi"/>
          <w:spacing w:val="-1"/>
        </w:rPr>
        <w:t>n</w:t>
      </w:r>
      <w:r w:rsidRPr="009A0DA6">
        <w:rPr>
          <w:rFonts w:ascii="Cambria" w:eastAsia="Times New Roman" w:hAnsi="Cambria" w:cstheme="minorHAnsi"/>
        </w:rPr>
        <w:t>tal</w:t>
      </w:r>
      <w:r w:rsidRPr="009A0DA6">
        <w:rPr>
          <w:rFonts w:ascii="Cambria" w:eastAsia="Times New Roman" w:hAnsi="Cambria" w:cstheme="minorHAnsi"/>
          <w:spacing w:val="-10"/>
        </w:rPr>
        <w:t xml:space="preserve"> </w:t>
      </w:r>
      <w:r w:rsidRPr="009A0DA6">
        <w:rPr>
          <w:rFonts w:ascii="Cambria" w:eastAsia="Times New Roman" w:hAnsi="Cambria" w:cstheme="minorHAnsi"/>
        </w:rPr>
        <w:t>c</w:t>
      </w:r>
      <w:r w:rsidRPr="009A0DA6">
        <w:rPr>
          <w:rFonts w:ascii="Cambria" w:eastAsia="Times New Roman" w:hAnsi="Cambria" w:cstheme="minorHAnsi"/>
          <w:spacing w:val="1"/>
        </w:rPr>
        <w:t>o</w:t>
      </w:r>
      <w:r w:rsidRPr="009A0DA6">
        <w:rPr>
          <w:rFonts w:ascii="Cambria" w:eastAsia="Times New Roman" w:hAnsi="Cambria" w:cstheme="minorHAnsi"/>
          <w:spacing w:val="-1"/>
        </w:rPr>
        <w:t>s</w:t>
      </w:r>
      <w:r w:rsidRPr="009A0DA6">
        <w:rPr>
          <w:rFonts w:ascii="Cambria" w:eastAsia="Times New Roman" w:hAnsi="Cambria" w:cstheme="minorHAnsi"/>
        </w:rPr>
        <w:t>ts</w:t>
      </w:r>
      <w:r w:rsidRPr="009A0DA6">
        <w:rPr>
          <w:rFonts w:ascii="Cambria" w:eastAsia="Times New Roman" w:hAnsi="Cambria" w:cstheme="minorHAnsi"/>
        </w:rPr>
        <w:tab/>
      </w:r>
      <w:r w:rsidRPr="009A0DA6">
        <w:rPr>
          <w:rFonts w:ascii="Cambria" w:eastAsia="Times New Roman" w:hAnsi="Cambria" w:cstheme="minorHAnsi"/>
          <w:spacing w:val="1"/>
        </w:rPr>
        <w:t>1,28</w:t>
      </w:r>
      <w:r w:rsidRPr="009A0DA6">
        <w:rPr>
          <w:rFonts w:ascii="Cambria" w:eastAsia="Times New Roman" w:hAnsi="Cambria" w:cstheme="minorHAnsi"/>
          <w:spacing w:val="-1"/>
        </w:rPr>
        <w:t>7</w:t>
      </w:r>
      <w:r w:rsidRPr="009A0DA6">
        <w:rPr>
          <w:rFonts w:ascii="Cambria" w:eastAsia="Times New Roman" w:hAnsi="Cambria" w:cstheme="minorHAnsi"/>
          <w:spacing w:val="1"/>
        </w:rPr>
        <w:t>,5</w:t>
      </w:r>
      <w:r w:rsidRPr="009A0DA6">
        <w:rPr>
          <w:rFonts w:ascii="Cambria" w:eastAsia="Times New Roman" w:hAnsi="Cambria" w:cstheme="minorHAnsi"/>
          <w:spacing w:val="-1"/>
        </w:rPr>
        <w:t>8</w:t>
      </w:r>
      <w:r w:rsidRPr="009A0DA6">
        <w:rPr>
          <w:rFonts w:ascii="Cambria" w:eastAsia="Times New Roman" w:hAnsi="Cambria" w:cstheme="minorHAnsi"/>
        </w:rPr>
        <w:t>6</w:t>
      </w:r>
      <w:r w:rsidRPr="009A0DA6">
        <w:rPr>
          <w:rFonts w:ascii="Cambria" w:hAnsi="Cambria" w:cstheme="minorHAnsi"/>
        </w:rPr>
        <w:tab/>
      </w:r>
      <w:r w:rsidRPr="009A0DA6">
        <w:rPr>
          <w:rFonts w:ascii="Cambria" w:eastAsia="Times New Roman" w:hAnsi="Cambria" w:cstheme="minorHAnsi"/>
          <w:spacing w:val="1"/>
        </w:rPr>
        <w:t>52,2</w:t>
      </w:r>
      <w:r w:rsidRPr="009A0DA6">
        <w:rPr>
          <w:rFonts w:ascii="Cambria" w:eastAsia="Times New Roman" w:hAnsi="Cambria" w:cstheme="minorHAnsi"/>
          <w:spacing w:val="-1"/>
        </w:rPr>
        <w:t>0</w:t>
      </w:r>
      <w:r w:rsidRPr="009A0DA6">
        <w:rPr>
          <w:rFonts w:ascii="Cambria" w:eastAsia="Times New Roman" w:hAnsi="Cambria" w:cstheme="minorHAnsi"/>
        </w:rPr>
        <w:t>5</w:t>
      </w:r>
      <w:r w:rsidRPr="009A0DA6">
        <w:rPr>
          <w:rFonts w:ascii="Cambria" w:eastAsia="Times New Roman" w:hAnsi="Cambria" w:cstheme="minorHAnsi"/>
        </w:rPr>
        <w:tab/>
      </w:r>
      <w:r w:rsidRPr="009A0DA6">
        <w:rPr>
          <w:rFonts w:ascii="Cambria" w:eastAsia="Times New Roman" w:hAnsi="Cambria" w:cstheme="minorHAnsi"/>
          <w:spacing w:val="1"/>
        </w:rPr>
        <w:t>(1,3</w:t>
      </w:r>
      <w:r w:rsidRPr="009A0DA6">
        <w:rPr>
          <w:rFonts w:ascii="Cambria" w:eastAsia="Times New Roman" w:hAnsi="Cambria" w:cstheme="minorHAnsi"/>
          <w:spacing w:val="-1"/>
        </w:rPr>
        <w:t>3</w:t>
      </w:r>
      <w:r w:rsidRPr="009A0DA6">
        <w:rPr>
          <w:rFonts w:ascii="Cambria" w:eastAsia="Times New Roman" w:hAnsi="Cambria" w:cstheme="minorHAnsi"/>
          <w:spacing w:val="1"/>
        </w:rPr>
        <w:t>9,</w:t>
      </w:r>
      <w:r w:rsidRPr="009A0DA6">
        <w:rPr>
          <w:rFonts w:ascii="Cambria" w:eastAsia="Times New Roman" w:hAnsi="Cambria" w:cstheme="minorHAnsi"/>
          <w:spacing w:val="-1"/>
        </w:rPr>
        <w:t>7</w:t>
      </w:r>
      <w:r w:rsidRPr="009A0DA6">
        <w:rPr>
          <w:rFonts w:ascii="Cambria" w:eastAsia="Times New Roman" w:hAnsi="Cambria" w:cstheme="minorHAnsi"/>
          <w:spacing w:val="1"/>
        </w:rPr>
        <w:t>91</w:t>
      </w:r>
      <w:r w:rsidRPr="009A0DA6">
        <w:rPr>
          <w:rFonts w:ascii="Cambria" w:eastAsia="Times New Roman" w:hAnsi="Cambria" w:cstheme="minorHAnsi"/>
        </w:rPr>
        <w:t>)</w:t>
      </w:r>
      <w:r w:rsidRPr="009A0DA6">
        <w:rPr>
          <w:rFonts w:ascii="Cambria" w:eastAsia="Times New Roman" w:hAnsi="Cambria" w:cstheme="minorHAnsi"/>
        </w:rPr>
        <w:tab/>
      </w:r>
      <w:r w:rsidRPr="009A0DA6">
        <w:rPr>
          <w:rFonts w:ascii="Cambria" w:eastAsia="Times New Roman" w:hAnsi="Cambria" w:cstheme="minorHAnsi"/>
          <w:w w:val="99"/>
        </w:rPr>
        <w:t>0</w:t>
      </w:r>
    </w:p>
    <w:p w14:paraId="4BFA60CA" w14:textId="77777777" w:rsidR="00BA4592" w:rsidRPr="009A0DA6" w:rsidRDefault="00BA4592" w:rsidP="00BA4592">
      <w:pPr>
        <w:tabs>
          <w:tab w:val="right" w:pos="4536"/>
          <w:tab w:val="right" w:pos="5954"/>
          <w:tab w:val="right" w:pos="7371"/>
          <w:tab w:val="right" w:pos="8789"/>
        </w:tabs>
        <w:spacing w:before="120" w:after="120" w:line="240" w:lineRule="auto"/>
        <w:ind w:right="-20"/>
        <w:contextualSpacing/>
        <w:rPr>
          <w:rFonts w:ascii="Cambria" w:eastAsia="Times New Roman" w:hAnsi="Cambria" w:cstheme="minorHAnsi"/>
        </w:rPr>
      </w:pPr>
      <w:r w:rsidRPr="009A0DA6">
        <w:rPr>
          <w:rFonts w:ascii="Cambria" w:eastAsia="Times New Roman" w:hAnsi="Cambria" w:cstheme="minorHAnsi"/>
          <w:spacing w:val="1"/>
        </w:rPr>
        <w:lastRenderedPageBreak/>
        <w:t>M</w:t>
      </w:r>
      <w:r w:rsidRPr="009A0DA6">
        <w:rPr>
          <w:rFonts w:ascii="Cambria" w:eastAsia="Times New Roman" w:hAnsi="Cambria" w:cstheme="minorHAnsi"/>
        </w:rPr>
        <w:t>i</w:t>
      </w:r>
      <w:r w:rsidRPr="009A0DA6">
        <w:rPr>
          <w:rFonts w:ascii="Cambria" w:eastAsia="Times New Roman" w:hAnsi="Cambria" w:cstheme="minorHAnsi"/>
          <w:spacing w:val="-1"/>
        </w:rPr>
        <w:t>n</w:t>
      </w:r>
      <w:r w:rsidRPr="009A0DA6">
        <w:rPr>
          <w:rFonts w:ascii="Cambria" w:eastAsia="Times New Roman" w:hAnsi="Cambria" w:cstheme="minorHAnsi"/>
          <w:spacing w:val="2"/>
        </w:rPr>
        <w:t>i</w:t>
      </w:r>
      <w:r w:rsidRPr="009A0DA6">
        <w:rPr>
          <w:rFonts w:ascii="Cambria" w:eastAsia="Times New Roman" w:hAnsi="Cambria" w:cstheme="minorHAnsi"/>
          <w:spacing w:val="-1"/>
        </w:rPr>
        <w:t>s</w:t>
      </w:r>
      <w:r w:rsidRPr="009A0DA6">
        <w:rPr>
          <w:rFonts w:ascii="Cambria" w:eastAsia="Times New Roman" w:hAnsi="Cambria" w:cstheme="minorHAnsi"/>
        </w:rPr>
        <w:t>t</w:t>
      </w:r>
      <w:r w:rsidRPr="009A0DA6">
        <w:rPr>
          <w:rFonts w:ascii="Cambria" w:eastAsia="Times New Roman" w:hAnsi="Cambria" w:cstheme="minorHAnsi"/>
          <w:spacing w:val="3"/>
        </w:rPr>
        <w:t>r</w:t>
      </w:r>
      <w:r w:rsidRPr="009A0DA6">
        <w:rPr>
          <w:rFonts w:ascii="Cambria" w:eastAsia="Times New Roman" w:hAnsi="Cambria" w:cstheme="minorHAnsi"/>
        </w:rPr>
        <w:t>y</w:t>
      </w:r>
      <w:r w:rsidRPr="009A0DA6">
        <w:rPr>
          <w:rFonts w:ascii="Cambria" w:eastAsia="Times New Roman" w:hAnsi="Cambria" w:cstheme="minorHAnsi"/>
          <w:spacing w:val="-10"/>
        </w:rPr>
        <w:t xml:space="preserve"> </w:t>
      </w:r>
      <w:r w:rsidRPr="009A0DA6">
        <w:rPr>
          <w:rFonts w:ascii="Cambria" w:eastAsia="Times New Roman" w:hAnsi="Cambria" w:cstheme="minorHAnsi"/>
          <w:spacing w:val="3"/>
        </w:rPr>
        <w:t>e</w:t>
      </w:r>
      <w:r w:rsidRPr="009A0DA6">
        <w:rPr>
          <w:rFonts w:ascii="Cambria" w:eastAsia="Times New Roman" w:hAnsi="Cambria" w:cstheme="minorHAnsi"/>
          <w:spacing w:val="-1"/>
        </w:rPr>
        <w:t>x</w:t>
      </w:r>
      <w:r w:rsidRPr="009A0DA6">
        <w:rPr>
          <w:rFonts w:ascii="Cambria" w:eastAsia="Times New Roman" w:hAnsi="Cambria" w:cstheme="minorHAnsi"/>
          <w:spacing w:val="1"/>
        </w:rPr>
        <w:t>p</w:t>
      </w:r>
      <w:r w:rsidRPr="009A0DA6">
        <w:rPr>
          <w:rFonts w:ascii="Cambria" w:eastAsia="Times New Roman" w:hAnsi="Cambria" w:cstheme="minorHAnsi"/>
        </w:rPr>
        <w:t>e</w:t>
      </w:r>
      <w:r w:rsidRPr="009A0DA6">
        <w:rPr>
          <w:rFonts w:ascii="Cambria" w:eastAsia="Times New Roman" w:hAnsi="Cambria" w:cstheme="minorHAnsi"/>
          <w:spacing w:val="-1"/>
        </w:rPr>
        <w:t>ns</w:t>
      </w:r>
      <w:r w:rsidRPr="009A0DA6">
        <w:rPr>
          <w:rFonts w:ascii="Cambria" w:eastAsia="Times New Roman" w:hAnsi="Cambria" w:cstheme="minorHAnsi"/>
          <w:spacing w:val="3"/>
        </w:rPr>
        <w:t>e</w:t>
      </w:r>
      <w:r w:rsidRPr="009A0DA6">
        <w:rPr>
          <w:rFonts w:ascii="Cambria" w:eastAsia="Times New Roman" w:hAnsi="Cambria" w:cstheme="minorHAnsi"/>
        </w:rPr>
        <w:t>s</w:t>
      </w:r>
      <w:r w:rsidRPr="009A0DA6">
        <w:rPr>
          <w:rFonts w:ascii="Cambria" w:eastAsia="Times New Roman" w:hAnsi="Cambria" w:cstheme="minorHAnsi"/>
        </w:rPr>
        <w:tab/>
      </w:r>
      <w:r w:rsidRPr="009A0DA6">
        <w:rPr>
          <w:rFonts w:ascii="Cambria" w:eastAsia="Times New Roman" w:hAnsi="Cambria" w:cstheme="minorHAnsi"/>
          <w:spacing w:val="1"/>
        </w:rPr>
        <w:t>1,66</w:t>
      </w:r>
      <w:r w:rsidRPr="009A0DA6">
        <w:rPr>
          <w:rFonts w:ascii="Cambria" w:eastAsia="Times New Roman" w:hAnsi="Cambria" w:cstheme="minorHAnsi"/>
          <w:spacing w:val="-1"/>
        </w:rPr>
        <w:t>7</w:t>
      </w:r>
      <w:r w:rsidRPr="009A0DA6">
        <w:rPr>
          <w:rFonts w:ascii="Cambria" w:eastAsia="Times New Roman" w:hAnsi="Cambria" w:cstheme="minorHAnsi"/>
          <w:spacing w:val="1"/>
        </w:rPr>
        <w:t>,5</w:t>
      </w:r>
      <w:r w:rsidRPr="009A0DA6">
        <w:rPr>
          <w:rFonts w:ascii="Cambria" w:eastAsia="Times New Roman" w:hAnsi="Cambria" w:cstheme="minorHAnsi"/>
          <w:spacing w:val="-1"/>
        </w:rPr>
        <w:t>7</w:t>
      </w:r>
      <w:r w:rsidRPr="009A0DA6">
        <w:rPr>
          <w:rFonts w:ascii="Cambria" w:eastAsia="Times New Roman" w:hAnsi="Cambria" w:cstheme="minorHAnsi"/>
        </w:rPr>
        <w:t>3</w:t>
      </w:r>
      <w:r w:rsidRPr="009A0DA6">
        <w:rPr>
          <w:rFonts w:ascii="Cambria" w:hAnsi="Cambria" w:cstheme="minorHAnsi"/>
        </w:rPr>
        <w:tab/>
      </w:r>
      <w:r w:rsidRPr="009A0DA6">
        <w:rPr>
          <w:rFonts w:ascii="Cambria" w:eastAsia="Times New Roman" w:hAnsi="Cambria" w:cstheme="minorHAnsi"/>
          <w:spacing w:val="1"/>
        </w:rPr>
        <w:t>584,</w:t>
      </w:r>
      <w:r w:rsidRPr="009A0DA6">
        <w:rPr>
          <w:rFonts w:ascii="Cambria" w:eastAsia="Times New Roman" w:hAnsi="Cambria" w:cstheme="minorHAnsi"/>
          <w:spacing w:val="-1"/>
        </w:rPr>
        <w:t>8</w:t>
      </w:r>
      <w:r w:rsidRPr="009A0DA6">
        <w:rPr>
          <w:rFonts w:ascii="Cambria" w:eastAsia="Times New Roman" w:hAnsi="Cambria" w:cstheme="minorHAnsi"/>
          <w:spacing w:val="1"/>
        </w:rPr>
        <w:t>5</w:t>
      </w:r>
      <w:r w:rsidRPr="009A0DA6">
        <w:rPr>
          <w:rFonts w:ascii="Cambria" w:eastAsia="Times New Roman" w:hAnsi="Cambria" w:cstheme="minorHAnsi"/>
        </w:rPr>
        <w:t>8</w:t>
      </w:r>
      <w:r w:rsidRPr="009A0DA6">
        <w:rPr>
          <w:rFonts w:ascii="Cambria" w:hAnsi="Cambria" w:cstheme="minorHAnsi"/>
        </w:rPr>
        <w:tab/>
      </w:r>
      <w:r w:rsidRPr="009A0DA6">
        <w:rPr>
          <w:rFonts w:ascii="Cambria" w:eastAsia="Times New Roman" w:hAnsi="Cambria" w:cstheme="minorHAnsi"/>
          <w:w w:val="99"/>
        </w:rPr>
        <w:t>0</w:t>
      </w:r>
      <w:r w:rsidRPr="009A0DA6">
        <w:rPr>
          <w:rFonts w:ascii="Cambria" w:hAnsi="Cambria" w:cstheme="minorHAnsi"/>
        </w:rPr>
        <w:tab/>
      </w:r>
      <w:r w:rsidRPr="009A0DA6">
        <w:rPr>
          <w:rFonts w:ascii="Cambria" w:eastAsia="Times New Roman" w:hAnsi="Cambria" w:cstheme="minorHAnsi"/>
          <w:spacing w:val="1"/>
        </w:rPr>
        <w:t>2,25</w:t>
      </w:r>
      <w:r w:rsidRPr="009A0DA6">
        <w:rPr>
          <w:rFonts w:ascii="Cambria" w:eastAsia="Times New Roman" w:hAnsi="Cambria" w:cstheme="minorHAnsi"/>
          <w:spacing w:val="-1"/>
        </w:rPr>
        <w:t>2</w:t>
      </w:r>
      <w:r w:rsidRPr="009A0DA6">
        <w:rPr>
          <w:rFonts w:ascii="Cambria" w:eastAsia="Times New Roman" w:hAnsi="Cambria" w:cstheme="minorHAnsi"/>
          <w:spacing w:val="1"/>
        </w:rPr>
        <w:t>,4</w:t>
      </w:r>
      <w:r w:rsidRPr="009A0DA6">
        <w:rPr>
          <w:rFonts w:ascii="Cambria" w:eastAsia="Times New Roman" w:hAnsi="Cambria" w:cstheme="minorHAnsi"/>
          <w:spacing w:val="-1"/>
        </w:rPr>
        <w:t>3</w:t>
      </w:r>
      <w:r w:rsidRPr="009A0DA6">
        <w:rPr>
          <w:rFonts w:ascii="Cambria" w:eastAsia="Times New Roman" w:hAnsi="Cambria" w:cstheme="minorHAnsi"/>
        </w:rPr>
        <w:t>1</w:t>
      </w:r>
    </w:p>
    <w:p w14:paraId="5F5FF854" w14:textId="77777777" w:rsidR="00BA4592" w:rsidRPr="009A0DA6" w:rsidRDefault="00BA4592" w:rsidP="00BA4592">
      <w:pPr>
        <w:tabs>
          <w:tab w:val="right" w:pos="4536"/>
          <w:tab w:val="right" w:pos="5954"/>
          <w:tab w:val="right" w:pos="7371"/>
          <w:tab w:val="right" w:pos="8789"/>
        </w:tabs>
        <w:spacing w:before="120" w:after="120" w:line="240" w:lineRule="auto"/>
        <w:ind w:right="-20"/>
        <w:contextualSpacing/>
        <w:rPr>
          <w:rFonts w:ascii="Cambria" w:eastAsia="Times New Roman" w:hAnsi="Cambria" w:cstheme="minorHAnsi"/>
        </w:rPr>
      </w:pPr>
      <w:r w:rsidRPr="009A0DA6">
        <w:rPr>
          <w:rFonts w:ascii="Cambria" w:eastAsia="Times New Roman" w:hAnsi="Cambria" w:cstheme="minorHAnsi"/>
          <w:spacing w:val="2"/>
        </w:rPr>
        <w:t>P</w:t>
      </w:r>
      <w:r w:rsidRPr="009A0DA6">
        <w:rPr>
          <w:rFonts w:ascii="Cambria" w:eastAsia="Times New Roman" w:hAnsi="Cambria" w:cstheme="minorHAnsi"/>
          <w:spacing w:val="1"/>
        </w:rPr>
        <w:t>r</w:t>
      </w:r>
      <w:r w:rsidRPr="009A0DA6">
        <w:rPr>
          <w:rFonts w:ascii="Cambria" w:eastAsia="Times New Roman" w:hAnsi="Cambria" w:cstheme="minorHAnsi"/>
          <w:spacing w:val="-1"/>
        </w:rPr>
        <w:t>o</w:t>
      </w:r>
      <w:r w:rsidRPr="009A0DA6">
        <w:rPr>
          <w:rFonts w:ascii="Cambria" w:eastAsia="Times New Roman" w:hAnsi="Cambria" w:cstheme="minorHAnsi"/>
          <w:spacing w:val="2"/>
        </w:rPr>
        <w:t>j</w:t>
      </w:r>
      <w:r w:rsidRPr="009A0DA6">
        <w:rPr>
          <w:rFonts w:ascii="Cambria" w:eastAsia="Times New Roman" w:hAnsi="Cambria" w:cstheme="minorHAnsi"/>
        </w:rPr>
        <w:t>ect</w:t>
      </w:r>
      <w:r w:rsidRPr="009A0DA6">
        <w:rPr>
          <w:rFonts w:ascii="Cambria" w:eastAsia="Times New Roman" w:hAnsi="Cambria" w:cstheme="minorHAnsi"/>
          <w:spacing w:val="-6"/>
        </w:rPr>
        <w:t xml:space="preserve"> </w:t>
      </w:r>
      <w:r w:rsidRPr="009A0DA6">
        <w:rPr>
          <w:rFonts w:ascii="Cambria" w:eastAsia="Times New Roman" w:hAnsi="Cambria" w:cstheme="minorHAnsi"/>
        </w:rPr>
        <w:t>c</w:t>
      </w:r>
      <w:r w:rsidRPr="009A0DA6">
        <w:rPr>
          <w:rFonts w:ascii="Cambria" w:eastAsia="Times New Roman" w:hAnsi="Cambria" w:cstheme="minorHAnsi"/>
          <w:spacing w:val="1"/>
        </w:rPr>
        <w:t>o</w:t>
      </w:r>
      <w:r w:rsidRPr="009A0DA6">
        <w:rPr>
          <w:rFonts w:ascii="Cambria" w:eastAsia="Times New Roman" w:hAnsi="Cambria" w:cstheme="minorHAnsi"/>
          <w:spacing w:val="-1"/>
        </w:rPr>
        <w:t>s</w:t>
      </w:r>
      <w:r w:rsidRPr="009A0DA6">
        <w:rPr>
          <w:rFonts w:ascii="Cambria" w:eastAsia="Times New Roman" w:hAnsi="Cambria" w:cstheme="minorHAnsi"/>
        </w:rPr>
        <w:t>ts</w:t>
      </w:r>
      <w:r w:rsidRPr="009A0DA6">
        <w:rPr>
          <w:rFonts w:ascii="Cambria" w:eastAsia="Times New Roman" w:hAnsi="Cambria" w:cstheme="minorHAnsi"/>
        </w:rPr>
        <w:tab/>
      </w:r>
      <w:r w:rsidRPr="009A0DA6">
        <w:rPr>
          <w:rFonts w:ascii="Cambria" w:eastAsia="Times New Roman" w:hAnsi="Cambria" w:cstheme="minorHAnsi"/>
          <w:spacing w:val="1"/>
        </w:rPr>
        <w:t>456,</w:t>
      </w:r>
      <w:r w:rsidRPr="009A0DA6">
        <w:rPr>
          <w:rFonts w:ascii="Cambria" w:eastAsia="Times New Roman" w:hAnsi="Cambria" w:cstheme="minorHAnsi"/>
          <w:spacing w:val="-1"/>
        </w:rPr>
        <w:t>7</w:t>
      </w:r>
      <w:r w:rsidRPr="009A0DA6">
        <w:rPr>
          <w:rFonts w:ascii="Cambria" w:eastAsia="Times New Roman" w:hAnsi="Cambria" w:cstheme="minorHAnsi"/>
          <w:spacing w:val="1"/>
        </w:rPr>
        <w:t>5</w:t>
      </w:r>
      <w:r w:rsidRPr="009A0DA6">
        <w:rPr>
          <w:rFonts w:ascii="Cambria" w:eastAsia="Times New Roman" w:hAnsi="Cambria" w:cstheme="minorHAnsi"/>
        </w:rPr>
        <w:t>9</w:t>
      </w:r>
      <w:r w:rsidRPr="009A0DA6">
        <w:rPr>
          <w:rFonts w:ascii="Cambria" w:hAnsi="Cambria" w:cstheme="minorHAnsi"/>
        </w:rPr>
        <w:tab/>
      </w:r>
      <w:r w:rsidRPr="009A0DA6">
        <w:rPr>
          <w:rFonts w:ascii="Cambria" w:eastAsia="Times New Roman" w:hAnsi="Cambria" w:cstheme="minorHAnsi"/>
          <w:spacing w:val="1"/>
        </w:rPr>
        <w:t>645,</w:t>
      </w:r>
      <w:r w:rsidRPr="009A0DA6">
        <w:rPr>
          <w:rFonts w:ascii="Cambria" w:eastAsia="Times New Roman" w:hAnsi="Cambria" w:cstheme="minorHAnsi"/>
          <w:spacing w:val="-1"/>
        </w:rPr>
        <w:t>1</w:t>
      </w:r>
      <w:r w:rsidRPr="009A0DA6">
        <w:rPr>
          <w:rFonts w:ascii="Cambria" w:eastAsia="Times New Roman" w:hAnsi="Cambria" w:cstheme="minorHAnsi"/>
          <w:spacing w:val="1"/>
        </w:rPr>
        <w:t>9</w:t>
      </w:r>
      <w:r w:rsidRPr="009A0DA6">
        <w:rPr>
          <w:rFonts w:ascii="Cambria" w:eastAsia="Times New Roman" w:hAnsi="Cambria" w:cstheme="minorHAnsi"/>
        </w:rPr>
        <w:t>6</w:t>
      </w:r>
      <w:r w:rsidRPr="009A0DA6">
        <w:rPr>
          <w:rFonts w:ascii="Cambria" w:hAnsi="Cambria" w:cstheme="minorHAnsi"/>
        </w:rPr>
        <w:tab/>
      </w:r>
      <w:r w:rsidRPr="009A0DA6">
        <w:rPr>
          <w:rFonts w:ascii="Cambria" w:eastAsia="Times New Roman" w:hAnsi="Cambria" w:cstheme="minorHAnsi"/>
          <w:w w:val="99"/>
        </w:rPr>
        <w:t>0</w:t>
      </w:r>
      <w:r w:rsidRPr="009A0DA6">
        <w:rPr>
          <w:rFonts w:ascii="Cambria" w:hAnsi="Cambria" w:cstheme="minorHAnsi"/>
        </w:rPr>
        <w:tab/>
      </w:r>
      <w:r w:rsidRPr="009A0DA6">
        <w:rPr>
          <w:rFonts w:ascii="Cambria" w:eastAsia="Times New Roman" w:hAnsi="Cambria" w:cstheme="minorHAnsi"/>
          <w:spacing w:val="1"/>
        </w:rPr>
        <w:t>1,10</w:t>
      </w:r>
      <w:r w:rsidRPr="009A0DA6">
        <w:rPr>
          <w:rFonts w:ascii="Cambria" w:eastAsia="Times New Roman" w:hAnsi="Cambria" w:cstheme="minorHAnsi"/>
          <w:spacing w:val="-1"/>
        </w:rPr>
        <w:t>1</w:t>
      </w:r>
      <w:r w:rsidRPr="009A0DA6">
        <w:rPr>
          <w:rFonts w:ascii="Cambria" w:eastAsia="Times New Roman" w:hAnsi="Cambria" w:cstheme="minorHAnsi"/>
          <w:spacing w:val="1"/>
        </w:rPr>
        <w:t>,9</w:t>
      </w:r>
      <w:r w:rsidRPr="009A0DA6">
        <w:rPr>
          <w:rFonts w:ascii="Cambria" w:eastAsia="Times New Roman" w:hAnsi="Cambria" w:cstheme="minorHAnsi"/>
          <w:spacing w:val="-1"/>
        </w:rPr>
        <w:t>5</w:t>
      </w:r>
      <w:r w:rsidRPr="009A0DA6">
        <w:rPr>
          <w:rFonts w:ascii="Cambria" w:eastAsia="Times New Roman" w:hAnsi="Cambria" w:cstheme="minorHAnsi"/>
        </w:rPr>
        <w:t>5</w:t>
      </w:r>
    </w:p>
    <w:p w14:paraId="7FC68B46" w14:textId="77777777" w:rsidR="00BA4592" w:rsidRPr="009A0DA6" w:rsidRDefault="00BA4592" w:rsidP="00BA4592">
      <w:pPr>
        <w:tabs>
          <w:tab w:val="right" w:pos="4536"/>
          <w:tab w:val="right" w:pos="5954"/>
          <w:tab w:val="right" w:pos="7371"/>
          <w:tab w:val="right" w:pos="8789"/>
        </w:tabs>
        <w:spacing w:before="120" w:after="120" w:line="240" w:lineRule="auto"/>
        <w:ind w:right="-20"/>
        <w:contextualSpacing/>
        <w:rPr>
          <w:rFonts w:ascii="Cambria" w:eastAsia="Times New Roman" w:hAnsi="Cambria" w:cstheme="minorHAnsi"/>
        </w:rPr>
      </w:pPr>
      <w:r w:rsidRPr="009A0DA6">
        <w:rPr>
          <w:rFonts w:ascii="Cambria" w:eastAsia="Times New Roman" w:hAnsi="Cambria" w:cstheme="minorHAnsi"/>
          <w:spacing w:val="2"/>
        </w:rPr>
        <w:t>P</w:t>
      </w:r>
      <w:r w:rsidRPr="009A0DA6">
        <w:rPr>
          <w:rFonts w:ascii="Cambria" w:eastAsia="Times New Roman" w:hAnsi="Cambria" w:cstheme="minorHAnsi"/>
          <w:spacing w:val="1"/>
        </w:rPr>
        <w:t>ro</w:t>
      </w:r>
      <w:r w:rsidRPr="009A0DA6">
        <w:rPr>
          <w:rFonts w:ascii="Cambria" w:eastAsia="Times New Roman" w:hAnsi="Cambria" w:cstheme="minorHAnsi"/>
          <w:spacing w:val="-4"/>
        </w:rPr>
        <w:t>m</w:t>
      </w:r>
      <w:r w:rsidRPr="009A0DA6">
        <w:rPr>
          <w:rFonts w:ascii="Cambria" w:eastAsia="Times New Roman" w:hAnsi="Cambria" w:cstheme="minorHAnsi"/>
          <w:spacing w:val="1"/>
        </w:rPr>
        <w:t>o</w:t>
      </w:r>
      <w:r w:rsidRPr="009A0DA6">
        <w:rPr>
          <w:rFonts w:ascii="Cambria" w:eastAsia="Times New Roman" w:hAnsi="Cambria" w:cstheme="minorHAnsi"/>
        </w:rPr>
        <w:t>ti</w:t>
      </w:r>
      <w:r w:rsidRPr="009A0DA6">
        <w:rPr>
          <w:rFonts w:ascii="Cambria" w:eastAsia="Times New Roman" w:hAnsi="Cambria" w:cstheme="minorHAnsi"/>
          <w:spacing w:val="1"/>
        </w:rPr>
        <w:t>o</w:t>
      </w:r>
      <w:r w:rsidRPr="009A0DA6">
        <w:rPr>
          <w:rFonts w:ascii="Cambria" w:eastAsia="Times New Roman" w:hAnsi="Cambria" w:cstheme="minorHAnsi"/>
        </w:rPr>
        <w:t>n</w:t>
      </w:r>
      <w:r w:rsidRPr="009A0DA6">
        <w:rPr>
          <w:rFonts w:ascii="Cambria" w:eastAsia="Times New Roman" w:hAnsi="Cambria" w:cstheme="minorHAnsi"/>
          <w:spacing w:val="-9"/>
        </w:rPr>
        <w:t xml:space="preserve"> </w:t>
      </w:r>
      <w:r w:rsidRPr="009A0DA6">
        <w:rPr>
          <w:rFonts w:ascii="Cambria" w:eastAsia="Times New Roman" w:hAnsi="Cambria" w:cstheme="minorHAnsi"/>
        </w:rPr>
        <w:t>a</w:t>
      </w:r>
      <w:r w:rsidRPr="009A0DA6">
        <w:rPr>
          <w:rFonts w:ascii="Cambria" w:eastAsia="Times New Roman" w:hAnsi="Cambria" w:cstheme="minorHAnsi"/>
          <w:spacing w:val="-1"/>
        </w:rPr>
        <w:t>n</w:t>
      </w:r>
      <w:r w:rsidRPr="009A0DA6">
        <w:rPr>
          <w:rFonts w:ascii="Cambria" w:eastAsia="Times New Roman" w:hAnsi="Cambria" w:cstheme="minorHAnsi"/>
        </w:rPr>
        <w:t>d</w:t>
      </w:r>
      <w:r w:rsidRPr="009A0DA6">
        <w:rPr>
          <w:rFonts w:ascii="Cambria" w:eastAsia="Times New Roman" w:hAnsi="Cambria" w:cstheme="minorHAnsi"/>
          <w:spacing w:val="1"/>
        </w:rPr>
        <w:t xml:space="preserve"> </w:t>
      </w:r>
      <w:r w:rsidRPr="009A0DA6">
        <w:rPr>
          <w:rFonts w:ascii="Cambria" w:eastAsia="Times New Roman" w:hAnsi="Cambria" w:cstheme="minorHAnsi"/>
          <w:spacing w:val="-1"/>
        </w:rPr>
        <w:t>m</w:t>
      </w:r>
      <w:r w:rsidRPr="009A0DA6">
        <w:rPr>
          <w:rFonts w:ascii="Cambria" w:eastAsia="Times New Roman" w:hAnsi="Cambria" w:cstheme="minorHAnsi"/>
        </w:rPr>
        <w:t>a</w:t>
      </w:r>
      <w:r w:rsidRPr="009A0DA6">
        <w:rPr>
          <w:rFonts w:ascii="Cambria" w:eastAsia="Times New Roman" w:hAnsi="Cambria" w:cstheme="minorHAnsi"/>
          <w:spacing w:val="1"/>
        </w:rPr>
        <w:t>r</w:t>
      </w:r>
      <w:r w:rsidRPr="009A0DA6">
        <w:rPr>
          <w:rFonts w:ascii="Cambria" w:eastAsia="Times New Roman" w:hAnsi="Cambria" w:cstheme="minorHAnsi"/>
          <w:spacing w:val="-1"/>
        </w:rPr>
        <w:t>k</w:t>
      </w:r>
      <w:r w:rsidRPr="009A0DA6">
        <w:rPr>
          <w:rFonts w:ascii="Cambria" w:eastAsia="Times New Roman" w:hAnsi="Cambria" w:cstheme="minorHAnsi"/>
        </w:rPr>
        <w:t>et</w:t>
      </w:r>
      <w:r w:rsidRPr="009A0DA6">
        <w:rPr>
          <w:rFonts w:ascii="Cambria" w:eastAsia="Times New Roman" w:hAnsi="Cambria" w:cstheme="minorHAnsi"/>
          <w:spacing w:val="2"/>
        </w:rPr>
        <w:t>i</w:t>
      </w:r>
      <w:r w:rsidRPr="009A0DA6">
        <w:rPr>
          <w:rFonts w:ascii="Cambria" w:eastAsia="Times New Roman" w:hAnsi="Cambria" w:cstheme="minorHAnsi"/>
          <w:spacing w:val="1"/>
        </w:rPr>
        <w:t>n</w:t>
      </w:r>
      <w:r w:rsidRPr="009A0DA6">
        <w:rPr>
          <w:rFonts w:ascii="Cambria" w:eastAsia="Times New Roman" w:hAnsi="Cambria" w:cstheme="minorHAnsi"/>
        </w:rPr>
        <w:t>g</w:t>
      </w:r>
      <w:r w:rsidRPr="009A0DA6">
        <w:rPr>
          <w:rFonts w:ascii="Cambria" w:eastAsia="Times New Roman" w:hAnsi="Cambria" w:cstheme="minorHAnsi"/>
        </w:rPr>
        <w:tab/>
      </w:r>
      <w:r w:rsidRPr="009A0DA6">
        <w:rPr>
          <w:rFonts w:ascii="Cambria" w:eastAsia="Times New Roman" w:hAnsi="Cambria" w:cstheme="minorHAnsi"/>
          <w:spacing w:val="1"/>
        </w:rPr>
        <w:t>34,6</w:t>
      </w:r>
      <w:r w:rsidRPr="009A0DA6">
        <w:rPr>
          <w:rFonts w:ascii="Cambria" w:eastAsia="Times New Roman" w:hAnsi="Cambria" w:cstheme="minorHAnsi"/>
          <w:spacing w:val="-1"/>
        </w:rPr>
        <w:t>7</w:t>
      </w:r>
      <w:r w:rsidRPr="009A0DA6">
        <w:rPr>
          <w:rFonts w:ascii="Cambria" w:eastAsia="Times New Roman" w:hAnsi="Cambria" w:cstheme="minorHAnsi"/>
        </w:rPr>
        <w:t>8</w:t>
      </w:r>
      <w:r w:rsidRPr="009A0DA6">
        <w:rPr>
          <w:rFonts w:ascii="Cambria" w:hAnsi="Cambria" w:cstheme="minorHAnsi"/>
        </w:rPr>
        <w:tab/>
      </w:r>
      <w:r w:rsidRPr="009A0DA6">
        <w:rPr>
          <w:rFonts w:ascii="Cambria" w:eastAsia="Times New Roman" w:hAnsi="Cambria" w:cstheme="minorHAnsi"/>
          <w:spacing w:val="1"/>
        </w:rPr>
        <w:t>338,</w:t>
      </w:r>
      <w:r w:rsidRPr="009A0DA6">
        <w:rPr>
          <w:rFonts w:ascii="Cambria" w:eastAsia="Times New Roman" w:hAnsi="Cambria" w:cstheme="minorHAnsi"/>
          <w:spacing w:val="-1"/>
        </w:rPr>
        <w:t>6</w:t>
      </w:r>
      <w:r w:rsidRPr="009A0DA6">
        <w:rPr>
          <w:rFonts w:ascii="Cambria" w:eastAsia="Times New Roman" w:hAnsi="Cambria" w:cstheme="minorHAnsi"/>
          <w:spacing w:val="1"/>
        </w:rPr>
        <w:t>2</w:t>
      </w:r>
      <w:r w:rsidRPr="009A0DA6">
        <w:rPr>
          <w:rFonts w:ascii="Cambria" w:eastAsia="Times New Roman" w:hAnsi="Cambria" w:cstheme="minorHAnsi"/>
        </w:rPr>
        <w:t>7</w:t>
      </w:r>
      <w:r w:rsidRPr="009A0DA6">
        <w:rPr>
          <w:rFonts w:ascii="Cambria" w:hAnsi="Cambria" w:cstheme="minorHAnsi"/>
        </w:rPr>
        <w:tab/>
      </w:r>
      <w:r w:rsidRPr="009A0DA6">
        <w:rPr>
          <w:rFonts w:ascii="Cambria" w:eastAsia="Times New Roman" w:hAnsi="Cambria" w:cstheme="minorHAnsi"/>
          <w:w w:val="99"/>
        </w:rPr>
        <w:t>0</w:t>
      </w:r>
      <w:r w:rsidRPr="009A0DA6">
        <w:rPr>
          <w:rFonts w:ascii="Cambria" w:hAnsi="Cambria" w:cstheme="minorHAnsi"/>
        </w:rPr>
        <w:tab/>
      </w:r>
      <w:r w:rsidRPr="009A0DA6">
        <w:rPr>
          <w:rFonts w:ascii="Cambria" w:eastAsia="Times New Roman" w:hAnsi="Cambria" w:cstheme="minorHAnsi"/>
          <w:spacing w:val="1"/>
        </w:rPr>
        <w:t>373,</w:t>
      </w:r>
      <w:r w:rsidRPr="009A0DA6">
        <w:rPr>
          <w:rFonts w:ascii="Cambria" w:eastAsia="Times New Roman" w:hAnsi="Cambria" w:cstheme="minorHAnsi"/>
          <w:spacing w:val="-1"/>
        </w:rPr>
        <w:t>3</w:t>
      </w:r>
      <w:r w:rsidRPr="009A0DA6">
        <w:rPr>
          <w:rFonts w:ascii="Cambria" w:eastAsia="Times New Roman" w:hAnsi="Cambria" w:cstheme="minorHAnsi"/>
          <w:spacing w:val="1"/>
        </w:rPr>
        <w:t>0</w:t>
      </w:r>
      <w:r w:rsidRPr="009A0DA6">
        <w:rPr>
          <w:rFonts w:ascii="Cambria" w:eastAsia="Times New Roman" w:hAnsi="Cambria" w:cstheme="minorHAnsi"/>
        </w:rPr>
        <w:t>5</w:t>
      </w:r>
    </w:p>
    <w:p w14:paraId="7ED9F7AF" w14:textId="282B4D4D" w:rsidR="00BA4592" w:rsidRPr="009A0DA6" w:rsidRDefault="00BA4592" w:rsidP="00BA4592">
      <w:pPr>
        <w:tabs>
          <w:tab w:val="right" w:pos="4536"/>
          <w:tab w:val="right" w:pos="5954"/>
          <w:tab w:val="right" w:pos="7371"/>
          <w:tab w:val="right" w:pos="8789"/>
        </w:tabs>
        <w:spacing w:before="120" w:after="120" w:line="240" w:lineRule="auto"/>
        <w:ind w:right="22"/>
        <w:contextualSpacing/>
        <w:rPr>
          <w:rFonts w:ascii="Cambria" w:eastAsia="Times New Roman" w:hAnsi="Cambria" w:cstheme="minorHAnsi"/>
        </w:rPr>
      </w:pP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2"/>
        </w:rPr>
        <w:t>i</w:t>
      </w:r>
      <w:r w:rsidRPr="009A0DA6">
        <w:rPr>
          <w:rFonts w:ascii="Cambria" w:eastAsia="Times New Roman" w:hAnsi="Cambria" w:cstheme="minorHAnsi"/>
          <w:spacing w:val="-4"/>
        </w:rPr>
        <w:t>m</w:t>
      </w:r>
      <w:r w:rsidRPr="009A0DA6">
        <w:rPr>
          <w:rFonts w:ascii="Cambria" w:eastAsia="Times New Roman" w:hAnsi="Cambria" w:cstheme="minorHAnsi"/>
          <w:spacing w:val="4"/>
        </w:rPr>
        <w:t>b</w:t>
      </w:r>
      <w:r w:rsidRPr="009A0DA6">
        <w:rPr>
          <w:rFonts w:ascii="Cambria" w:eastAsia="Times New Roman" w:hAnsi="Cambria" w:cstheme="minorHAnsi"/>
          <w:spacing w:val="-1"/>
        </w:rPr>
        <w:t>u</w:t>
      </w:r>
      <w:r w:rsidRPr="009A0DA6">
        <w:rPr>
          <w:rFonts w:ascii="Cambria" w:eastAsia="Times New Roman" w:hAnsi="Cambria" w:cstheme="minorHAnsi"/>
          <w:spacing w:val="1"/>
        </w:rPr>
        <w:t>r</w:t>
      </w:r>
      <w:r w:rsidRPr="009A0DA6">
        <w:rPr>
          <w:rFonts w:ascii="Cambria" w:eastAsia="Times New Roman" w:hAnsi="Cambria" w:cstheme="minorHAnsi"/>
          <w:spacing w:val="-1"/>
        </w:rPr>
        <w:t>s</w:t>
      </w:r>
      <w:r w:rsidRPr="009A0DA6">
        <w:rPr>
          <w:rFonts w:ascii="Cambria" w:eastAsia="Times New Roman" w:hAnsi="Cambria" w:cstheme="minorHAnsi"/>
          <w:spacing w:val="3"/>
        </w:rPr>
        <w:t>e</w:t>
      </w:r>
      <w:r w:rsidRPr="009A0DA6">
        <w:rPr>
          <w:rFonts w:ascii="Cambria" w:eastAsia="Times New Roman" w:hAnsi="Cambria" w:cstheme="minorHAnsi"/>
          <w:spacing w:val="-1"/>
        </w:rPr>
        <w:t>m</w:t>
      </w:r>
      <w:r w:rsidRPr="009A0DA6">
        <w:rPr>
          <w:rFonts w:ascii="Cambria" w:eastAsia="Times New Roman" w:hAnsi="Cambria" w:cstheme="minorHAnsi"/>
          <w:spacing w:val="3"/>
        </w:rPr>
        <w:t>e</w:t>
      </w:r>
      <w:r w:rsidRPr="009A0DA6">
        <w:rPr>
          <w:rFonts w:ascii="Cambria" w:eastAsia="Times New Roman" w:hAnsi="Cambria" w:cstheme="minorHAnsi"/>
          <w:spacing w:val="-1"/>
        </w:rPr>
        <w:t>n</w:t>
      </w:r>
      <w:r w:rsidRPr="009A0DA6">
        <w:rPr>
          <w:rFonts w:ascii="Cambria" w:eastAsia="Times New Roman" w:hAnsi="Cambria" w:cstheme="minorHAnsi"/>
        </w:rPr>
        <w:t>ts</w:t>
      </w:r>
      <w:r w:rsidRPr="009A0DA6">
        <w:rPr>
          <w:rFonts w:ascii="Cambria" w:eastAsia="Times New Roman" w:hAnsi="Cambria" w:cstheme="minorHAnsi"/>
          <w:spacing w:val="-13"/>
        </w:rPr>
        <w:t xml:space="preserve"> </w:t>
      </w:r>
      <w:r w:rsidRPr="009A0DA6">
        <w:rPr>
          <w:rFonts w:ascii="Cambria" w:eastAsia="Times New Roman" w:hAnsi="Cambria" w:cstheme="minorHAnsi"/>
        </w:rPr>
        <w:t>–</w:t>
      </w:r>
      <w:r w:rsidRPr="009A0DA6">
        <w:rPr>
          <w:rFonts w:ascii="Cambria" w:eastAsia="Times New Roman" w:hAnsi="Cambria" w:cstheme="minorHAnsi"/>
          <w:spacing w:val="1"/>
        </w:rPr>
        <w:t xml:space="preserve"> </w:t>
      </w:r>
      <w:r w:rsidR="00392322">
        <w:rPr>
          <w:rFonts w:ascii="Cambria" w:eastAsia="Times New Roman" w:hAnsi="Cambria" w:cstheme="minorHAnsi"/>
        </w:rPr>
        <w:t>d</w:t>
      </w:r>
      <w:r w:rsidRPr="009A0DA6">
        <w:rPr>
          <w:rFonts w:ascii="Cambria" w:eastAsia="Times New Roman" w:hAnsi="Cambria" w:cstheme="minorHAnsi"/>
        </w:rPr>
        <w:t>e</w:t>
      </w:r>
      <w:r w:rsidRPr="009A0DA6">
        <w:rPr>
          <w:rFonts w:ascii="Cambria" w:eastAsia="Times New Roman" w:hAnsi="Cambria" w:cstheme="minorHAnsi"/>
          <w:spacing w:val="1"/>
        </w:rPr>
        <w:t>p</w:t>
      </w:r>
      <w:r w:rsidRPr="009A0DA6">
        <w:rPr>
          <w:rFonts w:ascii="Cambria" w:eastAsia="Times New Roman" w:hAnsi="Cambria" w:cstheme="minorHAnsi"/>
        </w:rPr>
        <w:t>a</w:t>
      </w:r>
      <w:r w:rsidRPr="009A0DA6">
        <w:rPr>
          <w:rFonts w:ascii="Cambria" w:eastAsia="Times New Roman" w:hAnsi="Cambria" w:cstheme="minorHAnsi"/>
          <w:spacing w:val="1"/>
        </w:rPr>
        <w:t>r</w:t>
      </w:r>
      <w:r w:rsidRPr="009A0DA6">
        <w:rPr>
          <w:rFonts w:ascii="Cambria" w:eastAsia="Times New Roman" w:hAnsi="Cambria" w:cstheme="minorHAnsi"/>
          <w:spacing w:val="2"/>
        </w:rPr>
        <w:t>t</w:t>
      </w:r>
      <w:r w:rsidRPr="009A0DA6">
        <w:rPr>
          <w:rFonts w:ascii="Cambria" w:eastAsia="Times New Roman" w:hAnsi="Cambria" w:cstheme="minorHAnsi"/>
          <w:spacing w:val="-4"/>
        </w:rPr>
        <w:t>m</w:t>
      </w:r>
      <w:r w:rsidRPr="009A0DA6">
        <w:rPr>
          <w:rFonts w:ascii="Cambria" w:eastAsia="Times New Roman" w:hAnsi="Cambria" w:cstheme="minorHAnsi"/>
          <w:spacing w:val="3"/>
        </w:rPr>
        <w:t>e</w:t>
      </w:r>
      <w:r w:rsidRPr="009A0DA6">
        <w:rPr>
          <w:rFonts w:ascii="Cambria" w:eastAsia="Times New Roman" w:hAnsi="Cambria" w:cstheme="minorHAnsi"/>
          <w:spacing w:val="1"/>
        </w:rPr>
        <w:t>n</w:t>
      </w:r>
      <w:r w:rsidRPr="009A0DA6">
        <w:rPr>
          <w:rFonts w:ascii="Cambria" w:eastAsia="Times New Roman" w:hAnsi="Cambria" w:cstheme="minorHAnsi"/>
        </w:rPr>
        <w:t>ts</w:t>
      </w:r>
      <w:r w:rsidRPr="009A0DA6">
        <w:rPr>
          <w:rFonts w:ascii="Cambria" w:eastAsia="Times New Roman" w:hAnsi="Cambria" w:cstheme="minorHAnsi"/>
        </w:rPr>
        <w:tab/>
      </w:r>
      <w:r w:rsidRPr="009A0DA6">
        <w:rPr>
          <w:rFonts w:ascii="Cambria" w:eastAsia="Times New Roman" w:hAnsi="Cambria" w:cstheme="minorHAnsi"/>
          <w:spacing w:val="1"/>
        </w:rPr>
        <w:t>3,00</w:t>
      </w:r>
      <w:r w:rsidRPr="009A0DA6">
        <w:rPr>
          <w:rFonts w:ascii="Cambria" w:eastAsia="Times New Roman" w:hAnsi="Cambria" w:cstheme="minorHAnsi"/>
        </w:rPr>
        <w:t>0</w:t>
      </w:r>
      <w:r w:rsidRPr="009A0DA6">
        <w:rPr>
          <w:rFonts w:ascii="Cambria" w:hAnsi="Cambria" w:cstheme="minorHAnsi"/>
        </w:rPr>
        <w:tab/>
      </w:r>
      <w:r w:rsidRPr="009A0DA6">
        <w:rPr>
          <w:rFonts w:ascii="Cambria" w:eastAsia="Times New Roman" w:hAnsi="Cambria" w:cstheme="minorHAnsi"/>
          <w:w w:val="99"/>
        </w:rPr>
        <w:t>0</w:t>
      </w:r>
      <w:r w:rsidRPr="009A0DA6">
        <w:rPr>
          <w:rFonts w:ascii="Cambria" w:hAnsi="Cambria" w:cstheme="minorHAnsi"/>
        </w:rPr>
        <w:tab/>
      </w:r>
      <w:r w:rsidRPr="009A0DA6">
        <w:rPr>
          <w:rFonts w:ascii="Cambria" w:eastAsia="Times New Roman" w:hAnsi="Cambria" w:cstheme="minorHAnsi"/>
          <w:spacing w:val="1"/>
        </w:rPr>
        <w:t>(3,0</w:t>
      </w:r>
      <w:r w:rsidRPr="009A0DA6">
        <w:rPr>
          <w:rFonts w:ascii="Cambria" w:eastAsia="Times New Roman" w:hAnsi="Cambria" w:cstheme="minorHAnsi"/>
          <w:spacing w:val="-1"/>
        </w:rPr>
        <w:t>0</w:t>
      </w:r>
      <w:r w:rsidRPr="009A0DA6">
        <w:rPr>
          <w:rFonts w:ascii="Cambria" w:eastAsia="Times New Roman" w:hAnsi="Cambria" w:cstheme="minorHAnsi"/>
          <w:spacing w:val="1"/>
        </w:rPr>
        <w:t>0</w:t>
      </w:r>
      <w:r w:rsidRPr="009A0DA6">
        <w:rPr>
          <w:rFonts w:ascii="Cambria" w:eastAsia="Times New Roman" w:hAnsi="Cambria" w:cstheme="minorHAnsi"/>
        </w:rPr>
        <w:t>)</w:t>
      </w:r>
      <w:r w:rsidRPr="009A0DA6">
        <w:rPr>
          <w:rFonts w:ascii="Cambria" w:hAnsi="Cambria" w:cstheme="minorHAnsi"/>
        </w:rPr>
        <w:tab/>
      </w:r>
      <w:r w:rsidRPr="009A0DA6">
        <w:rPr>
          <w:rFonts w:ascii="Cambria" w:eastAsia="Times New Roman" w:hAnsi="Cambria" w:cstheme="minorHAnsi"/>
          <w:w w:val="99"/>
        </w:rPr>
        <w:t>0</w:t>
      </w:r>
    </w:p>
    <w:p w14:paraId="0AFFED23" w14:textId="77777777" w:rsidR="00BA4592" w:rsidRPr="009A0DA6" w:rsidRDefault="00BA4592" w:rsidP="00BA4592">
      <w:pPr>
        <w:tabs>
          <w:tab w:val="right" w:pos="4536"/>
          <w:tab w:val="right" w:pos="5954"/>
          <w:tab w:val="right" w:pos="7371"/>
          <w:tab w:val="right" w:pos="8789"/>
        </w:tabs>
        <w:spacing w:before="120" w:after="120" w:line="240" w:lineRule="auto"/>
        <w:ind w:right="-20"/>
        <w:contextualSpacing/>
        <w:rPr>
          <w:rFonts w:ascii="Cambria" w:eastAsia="Times New Roman" w:hAnsi="Cambria" w:cstheme="minorHAnsi"/>
        </w:rPr>
      </w:pPr>
      <w:r w:rsidRPr="009A0DA6">
        <w:rPr>
          <w:rFonts w:ascii="Cambria" w:eastAsia="Times New Roman" w:hAnsi="Cambria" w:cstheme="minorHAnsi"/>
          <w:spacing w:val="3"/>
        </w:rPr>
        <w:t>T</w:t>
      </w:r>
      <w:r w:rsidRPr="009A0DA6">
        <w:rPr>
          <w:rFonts w:ascii="Cambria" w:eastAsia="Times New Roman" w:hAnsi="Cambria" w:cstheme="minorHAnsi"/>
          <w:spacing w:val="1"/>
        </w:rPr>
        <w:t>r</w:t>
      </w:r>
      <w:r w:rsidRPr="009A0DA6">
        <w:rPr>
          <w:rFonts w:ascii="Cambria" w:eastAsia="Times New Roman" w:hAnsi="Cambria" w:cstheme="minorHAnsi"/>
        </w:rPr>
        <w:t>a</w:t>
      </w:r>
      <w:r w:rsidRPr="009A0DA6">
        <w:rPr>
          <w:rFonts w:ascii="Cambria" w:eastAsia="Times New Roman" w:hAnsi="Cambria" w:cstheme="minorHAnsi"/>
          <w:spacing w:val="-1"/>
        </w:rPr>
        <w:t>v</w:t>
      </w:r>
      <w:r w:rsidRPr="009A0DA6">
        <w:rPr>
          <w:rFonts w:ascii="Cambria" w:eastAsia="Times New Roman" w:hAnsi="Cambria" w:cstheme="minorHAnsi"/>
        </w:rPr>
        <w:t>elli</w:t>
      </w:r>
      <w:r w:rsidRPr="009A0DA6">
        <w:rPr>
          <w:rFonts w:ascii="Cambria" w:eastAsia="Times New Roman" w:hAnsi="Cambria" w:cstheme="minorHAnsi"/>
          <w:spacing w:val="-1"/>
        </w:rPr>
        <w:t>n</w:t>
      </w:r>
      <w:r w:rsidRPr="009A0DA6">
        <w:rPr>
          <w:rFonts w:ascii="Cambria" w:eastAsia="Times New Roman" w:hAnsi="Cambria" w:cstheme="minorHAnsi"/>
        </w:rPr>
        <w:t>g</w:t>
      </w:r>
      <w:r w:rsidRPr="009A0DA6">
        <w:rPr>
          <w:rFonts w:ascii="Cambria" w:eastAsia="Times New Roman" w:hAnsi="Cambria" w:cstheme="minorHAnsi"/>
          <w:spacing w:val="-9"/>
        </w:rPr>
        <w:t xml:space="preserve"> </w:t>
      </w:r>
      <w:r w:rsidRPr="009A0DA6">
        <w:rPr>
          <w:rFonts w:ascii="Cambria" w:eastAsia="Times New Roman" w:hAnsi="Cambria" w:cstheme="minorHAnsi"/>
          <w:spacing w:val="3"/>
        </w:rPr>
        <w:t>e</w:t>
      </w:r>
      <w:r w:rsidRPr="009A0DA6">
        <w:rPr>
          <w:rFonts w:ascii="Cambria" w:eastAsia="Times New Roman" w:hAnsi="Cambria" w:cstheme="minorHAnsi"/>
          <w:spacing w:val="-1"/>
        </w:rPr>
        <w:t>x</w:t>
      </w:r>
      <w:r w:rsidRPr="009A0DA6">
        <w:rPr>
          <w:rFonts w:ascii="Cambria" w:eastAsia="Times New Roman" w:hAnsi="Cambria" w:cstheme="minorHAnsi"/>
          <w:spacing w:val="1"/>
        </w:rPr>
        <w:t>p</w:t>
      </w:r>
      <w:r w:rsidRPr="009A0DA6">
        <w:rPr>
          <w:rFonts w:ascii="Cambria" w:eastAsia="Times New Roman" w:hAnsi="Cambria" w:cstheme="minorHAnsi"/>
        </w:rPr>
        <w:t>e</w:t>
      </w:r>
      <w:r w:rsidRPr="009A0DA6">
        <w:rPr>
          <w:rFonts w:ascii="Cambria" w:eastAsia="Times New Roman" w:hAnsi="Cambria" w:cstheme="minorHAnsi"/>
          <w:spacing w:val="-1"/>
        </w:rPr>
        <w:t>ns</w:t>
      </w:r>
      <w:r w:rsidRPr="009A0DA6">
        <w:rPr>
          <w:rFonts w:ascii="Cambria" w:eastAsia="Times New Roman" w:hAnsi="Cambria" w:cstheme="minorHAnsi"/>
          <w:spacing w:val="3"/>
        </w:rPr>
        <w:t>e</w:t>
      </w:r>
      <w:r w:rsidRPr="009A0DA6">
        <w:rPr>
          <w:rFonts w:ascii="Cambria" w:eastAsia="Times New Roman" w:hAnsi="Cambria" w:cstheme="minorHAnsi"/>
        </w:rPr>
        <w:t>s</w:t>
      </w:r>
      <w:r w:rsidRPr="009A0DA6">
        <w:rPr>
          <w:rFonts w:ascii="Cambria" w:eastAsia="Times New Roman" w:hAnsi="Cambria" w:cstheme="minorHAnsi"/>
        </w:rPr>
        <w:tab/>
      </w:r>
      <w:r w:rsidRPr="009A0DA6">
        <w:rPr>
          <w:rFonts w:ascii="Cambria" w:eastAsia="Times New Roman" w:hAnsi="Cambria" w:cstheme="minorHAnsi"/>
          <w:spacing w:val="1"/>
        </w:rPr>
        <w:t>183,</w:t>
      </w:r>
      <w:r w:rsidRPr="009A0DA6">
        <w:rPr>
          <w:rFonts w:ascii="Cambria" w:eastAsia="Times New Roman" w:hAnsi="Cambria" w:cstheme="minorHAnsi"/>
          <w:spacing w:val="-1"/>
        </w:rPr>
        <w:t>7</w:t>
      </w:r>
      <w:r w:rsidRPr="009A0DA6">
        <w:rPr>
          <w:rFonts w:ascii="Cambria" w:eastAsia="Times New Roman" w:hAnsi="Cambria" w:cstheme="minorHAnsi"/>
          <w:spacing w:val="1"/>
        </w:rPr>
        <w:t>0</w:t>
      </w:r>
      <w:r w:rsidRPr="009A0DA6">
        <w:rPr>
          <w:rFonts w:ascii="Cambria" w:eastAsia="Times New Roman" w:hAnsi="Cambria" w:cstheme="minorHAnsi"/>
        </w:rPr>
        <w:t>9</w:t>
      </w:r>
      <w:r w:rsidRPr="009A0DA6">
        <w:rPr>
          <w:rFonts w:ascii="Cambria" w:hAnsi="Cambria" w:cstheme="minorHAnsi"/>
        </w:rPr>
        <w:tab/>
      </w:r>
      <w:r w:rsidRPr="009A0DA6">
        <w:rPr>
          <w:rFonts w:ascii="Cambria" w:eastAsia="Times New Roman" w:hAnsi="Cambria" w:cstheme="minorHAnsi"/>
          <w:spacing w:val="1"/>
        </w:rPr>
        <w:t>257,</w:t>
      </w:r>
      <w:r w:rsidRPr="009A0DA6">
        <w:rPr>
          <w:rFonts w:ascii="Cambria" w:eastAsia="Times New Roman" w:hAnsi="Cambria" w:cstheme="minorHAnsi"/>
          <w:spacing w:val="-1"/>
        </w:rPr>
        <w:t>5</w:t>
      </w:r>
      <w:r w:rsidRPr="009A0DA6">
        <w:rPr>
          <w:rFonts w:ascii="Cambria" w:eastAsia="Times New Roman" w:hAnsi="Cambria" w:cstheme="minorHAnsi"/>
          <w:spacing w:val="1"/>
        </w:rPr>
        <w:t>3</w:t>
      </w:r>
      <w:r w:rsidRPr="009A0DA6">
        <w:rPr>
          <w:rFonts w:ascii="Cambria" w:eastAsia="Times New Roman" w:hAnsi="Cambria" w:cstheme="minorHAnsi"/>
        </w:rPr>
        <w:t>9</w:t>
      </w:r>
      <w:r w:rsidRPr="009A0DA6">
        <w:rPr>
          <w:rFonts w:ascii="Cambria" w:hAnsi="Cambria" w:cstheme="minorHAnsi"/>
        </w:rPr>
        <w:tab/>
      </w:r>
      <w:r w:rsidRPr="009A0DA6">
        <w:rPr>
          <w:rFonts w:ascii="Cambria" w:eastAsia="Times New Roman" w:hAnsi="Cambria" w:cstheme="minorHAnsi"/>
          <w:w w:val="99"/>
        </w:rPr>
        <w:t>0</w:t>
      </w:r>
      <w:r w:rsidRPr="009A0DA6">
        <w:rPr>
          <w:rFonts w:ascii="Cambria" w:hAnsi="Cambria" w:cstheme="minorHAnsi"/>
        </w:rPr>
        <w:tab/>
      </w:r>
      <w:r w:rsidRPr="009A0DA6">
        <w:rPr>
          <w:rFonts w:ascii="Cambria" w:eastAsia="Times New Roman" w:hAnsi="Cambria" w:cstheme="minorHAnsi"/>
          <w:spacing w:val="1"/>
        </w:rPr>
        <w:t>441,</w:t>
      </w:r>
      <w:r w:rsidRPr="009A0DA6">
        <w:rPr>
          <w:rFonts w:ascii="Cambria" w:eastAsia="Times New Roman" w:hAnsi="Cambria" w:cstheme="minorHAnsi"/>
          <w:spacing w:val="-1"/>
        </w:rPr>
        <w:t>2</w:t>
      </w:r>
      <w:r w:rsidRPr="009A0DA6">
        <w:rPr>
          <w:rFonts w:ascii="Cambria" w:eastAsia="Times New Roman" w:hAnsi="Cambria" w:cstheme="minorHAnsi"/>
          <w:spacing w:val="1"/>
        </w:rPr>
        <w:t>4</w:t>
      </w:r>
      <w:r w:rsidRPr="009A0DA6">
        <w:rPr>
          <w:rFonts w:ascii="Cambria" w:eastAsia="Times New Roman" w:hAnsi="Cambria" w:cstheme="minorHAnsi"/>
        </w:rPr>
        <w:t>8</w:t>
      </w:r>
    </w:p>
    <w:p w14:paraId="1739153C" w14:textId="77777777" w:rsidR="00BA4592" w:rsidRPr="009A0DA6" w:rsidRDefault="00BA4592" w:rsidP="00BA4592">
      <w:pPr>
        <w:tabs>
          <w:tab w:val="right" w:pos="4536"/>
          <w:tab w:val="right" w:pos="5954"/>
          <w:tab w:val="right" w:pos="7371"/>
          <w:tab w:val="right" w:pos="8789"/>
        </w:tabs>
        <w:spacing w:before="120" w:after="120" w:line="240" w:lineRule="auto"/>
        <w:ind w:right="-20"/>
        <w:contextualSpacing/>
        <w:rPr>
          <w:rFonts w:ascii="Cambria" w:eastAsia="Times New Roman" w:hAnsi="Cambria" w:cstheme="minorHAnsi"/>
          <w:b/>
        </w:rPr>
      </w:pPr>
      <w:r w:rsidRPr="009A0DA6">
        <w:rPr>
          <w:rFonts w:ascii="Cambria" w:eastAsia="Times New Roman" w:hAnsi="Cambria" w:cstheme="minorHAnsi"/>
          <w:b/>
          <w:spacing w:val="-1"/>
        </w:rPr>
        <w:t>T</w:t>
      </w:r>
      <w:r w:rsidRPr="009A0DA6">
        <w:rPr>
          <w:rFonts w:ascii="Cambria" w:eastAsia="Times New Roman" w:hAnsi="Cambria" w:cstheme="minorHAnsi"/>
          <w:b/>
          <w:spacing w:val="1"/>
        </w:rPr>
        <w:t>ota</w:t>
      </w:r>
      <w:r w:rsidRPr="009A0DA6">
        <w:rPr>
          <w:rFonts w:ascii="Cambria" w:eastAsia="Times New Roman" w:hAnsi="Cambria" w:cstheme="minorHAnsi"/>
          <w:b/>
        </w:rPr>
        <w:t>l</w:t>
      </w:r>
      <w:r w:rsidRPr="009A0DA6">
        <w:rPr>
          <w:rFonts w:ascii="Cambria" w:eastAsia="Times New Roman" w:hAnsi="Cambria" w:cstheme="minorHAnsi"/>
          <w:b/>
          <w:spacing w:val="29"/>
        </w:rPr>
        <w:t xml:space="preserve"> </w:t>
      </w:r>
      <w:r w:rsidRPr="009A0DA6">
        <w:rPr>
          <w:rFonts w:ascii="Cambria" w:eastAsia="Times New Roman" w:hAnsi="Cambria" w:cstheme="minorHAnsi"/>
          <w:b/>
          <w:w w:val="107"/>
        </w:rPr>
        <w:t>e</w:t>
      </w:r>
      <w:r w:rsidRPr="009A0DA6">
        <w:rPr>
          <w:rFonts w:ascii="Cambria" w:eastAsia="Times New Roman" w:hAnsi="Cambria" w:cstheme="minorHAnsi"/>
          <w:b/>
          <w:spacing w:val="-1"/>
          <w:w w:val="107"/>
        </w:rPr>
        <w:t>x</w:t>
      </w:r>
      <w:r w:rsidRPr="009A0DA6">
        <w:rPr>
          <w:rFonts w:ascii="Cambria" w:eastAsia="Times New Roman" w:hAnsi="Cambria" w:cstheme="minorHAnsi"/>
          <w:b/>
          <w:w w:val="107"/>
        </w:rPr>
        <w:t>pen</w:t>
      </w:r>
      <w:r w:rsidRPr="009A0DA6">
        <w:rPr>
          <w:rFonts w:ascii="Cambria" w:eastAsia="Times New Roman" w:hAnsi="Cambria" w:cstheme="minorHAnsi"/>
          <w:b/>
          <w:spacing w:val="2"/>
          <w:w w:val="107"/>
        </w:rPr>
        <w:t>d</w:t>
      </w:r>
      <w:r w:rsidRPr="009A0DA6">
        <w:rPr>
          <w:rFonts w:ascii="Cambria" w:eastAsia="Times New Roman" w:hAnsi="Cambria" w:cstheme="minorHAnsi"/>
          <w:b/>
          <w:w w:val="107"/>
        </w:rPr>
        <w:t>i</w:t>
      </w:r>
      <w:r w:rsidRPr="009A0DA6">
        <w:rPr>
          <w:rFonts w:ascii="Cambria" w:eastAsia="Times New Roman" w:hAnsi="Cambria" w:cstheme="minorHAnsi"/>
          <w:b/>
          <w:spacing w:val="1"/>
          <w:w w:val="107"/>
        </w:rPr>
        <w:t>t</w:t>
      </w:r>
      <w:r w:rsidRPr="009A0DA6">
        <w:rPr>
          <w:rFonts w:ascii="Cambria" w:eastAsia="Times New Roman" w:hAnsi="Cambria" w:cstheme="minorHAnsi"/>
          <w:b/>
          <w:w w:val="107"/>
        </w:rPr>
        <w:t>ure</w:t>
      </w:r>
      <w:r w:rsidRPr="009A0DA6">
        <w:rPr>
          <w:rFonts w:ascii="Cambria" w:eastAsia="Times New Roman" w:hAnsi="Cambria" w:cstheme="minorHAnsi"/>
          <w:b/>
          <w:spacing w:val="-52"/>
          <w:w w:val="107"/>
        </w:rPr>
        <w:t xml:space="preserve"> </w:t>
      </w:r>
      <w:r w:rsidRPr="009A0DA6">
        <w:rPr>
          <w:rFonts w:ascii="Cambria" w:eastAsia="Times New Roman" w:hAnsi="Cambria" w:cstheme="minorHAnsi"/>
          <w:b/>
        </w:rPr>
        <w:tab/>
      </w:r>
      <w:r w:rsidRPr="009A0DA6">
        <w:rPr>
          <w:rFonts w:ascii="Cambria" w:eastAsia="Times New Roman" w:hAnsi="Cambria" w:cstheme="minorHAnsi"/>
          <w:b/>
          <w:spacing w:val="1"/>
        </w:rPr>
        <w:t>7,98</w:t>
      </w:r>
      <w:r w:rsidRPr="009A0DA6">
        <w:rPr>
          <w:rFonts w:ascii="Cambria" w:eastAsia="Times New Roman" w:hAnsi="Cambria" w:cstheme="minorHAnsi"/>
          <w:b/>
          <w:spacing w:val="-1"/>
        </w:rPr>
        <w:t>4</w:t>
      </w:r>
      <w:r w:rsidRPr="009A0DA6">
        <w:rPr>
          <w:rFonts w:ascii="Cambria" w:eastAsia="Times New Roman" w:hAnsi="Cambria" w:cstheme="minorHAnsi"/>
          <w:b/>
          <w:spacing w:val="1"/>
        </w:rPr>
        <w:t>,9</w:t>
      </w:r>
      <w:r w:rsidRPr="009A0DA6">
        <w:rPr>
          <w:rFonts w:ascii="Cambria" w:eastAsia="Times New Roman" w:hAnsi="Cambria" w:cstheme="minorHAnsi"/>
          <w:b/>
          <w:spacing w:val="-1"/>
        </w:rPr>
        <w:t>8</w:t>
      </w:r>
      <w:r w:rsidRPr="009A0DA6">
        <w:rPr>
          <w:rFonts w:ascii="Cambria" w:eastAsia="Times New Roman" w:hAnsi="Cambria" w:cstheme="minorHAnsi"/>
          <w:b/>
        </w:rPr>
        <w:t>6</w:t>
      </w:r>
      <w:r w:rsidRPr="009A0DA6">
        <w:rPr>
          <w:rFonts w:ascii="Cambria" w:hAnsi="Cambria" w:cstheme="minorHAnsi"/>
          <w:b/>
        </w:rPr>
        <w:tab/>
      </w:r>
      <w:r w:rsidRPr="009A0DA6">
        <w:rPr>
          <w:rFonts w:ascii="Cambria" w:eastAsia="Times New Roman" w:hAnsi="Cambria" w:cstheme="minorHAnsi"/>
          <w:b/>
          <w:spacing w:val="1"/>
        </w:rPr>
        <w:t>4,47</w:t>
      </w:r>
      <w:r w:rsidRPr="009A0DA6">
        <w:rPr>
          <w:rFonts w:ascii="Cambria" w:eastAsia="Times New Roman" w:hAnsi="Cambria" w:cstheme="minorHAnsi"/>
          <w:b/>
          <w:spacing w:val="-1"/>
        </w:rPr>
        <w:t>3</w:t>
      </w:r>
      <w:r w:rsidRPr="009A0DA6">
        <w:rPr>
          <w:rFonts w:ascii="Cambria" w:eastAsia="Times New Roman" w:hAnsi="Cambria" w:cstheme="minorHAnsi"/>
          <w:b/>
          <w:spacing w:val="1"/>
        </w:rPr>
        <w:t>,9</w:t>
      </w:r>
      <w:r w:rsidRPr="009A0DA6">
        <w:rPr>
          <w:rFonts w:ascii="Cambria" w:eastAsia="Times New Roman" w:hAnsi="Cambria" w:cstheme="minorHAnsi"/>
          <w:b/>
          <w:spacing w:val="-1"/>
        </w:rPr>
        <w:t>6</w:t>
      </w:r>
      <w:r w:rsidRPr="009A0DA6">
        <w:rPr>
          <w:rFonts w:ascii="Cambria" w:eastAsia="Times New Roman" w:hAnsi="Cambria" w:cstheme="minorHAnsi"/>
          <w:b/>
        </w:rPr>
        <w:t>4</w:t>
      </w:r>
      <w:r w:rsidRPr="009A0DA6">
        <w:rPr>
          <w:rFonts w:ascii="Cambria" w:hAnsi="Cambria" w:cstheme="minorHAnsi"/>
          <w:b/>
        </w:rPr>
        <w:tab/>
      </w:r>
      <w:r w:rsidRPr="009A0DA6">
        <w:rPr>
          <w:rFonts w:ascii="Cambria" w:eastAsia="Times New Roman" w:hAnsi="Cambria" w:cstheme="minorHAnsi"/>
          <w:b/>
          <w:spacing w:val="1"/>
        </w:rPr>
        <w:t>(1,3</w:t>
      </w:r>
      <w:r w:rsidRPr="009A0DA6">
        <w:rPr>
          <w:rFonts w:ascii="Cambria" w:eastAsia="Times New Roman" w:hAnsi="Cambria" w:cstheme="minorHAnsi"/>
          <w:b/>
          <w:spacing w:val="-1"/>
        </w:rPr>
        <w:t>4</w:t>
      </w:r>
      <w:r w:rsidRPr="009A0DA6">
        <w:rPr>
          <w:rFonts w:ascii="Cambria" w:eastAsia="Times New Roman" w:hAnsi="Cambria" w:cstheme="minorHAnsi"/>
          <w:b/>
          <w:spacing w:val="1"/>
        </w:rPr>
        <w:t>2,</w:t>
      </w:r>
      <w:r w:rsidRPr="009A0DA6">
        <w:rPr>
          <w:rFonts w:ascii="Cambria" w:eastAsia="Times New Roman" w:hAnsi="Cambria" w:cstheme="minorHAnsi"/>
          <w:b/>
          <w:spacing w:val="-1"/>
        </w:rPr>
        <w:t>7</w:t>
      </w:r>
      <w:r w:rsidRPr="009A0DA6">
        <w:rPr>
          <w:rFonts w:ascii="Cambria" w:eastAsia="Times New Roman" w:hAnsi="Cambria" w:cstheme="minorHAnsi"/>
          <w:b/>
          <w:spacing w:val="1"/>
        </w:rPr>
        <w:t>91</w:t>
      </w:r>
      <w:r w:rsidRPr="009A0DA6">
        <w:rPr>
          <w:rFonts w:ascii="Cambria" w:eastAsia="Times New Roman" w:hAnsi="Cambria" w:cstheme="minorHAnsi"/>
          <w:b/>
        </w:rPr>
        <w:t>)</w:t>
      </w:r>
      <w:r w:rsidRPr="009A0DA6">
        <w:rPr>
          <w:rFonts w:ascii="Cambria" w:hAnsi="Cambria" w:cstheme="minorHAnsi"/>
          <w:b/>
        </w:rPr>
        <w:tab/>
      </w:r>
      <w:r w:rsidRPr="009A0DA6">
        <w:rPr>
          <w:rFonts w:ascii="Cambria" w:eastAsia="Times New Roman" w:hAnsi="Cambria" w:cstheme="minorHAnsi"/>
          <w:b/>
          <w:spacing w:val="1"/>
        </w:rPr>
        <w:t>11,1</w:t>
      </w:r>
      <w:r w:rsidRPr="009A0DA6">
        <w:rPr>
          <w:rFonts w:ascii="Cambria" w:eastAsia="Times New Roman" w:hAnsi="Cambria" w:cstheme="minorHAnsi"/>
          <w:b/>
          <w:spacing w:val="-1"/>
        </w:rPr>
        <w:t>1</w:t>
      </w:r>
      <w:r w:rsidRPr="009A0DA6">
        <w:rPr>
          <w:rFonts w:ascii="Cambria" w:eastAsia="Times New Roman" w:hAnsi="Cambria" w:cstheme="minorHAnsi"/>
          <w:b/>
          <w:spacing w:val="1"/>
        </w:rPr>
        <w:t>6,</w:t>
      </w:r>
      <w:r w:rsidRPr="009A0DA6">
        <w:rPr>
          <w:rFonts w:ascii="Cambria" w:eastAsia="Times New Roman" w:hAnsi="Cambria" w:cstheme="minorHAnsi"/>
          <w:b/>
          <w:spacing w:val="-1"/>
        </w:rPr>
        <w:t>1</w:t>
      </w:r>
      <w:r w:rsidRPr="009A0DA6">
        <w:rPr>
          <w:rFonts w:ascii="Cambria" w:eastAsia="Times New Roman" w:hAnsi="Cambria" w:cstheme="minorHAnsi"/>
          <w:b/>
          <w:spacing w:val="1"/>
        </w:rPr>
        <w:t>5</w:t>
      </w:r>
      <w:r w:rsidRPr="009A0DA6">
        <w:rPr>
          <w:rFonts w:ascii="Cambria" w:eastAsia="Times New Roman" w:hAnsi="Cambria" w:cstheme="minorHAnsi"/>
          <w:b/>
        </w:rPr>
        <w:t>9</w:t>
      </w:r>
    </w:p>
    <w:p w14:paraId="03F05726" w14:textId="77777777" w:rsidR="00BA4592" w:rsidRPr="009A0DA6" w:rsidRDefault="00BA4592" w:rsidP="00BA4592">
      <w:pPr>
        <w:tabs>
          <w:tab w:val="right" w:pos="4536"/>
          <w:tab w:val="right" w:pos="5954"/>
          <w:tab w:val="right" w:pos="7371"/>
          <w:tab w:val="right" w:pos="8789"/>
        </w:tabs>
        <w:spacing w:before="120" w:after="120" w:line="240" w:lineRule="auto"/>
        <w:ind w:right="-20"/>
        <w:contextualSpacing/>
        <w:rPr>
          <w:rFonts w:ascii="Cambria" w:eastAsia="Times New Roman" w:hAnsi="Cambria" w:cstheme="minorHAnsi"/>
        </w:rPr>
      </w:pPr>
    </w:p>
    <w:p w14:paraId="364BF0B2" w14:textId="733EB03B" w:rsidR="00BA4592" w:rsidRPr="009A0DA6" w:rsidRDefault="00BA4592" w:rsidP="00BA4592">
      <w:pPr>
        <w:tabs>
          <w:tab w:val="right" w:pos="4536"/>
          <w:tab w:val="right" w:pos="5954"/>
          <w:tab w:val="right" w:pos="7371"/>
          <w:tab w:val="right" w:pos="8789"/>
        </w:tabs>
        <w:spacing w:before="120" w:after="120" w:line="240" w:lineRule="auto"/>
        <w:ind w:right="-20"/>
        <w:contextualSpacing/>
        <w:rPr>
          <w:rFonts w:ascii="Cambria" w:eastAsia="Times New Roman" w:hAnsi="Cambria" w:cstheme="minorHAnsi"/>
        </w:rPr>
      </w:pPr>
      <w:r w:rsidRPr="00351A0F">
        <w:rPr>
          <w:rStyle w:val="NoSpacingChar"/>
        </w:rPr>
        <w:t>Operating Surplus prior</w:t>
      </w:r>
      <w:r w:rsidRPr="009A0DA6">
        <w:rPr>
          <w:rFonts w:ascii="Cambria" w:eastAsia="Times New Roman" w:hAnsi="Cambria" w:cstheme="minorHAnsi"/>
          <w:w w:val="132"/>
        </w:rPr>
        <w:t xml:space="preserve"> </w:t>
      </w:r>
      <w:r w:rsidR="00392322">
        <w:rPr>
          <w:rFonts w:ascii="Cambria" w:eastAsia="Times New Roman" w:hAnsi="Cambria" w:cstheme="minorHAnsi"/>
          <w:w w:val="132"/>
        </w:rPr>
        <w:t>to</w:t>
      </w:r>
      <w:r w:rsidRPr="009A0DA6">
        <w:rPr>
          <w:rFonts w:ascii="Cambria" w:eastAsia="Times New Roman" w:hAnsi="Cambria" w:cstheme="minorHAnsi"/>
          <w:w w:val="132"/>
        </w:rPr>
        <w:br/>
        <w:t xml:space="preserve">    </w:t>
      </w:r>
      <w:r w:rsidRPr="009A0DA6">
        <w:rPr>
          <w:rFonts w:ascii="Cambria" w:eastAsia="Times New Roman" w:hAnsi="Cambria" w:cstheme="minorHAnsi"/>
          <w:w w:val="106"/>
        </w:rPr>
        <w:t>re</w:t>
      </w:r>
      <w:r w:rsidRPr="009A0DA6">
        <w:rPr>
          <w:rFonts w:ascii="Cambria" w:eastAsia="Times New Roman" w:hAnsi="Cambria" w:cstheme="minorHAnsi"/>
          <w:spacing w:val="-1"/>
          <w:w w:val="106"/>
        </w:rPr>
        <w:t>s</w:t>
      </w:r>
      <w:r w:rsidRPr="009A0DA6">
        <w:rPr>
          <w:rFonts w:ascii="Cambria" w:eastAsia="Times New Roman" w:hAnsi="Cambria" w:cstheme="minorHAnsi"/>
          <w:w w:val="106"/>
        </w:rPr>
        <w:t>er</w:t>
      </w:r>
      <w:r w:rsidRPr="009A0DA6">
        <w:rPr>
          <w:rFonts w:ascii="Cambria" w:eastAsia="Times New Roman" w:hAnsi="Cambria" w:cstheme="minorHAnsi"/>
          <w:spacing w:val="1"/>
          <w:w w:val="106"/>
        </w:rPr>
        <w:t>v</w:t>
      </w:r>
      <w:r w:rsidRPr="009A0DA6">
        <w:rPr>
          <w:rFonts w:ascii="Cambria" w:eastAsia="Times New Roman" w:hAnsi="Cambria" w:cstheme="minorHAnsi"/>
          <w:w w:val="106"/>
        </w:rPr>
        <w:t>e</w:t>
      </w:r>
      <w:r w:rsidRPr="009A0DA6">
        <w:rPr>
          <w:rFonts w:ascii="Cambria" w:eastAsia="Times New Roman" w:hAnsi="Cambria" w:cstheme="minorHAnsi"/>
          <w:spacing w:val="2"/>
          <w:w w:val="106"/>
        </w:rPr>
        <w:t xml:space="preserve"> </w:t>
      </w:r>
      <w:r w:rsidRPr="009A0DA6">
        <w:rPr>
          <w:rFonts w:ascii="Cambria" w:eastAsia="Times New Roman" w:hAnsi="Cambria" w:cstheme="minorHAnsi"/>
          <w:spacing w:val="1"/>
        </w:rPr>
        <w:t>a</w:t>
      </w:r>
      <w:r w:rsidRPr="009A0DA6">
        <w:rPr>
          <w:rFonts w:ascii="Cambria" w:eastAsia="Times New Roman" w:hAnsi="Cambria" w:cstheme="minorHAnsi"/>
        </w:rPr>
        <w:t>nd</w:t>
      </w:r>
      <w:r w:rsidRPr="009A0DA6">
        <w:rPr>
          <w:rFonts w:ascii="Cambria" w:eastAsia="Times New Roman" w:hAnsi="Cambria" w:cstheme="minorHAnsi"/>
          <w:spacing w:val="31"/>
        </w:rPr>
        <w:t xml:space="preserve"> </w:t>
      </w:r>
      <w:r w:rsidRPr="009A0DA6">
        <w:rPr>
          <w:rFonts w:ascii="Cambria" w:eastAsia="Times New Roman" w:hAnsi="Cambria" w:cstheme="minorHAnsi"/>
        </w:rPr>
        <w:t>equi</w:t>
      </w:r>
      <w:r w:rsidRPr="009A0DA6">
        <w:rPr>
          <w:rFonts w:ascii="Cambria" w:eastAsia="Times New Roman" w:hAnsi="Cambria" w:cstheme="minorHAnsi"/>
          <w:spacing w:val="1"/>
        </w:rPr>
        <w:t>t</w:t>
      </w:r>
      <w:r w:rsidRPr="009A0DA6">
        <w:rPr>
          <w:rFonts w:ascii="Cambria" w:eastAsia="Times New Roman" w:hAnsi="Cambria" w:cstheme="minorHAnsi"/>
        </w:rPr>
        <w:t>y</w:t>
      </w:r>
      <w:r w:rsidRPr="009A0DA6">
        <w:rPr>
          <w:rFonts w:ascii="Cambria" w:eastAsia="Times New Roman" w:hAnsi="Cambria" w:cstheme="minorHAnsi"/>
          <w:spacing w:val="30"/>
        </w:rPr>
        <w:t xml:space="preserve"> </w:t>
      </w:r>
      <w:r w:rsidRPr="009A0DA6">
        <w:rPr>
          <w:rFonts w:ascii="Cambria" w:eastAsia="Times New Roman" w:hAnsi="Cambria" w:cstheme="minorHAnsi"/>
          <w:spacing w:val="1"/>
          <w:w w:val="110"/>
        </w:rPr>
        <w:t>t</w:t>
      </w:r>
      <w:r w:rsidRPr="009A0DA6">
        <w:rPr>
          <w:rFonts w:ascii="Cambria" w:eastAsia="Times New Roman" w:hAnsi="Cambria" w:cstheme="minorHAnsi"/>
          <w:w w:val="110"/>
        </w:rPr>
        <w:t>r</w:t>
      </w:r>
      <w:r w:rsidRPr="009A0DA6">
        <w:rPr>
          <w:rFonts w:ascii="Cambria" w:eastAsia="Times New Roman" w:hAnsi="Cambria" w:cstheme="minorHAnsi"/>
          <w:spacing w:val="1"/>
          <w:w w:val="110"/>
        </w:rPr>
        <w:t>a</w:t>
      </w:r>
      <w:r w:rsidRPr="009A0DA6">
        <w:rPr>
          <w:rFonts w:ascii="Cambria" w:eastAsia="Times New Roman" w:hAnsi="Cambria" w:cstheme="minorHAnsi"/>
          <w:w w:val="110"/>
        </w:rPr>
        <w:t>n</w:t>
      </w:r>
      <w:r w:rsidRPr="009A0DA6">
        <w:rPr>
          <w:rFonts w:ascii="Cambria" w:eastAsia="Times New Roman" w:hAnsi="Cambria" w:cstheme="minorHAnsi"/>
          <w:spacing w:val="-1"/>
          <w:w w:val="110"/>
        </w:rPr>
        <w:t>s</w:t>
      </w:r>
      <w:r w:rsidRPr="009A0DA6">
        <w:rPr>
          <w:rFonts w:ascii="Cambria" w:eastAsia="Times New Roman" w:hAnsi="Cambria" w:cstheme="minorHAnsi"/>
          <w:spacing w:val="1"/>
          <w:w w:val="110"/>
        </w:rPr>
        <w:t>f</w:t>
      </w:r>
      <w:r w:rsidRPr="009A0DA6">
        <w:rPr>
          <w:rFonts w:ascii="Cambria" w:eastAsia="Times New Roman" w:hAnsi="Cambria" w:cstheme="minorHAnsi"/>
          <w:spacing w:val="-2"/>
          <w:w w:val="110"/>
        </w:rPr>
        <w:t>e</w:t>
      </w:r>
      <w:r w:rsidRPr="009A0DA6">
        <w:rPr>
          <w:rFonts w:ascii="Cambria" w:eastAsia="Times New Roman" w:hAnsi="Cambria" w:cstheme="minorHAnsi"/>
          <w:w w:val="110"/>
        </w:rPr>
        <w:t>rs</w:t>
      </w:r>
      <w:r w:rsidRPr="009A0DA6">
        <w:rPr>
          <w:rFonts w:ascii="Cambria" w:eastAsia="Times New Roman" w:hAnsi="Cambria" w:cstheme="minorHAnsi"/>
          <w:spacing w:val="-53"/>
          <w:w w:val="110"/>
        </w:rPr>
        <w:t xml:space="preserve"> </w:t>
      </w:r>
      <w:r w:rsidRPr="009A0DA6">
        <w:rPr>
          <w:rFonts w:ascii="Cambria" w:eastAsia="Times New Roman" w:hAnsi="Cambria" w:cstheme="minorHAnsi"/>
        </w:rPr>
        <w:tab/>
      </w:r>
      <w:r w:rsidRPr="009A0DA6">
        <w:rPr>
          <w:rFonts w:ascii="Cambria" w:eastAsia="Times New Roman" w:hAnsi="Cambria" w:cstheme="minorHAnsi"/>
          <w:spacing w:val="1"/>
        </w:rPr>
        <w:t>1,70</w:t>
      </w:r>
      <w:r w:rsidRPr="009A0DA6">
        <w:rPr>
          <w:rFonts w:ascii="Cambria" w:eastAsia="Times New Roman" w:hAnsi="Cambria" w:cstheme="minorHAnsi"/>
          <w:spacing w:val="-1"/>
        </w:rPr>
        <w:t>8</w:t>
      </w:r>
      <w:r w:rsidRPr="009A0DA6">
        <w:rPr>
          <w:rFonts w:ascii="Cambria" w:eastAsia="Times New Roman" w:hAnsi="Cambria" w:cstheme="minorHAnsi"/>
          <w:spacing w:val="1"/>
        </w:rPr>
        <w:t>,5</w:t>
      </w:r>
      <w:r w:rsidRPr="009A0DA6">
        <w:rPr>
          <w:rFonts w:ascii="Cambria" w:eastAsia="Times New Roman" w:hAnsi="Cambria" w:cstheme="minorHAnsi"/>
          <w:spacing w:val="-1"/>
        </w:rPr>
        <w:t>7</w:t>
      </w:r>
      <w:r w:rsidRPr="009A0DA6">
        <w:rPr>
          <w:rFonts w:ascii="Cambria" w:eastAsia="Times New Roman" w:hAnsi="Cambria" w:cstheme="minorHAnsi"/>
        </w:rPr>
        <w:t>2</w:t>
      </w:r>
      <w:r w:rsidRPr="009A0DA6">
        <w:rPr>
          <w:rFonts w:ascii="Cambria" w:eastAsia="Times New Roman" w:hAnsi="Cambria" w:cstheme="minorHAnsi"/>
        </w:rPr>
        <w:tab/>
      </w:r>
      <w:r w:rsidRPr="009A0DA6">
        <w:rPr>
          <w:rFonts w:ascii="Cambria" w:eastAsia="Times New Roman" w:hAnsi="Cambria" w:cstheme="minorHAnsi"/>
          <w:spacing w:val="1"/>
        </w:rPr>
        <w:t>(37,</w:t>
      </w:r>
      <w:r w:rsidRPr="009A0DA6">
        <w:rPr>
          <w:rFonts w:ascii="Cambria" w:eastAsia="Times New Roman" w:hAnsi="Cambria" w:cstheme="minorHAnsi"/>
          <w:spacing w:val="-1"/>
        </w:rPr>
        <w:t>2</w:t>
      </w:r>
      <w:r w:rsidRPr="009A0DA6">
        <w:rPr>
          <w:rFonts w:ascii="Cambria" w:eastAsia="Times New Roman" w:hAnsi="Cambria" w:cstheme="minorHAnsi"/>
          <w:spacing w:val="1"/>
        </w:rPr>
        <w:t>59</w:t>
      </w:r>
      <w:r w:rsidRPr="009A0DA6">
        <w:rPr>
          <w:rFonts w:ascii="Cambria" w:eastAsia="Times New Roman" w:hAnsi="Cambria" w:cstheme="minorHAnsi"/>
        </w:rPr>
        <w:t>)</w:t>
      </w:r>
      <w:r w:rsidRPr="009A0DA6">
        <w:rPr>
          <w:rFonts w:ascii="Cambria" w:eastAsia="Times New Roman" w:hAnsi="Cambria" w:cstheme="minorHAnsi"/>
        </w:rPr>
        <w:tab/>
        <w:t>0</w:t>
      </w:r>
      <w:r w:rsidRPr="009A0DA6">
        <w:rPr>
          <w:rFonts w:ascii="Cambria" w:eastAsia="Times New Roman" w:hAnsi="Cambria" w:cstheme="minorHAnsi"/>
        </w:rPr>
        <w:tab/>
      </w:r>
      <w:r w:rsidRPr="009A0DA6">
        <w:rPr>
          <w:rFonts w:ascii="Cambria" w:eastAsia="Times New Roman" w:hAnsi="Cambria" w:cstheme="minorHAnsi"/>
          <w:spacing w:val="1"/>
        </w:rPr>
        <w:t>1,67</w:t>
      </w:r>
      <w:r w:rsidRPr="009A0DA6">
        <w:rPr>
          <w:rFonts w:ascii="Cambria" w:eastAsia="Times New Roman" w:hAnsi="Cambria" w:cstheme="minorHAnsi"/>
          <w:spacing w:val="-1"/>
        </w:rPr>
        <w:t>1</w:t>
      </w:r>
      <w:r w:rsidRPr="009A0DA6">
        <w:rPr>
          <w:rFonts w:ascii="Cambria" w:eastAsia="Times New Roman" w:hAnsi="Cambria" w:cstheme="minorHAnsi"/>
          <w:spacing w:val="1"/>
        </w:rPr>
        <w:t>,3</w:t>
      </w:r>
      <w:r w:rsidRPr="009A0DA6">
        <w:rPr>
          <w:rFonts w:ascii="Cambria" w:eastAsia="Times New Roman" w:hAnsi="Cambria" w:cstheme="minorHAnsi"/>
          <w:spacing w:val="-1"/>
        </w:rPr>
        <w:t>1</w:t>
      </w:r>
      <w:r w:rsidRPr="009A0DA6">
        <w:rPr>
          <w:rFonts w:ascii="Cambria" w:eastAsia="Times New Roman" w:hAnsi="Cambria" w:cstheme="minorHAnsi"/>
        </w:rPr>
        <w:t>3</w:t>
      </w:r>
    </w:p>
    <w:p w14:paraId="1A5DB6BB" w14:textId="463E8229" w:rsidR="00BA4592" w:rsidRPr="009A0DA6" w:rsidRDefault="00BA4592" w:rsidP="00BA4592">
      <w:pPr>
        <w:tabs>
          <w:tab w:val="right" w:pos="4536"/>
          <w:tab w:val="right" w:pos="5954"/>
          <w:tab w:val="right" w:pos="7371"/>
          <w:tab w:val="right" w:pos="8789"/>
        </w:tabs>
        <w:spacing w:before="120" w:after="120" w:line="240" w:lineRule="auto"/>
        <w:ind w:right="-20"/>
        <w:contextualSpacing/>
        <w:rPr>
          <w:rFonts w:ascii="Cambria" w:eastAsia="Times New Roman" w:hAnsi="Cambria" w:cstheme="minorHAnsi"/>
        </w:rPr>
      </w:pPr>
      <w:r w:rsidRPr="009A0DA6">
        <w:rPr>
          <w:rFonts w:ascii="Cambria" w:eastAsia="Times New Roman" w:hAnsi="Cambria" w:cstheme="minorHAnsi"/>
          <w:spacing w:val="3"/>
        </w:rPr>
        <w:t>T</w:t>
      </w:r>
      <w:r w:rsidRPr="009A0DA6">
        <w:rPr>
          <w:rFonts w:ascii="Cambria" w:eastAsia="Times New Roman" w:hAnsi="Cambria" w:cstheme="minorHAnsi"/>
          <w:spacing w:val="1"/>
        </w:rPr>
        <w:t>r</w:t>
      </w:r>
      <w:r w:rsidRPr="009A0DA6">
        <w:rPr>
          <w:rFonts w:ascii="Cambria" w:eastAsia="Times New Roman" w:hAnsi="Cambria" w:cstheme="minorHAnsi"/>
        </w:rPr>
        <w:t>a</w:t>
      </w:r>
      <w:r w:rsidRPr="009A0DA6">
        <w:rPr>
          <w:rFonts w:ascii="Cambria" w:eastAsia="Times New Roman" w:hAnsi="Cambria" w:cstheme="minorHAnsi"/>
          <w:spacing w:val="-1"/>
        </w:rPr>
        <w:t>nsf</w:t>
      </w:r>
      <w:r w:rsidRPr="009A0DA6">
        <w:rPr>
          <w:rFonts w:ascii="Cambria" w:eastAsia="Times New Roman" w:hAnsi="Cambria" w:cstheme="minorHAnsi"/>
        </w:rPr>
        <w:t>er</w:t>
      </w:r>
      <w:r w:rsidRPr="009A0DA6">
        <w:rPr>
          <w:rFonts w:ascii="Cambria" w:eastAsia="Times New Roman" w:hAnsi="Cambria" w:cstheme="minorHAnsi"/>
          <w:spacing w:val="-6"/>
        </w:rPr>
        <w:t xml:space="preserve"> </w:t>
      </w:r>
      <w:r w:rsidRPr="009A0DA6">
        <w:rPr>
          <w:rFonts w:ascii="Cambria" w:eastAsia="Times New Roman" w:hAnsi="Cambria" w:cstheme="minorHAnsi"/>
          <w:spacing w:val="1"/>
        </w:rPr>
        <w:t>(</w:t>
      </w:r>
      <w:r w:rsidRPr="009A0DA6">
        <w:rPr>
          <w:rFonts w:ascii="Cambria" w:eastAsia="Times New Roman" w:hAnsi="Cambria" w:cstheme="minorHAnsi"/>
        </w:rPr>
        <w:t>t</w:t>
      </w:r>
      <w:r w:rsidRPr="009A0DA6">
        <w:rPr>
          <w:rFonts w:ascii="Cambria" w:eastAsia="Times New Roman" w:hAnsi="Cambria" w:cstheme="minorHAnsi"/>
          <w:spacing w:val="1"/>
        </w:rPr>
        <w:t>o</w:t>
      </w:r>
      <w:r w:rsidRPr="009A0DA6">
        <w:rPr>
          <w:rFonts w:ascii="Cambria" w:eastAsia="Times New Roman" w:hAnsi="Cambria" w:cstheme="minorHAnsi"/>
        </w:rPr>
        <w:t>)</w:t>
      </w:r>
      <w:r w:rsidRPr="009A0DA6">
        <w:rPr>
          <w:rFonts w:ascii="Cambria" w:eastAsia="Times New Roman" w:hAnsi="Cambria" w:cstheme="minorHAnsi"/>
          <w:spacing w:val="-2"/>
        </w:rPr>
        <w:t xml:space="preserve"> </w:t>
      </w:r>
      <w:r w:rsidRPr="009A0DA6">
        <w:rPr>
          <w:rFonts w:ascii="Cambria" w:eastAsia="Times New Roman" w:hAnsi="Cambria" w:cstheme="minorHAnsi"/>
          <w:spacing w:val="-1"/>
        </w:rPr>
        <w:t>f</w:t>
      </w:r>
      <w:r w:rsidRPr="009A0DA6">
        <w:rPr>
          <w:rFonts w:ascii="Cambria" w:eastAsia="Times New Roman" w:hAnsi="Cambria" w:cstheme="minorHAnsi"/>
          <w:spacing w:val="1"/>
        </w:rPr>
        <w:t>ro</w:t>
      </w:r>
      <w:r w:rsidRPr="009A0DA6">
        <w:rPr>
          <w:rFonts w:ascii="Cambria" w:eastAsia="Times New Roman" w:hAnsi="Cambria" w:cstheme="minorHAnsi"/>
        </w:rPr>
        <w:t>m</w:t>
      </w:r>
      <w:r w:rsidRPr="009A0DA6">
        <w:rPr>
          <w:rFonts w:ascii="Cambria" w:eastAsia="Times New Roman" w:hAnsi="Cambria" w:cstheme="minorHAnsi"/>
          <w:spacing w:val="-7"/>
        </w:rPr>
        <w:t xml:space="preserve"> </w:t>
      </w:r>
      <w:r w:rsidRPr="009A0DA6">
        <w:rPr>
          <w:rFonts w:ascii="Cambria" w:eastAsia="Times New Roman" w:hAnsi="Cambria" w:cstheme="minorHAnsi"/>
        </w:rPr>
        <w:t>e</w:t>
      </w:r>
      <w:r w:rsidRPr="009A0DA6">
        <w:rPr>
          <w:rFonts w:ascii="Cambria" w:eastAsia="Times New Roman" w:hAnsi="Cambria" w:cstheme="minorHAnsi"/>
          <w:spacing w:val="1"/>
        </w:rPr>
        <w:t>qu</w:t>
      </w:r>
      <w:r w:rsidRPr="009A0DA6">
        <w:rPr>
          <w:rFonts w:ascii="Cambria" w:eastAsia="Times New Roman" w:hAnsi="Cambria" w:cstheme="minorHAnsi"/>
        </w:rPr>
        <w:t>i</w:t>
      </w:r>
      <w:r w:rsidRPr="009A0DA6">
        <w:rPr>
          <w:rFonts w:ascii="Cambria" w:eastAsia="Times New Roman" w:hAnsi="Cambria" w:cstheme="minorHAnsi"/>
          <w:spacing w:val="2"/>
        </w:rPr>
        <w:t>t</w:t>
      </w:r>
      <w:r w:rsidRPr="009A0DA6">
        <w:rPr>
          <w:rFonts w:ascii="Cambria" w:eastAsia="Times New Roman" w:hAnsi="Cambria" w:cstheme="minorHAnsi"/>
        </w:rPr>
        <w:t>y</w:t>
      </w:r>
      <w:r w:rsidRPr="009A0DA6">
        <w:rPr>
          <w:rFonts w:ascii="Cambria" w:eastAsia="Times New Roman" w:hAnsi="Cambria" w:cstheme="minorHAnsi"/>
          <w:spacing w:val="-8"/>
        </w:rPr>
        <w:t xml:space="preserve"> </w:t>
      </w:r>
      <w:r w:rsidR="00392322">
        <w:rPr>
          <w:rFonts w:ascii="Cambria" w:eastAsia="Times New Roman" w:hAnsi="Cambria" w:cstheme="minorHAnsi"/>
          <w:spacing w:val="3"/>
        </w:rPr>
        <w:t>&amp;</w:t>
      </w:r>
      <w:r w:rsidRPr="009A0DA6">
        <w:rPr>
          <w:rFonts w:ascii="Cambria" w:eastAsia="Times New Roman" w:hAnsi="Cambria" w:cstheme="minorHAnsi"/>
          <w:spacing w:val="-1"/>
        </w:rPr>
        <w:t xml:space="preserve"> </w:t>
      </w:r>
      <w:r w:rsidRPr="009A0DA6">
        <w:rPr>
          <w:rFonts w:ascii="Cambria" w:eastAsia="Times New Roman" w:hAnsi="Cambria" w:cstheme="minorHAnsi"/>
          <w:spacing w:val="1"/>
        </w:rPr>
        <w:t>r</w:t>
      </w:r>
      <w:r w:rsidRPr="009A0DA6">
        <w:rPr>
          <w:rFonts w:ascii="Cambria" w:eastAsia="Times New Roman" w:hAnsi="Cambria" w:cstheme="minorHAnsi"/>
        </w:rPr>
        <w:t>e</w:t>
      </w:r>
      <w:r w:rsidRPr="009A0DA6">
        <w:rPr>
          <w:rFonts w:ascii="Cambria" w:eastAsia="Times New Roman" w:hAnsi="Cambria" w:cstheme="minorHAnsi"/>
          <w:spacing w:val="-1"/>
        </w:rPr>
        <w:t>s</w:t>
      </w:r>
      <w:r w:rsidRPr="009A0DA6">
        <w:rPr>
          <w:rFonts w:ascii="Cambria" w:eastAsia="Times New Roman" w:hAnsi="Cambria" w:cstheme="minorHAnsi"/>
        </w:rPr>
        <w:t>e</w:t>
      </w:r>
      <w:r w:rsidRPr="009A0DA6">
        <w:rPr>
          <w:rFonts w:ascii="Cambria" w:eastAsia="Times New Roman" w:hAnsi="Cambria" w:cstheme="minorHAnsi"/>
          <w:spacing w:val="1"/>
        </w:rPr>
        <w:t>r</w:t>
      </w:r>
      <w:r w:rsidRPr="009A0DA6">
        <w:rPr>
          <w:rFonts w:ascii="Cambria" w:eastAsia="Times New Roman" w:hAnsi="Cambria" w:cstheme="minorHAnsi"/>
          <w:spacing w:val="-1"/>
        </w:rPr>
        <w:t>v</w:t>
      </w:r>
      <w:r w:rsidRPr="009A0DA6">
        <w:rPr>
          <w:rFonts w:ascii="Cambria" w:eastAsia="Times New Roman" w:hAnsi="Cambria" w:cstheme="minorHAnsi"/>
        </w:rPr>
        <w:t>es</w:t>
      </w:r>
      <w:r w:rsidRPr="009A0DA6">
        <w:rPr>
          <w:rFonts w:ascii="Cambria" w:eastAsia="Times New Roman" w:hAnsi="Cambria" w:cstheme="minorHAnsi"/>
        </w:rPr>
        <w:tab/>
      </w:r>
      <w:r w:rsidRPr="009A0DA6">
        <w:rPr>
          <w:rFonts w:ascii="Cambria" w:eastAsia="Times New Roman" w:hAnsi="Cambria" w:cstheme="minorHAnsi"/>
          <w:spacing w:val="1"/>
        </w:rPr>
        <w:t>(1,8</w:t>
      </w:r>
      <w:r w:rsidRPr="009A0DA6">
        <w:rPr>
          <w:rFonts w:ascii="Cambria" w:eastAsia="Times New Roman" w:hAnsi="Cambria" w:cstheme="minorHAnsi"/>
          <w:spacing w:val="-1"/>
        </w:rPr>
        <w:t>9</w:t>
      </w:r>
      <w:r w:rsidRPr="009A0DA6">
        <w:rPr>
          <w:rFonts w:ascii="Cambria" w:eastAsia="Times New Roman" w:hAnsi="Cambria" w:cstheme="minorHAnsi"/>
          <w:spacing w:val="1"/>
        </w:rPr>
        <w:t>8,</w:t>
      </w:r>
      <w:r w:rsidRPr="009A0DA6">
        <w:rPr>
          <w:rFonts w:ascii="Cambria" w:eastAsia="Times New Roman" w:hAnsi="Cambria" w:cstheme="minorHAnsi"/>
          <w:spacing w:val="-1"/>
        </w:rPr>
        <w:t>8</w:t>
      </w:r>
      <w:r w:rsidRPr="009A0DA6">
        <w:rPr>
          <w:rFonts w:ascii="Cambria" w:eastAsia="Times New Roman" w:hAnsi="Cambria" w:cstheme="minorHAnsi"/>
          <w:spacing w:val="1"/>
        </w:rPr>
        <w:t>27</w:t>
      </w:r>
      <w:r w:rsidRPr="009A0DA6">
        <w:rPr>
          <w:rFonts w:ascii="Cambria" w:eastAsia="Times New Roman" w:hAnsi="Cambria" w:cstheme="minorHAnsi"/>
        </w:rPr>
        <w:t>)</w:t>
      </w:r>
      <w:r w:rsidRPr="009A0DA6">
        <w:rPr>
          <w:rFonts w:ascii="Cambria" w:eastAsia="Times New Roman" w:hAnsi="Cambria" w:cstheme="minorHAnsi"/>
        </w:rPr>
        <w:tab/>
      </w:r>
      <w:r w:rsidRPr="009A0DA6">
        <w:rPr>
          <w:rFonts w:ascii="Cambria" w:eastAsia="Times New Roman" w:hAnsi="Cambria" w:cstheme="minorHAnsi"/>
          <w:spacing w:val="1"/>
        </w:rPr>
        <w:t>133,</w:t>
      </w:r>
      <w:r w:rsidRPr="009A0DA6">
        <w:rPr>
          <w:rFonts w:ascii="Cambria" w:eastAsia="Times New Roman" w:hAnsi="Cambria" w:cstheme="minorHAnsi"/>
          <w:spacing w:val="-1"/>
        </w:rPr>
        <w:t>1</w:t>
      </w:r>
      <w:r w:rsidRPr="009A0DA6">
        <w:rPr>
          <w:rFonts w:ascii="Cambria" w:eastAsia="Times New Roman" w:hAnsi="Cambria" w:cstheme="minorHAnsi"/>
          <w:spacing w:val="1"/>
        </w:rPr>
        <w:t>5</w:t>
      </w:r>
      <w:r w:rsidRPr="009A0DA6">
        <w:rPr>
          <w:rFonts w:ascii="Cambria" w:eastAsia="Times New Roman" w:hAnsi="Cambria" w:cstheme="minorHAnsi"/>
        </w:rPr>
        <w:t>5</w:t>
      </w:r>
      <w:r w:rsidRPr="009A0DA6">
        <w:rPr>
          <w:rFonts w:ascii="Cambria" w:eastAsia="Times New Roman" w:hAnsi="Cambria" w:cstheme="minorHAnsi"/>
        </w:rPr>
        <w:tab/>
        <w:t>0</w:t>
      </w:r>
      <w:r w:rsidRPr="009A0DA6">
        <w:rPr>
          <w:rFonts w:ascii="Cambria" w:eastAsia="Times New Roman" w:hAnsi="Cambria" w:cstheme="minorHAnsi"/>
        </w:rPr>
        <w:tab/>
      </w:r>
      <w:r w:rsidRPr="009A0DA6">
        <w:rPr>
          <w:rFonts w:ascii="Cambria" w:eastAsia="Times New Roman" w:hAnsi="Cambria" w:cstheme="minorHAnsi"/>
          <w:spacing w:val="1"/>
        </w:rPr>
        <w:t>(1,7</w:t>
      </w:r>
      <w:r w:rsidRPr="009A0DA6">
        <w:rPr>
          <w:rFonts w:ascii="Cambria" w:eastAsia="Times New Roman" w:hAnsi="Cambria" w:cstheme="minorHAnsi"/>
          <w:spacing w:val="-1"/>
        </w:rPr>
        <w:t>6</w:t>
      </w:r>
      <w:r w:rsidRPr="009A0DA6">
        <w:rPr>
          <w:rFonts w:ascii="Cambria" w:eastAsia="Times New Roman" w:hAnsi="Cambria" w:cstheme="minorHAnsi"/>
          <w:spacing w:val="1"/>
        </w:rPr>
        <w:t>5,</w:t>
      </w:r>
      <w:r w:rsidRPr="009A0DA6">
        <w:rPr>
          <w:rFonts w:ascii="Cambria" w:eastAsia="Times New Roman" w:hAnsi="Cambria" w:cstheme="minorHAnsi"/>
          <w:spacing w:val="-1"/>
        </w:rPr>
        <w:t>6</w:t>
      </w:r>
      <w:r w:rsidRPr="009A0DA6">
        <w:rPr>
          <w:rFonts w:ascii="Cambria" w:eastAsia="Times New Roman" w:hAnsi="Cambria" w:cstheme="minorHAnsi"/>
          <w:spacing w:val="1"/>
        </w:rPr>
        <w:t>72</w:t>
      </w:r>
      <w:r w:rsidRPr="009A0DA6">
        <w:rPr>
          <w:rFonts w:ascii="Cambria" w:eastAsia="Times New Roman" w:hAnsi="Cambria" w:cstheme="minorHAnsi"/>
        </w:rPr>
        <w:t>)</w:t>
      </w:r>
    </w:p>
    <w:p w14:paraId="1837E426" w14:textId="77777777" w:rsidR="00BA4592" w:rsidRPr="009A0DA6" w:rsidRDefault="00BA4592" w:rsidP="00BA4592">
      <w:pPr>
        <w:tabs>
          <w:tab w:val="right" w:pos="4536"/>
          <w:tab w:val="right" w:pos="5954"/>
          <w:tab w:val="right" w:pos="7371"/>
          <w:tab w:val="right" w:pos="8789"/>
        </w:tabs>
        <w:spacing w:before="120" w:after="120" w:line="240" w:lineRule="auto"/>
        <w:ind w:right="-20"/>
        <w:contextualSpacing/>
        <w:rPr>
          <w:rFonts w:ascii="Cambria" w:eastAsia="Times New Roman" w:hAnsi="Cambria" w:cstheme="minorHAnsi"/>
          <w:b/>
        </w:rPr>
      </w:pPr>
      <w:r w:rsidRPr="009A0DA6">
        <w:rPr>
          <w:rFonts w:ascii="Cambria" w:eastAsia="Times New Roman" w:hAnsi="Cambria" w:cstheme="minorHAnsi"/>
          <w:b/>
        </w:rPr>
        <w:t>Net</w:t>
      </w:r>
      <w:r w:rsidRPr="009A0DA6">
        <w:rPr>
          <w:rFonts w:ascii="Cambria" w:eastAsia="Times New Roman" w:hAnsi="Cambria" w:cstheme="minorHAnsi"/>
          <w:b/>
          <w:spacing w:val="9"/>
        </w:rPr>
        <w:t xml:space="preserve"> </w:t>
      </w:r>
      <w:r w:rsidRPr="009A0DA6">
        <w:rPr>
          <w:rFonts w:ascii="Cambria" w:eastAsia="Times New Roman" w:hAnsi="Cambria" w:cstheme="minorHAnsi"/>
          <w:b/>
          <w:spacing w:val="1"/>
        </w:rPr>
        <w:t>(</w:t>
      </w:r>
      <w:r w:rsidRPr="009A0DA6">
        <w:rPr>
          <w:rFonts w:ascii="Cambria" w:eastAsia="Times New Roman" w:hAnsi="Cambria" w:cstheme="minorHAnsi"/>
          <w:b/>
        </w:rPr>
        <w:t>De</w:t>
      </w:r>
      <w:r w:rsidRPr="009A0DA6">
        <w:rPr>
          <w:rFonts w:ascii="Cambria" w:eastAsia="Times New Roman" w:hAnsi="Cambria" w:cstheme="minorHAnsi"/>
          <w:b/>
          <w:spacing w:val="1"/>
        </w:rPr>
        <w:t>f</w:t>
      </w:r>
      <w:r w:rsidRPr="009A0DA6">
        <w:rPr>
          <w:rFonts w:ascii="Cambria" w:eastAsia="Times New Roman" w:hAnsi="Cambria" w:cstheme="minorHAnsi"/>
          <w:b/>
        </w:rPr>
        <w:t>ici</w:t>
      </w:r>
      <w:r w:rsidRPr="009A0DA6">
        <w:rPr>
          <w:rFonts w:ascii="Cambria" w:eastAsia="Times New Roman" w:hAnsi="Cambria" w:cstheme="minorHAnsi"/>
          <w:b/>
          <w:spacing w:val="1"/>
        </w:rPr>
        <w:t>t</w:t>
      </w:r>
      <w:r w:rsidRPr="009A0DA6">
        <w:rPr>
          <w:rFonts w:ascii="Cambria" w:eastAsia="Times New Roman" w:hAnsi="Cambria" w:cstheme="minorHAnsi"/>
          <w:b/>
        </w:rPr>
        <w:t>)</w:t>
      </w:r>
      <w:r w:rsidRPr="009A0DA6">
        <w:rPr>
          <w:rFonts w:ascii="Cambria" w:eastAsia="Times New Roman" w:hAnsi="Cambria" w:cstheme="minorHAnsi"/>
          <w:b/>
          <w:spacing w:val="-46"/>
        </w:rPr>
        <w:t xml:space="preserve">  </w:t>
      </w:r>
      <w:r w:rsidRPr="009A0DA6">
        <w:rPr>
          <w:rFonts w:ascii="Cambria" w:eastAsia="Times New Roman" w:hAnsi="Cambria" w:cstheme="minorHAnsi"/>
          <w:b/>
          <w:w w:val="108"/>
        </w:rPr>
        <w:t>Surplus</w:t>
      </w:r>
      <w:r w:rsidRPr="009A0DA6">
        <w:rPr>
          <w:rFonts w:ascii="Cambria" w:eastAsia="Times New Roman" w:hAnsi="Cambria" w:cstheme="minorHAnsi"/>
          <w:b/>
          <w:spacing w:val="1"/>
        </w:rPr>
        <w:t xml:space="preserve"> </w:t>
      </w:r>
      <w:r w:rsidRPr="009A0DA6">
        <w:rPr>
          <w:rFonts w:ascii="Cambria" w:eastAsia="Times New Roman" w:hAnsi="Cambria" w:cstheme="minorHAnsi"/>
          <w:b/>
          <w:spacing w:val="1"/>
        </w:rPr>
        <w:tab/>
        <w:t>(190</w:t>
      </w:r>
      <w:r w:rsidRPr="009A0DA6">
        <w:rPr>
          <w:rFonts w:ascii="Cambria" w:eastAsia="Times New Roman" w:hAnsi="Cambria" w:cstheme="minorHAnsi"/>
          <w:b/>
          <w:spacing w:val="-2"/>
        </w:rPr>
        <w:t>,</w:t>
      </w:r>
      <w:r w:rsidRPr="009A0DA6">
        <w:rPr>
          <w:rFonts w:ascii="Cambria" w:eastAsia="Times New Roman" w:hAnsi="Cambria" w:cstheme="minorHAnsi"/>
          <w:b/>
          <w:spacing w:val="1"/>
        </w:rPr>
        <w:t>25</w:t>
      </w:r>
      <w:r w:rsidRPr="009A0DA6">
        <w:rPr>
          <w:rFonts w:ascii="Cambria" w:eastAsia="Times New Roman" w:hAnsi="Cambria" w:cstheme="minorHAnsi"/>
          <w:b/>
          <w:spacing w:val="-1"/>
        </w:rPr>
        <w:t>5</w:t>
      </w:r>
      <w:r w:rsidRPr="009A0DA6">
        <w:rPr>
          <w:rFonts w:ascii="Cambria" w:eastAsia="Times New Roman" w:hAnsi="Cambria" w:cstheme="minorHAnsi"/>
          <w:b/>
        </w:rPr>
        <w:t>)</w:t>
      </w:r>
      <w:r w:rsidRPr="009A0DA6">
        <w:rPr>
          <w:rFonts w:ascii="Cambria" w:eastAsia="Times New Roman" w:hAnsi="Cambria" w:cstheme="minorHAnsi"/>
          <w:b/>
        </w:rPr>
        <w:tab/>
      </w:r>
      <w:r w:rsidRPr="009A0DA6">
        <w:rPr>
          <w:rFonts w:ascii="Cambria" w:eastAsia="Times New Roman" w:hAnsi="Cambria" w:cstheme="minorHAnsi"/>
          <w:b/>
          <w:spacing w:val="1"/>
        </w:rPr>
        <w:t>95,8</w:t>
      </w:r>
      <w:r w:rsidRPr="009A0DA6">
        <w:rPr>
          <w:rFonts w:ascii="Cambria" w:eastAsia="Times New Roman" w:hAnsi="Cambria" w:cstheme="minorHAnsi"/>
          <w:b/>
          <w:spacing w:val="-1"/>
        </w:rPr>
        <w:t>9</w:t>
      </w:r>
      <w:r w:rsidRPr="009A0DA6">
        <w:rPr>
          <w:rFonts w:ascii="Cambria" w:eastAsia="Times New Roman" w:hAnsi="Cambria" w:cstheme="minorHAnsi"/>
          <w:b/>
        </w:rPr>
        <w:t>6</w:t>
      </w:r>
      <w:r w:rsidRPr="009A0DA6">
        <w:rPr>
          <w:rFonts w:ascii="Cambria" w:eastAsia="Times New Roman" w:hAnsi="Cambria" w:cstheme="minorHAnsi"/>
          <w:b/>
        </w:rPr>
        <w:tab/>
        <w:t>0</w:t>
      </w:r>
      <w:r w:rsidRPr="009A0DA6">
        <w:rPr>
          <w:rFonts w:ascii="Cambria" w:eastAsia="Times New Roman" w:hAnsi="Cambria" w:cstheme="minorHAnsi"/>
          <w:b/>
        </w:rPr>
        <w:tab/>
      </w:r>
      <w:r w:rsidRPr="009A0DA6">
        <w:rPr>
          <w:rFonts w:ascii="Cambria" w:eastAsia="Times New Roman" w:hAnsi="Cambria" w:cstheme="minorHAnsi"/>
          <w:b/>
          <w:spacing w:val="1"/>
        </w:rPr>
        <w:t>(94,</w:t>
      </w:r>
      <w:r w:rsidRPr="009A0DA6">
        <w:rPr>
          <w:rFonts w:ascii="Cambria" w:eastAsia="Times New Roman" w:hAnsi="Cambria" w:cstheme="minorHAnsi"/>
          <w:b/>
          <w:spacing w:val="-1"/>
        </w:rPr>
        <w:t>3</w:t>
      </w:r>
      <w:r w:rsidRPr="009A0DA6">
        <w:rPr>
          <w:rFonts w:ascii="Cambria" w:eastAsia="Times New Roman" w:hAnsi="Cambria" w:cstheme="minorHAnsi"/>
          <w:b/>
          <w:spacing w:val="1"/>
        </w:rPr>
        <w:t>59</w:t>
      </w:r>
      <w:r w:rsidRPr="009A0DA6">
        <w:rPr>
          <w:rFonts w:ascii="Cambria" w:eastAsia="Times New Roman" w:hAnsi="Cambria" w:cstheme="minorHAnsi"/>
          <w:b/>
        </w:rPr>
        <w:t>)</w:t>
      </w:r>
    </w:p>
    <w:p w14:paraId="333852D5" w14:textId="77777777" w:rsidR="00BA4592" w:rsidRPr="009A0DA6" w:rsidRDefault="00BA4592" w:rsidP="00BA4592">
      <w:pPr>
        <w:tabs>
          <w:tab w:val="right" w:pos="4536"/>
          <w:tab w:val="right" w:pos="5954"/>
          <w:tab w:val="right" w:pos="7371"/>
          <w:tab w:val="right" w:pos="8789"/>
        </w:tabs>
        <w:spacing w:before="120" w:after="120" w:line="240" w:lineRule="auto"/>
        <w:ind w:right="-20"/>
        <w:contextualSpacing/>
        <w:rPr>
          <w:rFonts w:ascii="Cambria" w:eastAsia="Times New Roman" w:hAnsi="Cambria" w:cstheme="minorHAnsi"/>
          <w:b/>
        </w:rPr>
      </w:pPr>
    </w:p>
    <w:p w14:paraId="12CE84BB" w14:textId="77777777" w:rsidR="00BA4592" w:rsidRPr="009A0DA6" w:rsidRDefault="00BA4592" w:rsidP="00BA4592">
      <w:pPr>
        <w:tabs>
          <w:tab w:val="right" w:pos="4536"/>
          <w:tab w:val="right" w:pos="5954"/>
          <w:tab w:val="right" w:pos="7371"/>
          <w:tab w:val="right" w:pos="8789"/>
        </w:tabs>
        <w:spacing w:before="120" w:after="120" w:line="240" w:lineRule="auto"/>
        <w:ind w:right="-20"/>
        <w:contextualSpacing/>
        <w:rPr>
          <w:rFonts w:ascii="Cambria" w:eastAsia="Times New Roman" w:hAnsi="Cambria" w:cstheme="minorHAnsi"/>
          <w:b/>
        </w:rPr>
      </w:pPr>
    </w:p>
    <w:p w14:paraId="17C6BB20" w14:textId="77777777" w:rsidR="00BA4592" w:rsidRPr="009A0DA6" w:rsidRDefault="00BA4592" w:rsidP="00BA4592">
      <w:pPr>
        <w:spacing w:before="120" w:after="120" w:line="240" w:lineRule="auto"/>
        <w:contextualSpacing/>
        <w:rPr>
          <w:rFonts w:ascii="Cambria" w:eastAsiaTheme="minorEastAsia" w:hAnsi="Cambria" w:cstheme="minorHAnsi"/>
          <w:b/>
        </w:rPr>
      </w:pPr>
      <w:r w:rsidRPr="009A0DA6">
        <w:rPr>
          <w:rFonts w:ascii="Cambria" w:hAnsi="Cambria" w:cstheme="minorHAnsi"/>
          <w:b/>
        </w:rPr>
        <w:t>For year ending 31 December 2015</w:t>
      </w:r>
    </w:p>
    <w:p w14:paraId="3E056F26" w14:textId="77777777" w:rsidR="00BA4592" w:rsidRPr="009A0DA6" w:rsidRDefault="00BA4592" w:rsidP="000A20CC">
      <w:pPr>
        <w:tabs>
          <w:tab w:val="right" w:pos="4536"/>
          <w:tab w:val="right" w:pos="5954"/>
          <w:tab w:val="right" w:pos="7371"/>
          <w:tab w:val="right" w:pos="8647"/>
        </w:tabs>
        <w:spacing w:before="120" w:after="120" w:line="240" w:lineRule="auto"/>
        <w:ind w:right="-91"/>
        <w:contextualSpacing/>
        <w:rPr>
          <w:rFonts w:ascii="Cambria" w:eastAsia="Times New Roman" w:hAnsi="Cambria" w:cstheme="minorHAnsi"/>
          <w:b/>
          <w:w w:val="99"/>
        </w:rPr>
      </w:pPr>
      <w:r w:rsidRPr="009A0DA6">
        <w:rPr>
          <w:rFonts w:ascii="Cambria" w:eastAsia="Times New Roman" w:hAnsi="Cambria" w:cstheme="minorHAnsi"/>
          <w:b/>
          <w:spacing w:val="-1"/>
        </w:rPr>
        <w:tab/>
        <w:t>L</w:t>
      </w:r>
      <w:r w:rsidRPr="009A0DA6">
        <w:rPr>
          <w:rFonts w:ascii="Cambria" w:eastAsia="Times New Roman" w:hAnsi="Cambria" w:cstheme="minorHAnsi"/>
          <w:b/>
        </w:rPr>
        <w:t>CA</w:t>
      </w:r>
      <w:r w:rsidRPr="009A0DA6">
        <w:rPr>
          <w:rFonts w:ascii="Cambria" w:eastAsia="Times New Roman" w:hAnsi="Cambria" w:cstheme="minorHAnsi"/>
          <w:b/>
          <w:spacing w:val="-32"/>
        </w:rPr>
        <w:t xml:space="preserve"> </w:t>
      </w:r>
      <w:r w:rsidRPr="009A0DA6">
        <w:rPr>
          <w:rFonts w:ascii="Cambria" w:eastAsia="Times New Roman" w:hAnsi="Cambria" w:cstheme="minorHAnsi"/>
          <w:b/>
        </w:rPr>
        <w:tab/>
      </w:r>
      <w:r w:rsidRPr="009A0DA6">
        <w:rPr>
          <w:rFonts w:ascii="Cambria" w:eastAsia="Times New Roman" w:hAnsi="Cambria" w:cstheme="minorHAnsi"/>
          <w:b/>
          <w:spacing w:val="-1"/>
        </w:rPr>
        <w:t>L</w:t>
      </w:r>
      <w:r w:rsidRPr="009A0DA6">
        <w:rPr>
          <w:rFonts w:ascii="Cambria" w:eastAsia="Times New Roman" w:hAnsi="Cambria" w:cstheme="minorHAnsi"/>
          <w:b/>
        </w:rPr>
        <w:t>CA</w:t>
      </w:r>
      <w:r w:rsidRPr="009A0DA6">
        <w:rPr>
          <w:rFonts w:ascii="Cambria" w:eastAsia="Times New Roman" w:hAnsi="Cambria" w:cstheme="minorHAnsi"/>
          <w:b/>
          <w:spacing w:val="-32"/>
        </w:rPr>
        <w:t xml:space="preserve"> </w:t>
      </w:r>
      <w:r w:rsidRPr="009A0DA6">
        <w:rPr>
          <w:rFonts w:ascii="Cambria" w:eastAsia="Times New Roman" w:hAnsi="Cambria" w:cstheme="minorHAnsi"/>
          <w:b/>
        </w:rPr>
        <w:tab/>
        <w:t>I</w:t>
      </w:r>
      <w:r w:rsidRPr="009A0DA6">
        <w:rPr>
          <w:rFonts w:ascii="Cambria" w:eastAsia="Times New Roman" w:hAnsi="Cambria" w:cstheme="minorHAnsi"/>
          <w:b/>
          <w:spacing w:val="1"/>
        </w:rPr>
        <w:t>n</w:t>
      </w:r>
      <w:r w:rsidRPr="009A0DA6">
        <w:rPr>
          <w:rFonts w:ascii="Cambria" w:eastAsia="Times New Roman" w:hAnsi="Cambria" w:cstheme="minorHAnsi"/>
          <w:b/>
        </w:rPr>
        <w:t>t</w:t>
      </w:r>
      <w:r w:rsidRPr="009A0DA6">
        <w:rPr>
          <w:rFonts w:ascii="Cambria" w:eastAsia="Times New Roman" w:hAnsi="Cambria" w:cstheme="minorHAnsi"/>
          <w:b/>
          <w:spacing w:val="-1"/>
        </w:rPr>
        <w:t>e</w:t>
      </w:r>
      <w:r w:rsidRPr="009A0DA6">
        <w:rPr>
          <w:rFonts w:ascii="Cambria" w:eastAsia="Times New Roman" w:hAnsi="Cambria" w:cstheme="minorHAnsi"/>
          <w:b/>
        </w:rPr>
        <w:t>r</w:t>
      </w:r>
      <w:r w:rsidRPr="009A0DA6">
        <w:rPr>
          <w:rFonts w:ascii="Cambria" w:eastAsia="Times New Roman" w:hAnsi="Cambria" w:cstheme="minorHAnsi"/>
          <w:b/>
          <w:spacing w:val="1"/>
        </w:rPr>
        <w:t>na</w:t>
      </w:r>
      <w:r w:rsidRPr="009A0DA6">
        <w:rPr>
          <w:rFonts w:ascii="Cambria" w:eastAsia="Times New Roman" w:hAnsi="Cambria" w:cstheme="minorHAnsi"/>
          <w:b/>
        </w:rPr>
        <w:t>l</w:t>
      </w:r>
      <w:r w:rsidRPr="009A0DA6">
        <w:rPr>
          <w:rFonts w:ascii="Cambria" w:eastAsia="Times New Roman" w:hAnsi="Cambria" w:cstheme="minorHAnsi"/>
          <w:b/>
          <w:spacing w:val="2"/>
        </w:rPr>
        <w:t xml:space="preserve"> </w:t>
      </w:r>
      <w:r w:rsidRPr="009A0DA6">
        <w:rPr>
          <w:rFonts w:ascii="Cambria" w:eastAsia="Times New Roman" w:hAnsi="Cambria" w:cstheme="minorHAnsi"/>
          <w:b/>
        </w:rPr>
        <w:tab/>
      </w:r>
      <w:r w:rsidRPr="009A0DA6">
        <w:rPr>
          <w:rFonts w:ascii="Cambria" w:eastAsia="Times New Roman" w:hAnsi="Cambria" w:cstheme="minorHAnsi"/>
          <w:b/>
          <w:spacing w:val="-1"/>
          <w:w w:val="108"/>
        </w:rPr>
        <w:t>L</w:t>
      </w:r>
      <w:r w:rsidRPr="009A0DA6">
        <w:rPr>
          <w:rFonts w:ascii="Cambria" w:eastAsia="Times New Roman" w:hAnsi="Cambria" w:cstheme="minorHAnsi"/>
          <w:b/>
          <w:w w:val="107"/>
        </w:rPr>
        <w:t>C</w:t>
      </w:r>
      <w:r w:rsidRPr="009A0DA6">
        <w:rPr>
          <w:rFonts w:ascii="Cambria" w:eastAsia="Times New Roman" w:hAnsi="Cambria" w:cstheme="minorHAnsi"/>
          <w:b/>
          <w:w w:val="99"/>
        </w:rPr>
        <w:t xml:space="preserve">A </w:t>
      </w:r>
    </w:p>
    <w:p w14:paraId="7185EB4E" w14:textId="77777777" w:rsidR="00BA4592" w:rsidRPr="009A0DA6" w:rsidRDefault="00BA4592" w:rsidP="000A20CC">
      <w:pPr>
        <w:tabs>
          <w:tab w:val="right" w:pos="4536"/>
          <w:tab w:val="right" w:pos="5954"/>
          <w:tab w:val="right" w:pos="7371"/>
          <w:tab w:val="right" w:pos="8647"/>
        </w:tabs>
        <w:spacing w:before="120" w:after="120" w:line="240" w:lineRule="auto"/>
        <w:ind w:right="-91"/>
        <w:contextualSpacing/>
        <w:rPr>
          <w:rFonts w:ascii="Cambria" w:eastAsia="Times New Roman" w:hAnsi="Cambria" w:cstheme="minorHAnsi"/>
          <w:b/>
          <w:w w:val="107"/>
        </w:rPr>
      </w:pPr>
      <w:r w:rsidRPr="009A0DA6">
        <w:rPr>
          <w:rFonts w:ascii="Cambria" w:eastAsia="Times New Roman" w:hAnsi="Cambria" w:cstheme="minorHAnsi"/>
          <w:b/>
        </w:rPr>
        <w:tab/>
        <w:t>N</w:t>
      </w:r>
      <w:r w:rsidRPr="009A0DA6">
        <w:rPr>
          <w:rFonts w:ascii="Cambria" w:eastAsia="Times New Roman" w:hAnsi="Cambria" w:cstheme="minorHAnsi"/>
          <w:b/>
          <w:spacing w:val="1"/>
        </w:rPr>
        <w:t>at</w:t>
      </w:r>
      <w:r w:rsidRPr="009A0DA6">
        <w:rPr>
          <w:rFonts w:ascii="Cambria" w:eastAsia="Times New Roman" w:hAnsi="Cambria" w:cstheme="minorHAnsi"/>
          <w:b/>
        </w:rPr>
        <w:t>i</w:t>
      </w:r>
      <w:r w:rsidRPr="009A0DA6">
        <w:rPr>
          <w:rFonts w:ascii="Cambria" w:eastAsia="Times New Roman" w:hAnsi="Cambria" w:cstheme="minorHAnsi"/>
          <w:b/>
          <w:spacing w:val="1"/>
        </w:rPr>
        <w:t>o</w:t>
      </w:r>
      <w:r w:rsidRPr="009A0DA6">
        <w:rPr>
          <w:rFonts w:ascii="Cambria" w:eastAsia="Times New Roman" w:hAnsi="Cambria" w:cstheme="minorHAnsi"/>
          <w:b/>
        </w:rPr>
        <w:t>n</w:t>
      </w:r>
      <w:r w:rsidRPr="009A0DA6">
        <w:rPr>
          <w:rFonts w:ascii="Cambria" w:eastAsia="Times New Roman" w:hAnsi="Cambria" w:cstheme="minorHAnsi"/>
          <w:b/>
          <w:spacing w:val="1"/>
        </w:rPr>
        <w:t>a</w:t>
      </w:r>
      <w:r w:rsidRPr="009A0DA6">
        <w:rPr>
          <w:rFonts w:ascii="Cambria" w:eastAsia="Times New Roman" w:hAnsi="Cambria" w:cstheme="minorHAnsi"/>
          <w:b/>
        </w:rPr>
        <w:t>l</w:t>
      </w:r>
      <w:r w:rsidRPr="009A0DA6">
        <w:rPr>
          <w:rFonts w:ascii="Cambria" w:eastAsia="Times New Roman" w:hAnsi="Cambria" w:cstheme="minorHAnsi"/>
          <w:b/>
          <w:spacing w:val="-12"/>
        </w:rPr>
        <w:t xml:space="preserve"> </w:t>
      </w:r>
      <w:r w:rsidRPr="009A0DA6">
        <w:rPr>
          <w:rFonts w:ascii="Cambria" w:eastAsia="Times New Roman" w:hAnsi="Cambria" w:cstheme="minorHAnsi"/>
          <w:b/>
        </w:rPr>
        <w:tab/>
      </w:r>
      <w:r w:rsidRPr="009A0DA6">
        <w:rPr>
          <w:rFonts w:ascii="Cambria" w:eastAsia="Times New Roman" w:hAnsi="Cambria" w:cstheme="minorHAnsi"/>
          <w:b/>
          <w:w w:val="107"/>
        </w:rPr>
        <w:t>Dep</w:t>
      </w:r>
      <w:r w:rsidRPr="009A0DA6">
        <w:rPr>
          <w:rFonts w:ascii="Cambria" w:eastAsia="Times New Roman" w:hAnsi="Cambria" w:cstheme="minorHAnsi"/>
          <w:b/>
          <w:spacing w:val="1"/>
          <w:w w:val="107"/>
        </w:rPr>
        <w:t>a</w:t>
      </w:r>
      <w:r w:rsidRPr="009A0DA6">
        <w:rPr>
          <w:rFonts w:ascii="Cambria" w:eastAsia="Times New Roman" w:hAnsi="Cambria" w:cstheme="minorHAnsi"/>
          <w:b/>
          <w:w w:val="107"/>
        </w:rPr>
        <w:t>r</w:t>
      </w:r>
      <w:r w:rsidRPr="009A0DA6">
        <w:rPr>
          <w:rFonts w:ascii="Cambria" w:eastAsia="Times New Roman" w:hAnsi="Cambria" w:cstheme="minorHAnsi"/>
          <w:b/>
          <w:spacing w:val="3"/>
          <w:w w:val="107"/>
        </w:rPr>
        <w:t>t</w:t>
      </w:r>
      <w:r w:rsidRPr="009A0DA6">
        <w:rPr>
          <w:rFonts w:ascii="Cambria" w:eastAsia="Times New Roman" w:hAnsi="Cambria" w:cstheme="minorHAnsi"/>
          <w:b/>
          <w:spacing w:val="-5"/>
          <w:w w:val="107"/>
        </w:rPr>
        <w:t>m</w:t>
      </w:r>
      <w:r w:rsidRPr="009A0DA6">
        <w:rPr>
          <w:rFonts w:ascii="Cambria" w:eastAsia="Times New Roman" w:hAnsi="Cambria" w:cstheme="minorHAnsi"/>
          <w:b/>
          <w:w w:val="107"/>
        </w:rPr>
        <w:t>en</w:t>
      </w:r>
      <w:r w:rsidRPr="009A0DA6">
        <w:rPr>
          <w:rFonts w:ascii="Cambria" w:eastAsia="Times New Roman" w:hAnsi="Cambria" w:cstheme="minorHAnsi"/>
          <w:b/>
          <w:spacing w:val="1"/>
          <w:w w:val="107"/>
        </w:rPr>
        <w:t>t</w:t>
      </w:r>
      <w:r w:rsidRPr="009A0DA6">
        <w:rPr>
          <w:rFonts w:ascii="Cambria" w:eastAsia="Times New Roman" w:hAnsi="Cambria" w:cstheme="minorHAnsi"/>
          <w:b/>
          <w:w w:val="107"/>
        </w:rPr>
        <w:t>s</w:t>
      </w:r>
      <w:r w:rsidRPr="009A0DA6">
        <w:rPr>
          <w:rFonts w:ascii="Cambria" w:eastAsia="Times New Roman" w:hAnsi="Cambria" w:cstheme="minorHAnsi"/>
          <w:b/>
          <w:spacing w:val="-47"/>
          <w:w w:val="107"/>
        </w:rPr>
        <w:t xml:space="preserve"> </w:t>
      </w:r>
      <w:r w:rsidRPr="009A0DA6">
        <w:rPr>
          <w:rFonts w:ascii="Cambria" w:eastAsia="Times New Roman" w:hAnsi="Cambria" w:cstheme="minorHAnsi"/>
          <w:b/>
        </w:rPr>
        <w:tab/>
        <w:t>F</w:t>
      </w:r>
      <w:r w:rsidRPr="009A0DA6">
        <w:rPr>
          <w:rFonts w:ascii="Cambria" w:eastAsia="Times New Roman" w:hAnsi="Cambria" w:cstheme="minorHAnsi"/>
          <w:b/>
          <w:spacing w:val="1"/>
        </w:rPr>
        <w:t>und</w:t>
      </w:r>
      <w:r w:rsidRPr="009A0DA6">
        <w:rPr>
          <w:rFonts w:ascii="Cambria" w:eastAsia="Times New Roman" w:hAnsi="Cambria" w:cstheme="minorHAnsi"/>
          <w:b/>
        </w:rPr>
        <w:t>i</w:t>
      </w:r>
      <w:r w:rsidRPr="009A0DA6">
        <w:rPr>
          <w:rFonts w:ascii="Cambria" w:eastAsia="Times New Roman" w:hAnsi="Cambria" w:cstheme="minorHAnsi"/>
          <w:b/>
          <w:spacing w:val="-2"/>
        </w:rPr>
        <w:t>n</w:t>
      </w:r>
      <w:r w:rsidRPr="009A0DA6">
        <w:rPr>
          <w:rFonts w:ascii="Cambria" w:eastAsia="Times New Roman" w:hAnsi="Cambria" w:cstheme="minorHAnsi"/>
          <w:b/>
        </w:rPr>
        <w:t>g</w:t>
      </w:r>
      <w:r w:rsidRPr="009A0DA6">
        <w:rPr>
          <w:rFonts w:ascii="Cambria" w:eastAsia="Times New Roman" w:hAnsi="Cambria" w:cstheme="minorHAnsi"/>
          <w:b/>
          <w:spacing w:val="1"/>
        </w:rPr>
        <w:t xml:space="preserve"> </w:t>
      </w:r>
      <w:r w:rsidRPr="009A0DA6">
        <w:rPr>
          <w:rFonts w:ascii="Cambria" w:eastAsia="Times New Roman" w:hAnsi="Cambria" w:cstheme="minorHAnsi"/>
          <w:b/>
        </w:rPr>
        <w:tab/>
      </w:r>
      <w:r w:rsidRPr="009A0DA6">
        <w:rPr>
          <w:rFonts w:ascii="Cambria" w:eastAsia="Times New Roman" w:hAnsi="Cambria" w:cstheme="minorHAnsi"/>
          <w:b/>
          <w:w w:val="107"/>
        </w:rPr>
        <w:t>Consolidated</w:t>
      </w:r>
    </w:p>
    <w:p w14:paraId="39A0FBC2" w14:textId="562DBBB3" w:rsidR="00BA4592" w:rsidRPr="009A0DA6" w:rsidRDefault="00BA4592" w:rsidP="000A20CC">
      <w:pPr>
        <w:tabs>
          <w:tab w:val="right" w:pos="4536"/>
          <w:tab w:val="right" w:pos="5954"/>
          <w:tab w:val="right" w:pos="7371"/>
          <w:tab w:val="right" w:pos="8647"/>
        </w:tabs>
        <w:spacing w:before="120" w:after="120" w:line="240" w:lineRule="auto"/>
        <w:ind w:right="-91"/>
        <w:contextualSpacing/>
        <w:rPr>
          <w:rFonts w:ascii="Cambria" w:eastAsia="Times New Roman" w:hAnsi="Cambria" w:cstheme="minorHAnsi"/>
          <w:b/>
        </w:rPr>
      </w:pPr>
      <w:r w:rsidRPr="009A0DA6">
        <w:rPr>
          <w:rFonts w:ascii="Cambria" w:eastAsia="Times New Roman" w:hAnsi="Cambria" w:cstheme="minorHAnsi"/>
          <w:b/>
          <w:spacing w:val="-1"/>
          <w:w w:val="116"/>
        </w:rPr>
        <w:t>Income</w:t>
      </w:r>
      <w:r w:rsidRPr="009A0DA6">
        <w:rPr>
          <w:rFonts w:ascii="Cambria" w:eastAsia="Times New Roman" w:hAnsi="Cambria" w:cstheme="minorHAnsi"/>
          <w:b/>
          <w:w w:val="99"/>
        </w:rPr>
        <w:tab/>
      </w:r>
      <w:r w:rsidR="000A20CC">
        <w:rPr>
          <w:rFonts w:ascii="Cambria" w:eastAsia="Times New Roman" w:hAnsi="Cambria" w:cstheme="minorHAnsi"/>
          <w:b/>
        </w:rPr>
        <w:t>$</w:t>
      </w:r>
      <w:r w:rsidR="000A20CC">
        <w:rPr>
          <w:rFonts w:ascii="Cambria" w:eastAsia="Times New Roman" w:hAnsi="Cambria" w:cstheme="minorHAnsi"/>
          <w:b/>
        </w:rPr>
        <w:tab/>
        <w:t>$</w:t>
      </w:r>
      <w:r w:rsidR="000A20CC">
        <w:rPr>
          <w:rFonts w:ascii="Cambria" w:eastAsia="Times New Roman" w:hAnsi="Cambria" w:cstheme="minorHAnsi"/>
          <w:b/>
        </w:rPr>
        <w:tab/>
        <w:t>$</w:t>
      </w:r>
      <w:r w:rsidR="000A20CC">
        <w:rPr>
          <w:rFonts w:ascii="Cambria" w:eastAsia="Times New Roman" w:hAnsi="Cambria" w:cstheme="minorHAnsi"/>
          <w:b/>
        </w:rPr>
        <w:tab/>
      </w:r>
      <w:r w:rsidRPr="009A0DA6">
        <w:rPr>
          <w:rFonts w:ascii="Cambria" w:eastAsia="Times New Roman" w:hAnsi="Cambria" w:cstheme="minorHAnsi"/>
          <w:b/>
        </w:rPr>
        <w:t>$</w:t>
      </w:r>
    </w:p>
    <w:p w14:paraId="6FE71505" w14:textId="77777777" w:rsidR="00BA4592" w:rsidRPr="009A0DA6" w:rsidRDefault="00BA4592" w:rsidP="000A20CC">
      <w:pPr>
        <w:tabs>
          <w:tab w:val="right" w:pos="4536"/>
          <w:tab w:val="right" w:pos="5954"/>
          <w:tab w:val="right" w:pos="7371"/>
          <w:tab w:val="right" w:pos="8647"/>
        </w:tabs>
        <w:spacing w:before="120" w:after="120" w:line="240" w:lineRule="auto"/>
        <w:ind w:right="-121"/>
        <w:contextualSpacing/>
        <w:rPr>
          <w:rFonts w:ascii="Cambria" w:eastAsia="Times New Roman" w:hAnsi="Cambria" w:cstheme="minorHAnsi"/>
          <w:b/>
        </w:rPr>
      </w:pPr>
      <w:r w:rsidRPr="009A0DA6">
        <w:rPr>
          <w:rFonts w:ascii="Cambria" w:eastAsia="Times New Roman" w:hAnsi="Cambria" w:cstheme="minorHAnsi"/>
        </w:rPr>
        <w:t>Appeals,</w:t>
      </w:r>
      <w:r w:rsidRPr="009A0DA6">
        <w:rPr>
          <w:rFonts w:ascii="Cambria" w:eastAsia="Times New Roman" w:hAnsi="Cambria" w:cstheme="minorHAnsi"/>
          <w:spacing w:val="17"/>
        </w:rPr>
        <w:t xml:space="preserve"> </w:t>
      </w:r>
      <w:r w:rsidRPr="009A0DA6">
        <w:rPr>
          <w:rFonts w:ascii="Cambria" w:eastAsia="Times New Roman" w:hAnsi="Cambria" w:cstheme="minorHAnsi"/>
        </w:rPr>
        <w:t>donations</w:t>
      </w:r>
      <w:r w:rsidRPr="009A0DA6">
        <w:rPr>
          <w:rFonts w:ascii="Cambria" w:eastAsia="Times New Roman" w:hAnsi="Cambria" w:cstheme="minorHAnsi"/>
          <w:spacing w:val="23"/>
        </w:rPr>
        <w:t xml:space="preserve"> </w:t>
      </w:r>
      <w:r w:rsidRPr="009A0DA6">
        <w:rPr>
          <w:rFonts w:ascii="Cambria" w:eastAsia="Times New Roman" w:hAnsi="Cambria" w:cstheme="minorHAnsi"/>
        </w:rPr>
        <w:t>and</w:t>
      </w:r>
      <w:r w:rsidRPr="009A0DA6">
        <w:rPr>
          <w:rFonts w:ascii="Cambria" w:eastAsia="Times New Roman" w:hAnsi="Cambria" w:cstheme="minorHAnsi"/>
          <w:spacing w:val="12"/>
        </w:rPr>
        <w:t xml:space="preserve"> </w:t>
      </w:r>
      <w:r w:rsidRPr="009A0DA6">
        <w:rPr>
          <w:rFonts w:ascii="Cambria" w:eastAsia="Times New Roman" w:hAnsi="Cambria" w:cstheme="minorHAnsi"/>
          <w:w w:val="104"/>
        </w:rPr>
        <w:t>bequests</w:t>
      </w:r>
      <w:r w:rsidRPr="009A0DA6">
        <w:rPr>
          <w:rFonts w:ascii="Cambria" w:eastAsia="Times New Roman" w:hAnsi="Cambria" w:cstheme="minorHAnsi"/>
        </w:rPr>
        <w:tab/>
      </w:r>
      <w:r w:rsidRPr="009A0DA6">
        <w:rPr>
          <w:rFonts w:ascii="Cambria" w:eastAsia="Times New Roman" w:hAnsi="Cambria" w:cstheme="minorHAnsi"/>
          <w:w w:val="103"/>
        </w:rPr>
        <w:t>498,474</w:t>
      </w:r>
      <w:r w:rsidRPr="009A0DA6">
        <w:rPr>
          <w:rFonts w:ascii="Cambria" w:hAnsi="Cambria" w:cstheme="minorHAnsi"/>
        </w:rPr>
        <w:tab/>
      </w:r>
      <w:r w:rsidRPr="009A0DA6">
        <w:rPr>
          <w:rFonts w:ascii="Cambria" w:eastAsia="Times New Roman" w:hAnsi="Cambria" w:cstheme="minorHAnsi"/>
          <w:w w:val="106"/>
        </w:rPr>
        <w:t>936,918</w:t>
      </w:r>
      <w:r w:rsidRPr="009A0DA6">
        <w:rPr>
          <w:rFonts w:ascii="Cambria" w:eastAsia="Times New Roman" w:hAnsi="Cambria" w:cstheme="minorHAnsi"/>
        </w:rPr>
        <w:tab/>
      </w:r>
      <w:r w:rsidRPr="009A0DA6">
        <w:rPr>
          <w:rFonts w:ascii="Cambria" w:eastAsia="Times New Roman" w:hAnsi="Cambria" w:cstheme="minorHAnsi"/>
          <w:w w:val="111"/>
        </w:rPr>
        <w:t>0</w:t>
      </w:r>
      <w:r w:rsidRPr="009A0DA6">
        <w:rPr>
          <w:rFonts w:ascii="Cambria" w:eastAsia="Times New Roman" w:hAnsi="Cambria" w:cstheme="minorHAnsi"/>
        </w:rPr>
        <w:tab/>
      </w:r>
      <w:r w:rsidRPr="009A0DA6">
        <w:rPr>
          <w:rFonts w:ascii="Cambria" w:eastAsia="Times New Roman" w:hAnsi="Cambria" w:cstheme="minorHAnsi"/>
          <w:w w:val="104"/>
        </w:rPr>
        <w:t>1,435,392</w:t>
      </w:r>
    </w:p>
    <w:p w14:paraId="0F1E4EF7" w14:textId="1553ED2D" w:rsidR="00BA4592" w:rsidRPr="009A0DA6" w:rsidRDefault="00BA4592" w:rsidP="000A20CC">
      <w:pPr>
        <w:tabs>
          <w:tab w:val="right" w:pos="4536"/>
          <w:tab w:val="right" w:pos="5954"/>
          <w:tab w:val="right" w:pos="7371"/>
          <w:tab w:val="right" w:pos="8647"/>
        </w:tabs>
        <w:spacing w:before="120" w:after="120" w:line="240" w:lineRule="auto"/>
        <w:ind w:right="-121"/>
        <w:contextualSpacing/>
        <w:rPr>
          <w:rFonts w:ascii="Cambria" w:eastAsia="Times New Roman" w:hAnsi="Cambria" w:cstheme="minorHAnsi"/>
        </w:rPr>
      </w:pPr>
      <w:r w:rsidRPr="009A0DA6">
        <w:rPr>
          <w:rFonts w:ascii="Cambria" w:eastAsia="Times New Roman" w:hAnsi="Cambria" w:cstheme="minorHAnsi"/>
        </w:rPr>
        <w:t>Investment</w:t>
      </w:r>
      <w:r w:rsidRPr="009A0DA6">
        <w:rPr>
          <w:rFonts w:ascii="Cambria" w:eastAsia="Times New Roman" w:hAnsi="Cambria" w:cstheme="minorHAnsi"/>
          <w:spacing w:val="25"/>
        </w:rPr>
        <w:t xml:space="preserve"> </w:t>
      </w:r>
      <w:r w:rsidRPr="009A0DA6">
        <w:rPr>
          <w:rFonts w:ascii="Cambria" w:eastAsia="Times New Roman" w:hAnsi="Cambria" w:cstheme="minorHAnsi"/>
        </w:rPr>
        <w:t>and</w:t>
      </w:r>
      <w:r w:rsidRPr="009A0DA6">
        <w:rPr>
          <w:rFonts w:ascii="Cambria" w:eastAsia="Times New Roman" w:hAnsi="Cambria" w:cstheme="minorHAnsi"/>
          <w:spacing w:val="9"/>
        </w:rPr>
        <w:t xml:space="preserve"> </w:t>
      </w:r>
      <w:r w:rsidRPr="009A0DA6">
        <w:rPr>
          <w:rFonts w:ascii="Cambria" w:eastAsia="Times New Roman" w:hAnsi="Cambria" w:cstheme="minorHAnsi"/>
        </w:rPr>
        <w:t>rental</w:t>
      </w:r>
      <w:r w:rsidRPr="009A0DA6">
        <w:rPr>
          <w:rFonts w:ascii="Cambria" w:eastAsia="Times New Roman" w:hAnsi="Cambria" w:cstheme="minorHAnsi"/>
          <w:spacing w:val="17"/>
        </w:rPr>
        <w:t xml:space="preserve"> </w:t>
      </w:r>
      <w:r w:rsidRPr="009A0DA6">
        <w:rPr>
          <w:rFonts w:ascii="Cambria" w:eastAsia="Times New Roman" w:hAnsi="Cambria" w:cstheme="minorHAnsi"/>
          <w:w w:val="104"/>
        </w:rPr>
        <w:t>income</w:t>
      </w:r>
      <w:r w:rsidRPr="009A0DA6">
        <w:rPr>
          <w:rFonts w:ascii="Cambria" w:eastAsia="Times New Roman" w:hAnsi="Cambria" w:cstheme="minorHAnsi"/>
        </w:rPr>
        <w:tab/>
      </w:r>
      <w:r w:rsidRPr="009A0DA6">
        <w:rPr>
          <w:rFonts w:ascii="Cambria" w:eastAsia="Times New Roman" w:hAnsi="Cambria" w:cstheme="minorHAnsi"/>
          <w:w w:val="104"/>
        </w:rPr>
        <w:t>379,819</w:t>
      </w:r>
      <w:r w:rsidRPr="009A0DA6">
        <w:rPr>
          <w:rFonts w:ascii="Cambria" w:hAnsi="Cambria" w:cstheme="minorHAnsi"/>
        </w:rPr>
        <w:tab/>
      </w:r>
      <w:r w:rsidRPr="009A0DA6">
        <w:rPr>
          <w:rFonts w:ascii="Cambria" w:eastAsia="Times New Roman" w:hAnsi="Cambria" w:cstheme="minorHAnsi"/>
          <w:w w:val="104"/>
        </w:rPr>
        <w:t>168,301</w:t>
      </w:r>
      <w:r w:rsidRPr="009A0DA6">
        <w:rPr>
          <w:rFonts w:ascii="Cambria" w:hAnsi="Cambria" w:cstheme="minorHAnsi"/>
        </w:rPr>
        <w:tab/>
      </w:r>
      <w:r w:rsidRPr="009A0DA6">
        <w:rPr>
          <w:rFonts w:ascii="Cambria" w:eastAsia="Times New Roman" w:hAnsi="Cambria" w:cstheme="minorHAnsi"/>
          <w:w w:val="105"/>
        </w:rPr>
        <w:t>0</w:t>
      </w:r>
      <w:r w:rsidRPr="009A0DA6">
        <w:rPr>
          <w:rFonts w:ascii="Cambria" w:hAnsi="Cambria" w:cstheme="minorHAnsi"/>
        </w:rPr>
        <w:tab/>
      </w:r>
      <w:r w:rsidR="000A20CC">
        <w:rPr>
          <w:rFonts w:ascii="Cambria" w:hAnsi="Cambria" w:cstheme="minorHAnsi"/>
        </w:rPr>
        <w:t xml:space="preserve"> </w:t>
      </w:r>
      <w:r w:rsidRPr="009A0DA6">
        <w:rPr>
          <w:rFonts w:ascii="Cambria" w:eastAsia="Times New Roman" w:hAnsi="Cambria" w:cstheme="minorHAnsi"/>
          <w:w w:val="104"/>
        </w:rPr>
        <w:t>548,120</w:t>
      </w:r>
    </w:p>
    <w:p w14:paraId="18C80DCF" w14:textId="61C28E7E" w:rsidR="00BA4592" w:rsidRPr="009A0DA6" w:rsidRDefault="00BA4592" w:rsidP="000A20CC">
      <w:pPr>
        <w:tabs>
          <w:tab w:val="right" w:pos="4536"/>
          <w:tab w:val="right" w:pos="5954"/>
          <w:tab w:val="right" w:pos="7371"/>
          <w:tab w:val="right" w:pos="8647"/>
        </w:tabs>
        <w:spacing w:before="120" w:after="120" w:line="240" w:lineRule="auto"/>
        <w:ind w:right="-121"/>
        <w:contextualSpacing/>
        <w:rPr>
          <w:rFonts w:ascii="Cambria" w:eastAsia="Times New Roman" w:hAnsi="Cambria" w:cstheme="minorHAnsi"/>
        </w:rPr>
      </w:pPr>
      <w:r w:rsidRPr="009A0DA6">
        <w:rPr>
          <w:rFonts w:ascii="Cambria" w:eastAsia="Times New Roman" w:hAnsi="Cambria" w:cstheme="minorHAnsi"/>
        </w:rPr>
        <w:t>LCA allocations</w:t>
      </w:r>
      <w:r w:rsidRPr="009A0DA6">
        <w:rPr>
          <w:rFonts w:ascii="Cambria" w:eastAsia="Times New Roman" w:hAnsi="Cambria" w:cstheme="minorHAnsi"/>
          <w:spacing w:val="31"/>
        </w:rPr>
        <w:t xml:space="preserve"> </w:t>
      </w:r>
      <w:r w:rsidRPr="009A0DA6">
        <w:rPr>
          <w:rFonts w:ascii="Cambria" w:eastAsia="Times New Roman" w:hAnsi="Cambria" w:cstheme="minorHAnsi"/>
        </w:rPr>
        <w:t>and</w:t>
      </w:r>
      <w:r w:rsidRPr="009A0DA6">
        <w:rPr>
          <w:rFonts w:ascii="Cambria" w:eastAsia="Times New Roman" w:hAnsi="Cambria" w:cstheme="minorHAnsi"/>
          <w:spacing w:val="20"/>
        </w:rPr>
        <w:t xml:space="preserve"> </w:t>
      </w:r>
      <w:r w:rsidRPr="009A0DA6">
        <w:rPr>
          <w:rFonts w:ascii="Cambria" w:eastAsia="Times New Roman" w:hAnsi="Cambria" w:cstheme="minorHAnsi"/>
        </w:rPr>
        <w:t>internal</w:t>
      </w:r>
      <w:r w:rsidRPr="009A0DA6">
        <w:rPr>
          <w:rFonts w:ascii="Cambria" w:eastAsia="Times New Roman" w:hAnsi="Cambria" w:cstheme="minorHAnsi"/>
          <w:spacing w:val="29"/>
        </w:rPr>
        <w:t xml:space="preserve"> </w:t>
      </w:r>
      <w:r w:rsidRPr="009A0DA6">
        <w:rPr>
          <w:rFonts w:ascii="Cambria" w:eastAsia="Times New Roman" w:hAnsi="Cambria" w:cstheme="minorHAnsi"/>
          <w:w w:val="103"/>
        </w:rPr>
        <w:t>income</w:t>
      </w:r>
      <w:r w:rsidRPr="009A0DA6">
        <w:rPr>
          <w:rFonts w:ascii="Cambria" w:eastAsia="Times New Roman" w:hAnsi="Cambria" w:cstheme="minorHAnsi"/>
        </w:rPr>
        <w:tab/>
      </w:r>
      <w:r w:rsidRPr="009A0DA6">
        <w:rPr>
          <w:rFonts w:ascii="Cambria" w:eastAsia="Times New Roman" w:hAnsi="Cambria" w:cstheme="minorHAnsi"/>
          <w:w w:val="104"/>
        </w:rPr>
        <w:t>38,164</w:t>
      </w:r>
      <w:r w:rsidRPr="009A0DA6">
        <w:rPr>
          <w:rFonts w:ascii="Cambria" w:hAnsi="Cambria" w:cstheme="minorHAnsi"/>
        </w:rPr>
        <w:tab/>
      </w:r>
      <w:r w:rsidRPr="009A0DA6">
        <w:rPr>
          <w:rFonts w:ascii="Cambria" w:eastAsia="Times New Roman" w:hAnsi="Cambria" w:cstheme="minorHAnsi"/>
          <w:w w:val="103"/>
        </w:rPr>
        <w:t>1,359,300</w:t>
      </w:r>
      <w:r w:rsidRPr="009A0DA6">
        <w:rPr>
          <w:rFonts w:ascii="Cambria" w:eastAsia="Times New Roman" w:hAnsi="Cambria" w:cstheme="minorHAnsi"/>
        </w:rPr>
        <w:tab/>
      </w:r>
      <w:r w:rsidRPr="009A0DA6">
        <w:rPr>
          <w:rFonts w:ascii="Cambria" w:eastAsia="Times New Roman" w:hAnsi="Cambria" w:cstheme="minorHAnsi"/>
          <w:w w:val="105"/>
        </w:rPr>
        <w:t>(</w:t>
      </w:r>
      <w:r w:rsidRPr="009A0DA6">
        <w:rPr>
          <w:rFonts w:ascii="Cambria" w:eastAsia="Times New Roman" w:hAnsi="Cambria" w:cstheme="minorHAnsi"/>
          <w:spacing w:val="11"/>
          <w:w w:val="105"/>
        </w:rPr>
        <w:t>1</w:t>
      </w:r>
      <w:r w:rsidRPr="009A0DA6">
        <w:rPr>
          <w:rFonts w:ascii="Cambria" w:eastAsia="Times New Roman" w:hAnsi="Cambria" w:cstheme="minorHAnsi"/>
          <w:w w:val="105"/>
        </w:rPr>
        <w:t>,397,464)</w:t>
      </w:r>
      <w:r w:rsidRPr="009A0DA6">
        <w:rPr>
          <w:rFonts w:ascii="Cambria" w:hAnsi="Cambria" w:cstheme="minorHAnsi"/>
        </w:rPr>
        <w:tab/>
      </w:r>
      <w:r w:rsidR="000A20CC">
        <w:rPr>
          <w:rFonts w:ascii="Cambria" w:hAnsi="Cambria" w:cstheme="minorHAnsi"/>
        </w:rPr>
        <w:t xml:space="preserve">  </w:t>
      </w:r>
      <w:r w:rsidRPr="009A0DA6">
        <w:rPr>
          <w:rFonts w:ascii="Cambria" w:eastAsia="Times New Roman" w:hAnsi="Cambria" w:cstheme="minorHAnsi"/>
          <w:w w:val="105"/>
        </w:rPr>
        <w:t>0</w:t>
      </w:r>
    </w:p>
    <w:p w14:paraId="4DC67AE4" w14:textId="0B7DE78D" w:rsidR="00BA4592" w:rsidRPr="009A0DA6" w:rsidRDefault="00BA4592" w:rsidP="000A20CC">
      <w:pPr>
        <w:tabs>
          <w:tab w:val="right" w:pos="4536"/>
          <w:tab w:val="right" w:pos="5954"/>
          <w:tab w:val="right" w:pos="7371"/>
          <w:tab w:val="right" w:pos="8647"/>
        </w:tabs>
        <w:spacing w:before="120" w:after="120" w:line="240" w:lineRule="auto"/>
        <w:ind w:right="-121"/>
        <w:contextualSpacing/>
        <w:rPr>
          <w:rFonts w:ascii="Cambria" w:eastAsia="Times New Roman" w:hAnsi="Cambria" w:cstheme="minorHAnsi"/>
        </w:rPr>
      </w:pPr>
      <w:r w:rsidRPr="009A0DA6">
        <w:rPr>
          <w:rFonts w:ascii="Cambria" w:eastAsia="Times New Roman" w:hAnsi="Cambria" w:cstheme="minorHAnsi"/>
        </w:rPr>
        <w:t>Lutheran</w:t>
      </w:r>
      <w:r w:rsidRPr="009A0DA6">
        <w:rPr>
          <w:rFonts w:ascii="Cambria" w:eastAsia="Times New Roman" w:hAnsi="Cambria" w:cstheme="minorHAnsi"/>
          <w:spacing w:val="17"/>
        </w:rPr>
        <w:t xml:space="preserve"> </w:t>
      </w:r>
      <w:r w:rsidRPr="009A0DA6">
        <w:rPr>
          <w:rFonts w:ascii="Cambria" w:eastAsia="Times New Roman" w:hAnsi="Cambria" w:cstheme="minorHAnsi"/>
        </w:rPr>
        <w:t>Church</w:t>
      </w:r>
      <w:r w:rsidRPr="009A0DA6">
        <w:rPr>
          <w:rFonts w:ascii="Cambria" w:eastAsia="Times New Roman" w:hAnsi="Cambria" w:cstheme="minorHAnsi"/>
          <w:spacing w:val="14"/>
        </w:rPr>
        <w:t xml:space="preserve"> </w:t>
      </w:r>
      <w:r w:rsidRPr="009A0DA6">
        <w:rPr>
          <w:rFonts w:ascii="Cambria" w:eastAsia="Times New Roman" w:hAnsi="Cambria" w:cstheme="minorHAnsi"/>
        </w:rPr>
        <w:t>group</w:t>
      </w:r>
      <w:r w:rsidRPr="009A0DA6">
        <w:rPr>
          <w:rFonts w:ascii="Cambria" w:eastAsia="Times New Roman" w:hAnsi="Cambria" w:cstheme="minorHAnsi"/>
          <w:spacing w:val="29"/>
        </w:rPr>
        <w:t xml:space="preserve"> </w:t>
      </w:r>
      <w:r w:rsidRPr="009A0DA6">
        <w:rPr>
          <w:rFonts w:ascii="Cambria" w:eastAsia="Times New Roman" w:hAnsi="Cambria" w:cstheme="minorHAnsi"/>
          <w:w w:val="103"/>
        </w:rPr>
        <w:t>income</w:t>
      </w:r>
      <w:r w:rsidRPr="009A0DA6">
        <w:rPr>
          <w:rFonts w:ascii="Cambria" w:eastAsia="Times New Roman" w:hAnsi="Cambria" w:cstheme="minorHAnsi"/>
        </w:rPr>
        <w:tab/>
      </w:r>
      <w:r w:rsidRPr="009A0DA6">
        <w:rPr>
          <w:rFonts w:ascii="Cambria" w:eastAsia="Times New Roman" w:hAnsi="Cambria" w:cstheme="minorHAnsi"/>
          <w:w w:val="104"/>
        </w:rPr>
        <w:t>6,155,822</w:t>
      </w:r>
      <w:r w:rsidRPr="009A0DA6">
        <w:rPr>
          <w:rFonts w:ascii="Cambria" w:eastAsia="Times New Roman" w:hAnsi="Cambria" w:cstheme="minorHAnsi"/>
        </w:rPr>
        <w:tab/>
      </w:r>
      <w:r w:rsidRPr="009A0DA6">
        <w:rPr>
          <w:rFonts w:ascii="Cambria" w:eastAsia="Times New Roman" w:hAnsi="Cambria" w:cstheme="minorHAnsi"/>
          <w:w w:val="104"/>
        </w:rPr>
        <w:t>1,260,979</w:t>
      </w:r>
      <w:r w:rsidRPr="009A0DA6">
        <w:rPr>
          <w:rFonts w:ascii="Cambria" w:eastAsia="Times New Roman" w:hAnsi="Cambria" w:cstheme="minorHAnsi"/>
        </w:rPr>
        <w:tab/>
      </w:r>
      <w:r w:rsidRPr="009A0DA6">
        <w:rPr>
          <w:rFonts w:ascii="Cambria" w:eastAsia="Times New Roman" w:hAnsi="Cambria" w:cstheme="minorHAnsi"/>
          <w:w w:val="105"/>
        </w:rPr>
        <w:t>0</w:t>
      </w:r>
      <w:r w:rsidR="000A20CC">
        <w:rPr>
          <w:rFonts w:ascii="Cambria" w:hAnsi="Cambria" w:cstheme="minorHAnsi"/>
        </w:rPr>
        <w:tab/>
        <w:t xml:space="preserve">   </w:t>
      </w:r>
      <w:r w:rsidRPr="009A0DA6">
        <w:rPr>
          <w:rFonts w:ascii="Cambria" w:eastAsia="Times New Roman" w:hAnsi="Cambria" w:cstheme="minorHAnsi"/>
          <w:w w:val="104"/>
        </w:rPr>
        <w:t>7,416,801</w:t>
      </w:r>
    </w:p>
    <w:p w14:paraId="52655B9D" w14:textId="77777777" w:rsidR="00BA4592" w:rsidRPr="009A0DA6" w:rsidRDefault="00BA4592" w:rsidP="000A20CC">
      <w:pPr>
        <w:tabs>
          <w:tab w:val="right" w:pos="4536"/>
          <w:tab w:val="right" w:pos="5954"/>
          <w:tab w:val="right" w:pos="7371"/>
          <w:tab w:val="right" w:pos="8647"/>
        </w:tabs>
        <w:spacing w:before="120" w:after="120" w:line="240" w:lineRule="auto"/>
        <w:ind w:right="-121"/>
        <w:contextualSpacing/>
        <w:rPr>
          <w:rFonts w:ascii="Cambria" w:eastAsia="Times New Roman" w:hAnsi="Cambria" w:cstheme="minorHAnsi"/>
        </w:rPr>
      </w:pPr>
      <w:r w:rsidRPr="009A0DA6">
        <w:rPr>
          <w:rFonts w:ascii="Cambria" w:eastAsia="Times New Roman" w:hAnsi="Cambria" w:cstheme="minorHAnsi"/>
          <w:w w:val="102"/>
        </w:rPr>
        <w:t>Reimbursements</w:t>
      </w:r>
      <w:r w:rsidRPr="009A0DA6">
        <w:rPr>
          <w:rFonts w:ascii="Cambria" w:eastAsia="Times New Roman" w:hAnsi="Cambria" w:cstheme="minorHAnsi"/>
        </w:rPr>
        <w:tab/>
      </w:r>
      <w:r w:rsidRPr="009A0DA6">
        <w:rPr>
          <w:rFonts w:ascii="Cambria" w:eastAsia="Times New Roman" w:hAnsi="Cambria" w:cstheme="minorHAnsi"/>
          <w:w w:val="102"/>
        </w:rPr>
        <w:t>118,091</w:t>
      </w:r>
      <w:r w:rsidRPr="009A0DA6">
        <w:rPr>
          <w:rFonts w:ascii="Cambria" w:hAnsi="Cambria" w:cstheme="minorHAnsi"/>
        </w:rPr>
        <w:tab/>
      </w:r>
      <w:r w:rsidRPr="009A0DA6">
        <w:rPr>
          <w:rFonts w:ascii="Cambria" w:eastAsia="Times New Roman" w:hAnsi="Cambria" w:cstheme="minorHAnsi"/>
          <w:w w:val="104"/>
        </w:rPr>
        <w:t>205,026</w:t>
      </w:r>
      <w:r w:rsidRPr="009A0DA6">
        <w:rPr>
          <w:rFonts w:ascii="Cambria" w:eastAsia="Times New Roman" w:hAnsi="Cambria" w:cstheme="minorHAnsi"/>
        </w:rPr>
        <w:tab/>
      </w:r>
      <w:r w:rsidRPr="009A0DA6">
        <w:rPr>
          <w:rFonts w:ascii="Cambria" w:eastAsia="Times New Roman" w:hAnsi="Cambria" w:cstheme="minorHAnsi"/>
          <w:w w:val="105"/>
        </w:rPr>
        <w:t>(3,000)</w:t>
      </w:r>
      <w:r w:rsidRPr="009A0DA6">
        <w:rPr>
          <w:rFonts w:ascii="Cambria" w:eastAsia="Times New Roman" w:hAnsi="Cambria" w:cstheme="minorHAnsi"/>
        </w:rPr>
        <w:tab/>
      </w:r>
      <w:r w:rsidRPr="009A0DA6">
        <w:rPr>
          <w:rFonts w:ascii="Cambria" w:eastAsia="Times New Roman" w:hAnsi="Cambria" w:cstheme="minorHAnsi"/>
          <w:w w:val="104"/>
        </w:rPr>
        <w:t>320,117</w:t>
      </w:r>
    </w:p>
    <w:p w14:paraId="15786743" w14:textId="77777777" w:rsidR="00BA4592" w:rsidRPr="009A0DA6" w:rsidRDefault="00BA4592" w:rsidP="000A20CC">
      <w:pPr>
        <w:tabs>
          <w:tab w:val="right" w:pos="4536"/>
          <w:tab w:val="right" w:pos="5954"/>
          <w:tab w:val="right" w:pos="7371"/>
          <w:tab w:val="right" w:pos="8647"/>
        </w:tabs>
        <w:spacing w:before="120" w:after="120" w:line="240" w:lineRule="auto"/>
        <w:ind w:right="-121"/>
        <w:contextualSpacing/>
        <w:rPr>
          <w:rFonts w:ascii="Cambria" w:eastAsia="Times New Roman" w:hAnsi="Cambria" w:cstheme="minorHAnsi"/>
        </w:rPr>
      </w:pPr>
      <w:r w:rsidRPr="009A0DA6">
        <w:rPr>
          <w:rFonts w:ascii="Cambria" w:eastAsia="Times New Roman" w:hAnsi="Cambria" w:cstheme="minorHAnsi"/>
        </w:rPr>
        <w:t>Trading</w:t>
      </w:r>
      <w:r w:rsidRPr="009A0DA6">
        <w:rPr>
          <w:rFonts w:ascii="Cambria" w:eastAsia="Times New Roman" w:hAnsi="Cambria" w:cstheme="minorHAnsi"/>
          <w:spacing w:val="25"/>
        </w:rPr>
        <w:t xml:space="preserve"> </w:t>
      </w:r>
      <w:r w:rsidRPr="009A0DA6">
        <w:rPr>
          <w:rFonts w:ascii="Cambria" w:eastAsia="Times New Roman" w:hAnsi="Cambria" w:cstheme="minorHAnsi"/>
          <w:w w:val="102"/>
        </w:rPr>
        <w:t>Income</w:t>
      </w:r>
      <w:r w:rsidRPr="009A0DA6">
        <w:rPr>
          <w:rFonts w:ascii="Cambria" w:eastAsia="Times New Roman" w:hAnsi="Cambria" w:cstheme="minorHAnsi"/>
        </w:rPr>
        <w:tab/>
      </w:r>
      <w:r w:rsidRPr="009A0DA6">
        <w:rPr>
          <w:rFonts w:ascii="Cambria" w:eastAsia="Times New Roman" w:hAnsi="Cambria" w:cstheme="minorHAnsi"/>
          <w:w w:val="105"/>
        </w:rPr>
        <w:t>328,464</w:t>
      </w:r>
      <w:r w:rsidRPr="009A0DA6">
        <w:rPr>
          <w:rFonts w:ascii="Cambria" w:eastAsia="Times New Roman" w:hAnsi="Cambria" w:cstheme="minorHAnsi"/>
        </w:rPr>
        <w:tab/>
      </w:r>
      <w:r w:rsidRPr="009A0DA6">
        <w:rPr>
          <w:rFonts w:ascii="Cambria" w:eastAsia="Times New Roman" w:hAnsi="Cambria" w:cstheme="minorHAnsi"/>
          <w:w w:val="106"/>
        </w:rPr>
        <w:t>211,995</w:t>
      </w:r>
      <w:r w:rsidRPr="009A0DA6">
        <w:rPr>
          <w:rFonts w:ascii="Cambria" w:eastAsia="Times New Roman" w:hAnsi="Cambria" w:cstheme="minorHAnsi"/>
        </w:rPr>
        <w:tab/>
      </w:r>
      <w:r w:rsidRPr="009A0DA6">
        <w:rPr>
          <w:rFonts w:ascii="Cambria" w:eastAsia="Times New Roman" w:hAnsi="Cambria" w:cstheme="minorHAnsi"/>
          <w:w w:val="105"/>
        </w:rPr>
        <w:t>0</w:t>
      </w:r>
      <w:r w:rsidRPr="009A0DA6">
        <w:rPr>
          <w:rFonts w:ascii="Cambria" w:eastAsia="Times New Roman" w:hAnsi="Cambria" w:cstheme="minorHAnsi"/>
        </w:rPr>
        <w:tab/>
      </w:r>
      <w:r w:rsidRPr="009A0DA6">
        <w:rPr>
          <w:rFonts w:ascii="Cambria" w:eastAsia="Times New Roman" w:hAnsi="Cambria" w:cstheme="minorHAnsi"/>
          <w:w w:val="104"/>
        </w:rPr>
        <w:t>540,459</w:t>
      </w:r>
    </w:p>
    <w:p w14:paraId="471E24EB" w14:textId="77777777" w:rsidR="00BA4592" w:rsidRPr="009A0DA6" w:rsidRDefault="00BA4592" w:rsidP="000A20CC">
      <w:pPr>
        <w:tabs>
          <w:tab w:val="right" w:pos="4536"/>
          <w:tab w:val="right" w:pos="5954"/>
          <w:tab w:val="right" w:pos="7371"/>
          <w:tab w:val="right" w:pos="8647"/>
        </w:tabs>
        <w:spacing w:before="120" w:after="120" w:line="240" w:lineRule="auto"/>
        <w:ind w:right="-121"/>
        <w:contextualSpacing/>
        <w:rPr>
          <w:rFonts w:ascii="Cambria" w:eastAsia="Times New Roman" w:hAnsi="Cambria" w:cstheme="minorHAnsi"/>
          <w:b/>
        </w:rPr>
      </w:pPr>
      <w:r w:rsidRPr="009A0DA6">
        <w:rPr>
          <w:rFonts w:ascii="Cambria" w:eastAsia="Times New Roman" w:hAnsi="Cambria" w:cstheme="minorHAnsi"/>
          <w:b/>
        </w:rPr>
        <w:t>Total</w:t>
      </w:r>
      <w:r w:rsidRPr="009A0DA6">
        <w:rPr>
          <w:rFonts w:ascii="Cambria" w:eastAsia="Times New Roman" w:hAnsi="Cambria" w:cstheme="minorHAnsi"/>
          <w:b/>
          <w:spacing w:val="8"/>
        </w:rPr>
        <w:t xml:space="preserve"> </w:t>
      </w:r>
      <w:r w:rsidRPr="009A0DA6">
        <w:rPr>
          <w:rFonts w:ascii="Cambria" w:eastAsia="Times New Roman" w:hAnsi="Cambria" w:cstheme="minorHAnsi"/>
          <w:b/>
          <w:w w:val="106"/>
        </w:rPr>
        <w:t>income</w:t>
      </w:r>
      <w:r w:rsidRPr="009A0DA6">
        <w:rPr>
          <w:rFonts w:ascii="Cambria" w:eastAsia="Times New Roman" w:hAnsi="Cambria" w:cstheme="minorHAnsi"/>
          <w:b/>
        </w:rPr>
        <w:tab/>
      </w:r>
      <w:r w:rsidRPr="009A0DA6">
        <w:rPr>
          <w:rFonts w:ascii="Cambria" w:eastAsia="Times New Roman" w:hAnsi="Cambria" w:cstheme="minorHAnsi"/>
          <w:b/>
          <w:w w:val="105"/>
        </w:rPr>
        <w:t>7,518,834</w:t>
      </w:r>
      <w:r w:rsidRPr="009A0DA6">
        <w:rPr>
          <w:rFonts w:ascii="Cambria" w:hAnsi="Cambria" w:cstheme="minorHAnsi"/>
          <w:b/>
        </w:rPr>
        <w:tab/>
      </w:r>
      <w:r w:rsidRPr="009A0DA6">
        <w:rPr>
          <w:rFonts w:ascii="Cambria" w:eastAsia="Times New Roman" w:hAnsi="Cambria" w:cstheme="minorHAnsi"/>
          <w:b/>
          <w:w w:val="105"/>
        </w:rPr>
        <w:t>4,142,519</w:t>
      </w:r>
      <w:r w:rsidRPr="009A0DA6">
        <w:rPr>
          <w:rFonts w:ascii="Cambria" w:hAnsi="Cambria" w:cstheme="minorHAnsi"/>
          <w:b/>
        </w:rPr>
        <w:tab/>
      </w:r>
      <w:r w:rsidRPr="009A0DA6">
        <w:rPr>
          <w:rFonts w:ascii="Cambria" w:eastAsia="Times New Roman" w:hAnsi="Cambria" w:cstheme="minorHAnsi"/>
          <w:b/>
          <w:w w:val="105"/>
        </w:rPr>
        <w:t>(1,400,464)</w:t>
      </w:r>
      <w:r w:rsidRPr="009A0DA6">
        <w:rPr>
          <w:rFonts w:ascii="Cambria" w:hAnsi="Cambria" w:cstheme="minorHAnsi"/>
          <w:b/>
        </w:rPr>
        <w:tab/>
      </w:r>
      <w:r w:rsidRPr="009A0DA6">
        <w:rPr>
          <w:rFonts w:ascii="Cambria" w:eastAsia="Times New Roman" w:hAnsi="Cambria" w:cstheme="minorHAnsi"/>
          <w:b/>
          <w:w w:val="105"/>
        </w:rPr>
        <w:t>10,260,889</w:t>
      </w:r>
    </w:p>
    <w:p w14:paraId="6A7B3252" w14:textId="77777777" w:rsidR="00BA4592" w:rsidRPr="009A0DA6" w:rsidRDefault="00BA4592" w:rsidP="00BA4592">
      <w:pPr>
        <w:tabs>
          <w:tab w:val="right" w:pos="4536"/>
          <w:tab w:val="right" w:pos="5954"/>
          <w:tab w:val="right" w:pos="7371"/>
          <w:tab w:val="right" w:pos="8789"/>
        </w:tabs>
        <w:spacing w:before="120" w:after="120" w:line="240" w:lineRule="auto"/>
        <w:contextualSpacing/>
        <w:rPr>
          <w:rFonts w:ascii="Cambria" w:eastAsiaTheme="minorEastAsia" w:hAnsi="Cambria" w:cstheme="minorHAnsi"/>
        </w:rPr>
      </w:pPr>
    </w:p>
    <w:p w14:paraId="134663A9" w14:textId="77777777" w:rsidR="00BA4592" w:rsidRPr="009A0DA6" w:rsidRDefault="00BA4592" w:rsidP="00BA4592">
      <w:pPr>
        <w:tabs>
          <w:tab w:val="right" w:pos="4536"/>
          <w:tab w:val="right" w:pos="5954"/>
          <w:tab w:val="right" w:pos="7371"/>
          <w:tab w:val="right" w:pos="8789"/>
        </w:tabs>
        <w:spacing w:before="120" w:after="120" w:line="240" w:lineRule="auto"/>
        <w:contextualSpacing/>
        <w:rPr>
          <w:rFonts w:ascii="Cambria" w:hAnsi="Cambria" w:cstheme="minorHAnsi"/>
          <w:b/>
        </w:rPr>
      </w:pPr>
      <w:r w:rsidRPr="009A0DA6">
        <w:rPr>
          <w:rFonts w:ascii="Cambria" w:eastAsia="Times New Roman" w:hAnsi="Cambria" w:cstheme="minorHAnsi"/>
          <w:b/>
          <w:spacing w:val="-1"/>
          <w:w w:val="108"/>
        </w:rPr>
        <w:t>Expenditure</w:t>
      </w:r>
    </w:p>
    <w:p w14:paraId="0E6A0524" w14:textId="77777777" w:rsidR="00BA4592" w:rsidRPr="009A0DA6" w:rsidRDefault="00BA4592" w:rsidP="00BA4592">
      <w:pPr>
        <w:tabs>
          <w:tab w:val="right" w:pos="4536"/>
          <w:tab w:val="right" w:pos="5954"/>
          <w:tab w:val="right" w:pos="7371"/>
          <w:tab w:val="right" w:pos="8789"/>
        </w:tabs>
        <w:spacing w:before="120" w:after="120" w:line="240" w:lineRule="auto"/>
        <w:contextualSpacing/>
        <w:rPr>
          <w:rFonts w:ascii="Cambria" w:eastAsia="Times New Roman" w:hAnsi="Cambria" w:cstheme="minorHAnsi"/>
        </w:rPr>
      </w:pPr>
      <w:r w:rsidRPr="009A0DA6">
        <w:rPr>
          <w:rFonts w:ascii="Cambria" w:eastAsia="Times New Roman" w:hAnsi="Cambria" w:cstheme="minorHAnsi"/>
        </w:rPr>
        <w:t>Administration</w:t>
      </w:r>
      <w:r w:rsidRPr="009A0DA6">
        <w:rPr>
          <w:rFonts w:ascii="Cambria" w:eastAsia="Times New Roman" w:hAnsi="Cambria" w:cstheme="minorHAnsi"/>
          <w:spacing w:val="31"/>
        </w:rPr>
        <w:t xml:space="preserve"> </w:t>
      </w:r>
      <w:r w:rsidRPr="009A0DA6">
        <w:rPr>
          <w:rFonts w:ascii="Cambria" w:eastAsia="Times New Roman" w:hAnsi="Cambria" w:cstheme="minorHAnsi"/>
          <w:w w:val="104"/>
        </w:rPr>
        <w:t>costs</w:t>
      </w:r>
      <w:r w:rsidRPr="009A0DA6">
        <w:rPr>
          <w:rFonts w:ascii="Cambria" w:eastAsia="Times New Roman" w:hAnsi="Cambria" w:cstheme="minorHAnsi"/>
          <w:w w:val="104"/>
        </w:rPr>
        <w:tab/>
      </w:r>
      <w:r w:rsidRPr="009A0DA6">
        <w:rPr>
          <w:rFonts w:ascii="Cambria" w:eastAsia="Times New Roman" w:hAnsi="Cambria" w:cstheme="minorHAnsi"/>
          <w:w w:val="105"/>
        </w:rPr>
        <w:t>190,359</w:t>
      </w:r>
      <w:r w:rsidRPr="009A0DA6">
        <w:rPr>
          <w:rFonts w:ascii="Cambria" w:hAnsi="Cambria" w:cstheme="minorHAnsi"/>
        </w:rPr>
        <w:tab/>
      </w:r>
      <w:r w:rsidRPr="009A0DA6">
        <w:rPr>
          <w:rFonts w:ascii="Cambria" w:eastAsia="Times New Roman" w:hAnsi="Cambria" w:cstheme="minorHAnsi"/>
          <w:w w:val="106"/>
        </w:rPr>
        <w:t>245,547</w:t>
      </w:r>
      <w:r w:rsidRPr="009A0DA6">
        <w:rPr>
          <w:rFonts w:ascii="Cambria" w:eastAsia="Times New Roman" w:hAnsi="Cambria" w:cstheme="minorHAnsi"/>
        </w:rPr>
        <w:tab/>
      </w:r>
      <w:r w:rsidRPr="009A0DA6">
        <w:rPr>
          <w:rFonts w:ascii="Cambria" w:eastAsia="Times New Roman" w:hAnsi="Cambria" w:cstheme="minorHAnsi"/>
          <w:w w:val="105"/>
        </w:rPr>
        <w:t>0</w:t>
      </w:r>
      <w:r w:rsidRPr="009A0DA6">
        <w:rPr>
          <w:rFonts w:ascii="Cambria" w:eastAsia="Times New Roman" w:hAnsi="Cambria" w:cstheme="minorHAnsi"/>
        </w:rPr>
        <w:tab/>
      </w:r>
      <w:r w:rsidRPr="009A0DA6">
        <w:rPr>
          <w:rFonts w:ascii="Cambria" w:eastAsia="Times New Roman" w:hAnsi="Cambria" w:cstheme="minorHAnsi"/>
          <w:w w:val="103"/>
        </w:rPr>
        <w:t>435,906</w:t>
      </w:r>
    </w:p>
    <w:p w14:paraId="1453F924" w14:textId="77777777" w:rsidR="00BA4592" w:rsidRPr="009A0DA6" w:rsidRDefault="00BA4592" w:rsidP="00BA4592">
      <w:pPr>
        <w:tabs>
          <w:tab w:val="right" w:pos="4536"/>
          <w:tab w:val="right" w:pos="5954"/>
          <w:tab w:val="right" w:pos="7371"/>
          <w:tab w:val="right" w:pos="8789"/>
        </w:tabs>
        <w:spacing w:before="120" w:after="120" w:line="240" w:lineRule="auto"/>
        <w:ind w:right="-20"/>
        <w:contextualSpacing/>
        <w:rPr>
          <w:rFonts w:ascii="Cambria" w:eastAsia="Times New Roman" w:hAnsi="Cambria" w:cstheme="minorHAnsi"/>
        </w:rPr>
      </w:pPr>
      <w:r w:rsidRPr="009A0DA6">
        <w:rPr>
          <w:rFonts w:ascii="Cambria" w:eastAsia="Times New Roman" w:hAnsi="Cambria" w:cstheme="minorHAnsi"/>
        </w:rPr>
        <w:t>Asset</w:t>
      </w:r>
      <w:r w:rsidRPr="009A0DA6">
        <w:rPr>
          <w:rFonts w:ascii="Cambria" w:eastAsia="Times New Roman" w:hAnsi="Cambria" w:cstheme="minorHAnsi"/>
          <w:spacing w:val="12"/>
        </w:rPr>
        <w:t xml:space="preserve"> </w:t>
      </w:r>
      <w:r w:rsidRPr="009A0DA6">
        <w:rPr>
          <w:rFonts w:ascii="Cambria" w:eastAsia="Times New Roman" w:hAnsi="Cambria" w:cstheme="minorHAnsi"/>
          <w:w w:val="103"/>
        </w:rPr>
        <w:t>costs</w:t>
      </w:r>
      <w:r w:rsidRPr="009A0DA6">
        <w:rPr>
          <w:rFonts w:ascii="Cambria" w:eastAsia="Times New Roman" w:hAnsi="Cambria" w:cstheme="minorHAnsi"/>
        </w:rPr>
        <w:tab/>
      </w:r>
      <w:r w:rsidRPr="009A0DA6">
        <w:rPr>
          <w:rFonts w:ascii="Cambria" w:eastAsia="Times New Roman" w:hAnsi="Cambria" w:cstheme="minorHAnsi"/>
          <w:w w:val="105"/>
        </w:rPr>
        <w:t>266,539</w:t>
      </w:r>
      <w:r w:rsidRPr="009A0DA6">
        <w:rPr>
          <w:rFonts w:ascii="Cambria" w:eastAsia="Times New Roman" w:hAnsi="Cambria" w:cstheme="minorHAnsi"/>
        </w:rPr>
        <w:tab/>
      </w:r>
      <w:r w:rsidRPr="009A0DA6">
        <w:rPr>
          <w:rFonts w:ascii="Cambria" w:eastAsia="Times New Roman" w:hAnsi="Cambria" w:cstheme="minorHAnsi"/>
          <w:w w:val="105"/>
        </w:rPr>
        <w:t>87,043</w:t>
      </w:r>
      <w:r w:rsidRPr="009A0DA6">
        <w:rPr>
          <w:rFonts w:ascii="Cambria" w:eastAsia="Times New Roman" w:hAnsi="Cambria" w:cstheme="minorHAnsi"/>
        </w:rPr>
        <w:tab/>
      </w:r>
      <w:r w:rsidRPr="009A0DA6">
        <w:rPr>
          <w:rFonts w:ascii="Cambria" w:eastAsia="Times New Roman" w:hAnsi="Cambria" w:cstheme="minorHAnsi"/>
          <w:w w:val="111"/>
        </w:rPr>
        <w:t>0</w:t>
      </w:r>
      <w:r w:rsidRPr="009A0DA6">
        <w:rPr>
          <w:rFonts w:ascii="Cambria" w:hAnsi="Cambria" w:cstheme="minorHAnsi"/>
        </w:rPr>
        <w:tab/>
      </w:r>
      <w:r w:rsidRPr="009A0DA6">
        <w:rPr>
          <w:rFonts w:ascii="Cambria" w:eastAsia="Times New Roman" w:hAnsi="Cambria" w:cstheme="minorHAnsi"/>
          <w:w w:val="104"/>
        </w:rPr>
        <w:t>353,582</w:t>
      </w:r>
    </w:p>
    <w:p w14:paraId="7489A35B" w14:textId="77777777" w:rsidR="00BA4592" w:rsidRPr="009A0DA6" w:rsidRDefault="00BA4592" w:rsidP="00BA4592">
      <w:pPr>
        <w:tabs>
          <w:tab w:val="right" w:pos="4536"/>
          <w:tab w:val="right" w:pos="5954"/>
          <w:tab w:val="right" w:pos="7371"/>
          <w:tab w:val="right" w:pos="8789"/>
        </w:tabs>
        <w:spacing w:before="120" w:after="120" w:line="240" w:lineRule="auto"/>
        <w:ind w:right="-20"/>
        <w:contextualSpacing/>
        <w:rPr>
          <w:rFonts w:ascii="Cambria" w:eastAsia="Times New Roman" w:hAnsi="Cambria" w:cstheme="minorHAnsi"/>
        </w:rPr>
      </w:pPr>
      <w:r w:rsidRPr="009A0DA6">
        <w:rPr>
          <w:rFonts w:ascii="Cambria" w:eastAsia="Times New Roman" w:hAnsi="Cambria" w:cstheme="minorHAnsi"/>
        </w:rPr>
        <w:t>Australian</w:t>
      </w:r>
      <w:r w:rsidRPr="009A0DA6">
        <w:rPr>
          <w:rFonts w:ascii="Cambria" w:eastAsia="Times New Roman" w:hAnsi="Cambria" w:cstheme="minorHAnsi"/>
          <w:spacing w:val="36"/>
        </w:rPr>
        <w:t xml:space="preserve"> </w:t>
      </w:r>
      <w:r w:rsidRPr="009A0DA6">
        <w:rPr>
          <w:rFonts w:ascii="Cambria" w:eastAsia="Times New Roman" w:hAnsi="Cambria" w:cstheme="minorHAnsi"/>
        </w:rPr>
        <w:t>Lutheran</w:t>
      </w:r>
      <w:r w:rsidRPr="009A0DA6">
        <w:rPr>
          <w:rFonts w:ascii="Cambria" w:eastAsia="Times New Roman" w:hAnsi="Cambria" w:cstheme="minorHAnsi"/>
          <w:spacing w:val="12"/>
        </w:rPr>
        <w:t xml:space="preserve"> </w:t>
      </w:r>
      <w:r w:rsidRPr="009A0DA6">
        <w:rPr>
          <w:rFonts w:ascii="Cambria" w:eastAsia="Times New Roman" w:hAnsi="Cambria" w:cstheme="minorHAnsi"/>
        </w:rPr>
        <w:t>College</w:t>
      </w:r>
      <w:r w:rsidRPr="009A0DA6">
        <w:rPr>
          <w:rFonts w:ascii="Cambria" w:eastAsia="Times New Roman" w:hAnsi="Cambria" w:cstheme="minorHAnsi"/>
          <w:spacing w:val="24"/>
        </w:rPr>
        <w:t xml:space="preserve"> </w:t>
      </w:r>
      <w:r w:rsidRPr="009A0DA6">
        <w:rPr>
          <w:rFonts w:ascii="Cambria" w:eastAsia="Times New Roman" w:hAnsi="Cambria" w:cstheme="minorHAnsi"/>
          <w:w w:val="103"/>
        </w:rPr>
        <w:t>funding</w:t>
      </w:r>
      <w:r w:rsidRPr="009A0DA6">
        <w:rPr>
          <w:rFonts w:ascii="Cambria" w:eastAsia="Times New Roman" w:hAnsi="Cambria" w:cstheme="minorHAnsi"/>
        </w:rPr>
        <w:tab/>
      </w:r>
      <w:r w:rsidRPr="009A0DA6">
        <w:rPr>
          <w:rFonts w:ascii="Cambria" w:eastAsia="Times New Roman" w:hAnsi="Cambria" w:cstheme="minorHAnsi"/>
          <w:w w:val="103"/>
        </w:rPr>
        <w:t>1,400,000</w:t>
      </w:r>
      <w:r w:rsidRPr="009A0DA6">
        <w:rPr>
          <w:rFonts w:ascii="Cambria" w:eastAsia="Times New Roman" w:hAnsi="Cambria" w:cstheme="minorHAnsi"/>
          <w:w w:val="103"/>
        </w:rPr>
        <w:tab/>
      </w:r>
      <w:r w:rsidRPr="009A0DA6">
        <w:rPr>
          <w:rFonts w:ascii="Cambria" w:eastAsia="Times New Roman" w:hAnsi="Cambria" w:cstheme="minorHAnsi"/>
          <w:w w:val="111"/>
        </w:rPr>
        <w:t>0</w:t>
      </w:r>
      <w:r w:rsidRPr="009A0DA6">
        <w:rPr>
          <w:rFonts w:ascii="Cambria" w:eastAsia="Times New Roman" w:hAnsi="Cambria" w:cstheme="minorHAnsi"/>
        </w:rPr>
        <w:tab/>
      </w:r>
      <w:r w:rsidRPr="009A0DA6">
        <w:rPr>
          <w:rFonts w:ascii="Cambria" w:eastAsia="Times New Roman" w:hAnsi="Cambria" w:cstheme="minorHAnsi"/>
          <w:w w:val="105"/>
        </w:rPr>
        <w:t>0</w:t>
      </w:r>
      <w:r w:rsidRPr="009A0DA6">
        <w:rPr>
          <w:rFonts w:ascii="Cambria" w:eastAsia="Times New Roman" w:hAnsi="Cambria" w:cstheme="minorHAnsi"/>
        </w:rPr>
        <w:tab/>
      </w:r>
      <w:r w:rsidRPr="009A0DA6">
        <w:rPr>
          <w:rFonts w:ascii="Cambria" w:eastAsia="Times New Roman" w:hAnsi="Cambria" w:cstheme="minorHAnsi"/>
          <w:w w:val="105"/>
        </w:rPr>
        <w:t>1,400,000</w:t>
      </w:r>
    </w:p>
    <w:p w14:paraId="5F4CCC9F" w14:textId="77777777" w:rsidR="00BA4592" w:rsidRPr="009A0DA6" w:rsidRDefault="00BA4592" w:rsidP="00BA4592">
      <w:pPr>
        <w:tabs>
          <w:tab w:val="right" w:pos="4536"/>
          <w:tab w:val="right" w:pos="5954"/>
          <w:tab w:val="right" w:pos="7371"/>
          <w:tab w:val="right" w:pos="8789"/>
        </w:tabs>
        <w:spacing w:before="120" w:after="120" w:line="240" w:lineRule="auto"/>
        <w:ind w:right="-20"/>
        <w:contextualSpacing/>
        <w:rPr>
          <w:rFonts w:ascii="Cambria" w:eastAsia="Times New Roman" w:hAnsi="Cambria" w:cstheme="minorHAnsi"/>
        </w:rPr>
      </w:pPr>
      <w:r w:rsidRPr="009A0DA6">
        <w:rPr>
          <w:rFonts w:ascii="Cambria" w:eastAsia="Times New Roman" w:hAnsi="Cambria" w:cstheme="minorHAnsi"/>
        </w:rPr>
        <w:t>Consulting</w:t>
      </w:r>
      <w:r w:rsidRPr="009A0DA6">
        <w:rPr>
          <w:rFonts w:ascii="Cambria" w:eastAsia="Times New Roman" w:hAnsi="Cambria" w:cstheme="minorHAnsi"/>
          <w:spacing w:val="32"/>
        </w:rPr>
        <w:t xml:space="preserve"> </w:t>
      </w:r>
      <w:r w:rsidRPr="009A0DA6">
        <w:rPr>
          <w:rFonts w:ascii="Cambria" w:eastAsia="Times New Roman" w:hAnsi="Cambria" w:cstheme="minorHAnsi"/>
          <w:w w:val="103"/>
        </w:rPr>
        <w:t>expenses</w:t>
      </w:r>
      <w:r w:rsidRPr="009A0DA6">
        <w:rPr>
          <w:rFonts w:ascii="Cambria" w:eastAsia="Times New Roman" w:hAnsi="Cambria" w:cstheme="minorHAnsi"/>
        </w:rPr>
        <w:tab/>
      </w:r>
      <w:r w:rsidRPr="009A0DA6">
        <w:rPr>
          <w:rFonts w:ascii="Cambria" w:eastAsia="Times New Roman" w:hAnsi="Cambria" w:cstheme="minorHAnsi"/>
          <w:w w:val="103"/>
        </w:rPr>
        <w:t>286,341</w:t>
      </w:r>
      <w:r w:rsidRPr="009A0DA6">
        <w:rPr>
          <w:rFonts w:ascii="Cambria" w:eastAsia="Times New Roman" w:hAnsi="Cambria" w:cstheme="minorHAnsi"/>
        </w:rPr>
        <w:tab/>
      </w:r>
      <w:r w:rsidRPr="009A0DA6">
        <w:rPr>
          <w:rFonts w:ascii="Cambria" w:eastAsia="Times New Roman" w:hAnsi="Cambria" w:cstheme="minorHAnsi"/>
          <w:w w:val="103"/>
        </w:rPr>
        <w:t>154,020</w:t>
      </w:r>
      <w:r w:rsidRPr="009A0DA6">
        <w:rPr>
          <w:rFonts w:ascii="Cambria" w:eastAsia="Times New Roman" w:hAnsi="Cambria" w:cstheme="minorHAnsi"/>
        </w:rPr>
        <w:tab/>
      </w:r>
      <w:r w:rsidRPr="009A0DA6">
        <w:rPr>
          <w:rFonts w:ascii="Cambria" w:eastAsia="Times New Roman" w:hAnsi="Cambria" w:cstheme="minorHAnsi"/>
          <w:w w:val="105"/>
        </w:rPr>
        <w:t>0</w:t>
      </w:r>
      <w:r w:rsidRPr="009A0DA6">
        <w:rPr>
          <w:rFonts w:ascii="Cambria" w:eastAsia="Times New Roman" w:hAnsi="Cambria" w:cstheme="minorHAnsi"/>
        </w:rPr>
        <w:tab/>
      </w:r>
      <w:r w:rsidRPr="009A0DA6">
        <w:rPr>
          <w:rFonts w:ascii="Cambria" w:eastAsia="Times New Roman" w:hAnsi="Cambria" w:cstheme="minorHAnsi"/>
          <w:w w:val="104"/>
        </w:rPr>
        <w:t>440,361</w:t>
      </w:r>
    </w:p>
    <w:p w14:paraId="2052E5A0" w14:textId="77777777" w:rsidR="00BA4592" w:rsidRPr="009A0DA6" w:rsidRDefault="00BA4592" w:rsidP="00BA4592">
      <w:pPr>
        <w:tabs>
          <w:tab w:val="right" w:pos="4536"/>
          <w:tab w:val="right" w:pos="5954"/>
          <w:tab w:val="right" w:pos="7371"/>
          <w:tab w:val="right" w:pos="8789"/>
        </w:tabs>
        <w:spacing w:before="120" w:after="120" w:line="240" w:lineRule="auto"/>
        <w:ind w:right="-20"/>
        <w:contextualSpacing/>
        <w:rPr>
          <w:rFonts w:ascii="Cambria" w:eastAsia="Times New Roman" w:hAnsi="Cambria" w:cstheme="minorHAnsi"/>
        </w:rPr>
      </w:pPr>
      <w:r w:rsidRPr="009A0DA6">
        <w:rPr>
          <w:rFonts w:ascii="Cambria" w:eastAsia="Times New Roman" w:hAnsi="Cambria" w:cstheme="minorHAnsi"/>
        </w:rPr>
        <w:t>Employee</w:t>
      </w:r>
      <w:r w:rsidRPr="009A0DA6">
        <w:rPr>
          <w:rFonts w:ascii="Cambria" w:eastAsia="Times New Roman" w:hAnsi="Cambria" w:cstheme="minorHAnsi"/>
          <w:spacing w:val="17"/>
        </w:rPr>
        <w:t xml:space="preserve"> </w:t>
      </w:r>
      <w:r w:rsidRPr="009A0DA6">
        <w:rPr>
          <w:rFonts w:ascii="Cambria" w:eastAsia="Times New Roman" w:hAnsi="Cambria" w:cstheme="minorHAnsi"/>
          <w:w w:val="103"/>
        </w:rPr>
        <w:t>expenses</w:t>
      </w:r>
      <w:r w:rsidRPr="009A0DA6">
        <w:rPr>
          <w:rFonts w:ascii="Cambria" w:eastAsia="Times New Roman" w:hAnsi="Cambria" w:cstheme="minorHAnsi"/>
        </w:rPr>
        <w:tab/>
      </w:r>
      <w:r w:rsidRPr="009A0DA6">
        <w:rPr>
          <w:rFonts w:ascii="Cambria" w:eastAsia="Times New Roman" w:hAnsi="Cambria" w:cstheme="minorHAnsi"/>
          <w:w w:val="103"/>
        </w:rPr>
        <w:t>1,347,786</w:t>
      </w:r>
      <w:r w:rsidRPr="009A0DA6">
        <w:rPr>
          <w:rFonts w:ascii="Cambria" w:hAnsi="Cambria" w:cstheme="minorHAnsi"/>
        </w:rPr>
        <w:tab/>
      </w:r>
      <w:r w:rsidRPr="009A0DA6">
        <w:rPr>
          <w:rFonts w:ascii="Cambria" w:eastAsia="Times New Roman" w:hAnsi="Cambria" w:cstheme="minorHAnsi"/>
          <w:w w:val="105"/>
        </w:rPr>
        <w:t>1,882,595</w:t>
      </w:r>
      <w:r w:rsidRPr="009A0DA6">
        <w:rPr>
          <w:rFonts w:ascii="Cambria" w:eastAsia="Times New Roman" w:hAnsi="Cambria" w:cstheme="minorHAnsi"/>
        </w:rPr>
        <w:tab/>
      </w:r>
      <w:r w:rsidRPr="009A0DA6">
        <w:rPr>
          <w:rFonts w:ascii="Cambria" w:eastAsia="Times New Roman" w:hAnsi="Cambria" w:cstheme="minorHAnsi"/>
          <w:w w:val="105"/>
        </w:rPr>
        <w:t>0</w:t>
      </w:r>
      <w:r w:rsidRPr="009A0DA6">
        <w:rPr>
          <w:rFonts w:ascii="Cambria" w:eastAsia="Times New Roman" w:hAnsi="Cambria" w:cstheme="minorHAnsi"/>
        </w:rPr>
        <w:tab/>
      </w:r>
      <w:r w:rsidRPr="009A0DA6">
        <w:rPr>
          <w:rFonts w:ascii="Cambria" w:eastAsia="Times New Roman" w:hAnsi="Cambria" w:cstheme="minorHAnsi"/>
          <w:w w:val="104"/>
        </w:rPr>
        <w:t>3,230,381</w:t>
      </w:r>
    </w:p>
    <w:p w14:paraId="273FFA40" w14:textId="77777777" w:rsidR="00BA4592" w:rsidRPr="009A0DA6" w:rsidRDefault="00BA4592" w:rsidP="00BA4592">
      <w:pPr>
        <w:tabs>
          <w:tab w:val="right" w:pos="4536"/>
          <w:tab w:val="right" w:pos="5954"/>
          <w:tab w:val="right" w:pos="7371"/>
          <w:tab w:val="right" w:pos="8789"/>
        </w:tabs>
        <w:spacing w:before="120" w:after="120" w:line="240" w:lineRule="auto"/>
        <w:ind w:right="-20"/>
        <w:contextualSpacing/>
        <w:rPr>
          <w:rFonts w:ascii="Cambria" w:eastAsia="Times New Roman" w:hAnsi="Cambria" w:cstheme="minorHAnsi"/>
        </w:rPr>
      </w:pPr>
      <w:r w:rsidRPr="009A0DA6">
        <w:rPr>
          <w:rFonts w:ascii="Cambria" w:eastAsia="Times New Roman" w:hAnsi="Cambria" w:cstheme="minorHAnsi"/>
        </w:rPr>
        <w:t>Governance</w:t>
      </w:r>
      <w:r w:rsidRPr="009A0DA6">
        <w:rPr>
          <w:rFonts w:ascii="Cambria" w:eastAsia="Times New Roman" w:hAnsi="Cambria" w:cstheme="minorHAnsi"/>
          <w:spacing w:val="30"/>
        </w:rPr>
        <w:t xml:space="preserve"> </w:t>
      </w:r>
      <w:r w:rsidRPr="009A0DA6">
        <w:rPr>
          <w:rFonts w:ascii="Cambria" w:eastAsia="Times New Roman" w:hAnsi="Cambria" w:cstheme="minorHAnsi"/>
          <w:w w:val="103"/>
        </w:rPr>
        <w:t>costs</w:t>
      </w:r>
      <w:r w:rsidRPr="009A0DA6">
        <w:rPr>
          <w:rFonts w:ascii="Cambria" w:eastAsia="Times New Roman" w:hAnsi="Cambria" w:cstheme="minorHAnsi"/>
        </w:rPr>
        <w:tab/>
      </w:r>
      <w:r w:rsidRPr="009A0DA6">
        <w:rPr>
          <w:rFonts w:ascii="Cambria" w:eastAsia="Times New Roman" w:hAnsi="Cambria" w:cstheme="minorHAnsi"/>
          <w:w w:val="102"/>
        </w:rPr>
        <w:t>18</w:t>
      </w:r>
      <w:r w:rsidRPr="009A0DA6">
        <w:rPr>
          <w:rFonts w:ascii="Cambria" w:eastAsia="Times New Roman" w:hAnsi="Cambria" w:cstheme="minorHAnsi"/>
          <w:spacing w:val="1"/>
          <w:w w:val="102"/>
        </w:rPr>
        <w:t>3</w:t>
      </w:r>
      <w:r w:rsidRPr="009A0DA6">
        <w:rPr>
          <w:rFonts w:ascii="Cambria" w:eastAsia="Times New Roman" w:hAnsi="Cambria" w:cstheme="minorHAnsi"/>
          <w:spacing w:val="1"/>
          <w:w w:val="103"/>
        </w:rPr>
        <w:t>,</w:t>
      </w:r>
      <w:r w:rsidRPr="009A0DA6">
        <w:rPr>
          <w:rFonts w:ascii="Cambria" w:eastAsia="Times New Roman" w:hAnsi="Cambria" w:cstheme="minorHAnsi"/>
          <w:w w:val="102"/>
        </w:rPr>
        <w:t>910</w:t>
      </w:r>
      <w:r w:rsidRPr="009A0DA6">
        <w:rPr>
          <w:rFonts w:ascii="Cambria" w:hAnsi="Cambria" w:cstheme="minorHAnsi"/>
        </w:rPr>
        <w:tab/>
      </w:r>
      <w:r w:rsidRPr="009A0DA6">
        <w:rPr>
          <w:rFonts w:ascii="Cambria" w:eastAsia="Times New Roman" w:hAnsi="Cambria" w:cstheme="minorHAnsi"/>
          <w:w w:val="103"/>
        </w:rPr>
        <w:t>3</w:t>
      </w:r>
      <w:r w:rsidRPr="009A0DA6">
        <w:rPr>
          <w:rFonts w:ascii="Cambria" w:eastAsia="Times New Roman" w:hAnsi="Cambria" w:cstheme="minorHAnsi"/>
          <w:spacing w:val="1"/>
          <w:w w:val="103"/>
        </w:rPr>
        <w:t>6</w:t>
      </w:r>
      <w:r w:rsidRPr="009A0DA6">
        <w:rPr>
          <w:rFonts w:ascii="Cambria" w:eastAsia="Times New Roman" w:hAnsi="Cambria" w:cstheme="minorHAnsi"/>
          <w:spacing w:val="-6"/>
          <w:w w:val="120"/>
        </w:rPr>
        <w:t>,</w:t>
      </w:r>
      <w:r w:rsidRPr="009A0DA6">
        <w:rPr>
          <w:rFonts w:ascii="Cambria" w:eastAsia="Times New Roman" w:hAnsi="Cambria" w:cstheme="minorHAnsi"/>
          <w:w w:val="106"/>
        </w:rPr>
        <w:t>077</w:t>
      </w:r>
      <w:r w:rsidRPr="009A0DA6">
        <w:rPr>
          <w:rFonts w:ascii="Cambria" w:hAnsi="Cambria" w:cstheme="minorHAnsi"/>
        </w:rPr>
        <w:tab/>
      </w:r>
      <w:r w:rsidRPr="009A0DA6">
        <w:rPr>
          <w:rFonts w:ascii="Cambria" w:eastAsia="Times New Roman" w:hAnsi="Cambria" w:cstheme="minorHAnsi"/>
          <w:w w:val="105"/>
        </w:rPr>
        <w:t>0</w:t>
      </w:r>
      <w:r w:rsidRPr="009A0DA6">
        <w:rPr>
          <w:rFonts w:ascii="Cambria" w:hAnsi="Cambria" w:cstheme="minorHAnsi"/>
        </w:rPr>
        <w:tab/>
      </w:r>
      <w:r w:rsidRPr="009A0DA6">
        <w:rPr>
          <w:rFonts w:ascii="Cambria" w:eastAsia="Times New Roman" w:hAnsi="Cambria" w:cstheme="minorHAnsi"/>
          <w:w w:val="104"/>
        </w:rPr>
        <w:t>219,987</w:t>
      </w:r>
    </w:p>
    <w:p w14:paraId="5C703BE5" w14:textId="7FFE7FCC" w:rsidR="00BA4592" w:rsidRPr="009A0DA6" w:rsidRDefault="00BA4592" w:rsidP="00BA4592">
      <w:pPr>
        <w:tabs>
          <w:tab w:val="right" w:pos="4536"/>
          <w:tab w:val="right" w:pos="5954"/>
          <w:tab w:val="right" w:pos="7371"/>
          <w:tab w:val="right" w:pos="8789"/>
        </w:tabs>
        <w:spacing w:before="120" w:after="120" w:line="240" w:lineRule="auto"/>
        <w:ind w:right="41"/>
        <w:contextualSpacing/>
        <w:rPr>
          <w:rFonts w:ascii="Cambria" w:eastAsia="Times New Roman" w:hAnsi="Cambria" w:cstheme="minorHAnsi"/>
        </w:rPr>
      </w:pPr>
      <w:r w:rsidRPr="009A0DA6">
        <w:rPr>
          <w:rFonts w:ascii="Cambria" w:eastAsia="Times New Roman" w:hAnsi="Cambria" w:cstheme="minorHAnsi"/>
        </w:rPr>
        <w:t>LCA</w:t>
      </w:r>
      <w:r w:rsidRPr="009A0DA6">
        <w:rPr>
          <w:rFonts w:ascii="Cambria" w:eastAsia="Times New Roman" w:hAnsi="Cambria" w:cstheme="minorHAnsi"/>
          <w:spacing w:val="6"/>
        </w:rPr>
        <w:t xml:space="preserve"> </w:t>
      </w:r>
      <w:r w:rsidRPr="009A0DA6">
        <w:rPr>
          <w:rFonts w:ascii="Cambria" w:eastAsia="Times New Roman" w:hAnsi="Cambria" w:cstheme="minorHAnsi"/>
        </w:rPr>
        <w:t>allocations</w:t>
      </w:r>
      <w:r w:rsidR="00392322">
        <w:rPr>
          <w:rFonts w:ascii="Cambria" w:eastAsia="Times New Roman" w:hAnsi="Cambria" w:cstheme="minorHAnsi"/>
          <w:spacing w:val="25"/>
        </w:rPr>
        <w:t xml:space="preserve"> &amp;</w:t>
      </w:r>
      <w:r w:rsidR="00392322">
        <w:rPr>
          <w:rFonts w:ascii="Cambria" w:eastAsia="Times New Roman" w:hAnsi="Cambria" w:cstheme="minorHAnsi"/>
          <w:spacing w:val="15"/>
        </w:rPr>
        <w:t xml:space="preserve"> </w:t>
      </w:r>
      <w:r w:rsidR="00392322">
        <w:rPr>
          <w:rFonts w:ascii="Cambria" w:eastAsia="Times New Roman" w:hAnsi="Cambria" w:cstheme="minorHAnsi"/>
        </w:rPr>
        <w:t>department</w:t>
      </w:r>
      <w:r w:rsidRPr="009A0DA6">
        <w:rPr>
          <w:rFonts w:ascii="Cambria" w:eastAsia="Times New Roman" w:hAnsi="Cambria" w:cstheme="minorHAnsi"/>
          <w:spacing w:val="46"/>
        </w:rPr>
        <w:t xml:space="preserve"> </w:t>
      </w:r>
      <w:r w:rsidRPr="009A0DA6">
        <w:rPr>
          <w:rFonts w:ascii="Cambria" w:eastAsia="Times New Roman" w:hAnsi="Cambria" w:cstheme="minorHAnsi"/>
          <w:w w:val="103"/>
        </w:rPr>
        <w:t>costs</w:t>
      </w:r>
      <w:r w:rsidRPr="009A0DA6">
        <w:rPr>
          <w:rFonts w:ascii="Cambria" w:eastAsia="Times New Roman" w:hAnsi="Cambria" w:cstheme="minorHAnsi"/>
        </w:rPr>
        <w:tab/>
      </w:r>
      <w:r w:rsidRPr="009A0DA6">
        <w:rPr>
          <w:rFonts w:ascii="Cambria" w:eastAsia="Times New Roman" w:hAnsi="Cambria" w:cstheme="minorHAnsi"/>
          <w:w w:val="103"/>
        </w:rPr>
        <w:t>1,348,300</w:t>
      </w:r>
      <w:r w:rsidRPr="009A0DA6">
        <w:rPr>
          <w:rFonts w:ascii="Cambria" w:hAnsi="Cambria" w:cstheme="minorHAnsi"/>
        </w:rPr>
        <w:tab/>
      </w:r>
      <w:r w:rsidRPr="009A0DA6">
        <w:rPr>
          <w:rFonts w:ascii="Cambria" w:eastAsia="Times New Roman" w:hAnsi="Cambria" w:cstheme="minorHAnsi"/>
          <w:w w:val="106"/>
        </w:rPr>
        <w:t>49,164</w:t>
      </w:r>
      <w:r w:rsidRPr="009A0DA6">
        <w:rPr>
          <w:rFonts w:ascii="Cambria" w:eastAsia="Times New Roman" w:hAnsi="Cambria" w:cstheme="minorHAnsi"/>
        </w:rPr>
        <w:tab/>
      </w:r>
      <w:r w:rsidRPr="009A0DA6">
        <w:rPr>
          <w:rFonts w:ascii="Cambria" w:eastAsia="Times New Roman" w:hAnsi="Cambria" w:cstheme="minorHAnsi"/>
          <w:w w:val="105"/>
        </w:rPr>
        <w:t>(1,397,464)</w:t>
      </w:r>
      <w:r w:rsidRPr="009A0DA6">
        <w:rPr>
          <w:rFonts w:ascii="Cambria" w:eastAsia="Times New Roman" w:hAnsi="Cambria" w:cstheme="minorHAnsi"/>
        </w:rPr>
        <w:tab/>
      </w:r>
      <w:r w:rsidRPr="009A0DA6">
        <w:rPr>
          <w:rFonts w:ascii="Cambria" w:eastAsia="Times New Roman" w:hAnsi="Cambria" w:cstheme="minorHAnsi"/>
          <w:w w:val="111"/>
        </w:rPr>
        <w:t>0</w:t>
      </w:r>
    </w:p>
    <w:p w14:paraId="58B6A771" w14:textId="77777777" w:rsidR="00BA4592" w:rsidRPr="009A0DA6" w:rsidRDefault="00BA4592" w:rsidP="00BA4592">
      <w:pPr>
        <w:tabs>
          <w:tab w:val="right" w:pos="4536"/>
          <w:tab w:val="right" w:pos="5954"/>
          <w:tab w:val="right" w:pos="7371"/>
          <w:tab w:val="right" w:pos="8789"/>
        </w:tabs>
        <w:spacing w:before="120" w:after="120" w:line="240" w:lineRule="auto"/>
        <w:ind w:right="-20"/>
        <w:contextualSpacing/>
        <w:rPr>
          <w:rFonts w:ascii="Cambria" w:eastAsia="Times New Roman" w:hAnsi="Cambria" w:cstheme="minorHAnsi"/>
        </w:rPr>
      </w:pPr>
      <w:r w:rsidRPr="009A0DA6">
        <w:rPr>
          <w:rFonts w:ascii="Cambria" w:eastAsia="Times New Roman" w:hAnsi="Cambria" w:cstheme="minorHAnsi"/>
        </w:rPr>
        <w:t>Ministry</w:t>
      </w:r>
      <w:r w:rsidRPr="009A0DA6">
        <w:rPr>
          <w:rFonts w:ascii="Cambria" w:eastAsia="Times New Roman" w:hAnsi="Cambria" w:cstheme="minorHAnsi"/>
          <w:spacing w:val="13"/>
        </w:rPr>
        <w:t xml:space="preserve"> </w:t>
      </w:r>
      <w:r w:rsidRPr="009A0DA6">
        <w:rPr>
          <w:rFonts w:ascii="Cambria" w:eastAsia="Times New Roman" w:hAnsi="Cambria" w:cstheme="minorHAnsi"/>
          <w:w w:val="102"/>
        </w:rPr>
        <w:t>expenses</w:t>
      </w:r>
      <w:r w:rsidRPr="009A0DA6">
        <w:rPr>
          <w:rFonts w:ascii="Cambria" w:eastAsia="Times New Roman" w:hAnsi="Cambria" w:cstheme="minorHAnsi"/>
        </w:rPr>
        <w:tab/>
      </w:r>
      <w:r w:rsidRPr="009A0DA6">
        <w:rPr>
          <w:rFonts w:ascii="Cambria" w:eastAsia="Times New Roman" w:hAnsi="Cambria" w:cstheme="minorHAnsi"/>
          <w:w w:val="104"/>
        </w:rPr>
        <w:t>872,177</w:t>
      </w:r>
      <w:r w:rsidRPr="009A0DA6">
        <w:rPr>
          <w:rFonts w:ascii="Cambria" w:hAnsi="Cambria" w:cstheme="minorHAnsi"/>
        </w:rPr>
        <w:tab/>
      </w:r>
      <w:r w:rsidRPr="009A0DA6">
        <w:rPr>
          <w:rFonts w:ascii="Cambria" w:eastAsia="Times New Roman" w:hAnsi="Cambria" w:cstheme="minorHAnsi"/>
          <w:w w:val="105"/>
        </w:rPr>
        <w:t>588,615</w:t>
      </w:r>
      <w:r w:rsidRPr="009A0DA6">
        <w:rPr>
          <w:rFonts w:ascii="Cambria" w:hAnsi="Cambria" w:cstheme="minorHAnsi"/>
        </w:rPr>
        <w:tab/>
      </w:r>
      <w:r w:rsidRPr="009A0DA6">
        <w:rPr>
          <w:rFonts w:ascii="Cambria" w:eastAsia="Times New Roman" w:hAnsi="Cambria" w:cstheme="minorHAnsi"/>
          <w:w w:val="111"/>
        </w:rPr>
        <w:t>0</w:t>
      </w:r>
      <w:r w:rsidRPr="009A0DA6">
        <w:rPr>
          <w:rFonts w:ascii="Cambria" w:hAnsi="Cambria" w:cstheme="minorHAnsi"/>
        </w:rPr>
        <w:tab/>
      </w:r>
      <w:r w:rsidRPr="009A0DA6">
        <w:rPr>
          <w:rFonts w:ascii="Cambria" w:eastAsia="Times New Roman" w:hAnsi="Cambria" w:cstheme="minorHAnsi"/>
          <w:w w:val="104"/>
        </w:rPr>
        <w:t>1,460,792</w:t>
      </w:r>
    </w:p>
    <w:p w14:paraId="72427F6D" w14:textId="77777777" w:rsidR="00BA4592" w:rsidRPr="009A0DA6" w:rsidRDefault="00BA4592" w:rsidP="00BA4592">
      <w:pPr>
        <w:tabs>
          <w:tab w:val="right" w:pos="4536"/>
          <w:tab w:val="right" w:pos="5954"/>
          <w:tab w:val="right" w:pos="7371"/>
          <w:tab w:val="right" w:pos="8789"/>
        </w:tabs>
        <w:spacing w:before="120" w:after="120" w:line="240" w:lineRule="auto"/>
        <w:ind w:right="-20"/>
        <w:contextualSpacing/>
        <w:rPr>
          <w:rFonts w:ascii="Cambria" w:eastAsia="Times New Roman" w:hAnsi="Cambria" w:cstheme="minorHAnsi"/>
        </w:rPr>
      </w:pPr>
      <w:r w:rsidRPr="009A0DA6">
        <w:rPr>
          <w:rFonts w:ascii="Cambria" w:eastAsia="Times New Roman" w:hAnsi="Cambria" w:cstheme="minorHAnsi"/>
        </w:rPr>
        <w:t>Project</w:t>
      </w:r>
      <w:r w:rsidRPr="009A0DA6">
        <w:rPr>
          <w:rFonts w:ascii="Cambria" w:eastAsia="Times New Roman" w:hAnsi="Cambria" w:cstheme="minorHAnsi"/>
          <w:spacing w:val="13"/>
        </w:rPr>
        <w:t xml:space="preserve"> </w:t>
      </w:r>
      <w:r w:rsidRPr="009A0DA6">
        <w:rPr>
          <w:rFonts w:ascii="Cambria" w:eastAsia="Times New Roman" w:hAnsi="Cambria" w:cstheme="minorHAnsi"/>
          <w:w w:val="103"/>
        </w:rPr>
        <w:t>costs</w:t>
      </w:r>
      <w:r w:rsidRPr="009A0DA6">
        <w:rPr>
          <w:rFonts w:ascii="Cambria" w:eastAsia="Times New Roman" w:hAnsi="Cambria" w:cstheme="minorHAnsi"/>
        </w:rPr>
        <w:tab/>
      </w:r>
      <w:r w:rsidRPr="009A0DA6">
        <w:rPr>
          <w:rFonts w:ascii="Cambria" w:eastAsia="Times New Roman" w:hAnsi="Cambria" w:cstheme="minorHAnsi"/>
          <w:w w:val="103"/>
        </w:rPr>
        <w:t>1,317,850</w:t>
      </w:r>
      <w:r w:rsidRPr="009A0DA6">
        <w:rPr>
          <w:rFonts w:ascii="Cambria" w:hAnsi="Cambria" w:cstheme="minorHAnsi"/>
        </w:rPr>
        <w:tab/>
      </w:r>
      <w:r w:rsidRPr="009A0DA6">
        <w:rPr>
          <w:rFonts w:ascii="Cambria" w:eastAsia="Times New Roman" w:hAnsi="Cambria" w:cstheme="minorHAnsi"/>
          <w:w w:val="105"/>
        </w:rPr>
        <w:t>508,132</w:t>
      </w:r>
      <w:r w:rsidRPr="009A0DA6">
        <w:rPr>
          <w:rFonts w:ascii="Cambria" w:hAnsi="Cambria" w:cstheme="minorHAnsi"/>
        </w:rPr>
        <w:tab/>
      </w:r>
      <w:r w:rsidRPr="009A0DA6">
        <w:rPr>
          <w:rFonts w:ascii="Cambria" w:eastAsia="Times New Roman" w:hAnsi="Cambria" w:cstheme="minorHAnsi"/>
          <w:w w:val="105"/>
        </w:rPr>
        <w:t>0</w:t>
      </w:r>
      <w:r w:rsidRPr="009A0DA6">
        <w:rPr>
          <w:rFonts w:ascii="Cambria" w:hAnsi="Cambria" w:cstheme="minorHAnsi"/>
        </w:rPr>
        <w:tab/>
      </w:r>
      <w:r w:rsidRPr="009A0DA6">
        <w:rPr>
          <w:rFonts w:ascii="Cambria" w:eastAsia="Times New Roman" w:hAnsi="Cambria" w:cstheme="minorHAnsi"/>
          <w:w w:val="104"/>
        </w:rPr>
        <w:t>1,825,982</w:t>
      </w:r>
    </w:p>
    <w:p w14:paraId="7C1F6F95" w14:textId="77777777" w:rsidR="00BA4592" w:rsidRPr="009A0DA6" w:rsidRDefault="00BA4592" w:rsidP="00BA4592">
      <w:pPr>
        <w:tabs>
          <w:tab w:val="right" w:pos="4536"/>
          <w:tab w:val="right" w:pos="5954"/>
          <w:tab w:val="right" w:pos="7371"/>
          <w:tab w:val="right" w:pos="8789"/>
        </w:tabs>
        <w:spacing w:before="120" w:after="120" w:line="240" w:lineRule="auto"/>
        <w:ind w:right="-20"/>
        <w:contextualSpacing/>
        <w:rPr>
          <w:rFonts w:ascii="Cambria" w:eastAsia="Times New Roman" w:hAnsi="Cambria" w:cstheme="minorHAnsi"/>
        </w:rPr>
      </w:pPr>
      <w:r w:rsidRPr="009A0DA6">
        <w:rPr>
          <w:rFonts w:ascii="Cambria" w:eastAsia="Times New Roman" w:hAnsi="Cambria" w:cstheme="minorHAnsi"/>
        </w:rPr>
        <w:t>Promotion</w:t>
      </w:r>
      <w:r w:rsidRPr="009A0DA6">
        <w:rPr>
          <w:rFonts w:ascii="Cambria" w:eastAsia="Times New Roman" w:hAnsi="Cambria" w:cstheme="minorHAnsi"/>
          <w:spacing w:val="16"/>
        </w:rPr>
        <w:t xml:space="preserve"> </w:t>
      </w:r>
      <w:r w:rsidRPr="009A0DA6">
        <w:rPr>
          <w:rFonts w:ascii="Cambria" w:eastAsia="Times New Roman" w:hAnsi="Cambria" w:cstheme="minorHAnsi"/>
        </w:rPr>
        <w:t>and</w:t>
      </w:r>
      <w:r w:rsidRPr="009A0DA6">
        <w:rPr>
          <w:rFonts w:ascii="Cambria" w:eastAsia="Times New Roman" w:hAnsi="Cambria" w:cstheme="minorHAnsi"/>
          <w:spacing w:val="19"/>
        </w:rPr>
        <w:t xml:space="preserve"> </w:t>
      </w:r>
      <w:r w:rsidRPr="009A0DA6">
        <w:rPr>
          <w:rFonts w:ascii="Cambria" w:eastAsia="Times New Roman" w:hAnsi="Cambria" w:cstheme="minorHAnsi"/>
          <w:w w:val="104"/>
        </w:rPr>
        <w:t>marketing</w:t>
      </w:r>
      <w:r w:rsidRPr="009A0DA6">
        <w:rPr>
          <w:rFonts w:ascii="Cambria" w:eastAsia="Times New Roman" w:hAnsi="Cambria" w:cstheme="minorHAnsi"/>
        </w:rPr>
        <w:tab/>
      </w:r>
      <w:r w:rsidRPr="009A0DA6">
        <w:rPr>
          <w:rFonts w:ascii="Cambria" w:eastAsia="Times New Roman" w:hAnsi="Cambria" w:cstheme="minorHAnsi"/>
          <w:w w:val="104"/>
        </w:rPr>
        <w:t>38,289</w:t>
      </w:r>
      <w:r w:rsidRPr="009A0DA6">
        <w:rPr>
          <w:rFonts w:ascii="Cambria" w:hAnsi="Cambria" w:cstheme="minorHAnsi"/>
        </w:rPr>
        <w:tab/>
      </w:r>
      <w:r w:rsidRPr="009A0DA6">
        <w:rPr>
          <w:rFonts w:ascii="Cambria" w:eastAsia="Times New Roman" w:hAnsi="Cambria" w:cstheme="minorHAnsi"/>
          <w:w w:val="105"/>
        </w:rPr>
        <w:t>275,733</w:t>
      </w:r>
      <w:r w:rsidRPr="009A0DA6">
        <w:rPr>
          <w:rFonts w:ascii="Cambria" w:hAnsi="Cambria" w:cstheme="minorHAnsi"/>
        </w:rPr>
        <w:tab/>
      </w:r>
      <w:r w:rsidRPr="009A0DA6">
        <w:rPr>
          <w:rFonts w:ascii="Cambria" w:eastAsia="Times New Roman" w:hAnsi="Cambria" w:cstheme="minorHAnsi"/>
          <w:w w:val="105"/>
        </w:rPr>
        <w:t>0</w:t>
      </w:r>
      <w:r w:rsidRPr="009A0DA6">
        <w:rPr>
          <w:rFonts w:ascii="Cambria" w:hAnsi="Cambria" w:cstheme="minorHAnsi"/>
        </w:rPr>
        <w:tab/>
      </w:r>
      <w:r w:rsidRPr="009A0DA6">
        <w:rPr>
          <w:rFonts w:ascii="Cambria" w:eastAsia="Times New Roman" w:hAnsi="Cambria" w:cstheme="minorHAnsi"/>
          <w:w w:val="105"/>
        </w:rPr>
        <w:t>314,022</w:t>
      </w:r>
    </w:p>
    <w:p w14:paraId="5D08920D" w14:textId="30E21527" w:rsidR="00BA4592" w:rsidRPr="009A0DA6" w:rsidRDefault="00BA4592" w:rsidP="00BA4592">
      <w:pPr>
        <w:tabs>
          <w:tab w:val="right" w:pos="4536"/>
          <w:tab w:val="right" w:pos="5954"/>
          <w:tab w:val="right" w:pos="7371"/>
          <w:tab w:val="right" w:pos="8789"/>
        </w:tabs>
        <w:spacing w:before="120" w:after="120" w:line="240" w:lineRule="auto"/>
        <w:ind w:right="42"/>
        <w:contextualSpacing/>
        <w:rPr>
          <w:rFonts w:ascii="Cambria" w:eastAsia="Times New Roman" w:hAnsi="Cambria" w:cstheme="minorHAnsi"/>
        </w:rPr>
      </w:pPr>
      <w:r w:rsidRPr="009A0DA6">
        <w:rPr>
          <w:rFonts w:ascii="Cambria" w:eastAsia="Times New Roman" w:hAnsi="Cambria" w:cstheme="minorHAnsi"/>
        </w:rPr>
        <w:t>Reimbursements</w:t>
      </w:r>
      <w:r w:rsidRPr="009A0DA6">
        <w:rPr>
          <w:rFonts w:ascii="Cambria" w:eastAsia="Times New Roman" w:hAnsi="Cambria" w:cstheme="minorHAnsi"/>
          <w:spacing w:val="15"/>
        </w:rPr>
        <w:t xml:space="preserve"> </w:t>
      </w:r>
      <w:r w:rsidRPr="009A0DA6">
        <w:rPr>
          <w:rFonts w:ascii="Cambria" w:eastAsia="Times New Roman" w:hAnsi="Cambria" w:cstheme="minorHAnsi"/>
          <w:w w:val="218"/>
        </w:rPr>
        <w:t>-</w:t>
      </w:r>
      <w:r w:rsidRPr="009A0DA6">
        <w:rPr>
          <w:rFonts w:ascii="Cambria" w:eastAsia="Times New Roman" w:hAnsi="Cambria" w:cstheme="minorHAnsi"/>
          <w:spacing w:val="-66"/>
          <w:w w:val="218"/>
        </w:rPr>
        <w:t xml:space="preserve"> </w:t>
      </w:r>
      <w:r w:rsidR="00392322">
        <w:rPr>
          <w:rFonts w:ascii="Cambria" w:eastAsia="Times New Roman" w:hAnsi="Cambria" w:cstheme="minorHAnsi"/>
          <w:w w:val="103"/>
        </w:rPr>
        <w:t>d</w:t>
      </w:r>
      <w:r w:rsidRPr="009A0DA6">
        <w:rPr>
          <w:rFonts w:ascii="Cambria" w:eastAsia="Times New Roman" w:hAnsi="Cambria" w:cstheme="minorHAnsi"/>
          <w:w w:val="103"/>
        </w:rPr>
        <w:t>epartments</w:t>
      </w:r>
      <w:r w:rsidRPr="009A0DA6">
        <w:rPr>
          <w:rFonts w:ascii="Cambria" w:eastAsia="Times New Roman" w:hAnsi="Cambria" w:cstheme="minorHAnsi"/>
        </w:rPr>
        <w:tab/>
      </w:r>
      <w:r w:rsidRPr="009A0DA6">
        <w:rPr>
          <w:rFonts w:ascii="Cambria" w:eastAsia="Times New Roman" w:hAnsi="Cambria" w:cstheme="minorHAnsi"/>
          <w:w w:val="105"/>
        </w:rPr>
        <w:t>3,000</w:t>
      </w:r>
      <w:r w:rsidRPr="009A0DA6">
        <w:rPr>
          <w:rFonts w:ascii="Cambria" w:hAnsi="Cambria" w:cstheme="minorHAnsi"/>
        </w:rPr>
        <w:tab/>
      </w:r>
      <w:r w:rsidRPr="009A0DA6">
        <w:rPr>
          <w:rFonts w:ascii="Cambria" w:eastAsia="Times New Roman" w:hAnsi="Cambria" w:cstheme="minorHAnsi"/>
          <w:w w:val="105"/>
        </w:rPr>
        <w:t>0</w:t>
      </w:r>
      <w:r w:rsidRPr="009A0DA6">
        <w:rPr>
          <w:rFonts w:ascii="Cambria" w:hAnsi="Cambria" w:cstheme="minorHAnsi"/>
        </w:rPr>
        <w:tab/>
      </w:r>
      <w:r w:rsidRPr="009A0DA6">
        <w:rPr>
          <w:rFonts w:ascii="Cambria" w:eastAsia="Times New Roman" w:hAnsi="Cambria" w:cstheme="minorHAnsi"/>
          <w:w w:val="105"/>
        </w:rPr>
        <w:t>(3,000)</w:t>
      </w:r>
      <w:r w:rsidRPr="009A0DA6">
        <w:rPr>
          <w:rFonts w:ascii="Cambria" w:eastAsia="Times New Roman" w:hAnsi="Cambria" w:cstheme="minorHAnsi"/>
        </w:rPr>
        <w:tab/>
      </w:r>
      <w:r w:rsidRPr="009A0DA6">
        <w:rPr>
          <w:rFonts w:ascii="Cambria" w:eastAsia="Times New Roman" w:hAnsi="Cambria" w:cstheme="minorHAnsi"/>
          <w:w w:val="105"/>
        </w:rPr>
        <w:t>0</w:t>
      </w:r>
    </w:p>
    <w:p w14:paraId="2CD7DE5B" w14:textId="77777777" w:rsidR="00BA4592" w:rsidRPr="009A0DA6" w:rsidRDefault="00BA4592" w:rsidP="00BA4592">
      <w:pPr>
        <w:tabs>
          <w:tab w:val="right" w:pos="4536"/>
          <w:tab w:val="right" w:pos="5954"/>
          <w:tab w:val="right" w:pos="7371"/>
          <w:tab w:val="right" w:pos="8789"/>
        </w:tabs>
        <w:spacing w:before="120" w:after="120" w:line="240" w:lineRule="auto"/>
        <w:ind w:right="-20"/>
        <w:contextualSpacing/>
        <w:rPr>
          <w:rFonts w:ascii="Cambria" w:eastAsia="Times New Roman" w:hAnsi="Cambria" w:cstheme="minorHAnsi"/>
        </w:rPr>
      </w:pPr>
      <w:r w:rsidRPr="009A0DA6">
        <w:rPr>
          <w:rFonts w:ascii="Cambria" w:eastAsia="Times New Roman" w:hAnsi="Cambria" w:cstheme="minorHAnsi"/>
        </w:rPr>
        <w:t>Travelling</w:t>
      </w:r>
      <w:r w:rsidRPr="009A0DA6">
        <w:rPr>
          <w:rFonts w:ascii="Cambria" w:eastAsia="Times New Roman" w:hAnsi="Cambria" w:cstheme="minorHAnsi"/>
          <w:spacing w:val="23"/>
        </w:rPr>
        <w:t xml:space="preserve"> </w:t>
      </w:r>
      <w:r w:rsidRPr="009A0DA6">
        <w:rPr>
          <w:rFonts w:ascii="Cambria" w:eastAsia="Times New Roman" w:hAnsi="Cambria" w:cstheme="minorHAnsi"/>
          <w:w w:val="103"/>
        </w:rPr>
        <w:t>expenses</w:t>
      </w:r>
      <w:r w:rsidRPr="009A0DA6">
        <w:rPr>
          <w:rFonts w:ascii="Cambria" w:eastAsia="Times New Roman" w:hAnsi="Cambria" w:cstheme="minorHAnsi"/>
        </w:rPr>
        <w:tab/>
      </w:r>
      <w:r w:rsidRPr="009A0DA6">
        <w:rPr>
          <w:rFonts w:ascii="Cambria" w:eastAsia="Times New Roman" w:hAnsi="Cambria" w:cstheme="minorHAnsi"/>
          <w:w w:val="103"/>
        </w:rPr>
        <w:t>193,589</w:t>
      </w:r>
      <w:r w:rsidRPr="009A0DA6">
        <w:rPr>
          <w:rFonts w:ascii="Cambria" w:hAnsi="Cambria" w:cstheme="minorHAnsi"/>
        </w:rPr>
        <w:tab/>
      </w:r>
      <w:r w:rsidRPr="009A0DA6">
        <w:rPr>
          <w:rFonts w:ascii="Cambria" w:eastAsia="Times New Roman" w:hAnsi="Cambria" w:cstheme="minorHAnsi"/>
          <w:w w:val="105"/>
        </w:rPr>
        <w:t>276,862</w:t>
      </w:r>
      <w:r w:rsidRPr="009A0DA6">
        <w:rPr>
          <w:rFonts w:ascii="Cambria" w:eastAsia="Times New Roman" w:hAnsi="Cambria" w:cstheme="minorHAnsi"/>
        </w:rPr>
        <w:tab/>
      </w:r>
      <w:r w:rsidRPr="009A0DA6">
        <w:rPr>
          <w:rFonts w:ascii="Cambria" w:eastAsia="Times New Roman" w:hAnsi="Cambria" w:cstheme="minorHAnsi"/>
          <w:w w:val="105"/>
        </w:rPr>
        <w:t>0</w:t>
      </w:r>
      <w:r w:rsidRPr="009A0DA6">
        <w:rPr>
          <w:rFonts w:ascii="Cambria" w:eastAsia="Times New Roman" w:hAnsi="Cambria" w:cstheme="minorHAnsi"/>
        </w:rPr>
        <w:tab/>
      </w:r>
      <w:r w:rsidRPr="009A0DA6">
        <w:rPr>
          <w:rFonts w:ascii="Cambria" w:eastAsia="Times New Roman" w:hAnsi="Cambria" w:cstheme="minorHAnsi"/>
          <w:w w:val="104"/>
        </w:rPr>
        <w:t>470,451</w:t>
      </w:r>
    </w:p>
    <w:p w14:paraId="707A1688" w14:textId="77777777" w:rsidR="00BA4592" w:rsidRPr="009A0DA6" w:rsidRDefault="00BA4592" w:rsidP="00BA4592">
      <w:pPr>
        <w:tabs>
          <w:tab w:val="right" w:pos="4536"/>
          <w:tab w:val="right" w:pos="5954"/>
          <w:tab w:val="right" w:pos="7371"/>
          <w:tab w:val="right" w:pos="8789"/>
        </w:tabs>
        <w:spacing w:before="120" w:after="120" w:line="240" w:lineRule="auto"/>
        <w:contextualSpacing/>
        <w:rPr>
          <w:rFonts w:ascii="Cambria" w:eastAsia="Times New Roman" w:hAnsi="Cambria" w:cstheme="minorHAnsi"/>
          <w:b/>
        </w:rPr>
      </w:pPr>
      <w:r w:rsidRPr="009A0DA6">
        <w:rPr>
          <w:rFonts w:ascii="Cambria" w:eastAsia="Times New Roman" w:hAnsi="Cambria" w:cstheme="minorHAnsi"/>
          <w:b/>
          <w:spacing w:val="-1"/>
        </w:rPr>
        <w:t>T</w:t>
      </w:r>
      <w:r w:rsidRPr="009A0DA6">
        <w:rPr>
          <w:rFonts w:ascii="Cambria" w:eastAsia="Times New Roman" w:hAnsi="Cambria" w:cstheme="minorHAnsi"/>
          <w:b/>
          <w:spacing w:val="1"/>
        </w:rPr>
        <w:t>ota</w:t>
      </w:r>
      <w:r w:rsidRPr="009A0DA6">
        <w:rPr>
          <w:rFonts w:ascii="Cambria" w:eastAsia="Times New Roman" w:hAnsi="Cambria" w:cstheme="minorHAnsi"/>
          <w:b/>
        </w:rPr>
        <w:t>l</w:t>
      </w:r>
      <w:r w:rsidRPr="009A0DA6">
        <w:rPr>
          <w:rFonts w:ascii="Cambria" w:eastAsia="Times New Roman" w:hAnsi="Cambria" w:cstheme="minorHAnsi"/>
          <w:b/>
          <w:spacing w:val="29"/>
        </w:rPr>
        <w:t xml:space="preserve"> </w:t>
      </w:r>
      <w:r w:rsidRPr="009A0DA6">
        <w:rPr>
          <w:rFonts w:ascii="Cambria" w:eastAsia="Times New Roman" w:hAnsi="Cambria" w:cstheme="minorHAnsi"/>
          <w:b/>
          <w:w w:val="107"/>
        </w:rPr>
        <w:t>e</w:t>
      </w:r>
      <w:r w:rsidRPr="009A0DA6">
        <w:rPr>
          <w:rFonts w:ascii="Cambria" w:eastAsia="Times New Roman" w:hAnsi="Cambria" w:cstheme="minorHAnsi"/>
          <w:b/>
          <w:spacing w:val="-1"/>
          <w:w w:val="107"/>
        </w:rPr>
        <w:t>x</w:t>
      </w:r>
      <w:r w:rsidRPr="009A0DA6">
        <w:rPr>
          <w:rFonts w:ascii="Cambria" w:eastAsia="Times New Roman" w:hAnsi="Cambria" w:cstheme="minorHAnsi"/>
          <w:b/>
          <w:w w:val="107"/>
        </w:rPr>
        <w:t>pen</w:t>
      </w:r>
      <w:r w:rsidRPr="009A0DA6">
        <w:rPr>
          <w:rFonts w:ascii="Cambria" w:eastAsia="Times New Roman" w:hAnsi="Cambria" w:cstheme="minorHAnsi"/>
          <w:b/>
          <w:spacing w:val="2"/>
          <w:w w:val="107"/>
        </w:rPr>
        <w:t>d</w:t>
      </w:r>
      <w:r w:rsidRPr="009A0DA6">
        <w:rPr>
          <w:rFonts w:ascii="Cambria" w:eastAsia="Times New Roman" w:hAnsi="Cambria" w:cstheme="minorHAnsi"/>
          <w:b/>
          <w:w w:val="107"/>
        </w:rPr>
        <w:t>i</w:t>
      </w:r>
      <w:r w:rsidRPr="009A0DA6">
        <w:rPr>
          <w:rFonts w:ascii="Cambria" w:eastAsia="Times New Roman" w:hAnsi="Cambria" w:cstheme="minorHAnsi"/>
          <w:b/>
          <w:spacing w:val="1"/>
          <w:w w:val="107"/>
        </w:rPr>
        <w:t>t</w:t>
      </w:r>
      <w:r w:rsidRPr="009A0DA6">
        <w:rPr>
          <w:rFonts w:ascii="Cambria" w:eastAsia="Times New Roman" w:hAnsi="Cambria" w:cstheme="minorHAnsi"/>
          <w:b/>
          <w:w w:val="107"/>
        </w:rPr>
        <w:t>ure</w:t>
      </w:r>
      <w:r w:rsidRPr="009A0DA6">
        <w:rPr>
          <w:rFonts w:ascii="Cambria" w:eastAsia="Times New Roman" w:hAnsi="Cambria" w:cstheme="minorHAnsi"/>
          <w:b/>
        </w:rPr>
        <w:tab/>
      </w:r>
      <w:r w:rsidRPr="009A0DA6">
        <w:rPr>
          <w:rFonts w:ascii="Cambria" w:eastAsia="Times New Roman" w:hAnsi="Cambria" w:cstheme="minorHAnsi"/>
          <w:b/>
          <w:w w:val="105"/>
        </w:rPr>
        <w:t>7,448,140</w:t>
      </w:r>
      <w:r w:rsidRPr="009A0DA6">
        <w:rPr>
          <w:rFonts w:ascii="Cambria" w:eastAsia="Times New Roman" w:hAnsi="Cambria" w:cstheme="minorHAnsi"/>
          <w:b/>
        </w:rPr>
        <w:tab/>
      </w:r>
      <w:r w:rsidRPr="009A0DA6">
        <w:rPr>
          <w:rFonts w:ascii="Cambria" w:eastAsia="Times New Roman" w:hAnsi="Cambria" w:cstheme="minorHAnsi"/>
          <w:b/>
          <w:w w:val="106"/>
        </w:rPr>
        <w:t>4,103,788</w:t>
      </w:r>
      <w:r w:rsidRPr="009A0DA6">
        <w:rPr>
          <w:rFonts w:ascii="Cambria" w:hAnsi="Cambria" w:cstheme="minorHAnsi"/>
          <w:b/>
        </w:rPr>
        <w:tab/>
      </w:r>
      <w:r w:rsidRPr="009A0DA6">
        <w:rPr>
          <w:rFonts w:ascii="Cambria" w:eastAsia="Times New Roman" w:hAnsi="Cambria" w:cstheme="minorHAnsi"/>
          <w:b/>
          <w:spacing w:val="-3"/>
          <w:w w:val="102"/>
        </w:rPr>
        <w:t>(</w:t>
      </w:r>
      <w:r w:rsidRPr="009A0DA6">
        <w:rPr>
          <w:rFonts w:ascii="Cambria" w:eastAsia="Times New Roman" w:hAnsi="Cambria" w:cstheme="minorHAnsi"/>
          <w:b/>
          <w:spacing w:val="-7"/>
          <w:w w:val="115"/>
        </w:rPr>
        <w:t>1</w:t>
      </w:r>
      <w:r w:rsidRPr="009A0DA6">
        <w:rPr>
          <w:rFonts w:ascii="Cambria" w:eastAsia="Times New Roman" w:hAnsi="Cambria" w:cstheme="minorHAnsi"/>
          <w:b/>
          <w:w w:val="105"/>
        </w:rPr>
        <w:t>,400,464)</w:t>
      </w:r>
      <w:r w:rsidRPr="009A0DA6">
        <w:rPr>
          <w:rFonts w:ascii="Cambria" w:eastAsia="Times New Roman" w:hAnsi="Cambria" w:cstheme="minorHAnsi"/>
          <w:b/>
          <w:w w:val="105"/>
        </w:rPr>
        <w:tab/>
        <w:t>10,151,464</w:t>
      </w:r>
    </w:p>
    <w:p w14:paraId="16BF5891" w14:textId="77777777" w:rsidR="00BA4592" w:rsidRPr="009A0DA6" w:rsidRDefault="00BA4592" w:rsidP="00BA4592">
      <w:pPr>
        <w:tabs>
          <w:tab w:val="right" w:pos="4536"/>
          <w:tab w:val="right" w:pos="5954"/>
          <w:tab w:val="right" w:pos="7371"/>
          <w:tab w:val="right" w:pos="8789"/>
        </w:tabs>
        <w:spacing w:before="120" w:after="120" w:line="240" w:lineRule="auto"/>
        <w:ind w:right="-20"/>
        <w:contextualSpacing/>
        <w:rPr>
          <w:rFonts w:ascii="Cambria" w:eastAsia="Times New Roman" w:hAnsi="Cambria" w:cstheme="minorHAnsi"/>
          <w:w w:val="104"/>
          <w:position w:val="1"/>
        </w:rPr>
      </w:pPr>
      <w:r w:rsidRPr="009A0DA6">
        <w:rPr>
          <w:rFonts w:ascii="Cambria" w:eastAsia="Times New Roman" w:hAnsi="Cambria" w:cstheme="minorHAnsi"/>
          <w:w w:val="114"/>
        </w:rPr>
        <w:t>Operating</w:t>
      </w:r>
      <w:r w:rsidRPr="009A0DA6">
        <w:rPr>
          <w:rFonts w:ascii="Cambria" w:eastAsia="Times New Roman" w:hAnsi="Cambria" w:cstheme="minorHAnsi"/>
          <w:spacing w:val="-14"/>
          <w:w w:val="114"/>
        </w:rPr>
        <w:t xml:space="preserve"> </w:t>
      </w:r>
      <w:r w:rsidRPr="009A0DA6">
        <w:rPr>
          <w:rFonts w:ascii="Cambria" w:eastAsia="Times New Roman" w:hAnsi="Cambria" w:cstheme="minorHAnsi"/>
          <w:w w:val="114"/>
        </w:rPr>
        <w:t>Surplus</w:t>
      </w:r>
      <w:r w:rsidRPr="009A0DA6">
        <w:rPr>
          <w:rFonts w:ascii="Cambria" w:eastAsia="Times New Roman" w:hAnsi="Cambria" w:cstheme="minorHAnsi"/>
          <w:spacing w:val="-1"/>
          <w:w w:val="114"/>
        </w:rPr>
        <w:t xml:space="preserve"> </w:t>
      </w:r>
      <w:r w:rsidRPr="009A0DA6">
        <w:rPr>
          <w:rFonts w:ascii="Cambria" w:eastAsia="Times New Roman" w:hAnsi="Cambria" w:cstheme="minorHAnsi"/>
          <w:w w:val="114"/>
        </w:rPr>
        <w:t>prior</w:t>
      </w:r>
      <w:r w:rsidRPr="009A0DA6">
        <w:rPr>
          <w:rFonts w:ascii="Cambria" w:eastAsia="Times New Roman" w:hAnsi="Cambria" w:cstheme="minorHAnsi"/>
          <w:w w:val="114"/>
        </w:rPr>
        <w:br/>
      </w:r>
      <w:r w:rsidRPr="009A0DA6">
        <w:rPr>
          <w:rFonts w:ascii="Cambria" w:eastAsia="Times New Roman" w:hAnsi="Cambria" w:cstheme="minorHAnsi"/>
          <w:position w:val="1"/>
        </w:rPr>
        <w:t>to</w:t>
      </w:r>
      <w:r w:rsidRPr="009A0DA6">
        <w:rPr>
          <w:rFonts w:ascii="Cambria" w:eastAsia="Times New Roman" w:hAnsi="Cambria" w:cstheme="minorHAnsi"/>
          <w:spacing w:val="29"/>
          <w:position w:val="1"/>
        </w:rPr>
        <w:t xml:space="preserve"> </w:t>
      </w:r>
      <w:r w:rsidRPr="009A0DA6">
        <w:rPr>
          <w:rFonts w:ascii="Cambria" w:eastAsia="Times New Roman" w:hAnsi="Cambria" w:cstheme="minorHAnsi"/>
          <w:position w:val="1"/>
        </w:rPr>
        <w:t>reserve and</w:t>
      </w:r>
      <w:r w:rsidRPr="009A0DA6">
        <w:rPr>
          <w:rFonts w:ascii="Cambria" w:eastAsia="Times New Roman" w:hAnsi="Cambria" w:cstheme="minorHAnsi"/>
          <w:spacing w:val="44"/>
          <w:position w:val="1"/>
        </w:rPr>
        <w:t xml:space="preserve"> </w:t>
      </w:r>
      <w:r w:rsidRPr="009A0DA6">
        <w:rPr>
          <w:rFonts w:ascii="Cambria" w:eastAsia="Times New Roman" w:hAnsi="Cambria" w:cstheme="minorHAnsi"/>
          <w:position w:val="1"/>
        </w:rPr>
        <w:t xml:space="preserve">equity </w:t>
      </w:r>
      <w:r w:rsidRPr="009A0DA6">
        <w:rPr>
          <w:rFonts w:ascii="Cambria" w:eastAsia="Times New Roman" w:hAnsi="Cambria" w:cstheme="minorHAnsi"/>
          <w:w w:val="116"/>
          <w:position w:val="1"/>
        </w:rPr>
        <w:t>transfers</w:t>
      </w:r>
      <w:r w:rsidRPr="009A0DA6">
        <w:rPr>
          <w:rFonts w:ascii="Cambria" w:eastAsia="Times New Roman" w:hAnsi="Cambria" w:cstheme="minorHAnsi"/>
          <w:position w:val="1"/>
        </w:rPr>
        <w:tab/>
        <w:t>70,694</w:t>
      </w:r>
      <w:r w:rsidRPr="009A0DA6">
        <w:rPr>
          <w:rFonts w:ascii="Cambria" w:eastAsia="Times New Roman" w:hAnsi="Cambria" w:cstheme="minorHAnsi"/>
          <w:spacing w:val="-21"/>
          <w:position w:val="1"/>
        </w:rPr>
        <w:t xml:space="preserve"> </w:t>
      </w:r>
      <w:r w:rsidRPr="009A0DA6">
        <w:rPr>
          <w:rFonts w:ascii="Cambria" w:eastAsia="Times New Roman" w:hAnsi="Cambria" w:cstheme="minorHAnsi"/>
          <w:position w:val="1"/>
        </w:rPr>
        <w:tab/>
        <w:t>38,731</w:t>
      </w:r>
      <w:r w:rsidRPr="009A0DA6">
        <w:rPr>
          <w:rFonts w:ascii="Cambria" w:eastAsia="Times New Roman" w:hAnsi="Cambria" w:cstheme="minorHAnsi"/>
          <w:spacing w:val="-11"/>
          <w:position w:val="1"/>
        </w:rPr>
        <w:t xml:space="preserve"> </w:t>
      </w:r>
      <w:r w:rsidRPr="009A0DA6">
        <w:rPr>
          <w:rFonts w:ascii="Cambria" w:eastAsia="Times New Roman" w:hAnsi="Cambria" w:cstheme="minorHAnsi"/>
          <w:position w:val="1"/>
        </w:rPr>
        <w:tab/>
      </w:r>
      <w:r w:rsidRPr="009A0DA6">
        <w:rPr>
          <w:rFonts w:ascii="Cambria" w:eastAsia="Times New Roman" w:hAnsi="Cambria" w:cstheme="minorHAnsi"/>
        </w:rPr>
        <w:t>0</w:t>
      </w:r>
      <w:r w:rsidRPr="009A0DA6">
        <w:rPr>
          <w:rFonts w:ascii="Cambria" w:eastAsia="Times New Roman" w:hAnsi="Cambria" w:cstheme="minorHAnsi"/>
          <w:spacing w:val="-43"/>
        </w:rPr>
        <w:t xml:space="preserve"> </w:t>
      </w:r>
      <w:r w:rsidRPr="009A0DA6">
        <w:rPr>
          <w:rFonts w:ascii="Cambria" w:eastAsia="Times New Roman" w:hAnsi="Cambria" w:cstheme="minorHAnsi"/>
        </w:rPr>
        <w:tab/>
      </w:r>
      <w:r w:rsidRPr="009A0DA6">
        <w:rPr>
          <w:rFonts w:ascii="Cambria" w:eastAsia="Times New Roman" w:hAnsi="Cambria" w:cstheme="minorHAnsi"/>
          <w:w w:val="104"/>
          <w:position w:val="1"/>
        </w:rPr>
        <w:t>109,425</w:t>
      </w:r>
    </w:p>
    <w:p w14:paraId="45B58193" w14:textId="77777777" w:rsidR="00BA4592" w:rsidRPr="009A0DA6" w:rsidRDefault="00BA4592" w:rsidP="00BA4592">
      <w:pPr>
        <w:tabs>
          <w:tab w:val="right" w:pos="4536"/>
          <w:tab w:val="right" w:pos="5954"/>
          <w:tab w:val="right" w:pos="7371"/>
          <w:tab w:val="right" w:pos="8789"/>
        </w:tabs>
        <w:spacing w:before="120" w:after="120" w:line="240" w:lineRule="auto"/>
        <w:ind w:right="-20"/>
        <w:contextualSpacing/>
        <w:rPr>
          <w:rFonts w:ascii="Cambria" w:eastAsia="Times New Roman" w:hAnsi="Cambria" w:cstheme="minorHAnsi"/>
        </w:rPr>
      </w:pPr>
      <w:r w:rsidRPr="009A0DA6">
        <w:rPr>
          <w:rFonts w:ascii="Cambria" w:eastAsia="Times New Roman" w:hAnsi="Cambria" w:cstheme="minorHAnsi"/>
          <w:position w:val="1"/>
        </w:rPr>
        <w:t>Transfer</w:t>
      </w:r>
      <w:r w:rsidRPr="009A0DA6">
        <w:rPr>
          <w:rFonts w:ascii="Cambria" w:eastAsia="Times New Roman" w:hAnsi="Cambria" w:cstheme="minorHAnsi"/>
          <w:spacing w:val="29"/>
          <w:position w:val="1"/>
        </w:rPr>
        <w:t xml:space="preserve"> </w:t>
      </w:r>
      <w:r w:rsidRPr="009A0DA6">
        <w:rPr>
          <w:rFonts w:ascii="Cambria" w:eastAsia="Times New Roman" w:hAnsi="Cambria" w:cstheme="minorHAnsi"/>
          <w:position w:val="1"/>
        </w:rPr>
        <w:t>to</w:t>
      </w:r>
      <w:r w:rsidRPr="009A0DA6">
        <w:rPr>
          <w:rFonts w:ascii="Cambria" w:eastAsia="Times New Roman" w:hAnsi="Cambria" w:cstheme="minorHAnsi"/>
          <w:spacing w:val="3"/>
          <w:position w:val="1"/>
        </w:rPr>
        <w:t xml:space="preserve"> </w:t>
      </w:r>
      <w:r w:rsidRPr="009A0DA6">
        <w:rPr>
          <w:rFonts w:ascii="Cambria" w:eastAsia="Times New Roman" w:hAnsi="Cambria" w:cstheme="minorHAnsi"/>
          <w:position w:val="1"/>
        </w:rPr>
        <w:t>equity</w:t>
      </w:r>
      <w:r w:rsidRPr="009A0DA6">
        <w:rPr>
          <w:rFonts w:ascii="Cambria" w:eastAsia="Times New Roman" w:hAnsi="Cambria" w:cstheme="minorHAnsi"/>
          <w:spacing w:val="12"/>
          <w:position w:val="1"/>
        </w:rPr>
        <w:t xml:space="preserve"> </w:t>
      </w:r>
      <w:r w:rsidRPr="009A0DA6">
        <w:rPr>
          <w:rFonts w:ascii="Cambria" w:eastAsia="Times New Roman" w:hAnsi="Cambria" w:cstheme="minorHAnsi"/>
          <w:position w:val="1"/>
        </w:rPr>
        <w:t>and</w:t>
      </w:r>
      <w:r w:rsidRPr="009A0DA6">
        <w:rPr>
          <w:rFonts w:ascii="Cambria" w:eastAsia="Times New Roman" w:hAnsi="Cambria" w:cstheme="minorHAnsi"/>
          <w:spacing w:val="20"/>
          <w:position w:val="1"/>
        </w:rPr>
        <w:t xml:space="preserve"> </w:t>
      </w:r>
      <w:r w:rsidRPr="009A0DA6">
        <w:rPr>
          <w:rFonts w:ascii="Cambria" w:eastAsia="Times New Roman" w:hAnsi="Cambria" w:cstheme="minorHAnsi"/>
          <w:position w:val="1"/>
        </w:rPr>
        <w:t>reserves</w:t>
      </w:r>
      <w:r w:rsidRPr="009A0DA6">
        <w:rPr>
          <w:rFonts w:ascii="Cambria" w:eastAsia="Times New Roman" w:hAnsi="Cambria" w:cstheme="minorHAnsi"/>
          <w:spacing w:val="-23"/>
          <w:position w:val="1"/>
        </w:rPr>
        <w:t xml:space="preserve"> </w:t>
      </w:r>
      <w:r w:rsidRPr="009A0DA6">
        <w:rPr>
          <w:rFonts w:ascii="Cambria" w:eastAsia="Times New Roman" w:hAnsi="Cambria" w:cstheme="minorHAnsi"/>
          <w:position w:val="1"/>
        </w:rPr>
        <w:tab/>
        <w:t>(74,836)</w:t>
      </w:r>
      <w:r w:rsidRPr="009A0DA6">
        <w:rPr>
          <w:rFonts w:ascii="Cambria" w:eastAsia="Times New Roman" w:hAnsi="Cambria" w:cstheme="minorHAnsi"/>
          <w:spacing w:val="-15"/>
          <w:position w:val="1"/>
        </w:rPr>
        <w:t xml:space="preserve"> </w:t>
      </w:r>
      <w:r w:rsidRPr="009A0DA6">
        <w:rPr>
          <w:rFonts w:ascii="Cambria" w:eastAsia="Times New Roman" w:hAnsi="Cambria" w:cstheme="minorHAnsi"/>
          <w:position w:val="1"/>
        </w:rPr>
        <w:tab/>
        <w:t>(106</w:t>
      </w:r>
      <w:r w:rsidRPr="009A0DA6">
        <w:rPr>
          <w:rFonts w:ascii="Cambria" w:eastAsia="Times New Roman" w:hAnsi="Cambria" w:cstheme="minorHAnsi"/>
          <w:spacing w:val="11"/>
          <w:position w:val="1"/>
        </w:rPr>
        <w:t>,</w:t>
      </w:r>
      <w:r w:rsidRPr="009A0DA6">
        <w:rPr>
          <w:rFonts w:ascii="Cambria" w:eastAsia="Times New Roman" w:hAnsi="Cambria" w:cstheme="minorHAnsi"/>
          <w:position w:val="1"/>
        </w:rPr>
        <w:t>122)</w:t>
      </w:r>
      <w:r w:rsidRPr="009A0DA6">
        <w:rPr>
          <w:rFonts w:ascii="Cambria" w:eastAsia="Times New Roman" w:hAnsi="Cambria" w:cstheme="minorHAnsi"/>
          <w:spacing w:val="-21"/>
          <w:position w:val="1"/>
        </w:rPr>
        <w:t xml:space="preserve"> </w:t>
      </w:r>
      <w:r w:rsidRPr="009A0DA6">
        <w:rPr>
          <w:rFonts w:ascii="Cambria" w:eastAsia="Times New Roman" w:hAnsi="Cambria" w:cstheme="minorHAnsi"/>
          <w:position w:val="1"/>
        </w:rPr>
        <w:tab/>
      </w:r>
      <w:r w:rsidRPr="009A0DA6">
        <w:rPr>
          <w:rFonts w:ascii="Cambria" w:eastAsia="Times New Roman" w:hAnsi="Cambria" w:cstheme="minorHAnsi"/>
        </w:rPr>
        <w:t>0</w:t>
      </w:r>
      <w:r w:rsidRPr="009A0DA6">
        <w:rPr>
          <w:rFonts w:ascii="Cambria" w:eastAsia="Times New Roman" w:hAnsi="Cambria" w:cstheme="minorHAnsi"/>
          <w:spacing w:val="-43"/>
        </w:rPr>
        <w:t xml:space="preserve"> </w:t>
      </w:r>
      <w:r w:rsidRPr="009A0DA6">
        <w:rPr>
          <w:rFonts w:ascii="Cambria" w:eastAsia="Times New Roman" w:hAnsi="Cambria" w:cstheme="minorHAnsi"/>
        </w:rPr>
        <w:tab/>
      </w:r>
      <w:r w:rsidRPr="009A0DA6">
        <w:rPr>
          <w:rFonts w:ascii="Cambria" w:eastAsia="Times New Roman" w:hAnsi="Cambria" w:cstheme="minorHAnsi"/>
          <w:w w:val="104"/>
        </w:rPr>
        <w:t>(180,958)</w:t>
      </w:r>
    </w:p>
    <w:p w14:paraId="5F38C881" w14:textId="00A7B9AF" w:rsidR="00BA4592" w:rsidRPr="009A0DA6" w:rsidRDefault="00BA4592" w:rsidP="005973AA">
      <w:pPr>
        <w:tabs>
          <w:tab w:val="right" w:pos="4536"/>
          <w:tab w:val="right" w:pos="5954"/>
          <w:tab w:val="right" w:pos="7371"/>
        </w:tabs>
        <w:spacing w:before="120" w:after="120" w:line="240" w:lineRule="auto"/>
        <w:ind w:right="-121"/>
        <w:contextualSpacing/>
        <w:rPr>
          <w:rFonts w:ascii="Cambria" w:eastAsia="Times New Roman" w:hAnsi="Cambria" w:cstheme="minorHAnsi"/>
          <w:b/>
        </w:rPr>
      </w:pPr>
      <w:r w:rsidRPr="009A0DA6">
        <w:rPr>
          <w:rFonts w:ascii="Cambria" w:eastAsia="Times New Roman" w:hAnsi="Cambria" w:cstheme="minorHAnsi"/>
          <w:b/>
          <w:position w:val="1"/>
        </w:rPr>
        <w:t>Net</w:t>
      </w:r>
      <w:r w:rsidRPr="009A0DA6">
        <w:rPr>
          <w:rFonts w:ascii="Cambria" w:eastAsia="Times New Roman" w:hAnsi="Cambria" w:cstheme="minorHAnsi"/>
          <w:b/>
          <w:spacing w:val="12"/>
          <w:position w:val="1"/>
        </w:rPr>
        <w:t xml:space="preserve"> </w:t>
      </w:r>
      <w:r w:rsidRPr="009A0DA6">
        <w:rPr>
          <w:rFonts w:ascii="Cambria" w:eastAsia="Times New Roman" w:hAnsi="Cambria" w:cstheme="minorHAnsi"/>
          <w:b/>
          <w:position w:val="1"/>
        </w:rPr>
        <w:t>(Deficit)</w:t>
      </w:r>
      <w:r w:rsidRPr="009A0DA6">
        <w:rPr>
          <w:rFonts w:ascii="Cambria" w:eastAsia="Times New Roman" w:hAnsi="Cambria" w:cstheme="minorHAnsi"/>
          <w:b/>
          <w:spacing w:val="-7"/>
          <w:position w:val="1"/>
        </w:rPr>
        <w:t xml:space="preserve"> </w:t>
      </w:r>
      <w:r w:rsidRPr="009A0DA6">
        <w:rPr>
          <w:rFonts w:ascii="Cambria" w:eastAsia="Times New Roman" w:hAnsi="Cambria" w:cstheme="minorHAnsi"/>
          <w:b/>
          <w:position w:val="1"/>
        </w:rPr>
        <w:tab/>
        <w:t>(4,142)</w:t>
      </w:r>
      <w:r w:rsidRPr="009A0DA6">
        <w:rPr>
          <w:rFonts w:ascii="Cambria" w:eastAsia="Times New Roman" w:hAnsi="Cambria" w:cstheme="minorHAnsi"/>
          <w:b/>
          <w:spacing w:val="-20"/>
          <w:position w:val="1"/>
        </w:rPr>
        <w:t xml:space="preserve"> </w:t>
      </w:r>
      <w:r w:rsidRPr="009A0DA6">
        <w:rPr>
          <w:rFonts w:ascii="Cambria" w:eastAsia="Times New Roman" w:hAnsi="Cambria" w:cstheme="minorHAnsi"/>
          <w:b/>
          <w:position w:val="1"/>
        </w:rPr>
        <w:tab/>
        <w:t>(67,391)</w:t>
      </w:r>
      <w:r w:rsidRPr="009A0DA6">
        <w:rPr>
          <w:rFonts w:ascii="Cambria" w:eastAsia="Times New Roman" w:hAnsi="Cambria" w:cstheme="minorHAnsi"/>
          <w:b/>
          <w:spacing w:val="-9"/>
          <w:position w:val="1"/>
        </w:rPr>
        <w:t xml:space="preserve"> </w:t>
      </w:r>
      <w:r w:rsidRPr="009A0DA6">
        <w:rPr>
          <w:rFonts w:ascii="Cambria" w:eastAsia="Times New Roman" w:hAnsi="Cambria" w:cstheme="minorHAnsi"/>
          <w:b/>
          <w:position w:val="1"/>
        </w:rPr>
        <w:tab/>
      </w:r>
      <w:r w:rsidRPr="009A0DA6">
        <w:rPr>
          <w:rFonts w:ascii="Cambria" w:eastAsia="Times New Roman" w:hAnsi="Cambria" w:cstheme="minorHAnsi"/>
          <w:b/>
          <w:w w:val="42"/>
          <w:position w:val="1"/>
        </w:rPr>
        <w:t xml:space="preserve"> </w:t>
      </w:r>
      <w:r w:rsidR="005973AA">
        <w:rPr>
          <w:rFonts w:ascii="Cambria" w:eastAsia="Times New Roman" w:hAnsi="Cambria" w:cstheme="minorHAnsi"/>
          <w:b/>
          <w:w w:val="42"/>
          <w:position w:val="1"/>
        </w:rPr>
        <w:t xml:space="preserve">                                                            </w:t>
      </w:r>
      <w:r w:rsidRPr="009A0DA6">
        <w:rPr>
          <w:rFonts w:ascii="Cambria" w:eastAsia="Arial" w:hAnsi="Cambria" w:cstheme="minorHAnsi"/>
          <w:b/>
        </w:rPr>
        <w:t>0</w:t>
      </w:r>
      <w:r w:rsidRPr="009A0DA6">
        <w:rPr>
          <w:rFonts w:ascii="Cambria" w:eastAsia="Arial" w:hAnsi="Cambria" w:cstheme="minorHAnsi"/>
          <w:b/>
          <w:spacing w:val="-51"/>
        </w:rPr>
        <w:t xml:space="preserve"> </w:t>
      </w:r>
      <w:r w:rsidR="005973AA">
        <w:rPr>
          <w:rFonts w:ascii="Cambria" w:eastAsia="Arial" w:hAnsi="Cambria" w:cstheme="minorHAnsi"/>
          <w:b/>
        </w:rPr>
        <w:t xml:space="preserve">         </w:t>
      </w:r>
      <w:r w:rsidRPr="009A0DA6">
        <w:rPr>
          <w:rFonts w:ascii="Cambria" w:eastAsia="Times New Roman" w:hAnsi="Cambria" w:cstheme="minorHAnsi"/>
          <w:b/>
          <w:w w:val="104"/>
          <w:position w:val="1"/>
        </w:rPr>
        <w:t>(71,533)</w:t>
      </w:r>
    </w:p>
    <w:p w14:paraId="53BEE887" w14:textId="77777777" w:rsidR="00CE0DB0" w:rsidRPr="009A0DA6" w:rsidRDefault="00CE0DB0" w:rsidP="00CE0DB0">
      <w:pPr>
        <w:pStyle w:val="NoSpacing"/>
      </w:pPr>
    </w:p>
    <w:p w14:paraId="70D8DCBF" w14:textId="77777777" w:rsidR="00206BF6" w:rsidRDefault="00206BF6">
      <w:pPr>
        <w:rPr>
          <w:rFonts w:ascii="Cambria" w:eastAsiaTheme="majorEastAsia" w:hAnsi="Cambria" w:cstheme="majorBidi"/>
          <w:b/>
          <w:caps/>
          <w:sz w:val="28"/>
          <w:szCs w:val="24"/>
        </w:rPr>
      </w:pPr>
      <w:r>
        <w:br w:type="page"/>
      </w:r>
    </w:p>
    <w:p w14:paraId="5DEB6A5E" w14:textId="3B3B6685" w:rsidR="00F47478" w:rsidRPr="009A0DA6" w:rsidRDefault="00F47478" w:rsidP="00964A90">
      <w:pPr>
        <w:pStyle w:val="Heading3"/>
      </w:pPr>
      <w:r w:rsidRPr="009A0DA6">
        <w:lastRenderedPageBreak/>
        <w:t>Agenda 14.3</w:t>
      </w:r>
    </w:p>
    <w:p w14:paraId="2B5C847F" w14:textId="77777777" w:rsidR="00CE0DB0" w:rsidRPr="009A0DA6" w:rsidRDefault="00F47478" w:rsidP="00F47478">
      <w:pPr>
        <w:pStyle w:val="Heading2"/>
      </w:pPr>
      <w:bookmarkStart w:id="515" w:name="_Toc521954753"/>
      <w:r w:rsidRPr="009A0DA6">
        <w:t>Fi</w:t>
      </w:r>
      <w:r w:rsidR="00CE0DB0" w:rsidRPr="009A0DA6">
        <w:t>nancial report: LCA Subscriptions</w:t>
      </w:r>
      <w:bookmarkEnd w:id="515"/>
    </w:p>
    <w:p w14:paraId="1753C8A4" w14:textId="77777777" w:rsidR="00CE0DB0" w:rsidRPr="009A0DA6" w:rsidRDefault="00CE0DB0" w:rsidP="00CE0DB0">
      <w:pPr>
        <w:pStyle w:val="NoSpacing"/>
      </w:pPr>
    </w:p>
    <w:p w14:paraId="7C0AF0D4" w14:textId="77777777" w:rsidR="00E4168D" w:rsidRPr="009A0DA6" w:rsidRDefault="00E4168D" w:rsidP="00766B14">
      <w:pPr>
        <w:pStyle w:val="NoSpacing"/>
        <w:rPr>
          <w:b/>
        </w:rPr>
      </w:pPr>
      <w:r w:rsidRPr="009A0DA6">
        <w:rPr>
          <w:b/>
        </w:rPr>
        <w:t xml:space="preserve">INDIVIDUAL DEPARTMENTAL FINANCIAL REPORT </w:t>
      </w:r>
    </w:p>
    <w:p w14:paraId="6951A14A" w14:textId="77777777" w:rsidR="00FF7E8B" w:rsidRPr="009A0DA6" w:rsidRDefault="00E4168D" w:rsidP="00FF7E8B">
      <w:pPr>
        <w:pStyle w:val="NoSpacing"/>
        <w:rPr>
          <w:b/>
        </w:rPr>
      </w:pPr>
      <w:r w:rsidRPr="009A0DA6">
        <w:rPr>
          <w:b/>
          <w:sz w:val="2"/>
          <w:szCs w:val="2"/>
        </w:rPr>
        <w:br/>
      </w:r>
      <w:r w:rsidR="00FF7E8B" w:rsidRPr="009A0DA6">
        <w:rPr>
          <w:b/>
        </w:rPr>
        <w:t xml:space="preserve">FOR </w:t>
      </w:r>
      <w:r w:rsidR="00FF7E8B">
        <w:rPr>
          <w:b/>
        </w:rPr>
        <w:t>THE PERIODS ENDING</w:t>
      </w:r>
      <w:r w:rsidR="00FF7E8B" w:rsidRPr="009A0DA6">
        <w:rPr>
          <w:b/>
        </w:rPr>
        <w:t xml:space="preserve"> 31 DECEMBER </w:t>
      </w:r>
    </w:p>
    <w:p w14:paraId="4AC5F24C" w14:textId="7BA57270" w:rsidR="00E4168D" w:rsidRPr="009A0DA6" w:rsidRDefault="00E4168D" w:rsidP="00E4168D">
      <w:pPr>
        <w:pStyle w:val="NoSpacing"/>
        <w:rPr>
          <w:b/>
          <w:sz w:val="12"/>
        </w:rPr>
      </w:pPr>
    </w:p>
    <w:p w14:paraId="1B67C6B1" w14:textId="77777777" w:rsidR="00B81951" w:rsidRPr="009A0DA6" w:rsidRDefault="00B81951" w:rsidP="00B81951">
      <w:pPr>
        <w:tabs>
          <w:tab w:val="right" w:pos="5954"/>
          <w:tab w:val="right" w:pos="7371"/>
          <w:tab w:val="right" w:pos="8789"/>
        </w:tabs>
        <w:spacing w:before="120" w:after="120" w:line="240" w:lineRule="auto"/>
        <w:contextualSpacing/>
        <w:rPr>
          <w:rFonts w:ascii="Cambria" w:hAnsi="Cambria" w:cstheme="minorHAnsi"/>
          <w:b/>
        </w:rPr>
      </w:pPr>
      <w:r w:rsidRPr="009A0DA6">
        <w:rPr>
          <w:rFonts w:ascii="Cambria" w:hAnsi="Cambria" w:cstheme="minorHAnsi"/>
          <w:b/>
        </w:rPr>
        <w:tab/>
        <w:t>2017</w:t>
      </w:r>
      <w:r w:rsidRPr="009A0DA6">
        <w:rPr>
          <w:rFonts w:ascii="Cambria" w:hAnsi="Cambria" w:cstheme="minorHAnsi"/>
          <w:b/>
        </w:rPr>
        <w:tab/>
        <w:t>2016</w:t>
      </w:r>
      <w:r w:rsidRPr="009A0DA6">
        <w:rPr>
          <w:rFonts w:ascii="Cambria" w:hAnsi="Cambria" w:cstheme="minorHAnsi"/>
          <w:b/>
        </w:rPr>
        <w:tab/>
        <w:t>2015</w:t>
      </w:r>
    </w:p>
    <w:p w14:paraId="773E2873" w14:textId="77777777" w:rsidR="00B81951" w:rsidRPr="009A0DA6" w:rsidRDefault="00B81951" w:rsidP="00B81951">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b/>
        </w:rPr>
        <w:t>Income</w:t>
      </w:r>
    </w:p>
    <w:p w14:paraId="26A2ADCE" w14:textId="77777777" w:rsidR="00B81951" w:rsidRPr="009A0DA6" w:rsidRDefault="00B81951" w:rsidP="00B81951">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Appeals, donations and bequests</w:t>
      </w:r>
      <w:r w:rsidRPr="009A0DA6">
        <w:rPr>
          <w:rFonts w:ascii="Cambria" w:hAnsi="Cambria" w:cstheme="minorHAnsi"/>
        </w:rPr>
        <w:tab/>
        <w:t>314</w:t>
      </w:r>
      <w:r w:rsidRPr="009A0DA6">
        <w:rPr>
          <w:rFonts w:ascii="Cambria" w:hAnsi="Cambria" w:cstheme="minorHAnsi"/>
        </w:rPr>
        <w:tab/>
        <w:t>407</w:t>
      </w:r>
      <w:r w:rsidRPr="009A0DA6">
        <w:rPr>
          <w:rFonts w:ascii="Cambria" w:hAnsi="Cambria" w:cstheme="minorHAnsi"/>
        </w:rPr>
        <w:tab/>
        <w:t>90</w:t>
      </w:r>
    </w:p>
    <w:p w14:paraId="49F26C36" w14:textId="77777777" w:rsidR="00B81951" w:rsidRPr="009A0DA6" w:rsidRDefault="00B81951" w:rsidP="00B81951">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Trading income</w:t>
      </w:r>
      <w:r w:rsidRPr="009A0DA6">
        <w:rPr>
          <w:rFonts w:ascii="Cambria" w:hAnsi="Cambria" w:cstheme="minorHAnsi"/>
        </w:rPr>
        <w:tab/>
        <w:t>65,372</w:t>
      </w:r>
      <w:r w:rsidRPr="009A0DA6">
        <w:rPr>
          <w:rFonts w:ascii="Cambria" w:hAnsi="Cambria" w:cstheme="minorHAnsi"/>
        </w:rPr>
        <w:tab/>
        <w:t>67,898</w:t>
      </w:r>
      <w:r w:rsidRPr="009A0DA6">
        <w:rPr>
          <w:rFonts w:ascii="Cambria" w:hAnsi="Cambria" w:cstheme="minorHAnsi"/>
        </w:rPr>
        <w:tab/>
        <w:t>75,574</w:t>
      </w:r>
    </w:p>
    <w:p w14:paraId="742E2C2E" w14:textId="77777777" w:rsidR="00B81951" w:rsidRPr="009A0DA6" w:rsidRDefault="00B81951" w:rsidP="00B81951">
      <w:pPr>
        <w:tabs>
          <w:tab w:val="right" w:pos="5954"/>
          <w:tab w:val="right" w:pos="7371"/>
          <w:tab w:val="right" w:pos="8789"/>
        </w:tabs>
        <w:spacing w:before="120" w:after="120" w:line="240" w:lineRule="auto"/>
        <w:contextualSpacing/>
        <w:rPr>
          <w:rFonts w:ascii="Cambria" w:hAnsi="Cambria" w:cstheme="minorHAnsi"/>
          <w:b/>
        </w:rPr>
      </w:pPr>
      <w:r w:rsidRPr="009A0DA6">
        <w:rPr>
          <w:rFonts w:ascii="Cambria" w:hAnsi="Cambria" w:cstheme="minorHAnsi"/>
          <w:b/>
        </w:rPr>
        <w:tab/>
        <w:t>65,686</w:t>
      </w:r>
      <w:r w:rsidRPr="009A0DA6">
        <w:rPr>
          <w:rFonts w:ascii="Cambria" w:hAnsi="Cambria" w:cstheme="minorHAnsi"/>
          <w:b/>
        </w:rPr>
        <w:tab/>
        <w:t>68,305</w:t>
      </w:r>
      <w:r w:rsidRPr="009A0DA6">
        <w:rPr>
          <w:rFonts w:ascii="Cambria" w:hAnsi="Cambria" w:cstheme="minorHAnsi"/>
          <w:b/>
        </w:rPr>
        <w:tab/>
        <w:t>76,664</w:t>
      </w:r>
    </w:p>
    <w:p w14:paraId="2A61D560" w14:textId="77777777" w:rsidR="00B81951" w:rsidRPr="009A0DA6" w:rsidRDefault="00B81951" w:rsidP="00B81951">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b/>
        </w:rPr>
        <w:t>Expenditure</w:t>
      </w:r>
    </w:p>
    <w:p w14:paraId="064396AD" w14:textId="77777777" w:rsidR="00B81951" w:rsidRPr="009A0DA6" w:rsidRDefault="00B81951" w:rsidP="00B81951">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Administration costs</w:t>
      </w:r>
      <w:r w:rsidRPr="009A0DA6">
        <w:rPr>
          <w:rFonts w:ascii="Cambria" w:hAnsi="Cambria" w:cstheme="minorHAnsi"/>
        </w:rPr>
        <w:tab/>
        <w:t>58,752</w:t>
      </w:r>
      <w:r w:rsidRPr="009A0DA6">
        <w:rPr>
          <w:rFonts w:ascii="Cambria" w:hAnsi="Cambria" w:cstheme="minorHAnsi"/>
        </w:rPr>
        <w:tab/>
        <w:t>65,463</w:t>
      </w:r>
      <w:r w:rsidRPr="009A0DA6">
        <w:rPr>
          <w:rFonts w:ascii="Cambria" w:hAnsi="Cambria" w:cstheme="minorHAnsi"/>
        </w:rPr>
        <w:tab/>
        <w:t>62,733</w:t>
      </w:r>
    </w:p>
    <w:p w14:paraId="69F8134F" w14:textId="77777777" w:rsidR="00B81951" w:rsidRPr="009A0DA6" w:rsidRDefault="00B81951" w:rsidP="00B81951">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LCA allocations and reimbursements</w:t>
      </w:r>
      <w:r w:rsidRPr="009A0DA6">
        <w:rPr>
          <w:rFonts w:ascii="Cambria" w:hAnsi="Cambria" w:cstheme="minorHAnsi"/>
        </w:rPr>
        <w:tab/>
        <w:t>1,854</w:t>
      </w:r>
      <w:r w:rsidRPr="009A0DA6">
        <w:rPr>
          <w:rFonts w:ascii="Cambria" w:hAnsi="Cambria" w:cstheme="minorHAnsi"/>
        </w:rPr>
        <w:tab/>
      </w:r>
      <w:r w:rsidRPr="009A0DA6">
        <w:rPr>
          <w:rFonts w:ascii="Cambria" w:hAnsi="Cambria" w:cstheme="minorHAnsi"/>
        </w:rPr>
        <w:tab/>
      </w:r>
    </w:p>
    <w:p w14:paraId="6D099AD5" w14:textId="77777777" w:rsidR="00B81951" w:rsidRPr="009A0DA6" w:rsidRDefault="00B81951" w:rsidP="00B81951">
      <w:pPr>
        <w:tabs>
          <w:tab w:val="right" w:pos="5954"/>
          <w:tab w:val="right" w:pos="7371"/>
          <w:tab w:val="right" w:pos="8789"/>
        </w:tabs>
        <w:spacing w:before="120" w:after="120" w:line="240" w:lineRule="auto"/>
        <w:contextualSpacing/>
        <w:rPr>
          <w:rFonts w:ascii="Cambria" w:hAnsi="Cambria" w:cstheme="minorHAnsi"/>
          <w:b/>
        </w:rPr>
      </w:pPr>
      <w:r w:rsidRPr="009A0DA6">
        <w:rPr>
          <w:rFonts w:ascii="Cambria" w:hAnsi="Cambria" w:cstheme="minorHAnsi"/>
          <w:b/>
        </w:rPr>
        <w:tab/>
        <w:t>60,606</w:t>
      </w:r>
      <w:r w:rsidRPr="009A0DA6">
        <w:rPr>
          <w:rFonts w:ascii="Cambria" w:hAnsi="Cambria" w:cstheme="minorHAnsi"/>
          <w:b/>
        </w:rPr>
        <w:tab/>
        <w:t>65,463</w:t>
      </w:r>
      <w:r w:rsidRPr="009A0DA6">
        <w:rPr>
          <w:rFonts w:ascii="Cambria" w:hAnsi="Cambria" w:cstheme="minorHAnsi"/>
          <w:b/>
        </w:rPr>
        <w:tab/>
        <w:t>62,733</w:t>
      </w:r>
    </w:p>
    <w:p w14:paraId="2485D51E" w14:textId="77777777" w:rsidR="00B81951" w:rsidRPr="009A0DA6" w:rsidRDefault="00B81951" w:rsidP="00B81951">
      <w:pPr>
        <w:tabs>
          <w:tab w:val="right" w:pos="5954"/>
          <w:tab w:val="right" w:pos="7371"/>
          <w:tab w:val="right" w:pos="8789"/>
        </w:tabs>
        <w:spacing w:before="120" w:after="120" w:line="240" w:lineRule="auto"/>
        <w:contextualSpacing/>
        <w:rPr>
          <w:rFonts w:ascii="Cambria" w:hAnsi="Cambria" w:cstheme="minorHAnsi"/>
          <w:b/>
        </w:rPr>
      </w:pPr>
      <w:r w:rsidRPr="009A0DA6">
        <w:rPr>
          <w:rFonts w:ascii="Cambria" w:hAnsi="Cambria" w:cstheme="minorHAnsi"/>
          <w:b/>
        </w:rPr>
        <w:t>Operating Surplus for the year</w:t>
      </w:r>
      <w:r w:rsidRPr="009A0DA6">
        <w:rPr>
          <w:rFonts w:ascii="Cambria" w:hAnsi="Cambria" w:cstheme="minorHAnsi"/>
          <w:b/>
        </w:rPr>
        <w:tab/>
        <w:t>$5,080</w:t>
      </w:r>
      <w:r w:rsidRPr="009A0DA6">
        <w:rPr>
          <w:rFonts w:ascii="Cambria" w:hAnsi="Cambria" w:cstheme="minorHAnsi"/>
          <w:b/>
        </w:rPr>
        <w:tab/>
        <w:t>$2,842</w:t>
      </w:r>
      <w:r w:rsidRPr="009A0DA6">
        <w:rPr>
          <w:rFonts w:ascii="Cambria" w:hAnsi="Cambria" w:cstheme="minorHAnsi"/>
          <w:b/>
        </w:rPr>
        <w:tab/>
        <w:t>$9,931</w:t>
      </w:r>
    </w:p>
    <w:p w14:paraId="3D4D9D91" w14:textId="77777777" w:rsidR="00B81951" w:rsidRPr="009A0DA6" w:rsidRDefault="00B81951" w:rsidP="00B81951">
      <w:pPr>
        <w:tabs>
          <w:tab w:val="right" w:pos="5954"/>
          <w:tab w:val="right" w:pos="7371"/>
          <w:tab w:val="right" w:pos="8789"/>
        </w:tabs>
        <w:spacing w:before="120" w:after="120" w:line="240" w:lineRule="auto"/>
        <w:contextualSpacing/>
        <w:rPr>
          <w:rFonts w:ascii="Cambria" w:hAnsi="Cambria" w:cstheme="minorHAnsi"/>
          <w:b/>
        </w:rPr>
      </w:pPr>
    </w:p>
    <w:p w14:paraId="65A289F5" w14:textId="77777777" w:rsidR="00B81951" w:rsidRPr="009A0DA6" w:rsidRDefault="00B81951" w:rsidP="00B81951">
      <w:pPr>
        <w:tabs>
          <w:tab w:val="right" w:pos="5954"/>
          <w:tab w:val="right" w:pos="7371"/>
          <w:tab w:val="right" w:pos="8789"/>
        </w:tabs>
        <w:spacing w:before="120" w:after="120" w:line="240" w:lineRule="auto"/>
        <w:contextualSpacing/>
        <w:rPr>
          <w:rFonts w:ascii="Cambria" w:hAnsi="Cambria" w:cstheme="minorHAnsi"/>
          <w:b/>
        </w:rPr>
      </w:pPr>
    </w:p>
    <w:p w14:paraId="27936461" w14:textId="77777777" w:rsidR="00B81951" w:rsidRPr="009A0DA6" w:rsidRDefault="00B81951" w:rsidP="00B81951">
      <w:pPr>
        <w:tabs>
          <w:tab w:val="right" w:pos="5954"/>
          <w:tab w:val="right" w:pos="7371"/>
          <w:tab w:val="right" w:pos="8789"/>
        </w:tabs>
        <w:spacing w:before="120" w:after="120" w:line="240" w:lineRule="auto"/>
        <w:contextualSpacing/>
        <w:rPr>
          <w:rFonts w:ascii="Cambria" w:hAnsi="Cambria" w:cstheme="minorHAnsi"/>
          <w:b/>
        </w:rPr>
      </w:pPr>
      <w:r w:rsidRPr="009A0DA6">
        <w:rPr>
          <w:rFonts w:ascii="Cambria" w:hAnsi="Cambria" w:cstheme="minorHAnsi"/>
          <w:b/>
        </w:rPr>
        <w:t>ACCUMULATED FUNDS</w:t>
      </w:r>
    </w:p>
    <w:p w14:paraId="5C7EB80D" w14:textId="77777777" w:rsidR="00B81951" w:rsidRPr="009A0DA6" w:rsidRDefault="00B81951" w:rsidP="00B81951">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 xml:space="preserve">Opening balance 1 January </w:t>
      </w:r>
      <w:r w:rsidRPr="009A0DA6">
        <w:rPr>
          <w:rFonts w:ascii="Cambria" w:hAnsi="Cambria" w:cstheme="minorHAnsi"/>
        </w:rPr>
        <w:tab/>
        <w:t>214,106</w:t>
      </w:r>
      <w:r w:rsidRPr="009A0DA6">
        <w:rPr>
          <w:rFonts w:ascii="Cambria" w:hAnsi="Cambria" w:cstheme="minorHAnsi"/>
        </w:rPr>
        <w:tab/>
        <w:t>211,304</w:t>
      </w:r>
      <w:r w:rsidRPr="009A0DA6">
        <w:rPr>
          <w:rFonts w:ascii="Cambria" w:hAnsi="Cambria" w:cstheme="minorHAnsi"/>
        </w:rPr>
        <w:tab/>
        <w:t>201,373</w:t>
      </w:r>
    </w:p>
    <w:p w14:paraId="0467AA43" w14:textId="77777777" w:rsidR="00B81951" w:rsidRPr="009A0DA6" w:rsidRDefault="00B81951" w:rsidP="00B81951">
      <w:pPr>
        <w:tabs>
          <w:tab w:val="right" w:pos="5954"/>
          <w:tab w:val="right" w:pos="7371"/>
          <w:tab w:val="right" w:pos="8789"/>
        </w:tabs>
        <w:spacing w:before="120" w:after="120" w:line="240" w:lineRule="auto"/>
        <w:contextualSpacing/>
        <w:rPr>
          <w:rFonts w:ascii="Cambria" w:hAnsi="Cambria" w:cstheme="minorHAnsi"/>
        </w:rPr>
      </w:pPr>
      <w:r w:rsidRPr="009A0DA6">
        <w:rPr>
          <w:rFonts w:ascii="Cambria" w:hAnsi="Cambria" w:cstheme="minorHAnsi"/>
        </w:rPr>
        <w:t>Operating Surplus for the year</w:t>
      </w:r>
      <w:r w:rsidRPr="009A0DA6">
        <w:rPr>
          <w:rFonts w:ascii="Cambria" w:hAnsi="Cambria" w:cstheme="minorHAnsi"/>
        </w:rPr>
        <w:tab/>
        <w:t>5,080</w:t>
      </w:r>
      <w:r w:rsidRPr="009A0DA6">
        <w:rPr>
          <w:rFonts w:ascii="Cambria" w:hAnsi="Cambria" w:cstheme="minorHAnsi"/>
        </w:rPr>
        <w:tab/>
      </w:r>
      <w:r w:rsidRPr="009A0DA6">
        <w:rPr>
          <w:rFonts w:ascii="Cambria" w:hAnsi="Cambria" w:cstheme="minorHAnsi"/>
          <w:spacing w:val="1"/>
        </w:rPr>
        <w:t>2,84</w:t>
      </w:r>
      <w:r w:rsidRPr="009A0DA6">
        <w:rPr>
          <w:rFonts w:ascii="Cambria" w:hAnsi="Cambria" w:cstheme="minorHAnsi"/>
        </w:rPr>
        <w:t>2</w:t>
      </w:r>
      <w:r w:rsidRPr="009A0DA6">
        <w:rPr>
          <w:rFonts w:ascii="Cambria" w:hAnsi="Cambria" w:cstheme="minorHAnsi"/>
        </w:rPr>
        <w:tab/>
        <w:t>9,931</w:t>
      </w:r>
    </w:p>
    <w:p w14:paraId="17FB7029" w14:textId="77777777" w:rsidR="00B81951" w:rsidRPr="009A0DA6" w:rsidRDefault="00B81951" w:rsidP="00B81951">
      <w:pPr>
        <w:tabs>
          <w:tab w:val="right" w:pos="5954"/>
          <w:tab w:val="right" w:pos="7371"/>
          <w:tab w:val="right" w:pos="8789"/>
        </w:tabs>
        <w:spacing w:before="120" w:after="120" w:line="240" w:lineRule="auto"/>
        <w:contextualSpacing/>
        <w:rPr>
          <w:rFonts w:ascii="Cambria" w:hAnsi="Cambria" w:cstheme="minorHAnsi"/>
          <w:b/>
        </w:rPr>
      </w:pPr>
      <w:r w:rsidRPr="009A0DA6">
        <w:rPr>
          <w:rFonts w:ascii="Cambria" w:hAnsi="Cambria" w:cstheme="minorHAnsi"/>
          <w:b/>
        </w:rPr>
        <w:t>Closing balance 31 December 2017</w:t>
      </w:r>
      <w:r w:rsidRPr="009A0DA6">
        <w:rPr>
          <w:rFonts w:ascii="Cambria" w:hAnsi="Cambria" w:cstheme="minorHAnsi"/>
          <w:b/>
        </w:rPr>
        <w:tab/>
        <w:t>$219,186</w:t>
      </w:r>
      <w:r w:rsidRPr="009A0DA6">
        <w:rPr>
          <w:rFonts w:ascii="Cambria" w:hAnsi="Cambria" w:cstheme="minorHAnsi"/>
          <w:b/>
        </w:rPr>
        <w:tab/>
        <w:t>$</w:t>
      </w:r>
      <w:r w:rsidRPr="009A0DA6">
        <w:rPr>
          <w:rFonts w:ascii="Cambria" w:hAnsi="Cambria" w:cstheme="minorHAnsi"/>
          <w:b/>
          <w:spacing w:val="1"/>
        </w:rPr>
        <w:t>214</w:t>
      </w:r>
      <w:r w:rsidRPr="009A0DA6">
        <w:rPr>
          <w:rFonts w:ascii="Cambria" w:hAnsi="Cambria" w:cstheme="minorHAnsi"/>
          <w:b/>
          <w:spacing w:val="-2"/>
        </w:rPr>
        <w:t>,</w:t>
      </w:r>
      <w:r w:rsidRPr="009A0DA6">
        <w:rPr>
          <w:rFonts w:ascii="Cambria" w:hAnsi="Cambria" w:cstheme="minorHAnsi"/>
          <w:b/>
          <w:spacing w:val="1"/>
        </w:rPr>
        <w:t>10</w:t>
      </w:r>
      <w:r w:rsidRPr="009A0DA6">
        <w:rPr>
          <w:rFonts w:ascii="Cambria" w:hAnsi="Cambria" w:cstheme="minorHAnsi"/>
          <w:b/>
        </w:rPr>
        <w:t>6</w:t>
      </w:r>
      <w:r w:rsidRPr="009A0DA6">
        <w:rPr>
          <w:rFonts w:ascii="Cambria" w:hAnsi="Cambria" w:cstheme="minorHAnsi"/>
          <w:b/>
        </w:rPr>
        <w:tab/>
        <w:t>$211,304</w:t>
      </w:r>
    </w:p>
    <w:p w14:paraId="5F33AB36" w14:textId="77777777" w:rsidR="007408EE" w:rsidRDefault="007408EE" w:rsidP="0054360D">
      <w:pPr>
        <w:pStyle w:val="Heading3"/>
      </w:pPr>
    </w:p>
    <w:p w14:paraId="0786C7B9" w14:textId="4A9982D2" w:rsidR="007408EE" w:rsidRDefault="007408EE" w:rsidP="0054360D">
      <w:pPr>
        <w:pStyle w:val="Heading3"/>
      </w:pPr>
    </w:p>
    <w:p w14:paraId="7E3CA0CE" w14:textId="77777777" w:rsidR="00206BF6" w:rsidRPr="00206BF6" w:rsidRDefault="00206BF6" w:rsidP="00206BF6">
      <w:pPr>
        <w:pStyle w:val="NoSpacing"/>
      </w:pPr>
    </w:p>
    <w:p w14:paraId="63C52EF7" w14:textId="5C3C11E1" w:rsidR="0054360D" w:rsidRPr="009A0DA6" w:rsidRDefault="0054360D" w:rsidP="0054360D">
      <w:pPr>
        <w:pStyle w:val="Heading3"/>
      </w:pPr>
      <w:r w:rsidRPr="009A0DA6">
        <w:t>agenda 14.4</w:t>
      </w:r>
    </w:p>
    <w:p w14:paraId="1EA7B0F2" w14:textId="77777777" w:rsidR="0054360D" w:rsidRPr="009A0DA6" w:rsidRDefault="0054360D" w:rsidP="0054360D">
      <w:pPr>
        <w:pStyle w:val="Heading2"/>
      </w:pPr>
      <w:bookmarkStart w:id="516" w:name="_Toc521954754"/>
      <w:r w:rsidRPr="009A0DA6">
        <w:t>Loan Management Committee</w:t>
      </w:r>
      <w:bookmarkEnd w:id="516"/>
    </w:p>
    <w:p w14:paraId="223BE704" w14:textId="77777777" w:rsidR="0054360D" w:rsidRPr="009A0DA6" w:rsidRDefault="0054360D" w:rsidP="0054360D">
      <w:pPr>
        <w:pStyle w:val="NoSpacing"/>
      </w:pPr>
    </w:p>
    <w:p w14:paraId="6F1A59A5" w14:textId="77777777" w:rsidR="0054360D" w:rsidRPr="009A0DA6" w:rsidRDefault="0054360D" w:rsidP="0054360D">
      <w:pPr>
        <w:pStyle w:val="Heading3"/>
      </w:pPr>
      <w:r w:rsidRPr="009A0DA6">
        <w:t>MEMBERS</w:t>
      </w:r>
    </w:p>
    <w:p w14:paraId="60EDFCEF" w14:textId="77777777" w:rsidR="0054360D" w:rsidRPr="009A0DA6" w:rsidRDefault="0054360D" w:rsidP="00F55252">
      <w:pPr>
        <w:pStyle w:val="ListParagraph"/>
        <w:numPr>
          <w:ilvl w:val="0"/>
          <w:numId w:val="277"/>
        </w:numPr>
        <w:spacing w:before="120" w:after="120" w:line="240" w:lineRule="auto"/>
        <w:ind w:left="567" w:hanging="567"/>
        <w:rPr>
          <w:rFonts w:ascii="Cambria" w:hAnsi="Cambria"/>
        </w:rPr>
      </w:pPr>
      <w:r w:rsidRPr="009A0DA6">
        <w:rPr>
          <w:rFonts w:ascii="Cambria" w:hAnsi="Cambria"/>
        </w:rPr>
        <w:t xml:space="preserve">GCC appointees: Mark Fielke, Paul Schulz, John Weiss </w:t>
      </w:r>
    </w:p>
    <w:p w14:paraId="250D4F8B" w14:textId="77777777" w:rsidR="0054360D" w:rsidRPr="009A0DA6" w:rsidRDefault="0054360D" w:rsidP="00F55252">
      <w:pPr>
        <w:pStyle w:val="ListParagraph"/>
        <w:numPr>
          <w:ilvl w:val="0"/>
          <w:numId w:val="277"/>
        </w:numPr>
        <w:spacing w:before="120" w:after="120" w:line="240" w:lineRule="auto"/>
        <w:ind w:left="567" w:hanging="567"/>
        <w:rPr>
          <w:rFonts w:ascii="Cambria" w:hAnsi="Cambria"/>
        </w:rPr>
      </w:pPr>
      <w:r w:rsidRPr="009A0DA6">
        <w:rPr>
          <w:rFonts w:ascii="Cambria" w:hAnsi="Cambria"/>
        </w:rPr>
        <w:t>LLL Appointees: Richard Bartholomaeus. Alan Kupke, Colin Schultz (Chair)</w:t>
      </w:r>
    </w:p>
    <w:p w14:paraId="0AB13E7F" w14:textId="77777777" w:rsidR="0054360D" w:rsidRPr="009A0DA6" w:rsidRDefault="0054360D" w:rsidP="00F55252">
      <w:pPr>
        <w:pStyle w:val="ListParagraph"/>
        <w:numPr>
          <w:ilvl w:val="0"/>
          <w:numId w:val="277"/>
        </w:numPr>
        <w:spacing w:before="120" w:after="120" w:line="240" w:lineRule="auto"/>
        <w:ind w:left="567" w:hanging="567"/>
        <w:rPr>
          <w:rFonts w:ascii="Cambria" w:hAnsi="Cambria"/>
        </w:rPr>
      </w:pPr>
      <w:r w:rsidRPr="009A0DA6">
        <w:rPr>
          <w:rFonts w:ascii="Cambria" w:hAnsi="Cambria"/>
        </w:rPr>
        <w:t>Consultant: Michael Schulze (LLL)</w:t>
      </w:r>
    </w:p>
    <w:p w14:paraId="4CB74E0D" w14:textId="77777777" w:rsidR="0054360D" w:rsidRPr="009A0DA6" w:rsidRDefault="0054360D" w:rsidP="0054360D">
      <w:pPr>
        <w:spacing w:before="120" w:after="120" w:line="240" w:lineRule="auto"/>
        <w:contextualSpacing/>
        <w:rPr>
          <w:rFonts w:ascii="Cambria" w:hAnsi="Cambria"/>
        </w:rPr>
      </w:pPr>
      <w:r w:rsidRPr="009A0DA6">
        <w:rPr>
          <w:rFonts w:ascii="Cambria" w:hAnsi="Cambria"/>
        </w:rPr>
        <w:t>The time involvement by LMC members has been significant due to complexity of loan applications and projects placed before it and ensuring all loan conditions are met. Loan Applications were processed fortnightly on line. The level of analysis given to each application has been exemplary.</w:t>
      </w:r>
    </w:p>
    <w:p w14:paraId="2F3A203E" w14:textId="77777777" w:rsidR="0054360D" w:rsidRPr="009A0DA6" w:rsidRDefault="0054360D" w:rsidP="0054360D">
      <w:pPr>
        <w:spacing w:before="120" w:after="120" w:line="240" w:lineRule="auto"/>
        <w:contextualSpacing/>
        <w:rPr>
          <w:rFonts w:ascii="Cambria" w:hAnsi="Cambria"/>
          <w:b/>
        </w:rPr>
      </w:pPr>
    </w:p>
    <w:p w14:paraId="63F3A3FE" w14:textId="77777777" w:rsidR="0054360D" w:rsidRPr="009A0DA6" w:rsidRDefault="0054360D" w:rsidP="0054360D">
      <w:pPr>
        <w:pStyle w:val="Heading3"/>
        <w:rPr>
          <w:rFonts w:cs="Arial"/>
          <w:i/>
        </w:rPr>
      </w:pPr>
      <w:r w:rsidRPr="009A0DA6">
        <w:t>Background</w:t>
      </w:r>
    </w:p>
    <w:p w14:paraId="14E72D54" w14:textId="77777777" w:rsidR="0054360D" w:rsidRPr="009A0DA6" w:rsidRDefault="0054360D" w:rsidP="0054360D">
      <w:pPr>
        <w:spacing w:before="120" w:after="120" w:line="240" w:lineRule="auto"/>
        <w:contextualSpacing/>
        <w:rPr>
          <w:rFonts w:ascii="Cambria" w:hAnsi="Cambria"/>
        </w:rPr>
      </w:pPr>
      <w:r w:rsidRPr="009A0DA6">
        <w:rPr>
          <w:rFonts w:ascii="Cambria" w:hAnsi="Cambria"/>
        </w:rPr>
        <w:t>Receive all loan applications, analyse and approve if complying with LCA Loan Rules</w:t>
      </w:r>
    </w:p>
    <w:p w14:paraId="03C2B222" w14:textId="77777777" w:rsidR="0054360D" w:rsidRPr="009A0DA6" w:rsidRDefault="0054360D" w:rsidP="0054360D">
      <w:pPr>
        <w:spacing w:before="120" w:after="120" w:line="240" w:lineRule="auto"/>
        <w:contextualSpacing/>
        <w:rPr>
          <w:rFonts w:ascii="Cambria" w:hAnsi="Cambria"/>
          <w:b/>
        </w:rPr>
      </w:pPr>
    </w:p>
    <w:p w14:paraId="5F3861D2" w14:textId="77777777" w:rsidR="0054360D" w:rsidRPr="009A0DA6" w:rsidRDefault="0054360D" w:rsidP="0054360D">
      <w:pPr>
        <w:pStyle w:val="Heading3"/>
      </w:pPr>
      <w:r w:rsidRPr="009A0DA6">
        <w:t>Successes</w:t>
      </w:r>
    </w:p>
    <w:p w14:paraId="110D9A38" w14:textId="77777777" w:rsidR="0054360D" w:rsidRPr="009A0DA6" w:rsidRDefault="0054360D" w:rsidP="00F55252">
      <w:pPr>
        <w:pStyle w:val="ListParagraph"/>
        <w:numPr>
          <w:ilvl w:val="0"/>
          <w:numId w:val="278"/>
        </w:numPr>
        <w:spacing w:before="120" w:after="120" w:line="240" w:lineRule="auto"/>
        <w:ind w:left="567" w:hanging="567"/>
        <w:rPr>
          <w:rFonts w:ascii="Cambria" w:hAnsi="Cambria"/>
        </w:rPr>
      </w:pPr>
      <w:r w:rsidRPr="009A0DA6">
        <w:rPr>
          <w:rFonts w:ascii="Cambria" w:hAnsi="Cambria"/>
        </w:rPr>
        <w:t>As majority of loan applications were from schools, a higher level of benchmarking criteria has been put in place and adjusted on a needs basis. KPI’s for the various levels of schooling are in place and adjusted as necessary. Scorecards are now in place to assess all schools performance and efficiency.</w:t>
      </w:r>
    </w:p>
    <w:p w14:paraId="51E22385" w14:textId="77777777" w:rsidR="0054360D" w:rsidRPr="009A0DA6" w:rsidRDefault="0054360D" w:rsidP="00F55252">
      <w:pPr>
        <w:pStyle w:val="ListParagraph"/>
        <w:numPr>
          <w:ilvl w:val="0"/>
          <w:numId w:val="278"/>
        </w:numPr>
        <w:spacing w:before="120" w:after="120" w:line="240" w:lineRule="auto"/>
        <w:ind w:left="567" w:hanging="567"/>
        <w:rPr>
          <w:rFonts w:ascii="Cambria" w:hAnsi="Cambria"/>
        </w:rPr>
      </w:pPr>
      <w:r w:rsidRPr="009A0DA6">
        <w:rPr>
          <w:rFonts w:ascii="Cambria" w:hAnsi="Cambria"/>
        </w:rPr>
        <w:t>Insurance and land valuations are now being updated regularly.</w:t>
      </w:r>
    </w:p>
    <w:p w14:paraId="6B79829A" w14:textId="77777777" w:rsidR="0054360D" w:rsidRPr="009A0DA6" w:rsidRDefault="0054360D" w:rsidP="00F55252">
      <w:pPr>
        <w:pStyle w:val="ListParagraph"/>
        <w:numPr>
          <w:ilvl w:val="0"/>
          <w:numId w:val="278"/>
        </w:numPr>
        <w:spacing w:before="120" w:after="120" w:line="240" w:lineRule="auto"/>
        <w:ind w:left="567" w:hanging="567"/>
        <w:rPr>
          <w:rFonts w:ascii="Cambria" w:hAnsi="Cambria"/>
        </w:rPr>
      </w:pPr>
      <w:r w:rsidRPr="009A0DA6">
        <w:rPr>
          <w:rFonts w:ascii="Cambria" w:hAnsi="Cambria"/>
        </w:rPr>
        <w:lastRenderedPageBreak/>
        <w:t>The level of accountability and reporting within LCA organisations is at a much higher standard than previously existed. The collection of accurate data and its availability now overrides emotional perception.</w:t>
      </w:r>
    </w:p>
    <w:p w14:paraId="2F942D41" w14:textId="77777777" w:rsidR="0054360D" w:rsidRPr="009A0DA6" w:rsidRDefault="0054360D" w:rsidP="00F55252">
      <w:pPr>
        <w:pStyle w:val="ListParagraph"/>
        <w:numPr>
          <w:ilvl w:val="0"/>
          <w:numId w:val="278"/>
        </w:numPr>
        <w:spacing w:before="120" w:after="120" w:line="240" w:lineRule="auto"/>
        <w:ind w:left="567" w:hanging="567"/>
        <w:rPr>
          <w:rFonts w:ascii="Cambria" w:hAnsi="Cambria"/>
        </w:rPr>
      </w:pPr>
      <w:r w:rsidRPr="009A0DA6">
        <w:rPr>
          <w:rFonts w:ascii="Cambria" w:hAnsi="Cambria"/>
        </w:rPr>
        <w:t>Loan repayments are now compliant.</w:t>
      </w:r>
    </w:p>
    <w:p w14:paraId="6298F240" w14:textId="77777777" w:rsidR="0054360D" w:rsidRPr="009A0DA6" w:rsidRDefault="0054360D" w:rsidP="00F55252">
      <w:pPr>
        <w:pStyle w:val="ListParagraph"/>
        <w:numPr>
          <w:ilvl w:val="0"/>
          <w:numId w:val="278"/>
        </w:numPr>
        <w:spacing w:before="120" w:after="120" w:line="240" w:lineRule="auto"/>
        <w:ind w:left="567" w:hanging="567"/>
        <w:rPr>
          <w:rFonts w:ascii="Cambria" w:hAnsi="Cambria"/>
          <w:b/>
        </w:rPr>
      </w:pPr>
      <w:r w:rsidRPr="009A0DA6">
        <w:rPr>
          <w:rFonts w:ascii="Cambria" w:hAnsi="Cambria"/>
        </w:rPr>
        <w:t>On line technology has been highly successful and cost saving and recommended for wider use in LCA.</w:t>
      </w:r>
      <w:r w:rsidRPr="009A0DA6">
        <w:rPr>
          <w:rFonts w:ascii="Cambria" w:hAnsi="Cambria"/>
        </w:rPr>
        <w:br/>
      </w:r>
    </w:p>
    <w:p w14:paraId="209260B6" w14:textId="77777777" w:rsidR="0054360D" w:rsidRPr="009A0DA6" w:rsidRDefault="0054360D" w:rsidP="0054360D">
      <w:pPr>
        <w:pStyle w:val="Heading3"/>
      </w:pPr>
      <w:r w:rsidRPr="009A0DA6">
        <w:t>Challenges and Lessons Learned</w:t>
      </w:r>
    </w:p>
    <w:p w14:paraId="2A94E954" w14:textId="77777777" w:rsidR="0054360D" w:rsidRPr="009A0DA6" w:rsidRDefault="0054360D" w:rsidP="0054360D">
      <w:pPr>
        <w:spacing w:before="120" w:after="120" w:line="240" w:lineRule="auto"/>
        <w:contextualSpacing/>
        <w:rPr>
          <w:rFonts w:ascii="Cambria" w:hAnsi="Cambria"/>
        </w:rPr>
      </w:pPr>
      <w:r w:rsidRPr="009A0DA6">
        <w:rPr>
          <w:rFonts w:ascii="Cambria" w:hAnsi="Cambria"/>
        </w:rPr>
        <w:t>Initially there were doubts that loans could be processed on line without LMC meeting on a regular basis. After processing $674m of loans on line without issues or inhibiting members’ rights to challenge or discuss issues of concerns, it has been a resounding success and of immense financial benefit of time and resources to the LCA.</w:t>
      </w:r>
    </w:p>
    <w:p w14:paraId="2DC812BC" w14:textId="77777777" w:rsidR="0054360D" w:rsidRPr="009A0DA6" w:rsidRDefault="0054360D" w:rsidP="0054360D">
      <w:pPr>
        <w:spacing w:before="120" w:after="120" w:line="240" w:lineRule="auto"/>
        <w:contextualSpacing/>
        <w:rPr>
          <w:rFonts w:ascii="Cambria" w:hAnsi="Cambria"/>
          <w:b/>
        </w:rPr>
      </w:pPr>
    </w:p>
    <w:p w14:paraId="6F837A41" w14:textId="77777777" w:rsidR="0054360D" w:rsidRPr="009A0DA6" w:rsidRDefault="0054360D" w:rsidP="0054360D">
      <w:pPr>
        <w:pStyle w:val="Heading3"/>
      </w:pPr>
      <w:r w:rsidRPr="009A0DA6">
        <w:t>Risks</w:t>
      </w:r>
    </w:p>
    <w:tbl>
      <w:tblPr>
        <w:tblStyle w:val="PlainTable2"/>
        <w:tblW w:w="8789" w:type="dxa"/>
        <w:tblLook w:val="04A0" w:firstRow="1" w:lastRow="0" w:firstColumn="1" w:lastColumn="0" w:noHBand="0" w:noVBand="1"/>
      </w:tblPr>
      <w:tblGrid>
        <w:gridCol w:w="3969"/>
        <w:gridCol w:w="4820"/>
      </w:tblGrid>
      <w:tr w:rsidR="0054360D" w:rsidRPr="009A0DA6" w14:paraId="7A2DA8D0" w14:textId="77777777" w:rsidTr="00AD09CB">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3969" w:type="dxa"/>
            <w:vAlign w:val="center"/>
            <w:hideMark/>
          </w:tcPr>
          <w:p w14:paraId="21F60627" w14:textId="77777777" w:rsidR="0054360D" w:rsidRPr="009A0DA6" w:rsidRDefault="0054360D" w:rsidP="0015713F">
            <w:pPr>
              <w:spacing w:before="120" w:after="120"/>
              <w:contextualSpacing/>
              <w:rPr>
                <w:rFonts w:ascii="Cambria" w:hAnsi="Cambria" w:cs="Arial"/>
              </w:rPr>
            </w:pPr>
            <w:r w:rsidRPr="009A0DA6">
              <w:rPr>
                <w:rFonts w:ascii="Cambria" w:hAnsi="Cambria" w:cs="Arial"/>
              </w:rPr>
              <w:t>Description of risk</w:t>
            </w:r>
          </w:p>
        </w:tc>
        <w:tc>
          <w:tcPr>
            <w:tcW w:w="4820" w:type="dxa"/>
            <w:vAlign w:val="center"/>
            <w:hideMark/>
          </w:tcPr>
          <w:p w14:paraId="7656C76D" w14:textId="77777777" w:rsidR="0054360D" w:rsidRPr="009A0DA6" w:rsidRDefault="0054360D" w:rsidP="0015713F">
            <w:pPr>
              <w:spacing w:before="120" w:after="120"/>
              <w:contextualSpacing/>
              <w:cnfStyle w:val="100000000000" w:firstRow="1"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Summary of action to mitigate the risk</w:t>
            </w:r>
          </w:p>
        </w:tc>
      </w:tr>
      <w:tr w:rsidR="0054360D" w:rsidRPr="009A0DA6" w14:paraId="411DC0F4" w14:textId="77777777" w:rsidTr="00AD09CB">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3969" w:type="dxa"/>
            <w:hideMark/>
          </w:tcPr>
          <w:p w14:paraId="44B23C75" w14:textId="77777777" w:rsidR="0054360D" w:rsidRPr="009A0DA6" w:rsidRDefault="0054360D" w:rsidP="00AD09CB">
            <w:pPr>
              <w:widowControl w:val="0"/>
              <w:suppressAutoHyphens/>
              <w:spacing w:before="120" w:after="120"/>
              <w:contextualSpacing/>
              <w:rPr>
                <w:rFonts w:ascii="Cambria" w:hAnsi="Cambria" w:cs="Arial"/>
                <w:b w:val="0"/>
              </w:rPr>
            </w:pPr>
            <w:r w:rsidRPr="009A0DA6">
              <w:rPr>
                <w:rFonts w:ascii="Cambria" w:hAnsi="Cambria" w:cs="Arial"/>
              </w:rPr>
              <w:t>Loan Security</w:t>
            </w:r>
          </w:p>
        </w:tc>
        <w:tc>
          <w:tcPr>
            <w:tcW w:w="4820" w:type="dxa"/>
            <w:hideMark/>
          </w:tcPr>
          <w:p w14:paraId="04C628F4" w14:textId="77777777" w:rsidR="0054360D" w:rsidRPr="009A0DA6" w:rsidRDefault="0054360D" w:rsidP="00AD09CB">
            <w:pPr>
              <w:spacing w:before="120" w:after="120"/>
              <w:contextualSpacing/>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 xml:space="preserve">Necessity of all loan analysis and monitoring </w:t>
            </w:r>
          </w:p>
        </w:tc>
      </w:tr>
      <w:tr w:rsidR="0054360D" w:rsidRPr="009A0DA6" w14:paraId="1C88F9FA" w14:textId="77777777" w:rsidTr="00AD09CB">
        <w:trPr>
          <w:trHeight w:val="267"/>
        </w:trPr>
        <w:tc>
          <w:tcPr>
            <w:cnfStyle w:val="001000000000" w:firstRow="0" w:lastRow="0" w:firstColumn="1" w:lastColumn="0" w:oddVBand="0" w:evenVBand="0" w:oddHBand="0" w:evenHBand="0" w:firstRowFirstColumn="0" w:firstRowLastColumn="0" w:lastRowFirstColumn="0" w:lastRowLastColumn="0"/>
            <w:tcW w:w="3969" w:type="dxa"/>
            <w:hideMark/>
          </w:tcPr>
          <w:p w14:paraId="2D801FD7" w14:textId="77777777" w:rsidR="0054360D" w:rsidRPr="009A0DA6" w:rsidRDefault="0054360D" w:rsidP="00AD09CB">
            <w:pPr>
              <w:widowControl w:val="0"/>
              <w:suppressAutoHyphens/>
              <w:spacing w:before="120" w:after="120"/>
              <w:ind w:left="-107" w:firstLine="107"/>
              <w:contextualSpacing/>
              <w:rPr>
                <w:rFonts w:ascii="Cambria" w:hAnsi="Cambria" w:cs="Arial"/>
              </w:rPr>
            </w:pPr>
            <w:r w:rsidRPr="009A0DA6">
              <w:rPr>
                <w:rFonts w:ascii="Cambria" w:hAnsi="Cambria" w:cs="Arial"/>
              </w:rPr>
              <w:t>Westpac Loan Arrangement</w:t>
            </w:r>
          </w:p>
        </w:tc>
        <w:tc>
          <w:tcPr>
            <w:tcW w:w="4820" w:type="dxa"/>
            <w:hideMark/>
          </w:tcPr>
          <w:p w14:paraId="275254B9" w14:textId="77777777" w:rsidR="0054360D" w:rsidRPr="009A0DA6" w:rsidRDefault="0054360D" w:rsidP="00AD09CB">
            <w:pPr>
              <w:spacing w:before="120" w:after="120"/>
              <w:contextualSpacing/>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All loans funded by Westpac reviewed and approved by LMC</w:t>
            </w:r>
          </w:p>
        </w:tc>
      </w:tr>
      <w:tr w:rsidR="0054360D" w:rsidRPr="009A0DA6" w14:paraId="0E16802A" w14:textId="77777777" w:rsidTr="00AD09CB">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3969" w:type="dxa"/>
            <w:hideMark/>
          </w:tcPr>
          <w:p w14:paraId="4DEAAB36" w14:textId="77777777" w:rsidR="0054360D" w:rsidRPr="009A0DA6" w:rsidRDefault="0054360D" w:rsidP="00AD09CB">
            <w:pPr>
              <w:widowControl w:val="0"/>
              <w:suppressAutoHyphens/>
              <w:spacing w:before="120" w:after="120"/>
              <w:contextualSpacing/>
              <w:rPr>
                <w:rFonts w:ascii="Cambria" w:hAnsi="Cambria" w:cs="Arial"/>
              </w:rPr>
            </w:pPr>
            <w:r w:rsidRPr="009A0DA6">
              <w:rPr>
                <w:rFonts w:ascii="Cambria" w:hAnsi="Cambria" w:cs="Arial"/>
              </w:rPr>
              <w:t xml:space="preserve">Borrowers over commitment to loans </w:t>
            </w:r>
          </w:p>
        </w:tc>
        <w:tc>
          <w:tcPr>
            <w:tcW w:w="4820" w:type="dxa"/>
            <w:hideMark/>
          </w:tcPr>
          <w:p w14:paraId="3EB703B8" w14:textId="77777777" w:rsidR="0054360D" w:rsidRPr="009A0DA6" w:rsidRDefault="0054360D" w:rsidP="00AD09CB">
            <w:pPr>
              <w:spacing w:before="120" w:after="120"/>
              <w:contextualSpacing/>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Detailed scrutiny of each loan application and compliance with agreed KPI’s</w:t>
            </w:r>
          </w:p>
        </w:tc>
      </w:tr>
    </w:tbl>
    <w:p w14:paraId="103F8854" w14:textId="77777777" w:rsidR="0054360D" w:rsidRPr="009A0DA6" w:rsidRDefault="0054360D" w:rsidP="0054360D">
      <w:pPr>
        <w:spacing w:before="120" w:after="120" w:line="240" w:lineRule="auto"/>
        <w:contextualSpacing/>
        <w:rPr>
          <w:rFonts w:ascii="Cambria" w:hAnsi="Cambria"/>
          <w:b/>
        </w:rPr>
      </w:pPr>
    </w:p>
    <w:p w14:paraId="705DB36A" w14:textId="77777777" w:rsidR="0054360D" w:rsidRPr="009A0DA6" w:rsidRDefault="0054360D" w:rsidP="0054360D">
      <w:pPr>
        <w:pStyle w:val="Heading3"/>
        <w:rPr>
          <w:rFonts w:cstheme="minorBidi"/>
          <w:sz w:val="22"/>
          <w:szCs w:val="22"/>
          <w:lang w:val="en-US" w:eastAsia="ja-JP"/>
        </w:rPr>
      </w:pPr>
      <w:r w:rsidRPr="009A0DA6">
        <w:t xml:space="preserve">Alignment to LCA Strategic Direction </w:t>
      </w:r>
      <w:r>
        <w:t>2013–2018</w:t>
      </w:r>
    </w:p>
    <w:p w14:paraId="55B8CC7D" w14:textId="7C6D7936" w:rsidR="0054360D" w:rsidRPr="009A0DA6" w:rsidRDefault="00351A0F" w:rsidP="0054360D">
      <w:pPr>
        <w:spacing w:before="120" w:after="120" w:line="240" w:lineRule="auto"/>
        <w:contextualSpacing/>
        <w:rPr>
          <w:rFonts w:ascii="Cambria" w:hAnsi="Cambria"/>
        </w:rPr>
      </w:pPr>
      <w:r>
        <w:rPr>
          <w:rFonts w:ascii="Cambria" w:hAnsi="Cambria"/>
        </w:rPr>
        <w:t xml:space="preserve">Assets and Resources (3.3.1) </w:t>
      </w:r>
      <w:r>
        <w:rPr>
          <w:rFonts w:ascii="Cambria" w:hAnsi="Cambria"/>
        </w:rPr>
        <w:sym w:font="Symbol" w:char="F02D"/>
      </w:r>
      <w:r>
        <w:rPr>
          <w:rFonts w:ascii="Cambria" w:hAnsi="Cambria"/>
        </w:rPr>
        <w:t xml:space="preserve"> </w:t>
      </w:r>
      <w:r w:rsidR="0054360D" w:rsidRPr="009A0DA6">
        <w:rPr>
          <w:rFonts w:ascii="Cambria" w:hAnsi="Cambria"/>
        </w:rPr>
        <w:t xml:space="preserve">Ensuring that LCA projects </w:t>
      </w:r>
      <w:r>
        <w:rPr>
          <w:rFonts w:ascii="Cambria" w:hAnsi="Cambria"/>
        </w:rPr>
        <w:t>can obtain cost effective loans</w:t>
      </w:r>
    </w:p>
    <w:p w14:paraId="2D89AF4D" w14:textId="77777777" w:rsidR="0054360D" w:rsidRPr="009A0DA6" w:rsidRDefault="0054360D" w:rsidP="0054360D">
      <w:pPr>
        <w:spacing w:before="120" w:after="120" w:line="240" w:lineRule="auto"/>
        <w:contextualSpacing/>
        <w:rPr>
          <w:rFonts w:ascii="Cambria" w:hAnsi="Cambria"/>
          <w:b/>
        </w:rPr>
      </w:pPr>
    </w:p>
    <w:p w14:paraId="1616F94A" w14:textId="77777777" w:rsidR="0054360D" w:rsidRPr="009A0DA6" w:rsidRDefault="0054360D" w:rsidP="0054360D">
      <w:pPr>
        <w:pStyle w:val="Heading3"/>
      </w:pPr>
      <w:r w:rsidRPr="009A0DA6">
        <w:t>Cooperating LCA Boards and Agencies</w:t>
      </w:r>
    </w:p>
    <w:tbl>
      <w:tblPr>
        <w:tblStyle w:val="PlainTable2"/>
        <w:tblW w:w="0" w:type="auto"/>
        <w:tblLook w:val="04A0" w:firstRow="1" w:lastRow="0" w:firstColumn="1" w:lastColumn="0" w:noHBand="0" w:noVBand="1"/>
      </w:tblPr>
      <w:tblGrid>
        <w:gridCol w:w="3360"/>
        <w:gridCol w:w="5308"/>
      </w:tblGrid>
      <w:tr w:rsidR="0054360D" w:rsidRPr="009A0DA6" w14:paraId="4FB8E45A" w14:textId="77777777" w:rsidTr="00AD09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0A6636F8" w14:textId="77777777" w:rsidR="0054360D" w:rsidRPr="009A0DA6" w:rsidRDefault="0054360D" w:rsidP="00AD09CB">
            <w:pPr>
              <w:spacing w:before="120" w:after="120"/>
              <w:rPr>
                <w:rFonts w:ascii="Cambria" w:hAnsi="Cambria" w:cs="Arial"/>
                <w:lang w:bidi="en-US"/>
              </w:rPr>
            </w:pPr>
            <w:r w:rsidRPr="009A0DA6">
              <w:rPr>
                <w:rFonts w:ascii="Cambria" w:hAnsi="Cambria" w:cs="Arial"/>
                <w:lang w:bidi="en-US"/>
              </w:rPr>
              <w:t>General Church Council</w:t>
            </w:r>
          </w:p>
        </w:tc>
        <w:tc>
          <w:tcPr>
            <w:tcW w:w="5387" w:type="dxa"/>
          </w:tcPr>
          <w:p w14:paraId="0E578C95" w14:textId="77777777" w:rsidR="0054360D" w:rsidRPr="009A0DA6" w:rsidRDefault="0054360D" w:rsidP="00AD09CB">
            <w:pPr>
              <w:spacing w:before="120" w:after="120"/>
              <w:cnfStyle w:val="100000000000" w:firstRow="1" w:lastRow="0" w:firstColumn="0" w:lastColumn="0" w:oddVBand="0" w:evenVBand="0" w:oddHBand="0" w:evenHBand="0" w:firstRowFirstColumn="0" w:firstRowLastColumn="0" w:lastRowFirstColumn="0" w:lastRowLastColumn="0"/>
              <w:rPr>
                <w:rFonts w:ascii="Cambria" w:hAnsi="Cambria" w:cs="Arial"/>
                <w:b w:val="0"/>
                <w:lang w:bidi="en-US"/>
              </w:rPr>
            </w:pPr>
            <w:r w:rsidRPr="009A0DA6">
              <w:rPr>
                <w:rFonts w:ascii="Cambria" w:hAnsi="Cambria" w:cs="Arial"/>
                <w:b w:val="0"/>
                <w:lang w:bidi="en-US"/>
              </w:rPr>
              <w:t>Regular reporting to GCC meetings</w:t>
            </w:r>
          </w:p>
        </w:tc>
      </w:tr>
      <w:tr w:rsidR="0054360D" w:rsidRPr="009A0DA6" w14:paraId="5456E7A8" w14:textId="77777777" w:rsidTr="00AD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031D41B1" w14:textId="77777777" w:rsidR="0054360D" w:rsidRPr="009A0DA6" w:rsidRDefault="0054360D" w:rsidP="00AD09CB">
            <w:pPr>
              <w:spacing w:before="120" w:after="120"/>
              <w:rPr>
                <w:rFonts w:ascii="Cambria" w:hAnsi="Cambria" w:cs="Arial"/>
                <w:lang w:bidi="en-US"/>
              </w:rPr>
            </w:pPr>
            <w:r w:rsidRPr="009A0DA6">
              <w:rPr>
                <w:rFonts w:ascii="Cambria" w:hAnsi="Cambria" w:cs="Arial"/>
                <w:lang w:bidi="en-US"/>
              </w:rPr>
              <w:t>Lutheran Education Australia</w:t>
            </w:r>
          </w:p>
        </w:tc>
        <w:tc>
          <w:tcPr>
            <w:tcW w:w="5387" w:type="dxa"/>
          </w:tcPr>
          <w:p w14:paraId="146DD37C" w14:textId="5B04EE97" w:rsidR="0054360D" w:rsidRPr="009A0DA6" w:rsidRDefault="0054360D" w:rsidP="00AD09CB">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cs="Arial"/>
                <w:lang w:bidi="en-US"/>
              </w:rPr>
            </w:pPr>
            <w:r w:rsidRPr="009A0DA6">
              <w:rPr>
                <w:rFonts w:ascii="Cambria" w:hAnsi="Cambria" w:cs="Arial"/>
                <w:lang w:bidi="en-US"/>
              </w:rPr>
              <w:t>Consultation with Education Directorates</w:t>
            </w:r>
            <w:r w:rsidR="00351A0F">
              <w:rPr>
                <w:rFonts w:ascii="Cambria" w:hAnsi="Cambria" w:cs="Arial"/>
                <w:lang w:bidi="en-US"/>
              </w:rPr>
              <w:t xml:space="preserve"> and Regional Business managers</w:t>
            </w:r>
          </w:p>
        </w:tc>
      </w:tr>
      <w:tr w:rsidR="0054360D" w:rsidRPr="009A0DA6" w14:paraId="5DC2F13D" w14:textId="77777777" w:rsidTr="00AD09CB">
        <w:tc>
          <w:tcPr>
            <w:cnfStyle w:val="001000000000" w:firstRow="0" w:lastRow="0" w:firstColumn="1" w:lastColumn="0" w:oddVBand="0" w:evenVBand="0" w:oddHBand="0" w:evenHBand="0" w:firstRowFirstColumn="0" w:firstRowLastColumn="0" w:lastRowFirstColumn="0" w:lastRowLastColumn="0"/>
            <w:tcW w:w="3402" w:type="dxa"/>
          </w:tcPr>
          <w:p w14:paraId="2501FDF0" w14:textId="77777777" w:rsidR="0054360D" w:rsidRPr="009A0DA6" w:rsidRDefault="0054360D" w:rsidP="00AD09CB">
            <w:pPr>
              <w:spacing w:before="120" w:after="120"/>
              <w:rPr>
                <w:rFonts w:ascii="Cambria" w:hAnsi="Cambria" w:cs="Arial"/>
                <w:lang w:bidi="en-US"/>
              </w:rPr>
            </w:pPr>
            <w:r w:rsidRPr="009A0DA6">
              <w:rPr>
                <w:rFonts w:ascii="Cambria" w:hAnsi="Cambria" w:cs="Arial"/>
                <w:lang w:bidi="en-US"/>
              </w:rPr>
              <w:t>Lutheran Laypeople’s League</w:t>
            </w:r>
          </w:p>
          <w:p w14:paraId="587794DC" w14:textId="77777777" w:rsidR="0054360D" w:rsidRPr="009A0DA6" w:rsidRDefault="0054360D" w:rsidP="00AD09CB">
            <w:pPr>
              <w:spacing w:before="120" w:after="120"/>
              <w:rPr>
                <w:rFonts w:ascii="Cambria" w:hAnsi="Cambria" w:cs="Arial"/>
                <w:lang w:bidi="en-US"/>
              </w:rPr>
            </w:pPr>
          </w:p>
        </w:tc>
        <w:tc>
          <w:tcPr>
            <w:tcW w:w="5387" w:type="dxa"/>
          </w:tcPr>
          <w:p w14:paraId="7E96B05B" w14:textId="67965004" w:rsidR="0054360D" w:rsidRPr="009A0DA6" w:rsidRDefault="0054360D" w:rsidP="00AD09CB">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cs="Arial"/>
                <w:lang w:bidi="en-US"/>
              </w:rPr>
            </w:pPr>
            <w:r w:rsidRPr="009A0DA6">
              <w:rPr>
                <w:rFonts w:ascii="Cambria" w:hAnsi="Cambria" w:cs="Arial"/>
                <w:lang w:bidi="en-US"/>
              </w:rPr>
              <w:t>Regular reporting</w:t>
            </w:r>
            <w:r w:rsidR="00351A0F">
              <w:rPr>
                <w:rFonts w:ascii="Cambria" w:hAnsi="Cambria" w:cs="Arial"/>
                <w:lang w:bidi="en-US"/>
              </w:rPr>
              <w:t xml:space="preserve"> and communication to LLL Board</w:t>
            </w:r>
          </w:p>
          <w:p w14:paraId="75F89D99" w14:textId="77777777" w:rsidR="0054360D" w:rsidRPr="009A0DA6" w:rsidRDefault="0054360D" w:rsidP="00AD09CB">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cs="Arial"/>
                <w:lang w:bidi="en-US"/>
              </w:rPr>
            </w:pPr>
            <w:r w:rsidRPr="009A0DA6">
              <w:rPr>
                <w:rFonts w:ascii="Cambria" w:hAnsi="Cambria" w:cs="Arial"/>
                <w:lang w:bidi="en-US"/>
              </w:rPr>
              <w:t>LMC administration and documentation carried out by LLL staff in a very professional and timely manner</w:t>
            </w:r>
          </w:p>
        </w:tc>
      </w:tr>
    </w:tbl>
    <w:p w14:paraId="1AAD9857" w14:textId="77777777" w:rsidR="0054360D" w:rsidRPr="009A0DA6" w:rsidRDefault="0054360D" w:rsidP="0054360D">
      <w:pPr>
        <w:pStyle w:val="NoSpacing"/>
      </w:pPr>
    </w:p>
    <w:p w14:paraId="10B9F9A8" w14:textId="77777777" w:rsidR="0054360D" w:rsidRPr="009A0DA6" w:rsidRDefault="0054360D" w:rsidP="0054360D">
      <w:pPr>
        <w:pStyle w:val="Heading3"/>
      </w:pPr>
      <w:r w:rsidRPr="009A0DA6">
        <w:t>FINANCIAL PERFORMANCE</w:t>
      </w:r>
    </w:p>
    <w:p w14:paraId="49AB5069" w14:textId="77777777" w:rsidR="0054360D" w:rsidRPr="009A0DA6" w:rsidRDefault="0054360D" w:rsidP="0054360D">
      <w:pPr>
        <w:pStyle w:val="NoSpacing"/>
        <w:rPr>
          <w:b/>
        </w:rPr>
      </w:pPr>
      <w:r w:rsidRPr="009A0DA6">
        <w:rPr>
          <w:b/>
        </w:rPr>
        <w:t>Standard finance report</w:t>
      </w:r>
    </w:p>
    <w:p w14:paraId="4C38B6B1" w14:textId="77777777" w:rsidR="0054360D" w:rsidRPr="009A0DA6" w:rsidRDefault="0054360D" w:rsidP="0054360D">
      <w:pPr>
        <w:pStyle w:val="NoSpacing"/>
      </w:pPr>
    </w:p>
    <w:p w14:paraId="36C58961" w14:textId="77777777" w:rsidR="0054360D" w:rsidRPr="009A0DA6" w:rsidRDefault="0054360D" w:rsidP="0054360D">
      <w:pPr>
        <w:pStyle w:val="NoSpacing"/>
      </w:pPr>
      <w:r w:rsidRPr="009A0DA6">
        <w:t>Lutheran Super continues to find itself in a Superannuation Industry which is constantly evolving both through competition with other Superannuation Funds and increased corporate governance requirements from the bodies that regulate Lutheran Super, the Australian Securities and Investment Commission (ASIC), the Australian Prudential Regulation Authority (APRA), the Australian Transaction Reports and Analysis Centre (AUSTRAC) and the Australian Taxation Office (ATO).</w:t>
      </w:r>
    </w:p>
    <w:p w14:paraId="5334295A" w14:textId="77777777" w:rsidR="0054360D" w:rsidRPr="009A0DA6" w:rsidRDefault="0054360D" w:rsidP="0054360D">
      <w:pPr>
        <w:pStyle w:val="NoSpacing"/>
      </w:pPr>
    </w:p>
    <w:p w14:paraId="132336BE" w14:textId="77777777" w:rsidR="0054360D" w:rsidRPr="009A0DA6" w:rsidRDefault="0054360D" w:rsidP="0054360D">
      <w:pPr>
        <w:pStyle w:val="NoSpacing"/>
      </w:pPr>
      <w:r w:rsidRPr="009A0DA6">
        <w:t>The trustee directors are looking forward to continuing to serve the Lutheran Church of Australia and the members and employers of Lutheran Super.</w:t>
      </w:r>
    </w:p>
    <w:p w14:paraId="66317F9F" w14:textId="77777777" w:rsidR="00CE0DB0" w:rsidRPr="009A0DA6" w:rsidRDefault="00CE0DB0" w:rsidP="00CE0DB0">
      <w:pPr>
        <w:pStyle w:val="NoSpacing"/>
      </w:pPr>
    </w:p>
    <w:p w14:paraId="57EA2FA3" w14:textId="77777777" w:rsidR="0054360D" w:rsidRPr="009A0DA6" w:rsidRDefault="0054360D" w:rsidP="0054360D">
      <w:pPr>
        <w:pStyle w:val="Heading3"/>
      </w:pPr>
      <w:r w:rsidRPr="009A0DA6">
        <w:lastRenderedPageBreak/>
        <w:t>agenda 14.5</w:t>
      </w:r>
    </w:p>
    <w:p w14:paraId="4E326E5C" w14:textId="77777777" w:rsidR="0054360D" w:rsidRPr="009A0DA6" w:rsidRDefault="0054360D" w:rsidP="0054360D">
      <w:pPr>
        <w:pStyle w:val="Heading2"/>
      </w:pPr>
      <w:bookmarkStart w:id="517" w:name="_Toc521954755"/>
      <w:r w:rsidRPr="009A0DA6">
        <w:t>Commission on Salaries</w:t>
      </w:r>
      <w:bookmarkEnd w:id="517"/>
    </w:p>
    <w:p w14:paraId="7FC099B5" w14:textId="77777777" w:rsidR="0054360D" w:rsidRPr="009A0DA6" w:rsidRDefault="0054360D" w:rsidP="0054360D">
      <w:pPr>
        <w:pStyle w:val="NoSpacing"/>
      </w:pPr>
    </w:p>
    <w:p w14:paraId="1AD5B03D" w14:textId="77777777" w:rsidR="0054360D" w:rsidRPr="009A0DA6" w:rsidRDefault="0054360D" w:rsidP="0054360D">
      <w:pPr>
        <w:pStyle w:val="Heading3"/>
      </w:pPr>
      <w:r w:rsidRPr="009A0DA6">
        <w:t>MEMBERS</w:t>
      </w:r>
    </w:p>
    <w:p w14:paraId="12D6D4D4" w14:textId="0C88920E" w:rsidR="0054360D" w:rsidRPr="00206BF6" w:rsidRDefault="0054360D" w:rsidP="0054360D">
      <w:pPr>
        <w:spacing w:before="120" w:after="120" w:line="240" w:lineRule="auto"/>
        <w:contextualSpacing/>
        <w:rPr>
          <w:rFonts w:ascii="Cambria" w:hAnsi="Cambria"/>
          <w:sz w:val="2"/>
        </w:rPr>
      </w:pPr>
      <w:r w:rsidRPr="009A0DA6">
        <w:rPr>
          <w:rFonts w:ascii="Cambria" w:hAnsi="Cambria"/>
        </w:rPr>
        <w:t>Karen Doecke, Greg Fowler, Nichola Heppner, Allen Kupke, John O’Keefe</w:t>
      </w:r>
      <w:r w:rsidR="00351A0F">
        <w:rPr>
          <w:rFonts w:ascii="Cambria" w:hAnsi="Cambria"/>
        </w:rPr>
        <w:t xml:space="preserve"> </w:t>
      </w:r>
      <w:r w:rsidRPr="009A0DA6">
        <w:rPr>
          <w:rFonts w:ascii="Cambria" w:hAnsi="Cambria"/>
        </w:rPr>
        <w:t>(resigned in 2017) and Ray Pietsch</w:t>
      </w:r>
      <w:r w:rsidRPr="009A0DA6">
        <w:rPr>
          <w:rFonts w:ascii="Cambria" w:hAnsi="Cambria"/>
        </w:rPr>
        <w:br/>
      </w:r>
    </w:p>
    <w:p w14:paraId="56AF7320" w14:textId="77777777" w:rsidR="0054360D" w:rsidRPr="009A0DA6" w:rsidRDefault="0054360D" w:rsidP="0054360D">
      <w:pPr>
        <w:pStyle w:val="Heading3"/>
      </w:pPr>
      <w:r w:rsidRPr="009A0DA6">
        <w:t>PURPOSE</w:t>
      </w:r>
    </w:p>
    <w:p w14:paraId="23E06F9D" w14:textId="77777777" w:rsidR="0054360D" w:rsidRPr="00206BF6" w:rsidRDefault="0054360D" w:rsidP="0054360D">
      <w:pPr>
        <w:spacing w:after="0" w:line="22" w:lineRule="atLeast"/>
        <w:contextualSpacing/>
        <w:rPr>
          <w:rFonts w:ascii="Cambria" w:hAnsi="Cambria"/>
          <w:sz w:val="12"/>
        </w:rPr>
      </w:pPr>
      <w:r w:rsidRPr="009A0DA6">
        <w:rPr>
          <w:rFonts w:ascii="Cambria" w:hAnsi="Cambria"/>
        </w:rPr>
        <w:t>To research salaries and allowances before recommending to General Church Council (GCC) for approval</w:t>
      </w:r>
      <w:r w:rsidRPr="009A0DA6">
        <w:rPr>
          <w:rFonts w:ascii="Cambria" w:hAnsi="Cambria"/>
        </w:rPr>
        <w:br/>
      </w:r>
    </w:p>
    <w:p w14:paraId="74269D78" w14:textId="77777777" w:rsidR="0054360D" w:rsidRPr="009A0DA6" w:rsidRDefault="0054360D" w:rsidP="0054360D">
      <w:pPr>
        <w:pStyle w:val="Heading3"/>
      </w:pPr>
      <w:r w:rsidRPr="009A0DA6">
        <w:t>ACHIEVEMENTS IN SYNODICAL PERIOD AGAINST PLAN</w:t>
      </w:r>
    </w:p>
    <w:p w14:paraId="0873F0B8" w14:textId="77777777" w:rsidR="0054360D" w:rsidRPr="009A0DA6" w:rsidRDefault="0054360D" w:rsidP="0054360D">
      <w:pPr>
        <w:spacing w:after="0" w:line="22" w:lineRule="atLeast"/>
        <w:ind w:left="709" w:hanging="709"/>
        <w:contextualSpacing/>
        <w:rPr>
          <w:rFonts w:ascii="Cambria" w:hAnsi="Cambria"/>
        </w:rPr>
      </w:pPr>
      <w:r w:rsidRPr="009A0DA6">
        <w:rPr>
          <w:rFonts w:ascii="Cambria" w:hAnsi="Cambria"/>
        </w:rPr>
        <w:t>1.</w:t>
      </w:r>
      <w:r w:rsidRPr="009A0DA6">
        <w:rPr>
          <w:rFonts w:ascii="Cambria" w:hAnsi="Cambria"/>
        </w:rPr>
        <w:tab/>
      </w:r>
      <w:r w:rsidRPr="009A0DA6">
        <w:rPr>
          <w:rFonts w:ascii="Cambria" w:hAnsi="Cambria"/>
          <w:b/>
        </w:rPr>
        <w:t>Recommend Salaries and Allowances to be paid to LCA pastors</w:t>
      </w:r>
    </w:p>
    <w:p w14:paraId="62E67A83" w14:textId="77777777" w:rsidR="0054360D" w:rsidRPr="009A0DA6" w:rsidRDefault="0054360D" w:rsidP="0054360D">
      <w:pPr>
        <w:spacing w:after="0" w:line="22" w:lineRule="atLeast"/>
        <w:ind w:left="709"/>
        <w:contextualSpacing/>
        <w:rPr>
          <w:rFonts w:ascii="Cambria" w:hAnsi="Cambria"/>
          <w:i/>
        </w:rPr>
      </w:pPr>
      <w:r w:rsidRPr="009A0DA6">
        <w:rPr>
          <w:rFonts w:ascii="Cambria" w:hAnsi="Cambria"/>
          <w:i/>
        </w:rPr>
        <w:t xml:space="preserve">Key outcomes </w:t>
      </w:r>
    </w:p>
    <w:p w14:paraId="3EF6F238" w14:textId="77777777" w:rsidR="0054360D" w:rsidRPr="009A0DA6" w:rsidRDefault="0054360D" w:rsidP="0054360D">
      <w:pPr>
        <w:spacing w:after="0" w:line="22" w:lineRule="atLeast"/>
        <w:ind w:left="709"/>
        <w:contextualSpacing/>
        <w:rPr>
          <w:rFonts w:ascii="Cambria" w:hAnsi="Cambria" w:cs="Arial"/>
        </w:rPr>
      </w:pPr>
      <w:r w:rsidRPr="009A0DA6">
        <w:rPr>
          <w:rFonts w:ascii="Cambria" w:hAnsi="Cambria" w:cs="Arial"/>
        </w:rPr>
        <w:t>Annually recommend pastors’ salary package to General Church Council using the synod approved basis that pastors should be paid approximately the same as the average person in the community. General Church Council reviews these recommendations and determines if the church as a whole has the ability to pay the recommended salary package.</w:t>
      </w:r>
    </w:p>
    <w:p w14:paraId="22B72723" w14:textId="77777777" w:rsidR="0054360D" w:rsidRPr="009A0DA6" w:rsidRDefault="0054360D" w:rsidP="0054360D">
      <w:pPr>
        <w:spacing w:after="0" w:line="22" w:lineRule="atLeast"/>
        <w:ind w:left="709" w:hanging="709"/>
        <w:contextualSpacing/>
        <w:rPr>
          <w:rFonts w:ascii="Cambria" w:hAnsi="Cambria"/>
        </w:rPr>
      </w:pPr>
      <w:r w:rsidRPr="009A0DA6">
        <w:rPr>
          <w:rFonts w:ascii="Cambria" w:hAnsi="Cambria"/>
        </w:rPr>
        <w:t>2.</w:t>
      </w:r>
      <w:r w:rsidRPr="009A0DA6">
        <w:rPr>
          <w:rFonts w:ascii="Cambria" w:hAnsi="Cambria"/>
        </w:rPr>
        <w:tab/>
      </w:r>
      <w:r w:rsidRPr="009A0DA6">
        <w:rPr>
          <w:rFonts w:ascii="Cambria" w:hAnsi="Cambria"/>
          <w:b/>
        </w:rPr>
        <w:t>Recommend Fringe Benefits guidelines for LCA pastors</w:t>
      </w:r>
    </w:p>
    <w:p w14:paraId="6765268E" w14:textId="77777777" w:rsidR="0054360D" w:rsidRPr="009A0DA6" w:rsidRDefault="0054360D" w:rsidP="0054360D">
      <w:pPr>
        <w:spacing w:after="0" w:line="22" w:lineRule="atLeast"/>
        <w:ind w:left="709"/>
        <w:contextualSpacing/>
        <w:rPr>
          <w:rFonts w:ascii="Cambria" w:hAnsi="Cambria"/>
          <w:i/>
        </w:rPr>
      </w:pPr>
      <w:r w:rsidRPr="009A0DA6">
        <w:rPr>
          <w:rFonts w:ascii="Cambria" w:hAnsi="Cambria"/>
          <w:i/>
        </w:rPr>
        <w:t xml:space="preserve">Key outcomes </w:t>
      </w:r>
    </w:p>
    <w:p w14:paraId="2E85024F" w14:textId="77777777" w:rsidR="0054360D" w:rsidRPr="009A0DA6" w:rsidRDefault="0054360D" w:rsidP="0054360D">
      <w:pPr>
        <w:tabs>
          <w:tab w:val="left" w:pos="-720"/>
        </w:tabs>
        <w:suppressAutoHyphens/>
        <w:ind w:left="709" w:hanging="709"/>
        <w:rPr>
          <w:rFonts w:ascii="Cambria" w:hAnsi="Cambria" w:cstheme="minorHAnsi"/>
          <w:spacing w:val="-3"/>
        </w:rPr>
      </w:pPr>
      <w:r w:rsidRPr="009A0DA6">
        <w:rPr>
          <w:rFonts w:ascii="Cambria" w:hAnsi="Cambria" w:cstheme="minorHAnsi"/>
        </w:rPr>
        <w:tab/>
        <w:t>Simplification of pastors’ salary package administration by removal of Fringe Benefits Multiple from 2015. Recommended maximum fringe benefits increased to 35% of base salary from 2013 to closer reflect maximum level of fringe benefits paid in the community</w:t>
      </w:r>
      <w:r w:rsidRPr="009A0DA6">
        <w:rPr>
          <w:rFonts w:ascii="Cambria" w:hAnsi="Cambria" w:cstheme="minorHAnsi"/>
          <w:i/>
        </w:rPr>
        <w:t xml:space="preserve">. </w:t>
      </w:r>
      <w:r w:rsidRPr="009A0DA6">
        <w:rPr>
          <w:rFonts w:ascii="Cambria" w:hAnsi="Cambria" w:cstheme="minorHAnsi"/>
          <w:spacing w:val="-3"/>
        </w:rPr>
        <w:t>Fringe benefits amount was set for the 3 years (2016-2018) based on an average of the 2016 rate plus projections for the following 2 years.(to be reviewed annually)</w:t>
      </w:r>
    </w:p>
    <w:p w14:paraId="3FB659AE" w14:textId="77777777" w:rsidR="0054360D" w:rsidRPr="009A0DA6" w:rsidRDefault="0054360D" w:rsidP="0054360D">
      <w:pPr>
        <w:pStyle w:val="Heading3"/>
        <w:rPr>
          <w:rFonts w:cstheme="minorBidi"/>
        </w:rPr>
      </w:pPr>
      <w:r w:rsidRPr="009A0DA6">
        <w:t>SUCCESSES</w:t>
      </w:r>
    </w:p>
    <w:p w14:paraId="519B3EE7" w14:textId="77777777" w:rsidR="0054360D" w:rsidRPr="009A0DA6" w:rsidRDefault="0054360D" w:rsidP="00F55252">
      <w:pPr>
        <w:pStyle w:val="ListParagraph"/>
        <w:numPr>
          <w:ilvl w:val="0"/>
          <w:numId w:val="279"/>
        </w:numPr>
        <w:spacing w:after="0" w:line="22" w:lineRule="atLeast"/>
        <w:ind w:left="567" w:hanging="567"/>
        <w:rPr>
          <w:rFonts w:ascii="Cambria" w:hAnsi="Cambria"/>
        </w:rPr>
      </w:pPr>
      <w:r w:rsidRPr="009A0DA6">
        <w:rPr>
          <w:rFonts w:ascii="Cambria" w:hAnsi="Cambria"/>
        </w:rPr>
        <w:t>Simplification of pastors’ salary package due to setting a single base salary, removal of Fringe Benefits Multiple and setting rate for 3 year term(with annual review)</w:t>
      </w:r>
    </w:p>
    <w:p w14:paraId="4BC903D3" w14:textId="77777777" w:rsidR="0054360D" w:rsidRPr="009A0DA6" w:rsidRDefault="0054360D" w:rsidP="00F55252">
      <w:pPr>
        <w:pStyle w:val="ListParagraph"/>
        <w:numPr>
          <w:ilvl w:val="0"/>
          <w:numId w:val="279"/>
        </w:numPr>
        <w:spacing w:after="0" w:line="22" w:lineRule="atLeast"/>
        <w:ind w:left="567" w:hanging="567"/>
        <w:rPr>
          <w:rFonts w:ascii="Cambria" w:hAnsi="Cambria"/>
        </w:rPr>
      </w:pPr>
      <w:r w:rsidRPr="009A0DA6">
        <w:rPr>
          <w:rFonts w:ascii="Cambria" w:hAnsi="Cambria"/>
        </w:rPr>
        <w:t>Encouraging pastors to obtain independent professional financial planning advice to help them in preparing for retirement</w:t>
      </w:r>
    </w:p>
    <w:p w14:paraId="79A4A2AB" w14:textId="77777777" w:rsidR="0054360D" w:rsidRPr="009A0DA6" w:rsidRDefault="0054360D" w:rsidP="00F55252">
      <w:pPr>
        <w:pStyle w:val="ListParagraph"/>
        <w:numPr>
          <w:ilvl w:val="0"/>
          <w:numId w:val="279"/>
        </w:numPr>
        <w:spacing w:after="0" w:line="22" w:lineRule="atLeast"/>
        <w:ind w:left="567" w:hanging="567"/>
        <w:rPr>
          <w:rFonts w:ascii="Cambria" w:hAnsi="Cambria"/>
        </w:rPr>
      </w:pPr>
      <w:r w:rsidRPr="009A0DA6">
        <w:rPr>
          <w:rFonts w:ascii="Cambria" w:hAnsi="Cambria"/>
        </w:rPr>
        <w:t>Encouraging pastors to make additional contributions to their superannuation to ensure that they have sufficient superannuation benefits at retirement. This is especially important for pastors as they need to purchase a retirement home, after in most cases living in a church provided house during their years of ministry.</w:t>
      </w:r>
    </w:p>
    <w:p w14:paraId="3C018557" w14:textId="77777777" w:rsidR="0054360D" w:rsidRPr="009A0DA6" w:rsidRDefault="0054360D" w:rsidP="00F55252">
      <w:pPr>
        <w:pStyle w:val="ListParagraph"/>
        <w:numPr>
          <w:ilvl w:val="0"/>
          <w:numId w:val="279"/>
        </w:numPr>
        <w:spacing w:after="0" w:line="22" w:lineRule="atLeast"/>
        <w:ind w:left="567" w:hanging="567"/>
        <w:rPr>
          <w:rFonts w:ascii="Cambria" w:hAnsi="Cambria"/>
        </w:rPr>
      </w:pPr>
      <w:r w:rsidRPr="009A0DA6">
        <w:rPr>
          <w:rFonts w:ascii="Cambria" w:hAnsi="Cambria"/>
        </w:rPr>
        <w:t>Annual presentation to Pastoral Graduates regarding salary and allowances.</w:t>
      </w:r>
    </w:p>
    <w:p w14:paraId="216520F7" w14:textId="77777777" w:rsidR="0054360D" w:rsidRPr="009A0DA6" w:rsidRDefault="0054360D" w:rsidP="00F55252">
      <w:pPr>
        <w:pStyle w:val="ListParagraph"/>
        <w:numPr>
          <w:ilvl w:val="0"/>
          <w:numId w:val="279"/>
        </w:numPr>
        <w:tabs>
          <w:tab w:val="left" w:pos="-720"/>
        </w:tabs>
        <w:suppressAutoHyphens/>
        <w:spacing w:after="0" w:line="22" w:lineRule="atLeast"/>
        <w:ind w:left="567" w:hanging="567"/>
        <w:rPr>
          <w:rFonts w:ascii="Cambria" w:hAnsi="Cambria"/>
        </w:rPr>
      </w:pPr>
      <w:r w:rsidRPr="009A0DA6">
        <w:rPr>
          <w:rFonts w:ascii="Cambria" w:hAnsi="Cambria" w:cs="Arial"/>
        </w:rPr>
        <w:t>Representation Allowances (formerly Expenses of Office) were reviewed and set as a percentage allowing for an annual review indexed to CPI.</w:t>
      </w:r>
    </w:p>
    <w:p w14:paraId="3FAE6CB6" w14:textId="77777777" w:rsidR="0054360D" w:rsidRPr="009A0DA6" w:rsidRDefault="0054360D" w:rsidP="0054360D">
      <w:pPr>
        <w:spacing w:after="0" w:line="22" w:lineRule="atLeast"/>
        <w:contextualSpacing/>
        <w:rPr>
          <w:rFonts w:ascii="Cambria" w:hAnsi="Cambria"/>
          <w:b/>
        </w:rPr>
      </w:pPr>
    </w:p>
    <w:p w14:paraId="218D58D0" w14:textId="4D372C23" w:rsidR="0054360D" w:rsidRPr="009A0DA6" w:rsidRDefault="0015713F" w:rsidP="0054360D">
      <w:pPr>
        <w:pStyle w:val="Heading3"/>
      </w:pPr>
      <w:r>
        <w:t>CHALLENGES, AND LESSONS LEARNED</w:t>
      </w:r>
    </w:p>
    <w:p w14:paraId="4694DD1B" w14:textId="77777777" w:rsidR="0054360D" w:rsidRPr="009A0DA6" w:rsidRDefault="0054360D" w:rsidP="00F55252">
      <w:pPr>
        <w:pStyle w:val="ListParagraph"/>
        <w:numPr>
          <w:ilvl w:val="0"/>
          <w:numId w:val="279"/>
        </w:numPr>
        <w:spacing w:after="0" w:line="22" w:lineRule="atLeast"/>
        <w:ind w:left="567" w:hanging="567"/>
        <w:rPr>
          <w:rFonts w:ascii="Cambria" w:hAnsi="Cambria"/>
        </w:rPr>
      </w:pPr>
      <w:r w:rsidRPr="009A0DA6">
        <w:rPr>
          <w:rFonts w:ascii="Cambria" w:hAnsi="Cambria"/>
        </w:rPr>
        <w:t>Ensuring that the salary package paid to pastors reflects the package received by the average person in the community. The current basis used is 92% of the adult (male and female) Total Average Weekly Earnings (AWE) as published by the Australian Bureau of Statistics (ABS).</w:t>
      </w:r>
    </w:p>
    <w:p w14:paraId="57F341D4" w14:textId="77777777" w:rsidR="0054360D" w:rsidRPr="009A0DA6" w:rsidRDefault="0054360D" w:rsidP="00F55252">
      <w:pPr>
        <w:pStyle w:val="ListParagraph"/>
        <w:numPr>
          <w:ilvl w:val="0"/>
          <w:numId w:val="279"/>
        </w:numPr>
        <w:spacing w:after="0" w:line="22" w:lineRule="atLeast"/>
        <w:ind w:left="567" w:hanging="567"/>
        <w:rPr>
          <w:rFonts w:ascii="Cambria" w:hAnsi="Cambria"/>
        </w:rPr>
      </w:pPr>
      <w:r w:rsidRPr="009A0DA6">
        <w:rPr>
          <w:rFonts w:ascii="Cambria" w:hAnsi="Cambria"/>
        </w:rPr>
        <w:t>Ensuring that allowances (Car, Travel and Research) are at appropriate levels to reimburse pastors for costs incurred as part of their pastoral duties. Car and travel allowances are based on motor vehicle standing and running costs, which are reviewed annually based on latest purchase and running costs obtained from car dealers and motoring organisations.</w:t>
      </w:r>
    </w:p>
    <w:p w14:paraId="3F789F38" w14:textId="77777777" w:rsidR="0054360D" w:rsidRPr="009A0DA6" w:rsidRDefault="0054360D" w:rsidP="0054360D">
      <w:pPr>
        <w:pStyle w:val="Heading3"/>
      </w:pPr>
      <w:r w:rsidRPr="009A0DA6">
        <w:lastRenderedPageBreak/>
        <w:t>RISKS</w:t>
      </w:r>
    </w:p>
    <w:p w14:paraId="118108C1" w14:textId="77777777" w:rsidR="0054360D" w:rsidRPr="009A0DA6" w:rsidRDefault="0054360D" w:rsidP="0054360D">
      <w:pPr>
        <w:spacing w:after="0" w:line="22" w:lineRule="atLeast"/>
        <w:ind w:left="567" w:hanging="567"/>
        <w:contextualSpacing/>
        <w:rPr>
          <w:rFonts w:ascii="Cambria" w:hAnsi="Cambria" w:cs="Arial"/>
          <w:b/>
        </w:rPr>
      </w:pPr>
      <w:r w:rsidRPr="009A0DA6">
        <w:rPr>
          <w:rFonts w:ascii="Cambria" w:hAnsi="Cambria" w:cs="Arial"/>
          <w:b/>
        </w:rPr>
        <w:t>Inappropriate salary package paid</w:t>
      </w:r>
    </w:p>
    <w:p w14:paraId="1E398CB0" w14:textId="77777777" w:rsidR="0054360D" w:rsidRPr="009A0DA6" w:rsidRDefault="0054360D" w:rsidP="00F55252">
      <w:pPr>
        <w:pStyle w:val="ListParagraph"/>
        <w:numPr>
          <w:ilvl w:val="0"/>
          <w:numId w:val="280"/>
        </w:numPr>
        <w:spacing w:after="0" w:line="22" w:lineRule="atLeast"/>
        <w:ind w:left="567" w:hanging="567"/>
        <w:rPr>
          <w:rFonts w:ascii="Cambria" w:hAnsi="Cambria"/>
          <w:b/>
        </w:rPr>
      </w:pPr>
      <w:r w:rsidRPr="009A0DA6">
        <w:rPr>
          <w:rFonts w:ascii="Cambria" w:hAnsi="Cambria" w:cs="Arial"/>
        </w:rPr>
        <w:t xml:space="preserve">At least annual review of salaries paid in the community (based on AWE published by the ABS). </w:t>
      </w:r>
    </w:p>
    <w:p w14:paraId="20D6F4BC" w14:textId="77777777" w:rsidR="0054360D" w:rsidRPr="009A0DA6" w:rsidRDefault="0054360D" w:rsidP="00F55252">
      <w:pPr>
        <w:pStyle w:val="ListParagraph"/>
        <w:numPr>
          <w:ilvl w:val="0"/>
          <w:numId w:val="280"/>
        </w:numPr>
        <w:spacing w:after="0" w:line="22" w:lineRule="atLeast"/>
        <w:ind w:left="567" w:hanging="567"/>
        <w:rPr>
          <w:rFonts w:ascii="Cambria" w:hAnsi="Cambria"/>
          <w:b/>
        </w:rPr>
      </w:pPr>
      <w:r w:rsidRPr="009A0DA6">
        <w:rPr>
          <w:rFonts w:ascii="Cambria" w:hAnsi="Cambria" w:cs="Arial"/>
        </w:rPr>
        <w:t xml:space="preserve">Annual review of motor vehicle standing and running costs. </w:t>
      </w:r>
    </w:p>
    <w:p w14:paraId="71779DFF" w14:textId="77777777" w:rsidR="0054360D" w:rsidRPr="009A0DA6" w:rsidRDefault="0054360D" w:rsidP="00F55252">
      <w:pPr>
        <w:pStyle w:val="ListParagraph"/>
        <w:numPr>
          <w:ilvl w:val="0"/>
          <w:numId w:val="280"/>
        </w:numPr>
        <w:spacing w:after="0" w:line="22" w:lineRule="atLeast"/>
        <w:ind w:left="567" w:hanging="567"/>
        <w:rPr>
          <w:rFonts w:ascii="Cambria" w:hAnsi="Cambria"/>
          <w:b/>
        </w:rPr>
      </w:pPr>
      <w:r w:rsidRPr="009A0DA6">
        <w:rPr>
          <w:rFonts w:ascii="Cambria" w:hAnsi="Cambria" w:cs="Arial"/>
        </w:rPr>
        <w:t>Annual indexation of other allowances</w:t>
      </w:r>
    </w:p>
    <w:p w14:paraId="14F52757" w14:textId="77777777" w:rsidR="0054360D" w:rsidRPr="009A0DA6" w:rsidRDefault="0054360D" w:rsidP="0054360D">
      <w:pPr>
        <w:spacing w:after="0" w:line="22" w:lineRule="atLeast"/>
        <w:ind w:left="567" w:hanging="567"/>
        <w:contextualSpacing/>
        <w:rPr>
          <w:rFonts w:ascii="Cambria" w:hAnsi="Cambria" w:cs="Arial"/>
          <w:b/>
        </w:rPr>
      </w:pPr>
    </w:p>
    <w:p w14:paraId="1BF2F712" w14:textId="77777777" w:rsidR="0054360D" w:rsidRPr="009A0DA6" w:rsidRDefault="0054360D" w:rsidP="0054360D">
      <w:pPr>
        <w:spacing w:after="0" w:line="22" w:lineRule="atLeast"/>
        <w:ind w:left="567" w:hanging="567"/>
        <w:contextualSpacing/>
        <w:rPr>
          <w:rFonts w:ascii="Cambria" w:hAnsi="Cambria" w:cs="Arial"/>
          <w:b/>
        </w:rPr>
      </w:pPr>
      <w:r w:rsidRPr="009A0DA6">
        <w:rPr>
          <w:rFonts w:ascii="Cambria" w:hAnsi="Cambria" w:cs="Arial"/>
          <w:b/>
        </w:rPr>
        <w:t>Pastors having insufficient superannuation benefits at retirement</w:t>
      </w:r>
    </w:p>
    <w:p w14:paraId="52FD256F" w14:textId="77777777" w:rsidR="0054360D" w:rsidRPr="009A0DA6" w:rsidRDefault="0054360D" w:rsidP="00F55252">
      <w:pPr>
        <w:pStyle w:val="ListParagraph"/>
        <w:numPr>
          <w:ilvl w:val="0"/>
          <w:numId w:val="280"/>
        </w:numPr>
        <w:spacing w:after="0" w:line="22" w:lineRule="atLeast"/>
        <w:ind w:left="567" w:hanging="567"/>
        <w:rPr>
          <w:rFonts w:ascii="Cambria" w:hAnsi="Cambria"/>
          <w:b/>
        </w:rPr>
      </w:pPr>
      <w:r w:rsidRPr="009A0DA6">
        <w:rPr>
          <w:rFonts w:ascii="Cambria" w:hAnsi="Cambria" w:cs="Arial"/>
        </w:rPr>
        <w:t>Encourage pastors to make additional contributions to superannuation to also assist with the purchase of a retirement home</w:t>
      </w:r>
    </w:p>
    <w:p w14:paraId="5492007E" w14:textId="77777777" w:rsidR="0054360D" w:rsidRPr="009A0DA6" w:rsidRDefault="0054360D" w:rsidP="0054360D">
      <w:pPr>
        <w:spacing w:after="0" w:line="22" w:lineRule="atLeast"/>
        <w:ind w:left="567" w:hanging="567"/>
        <w:rPr>
          <w:rFonts w:ascii="Cambria" w:hAnsi="Cambria" w:cs="Arial"/>
          <w:b/>
        </w:rPr>
      </w:pPr>
    </w:p>
    <w:p w14:paraId="0029D491" w14:textId="77777777" w:rsidR="0054360D" w:rsidRPr="009A0DA6" w:rsidRDefault="0054360D" w:rsidP="0054360D">
      <w:pPr>
        <w:spacing w:after="0" w:line="22" w:lineRule="atLeast"/>
        <w:ind w:left="567" w:hanging="567"/>
        <w:rPr>
          <w:rFonts w:ascii="Cambria" w:hAnsi="Cambria" w:cs="Arial"/>
          <w:b/>
        </w:rPr>
      </w:pPr>
      <w:r w:rsidRPr="009A0DA6">
        <w:rPr>
          <w:rFonts w:ascii="Cambria" w:hAnsi="Cambria" w:cs="Arial"/>
          <w:b/>
        </w:rPr>
        <w:t>Incorrect payment of salaries, allowances and fringe benefits</w:t>
      </w:r>
    </w:p>
    <w:p w14:paraId="5FCC7CA4" w14:textId="77777777" w:rsidR="0054360D" w:rsidRPr="009A0DA6" w:rsidRDefault="0054360D" w:rsidP="00F55252">
      <w:pPr>
        <w:pStyle w:val="ListParagraph"/>
        <w:numPr>
          <w:ilvl w:val="0"/>
          <w:numId w:val="280"/>
        </w:numPr>
        <w:spacing w:after="0" w:line="22" w:lineRule="atLeast"/>
        <w:ind w:left="567" w:hanging="567"/>
        <w:rPr>
          <w:rFonts w:ascii="Cambria" w:hAnsi="Cambria" w:cs="Arial"/>
        </w:rPr>
      </w:pPr>
      <w:r w:rsidRPr="009A0DA6">
        <w:rPr>
          <w:rFonts w:ascii="Cambria" w:hAnsi="Cambria" w:cs="Arial"/>
        </w:rPr>
        <w:t>Encourage congregations (who find it difficult to find a suitable treasurer) and other LCA employers to use the new LCA HR system to ensure compliance with taxation, Fair Work Act and other legal requirements</w:t>
      </w:r>
    </w:p>
    <w:p w14:paraId="42D681BC" w14:textId="77777777" w:rsidR="0054360D" w:rsidRPr="009A0DA6" w:rsidRDefault="0054360D" w:rsidP="0054360D">
      <w:pPr>
        <w:spacing w:after="0" w:line="22" w:lineRule="atLeast"/>
        <w:contextualSpacing/>
        <w:rPr>
          <w:rFonts w:ascii="Cambria" w:hAnsi="Cambria"/>
          <w:b/>
        </w:rPr>
      </w:pPr>
    </w:p>
    <w:p w14:paraId="3A3BEF93" w14:textId="77777777" w:rsidR="0054360D" w:rsidRPr="009A0DA6" w:rsidRDefault="0054360D" w:rsidP="0054360D">
      <w:pPr>
        <w:pStyle w:val="Heading3"/>
        <w:rPr>
          <w:rFonts w:cstheme="minorBidi"/>
        </w:rPr>
      </w:pPr>
      <w:r w:rsidRPr="009A0DA6">
        <w:t>ALIGNMENT TO LCA STRATEGIC DIRECTION 2013–2018</w:t>
      </w:r>
    </w:p>
    <w:p w14:paraId="2862B1EC" w14:textId="77777777" w:rsidR="0054360D" w:rsidRPr="009A0DA6" w:rsidRDefault="0054360D" w:rsidP="0054360D">
      <w:pPr>
        <w:spacing w:after="0" w:line="22" w:lineRule="atLeast"/>
        <w:rPr>
          <w:rFonts w:ascii="Cambria" w:hAnsi="Cambria"/>
        </w:rPr>
      </w:pPr>
      <w:r w:rsidRPr="009A0DA6">
        <w:rPr>
          <w:rFonts w:ascii="Cambria" w:hAnsi="Cambria"/>
        </w:rPr>
        <w:t>Assets and Resources (3.3.1) – ensuring that pastors and church workers are paid appropriate salaries and allowances.</w:t>
      </w:r>
    </w:p>
    <w:p w14:paraId="6D506434" w14:textId="77777777" w:rsidR="0054360D" w:rsidRPr="009A0DA6" w:rsidRDefault="0054360D" w:rsidP="0054360D">
      <w:pPr>
        <w:spacing w:after="0" w:line="22" w:lineRule="atLeast"/>
        <w:contextualSpacing/>
        <w:rPr>
          <w:rFonts w:ascii="Cambria" w:hAnsi="Cambria"/>
          <w:b/>
        </w:rPr>
      </w:pPr>
    </w:p>
    <w:p w14:paraId="402104F1" w14:textId="77777777" w:rsidR="0054360D" w:rsidRPr="009A0DA6" w:rsidRDefault="0054360D" w:rsidP="0054360D">
      <w:pPr>
        <w:pStyle w:val="Heading3"/>
      </w:pPr>
      <w:r w:rsidRPr="009A0DA6">
        <w:t>COOPERATING LCA BOARDS AND AGENCIES</w:t>
      </w:r>
    </w:p>
    <w:p w14:paraId="4DC77AAD" w14:textId="77777777" w:rsidR="0054360D" w:rsidRPr="009A0DA6" w:rsidRDefault="0054360D" w:rsidP="0054360D">
      <w:pPr>
        <w:spacing w:after="0" w:line="22" w:lineRule="atLeast"/>
        <w:ind w:left="567" w:hanging="567"/>
        <w:contextualSpacing/>
        <w:rPr>
          <w:rFonts w:ascii="Cambria" w:hAnsi="Cambria"/>
          <w:b/>
        </w:rPr>
      </w:pPr>
      <w:r w:rsidRPr="009A0DA6">
        <w:rPr>
          <w:rFonts w:ascii="Cambria" w:hAnsi="Cambria"/>
          <w:b/>
        </w:rPr>
        <w:t>General Church Council</w:t>
      </w:r>
    </w:p>
    <w:p w14:paraId="78BA129D" w14:textId="77777777" w:rsidR="0054360D" w:rsidRPr="009A0DA6" w:rsidRDefault="0054360D" w:rsidP="0054360D">
      <w:pPr>
        <w:pStyle w:val="ListParagraph"/>
        <w:spacing w:after="0" w:line="22" w:lineRule="atLeast"/>
        <w:ind w:left="0"/>
        <w:rPr>
          <w:rFonts w:ascii="Cambria" w:hAnsi="Cambria"/>
        </w:rPr>
      </w:pPr>
      <w:r w:rsidRPr="009A0DA6">
        <w:rPr>
          <w:rFonts w:ascii="Cambria" w:hAnsi="Cambria" w:cs="Arial"/>
        </w:rPr>
        <w:t>Recommend pastors salaries and allowances to be paid for the following year including presentation and discussion of recommendations annually at the October General Church Council meeting. Regular consultation with LCA EOC and Business Manager.</w:t>
      </w:r>
    </w:p>
    <w:p w14:paraId="5B4DE9BD" w14:textId="77777777" w:rsidR="007408EE" w:rsidRDefault="007408EE" w:rsidP="00964A90">
      <w:pPr>
        <w:pStyle w:val="Heading3"/>
      </w:pPr>
    </w:p>
    <w:p w14:paraId="212A148C" w14:textId="77777777" w:rsidR="007408EE" w:rsidRDefault="007408EE" w:rsidP="00964A90">
      <w:pPr>
        <w:pStyle w:val="Heading3"/>
      </w:pPr>
    </w:p>
    <w:p w14:paraId="40142154" w14:textId="570CCD3A" w:rsidR="004F6C40" w:rsidRPr="009A0DA6" w:rsidRDefault="004F6C40" w:rsidP="00964A90">
      <w:pPr>
        <w:pStyle w:val="Heading3"/>
      </w:pPr>
      <w:r w:rsidRPr="009A0DA6">
        <w:t>Agenda 14.6</w:t>
      </w:r>
    </w:p>
    <w:p w14:paraId="5F4F6E8D" w14:textId="77777777" w:rsidR="004F6C40" w:rsidRPr="009A0DA6" w:rsidRDefault="004F6C40" w:rsidP="004F6C40">
      <w:pPr>
        <w:pStyle w:val="Heading2"/>
      </w:pPr>
      <w:bookmarkStart w:id="518" w:name="_Toc521954756"/>
      <w:r w:rsidRPr="009A0DA6">
        <w:t>Lutheran Laypeople’s League</w:t>
      </w:r>
      <w:bookmarkEnd w:id="518"/>
    </w:p>
    <w:p w14:paraId="05510BAA" w14:textId="77777777" w:rsidR="004F6C40" w:rsidRPr="009A0DA6" w:rsidRDefault="004F6C40" w:rsidP="004F6C40">
      <w:pPr>
        <w:pStyle w:val="NoSpacing"/>
      </w:pPr>
    </w:p>
    <w:p w14:paraId="20601992" w14:textId="77777777" w:rsidR="00017DFB" w:rsidRPr="009A0DA6" w:rsidRDefault="00017DFB" w:rsidP="004A79CA">
      <w:pPr>
        <w:pStyle w:val="Heading3"/>
      </w:pPr>
      <w:r w:rsidRPr="009A0DA6">
        <w:t>MEMBERS</w:t>
      </w:r>
    </w:p>
    <w:p w14:paraId="21C1BB0D" w14:textId="77777777" w:rsidR="00017DFB" w:rsidRPr="009A0DA6" w:rsidRDefault="00017DFB" w:rsidP="004A79CA">
      <w:pPr>
        <w:spacing w:after="120" w:line="240" w:lineRule="auto"/>
        <w:rPr>
          <w:rFonts w:ascii="Cambria" w:hAnsi="Cambria"/>
        </w:rPr>
      </w:pPr>
      <w:r w:rsidRPr="009A0DA6">
        <w:rPr>
          <w:rFonts w:ascii="Cambria" w:hAnsi="Cambria"/>
        </w:rPr>
        <w:t>Mark Altus, Ron Asquith, Nancy Fox (Vice-Chair), John Grocke, Brenton Henschke, John Howard, Graeme Huf (Chair), David Pietsch, Steven Podlich</w:t>
      </w:r>
    </w:p>
    <w:p w14:paraId="2031A05D" w14:textId="77777777" w:rsidR="00017DFB" w:rsidRPr="009A0DA6" w:rsidRDefault="00017DFB" w:rsidP="004A79CA">
      <w:pPr>
        <w:pStyle w:val="Heading3"/>
        <w:rPr>
          <w:rFonts w:cs="Arial"/>
          <w:i/>
        </w:rPr>
      </w:pPr>
      <w:r w:rsidRPr="009A0DA6">
        <w:t>Background</w:t>
      </w:r>
    </w:p>
    <w:p w14:paraId="2AE1E3EE" w14:textId="20FBE071" w:rsidR="00017DFB" w:rsidRPr="009A0DA6" w:rsidRDefault="00017DFB" w:rsidP="00017DFB">
      <w:pPr>
        <w:rPr>
          <w:rFonts w:ascii="Cambria" w:hAnsi="Cambria"/>
        </w:rPr>
      </w:pPr>
      <w:r w:rsidRPr="009A0DA6">
        <w:rPr>
          <w:rFonts w:ascii="Cambria" w:hAnsi="Cambria"/>
        </w:rPr>
        <w:t>Established in 1921, the LLL exists to support the LCA in business and financial matters</w:t>
      </w:r>
      <w:r w:rsidR="0027799A" w:rsidRPr="009A0DA6">
        <w:rPr>
          <w:rFonts w:ascii="Cambria" w:hAnsi="Cambria"/>
        </w:rPr>
        <w:t xml:space="preserve">. </w:t>
      </w:r>
      <w:r w:rsidRPr="009A0DA6">
        <w:rPr>
          <w:rFonts w:ascii="Cambria" w:hAnsi="Cambria"/>
        </w:rPr>
        <w:t>This is done through our mission and vision - viz:</w:t>
      </w:r>
    </w:p>
    <w:p w14:paraId="36F1FAA0" w14:textId="77777777" w:rsidR="00017DFB" w:rsidRPr="009A0DA6" w:rsidRDefault="00017DFB" w:rsidP="00F55252">
      <w:pPr>
        <w:pStyle w:val="Default"/>
        <w:numPr>
          <w:ilvl w:val="0"/>
          <w:numId w:val="281"/>
        </w:numPr>
        <w:ind w:left="567" w:hanging="567"/>
        <w:rPr>
          <w:rFonts w:ascii="Cambria" w:hAnsi="Cambria"/>
          <w:color w:val="auto"/>
          <w:sz w:val="22"/>
          <w:szCs w:val="22"/>
        </w:rPr>
      </w:pPr>
      <w:r w:rsidRPr="009A0DA6">
        <w:rPr>
          <w:rFonts w:ascii="Cambria" w:hAnsi="Cambria"/>
          <w:b/>
          <w:bCs/>
          <w:color w:val="auto"/>
          <w:sz w:val="22"/>
          <w:szCs w:val="22"/>
        </w:rPr>
        <w:t xml:space="preserve">Mission Statement </w:t>
      </w:r>
    </w:p>
    <w:p w14:paraId="7C28ABCE" w14:textId="77777777" w:rsidR="00017DFB" w:rsidRPr="009A0DA6" w:rsidRDefault="00017DFB" w:rsidP="004A79CA">
      <w:pPr>
        <w:pStyle w:val="Default"/>
        <w:ind w:firstLine="567"/>
        <w:rPr>
          <w:rFonts w:ascii="Cambria" w:hAnsi="Cambria"/>
          <w:color w:val="auto"/>
          <w:sz w:val="22"/>
          <w:szCs w:val="22"/>
        </w:rPr>
      </w:pPr>
      <w:r w:rsidRPr="009A0DA6">
        <w:rPr>
          <w:rFonts w:ascii="Cambria" w:hAnsi="Cambria"/>
          <w:color w:val="auto"/>
          <w:sz w:val="22"/>
          <w:szCs w:val="22"/>
        </w:rPr>
        <w:t xml:space="preserve">Support the LCA in its mission. </w:t>
      </w:r>
    </w:p>
    <w:p w14:paraId="3F53FC51" w14:textId="77777777" w:rsidR="00017DFB" w:rsidRPr="009A0DA6" w:rsidRDefault="00017DFB" w:rsidP="004A79CA">
      <w:pPr>
        <w:pStyle w:val="Default"/>
        <w:ind w:firstLine="567"/>
        <w:rPr>
          <w:rFonts w:ascii="Cambria" w:hAnsi="Cambria"/>
          <w:color w:val="auto"/>
          <w:sz w:val="22"/>
          <w:szCs w:val="22"/>
        </w:rPr>
      </w:pPr>
      <w:r w:rsidRPr="009A0DA6">
        <w:rPr>
          <w:rFonts w:ascii="Cambria" w:hAnsi="Cambria"/>
          <w:color w:val="auto"/>
          <w:sz w:val="22"/>
          <w:szCs w:val="22"/>
        </w:rPr>
        <w:t xml:space="preserve">We will do this by: </w:t>
      </w:r>
    </w:p>
    <w:p w14:paraId="14037A48" w14:textId="77777777" w:rsidR="00017DFB" w:rsidRPr="009A0DA6" w:rsidRDefault="00017DFB" w:rsidP="00F55252">
      <w:pPr>
        <w:pStyle w:val="Default"/>
        <w:numPr>
          <w:ilvl w:val="0"/>
          <w:numId w:val="282"/>
        </w:numPr>
        <w:spacing w:after="27"/>
        <w:ind w:left="1134" w:hanging="567"/>
        <w:rPr>
          <w:rFonts w:ascii="Cambria" w:hAnsi="Cambria"/>
          <w:color w:val="auto"/>
          <w:sz w:val="22"/>
          <w:szCs w:val="22"/>
        </w:rPr>
      </w:pPr>
      <w:r w:rsidRPr="009A0DA6">
        <w:rPr>
          <w:rFonts w:ascii="Cambria" w:hAnsi="Cambria"/>
          <w:color w:val="auto"/>
          <w:sz w:val="22"/>
          <w:szCs w:val="22"/>
        </w:rPr>
        <w:t xml:space="preserve">providing business and financial support to the LCA; </w:t>
      </w:r>
    </w:p>
    <w:p w14:paraId="6476E13D" w14:textId="77777777" w:rsidR="00017DFB" w:rsidRPr="009A0DA6" w:rsidRDefault="00017DFB" w:rsidP="00F55252">
      <w:pPr>
        <w:pStyle w:val="Default"/>
        <w:numPr>
          <w:ilvl w:val="0"/>
          <w:numId w:val="282"/>
        </w:numPr>
        <w:spacing w:after="27"/>
        <w:ind w:left="1134" w:hanging="567"/>
        <w:rPr>
          <w:rFonts w:ascii="Cambria" w:hAnsi="Cambria"/>
          <w:color w:val="auto"/>
          <w:sz w:val="22"/>
          <w:szCs w:val="22"/>
        </w:rPr>
      </w:pPr>
      <w:r w:rsidRPr="009A0DA6">
        <w:rPr>
          <w:rFonts w:ascii="Cambria" w:hAnsi="Cambria"/>
          <w:color w:val="auto"/>
          <w:sz w:val="22"/>
          <w:szCs w:val="22"/>
        </w:rPr>
        <w:t xml:space="preserve">providing excellent service to all customers; </w:t>
      </w:r>
    </w:p>
    <w:p w14:paraId="3FABCD22" w14:textId="1B51ABE1" w:rsidR="00017DFB" w:rsidRPr="009A0DA6" w:rsidRDefault="00017DFB" w:rsidP="00F55252">
      <w:pPr>
        <w:pStyle w:val="Default"/>
        <w:numPr>
          <w:ilvl w:val="0"/>
          <w:numId w:val="282"/>
        </w:numPr>
        <w:ind w:left="1134" w:hanging="567"/>
        <w:rPr>
          <w:rFonts w:ascii="Cambria" w:hAnsi="Cambria"/>
          <w:color w:val="auto"/>
          <w:sz w:val="22"/>
          <w:szCs w:val="22"/>
        </w:rPr>
      </w:pPr>
      <w:r w:rsidRPr="009A0DA6">
        <w:rPr>
          <w:rFonts w:ascii="Cambria" w:hAnsi="Cambria"/>
          <w:color w:val="auto"/>
          <w:sz w:val="22"/>
          <w:szCs w:val="22"/>
        </w:rPr>
        <w:t xml:space="preserve">safeguarding the interests of depositors. </w:t>
      </w:r>
      <w:r w:rsidR="004A79CA" w:rsidRPr="009A0DA6">
        <w:rPr>
          <w:rFonts w:ascii="Cambria" w:hAnsi="Cambria"/>
          <w:color w:val="auto"/>
          <w:sz w:val="22"/>
          <w:szCs w:val="22"/>
        </w:rPr>
        <w:br/>
      </w:r>
    </w:p>
    <w:p w14:paraId="7D9B778A" w14:textId="77777777" w:rsidR="007408EE" w:rsidRDefault="007408EE">
      <w:pPr>
        <w:rPr>
          <w:rFonts w:ascii="Cambria" w:eastAsia="Times New Roman" w:hAnsi="Cambria" w:cs="Times New Roman"/>
          <w:b/>
          <w:bCs/>
          <w:lang w:eastAsia="en-AU"/>
        </w:rPr>
      </w:pPr>
      <w:r>
        <w:rPr>
          <w:rFonts w:ascii="Cambria" w:hAnsi="Cambria"/>
          <w:b/>
          <w:bCs/>
        </w:rPr>
        <w:br w:type="page"/>
      </w:r>
    </w:p>
    <w:p w14:paraId="3CE96160" w14:textId="6662F69B" w:rsidR="00017DFB" w:rsidRPr="009A0DA6" w:rsidRDefault="00017DFB" w:rsidP="00F55252">
      <w:pPr>
        <w:pStyle w:val="Default"/>
        <w:numPr>
          <w:ilvl w:val="0"/>
          <w:numId w:val="281"/>
        </w:numPr>
        <w:ind w:left="567" w:hanging="567"/>
        <w:rPr>
          <w:rFonts w:ascii="Cambria" w:hAnsi="Cambria"/>
          <w:color w:val="auto"/>
          <w:sz w:val="22"/>
          <w:szCs w:val="22"/>
        </w:rPr>
      </w:pPr>
      <w:r w:rsidRPr="009A0DA6">
        <w:rPr>
          <w:rFonts w:ascii="Cambria" w:hAnsi="Cambria"/>
          <w:b/>
          <w:bCs/>
          <w:color w:val="auto"/>
          <w:sz w:val="22"/>
          <w:szCs w:val="22"/>
        </w:rPr>
        <w:lastRenderedPageBreak/>
        <w:t xml:space="preserve">Vision Statement </w:t>
      </w:r>
    </w:p>
    <w:p w14:paraId="6049796A" w14:textId="77777777" w:rsidR="00017DFB" w:rsidRPr="009A0DA6" w:rsidRDefault="00017DFB" w:rsidP="004A79CA">
      <w:pPr>
        <w:ind w:left="567"/>
        <w:rPr>
          <w:rFonts w:ascii="Cambria" w:hAnsi="Cambria"/>
        </w:rPr>
      </w:pPr>
      <w:r w:rsidRPr="009A0DA6">
        <w:rPr>
          <w:rFonts w:ascii="Cambria" w:hAnsi="Cambria"/>
        </w:rPr>
        <w:t>Advancing Gospel-centred mission and ministry as Australia’s leading charitable financial institution.</w:t>
      </w:r>
    </w:p>
    <w:p w14:paraId="7DC3B3AB" w14:textId="77777777" w:rsidR="00017DFB" w:rsidRPr="009A0DA6" w:rsidRDefault="00017DFB" w:rsidP="00017DFB">
      <w:pPr>
        <w:rPr>
          <w:rFonts w:ascii="Cambria" w:hAnsi="Cambria"/>
        </w:rPr>
      </w:pPr>
      <w:r w:rsidRPr="009A0DA6">
        <w:rPr>
          <w:rFonts w:ascii="Cambria" w:hAnsi="Cambria"/>
        </w:rPr>
        <w:t>The key objectives of the LLL are to:</w:t>
      </w:r>
    </w:p>
    <w:p w14:paraId="57D090FE" w14:textId="77777777" w:rsidR="00017DFB" w:rsidRPr="009A0DA6" w:rsidRDefault="00017DFB" w:rsidP="00F55252">
      <w:pPr>
        <w:numPr>
          <w:ilvl w:val="0"/>
          <w:numId w:val="283"/>
        </w:numPr>
        <w:spacing w:after="0" w:line="240" w:lineRule="auto"/>
        <w:ind w:left="567" w:hanging="567"/>
        <w:rPr>
          <w:rFonts w:ascii="Cambria" w:hAnsi="Cambria"/>
        </w:rPr>
      </w:pPr>
      <w:r w:rsidRPr="009A0DA6">
        <w:rPr>
          <w:rFonts w:ascii="Cambria" w:hAnsi="Cambria"/>
        </w:rPr>
        <w:t>Provide benefits and services to the LCA</w:t>
      </w:r>
    </w:p>
    <w:p w14:paraId="7757536F" w14:textId="77777777" w:rsidR="00017DFB" w:rsidRPr="009A0DA6" w:rsidRDefault="00017DFB" w:rsidP="00F55252">
      <w:pPr>
        <w:numPr>
          <w:ilvl w:val="0"/>
          <w:numId w:val="283"/>
        </w:numPr>
        <w:spacing w:after="0" w:line="240" w:lineRule="auto"/>
        <w:ind w:left="567" w:hanging="567"/>
        <w:rPr>
          <w:rFonts w:ascii="Cambria" w:hAnsi="Cambria"/>
        </w:rPr>
      </w:pPr>
      <w:r w:rsidRPr="009A0DA6">
        <w:rPr>
          <w:rFonts w:ascii="Cambria" w:hAnsi="Cambria"/>
        </w:rPr>
        <w:t>Grow Reserves/Permanent Funds</w:t>
      </w:r>
    </w:p>
    <w:p w14:paraId="6C28D07E" w14:textId="77777777" w:rsidR="00017DFB" w:rsidRPr="009A0DA6" w:rsidRDefault="00017DFB" w:rsidP="00F55252">
      <w:pPr>
        <w:numPr>
          <w:ilvl w:val="0"/>
          <w:numId w:val="283"/>
        </w:numPr>
        <w:spacing w:after="0" w:line="240" w:lineRule="auto"/>
        <w:ind w:left="567" w:hanging="567"/>
        <w:rPr>
          <w:rFonts w:ascii="Cambria" w:hAnsi="Cambria"/>
        </w:rPr>
      </w:pPr>
      <w:r w:rsidRPr="009A0DA6">
        <w:rPr>
          <w:rFonts w:ascii="Cambria" w:hAnsi="Cambria"/>
        </w:rPr>
        <w:t>Raise deposits</w:t>
      </w:r>
    </w:p>
    <w:p w14:paraId="74D365AF" w14:textId="7C05BA3F" w:rsidR="00017DFB" w:rsidRPr="009A0DA6" w:rsidRDefault="00017DFB" w:rsidP="00F55252">
      <w:pPr>
        <w:numPr>
          <w:ilvl w:val="0"/>
          <w:numId w:val="283"/>
        </w:numPr>
        <w:spacing w:after="0" w:line="240" w:lineRule="auto"/>
        <w:ind w:left="567" w:hanging="567"/>
        <w:rPr>
          <w:rFonts w:ascii="Cambria" w:hAnsi="Cambria"/>
        </w:rPr>
      </w:pPr>
      <w:r w:rsidRPr="009A0DA6">
        <w:rPr>
          <w:rFonts w:ascii="Cambria" w:hAnsi="Cambria"/>
        </w:rPr>
        <w:t>Provide loans.</w:t>
      </w:r>
    </w:p>
    <w:p w14:paraId="02C6FB86" w14:textId="77777777" w:rsidR="004A79CA" w:rsidRPr="009A0DA6" w:rsidRDefault="004A79CA" w:rsidP="004A79CA">
      <w:pPr>
        <w:spacing w:after="0" w:line="240" w:lineRule="auto"/>
        <w:rPr>
          <w:rFonts w:ascii="Cambria" w:hAnsi="Cambria"/>
        </w:rPr>
      </w:pPr>
    </w:p>
    <w:p w14:paraId="6CF0EAC6" w14:textId="77777777" w:rsidR="00017DFB" w:rsidRPr="009A0DA6" w:rsidRDefault="00017DFB" w:rsidP="004A79CA">
      <w:pPr>
        <w:pStyle w:val="Heading3"/>
      </w:pPr>
      <w:r w:rsidRPr="009A0DA6">
        <w:t>Achievement against Plan</w:t>
      </w:r>
    </w:p>
    <w:tbl>
      <w:tblPr>
        <w:tblStyle w:val="PlainTable2"/>
        <w:tblW w:w="8788" w:type="dxa"/>
        <w:tblLook w:val="04A0" w:firstRow="1" w:lastRow="0" w:firstColumn="1" w:lastColumn="0" w:noHBand="0" w:noVBand="1"/>
      </w:tblPr>
      <w:tblGrid>
        <w:gridCol w:w="1928"/>
        <w:gridCol w:w="1701"/>
        <w:gridCol w:w="5159"/>
      </w:tblGrid>
      <w:tr w:rsidR="004A79CA" w:rsidRPr="009A0DA6" w14:paraId="556FA620" w14:textId="77777777" w:rsidTr="004A79CA">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928" w:type="dxa"/>
            <w:vAlign w:val="center"/>
            <w:hideMark/>
          </w:tcPr>
          <w:p w14:paraId="716BA609" w14:textId="77777777" w:rsidR="00017DFB" w:rsidRPr="009A0DA6" w:rsidRDefault="00017DFB" w:rsidP="0015713F">
            <w:pPr>
              <w:rPr>
                <w:rFonts w:ascii="Cambria" w:hAnsi="Cambria" w:cs="Arial"/>
              </w:rPr>
            </w:pPr>
            <w:r w:rsidRPr="009A0DA6">
              <w:rPr>
                <w:rFonts w:ascii="Cambria" w:hAnsi="Cambria" w:cs="Arial"/>
              </w:rPr>
              <w:t>Objectives</w:t>
            </w:r>
          </w:p>
        </w:tc>
        <w:tc>
          <w:tcPr>
            <w:tcW w:w="1701" w:type="dxa"/>
            <w:vAlign w:val="center"/>
            <w:hideMark/>
          </w:tcPr>
          <w:p w14:paraId="49CDAE11" w14:textId="44C79DDD" w:rsidR="00017DFB" w:rsidRPr="009A0DA6" w:rsidRDefault="00017DFB" w:rsidP="0015713F">
            <w:pPr>
              <w:cnfStyle w:val="100000000000" w:firstRow="1"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Planned Annual Activities/</w:t>
            </w:r>
            <w:r w:rsidR="004A79CA" w:rsidRPr="009A0DA6">
              <w:rPr>
                <w:rFonts w:ascii="Cambria" w:hAnsi="Cambria" w:cs="Arial"/>
              </w:rPr>
              <w:t xml:space="preserve"> </w:t>
            </w:r>
            <w:r w:rsidRPr="009A0DA6">
              <w:rPr>
                <w:rFonts w:ascii="Cambria" w:hAnsi="Cambria" w:cs="Arial"/>
              </w:rPr>
              <w:t>Outcomes</w:t>
            </w:r>
          </w:p>
        </w:tc>
        <w:tc>
          <w:tcPr>
            <w:tcW w:w="5159" w:type="dxa"/>
            <w:vAlign w:val="center"/>
            <w:hideMark/>
          </w:tcPr>
          <w:p w14:paraId="729B9352" w14:textId="77777777" w:rsidR="00017DFB" w:rsidRPr="009A0DA6" w:rsidRDefault="00017DFB" w:rsidP="0015713F">
            <w:pPr>
              <w:cnfStyle w:val="100000000000" w:firstRow="1"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Achievement of Annual Activities/Outcomes</w:t>
            </w:r>
          </w:p>
        </w:tc>
      </w:tr>
      <w:tr w:rsidR="004A79CA" w:rsidRPr="009A0DA6" w14:paraId="5A8BE759" w14:textId="77777777" w:rsidTr="004A79CA">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928" w:type="dxa"/>
            <w:hideMark/>
          </w:tcPr>
          <w:p w14:paraId="374504D9" w14:textId="77777777" w:rsidR="00017DFB" w:rsidRPr="009A0DA6" w:rsidRDefault="00017DFB" w:rsidP="00F55252">
            <w:pPr>
              <w:widowControl w:val="0"/>
              <w:numPr>
                <w:ilvl w:val="0"/>
                <w:numId w:val="284"/>
              </w:numPr>
              <w:suppressAutoHyphens/>
              <w:rPr>
                <w:rFonts w:ascii="Cambria" w:hAnsi="Cambria" w:cs="Arial"/>
                <w:b w:val="0"/>
              </w:rPr>
            </w:pPr>
            <w:r w:rsidRPr="009A0DA6">
              <w:rPr>
                <w:rFonts w:ascii="Cambria" w:hAnsi="Cambria" w:cs="Arial"/>
              </w:rPr>
              <w:t>To provide benefits and services to the LCA to assist their ministry and mission objectives</w:t>
            </w:r>
          </w:p>
        </w:tc>
        <w:tc>
          <w:tcPr>
            <w:tcW w:w="1701" w:type="dxa"/>
          </w:tcPr>
          <w:p w14:paraId="6DD7CFE5" w14:textId="77777777" w:rsidR="00017DFB" w:rsidRPr="009A0DA6" w:rsidRDefault="00017DFB">
            <w:pPr>
              <w:cnfStyle w:val="000000100000" w:firstRow="0" w:lastRow="0" w:firstColumn="0" w:lastColumn="0" w:oddVBand="0" w:evenVBand="0" w:oddHBand="1" w:evenHBand="0" w:firstRowFirstColumn="0" w:firstRowLastColumn="0" w:lastRowFirstColumn="0" w:lastRowLastColumn="0"/>
              <w:rPr>
                <w:rFonts w:ascii="Cambria" w:hAnsi="Cambria" w:cs="Arial"/>
              </w:rPr>
            </w:pPr>
          </w:p>
        </w:tc>
        <w:tc>
          <w:tcPr>
            <w:tcW w:w="5159" w:type="dxa"/>
            <w:hideMark/>
          </w:tcPr>
          <w:p w14:paraId="0B4F86F2" w14:textId="77777777" w:rsidR="00017DFB" w:rsidRPr="009A0DA6" w:rsidRDefault="00017DFB">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 xml:space="preserve">Special grants allocated to the LCA based on General Church Council priorities: </w:t>
            </w:r>
          </w:p>
          <w:p w14:paraId="04F8A40C" w14:textId="38FFF43D" w:rsidR="00017DFB" w:rsidRPr="009A0DA6" w:rsidRDefault="00017DFB">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 xml:space="preserve">2014/15 = $1.9M; 2015/16 = $2.645M; </w:t>
            </w:r>
            <w:r w:rsidR="004A79CA" w:rsidRPr="009A0DA6">
              <w:rPr>
                <w:rFonts w:ascii="Cambria" w:hAnsi="Cambria" w:cs="Arial"/>
              </w:rPr>
              <w:br/>
            </w:r>
            <w:r w:rsidRPr="009A0DA6">
              <w:rPr>
                <w:rFonts w:ascii="Cambria" w:hAnsi="Cambria" w:cs="Arial"/>
              </w:rPr>
              <w:t xml:space="preserve">2016/17 = $1.875M </w:t>
            </w:r>
          </w:p>
          <w:p w14:paraId="51BA0154" w14:textId="77777777" w:rsidR="00017DFB" w:rsidRPr="009A0DA6" w:rsidRDefault="00017DFB">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 xml:space="preserve">Annual grants allocated to specific LCA ministries based on balances held in LLL Permanent Funds: </w:t>
            </w:r>
          </w:p>
          <w:p w14:paraId="67D1CA5B" w14:textId="4E49908A" w:rsidR="00017DFB" w:rsidRPr="009A0DA6" w:rsidRDefault="00017DFB">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 xml:space="preserve">2014/15 = $1.9M; 2015/16 = $2.1M; </w:t>
            </w:r>
            <w:r w:rsidR="004A79CA" w:rsidRPr="009A0DA6">
              <w:rPr>
                <w:rFonts w:ascii="Cambria" w:hAnsi="Cambria" w:cs="Arial"/>
              </w:rPr>
              <w:br/>
            </w:r>
            <w:r w:rsidRPr="009A0DA6">
              <w:rPr>
                <w:rFonts w:ascii="Cambria" w:hAnsi="Cambria" w:cs="Arial"/>
              </w:rPr>
              <w:t>2016/17 = $2.2M</w:t>
            </w:r>
          </w:p>
          <w:p w14:paraId="764CF2E7" w14:textId="773AE9CD" w:rsidR="00017DFB" w:rsidRPr="009A0DA6" w:rsidRDefault="00017DFB">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 xml:space="preserve">Non interest-bearing account grants made to various LCA ministries: 2014/15 = $1.2M; </w:t>
            </w:r>
            <w:r w:rsidR="004A79CA" w:rsidRPr="009A0DA6">
              <w:rPr>
                <w:rFonts w:ascii="Cambria" w:hAnsi="Cambria" w:cs="Arial"/>
              </w:rPr>
              <w:br/>
            </w:r>
            <w:r w:rsidRPr="009A0DA6">
              <w:rPr>
                <w:rFonts w:ascii="Cambria" w:hAnsi="Cambria" w:cs="Arial"/>
              </w:rPr>
              <w:t>2015/16 = $1.1M; 2016/17 = $1.3M</w:t>
            </w:r>
          </w:p>
          <w:p w14:paraId="010F6CB3" w14:textId="77777777" w:rsidR="00017DFB" w:rsidRPr="009A0DA6" w:rsidRDefault="00017DFB">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 xml:space="preserve">Interest savings on loans provided to LCA ministries compared to commercial loan interest rates: </w:t>
            </w:r>
          </w:p>
          <w:p w14:paraId="47C9CE57" w14:textId="2A285E5A" w:rsidR="00017DFB" w:rsidRPr="009A0DA6" w:rsidRDefault="00017DFB">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 xml:space="preserve">2014/15 = $4.6M; 2015/16 = $3.6M; </w:t>
            </w:r>
            <w:r w:rsidR="004A79CA" w:rsidRPr="009A0DA6">
              <w:rPr>
                <w:rFonts w:ascii="Cambria" w:hAnsi="Cambria" w:cs="Arial"/>
              </w:rPr>
              <w:br/>
            </w:r>
            <w:r w:rsidRPr="009A0DA6">
              <w:rPr>
                <w:rFonts w:ascii="Cambria" w:hAnsi="Cambria" w:cs="Arial"/>
              </w:rPr>
              <w:t>2016/17 = $3.3M</w:t>
            </w:r>
          </w:p>
          <w:p w14:paraId="23FDCC1B" w14:textId="69B8665A" w:rsidR="00017DFB" w:rsidRPr="009A0DA6" w:rsidRDefault="00017DFB">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 xml:space="preserve">Various other services provided to LCA incl LCA Treasury function: 2014/15 = $0.4M; </w:t>
            </w:r>
            <w:r w:rsidR="004A79CA" w:rsidRPr="009A0DA6">
              <w:rPr>
                <w:rFonts w:ascii="Cambria" w:hAnsi="Cambria" w:cs="Arial"/>
              </w:rPr>
              <w:br/>
            </w:r>
            <w:r w:rsidRPr="009A0DA6">
              <w:rPr>
                <w:rFonts w:ascii="Cambria" w:hAnsi="Cambria" w:cs="Arial"/>
              </w:rPr>
              <w:t>2015/16 = $0.4M; 2016/17 = $0.4M</w:t>
            </w:r>
          </w:p>
        </w:tc>
      </w:tr>
      <w:tr w:rsidR="004A79CA" w:rsidRPr="009A0DA6" w14:paraId="232CD03C" w14:textId="77777777" w:rsidTr="004A79CA">
        <w:trPr>
          <w:trHeight w:val="267"/>
        </w:trPr>
        <w:tc>
          <w:tcPr>
            <w:cnfStyle w:val="001000000000" w:firstRow="0" w:lastRow="0" w:firstColumn="1" w:lastColumn="0" w:oddVBand="0" w:evenVBand="0" w:oddHBand="0" w:evenHBand="0" w:firstRowFirstColumn="0" w:firstRowLastColumn="0" w:lastRowFirstColumn="0" w:lastRowLastColumn="0"/>
            <w:tcW w:w="1928" w:type="dxa"/>
            <w:hideMark/>
          </w:tcPr>
          <w:p w14:paraId="44371C5F" w14:textId="77777777" w:rsidR="00017DFB" w:rsidRPr="009A0DA6" w:rsidRDefault="00017DFB" w:rsidP="00F55252">
            <w:pPr>
              <w:widowControl w:val="0"/>
              <w:numPr>
                <w:ilvl w:val="0"/>
                <w:numId w:val="284"/>
              </w:numPr>
              <w:suppressAutoHyphens/>
              <w:rPr>
                <w:rFonts w:ascii="Cambria" w:hAnsi="Cambria" w:cs="Arial"/>
              </w:rPr>
            </w:pPr>
            <w:r w:rsidRPr="009A0DA6">
              <w:rPr>
                <w:rFonts w:ascii="Cambria" w:hAnsi="Cambria" w:cs="Arial"/>
              </w:rPr>
              <w:t>To grow our Permanent Funds</w:t>
            </w:r>
          </w:p>
        </w:tc>
        <w:tc>
          <w:tcPr>
            <w:tcW w:w="1701" w:type="dxa"/>
          </w:tcPr>
          <w:p w14:paraId="11483697" w14:textId="77777777" w:rsidR="00017DFB" w:rsidRPr="009A0DA6" w:rsidRDefault="00017DFB">
            <w:pPr>
              <w:cnfStyle w:val="000000000000" w:firstRow="0" w:lastRow="0" w:firstColumn="0" w:lastColumn="0" w:oddVBand="0" w:evenVBand="0" w:oddHBand="0" w:evenHBand="0" w:firstRowFirstColumn="0" w:firstRowLastColumn="0" w:lastRowFirstColumn="0" w:lastRowLastColumn="0"/>
              <w:rPr>
                <w:rFonts w:ascii="Cambria" w:hAnsi="Cambria" w:cs="Arial"/>
              </w:rPr>
            </w:pPr>
          </w:p>
        </w:tc>
        <w:tc>
          <w:tcPr>
            <w:tcW w:w="5159" w:type="dxa"/>
            <w:hideMark/>
          </w:tcPr>
          <w:p w14:paraId="1A62FCAD" w14:textId="77777777" w:rsidR="00017DFB" w:rsidRPr="009A0DA6" w:rsidRDefault="00017DFB">
            <w:pPr>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 xml:space="preserve">Legacies and Donations received from supporters: </w:t>
            </w:r>
          </w:p>
          <w:p w14:paraId="628426B4" w14:textId="10EC589D" w:rsidR="00017DFB" w:rsidRPr="009A0DA6" w:rsidRDefault="00017DFB">
            <w:pPr>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 xml:space="preserve">2014/15 = $1.0M; 2015/16 = $0.4M; </w:t>
            </w:r>
            <w:r w:rsidR="004A79CA" w:rsidRPr="009A0DA6">
              <w:rPr>
                <w:rFonts w:ascii="Cambria" w:hAnsi="Cambria" w:cs="Arial"/>
              </w:rPr>
              <w:br/>
            </w:r>
            <w:r w:rsidRPr="009A0DA6">
              <w:rPr>
                <w:rFonts w:ascii="Cambria" w:hAnsi="Cambria" w:cs="Arial"/>
              </w:rPr>
              <w:t>2016/17 = $1.0M</w:t>
            </w:r>
          </w:p>
          <w:p w14:paraId="02CDA787" w14:textId="77777777" w:rsidR="00017DFB" w:rsidRPr="009A0DA6" w:rsidRDefault="00017DFB">
            <w:pPr>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 xml:space="preserve">Allocations to Ministry Support Fund: </w:t>
            </w:r>
          </w:p>
          <w:p w14:paraId="26A09B3E" w14:textId="56103A4D" w:rsidR="00017DFB" w:rsidRPr="009A0DA6" w:rsidRDefault="00017DFB">
            <w:pPr>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 xml:space="preserve">2014/15 = $2.0M; 2015/16 = $1.0M; </w:t>
            </w:r>
            <w:r w:rsidR="004A79CA" w:rsidRPr="009A0DA6">
              <w:rPr>
                <w:rFonts w:ascii="Cambria" w:hAnsi="Cambria" w:cs="Arial"/>
              </w:rPr>
              <w:br/>
            </w:r>
            <w:r w:rsidRPr="009A0DA6">
              <w:rPr>
                <w:rFonts w:ascii="Cambria" w:hAnsi="Cambria" w:cs="Arial"/>
              </w:rPr>
              <w:t>2016/17 = $1.0M</w:t>
            </w:r>
          </w:p>
          <w:p w14:paraId="7A707203" w14:textId="77777777" w:rsidR="00017DFB" w:rsidRPr="009A0DA6" w:rsidRDefault="00017DFB">
            <w:pPr>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Allocations to other LLL Permanent Funds:</w:t>
            </w:r>
          </w:p>
          <w:p w14:paraId="46D2E1CA" w14:textId="47998FD0" w:rsidR="00017DFB" w:rsidRPr="009A0DA6" w:rsidRDefault="00017DFB">
            <w:pPr>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 xml:space="preserve">2014/15 = $2.2M; 2015/16 = $2.0M; </w:t>
            </w:r>
            <w:r w:rsidR="004A79CA" w:rsidRPr="009A0DA6">
              <w:rPr>
                <w:rFonts w:ascii="Cambria" w:hAnsi="Cambria" w:cs="Arial"/>
              </w:rPr>
              <w:br/>
            </w:r>
            <w:r w:rsidRPr="009A0DA6">
              <w:rPr>
                <w:rFonts w:ascii="Cambria" w:hAnsi="Cambria" w:cs="Arial"/>
              </w:rPr>
              <w:t>2016/17 = $2.5M</w:t>
            </w:r>
          </w:p>
        </w:tc>
      </w:tr>
      <w:tr w:rsidR="004A79CA" w:rsidRPr="009A0DA6" w14:paraId="76C7C119" w14:textId="77777777" w:rsidTr="004A79CA">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928" w:type="dxa"/>
            <w:hideMark/>
          </w:tcPr>
          <w:p w14:paraId="093D5D13" w14:textId="77777777" w:rsidR="00017DFB" w:rsidRPr="009A0DA6" w:rsidRDefault="00017DFB" w:rsidP="00F55252">
            <w:pPr>
              <w:widowControl w:val="0"/>
              <w:numPr>
                <w:ilvl w:val="0"/>
                <w:numId w:val="284"/>
              </w:numPr>
              <w:suppressAutoHyphens/>
              <w:rPr>
                <w:rFonts w:ascii="Cambria" w:hAnsi="Cambria" w:cs="Arial"/>
              </w:rPr>
            </w:pPr>
            <w:r w:rsidRPr="009A0DA6">
              <w:rPr>
                <w:rFonts w:ascii="Cambria" w:hAnsi="Cambria" w:cs="Arial"/>
              </w:rPr>
              <w:t>To raise deposits</w:t>
            </w:r>
          </w:p>
        </w:tc>
        <w:tc>
          <w:tcPr>
            <w:tcW w:w="1701" w:type="dxa"/>
          </w:tcPr>
          <w:p w14:paraId="12285C20" w14:textId="77777777" w:rsidR="00017DFB" w:rsidRPr="009A0DA6" w:rsidRDefault="00017DFB">
            <w:pPr>
              <w:cnfStyle w:val="000000100000" w:firstRow="0" w:lastRow="0" w:firstColumn="0" w:lastColumn="0" w:oddVBand="0" w:evenVBand="0" w:oddHBand="1" w:evenHBand="0" w:firstRowFirstColumn="0" w:firstRowLastColumn="0" w:lastRowFirstColumn="0" w:lastRowLastColumn="0"/>
              <w:rPr>
                <w:rFonts w:ascii="Cambria" w:hAnsi="Cambria" w:cs="Arial"/>
              </w:rPr>
            </w:pPr>
          </w:p>
        </w:tc>
        <w:tc>
          <w:tcPr>
            <w:tcW w:w="5159" w:type="dxa"/>
            <w:hideMark/>
          </w:tcPr>
          <w:p w14:paraId="3162F046" w14:textId="77777777" w:rsidR="00017DFB" w:rsidRPr="009A0DA6" w:rsidRDefault="00017DFB">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Deposits provided by supporters to support LCA ministries:</w:t>
            </w:r>
          </w:p>
          <w:p w14:paraId="3BA86D32" w14:textId="296C8326" w:rsidR="00017DFB" w:rsidRPr="009A0DA6" w:rsidRDefault="00017DFB">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 xml:space="preserve">30/6/15 balance = $884.2M; </w:t>
            </w:r>
            <w:r w:rsidR="004A79CA" w:rsidRPr="009A0DA6">
              <w:rPr>
                <w:rFonts w:ascii="Cambria" w:hAnsi="Cambria" w:cs="Arial"/>
              </w:rPr>
              <w:br/>
            </w:r>
            <w:r w:rsidRPr="009A0DA6">
              <w:rPr>
                <w:rFonts w:ascii="Cambria" w:hAnsi="Cambria" w:cs="Arial"/>
              </w:rPr>
              <w:t>30/6/16 balance = $985.5M;</w:t>
            </w:r>
          </w:p>
          <w:p w14:paraId="4771E0BE" w14:textId="77777777" w:rsidR="00017DFB" w:rsidRPr="009A0DA6" w:rsidRDefault="00017DFB">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30/6/17 balance = $1,030.7M</w:t>
            </w:r>
          </w:p>
        </w:tc>
      </w:tr>
      <w:tr w:rsidR="004A79CA" w:rsidRPr="009A0DA6" w14:paraId="68DEAD2C" w14:textId="77777777" w:rsidTr="004A79CA">
        <w:trPr>
          <w:trHeight w:val="252"/>
        </w:trPr>
        <w:tc>
          <w:tcPr>
            <w:cnfStyle w:val="001000000000" w:firstRow="0" w:lastRow="0" w:firstColumn="1" w:lastColumn="0" w:oddVBand="0" w:evenVBand="0" w:oddHBand="0" w:evenHBand="0" w:firstRowFirstColumn="0" w:firstRowLastColumn="0" w:lastRowFirstColumn="0" w:lastRowLastColumn="0"/>
            <w:tcW w:w="1928" w:type="dxa"/>
            <w:hideMark/>
          </w:tcPr>
          <w:p w14:paraId="6847C162" w14:textId="77777777" w:rsidR="00017DFB" w:rsidRPr="009A0DA6" w:rsidRDefault="00017DFB" w:rsidP="00F55252">
            <w:pPr>
              <w:widowControl w:val="0"/>
              <w:numPr>
                <w:ilvl w:val="0"/>
                <w:numId w:val="284"/>
              </w:numPr>
              <w:suppressAutoHyphens/>
              <w:rPr>
                <w:rFonts w:ascii="Cambria" w:hAnsi="Cambria" w:cs="Arial"/>
              </w:rPr>
            </w:pPr>
            <w:r w:rsidRPr="009A0DA6">
              <w:rPr>
                <w:rFonts w:ascii="Cambria" w:hAnsi="Cambria" w:cs="Arial"/>
              </w:rPr>
              <w:t>To provide loans</w:t>
            </w:r>
          </w:p>
        </w:tc>
        <w:tc>
          <w:tcPr>
            <w:tcW w:w="1701" w:type="dxa"/>
          </w:tcPr>
          <w:p w14:paraId="23D2BC9F" w14:textId="77777777" w:rsidR="00017DFB" w:rsidRPr="009A0DA6" w:rsidRDefault="00017DFB">
            <w:pPr>
              <w:cnfStyle w:val="000000000000" w:firstRow="0" w:lastRow="0" w:firstColumn="0" w:lastColumn="0" w:oddVBand="0" w:evenVBand="0" w:oddHBand="0" w:evenHBand="0" w:firstRowFirstColumn="0" w:firstRowLastColumn="0" w:lastRowFirstColumn="0" w:lastRowLastColumn="0"/>
              <w:rPr>
                <w:rFonts w:ascii="Cambria" w:hAnsi="Cambria" w:cs="Arial"/>
              </w:rPr>
            </w:pPr>
          </w:p>
        </w:tc>
        <w:tc>
          <w:tcPr>
            <w:tcW w:w="5159" w:type="dxa"/>
            <w:hideMark/>
          </w:tcPr>
          <w:p w14:paraId="669AE871" w14:textId="77777777" w:rsidR="00017DFB" w:rsidRPr="009A0DA6" w:rsidRDefault="00017DFB">
            <w:pPr>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 xml:space="preserve">Loans provided to LCA Ministries: </w:t>
            </w:r>
          </w:p>
          <w:p w14:paraId="5FD4183B" w14:textId="42F00F76" w:rsidR="00017DFB" w:rsidRPr="009A0DA6" w:rsidRDefault="00017DFB">
            <w:pPr>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 xml:space="preserve">30/6/15 balance = $352.9M; </w:t>
            </w:r>
            <w:r w:rsidR="004A79CA" w:rsidRPr="009A0DA6">
              <w:rPr>
                <w:rFonts w:ascii="Cambria" w:hAnsi="Cambria" w:cs="Arial"/>
              </w:rPr>
              <w:br/>
            </w:r>
            <w:r w:rsidRPr="009A0DA6">
              <w:rPr>
                <w:rFonts w:ascii="Cambria" w:hAnsi="Cambria" w:cs="Arial"/>
              </w:rPr>
              <w:t>30/6/16 balance = $332.6M;</w:t>
            </w:r>
          </w:p>
          <w:p w14:paraId="66B27FD3" w14:textId="77777777" w:rsidR="00017DFB" w:rsidRPr="009A0DA6" w:rsidRDefault="00017DFB">
            <w:pPr>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30/6/17 balance = $312.3M</w:t>
            </w:r>
          </w:p>
        </w:tc>
      </w:tr>
    </w:tbl>
    <w:p w14:paraId="79A4AD69" w14:textId="77777777" w:rsidR="004A79CA" w:rsidRPr="009A0DA6" w:rsidRDefault="004A79CA" w:rsidP="00017DFB">
      <w:pPr>
        <w:rPr>
          <w:rFonts w:ascii="Cambria" w:hAnsi="Cambria"/>
          <w:b/>
        </w:rPr>
      </w:pPr>
    </w:p>
    <w:p w14:paraId="41A663ED" w14:textId="0E8E06B9" w:rsidR="00017DFB" w:rsidRPr="009A0DA6" w:rsidRDefault="00017DFB" w:rsidP="004A79CA">
      <w:pPr>
        <w:pStyle w:val="Heading3"/>
        <w:rPr>
          <w:rFonts w:cstheme="minorBidi"/>
          <w:sz w:val="22"/>
          <w:szCs w:val="22"/>
          <w:lang w:eastAsia="ja-JP"/>
        </w:rPr>
      </w:pPr>
      <w:r w:rsidRPr="009A0DA6">
        <w:lastRenderedPageBreak/>
        <w:t>Successes</w:t>
      </w:r>
    </w:p>
    <w:p w14:paraId="27544700" w14:textId="77777777" w:rsidR="00017DFB" w:rsidRPr="009A0DA6" w:rsidRDefault="00017DFB" w:rsidP="009334B2">
      <w:pPr>
        <w:numPr>
          <w:ilvl w:val="0"/>
          <w:numId w:val="285"/>
        </w:numPr>
        <w:spacing w:after="0" w:line="240" w:lineRule="auto"/>
        <w:ind w:left="567" w:hanging="567"/>
        <w:contextualSpacing/>
        <w:rPr>
          <w:rFonts w:ascii="Cambria" w:hAnsi="Cambria"/>
          <w:lang w:val="en-US"/>
        </w:rPr>
      </w:pPr>
      <w:r w:rsidRPr="009A0DA6">
        <w:rPr>
          <w:rFonts w:ascii="Cambria" w:hAnsi="Cambria"/>
        </w:rPr>
        <w:t>Total Benefits and Services of $29M provided to the LCA for 2014/15, 2015/16 and 2016/17</w:t>
      </w:r>
    </w:p>
    <w:p w14:paraId="6734A4E9" w14:textId="77777777" w:rsidR="00017DFB" w:rsidRPr="009A0DA6" w:rsidRDefault="00017DFB" w:rsidP="009334B2">
      <w:pPr>
        <w:numPr>
          <w:ilvl w:val="0"/>
          <w:numId w:val="285"/>
        </w:numPr>
        <w:spacing w:after="0" w:line="240" w:lineRule="auto"/>
        <w:ind w:left="567" w:hanging="567"/>
        <w:contextualSpacing/>
        <w:rPr>
          <w:rFonts w:ascii="Cambria" w:hAnsi="Cambria"/>
        </w:rPr>
      </w:pPr>
      <w:r w:rsidRPr="009A0DA6">
        <w:rPr>
          <w:rFonts w:ascii="Cambria" w:hAnsi="Cambria"/>
        </w:rPr>
        <w:t>Funding of LCA 50:500 Project with a special grant of $550,000 to the LCA in 2015/16</w:t>
      </w:r>
    </w:p>
    <w:p w14:paraId="69A77DA5" w14:textId="77777777" w:rsidR="00017DFB" w:rsidRPr="009A0DA6" w:rsidRDefault="00017DFB" w:rsidP="009334B2">
      <w:pPr>
        <w:numPr>
          <w:ilvl w:val="0"/>
          <w:numId w:val="285"/>
        </w:numPr>
        <w:spacing w:after="0" w:line="240" w:lineRule="auto"/>
        <w:ind w:left="567" w:hanging="567"/>
        <w:contextualSpacing/>
        <w:rPr>
          <w:rFonts w:ascii="Cambria" w:hAnsi="Cambria"/>
        </w:rPr>
      </w:pPr>
      <w:r w:rsidRPr="009A0DA6">
        <w:rPr>
          <w:rFonts w:ascii="Cambria" w:hAnsi="Cambria"/>
        </w:rPr>
        <w:t>Continued valuable support from LLL depositors and supporters through increased deposit funds, and legacies and donations received</w:t>
      </w:r>
    </w:p>
    <w:p w14:paraId="598C1E92" w14:textId="77777777" w:rsidR="00017DFB" w:rsidRPr="009A0DA6" w:rsidRDefault="00017DFB" w:rsidP="009334B2">
      <w:pPr>
        <w:numPr>
          <w:ilvl w:val="0"/>
          <w:numId w:val="285"/>
        </w:numPr>
        <w:spacing w:after="0" w:line="240" w:lineRule="auto"/>
        <w:ind w:left="567" w:hanging="567"/>
        <w:contextualSpacing/>
        <w:rPr>
          <w:rFonts w:ascii="Cambria" w:hAnsi="Cambria"/>
        </w:rPr>
      </w:pPr>
      <w:r w:rsidRPr="009A0DA6">
        <w:rPr>
          <w:rFonts w:ascii="Cambria" w:hAnsi="Cambria"/>
        </w:rPr>
        <w:t>Engagement of LLL Board and management with LCA Districts including meeting with local District leaders</w:t>
      </w:r>
    </w:p>
    <w:p w14:paraId="6F7DBC00" w14:textId="77777777" w:rsidR="00017DFB" w:rsidRPr="009A0DA6" w:rsidRDefault="00017DFB" w:rsidP="009334B2">
      <w:pPr>
        <w:numPr>
          <w:ilvl w:val="0"/>
          <w:numId w:val="285"/>
        </w:numPr>
        <w:spacing w:after="0" w:line="240" w:lineRule="auto"/>
        <w:ind w:left="567" w:hanging="567"/>
        <w:contextualSpacing/>
        <w:rPr>
          <w:rFonts w:ascii="Cambria" w:hAnsi="Cambria"/>
        </w:rPr>
      </w:pPr>
      <w:r w:rsidRPr="009A0DA6">
        <w:rPr>
          <w:rFonts w:ascii="Cambria" w:hAnsi="Cambria"/>
        </w:rPr>
        <w:t xml:space="preserve">Implementation of an enhanced Risk Management Framework including a dedicated Risk &amp; Compliance Manager and the use of external consultants </w:t>
      </w:r>
    </w:p>
    <w:p w14:paraId="45A23A98" w14:textId="77777777" w:rsidR="00017DFB" w:rsidRPr="009A0DA6" w:rsidRDefault="00017DFB" w:rsidP="009334B2">
      <w:pPr>
        <w:numPr>
          <w:ilvl w:val="0"/>
          <w:numId w:val="285"/>
        </w:numPr>
        <w:spacing w:after="0" w:line="240" w:lineRule="auto"/>
        <w:ind w:left="567" w:hanging="567"/>
        <w:contextualSpacing/>
        <w:rPr>
          <w:rFonts w:ascii="Cambria" w:hAnsi="Cambria"/>
        </w:rPr>
      </w:pPr>
      <w:r w:rsidRPr="009A0DA6">
        <w:rPr>
          <w:rFonts w:ascii="Cambria" w:hAnsi="Cambria"/>
        </w:rPr>
        <w:t>Operation of Board Audit and Risk Committee (BARC) to oversee audit and risk matters</w:t>
      </w:r>
    </w:p>
    <w:p w14:paraId="7BAEB6F3" w14:textId="77777777" w:rsidR="00017DFB" w:rsidRPr="009A0DA6" w:rsidRDefault="00017DFB" w:rsidP="009334B2">
      <w:pPr>
        <w:numPr>
          <w:ilvl w:val="0"/>
          <w:numId w:val="285"/>
        </w:numPr>
        <w:spacing w:after="0" w:line="240" w:lineRule="auto"/>
        <w:ind w:left="567" w:hanging="567"/>
        <w:contextualSpacing/>
        <w:rPr>
          <w:rFonts w:ascii="Cambria" w:hAnsi="Cambria"/>
        </w:rPr>
      </w:pPr>
      <w:r w:rsidRPr="009A0DA6">
        <w:rPr>
          <w:rFonts w:ascii="Cambria" w:hAnsi="Cambria"/>
        </w:rPr>
        <w:t>Development and implementation of enhanced Loan Policies and Procedures integrating existing processes and introducing improved loan management processes</w:t>
      </w:r>
    </w:p>
    <w:p w14:paraId="78AD9165" w14:textId="77777777" w:rsidR="00017DFB" w:rsidRPr="009A0DA6" w:rsidRDefault="00017DFB" w:rsidP="009334B2">
      <w:pPr>
        <w:numPr>
          <w:ilvl w:val="0"/>
          <w:numId w:val="285"/>
        </w:numPr>
        <w:spacing w:after="0" w:line="240" w:lineRule="auto"/>
        <w:ind w:left="567" w:hanging="567"/>
        <w:contextualSpacing/>
        <w:rPr>
          <w:rFonts w:ascii="Cambria" w:hAnsi="Cambria"/>
        </w:rPr>
      </w:pPr>
      <w:r w:rsidRPr="009A0DA6">
        <w:rPr>
          <w:rFonts w:ascii="Cambria" w:hAnsi="Cambria"/>
        </w:rPr>
        <w:t>Capital Adequacy continues to be at excellent levels due to supporters providing legacies &amp; donations, and Directors allocations to Ministry Support Fund and other LLL Permanent Funds</w:t>
      </w:r>
    </w:p>
    <w:p w14:paraId="35AFB91E" w14:textId="77777777" w:rsidR="00017DFB" w:rsidRPr="009A0DA6" w:rsidRDefault="00017DFB" w:rsidP="009334B2">
      <w:pPr>
        <w:numPr>
          <w:ilvl w:val="0"/>
          <w:numId w:val="285"/>
        </w:numPr>
        <w:spacing w:after="0" w:line="240" w:lineRule="auto"/>
        <w:ind w:left="567" w:hanging="567"/>
        <w:contextualSpacing/>
        <w:rPr>
          <w:rFonts w:ascii="Cambria" w:hAnsi="Cambria"/>
        </w:rPr>
      </w:pPr>
      <w:r w:rsidRPr="009A0DA6">
        <w:rPr>
          <w:rFonts w:ascii="Cambria" w:hAnsi="Cambria"/>
        </w:rPr>
        <w:t>Submission to Australian Prudential Regulation Authority (APRA) to become an Authorised Deposit-taking Institution (ADI) from 1 July 2018.</w:t>
      </w:r>
    </w:p>
    <w:p w14:paraId="13A31DF1" w14:textId="77777777" w:rsidR="004A79CA" w:rsidRPr="009A0DA6" w:rsidRDefault="004A79CA" w:rsidP="00017DFB">
      <w:pPr>
        <w:rPr>
          <w:rFonts w:ascii="Cambria" w:hAnsi="Cambria"/>
          <w:b/>
          <w:sz w:val="4"/>
        </w:rPr>
      </w:pPr>
    </w:p>
    <w:p w14:paraId="315D7D41" w14:textId="4BFBBD89" w:rsidR="00017DFB" w:rsidRPr="009A0DA6" w:rsidRDefault="00017DFB" w:rsidP="004A79CA">
      <w:pPr>
        <w:pStyle w:val="Heading3"/>
      </w:pPr>
      <w:r w:rsidRPr="009A0DA6">
        <w:t>Challenges and Lessons Learned</w:t>
      </w:r>
    </w:p>
    <w:p w14:paraId="6D82AE06" w14:textId="331023C0" w:rsidR="004A79CA" w:rsidRPr="009A0DA6" w:rsidRDefault="00017DFB" w:rsidP="009334B2">
      <w:pPr>
        <w:numPr>
          <w:ilvl w:val="0"/>
          <w:numId w:val="286"/>
        </w:numPr>
        <w:spacing w:after="0" w:line="240" w:lineRule="auto"/>
        <w:ind w:left="567" w:hanging="567"/>
        <w:rPr>
          <w:rFonts w:ascii="Cambria" w:hAnsi="Cambria"/>
        </w:rPr>
      </w:pPr>
      <w:r w:rsidRPr="009A0DA6">
        <w:rPr>
          <w:rFonts w:ascii="Cambria" w:hAnsi="Cambria"/>
        </w:rPr>
        <w:t xml:space="preserve">The regulatory environment continues to be a major focus for Board and management. This results </w:t>
      </w:r>
      <w:r w:rsidR="00295E5B" w:rsidRPr="009A0DA6">
        <w:rPr>
          <w:rFonts w:ascii="Cambria" w:hAnsi="Cambria"/>
        </w:rPr>
        <w:t>in a substantial commitment in b</w:t>
      </w:r>
      <w:r w:rsidRPr="009A0DA6">
        <w:rPr>
          <w:rFonts w:ascii="Cambria" w:hAnsi="Cambria"/>
        </w:rPr>
        <w:t xml:space="preserve">oard time and significant costs due to the need to use professional advisors to assist with compliance and government regulation issues. </w:t>
      </w:r>
    </w:p>
    <w:p w14:paraId="566D5F52" w14:textId="4AB0CE5E" w:rsidR="00017DFB" w:rsidRPr="00491DC4" w:rsidRDefault="00017DFB" w:rsidP="009334B2">
      <w:pPr>
        <w:numPr>
          <w:ilvl w:val="0"/>
          <w:numId w:val="286"/>
        </w:numPr>
        <w:spacing w:after="0" w:line="240" w:lineRule="auto"/>
        <w:ind w:left="567" w:hanging="567"/>
        <w:rPr>
          <w:rFonts w:ascii="Cambria" w:hAnsi="Cambria"/>
          <w:sz w:val="10"/>
        </w:rPr>
      </w:pPr>
      <w:r w:rsidRPr="009A0DA6">
        <w:rPr>
          <w:rFonts w:ascii="Cambria" w:hAnsi="Cambria"/>
        </w:rPr>
        <w:t xml:space="preserve">Historically low interest rate environment makes it difficult for the </w:t>
      </w:r>
      <w:r w:rsidR="00295E5B" w:rsidRPr="009A0DA6">
        <w:rPr>
          <w:rFonts w:ascii="Cambria" w:hAnsi="Cambria"/>
        </w:rPr>
        <w:t>board</w:t>
      </w:r>
      <w:r w:rsidRPr="009A0DA6">
        <w:rPr>
          <w:rFonts w:ascii="Cambria" w:hAnsi="Cambria"/>
        </w:rPr>
        <w:t xml:space="preserve"> to balance paying a competitive savings account interest rate with the need to provide benefits and services to the LCA.</w:t>
      </w:r>
      <w:r w:rsidR="004A79CA" w:rsidRPr="009A0DA6">
        <w:rPr>
          <w:rFonts w:ascii="Cambria" w:hAnsi="Cambria"/>
        </w:rPr>
        <w:br/>
      </w:r>
    </w:p>
    <w:p w14:paraId="3CEEBBAF" w14:textId="77777777" w:rsidR="00017DFB" w:rsidRPr="009A0DA6" w:rsidRDefault="00017DFB" w:rsidP="004A79CA">
      <w:pPr>
        <w:pStyle w:val="Heading3"/>
      </w:pPr>
      <w:r w:rsidRPr="009A0DA6">
        <w:t>Risks</w:t>
      </w:r>
    </w:p>
    <w:tbl>
      <w:tblPr>
        <w:tblStyle w:val="PlainTable2"/>
        <w:tblW w:w="8505" w:type="dxa"/>
        <w:tblLook w:val="04A0" w:firstRow="1" w:lastRow="0" w:firstColumn="1" w:lastColumn="0" w:noHBand="0" w:noVBand="1"/>
      </w:tblPr>
      <w:tblGrid>
        <w:gridCol w:w="2835"/>
        <w:gridCol w:w="2268"/>
        <w:gridCol w:w="3402"/>
      </w:tblGrid>
      <w:tr w:rsidR="00017DFB" w:rsidRPr="009A0DA6" w14:paraId="676185D3" w14:textId="77777777" w:rsidTr="00491DC4">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835" w:type="dxa"/>
            <w:hideMark/>
          </w:tcPr>
          <w:p w14:paraId="2DA2FBD2" w14:textId="6DB52FA7" w:rsidR="00017DFB" w:rsidRPr="009A0DA6" w:rsidRDefault="00017DFB" w:rsidP="0015713F">
            <w:pPr>
              <w:rPr>
                <w:rFonts w:ascii="Cambria" w:hAnsi="Cambria" w:cs="Arial"/>
              </w:rPr>
            </w:pPr>
            <w:r w:rsidRPr="009A0DA6">
              <w:rPr>
                <w:rFonts w:ascii="Cambria" w:hAnsi="Cambria" w:cs="Arial"/>
              </w:rPr>
              <w:t xml:space="preserve">Description of </w:t>
            </w:r>
            <w:r w:rsidR="004A79CA" w:rsidRPr="009A0DA6">
              <w:rPr>
                <w:rFonts w:ascii="Cambria" w:hAnsi="Cambria" w:cs="Arial"/>
              </w:rPr>
              <w:t>risk</w:t>
            </w:r>
          </w:p>
        </w:tc>
        <w:tc>
          <w:tcPr>
            <w:tcW w:w="2268" w:type="dxa"/>
            <w:hideMark/>
          </w:tcPr>
          <w:p w14:paraId="60A3798F" w14:textId="77777777" w:rsidR="00017DFB" w:rsidRPr="009A0DA6" w:rsidRDefault="00017DFB" w:rsidP="0015713F">
            <w:pPr>
              <w:cnfStyle w:val="100000000000" w:firstRow="1"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Likelihood of risk occurring and potential impact for the ministry and LCA</w:t>
            </w:r>
          </w:p>
        </w:tc>
        <w:tc>
          <w:tcPr>
            <w:tcW w:w="3402" w:type="dxa"/>
            <w:hideMark/>
          </w:tcPr>
          <w:p w14:paraId="7A7B4DB8" w14:textId="77777777" w:rsidR="00017DFB" w:rsidRPr="009A0DA6" w:rsidRDefault="00017DFB" w:rsidP="0015713F">
            <w:pPr>
              <w:cnfStyle w:val="100000000000" w:firstRow="1"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Summary of action to mitigate the risk</w:t>
            </w:r>
          </w:p>
        </w:tc>
      </w:tr>
      <w:tr w:rsidR="00017DFB" w:rsidRPr="009A0DA6" w14:paraId="47AAA4F1" w14:textId="77777777" w:rsidTr="00491DC4">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835" w:type="dxa"/>
            <w:hideMark/>
          </w:tcPr>
          <w:p w14:paraId="2357E4C4" w14:textId="77777777" w:rsidR="00017DFB" w:rsidRPr="009A0DA6" w:rsidRDefault="00017DFB">
            <w:pPr>
              <w:widowControl w:val="0"/>
              <w:suppressAutoHyphens/>
              <w:rPr>
                <w:rFonts w:ascii="Cambria" w:hAnsi="Cambria" w:cs="Arial"/>
                <w:b w:val="0"/>
              </w:rPr>
            </w:pPr>
            <w:r w:rsidRPr="009A0DA6">
              <w:rPr>
                <w:rFonts w:ascii="Cambria" w:hAnsi="Cambria" w:cs="Arial"/>
              </w:rPr>
              <w:t>Major changes in Government regulation including changes in Banking Act and Corporations Act conditions</w:t>
            </w:r>
          </w:p>
        </w:tc>
        <w:tc>
          <w:tcPr>
            <w:tcW w:w="2268" w:type="dxa"/>
            <w:hideMark/>
          </w:tcPr>
          <w:p w14:paraId="7DF0095E" w14:textId="77777777" w:rsidR="00017DFB" w:rsidRPr="009A0DA6" w:rsidRDefault="00017DFB">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Unlikely. Impact could be major depending on type of change/s</w:t>
            </w:r>
          </w:p>
        </w:tc>
        <w:tc>
          <w:tcPr>
            <w:tcW w:w="3402" w:type="dxa"/>
            <w:hideMark/>
          </w:tcPr>
          <w:p w14:paraId="7CA45700" w14:textId="77777777" w:rsidR="00017DFB" w:rsidRPr="009A0DA6" w:rsidRDefault="00017DFB">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Consultation with regulators and engagement with professional advisors</w:t>
            </w:r>
          </w:p>
        </w:tc>
      </w:tr>
      <w:tr w:rsidR="00017DFB" w:rsidRPr="009A0DA6" w14:paraId="08889E54" w14:textId="77777777" w:rsidTr="00491DC4">
        <w:trPr>
          <w:trHeight w:val="267"/>
        </w:trPr>
        <w:tc>
          <w:tcPr>
            <w:cnfStyle w:val="001000000000" w:firstRow="0" w:lastRow="0" w:firstColumn="1" w:lastColumn="0" w:oddVBand="0" w:evenVBand="0" w:oddHBand="0" w:evenHBand="0" w:firstRowFirstColumn="0" w:firstRowLastColumn="0" w:lastRowFirstColumn="0" w:lastRowLastColumn="0"/>
            <w:tcW w:w="2835" w:type="dxa"/>
            <w:hideMark/>
          </w:tcPr>
          <w:p w14:paraId="78869AD2" w14:textId="77777777" w:rsidR="00017DFB" w:rsidRPr="009A0DA6" w:rsidRDefault="00017DFB">
            <w:pPr>
              <w:widowControl w:val="0"/>
              <w:suppressAutoHyphens/>
              <w:rPr>
                <w:rFonts w:ascii="Cambria" w:hAnsi="Cambria" w:cs="Arial"/>
              </w:rPr>
            </w:pPr>
            <w:r w:rsidRPr="009A0DA6">
              <w:rPr>
                <w:rFonts w:ascii="Cambria" w:hAnsi="Cambria" w:cs="Arial"/>
              </w:rPr>
              <w:t>Credit/Loans Management</w:t>
            </w:r>
          </w:p>
        </w:tc>
        <w:tc>
          <w:tcPr>
            <w:tcW w:w="2268" w:type="dxa"/>
            <w:hideMark/>
          </w:tcPr>
          <w:p w14:paraId="5EEE725B" w14:textId="77777777" w:rsidR="00017DFB" w:rsidRPr="009A0DA6" w:rsidRDefault="00017DFB">
            <w:pPr>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Unlikely. Impact could be major if a large borrower defaults</w:t>
            </w:r>
          </w:p>
        </w:tc>
        <w:tc>
          <w:tcPr>
            <w:tcW w:w="3402" w:type="dxa"/>
            <w:hideMark/>
          </w:tcPr>
          <w:p w14:paraId="7CA607DD" w14:textId="77777777" w:rsidR="00017DFB" w:rsidRPr="009A0DA6" w:rsidRDefault="00017DFB">
            <w:pPr>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Development of enhanced loan security and management processes with the assistance of dedicated Risk and Compliance Manager and external consultants</w:t>
            </w:r>
          </w:p>
        </w:tc>
      </w:tr>
      <w:tr w:rsidR="00017DFB" w:rsidRPr="009A0DA6" w14:paraId="6538FEEA" w14:textId="77777777" w:rsidTr="00491DC4">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835" w:type="dxa"/>
            <w:hideMark/>
          </w:tcPr>
          <w:p w14:paraId="7C2EA580" w14:textId="77777777" w:rsidR="00017DFB" w:rsidRPr="009A0DA6" w:rsidRDefault="00017DFB">
            <w:pPr>
              <w:widowControl w:val="0"/>
              <w:suppressAutoHyphens/>
              <w:rPr>
                <w:rFonts w:ascii="Cambria" w:hAnsi="Cambria" w:cs="Arial"/>
              </w:rPr>
            </w:pPr>
            <w:r w:rsidRPr="009A0DA6">
              <w:rPr>
                <w:rFonts w:ascii="Cambria" w:hAnsi="Cambria" w:cs="Arial"/>
              </w:rPr>
              <w:t>Interest Rates</w:t>
            </w:r>
          </w:p>
        </w:tc>
        <w:tc>
          <w:tcPr>
            <w:tcW w:w="2268" w:type="dxa"/>
            <w:hideMark/>
          </w:tcPr>
          <w:p w14:paraId="2490070E" w14:textId="77777777" w:rsidR="00017DFB" w:rsidRPr="009A0DA6" w:rsidRDefault="00017DFB">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Likely. Impact could be major if LLL deposit interest rates not well managed</w:t>
            </w:r>
          </w:p>
        </w:tc>
        <w:tc>
          <w:tcPr>
            <w:tcW w:w="3402" w:type="dxa"/>
            <w:hideMark/>
          </w:tcPr>
          <w:p w14:paraId="446B58C3" w14:textId="77777777" w:rsidR="00017DFB" w:rsidRPr="009A0DA6" w:rsidRDefault="00017DFB">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Active management of interest rates including use of investment consultants</w:t>
            </w:r>
          </w:p>
        </w:tc>
      </w:tr>
    </w:tbl>
    <w:p w14:paraId="07C6A170" w14:textId="77777777" w:rsidR="00206BF6" w:rsidRDefault="00206BF6" w:rsidP="004A79CA">
      <w:pPr>
        <w:pStyle w:val="Heading3"/>
      </w:pPr>
    </w:p>
    <w:p w14:paraId="35F99B4C" w14:textId="77777777" w:rsidR="00206BF6" w:rsidRDefault="00206BF6">
      <w:pPr>
        <w:rPr>
          <w:rFonts w:ascii="Cambria" w:eastAsiaTheme="majorEastAsia" w:hAnsi="Cambria" w:cstheme="majorBidi"/>
          <w:b/>
          <w:caps/>
          <w:sz w:val="28"/>
          <w:szCs w:val="24"/>
        </w:rPr>
      </w:pPr>
      <w:r>
        <w:br w:type="page"/>
      </w:r>
    </w:p>
    <w:p w14:paraId="56983B30" w14:textId="6A2C0646" w:rsidR="00017DFB" w:rsidRPr="009A0DA6" w:rsidRDefault="00017DFB" w:rsidP="004A79CA">
      <w:pPr>
        <w:pStyle w:val="Heading3"/>
        <w:rPr>
          <w:rFonts w:cstheme="minorBidi"/>
          <w:sz w:val="22"/>
          <w:szCs w:val="22"/>
          <w:lang w:val="en-US" w:eastAsia="ja-JP"/>
        </w:rPr>
      </w:pPr>
      <w:r w:rsidRPr="009A0DA6">
        <w:lastRenderedPageBreak/>
        <w:t xml:space="preserve">Alignment to LCA Strategic Direction </w:t>
      </w:r>
      <w:r w:rsidR="00AC7AA2">
        <w:t>2013–2018</w:t>
      </w:r>
    </w:p>
    <w:p w14:paraId="292374A9" w14:textId="5A33B29B" w:rsidR="00017DFB" w:rsidRPr="009A0DA6" w:rsidRDefault="00017DFB" w:rsidP="009334B2">
      <w:pPr>
        <w:numPr>
          <w:ilvl w:val="0"/>
          <w:numId w:val="287"/>
        </w:numPr>
        <w:spacing w:after="0" w:line="240" w:lineRule="auto"/>
        <w:ind w:left="567" w:hanging="567"/>
        <w:rPr>
          <w:rFonts w:ascii="Cambria" w:hAnsi="Cambria"/>
        </w:rPr>
      </w:pPr>
      <w:r w:rsidRPr="009A0DA6">
        <w:rPr>
          <w:rFonts w:ascii="Cambria" w:hAnsi="Cambria"/>
        </w:rPr>
        <w:t xml:space="preserve">Governance and Leadership (3.1) – professional skills based </w:t>
      </w:r>
      <w:r w:rsidR="00295E5B" w:rsidRPr="009A0DA6">
        <w:rPr>
          <w:rFonts w:ascii="Cambria" w:hAnsi="Cambria"/>
        </w:rPr>
        <w:t>board</w:t>
      </w:r>
      <w:r w:rsidRPr="009A0DA6">
        <w:rPr>
          <w:rFonts w:ascii="Cambria" w:hAnsi="Cambria"/>
        </w:rPr>
        <w:t xml:space="preserve"> with culture of education and improvement. Management and staff with skills required to deliver products and services provided by the LLL.</w:t>
      </w:r>
      <w:r w:rsidR="009334B2">
        <w:rPr>
          <w:rFonts w:ascii="Cambria" w:hAnsi="Cambria"/>
        </w:rPr>
        <w:br/>
      </w:r>
    </w:p>
    <w:p w14:paraId="503F312A" w14:textId="0C57B875" w:rsidR="00017DFB" w:rsidRPr="009A0DA6" w:rsidRDefault="00017DFB" w:rsidP="009334B2">
      <w:pPr>
        <w:numPr>
          <w:ilvl w:val="0"/>
          <w:numId w:val="287"/>
        </w:numPr>
        <w:spacing w:after="0" w:line="240" w:lineRule="auto"/>
        <w:ind w:left="567" w:hanging="567"/>
        <w:rPr>
          <w:rFonts w:ascii="Cambria" w:hAnsi="Cambria"/>
        </w:rPr>
      </w:pPr>
      <w:r w:rsidRPr="009A0DA6">
        <w:rPr>
          <w:rFonts w:ascii="Cambria" w:hAnsi="Cambria"/>
        </w:rPr>
        <w:t>Communications and Engagement (3.2) – regular communication to all stakeholders of ministry and mission support provided by the LCA. Annual Together in Mission booklet provides summary of how the LLL is in partnership with the LCA in ministry and mission.</w:t>
      </w:r>
      <w:r w:rsidR="009334B2">
        <w:rPr>
          <w:rFonts w:ascii="Cambria" w:hAnsi="Cambria"/>
        </w:rPr>
        <w:br/>
      </w:r>
    </w:p>
    <w:p w14:paraId="234DF3D2" w14:textId="1C4C134F" w:rsidR="00017DFB" w:rsidRPr="009A0DA6" w:rsidRDefault="00017DFB" w:rsidP="009334B2">
      <w:pPr>
        <w:numPr>
          <w:ilvl w:val="0"/>
          <w:numId w:val="287"/>
        </w:numPr>
        <w:spacing w:after="0" w:line="240" w:lineRule="auto"/>
        <w:ind w:left="567" w:hanging="567"/>
        <w:rPr>
          <w:rFonts w:ascii="Cambria" w:hAnsi="Cambria"/>
        </w:rPr>
      </w:pPr>
      <w:r w:rsidRPr="009A0DA6">
        <w:rPr>
          <w:rFonts w:ascii="Cambria" w:hAnsi="Cambria"/>
        </w:rPr>
        <w:t>Assets and Resources (3.3) – enhanced provision of financial support to the LCA through regular grants as a result of LLL Permanent Funds and Special grants to assist specific LCA ministries as requested by General Church Council.</w:t>
      </w:r>
      <w:r w:rsidR="009334B2">
        <w:rPr>
          <w:rFonts w:ascii="Cambria" w:hAnsi="Cambria"/>
        </w:rPr>
        <w:br/>
      </w:r>
    </w:p>
    <w:p w14:paraId="008F97C9" w14:textId="77777777" w:rsidR="00017DFB" w:rsidRPr="009A0DA6" w:rsidRDefault="00017DFB" w:rsidP="004A79CA">
      <w:pPr>
        <w:pStyle w:val="Heading3"/>
      </w:pPr>
      <w:r w:rsidRPr="009A0DA6">
        <w:t>Cooperating LCA Boards and Agencies</w:t>
      </w:r>
    </w:p>
    <w:tbl>
      <w:tblPr>
        <w:tblStyle w:val="PlainTable2"/>
        <w:tblW w:w="0" w:type="auto"/>
        <w:tblLook w:val="04A0" w:firstRow="1" w:lastRow="0" w:firstColumn="1" w:lastColumn="0" w:noHBand="0" w:noVBand="1"/>
      </w:tblPr>
      <w:tblGrid>
        <w:gridCol w:w="3358"/>
        <w:gridCol w:w="5310"/>
      </w:tblGrid>
      <w:tr w:rsidR="00017DFB" w:rsidRPr="009A0DA6" w14:paraId="0F72691A" w14:textId="77777777" w:rsidTr="004A79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1FBE9AFE" w14:textId="77777777" w:rsidR="00017DFB" w:rsidRPr="009A0DA6" w:rsidRDefault="00017DFB">
            <w:pPr>
              <w:rPr>
                <w:rFonts w:ascii="Cambria" w:hAnsi="Cambria" w:cs="Arial"/>
              </w:rPr>
            </w:pPr>
            <w:r w:rsidRPr="009A0DA6">
              <w:rPr>
                <w:rFonts w:ascii="Cambria" w:hAnsi="Cambria" w:cs="Arial"/>
              </w:rPr>
              <w:t>General Church Council</w:t>
            </w:r>
          </w:p>
        </w:tc>
        <w:tc>
          <w:tcPr>
            <w:tcW w:w="5387" w:type="dxa"/>
            <w:hideMark/>
          </w:tcPr>
          <w:p w14:paraId="6E4CB2C0" w14:textId="77777777" w:rsidR="00017DFB" w:rsidRPr="009A0DA6" w:rsidRDefault="00017DFB">
            <w:pPr>
              <w:cnfStyle w:val="100000000000" w:firstRow="1" w:lastRow="0" w:firstColumn="0" w:lastColumn="0" w:oddVBand="0" w:evenVBand="0" w:oddHBand="0" w:evenHBand="0" w:firstRowFirstColumn="0" w:firstRowLastColumn="0" w:lastRowFirstColumn="0" w:lastRowLastColumn="0"/>
              <w:rPr>
                <w:rFonts w:ascii="Cambria" w:hAnsi="Cambria" w:cs="Arial"/>
                <w:b w:val="0"/>
              </w:rPr>
            </w:pPr>
            <w:r w:rsidRPr="009A0DA6">
              <w:rPr>
                <w:rFonts w:ascii="Cambria" w:hAnsi="Cambria" w:cs="Arial"/>
                <w:b w:val="0"/>
              </w:rPr>
              <w:t>Regular consultation via Executive Officer of Church and responding to specific funding requests</w:t>
            </w:r>
          </w:p>
        </w:tc>
      </w:tr>
      <w:tr w:rsidR="00017DFB" w:rsidRPr="009A0DA6" w14:paraId="0A5895C3" w14:textId="77777777" w:rsidTr="004A79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3336B12F" w14:textId="77777777" w:rsidR="00017DFB" w:rsidRPr="009A0DA6" w:rsidRDefault="00017DFB">
            <w:pPr>
              <w:rPr>
                <w:rFonts w:ascii="Cambria" w:hAnsi="Cambria" w:cs="Arial"/>
                <w:lang w:val="en-US"/>
              </w:rPr>
            </w:pPr>
            <w:r w:rsidRPr="009A0DA6">
              <w:rPr>
                <w:rFonts w:ascii="Cambria" w:hAnsi="Cambria" w:cs="Arial"/>
              </w:rPr>
              <w:t>Lutheran Education Australia</w:t>
            </w:r>
          </w:p>
        </w:tc>
        <w:tc>
          <w:tcPr>
            <w:tcW w:w="5387" w:type="dxa"/>
            <w:hideMark/>
          </w:tcPr>
          <w:p w14:paraId="54382E64" w14:textId="77777777" w:rsidR="00017DFB" w:rsidRPr="009A0DA6" w:rsidRDefault="00017DFB">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Regular consultation with LEA Business Manager</w:t>
            </w:r>
          </w:p>
        </w:tc>
      </w:tr>
      <w:tr w:rsidR="00017DFB" w:rsidRPr="009A0DA6" w14:paraId="6902AA64" w14:textId="77777777" w:rsidTr="004A79CA">
        <w:tc>
          <w:tcPr>
            <w:cnfStyle w:val="001000000000" w:firstRow="0" w:lastRow="0" w:firstColumn="1" w:lastColumn="0" w:oddVBand="0" w:evenVBand="0" w:oddHBand="0" w:evenHBand="0" w:firstRowFirstColumn="0" w:firstRowLastColumn="0" w:lastRowFirstColumn="0" w:lastRowLastColumn="0"/>
            <w:tcW w:w="3402" w:type="dxa"/>
            <w:hideMark/>
          </w:tcPr>
          <w:p w14:paraId="03760EBE" w14:textId="77777777" w:rsidR="00017DFB" w:rsidRPr="009A0DA6" w:rsidRDefault="00017DFB">
            <w:pPr>
              <w:rPr>
                <w:rFonts w:ascii="Cambria" w:hAnsi="Cambria" w:cs="Arial"/>
              </w:rPr>
            </w:pPr>
            <w:r w:rsidRPr="009A0DA6">
              <w:rPr>
                <w:rFonts w:ascii="Cambria" w:hAnsi="Cambria" w:cs="Arial"/>
              </w:rPr>
              <w:t>LCA Districts</w:t>
            </w:r>
          </w:p>
        </w:tc>
        <w:tc>
          <w:tcPr>
            <w:tcW w:w="5387" w:type="dxa"/>
            <w:hideMark/>
          </w:tcPr>
          <w:p w14:paraId="63204BA3" w14:textId="77777777" w:rsidR="00017DFB" w:rsidRPr="009A0DA6" w:rsidRDefault="00017DFB">
            <w:pPr>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Regular consultation with District Administrators and Regional School Business Managers</w:t>
            </w:r>
          </w:p>
        </w:tc>
      </w:tr>
    </w:tbl>
    <w:p w14:paraId="09BB793C" w14:textId="77777777" w:rsidR="004A79CA" w:rsidRPr="009A0DA6" w:rsidRDefault="004A79CA" w:rsidP="00017DFB">
      <w:pPr>
        <w:spacing w:after="0"/>
        <w:rPr>
          <w:rFonts w:ascii="Cambria" w:hAnsi="Cambria"/>
          <w:b/>
        </w:rPr>
      </w:pPr>
    </w:p>
    <w:p w14:paraId="264FBA09" w14:textId="2C9FCE56" w:rsidR="00017DFB" w:rsidRPr="009A0DA6" w:rsidRDefault="00017DFB" w:rsidP="004A79CA">
      <w:pPr>
        <w:pStyle w:val="Heading3"/>
        <w:rPr>
          <w:rFonts w:cstheme="minorBidi"/>
          <w:sz w:val="22"/>
          <w:szCs w:val="22"/>
          <w:lang w:val="en-US" w:eastAsia="ja-JP"/>
        </w:rPr>
      </w:pPr>
      <w:r w:rsidRPr="009A0DA6">
        <w:t>Financial Performance</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1"/>
        <w:gridCol w:w="1639"/>
        <w:gridCol w:w="1639"/>
        <w:gridCol w:w="1649"/>
      </w:tblGrid>
      <w:tr w:rsidR="00017DFB" w:rsidRPr="009A0DA6" w14:paraId="0E9A3F41" w14:textId="77777777" w:rsidTr="00765A6A">
        <w:tc>
          <w:tcPr>
            <w:tcW w:w="3731" w:type="dxa"/>
            <w:hideMark/>
          </w:tcPr>
          <w:p w14:paraId="3EF33A4E" w14:textId="77777777" w:rsidR="00017DFB" w:rsidRDefault="00017DFB">
            <w:pPr>
              <w:rPr>
                <w:rFonts w:ascii="Cambria" w:hAnsi="Cambria" w:cs="Arial"/>
                <w:b/>
              </w:rPr>
            </w:pPr>
            <w:r w:rsidRPr="009A0DA6">
              <w:rPr>
                <w:rFonts w:ascii="Cambria" w:hAnsi="Cambria" w:cs="Arial"/>
                <w:b/>
              </w:rPr>
              <w:t>Alignment to LCA Strategic Priorities</w:t>
            </w:r>
            <w:r w:rsidR="006C6F9E">
              <w:rPr>
                <w:rFonts w:ascii="Cambria" w:hAnsi="Cambria" w:cs="Arial"/>
                <w:b/>
              </w:rPr>
              <w:t xml:space="preserve"> (Expendi</w:t>
            </w:r>
            <w:r w:rsidR="00351A0F">
              <w:rPr>
                <w:rFonts w:ascii="Cambria" w:hAnsi="Cambria" w:cs="Arial"/>
                <w:b/>
              </w:rPr>
              <w:t>ture)</w:t>
            </w:r>
          </w:p>
          <w:p w14:paraId="1A1117BA" w14:textId="6240C9F4" w:rsidR="00765A6A" w:rsidRPr="00765A6A" w:rsidRDefault="00765A6A">
            <w:pPr>
              <w:rPr>
                <w:rFonts w:ascii="Cambria" w:hAnsi="Cambria" w:cs="Arial"/>
              </w:rPr>
            </w:pPr>
            <w:r w:rsidRPr="00765A6A">
              <w:rPr>
                <w:rFonts w:ascii="Cambria" w:hAnsi="Cambria" w:cs="Arial"/>
              </w:rPr>
              <w:t>1     Growing as God’s People</w:t>
            </w:r>
          </w:p>
          <w:p w14:paraId="536970F7" w14:textId="0ABFF286" w:rsidR="00765A6A" w:rsidRPr="00765A6A" w:rsidRDefault="00765A6A" w:rsidP="00765A6A">
            <w:pPr>
              <w:pStyle w:val="ListParagraph"/>
              <w:numPr>
                <w:ilvl w:val="0"/>
                <w:numId w:val="326"/>
              </w:numPr>
              <w:spacing w:line="240" w:lineRule="auto"/>
              <w:rPr>
                <w:rFonts w:ascii="Cambria" w:hAnsi="Cambria" w:cs="Arial"/>
              </w:rPr>
            </w:pPr>
            <w:r w:rsidRPr="00765A6A">
              <w:rPr>
                <w:rFonts w:ascii="Cambria" w:hAnsi="Cambria" w:cs="Arial"/>
              </w:rPr>
              <w:t>Going as God’s People</w:t>
            </w:r>
          </w:p>
          <w:p w14:paraId="5914FA5C" w14:textId="303DA3FB" w:rsidR="00765A6A" w:rsidRPr="00765A6A" w:rsidRDefault="00765A6A" w:rsidP="00765A6A">
            <w:pPr>
              <w:pStyle w:val="ListParagraph"/>
              <w:numPr>
                <w:ilvl w:val="0"/>
                <w:numId w:val="326"/>
              </w:numPr>
              <w:spacing w:line="240" w:lineRule="auto"/>
              <w:rPr>
                <w:rFonts w:ascii="Cambria" w:hAnsi="Cambria" w:cs="Arial"/>
              </w:rPr>
            </w:pPr>
            <w:r w:rsidRPr="00765A6A">
              <w:rPr>
                <w:rFonts w:ascii="Cambria" w:hAnsi="Cambria" w:cs="Arial"/>
              </w:rPr>
              <w:t>Enable us to Go &amp; Grow</w:t>
            </w:r>
            <w:r>
              <w:rPr>
                <w:rFonts w:ascii="Cambria" w:hAnsi="Cambria" w:cs="Arial"/>
              </w:rPr>
              <w:t xml:space="preserve">                            </w:t>
            </w:r>
          </w:p>
          <w:p w14:paraId="06CB6818" w14:textId="28427F0F" w:rsidR="00765A6A" w:rsidRPr="009A0DA6" w:rsidRDefault="00765A6A">
            <w:pPr>
              <w:rPr>
                <w:rFonts w:ascii="Cambria" w:hAnsi="Cambria" w:cs="Arial"/>
                <w:b/>
              </w:rPr>
            </w:pPr>
          </w:p>
        </w:tc>
        <w:tc>
          <w:tcPr>
            <w:tcW w:w="1639" w:type="dxa"/>
            <w:hideMark/>
          </w:tcPr>
          <w:p w14:paraId="10B47339" w14:textId="77777777" w:rsidR="00017DFB" w:rsidRDefault="00017DFB">
            <w:pPr>
              <w:jc w:val="center"/>
              <w:rPr>
                <w:rFonts w:ascii="Cambria" w:hAnsi="Cambria" w:cs="Arial"/>
                <w:b/>
              </w:rPr>
            </w:pPr>
            <w:r w:rsidRPr="009A0DA6">
              <w:rPr>
                <w:rFonts w:ascii="Cambria" w:hAnsi="Cambria" w:cs="Arial"/>
                <w:b/>
              </w:rPr>
              <w:t xml:space="preserve">2014/15 </w:t>
            </w:r>
          </w:p>
          <w:p w14:paraId="415CD189" w14:textId="77777777" w:rsidR="00765A6A" w:rsidRDefault="00765A6A">
            <w:pPr>
              <w:jc w:val="center"/>
              <w:rPr>
                <w:rFonts w:ascii="Cambria" w:hAnsi="Cambria" w:cs="Arial"/>
                <w:b/>
              </w:rPr>
            </w:pPr>
          </w:p>
          <w:p w14:paraId="066FE3E0" w14:textId="77777777" w:rsidR="00765A6A" w:rsidRDefault="00765A6A">
            <w:pPr>
              <w:jc w:val="center"/>
              <w:rPr>
                <w:rFonts w:ascii="Cambria" w:hAnsi="Cambria" w:cs="Arial"/>
                <w:b/>
              </w:rPr>
            </w:pPr>
          </w:p>
          <w:p w14:paraId="59CFC3F0" w14:textId="77777777" w:rsidR="00765A6A" w:rsidRDefault="00765A6A">
            <w:pPr>
              <w:jc w:val="center"/>
              <w:rPr>
                <w:rFonts w:ascii="Cambria" w:hAnsi="Cambria" w:cs="Arial"/>
                <w:b/>
              </w:rPr>
            </w:pPr>
          </w:p>
          <w:p w14:paraId="44651997" w14:textId="151735B9" w:rsidR="00765A6A" w:rsidRPr="009A0DA6" w:rsidRDefault="00765A6A" w:rsidP="00765A6A">
            <w:pPr>
              <w:rPr>
                <w:rFonts w:ascii="Cambria" w:hAnsi="Cambria" w:cs="Arial"/>
                <w:b/>
              </w:rPr>
            </w:pPr>
            <w:r>
              <w:rPr>
                <w:rFonts w:ascii="Cambria" w:hAnsi="Cambria" w:cs="Arial"/>
              </w:rPr>
              <w:t xml:space="preserve">  31,158,328</w:t>
            </w:r>
          </w:p>
        </w:tc>
        <w:tc>
          <w:tcPr>
            <w:tcW w:w="1639" w:type="dxa"/>
            <w:hideMark/>
          </w:tcPr>
          <w:p w14:paraId="3F420942" w14:textId="77777777" w:rsidR="00017DFB" w:rsidRDefault="00017DFB">
            <w:pPr>
              <w:jc w:val="center"/>
              <w:rPr>
                <w:rFonts w:ascii="Cambria" w:hAnsi="Cambria" w:cs="Arial"/>
                <w:b/>
              </w:rPr>
            </w:pPr>
            <w:r w:rsidRPr="009A0DA6">
              <w:rPr>
                <w:rFonts w:ascii="Cambria" w:hAnsi="Cambria" w:cs="Arial"/>
                <w:b/>
              </w:rPr>
              <w:t xml:space="preserve">2015/16 </w:t>
            </w:r>
          </w:p>
          <w:p w14:paraId="0C607FE1" w14:textId="77777777" w:rsidR="00765A6A" w:rsidRDefault="00765A6A">
            <w:pPr>
              <w:jc w:val="center"/>
              <w:rPr>
                <w:rFonts w:ascii="Cambria" w:hAnsi="Cambria" w:cs="Arial"/>
                <w:b/>
              </w:rPr>
            </w:pPr>
          </w:p>
          <w:p w14:paraId="7F9473B4" w14:textId="77777777" w:rsidR="00765A6A" w:rsidRDefault="00765A6A">
            <w:pPr>
              <w:jc w:val="center"/>
              <w:rPr>
                <w:rFonts w:ascii="Cambria" w:hAnsi="Cambria" w:cs="Arial"/>
                <w:b/>
              </w:rPr>
            </w:pPr>
          </w:p>
          <w:p w14:paraId="694A7D0C" w14:textId="77777777" w:rsidR="00765A6A" w:rsidRDefault="00765A6A">
            <w:pPr>
              <w:jc w:val="center"/>
              <w:rPr>
                <w:rFonts w:ascii="Cambria" w:hAnsi="Cambria" w:cs="Arial"/>
                <w:b/>
              </w:rPr>
            </w:pPr>
          </w:p>
          <w:p w14:paraId="75938A86" w14:textId="50832DE8" w:rsidR="00765A6A" w:rsidRPr="009A0DA6" w:rsidRDefault="00765A6A">
            <w:pPr>
              <w:jc w:val="center"/>
              <w:rPr>
                <w:rFonts w:ascii="Cambria" w:hAnsi="Cambria" w:cs="Arial"/>
                <w:b/>
              </w:rPr>
            </w:pPr>
            <w:r>
              <w:rPr>
                <w:rFonts w:ascii="Cambria" w:hAnsi="Cambria" w:cs="Arial"/>
              </w:rPr>
              <w:t>34,615,945</w:t>
            </w:r>
          </w:p>
        </w:tc>
        <w:tc>
          <w:tcPr>
            <w:tcW w:w="1649" w:type="dxa"/>
            <w:hideMark/>
          </w:tcPr>
          <w:p w14:paraId="46CF5CF7" w14:textId="77777777" w:rsidR="00017DFB" w:rsidRDefault="00017DFB">
            <w:pPr>
              <w:jc w:val="center"/>
              <w:rPr>
                <w:rFonts w:ascii="Cambria" w:hAnsi="Cambria" w:cs="Arial"/>
                <w:b/>
              </w:rPr>
            </w:pPr>
            <w:r w:rsidRPr="009A0DA6">
              <w:rPr>
                <w:rFonts w:ascii="Cambria" w:hAnsi="Cambria" w:cs="Arial"/>
                <w:b/>
              </w:rPr>
              <w:t xml:space="preserve">2016/17 </w:t>
            </w:r>
          </w:p>
          <w:p w14:paraId="1EFAECE0" w14:textId="77777777" w:rsidR="00765A6A" w:rsidRDefault="00765A6A">
            <w:pPr>
              <w:jc w:val="center"/>
              <w:rPr>
                <w:rFonts w:ascii="Cambria" w:hAnsi="Cambria" w:cs="Arial"/>
                <w:b/>
              </w:rPr>
            </w:pPr>
          </w:p>
          <w:p w14:paraId="2ADDFED9" w14:textId="77777777" w:rsidR="00765A6A" w:rsidRDefault="00765A6A">
            <w:pPr>
              <w:jc w:val="center"/>
              <w:rPr>
                <w:rFonts w:ascii="Cambria" w:hAnsi="Cambria" w:cs="Arial"/>
                <w:b/>
              </w:rPr>
            </w:pPr>
          </w:p>
          <w:p w14:paraId="77239BCE" w14:textId="77777777" w:rsidR="00765A6A" w:rsidRDefault="00765A6A">
            <w:pPr>
              <w:jc w:val="center"/>
              <w:rPr>
                <w:rFonts w:ascii="Cambria" w:hAnsi="Cambria" w:cs="Arial"/>
                <w:b/>
              </w:rPr>
            </w:pPr>
          </w:p>
          <w:p w14:paraId="366B7279" w14:textId="38F69A3F" w:rsidR="00765A6A" w:rsidRDefault="00765A6A" w:rsidP="00765A6A">
            <w:pPr>
              <w:rPr>
                <w:rFonts w:ascii="Cambria" w:hAnsi="Cambria" w:cs="Arial"/>
                <w:b/>
              </w:rPr>
            </w:pPr>
            <w:r>
              <w:rPr>
                <w:rFonts w:ascii="Cambria" w:hAnsi="Cambria" w:cs="Arial"/>
              </w:rPr>
              <w:t xml:space="preserve"> 35,250,042</w:t>
            </w:r>
          </w:p>
          <w:p w14:paraId="38361A43" w14:textId="2F1792E7" w:rsidR="00765A6A" w:rsidRPr="009A0DA6" w:rsidRDefault="00765A6A">
            <w:pPr>
              <w:jc w:val="center"/>
              <w:rPr>
                <w:rFonts w:ascii="Cambria" w:hAnsi="Cambria" w:cs="Arial"/>
                <w:b/>
              </w:rPr>
            </w:pPr>
          </w:p>
        </w:tc>
      </w:tr>
    </w:tbl>
    <w:p w14:paraId="7E77D514" w14:textId="77777777" w:rsidR="004A79CA" w:rsidRPr="009A0DA6" w:rsidRDefault="004A79CA" w:rsidP="00351A0F">
      <w:pPr>
        <w:pStyle w:val="NoSpacing"/>
      </w:pPr>
    </w:p>
    <w:p w14:paraId="244F02FD" w14:textId="77777777" w:rsidR="007408EE" w:rsidRDefault="007408EE" w:rsidP="00351A0F">
      <w:pPr>
        <w:pStyle w:val="NoSpacing"/>
      </w:pPr>
    </w:p>
    <w:p w14:paraId="58B33012" w14:textId="77777777" w:rsidR="007408EE" w:rsidRPr="00351A0F" w:rsidRDefault="007408EE" w:rsidP="00351A0F">
      <w:pPr>
        <w:pStyle w:val="NoSpacing"/>
      </w:pPr>
    </w:p>
    <w:p w14:paraId="080F9C6E" w14:textId="77777777" w:rsidR="007408EE" w:rsidRDefault="007408EE">
      <w:pPr>
        <w:rPr>
          <w:rFonts w:ascii="Cambria" w:eastAsiaTheme="majorEastAsia" w:hAnsi="Cambria" w:cstheme="majorBidi"/>
          <w:b/>
          <w:sz w:val="36"/>
          <w:szCs w:val="32"/>
        </w:rPr>
      </w:pPr>
      <w:r>
        <w:br w:type="page"/>
      </w:r>
    </w:p>
    <w:p w14:paraId="3019A8E5" w14:textId="6327C724" w:rsidR="004F6C40" w:rsidRPr="009A0DA6" w:rsidRDefault="00F47478" w:rsidP="00F47478">
      <w:pPr>
        <w:pStyle w:val="Heading2"/>
      </w:pPr>
      <w:bookmarkStart w:id="519" w:name="_Toc521954757"/>
      <w:r w:rsidRPr="009A0DA6">
        <w:lastRenderedPageBreak/>
        <w:t xml:space="preserve">Financial </w:t>
      </w:r>
      <w:r w:rsidR="00D9315D" w:rsidRPr="009A0DA6">
        <w:t>R</w:t>
      </w:r>
      <w:r w:rsidRPr="009A0DA6">
        <w:t>e</w:t>
      </w:r>
      <w:r w:rsidR="004F6C40" w:rsidRPr="009A0DA6">
        <w:t>port: Lutheran Laypeopl</w:t>
      </w:r>
      <w:r w:rsidRPr="009A0DA6">
        <w:t>e’s Le</w:t>
      </w:r>
      <w:r w:rsidR="004F6C40" w:rsidRPr="009A0DA6">
        <w:t>ague</w:t>
      </w:r>
      <w:bookmarkEnd w:id="519"/>
    </w:p>
    <w:p w14:paraId="637134C0" w14:textId="39E58D3C" w:rsidR="004F6C40" w:rsidRPr="009A0DA6" w:rsidRDefault="004F6C40" w:rsidP="004F6C40">
      <w:pPr>
        <w:pStyle w:val="NoSpacing"/>
      </w:pPr>
    </w:p>
    <w:p w14:paraId="2415BA69" w14:textId="77777777" w:rsidR="00D11971" w:rsidRPr="009A0DA6" w:rsidRDefault="00D11971" w:rsidP="00766B14">
      <w:pPr>
        <w:pStyle w:val="NoSpacing"/>
        <w:rPr>
          <w:b/>
        </w:rPr>
      </w:pPr>
      <w:r w:rsidRPr="009A0DA6">
        <w:rPr>
          <w:b/>
        </w:rPr>
        <w:t>STATEMENT OF COMPREHENSIVE INCOME</w:t>
      </w:r>
    </w:p>
    <w:p w14:paraId="709D243C" w14:textId="77777777" w:rsidR="00D11971" w:rsidRPr="009A0DA6" w:rsidRDefault="00D11971" w:rsidP="00351A0F">
      <w:pPr>
        <w:tabs>
          <w:tab w:val="right" w:pos="5103"/>
          <w:tab w:val="right" w:pos="6946"/>
          <w:tab w:val="right" w:pos="8931"/>
        </w:tabs>
        <w:spacing w:after="0" w:line="240" w:lineRule="auto"/>
        <w:contextualSpacing/>
        <w:rPr>
          <w:rFonts w:ascii="Cambria" w:hAnsi="Cambria"/>
          <w:b/>
          <w:bCs/>
        </w:rPr>
      </w:pPr>
      <w:r w:rsidRPr="009A0DA6">
        <w:rPr>
          <w:rFonts w:ascii="Cambria" w:hAnsi="Cambria"/>
        </w:rPr>
        <w:tab/>
      </w:r>
      <w:r w:rsidRPr="009A0DA6">
        <w:rPr>
          <w:rFonts w:ascii="Cambria" w:eastAsia="Times New Roman" w:hAnsi="Cambria"/>
          <w:b/>
          <w:bCs/>
          <w:lang w:eastAsia="en-AU"/>
        </w:rPr>
        <w:t>2017</w:t>
      </w:r>
      <w:r w:rsidRPr="009A0DA6">
        <w:rPr>
          <w:rFonts w:ascii="Cambria" w:hAnsi="Cambria"/>
          <w:b/>
          <w:bCs/>
        </w:rPr>
        <w:tab/>
      </w:r>
      <w:r w:rsidRPr="009A0DA6">
        <w:rPr>
          <w:rFonts w:ascii="Cambria" w:eastAsia="Times New Roman" w:hAnsi="Cambria"/>
          <w:b/>
          <w:bCs/>
          <w:lang w:eastAsia="en-AU"/>
        </w:rPr>
        <w:t>2016</w:t>
      </w:r>
      <w:r w:rsidRPr="009A0DA6">
        <w:rPr>
          <w:rFonts w:ascii="Cambria" w:hAnsi="Cambria"/>
          <w:b/>
          <w:bCs/>
        </w:rPr>
        <w:tab/>
      </w:r>
      <w:r w:rsidRPr="009A0DA6">
        <w:rPr>
          <w:rFonts w:ascii="Cambria" w:eastAsia="Times New Roman" w:hAnsi="Cambria"/>
          <w:b/>
          <w:bCs/>
          <w:lang w:eastAsia="en-AU"/>
        </w:rPr>
        <w:t>2015</w:t>
      </w:r>
    </w:p>
    <w:p w14:paraId="578406AF" w14:textId="77777777" w:rsidR="00D11971" w:rsidRPr="009A0DA6" w:rsidRDefault="00D11971" w:rsidP="00351A0F">
      <w:pPr>
        <w:tabs>
          <w:tab w:val="right" w:pos="5103"/>
          <w:tab w:val="right" w:pos="6946"/>
          <w:tab w:val="right" w:pos="8931"/>
        </w:tabs>
        <w:spacing w:after="0" w:line="240" w:lineRule="auto"/>
        <w:contextualSpacing/>
        <w:rPr>
          <w:rFonts w:ascii="Cambria" w:hAnsi="Cambria"/>
        </w:rPr>
      </w:pPr>
      <w:r w:rsidRPr="009A0DA6">
        <w:rPr>
          <w:rFonts w:ascii="Cambria" w:eastAsia="Times New Roman" w:hAnsi="Cambria"/>
          <w:b/>
          <w:bCs/>
          <w:lang w:eastAsia="en-AU"/>
        </w:rPr>
        <w:t>Income</w:t>
      </w:r>
      <w:r w:rsidRPr="009A0DA6">
        <w:rPr>
          <w:rFonts w:ascii="Cambria" w:hAnsi="Cambria"/>
          <w:b/>
          <w:bCs/>
        </w:rPr>
        <w:tab/>
      </w:r>
      <w:r w:rsidRPr="009A0DA6">
        <w:rPr>
          <w:rFonts w:ascii="Cambria" w:hAnsi="Cambria"/>
          <w:b/>
          <w:bCs/>
        </w:rPr>
        <w:tab/>
      </w:r>
      <w:r w:rsidRPr="009A0DA6">
        <w:rPr>
          <w:rFonts w:ascii="Cambria" w:hAnsi="Cambria"/>
        </w:rPr>
        <w:tab/>
      </w:r>
    </w:p>
    <w:p w14:paraId="7F014F32" w14:textId="77777777" w:rsidR="00D11971" w:rsidRPr="009A0DA6" w:rsidRDefault="00D11971" w:rsidP="00351A0F">
      <w:pPr>
        <w:tabs>
          <w:tab w:val="right" w:pos="5103"/>
          <w:tab w:val="right" w:pos="6946"/>
          <w:tab w:val="right" w:pos="8931"/>
        </w:tabs>
        <w:spacing w:after="0" w:line="240" w:lineRule="auto"/>
        <w:contextualSpacing/>
        <w:rPr>
          <w:rFonts w:ascii="Cambria" w:hAnsi="Cambria"/>
        </w:rPr>
      </w:pPr>
      <w:r w:rsidRPr="009A0DA6">
        <w:rPr>
          <w:rFonts w:ascii="Cambria" w:eastAsia="Times New Roman" w:hAnsi="Cambria"/>
          <w:lang w:eastAsia="en-AU"/>
        </w:rPr>
        <w:t>Interest received</w:t>
      </w:r>
      <w:r w:rsidRPr="009A0DA6">
        <w:rPr>
          <w:rFonts w:ascii="Cambria" w:hAnsi="Cambria"/>
        </w:rPr>
        <w:tab/>
      </w:r>
      <w:r w:rsidRPr="009A0DA6">
        <w:rPr>
          <w:rFonts w:ascii="Cambria" w:eastAsia="Times New Roman" w:hAnsi="Cambria"/>
          <w:lang w:eastAsia="en-AU"/>
        </w:rPr>
        <w:t>39,953,582</w:t>
      </w:r>
      <w:r w:rsidRPr="009A0DA6">
        <w:rPr>
          <w:rFonts w:ascii="Cambria" w:hAnsi="Cambria"/>
        </w:rPr>
        <w:tab/>
      </w:r>
      <w:r w:rsidRPr="009A0DA6">
        <w:rPr>
          <w:rFonts w:ascii="Cambria" w:eastAsia="Times New Roman" w:hAnsi="Cambria"/>
          <w:lang w:eastAsia="en-AU"/>
        </w:rPr>
        <w:t>40,168,805</w:t>
      </w:r>
      <w:r w:rsidRPr="009A0DA6">
        <w:rPr>
          <w:rFonts w:ascii="Cambria" w:hAnsi="Cambria"/>
        </w:rPr>
        <w:tab/>
      </w:r>
      <w:r w:rsidRPr="009A0DA6">
        <w:rPr>
          <w:rFonts w:ascii="Cambria" w:eastAsia="Times New Roman" w:hAnsi="Cambria"/>
          <w:lang w:eastAsia="en-AU"/>
        </w:rPr>
        <w:t>41,080,418</w:t>
      </w:r>
    </w:p>
    <w:p w14:paraId="70483962" w14:textId="77777777" w:rsidR="00D11971" w:rsidRPr="009A0DA6" w:rsidRDefault="00D11971" w:rsidP="00351A0F">
      <w:pPr>
        <w:tabs>
          <w:tab w:val="right" w:pos="5103"/>
          <w:tab w:val="right" w:pos="6946"/>
          <w:tab w:val="right" w:pos="8931"/>
        </w:tabs>
        <w:spacing w:after="0" w:line="240" w:lineRule="auto"/>
        <w:contextualSpacing/>
        <w:rPr>
          <w:rFonts w:ascii="Cambria" w:hAnsi="Cambria"/>
        </w:rPr>
      </w:pPr>
      <w:r w:rsidRPr="009A0DA6">
        <w:rPr>
          <w:rFonts w:ascii="Cambria" w:eastAsia="Times New Roman" w:hAnsi="Cambria"/>
          <w:lang w:eastAsia="en-AU"/>
        </w:rPr>
        <w:t>Legacies received</w:t>
      </w:r>
      <w:r w:rsidRPr="009A0DA6">
        <w:rPr>
          <w:rFonts w:ascii="Cambria" w:hAnsi="Cambria"/>
        </w:rPr>
        <w:tab/>
      </w:r>
      <w:r w:rsidRPr="009A0DA6">
        <w:rPr>
          <w:rFonts w:ascii="Cambria" w:eastAsia="Times New Roman" w:hAnsi="Cambria"/>
          <w:lang w:eastAsia="en-AU"/>
        </w:rPr>
        <w:t>947,413</w:t>
      </w:r>
      <w:r w:rsidRPr="009A0DA6">
        <w:rPr>
          <w:rFonts w:ascii="Cambria" w:hAnsi="Cambria"/>
        </w:rPr>
        <w:tab/>
      </w:r>
      <w:r w:rsidRPr="009A0DA6">
        <w:rPr>
          <w:rFonts w:ascii="Cambria" w:eastAsia="Times New Roman" w:hAnsi="Cambria"/>
          <w:lang w:eastAsia="en-AU"/>
        </w:rPr>
        <w:t>311,424</w:t>
      </w:r>
      <w:r w:rsidRPr="009A0DA6">
        <w:rPr>
          <w:rFonts w:ascii="Cambria" w:hAnsi="Cambria"/>
        </w:rPr>
        <w:tab/>
      </w:r>
      <w:r w:rsidRPr="009A0DA6">
        <w:rPr>
          <w:rFonts w:ascii="Cambria" w:eastAsia="Times New Roman" w:hAnsi="Cambria"/>
          <w:lang w:eastAsia="en-AU"/>
        </w:rPr>
        <w:t>724,348</w:t>
      </w:r>
    </w:p>
    <w:p w14:paraId="1DCE4722" w14:textId="77777777" w:rsidR="00D11971" w:rsidRPr="009A0DA6" w:rsidRDefault="00D11971" w:rsidP="00351A0F">
      <w:pPr>
        <w:tabs>
          <w:tab w:val="right" w:pos="5103"/>
          <w:tab w:val="right" w:pos="6946"/>
          <w:tab w:val="right" w:pos="8931"/>
        </w:tabs>
        <w:spacing w:after="0" w:line="240" w:lineRule="auto"/>
        <w:contextualSpacing/>
        <w:rPr>
          <w:rFonts w:ascii="Cambria" w:hAnsi="Cambria"/>
        </w:rPr>
      </w:pPr>
      <w:r w:rsidRPr="009A0DA6">
        <w:rPr>
          <w:rFonts w:ascii="Cambria" w:eastAsia="Times New Roman" w:hAnsi="Cambria"/>
          <w:lang w:eastAsia="en-AU"/>
        </w:rPr>
        <w:t>Donations received</w:t>
      </w:r>
      <w:r w:rsidRPr="009A0DA6">
        <w:rPr>
          <w:rFonts w:ascii="Cambria" w:hAnsi="Cambria"/>
        </w:rPr>
        <w:tab/>
      </w:r>
      <w:r w:rsidRPr="009A0DA6">
        <w:rPr>
          <w:rFonts w:ascii="Cambria" w:eastAsia="Times New Roman" w:hAnsi="Cambria"/>
          <w:lang w:eastAsia="en-AU"/>
        </w:rPr>
        <w:t>74,499</w:t>
      </w:r>
      <w:r w:rsidRPr="009A0DA6">
        <w:rPr>
          <w:rFonts w:ascii="Cambria" w:hAnsi="Cambria"/>
        </w:rPr>
        <w:tab/>
      </w:r>
      <w:r w:rsidRPr="009A0DA6">
        <w:rPr>
          <w:rFonts w:ascii="Cambria" w:eastAsia="Times New Roman" w:hAnsi="Cambria"/>
          <w:lang w:eastAsia="en-AU"/>
        </w:rPr>
        <w:t>75,727</w:t>
      </w:r>
      <w:r w:rsidRPr="009A0DA6">
        <w:rPr>
          <w:rFonts w:ascii="Cambria" w:hAnsi="Cambria"/>
        </w:rPr>
        <w:tab/>
      </w:r>
      <w:r w:rsidRPr="009A0DA6">
        <w:rPr>
          <w:rFonts w:ascii="Cambria" w:eastAsia="Times New Roman" w:hAnsi="Cambria"/>
          <w:lang w:eastAsia="en-AU"/>
        </w:rPr>
        <w:t>252,535</w:t>
      </w:r>
    </w:p>
    <w:p w14:paraId="0D8BB7CD" w14:textId="77777777" w:rsidR="00D11971" w:rsidRPr="009A0DA6" w:rsidRDefault="00D11971" w:rsidP="00351A0F">
      <w:pPr>
        <w:tabs>
          <w:tab w:val="right" w:pos="5103"/>
          <w:tab w:val="right" w:pos="6946"/>
          <w:tab w:val="right" w:pos="8931"/>
        </w:tabs>
        <w:spacing w:after="0" w:line="240" w:lineRule="auto"/>
        <w:contextualSpacing/>
        <w:rPr>
          <w:rFonts w:ascii="Cambria" w:hAnsi="Cambria"/>
        </w:rPr>
      </w:pPr>
      <w:r w:rsidRPr="009A0DA6">
        <w:rPr>
          <w:rFonts w:ascii="Cambria" w:eastAsia="Times New Roman" w:hAnsi="Cambria"/>
          <w:lang w:eastAsia="en-AU"/>
        </w:rPr>
        <w:t>Other income</w:t>
      </w:r>
      <w:r w:rsidRPr="009A0DA6">
        <w:rPr>
          <w:rFonts w:ascii="Cambria" w:hAnsi="Cambria"/>
        </w:rPr>
        <w:tab/>
      </w:r>
      <w:r w:rsidRPr="009A0DA6">
        <w:rPr>
          <w:rFonts w:ascii="Cambria" w:eastAsia="Times New Roman" w:hAnsi="Cambria"/>
          <w:lang w:eastAsia="en-AU"/>
        </w:rPr>
        <w:t>234,248</w:t>
      </w:r>
      <w:r w:rsidRPr="009A0DA6">
        <w:rPr>
          <w:rFonts w:ascii="Cambria" w:hAnsi="Cambria"/>
        </w:rPr>
        <w:tab/>
      </w:r>
      <w:r w:rsidRPr="009A0DA6">
        <w:rPr>
          <w:rFonts w:ascii="Cambria" w:eastAsia="Times New Roman" w:hAnsi="Cambria"/>
          <w:lang w:eastAsia="en-AU"/>
        </w:rPr>
        <w:t>223,335</w:t>
      </w:r>
      <w:r w:rsidRPr="009A0DA6">
        <w:rPr>
          <w:rFonts w:ascii="Cambria" w:hAnsi="Cambria"/>
        </w:rPr>
        <w:tab/>
      </w:r>
      <w:r w:rsidRPr="009A0DA6">
        <w:rPr>
          <w:rFonts w:ascii="Cambria" w:eastAsia="Times New Roman" w:hAnsi="Cambria"/>
          <w:lang w:eastAsia="en-AU"/>
        </w:rPr>
        <w:t>213,310</w:t>
      </w:r>
    </w:p>
    <w:p w14:paraId="4416DBC9" w14:textId="77777777" w:rsidR="00D11971" w:rsidRPr="009A0DA6" w:rsidRDefault="00D11971" w:rsidP="00351A0F">
      <w:pPr>
        <w:tabs>
          <w:tab w:val="right" w:pos="5103"/>
          <w:tab w:val="right" w:pos="6946"/>
          <w:tab w:val="right" w:pos="8931"/>
        </w:tabs>
        <w:spacing w:after="0" w:line="240" w:lineRule="auto"/>
        <w:contextualSpacing/>
        <w:rPr>
          <w:rFonts w:ascii="Cambria" w:hAnsi="Cambria"/>
          <w:b/>
          <w:bCs/>
        </w:rPr>
      </w:pPr>
      <w:r w:rsidRPr="009A0DA6">
        <w:rPr>
          <w:rFonts w:ascii="Cambria" w:eastAsia="Times New Roman" w:hAnsi="Cambria"/>
          <w:b/>
          <w:bCs/>
          <w:lang w:eastAsia="en-AU"/>
        </w:rPr>
        <w:t>Total Income</w:t>
      </w:r>
      <w:r w:rsidRPr="009A0DA6">
        <w:rPr>
          <w:rFonts w:ascii="Cambria" w:hAnsi="Cambria"/>
          <w:b/>
          <w:bCs/>
        </w:rPr>
        <w:tab/>
      </w:r>
      <w:r w:rsidRPr="009A0DA6">
        <w:rPr>
          <w:rFonts w:ascii="Cambria" w:eastAsia="Times New Roman" w:hAnsi="Cambria"/>
          <w:b/>
          <w:bCs/>
          <w:lang w:eastAsia="en-AU"/>
        </w:rPr>
        <w:t>41,209,742</w:t>
      </w:r>
      <w:r w:rsidRPr="009A0DA6">
        <w:rPr>
          <w:rFonts w:ascii="Cambria" w:hAnsi="Cambria"/>
          <w:b/>
          <w:bCs/>
        </w:rPr>
        <w:tab/>
      </w:r>
      <w:r w:rsidRPr="009A0DA6">
        <w:rPr>
          <w:rFonts w:ascii="Cambria" w:eastAsia="Times New Roman" w:hAnsi="Cambria"/>
          <w:b/>
          <w:bCs/>
          <w:lang w:eastAsia="en-AU"/>
        </w:rPr>
        <w:t>40,779,291</w:t>
      </w:r>
      <w:r w:rsidRPr="009A0DA6">
        <w:rPr>
          <w:rFonts w:ascii="Cambria" w:hAnsi="Cambria"/>
          <w:b/>
          <w:bCs/>
        </w:rPr>
        <w:tab/>
      </w:r>
      <w:r w:rsidRPr="009A0DA6">
        <w:rPr>
          <w:rFonts w:ascii="Cambria" w:eastAsia="Times New Roman" w:hAnsi="Cambria"/>
          <w:b/>
          <w:bCs/>
          <w:lang w:eastAsia="en-AU"/>
        </w:rPr>
        <w:t>42,270,611</w:t>
      </w:r>
    </w:p>
    <w:p w14:paraId="3BFA7D38" w14:textId="77777777" w:rsidR="00D11971" w:rsidRPr="009A0DA6" w:rsidRDefault="00D11971" w:rsidP="00351A0F">
      <w:pPr>
        <w:tabs>
          <w:tab w:val="right" w:pos="5103"/>
          <w:tab w:val="right" w:pos="6946"/>
          <w:tab w:val="right" w:pos="8931"/>
        </w:tabs>
        <w:spacing w:after="0" w:line="240" w:lineRule="auto"/>
        <w:contextualSpacing/>
        <w:rPr>
          <w:rFonts w:ascii="Cambria" w:hAnsi="Cambria"/>
        </w:rPr>
      </w:pPr>
      <w:r w:rsidRPr="009A0DA6">
        <w:rPr>
          <w:rFonts w:ascii="Cambria" w:eastAsia="Times New Roman" w:hAnsi="Cambria"/>
          <w:b/>
          <w:bCs/>
          <w:lang w:eastAsia="en-AU"/>
        </w:rPr>
        <w:t>Expenditure</w:t>
      </w:r>
      <w:r w:rsidRPr="009A0DA6">
        <w:rPr>
          <w:rFonts w:ascii="Cambria" w:hAnsi="Cambria"/>
          <w:b/>
          <w:bCs/>
        </w:rPr>
        <w:tab/>
      </w:r>
      <w:r w:rsidRPr="009A0DA6">
        <w:rPr>
          <w:rFonts w:ascii="Cambria" w:hAnsi="Cambria"/>
          <w:b/>
          <w:bCs/>
        </w:rPr>
        <w:tab/>
      </w:r>
      <w:r w:rsidRPr="009A0DA6">
        <w:rPr>
          <w:rFonts w:ascii="Cambria" w:hAnsi="Cambria"/>
        </w:rPr>
        <w:tab/>
      </w:r>
    </w:p>
    <w:p w14:paraId="13A2A6F6" w14:textId="77777777" w:rsidR="00D11971" w:rsidRPr="009A0DA6" w:rsidRDefault="00D11971" w:rsidP="00351A0F">
      <w:pPr>
        <w:tabs>
          <w:tab w:val="right" w:pos="5103"/>
          <w:tab w:val="right" w:pos="6946"/>
          <w:tab w:val="right" w:pos="8931"/>
        </w:tabs>
        <w:spacing w:after="0" w:line="240" w:lineRule="auto"/>
        <w:contextualSpacing/>
        <w:rPr>
          <w:rFonts w:ascii="Cambria" w:hAnsi="Cambria"/>
        </w:rPr>
      </w:pPr>
      <w:r w:rsidRPr="009A0DA6">
        <w:rPr>
          <w:rFonts w:ascii="Cambria" w:eastAsia="Times New Roman" w:hAnsi="Cambria"/>
          <w:lang w:eastAsia="en-AU"/>
        </w:rPr>
        <w:t>Employee benefit expenses</w:t>
      </w:r>
      <w:r w:rsidRPr="009A0DA6">
        <w:rPr>
          <w:rFonts w:ascii="Cambria" w:hAnsi="Cambria"/>
        </w:rPr>
        <w:tab/>
      </w:r>
      <w:r w:rsidRPr="009A0DA6">
        <w:rPr>
          <w:rFonts w:ascii="Cambria" w:eastAsia="Times New Roman" w:hAnsi="Cambria"/>
          <w:lang w:eastAsia="en-AU"/>
        </w:rPr>
        <w:t>2,134,918</w:t>
      </w:r>
      <w:r w:rsidRPr="009A0DA6">
        <w:rPr>
          <w:rFonts w:ascii="Cambria" w:hAnsi="Cambria"/>
        </w:rPr>
        <w:tab/>
      </w:r>
      <w:r w:rsidRPr="009A0DA6">
        <w:rPr>
          <w:rFonts w:ascii="Cambria" w:eastAsia="Times New Roman" w:hAnsi="Cambria"/>
          <w:lang w:eastAsia="en-AU"/>
        </w:rPr>
        <w:t>1,780,828</w:t>
      </w:r>
      <w:r w:rsidRPr="009A0DA6">
        <w:rPr>
          <w:rFonts w:ascii="Cambria" w:hAnsi="Cambria"/>
        </w:rPr>
        <w:tab/>
      </w:r>
      <w:r w:rsidRPr="009A0DA6">
        <w:rPr>
          <w:rFonts w:ascii="Cambria" w:eastAsia="Times New Roman" w:hAnsi="Cambria"/>
          <w:lang w:eastAsia="en-AU"/>
        </w:rPr>
        <w:t>1,526,952</w:t>
      </w:r>
    </w:p>
    <w:p w14:paraId="61EBE822" w14:textId="77777777" w:rsidR="00D11971" w:rsidRPr="009A0DA6" w:rsidRDefault="00D11971" w:rsidP="00351A0F">
      <w:pPr>
        <w:tabs>
          <w:tab w:val="right" w:pos="5103"/>
          <w:tab w:val="right" w:pos="6946"/>
          <w:tab w:val="right" w:pos="8931"/>
        </w:tabs>
        <w:spacing w:after="0" w:line="240" w:lineRule="auto"/>
        <w:contextualSpacing/>
        <w:rPr>
          <w:rFonts w:ascii="Cambria" w:hAnsi="Cambria"/>
        </w:rPr>
      </w:pPr>
      <w:r w:rsidRPr="009A0DA6">
        <w:rPr>
          <w:rFonts w:ascii="Cambria" w:eastAsia="Times New Roman" w:hAnsi="Cambria"/>
          <w:lang w:eastAsia="en-AU"/>
        </w:rPr>
        <w:t>Administration and promotion expenses</w:t>
      </w:r>
      <w:r w:rsidRPr="009A0DA6">
        <w:rPr>
          <w:rFonts w:ascii="Cambria" w:hAnsi="Cambria"/>
        </w:rPr>
        <w:tab/>
      </w:r>
      <w:r w:rsidRPr="009A0DA6">
        <w:rPr>
          <w:rFonts w:ascii="Cambria" w:eastAsia="Times New Roman" w:hAnsi="Cambria"/>
          <w:lang w:eastAsia="en-AU"/>
        </w:rPr>
        <w:t>1,817,615</w:t>
      </w:r>
      <w:r w:rsidRPr="009A0DA6">
        <w:rPr>
          <w:rFonts w:ascii="Cambria" w:hAnsi="Cambria"/>
        </w:rPr>
        <w:tab/>
      </w:r>
      <w:r w:rsidRPr="009A0DA6">
        <w:rPr>
          <w:rFonts w:ascii="Cambria" w:eastAsia="Times New Roman" w:hAnsi="Cambria"/>
          <w:lang w:eastAsia="en-AU"/>
        </w:rPr>
        <w:t>1,473,779</w:t>
      </w:r>
      <w:r w:rsidRPr="009A0DA6">
        <w:rPr>
          <w:rFonts w:ascii="Cambria" w:hAnsi="Cambria"/>
        </w:rPr>
        <w:tab/>
      </w:r>
      <w:r w:rsidRPr="009A0DA6">
        <w:rPr>
          <w:rFonts w:ascii="Cambria" w:eastAsia="Times New Roman" w:hAnsi="Cambria"/>
          <w:lang w:eastAsia="en-AU"/>
        </w:rPr>
        <w:t>1,522,741</w:t>
      </w:r>
    </w:p>
    <w:p w14:paraId="3235461B" w14:textId="77777777" w:rsidR="00D11971" w:rsidRPr="009A0DA6" w:rsidRDefault="00D11971" w:rsidP="00351A0F">
      <w:pPr>
        <w:tabs>
          <w:tab w:val="right" w:pos="5103"/>
          <w:tab w:val="right" w:pos="6946"/>
          <w:tab w:val="right" w:pos="8931"/>
        </w:tabs>
        <w:spacing w:after="0" w:line="240" w:lineRule="auto"/>
        <w:contextualSpacing/>
        <w:rPr>
          <w:rFonts w:ascii="Cambria" w:hAnsi="Cambria"/>
        </w:rPr>
      </w:pPr>
      <w:r w:rsidRPr="009A0DA6">
        <w:rPr>
          <w:rFonts w:ascii="Cambria" w:eastAsia="Times New Roman" w:hAnsi="Cambria"/>
          <w:lang w:eastAsia="en-AU"/>
        </w:rPr>
        <w:t>Benefits and service costs</w:t>
      </w:r>
      <w:r w:rsidRPr="009A0DA6">
        <w:rPr>
          <w:rFonts w:ascii="Cambria" w:hAnsi="Cambria"/>
        </w:rPr>
        <w:tab/>
      </w:r>
      <w:r w:rsidRPr="009A0DA6">
        <w:rPr>
          <w:rFonts w:ascii="Cambria" w:eastAsia="Times New Roman" w:hAnsi="Cambria"/>
          <w:lang w:eastAsia="en-AU"/>
        </w:rPr>
        <w:t>2,269,133</w:t>
      </w:r>
      <w:r w:rsidRPr="009A0DA6">
        <w:rPr>
          <w:rFonts w:ascii="Cambria" w:hAnsi="Cambria"/>
        </w:rPr>
        <w:tab/>
      </w:r>
      <w:r w:rsidRPr="009A0DA6">
        <w:rPr>
          <w:rFonts w:ascii="Cambria" w:eastAsia="Times New Roman" w:hAnsi="Cambria"/>
          <w:lang w:eastAsia="en-AU"/>
        </w:rPr>
        <w:t>2,124,666</w:t>
      </w:r>
      <w:r w:rsidRPr="009A0DA6">
        <w:rPr>
          <w:rFonts w:ascii="Cambria" w:hAnsi="Cambria"/>
        </w:rPr>
        <w:tab/>
      </w:r>
      <w:r w:rsidRPr="009A0DA6">
        <w:rPr>
          <w:rFonts w:ascii="Cambria" w:eastAsia="Times New Roman" w:hAnsi="Cambria"/>
          <w:lang w:eastAsia="en-AU"/>
        </w:rPr>
        <w:t>1,942,896</w:t>
      </w:r>
    </w:p>
    <w:p w14:paraId="40CF46E9" w14:textId="77777777" w:rsidR="00D11971" w:rsidRPr="009A0DA6" w:rsidRDefault="00D11971" w:rsidP="00351A0F">
      <w:pPr>
        <w:tabs>
          <w:tab w:val="right" w:pos="5103"/>
          <w:tab w:val="right" w:pos="6946"/>
          <w:tab w:val="right" w:pos="8931"/>
        </w:tabs>
        <w:spacing w:after="0" w:line="240" w:lineRule="auto"/>
        <w:contextualSpacing/>
        <w:rPr>
          <w:rFonts w:ascii="Cambria" w:hAnsi="Cambria"/>
        </w:rPr>
      </w:pPr>
      <w:r w:rsidRPr="009A0DA6">
        <w:rPr>
          <w:rFonts w:ascii="Cambria" w:eastAsia="Times New Roman" w:hAnsi="Cambria"/>
          <w:lang w:eastAsia="en-AU"/>
        </w:rPr>
        <w:t>Depreciation</w:t>
      </w:r>
      <w:r w:rsidRPr="009A0DA6">
        <w:rPr>
          <w:rFonts w:ascii="Cambria" w:hAnsi="Cambria"/>
        </w:rPr>
        <w:tab/>
      </w:r>
      <w:r w:rsidRPr="009A0DA6">
        <w:rPr>
          <w:rFonts w:ascii="Cambria" w:eastAsia="Times New Roman" w:hAnsi="Cambria"/>
          <w:lang w:eastAsia="en-AU"/>
        </w:rPr>
        <w:t>245,805</w:t>
      </w:r>
      <w:r w:rsidRPr="009A0DA6">
        <w:rPr>
          <w:rFonts w:ascii="Cambria" w:hAnsi="Cambria"/>
        </w:rPr>
        <w:tab/>
      </w:r>
      <w:r w:rsidRPr="009A0DA6">
        <w:rPr>
          <w:rFonts w:ascii="Cambria" w:eastAsia="Times New Roman" w:hAnsi="Cambria"/>
          <w:lang w:eastAsia="en-AU"/>
        </w:rPr>
        <w:t>318,953</w:t>
      </w:r>
      <w:r w:rsidRPr="009A0DA6">
        <w:rPr>
          <w:rFonts w:ascii="Cambria" w:hAnsi="Cambria"/>
        </w:rPr>
        <w:tab/>
      </w:r>
      <w:r w:rsidRPr="009A0DA6">
        <w:rPr>
          <w:rFonts w:ascii="Cambria" w:eastAsia="Times New Roman" w:hAnsi="Cambria"/>
          <w:lang w:eastAsia="en-AU"/>
        </w:rPr>
        <w:t>307,960</w:t>
      </w:r>
    </w:p>
    <w:p w14:paraId="6AE02EF6" w14:textId="77777777" w:rsidR="00D11971" w:rsidRPr="009A0DA6" w:rsidRDefault="00D11971" w:rsidP="00351A0F">
      <w:pPr>
        <w:tabs>
          <w:tab w:val="right" w:pos="5103"/>
          <w:tab w:val="right" w:pos="6946"/>
          <w:tab w:val="right" w:pos="8931"/>
        </w:tabs>
        <w:spacing w:after="0" w:line="240" w:lineRule="auto"/>
        <w:contextualSpacing/>
        <w:rPr>
          <w:rFonts w:ascii="Cambria" w:hAnsi="Cambria"/>
        </w:rPr>
      </w:pPr>
      <w:r w:rsidRPr="009A0DA6">
        <w:rPr>
          <w:rFonts w:ascii="Cambria" w:eastAsia="Times New Roman" w:hAnsi="Cambria"/>
          <w:lang w:eastAsia="en-AU"/>
        </w:rPr>
        <w:t>Grants and donations</w:t>
      </w:r>
      <w:r w:rsidRPr="009A0DA6">
        <w:rPr>
          <w:rFonts w:ascii="Cambria" w:hAnsi="Cambria"/>
        </w:rPr>
        <w:tab/>
      </w:r>
      <w:r w:rsidRPr="009A0DA6">
        <w:rPr>
          <w:rFonts w:ascii="Cambria" w:eastAsia="Times New Roman" w:hAnsi="Cambria"/>
          <w:lang w:eastAsia="en-AU"/>
        </w:rPr>
        <w:t>1,384,752</w:t>
      </w:r>
      <w:r w:rsidRPr="009A0DA6">
        <w:rPr>
          <w:rFonts w:ascii="Cambria" w:hAnsi="Cambria"/>
        </w:rPr>
        <w:tab/>
      </w:r>
      <w:r w:rsidRPr="009A0DA6">
        <w:rPr>
          <w:rFonts w:ascii="Cambria" w:eastAsia="Times New Roman" w:hAnsi="Cambria"/>
          <w:lang w:eastAsia="en-AU"/>
        </w:rPr>
        <w:t>1,150,363</w:t>
      </w:r>
      <w:r w:rsidRPr="009A0DA6">
        <w:rPr>
          <w:rFonts w:ascii="Cambria" w:hAnsi="Cambria"/>
        </w:rPr>
        <w:tab/>
      </w:r>
      <w:r w:rsidRPr="009A0DA6">
        <w:rPr>
          <w:rFonts w:ascii="Cambria" w:eastAsia="Times New Roman" w:hAnsi="Cambria"/>
          <w:lang w:eastAsia="en-AU"/>
        </w:rPr>
        <w:t>1,230,504</w:t>
      </w:r>
    </w:p>
    <w:p w14:paraId="357676CC" w14:textId="77777777" w:rsidR="00D11971" w:rsidRPr="009A0DA6" w:rsidRDefault="00D11971" w:rsidP="00351A0F">
      <w:pPr>
        <w:tabs>
          <w:tab w:val="right" w:pos="5103"/>
          <w:tab w:val="right" w:pos="6946"/>
          <w:tab w:val="right" w:pos="8931"/>
        </w:tabs>
        <w:spacing w:after="0" w:line="240" w:lineRule="auto"/>
        <w:contextualSpacing/>
        <w:rPr>
          <w:rFonts w:ascii="Cambria" w:hAnsi="Cambria"/>
        </w:rPr>
      </w:pPr>
      <w:r w:rsidRPr="009A0DA6">
        <w:rPr>
          <w:rFonts w:ascii="Cambria" w:eastAsia="Times New Roman" w:hAnsi="Cambria"/>
          <w:lang w:eastAsia="en-AU"/>
        </w:rPr>
        <w:t>Interest paid</w:t>
      </w:r>
      <w:r w:rsidRPr="009A0DA6">
        <w:rPr>
          <w:rFonts w:ascii="Cambria" w:hAnsi="Cambria"/>
        </w:rPr>
        <w:tab/>
      </w:r>
      <w:r w:rsidRPr="009A0DA6">
        <w:rPr>
          <w:rFonts w:ascii="Cambria" w:eastAsia="Times New Roman" w:hAnsi="Cambria"/>
          <w:lang w:eastAsia="en-AU"/>
        </w:rPr>
        <w:t>27,306,105</w:t>
      </w:r>
      <w:r w:rsidRPr="009A0DA6">
        <w:rPr>
          <w:rFonts w:ascii="Cambria" w:hAnsi="Cambria"/>
        </w:rPr>
        <w:tab/>
      </w:r>
      <w:r w:rsidRPr="009A0DA6">
        <w:rPr>
          <w:rFonts w:ascii="Cambria" w:eastAsia="Times New Roman" w:hAnsi="Cambria"/>
          <w:lang w:eastAsia="en-AU"/>
        </w:rPr>
        <w:t>27,767,356</w:t>
      </w:r>
      <w:r w:rsidRPr="009A0DA6">
        <w:rPr>
          <w:rFonts w:ascii="Cambria" w:hAnsi="Cambria"/>
        </w:rPr>
        <w:tab/>
      </w:r>
      <w:r w:rsidRPr="009A0DA6">
        <w:rPr>
          <w:rFonts w:ascii="Cambria" w:eastAsia="Times New Roman" w:hAnsi="Cambria"/>
          <w:lang w:eastAsia="en-AU"/>
        </w:rPr>
        <w:t>28,718,989</w:t>
      </w:r>
    </w:p>
    <w:p w14:paraId="1CB84B73" w14:textId="77777777" w:rsidR="00D11971" w:rsidRPr="009A0DA6" w:rsidRDefault="00D11971" w:rsidP="00351A0F">
      <w:pPr>
        <w:tabs>
          <w:tab w:val="right" w:pos="5103"/>
          <w:tab w:val="right" w:pos="6946"/>
          <w:tab w:val="right" w:pos="8931"/>
        </w:tabs>
        <w:spacing w:after="0" w:line="240" w:lineRule="auto"/>
        <w:contextualSpacing/>
        <w:rPr>
          <w:rFonts w:ascii="Cambria" w:hAnsi="Cambria"/>
          <w:b/>
          <w:bCs/>
        </w:rPr>
      </w:pPr>
      <w:r w:rsidRPr="009A0DA6">
        <w:rPr>
          <w:rFonts w:ascii="Cambria" w:eastAsia="Times New Roman" w:hAnsi="Cambria"/>
          <w:b/>
          <w:bCs/>
          <w:lang w:eastAsia="en-AU"/>
        </w:rPr>
        <w:t>Total Expenditure</w:t>
      </w:r>
      <w:r w:rsidRPr="009A0DA6">
        <w:rPr>
          <w:rFonts w:ascii="Cambria" w:hAnsi="Cambria"/>
          <w:b/>
          <w:bCs/>
        </w:rPr>
        <w:tab/>
      </w:r>
      <w:r w:rsidRPr="009A0DA6">
        <w:rPr>
          <w:rFonts w:ascii="Cambria" w:eastAsia="Times New Roman" w:hAnsi="Cambria"/>
          <w:b/>
          <w:bCs/>
          <w:lang w:eastAsia="en-AU"/>
        </w:rPr>
        <w:t>35,158,328</w:t>
      </w:r>
      <w:r w:rsidRPr="009A0DA6">
        <w:rPr>
          <w:rFonts w:ascii="Cambria" w:hAnsi="Cambria"/>
          <w:b/>
          <w:bCs/>
        </w:rPr>
        <w:tab/>
      </w:r>
      <w:r w:rsidRPr="009A0DA6">
        <w:rPr>
          <w:rFonts w:ascii="Cambria" w:eastAsia="Times New Roman" w:hAnsi="Cambria"/>
          <w:b/>
          <w:bCs/>
          <w:lang w:eastAsia="en-AU"/>
        </w:rPr>
        <w:t>34,615,945</w:t>
      </w:r>
      <w:r w:rsidRPr="009A0DA6">
        <w:rPr>
          <w:rFonts w:ascii="Cambria" w:hAnsi="Cambria"/>
          <w:b/>
          <w:bCs/>
        </w:rPr>
        <w:tab/>
      </w:r>
      <w:r w:rsidRPr="009A0DA6">
        <w:rPr>
          <w:rFonts w:ascii="Cambria" w:eastAsia="Times New Roman" w:hAnsi="Cambria"/>
          <w:b/>
          <w:bCs/>
          <w:lang w:eastAsia="en-AU"/>
        </w:rPr>
        <w:t>35,250,042</w:t>
      </w:r>
    </w:p>
    <w:p w14:paraId="65333E5C" w14:textId="77777777" w:rsidR="00D11971" w:rsidRPr="009A0DA6" w:rsidRDefault="00D11971" w:rsidP="00351A0F">
      <w:pPr>
        <w:tabs>
          <w:tab w:val="right" w:pos="5103"/>
          <w:tab w:val="right" w:pos="6946"/>
          <w:tab w:val="right" w:pos="8931"/>
        </w:tabs>
        <w:spacing w:after="0" w:line="240" w:lineRule="auto"/>
        <w:contextualSpacing/>
        <w:rPr>
          <w:rFonts w:ascii="Cambria" w:hAnsi="Cambria"/>
        </w:rPr>
      </w:pPr>
      <w:r w:rsidRPr="009A0DA6">
        <w:rPr>
          <w:rFonts w:ascii="Cambria" w:hAnsi="Cambria"/>
          <w:b/>
          <w:bCs/>
        </w:rPr>
        <w:tab/>
      </w:r>
      <w:r w:rsidRPr="009A0DA6">
        <w:rPr>
          <w:rFonts w:ascii="Cambria" w:hAnsi="Cambria"/>
        </w:rPr>
        <w:tab/>
      </w:r>
      <w:r w:rsidRPr="009A0DA6">
        <w:rPr>
          <w:rFonts w:ascii="Cambria" w:hAnsi="Cambria"/>
        </w:rPr>
        <w:tab/>
      </w:r>
    </w:p>
    <w:p w14:paraId="79EC497A" w14:textId="77777777" w:rsidR="00D11971" w:rsidRPr="009A0DA6" w:rsidRDefault="00D11971" w:rsidP="00351A0F">
      <w:pPr>
        <w:tabs>
          <w:tab w:val="right" w:pos="5103"/>
          <w:tab w:val="right" w:pos="6946"/>
          <w:tab w:val="right" w:pos="8931"/>
        </w:tabs>
        <w:spacing w:after="0" w:line="240" w:lineRule="auto"/>
        <w:contextualSpacing/>
        <w:rPr>
          <w:rFonts w:ascii="Cambria" w:hAnsi="Cambria"/>
          <w:b/>
          <w:bCs/>
        </w:rPr>
      </w:pPr>
      <w:r w:rsidRPr="009A0DA6">
        <w:rPr>
          <w:rFonts w:ascii="Cambria" w:eastAsia="Times New Roman" w:hAnsi="Cambria"/>
          <w:b/>
          <w:bCs/>
          <w:lang w:eastAsia="en-AU"/>
        </w:rPr>
        <w:t>Surplus from ordinary activities attributable</w:t>
      </w:r>
      <w:r w:rsidRPr="009A0DA6">
        <w:rPr>
          <w:rFonts w:ascii="Cambria" w:hAnsi="Cambria"/>
          <w:b/>
          <w:bCs/>
        </w:rPr>
        <w:br/>
      </w:r>
      <w:r w:rsidRPr="009A0DA6">
        <w:rPr>
          <w:rFonts w:ascii="Cambria" w:eastAsia="Times New Roman" w:hAnsi="Cambria"/>
          <w:b/>
          <w:bCs/>
          <w:lang w:eastAsia="en-AU"/>
        </w:rPr>
        <w:t xml:space="preserve"> to the LLL </w:t>
      </w:r>
      <w:r w:rsidRPr="009A0DA6">
        <w:rPr>
          <w:rFonts w:ascii="Cambria" w:hAnsi="Cambria"/>
          <w:b/>
          <w:bCs/>
        </w:rPr>
        <w:tab/>
      </w:r>
      <w:r w:rsidRPr="009A0DA6">
        <w:rPr>
          <w:rFonts w:ascii="Cambria" w:eastAsia="Times New Roman" w:hAnsi="Cambria"/>
          <w:b/>
          <w:bCs/>
          <w:lang w:eastAsia="en-AU"/>
        </w:rPr>
        <w:t>6,051,414</w:t>
      </w:r>
      <w:r w:rsidRPr="009A0DA6">
        <w:rPr>
          <w:rFonts w:ascii="Cambria" w:hAnsi="Cambria"/>
          <w:b/>
          <w:bCs/>
        </w:rPr>
        <w:tab/>
      </w:r>
      <w:r w:rsidRPr="009A0DA6">
        <w:rPr>
          <w:rFonts w:ascii="Cambria" w:eastAsia="Times New Roman" w:hAnsi="Cambria"/>
          <w:b/>
          <w:bCs/>
          <w:lang w:eastAsia="en-AU"/>
        </w:rPr>
        <w:t>6,163,346</w:t>
      </w:r>
      <w:r w:rsidRPr="009A0DA6">
        <w:rPr>
          <w:rFonts w:ascii="Cambria" w:hAnsi="Cambria"/>
          <w:b/>
          <w:bCs/>
        </w:rPr>
        <w:tab/>
      </w:r>
      <w:r w:rsidRPr="009A0DA6">
        <w:rPr>
          <w:rFonts w:ascii="Cambria" w:eastAsia="Times New Roman" w:hAnsi="Cambria"/>
          <w:b/>
          <w:bCs/>
          <w:lang w:eastAsia="en-AU"/>
        </w:rPr>
        <w:t>7,020,569</w:t>
      </w:r>
    </w:p>
    <w:p w14:paraId="78CBC966" w14:textId="77777777" w:rsidR="00D11971" w:rsidRPr="009A0DA6" w:rsidRDefault="00D11971" w:rsidP="00351A0F">
      <w:pPr>
        <w:tabs>
          <w:tab w:val="right" w:pos="5103"/>
          <w:tab w:val="right" w:pos="6946"/>
          <w:tab w:val="right" w:pos="8931"/>
        </w:tabs>
        <w:spacing w:after="0" w:line="240" w:lineRule="auto"/>
        <w:contextualSpacing/>
        <w:rPr>
          <w:rFonts w:ascii="Cambria" w:hAnsi="Cambria"/>
        </w:rPr>
      </w:pPr>
      <w:r w:rsidRPr="009A0DA6">
        <w:rPr>
          <w:rFonts w:ascii="Cambria" w:eastAsia="Times New Roman" w:hAnsi="Cambria"/>
          <w:lang w:eastAsia="en-AU"/>
        </w:rPr>
        <w:t>Less distributions</w:t>
      </w:r>
      <w:r w:rsidRPr="009A0DA6">
        <w:rPr>
          <w:rFonts w:ascii="Cambria" w:hAnsi="Cambria"/>
        </w:rPr>
        <w:tab/>
      </w:r>
      <w:r w:rsidRPr="009A0DA6">
        <w:rPr>
          <w:rFonts w:ascii="Cambria" w:eastAsia="Times New Roman" w:hAnsi="Cambria"/>
          <w:lang w:eastAsia="en-AU"/>
        </w:rPr>
        <w:t>1,875,000</w:t>
      </w:r>
      <w:r w:rsidRPr="009A0DA6">
        <w:rPr>
          <w:rFonts w:ascii="Cambria" w:hAnsi="Cambria"/>
        </w:rPr>
        <w:tab/>
      </w:r>
      <w:r w:rsidRPr="009A0DA6">
        <w:rPr>
          <w:rFonts w:ascii="Cambria" w:eastAsia="Times New Roman" w:hAnsi="Cambria"/>
          <w:lang w:eastAsia="en-AU"/>
        </w:rPr>
        <w:t>2,645,000</w:t>
      </w:r>
      <w:r w:rsidRPr="009A0DA6">
        <w:rPr>
          <w:rFonts w:ascii="Cambria" w:hAnsi="Cambria"/>
        </w:rPr>
        <w:tab/>
      </w:r>
      <w:r w:rsidRPr="009A0DA6">
        <w:rPr>
          <w:rFonts w:ascii="Cambria" w:eastAsia="Times New Roman" w:hAnsi="Cambria"/>
          <w:lang w:eastAsia="en-AU"/>
        </w:rPr>
        <w:t>1,900,000</w:t>
      </w:r>
    </w:p>
    <w:p w14:paraId="3CFA4677" w14:textId="77777777" w:rsidR="00D11971" w:rsidRPr="009A0DA6" w:rsidRDefault="00D11971" w:rsidP="00351A0F">
      <w:pPr>
        <w:tabs>
          <w:tab w:val="right" w:pos="5103"/>
          <w:tab w:val="right" w:pos="6946"/>
          <w:tab w:val="right" w:pos="8931"/>
        </w:tabs>
        <w:spacing w:after="0" w:line="240" w:lineRule="auto"/>
        <w:contextualSpacing/>
        <w:rPr>
          <w:rFonts w:ascii="Cambria" w:hAnsi="Cambria"/>
          <w:b/>
          <w:bCs/>
        </w:rPr>
      </w:pPr>
      <w:r w:rsidRPr="009A0DA6">
        <w:rPr>
          <w:rFonts w:ascii="Cambria" w:eastAsia="Times New Roman" w:hAnsi="Cambria"/>
          <w:b/>
          <w:bCs/>
          <w:lang w:eastAsia="en-AU"/>
        </w:rPr>
        <w:t>Net surplus and total comprehensive income</w:t>
      </w:r>
      <w:r w:rsidRPr="009A0DA6">
        <w:rPr>
          <w:rFonts w:ascii="Cambria" w:hAnsi="Cambria"/>
          <w:b/>
          <w:bCs/>
        </w:rPr>
        <w:br/>
        <w:t xml:space="preserve">         </w:t>
      </w:r>
      <w:r w:rsidRPr="009A0DA6">
        <w:rPr>
          <w:rFonts w:ascii="Cambria" w:eastAsia="Times New Roman" w:hAnsi="Cambria"/>
          <w:b/>
          <w:bCs/>
          <w:lang w:eastAsia="en-AU"/>
        </w:rPr>
        <w:t xml:space="preserve"> for the year</w:t>
      </w:r>
      <w:r w:rsidRPr="009A0DA6">
        <w:rPr>
          <w:rFonts w:ascii="Cambria" w:hAnsi="Cambria"/>
          <w:b/>
          <w:bCs/>
        </w:rPr>
        <w:tab/>
      </w:r>
      <w:r w:rsidRPr="009A0DA6">
        <w:rPr>
          <w:rFonts w:ascii="Cambria" w:eastAsia="Times New Roman" w:hAnsi="Cambria"/>
          <w:b/>
          <w:bCs/>
          <w:lang w:eastAsia="en-AU"/>
        </w:rPr>
        <w:t>4,176,414</w:t>
      </w:r>
      <w:r w:rsidRPr="009A0DA6">
        <w:rPr>
          <w:rFonts w:ascii="Cambria" w:hAnsi="Cambria"/>
          <w:b/>
          <w:bCs/>
        </w:rPr>
        <w:tab/>
      </w:r>
      <w:r w:rsidRPr="009A0DA6">
        <w:rPr>
          <w:rFonts w:ascii="Cambria" w:eastAsia="Times New Roman" w:hAnsi="Cambria"/>
          <w:b/>
          <w:bCs/>
          <w:lang w:eastAsia="en-AU"/>
        </w:rPr>
        <w:t>3,518,346</w:t>
      </w:r>
      <w:r w:rsidRPr="009A0DA6">
        <w:rPr>
          <w:rFonts w:ascii="Cambria" w:hAnsi="Cambria"/>
          <w:b/>
          <w:bCs/>
        </w:rPr>
        <w:tab/>
      </w:r>
      <w:r w:rsidRPr="009A0DA6">
        <w:rPr>
          <w:rFonts w:ascii="Cambria" w:eastAsia="Times New Roman" w:hAnsi="Cambria"/>
          <w:b/>
          <w:bCs/>
          <w:lang w:eastAsia="en-AU"/>
        </w:rPr>
        <w:t>5,120,569</w:t>
      </w:r>
    </w:p>
    <w:p w14:paraId="686E192C" w14:textId="77777777" w:rsidR="00D11971" w:rsidRPr="009A0DA6" w:rsidRDefault="00D11971" w:rsidP="00351A0F">
      <w:pPr>
        <w:tabs>
          <w:tab w:val="right" w:pos="5103"/>
          <w:tab w:val="right" w:pos="6946"/>
          <w:tab w:val="right" w:pos="8931"/>
        </w:tabs>
        <w:spacing w:after="0" w:line="240" w:lineRule="auto"/>
        <w:contextualSpacing/>
        <w:rPr>
          <w:rFonts w:ascii="Cambria" w:hAnsi="Cambria"/>
        </w:rPr>
      </w:pPr>
      <w:r w:rsidRPr="009A0DA6">
        <w:rPr>
          <w:rFonts w:ascii="Cambria" w:eastAsia="Times New Roman" w:hAnsi="Cambria"/>
          <w:lang w:eastAsia="en-AU"/>
        </w:rPr>
        <w:t>Add transfer from (to) retained surpluses</w:t>
      </w:r>
      <w:r w:rsidRPr="009A0DA6">
        <w:rPr>
          <w:rFonts w:ascii="Cambria" w:hAnsi="Cambria"/>
        </w:rPr>
        <w:tab/>
      </w:r>
      <w:r w:rsidRPr="009A0DA6">
        <w:rPr>
          <w:rFonts w:ascii="Cambria" w:eastAsia="Times New Roman" w:hAnsi="Cambria"/>
          <w:lang w:eastAsia="en-AU"/>
        </w:rPr>
        <w:t>345,498</w:t>
      </w:r>
      <w:r w:rsidRPr="009A0DA6">
        <w:rPr>
          <w:rFonts w:ascii="Cambria" w:hAnsi="Cambria"/>
        </w:rPr>
        <w:tab/>
      </w:r>
      <w:r w:rsidRPr="009A0DA6">
        <w:rPr>
          <w:rFonts w:ascii="Cambria" w:eastAsia="Times New Roman" w:hAnsi="Cambria"/>
          <w:lang w:eastAsia="en-AU"/>
        </w:rPr>
        <w:t>-131,196</w:t>
      </w:r>
      <w:r w:rsidRPr="009A0DA6">
        <w:rPr>
          <w:rFonts w:ascii="Cambria" w:hAnsi="Cambria"/>
        </w:rPr>
        <w:tab/>
      </w:r>
      <w:r w:rsidRPr="009A0DA6">
        <w:rPr>
          <w:rFonts w:ascii="Cambria" w:eastAsia="Times New Roman" w:hAnsi="Cambria"/>
          <w:lang w:eastAsia="en-AU"/>
        </w:rPr>
        <w:t>535,175</w:t>
      </w:r>
    </w:p>
    <w:p w14:paraId="62C893EF" w14:textId="77777777" w:rsidR="00D11971" w:rsidRPr="009A0DA6" w:rsidRDefault="00D11971" w:rsidP="00351A0F">
      <w:pPr>
        <w:tabs>
          <w:tab w:val="right" w:pos="5103"/>
          <w:tab w:val="right" w:pos="6946"/>
          <w:tab w:val="right" w:pos="8931"/>
        </w:tabs>
        <w:spacing w:after="0" w:line="240" w:lineRule="auto"/>
        <w:contextualSpacing/>
        <w:rPr>
          <w:rFonts w:ascii="Cambria" w:hAnsi="Cambria"/>
        </w:rPr>
      </w:pPr>
      <w:r w:rsidRPr="009A0DA6">
        <w:rPr>
          <w:rFonts w:ascii="Cambria" w:eastAsia="Times New Roman" w:hAnsi="Cambria"/>
          <w:lang w:eastAsia="en-AU"/>
        </w:rPr>
        <w:t>Less transfers (to) reserves</w:t>
      </w:r>
      <w:r w:rsidRPr="009A0DA6">
        <w:rPr>
          <w:rFonts w:ascii="Cambria" w:hAnsi="Cambria"/>
        </w:rPr>
        <w:tab/>
      </w:r>
      <w:r w:rsidRPr="009A0DA6">
        <w:rPr>
          <w:rFonts w:ascii="Cambria" w:eastAsia="Times New Roman" w:hAnsi="Cambria"/>
          <w:lang w:eastAsia="en-AU"/>
        </w:rPr>
        <w:t>-4,521,912</w:t>
      </w:r>
      <w:r w:rsidRPr="009A0DA6">
        <w:rPr>
          <w:rFonts w:ascii="Cambria" w:hAnsi="Cambria"/>
        </w:rPr>
        <w:tab/>
      </w:r>
      <w:r w:rsidRPr="009A0DA6">
        <w:rPr>
          <w:rFonts w:ascii="Cambria" w:eastAsia="Times New Roman" w:hAnsi="Cambria"/>
          <w:lang w:eastAsia="en-AU"/>
        </w:rPr>
        <w:t>-3,387,150</w:t>
      </w:r>
      <w:r w:rsidRPr="009A0DA6">
        <w:rPr>
          <w:rFonts w:ascii="Cambria" w:hAnsi="Cambria"/>
        </w:rPr>
        <w:tab/>
      </w:r>
      <w:r w:rsidRPr="009A0DA6">
        <w:rPr>
          <w:rFonts w:ascii="Cambria" w:eastAsia="Times New Roman" w:hAnsi="Cambria"/>
          <w:lang w:eastAsia="en-AU"/>
        </w:rPr>
        <w:t>-5,655,744</w:t>
      </w:r>
    </w:p>
    <w:p w14:paraId="43E027B1" w14:textId="77777777" w:rsidR="00D11971" w:rsidRPr="009A0DA6" w:rsidRDefault="00D11971" w:rsidP="00351A0F">
      <w:pPr>
        <w:tabs>
          <w:tab w:val="right" w:pos="5103"/>
          <w:tab w:val="right" w:pos="6946"/>
          <w:tab w:val="right" w:pos="8931"/>
        </w:tabs>
        <w:spacing w:after="0" w:line="240" w:lineRule="auto"/>
        <w:contextualSpacing/>
        <w:rPr>
          <w:rFonts w:ascii="Cambria" w:hAnsi="Cambria"/>
          <w:b/>
          <w:bCs/>
        </w:rPr>
      </w:pPr>
      <w:r w:rsidRPr="009A0DA6">
        <w:rPr>
          <w:rFonts w:ascii="Cambria" w:eastAsia="Times New Roman" w:hAnsi="Cambria"/>
          <w:b/>
          <w:bCs/>
          <w:lang w:eastAsia="en-AU"/>
        </w:rPr>
        <w:t>Surplus (after transfers)</w:t>
      </w:r>
      <w:r w:rsidRPr="009A0DA6">
        <w:rPr>
          <w:rFonts w:ascii="Cambria" w:hAnsi="Cambria"/>
          <w:b/>
          <w:bCs/>
        </w:rPr>
        <w:tab/>
      </w:r>
      <w:r w:rsidRPr="009A0DA6">
        <w:rPr>
          <w:rFonts w:ascii="Cambria" w:eastAsia="Times New Roman" w:hAnsi="Cambria"/>
          <w:b/>
          <w:bCs/>
          <w:lang w:eastAsia="en-AU"/>
        </w:rPr>
        <w:t>0</w:t>
      </w:r>
      <w:r w:rsidRPr="009A0DA6">
        <w:rPr>
          <w:rFonts w:ascii="Cambria" w:hAnsi="Cambria"/>
          <w:b/>
          <w:bCs/>
        </w:rPr>
        <w:tab/>
      </w:r>
      <w:r w:rsidRPr="009A0DA6">
        <w:rPr>
          <w:rFonts w:ascii="Cambria" w:eastAsia="Times New Roman" w:hAnsi="Cambria"/>
          <w:b/>
          <w:bCs/>
          <w:lang w:eastAsia="en-AU"/>
        </w:rPr>
        <w:t>0</w:t>
      </w:r>
      <w:r w:rsidRPr="009A0DA6">
        <w:rPr>
          <w:rFonts w:ascii="Cambria" w:hAnsi="Cambria"/>
          <w:b/>
          <w:bCs/>
        </w:rPr>
        <w:tab/>
      </w:r>
      <w:r w:rsidRPr="009A0DA6">
        <w:rPr>
          <w:rFonts w:ascii="Cambria" w:eastAsia="Times New Roman" w:hAnsi="Cambria"/>
          <w:b/>
          <w:bCs/>
          <w:lang w:eastAsia="en-AU"/>
        </w:rPr>
        <w:t>0</w:t>
      </w:r>
    </w:p>
    <w:p w14:paraId="095F9269" w14:textId="77777777" w:rsidR="00D11971" w:rsidRPr="009A0DA6" w:rsidRDefault="00D11971" w:rsidP="00351A0F">
      <w:pPr>
        <w:tabs>
          <w:tab w:val="right" w:pos="5103"/>
          <w:tab w:val="right" w:pos="6946"/>
          <w:tab w:val="right" w:pos="8931"/>
        </w:tabs>
        <w:rPr>
          <w:rFonts w:ascii="Cambria" w:hAnsi="Cambria"/>
          <w:b/>
          <w:bCs/>
        </w:rPr>
      </w:pPr>
    </w:p>
    <w:p w14:paraId="32808935" w14:textId="4EBC675B" w:rsidR="00D11971" w:rsidRPr="009A0DA6" w:rsidRDefault="00D11971" w:rsidP="00766B14">
      <w:pPr>
        <w:pStyle w:val="NoSpacing"/>
        <w:rPr>
          <w:b/>
          <w:bCs/>
        </w:rPr>
      </w:pPr>
      <w:r w:rsidRPr="009A0DA6">
        <w:rPr>
          <w:b/>
        </w:rPr>
        <w:t>STATEMENT OF FINANCIAL POSITION</w:t>
      </w:r>
    </w:p>
    <w:p w14:paraId="081C7F8A" w14:textId="77777777" w:rsidR="00D11971" w:rsidRPr="009A0DA6" w:rsidRDefault="00D11971" w:rsidP="00E4168D">
      <w:pPr>
        <w:pStyle w:val="NoSpacing"/>
        <w:rPr>
          <w:b/>
          <w:bCs/>
        </w:rPr>
      </w:pPr>
      <w:r w:rsidRPr="009A0DA6">
        <w:rPr>
          <w:rFonts w:eastAsia="Times New Roman"/>
          <w:b/>
          <w:bCs/>
          <w:lang w:eastAsia="en-AU"/>
        </w:rPr>
        <w:t>As at 30 JUNE</w:t>
      </w:r>
    </w:p>
    <w:p w14:paraId="485576F9" w14:textId="77777777" w:rsidR="00D11971" w:rsidRPr="009A0DA6" w:rsidRDefault="00D11971" w:rsidP="00351A0F">
      <w:pPr>
        <w:tabs>
          <w:tab w:val="right" w:pos="4962"/>
          <w:tab w:val="right" w:pos="6946"/>
          <w:tab w:val="right" w:pos="8931"/>
        </w:tabs>
        <w:spacing w:after="0" w:line="240" w:lineRule="auto"/>
        <w:contextualSpacing/>
        <w:rPr>
          <w:rFonts w:ascii="Cambria" w:hAnsi="Cambria"/>
          <w:b/>
          <w:bCs/>
        </w:rPr>
      </w:pPr>
      <w:r w:rsidRPr="009A0DA6">
        <w:rPr>
          <w:rFonts w:ascii="Cambria" w:hAnsi="Cambria"/>
        </w:rPr>
        <w:tab/>
      </w:r>
      <w:r w:rsidRPr="009A0DA6">
        <w:rPr>
          <w:rFonts w:ascii="Cambria" w:eastAsia="Times New Roman" w:hAnsi="Cambria"/>
          <w:b/>
          <w:bCs/>
          <w:lang w:eastAsia="en-AU"/>
        </w:rPr>
        <w:t>2017</w:t>
      </w:r>
      <w:r w:rsidRPr="009A0DA6">
        <w:rPr>
          <w:rFonts w:ascii="Cambria" w:hAnsi="Cambria"/>
          <w:b/>
          <w:bCs/>
        </w:rPr>
        <w:tab/>
      </w:r>
      <w:r w:rsidRPr="009A0DA6">
        <w:rPr>
          <w:rFonts w:ascii="Cambria" w:eastAsia="Times New Roman" w:hAnsi="Cambria"/>
          <w:b/>
          <w:bCs/>
          <w:lang w:eastAsia="en-AU"/>
        </w:rPr>
        <w:t>2016</w:t>
      </w:r>
      <w:r w:rsidRPr="009A0DA6">
        <w:rPr>
          <w:rFonts w:ascii="Cambria" w:hAnsi="Cambria"/>
          <w:b/>
          <w:bCs/>
        </w:rPr>
        <w:tab/>
      </w:r>
      <w:r w:rsidRPr="009A0DA6">
        <w:rPr>
          <w:rFonts w:ascii="Cambria" w:eastAsia="Times New Roman" w:hAnsi="Cambria"/>
          <w:b/>
          <w:bCs/>
          <w:lang w:eastAsia="en-AU"/>
        </w:rPr>
        <w:t>2015</w:t>
      </w:r>
    </w:p>
    <w:p w14:paraId="11C1FDE2" w14:textId="77777777" w:rsidR="00D11971" w:rsidRPr="009A0DA6" w:rsidRDefault="00D11971" w:rsidP="00351A0F">
      <w:pPr>
        <w:tabs>
          <w:tab w:val="right" w:pos="4962"/>
          <w:tab w:val="right" w:pos="6946"/>
          <w:tab w:val="right" w:pos="8931"/>
        </w:tabs>
        <w:spacing w:after="0" w:line="240" w:lineRule="auto"/>
        <w:contextualSpacing/>
        <w:rPr>
          <w:rFonts w:ascii="Cambria" w:hAnsi="Cambria"/>
        </w:rPr>
      </w:pPr>
      <w:r w:rsidRPr="009A0DA6">
        <w:rPr>
          <w:rFonts w:ascii="Cambria" w:eastAsia="Times New Roman" w:hAnsi="Cambria"/>
          <w:b/>
          <w:bCs/>
          <w:lang w:eastAsia="en-AU"/>
        </w:rPr>
        <w:t>Assets</w:t>
      </w:r>
      <w:r w:rsidRPr="009A0DA6">
        <w:rPr>
          <w:rFonts w:ascii="Cambria" w:hAnsi="Cambria"/>
          <w:b/>
          <w:bCs/>
        </w:rPr>
        <w:tab/>
      </w:r>
      <w:r w:rsidRPr="009A0DA6">
        <w:rPr>
          <w:rFonts w:ascii="Cambria" w:hAnsi="Cambria"/>
          <w:b/>
          <w:bCs/>
        </w:rPr>
        <w:tab/>
      </w:r>
      <w:r w:rsidRPr="009A0DA6">
        <w:rPr>
          <w:rFonts w:ascii="Cambria" w:hAnsi="Cambria"/>
        </w:rPr>
        <w:tab/>
      </w:r>
    </w:p>
    <w:p w14:paraId="5A358F42" w14:textId="77777777" w:rsidR="00D11971" w:rsidRPr="009A0DA6" w:rsidRDefault="00D11971" w:rsidP="00351A0F">
      <w:pPr>
        <w:tabs>
          <w:tab w:val="right" w:pos="4962"/>
          <w:tab w:val="right" w:pos="6946"/>
          <w:tab w:val="right" w:pos="8931"/>
        </w:tabs>
        <w:spacing w:after="0" w:line="240" w:lineRule="auto"/>
        <w:contextualSpacing/>
        <w:rPr>
          <w:rFonts w:ascii="Cambria" w:hAnsi="Cambria"/>
        </w:rPr>
      </w:pPr>
      <w:r w:rsidRPr="009A0DA6">
        <w:rPr>
          <w:rFonts w:ascii="Cambria" w:eastAsia="Times New Roman" w:hAnsi="Cambria"/>
          <w:lang w:eastAsia="en-AU"/>
        </w:rPr>
        <w:t>Cash and cash equivalents</w:t>
      </w:r>
      <w:r w:rsidRPr="009A0DA6">
        <w:rPr>
          <w:rFonts w:ascii="Cambria" w:hAnsi="Cambria"/>
        </w:rPr>
        <w:tab/>
      </w:r>
      <w:r w:rsidRPr="009A0DA6">
        <w:rPr>
          <w:rFonts w:ascii="Cambria" w:eastAsia="Times New Roman" w:hAnsi="Cambria"/>
          <w:lang w:eastAsia="en-AU"/>
        </w:rPr>
        <w:t>74,068,864</w:t>
      </w:r>
      <w:r w:rsidRPr="009A0DA6">
        <w:rPr>
          <w:rFonts w:ascii="Cambria" w:hAnsi="Cambria"/>
        </w:rPr>
        <w:tab/>
      </w:r>
      <w:r w:rsidRPr="009A0DA6">
        <w:rPr>
          <w:rFonts w:ascii="Cambria" w:eastAsia="Times New Roman" w:hAnsi="Cambria"/>
          <w:lang w:eastAsia="en-AU"/>
        </w:rPr>
        <w:t>71,650,658</w:t>
      </w:r>
      <w:r w:rsidRPr="009A0DA6">
        <w:rPr>
          <w:rFonts w:ascii="Cambria" w:hAnsi="Cambria"/>
        </w:rPr>
        <w:tab/>
      </w:r>
      <w:r w:rsidRPr="009A0DA6">
        <w:rPr>
          <w:rFonts w:ascii="Cambria" w:eastAsia="Times New Roman" w:hAnsi="Cambria"/>
          <w:lang w:eastAsia="en-AU"/>
        </w:rPr>
        <w:t>75,873,335</w:t>
      </w:r>
    </w:p>
    <w:p w14:paraId="53C5ADBE" w14:textId="77777777" w:rsidR="00D11971" w:rsidRPr="009A0DA6" w:rsidRDefault="00D11971" w:rsidP="00351A0F">
      <w:pPr>
        <w:tabs>
          <w:tab w:val="right" w:pos="4962"/>
          <w:tab w:val="right" w:pos="6946"/>
          <w:tab w:val="right" w:pos="8931"/>
        </w:tabs>
        <w:spacing w:after="0" w:line="240" w:lineRule="auto"/>
        <w:contextualSpacing/>
        <w:rPr>
          <w:rFonts w:ascii="Cambria" w:hAnsi="Cambria"/>
        </w:rPr>
      </w:pPr>
      <w:r w:rsidRPr="009A0DA6">
        <w:rPr>
          <w:rFonts w:ascii="Cambria" w:eastAsia="Times New Roman" w:hAnsi="Cambria"/>
          <w:lang w:eastAsia="en-AU"/>
        </w:rPr>
        <w:t>Financial assets</w:t>
      </w:r>
      <w:r w:rsidRPr="009A0DA6">
        <w:rPr>
          <w:rFonts w:ascii="Cambria" w:hAnsi="Cambria"/>
        </w:rPr>
        <w:tab/>
      </w:r>
      <w:r w:rsidRPr="009A0DA6">
        <w:rPr>
          <w:rFonts w:ascii="Cambria" w:eastAsia="Times New Roman" w:hAnsi="Cambria"/>
          <w:lang w:eastAsia="en-AU"/>
        </w:rPr>
        <w:t>752,124,581</w:t>
      </w:r>
      <w:r w:rsidRPr="009A0DA6">
        <w:rPr>
          <w:rFonts w:ascii="Cambria" w:hAnsi="Cambria"/>
        </w:rPr>
        <w:tab/>
      </w:r>
      <w:r w:rsidRPr="009A0DA6">
        <w:rPr>
          <w:rFonts w:ascii="Cambria" w:eastAsia="Times New Roman" w:hAnsi="Cambria"/>
          <w:lang w:eastAsia="en-AU"/>
        </w:rPr>
        <w:t>686,300,813</w:t>
      </w:r>
      <w:r w:rsidRPr="009A0DA6">
        <w:rPr>
          <w:rFonts w:ascii="Cambria" w:hAnsi="Cambria"/>
        </w:rPr>
        <w:tab/>
      </w:r>
      <w:r w:rsidRPr="009A0DA6">
        <w:rPr>
          <w:rFonts w:ascii="Cambria" w:eastAsia="Times New Roman" w:hAnsi="Cambria"/>
          <w:lang w:eastAsia="en-AU"/>
        </w:rPr>
        <w:t>556,189,485</w:t>
      </w:r>
    </w:p>
    <w:p w14:paraId="61A738E6" w14:textId="77777777" w:rsidR="00D11971" w:rsidRPr="009A0DA6" w:rsidRDefault="00D11971" w:rsidP="00351A0F">
      <w:pPr>
        <w:tabs>
          <w:tab w:val="right" w:pos="4962"/>
          <w:tab w:val="right" w:pos="6946"/>
          <w:tab w:val="right" w:pos="8931"/>
        </w:tabs>
        <w:spacing w:after="0" w:line="240" w:lineRule="auto"/>
        <w:contextualSpacing/>
        <w:rPr>
          <w:rFonts w:ascii="Cambria" w:hAnsi="Cambria"/>
        </w:rPr>
      </w:pPr>
      <w:r w:rsidRPr="009A0DA6">
        <w:rPr>
          <w:rFonts w:ascii="Cambria" w:eastAsia="Times New Roman" w:hAnsi="Cambria"/>
          <w:lang w:eastAsia="en-AU"/>
        </w:rPr>
        <w:t>Trade and other receivables</w:t>
      </w:r>
      <w:r w:rsidRPr="009A0DA6">
        <w:rPr>
          <w:rFonts w:ascii="Cambria" w:hAnsi="Cambria"/>
        </w:rPr>
        <w:tab/>
      </w:r>
      <w:r w:rsidRPr="009A0DA6">
        <w:rPr>
          <w:rFonts w:ascii="Cambria" w:eastAsia="Times New Roman" w:hAnsi="Cambria"/>
          <w:lang w:eastAsia="en-AU"/>
        </w:rPr>
        <w:t>320,148,233</w:t>
      </w:r>
      <w:r w:rsidRPr="009A0DA6">
        <w:rPr>
          <w:rFonts w:ascii="Cambria" w:hAnsi="Cambria"/>
        </w:rPr>
        <w:tab/>
      </w:r>
      <w:r w:rsidRPr="009A0DA6">
        <w:rPr>
          <w:rFonts w:ascii="Cambria" w:eastAsia="Times New Roman" w:hAnsi="Cambria"/>
          <w:lang w:eastAsia="en-AU"/>
        </w:rPr>
        <w:t>340,584,736</w:t>
      </w:r>
      <w:r w:rsidRPr="009A0DA6">
        <w:rPr>
          <w:rFonts w:ascii="Cambria" w:hAnsi="Cambria"/>
        </w:rPr>
        <w:tab/>
      </w:r>
      <w:r w:rsidRPr="009A0DA6">
        <w:rPr>
          <w:rFonts w:ascii="Cambria" w:eastAsia="Times New Roman" w:hAnsi="Cambria"/>
          <w:lang w:eastAsia="en-AU"/>
        </w:rPr>
        <w:t>360,555,008</w:t>
      </w:r>
    </w:p>
    <w:p w14:paraId="673EB874" w14:textId="77777777" w:rsidR="00D11971" w:rsidRPr="009A0DA6" w:rsidRDefault="00D11971" w:rsidP="00351A0F">
      <w:pPr>
        <w:tabs>
          <w:tab w:val="right" w:pos="4962"/>
          <w:tab w:val="right" w:pos="6946"/>
          <w:tab w:val="right" w:pos="8931"/>
        </w:tabs>
        <w:spacing w:after="0" w:line="240" w:lineRule="auto"/>
        <w:contextualSpacing/>
        <w:rPr>
          <w:rFonts w:ascii="Cambria" w:hAnsi="Cambria"/>
        </w:rPr>
      </w:pPr>
      <w:r w:rsidRPr="009A0DA6">
        <w:rPr>
          <w:rFonts w:ascii="Cambria" w:eastAsia="Times New Roman" w:hAnsi="Cambria"/>
          <w:lang w:eastAsia="en-AU"/>
        </w:rPr>
        <w:t>Property, plant and equipment</w:t>
      </w:r>
      <w:r w:rsidRPr="009A0DA6">
        <w:rPr>
          <w:rFonts w:ascii="Cambria" w:hAnsi="Cambria"/>
        </w:rPr>
        <w:tab/>
      </w:r>
      <w:r w:rsidRPr="009A0DA6">
        <w:rPr>
          <w:rFonts w:ascii="Cambria" w:eastAsia="Times New Roman" w:hAnsi="Cambria"/>
          <w:lang w:eastAsia="en-AU"/>
        </w:rPr>
        <w:t>7,584,639</w:t>
      </w:r>
      <w:r w:rsidRPr="009A0DA6">
        <w:rPr>
          <w:rFonts w:ascii="Cambria" w:hAnsi="Cambria"/>
        </w:rPr>
        <w:tab/>
      </w:r>
      <w:r w:rsidRPr="009A0DA6">
        <w:rPr>
          <w:rFonts w:ascii="Cambria" w:eastAsia="Times New Roman" w:hAnsi="Cambria"/>
          <w:lang w:eastAsia="en-AU"/>
        </w:rPr>
        <w:t>6,513,259</w:t>
      </w:r>
      <w:r w:rsidRPr="009A0DA6">
        <w:rPr>
          <w:rFonts w:ascii="Cambria" w:hAnsi="Cambria"/>
        </w:rPr>
        <w:tab/>
      </w:r>
      <w:r w:rsidRPr="009A0DA6">
        <w:rPr>
          <w:rFonts w:ascii="Cambria" w:eastAsia="Times New Roman" w:hAnsi="Cambria"/>
          <w:lang w:eastAsia="en-AU"/>
        </w:rPr>
        <w:t>6,711,254</w:t>
      </w:r>
    </w:p>
    <w:p w14:paraId="6C371F5E" w14:textId="77777777" w:rsidR="00D11971" w:rsidRPr="009A0DA6" w:rsidRDefault="00D11971" w:rsidP="00351A0F">
      <w:pPr>
        <w:tabs>
          <w:tab w:val="right" w:pos="4962"/>
          <w:tab w:val="right" w:pos="6946"/>
          <w:tab w:val="right" w:pos="8931"/>
        </w:tabs>
        <w:spacing w:after="0" w:line="240" w:lineRule="auto"/>
        <w:contextualSpacing/>
        <w:rPr>
          <w:rFonts w:ascii="Cambria" w:hAnsi="Cambria"/>
          <w:b/>
          <w:bCs/>
        </w:rPr>
      </w:pPr>
      <w:r w:rsidRPr="009A0DA6">
        <w:rPr>
          <w:rFonts w:ascii="Cambria" w:eastAsia="Times New Roman" w:hAnsi="Cambria"/>
          <w:b/>
          <w:bCs/>
          <w:lang w:eastAsia="en-AU"/>
        </w:rPr>
        <w:t>Total Assets</w:t>
      </w:r>
      <w:r w:rsidRPr="009A0DA6">
        <w:rPr>
          <w:rFonts w:ascii="Cambria" w:hAnsi="Cambria"/>
          <w:b/>
          <w:bCs/>
        </w:rPr>
        <w:tab/>
      </w:r>
      <w:r w:rsidRPr="009A0DA6">
        <w:rPr>
          <w:rFonts w:ascii="Cambria" w:eastAsia="Times New Roman" w:hAnsi="Cambria"/>
          <w:b/>
          <w:bCs/>
          <w:lang w:eastAsia="en-AU"/>
        </w:rPr>
        <w:t>1,153,926,317</w:t>
      </w:r>
      <w:r w:rsidRPr="009A0DA6">
        <w:rPr>
          <w:rFonts w:ascii="Cambria" w:hAnsi="Cambria"/>
          <w:b/>
          <w:bCs/>
        </w:rPr>
        <w:tab/>
      </w:r>
      <w:r w:rsidRPr="009A0DA6">
        <w:rPr>
          <w:rFonts w:ascii="Cambria" w:eastAsia="Times New Roman" w:hAnsi="Cambria"/>
          <w:b/>
          <w:bCs/>
          <w:lang w:eastAsia="en-AU"/>
        </w:rPr>
        <w:t>1,105,049,466</w:t>
      </w:r>
      <w:r w:rsidRPr="009A0DA6">
        <w:rPr>
          <w:rFonts w:ascii="Cambria" w:hAnsi="Cambria"/>
          <w:b/>
          <w:bCs/>
        </w:rPr>
        <w:tab/>
      </w:r>
      <w:r w:rsidRPr="009A0DA6">
        <w:rPr>
          <w:rFonts w:ascii="Cambria" w:eastAsia="Times New Roman" w:hAnsi="Cambria"/>
          <w:b/>
          <w:bCs/>
          <w:lang w:eastAsia="en-AU"/>
        </w:rPr>
        <w:t>999,329,082</w:t>
      </w:r>
    </w:p>
    <w:p w14:paraId="19BB4233" w14:textId="77777777" w:rsidR="00D11971" w:rsidRPr="009A0DA6" w:rsidRDefault="00D11971" w:rsidP="00351A0F">
      <w:pPr>
        <w:tabs>
          <w:tab w:val="right" w:pos="4962"/>
          <w:tab w:val="right" w:pos="6946"/>
          <w:tab w:val="right" w:pos="8931"/>
        </w:tabs>
        <w:spacing w:after="0" w:line="240" w:lineRule="auto"/>
        <w:contextualSpacing/>
        <w:rPr>
          <w:rFonts w:ascii="Cambria" w:hAnsi="Cambria"/>
        </w:rPr>
      </w:pPr>
      <w:r w:rsidRPr="009A0DA6">
        <w:rPr>
          <w:rFonts w:ascii="Cambria" w:eastAsia="Times New Roman" w:hAnsi="Cambria"/>
          <w:b/>
          <w:bCs/>
          <w:lang w:eastAsia="en-AU"/>
        </w:rPr>
        <w:t>Liabilities</w:t>
      </w:r>
      <w:r w:rsidRPr="009A0DA6">
        <w:rPr>
          <w:rFonts w:ascii="Cambria" w:hAnsi="Cambria"/>
          <w:b/>
          <w:bCs/>
        </w:rPr>
        <w:tab/>
      </w:r>
      <w:r w:rsidRPr="009A0DA6">
        <w:rPr>
          <w:rFonts w:ascii="Cambria" w:hAnsi="Cambria"/>
          <w:b/>
          <w:bCs/>
        </w:rPr>
        <w:tab/>
      </w:r>
      <w:r w:rsidRPr="009A0DA6">
        <w:rPr>
          <w:rFonts w:ascii="Cambria" w:hAnsi="Cambria"/>
        </w:rPr>
        <w:tab/>
      </w:r>
    </w:p>
    <w:p w14:paraId="3FE76B7B" w14:textId="77777777" w:rsidR="00D11971" w:rsidRPr="009A0DA6" w:rsidRDefault="00D11971" w:rsidP="00351A0F">
      <w:pPr>
        <w:tabs>
          <w:tab w:val="right" w:pos="4962"/>
          <w:tab w:val="right" w:pos="6946"/>
          <w:tab w:val="right" w:pos="8931"/>
        </w:tabs>
        <w:spacing w:after="0" w:line="240" w:lineRule="auto"/>
        <w:contextualSpacing/>
        <w:rPr>
          <w:rFonts w:ascii="Cambria" w:hAnsi="Cambria"/>
        </w:rPr>
      </w:pPr>
      <w:r w:rsidRPr="009A0DA6">
        <w:rPr>
          <w:rFonts w:ascii="Cambria" w:eastAsia="Times New Roman" w:hAnsi="Cambria"/>
          <w:lang w:eastAsia="en-AU"/>
        </w:rPr>
        <w:t>Trade and other payables</w:t>
      </w:r>
      <w:r w:rsidRPr="009A0DA6">
        <w:rPr>
          <w:rFonts w:ascii="Cambria" w:hAnsi="Cambria"/>
        </w:rPr>
        <w:tab/>
      </w:r>
      <w:r w:rsidRPr="009A0DA6">
        <w:rPr>
          <w:rFonts w:ascii="Cambria" w:eastAsia="Times New Roman" w:hAnsi="Cambria"/>
          <w:lang w:eastAsia="en-AU"/>
        </w:rPr>
        <w:t>4,227,104</w:t>
      </w:r>
      <w:r w:rsidRPr="009A0DA6">
        <w:rPr>
          <w:rFonts w:ascii="Cambria" w:hAnsi="Cambria"/>
        </w:rPr>
        <w:tab/>
      </w:r>
      <w:r w:rsidRPr="009A0DA6">
        <w:rPr>
          <w:rFonts w:ascii="Cambria" w:eastAsia="Times New Roman" w:hAnsi="Cambria"/>
          <w:lang w:eastAsia="en-AU"/>
        </w:rPr>
        <w:t>5,923,907</w:t>
      </w:r>
      <w:r w:rsidRPr="009A0DA6">
        <w:rPr>
          <w:rFonts w:ascii="Cambria" w:hAnsi="Cambria"/>
        </w:rPr>
        <w:tab/>
      </w:r>
      <w:r w:rsidRPr="009A0DA6">
        <w:rPr>
          <w:rFonts w:ascii="Cambria" w:eastAsia="Times New Roman" w:hAnsi="Cambria"/>
          <w:lang w:eastAsia="en-AU"/>
        </w:rPr>
        <w:t>5,088,258</w:t>
      </w:r>
    </w:p>
    <w:p w14:paraId="2C131611" w14:textId="77777777" w:rsidR="00D11971" w:rsidRPr="009A0DA6" w:rsidRDefault="00D11971" w:rsidP="00351A0F">
      <w:pPr>
        <w:tabs>
          <w:tab w:val="right" w:pos="4962"/>
          <w:tab w:val="right" w:pos="6946"/>
          <w:tab w:val="right" w:pos="8931"/>
        </w:tabs>
        <w:spacing w:after="0" w:line="240" w:lineRule="auto"/>
        <w:contextualSpacing/>
        <w:rPr>
          <w:rFonts w:ascii="Cambria" w:hAnsi="Cambria"/>
        </w:rPr>
      </w:pPr>
      <w:r w:rsidRPr="009A0DA6">
        <w:rPr>
          <w:rFonts w:ascii="Cambria" w:eastAsia="Times New Roman" w:hAnsi="Cambria"/>
          <w:lang w:eastAsia="en-AU"/>
        </w:rPr>
        <w:t>Financial liabilities</w:t>
      </w:r>
      <w:r w:rsidRPr="009A0DA6">
        <w:rPr>
          <w:rFonts w:ascii="Cambria" w:hAnsi="Cambria"/>
        </w:rPr>
        <w:tab/>
      </w:r>
      <w:r w:rsidRPr="009A0DA6">
        <w:rPr>
          <w:rFonts w:ascii="Cambria" w:eastAsia="Times New Roman" w:hAnsi="Cambria"/>
          <w:lang w:eastAsia="en-AU"/>
        </w:rPr>
        <w:t>1,030,735,328</w:t>
      </w:r>
      <w:r w:rsidRPr="009A0DA6">
        <w:rPr>
          <w:rFonts w:ascii="Cambria" w:hAnsi="Cambria"/>
        </w:rPr>
        <w:tab/>
      </w:r>
      <w:r w:rsidRPr="009A0DA6">
        <w:rPr>
          <w:rFonts w:ascii="Cambria" w:eastAsia="Times New Roman" w:hAnsi="Cambria"/>
          <w:lang w:eastAsia="en-AU"/>
        </w:rPr>
        <w:t>985,514,595</w:t>
      </w:r>
      <w:r w:rsidRPr="009A0DA6">
        <w:rPr>
          <w:rFonts w:ascii="Cambria" w:hAnsi="Cambria"/>
        </w:rPr>
        <w:tab/>
      </w:r>
      <w:r w:rsidRPr="009A0DA6">
        <w:rPr>
          <w:rFonts w:ascii="Cambria" w:eastAsia="Times New Roman" w:hAnsi="Cambria"/>
          <w:lang w:eastAsia="en-AU"/>
        </w:rPr>
        <w:t>884,171,591</w:t>
      </w:r>
    </w:p>
    <w:p w14:paraId="73424F7B" w14:textId="77777777" w:rsidR="00D11971" w:rsidRPr="009A0DA6" w:rsidRDefault="00D11971" w:rsidP="00351A0F">
      <w:pPr>
        <w:tabs>
          <w:tab w:val="right" w:pos="4962"/>
          <w:tab w:val="right" w:pos="6946"/>
          <w:tab w:val="right" w:pos="8931"/>
        </w:tabs>
        <w:spacing w:after="0" w:line="240" w:lineRule="auto"/>
        <w:contextualSpacing/>
        <w:rPr>
          <w:rFonts w:ascii="Cambria" w:hAnsi="Cambria"/>
        </w:rPr>
      </w:pPr>
      <w:r w:rsidRPr="009A0DA6">
        <w:rPr>
          <w:rFonts w:ascii="Cambria" w:eastAsia="Times New Roman" w:hAnsi="Cambria"/>
          <w:lang w:eastAsia="en-AU"/>
        </w:rPr>
        <w:t>Short term provisions</w:t>
      </w:r>
      <w:r w:rsidRPr="009A0DA6">
        <w:rPr>
          <w:rFonts w:ascii="Cambria" w:hAnsi="Cambria"/>
        </w:rPr>
        <w:tab/>
      </w:r>
      <w:r w:rsidRPr="009A0DA6">
        <w:rPr>
          <w:rFonts w:ascii="Cambria" w:eastAsia="Times New Roman" w:hAnsi="Cambria"/>
          <w:lang w:eastAsia="en-AU"/>
        </w:rPr>
        <w:t>542,338</w:t>
      </w:r>
      <w:r w:rsidRPr="009A0DA6">
        <w:rPr>
          <w:rFonts w:ascii="Cambria" w:hAnsi="Cambria"/>
        </w:rPr>
        <w:tab/>
      </w:r>
      <w:r w:rsidRPr="009A0DA6">
        <w:rPr>
          <w:rFonts w:ascii="Cambria" w:eastAsia="Times New Roman" w:hAnsi="Cambria"/>
          <w:lang w:eastAsia="en-AU"/>
        </w:rPr>
        <w:t>495,206</w:t>
      </w:r>
      <w:r w:rsidRPr="009A0DA6">
        <w:rPr>
          <w:rFonts w:ascii="Cambria" w:hAnsi="Cambria"/>
        </w:rPr>
        <w:tab/>
      </w:r>
      <w:r w:rsidRPr="009A0DA6">
        <w:rPr>
          <w:rFonts w:ascii="Cambria" w:eastAsia="Times New Roman" w:hAnsi="Cambria"/>
          <w:lang w:eastAsia="en-AU"/>
        </w:rPr>
        <w:t>471,821</w:t>
      </w:r>
    </w:p>
    <w:p w14:paraId="51F0228F" w14:textId="77777777" w:rsidR="00D11971" w:rsidRPr="009A0DA6" w:rsidRDefault="00D11971" w:rsidP="00351A0F">
      <w:pPr>
        <w:tabs>
          <w:tab w:val="right" w:pos="4962"/>
          <w:tab w:val="right" w:pos="6946"/>
          <w:tab w:val="right" w:pos="8931"/>
        </w:tabs>
        <w:spacing w:after="0" w:line="240" w:lineRule="auto"/>
        <w:contextualSpacing/>
        <w:rPr>
          <w:rFonts w:ascii="Cambria" w:hAnsi="Cambria"/>
          <w:b/>
          <w:bCs/>
        </w:rPr>
      </w:pPr>
      <w:r w:rsidRPr="009A0DA6">
        <w:rPr>
          <w:rFonts w:ascii="Cambria" w:eastAsia="Times New Roman" w:hAnsi="Cambria"/>
          <w:b/>
          <w:bCs/>
          <w:lang w:eastAsia="en-AU"/>
        </w:rPr>
        <w:t>Total Liabilities</w:t>
      </w:r>
      <w:r w:rsidRPr="009A0DA6">
        <w:rPr>
          <w:rFonts w:ascii="Cambria" w:hAnsi="Cambria"/>
          <w:b/>
          <w:bCs/>
        </w:rPr>
        <w:tab/>
      </w:r>
      <w:r w:rsidRPr="009A0DA6">
        <w:rPr>
          <w:rFonts w:ascii="Cambria" w:eastAsia="Times New Roman" w:hAnsi="Cambria"/>
          <w:b/>
          <w:bCs/>
          <w:lang w:eastAsia="en-AU"/>
        </w:rPr>
        <w:t>1,035,504,770</w:t>
      </w:r>
      <w:r w:rsidRPr="009A0DA6">
        <w:rPr>
          <w:rFonts w:ascii="Cambria" w:hAnsi="Cambria"/>
          <w:b/>
          <w:bCs/>
        </w:rPr>
        <w:tab/>
      </w:r>
      <w:r w:rsidRPr="009A0DA6">
        <w:rPr>
          <w:rFonts w:ascii="Cambria" w:eastAsia="Times New Roman" w:hAnsi="Cambria"/>
          <w:b/>
          <w:bCs/>
          <w:lang w:eastAsia="en-AU"/>
        </w:rPr>
        <w:t>991,933,708</w:t>
      </w:r>
      <w:r w:rsidRPr="009A0DA6">
        <w:rPr>
          <w:rFonts w:ascii="Cambria" w:hAnsi="Cambria"/>
          <w:b/>
          <w:bCs/>
        </w:rPr>
        <w:tab/>
      </w:r>
      <w:r w:rsidRPr="009A0DA6">
        <w:rPr>
          <w:rFonts w:ascii="Cambria" w:eastAsia="Times New Roman" w:hAnsi="Cambria"/>
          <w:b/>
          <w:bCs/>
          <w:lang w:eastAsia="en-AU"/>
        </w:rPr>
        <w:t>889,731,670</w:t>
      </w:r>
    </w:p>
    <w:p w14:paraId="046AB1FA" w14:textId="4FE270A8" w:rsidR="00D11971" w:rsidRPr="009A0DA6" w:rsidRDefault="00D11971" w:rsidP="00351A0F">
      <w:pPr>
        <w:tabs>
          <w:tab w:val="right" w:pos="4962"/>
          <w:tab w:val="right" w:pos="6946"/>
          <w:tab w:val="right" w:pos="8931"/>
        </w:tabs>
        <w:spacing w:after="0" w:line="240" w:lineRule="auto"/>
        <w:contextualSpacing/>
        <w:rPr>
          <w:rFonts w:ascii="Cambria" w:hAnsi="Cambria"/>
          <w:b/>
          <w:bCs/>
        </w:rPr>
      </w:pPr>
      <w:r w:rsidRPr="009A0DA6">
        <w:rPr>
          <w:rFonts w:ascii="Cambria" w:eastAsia="Times New Roman" w:hAnsi="Cambria"/>
          <w:b/>
          <w:bCs/>
          <w:lang w:eastAsia="en-AU"/>
        </w:rPr>
        <w:t>Net Assets</w:t>
      </w:r>
      <w:r w:rsidRPr="009A0DA6">
        <w:rPr>
          <w:rFonts w:ascii="Cambria" w:hAnsi="Cambria"/>
          <w:b/>
          <w:bCs/>
        </w:rPr>
        <w:tab/>
      </w:r>
      <w:r w:rsidR="006C6F9E">
        <w:rPr>
          <w:rFonts w:ascii="Cambria" w:hAnsi="Cambria"/>
          <w:b/>
          <w:bCs/>
        </w:rPr>
        <w:t>$</w:t>
      </w:r>
      <w:r w:rsidRPr="009A0DA6">
        <w:rPr>
          <w:rFonts w:ascii="Cambria" w:eastAsia="Times New Roman" w:hAnsi="Cambria"/>
          <w:b/>
          <w:bCs/>
          <w:lang w:eastAsia="en-AU"/>
        </w:rPr>
        <w:t>118,421,547</w:t>
      </w:r>
      <w:r w:rsidRPr="009A0DA6">
        <w:rPr>
          <w:rFonts w:ascii="Cambria" w:hAnsi="Cambria"/>
          <w:b/>
          <w:bCs/>
        </w:rPr>
        <w:tab/>
      </w:r>
      <w:r w:rsidR="006C6F9E">
        <w:rPr>
          <w:rFonts w:ascii="Cambria" w:hAnsi="Cambria"/>
          <w:b/>
          <w:bCs/>
        </w:rPr>
        <w:t>$</w:t>
      </w:r>
      <w:r w:rsidRPr="009A0DA6">
        <w:rPr>
          <w:rFonts w:ascii="Cambria" w:eastAsia="Times New Roman" w:hAnsi="Cambria"/>
          <w:b/>
          <w:bCs/>
          <w:lang w:eastAsia="en-AU"/>
        </w:rPr>
        <w:t>113,115,758</w:t>
      </w:r>
      <w:r w:rsidRPr="009A0DA6">
        <w:rPr>
          <w:rFonts w:ascii="Cambria" w:hAnsi="Cambria"/>
          <w:b/>
          <w:bCs/>
        </w:rPr>
        <w:tab/>
      </w:r>
      <w:r w:rsidR="006C6F9E">
        <w:rPr>
          <w:rFonts w:ascii="Cambria" w:hAnsi="Cambria"/>
          <w:b/>
          <w:bCs/>
        </w:rPr>
        <w:t>$</w:t>
      </w:r>
      <w:r w:rsidRPr="009A0DA6">
        <w:rPr>
          <w:rFonts w:ascii="Cambria" w:eastAsia="Times New Roman" w:hAnsi="Cambria"/>
          <w:b/>
          <w:bCs/>
          <w:lang w:eastAsia="en-AU"/>
        </w:rPr>
        <w:t>109,597,412</w:t>
      </w:r>
    </w:p>
    <w:p w14:paraId="0C3A7820" w14:textId="77777777" w:rsidR="00D11971" w:rsidRPr="009A0DA6" w:rsidRDefault="00D11971" w:rsidP="00351A0F">
      <w:pPr>
        <w:tabs>
          <w:tab w:val="right" w:pos="4962"/>
          <w:tab w:val="right" w:pos="6946"/>
          <w:tab w:val="right" w:pos="8931"/>
        </w:tabs>
        <w:spacing w:after="0" w:line="240" w:lineRule="auto"/>
        <w:contextualSpacing/>
        <w:rPr>
          <w:rFonts w:ascii="Cambria" w:hAnsi="Cambria"/>
        </w:rPr>
      </w:pPr>
      <w:r w:rsidRPr="009A0DA6">
        <w:rPr>
          <w:rFonts w:ascii="Cambria" w:eastAsia="Times New Roman" w:hAnsi="Cambria"/>
          <w:b/>
          <w:bCs/>
          <w:lang w:eastAsia="en-AU"/>
        </w:rPr>
        <w:t>Equity</w:t>
      </w:r>
      <w:r w:rsidRPr="009A0DA6">
        <w:rPr>
          <w:rFonts w:ascii="Cambria" w:hAnsi="Cambria"/>
          <w:b/>
          <w:bCs/>
        </w:rPr>
        <w:tab/>
      </w:r>
      <w:r w:rsidRPr="009A0DA6">
        <w:rPr>
          <w:rFonts w:ascii="Cambria" w:hAnsi="Cambria"/>
          <w:b/>
          <w:bCs/>
        </w:rPr>
        <w:tab/>
      </w:r>
      <w:r w:rsidRPr="009A0DA6">
        <w:rPr>
          <w:rFonts w:ascii="Cambria" w:hAnsi="Cambria"/>
        </w:rPr>
        <w:tab/>
      </w:r>
    </w:p>
    <w:p w14:paraId="3A1F0EDC" w14:textId="77777777" w:rsidR="00D11971" w:rsidRPr="009A0DA6" w:rsidRDefault="00D11971" w:rsidP="00351A0F">
      <w:pPr>
        <w:tabs>
          <w:tab w:val="right" w:pos="4962"/>
          <w:tab w:val="right" w:pos="6946"/>
          <w:tab w:val="right" w:pos="8931"/>
        </w:tabs>
        <w:spacing w:after="0" w:line="240" w:lineRule="auto"/>
        <w:contextualSpacing/>
        <w:rPr>
          <w:rFonts w:ascii="Cambria" w:hAnsi="Cambria"/>
        </w:rPr>
      </w:pPr>
      <w:r w:rsidRPr="009A0DA6">
        <w:rPr>
          <w:rFonts w:ascii="Cambria" w:eastAsia="Times New Roman" w:hAnsi="Cambria"/>
          <w:lang w:eastAsia="en-AU"/>
        </w:rPr>
        <w:t>Retained surpluses</w:t>
      </w:r>
      <w:r w:rsidRPr="009A0DA6">
        <w:rPr>
          <w:rFonts w:ascii="Cambria" w:hAnsi="Cambria"/>
        </w:rPr>
        <w:tab/>
      </w:r>
      <w:r w:rsidRPr="009A0DA6">
        <w:rPr>
          <w:rFonts w:ascii="Cambria" w:eastAsia="Times New Roman" w:hAnsi="Cambria"/>
          <w:lang w:eastAsia="en-AU"/>
        </w:rPr>
        <w:t>9,301,785</w:t>
      </w:r>
      <w:r w:rsidRPr="009A0DA6">
        <w:rPr>
          <w:rFonts w:ascii="Cambria" w:hAnsi="Cambria"/>
        </w:rPr>
        <w:tab/>
      </w:r>
      <w:r w:rsidRPr="009A0DA6">
        <w:rPr>
          <w:rFonts w:ascii="Cambria" w:eastAsia="Times New Roman" w:hAnsi="Cambria"/>
          <w:lang w:eastAsia="en-AU"/>
        </w:rPr>
        <w:t>9,647,283</w:t>
      </w:r>
      <w:r w:rsidRPr="009A0DA6">
        <w:rPr>
          <w:rFonts w:ascii="Cambria" w:hAnsi="Cambria"/>
        </w:rPr>
        <w:tab/>
      </w:r>
      <w:r w:rsidRPr="009A0DA6">
        <w:rPr>
          <w:rFonts w:ascii="Cambria" w:eastAsia="Times New Roman" w:hAnsi="Cambria"/>
          <w:lang w:eastAsia="en-AU"/>
        </w:rPr>
        <w:t>9,516,087</w:t>
      </w:r>
    </w:p>
    <w:p w14:paraId="5489E058" w14:textId="77777777" w:rsidR="00D11971" w:rsidRPr="009A0DA6" w:rsidRDefault="00D11971" w:rsidP="00351A0F">
      <w:pPr>
        <w:tabs>
          <w:tab w:val="right" w:pos="4962"/>
          <w:tab w:val="right" w:pos="6946"/>
          <w:tab w:val="right" w:pos="8931"/>
        </w:tabs>
        <w:spacing w:after="0" w:line="240" w:lineRule="auto"/>
        <w:contextualSpacing/>
        <w:rPr>
          <w:rFonts w:ascii="Cambria" w:hAnsi="Cambria"/>
        </w:rPr>
      </w:pPr>
      <w:r w:rsidRPr="009A0DA6">
        <w:rPr>
          <w:rFonts w:ascii="Cambria" w:eastAsia="Times New Roman" w:hAnsi="Cambria"/>
          <w:lang w:eastAsia="en-AU"/>
        </w:rPr>
        <w:t>Reserves</w:t>
      </w:r>
      <w:r w:rsidRPr="009A0DA6">
        <w:rPr>
          <w:rFonts w:ascii="Cambria" w:hAnsi="Cambria"/>
        </w:rPr>
        <w:tab/>
      </w:r>
      <w:r w:rsidRPr="009A0DA6">
        <w:rPr>
          <w:rFonts w:ascii="Cambria" w:eastAsia="Times New Roman" w:hAnsi="Cambria"/>
          <w:lang w:eastAsia="en-AU"/>
        </w:rPr>
        <w:t>109,119,762</w:t>
      </w:r>
      <w:r w:rsidRPr="009A0DA6">
        <w:rPr>
          <w:rFonts w:ascii="Cambria" w:hAnsi="Cambria"/>
        </w:rPr>
        <w:tab/>
      </w:r>
      <w:r w:rsidRPr="009A0DA6">
        <w:rPr>
          <w:rFonts w:ascii="Cambria" w:eastAsia="Times New Roman" w:hAnsi="Cambria"/>
          <w:lang w:eastAsia="en-AU"/>
        </w:rPr>
        <w:t>103,468,475</w:t>
      </w:r>
      <w:r w:rsidRPr="009A0DA6">
        <w:rPr>
          <w:rFonts w:ascii="Cambria" w:hAnsi="Cambria"/>
        </w:rPr>
        <w:tab/>
      </w:r>
      <w:r w:rsidRPr="009A0DA6">
        <w:rPr>
          <w:rFonts w:ascii="Cambria" w:eastAsia="Times New Roman" w:hAnsi="Cambria"/>
          <w:lang w:eastAsia="en-AU"/>
        </w:rPr>
        <w:t>100,081,325</w:t>
      </w:r>
    </w:p>
    <w:p w14:paraId="48706251" w14:textId="2D5D36EE" w:rsidR="00D11971" w:rsidRPr="009A0DA6" w:rsidRDefault="00D11971" w:rsidP="00351A0F">
      <w:pPr>
        <w:tabs>
          <w:tab w:val="right" w:pos="4962"/>
          <w:tab w:val="right" w:pos="6946"/>
          <w:tab w:val="right" w:pos="8931"/>
        </w:tabs>
        <w:spacing w:after="0" w:line="240" w:lineRule="auto"/>
        <w:contextualSpacing/>
        <w:rPr>
          <w:rFonts w:ascii="Cambria" w:eastAsia="Times New Roman" w:hAnsi="Cambria"/>
          <w:b/>
          <w:bCs/>
          <w:lang w:eastAsia="en-AU"/>
        </w:rPr>
      </w:pPr>
      <w:r w:rsidRPr="009A0DA6">
        <w:rPr>
          <w:rFonts w:ascii="Cambria" w:eastAsia="Times New Roman" w:hAnsi="Cambria"/>
          <w:b/>
          <w:bCs/>
          <w:lang w:eastAsia="en-AU"/>
        </w:rPr>
        <w:t>Total Equity</w:t>
      </w:r>
      <w:r w:rsidRPr="009A0DA6">
        <w:rPr>
          <w:rFonts w:ascii="Cambria" w:hAnsi="Cambria"/>
          <w:b/>
          <w:bCs/>
        </w:rPr>
        <w:tab/>
      </w:r>
      <w:r w:rsidR="006C6F9E">
        <w:rPr>
          <w:rFonts w:ascii="Cambria" w:hAnsi="Cambria"/>
          <w:b/>
          <w:bCs/>
        </w:rPr>
        <w:t>$</w:t>
      </w:r>
      <w:r w:rsidRPr="009A0DA6">
        <w:rPr>
          <w:rFonts w:ascii="Cambria" w:eastAsia="Times New Roman" w:hAnsi="Cambria"/>
          <w:b/>
          <w:bCs/>
          <w:lang w:eastAsia="en-AU"/>
        </w:rPr>
        <w:t>118,421,547</w:t>
      </w:r>
      <w:r w:rsidRPr="009A0DA6">
        <w:rPr>
          <w:rFonts w:ascii="Cambria" w:hAnsi="Cambria"/>
          <w:b/>
          <w:bCs/>
        </w:rPr>
        <w:tab/>
      </w:r>
      <w:r w:rsidR="006C6F9E">
        <w:rPr>
          <w:rFonts w:ascii="Cambria" w:hAnsi="Cambria"/>
          <w:b/>
          <w:bCs/>
        </w:rPr>
        <w:t>$</w:t>
      </w:r>
      <w:r w:rsidRPr="009A0DA6">
        <w:rPr>
          <w:rFonts w:ascii="Cambria" w:eastAsia="Times New Roman" w:hAnsi="Cambria"/>
          <w:b/>
          <w:bCs/>
          <w:lang w:eastAsia="en-AU"/>
        </w:rPr>
        <w:t>113,115,758</w:t>
      </w:r>
      <w:r w:rsidRPr="009A0DA6">
        <w:rPr>
          <w:rFonts w:ascii="Cambria" w:hAnsi="Cambria"/>
          <w:b/>
          <w:bCs/>
        </w:rPr>
        <w:tab/>
      </w:r>
      <w:r w:rsidR="006C6F9E">
        <w:rPr>
          <w:rFonts w:ascii="Cambria" w:hAnsi="Cambria"/>
          <w:b/>
          <w:bCs/>
        </w:rPr>
        <w:t>$</w:t>
      </w:r>
      <w:r w:rsidRPr="009A0DA6">
        <w:rPr>
          <w:rFonts w:ascii="Cambria" w:eastAsia="Times New Roman" w:hAnsi="Cambria"/>
          <w:b/>
          <w:bCs/>
          <w:lang w:eastAsia="en-AU"/>
        </w:rPr>
        <w:t>109,597,412</w:t>
      </w:r>
    </w:p>
    <w:p w14:paraId="1A7888CE" w14:textId="77777777" w:rsidR="00D11971" w:rsidRPr="009A0DA6" w:rsidRDefault="00D11971" w:rsidP="00D11971">
      <w:pPr>
        <w:tabs>
          <w:tab w:val="right" w:pos="5812"/>
          <w:tab w:val="right" w:pos="7371"/>
          <w:tab w:val="right" w:pos="8931"/>
        </w:tabs>
        <w:spacing w:after="0" w:line="240" w:lineRule="auto"/>
        <w:contextualSpacing/>
        <w:rPr>
          <w:rFonts w:ascii="Cambria" w:eastAsia="Times New Roman" w:hAnsi="Cambria"/>
          <w:b/>
          <w:bCs/>
          <w:lang w:eastAsia="en-AU"/>
        </w:rPr>
      </w:pPr>
    </w:p>
    <w:p w14:paraId="0D83E268" w14:textId="77777777" w:rsidR="002E592D" w:rsidRPr="009A0DA6" w:rsidRDefault="002E592D" w:rsidP="002E592D">
      <w:pPr>
        <w:pStyle w:val="NoSpacing"/>
      </w:pPr>
    </w:p>
    <w:p w14:paraId="061F8062" w14:textId="77777777" w:rsidR="007408EE" w:rsidRDefault="007408EE">
      <w:pPr>
        <w:rPr>
          <w:rFonts w:ascii="Cambria" w:eastAsiaTheme="majorEastAsia" w:hAnsi="Cambria" w:cstheme="majorBidi"/>
          <w:b/>
          <w:caps/>
          <w:sz w:val="28"/>
          <w:szCs w:val="24"/>
        </w:rPr>
      </w:pPr>
      <w:r>
        <w:br w:type="page"/>
      </w:r>
    </w:p>
    <w:p w14:paraId="17915AA5" w14:textId="59F0CE19" w:rsidR="002E592D" w:rsidRPr="009A0DA6" w:rsidRDefault="002E592D" w:rsidP="002E592D">
      <w:pPr>
        <w:pStyle w:val="Heading3"/>
      </w:pPr>
      <w:r w:rsidRPr="009A0DA6">
        <w:lastRenderedPageBreak/>
        <w:t>Agenda 14.7</w:t>
      </w:r>
    </w:p>
    <w:p w14:paraId="3E4F1B85" w14:textId="77777777" w:rsidR="002E592D" w:rsidRPr="009A0DA6" w:rsidRDefault="002E592D" w:rsidP="002E592D">
      <w:pPr>
        <w:pStyle w:val="Heading2"/>
      </w:pPr>
      <w:bookmarkStart w:id="520" w:name="_Toc521954758"/>
      <w:r w:rsidRPr="009A0DA6">
        <w:t>Financial Report: LCA Provident Fund</w:t>
      </w:r>
      <w:bookmarkEnd w:id="520"/>
    </w:p>
    <w:p w14:paraId="7BDFA444" w14:textId="77777777" w:rsidR="002E592D" w:rsidRPr="009A0DA6" w:rsidRDefault="002E592D" w:rsidP="002E592D">
      <w:pPr>
        <w:pStyle w:val="NoSpacing"/>
      </w:pPr>
    </w:p>
    <w:p w14:paraId="4DADB492" w14:textId="77777777" w:rsidR="002E592D" w:rsidRPr="009A0DA6" w:rsidRDefault="002E592D" w:rsidP="00766B14">
      <w:pPr>
        <w:pStyle w:val="NoSpacing"/>
        <w:rPr>
          <w:rFonts w:cs="Times New Roman"/>
          <w:b/>
          <w:lang w:eastAsia="en-AU"/>
        </w:rPr>
      </w:pPr>
      <w:r w:rsidRPr="009A0DA6">
        <w:rPr>
          <w:b/>
          <w:lang w:eastAsia="en-AU"/>
        </w:rPr>
        <w:t xml:space="preserve">RECEIPTS AND PAYMENTS </w:t>
      </w:r>
    </w:p>
    <w:p w14:paraId="26C822BD" w14:textId="5BAF986C" w:rsidR="002E592D" w:rsidRPr="00865FC1" w:rsidRDefault="00FF7E8B" w:rsidP="002E592D">
      <w:pPr>
        <w:pStyle w:val="NoSpacing"/>
        <w:rPr>
          <w:b/>
        </w:rPr>
      </w:pPr>
      <w:r w:rsidRPr="009A0DA6">
        <w:rPr>
          <w:b/>
        </w:rPr>
        <w:t xml:space="preserve">FOR </w:t>
      </w:r>
      <w:r>
        <w:rPr>
          <w:b/>
        </w:rPr>
        <w:t>THE PERIODS ENDING</w:t>
      </w:r>
      <w:r w:rsidR="00865FC1">
        <w:rPr>
          <w:b/>
        </w:rPr>
        <w:t xml:space="preserve"> 31 DECEMBER </w:t>
      </w:r>
    </w:p>
    <w:p w14:paraId="66E971D1" w14:textId="77777777" w:rsidR="002E592D" w:rsidRPr="009A0DA6" w:rsidRDefault="002E592D" w:rsidP="00351A0F">
      <w:pPr>
        <w:tabs>
          <w:tab w:val="right" w:pos="5670"/>
          <w:tab w:val="right" w:pos="7371"/>
          <w:tab w:val="right" w:pos="8789"/>
        </w:tabs>
        <w:spacing w:before="120" w:after="120" w:line="240" w:lineRule="auto"/>
        <w:ind w:right="-20"/>
        <w:contextualSpacing/>
        <w:rPr>
          <w:rFonts w:ascii="Cambria" w:eastAsia="Arial" w:hAnsi="Cambria" w:cs="Arial"/>
          <w:lang w:eastAsia="ja-JP"/>
        </w:rPr>
      </w:pPr>
      <w:r w:rsidRPr="009A0DA6">
        <w:rPr>
          <w:rFonts w:ascii="Cambria" w:eastAsia="Arial" w:hAnsi="Cambria" w:cs="Arial"/>
          <w:b/>
          <w:bCs/>
          <w:spacing w:val="-1"/>
        </w:rPr>
        <w:t>R</w:t>
      </w:r>
      <w:r w:rsidRPr="009A0DA6">
        <w:rPr>
          <w:rFonts w:ascii="Cambria" w:eastAsia="Arial" w:hAnsi="Cambria" w:cs="Arial"/>
          <w:b/>
          <w:bCs/>
        </w:rPr>
        <w:t>e</w:t>
      </w:r>
      <w:r w:rsidRPr="009A0DA6">
        <w:rPr>
          <w:rFonts w:ascii="Cambria" w:eastAsia="Arial" w:hAnsi="Cambria" w:cs="Arial"/>
          <w:b/>
          <w:bCs/>
          <w:spacing w:val="-1"/>
        </w:rPr>
        <w:t>c</w:t>
      </w:r>
      <w:r w:rsidRPr="009A0DA6">
        <w:rPr>
          <w:rFonts w:ascii="Cambria" w:eastAsia="Arial" w:hAnsi="Cambria" w:cs="Arial"/>
          <w:b/>
          <w:bCs/>
        </w:rPr>
        <w:t>eip</w:t>
      </w:r>
      <w:r w:rsidRPr="009A0DA6">
        <w:rPr>
          <w:rFonts w:ascii="Cambria" w:eastAsia="Arial" w:hAnsi="Cambria" w:cs="Arial"/>
          <w:b/>
          <w:bCs/>
          <w:spacing w:val="1"/>
        </w:rPr>
        <w:t>t</w:t>
      </w:r>
      <w:r w:rsidRPr="009A0DA6">
        <w:rPr>
          <w:rFonts w:ascii="Cambria" w:eastAsia="Arial" w:hAnsi="Cambria" w:cs="Arial"/>
          <w:b/>
          <w:bCs/>
        </w:rPr>
        <w:t>s</w:t>
      </w:r>
      <w:r w:rsidRPr="009A0DA6">
        <w:rPr>
          <w:rFonts w:ascii="Cambria" w:eastAsia="Arial" w:hAnsi="Cambria" w:cs="Arial"/>
        </w:rPr>
        <w:tab/>
      </w:r>
      <w:r w:rsidRPr="009A0DA6">
        <w:rPr>
          <w:rFonts w:ascii="Cambria" w:eastAsia="Arial" w:hAnsi="Cambria" w:cs="Arial"/>
          <w:b/>
          <w:bCs/>
        </w:rPr>
        <w:t>2017</w:t>
      </w:r>
      <w:r w:rsidRPr="009A0DA6">
        <w:rPr>
          <w:rFonts w:ascii="Cambria" w:eastAsia="Arial" w:hAnsi="Cambria" w:cs="Arial"/>
        </w:rPr>
        <w:tab/>
      </w:r>
      <w:r w:rsidRPr="009A0DA6">
        <w:rPr>
          <w:rFonts w:ascii="Cambria" w:eastAsia="Arial" w:hAnsi="Cambria" w:cs="Arial"/>
          <w:b/>
          <w:bCs/>
        </w:rPr>
        <w:t>2016</w:t>
      </w:r>
      <w:r w:rsidRPr="009A0DA6">
        <w:rPr>
          <w:rFonts w:ascii="Cambria" w:eastAsia="Arial" w:hAnsi="Cambria" w:cs="Arial"/>
        </w:rPr>
        <w:tab/>
      </w:r>
      <w:r w:rsidRPr="009A0DA6">
        <w:rPr>
          <w:rFonts w:ascii="Cambria" w:eastAsia="Arial" w:hAnsi="Cambria" w:cs="Arial"/>
          <w:b/>
          <w:bCs/>
        </w:rPr>
        <w:t>2015</w:t>
      </w:r>
    </w:p>
    <w:p w14:paraId="24C051DE" w14:textId="77777777" w:rsidR="002E592D" w:rsidRPr="009A0DA6" w:rsidRDefault="002E592D" w:rsidP="00351A0F">
      <w:pPr>
        <w:tabs>
          <w:tab w:val="right" w:pos="5670"/>
          <w:tab w:val="right" w:pos="7371"/>
          <w:tab w:val="right" w:pos="8789"/>
        </w:tabs>
        <w:spacing w:before="120" w:after="120" w:line="240" w:lineRule="auto"/>
        <w:ind w:right="-20"/>
        <w:contextualSpacing/>
        <w:rPr>
          <w:rFonts w:ascii="Cambria" w:eastAsia="Arial" w:hAnsi="Cambria" w:cs="Arial"/>
        </w:rPr>
      </w:pPr>
      <w:r w:rsidRPr="009A0DA6">
        <w:rPr>
          <w:rFonts w:ascii="Cambria" w:eastAsia="Arial" w:hAnsi="Cambria" w:cs="Arial"/>
        </w:rPr>
        <w:t>Con</w:t>
      </w:r>
      <w:r w:rsidRPr="009A0DA6">
        <w:rPr>
          <w:rFonts w:ascii="Cambria" w:eastAsia="Arial" w:hAnsi="Cambria" w:cs="Arial"/>
          <w:spacing w:val="-1"/>
        </w:rPr>
        <w:t>t</w:t>
      </w:r>
      <w:r w:rsidRPr="009A0DA6">
        <w:rPr>
          <w:rFonts w:ascii="Cambria" w:eastAsia="Arial" w:hAnsi="Cambria" w:cs="Arial"/>
          <w:spacing w:val="1"/>
        </w:rPr>
        <w:t>r</w:t>
      </w:r>
      <w:r w:rsidRPr="009A0DA6">
        <w:rPr>
          <w:rFonts w:ascii="Cambria" w:eastAsia="Arial" w:hAnsi="Cambria" w:cs="Arial"/>
          <w:spacing w:val="-1"/>
        </w:rPr>
        <w:t>i</w:t>
      </w:r>
      <w:r w:rsidRPr="009A0DA6">
        <w:rPr>
          <w:rFonts w:ascii="Cambria" w:eastAsia="Arial" w:hAnsi="Cambria" w:cs="Arial"/>
        </w:rPr>
        <w:t>b</w:t>
      </w:r>
      <w:r w:rsidRPr="009A0DA6">
        <w:rPr>
          <w:rFonts w:ascii="Cambria" w:eastAsia="Arial" w:hAnsi="Cambria" w:cs="Arial"/>
          <w:spacing w:val="-1"/>
        </w:rPr>
        <w:t>u</w:t>
      </w:r>
      <w:r w:rsidRPr="009A0DA6">
        <w:rPr>
          <w:rFonts w:ascii="Cambria" w:eastAsia="Arial" w:hAnsi="Cambria" w:cs="Arial"/>
        </w:rPr>
        <w:t>t</w:t>
      </w:r>
      <w:r w:rsidRPr="009A0DA6">
        <w:rPr>
          <w:rFonts w:ascii="Cambria" w:eastAsia="Arial" w:hAnsi="Cambria" w:cs="Arial"/>
          <w:spacing w:val="-1"/>
        </w:rPr>
        <w:t>i</w:t>
      </w:r>
      <w:r w:rsidRPr="009A0DA6">
        <w:rPr>
          <w:rFonts w:ascii="Cambria" w:eastAsia="Arial" w:hAnsi="Cambria" w:cs="Arial"/>
        </w:rPr>
        <w:t>o</w:t>
      </w:r>
      <w:r w:rsidRPr="009A0DA6">
        <w:rPr>
          <w:rFonts w:ascii="Cambria" w:eastAsia="Arial" w:hAnsi="Cambria" w:cs="Arial"/>
          <w:spacing w:val="-1"/>
        </w:rPr>
        <w:t>n</w:t>
      </w:r>
      <w:r w:rsidRPr="009A0DA6">
        <w:rPr>
          <w:rFonts w:ascii="Cambria" w:eastAsia="Arial" w:hAnsi="Cambria" w:cs="Arial"/>
        </w:rPr>
        <w:t>s</w:t>
      </w:r>
      <w:r w:rsidRPr="009A0DA6">
        <w:rPr>
          <w:rFonts w:ascii="Cambria" w:eastAsia="Arial" w:hAnsi="Cambria" w:cs="Arial"/>
          <w:spacing w:val="-11"/>
        </w:rPr>
        <w:t xml:space="preserve"> </w:t>
      </w:r>
      <w:r w:rsidRPr="009A0DA6">
        <w:rPr>
          <w:rFonts w:ascii="Cambria" w:eastAsia="Arial" w:hAnsi="Cambria" w:cs="Arial"/>
          <w:spacing w:val="2"/>
        </w:rPr>
        <w:t>f</w:t>
      </w:r>
      <w:r w:rsidRPr="009A0DA6">
        <w:rPr>
          <w:rFonts w:ascii="Cambria" w:eastAsia="Arial" w:hAnsi="Cambria" w:cs="Arial"/>
          <w:spacing w:val="1"/>
        </w:rPr>
        <w:t>r</w:t>
      </w:r>
      <w:r w:rsidRPr="009A0DA6">
        <w:rPr>
          <w:rFonts w:ascii="Cambria" w:eastAsia="Arial" w:hAnsi="Cambria" w:cs="Arial"/>
        </w:rPr>
        <w:t>om Co</w:t>
      </w:r>
      <w:r w:rsidRPr="009A0DA6">
        <w:rPr>
          <w:rFonts w:ascii="Cambria" w:eastAsia="Arial" w:hAnsi="Cambria" w:cs="Arial"/>
          <w:spacing w:val="-1"/>
        </w:rPr>
        <w:t>n</w:t>
      </w:r>
      <w:r w:rsidRPr="009A0DA6">
        <w:rPr>
          <w:rFonts w:ascii="Cambria" w:eastAsia="Arial" w:hAnsi="Cambria" w:cs="Arial"/>
        </w:rPr>
        <w:t>grega</w:t>
      </w:r>
      <w:r w:rsidRPr="009A0DA6">
        <w:rPr>
          <w:rFonts w:ascii="Cambria" w:eastAsia="Arial" w:hAnsi="Cambria" w:cs="Arial"/>
          <w:spacing w:val="-1"/>
        </w:rPr>
        <w:t>ti</w:t>
      </w:r>
      <w:r w:rsidRPr="009A0DA6">
        <w:rPr>
          <w:rFonts w:ascii="Cambria" w:eastAsia="Arial" w:hAnsi="Cambria" w:cs="Arial"/>
        </w:rPr>
        <w:t>o</w:t>
      </w:r>
      <w:r w:rsidRPr="009A0DA6">
        <w:rPr>
          <w:rFonts w:ascii="Cambria" w:eastAsia="Arial" w:hAnsi="Cambria" w:cs="Arial"/>
          <w:spacing w:val="-1"/>
        </w:rPr>
        <w:t>n</w:t>
      </w:r>
      <w:r w:rsidRPr="009A0DA6">
        <w:rPr>
          <w:rFonts w:ascii="Cambria" w:eastAsia="Arial" w:hAnsi="Cambria" w:cs="Arial"/>
        </w:rPr>
        <w:t>s</w:t>
      </w:r>
      <w:r w:rsidRPr="009A0DA6">
        <w:rPr>
          <w:rFonts w:ascii="Cambria" w:eastAsia="Arial" w:hAnsi="Cambria" w:cs="Arial"/>
          <w:spacing w:val="-12"/>
        </w:rPr>
        <w:t xml:space="preserve"> </w:t>
      </w:r>
      <w:r w:rsidRPr="009A0DA6">
        <w:rPr>
          <w:rFonts w:ascii="Cambria" w:eastAsia="Arial" w:hAnsi="Cambria" w:cs="Arial"/>
        </w:rPr>
        <w:t>(LCA</w:t>
      </w:r>
      <w:r w:rsidRPr="009A0DA6">
        <w:rPr>
          <w:rFonts w:ascii="Cambria" w:eastAsia="Arial" w:hAnsi="Cambria" w:cs="Arial"/>
          <w:spacing w:val="-6"/>
        </w:rPr>
        <w:t xml:space="preserve"> </w:t>
      </w:r>
      <w:r w:rsidRPr="009A0DA6">
        <w:rPr>
          <w:rFonts w:ascii="Cambria" w:eastAsia="Arial" w:hAnsi="Cambria" w:cs="Arial"/>
        </w:rPr>
        <w:t>Funds)</w:t>
      </w:r>
      <w:r w:rsidRPr="009A0DA6">
        <w:rPr>
          <w:rFonts w:ascii="Cambria" w:eastAsia="Arial" w:hAnsi="Cambria" w:cs="Arial"/>
        </w:rPr>
        <w:tab/>
        <w:t>521,943.</w:t>
      </w:r>
      <w:r w:rsidRPr="009A0DA6">
        <w:rPr>
          <w:rFonts w:ascii="Cambria" w:eastAsia="Arial" w:hAnsi="Cambria" w:cs="Arial"/>
        </w:rPr>
        <w:tab/>
        <w:t>599,627</w:t>
      </w:r>
      <w:r w:rsidRPr="009A0DA6">
        <w:rPr>
          <w:rFonts w:ascii="Cambria" w:eastAsia="Arial" w:hAnsi="Cambria" w:cs="Arial"/>
        </w:rPr>
        <w:tab/>
        <w:t>536,938</w:t>
      </w:r>
    </w:p>
    <w:p w14:paraId="01117D8E" w14:textId="77777777" w:rsidR="002E592D" w:rsidRPr="009A0DA6" w:rsidRDefault="002E592D" w:rsidP="00351A0F">
      <w:pPr>
        <w:tabs>
          <w:tab w:val="right" w:pos="5670"/>
          <w:tab w:val="right" w:pos="7371"/>
          <w:tab w:val="right" w:pos="8789"/>
        </w:tabs>
        <w:spacing w:before="120" w:after="120" w:line="240" w:lineRule="auto"/>
        <w:ind w:right="-20"/>
        <w:contextualSpacing/>
        <w:rPr>
          <w:rFonts w:ascii="Cambria" w:eastAsia="Arial" w:hAnsi="Cambria" w:cs="Arial"/>
        </w:rPr>
      </w:pPr>
      <w:r w:rsidRPr="009A0DA6">
        <w:rPr>
          <w:rFonts w:ascii="Cambria" w:eastAsia="Arial" w:hAnsi="Cambria" w:cs="Arial"/>
        </w:rPr>
        <w:t>Con</w:t>
      </w:r>
      <w:r w:rsidRPr="009A0DA6">
        <w:rPr>
          <w:rFonts w:ascii="Cambria" w:eastAsia="Arial" w:hAnsi="Cambria" w:cs="Arial"/>
          <w:spacing w:val="-1"/>
        </w:rPr>
        <w:t>t</w:t>
      </w:r>
      <w:r w:rsidRPr="009A0DA6">
        <w:rPr>
          <w:rFonts w:ascii="Cambria" w:eastAsia="Arial" w:hAnsi="Cambria" w:cs="Arial"/>
          <w:spacing w:val="1"/>
        </w:rPr>
        <w:t>r</w:t>
      </w:r>
      <w:r w:rsidRPr="009A0DA6">
        <w:rPr>
          <w:rFonts w:ascii="Cambria" w:eastAsia="Arial" w:hAnsi="Cambria" w:cs="Arial"/>
          <w:spacing w:val="-1"/>
        </w:rPr>
        <w:t>i</w:t>
      </w:r>
      <w:r w:rsidRPr="009A0DA6">
        <w:rPr>
          <w:rFonts w:ascii="Cambria" w:eastAsia="Arial" w:hAnsi="Cambria" w:cs="Arial"/>
        </w:rPr>
        <w:t>b</w:t>
      </w:r>
      <w:r w:rsidRPr="009A0DA6">
        <w:rPr>
          <w:rFonts w:ascii="Cambria" w:eastAsia="Arial" w:hAnsi="Cambria" w:cs="Arial"/>
          <w:spacing w:val="-1"/>
        </w:rPr>
        <w:t>u</w:t>
      </w:r>
      <w:r w:rsidRPr="009A0DA6">
        <w:rPr>
          <w:rFonts w:ascii="Cambria" w:eastAsia="Arial" w:hAnsi="Cambria" w:cs="Arial"/>
        </w:rPr>
        <w:t>t</w:t>
      </w:r>
      <w:r w:rsidRPr="009A0DA6">
        <w:rPr>
          <w:rFonts w:ascii="Cambria" w:eastAsia="Arial" w:hAnsi="Cambria" w:cs="Arial"/>
          <w:spacing w:val="-1"/>
        </w:rPr>
        <w:t>i</w:t>
      </w:r>
      <w:r w:rsidRPr="009A0DA6">
        <w:rPr>
          <w:rFonts w:ascii="Cambria" w:eastAsia="Arial" w:hAnsi="Cambria" w:cs="Arial"/>
        </w:rPr>
        <w:t>o</w:t>
      </w:r>
      <w:r w:rsidRPr="009A0DA6">
        <w:rPr>
          <w:rFonts w:ascii="Cambria" w:eastAsia="Arial" w:hAnsi="Cambria" w:cs="Arial"/>
          <w:spacing w:val="-1"/>
        </w:rPr>
        <w:t>n</w:t>
      </w:r>
      <w:r w:rsidRPr="009A0DA6">
        <w:rPr>
          <w:rFonts w:ascii="Cambria" w:eastAsia="Arial" w:hAnsi="Cambria" w:cs="Arial"/>
        </w:rPr>
        <w:t>s</w:t>
      </w:r>
      <w:r w:rsidRPr="009A0DA6">
        <w:rPr>
          <w:rFonts w:ascii="Cambria" w:eastAsia="Arial" w:hAnsi="Cambria" w:cs="Arial"/>
          <w:spacing w:val="-11"/>
        </w:rPr>
        <w:t xml:space="preserve"> </w:t>
      </w:r>
      <w:r w:rsidRPr="009A0DA6">
        <w:rPr>
          <w:rFonts w:ascii="Cambria" w:eastAsia="Arial" w:hAnsi="Cambria" w:cs="Arial"/>
          <w:spacing w:val="2"/>
        </w:rPr>
        <w:t>f</w:t>
      </w:r>
      <w:r w:rsidRPr="009A0DA6">
        <w:rPr>
          <w:rFonts w:ascii="Cambria" w:eastAsia="Arial" w:hAnsi="Cambria" w:cs="Arial"/>
          <w:spacing w:val="1"/>
        </w:rPr>
        <w:t>r</w:t>
      </w:r>
      <w:r w:rsidRPr="009A0DA6">
        <w:rPr>
          <w:rFonts w:ascii="Cambria" w:eastAsia="Arial" w:hAnsi="Cambria" w:cs="Arial"/>
        </w:rPr>
        <w:t>om LCNZ</w:t>
      </w:r>
      <w:r w:rsidRPr="009A0DA6">
        <w:rPr>
          <w:rFonts w:ascii="Cambria" w:eastAsia="Arial" w:hAnsi="Cambria" w:cs="Arial"/>
        </w:rPr>
        <w:tab/>
        <w:t>29,503</w:t>
      </w:r>
      <w:r w:rsidRPr="009A0DA6">
        <w:rPr>
          <w:rFonts w:ascii="Cambria" w:eastAsia="Arial" w:hAnsi="Cambria" w:cs="Arial"/>
        </w:rPr>
        <w:tab/>
        <w:t>31,093</w:t>
      </w:r>
      <w:r w:rsidRPr="009A0DA6">
        <w:rPr>
          <w:rFonts w:ascii="Cambria" w:eastAsia="Arial" w:hAnsi="Cambria" w:cs="Arial"/>
        </w:rPr>
        <w:tab/>
        <w:t>45,943</w:t>
      </w:r>
    </w:p>
    <w:p w14:paraId="170A6424" w14:textId="77777777" w:rsidR="002E592D" w:rsidRPr="009A0DA6" w:rsidRDefault="002E592D" w:rsidP="00351A0F">
      <w:pPr>
        <w:tabs>
          <w:tab w:val="right" w:pos="5670"/>
          <w:tab w:val="right" w:pos="7371"/>
          <w:tab w:val="right" w:pos="8789"/>
        </w:tabs>
        <w:spacing w:before="120" w:after="120" w:line="240" w:lineRule="auto"/>
        <w:ind w:right="-20"/>
        <w:contextualSpacing/>
        <w:rPr>
          <w:rFonts w:ascii="Cambria" w:eastAsia="Arial" w:hAnsi="Cambria" w:cs="Arial"/>
        </w:rPr>
      </w:pPr>
      <w:r w:rsidRPr="009A0DA6">
        <w:rPr>
          <w:rFonts w:ascii="Cambria" w:eastAsia="Arial" w:hAnsi="Cambria" w:cs="Arial"/>
        </w:rPr>
        <w:t>Hous</w:t>
      </w:r>
      <w:r w:rsidRPr="009A0DA6">
        <w:rPr>
          <w:rFonts w:ascii="Cambria" w:eastAsia="Arial" w:hAnsi="Cambria" w:cs="Arial"/>
          <w:spacing w:val="-1"/>
        </w:rPr>
        <w:t>i</w:t>
      </w:r>
      <w:r w:rsidRPr="009A0DA6">
        <w:rPr>
          <w:rFonts w:ascii="Cambria" w:eastAsia="Arial" w:hAnsi="Cambria" w:cs="Arial"/>
        </w:rPr>
        <w:t>ng</w:t>
      </w:r>
      <w:r w:rsidRPr="009A0DA6">
        <w:rPr>
          <w:rFonts w:ascii="Cambria" w:eastAsia="Arial" w:hAnsi="Cambria" w:cs="Arial"/>
          <w:spacing w:val="-8"/>
        </w:rPr>
        <w:t xml:space="preserve"> </w:t>
      </w:r>
      <w:r w:rsidRPr="009A0DA6">
        <w:rPr>
          <w:rFonts w:ascii="Cambria" w:eastAsia="Arial" w:hAnsi="Cambria" w:cs="Arial"/>
        </w:rPr>
        <w:t>L</w:t>
      </w:r>
      <w:r w:rsidRPr="009A0DA6">
        <w:rPr>
          <w:rFonts w:ascii="Cambria" w:eastAsia="Arial" w:hAnsi="Cambria" w:cs="Arial"/>
          <w:spacing w:val="-1"/>
        </w:rPr>
        <w:t>o</w:t>
      </w:r>
      <w:r w:rsidRPr="009A0DA6">
        <w:rPr>
          <w:rFonts w:ascii="Cambria" w:eastAsia="Arial" w:hAnsi="Cambria" w:cs="Arial"/>
        </w:rPr>
        <w:t>an</w:t>
      </w:r>
      <w:r w:rsidRPr="009A0DA6">
        <w:rPr>
          <w:rFonts w:ascii="Cambria" w:eastAsia="Arial" w:hAnsi="Cambria" w:cs="Arial"/>
          <w:spacing w:val="-5"/>
        </w:rPr>
        <w:t xml:space="preserve"> </w:t>
      </w:r>
      <w:r w:rsidRPr="009A0DA6">
        <w:rPr>
          <w:rFonts w:ascii="Cambria" w:eastAsia="Arial" w:hAnsi="Cambria" w:cs="Arial"/>
        </w:rPr>
        <w:t>a</w:t>
      </w:r>
      <w:r w:rsidRPr="009A0DA6">
        <w:rPr>
          <w:rFonts w:ascii="Cambria" w:eastAsia="Arial" w:hAnsi="Cambria" w:cs="Arial"/>
          <w:spacing w:val="-1"/>
        </w:rPr>
        <w:t>dv</w:t>
      </w:r>
      <w:r w:rsidRPr="009A0DA6">
        <w:rPr>
          <w:rFonts w:ascii="Cambria" w:eastAsia="Arial" w:hAnsi="Cambria" w:cs="Arial"/>
        </w:rPr>
        <w:t>a</w:t>
      </w:r>
      <w:r w:rsidRPr="009A0DA6">
        <w:rPr>
          <w:rFonts w:ascii="Cambria" w:eastAsia="Arial" w:hAnsi="Cambria" w:cs="Arial"/>
          <w:spacing w:val="-1"/>
        </w:rPr>
        <w:t>n</w:t>
      </w:r>
      <w:r w:rsidRPr="009A0DA6">
        <w:rPr>
          <w:rFonts w:ascii="Cambria" w:eastAsia="Arial" w:hAnsi="Cambria" w:cs="Arial"/>
          <w:spacing w:val="1"/>
        </w:rPr>
        <w:t>c</w:t>
      </w:r>
      <w:r w:rsidRPr="009A0DA6">
        <w:rPr>
          <w:rFonts w:ascii="Cambria" w:eastAsia="Arial" w:hAnsi="Cambria" w:cs="Arial"/>
        </w:rPr>
        <w:t>es</w:t>
      </w:r>
      <w:r w:rsidRPr="009A0DA6">
        <w:rPr>
          <w:rFonts w:ascii="Cambria" w:eastAsia="Arial" w:hAnsi="Cambria" w:cs="Arial"/>
        </w:rPr>
        <w:tab/>
        <w:t>112,310</w:t>
      </w:r>
      <w:r w:rsidRPr="009A0DA6">
        <w:rPr>
          <w:rFonts w:ascii="Cambria" w:eastAsia="Arial" w:hAnsi="Cambria" w:cs="Arial"/>
        </w:rPr>
        <w:tab/>
        <w:t>50,649</w:t>
      </w:r>
      <w:r w:rsidRPr="009A0DA6">
        <w:rPr>
          <w:rFonts w:ascii="Cambria" w:eastAsia="Arial" w:hAnsi="Cambria" w:cs="Arial"/>
        </w:rPr>
        <w:tab/>
        <w:t>160,690</w:t>
      </w:r>
    </w:p>
    <w:p w14:paraId="04B06B5C" w14:textId="77777777" w:rsidR="002E592D" w:rsidRPr="009A0DA6" w:rsidRDefault="002E592D" w:rsidP="00351A0F">
      <w:pPr>
        <w:tabs>
          <w:tab w:val="right" w:pos="5670"/>
          <w:tab w:val="right" w:pos="7371"/>
          <w:tab w:val="right" w:pos="8789"/>
        </w:tabs>
        <w:spacing w:before="120" w:after="120" w:line="240" w:lineRule="auto"/>
        <w:ind w:right="-20"/>
        <w:contextualSpacing/>
        <w:rPr>
          <w:rFonts w:ascii="Cambria" w:eastAsia="Arial" w:hAnsi="Cambria" w:cs="Arial"/>
        </w:rPr>
      </w:pPr>
      <w:r w:rsidRPr="009A0DA6">
        <w:rPr>
          <w:rFonts w:ascii="Cambria" w:eastAsia="Arial" w:hAnsi="Cambria" w:cs="Arial"/>
        </w:rPr>
        <w:t>Hous</w:t>
      </w:r>
      <w:r w:rsidRPr="009A0DA6">
        <w:rPr>
          <w:rFonts w:ascii="Cambria" w:eastAsia="Arial" w:hAnsi="Cambria" w:cs="Arial"/>
          <w:spacing w:val="-1"/>
        </w:rPr>
        <w:t>i</w:t>
      </w:r>
      <w:r w:rsidRPr="009A0DA6">
        <w:rPr>
          <w:rFonts w:ascii="Cambria" w:eastAsia="Arial" w:hAnsi="Cambria" w:cs="Arial"/>
        </w:rPr>
        <w:t>ng</w:t>
      </w:r>
      <w:r w:rsidRPr="009A0DA6">
        <w:rPr>
          <w:rFonts w:ascii="Cambria" w:eastAsia="Arial" w:hAnsi="Cambria" w:cs="Arial"/>
          <w:spacing w:val="-8"/>
        </w:rPr>
        <w:t xml:space="preserve"> </w:t>
      </w:r>
      <w:r w:rsidRPr="009A0DA6">
        <w:rPr>
          <w:rFonts w:ascii="Cambria" w:eastAsia="Arial" w:hAnsi="Cambria" w:cs="Arial"/>
        </w:rPr>
        <w:t>L</w:t>
      </w:r>
      <w:r w:rsidRPr="009A0DA6">
        <w:rPr>
          <w:rFonts w:ascii="Cambria" w:eastAsia="Arial" w:hAnsi="Cambria" w:cs="Arial"/>
          <w:spacing w:val="-1"/>
        </w:rPr>
        <w:t>o</w:t>
      </w:r>
      <w:r w:rsidRPr="009A0DA6">
        <w:rPr>
          <w:rFonts w:ascii="Cambria" w:eastAsia="Arial" w:hAnsi="Cambria" w:cs="Arial"/>
        </w:rPr>
        <w:t>an</w:t>
      </w:r>
      <w:r w:rsidRPr="009A0DA6">
        <w:rPr>
          <w:rFonts w:ascii="Cambria" w:eastAsia="Arial" w:hAnsi="Cambria" w:cs="Arial"/>
          <w:spacing w:val="-5"/>
        </w:rPr>
        <w:t xml:space="preserve"> </w:t>
      </w:r>
      <w:r w:rsidRPr="009A0DA6">
        <w:rPr>
          <w:rFonts w:ascii="Cambria" w:eastAsia="Arial" w:hAnsi="Cambria" w:cs="Arial"/>
        </w:rPr>
        <w:t>re</w:t>
      </w:r>
      <w:r w:rsidRPr="009A0DA6">
        <w:rPr>
          <w:rFonts w:ascii="Cambria" w:eastAsia="Arial" w:hAnsi="Cambria" w:cs="Arial"/>
          <w:spacing w:val="-1"/>
        </w:rPr>
        <w:t>p</w:t>
      </w:r>
      <w:r w:rsidRPr="009A0DA6">
        <w:rPr>
          <w:rFonts w:ascii="Cambria" w:eastAsia="Arial" w:hAnsi="Cambria" w:cs="Arial"/>
        </w:rPr>
        <w:t>a</w:t>
      </w:r>
      <w:r w:rsidRPr="009A0DA6">
        <w:rPr>
          <w:rFonts w:ascii="Cambria" w:eastAsia="Arial" w:hAnsi="Cambria" w:cs="Arial"/>
          <w:spacing w:val="-6"/>
        </w:rPr>
        <w:t>y</w:t>
      </w:r>
      <w:r w:rsidRPr="009A0DA6">
        <w:rPr>
          <w:rFonts w:ascii="Cambria" w:eastAsia="Arial" w:hAnsi="Cambria" w:cs="Arial"/>
          <w:spacing w:val="4"/>
        </w:rPr>
        <w:t>m</w:t>
      </w:r>
      <w:r w:rsidRPr="009A0DA6">
        <w:rPr>
          <w:rFonts w:ascii="Cambria" w:eastAsia="Arial" w:hAnsi="Cambria" w:cs="Arial"/>
        </w:rPr>
        <w:t>e</w:t>
      </w:r>
      <w:r w:rsidRPr="009A0DA6">
        <w:rPr>
          <w:rFonts w:ascii="Cambria" w:eastAsia="Arial" w:hAnsi="Cambria" w:cs="Arial"/>
          <w:spacing w:val="-1"/>
        </w:rPr>
        <w:t>n</w:t>
      </w:r>
      <w:r w:rsidRPr="009A0DA6">
        <w:rPr>
          <w:rFonts w:ascii="Cambria" w:eastAsia="Arial" w:hAnsi="Cambria" w:cs="Arial"/>
        </w:rPr>
        <w:t>ts</w:t>
      </w:r>
      <w:r w:rsidRPr="009A0DA6">
        <w:rPr>
          <w:rFonts w:ascii="Cambria" w:eastAsia="Arial" w:hAnsi="Cambria" w:cs="Arial"/>
        </w:rPr>
        <w:tab/>
        <w:t>417,818</w:t>
      </w:r>
      <w:r w:rsidRPr="009A0DA6">
        <w:rPr>
          <w:rFonts w:ascii="Cambria" w:eastAsia="Arial" w:hAnsi="Cambria" w:cs="Arial"/>
        </w:rPr>
        <w:tab/>
        <w:t>445,190-</w:t>
      </w:r>
      <w:r w:rsidRPr="009A0DA6">
        <w:rPr>
          <w:rFonts w:ascii="Cambria" w:eastAsia="Arial" w:hAnsi="Cambria" w:cs="Arial"/>
        </w:rPr>
        <w:tab/>
        <w:t>297,232</w:t>
      </w:r>
    </w:p>
    <w:p w14:paraId="7F1362D3" w14:textId="77777777" w:rsidR="002E592D" w:rsidRPr="009A0DA6" w:rsidRDefault="002E592D" w:rsidP="00351A0F">
      <w:pPr>
        <w:tabs>
          <w:tab w:val="right" w:pos="5670"/>
          <w:tab w:val="right" w:pos="7371"/>
          <w:tab w:val="right" w:pos="8789"/>
        </w:tabs>
        <w:spacing w:before="120" w:after="120" w:line="240" w:lineRule="auto"/>
        <w:ind w:right="-20"/>
        <w:contextualSpacing/>
        <w:rPr>
          <w:rFonts w:ascii="Cambria" w:eastAsia="Arial" w:hAnsi="Cambria" w:cs="Arial"/>
        </w:rPr>
      </w:pPr>
      <w:r w:rsidRPr="009A0DA6">
        <w:rPr>
          <w:rFonts w:ascii="Cambria" w:eastAsia="Arial" w:hAnsi="Cambria" w:cs="Arial"/>
        </w:rPr>
        <w:t>In</w:t>
      </w:r>
      <w:r w:rsidRPr="009A0DA6">
        <w:rPr>
          <w:rFonts w:ascii="Cambria" w:eastAsia="Arial" w:hAnsi="Cambria" w:cs="Arial"/>
          <w:spacing w:val="-1"/>
        </w:rPr>
        <w:t>t</w:t>
      </w:r>
      <w:r w:rsidRPr="009A0DA6">
        <w:rPr>
          <w:rFonts w:ascii="Cambria" w:eastAsia="Arial" w:hAnsi="Cambria" w:cs="Arial"/>
        </w:rPr>
        <w:t>ere</w:t>
      </w:r>
      <w:r w:rsidRPr="009A0DA6">
        <w:rPr>
          <w:rFonts w:ascii="Cambria" w:eastAsia="Arial" w:hAnsi="Cambria" w:cs="Arial"/>
          <w:spacing w:val="1"/>
        </w:rPr>
        <w:t>s</w:t>
      </w:r>
      <w:r w:rsidRPr="009A0DA6">
        <w:rPr>
          <w:rFonts w:ascii="Cambria" w:eastAsia="Arial" w:hAnsi="Cambria" w:cs="Arial"/>
        </w:rPr>
        <w:t>t</w:t>
      </w:r>
      <w:r w:rsidRPr="009A0DA6">
        <w:rPr>
          <w:rFonts w:ascii="Cambria" w:eastAsia="Arial" w:hAnsi="Cambria" w:cs="Arial"/>
          <w:spacing w:val="-7"/>
        </w:rPr>
        <w:t xml:space="preserve"> </w:t>
      </w:r>
      <w:r w:rsidRPr="009A0DA6">
        <w:rPr>
          <w:rFonts w:ascii="Cambria" w:eastAsia="Arial" w:hAnsi="Cambria" w:cs="Arial"/>
          <w:spacing w:val="-1"/>
        </w:rPr>
        <w:t>i</w:t>
      </w:r>
      <w:r w:rsidRPr="009A0DA6">
        <w:rPr>
          <w:rFonts w:ascii="Cambria" w:eastAsia="Arial" w:hAnsi="Cambria" w:cs="Arial"/>
        </w:rPr>
        <w:t>n</w:t>
      </w:r>
      <w:r w:rsidRPr="009A0DA6">
        <w:rPr>
          <w:rFonts w:ascii="Cambria" w:eastAsia="Arial" w:hAnsi="Cambria" w:cs="Arial"/>
          <w:spacing w:val="1"/>
        </w:rPr>
        <w:t>c</w:t>
      </w:r>
      <w:r w:rsidRPr="009A0DA6">
        <w:rPr>
          <w:rFonts w:ascii="Cambria" w:eastAsia="Arial" w:hAnsi="Cambria" w:cs="Arial"/>
        </w:rPr>
        <w:t>o</w:t>
      </w:r>
      <w:r w:rsidRPr="009A0DA6">
        <w:rPr>
          <w:rFonts w:ascii="Cambria" w:eastAsia="Arial" w:hAnsi="Cambria" w:cs="Arial"/>
          <w:spacing w:val="4"/>
        </w:rPr>
        <w:t>m</w:t>
      </w:r>
      <w:r w:rsidRPr="009A0DA6">
        <w:rPr>
          <w:rFonts w:ascii="Cambria" w:eastAsia="Arial" w:hAnsi="Cambria" w:cs="Arial"/>
        </w:rPr>
        <w:t>e</w:t>
      </w:r>
      <w:r w:rsidRPr="009A0DA6">
        <w:rPr>
          <w:rFonts w:ascii="Cambria" w:eastAsia="Arial" w:hAnsi="Cambria" w:cs="Arial"/>
        </w:rPr>
        <w:tab/>
        <w:t>3,468</w:t>
      </w:r>
      <w:r w:rsidRPr="009A0DA6">
        <w:rPr>
          <w:rFonts w:ascii="Cambria" w:eastAsia="Arial" w:hAnsi="Cambria" w:cs="Arial"/>
        </w:rPr>
        <w:tab/>
        <w:t>3,304</w:t>
      </w:r>
      <w:r w:rsidRPr="009A0DA6">
        <w:rPr>
          <w:rFonts w:ascii="Cambria" w:eastAsia="Arial" w:hAnsi="Cambria" w:cs="Arial"/>
        </w:rPr>
        <w:tab/>
        <w:t>3,513</w:t>
      </w:r>
    </w:p>
    <w:p w14:paraId="25C33C44" w14:textId="77777777" w:rsidR="002E592D" w:rsidRPr="009A0DA6" w:rsidRDefault="002E592D" w:rsidP="00351A0F">
      <w:pPr>
        <w:tabs>
          <w:tab w:val="right" w:pos="5670"/>
          <w:tab w:val="right" w:pos="7371"/>
          <w:tab w:val="right" w:pos="8789"/>
        </w:tabs>
        <w:spacing w:before="120" w:after="120" w:line="240" w:lineRule="auto"/>
        <w:ind w:right="-20"/>
        <w:contextualSpacing/>
        <w:rPr>
          <w:rFonts w:ascii="Cambria" w:eastAsia="Arial" w:hAnsi="Cambria" w:cs="Arial"/>
        </w:rPr>
      </w:pPr>
      <w:r w:rsidRPr="009A0DA6">
        <w:rPr>
          <w:rFonts w:ascii="Cambria" w:eastAsia="Arial" w:hAnsi="Cambria" w:cs="Arial"/>
          <w:spacing w:val="-1"/>
        </w:rPr>
        <w:t>P</w:t>
      </w:r>
      <w:r w:rsidRPr="009A0DA6">
        <w:rPr>
          <w:rFonts w:ascii="Cambria" w:eastAsia="Arial" w:hAnsi="Cambria" w:cs="Arial"/>
        </w:rPr>
        <w:t>e</w:t>
      </w:r>
      <w:r w:rsidRPr="009A0DA6">
        <w:rPr>
          <w:rFonts w:ascii="Cambria" w:eastAsia="Arial" w:hAnsi="Cambria" w:cs="Arial"/>
          <w:spacing w:val="-1"/>
        </w:rPr>
        <w:t>n</w:t>
      </w:r>
      <w:r w:rsidRPr="009A0DA6">
        <w:rPr>
          <w:rFonts w:ascii="Cambria" w:eastAsia="Arial" w:hAnsi="Cambria" w:cs="Arial"/>
          <w:spacing w:val="1"/>
        </w:rPr>
        <w:t>s</w:t>
      </w:r>
      <w:r w:rsidRPr="009A0DA6">
        <w:rPr>
          <w:rFonts w:ascii="Cambria" w:eastAsia="Arial" w:hAnsi="Cambria" w:cs="Arial"/>
          <w:spacing w:val="-1"/>
        </w:rPr>
        <w:t>i</w:t>
      </w:r>
      <w:r w:rsidRPr="009A0DA6">
        <w:rPr>
          <w:rFonts w:ascii="Cambria" w:eastAsia="Arial" w:hAnsi="Cambria" w:cs="Arial"/>
        </w:rPr>
        <w:t>o</w:t>
      </w:r>
      <w:r w:rsidRPr="009A0DA6">
        <w:rPr>
          <w:rFonts w:ascii="Cambria" w:eastAsia="Arial" w:hAnsi="Cambria" w:cs="Arial"/>
          <w:spacing w:val="-1"/>
        </w:rPr>
        <w:t>n</w:t>
      </w:r>
      <w:r w:rsidRPr="009A0DA6">
        <w:rPr>
          <w:rFonts w:ascii="Cambria" w:eastAsia="Arial" w:hAnsi="Cambria" w:cs="Arial"/>
        </w:rPr>
        <w:t>s</w:t>
      </w:r>
      <w:r w:rsidRPr="009A0DA6">
        <w:rPr>
          <w:rFonts w:ascii="Cambria" w:eastAsia="Arial" w:hAnsi="Cambria" w:cs="Arial"/>
          <w:spacing w:val="-7"/>
        </w:rPr>
        <w:t xml:space="preserve"> </w:t>
      </w:r>
      <w:r w:rsidRPr="009A0DA6">
        <w:rPr>
          <w:rFonts w:ascii="Cambria" w:eastAsia="Arial" w:hAnsi="Cambria" w:cs="Arial"/>
        </w:rPr>
        <w:t>Fund</w:t>
      </w:r>
      <w:r w:rsidRPr="009A0DA6">
        <w:rPr>
          <w:rFonts w:ascii="Cambria" w:eastAsia="Arial" w:hAnsi="Cambria" w:cs="Arial"/>
          <w:spacing w:val="-6"/>
        </w:rPr>
        <w:t xml:space="preserve"> </w:t>
      </w:r>
      <w:r w:rsidRPr="009A0DA6">
        <w:rPr>
          <w:rFonts w:ascii="Cambria" w:eastAsia="Arial" w:hAnsi="Cambria" w:cs="Arial"/>
          <w:spacing w:val="-1"/>
        </w:rPr>
        <w:t>l</w:t>
      </w:r>
      <w:r w:rsidRPr="009A0DA6">
        <w:rPr>
          <w:rFonts w:ascii="Cambria" w:eastAsia="Arial" w:hAnsi="Cambria" w:cs="Arial"/>
        </w:rPr>
        <w:t>e</w:t>
      </w:r>
      <w:r w:rsidRPr="009A0DA6">
        <w:rPr>
          <w:rFonts w:ascii="Cambria" w:eastAsia="Arial" w:hAnsi="Cambria" w:cs="Arial"/>
          <w:spacing w:val="-2"/>
        </w:rPr>
        <w:t>v</w:t>
      </w:r>
      <w:r w:rsidRPr="009A0DA6">
        <w:rPr>
          <w:rFonts w:ascii="Cambria" w:eastAsia="Arial" w:hAnsi="Cambria" w:cs="Arial"/>
        </w:rPr>
        <w:t>y</w:t>
      </w:r>
      <w:r w:rsidRPr="009A0DA6">
        <w:rPr>
          <w:rFonts w:ascii="Cambria" w:eastAsia="Arial" w:hAnsi="Cambria" w:cs="Arial"/>
        </w:rPr>
        <w:tab/>
        <w:t>51,699</w:t>
      </w:r>
      <w:r w:rsidRPr="009A0DA6">
        <w:rPr>
          <w:rFonts w:ascii="Cambria" w:eastAsia="Arial" w:hAnsi="Cambria" w:cs="Arial"/>
        </w:rPr>
        <w:tab/>
        <w:t>56,960</w:t>
      </w:r>
      <w:r w:rsidRPr="009A0DA6">
        <w:rPr>
          <w:rFonts w:ascii="Cambria" w:eastAsia="Arial" w:hAnsi="Cambria" w:cs="Arial"/>
        </w:rPr>
        <w:tab/>
        <w:t>51,934</w:t>
      </w:r>
    </w:p>
    <w:p w14:paraId="4DEBC575" w14:textId="77777777" w:rsidR="002E592D" w:rsidRPr="009A0DA6" w:rsidRDefault="002E592D" w:rsidP="00351A0F">
      <w:pPr>
        <w:tabs>
          <w:tab w:val="right" w:pos="5670"/>
          <w:tab w:val="right" w:pos="7371"/>
          <w:tab w:val="right" w:pos="8789"/>
        </w:tabs>
        <w:spacing w:before="120" w:after="120" w:line="240" w:lineRule="auto"/>
        <w:ind w:right="-20"/>
        <w:contextualSpacing/>
        <w:rPr>
          <w:rFonts w:ascii="Cambria" w:eastAsia="Arial" w:hAnsi="Cambria" w:cs="Arial"/>
        </w:rPr>
      </w:pPr>
      <w:r w:rsidRPr="009A0DA6">
        <w:rPr>
          <w:rFonts w:ascii="Cambria" w:eastAsia="Arial" w:hAnsi="Cambria" w:cs="Arial"/>
          <w:spacing w:val="-1"/>
        </w:rPr>
        <w:t>B</w:t>
      </w:r>
      <w:r w:rsidRPr="009A0DA6">
        <w:rPr>
          <w:rFonts w:ascii="Cambria" w:eastAsia="Arial" w:hAnsi="Cambria" w:cs="Arial"/>
        </w:rPr>
        <w:t>a</w:t>
      </w:r>
      <w:r w:rsidRPr="009A0DA6">
        <w:rPr>
          <w:rFonts w:ascii="Cambria" w:eastAsia="Arial" w:hAnsi="Cambria" w:cs="Arial"/>
          <w:spacing w:val="-1"/>
        </w:rPr>
        <w:t>l</w:t>
      </w:r>
      <w:r w:rsidRPr="009A0DA6">
        <w:rPr>
          <w:rFonts w:ascii="Cambria" w:eastAsia="Arial" w:hAnsi="Cambria" w:cs="Arial"/>
        </w:rPr>
        <w:t>a</w:t>
      </w:r>
      <w:r w:rsidRPr="009A0DA6">
        <w:rPr>
          <w:rFonts w:ascii="Cambria" w:eastAsia="Arial" w:hAnsi="Cambria" w:cs="Arial"/>
          <w:spacing w:val="-1"/>
        </w:rPr>
        <w:t>n</w:t>
      </w:r>
      <w:r w:rsidRPr="009A0DA6">
        <w:rPr>
          <w:rFonts w:ascii="Cambria" w:eastAsia="Arial" w:hAnsi="Cambria" w:cs="Arial"/>
          <w:spacing w:val="1"/>
        </w:rPr>
        <w:t>c</w:t>
      </w:r>
      <w:r w:rsidRPr="009A0DA6">
        <w:rPr>
          <w:rFonts w:ascii="Cambria" w:eastAsia="Arial" w:hAnsi="Cambria" w:cs="Arial"/>
        </w:rPr>
        <w:t>e</w:t>
      </w:r>
      <w:r w:rsidRPr="009A0DA6">
        <w:rPr>
          <w:rFonts w:ascii="Cambria" w:eastAsia="Arial" w:hAnsi="Cambria" w:cs="Arial"/>
          <w:spacing w:val="-7"/>
        </w:rPr>
        <w:t xml:space="preserve"> </w:t>
      </w:r>
      <w:r w:rsidRPr="009A0DA6">
        <w:rPr>
          <w:rFonts w:ascii="Cambria" w:eastAsia="Arial" w:hAnsi="Cambria" w:cs="Arial"/>
          <w:spacing w:val="-1"/>
        </w:rPr>
        <w:t>a</w:t>
      </w:r>
      <w:r w:rsidRPr="009A0DA6">
        <w:rPr>
          <w:rFonts w:ascii="Cambria" w:eastAsia="Arial" w:hAnsi="Cambria" w:cs="Arial"/>
        </w:rPr>
        <w:t>s</w:t>
      </w:r>
      <w:r w:rsidRPr="009A0DA6">
        <w:rPr>
          <w:rFonts w:ascii="Cambria" w:eastAsia="Arial" w:hAnsi="Cambria" w:cs="Arial"/>
          <w:spacing w:val="-1"/>
        </w:rPr>
        <w:t xml:space="preserve"> </w:t>
      </w:r>
      <w:r w:rsidRPr="009A0DA6">
        <w:rPr>
          <w:rFonts w:ascii="Cambria" w:eastAsia="Arial" w:hAnsi="Cambria" w:cs="Arial"/>
        </w:rPr>
        <w:t>at</w:t>
      </w:r>
      <w:r w:rsidRPr="009A0DA6">
        <w:rPr>
          <w:rFonts w:ascii="Cambria" w:eastAsia="Arial" w:hAnsi="Cambria" w:cs="Arial"/>
          <w:spacing w:val="-3"/>
        </w:rPr>
        <w:t xml:space="preserve"> </w:t>
      </w:r>
      <w:r w:rsidRPr="009A0DA6">
        <w:rPr>
          <w:rFonts w:ascii="Cambria" w:eastAsia="Arial" w:hAnsi="Cambria" w:cs="Arial"/>
        </w:rPr>
        <w:t>1st</w:t>
      </w:r>
      <w:r w:rsidRPr="009A0DA6">
        <w:rPr>
          <w:rFonts w:ascii="Cambria" w:eastAsia="Arial" w:hAnsi="Cambria" w:cs="Arial"/>
          <w:spacing w:val="-3"/>
        </w:rPr>
        <w:t xml:space="preserve"> </w:t>
      </w:r>
      <w:r w:rsidRPr="009A0DA6">
        <w:rPr>
          <w:rFonts w:ascii="Cambria" w:eastAsia="Arial" w:hAnsi="Cambria" w:cs="Arial"/>
          <w:spacing w:val="1"/>
        </w:rPr>
        <w:t>J</w:t>
      </w:r>
      <w:r w:rsidRPr="009A0DA6">
        <w:rPr>
          <w:rFonts w:ascii="Cambria" w:eastAsia="Arial" w:hAnsi="Cambria" w:cs="Arial"/>
        </w:rPr>
        <w:t>a</w:t>
      </w:r>
      <w:r w:rsidRPr="009A0DA6">
        <w:rPr>
          <w:rFonts w:ascii="Cambria" w:eastAsia="Arial" w:hAnsi="Cambria" w:cs="Arial"/>
          <w:spacing w:val="-1"/>
        </w:rPr>
        <w:t>n</w:t>
      </w:r>
      <w:r w:rsidRPr="009A0DA6">
        <w:rPr>
          <w:rFonts w:ascii="Cambria" w:eastAsia="Arial" w:hAnsi="Cambria" w:cs="Arial"/>
        </w:rPr>
        <w:t>u</w:t>
      </w:r>
      <w:r w:rsidRPr="009A0DA6">
        <w:rPr>
          <w:rFonts w:ascii="Cambria" w:eastAsia="Arial" w:hAnsi="Cambria" w:cs="Arial"/>
          <w:spacing w:val="-1"/>
        </w:rPr>
        <w:t>a</w:t>
      </w:r>
      <w:r w:rsidRPr="009A0DA6">
        <w:rPr>
          <w:rFonts w:ascii="Cambria" w:eastAsia="Arial" w:hAnsi="Cambria" w:cs="Arial"/>
          <w:spacing w:val="1"/>
        </w:rPr>
        <w:t>r</w:t>
      </w:r>
      <w:r w:rsidRPr="009A0DA6">
        <w:rPr>
          <w:rFonts w:ascii="Cambria" w:eastAsia="Arial" w:hAnsi="Cambria" w:cs="Arial"/>
        </w:rPr>
        <w:t>y</w:t>
      </w:r>
      <w:r w:rsidRPr="009A0DA6">
        <w:rPr>
          <w:rFonts w:ascii="Cambria" w:eastAsia="Arial" w:hAnsi="Cambria" w:cs="Arial"/>
        </w:rPr>
        <w:tab/>
        <w:t>268,442</w:t>
      </w:r>
      <w:r w:rsidRPr="009A0DA6">
        <w:rPr>
          <w:rFonts w:ascii="Cambria" w:eastAsia="Arial" w:hAnsi="Cambria" w:cs="Arial"/>
        </w:rPr>
        <w:tab/>
        <w:t>339,8267</w:t>
      </w:r>
      <w:r w:rsidRPr="009A0DA6">
        <w:rPr>
          <w:rFonts w:ascii="Cambria" w:eastAsia="Arial" w:hAnsi="Cambria" w:cs="Arial"/>
        </w:rPr>
        <w:tab/>
        <w:t>423,084</w:t>
      </w:r>
    </w:p>
    <w:p w14:paraId="690301A7" w14:textId="77777777" w:rsidR="002E592D" w:rsidRPr="009A0DA6" w:rsidRDefault="002E592D" w:rsidP="00351A0F">
      <w:pPr>
        <w:tabs>
          <w:tab w:val="right" w:pos="5670"/>
          <w:tab w:val="right" w:pos="7371"/>
          <w:tab w:val="right" w:pos="8789"/>
        </w:tabs>
        <w:spacing w:before="120" w:after="120" w:line="240" w:lineRule="auto"/>
        <w:ind w:right="-20"/>
        <w:contextualSpacing/>
        <w:rPr>
          <w:rFonts w:ascii="Cambria" w:eastAsia="Arial" w:hAnsi="Cambria" w:cs="Arial"/>
        </w:rPr>
      </w:pPr>
      <w:r w:rsidRPr="009A0DA6">
        <w:rPr>
          <w:rFonts w:ascii="Cambria" w:eastAsia="Arial" w:hAnsi="Cambria" w:cs="Arial"/>
          <w:b/>
          <w:bCs/>
          <w:w w:val="99"/>
        </w:rPr>
        <w:tab/>
        <w:t>1,405,183</w:t>
      </w:r>
      <w:r w:rsidRPr="009A0DA6">
        <w:rPr>
          <w:rFonts w:ascii="Cambria" w:eastAsia="Arial" w:hAnsi="Cambria" w:cs="Arial"/>
          <w:b/>
          <w:bCs/>
          <w:w w:val="99"/>
        </w:rPr>
        <w:tab/>
        <w:t>1,526,649</w:t>
      </w:r>
      <w:r w:rsidRPr="009A0DA6">
        <w:rPr>
          <w:rFonts w:ascii="Cambria" w:eastAsia="Arial" w:hAnsi="Cambria" w:cs="Arial"/>
          <w:b/>
          <w:bCs/>
          <w:w w:val="99"/>
        </w:rPr>
        <w:tab/>
        <w:t>1,519,333</w:t>
      </w:r>
    </w:p>
    <w:p w14:paraId="33634FF1" w14:textId="77777777" w:rsidR="002E592D" w:rsidRPr="009A0DA6" w:rsidRDefault="002E592D" w:rsidP="00351A0F">
      <w:pPr>
        <w:tabs>
          <w:tab w:val="right" w:pos="5670"/>
          <w:tab w:val="right" w:pos="7371"/>
          <w:tab w:val="right" w:pos="8789"/>
        </w:tabs>
        <w:spacing w:before="120" w:after="120" w:line="240" w:lineRule="auto"/>
        <w:ind w:right="-20"/>
        <w:contextualSpacing/>
        <w:rPr>
          <w:rFonts w:ascii="Cambria" w:eastAsia="Arial" w:hAnsi="Cambria" w:cs="Arial"/>
        </w:rPr>
      </w:pPr>
      <w:r w:rsidRPr="009A0DA6">
        <w:rPr>
          <w:rFonts w:ascii="Cambria" w:eastAsia="Arial" w:hAnsi="Cambria" w:cs="Arial"/>
          <w:b/>
          <w:bCs/>
          <w:spacing w:val="-1"/>
          <w:position w:val="-1"/>
        </w:rPr>
        <w:t>P</w:t>
      </w:r>
      <w:r w:rsidRPr="009A0DA6">
        <w:rPr>
          <w:rFonts w:ascii="Cambria" w:eastAsia="Arial" w:hAnsi="Cambria" w:cs="Arial"/>
          <w:b/>
          <w:bCs/>
          <w:position w:val="-1"/>
        </w:rPr>
        <w:t>a</w:t>
      </w:r>
      <w:r w:rsidRPr="009A0DA6">
        <w:rPr>
          <w:rFonts w:ascii="Cambria" w:eastAsia="Arial" w:hAnsi="Cambria" w:cs="Arial"/>
          <w:b/>
          <w:bCs/>
          <w:spacing w:val="-6"/>
          <w:position w:val="-1"/>
        </w:rPr>
        <w:t>y</w:t>
      </w:r>
      <w:r w:rsidRPr="009A0DA6">
        <w:rPr>
          <w:rFonts w:ascii="Cambria" w:eastAsia="Arial" w:hAnsi="Cambria" w:cs="Arial"/>
          <w:b/>
          <w:bCs/>
          <w:position w:val="-1"/>
        </w:rPr>
        <w:t>ments</w:t>
      </w:r>
    </w:p>
    <w:p w14:paraId="03FE9617" w14:textId="77777777" w:rsidR="002E592D" w:rsidRPr="009A0DA6" w:rsidRDefault="002E592D" w:rsidP="00351A0F">
      <w:pPr>
        <w:tabs>
          <w:tab w:val="right" w:pos="5670"/>
          <w:tab w:val="right" w:pos="7371"/>
          <w:tab w:val="right" w:pos="8789"/>
        </w:tabs>
        <w:spacing w:before="120" w:after="120" w:line="240" w:lineRule="auto"/>
        <w:ind w:right="-20"/>
        <w:contextualSpacing/>
        <w:rPr>
          <w:rFonts w:ascii="Cambria" w:eastAsia="Arial" w:hAnsi="Cambria" w:cs="Arial"/>
        </w:rPr>
      </w:pPr>
      <w:r w:rsidRPr="009A0DA6">
        <w:rPr>
          <w:rFonts w:ascii="Cambria" w:eastAsia="Arial" w:hAnsi="Cambria" w:cs="Arial"/>
        </w:rPr>
        <w:t>F</w:t>
      </w:r>
      <w:r w:rsidRPr="009A0DA6">
        <w:rPr>
          <w:rFonts w:ascii="Cambria" w:eastAsia="Arial" w:hAnsi="Cambria" w:cs="Arial"/>
          <w:spacing w:val="-1"/>
        </w:rPr>
        <w:t>B</w:t>
      </w:r>
      <w:r w:rsidRPr="009A0DA6">
        <w:rPr>
          <w:rFonts w:ascii="Cambria" w:eastAsia="Arial" w:hAnsi="Cambria" w:cs="Arial"/>
        </w:rPr>
        <w:t>T</w:t>
      </w:r>
      <w:r w:rsidRPr="009A0DA6">
        <w:rPr>
          <w:rFonts w:ascii="Cambria" w:eastAsia="Arial" w:hAnsi="Cambria" w:cs="Arial"/>
        </w:rPr>
        <w:tab/>
        <w:t>912</w:t>
      </w:r>
      <w:r w:rsidRPr="009A0DA6">
        <w:rPr>
          <w:rFonts w:ascii="Cambria" w:eastAsia="Arial" w:hAnsi="Cambria" w:cs="Arial"/>
        </w:rPr>
        <w:tab/>
        <w:t>68</w:t>
      </w:r>
      <w:r w:rsidRPr="009A0DA6">
        <w:rPr>
          <w:rFonts w:ascii="Cambria" w:eastAsia="Arial" w:hAnsi="Cambria" w:cs="Arial"/>
        </w:rPr>
        <w:tab/>
        <w:t>401</w:t>
      </w:r>
    </w:p>
    <w:p w14:paraId="58D0930C" w14:textId="77777777" w:rsidR="002E592D" w:rsidRPr="009A0DA6" w:rsidRDefault="002E592D" w:rsidP="00351A0F">
      <w:pPr>
        <w:tabs>
          <w:tab w:val="right" w:pos="5670"/>
          <w:tab w:val="right" w:pos="7371"/>
          <w:tab w:val="right" w:pos="8789"/>
        </w:tabs>
        <w:spacing w:before="120" w:after="120" w:line="240" w:lineRule="auto"/>
        <w:ind w:right="-20"/>
        <w:contextualSpacing/>
        <w:rPr>
          <w:rFonts w:ascii="Cambria" w:eastAsia="Arial" w:hAnsi="Cambria" w:cs="Arial"/>
        </w:rPr>
      </w:pPr>
      <w:r w:rsidRPr="009A0DA6">
        <w:rPr>
          <w:rFonts w:ascii="Cambria" w:eastAsia="Arial" w:hAnsi="Cambria" w:cs="Arial"/>
        </w:rPr>
        <w:t>Hous</w:t>
      </w:r>
      <w:r w:rsidRPr="009A0DA6">
        <w:rPr>
          <w:rFonts w:ascii="Cambria" w:eastAsia="Arial" w:hAnsi="Cambria" w:cs="Arial"/>
          <w:spacing w:val="-1"/>
        </w:rPr>
        <w:t>i</w:t>
      </w:r>
      <w:r w:rsidRPr="009A0DA6">
        <w:rPr>
          <w:rFonts w:ascii="Cambria" w:eastAsia="Arial" w:hAnsi="Cambria" w:cs="Arial"/>
        </w:rPr>
        <w:t>ng</w:t>
      </w:r>
      <w:r w:rsidRPr="009A0DA6">
        <w:rPr>
          <w:rFonts w:ascii="Cambria" w:eastAsia="Arial" w:hAnsi="Cambria" w:cs="Arial"/>
          <w:spacing w:val="-8"/>
        </w:rPr>
        <w:t xml:space="preserve"> </w:t>
      </w:r>
      <w:r w:rsidRPr="009A0DA6">
        <w:rPr>
          <w:rFonts w:ascii="Cambria" w:eastAsia="Arial" w:hAnsi="Cambria" w:cs="Arial"/>
        </w:rPr>
        <w:t>L</w:t>
      </w:r>
      <w:r w:rsidRPr="009A0DA6">
        <w:rPr>
          <w:rFonts w:ascii="Cambria" w:eastAsia="Arial" w:hAnsi="Cambria" w:cs="Arial"/>
          <w:spacing w:val="-1"/>
        </w:rPr>
        <w:t>o</w:t>
      </w:r>
      <w:r w:rsidRPr="009A0DA6">
        <w:rPr>
          <w:rFonts w:ascii="Cambria" w:eastAsia="Arial" w:hAnsi="Cambria" w:cs="Arial"/>
        </w:rPr>
        <w:t>a</w:t>
      </w:r>
      <w:r w:rsidRPr="009A0DA6">
        <w:rPr>
          <w:rFonts w:ascii="Cambria" w:eastAsia="Arial" w:hAnsi="Cambria" w:cs="Arial"/>
          <w:spacing w:val="-1"/>
        </w:rPr>
        <w:t>n</w:t>
      </w:r>
      <w:r w:rsidRPr="009A0DA6">
        <w:rPr>
          <w:rFonts w:ascii="Cambria" w:eastAsia="Arial" w:hAnsi="Cambria" w:cs="Arial"/>
        </w:rPr>
        <w:t>s</w:t>
      </w:r>
      <w:r w:rsidRPr="009A0DA6">
        <w:rPr>
          <w:rFonts w:ascii="Cambria" w:eastAsia="Arial" w:hAnsi="Cambria" w:cs="Arial"/>
        </w:rPr>
        <w:tab/>
        <w:t>112,310</w:t>
      </w:r>
      <w:r w:rsidRPr="009A0DA6">
        <w:rPr>
          <w:rFonts w:ascii="Cambria" w:eastAsia="Arial" w:hAnsi="Cambria" w:cs="Arial"/>
        </w:rPr>
        <w:tab/>
        <w:t>50,649</w:t>
      </w:r>
      <w:r w:rsidRPr="009A0DA6">
        <w:rPr>
          <w:rFonts w:ascii="Cambria" w:eastAsia="Arial" w:hAnsi="Cambria" w:cs="Arial"/>
        </w:rPr>
        <w:tab/>
        <w:t>160,690</w:t>
      </w:r>
    </w:p>
    <w:p w14:paraId="54A61105" w14:textId="77777777" w:rsidR="002E592D" w:rsidRPr="009A0DA6" w:rsidRDefault="002E592D" w:rsidP="00351A0F">
      <w:pPr>
        <w:tabs>
          <w:tab w:val="right" w:pos="5670"/>
          <w:tab w:val="right" w:pos="7371"/>
          <w:tab w:val="right" w:pos="8789"/>
        </w:tabs>
        <w:spacing w:before="120" w:after="120" w:line="240" w:lineRule="auto"/>
        <w:ind w:right="-20"/>
        <w:contextualSpacing/>
        <w:rPr>
          <w:rFonts w:ascii="Cambria" w:eastAsia="Arial" w:hAnsi="Cambria" w:cs="Arial"/>
        </w:rPr>
      </w:pPr>
      <w:r w:rsidRPr="009A0DA6">
        <w:rPr>
          <w:rFonts w:ascii="Cambria" w:eastAsia="Arial" w:hAnsi="Cambria" w:cs="Arial"/>
        </w:rPr>
        <w:t>LCA</w:t>
      </w:r>
      <w:r w:rsidRPr="009A0DA6">
        <w:rPr>
          <w:rFonts w:ascii="Cambria" w:eastAsia="Arial" w:hAnsi="Cambria" w:cs="Arial"/>
          <w:spacing w:val="-5"/>
        </w:rPr>
        <w:t xml:space="preserve"> </w:t>
      </w:r>
      <w:r w:rsidRPr="009A0DA6">
        <w:rPr>
          <w:rFonts w:ascii="Cambria" w:eastAsia="Arial" w:hAnsi="Cambria" w:cs="Arial"/>
        </w:rPr>
        <w:t>p</w:t>
      </w:r>
      <w:r w:rsidRPr="009A0DA6">
        <w:rPr>
          <w:rFonts w:ascii="Cambria" w:eastAsia="Arial" w:hAnsi="Cambria" w:cs="Arial"/>
          <w:spacing w:val="-1"/>
        </w:rPr>
        <w:t>a</w:t>
      </w:r>
      <w:r w:rsidRPr="009A0DA6">
        <w:rPr>
          <w:rFonts w:ascii="Cambria" w:eastAsia="Arial" w:hAnsi="Cambria" w:cs="Arial"/>
          <w:spacing w:val="-6"/>
        </w:rPr>
        <w:t>y</w:t>
      </w:r>
      <w:r w:rsidRPr="009A0DA6">
        <w:rPr>
          <w:rFonts w:ascii="Cambria" w:eastAsia="Arial" w:hAnsi="Cambria" w:cs="Arial"/>
          <w:spacing w:val="4"/>
        </w:rPr>
        <w:t>m</w:t>
      </w:r>
      <w:r w:rsidRPr="009A0DA6">
        <w:rPr>
          <w:rFonts w:ascii="Cambria" w:eastAsia="Arial" w:hAnsi="Cambria" w:cs="Arial"/>
        </w:rPr>
        <w:t>e</w:t>
      </w:r>
      <w:r w:rsidRPr="009A0DA6">
        <w:rPr>
          <w:rFonts w:ascii="Cambria" w:eastAsia="Arial" w:hAnsi="Cambria" w:cs="Arial"/>
          <w:spacing w:val="-1"/>
        </w:rPr>
        <w:t>n</w:t>
      </w:r>
      <w:r w:rsidRPr="009A0DA6">
        <w:rPr>
          <w:rFonts w:ascii="Cambria" w:eastAsia="Arial" w:hAnsi="Cambria" w:cs="Arial"/>
        </w:rPr>
        <w:t>ts</w:t>
      </w:r>
      <w:r w:rsidRPr="009A0DA6">
        <w:rPr>
          <w:rFonts w:ascii="Cambria" w:eastAsia="Arial" w:hAnsi="Cambria" w:cs="Arial"/>
          <w:spacing w:val="-8"/>
        </w:rPr>
        <w:t xml:space="preserve"> </w:t>
      </w:r>
      <w:r w:rsidRPr="009A0DA6">
        <w:rPr>
          <w:rFonts w:ascii="Cambria" w:eastAsia="Arial" w:hAnsi="Cambria" w:cs="Arial"/>
        </w:rPr>
        <w:t>to</w:t>
      </w:r>
      <w:r w:rsidRPr="009A0DA6">
        <w:rPr>
          <w:rFonts w:ascii="Cambria" w:eastAsia="Arial" w:hAnsi="Cambria" w:cs="Arial"/>
          <w:spacing w:val="-3"/>
        </w:rPr>
        <w:t xml:space="preserve"> </w:t>
      </w:r>
      <w:r w:rsidRPr="009A0DA6">
        <w:rPr>
          <w:rFonts w:ascii="Cambria" w:eastAsia="Arial" w:hAnsi="Cambria" w:cs="Arial"/>
        </w:rPr>
        <w:t>L</w:t>
      </w:r>
      <w:r w:rsidRPr="009A0DA6">
        <w:rPr>
          <w:rFonts w:ascii="Cambria" w:eastAsia="Arial" w:hAnsi="Cambria" w:cs="Arial"/>
          <w:spacing w:val="-1"/>
        </w:rPr>
        <w:t>u</w:t>
      </w:r>
      <w:r w:rsidRPr="009A0DA6">
        <w:rPr>
          <w:rFonts w:ascii="Cambria" w:eastAsia="Arial" w:hAnsi="Cambria" w:cs="Arial"/>
        </w:rPr>
        <w:t>th</w:t>
      </w:r>
      <w:r w:rsidRPr="009A0DA6">
        <w:rPr>
          <w:rFonts w:ascii="Cambria" w:eastAsia="Arial" w:hAnsi="Cambria" w:cs="Arial"/>
          <w:spacing w:val="-1"/>
        </w:rPr>
        <w:t>e</w:t>
      </w:r>
      <w:r w:rsidRPr="009A0DA6">
        <w:rPr>
          <w:rFonts w:ascii="Cambria" w:eastAsia="Arial" w:hAnsi="Cambria" w:cs="Arial"/>
          <w:spacing w:val="1"/>
        </w:rPr>
        <w:t>r</w:t>
      </w:r>
      <w:r w:rsidRPr="009A0DA6">
        <w:rPr>
          <w:rFonts w:ascii="Cambria" w:eastAsia="Arial" w:hAnsi="Cambria" w:cs="Arial"/>
        </w:rPr>
        <w:t>an</w:t>
      </w:r>
      <w:r w:rsidRPr="009A0DA6">
        <w:rPr>
          <w:rFonts w:ascii="Cambria" w:eastAsia="Arial" w:hAnsi="Cambria" w:cs="Arial"/>
          <w:spacing w:val="-9"/>
        </w:rPr>
        <w:t xml:space="preserve"> </w:t>
      </w:r>
      <w:r w:rsidRPr="009A0DA6">
        <w:rPr>
          <w:rFonts w:ascii="Cambria" w:eastAsia="Arial" w:hAnsi="Cambria" w:cs="Arial"/>
          <w:spacing w:val="-1"/>
        </w:rPr>
        <w:t>S</w:t>
      </w:r>
      <w:r w:rsidRPr="009A0DA6">
        <w:rPr>
          <w:rFonts w:ascii="Cambria" w:eastAsia="Arial" w:hAnsi="Cambria" w:cs="Arial"/>
        </w:rPr>
        <w:t>u</w:t>
      </w:r>
      <w:r w:rsidRPr="009A0DA6">
        <w:rPr>
          <w:rFonts w:ascii="Cambria" w:eastAsia="Arial" w:hAnsi="Cambria" w:cs="Arial"/>
          <w:spacing w:val="-1"/>
        </w:rPr>
        <w:t>p</w:t>
      </w:r>
      <w:r w:rsidRPr="009A0DA6">
        <w:rPr>
          <w:rFonts w:ascii="Cambria" w:eastAsia="Arial" w:hAnsi="Cambria" w:cs="Arial"/>
        </w:rPr>
        <w:t>er</w:t>
      </w:r>
      <w:r w:rsidRPr="009A0DA6">
        <w:rPr>
          <w:rFonts w:ascii="Cambria" w:eastAsia="Arial" w:hAnsi="Cambria" w:cs="Arial"/>
        </w:rPr>
        <w:tab/>
        <w:t>60,024</w:t>
      </w:r>
      <w:r w:rsidRPr="009A0DA6">
        <w:rPr>
          <w:rFonts w:ascii="Cambria" w:eastAsia="Arial" w:hAnsi="Cambria" w:cs="Arial"/>
        </w:rPr>
        <w:tab/>
        <w:t>53,736</w:t>
      </w:r>
      <w:r w:rsidRPr="009A0DA6">
        <w:rPr>
          <w:rFonts w:ascii="Cambria" w:eastAsia="Arial" w:hAnsi="Cambria" w:cs="Arial"/>
        </w:rPr>
        <w:tab/>
        <w:t>66,127</w:t>
      </w:r>
    </w:p>
    <w:p w14:paraId="01E7C89C" w14:textId="77777777" w:rsidR="002E592D" w:rsidRPr="009A0DA6" w:rsidRDefault="002E592D" w:rsidP="00351A0F">
      <w:pPr>
        <w:tabs>
          <w:tab w:val="right" w:pos="5670"/>
          <w:tab w:val="right" w:pos="7371"/>
          <w:tab w:val="right" w:pos="8789"/>
        </w:tabs>
        <w:spacing w:before="120" w:after="120" w:line="240" w:lineRule="auto"/>
        <w:ind w:right="-20"/>
        <w:contextualSpacing/>
        <w:rPr>
          <w:rFonts w:ascii="Cambria" w:eastAsia="Arial" w:hAnsi="Cambria" w:cs="Arial"/>
        </w:rPr>
      </w:pPr>
      <w:r w:rsidRPr="009A0DA6">
        <w:rPr>
          <w:rFonts w:ascii="Cambria" w:eastAsia="Arial" w:hAnsi="Cambria" w:cs="Arial"/>
        </w:rPr>
        <w:t>L</w:t>
      </w:r>
      <w:r w:rsidRPr="009A0DA6">
        <w:rPr>
          <w:rFonts w:ascii="Cambria" w:eastAsia="Arial" w:hAnsi="Cambria" w:cs="Arial"/>
          <w:spacing w:val="-1"/>
        </w:rPr>
        <w:t>o</w:t>
      </w:r>
      <w:r w:rsidRPr="009A0DA6">
        <w:rPr>
          <w:rFonts w:ascii="Cambria" w:eastAsia="Arial" w:hAnsi="Cambria" w:cs="Arial"/>
        </w:rPr>
        <w:t>an</w:t>
      </w:r>
      <w:r w:rsidRPr="009A0DA6">
        <w:rPr>
          <w:rFonts w:ascii="Cambria" w:eastAsia="Arial" w:hAnsi="Cambria" w:cs="Arial"/>
          <w:spacing w:val="-5"/>
        </w:rPr>
        <w:t xml:space="preserve"> </w:t>
      </w:r>
      <w:r w:rsidRPr="009A0DA6">
        <w:rPr>
          <w:rFonts w:ascii="Cambria" w:eastAsia="Arial" w:hAnsi="Cambria" w:cs="Arial"/>
        </w:rPr>
        <w:t>Re</w:t>
      </w:r>
      <w:r w:rsidRPr="009A0DA6">
        <w:rPr>
          <w:rFonts w:ascii="Cambria" w:eastAsia="Arial" w:hAnsi="Cambria" w:cs="Arial"/>
          <w:spacing w:val="-1"/>
        </w:rPr>
        <w:t>p</w:t>
      </w:r>
      <w:r w:rsidRPr="009A0DA6">
        <w:rPr>
          <w:rFonts w:ascii="Cambria" w:eastAsia="Arial" w:hAnsi="Cambria" w:cs="Arial"/>
        </w:rPr>
        <w:t>a</w:t>
      </w:r>
      <w:r w:rsidRPr="009A0DA6">
        <w:rPr>
          <w:rFonts w:ascii="Cambria" w:eastAsia="Arial" w:hAnsi="Cambria" w:cs="Arial"/>
          <w:spacing w:val="-6"/>
        </w:rPr>
        <w:t>y</w:t>
      </w:r>
      <w:r w:rsidRPr="009A0DA6">
        <w:rPr>
          <w:rFonts w:ascii="Cambria" w:eastAsia="Arial" w:hAnsi="Cambria" w:cs="Arial"/>
          <w:spacing w:val="4"/>
        </w:rPr>
        <w:t>m</w:t>
      </w:r>
      <w:r w:rsidRPr="009A0DA6">
        <w:rPr>
          <w:rFonts w:ascii="Cambria" w:eastAsia="Arial" w:hAnsi="Cambria" w:cs="Arial"/>
        </w:rPr>
        <w:t>e</w:t>
      </w:r>
      <w:r w:rsidRPr="009A0DA6">
        <w:rPr>
          <w:rFonts w:ascii="Cambria" w:eastAsia="Arial" w:hAnsi="Cambria" w:cs="Arial"/>
          <w:spacing w:val="-1"/>
        </w:rPr>
        <w:t>n</w:t>
      </w:r>
      <w:r w:rsidRPr="009A0DA6">
        <w:rPr>
          <w:rFonts w:ascii="Cambria" w:eastAsia="Arial" w:hAnsi="Cambria" w:cs="Arial"/>
        </w:rPr>
        <w:t>t</w:t>
      </w:r>
      <w:r w:rsidRPr="009A0DA6">
        <w:rPr>
          <w:rFonts w:ascii="Cambria" w:eastAsia="Arial" w:hAnsi="Cambria" w:cs="Arial"/>
          <w:spacing w:val="-10"/>
        </w:rPr>
        <w:t xml:space="preserve"> </w:t>
      </w:r>
      <w:r w:rsidRPr="009A0DA6">
        <w:rPr>
          <w:rFonts w:ascii="Cambria" w:eastAsia="Arial" w:hAnsi="Cambria" w:cs="Arial"/>
        </w:rPr>
        <w:t>-</w:t>
      </w:r>
      <w:r w:rsidRPr="009A0DA6">
        <w:rPr>
          <w:rFonts w:ascii="Cambria" w:eastAsia="Arial" w:hAnsi="Cambria" w:cs="Arial"/>
          <w:spacing w:val="-1"/>
        </w:rPr>
        <w:t xml:space="preserve"> </w:t>
      </w:r>
      <w:r w:rsidRPr="009A0DA6">
        <w:rPr>
          <w:rFonts w:ascii="Cambria" w:eastAsia="Arial" w:hAnsi="Cambria" w:cs="Arial"/>
        </w:rPr>
        <w:t>LLL</w:t>
      </w:r>
      <w:r w:rsidRPr="009A0DA6">
        <w:rPr>
          <w:rFonts w:ascii="Cambria" w:eastAsia="Arial" w:hAnsi="Cambria" w:cs="Arial"/>
        </w:rPr>
        <w:tab/>
        <w:t>486,818</w:t>
      </w:r>
      <w:r w:rsidRPr="009A0DA6">
        <w:rPr>
          <w:rFonts w:ascii="Cambria" w:eastAsia="Arial" w:hAnsi="Cambria" w:cs="Arial"/>
        </w:rPr>
        <w:tab/>
        <w:t>521,153</w:t>
      </w:r>
      <w:r w:rsidRPr="009A0DA6">
        <w:rPr>
          <w:rFonts w:ascii="Cambria" w:eastAsia="Arial" w:hAnsi="Cambria" w:cs="Arial"/>
        </w:rPr>
        <w:tab/>
        <w:t>374,522</w:t>
      </w:r>
    </w:p>
    <w:p w14:paraId="3407A957" w14:textId="77777777" w:rsidR="002E592D" w:rsidRPr="009A0DA6" w:rsidRDefault="002E592D" w:rsidP="00351A0F">
      <w:pPr>
        <w:tabs>
          <w:tab w:val="right" w:pos="5670"/>
          <w:tab w:val="right" w:pos="7371"/>
          <w:tab w:val="right" w:pos="8789"/>
        </w:tabs>
        <w:spacing w:before="120" w:after="120" w:line="240" w:lineRule="auto"/>
        <w:ind w:right="-20"/>
        <w:contextualSpacing/>
        <w:rPr>
          <w:rFonts w:ascii="Cambria" w:eastAsia="Arial" w:hAnsi="Cambria" w:cs="Arial"/>
        </w:rPr>
      </w:pPr>
      <w:r w:rsidRPr="009A0DA6">
        <w:rPr>
          <w:rFonts w:ascii="Cambria" w:eastAsia="Arial" w:hAnsi="Cambria" w:cs="Arial"/>
          <w:spacing w:val="-1"/>
        </w:rPr>
        <w:t>P</w:t>
      </w:r>
      <w:r w:rsidRPr="009A0DA6">
        <w:rPr>
          <w:rFonts w:ascii="Cambria" w:eastAsia="Arial" w:hAnsi="Cambria" w:cs="Arial"/>
        </w:rPr>
        <w:t>e</w:t>
      </w:r>
      <w:r w:rsidRPr="009A0DA6">
        <w:rPr>
          <w:rFonts w:ascii="Cambria" w:eastAsia="Arial" w:hAnsi="Cambria" w:cs="Arial"/>
          <w:spacing w:val="-1"/>
        </w:rPr>
        <w:t>n</w:t>
      </w:r>
      <w:r w:rsidRPr="009A0DA6">
        <w:rPr>
          <w:rFonts w:ascii="Cambria" w:eastAsia="Arial" w:hAnsi="Cambria" w:cs="Arial"/>
          <w:spacing w:val="1"/>
        </w:rPr>
        <w:t>s</w:t>
      </w:r>
      <w:r w:rsidRPr="009A0DA6">
        <w:rPr>
          <w:rFonts w:ascii="Cambria" w:eastAsia="Arial" w:hAnsi="Cambria" w:cs="Arial"/>
          <w:spacing w:val="-1"/>
        </w:rPr>
        <w:t>i</w:t>
      </w:r>
      <w:r w:rsidRPr="009A0DA6">
        <w:rPr>
          <w:rFonts w:ascii="Cambria" w:eastAsia="Arial" w:hAnsi="Cambria" w:cs="Arial"/>
        </w:rPr>
        <w:t>on</w:t>
      </w:r>
      <w:r w:rsidRPr="009A0DA6">
        <w:rPr>
          <w:rFonts w:ascii="Cambria" w:eastAsia="Arial" w:hAnsi="Cambria" w:cs="Arial"/>
          <w:spacing w:val="-8"/>
        </w:rPr>
        <w:t xml:space="preserve"> </w:t>
      </w:r>
      <w:r w:rsidRPr="009A0DA6">
        <w:rPr>
          <w:rFonts w:ascii="Cambria" w:eastAsia="Arial" w:hAnsi="Cambria" w:cs="Arial"/>
          <w:spacing w:val="-1"/>
        </w:rPr>
        <w:t>P</w:t>
      </w:r>
      <w:r w:rsidRPr="009A0DA6">
        <w:rPr>
          <w:rFonts w:ascii="Cambria" w:eastAsia="Arial" w:hAnsi="Cambria" w:cs="Arial"/>
        </w:rPr>
        <w:t>a</w:t>
      </w:r>
      <w:r w:rsidRPr="009A0DA6">
        <w:rPr>
          <w:rFonts w:ascii="Cambria" w:eastAsia="Arial" w:hAnsi="Cambria" w:cs="Arial"/>
          <w:spacing w:val="-6"/>
        </w:rPr>
        <w:t>y</w:t>
      </w:r>
      <w:r w:rsidRPr="009A0DA6">
        <w:rPr>
          <w:rFonts w:ascii="Cambria" w:eastAsia="Arial" w:hAnsi="Cambria" w:cs="Arial"/>
          <w:spacing w:val="4"/>
        </w:rPr>
        <w:t>m</w:t>
      </w:r>
      <w:r w:rsidRPr="009A0DA6">
        <w:rPr>
          <w:rFonts w:ascii="Cambria" w:eastAsia="Arial" w:hAnsi="Cambria" w:cs="Arial"/>
        </w:rPr>
        <w:t>e</w:t>
      </w:r>
      <w:r w:rsidRPr="009A0DA6">
        <w:rPr>
          <w:rFonts w:ascii="Cambria" w:eastAsia="Arial" w:hAnsi="Cambria" w:cs="Arial"/>
          <w:spacing w:val="-1"/>
        </w:rPr>
        <w:t>n</w:t>
      </w:r>
      <w:r w:rsidRPr="009A0DA6">
        <w:rPr>
          <w:rFonts w:ascii="Cambria" w:eastAsia="Arial" w:hAnsi="Cambria" w:cs="Arial"/>
        </w:rPr>
        <w:t>ts</w:t>
      </w:r>
      <w:r w:rsidRPr="009A0DA6">
        <w:rPr>
          <w:rFonts w:ascii="Cambria" w:eastAsia="Arial" w:hAnsi="Cambria" w:cs="Arial"/>
        </w:rPr>
        <w:tab/>
        <w:t>458,347</w:t>
      </w:r>
      <w:r w:rsidRPr="009A0DA6">
        <w:rPr>
          <w:rFonts w:ascii="Cambria" w:eastAsia="Arial" w:hAnsi="Cambria" w:cs="Arial"/>
        </w:rPr>
        <w:tab/>
        <w:t>452,702</w:t>
      </w:r>
      <w:r w:rsidRPr="009A0DA6">
        <w:rPr>
          <w:rFonts w:ascii="Cambria" w:eastAsia="Arial" w:hAnsi="Cambria" w:cs="Arial"/>
        </w:rPr>
        <w:tab/>
        <w:t>460,665</w:t>
      </w:r>
    </w:p>
    <w:p w14:paraId="24F84FF1" w14:textId="77777777" w:rsidR="002E592D" w:rsidRPr="009A0DA6" w:rsidRDefault="002E592D" w:rsidP="00351A0F">
      <w:pPr>
        <w:tabs>
          <w:tab w:val="right" w:pos="5670"/>
          <w:tab w:val="right" w:pos="7371"/>
          <w:tab w:val="right" w:pos="8789"/>
        </w:tabs>
        <w:spacing w:before="120" w:after="120" w:line="240" w:lineRule="auto"/>
        <w:ind w:right="-20"/>
        <w:contextualSpacing/>
        <w:rPr>
          <w:rFonts w:ascii="Cambria" w:eastAsia="Arial" w:hAnsi="Cambria" w:cs="Arial"/>
        </w:rPr>
      </w:pPr>
      <w:r w:rsidRPr="009A0DA6">
        <w:rPr>
          <w:rFonts w:ascii="Cambria" w:eastAsia="Arial" w:hAnsi="Cambria" w:cs="Arial"/>
        </w:rPr>
        <w:t>Re</w:t>
      </w:r>
      <w:r w:rsidRPr="009A0DA6">
        <w:rPr>
          <w:rFonts w:ascii="Cambria" w:eastAsia="Arial" w:hAnsi="Cambria" w:cs="Arial"/>
          <w:spacing w:val="4"/>
        </w:rPr>
        <w:t>m</w:t>
      </w:r>
      <w:r w:rsidRPr="009A0DA6">
        <w:rPr>
          <w:rFonts w:ascii="Cambria" w:eastAsia="Arial" w:hAnsi="Cambria" w:cs="Arial"/>
        </w:rPr>
        <w:t>o</w:t>
      </w:r>
      <w:r w:rsidRPr="009A0DA6">
        <w:rPr>
          <w:rFonts w:ascii="Cambria" w:eastAsia="Arial" w:hAnsi="Cambria" w:cs="Arial"/>
          <w:spacing w:val="-2"/>
        </w:rPr>
        <w:t>v</w:t>
      </w:r>
      <w:r w:rsidRPr="009A0DA6">
        <w:rPr>
          <w:rFonts w:ascii="Cambria" w:eastAsia="Arial" w:hAnsi="Cambria" w:cs="Arial"/>
        </w:rPr>
        <w:t>al</w:t>
      </w:r>
      <w:r w:rsidRPr="009A0DA6">
        <w:rPr>
          <w:rFonts w:ascii="Cambria" w:eastAsia="Arial" w:hAnsi="Cambria" w:cs="Arial"/>
          <w:spacing w:val="-10"/>
        </w:rPr>
        <w:t xml:space="preserve"> </w:t>
      </w:r>
      <w:r w:rsidRPr="009A0DA6">
        <w:rPr>
          <w:rFonts w:ascii="Cambria" w:eastAsia="Arial" w:hAnsi="Cambria" w:cs="Arial"/>
          <w:spacing w:val="-1"/>
        </w:rPr>
        <w:t>E</w:t>
      </w:r>
      <w:r w:rsidRPr="009A0DA6">
        <w:rPr>
          <w:rFonts w:ascii="Cambria" w:eastAsia="Arial" w:hAnsi="Cambria" w:cs="Arial"/>
          <w:spacing w:val="1"/>
        </w:rPr>
        <w:t>x</w:t>
      </w:r>
      <w:r w:rsidRPr="009A0DA6">
        <w:rPr>
          <w:rFonts w:ascii="Cambria" w:eastAsia="Arial" w:hAnsi="Cambria" w:cs="Arial"/>
        </w:rPr>
        <w:t>p</w:t>
      </w:r>
      <w:r w:rsidRPr="009A0DA6">
        <w:rPr>
          <w:rFonts w:ascii="Cambria" w:eastAsia="Arial" w:hAnsi="Cambria" w:cs="Arial"/>
          <w:spacing w:val="-1"/>
        </w:rPr>
        <w:t>e</w:t>
      </w:r>
      <w:r w:rsidRPr="009A0DA6">
        <w:rPr>
          <w:rFonts w:ascii="Cambria" w:eastAsia="Arial" w:hAnsi="Cambria" w:cs="Arial"/>
        </w:rPr>
        <w:t>n</w:t>
      </w:r>
      <w:r w:rsidRPr="009A0DA6">
        <w:rPr>
          <w:rFonts w:ascii="Cambria" w:eastAsia="Arial" w:hAnsi="Cambria" w:cs="Arial"/>
          <w:spacing w:val="1"/>
        </w:rPr>
        <w:t>s</w:t>
      </w:r>
      <w:r w:rsidRPr="009A0DA6">
        <w:rPr>
          <w:rFonts w:ascii="Cambria" w:eastAsia="Arial" w:hAnsi="Cambria" w:cs="Arial"/>
        </w:rPr>
        <w:t>es</w:t>
      </w:r>
      <w:r w:rsidRPr="009A0DA6">
        <w:rPr>
          <w:rFonts w:ascii="Cambria" w:eastAsia="Arial" w:hAnsi="Cambria" w:cs="Arial"/>
        </w:rPr>
        <w:tab/>
        <w:t>51,502</w:t>
      </w:r>
      <w:r w:rsidRPr="009A0DA6">
        <w:rPr>
          <w:rFonts w:ascii="Cambria" w:eastAsia="Arial" w:hAnsi="Cambria" w:cs="Arial"/>
        </w:rPr>
        <w:tab/>
        <w:t>15,233</w:t>
      </w:r>
      <w:r w:rsidRPr="009A0DA6">
        <w:rPr>
          <w:rFonts w:ascii="Cambria" w:eastAsia="Arial" w:hAnsi="Cambria" w:cs="Arial"/>
        </w:rPr>
        <w:tab/>
        <w:t>19,160</w:t>
      </w:r>
    </w:p>
    <w:p w14:paraId="651F9928" w14:textId="77777777" w:rsidR="002E592D" w:rsidRPr="009A0DA6" w:rsidRDefault="002E592D" w:rsidP="00351A0F">
      <w:pPr>
        <w:tabs>
          <w:tab w:val="right" w:pos="5670"/>
          <w:tab w:val="right" w:pos="7371"/>
          <w:tab w:val="right" w:pos="8789"/>
        </w:tabs>
        <w:spacing w:before="120" w:after="120" w:line="240" w:lineRule="auto"/>
        <w:ind w:right="-20"/>
        <w:contextualSpacing/>
        <w:rPr>
          <w:rFonts w:ascii="Cambria" w:eastAsia="Arial" w:hAnsi="Cambria" w:cs="Arial"/>
        </w:rPr>
      </w:pPr>
      <w:r w:rsidRPr="009A0DA6">
        <w:rPr>
          <w:rFonts w:ascii="Cambria" w:eastAsia="Arial" w:hAnsi="Cambria" w:cs="Arial"/>
        </w:rPr>
        <w:t>Ret</w:t>
      </w:r>
      <w:r w:rsidRPr="009A0DA6">
        <w:rPr>
          <w:rFonts w:ascii="Cambria" w:eastAsia="Arial" w:hAnsi="Cambria" w:cs="Arial"/>
          <w:spacing w:val="-1"/>
        </w:rPr>
        <w:t>i</w:t>
      </w:r>
      <w:r w:rsidRPr="009A0DA6">
        <w:rPr>
          <w:rFonts w:ascii="Cambria" w:eastAsia="Arial" w:hAnsi="Cambria" w:cs="Arial"/>
          <w:spacing w:val="1"/>
        </w:rPr>
        <w:t>r</w:t>
      </w:r>
      <w:r w:rsidRPr="009A0DA6">
        <w:rPr>
          <w:rFonts w:ascii="Cambria" w:eastAsia="Arial" w:hAnsi="Cambria" w:cs="Arial"/>
          <w:spacing w:val="-1"/>
        </w:rPr>
        <w:t>i</w:t>
      </w:r>
      <w:r w:rsidRPr="009A0DA6">
        <w:rPr>
          <w:rFonts w:ascii="Cambria" w:eastAsia="Arial" w:hAnsi="Cambria" w:cs="Arial"/>
        </w:rPr>
        <w:t>ng</w:t>
      </w:r>
      <w:r w:rsidRPr="009A0DA6">
        <w:rPr>
          <w:rFonts w:ascii="Cambria" w:eastAsia="Arial" w:hAnsi="Cambria" w:cs="Arial"/>
          <w:spacing w:val="-8"/>
        </w:rPr>
        <w:t xml:space="preserve"> </w:t>
      </w:r>
      <w:r w:rsidRPr="009A0DA6">
        <w:rPr>
          <w:rFonts w:ascii="Cambria" w:eastAsia="Arial" w:hAnsi="Cambria" w:cs="Arial"/>
          <w:spacing w:val="-1"/>
        </w:rPr>
        <w:t>All</w:t>
      </w:r>
      <w:r w:rsidRPr="009A0DA6">
        <w:rPr>
          <w:rFonts w:ascii="Cambria" w:eastAsia="Arial" w:hAnsi="Cambria" w:cs="Arial"/>
        </w:rPr>
        <w:t>o</w:t>
      </w:r>
      <w:r w:rsidRPr="009A0DA6">
        <w:rPr>
          <w:rFonts w:ascii="Cambria" w:eastAsia="Arial" w:hAnsi="Cambria" w:cs="Arial"/>
          <w:spacing w:val="-3"/>
        </w:rPr>
        <w:t>w</w:t>
      </w:r>
      <w:r w:rsidRPr="009A0DA6">
        <w:rPr>
          <w:rFonts w:ascii="Cambria" w:eastAsia="Arial" w:hAnsi="Cambria" w:cs="Arial"/>
        </w:rPr>
        <w:t>a</w:t>
      </w:r>
      <w:r w:rsidRPr="009A0DA6">
        <w:rPr>
          <w:rFonts w:ascii="Cambria" w:eastAsia="Arial" w:hAnsi="Cambria" w:cs="Arial"/>
          <w:spacing w:val="-1"/>
        </w:rPr>
        <w:t>n</w:t>
      </w:r>
      <w:r w:rsidRPr="009A0DA6">
        <w:rPr>
          <w:rFonts w:ascii="Cambria" w:eastAsia="Arial" w:hAnsi="Cambria" w:cs="Arial"/>
          <w:spacing w:val="1"/>
        </w:rPr>
        <w:t>c</w:t>
      </w:r>
      <w:r w:rsidRPr="009A0DA6">
        <w:rPr>
          <w:rFonts w:ascii="Cambria" w:eastAsia="Arial" w:hAnsi="Cambria" w:cs="Arial"/>
        </w:rPr>
        <w:t>es</w:t>
      </w:r>
      <w:r w:rsidRPr="009A0DA6">
        <w:rPr>
          <w:rFonts w:ascii="Cambria" w:eastAsia="Arial" w:hAnsi="Cambria" w:cs="Arial"/>
        </w:rPr>
        <w:tab/>
        <w:t>221,736</w:t>
      </w:r>
      <w:r w:rsidRPr="009A0DA6">
        <w:rPr>
          <w:rFonts w:ascii="Cambria" w:eastAsia="Arial" w:hAnsi="Cambria" w:cs="Arial"/>
        </w:rPr>
        <w:tab/>
        <w:t>164,665</w:t>
      </w:r>
      <w:r w:rsidRPr="009A0DA6">
        <w:rPr>
          <w:rFonts w:ascii="Cambria" w:eastAsia="Arial" w:hAnsi="Cambria" w:cs="Arial"/>
        </w:rPr>
        <w:tab/>
        <w:t>97,941</w:t>
      </w:r>
    </w:p>
    <w:p w14:paraId="08436DC0" w14:textId="7E8D4D66" w:rsidR="002E592D" w:rsidRPr="009A0DA6" w:rsidRDefault="002E592D" w:rsidP="006C6F9E">
      <w:pPr>
        <w:tabs>
          <w:tab w:val="right" w:pos="5670"/>
          <w:tab w:val="right" w:pos="7371"/>
          <w:tab w:val="right" w:pos="8789"/>
        </w:tabs>
        <w:spacing w:before="120" w:after="120" w:line="240" w:lineRule="auto"/>
        <w:ind w:right="21"/>
        <w:contextualSpacing/>
        <w:rPr>
          <w:rFonts w:ascii="Cambria" w:eastAsia="Arial" w:hAnsi="Cambria" w:cs="Arial"/>
        </w:rPr>
      </w:pPr>
      <w:r w:rsidRPr="009A0DA6">
        <w:rPr>
          <w:rFonts w:ascii="Cambria" w:eastAsia="Arial" w:hAnsi="Cambria" w:cs="Arial"/>
        </w:rPr>
        <w:t>L</w:t>
      </w:r>
      <w:r w:rsidRPr="009A0DA6">
        <w:rPr>
          <w:rFonts w:ascii="Cambria" w:eastAsia="Arial" w:hAnsi="Cambria" w:cs="Arial"/>
          <w:spacing w:val="-1"/>
        </w:rPr>
        <w:t>e</w:t>
      </w:r>
      <w:r w:rsidRPr="009A0DA6">
        <w:rPr>
          <w:rFonts w:ascii="Cambria" w:eastAsia="Arial" w:hAnsi="Cambria" w:cs="Arial"/>
        </w:rPr>
        <w:t>g</w:t>
      </w:r>
      <w:r w:rsidRPr="009A0DA6">
        <w:rPr>
          <w:rFonts w:ascii="Cambria" w:eastAsia="Arial" w:hAnsi="Cambria" w:cs="Arial"/>
          <w:spacing w:val="-1"/>
        </w:rPr>
        <w:t>a</w:t>
      </w:r>
      <w:r w:rsidRPr="009A0DA6">
        <w:rPr>
          <w:rFonts w:ascii="Cambria" w:eastAsia="Arial" w:hAnsi="Cambria" w:cs="Arial"/>
        </w:rPr>
        <w:t>l</w:t>
      </w:r>
      <w:r w:rsidRPr="009A0DA6">
        <w:rPr>
          <w:rFonts w:ascii="Cambria" w:eastAsia="Arial" w:hAnsi="Cambria" w:cs="Arial"/>
          <w:spacing w:val="-6"/>
        </w:rPr>
        <w:t xml:space="preserve"> </w:t>
      </w:r>
      <w:r w:rsidRPr="009A0DA6">
        <w:rPr>
          <w:rFonts w:ascii="Cambria" w:eastAsia="Arial" w:hAnsi="Cambria" w:cs="Arial"/>
        </w:rPr>
        <w:t>Fees</w:t>
      </w:r>
      <w:r w:rsidRPr="009A0DA6">
        <w:rPr>
          <w:rFonts w:ascii="Cambria" w:eastAsia="Arial" w:hAnsi="Cambria" w:cs="Arial"/>
        </w:rPr>
        <w:tab/>
      </w:r>
      <w:r w:rsidRPr="009A0DA6">
        <w:rPr>
          <w:rFonts w:ascii="Cambria" w:eastAsia="Arial" w:hAnsi="Cambria" w:cs="Arial"/>
          <w:w w:val="99"/>
        </w:rPr>
        <w:t>0</w:t>
      </w:r>
      <w:r w:rsidRPr="009A0DA6">
        <w:rPr>
          <w:rFonts w:ascii="Cambria" w:eastAsia="Arial" w:hAnsi="Cambria" w:cs="Arial"/>
          <w:w w:val="99"/>
        </w:rPr>
        <w:tab/>
        <w:t>0</w:t>
      </w:r>
      <w:r w:rsidRPr="009A0DA6">
        <w:rPr>
          <w:rFonts w:ascii="Cambria" w:eastAsia="Arial" w:hAnsi="Cambria" w:cs="Arial"/>
          <w:w w:val="99"/>
        </w:rPr>
        <w:tab/>
      </w:r>
      <w:r w:rsidR="006C6F9E">
        <w:rPr>
          <w:rFonts w:ascii="Cambria" w:eastAsia="Arial" w:hAnsi="Cambria" w:cs="Arial"/>
          <w:w w:val="99"/>
        </w:rPr>
        <w:t xml:space="preserve">  </w:t>
      </w:r>
      <w:r w:rsidRPr="009A0DA6">
        <w:rPr>
          <w:rFonts w:ascii="Cambria" w:eastAsia="Arial" w:hAnsi="Cambria" w:cs="Arial"/>
        </w:rPr>
        <w:t>0</w:t>
      </w:r>
    </w:p>
    <w:p w14:paraId="1DD6068A" w14:textId="77777777" w:rsidR="002E592D" w:rsidRPr="009A0DA6" w:rsidRDefault="002E592D" w:rsidP="00351A0F">
      <w:pPr>
        <w:tabs>
          <w:tab w:val="right" w:pos="5670"/>
          <w:tab w:val="right" w:pos="7371"/>
          <w:tab w:val="right" w:pos="8789"/>
        </w:tabs>
        <w:spacing w:before="120" w:after="120" w:line="240" w:lineRule="auto"/>
        <w:ind w:right="-20"/>
        <w:contextualSpacing/>
        <w:rPr>
          <w:rFonts w:ascii="Cambria" w:eastAsia="Arial" w:hAnsi="Cambria" w:cs="Arial"/>
        </w:rPr>
      </w:pPr>
      <w:r w:rsidRPr="009A0DA6">
        <w:rPr>
          <w:rFonts w:ascii="Cambria" w:eastAsia="Arial" w:hAnsi="Cambria" w:cs="Arial"/>
          <w:spacing w:val="-1"/>
        </w:rPr>
        <w:t>B</w:t>
      </w:r>
      <w:r w:rsidRPr="009A0DA6">
        <w:rPr>
          <w:rFonts w:ascii="Cambria" w:eastAsia="Arial" w:hAnsi="Cambria" w:cs="Arial"/>
        </w:rPr>
        <w:t>a</w:t>
      </w:r>
      <w:r w:rsidRPr="009A0DA6">
        <w:rPr>
          <w:rFonts w:ascii="Cambria" w:eastAsia="Arial" w:hAnsi="Cambria" w:cs="Arial"/>
          <w:spacing w:val="-1"/>
        </w:rPr>
        <w:t>l</w:t>
      </w:r>
      <w:r w:rsidRPr="009A0DA6">
        <w:rPr>
          <w:rFonts w:ascii="Cambria" w:eastAsia="Arial" w:hAnsi="Cambria" w:cs="Arial"/>
        </w:rPr>
        <w:t>a</w:t>
      </w:r>
      <w:r w:rsidRPr="009A0DA6">
        <w:rPr>
          <w:rFonts w:ascii="Cambria" w:eastAsia="Arial" w:hAnsi="Cambria" w:cs="Arial"/>
          <w:spacing w:val="-1"/>
        </w:rPr>
        <w:t>n</w:t>
      </w:r>
      <w:r w:rsidRPr="009A0DA6">
        <w:rPr>
          <w:rFonts w:ascii="Cambria" w:eastAsia="Arial" w:hAnsi="Cambria" w:cs="Arial"/>
          <w:spacing w:val="1"/>
        </w:rPr>
        <w:t>c</w:t>
      </w:r>
      <w:r w:rsidRPr="009A0DA6">
        <w:rPr>
          <w:rFonts w:ascii="Cambria" w:eastAsia="Arial" w:hAnsi="Cambria" w:cs="Arial"/>
        </w:rPr>
        <w:t>e</w:t>
      </w:r>
      <w:r w:rsidRPr="009A0DA6">
        <w:rPr>
          <w:rFonts w:ascii="Cambria" w:eastAsia="Arial" w:hAnsi="Cambria" w:cs="Arial"/>
          <w:spacing w:val="-7"/>
        </w:rPr>
        <w:t xml:space="preserve"> </w:t>
      </w:r>
      <w:r w:rsidRPr="009A0DA6">
        <w:rPr>
          <w:rFonts w:ascii="Cambria" w:eastAsia="Arial" w:hAnsi="Cambria" w:cs="Arial"/>
          <w:spacing w:val="-1"/>
        </w:rPr>
        <w:t>a</w:t>
      </w:r>
      <w:r w:rsidRPr="009A0DA6">
        <w:rPr>
          <w:rFonts w:ascii="Cambria" w:eastAsia="Arial" w:hAnsi="Cambria" w:cs="Arial"/>
        </w:rPr>
        <w:t>s</w:t>
      </w:r>
      <w:r w:rsidRPr="009A0DA6">
        <w:rPr>
          <w:rFonts w:ascii="Cambria" w:eastAsia="Arial" w:hAnsi="Cambria" w:cs="Arial"/>
          <w:spacing w:val="-1"/>
        </w:rPr>
        <w:t xml:space="preserve"> </w:t>
      </w:r>
      <w:r w:rsidRPr="009A0DA6">
        <w:rPr>
          <w:rFonts w:ascii="Cambria" w:eastAsia="Arial" w:hAnsi="Cambria" w:cs="Arial"/>
        </w:rPr>
        <w:t>at</w:t>
      </w:r>
      <w:r w:rsidRPr="009A0DA6">
        <w:rPr>
          <w:rFonts w:ascii="Cambria" w:eastAsia="Arial" w:hAnsi="Cambria" w:cs="Arial"/>
          <w:spacing w:val="-3"/>
        </w:rPr>
        <w:t xml:space="preserve"> </w:t>
      </w:r>
      <w:r w:rsidRPr="009A0DA6">
        <w:rPr>
          <w:rFonts w:ascii="Cambria" w:eastAsia="Arial" w:hAnsi="Cambria" w:cs="Arial"/>
        </w:rPr>
        <w:t>3</w:t>
      </w:r>
      <w:r w:rsidRPr="009A0DA6">
        <w:rPr>
          <w:rFonts w:ascii="Cambria" w:eastAsia="Arial" w:hAnsi="Cambria" w:cs="Arial"/>
          <w:spacing w:val="-1"/>
        </w:rPr>
        <w:t>1</w:t>
      </w:r>
      <w:r w:rsidRPr="009A0DA6">
        <w:rPr>
          <w:rFonts w:ascii="Cambria" w:eastAsia="Arial" w:hAnsi="Cambria" w:cs="Arial"/>
          <w:spacing w:val="1"/>
        </w:rPr>
        <w:t>s</w:t>
      </w:r>
      <w:r w:rsidRPr="009A0DA6">
        <w:rPr>
          <w:rFonts w:ascii="Cambria" w:eastAsia="Arial" w:hAnsi="Cambria" w:cs="Arial"/>
        </w:rPr>
        <w:t>t</w:t>
      </w:r>
      <w:r w:rsidRPr="009A0DA6">
        <w:rPr>
          <w:rFonts w:ascii="Cambria" w:eastAsia="Arial" w:hAnsi="Cambria" w:cs="Arial"/>
          <w:spacing w:val="-4"/>
        </w:rPr>
        <w:t xml:space="preserve"> </w:t>
      </w:r>
      <w:r w:rsidRPr="009A0DA6">
        <w:rPr>
          <w:rFonts w:ascii="Cambria" w:eastAsia="Arial" w:hAnsi="Cambria" w:cs="Arial"/>
        </w:rPr>
        <w:t>Dece</w:t>
      </w:r>
      <w:r w:rsidRPr="009A0DA6">
        <w:rPr>
          <w:rFonts w:ascii="Cambria" w:eastAsia="Arial" w:hAnsi="Cambria" w:cs="Arial"/>
          <w:spacing w:val="4"/>
        </w:rPr>
        <w:t>m</w:t>
      </w:r>
      <w:r w:rsidRPr="009A0DA6">
        <w:rPr>
          <w:rFonts w:ascii="Cambria" w:eastAsia="Arial" w:hAnsi="Cambria" w:cs="Arial"/>
        </w:rPr>
        <w:t>b</w:t>
      </w:r>
      <w:r w:rsidRPr="009A0DA6">
        <w:rPr>
          <w:rFonts w:ascii="Cambria" w:eastAsia="Arial" w:hAnsi="Cambria" w:cs="Arial"/>
          <w:spacing w:val="-1"/>
        </w:rPr>
        <w:t>e</w:t>
      </w:r>
      <w:r w:rsidRPr="009A0DA6">
        <w:rPr>
          <w:rFonts w:ascii="Cambria" w:eastAsia="Arial" w:hAnsi="Cambria" w:cs="Arial"/>
        </w:rPr>
        <w:t>r</w:t>
      </w:r>
      <w:r w:rsidRPr="009A0DA6">
        <w:rPr>
          <w:rFonts w:ascii="Cambria" w:eastAsia="Arial" w:hAnsi="Cambria" w:cs="Arial"/>
        </w:rPr>
        <w:tab/>
        <w:t>13,533</w:t>
      </w:r>
      <w:r w:rsidRPr="009A0DA6">
        <w:rPr>
          <w:rFonts w:ascii="Cambria" w:eastAsia="Arial" w:hAnsi="Cambria" w:cs="Arial"/>
        </w:rPr>
        <w:tab/>
        <w:t>268,442</w:t>
      </w:r>
      <w:r w:rsidRPr="009A0DA6">
        <w:rPr>
          <w:rFonts w:ascii="Cambria" w:eastAsia="Arial" w:hAnsi="Cambria" w:cs="Arial"/>
        </w:rPr>
        <w:tab/>
        <w:t>339,827</w:t>
      </w:r>
    </w:p>
    <w:p w14:paraId="36C5A0EB" w14:textId="77777777" w:rsidR="002E592D" w:rsidRPr="009A0DA6" w:rsidRDefault="002E592D" w:rsidP="00351A0F">
      <w:pPr>
        <w:tabs>
          <w:tab w:val="right" w:pos="5670"/>
          <w:tab w:val="right" w:pos="7371"/>
          <w:tab w:val="right" w:pos="8789"/>
        </w:tabs>
        <w:spacing w:before="120" w:after="120" w:line="240" w:lineRule="auto"/>
        <w:ind w:right="-20"/>
        <w:contextualSpacing/>
        <w:rPr>
          <w:rFonts w:ascii="Cambria" w:eastAsia="Arial" w:hAnsi="Cambria" w:cs="Arial"/>
        </w:rPr>
      </w:pPr>
      <w:r w:rsidRPr="009A0DA6">
        <w:rPr>
          <w:rFonts w:ascii="Cambria" w:eastAsia="Arial" w:hAnsi="Cambria" w:cs="Arial"/>
        </w:rPr>
        <w:tab/>
        <w:t>$</w:t>
      </w:r>
      <w:r w:rsidRPr="009A0DA6">
        <w:rPr>
          <w:rFonts w:ascii="Cambria" w:eastAsia="Arial" w:hAnsi="Cambria" w:cs="Arial"/>
          <w:b/>
          <w:bCs/>
          <w:w w:val="99"/>
        </w:rPr>
        <w:t>1,405,183</w:t>
      </w:r>
      <w:r w:rsidRPr="009A0DA6">
        <w:rPr>
          <w:rFonts w:ascii="Cambria" w:eastAsia="Arial" w:hAnsi="Cambria" w:cs="Arial"/>
          <w:b/>
          <w:bCs/>
          <w:w w:val="99"/>
        </w:rPr>
        <w:tab/>
        <w:t>$1,526,649</w:t>
      </w:r>
      <w:r w:rsidRPr="009A0DA6">
        <w:rPr>
          <w:rFonts w:ascii="Cambria" w:eastAsia="Arial" w:hAnsi="Cambria" w:cs="Arial"/>
          <w:b/>
          <w:bCs/>
          <w:w w:val="99"/>
        </w:rPr>
        <w:tab/>
        <w:t>$1,519,333</w:t>
      </w:r>
    </w:p>
    <w:p w14:paraId="56BB2778" w14:textId="77777777" w:rsidR="002E592D" w:rsidRPr="009A0DA6" w:rsidRDefault="002E592D" w:rsidP="00351A0F">
      <w:pPr>
        <w:tabs>
          <w:tab w:val="right" w:pos="5670"/>
          <w:tab w:val="right" w:pos="7371"/>
          <w:tab w:val="right" w:pos="8789"/>
        </w:tabs>
        <w:spacing w:before="120" w:after="120" w:line="240" w:lineRule="auto"/>
        <w:ind w:right="-20"/>
        <w:contextualSpacing/>
        <w:rPr>
          <w:rFonts w:ascii="Cambria" w:eastAsia="Arial" w:hAnsi="Cambria" w:cs="Arial"/>
          <w:b/>
          <w:bCs/>
          <w:position w:val="-1"/>
        </w:rPr>
      </w:pPr>
      <w:r w:rsidRPr="009A0DA6">
        <w:rPr>
          <w:rFonts w:ascii="Cambria" w:eastAsia="Arial" w:hAnsi="Cambria" w:cs="Arial"/>
          <w:b/>
          <w:bCs/>
          <w:spacing w:val="1"/>
          <w:position w:val="-1"/>
        </w:rPr>
        <w:t>I</w:t>
      </w:r>
      <w:r w:rsidRPr="009A0DA6">
        <w:rPr>
          <w:rFonts w:ascii="Cambria" w:eastAsia="Arial" w:hAnsi="Cambria" w:cs="Arial"/>
          <w:b/>
          <w:bCs/>
          <w:position w:val="-1"/>
        </w:rPr>
        <w:t>n</w:t>
      </w:r>
      <w:r w:rsidRPr="009A0DA6">
        <w:rPr>
          <w:rFonts w:ascii="Cambria" w:eastAsia="Arial" w:hAnsi="Cambria" w:cs="Arial"/>
          <w:b/>
          <w:bCs/>
          <w:spacing w:val="-1"/>
          <w:position w:val="-1"/>
        </w:rPr>
        <w:t>c</w:t>
      </w:r>
      <w:r w:rsidRPr="009A0DA6">
        <w:rPr>
          <w:rFonts w:ascii="Cambria" w:eastAsia="Arial" w:hAnsi="Cambria" w:cs="Arial"/>
          <w:b/>
          <w:bCs/>
          <w:position w:val="-1"/>
        </w:rPr>
        <w:t>ome</w:t>
      </w:r>
    </w:p>
    <w:p w14:paraId="64E60719" w14:textId="77777777" w:rsidR="002E592D" w:rsidRPr="009A0DA6" w:rsidRDefault="002E592D" w:rsidP="00351A0F">
      <w:pPr>
        <w:tabs>
          <w:tab w:val="right" w:pos="5670"/>
          <w:tab w:val="right" w:pos="7371"/>
          <w:tab w:val="right" w:pos="8789"/>
        </w:tabs>
        <w:spacing w:before="120" w:after="120" w:line="240" w:lineRule="auto"/>
        <w:ind w:right="-20"/>
        <w:contextualSpacing/>
        <w:rPr>
          <w:rFonts w:ascii="Cambria" w:eastAsia="Arial" w:hAnsi="Cambria" w:cs="Arial"/>
          <w:b/>
          <w:bCs/>
          <w:position w:val="-1"/>
        </w:rPr>
      </w:pPr>
      <w:r w:rsidRPr="009A0DA6">
        <w:rPr>
          <w:rFonts w:ascii="Cambria" w:eastAsia="Arial" w:hAnsi="Cambria" w:cs="Arial"/>
          <w:bCs/>
          <w:position w:val="-1"/>
        </w:rPr>
        <w:t>Contributions</w:t>
      </w:r>
      <w:r w:rsidRPr="009A0DA6">
        <w:rPr>
          <w:rFonts w:ascii="Cambria" w:eastAsia="Arial" w:hAnsi="Cambria" w:cs="Arial"/>
          <w:b/>
          <w:bCs/>
          <w:position w:val="-1"/>
        </w:rPr>
        <w:tab/>
      </w:r>
      <w:r w:rsidRPr="009A0DA6">
        <w:rPr>
          <w:rFonts w:ascii="Cambria" w:eastAsia="Arial" w:hAnsi="Cambria" w:cs="Arial"/>
        </w:rPr>
        <w:t>603,145</w:t>
      </w:r>
      <w:r w:rsidRPr="009A0DA6">
        <w:rPr>
          <w:rFonts w:ascii="Cambria" w:eastAsia="Arial" w:hAnsi="Cambria" w:cs="Arial"/>
        </w:rPr>
        <w:tab/>
        <w:t>687,679</w:t>
      </w:r>
      <w:r w:rsidRPr="009A0DA6">
        <w:rPr>
          <w:rFonts w:ascii="Cambria" w:eastAsia="Arial" w:hAnsi="Cambria" w:cs="Arial"/>
        </w:rPr>
        <w:tab/>
        <w:t>634,814</w:t>
      </w:r>
    </w:p>
    <w:p w14:paraId="67AB487C" w14:textId="77777777" w:rsidR="002E592D" w:rsidRPr="009A0DA6" w:rsidRDefault="002E592D" w:rsidP="00351A0F">
      <w:pPr>
        <w:tabs>
          <w:tab w:val="right" w:pos="5670"/>
          <w:tab w:val="right" w:pos="7371"/>
          <w:tab w:val="right" w:pos="8789"/>
        </w:tabs>
        <w:spacing w:before="120" w:after="120" w:line="240" w:lineRule="auto"/>
        <w:ind w:right="-20"/>
        <w:contextualSpacing/>
        <w:rPr>
          <w:rFonts w:ascii="Cambria" w:eastAsia="Arial" w:hAnsi="Cambria" w:cs="Arial"/>
        </w:rPr>
      </w:pPr>
      <w:r w:rsidRPr="009A0DA6">
        <w:rPr>
          <w:rFonts w:ascii="Cambria" w:eastAsia="Arial" w:hAnsi="Cambria" w:cs="Arial"/>
        </w:rPr>
        <w:t>In</w:t>
      </w:r>
      <w:r w:rsidRPr="009A0DA6">
        <w:rPr>
          <w:rFonts w:ascii="Cambria" w:eastAsia="Arial" w:hAnsi="Cambria" w:cs="Arial"/>
          <w:spacing w:val="-1"/>
        </w:rPr>
        <w:t>t</w:t>
      </w:r>
      <w:r w:rsidRPr="009A0DA6">
        <w:rPr>
          <w:rFonts w:ascii="Cambria" w:eastAsia="Arial" w:hAnsi="Cambria" w:cs="Arial"/>
        </w:rPr>
        <w:t>ere</w:t>
      </w:r>
      <w:r w:rsidRPr="009A0DA6">
        <w:rPr>
          <w:rFonts w:ascii="Cambria" w:eastAsia="Arial" w:hAnsi="Cambria" w:cs="Arial"/>
          <w:spacing w:val="1"/>
        </w:rPr>
        <w:t>s</w:t>
      </w:r>
      <w:r w:rsidRPr="009A0DA6">
        <w:rPr>
          <w:rFonts w:ascii="Cambria" w:eastAsia="Arial" w:hAnsi="Cambria" w:cs="Arial"/>
        </w:rPr>
        <w:t>t</w:t>
      </w:r>
      <w:r w:rsidRPr="009A0DA6">
        <w:rPr>
          <w:rFonts w:ascii="Cambria" w:eastAsia="Arial" w:hAnsi="Cambria" w:cs="Arial"/>
          <w:spacing w:val="-7"/>
        </w:rPr>
        <w:t xml:space="preserve"> </w:t>
      </w:r>
      <w:r w:rsidRPr="009A0DA6">
        <w:rPr>
          <w:rFonts w:ascii="Cambria" w:eastAsia="Arial" w:hAnsi="Cambria" w:cs="Arial"/>
        </w:rPr>
        <w:t>I</w:t>
      </w:r>
      <w:r w:rsidRPr="009A0DA6">
        <w:rPr>
          <w:rFonts w:ascii="Cambria" w:eastAsia="Arial" w:hAnsi="Cambria" w:cs="Arial"/>
          <w:spacing w:val="-1"/>
        </w:rPr>
        <w:t>n</w:t>
      </w:r>
      <w:r w:rsidRPr="009A0DA6">
        <w:rPr>
          <w:rFonts w:ascii="Cambria" w:eastAsia="Arial" w:hAnsi="Cambria" w:cs="Arial"/>
          <w:spacing w:val="1"/>
        </w:rPr>
        <w:t>c</w:t>
      </w:r>
      <w:r w:rsidRPr="009A0DA6">
        <w:rPr>
          <w:rFonts w:ascii="Cambria" w:eastAsia="Arial" w:hAnsi="Cambria" w:cs="Arial"/>
        </w:rPr>
        <w:t>o</w:t>
      </w:r>
      <w:r w:rsidRPr="009A0DA6">
        <w:rPr>
          <w:rFonts w:ascii="Cambria" w:eastAsia="Arial" w:hAnsi="Cambria" w:cs="Arial"/>
          <w:spacing w:val="4"/>
        </w:rPr>
        <w:t>m</w:t>
      </w:r>
      <w:r w:rsidRPr="009A0DA6">
        <w:rPr>
          <w:rFonts w:ascii="Cambria" w:eastAsia="Arial" w:hAnsi="Cambria" w:cs="Arial"/>
        </w:rPr>
        <w:t>e</w:t>
      </w:r>
      <w:r w:rsidRPr="009A0DA6">
        <w:rPr>
          <w:rFonts w:ascii="Cambria" w:eastAsia="Arial" w:hAnsi="Cambria" w:cs="Arial"/>
        </w:rPr>
        <w:tab/>
        <w:t>3,468</w:t>
      </w:r>
      <w:r w:rsidRPr="009A0DA6">
        <w:rPr>
          <w:rFonts w:ascii="Cambria" w:eastAsia="Arial" w:hAnsi="Cambria" w:cs="Arial"/>
        </w:rPr>
        <w:tab/>
        <w:t>3,304</w:t>
      </w:r>
      <w:r w:rsidRPr="009A0DA6">
        <w:rPr>
          <w:rFonts w:ascii="Cambria" w:eastAsia="Arial" w:hAnsi="Cambria" w:cs="Arial"/>
        </w:rPr>
        <w:tab/>
        <w:t>3,512</w:t>
      </w:r>
    </w:p>
    <w:p w14:paraId="3108A74C" w14:textId="77777777" w:rsidR="002E592D" w:rsidRPr="009A0DA6" w:rsidRDefault="002E592D" w:rsidP="00351A0F">
      <w:pPr>
        <w:tabs>
          <w:tab w:val="right" w:pos="5670"/>
          <w:tab w:val="right" w:pos="7371"/>
          <w:tab w:val="right" w:pos="8789"/>
        </w:tabs>
        <w:spacing w:before="120" w:after="120" w:line="240" w:lineRule="auto"/>
        <w:ind w:right="-20"/>
        <w:contextualSpacing/>
        <w:rPr>
          <w:rFonts w:ascii="Cambria" w:eastAsia="Arial" w:hAnsi="Cambria" w:cs="Arial"/>
          <w:b/>
          <w:bCs/>
          <w:position w:val="-1"/>
        </w:rPr>
      </w:pPr>
      <w:r w:rsidRPr="009A0DA6">
        <w:rPr>
          <w:rFonts w:ascii="Cambria" w:eastAsia="Arial" w:hAnsi="Cambria" w:cs="Arial"/>
        </w:rPr>
        <w:t>In</w:t>
      </w:r>
      <w:r w:rsidRPr="009A0DA6">
        <w:rPr>
          <w:rFonts w:ascii="Cambria" w:eastAsia="Arial" w:hAnsi="Cambria" w:cs="Arial"/>
          <w:spacing w:val="-1"/>
        </w:rPr>
        <w:t>t</w:t>
      </w:r>
      <w:r w:rsidRPr="009A0DA6">
        <w:rPr>
          <w:rFonts w:ascii="Cambria" w:eastAsia="Arial" w:hAnsi="Cambria" w:cs="Arial"/>
        </w:rPr>
        <w:t>ere</w:t>
      </w:r>
      <w:r w:rsidRPr="009A0DA6">
        <w:rPr>
          <w:rFonts w:ascii="Cambria" w:eastAsia="Arial" w:hAnsi="Cambria" w:cs="Arial"/>
          <w:spacing w:val="1"/>
        </w:rPr>
        <w:t>s</w:t>
      </w:r>
      <w:r w:rsidRPr="009A0DA6">
        <w:rPr>
          <w:rFonts w:ascii="Cambria" w:eastAsia="Arial" w:hAnsi="Cambria" w:cs="Arial"/>
        </w:rPr>
        <w:t>t</w:t>
      </w:r>
      <w:r w:rsidRPr="009A0DA6">
        <w:rPr>
          <w:rFonts w:ascii="Cambria" w:eastAsia="Arial" w:hAnsi="Cambria" w:cs="Arial"/>
          <w:spacing w:val="-7"/>
        </w:rPr>
        <w:t xml:space="preserve"> </w:t>
      </w:r>
      <w:r w:rsidRPr="009A0DA6">
        <w:rPr>
          <w:rFonts w:ascii="Cambria" w:eastAsia="Arial" w:hAnsi="Cambria" w:cs="Arial"/>
          <w:spacing w:val="-1"/>
        </w:rPr>
        <w:t>o</w:t>
      </w:r>
      <w:r w:rsidRPr="009A0DA6">
        <w:rPr>
          <w:rFonts w:ascii="Cambria" w:eastAsia="Arial" w:hAnsi="Cambria" w:cs="Arial"/>
        </w:rPr>
        <w:t>n</w:t>
      </w:r>
      <w:r w:rsidRPr="009A0DA6">
        <w:rPr>
          <w:rFonts w:ascii="Cambria" w:eastAsia="Arial" w:hAnsi="Cambria" w:cs="Arial"/>
          <w:spacing w:val="-2"/>
        </w:rPr>
        <w:t xml:space="preserve"> </w:t>
      </w:r>
      <w:r w:rsidRPr="009A0DA6">
        <w:rPr>
          <w:rFonts w:ascii="Cambria" w:eastAsia="Arial" w:hAnsi="Cambria" w:cs="Arial"/>
        </w:rPr>
        <w:t>H</w:t>
      </w:r>
      <w:r w:rsidRPr="009A0DA6">
        <w:rPr>
          <w:rFonts w:ascii="Cambria" w:eastAsia="Arial" w:hAnsi="Cambria" w:cs="Arial"/>
          <w:spacing w:val="-1"/>
        </w:rPr>
        <w:t>o</w:t>
      </w:r>
      <w:r w:rsidRPr="009A0DA6">
        <w:rPr>
          <w:rFonts w:ascii="Cambria" w:eastAsia="Arial" w:hAnsi="Cambria" w:cs="Arial"/>
        </w:rPr>
        <w:t>u</w:t>
      </w:r>
      <w:r w:rsidRPr="009A0DA6">
        <w:rPr>
          <w:rFonts w:ascii="Cambria" w:eastAsia="Arial" w:hAnsi="Cambria" w:cs="Arial"/>
          <w:spacing w:val="1"/>
        </w:rPr>
        <w:t>s</w:t>
      </w:r>
      <w:r w:rsidRPr="009A0DA6">
        <w:rPr>
          <w:rFonts w:ascii="Cambria" w:eastAsia="Arial" w:hAnsi="Cambria" w:cs="Arial"/>
          <w:spacing w:val="-1"/>
        </w:rPr>
        <w:t>i</w:t>
      </w:r>
      <w:r w:rsidRPr="009A0DA6">
        <w:rPr>
          <w:rFonts w:ascii="Cambria" w:eastAsia="Arial" w:hAnsi="Cambria" w:cs="Arial"/>
        </w:rPr>
        <w:t>ng</w:t>
      </w:r>
      <w:r w:rsidRPr="009A0DA6">
        <w:rPr>
          <w:rFonts w:ascii="Cambria" w:eastAsia="Arial" w:hAnsi="Cambria" w:cs="Arial"/>
          <w:spacing w:val="-8"/>
        </w:rPr>
        <w:t xml:space="preserve"> </w:t>
      </w:r>
      <w:r w:rsidRPr="009A0DA6">
        <w:rPr>
          <w:rFonts w:ascii="Cambria" w:eastAsia="Arial" w:hAnsi="Cambria" w:cs="Arial"/>
        </w:rPr>
        <w:t>L</w:t>
      </w:r>
      <w:r w:rsidRPr="009A0DA6">
        <w:rPr>
          <w:rFonts w:ascii="Cambria" w:eastAsia="Arial" w:hAnsi="Cambria" w:cs="Arial"/>
          <w:spacing w:val="-1"/>
        </w:rPr>
        <w:t>o</w:t>
      </w:r>
      <w:r w:rsidRPr="009A0DA6">
        <w:rPr>
          <w:rFonts w:ascii="Cambria" w:eastAsia="Arial" w:hAnsi="Cambria" w:cs="Arial"/>
        </w:rPr>
        <w:t>a</w:t>
      </w:r>
      <w:r w:rsidRPr="009A0DA6">
        <w:rPr>
          <w:rFonts w:ascii="Cambria" w:eastAsia="Arial" w:hAnsi="Cambria" w:cs="Arial"/>
          <w:spacing w:val="-1"/>
        </w:rPr>
        <w:t>n</w:t>
      </w:r>
      <w:r w:rsidRPr="009A0DA6">
        <w:rPr>
          <w:rFonts w:ascii="Cambria" w:eastAsia="Arial" w:hAnsi="Cambria" w:cs="Arial"/>
        </w:rPr>
        <w:t xml:space="preserve">s </w:t>
      </w:r>
      <w:r w:rsidRPr="009A0DA6">
        <w:rPr>
          <w:rFonts w:ascii="Cambria" w:eastAsia="Arial" w:hAnsi="Cambria" w:cs="Arial"/>
        </w:rPr>
        <w:tab/>
        <w:t>93,811</w:t>
      </w:r>
      <w:r w:rsidRPr="009A0DA6">
        <w:rPr>
          <w:rFonts w:ascii="Cambria" w:eastAsia="Arial" w:hAnsi="Cambria" w:cs="Arial"/>
        </w:rPr>
        <w:tab/>
        <w:t>103,814</w:t>
      </w:r>
      <w:r w:rsidRPr="009A0DA6">
        <w:rPr>
          <w:rFonts w:ascii="Cambria" w:eastAsia="Arial" w:hAnsi="Cambria" w:cs="Arial"/>
        </w:rPr>
        <w:tab/>
        <w:t>107,493</w:t>
      </w:r>
    </w:p>
    <w:p w14:paraId="3406D7D1" w14:textId="77777777" w:rsidR="002E592D" w:rsidRPr="009A0DA6" w:rsidRDefault="002E592D" w:rsidP="00351A0F">
      <w:pPr>
        <w:tabs>
          <w:tab w:val="right" w:pos="5670"/>
          <w:tab w:val="right" w:pos="7371"/>
          <w:tab w:val="right" w:pos="8789"/>
        </w:tabs>
        <w:spacing w:before="120" w:after="120" w:line="240" w:lineRule="auto"/>
        <w:ind w:right="-20"/>
        <w:contextualSpacing/>
        <w:rPr>
          <w:rFonts w:ascii="Cambria" w:eastAsia="Arial" w:hAnsi="Cambria" w:cs="Arial"/>
          <w:b/>
          <w:bCs/>
          <w:position w:val="-1"/>
        </w:rPr>
      </w:pPr>
      <w:r w:rsidRPr="009A0DA6">
        <w:rPr>
          <w:rFonts w:ascii="Cambria" w:eastAsia="Arial" w:hAnsi="Cambria" w:cs="Arial"/>
          <w:b/>
          <w:bCs/>
          <w:position w:val="-1"/>
        </w:rPr>
        <w:tab/>
      </w:r>
      <w:r w:rsidRPr="009A0DA6">
        <w:rPr>
          <w:rFonts w:ascii="Cambria" w:eastAsia="Arial" w:hAnsi="Cambria" w:cs="Arial"/>
          <w:b/>
          <w:bCs/>
          <w:w w:val="99"/>
          <w:position w:val="-1"/>
        </w:rPr>
        <w:t>700,424</w:t>
      </w:r>
      <w:r w:rsidRPr="009A0DA6">
        <w:rPr>
          <w:rFonts w:ascii="Cambria" w:eastAsia="Arial" w:hAnsi="Cambria" w:cs="Arial"/>
          <w:b/>
          <w:bCs/>
          <w:position w:val="-1"/>
        </w:rPr>
        <w:tab/>
      </w:r>
      <w:r w:rsidRPr="009A0DA6">
        <w:rPr>
          <w:rFonts w:ascii="Cambria" w:eastAsia="Arial" w:hAnsi="Cambria" w:cs="Arial"/>
          <w:b/>
          <w:bCs/>
          <w:w w:val="99"/>
          <w:position w:val="-1"/>
        </w:rPr>
        <w:t xml:space="preserve">794,797 </w:t>
      </w:r>
      <w:r w:rsidRPr="009A0DA6">
        <w:rPr>
          <w:rFonts w:ascii="Cambria" w:eastAsia="Arial" w:hAnsi="Cambria" w:cs="Arial"/>
          <w:b/>
          <w:bCs/>
          <w:position w:val="-1"/>
        </w:rPr>
        <w:tab/>
      </w:r>
      <w:r w:rsidRPr="009A0DA6">
        <w:rPr>
          <w:rFonts w:ascii="Cambria" w:eastAsia="Arial" w:hAnsi="Cambria" w:cs="Arial"/>
          <w:b/>
          <w:bCs/>
          <w:w w:val="99"/>
          <w:position w:val="-1"/>
        </w:rPr>
        <w:t>745,820</w:t>
      </w:r>
    </w:p>
    <w:p w14:paraId="0592322A" w14:textId="77777777" w:rsidR="002E592D" w:rsidRPr="009A0DA6" w:rsidRDefault="002E592D" w:rsidP="00351A0F">
      <w:pPr>
        <w:tabs>
          <w:tab w:val="right" w:pos="5670"/>
          <w:tab w:val="right" w:pos="7371"/>
          <w:tab w:val="right" w:pos="8789"/>
        </w:tabs>
        <w:spacing w:before="120" w:after="120" w:line="240" w:lineRule="auto"/>
        <w:ind w:right="-20"/>
        <w:contextualSpacing/>
        <w:rPr>
          <w:rFonts w:ascii="Cambria" w:eastAsia="Arial" w:hAnsi="Cambria" w:cs="Arial"/>
        </w:rPr>
      </w:pPr>
      <w:r w:rsidRPr="009A0DA6">
        <w:rPr>
          <w:rFonts w:ascii="Cambria" w:eastAsia="Arial" w:hAnsi="Cambria" w:cs="Arial"/>
          <w:b/>
          <w:bCs/>
          <w:spacing w:val="-1"/>
          <w:position w:val="-1"/>
        </w:rPr>
        <w:t>E</w:t>
      </w:r>
      <w:r w:rsidRPr="009A0DA6">
        <w:rPr>
          <w:rFonts w:ascii="Cambria" w:eastAsia="Arial" w:hAnsi="Cambria" w:cs="Arial"/>
          <w:b/>
          <w:bCs/>
          <w:position w:val="-1"/>
        </w:rPr>
        <w:t>x</w:t>
      </w:r>
      <w:r w:rsidRPr="009A0DA6">
        <w:rPr>
          <w:rFonts w:ascii="Cambria" w:eastAsia="Arial" w:hAnsi="Cambria" w:cs="Arial"/>
          <w:b/>
          <w:bCs/>
          <w:spacing w:val="-1"/>
          <w:position w:val="-1"/>
        </w:rPr>
        <w:t>p</w:t>
      </w:r>
      <w:r w:rsidRPr="009A0DA6">
        <w:rPr>
          <w:rFonts w:ascii="Cambria" w:eastAsia="Arial" w:hAnsi="Cambria" w:cs="Arial"/>
          <w:b/>
          <w:bCs/>
          <w:position w:val="-1"/>
        </w:rPr>
        <w:t>e</w:t>
      </w:r>
      <w:r w:rsidRPr="009A0DA6">
        <w:rPr>
          <w:rFonts w:ascii="Cambria" w:eastAsia="Arial" w:hAnsi="Cambria" w:cs="Arial"/>
          <w:b/>
          <w:bCs/>
          <w:spacing w:val="-1"/>
          <w:position w:val="-1"/>
        </w:rPr>
        <w:t>n</w:t>
      </w:r>
      <w:r w:rsidRPr="009A0DA6">
        <w:rPr>
          <w:rFonts w:ascii="Cambria" w:eastAsia="Arial" w:hAnsi="Cambria" w:cs="Arial"/>
          <w:b/>
          <w:bCs/>
          <w:position w:val="-1"/>
        </w:rPr>
        <w:t>di</w:t>
      </w:r>
      <w:r w:rsidRPr="009A0DA6">
        <w:rPr>
          <w:rFonts w:ascii="Cambria" w:eastAsia="Arial" w:hAnsi="Cambria" w:cs="Arial"/>
          <w:b/>
          <w:bCs/>
          <w:spacing w:val="1"/>
          <w:position w:val="-1"/>
        </w:rPr>
        <w:t>t</w:t>
      </w:r>
      <w:r w:rsidRPr="009A0DA6">
        <w:rPr>
          <w:rFonts w:ascii="Cambria" w:eastAsia="Arial" w:hAnsi="Cambria" w:cs="Arial"/>
          <w:b/>
          <w:bCs/>
          <w:position w:val="-1"/>
        </w:rPr>
        <w:t>ure</w:t>
      </w:r>
    </w:p>
    <w:p w14:paraId="549B2270" w14:textId="77777777" w:rsidR="002E592D" w:rsidRPr="009A0DA6" w:rsidRDefault="002E592D" w:rsidP="00351A0F">
      <w:pPr>
        <w:tabs>
          <w:tab w:val="right" w:pos="5670"/>
          <w:tab w:val="right" w:pos="7371"/>
          <w:tab w:val="right" w:pos="8789"/>
        </w:tabs>
        <w:spacing w:before="120" w:after="120" w:line="240" w:lineRule="auto"/>
        <w:ind w:right="-20"/>
        <w:contextualSpacing/>
        <w:rPr>
          <w:rFonts w:ascii="Cambria" w:eastAsia="Arial" w:hAnsi="Cambria" w:cs="Arial"/>
        </w:rPr>
      </w:pPr>
      <w:r w:rsidRPr="009A0DA6">
        <w:rPr>
          <w:rFonts w:ascii="Cambria" w:eastAsia="Arial" w:hAnsi="Cambria" w:cs="Arial"/>
        </w:rPr>
        <w:t>Con</w:t>
      </w:r>
      <w:r w:rsidRPr="009A0DA6">
        <w:rPr>
          <w:rFonts w:ascii="Cambria" w:eastAsia="Arial" w:hAnsi="Cambria" w:cs="Arial"/>
          <w:spacing w:val="-1"/>
        </w:rPr>
        <w:t>t</w:t>
      </w:r>
      <w:r w:rsidRPr="009A0DA6">
        <w:rPr>
          <w:rFonts w:ascii="Cambria" w:eastAsia="Arial" w:hAnsi="Cambria" w:cs="Arial"/>
          <w:spacing w:val="1"/>
        </w:rPr>
        <w:t>r</w:t>
      </w:r>
      <w:r w:rsidRPr="009A0DA6">
        <w:rPr>
          <w:rFonts w:ascii="Cambria" w:eastAsia="Arial" w:hAnsi="Cambria" w:cs="Arial"/>
          <w:spacing w:val="-1"/>
        </w:rPr>
        <w:t>i</w:t>
      </w:r>
      <w:r w:rsidRPr="009A0DA6">
        <w:rPr>
          <w:rFonts w:ascii="Cambria" w:eastAsia="Arial" w:hAnsi="Cambria" w:cs="Arial"/>
        </w:rPr>
        <w:t>b</w:t>
      </w:r>
      <w:r w:rsidRPr="009A0DA6">
        <w:rPr>
          <w:rFonts w:ascii="Cambria" w:eastAsia="Arial" w:hAnsi="Cambria" w:cs="Arial"/>
          <w:spacing w:val="-1"/>
        </w:rPr>
        <w:t>u</w:t>
      </w:r>
      <w:r w:rsidRPr="009A0DA6">
        <w:rPr>
          <w:rFonts w:ascii="Cambria" w:eastAsia="Arial" w:hAnsi="Cambria" w:cs="Arial"/>
        </w:rPr>
        <w:t>t</w:t>
      </w:r>
      <w:r w:rsidRPr="009A0DA6">
        <w:rPr>
          <w:rFonts w:ascii="Cambria" w:eastAsia="Arial" w:hAnsi="Cambria" w:cs="Arial"/>
          <w:spacing w:val="-1"/>
        </w:rPr>
        <w:t>i</w:t>
      </w:r>
      <w:r w:rsidRPr="009A0DA6">
        <w:rPr>
          <w:rFonts w:ascii="Cambria" w:eastAsia="Arial" w:hAnsi="Cambria" w:cs="Arial"/>
        </w:rPr>
        <w:t>on</w:t>
      </w:r>
      <w:r w:rsidRPr="009A0DA6">
        <w:rPr>
          <w:rFonts w:ascii="Cambria" w:eastAsia="Arial" w:hAnsi="Cambria" w:cs="Arial"/>
          <w:spacing w:val="-12"/>
        </w:rPr>
        <w:t xml:space="preserve"> </w:t>
      </w:r>
      <w:r w:rsidRPr="009A0DA6">
        <w:rPr>
          <w:rFonts w:ascii="Cambria" w:eastAsia="Arial" w:hAnsi="Cambria" w:cs="Arial"/>
        </w:rPr>
        <w:t>to</w:t>
      </w:r>
      <w:r w:rsidRPr="009A0DA6">
        <w:rPr>
          <w:rFonts w:ascii="Cambria" w:eastAsia="Arial" w:hAnsi="Cambria" w:cs="Arial"/>
          <w:spacing w:val="-3"/>
        </w:rPr>
        <w:t xml:space="preserve"> </w:t>
      </w:r>
      <w:r w:rsidRPr="009A0DA6">
        <w:rPr>
          <w:rFonts w:ascii="Cambria" w:eastAsia="Arial" w:hAnsi="Cambria" w:cs="Arial"/>
        </w:rPr>
        <w:t>L</w:t>
      </w:r>
      <w:r w:rsidRPr="009A0DA6">
        <w:rPr>
          <w:rFonts w:ascii="Cambria" w:eastAsia="Arial" w:hAnsi="Cambria" w:cs="Arial"/>
          <w:spacing w:val="-1"/>
        </w:rPr>
        <w:t>u</w:t>
      </w:r>
      <w:r w:rsidRPr="009A0DA6">
        <w:rPr>
          <w:rFonts w:ascii="Cambria" w:eastAsia="Arial" w:hAnsi="Cambria" w:cs="Arial"/>
        </w:rPr>
        <w:t>th</w:t>
      </w:r>
      <w:r w:rsidRPr="009A0DA6">
        <w:rPr>
          <w:rFonts w:ascii="Cambria" w:eastAsia="Arial" w:hAnsi="Cambria" w:cs="Arial"/>
          <w:spacing w:val="-1"/>
        </w:rPr>
        <w:t>e</w:t>
      </w:r>
      <w:r w:rsidRPr="009A0DA6">
        <w:rPr>
          <w:rFonts w:ascii="Cambria" w:eastAsia="Arial" w:hAnsi="Cambria" w:cs="Arial"/>
          <w:spacing w:val="1"/>
        </w:rPr>
        <w:t>r</w:t>
      </w:r>
      <w:r w:rsidRPr="009A0DA6">
        <w:rPr>
          <w:rFonts w:ascii="Cambria" w:eastAsia="Arial" w:hAnsi="Cambria" w:cs="Arial"/>
        </w:rPr>
        <w:t>an</w:t>
      </w:r>
      <w:r w:rsidRPr="009A0DA6">
        <w:rPr>
          <w:rFonts w:ascii="Cambria" w:eastAsia="Arial" w:hAnsi="Cambria" w:cs="Arial"/>
          <w:spacing w:val="-9"/>
        </w:rPr>
        <w:t xml:space="preserve"> </w:t>
      </w:r>
      <w:r w:rsidRPr="009A0DA6">
        <w:rPr>
          <w:rFonts w:ascii="Cambria" w:eastAsia="Arial" w:hAnsi="Cambria" w:cs="Arial"/>
          <w:spacing w:val="-1"/>
        </w:rPr>
        <w:t>S</w:t>
      </w:r>
      <w:r w:rsidRPr="009A0DA6">
        <w:rPr>
          <w:rFonts w:ascii="Cambria" w:eastAsia="Arial" w:hAnsi="Cambria" w:cs="Arial"/>
        </w:rPr>
        <w:t>u</w:t>
      </w:r>
      <w:r w:rsidRPr="009A0DA6">
        <w:rPr>
          <w:rFonts w:ascii="Cambria" w:eastAsia="Arial" w:hAnsi="Cambria" w:cs="Arial"/>
          <w:spacing w:val="-1"/>
        </w:rPr>
        <w:t>p</w:t>
      </w:r>
      <w:r w:rsidRPr="009A0DA6">
        <w:rPr>
          <w:rFonts w:ascii="Cambria" w:eastAsia="Arial" w:hAnsi="Cambria" w:cs="Arial"/>
        </w:rPr>
        <w:t>er</w:t>
      </w:r>
      <w:r w:rsidRPr="009A0DA6">
        <w:rPr>
          <w:rFonts w:ascii="Cambria" w:eastAsia="Arial" w:hAnsi="Cambria" w:cs="Arial"/>
        </w:rPr>
        <w:tab/>
        <w:t>60,024</w:t>
      </w:r>
      <w:r w:rsidRPr="009A0DA6">
        <w:rPr>
          <w:rFonts w:ascii="Cambria" w:eastAsia="Arial" w:hAnsi="Cambria" w:cs="Arial"/>
        </w:rPr>
        <w:tab/>
        <w:t>53,736</w:t>
      </w:r>
      <w:r w:rsidRPr="009A0DA6">
        <w:rPr>
          <w:rFonts w:ascii="Cambria" w:eastAsia="Arial" w:hAnsi="Cambria" w:cs="Arial"/>
        </w:rPr>
        <w:tab/>
        <w:t>66,127</w:t>
      </w:r>
    </w:p>
    <w:p w14:paraId="5E8510D5" w14:textId="77777777" w:rsidR="002E592D" w:rsidRPr="009A0DA6" w:rsidRDefault="002E592D" w:rsidP="00351A0F">
      <w:pPr>
        <w:tabs>
          <w:tab w:val="right" w:pos="5670"/>
          <w:tab w:val="right" w:pos="7371"/>
          <w:tab w:val="right" w:pos="8789"/>
        </w:tabs>
        <w:spacing w:before="120" w:after="120" w:line="240" w:lineRule="auto"/>
        <w:ind w:right="-20"/>
        <w:contextualSpacing/>
        <w:rPr>
          <w:rFonts w:ascii="Cambria" w:eastAsia="Arial" w:hAnsi="Cambria" w:cs="Arial"/>
        </w:rPr>
      </w:pPr>
      <w:r w:rsidRPr="009A0DA6">
        <w:rPr>
          <w:rFonts w:ascii="Cambria" w:eastAsia="Arial" w:hAnsi="Cambria" w:cs="Arial"/>
        </w:rPr>
        <w:t>F</w:t>
      </w:r>
      <w:r w:rsidRPr="009A0DA6">
        <w:rPr>
          <w:rFonts w:ascii="Cambria" w:eastAsia="Arial" w:hAnsi="Cambria" w:cs="Arial"/>
          <w:spacing w:val="-1"/>
        </w:rPr>
        <w:t>B</w:t>
      </w:r>
      <w:r w:rsidRPr="009A0DA6">
        <w:rPr>
          <w:rFonts w:ascii="Cambria" w:eastAsia="Arial" w:hAnsi="Cambria" w:cs="Arial"/>
        </w:rPr>
        <w:t>T</w:t>
      </w:r>
      <w:r w:rsidRPr="009A0DA6">
        <w:rPr>
          <w:rFonts w:ascii="Cambria" w:eastAsia="Arial" w:hAnsi="Cambria" w:cs="Arial"/>
        </w:rPr>
        <w:tab/>
        <w:t>912</w:t>
      </w:r>
      <w:r w:rsidRPr="009A0DA6">
        <w:rPr>
          <w:rFonts w:ascii="Cambria" w:eastAsia="Arial" w:hAnsi="Cambria" w:cs="Arial"/>
        </w:rPr>
        <w:tab/>
        <w:t>68</w:t>
      </w:r>
      <w:r w:rsidRPr="009A0DA6">
        <w:rPr>
          <w:rFonts w:ascii="Cambria" w:eastAsia="Arial" w:hAnsi="Cambria" w:cs="Arial"/>
        </w:rPr>
        <w:tab/>
        <w:t>401</w:t>
      </w:r>
    </w:p>
    <w:p w14:paraId="31E395AB" w14:textId="77777777" w:rsidR="002E592D" w:rsidRPr="009A0DA6" w:rsidRDefault="002E592D" w:rsidP="00351A0F">
      <w:pPr>
        <w:tabs>
          <w:tab w:val="right" w:pos="5670"/>
          <w:tab w:val="right" w:pos="7371"/>
          <w:tab w:val="right" w:pos="8789"/>
        </w:tabs>
        <w:spacing w:before="120" w:after="120" w:line="240" w:lineRule="auto"/>
        <w:ind w:right="-20"/>
        <w:contextualSpacing/>
        <w:rPr>
          <w:rFonts w:ascii="Cambria" w:eastAsia="Arial" w:hAnsi="Cambria" w:cs="Arial"/>
        </w:rPr>
      </w:pPr>
      <w:r w:rsidRPr="009A0DA6">
        <w:rPr>
          <w:rFonts w:ascii="Cambria" w:eastAsia="Arial" w:hAnsi="Cambria" w:cs="Arial"/>
        </w:rPr>
        <w:t>In</w:t>
      </w:r>
      <w:r w:rsidRPr="009A0DA6">
        <w:rPr>
          <w:rFonts w:ascii="Cambria" w:eastAsia="Arial" w:hAnsi="Cambria" w:cs="Arial"/>
          <w:spacing w:val="-1"/>
        </w:rPr>
        <w:t>t</w:t>
      </w:r>
      <w:r w:rsidRPr="009A0DA6">
        <w:rPr>
          <w:rFonts w:ascii="Cambria" w:eastAsia="Arial" w:hAnsi="Cambria" w:cs="Arial"/>
        </w:rPr>
        <w:t>ere</w:t>
      </w:r>
      <w:r w:rsidRPr="009A0DA6">
        <w:rPr>
          <w:rFonts w:ascii="Cambria" w:eastAsia="Arial" w:hAnsi="Cambria" w:cs="Arial"/>
          <w:spacing w:val="1"/>
        </w:rPr>
        <w:t>s</w:t>
      </w:r>
      <w:r w:rsidRPr="009A0DA6">
        <w:rPr>
          <w:rFonts w:ascii="Cambria" w:eastAsia="Arial" w:hAnsi="Cambria" w:cs="Arial"/>
        </w:rPr>
        <w:t>t</w:t>
      </w:r>
      <w:r w:rsidRPr="009A0DA6">
        <w:rPr>
          <w:rFonts w:ascii="Cambria" w:eastAsia="Arial" w:hAnsi="Cambria" w:cs="Arial"/>
          <w:spacing w:val="-7"/>
        </w:rPr>
        <w:t xml:space="preserve"> </w:t>
      </w:r>
      <w:r w:rsidRPr="009A0DA6">
        <w:rPr>
          <w:rFonts w:ascii="Cambria" w:eastAsia="Arial" w:hAnsi="Cambria" w:cs="Arial"/>
          <w:spacing w:val="1"/>
        </w:rPr>
        <w:t>c</w:t>
      </w:r>
      <w:r w:rsidRPr="009A0DA6">
        <w:rPr>
          <w:rFonts w:ascii="Cambria" w:eastAsia="Arial" w:hAnsi="Cambria" w:cs="Arial"/>
        </w:rPr>
        <w:t>h</w:t>
      </w:r>
      <w:r w:rsidRPr="009A0DA6">
        <w:rPr>
          <w:rFonts w:ascii="Cambria" w:eastAsia="Arial" w:hAnsi="Cambria" w:cs="Arial"/>
          <w:spacing w:val="-1"/>
        </w:rPr>
        <w:t>a</w:t>
      </w:r>
      <w:r w:rsidRPr="009A0DA6">
        <w:rPr>
          <w:rFonts w:ascii="Cambria" w:eastAsia="Arial" w:hAnsi="Cambria" w:cs="Arial"/>
          <w:spacing w:val="1"/>
        </w:rPr>
        <w:t>r</w:t>
      </w:r>
      <w:r w:rsidRPr="009A0DA6">
        <w:rPr>
          <w:rFonts w:ascii="Cambria" w:eastAsia="Arial" w:hAnsi="Cambria" w:cs="Arial"/>
        </w:rPr>
        <w:t>g</w:t>
      </w:r>
      <w:r w:rsidRPr="009A0DA6">
        <w:rPr>
          <w:rFonts w:ascii="Cambria" w:eastAsia="Arial" w:hAnsi="Cambria" w:cs="Arial"/>
          <w:spacing w:val="-1"/>
        </w:rPr>
        <w:t>e</w:t>
      </w:r>
      <w:r w:rsidRPr="009A0DA6">
        <w:rPr>
          <w:rFonts w:ascii="Cambria" w:eastAsia="Arial" w:hAnsi="Cambria" w:cs="Arial"/>
        </w:rPr>
        <w:t>d</w:t>
      </w:r>
      <w:r w:rsidRPr="009A0DA6">
        <w:rPr>
          <w:rFonts w:ascii="Cambria" w:eastAsia="Arial" w:hAnsi="Cambria" w:cs="Arial"/>
          <w:spacing w:val="-7"/>
        </w:rPr>
        <w:t xml:space="preserve"> </w:t>
      </w:r>
      <w:r w:rsidRPr="009A0DA6">
        <w:rPr>
          <w:rFonts w:ascii="Cambria" w:eastAsia="Arial" w:hAnsi="Cambria" w:cs="Arial"/>
          <w:spacing w:val="-1"/>
        </w:rPr>
        <w:t>o</w:t>
      </w:r>
      <w:r w:rsidRPr="009A0DA6">
        <w:rPr>
          <w:rFonts w:ascii="Cambria" w:eastAsia="Arial" w:hAnsi="Cambria" w:cs="Arial"/>
        </w:rPr>
        <w:t>n</w:t>
      </w:r>
      <w:r w:rsidRPr="009A0DA6">
        <w:rPr>
          <w:rFonts w:ascii="Cambria" w:eastAsia="Arial" w:hAnsi="Cambria" w:cs="Arial"/>
          <w:spacing w:val="-2"/>
        </w:rPr>
        <w:t xml:space="preserve"> </w:t>
      </w:r>
      <w:r w:rsidRPr="009A0DA6">
        <w:rPr>
          <w:rFonts w:ascii="Cambria" w:eastAsia="Arial" w:hAnsi="Cambria" w:cs="Arial"/>
          <w:spacing w:val="-1"/>
        </w:rPr>
        <w:t>L</w:t>
      </w:r>
      <w:r w:rsidRPr="009A0DA6">
        <w:rPr>
          <w:rFonts w:ascii="Cambria" w:eastAsia="Arial" w:hAnsi="Cambria" w:cs="Arial"/>
        </w:rPr>
        <w:t>LL</w:t>
      </w:r>
      <w:r w:rsidRPr="009A0DA6">
        <w:rPr>
          <w:rFonts w:ascii="Cambria" w:eastAsia="Arial" w:hAnsi="Cambria" w:cs="Arial"/>
          <w:spacing w:val="-4"/>
        </w:rPr>
        <w:t xml:space="preserve"> </w:t>
      </w:r>
      <w:r w:rsidRPr="009A0DA6">
        <w:rPr>
          <w:rFonts w:ascii="Cambria" w:eastAsia="Arial" w:hAnsi="Cambria" w:cs="Arial"/>
          <w:spacing w:val="-1"/>
        </w:rPr>
        <w:t>l</w:t>
      </w:r>
      <w:r w:rsidRPr="009A0DA6">
        <w:rPr>
          <w:rFonts w:ascii="Cambria" w:eastAsia="Arial" w:hAnsi="Cambria" w:cs="Arial"/>
        </w:rPr>
        <w:t>o</w:t>
      </w:r>
      <w:r w:rsidRPr="009A0DA6">
        <w:rPr>
          <w:rFonts w:ascii="Cambria" w:eastAsia="Arial" w:hAnsi="Cambria" w:cs="Arial"/>
          <w:spacing w:val="-1"/>
        </w:rPr>
        <w:t>a</w:t>
      </w:r>
      <w:r w:rsidRPr="009A0DA6">
        <w:rPr>
          <w:rFonts w:ascii="Cambria" w:eastAsia="Arial" w:hAnsi="Cambria" w:cs="Arial"/>
        </w:rPr>
        <w:t>n</w:t>
      </w:r>
      <w:r w:rsidRPr="009A0DA6">
        <w:rPr>
          <w:rFonts w:ascii="Cambria" w:eastAsia="Arial" w:hAnsi="Cambria" w:cs="Arial"/>
        </w:rPr>
        <w:tab/>
        <w:t>162,811</w:t>
      </w:r>
      <w:r w:rsidRPr="009A0DA6">
        <w:rPr>
          <w:rFonts w:ascii="Cambria" w:eastAsia="Arial" w:hAnsi="Cambria" w:cs="Arial"/>
        </w:rPr>
        <w:tab/>
        <w:t>179,778</w:t>
      </w:r>
      <w:r w:rsidRPr="009A0DA6">
        <w:rPr>
          <w:rFonts w:ascii="Cambria" w:eastAsia="Arial" w:hAnsi="Cambria" w:cs="Arial"/>
        </w:rPr>
        <w:tab/>
        <w:t>184,783</w:t>
      </w:r>
    </w:p>
    <w:p w14:paraId="02F1963E" w14:textId="77777777" w:rsidR="002E592D" w:rsidRPr="009A0DA6" w:rsidRDefault="002E592D" w:rsidP="00351A0F">
      <w:pPr>
        <w:tabs>
          <w:tab w:val="right" w:pos="5670"/>
          <w:tab w:val="right" w:pos="7371"/>
          <w:tab w:val="right" w:pos="8789"/>
        </w:tabs>
        <w:spacing w:before="120" w:after="120" w:line="240" w:lineRule="auto"/>
        <w:ind w:right="-20"/>
        <w:contextualSpacing/>
        <w:rPr>
          <w:rFonts w:ascii="Cambria" w:eastAsia="Arial" w:hAnsi="Cambria" w:cs="Arial"/>
        </w:rPr>
      </w:pPr>
      <w:r w:rsidRPr="009A0DA6">
        <w:rPr>
          <w:rFonts w:ascii="Cambria" w:eastAsia="Arial" w:hAnsi="Cambria" w:cs="Arial"/>
          <w:spacing w:val="-1"/>
        </w:rPr>
        <w:t>P</w:t>
      </w:r>
      <w:r w:rsidRPr="009A0DA6">
        <w:rPr>
          <w:rFonts w:ascii="Cambria" w:eastAsia="Arial" w:hAnsi="Cambria" w:cs="Arial"/>
        </w:rPr>
        <w:t>e</w:t>
      </w:r>
      <w:r w:rsidRPr="009A0DA6">
        <w:rPr>
          <w:rFonts w:ascii="Cambria" w:eastAsia="Arial" w:hAnsi="Cambria" w:cs="Arial"/>
          <w:spacing w:val="-1"/>
        </w:rPr>
        <w:t>n</w:t>
      </w:r>
      <w:r w:rsidRPr="009A0DA6">
        <w:rPr>
          <w:rFonts w:ascii="Cambria" w:eastAsia="Arial" w:hAnsi="Cambria" w:cs="Arial"/>
          <w:spacing w:val="1"/>
        </w:rPr>
        <w:t>s</w:t>
      </w:r>
      <w:r w:rsidRPr="009A0DA6">
        <w:rPr>
          <w:rFonts w:ascii="Cambria" w:eastAsia="Arial" w:hAnsi="Cambria" w:cs="Arial"/>
          <w:spacing w:val="-1"/>
        </w:rPr>
        <w:t>i</w:t>
      </w:r>
      <w:r w:rsidRPr="009A0DA6">
        <w:rPr>
          <w:rFonts w:ascii="Cambria" w:eastAsia="Arial" w:hAnsi="Cambria" w:cs="Arial"/>
        </w:rPr>
        <w:t>on</w:t>
      </w:r>
      <w:r w:rsidRPr="009A0DA6">
        <w:rPr>
          <w:rFonts w:ascii="Cambria" w:eastAsia="Arial" w:hAnsi="Cambria" w:cs="Arial"/>
          <w:spacing w:val="-8"/>
        </w:rPr>
        <w:t xml:space="preserve"> </w:t>
      </w:r>
      <w:r w:rsidRPr="009A0DA6">
        <w:rPr>
          <w:rFonts w:ascii="Cambria" w:eastAsia="Arial" w:hAnsi="Cambria" w:cs="Arial"/>
          <w:spacing w:val="-1"/>
        </w:rPr>
        <w:t>P</w:t>
      </w:r>
      <w:r w:rsidRPr="009A0DA6">
        <w:rPr>
          <w:rFonts w:ascii="Cambria" w:eastAsia="Arial" w:hAnsi="Cambria" w:cs="Arial"/>
        </w:rPr>
        <w:t>a</w:t>
      </w:r>
      <w:r w:rsidRPr="009A0DA6">
        <w:rPr>
          <w:rFonts w:ascii="Cambria" w:eastAsia="Arial" w:hAnsi="Cambria" w:cs="Arial"/>
          <w:spacing w:val="-6"/>
        </w:rPr>
        <w:t>y</w:t>
      </w:r>
      <w:r w:rsidRPr="009A0DA6">
        <w:rPr>
          <w:rFonts w:ascii="Cambria" w:eastAsia="Arial" w:hAnsi="Cambria" w:cs="Arial"/>
          <w:spacing w:val="4"/>
        </w:rPr>
        <w:t>m</w:t>
      </w:r>
      <w:r w:rsidRPr="009A0DA6">
        <w:rPr>
          <w:rFonts w:ascii="Cambria" w:eastAsia="Arial" w:hAnsi="Cambria" w:cs="Arial"/>
        </w:rPr>
        <w:t>e</w:t>
      </w:r>
      <w:r w:rsidRPr="009A0DA6">
        <w:rPr>
          <w:rFonts w:ascii="Cambria" w:eastAsia="Arial" w:hAnsi="Cambria" w:cs="Arial"/>
          <w:spacing w:val="-1"/>
        </w:rPr>
        <w:t>n</w:t>
      </w:r>
      <w:r w:rsidRPr="009A0DA6">
        <w:rPr>
          <w:rFonts w:ascii="Cambria" w:eastAsia="Arial" w:hAnsi="Cambria" w:cs="Arial"/>
        </w:rPr>
        <w:t>ts</w:t>
      </w:r>
      <w:r w:rsidRPr="009A0DA6">
        <w:rPr>
          <w:rFonts w:ascii="Cambria" w:eastAsia="Arial" w:hAnsi="Cambria" w:cs="Arial"/>
        </w:rPr>
        <w:tab/>
        <w:t>458,347</w:t>
      </w:r>
      <w:r w:rsidRPr="009A0DA6">
        <w:rPr>
          <w:rFonts w:ascii="Cambria" w:eastAsia="Arial" w:hAnsi="Cambria" w:cs="Arial"/>
        </w:rPr>
        <w:tab/>
        <w:t>452,702</w:t>
      </w:r>
      <w:r w:rsidRPr="009A0DA6">
        <w:rPr>
          <w:rFonts w:ascii="Cambria" w:eastAsia="Arial" w:hAnsi="Cambria" w:cs="Arial"/>
        </w:rPr>
        <w:tab/>
        <w:t>460,665</w:t>
      </w:r>
    </w:p>
    <w:p w14:paraId="091D8931" w14:textId="77777777" w:rsidR="002E592D" w:rsidRPr="009A0DA6" w:rsidRDefault="002E592D" w:rsidP="00351A0F">
      <w:pPr>
        <w:tabs>
          <w:tab w:val="right" w:pos="5670"/>
          <w:tab w:val="right" w:pos="7371"/>
          <w:tab w:val="right" w:pos="8789"/>
        </w:tabs>
        <w:spacing w:before="120" w:after="120" w:line="240" w:lineRule="auto"/>
        <w:ind w:right="-20"/>
        <w:contextualSpacing/>
        <w:rPr>
          <w:rFonts w:ascii="Cambria" w:eastAsia="Arial" w:hAnsi="Cambria" w:cs="Arial"/>
        </w:rPr>
      </w:pPr>
      <w:r w:rsidRPr="009A0DA6">
        <w:rPr>
          <w:rFonts w:ascii="Cambria" w:eastAsia="Arial" w:hAnsi="Cambria" w:cs="Arial"/>
        </w:rPr>
        <w:t>Re</w:t>
      </w:r>
      <w:r w:rsidRPr="009A0DA6">
        <w:rPr>
          <w:rFonts w:ascii="Cambria" w:eastAsia="Arial" w:hAnsi="Cambria" w:cs="Arial"/>
          <w:spacing w:val="4"/>
        </w:rPr>
        <w:t>m</w:t>
      </w:r>
      <w:r w:rsidRPr="009A0DA6">
        <w:rPr>
          <w:rFonts w:ascii="Cambria" w:eastAsia="Arial" w:hAnsi="Cambria" w:cs="Arial"/>
        </w:rPr>
        <w:t>o</w:t>
      </w:r>
      <w:r w:rsidRPr="009A0DA6">
        <w:rPr>
          <w:rFonts w:ascii="Cambria" w:eastAsia="Arial" w:hAnsi="Cambria" w:cs="Arial"/>
          <w:spacing w:val="-2"/>
        </w:rPr>
        <w:t>v</w:t>
      </w:r>
      <w:r w:rsidRPr="009A0DA6">
        <w:rPr>
          <w:rFonts w:ascii="Cambria" w:eastAsia="Arial" w:hAnsi="Cambria" w:cs="Arial"/>
        </w:rPr>
        <w:t>al</w:t>
      </w:r>
      <w:r w:rsidRPr="009A0DA6">
        <w:rPr>
          <w:rFonts w:ascii="Cambria" w:eastAsia="Arial" w:hAnsi="Cambria" w:cs="Arial"/>
          <w:spacing w:val="-10"/>
        </w:rPr>
        <w:t xml:space="preserve"> </w:t>
      </w:r>
      <w:r w:rsidRPr="009A0DA6">
        <w:rPr>
          <w:rFonts w:ascii="Cambria" w:eastAsia="Arial" w:hAnsi="Cambria" w:cs="Arial"/>
        </w:rPr>
        <w:t>exp</w:t>
      </w:r>
      <w:r w:rsidRPr="009A0DA6">
        <w:rPr>
          <w:rFonts w:ascii="Cambria" w:eastAsia="Arial" w:hAnsi="Cambria" w:cs="Arial"/>
          <w:spacing w:val="-1"/>
        </w:rPr>
        <w:t>e</w:t>
      </w:r>
      <w:r w:rsidRPr="009A0DA6">
        <w:rPr>
          <w:rFonts w:ascii="Cambria" w:eastAsia="Arial" w:hAnsi="Cambria" w:cs="Arial"/>
        </w:rPr>
        <w:t>n</w:t>
      </w:r>
      <w:r w:rsidRPr="009A0DA6">
        <w:rPr>
          <w:rFonts w:ascii="Cambria" w:eastAsia="Arial" w:hAnsi="Cambria" w:cs="Arial"/>
          <w:spacing w:val="1"/>
        </w:rPr>
        <w:t>s</w:t>
      </w:r>
      <w:r w:rsidRPr="009A0DA6">
        <w:rPr>
          <w:rFonts w:ascii="Cambria" w:eastAsia="Arial" w:hAnsi="Cambria" w:cs="Arial"/>
        </w:rPr>
        <w:t>es</w:t>
      </w:r>
      <w:r w:rsidRPr="009A0DA6">
        <w:rPr>
          <w:rFonts w:ascii="Cambria" w:eastAsia="Arial" w:hAnsi="Cambria" w:cs="Arial"/>
        </w:rPr>
        <w:tab/>
        <w:t>51,502</w:t>
      </w:r>
      <w:r w:rsidRPr="009A0DA6">
        <w:rPr>
          <w:rFonts w:ascii="Cambria" w:eastAsia="Arial" w:hAnsi="Cambria" w:cs="Arial"/>
        </w:rPr>
        <w:tab/>
        <w:t>15,234</w:t>
      </w:r>
      <w:r w:rsidRPr="009A0DA6">
        <w:rPr>
          <w:rFonts w:ascii="Cambria" w:eastAsia="Arial" w:hAnsi="Cambria" w:cs="Arial"/>
        </w:rPr>
        <w:tab/>
        <w:t>19,160</w:t>
      </w:r>
    </w:p>
    <w:p w14:paraId="4D24C6EA" w14:textId="77777777" w:rsidR="002E592D" w:rsidRPr="009A0DA6" w:rsidRDefault="002E592D" w:rsidP="00351A0F">
      <w:pPr>
        <w:tabs>
          <w:tab w:val="right" w:pos="5670"/>
          <w:tab w:val="right" w:pos="7371"/>
          <w:tab w:val="right" w:pos="8789"/>
        </w:tabs>
        <w:spacing w:before="120" w:after="120" w:line="240" w:lineRule="auto"/>
        <w:ind w:right="-20"/>
        <w:contextualSpacing/>
        <w:rPr>
          <w:rFonts w:ascii="Cambria" w:eastAsia="Arial" w:hAnsi="Cambria" w:cs="Arial"/>
        </w:rPr>
      </w:pPr>
      <w:r w:rsidRPr="009A0DA6">
        <w:rPr>
          <w:rFonts w:ascii="Cambria" w:eastAsia="Arial" w:hAnsi="Cambria" w:cs="Arial"/>
        </w:rPr>
        <w:t>Ret</w:t>
      </w:r>
      <w:r w:rsidRPr="009A0DA6">
        <w:rPr>
          <w:rFonts w:ascii="Cambria" w:eastAsia="Arial" w:hAnsi="Cambria" w:cs="Arial"/>
          <w:spacing w:val="-1"/>
        </w:rPr>
        <w:t>i</w:t>
      </w:r>
      <w:r w:rsidRPr="009A0DA6">
        <w:rPr>
          <w:rFonts w:ascii="Cambria" w:eastAsia="Arial" w:hAnsi="Cambria" w:cs="Arial"/>
          <w:spacing w:val="1"/>
        </w:rPr>
        <w:t>r</w:t>
      </w:r>
      <w:r w:rsidRPr="009A0DA6">
        <w:rPr>
          <w:rFonts w:ascii="Cambria" w:eastAsia="Arial" w:hAnsi="Cambria" w:cs="Arial"/>
        </w:rPr>
        <w:t>e</w:t>
      </w:r>
      <w:r w:rsidRPr="009A0DA6">
        <w:rPr>
          <w:rFonts w:ascii="Cambria" w:eastAsia="Arial" w:hAnsi="Cambria" w:cs="Arial"/>
          <w:spacing w:val="4"/>
        </w:rPr>
        <w:t>m</w:t>
      </w:r>
      <w:r w:rsidRPr="009A0DA6">
        <w:rPr>
          <w:rFonts w:ascii="Cambria" w:eastAsia="Arial" w:hAnsi="Cambria" w:cs="Arial"/>
        </w:rPr>
        <w:t>e</w:t>
      </w:r>
      <w:r w:rsidRPr="009A0DA6">
        <w:rPr>
          <w:rFonts w:ascii="Cambria" w:eastAsia="Arial" w:hAnsi="Cambria" w:cs="Arial"/>
          <w:spacing w:val="-1"/>
        </w:rPr>
        <w:t>n</w:t>
      </w:r>
      <w:r w:rsidRPr="009A0DA6">
        <w:rPr>
          <w:rFonts w:ascii="Cambria" w:eastAsia="Arial" w:hAnsi="Cambria" w:cs="Arial"/>
        </w:rPr>
        <w:t>t</w:t>
      </w:r>
      <w:r w:rsidRPr="009A0DA6">
        <w:rPr>
          <w:rFonts w:ascii="Cambria" w:eastAsia="Arial" w:hAnsi="Cambria" w:cs="Arial"/>
          <w:spacing w:val="-10"/>
        </w:rPr>
        <w:t xml:space="preserve"> </w:t>
      </w:r>
      <w:r w:rsidRPr="009A0DA6">
        <w:rPr>
          <w:rFonts w:ascii="Cambria" w:eastAsia="Arial" w:hAnsi="Cambria" w:cs="Arial"/>
          <w:spacing w:val="-1"/>
        </w:rPr>
        <w:t>All</w:t>
      </w:r>
      <w:r w:rsidRPr="009A0DA6">
        <w:rPr>
          <w:rFonts w:ascii="Cambria" w:eastAsia="Arial" w:hAnsi="Cambria" w:cs="Arial"/>
        </w:rPr>
        <w:t>o</w:t>
      </w:r>
      <w:r w:rsidRPr="009A0DA6">
        <w:rPr>
          <w:rFonts w:ascii="Cambria" w:eastAsia="Arial" w:hAnsi="Cambria" w:cs="Arial"/>
          <w:spacing w:val="-3"/>
        </w:rPr>
        <w:t>w</w:t>
      </w:r>
      <w:r w:rsidRPr="009A0DA6">
        <w:rPr>
          <w:rFonts w:ascii="Cambria" w:eastAsia="Arial" w:hAnsi="Cambria" w:cs="Arial"/>
        </w:rPr>
        <w:t>a</w:t>
      </w:r>
      <w:r w:rsidRPr="009A0DA6">
        <w:rPr>
          <w:rFonts w:ascii="Cambria" w:eastAsia="Arial" w:hAnsi="Cambria" w:cs="Arial"/>
          <w:spacing w:val="-1"/>
        </w:rPr>
        <w:t>n</w:t>
      </w:r>
      <w:r w:rsidRPr="009A0DA6">
        <w:rPr>
          <w:rFonts w:ascii="Cambria" w:eastAsia="Arial" w:hAnsi="Cambria" w:cs="Arial"/>
          <w:spacing w:val="1"/>
        </w:rPr>
        <w:t>c</w:t>
      </w:r>
      <w:r w:rsidRPr="009A0DA6">
        <w:rPr>
          <w:rFonts w:ascii="Cambria" w:eastAsia="Arial" w:hAnsi="Cambria" w:cs="Arial"/>
        </w:rPr>
        <w:t>es</w:t>
      </w:r>
      <w:r w:rsidRPr="009A0DA6">
        <w:rPr>
          <w:rFonts w:ascii="Cambria" w:eastAsia="Arial" w:hAnsi="Cambria" w:cs="Arial"/>
        </w:rPr>
        <w:tab/>
        <w:t>221,736</w:t>
      </w:r>
      <w:r w:rsidRPr="009A0DA6">
        <w:rPr>
          <w:rFonts w:ascii="Cambria" w:eastAsia="Arial" w:hAnsi="Cambria" w:cs="Arial"/>
        </w:rPr>
        <w:tab/>
        <w:t>164,665</w:t>
      </w:r>
      <w:r w:rsidRPr="009A0DA6">
        <w:rPr>
          <w:rFonts w:ascii="Cambria" w:eastAsia="Arial" w:hAnsi="Cambria" w:cs="Arial"/>
        </w:rPr>
        <w:tab/>
        <w:t>97,941</w:t>
      </w:r>
    </w:p>
    <w:p w14:paraId="16EFCCA1" w14:textId="77777777" w:rsidR="002E592D" w:rsidRPr="009A0DA6" w:rsidRDefault="002E592D" w:rsidP="00351A0F">
      <w:pPr>
        <w:tabs>
          <w:tab w:val="right" w:pos="5670"/>
          <w:tab w:val="right" w:pos="7371"/>
          <w:tab w:val="right" w:pos="8789"/>
        </w:tabs>
        <w:spacing w:before="120" w:after="120" w:line="240" w:lineRule="auto"/>
        <w:ind w:right="-20"/>
        <w:contextualSpacing/>
        <w:rPr>
          <w:rFonts w:ascii="Cambria" w:eastAsia="Arial" w:hAnsi="Cambria" w:cs="Arial"/>
        </w:rPr>
      </w:pPr>
      <w:r w:rsidRPr="009A0DA6">
        <w:rPr>
          <w:rFonts w:ascii="Cambria" w:eastAsia="Arial" w:hAnsi="Cambria" w:cs="Arial"/>
        </w:rPr>
        <w:t>Operating Credit transferred to Accumulated funds</w:t>
      </w:r>
      <w:r w:rsidRPr="009A0DA6">
        <w:rPr>
          <w:rFonts w:ascii="Cambria" w:eastAsia="Arial" w:hAnsi="Cambria" w:cs="Arial"/>
        </w:rPr>
        <w:tab/>
      </w:r>
      <w:r w:rsidRPr="009A0DA6">
        <w:rPr>
          <w:rFonts w:ascii="Cambria" w:eastAsia="Arial" w:hAnsi="Cambria" w:cs="Arial"/>
          <w:position w:val="-1"/>
        </w:rPr>
        <w:t>254,909</w:t>
      </w:r>
      <w:r w:rsidRPr="009A0DA6">
        <w:rPr>
          <w:rFonts w:ascii="Cambria" w:eastAsia="Arial" w:hAnsi="Cambria" w:cs="Arial"/>
        </w:rPr>
        <w:tab/>
      </w:r>
      <w:r w:rsidRPr="009A0DA6">
        <w:rPr>
          <w:rFonts w:ascii="Cambria" w:eastAsia="Arial" w:hAnsi="Cambria" w:cs="Arial"/>
          <w:position w:val="-1"/>
        </w:rPr>
        <w:t>83,257</w:t>
      </w:r>
      <w:r w:rsidRPr="009A0DA6">
        <w:rPr>
          <w:rFonts w:ascii="Cambria" w:eastAsia="Arial" w:hAnsi="Cambria" w:cs="Arial"/>
        </w:rPr>
        <w:tab/>
      </w:r>
      <w:r w:rsidRPr="009A0DA6">
        <w:rPr>
          <w:rFonts w:ascii="Cambria" w:eastAsia="Arial" w:hAnsi="Cambria" w:cs="Arial"/>
          <w:position w:val="-1"/>
        </w:rPr>
        <w:t>83,257</w:t>
      </w:r>
    </w:p>
    <w:p w14:paraId="0889E793" w14:textId="77777777" w:rsidR="002E592D" w:rsidRPr="009A0DA6" w:rsidRDefault="002E592D" w:rsidP="00351A0F">
      <w:pPr>
        <w:tabs>
          <w:tab w:val="right" w:pos="5670"/>
          <w:tab w:val="right" w:pos="7371"/>
          <w:tab w:val="right" w:pos="8789"/>
        </w:tabs>
        <w:spacing w:before="120" w:after="120" w:line="240" w:lineRule="auto"/>
        <w:ind w:right="-20"/>
        <w:contextualSpacing/>
        <w:rPr>
          <w:rFonts w:ascii="Cambria" w:eastAsia="Arial" w:hAnsi="Cambria" w:cs="Arial"/>
          <w:b/>
          <w:bCs/>
          <w:w w:val="99"/>
        </w:rPr>
      </w:pPr>
      <w:r w:rsidRPr="009A0DA6">
        <w:rPr>
          <w:rFonts w:ascii="Cambria" w:eastAsia="Arial" w:hAnsi="Cambria" w:cs="Arial"/>
        </w:rPr>
        <w:tab/>
      </w:r>
      <w:r w:rsidRPr="009A0DA6">
        <w:rPr>
          <w:rFonts w:ascii="Cambria" w:eastAsia="Arial" w:hAnsi="Cambria" w:cs="Arial"/>
          <w:b/>
          <w:bCs/>
          <w:w w:val="99"/>
        </w:rPr>
        <w:t>700,424</w:t>
      </w:r>
      <w:r w:rsidRPr="009A0DA6">
        <w:rPr>
          <w:rFonts w:ascii="Cambria" w:eastAsia="Arial" w:hAnsi="Cambria" w:cs="Arial"/>
          <w:position w:val="-1"/>
        </w:rPr>
        <w:tab/>
      </w:r>
      <w:r w:rsidRPr="009A0DA6">
        <w:rPr>
          <w:rFonts w:ascii="Cambria" w:eastAsia="Arial" w:hAnsi="Cambria" w:cs="Arial"/>
          <w:b/>
          <w:bCs/>
          <w:w w:val="99"/>
        </w:rPr>
        <w:t>794,797</w:t>
      </w:r>
      <w:r w:rsidRPr="009A0DA6">
        <w:rPr>
          <w:rFonts w:ascii="Cambria" w:eastAsia="Arial" w:hAnsi="Cambria" w:cs="Arial"/>
          <w:position w:val="-1"/>
        </w:rPr>
        <w:tab/>
      </w:r>
      <w:r w:rsidRPr="009A0DA6">
        <w:rPr>
          <w:rFonts w:ascii="Cambria" w:eastAsia="Arial" w:hAnsi="Cambria" w:cs="Arial"/>
          <w:b/>
          <w:bCs/>
          <w:w w:val="99"/>
        </w:rPr>
        <w:t>745,820</w:t>
      </w:r>
    </w:p>
    <w:p w14:paraId="2D85B6E3" w14:textId="77777777" w:rsidR="002E592D" w:rsidRPr="009A0DA6" w:rsidRDefault="002E592D" w:rsidP="00351A0F">
      <w:pPr>
        <w:tabs>
          <w:tab w:val="right" w:pos="5670"/>
          <w:tab w:val="right" w:pos="7371"/>
          <w:tab w:val="right" w:pos="8789"/>
        </w:tabs>
        <w:spacing w:before="120" w:after="120" w:line="240" w:lineRule="auto"/>
        <w:ind w:right="-20"/>
        <w:contextualSpacing/>
        <w:rPr>
          <w:rFonts w:ascii="Cambria" w:eastAsia="Arial" w:hAnsi="Cambria" w:cs="Arial"/>
          <w:position w:val="-1"/>
        </w:rPr>
      </w:pPr>
    </w:p>
    <w:p w14:paraId="7DC5FD0D" w14:textId="77777777" w:rsidR="002E592D" w:rsidRPr="009A0DA6" w:rsidRDefault="002E592D" w:rsidP="00351A0F">
      <w:pPr>
        <w:tabs>
          <w:tab w:val="right" w:pos="5670"/>
          <w:tab w:val="right" w:pos="7371"/>
          <w:tab w:val="right" w:pos="8789"/>
        </w:tabs>
        <w:spacing w:before="120" w:after="120" w:line="240" w:lineRule="auto"/>
        <w:ind w:right="-20"/>
        <w:contextualSpacing/>
        <w:rPr>
          <w:rFonts w:ascii="Cambria" w:eastAsiaTheme="minorEastAsia" w:hAnsi="Cambria"/>
        </w:rPr>
      </w:pPr>
      <w:r w:rsidRPr="009A0DA6">
        <w:rPr>
          <w:rFonts w:ascii="Cambria" w:eastAsia="Arial" w:hAnsi="Cambria" w:cs="Arial"/>
          <w:b/>
          <w:bCs/>
          <w:position w:val="-1"/>
        </w:rPr>
        <w:t>Loan Li</w:t>
      </w:r>
      <w:r w:rsidRPr="009A0DA6">
        <w:rPr>
          <w:rFonts w:ascii="Cambria" w:eastAsia="Arial" w:hAnsi="Cambria" w:cs="Arial"/>
          <w:b/>
          <w:bCs/>
          <w:spacing w:val="1"/>
          <w:position w:val="-1"/>
        </w:rPr>
        <w:t>a</w:t>
      </w:r>
      <w:r w:rsidRPr="009A0DA6">
        <w:rPr>
          <w:rFonts w:ascii="Cambria" w:eastAsia="Arial" w:hAnsi="Cambria" w:cs="Arial"/>
          <w:b/>
          <w:bCs/>
          <w:position w:val="-1"/>
        </w:rPr>
        <w:t>bil</w:t>
      </w:r>
      <w:r w:rsidRPr="009A0DA6">
        <w:rPr>
          <w:rFonts w:ascii="Cambria" w:eastAsia="Arial" w:hAnsi="Cambria" w:cs="Arial"/>
          <w:b/>
          <w:bCs/>
          <w:spacing w:val="1"/>
          <w:position w:val="-1"/>
        </w:rPr>
        <w:t>i</w:t>
      </w:r>
      <w:r w:rsidRPr="009A0DA6">
        <w:rPr>
          <w:rFonts w:ascii="Cambria" w:eastAsia="Arial" w:hAnsi="Cambria" w:cs="Arial"/>
          <w:b/>
          <w:bCs/>
          <w:position w:val="-1"/>
        </w:rPr>
        <w:t>ty</w:t>
      </w:r>
      <w:r w:rsidRPr="009A0DA6">
        <w:rPr>
          <w:rFonts w:ascii="Cambria" w:eastAsia="Arial" w:hAnsi="Cambria" w:cs="Arial"/>
          <w:b/>
          <w:bCs/>
          <w:spacing w:val="-7"/>
          <w:position w:val="-1"/>
        </w:rPr>
        <w:t xml:space="preserve"> </w:t>
      </w:r>
      <w:r w:rsidRPr="009A0DA6">
        <w:rPr>
          <w:rFonts w:ascii="Cambria" w:eastAsia="Arial" w:hAnsi="Cambria" w:cs="Arial"/>
          <w:b/>
          <w:bCs/>
          <w:position w:val="-1"/>
        </w:rPr>
        <w:t>- Lu</w:t>
      </w:r>
      <w:r w:rsidRPr="009A0DA6">
        <w:rPr>
          <w:rFonts w:ascii="Cambria" w:eastAsia="Arial" w:hAnsi="Cambria" w:cs="Arial"/>
          <w:b/>
          <w:bCs/>
          <w:spacing w:val="-1"/>
          <w:position w:val="-1"/>
        </w:rPr>
        <w:t>t</w:t>
      </w:r>
      <w:r w:rsidRPr="009A0DA6">
        <w:rPr>
          <w:rFonts w:ascii="Cambria" w:eastAsia="Arial" w:hAnsi="Cambria" w:cs="Arial"/>
          <w:b/>
          <w:bCs/>
          <w:position w:val="-1"/>
        </w:rPr>
        <w:t>her</w:t>
      </w:r>
      <w:r w:rsidRPr="009A0DA6">
        <w:rPr>
          <w:rFonts w:ascii="Cambria" w:eastAsia="Arial" w:hAnsi="Cambria" w:cs="Arial"/>
          <w:b/>
          <w:bCs/>
          <w:spacing w:val="1"/>
          <w:position w:val="-1"/>
        </w:rPr>
        <w:t>a</w:t>
      </w:r>
      <w:r w:rsidRPr="009A0DA6">
        <w:rPr>
          <w:rFonts w:ascii="Cambria" w:eastAsia="Arial" w:hAnsi="Cambria" w:cs="Arial"/>
          <w:b/>
          <w:bCs/>
          <w:position w:val="-1"/>
        </w:rPr>
        <w:t>n L</w:t>
      </w:r>
      <w:r w:rsidRPr="009A0DA6">
        <w:rPr>
          <w:rFonts w:ascii="Cambria" w:eastAsia="Arial" w:hAnsi="Cambria" w:cs="Arial"/>
          <w:b/>
          <w:bCs/>
          <w:spacing w:val="1"/>
          <w:position w:val="-1"/>
        </w:rPr>
        <w:t>a</w:t>
      </w:r>
      <w:r w:rsidRPr="009A0DA6">
        <w:rPr>
          <w:rFonts w:ascii="Cambria" w:eastAsia="Arial" w:hAnsi="Cambria" w:cs="Arial"/>
          <w:b/>
          <w:bCs/>
          <w:spacing w:val="-6"/>
          <w:position w:val="-1"/>
        </w:rPr>
        <w:t>y</w:t>
      </w:r>
      <w:r w:rsidRPr="009A0DA6">
        <w:rPr>
          <w:rFonts w:ascii="Cambria" w:eastAsia="Arial" w:hAnsi="Cambria" w:cs="Arial"/>
          <w:b/>
          <w:bCs/>
          <w:position w:val="-1"/>
        </w:rPr>
        <w:t>peopl</w:t>
      </w:r>
      <w:r w:rsidRPr="009A0DA6">
        <w:rPr>
          <w:rFonts w:ascii="Cambria" w:eastAsia="Arial" w:hAnsi="Cambria" w:cs="Arial"/>
          <w:b/>
          <w:bCs/>
          <w:spacing w:val="1"/>
          <w:position w:val="-1"/>
        </w:rPr>
        <w:t>e</w:t>
      </w:r>
      <w:r w:rsidRPr="009A0DA6">
        <w:rPr>
          <w:rFonts w:ascii="Cambria" w:eastAsia="Arial" w:hAnsi="Cambria" w:cs="Arial"/>
          <w:b/>
          <w:bCs/>
          <w:position w:val="-1"/>
        </w:rPr>
        <w:t>'s</w:t>
      </w:r>
      <w:r w:rsidRPr="009A0DA6">
        <w:rPr>
          <w:rFonts w:ascii="Cambria" w:eastAsia="Arial" w:hAnsi="Cambria" w:cs="Arial"/>
          <w:b/>
          <w:bCs/>
          <w:spacing w:val="1"/>
          <w:position w:val="-1"/>
        </w:rPr>
        <w:t xml:space="preserve"> </w:t>
      </w:r>
      <w:r w:rsidRPr="009A0DA6">
        <w:rPr>
          <w:rFonts w:ascii="Cambria" w:eastAsia="Arial" w:hAnsi="Cambria" w:cs="Arial"/>
          <w:b/>
          <w:bCs/>
          <w:position w:val="-1"/>
        </w:rPr>
        <w:t>L</w:t>
      </w:r>
      <w:r w:rsidRPr="009A0DA6">
        <w:rPr>
          <w:rFonts w:ascii="Cambria" w:eastAsia="Arial" w:hAnsi="Cambria" w:cs="Arial"/>
          <w:b/>
          <w:bCs/>
          <w:spacing w:val="1"/>
          <w:position w:val="-1"/>
        </w:rPr>
        <w:t>ea</w:t>
      </w:r>
      <w:r w:rsidRPr="009A0DA6">
        <w:rPr>
          <w:rFonts w:ascii="Cambria" w:eastAsia="Arial" w:hAnsi="Cambria" w:cs="Arial"/>
          <w:b/>
          <w:bCs/>
          <w:position w:val="-1"/>
        </w:rPr>
        <w:t>gue</w:t>
      </w:r>
      <w:r w:rsidRPr="009A0DA6">
        <w:rPr>
          <w:rFonts w:ascii="Cambria" w:eastAsia="Arial" w:hAnsi="Cambria" w:cs="Arial"/>
          <w:b/>
          <w:bCs/>
          <w:spacing w:val="1"/>
          <w:position w:val="-1"/>
        </w:rPr>
        <w:t xml:space="preserve"> </w:t>
      </w:r>
      <w:r w:rsidRPr="009A0DA6">
        <w:rPr>
          <w:rFonts w:ascii="Cambria" w:eastAsia="Arial" w:hAnsi="Cambria" w:cs="Arial"/>
          <w:b/>
          <w:bCs/>
          <w:position w:val="-1"/>
        </w:rPr>
        <w:t>of</w:t>
      </w:r>
      <w:r w:rsidRPr="009A0DA6">
        <w:rPr>
          <w:rFonts w:ascii="Cambria" w:eastAsia="Arial" w:hAnsi="Cambria" w:cs="Arial"/>
          <w:b/>
          <w:bCs/>
          <w:spacing w:val="-1"/>
          <w:position w:val="-1"/>
        </w:rPr>
        <w:t xml:space="preserve"> </w:t>
      </w:r>
      <w:r w:rsidRPr="009A0DA6">
        <w:rPr>
          <w:rFonts w:ascii="Cambria" w:eastAsia="Arial" w:hAnsi="Cambria" w:cs="Arial"/>
          <w:b/>
          <w:bCs/>
          <w:spacing w:val="-7"/>
          <w:position w:val="-1"/>
        </w:rPr>
        <w:t>A</w:t>
      </w:r>
      <w:r w:rsidRPr="009A0DA6">
        <w:rPr>
          <w:rFonts w:ascii="Cambria" w:eastAsia="Arial" w:hAnsi="Cambria" w:cs="Arial"/>
          <w:b/>
          <w:bCs/>
          <w:position w:val="-1"/>
        </w:rPr>
        <w:t>ustra</w:t>
      </w:r>
      <w:r w:rsidRPr="009A0DA6">
        <w:rPr>
          <w:rFonts w:ascii="Cambria" w:eastAsia="Arial" w:hAnsi="Cambria" w:cs="Arial"/>
          <w:b/>
          <w:bCs/>
          <w:spacing w:val="1"/>
          <w:position w:val="-1"/>
        </w:rPr>
        <w:t>l</w:t>
      </w:r>
      <w:r w:rsidRPr="009A0DA6">
        <w:rPr>
          <w:rFonts w:ascii="Cambria" w:eastAsia="Arial" w:hAnsi="Cambria" w:cs="Arial"/>
          <w:b/>
          <w:bCs/>
          <w:position w:val="-1"/>
        </w:rPr>
        <w:t>ia</w:t>
      </w:r>
      <w:r w:rsidRPr="009A0DA6">
        <w:rPr>
          <w:rFonts w:ascii="Cambria" w:eastAsia="Arial" w:hAnsi="Cambria" w:cs="Arial"/>
          <w:b/>
          <w:bCs/>
          <w:spacing w:val="1"/>
          <w:position w:val="-1"/>
        </w:rPr>
        <w:t xml:space="preserve"> I</w:t>
      </w:r>
      <w:r w:rsidRPr="009A0DA6">
        <w:rPr>
          <w:rFonts w:ascii="Cambria" w:eastAsia="Arial" w:hAnsi="Cambria" w:cs="Arial"/>
          <w:b/>
          <w:bCs/>
          <w:position w:val="-1"/>
        </w:rPr>
        <w:t>nc</w:t>
      </w:r>
      <w:r w:rsidRPr="009A0DA6">
        <w:rPr>
          <w:rFonts w:ascii="Cambria" w:eastAsia="Arial" w:hAnsi="Cambria" w:cs="Arial"/>
          <w:b/>
          <w:bCs/>
          <w:position w:val="-1"/>
        </w:rPr>
        <w:br/>
      </w:r>
      <w:r w:rsidRPr="009A0DA6">
        <w:rPr>
          <w:rFonts w:ascii="Cambria" w:hAnsi="Cambria"/>
        </w:rPr>
        <w:t>Opening balance 1 January</w:t>
      </w:r>
      <w:r w:rsidRPr="009A0DA6">
        <w:rPr>
          <w:rFonts w:ascii="Cambria" w:hAnsi="Cambria"/>
        </w:rPr>
        <w:tab/>
      </w:r>
      <w:r w:rsidRPr="009A0DA6">
        <w:rPr>
          <w:rFonts w:ascii="Cambria" w:eastAsia="Arial" w:hAnsi="Cambria" w:cs="Arial"/>
          <w:position w:val="-1"/>
        </w:rPr>
        <w:t>3,665,479</w:t>
      </w:r>
      <w:r w:rsidRPr="009A0DA6">
        <w:rPr>
          <w:rFonts w:ascii="Cambria" w:hAnsi="Cambria"/>
        </w:rPr>
        <w:tab/>
      </w:r>
      <w:r w:rsidRPr="009A0DA6">
        <w:rPr>
          <w:rFonts w:ascii="Cambria" w:eastAsia="Arial" w:hAnsi="Cambria" w:cs="Arial"/>
          <w:position w:val="-1"/>
        </w:rPr>
        <w:t>3,345,703</w:t>
      </w:r>
      <w:r w:rsidRPr="009A0DA6">
        <w:rPr>
          <w:rFonts w:ascii="Cambria" w:hAnsi="Cambria"/>
        </w:rPr>
        <w:tab/>
      </w:r>
      <w:r w:rsidRPr="009A0DA6">
        <w:rPr>
          <w:rFonts w:ascii="Cambria" w:eastAsia="Arial" w:hAnsi="Cambria" w:cs="Arial"/>
          <w:position w:val="-1"/>
        </w:rPr>
        <w:t>3,636,430</w:t>
      </w:r>
    </w:p>
    <w:p w14:paraId="2F89CCB7" w14:textId="77777777" w:rsidR="002E592D" w:rsidRPr="009A0DA6" w:rsidRDefault="002E592D" w:rsidP="00351A0F">
      <w:pPr>
        <w:tabs>
          <w:tab w:val="right" w:pos="5670"/>
          <w:tab w:val="right" w:pos="7371"/>
          <w:tab w:val="right" w:pos="8789"/>
        </w:tabs>
        <w:spacing w:before="120" w:after="120" w:line="240" w:lineRule="auto"/>
        <w:contextualSpacing/>
        <w:rPr>
          <w:rFonts w:ascii="Cambria" w:eastAsia="Arial" w:hAnsi="Cambria" w:cs="Arial"/>
          <w:position w:val="-1"/>
        </w:rPr>
      </w:pPr>
      <w:r w:rsidRPr="009A0DA6">
        <w:rPr>
          <w:rFonts w:ascii="Cambria" w:eastAsia="Arial" w:hAnsi="Cambria" w:cs="Arial"/>
          <w:position w:val="-1"/>
        </w:rPr>
        <w:t>Net</w:t>
      </w:r>
      <w:r w:rsidRPr="009A0DA6">
        <w:rPr>
          <w:rFonts w:ascii="Cambria" w:eastAsia="Arial" w:hAnsi="Cambria" w:cs="Arial"/>
          <w:spacing w:val="-3"/>
          <w:position w:val="-1"/>
        </w:rPr>
        <w:t xml:space="preserve"> </w:t>
      </w:r>
      <w:r w:rsidRPr="009A0DA6">
        <w:rPr>
          <w:rFonts w:ascii="Cambria" w:eastAsia="Arial" w:hAnsi="Cambria" w:cs="Arial"/>
          <w:spacing w:val="-1"/>
          <w:position w:val="-1"/>
        </w:rPr>
        <w:t>A</w:t>
      </w:r>
      <w:r w:rsidRPr="009A0DA6">
        <w:rPr>
          <w:rFonts w:ascii="Cambria" w:eastAsia="Arial" w:hAnsi="Cambria" w:cs="Arial"/>
          <w:position w:val="-1"/>
        </w:rPr>
        <w:t>d</w:t>
      </w:r>
      <w:r w:rsidRPr="009A0DA6">
        <w:rPr>
          <w:rFonts w:ascii="Cambria" w:eastAsia="Arial" w:hAnsi="Cambria" w:cs="Arial"/>
          <w:spacing w:val="-2"/>
          <w:position w:val="-1"/>
        </w:rPr>
        <w:t>v</w:t>
      </w:r>
      <w:r w:rsidRPr="009A0DA6">
        <w:rPr>
          <w:rFonts w:ascii="Cambria" w:eastAsia="Arial" w:hAnsi="Cambria" w:cs="Arial"/>
          <w:position w:val="-1"/>
        </w:rPr>
        <w:t>a</w:t>
      </w:r>
      <w:r w:rsidRPr="009A0DA6">
        <w:rPr>
          <w:rFonts w:ascii="Cambria" w:eastAsia="Arial" w:hAnsi="Cambria" w:cs="Arial"/>
          <w:spacing w:val="-1"/>
          <w:position w:val="-1"/>
        </w:rPr>
        <w:t>n</w:t>
      </w:r>
      <w:r w:rsidRPr="009A0DA6">
        <w:rPr>
          <w:rFonts w:ascii="Cambria" w:eastAsia="Arial" w:hAnsi="Cambria" w:cs="Arial"/>
          <w:spacing w:val="1"/>
          <w:position w:val="-1"/>
        </w:rPr>
        <w:t>c</w:t>
      </w:r>
      <w:r w:rsidRPr="009A0DA6">
        <w:rPr>
          <w:rFonts w:ascii="Cambria" w:eastAsia="Arial" w:hAnsi="Cambria" w:cs="Arial"/>
          <w:position w:val="-1"/>
        </w:rPr>
        <w:t>e</w:t>
      </w:r>
      <w:r w:rsidRPr="009A0DA6">
        <w:rPr>
          <w:rFonts w:ascii="Cambria" w:eastAsia="Arial" w:hAnsi="Cambria" w:cs="Arial"/>
          <w:spacing w:val="1"/>
          <w:position w:val="-1"/>
        </w:rPr>
        <w:t>s</w:t>
      </w:r>
      <w:r w:rsidRPr="009A0DA6">
        <w:rPr>
          <w:rFonts w:ascii="Cambria" w:eastAsia="Arial" w:hAnsi="Cambria" w:cs="Arial"/>
          <w:position w:val="-1"/>
        </w:rPr>
        <w:t>/Re</w:t>
      </w:r>
      <w:r w:rsidRPr="009A0DA6">
        <w:rPr>
          <w:rFonts w:ascii="Cambria" w:eastAsia="Arial" w:hAnsi="Cambria" w:cs="Arial"/>
          <w:spacing w:val="-1"/>
          <w:position w:val="-1"/>
        </w:rPr>
        <w:t>p</w:t>
      </w:r>
      <w:r w:rsidRPr="009A0DA6">
        <w:rPr>
          <w:rFonts w:ascii="Cambria" w:eastAsia="Arial" w:hAnsi="Cambria" w:cs="Arial"/>
          <w:position w:val="-1"/>
        </w:rPr>
        <w:t>a</w:t>
      </w:r>
      <w:r w:rsidRPr="009A0DA6">
        <w:rPr>
          <w:rFonts w:ascii="Cambria" w:eastAsia="Arial" w:hAnsi="Cambria" w:cs="Arial"/>
          <w:spacing w:val="-6"/>
          <w:position w:val="-1"/>
        </w:rPr>
        <w:t>y</w:t>
      </w:r>
      <w:r w:rsidRPr="009A0DA6">
        <w:rPr>
          <w:rFonts w:ascii="Cambria" w:eastAsia="Arial" w:hAnsi="Cambria" w:cs="Arial"/>
          <w:spacing w:val="4"/>
          <w:position w:val="-1"/>
        </w:rPr>
        <w:t>m</w:t>
      </w:r>
      <w:r w:rsidRPr="009A0DA6">
        <w:rPr>
          <w:rFonts w:ascii="Cambria" w:eastAsia="Arial" w:hAnsi="Cambria" w:cs="Arial"/>
          <w:position w:val="-1"/>
        </w:rPr>
        <w:t>e</w:t>
      </w:r>
      <w:r w:rsidRPr="009A0DA6">
        <w:rPr>
          <w:rFonts w:ascii="Cambria" w:eastAsia="Arial" w:hAnsi="Cambria" w:cs="Arial"/>
          <w:spacing w:val="-1"/>
          <w:position w:val="-1"/>
        </w:rPr>
        <w:t>n</w:t>
      </w:r>
      <w:r w:rsidRPr="009A0DA6">
        <w:rPr>
          <w:rFonts w:ascii="Cambria" w:eastAsia="Arial" w:hAnsi="Cambria" w:cs="Arial"/>
          <w:position w:val="-1"/>
        </w:rPr>
        <w:t>ts</w:t>
      </w:r>
      <w:r w:rsidRPr="009A0DA6">
        <w:rPr>
          <w:rFonts w:ascii="Cambria" w:hAnsi="Cambria"/>
        </w:rPr>
        <w:tab/>
      </w:r>
      <w:r w:rsidRPr="009A0DA6">
        <w:rPr>
          <w:rFonts w:ascii="Cambria" w:eastAsia="Arial" w:hAnsi="Cambria" w:cs="Arial"/>
          <w:position w:val="-1"/>
        </w:rPr>
        <w:t>374,508</w:t>
      </w:r>
      <w:r w:rsidRPr="009A0DA6">
        <w:rPr>
          <w:rFonts w:ascii="Cambria" w:eastAsia="Arial" w:hAnsi="Cambria" w:cs="Arial"/>
          <w:position w:val="-1"/>
        </w:rPr>
        <w:tab/>
        <w:t>470,504</w:t>
      </w:r>
      <w:r w:rsidRPr="009A0DA6">
        <w:rPr>
          <w:rFonts w:ascii="Cambria" w:eastAsia="Arial" w:hAnsi="Cambria" w:cs="Arial"/>
          <w:position w:val="-1"/>
        </w:rPr>
        <w:tab/>
        <w:t>213,832</w:t>
      </w:r>
    </w:p>
    <w:p w14:paraId="547F5F06" w14:textId="77777777" w:rsidR="002E592D" w:rsidRPr="009A0DA6" w:rsidRDefault="002E592D" w:rsidP="00351A0F">
      <w:pPr>
        <w:tabs>
          <w:tab w:val="right" w:pos="5670"/>
          <w:tab w:val="right" w:pos="7371"/>
          <w:tab w:val="right" w:pos="8789"/>
        </w:tabs>
        <w:spacing w:before="120" w:after="120" w:line="240" w:lineRule="auto"/>
        <w:contextualSpacing/>
        <w:rPr>
          <w:rFonts w:ascii="Cambria" w:eastAsia="Arial" w:hAnsi="Cambria" w:cs="Arial"/>
          <w:position w:val="-1"/>
        </w:rPr>
      </w:pPr>
      <w:r w:rsidRPr="009A0DA6">
        <w:rPr>
          <w:rFonts w:ascii="Cambria" w:eastAsia="Arial" w:hAnsi="Cambria" w:cs="Arial"/>
          <w:position w:val="-1"/>
        </w:rPr>
        <w:tab/>
      </w:r>
      <w:r w:rsidRPr="009A0DA6">
        <w:rPr>
          <w:rFonts w:ascii="Cambria" w:eastAsia="Arial" w:hAnsi="Cambria" w:cs="Arial"/>
        </w:rPr>
        <w:t>2,971,196</w:t>
      </w:r>
      <w:r w:rsidRPr="009A0DA6">
        <w:rPr>
          <w:rFonts w:ascii="Cambria" w:eastAsia="Arial" w:hAnsi="Cambria" w:cs="Arial"/>
          <w:position w:val="-1"/>
        </w:rPr>
        <w:tab/>
      </w:r>
      <w:r w:rsidRPr="009A0DA6">
        <w:rPr>
          <w:rFonts w:ascii="Cambria" w:eastAsia="Arial" w:hAnsi="Cambria" w:cs="Arial"/>
        </w:rPr>
        <w:t>3,165,925</w:t>
      </w:r>
      <w:r w:rsidRPr="009A0DA6">
        <w:rPr>
          <w:rFonts w:ascii="Cambria" w:eastAsia="Arial" w:hAnsi="Cambria" w:cs="Arial"/>
          <w:position w:val="-1"/>
        </w:rPr>
        <w:tab/>
      </w:r>
      <w:r w:rsidRPr="009A0DA6">
        <w:rPr>
          <w:rFonts w:ascii="Cambria" w:eastAsia="Arial" w:hAnsi="Cambria" w:cs="Arial"/>
        </w:rPr>
        <w:t>3,451,647</w:t>
      </w:r>
    </w:p>
    <w:p w14:paraId="356D3B27" w14:textId="77777777" w:rsidR="002E592D" w:rsidRPr="009A0DA6" w:rsidRDefault="002E592D" w:rsidP="00351A0F">
      <w:pPr>
        <w:tabs>
          <w:tab w:val="right" w:pos="5670"/>
          <w:tab w:val="right" w:pos="7371"/>
          <w:tab w:val="right" w:pos="8789"/>
        </w:tabs>
        <w:spacing w:before="120" w:after="120" w:line="240" w:lineRule="auto"/>
        <w:contextualSpacing/>
        <w:rPr>
          <w:rFonts w:ascii="Cambria" w:eastAsia="Arial" w:hAnsi="Cambria" w:cs="Arial"/>
        </w:rPr>
      </w:pPr>
      <w:r w:rsidRPr="009A0DA6">
        <w:rPr>
          <w:rFonts w:ascii="Cambria" w:eastAsia="Arial" w:hAnsi="Cambria" w:cs="Arial"/>
        </w:rPr>
        <w:t>Interest charged</w:t>
      </w:r>
      <w:r w:rsidRPr="009A0DA6">
        <w:rPr>
          <w:rFonts w:ascii="Cambria" w:eastAsia="Arial" w:hAnsi="Cambria" w:cs="Arial"/>
          <w:position w:val="-1"/>
        </w:rPr>
        <w:tab/>
      </w:r>
      <w:r w:rsidRPr="009A0DA6">
        <w:rPr>
          <w:rFonts w:ascii="Cambria" w:eastAsia="Arial" w:hAnsi="Cambria" w:cs="Arial"/>
        </w:rPr>
        <w:t>162,811</w:t>
      </w:r>
      <w:r w:rsidRPr="009A0DA6">
        <w:rPr>
          <w:rFonts w:ascii="Cambria" w:eastAsia="Arial" w:hAnsi="Cambria" w:cs="Arial"/>
        </w:rPr>
        <w:tab/>
        <w:t>179,778</w:t>
      </w:r>
      <w:r w:rsidRPr="009A0DA6">
        <w:rPr>
          <w:rFonts w:ascii="Cambria" w:eastAsia="Arial" w:hAnsi="Cambria" w:cs="Arial"/>
        </w:rPr>
        <w:tab/>
        <w:t>184,783</w:t>
      </w:r>
    </w:p>
    <w:p w14:paraId="3A831611" w14:textId="77777777" w:rsidR="002E592D" w:rsidRPr="009A0DA6" w:rsidRDefault="002E592D" w:rsidP="00351A0F">
      <w:pPr>
        <w:tabs>
          <w:tab w:val="right" w:pos="5670"/>
          <w:tab w:val="right" w:pos="7371"/>
          <w:tab w:val="right" w:pos="8789"/>
        </w:tabs>
        <w:spacing w:before="120" w:after="120" w:line="240" w:lineRule="auto"/>
        <w:contextualSpacing/>
        <w:rPr>
          <w:rFonts w:ascii="Cambria" w:eastAsia="Arial" w:hAnsi="Cambria" w:cs="Arial"/>
        </w:rPr>
      </w:pPr>
      <w:r w:rsidRPr="009A0DA6">
        <w:rPr>
          <w:rFonts w:ascii="Cambria" w:eastAsia="Arial" w:hAnsi="Cambria" w:cs="Arial"/>
        </w:rPr>
        <w:t>Closing balance 31 December 2017</w:t>
      </w:r>
      <w:r w:rsidRPr="009A0DA6">
        <w:rPr>
          <w:rFonts w:ascii="Cambria" w:eastAsia="Arial" w:hAnsi="Cambria" w:cs="Arial"/>
        </w:rPr>
        <w:tab/>
      </w:r>
      <w:r w:rsidRPr="00351A0F">
        <w:rPr>
          <w:rStyle w:val="NoSpacingChar"/>
          <w:b/>
        </w:rPr>
        <w:t>$3,134,006</w:t>
      </w:r>
      <w:r w:rsidRPr="00351A0F">
        <w:rPr>
          <w:rStyle w:val="NoSpacingChar"/>
          <w:b/>
        </w:rPr>
        <w:tab/>
        <w:t>$3,345,703.16</w:t>
      </w:r>
      <w:r w:rsidRPr="00351A0F">
        <w:rPr>
          <w:rStyle w:val="NoSpacingChar"/>
          <w:b/>
        </w:rPr>
        <w:tab/>
        <w:t>$3,636,430</w:t>
      </w:r>
    </w:p>
    <w:p w14:paraId="51F26E47" w14:textId="77777777" w:rsidR="002E592D" w:rsidRPr="009A0DA6" w:rsidRDefault="002E592D" w:rsidP="00351A0F">
      <w:pPr>
        <w:tabs>
          <w:tab w:val="right" w:pos="5670"/>
          <w:tab w:val="right" w:pos="7371"/>
          <w:tab w:val="right" w:pos="8789"/>
        </w:tabs>
        <w:spacing w:before="120" w:after="120" w:line="240" w:lineRule="auto"/>
        <w:contextualSpacing/>
        <w:rPr>
          <w:rFonts w:ascii="Cambria" w:eastAsiaTheme="minorEastAsia" w:hAnsi="Cambria"/>
        </w:rPr>
      </w:pPr>
    </w:p>
    <w:p w14:paraId="5C7D8D68" w14:textId="77777777" w:rsidR="002E592D" w:rsidRPr="009A0DA6" w:rsidRDefault="002E592D" w:rsidP="00351A0F">
      <w:pPr>
        <w:tabs>
          <w:tab w:val="right" w:pos="5670"/>
          <w:tab w:val="right" w:pos="7371"/>
          <w:tab w:val="right" w:pos="8789"/>
        </w:tabs>
        <w:spacing w:before="120" w:after="120" w:line="240" w:lineRule="auto"/>
        <w:ind w:right="3154"/>
        <w:contextualSpacing/>
        <w:rPr>
          <w:rFonts w:ascii="Cambria" w:eastAsia="Arial" w:hAnsi="Cambria" w:cs="Arial"/>
        </w:rPr>
      </w:pPr>
      <w:r w:rsidRPr="009A0DA6">
        <w:rPr>
          <w:rFonts w:ascii="Cambria" w:eastAsia="Arial" w:hAnsi="Cambria" w:cs="Arial"/>
          <w:b/>
          <w:bCs/>
          <w:position w:val="-1"/>
        </w:rPr>
        <w:t>H</w:t>
      </w:r>
      <w:r w:rsidRPr="009A0DA6">
        <w:rPr>
          <w:rFonts w:ascii="Cambria" w:eastAsia="Arial" w:hAnsi="Cambria" w:cs="Arial"/>
          <w:b/>
          <w:bCs/>
          <w:spacing w:val="-1"/>
          <w:position w:val="-1"/>
        </w:rPr>
        <w:t>o</w:t>
      </w:r>
      <w:r w:rsidRPr="009A0DA6">
        <w:rPr>
          <w:rFonts w:ascii="Cambria" w:eastAsia="Arial" w:hAnsi="Cambria" w:cs="Arial"/>
          <w:b/>
          <w:bCs/>
          <w:position w:val="-1"/>
        </w:rPr>
        <w:t>using Lo</w:t>
      </w:r>
      <w:r w:rsidRPr="009A0DA6">
        <w:rPr>
          <w:rFonts w:ascii="Cambria" w:eastAsia="Arial" w:hAnsi="Cambria" w:cs="Arial"/>
          <w:b/>
          <w:bCs/>
          <w:spacing w:val="1"/>
          <w:position w:val="-1"/>
        </w:rPr>
        <w:t>a</w:t>
      </w:r>
      <w:r w:rsidRPr="009A0DA6">
        <w:rPr>
          <w:rFonts w:ascii="Cambria" w:eastAsia="Arial" w:hAnsi="Cambria" w:cs="Arial"/>
          <w:b/>
          <w:bCs/>
          <w:position w:val="-1"/>
        </w:rPr>
        <w:t xml:space="preserve">n </w:t>
      </w:r>
      <w:r w:rsidRPr="009A0DA6">
        <w:rPr>
          <w:rFonts w:ascii="Cambria" w:eastAsia="Arial" w:hAnsi="Cambria" w:cs="Arial"/>
          <w:b/>
          <w:bCs/>
          <w:spacing w:val="1"/>
          <w:position w:val="-1"/>
        </w:rPr>
        <w:t>S</w:t>
      </w:r>
      <w:r w:rsidRPr="009A0DA6">
        <w:rPr>
          <w:rFonts w:ascii="Cambria" w:eastAsia="Arial" w:hAnsi="Cambria" w:cs="Arial"/>
          <w:b/>
          <w:bCs/>
          <w:position w:val="-1"/>
        </w:rPr>
        <w:t>umm</w:t>
      </w:r>
      <w:r w:rsidRPr="009A0DA6">
        <w:rPr>
          <w:rFonts w:ascii="Cambria" w:eastAsia="Arial" w:hAnsi="Cambria" w:cs="Arial"/>
          <w:b/>
          <w:bCs/>
          <w:spacing w:val="1"/>
          <w:position w:val="-1"/>
        </w:rPr>
        <w:t>a</w:t>
      </w:r>
      <w:r w:rsidRPr="009A0DA6">
        <w:rPr>
          <w:rFonts w:ascii="Cambria" w:eastAsia="Arial" w:hAnsi="Cambria" w:cs="Arial"/>
          <w:b/>
          <w:bCs/>
          <w:position w:val="-1"/>
        </w:rPr>
        <w:t>ry</w:t>
      </w:r>
    </w:p>
    <w:p w14:paraId="57A6B309" w14:textId="77777777" w:rsidR="002E592D" w:rsidRPr="009A0DA6" w:rsidRDefault="002E592D" w:rsidP="00351A0F">
      <w:pPr>
        <w:tabs>
          <w:tab w:val="right" w:pos="5670"/>
          <w:tab w:val="right" w:pos="7371"/>
          <w:tab w:val="right" w:pos="8789"/>
        </w:tabs>
        <w:spacing w:before="120" w:after="120" w:line="240" w:lineRule="auto"/>
        <w:ind w:right="-20"/>
        <w:contextualSpacing/>
        <w:rPr>
          <w:rFonts w:ascii="Cambria" w:eastAsia="Arial" w:hAnsi="Cambria" w:cs="Arial"/>
        </w:rPr>
      </w:pPr>
      <w:r w:rsidRPr="009A0DA6">
        <w:rPr>
          <w:rFonts w:ascii="Cambria" w:eastAsia="Arial" w:hAnsi="Cambria" w:cs="Arial"/>
          <w:spacing w:val="-1"/>
        </w:rPr>
        <w:t>B</w:t>
      </w:r>
      <w:r w:rsidRPr="009A0DA6">
        <w:rPr>
          <w:rFonts w:ascii="Cambria" w:eastAsia="Arial" w:hAnsi="Cambria" w:cs="Arial"/>
        </w:rPr>
        <w:t>a</w:t>
      </w:r>
      <w:r w:rsidRPr="009A0DA6">
        <w:rPr>
          <w:rFonts w:ascii="Cambria" w:eastAsia="Arial" w:hAnsi="Cambria" w:cs="Arial"/>
          <w:spacing w:val="-1"/>
        </w:rPr>
        <w:t>l</w:t>
      </w:r>
      <w:r w:rsidRPr="009A0DA6">
        <w:rPr>
          <w:rFonts w:ascii="Cambria" w:eastAsia="Arial" w:hAnsi="Cambria" w:cs="Arial"/>
        </w:rPr>
        <w:t>a</w:t>
      </w:r>
      <w:r w:rsidRPr="009A0DA6">
        <w:rPr>
          <w:rFonts w:ascii="Cambria" w:eastAsia="Arial" w:hAnsi="Cambria" w:cs="Arial"/>
          <w:spacing w:val="-1"/>
        </w:rPr>
        <w:t>n</w:t>
      </w:r>
      <w:r w:rsidRPr="009A0DA6">
        <w:rPr>
          <w:rFonts w:ascii="Cambria" w:eastAsia="Arial" w:hAnsi="Cambria" w:cs="Arial"/>
          <w:spacing w:val="1"/>
        </w:rPr>
        <w:t>c</w:t>
      </w:r>
      <w:r w:rsidRPr="009A0DA6">
        <w:rPr>
          <w:rFonts w:ascii="Cambria" w:eastAsia="Arial" w:hAnsi="Cambria" w:cs="Arial"/>
        </w:rPr>
        <w:t>e</w:t>
      </w:r>
      <w:r w:rsidRPr="009A0DA6">
        <w:rPr>
          <w:rFonts w:ascii="Cambria" w:eastAsia="Arial" w:hAnsi="Cambria" w:cs="Arial"/>
          <w:spacing w:val="-7"/>
        </w:rPr>
        <w:t xml:space="preserve"> </w:t>
      </w:r>
      <w:r w:rsidRPr="009A0DA6">
        <w:rPr>
          <w:rFonts w:ascii="Cambria" w:eastAsia="Arial" w:hAnsi="Cambria" w:cs="Arial"/>
          <w:spacing w:val="-1"/>
        </w:rPr>
        <w:t>a</w:t>
      </w:r>
      <w:r w:rsidRPr="009A0DA6">
        <w:rPr>
          <w:rFonts w:ascii="Cambria" w:eastAsia="Arial" w:hAnsi="Cambria" w:cs="Arial"/>
        </w:rPr>
        <w:t>s</w:t>
      </w:r>
      <w:r w:rsidRPr="009A0DA6">
        <w:rPr>
          <w:rFonts w:ascii="Cambria" w:eastAsia="Arial" w:hAnsi="Cambria" w:cs="Arial"/>
          <w:spacing w:val="-1"/>
        </w:rPr>
        <w:t xml:space="preserve"> </w:t>
      </w:r>
      <w:r w:rsidRPr="009A0DA6">
        <w:rPr>
          <w:rFonts w:ascii="Cambria" w:eastAsia="Arial" w:hAnsi="Cambria" w:cs="Arial"/>
        </w:rPr>
        <w:t>at</w:t>
      </w:r>
      <w:r w:rsidRPr="009A0DA6">
        <w:rPr>
          <w:rFonts w:ascii="Cambria" w:eastAsia="Arial" w:hAnsi="Cambria" w:cs="Arial"/>
          <w:spacing w:val="-3"/>
        </w:rPr>
        <w:t xml:space="preserve"> </w:t>
      </w:r>
      <w:r w:rsidRPr="009A0DA6">
        <w:rPr>
          <w:rFonts w:ascii="Cambria" w:eastAsia="Arial" w:hAnsi="Cambria" w:cs="Arial"/>
        </w:rPr>
        <w:t>1st</w:t>
      </w:r>
      <w:r w:rsidRPr="009A0DA6">
        <w:rPr>
          <w:rFonts w:ascii="Cambria" w:eastAsia="Arial" w:hAnsi="Cambria" w:cs="Arial"/>
          <w:spacing w:val="-3"/>
        </w:rPr>
        <w:t xml:space="preserve"> </w:t>
      </w:r>
      <w:r w:rsidRPr="009A0DA6">
        <w:rPr>
          <w:rFonts w:ascii="Cambria" w:eastAsia="Arial" w:hAnsi="Cambria" w:cs="Arial"/>
          <w:spacing w:val="1"/>
        </w:rPr>
        <w:t>J</w:t>
      </w:r>
      <w:r w:rsidRPr="009A0DA6">
        <w:rPr>
          <w:rFonts w:ascii="Cambria" w:eastAsia="Arial" w:hAnsi="Cambria" w:cs="Arial"/>
        </w:rPr>
        <w:t>a</w:t>
      </w:r>
      <w:r w:rsidRPr="009A0DA6">
        <w:rPr>
          <w:rFonts w:ascii="Cambria" w:eastAsia="Arial" w:hAnsi="Cambria" w:cs="Arial"/>
          <w:spacing w:val="-1"/>
        </w:rPr>
        <w:t>n</w:t>
      </w:r>
      <w:r w:rsidRPr="009A0DA6">
        <w:rPr>
          <w:rFonts w:ascii="Cambria" w:eastAsia="Arial" w:hAnsi="Cambria" w:cs="Arial"/>
        </w:rPr>
        <w:t>u</w:t>
      </w:r>
      <w:r w:rsidRPr="009A0DA6">
        <w:rPr>
          <w:rFonts w:ascii="Cambria" w:eastAsia="Arial" w:hAnsi="Cambria" w:cs="Arial"/>
          <w:spacing w:val="-1"/>
        </w:rPr>
        <w:t>a</w:t>
      </w:r>
      <w:r w:rsidRPr="009A0DA6">
        <w:rPr>
          <w:rFonts w:ascii="Cambria" w:eastAsia="Arial" w:hAnsi="Cambria" w:cs="Arial"/>
          <w:spacing w:val="1"/>
        </w:rPr>
        <w:t>r</w:t>
      </w:r>
      <w:r w:rsidRPr="009A0DA6">
        <w:rPr>
          <w:rFonts w:ascii="Cambria" w:eastAsia="Arial" w:hAnsi="Cambria" w:cs="Arial"/>
        </w:rPr>
        <w:t>y</w:t>
      </w:r>
      <w:r w:rsidRPr="009A0DA6">
        <w:rPr>
          <w:rFonts w:ascii="Cambria" w:eastAsia="Arial" w:hAnsi="Cambria" w:cs="Arial"/>
        </w:rPr>
        <w:tab/>
        <w:t>3,345,703</w:t>
      </w:r>
      <w:r w:rsidRPr="009A0DA6">
        <w:rPr>
          <w:rFonts w:ascii="Cambria" w:eastAsia="Arial" w:hAnsi="Cambria" w:cs="Arial"/>
        </w:rPr>
        <w:tab/>
        <w:t>3,636,430</w:t>
      </w:r>
      <w:r w:rsidRPr="009A0DA6">
        <w:rPr>
          <w:rFonts w:ascii="Cambria" w:eastAsia="Arial" w:hAnsi="Cambria" w:cs="Arial"/>
        </w:rPr>
        <w:tab/>
        <w:t>3,665,479</w:t>
      </w:r>
    </w:p>
    <w:p w14:paraId="312F3B75" w14:textId="77777777" w:rsidR="002E592D" w:rsidRPr="009A0DA6" w:rsidRDefault="002E592D" w:rsidP="00351A0F">
      <w:pPr>
        <w:tabs>
          <w:tab w:val="right" w:pos="5670"/>
          <w:tab w:val="right" w:pos="7371"/>
          <w:tab w:val="right" w:pos="8789"/>
        </w:tabs>
        <w:spacing w:before="120" w:after="120" w:line="240" w:lineRule="auto"/>
        <w:ind w:right="-20"/>
        <w:contextualSpacing/>
        <w:rPr>
          <w:rFonts w:ascii="Cambria" w:eastAsia="Arial" w:hAnsi="Cambria" w:cs="Arial"/>
        </w:rPr>
      </w:pPr>
      <w:r w:rsidRPr="009A0DA6">
        <w:rPr>
          <w:rFonts w:ascii="Cambria" w:eastAsia="Arial" w:hAnsi="Cambria" w:cs="Arial"/>
          <w:spacing w:val="-1"/>
        </w:rPr>
        <w:t>A</w:t>
      </w:r>
      <w:r w:rsidRPr="009A0DA6">
        <w:rPr>
          <w:rFonts w:ascii="Cambria" w:eastAsia="Arial" w:hAnsi="Cambria" w:cs="Arial"/>
        </w:rPr>
        <w:t>d</w:t>
      </w:r>
      <w:r w:rsidRPr="009A0DA6">
        <w:rPr>
          <w:rFonts w:ascii="Cambria" w:eastAsia="Arial" w:hAnsi="Cambria" w:cs="Arial"/>
          <w:spacing w:val="-2"/>
        </w:rPr>
        <w:t>v</w:t>
      </w:r>
      <w:r w:rsidRPr="009A0DA6">
        <w:rPr>
          <w:rFonts w:ascii="Cambria" w:eastAsia="Arial" w:hAnsi="Cambria" w:cs="Arial"/>
        </w:rPr>
        <w:t>a</w:t>
      </w:r>
      <w:r w:rsidRPr="009A0DA6">
        <w:rPr>
          <w:rFonts w:ascii="Cambria" w:eastAsia="Arial" w:hAnsi="Cambria" w:cs="Arial"/>
          <w:spacing w:val="-1"/>
        </w:rPr>
        <w:t>n</w:t>
      </w:r>
      <w:r w:rsidRPr="009A0DA6">
        <w:rPr>
          <w:rFonts w:ascii="Cambria" w:eastAsia="Arial" w:hAnsi="Cambria" w:cs="Arial"/>
          <w:spacing w:val="1"/>
        </w:rPr>
        <w:t>c</w:t>
      </w:r>
      <w:r w:rsidRPr="009A0DA6">
        <w:rPr>
          <w:rFonts w:ascii="Cambria" w:eastAsia="Arial" w:hAnsi="Cambria" w:cs="Arial"/>
        </w:rPr>
        <w:t>es</w:t>
      </w:r>
      <w:r w:rsidRPr="009A0DA6">
        <w:rPr>
          <w:rFonts w:ascii="Cambria" w:eastAsia="Arial" w:hAnsi="Cambria" w:cs="Arial"/>
        </w:rPr>
        <w:tab/>
        <w:t>112,310</w:t>
      </w:r>
      <w:r w:rsidRPr="009A0DA6">
        <w:rPr>
          <w:rFonts w:ascii="Cambria" w:eastAsia="Arial" w:hAnsi="Cambria" w:cs="Arial"/>
        </w:rPr>
        <w:tab/>
        <w:t>50,649</w:t>
      </w:r>
      <w:r w:rsidRPr="009A0DA6">
        <w:rPr>
          <w:rFonts w:ascii="Cambria" w:eastAsia="Arial" w:hAnsi="Cambria" w:cs="Arial"/>
        </w:rPr>
        <w:tab/>
        <w:t>160,690</w:t>
      </w:r>
    </w:p>
    <w:p w14:paraId="7C08D383" w14:textId="77777777" w:rsidR="002E592D" w:rsidRPr="009A0DA6" w:rsidRDefault="002E592D" w:rsidP="00351A0F">
      <w:pPr>
        <w:tabs>
          <w:tab w:val="right" w:pos="5670"/>
          <w:tab w:val="right" w:pos="7371"/>
          <w:tab w:val="right" w:pos="8789"/>
        </w:tabs>
        <w:spacing w:before="120" w:after="120" w:line="240" w:lineRule="auto"/>
        <w:ind w:right="-20"/>
        <w:contextualSpacing/>
        <w:rPr>
          <w:rFonts w:ascii="Cambria" w:eastAsia="Arial" w:hAnsi="Cambria" w:cs="Arial"/>
        </w:rPr>
      </w:pPr>
      <w:r w:rsidRPr="009A0DA6">
        <w:rPr>
          <w:rFonts w:ascii="Cambria" w:eastAsia="Arial" w:hAnsi="Cambria" w:cs="Arial"/>
        </w:rPr>
        <w:t>In</w:t>
      </w:r>
      <w:r w:rsidRPr="009A0DA6">
        <w:rPr>
          <w:rFonts w:ascii="Cambria" w:eastAsia="Arial" w:hAnsi="Cambria" w:cs="Arial"/>
          <w:spacing w:val="-1"/>
        </w:rPr>
        <w:t>t</w:t>
      </w:r>
      <w:r w:rsidRPr="009A0DA6">
        <w:rPr>
          <w:rFonts w:ascii="Cambria" w:eastAsia="Arial" w:hAnsi="Cambria" w:cs="Arial"/>
        </w:rPr>
        <w:t>ere</w:t>
      </w:r>
      <w:r w:rsidRPr="009A0DA6">
        <w:rPr>
          <w:rFonts w:ascii="Cambria" w:eastAsia="Arial" w:hAnsi="Cambria" w:cs="Arial"/>
          <w:spacing w:val="1"/>
        </w:rPr>
        <w:t>s</w:t>
      </w:r>
      <w:r w:rsidRPr="009A0DA6">
        <w:rPr>
          <w:rFonts w:ascii="Cambria" w:eastAsia="Arial" w:hAnsi="Cambria" w:cs="Arial"/>
        </w:rPr>
        <w:t>t</w:t>
      </w:r>
      <w:r w:rsidRPr="009A0DA6">
        <w:rPr>
          <w:rFonts w:ascii="Cambria" w:eastAsia="Arial" w:hAnsi="Cambria" w:cs="Arial"/>
          <w:spacing w:val="-7"/>
        </w:rPr>
        <w:t xml:space="preserve"> </w:t>
      </w:r>
      <w:r w:rsidRPr="009A0DA6">
        <w:rPr>
          <w:rFonts w:ascii="Cambria" w:eastAsia="Arial" w:hAnsi="Cambria" w:cs="Arial"/>
          <w:spacing w:val="-1"/>
        </w:rPr>
        <w:t>a</w:t>
      </w:r>
      <w:r w:rsidRPr="009A0DA6">
        <w:rPr>
          <w:rFonts w:ascii="Cambria" w:eastAsia="Arial" w:hAnsi="Cambria" w:cs="Arial"/>
        </w:rPr>
        <w:t>d</w:t>
      </w:r>
      <w:r w:rsidRPr="009A0DA6">
        <w:rPr>
          <w:rFonts w:ascii="Cambria" w:eastAsia="Arial" w:hAnsi="Cambria" w:cs="Arial"/>
          <w:spacing w:val="-1"/>
        </w:rPr>
        <w:t>d</w:t>
      </w:r>
      <w:r w:rsidRPr="009A0DA6">
        <w:rPr>
          <w:rFonts w:ascii="Cambria" w:eastAsia="Arial" w:hAnsi="Cambria" w:cs="Arial"/>
        </w:rPr>
        <w:t>ed</w:t>
      </w:r>
      <w:r w:rsidRPr="009A0DA6">
        <w:rPr>
          <w:rFonts w:ascii="Cambria" w:eastAsia="Arial" w:hAnsi="Cambria" w:cs="Arial"/>
        </w:rPr>
        <w:tab/>
        <w:t>93,811</w:t>
      </w:r>
      <w:r w:rsidRPr="009A0DA6">
        <w:rPr>
          <w:rFonts w:ascii="Cambria" w:eastAsia="Arial" w:hAnsi="Cambria" w:cs="Arial"/>
        </w:rPr>
        <w:tab/>
        <w:t>103,814</w:t>
      </w:r>
      <w:r w:rsidRPr="009A0DA6">
        <w:rPr>
          <w:rFonts w:ascii="Cambria" w:eastAsia="Arial" w:hAnsi="Cambria" w:cs="Arial"/>
        </w:rPr>
        <w:tab/>
        <w:t>107,493</w:t>
      </w:r>
    </w:p>
    <w:p w14:paraId="79A74AE3" w14:textId="77777777" w:rsidR="002E592D" w:rsidRPr="009A0DA6" w:rsidRDefault="002E592D" w:rsidP="00351A0F">
      <w:pPr>
        <w:tabs>
          <w:tab w:val="right" w:pos="5670"/>
          <w:tab w:val="right" w:pos="7371"/>
          <w:tab w:val="right" w:pos="8789"/>
        </w:tabs>
        <w:spacing w:before="120" w:after="120" w:line="240" w:lineRule="auto"/>
        <w:ind w:right="-20"/>
        <w:contextualSpacing/>
        <w:rPr>
          <w:rFonts w:ascii="Cambria" w:eastAsia="Arial" w:hAnsi="Cambria" w:cs="Arial"/>
        </w:rPr>
      </w:pPr>
      <w:r w:rsidRPr="009A0DA6">
        <w:rPr>
          <w:rFonts w:ascii="Cambria" w:hAnsi="Cambria"/>
        </w:rPr>
        <w:tab/>
      </w:r>
      <w:r w:rsidRPr="009A0DA6">
        <w:rPr>
          <w:rFonts w:ascii="Cambria" w:eastAsia="Arial" w:hAnsi="Cambria" w:cs="Arial"/>
        </w:rPr>
        <w:t>3,551,824</w:t>
      </w:r>
      <w:r w:rsidRPr="009A0DA6">
        <w:rPr>
          <w:rFonts w:ascii="Cambria" w:eastAsia="Arial" w:hAnsi="Cambria" w:cs="Arial"/>
        </w:rPr>
        <w:tab/>
        <w:t>3,790,893</w:t>
      </w:r>
      <w:r w:rsidRPr="009A0DA6">
        <w:rPr>
          <w:rFonts w:ascii="Cambria" w:eastAsia="Arial" w:hAnsi="Cambria" w:cs="Arial"/>
        </w:rPr>
        <w:tab/>
        <w:t>3,933,662</w:t>
      </w:r>
    </w:p>
    <w:p w14:paraId="21F0E1E0" w14:textId="77777777" w:rsidR="002E592D" w:rsidRPr="009A0DA6" w:rsidRDefault="002E592D" w:rsidP="00351A0F">
      <w:pPr>
        <w:tabs>
          <w:tab w:val="right" w:pos="5670"/>
          <w:tab w:val="right" w:pos="7371"/>
          <w:tab w:val="right" w:pos="8789"/>
        </w:tabs>
        <w:spacing w:before="120" w:after="120" w:line="240" w:lineRule="auto"/>
        <w:ind w:right="-20"/>
        <w:contextualSpacing/>
        <w:rPr>
          <w:rFonts w:ascii="Cambria" w:eastAsia="Arial" w:hAnsi="Cambria" w:cs="Arial"/>
        </w:rPr>
      </w:pPr>
      <w:r w:rsidRPr="009A0DA6">
        <w:rPr>
          <w:rFonts w:ascii="Cambria" w:eastAsia="Arial" w:hAnsi="Cambria" w:cs="Arial"/>
        </w:rPr>
        <w:t>Rep</w:t>
      </w:r>
      <w:r w:rsidRPr="009A0DA6">
        <w:rPr>
          <w:rFonts w:ascii="Cambria" w:eastAsia="Arial" w:hAnsi="Cambria" w:cs="Arial"/>
          <w:spacing w:val="-1"/>
        </w:rPr>
        <w:t>a</w:t>
      </w:r>
      <w:r w:rsidRPr="009A0DA6">
        <w:rPr>
          <w:rFonts w:ascii="Cambria" w:eastAsia="Arial" w:hAnsi="Cambria" w:cs="Arial"/>
          <w:spacing w:val="-6"/>
        </w:rPr>
        <w:t>y</w:t>
      </w:r>
      <w:r w:rsidRPr="009A0DA6">
        <w:rPr>
          <w:rFonts w:ascii="Cambria" w:eastAsia="Arial" w:hAnsi="Cambria" w:cs="Arial"/>
          <w:spacing w:val="4"/>
        </w:rPr>
        <w:t>m</w:t>
      </w:r>
      <w:r w:rsidRPr="009A0DA6">
        <w:rPr>
          <w:rFonts w:ascii="Cambria" w:eastAsia="Arial" w:hAnsi="Cambria" w:cs="Arial"/>
        </w:rPr>
        <w:t>e</w:t>
      </w:r>
      <w:r w:rsidRPr="009A0DA6">
        <w:rPr>
          <w:rFonts w:ascii="Cambria" w:eastAsia="Arial" w:hAnsi="Cambria" w:cs="Arial"/>
          <w:spacing w:val="-1"/>
        </w:rPr>
        <w:t>n</w:t>
      </w:r>
      <w:r w:rsidRPr="009A0DA6">
        <w:rPr>
          <w:rFonts w:ascii="Cambria" w:eastAsia="Arial" w:hAnsi="Cambria" w:cs="Arial"/>
        </w:rPr>
        <w:t>ts</w:t>
      </w:r>
      <w:r w:rsidRPr="009A0DA6">
        <w:rPr>
          <w:rFonts w:ascii="Cambria" w:eastAsia="Arial" w:hAnsi="Cambria" w:cs="Arial"/>
        </w:rPr>
        <w:tab/>
        <w:t>417,818</w:t>
      </w:r>
      <w:r w:rsidRPr="009A0DA6">
        <w:rPr>
          <w:rFonts w:ascii="Cambria" w:eastAsia="Arial" w:hAnsi="Cambria" w:cs="Arial"/>
        </w:rPr>
        <w:tab/>
        <w:t>445,190</w:t>
      </w:r>
      <w:r w:rsidRPr="009A0DA6">
        <w:rPr>
          <w:rFonts w:ascii="Cambria" w:eastAsia="Arial" w:hAnsi="Cambria" w:cs="Arial"/>
        </w:rPr>
        <w:tab/>
        <w:t>297,232</w:t>
      </w:r>
    </w:p>
    <w:p w14:paraId="31160825" w14:textId="4CCF64FD" w:rsidR="002E592D" w:rsidRPr="009A0DA6" w:rsidRDefault="002E592D" w:rsidP="006C6F9E">
      <w:pPr>
        <w:tabs>
          <w:tab w:val="right" w:pos="5670"/>
          <w:tab w:val="right" w:pos="7371"/>
          <w:tab w:val="right" w:pos="8789"/>
        </w:tabs>
        <w:spacing w:before="120" w:after="120" w:line="240" w:lineRule="auto"/>
        <w:ind w:right="-20"/>
        <w:contextualSpacing/>
        <w:rPr>
          <w:rFonts w:ascii="Cambria" w:eastAsia="Arial" w:hAnsi="Cambria" w:cs="Arial"/>
          <w:b/>
          <w:bCs/>
          <w:w w:val="99"/>
        </w:rPr>
      </w:pPr>
      <w:r w:rsidRPr="009A0DA6">
        <w:rPr>
          <w:rFonts w:ascii="Cambria" w:eastAsia="Arial" w:hAnsi="Cambria" w:cs="Arial"/>
        </w:rPr>
        <w:t>C</w:t>
      </w:r>
      <w:r w:rsidR="006C6F9E">
        <w:rPr>
          <w:rFonts w:ascii="Cambria" w:eastAsia="Arial" w:hAnsi="Cambria" w:cs="Arial"/>
        </w:rPr>
        <w:t>losing balance 31 December 2017</w:t>
      </w:r>
      <w:r w:rsidR="006C6F9E">
        <w:rPr>
          <w:rFonts w:ascii="Cambria" w:eastAsia="Arial" w:hAnsi="Cambria" w:cs="Arial"/>
        </w:rPr>
        <w:tab/>
      </w:r>
      <w:r w:rsidRPr="009A0DA6">
        <w:rPr>
          <w:rFonts w:ascii="Cambria" w:eastAsia="Arial" w:hAnsi="Cambria" w:cs="Arial"/>
        </w:rPr>
        <w:t>$</w:t>
      </w:r>
      <w:r w:rsidRPr="009A0DA6">
        <w:rPr>
          <w:rFonts w:ascii="Cambria" w:eastAsia="Arial" w:hAnsi="Cambria" w:cs="Arial"/>
          <w:b/>
          <w:bCs/>
          <w:w w:val="99"/>
        </w:rPr>
        <w:t xml:space="preserve">3,134,006 </w:t>
      </w:r>
      <w:r w:rsidRPr="009A0DA6">
        <w:rPr>
          <w:rFonts w:ascii="Cambria" w:eastAsia="Arial" w:hAnsi="Cambria" w:cs="Arial"/>
          <w:b/>
          <w:bCs/>
        </w:rPr>
        <w:tab/>
        <w:t>$</w:t>
      </w:r>
      <w:r w:rsidRPr="009A0DA6">
        <w:rPr>
          <w:rFonts w:ascii="Cambria" w:eastAsia="Arial" w:hAnsi="Cambria" w:cs="Arial"/>
          <w:b/>
          <w:bCs/>
          <w:w w:val="99"/>
        </w:rPr>
        <w:t>3,345,703</w:t>
      </w:r>
      <w:r w:rsidRPr="009A0DA6">
        <w:rPr>
          <w:rFonts w:ascii="Cambria" w:eastAsia="Arial" w:hAnsi="Cambria" w:cs="Arial"/>
        </w:rPr>
        <w:tab/>
        <w:t>$</w:t>
      </w:r>
      <w:r w:rsidRPr="009A0DA6">
        <w:rPr>
          <w:rFonts w:ascii="Cambria" w:eastAsia="Arial" w:hAnsi="Cambria" w:cs="Arial"/>
          <w:b/>
          <w:bCs/>
          <w:w w:val="99"/>
        </w:rPr>
        <w:t>3,636,429</w:t>
      </w:r>
    </w:p>
    <w:p w14:paraId="35434F01" w14:textId="77777777" w:rsidR="002E592D" w:rsidRPr="009A0DA6" w:rsidRDefault="002E592D" w:rsidP="002E592D">
      <w:pPr>
        <w:tabs>
          <w:tab w:val="right" w:pos="5954"/>
          <w:tab w:val="right" w:pos="7371"/>
          <w:tab w:val="right" w:pos="8789"/>
        </w:tabs>
        <w:spacing w:before="120" w:after="120" w:line="240" w:lineRule="auto"/>
        <w:ind w:right="-20"/>
        <w:contextualSpacing/>
        <w:rPr>
          <w:rFonts w:ascii="Cambria" w:eastAsia="Arial" w:hAnsi="Cambria" w:cs="Arial"/>
        </w:rPr>
      </w:pPr>
    </w:p>
    <w:p w14:paraId="723AB1DA" w14:textId="77777777" w:rsidR="002E592D" w:rsidRPr="009A0DA6" w:rsidRDefault="002E592D" w:rsidP="002E592D">
      <w:pPr>
        <w:tabs>
          <w:tab w:val="right" w:pos="5954"/>
          <w:tab w:val="right" w:pos="7371"/>
          <w:tab w:val="right" w:pos="8789"/>
        </w:tabs>
        <w:spacing w:before="120" w:after="120" w:line="240" w:lineRule="auto"/>
        <w:ind w:right="3236"/>
        <w:contextualSpacing/>
        <w:rPr>
          <w:rFonts w:ascii="Cambria" w:eastAsia="Arial" w:hAnsi="Cambria" w:cs="Arial"/>
        </w:rPr>
      </w:pPr>
      <w:r w:rsidRPr="009A0DA6">
        <w:rPr>
          <w:rFonts w:ascii="Cambria" w:eastAsia="Arial" w:hAnsi="Cambria" w:cs="Arial"/>
          <w:b/>
          <w:bCs/>
        </w:rPr>
        <w:t>Fun</w:t>
      </w:r>
      <w:r w:rsidRPr="009A0DA6">
        <w:rPr>
          <w:rFonts w:ascii="Cambria" w:eastAsia="Arial" w:hAnsi="Cambria" w:cs="Arial"/>
          <w:b/>
          <w:bCs/>
          <w:spacing w:val="-1"/>
        </w:rPr>
        <w:t>d</w:t>
      </w:r>
      <w:r w:rsidRPr="009A0DA6">
        <w:rPr>
          <w:rFonts w:ascii="Cambria" w:eastAsia="Arial" w:hAnsi="Cambria" w:cs="Arial"/>
          <w:b/>
          <w:bCs/>
        </w:rPr>
        <w:t>s</w:t>
      </w:r>
      <w:r w:rsidRPr="009A0DA6">
        <w:rPr>
          <w:rFonts w:ascii="Cambria" w:eastAsia="Arial" w:hAnsi="Cambria" w:cs="Arial"/>
          <w:b/>
          <w:bCs/>
          <w:spacing w:val="1"/>
        </w:rPr>
        <w:t xml:space="preserve"> a</w:t>
      </w:r>
      <w:r w:rsidRPr="009A0DA6">
        <w:rPr>
          <w:rFonts w:ascii="Cambria" w:eastAsia="Arial" w:hAnsi="Cambria" w:cs="Arial"/>
          <w:b/>
          <w:bCs/>
        </w:rPr>
        <w:t>nd Li</w:t>
      </w:r>
      <w:r w:rsidRPr="009A0DA6">
        <w:rPr>
          <w:rFonts w:ascii="Cambria" w:eastAsia="Arial" w:hAnsi="Cambria" w:cs="Arial"/>
          <w:b/>
          <w:bCs/>
          <w:spacing w:val="1"/>
        </w:rPr>
        <w:t>a</w:t>
      </w:r>
      <w:r w:rsidRPr="009A0DA6">
        <w:rPr>
          <w:rFonts w:ascii="Cambria" w:eastAsia="Arial" w:hAnsi="Cambria" w:cs="Arial"/>
          <w:b/>
          <w:bCs/>
        </w:rPr>
        <w:t>bil</w:t>
      </w:r>
      <w:r w:rsidRPr="009A0DA6">
        <w:rPr>
          <w:rFonts w:ascii="Cambria" w:eastAsia="Arial" w:hAnsi="Cambria" w:cs="Arial"/>
          <w:b/>
          <w:bCs/>
          <w:spacing w:val="1"/>
        </w:rPr>
        <w:t>i</w:t>
      </w:r>
      <w:r w:rsidRPr="009A0DA6">
        <w:rPr>
          <w:rFonts w:ascii="Cambria" w:eastAsia="Arial" w:hAnsi="Cambria" w:cs="Arial"/>
          <w:b/>
          <w:bCs/>
        </w:rPr>
        <w:t>ties</w:t>
      </w:r>
    </w:p>
    <w:p w14:paraId="50C5E5E4" w14:textId="77777777" w:rsidR="002E592D" w:rsidRPr="009A0DA6" w:rsidRDefault="002E592D" w:rsidP="002E592D">
      <w:pPr>
        <w:tabs>
          <w:tab w:val="right" w:pos="5954"/>
          <w:tab w:val="right" w:pos="7371"/>
          <w:tab w:val="right" w:pos="8789"/>
        </w:tabs>
        <w:spacing w:before="120" w:after="120" w:line="240" w:lineRule="auto"/>
        <w:ind w:right="-20"/>
        <w:contextualSpacing/>
        <w:rPr>
          <w:rFonts w:ascii="Cambria" w:eastAsia="Arial" w:hAnsi="Cambria" w:cs="Arial"/>
        </w:rPr>
      </w:pPr>
      <w:r w:rsidRPr="009A0DA6">
        <w:rPr>
          <w:rFonts w:ascii="Cambria" w:eastAsia="Arial" w:hAnsi="Cambria" w:cs="Arial"/>
          <w:b/>
          <w:bCs/>
          <w:spacing w:val="-7"/>
        </w:rPr>
        <w:t>A</w:t>
      </w:r>
      <w:r w:rsidRPr="009A0DA6">
        <w:rPr>
          <w:rFonts w:ascii="Cambria" w:eastAsia="Arial" w:hAnsi="Cambria" w:cs="Arial"/>
          <w:b/>
          <w:bCs/>
        </w:rPr>
        <w:t>c</w:t>
      </w:r>
      <w:r w:rsidRPr="009A0DA6">
        <w:rPr>
          <w:rFonts w:ascii="Cambria" w:eastAsia="Arial" w:hAnsi="Cambria" w:cs="Arial"/>
          <w:b/>
          <w:bCs/>
          <w:spacing w:val="-1"/>
        </w:rPr>
        <w:t>c</w:t>
      </w:r>
      <w:r w:rsidRPr="009A0DA6">
        <w:rPr>
          <w:rFonts w:ascii="Cambria" w:eastAsia="Arial" w:hAnsi="Cambria" w:cs="Arial"/>
          <w:b/>
          <w:bCs/>
        </w:rPr>
        <w:t>um</w:t>
      </w:r>
      <w:r w:rsidRPr="009A0DA6">
        <w:rPr>
          <w:rFonts w:ascii="Cambria" w:eastAsia="Arial" w:hAnsi="Cambria" w:cs="Arial"/>
          <w:b/>
          <w:bCs/>
          <w:spacing w:val="1"/>
        </w:rPr>
        <w:t>u</w:t>
      </w:r>
      <w:r w:rsidRPr="009A0DA6">
        <w:rPr>
          <w:rFonts w:ascii="Cambria" w:eastAsia="Arial" w:hAnsi="Cambria" w:cs="Arial"/>
          <w:b/>
          <w:bCs/>
        </w:rPr>
        <w:t>lated</w:t>
      </w:r>
      <w:r w:rsidRPr="009A0DA6">
        <w:rPr>
          <w:rFonts w:ascii="Cambria" w:eastAsia="Arial" w:hAnsi="Cambria" w:cs="Arial"/>
          <w:b/>
          <w:bCs/>
          <w:spacing w:val="-13"/>
        </w:rPr>
        <w:t xml:space="preserve"> </w:t>
      </w:r>
      <w:r w:rsidRPr="009A0DA6">
        <w:rPr>
          <w:rFonts w:ascii="Cambria" w:eastAsia="Arial" w:hAnsi="Cambria" w:cs="Arial"/>
          <w:b/>
          <w:bCs/>
        </w:rPr>
        <w:t>F</w:t>
      </w:r>
      <w:r w:rsidRPr="009A0DA6">
        <w:rPr>
          <w:rFonts w:ascii="Cambria" w:eastAsia="Arial" w:hAnsi="Cambria" w:cs="Arial"/>
          <w:b/>
          <w:bCs/>
          <w:spacing w:val="1"/>
        </w:rPr>
        <w:t>u</w:t>
      </w:r>
      <w:r w:rsidRPr="009A0DA6">
        <w:rPr>
          <w:rFonts w:ascii="Cambria" w:eastAsia="Arial" w:hAnsi="Cambria" w:cs="Arial"/>
          <w:b/>
          <w:bCs/>
        </w:rPr>
        <w:t>nds</w:t>
      </w:r>
    </w:p>
    <w:p w14:paraId="531132AB" w14:textId="77777777" w:rsidR="002E592D" w:rsidRPr="009A0DA6" w:rsidRDefault="002E592D" w:rsidP="002E592D">
      <w:pPr>
        <w:tabs>
          <w:tab w:val="right" w:pos="5954"/>
          <w:tab w:val="right" w:pos="7371"/>
          <w:tab w:val="right" w:pos="8789"/>
        </w:tabs>
        <w:spacing w:before="120" w:after="120" w:line="240" w:lineRule="auto"/>
        <w:ind w:right="-20"/>
        <w:contextualSpacing/>
        <w:rPr>
          <w:rFonts w:ascii="Cambria" w:eastAsia="Arial" w:hAnsi="Cambria" w:cs="Arial"/>
        </w:rPr>
      </w:pPr>
      <w:r w:rsidRPr="009A0DA6">
        <w:rPr>
          <w:rFonts w:ascii="Cambria" w:eastAsia="Arial" w:hAnsi="Cambria" w:cs="Arial"/>
        </w:rPr>
        <w:t>C</w:t>
      </w:r>
      <w:r w:rsidRPr="009A0DA6">
        <w:rPr>
          <w:rFonts w:ascii="Cambria" w:eastAsia="Arial" w:hAnsi="Cambria" w:cs="Arial"/>
          <w:spacing w:val="1"/>
        </w:rPr>
        <w:t>r</w:t>
      </w:r>
      <w:r w:rsidRPr="009A0DA6">
        <w:rPr>
          <w:rFonts w:ascii="Cambria" w:eastAsia="Arial" w:hAnsi="Cambria" w:cs="Arial"/>
        </w:rPr>
        <w:t>e</w:t>
      </w:r>
      <w:r w:rsidRPr="009A0DA6">
        <w:rPr>
          <w:rFonts w:ascii="Cambria" w:eastAsia="Arial" w:hAnsi="Cambria" w:cs="Arial"/>
          <w:spacing w:val="-1"/>
        </w:rPr>
        <w:t>di</w:t>
      </w:r>
      <w:r w:rsidRPr="009A0DA6">
        <w:rPr>
          <w:rFonts w:ascii="Cambria" w:eastAsia="Arial" w:hAnsi="Cambria" w:cs="Arial"/>
        </w:rPr>
        <w:t>t</w:t>
      </w:r>
      <w:r w:rsidRPr="009A0DA6">
        <w:rPr>
          <w:rFonts w:ascii="Cambria" w:eastAsia="Arial" w:hAnsi="Cambria" w:cs="Arial"/>
          <w:spacing w:val="-5"/>
        </w:rPr>
        <w:t xml:space="preserve"> </w:t>
      </w:r>
      <w:r w:rsidRPr="009A0DA6">
        <w:rPr>
          <w:rFonts w:ascii="Cambria" w:eastAsia="Arial" w:hAnsi="Cambria" w:cs="Arial"/>
          <w:spacing w:val="-1"/>
        </w:rPr>
        <w:t>a</w:t>
      </w:r>
      <w:r w:rsidRPr="009A0DA6">
        <w:rPr>
          <w:rFonts w:ascii="Cambria" w:eastAsia="Arial" w:hAnsi="Cambria" w:cs="Arial"/>
        </w:rPr>
        <w:t>s</w:t>
      </w:r>
      <w:r w:rsidRPr="009A0DA6">
        <w:rPr>
          <w:rFonts w:ascii="Cambria" w:eastAsia="Arial" w:hAnsi="Cambria" w:cs="Arial"/>
          <w:spacing w:val="-1"/>
        </w:rPr>
        <w:t xml:space="preserve"> </w:t>
      </w:r>
      <w:r w:rsidRPr="009A0DA6">
        <w:rPr>
          <w:rFonts w:ascii="Cambria" w:eastAsia="Arial" w:hAnsi="Cambria" w:cs="Arial"/>
        </w:rPr>
        <w:t>at</w:t>
      </w:r>
      <w:r w:rsidRPr="009A0DA6">
        <w:rPr>
          <w:rFonts w:ascii="Cambria" w:eastAsia="Arial" w:hAnsi="Cambria" w:cs="Arial"/>
          <w:spacing w:val="-3"/>
        </w:rPr>
        <w:t xml:space="preserve"> </w:t>
      </w:r>
      <w:r w:rsidRPr="009A0DA6">
        <w:rPr>
          <w:rFonts w:ascii="Cambria" w:eastAsia="Arial" w:hAnsi="Cambria" w:cs="Arial"/>
        </w:rPr>
        <w:t>1st</w:t>
      </w:r>
      <w:r w:rsidRPr="009A0DA6">
        <w:rPr>
          <w:rFonts w:ascii="Cambria" w:eastAsia="Arial" w:hAnsi="Cambria" w:cs="Arial"/>
          <w:spacing w:val="-3"/>
        </w:rPr>
        <w:t xml:space="preserve"> </w:t>
      </w:r>
      <w:r w:rsidRPr="009A0DA6">
        <w:rPr>
          <w:rFonts w:ascii="Cambria" w:eastAsia="Arial" w:hAnsi="Cambria" w:cs="Arial"/>
          <w:spacing w:val="1"/>
        </w:rPr>
        <w:t>J</w:t>
      </w:r>
      <w:r w:rsidRPr="009A0DA6">
        <w:rPr>
          <w:rFonts w:ascii="Cambria" w:eastAsia="Arial" w:hAnsi="Cambria" w:cs="Arial"/>
        </w:rPr>
        <w:t>a</w:t>
      </w:r>
      <w:r w:rsidRPr="009A0DA6">
        <w:rPr>
          <w:rFonts w:ascii="Cambria" w:eastAsia="Arial" w:hAnsi="Cambria" w:cs="Arial"/>
          <w:spacing w:val="-1"/>
        </w:rPr>
        <w:t>n</w:t>
      </w:r>
      <w:r w:rsidRPr="009A0DA6">
        <w:rPr>
          <w:rFonts w:ascii="Cambria" w:eastAsia="Arial" w:hAnsi="Cambria" w:cs="Arial"/>
        </w:rPr>
        <w:t>u</w:t>
      </w:r>
      <w:r w:rsidRPr="009A0DA6">
        <w:rPr>
          <w:rFonts w:ascii="Cambria" w:eastAsia="Arial" w:hAnsi="Cambria" w:cs="Arial"/>
          <w:spacing w:val="-1"/>
        </w:rPr>
        <w:t>a</w:t>
      </w:r>
      <w:r w:rsidRPr="009A0DA6">
        <w:rPr>
          <w:rFonts w:ascii="Cambria" w:eastAsia="Arial" w:hAnsi="Cambria" w:cs="Arial"/>
          <w:spacing w:val="1"/>
        </w:rPr>
        <w:t>r</w:t>
      </w:r>
      <w:r w:rsidRPr="009A0DA6">
        <w:rPr>
          <w:rFonts w:ascii="Cambria" w:eastAsia="Arial" w:hAnsi="Cambria" w:cs="Arial"/>
        </w:rPr>
        <w:t>y</w:t>
      </w:r>
      <w:r w:rsidRPr="009A0DA6">
        <w:rPr>
          <w:rFonts w:ascii="Cambria" w:eastAsia="Arial" w:hAnsi="Cambria" w:cs="Arial"/>
        </w:rPr>
        <w:tab/>
        <w:t>423,084</w:t>
      </w:r>
      <w:r w:rsidRPr="009A0DA6">
        <w:rPr>
          <w:rFonts w:ascii="Cambria" w:eastAsia="Arial" w:hAnsi="Cambria" w:cs="Arial"/>
        </w:rPr>
        <w:tab/>
        <w:t>339,827</w:t>
      </w:r>
      <w:r w:rsidRPr="009A0DA6">
        <w:rPr>
          <w:rFonts w:ascii="Cambria" w:eastAsia="Arial" w:hAnsi="Cambria" w:cs="Arial"/>
        </w:rPr>
        <w:tab/>
        <w:t>268,442</w:t>
      </w:r>
    </w:p>
    <w:p w14:paraId="55D1B7F7" w14:textId="77777777" w:rsidR="002E592D" w:rsidRPr="009A0DA6" w:rsidRDefault="002E592D" w:rsidP="002E592D">
      <w:pPr>
        <w:tabs>
          <w:tab w:val="right" w:pos="5954"/>
          <w:tab w:val="right" w:pos="7371"/>
          <w:tab w:val="right" w:pos="8789"/>
        </w:tabs>
        <w:spacing w:before="120" w:after="120" w:line="240" w:lineRule="auto"/>
        <w:ind w:right="-20"/>
        <w:contextualSpacing/>
        <w:rPr>
          <w:rFonts w:ascii="Cambria" w:eastAsia="Arial" w:hAnsi="Cambria" w:cs="Arial"/>
        </w:rPr>
      </w:pPr>
      <w:r w:rsidRPr="009A0DA6">
        <w:rPr>
          <w:rFonts w:ascii="Cambria" w:eastAsia="Arial" w:hAnsi="Cambria" w:cs="Arial"/>
          <w:spacing w:val="1"/>
        </w:rPr>
        <w:t>O</w:t>
      </w:r>
      <w:r w:rsidRPr="009A0DA6">
        <w:rPr>
          <w:rFonts w:ascii="Cambria" w:eastAsia="Arial" w:hAnsi="Cambria" w:cs="Arial"/>
        </w:rPr>
        <w:t>p</w:t>
      </w:r>
      <w:r w:rsidRPr="009A0DA6">
        <w:rPr>
          <w:rFonts w:ascii="Cambria" w:eastAsia="Arial" w:hAnsi="Cambria" w:cs="Arial"/>
          <w:spacing w:val="-1"/>
        </w:rPr>
        <w:t>e</w:t>
      </w:r>
      <w:r w:rsidRPr="009A0DA6">
        <w:rPr>
          <w:rFonts w:ascii="Cambria" w:eastAsia="Arial" w:hAnsi="Cambria" w:cs="Arial"/>
          <w:spacing w:val="1"/>
        </w:rPr>
        <w:t>r</w:t>
      </w:r>
      <w:r w:rsidRPr="009A0DA6">
        <w:rPr>
          <w:rFonts w:ascii="Cambria" w:eastAsia="Arial" w:hAnsi="Cambria" w:cs="Arial"/>
        </w:rPr>
        <w:t>at</w:t>
      </w:r>
      <w:r w:rsidRPr="009A0DA6">
        <w:rPr>
          <w:rFonts w:ascii="Cambria" w:eastAsia="Arial" w:hAnsi="Cambria" w:cs="Arial"/>
          <w:spacing w:val="-2"/>
        </w:rPr>
        <w:t>i</w:t>
      </w:r>
      <w:r w:rsidRPr="009A0DA6">
        <w:rPr>
          <w:rFonts w:ascii="Cambria" w:eastAsia="Arial" w:hAnsi="Cambria" w:cs="Arial"/>
        </w:rPr>
        <w:t>ng</w:t>
      </w:r>
      <w:r w:rsidRPr="009A0DA6">
        <w:rPr>
          <w:rFonts w:ascii="Cambria" w:eastAsia="Arial" w:hAnsi="Cambria" w:cs="Arial"/>
          <w:spacing w:val="-10"/>
        </w:rPr>
        <w:t xml:space="preserve"> </w:t>
      </w:r>
      <w:r w:rsidRPr="009A0DA6">
        <w:rPr>
          <w:rFonts w:ascii="Cambria" w:eastAsia="Arial" w:hAnsi="Cambria" w:cs="Arial"/>
        </w:rPr>
        <w:t>re</w:t>
      </w:r>
      <w:r w:rsidRPr="009A0DA6">
        <w:rPr>
          <w:rFonts w:ascii="Cambria" w:eastAsia="Arial" w:hAnsi="Cambria" w:cs="Arial"/>
          <w:spacing w:val="1"/>
        </w:rPr>
        <w:t>s</w:t>
      </w:r>
      <w:r w:rsidRPr="009A0DA6">
        <w:rPr>
          <w:rFonts w:ascii="Cambria" w:eastAsia="Arial" w:hAnsi="Cambria" w:cs="Arial"/>
        </w:rPr>
        <w:t>u</w:t>
      </w:r>
      <w:r w:rsidRPr="009A0DA6">
        <w:rPr>
          <w:rFonts w:ascii="Cambria" w:eastAsia="Arial" w:hAnsi="Cambria" w:cs="Arial"/>
          <w:spacing w:val="-1"/>
        </w:rPr>
        <w:t>l</w:t>
      </w:r>
      <w:r w:rsidRPr="009A0DA6">
        <w:rPr>
          <w:rFonts w:ascii="Cambria" w:eastAsia="Arial" w:hAnsi="Cambria" w:cs="Arial"/>
        </w:rPr>
        <w:t>t</w:t>
      </w:r>
      <w:r w:rsidRPr="009A0DA6">
        <w:rPr>
          <w:rFonts w:ascii="Cambria" w:eastAsia="Arial" w:hAnsi="Cambria" w:cs="Arial"/>
          <w:spacing w:val="-5"/>
        </w:rPr>
        <w:t xml:space="preserve"> </w:t>
      </w:r>
      <w:r w:rsidRPr="009A0DA6">
        <w:rPr>
          <w:rFonts w:ascii="Cambria" w:eastAsia="Arial" w:hAnsi="Cambria" w:cs="Arial"/>
          <w:spacing w:val="2"/>
        </w:rPr>
        <w:t>f</w:t>
      </w:r>
      <w:r w:rsidRPr="009A0DA6">
        <w:rPr>
          <w:rFonts w:ascii="Cambria" w:eastAsia="Arial" w:hAnsi="Cambria" w:cs="Arial"/>
        </w:rPr>
        <w:t>or</w:t>
      </w:r>
      <w:r w:rsidRPr="009A0DA6">
        <w:rPr>
          <w:rFonts w:ascii="Cambria" w:eastAsia="Arial" w:hAnsi="Cambria" w:cs="Arial"/>
          <w:spacing w:val="-2"/>
        </w:rPr>
        <w:t xml:space="preserve"> </w:t>
      </w:r>
      <w:r w:rsidRPr="009A0DA6">
        <w:rPr>
          <w:rFonts w:ascii="Cambria" w:eastAsia="Arial" w:hAnsi="Cambria" w:cs="Arial"/>
        </w:rPr>
        <w:t>the</w:t>
      </w:r>
      <w:r w:rsidRPr="009A0DA6">
        <w:rPr>
          <w:rFonts w:ascii="Cambria" w:eastAsia="Arial" w:hAnsi="Cambria" w:cs="Arial"/>
          <w:spacing w:val="-4"/>
        </w:rPr>
        <w:t xml:space="preserve"> </w:t>
      </w:r>
      <w:r w:rsidRPr="009A0DA6">
        <w:rPr>
          <w:rFonts w:ascii="Cambria" w:eastAsia="Arial" w:hAnsi="Cambria" w:cs="Arial"/>
          <w:spacing w:val="-6"/>
        </w:rPr>
        <w:t>y</w:t>
      </w:r>
      <w:r w:rsidRPr="009A0DA6">
        <w:rPr>
          <w:rFonts w:ascii="Cambria" w:eastAsia="Arial" w:hAnsi="Cambria" w:cs="Arial"/>
        </w:rPr>
        <w:t>e</w:t>
      </w:r>
      <w:r w:rsidRPr="009A0DA6">
        <w:rPr>
          <w:rFonts w:ascii="Cambria" w:eastAsia="Arial" w:hAnsi="Cambria" w:cs="Arial"/>
          <w:spacing w:val="-1"/>
        </w:rPr>
        <w:t>a</w:t>
      </w:r>
      <w:r w:rsidRPr="009A0DA6">
        <w:rPr>
          <w:rFonts w:ascii="Cambria" w:eastAsia="Arial" w:hAnsi="Cambria" w:cs="Arial"/>
        </w:rPr>
        <w:t>r</w:t>
      </w:r>
      <w:r w:rsidRPr="009A0DA6">
        <w:rPr>
          <w:rFonts w:ascii="Cambria" w:eastAsia="Arial" w:hAnsi="Cambria" w:cs="Arial"/>
        </w:rPr>
        <w:tab/>
        <w:t>-83,257</w:t>
      </w:r>
      <w:r w:rsidRPr="009A0DA6">
        <w:rPr>
          <w:rFonts w:ascii="Cambria" w:eastAsia="Arial" w:hAnsi="Cambria" w:cs="Arial"/>
        </w:rPr>
        <w:tab/>
      </w:r>
      <w:r w:rsidRPr="009A0DA6">
        <w:rPr>
          <w:rFonts w:ascii="Cambria" w:eastAsia="Arial" w:hAnsi="Cambria" w:cs="Arial"/>
          <w:spacing w:val="1"/>
        </w:rPr>
        <w:t>-</w:t>
      </w:r>
      <w:r w:rsidRPr="009A0DA6">
        <w:rPr>
          <w:rFonts w:ascii="Cambria" w:eastAsia="Arial" w:hAnsi="Cambria" w:cs="Arial"/>
        </w:rPr>
        <w:t>7</w:t>
      </w:r>
      <w:r w:rsidRPr="009A0DA6">
        <w:rPr>
          <w:rFonts w:ascii="Cambria" w:eastAsia="Arial" w:hAnsi="Cambria" w:cs="Arial"/>
          <w:spacing w:val="-1"/>
        </w:rPr>
        <w:t>1</w:t>
      </w:r>
      <w:r w:rsidRPr="009A0DA6">
        <w:rPr>
          <w:rFonts w:ascii="Cambria" w:eastAsia="Arial" w:hAnsi="Cambria" w:cs="Arial"/>
        </w:rPr>
        <w:t>,3</w:t>
      </w:r>
      <w:r w:rsidRPr="009A0DA6">
        <w:rPr>
          <w:rFonts w:ascii="Cambria" w:eastAsia="Arial" w:hAnsi="Cambria" w:cs="Arial"/>
          <w:spacing w:val="-1"/>
        </w:rPr>
        <w:t>8</w:t>
      </w:r>
      <w:r w:rsidRPr="009A0DA6">
        <w:rPr>
          <w:rFonts w:ascii="Cambria" w:eastAsia="Arial" w:hAnsi="Cambria" w:cs="Arial"/>
        </w:rPr>
        <w:t>5</w:t>
      </w:r>
      <w:r w:rsidRPr="009A0DA6">
        <w:rPr>
          <w:rFonts w:ascii="Cambria" w:eastAsia="Arial" w:hAnsi="Cambria" w:cs="Arial"/>
        </w:rPr>
        <w:tab/>
        <w:t>-254,909</w:t>
      </w:r>
    </w:p>
    <w:p w14:paraId="698B6382" w14:textId="77777777" w:rsidR="002E592D" w:rsidRPr="009A0DA6" w:rsidRDefault="002E592D" w:rsidP="002E592D">
      <w:pPr>
        <w:tabs>
          <w:tab w:val="right" w:pos="5954"/>
          <w:tab w:val="right" w:pos="7371"/>
          <w:tab w:val="right" w:pos="8789"/>
        </w:tabs>
        <w:spacing w:before="120" w:after="120" w:line="240" w:lineRule="auto"/>
        <w:ind w:right="-20"/>
        <w:contextualSpacing/>
        <w:rPr>
          <w:rFonts w:ascii="Cambria" w:eastAsia="Arial" w:hAnsi="Cambria" w:cs="Arial"/>
        </w:rPr>
      </w:pPr>
      <w:r w:rsidRPr="009A0DA6">
        <w:rPr>
          <w:rFonts w:ascii="Cambria" w:hAnsi="Cambria"/>
        </w:rPr>
        <w:tab/>
      </w:r>
      <w:r w:rsidRPr="009A0DA6">
        <w:rPr>
          <w:rFonts w:ascii="Cambria" w:eastAsia="Arial" w:hAnsi="Cambria" w:cs="Arial"/>
          <w:b/>
          <w:bCs/>
        </w:rPr>
        <w:t>339,827</w:t>
      </w:r>
      <w:r w:rsidRPr="009A0DA6">
        <w:rPr>
          <w:rFonts w:ascii="Cambria" w:eastAsia="Arial" w:hAnsi="Cambria" w:cs="Arial"/>
        </w:rPr>
        <w:tab/>
      </w:r>
      <w:r w:rsidRPr="009A0DA6">
        <w:rPr>
          <w:rFonts w:ascii="Cambria" w:eastAsia="Arial" w:hAnsi="Cambria" w:cs="Arial"/>
          <w:b/>
          <w:bCs/>
        </w:rPr>
        <w:t>268,442</w:t>
      </w:r>
      <w:r w:rsidRPr="009A0DA6">
        <w:rPr>
          <w:rFonts w:ascii="Cambria" w:eastAsia="Arial" w:hAnsi="Cambria" w:cs="Arial"/>
        </w:rPr>
        <w:tab/>
      </w:r>
      <w:r w:rsidRPr="009A0DA6">
        <w:rPr>
          <w:rFonts w:ascii="Cambria" w:eastAsia="Arial" w:hAnsi="Cambria" w:cs="Arial"/>
          <w:b/>
          <w:bCs/>
        </w:rPr>
        <w:t>13,533</w:t>
      </w:r>
    </w:p>
    <w:p w14:paraId="237557D5" w14:textId="77777777" w:rsidR="002E592D" w:rsidRPr="009A0DA6" w:rsidRDefault="002E592D" w:rsidP="002E592D">
      <w:pPr>
        <w:tabs>
          <w:tab w:val="right" w:pos="5954"/>
          <w:tab w:val="right" w:pos="7371"/>
          <w:tab w:val="right" w:pos="8789"/>
        </w:tabs>
        <w:spacing w:before="120" w:after="120" w:line="240" w:lineRule="auto"/>
        <w:ind w:right="-20"/>
        <w:contextualSpacing/>
        <w:rPr>
          <w:rFonts w:ascii="Cambria" w:eastAsia="Arial" w:hAnsi="Cambria" w:cs="Arial"/>
        </w:rPr>
      </w:pPr>
      <w:r w:rsidRPr="009A0DA6">
        <w:rPr>
          <w:rFonts w:ascii="Cambria" w:eastAsia="Arial" w:hAnsi="Cambria" w:cs="Arial"/>
          <w:b/>
          <w:bCs/>
        </w:rPr>
        <w:t>Liabilities</w:t>
      </w:r>
    </w:p>
    <w:p w14:paraId="67B7458B" w14:textId="77777777" w:rsidR="002E592D" w:rsidRPr="009A0DA6" w:rsidRDefault="002E592D" w:rsidP="002E592D">
      <w:pPr>
        <w:tabs>
          <w:tab w:val="right" w:pos="5954"/>
          <w:tab w:val="right" w:pos="7371"/>
          <w:tab w:val="right" w:pos="8789"/>
        </w:tabs>
        <w:spacing w:before="120" w:after="120" w:line="240" w:lineRule="auto"/>
        <w:ind w:right="-20"/>
        <w:contextualSpacing/>
        <w:rPr>
          <w:rFonts w:ascii="Cambria" w:eastAsia="Arial" w:hAnsi="Cambria" w:cs="Arial"/>
        </w:rPr>
      </w:pPr>
      <w:r w:rsidRPr="009A0DA6">
        <w:rPr>
          <w:rFonts w:ascii="Cambria" w:eastAsia="Arial" w:hAnsi="Cambria" w:cs="Arial"/>
        </w:rPr>
        <w:t>Loan</w:t>
      </w:r>
      <w:r w:rsidRPr="009A0DA6">
        <w:rPr>
          <w:rFonts w:ascii="Cambria" w:eastAsia="Arial" w:hAnsi="Cambria" w:cs="Arial"/>
          <w:spacing w:val="-5"/>
        </w:rPr>
        <w:t xml:space="preserve"> </w:t>
      </w:r>
      <w:r w:rsidRPr="009A0DA6">
        <w:rPr>
          <w:rFonts w:ascii="Cambria" w:eastAsia="Arial" w:hAnsi="Cambria" w:cs="Arial"/>
        </w:rPr>
        <w:t>LLL</w:t>
      </w:r>
      <w:r w:rsidRPr="009A0DA6">
        <w:rPr>
          <w:rFonts w:ascii="Cambria" w:eastAsia="Arial" w:hAnsi="Cambria" w:cs="Arial"/>
        </w:rPr>
        <w:tab/>
        <w:t>3,636,430</w:t>
      </w:r>
      <w:r w:rsidRPr="009A0DA6">
        <w:rPr>
          <w:rFonts w:ascii="Cambria" w:eastAsia="Arial" w:hAnsi="Cambria" w:cs="Arial"/>
        </w:rPr>
        <w:tab/>
        <w:t>3,345,703</w:t>
      </w:r>
      <w:r w:rsidRPr="009A0DA6">
        <w:rPr>
          <w:rFonts w:ascii="Cambria" w:eastAsia="Arial" w:hAnsi="Cambria" w:cs="Arial"/>
        </w:rPr>
        <w:tab/>
        <w:t>3,134,006</w:t>
      </w:r>
    </w:p>
    <w:p w14:paraId="7CF3C40D" w14:textId="77777777" w:rsidR="002E592D" w:rsidRPr="009A0DA6" w:rsidRDefault="002E592D" w:rsidP="002E592D">
      <w:pPr>
        <w:tabs>
          <w:tab w:val="right" w:pos="5954"/>
          <w:tab w:val="right" w:pos="7371"/>
          <w:tab w:val="right" w:pos="8789"/>
        </w:tabs>
        <w:spacing w:before="120" w:after="120" w:line="240" w:lineRule="auto"/>
        <w:ind w:right="-70"/>
        <w:contextualSpacing/>
        <w:rPr>
          <w:rFonts w:ascii="Cambria" w:eastAsia="Arial" w:hAnsi="Cambria" w:cs="Arial"/>
        </w:rPr>
      </w:pPr>
      <w:r w:rsidRPr="009A0DA6">
        <w:rPr>
          <w:rFonts w:ascii="Cambria" w:hAnsi="Cambria"/>
        </w:rPr>
        <w:tab/>
      </w:r>
      <w:r w:rsidRPr="009A0DA6">
        <w:rPr>
          <w:rFonts w:ascii="Cambria" w:eastAsia="Arial" w:hAnsi="Cambria" w:cs="Arial"/>
          <w:b/>
          <w:bCs/>
          <w:w w:val="99"/>
        </w:rPr>
        <w:t xml:space="preserve"> </w:t>
      </w:r>
      <w:r w:rsidRPr="009A0DA6">
        <w:rPr>
          <w:rFonts w:ascii="Cambria" w:eastAsia="Arial" w:hAnsi="Cambria" w:cs="Arial"/>
          <w:b/>
          <w:bCs/>
        </w:rPr>
        <w:t xml:space="preserve"> </w:t>
      </w:r>
      <w:r w:rsidRPr="009A0DA6">
        <w:rPr>
          <w:rFonts w:ascii="Cambria" w:eastAsia="Arial" w:hAnsi="Cambria" w:cs="Arial"/>
          <w:b/>
          <w:bCs/>
          <w:w w:val="99"/>
        </w:rPr>
        <w:t xml:space="preserve">3,976,257 </w:t>
      </w:r>
      <w:r w:rsidRPr="009A0DA6">
        <w:rPr>
          <w:rFonts w:ascii="Cambria" w:eastAsia="Arial" w:hAnsi="Cambria" w:cs="Arial"/>
          <w:b/>
          <w:bCs/>
        </w:rPr>
        <w:tab/>
      </w:r>
      <w:r w:rsidRPr="009A0DA6">
        <w:rPr>
          <w:rFonts w:ascii="Cambria" w:eastAsia="Arial" w:hAnsi="Cambria" w:cs="Arial"/>
          <w:b/>
          <w:bCs/>
          <w:w w:val="99"/>
        </w:rPr>
        <w:t xml:space="preserve">3,614,145 </w:t>
      </w:r>
      <w:r w:rsidRPr="009A0DA6">
        <w:rPr>
          <w:rFonts w:ascii="Cambria" w:eastAsia="Arial" w:hAnsi="Cambria" w:cs="Arial"/>
          <w:b/>
          <w:bCs/>
          <w:w w:val="99"/>
        </w:rPr>
        <w:tab/>
        <w:t>3,147,540</w:t>
      </w:r>
    </w:p>
    <w:p w14:paraId="2EB52FC5" w14:textId="77777777" w:rsidR="002E592D" w:rsidRPr="009A0DA6" w:rsidRDefault="002E592D" w:rsidP="002E592D">
      <w:pPr>
        <w:tabs>
          <w:tab w:val="right" w:pos="5954"/>
          <w:tab w:val="right" w:pos="7371"/>
          <w:tab w:val="right" w:pos="8789"/>
        </w:tabs>
        <w:spacing w:before="120" w:after="120" w:line="240" w:lineRule="auto"/>
        <w:ind w:right="-20"/>
        <w:contextualSpacing/>
        <w:rPr>
          <w:rFonts w:ascii="Cambria" w:eastAsia="Arial" w:hAnsi="Cambria" w:cs="Arial"/>
        </w:rPr>
      </w:pPr>
      <w:r w:rsidRPr="009A0DA6">
        <w:rPr>
          <w:rFonts w:ascii="Cambria" w:eastAsia="Arial" w:hAnsi="Cambria" w:cs="Arial"/>
          <w:b/>
          <w:bCs/>
          <w:spacing w:val="-7"/>
        </w:rPr>
        <w:t>A</w:t>
      </w:r>
      <w:r w:rsidRPr="009A0DA6">
        <w:rPr>
          <w:rFonts w:ascii="Cambria" w:eastAsia="Arial" w:hAnsi="Cambria" w:cs="Arial"/>
          <w:b/>
          <w:bCs/>
        </w:rPr>
        <w:t>s</w:t>
      </w:r>
      <w:r w:rsidRPr="009A0DA6">
        <w:rPr>
          <w:rFonts w:ascii="Cambria" w:eastAsia="Arial" w:hAnsi="Cambria" w:cs="Arial"/>
          <w:b/>
          <w:bCs/>
          <w:spacing w:val="-1"/>
        </w:rPr>
        <w:t>s</w:t>
      </w:r>
      <w:r w:rsidRPr="009A0DA6">
        <w:rPr>
          <w:rFonts w:ascii="Cambria" w:eastAsia="Arial" w:hAnsi="Cambria" w:cs="Arial"/>
          <w:b/>
          <w:bCs/>
        </w:rPr>
        <w:t>ets</w:t>
      </w:r>
    </w:p>
    <w:p w14:paraId="77F65495" w14:textId="77777777" w:rsidR="002E592D" w:rsidRPr="009A0DA6" w:rsidRDefault="002E592D" w:rsidP="002E592D">
      <w:pPr>
        <w:tabs>
          <w:tab w:val="right" w:pos="5954"/>
          <w:tab w:val="right" w:pos="7371"/>
          <w:tab w:val="right" w:pos="8789"/>
        </w:tabs>
        <w:spacing w:before="120" w:after="120" w:line="240" w:lineRule="auto"/>
        <w:ind w:right="-20"/>
        <w:contextualSpacing/>
        <w:rPr>
          <w:rFonts w:ascii="Cambria" w:eastAsia="Arial" w:hAnsi="Cambria" w:cs="Arial"/>
        </w:rPr>
      </w:pPr>
      <w:r w:rsidRPr="009A0DA6">
        <w:rPr>
          <w:rFonts w:ascii="Cambria" w:eastAsia="Arial" w:hAnsi="Cambria" w:cs="Arial"/>
          <w:spacing w:val="-1"/>
        </w:rPr>
        <w:t>B</w:t>
      </w:r>
      <w:r w:rsidRPr="009A0DA6">
        <w:rPr>
          <w:rFonts w:ascii="Cambria" w:eastAsia="Arial" w:hAnsi="Cambria" w:cs="Arial"/>
        </w:rPr>
        <w:t>a</w:t>
      </w:r>
      <w:r w:rsidRPr="009A0DA6">
        <w:rPr>
          <w:rFonts w:ascii="Cambria" w:eastAsia="Arial" w:hAnsi="Cambria" w:cs="Arial"/>
          <w:spacing w:val="-1"/>
        </w:rPr>
        <w:t>l</w:t>
      </w:r>
      <w:r w:rsidRPr="009A0DA6">
        <w:rPr>
          <w:rFonts w:ascii="Cambria" w:eastAsia="Arial" w:hAnsi="Cambria" w:cs="Arial"/>
        </w:rPr>
        <w:t>a</w:t>
      </w:r>
      <w:r w:rsidRPr="009A0DA6">
        <w:rPr>
          <w:rFonts w:ascii="Cambria" w:eastAsia="Arial" w:hAnsi="Cambria" w:cs="Arial"/>
          <w:spacing w:val="-1"/>
        </w:rPr>
        <w:t>n</w:t>
      </w:r>
      <w:r w:rsidRPr="009A0DA6">
        <w:rPr>
          <w:rFonts w:ascii="Cambria" w:eastAsia="Arial" w:hAnsi="Cambria" w:cs="Arial"/>
          <w:spacing w:val="1"/>
        </w:rPr>
        <w:t>c</w:t>
      </w:r>
      <w:r w:rsidRPr="009A0DA6">
        <w:rPr>
          <w:rFonts w:ascii="Cambria" w:eastAsia="Arial" w:hAnsi="Cambria" w:cs="Arial"/>
        </w:rPr>
        <w:t>e</w:t>
      </w:r>
      <w:r w:rsidRPr="009A0DA6">
        <w:rPr>
          <w:rFonts w:ascii="Cambria" w:eastAsia="Arial" w:hAnsi="Cambria" w:cs="Arial"/>
          <w:spacing w:val="-7"/>
        </w:rPr>
        <w:t xml:space="preserve"> </w:t>
      </w:r>
      <w:r w:rsidRPr="009A0DA6">
        <w:rPr>
          <w:rFonts w:ascii="Cambria" w:eastAsia="Arial" w:hAnsi="Cambria" w:cs="Arial"/>
        </w:rPr>
        <w:t>-</w:t>
      </w:r>
      <w:r w:rsidRPr="009A0DA6">
        <w:rPr>
          <w:rFonts w:ascii="Cambria" w:eastAsia="Arial" w:hAnsi="Cambria" w:cs="Arial"/>
          <w:spacing w:val="-1"/>
        </w:rPr>
        <w:t xml:space="preserve"> </w:t>
      </w:r>
      <w:r w:rsidRPr="009A0DA6">
        <w:rPr>
          <w:rFonts w:ascii="Cambria" w:eastAsia="Arial" w:hAnsi="Cambria" w:cs="Arial"/>
        </w:rPr>
        <w:t>LLL</w:t>
      </w:r>
      <w:r w:rsidRPr="009A0DA6">
        <w:rPr>
          <w:rFonts w:ascii="Cambria" w:eastAsia="Arial" w:hAnsi="Cambria" w:cs="Arial"/>
        </w:rPr>
        <w:tab/>
        <w:t>339,827</w:t>
      </w:r>
      <w:r w:rsidRPr="009A0DA6">
        <w:rPr>
          <w:rFonts w:ascii="Cambria" w:eastAsia="Arial" w:hAnsi="Cambria" w:cs="Arial"/>
        </w:rPr>
        <w:tab/>
        <w:t>268,442</w:t>
      </w:r>
      <w:r w:rsidRPr="009A0DA6">
        <w:rPr>
          <w:rFonts w:ascii="Cambria" w:eastAsia="Arial" w:hAnsi="Cambria" w:cs="Arial"/>
        </w:rPr>
        <w:tab/>
        <w:t>13,533</w:t>
      </w:r>
    </w:p>
    <w:p w14:paraId="4017C4ED" w14:textId="77777777" w:rsidR="002E592D" w:rsidRPr="009A0DA6" w:rsidRDefault="002E592D" w:rsidP="002E592D">
      <w:pPr>
        <w:tabs>
          <w:tab w:val="right" w:pos="5954"/>
          <w:tab w:val="right" w:pos="7371"/>
          <w:tab w:val="right" w:pos="8789"/>
        </w:tabs>
        <w:spacing w:before="120" w:after="120" w:line="240" w:lineRule="auto"/>
        <w:ind w:right="-20"/>
        <w:contextualSpacing/>
        <w:rPr>
          <w:rFonts w:ascii="Cambria" w:eastAsia="Arial" w:hAnsi="Cambria" w:cs="Arial"/>
        </w:rPr>
      </w:pPr>
      <w:r w:rsidRPr="009A0DA6">
        <w:rPr>
          <w:rFonts w:ascii="Cambria" w:eastAsia="Arial" w:hAnsi="Cambria" w:cs="Arial"/>
        </w:rPr>
        <w:t>Hous</w:t>
      </w:r>
      <w:r w:rsidRPr="009A0DA6">
        <w:rPr>
          <w:rFonts w:ascii="Cambria" w:eastAsia="Arial" w:hAnsi="Cambria" w:cs="Arial"/>
          <w:spacing w:val="-1"/>
        </w:rPr>
        <w:t>i</w:t>
      </w:r>
      <w:r w:rsidRPr="009A0DA6">
        <w:rPr>
          <w:rFonts w:ascii="Cambria" w:eastAsia="Arial" w:hAnsi="Cambria" w:cs="Arial"/>
        </w:rPr>
        <w:t>ng</w:t>
      </w:r>
      <w:r w:rsidRPr="009A0DA6">
        <w:rPr>
          <w:rFonts w:ascii="Cambria" w:eastAsia="Arial" w:hAnsi="Cambria" w:cs="Arial"/>
          <w:spacing w:val="-8"/>
        </w:rPr>
        <w:t xml:space="preserve"> </w:t>
      </w:r>
      <w:r w:rsidRPr="009A0DA6">
        <w:rPr>
          <w:rFonts w:ascii="Cambria" w:eastAsia="Arial" w:hAnsi="Cambria" w:cs="Arial"/>
        </w:rPr>
        <w:t>L</w:t>
      </w:r>
      <w:r w:rsidRPr="009A0DA6">
        <w:rPr>
          <w:rFonts w:ascii="Cambria" w:eastAsia="Arial" w:hAnsi="Cambria" w:cs="Arial"/>
          <w:spacing w:val="-1"/>
        </w:rPr>
        <w:t>o</w:t>
      </w:r>
      <w:r w:rsidRPr="009A0DA6">
        <w:rPr>
          <w:rFonts w:ascii="Cambria" w:eastAsia="Arial" w:hAnsi="Cambria" w:cs="Arial"/>
        </w:rPr>
        <w:t>a</w:t>
      </w:r>
      <w:r w:rsidRPr="009A0DA6">
        <w:rPr>
          <w:rFonts w:ascii="Cambria" w:eastAsia="Arial" w:hAnsi="Cambria" w:cs="Arial"/>
          <w:spacing w:val="-1"/>
        </w:rPr>
        <w:t>n</w:t>
      </w:r>
      <w:r w:rsidRPr="009A0DA6">
        <w:rPr>
          <w:rFonts w:ascii="Cambria" w:eastAsia="Arial" w:hAnsi="Cambria" w:cs="Arial"/>
        </w:rPr>
        <w:t>s</w:t>
      </w:r>
      <w:r w:rsidRPr="009A0DA6">
        <w:rPr>
          <w:rFonts w:ascii="Cambria" w:eastAsia="Arial" w:hAnsi="Cambria" w:cs="Arial"/>
          <w:spacing w:val="-4"/>
        </w:rPr>
        <w:t xml:space="preserve"> </w:t>
      </w:r>
      <w:r w:rsidRPr="009A0DA6">
        <w:rPr>
          <w:rFonts w:ascii="Cambria" w:eastAsia="Arial" w:hAnsi="Cambria" w:cs="Arial"/>
        </w:rPr>
        <w:t>to</w:t>
      </w:r>
      <w:r w:rsidRPr="009A0DA6">
        <w:rPr>
          <w:rFonts w:ascii="Cambria" w:eastAsia="Arial" w:hAnsi="Cambria" w:cs="Arial"/>
          <w:spacing w:val="-3"/>
        </w:rPr>
        <w:t xml:space="preserve"> </w:t>
      </w:r>
      <w:r w:rsidRPr="009A0DA6">
        <w:rPr>
          <w:rFonts w:ascii="Cambria" w:eastAsia="Arial" w:hAnsi="Cambria" w:cs="Arial"/>
        </w:rPr>
        <w:t>Ret</w:t>
      </w:r>
      <w:r w:rsidRPr="009A0DA6">
        <w:rPr>
          <w:rFonts w:ascii="Cambria" w:eastAsia="Arial" w:hAnsi="Cambria" w:cs="Arial"/>
          <w:spacing w:val="-2"/>
        </w:rPr>
        <w:t>i</w:t>
      </w:r>
      <w:r w:rsidRPr="009A0DA6">
        <w:rPr>
          <w:rFonts w:ascii="Cambria" w:eastAsia="Arial" w:hAnsi="Cambria" w:cs="Arial"/>
          <w:spacing w:val="1"/>
        </w:rPr>
        <w:t>r</w:t>
      </w:r>
      <w:r w:rsidRPr="009A0DA6">
        <w:rPr>
          <w:rFonts w:ascii="Cambria" w:eastAsia="Arial" w:hAnsi="Cambria" w:cs="Arial"/>
        </w:rPr>
        <w:t>ed</w:t>
      </w:r>
      <w:r w:rsidRPr="009A0DA6">
        <w:rPr>
          <w:rFonts w:ascii="Cambria" w:eastAsia="Arial" w:hAnsi="Cambria" w:cs="Arial"/>
          <w:spacing w:val="-7"/>
        </w:rPr>
        <w:t xml:space="preserve"> </w:t>
      </w:r>
      <w:r w:rsidRPr="009A0DA6">
        <w:rPr>
          <w:rFonts w:ascii="Cambria" w:eastAsia="Arial" w:hAnsi="Cambria" w:cs="Arial"/>
        </w:rPr>
        <w:t>Ch</w:t>
      </w:r>
      <w:r w:rsidRPr="009A0DA6">
        <w:rPr>
          <w:rFonts w:ascii="Cambria" w:eastAsia="Arial" w:hAnsi="Cambria" w:cs="Arial"/>
          <w:spacing w:val="-1"/>
        </w:rPr>
        <w:t>u</w:t>
      </w:r>
      <w:r w:rsidRPr="009A0DA6">
        <w:rPr>
          <w:rFonts w:ascii="Cambria" w:eastAsia="Arial" w:hAnsi="Cambria" w:cs="Arial"/>
          <w:spacing w:val="1"/>
        </w:rPr>
        <w:t>rc</w:t>
      </w:r>
      <w:r w:rsidRPr="009A0DA6">
        <w:rPr>
          <w:rFonts w:ascii="Cambria" w:eastAsia="Arial" w:hAnsi="Cambria" w:cs="Arial"/>
        </w:rPr>
        <w:t>h</w:t>
      </w:r>
      <w:r w:rsidRPr="009A0DA6">
        <w:rPr>
          <w:rFonts w:ascii="Cambria" w:eastAsia="Arial" w:hAnsi="Cambria" w:cs="Arial"/>
          <w:spacing w:val="-6"/>
        </w:rPr>
        <w:t xml:space="preserve"> </w:t>
      </w:r>
      <w:r w:rsidRPr="009A0DA6">
        <w:rPr>
          <w:rFonts w:ascii="Cambria" w:eastAsia="Arial" w:hAnsi="Cambria" w:cs="Arial"/>
          <w:spacing w:val="10"/>
        </w:rPr>
        <w:t>W</w:t>
      </w:r>
      <w:r w:rsidRPr="009A0DA6">
        <w:rPr>
          <w:rFonts w:ascii="Cambria" w:eastAsia="Arial" w:hAnsi="Cambria" w:cs="Arial"/>
        </w:rPr>
        <w:t>or</w:t>
      </w:r>
      <w:r w:rsidRPr="009A0DA6">
        <w:rPr>
          <w:rFonts w:ascii="Cambria" w:eastAsia="Arial" w:hAnsi="Cambria" w:cs="Arial"/>
          <w:spacing w:val="4"/>
        </w:rPr>
        <w:t>k</w:t>
      </w:r>
      <w:r w:rsidRPr="009A0DA6">
        <w:rPr>
          <w:rFonts w:ascii="Cambria" w:eastAsia="Arial" w:hAnsi="Cambria" w:cs="Arial"/>
        </w:rPr>
        <w:t>ers</w:t>
      </w:r>
      <w:r w:rsidRPr="009A0DA6">
        <w:rPr>
          <w:rFonts w:ascii="Cambria" w:eastAsia="Arial" w:hAnsi="Cambria" w:cs="Arial"/>
        </w:rPr>
        <w:tab/>
        <w:t>3,636,430</w:t>
      </w:r>
      <w:r w:rsidRPr="009A0DA6">
        <w:rPr>
          <w:rFonts w:ascii="Cambria" w:eastAsia="Arial" w:hAnsi="Cambria" w:cs="Arial"/>
        </w:rPr>
        <w:tab/>
        <w:t>3,345,703</w:t>
      </w:r>
      <w:r w:rsidRPr="009A0DA6">
        <w:rPr>
          <w:rFonts w:ascii="Cambria" w:eastAsia="Arial" w:hAnsi="Cambria" w:cs="Arial"/>
        </w:rPr>
        <w:tab/>
        <w:t>3,134,006</w:t>
      </w:r>
    </w:p>
    <w:p w14:paraId="6AEA880B" w14:textId="1B0FCF3D" w:rsidR="002E592D" w:rsidRPr="009A0DA6" w:rsidRDefault="002E592D" w:rsidP="002E592D">
      <w:pPr>
        <w:tabs>
          <w:tab w:val="right" w:pos="5954"/>
          <w:tab w:val="right" w:pos="7371"/>
          <w:tab w:val="right" w:pos="8789"/>
        </w:tabs>
        <w:spacing w:before="120" w:after="120" w:line="240" w:lineRule="auto"/>
        <w:ind w:right="-20"/>
        <w:contextualSpacing/>
        <w:rPr>
          <w:rFonts w:ascii="Cambria" w:eastAsia="Arial" w:hAnsi="Cambria" w:cs="Arial"/>
        </w:rPr>
      </w:pPr>
      <w:r w:rsidRPr="009A0DA6">
        <w:rPr>
          <w:rFonts w:ascii="Cambria" w:hAnsi="Cambria"/>
        </w:rPr>
        <w:tab/>
      </w:r>
      <w:r w:rsidRPr="009A0DA6">
        <w:rPr>
          <w:rFonts w:ascii="Cambria" w:eastAsia="Arial" w:hAnsi="Cambria" w:cs="Arial"/>
          <w:b/>
          <w:bCs/>
          <w:w w:val="99"/>
        </w:rPr>
        <w:t xml:space="preserve"> </w:t>
      </w:r>
      <w:r w:rsidRPr="009A0DA6">
        <w:rPr>
          <w:rFonts w:ascii="Cambria" w:eastAsia="Arial" w:hAnsi="Cambria" w:cs="Arial"/>
          <w:b/>
          <w:bCs/>
        </w:rPr>
        <w:t xml:space="preserve">  </w:t>
      </w:r>
      <w:r w:rsidRPr="009A0DA6">
        <w:rPr>
          <w:rFonts w:ascii="Cambria" w:eastAsia="Arial" w:hAnsi="Cambria" w:cs="Arial"/>
          <w:b/>
          <w:bCs/>
          <w:w w:val="99"/>
        </w:rPr>
        <w:t xml:space="preserve">3,976,257 </w:t>
      </w:r>
      <w:r w:rsidRPr="009A0DA6">
        <w:rPr>
          <w:rFonts w:ascii="Cambria" w:eastAsia="Arial" w:hAnsi="Cambria" w:cs="Arial"/>
        </w:rPr>
        <w:tab/>
      </w:r>
      <w:r w:rsidRPr="009A0DA6">
        <w:rPr>
          <w:rFonts w:ascii="Cambria" w:eastAsia="Arial" w:hAnsi="Cambria" w:cs="Arial"/>
          <w:b/>
          <w:bCs/>
          <w:w w:val="99"/>
        </w:rPr>
        <w:t xml:space="preserve">3,614,145 </w:t>
      </w:r>
      <w:r w:rsidRPr="009A0DA6">
        <w:rPr>
          <w:rFonts w:ascii="Cambria" w:eastAsia="Arial" w:hAnsi="Cambria" w:cs="Arial"/>
        </w:rPr>
        <w:tab/>
      </w:r>
      <w:r w:rsidRPr="009A0DA6">
        <w:rPr>
          <w:rFonts w:ascii="Cambria" w:eastAsia="Arial" w:hAnsi="Cambria" w:cs="Arial"/>
          <w:b/>
          <w:bCs/>
        </w:rPr>
        <w:t>3,147,540</w:t>
      </w:r>
    </w:p>
    <w:p w14:paraId="7485ACAE" w14:textId="77777777" w:rsidR="007408EE" w:rsidRDefault="007408EE" w:rsidP="002E592D">
      <w:pPr>
        <w:pStyle w:val="Heading3"/>
      </w:pPr>
    </w:p>
    <w:p w14:paraId="46F3BD1D" w14:textId="43C793B7" w:rsidR="007408EE" w:rsidRDefault="007408EE" w:rsidP="002E592D">
      <w:pPr>
        <w:pStyle w:val="Heading3"/>
      </w:pPr>
    </w:p>
    <w:p w14:paraId="5A7ABCE7" w14:textId="77777777" w:rsidR="00206BF6" w:rsidRPr="00206BF6" w:rsidRDefault="00206BF6" w:rsidP="00206BF6">
      <w:pPr>
        <w:pStyle w:val="NoSpacing"/>
      </w:pPr>
    </w:p>
    <w:p w14:paraId="0C74E67D" w14:textId="7BBAFB9C" w:rsidR="007408EE" w:rsidRDefault="007408EE" w:rsidP="007408EE">
      <w:pPr>
        <w:pStyle w:val="NoSpacing"/>
      </w:pPr>
    </w:p>
    <w:p w14:paraId="4F538456" w14:textId="77777777" w:rsidR="007408EE" w:rsidRPr="007408EE" w:rsidRDefault="007408EE" w:rsidP="007408EE">
      <w:pPr>
        <w:pStyle w:val="NoSpacing"/>
      </w:pPr>
    </w:p>
    <w:p w14:paraId="427206EE" w14:textId="473E9555" w:rsidR="002E592D" w:rsidRPr="009A0DA6" w:rsidRDefault="002E592D" w:rsidP="002E592D">
      <w:pPr>
        <w:pStyle w:val="Heading3"/>
      </w:pPr>
      <w:r w:rsidRPr="009A0DA6">
        <w:t>agenda 14.8</w:t>
      </w:r>
    </w:p>
    <w:p w14:paraId="2B80B8E5" w14:textId="77777777" w:rsidR="002E592D" w:rsidRPr="009A0DA6" w:rsidRDefault="002E592D" w:rsidP="002E592D">
      <w:pPr>
        <w:pStyle w:val="Heading2"/>
      </w:pPr>
      <w:bookmarkStart w:id="521" w:name="_Toc521954759"/>
      <w:r w:rsidRPr="009A0DA6">
        <w:t>Financial Report: LCA Pensions Fund</w:t>
      </w:r>
      <w:bookmarkEnd w:id="521"/>
    </w:p>
    <w:p w14:paraId="0441FA45" w14:textId="77777777" w:rsidR="002E592D" w:rsidRPr="009A0DA6" w:rsidRDefault="002E592D" w:rsidP="002E592D">
      <w:pPr>
        <w:pStyle w:val="NoSpacing"/>
      </w:pPr>
    </w:p>
    <w:p w14:paraId="722ACAB5" w14:textId="77777777" w:rsidR="002E592D" w:rsidRPr="009A0DA6" w:rsidRDefault="002E592D" w:rsidP="00766B14">
      <w:pPr>
        <w:pStyle w:val="NoSpacing"/>
        <w:rPr>
          <w:rFonts w:cs="Times New Roman"/>
          <w:b/>
          <w:lang w:eastAsia="en-AU"/>
        </w:rPr>
      </w:pPr>
      <w:r w:rsidRPr="009A0DA6">
        <w:rPr>
          <w:b/>
          <w:lang w:eastAsia="en-AU"/>
        </w:rPr>
        <w:t>RECEIPTS AND PAYMENTS</w:t>
      </w:r>
    </w:p>
    <w:p w14:paraId="2A145751" w14:textId="77777777" w:rsidR="00FF7E8B" w:rsidRPr="009A0DA6" w:rsidRDefault="00FF7E8B" w:rsidP="00FF7E8B">
      <w:pPr>
        <w:pStyle w:val="NoSpacing"/>
        <w:rPr>
          <w:b/>
        </w:rPr>
      </w:pPr>
      <w:r w:rsidRPr="009A0DA6">
        <w:rPr>
          <w:b/>
        </w:rPr>
        <w:t xml:space="preserve">FOR </w:t>
      </w:r>
      <w:r>
        <w:rPr>
          <w:b/>
        </w:rPr>
        <w:t>THE PERIODS ENDING</w:t>
      </w:r>
      <w:r w:rsidRPr="009A0DA6">
        <w:rPr>
          <w:b/>
        </w:rPr>
        <w:t xml:space="preserve"> 31 DECEMBER </w:t>
      </w:r>
    </w:p>
    <w:p w14:paraId="5B8CE308" w14:textId="77777777" w:rsidR="002E592D" w:rsidRPr="009A0DA6" w:rsidRDefault="002E592D" w:rsidP="002E592D">
      <w:pPr>
        <w:tabs>
          <w:tab w:val="right" w:pos="5954"/>
          <w:tab w:val="right" w:pos="7371"/>
          <w:tab w:val="right" w:pos="8789"/>
        </w:tabs>
        <w:spacing w:before="120" w:after="120" w:line="240" w:lineRule="auto"/>
        <w:contextualSpacing/>
        <w:rPr>
          <w:rFonts w:ascii="Cambria" w:eastAsia="Arial" w:hAnsi="Cambria" w:cs="Arial"/>
        </w:rPr>
      </w:pPr>
      <w:r w:rsidRPr="009A0DA6">
        <w:rPr>
          <w:rFonts w:ascii="Cambria" w:eastAsia="Arial" w:hAnsi="Cambria" w:cs="Arial"/>
          <w:b/>
          <w:bCs/>
          <w:spacing w:val="-1"/>
        </w:rPr>
        <w:t>R</w:t>
      </w:r>
      <w:r w:rsidRPr="009A0DA6">
        <w:rPr>
          <w:rFonts w:ascii="Cambria" w:eastAsia="Arial" w:hAnsi="Cambria" w:cs="Arial"/>
          <w:b/>
          <w:bCs/>
        </w:rPr>
        <w:t>e</w:t>
      </w:r>
      <w:r w:rsidRPr="009A0DA6">
        <w:rPr>
          <w:rFonts w:ascii="Cambria" w:eastAsia="Arial" w:hAnsi="Cambria" w:cs="Arial"/>
          <w:b/>
          <w:bCs/>
          <w:spacing w:val="-1"/>
        </w:rPr>
        <w:t>c</w:t>
      </w:r>
      <w:r w:rsidRPr="009A0DA6">
        <w:rPr>
          <w:rFonts w:ascii="Cambria" w:eastAsia="Arial" w:hAnsi="Cambria" w:cs="Arial"/>
          <w:b/>
          <w:bCs/>
        </w:rPr>
        <w:t>eip</w:t>
      </w:r>
      <w:r w:rsidRPr="009A0DA6">
        <w:rPr>
          <w:rFonts w:ascii="Cambria" w:eastAsia="Arial" w:hAnsi="Cambria" w:cs="Arial"/>
          <w:b/>
          <w:bCs/>
          <w:spacing w:val="1"/>
        </w:rPr>
        <w:t>t</w:t>
      </w:r>
      <w:r w:rsidRPr="009A0DA6">
        <w:rPr>
          <w:rFonts w:ascii="Cambria" w:eastAsia="Arial" w:hAnsi="Cambria" w:cs="Arial"/>
          <w:b/>
          <w:bCs/>
        </w:rPr>
        <w:t>s</w:t>
      </w:r>
      <w:r w:rsidRPr="009A0DA6">
        <w:rPr>
          <w:rFonts w:ascii="Cambria" w:eastAsia="Arial" w:hAnsi="Cambria" w:cs="Arial"/>
        </w:rPr>
        <w:tab/>
      </w:r>
      <w:r w:rsidRPr="009A0DA6">
        <w:rPr>
          <w:rFonts w:ascii="Cambria" w:eastAsia="Arial" w:hAnsi="Cambria" w:cs="Arial"/>
          <w:b/>
          <w:bCs/>
        </w:rPr>
        <w:t>2017</w:t>
      </w:r>
      <w:r w:rsidRPr="009A0DA6">
        <w:rPr>
          <w:rFonts w:ascii="Cambria" w:eastAsia="Arial" w:hAnsi="Cambria" w:cs="Arial"/>
        </w:rPr>
        <w:tab/>
      </w:r>
      <w:r w:rsidRPr="009A0DA6">
        <w:rPr>
          <w:rFonts w:ascii="Cambria" w:eastAsia="Arial" w:hAnsi="Cambria" w:cs="Arial"/>
          <w:b/>
          <w:bCs/>
        </w:rPr>
        <w:t>2016</w:t>
      </w:r>
      <w:r w:rsidRPr="009A0DA6">
        <w:rPr>
          <w:rFonts w:ascii="Cambria" w:eastAsia="Arial" w:hAnsi="Cambria" w:cs="Arial"/>
        </w:rPr>
        <w:tab/>
      </w:r>
      <w:r w:rsidRPr="009A0DA6">
        <w:rPr>
          <w:rFonts w:ascii="Cambria" w:eastAsia="Arial" w:hAnsi="Cambria" w:cs="Arial"/>
          <w:b/>
          <w:bCs/>
        </w:rPr>
        <w:t>2015</w:t>
      </w:r>
    </w:p>
    <w:p w14:paraId="46EE9222" w14:textId="77777777" w:rsidR="002E592D" w:rsidRPr="009A0DA6" w:rsidRDefault="002E592D" w:rsidP="002E592D">
      <w:pPr>
        <w:tabs>
          <w:tab w:val="right" w:pos="5954"/>
          <w:tab w:val="right" w:pos="7371"/>
          <w:tab w:val="right" w:pos="8789"/>
        </w:tabs>
        <w:spacing w:before="120" w:after="120" w:line="240" w:lineRule="auto"/>
        <w:ind w:right="-20"/>
        <w:contextualSpacing/>
        <w:rPr>
          <w:rFonts w:ascii="Cambria" w:eastAsia="Arial" w:hAnsi="Cambria" w:cs="Arial"/>
        </w:rPr>
      </w:pPr>
      <w:r w:rsidRPr="009A0DA6">
        <w:rPr>
          <w:rFonts w:ascii="Cambria" w:eastAsia="Arial" w:hAnsi="Cambria" w:cs="Arial"/>
        </w:rPr>
        <w:t>Con</w:t>
      </w:r>
      <w:r w:rsidRPr="009A0DA6">
        <w:rPr>
          <w:rFonts w:ascii="Cambria" w:eastAsia="Arial" w:hAnsi="Cambria" w:cs="Arial"/>
          <w:spacing w:val="-1"/>
        </w:rPr>
        <w:t>t</w:t>
      </w:r>
      <w:r w:rsidRPr="009A0DA6">
        <w:rPr>
          <w:rFonts w:ascii="Cambria" w:eastAsia="Arial" w:hAnsi="Cambria" w:cs="Arial"/>
          <w:spacing w:val="1"/>
        </w:rPr>
        <w:t>r</w:t>
      </w:r>
      <w:r w:rsidRPr="009A0DA6">
        <w:rPr>
          <w:rFonts w:ascii="Cambria" w:eastAsia="Arial" w:hAnsi="Cambria" w:cs="Arial"/>
          <w:spacing w:val="-1"/>
        </w:rPr>
        <w:t>i</w:t>
      </w:r>
      <w:r w:rsidRPr="009A0DA6">
        <w:rPr>
          <w:rFonts w:ascii="Cambria" w:eastAsia="Arial" w:hAnsi="Cambria" w:cs="Arial"/>
        </w:rPr>
        <w:t>b</w:t>
      </w:r>
      <w:r w:rsidRPr="009A0DA6">
        <w:rPr>
          <w:rFonts w:ascii="Cambria" w:eastAsia="Arial" w:hAnsi="Cambria" w:cs="Arial"/>
          <w:spacing w:val="-1"/>
        </w:rPr>
        <w:t>u</w:t>
      </w:r>
      <w:r w:rsidRPr="009A0DA6">
        <w:rPr>
          <w:rFonts w:ascii="Cambria" w:eastAsia="Arial" w:hAnsi="Cambria" w:cs="Arial"/>
        </w:rPr>
        <w:t>t</w:t>
      </w:r>
      <w:r w:rsidRPr="009A0DA6">
        <w:rPr>
          <w:rFonts w:ascii="Cambria" w:eastAsia="Arial" w:hAnsi="Cambria" w:cs="Arial"/>
          <w:spacing w:val="-1"/>
        </w:rPr>
        <w:t>i</w:t>
      </w:r>
      <w:r w:rsidRPr="009A0DA6">
        <w:rPr>
          <w:rFonts w:ascii="Cambria" w:eastAsia="Arial" w:hAnsi="Cambria" w:cs="Arial"/>
        </w:rPr>
        <w:t>o</w:t>
      </w:r>
      <w:r w:rsidRPr="009A0DA6">
        <w:rPr>
          <w:rFonts w:ascii="Cambria" w:eastAsia="Arial" w:hAnsi="Cambria" w:cs="Arial"/>
          <w:spacing w:val="-1"/>
        </w:rPr>
        <w:t>n</w:t>
      </w:r>
      <w:r w:rsidRPr="009A0DA6">
        <w:rPr>
          <w:rFonts w:ascii="Cambria" w:eastAsia="Arial" w:hAnsi="Cambria" w:cs="Arial"/>
        </w:rPr>
        <w:t>s</w:t>
      </w:r>
      <w:r w:rsidRPr="009A0DA6">
        <w:rPr>
          <w:rFonts w:ascii="Cambria" w:eastAsia="Arial" w:hAnsi="Cambria" w:cs="Arial"/>
          <w:spacing w:val="-11"/>
        </w:rPr>
        <w:t xml:space="preserve"> </w:t>
      </w:r>
      <w:r w:rsidRPr="009A0DA6">
        <w:rPr>
          <w:rFonts w:ascii="Cambria" w:eastAsia="Arial" w:hAnsi="Cambria" w:cs="Arial"/>
          <w:spacing w:val="2"/>
        </w:rPr>
        <w:t>f</w:t>
      </w:r>
      <w:r w:rsidRPr="009A0DA6">
        <w:rPr>
          <w:rFonts w:ascii="Cambria" w:eastAsia="Arial" w:hAnsi="Cambria" w:cs="Arial"/>
          <w:spacing w:val="1"/>
        </w:rPr>
        <w:t>r</w:t>
      </w:r>
      <w:r w:rsidRPr="009A0DA6">
        <w:rPr>
          <w:rFonts w:ascii="Cambria" w:eastAsia="Arial" w:hAnsi="Cambria" w:cs="Arial"/>
        </w:rPr>
        <w:t xml:space="preserve">om </w:t>
      </w:r>
      <w:r w:rsidRPr="009A0DA6">
        <w:rPr>
          <w:rFonts w:ascii="Cambria" w:eastAsia="Arial" w:hAnsi="Cambria" w:cs="Arial"/>
          <w:spacing w:val="1"/>
        </w:rPr>
        <w:t>c</w:t>
      </w:r>
      <w:r w:rsidRPr="009A0DA6">
        <w:rPr>
          <w:rFonts w:ascii="Cambria" w:eastAsia="Arial" w:hAnsi="Cambria" w:cs="Arial"/>
        </w:rPr>
        <w:t>o</w:t>
      </w:r>
      <w:r w:rsidRPr="009A0DA6">
        <w:rPr>
          <w:rFonts w:ascii="Cambria" w:eastAsia="Arial" w:hAnsi="Cambria" w:cs="Arial"/>
          <w:spacing w:val="-1"/>
        </w:rPr>
        <w:t>n</w:t>
      </w:r>
      <w:r w:rsidRPr="009A0DA6">
        <w:rPr>
          <w:rFonts w:ascii="Cambria" w:eastAsia="Arial" w:hAnsi="Cambria" w:cs="Arial"/>
        </w:rPr>
        <w:t>grega</w:t>
      </w:r>
      <w:r w:rsidRPr="009A0DA6">
        <w:rPr>
          <w:rFonts w:ascii="Cambria" w:eastAsia="Arial" w:hAnsi="Cambria" w:cs="Arial"/>
          <w:spacing w:val="-1"/>
        </w:rPr>
        <w:t>ti</w:t>
      </w:r>
      <w:r w:rsidRPr="009A0DA6">
        <w:rPr>
          <w:rFonts w:ascii="Cambria" w:eastAsia="Arial" w:hAnsi="Cambria" w:cs="Arial"/>
        </w:rPr>
        <w:t>o</w:t>
      </w:r>
      <w:r w:rsidRPr="009A0DA6">
        <w:rPr>
          <w:rFonts w:ascii="Cambria" w:eastAsia="Arial" w:hAnsi="Cambria" w:cs="Arial"/>
          <w:spacing w:val="-1"/>
        </w:rPr>
        <w:t>n</w:t>
      </w:r>
      <w:r w:rsidRPr="009A0DA6">
        <w:rPr>
          <w:rFonts w:ascii="Cambria" w:eastAsia="Arial" w:hAnsi="Cambria" w:cs="Arial"/>
        </w:rPr>
        <w:t>s</w:t>
      </w:r>
      <w:r w:rsidRPr="009A0DA6">
        <w:rPr>
          <w:rFonts w:ascii="Cambria" w:eastAsia="Arial" w:hAnsi="Cambria" w:cs="Arial"/>
        </w:rPr>
        <w:tab/>
        <w:t>100,000</w:t>
      </w:r>
      <w:r w:rsidRPr="009A0DA6">
        <w:rPr>
          <w:rFonts w:ascii="Cambria" w:eastAsia="Arial" w:hAnsi="Cambria" w:cs="Arial"/>
        </w:rPr>
        <w:tab/>
        <w:t>75,000</w:t>
      </w:r>
      <w:r w:rsidRPr="009A0DA6">
        <w:rPr>
          <w:rFonts w:ascii="Cambria" w:eastAsia="Arial" w:hAnsi="Cambria" w:cs="Arial"/>
        </w:rPr>
        <w:tab/>
        <w:t>50,000</w:t>
      </w:r>
    </w:p>
    <w:p w14:paraId="4968EF3A" w14:textId="77777777" w:rsidR="002E592D" w:rsidRPr="009A0DA6" w:rsidRDefault="002E592D" w:rsidP="002E592D">
      <w:pPr>
        <w:tabs>
          <w:tab w:val="right" w:pos="5954"/>
          <w:tab w:val="right" w:pos="7371"/>
          <w:tab w:val="right" w:pos="8789"/>
        </w:tabs>
        <w:spacing w:before="120" w:after="120" w:line="240" w:lineRule="auto"/>
        <w:ind w:right="-20"/>
        <w:contextualSpacing/>
        <w:rPr>
          <w:rFonts w:ascii="Cambria" w:eastAsia="Arial" w:hAnsi="Cambria" w:cs="Arial"/>
        </w:rPr>
      </w:pPr>
      <w:r w:rsidRPr="009A0DA6">
        <w:rPr>
          <w:rFonts w:ascii="Cambria" w:eastAsia="Arial" w:hAnsi="Cambria" w:cs="Arial"/>
        </w:rPr>
        <w:t>In</w:t>
      </w:r>
      <w:r w:rsidRPr="009A0DA6">
        <w:rPr>
          <w:rFonts w:ascii="Cambria" w:eastAsia="Arial" w:hAnsi="Cambria" w:cs="Arial"/>
          <w:spacing w:val="-1"/>
        </w:rPr>
        <w:t>t</w:t>
      </w:r>
      <w:r w:rsidRPr="009A0DA6">
        <w:rPr>
          <w:rFonts w:ascii="Cambria" w:eastAsia="Arial" w:hAnsi="Cambria" w:cs="Arial"/>
        </w:rPr>
        <w:t>ere</w:t>
      </w:r>
      <w:r w:rsidRPr="009A0DA6">
        <w:rPr>
          <w:rFonts w:ascii="Cambria" w:eastAsia="Arial" w:hAnsi="Cambria" w:cs="Arial"/>
          <w:spacing w:val="1"/>
        </w:rPr>
        <w:t>s</w:t>
      </w:r>
      <w:r w:rsidRPr="009A0DA6">
        <w:rPr>
          <w:rFonts w:ascii="Cambria" w:eastAsia="Arial" w:hAnsi="Cambria" w:cs="Arial"/>
        </w:rPr>
        <w:t>t</w:t>
      </w:r>
      <w:r w:rsidRPr="009A0DA6">
        <w:rPr>
          <w:rFonts w:ascii="Cambria" w:eastAsia="Arial" w:hAnsi="Cambria" w:cs="Arial"/>
          <w:spacing w:val="-7"/>
        </w:rPr>
        <w:t xml:space="preserve"> </w:t>
      </w:r>
      <w:r w:rsidRPr="009A0DA6">
        <w:rPr>
          <w:rFonts w:ascii="Cambria" w:eastAsia="Arial" w:hAnsi="Cambria" w:cs="Arial"/>
        </w:rPr>
        <w:t>re</w:t>
      </w:r>
      <w:r w:rsidRPr="009A0DA6">
        <w:rPr>
          <w:rFonts w:ascii="Cambria" w:eastAsia="Arial" w:hAnsi="Cambria" w:cs="Arial"/>
          <w:spacing w:val="1"/>
        </w:rPr>
        <w:t>c</w:t>
      </w:r>
      <w:r w:rsidRPr="009A0DA6">
        <w:rPr>
          <w:rFonts w:ascii="Cambria" w:eastAsia="Arial" w:hAnsi="Cambria" w:cs="Arial"/>
        </w:rPr>
        <w:t>e</w:t>
      </w:r>
      <w:r w:rsidRPr="009A0DA6">
        <w:rPr>
          <w:rFonts w:ascii="Cambria" w:eastAsia="Arial" w:hAnsi="Cambria" w:cs="Arial"/>
          <w:spacing w:val="-1"/>
        </w:rPr>
        <w:t>iv</w:t>
      </w:r>
      <w:r w:rsidRPr="009A0DA6">
        <w:rPr>
          <w:rFonts w:ascii="Cambria" w:eastAsia="Arial" w:hAnsi="Cambria" w:cs="Arial"/>
        </w:rPr>
        <w:t>ed</w:t>
      </w:r>
      <w:r w:rsidRPr="009A0DA6">
        <w:rPr>
          <w:rFonts w:ascii="Cambria" w:eastAsia="Arial" w:hAnsi="Cambria" w:cs="Arial"/>
          <w:spacing w:val="-9"/>
        </w:rPr>
        <w:t xml:space="preserve"> </w:t>
      </w:r>
      <w:r w:rsidRPr="009A0DA6">
        <w:rPr>
          <w:rFonts w:ascii="Cambria" w:eastAsia="Arial" w:hAnsi="Cambria" w:cs="Arial"/>
        </w:rPr>
        <w:t>L</w:t>
      </w:r>
      <w:r w:rsidRPr="009A0DA6">
        <w:rPr>
          <w:rFonts w:ascii="Cambria" w:eastAsia="Arial" w:hAnsi="Cambria" w:cs="Arial"/>
          <w:spacing w:val="-1"/>
        </w:rPr>
        <w:t>u</w:t>
      </w:r>
      <w:r w:rsidRPr="009A0DA6">
        <w:rPr>
          <w:rFonts w:ascii="Cambria" w:eastAsia="Arial" w:hAnsi="Cambria" w:cs="Arial"/>
        </w:rPr>
        <w:t>th</w:t>
      </w:r>
      <w:r w:rsidRPr="009A0DA6">
        <w:rPr>
          <w:rFonts w:ascii="Cambria" w:eastAsia="Arial" w:hAnsi="Cambria" w:cs="Arial"/>
          <w:spacing w:val="-1"/>
        </w:rPr>
        <w:t>e</w:t>
      </w:r>
      <w:r w:rsidRPr="009A0DA6">
        <w:rPr>
          <w:rFonts w:ascii="Cambria" w:eastAsia="Arial" w:hAnsi="Cambria" w:cs="Arial"/>
          <w:spacing w:val="1"/>
        </w:rPr>
        <w:t>r</w:t>
      </w:r>
      <w:r w:rsidRPr="009A0DA6">
        <w:rPr>
          <w:rFonts w:ascii="Cambria" w:eastAsia="Arial" w:hAnsi="Cambria" w:cs="Arial"/>
        </w:rPr>
        <w:t>an</w:t>
      </w:r>
      <w:r w:rsidRPr="009A0DA6">
        <w:rPr>
          <w:rFonts w:ascii="Cambria" w:eastAsia="Arial" w:hAnsi="Cambria" w:cs="Arial"/>
          <w:spacing w:val="-9"/>
        </w:rPr>
        <w:t xml:space="preserve"> </w:t>
      </w:r>
      <w:r w:rsidRPr="009A0DA6">
        <w:rPr>
          <w:rFonts w:ascii="Cambria" w:eastAsia="Arial" w:hAnsi="Cambria" w:cs="Arial"/>
        </w:rPr>
        <w:t>L</w:t>
      </w:r>
      <w:r w:rsidRPr="009A0DA6">
        <w:rPr>
          <w:rFonts w:ascii="Cambria" w:eastAsia="Arial" w:hAnsi="Cambria" w:cs="Arial"/>
          <w:spacing w:val="-1"/>
        </w:rPr>
        <w:t>a</w:t>
      </w:r>
      <w:r w:rsidRPr="009A0DA6">
        <w:rPr>
          <w:rFonts w:ascii="Cambria" w:eastAsia="Arial" w:hAnsi="Cambria" w:cs="Arial"/>
          <w:spacing w:val="-6"/>
        </w:rPr>
        <w:t>y</w:t>
      </w:r>
      <w:r w:rsidRPr="009A0DA6">
        <w:rPr>
          <w:rFonts w:ascii="Cambria" w:eastAsia="Arial" w:hAnsi="Cambria" w:cs="Arial"/>
        </w:rPr>
        <w:t>p</w:t>
      </w:r>
      <w:r w:rsidRPr="009A0DA6">
        <w:rPr>
          <w:rFonts w:ascii="Cambria" w:eastAsia="Arial" w:hAnsi="Cambria" w:cs="Arial"/>
          <w:spacing w:val="-1"/>
        </w:rPr>
        <w:t>e</w:t>
      </w:r>
      <w:r w:rsidRPr="009A0DA6">
        <w:rPr>
          <w:rFonts w:ascii="Cambria" w:eastAsia="Arial" w:hAnsi="Cambria" w:cs="Arial"/>
        </w:rPr>
        <w:t>o</w:t>
      </w:r>
      <w:r w:rsidRPr="009A0DA6">
        <w:rPr>
          <w:rFonts w:ascii="Cambria" w:eastAsia="Arial" w:hAnsi="Cambria" w:cs="Arial"/>
          <w:spacing w:val="-1"/>
        </w:rPr>
        <w:t>pl</w:t>
      </w:r>
      <w:r w:rsidRPr="009A0DA6">
        <w:rPr>
          <w:rFonts w:ascii="Cambria" w:eastAsia="Arial" w:hAnsi="Cambria" w:cs="Arial"/>
        </w:rPr>
        <w:t>e's</w:t>
      </w:r>
      <w:r w:rsidRPr="009A0DA6">
        <w:rPr>
          <w:rFonts w:ascii="Cambria" w:eastAsia="Arial" w:hAnsi="Cambria" w:cs="Arial"/>
          <w:spacing w:val="-10"/>
        </w:rPr>
        <w:t xml:space="preserve"> </w:t>
      </w:r>
      <w:r w:rsidRPr="009A0DA6">
        <w:rPr>
          <w:rFonts w:ascii="Cambria" w:eastAsia="Arial" w:hAnsi="Cambria" w:cs="Arial"/>
        </w:rPr>
        <w:t>L</w:t>
      </w:r>
      <w:r w:rsidRPr="009A0DA6">
        <w:rPr>
          <w:rFonts w:ascii="Cambria" w:eastAsia="Arial" w:hAnsi="Cambria" w:cs="Arial"/>
          <w:spacing w:val="-1"/>
        </w:rPr>
        <w:t>e</w:t>
      </w:r>
      <w:r w:rsidRPr="009A0DA6">
        <w:rPr>
          <w:rFonts w:ascii="Cambria" w:eastAsia="Arial" w:hAnsi="Cambria" w:cs="Arial"/>
        </w:rPr>
        <w:t>a</w:t>
      </w:r>
      <w:r w:rsidRPr="009A0DA6">
        <w:rPr>
          <w:rFonts w:ascii="Cambria" w:eastAsia="Arial" w:hAnsi="Cambria" w:cs="Arial"/>
          <w:spacing w:val="-1"/>
        </w:rPr>
        <w:t>g</w:t>
      </w:r>
      <w:r w:rsidRPr="009A0DA6">
        <w:rPr>
          <w:rFonts w:ascii="Cambria" w:eastAsia="Arial" w:hAnsi="Cambria" w:cs="Arial"/>
        </w:rPr>
        <w:t>ue</w:t>
      </w:r>
      <w:r w:rsidRPr="009A0DA6">
        <w:rPr>
          <w:rFonts w:ascii="Cambria" w:eastAsia="Arial" w:hAnsi="Cambria" w:cs="Arial"/>
        </w:rPr>
        <w:tab/>
        <w:t>371</w:t>
      </w:r>
      <w:r w:rsidRPr="009A0DA6">
        <w:rPr>
          <w:rFonts w:ascii="Cambria" w:eastAsia="Arial" w:hAnsi="Cambria" w:cs="Arial"/>
        </w:rPr>
        <w:tab/>
        <w:t>773</w:t>
      </w:r>
      <w:r w:rsidRPr="009A0DA6">
        <w:rPr>
          <w:rFonts w:ascii="Cambria" w:eastAsia="Arial" w:hAnsi="Cambria" w:cs="Arial"/>
        </w:rPr>
        <w:tab/>
        <w:t>1,006</w:t>
      </w:r>
    </w:p>
    <w:p w14:paraId="59AE6BD8" w14:textId="77777777" w:rsidR="002E592D" w:rsidRPr="009A0DA6" w:rsidRDefault="002E592D" w:rsidP="002E592D">
      <w:pPr>
        <w:tabs>
          <w:tab w:val="right" w:pos="5954"/>
          <w:tab w:val="right" w:pos="7371"/>
          <w:tab w:val="right" w:pos="8789"/>
        </w:tabs>
        <w:spacing w:before="120" w:after="120" w:line="240" w:lineRule="auto"/>
        <w:contextualSpacing/>
        <w:rPr>
          <w:rFonts w:ascii="Cambria" w:eastAsia="Arial" w:hAnsi="Cambria" w:cs="Arial"/>
        </w:rPr>
      </w:pPr>
      <w:r w:rsidRPr="009A0DA6">
        <w:rPr>
          <w:rFonts w:ascii="Cambria" w:eastAsia="Arial" w:hAnsi="Cambria" w:cs="Arial"/>
          <w:spacing w:val="-1"/>
        </w:rPr>
        <w:t>B</w:t>
      </w:r>
      <w:r w:rsidRPr="009A0DA6">
        <w:rPr>
          <w:rFonts w:ascii="Cambria" w:eastAsia="Arial" w:hAnsi="Cambria" w:cs="Arial"/>
        </w:rPr>
        <w:t>a</w:t>
      </w:r>
      <w:r w:rsidRPr="009A0DA6">
        <w:rPr>
          <w:rFonts w:ascii="Cambria" w:eastAsia="Arial" w:hAnsi="Cambria" w:cs="Arial"/>
          <w:spacing w:val="-1"/>
        </w:rPr>
        <w:t>l</w:t>
      </w:r>
      <w:r w:rsidRPr="009A0DA6">
        <w:rPr>
          <w:rFonts w:ascii="Cambria" w:eastAsia="Arial" w:hAnsi="Cambria" w:cs="Arial"/>
        </w:rPr>
        <w:t>a</w:t>
      </w:r>
      <w:r w:rsidRPr="009A0DA6">
        <w:rPr>
          <w:rFonts w:ascii="Cambria" w:eastAsia="Arial" w:hAnsi="Cambria" w:cs="Arial"/>
          <w:spacing w:val="-1"/>
        </w:rPr>
        <w:t>n</w:t>
      </w:r>
      <w:r w:rsidRPr="009A0DA6">
        <w:rPr>
          <w:rFonts w:ascii="Cambria" w:eastAsia="Arial" w:hAnsi="Cambria" w:cs="Arial"/>
          <w:spacing w:val="1"/>
        </w:rPr>
        <w:t>c</w:t>
      </w:r>
      <w:r w:rsidRPr="009A0DA6">
        <w:rPr>
          <w:rFonts w:ascii="Cambria" w:eastAsia="Arial" w:hAnsi="Cambria" w:cs="Arial"/>
        </w:rPr>
        <w:t>e</w:t>
      </w:r>
      <w:r w:rsidRPr="009A0DA6">
        <w:rPr>
          <w:rFonts w:ascii="Cambria" w:eastAsia="Arial" w:hAnsi="Cambria" w:cs="Arial"/>
          <w:spacing w:val="-7"/>
        </w:rPr>
        <w:t xml:space="preserve"> </w:t>
      </w:r>
      <w:r w:rsidRPr="009A0DA6">
        <w:rPr>
          <w:rFonts w:ascii="Cambria" w:eastAsia="Arial" w:hAnsi="Cambria" w:cs="Arial"/>
          <w:spacing w:val="-1"/>
        </w:rPr>
        <w:t>a</w:t>
      </w:r>
      <w:r w:rsidRPr="009A0DA6">
        <w:rPr>
          <w:rFonts w:ascii="Cambria" w:eastAsia="Arial" w:hAnsi="Cambria" w:cs="Arial"/>
        </w:rPr>
        <w:t>s</w:t>
      </w:r>
      <w:r w:rsidRPr="009A0DA6">
        <w:rPr>
          <w:rFonts w:ascii="Cambria" w:eastAsia="Arial" w:hAnsi="Cambria" w:cs="Arial"/>
          <w:spacing w:val="-1"/>
        </w:rPr>
        <w:t xml:space="preserve"> </w:t>
      </w:r>
      <w:r w:rsidRPr="009A0DA6">
        <w:rPr>
          <w:rFonts w:ascii="Cambria" w:eastAsia="Arial" w:hAnsi="Cambria" w:cs="Arial"/>
        </w:rPr>
        <w:t>at</w:t>
      </w:r>
      <w:r w:rsidRPr="009A0DA6">
        <w:rPr>
          <w:rFonts w:ascii="Cambria" w:eastAsia="Arial" w:hAnsi="Cambria" w:cs="Arial"/>
          <w:spacing w:val="-3"/>
        </w:rPr>
        <w:t xml:space="preserve"> </w:t>
      </w:r>
      <w:r w:rsidRPr="009A0DA6">
        <w:rPr>
          <w:rFonts w:ascii="Cambria" w:eastAsia="Arial" w:hAnsi="Cambria" w:cs="Arial"/>
        </w:rPr>
        <w:t>1st</w:t>
      </w:r>
      <w:r w:rsidRPr="009A0DA6">
        <w:rPr>
          <w:rFonts w:ascii="Cambria" w:eastAsia="Arial" w:hAnsi="Cambria" w:cs="Arial"/>
          <w:spacing w:val="-3"/>
        </w:rPr>
        <w:t xml:space="preserve"> </w:t>
      </w:r>
      <w:r w:rsidRPr="009A0DA6">
        <w:rPr>
          <w:rFonts w:ascii="Cambria" w:eastAsia="Arial" w:hAnsi="Cambria" w:cs="Arial"/>
          <w:spacing w:val="1"/>
        </w:rPr>
        <w:t>J</w:t>
      </w:r>
      <w:r w:rsidRPr="009A0DA6">
        <w:rPr>
          <w:rFonts w:ascii="Cambria" w:eastAsia="Arial" w:hAnsi="Cambria" w:cs="Arial"/>
        </w:rPr>
        <w:t>a</w:t>
      </w:r>
      <w:r w:rsidRPr="009A0DA6">
        <w:rPr>
          <w:rFonts w:ascii="Cambria" w:eastAsia="Arial" w:hAnsi="Cambria" w:cs="Arial"/>
          <w:spacing w:val="-1"/>
        </w:rPr>
        <w:t>n</w:t>
      </w:r>
      <w:r w:rsidRPr="009A0DA6">
        <w:rPr>
          <w:rFonts w:ascii="Cambria" w:eastAsia="Arial" w:hAnsi="Cambria" w:cs="Arial"/>
        </w:rPr>
        <w:t>u</w:t>
      </w:r>
      <w:r w:rsidRPr="009A0DA6">
        <w:rPr>
          <w:rFonts w:ascii="Cambria" w:eastAsia="Arial" w:hAnsi="Cambria" w:cs="Arial"/>
          <w:spacing w:val="-1"/>
        </w:rPr>
        <w:t>a</w:t>
      </w:r>
      <w:r w:rsidRPr="009A0DA6">
        <w:rPr>
          <w:rFonts w:ascii="Cambria" w:eastAsia="Arial" w:hAnsi="Cambria" w:cs="Arial"/>
          <w:spacing w:val="1"/>
        </w:rPr>
        <w:t>r</w:t>
      </w:r>
      <w:r w:rsidRPr="009A0DA6">
        <w:rPr>
          <w:rFonts w:ascii="Cambria" w:eastAsia="Arial" w:hAnsi="Cambria" w:cs="Arial"/>
        </w:rPr>
        <w:t>y</w:t>
      </w:r>
      <w:r w:rsidRPr="009A0DA6">
        <w:rPr>
          <w:rFonts w:ascii="Cambria" w:eastAsia="Arial" w:hAnsi="Cambria" w:cs="Arial"/>
        </w:rPr>
        <w:tab/>
        <w:t>23,013</w:t>
      </w:r>
      <w:r w:rsidRPr="009A0DA6">
        <w:rPr>
          <w:rFonts w:ascii="Cambria" w:eastAsia="Arial" w:hAnsi="Cambria" w:cs="Arial"/>
        </w:rPr>
        <w:tab/>
        <w:t>21,960</w:t>
      </w:r>
      <w:r w:rsidRPr="009A0DA6">
        <w:rPr>
          <w:rFonts w:ascii="Cambria" w:eastAsia="Arial" w:hAnsi="Cambria" w:cs="Arial"/>
        </w:rPr>
        <w:tab/>
        <w:t>37,929</w:t>
      </w:r>
    </w:p>
    <w:p w14:paraId="136C2D44" w14:textId="77777777" w:rsidR="002E592D" w:rsidRPr="009A0DA6" w:rsidRDefault="002E592D" w:rsidP="002E592D">
      <w:pPr>
        <w:tabs>
          <w:tab w:val="right" w:pos="5954"/>
          <w:tab w:val="right" w:pos="7371"/>
          <w:tab w:val="right" w:pos="8789"/>
        </w:tabs>
        <w:spacing w:before="120" w:after="120" w:line="240" w:lineRule="auto"/>
        <w:ind w:right="-70"/>
        <w:contextualSpacing/>
        <w:rPr>
          <w:rFonts w:ascii="Cambria" w:eastAsia="Arial" w:hAnsi="Cambria" w:cs="Arial"/>
          <w:b/>
          <w:bCs/>
          <w:w w:val="99"/>
          <w:u w:color="000000"/>
        </w:rPr>
      </w:pPr>
      <w:r w:rsidRPr="009A0DA6">
        <w:rPr>
          <w:rFonts w:ascii="Cambria" w:eastAsia="Arial" w:hAnsi="Cambria" w:cs="Arial"/>
          <w:b/>
          <w:bCs/>
          <w:u w:color="000000"/>
        </w:rPr>
        <w:tab/>
      </w:r>
      <w:r w:rsidRPr="009A0DA6">
        <w:rPr>
          <w:rFonts w:ascii="Cambria" w:eastAsia="Arial" w:hAnsi="Cambria" w:cs="Arial"/>
          <w:b/>
          <w:bCs/>
          <w:w w:val="99"/>
          <w:u w:color="000000"/>
        </w:rPr>
        <w:t xml:space="preserve">88,935 </w:t>
      </w:r>
      <w:r w:rsidRPr="009A0DA6">
        <w:rPr>
          <w:rFonts w:ascii="Cambria" w:eastAsia="Arial" w:hAnsi="Cambria" w:cs="Arial"/>
          <w:b/>
          <w:bCs/>
          <w:w w:val="99"/>
          <w:u w:color="000000"/>
        </w:rPr>
        <w:tab/>
        <w:t>97,733</w:t>
      </w:r>
      <w:r w:rsidRPr="009A0DA6">
        <w:rPr>
          <w:rFonts w:ascii="Cambria" w:eastAsia="Arial" w:hAnsi="Cambria" w:cs="Arial"/>
          <w:b/>
          <w:bCs/>
          <w:w w:val="99"/>
          <w:u w:color="000000"/>
        </w:rPr>
        <w:tab/>
        <w:t xml:space="preserve">123,385 </w:t>
      </w:r>
    </w:p>
    <w:p w14:paraId="38113D7B" w14:textId="77777777" w:rsidR="002E592D" w:rsidRPr="009A0DA6" w:rsidRDefault="002E592D" w:rsidP="002E592D">
      <w:pPr>
        <w:tabs>
          <w:tab w:val="right" w:pos="5954"/>
          <w:tab w:val="right" w:pos="7371"/>
          <w:tab w:val="right" w:pos="8789"/>
        </w:tabs>
        <w:spacing w:before="120" w:after="120" w:line="240" w:lineRule="auto"/>
        <w:ind w:right="-70"/>
        <w:contextualSpacing/>
        <w:rPr>
          <w:rFonts w:ascii="Cambria" w:eastAsia="Arial" w:hAnsi="Cambria" w:cs="Arial"/>
        </w:rPr>
      </w:pPr>
      <w:r w:rsidRPr="009A0DA6">
        <w:rPr>
          <w:rFonts w:ascii="Cambria" w:eastAsia="Arial" w:hAnsi="Cambria" w:cs="Arial"/>
          <w:b/>
          <w:bCs/>
          <w:spacing w:val="-1"/>
        </w:rPr>
        <w:t>P</w:t>
      </w:r>
      <w:r w:rsidRPr="009A0DA6">
        <w:rPr>
          <w:rFonts w:ascii="Cambria" w:eastAsia="Arial" w:hAnsi="Cambria" w:cs="Arial"/>
          <w:b/>
          <w:bCs/>
        </w:rPr>
        <w:t>a</w:t>
      </w:r>
      <w:r w:rsidRPr="009A0DA6">
        <w:rPr>
          <w:rFonts w:ascii="Cambria" w:eastAsia="Arial" w:hAnsi="Cambria" w:cs="Arial"/>
          <w:b/>
          <w:bCs/>
          <w:spacing w:val="-6"/>
        </w:rPr>
        <w:t>y</w:t>
      </w:r>
      <w:r w:rsidRPr="009A0DA6">
        <w:rPr>
          <w:rFonts w:ascii="Cambria" w:eastAsia="Arial" w:hAnsi="Cambria" w:cs="Arial"/>
          <w:b/>
          <w:bCs/>
        </w:rPr>
        <w:t>ments</w:t>
      </w:r>
    </w:p>
    <w:p w14:paraId="08705EDF" w14:textId="77777777" w:rsidR="002E592D" w:rsidRPr="009A0DA6" w:rsidRDefault="002E592D" w:rsidP="002E592D">
      <w:pPr>
        <w:tabs>
          <w:tab w:val="right" w:pos="5954"/>
          <w:tab w:val="right" w:pos="7371"/>
          <w:tab w:val="right" w:pos="8789"/>
        </w:tabs>
        <w:spacing w:before="120" w:after="120" w:line="240" w:lineRule="auto"/>
        <w:contextualSpacing/>
        <w:rPr>
          <w:rFonts w:ascii="Cambria" w:hAnsi="Cambria"/>
        </w:rPr>
      </w:pPr>
      <w:r w:rsidRPr="009A0DA6">
        <w:rPr>
          <w:rFonts w:ascii="Cambria" w:eastAsia="Arial" w:hAnsi="Cambria" w:cs="Arial"/>
        </w:rPr>
        <w:t>Fu</w:t>
      </w:r>
      <w:r w:rsidRPr="009A0DA6">
        <w:rPr>
          <w:rFonts w:ascii="Cambria" w:eastAsia="Arial" w:hAnsi="Cambria" w:cs="Arial"/>
          <w:spacing w:val="-1"/>
        </w:rPr>
        <w:t>n</w:t>
      </w:r>
      <w:r w:rsidRPr="009A0DA6">
        <w:rPr>
          <w:rFonts w:ascii="Cambria" w:eastAsia="Arial" w:hAnsi="Cambria" w:cs="Arial"/>
        </w:rPr>
        <w:t>eral</w:t>
      </w:r>
      <w:r w:rsidRPr="009A0DA6">
        <w:rPr>
          <w:rFonts w:ascii="Cambria" w:eastAsia="Arial" w:hAnsi="Cambria" w:cs="Arial"/>
          <w:spacing w:val="-8"/>
        </w:rPr>
        <w:t xml:space="preserve"> </w:t>
      </w:r>
      <w:r w:rsidRPr="009A0DA6">
        <w:rPr>
          <w:rFonts w:ascii="Cambria" w:eastAsia="Arial" w:hAnsi="Cambria" w:cs="Arial"/>
          <w:spacing w:val="-1"/>
        </w:rPr>
        <w:t>B</w:t>
      </w:r>
      <w:r w:rsidRPr="009A0DA6">
        <w:rPr>
          <w:rFonts w:ascii="Cambria" w:eastAsia="Arial" w:hAnsi="Cambria" w:cs="Arial"/>
        </w:rPr>
        <w:t>e</w:t>
      </w:r>
      <w:r w:rsidRPr="009A0DA6">
        <w:rPr>
          <w:rFonts w:ascii="Cambria" w:eastAsia="Arial" w:hAnsi="Cambria" w:cs="Arial"/>
          <w:spacing w:val="-1"/>
        </w:rPr>
        <w:t>n</w:t>
      </w:r>
      <w:r w:rsidRPr="009A0DA6">
        <w:rPr>
          <w:rFonts w:ascii="Cambria" w:eastAsia="Arial" w:hAnsi="Cambria" w:cs="Arial"/>
        </w:rPr>
        <w:t>e</w:t>
      </w:r>
      <w:r w:rsidRPr="009A0DA6">
        <w:rPr>
          <w:rFonts w:ascii="Cambria" w:eastAsia="Arial" w:hAnsi="Cambria" w:cs="Arial"/>
          <w:spacing w:val="2"/>
        </w:rPr>
        <w:t>f</w:t>
      </w:r>
      <w:r w:rsidRPr="009A0DA6">
        <w:rPr>
          <w:rFonts w:ascii="Cambria" w:eastAsia="Arial" w:hAnsi="Cambria" w:cs="Arial"/>
          <w:spacing w:val="-1"/>
        </w:rPr>
        <w:t>i</w:t>
      </w:r>
      <w:r w:rsidRPr="009A0DA6">
        <w:rPr>
          <w:rFonts w:ascii="Cambria" w:eastAsia="Arial" w:hAnsi="Cambria" w:cs="Arial"/>
        </w:rPr>
        <w:t>ts</w:t>
      </w:r>
      <w:r w:rsidRPr="009A0DA6">
        <w:rPr>
          <w:rFonts w:ascii="Cambria" w:eastAsia="Arial" w:hAnsi="Cambria" w:cs="Arial"/>
        </w:rPr>
        <w:tab/>
        <w:t>29,810</w:t>
      </w:r>
      <w:r w:rsidRPr="009A0DA6">
        <w:rPr>
          <w:rFonts w:ascii="Cambria" w:eastAsia="Arial" w:hAnsi="Cambria" w:cs="Arial"/>
        </w:rPr>
        <w:tab/>
        <w:t>29,232</w:t>
      </w:r>
      <w:r w:rsidRPr="009A0DA6">
        <w:rPr>
          <w:rFonts w:ascii="Cambria" w:eastAsia="Arial" w:hAnsi="Cambria" w:cs="Arial"/>
        </w:rPr>
        <w:tab/>
        <w:t>20,377</w:t>
      </w:r>
    </w:p>
    <w:p w14:paraId="59F4338D" w14:textId="77777777" w:rsidR="002E592D" w:rsidRPr="009A0DA6" w:rsidRDefault="002E592D" w:rsidP="002E592D">
      <w:pPr>
        <w:tabs>
          <w:tab w:val="right" w:pos="5954"/>
          <w:tab w:val="right" w:pos="7371"/>
          <w:tab w:val="right" w:pos="8789"/>
        </w:tabs>
        <w:spacing w:before="120" w:after="120" w:line="240" w:lineRule="auto"/>
        <w:ind w:right="-20"/>
        <w:contextualSpacing/>
        <w:rPr>
          <w:rFonts w:ascii="Cambria" w:eastAsia="Arial" w:hAnsi="Cambria" w:cs="Arial"/>
        </w:rPr>
      </w:pPr>
      <w:r w:rsidRPr="009A0DA6">
        <w:rPr>
          <w:rFonts w:ascii="Cambria" w:eastAsia="Arial" w:hAnsi="Cambria" w:cs="Arial"/>
        </w:rPr>
        <w:t>Re</w:t>
      </w:r>
      <w:r w:rsidRPr="009A0DA6">
        <w:rPr>
          <w:rFonts w:ascii="Cambria" w:eastAsia="Arial" w:hAnsi="Cambria" w:cs="Arial"/>
          <w:spacing w:val="-1"/>
        </w:rPr>
        <w:t>li</w:t>
      </w:r>
      <w:r w:rsidRPr="009A0DA6">
        <w:rPr>
          <w:rFonts w:ascii="Cambria" w:eastAsia="Arial" w:hAnsi="Cambria" w:cs="Arial"/>
        </w:rPr>
        <w:t>ef</w:t>
      </w:r>
      <w:r w:rsidRPr="009A0DA6">
        <w:rPr>
          <w:rFonts w:ascii="Cambria" w:eastAsia="Arial" w:hAnsi="Cambria" w:cs="Arial"/>
          <w:spacing w:val="-4"/>
        </w:rPr>
        <w:t xml:space="preserve"> </w:t>
      </w:r>
      <w:r w:rsidRPr="009A0DA6">
        <w:rPr>
          <w:rFonts w:ascii="Cambria" w:eastAsia="Arial" w:hAnsi="Cambria" w:cs="Arial"/>
          <w:spacing w:val="-1"/>
        </w:rPr>
        <w:t>S</w:t>
      </w:r>
      <w:r w:rsidRPr="009A0DA6">
        <w:rPr>
          <w:rFonts w:ascii="Cambria" w:eastAsia="Arial" w:hAnsi="Cambria" w:cs="Arial"/>
        </w:rPr>
        <w:t>er</w:t>
      </w:r>
      <w:r w:rsidRPr="009A0DA6">
        <w:rPr>
          <w:rFonts w:ascii="Cambria" w:eastAsia="Arial" w:hAnsi="Cambria" w:cs="Arial"/>
          <w:spacing w:val="-1"/>
        </w:rPr>
        <w:t>vi</w:t>
      </w:r>
      <w:r w:rsidRPr="009A0DA6">
        <w:rPr>
          <w:rFonts w:ascii="Cambria" w:eastAsia="Arial" w:hAnsi="Cambria" w:cs="Arial"/>
          <w:spacing w:val="1"/>
        </w:rPr>
        <w:t>c</w:t>
      </w:r>
      <w:r w:rsidRPr="009A0DA6">
        <w:rPr>
          <w:rFonts w:ascii="Cambria" w:eastAsia="Arial" w:hAnsi="Cambria" w:cs="Arial"/>
        </w:rPr>
        <w:t>es</w:t>
      </w:r>
      <w:r w:rsidRPr="009A0DA6">
        <w:rPr>
          <w:rFonts w:ascii="Cambria" w:eastAsia="Arial" w:hAnsi="Cambria" w:cs="Arial"/>
          <w:spacing w:val="-8"/>
        </w:rPr>
        <w:t xml:space="preserve"> </w:t>
      </w:r>
      <w:r w:rsidRPr="009A0DA6">
        <w:rPr>
          <w:rFonts w:ascii="Cambria" w:eastAsia="Arial" w:hAnsi="Cambria" w:cs="Arial"/>
        </w:rPr>
        <w:t>-</w:t>
      </w:r>
      <w:r w:rsidRPr="009A0DA6">
        <w:rPr>
          <w:rFonts w:ascii="Cambria" w:eastAsia="Arial" w:hAnsi="Cambria" w:cs="Arial"/>
          <w:spacing w:val="-1"/>
        </w:rPr>
        <w:t xml:space="preserve"> </w:t>
      </w:r>
      <w:r w:rsidRPr="009A0DA6">
        <w:rPr>
          <w:rFonts w:ascii="Cambria" w:eastAsia="Arial" w:hAnsi="Cambria" w:cs="Arial"/>
        </w:rPr>
        <w:t>Re</w:t>
      </w:r>
      <w:r w:rsidRPr="009A0DA6">
        <w:rPr>
          <w:rFonts w:ascii="Cambria" w:eastAsia="Arial" w:hAnsi="Cambria" w:cs="Arial"/>
          <w:spacing w:val="1"/>
        </w:rPr>
        <w:t>c</w:t>
      </w:r>
      <w:r w:rsidRPr="009A0DA6">
        <w:rPr>
          <w:rFonts w:ascii="Cambria" w:eastAsia="Arial" w:hAnsi="Cambria" w:cs="Arial"/>
        </w:rPr>
        <w:t>u</w:t>
      </w:r>
      <w:r w:rsidRPr="009A0DA6">
        <w:rPr>
          <w:rFonts w:ascii="Cambria" w:eastAsia="Arial" w:hAnsi="Cambria" w:cs="Arial"/>
          <w:spacing w:val="-1"/>
        </w:rPr>
        <w:t>p</w:t>
      </w:r>
      <w:r w:rsidRPr="009A0DA6">
        <w:rPr>
          <w:rFonts w:ascii="Cambria" w:eastAsia="Arial" w:hAnsi="Cambria" w:cs="Arial"/>
        </w:rPr>
        <w:t>erat</w:t>
      </w:r>
      <w:r w:rsidRPr="009A0DA6">
        <w:rPr>
          <w:rFonts w:ascii="Cambria" w:eastAsia="Arial" w:hAnsi="Cambria" w:cs="Arial"/>
          <w:spacing w:val="-1"/>
        </w:rPr>
        <w:t>iv</w:t>
      </w:r>
      <w:r w:rsidRPr="009A0DA6">
        <w:rPr>
          <w:rFonts w:ascii="Cambria" w:eastAsia="Arial" w:hAnsi="Cambria" w:cs="Arial"/>
        </w:rPr>
        <w:t>e</w:t>
      </w:r>
      <w:r w:rsidRPr="009A0DA6">
        <w:rPr>
          <w:rFonts w:ascii="Cambria" w:eastAsia="Arial" w:hAnsi="Cambria" w:cs="Arial"/>
          <w:spacing w:val="-12"/>
        </w:rPr>
        <w:t xml:space="preserve"> </w:t>
      </w:r>
      <w:r w:rsidRPr="009A0DA6">
        <w:rPr>
          <w:rFonts w:ascii="Cambria" w:eastAsia="Arial" w:hAnsi="Cambria" w:cs="Arial"/>
          <w:spacing w:val="-1"/>
        </w:rPr>
        <w:t>L</w:t>
      </w:r>
      <w:r w:rsidRPr="009A0DA6">
        <w:rPr>
          <w:rFonts w:ascii="Cambria" w:eastAsia="Arial" w:hAnsi="Cambria" w:cs="Arial"/>
        </w:rPr>
        <w:t>e</w:t>
      </w:r>
      <w:r w:rsidRPr="009A0DA6">
        <w:rPr>
          <w:rFonts w:ascii="Cambria" w:eastAsia="Arial" w:hAnsi="Cambria" w:cs="Arial"/>
          <w:spacing w:val="-1"/>
        </w:rPr>
        <w:t>av</w:t>
      </w:r>
      <w:r w:rsidRPr="009A0DA6">
        <w:rPr>
          <w:rFonts w:ascii="Cambria" w:eastAsia="Arial" w:hAnsi="Cambria" w:cs="Arial"/>
        </w:rPr>
        <w:t>e</w:t>
      </w:r>
      <w:r w:rsidRPr="009A0DA6">
        <w:rPr>
          <w:rFonts w:ascii="Cambria" w:eastAsia="Arial" w:hAnsi="Cambria" w:cs="Arial"/>
        </w:rPr>
        <w:tab/>
        <w:t>31,393</w:t>
      </w:r>
      <w:r w:rsidRPr="009A0DA6">
        <w:rPr>
          <w:rFonts w:ascii="Cambria" w:eastAsia="Arial" w:hAnsi="Cambria" w:cs="Arial"/>
        </w:rPr>
        <w:tab/>
        <w:t>42,762</w:t>
      </w:r>
      <w:r w:rsidRPr="009A0DA6">
        <w:rPr>
          <w:rFonts w:ascii="Cambria" w:eastAsia="Arial" w:hAnsi="Cambria" w:cs="Arial"/>
        </w:rPr>
        <w:tab/>
        <w:t>46,598</w:t>
      </w:r>
    </w:p>
    <w:p w14:paraId="086A9E50" w14:textId="77777777" w:rsidR="002E592D" w:rsidRPr="009A0DA6" w:rsidRDefault="002E592D" w:rsidP="002E592D">
      <w:pPr>
        <w:tabs>
          <w:tab w:val="right" w:pos="5954"/>
          <w:tab w:val="right" w:pos="7371"/>
          <w:tab w:val="right" w:pos="8789"/>
        </w:tabs>
        <w:spacing w:before="120" w:after="120" w:line="240" w:lineRule="auto"/>
        <w:ind w:right="-20"/>
        <w:contextualSpacing/>
        <w:rPr>
          <w:rFonts w:ascii="Cambria" w:eastAsia="Arial" w:hAnsi="Cambria" w:cs="Arial"/>
        </w:rPr>
      </w:pPr>
      <w:r w:rsidRPr="009A0DA6">
        <w:rPr>
          <w:rFonts w:ascii="Cambria" w:eastAsia="Arial" w:hAnsi="Cambria" w:cs="Arial"/>
        </w:rPr>
        <w:t>Re</w:t>
      </w:r>
      <w:r w:rsidRPr="009A0DA6">
        <w:rPr>
          <w:rFonts w:ascii="Cambria" w:eastAsia="Arial" w:hAnsi="Cambria" w:cs="Arial"/>
          <w:spacing w:val="4"/>
        </w:rPr>
        <w:t>m</w:t>
      </w:r>
      <w:r w:rsidRPr="009A0DA6">
        <w:rPr>
          <w:rFonts w:ascii="Cambria" w:eastAsia="Arial" w:hAnsi="Cambria" w:cs="Arial"/>
        </w:rPr>
        <w:t>o</w:t>
      </w:r>
      <w:r w:rsidRPr="009A0DA6">
        <w:rPr>
          <w:rFonts w:ascii="Cambria" w:eastAsia="Arial" w:hAnsi="Cambria" w:cs="Arial"/>
          <w:spacing w:val="-2"/>
        </w:rPr>
        <w:t>v</w:t>
      </w:r>
      <w:r w:rsidRPr="009A0DA6">
        <w:rPr>
          <w:rFonts w:ascii="Cambria" w:eastAsia="Arial" w:hAnsi="Cambria" w:cs="Arial"/>
        </w:rPr>
        <w:t>al</w:t>
      </w:r>
      <w:r w:rsidRPr="009A0DA6">
        <w:rPr>
          <w:rFonts w:ascii="Cambria" w:eastAsia="Arial" w:hAnsi="Cambria" w:cs="Arial"/>
          <w:spacing w:val="-10"/>
        </w:rPr>
        <w:t xml:space="preserve"> </w:t>
      </w:r>
      <w:r w:rsidRPr="009A0DA6">
        <w:rPr>
          <w:rFonts w:ascii="Cambria" w:eastAsia="Arial" w:hAnsi="Cambria" w:cs="Arial"/>
        </w:rPr>
        <w:t>Fees</w:t>
      </w:r>
      <w:r w:rsidRPr="009A0DA6">
        <w:rPr>
          <w:rFonts w:ascii="Cambria" w:eastAsia="Arial" w:hAnsi="Cambria" w:cs="Arial"/>
        </w:rPr>
        <w:tab/>
        <w:t>16,630</w:t>
      </w:r>
      <w:r w:rsidRPr="009A0DA6">
        <w:rPr>
          <w:rFonts w:ascii="Cambria" w:eastAsia="Arial" w:hAnsi="Cambria" w:cs="Arial"/>
        </w:rPr>
        <w:tab/>
        <w:t>2,726</w:t>
      </w:r>
      <w:r w:rsidRPr="009A0DA6">
        <w:rPr>
          <w:rFonts w:ascii="Cambria" w:eastAsia="Arial" w:hAnsi="Cambria" w:cs="Arial"/>
        </w:rPr>
        <w:tab/>
        <w:t>0</w:t>
      </w:r>
    </w:p>
    <w:p w14:paraId="7D4820BA" w14:textId="77777777" w:rsidR="002E592D" w:rsidRPr="009A0DA6" w:rsidRDefault="002E592D" w:rsidP="002E592D">
      <w:pPr>
        <w:tabs>
          <w:tab w:val="right" w:pos="5954"/>
          <w:tab w:val="right" w:pos="7371"/>
          <w:tab w:val="right" w:pos="8789"/>
        </w:tabs>
        <w:spacing w:before="120" w:after="120" w:line="240" w:lineRule="auto"/>
        <w:contextualSpacing/>
        <w:rPr>
          <w:rFonts w:ascii="Cambria" w:hAnsi="Cambria"/>
        </w:rPr>
      </w:pPr>
    </w:p>
    <w:p w14:paraId="531C6C37" w14:textId="77777777" w:rsidR="002E592D" w:rsidRPr="009A0DA6" w:rsidRDefault="002E592D" w:rsidP="002E592D">
      <w:pPr>
        <w:tabs>
          <w:tab w:val="right" w:pos="5954"/>
          <w:tab w:val="right" w:pos="7371"/>
          <w:tab w:val="right" w:pos="8789"/>
        </w:tabs>
        <w:spacing w:before="120" w:after="120" w:line="240" w:lineRule="auto"/>
        <w:contextualSpacing/>
        <w:rPr>
          <w:rFonts w:ascii="Cambria" w:eastAsia="Arial" w:hAnsi="Cambria" w:cs="Arial"/>
        </w:rPr>
      </w:pPr>
      <w:r w:rsidRPr="009A0DA6">
        <w:rPr>
          <w:rFonts w:ascii="Cambria" w:eastAsia="Arial" w:hAnsi="Cambria" w:cs="Arial"/>
          <w:spacing w:val="-1"/>
        </w:rPr>
        <w:t>B</w:t>
      </w:r>
      <w:r w:rsidRPr="009A0DA6">
        <w:rPr>
          <w:rFonts w:ascii="Cambria" w:eastAsia="Arial" w:hAnsi="Cambria" w:cs="Arial"/>
        </w:rPr>
        <w:t>a</w:t>
      </w:r>
      <w:r w:rsidRPr="009A0DA6">
        <w:rPr>
          <w:rFonts w:ascii="Cambria" w:eastAsia="Arial" w:hAnsi="Cambria" w:cs="Arial"/>
          <w:spacing w:val="-1"/>
        </w:rPr>
        <w:t>l</w:t>
      </w:r>
      <w:r w:rsidRPr="009A0DA6">
        <w:rPr>
          <w:rFonts w:ascii="Cambria" w:eastAsia="Arial" w:hAnsi="Cambria" w:cs="Arial"/>
        </w:rPr>
        <w:t>a</w:t>
      </w:r>
      <w:r w:rsidRPr="009A0DA6">
        <w:rPr>
          <w:rFonts w:ascii="Cambria" w:eastAsia="Arial" w:hAnsi="Cambria" w:cs="Arial"/>
          <w:spacing w:val="-1"/>
        </w:rPr>
        <w:t>n</w:t>
      </w:r>
      <w:r w:rsidRPr="009A0DA6">
        <w:rPr>
          <w:rFonts w:ascii="Cambria" w:eastAsia="Arial" w:hAnsi="Cambria" w:cs="Arial"/>
          <w:spacing w:val="1"/>
        </w:rPr>
        <w:t>c</w:t>
      </w:r>
      <w:r w:rsidRPr="009A0DA6">
        <w:rPr>
          <w:rFonts w:ascii="Cambria" w:eastAsia="Arial" w:hAnsi="Cambria" w:cs="Arial"/>
        </w:rPr>
        <w:t>e</w:t>
      </w:r>
      <w:r w:rsidRPr="009A0DA6">
        <w:rPr>
          <w:rFonts w:ascii="Cambria" w:eastAsia="Arial" w:hAnsi="Cambria" w:cs="Arial"/>
          <w:spacing w:val="-7"/>
        </w:rPr>
        <w:t xml:space="preserve"> </w:t>
      </w:r>
      <w:r w:rsidRPr="009A0DA6">
        <w:rPr>
          <w:rFonts w:ascii="Cambria" w:eastAsia="Arial" w:hAnsi="Cambria" w:cs="Arial"/>
          <w:spacing w:val="-1"/>
        </w:rPr>
        <w:t>a</w:t>
      </w:r>
      <w:r w:rsidRPr="009A0DA6">
        <w:rPr>
          <w:rFonts w:ascii="Cambria" w:eastAsia="Arial" w:hAnsi="Cambria" w:cs="Arial"/>
        </w:rPr>
        <w:t>s</w:t>
      </w:r>
      <w:r w:rsidRPr="009A0DA6">
        <w:rPr>
          <w:rFonts w:ascii="Cambria" w:eastAsia="Arial" w:hAnsi="Cambria" w:cs="Arial"/>
          <w:spacing w:val="-1"/>
        </w:rPr>
        <w:t xml:space="preserve"> </w:t>
      </w:r>
      <w:r w:rsidRPr="009A0DA6">
        <w:rPr>
          <w:rFonts w:ascii="Cambria" w:eastAsia="Arial" w:hAnsi="Cambria" w:cs="Arial"/>
        </w:rPr>
        <w:t>at</w:t>
      </w:r>
      <w:r w:rsidRPr="009A0DA6">
        <w:rPr>
          <w:rFonts w:ascii="Cambria" w:eastAsia="Arial" w:hAnsi="Cambria" w:cs="Arial"/>
          <w:spacing w:val="-3"/>
        </w:rPr>
        <w:t xml:space="preserve"> </w:t>
      </w:r>
      <w:r w:rsidRPr="009A0DA6">
        <w:rPr>
          <w:rFonts w:ascii="Cambria" w:eastAsia="Arial" w:hAnsi="Cambria" w:cs="Arial"/>
        </w:rPr>
        <w:t>3</w:t>
      </w:r>
      <w:r w:rsidRPr="009A0DA6">
        <w:rPr>
          <w:rFonts w:ascii="Cambria" w:eastAsia="Arial" w:hAnsi="Cambria" w:cs="Arial"/>
          <w:spacing w:val="-1"/>
        </w:rPr>
        <w:t>1</w:t>
      </w:r>
      <w:r w:rsidRPr="009A0DA6">
        <w:rPr>
          <w:rFonts w:ascii="Cambria" w:eastAsia="Arial" w:hAnsi="Cambria" w:cs="Arial"/>
          <w:spacing w:val="1"/>
        </w:rPr>
        <w:t>s</w:t>
      </w:r>
      <w:r w:rsidRPr="009A0DA6">
        <w:rPr>
          <w:rFonts w:ascii="Cambria" w:eastAsia="Arial" w:hAnsi="Cambria" w:cs="Arial"/>
        </w:rPr>
        <w:t>t</w:t>
      </w:r>
      <w:r w:rsidRPr="009A0DA6">
        <w:rPr>
          <w:rFonts w:ascii="Cambria" w:eastAsia="Arial" w:hAnsi="Cambria" w:cs="Arial"/>
          <w:spacing w:val="-4"/>
        </w:rPr>
        <w:t xml:space="preserve"> </w:t>
      </w:r>
      <w:r w:rsidRPr="009A0DA6">
        <w:rPr>
          <w:rFonts w:ascii="Cambria" w:eastAsia="Arial" w:hAnsi="Cambria" w:cs="Arial"/>
        </w:rPr>
        <w:t>Dece</w:t>
      </w:r>
      <w:r w:rsidRPr="009A0DA6">
        <w:rPr>
          <w:rFonts w:ascii="Cambria" w:eastAsia="Arial" w:hAnsi="Cambria" w:cs="Arial"/>
          <w:spacing w:val="4"/>
        </w:rPr>
        <w:t>m</w:t>
      </w:r>
      <w:r w:rsidRPr="009A0DA6">
        <w:rPr>
          <w:rFonts w:ascii="Cambria" w:eastAsia="Arial" w:hAnsi="Cambria" w:cs="Arial"/>
        </w:rPr>
        <w:t>b</w:t>
      </w:r>
      <w:r w:rsidRPr="009A0DA6">
        <w:rPr>
          <w:rFonts w:ascii="Cambria" w:eastAsia="Arial" w:hAnsi="Cambria" w:cs="Arial"/>
          <w:spacing w:val="-1"/>
        </w:rPr>
        <w:t>e</w:t>
      </w:r>
      <w:r w:rsidRPr="009A0DA6">
        <w:rPr>
          <w:rFonts w:ascii="Cambria" w:eastAsia="Arial" w:hAnsi="Cambria" w:cs="Arial"/>
        </w:rPr>
        <w:t>r</w:t>
      </w:r>
      <w:r w:rsidRPr="009A0DA6">
        <w:rPr>
          <w:rFonts w:ascii="Cambria" w:eastAsia="Arial" w:hAnsi="Cambria" w:cs="Arial"/>
        </w:rPr>
        <w:tab/>
        <w:t>45,552</w:t>
      </w:r>
      <w:r w:rsidRPr="009A0DA6">
        <w:rPr>
          <w:rFonts w:ascii="Cambria" w:eastAsia="Arial" w:hAnsi="Cambria" w:cs="Arial"/>
        </w:rPr>
        <w:tab/>
        <w:t>23,013</w:t>
      </w:r>
      <w:r w:rsidRPr="009A0DA6">
        <w:rPr>
          <w:rFonts w:ascii="Cambria" w:eastAsia="Arial" w:hAnsi="Cambria" w:cs="Arial"/>
        </w:rPr>
        <w:tab/>
        <w:t>21,960</w:t>
      </w:r>
    </w:p>
    <w:p w14:paraId="04706282" w14:textId="28EE1A89" w:rsidR="002E592D" w:rsidRPr="009A0DA6" w:rsidRDefault="002E592D" w:rsidP="002E592D">
      <w:pPr>
        <w:tabs>
          <w:tab w:val="right" w:pos="5954"/>
          <w:tab w:val="right" w:pos="7371"/>
          <w:tab w:val="right" w:pos="8789"/>
        </w:tabs>
        <w:spacing w:before="120" w:after="120" w:line="240" w:lineRule="auto"/>
        <w:contextualSpacing/>
        <w:rPr>
          <w:rFonts w:ascii="Cambria" w:eastAsia="Arial" w:hAnsi="Cambria" w:cs="Arial"/>
        </w:rPr>
      </w:pPr>
      <w:r w:rsidRPr="009A0DA6">
        <w:rPr>
          <w:rFonts w:ascii="Cambria" w:eastAsia="Arial" w:hAnsi="Cambria" w:cs="Arial"/>
        </w:rPr>
        <w:tab/>
      </w:r>
      <w:r w:rsidR="00876946">
        <w:rPr>
          <w:rFonts w:ascii="Cambria" w:eastAsia="Arial" w:hAnsi="Cambria" w:cs="Arial"/>
        </w:rPr>
        <w:t>$</w:t>
      </w:r>
      <w:r w:rsidRPr="009A0DA6">
        <w:rPr>
          <w:rFonts w:ascii="Cambria" w:eastAsia="Arial" w:hAnsi="Cambria" w:cs="Arial"/>
          <w:b/>
          <w:bCs/>
          <w:w w:val="99"/>
          <w:u w:color="000000"/>
        </w:rPr>
        <w:t>123,385</w:t>
      </w:r>
      <w:r w:rsidRPr="009A0DA6">
        <w:rPr>
          <w:rFonts w:ascii="Cambria" w:eastAsia="Arial" w:hAnsi="Cambria" w:cs="Arial"/>
          <w:b/>
          <w:bCs/>
          <w:u w:color="000000"/>
        </w:rPr>
        <w:tab/>
      </w:r>
      <w:r w:rsidR="00876946">
        <w:rPr>
          <w:rFonts w:ascii="Cambria" w:eastAsia="Arial" w:hAnsi="Cambria" w:cs="Arial"/>
          <w:b/>
          <w:bCs/>
          <w:u w:color="000000"/>
        </w:rPr>
        <w:t>$</w:t>
      </w:r>
      <w:r w:rsidRPr="009A0DA6">
        <w:rPr>
          <w:rFonts w:ascii="Cambria" w:eastAsia="Arial" w:hAnsi="Cambria" w:cs="Arial"/>
          <w:b/>
          <w:bCs/>
          <w:w w:val="99"/>
          <w:u w:color="000000"/>
        </w:rPr>
        <w:t>97,733</w:t>
      </w:r>
      <w:r w:rsidRPr="009A0DA6">
        <w:rPr>
          <w:rFonts w:ascii="Cambria" w:eastAsia="Arial" w:hAnsi="Cambria" w:cs="Arial"/>
          <w:b/>
          <w:bCs/>
          <w:w w:val="99"/>
          <w:u w:color="000000"/>
        </w:rPr>
        <w:tab/>
      </w:r>
      <w:r w:rsidR="00876946">
        <w:rPr>
          <w:rFonts w:ascii="Cambria" w:eastAsia="Arial" w:hAnsi="Cambria" w:cs="Arial"/>
          <w:b/>
          <w:bCs/>
          <w:w w:val="99"/>
          <w:u w:color="000000"/>
        </w:rPr>
        <w:t>$</w:t>
      </w:r>
      <w:r w:rsidRPr="009A0DA6">
        <w:rPr>
          <w:rFonts w:ascii="Cambria" w:eastAsia="Arial" w:hAnsi="Cambria" w:cs="Arial"/>
          <w:b/>
          <w:bCs/>
          <w:spacing w:val="-25"/>
          <w:u w:color="000000"/>
        </w:rPr>
        <w:t xml:space="preserve"> </w:t>
      </w:r>
      <w:r w:rsidRPr="009A0DA6">
        <w:rPr>
          <w:rFonts w:ascii="Cambria" w:eastAsia="Arial" w:hAnsi="Cambria" w:cs="Arial"/>
          <w:b/>
          <w:bCs/>
          <w:w w:val="99"/>
          <w:u w:color="000000"/>
        </w:rPr>
        <w:t>88,935</w:t>
      </w:r>
    </w:p>
    <w:p w14:paraId="667FD79C" w14:textId="77777777" w:rsidR="002E592D" w:rsidRPr="009A0DA6" w:rsidRDefault="002E592D" w:rsidP="002E592D">
      <w:pPr>
        <w:tabs>
          <w:tab w:val="right" w:pos="5954"/>
          <w:tab w:val="right" w:pos="7371"/>
          <w:tab w:val="right" w:pos="8789"/>
        </w:tabs>
        <w:spacing w:before="120" w:after="120" w:line="240" w:lineRule="auto"/>
        <w:contextualSpacing/>
        <w:rPr>
          <w:rFonts w:ascii="Cambria" w:eastAsia="Arial" w:hAnsi="Cambria" w:cs="Arial"/>
          <w:b/>
          <w:bCs/>
          <w:spacing w:val="-1"/>
        </w:rPr>
      </w:pPr>
    </w:p>
    <w:p w14:paraId="517F7953" w14:textId="77777777" w:rsidR="002E592D" w:rsidRPr="009A0DA6" w:rsidRDefault="002E592D" w:rsidP="002E592D">
      <w:pPr>
        <w:tabs>
          <w:tab w:val="right" w:pos="5954"/>
          <w:tab w:val="right" w:pos="7371"/>
          <w:tab w:val="right" w:pos="8789"/>
        </w:tabs>
        <w:spacing w:before="120" w:after="120" w:line="240" w:lineRule="auto"/>
        <w:contextualSpacing/>
        <w:rPr>
          <w:rFonts w:ascii="Cambria" w:eastAsia="Arial" w:hAnsi="Cambria" w:cs="Arial"/>
        </w:rPr>
      </w:pPr>
    </w:p>
    <w:p w14:paraId="225E5672" w14:textId="77777777" w:rsidR="002E592D" w:rsidRPr="009A0DA6" w:rsidRDefault="002E592D" w:rsidP="002E592D">
      <w:pPr>
        <w:pStyle w:val="Heading3"/>
      </w:pPr>
    </w:p>
    <w:p w14:paraId="27E86C79" w14:textId="77777777" w:rsidR="007408EE" w:rsidRDefault="007408EE">
      <w:pPr>
        <w:rPr>
          <w:rFonts w:ascii="Cambria" w:eastAsiaTheme="majorEastAsia" w:hAnsi="Cambria" w:cstheme="majorBidi"/>
          <w:b/>
          <w:caps/>
          <w:sz w:val="28"/>
          <w:szCs w:val="24"/>
        </w:rPr>
      </w:pPr>
      <w:r>
        <w:br w:type="page"/>
      </w:r>
    </w:p>
    <w:p w14:paraId="18271F78" w14:textId="0FAAD635" w:rsidR="002E592D" w:rsidRPr="009A0DA6" w:rsidRDefault="002E592D" w:rsidP="002E592D">
      <w:pPr>
        <w:pStyle w:val="Heading3"/>
      </w:pPr>
      <w:r w:rsidRPr="009A0DA6">
        <w:lastRenderedPageBreak/>
        <w:t>agenda 14.9</w:t>
      </w:r>
    </w:p>
    <w:p w14:paraId="2FEF0015" w14:textId="77777777" w:rsidR="002E592D" w:rsidRPr="009A0DA6" w:rsidRDefault="002E592D" w:rsidP="002E592D">
      <w:pPr>
        <w:pStyle w:val="Heading2"/>
      </w:pPr>
      <w:bookmarkStart w:id="522" w:name="_Toc521954760"/>
      <w:r w:rsidRPr="009A0DA6">
        <w:t>Financial Report: LCA Pastors Transfer and Support Fund</w:t>
      </w:r>
      <w:bookmarkEnd w:id="522"/>
    </w:p>
    <w:p w14:paraId="7EE2F606" w14:textId="77777777" w:rsidR="002E592D" w:rsidRPr="009A0DA6" w:rsidRDefault="002E592D" w:rsidP="002E592D">
      <w:pPr>
        <w:pStyle w:val="NoSpacing"/>
      </w:pPr>
    </w:p>
    <w:p w14:paraId="6405408F" w14:textId="77777777" w:rsidR="002E592D" w:rsidRPr="009A0DA6" w:rsidRDefault="002E592D" w:rsidP="00766B14">
      <w:pPr>
        <w:pStyle w:val="NoSpacing"/>
        <w:rPr>
          <w:b/>
        </w:rPr>
      </w:pPr>
      <w:r w:rsidRPr="009A0DA6">
        <w:rPr>
          <w:b/>
        </w:rPr>
        <w:t>STATEMENT OF INCOME AND EXPENDITURE</w:t>
      </w:r>
    </w:p>
    <w:p w14:paraId="696684DB" w14:textId="77777777" w:rsidR="00FF7E8B" w:rsidRPr="009A0DA6" w:rsidRDefault="00FF7E8B" w:rsidP="00FF7E8B">
      <w:pPr>
        <w:pStyle w:val="NoSpacing"/>
        <w:rPr>
          <w:b/>
        </w:rPr>
      </w:pPr>
      <w:r w:rsidRPr="009A0DA6">
        <w:rPr>
          <w:b/>
        </w:rPr>
        <w:t xml:space="preserve">FOR </w:t>
      </w:r>
      <w:r>
        <w:rPr>
          <w:b/>
        </w:rPr>
        <w:t>THE PERIODS ENDING</w:t>
      </w:r>
      <w:r w:rsidRPr="009A0DA6">
        <w:rPr>
          <w:b/>
        </w:rPr>
        <w:t xml:space="preserve"> 31 DECEMBER </w:t>
      </w:r>
    </w:p>
    <w:p w14:paraId="388A7F65" w14:textId="77777777" w:rsidR="002E592D" w:rsidRPr="009A0DA6" w:rsidRDefault="002E592D" w:rsidP="002E592D">
      <w:pPr>
        <w:tabs>
          <w:tab w:val="right" w:pos="5954"/>
          <w:tab w:val="right" w:pos="7371"/>
          <w:tab w:val="right" w:pos="8789"/>
        </w:tabs>
        <w:spacing w:before="120" w:after="120" w:line="240" w:lineRule="auto"/>
        <w:ind w:right="-20"/>
        <w:contextualSpacing/>
        <w:rPr>
          <w:rFonts w:ascii="Cambria" w:eastAsia="Arial" w:hAnsi="Cambria" w:cs="Arial"/>
        </w:rPr>
      </w:pPr>
      <w:r w:rsidRPr="009A0DA6">
        <w:rPr>
          <w:rFonts w:ascii="Cambria" w:eastAsia="Arial" w:hAnsi="Cambria" w:cs="Arial"/>
          <w:b/>
          <w:bCs/>
          <w:spacing w:val="-1"/>
        </w:rPr>
        <w:t>Income</w:t>
      </w:r>
      <w:r w:rsidRPr="009A0DA6">
        <w:rPr>
          <w:rFonts w:ascii="Cambria" w:eastAsia="Arial" w:hAnsi="Cambria" w:cs="Arial"/>
        </w:rPr>
        <w:tab/>
      </w:r>
      <w:r w:rsidRPr="009A0DA6">
        <w:rPr>
          <w:rFonts w:ascii="Cambria" w:eastAsia="Arial" w:hAnsi="Cambria" w:cs="Arial"/>
          <w:b/>
          <w:bCs/>
        </w:rPr>
        <w:t>2017</w:t>
      </w:r>
      <w:r w:rsidRPr="009A0DA6">
        <w:rPr>
          <w:rFonts w:ascii="Cambria" w:eastAsia="Arial" w:hAnsi="Cambria" w:cs="Arial"/>
        </w:rPr>
        <w:tab/>
      </w:r>
      <w:r w:rsidRPr="009A0DA6">
        <w:rPr>
          <w:rFonts w:ascii="Cambria" w:eastAsia="Arial" w:hAnsi="Cambria" w:cs="Arial"/>
          <w:b/>
          <w:bCs/>
        </w:rPr>
        <w:t>2016</w:t>
      </w:r>
      <w:r w:rsidRPr="009A0DA6">
        <w:rPr>
          <w:rFonts w:ascii="Cambria" w:eastAsia="Arial" w:hAnsi="Cambria" w:cs="Arial"/>
        </w:rPr>
        <w:tab/>
      </w:r>
      <w:r w:rsidRPr="009A0DA6">
        <w:rPr>
          <w:rFonts w:ascii="Cambria" w:eastAsia="Arial" w:hAnsi="Cambria" w:cs="Arial"/>
          <w:b/>
          <w:bCs/>
        </w:rPr>
        <w:t>2015</w:t>
      </w:r>
    </w:p>
    <w:p w14:paraId="3446272D" w14:textId="77777777" w:rsidR="002E592D" w:rsidRPr="009A0DA6" w:rsidRDefault="002E592D" w:rsidP="002E592D">
      <w:pPr>
        <w:tabs>
          <w:tab w:val="right" w:pos="5954"/>
          <w:tab w:val="right" w:pos="7371"/>
          <w:tab w:val="right" w:pos="8789"/>
        </w:tabs>
        <w:spacing w:before="120" w:after="120" w:line="240" w:lineRule="auto"/>
        <w:ind w:right="-20"/>
        <w:contextualSpacing/>
        <w:rPr>
          <w:rFonts w:ascii="Cambria" w:eastAsia="Arial" w:hAnsi="Cambria" w:cs="Arial"/>
        </w:rPr>
      </w:pPr>
      <w:r w:rsidRPr="009A0DA6">
        <w:rPr>
          <w:rFonts w:ascii="Cambria" w:eastAsia="Arial" w:hAnsi="Cambria" w:cs="Arial"/>
        </w:rPr>
        <w:t>Contributions from Districts</w:t>
      </w:r>
      <w:r w:rsidRPr="009A0DA6">
        <w:rPr>
          <w:rFonts w:ascii="Cambria" w:eastAsia="Arial" w:hAnsi="Cambria" w:cs="Arial"/>
        </w:rPr>
        <w:tab/>
        <w:t>918,444</w:t>
      </w:r>
      <w:r w:rsidRPr="009A0DA6">
        <w:rPr>
          <w:rFonts w:ascii="Cambria" w:eastAsia="Arial" w:hAnsi="Cambria" w:cs="Arial"/>
        </w:rPr>
        <w:tab/>
        <w:t>1,540,524</w:t>
      </w:r>
      <w:r w:rsidRPr="009A0DA6">
        <w:rPr>
          <w:rFonts w:ascii="Cambria" w:eastAsia="Arial" w:hAnsi="Cambria" w:cs="Arial"/>
        </w:rPr>
        <w:tab/>
        <w:t>179,457</w:t>
      </w:r>
    </w:p>
    <w:p w14:paraId="0259A8E4" w14:textId="77777777" w:rsidR="002E592D" w:rsidRPr="009A0DA6" w:rsidRDefault="002E592D" w:rsidP="002E592D">
      <w:pPr>
        <w:tabs>
          <w:tab w:val="right" w:pos="5954"/>
          <w:tab w:val="right" w:pos="7371"/>
          <w:tab w:val="right" w:pos="8789"/>
        </w:tabs>
        <w:spacing w:before="120" w:after="120" w:line="240" w:lineRule="auto"/>
        <w:ind w:right="-20"/>
        <w:contextualSpacing/>
        <w:rPr>
          <w:rFonts w:ascii="Cambria" w:eastAsia="Arial" w:hAnsi="Cambria" w:cs="Arial"/>
        </w:rPr>
      </w:pPr>
      <w:r w:rsidRPr="009A0DA6">
        <w:rPr>
          <w:rFonts w:ascii="Cambria" w:eastAsia="Arial" w:hAnsi="Cambria" w:cs="Arial"/>
        </w:rPr>
        <w:t>Contribution from others</w:t>
      </w:r>
      <w:r w:rsidRPr="009A0DA6">
        <w:rPr>
          <w:rFonts w:ascii="Cambria" w:eastAsia="Arial" w:hAnsi="Cambria" w:cs="Arial"/>
        </w:rPr>
        <w:tab/>
        <w:t>42,771</w:t>
      </w:r>
      <w:r w:rsidRPr="009A0DA6">
        <w:rPr>
          <w:rFonts w:ascii="Cambria" w:eastAsia="Arial" w:hAnsi="Cambria" w:cs="Arial"/>
        </w:rPr>
        <w:tab/>
        <w:t>27,738</w:t>
      </w:r>
      <w:r w:rsidRPr="009A0DA6">
        <w:rPr>
          <w:rFonts w:ascii="Cambria" w:eastAsia="Arial" w:hAnsi="Cambria" w:cs="Arial"/>
        </w:rPr>
        <w:tab/>
        <w:t>0</w:t>
      </w:r>
    </w:p>
    <w:p w14:paraId="44B0E781" w14:textId="77777777" w:rsidR="002E592D" w:rsidRPr="009A0DA6" w:rsidRDefault="002E592D" w:rsidP="002E592D">
      <w:pPr>
        <w:tabs>
          <w:tab w:val="right" w:pos="5954"/>
          <w:tab w:val="right" w:pos="7371"/>
          <w:tab w:val="right" w:pos="8789"/>
        </w:tabs>
        <w:spacing w:before="120" w:after="120" w:line="240" w:lineRule="auto"/>
        <w:ind w:right="-20"/>
        <w:contextualSpacing/>
        <w:rPr>
          <w:rFonts w:ascii="Cambria" w:eastAsia="Arial" w:hAnsi="Cambria" w:cs="Arial"/>
        </w:rPr>
      </w:pPr>
      <w:r w:rsidRPr="009A0DA6">
        <w:rPr>
          <w:rFonts w:ascii="Cambria" w:eastAsia="Arial" w:hAnsi="Cambria" w:cs="Arial"/>
        </w:rPr>
        <w:tab/>
        <w:t>961,215</w:t>
      </w:r>
      <w:r w:rsidRPr="009A0DA6">
        <w:rPr>
          <w:rFonts w:ascii="Cambria" w:eastAsia="Arial" w:hAnsi="Cambria" w:cs="Arial"/>
        </w:rPr>
        <w:tab/>
        <w:t>1,568,262</w:t>
      </w:r>
      <w:r w:rsidRPr="009A0DA6">
        <w:rPr>
          <w:rFonts w:ascii="Cambria" w:eastAsia="Arial" w:hAnsi="Cambria" w:cs="Arial"/>
        </w:rPr>
        <w:tab/>
        <w:t>179,457</w:t>
      </w:r>
    </w:p>
    <w:p w14:paraId="51AE0DF1" w14:textId="77777777" w:rsidR="002E592D" w:rsidRPr="009A0DA6" w:rsidRDefault="002E592D" w:rsidP="002E592D">
      <w:pPr>
        <w:tabs>
          <w:tab w:val="right" w:pos="5954"/>
          <w:tab w:val="right" w:pos="7371"/>
          <w:tab w:val="right" w:pos="8789"/>
        </w:tabs>
        <w:spacing w:before="120" w:after="120" w:line="240" w:lineRule="auto"/>
        <w:ind w:right="-70"/>
        <w:contextualSpacing/>
        <w:rPr>
          <w:rFonts w:ascii="Cambria" w:eastAsia="Arial" w:hAnsi="Cambria" w:cs="Arial"/>
          <w:b/>
          <w:bCs/>
          <w:w w:val="99"/>
        </w:rPr>
      </w:pPr>
    </w:p>
    <w:p w14:paraId="1D59AB5F" w14:textId="77777777" w:rsidR="002E592D" w:rsidRPr="009A0DA6" w:rsidRDefault="002E592D" w:rsidP="002E592D">
      <w:pPr>
        <w:tabs>
          <w:tab w:val="right" w:pos="5954"/>
          <w:tab w:val="right" w:pos="7371"/>
          <w:tab w:val="right" w:pos="8789"/>
        </w:tabs>
        <w:spacing w:before="120" w:after="120" w:line="240" w:lineRule="auto"/>
        <w:ind w:right="-70"/>
        <w:contextualSpacing/>
        <w:rPr>
          <w:rFonts w:ascii="Cambria" w:eastAsia="Arial" w:hAnsi="Cambria" w:cs="Arial"/>
        </w:rPr>
      </w:pPr>
      <w:r w:rsidRPr="009A0DA6">
        <w:rPr>
          <w:rFonts w:ascii="Cambria" w:eastAsia="Arial" w:hAnsi="Cambria" w:cs="Arial"/>
          <w:b/>
          <w:bCs/>
          <w:spacing w:val="-1"/>
        </w:rPr>
        <w:t>Expenditure</w:t>
      </w:r>
    </w:p>
    <w:p w14:paraId="141026AB" w14:textId="77777777" w:rsidR="002E592D" w:rsidRPr="009A0DA6" w:rsidRDefault="002E592D" w:rsidP="002E592D">
      <w:pPr>
        <w:tabs>
          <w:tab w:val="right" w:pos="5954"/>
          <w:tab w:val="right" w:pos="7371"/>
          <w:tab w:val="right" w:pos="8789"/>
        </w:tabs>
        <w:spacing w:before="120" w:after="120" w:line="240" w:lineRule="auto"/>
        <w:contextualSpacing/>
        <w:rPr>
          <w:rFonts w:ascii="Cambria" w:eastAsia="Arial" w:hAnsi="Cambria" w:cs="Arial"/>
        </w:rPr>
      </w:pPr>
      <w:r w:rsidRPr="009A0DA6">
        <w:rPr>
          <w:rFonts w:ascii="Cambria" w:eastAsia="Arial" w:hAnsi="Cambria" w:cs="Arial"/>
          <w:spacing w:val="1"/>
        </w:rPr>
        <w:t>In vacancy</w:t>
      </w:r>
      <w:r w:rsidRPr="009A0DA6">
        <w:rPr>
          <w:rFonts w:ascii="Cambria" w:eastAsia="Arial" w:hAnsi="Cambria" w:cs="Arial"/>
        </w:rPr>
        <w:tab/>
        <w:t>371,662</w:t>
      </w:r>
      <w:r w:rsidRPr="009A0DA6">
        <w:rPr>
          <w:rFonts w:ascii="Cambria" w:eastAsia="Arial" w:hAnsi="Cambria" w:cs="Arial"/>
        </w:rPr>
        <w:tab/>
        <w:t>116,780</w:t>
      </w:r>
      <w:r w:rsidRPr="009A0DA6">
        <w:rPr>
          <w:rFonts w:ascii="Cambria" w:eastAsia="Arial" w:hAnsi="Cambria" w:cs="Arial"/>
        </w:rPr>
        <w:tab/>
        <w:t>1,554</w:t>
      </w:r>
    </w:p>
    <w:p w14:paraId="4AA828B7" w14:textId="77777777" w:rsidR="002E592D" w:rsidRPr="009A0DA6" w:rsidRDefault="002E592D" w:rsidP="002E592D">
      <w:pPr>
        <w:tabs>
          <w:tab w:val="right" w:pos="5954"/>
          <w:tab w:val="right" w:pos="7371"/>
          <w:tab w:val="right" w:pos="8789"/>
        </w:tabs>
        <w:spacing w:before="120" w:after="120" w:line="240" w:lineRule="auto"/>
        <w:contextualSpacing/>
        <w:rPr>
          <w:rFonts w:ascii="Cambria" w:eastAsia="Arial" w:hAnsi="Cambria" w:cs="Arial"/>
        </w:rPr>
      </w:pPr>
      <w:r w:rsidRPr="009A0DA6">
        <w:rPr>
          <w:rFonts w:ascii="Cambria" w:eastAsia="Arial" w:hAnsi="Cambria" w:cs="Arial"/>
        </w:rPr>
        <w:t>Transit insurance</w:t>
      </w:r>
      <w:r w:rsidRPr="009A0DA6">
        <w:rPr>
          <w:rFonts w:ascii="Cambria" w:eastAsia="Arial" w:hAnsi="Cambria" w:cs="Arial"/>
        </w:rPr>
        <w:tab/>
        <w:t>13,931</w:t>
      </w:r>
      <w:r w:rsidRPr="009A0DA6">
        <w:rPr>
          <w:rFonts w:ascii="Cambria" w:eastAsia="Arial" w:hAnsi="Cambria" w:cs="Arial"/>
        </w:rPr>
        <w:tab/>
        <w:t>32,859</w:t>
      </w:r>
      <w:r w:rsidRPr="009A0DA6">
        <w:rPr>
          <w:rFonts w:ascii="Cambria" w:eastAsia="Arial" w:hAnsi="Cambria" w:cs="Arial"/>
        </w:rPr>
        <w:tab/>
        <w:t>36,895</w:t>
      </w:r>
    </w:p>
    <w:p w14:paraId="302ECFF8" w14:textId="77777777" w:rsidR="002E592D" w:rsidRPr="009A0DA6" w:rsidRDefault="002E592D" w:rsidP="002E592D">
      <w:pPr>
        <w:tabs>
          <w:tab w:val="right" w:pos="5954"/>
          <w:tab w:val="right" w:pos="7371"/>
          <w:tab w:val="right" w:pos="8789"/>
        </w:tabs>
        <w:spacing w:before="120" w:after="120" w:line="240" w:lineRule="auto"/>
        <w:contextualSpacing/>
        <w:rPr>
          <w:rFonts w:ascii="Cambria" w:eastAsia="Arial" w:hAnsi="Cambria" w:cs="Arial"/>
        </w:rPr>
      </w:pPr>
      <w:r w:rsidRPr="009A0DA6">
        <w:rPr>
          <w:rFonts w:ascii="Cambria" w:eastAsia="Arial" w:hAnsi="Cambria" w:cs="Arial"/>
        </w:rPr>
        <w:t>Overseas transfers</w:t>
      </w:r>
      <w:r w:rsidRPr="009A0DA6">
        <w:rPr>
          <w:rFonts w:ascii="Cambria" w:eastAsia="Arial" w:hAnsi="Cambria" w:cs="Arial"/>
        </w:rPr>
        <w:tab/>
        <w:t>40,596</w:t>
      </w:r>
      <w:r w:rsidRPr="009A0DA6">
        <w:rPr>
          <w:rFonts w:ascii="Cambria" w:eastAsia="Arial" w:hAnsi="Cambria" w:cs="Arial"/>
        </w:rPr>
        <w:tab/>
        <w:t>12,991</w:t>
      </w:r>
      <w:r w:rsidRPr="009A0DA6">
        <w:rPr>
          <w:rFonts w:ascii="Cambria" w:eastAsia="Arial" w:hAnsi="Cambria" w:cs="Arial"/>
        </w:rPr>
        <w:tab/>
        <w:t>0</w:t>
      </w:r>
    </w:p>
    <w:p w14:paraId="0EED2E9E" w14:textId="77777777" w:rsidR="002E592D" w:rsidRPr="009A0DA6" w:rsidRDefault="002E592D" w:rsidP="002E592D">
      <w:pPr>
        <w:tabs>
          <w:tab w:val="right" w:pos="5954"/>
          <w:tab w:val="right" w:pos="7371"/>
          <w:tab w:val="right" w:pos="8789"/>
        </w:tabs>
        <w:spacing w:before="120" w:after="120" w:line="240" w:lineRule="auto"/>
        <w:contextualSpacing/>
        <w:rPr>
          <w:rFonts w:ascii="Cambria" w:eastAsiaTheme="minorEastAsia" w:hAnsi="Cambria"/>
        </w:rPr>
      </w:pPr>
      <w:r w:rsidRPr="009A0DA6">
        <w:rPr>
          <w:rFonts w:ascii="Cambria" w:eastAsia="Arial" w:hAnsi="Cambria" w:cs="Arial"/>
        </w:rPr>
        <w:t>Pastoral support</w:t>
      </w:r>
      <w:r w:rsidRPr="009A0DA6">
        <w:rPr>
          <w:rFonts w:ascii="Cambria" w:eastAsia="Arial" w:hAnsi="Cambria" w:cs="Arial"/>
        </w:rPr>
        <w:tab/>
        <w:t>27,241</w:t>
      </w:r>
      <w:r w:rsidRPr="009A0DA6">
        <w:rPr>
          <w:rFonts w:ascii="Cambria" w:eastAsia="Arial" w:hAnsi="Cambria" w:cs="Arial"/>
        </w:rPr>
        <w:tab/>
        <w:t>166,188</w:t>
      </w:r>
      <w:r w:rsidRPr="009A0DA6">
        <w:rPr>
          <w:rFonts w:ascii="Cambria" w:eastAsia="Arial" w:hAnsi="Cambria" w:cs="Arial"/>
        </w:rPr>
        <w:tab/>
        <w:t>46,633</w:t>
      </w:r>
    </w:p>
    <w:p w14:paraId="3C222EDA" w14:textId="77777777" w:rsidR="002E592D" w:rsidRPr="009A0DA6" w:rsidRDefault="002E592D" w:rsidP="002E592D">
      <w:pPr>
        <w:tabs>
          <w:tab w:val="right" w:pos="5954"/>
          <w:tab w:val="right" w:pos="7371"/>
          <w:tab w:val="right" w:pos="8789"/>
        </w:tabs>
        <w:spacing w:before="120" w:after="120" w:line="240" w:lineRule="auto"/>
        <w:ind w:right="-20"/>
        <w:contextualSpacing/>
        <w:rPr>
          <w:rFonts w:ascii="Cambria" w:eastAsia="Arial" w:hAnsi="Cambria" w:cs="Arial"/>
          <w:spacing w:val="-1"/>
        </w:rPr>
      </w:pPr>
      <w:r w:rsidRPr="009A0DA6">
        <w:rPr>
          <w:rFonts w:ascii="Cambria" w:eastAsia="Arial" w:hAnsi="Cambria" w:cs="Arial"/>
          <w:spacing w:val="-1"/>
        </w:rPr>
        <w:t>Sundry costs</w:t>
      </w:r>
      <w:r w:rsidRPr="009A0DA6">
        <w:rPr>
          <w:rFonts w:ascii="Cambria" w:eastAsia="Arial" w:hAnsi="Cambria" w:cs="Arial"/>
          <w:spacing w:val="-1"/>
        </w:rPr>
        <w:tab/>
        <w:t>32,227</w:t>
      </w:r>
      <w:r w:rsidRPr="009A0DA6">
        <w:rPr>
          <w:rFonts w:ascii="Cambria" w:eastAsia="Arial" w:hAnsi="Cambria" w:cs="Arial"/>
          <w:spacing w:val="-1"/>
        </w:rPr>
        <w:tab/>
        <w:t>936</w:t>
      </w:r>
      <w:r w:rsidRPr="009A0DA6">
        <w:rPr>
          <w:rFonts w:ascii="Cambria" w:eastAsia="Arial" w:hAnsi="Cambria" w:cs="Arial"/>
          <w:spacing w:val="-1"/>
        </w:rPr>
        <w:tab/>
        <w:t>15,864</w:t>
      </w:r>
    </w:p>
    <w:p w14:paraId="066C37AB" w14:textId="77777777" w:rsidR="002E592D" w:rsidRPr="009A0DA6" w:rsidRDefault="002E592D" w:rsidP="002E592D">
      <w:pPr>
        <w:tabs>
          <w:tab w:val="right" w:pos="5954"/>
          <w:tab w:val="right" w:pos="7371"/>
          <w:tab w:val="right" w:pos="8789"/>
        </w:tabs>
        <w:spacing w:before="120" w:after="120" w:line="240" w:lineRule="auto"/>
        <w:ind w:right="-20"/>
        <w:contextualSpacing/>
        <w:rPr>
          <w:rFonts w:ascii="Cambria" w:eastAsia="Arial" w:hAnsi="Cambria" w:cs="Arial"/>
          <w:spacing w:val="-1"/>
        </w:rPr>
      </w:pPr>
      <w:r w:rsidRPr="009A0DA6">
        <w:rPr>
          <w:rFonts w:ascii="Cambria" w:eastAsia="Arial" w:hAnsi="Cambria" w:cs="Arial"/>
          <w:spacing w:val="-1"/>
        </w:rPr>
        <w:t>Relocation grants</w:t>
      </w:r>
      <w:r w:rsidRPr="009A0DA6">
        <w:rPr>
          <w:rFonts w:ascii="Cambria" w:eastAsia="Arial" w:hAnsi="Cambria" w:cs="Arial"/>
          <w:spacing w:val="-1"/>
        </w:rPr>
        <w:tab/>
        <w:t>8,120</w:t>
      </w:r>
      <w:r w:rsidRPr="009A0DA6">
        <w:rPr>
          <w:rFonts w:ascii="Cambria" w:eastAsia="Arial" w:hAnsi="Cambria" w:cs="Arial"/>
          <w:spacing w:val="-1"/>
        </w:rPr>
        <w:tab/>
        <w:t>12,830</w:t>
      </w:r>
      <w:r w:rsidRPr="009A0DA6">
        <w:rPr>
          <w:rFonts w:ascii="Cambria" w:eastAsia="Arial" w:hAnsi="Cambria" w:cs="Arial"/>
          <w:spacing w:val="-1"/>
        </w:rPr>
        <w:tab/>
        <w:t>10,070</w:t>
      </w:r>
    </w:p>
    <w:p w14:paraId="00A03FC4" w14:textId="77777777" w:rsidR="002E592D" w:rsidRPr="009A0DA6" w:rsidRDefault="002E592D" w:rsidP="002E592D">
      <w:pPr>
        <w:tabs>
          <w:tab w:val="right" w:pos="5954"/>
          <w:tab w:val="right" w:pos="7371"/>
          <w:tab w:val="right" w:pos="8789"/>
        </w:tabs>
        <w:spacing w:before="120" w:after="120" w:line="240" w:lineRule="auto"/>
        <w:ind w:right="-20"/>
        <w:contextualSpacing/>
        <w:rPr>
          <w:rFonts w:ascii="Cambria" w:eastAsia="Arial" w:hAnsi="Cambria" w:cs="Arial"/>
          <w:spacing w:val="-1"/>
        </w:rPr>
      </w:pPr>
      <w:r w:rsidRPr="009A0DA6">
        <w:rPr>
          <w:rFonts w:ascii="Cambria" w:eastAsia="Arial" w:hAnsi="Cambria" w:cs="Arial"/>
          <w:spacing w:val="-1"/>
        </w:rPr>
        <w:t>Removal costs</w:t>
      </w:r>
      <w:r w:rsidRPr="009A0DA6">
        <w:rPr>
          <w:rFonts w:ascii="Cambria" w:eastAsia="Arial" w:hAnsi="Cambria" w:cs="Arial"/>
          <w:spacing w:val="-1"/>
        </w:rPr>
        <w:tab/>
        <w:t>277,728</w:t>
      </w:r>
      <w:r w:rsidRPr="009A0DA6">
        <w:rPr>
          <w:rFonts w:ascii="Cambria" w:eastAsia="Arial" w:hAnsi="Cambria" w:cs="Arial"/>
          <w:spacing w:val="-1"/>
        </w:rPr>
        <w:tab/>
        <w:t>436,695</w:t>
      </w:r>
      <w:r w:rsidRPr="009A0DA6">
        <w:rPr>
          <w:rFonts w:ascii="Cambria" w:eastAsia="Arial" w:hAnsi="Cambria" w:cs="Arial"/>
          <w:spacing w:val="-1"/>
        </w:rPr>
        <w:tab/>
        <w:t>472,889</w:t>
      </w:r>
    </w:p>
    <w:p w14:paraId="1EBAEEDD" w14:textId="77777777" w:rsidR="002E592D" w:rsidRPr="009A0DA6" w:rsidRDefault="002E592D" w:rsidP="002E592D">
      <w:pPr>
        <w:tabs>
          <w:tab w:val="right" w:pos="5954"/>
          <w:tab w:val="right" w:pos="7371"/>
          <w:tab w:val="right" w:pos="8789"/>
        </w:tabs>
        <w:spacing w:before="120" w:after="120" w:line="240" w:lineRule="auto"/>
        <w:ind w:right="-20"/>
        <w:contextualSpacing/>
        <w:rPr>
          <w:rFonts w:ascii="Cambria" w:eastAsia="Arial" w:hAnsi="Cambria" w:cs="Arial"/>
          <w:spacing w:val="-1"/>
        </w:rPr>
      </w:pPr>
      <w:r w:rsidRPr="009A0DA6">
        <w:rPr>
          <w:rFonts w:ascii="Cambria" w:eastAsia="Arial" w:hAnsi="Cambria" w:cs="Arial"/>
          <w:spacing w:val="-1"/>
        </w:rPr>
        <w:t>Travel and accommodation costs</w:t>
      </w:r>
      <w:r w:rsidRPr="009A0DA6">
        <w:rPr>
          <w:rFonts w:ascii="Cambria" w:eastAsia="Arial" w:hAnsi="Cambria" w:cs="Arial"/>
          <w:spacing w:val="-1"/>
        </w:rPr>
        <w:tab/>
        <w:t>9,244</w:t>
      </w:r>
      <w:r w:rsidRPr="009A0DA6">
        <w:rPr>
          <w:rFonts w:ascii="Cambria" w:eastAsia="Arial" w:hAnsi="Cambria" w:cs="Arial"/>
          <w:spacing w:val="-1"/>
        </w:rPr>
        <w:tab/>
        <w:t>43,717</w:t>
      </w:r>
      <w:r w:rsidRPr="009A0DA6">
        <w:rPr>
          <w:rFonts w:ascii="Cambria" w:eastAsia="Arial" w:hAnsi="Cambria" w:cs="Arial"/>
          <w:spacing w:val="-1"/>
        </w:rPr>
        <w:tab/>
        <w:t>47,333</w:t>
      </w:r>
    </w:p>
    <w:p w14:paraId="046A51A8" w14:textId="77777777" w:rsidR="002E592D" w:rsidRPr="009A0DA6" w:rsidRDefault="002E592D" w:rsidP="002E592D">
      <w:pPr>
        <w:tabs>
          <w:tab w:val="right" w:pos="5954"/>
          <w:tab w:val="right" w:pos="7371"/>
          <w:tab w:val="right" w:pos="8789"/>
        </w:tabs>
        <w:spacing w:before="120" w:after="120" w:line="240" w:lineRule="auto"/>
        <w:ind w:right="-20"/>
        <w:contextualSpacing/>
        <w:rPr>
          <w:rFonts w:ascii="Cambria" w:eastAsia="Arial" w:hAnsi="Cambria" w:cs="Arial"/>
        </w:rPr>
      </w:pPr>
      <w:r w:rsidRPr="009A0DA6">
        <w:rPr>
          <w:rFonts w:ascii="Cambria" w:eastAsia="Arial" w:hAnsi="Cambria" w:cs="Arial"/>
        </w:rPr>
        <w:tab/>
        <w:t>781,000</w:t>
      </w:r>
      <w:r w:rsidRPr="009A0DA6">
        <w:rPr>
          <w:rFonts w:ascii="Cambria" w:eastAsia="Arial" w:hAnsi="Cambria" w:cs="Arial"/>
        </w:rPr>
        <w:tab/>
        <w:t>822,996</w:t>
      </w:r>
      <w:r w:rsidRPr="009A0DA6">
        <w:rPr>
          <w:rFonts w:ascii="Cambria" w:eastAsia="Arial" w:hAnsi="Cambria" w:cs="Arial"/>
        </w:rPr>
        <w:tab/>
        <w:t>631,238</w:t>
      </w:r>
    </w:p>
    <w:p w14:paraId="7DCB4FF0" w14:textId="77777777" w:rsidR="002E592D" w:rsidRPr="009A0DA6" w:rsidRDefault="002E592D" w:rsidP="002E592D">
      <w:pPr>
        <w:tabs>
          <w:tab w:val="right" w:pos="5954"/>
          <w:tab w:val="right" w:pos="7371"/>
          <w:tab w:val="right" w:pos="8789"/>
        </w:tabs>
        <w:spacing w:before="120" w:after="120" w:line="240" w:lineRule="auto"/>
        <w:ind w:right="-20"/>
        <w:contextualSpacing/>
        <w:rPr>
          <w:rFonts w:ascii="Cambria" w:eastAsia="Arial" w:hAnsi="Cambria" w:cs="Arial"/>
        </w:rPr>
      </w:pPr>
    </w:p>
    <w:p w14:paraId="7BC6B1B1" w14:textId="69051EFF" w:rsidR="002E592D" w:rsidRPr="009A0DA6" w:rsidRDefault="002E592D" w:rsidP="002E592D">
      <w:pPr>
        <w:tabs>
          <w:tab w:val="right" w:pos="5954"/>
          <w:tab w:val="right" w:pos="7371"/>
          <w:tab w:val="right" w:pos="8789"/>
        </w:tabs>
        <w:spacing w:before="120" w:after="120" w:line="240" w:lineRule="auto"/>
        <w:ind w:right="-20"/>
        <w:contextualSpacing/>
        <w:rPr>
          <w:rFonts w:ascii="Cambria" w:eastAsia="Arial" w:hAnsi="Cambria" w:cs="Arial"/>
        </w:rPr>
      </w:pPr>
      <w:r w:rsidRPr="009A0DA6">
        <w:rPr>
          <w:rFonts w:ascii="Cambria" w:eastAsia="Arial" w:hAnsi="Cambria" w:cs="Arial"/>
        </w:rPr>
        <w:t>Surplus (Deficit) for year</w:t>
      </w:r>
      <w:r w:rsidRPr="009A0DA6">
        <w:rPr>
          <w:rFonts w:ascii="Cambria" w:eastAsia="Arial" w:hAnsi="Cambria" w:cs="Arial"/>
        </w:rPr>
        <w:tab/>
      </w:r>
      <w:r w:rsidR="00876946">
        <w:rPr>
          <w:rFonts w:ascii="Cambria" w:eastAsia="Arial" w:hAnsi="Cambria" w:cs="Arial"/>
        </w:rPr>
        <w:t>$</w:t>
      </w:r>
      <w:r w:rsidRPr="009A0DA6">
        <w:rPr>
          <w:rFonts w:ascii="Cambria" w:eastAsia="Arial" w:hAnsi="Cambria" w:cs="Arial"/>
        </w:rPr>
        <w:t>180,216</w:t>
      </w:r>
      <w:r w:rsidRPr="009A0DA6">
        <w:rPr>
          <w:rFonts w:ascii="Cambria" w:eastAsia="Arial" w:hAnsi="Cambria" w:cs="Arial"/>
        </w:rPr>
        <w:tab/>
      </w:r>
      <w:r w:rsidR="00876946">
        <w:rPr>
          <w:rFonts w:ascii="Cambria" w:eastAsia="Arial" w:hAnsi="Cambria" w:cs="Arial"/>
        </w:rPr>
        <w:t>$</w:t>
      </w:r>
      <w:r w:rsidRPr="009A0DA6">
        <w:rPr>
          <w:rFonts w:ascii="Cambria" w:eastAsia="Arial" w:hAnsi="Cambria" w:cs="Arial"/>
        </w:rPr>
        <w:t>745,266</w:t>
      </w:r>
      <w:r w:rsidRPr="009A0DA6">
        <w:rPr>
          <w:rFonts w:ascii="Cambria" w:eastAsia="Arial" w:hAnsi="Cambria" w:cs="Arial"/>
        </w:rPr>
        <w:tab/>
      </w:r>
      <w:r w:rsidR="00876946">
        <w:rPr>
          <w:rFonts w:ascii="Cambria" w:eastAsia="Arial" w:hAnsi="Cambria" w:cs="Arial"/>
        </w:rPr>
        <w:t>$</w:t>
      </w:r>
      <w:r w:rsidRPr="009A0DA6">
        <w:rPr>
          <w:rFonts w:ascii="Cambria" w:eastAsia="Arial" w:hAnsi="Cambria" w:cs="Arial"/>
        </w:rPr>
        <w:t>(451,781)</w:t>
      </w:r>
    </w:p>
    <w:p w14:paraId="109BD382" w14:textId="77777777" w:rsidR="002E592D" w:rsidRPr="009A0DA6" w:rsidRDefault="002E592D" w:rsidP="002E592D">
      <w:pPr>
        <w:tabs>
          <w:tab w:val="right" w:pos="5954"/>
          <w:tab w:val="right" w:pos="7371"/>
          <w:tab w:val="right" w:pos="8789"/>
        </w:tabs>
        <w:spacing w:before="120" w:after="120" w:line="240" w:lineRule="auto"/>
        <w:contextualSpacing/>
        <w:rPr>
          <w:rFonts w:ascii="Cambria" w:eastAsiaTheme="minorEastAsia" w:hAnsi="Cambria"/>
        </w:rPr>
      </w:pPr>
    </w:p>
    <w:p w14:paraId="450DCD9C" w14:textId="77777777" w:rsidR="002E592D" w:rsidRPr="009A0DA6" w:rsidRDefault="002E592D" w:rsidP="002E592D">
      <w:pPr>
        <w:tabs>
          <w:tab w:val="right" w:pos="5954"/>
          <w:tab w:val="right" w:pos="7371"/>
          <w:tab w:val="right" w:pos="8789"/>
        </w:tabs>
        <w:spacing w:before="120" w:after="120" w:line="240" w:lineRule="auto"/>
        <w:contextualSpacing/>
        <w:rPr>
          <w:rFonts w:ascii="Cambria" w:hAnsi="Cambria"/>
          <w:b/>
        </w:rPr>
      </w:pPr>
      <w:r w:rsidRPr="009A0DA6">
        <w:rPr>
          <w:rFonts w:ascii="Cambria" w:hAnsi="Cambria"/>
          <w:b/>
        </w:rPr>
        <w:t>Summary of LCA Transfer and Support Fund balances</w:t>
      </w:r>
    </w:p>
    <w:p w14:paraId="3D95BA08" w14:textId="77777777" w:rsidR="002E592D" w:rsidRPr="009A0DA6" w:rsidRDefault="002E592D" w:rsidP="002E592D">
      <w:pPr>
        <w:tabs>
          <w:tab w:val="right" w:pos="5954"/>
          <w:tab w:val="right" w:pos="7371"/>
          <w:tab w:val="right" w:pos="8789"/>
        </w:tabs>
        <w:spacing w:before="120" w:after="120" w:line="240" w:lineRule="auto"/>
        <w:contextualSpacing/>
        <w:rPr>
          <w:rFonts w:ascii="Cambria" w:hAnsi="Cambria"/>
        </w:rPr>
      </w:pPr>
      <w:r w:rsidRPr="009A0DA6">
        <w:rPr>
          <w:rFonts w:ascii="Cambria" w:eastAsia="Arial" w:hAnsi="Cambria" w:cs="Arial"/>
          <w:b/>
          <w:bCs/>
        </w:rPr>
        <w:tab/>
        <w:t>2017</w:t>
      </w:r>
      <w:r w:rsidRPr="009A0DA6">
        <w:rPr>
          <w:rFonts w:ascii="Cambria" w:eastAsia="Arial" w:hAnsi="Cambria" w:cs="Arial"/>
        </w:rPr>
        <w:tab/>
      </w:r>
      <w:r w:rsidRPr="009A0DA6">
        <w:rPr>
          <w:rFonts w:ascii="Cambria" w:eastAsia="Arial" w:hAnsi="Cambria" w:cs="Arial"/>
          <w:b/>
          <w:bCs/>
        </w:rPr>
        <w:t>2016</w:t>
      </w:r>
      <w:r w:rsidRPr="009A0DA6">
        <w:rPr>
          <w:rFonts w:ascii="Cambria" w:eastAsia="Arial" w:hAnsi="Cambria" w:cs="Arial"/>
        </w:rPr>
        <w:tab/>
      </w:r>
      <w:r w:rsidRPr="009A0DA6">
        <w:rPr>
          <w:rFonts w:ascii="Cambria" w:eastAsia="Arial" w:hAnsi="Cambria" w:cs="Arial"/>
          <w:b/>
          <w:bCs/>
        </w:rPr>
        <w:t>2015</w:t>
      </w:r>
    </w:p>
    <w:p w14:paraId="340E8F03" w14:textId="77777777" w:rsidR="002E592D" w:rsidRPr="009A0DA6" w:rsidRDefault="002E592D" w:rsidP="002E592D">
      <w:pPr>
        <w:tabs>
          <w:tab w:val="right" w:pos="5954"/>
          <w:tab w:val="right" w:pos="7371"/>
          <w:tab w:val="right" w:pos="8789"/>
        </w:tabs>
        <w:spacing w:before="120" w:after="120" w:line="240" w:lineRule="auto"/>
        <w:ind w:right="-20"/>
        <w:contextualSpacing/>
        <w:rPr>
          <w:rFonts w:ascii="Cambria" w:eastAsia="Arial" w:hAnsi="Cambria" w:cs="Arial"/>
        </w:rPr>
      </w:pPr>
      <w:r w:rsidRPr="009A0DA6">
        <w:rPr>
          <w:rFonts w:ascii="Cambria" w:hAnsi="Cambria"/>
        </w:rPr>
        <w:t>Opening Balance</w:t>
      </w:r>
      <w:r w:rsidRPr="009A0DA6">
        <w:rPr>
          <w:rFonts w:ascii="Cambria" w:eastAsia="Arial" w:hAnsi="Cambria" w:cs="Arial"/>
        </w:rPr>
        <w:tab/>
        <w:t>1,778,958</w:t>
      </w:r>
      <w:r w:rsidRPr="009A0DA6">
        <w:rPr>
          <w:rFonts w:ascii="Cambria" w:eastAsia="Arial" w:hAnsi="Cambria" w:cs="Arial"/>
        </w:rPr>
        <w:tab/>
        <w:t>1,033,692</w:t>
      </w:r>
      <w:r w:rsidRPr="009A0DA6">
        <w:rPr>
          <w:rFonts w:ascii="Cambria" w:eastAsia="Arial" w:hAnsi="Cambria" w:cs="Arial"/>
        </w:rPr>
        <w:tab/>
        <w:t>1,485,473</w:t>
      </w:r>
    </w:p>
    <w:p w14:paraId="2D913238" w14:textId="77777777" w:rsidR="002E592D" w:rsidRPr="009A0DA6" w:rsidRDefault="002E592D" w:rsidP="002E592D">
      <w:pPr>
        <w:tabs>
          <w:tab w:val="right" w:pos="5954"/>
          <w:tab w:val="right" w:pos="7371"/>
          <w:tab w:val="right" w:pos="8789"/>
        </w:tabs>
        <w:spacing w:before="120" w:after="120" w:line="240" w:lineRule="auto"/>
        <w:ind w:right="-20"/>
        <w:contextualSpacing/>
        <w:rPr>
          <w:rFonts w:ascii="Cambria" w:eastAsia="Arial" w:hAnsi="Cambria" w:cs="Arial"/>
        </w:rPr>
      </w:pPr>
      <w:r w:rsidRPr="009A0DA6">
        <w:rPr>
          <w:rFonts w:ascii="Cambria" w:eastAsia="Arial" w:hAnsi="Cambria" w:cs="Arial"/>
        </w:rPr>
        <w:t>Surplus or Deficit for year</w:t>
      </w:r>
      <w:r w:rsidRPr="009A0DA6">
        <w:rPr>
          <w:rFonts w:ascii="Cambria" w:eastAsia="Arial" w:hAnsi="Cambria" w:cs="Arial"/>
        </w:rPr>
        <w:tab/>
        <w:t>180,216</w:t>
      </w:r>
      <w:r w:rsidRPr="009A0DA6">
        <w:rPr>
          <w:rFonts w:ascii="Cambria" w:eastAsia="Arial" w:hAnsi="Cambria" w:cs="Arial"/>
        </w:rPr>
        <w:tab/>
        <w:t>745,266</w:t>
      </w:r>
      <w:r w:rsidRPr="009A0DA6">
        <w:rPr>
          <w:rFonts w:ascii="Cambria" w:eastAsia="Arial" w:hAnsi="Cambria" w:cs="Arial"/>
        </w:rPr>
        <w:tab/>
        <w:t>(451,781)</w:t>
      </w:r>
    </w:p>
    <w:p w14:paraId="364056CD" w14:textId="229BFC2E" w:rsidR="002E592D" w:rsidRPr="009A0DA6" w:rsidRDefault="002E592D" w:rsidP="002E592D">
      <w:pPr>
        <w:tabs>
          <w:tab w:val="right" w:pos="5954"/>
          <w:tab w:val="right" w:pos="7371"/>
          <w:tab w:val="right" w:pos="8789"/>
        </w:tabs>
        <w:spacing w:before="120" w:after="120" w:line="240" w:lineRule="auto"/>
        <w:ind w:right="-20"/>
        <w:contextualSpacing/>
        <w:rPr>
          <w:rFonts w:ascii="Cambria" w:eastAsia="Arial" w:hAnsi="Cambria" w:cs="Arial"/>
          <w:b/>
        </w:rPr>
      </w:pPr>
      <w:r w:rsidRPr="009A0DA6">
        <w:rPr>
          <w:rFonts w:ascii="Cambria" w:eastAsia="Arial" w:hAnsi="Cambria" w:cs="Arial"/>
          <w:b/>
        </w:rPr>
        <w:t>Closing balance</w:t>
      </w:r>
      <w:r w:rsidRPr="009A0DA6">
        <w:rPr>
          <w:rFonts w:ascii="Cambria" w:eastAsia="Arial" w:hAnsi="Cambria" w:cs="Arial"/>
          <w:b/>
        </w:rPr>
        <w:tab/>
      </w:r>
      <w:r w:rsidR="00876946">
        <w:rPr>
          <w:rFonts w:ascii="Cambria" w:eastAsia="Arial" w:hAnsi="Cambria" w:cs="Arial"/>
          <w:b/>
        </w:rPr>
        <w:t>$</w:t>
      </w:r>
      <w:r w:rsidRPr="009A0DA6">
        <w:rPr>
          <w:rFonts w:ascii="Cambria" w:eastAsia="Arial" w:hAnsi="Cambria" w:cs="Arial"/>
          <w:b/>
        </w:rPr>
        <w:t>1,959,174</w:t>
      </w:r>
      <w:r w:rsidRPr="009A0DA6">
        <w:rPr>
          <w:rFonts w:ascii="Cambria" w:eastAsia="Arial" w:hAnsi="Cambria" w:cs="Arial"/>
          <w:b/>
        </w:rPr>
        <w:tab/>
      </w:r>
      <w:r w:rsidR="00876946">
        <w:rPr>
          <w:rFonts w:ascii="Cambria" w:eastAsia="Arial" w:hAnsi="Cambria" w:cs="Arial"/>
          <w:b/>
        </w:rPr>
        <w:t>$</w:t>
      </w:r>
      <w:r w:rsidRPr="009A0DA6">
        <w:rPr>
          <w:rFonts w:ascii="Cambria" w:eastAsia="Arial" w:hAnsi="Cambria" w:cs="Arial"/>
          <w:b/>
        </w:rPr>
        <w:t>1,778,958</w:t>
      </w:r>
      <w:r w:rsidRPr="009A0DA6">
        <w:rPr>
          <w:rFonts w:ascii="Cambria" w:eastAsia="Arial" w:hAnsi="Cambria" w:cs="Arial"/>
          <w:b/>
        </w:rPr>
        <w:tab/>
      </w:r>
      <w:r w:rsidR="00876946">
        <w:rPr>
          <w:rFonts w:ascii="Cambria" w:eastAsia="Arial" w:hAnsi="Cambria" w:cs="Arial"/>
          <w:b/>
        </w:rPr>
        <w:t>$</w:t>
      </w:r>
      <w:r w:rsidRPr="009A0DA6">
        <w:rPr>
          <w:rFonts w:ascii="Cambria" w:eastAsia="Arial" w:hAnsi="Cambria" w:cs="Arial"/>
          <w:b/>
        </w:rPr>
        <w:t>1,033,692</w:t>
      </w:r>
    </w:p>
    <w:p w14:paraId="5D4EC2C0" w14:textId="77777777" w:rsidR="002E592D" w:rsidRPr="009A0DA6" w:rsidRDefault="002E592D" w:rsidP="002E592D">
      <w:pPr>
        <w:pStyle w:val="NoSpacing"/>
      </w:pPr>
    </w:p>
    <w:p w14:paraId="31701075" w14:textId="77777777" w:rsidR="007408EE" w:rsidRDefault="007408EE">
      <w:pPr>
        <w:rPr>
          <w:rFonts w:ascii="Cambria" w:eastAsiaTheme="majorEastAsia" w:hAnsi="Cambria" w:cstheme="majorBidi"/>
          <w:b/>
          <w:caps/>
          <w:sz w:val="28"/>
          <w:szCs w:val="24"/>
        </w:rPr>
      </w:pPr>
      <w:r>
        <w:br w:type="page"/>
      </w:r>
    </w:p>
    <w:p w14:paraId="31921625" w14:textId="5208AA0A" w:rsidR="002E592D" w:rsidRPr="009A0DA6" w:rsidRDefault="002E592D" w:rsidP="002E592D">
      <w:pPr>
        <w:pStyle w:val="Heading3"/>
      </w:pPr>
      <w:r w:rsidRPr="009A0DA6">
        <w:lastRenderedPageBreak/>
        <w:t>agenda 14.10</w:t>
      </w:r>
    </w:p>
    <w:p w14:paraId="4C684D7A" w14:textId="77777777" w:rsidR="002E592D" w:rsidRPr="009A0DA6" w:rsidRDefault="002E592D" w:rsidP="002E592D">
      <w:pPr>
        <w:pStyle w:val="Heading2"/>
      </w:pPr>
      <w:bookmarkStart w:id="523" w:name="_Toc521954761"/>
      <w:r w:rsidRPr="009A0DA6">
        <w:t>Financial Report: LCA Levy Fund</w:t>
      </w:r>
      <w:bookmarkEnd w:id="523"/>
    </w:p>
    <w:p w14:paraId="58711876" w14:textId="77777777" w:rsidR="002E592D" w:rsidRPr="007408EE" w:rsidRDefault="002E592D" w:rsidP="002E592D">
      <w:pPr>
        <w:pStyle w:val="NoSpacing"/>
        <w:rPr>
          <w:sz w:val="10"/>
        </w:rPr>
      </w:pPr>
    </w:p>
    <w:p w14:paraId="05C44A3A" w14:textId="77777777" w:rsidR="002E592D" w:rsidRPr="009A0DA6" w:rsidRDefault="002E592D" w:rsidP="00766B14">
      <w:pPr>
        <w:pStyle w:val="NoSpacing"/>
        <w:rPr>
          <w:b/>
          <w:lang w:eastAsia="en-AU"/>
        </w:rPr>
      </w:pPr>
      <w:r w:rsidRPr="009A0DA6">
        <w:rPr>
          <w:b/>
          <w:lang w:eastAsia="en-AU"/>
        </w:rPr>
        <w:t xml:space="preserve">RECEIPTS AND PAYMENTS </w:t>
      </w:r>
    </w:p>
    <w:p w14:paraId="1D03BBDF" w14:textId="77777777" w:rsidR="00FF7E8B" w:rsidRPr="009A0DA6" w:rsidRDefault="00FF7E8B" w:rsidP="00FF7E8B">
      <w:pPr>
        <w:pStyle w:val="NoSpacing"/>
        <w:rPr>
          <w:b/>
        </w:rPr>
      </w:pPr>
      <w:r w:rsidRPr="009A0DA6">
        <w:rPr>
          <w:b/>
        </w:rPr>
        <w:t xml:space="preserve">FOR </w:t>
      </w:r>
      <w:r>
        <w:rPr>
          <w:b/>
        </w:rPr>
        <w:t>THE PERIODS ENDING</w:t>
      </w:r>
      <w:r w:rsidRPr="009A0DA6">
        <w:rPr>
          <w:b/>
        </w:rPr>
        <w:t xml:space="preserve"> 31 DECEMBER </w:t>
      </w:r>
    </w:p>
    <w:p w14:paraId="0BA04AE0" w14:textId="77777777" w:rsidR="002E1492" w:rsidRPr="00206BF6" w:rsidRDefault="002E1492" w:rsidP="002E592D">
      <w:pPr>
        <w:tabs>
          <w:tab w:val="right" w:pos="5954"/>
          <w:tab w:val="right" w:pos="7371"/>
          <w:tab w:val="right" w:pos="8789"/>
        </w:tabs>
        <w:spacing w:after="0" w:line="240" w:lineRule="auto"/>
        <w:ind w:right="425"/>
        <w:contextualSpacing/>
        <w:rPr>
          <w:rFonts w:ascii="Cambria" w:hAnsi="Cambria" w:cs="Arial"/>
          <w:b/>
          <w:bCs/>
          <w:sz w:val="8"/>
        </w:rPr>
      </w:pPr>
    </w:p>
    <w:p w14:paraId="45AA841A" w14:textId="5DD9E7D9" w:rsidR="002E592D" w:rsidRPr="009A0DA6" w:rsidRDefault="002E592D" w:rsidP="002E592D">
      <w:pPr>
        <w:tabs>
          <w:tab w:val="right" w:pos="5954"/>
          <w:tab w:val="right" w:pos="7371"/>
          <w:tab w:val="right" w:pos="8789"/>
        </w:tabs>
        <w:spacing w:after="0" w:line="240" w:lineRule="auto"/>
        <w:ind w:right="425"/>
        <w:contextualSpacing/>
        <w:rPr>
          <w:rFonts w:ascii="Cambria" w:eastAsiaTheme="minorEastAsia" w:hAnsi="Cambria"/>
        </w:rPr>
      </w:pPr>
      <w:r w:rsidRPr="009A0DA6">
        <w:rPr>
          <w:rFonts w:ascii="Cambria" w:hAnsi="Cambria" w:cs="Arial"/>
          <w:b/>
          <w:bCs/>
        </w:rPr>
        <w:t>LCA FUNDS</w:t>
      </w:r>
      <w:bookmarkStart w:id="524" w:name="RANGE!A1:E71"/>
      <w:bookmarkEnd w:id="524"/>
    </w:p>
    <w:p w14:paraId="399AB0E3" w14:textId="77777777" w:rsidR="002E592D" w:rsidRPr="009A0DA6" w:rsidRDefault="002E592D" w:rsidP="002E592D">
      <w:pPr>
        <w:tabs>
          <w:tab w:val="right" w:pos="5954"/>
          <w:tab w:val="right" w:pos="7371"/>
          <w:tab w:val="right" w:pos="8789"/>
        </w:tabs>
        <w:spacing w:after="0" w:line="240" w:lineRule="auto"/>
        <w:ind w:right="425"/>
        <w:contextualSpacing/>
        <w:rPr>
          <w:rFonts w:ascii="Cambria" w:hAnsi="Cambria" w:cs="Arial"/>
          <w:b/>
          <w:bCs/>
        </w:rPr>
      </w:pPr>
      <w:r w:rsidRPr="009A0DA6">
        <w:rPr>
          <w:rFonts w:ascii="Cambria" w:hAnsi="Cambria" w:cs="Arial"/>
          <w:b/>
          <w:bCs/>
        </w:rPr>
        <w:t>Receipts and Payments for the period 1/1/2015 to 31/12/2017</w:t>
      </w:r>
    </w:p>
    <w:p w14:paraId="2E51F9B1" w14:textId="77777777" w:rsidR="002E592D" w:rsidRPr="009A0DA6" w:rsidRDefault="002E592D" w:rsidP="00AD7835">
      <w:pPr>
        <w:tabs>
          <w:tab w:val="right" w:pos="4536"/>
          <w:tab w:val="right" w:pos="6379"/>
          <w:tab w:val="right" w:pos="8789"/>
        </w:tabs>
        <w:spacing w:after="0" w:line="240" w:lineRule="auto"/>
        <w:ind w:right="425"/>
        <w:contextualSpacing/>
        <w:rPr>
          <w:rFonts w:ascii="Cambria" w:hAnsi="Cambria" w:cs="Arial"/>
          <w:b/>
          <w:bCs/>
        </w:rPr>
      </w:pPr>
      <w:r w:rsidRPr="009A0DA6">
        <w:rPr>
          <w:rFonts w:ascii="Cambria" w:hAnsi="Cambria" w:cs="Arial"/>
          <w:b/>
          <w:bCs/>
        </w:rPr>
        <w:t>RECEIPTS</w:t>
      </w:r>
      <w:r w:rsidRPr="009A0DA6">
        <w:rPr>
          <w:rFonts w:ascii="Cambria" w:hAnsi="Cambria" w:cs="Arial"/>
          <w:b/>
          <w:bCs/>
        </w:rPr>
        <w:tab/>
        <w:t>2017</w:t>
      </w:r>
      <w:r w:rsidRPr="009A0DA6">
        <w:rPr>
          <w:rFonts w:ascii="Cambria" w:hAnsi="Cambria" w:cs="Arial"/>
          <w:b/>
          <w:bCs/>
        </w:rPr>
        <w:tab/>
        <w:t>2016</w:t>
      </w:r>
      <w:r w:rsidRPr="009A0DA6">
        <w:rPr>
          <w:rFonts w:ascii="Cambria" w:hAnsi="Cambria" w:cs="Arial"/>
          <w:b/>
          <w:bCs/>
        </w:rPr>
        <w:tab/>
        <w:t>2015</w:t>
      </w:r>
    </w:p>
    <w:p w14:paraId="19E4BD9D" w14:textId="77777777" w:rsidR="002E592D" w:rsidRPr="009A0DA6" w:rsidRDefault="002E592D" w:rsidP="00AD7835">
      <w:pPr>
        <w:tabs>
          <w:tab w:val="right" w:pos="4536"/>
          <w:tab w:val="right" w:pos="6379"/>
          <w:tab w:val="right" w:pos="8789"/>
        </w:tabs>
        <w:spacing w:after="0" w:line="240" w:lineRule="auto"/>
        <w:ind w:right="425"/>
        <w:contextualSpacing/>
        <w:rPr>
          <w:rFonts w:ascii="Cambria" w:hAnsi="Cambria"/>
        </w:rPr>
      </w:pPr>
      <w:r w:rsidRPr="009A0DA6">
        <w:rPr>
          <w:rFonts w:ascii="Cambria" w:hAnsi="Cambria" w:cs="Arial"/>
        </w:rPr>
        <w:t>Contributions</w:t>
      </w:r>
    </w:p>
    <w:p w14:paraId="774B005B" w14:textId="77777777" w:rsidR="002E592D" w:rsidRPr="009A0DA6" w:rsidRDefault="002E592D" w:rsidP="00AD7835">
      <w:pPr>
        <w:tabs>
          <w:tab w:val="right" w:pos="4536"/>
          <w:tab w:val="right" w:pos="6379"/>
          <w:tab w:val="right" w:pos="8789"/>
        </w:tabs>
        <w:spacing w:after="0" w:line="240" w:lineRule="auto"/>
        <w:ind w:right="425"/>
        <w:contextualSpacing/>
        <w:rPr>
          <w:rFonts w:ascii="Cambria" w:hAnsi="Cambria" w:cs="Arial"/>
        </w:rPr>
      </w:pPr>
      <w:r w:rsidRPr="009A0DA6">
        <w:rPr>
          <w:rFonts w:ascii="Cambria" w:hAnsi="Cambria" w:cs="Arial"/>
        </w:rPr>
        <w:t>South Australia</w:t>
      </w:r>
      <w:r w:rsidRPr="009A0DA6">
        <w:rPr>
          <w:rFonts w:ascii="Cambria" w:hAnsi="Cambria" w:cs="Arial"/>
        </w:rPr>
        <w:tab/>
        <w:t xml:space="preserve">465,824 </w:t>
      </w:r>
      <w:r w:rsidRPr="009A0DA6">
        <w:rPr>
          <w:rFonts w:ascii="Cambria" w:hAnsi="Cambria" w:cs="Arial"/>
        </w:rPr>
        <w:tab/>
        <w:t xml:space="preserve">448,640 </w:t>
      </w:r>
      <w:r w:rsidRPr="009A0DA6">
        <w:rPr>
          <w:rFonts w:ascii="Cambria" w:hAnsi="Cambria" w:cs="Arial"/>
        </w:rPr>
        <w:tab/>
        <w:t xml:space="preserve">433,778 </w:t>
      </w:r>
    </w:p>
    <w:p w14:paraId="13599879" w14:textId="77777777" w:rsidR="002E592D" w:rsidRPr="009A0DA6" w:rsidRDefault="002E592D" w:rsidP="00AD7835">
      <w:pPr>
        <w:tabs>
          <w:tab w:val="right" w:pos="4536"/>
          <w:tab w:val="right" w:pos="6379"/>
          <w:tab w:val="right" w:pos="8789"/>
        </w:tabs>
        <w:spacing w:after="0" w:line="240" w:lineRule="auto"/>
        <w:ind w:right="425"/>
        <w:contextualSpacing/>
        <w:rPr>
          <w:rFonts w:ascii="Cambria" w:hAnsi="Cambria" w:cs="Arial"/>
        </w:rPr>
      </w:pPr>
      <w:r w:rsidRPr="009A0DA6">
        <w:rPr>
          <w:rFonts w:ascii="Cambria" w:hAnsi="Cambria" w:cs="Arial"/>
        </w:rPr>
        <w:t>Victoria</w:t>
      </w:r>
      <w:r w:rsidRPr="009A0DA6">
        <w:rPr>
          <w:rFonts w:ascii="Cambria" w:hAnsi="Cambria" w:cs="Arial"/>
        </w:rPr>
        <w:tab/>
        <w:t xml:space="preserve">170,016 </w:t>
      </w:r>
      <w:r w:rsidRPr="009A0DA6">
        <w:rPr>
          <w:rFonts w:ascii="Cambria" w:hAnsi="Cambria" w:cs="Arial"/>
        </w:rPr>
        <w:tab/>
        <w:t xml:space="preserve"> 166,090 </w:t>
      </w:r>
      <w:r w:rsidRPr="009A0DA6">
        <w:rPr>
          <w:rFonts w:ascii="Cambria" w:hAnsi="Cambria" w:cs="Arial"/>
        </w:rPr>
        <w:tab/>
        <w:t xml:space="preserve">158,452 </w:t>
      </w:r>
    </w:p>
    <w:p w14:paraId="6F3B25B5" w14:textId="77777777" w:rsidR="002E592D" w:rsidRPr="009A0DA6" w:rsidRDefault="002E592D" w:rsidP="00AD7835">
      <w:pPr>
        <w:tabs>
          <w:tab w:val="right" w:pos="4536"/>
          <w:tab w:val="right" w:pos="6379"/>
          <w:tab w:val="right" w:pos="8789"/>
        </w:tabs>
        <w:spacing w:after="0" w:line="240" w:lineRule="auto"/>
        <w:ind w:right="425"/>
        <w:contextualSpacing/>
        <w:rPr>
          <w:rFonts w:ascii="Cambria" w:hAnsi="Cambria" w:cs="Arial"/>
        </w:rPr>
      </w:pPr>
      <w:r w:rsidRPr="009A0DA6">
        <w:rPr>
          <w:rFonts w:ascii="Cambria" w:hAnsi="Cambria" w:cs="Arial"/>
        </w:rPr>
        <w:t>New South Wales</w:t>
      </w:r>
      <w:r w:rsidRPr="009A0DA6">
        <w:rPr>
          <w:rFonts w:ascii="Cambria" w:hAnsi="Cambria" w:cs="Arial"/>
        </w:rPr>
        <w:tab/>
        <w:t xml:space="preserve">75,168 </w:t>
      </w:r>
      <w:r w:rsidRPr="009A0DA6">
        <w:rPr>
          <w:rFonts w:ascii="Cambria" w:hAnsi="Cambria" w:cs="Arial"/>
        </w:rPr>
        <w:tab/>
        <w:t xml:space="preserve">74,160 </w:t>
      </w:r>
      <w:r w:rsidRPr="009A0DA6">
        <w:rPr>
          <w:rFonts w:ascii="Cambria" w:hAnsi="Cambria" w:cs="Arial"/>
        </w:rPr>
        <w:tab/>
        <w:t xml:space="preserve"> 72,556 </w:t>
      </w:r>
    </w:p>
    <w:p w14:paraId="4B228318" w14:textId="77777777" w:rsidR="002E592D" w:rsidRPr="009A0DA6" w:rsidRDefault="002E592D" w:rsidP="00AD7835">
      <w:pPr>
        <w:tabs>
          <w:tab w:val="right" w:pos="4536"/>
          <w:tab w:val="right" w:pos="6379"/>
          <w:tab w:val="right" w:pos="8789"/>
        </w:tabs>
        <w:spacing w:after="0" w:line="240" w:lineRule="auto"/>
        <w:ind w:right="425"/>
        <w:contextualSpacing/>
        <w:rPr>
          <w:rFonts w:ascii="Cambria" w:hAnsi="Cambria" w:cs="Arial"/>
        </w:rPr>
      </w:pPr>
      <w:r w:rsidRPr="009A0DA6">
        <w:rPr>
          <w:rFonts w:ascii="Cambria" w:hAnsi="Cambria" w:cs="Arial"/>
        </w:rPr>
        <w:t>Queensland</w:t>
      </w:r>
      <w:r w:rsidRPr="009A0DA6">
        <w:rPr>
          <w:rFonts w:ascii="Cambria" w:hAnsi="Cambria" w:cs="Arial"/>
        </w:rPr>
        <w:tab/>
        <w:t xml:space="preserve">266,483 </w:t>
      </w:r>
      <w:r w:rsidRPr="009A0DA6">
        <w:rPr>
          <w:rFonts w:ascii="Cambria" w:hAnsi="Cambria" w:cs="Arial"/>
        </w:rPr>
        <w:tab/>
        <w:t xml:space="preserve">267,450 </w:t>
      </w:r>
      <w:r w:rsidRPr="009A0DA6">
        <w:rPr>
          <w:rFonts w:ascii="Cambria" w:hAnsi="Cambria" w:cs="Arial"/>
        </w:rPr>
        <w:tab/>
        <w:t xml:space="preserve">255,610 </w:t>
      </w:r>
    </w:p>
    <w:p w14:paraId="060C10C1" w14:textId="77777777" w:rsidR="002E592D" w:rsidRPr="009A0DA6" w:rsidRDefault="002E592D" w:rsidP="00AD7835">
      <w:pPr>
        <w:tabs>
          <w:tab w:val="right" w:pos="4536"/>
          <w:tab w:val="right" w:pos="6379"/>
          <w:tab w:val="right" w:pos="8789"/>
        </w:tabs>
        <w:spacing w:after="0" w:line="240" w:lineRule="auto"/>
        <w:ind w:right="425"/>
        <w:contextualSpacing/>
        <w:rPr>
          <w:rFonts w:ascii="Cambria" w:hAnsi="Cambria" w:cs="Arial"/>
        </w:rPr>
      </w:pPr>
      <w:r w:rsidRPr="009A0DA6">
        <w:rPr>
          <w:rFonts w:ascii="Cambria" w:hAnsi="Cambria" w:cs="Arial"/>
        </w:rPr>
        <w:t>New Zealand</w:t>
      </w:r>
      <w:r w:rsidRPr="009A0DA6">
        <w:rPr>
          <w:rFonts w:ascii="Cambria" w:hAnsi="Cambria" w:cs="Arial"/>
        </w:rPr>
        <w:tab/>
        <w:t xml:space="preserve">10,150 </w:t>
      </w:r>
      <w:r w:rsidRPr="009A0DA6">
        <w:rPr>
          <w:rFonts w:ascii="Cambria" w:hAnsi="Cambria" w:cs="Arial"/>
        </w:rPr>
        <w:tab/>
        <w:t xml:space="preserve">23,543 </w:t>
      </w:r>
      <w:r w:rsidRPr="009A0DA6">
        <w:rPr>
          <w:rFonts w:ascii="Cambria" w:hAnsi="Cambria" w:cs="Arial"/>
        </w:rPr>
        <w:tab/>
        <w:t xml:space="preserve">   6,794 </w:t>
      </w:r>
    </w:p>
    <w:p w14:paraId="17EB7835" w14:textId="77777777" w:rsidR="002E592D" w:rsidRPr="009A0DA6" w:rsidRDefault="002E592D" w:rsidP="00AD7835">
      <w:pPr>
        <w:tabs>
          <w:tab w:val="right" w:pos="4536"/>
          <w:tab w:val="right" w:pos="6379"/>
          <w:tab w:val="right" w:pos="8789"/>
        </w:tabs>
        <w:spacing w:after="0" w:line="240" w:lineRule="auto"/>
        <w:ind w:right="425"/>
        <w:contextualSpacing/>
        <w:rPr>
          <w:rFonts w:ascii="Cambria" w:hAnsi="Cambria" w:cs="Arial"/>
        </w:rPr>
      </w:pPr>
      <w:r w:rsidRPr="009A0DA6">
        <w:rPr>
          <w:rFonts w:ascii="Cambria" w:hAnsi="Cambria" w:cs="Arial"/>
        </w:rPr>
        <w:t>Western Australia</w:t>
      </w:r>
      <w:r w:rsidRPr="009A0DA6">
        <w:rPr>
          <w:rFonts w:ascii="Cambria" w:hAnsi="Cambria" w:cs="Arial"/>
        </w:rPr>
        <w:tab/>
        <w:t xml:space="preserve"> 28,896 </w:t>
      </w:r>
      <w:r w:rsidRPr="009A0DA6">
        <w:rPr>
          <w:rFonts w:ascii="Cambria" w:hAnsi="Cambria" w:cs="Arial"/>
        </w:rPr>
        <w:tab/>
        <w:t xml:space="preserve">     27,000 </w:t>
      </w:r>
      <w:r w:rsidRPr="009A0DA6">
        <w:rPr>
          <w:rFonts w:ascii="Cambria" w:hAnsi="Cambria" w:cs="Arial"/>
        </w:rPr>
        <w:tab/>
        <w:t xml:space="preserve">      25,732 </w:t>
      </w:r>
    </w:p>
    <w:p w14:paraId="3F6F56A8" w14:textId="77777777" w:rsidR="002E592D" w:rsidRPr="009A0DA6" w:rsidRDefault="002E592D" w:rsidP="00AD7835">
      <w:pPr>
        <w:tabs>
          <w:tab w:val="right" w:pos="4536"/>
          <w:tab w:val="right" w:pos="6379"/>
          <w:tab w:val="right" w:pos="8789"/>
        </w:tabs>
        <w:spacing w:after="0" w:line="240" w:lineRule="auto"/>
        <w:ind w:right="425"/>
        <w:contextualSpacing/>
        <w:rPr>
          <w:rFonts w:ascii="Cambria" w:hAnsi="Cambria" w:cs="Arial"/>
        </w:rPr>
      </w:pPr>
      <w:r w:rsidRPr="009A0DA6">
        <w:rPr>
          <w:rFonts w:ascii="Cambria" w:hAnsi="Cambria" w:cs="Arial"/>
        </w:rPr>
        <w:t>Pensions Fund Levy</w:t>
      </w:r>
      <w:r w:rsidRPr="009A0DA6">
        <w:rPr>
          <w:rFonts w:ascii="Cambria" w:hAnsi="Cambria" w:cs="Arial"/>
        </w:rPr>
        <w:tab/>
        <w:t xml:space="preserve">       51,699 </w:t>
      </w:r>
      <w:r w:rsidRPr="009A0DA6">
        <w:rPr>
          <w:rFonts w:ascii="Cambria" w:hAnsi="Cambria" w:cs="Arial"/>
        </w:rPr>
        <w:tab/>
        <w:t xml:space="preserve">           56,960 </w:t>
      </w:r>
      <w:r w:rsidRPr="009A0DA6">
        <w:rPr>
          <w:rFonts w:ascii="Cambria" w:hAnsi="Cambria" w:cs="Arial"/>
        </w:rPr>
        <w:tab/>
        <w:t xml:space="preserve">    51,934 </w:t>
      </w:r>
    </w:p>
    <w:p w14:paraId="2D5C36DC" w14:textId="77777777" w:rsidR="002E592D" w:rsidRPr="009A0DA6" w:rsidRDefault="002E592D" w:rsidP="00AD7835">
      <w:pPr>
        <w:tabs>
          <w:tab w:val="right" w:pos="4536"/>
          <w:tab w:val="right" w:pos="6379"/>
          <w:tab w:val="right" w:pos="8789"/>
        </w:tabs>
        <w:spacing w:after="0" w:line="240" w:lineRule="auto"/>
        <w:ind w:right="425"/>
        <w:contextualSpacing/>
        <w:rPr>
          <w:rFonts w:ascii="Cambria" w:hAnsi="Cambria"/>
        </w:rPr>
      </w:pPr>
      <w:r w:rsidRPr="009A0DA6">
        <w:rPr>
          <w:rFonts w:ascii="Cambria" w:hAnsi="Cambria" w:cs="Arial"/>
        </w:rPr>
        <w:t xml:space="preserve">Interest  </w:t>
      </w:r>
    </w:p>
    <w:p w14:paraId="45B168DE" w14:textId="77777777" w:rsidR="002E592D" w:rsidRPr="009A0DA6" w:rsidRDefault="002E592D" w:rsidP="00AD7835">
      <w:pPr>
        <w:tabs>
          <w:tab w:val="right" w:pos="4536"/>
          <w:tab w:val="right" w:pos="6379"/>
          <w:tab w:val="right" w:pos="8789"/>
        </w:tabs>
        <w:spacing w:after="0" w:line="240" w:lineRule="auto"/>
        <w:ind w:right="425"/>
        <w:contextualSpacing/>
        <w:rPr>
          <w:rFonts w:ascii="Cambria" w:hAnsi="Cambria" w:cs="Arial"/>
        </w:rPr>
      </w:pPr>
      <w:r w:rsidRPr="009A0DA6">
        <w:rPr>
          <w:rFonts w:ascii="Cambria" w:hAnsi="Cambria" w:cs="Arial"/>
        </w:rPr>
        <w:t>LCA Funds</w:t>
      </w:r>
      <w:r w:rsidRPr="009A0DA6">
        <w:rPr>
          <w:rFonts w:ascii="Cambria" w:hAnsi="Cambria" w:cs="Arial"/>
        </w:rPr>
        <w:tab/>
        <w:t xml:space="preserve">   6,522 </w:t>
      </w:r>
      <w:r w:rsidRPr="009A0DA6">
        <w:rPr>
          <w:rFonts w:ascii="Cambria" w:hAnsi="Cambria" w:cs="Arial"/>
        </w:rPr>
        <w:tab/>
        <w:t xml:space="preserve">           10,438 </w:t>
      </w:r>
      <w:r w:rsidRPr="009A0DA6">
        <w:rPr>
          <w:rFonts w:ascii="Cambria" w:hAnsi="Cambria" w:cs="Arial"/>
        </w:rPr>
        <w:tab/>
        <w:t xml:space="preserve">           17,745 </w:t>
      </w:r>
    </w:p>
    <w:p w14:paraId="4210E969" w14:textId="77777777" w:rsidR="002E592D" w:rsidRPr="009A0DA6" w:rsidRDefault="002E592D" w:rsidP="00AD7835">
      <w:pPr>
        <w:tabs>
          <w:tab w:val="right" w:pos="4536"/>
          <w:tab w:val="right" w:pos="6379"/>
          <w:tab w:val="right" w:pos="8789"/>
        </w:tabs>
        <w:spacing w:after="0" w:line="240" w:lineRule="auto"/>
        <w:ind w:right="425"/>
        <w:contextualSpacing/>
        <w:rPr>
          <w:rFonts w:ascii="Cambria" w:hAnsi="Cambria" w:cs="Arial"/>
        </w:rPr>
      </w:pPr>
      <w:r w:rsidRPr="009A0DA6">
        <w:rPr>
          <w:rFonts w:ascii="Cambria" w:hAnsi="Cambria" w:cs="Arial"/>
        </w:rPr>
        <w:t>Pensions Fund Levy</w:t>
      </w:r>
      <w:r w:rsidRPr="009A0DA6">
        <w:rPr>
          <w:rFonts w:ascii="Cambria" w:hAnsi="Cambria" w:cs="Arial"/>
        </w:rPr>
        <w:tab/>
        <w:t xml:space="preserve">                259 </w:t>
      </w:r>
      <w:r w:rsidRPr="009A0DA6">
        <w:rPr>
          <w:rFonts w:ascii="Cambria" w:hAnsi="Cambria" w:cs="Arial"/>
        </w:rPr>
        <w:tab/>
        <w:t xml:space="preserve">                472 </w:t>
      </w:r>
      <w:r w:rsidRPr="009A0DA6">
        <w:rPr>
          <w:rFonts w:ascii="Cambria" w:hAnsi="Cambria" w:cs="Arial"/>
        </w:rPr>
        <w:tab/>
        <w:t xml:space="preserve">                468 </w:t>
      </w:r>
    </w:p>
    <w:p w14:paraId="1DD7360A" w14:textId="77777777" w:rsidR="002E592D" w:rsidRPr="009A0DA6" w:rsidRDefault="002E592D" w:rsidP="00AD7835">
      <w:pPr>
        <w:tabs>
          <w:tab w:val="right" w:pos="4536"/>
          <w:tab w:val="right" w:pos="6379"/>
          <w:tab w:val="right" w:pos="8789"/>
        </w:tabs>
        <w:spacing w:after="0" w:line="240" w:lineRule="auto"/>
        <w:ind w:right="425"/>
        <w:contextualSpacing/>
        <w:rPr>
          <w:rFonts w:ascii="Cambria" w:hAnsi="Cambria" w:cs="Arial"/>
          <w:b/>
        </w:rPr>
      </w:pPr>
      <w:r w:rsidRPr="009A0DA6">
        <w:rPr>
          <w:rFonts w:ascii="Cambria" w:hAnsi="Cambria"/>
          <w:b/>
        </w:rPr>
        <w:tab/>
      </w:r>
      <w:r w:rsidRPr="009A0DA6">
        <w:rPr>
          <w:rFonts w:ascii="Cambria" w:hAnsi="Cambria" w:cs="Arial"/>
          <w:b/>
        </w:rPr>
        <w:t xml:space="preserve">      $1,075,018 </w:t>
      </w:r>
      <w:r w:rsidRPr="009A0DA6">
        <w:rPr>
          <w:rFonts w:ascii="Cambria" w:hAnsi="Cambria" w:cs="Arial"/>
          <w:b/>
        </w:rPr>
        <w:tab/>
        <w:t xml:space="preserve">      $1,074,753 </w:t>
      </w:r>
      <w:r w:rsidRPr="009A0DA6">
        <w:rPr>
          <w:rFonts w:ascii="Cambria" w:hAnsi="Cambria" w:cs="Arial"/>
          <w:b/>
        </w:rPr>
        <w:tab/>
        <w:t xml:space="preserve">      $1,023,069 </w:t>
      </w:r>
    </w:p>
    <w:p w14:paraId="6440EFC1" w14:textId="77777777" w:rsidR="002E592D" w:rsidRPr="009A0DA6" w:rsidRDefault="002E592D" w:rsidP="00AD7835">
      <w:pPr>
        <w:tabs>
          <w:tab w:val="right" w:pos="4536"/>
          <w:tab w:val="right" w:pos="6379"/>
          <w:tab w:val="right" w:pos="8789"/>
        </w:tabs>
        <w:spacing w:after="0" w:line="240" w:lineRule="auto"/>
        <w:ind w:right="425"/>
        <w:contextualSpacing/>
        <w:rPr>
          <w:rFonts w:ascii="Cambria" w:hAnsi="Cambria"/>
        </w:rPr>
      </w:pPr>
      <w:r w:rsidRPr="009A0DA6">
        <w:rPr>
          <w:rFonts w:ascii="Cambria" w:hAnsi="Cambria"/>
        </w:rPr>
        <w:tab/>
      </w:r>
      <w:r w:rsidRPr="009A0DA6">
        <w:rPr>
          <w:rFonts w:ascii="Cambria" w:hAnsi="Cambria"/>
        </w:rPr>
        <w:tab/>
      </w:r>
    </w:p>
    <w:p w14:paraId="2A3A9BF3" w14:textId="77777777" w:rsidR="002E592D" w:rsidRPr="009A0DA6" w:rsidRDefault="002E592D" w:rsidP="00AD7835">
      <w:pPr>
        <w:tabs>
          <w:tab w:val="right" w:pos="4536"/>
          <w:tab w:val="right" w:pos="6379"/>
          <w:tab w:val="right" w:pos="8789"/>
        </w:tabs>
        <w:spacing w:after="0" w:line="240" w:lineRule="auto"/>
        <w:ind w:right="425"/>
        <w:contextualSpacing/>
        <w:rPr>
          <w:rFonts w:ascii="Cambria" w:hAnsi="Cambria"/>
        </w:rPr>
      </w:pPr>
      <w:r w:rsidRPr="009A0DA6">
        <w:rPr>
          <w:rFonts w:ascii="Cambria" w:hAnsi="Cambria" w:cs="Arial"/>
          <w:b/>
          <w:bCs/>
        </w:rPr>
        <w:t>PAYMENTS</w:t>
      </w:r>
    </w:p>
    <w:p w14:paraId="257D9524" w14:textId="77777777" w:rsidR="002E592D" w:rsidRPr="009A0DA6" w:rsidRDefault="002E592D" w:rsidP="00AD7835">
      <w:pPr>
        <w:tabs>
          <w:tab w:val="right" w:pos="4536"/>
          <w:tab w:val="right" w:pos="6379"/>
          <w:tab w:val="right" w:pos="8789"/>
        </w:tabs>
        <w:spacing w:after="0" w:line="240" w:lineRule="auto"/>
        <w:ind w:right="425"/>
        <w:contextualSpacing/>
        <w:rPr>
          <w:rFonts w:ascii="Cambria" w:hAnsi="Cambria" w:cs="Arial"/>
        </w:rPr>
      </w:pPr>
      <w:r w:rsidRPr="009A0DA6">
        <w:rPr>
          <w:rFonts w:ascii="Cambria" w:hAnsi="Cambria" w:cs="Arial"/>
        </w:rPr>
        <w:t>LCA Pensions Fund</w:t>
      </w:r>
      <w:r w:rsidRPr="009A0DA6">
        <w:rPr>
          <w:rFonts w:ascii="Cambria" w:hAnsi="Cambria" w:cs="Arial"/>
        </w:rPr>
        <w:tab/>
        <w:t xml:space="preserve">         573,642 </w:t>
      </w:r>
      <w:r w:rsidRPr="009A0DA6">
        <w:rPr>
          <w:rFonts w:ascii="Cambria" w:hAnsi="Cambria" w:cs="Arial"/>
        </w:rPr>
        <w:tab/>
        <w:t xml:space="preserve">         656,587 </w:t>
      </w:r>
      <w:r w:rsidRPr="009A0DA6">
        <w:rPr>
          <w:rFonts w:ascii="Cambria" w:hAnsi="Cambria" w:cs="Arial"/>
        </w:rPr>
        <w:tab/>
        <w:t xml:space="preserve">         588,872 </w:t>
      </w:r>
    </w:p>
    <w:p w14:paraId="5DCF5414" w14:textId="77777777" w:rsidR="002E592D" w:rsidRPr="009A0DA6" w:rsidRDefault="002E592D" w:rsidP="00AD7835">
      <w:pPr>
        <w:tabs>
          <w:tab w:val="right" w:pos="4536"/>
          <w:tab w:val="right" w:pos="6379"/>
          <w:tab w:val="right" w:pos="8789"/>
        </w:tabs>
        <w:spacing w:after="0" w:line="240" w:lineRule="auto"/>
        <w:ind w:right="425"/>
        <w:contextualSpacing/>
        <w:rPr>
          <w:rFonts w:ascii="Cambria" w:hAnsi="Cambria" w:cs="Arial"/>
        </w:rPr>
      </w:pPr>
      <w:r w:rsidRPr="009A0DA6">
        <w:rPr>
          <w:rFonts w:ascii="Cambria" w:hAnsi="Cambria" w:cs="Arial"/>
        </w:rPr>
        <w:t>LCA Provident Fund</w:t>
      </w:r>
      <w:r w:rsidRPr="009A0DA6">
        <w:rPr>
          <w:rFonts w:ascii="Cambria" w:hAnsi="Cambria" w:cs="Arial"/>
        </w:rPr>
        <w:tab/>
        <w:t xml:space="preserve">         100,000 </w:t>
      </w:r>
      <w:r w:rsidRPr="009A0DA6">
        <w:rPr>
          <w:rFonts w:ascii="Cambria" w:hAnsi="Cambria" w:cs="Arial"/>
        </w:rPr>
        <w:tab/>
        <w:t xml:space="preserve">           50,000 </w:t>
      </w:r>
      <w:r w:rsidRPr="009A0DA6">
        <w:rPr>
          <w:rFonts w:ascii="Cambria" w:hAnsi="Cambria" w:cs="Arial"/>
        </w:rPr>
        <w:tab/>
        <w:t xml:space="preserve">           75,000 </w:t>
      </w:r>
    </w:p>
    <w:p w14:paraId="75D96079" w14:textId="77777777" w:rsidR="002E592D" w:rsidRPr="009A0DA6" w:rsidRDefault="002E592D" w:rsidP="00AD7835">
      <w:pPr>
        <w:tabs>
          <w:tab w:val="right" w:pos="4536"/>
          <w:tab w:val="right" w:pos="6379"/>
          <w:tab w:val="right" w:pos="8789"/>
        </w:tabs>
        <w:spacing w:after="0" w:line="240" w:lineRule="auto"/>
        <w:ind w:right="425"/>
        <w:contextualSpacing/>
        <w:rPr>
          <w:rFonts w:ascii="Cambria" w:hAnsi="Cambria" w:cs="Arial"/>
        </w:rPr>
      </w:pPr>
      <w:r w:rsidRPr="009A0DA6">
        <w:rPr>
          <w:rFonts w:ascii="Cambria" w:hAnsi="Cambria" w:cs="Arial"/>
        </w:rPr>
        <w:t>LCA Car Grant Fund</w:t>
      </w:r>
      <w:r w:rsidRPr="009A0DA6">
        <w:rPr>
          <w:rFonts w:ascii="Cambria" w:hAnsi="Cambria" w:cs="Arial"/>
        </w:rPr>
        <w:tab/>
        <w:t xml:space="preserve">           80,000 </w:t>
      </w:r>
      <w:r w:rsidRPr="009A0DA6">
        <w:rPr>
          <w:rFonts w:ascii="Cambria" w:hAnsi="Cambria" w:cs="Arial"/>
        </w:rPr>
        <w:tab/>
        <w:t xml:space="preserve">           50,000 </w:t>
      </w:r>
      <w:r w:rsidRPr="009A0DA6">
        <w:rPr>
          <w:rFonts w:ascii="Cambria" w:hAnsi="Cambria" w:cs="Arial"/>
        </w:rPr>
        <w:tab/>
        <w:t xml:space="preserve">           50,000 </w:t>
      </w:r>
    </w:p>
    <w:p w14:paraId="2F5700AA" w14:textId="77777777" w:rsidR="002E592D" w:rsidRPr="009A0DA6" w:rsidRDefault="002E592D" w:rsidP="00AD7835">
      <w:pPr>
        <w:tabs>
          <w:tab w:val="right" w:pos="4536"/>
          <w:tab w:val="right" w:pos="6379"/>
          <w:tab w:val="right" w:pos="8789"/>
        </w:tabs>
        <w:spacing w:after="0" w:line="240" w:lineRule="auto"/>
        <w:ind w:right="425"/>
        <w:contextualSpacing/>
        <w:rPr>
          <w:rFonts w:ascii="Cambria" w:hAnsi="Cambria" w:cs="Arial"/>
        </w:rPr>
      </w:pPr>
      <w:r w:rsidRPr="009A0DA6">
        <w:rPr>
          <w:rFonts w:ascii="Cambria" w:hAnsi="Cambria" w:cs="Arial"/>
        </w:rPr>
        <w:t>LCA Admin Expenses</w:t>
      </w:r>
      <w:r w:rsidRPr="009A0DA6">
        <w:rPr>
          <w:rFonts w:ascii="Cambria" w:hAnsi="Cambria" w:cs="Arial"/>
        </w:rPr>
        <w:tab/>
        <w:t xml:space="preserve">         321,200 </w:t>
      </w:r>
      <w:r w:rsidRPr="009A0DA6">
        <w:rPr>
          <w:rFonts w:ascii="Cambria" w:hAnsi="Cambria" w:cs="Arial"/>
        </w:rPr>
        <w:tab/>
        <w:t xml:space="preserve">         318,000 </w:t>
      </w:r>
      <w:r w:rsidRPr="009A0DA6">
        <w:rPr>
          <w:rFonts w:ascii="Cambria" w:hAnsi="Cambria" w:cs="Arial"/>
        </w:rPr>
        <w:tab/>
        <w:t xml:space="preserve">         309,000 </w:t>
      </w:r>
    </w:p>
    <w:p w14:paraId="37C1333B" w14:textId="77777777" w:rsidR="002E592D" w:rsidRPr="009A0DA6" w:rsidRDefault="002E592D" w:rsidP="00AD7835">
      <w:pPr>
        <w:tabs>
          <w:tab w:val="right" w:pos="4536"/>
          <w:tab w:val="right" w:pos="6379"/>
          <w:tab w:val="right" w:pos="8789"/>
        </w:tabs>
        <w:spacing w:after="0" w:line="240" w:lineRule="auto"/>
        <w:ind w:right="425"/>
        <w:contextualSpacing/>
        <w:rPr>
          <w:rFonts w:ascii="Cambria" w:hAnsi="Cambria" w:cs="Arial"/>
        </w:rPr>
      </w:pPr>
      <w:r w:rsidRPr="009A0DA6">
        <w:rPr>
          <w:rFonts w:ascii="Cambria" w:hAnsi="Cambria" w:cs="Arial"/>
        </w:rPr>
        <w:t>B/PAY Fees</w:t>
      </w:r>
      <w:r w:rsidRPr="009A0DA6">
        <w:rPr>
          <w:rFonts w:ascii="Cambria" w:hAnsi="Cambria" w:cs="Arial"/>
        </w:rPr>
        <w:tab/>
        <w:t xml:space="preserve">                175 </w:t>
      </w:r>
      <w:r w:rsidRPr="009A0DA6">
        <w:rPr>
          <w:rFonts w:ascii="Cambria" w:hAnsi="Cambria" w:cs="Arial"/>
        </w:rPr>
        <w:tab/>
        <w:t xml:space="preserve">                166 </w:t>
      </w:r>
      <w:r w:rsidRPr="009A0DA6">
        <w:rPr>
          <w:rFonts w:ascii="Cambria" w:hAnsi="Cambria" w:cs="Arial"/>
        </w:rPr>
        <w:tab/>
        <w:t xml:space="preserve">                197 </w:t>
      </w:r>
    </w:p>
    <w:p w14:paraId="09D71E20" w14:textId="77777777" w:rsidR="002E592D" w:rsidRPr="009A0DA6" w:rsidRDefault="002E592D" w:rsidP="00AD7835">
      <w:pPr>
        <w:tabs>
          <w:tab w:val="right" w:pos="4536"/>
          <w:tab w:val="right" w:pos="6379"/>
          <w:tab w:val="right" w:pos="8789"/>
        </w:tabs>
        <w:spacing w:after="0" w:line="240" w:lineRule="auto"/>
        <w:ind w:right="425"/>
        <w:contextualSpacing/>
        <w:rPr>
          <w:rFonts w:ascii="Cambria" w:hAnsi="Cambria" w:cs="Arial"/>
          <w:b/>
        </w:rPr>
      </w:pPr>
      <w:r w:rsidRPr="009A0DA6">
        <w:rPr>
          <w:rFonts w:ascii="Cambria" w:hAnsi="Cambria"/>
          <w:b/>
        </w:rPr>
        <w:tab/>
      </w:r>
      <w:r w:rsidRPr="009A0DA6">
        <w:rPr>
          <w:rFonts w:ascii="Cambria" w:hAnsi="Cambria" w:cs="Arial"/>
          <w:b/>
        </w:rPr>
        <w:t xml:space="preserve">      $1,075,018 </w:t>
      </w:r>
      <w:r w:rsidRPr="009A0DA6">
        <w:rPr>
          <w:rFonts w:ascii="Cambria" w:hAnsi="Cambria" w:cs="Arial"/>
          <w:b/>
        </w:rPr>
        <w:tab/>
        <w:t xml:space="preserve">      $1,074,753 </w:t>
      </w:r>
      <w:r w:rsidRPr="009A0DA6">
        <w:rPr>
          <w:rFonts w:ascii="Cambria" w:hAnsi="Cambria" w:cs="Arial"/>
          <w:b/>
        </w:rPr>
        <w:tab/>
        <w:t xml:space="preserve">      $1,023,069 </w:t>
      </w:r>
    </w:p>
    <w:p w14:paraId="1CAB743D" w14:textId="77777777" w:rsidR="002E592D" w:rsidRPr="007408EE" w:rsidRDefault="002E592D" w:rsidP="00AD7835">
      <w:pPr>
        <w:tabs>
          <w:tab w:val="right" w:pos="4536"/>
          <w:tab w:val="right" w:pos="6379"/>
          <w:tab w:val="right" w:pos="8789"/>
        </w:tabs>
        <w:spacing w:after="0" w:line="240" w:lineRule="auto"/>
        <w:ind w:right="425"/>
        <w:contextualSpacing/>
        <w:rPr>
          <w:rFonts w:ascii="Cambria" w:hAnsi="Cambria"/>
          <w:sz w:val="10"/>
        </w:rPr>
      </w:pPr>
    </w:p>
    <w:p w14:paraId="78970DFD" w14:textId="77777777" w:rsidR="002E592D" w:rsidRPr="009A0DA6" w:rsidRDefault="002E592D" w:rsidP="002E592D">
      <w:pPr>
        <w:tabs>
          <w:tab w:val="right" w:pos="5954"/>
          <w:tab w:val="right" w:pos="7371"/>
          <w:tab w:val="right" w:pos="8789"/>
        </w:tabs>
        <w:spacing w:after="0" w:line="240" w:lineRule="auto"/>
        <w:ind w:right="425"/>
        <w:contextualSpacing/>
        <w:rPr>
          <w:rFonts w:ascii="Cambria" w:hAnsi="Cambria" w:cs="Arial"/>
          <w:b/>
          <w:bCs/>
        </w:rPr>
      </w:pPr>
      <w:r w:rsidRPr="009A0DA6">
        <w:rPr>
          <w:rFonts w:ascii="Cambria" w:hAnsi="Cambria" w:cs="Arial"/>
          <w:b/>
          <w:bCs/>
        </w:rPr>
        <w:t>Income and Expenditure for the period 1/1/2015 to 31/12/2017</w:t>
      </w:r>
    </w:p>
    <w:p w14:paraId="5600AE33" w14:textId="77777777" w:rsidR="002E592D" w:rsidRPr="009A0DA6" w:rsidRDefault="002E592D" w:rsidP="002E592D">
      <w:pPr>
        <w:tabs>
          <w:tab w:val="right" w:pos="5954"/>
          <w:tab w:val="right" w:pos="7371"/>
          <w:tab w:val="right" w:pos="8789"/>
        </w:tabs>
        <w:spacing w:after="0" w:line="240" w:lineRule="auto"/>
        <w:ind w:right="425"/>
        <w:contextualSpacing/>
        <w:rPr>
          <w:rFonts w:ascii="Cambria" w:hAnsi="Cambria"/>
        </w:rPr>
      </w:pPr>
      <w:r w:rsidRPr="009A0DA6">
        <w:rPr>
          <w:rFonts w:ascii="Cambria" w:hAnsi="Cambria" w:cs="Arial"/>
          <w:b/>
          <w:bCs/>
        </w:rPr>
        <w:t>INCOME</w:t>
      </w:r>
    </w:p>
    <w:p w14:paraId="7327CE24" w14:textId="77777777" w:rsidR="002E592D" w:rsidRPr="009A0DA6" w:rsidRDefault="002E592D" w:rsidP="00AD7835">
      <w:pPr>
        <w:tabs>
          <w:tab w:val="right" w:pos="4536"/>
          <w:tab w:val="right" w:pos="6379"/>
          <w:tab w:val="right" w:pos="8789"/>
        </w:tabs>
        <w:spacing w:after="0" w:line="240" w:lineRule="auto"/>
        <w:ind w:right="425"/>
        <w:contextualSpacing/>
        <w:rPr>
          <w:rFonts w:ascii="Cambria" w:hAnsi="Cambria" w:cs="Arial"/>
        </w:rPr>
      </w:pPr>
      <w:r w:rsidRPr="009A0DA6">
        <w:rPr>
          <w:rFonts w:ascii="Cambria" w:hAnsi="Cambria" w:cs="Arial"/>
        </w:rPr>
        <w:t>LCA Funds Levy invoiced</w:t>
      </w:r>
      <w:r w:rsidRPr="009A0DA6">
        <w:rPr>
          <w:rFonts w:ascii="Cambria" w:hAnsi="Cambria" w:cs="Arial"/>
        </w:rPr>
        <w:tab/>
        <w:t xml:space="preserve">      1,035,516 </w:t>
      </w:r>
      <w:r w:rsidRPr="009A0DA6">
        <w:rPr>
          <w:rFonts w:ascii="Cambria" w:hAnsi="Cambria" w:cs="Arial"/>
        </w:rPr>
        <w:tab/>
        <w:t xml:space="preserve">      1,031,853 </w:t>
      </w:r>
      <w:r w:rsidRPr="009A0DA6">
        <w:rPr>
          <w:rFonts w:ascii="Cambria" w:hAnsi="Cambria" w:cs="Arial"/>
        </w:rPr>
        <w:tab/>
        <w:t xml:space="preserve">         970,360 </w:t>
      </w:r>
    </w:p>
    <w:p w14:paraId="591C1F55" w14:textId="77777777" w:rsidR="002E592D" w:rsidRPr="009A0DA6" w:rsidRDefault="002E592D" w:rsidP="00AD7835">
      <w:pPr>
        <w:tabs>
          <w:tab w:val="right" w:pos="4536"/>
          <w:tab w:val="right" w:pos="6379"/>
          <w:tab w:val="right" w:pos="8789"/>
        </w:tabs>
        <w:spacing w:after="0" w:line="240" w:lineRule="auto"/>
        <w:ind w:right="425"/>
        <w:contextualSpacing/>
        <w:rPr>
          <w:rFonts w:ascii="Cambria" w:hAnsi="Cambria" w:cs="Arial"/>
        </w:rPr>
      </w:pPr>
      <w:r w:rsidRPr="009A0DA6">
        <w:rPr>
          <w:rFonts w:ascii="Cambria" w:hAnsi="Cambria" w:cs="Arial"/>
        </w:rPr>
        <w:t>Pensions Fund Levy invoiced</w:t>
      </w:r>
      <w:r w:rsidRPr="009A0DA6">
        <w:rPr>
          <w:rFonts w:ascii="Cambria" w:hAnsi="Cambria" w:cs="Arial"/>
        </w:rPr>
        <w:tab/>
        <w:t xml:space="preserve">           52,606 </w:t>
      </w:r>
      <w:r w:rsidRPr="009A0DA6">
        <w:rPr>
          <w:rFonts w:ascii="Cambria" w:hAnsi="Cambria" w:cs="Arial"/>
        </w:rPr>
        <w:tab/>
        <w:t xml:space="preserve">           57,850 </w:t>
      </w:r>
      <w:r w:rsidRPr="009A0DA6">
        <w:rPr>
          <w:rFonts w:ascii="Cambria" w:hAnsi="Cambria" w:cs="Arial"/>
        </w:rPr>
        <w:tab/>
        <w:t xml:space="preserve">           56,175 </w:t>
      </w:r>
    </w:p>
    <w:p w14:paraId="26EADB38" w14:textId="77777777" w:rsidR="002E592D" w:rsidRPr="009A0DA6" w:rsidRDefault="002E592D" w:rsidP="00AD7835">
      <w:pPr>
        <w:tabs>
          <w:tab w:val="right" w:pos="4536"/>
          <w:tab w:val="right" w:pos="6379"/>
          <w:tab w:val="right" w:pos="8789"/>
        </w:tabs>
        <w:spacing w:after="0" w:line="240" w:lineRule="auto"/>
        <w:ind w:right="425"/>
        <w:contextualSpacing/>
        <w:rPr>
          <w:rFonts w:ascii="Cambria" w:hAnsi="Cambria" w:cs="Arial"/>
        </w:rPr>
      </w:pPr>
      <w:r w:rsidRPr="009A0DA6">
        <w:rPr>
          <w:rFonts w:ascii="Cambria" w:hAnsi="Cambria" w:cs="Arial"/>
        </w:rPr>
        <w:t>Interest</w:t>
      </w:r>
      <w:r w:rsidRPr="009A0DA6">
        <w:rPr>
          <w:rFonts w:ascii="Cambria" w:hAnsi="Cambria" w:cs="Arial"/>
        </w:rPr>
        <w:tab/>
        <w:t xml:space="preserve">             6,781 </w:t>
      </w:r>
      <w:r w:rsidRPr="009A0DA6">
        <w:rPr>
          <w:rFonts w:ascii="Cambria" w:hAnsi="Cambria" w:cs="Arial"/>
        </w:rPr>
        <w:tab/>
        <w:t xml:space="preserve">           10,910 </w:t>
      </w:r>
      <w:r w:rsidRPr="009A0DA6">
        <w:rPr>
          <w:rFonts w:ascii="Cambria" w:hAnsi="Cambria" w:cs="Arial"/>
        </w:rPr>
        <w:tab/>
        <w:t xml:space="preserve">           18,213 </w:t>
      </w:r>
    </w:p>
    <w:p w14:paraId="1AE8B6EF" w14:textId="77777777" w:rsidR="002E592D" w:rsidRPr="009A0DA6" w:rsidRDefault="002E592D" w:rsidP="00AD7835">
      <w:pPr>
        <w:tabs>
          <w:tab w:val="right" w:pos="4536"/>
          <w:tab w:val="right" w:pos="6379"/>
          <w:tab w:val="right" w:pos="8789"/>
        </w:tabs>
        <w:spacing w:after="0" w:line="240" w:lineRule="auto"/>
        <w:ind w:right="425"/>
        <w:contextualSpacing/>
        <w:rPr>
          <w:rFonts w:ascii="Cambria" w:hAnsi="Cambria" w:cs="Arial"/>
          <w:b/>
        </w:rPr>
      </w:pPr>
      <w:r w:rsidRPr="009A0DA6">
        <w:rPr>
          <w:rFonts w:ascii="Cambria" w:hAnsi="Cambria"/>
          <w:b/>
        </w:rPr>
        <w:tab/>
      </w:r>
      <w:r w:rsidRPr="009A0DA6">
        <w:rPr>
          <w:rFonts w:ascii="Cambria" w:hAnsi="Cambria" w:cs="Arial"/>
          <w:b/>
        </w:rPr>
        <w:t xml:space="preserve">      1,094, 094 </w:t>
      </w:r>
      <w:r w:rsidRPr="009A0DA6">
        <w:rPr>
          <w:rFonts w:ascii="Cambria" w:hAnsi="Cambria" w:cs="Arial"/>
          <w:b/>
        </w:rPr>
        <w:tab/>
        <w:t xml:space="preserve">      1,092,367 </w:t>
      </w:r>
      <w:r w:rsidRPr="009A0DA6">
        <w:rPr>
          <w:rFonts w:ascii="Cambria" w:hAnsi="Cambria" w:cs="Arial"/>
          <w:b/>
        </w:rPr>
        <w:tab/>
        <w:t xml:space="preserve">      1,027,052 </w:t>
      </w:r>
    </w:p>
    <w:p w14:paraId="6CBE9C27" w14:textId="77777777" w:rsidR="002E592D" w:rsidRPr="009A0DA6" w:rsidRDefault="002E592D" w:rsidP="00AD7835">
      <w:pPr>
        <w:tabs>
          <w:tab w:val="right" w:pos="4536"/>
          <w:tab w:val="right" w:pos="6379"/>
          <w:tab w:val="right" w:pos="8789"/>
        </w:tabs>
        <w:spacing w:after="0" w:line="240" w:lineRule="auto"/>
        <w:ind w:right="425"/>
        <w:contextualSpacing/>
        <w:rPr>
          <w:rFonts w:ascii="Cambria" w:hAnsi="Cambria"/>
        </w:rPr>
      </w:pPr>
      <w:r w:rsidRPr="009A0DA6">
        <w:rPr>
          <w:rFonts w:ascii="Cambria" w:hAnsi="Cambria" w:cs="Arial"/>
          <w:b/>
          <w:bCs/>
        </w:rPr>
        <w:t>EXPENDITURE</w:t>
      </w:r>
      <w:r w:rsidRPr="009A0DA6">
        <w:rPr>
          <w:rFonts w:ascii="Cambria" w:hAnsi="Cambria" w:cs="Arial"/>
          <w:b/>
          <w:bCs/>
        </w:rPr>
        <w:tab/>
      </w:r>
      <w:r w:rsidRPr="009A0DA6">
        <w:rPr>
          <w:rFonts w:ascii="Cambria" w:hAnsi="Cambria" w:cs="Arial"/>
          <w:b/>
          <w:bCs/>
        </w:rPr>
        <w:tab/>
      </w:r>
      <w:r w:rsidRPr="009A0DA6">
        <w:rPr>
          <w:rFonts w:ascii="Cambria" w:hAnsi="Cambria"/>
        </w:rPr>
        <w:tab/>
      </w:r>
    </w:p>
    <w:p w14:paraId="6779803F" w14:textId="77777777" w:rsidR="002E592D" w:rsidRPr="009A0DA6" w:rsidRDefault="002E592D" w:rsidP="00AD7835">
      <w:pPr>
        <w:tabs>
          <w:tab w:val="right" w:pos="4536"/>
          <w:tab w:val="right" w:pos="6379"/>
          <w:tab w:val="right" w:pos="8789"/>
        </w:tabs>
        <w:spacing w:after="0" w:line="240" w:lineRule="auto"/>
        <w:ind w:right="425"/>
        <w:contextualSpacing/>
        <w:rPr>
          <w:rFonts w:ascii="Cambria" w:hAnsi="Cambria" w:cs="Arial"/>
        </w:rPr>
      </w:pPr>
      <w:r w:rsidRPr="009A0DA6">
        <w:rPr>
          <w:rFonts w:ascii="Cambria" w:hAnsi="Cambria" w:cs="Arial"/>
        </w:rPr>
        <w:t>LCA Pensions Fund</w:t>
      </w:r>
      <w:r w:rsidRPr="009A0DA6">
        <w:rPr>
          <w:rFonts w:ascii="Cambria" w:hAnsi="Cambria" w:cs="Arial"/>
        </w:rPr>
        <w:tab/>
        <w:t xml:space="preserve">         573,642 </w:t>
      </w:r>
      <w:r w:rsidRPr="009A0DA6">
        <w:rPr>
          <w:rFonts w:ascii="Cambria" w:hAnsi="Cambria" w:cs="Arial"/>
        </w:rPr>
        <w:tab/>
        <w:t xml:space="preserve">         656,587 </w:t>
      </w:r>
      <w:r w:rsidRPr="009A0DA6">
        <w:rPr>
          <w:rFonts w:ascii="Cambria" w:hAnsi="Cambria" w:cs="Arial"/>
        </w:rPr>
        <w:tab/>
        <w:t xml:space="preserve">         588,872 </w:t>
      </w:r>
    </w:p>
    <w:p w14:paraId="3B39E94C" w14:textId="77777777" w:rsidR="002E592D" w:rsidRPr="009A0DA6" w:rsidRDefault="002E592D" w:rsidP="00AD7835">
      <w:pPr>
        <w:tabs>
          <w:tab w:val="right" w:pos="4536"/>
          <w:tab w:val="right" w:pos="6379"/>
          <w:tab w:val="right" w:pos="8789"/>
        </w:tabs>
        <w:spacing w:after="0" w:line="240" w:lineRule="auto"/>
        <w:ind w:right="425"/>
        <w:contextualSpacing/>
        <w:rPr>
          <w:rFonts w:ascii="Cambria" w:hAnsi="Cambria" w:cs="Arial"/>
        </w:rPr>
      </w:pPr>
      <w:r w:rsidRPr="009A0DA6">
        <w:rPr>
          <w:rFonts w:ascii="Cambria" w:hAnsi="Cambria" w:cs="Arial"/>
        </w:rPr>
        <w:t>LCA Provident Fund</w:t>
      </w:r>
      <w:r w:rsidRPr="009A0DA6">
        <w:rPr>
          <w:rFonts w:ascii="Cambria" w:hAnsi="Cambria" w:cs="Arial"/>
        </w:rPr>
        <w:tab/>
        <w:t xml:space="preserve">         100,000 </w:t>
      </w:r>
      <w:r w:rsidRPr="009A0DA6">
        <w:rPr>
          <w:rFonts w:ascii="Cambria" w:hAnsi="Cambria" w:cs="Arial"/>
        </w:rPr>
        <w:tab/>
        <w:t xml:space="preserve">           50,000 </w:t>
      </w:r>
      <w:r w:rsidRPr="009A0DA6">
        <w:rPr>
          <w:rFonts w:ascii="Cambria" w:hAnsi="Cambria" w:cs="Arial"/>
        </w:rPr>
        <w:tab/>
        <w:t xml:space="preserve">           75,000 </w:t>
      </w:r>
    </w:p>
    <w:p w14:paraId="37B7DE7A" w14:textId="77777777" w:rsidR="002E592D" w:rsidRPr="009A0DA6" w:rsidRDefault="002E592D" w:rsidP="00AD7835">
      <w:pPr>
        <w:tabs>
          <w:tab w:val="right" w:pos="4536"/>
          <w:tab w:val="right" w:pos="6379"/>
          <w:tab w:val="right" w:pos="8789"/>
        </w:tabs>
        <w:spacing w:after="0" w:line="240" w:lineRule="auto"/>
        <w:ind w:right="425"/>
        <w:contextualSpacing/>
        <w:rPr>
          <w:rFonts w:ascii="Cambria" w:hAnsi="Cambria" w:cs="Arial"/>
        </w:rPr>
      </w:pPr>
      <w:r w:rsidRPr="009A0DA6">
        <w:rPr>
          <w:rFonts w:ascii="Cambria" w:hAnsi="Cambria" w:cs="Arial"/>
        </w:rPr>
        <w:t>LCA Car Grants Fund</w:t>
      </w:r>
      <w:r w:rsidRPr="009A0DA6">
        <w:rPr>
          <w:rFonts w:ascii="Cambria" w:hAnsi="Cambria" w:cs="Arial"/>
        </w:rPr>
        <w:tab/>
        <w:t xml:space="preserve">           80,000 </w:t>
      </w:r>
      <w:r w:rsidRPr="009A0DA6">
        <w:rPr>
          <w:rFonts w:ascii="Cambria" w:hAnsi="Cambria" w:cs="Arial"/>
        </w:rPr>
        <w:tab/>
        <w:t xml:space="preserve">           50,000 </w:t>
      </w:r>
      <w:r w:rsidRPr="009A0DA6">
        <w:rPr>
          <w:rFonts w:ascii="Cambria" w:hAnsi="Cambria" w:cs="Arial"/>
        </w:rPr>
        <w:tab/>
        <w:t xml:space="preserve">           50,000 </w:t>
      </w:r>
    </w:p>
    <w:p w14:paraId="23DECE4E" w14:textId="77777777" w:rsidR="002E592D" w:rsidRPr="009A0DA6" w:rsidRDefault="002E592D" w:rsidP="00AD7835">
      <w:pPr>
        <w:tabs>
          <w:tab w:val="right" w:pos="4536"/>
          <w:tab w:val="right" w:pos="6379"/>
          <w:tab w:val="right" w:pos="8789"/>
        </w:tabs>
        <w:spacing w:after="0" w:line="240" w:lineRule="auto"/>
        <w:ind w:right="425"/>
        <w:contextualSpacing/>
        <w:rPr>
          <w:rFonts w:ascii="Cambria" w:hAnsi="Cambria" w:cs="Arial"/>
        </w:rPr>
      </w:pPr>
      <w:r w:rsidRPr="009A0DA6">
        <w:rPr>
          <w:rFonts w:ascii="Cambria" w:hAnsi="Cambria" w:cs="Arial"/>
        </w:rPr>
        <w:t>B/Pay Fees</w:t>
      </w:r>
      <w:r w:rsidRPr="009A0DA6">
        <w:rPr>
          <w:rFonts w:ascii="Cambria" w:hAnsi="Cambria" w:cs="Arial"/>
        </w:rPr>
        <w:tab/>
        <w:t xml:space="preserve">                175 </w:t>
      </w:r>
      <w:r w:rsidRPr="009A0DA6">
        <w:rPr>
          <w:rFonts w:ascii="Cambria" w:hAnsi="Cambria" w:cs="Arial"/>
        </w:rPr>
        <w:tab/>
        <w:t xml:space="preserve">                166 </w:t>
      </w:r>
      <w:r w:rsidRPr="009A0DA6">
        <w:rPr>
          <w:rFonts w:ascii="Cambria" w:hAnsi="Cambria" w:cs="Arial"/>
        </w:rPr>
        <w:tab/>
        <w:t xml:space="preserve">                197 </w:t>
      </w:r>
    </w:p>
    <w:p w14:paraId="359D53F6" w14:textId="77777777" w:rsidR="002E592D" w:rsidRPr="009A0DA6" w:rsidRDefault="002E592D" w:rsidP="00AD7835">
      <w:pPr>
        <w:tabs>
          <w:tab w:val="right" w:pos="4536"/>
          <w:tab w:val="right" w:pos="6379"/>
          <w:tab w:val="right" w:pos="8789"/>
        </w:tabs>
        <w:spacing w:after="0" w:line="240" w:lineRule="auto"/>
        <w:ind w:right="425"/>
        <w:contextualSpacing/>
        <w:rPr>
          <w:rFonts w:ascii="Cambria" w:hAnsi="Cambria" w:cs="Arial"/>
        </w:rPr>
      </w:pPr>
      <w:r w:rsidRPr="009A0DA6">
        <w:rPr>
          <w:rFonts w:ascii="Cambria" w:hAnsi="Cambria" w:cs="Arial"/>
        </w:rPr>
        <w:t>LCA Admin Expenses</w:t>
      </w:r>
      <w:r w:rsidRPr="009A0DA6">
        <w:rPr>
          <w:rFonts w:ascii="Cambria" w:hAnsi="Cambria" w:cs="Arial"/>
        </w:rPr>
        <w:tab/>
        <w:t xml:space="preserve">         321,200 </w:t>
      </w:r>
      <w:r w:rsidRPr="009A0DA6">
        <w:rPr>
          <w:rFonts w:ascii="Cambria" w:hAnsi="Cambria" w:cs="Arial"/>
        </w:rPr>
        <w:tab/>
        <w:t xml:space="preserve">         318,000 </w:t>
      </w:r>
      <w:r w:rsidRPr="009A0DA6">
        <w:rPr>
          <w:rFonts w:ascii="Cambria" w:hAnsi="Cambria" w:cs="Arial"/>
        </w:rPr>
        <w:tab/>
        <w:t xml:space="preserve">         309,000 </w:t>
      </w:r>
    </w:p>
    <w:p w14:paraId="6FAAE519" w14:textId="77777777" w:rsidR="002E592D" w:rsidRPr="009A0DA6" w:rsidRDefault="002E592D" w:rsidP="00AD7835">
      <w:pPr>
        <w:tabs>
          <w:tab w:val="right" w:pos="4536"/>
          <w:tab w:val="right" w:pos="6379"/>
          <w:tab w:val="right" w:pos="8789"/>
        </w:tabs>
        <w:spacing w:after="0" w:line="240" w:lineRule="auto"/>
        <w:ind w:right="425"/>
        <w:contextualSpacing/>
        <w:rPr>
          <w:rFonts w:ascii="Cambria" w:hAnsi="Cambria" w:cs="Arial"/>
        </w:rPr>
      </w:pPr>
      <w:r w:rsidRPr="009A0DA6">
        <w:rPr>
          <w:rFonts w:ascii="Cambria" w:hAnsi="Cambria" w:cs="Arial"/>
        </w:rPr>
        <w:t>Write offs/Adjustments</w:t>
      </w:r>
      <w:r w:rsidRPr="009A0DA6">
        <w:rPr>
          <w:rFonts w:ascii="Cambria" w:hAnsi="Cambria" w:cs="Arial"/>
        </w:rPr>
        <w:tab/>
        <w:t xml:space="preserve">           21,176 </w:t>
      </w:r>
      <w:r w:rsidRPr="009A0DA6">
        <w:rPr>
          <w:rFonts w:ascii="Cambria" w:hAnsi="Cambria" w:cs="Arial"/>
        </w:rPr>
        <w:tab/>
        <w:t xml:space="preserve">           28,474 </w:t>
      </w:r>
      <w:r w:rsidRPr="009A0DA6">
        <w:rPr>
          <w:rFonts w:ascii="Cambria" w:hAnsi="Cambria" w:cs="Arial"/>
        </w:rPr>
        <w:tab/>
        <w:t xml:space="preserve">           22,197 </w:t>
      </w:r>
    </w:p>
    <w:p w14:paraId="0A23DD08" w14:textId="77777777" w:rsidR="002E592D" w:rsidRPr="009A0DA6" w:rsidRDefault="002E592D" w:rsidP="00AD7835">
      <w:pPr>
        <w:tabs>
          <w:tab w:val="right" w:pos="4536"/>
          <w:tab w:val="right" w:pos="6379"/>
          <w:tab w:val="right" w:pos="8789"/>
        </w:tabs>
        <w:spacing w:after="0" w:line="240" w:lineRule="auto"/>
        <w:ind w:right="425"/>
        <w:contextualSpacing/>
        <w:rPr>
          <w:rFonts w:ascii="Cambria" w:hAnsi="Cambria" w:cs="Arial"/>
          <w:b/>
        </w:rPr>
      </w:pPr>
      <w:r w:rsidRPr="009A0DA6">
        <w:rPr>
          <w:rFonts w:ascii="Cambria" w:hAnsi="Cambria"/>
          <w:b/>
        </w:rPr>
        <w:tab/>
      </w:r>
      <w:r w:rsidRPr="009A0DA6">
        <w:rPr>
          <w:rFonts w:ascii="Cambria" w:hAnsi="Cambria" w:cs="Arial"/>
          <w:b/>
        </w:rPr>
        <w:t xml:space="preserve">      1,096,194 </w:t>
      </w:r>
      <w:r w:rsidRPr="009A0DA6">
        <w:rPr>
          <w:rFonts w:ascii="Cambria" w:hAnsi="Cambria" w:cs="Arial"/>
          <w:b/>
        </w:rPr>
        <w:tab/>
        <w:t xml:space="preserve">      1,103,227 </w:t>
      </w:r>
      <w:r w:rsidRPr="009A0DA6">
        <w:rPr>
          <w:rFonts w:ascii="Cambria" w:hAnsi="Cambria" w:cs="Arial"/>
          <w:b/>
        </w:rPr>
        <w:tab/>
        <w:t xml:space="preserve">      1,045,265 </w:t>
      </w:r>
    </w:p>
    <w:p w14:paraId="1CE33395" w14:textId="77777777" w:rsidR="002E592D" w:rsidRPr="009A0DA6" w:rsidRDefault="002E592D" w:rsidP="00AD7835">
      <w:pPr>
        <w:tabs>
          <w:tab w:val="right" w:pos="4536"/>
          <w:tab w:val="right" w:pos="6379"/>
          <w:tab w:val="right" w:pos="8789"/>
        </w:tabs>
        <w:spacing w:after="0" w:line="240" w:lineRule="auto"/>
        <w:ind w:right="425"/>
        <w:contextualSpacing/>
        <w:rPr>
          <w:rFonts w:ascii="Cambria" w:hAnsi="Cambria" w:cs="Arial"/>
          <w:b/>
        </w:rPr>
      </w:pPr>
      <w:r w:rsidRPr="009A0DA6">
        <w:rPr>
          <w:rFonts w:ascii="Cambria" w:hAnsi="Cambria" w:cs="Arial"/>
          <w:b/>
        </w:rPr>
        <w:t>Surplus (Deficit)</w:t>
      </w:r>
      <w:r w:rsidRPr="009A0DA6">
        <w:rPr>
          <w:rFonts w:ascii="Cambria" w:hAnsi="Cambria" w:cs="Arial"/>
          <w:b/>
        </w:rPr>
        <w:tab/>
        <w:t xml:space="preserve">             $1,290 </w:t>
      </w:r>
      <w:r w:rsidRPr="009A0DA6">
        <w:rPr>
          <w:rFonts w:ascii="Cambria" w:hAnsi="Cambria" w:cs="Arial"/>
          <w:b/>
        </w:rPr>
        <w:tab/>
        <w:t xml:space="preserve">             $2,614 </w:t>
      </w:r>
      <w:r w:rsidRPr="009A0DA6">
        <w:rPr>
          <w:rFonts w:ascii="Cambria" w:hAnsi="Cambria" w:cs="Arial"/>
          <w:b/>
        </w:rPr>
        <w:tab/>
        <w:t xml:space="preserve">                $518 </w:t>
      </w:r>
    </w:p>
    <w:p w14:paraId="533E8D08" w14:textId="77777777" w:rsidR="002E592D" w:rsidRPr="00206BF6" w:rsidRDefault="002E592D" w:rsidP="00AD7835">
      <w:pPr>
        <w:tabs>
          <w:tab w:val="right" w:pos="4536"/>
          <w:tab w:val="right" w:pos="6379"/>
          <w:tab w:val="right" w:pos="8789"/>
        </w:tabs>
        <w:spacing w:after="0" w:line="240" w:lineRule="auto"/>
        <w:ind w:right="425"/>
        <w:contextualSpacing/>
        <w:rPr>
          <w:rFonts w:ascii="Cambria" w:hAnsi="Cambria"/>
          <w:sz w:val="12"/>
        </w:rPr>
      </w:pPr>
    </w:p>
    <w:p w14:paraId="21B544B3" w14:textId="77777777" w:rsidR="002E592D" w:rsidRPr="009A0DA6" w:rsidRDefault="002E592D" w:rsidP="00AD7835">
      <w:pPr>
        <w:tabs>
          <w:tab w:val="right" w:pos="4536"/>
          <w:tab w:val="right" w:pos="6379"/>
          <w:tab w:val="right" w:pos="8789"/>
        </w:tabs>
        <w:spacing w:after="0" w:line="240" w:lineRule="auto"/>
        <w:ind w:right="425"/>
        <w:contextualSpacing/>
        <w:rPr>
          <w:rFonts w:ascii="Cambria" w:hAnsi="Cambria"/>
        </w:rPr>
      </w:pPr>
      <w:r w:rsidRPr="009A0DA6">
        <w:rPr>
          <w:rFonts w:ascii="Cambria" w:hAnsi="Cambria" w:cs="Arial"/>
          <w:b/>
          <w:bCs/>
        </w:rPr>
        <w:t>Balance Sheet</w:t>
      </w:r>
    </w:p>
    <w:p w14:paraId="421943DF" w14:textId="77777777" w:rsidR="002E592D" w:rsidRPr="009A0DA6" w:rsidRDefault="002E592D" w:rsidP="00AD7835">
      <w:pPr>
        <w:tabs>
          <w:tab w:val="right" w:pos="4536"/>
          <w:tab w:val="right" w:pos="6379"/>
          <w:tab w:val="right" w:pos="8789"/>
        </w:tabs>
        <w:spacing w:after="0" w:line="240" w:lineRule="auto"/>
        <w:ind w:right="425"/>
        <w:contextualSpacing/>
        <w:rPr>
          <w:rFonts w:ascii="Cambria" w:hAnsi="Cambria"/>
        </w:rPr>
      </w:pPr>
      <w:r w:rsidRPr="009A0DA6">
        <w:rPr>
          <w:rFonts w:ascii="Cambria" w:hAnsi="Cambria" w:cs="Arial"/>
          <w:b/>
          <w:bCs/>
        </w:rPr>
        <w:t>Funds &amp; Liabilities</w:t>
      </w:r>
    </w:p>
    <w:p w14:paraId="5E4D885E" w14:textId="77777777" w:rsidR="002E592D" w:rsidRPr="009A0DA6" w:rsidRDefault="002E592D" w:rsidP="00AD7835">
      <w:pPr>
        <w:tabs>
          <w:tab w:val="right" w:pos="4536"/>
          <w:tab w:val="right" w:pos="6379"/>
          <w:tab w:val="right" w:pos="8789"/>
        </w:tabs>
        <w:spacing w:after="0" w:line="240" w:lineRule="auto"/>
        <w:ind w:right="425"/>
        <w:contextualSpacing/>
        <w:rPr>
          <w:rFonts w:ascii="Cambria" w:hAnsi="Cambria"/>
        </w:rPr>
      </w:pPr>
      <w:r w:rsidRPr="009A0DA6">
        <w:rPr>
          <w:rFonts w:ascii="Cambria" w:hAnsi="Cambria" w:cs="Arial"/>
          <w:b/>
          <w:bCs/>
        </w:rPr>
        <w:t>ACCUMULATED FUNDS</w:t>
      </w:r>
    </w:p>
    <w:p w14:paraId="5F756D7E" w14:textId="77777777" w:rsidR="002E592D" w:rsidRPr="009A0DA6" w:rsidRDefault="002E592D" w:rsidP="00AD7835">
      <w:pPr>
        <w:tabs>
          <w:tab w:val="right" w:pos="4536"/>
          <w:tab w:val="right" w:pos="6379"/>
          <w:tab w:val="right" w:pos="8789"/>
        </w:tabs>
        <w:spacing w:after="0" w:line="240" w:lineRule="auto"/>
        <w:ind w:right="425"/>
        <w:contextualSpacing/>
        <w:rPr>
          <w:rFonts w:ascii="Cambria" w:hAnsi="Cambria" w:cs="Arial"/>
        </w:rPr>
      </w:pPr>
      <w:r w:rsidRPr="009A0DA6">
        <w:rPr>
          <w:rFonts w:ascii="Cambria" w:hAnsi="Cambria" w:cs="Arial"/>
        </w:rPr>
        <w:t>Balance as at 1st January</w:t>
      </w:r>
      <w:r w:rsidRPr="009A0DA6">
        <w:rPr>
          <w:rFonts w:ascii="Cambria" w:hAnsi="Cambria" w:cs="Arial"/>
        </w:rPr>
        <w:tab/>
        <w:t xml:space="preserve">             1,290 </w:t>
      </w:r>
      <w:r w:rsidRPr="009A0DA6">
        <w:rPr>
          <w:rFonts w:ascii="Cambria" w:hAnsi="Cambria" w:cs="Arial"/>
        </w:rPr>
        <w:tab/>
        <w:t xml:space="preserve">             3,904 </w:t>
      </w:r>
      <w:r w:rsidRPr="009A0DA6">
        <w:rPr>
          <w:rFonts w:ascii="Cambria" w:hAnsi="Cambria" w:cs="Arial"/>
        </w:rPr>
        <w:tab/>
        <w:t xml:space="preserve">             4,422 </w:t>
      </w:r>
    </w:p>
    <w:p w14:paraId="36F65177" w14:textId="77777777" w:rsidR="002E592D" w:rsidRPr="009A0DA6" w:rsidRDefault="002E592D" w:rsidP="00AD7835">
      <w:pPr>
        <w:tabs>
          <w:tab w:val="right" w:pos="4536"/>
          <w:tab w:val="right" w:pos="6379"/>
          <w:tab w:val="right" w:pos="8789"/>
        </w:tabs>
        <w:spacing w:after="0" w:line="240" w:lineRule="auto"/>
        <w:ind w:right="425"/>
        <w:contextualSpacing/>
        <w:rPr>
          <w:rFonts w:ascii="Cambria" w:hAnsi="Cambria" w:cs="Arial"/>
        </w:rPr>
      </w:pPr>
      <w:r w:rsidRPr="009A0DA6">
        <w:rPr>
          <w:rFonts w:ascii="Cambria" w:hAnsi="Cambria" w:cs="Arial"/>
        </w:rPr>
        <w:t>Operating Credit/Debit for year</w:t>
      </w:r>
      <w:r w:rsidRPr="009A0DA6">
        <w:rPr>
          <w:rFonts w:ascii="Cambria" w:hAnsi="Cambria" w:cs="Arial"/>
        </w:rPr>
        <w:tab/>
        <w:t xml:space="preserve">            (1,290)</w:t>
      </w:r>
      <w:r w:rsidRPr="009A0DA6">
        <w:rPr>
          <w:rFonts w:ascii="Cambria" w:hAnsi="Cambria" w:cs="Arial"/>
        </w:rPr>
        <w:tab/>
        <w:t xml:space="preserve">            (2,614)</w:t>
      </w:r>
      <w:r w:rsidRPr="009A0DA6">
        <w:rPr>
          <w:rFonts w:ascii="Cambria" w:hAnsi="Cambria" w:cs="Arial"/>
        </w:rPr>
        <w:tab/>
        <w:t xml:space="preserve">               (518)</w:t>
      </w:r>
    </w:p>
    <w:p w14:paraId="22A02224" w14:textId="77777777" w:rsidR="002E592D" w:rsidRPr="009A0DA6" w:rsidRDefault="002E592D" w:rsidP="00AD7835">
      <w:pPr>
        <w:tabs>
          <w:tab w:val="right" w:pos="4536"/>
          <w:tab w:val="right" w:pos="6379"/>
          <w:tab w:val="right" w:pos="8789"/>
        </w:tabs>
        <w:ind w:right="425"/>
        <w:contextualSpacing/>
        <w:rPr>
          <w:rFonts w:ascii="Cambria" w:hAnsi="Cambria" w:cs="Arial"/>
          <w:b/>
        </w:rPr>
      </w:pPr>
      <w:r w:rsidRPr="009A0DA6">
        <w:rPr>
          <w:rFonts w:ascii="Cambria" w:hAnsi="Cambria" w:cs="Arial"/>
          <w:b/>
        </w:rPr>
        <w:tab/>
        <w:t>0</w:t>
      </w:r>
      <w:r w:rsidRPr="009A0DA6">
        <w:rPr>
          <w:rFonts w:ascii="Cambria" w:hAnsi="Cambria" w:cs="Arial"/>
          <w:b/>
        </w:rPr>
        <w:tab/>
        <w:t xml:space="preserve">             1,290 </w:t>
      </w:r>
      <w:r w:rsidRPr="009A0DA6">
        <w:rPr>
          <w:rFonts w:ascii="Cambria" w:hAnsi="Cambria" w:cs="Arial"/>
          <w:b/>
        </w:rPr>
        <w:tab/>
        <w:t xml:space="preserve">             3,904</w:t>
      </w:r>
    </w:p>
    <w:p w14:paraId="744A85BC" w14:textId="77777777" w:rsidR="002E592D" w:rsidRPr="009A0DA6" w:rsidRDefault="002E592D" w:rsidP="00AD7835">
      <w:pPr>
        <w:tabs>
          <w:tab w:val="right" w:pos="4536"/>
          <w:tab w:val="right" w:pos="6379"/>
          <w:tab w:val="right" w:pos="8789"/>
        </w:tabs>
        <w:spacing w:after="0" w:line="240" w:lineRule="auto"/>
        <w:ind w:right="425"/>
        <w:contextualSpacing/>
        <w:rPr>
          <w:rFonts w:ascii="Cambria" w:hAnsi="Cambria"/>
        </w:rPr>
      </w:pPr>
      <w:r w:rsidRPr="009A0DA6">
        <w:rPr>
          <w:rFonts w:ascii="Cambria" w:hAnsi="Cambria" w:cs="Arial"/>
          <w:b/>
          <w:bCs/>
        </w:rPr>
        <w:t>ASSETS</w:t>
      </w:r>
      <w:r w:rsidRPr="009A0DA6">
        <w:rPr>
          <w:rFonts w:ascii="Cambria" w:hAnsi="Cambria" w:cs="Arial"/>
          <w:b/>
          <w:bCs/>
        </w:rPr>
        <w:br/>
      </w:r>
      <w:r w:rsidRPr="009A0DA6">
        <w:rPr>
          <w:rFonts w:ascii="Cambria" w:hAnsi="Cambria" w:cs="Arial"/>
        </w:rPr>
        <w:t>Debtors</w:t>
      </w:r>
    </w:p>
    <w:p w14:paraId="69F96226" w14:textId="77777777" w:rsidR="002E592D" w:rsidRPr="009A0DA6" w:rsidRDefault="002E592D" w:rsidP="00AD7835">
      <w:pPr>
        <w:tabs>
          <w:tab w:val="right" w:pos="4536"/>
          <w:tab w:val="right" w:pos="6379"/>
          <w:tab w:val="right" w:pos="8789"/>
        </w:tabs>
        <w:spacing w:after="0" w:line="240" w:lineRule="auto"/>
        <w:ind w:right="425"/>
        <w:contextualSpacing/>
        <w:rPr>
          <w:rFonts w:ascii="Cambria" w:hAnsi="Cambria" w:cs="Arial"/>
        </w:rPr>
      </w:pPr>
      <w:r w:rsidRPr="009A0DA6">
        <w:rPr>
          <w:rFonts w:ascii="Cambria" w:hAnsi="Cambria" w:cs="Arial"/>
        </w:rPr>
        <w:t>South Australia</w:t>
      </w:r>
      <w:r w:rsidRPr="009A0DA6">
        <w:rPr>
          <w:rFonts w:ascii="Cambria" w:hAnsi="Cambria" w:cs="Arial"/>
        </w:rPr>
        <w:tab/>
        <w:t xml:space="preserve">                  -   </w:t>
      </w:r>
      <w:r w:rsidRPr="009A0DA6">
        <w:rPr>
          <w:rFonts w:ascii="Cambria" w:hAnsi="Cambria" w:cs="Arial"/>
        </w:rPr>
        <w:tab/>
        <w:t xml:space="preserve">                  -   </w:t>
      </w:r>
      <w:r w:rsidRPr="009A0DA6">
        <w:rPr>
          <w:rFonts w:ascii="Cambria" w:hAnsi="Cambria" w:cs="Arial"/>
        </w:rPr>
        <w:tab/>
        <w:t xml:space="preserve">                904 </w:t>
      </w:r>
    </w:p>
    <w:p w14:paraId="1F373887" w14:textId="77777777" w:rsidR="002E592D" w:rsidRPr="009A0DA6" w:rsidRDefault="002E592D" w:rsidP="00AD7835">
      <w:pPr>
        <w:tabs>
          <w:tab w:val="right" w:pos="4536"/>
          <w:tab w:val="right" w:pos="6379"/>
          <w:tab w:val="right" w:pos="8789"/>
        </w:tabs>
        <w:spacing w:after="0" w:line="240" w:lineRule="auto"/>
        <w:ind w:right="425"/>
        <w:contextualSpacing/>
        <w:rPr>
          <w:rFonts w:ascii="Cambria" w:hAnsi="Cambria" w:cs="Arial"/>
        </w:rPr>
      </w:pPr>
      <w:r w:rsidRPr="009A0DA6">
        <w:rPr>
          <w:rFonts w:ascii="Cambria" w:hAnsi="Cambria" w:cs="Arial"/>
        </w:rPr>
        <w:t>Queensland</w:t>
      </w:r>
      <w:r w:rsidRPr="009A0DA6">
        <w:rPr>
          <w:rFonts w:ascii="Cambria" w:hAnsi="Cambria" w:cs="Arial"/>
        </w:rPr>
        <w:tab/>
        <w:t xml:space="preserve">                  -   </w:t>
      </w:r>
      <w:r w:rsidRPr="009A0DA6">
        <w:rPr>
          <w:rFonts w:ascii="Cambria" w:hAnsi="Cambria" w:cs="Arial"/>
        </w:rPr>
        <w:tab/>
        <w:t xml:space="preserve">             1,290 </w:t>
      </w:r>
      <w:r w:rsidRPr="009A0DA6">
        <w:rPr>
          <w:rFonts w:ascii="Cambria" w:hAnsi="Cambria" w:cs="Arial"/>
        </w:rPr>
        <w:tab/>
        <w:t xml:space="preserve">             3,000 </w:t>
      </w:r>
    </w:p>
    <w:p w14:paraId="24805C06" w14:textId="77777777" w:rsidR="002E592D" w:rsidRPr="009A0DA6" w:rsidRDefault="002E592D" w:rsidP="00AD7835">
      <w:pPr>
        <w:tabs>
          <w:tab w:val="right" w:pos="4536"/>
          <w:tab w:val="right" w:pos="6379"/>
          <w:tab w:val="right" w:pos="8789"/>
        </w:tabs>
        <w:spacing w:after="0" w:line="240" w:lineRule="auto"/>
        <w:ind w:right="425"/>
        <w:contextualSpacing/>
        <w:rPr>
          <w:rFonts w:ascii="Cambria" w:hAnsi="Cambria" w:cs="Arial"/>
          <w:b/>
        </w:rPr>
      </w:pPr>
      <w:r w:rsidRPr="009A0DA6">
        <w:rPr>
          <w:rFonts w:ascii="Cambria" w:hAnsi="Cambria"/>
          <w:b/>
        </w:rPr>
        <w:tab/>
      </w:r>
      <w:r w:rsidRPr="009A0DA6">
        <w:rPr>
          <w:rFonts w:ascii="Cambria" w:hAnsi="Cambria" w:cs="Arial"/>
          <w:b/>
        </w:rPr>
        <w:t xml:space="preserve">                  -   </w:t>
      </w:r>
      <w:r w:rsidRPr="009A0DA6">
        <w:rPr>
          <w:rFonts w:ascii="Cambria" w:hAnsi="Cambria" w:cs="Arial"/>
          <w:b/>
        </w:rPr>
        <w:tab/>
        <w:t xml:space="preserve">             1,290 </w:t>
      </w:r>
      <w:r w:rsidRPr="009A0DA6">
        <w:rPr>
          <w:rFonts w:ascii="Cambria" w:hAnsi="Cambria" w:cs="Arial"/>
          <w:b/>
        </w:rPr>
        <w:tab/>
        <w:t xml:space="preserve">             3,904 </w:t>
      </w:r>
    </w:p>
    <w:p w14:paraId="6B5728DF" w14:textId="333435A4" w:rsidR="002E592D" w:rsidRDefault="002E592D" w:rsidP="002E592D">
      <w:pPr>
        <w:pStyle w:val="NoSpacing"/>
      </w:pPr>
    </w:p>
    <w:p w14:paraId="51F36E64" w14:textId="77777777" w:rsidR="002E592D" w:rsidRPr="009A0DA6" w:rsidRDefault="002E592D" w:rsidP="002E592D">
      <w:pPr>
        <w:pStyle w:val="Heading3"/>
      </w:pPr>
      <w:r w:rsidRPr="009A0DA6">
        <w:t>agenda 14.11</w:t>
      </w:r>
    </w:p>
    <w:p w14:paraId="02DED730" w14:textId="77777777" w:rsidR="002E592D" w:rsidRPr="009A0DA6" w:rsidRDefault="002E592D" w:rsidP="002E592D">
      <w:pPr>
        <w:pStyle w:val="Heading2"/>
      </w:pPr>
      <w:bookmarkStart w:id="525" w:name="_Toc521954762"/>
      <w:r w:rsidRPr="009A0DA6">
        <w:t>Financial Report: LCA Car Grant Fund</w:t>
      </w:r>
      <w:bookmarkEnd w:id="525"/>
    </w:p>
    <w:p w14:paraId="39F1EC48" w14:textId="77777777" w:rsidR="002E592D" w:rsidRPr="009A0DA6" w:rsidRDefault="002E592D" w:rsidP="002E592D">
      <w:pPr>
        <w:pStyle w:val="NoSpacing"/>
      </w:pPr>
    </w:p>
    <w:p w14:paraId="11026792" w14:textId="77777777" w:rsidR="002E592D" w:rsidRPr="009A0DA6" w:rsidRDefault="002E592D" w:rsidP="00766B14">
      <w:pPr>
        <w:pStyle w:val="NoSpacing"/>
        <w:rPr>
          <w:b/>
          <w:lang w:eastAsia="en-AU"/>
        </w:rPr>
      </w:pPr>
      <w:r w:rsidRPr="009A0DA6">
        <w:rPr>
          <w:b/>
          <w:lang w:eastAsia="en-AU"/>
        </w:rPr>
        <w:t xml:space="preserve">RECEIPTS AND PAYMENTS </w:t>
      </w:r>
    </w:p>
    <w:p w14:paraId="244BF540" w14:textId="77777777" w:rsidR="002E592D" w:rsidRPr="009A0DA6" w:rsidRDefault="002E592D" w:rsidP="002E592D">
      <w:pPr>
        <w:pStyle w:val="NoSpacing"/>
        <w:rPr>
          <w:rFonts w:eastAsia="Times New Roman" w:cs="Arial"/>
          <w:b/>
          <w:bCs/>
          <w:lang w:eastAsia="en-AU"/>
        </w:rPr>
      </w:pPr>
      <w:r w:rsidRPr="009A0DA6">
        <w:rPr>
          <w:rFonts w:eastAsia="Times New Roman" w:cs="Arial"/>
          <w:b/>
          <w:bCs/>
          <w:lang w:eastAsia="en-AU"/>
        </w:rPr>
        <w:t>FOR THE PERIODS ENDING 31 DECEMBER</w:t>
      </w:r>
    </w:p>
    <w:p w14:paraId="110C6E59" w14:textId="77777777" w:rsidR="002E592D" w:rsidRPr="009A0DA6" w:rsidRDefault="002E592D" w:rsidP="002E592D">
      <w:pPr>
        <w:tabs>
          <w:tab w:val="right" w:pos="5954"/>
          <w:tab w:val="right" w:pos="7371"/>
          <w:tab w:val="right" w:pos="8789"/>
        </w:tabs>
        <w:spacing w:before="120" w:after="120" w:line="240" w:lineRule="auto"/>
        <w:contextualSpacing/>
        <w:rPr>
          <w:rFonts w:ascii="Cambria" w:eastAsia="Times New Roman" w:hAnsi="Cambria" w:cs="Arial"/>
          <w:b/>
          <w:bCs/>
          <w:lang w:eastAsia="en-AU"/>
        </w:rPr>
      </w:pPr>
    </w:p>
    <w:p w14:paraId="24F1F47F" w14:textId="77777777" w:rsidR="002E592D" w:rsidRPr="009A0DA6" w:rsidRDefault="002E592D" w:rsidP="002E592D">
      <w:pPr>
        <w:tabs>
          <w:tab w:val="right" w:pos="5954"/>
          <w:tab w:val="right" w:pos="7371"/>
          <w:tab w:val="right" w:pos="8789"/>
        </w:tabs>
        <w:spacing w:before="120" w:after="120" w:line="240" w:lineRule="auto"/>
        <w:ind w:right="-20"/>
        <w:contextualSpacing/>
        <w:rPr>
          <w:rFonts w:ascii="Cambria" w:eastAsia="Arial" w:hAnsi="Cambria" w:cs="Arial"/>
          <w:lang w:eastAsia="ja-JP"/>
        </w:rPr>
      </w:pPr>
      <w:r w:rsidRPr="009A0DA6">
        <w:rPr>
          <w:rFonts w:ascii="Cambria" w:eastAsia="Arial" w:hAnsi="Cambria" w:cs="Arial"/>
          <w:b/>
          <w:bCs/>
          <w:spacing w:val="-1"/>
        </w:rPr>
        <w:t>R</w:t>
      </w:r>
      <w:r w:rsidRPr="009A0DA6">
        <w:rPr>
          <w:rFonts w:ascii="Cambria" w:eastAsia="Arial" w:hAnsi="Cambria" w:cs="Arial"/>
          <w:b/>
          <w:bCs/>
        </w:rPr>
        <w:t>e</w:t>
      </w:r>
      <w:r w:rsidRPr="009A0DA6">
        <w:rPr>
          <w:rFonts w:ascii="Cambria" w:eastAsia="Arial" w:hAnsi="Cambria" w:cs="Arial"/>
          <w:b/>
          <w:bCs/>
          <w:spacing w:val="-1"/>
        </w:rPr>
        <w:t>c</w:t>
      </w:r>
      <w:r w:rsidRPr="009A0DA6">
        <w:rPr>
          <w:rFonts w:ascii="Cambria" w:eastAsia="Arial" w:hAnsi="Cambria" w:cs="Arial"/>
          <w:b/>
          <w:bCs/>
        </w:rPr>
        <w:t>eip</w:t>
      </w:r>
      <w:r w:rsidRPr="009A0DA6">
        <w:rPr>
          <w:rFonts w:ascii="Cambria" w:eastAsia="Arial" w:hAnsi="Cambria" w:cs="Arial"/>
          <w:b/>
          <w:bCs/>
          <w:spacing w:val="1"/>
        </w:rPr>
        <w:t>t</w:t>
      </w:r>
      <w:r w:rsidRPr="009A0DA6">
        <w:rPr>
          <w:rFonts w:ascii="Cambria" w:eastAsia="Arial" w:hAnsi="Cambria" w:cs="Arial"/>
          <w:b/>
          <w:bCs/>
        </w:rPr>
        <w:t>s</w:t>
      </w:r>
      <w:r w:rsidRPr="009A0DA6">
        <w:rPr>
          <w:rFonts w:ascii="Cambria" w:eastAsia="Arial" w:hAnsi="Cambria" w:cs="Arial"/>
        </w:rPr>
        <w:tab/>
      </w:r>
      <w:r w:rsidRPr="009A0DA6">
        <w:rPr>
          <w:rFonts w:ascii="Cambria" w:eastAsia="Arial" w:hAnsi="Cambria" w:cs="Arial"/>
          <w:b/>
          <w:bCs/>
        </w:rPr>
        <w:t>2017</w:t>
      </w:r>
      <w:r w:rsidRPr="009A0DA6">
        <w:rPr>
          <w:rFonts w:ascii="Cambria" w:eastAsia="Arial" w:hAnsi="Cambria" w:cs="Arial"/>
        </w:rPr>
        <w:tab/>
      </w:r>
      <w:r w:rsidRPr="009A0DA6">
        <w:rPr>
          <w:rFonts w:ascii="Cambria" w:eastAsia="Arial" w:hAnsi="Cambria" w:cs="Arial"/>
          <w:b/>
          <w:bCs/>
        </w:rPr>
        <w:t>2016</w:t>
      </w:r>
      <w:r w:rsidRPr="009A0DA6">
        <w:rPr>
          <w:rFonts w:ascii="Cambria" w:eastAsia="Arial" w:hAnsi="Cambria" w:cs="Arial"/>
        </w:rPr>
        <w:tab/>
      </w:r>
      <w:r w:rsidRPr="009A0DA6">
        <w:rPr>
          <w:rFonts w:ascii="Cambria" w:eastAsia="Arial" w:hAnsi="Cambria" w:cs="Arial"/>
          <w:b/>
          <w:bCs/>
        </w:rPr>
        <w:t>2015</w:t>
      </w:r>
    </w:p>
    <w:p w14:paraId="713D6D66" w14:textId="77777777" w:rsidR="002E592D" w:rsidRPr="009A0DA6" w:rsidRDefault="002E592D" w:rsidP="002E592D">
      <w:pPr>
        <w:tabs>
          <w:tab w:val="right" w:pos="5954"/>
          <w:tab w:val="right" w:pos="7371"/>
          <w:tab w:val="right" w:pos="8789"/>
        </w:tabs>
        <w:spacing w:before="120" w:after="120" w:line="240" w:lineRule="auto"/>
        <w:ind w:right="-20"/>
        <w:contextualSpacing/>
        <w:rPr>
          <w:rFonts w:ascii="Cambria" w:eastAsia="Arial" w:hAnsi="Cambria" w:cs="Arial"/>
        </w:rPr>
      </w:pPr>
      <w:r w:rsidRPr="009A0DA6">
        <w:rPr>
          <w:rFonts w:ascii="Cambria" w:eastAsia="Arial" w:hAnsi="Cambria" w:cs="Arial"/>
        </w:rPr>
        <w:t>Con</w:t>
      </w:r>
      <w:r w:rsidRPr="009A0DA6">
        <w:rPr>
          <w:rFonts w:ascii="Cambria" w:eastAsia="Arial" w:hAnsi="Cambria" w:cs="Arial"/>
          <w:spacing w:val="-1"/>
        </w:rPr>
        <w:t>t</w:t>
      </w:r>
      <w:r w:rsidRPr="009A0DA6">
        <w:rPr>
          <w:rFonts w:ascii="Cambria" w:eastAsia="Arial" w:hAnsi="Cambria" w:cs="Arial"/>
          <w:spacing w:val="1"/>
        </w:rPr>
        <w:t>r</w:t>
      </w:r>
      <w:r w:rsidRPr="009A0DA6">
        <w:rPr>
          <w:rFonts w:ascii="Cambria" w:eastAsia="Arial" w:hAnsi="Cambria" w:cs="Arial"/>
          <w:spacing w:val="-1"/>
        </w:rPr>
        <w:t>i</w:t>
      </w:r>
      <w:r w:rsidRPr="009A0DA6">
        <w:rPr>
          <w:rFonts w:ascii="Cambria" w:eastAsia="Arial" w:hAnsi="Cambria" w:cs="Arial"/>
        </w:rPr>
        <w:t>b</w:t>
      </w:r>
      <w:r w:rsidRPr="009A0DA6">
        <w:rPr>
          <w:rFonts w:ascii="Cambria" w:eastAsia="Arial" w:hAnsi="Cambria" w:cs="Arial"/>
          <w:spacing w:val="-1"/>
        </w:rPr>
        <w:t>u</w:t>
      </w:r>
      <w:r w:rsidRPr="009A0DA6">
        <w:rPr>
          <w:rFonts w:ascii="Cambria" w:eastAsia="Arial" w:hAnsi="Cambria" w:cs="Arial"/>
        </w:rPr>
        <w:t>t</w:t>
      </w:r>
      <w:r w:rsidRPr="009A0DA6">
        <w:rPr>
          <w:rFonts w:ascii="Cambria" w:eastAsia="Arial" w:hAnsi="Cambria" w:cs="Arial"/>
          <w:spacing w:val="-1"/>
        </w:rPr>
        <w:t>i</w:t>
      </w:r>
      <w:r w:rsidRPr="009A0DA6">
        <w:rPr>
          <w:rFonts w:ascii="Cambria" w:eastAsia="Arial" w:hAnsi="Cambria" w:cs="Arial"/>
        </w:rPr>
        <w:t>o</w:t>
      </w:r>
      <w:r w:rsidRPr="009A0DA6">
        <w:rPr>
          <w:rFonts w:ascii="Cambria" w:eastAsia="Arial" w:hAnsi="Cambria" w:cs="Arial"/>
          <w:spacing w:val="-1"/>
        </w:rPr>
        <w:t>n</w:t>
      </w:r>
      <w:r w:rsidRPr="009A0DA6">
        <w:rPr>
          <w:rFonts w:ascii="Cambria" w:eastAsia="Arial" w:hAnsi="Cambria" w:cs="Arial"/>
        </w:rPr>
        <w:t>s</w:t>
      </w:r>
      <w:r w:rsidRPr="009A0DA6">
        <w:rPr>
          <w:rFonts w:ascii="Cambria" w:eastAsia="Arial" w:hAnsi="Cambria" w:cs="Arial"/>
          <w:spacing w:val="-11"/>
        </w:rPr>
        <w:t xml:space="preserve"> </w:t>
      </w:r>
      <w:r w:rsidRPr="009A0DA6">
        <w:rPr>
          <w:rFonts w:ascii="Cambria" w:eastAsia="Arial" w:hAnsi="Cambria" w:cs="Arial"/>
          <w:spacing w:val="2"/>
        </w:rPr>
        <w:t>f</w:t>
      </w:r>
      <w:r w:rsidRPr="009A0DA6">
        <w:rPr>
          <w:rFonts w:ascii="Cambria" w:eastAsia="Arial" w:hAnsi="Cambria" w:cs="Arial"/>
          <w:spacing w:val="1"/>
        </w:rPr>
        <w:t>r</w:t>
      </w:r>
      <w:r w:rsidRPr="009A0DA6">
        <w:rPr>
          <w:rFonts w:ascii="Cambria" w:eastAsia="Arial" w:hAnsi="Cambria" w:cs="Arial"/>
        </w:rPr>
        <w:t xml:space="preserve">om </w:t>
      </w:r>
      <w:r w:rsidRPr="009A0DA6">
        <w:rPr>
          <w:rFonts w:ascii="Cambria" w:eastAsia="Arial" w:hAnsi="Cambria" w:cs="Arial"/>
          <w:spacing w:val="1"/>
        </w:rPr>
        <w:t>c</w:t>
      </w:r>
      <w:r w:rsidRPr="009A0DA6">
        <w:rPr>
          <w:rFonts w:ascii="Cambria" w:eastAsia="Arial" w:hAnsi="Cambria" w:cs="Arial"/>
        </w:rPr>
        <w:t>o</w:t>
      </w:r>
      <w:r w:rsidRPr="009A0DA6">
        <w:rPr>
          <w:rFonts w:ascii="Cambria" w:eastAsia="Arial" w:hAnsi="Cambria" w:cs="Arial"/>
          <w:spacing w:val="-1"/>
        </w:rPr>
        <w:t>n</w:t>
      </w:r>
      <w:r w:rsidRPr="009A0DA6">
        <w:rPr>
          <w:rFonts w:ascii="Cambria" w:eastAsia="Arial" w:hAnsi="Cambria" w:cs="Arial"/>
        </w:rPr>
        <w:t>grega</w:t>
      </w:r>
      <w:r w:rsidRPr="009A0DA6">
        <w:rPr>
          <w:rFonts w:ascii="Cambria" w:eastAsia="Arial" w:hAnsi="Cambria" w:cs="Arial"/>
          <w:spacing w:val="-1"/>
        </w:rPr>
        <w:t>ti</w:t>
      </w:r>
      <w:r w:rsidRPr="009A0DA6">
        <w:rPr>
          <w:rFonts w:ascii="Cambria" w:eastAsia="Arial" w:hAnsi="Cambria" w:cs="Arial"/>
        </w:rPr>
        <w:t>o</w:t>
      </w:r>
      <w:r w:rsidRPr="009A0DA6">
        <w:rPr>
          <w:rFonts w:ascii="Cambria" w:eastAsia="Arial" w:hAnsi="Cambria" w:cs="Arial"/>
          <w:spacing w:val="-1"/>
        </w:rPr>
        <w:t>n</w:t>
      </w:r>
      <w:r w:rsidRPr="009A0DA6">
        <w:rPr>
          <w:rFonts w:ascii="Cambria" w:eastAsia="Arial" w:hAnsi="Cambria" w:cs="Arial"/>
        </w:rPr>
        <w:t>s</w:t>
      </w:r>
      <w:r w:rsidRPr="009A0DA6">
        <w:rPr>
          <w:rFonts w:ascii="Cambria" w:eastAsia="Arial" w:hAnsi="Cambria" w:cs="Arial"/>
        </w:rPr>
        <w:tab/>
        <w:t>50,000</w:t>
      </w:r>
      <w:r w:rsidRPr="009A0DA6">
        <w:rPr>
          <w:rFonts w:ascii="Cambria" w:eastAsia="Arial" w:hAnsi="Cambria" w:cs="Arial"/>
        </w:rPr>
        <w:tab/>
        <w:t>50,000</w:t>
      </w:r>
      <w:r w:rsidRPr="009A0DA6">
        <w:rPr>
          <w:rFonts w:ascii="Cambria" w:eastAsia="Arial" w:hAnsi="Cambria" w:cs="Arial"/>
        </w:rPr>
        <w:tab/>
        <w:t>50,000</w:t>
      </w:r>
    </w:p>
    <w:p w14:paraId="5C9AC3E9" w14:textId="77777777" w:rsidR="002E592D" w:rsidRPr="009A0DA6" w:rsidRDefault="002E592D" w:rsidP="002E592D">
      <w:pPr>
        <w:tabs>
          <w:tab w:val="right" w:pos="5954"/>
          <w:tab w:val="right" w:pos="7371"/>
          <w:tab w:val="right" w:pos="8789"/>
        </w:tabs>
        <w:spacing w:before="120" w:after="120" w:line="240" w:lineRule="auto"/>
        <w:ind w:right="-20"/>
        <w:contextualSpacing/>
        <w:rPr>
          <w:rFonts w:ascii="Cambria" w:eastAsia="Arial" w:hAnsi="Cambria" w:cs="Arial"/>
        </w:rPr>
      </w:pPr>
      <w:r w:rsidRPr="009A0DA6">
        <w:rPr>
          <w:rFonts w:ascii="Cambria" w:eastAsia="Arial" w:hAnsi="Cambria" w:cs="Arial"/>
        </w:rPr>
        <w:t>In</w:t>
      </w:r>
      <w:r w:rsidRPr="009A0DA6">
        <w:rPr>
          <w:rFonts w:ascii="Cambria" w:eastAsia="Arial" w:hAnsi="Cambria" w:cs="Arial"/>
          <w:spacing w:val="-1"/>
        </w:rPr>
        <w:t>t</w:t>
      </w:r>
      <w:r w:rsidRPr="009A0DA6">
        <w:rPr>
          <w:rFonts w:ascii="Cambria" w:eastAsia="Arial" w:hAnsi="Cambria" w:cs="Arial"/>
        </w:rPr>
        <w:t>ere</w:t>
      </w:r>
      <w:r w:rsidRPr="009A0DA6">
        <w:rPr>
          <w:rFonts w:ascii="Cambria" w:eastAsia="Arial" w:hAnsi="Cambria" w:cs="Arial"/>
          <w:spacing w:val="1"/>
        </w:rPr>
        <w:t>s</w:t>
      </w:r>
      <w:r w:rsidRPr="009A0DA6">
        <w:rPr>
          <w:rFonts w:ascii="Cambria" w:eastAsia="Arial" w:hAnsi="Cambria" w:cs="Arial"/>
        </w:rPr>
        <w:t>t</w:t>
      </w:r>
      <w:r w:rsidRPr="009A0DA6">
        <w:rPr>
          <w:rFonts w:ascii="Cambria" w:eastAsia="Arial" w:hAnsi="Cambria" w:cs="Arial"/>
          <w:spacing w:val="-7"/>
        </w:rPr>
        <w:t xml:space="preserve"> </w:t>
      </w:r>
      <w:r w:rsidRPr="009A0DA6">
        <w:rPr>
          <w:rFonts w:ascii="Cambria" w:eastAsia="Arial" w:hAnsi="Cambria" w:cs="Arial"/>
        </w:rPr>
        <w:t>re</w:t>
      </w:r>
      <w:r w:rsidRPr="009A0DA6">
        <w:rPr>
          <w:rFonts w:ascii="Cambria" w:eastAsia="Arial" w:hAnsi="Cambria" w:cs="Arial"/>
          <w:spacing w:val="1"/>
        </w:rPr>
        <w:t>c</w:t>
      </w:r>
      <w:r w:rsidRPr="009A0DA6">
        <w:rPr>
          <w:rFonts w:ascii="Cambria" w:eastAsia="Arial" w:hAnsi="Cambria" w:cs="Arial"/>
        </w:rPr>
        <w:t>e</w:t>
      </w:r>
      <w:r w:rsidRPr="009A0DA6">
        <w:rPr>
          <w:rFonts w:ascii="Cambria" w:eastAsia="Arial" w:hAnsi="Cambria" w:cs="Arial"/>
          <w:spacing w:val="-1"/>
        </w:rPr>
        <w:t>iv</w:t>
      </w:r>
      <w:r w:rsidRPr="009A0DA6">
        <w:rPr>
          <w:rFonts w:ascii="Cambria" w:eastAsia="Arial" w:hAnsi="Cambria" w:cs="Arial"/>
        </w:rPr>
        <w:t>ed</w:t>
      </w:r>
      <w:r w:rsidRPr="009A0DA6">
        <w:rPr>
          <w:rFonts w:ascii="Cambria" w:eastAsia="Arial" w:hAnsi="Cambria" w:cs="Arial"/>
          <w:spacing w:val="-9"/>
        </w:rPr>
        <w:t xml:space="preserve"> </w:t>
      </w:r>
      <w:r w:rsidRPr="009A0DA6">
        <w:rPr>
          <w:rFonts w:ascii="Cambria" w:eastAsia="Arial" w:hAnsi="Cambria" w:cs="Arial"/>
        </w:rPr>
        <w:t>-</w:t>
      </w:r>
      <w:r w:rsidRPr="009A0DA6">
        <w:rPr>
          <w:rFonts w:ascii="Cambria" w:eastAsia="Arial" w:hAnsi="Cambria" w:cs="Arial"/>
          <w:spacing w:val="-1"/>
        </w:rPr>
        <w:t xml:space="preserve"> </w:t>
      </w:r>
      <w:r w:rsidRPr="009A0DA6">
        <w:rPr>
          <w:rFonts w:ascii="Cambria" w:eastAsia="Arial" w:hAnsi="Cambria" w:cs="Arial"/>
        </w:rPr>
        <w:t>L</w:t>
      </w:r>
      <w:r w:rsidRPr="009A0DA6">
        <w:rPr>
          <w:rFonts w:ascii="Cambria" w:eastAsia="Arial" w:hAnsi="Cambria" w:cs="Arial"/>
          <w:spacing w:val="-1"/>
        </w:rPr>
        <w:t>L</w:t>
      </w:r>
      <w:r w:rsidRPr="009A0DA6">
        <w:rPr>
          <w:rFonts w:ascii="Cambria" w:eastAsia="Arial" w:hAnsi="Cambria" w:cs="Arial"/>
        </w:rPr>
        <w:t>L</w:t>
      </w:r>
      <w:r w:rsidRPr="009A0DA6">
        <w:rPr>
          <w:rFonts w:ascii="Cambria" w:eastAsia="Arial" w:hAnsi="Cambria" w:cs="Arial"/>
        </w:rPr>
        <w:tab/>
        <w:t>536</w:t>
      </w:r>
      <w:r w:rsidRPr="009A0DA6">
        <w:rPr>
          <w:rFonts w:ascii="Cambria" w:eastAsia="Arial" w:hAnsi="Cambria" w:cs="Arial"/>
        </w:rPr>
        <w:tab/>
        <w:t>818</w:t>
      </w:r>
      <w:r w:rsidRPr="009A0DA6">
        <w:rPr>
          <w:rFonts w:ascii="Cambria" w:eastAsia="Arial" w:hAnsi="Cambria" w:cs="Arial"/>
        </w:rPr>
        <w:tab/>
        <w:t>615</w:t>
      </w:r>
    </w:p>
    <w:p w14:paraId="385AA42D" w14:textId="77777777" w:rsidR="002E592D" w:rsidRPr="009A0DA6" w:rsidRDefault="002E592D" w:rsidP="002E592D">
      <w:pPr>
        <w:tabs>
          <w:tab w:val="right" w:pos="5954"/>
          <w:tab w:val="right" w:pos="7371"/>
          <w:tab w:val="right" w:pos="8789"/>
        </w:tabs>
        <w:spacing w:before="120" w:after="120" w:line="240" w:lineRule="auto"/>
        <w:ind w:right="-20"/>
        <w:contextualSpacing/>
        <w:rPr>
          <w:rFonts w:ascii="Cambria" w:eastAsia="Arial" w:hAnsi="Cambria" w:cs="Arial"/>
        </w:rPr>
      </w:pPr>
      <w:r w:rsidRPr="009A0DA6">
        <w:rPr>
          <w:rFonts w:ascii="Cambria" w:eastAsia="Arial" w:hAnsi="Cambria" w:cs="Arial"/>
          <w:spacing w:val="-1"/>
        </w:rPr>
        <w:t>B</w:t>
      </w:r>
      <w:r w:rsidRPr="009A0DA6">
        <w:rPr>
          <w:rFonts w:ascii="Cambria" w:eastAsia="Arial" w:hAnsi="Cambria" w:cs="Arial"/>
        </w:rPr>
        <w:t>a</w:t>
      </w:r>
      <w:r w:rsidRPr="009A0DA6">
        <w:rPr>
          <w:rFonts w:ascii="Cambria" w:eastAsia="Arial" w:hAnsi="Cambria" w:cs="Arial"/>
          <w:spacing w:val="-1"/>
        </w:rPr>
        <w:t>l</w:t>
      </w:r>
      <w:r w:rsidRPr="009A0DA6">
        <w:rPr>
          <w:rFonts w:ascii="Cambria" w:eastAsia="Arial" w:hAnsi="Cambria" w:cs="Arial"/>
        </w:rPr>
        <w:t>a</w:t>
      </w:r>
      <w:r w:rsidRPr="009A0DA6">
        <w:rPr>
          <w:rFonts w:ascii="Cambria" w:eastAsia="Arial" w:hAnsi="Cambria" w:cs="Arial"/>
          <w:spacing w:val="-1"/>
        </w:rPr>
        <w:t>n</w:t>
      </w:r>
      <w:r w:rsidRPr="009A0DA6">
        <w:rPr>
          <w:rFonts w:ascii="Cambria" w:eastAsia="Arial" w:hAnsi="Cambria" w:cs="Arial"/>
          <w:spacing w:val="1"/>
        </w:rPr>
        <w:t>c</w:t>
      </w:r>
      <w:r w:rsidRPr="009A0DA6">
        <w:rPr>
          <w:rFonts w:ascii="Cambria" w:eastAsia="Arial" w:hAnsi="Cambria" w:cs="Arial"/>
        </w:rPr>
        <w:t>e</w:t>
      </w:r>
      <w:r w:rsidRPr="009A0DA6">
        <w:rPr>
          <w:rFonts w:ascii="Cambria" w:eastAsia="Arial" w:hAnsi="Cambria" w:cs="Arial"/>
          <w:spacing w:val="-7"/>
        </w:rPr>
        <w:t xml:space="preserve"> </w:t>
      </w:r>
      <w:r w:rsidRPr="009A0DA6">
        <w:rPr>
          <w:rFonts w:ascii="Cambria" w:eastAsia="Arial" w:hAnsi="Cambria" w:cs="Arial"/>
          <w:spacing w:val="-1"/>
        </w:rPr>
        <w:t>a</w:t>
      </w:r>
      <w:r w:rsidRPr="009A0DA6">
        <w:rPr>
          <w:rFonts w:ascii="Cambria" w:eastAsia="Arial" w:hAnsi="Cambria" w:cs="Arial"/>
        </w:rPr>
        <w:t>s</w:t>
      </w:r>
      <w:r w:rsidRPr="009A0DA6">
        <w:rPr>
          <w:rFonts w:ascii="Cambria" w:eastAsia="Arial" w:hAnsi="Cambria" w:cs="Arial"/>
          <w:spacing w:val="-1"/>
        </w:rPr>
        <w:t xml:space="preserve"> </w:t>
      </w:r>
      <w:r w:rsidRPr="009A0DA6">
        <w:rPr>
          <w:rFonts w:ascii="Cambria" w:eastAsia="Arial" w:hAnsi="Cambria" w:cs="Arial"/>
        </w:rPr>
        <w:t>at</w:t>
      </w:r>
      <w:r w:rsidRPr="009A0DA6">
        <w:rPr>
          <w:rFonts w:ascii="Cambria" w:eastAsia="Arial" w:hAnsi="Cambria" w:cs="Arial"/>
          <w:spacing w:val="-3"/>
        </w:rPr>
        <w:t xml:space="preserve"> </w:t>
      </w:r>
      <w:r w:rsidRPr="009A0DA6">
        <w:rPr>
          <w:rFonts w:ascii="Cambria" w:eastAsia="Arial" w:hAnsi="Cambria" w:cs="Arial"/>
        </w:rPr>
        <w:t>1st</w:t>
      </w:r>
      <w:r w:rsidRPr="009A0DA6">
        <w:rPr>
          <w:rFonts w:ascii="Cambria" w:eastAsia="Arial" w:hAnsi="Cambria" w:cs="Arial"/>
          <w:spacing w:val="-3"/>
        </w:rPr>
        <w:t xml:space="preserve"> </w:t>
      </w:r>
      <w:r w:rsidRPr="009A0DA6">
        <w:rPr>
          <w:rFonts w:ascii="Cambria" w:eastAsia="Arial" w:hAnsi="Cambria" w:cs="Arial"/>
          <w:spacing w:val="1"/>
        </w:rPr>
        <w:t>J</w:t>
      </w:r>
      <w:r w:rsidRPr="009A0DA6">
        <w:rPr>
          <w:rFonts w:ascii="Cambria" w:eastAsia="Arial" w:hAnsi="Cambria" w:cs="Arial"/>
        </w:rPr>
        <w:t>a</w:t>
      </w:r>
      <w:r w:rsidRPr="009A0DA6">
        <w:rPr>
          <w:rFonts w:ascii="Cambria" w:eastAsia="Arial" w:hAnsi="Cambria" w:cs="Arial"/>
          <w:spacing w:val="-1"/>
        </w:rPr>
        <w:t>n</w:t>
      </w:r>
      <w:r w:rsidRPr="009A0DA6">
        <w:rPr>
          <w:rFonts w:ascii="Cambria" w:eastAsia="Arial" w:hAnsi="Cambria" w:cs="Arial"/>
        </w:rPr>
        <w:t>u</w:t>
      </w:r>
      <w:r w:rsidRPr="009A0DA6">
        <w:rPr>
          <w:rFonts w:ascii="Cambria" w:eastAsia="Arial" w:hAnsi="Cambria" w:cs="Arial"/>
          <w:spacing w:val="-1"/>
        </w:rPr>
        <w:t>a</w:t>
      </w:r>
      <w:r w:rsidRPr="009A0DA6">
        <w:rPr>
          <w:rFonts w:ascii="Cambria" w:eastAsia="Arial" w:hAnsi="Cambria" w:cs="Arial"/>
          <w:spacing w:val="1"/>
        </w:rPr>
        <w:t>r</w:t>
      </w:r>
      <w:r w:rsidRPr="009A0DA6">
        <w:rPr>
          <w:rFonts w:ascii="Cambria" w:eastAsia="Arial" w:hAnsi="Cambria" w:cs="Arial"/>
        </w:rPr>
        <w:t>y</w:t>
      </w:r>
      <w:r w:rsidRPr="009A0DA6">
        <w:rPr>
          <w:rFonts w:ascii="Cambria" w:eastAsia="Arial" w:hAnsi="Cambria" w:cs="Arial"/>
        </w:rPr>
        <w:tab/>
        <w:t>19,890</w:t>
      </w:r>
      <w:r w:rsidRPr="009A0DA6">
        <w:rPr>
          <w:rFonts w:ascii="Cambria" w:eastAsia="Arial" w:hAnsi="Cambria" w:cs="Arial"/>
        </w:rPr>
        <w:tab/>
        <w:t>16,572</w:t>
      </w:r>
      <w:r w:rsidRPr="009A0DA6">
        <w:rPr>
          <w:rFonts w:ascii="Cambria" w:eastAsia="Arial" w:hAnsi="Cambria" w:cs="Arial"/>
        </w:rPr>
        <w:tab/>
        <w:t>30,457</w:t>
      </w:r>
    </w:p>
    <w:p w14:paraId="085926B8" w14:textId="77777777" w:rsidR="002E592D" w:rsidRPr="009A0DA6" w:rsidRDefault="002E592D" w:rsidP="002E592D">
      <w:pPr>
        <w:tabs>
          <w:tab w:val="right" w:pos="5954"/>
          <w:tab w:val="right" w:pos="7371"/>
          <w:tab w:val="right" w:pos="8789"/>
        </w:tabs>
        <w:spacing w:before="120" w:after="120" w:line="240" w:lineRule="auto"/>
        <w:ind w:right="-70"/>
        <w:contextualSpacing/>
        <w:rPr>
          <w:rFonts w:ascii="Cambria" w:eastAsia="Arial" w:hAnsi="Cambria" w:cs="Arial"/>
          <w:b/>
          <w:bCs/>
          <w:w w:val="99"/>
        </w:rPr>
      </w:pPr>
      <w:r w:rsidRPr="009A0DA6">
        <w:rPr>
          <w:rFonts w:ascii="Cambria" w:eastAsia="Arial" w:hAnsi="Cambria" w:cs="Arial"/>
          <w:b/>
          <w:bCs/>
        </w:rPr>
        <w:tab/>
      </w:r>
      <w:r w:rsidRPr="009A0DA6">
        <w:rPr>
          <w:rFonts w:ascii="Cambria" w:eastAsia="Arial" w:hAnsi="Cambria" w:cs="Arial"/>
          <w:b/>
          <w:bCs/>
          <w:w w:val="99"/>
        </w:rPr>
        <w:t>70,426</w:t>
      </w:r>
      <w:r w:rsidRPr="009A0DA6">
        <w:rPr>
          <w:rFonts w:ascii="Cambria" w:eastAsia="Arial" w:hAnsi="Cambria" w:cs="Arial"/>
          <w:b/>
          <w:bCs/>
        </w:rPr>
        <w:tab/>
      </w:r>
      <w:r w:rsidRPr="009A0DA6">
        <w:rPr>
          <w:rFonts w:ascii="Cambria" w:eastAsia="Arial" w:hAnsi="Cambria" w:cs="Arial"/>
          <w:b/>
          <w:bCs/>
          <w:w w:val="99"/>
        </w:rPr>
        <w:t xml:space="preserve">67,390 </w:t>
      </w:r>
      <w:r w:rsidRPr="009A0DA6">
        <w:rPr>
          <w:rFonts w:ascii="Cambria" w:eastAsia="Arial" w:hAnsi="Cambria" w:cs="Arial"/>
          <w:b/>
          <w:bCs/>
        </w:rPr>
        <w:tab/>
      </w:r>
      <w:r w:rsidRPr="009A0DA6">
        <w:rPr>
          <w:rFonts w:ascii="Cambria" w:eastAsia="Arial" w:hAnsi="Cambria" w:cs="Arial"/>
          <w:b/>
          <w:bCs/>
          <w:w w:val="99"/>
        </w:rPr>
        <w:t>81,072</w:t>
      </w:r>
    </w:p>
    <w:p w14:paraId="5F2F288C" w14:textId="77777777" w:rsidR="002E592D" w:rsidRPr="009A0DA6" w:rsidRDefault="002E592D" w:rsidP="002E592D">
      <w:pPr>
        <w:tabs>
          <w:tab w:val="right" w:pos="5954"/>
          <w:tab w:val="right" w:pos="7371"/>
          <w:tab w:val="right" w:pos="8789"/>
        </w:tabs>
        <w:spacing w:before="120" w:after="120" w:line="240" w:lineRule="auto"/>
        <w:ind w:right="-70"/>
        <w:contextualSpacing/>
        <w:rPr>
          <w:rFonts w:ascii="Cambria" w:eastAsia="Arial" w:hAnsi="Cambria" w:cs="Arial"/>
        </w:rPr>
      </w:pPr>
      <w:r w:rsidRPr="009A0DA6">
        <w:rPr>
          <w:rFonts w:ascii="Cambria" w:eastAsia="Arial" w:hAnsi="Cambria" w:cs="Arial"/>
          <w:b/>
          <w:bCs/>
          <w:spacing w:val="-1"/>
        </w:rPr>
        <w:t>P</w:t>
      </w:r>
      <w:r w:rsidRPr="009A0DA6">
        <w:rPr>
          <w:rFonts w:ascii="Cambria" w:eastAsia="Arial" w:hAnsi="Cambria" w:cs="Arial"/>
          <w:b/>
          <w:bCs/>
        </w:rPr>
        <w:t>a</w:t>
      </w:r>
      <w:r w:rsidRPr="009A0DA6">
        <w:rPr>
          <w:rFonts w:ascii="Cambria" w:eastAsia="Arial" w:hAnsi="Cambria" w:cs="Arial"/>
          <w:b/>
          <w:bCs/>
          <w:spacing w:val="-6"/>
        </w:rPr>
        <w:t>y</w:t>
      </w:r>
      <w:r w:rsidRPr="009A0DA6">
        <w:rPr>
          <w:rFonts w:ascii="Cambria" w:eastAsia="Arial" w:hAnsi="Cambria" w:cs="Arial"/>
          <w:b/>
          <w:bCs/>
        </w:rPr>
        <w:t>ments</w:t>
      </w:r>
    </w:p>
    <w:p w14:paraId="2F337C8B" w14:textId="77777777" w:rsidR="002E592D" w:rsidRPr="009A0DA6" w:rsidRDefault="002E592D" w:rsidP="002E592D">
      <w:pPr>
        <w:tabs>
          <w:tab w:val="right" w:pos="5954"/>
          <w:tab w:val="right" w:pos="7371"/>
          <w:tab w:val="right" w:pos="8789"/>
        </w:tabs>
        <w:spacing w:before="120" w:after="120" w:line="240" w:lineRule="auto"/>
        <w:contextualSpacing/>
        <w:rPr>
          <w:rFonts w:ascii="Cambria" w:eastAsiaTheme="minorEastAsia" w:hAnsi="Cambria"/>
        </w:rPr>
      </w:pPr>
      <w:r w:rsidRPr="009A0DA6">
        <w:rPr>
          <w:rFonts w:ascii="Cambria" w:eastAsia="Arial" w:hAnsi="Cambria" w:cs="Arial"/>
          <w:spacing w:val="1"/>
        </w:rPr>
        <w:t>Gr</w:t>
      </w:r>
      <w:r w:rsidRPr="009A0DA6">
        <w:rPr>
          <w:rFonts w:ascii="Cambria" w:eastAsia="Arial" w:hAnsi="Cambria" w:cs="Arial"/>
        </w:rPr>
        <w:t>a</w:t>
      </w:r>
      <w:r w:rsidRPr="009A0DA6">
        <w:rPr>
          <w:rFonts w:ascii="Cambria" w:eastAsia="Arial" w:hAnsi="Cambria" w:cs="Arial"/>
          <w:spacing w:val="-1"/>
        </w:rPr>
        <w:t>n</w:t>
      </w:r>
      <w:r w:rsidRPr="009A0DA6">
        <w:rPr>
          <w:rFonts w:ascii="Cambria" w:eastAsia="Arial" w:hAnsi="Cambria" w:cs="Arial"/>
        </w:rPr>
        <w:t>ts</w:t>
      </w:r>
      <w:r w:rsidRPr="009A0DA6">
        <w:rPr>
          <w:rFonts w:ascii="Cambria" w:eastAsia="Arial" w:hAnsi="Cambria" w:cs="Arial"/>
        </w:rPr>
        <w:tab/>
        <w:t>67,500</w:t>
      </w:r>
      <w:r w:rsidRPr="009A0DA6">
        <w:rPr>
          <w:rFonts w:ascii="Cambria" w:eastAsia="Arial" w:hAnsi="Cambria" w:cs="Arial"/>
        </w:rPr>
        <w:tab/>
        <w:t>47,500</w:t>
      </w:r>
      <w:r w:rsidRPr="009A0DA6">
        <w:rPr>
          <w:rFonts w:ascii="Cambria" w:eastAsia="Arial" w:hAnsi="Cambria" w:cs="Arial"/>
        </w:rPr>
        <w:tab/>
        <w:t>64,500</w:t>
      </w:r>
    </w:p>
    <w:p w14:paraId="653DB9BC" w14:textId="77777777" w:rsidR="002E592D" w:rsidRPr="009A0DA6" w:rsidRDefault="002E592D" w:rsidP="002E592D">
      <w:pPr>
        <w:tabs>
          <w:tab w:val="right" w:pos="5954"/>
          <w:tab w:val="right" w:pos="7371"/>
          <w:tab w:val="right" w:pos="8789"/>
        </w:tabs>
        <w:spacing w:before="120" w:after="120" w:line="240" w:lineRule="auto"/>
        <w:ind w:right="-20"/>
        <w:contextualSpacing/>
        <w:rPr>
          <w:rFonts w:ascii="Cambria" w:eastAsia="Arial" w:hAnsi="Cambria" w:cs="Arial"/>
        </w:rPr>
      </w:pPr>
      <w:r w:rsidRPr="009A0DA6">
        <w:rPr>
          <w:rFonts w:ascii="Cambria" w:eastAsia="Arial" w:hAnsi="Cambria" w:cs="Arial"/>
          <w:spacing w:val="-1"/>
        </w:rPr>
        <w:t>B</w:t>
      </w:r>
      <w:r w:rsidRPr="009A0DA6">
        <w:rPr>
          <w:rFonts w:ascii="Cambria" w:eastAsia="Arial" w:hAnsi="Cambria" w:cs="Arial"/>
        </w:rPr>
        <w:t>a</w:t>
      </w:r>
      <w:r w:rsidRPr="009A0DA6">
        <w:rPr>
          <w:rFonts w:ascii="Cambria" w:eastAsia="Arial" w:hAnsi="Cambria" w:cs="Arial"/>
          <w:spacing w:val="-1"/>
        </w:rPr>
        <w:t>l</w:t>
      </w:r>
      <w:r w:rsidRPr="009A0DA6">
        <w:rPr>
          <w:rFonts w:ascii="Cambria" w:eastAsia="Arial" w:hAnsi="Cambria" w:cs="Arial"/>
        </w:rPr>
        <w:t>a</w:t>
      </w:r>
      <w:r w:rsidRPr="009A0DA6">
        <w:rPr>
          <w:rFonts w:ascii="Cambria" w:eastAsia="Arial" w:hAnsi="Cambria" w:cs="Arial"/>
          <w:spacing w:val="-1"/>
        </w:rPr>
        <w:t>n</w:t>
      </w:r>
      <w:r w:rsidRPr="009A0DA6">
        <w:rPr>
          <w:rFonts w:ascii="Cambria" w:eastAsia="Arial" w:hAnsi="Cambria" w:cs="Arial"/>
          <w:spacing w:val="1"/>
        </w:rPr>
        <w:t>c</w:t>
      </w:r>
      <w:r w:rsidRPr="009A0DA6">
        <w:rPr>
          <w:rFonts w:ascii="Cambria" w:eastAsia="Arial" w:hAnsi="Cambria" w:cs="Arial"/>
        </w:rPr>
        <w:t>e</w:t>
      </w:r>
      <w:r w:rsidRPr="009A0DA6">
        <w:rPr>
          <w:rFonts w:ascii="Cambria" w:eastAsia="Arial" w:hAnsi="Cambria" w:cs="Arial"/>
          <w:spacing w:val="-7"/>
        </w:rPr>
        <w:t xml:space="preserve"> </w:t>
      </w:r>
      <w:r w:rsidRPr="009A0DA6">
        <w:rPr>
          <w:rFonts w:ascii="Cambria" w:eastAsia="Arial" w:hAnsi="Cambria" w:cs="Arial"/>
          <w:spacing w:val="-1"/>
        </w:rPr>
        <w:t>a</w:t>
      </w:r>
      <w:r w:rsidRPr="009A0DA6">
        <w:rPr>
          <w:rFonts w:ascii="Cambria" w:eastAsia="Arial" w:hAnsi="Cambria" w:cs="Arial"/>
        </w:rPr>
        <w:t>s</w:t>
      </w:r>
      <w:r w:rsidRPr="009A0DA6">
        <w:rPr>
          <w:rFonts w:ascii="Cambria" w:eastAsia="Arial" w:hAnsi="Cambria" w:cs="Arial"/>
          <w:spacing w:val="-1"/>
        </w:rPr>
        <w:t xml:space="preserve"> </w:t>
      </w:r>
      <w:r w:rsidRPr="009A0DA6">
        <w:rPr>
          <w:rFonts w:ascii="Cambria" w:eastAsia="Arial" w:hAnsi="Cambria" w:cs="Arial"/>
        </w:rPr>
        <w:t>at</w:t>
      </w:r>
      <w:r w:rsidRPr="009A0DA6">
        <w:rPr>
          <w:rFonts w:ascii="Cambria" w:eastAsia="Arial" w:hAnsi="Cambria" w:cs="Arial"/>
          <w:spacing w:val="-3"/>
        </w:rPr>
        <w:t xml:space="preserve"> </w:t>
      </w:r>
      <w:r w:rsidRPr="009A0DA6">
        <w:rPr>
          <w:rFonts w:ascii="Cambria" w:eastAsia="Arial" w:hAnsi="Cambria" w:cs="Arial"/>
        </w:rPr>
        <w:t>3</w:t>
      </w:r>
      <w:r w:rsidRPr="009A0DA6">
        <w:rPr>
          <w:rFonts w:ascii="Cambria" w:eastAsia="Arial" w:hAnsi="Cambria" w:cs="Arial"/>
          <w:spacing w:val="-1"/>
        </w:rPr>
        <w:t>1</w:t>
      </w:r>
      <w:r w:rsidRPr="009A0DA6">
        <w:rPr>
          <w:rFonts w:ascii="Cambria" w:eastAsia="Arial" w:hAnsi="Cambria" w:cs="Arial"/>
          <w:spacing w:val="1"/>
        </w:rPr>
        <w:t>s</w:t>
      </w:r>
      <w:r w:rsidRPr="009A0DA6">
        <w:rPr>
          <w:rFonts w:ascii="Cambria" w:eastAsia="Arial" w:hAnsi="Cambria" w:cs="Arial"/>
        </w:rPr>
        <w:t>t</w:t>
      </w:r>
      <w:r w:rsidRPr="009A0DA6">
        <w:rPr>
          <w:rFonts w:ascii="Cambria" w:eastAsia="Arial" w:hAnsi="Cambria" w:cs="Arial"/>
          <w:spacing w:val="-4"/>
        </w:rPr>
        <w:t xml:space="preserve"> </w:t>
      </w:r>
      <w:r w:rsidRPr="009A0DA6">
        <w:rPr>
          <w:rFonts w:ascii="Cambria" w:eastAsia="Arial" w:hAnsi="Cambria" w:cs="Arial"/>
        </w:rPr>
        <w:t>Dece</w:t>
      </w:r>
      <w:r w:rsidRPr="009A0DA6">
        <w:rPr>
          <w:rFonts w:ascii="Cambria" w:eastAsia="Arial" w:hAnsi="Cambria" w:cs="Arial"/>
          <w:spacing w:val="4"/>
        </w:rPr>
        <w:t>m</w:t>
      </w:r>
      <w:r w:rsidRPr="009A0DA6">
        <w:rPr>
          <w:rFonts w:ascii="Cambria" w:eastAsia="Arial" w:hAnsi="Cambria" w:cs="Arial"/>
        </w:rPr>
        <w:t>b</w:t>
      </w:r>
      <w:r w:rsidRPr="009A0DA6">
        <w:rPr>
          <w:rFonts w:ascii="Cambria" w:eastAsia="Arial" w:hAnsi="Cambria" w:cs="Arial"/>
          <w:spacing w:val="-1"/>
        </w:rPr>
        <w:t>e</w:t>
      </w:r>
      <w:r w:rsidRPr="009A0DA6">
        <w:rPr>
          <w:rFonts w:ascii="Cambria" w:eastAsia="Arial" w:hAnsi="Cambria" w:cs="Arial"/>
        </w:rPr>
        <w:t>r</w:t>
      </w:r>
      <w:r w:rsidRPr="009A0DA6">
        <w:rPr>
          <w:rFonts w:ascii="Cambria" w:eastAsia="Arial" w:hAnsi="Cambria" w:cs="Arial"/>
          <w:spacing w:val="-9"/>
        </w:rPr>
        <w:t xml:space="preserve"> </w:t>
      </w:r>
      <w:r w:rsidRPr="009A0DA6">
        <w:rPr>
          <w:rFonts w:ascii="Cambria" w:eastAsia="Arial" w:hAnsi="Cambria" w:cs="Arial"/>
        </w:rPr>
        <w:t>-</w:t>
      </w:r>
      <w:r w:rsidRPr="009A0DA6">
        <w:rPr>
          <w:rFonts w:ascii="Cambria" w:eastAsia="Arial" w:hAnsi="Cambria" w:cs="Arial"/>
          <w:spacing w:val="-1"/>
        </w:rPr>
        <w:t xml:space="preserve"> </w:t>
      </w:r>
      <w:r w:rsidRPr="009A0DA6">
        <w:rPr>
          <w:rFonts w:ascii="Cambria" w:eastAsia="Arial" w:hAnsi="Cambria" w:cs="Arial"/>
        </w:rPr>
        <w:t>L</w:t>
      </w:r>
      <w:r w:rsidRPr="009A0DA6">
        <w:rPr>
          <w:rFonts w:ascii="Cambria" w:eastAsia="Arial" w:hAnsi="Cambria" w:cs="Arial"/>
          <w:spacing w:val="-1"/>
        </w:rPr>
        <w:t>L</w:t>
      </w:r>
      <w:r w:rsidRPr="009A0DA6">
        <w:rPr>
          <w:rFonts w:ascii="Cambria" w:eastAsia="Arial" w:hAnsi="Cambria" w:cs="Arial"/>
        </w:rPr>
        <w:t>L</w:t>
      </w:r>
      <w:r w:rsidRPr="009A0DA6">
        <w:rPr>
          <w:rFonts w:ascii="Cambria" w:eastAsia="Arial" w:hAnsi="Cambria" w:cs="Arial"/>
        </w:rPr>
        <w:tab/>
        <w:t>2,926</w:t>
      </w:r>
      <w:r w:rsidRPr="009A0DA6">
        <w:rPr>
          <w:rFonts w:ascii="Cambria" w:eastAsia="Arial" w:hAnsi="Cambria" w:cs="Arial"/>
        </w:rPr>
        <w:tab/>
        <w:t>19,890</w:t>
      </w:r>
      <w:r w:rsidRPr="009A0DA6">
        <w:rPr>
          <w:rFonts w:ascii="Cambria" w:eastAsia="Arial" w:hAnsi="Cambria" w:cs="Arial"/>
        </w:rPr>
        <w:tab/>
        <w:t>16,572</w:t>
      </w:r>
    </w:p>
    <w:p w14:paraId="0C0B47F4" w14:textId="77777777" w:rsidR="002E592D" w:rsidRPr="009A0DA6" w:rsidRDefault="002E592D" w:rsidP="002E592D">
      <w:pPr>
        <w:tabs>
          <w:tab w:val="right" w:pos="5954"/>
          <w:tab w:val="right" w:pos="7371"/>
          <w:tab w:val="right" w:pos="8789"/>
        </w:tabs>
        <w:spacing w:before="120" w:after="120" w:line="240" w:lineRule="auto"/>
        <w:ind w:right="-20"/>
        <w:contextualSpacing/>
        <w:rPr>
          <w:rFonts w:ascii="Cambria" w:eastAsia="Arial" w:hAnsi="Cambria" w:cs="Arial"/>
          <w:b/>
          <w:bCs/>
          <w:w w:val="99"/>
        </w:rPr>
      </w:pPr>
      <w:r w:rsidRPr="009A0DA6">
        <w:rPr>
          <w:rFonts w:ascii="Cambria" w:eastAsia="Arial" w:hAnsi="Cambria" w:cs="Arial"/>
        </w:rPr>
        <w:tab/>
      </w:r>
      <w:r w:rsidRPr="009A0DA6">
        <w:rPr>
          <w:rFonts w:ascii="Cambria" w:eastAsia="Arial" w:hAnsi="Cambria" w:cs="Arial"/>
          <w:b/>
          <w:bCs/>
          <w:w w:val="99"/>
        </w:rPr>
        <w:t>70,426</w:t>
      </w:r>
      <w:r w:rsidRPr="009A0DA6">
        <w:rPr>
          <w:rFonts w:ascii="Cambria" w:eastAsia="Arial" w:hAnsi="Cambria" w:cs="Arial"/>
          <w:b/>
          <w:bCs/>
          <w:w w:val="99"/>
        </w:rPr>
        <w:tab/>
        <w:t>67,390</w:t>
      </w:r>
      <w:r w:rsidRPr="009A0DA6">
        <w:rPr>
          <w:rFonts w:ascii="Cambria" w:eastAsia="Arial" w:hAnsi="Cambria" w:cs="Arial"/>
          <w:b/>
          <w:bCs/>
          <w:w w:val="99"/>
        </w:rPr>
        <w:tab/>
        <w:t>81,072</w:t>
      </w:r>
    </w:p>
    <w:p w14:paraId="27D40946" w14:textId="77777777" w:rsidR="002E592D" w:rsidRPr="009A0DA6" w:rsidRDefault="002E592D" w:rsidP="002E592D">
      <w:pPr>
        <w:tabs>
          <w:tab w:val="right" w:pos="5954"/>
          <w:tab w:val="right" w:pos="7371"/>
          <w:tab w:val="right" w:pos="8789"/>
        </w:tabs>
        <w:spacing w:before="120" w:after="120" w:line="240" w:lineRule="auto"/>
        <w:ind w:right="-20"/>
        <w:contextualSpacing/>
        <w:rPr>
          <w:rFonts w:ascii="Cambria" w:eastAsia="Arial" w:hAnsi="Cambria" w:cs="Arial"/>
          <w:b/>
          <w:bCs/>
          <w:spacing w:val="-1"/>
        </w:rPr>
      </w:pPr>
    </w:p>
    <w:p w14:paraId="0C748DA9" w14:textId="77777777" w:rsidR="002E592D" w:rsidRPr="009A0DA6" w:rsidRDefault="002E592D" w:rsidP="002E592D">
      <w:pPr>
        <w:tabs>
          <w:tab w:val="right" w:pos="5954"/>
          <w:tab w:val="right" w:pos="7371"/>
          <w:tab w:val="right" w:pos="8789"/>
        </w:tabs>
        <w:spacing w:before="120" w:after="120" w:line="240" w:lineRule="auto"/>
        <w:ind w:right="-20"/>
        <w:contextualSpacing/>
        <w:rPr>
          <w:rFonts w:ascii="Cambria" w:eastAsia="Arial" w:hAnsi="Cambria" w:cs="Arial"/>
        </w:rPr>
      </w:pPr>
      <w:r w:rsidRPr="009A0DA6">
        <w:rPr>
          <w:rFonts w:ascii="Cambria" w:eastAsia="Arial" w:hAnsi="Cambria" w:cs="Arial"/>
          <w:b/>
          <w:bCs/>
          <w:spacing w:val="-1"/>
        </w:rPr>
        <w:t>C</w:t>
      </w:r>
      <w:r w:rsidRPr="009A0DA6">
        <w:rPr>
          <w:rFonts w:ascii="Cambria" w:eastAsia="Arial" w:hAnsi="Cambria" w:cs="Arial"/>
          <w:b/>
          <w:bCs/>
        </w:rPr>
        <w:t>ar</w:t>
      </w:r>
      <w:r w:rsidRPr="009A0DA6">
        <w:rPr>
          <w:rFonts w:ascii="Cambria" w:eastAsia="Arial" w:hAnsi="Cambria" w:cs="Arial"/>
          <w:b/>
          <w:bCs/>
          <w:spacing w:val="1"/>
        </w:rPr>
        <w:t xml:space="preserve"> G</w:t>
      </w:r>
      <w:r w:rsidRPr="009A0DA6">
        <w:rPr>
          <w:rFonts w:ascii="Cambria" w:eastAsia="Arial" w:hAnsi="Cambria" w:cs="Arial"/>
          <w:b/>
          <w:bCs/>
        </w:rPr>
        <w:t>rants</w:t>
      </w:r>
      <w:r w:rsidRPr="009A0DA6">
        <w:rPr>
          <w:rFonts w:ascii="Cambria" w:eastAsia="Arial" w:hAnsi="Cambria" w:cs="Arial"/>
          <w:b/>
          <w:bCs/>
          <w:spacing w:val="1"/>
        </w:rPr>
        <w:t xml:space="preserve"> </w:t>
      </w:r>
      <w:r w:rsidRPr="009A0DA6">
        <w:rPr>
          <w:rFonts w:ascii="Cambria" w:eastAsia="Arial" w:hAnsi="Cambria" w:cs="Arial"/>
          <w:b/>
          <w:bCs/>
        </w:rPr>
        <w:t>p</w:t>
      </w:r>
      <w:r w:rsidRPr="009A0DA6">
        <w:rPr>
          <w:rFonts w:ascii="Cambria" w:eastAsia="Arial" w:hAnsi="Cambria" w:cs="Arial"/>
          <w:b/>
          <w:bCs/>
          <w:spacing w:val="-1"/>
        </w:rPr>
        <w:t>a</w:t>
      </w:r>
      <w:r w:rsidRPr="009A0DA6">
        <w:rPr>
          <w:rFonts w:ascii="Cambria" w:eastAsia="Arial" w:hAnsi="Cambria" w:cs="Arial"/>
          <w:b/>
          <w:bCs/>
          <w:spacing w:val="1"/>
        </w:rPr>
        <w:t>i</w:t>
      </w:r>
      <w:r w:rsidRPr="009A0DA6">
        <w:rPr>
          <w:rFonts w:ascii="Cambria" w:eastAsia="Arial" w:hAnsi="Cambria" w:cs="Arial"/>
          <w:b/>
          <w:bCs/>
        </w:rPr>
        <w:t xml:space="preserve">d </w:t>
      </w:r>
      <w:r w:rsidRPr="009A0DA6">
        <w:rPr>
          <w:rFonts w:ascii="Cambria" w:eastAsia="Arial" w:hAnsi="Cambria" w:cs="Arial"/>
          <w:b/>
          <w:bCs/>
          <w:spacing w:val="1"/>
        </w:rPr>
        <w:t>f</w:t>
      </w:r>
      <w:r w:rsidRPr="009A0DA6">
        <w:rPr>
          <w:rFonts w:ascii="Cambria" w:eastAsia="Arial" w:hAnsi="Cambria" w:cs="Arial"/>
          <w:b/>
          <w:bCs/>
        </w:rPr>
        <w:t>or</w:t>
      </w:r>
      <w:r w:rsidRPr="009A0DA6">
        <w:rPr>
          <w:rFonts w:ascii="Cambria" w:eastAsia="Arial" w:hAnsi="Cambria" w:cs="Arial"/>
          <w:b/>
          <w:bCs/>
          <w:spacing w:val="1"/>
        </w:rPr>
        <w:t xml:space="preserve"> t</w:t>
      </w:r>
      <w:r w:rsidRPr="009A0DA6">
        <w:rPr>
          <w:rFonts w:ascii="Cambria" w:eastAsia="Arial" w:hAnsi="Cambria" w:cs="Arial"/>
          <w:b/>
          <w:bCs/>
        </w:rPr>
        <w:t>he p</w:t>
      </w:r>
      <w:r w:rsidRPr="009A0DA6">
        <w:rPr>
          <w:rFonts w:ascii="Cambria" w:eastAsia="Arial" w:hAnsi="Cambria" w:cs="Arial"/>
          <w:b/>
          <w:bCs/>
          <w:spacing w:val="-1"/>
        </w:rPr>
        <w:t>e</w:t>
      </w:r>
      <w:r w:rsidRPr="009A0DA6">
        <w:rPr>
          <w:rFonts w:ascii="Cambria" w:eastAsia="Arial" w:hAnsi="Cambria" w:cs="Arial"/>
          <w:b/>
          <w:bCs/>
        </w:rPr>
        <w:t>r</w:t>
      </w:r>
      <w:r w:rsidRPr="009A0DA6">
        <w:rPr>
          <w:rFonts w:ascii="Cambria" w:eastAsia="Arial" w:hAnsi="Cambria" w:cs="Arial"/>
          <w:b/>
          <w:bCs/>
          <w:spacing w:val="1"/>
        </w:rPr>
        <w:t>i</w:t>
      </w:r>
      <w:r w:rsidRPr="009A0DA6">
        <w:rPr>
          <w:rFonts w:ascii="Cambria" w:eastAsia="Arial" w:hAnsi="Cambria" w:cs="Arial"/>
          <w:b/>
          <w:bCs/>
        </w:rPr>
        <w:t>od</w:t>
      </w:r>
    </w:p>
    <w:p w14:paraId="6E6B4DF4" w14:textId="77777777" w:rsidR="002E592D" w:rsidRPr="009A0DA6" w:rsidRDefault="002E592D" w:rsidP="002E592D">
      <w:pPr>
        <w:tabs>
          <w:tab w:val="right" w:pos="5954"/>
          <w:tab w:val="right" w:pos="7371"/>
          <w:tab w:val="right" w:pos="8789"/>
        </w:tabs>
        <w:spacing w:before="120" w:after="120" w:line="240" w:lineRule="auto"/>
        <w:ind w:right="-20"/>
        <w:contextualSpacing/>
        <w:rPr>
          <w:rFonts w:ascii="Cambria" w:eastAsia="Arial" w:hAnsi="Cambria" w:cs="Arial"/>
        </w:rPr>
      </w:pPr>
      <w:r w:rsidRPr="009A0DA6">
        <w:rPr>
          <w:rFonts w:ascii="Cambria" w:eastAsia="Arial" w:hAnsi="Cambria" w:cs="Arial"/>
        </w:rPr>
        <w:t>Rev</w:t>
      </w:r>
      <w:r w:rsidRPr="009A0DA6">
        <w:rPr>
          <w:rFonts w:ascii="Cambria" w:eastAsia="Arial" w:hAnsi="Cambria" w:cs="Arial"/>
          <w:spacing w:val="-6"/>
        </w:rPr>
        <w:t xml:space="preserve"> </w:t>
      </w:r>
      <w:r w:rsidRPr="009A0DA6">
        <w:rPr>
          <w:rFonts w:ascii="Cambria" w:eastAsia="Arial" w:hAnsi="Cambria" w:cs="Arial"/>
        </w:rPr>
        <w:t>N</w:t>
      </w:r>
      <w:r w:rsidRPr="009A0DA6">
        <w:rPr>
          <w:rFonts w:ascii="Cambria" w:eastAsia="Arial" w:hAnsi="Cambria" w:cs="Arial"/>
          <w:spacing w:val="-1"/>
        </w:rPr>
        <w:t xml:space="preserve"> Ki</w:t>
      </w:r>
      <w:r w:rsidRPr="009A0DA6">
        <w:rPr>
          <w:rFonts w:ascii="Cambria" w:eastAsia="Arial" w:hAnsi="Cambria" w:cs="Arial"/>
        </w:rPr>
        <w:t>t</w:t>
      </w:r>
      <w:r w:rsidRPr="009A0DA6">
        <w:rPr>
          <w:rFonts w:ascii="Cambria" w:eastAsia="Arial" w:hAnsi="Cambria" w:cs="Arial"/>
          <w:spacing w:val="1"/>
        </w:rPr>
        <w:t>c</w:t>
      </w:r>
      <w:r w:rsidRPr="009A0DA6">
        <w:rPr>
          <w:rFonts w:ascii="Cambria" w:eastAsia="Arial" w:hAnsi="Cambria" w:cs="Arial"/>
        </w:rPr>
        <w:t>h</w:t>
      </w:r>
      <w:r w:rsidRPr="009A0DA6">
        <w:rPr>
          <w:rFonts w:ascii="Cambria" w:eastAsia="Arial" w:hAnsi="Cambria" w:cs="Arial"/>
          <w:spacing w:val="-1"/>
        </w:rPr>
        <w:t>e</w:t>
      </w:r>
      <w:r w:rsidRPr="009A0DA6">
        <w:rPr>
          <w:rFonts w:ascii="Cambria" w:eastAsia="Arial" w:hAnsi="Cambria" w:cs="Arial"/>
        </w:rPr>
        <w:t>n</w:t>
      </w:r>
      <w:r w:rsidRPr="009A0DA6">
        <w:rPr>
          <w:rFonts w:ascii="Cambria" w:eastAsia="Arial" w:hAnsi="Cambria" w:cs="Arial"/>
        </w:rPr>
        <w:tab/>
        <w:t>10,000</w:t>
      </w:r>
    </w:p>
    <w:p w14:paraId="259A875F" w14:textId="77777777" w:rsidR="002E592D" w:rsidRPr="009A0DA6" w:rsidRDefault="002E592D" w:rsidP="002E592D">
      <w:pPr>
        <w:tabs>
          <w:tab w:val="right" w:pos="5954"/>
          <w:tab w:val="right" w:pos="7371"/>
          <w:tab w:val="right" w:pos="8789"/>
        </w:tabs>
        <w:spacing w:before="120" w:after="120" w:line="240" w:lineRule="auto"/>
        <w:ind w:right="-20"/>
        <w:contextualSpacing/>
        <w:rPr>
          <w:rFonts w:ascii="Cambria" w:eastAsia="Arial" w:hAnsi="Cambria" w:cs="Arial"/>
        </w:rPr>
      </w:pPr>
      <w:r w:rsidRPr="009A0DA6">
        <w:rPr>
          <w:rFonts w:ascii="Cambria" w:eastAsia="Arial" w:hAnsi="Cambria" w:cs="Arial"/>
        </w:rPr>
        <w:t>Rev</w:t>
      </w:r>
      <w:r w:rsidRPr="009A0DA6">
        <w:rPr>
          <w:rFonts w:ascii="Cambria" w:eastAsia="Arial" w:hAnsi="Cambria" w:cs="Arial"/>
          <w:spacing w:val="-6"/>
        </w:rPr>
        <w:t xml:space="preserve"> </w:t>
      </w:r>
      <w:r w:rsidRPr="009A0DA6">
        <w:rPr>
          <w:rFonts w:ascii="Cambria" w:eastAsia="Arial" w:hAnsi="Cambria" w:cs="Arial"/>
        </w:rPr>
        <w:t xml:space="preserve">J </w:t>
      </w:r>
      <w:r w:rsidRPr="009A0DA6">
        <w:rPr>
          <w:rFonts w:ascii="Cambria" w:eastAsia="Arial" w:hAnsi="Cambria" w:cs="Arial"/>
          <w:spacing w:val="-1"/>
        </w:rPr>
        <w:t>K</w:t>
      </w:r>
      <w:r w:rsidRPr="009A0DA6">
        <w:rPr>
          <w:rFonts w:ascii="Cambria" w:eastAsia="Arial" w:hAnsi="Cambria" w:cs="Arial"/>
        </w:rPr>
        <w:t>u</w:t>
      </w:r>
      <w:r w:rsidRPr="009A0DA6">
        <w:rPr>
          <w:rFonts w:ascii="Cambria" w:eastAsia="Arial" w:hAnsi="Cambria" w:cs="Arial"/>
          <w:spacing w:val="3"/>
        </w:rPr>
        <w:t>k</w:t>
      </w:r>
      <w:r w:rsidRPr="009A0DA6">
        <w:rPr>
          <w:rFonts w:ascii="Cambria" w:eastAsia="Arial" w:hAnsi="Cambria" w:cs="Arial"/>
        </w:rPr>
        <w:t>at</w:t>
      </w:r>
      <w:r w:rsidRPr="009A0DA6">
        <w:rPr>
          <w:rFonts w:ascii="Cambria" w:eastAsia="Arial" w:hAnsi="Cambria" w:cs="Arial"/>
          <w:spacing w:val="-2"/>
        </w:rPr>
        <w:t>l</w:t>
      </w:r>
      <w:r w:rsidRPr="009A0DA6">
        <w:rPr>
          <w:rFonts w:ascii="Cambria" w:eastAsia="Arial" w:hAnsi="Cambria" w:cs="Arial"/>
        </w:rPr>
        <w:t>a</w:t>
      </w:r>
      <w:r w:rsidRPr="009A0DA6">
        <w:rPr>
          <w:rFonts w:ascii="Cambria" w:eastAsia="Arial" w:hAnsi="Cambria" w:cs="Arial"/>
          <w:spacing w:val="-1"/>
        </w:rPr>
        <w:t>p</w:t>
      </w:r>
      <w:r w:rsidRPr="009A0DA6">
        <w:rPr>
          <w:rFonts w:ascii="Cambria" w:eastAsia="Arial" w:hAnsi="Cambria" w:cs="Arial"/>
        </w:rPr>
        <w:t>a</w:t>
      </w:r>
      <w:r w:rsidRPr="009A0DA6">
        <w:rPr>
          <w:rFonts w:ascii="Cambria" w:eastAsia="Arial" w:hAnsi="Cambria" w:cs="Arial"/>
          <w:spacing w:val="-1"/>
        </w:rPr>
        <w:t>ll</w:t>
      </w:r>
      <w:r w:rsidRPr="009A0DA6">
        <w:rPr>
          <w:rFonts w:ascii="Cambria" w:eastAsia="Arial" w:hAnsi="Cambria" w:cs="Arial"/>
        </w:rPr>
        <w:t>i</w:t>
      </w:r>
      <w:r w:rsidRPr="009A0DA6">
        <w:rPr>
          <w:rFonts w:ascii="Cambria" w:eastAsia="Arial" w:hAnsi="Cambria" w:cs="Arial"/>
        </w:rPr>
        <w:tab/>
        <w:t>10,000</w:t>
      </w:r>
    </w:p>
    <w:p w14:paraId="3448198F" w14:textId="7939B74F" w:rsidR="002E592D" w:rsidRPr="009A0DA6" w:rsidRDefault="002E592D" w:rsidP="002E592D">
      <w:pPr>
        <w:tabs>
          <w:tab w:val="right" w:pos="5954"/>
          <w:tab w:val="right" w:pos="7371"/>
          <w:tab w:val="right" w:pos="8789"/>
        </w:tabs>
        <w:spacing w:before="120" w:after="120" w:line="240" w:lineRule="auto"/>
        <w:ind w:right="-20"/>
        <w:contextualSpacing/>
        <w:rPr>
          <w:rFonts w:ascii="Cambria" w:eastAsia="Arial" w:hAnsi="Cambria" w:cs="Arial"/>
        </w:rPr>
      </w:pPr>
      <w:r w:rsidRPr="009A0DA6">
        <w:rPr>
          <w:rFonts w:ascii="Cambria" w:eastAsia="Arial" w:hAnsi="Cambria" w:cs="Arial"/>
        </w:rPr>
        <w:t>Rev</w:t>
      </w:r>
      <w:r w:rsidRPr="009A0DA6">
        <w:rPr>
          <w:rFonts w:ascii="Cambria" w:eastAsia="Arial" w:hAnsi="Cambria" w:cs="Arial"/>
          <w:spacing w:val="-6"/>
        </w:rPr>
        <w:t xml:space="preserve"> </w:t>
      </w:r>
      <w:r w:rsidRPr="009A0DA6">
        <w:rPr>
          <w:rFonts w:ascii="Cambria" w:eastAsia="Arial" w:hAnsi="Cambria" w:cs="Arial"/>
        </w:rPr>
        <w:t>L</w:t>
      </w:r>
      <w:r w:rsidRPr="009A0DA6">
        <w:rPr>
          <w:rFonts w:ascii="Cambria" w:eastAsia="Arial" w:hAnsi="Cambria" w:cs="Arial"/>
          <w:spacing w:val="-2"/>
        </w:rPr>
        <w:t xml:space="preserve"> </w:t>
      </w:r>
      <w:r w:rsidRPr="009A0DA6">
        <w:rPr>
          <w:rFonts w:ascii="Cambria" w:eastAsia="Arial" w:hAnsi="Cambria" w:cs="Arial"/>
          <w:spacing w:val="1"/>
        </w:rPr>
        <w:t>Gr</w:t>
      </w:r>
      <w:r w:rsidRPr="009A0DA6">
        <w:rPr>
          <w:rFonts w:ascii="Cambria" w:eastAsia="Arial" w:hAnsi="Cambria" w:cs="Arial"/>
        </w:rPr>
        <w:t>a</w:t>
      </w:r>
      <w:r w:rsidRPr="009A0DA6">
        <w:rPr>
          <w:rFonts w:ascii="Cambria" w:eastAsia="Arial" w:hAnsi="Cambria" w:cs="Arial"/>
          <w:spacing w:val="-1"/>
        </w:rPr>
        <w:t>h</w:t>
      </w:r>
      <w:r w:rsidR="00AD7835">
        <w:rPr>
          <w:rFonts w:ascii="Cambria" w:eastAsia="Arial" w:hAnsi="Cambria" w:cs="Arial"/>
        </w:rPr>
        <w:t>am</w:t>
      </w:r>
      <w:r w:rsidR="00AD7835">
        <w:rPr>
          <w:rFonts w:ascii="Cambria" w:eastAsia="Arial" w:hAnsi="Cambria" w:cs="Arial"/>
        </w:rPr>
        <w:tab/>
        <w:t>10,000</w:t>
      </w:r>
    </w:p>
    <w:p w14:paraId="4D0958D1" w14:textId="77777777" w:rsidR="002E592D" w:rsidRPr="009A0DA6" w:rsidRDefault="002E592D" w:rsidP="002E592D">
      <w:pPr>
        <w:tabs>
          <w:tab w:val="right" w:pos="5954"/>
          <w:tab w:val="right" w:pos="7371"/>
          <w:tab w:val="right" w:pos="8789"/>
        </w:tabs>
        <w:spacing w:before="120" w:after="120" w:line="240" w:lineRule="auto"/>
        <w:ind w:right="-20"/>
        <w:contextualSpacing/>
        <w:rPr>
          <w:rFonts w:ascii="Cambria" w:eastAsia="Arial" w:hAnsi="Cambria" w:cs="Arial"/>
        </w:rPr>
      </w:pPr>
      <w:r w:rsidRPr="009A0DA6">
        <w:rPr>
          <w:rFonts w:ascii="Cambria" w:eastAsia="Arial" w:hAnsi="Cambria" w:cs="Arial"/>
        </w:rPr>
        <w:t>Rev</w:t>
      </w:r>
      <w:r w:rsidRPr="009A0DA6">
        <w:rPr>
          <w:rFonts w:ascii="Cambria" w:eastAsia="Arial" w:hAnsi="Cambria" w:cs="Arial"/>
          <w:spacing w:val="-6"/>
        </w:rPr>
        <w:t xml:space="preserve"> </w:t>
      </w:r>
      <w:r w:rsidRPr="009A0DA6">
        <w:rPr>
          <w:rFonts w:ascii="Cambria" w:eastAsia="Arial" w:hAnsi="Cambria" w:cs="Arial"/>
        </w:rPr>
        <w:t xml:space="preserve">J </w:t>
      </w:r>
      <w:r w:rsidRPr="009A0DA6">
        <w:rPr>
          <w:rFonts w:ascii="Cambria" w:eastAsia="Arial" w:hAnsi="Cambria" w:cs="Arial"/>
          <w:spacing w:val="-1"/>
        </w:rPr>
        <w:t>P</w:t>
      </w:r>
      <w:r w:rsidRPr="009A0DA6">
        <w:rPr>
          <w:rFonts w:ascii="Cambria" w:eastAsia="Arial" w:hAnsi="Cambria" w:cs="Arial"/>
        </w:rPr>
        <w:t>o</w:t>
      </w:r>
      <w:r w:rsidRPr="009A0DA6">
        <w:rPr>
          <w:rFonts w:ascii="Cambria" w:eastAsia="Arial" w:hAnsi="Cambria" w:cs="Arial"/>
          <w:spacing w:val="3"/>
        </w:rPr>
        <w:t>k</w:t>
      </w:r>
      <w:r w:rsidRPr="009A0DA6">
        <w:rPr>
          <w:rFonts w:ascii="Cambria" w:eastAsia="Arial" w:hAnsi="Cambria" w:cs="Arial"/>
        </w:rPr>
        <w:t>e</w:t>
      </w:r>
      <w:r w:rsidRPr="009A0DA6">
        <w:rPr>
          <w:rFonts w:ascii="Cambria" w:eastAsia="Arial" w:hAnsi="Cambria" w:cs="Arial"/>
          <w:spacing w:val="-1"/>
        </w:rPr>
        <w:t>l</w:t>
      </w:r>
      <w:r w:rsidRPr="009A0DA6">
        <w:rPr>
          <w:rFonts w:ascii="Cambria" w:eastAsia="Arial" w:hAnsi="Cambria" w:cs="Arial"/>
        </w:rPr>
        <w:t>a</w:t>
      </w:r>
      <w:r w:rsidRPr="009A0DA6">
        <w:rPr>
          <w:rFonts w:ascii="Cambria" w:eastAsia="Arial" w:hAnsi="Cambria" w:cs="Arial"/>
        </w:rPr>
        <w:tab/>
        <w:t>5,000</w:t>
      </w:r>
    </w:p>
    <w:p w14:paraId="7AA129E8" w14:textId="77777777" w:rsidR="002E592D" w:rsidRPr="009A0DA6" w:rsidRDefault="002E592D" w:rsidP="002E592D">
      <w:pPr>
        <w:tabs>
          <w:tab w:val="right" w:pos="5954"/>
          <w:tab w:val="right" w:pos="7371"/>
          <w:tab w:val="right" w:pos="8789"/>
        </w:tabs>
        <w:spacing w:before="120" w:after="120" w:line="240" w:lineRule="auto"/>
        <w:ind w:right="-20"/>
        <w:contextualSpacing/>
        <w:rPr>
          <w:rFonts w:ascii="Cambria" w:eastAsia="Arial" w:hAnsi="Cambria" w:cs="Arial"/>
        </w:rPr>
      </w:pPr>
      <w:r w:rsidRPr="009A0DA6">
        <w:rPr>
          <w:rFonts w:ascii="Cambria" w:eastAsia="Arial" w:hAnsi="Cambria" w:cs="Arial"/>
        </w:rPr>
        <w:t>Rev</w:t>
      </w:r>
      <w:r w:rsidRPr="009A0DA6">
        <w:rPr>
          <w:rFonts w:ascii="Cambria" w:eastAsia="Arial" w:hAnsi="Cambria" w:cs="Arial"/>
          <w:spacing w:val="-6"/>
        </w:rPr>
        <w:t xml:space="preserve"> </w:t>
      </w:r>
      <w:r w:rsidRPr="009A0DA6">
        <w:rPr>
          <w:rFonts w:ascii="Cambria" w:eastAsia="Arial" w:hAnsi="Cambria" w:cs="Arial"/>
        </w:rPr>
        <w:t>E</w:t>
      </w:r>
      <w:r w:rsidRPr="009A0DA6">
        <w:rPr>
          <w:rFonts w:ascii="Cambria" w:eastAsia="Arial" w:hAnsi="Cambria" w:cs="Arial"/>
          <w:spacing w:val="-2"/>
        </w:rPr>
        <w:t xml:space="preserve"> </w:t>
      </w:r>
      <w:r w:rsidRPr="009A0DA6">
        <w:rPr>
          <w:rFonts w:ascii="Cambria" w:eastAsia="Arial" w:hAnsi="Cambria" w:cs="Arial"/>
          <w:spacing w:val="-1"/>
        </w:rPr>
        <w:t>B</w:t>
      </w:r>
      <w:r w:rsidRPr="009A0DA6">
        <w:rPr>
          <w:rFonts w:ascii="Cambria" w:eastAsia="Arial" w:hAnsi="Cambria" w:cs="Arial"/>
          <w:spacing w:val="1"/>
        </w:rPr>
        <w:t>r</w:t>
      </w:r>
      <w:r w:rsidRPr="009A0DA6">
        <w:rPr>
          <w:rFonts w:ascii="Cambria" w:eastAsia="Arial" w:hAnsi="Cambria" w:cs="Arial"/>
        </w:rPr>
        <w:t>a</w:t>
      </w:r>
      <w:r w:rsidRPr="009A0DA6">
        <w:rPr>
          <w:rFonts w:ascii="Cambria" w:eastAsia="Arial" w:hAnsi="Cambria" w:cs="Arial"/>
          <w:spacing w:val="-1"/>
        </w:rPr>
        <w:t>u</w:t>
      </w:r>
      <w:r w:rsidRPr="009A0DA6">
        <w:rPr>
          <w:rFonts w:ascii="Cambria" w:eastAsia="Arial" w:hAnsi="Cambria" w:cs="Arial"/>
        </w:rPr>
        <w:t>n</w:t>
      </w:r>
      <w:r w:rsidRPr="009A0DA6">
        <w:rPr>
          <w:rFonts w:ascii="Cambria" w:eastAsia="Arial" w:hAnsi="Cambria" w:cs="Arial"/>
          <w:spacing w:val="-1"/>
        </w:rPr>
        <w:t>a</w:t>
      </w:r>
      <w:r w:rsidRPr="009A0DA6">
        <w:rPr>
          <w:rFonts w:ascii="Cambria" w:eastAsia="Arial" w:hAnsi="Cambria" w:cs="Arial"/>
          <w:spacing w:val="1"/>
        </w:rPr>
        <w:t>c</w:t>
      </w:r>
      <w:r w:rsidRPr="009A0DA6">
        <w:rPr>
          <w:rFonts w:ascii="Cambria" w:eastAsia="Arial" w:hAnsi="Cambria" w:cs="Arial"/>
          <w:spacing w:val="3"/>
        </w:rPr>
        <w:t>k</w:t>
      </w:r>
      <w:r w:rsidRPr="009A0DA6">
        <w:rPr>
          <w:rFonts w:ascii="Cambria" w:eastAsia="Arial" w:hAnsi="Cambria" w:cs="Arial"/>
          <w:spacing w:val="1"/>
        </w:rPr>
        <w:t>-</w:t>
      </w:r>
      <w:r w:rsidRPr="009A0DA6">
        <w:rPr>
          <w:rFonts w:ascii="Cambria" w:eastAsia="Arial" w:hAnsi="Cambria" w:cs="Arial"/>
        </w:rPr>
        <w:t>M</w:t>
      </w:r>
      <w:r w:rsidRPr="009A0DA6">
        <w:rPr>
          <w:rFonts w:ascii="Cambria" w:eastAsia="Arial" w:hAnsi="Cambria" w:cs="Arial"/>
          <w:spacing w:val="-1"/>
        </w:rPr>
        <w:t>a</w:t>
      </w:r>
      <w:r w:rsidRPr="009A0DA6">
        <w:rPr>
          <w:rFonts w:ascii="Cambria" w:eastAsia="Arial" w:hAnsi="Cambria" w:cs="Arial"/>
          <w:spacing w:val="-6"/>
        </w:rPr>
        <w:t>y</w:t>
      </w:r>
      <w:r w:rsidRPr="009A0DA6">
        <w:rPr>
          <w:rFonts w:ascii="Cambria" w:eastAsia="Arial" w:hAnsi="Cambria" w:cs="Arial"/>
        </w:rPr>
        <w:t>er</w:t>
      </w:r>
      <w:r w:rsidRPr="009A0DA6">
        <w:rPr>
          <w:rFonts w:ascii="Cambria" w:eastAsia="Arial" w:hAnsi="Cambria" w:cs="Arial"/>
        </w:rPr>
        <w:tab/>
        <w:t>4,500</w:t>
      </w:r>
    </w:p>
    <w:p w14:paraId="13D19D46" w14:textId="609C52B4" w:rsidR="002E592D" w:rsidRPr="009A0DA6" w:rsidRDefault="002E592D" w:rsidP="002E592D">
      <w:pPr>
        <w:tabs>
          <w:tab w:val="right" w:pos="5954"/>
          <w:tab w:val="right" w:pos="7371"/>
          <w:tab w:val="right" w:pos="8789"/>
        </w:tabs>
        <w:spacing w:before="120" w:after="120" w:line="240" w:lineRule="auto"/>
        <w:ind w:right="-20"/>
        <w:contextualSpacing/>
        <w:rPr>
          <w:rFonts w:ascii="Cambria" w:eastAsia="Arial" w:hAnsi="Cambria" w:cs="Arial"/>
        </w:rPr>
      </w:pPr>
      <w:r w:rsidRPr="009A0DA6">
        <w:rPr>
          <w:rFonts w:ascii="Cambria" w:eastAsia="Arial" w:hAnsi="Cambria" w:cs="Arial"/>
        </w:rPr>
        <w:t>Rev</w:t>
      </w:r>
      <w:r w:rsidR="0015713F">
        <w:rPr>
          <w:rFonts w:ascii="Cambria" w:eastAsia="Arial" w:hAnsi="Cambria" w:cs="Arial"/>
          <w:spacing w:val="50"/>
        </w:rPr>
        <w:t xml:space="preserve"> C</w:t>
      </w:r>
      <w:r w:rsidRPr="009A0DA6">
        <w:rPr>
          <w:rFonts w:ascii="Cambria" w:eastAsia="Arial" w:hAnsi="Cambria" w:cs="Arial"/>
          <w:spacing w:val="-1"/>
        </w:rPr>
        <w:t>Si</w:t>
      </w:r>
      <w:r w:rsidRPr="009A0DA6">
        <w:rPr>
          <w:rFonts w:ascii="Cambria" w:eastAsia="Arial" w:hAnsi="Cambria" w:cs="Arial"/>
          <w:spacing w:val="4"/>
        </w:rPr>
        <w:t>m</w:t>
      </w:r>
      <w:r w:rsidRPr="009A0DA6">
        <w:rPr>
          <w:rFonts w:ascii="Cambria" w:eastAsia="Arial" w:hAnsi="Cambria" w:cs="Arial"/>
        </w:rPr>
        <w:t>p</w:t>
      </w:r>
      <w:r w:rsidRPr="009A0DA6">
        <w:rPr>
          <w:rFonts w:ascii="Cambria" w:eastAsia="Arial" w:hAnsi="Cambria" w:cs="Arial"/>
          <w:spacing w:val="3"/>
        </w:rPr>
        <w:t>k</w:t>
      </w:r>
      <w:r w:rsidRPr="009A0DA6">
        <w:rPr>
          <w:rFonts w:ascii="Cambria" w:eastAsia="Arial" w:hAnsi="Cambria" w:cs="Arial"/>
          <w:spacing w:val="-1"/>
        </w:rPr>
        <w:t>i</w:t>
      </w:r>
      <w:r w:rsidRPr="009A0DA6">
        <w:rPr>
          <w:rFonts w:ascii="Cambria" w:eastAsia="Arial" w:hAnsi="Cambria" w:cs="Arial"/>
        </w:rPr>
        <w:t>n</w:t>
      </w:r>
      <w:r w:rsidRPr="009A0DA6">
        <w:rPr>
          <w:rFonts w:ascii="Cambria" w:eastAsia="Arial" w:hAnsi="Cambria" w:cs="Arial"/>
        </w:rPr>
        <w:tab/>
        <w:t>5,000</w:t>
      </w:r>
    </w:p>
    <w:p w14:paraId="6B8B40CC" w14:textId="77777777" w:rsidR="002E592D" w:rsidRPr="009A0DA6" w:rsidRDefault="002E592D" w:rsidP="002E592D">
      <w:pPr>
        <w:tabs>
          <w:tab w:val="right" w:pos="5954"/>
          <w:tab w:val="right" w:pos="7371"/>
          <w:tab w:val="right" w:pos="8789"/>
        </w:tabs>
        <w:spacing w:before="120" w:after="120" w:line="240" w:lineRule="auto"/>
        <w:ind w:right="-20"/>
        <w:contextualSpacing/>
        <w:rPr>
          <w:rFonts w:ascii="Cambria" w:eastAsia="Arial" w:hAnsi="Cambria" w:cs="Arial"/>
        </w:rPr>
      </w:pPr>
      <w:r w:rsidRPr="009A0DA6">
        <w:rPr>
          <w:rFonts w:ascii="Cambria" w:eastAsia="Arial" w:hAnsi="Cambria" w:cs="Arial"/>
        </w:rPr>
        <w:t>Rev</w:t>
      </w:r>
      <w:r w:rsidRPr="009A0DA6">
        <w:rPr>
          <w:rFonts w:ascii="Cambria" w:eastAsia="Arial" w:hAnsi="Cambria" w:cs="Arial"/>
          <w:spacing w:val="-6"/>
        </w:rPr>
        <w:t xml:space="preserve"> </w:t>
      </w:r>
      <w:r w:rsidRPr="009A0DA6">
        <w:rPr>
          <w:rFonts w:ascii="Cambria" w:eastAsia="Arial" w:hAnsi="Cambria" w:cs="Arial"/>
        </w:rPr>
        <w:t>M</w:t>
      </w:r>
      <w:r w:rsidRPr="009A0DA6">
        <w:rPr>
          <w:rFonts w:ascii="Cambria" w:eastAsia="Arial" w:hAnsi="Cambria" w:cs="Arial"/>
          <w:spacing w:val="-3"/>
        </w:rPr>
        <w:t xml:space="preserve"> </w:t>
      </w:r>
      <w:r w:rsidRPr="009A0DA6">
        <w:rPr>
          <w:rFonts w:ascii="Cambria" w:eastAsia="Arial" w:hAnsi="Cambria" w:cs="Arial"/>
          <w:spacing w:val="-1"/>
        </w:rPr>
        <w:t>Bi</w:t>
      </w:r>
      <w:r w:rsidRPr="009A0DA6">
        <w:rPr>
          <w:rFonts w:ascii="Cambria" w:eastAsia="Arial" w:hAnsi="Cambria" w:cs="Arial"/>
          <w:spacing w:val="1"/>
        </w:rPr>
        <w:t>s</w:t>
      </w:r>
      <w:r w:rsidRPr="009A0DA6">
        <w:rPr>
          <w:rFonts w:ascii="Cambria" w:eastAsia="Arial" w:hAnsi="Cambria" w:cs="Arial"/>
        </w:rPr>
        <w:t>h</w:t>
      </w:r>
      <w:r w:rsidRPr="009A0DA6">
        <w:rPr>
          <w:rFonts w:ascii="Cambria" w:eastAsia="Arial" w:hAnsi="Cambria" w:cs="Arial"/>
          <w:spacing w:val="-1"/>
        </w:rPr>
        <w:t>o</w:t>
      </w:r>
      <w:r w:rsidRPr="009A0DA6">
        <w:rPr>
          <w:rFonts w:ascii="Cambria" w:eastAsia="Arial" w:hAnsi="Cambria" w:cs="Arial"/>
        </w:rPr>
        <w:t>p</w:t>
      </w:r>
      <w:r w:rsidRPr="009A0DA6">
        <w:rPr>
          <w:rFonts w:ascii="Cambria" w:eastAsia="Arial" w:hAnsi="Cambria" w:cs="Arial"/>
        </w:rPr>
        <w:tab/>
        <w:t>10,000</w:t>
      </w:r>
    </w:p>
    <w:p w14:paraId="5841BF0E" w14:textId="77777777" w:rsidR="002E592D" w:rsidRPr="009A0DA6" w:rsidRDefault="002E592D" w:rsidP="002E592D">
      <w:pPr>
        <w:tabs>
          <w:tab w:val="right" w:pos="5954"/>
          <w:tab w:val="right" w:pos="7371"/>
          <w:tab w:val="right" w:pos="8789"/>
        </w:tabs>
        <w:spacing w:before="120" w:after="120" w:line="240" w:lineRule="auto"/>
        <w:ind w:right="-20"/>
        <w:contextualSpacing/>
        <w:rPr>
          <w:rFonts w:ascii="Cambria" w:eastAsia="Arial" w:hAnsi="Cambria" w:cs="Arial"/>
        </w:rPr>
      </w:pPr>
      <w:r w:rsidRPr="009A0DA6">
        <w:rPr>
          <w:rFonts w:ascii="Cambria" w:eastAsia="Arial" w:hAnsi="Cambria" w:cs="Arial"/>
        </w:rPr>
        <w:t>Rev</w:t>
      </w:r>
      <w:r w:rsidRPr="009A0DA6">
        <w:rPr>
          <w:rFonts w:ascii="Cambria" w:eastAsia="Arial" w:hAnsi="Cambria" w:cs="Arial"/>
          <w:spacing w:val="-6"/>
        </w:rPr>
        <w:t xml:space="preserve"> </w:t>
      </w:r>
      <w:r w:rsidRPr="009A0DA6">
        <w:rPr>
          <w:rFonts w:ascii="Cambria" w:eastAsia="Arial" w:hAnsi="Cambria" w:cs="Arial"/>
        </w:rPr>
        <w:t>G</w:t>
      </w:r>
      <w:r w:rsidRPr="009A0DA6">
        <w:rPr>
          <w:rFonts w:ascii="Cambria" w:eastAsia="Arial" w:hAnsi="Cambria" w:cs="Arial"/>
          <w:spacing w:val="-2"/>
        </w:rPr>
        <w:t xml:space="preserve"> </w:t>
      </w:r>
      <w:r w:rsidRPr="009A0DA6">
        <w:rPr>
          <w:rFonts w:ascii="Cambria" w:eastAsia="Arial" w:hAnsi="Cambria" w:cs="Arial"/>
          <w:spacing w:val="-1"/>
        </w:rPr>
        <w:t>S</w:t>
      </w:r>
      <w:r w:rsidRPr="009A0DA6">
        <w:rPr>
          <w:rFonts w:ascii="Cambria" w:eastAsia="Arial" w:hAnsi="Cambria" w:cs="Arial"/>
          <w:spacing w:val="1"/>
        </w:rPr>
        <w:t>c</w:t>
      </w:r>
      <w:r w:rsidRPr="009A0DA6">
        <w:rPr>
          <w:rFonts w:ascii="Cambria" w:eastAsia="Arial" w:hAnsi="Cambria" w:cs="Arial"/>
        </w:rPr>
        <w:t>h</w:t>
      </w:r>
      <w:r w:rsidRPr="009A0DA6">
        <w:rPr>
          <w:rFonts w:ascii="Cambria" w:eastAsia="Arial" w:hAnsi="Cambria" w:cs="Arial"/>
          <w:spacing w:val="-1"/>
        </w:rPr>
        <w:t>e</w:t>
      </w:r>
      <w:r w:rsidRPr="009A0DA6">
        <w:rPr>
          <w:rFonts w:ascii="Cambria" w:eastAsia="Arial" w:hAnsi="Cambria" w:cs="Arial"/>
          <w:spacing w:val="2"/>
        </w:rPr>
        <w:t>f</w:t>
      </w:r>
      <w:r w:rsidRPr="009A0DA6">
        <w:rPr>
          <w:rFonts w:ascii="Cambria" w:eastAsia="Arial" w:hAnsi="Cambria" w:cs="Arial"/>
        </w:rPr>
        <w:t>e</w:t>
      </w:r>
      <w:r w:rsidRPr="009A0DA6">
        <w:rPr>
          <w:rFonts w:ascii="Cambria" w:eastAsia="Arial" w:hAnsi="Cambria" w:cs="Arial"/>
        </w:rPr>
        <w:tab/>
        <w:t>10,000</w:t>
      </w:r>
    </w:p>
    <w:p w14:paraId="6D4B5A1E" w14:textId="77777777" w:rsidR="002E592D" w:rsidRPr="009A0DA6" w:rsidRDefault="002E592D" w:rsidP="002E592D">
      <w:pPr>
        <w:tabs>
          <w:tab w:val="right" w:pos="5954"/>
          <w:tab w:val="right" w:pos="7371"/>
          <w:tab w:val="right" w:pos="8789"/>
        </w:tabs>
        <w:spacing w:before="120" w:after="120" w:line="240" w:lineRule="auto"/>
        <w:ind w:right="-20"/>
        <w:contextualSpacing/>
        <w:rPr>
          <w:rFonts w:ascii="Cambria" w:eastAsia="Arial" w:hAnsi="Cambria" w:cs="Arial"/>
        </w:rPr>
      </w:pPr>
      <w:r w:rsidRPr="009A0DA6">
        <w:rPr>
          <w:rFonts w:ascii="Cambria" w:eastAsia="Arial" w:hAnsi="Cambria" w:cs="Arial"/>
        </w:rPr>
        <w:t>Rev</w:t>
      </w:r>
      <w:r w:rsidRPr="009A0DA6">
        <w:rPr>
          <w:rFonts w:ascii="Cambria" w:eastAsia="Arial" w:hAnsi="Cambria" w:cs="Arial"/>
          <w:spacing w:val="-6"/>
        </w:rPr>
        <w:t xml:space="preserve"> </w:t>
      </w:r>
      <w:r w:rsidRPr="009A0DA6">
        <w:rPr>
          <w:rFonts w:ascii="Cambria" w:eastAsia="Arial" w:hAnsi="Cambria" w:cs="Arial"/>
        </w:rPr>
        <w:t>A</w:t>
      </w:r>
      <w:r w:rsidRPr="009A0DA6">
        <w:rPr>
          <w:rFonts w:ascii="Cambria" w:eastAsia="Arial" w:hAnsi="Cambria" w:cs="Arial"/>
          <w:spacing w:val="-2"/>
        </w:rPr>
        <w:t xml:space="preserve"> </w:t>
      </w:r>
      <w:r w:rsidRPr="009A0DA6">
        <w:rPr>
          <w:rFonts w:ascii="Cambria" w:eastAsia="Arial" w:hAnsi="Cambria" w:cs="Arial"/>
        </w:rPr>
        <w:t>D</w:t>
      </w:r>
      <w:r w:rsidRPr="009A0DA6">
        <w:rPr>
          <w:rFonts w:ascii="Cambria" w:eastAsia="Arial" w:hAnsi="Cambria" w:cs="Arial"/>
          <w:spacing w:val="-1"/>
        </w:rPr>
        <w:t xml:space="preserve"> </w:t>
      </w:r>
      <w:r w:rsidRPr="009A0DA6">
        <w:rPr>
          <w:rFonts w:ascii="Cambria" w:eastAsia="Arial" w:hAnsi="Cambria" w:cs="Arial"/>
        </w:rPr>
        <w:t>Ne</w:t>
      </w:r>
      <w:r w:rsidRPr="009A0DA6">
        <w:rPr>
          <w:rFonts w:ascii="Cambria" w:eastAsia="Arial" w:hAnsi="Cambria" w:cs="Arial"/>
          <w:spacing w:val="-1"/>
        </w:rPr>
        <w:t>u</w:t>
      </w:r>
      <w:r w:rsidRPr="009A0DA6">
        <w:rPr>
          <w:rFonts w:ascii="Cambria" w:eastAsia="Arial" w:hAnsi="Cambria" w:cs="Arial"/>
          <w:spacing w:val="4"/>
        </w:rPr>
        <w:t>m</w:t>
      </w:r>
      <w:r w:rsidRPr="009A0DA6">
        <w:rPr>
          <w:rFonts w:ascii="Cambria" w:eastAsia="Arial" w:hAnsi="Cambria" w:cs="Arial"/>
        </w:rPr>
        <w:t>a</w:t>
      </w:r>
      <w:r w:rsidRPr="009A0DA6">
        <w:rPr>
          <w:rFonts w:ascii="Cambria" w:eastAsia="Arial" w:hAnsi="Cambria" w:cs="Arial"/>
          <w:spacing w:val="-1"/>
        </w:rPr>
        <w:t>n</w:t>
      </w:r>
      <w:r w:rsidRPr="009A0DA6">
        <w:rPr>
          <w:rFonts w:ascii="Cambria" w:eastAsia="Arial" w:hAnsi="Cambria" w:cs="Arial"/>
        </w:rPr>
        <w:t>n</w:t>
      </w:r>
      <w:r w:rsidRPr="009A0DA6">
        <w:rPr>
          <w:rFonts w:ascii="Cambria" w:eastAsia="Arial" w:hAnsi="Cambria" w:cs="Arial"/>
        </w:rPr>
        <w:tab/>
        <w:t>10,000</w:t>
      </w:r>
    </w:p>
    <w:p w14:paraId="7ECD2F86" w14:textId="77777777" w:rsidR="002E592D" w:rsidRPr="009A0DA6" w:rsidRDefault="002E592D" w:rsidP="002E592D">
      <w:pPr>
        <w:tabs>
          <w:tab w:val="right" w:pos="5954"/>
          <w:tab w:val="right" w:pos="7371"/>
          <w:tab w:val="right" w:pos="8789"/>
        </w:tabs>
        <w:spacing w:before="120" w:after="120" w:line="240" w:lineRule="auto"/>
        <w:ind w:right="-20"/>
        <w:contextualSpacing/>
        <w:rPr>
          <w:rFonts w:ascii="Cambria" w:eastAsia="Arial" w:hAnsi="Cambria" w:cs="Arial"/>
        </w:rPr>
      </w:pPr>
      <w:r w:rsidRPr="009A0DA6">
        <w:rPr>
          <w:rFonts w:ascii="Cambria" w:eastAsia="Arial" w:hAnsi="Cambria" w:cs="Arial"/>
        </w:rPr>
        <w:t>Rev</w:t>
      </w:r>
      <w:r w:rsidRPr="009A0DA6">
        <w:rPr>
          <w:rFonts w:ascii="Cambria" w:eastAsia="Arial" w:hAnsi="Cambria" w:cs="Arial"/>
          <w:spacing w:val="-6"/>
        </w:rPr>
        <w:t xml:space="preserve"> </w:t>
      </w:r>
      <w:r w:rsidRPr="009A0DA6">
        <w:rPr>
          <w:rFonts w:ascii="Cambria" w:eastAsia="Arial" w:hAnsi="Cambria" w:cs="Arial"/>
        </w:rPr>
        <w:t>A</w:t>
      </w:r>
      <w:r w:rsidRPr="009A0DA6">
        <w:rPr>
          <w:rFonts w:ascii="Cambria" w:eastAsia="Arial" w:hAnsi="Cambria" w:cs="Arial"/>
          <w:spacing w:val="-2"/>
        </w:rPr>
        <w:t xml:space="preserve"> </w:t>
      </w:r>
      <w:r w:rsidRPr="009A0DA6">
        <w:rPr>
          <w:rFonts w:ascii="Cambria" w:eastAsia="Arial" w:hAnsi="Cambria" w:cs="Arial"/>
        </w:rPr>
        <w:t>He</w:t>
      </w:r>
      <w:r w:rsidRPr="009A0DA6">
        <w:rPr>
          <w:rFonts w:ascii="Cambria" w:eastAsia="Arial" w:hAnsi="Cambria" w:cs="Arial"/>
          <w:spacing w:val="-1"/>
        </w:rPr>
        <w:t>n</w:t>
      </w:r>
      <w:r w:rsidRPr="009A0DA6">
        <w:rPr>
          <w:rFonts w:ascii="Cambria" w:eastAsia="Arial" w:hAnsi="Cambria" w:cs="Arial"/>
          <w:spacing w:val="1"/>
        </w:rPr>
        <w:t>s</w:t>
      </w:r>
      <w:r w:rsidRPr="009A0DA6">
        <w:rPr>
          <w:rFonts w:ascii="Cambria" w:eastAsia="Arial" w:hAnsi="Cambria" w:cs="Arial"/>
          <w:spacing w:val="-1"/>
        </w:rPr>
        <w:t>l</w:t>
      </w:r>
      <w:r w:rsidRPr="009A0DA6">
        <w:rPr>
          <w:rFonts w:ascii="Cambria" w:eastAsia="Arial" w:hAnsi="Cambria" w:cs="Arial"/>
        </w:rPr>
        <w:t>ey</w:t>
      </w:r>
      <w:r w:rsidRPr="009A0DA6">
        <w:rPr>
          <w:rFonts w:ascii="Cambria" w:eastAsia="Arial" w:hAnsi="Cambria" w:cs="Arial"/>
        </w:rPr>
        <w:tab/>
        <w:t>7,500</w:t>
      </w:r>
    </w:p>
    <w:p w14:paraId="20A526FC" w14:textId="77777777" w:rsidR="002E592D" w:rsidRPr="009A0DA6" w:rsidRDefault="002E592D" w:rsidP="002E592D">
      <w:pPr>
        <w:tabs>
          <w:tab w:val="right" w:pos="5954"/>
          <w:tab w:val="right" w:pos="7371"/>
          <w:tab w:val="right" w:pos="8789"/>
        </w:tabs>
        <w:spacing w:before="120" w:after="120" w:line="240" w:lineRule="auto"/>
        <w:ind w:right="-20"/>
        <w:contextualSpacing/>
        <w:rPr>
          <w:rFonts w:ascii="Cambria" w:eastAsia="Arial" w:hAnsi="Cambria" w:cs="Arial"/>
        </w:rPr>
      </w:pPr>
      <w:r w:rsidRPr="009A0DA6">
        <w:rPr>
          <w:rFonts w:ascii="Cambria" w:eastAsia="Arial" w:hAnsi="Cambria" w:cs="Arial"/>
        </w:rPr>
        <w:t>Rev</w:t>
      </w:r>
      <w:r w:rsidRPr="009A0DA6">
        <w:rPr>
          <w:rFonts w:ascii="Cambria" w:eastAsia="Arial" w:hAnsi="Cambria" w:cs="Arial"/>
          <w:spacing w:val="-6"/>
        </w:rPr>
        <w:t xml:space="preserve"> </w:t>
      </w:r>
      <w:r w:rsidRPr="009A0DA6">
        <w:rPr>
          <w:rFonts w:ascii="Cambria" w:eastAsia="Arial" w:hAnsi="Cambria" w:cs="Arial"/>
        </w:rPr>
        <w:t>T</w:t>
      </w:r>
      <w:r w:rsidRPr="009A0DA6">
        <w:rPr>
          <w:rFonts w:ascii="Cambria" w:eastAsia="Arial" w:hAnsi="Cambria" w:cs="Arial"/>
          <w:spacing w:val="2"/>
        </w:rPr>
        <w:t xml:space="preserve"> </w:t>
      </w:r>
      <w:r w:rsidRPr="009A0DA6">
        <w:rPr>
          <w:rFonts w:ascii="Cambria" w:eastAsia="Arial" w:hAnsi="Cambria" w:cs="Arial"/>
          <w:spacing w:val="-1"/>
        </w:rPr>
        <w:t>V</w:t>
      </w:r>
      <w:r w:rsidRPr="009A0DA6">
        <w:rPr>
          <w:rFonts w:ascii="Cambria" w:eastAsia="Arial" w:hAnsi="Cambria" w:cs="Arial"/>
        </w:rPr>
        <w:t>u</w:t>
      </w:r>
      <w:r w:rsidRPr="009A0DA6">
        <w:rPr>
          <w:rFonts w:ascii="Cambria" w:eastAsia="Arial" w:hAnsi="Cambria" w:cs="Arial"/>
          <w:spacing w:val="-1"/>
        </w:rPr>
        <w:t>o</w:t>
      </w:r>
      <w:r w:rsidRPr="009A0DA6">
        <w:rPr>
          <w:rFonts w:ascii="Cambria" w:eastAsia="Arial" w:hAnsi="Cambria" w:cs="Arial"/>
          <w:spacing w:val="1"/>
        </w:rPr>
        <w:t>r</w:t>
      </w:r>
      <w:r w:rsidRPr="009A0DA6">
        <w:rPr>
          <w:rFonts w:ascii="Cambria" w:eastAsia="Arial" w:hAnsi="Cambria" w:cs="Arial"/>
          <w:spacing w:val="-1"/>
        </w:rPr>
        <w:t>i</w:t>
      </w:r>
      <w:r w:rsidRPr="009A0DA6">
        <w:rPr>
          <w:rFonts w:ascii="Cambria" w:eastAsia="Arial" w:hAnsi="Cambria" w:cs="Arial"/>
        </w:rPr>
        <w:t>n</w:t>
      </w:r>
      <w:r w:rsidRPr="009A0DA6">
        <w:rPr>
          <w:rFonts w:ascii="Cambria" w:eastAsia="Arial" w:hAnsi="Cambria" w:cs="Arial"/>
          <w:spacing w:val="-1"/>
        </w:rPr>
        <w:t>e</w:t>
      </w:r>
      <w:r w:rsidRPr="009A0DA6">
        <w:rPr>
          <w:rFonts w:ascii="Cambria" w:eastAsia="Arial" w:hAnsi="Cambria" w:cs="Arial"/>
        </w:rPr>
        <w:t>n</w:t>
      </w:r>
      <w:r w:rsidRPr="009A0DA6">
        <w:rPr>
          <w:rFonts w:ascii="Cambria" w:eastAsia="Arial" w:hAnsi="Cambria" w:cs="Arial"/>
        </w:rPr>
        <w:tab/>
        <w:t>10,000</w:t>
      </w:r>
    </w:p>
    <w:p w14:paraId="7AD55C66" w14:textId="77777777" w:rsidR="002E592D" w:rsidRPr="009A0DA6" w:rsidRDefault="002E592D" w:rsidP="002E592D">
      <w:pPr>
        <w:tabs>
          <w:tab w:val="right" w:pos="5954"/>
          <w:tab w:val="right" w:pos="7371"/>
          <w:tab w:val="right" w:pos="8789"/>
        </w:tabs>
        <w:spacing w:before="120" w:after="120" w:line="240" w:lineRule="auto"/>
        <w:ind w:right="-20"/>
        <w:contextualSpacing/>
        <w:rPr>
          <w:rFonts w:ascii="Cambria" w:eastAsia="Arial" w:hAnsi="Cambria" w:cs="Arial"/>
        </w:rPr>
      </w:pPr>
      <w:r w:rsidRPr="009A0DA6">
        <w:rPr>
          <w:rFonts w:ascii="Cambria" w:eastAsia="Arial" w:hAnsi="Cambria" w:cs="Arial"/>
        </w:rPr>
        <w:t>Rev</w:t>
      </w:r>
      <w:r w:rsidRPr="009A0DA6">
        <w:rPr>
          <w:rFonts w:ascii="Cambria" w:eastAsia="Arial" w:hAnsi="Cambria" w:cs="Arial"/>
          <w:spacing w:val="-6"/>
        </w:rPr>
        <w:t xml:space="preserve"> </w:t>
      </w:r>
      <w:r w:rsidRPr="009A0DA6">
        <w:rPr>
          <w:rFonts w:ascii="Cambria" w:eastAsia="Arial" w:hAnsi="Cambria" w:cs="Arial"/>
        </w:rPr>
        <w:t>A</w:t>
      </w:r>
      <w:r w:rsidRPr="009A0DA6">
        <w:rPr>
          <w:rFonts w:ascii="Cambria" w:eastAsia="Arial" w:hAnsi="Cambria" w:cs="Arial"/>
          <w:spacing w:val="-2"/>
        </w:rPr>
        <w:t xml:space="preserve"> </w:t>
      </w:r>
      <w:r w:rsidRPr="009A0DA6">
        <w:rPr>
          <w:rFonts w:ascii="Cambria" w:eastAsia="Arial" w:hAnsi="Cambria" w:cs="Arial"/>
          <w:spacing w:val="-1"/>
        </w:rPr>
        <w:t>K</w:t>
      </w:r>
      <w:r w:rsidRPr="009A0DA6">
        <w:rPr>
          <w:rFonts w:ascii="Cambria" w:eastAsia="Arial" w:hAnsi="Cambria" w:cs="Arial"/>
        </w:rPr>
        <w:t>a</w:t>
      </w:r>
      <w:r w:rsidRPr="009A0DA6">
        <w:rPr>
          <w:rFonts w:ascii="Cambria" w:eastAsia="Arial" w:hAnsi="Cambria" w:cs="Arial"/>
          <w:spacing w:val="-1"/>
        </w:rPr>
        <w:t>iv</w:t>
      </w:r>
      <w:r w:rsidRPr="009A0DA6">
        <w:rPr>
          <w:rFonts w:ascii="Cambria" w:eastAsia="Arial" w:hAnsi="Cambria" w:cs="Arial"/>
        </w:rPr>
        <w:t>o</w:t>
      </w:r>
      <w:r w:rsidRPr="009A0DA6">
        <w:rPr>
          <w:rFonts w:ascii="Cambria" w:eastAsia="Arial" w:hAnsi="Cambria" w:cs="Arial"/>
          <w:spacing w:val="1"/>
        </w:rPr>
        <w:t>s</w:t>
      </w:r>
      <w:r w:rsidRPr="009A0DA6">
        <w:rPr>
          <w:rFonts w:ascii="Cambria" w:eastAsia="Arial" w:hAnsi="Cambria" w:cs="Arial"/>
        </w:rPr>
        <w:t>o</w:t>
      </w:r>
      <w:r w:rsidRPr="009A0DA6">
        <w:rPr>
          <w:rFonts w:ascii="Cambria" w:eastAsia="Arial" w:hAnsi="Cambria" w:cs="Arial"/>
          <w:spacing w:val="1"/>
        </w:rPr>
        <w:t>j</w:t>
      </w:r>
      <w:r w:rsidRPr="009A0DA6">
        <w:rPr>
          <w:rFonts w:ascii="Cambria" w:eastAsia="Arial" w:hAnsi="Cambria" w:cs="Arial"/>
        </w:rPr>
        <w:t>a</w:t>
      </w:r>
      <w:r w:rsidRPr="009A0DA6">
        <w:rPr>
          <w:rFonts w:ascii="Cambria" w:eastAsia="Arial" w:hAnsi="Cambria" w:cs="Arial"/>
        </w:rPr>
        <w:tab/>
        <w:t>10,000</w:t>
      </w:r>
    </w:p>
    <w:p w14:paraId="6646A080" w14:textId="77777777" w:rsidR="002E592D" w:rsidRPr="009A0DA6" w:rsidRDefault="002E592D" w:rsidP="002E592D">
      <w:pPr>
        <w:tabs>
          <w:tab w:val="right" w:pos="5954"/>
          <w:tab w:val="right" w:pos="7371"/>
          <w:tab w:val="right" w:pos="8789"/>
        </w:tabs>
        <w:spacing w:before="120" w:after="120" w:line="240" w:lineRule="auto"/>
        <w:ind w:right="-20"/>
        <w:contextualSpacing/>
        <w:rPr>
          <w:rFonts w:ascii="Cambria" w:eastAsia="Arial" w:hAnsi="Cambria" w:cs="Arial"/>
        </w:rPr>
      </w:pPr>
      <w:r w:rsidRPr="009A0DA6">
        <w:rPr>
          <w:rFonts w:ascii="Cambria" w:eastAsia="Arial" w:hAnsi="Cambria" w:cs="Arial"/>
        </w:rPr>
        <w:t>Rev</w:t>
      </w:r>
      <w:r w:rsidRPr="009A0DA6">
        <w:rPr>
          <w:rFonts w:ascii="Cambria" w:eastAsia="Arial" w:hAnsi="Cambria" w:cs="Arial"/>
          <w:spacing w:val="-6"/>
        </w:rPr>
        <w:t xml:space="preserve"> </w:t>
      </w:r>
      <w:r w:rsidRPr="009A0DA6">
        <w:rPr>
          <w:rFonts w:ascii="Cambria" w:eastAsia="Arial" w:hAnsi="Cambria" w:cs="Arial"/>
        </w:rPr>
        <w:t>D</w:t>
      </w:r>
      <w:r w:rsidRPr="009A0DA6">
        <w:rPr>
          <w:rFonts w:ascii="Cambria" w:eastAsia="Arial" w:hAnsi="Cambria" w:cs="Arial"/>
          <w:spacing w:val="-1"/>
        </w:rPr>
        <w:t xml:space="preserve"> </w:t>
      </w:r>
      <w:r w:rsidRPr="009A0DA6">
        <w:rPr>
          <w:rFonts w:ascii="Cambria" w:eastAsia="Arial" w:hAnsi="Cambria" w:cs="Arial"/>
        </w:rPr>
        <w:t>W</w:t>
      </w:r>
      <w:r w:rsidRPr="009A0DA6">
        <w:rPr>
          <w:rFonts w:ascii="Cambria" w:eastAsia="Arial" w:hAnsi="Cambria" w:cs="Arial"/>
          <w:spacing w:val="9"/>
        </w:rPr>
        <w:t xml:space="preserve"> </w:t>
      </w:r>
      <w:r w:rsidRPr="009A0DA6">
        <w:rPr>
          <w:rFonts w:ascii="Cambria" w:eastAsia="Arial" w:hAnsi="Cambria" w:cs="Arial"/>
        </w:rPr>
        <w:t>Ha</w:t>
      </w:r>
      <w:r w:rsidRPr="009A0DA6">
        <w:rPr>
          <w:rFonts w:ascii="Cambria" w:eastAsia="Arial" w:hAnsi="Cambria" w:cs="Arial"/>
          <w:spacing w:val="-1"/>
        </w:rPr>
        <w:t>a</w:t>
      </w:r>
      <w:r w:rsidRPr="009A0DA6">
        <w:rPr>
          <w:rFonts w:ascii="Cambria" w:eastAsia="Arial" w:hAnsi="Cambria" w:cs="Arial"/>
        </w:rPr>
        <w:t>k</w:t>
      </w:r>
      <w:r w:rsidRPr="009A0DA6">
        <w:rPr>
          <w:rFonts w:ascii="Cambria" w:eastAsia="Arial" w:hAnsi="Cambria" w:cs="Arial"/>
        </w:rPr>
        <w:tab/>
        <w:t>10,000</w:t>
      </w:r>
    </w:p>
    <w:p w14:paraId="3E883A9F" w14:textId="77777777" w:rsidR="002E592D" w:rsidRPr="009A0DA6" w:rsidRDefault="002E592D" w:rsidP="002E592D">
      <w:pPr>
        <w:tabs>
          <w:tab w:val="right" w:pos="5954"/>
          <w:tab w:val="right" w:pos="7371"/>
          <w:tab w:val="right" w:pos="8789"/>
        </w:tabs>
        <w:spacing w:before="120" w:after="120" w:line="240" w:lineRule="auto"/>
        <w:ind w:right="-20"/>
        <w:contextualSpacing/>
        <w:rPr>
          <w:rFonts w:ascii="Cambria" w:eastAsia="Arial" w:hAnsi="Cambria" w:cs="Arial"/>
        </w:rPr>
      </w:pPr>
      <w:r w:rsidRPr="009A0DA6">
        <w:rPr>
          <w:rFonts w:ascii="Cambria" w:eastAsia="Arial" w:hAnsi="Cambria" w:cs="Arial"/>
        </w:rPr>
        <w:t>Rev</w:t>
      </w:r>
      <w:r w:rsidRPr="009A0DA6">
        <w:rPr>
          <w:rFonts w:ascii="Cambria" w:eastAsia="Arial" w:hAnsi="Cambria" w:cs="Arial"/>
          <w:spacing w:val="-6"/>
        </w:rPr>
        <w:t xml:space="preserve"> </w:t>
      </w:r>
      <w:r w:rsidRPr="009A0DA6">
        <w:rPr>
          <w:rFonts w:ascii="Cambria" w:eastAsia="Arial" w:hAnsi="Cambria" w:cs="Arial"/>
        </w:rPr>
        <w:t>P</w:t>
      </w:r>
      <w:r w:rsidRPr="009A0DA6">
        <w:rPr>
          <w:rFonts w:ascii="Cambria" w:eastAsia="Arial" w:hAnsi="Cambria" w:cs="Arial"/>
          <w:spacing w:val="-2"/>
        </w:rPr>
        <w:t xml:space="preserve"> </w:t>
      </w:r>
      <w:r w:rsidRPr="009A0DA6">
        <w:rPr>
          <w:rFonts w:ascii="Cambria" w:eastAsia="Arial" w:hAnsi="Cambria" w:cs="Arial"/>
        </w:rPr>
        <w:t>R</w:t>
      </w:r>
      <w:r w:rsidRPr="009A0DA6">
        <w:rPr>
          <w:rFonts w:ascii="Cambria" w:eastAsia="Arial" w:hAnsi="Cambria" w:cs="Arial"/>
          <w:spacing w:val="-1"/>
        </w:rPr>
        <w:t xml:space="preserve"> Kl</w:t>
      </w:r>
      <w:r w:rsidRPr="009A0DA6">
        <w:rPr>
          <w:rFonts w:ascii="Cambria" w:eastAsia="Arial" w:hAnsi="Cambria" w:cs="Arial"/>
        </w:rPr>
        <w:t>e</w:t>
      </w:r>
      <w:r w:rsidRPr="009A0DA6">
        <w:rPr>
          <w:rFonts w:ascii="Cambria" w:eastAsia="Arial" w:hAnsi="Cambria" w:cs="Arial"/>
          <w:spacing w:val="4"/>
        </w:rPr>
        <w:t>m</w:t>
      </w:r>
      <w:r w:rsidRPr="009A0DA6">
        <w:rPr>
          <w:rFonts w:ascii="Cambria" w:eastAsia="Arial" w:hAnsi="Cambria" w:cs="Arial"/>
        </w:rPr>
        <w:t>m</w:t>
      </w:r>
      <w:r w:rsidRPr="009A0DA6">
        <w:rPr>
          <w:rFonts w:ascii="Cambria" w:eastAsia="Arial" w:hAnsi="Cambria" w:cs="Arial"/>
        </w:rPr>
        <w:tab/>
        <w:t>10,000</w:t>
      </w:r>
    </w:p>
    <w:p w14:paraId="0B3DC3BA" w14:textId="77777777" w:rsidR="002E592D" w:rsidRPr="009A0DA6" w:rsidRDefault="002E592D" w:rsidP="002E592D">
      <w:pPr>
        <w:tabs>
          <w:tab w:val="right" w:pos="5954"/>
          <w:tab w:val="right" w:pos="7371"/>
          <w:tab w:val="right" w:pos="8789"/>
        </w:tabs>
        <w:spacing w:before="120" w:after="120" w:line="240" w:lineRule="auto"/>
        <w:ind w:right="-20"/>
        <w:contextualSpacing/>
        <w:rPr>
          <w:rFonts w:ascii="Cambria" w:eastAsia="Arial" w:hAnsi="Cambria" w:cs="Arial"/>
        </w:rPr>
      </w:pPr>
      <w:r w:rsidRPr="009A0DA6">
        <w:rPr>
          <w:rFonts w:ascii="Cambria" w:eastAsia="Arial" w:hAnsi="Cambria" w:cs="Arial"/>
        </w:rPr>
        <w:t>Rev</w:t>
      </w:r>
      <w:r w:rsidRPr="009A0DA6">
        <w:rPr>
          <w:rFonts w:ascii="Cambria" w:eastAsia="Arial" w:hAnsi="Cambria" w:cs="Arial"/>
          <w:spacing w:val="-6"/>
        </w:rPr>
        <w:t xml:space="preserve"> </w:t>
      </w:r>
      <w:r w:rsidRPr="009A0DA6">
        <w:rPr>
          <w:rFonts w:ascii="Cambria" w:eastAsia="Arial" w:hAnsi="Cambria" w:cs="Arial"/>
        </w:rPr>
        <w:t>M</w:t>
      </w:r>
      <w:r w:rsidRPr="009A0DA6">
        <w:rPr>
          <w:rFonts w:ascii="Cambria" w:eastAsia="Arial" w:hAnsi="Cambria" w:cs="Arial"/>
          <w:spacing w:val="-3"/>
        </w:rPr>
        <w:t xml:space="preserve"> </w:t>
      </w:r>
      <w:r w:rsidRPr="009A0DA6">
        <w:rPr>
          <w:rFonts w:ascii="Cambria" w:eastAsia="Arial" w:hAnsi="Cambria" w:cs="Arial"/>
        </w:rPr>
        <w:t>P</w:t>
      </w:r>
      <w:r w:rsidRPr="009A0DA6">
        <w:rPr>
          <w:rFonts w:ascii="Cambria" w:eastAsia="Arial" w:hAnsi="Cambria" w:cs="Arial"/>
          <w:spacing w:val="-2"/>
        </w:rPr>
        <w:t xml:space="preserve"> </w:t>
      </w:r>
      <w:r w:rsidRPr="009A0DA6">
        <w:rPr>
          <w:rFonts w:ascii="Cambria" w:eastAsia="Arial" w:hAnsi="Cambria" w:cs="Arial"/>
          <w:spacing w:val="-1"/>
        </w:rPr>
        <w:t>P</w:t>
      </w:r>
      <w:r w:rsidRPr="009A0DA6">
        <w:rPr>
          <w:rFonts w:ascii="Cambria" w:eastAsia="Arial" w:hAnsi="Cambria" w:cs="Arial"/>
          <w:spacing w:val="1"/>
        </w:rPr>
        <w:t>r</w:t>
      </w:r>
      <w:r w:rsidRPr="009A0DA6">
        <w:rPr>
          <w:rFonts w:ascii="Cambria" w:eastAsia="Arial" w:hAnsi="Cambria" w:cs="Arial"/>
        </w:rPr>
        <w:t>e</w:t>
      </w:r>
      <w:r w:rsidRPr="009A0DA6">
        <w:rPr>
          <w:rFonts w:ascii="Cambria" w:eastAsia="Arial" w:hAnsi="Cambria" w:cs="Arial"/>
          <w:spacing w:val="-1"/>
        </w:rPr>
        <w:t>n</w:t>
      </w:r>
      <w:r w:rsidRPr="009A0DA6">
        <w:rPr>
          <w:rFonts w:ascii="Cambria" w:eastAsia="Arial" w:hAnsi="Cambria" w:cs="Arial"/>
          <w:spacing w:val="-4"/>
        </w:rPr>
        <w:t>z</w:t>
      </w:r>
      <w:r w:rsidRPr="009A0DA6">
        <w:rPr>
          <w:rFonts w:ascii="Cambria" w:eastAsia="Arial" w:hAnsi="Cambria" w:cs="Arial"/>
          <w:spacing w:val="-1"/>
        </w:rPr>
        <w:t>l</w:t>
      </w:r>
      <w:r w:rsidRPr="009A0DA6">
        <w:rPr>
          <w:rFonts w:ascii="Cambria" w:eastAsia="Arial" w:hAnsi="Cambria" w:cs="Arial"/>
        </w:rPr>
        <w:t>er</w:t>
      </w:r>
      <w:r w:rsidRPr="009A0DA6">
        <w:rPr>
          <w:rFonts w:ascii="Cambria" w:eastAsia="Arial" w:hAnsi="Cambria" w:cs="Arial"/>
        </w:rPr>
        <w:tab/>
        <w:t>10,000</w:t>
      </w:r>
    </w:p>
    <w:p w14:paraId="5B8A6181" w14:textId="77777777" w:rsidR="002E592D" w:rsidRPr="009A0DA6" w:rsidRDefault="002E592D" w:rsidP="002E592D">
      <w:pPr>
        <w:tabs>
          <w:tab w:val="right" w:pos="5954"/>
          <w:tab w:val="right" w:pos="7371"/>
          <w:tab w:val="right" w:pos="8789"/>
        </w:tabs>
        <w:spacing w:before="120" w:after="120" w:line="240" w:lineRule="auto"/>
        <w:ind w:right="-20"/>
        <w:contextualSpacing/>
        <w:rPr>
          <w:rFonts w:ascii="Cambria" w:eastAsia="Arial" w:hAnsi="Cambria" w:cs="Arial"/>
        </w:rPr>
      </w:pPr>
      <w:r w:rsidRPr="009A0DA6">
        <w:rPr>
          <w:rFonts w:ascii="Cambria" w:eastAsia="Arial" w:hAnsi="Cambria" w:cs="Arial"/>
        </w:rPr>
        <w:t>Rev</w:t>
      </w:r>
      <w:r w:rsidRPr="009A0DA6">
        <w:rPr>
          <w:rFonts w:ascii="Cambria" w:eastAsia="Arial" w:hAnsi="Cambria" w:cs="Arial"/>
          <w:spacing w:val="-6"/>
        </w:rPr>
        <w:t xml:space="preserve"> </w:t>
      </w:r>
      <w:r w:rsidRPr="009A0DA6">
        <w:rPr>
          <w:rFonts w:ascii="Cambria" w:eastAsia="Arial" w:hAnsi="Cambria" w:cs="Arial"/>
        </w:rPr>
        <w:t>R</w:t>
      </w:r>
      <w:r w:rsidRPr="009A0DA6">
        <w:rPr>
          <w:rFonts w:ascii="Cambria" w:eastAsia="Arial" w:hAnsi="Cambria" w:cs="Arial"/>
          <w:spacing w:val="-1"/>
        </w:rPr>
        <w:t xml:space="preserve"> </w:t>
      </w:r>
      <w:r w:rsidRPr="009A0DA6">
        <w:rPr>
          <w:rFonts w:ascii="Cambria" w:eastAsia="Arial" w:hAnsi="Cambria" w:cs="Arial"/>
        </w:rPr>
        <w:t>J Nor</w:t>
      </w:r>
      <w:r w:rsidRPr="009A0DA6">
        <w:rPr>
          <w:rFonts w:ascii="Cambria" w:eastAsia="Arial" w:hAnsi="Cambria" w:cs="Arial"/>
          <w:spacing w:val="1"/>
        </w:rPr>
        <w:t>r</w:t>
      </w:r>
      <w:r w:rsidRPr="009A0DA6">
        <w:rPr>
          <w:rFonts w:ascii="Cambria" w:eastAsia="Arial" w:hAnsi="Cambria" w:cs="Arial"/>
          <w:spacing w:val="-1"/>
        </w:rPr>
        <w:t>i</w:t>
      </w:r>
      <w:r w:rsidRPr="009A0DA6">
        <w:rPr>
          <w:rFonts w:ascii="Cambria" w:eastAsia="Arial" w:hAnsi="Cambria" w:cs="Arial"/>
        </w:rPr>
        <w:t>s</w:t>
      </w:r>
      <w:r w:rsidRPr="009A0DA6">
        <w:rPr>
          <w:rFonts w:ascii="Cambria" w:eastAsia="Arial" w:hAnsi="Cambria" w:cs="Arial"/>
        </w:rPr>
        <w:tab/>
        <w:t>10,000</w:t>
      </w:r>
    </w:p>
    <w:p w14:paraId="66CB6EC6" w14:textId="77777777" w:rsidR="002E592D" w:rsidRPr="009A0DA6" w:rsidRDefault="002E592D" w:rsidP="002E592D">
      <w:pPr>
        <w:tabs>
          <w:tab w:val="right" w:pos="5954"/>
          <w:tab w:val="right" w:pos="7371"/>
          <w:tab w:val="right" w:pos="8789"/>
        </w:tabs>
        <w:spacing w:before="120" w:after="120" w:line="240" w:lineRule="auto"/>
        <w:ind w:right="-20"/>
        <w:contextualSpacing/>
        <w:rPr>
          <w:rFonts w:ascii="Cambria" w:eastAsia="Arial" w:hAnsi="Cambria" w:cs="Arial"/>
        </w:rPr>
      </w:pPr>
      <w:r w:rsidRPr="009A0DA6">
        <w:rPr>
          <w:rFonts w:ascii="Cambria" w:eastAsia="Arial" w:hAnsi="Cambria" w:cs="Arial"/>
        </w:rPr>
        <w:t>Rev</w:t>
      </w:r>
      <w:r w:rsidRPr="009A0DA6">
        <w:rPr>
          <w:rFonts w:ascii="Cambria" w:eastAsia="Arial" w:hAnsi="Cambria" w:cs="Arial"/>
          <w:spacing w:val="-6"/>
        </w:rPr>
        <w:t xml:space="preserve"> </w:t>
      </w:r>
      <w:r w:rsidRPr="009A0DA6">
        <w:rPr>
          <w:rFonts w:ascii="Cambria" w:eastAsia="Arial" w:hAnsi="Cambria" w:cs="Arial"/>
        </w:rPr>
        <w:t>G</w:t>
      </w:r>
      <w:r w:rsidRPr="009A0DA6">
        <w:rPr>
          <w:rFonts w:ascii="Cambria" w:eastAsia="Arial" w:hAnsi="Cambria" w:cs="Arial"/>
          <w:spacing w:val="-2"/>
        </w:rPr>
        <w:t xml:space="preserve"> </w:t>
      </w:r>
      <w:r w:rsidRPr="009A0DA6">
        <w:rPr>
          <w:rFonts w:ascii="Cambria" w:eastAsia="Arial" w:hAnsi="Cambria" w:cs="Arial"/>
        </w:rPr>
        <w:t xml:space="preserve">J </w:t>
      </w:r>
      <w:r w:rsidRPr="009A0DA6">
        <w:rPr>
          <w:rFonts w:ascii="Cambria" w:eastAsia="Arial" w:hAnsi="Cambria" w:cs="Arial"/>
          <w:spacing w:val="-1"/>
        </w:rPr>
        <w:t>B</w:t>
      </w:r>
      <w:r w:rsidRPr="009A0DA6">
        <w:rPr>
          <w:rFonts w:ascii="Cambria" w:eastAsia="Arial" w:hAnsi="Cambria" w:cs="Arial"/>
        </w:rPr>
        <w:t>e</w:t>
      </w:r>
      <w:r w:rsidRPr="009A0DA6">
        <w:rPr>
          <w:rFonts w:ascii="Cambria" w:eastAsia="Arial" w:hAnsi="Cambria" w:cs="Arial"/>
          <w:spacing w:val="-1"/>
        </w:rPr>
        <w:t>n</w:t>
      </w:r>
      <w:r w:rsidRPr="009A0DA6">
        <w:rPr>
          <w:rFonts w:ascii="Cambria" w:eastAsia="Arial" w:hAnsi="Cambria" w:cs="Arial"/>
          <w:spacing w:val="1"/>
        </w:rPr>
        <w:t>s</w:t>
      </w:r>
      <w:r w:rsidRPr="009A0DA6">
        <w:rPr>
          <w:rFonts w:ascii="Cambria" w:eastAsia="Arial" w:hAnsi="Cambria" w:cs="Arial"/>
        </w:rPr>
        <w:t>te</w:t>
      </w:r>
      <w:r w:rsidRPr="009A0DA6">
        <w:rPr>
          <w:rFonts w:ascii="Cambria" w:eastAsia="Arial" w:hAnsi="Cambria" w:cs="Arial"/>
          <w:spacing w:val="-1"/>
        </w:rPr>
        <w:t>a</w:t>
      </w:r>
      <w:r w:rsidRPr="009A0DA6">
        <w:rPr>
          <w:rFonts w:ascii="Cambria" w:eastAsia="Arial" w:hAnsi="Cambria" w:cs="Arial"/>
        </w:rPr>
        <w:t>d</w:t>
      </w:r>
      <w:r w:rsidRPr="009A0DA6">
        <w:rPr>
          <w:rFonts w:ascii="Cambria" w:eastAsia="Arial" w:hAnsi="Cambria" w:cs="Arial"/>
        </w:rPr>
        <w:tab/>
        <w:t>5,000</w:t>
      </w:r>
    </w:p>
    <w:p w14:paraId="256584C3" w14:textId="77777777" w:rsidR="002E592D" w:rsidRPr="009A0DA6" w:rsidRDefault="002E592D" w:rsidP="002E592D">
      <w:pPr>
        <w:tabs>
          <w:tab w:val="right" w:pos="5954"/>
          <w:tab w:val="right" w:pos="7371"/>
          <w:tab w:val="right" w:pos="8789"/>
        </w:tabs>
        <w:spacing w:before="120" w:after="120" w:line="240" w:lineRule="auto"/>
        <w:ind w:right="-20"/>
        <w:contextualSpacing/>
        <w:rPr>
          <w:rFonts w:ascii="Cambria" w:eastAsia="Arial" w:hAnsi="Cambria" w:cs="Arial"/>
        </w:rPr>
      </w:pPr>
      <w:r w:rsidRPr="009A0DA6">
        <w:rPr>
          <w:rFonts w:ascii="Cambria" w:eastAsia="Arial" w:hAnsi="Cambria" w:cs="Arial"/>
        </w:rPr>
        <w:t>Rev</w:t>
      </w:r>
      <w:r w:rsidRPr="009A0DA6">
        <w:rPr>
          <w:rFonts w:ascii="Cambria" w:eastAsia="Arial" w:hAnsi="Cambria" w:cs="Arial"/>
          <w:spacing w:val="-6"/>
        </w:rPr>
        <w:t xml:space="preserve"> </w:t>
      </w:r>
      <w:r w:rsidRPr="009A0DA6">
        <w:rPr>
          <w:rFonts w:ascii="Cambria" w:eastAsia="Arial" w:hAnsi="Cambria" w:cs="Arial"/>
        </w:rPr>
        <w:t>R</w:t>
      </w:r>
      <w:r w:rsidRPr="009A0DA6">
        <w:rPr>
          <w:rFonts w:ascii="Cambria" w:eastAsia="Arial" w:hAnsi="Cambria" w:cs="Arial"/>
          <w:spacing w:val="-1"/>
        </w:rPr>
        <w:t xml:space="preserve"> </w:t>
      </w:r>
      <w:r w:rsidRPr="009A0DA6">
        <w:rPr>
          <w:rFonts w:ascii="Cambria" w:eastAsia="Arial" w:hAnsi="Cambria" w:cs="Arial"/>
        </w:rPr>
        <w:t>G</w:t>
      </w:r>
      <w:r w:rsidRPr="009A0DA6">
        <w:rPr>
          <w:rFonts w:ascii="Cambria" w:eastAsia="Arial" w:hAnsi="Cambria" w:cs="Arial"/>
          <w:spacing w:val="-2"/>
        </w:rPr>
        <w:t xml:space="preserve"> </w:t>
      </w:r>
      <w:r w:rsidRPr="009A0DA6">
        <w:rPr>
          <w:rFonts w:ascii="Cambria" w:eastAsia="Arial" w:hAnsi="Cambria" w:cs="Arial"/>
          <w:spacing w:val="-1"/>
        </w:rPr>
        <w:t>S</w:t>
      </w:r>
      <w:r w:rsidRPr="009A0DA6">
        <w:rPr>
          <w:rFonts w:ascii="Cambria" w:eastAsia="Arial" w:hAnsi="Cambria" w:cs="Arial"/>
        </w:rPr>
        <w:t>ta</w:t>
      </w:r>
      <w:r w:rsidRPr="009A0DA6">
        <w:rPr>
          <w:rFonts w:ascii="Cambria" w:eastAsia="Arial" w:hAnsi="Cambria" w:cs="Arial"/>
          <w:spacing w:val="-1"/>
        </w:rPr>
        <w:t>h</w:t>
      </w:r>
      <w:r w:rsidRPr="009A0DA6">
        <w:rPr>
          <w:rFonts w:ascii="Cambria" w:eastAsia="Arial" w:hAnsi="Cambria" w:cs="Arial"/>
        </w:rPr>
        <w:t>l</w:t>
      </w:r>
      <w:r w:rsidRPr="009A0DA6">
        <w:rPr>
          <w:rFonts w:ascii="Cambria" w:eastAsia="Arial" w:hAnsi="Cambria" w:cs="Arial"/>
        </w:rPr>
        <w:tab/>
        <w:t>2,500</w:t>
      </w:r>
    </w:p>
    <w:p w14:paraId="42A2F6B8" w14:textId="77777777" w:rsidR="002E592D" w:rsidRPr="009A0DA6" w:rsidRDefault="002E592D" w:rsidP="002E592D">
      <w:pPr>
        <w:tabs>
          <w:tab w:val="right" w:pos="5954"/>
          <w:tab w:val="right" w:pos="7371"/>
          <w:tab w:val="right" w:pos="8789"/>
        </w:tabs>
        <w:spacing w:before="120" w:after="120" w:line="240" w:lineRule="auto"/>
        <w:ind w:right="-20"/>
        <w:contextualSpacing/>
        <w:rPr>
          <w:rFonts w:ascii="Cambria" w:eastAsia="Arial" w:hAnsi="Cambria" w:cs="Arial"/>
        </w:rPr>
      </w:pPr>
      <w:r w:rsidRPr="009A0DA6">
        <w:rPr>
          <w:rFonts w:ascii="Cambria" w:eastAsia="Arial" w:hAnsi="Cambria" w:cs="Arial"/>
        </w:rPr>
        <w:t>Rev</w:t>
      </w:r>
      <w:r w:rsidRPr="009A0DA6">
        <w:rPr>
          <w:rFonts w:ascii="Cambria" w:eastAsia="Arial" w:hAnsi="Cambria" w:cs="Arial"/>
          <w:spacing w:val="-6"/>
        </w:rPr>
        <w:t xml:space="preserve"> </w:t>
      </w:r>
      <w:r w:rsidRPr="009A0DA6">
        <w:rPr>
          <w:rFonts w:ascii="Cambria" w:eastAsia="Arial" w:hAnsi="Cambria" w:cs="Arial"/>
        </w:rPr>
        <w:t xml:space="preserve">J </w:t>
      </w:r>
      <w:r w:rsidRPr="009A0DA6">
        <w:rPr>
          <w:rFonts w:ascii="Cambria" w:eastAsia="Arial" w:hAnsi="Cambria" w:cs="Arial"/>
          <w:spacing w:val="1"/>
        </w:rPr>
        <w:t>Gr</w:t>
      </w:r>
      <w:r w:rsidRPr="009A0DA6">
        <w:rPr>
          <w:rFonts w:ascii="Cambria" w:eastAsia="Arial" w:hAnsi="Cambria" w:cs="Arial"/>
        </w:rPr>
        <w:t>a</w:t>
      </w:r>
      <w:r w:rsidRPr="009A0DA6">
        <w:rPr>
          <w:rFonts w:ascii="Cambria" w:eastAsia="Arial" w:hAnsi="Cambria" w:cs="Arial"/>
          <w:spacing w:val="-1"/>
        </w:rPr>
        <w:t>h</w:t>
      </w:r>
      <w:r w:rsidRPr="009A0DA6">
        <w:rPr>
          <w:rFonts w:ascii="Cambria" w:eastAsia="Arial" w:hAnsi="Cambria" w:cs="Arial"/>
        </w:rPr>
        <w:t>am</w:t>
      </w:r>
      <w:r w:rsidRPr="009A0DA6">
        <w:rPr>
          <w:rFonts w:ascii="Cambria" w:eastAsia="Arial" w:hAnsi="Cambria" w:cs="Arial"/>
        </w:rPr>
        <w:tab/>
        <w:t>10,000</w:t>
      </w:r>
    </w:p>
    <w:p w14:paraId="00DFCE6F" w14:textId="77777777" w:rsidR="002E592D" w:rsidRPr="009A0DA6" w:rsidRDefault="002E592D" w:rsidP="002E592D">
      <w:pPr>
        <w:tabs>
          <w:tab w:val="right" w:pos="5954"/>
          <w:tab w:val="right" w:pos="7371"/>
          <w:tab w:val="right" w:pos="8789"/>
        </w:tabs>
        <w:spacing w:before="120" w:after="120" w:line="240" w:lineRule="auto"/>
        <w:ind w:right="-20"/>
        <w:contextualSpacing/>
        <w:rPr>
          <w:rFonts w:ascii="Cambria" w:eastAsia="Arial" w:hAnsi="Cambria" w:cs="Arial"/>
        </w:rPr>
      </w:pPr>
      <w:r w:rsidRPr="009A0DA6">
        <w:rPr>
          <w:rFonts w:ascii="Cambria" w:eastAsia="Arial" w:hAnsi="Cambria" w:cs="Arial"/>
        </w:rPr>
        <w:t>Rev</w:t>
      </w:r>
      <w:r w:rsidRPr="009A0DA6">
        <w:rPr>
          <w:rFonts w:ascii="Cambria" w:eastAsia="Arial" w:hAnsi="Cambria" w:cs="Arial"/>
          <w:spacing w:val="-6"/>
        </w:rPr>
        <w:t xml:space="preserve"> </w:t>
      </w:r>
      <w:r w:rsidRPr="009A0DA6">
        <w:rPr>
          <w:rFonts w:ascii="Cambria" w:eastAsia="Arial" w:hAnsi="Cambria" w:cs="Arial"/>
        </w:rPr>
        <w:t>R</w:t>
      </w:r>
      <w:r w:rsidRPr="009A0DA6">
        <w:rPr>
          <w:rFonts w:ascii="Cambria" w:eastAsia="Arial" w:hAnsi="Cambria" w:cs="Arial"/>
          <w:spacing w:val="-1"/>
        </w:rPr>
        <w:t xml:space="preserve"> B</w:t>
      </w:r>
      <w:r w:rsidRPr="009A0DA6">
        <w:rPr>
          <w:rFonts w:ascii="Cambria" w:eastAsia="Arial" w:hAnsi="Cambria" w:cs="Arial"/>
        </w:rPr>
        <w:t>u</w:t>
      </w:r>
      <w:r w:rsidRPr="009A0DA6">
        <w:rPr>
          <w:rFonts w:ascii="Cambria" w:eastAsia="Arial" w:hAnsi="Cambria" w:cs="Arial"/>
          <w:spacing w:val="-1"/>
        </w:rPr>
        <w:t>i</w:t>
      </w:r>
      <w:r w:rsidRPr="009A0DA6">
        <w:rPr>
          <w:rFonts w:ascii="Cambria" w:eastAsia="Arial" w:hAnsi="Cambria" w:cs="Arial"/>
        </w:rPr>
        <w:t>te</w:t>
      </w:r>
      <w:r w:rsidRPr="009A0DA6">
        <w:rPr>
          <w:rFonts w:ascii="Cambria" w:eastAsia="Arial" w:hAnsi="Cambria" w:cs="Arial"/>
          <w:spacing w:val="-1"/>
        </w:rPr>
        <w:t>n</w:t>
      </w:r>
      <w:r w:rsidRPr="009A0DA6">
        <w:rPr>
          <w:rFonts w:ascii="Cambria" w:eastAsia="Arial" w:hAnsi="Cambria" w:cs="Arial"/>
        </w:rPr>
        <w:t>d</w:t>
      </w:r>
      <w:r w:rsidRPr="009A0DA6">
        <w:rPr>
          <w:rFonts w:ascii="Cambria" w:eastAsia="Arial" w:hAnsi="Cambria" w:cs="Arial"/>
          <w:spacing w:val="-1"/>
        </w:rPr>
        <w:t>a</w:t>
      </w:r>
      <w:r w:rsidRPr="009A0DA6">
        <w:rPr>
          <w:rFonts w:ascii="Cambria" w:eastAsia="Arial" w:hAnsi="Cambria" w:cs="Arial"/>
        </w:rPr>
        <w:t>g</w:t>
      </w:r>
      <w:r w:rsidRPr="009A0DA6">
        <w:rPr>
          <w:rFonts w:ascii="Cambria" w:eastAsia="Arial" w:hAnsi="Cambria" w:cs="Arial"/>
        </w:rPr>
        <w:tab/>
        <w:t>10,000</w:t>
      </w:r>
    </w:p>
    <w:p w14:paraId="24FF26C8" w14:textId="77777777" w:rsidR="002E592D" w:rsidRPr="009A0DA6" w:rsidRDefault="002E592D" w:rsidP="002E592D">
      <w:pPr>
        <w:tabs>
          <w:tab w:val="right" w:pos="5954"/>
          <w:tab w:val="right" w:pos="7371"/>
          <w:tab w:val="right" w:pos="8789"/>
        </w:tabs>
        <w:spacing w:before="120" w:after="120" w:line="240" w:lineRule="auto"/>
        <w:ind w:right="-20"/>
        <w:contextualSpacing/>
        <w:rPr>
          <w:rFonts w:ascii="Cambria" w:eastAsia="Arial" w:hAnsi="Cambria" w:cs="Arial"/>
        </w:rPr>
      </w:pPr>
      <w:r w:rsidRPr="009A0DA6">
        <w:rPr>
          <w:rFonts w:ascii="Cambria" w:eastAsia="Arial" w:hAnsi="Cambria" w:cs="Arial"/>
        </w:rPr>
        <w:t>Rev</w:t>
      </w:r>
      <w:r w:rsidRPr="009A0DA6">
        <w:rPr>
          <w:rFonts w:ascii="Cambria" w:eastAsia="Arial" w:hAnsi="Cambria" w:cs="Arial"/>
          <w:spacing w:val="-6"/>
        </w:rPr>
        <w:t xml:space="preserve"> </w:t>
      </w:r>
      <w:r w:rsidRPr="009A0DA6">
        <w:rPr>
          <w:rFonts w:ascii="Cambria" w:eastAsia="Arial" w:hAnsi="Cambria" w:cs="Arial"/>
        </w:rPr>
        <w:t>T</w:t>
      </w:r>
      <w:r w:rsidRPr="009A0DA6">
        <w:rPr>
          <w:rFonts w:ascii="Cambria" w:eastAsia="Arial" w:hAnsi="Cambria" w:cs="Arial"/>
          <w:spacing w:val="2"/>
        </w:rPr>
        <w:t xml:space="preserve"> </w:t>
      </w:r>
      <w:r w:rsidRPr="009A0DA6">
        <w:rPr>
          <w:rFonts w:ascii="Cambria" w:eastAsia="Arial" w:hAnsi="Cambria" w:cs="Arial"/>
        </w:rPr>
        <w:t>Ca</w:t>
      </w:r>
      <w:r w:rsidRPr="009A0DA6">
        <w:rPr>
          <w:rFonts w:ascii="Cambria" w:eastAsia="Arial" w:hAnsi="Cambria" w:cs="Arial"/>
          <w:spacing w:val="1"/>
        </w:rPr>
        <w:t>s</w:t>
      </w:r>
      <w:r w:rsidRPr="009A0DA6">
        <w:rPr>
          <w:rFonts w:ascii="Cambria" w:eastAsia="Arial" w:hAnsi="Cambria" w:cs="Arial"/>
        </w:rPr>
        <w:t>t</w:t>
      </w:r>
      <w:r w:rsidRPr="009A0DA6">
        <w:rPr>
          <w:rFonts w:ascii="Cambria" w:eastAsia="Arial" w:hAnsi="Cambria" w:cs="Arial"/>
          <w:spacing w:val="-1"/>
        </w:rPr>
        <w:t>l</w:t>
      </w:r>
      <w:r w:rsidRPr="009A0DA6">
        <w:rPr>
          <w:rFonts w:ascii="Cambria" w:eastAsia="Arial" w:hAnsi="Cambria" w:cs="Arial"/>
        </w:rPr>
        <w:t>e-S</w:t>
      </w:r>
      <w:r w:rsidRPr="009A0DA6">
        <w:rPr>
          <w:rFonts w:ascii="Cambria" w:eastAsia="Arial" w:hAnsi="Cambria" w:cs="Arial"/>
          <w:spacing w:val="1"/>
        </w:rPr>
        <w:t>c</w:t>
      </w:r>
      <w:r w:rsidRPr="009A0DA6">
        <w:rPr>
          <w:rFonts w:ascii="Cambria" w:eastAsia="Arial" w:hAnsi="Cambria" w:cs="Arial"/>
        </w:rPr>
        <w:t>h</w:t>
      </w:r>
      <w:r w:rsidRPr="009A0DA6">
        <w:rPr>
          <w:rFonts w:ascii="Cambria" w:eastAsia="Arial" w:hAnsi="Cambria" w:cs="Arial"/>
          <w:spacing w:val="4"/>
        </w:rPr>
        <w:t>m</w:t>
      </w:r>
      <w:r w:rsidRPr="009A0DA6">
        <w:rPr>
          <w:rFonts w:ascii="Cambria" w:eastAsia="Arial" w:hAnsi="Cambria" w:cs="Arial"/>
          <w:spacing w:val="-1"/>
        </w:rPr>
        <w:t>i</w:t>
      </w:r>
      <w:r w:rsidRPr="009A0DA6">
        <w:rPr>
          <w:rFonts w:ascii="Cambria" w:eastAsia="Arial" w:hAnsi="Cambria" w:cs="Arial"/>
        </w:rPr>
        <w:t>dt</w:t>
      </w:r>
      <w:r w:rsidRPr="009A0DA6">
        <w:rPr>
          <w:rFonts w:ascii="Cambria" w:eastAsia="Arial" w:hAnsi="Cambria" w:cs="Arial"/>
        </w:rPr>
        <w:tab/>
        <w:t>10,000</w:t>
      </w:r>
    </w:p>
    <w:p w14:paraId="6B7F91CF" w14:textId="5426665A" w:rsidR="002E592D" w:rsidRPr="009A0DA6" w:rsidRDefault="002E592D" w:rsidP="002E592D">
      <w:pPr>
        <w:tabs>
          <w:tab w:val="right" w:pos="5954"/>
          <w:tab w:val="right" w:pos="7371"/>
          <w:tab w:val="right" w:pos="8789"/>
        </w:tabs>
        <w:spacing w:before="120" w:after="120" w:line="240" w:lineRule="auto"/>
        <w:ind w:right="-20"/>
        <w:contextualSpacing/>
        <w:rPr>
          <w:rFonts w:ascii="Cambria" w:eastAsia="Arial" w:hAnsi="Cambria" w:cs="Arial"/>
        </w:rPr>
      </w:pPr>
      <w:r w:rsidRPr="009A0DA6">
        <w:rPr>
          <w:rFonts w:ascii="Cambria" w:hAnsi="Cambria"/>
        </w:rPr>
        <w:tab/>
      </w:r>
      <w:r w:rsidR="00876946">
        <w:rPr>
          <w:rFonts w:ascii="Cambria" w:hAnsi="Cambria"/>
        </w:rPr>
        <w:t>$</w:t>
      </w:r>
      <w:r w:rsidRPr="009A0DA6">
        <w:rPr>
          <w:rFonts w:ascii="Cambria" w:eastAsia="Arial" w:hAnsi="Cambria" w:cs="Arial"/>
          <w:b/>
          <w:bCs/>
          <w:w w:val="99"/>
        </w:rPr>
        <w:t>179,500</w:t>
      </w:r>
    </w:p>
    <w:p w14:paraId="5A14069C" w14:textId="400F5914" w:rsidR="007408EE" w:rsidRDefault="002E592D" w:rsidP="00427D86">
      <w:pPr>
        <w:pStyle w:val="Heading3"/>
      </w:pPr>
      <w:r w:rsidRPr="009A0DA6">
        <w:t xml:space="preserve"> </w:t>
      </w:r>
    </w:p>
    <w:p w14:paraId="27D93227" w14:textId="77777777" w:rsidR="00427D86" w:rsidRPr="00427D86" w:rsidRDefault="00427D86" w:rsidP="00427D86">
      <w:pPr>
        <w:pStyle w:val="NoSpacing"/>
      </w:pPr>
    </w:p>
    <w:p w14:paraId="75803583" w14:textId="77777777" w:rsidR="00206BF6" w:rsidRDefault="00206BF6">
      <w:pPr>
        <w:rPr>
          <w:rFonts w:ascii="Cambria" w:eastAsiaTheme="majorEastAsia" w:hAnsi="Cambria" w:cstheme="majorBidi"/>
          <w:b/>
          <w:caps/>
          <w:sz w:val="28"/>
          <w:szCs w:val="24"/>
        </w:rPr>
      </w:pPr>
      <w:r>
        <w:br w:type="page"/>
      </w:r>
    </w:p>
    <w:p w14:paraId="18099EA9" w14:textId="31ADD990" w:rsidR="002E592D" w:rsidRPr="009A0DA6" w:rsidRDefault="002E592D" w:rsidP="002E592D">
      <w:pPr>
        <w:pStyle w:val="Heading3"/>
      </w:pPr>
      <w:r w:rsidRPr="009A0DA6">
        <w:lastRenderedPageBreak/>
        <w:t xml:space="preserve">agenda 14.12 </w:t>
      </w:r>
    </w:p>
    <w:p w14:paraId="44187D34" w14:textId="77777777" w:rsidR="002E592D" w:rsidRPr="009A0DA6" w:rsidRDefault="002E592D" w:rsidP="002E592D">
      <w:pPr>
        <w:pStyle w:val="Heading2"/>
      </w:pPr>
      <w:bookmarkStart w:id="526" w:name="_Toc521954763"/>
      <w:r w:rsidRPr="009A0DA6">
        <w:t>Financial Report: LCA Insurance Fund</w:t>
      </w:r>
      <w:bookmarkEnd w:id="526"/>
    </w:p>
    <w:p w14:paraId="7A881C7D" w14:textId="77777777" w:rsidR="002E592D" w:rsidRPr="009A0DA6" w:rsidRDefault="002E592D" w:rsidP="002E592D">
      <w:pPr>
        <w:pStyle w:val="NoSpacing"/>
      </w:pPr>
    </w:p>
    <w:p w14:paraId="52B9D721" w14:textId="77777777" w:rsidR="002E592D" w:rsidRPr="009A0DA6" w:rsidRDefault="002E592D" w:rsidP="00766B14">
      <w:pPr>
        <w:pStyle w:val="NoSpacing"/>
        <w:pBdr>
          <w:between w:val="single" w:sz="4" w:space="1" w:color="auto"/>
        </w:pBdr>
        <w:rPr>
          <w:b/>
          <w:lang w:eastAsia="en-AU"/>
        </w:rPr>
      </w:pPr>
      <w:r w:rsidRPr="009A0DA6">
        <w:rPr>
          <w:b/>
          <w:lang w:eastAsia="en-AU"/>
        </w:rPr>
        <w:t xml:space="preserve">INCOME AND EXPENDITURE STATEMENT </w:t>
      </w:r>
    </w:p>
    <w:p w14:paraId="3E7EE03C" w14:textId="31621E06" w:rsidR="002E592D" w:rsidRPr="009A0DA6" w:rsidRDefault="002E1492" w:rsidP="002E1492">
      <w:pPr>
        <w:pStyle w:val="NoSpacing"/>
        <w:rPr>
          <w:rFonts w:eastAsia="Times New Roman" w:cs="Arial"/>
          <w:b/>
          <w:bCs/>
          <w:lang w:eastAsia="en-AU"/>
        </w:rPr>
      </w:pPr>
      <w:r w:rsidRPr="009A0DA6">
        <w:rPr>
          <w:b/>
        </w:rPr>
        <w:t xml:space="preserve">FOR </w:t>
      </w:r>
      <w:r>
        <w:rPr>
          <w:b/>
        </w:rPr>
        <w:t>THE PERIODS ENDING</w:t>
      </w:r>
      <w:r w:rsidRPr="009A0DA6">
        <w:rPr>
          <w:b/>
        </w:rPr>
        <w:t xml:space="preserve"> </w:t>
      </w:r>
      <w:r w:rsidR="002E592D" w:rsidRPr="009A0DA6">
        <w:rPr>
          <w:rFonts w:eastAsia="Times New Roman" w:cs="Arial"/>
          <w:b/>
          <w:bCs/>
          <w:lang w:eastAsia="en-AU"/>
        </w:rPr>
        <w:t>30 JUNE</w:t>
      </w:r>
    </w:p>
    <w:p w14:paraId="246D3012" w14:textId="77777777" w:rsidR="002E592D" w:rsidRPr="009A0DA6" w:rsidRDefault="002E592D" w:rsidP="002E592D">
      <w:pPr>
        <w:tabs>
          <w:tab w:val="right" w:pos="5954"/>
          <w:tab w:val="right" w:pos="7371"/>
          <w:tab w:val="right" w:pos="8789"/>
        </w:tabs>
        <w:spacing w:after="0" w:line="240" w:lineRule="auto"/>
        <w:rPr>
          <w:rFonts w:ascii="Cambria" w:hAnsi="Cambria"/>
          <w:lang w:eastAsia="ja-JP"/>
        </w:rPr>
      </w:pPr>
      <w:r w:rsidRPr="009A0DA6">
        <w:rPr>
          <w:rFonts w:ascii="Cambria" w:eastAsia="Times New Roman" w:hAnsi="Cambria" w:cs="Times New Roman"/>
          <w:b/>
          <w:bCs/>
        </w:rPr>
        <w:tab/>
      </w:r>
      <w:r w:rsidRPr="009A0DA6">
        <w:rPr>
          <w:rFonts w:ascii="Cambria" w:hAnsi="Cambria"/>
        </w:rPr>
        <w:t>2017</w:t>
      </w:r>
      <w:r w:rsidRPr="009A0DA6">
        <w:rPr>
          <w:rFonts w:ascii="Cambria" w:hAnsi="Cambria"/>
        </w:rPr>
        <w:tab/>
        <w:t>2016</w:t>
      </w:r>
      <w:r w:rsidRPr="009A0DA6">
        <w:rPr>
          <w:rFonts w:ascii="Cambria" w:hAnsi="Cambria"/>
        </w:rPr>
        <w:tab/>
        <w:t>2015</w:t>
      </w:r>
    </w:p>
    <w:p w14:paraId="0BD9E6F4" w14:textId="77777777" w:rsidR="002E592D" w:rsidRPr="009A0DA6" w:rsidRDefault="002E592D" w:rsidP="002E592D">
      <w:pPr>
        <w:tabs>
          <w:tab w:val="right" w:pos="5954"/>
          <w:tab w:val="right" w:pos="7371"/>
          <w:tab w:val="right" w:pos="8789"/>
        </w:tabs>
        <w:spacing w:after="0" w:line="240" w:lineRule="auto"/>
        <w:rPr>
          <w:rFonts w:ascii="Cambria" w:eastAsiaTheme="minorEastAsia" w:hAnsi="Cambria"/>
          <w:b/>
        </w:rPr>
      </w:pPr>
      <w:r w:rsidRPr="009A0DA6">
        <w:rPr>
          <w:rFonts w:ascii="Cambria" w:hAnsi="Cambria"/>
          <w:b/>
          <w:spacing w:val="-1"/>
        </w:rPr>
        <w:t>I</w:t>
      </w:r>
      <w:r w:rsidRPr="009A0DA6">
        <w:rPr>
          <w:rFonts w:ascii="Cambria" w:hAnsi="Cambria"/>
          <w:b/>
        </w:rPr>
        <w:t>NC</w:t>
      </w:r>
      <w:r w:rsidRPr="009A0DA6">
        <w:rPr>
          <w:rFonts w:ascii="Cambria" w:hAnsi="Cambria"/>
          <w:b/>
          <w:spacing w:val="1"/>
        </w:rPr>
        <w:t>O</w:t>
      </w:r>
      <w:r w:rsidRPr="009A0DA6">
        <w:rPr>
          <w:rFonts w:ascii="Cambria" w:hAnsi="Cambria"/>
          <w:b/>
          <w:spacing w:val="4"/>
        </w:rPr>
        <w:t>M</w:t>
      </w:r>
      <w:r w:rsidRPr="009A0DA6">
        <w:rPr>
          <w:rFonts w:ascii="Cambria" w:hAnsi="Cambria"/>
          <w:b/>
        </w:rPr>
        <w:t>E</w:t>
      </w:r>
    </w:p>
    <w:p w14:paraId="417DCBE6" w14:textId="77777777" w:rsidR="002E592D" w:rsidRPr="009A0DA6" w:rsidRDefault="002E592D" w:rsidP="002E592D">
      <w:pPr>
        <w:tabs>
          <w:tab w:val="right" w:pos="5954"/>
          <w:tab w:val="right" w:pos="7371"/>
          <w:tab w:val="right" w:pos="8789"/>
        </w:tabs>
        <w:spacing w:after="0" w:line="240" w:lineRule="auto"/>
        <w:rPr>
          <w:rFonts w:ascii="Cambria" w:hAnsi="Cambria"/>
        </w:rPr>
      </w:pPr>
      <w:r w:rsidRPr="009A0DA6">
        <w:rPr>
          <w:rFonts w:ascii="Cambria" w:hAnsi="Cambria"/>
          <w:spacing w:val="1"/>
        </w:rPr>
        <w:t>Bro</w:t>
      </w:r>
      <w:r w:rsidRPr="009A0DA6">
        <w:rPr>
          <w:rFonts w:ascii="Cambria" w:hAnsi="Cambria"/>
          <w:spacing w:val="-1"/>
        </w:rPr>
        <w:t>k</w:t>
      </w:r>
      <w:r w:rsidRPr="009A0DA6">
        <w:rPr>
          <w:rFonts w:ascii="Cambria" w:hAnsi="Cambria"/>
        </w:rPr>
        <w:t>e</w:t>
      </w:r>
      <w:r w:rsidRPr="009A0DA6">
        <w:rPr>
          <w:rFonts w:ascii="Cambria" w:hAnsi="Cambria"/>
          <w:spacing w:val="1"/>
        </w:rPr>
        <w:t>r</w:t>
      </w:r>
      <w:r w:rsidRPr="009A0DA6">
        <w:rPr>
          <w:rFonts w:ascii="Cambria" w:hAnsi="Cambria"/>
        </w:rPr>
        <w:t>a</w:t>
      </w:r>
      <w:r w:rsidRPr="009A0DA6">
        <w:rPr>
          <w:rFonts w:ascii="Cambria" w:hAnsi="Cambria"/>
          <w:spacing w:val="-1"/>
        </w:rPr>
        <w:t>g</w:t>
      </w:r>
      <w:r w:rsidRPr="009A0DA6">
        <w:rPr>
          <w:rFonts w:ascii="Cambria" w:hAnsi="Cambria"/>
        </w:rPr>
        <w:t>e</w:t>
      </w:r>
      <w:r w:rsidRPr="009A0DA6">
        <w:rPr>
          <w:rFonts w:ascii="Cambria" w:hAnsi="Cambria"/>
          <w:spacing w:val="-7"/>
        </w:rPr>
        <w:t xml:space="preserve"> </w:t>
      </w:r>
      <w:r w:rsidRPr="009A0DA6">
        <w:rPr>
          <w:rFonts w:ascii="Cambria" w:hAnsi="Cambria"/>
          <w:spacing w:val="-2"/>
        </w:rPr>
        <w:t>f</w:t>
      </w:r>
      <w:r w:rsidRPr="009A0DA6">
        <w:rPr>
          <w:rFonts w:ascii="Cambria" w:hAnsi="Cambria"/>
          <w:spacing w:val="1"/>
        </w:rPr>
        <w:t>ro</w:t>
      </w:r>
      <w:r w:rsidRPr="009A0DA6">
        <w:rPr>
          <w:rFonts w:ascii="Cambria" w:hAnsi="Cambria"/>
        </w:rPr>
        <w:t>m</w:t>
      </w:r>
      <w:r w:rsidRPr="009A0DA6">
        <w:rPr>
          <w:rFonts w:ascii="Cambria" w:hAnsi="Cambria"/>
          <w:spacing w:val="-8"/>
        </w:rPr>
        <w:t xml:space="preserve"> </w:t>
      </w:r>
      <w:r w:rsidRPr="009A0DA6">
        <w:rPr>
          <w:rFonts w:ascii="Cambria" w:hAnsi="Cambria"/>
          <w:spacing w:val="1"/>
        </w:rPr>
        <w:t>W</w:t>
      </w:r>
      <w:r w:rsidRPr="009A0DA6">
        <w:rPr>
          <w:rFonts w:ascii="Cambria" w:hAnsi="Cambria"/>
        </w:rPr>
        <w:t>es</w:t>
      </w:r>
      <w:r w:rsidRPr="009A0DA6">
        <w:rPr>
          <w:rFonts w:ascii="Cambria" w:hAnsi="Cambria"/>
          <w:spacing w:val="-2"/>
        </w:rPr>
        <w:t>f</w:t>
      </w:r>
      <w:r w:rsidRPr="009A0DA6">
        <w:rPr>
          <w:rFonts w:ascii="Cambria" w:hAnsi="Cambria"/>
        </w:rPr>
        <w:t>a</w:t>
      </w:r>
      <w:r w:rsidRPr="009A0DA6">
        <w:rPr>
          <w:rFonts w:ascii="Cambria" w:hAnsi="Cambria"/>
          <w:spacing w:val="1"/>
        </w:rPr>
        <w:t>r</w:t>
      </w:r>
      <w:r w:rsidRPr="009A0DA6">
        <w:rPr>
          <w:rFonts w:ascii="Cambria" w:hAnsi="Cambria"/>
          <w:spacing w:val="-4"/>
        </w:rPr>
        <w:t>m</w:t>
      </w:r>
      <w:r w:rsidRPr="009A0DA6">
        <w:rPr>
          <w:rFonts w:ascii="Cambria" w:hAnsi="Cambria"/>
        </w:rPr>
        <w:t>e</w:t>
      </w:r>
      <w:r w:rsidRPr="009A0DA6">
        <w:rPr>
          <w:rFonts w:ascii="Cambria" w:hAnsi="Cambria"/>
          <w:spacing w:val="1"/>
        </w:rPr>
        <w:t>r</w:t>
      </w:r>
      <w:r w:rsidRPr="009A0DA6">
        <w:rPr>
          <w:rFonts w:ascii="Cambria" w:hAnsi="Cambria"/>
        </w:rPr>
        <w:t>s</w:t>
      </w:r>
      <w:r w:rsidRPr="009A0DA6">
        <w:rPr>
          <w:rFonts w:ascii="Cambria" w:hAnsi="Cambria"/>
        </w:rPr>
        <w:tab/>
      </w:r>
      <w:r w:rsidRPr="009A0DA6">
        <w:rPr>
          <w:rFonts w:ascii="Cambria" w:hAnsi="Cambria"/>
          <w:spacing w:val="1"/>
        </w:rPr>
        <w:t>5</w:t>
      </w:r>
      <w:r w:rsidRPr="009A0DA6">
        <w:rPr>
          <w:rFonts w:ascii="Cambria" w:hAnsi="Cambria"/>
        </w:rPr>
        <w:t>,</w:t>
      </w:r>
      <w:r w:rsidRPr="009A0DA6">
        <w:rPr>
          <w:rFonts w:ascii="Cambria" w:hAnsi="Cambria"/>
          <w:spacing w:val="1"/>
        </w:rPr>
        <w:t>51</w:t>
      </w:r>
      <w:r w:rsidRPr="009A0DA6">
        <w:rPr>
          <w:rFonts w:ascii="Cambria" w:hAnsi="Cambria"/>
        </w:rPr>
        <w:t>3</w:t>
      </w:r>
      <w:r w:rsidRPr="009A0DA6">
        <w:rPr>
          <w:rFonts w:ascii="Cambria" w:hAnsi="Cambria"/>
        </w:rPr>
        <w:tab/>
      </w:r>
      <w:r w:rsidRPr="009A0DA6">
        <w:rPr>
          <w:rFonts w:ascii="Cambria" w:hAnsi="Cambria"/>
          <w:spacing w:val="1"/>
        </w:rPr>
        <w:t>6</w:t>
      </w:r>
      <w:r w:rsidRPr="009A0DA6">
        <w:rPr>
          <w:rFonts w:ascii="Cambria" w:hAnsi="Cambria"/>
        </w:rPr>
        <w:t>,</w:t>
      </w:r>
      <w:r w:rsidRPr="009A0DA6">
        <w:rPr>
          <w:rFonts w:ascii="Cambria" w:hAnsi="Cambria"/>
          <w:spacing w:val="1"/>
        </w:rPr>
        <w:t>90</w:t>
      </w:r>
      <w:r w:rsidRPr="009A0DA6">
        <w:rPr>
          <w:rFonts w:ascii="Cambria" w:hAnsi="Cambria"/>
        </w:rPr>
        <w:t>4</w:t>
      </w:r>
      <w:r w:rsidRPr="009A0DA6">
        <w:rPr>
          <w:rFonts w:ascii="Cambria" w:hAnsi="Cambria"/>
        </w:rPr>
        <w:tab/>
        <w:t>4,012</w:t>
      </w:r>
    </w:p>
    <w:p w14:paraId="1204054F" w14:textId="77777777" w:rsidR="002E592D" w:rsidRPr="009A0DA6" w:rsidRDefault="002E592D" w:rsidP="002E592D">
      <w:pPr>
        <w:tabs>
          <w:tab w:val="right" w:pos="5954"/>
          <w:tab w:val="right" w:pos="7371"/>
          <w:tab w:val="right" w:pos="8789"/>
        </w:tabs>
        <w:spacing w:after="0" w:line="240" w:lineRule="auto"/>
        <w:rPr>
          <w:rFonts w:ascii="Cambria" w:hAnsi="Cambria"/>
        </w:rPr>
      </w:pPr>
      <w:r w:rsidRPr="009A0DA6">
        <w:rPr>
          <w:rFonts w:ascii="Cambria" w:hAnsi="Cambria"/>
          <w:spacing w:val="-1"/>
        </w:rPr>
        <w:t>C</w:t>
      </w:r>
      <w:r w:rsidRPr="009A0DA6">
        <w:rPr>
          <w:rFonts w:ascii="Cambria" w:hAnsi="Cambria"/>
          <w:spacing w:val="1"/>
        </w:rPr>
        <w:t>o</w:t>
      </w:r>
      <w:r w:rsidRPr="009A0DA6">
        <w:rPr>
          <w:rFonts w:ascii="Cambria" w:hAnsi="Cambria"/>
          <w:spacing w:val="-1"/>
        </w:rPr>
        <w:t>n</w:t>
      </w:r>
      <w:r w:rsidRPr="009A0DA6">
        <w:rPr>
          <w:rFonts w:ascii="Cambria" w:hAnsi="Cambria"/>
        </w:rPr>
        <w:t>tra</w:t>
      </w:r>
      <w:r w:rsidRPr="009A0DA6">
        <w:rPr>
          <w:rFonts w:ascii="Cambria" w:hAnsi="Cambria"/>
          <w:spacing w:val="1"/>
        </w:rPr>
        <w:t>c</w:t>
      </w:r>
      <w:r w:rsidRPr="009A0DA6">
        <w:rPr>
          <w:rFonts w:ascii="Cambria" w:hAnsi="Cambria"/>
        </w:rPr>
        <w:t>t</w:t>
      </w:r>
      <w:r w:rsidRPr="009A0DA6">
        <w:rPr>
          <w:rFonts w:ascii="Cambria" w:hAnsi="Cambria"/>
          <w:spacing w:val="-7"/>
        </w:rPr>
        <w:t xml:space="preserve"> </w:t>
      </w:r>
      <w:r w:rsidRPr="009A0DA6">
        <w:rPr>
          <w:rFonts w:ascii="Cambria" w:hAnsi="Cambria"/>
          <w:spacing w:val="-4"/>
        </w:rPr>
        <w:t>w</w:t>
      </w:r>
      <w:r w:rsidRPr="009A0DA6">
        <w:rPr>
          <w:rFonts w:ascii="Cambria" w:hAnsi="Cambria"/>
          <w:spacing w:val="1"/>
        </w:rPr>
        <w:t>or</w:t>
      </w:r>
      <w:r w:rsidRPr="009A0DA6">
        <w:rPr>
          <w:rFonts w:ascii="Cambria" w:hAnsi="Cambria"/>
          <w:spacing w:val="-1"/>
        </w:rPr>
        <w:t>k</w:t>
      </w:r>
      <w:r w:rsidRPr="009A0DA6">
        <w:rPr>
          <w:rFonts w:ascii="Cambria" w:hAnsi="Cambria"/>
        </w:rPr>
        <w:t>s</w:t>
      </w:r>
      <w:r w:rsidRPr="009A0DA6">
        <w:rPr>
          <w:rFonts w:ascii="Cambria" w:hAnsi="Cambria"/>
          <w:spacing w:val="-5"/>
        </w:rPr>
        <w:t xml:space="preserve"> </w:t>
      </w:r>
      <w:r w:rsidRPr="009A0DA6">
        <w:rPr>
          <w:rFonts w:ascii="Cambria" w:hAnsi="Cambria"/>
          <w:spacing w:val="1"/>
        </w:rPr>
        <w:t>pr</w:t>
      </w:r>
      <w:r w:rsidRPr="009A0DA6">
        <w:rPr>
          <w:rFonts w:ascii="Cambria" w:hAnsi="Cambria"/>
        </w:rPr>
        <w:t>e</w:t>
      </w:r>
      <w:r w:rsidRPr="009A0DA6">
        <w:rPr>
          <w:rFonts w:ascii="Cambria" w:hAnsi="Cambria"/>
          <w:spacing w:val="-3"/>
        </w:rPr>
        <w:t>m</w:t>
      </w:r>
      <w:r w:rsidRPr="009A0DA6">
        <w:rPr>
          <w:rFonts w:ascii="Cambria" w:hAnsi="Cambria"/>
        </w:rPr>
        <w:t>i</w:t>
      </w:r>
      <w:r w:rsidRPr="009A0DA6">
        <w:rPr>
          <w:rFonts w:ascii="Cambria" w:hAnsi="Cambria"/>
          <w:spacing w:val="-1"/>
        </w:rPr>
        <w:t>u</w:t>
      </w:r>
      <w:r w:rsidRPr="009A0DA6">
        <w:rPr>
          <w:rFonts w:ascii="Cambria" w:hAnsi="Cambria"/>
          <w:spacing w:val="-4"/>
        </w:rPr>
        <w:t>m</w:t>
      </w:r>
      <w:r w:rsidRPr="009A0DA6">
        <w:rPr>
          <w:rFonts w:ascii="Cambria" w:hAnsi="Cambria"/>
        </w:rPr>
        <w:t>s</w:t>
      </w:r>
      <w:r w:rsidRPr="009A0DA6">
        <w:rPr>
          <w:rFonts w:ascii="Cambria" w:hAnsi="Cambria"/>
        </w:rPr>
        <w:tab/>
      </w:r>
      <w:r w:rsidRPr="009A0DA6">
        <w:rPr>
          <w:rFonts w:ascii="Cambria" w:hAnsi="Cambria"/>
          <w:spacing w:val="1"/>
        </w:rPr>
        <w:t>2</w:t>
      </w:r>
      <w:r w:rsidRPr="009A0DA6">
        <w:rPr>
          <w:rFonts w:ascii="Cambria" w:hAnsi="Cambria"/>
        </w:rPr>
        <w:t>,</w:t>
      </w:r>
      <w:r w:rsidRPr="009A0DA6">
        <w:rPr>
          <w:rFonts w:ascii="Cambria" w:hAnsi="Cambria"/>
          <w:spacing w:val="1"/>
        </w:rPr>
        <w:t>61</w:t>
      </w:r>
      <w:r w:rsidRPr="009A0DA6">
        <w:rPr>
          <w:rFonts w:ascii="Cambria" w:hAnsi="Cambria"/>
        </w:rPr>
        <w:t>3</w:t>
      </w:r>
      <w:r w:rsidRPr="009A0DA6">
        <w:rPr>
          <w:rFonts w:ascii="Cambria" w:hAnsi="Cambria"/>
        </w:rPr>
        <w:tab/>
      </w:r>
      <w:r w:rsidRPr="009A0DA6">
        <w:rPr>
          <w:rFonts w:ascii="Cambria" w:hAnsi="Cambria"/>
          <w:spacing w:val="1"/>
        </w:rPr>
        <w:t>12</w:t>
      </w:r>
      <w:r w:rsidRPr="009A0DA6">
        <w:rPr>
          <w:rFonts w:ascii="Cambria" w:hAnsi="Cambria"/>
        </w:rPr>
        <w:t>,</w:t>
      </w:r>
      <w:r w:rsidRPr="009A0DA6">
        <w:rPr>
          <w:rFonts w:ascii="Cambria" w:hAnsi="Cambria"/>
          <w:spacing w:val="1"/>
        </w:rPr>
        <w:t>6</w:t>
      </w:r>
      <w:r w:rsidRPr="009A0DA6">
        <w:rPr>
          <w:rFonts w:ascii="Cambria" w:hAnsi="Cambria"/>
          <w:spacing w:val="3"/>
        </w:rPr>
        <w:t>6</w:t>
      </w:r>
      <w:r w:rsidRPr="009A0DA6">
        <w:rPr>
          <w:rFonts w:ascii="Cambria" w:hAnsi="Cambria"/>
        </w:rPr>
        <w:t>4</w:t>
      </w:r>
      <w:r w:rsidRPr="009A0DA6">
        <w:rPr>
          <w:rFonts w:ascii="Cambria" w:hAnsi="Cambria"/>
        </w:rPr>
        <w:tab/>
        <w:t>2,639</w:t>
      </w:r>
    </w:p>
    <w:p w14:paraId="3F4C5781" w14:textId="77777777" w:rsidR="002E592D" w:rsidRPr="009A0DA6" w:rsidRDefault="002E592D" w:rsidP="002E592D">
      <w:pPr>
        <w:tabs>
          <w:tab w:val="right" w:pos="5954"/>
          <w:tab w:val="right" w:pos="7371"/>
          <w:tab w:val="right" w:pos="8789"/>
        </w:tabs>
        <w:spacing w:after="0" w:line="240" w:lineRule="auto"/>
        <w:rPr>
          <w:rFonts w:ascii="Cambria" w:hAnsi="Cambria"/>
        </w:rPr>
      </w:pPr>
      <w:r w:rsidRPr="009A0DA6">
        <w:rPr>
          <w:rFonts w:ascii="Cambria" w:hAnsi="Cambria"/>
          <w:spacing w:val="1"/>
        </w:rPr>
        <w:t>I</w:t>
      </w:r>
      <w:r w:rsidRPr="009A0DA6">
        <w:rPr>
          <w:rFonts w:ascii="Cambria" w:hAnsi="Cambria"/>
          <w:spacing w:val="-1"/>
        </w:rPr>
        <w:t>nsu</w:t>
      </w:r>
      <w:r w:rsidRPr="009A0DA6">
        <w:rPr>
          <w:rFonts w:ascii="Cambria" w:hAnsi="Cambria"/>
          <w:spacing w:val="1"/>
        </w:rPr>
        <w:t>r</w:t>
      </w:r>
      <w:r w:rsidRPr="009A0DA6">
        <w:rPr>
          <w:rFonts w:ascii="Cambria" w:hAnsi="Cambria"/>
        </w:rPr>
        <w:t>a</w:t>
      </w:r>
      <w:r w:rsidRPr="009A0DA6">
        <w:rPr>
          <w:rFonts w:ascii="Cambria" w:hAnsi="Cambria"/>
          <w:spacing w:val="-1"/>
        </w:rPr>
        <w:t>n</w:t>
      </w:r>
      <w:r w:rsidRPr="009A0DA6">
        <w:rPr>
          <w:rFonts w:ascii="Cambria" w:hAnsi="Cambria"/>
        </w:rPr>
        <w:t>ce</w:t>
      </w:r>
      <w:r w:rsidRPr="009A0DA6">
        <w:rPr>
          <w:rFonts w:ascii="Cambria" w:hAnsi="Cambria"/>
          <w:spacing w:val="-7"/>
        </w:rPr>
        <w:t xml:space="preserve"> </w:t>
      </w:r>
      <w:r w:rsidRPr="009A0DA6">
        <w:rPr>
          <w:rFonts w:ascii="Cambria" w:hAnsi="Cambria"/>
          <w:spacing w:val="1"/>
        </w:rPr>
        <w:t>pr</w:t>
      </w:r>
      <w:r w:rsidRPr="009A0DA6">
        <w:rPr>
          <w:rFonts w:ascii="Cambria" w:hAnsi="Cambria"/>
        </w:rPr>
        <w:t>e</w:t>
      </w:r>
      <w:r w:rsidRPr="009A0DA6">
        <w:rPr>
          <w:rFonts w:ascii="Cambria" w:hAnsi="Cambria"/>
          <w:spacing w:val="-3"/>
        </w:rPr>
        <w:t>m</w:t>
      </w:r>
      <w:r w:rsidRPr="009A0DA6">
        <w:rPr>
          <w:rFonts w:ascii="Cambria" w:hAnsi="Cambria"/>
        </w:rPr>
        <w:t>i</w:t>
      </w:r>
      <w:r w:rsidRPr="009A0DA6">
        <w:rPr>
          <w:rFonts w:ascii="Cambria" w:hAnsi="Cambria"/>
          <w:spacing w:val="-1"/>
        </w:rPr>
        <w:t>u</w:t>
      </w:r>
      <w:r w:rsidRPr="009A0DA6">
        <w:rPr>
          <w:rFonts w:ascii="Cambria" w:hAnsi="Cambria"/>
          <w:spacing w:val="-4"/>
        </w:rPr>
        <w:t>m</w:t>
      </w:r>
      <w:r w:rsidRPr="009A0DA6">
        <w:rPr>
          <w:rFonts w:ascii="Cambria" w:hAnsi="Cambria"/>
        </w:rPr>
        <w:t>s</w:t>
      </w:r>
      <w:r w:rsidRPr="009A0DA6">
        <w:rPr>
          <w:rFonts w:ascii="Cambria" w:hAnsi="Cambria"/>
        </w:rPr>
        <w:tab/>
      </w:r>
      <w:r w:rsidRPr="009A0DA6">
        <w:rPr>
          <w:rFonts w:ascii="Cambria" w:hAnsi="Cambria"/>
          <w:spacing w:val="1"/>
        </w:rPr>
        <w:t>7</w:t>
      </w:r>
      <w:r w:rsidRPr="009A0DA6">
        <w:rPr>
          <w:rFonts w:ascii="Cambria" w:hAnsi="Cambria"/>
        </w:rPr>
        <w:t>,</w:t>
      </w:r>
      <w:r w:rsidRPr="009A0DA6">
        <w:rPr>
          <w:rFonts w:ascii="Cambria" w:hAnsi="Cambria"/>
          <w:spacing w:val="1"/>
        </w:rPr>
        <w:t>863</w:t>
      </w:r>
      <w:r w:rsidRPr="009A0DA6">
        <w:rPr>
          <w:rFonts w:ascii="Cambria" w:hAnsi="Cambria"/>
        </w:rPr>
        <w:t>,</w:t>
      </w:r>
      <w:r w:rsidRPr="009A0DA6">
        <w:rPr>
          <w:rFonts w:ascii="Cambria" w:hAnsi="Cambria"/>
          <w:spacing w:val="1"/>
        </w:rPr>
        <w:t>44</w:t>
      </w:r>
      <w:r w:rsidRPr="009A0DA6">
        <w:rPr>
          <w:rFonts w:ascii="Cambria" w:hAnsi="Cambria"/>
        </w:rPr>
        <w:t>7</w:t>
      </w:r>
      <w:r w:rsidRPr="009A0DA6">
        <w:rPr>
          <w:rFonts w:ascii="Cambria" w:hAnsi="Cambria"/>
        </w:rPr>
        <w:tab/>
      </w:r>
      <w:r w:rsidRPr="009A0DA6">
        <w:rPr>
          <w:rFonts w:ascii="Cambria" w:hAnsi="Cambria"/>
          <w:spacing w:val="1"/>
        </w:rPr>
        <w:t>6</w:t>
      </w:r>
      <w:r w:rsidRPr="009A0DA6">
        <w:rPr>
          <w:rFonts w:ascii="Cambria" w:hAnsi="Cambria"/>
        </w:rPr>
        <w:t>,</w:t>
      </w:r>
      <w:r w:rsidRPr="009A0DA6">
        <w:rPr>
          <w:rFonts w:ascii="Cambria" w:hAnsi="Cambria"/>
          <w:spacing w:val="1"/>
        </w:rPr>
        <w:t>570</w:t>
      </w:r>
      <w:r w:rsidRPr="009A0DA6">
        <w:rPr>
          <w:rFonts w:ascii="Cambria" w:hAnsi="Cambria"/>
        </w:rPr>
        <w:t>,</w:t>
      </w:r>
      <w:r w:rsidRPr="009A0DA6">
        <w:rPr>
          <w:rFonts w:ascii="Cambria" w:hAnsi="Cambria"/>
          <w:spacing w:val="1"/>
        </w:rPr>
        <w:t>47</w:t>
      </w:r>
      <w:r w:rsidRPr="009A0DA6">
        <w:rPr>
          <w:rFonts w:ascii="Cambria" w:hAnsi="Cambria"/>
        </w:rPr>
        <w:t>4</w:t>
      </w:r>
      <w:r w:rsidRPr="009A0DA6">
        <w:rPr>
          <w:rFonts w:ascii="Cambria" w:hAnsi="Cambria"/>
        </w:rPr>
        <w:tab/>
        <w:t>6,224,487</w:t>
      </w:r>
    </w:p>
    <w:p w14:paraId="6EC5C55B" w14:textId="77777777" w:rsidR="002E592D" w:rsidRPr="009A0DA6" w:rsidRDefault="002E592D" w:rsidP="002E592D">
      <w:pPr>
        <w:tabs>
          <w:tab w:val="right" w:pos="5954"/>
          <w:tab w:val="right" w:pos="7371"/>
          <w:tab w:val="right" w:pos="8789"/>
        </w:tabs>
        <w:spacing w:after="0" w:line="240" w:lineRule="auto"/>
        <w:rPr>
          <w:rFonts w:ascii="Cambria" w:hAnsi="Cambria"/>
        </w:rPr>
      </w:pPr>
      <w:r w:rsidRPr="009A0DA6">
        <w:rPr>
          <w:rFonts w:ascii="Cambria" w:hAnsi="Cambria"/>
          <w:spacing w:val="-1"/>
        </w:rPr>
        <w:t>R</w:t>
      </w:r>
      <w:r w:rsidRPr="009A0DA6">
        <w:rPr>
          <w:rFonts w:ascii="Cambria" w:hAnsi="Cambria"/>
        </w:rPr>
        <w:t>ei</w:t>
      </w:r>
      <w:r w:rsidRPr="009A0DA6">
        <w:rPr>
          <w:rFonts w:ascii="Cambria" w:hAnsi="Cambria"/>
          <w:spacing w:val="-4"/>
        </w:rPr>
        <w:t>m</w:t>
      </w:r>
      <w:r w:rsidRPr="009A0DA6">
        <w:rPr>
          <w:rFonts w:ascii="Cambria" w:hAnsi="Cambria"/>
          <w:spacing w:val="1"/>
        </w:rPr>
        <w:t>b</w:t>
      </w:r>
      <w:r w:rsidRPr="009A0DA6">
        <w:rPr>
          <w:rFonts w:ascii="Cambria" w:hAnsi="Cambria"/>
          <w:spacing w:val="-1"/>
        </w:rPr>
        <w:t>u</w:t>
      </w:r>
      <w:r w:rsidRPr="009A0DA6">
        <w:rPr>
          <w:rFonts w:ascii="Cambria" w:hAnsi="Cambria"/>
          <w:spacing w:val="1"/>
        </w:rPr>
        <w:t>r</w:t>
      </w:r>
      <w:r w:rsidRPr="009A0DA6">
        <w:rPr>
          <w:rFonts w:ascii="Cambria" w:hAnsi="Cambria"/>
          <w:spacing w:val="-1"/>
        </w:rPr>
        <w:t>s</w:t>
      </w:r>
      <w:r w:rsidRPr="009A0DA6">
        <w:rPr>
          <w:rFonts w:ascii="Cambria" w:hAnsi="Cambria"/>
        </w:rPr>
        <w:t>e</w:t>
      </w:r>
      <w:r w:rsidRPr="009A0DA6">
        <w:rPr>
          <w:rFonts w:ascii="Cambria" w:hAnsi="Cambria"/>
          <w:spacing w:val="-3"/>
        </w:rPr>
        <w:t>m</w:t>
      </w:r>
      <w:r w:rsidRPr="009A0DA6">
        <w:rPr>
          <w:rFonts w:ascii="Cambria" w:hAnsi="Cambria"/>
        </w:rPr>
        <w:t>e</w:t>
      </w:r>
      <w:r w:rsidRPr="009A0DA6">
        <w:rPr>
          <w:rFonts w:ascii="Cambria" w:hAnsi="Cambria"/>
          <w:spacing w:val="-1"/>
        </w:rPr>
        <w:t>n</w:t>
      </w:r>
      <w:r w:rsidRPr="009A0DA6">
        <w:rPr>
          <w:rFonts w:ascii="Cambria" w:hAnsi="Cambria"/>
        </w:rPr>
        <w:t>ts</w:t>
      </w:r>
      <w:r w:rsidRPr="009A0DA6">
        <w:rPr>
          <w:rFonts w:ascii="Cambria" w:hAnsi="Cambria"/>
        </w:rPr>
        <w:tab/>
      </w:r>
      <w:r w:rsidRPr="009A0DA6">
        <w:rPr>
          <w:rFonts w:ascii="Cambria" w:hAnsi="Cambria"/>
          <w:spacing w:val="1"/>
        </w:rPr>
        <w:t>17</w:t>
      </w:r>
      <w:r w:rsidRPr="009A0DA6">
        <w:rPr>
          <w:rFonts w:ascii="Cambria" w:hAnsi="Cambria"/>
        </w:rPr>
        <w:t>,</w:t>
      </w:r>
      <w:r w:rsidRPr="009A0DA6">
        <w:rPr>
          <w:rFonts w:ascii="Cambria" w:hAnsi="Cambria"/>
          <w:spacing w:val="1"/>
        </w:rPr>
        <w:t>91</w:t>
      </w:r>
      <w:r w:rsidRPr="009A0DA6">
        <w:rPr>
          <w:rFonts w:ascii="Cambria" w:hAnsi="Cambria"/>
        </w:rPr>
        <w:t>8</w:t>
      </w:r>
      <w:r w:rsidRPr="009A0DA6">
        <w:rPr>
          <w:rFonts w:ascii="Cambria" w:hAnsi="Cambria"/>
        </w:rPr>
        <w:tab/>
      </w:r>
      <w:r w:rsidRPr="009A0DA6">
        <w:rPr>
          <w:rFonts w:ascii="Cambria" w:hAnsi="Cambria"/>
          <w:spacing w:val="1"/>
        </w:rPr>
        <w:t>2</w:t>
      </w:r>
      <w:r w:rsidRPr="009A0DA6">
        <w:rPr>
          <w:rFonts w:ascii="Cambria" w:hAnsi="Cambria"/>
        </w:rPr>
        <w:t>,</w:t>
      </w:r>
      <w:r w:rsidRPr="009A0DA6">
        <w:rPr>
          <w:rFonts w:ascii="Cambria" w:hAnsi="Cambria"/>
          <w:spacing w:val="1"/>
        </w:rPr>
        <w:t>96</w:t>
      </w:r>
      <w:r w:rsidRPr="009A0DA6">
        <w:rPr>
          <w:rFonts w:ascii="Cambria" w:hAnsi="Cambria"/>
        </w:rPr>
        <w:t>3</w:t>
      </w:r>
      <w:r w:rsidRPr="009A0DA6">
        <w:rPr>
          <w:rFonts w:ascii="Cambria" w:hAnsi="Cambria"/>
        </w:rPr>
        <w:tab/>
        <w:t>10,028</w:t>
      </w:r>
    </w:p>
    <w:p w14:paraId="34311790" w14:textId="77777777" w:rsidR="002E592D" w:rsidRPr="009A0DA6" w:rsidRDefault="002E592D" w:rsidP="002E592D">
      <w:pPr>
        <w:tabs>
          <w:tab w:val="right" w:pos="5954"/>
          <w:tab w:val="right" w:pos="7371"/>
          <w:tab w:val="right" w:pos="8789"/>
        </w:tabs>
        <w:spacing w:after="0" w:line="240" w:lineRule="auto"/>
        <w:rPr>
          <w:rFonts w:ascii="Cambria" w:hAnsi="Cambria"/>
        </w:rPr>
      </w:pPr>
      <w:r w:rsidRPr="009A0DA6">
        <w:rPr>
          <w:rFonts w:ascii="Cambria" w:hAnsi="Cambria"/>
        </w:rPr>
        <w:t>S</w:t>
      </w:r>
      <w:r w:rsidRPr="009A0DA6">
        <w:rPr>
          <w:rFonts w:ascii="Cambria" w:hAnsi="Cambria"/>
          <w:spacing w:val="-2"/>
        </w:rPr>
        <w:t>u</w:t>
      </w:r>
      <w:r w:rsidRPr="009A0DA6">
        <w:rPr>
          <w:rFonts w:ascii="Cambria" w:hAnsi="Cambria"/>
          <w:spacing w:val="-1"/>
        </w:rPr>
        <w:t>n</w:t>
      </w:r>
      <w:r w:rsidRPr="009A0DA6">
        <w:rPr>
          <w:rFonts w:ascii="Cambria" w:hAnsi="Cambria"/>
          <w:spacing w:val="1"/>
        </w:rPr>
        <w:t>dr</w:t>
      </w:r>
      <w:r w:rsidRPr="009A0DA6">
        <w:rPr>
          <w:rFonts w:ascii="Cambria" w:hAnsi="Cambria"/>
        </w:rPr>
        <w:t>y</w:t>
      </w:r>
      <w:r w:rsidRPr="009A0DA6">
        <w:rPr>
          <w:rFonts w:ascii="Cambria" w:hAnsi="Cambria"/>
          <w:spacing w:val="-9"/>
        </w:rPr>
        <w:t xml:space="preserve"> </w:t>
      </w:r>
      <w:r w:rsidRPr="009A0DA6">
        <w:rPr>
          <w:rFonts w:ascii="Cambria" w:hAnsi="Cambria"/>
        </w:rPr>
        <w:t>i</w:t>
      </w:r>
      <w:r w:rsidRPr="009A0DA6">
        <w:rPr>
          <w:rFonts w:ascii="Cambria" w:hAnsi="Cambria"/>
          <w:spacing w:val="-1"/>
        </w:rPr>
        <w:t>n</w:t>
      </w:r>
      <w:r w:rsidRPr="009A0DA6">
        <w:rPr>
          <w:rFonts w:ascii="Cambria" w:hAnsi="Cambria"/>
        </w:rPr>
        <w:t>c</w:t>
      </w:r>
      <w:r w:rsidRPr="009A0DA6">
        <w:rPr>
          <w:rFonts w:ascii="Cambria" w:hAnsi="Cambria"/>
          <w:spacing w:val="2"/>
        </w:rPr>
        <w:t>o</w:t>
      </w:r>
      <w:r w:rsidRPr="009A0DA6">
        <w:rPr>
          <w:rFonts w:ascii="Cambria" w:hAnsi="Cambria"/>
          <w:spacing w:val="-4"/>
        </w:rPr>
        <w:t>me</w:t>
      </w:r>
      <w:r w:rsidRPr="009A0DA6">
        <w:rPr>
          <w:rFonts w:ascii="Cambria" w:hAnsi="Cambria"/>
        </w:rPr>
        <w:tab/>
      </w:r>
      <w:r w:rsidRPr="009A0DA6">
        <w:rPr>
          <w:rFonts w:ascii="Cambria" w:hAnsi="Cambria"/>
          <w:spacing w:val="1"/>
        </w:rPr>
        <w:t>179</w:t>
      </w:r>
      <w:r w:rsidRPr="009A0DA6">
        <w:rPr>
          <w:rFonts w:ascii="Cambria" w:hAnsi="Cambria"/>
        </w:rPr>
        <w:t>,</w:t>
      </w:r>
      <w:r w:rsidRPr="009A0DA6">
        <w:rPr>
          <w:rFonts w:ascii="Cambria" w:hAnsi="Cambria"/>
          <w:spacing w:val="1"/>
        </w:rPr>
        <w:t>00</w:t>
      </w:r>
      <w:r w:rsidRPr="009A0DA6">
        <w:rPr>
          <w:rFonts w:ascii="Cambria" w:hAnsi="Cambria"/>
        </w:rPr>
        <w:t>7</w:t>
      </w:r>
      <w:r w:rsidRPr="009A0DA6">
        <w:rPr>
          <w:rFonts w:ascii="Cambria" w:hAnsi="Cambria"/>
        </w:rPr>
        <w:tab/>
      </w:r>
      <w:r w:rsidRPr="009A0DA6">
        <w:rPr>
          <w:rFonts w:ascii="Cambria" w:hAnsi="Cambria"/>
          <w:spacing w:val="1"/>
        </w:rPr>
        <w:t>299</w:t>
      </w:r>
      <w:r w:rsidRPr="009A0DA6">
        <w:rPr>
          <w:rFonts w:ascii="Cambria" w:hAnsi="Cambria"/>
        </w:rPr>
        <w:t>,</w:t>
      </w:r>
      <w:r w:rsidRPr="009A0DA6">
        <w:rPr>
          <w:rFonts w:ascii="Cambria" w:hAnsi="Cambria"/>
          <w:spacing w:val="1"/>
        </w:rPr>
        <w:t>16</w:t>
      </w:r>
      <w:r w:rsidRPr="009A0DA6">
        <w:rPr>
          <w:rFonts w:ascii="Cambria" w:hAnsi="Cambria"/>
        </w:rPr>
        <w:t>2</w:t>
      </w:r>
      <w:r w:rsidRPr="009A0DA6">
        <w:rPr>
          <w:rFonts w:ascii="Cambria" w:hAnsi="Cambria"/>
        </w:rPr>
        <w:tab/>
        <w:t>495,535</w:t>
      </w:r>
    </w:p>
    <w:p w14:paraId="5A61D18B" w14:textId="77777777" w:rsidR="002E592D" w:rsidRPr="009A0DA6" w:rsidRDefault="002E592D" w:rsidP="002E592D">
      <w:pPr>
        <w:tabs>
          <w:tab w:val="right" w:pos="5954"/>
          <w:tab w:val="right" w:pos="7371"/>
          <w:tab w:val="right" w:pos="8789"/>
        </w:tabs>
        <w:spacing w:after="0" w:line="240" w:lineRule="auto"/>
        <w:rPr>
          <w:rFonts w:ascii="Cambria" w:hAnsi="Cambria"/>
          <w:b/>
        </w:rPr>
      </w:pPr>
      <w:r w:rsidRPr="009A0DA6">
        <w:rPr>
          <w:rFonts w:ascii="Cambria" w:hAnsi="Cambria"/>
          <w:b/>
          <w:spacing w:val="-1"/>
          <w:position w:val="-1"/>
        </w:rPr>
        <w:t>T</w:t>
      </w:r>
      <w:r w:rsidRPr="009A0DA6">
        <w:rPr>
          <w:rFonts w:ascii="Cambria" w:hAnsi="Cambria"/>
          <w:b/>
          <w:spacing w:val="1"/>
          <w:position w:val="-1"/>
        </w:rPr>
        <w:t>O</w:t>
      </w:r>
      <w:r w:rsidRPr="009A0DA6">
        <w:rPr>
          <w:rFonts w:ascii="Cambria" w:hAnsi="Cambria"/>
          <w:b/>
          <w:spacing w:val="-1"/>
          <w:position w:val="-1"/>
        </w:rPr>
        <w:t>T</w:t>
      </w:r>
      <w:r w:rsidRPr="009A0DA6">
        <w:rPr>
          <w:rFonts w:ascii="Cambria" w:hAnsi="Cambria"/>
          <w:b/>
          <w:position w:val="-1"/>
        </w:rPr>
        <w:t>AL</w:t>
      </w:r>
      <w:r w:rsidRPr="009A0DA6">
        <w:rPr>
          <w:rFonts w:ascii="Cambria" w:hAnsi="Cambria"/>
          <w:b/>
          <w:spacing w:val="-7"/>
          <w:position w:val="-1"/>
        </w:rPr>
        <w:t xml:space="preserve"> </w:t>
      </w:r>
      <w:r w:rsidRPr="009A0DA6">
        <w:rPr>
          <w:rFonts w:ascii="Cambria" w:hAnsi="Cambria"/>
          <w:b/>
          <w:spacing w:val="-1"/>
          <w:position w:val="-1"/>
        </w:rPr>
        <w:t>I</w:t>
      </w:r>
      <w:r w:rsidRPr="009A0DA6">
        <w:rPr>
          <w:rFonts w:ascii="Cambria" w:hAnsi="Cambria"/>
          <w:b/>
          <w:position w:val="-1"/>
        </w:rPr>
        <w:t>NC</w:t>
      </w:r>
      <w:r w:rsidRPr="009A0DA6">
        <w:rPr>
          <w:rFonts w:ascii="Cambria" w:hAnsi="Cambria"/>
          <w:b/>
          <w:spacing w:val="1"/>
          <w:position w:val="-1"/>
        </w:rPr>
        <w:t>O</w:t>
      </w:r>
      <w:r w:rsidRPr="009A0DA6">
        <w:rPr>
          <w:rFonts w:ascii="Cambria" w:hAnsi="Cambria"/>
          <w:b/>
          <w:spacing w:val="4"/>
          <w:position w:val="-1"/>
        </w:rPr>
        <w:t>M</w:t>
      </w:r>
      <w:r w:rsidRPr="009A0DA6">
        <w:rPr>
          <w:rFonts w:ascii="Cambria" w:hAnsi="Cambria"/>
          <w:b/>
          <w:position w:val="-1"/>
        </w:rPr>
        <w:t>E</w:t>
      </w:r>
      <w:r w:rsidRPr="009A0DA6">
        <w:rPr>
          <w:rFonts w:ascii="Cambria" w:hAnsi="Cambria"/>
          <w:b/>
          <w:position w:val="-1"/>
        </w:rPr>
        <w:tab/>
      </w:r>
      <w:r w:rsidRPr="009A0DA6">
        <w:rPr>
          <w:rFonts w:ascii="Cambria" w:hAnsi="Cambria"/>
          <w:b/>
          <w:spacing w:val="1"/>
          <w:w w:val="99"/>
          <w:position w:val="-1"/>
        </w:rPr>
        <w:t xml:space="preserve"> </w:t>
      </w:r>
      <w:r w:rsidRPr="009A0DA6">
        <w:rPr>
          <w:rFonts w:ascii="Cambria" w:hAnsi="Cambria"/>
          <w:b/>
          <w:spacing w:val="1"/>
          <w:position w:val="-1"/>
        </w:rPr>
        <w:t>8</w:t>
      </w:r>
      <w:r w:rsidRPr="009A0DA6">
        <w:rPr>
          <w:rFonts w:ascii="Cambria" w:hAnsi="Cambria"/>
          <w:b/>
          <w:position w:val="-1"/>
        </w:rPr>
        <w:t>,</w:t>
      </w:r>
      <w:r w:rsidRPr="009A0DA6">
        <w:rPr>
          <w:rFonts w:ascii="Cambria" w:hAnsi="Cambria"/>
          <w:b/>
          <w:spacing w:val="1"/>
          <w:position w:val="-1"/>
        </w:rPr>
        <w:t>068</w:t>
      </w:r>
      <w:r w:rsidRPr="009A0DA6">
        <w:rPr>
          <w:rFonts w:ascii="Cambria" w:hAnsi="Cambria"/>
          <w:b/>
          <w:position w:val="-1"/>
        </w:rPr>
        <w:t>,</w:t>
      </w:r>
      <w:r w:rsidRPr="009A0DA6">
        <w:rPr>
          <w:rFonts w:ascii="Cambria" w:hAnsi="Cambria"/>
          <w:b/>
          <w:spacing w:val="1"/>
          <w:position w:val="-1"/>
        </w:rPr>
        <w:t>49</w:t>
      </w:r>
      <w:r w:rsidRPr="009A0DA6">
        <w:rPr>
          <w:rFonts w:ascii="Cambria" w:hAnsi="Cambria"/>
          <w:b/>
          <w:position w:val="-1"/>
        </w:rPr>
        <w:t>8</w:t>
      </w:r>
      <w:r w:rsidRPr="009A0DA6">
        <w:rPr>
          <w:rFonts w:ascii="Cambria" w:hAnsi="Cambria"/>
          <w:b/>
          <w:spacing w:val="-42"/>
          <w:position w:val="-1"/>
        </w:rPr>
        <w:t xml:space="preserve"> </w:t>
      </w:r>
      <w:r w:rsidRPr="009A0DA6">
        <w:rPr>
          <w:rFonts w:ascii="Cambria" w:hAnsi="Cambria"/>
          <w:b/>
          <w:position w:val="-1"/>
        </w:rPr>
        <w:tab/>
      </w:r>
      <w:r w:rsidRPr="009A0DA6">
        <w:rPr>
          <w:rFonts w:ascii="Cambria" w:hAnsi="Cambria"/>
          <w:b/>
          <w:spacing w:val="1"/>
          <w:w w:val="99"/>
          <w:position w:val="-1"/>
        </w:rPr>
        <w:t xml:space="preserve"> </w:t>
      </w:r>
      <w:r w:rsidRPr="009A0DA6">
        <w:rPr>
          <w:rFonts w:ascii="Cambria" w:hAnsi="Cambria"/>
          <w:b/>
          <w:spacing w:val="1"/>
          <w:position w:val="-1"/>
        </w:rPr>
        <w:t>6</w:t>
      </w:r>
      <w:r w:rsidRPr="009A0DA6">
        <w:rPr>
          <w:rFonts w:ascii="Cambria" w:hAnsi="Cambria"/>
          <w:b/>
          <w:position w:val="-1"/>
        </w:rPr>
        <w:t>,</w:t>
      </w:r>
      <w:r w:rsidRPr="009A0DA6">
        <w:rPr>
          <w:rFonts w:ascii="Cambria" w:hAnsi="Cambria"/>
          <w:b/>
          <w:spacing w:val="1"/>
          <w:position w:val="-1"/>
        </w:rPr>
        <w:t>892</w:t>
      </w:r>
      <w:r w:rsidRPr="009A0DA6">
        <w:rPr>
          <w:rFonts w:ascii="Cambria" w:hAnsi="Cambria"/>
          <w:b/>
          <w:position w:val="-1"/>
        </w:rPr>
        <w:t>,</w:t>
      </w:r>
      <w:r w:rsidRPr="009A0DA6">
        <w:rPr>
          <w:rFonts w:ascii="Cambria" w:hAnsi="Cambria"/>
          <w:b/>
          <w:spacing w:val="1"/>
          <w:position w:val="-1"/>
        </w:rPr>
        <w:t>16</w:t>
      </w:r>
      <w:r w:rsidRPr="009A0DA6">
        <w:rPr>
          <w:rFonts w:ascii="Cambria" w:hAnsi="Cambria"/>
          <w:b/>
          <w:position w:val="-1"/>
        </w:rPr>
        <w:t>7</w:t>
      </w:r>
      <w:r w:rsidRPr="009A0DA6">
        <w:rPr>
          <w:rFonts w:ascii="Cambria" w:hAnsi="Cambria"/>
          <w:b/>
          <w:position w:val="-1"/>
        </w:rPr>
        <w:tab/>
        <w:t>6,736,701</w:t>
      </w:r>
    </w:p>
    <w:p w14:paraId="75B0A05A" w14:textId="77777777" w:rsidR="002E592D" w:rsidRPr="009A0DA6" w:rsidRDefault="002E592D" w:rsidP="002E592D">
      <w:pPr>
        <w:tabs>
          <w:tab w:val="right" w:pos="5954"/>
          <w:tab w:val="right" w:pos="7371"/>
          <w:tab w:val="right" w:pos="8789"/>
        </w:tabs>
        <w:spacing w:after="0" w:line="240" w:lineRule="auto"/>
        <w:rPr>
          <w:rFonts w:ascii="Cambria" w:hAnsi="Cambria"/>
          <w:b/>
        </w:rPr>
      </w:pPr>
      <w:r w:rsidRPr="009A0DA6">
        <w:rPr>
          <w:rFonts w:ascii="Cambria" w:hAnsi="Cambria"/>
          <w:b/>
          <w:spacing w:val="-1"/>
        </w:rPr>
        <w:t>E</w:t>
      </w:r>
      <w:r w:rsidRPr="009A0DA6">
        <w:rPr>
          <w:rFonts w:ascii="Cambria" w:hAnsi="Cambria"/>
          <w:b/>
        </w:rPr>
        <w:t>X</w:t>
      </w:r>
      <w:r w:rsidRPr="009A0DA6">
        <w:rPr>
          <w:rFonts w:ascii="Cambria" w:hAnsi="Cambria"/>
          <w:b/>
          <w:spacing w:val="1"/>
        </w:rPr>
        <w:t>P</w:t>
      </w:r>
      <w:r w:rsidRPr="009A0DA6">
        <w:rPr>
          <w:rFonts w:ascii="Cambria" w:hAnsi="Cambria"/>
          <w:b/>
          <w:spacing w:val="-1"/>
        </w:rPr>
        <w:t>E</w:t>
      </w:r>
      <w:r w:rsidRPr="009A0DA6">
        <w:rPr>
          <w:rFonts w:ascii="Cambria" w:hAnsi="Cambria"/>
          <w:b/>
        </w:rPr>
        <w:t>NDI</w:t>
      </w:r>
      <w:r w:rsidRPr="009A0DA6">
        <w:rPr>
          <w:rFonts w:ascii="Cambria" w:hAnsi="Cambria"/>
          <w:b/>
          <w:spacing w:val="-1"/>
        </w:rPr>
        <w:t>T</w:t>
      </w:r>
      <w:r w:rsidRPr="009A0DA6">
        <w:rPr>
          <w:rFonts w:ascii="Cambria" w:hAnsi="Cambria"/>
          <w:b/>
        </w:rPr>
        <w:t>URE</w:t>
      </w:r>
    </w:p>
    <w:p w14:paraId="14049B41" w14:textId="77777777" w:rsidR="002E592D" w:rsidRPr="009A0DA6" w:rsidRDefault="002E592D" w:rsidP="002E592D">
      <w:pPr>
        <w:tabs>
          <w:tab w:val="right" w:pos="5954"/>
          <w:tab w:val="right" w:pos="7371"/>
          <w:tab w:val="right" w:pos="8789"/>
        </w:tabs>
        <w:spacing w:after="0" w:line="240" w:lineRule="auto"/>
        <w:rPr>
          <w:rFonts w:ascii="Cambria" w:hAnsi="Cambria"/>
        </w:rPr>
      </w:pPr>
      <w:r w:rsidRPr="009A0DA6">
        <w:rPr>
          <w:rFonts w:ascii="Cambria" w:hAnsi="Cambria"/>
          <w:spacing w:val="-2"/>
        </w:rPr>
        <w:t>A</w:t>
      </w:r>
      <w:r w:rsidRPr="009A0DA6">
        <w:rPr>
          <w:rFonts w:ascii="Cambria" w:hAnsi="Cambria"/>
          <w:spacing w:val="1"/>
        </w:rPr>
        <w:t>d</w:t>
      </w:r>
      <w:r w:rsidRPr="009A0DA6">
        <w:rPr>
          <w:rFonts w:ascii="Cambria" w:hAnsi="Cambria"/>
          <w:spacing w:val="-4"/>
        </w:rPr>
        <w:t>m</w:t>
      </w:r>
      <w:r w:rsidRPr="009A0DA6">
        <w:rPr>
          <w:rFonts w:ascii="Cambria" w:hAnsi="Cambria"/>
        </w:rPr>
        <w:t>i</w:t>
      </w:r>
      <w:r w:rsidRPr="009A0DA6">
        <w:rPr>
          <w:rFonts w:ascii="Cambria" w:hAnsi="Cambria"/>
          <w:spacing w:val="-1"/>
        </w:rPr>
        <w:t>n</w:t>
      </w:r>
      <w:r w:rsidRPr="009A0DA6">
        <w:rPr>
          <w:rFonts w:ascii="Cambria" w:hAnsi="Cambria"/>
        </w:rPr>
        <w:t>i</w:t>
      </w:r>
      <w:r w:rsidRPr="009A0DA6">
        <w:rPr>
          <w:rFonts w:ascii="Cambria" w:hAnsi="Cambria"/>
          <w:spacing w:val="-1"/>
        </w:rPr>
        <w:t>s</w:t>
      </w:r>
      <w:r w:rsidRPr="009A0DA6">
        <w:rPr>
          <w:rFonts w:ascii="Cambria" w:hAnsi="Cambria"/>
        </w:rPr>
        <w:t>trati</w:t>
      </w:r>
      <w:r w:rsidRPr="009A0DA6">
        <w:rPr>
          <w:rFonts w:ascii="Cambria" w:hAnsi="Cambria"/>
          <w:spacing w:val="1"/>
        </w:rPr>
        <w:t>o</w:t>
      </w:r>
      <w:r w:rsidRPr="009A0DA6">
        <w:rPr>
          <w:rFonts w:ascii="Cambria" w:hAnsi="Cambria"/>
        </w:rPr>
        <w:t>n</w:t>
      </w:r>
      <w:r w:rsidRPr="009A0DA6">
        <w:rPr>
          <w:rFonts w:ascii="Cambria" w:hAnsi="Cambria"/>
          <w:spacing w:val="-13"/>
        </w:rPr>
        <w:t xml:space="preserve"> </w:t>
      </w:r>
      <w:r w:rsidRPr="009A0DA6">
        <w:rPr>
          <w:rFonts w:ascii="Cambria" w:hAnsi="Cambria"/>
        </w:rPr>
        <w:t>e</w:t>
      </w:r>
      <w:r w:rsidRPr="009A0DA6">
        <w:rPr>
          <w:rFonts w:ascii="Cambria" w:hAnsi="Cambria"/>
          <w:spacing w:val="-1"/>
        </w:rPr>
        <w:t>x</w:t>
      </w:r>
      <w:r w:rsidRPr="009A0DA6">
        <w:rPr>
          <w:rFonts w:ascii="Cambria" w:hAnsi="Cambria"/>
          <w:spacing w:val="1"/>
        </w:rPr>
        <w:t>p</w:t>
      </w:r>
      <w:r w:rsidRPr="009A0DA6">
        <w:rPr>
          <w:rFonts w:ascii="Cambria" w:hAnsi="Cambria"/>
        </w:rPr>
        <w:t>e</w:t>
      </w:r>
      <w:r w:rsidRPr="009A0DA6">
        <w:rPr>
          <w:rFonts w:ascii="Cambria" w:hAnsi="Cambria"/>
          <w:spacing w:val="-1"/>
        </w:rPr>
        <w:t>ns</w:t>
      </w:r>
      <w:r w:rsidRPr="009A0DA6">
        <w:rPr>
          <w:rFonts w:ascii="Cambria" w:hAnsi="Cambria"/>
        </w:rPr>
        <w:t>es</w:t>
      </w:r>
      <w:r w:rsidRPr="009A0DA6">
        <w:rPr>
          <w:rFonts w:ascii="Cambria" w:hAnsi="Cambria"/>
        </w:rPr>
        <w:tab/>
      </w:r>
      <w:r w:rsidRPr="009A0DA6">
        <w:rPr>
          <w:rFonts w:ascii="Cambria" w:hAnsi="Cambria"/>
          <w:spacing w:val="1"/>
        </w:rPr>
        <w:t>72</w:t>
      </w:r>
      <w:r w:rsidRPr="009A0DA6">
        <w:rPr>
          <w:rFonts w:ascii="Cambria" w:hAnsi="Cambria"/>
        </w:rPr>
        <w:t>,</w:t>
      </w:r>
      <w:r w:rsidRPr="009A0DA6">
        <w:rPr>
          <w:rFonts w:ascii="Cambria" w:hAnsi="Cambria"/>
          <w:spacing w:val="1"/>
        </w:rPr>
        <w:t>00</w:t>
      </w:r>
      <w:r w:rsidRPr="009A0DA6">
        <w:rPr>
          <w:rFonts w:ascii="Cambria" w:hAnsi="Cambria"/>
        </w:rPr>
        <w:t>0</w:t>
      </w:r>
      <w:r w:rsidRPr="009A0DA6">
        <w:rPr>
          <w:rFonts w:ascii="Cambria" w:hAnsi="Cambria"/>
        </w:rPr>
        <w:tab/>
      </w:r>
      <w:r w:rsidRPr="009A0DA6">
        <w:rPr>
          <w:rFonts w:ascii="Cambria" w:hAnsi="Cambria"/>
          <w:spacing w:val="1"/>
        </w:rPr>
        <w:t>6</w:t>
      </w:r>
      <w:r w:rsidRPr="009A0DA6">
        <w:rPr>
          <w:rFonts w:ascii="Cambria" w:hAnsi="Cambria"/>
          <w:spacing w:val="2"/>
        </w:rPr>
        <w:t>8</w:t>
      </w:r>
      <w:r w:rsidRPr="009A0DA6">
        <w:rPr>
          <w:rFonts w:ascii="Cambria" w:hAnsi="Cambria"/>
        </w:rPr>
        <w:t>,</w:t>
      </w:r>
      <w:r w:rsidRPr="009A0DA6">
        <w:rPr>
          <w:rFonts w:ascii="Cambria" w:hAnsi="Cambria"/>
          <w:spacing w:val="1"/>
        </w:rPr>
        <w:t>00</w:t>
      </w:r>
      <w:r w:rsidRPr="009A0DA6">
        <w:rPr>
          <w:rFonts w:ascii="Cambria" w:hAnsi="Cambria"/>
        </w:rPr>
        <w:t>0</w:t>
      </w:r>
      <w:r w:rsidRPr="009A0DA6">
        <w:rPr>
          <w:rFonts w:ascii="Cambria" w:hAnsi="Cambria"/>
        </w:rPr>
        <w:tab/>
        <w:t>66,000</w:t>
      </w:r>
    </w:p>
    <w:p w14:paraId="0FC4B826" w14:textId="77777777" w:rsidR="002E592D" w:rsidRPr="009A0DA6" w:rsidRDefault="002E592D" w:rsidP="002E592D">
      <w:pPr>
        <w:tabs>
          <w:tab w:val="right" w:pos="5954"/>
          <w:tab w:val="right" w:pos="7371"/>
          <w:tab w:val="right" w:pos="8789"/>
        </w:tabs>
        <w:spacing w:after="0" w:line="240" w:lineRule="auto"/>
        <w:rPr>
          <w:rFonts w:ascii="Cambria" w:hAnsi="Cambria"/>
        </w:rPr>
      </w:pPr>
      <w:r w:rsidRPr="009A0DA6">
        <w:rPr>
          <w:rFonts w:ascii="Cambria" w:hAnsi="Cambria"/>
          <w:spacing w:val="-2"/>
        </w:rPr>
        <w:t>A</w:t>
      </w:r>
      <w:r w:rsidRPr="009A0DA6">
        <w:rPr>
          <w:rFonts w:ascii="Cambria" w:hAnsi="Cambria"/>
          <w:spacing w:val="-1"/>
        </w:rPr>
        <w:t>u</w:t>
      </w:r>
      <w:r w:rsidRPr="009A0DA6">
        <w:rPr>
          <w:rFonts w:ascii="Cambria" w:hAnsi="Cambria"/>
          <w:spacing w:val="1"/>
        </w:rPr>
        <w:t>d</w:t>
      </w:r>
      <w:r w:rsidRPr="009A0DA6">
        <w:rPr>
          <w:rFonts w:ascii="Cambria" w:hAnsi="Cambria"/>
        </w:rPr>
        <w:t>it</w:t>
      </w:r>
      <w:r w:rsidRPr="009A0DA6">
        <w:rPr>
          <w:rFonts w:ascii="Cambria" w:hAnsi="Cambria"/>
          <w:spacing w:val="1"/>
        </w:rPr>
        <w:t>or</w:t>
      </w:r>
      <w:r w:rsidRPr="009A0DA6">
        <w:rPr>
          <w:rFonts w:ascii="Cambria" w:hAnsi="Cambria"/>
          <w:spacing w:val="-2"/>
        </w:rPr>
        <w:t>’</w:t>
      </w:r>
      <w:r w:rsidRPr="009A0DA6">
        <w:rPr>
          <w:rFonts w:ascii="Cambria" w:hAnsi="Cambria"/>
        </w:rPr>
        <w:t>s</w:t>
      </w:r>
      <w:r w:rsidRPr="009A0DA6">
        <w:rPr>
          <w:rFonts w:ascii="Cambria" w:hAnsi="Cambria"/>
          <w:spacing w:val="-8"/>
        </w:rPr>
        <w:t xml:space="preserve"> </w:t>
      </w:r>
      <w:r w:rsidRPr="009A0DA6">
        <w:rPr>
          <w:rFonts w:ascii="Cambria" w:hAnsi="Cambria"/>
          <w:spacing w:val="-2"/>
        </w:rPr>
        <w:t>f</w:t>
      </w:r>
      <w:r w:rsidRPr="009A0DA6">
        <w:rPr>
          <w:rFonts w:ascii="Cambria" w:hAnsi="Cambria"/>
        </w:rPr>
        <w:t>e</w:t>
      </w:r>
      <w:r w:rsidRPr="009A0DA6">
        <w:rPr>
          <w:rFonts w:ascii="Cambria" w:hAnsi="Cambria"/>
          <w:spacing w:val="1"/>
        </w:rPr>
        <w:t>e</w:t>
      </w:r>
      <w:r w:rsidRPr="009A0DA6">
        <w:rPr>
          <w:rFonts w:ascii="Cambria" w:hAnsi="Cambria"/>
        </w:rPr>
        <w:t>s</w:t>
      </w:r>
      <w:r w:rsidRPr="009A0DA6">
        <w:rPr>
          <w:rFonts w:ascii="Cambria" w:hAnsi="Cambria"/>
        </w:rPr>
        <w:tab/>
      </w:r>
      <w:r w:rsidRPr="009A0DA6">
        <w:rPr>
          <w:rFonts w:ascii="Cambria" w:hAnsi="Cambria"/>
          <w:spacing w:val="1"/>
        </w:rPr>
        <w:t>4</w:t>
      </w:r>
      <w:r w:rsidRPr="009A0DA6">
        <w:rPr>
          <w:rFonts w:ascii="Cambria" w:hAnsi="Cambria"/>
        </w:rPr>
        <w:t>,</w:t>
      </w:r>
      <w:r w:rsidRPr="009A0DA6">
        <w:rPr>
          <w:rFonts w:ascii="Cambria" w:hAnsi="Cambria"/>
          <w:spacing w:val="1"/>
        </w:rPr>
        <w:t>50</w:t>
      </w:r>
      <w:r w:rsidRPr="009A0DA6">
        <w:rPr>
          <w:rFonts w:ascii="Cambria" w:hAnsi="Cambria"/>
        </w:rPr>
        <w:t>0</w:t>
      </w:r>
      <w:r w:rsidRPr="009A0DA6">
        <w:rPr>
          <w:rFonts w:ascii="Cambria" w:hAnsi="Cambria"/>
        </w:rPr>
        <w:tab/>
      </w:r>
      <w:r w:rsidRPr="009A0DA6">
        <w:rPr>
          <w:rFonts w:ascii="Cambria" w:hAnsi="Cambria"/>
          <w:spacing w:val="1"/>
        </w:rPr>
        <w:t>4</w:t>
      </w:r>
      <w:r w:rsidRPr="009A0DA6">
        <w:rPr>
          <w:rFonts w:ascii="Cambria" w:hAnsi="Cambria"/>
        </w:rPr>
        <w:t>,</w:t>
      </w:r>
      <w:r w:rsidRPr="009A0DA6">
        <w:rPr>
          <w:rFonts w:ascii="Cambria" w:hAnsi="Cambria"/>
          <w:spacing w:val="1"/>
        </w:rPr>
        <w:t>50</w:t>
      </w:r>
      <w:r w:rsidRPr="009A0DA6">
        <w:rPr>
          <w:rFonts w:ascii="Cambria" w:hAnsi="Cambria"/>
        </w:rPr>
        <w:t>0</w:t>
      </w:r>
      <w:r w:rsidRPr="009A0DA6">
        <w:rPr>
          <w:rFonts w:ascii="Cambria" w:hAnsi="Cambria"/>
        </w:rPr>
        <w:tab/>
        <w:t>4,500</w:t>
      </w:r>
    </w:p>
    <w:p w14:paraId="08D951BD" w14:textId="77777777" w:rsidR="002E592D" w:rsidRPr="009A0DA6" w:rsidRDefault="002E592D" w:rsidP="002E592D">
      <w:pPr>
        <w:tabs>
          <w:tab w:val="right" w:pos="5954"/>
          <w:tab w:val="right" w:pos="7371"/>
          <w:tab w:val="right" w:pos="8789"/>
        </w:tabs>
        <w:spacing w:after="0" w:line="240" w:lineRule="auto"/>
        <w:rPr>
          <w:rFonts w:ascii="Cambria" w:hAnsi="Cambria"/>
        </w:rPr>
      </w:pPr>
      <w:r w:rsidRPr="009A0DA6">
        <w:rPr>
          <w:rFonts w:ascii="Cambria" w:hAnsi="Cambria"/>
          <w:spacing w:val="2"/>
        </w:rPr>
        <w:t>B</w:t>
      </w:r>
      <w:r w:rsidRPr="009A0DA6">
        <w:rPr>
          <w:rFonts w:ascii="Cambria" w:hAnsi="Cambria"/>
        </w:rPr>
        <w:t>a</w:t>
      </w:r>
      <w:r w:rsidRPr="009A0DA6">
        <w:rPr>
          <w:rFonts w:ascii="Cambria" w:hAnsi="Cambria"/>
          <w:spacing w:val="-1"/>
        </w:rPr>
        <w:t>n</w:t>
      </w:r>
      <w:r w:rsidRPr="009A0DA6">
        <w:rPr>
          <w:rFonts w:ascii="Cambria" w:hAnsi="Cambria"/>
        </w:rPr>
        <w:t>k</w:t>
      </w:r>
      <w:r w:rsidRPr="009A0DA6">
        <w:rPr>
          <w:rFonts w:ascii="Cambria" w:hAnsi="Cambria"/>
          <w:spacing w:val="-5"/>
        </w:rPr>
        <w:t xml:space="preserve"> </w:t>
      </w:r>
      <w:r w:rsidRPr="009A0DA6">
        <w:rPr>
          <w:rFonts w:ascii="Cambria" w:hAnsi="Cambria"/>
        </w:rPr>
        <w:t>c</w:t>
      </w:r>
      <w:r w:rsidRPr="009A0DA6">
        <w:rPr>
          <w:rFonts w:ascii="Cambria" w:hAnsi="Cambria"/>
          <w:spacing w:val="-1"/>
        </w:rPr>
        <w:t>h</w:t>
      </w:r>
      <w:r w:rsidRPr="009A0DA6">
        <w:rPr>
          <w:rFonts w:ascii="Cambria" w:hAnsi="Cambria"/>
        </w:rPr>
        <w:t>a</w:t>
      </w:r>
      <w:r w:rsidRPr="009A0DA6">
        <w:rPr>
          <w:rFonts w:ascii="Cambria" w:hAnsi="Cambria"/>
          <w:spacing w:val="1"/>
        </w:rPr>
        <w:t>r</w:t>
      </w:r>
      <w:r w:rsidRPr="009A0DA6">
        <w:rPr>
          <w:rFonts w:ascii="Cambria" w:hAnsi="Cambria"/>
          <w:spacing w:val="-1"/>
        </w:rPr>
        <w:t>g</w:t>
      </w:r>
      <w:r w:rsidRPr="009A0DA6">
        <w:rPr>
          <w:rFonts w:ascii="Cambria" w:hAnsi="Cambria"/>
        </w:rPr>
        <w:t>es</w:t>
      </w:r>
      <w:r w:rsidRPr="009A0DA6">
        <w:rPr>
          <w:rFonts w:ascii="Cambria" w:hAnsi="Cambria"/>
        </w:rPr>
        <w:tab/>
      </w:r>
      <w:r w:rsidRPr="009A0DA6">
        <w:rPr>
          <w:rFonts w:ascii="Cambria" w:hAnsi="Cambria"/>
          <w:spacing w:val="1"/>
        </w:rPr>
        <w:t>383</w:t>
      </w:r>
      <w:r w:rsidRPr="009A0DA6">
        <w:rPr>
          <w:rFonts w:ascii="Cambria" w:hAnsi="Cambria"/>
        </w:rPr>
        <w:tab/>
      </w:r>
      <w:r w:rsidRPr="009A0DA6">
        <w:rPr>
          <w:rFonts w:ascii="Cambria" w:hAnsi="Cambria"/>
          <w:spacing w:val="1"/>
        </w:rPr>
        <w:t>375</w:t>
      </w:r>
      <w:r w:rsidRPr="009A0DA6">
        <w:rPr>
          <w:rFonts w:ascii="Cambria" w:hAnsi="Cambria"/>
          <w:spacing w:val="1"/>
        </w:rPr>
        <w:tab/>
        <w:t>437</w:t>
      </w:r>
    </w:p>
    <w:p w14:paraId="14218186" w14:textId="77777777" w:rsidR="002E592D" w:rsidRPr="009A0DA6" w:rsidRDefault="002E592D" w:rsidP="002E592D">
      <w:pPr>
        <w:tabs>
          <w:tab w:val="right" w:pos="5954"/>
          <w:tab w:val="right" w:pos="7371"/>
          <w:tab w:val="right" w:pos="8789"/>
        </w:tabs>
        <w:spacing w:after="0" w:line="240" w:lineRule="auto"/>
        <w:rPr>
          <w:rFonts w:ascii="Cambria" w:hAnsi="Cambria"/>
        </w:rPr>
      </w:pPr>
      <w:r w:rsidRPr="009A0DA6">
        <w:rPr>
          <w:rFonts w:ascii="Cambria" w:hAnsi="Cambria"/>
          <w:spacing w:val="-1"/>
        </w:rPr>
        <w:t>Chu</w:t>
      </w:r>
      <w:r w:rsidRPr="009A0DA6">
        <w:rPr>
          <w:rFonts w:ascii="Cambria" w:hAnsi="Cambria"/>
          <w:spacing w:val="1"/>
        </w:rPr>
        <w:t>r</w:t>
      </w:r>
      <w:r w:rsidRPr="009A0DA6">
        <w:rPr>
          <w:rFonts w:ascii="Cambria" w:hAnsi="Cambria"/>
        </w:rPr>
        <w:t>ch</w:t>
      </w:r>
      <w:r w:rsidRPr="009A0DA6">
        <w:rPr>
          <w:rFonts w:ascii="Cambria" w:hAnsi="Cambria"/>
          <w:spacing w:val="-7"/>
        </w:rPr>
        <w:t xml:space="preserve"> </w:t>
      </w:r>
      <w:r w:rsidRPr="009A0DA6">
        <w:rPr>
          <w:rFonts w:ascii="Cambria" w:hAnsi="Cambria"/>
          <w:spacing w:val="-5"/>
        </w:rPr>
        <w:t>w</w:t>
      </w:r>
      <w:r w:rsidRPr="009A0DA6">
        <w:rPr>
          <w:rFonts w:ascii="Cambria" w:hAnsi="Cambria"/>
          <w:spacing w:val="1"/>
        </w:rPr>
        <w:t>or</w:t>
      </w:r>
      <w:r w:rsidRPr="009A0DA6">
        <w:rPr>
          <w:rFonts w:ascii="Cambria" w:hAnsi="Cambria"/>
          <w:spacing w:val="-1"/>
        </w:rPr>
        <w:t>k</w:t>
      </w:r>
      <w:r w:rsidRPr="009A0DA6">
        <w:rPr>
          <w:rFonts w:ascii="Cambria" w:hAnsi="Cambria"/>
        </w:rPr>
        <w:t>er</w:t>
      </w:r>
      <w:r w:rsidRPr="009A0DA6">
        <w:rPr>
          <w:rFonts w:ascii="Cambria" w:hAnsi="Cambria"/>
          <w:spacing w:val="-5"/>
        </w:rPr>
        <w:t xml:space="preserve"> </w:t>
      </w:r>
      <w:r w:rsidRPr="009A0DA6">
        <w:rPr>
          <w:rFonts w:ascii="Cambria" w:hAnsi="Cambria"/>
          <w:spacing w:val="-1"/>
        </w:rPr>
        <w:t>su</w:t>
      </w:r>
      <w:r w:rsidRPr="009A0DA6">
        <w:rPr>
          <w:rFonts w:ascii="Cambria" w:hAnsi="Cambria"/>
          <w:spacing w:val="1"/>
        </w:rPr>
        <w:t>ppor</w:t>
      </w:r>
      <w:r w:rsidRPr="009A0DA6">
        <w:rPr>
          <w:rFonts w:ascii="Cambria" w:hAnsi="Cambria"/>
        </w:rPr>
        <w:t>t</w:t>
      </w:r>
      <w:r w:rsidRPr="009A0DA6">
        <w:rPr>
          <w:rFonts w:ascii="Cambria" w:hAnsi="Cambria"/>
          <w:spacing w:val="-6"/>
        </w:rPr>
        <w:t xml:space="preserve"> </w:t>
      </w:r>
      <w:r w:rsidRPr="009A0DA6">
        <w:rPr>
          <w:rFonts w:ascii="Cambria" w:hAnsi="Cambria"/>
          <w:spacing w:val="1"/>
        </w:rPr>
        <w:t>d</w:t>
      </w:r>
      <w:r w:rsidRPr="009A0DA6">
        <w:rPr>
          <w:rFonts w:ascii="Cambria" w:hAnsi="Cambria"/>
        </w:rPr>
        <w:t>e</w:t>
      </w:r>
      <w:r w:rsidRPr="009A0DA6">
        <w:rPr>
          <w:rFonts w:ascii="Cambria" w:hAnsi="Cambria"/>
          <w:spacing w:val="1"/>
        </w:rPr>
        <w:t>p</w:t>
      </w:r>
      <w:r w:rsidRPr="009A0DA6">
        <w:rPr>
          <w:rFonts w:ascii="Cambria" w:hAnsi="Cambria"/>
        </w:rPr>
        <w:t>a</w:t>
      </w:r>
      <w:r w:rsidRPr="009A0DA6">
        <w:rPr>
          <w:rFonts w:ascii="Cambria" w:hAnsi="Cambria"/>
          <w:spacing w:val="1"/>
        </w:rPr>
        <w:t>r</w:t>
      </w:r>
      <w:r w:rsidRPr="009A0DA6">
        <w:rPr>
          <w:rFonts w:ascii="Cambria" w:hAnsi="Cambria"/>
        </w:rPr>
        <w:t>t</w:t>
      </w:r>
      <w:r w:rsidRPr="009A0DA6">
        <w:rPr>
          <w:rFonts w:ascii="Cambria" w:hAnsi="Cambria"/>
          <w:spacing w:val="-4"/>
        </w:rPr>
        <w:t>m</w:t>
      </w:r>
      <w:r w:rsidRPr="009A0DA6">
        <w:rPr>
          <w:rFonts w:ascii="Cambria" w:hAnsi="Cambria"/>
        </w:rPr>
        <w:t>e</w:t>
      </w:r>
      <w:r w:rsidRPr="009A0DA6">
        <w:rPr>
          <w:rFonts w:ascii="Cambria" w:hAnsi="Cambria"/>
          <w:spacing w:val="-1"/>
        </w:rPr>
        <w:t>n</w:t>
      </w:r>
      <w:r w:rsidRPr="009A0DA6">
        <w:rPr>
          <w:rFonts w:ascii="Cambria" w:hAnsi="Cambria"/>
        </w:rPr>
        <w:t>t</w:t>
      </w:r>
      <w:r w:rsidRPr="009A0DA6">
        <w:rPr>
          <w:rFonts w:ascii="Cambria" w:hAnsi="Cambria"/>
        </w:rPr>
        <w:tab/>
      </w:r>
      <w:r w:rsidRPr="009A0DA6">
        <w:rPr>
          <w:rFonts w:ascii="Cambria" w:hAnsi="Cambria"/>
          <w:spacing w:val="1"/>
        </w:rPr>
        <w:t>100</w:t>
      </w:r>
      <w:r w:rsidRPr="009A0DA6">
        <w:rPr>
          <w:rFonts w:ascii="Cambria" w:hAnsi="Cambria"/>
        </w:rPr>
        <w:t>,</w:t>
      </w:r>
      <w:r w:rsidRPr="009A0DA6">
        <w:rPr>
          <w:rFonts w:ascii="Cambria" w:hAnsi="Cambria"/>
          <w:spacing w:val="1"/>
        </w:rPr>
        <w:t>00</w:t>
      </w:r>
      <w:r w:rsidRPr="009A0DA6">
        <w:rPr>
          <w:rFonts w:ascii="Cambria" w:hAnsi="Cambria"/>
        </w:rPr>
        <w:t>0</w:t>
      </w:r>
      <w:r w:rsidRPr="009A0DA6">
        <w:rPr>
          <w:rFonts w:ascii="Cambria" w:hAnsi="Cambria"/>
        </w:rPr>
        <w:tab/>
      </w:r>
      <w:r w:rsidRPr="009A0DA6">
        <w:rPr>
          <w:rFonts w:ascii="Cambria" w:hAnsi="Cambria"/>
          <w:spacing w:val="1"/>
        </w:rPr>
        <w:t>100</w:t>
      </w:r>
      <w:r w:rsidRPr="009A0DA6">
        <w:rPr>
          <w:rFonts w:ascii="Cambria" w:hAnsi="Cambria"/>
        </w:rPr>
        <w:t>,</w:t>
      </w:r>
      <w:r w:rsidRPr="009A0DA6">
        <w:rPr>
          <w:rFonts w:ascii="Cambria" w:hAnsi="Cambria"/>
          <w:spacing w:val="1"/>
        </w:rPr>
        <w:t>00</w:t>
      </w:r>
      <w:r w:rsidRPr="009A0DA6">
        <w:rPr>
          <w:rFonts w:ascii="Cambria" w:hAnsi="Cambria"/>
        </w:rPr>
        <w:t>0</w:t>
      </w:r>
      <w:r w:rsidRPr="009A0DA6">
        <w:rPr>
          <w:rFonts w:ascii="Cambria" w:hAnsi="Cambria"/>
        </w:rPr>
        <w:tab/>
        <w:t>0</w:t>
      </w:r>
    </w:p>
    <w:p w14:paraId="6472BE8E" w14:textId="77777777" w:rsidR="002E592D" w:rsidRPr="009A0DA6" w:rsidRDefault="002E592D" w:rsidP="002E592D">
      <w:pPr>
        <w:tabs>
          <w:tab w:val="right" w:pos="5954"/>
          <w:tab w:val="right" w:pos="7371"/>
          <w:tab w:val="right" w:pos="8789"/>
        </w:tabs>
        <w:spacing w:after="0" w:line="240" w:lineRule="auto"/>
        <w:rPr>
          <w:rFonts w:ascii="Cambria" w:hAnsi="Cambria"/>
        </w:rPr>
      </w:pPr>
      <w:r w:rsidRPr="009A0DA6">
        <w:rPr>
          <w:rFonts w:ascii="Cambria" w:hAnsi="Cambria"/>
          <w:spacing w:val="-1"/>
        </w:rPr>
        <w:t>C</w:t>
      </w:r>
      <w:r w:rsidRPr="009A0DA6">
        <w:rPr>
          <w:rFonts w:ascii="Cambria" w:hAnsi="Cambria"/>
        </w:rPr>
        <w:t>lai</w:t>
      </w:r>
      <w:r w:rsidRPr="009A0DA6">
        <w:rPr>
          <w:rFonts w:ascii="Cambria" w:hAnsi="Cambria"/>
          <w:spacing w:val="-4"/>
        </w:rPr>
        <w:t>m</w:t>
      </w:r>
      <w:r w:rsidRPr="009A0DA6">
        <w:rPr>
          <w:rFonts w:ascii="Cambria" w:hAnsi="Cambria"/>
        </w:rPr>
        <w:t>s</w:t>
      </w:r>
      <w:r w:rsidRPr="009A0DA6">
        <w:rPr>
          <w:rFonts w:ascii="Cambria" w:hAnsi="Cambria"/>
          <w:spacing w:val="-6"/>
        </w:rPr>
        <w:t xml:space="preserve"> </w:t>
      </w:r>
      <w:r w:rsidRPr="009A0DA6">
        <w:rPr>
          <w:rFonts w:ascii="Cambria" w:hAnsi="Cambria"/>
          <w:spacing w:val="1"/>
        </w:rPr>
        <w:t>p</w:t>
      </w:r>
      <w:r w:rsidRPr="009A0DA6">
        <w:rPr>
          <w:rFonts w:ascii="Cambria" w:hAnsi="Cambria"/>
        </w:rPr>
        <w:t>aid</w:t>
      </w:r>
      <w:r w:rsidRPr="009A0DA6">
        <w:rPr>
          <w:rFonts w:ascii="Cambria" w:hAnsi="Cambria"/>
        </w:rPr>
        <w:tab/>
      </w:r>
      <w:r w:rsidRPr="009A0DA6">
        <w:rPr>
          <w:rFonts w:ascii="Cambria" w:hAnsi="Cambria"/>
          <w:spacing w:val="1"/>
        </w:rPr>
        <w:t>981</w:t>
      </w:r>
      <w:r w:rsidRPr="009A0DA6">
        <w:rPr>
          <w:rFonts w:ascii="Cambria" w:hAnsi="Cambria"/>
        </w:rPr>
        <w:t>,</w:t>
      </w:r>
      <w:r w:rsidRPr="009A0DA6">
        <w:rPr>
          <w:rFonts w:ascii="Cambria" w:hAnsi="Cambria"/>
          <w:spacing w:val="1"/>
        </w:rPr>
        <w:t>78</w:t>
      </w:r>
      <w:r w:rsidRPr="009A0DA6">
        <w:rPr>
          <w:rFonts w:ascii="Cambria" w:hAnsi="Cambria"/>
        </w:rPr>
        <w:t>4</w:t>
      </w:r>
      <w:r w:rsidRPr="009A0DA6">
        <w:rPr>
          <w:rFonts w:ascii="Cambria" w:hAnsi="Cambria"/>
        </w:rPr>
        <w:tab/>
      </w:r>
      <w:r w:rsidRPr="009A0DA6">
        <w:rPr>
          <w:rFonts w:ascii="Cambria" w:hAnsi="Cambria"/>
          <w:spacing w:val="1"/>
        </w:rPr>
        <w:t>670</w:t>
      </w:r>
      <w:r w:rsidRPr="009A0DA6">
        <w:rPr>
          <w:rFonts w:ascii="Cambria" w:hAnsi="Cambria"/>
        </w:rPr>
        <w:t>,</w:t>
      </w:r>
      <w:r w:rsidRPr="009A0DA6">
        <w:rPr>
          <w:rFonts w:ascii="Cambria" w:hAnsi="Cambria"/>
          <w:spacing w:val="1"/>
        </w:rPr>
        <w:t>10</w:t>
      </w:r>
      <w:r w:rsidRPr="009A0DA6">
        <w:rPr>
          <w:rFonts w:ascii="Cambria" w:hAnsi="Cambria"/>
        </w:rPr>
        <w:t>0</w:t>
      </w:r>
      <w:r w:rsidRPr="009A0DA6">
        <w:rPr>
          <w:rFonts w:ascii="Cambria" w:hAnsi="Cambria"/>
        </w:rPr>
        <w:tab/>
        <w:t>725,185</w:t>
      </w:r>
    </w:p>
    <w:p w14:paraId="2105355D" w14:textId="77777777" w:rsidR="002E592D" w:rsidRPr="009A0DA6" w:rsidRDefault="002E592D" w:rsidP="002E592D">
      <w:pPr>
        <w:tabs>
          <w:tab w:val="right" w:pos="5954"/>
          <w:tab w:val="right" w:pos="7371"/>
          <w:tab w:val="right" w:pos="8789"/>
        </w:tabs>
        <w:spacing w:after="0" w:line="240" w:lineRule="auto"/>
        <w:rPr>
          <w:rFonts w:ascii="Cambria" w:hAnsi="Cambria"/>
        </w:rPr>
      </w:pPr>
      <w:r w:rsidRPr="009A0DA6">
        <w:rPr>
          <w:rFonts w:ascii="Cambria" w:hAnsi="Cambria"/>
          <w:spacing w:val="-1"/>
        </w:rPr>
        <w:t>C</w:t>
      </w:r>
      <w:r w:rsidRPr="009A0DA6">
        <w:rPr>
          <w:rFonts w:ascii="Cambria" w:hAnsi="Cambria"/>
          <w:spacing w:val="1"/>
        </w:rPr>
        <w:t>o</w:t>
      </w:r>
      <w:r w:rsidRPr="009A0DA6">
        <w:rPr>
          <w:rFonts w:ascii="Cambria" w:hAnsi="Cambria"/>
          <w:spacing w:val="-4"/>
        </w:rPr>
        <w:t>m</w:t>
      </w:r>
      <w:r w:rsidRPr="009A0DA6">
        <w:rPr>
          <w:rFonts w:ascii="Cambria" w:hAnsi="Cambria"/>
          <w:spacing w:val="1"/>
        </w:rPr>
        <w:t>p</w:t>
      </w:r>
      <w:r w:rsidRPr="009A0DA6">
        <w:rPr>
          <w:rFonts w:ascii="Cambria" w:hAnsi="Cambria"/>
          <w:spacing w:val="-1"/>
        </w:rPr>
        <w:t>u</w:t>
      </w:r>
      <w:r w:rsidRPr="009A0DA6">
        <w:rPr>
          <w:rFonts w:ascii="Cambria" w:hAnsi="Cambria"/>
        </w:rPr>
        <w:t>ter</w:t>
      </w:r>
      <w:r w:rsidRPr="009A0DA6">
        <w:rPr>
          <w:rFonts w:ascii="Cambria" w:hAnsi="Cambria"/>
          <w:spacing w:val="-7"/>
        </w:rPr>
        <w:t xml:space="preserve"> </w:t>
      </w:r>
      <w:r w:rsidRPr="009A0DA6">
        <w:rPr>
          <w:rFonts w:ascii="Cambria" w:hAnsi="Cambria"/>
        </w:rPr>
        <w:t>a</w:t>
      </w:r>
      <w:r w:rsidRPr="009A0DA6">
        <w:rPr>
          <w:rFonts w:ascii="Cambria" w:hAnsi="Cambria"/>
          <w:spacing w:val="-1"/>
        </w:rPr>
        <w:t>n</w:t>
      </w:r>
      <w:r w:rsidRPr="009A0DA6">
        <w:rPr>
          <w:rFonts w:ascii="Cambria" w:hAnsi="Cambria"/>
        </w:rPr>
        <w:t>d</w:t>
      </w:r>
      <w:r w:rsidRPr="009A0DA6">
        <w:rPr>
          <w:rFonts w:ascii="Cambria" w:hAnsi="Cambria"/>
          <w:spacing w:val="-2"/>
        </w:rPr>
        <w:t xml:space="preserve"> </w:t>
      </w:r>
      <w:r w:rsidRPr="009A0DA6">
        <w:rPr>
          <w:rFonts w:ascii="Cambria" w:hAnsi="Cambria"/>
          <w:spacing w:val="1"/>
        </w:rPr>
        <w:t>I</w:t>
      </w:r>
      <w:r w:rsidRPr="009A0DA6">
        <w:rPr>
          <w:rFonts w:ascii="Cambria" w:hAnsi="Cambria"/>
        </w:rPr>
        <w:t>T</w:t>
      </w:r>
      <w:r w:rsidRPr="009A0DA6">
        <w:rPr>
          <w:rFonts w:ascii="Cambria" w:hAnsi="Cambria"/>
          <w:spacing w:val="1"/>
        </w:rPr>
        <w:t xml:space="preserve"> </w:t>
      </w:r>
      <w:r w:rsidRPr="009A0DA6">
        <w:rPr>
          <w:rFonts w:ascii="Cambria" w:hAnsi="Cambria"/>
        </w:rPr>
        <w:t>e</w:t>
      </w:r>
      <w:r w:rsidRPr="009A0DA6">
        <w:rPr>
          <w:rFonts w:ascii="Cambria" w:hAnsi="Cambria"/>
          <w:spacing w:val="-1"/>
        </w:rPr>
        <w:t>x</w:t>
      </w:r>
      <w:r w:rsidRPr="009A0DA6">
        <w:rPr>
          <w:rFonts w:ascii="Cambria" w:hAnsi="Cambria"/>
          <w:spacing w:val="1"/>
        </w:rPr>
        <w:t>p</w:t>
      </w:r>
      <w:r w:rsidRPr="009A0DA6">
        <w:rPr>
          <w:rFonts w:ascii="Cambria" w:hAnsi="Cambria"/>
        </w:rPr>
        <w:t>e</w:t>
      </w:r>
      <w:r w:rsidRPr="009A0DA6">
        <w:rPr>
          <w:rFonts w:ascii="Cambria" w:hAnsi="Cambria"/>
          <w:spacing w:val="-1"/>
        </w:rPr>
        <w:t>ns</w:t>
      </w:r>
      <w:r w:rsidRPr="009A0DA6">
        <w:rPr>
          <w:rFonts w:ascii="Cambria" w:hAnsi="Cambria"/>
        </w:rPr>
        <w:t>es</w:t>
      </w:r>
      <w:r w:rsidRPr="009A0DA6">
        <w:rPr>
          <w:rFonts w:ascii="Cambria" w:hAnsi="Cambria"/>
        </w:rPr>
        <w:tab/>
      </w:r>
      <w:r w:rsidRPr="009A0DA6">
        <w:rPr>
          <w:rFonts w:ascii="Cambria" w:hAnsi="Cambria"/>
          <w:spacing w:val="1"/>
        </w:rPr>
        <w:t>650</w:t>
      </w:r>
      <w:r w:rsidRPr="009A0DA6">
        <w:rPr>
          <w:rFonts w:ascii="Cambria" w:hAnsi="Cambria"/>
        </w:rPr>
        <w:tab/>
      </w:r>
      <w:r w:rsidRPr="009A0DA6">
        <w:rPr>
          <w:rFonts w:ascii="Cambria" w:hAnsi="Cambria"/>
          <w:spacing w:val="1"/>
        </w:rPr>
        <w:t>1</w:t>
      </w:r>
      <w:r w:rsidRPr="009A0DA6">
        <w:rPr>
          <w:rFonts w:ascii="Cambria" w:hAnsi="Cambria"/>
        </w:rPr>
        <w:t>,</w:t>
      </w:r>
      <w:r w:rsidRPr="009A0DA6">
        <w:rPr>
          <w:rFonts w:ascii="Cambria" w:hAnsi="Cambria"/>
          <w:spacing w:val="1"/>
        </w:rPr>
        <w:t>16</w:t>
      </w:r>
      <w:r w:rsidRPr="009A0DA6">
        <w:rPr>
          <w:rFonts w:ascii="Cambria" w:hAnsi="Cambria"/>
        </w:rPr>
        <w:t>6</w:t>
      </w:r>
      <w:r w:rsidRPr="009A0DA6">
        <w:rPr>
          <w:rFonts w:ascii="Cambria" w:hAnsi="Cambria"/>
        </w:rPr>
        <w:tab/>
        <w:t>6,202</w:t>
      </w:r>
    </w:p>
    <w:p w14:paraId="5FDCFA37" w14:textId="77777777" w:rsidR="002E592D" w:rsidRPr="009A0DA6" w:rsidRDefault="002E592D" w:rsidP="002E592D">
      <w:pPr>
        <w:tabs>
          <w:tab w:val="right" w:pos="5954"/>
          <w:tab w:val="right" w:pos="7371"/>
          <w:tab w:val="right" w:pos="8789"/>
        </w:tabs>
        <w:spacing w:after="0" w:line="240" w:lineRule="auto"/>
        <w:rPr>
          <w:rFonts w:ascii="Cambria" w:hAnsi="Cambria"/>
        </w:rPr>
      </w:pPr>
      <w:r w:rsidRPr="009A0DA6">
        <w:rPr>
          <w:rFonts w:ascii="Cambria" w:hAnsi="Cambria"/>
          <w:spacing w:val="-1"/>
        </w:rPr>
        <w:t>C</w:t>
      </w:r>
      <w:r w:rsidRPr="009A0DA6">
        <w:rPr>
          <w:rFonts w:ascii="Cambria" w:hAnsi="Cambria"/>
          <w:spacing w:val="1"/>
        </w:rPr>
        <w:t>o</w:t>
      </w:r>
      <w:r w:rsidRPr="009A0DA6">
        <w:rPr>
          <w:rFonts w:ascii="Cambria" w:hAnsi="Cambria"/>
          <w:spacing w:val="-1"/>
        </w:rPr>
        <w:t>n</w:t>
      </w:r>
      <w:r w:rsidRPr="009A0DA6">
        <w:rPr>
          <w:rFonts w:ascii="Cambria" w:hAnsi="Cambria"/>
        </w:rPr>
        <w:t>tra</w:t>
      </w:r>
      <w:r w:rsidRPr="009A0DA6">
        <w:rPr>
          <w:rFonts w:ascii="Cambria" w:hAnsi="Cambria"/>
          <w:spacing w:val="1"/>
        </w:rPr>
        <w:t>c</w:t>
      </w:r>
      <w:r w:rsidRPr="009A0DA6">
        <w:rPr>
          <w:rFonts w:ascii="Cambria" w:hAnsi="Cambria"/>
        </w:rPr>
        <w:t>t</w:t>
      </w:r>
      <w:r w:rsidRPr="009A0DA6">
        <w:rPr>
          <w:rFonts w:ascii="Cambria" w:hAnsi="Cambria"/>
          <w:spacing w:val="-7"/>
        </w:rPr>
        <w:t xml:space="preserve"> </w:t>
      </w:r>
      <w:r w:rsidRPr="009A0DA6">
        <w:rPr>
          <w:rFonts w:ascii="Cambria" w:hAnsi="Cambria"/>
          <w:spacing w:val="-4"/>
        </w:rPr>
        <w:t>w</w:t>
      </w:r>
      <w:r w:rsidRPr="009A0DA6">
        <w:rPr>
          <w:rFonts w:ascii="Cambria" w:hAnsi="Cambria"/>
          <w:spacing w:val="1"/>
        </w:rPr>
        <w:t>or</w:t>
      </w:r>
      <w:r w:rsidRPr="009A0DA6">
        <w:rPr>
          <w:rFonts w:ascii="Cambria" w:hAnsi="Cambria"/>
        </w:rPr>
        <w:t>ks</w:t>
      </w:r>
      <w:r w:rsidRPr="009A0DA6">
        <w:rPr>
          <w:rFonts w:ascii="Cambria" w:hAnsi="Cambria"/>
          <w:spacing w:val="-5"/>
        </w:rPr>
        <w:t xml:space="preserve"> </w:t>
      </w:r>
      <w:r w:rsidRPr="009A0DA6">
        <w:rPr>
          <w:rFonts w:ascii="Cambria" w:hAnsi="Cambria"/>
          <w:spacing w:val="1"/>
        </w:rPr>
        <w:t>p</w:t>
      </w:r>
      <w:r w:rsidRPr="009A0DA6">
        <w:rPr>
          <w:rFonts w:ascii="Cambria" w:hAnsi="Cambria"/>
        </w:rPr>
        <w:t>a</w:t>
      </w:r>
      <w:r w:rsidRPr="009A0DA6">
        <w:rPr>
          <w:rFonts w:ascii="Cambria" w:hAnsi="Cambria"/>
          <w:spacing w:val="-3"/>
        </w:rPr>
        <w:t>y</w:t>
      </w:r>
      <w:r w:rsidRPr="009A0DA6">
        <w:rPr>
          <w:rFonts w:ascii="Cambria" w:hAnsi="Cambria"/>
          <w:spacing w:val="-4"/>
        </w:rPr>
        <w:t>m</w:t>
      </w:r>
      <w:r w:rsidRPr="009A0DA6">
        <w:rPr>
          <w:rFonts w:ascii="Cambria" w:hAnsi="Cambria"/>
        </w:rPr>
        <w:t>e</w:t>
      </w:r>
      <w:r w:rsidRPr="009A0DA6">
        <w:rPr>
          <w:rFonts w:ascii="Cambria" w:hAnsi="Cambria"/>
          <w:spacing w:val="-1"/>
        </w:rPr>
        <w:t>n</w:t>
      </w:r>
      <w:r w:rsidRPr="009A0DA6">
        <w:rPr>
          <w:rFonts w:ascii="Cambria" w:hAnsi="Cambria"/>
        </w:rPr>
        <w:t>ts</w:t>
      </w:r>
      <w:r w:rsidRPr="009A0DA6">
        <w:rPr>
          <w:rFonts w:ascii="Cambria" w:hAnsi="Cambria"/>
        </w:rPr>
        <w:tab/>
      </w:r>
      <w:r w:rsidRPr="009A0DA6">
        <w:rPr>
          <w:rFonts w:ascii="Cambria" w:hAnsi="Cambria"/>
          <w:spacing w:val="1"/>
        </w:rPr>
        <w:t>5</w:t>
      </w:r>
      <w:r w:rsidRPr="009A0DA6">
        <w:rPr>
          <w:rFonts w:ascii="Cambria" w:hAnsi="Cambria"/>
        </w:rPr>
        <w:t>,</w:t>
      </w:r>
      <w:r w:rsidRPr="009A0DA6">
        <w:rPr>
          <w:rFonts w:ascii="Cambria" w:hAnsi="Cambria"/>
          <w:spacing w:val="1"/>
        </w:rPr>
        <w:t>47</w:t>
      </w:r>
      <w:r w:rsidRPr="009A0DA6">
        <w:rPr>
          <w:rFonts w:ascii="Cambria" w:hAnsi="Cambria"/>
        </w:rPr>
        <w:t>8</w:t>
      </w:r>
      <w:r w:rsidRPr="009A0DA6">
        <w:rPr>
          <w:rFonts w:ascii="Cambria" w:hAnsi="Cambria"/>
        </w:rPr>
        <w:tab/>
      </w:r>
      <w:r w:rsidRPr="009A0DA6">
        <w:rPr>
          <w:rFonts w:ascii="Cambria" w:hAnsi="Cambria"/>
          <w:spacing w:val="1"/>
        </w:rPr>
        <w:t>11</w:t>
      </w:r>
      <w:r w:rsidRPr="009A0DA6">
        <w:rPr>
          <w:rFonts w:ascii="Cambria" w:hAnsi="Cambria"/>
        </w:rPr>
        <w:t>,</w:t>
      </w:r>
      <w:r w:rsidRPr="009A0DA6">
        <w:rPr>
          <w:rFonts w:ascii="Cambria" w:hAnsi="Cambria"/>
          <w:spacing w:val="1"/>
        </w:rPr>
        <w:t>62</w:t>
      </w:r>
      <w:r w:rsidRPr="009A0DA6">
        <w:rPr>
          <w:rFonts w:ascii="Cambria" w:hAnsi="Cambria"/>
        </w:rPr>
        <w:t>9</w:t>
      </w:r>
      <w:r w:rsidRPr="009A0DA6">
        <w:rPr>
          <w:rFonts w:ascii="Cambria" w:hAnsi="Cambria"/>
        </w:rPr>
        <w:tab/>
        <w:t>2,687</w:t>
      </w:r>
    </w:p>
    <w:p w14:paraId="3B77EA1F" w14:textId="77777777" w:rsidR="002E592D" w:rsidRPr="009A0DA6" w:rsidRDefault="002E592D" w:rsidP="002E592D">
      <w:pPr>
        <w:tabs>
          <w:tab w:val="right" w:pos="5954"/>
          <w:tab w:val="right" w:pos="7371"/>
          <w:tab w:val="right" w:pos="8789"/>
        </w:tabs>
        <w:spacing w:after="0" w:line="240" w:lineRule="auto"/>
        <w:rPr>
          <w:rFonts w:ascii="Cambria" w:hAnsi="Cambria"/>
        </w:rPr>
      </w:pPr>
      <w:r w:rsidRPr="009A0DA6">
        <w:rPr>
          <w:rFonts w:ascii="Cambria" w:hAnsi="Cambria"/>
        </w:rPr>
        <w:t>D</w:t>
      </w:r>
      <w:r w:rsidRPr="009A0DA6">
        <w:rPr>
          <w:rFonts w:ascii="Cambria" w:hAnsi="Cambria"/>
          <w:spacing w:val="1"/>
        </w:rPr>
        <w:t>o</w:t>
      </w:r>
      <w:r w:rsidRPr="009A0DA6">
        <w:rPr>
          <w:rFonts w:ascii="Cambria" w:hAnsi="Cambria"/>
          <w:spacing w:val="-1"/>
        </w:rPr>
        <w:t>n</w:t>
      </w:r>
      <w:r w:rsidRPr="009A0DA6">
        <w:rPr>
          <w:rFonts w:ascii="Cambria" w:hAnsi="Cambria"/>
        </w:rPr>
        <w:t>ati</w:t>
      </w:r>
      <w:r w:rsidRPr="009A0DA6">
        <w:rPr>
          <w:rFonts w:ascii="Cambria" w:hAnsi="Cambria"/>
          <w:spacing w:val="1"/>
        </w:rPr>
        <w:t>o</w:t>
      </w:r>
      <w:r w:rsidRPr="009A0DA6">
        <w:rPr>
          <w:rFonts w:ascii="Cambria" w:hAnsi="Cambria"/>
          <w:spacing w:val="-1"/>
        </w:rPr>
        <w:t>n</w:t>
      </w:r>
      <w:r w:rsidRPr="009A0DA6">
        <w:rPr>
          <w:rFonts w:ascii="Cambria" w:hAnsi="Cambria"/>
        </w:rPr>
        <w:t>s</w:t>
      </w:r>
      <w:r w:rsidRPr="009A0DA6">
        <w:rPr>
          <w:rFonts w:ascii="Cambria" w:hAnsi="Cambria"/>
        </w:rPr>
        <w:tab/>
      </w:r>
      <w:r w:rsidRPr="009A0DA6">
        <w:rPr>
          <w:rFonts w:ascii="Cambria" w:hAnsi="Cambria"/>
          <w:spacing w:val="1"/>
        </w:rPr>
        <w:t>5</w:t>
      </w:r>
      <w:r w:rsidRPr="009A0DA6">
        <w:rPr>
          <w:rFonts w:ascii="Cambria" w:hAnsi="Cambria"/>
        </w:rPr>
        <w:t>,</w:t>
      </w:r>
      <w:r w:rsidRPr="009A0DA6">
        <w:rPr>
          <w:rFonts w:ascii="Cambria" w:hAnsi="Cambria"/>
          <w:spacing w:val="1"/>
        </w:rPr>
        <w:t>51</w:t>
      </w:r>
      <w:r w:rsidRPr="009A0DA6">
        <w:rPr>
          <w:rFonts w:ascii="Cambria" w:hAnsi="Cambria"/>
        </w:rPr>
        <w:t>3</w:t>
      </w:r>
      <w:r w:rsidRPr="009A0DA6">
        <w:rPr>
          <w:rFonts w:ascii="Cambria" w:hAnsi="Cambria"/>
        </w:rPr>
        <w:tab/>
      </w:r>
      <w:r w:rsidRPr="009A0DA6">
        <w:rPr>
          <w:rFonts w:ascii="Cambria" w:hAnsi="Cambria"/>
          <w:spacing w:val="1"/>
        </w:rPr>
        <w:t>6</w:t>
      </w:r>
      <w:r w:rsidRPr="009A0DA6">
        <w:rPr>
          <w:rFonts w:ascii="Cambria" w:hAnsi="Cambria"/>
        </w:rPr>
        <w:t>,</w:t>
      </w:r>
      <w:r w:rsidRPr="009A0DA6">
        <w:rPr>
          <w:rFonts w:ascii="Cambria" w:hAnsi="Cambria"/>
          <w:spacing w:val="1"/>
        </w:rPr>
        <w:t>90</w:t>
      </w:r>
      <w:r w:rsidRPr="009A0DA6">
        <w:rPr>
          <w:rFonts w:ascii="Cambria" w:hAnsi="Cambria"/>
        </w:rPr>
        <w:t>4</w:t>
      </w:r>
      <w:r w:rsidRPr="009A0DA6">
        <w:rPr>
          <w:rFonts w:ascii="Cambria" w:hAnsi="Cambria"/>
        </w:rPr>
        <w:tab/>
        <w:t>4,012</w:t>
      </w:r>
    </w:p>
    <w:p w14:paraId="025D6E73" w14:textId="77777777" w:rsidR="002E592D" w:rsidRPr="009A0DA6" w:rsidRDefault="002E592D" w:rsidP="002E592D">
      <w:pPr>
        <w:tabs>
          <w:tab w:val="right" w:pos="5954"/>
          <w:tab w:val="right" w:pos="7371"/>
          <w:tab w:val="right" w:pos="8789"/>
        </w:tabs>
        <w:spacing w:after="0" w:line="240" w:lineRule="auto"/>
        <w:rPr>
          <w:rFonts w:ascii="Cambria" w:hAnsi="Cambria"/>
        </w:rPr>
      </w:pPr>
      <w:r w:rsidRPr="009A0DA6">
        <w:rPr>
          <w:rFonts w:ascii="Cambria" w:hAnsi="Cambria"/>
          <w:spacing w:val="-2"/>
        </w:rPr>
        <w:t>L</w:t>
      </w:r>
      <w:r w:rsidRPr="009A0DA6">
        <w:rPr>
          <w:rFonts w:ascii="Cambria" w:hAnsi="Cambria"/>
          <w:spacing w:val="-1"/>
        </w:rPr>
        <w:t>C</w:t>
      </w:r>
      <w:r w:rsidRPr="009A0DA6">
        <w:rPr>
          <w:rFonts w:ascii="Cambria" w:hAnsi="Cambria"/>
        </w:rPr>
        <w:t>A</w:t>
      </w:r>
      <w:r w:rsidRPr="009A0DA6">
        <w:rPr>
          <w:rFonts w:ascii="Cambria" w:hAnsi="Cambria"/>
          <w:spacing w:val="-6"/>
        </w:rPr>
        <w:t xml:space="preserve"> </w:t>
      </w:r>
      <w:r w:rsidRPr="009A0DA6">
        <w:rPr>
          <w:rFonts w:ascii="Cambria" w:hAnsi="Cambria"/>
          <w:spacing w:val="1"/>
        </w:rPr>
        <w:t>pro</w:t>
      </w:r>
      <w:r w:rsidRPr="009A0DA6">
        <w:rPr>
          <w:rFonts w:ascii="Cambria" w:hAnsi="Cambria"/>
          <w:spacing w:val="-2"/>
        </w:rPr>
        <w:t>f</w:t>
      </w:r>
      <w:r w:rsidRPr="009A0DA6">
        <w:rPr>
          <w:rFonts w:ascii="Cambria" w:hAnsi="Cambria"/>
        </w:rPr>
        <w:t>es</w:t>
      </w:r>
      <w:r w:rsidRPr="009A0DA6">
        <w:rPr>
          <w:rFonts w:ascii="Cambria" w:hAnsi="Cambria"/>
          <w:spacing w:val="-1"/>
        </w:rPr>
        <w:t>s</w:t>
      </w:r>
      <w:r w:rsidRPr="009A0DA6">
        <w:rPr>
          <w:rFonts w:ascii="Cambria" w:hAnsi="Cambria"/>
        </w:rPr>
        <w:t>i</w:t>
      </w:r>
      <w:r w:rsidRPr="009A0DA6">
        <w:rPr>
          <w:rFonts w:ascii="Cambria" w:hAnsi="Cambria"/>
          <w:spacing w:val="1"/>
        </w:rPr>
        <w:t>o</w:t>
      </w:r>
      <w:r w:rsidRPr="009A0DA6">
        <w:rPr>
          <w:rFonts w:ascii="Cambria" w:hAnsi="Cambria"/>
          <w:spacing w:val="-1"/>
        </w:rPr>
        <w:t>n</w:t>
      </w:r>
      <w:r w:rsidRPr="009A0DA6">
        <w:rPr>
          <w:rFonts w:ascii="Cambria" w:hAnsi="Cambria"/>
        </w:rPr>
        <w:t>al</w:t>
      </w:r>
      <w:r w:rsidRPr="009A0DA6">
        <w:rPr>
          <w:rFonts w:ascii="Cambria" w:hAnsi="Cambria"/>
          <w:spacing w:val="-10"/>
        </w:rPr>
        <w:t xml:space="preserve"> </w:t>
      </w:r>
      <w:r w:rsidRPr="009A0DA6">
        <w:rPr>
          <w:rFonts w:ascii="Cambria" w:hAnsi="Cambria"/>
          <w:spacing w:val="-1"/>
        </w:rPr>
        <w:t>s</w:t>
      </w:r>
      <w:r w:rsidRPr="009A0DA6">
        <w:rPr>
          <w:rFonts w:ascii="Cambria" w:hAnsi="Cambria"/>
        </w:rPr>
        <w:t>ta</w:t>
      </w:r>
      <w:r w:rsidRPr="009A0DA6">
        <w:rPr>
          <w:rFonts w:ascii="Cambria" w:hAnsi="Cambria"/>
          <w:spacing w:val="-1"/>
        </w:rPr>
        <w:t>n</w:t>
      </w:r>
      <w:r w:rsidRPr="009A0DA6">
        <w:rPr>
          <w:rFonts w:ascii="Cambria" w:hAnsi="Cambria"/>
          <w:spacing w:val="1"/>
        </w:rPr>
        <w:t>d</w:t>
      </w:r>
      <w:r w:rsidRPr="009A0DA6">
        <w:rPr>
          <w:rFonts w:ascii="Cambria" w:hAnsi="Cambria"/>
        </w:rPr>
        <w:t>a</w:t>
      </w:r>
      <w:r w:rsidRPr="009A0DA6">
        <w:rPr>
          <w:rFonts w:ascii="Cambria" w:hAnsi="Cambria"/>
          <w:spacing w:val="1"/>
        </w:rPr>
        <w:t>rd</w:t>
      </w:r>
      <w:r w:rsidRPr="009A0DA6">
        <w:rPr>
          <w:rFonts w:ascii="Cambria" w:hAnsi="Cambria"/>
        </w:rPr>
        <w:t>s</w:t>
      </w:r>
      <w:r w:rsidRPr="009A0DA6">
        <w:rPr>
          <w:rFonts w:ascii="Cambria" w:hAnsi="Cambria"/>
          <w:spacing w:val="-8"/>
        </w:rPr>
        <w:t xml:space="preserve"> </w:t>
      </w:r>
      <w:r w:rsidRPr="009A0DA6">
        <w:rPr>
          <w:rFonts w:ascii="Cambria" w:hAnsi="Cambria"/>
          <w:spacing w:val="-1"/>
        </w:rPr>
        <w:t>un</w:t>
      </w:r>
      <w:r w:rsidRPr="009A0DA6">
        <w:rPr>
          <w:rFonts w:ascii="Cambria" w:hAnsi="Cambria"/>
        </w:rPr>
        <w:t>it</w:t>
      </w:r>
      <w:r w:rsidRPr="009A0DA6">
        <w:rPr>
          <w:rFonts w:ascii="Cambria" w:hAnsi="Cambria"/>
        </w:rPr>
        <w:tab/>
      </w:r>
      <w:r w:rsidRPr="009A0DA6">
        <w:rPr>
          <w:rFonts w:ascii="Cambria" w:hAnsi="Cambria"/>
          <w:spacing w:val="1"/>
        </w:rPr>
        <w:t>508</w:t>
      </w:r>
      <w:r w:rsidRPr="009A0DA6">
        <w:rPr>
          <w:rFonts w:ascii="Cambria" w:hAnsi="Cambria"/>
        </w:rPr>
        <w:t>,</w:t>
      </w:r>
      <w:r w:rsidRPr="009A0DA6">
        <w:rPr>
          <w:rFonts w:ascii="Cambria" w:hAnsi="Cambria"/>
          <w:spacing w:val="1"/>
        </w:rPr>
        <w:t>80</w:t>
      </w:r>
      <w:r w:rsidRPr="009A0DA6">
        <w:rPr>
          <w:rFonts w:ascii="Cambria" w:hAnsi="Cambria"/>
        </w:rPr>
        <w:t>0</w:t>
      </w:r>
      <w:r w:rsidRPr="009A0DA6">
        <w:rPr>
          <w:rFonts w:ascii="Cambria" w:hAnsi="Cambria"/>
        </w:rPr>
        <w:tab/>
      </w:r>
      <w:r w:rsidRPr="009A0DA6">
        <w:rPr>
          <w:rFonts w:ascii="Cambria" w:hAnsi="Cambria"/>
          <w:spacing w:val="1"/>
        </w:rPr>
        <w:t>508</w:t>
      </w:r>
      <w:r w:rsidRPr="009A0DA6">
        <w:rPr>
          <w:rFonts w:ascii="Cambria" w:hAnsi="Cambria"/>
        </w:rPr>
        <w:t>,</w:t>
      </w:r>
      <w:r w:rsidRPr="009A0DA6">
        <w:rPr>
          <w:rFonts w:ascii="Cambria" w:hAnsi="Cambria"/>
          <w:spacing w:val="1"/>
        </w:rPr>
        <w:t>80</w:t>
      </w:r>
      <w:r w:rsidRPr="009A0DA6">
        <w:rPr>
          <w:rFonts w:ascii="Cambria" w:hAnsi="Cambria"/>
        </w:rPr>
        <w:t>0</w:t>
      </w:r>
      <w:r w:rsidRPr="009A0DA6">
        <w:rPr>
          <w:rFonts w:ascii="Cambria" w:hAnsi="Cambria"/>
        </w:rPr>
        <w:tab/>
        <w:t>494,000</w:t>
      </w:r>
    </w:p>
    <w:p w14:paraId="5562D451" w14:textId="77777777" w:rsidR="002E592D" w:rsidRPr="009A0DA6" w:rsidRDefault="002E592D" w:rsidP="002E592D">
      <w:pPr>
        <w:tabs>
          <w:tab w:val="right" w:pos="5954"/>
          <w:tab w:val="right" w:pos="7371"/>
          <w:tab w:val="right" w:pos="8789"/>
        </w:tabs>
        <w:spacing w:after="0" w:line="240" w:lineRule="auto"/>
        <w:rPr>
          <w:rFonts w:ascii="Cambria" w:hAnsi="Cambria"/>
        </w:rPr>
      </w:pPr>
      <w:r w:rsidRPr="009A0DA6">
        <w:rPr>
          <w:rFonts w:ascii="Cambria" w:hAnsi="Cambria"/>
          <w:spacing w:val="2"/>
        </w:rPr>
        <w:t>P</w:t>
      </w:r>
      <w:r w:rsidRPr="009A0DA6">
        <w:rPr>
          <w:rFonts w:ascii="Cambria" w:hAnsi="Cambria"/>
          <w:spacing w:val="1"/>
        </w:rPr>
        <w:t>ro</w:t>
      </w:r>
      <w:r w:rsidRPr="009A0DA6">
        <w:rPr>
          <w:rFonts w:ascii="Cambria" w:hAnsi="Cambria"/>
          <w:spacing w:val="-2"/>
        </w:rPr>
        <w:t>f</w:t>
      </w:r>
      <w:r w:rsidRPr="009A0DA6">
        <w:rPr>
          <w:rFonts w:ascii="Cambria" w:hAnsi="Cambria"/>
        </w:rPr>
        <w:t>es</w:t>
      </w:r>
      <w:r w:rsidRPr="009A0DA6">
        <w:rPr>
          <w:rFonts w:ascii="Cambria" w:hAnsi="Cambria"/>
          <w:spacing w:val="-1"/>
        </w:rPr>
        <w:t>s</w:t>
      </w:r>
      <w:r w:rsidRPr="009A0DA6">
        <w:rPr>
          <w:rFonts w:ascii="Cambria" w:hAnsi="Cambria"/>
        </w:rPr>
        <w:t>i</w:t>
      </w:r>
      <w:r w:rsidRPr="009A0DA6">
        <w:rPr>
          <w:rFonts w:ascii="Cambria" w:hAnsi="Cambria"/>
          <w:spacing w:val="1"/>
        </w:rPr>
        <w:t>o</w:t>
      </w:r>
      <w:r w:rsidRPr="009A0DA6">
        <w:rPr>
          <w:rFonts w:ascii="Cambria" w:hAnsi="Cambria"/>
          <w:spacing w:val="-1"/>
        </w:rPr>
        <w:t>n</w:t>
      </w:r>
      <w:r w:rsidRPr="009A0DA6">
        <w:rPr>
          <w:rFonts w:ascii="Cambria" w:hAnsi="Cambria"/>
        </w:rPr>
        <w:t>al</w:t>
      </w:r>
      <w:r w:rsidRPr="009A0DA6">
        <w:rPr>
          <w:rFonts w:ascii="Cambria" w:hAnsi="Cambria"/>
          <w:spacing w:val="-10"/>
        </w:rPr>
        <w:t xml:space="preserve"> </w:t>
      </w:r>
      <w:r w:rsidRPr="009A0DA6">
        <w:rPr>
          <w:rFonts w:ascii="Cambria" w:hAnsi="Cambria"/>
          <w:spacing w:val="-1"/>
        </w:rPr>
        <w:t>s</w:t>
      </w:r>
      <w:r w:rsidRPr="009A0DA6">
        <w:rPr>
          <w:rFonts w:ascii="Cambria" w:hAnsi="Cambria"/>
        </w:rPr>
        <w:t>e</w:t>
      </w:r>
      <w:r w:rsidRPr="009A0DA6">
        <w:rPr>
          <w:rFonts w:ascii="Cambria" w:hAnsi="Cambria"/>
          <w:spacing w:val="1"/>
        </w:rPr>
        <w:t>r</w:t>
      </w:r>
      <w:r w:rsidRPr="009A0DA6">
        <w:rPr>
          <w:rFonts w:ascii="Cambria" w:hAnsi="Cambria"/>
          <w:spacing w:val="-1"/>
        </w:rPr>
        <w:t>v</w:t>
      </w:r>
      <w:r w:rsidRPr="009A0DA6">
        <w:rPr>
          <w:rFonts w:ascii="Cambria" w:hAnsi="Cambria"/>
        </w:rPr>
        <w:t>ices</w:t>
      </w:r>
      <w:r w:rsidRPr="009A0DA6">
        <w:rPr>
          <w:rFonts w:ascii="Cambria" w:hAnsi="Cambria"/>
        </w:rPr>
        <w:tab/>
      </w:r>
      <w:r w:rsidRPr="009A0DA6">
        <w:rPr>
          <w:rFonts w:ascii="Cambria" w:hAnsi="Cambria"/>
          <w:spacing w:val="1"/>
        </w:rPr>
        <w:t>131</w:t>
      </w:r>
      <w:r w:rsidRPr="009A0DA6">
        <w:rPr>
          <w:rFonts w:ascii="Cambria" w:hAnsi="Cambria"/>
        </w:rPr>
        <w:t>,</w:t>
      </w:r>
      <w:r w:rsidRPr="009A0DA6">
        <w:rPr>
          <w:rFonts w:ascii="Cambria" w:hAnsi="Cambria"/>
          <w:spacing w:val="1"/>
        </w:rPr>
        <w:t>10</w:t>
      </w:r>
      <w:r w:rsidRPr="009A0DA6">
        <w:rPr>
          <w:rFonts w:ascii="Cambria" w:hAnsi="Cambria"/>
        </w:rPr>
        <w:t>8</w:t>
      </w:r>
      <w:r w:rsidRPr="009A0DA6">
        <w:rPr>
          <w:rFonts w:ascii="Cambria" w:hAnsi="Cambria"/>
        </w:rPr>
        <w:tab/>
      </w:r>
      <w:r w:rsidRPr="009A0DA6">
        <w:rPr>
          <w:rFonts w:ascii="Cambria" w:hAnsi="Cambria"/>
          <w:spacing w:val="1"/>
        </w:rPr>
        <w:t>112</w:t>
      </w:r>
      <w:r w:rsidRPr="009A0DA6">
        <w:rPr>
          <w:rFonts w:ascii="Cambria" w:hAnsi="Cambria"/>
        </w:rPr>
        <w:t>,</w:t>
      </w:r>
      <w:r w:rsidRPr="009A0DA6">
        <w:rPr>
          <w:rFonts w:ascii="Cambria" w:hAnsi="Cambria"/>
          <w:spacing w:val="1"/>
        </w:rPr>
        <w:t>8</w:t>
      </w:r>
      <w:r w:rsidRPr="009A0DA6">
        <w:rPr>
          <w:rFonts w:ascii="Cambria" w:hAnsi="Cambria"/>
          <w:spacing w:val="3"/>
        </w:rPr>
        <w:t>7</w:t>
      </w:r>
      <w:r w:rsidRPr="009A0DA6">
        <w:rPr>
          <w:rFonts w:ascii="Cambria" w:hAnsi="Cambria"/>
        </w:rPr>
        <w:t>1</w:t>
      </w:r>
      <w:r w:rsidRPr="009A0DA6">
        <w:rPr>
          <w:rFonts w:ascii="Cambria" w:hAnsi="Cambria"/>
        </w:rPr>
        <w:tab/>
        <w:t>21,705</w:t>
      </w:r>
    </w:p>
    <w:p w14:paraId="4B781D84" w14:textId="77777777" w:rsidR="002E592D" w:rsidRPr="009A0DA6" w:rsidRDefault="002E592D" w:rsidP="002E592D">
      <w:pPr>
        <w:tabs>
          <w:tab w:val="right" w:pos="5954"/>
          <w:tab w:val="right" w:pos="7371"/>
          <w:tab w:val="right" w:pos="8789"/>
        </w:tabs>
        <w:spacing w:after="0" w:line="240" w:lineRule="auto"/>
        <w:rPr>
          <w:rFonts w:ascii="Cambria" w:hAnsi="Cambria"/>
        </w:rPr>
      </w:pPr>
      <w:r w:rsidRPr="009A0DA6">
        <w:rPr>
          <w:rFonts w:ascii="Cambria" w:hAnsi="Cambria"/>
          <w:spacing w:val="-1"/>
        </w:rPr>
        <w:t>R</w:t>
      </w:r>
      <w:r w:rsidRPr="009A0DA6">
        <w:rPr>
          <w:rFonts w:ascii="Cambria" w:hAnsi="Cambria"/>
        </w:rPr>
        <w:t>ei</w:t>
      </w:r>
      <w:r w:rsidRPr="009A0DA6">
        <w:rPr>
          <w:rFonts w:ascii="Cambria" w:hAnsi="Cambria"/>
          <w:spacing w:val="-1"/>
        </w:rPr>
        <w:t>nsu</w:t>
      </w:r>
      <w:r w:rsidRPr="009A0DA6">
        <w:rPr>
          <w:rFonts w:ascii="Cambria" w:hAnsi="Cambria"/>
          <w:spacing w:val="1"/>
        </w:rPr>
        <w:t>r</w:t>
      </w:r>
      <w:r w:rsidRPr="009A0DA6">
        <w:rPr>
          <w:rFonts w:ascii="Cambria" w:hAnsi="Cambria"/>
        </w:rPr>
        <w:t>a</w:t>
      </w:r>
      <w:r w:rsidRPr="009A0DA6">
        <w:rPr>
          <w:rFonts w:ascii="Cambria" w:hAnsi="Cambria"/>
          <w:spacing w:val="-1"/>
        </w:rPr>
        <w:t>n</w:t>
      </w:r>
      <w:r w:rsidRPr="009A0DA6">
        <w:rPr>
          <w:rFonts w:ascii="Cambria" w:hAnsi="Cambria"/>
        </w:rPr>
        <w:t>ce</w:t>
      </w:r>
      <w:r w:rsidRPr="009A0DA6">
        <w:rPr>
          <w:rFonts w:ascii="Cambria" w:hAnsi="Cambria"/>
          <w:spacing w:val="-9"/>
        </w:rPr>
        <w:t xml:space="preserve"> </w:t>
      </w:r>
      <w:r w:rsidRPr="009A0DA6">
        <w:rPr>
          <w:rFonts w:ascii="Cambria" w:hAnsi="Cambria"/>
        </w:rPr>
        <w:t>c</w:t>
      </w:r>
      <w:r w:rsidRPr="009A0DA6">
        <w:rPr>
          <w:rFonts w:ascii="Cambria" w:hAnsi="Cambria"/>
          <w:spacing w:val="1"/>
        </w:rPr>
        <w:t>o</w:t>
      </w:r>
      <w:r w:rsidRPr="009A0DA6">
        <w:rPr>
          <w:rFonts w:ascii="Cambria" w:hAnsi="Cambria"/>
          <w:spacing w:val="-1"/>
        </w:rPr>
        <w:t>s</w:t>
      </w:r>
      <w:r w:rsidRPr="009A0DA6">
        <w:rPr>
          <w:rFonts w:ascii="Cambria" w:hAnsi="Cambria"/>
        </w:rPr>
        <w:t>ts</w:t>
      </w:r>
      <w:r w:rsidRPr="009A0DA6">
        <w:rPr>
          <w:rFonts w:ascii="Cambria" w:hAnsi="Cambria"/>
        </w:rPr>
        <w:tab/>
      </w:r>
      <w:r w:rsidRPr="009A0DA6">
        <w:rPr>
          <w:rFonts w:ascii="Cambria" w:hAnsi="Cambria"/>
          <w:spacing w:val="1"/>
        </w:rPr>
        <w:t>5</w:t>
      </w:r>
      <w:r w:rsidRPr="009A0DA6">
        <w:rPr>
          <w:rFonts w:ascii="Cambria" w:hAnsi="Cambria"/>
        </w:rPr>
        <w:t>,</w:t>
      </w:r>
      <w:r w:rsidRPr="009A0DA6">
        <w:rPr>
          <w:rFonts w:ascii="Cambria" w:hAnsi="Cambria"/>
          <w:spacing w:val="1"/>
        </w:rPr>
        <w:t>510</w:t>
      </w:r>
      <w:r w:rsidRPr="009A0DA6">
        <w:rPr>
          <w:rFonts w:ascii="Cambria" w:hAnsi="Cambria"/>
        </w:rPr>
        <w:t>,</w:t>
      </w:r>
      <w:r w:rsidRPr="009A0DA6">
        <w:rPr>
          <w:rFonts w:ascii="Cambria" w:hAnsi="Cambria"/>
          <w:spacing w:val="1"/>
        </w:rPr>
        <w:t>79</w:t>
      </w:r>
      <w:r w:rsidRPr="009A0DA6">
        <w:rPr>
          <w:rFonts w:ascii="Cambria" w:hAnsi="Cambria"/>
        </w:rPr>
        <w:t>5</w:t>
      </w:r>
      <w:r w:rsidRPr="009A0DA6">
        <w:rPr>
          <w:rFonts w:ascii="Cambria" w:hAnsi="Cambria"/>
        </w:rPr>
        <w:tab/>
      </w:r>
      <w:r w:rsidRPr="009A0DA6">
        <w:rPr>
          <w:rFonts w:ascii="Cambria" w:hAnsi="Cambria"/>
          <w:spacing w:val="1"/>
        </w:rPr>
        <w:t>4</w:t>
      </w:r>
      <w:r w:rsidRPr="009A0DA6">
        <w:rPr>
          <w:rFonts w:ascii="Cambria" w:hAnsi="Cambria"/>
        </w:rPr>
        <w:t>,</w:t>
      </w:r>
      <w:r w:rsidRPr="009A0DA6">
        <w:rPr>
          <w:rFonts w:ascii="Cambria" w:hAnsi="Cambria"/>
          <w:spacing w:val="1"/>
        </w:rPr>
        <w:t>722</w:t>
      </w:r>
      <w:r w:rsidRPr="009A0DA6">
        <w:rPr>
          <w:rFonts w:ascii="Cambria" w:hAnsi="Cambria"/>
        </w:rPr>
        <w:t>,</w:t>
      </w:r>
      <w:r w:rsidRPr="009A0DA6">
        <w:rPr>
          <w:rFonts w:ascii="Cambria" w:hAnsi="Cambria"/>
          <w:spacing w:val="1"/>
        </w:rPr>
        <w:t>11</w:t>
      </w:r>
      <w:r w:rsidRPr="009A0DA6">
        <w:rPr>
          <w:rFonts w:ascii="Cambria" w:hAnsi="Cambria"/>
        </w:rPr>
        <w:t>6</w:t>
      </w:r>
      <w:r w:rsidRPr="009A0DA6">
        <w:rPr>
          <w:rFonts w:ascii="Cambria" w:hAnsi="Cambria"/>
        </w:rPr>
        <w:tab/>
        <w:t>4,752,852</w:t>
      </w:r>
    </w:p>
    <w:p w14:paraId="5A11259F" w14:textId="77777777" w:rsidR="002E592D" w:rsidRPr="009A0DA6" w:rsidRDefault="002E592D" w:rsidP="002E592D">
      <w:pPr>
        <w:tabs>
          <w:tab w:val="right" w:pos="5954"/>
          <w:tab w:val="right" w:pos="7371"/>
          <w:tab w:val="right" w:pos="8789"/>
        </w:tabs>
        <w:spacing w:after="0" w:line="240" w:lineRule="auto"/>
        <w:rPr>
          <w:rFonts w:ascii="Cambria" w:eastAsia="Times New Roman" w:hAnsi="Cambria" w:cs="Times New Roman"/>
        </w:rPr>
      </w:pPr>
      <w:r w:rsidRPr="009A0DA6">
        <w:rPr>
          <w:rFonts w:ascii="Cambria" w:eastAsia="Times New Roman" w:hAnsi="Cambria" w:cs="Times New Roman"/>
        </w:rPr>
        <w:t>Sala</w:t>
      </w:r>
      <w:r w:rsidRPr="009A0DA6">
        <w:rPr>
          <w:rFonts w:ascii="Cambria" w:eastAsia="Times New Roman" w:hAnsi="Cambria" w:cs="Times New Roman"/>
          <w:spacing w:val="1"/>
        </w:rPr>
        <w:t>r</w:t>
      </w:r>
      <w:r w:rsidRPr="009A0DA6">
        <w:rPr>
          <w:rFonts w:ascii="Cambria" w:eastAsia="Times New Roman" w:hAnsi="Cambria" w:cs="Times New Roman"/>
        </w:rPr>
        <w:t>y</w:t>
      </w:r>
      <w:r w:rsidRPr="009A0DA6">
        <w:rPr>
          <w:rFonts w:ascii="Cambria" w:eastAsia="Times New Roman" w:hAnsi="Cambria" w:cs="Times New Roman"/>
          <w:spacing w:val="-8"/>
        </w:rPr>
        <w:t xml:space="preserve"> </w:t>
      </w:r>
      <w:r w:rsidRPr="009A0DA6">
        <w:rPr>
          <w:rFonts w:ascii="Cambria" w:eastAsia="Times New Roman" w:hAnsi="Cambria" w:cs="Times New Roman"/>
        </w:rPr>
        <w:t>c</w:t>
      </w:r>
      <w:r w:rsidRPr="009A0DA6">
        <w:rPr>
          <w:rFonts w:ascii="Cambria" w:eastAsia="Times New Roman" w:hAnsi="Cambria" w:cs="Times New Roman"/>
          <w:spacing w:val="1"/>
        </w:rPr>
        <w:t>o</w:t>
      </w:r>
      <w:r w:rsidRPr="009A0DA6">
        <w:rPr>
          <w:rFonts w:ascii="Cambria" w:eastAsia="Times New Roman" w:hAnsi="Cambria" w:cs="Times New Roman"/>
          <w:spacing w:val="-1"/>
        </w:rPr>
        <w:t>n</w:t>
      </w:r>
      <w:r w:rsidRPr="009A0DA6">
        <w:rPr>
          <w:rFonts w:ascii="Cambria" w:eastAsia="Times New Roman" w:hAnsi="Cambria" w:cs="Times New Roman"/>
        </w:rPr>
        <w:t>ti</w:t>
      </w:r>
      <w:r w:rsidRPr="009A0DA6">
        <w:rPr>
          <w:rFonts w:ascii="Cambria" w:eastAsia="Times New Roman" w:hAnsi="Cambria" w:cs="Times New Roman"/>
          <w:spacing w:val="-2"/>
        </w:rPr>
        <w:t>n</w:t>
      </w:r>
      <w:r w:rsidRPr="009A0DA6">
        <w:rPr>
          <w:rFonts w:ascii="Cambria" w:eastAsia="Times New Roman" w:hAnsi="Cambria" w:cs="Times New Roman"/>
          <w:spacing w:val="-1"/>
        </w:rPr>
        <w:t>u</w:t>
      </w:r>
      <w:r w:rsidRPr="009A0DA6">
        <w:rPr>
          <w:rFonts w:ascii="Cambria" w:eastAsia="Times New Roman" w:hAnsi="Cambria" w:cs="Times New Roman"/>
        </w:rPr>
        <w:t>a</w:t>
      </w:r>
      <w:r w:rsidRPr="009A0DA6">
        <w:rPr>
          <w:rFonts w:ascii="Cambria" w:eastAsia="Times New Roman" w:hAnsi="Cambria" w:cs="Times New Roman"/>
          <w:spacing w:val="-1"/>
        </w:rPr>
        <w:t>n</w:t>
      </w:r>
      <w:r w:rsidRPr="009A0DA6">
        <w:rPr>
          <w:rFonts w:ascii="Cambria" w:eastAsia="Times New Roman" w:hAnsi="Cambria" w:cs="Times New Roman"/>
        </w:rPr>
        <w:t>ce</w:t>
      </w:r>
      <w:r w:rsidRPr="009A0DA6">
        <w:rPr>
          <w:rFonts w:ascii="Cambria" w:eastAsia="Times New Roman" w:hAnsi="Cambria" w:cs="Times New Roman"/>
          <w:spacing w:val="-9"/>
        </w:rPr>
        <w:t xml:space="preserve"> </w:t>
      </w:r>
      <w:r w:rsidRPr="009A0DA6">
        <w:rPr>
          <w:rFonts w:ascii="Cambria" w:eastAsia="Times New Roman" w:hAnsi="Cambria" w:cs="Times New Roman"/>
        </w:rPr>
        <w:t>c</w:t>
      </w:r>
      <w:r w:rsidRPr="009A0DA6">
        <w:rPr>
          <w:rFonts w:ascii="Cambria" w:eastAsia="Times New Roman" w:hAnsi="Cambria" w:cs="Times New Roman"/>
          <w:spacing w:val="1"/>
        </w:rPr>
        <w:t>o</w:t>
      </w:r>
      <w:r w:rsidRPr="009A0DA6">
        <w:rPr>
          <w:rFonts w:ascii="Cambria" w:eastAsia="Times New Roman" w:hAnsi="Cambria" w:cs="Times New Roman"/>
          <w:spacing w:val="-1"/>
        </w:rPr>
        <w:t>v</w:t>
      </w:r>
      <w:r w:rsidRPr="009A0DA6">
        <w:rPr>
          <w:rFonts w:ascii="Cambria" w:eastAsia="Times New Roman" w:hAnsi="Cambria" w:cs="Times New Roman"/>
        </w:rPr>
        <w:t>er</w:t>
      </w:r>
      <w:r w:rsidRPr="009A0DA6">
        <w:rPr>
          <w:rFonts w:ascii="Cambria" w:eastAsia="Times New Roman" w:hAnsi="Cambria" w:cs="Times New Roman"/>
          <w:spacing w:val="-1"/>
        </w:rPr>
        <w:t xml:space="preserve"> </w:t>
      </w:r>
      <w:r w:rsidRPr="009A0DA6">
        <w:rPr>
          <w:rFonts w:ascii="Cambria" w:eastAsia="Times New Roman" w:hAnsi="Cambria" w:cs="Times New Roman"/>
        </w:rPr>
        <w:t>-</w:t>
      </w:r>
      <w:r w:rsidRPr="009A0DA6">
        <w:rPr>
          <w:rFonts w:ascii="Cambria" w:eastAsia="Times New Roman" w:hAnsi="Cambria" w:cs="Times New Roman"/>
          <w:spacing w:val="-2"/>
        </w:rPr>
        <w:t xml:space="preserve"> </w:t>
      </w:r>
      <w:r w:rsidRPr="009A0DA6">
        <w:rPr>
          <w:rFonts w:ascii="Cambria" w:eastAsia="Times New Roman" w:hAnsi="Cambria" w:cs="Times New Roman"/>
          <w:spacing w:val="2"/>
        </w:rPr>
        <w:t>P</w:t>
      </w:r>
      <w:r w:rsidRPr="009A0DA6">
        <w:rPr>
          <w:rFonts w:ascii="Cambria" w:eastAsia="Times New Roman" w:hAnsi="Cambria" w:cs="Times New Roman"/>
        </w:rPr>
        <w:t>asto</w:t>
      </w:r>
      <w:r w:rsidRPr="009A0DA6">
        <w:rPr>
          <w:rFonts w:ascii="Cambria" w:eastAsia="Times New Roman" w:hAnsi="Cambria" w:cs="Times New Roman"/>
          <w:spacing w:val="1"/>
        </w:rPr>
        <w:t>r</w:t>
      </w:r>
      <w:r w:rsidRPr="009A0DA6">
        <w:rPr>
          <w:rFonts w:ascii="Cambria" w:eastAsia="Times New Roman" w:hAnsi="Cambria" w:cs="Times New Roman"/>
        </w:rPr>
        <w:t>s</w:t>
      </w:r>
      <w:r w:rsidRPr="009A0DA6">
        <w:rPr>
          <w:rFonts w:ascii="Cambria" w:eastAsia="Times New Roman" w:hAnsi="Cambria" w:cs="Times New Roman"/>
        </w:rPr>
        <w:tab/>
      </w:r>
      <w:r w:rsidRPr="009A0DA6">
        <w:rPr>
          <w:rFonts w:ascii="Cambria" w:eastAsia="Times New Roman" w:hAnsi="Cambria" w:cs="Times New Roman"/>
          <w:spacing w:val="1"/>
        </w:rPr>
        <w:t>683</w:t>
      </w:r>
      <w:r w:rsidRPr="009A0DA6">
        <w:rPr>
          <w:rFonts w:ascii="Cambria" w:eastAsia="Times New Roman" w:hAnsi="Cambria" w:cs="Times New Roman"/>
        </w:rPr>
        <w:t>,</w:t>
      </w:r>
      <w:r w:rsidRPr="009A0DA6">
        <w:rPr>
          <w:rFonts w:ascii="Cambria" w:eastAsia="Times New Roman" w:hAnsi="Cambria" w:cs="Times New Roman"/>
          <w:spacing w:val="1"/>
        </w:rPr>
        <w:t>44</w:t>
      </w:r>
      <w:r w:rsidRPr="009A0DA6">
        <w:rPr>
          <w:rFonts w:ascii="Cambria" w:eastAsia="Times New Roman" w:hAnsi="Cambria" w:cs="Times New Roman"/>
        </w:rPr>
        <w:t>3</w:t>
      </w:r>
      <w:r w:rsidRPr="009A0DA6">
        <w:rPr>
          <w:rFonts w:ascii="Cambria" w:hAnsi="Cambria"/>
        </w:rPr>
        <w:tab/>
      </w:r>
      <w:r w:rsidRPr="009A0DA6">
        <w:rPr>
          <w:rFonts w:ascii="Cambria" w:eastAsia="Times New Roman" w:hAnsi="Cambria" w:cs="Times New Roman"/>
          <w:spacing w:val="1"/>
        </w:rPr>
        <w:t>684</w:t>
      </w:r>
      <w:r w:rsidRPr="009A0DA6">
        <w:rPr>
          <w:rFonts w:ascii="Cambria" w:eastAsia="Times New Roman" w:hAnsi="Cambria" w:cs="Times New Roman"/>
        </w:rPr>
        <w:t>,</w:t>
      </w:r>
      <w:r w:rsidRPr="009A0DA6">
        <w:rPr>
          <w:rFonts w:ascii="Cambria" w:eastAsia="Times New Roman" w:hAnsi="Cambria" w:cs="Times New Roman"/>
          <w:spacing w:val="1"/>
        </w:rPr>
        <w:t>88</w:t>
      </w:r>
      <w:r w:rsidRPr="009A0DA6">
        <w:rPr>
          <w:rFonts w:ascii="Cambria" w:eastAsia="Times New Roman" w:hAnsi="Cambria" w:cs="Times New Roman"/>
        </w:rPr>
        <w:t>7</w:t>
      </w:r>
      <w:r w:rsidRPr="009A0DA6">
        <w:rPr>
          <w:rFonts w:ascii="Cambria" w:eastAsia="Times New Roman" w:hAnsi="Cambria" w:cs="Times New Roman"/>
        </w:rPr>
        <w:tab/>
        <w:t>517,631</w:t>
      </w:r>
    </w:p>
    <w:p w14:paraId="5EDD2857" w14:textId="77777777" w:rsidR="002E592D" w:rsidRPr="009A0DA6" w:rsidRDefault="002E592D" w:rsidP="002E592D">
      <w:pPr>
        <w:tabs>
          <w:tab w:val="right" w:pos="5954"/>
          <w:tab w:val="right" w:pos="7371"/>
          <w:tab w:val="right" w:pos="8789"/>
        </w:tabs>
        <w:spacing w:after="0" w:line="240" w:lineRule="auto"/>
        <w:rPr>
          <w:rFonts w:ascii="Cambria" w:eastAsia="Times New Roman" w:hAnsi="Cambria" w:cs="Times New Roman"/>
        </w:rPr>
      </w:pPr>
      <w:r w:rsidRPr="009A0DA6">
        <w:rPr>
          <w:rFonts w:ascii="Cambria" w:eastAsia="Times New Roman" w:hAnsi="Cambria" w:cs="Times New Roman"/>
        </w:rPr>
        <w:t>S</w:t>
      </w:r>
      <w:r w:rsidRPr="009A0DA6">
        <w:rPr>
          <w:rFonts w:ascii="Cambria" w:eastAsia="Times New Roman" w:hAnsi="Cambria" w:cs="Times New Roman"/>
          <w:spacing w:val="-2"/>
        </w:rPr>
        <w:t>u</w:t>
      </w:r>
      <w:r w:rsidRPr="009A0DA6">
        <w:rPr>
          <w:rFonts w:ascii="Cambria" w:eastAsia="Times New Roman" w:hAnsi="Cambria" w:cs="Times New Roman"/>
          <w:spacing w:val="-1"/>
        </w:rPr>
        <w:t>n</w:t>
      </w:r>
      <w:r w:rsidRPr="009A0DA6">
        <w:rPr>
          <w:rFonts w:ascii="Cambria" w:eastAsia="Times New Roman" w:hAnsi="Cambria" w:cs="Times New Roman"/>
          <w:spacing w:val="1"/>
        </w:rPr>
        <w:t>dr</w:t>
      </w:r>
      <w:r w:rsidRPr="009A0DA6">
        <w:rPr>
          <w:rFonts w:ascii="Cambria" w:eastAsia="Times New Roman" w:hAnsi="Cambria" w:cs="Times New Roman"/>
        </w:rPr>
        <w:t>y</w:t>
      </w:r>
      <w:r w:rsidRPr="009A0DA6">
        <w:rPr>
          <w:rFonts w:ascii="Cambria" w:eastAsia="Times New Roman" w:hAnsi="Cambria" w:cs="Times New Roman"/>
          <w:spacing w:val="-9"/>
        </w:rPr>
        <w:t xml:space="preserve"> </w:t>
      </w:r>
      <w:r w:rsidRPr="009A0DA6">
        <w:rPr>
          <w:rFonts w:ascii="Cambria" w:eastAsia="Times New Roman" w:hAnsi="Cambria" w:cs="Times New Roman"/>
        </w:rPr>
        <w:t>e</w:t>
      </w:r>
      <w:r w:rsidRPr="009A0DA6">
        <w:rPr>
          <w:rFonts w:ascii="Cambria" w:eastAsia="Times New Roman" w:hAnsi="Cambria" w:cs="Times New Roman"/>
          <w:spacing w:val="-1"/>
        </w:rPr>
        <w:t>x</w:t>
      </w:r>
      <w:r w:rsidRPr="009A0DA6">
        <w:rPr>
          <w:rFonts w:ascii="Cambria" w:eastAsia="Times New Roman" w:hAnsi="Cambria" w:cs="Times New Roman"/>
          <w:spacing w:val="1"/>
        </w:rPr>
        <w:t>p</w:t>
      </w:r>
      <w:r w:rsidRPr="009A0DA6">
        <w:rPr>
          <w:rFonts w:ascii="Cambria" w:eastAsia="Times New Roman" w:hAnsi="Cambria" w:cs="Times New Roman"/>
        </w:rPr>
        <w:t>e</w:t>
      </w:r>
      <w:r w:rsidRPr="009A0DA6">
        <w:rPr>
          <w:rFonts w:ascii="Cambria" w:eastAsia="Times New Roman" w:hAnsi="Cambria" w:cs="Times New Roman"/>
          <w:spacing w:val="-1"/>
        </w:rPr>
        <w:t>ns</w:t>
      </w:r>
      <w:r w:rsidRPr="009A0DA6">
        <w:rPr>
          <w:rFonts w:ascii="Cambria" w:eastAsia="Times New Roman" w:hAnsi="Cambria" w:cs="Times New Roman"/>
        </w:rPr>
        <w:t>es</w:t>
      </w:r>
      <w:r w:rsidRPr="009A0DA6">
        <w:rPr>
          <w:rFonts w:ascii="Cambria" w:eastAsia="Times New Roman" w:hAnsi="Cambria" w:cs="Times New Roman"/>
        </w:rPr>
        <w:tab/>
      </w:r>
      <w:r w:rsidRPr="009A0DA6">
        <w:rPr>
          <w:rFonts w:ascii="Cambria" w:eastAsia="Times New Roman" w:hAnsi="Cambria" w:cs="Times New Roman"/>
          <w:spacing w:val="1"/>
        </w:rPr>
        <w:t>3</w:t>
      </w:r>
      <w:r w:rsidRPr="009A0DA6">
        <w:rPr>
          <w:rFonts w:ascii="Cambria" w:eastAsia="Times New Roman" w:hAnsi="Cambria" w:cs="Times New Roman"/>
        </w:rPr>
        <w:t>,</w:t>
      </w:r>
      <w:r w:rsidRPr="009A0DA6">
        <w:rPr>
          <w:rFonts w:ascii="Cambria" w:eastAsia="Times New Roman" w:hAnsi="Cambria" w:cs="Times New Roman"/>
          <w:spacing w:val="1"/>
        </w:rPr>
        <w:t>40</w:t>
      </w:r>
      <w:r w:rsidRPr="009A0DA6">
        <w:rPr>
          <w:rFonts w:ascii="Cambria" w:eastAsia="Times New Roman" w:hAnsi="Cambria" w:cs="Times New Roman"/>
        </w:rPr>
        <w:t>9</w:t>
      </w:r>
      <w:r w:rsidRPr="009A0DA6">
        <w:rPr>
          <w:rFonts w:ascii="Cambria" w:hAnsi="Cambria"/>
        </w:rPr>
        <w:tab/>
      </w:r>
      <w:r w:rsidRPr="009A0DA6">
        <w:rPr>
          <w:rFonts w:ascii="Cambria" w:eastAsia="Times New Roman" w:hAnsi="Cambria" w:cs="Times New Roman"/>
          <w:w w:val="99"/>
        </w:rPr>
        <w:t>0</w:t>
      </w:r>
      <w:r w:rsidRPr="009A0DA6">
        <w:rPr>
          <w:rFonts w:ascii="Cambria" w:eastAsia="Times New Roman" w:hAnsi="Cambria" w:cs="Times New Roman"/>
          <w:w w:val="99"/>
        </w:rPr>
        <w:tab/>
        <w:t>0</w:t>
      </w:r>
    </w:p>
    <w:p w14:paraId="65617ACE" w14:textId="77777777" w:rsidR="002E592D" w:rsidRPr="009A0DA6" w:rsidRDefault="002E592D" w:rsidP="002E592D">
      <w:pPr>
        <w:tabs>
          <w:tab w:val="right" w:pos="5954"/>
          <w:tab w:val="right" w:pos="7371"/>
          <w:tab w:val="right" w:pos="8789"/>
        </w:tabs>
        <w:spacing w:after="0" w:line="240" w:lineRule="auto"/>
        <w:rPr>
          <w:rFonts w:ascii="Cambria" w:eastAsia="Times New Roman" w:hAnsi="Cambria" w:cs="Times New Roman"/>
        </w:rPr>
      </w:pPr>
      <w:r w:rsidRPr="009A0DA6">
        <w:rPr>
          <w:rFonts w:ascii="Cambria" w:eastAsia="Times New Roman" w:hAnsi="Cambria" w:cs="Times New Roman"/>
          <w:spacing w:val="3"/>
        </w:rPr>
        <w:t>T</w:t>
      </w:r>
      <w:r w:rsidRPr="009A0DA6">
        <w:rPr>
          <w:rFonts w:ascii="Cambria" w:eastAsia="Times New Roman" w:hAnsi="Cambria" w:cs="Times New Roman"/>
          <w:spacing w:val="1"/>
        </w:rPr>
        <w:t>r</w:t>
      </w:r>
      <w:r w:rsidRPr="009A0DA6">
        <w:rPr>
          <w:rFonts w:ascii="Cambria" w:eastAsia="Times New Roman" w:hAnsi="Cambria" w:cs="Times New Roman"/>
        </w:rPr>
        <w:t>a</w:t>
      </w:r>
      <w:r w:rsidRPr="009A0DA6">
        <w:rPr>
          <w:rFonts w:ascii="Cambria" w:eastAsia="Times New Roman" w:hAnsi="Cambria" w:cs="Times New Roman"/>
          <w:spacing w:val="-1"/>
        </w:rPr>
        <w:t>v</w:t>
      </w:r>
      <w:r w:rsidRPr="009A0DA6">
        <w:rPr>
          <w:rFonts w:ascii="Cambria" w:eastAsia="Times New Roman" w:hAnsi="Cambria" w:cs="Times New Roman"/>
        </w:rPr>
        <w:t>el</w:t>
      </w:r>
      <w:r w:rsidRPr="009A0DA6">
        <w:rPr>
          <w:rFonts w:ascii="Cambria" w:eastAsia="Times New Roman" w:hAnsi="Cambria" w:cs="Times New Roman"/>
          <w:spacing w:val="-5"/>
        </w:rPr>
        <w:t xml:space="preserve"> </w:t>
      </w:r>
      <w:r w:rsidRPr="009A0DA6">
        <w:rPr>
          <w:rFonts w:ascii="Cambria" w:eastAsia="Times New Roman" w:hAnsi="Cambria" w:cs="Times New Roman"/>
        </w:rPr>
        <w:t>&amp;</w:t>
      </w:r>
      <w:r w:rsidRPr="009A0DA6">
        <w:rPr>
          <w:rFonts w:ascii="Cambria" w:eastAsia="Times New Roman" w:hAnsi="Cambria" w:cs="Times New Roman"/>
          <w:spacing w:val="-3"/>
        </w:rPr>
        <w:t xml:space="preserve"> </w:t>
      </w:r>
      <w:r w:rsidRPr="009A0DA6">
        <w:rPr>
          <w:rFonts w:ascii="Cambria" w:eastAsia="Times New Roman" w:hAnsi="Cambria" w:cs="Times New Roman"/>
        </w:rPr>
        <w:t>a</w:t>
      </w:r>
      <w:r w:rsidRPr="009A0DA6">
        <w:rPr>
          <w:rFonts w:ascii="Cambria" w:eastAsia="Times New Roman" w:hAnsi="Cambria" w:cs="Times New Roman"/>
          <w:spacing w:val="1"/>
        </w:rPr>
        <w:t>c</w:t>
      </w:r>
      <w:r w:rsidRPr="009A0DA6">
        <w:rPr>
          <w:rFonts w:ascii="Cambria" w:eastAsia="Times New Roman" w:hAnsi="Cambria" w:cs="Times New Roman"/>
        </w:rPr>
        <w:t>c</w:t>
      </w:r>
      <w:r w:rsidRPr="009A0DA6">
        <w:rPr>
          <w:rFonts w:ascii="Cambria" w:eastAsia="Times New Roman" w:hAnsi="Cambria" w:cs="Times New Roman"/>
          <w:spacing w:val="1"/>
        </w:rPr>
        <w:t>o</w:t>
      </w:r>
      <w:r w:rsidRPr="009A0DA6">
        <w:rPr>
          <w:rFonts w:ascii="Cambria" w:eastAsia="Times New Roman" w:hAnsi="Cambria" w:cs="Times New Roman"/>
          <w:spacing w:val="-4"/>
        </w:rPr>
        <w:t>mm</w:t>
      </w:r>
      <w:r w:rsidRPr="009A0DA6">
        <w:rPr>
          <w:rFonts w:ascii="Cambria" w:eastAsia="Times New Roman" w:hAnsi="Cambria" w:cs="Times New Roman"/>
          <w:spacing w:val="1"/>
        </w:rPr>
        <w:t>od</w:t>
      </w:r>
      <w:r w:rsidRPr="009A0DA6">
        <w:rPr>
          <w:rFonts w:ascii="Cambria" w:eastAsia="Times New Roman" w:hAnsi="Cambria" w:cs="Times New Roman"/>
        </w:rPr>
        <w:t>ati</w:t>
      </w:r>
      <w:r w:rsidRPr="009A0DA6">
        <w:rPr>
          <w:rFonts w:ascii="Cambria" w:eastAsia="Times New Roman" w:hAnsi="Cambria" w:cs="Times New Roman"/>
          <w:spacing w:val="1"/>
        </w:rPr>
        <w:t>o</w:t>
      </w:r>
      <w:r w:rsidRPr="009A0DA6">
        <w:rPr>
          <w:rFonts w:ascii="Cambria" w:eastAsia="Times New Roman" w:hAnsi="Cambria" w:cs="Times New Roman"/>
        </w:rPr>
        <w:t>n</w:t>
      </w:r>
      <w:r w:rsidRPr="009A0DA6">
        <w:rPr>
          <w:rFonts w:ascii="Cambria" w:eastAsia="Times New Roman" w:hAnsi="Cambria" w:cs="Times New Roman"/>
          <w:spacing w:val="-14"/>
        </w:rPr>
        <w:t xml:space="preserve"> </w:t>
      </w:r>
      <w:r w:rsidRPr="009A0DA6">
        <w:rPr>
          <w:rFonts w:ascii="Cambria" w:eastAsia="Times New Roman" w:hAnsi="Cambria" w:cs="Times New Roman"/>
        </w:rPr>
        <w:t>e</w:t>
      </w:r>
      <w:r w:rsidRPr="009A0DA6">
        <w:rPr>
          <w:rFonts w:ascii="Cambria" w:eastAsia="Times New Roman" w:hAnsi="Cambria" w:cs="Times New Roman"/>
          <w:spacing w:val="-1"/>
        </w:rPr>
        <w:t>x</w:t>
      </w:r>
      <w:r w:rsidRPr="009A0DA6">
        <w:rPr>
          <w:rFonts w:ascii="Cambria" w:eastAsia="Times New Roman" w:hAnsi="Cambria" w:cs="Times New Roman"/>
          <w:spacing w:val="1"/>
        </w:rPr>
        <w:t>p</w:t>
      </w:r>
      <w:r w:rsidRPr="009A0DA6">
        <w:rPr>
          <w:rFonts w:ascii="Cambria" w:eastAsia="Times New Roman" w:hAnsi="Cambria" w:cs="Times New Roman"/>
        </w:rPr>
        <w:t>e</w:t>
      </w:r>
      <w:r w:rsidRPr="009A0DA6">
        <w:rPr>
          <w:rFonts w:ascii="Cambria" w:eastAsia="Times New Roman" w:hAnsi="Cambria" w:cs="Times New Roman"/>
          <w:spacing w:val="-1"/>
        </w:rPr>
        <w:t>ns</w:t>
      </w:r>
      <w:r w:rsidRPr="009A0DA6">
        <w:rPr>
          <w:rFonts w:ascii="Cambria" w:eastAsia="Times New Roman" w:hAnsi="Cambria" w:cs="Times New Roman"/>
        </w:rPr>
        <w:t>es</w:t>
      </w:r>
      <w:r w:rsidRPr="009A0DA6">
        <w:rPr>
          <w:rFonts w:ascii="Cambria" w:eastAsia="Times New Roman" w:hAnsi="Cambria" w:cs="Times New Roman"/>
        </w:rPr>
        <w:tab/>
      </w:r>
      <w:r w:rsidRPr="009A0DA6">
        <w:rPr>
          <w:rFonts w:ascii="Cambria" w:eastAsia="Times New Roman" w:hAnsi="Cambria" w:cs="Times New Roman"/>
          <w:spacing w:val="1"/>
        </w:rPr>
        <w:t>544</w:t>
      </w:r>
      <w:r w:rsidRPr="009A0DA6">
        <w:rPr>
          <w:rFonts w:ascii="Cambria" w:hAnsi="Cambria"/>
        </w:rPr>
        <w:tab/>
      </w:r>
      <w:r w:rsidRPr="009A0DA6">
        <w:rPr>
          <w:rFonts w:ascii="Cambria" w:eastAsia="Times New Roman" w:hAnsi="Cambria" w:cs="Times New Roman"/>
          <w:spacing w:val="1"/>
        </w:rPr>
        <w:t>1</w:t>
      </w:r>
      <w:r w:rsidRPr="009A0DA6">
        <w:rPr>
          <w:rFonts w:ascii="Cambria" w:eastAsia="Times New Roman" w:hAnsi="Cambria" w:cs="Times New Roman"/>
        </w:rPr>
        <w:t>,</w:t>
      </w:r>
      <w:r w:rsidRPr="009A0DA6">
        <w:rPr>
          <w:rFonts w:ascii="Cambria" w:eastAsia="Times New Roman" w:hAnsi="Cambria" w:cs="Times New Roman"/>
          <w:spacing w:val="1"/>
        </w:rPr>
        <w:t>02</w:t>
      </w:r>
      <w:r w:rsidRPr="009A0DA6">
        <w:rPr>
          <w:rFonts w:ascii="Cambria" w:eastAsia="Times New Roman" w:hAnsi="Cambria" w:cs="Times New Roman"/>
        </w:rPr>
        <w:t>3</w:t>
      </w:r>
      <w:r w:rsidRPr="009A0DA6">
        <w:rPr>
          <w:rFonts w:ascii="Cambria" w:eastAsia="Times New Roman" w:hAnsi="Cambria" w:cs="Times New Roman"/>
        </w:rPr>
        <w:tab/>
        <w:t>1,460</w:t>
      </w:r>
    </w:p>
    <w:p w14:paraId="67B10B92" w14:textId="77777777" w:rsidR="002E592D" w:rsidRPr="009A0DA6" w:rsidRDefault="002E592D" w:rsidP="002E592D">
      <w:pPr>
        <w:tabs>
          <w:tab w:val="right" w:pos="5954"/>
          <w:tab w:val="right" w:pos="7371"/>
          <w:tab w:val="right" w:pos="8789"/>
        </w:tabs>
        <w:spacing w:after="0" w:line="240" w:lineRule="auto"/>
        <w:rPr>
          <w:rFonts w:ascii="Cambria" w:eastAsia="Times New Roman" w:hAnsi="Cambria" w:cs="Times New Roman"/>
        </w:rPr>
      </w:pPr>
      <w:r w:rsidRPr="009A0DA6">
        <w:rPr>
          <w:rFonts w:ascii="Cambria" w:eastAsia="Times New Roman" w:hAnsi="Cambria" w:cs="Times New Roman"/>
          <w:b/>
          <w:bCs/>
          <w:spacing w:val="-1"/>
          <w:position w:val="-1"/>
        </w:rPr>
        <w:t>T</w:t>
      </w:r>
      <w:r w:rsidRPr="009A0DA6">
        <w:rPr>
          <w:rFonts w:ascii="Cambria" w:eastAsia="Times New Roman" w:hAnsi="Cambria" w:cs="Times New Roman"/>
          <w:b/>
          <w:bCs/>
          <w:spacing w:val="1"/>
          <w:position w:val="-1"/>
        </w:rPr>
        <w:t>O</w:t>
      </w:r>
      <w:r w:rsidRPr="009A0DA6">
        <w:rPr>
          <w:rFonts w:ascii="Cambria" w:eastAsia="Times New Roman" w:hAnsi="Cambria" w:cs="Times New Roman"/>
          <w:b/>
          <w:bCs/>
          <w:spacing w:val="-1"/>
          <w:position w:val="-1"/>
        </w:rPr>
        <w:t>T</w:t>
      </w:r>
      <w:r w:rsidRPr="009A0DA6">
        <w:rPr>
          <w:rFonts w:ascii="Cambria" w:eastAsia="Times New Roman" w:hAnsi="Cambria" w:cs="Times New Roman"/>
          <w:b/>
          <w:bCs/>
          <w:position w:val="-1"/>
        </w:rPr>
        <w:t>AL</w:t>
      </w:r>
      <w:r w:rsidRPr="009A0DA6">
        <w:rPr>
          <w:rFonts w:ascii="Cambria" w:eastAsia="Times New Roman" w:hAnsi="Cambria" w:cs="Times New Roman"/>
          <w:b/>
          <w:bCs/>
          <w:spacing w:val="-7"/>
          <w:position w:val="-1"/>
        </w:rPr>
        <w:t xml:space="preserve"> </w:t>
      </w:r>
      <w:r w:rsidRPr="009A0DA6">
        <w:rPr>
          <w:rFonts w:ascii="Cambria" w:eastAsia="Times New Roman" w:hAnsi="Cambria" w:cs="Times New Roman"/>
          <w:b/>
          <w:bCs/>
          <w:spacing w:val="-1"/>
          <w:position w:val="-1"/>
        </w:rPr>
        <w:t>E</w:t>
      </w:r>
      <w:r w:rsidRPr="009A0DA6">
        <w:rPr>
          <w:rFonts w:ascii="Cambria" w:eastAsia="Times New Roman" w:hAnsi="Cambria" w:cs="Times New Roman"/>
          <w:b/>
          <w:bCs/>
          <w:position w:val="-1"/>
        </w:rPr>
        <w:t>X</w:t>
      </w:r>
      <w:r w:rsidRPr="009A0DA6">
        <w:rPr>
          <w:rFonts w:ascii="Cambria" w:eastAsia="Times New Roman" w:hAnsi="Cambria" w:cs="Times New Roman"/>
          <w:b/>
          <w:bCs/>
          <w:spacing w:val="1"/>
          <w:position w:val="-1"/>
        </w:rPr>
        <w:t>P</w:t>
      </w:r>
      <w:r w:rsidRPr="009A0DA6">
        <w:rPr>
          <w:rFonts w:ascii="Cambria" w:eastAsia="Times New Roman" w:hAnsi="Cambria" w:cs="Times New Roman"/>
          <w:b/>
          <w:bCs/>
          <w:spacing w:val="-1"/>
          <w:position w:val="-1"/>
        </w:rPr>
        <w:t>E</w:t>
      </w:r>
      <w:r w:rsidRPr="009A0DA6">
        <w:rPr>
          <w:rFonts w:ascii="Cambria" w:eastAsia="Times New Roman" w:hAnsi="Cambria" w:cs="Times New Roman"/>
          <w:b/>
          <w:bCs/>
          <w:position w:val="-1"/>
        </w:rPr>
        <w:t>NS</w:t>
      </w:r>
      <w:r w:rsidRPr="009A0DA6">
        <w:rPr>
          <w:rFonts w:ascii="Cambria" w:eastAsia="Times New Roman" w:hAnsi="Cambria" w:cs="Times New Roman"/>
          <w:b/>
          <w:bCs/>
          <w:spacing w:val="-1"/>
          <w:position w:val="-1"/>
        </w:rPr>
        <w:t>E</w:t>
      </w:r>
      <w:r w:rsidRPr="009A0DA6">
        <w:rPr>
          <w:rFonts w:ascii="Cambria" w:eastAsia="Times New Roman" w:hAnsi="Cambria" w:cs="Times New Roman"/>
          <w:b/>
          <w:bCs/>
          <w:position w:val="-1"/>
        </w:rPr>
        <w:t>S</w:t>
      </w:r>
      <w:r w:rsidRPr="009A0DA6">
        <w:rPr>
          <w:rFonts w:ascii="Cambria" w:eastAsia="Times New Roman" w:hAnsi="Cambria" w:cs="Times New Roman"/>
          <w:b/>
          <w:bCs/>
          <w:position w:val="-1"/>
        </w:rPr>
        <w:tab/>
      </w:r>
      <w:r w:rsidRPr="009A0DA6">
        <w:rPr>
          <w:rFonts w:ascii="Cambria" w:eastAsia="Times New Roman" w:hAnsi="Cambria" w:cs="Times New Roman"/>
          <w:b/>
          <w:bCs/>
          <w:spacing w:val="1"/>
          <w:w w:val="99"/>
          <w:position w:val="-1"/>
        </w:rPr>
        <w:t xml:space="preserve"> </w:t>
      </w:r>
      <w:r w:rsidRPr="009A0DA6">
        <w:rPr>
          <w:rFonts w:ascii="Cambria" w:eastAsia="Times New Roman" w:hAnsi="Cambria" w:cs="Times New Roman"/>
          <w:b/>
          <w:bCs/>
          <w:spacing w:val="1"/>
          <w:position w:val="-1"/>
        </w:rPr>
        <w:t>8</w:t>
      </w:r>
      <w:r w:rsidRPr="009A0DA6">
        <w:rPr>
          <w:rFonts w:ascii="Cambria" w:eastAsia="Times New Roman" w:hAnsi="Cambria" w:cs="Times New Roman"/>
          <w:b/>
          <w:bCs/>
          <w:position w:val="-1"/>
        </w:rPr>
        <w:t>,</w:t>
      </w:r>
      <w:r w:rsidRPr="009A0DA6">
        <w:rPr>
          <w:rFonts w:ascii="Cambria" w:eastAsia="Times New Roman" w:hAnsi="Cambria" w:cs="Times New Roman"/>
          <w:b/>
          <w:bCs/>
          <w:spacing w:val="1"/>
          <w:position w:val="-1"/>
        </w:rPr>
        <w:t>008</w:t>
      </w:r>
      <w:r w:rsidRPr="009A0DA6">
        <w:rPr>
          <w:rFonts w:ascii="Cambria" w:eastAsia="Times New Roman" w:hAnsi="Cambria" w:cs="Times New Roman"/>
          <w:b/>
          <w:bCs/>
          <w:position w:val="-1"/>
        </w:rPr>
        <w:t>,</w:t>
      </w:r>
      <w:r w:rsidRPr="009A0DA6">
        <w:rPr>
          <w:rFonts w:ascii="Cambria" w:eastAsia="Times New Roman" w:hAnsi="Cambria" w:cs="Times New Roman"/>
          <w:b/>
          <w:bCs/>
          <w:spacing w:val="1"/>
          <w:position w:val="-1"/>
        </w:rPr>
        <w:t>4</w:t>
      </w:r>
      <w:r w:rsidRPr="009A0DA6">
        <w:rPr>
          <w:rFonts w:ascii="Cambria" w:eastAsia="Times New Roman" w:hAnsi="Cambria" w:cs="Times New Roman"/>
          <w:b/>
          <w:bCs/>
          <w:spacing w:val="3"/>
          <w:position w:val="-1"/>
        </w:rPr>
        <w:t>0</w:t>
      </w:r>
      <w:r w:rsidRPr="009A0DA6">
        <w:rPr>
          <w:rFonts w:ascii="Cambria" w:eastAsia="Times New Roman" w:hAnsi="Cambria" w:cs="Times New Roman"/>
          <w:b/>
          <w:bCs/>
          <w:spacing w:val="-42"/>
          <w:position w:val="-1"/>
        </w:rPr>
        <w:t>7</w:t>
      </w:r>
      <w:r w:rsidRPr="009A0DA6">
        <w:rPr>
          <w:rFonts w:ascii="Cambria" w:eastAsia="Times New Roman" w:hAnsi="Cambria" w:cs="Times New Roman"/>
          <w:b/>
          <w:bCs/>
          <w:position w:val="-1"/>
        </w:rPr>
        <w:tab/>
      </w:r>
      <w:r w:rsidRPr="009A0DA6">
        <w:rPr>
          <w:rFonts w:ascii="Cambria" w:eastAsia="Times New Roman" w:hAnsi="Cambria" w:cs="Times New Roman"/>
          <w:b/>
          <w:bCs/>
          <w:spacing w:val="1"/>
          <w:w w:val="99"/>
          <w:position w:val="-1"/>
        </w:rPr>
        <w:t xml:space="preserve"> </w:t>
      </w:r>
      <w:r w:rsidRPr="009A0DA6">
        <w:rPr>
          <w:rFonts w:ascii="Cambria" w:eastAsia="Times New Roman" w:hAnsi="Cambria" w:cs="Times New Roman"/>
          <w:b/>
          <w:bCs/>
          <w:spacing w:val="1"/>
          <w:position w:val="-1"/>
        </w:rPr>
        <w:t>6</w:t>
      </w:r>
      <w:r w:rsidRPr="009A0DA6">
        <w:rPr>
          <w:rFonts w:ascii="Cambria" w:eastAsia="Times New Roman" w:hAnsi="Cambria" w:cs="Times New Roman"/>
          <w:b/>
          <w:bCs/>
          <w:position w:val="-1"/>
        </w:rPr>
        <w:t>,</w:t>
      </w:r>
      <w:r w:rsidRPr="009A0DA6">
        <w:rPr>
          <w:rFonts w:ascii="Cambria" w:eastAsia="Times New Roman" w:hAnsi="Cambria" w:cs="Times New Roman"/>
          <w:b/>
          <w:bCs/>
          <w:spacing w:val="1"/>
          <w:position w:val="-1"/>
        </w:rPr>
        <w:t>892</w:t>
      </w:r>
      <w:r w:rsidRPr="009A0DA6">
        <w:rPr>
          <w:rFonts w:ascii="Cambria" w:eastAsia="Times New Roman" w:hAnsi="Cambria" w:cs="Times New Roman"/>
          <w:b/>
          <w:bCs/>
          <w:position w:val="-1"/>
        </w:rPr>
        <w:t>,</w:t>
      </w:r>
      <w:r w:rsidRPr="009A0DA6">
        <w:rPr>
          <w:rFonts w:ascii="Cambria" w:eastAsia="Times New Roman" w:hAnsi="Cambria" w:cs="Times New Roman"/>
          <w:b/>
          <w:bCs/>
          <w:spacing w:val="1"/>
          <w:position w:val="-1"/>
        </w:rPr>
        <w:t>3</w:t>
      </w:r>
      <w:r w:rsidRPr="009A0DA6">
        <w:rPr>
          <w:rFonts w:ascii="Cambria" w:eastAsia="Times New Roman" w:hAnsi="Cambria" w:cs="Times New Roman"/>
          <w:b/>
          <w:bCs/>
          <w:spacing w:val="3"/>
          <w:position w:val="-1"/>
        </w:rPr>
        <w:t>7</w:t>
      </w:r>
      <w:r w:rsidRPr="009A0DA6">
        <w:rPr>
          <w:rFonts w:ascii="Cambria" w:eastAsia="Times New Roman" w:hAnsi="Cambria" w:cs="Times New Roman"/>
          <w:b/>
          <w:bCs/>
          <w:position w:val="-1"/>
        </w:rPr>
        <w:t>1</w:t>
      </w:r>
      <w:r w:rsidRPr="009A0DA6">
        <w:rPr>
          <w:rFonts w:ascii="Cambria" w:eastAsia="Times New Roman" w:hAnsi="Cambria" w:cs="Times New Roman"/>
          <w:b/>
          <w:bCs/>
          <w:position w:val="-1"/>
        </w:rPr>
        <w:tab/>
        <w:t>6,596,671</w:t>
      </w:r>
    </w:p>
    <w:p w14:paraId="0E15DEF9" w14:textId="77777777" w:rsidR="002E592D" w:rsidRPr="009A0DA6" w:rsidRDefault="002E592D" w:rsidP="002E592D">
      <w:pPr>
        <w:tabs>
          <w:tab w:val="right" w:pos="5954"/>
          <w:tab w:val="right" w:pos="7371"/>
          <w:tab w:val="right" w:pos="8789"/>
        </w:tabs>
        <w:spacing w:after="0" w:line="240" w:lineRule="auto"/>
        <w:rPr>
          <w:rFonts w:ascii="Cambria" w:eastAsia="Times New Roman" w:hAnsi="Cambria" w:cs="Times New Roman"/>
          <w:b/>
          <w:bCs/>
        </w:rPr>
      </w:pPr>
      <w:r w:rsidRPr="009A0DA6">
        <w:rPr>
          <w:rFonts w:ascii="Cambria" w:eastAsia="Times New Roman" w:hAnsi="Cambria" w:cs="Times New Roman"/>
          <w:b/>
          <w:bCs/>
        </w:rPr>
        <w:t>N</w:t>
      </w:r>
      <w:r w:rsidRPr="009A0DA6">
        <w:rPr>
          <w:rFonts w:ascii="Cambria" w:eastAsia="Times New Roman" w:hAnsi="Cambria" w:cs="Times New Roman"/>
          <w:b/>
          <w:bCs/>
          <w:spacing w:val="-1"/>
        </w:rPr>
        <w:t>E</w:t>
      </w:r>
      <w:r w:rsidRPr="009A0DA6">
        <w:rPr>
          <w:rFonts w:ascii="Cambria" w:eastAsia="Times New Roman" w:hAnsi="Cambria" w:cs="Times New Roman"/>
          <w:b/>
          <w:bCs/>
        </w:rPr>
        <w:t>T</w:t>
      </w:r>
      <w:r w:rsidRPr="009A0DA6">
        <w:rPr>
          <w:rFonts w:ascii="Cambria" w:eastAsia="Times New Roman" w:hAnsi="Cambria" w:cs="Times New Roman"/>
          <w:b/>
          <w:bCs/>
          <w:spacing w:val="-5"/>
        </w:rPr>
        <w:t xml:space="preserve"> </w:t>
      </w:r>
      <w:r w:rsidRPr="009A0DA6">
        <w:rPr>
          <w:rFonts w:ascii="Cambria" w:eastAsia="Times New Roman" w:hAnsi="Cambria" w:cs="Times New Roman"/>
          <w:b/>
          <w:bCs/>
        </w:rPr>
        <w:t>SURP</w:t>
      </w:r>
      <w:r w:rsidRPr="009A0DA6">
        <w:rPr>
          <w:rFonts w:ascii="Cambria" w:eastAsia="Times New Roman" w:hAnsi="Cambria" w:cs="Times New Roman"/>
          <w:b/>
          <w:bCs/>
          <w:spacing w:val="-1"/>
        </w:rPr>
        <w:t>L</w:t>
      </w:r>
      <w:r w:rsidRPr="009A0DA6">
        <w:rPr>
          <w:rFonts w:ascii="Cambria" w:eastAsia="Times New Roman" w:hAnsi="Cambria" w:cs="Times New Roman"/>
          <w:b/>
          <w:bCs/>
        </w:rPr>
        <w:t>US</w:t>
      </w:r>
      <w:r w:rsidRPr="009A0DA6">
        <w:rPr>
          <w:rFonts w:ascii="Cambria" w:eastAsia="Times New Roman" w:hAnsi="Cambria" w:cs="Times New Roman"/>
          <w:b/>
          <w:bCs/>
          <w:spacing w:val="-9"/>
        </w:rPr>
        <w:t xml:space="preserve"> </w:t>
      </w:r>
      <w:r w:rsidRPr="009A0DA6">
        <w:rPr>
          <w:rFonts w:ascii="Cambria" w:eastAsia="Times New Roman" w:hAnsi="Cambria" w:cs="Times New Roman"/>
          <w:b/>
          <w:bCs/>
          <w:spacing w:val="1"/>
        </w:rPr>
        <w:t>(</w:t>
      </w:r>
      <w:r w:rsidRPr="009A0DA6">
        <w:rPr>
          <w:rFonts w:ascii="Cambria" w:eastAsia="Times New Roman" w:hAnsi="Cambria" w:cs="Times New Roman"/>
          <w:b/>
          <w:bCs/>
        </w:rPr>
        <w:t>D</w:t>
      </w:r>
      <w:r w:rsidRPr="009A0DA6">
        <w:rPr>
          <w:rFonts w:ascii="Cambria" w:eastAsia="Times New Roman" w:hAnsi="Cambria" w:cs="Times New Roman"/>
          <w:b/>
          <w:bCs/>
          <w:spacing w:val="-1"/>
        </w:rPr>
        <w:t>E</w:t>
      </w:r>
      <w:r w:rsidRPr="009A0DA6">
        <w:rPr>
          <w:rFonts w:ascii="Cambria" w:eastAsia="Times New Roman" w:hAnsi="Cambria" w:cs="Times New Roman"/>
          <w:b/>
          <w:bCs/>
        </w:rPr>
        <w:t>F</w:t>
      </w:r>
      <w:r w:rsidRPr="009A0DA6">
        <w:rPr>
          <w:rFonts w:ascii="Cambria" w:eastAsia="Times New Roman" w:hAnsi="Cambria" w:cs="Times New Roman"/>
          <w:b/>
          <w:bCs/>
          <w:spacing w:val="-1"/>
        </w:rPr>
        <w:t>I</w:t>
      </w:r>
      <w:r w:rsidRPr="009A0DA6">
        <w:rPr>
          <w:rFonts w:ascii="Cambria" w:eastAsia="Times New Roman" w:hAnsi="Cambria" w:cs="Times New Roman"/>
          <w:b/>
          <w:bCs/>
        </w:rPr>
        <w:t>CI</w:t>
      </w:r>
      <w:r w:rsidRPr="009A0DA6">
        <w:rPr>
          <w:rFonts w:ascii="Cambria" w:eastAsia="Times New Roman" w:hAnsi="Cambria" w:cs="Times New Roman"/>
          <w:b/>
          <w:bCs/>
          <w:spacing w:val="-1"/>
        </w:rPr>
        <w:t>T</w:t>
      </w:r>
      <w:r w:rsidRPr="009A0DA6">
        <w:rPr>
          <w:rFonts w:ascii="Cambria" w:eastAsia="Times New Roman" w:hAnsi="Cambria" w:cs="Times New Roman"/>
          <w:b/>
          <w:bCs/>
        </w:rPr>
        <w:t>)</w:t>
      </w:r>
      <w:r w:rsidRPr="009A0DA6">
        <w:rPr>
          <w:rFonts w:ascii="Cambria" w:eastAsia="Times New Roman" w:hAnsi="Cambria" w:cs="Times New Roman"/>
          <w:b/>
          <w:bCs/>
        </w:rPr>
        <w:tab/>
      </w:r>
      <w:r w:rsidRPr="009A0DA6">
        <w:rPr>
          <w:rFonts w:ascii="Cambria" w:eastAsia="Times New Roman" w:hAnsi="Cambria" w:cs="Times New Roman"/>
          <w:b/>
          <w:bCs/>
          <w:w w:val="99"/>
        </w:rPr>
        <w:t>$</w:t>
      </w:r>
      <w:r w:rsidRPr="009A0DA6">
        <w:rPr>
          <w:rFonts w:ascii="Cambria" w:eastAsia="Times New Roman" w:hAnsi="Cambria" w:cs="Times New Roman"/>
          <w:b/>
          <w:bCs/>
          <w:spacing w:val="1"/>
        </w:rPr>
        <w:t>60</w:t>
      </w:r>
      <w:r w:rsidRPr="009A0DA6">
        <w:rPr>
          <w:rFonts w:ascii="Cambria" w:eastAsia="Times New Roman" w:hAnsi="Cambria" w:cs="Times New Roman"/>
          <w:b/>
          <w:bCs/>
        </w:rPr>
        <w:t>,</w:t>
      </w:r>
      <w:r w:rsidRPr="009A0DA6">
        <w:rPr>
          <w:rFonts w:ascii="Cambria" w:eastAsia="Times New Roman" w:hAnsi="Cambria" w:cs="Times New Roman"/>
          <w:b/>
          <w:bCs/>
          <w:spacing w:val="1"/>
        </w:rPr>
        <w:t>0</w:t>
      </w:r>
      <w:r w:rsidRPr="009A0DA6">
        <w:rPr>
          <w:rFonts w:ascii="Cambria" w:eastAsia="Times New Roman" w:hAnsi="Cambria" w:cs="Times New Roman"/>
          <w:b/>
          <w:bCs/>
          <w:spacing w:val="2"/>
        </w:rPr>
        <w:t>9</w:t>
      </w:r>
      <w:r w:rsidRPr="009A0DA6">
        <w:rPr>
          <w:rFonts w:ascii="Cambria" w:eastAsia="Times New Roman" w:hAnsi="Cambria" w:cs="Times New Roman"/>
          <w:b/>
          <w:bCs/>
        </w:rPr>
        <w:t>1</w:t>
      </w:r>
      <w:r w:rsidRPr="009A0DA6">
        <w:rPr>
          <w:rFonts w:ascii="Cambria" w:eastAsia="Times New Roman" w:hAnsi="Cambria" w:cs="Times New Roman"/>
          <w:b/>
          <w:bCs/>
        </w:rPr>
        <w:tab/>
        <w:t>$</w:t>
      </w:r>
      <w:r w:rsidRPr="009A0DA6">
        <w:rPr>
          <w:rFonts w:ascii="Cambria" w:eastAsia="Times New Roman" w:hAnsi="Cambria" w:cs="Times New Roman"/>
          <w:b/>
          <w:bCs/>
          <w:spacing w:val="1"/>
        </w:rPr>
        <w:t>(204</w:t>
      </w:r>
      <w:r w:rsidRPr="009A0DA6">
        <w:rPr>
          <w:rFonts w:ascii="Cambria" w:eastAsia="Times New Roman" w:hAnsi="Cambria" w:cs="Times New Roman"/>
          <w:b/>
          <w:bCs/>
        </w:rPr>
        <w:t xml:space="preserve">) </w:t>
      </w:r>
      <w:r w:rsidRPr="009A0DA6">
        <w:rPr>
          <w:rFonts w:ascii="Cambria" w:eastAsia="Times New Roman" w:hAnsi="Cambria" w:cs="Times New Roman"/>
          <w:b/>
          <w:bCs/>
        </w:rPr>
        <w:tab/>
        <w:t>$140,029</w:t>
      </w:r>
    </w:p>
    <w:p w14:paraId="761FDFC4" w14:textId="77777777" w:rsidR="00AD7835" w:rsidRDefault="00AD7835" w:rsidP="00AD7835">
      <w:pPr>
        <w:pStyle w:val="NoSpacing"/>
        <w:rPr>
          <w:b/>
          <w:lang w:eastAsia="en-AU"/>
        </w:rPr>
      </w:pPr>
    </w:p>
    <w:p w14:paraId="3D245B6A" w14:textId="363A501B" w:rsidR="002E592D" w:rsidRPr="009A0DA6" w:rsidRDefault="002E592D" w:rsidP="00AD7835">
      <w:pPr>
        <w:pStyle w:val="NoSpacing"/>
        <w:rPr>
          <w:b/>
          <w:lang w:eastAsia="en-AU"/>
        </w:rPr>
      </w:pPr>
      <w:r w:rsidRPr="009A0DA6">
        <w:rPr>
          <w:b/>
          <w:lang w:eastAsia="en-AU"/>
        </w:rPr>
        <w:t>STATEMENT OF FINANCIAL POSITION</w:t>
      </w:r>
    </w:p>
    <w:p w14:paraId="36D3B95D" w14:textId="77777777" w:rsidR="002E592D" w:rsidRPr="009A0DA6" w:rsidRDefault="002E592D" w:rsidP="00AD7835">
      <w:pPr>
        <w:pStyle w:val="NoSpacing"/>
        <w:rPr>
          <w:b/>
          <w:lang w:eastAsia="ja-JP"/>
        </w:rPr>
      </w:pPr>
      <w:r w:rsidRPr="009A0DA6">
        <w:rPr>
          <w:rFonts w:eastAsia="Times New Roman" w:cs="Times New Roman"/>
          <w:b/>
          <w:bCs/>
        </w:rPr>
        <w:t>AS</w:t>
      </w:r>
      <w:r w:rsidRPr="009A0DA6">
        <w:rPr>
          <w:rFonts w:eastAsia="Times New Roman" w:cs="Times New Roman"/>
          <w:b/>
          <w:bCs/>
          <w:spacing w:val="-3"/>
        </w:rPr>
        <w:t xml:space="preserve"> </w:t>
      </w:r>
      <w:r w:rsidRPr="009A0DA6">
        <w:rPr>
          <w:rFonts w:eastAsia="Times New Roman" w:cs="Times New Roman"/>
          <w:b/>
          <w:bCs/>
        </w:rPr>
        <w:t>AT</w:t>
      </w:r>
      <w:r w:rsidRPr="009A0DA6">
        <w:rPr>
          <w:rFonts w:eastAsia="Times New Roman" w:cs="Times New Roman"/>
          <w:b/>
          <w:bCs/>
          <w:spacing w:val="-4"/>
        </w:rPr>
        <w:t xml:space="preserve"> </w:t>
      </w:r>
      <w:r w:rsidRPr="009A0DA6">
        <w:rPr>
          <w:rFonts w:eastAsia="Times New Roman" w:cs="Times New Roman"/>
          <w:b/>
          <w:bCs/>
          <w:spacing w:val="1"/>
        </w:rPr>
        <w:t>3</w:t>
      </w:r>
      <w:r w:rsidRPr="009A0DA6">
        <w:rPr>
          <w:rFonts w:eastAsia="Times New Roman" w:cs="Times New Roman"/>
          <w:b/>
          <w:bCs/>
        </w:rPr>
        <w:t>0</w:t>
      </w:r>
      <w:r w:rsidRPr="009A0DA6">
        <w:rPr>
          <w:rFonts w:eastAsia="Times New Roman" w:cs="Times New Roman"/>
          <w:b/>
          <w:bCs/>
          <w:spacing w:val="-1"/>
        </w:rPr>
        <w:t xml:space="preserve"> </w:t>
      </w:r>
      <w:r w:rsidRPr="009A0DA6">
        <w:rPr>
          <w:rFonts w:eastAsia="Times New Roman" w:cs="Times New Roman"/>
          <w:b/>
          <w:bCs/>
          <w:spacing w:val="1"/>
        </w:rPr>
        <w:t>J</w:t>
      </w:r>
      <w:r w:rsidRPr="009A0DA6">
        <w:rPr>
          <w:rFonts w:eastAsia="Times New Roman" w:cs="Times New Roman"/>
          <w:b/>
          <w:bCs/>
        </w:rPr>
        <w:t>UNE</w:t>
      </w:r>
      <w:r w:rsidRPr="009A0DA6">
        <w:rPr>
          <w:rFonts w:eastAsia="Times New Roman" w:cs="Times New Roman"/>
          <w:b/>
          <w:bCs/>
          <w:spacing w:val="-4"/>
        </w:rPr>
        <w:t xml:space="preserve"> </w:t>
      </w:r>
    </w:p>
    <w:p w14:paraId="737B060A" w14:textId="77777777" w:rsidR="002E592D" w:rsidRPr="009A0DA6" w:rsidRDefault="002E592D" w:rsidP="00AD7835">
      <w:pPr>
        <w:tabs>
          <w:tab w:val="right" w:pos="5954"/>
          <w:tab w:val="right" w:pos="7371"/>
          <w:tab w:val="right" w:pos="8789"/>
        </w:tabs>
        <w:spacing w:after="0" w:line="240" w:lineRule="auto"/>
        <w:rPr>
          <w:rFonts w:ascii="Cambria" w:eastAsiaTheme="minorEastAsia" w:hAnsi="Cambria"/>
        </w:rPr>
      </w:pPr>
      <w:r w:rsidRPr="009A0DA6">
        <w:rPr>
          <w:rFonts w:ascii="Cambria" w:eastAsia="Times New Roman" w:hAnsi="Cambria" w:cs="Times New Roman"/>
          <w:b/>
          <w:bCs/>
        </w:rPr>
        <w:t>CUR</w:t>
      </w:r>
      <w:r w:rsidRPr="009A0DA6">
        <w:rPr>
          <w:rFonts w:ascii="Cambria" w:eastAsia="Times New Roman" w:hAnsi="Cambria" w:cs="Times New Roman"/>
          <w:b/>
          <w:bCs/>
          <w:spacing w:val="1"/>
        </w:rPr>
        <w:t>R</w:t>
      </w:r>
      <w:r w:rsidRPr="009A0DA6">
        <w:rPr>
          <w:rFonts w:ascii="Cambria" w:eastAsia="Times New Roman" w:hAnsi="Cambria" w:cs="Times New Roman"/>
          <w:b/>
          <w:bCs/>
          <w:spacing w:val="-1"/>
        </w:rPr>
        <w:t>E</w:t>
      </w:r>
      <w:r w:rsidRPr="009A0DA6">
        <w:rPr>
          <w:rFonts w:ascii="Cambria" w:eastAsia="Times New Roman" w:hAnsi="Cambria" w:cs="Times New Roman"/>
          <w:b/>
          <w:bCs/>
        </w:rPr>
        <w:t>NT</w:t>
      </w:r>
      <w:r w:rsidRPr="009A0DA6">
        <w:rPr>
          <w:rFonts w:ascii="Cambria" w:eastAsia="Times New Roman" w:hAnsi="Cambria" w:cs="Times New Roman"/>
          <w:b/>
          <w:bCs/>
          <w:spacing w:val="-10"/>
        </w:rPr>
        <w:t xml:space="preserve"> </w:t>
      </w:r>
      <w:r w:rsidRPr="009A0DA6">
        <w:rPr>
          <w:rFonts w:ascii="Cambria" w:eastAsia="Times New Roman" w:hAnsi="Cambria" w:cs="Times New Roman"/>
          <w:b/>
          <w:bCs/>
        </w:rPr>
        <w:t>ASS</w:t>
      </w:r>
      <w:r w:rsidRPr="009A0DA6">
        <w:rPr>
          <w:rFonts w:ascii="Cambria" w:eastAsia="Times New Roman" w:hAnsi="Cambria" w:cs="Times New Roman"/>
          <w:b/>
          <w:bCs/>
          <w:spacing w:val="-1"/>
        </w:rPr>
        <w:t>ET</w:t>
      </w:r>
      <w:r w:rsidRPr="009A0DA6">
        <w:rPr>
          <w:rFonts w:ascii="Cambria" w:eastAsia="Times New Roman" w:hAnsi="Cambria" w:cs="Times New Roman"/>
          <w:b/>
          <w:bCs/>
        </w:rPr>
        <w:t>S</w:t>
      </w:r>
      <w:r w:rsidRPr="009A0DA6">
        <w:rPr>
          <w:rFonts w:ascii="Cambria" w:eastAsia="Times New Roman" w:hAnsi="Cambria" w:cs="Times New Roman"/>
          <w:b/>
          <w:bCs/>
        </w:rPr>
        <w:tab/>
      </w:r>
      <w:r w:rsidRPr="009A0DA6">
        <w:rPr>
          <w:rFonts w:ascii="Cambria" w:hAnsi="Cambria"/>
        </w:rPr>
        <w:t>2017</w:t>
      </w:r>
      <w:r w:rsidRPr="009A0DA6">
        <w:rPr>
          <w:rFonts w:ascii="Cambria" w:hAnsi="Cambria"/>
        </w:rPr>
        <w:tab/>
        <w:t>2016</w:t>
      </w:r>
      <w:r w:rsidRPr="009A0DA6">
        <w:rPr>
          <w:rFonts w:ascii="Cambria" w:hAnsi="Cambria"/>
        </w:rPr>
        <w:tab/>
        <w:t>2015</w:t>
      </w:r>
    </w:p>
    <w:p w14:paraId="51A3A4FE" w14:textId="77777777" w:rsidR="002E592D" w:rsidRPr="009A0DA6" w:rsidRDefault="002E592D" w:rsidP="002E592D">
      <w:pPr>
        <w:tabs>
          <w:tab w:val="right" w:pos="5954"/>
          <w:tab w:val="right" w:pos="7371"/>
          <w:tab w:val="right" w:pos="8789"/>
        </w:tabs>
        <w:spacing w:after="0" w:line="240" w:lineRule="auto"/>
        <w:rPr>
          <w:rFonts w:ascii="Cambria" w:eastAsia="Times New Roman" w:hAnsi="Cambria" w:cs="Times New Roman"/>
        </w:rPr>
      </w:pPr>
      <w:r w:rsidRPr="009A0DA6">
        <w:rPr>
          <w:rFonts w:ascii="Cambria" w:eastAsia="Times New Roman" w:hAnsi="Cambria" w:cs="Times New Roman"/>
          <w:spacing w:val="-1"/>
        </w:rPr>
        <w:t>C</w:t>
      </w:r>
      <w:r w:rsidRPr="009A0DA6">
        <w:rPr>
          <w:rFonts w:ascii="Cambria" w:eastAsia="Times New Roman" w:hAnsi="Cambria" w:cs="Times New Roman"/>
        </w:rPr>
        <w:t>ash</w:t>
      </w:r>
      <w:r w:rsidRPr="009A0DA6">
        <w:rPr>
          <w:rFonts w:ascii="Cambria" w:eastAsia="Times New Roman" w:hAnsi="Cambria" w:cs="Times New Roman"/>
          <w:spacing w:val="-5"/>
        </w:rPr>
        <w:t xml:space="preserve"> </w:t>
      </w:r>
      <w:r w:rsidRPr="009A0DA6">
        <w:rPr>
          <w:rFonts w:ascii="Cambria" w:eastAsia="Times New Roman" w:hAnsi="Cambria" w:cs="Times New Roman"/>
        </w:rPr>
        <w:t>a</w:t>
      </w:r>
      <w:r w:rsidRPr="009A0DA6">
        <w:rPr>
          <w:rFonts w:ascii="Cambria" w:eastAsia="Times New Roman" w:hAnsi="Cambria" w:cs="Times New Roman"/>
          <w:spacing w:val="-1"/>
        </w:rPr>
        <w:t>n</w:t>
      </w:r>
      <w:r w:rsidRPr="009A0DA6">
        <w:rPr>
          <w:rFonts w:ascii="Cambria" w:eastAsia="Times New Roman" w:hAnsi="Cambria" w:cs="Times New Roman"/>
        </w:rPr>
        <w:t>d</w:t>
      </w:r>
      <w:r w:rsidRPr="009A0DA6">
        <w:rPr>
          <w:rFonts w:ascii="Cambria" w:eastAsia="Times New Roman" w:hAnsi="Cambria" w:cs="Times New Roman"/>
          <w:spacing w:val="-2"/>
        </w:rPr>
        <w:t xml:space="preserve"> </w:t>
      </w:r>
      <w:r w:rsidRPr="009A0DA6">
        <w:rPr>
          <w:rFonts w:ascii="Cambria" w:eastAsia="Times New Roman" w:hAnsi="Cambria" w:cs="Times New Roman"/>
        </w:rPr>
        <w:t>c</w:t>
      </w:r>
      <w:r w:rsidRPr="009A0DA6">
        <w:rPr>
          <w:rFonts w:ascii="Cambria" w:eastAsia="Times New Roman" w:hAnsi="Cambria" w:cs="Times New Roman"/>
          <w:spacing w:val="1"/>
        </w:rPr>
        <w:t>a</w:t>
      </w:r>
      <w:r w:rsidRPr="009A0DA6">
        <w:rPr>
          <w:rFonts w:ascii="Cambria" w:eastAsia="Times New Roman" w:hAnsi="Cambria" w:cs="Times New Roman"/>
          <w:spacing w:val="-1"/>
        </w:rPr>
        <w:t>s</w:t>
      </w:r>
      <w:r w:rsidRPr="009A0DA6">
        <w:rPr>
          <w:rFonts w:ascii="Cambria" w:eastAsia="Times New Roman" w:hAnsi="Cambria" w:cs="Times New Roman"/>
        </w:rPr>
        <w:t>h</w:t>
      </w:r>
      <w:r w:rsidRPr="009A0DA6">
        <w:rPr>
          <w:rFonts w:ascii="Cambria" w:eastAsia="Times New Roman" w:hAnsi="Cambria" w:cs="Times New Roman"/>
          <w:spacing w:val="-5"/>
        </w:rPr>
        <w:t xml:space="preserve"> </w:t>
      </w:r>
      <w:r w:rsidRPr="009A0DA6">
        <w:rPr>
          <w:rFonts w:ascii="Cambria" w:eastAsia="Times New Roman" w:hAnsi="Cambria" w:cs="Times New Roman"/>
        </w:rPr>
        <w:t>e</w:t>
      </w:r>
      <w:r w:rsidRPr="009A0DA6">
        <w:rPr>
          <w:rFonts w:ascii="Cambria" w:eastAsia="Times New Roman" w:hAnsi="Cambria" w:cs="Times New Roman"/>
          <w:spacing w:val="1"/>
        </w:rPr>
        <w:t>q</w:t>
      </w:r>
      <w:r w:rsidRPr="009A0DA6">
        <w:rPr>
          <w:rFonts w:ascii="Cambria" w:eastAsia="Times New Roman" w:hAnsi="Cambria" w:cs="Times New Roman"/>
          <w:spacing w:val="-1"/>
        </w:rPr>
        <w:t>u</w:t>
      </w:r>
      <w:r w:rsidRPr="009A0DA6">
        <w:rPr>
          <w:rFonts w:ascii="Cambria" w:eastAsia="Times New Roman" w:hAnsi="Cambria" w:cs="Times New Roman"/>
        </w:rPr>
        <w:t>i</w:t>
      </w:r>
      <w:r w:rsidRPr="009A0DA6">
        <w:rPr>
          <w:rFonts w:ascii="Cambria" w:eastAsia="Times New Roman" w:hAnsi="Cambria" w:cs="Times New Roman"/>
          <w:spacing w:val="-1"/>
        </w:rPr>
        <w:t>v</w:t>
      </w:r>
      <w:r w:rsidRPr="009A0DA6">
        <w:rPr>
          <w:rFonts w:ascii="Cambria" w:eastAsia="Times New Roman" w:hAnsi="Cambria" w:cs="Times New Roman"/>
        </w:rPr>
        <w:t>ale</w:t>
      </w:r>
      <w:r w:rsidRPr="009A0DA6">
        <w:rPr>
          <w:rFonts w:ascii="Cambria" w:eastAsia="Times New Roman" w:hAnsi="Cambria" w:cs="Times New Roman"/>
          <w:spacing w:val="-1"/>
        </w:rPr>
        <w:t>n</w:t>
      </w:r>
      <w:r w:rsidRPr="009A0DA6">
        <w:rPr>
          <w:rFonts w:ascii="Cambria" w:eastAsia="Times New Roman" w:hAnsi="Cambria" w:cs="Times New Roman"/>
        </w:rPr>
        <w:t>ts</w:t>
      </w:r>
      <w:r w:rsidRPr="009A0DA6">
        <w:rPr>
          <w:rFonts w:ascii="Cambria" w:eastAsia="Times New Roman" w:hAnsi="Cambria" w:cs="Times New Roman"/>
        </w:rPr>
        <w:tab/>
      </w:r>
      <w:r w:rsidRPr="009A0DA6">
        <w:rPr>
          <w:rFonts w:ascii="Cambria" w:eastAsia="Times New Roman" w:hAnsi="Cambria" w:cs="Times New Roman"/>
          <w:spacing w:val="1"/>
        </w:rPr>
        <w:t>5</w:t>
      </w:r>
      <w:r w:rsidRPr="009A0DA6">
        <w:rPr>
          <w:rFonts w:ascii="Cambria" w:eastAsia="Times New Roman" w:hAnsi="Cambria" w:cs="Times New Roman"/>
        </w:rPr>
        <w:t>,</w:t>
      </w:r>
      <w:r w:rsidRPr="009A0DA6">
        <w:rPr>
          <w:rFonts w:ascii="Cambria" w:eastAsia="Times New Roman" w:hAnsi="Cambria" w:cs="Times New Roman"/>
          <w:spacing w:val="1"/>
        </w:rPr>
        <w:t>628</w:t>
      </w:r>
      <w:r w:rsidRPr="009A0DA6">
        <w:rPr>
          <w:rFonts w:ascii="Cambria" w:eastAsia="Times New Roman" w:hAnsi="Cambria" w:cs="Times New Roman"/>
        </w:rPr>
        <w:t>,</w:t>
      </w:r>
      <w:r w:rsidRPr="009A0DA6">
        <w:rPr>
          <w:rFonts w:ascii="Cambria" w:eastAsia="Times New Roman" w:hAnsi="Cambria" w:cs="Times New Roman"/>
          <w:spacing w:val="1"/>
        </w:rPr>
        <w:t>45</w:t>
      </w:r>
      <w:r w:rsidRPr="009A0DA6">
        <w:rPr>
          <w:rFonts w:ascii="Cambria" w:eastAsia="Times New Roman" w:hAnsi="Cambria" w:cs="Times New Roman"/>
        </w:rPr>
        <w:t>9</w:t>
      </w:r>
      <w:r w:rsidRPr="009A0DA6">
        <w:rPr>
          <w:rFonts w:ascii="Cambria" w:eastAsia="Times New Roman" w:hAnsi="Cambria" w:cs="Times New Roman"/>
        </w:rPr>
        <w:tab/>
      </w:r>
      <w:r w:rsidRPr="009A0DA6">
        <w:rPr>
          <w:rFonts w:ascii="Cambria" w:eastAsia="Times New Roman" w:hAnsi="Cambria" w:cs="Times New Roman"/>
          <w:spacing w:val="1"/>
        </w:rPr>
        <w:t>5</w:t>
      </w:r>
      <w:r w:rsidRPr="009A0DA6">
        <w:rPr>
          <w:rFonts w:ascii="Cambria" w:eastAsia="Times New Roman" w:hAnsi="Cambria" w:cs="Times New Roman"/>
        </w:rPr>
        <w:t>,</w:t>
      </w:r>
      <w:r w:rsidRPr="009A0DA6">
        <w:rPr>
          <w:rFonts w:ascii="Cambria" w:eastAsia="Times New Roman" w:hAnsi="Cambria" w:cs="Times New Roman"/>
          <w:spacing w:val="1"/>
        </w:rPr>
        <w:t>607</w:t>
      </w:r>
      <w:r w:rsidRPr="009A0DA6">
        <w:rPr>
          <w:rFonts w:ascii="Cambria" w:eastAsia="Times New Roman" w:hAnsi="Cambria" w:cs="Times New Roman"/>
        </w:rPr>
        <w:t>,</w:t>
      </w:r>
      <w:r w:rsidRPr="009A0DA6">
        <w:rPr>
          <w:rFonts w:ascii="Cambria" w:eastAsia="Times New Roman" w:hAnsi="Cambria" w:cs="Times New Roman"/>
          <w:spacing w:val="1"/>
        </w:rPr>
        <w:t>41</w:t>
      </w:r>
      <w:r w:rsidRPr="009A0DA6">
        <w:rPr>
          <w:rFonts w:ascii="Cambria" w:eastAsia="Times New Roman" w:hAnsi="Cambria" w:cs="Times New Roman"/>
        </w:rPr>
        <w:t>5</w:t>
      </w:r>
      <w:r w:rsidRPr="009A0DA6">
        <w:rPr>
          <w:rFonts w:ascii="Cambria" w:eastAsia="Times New Roman" w:hAnsi="Cambria" w:cs="Times New Roman"/>
        </w:rPr>
        <w:tab/>
        <w:t>5,612,392</w:t>
      </w:r>
    </w:p>
    <w:p w14:paraId="0DFD8BC1" w14:textId="77777777" w:rsidR="002E592D" w:rsidRPr="009A0DA6" w:rsidRDefault="002E592D" w:rsidP="002E592D">
      <w:pPr>
        <w:tabs>
          <w:tab w:val="right" w:pos="5954"/>
          <w:tab w:val="right" w:pos="7371"/>
          <w:tab w:val="right" w:pos="8789"/>
        </w:tabs>
        <w:spacing w:after="0" w:line="240" w:lineRule="auto"/>
        <w:rPr>
          <w:rFonts w:ascii="Cambria" w:eastAsia="Times New Roman" w:hAnsi="Cambria" w:cs="Times New Roman"/>
        </w:rPr>
      </w:pPr>
      <w:r w:rsidRPr="009A0DA6">
        <w:rPr>
          <w:rFonts w:ascii="Cambria" w:eastAsia="Times New Roman" w:hAnsi="Cambria" w:cs="Times New Roman"/>
        </w:rPr>
        <w:t>De</w:t>
      </w:r>
      <w:r w:rsidRPr="009A0DA6">
        <w:rPr>
          <w:rFonts w:ascii="Cambria" w:eastAsia="Times New Roman" w:hAnsi="Cambria" w:cs="Times New Roman"/>
          <w:spacing w:val="2"/>
        </w:rPr>
        <w:t>b</w:t>
      </w:r>
      <w:r w:rsidRPr="009A0DA6">
        <w:rPr>
          <w:rFonts w:ascii="Cambria" w:eastAsia="Times New Roman" w:hAnsi="Cambria" w:cs="Times New Roman"/>
        </w:rPr>
        <w:t>t</w:t>
      </w:r>
      <w:r w:rsidRPr="009A0DA6">
        <w:rPr>
          <w:rFonts w:ascii="Cambria" w:eastAsia="Times New Roman" w:hAnsi="Cambria" w:cs="Times New Roman"/>
          <w:spacing w:val="1"/>
        </w:rPr>
        <w:t>or</w:t>
      </w:r>
      <w:r w:rsidRPr="009A0DA6">
        <w:rPr>
          <w:rFonts w:ascii="Cambria" w:eastAsia="Times New Roman" w:hAnsi="Cambria" w:cs="Times New Roman"/>
        </w:rPr>
        <w:t>s</w:t>
      </w:r>
      <w:r w:rsidRPr="009A0DA6">
        <w:rPr>
          <w:rFonts w:ascii="Cambria" w:eastAsia="Times New Roman" w:hAnsi="Cambria" w:cs="Times New Roman"/>
          <w:spacing w:val="-6"/>
        </w:rPr>
        <w:t xml:space="preserve"> </w:t>
      </w:r>
      <w:r w:rsidRPr="009A0DA6">
        <w:rPr>
          <w:rFonts w:ascii="Cambria" w:eastAsia="Times New Roman" w:hAnsi="Cambria" w:cs="Times New Roman"/>
        </w:rPr>
        <w:t>a</w:t>
      </w:r>
      <w:r w:rsidRPr="009A0DA6">
        <w:rPr>
          <w:rFonts w:ascii="Cambria" w:eastAsia="Times New Roman" w:hAnsi="Cambria" w:cs="Times New Roman"/>
          <w:spacing w:val="-1"/>
        </w:rPr>
        <w:t>n</w:t>
      </w:r>
      <w:r w:rsidRPr="009A0DA6">
        <w:rPr>
          <w:rFonts w:ascii="Cambria" w:eastAsia="Times New Roman" w:hAnsi="Cambria" w:cs="Times New Roman"/>
        </w:rPr>
        <w:t>d</w:t>
      </w:r>
      <w:r w:rsidRPr="009A0DA6">
        <w:rPr>
          <w:rFonts w:ascii="Cambria" w:eastAsia="Times New Roman" w:hAnsi="Cambria" w:cs="Times New Roman"/>
          <w:spacing w:val="-1"/>
        </w:rPr>
        <w:t xml:space="preserve"> </w:t>
      </w:r>
      <w:r w:rsidRPr="009A0DA6">
        <w:rPr>
          <w:rFonts w:ascii="Cambria" w:eastAsia="Times New Roman" w:hAnsi="Cambria" w:cs="Times New Roman"/>
          <w:spacing w:val="1"/>
        </w:rPr>
        <w:t>o</w:t>
      </w:r>
      <w:r w:rsidRPr="009A0DA6">
        <w:rPr>
          <w:rFonts w:ascii="Cambria" w:eastAsia="Times New Roman" w:hAnsi="Cambria" w:cs="Times New Roman"/>
        </w:rPr>
        <w:t>t</w:t>
      </w:r>
      <w:r w:rsidRPr="009A0DA6">
        <w:rPr>
          <w:rFonts w:ascii="Cambria" w:eastAsia="Times New Roman" w:hAnsi="Cambria" w:cs="Times New Roman"/>
          <w:spacing w:val="-1"/>
        </w:rPr>
        <w:t>h</w:t>
      </w:r>
      <w:r w:rsidRPr="009A0DA6">
        <w:rPr>
          <w:rFonts w:ascii="Cambria" w:eastAsia="Times New Roman" w:hAnsi="Cambria" w:cs="Times New Roman"/>
        </w:rPr>
        <w:t>er</w:t>
      </w:r>
      <w:r w:rsidRPr="009A0DA6">
        <w:rPr>
          <w:rFonts w:ascii="Cambria" w:eastAsia="Times New Roman" w:hAnsi="Cambria" w:cs="Times New Roman"/>
          <w:spacing w:val="-2"/>
        </w:rPr>
        <w:t xml:space="preserve"> </w:t>
      </w:r>
      <w:r w:rsidRPr="009A0DA6">
        <w:rPr>
          <w:rFonts w:ascii="Cambria" w:eastAsia="Times New Roman" w:hAnsi="Cambria" w:cs="Times New Roman"/>
          <w:spacing w:val="1"/>
        </w:rPr>
        <w:t>r</w:t>
      </w:r>
      <w:r w:rsidRPr="009A0DA6">
        <w:rPr>
          <w:rFonts w:ascii="Cambria" w:eastAsia="Times New Roman" w:hAnsi="Cambria" w:cs="Times New Roman"/>
        </w:rPr>
        <w:t>e</w:t>
      </w:r>
      <w:r w:rsidRPr="009A0DA6">
        <w:rPr>
          <w:rFonts w:ascii="Cambria" w:eastAsia="Times New Roman" w:hAnsi="Cambria" w:cs="Times New Roman"/>
          <w:spacing w:val="1"/>
        </w:rPr>
        <w:t>c</w:t>
      </w:r>
      <w:r w:rsidRPr="009A0DA6">
        <w:rPr>
          <w:rFonts w:ascii="Cambria" w:eastAsia="Times New Roman" w:hAnsi="Cambria" w:cs="Times New Roman"/>
        </w:rPr>
        <w:t>ei</w:t>
      </w:r>
      <w:r w:rsidRPr="009A0DA6">
        <w:rPr>
          <w:rFonts w:ascii="Cambria" w:eastAsia="Times New Roman" w:hAnsi="Cambria" w:cs="Times New Roman"/>
          <w:spacing w:val="-1"/>
        </w:rPr>
        <w:t>v</w:t>
      </w:r>
      <w:r w:rsidRPr="009A0DA6">
        <w:rPr>
          <w:rFonts w:ascii="Cambria" w:eastAsia="Times New Roman" w:hAnsi="Cambria" w:cs="Times New Roman"/>
        </w:rPr>
        <w:t>a</w:t>
      </w:r>
      <w:r w:rsidRPr="009A0DA6">
        <w:rPr>
          <w:rFonts w:ascii="Cambria" w:eastAsia="Times New Roman" w:hAnsi="Cambria" w:cs="Times New Roman"/>
          <w:spacing w:val="1"/>
        </w:rPr>
        <w:t>b</w:t>
      </w:r>
      <w:r w:rsidRPr="009A0DA6">
        <w:rPr>
          <w:rFonts w:ascii="Cambria" w:eastAsia="Times New Roman" w:hAnsi="Cambria" w:cs="Times New Roman"/>
        </w:rPr>
        <w:t>les</w:t>
      </w:r>
      <w:r w:rsidRPr="009A0DA6">
        <w:rPr>
          <w:rFonts w:ascii="Cambria" w:eastAsia="Times New Roman" w:hAnsi="Cambria" w:cs="Times New Roman"/>
        </w:rPr>
        <w:tab/>
        <w:t>139,978</w:t>
      </w:r>
      <w:r w:rsidRPr="009A0DA6">
        <w:rPr>
          <w:rFonts w:ascii="Cambria" w:eastAsia="Times New Roman" w:hAnsi="Cambria" w:cs="Times New Roman"/>
        </w:rPr>
        <w:tab/>
      </w:r>
      <w:r w:rsidRPr="009A0DA6">
        <w:rPr>
          <w:rFonts w:ascii="Cambria" w:eastAsia="Times New Roman" w:hAnsi="Cambria" w:cs="Times New Roman"/>
          <w:spacing w:val="1"/>
        </w:rPr>
        <w:t>100</w:t>
      </w:r>
      <w:r w:rsidRPr="009A0DA6">
        <w:rPr>
          <w:rFonts w:ascii="Cambria" w:eastAsia="Times New Roman" w:hAnsi="Cambria" w:cs="Times New Roman"/>
        </w:rPr>
        <w:t>,</w:t>
      </w:r>
      <w:r w:rsidRPr="009A0DA6">
        <w:rPr>
          <w:rFonts w:ascii="Cambria" w:eastAsia="Times New Roman" w:hAnsi="Cambria" w:cs="Times New Roman"/>
          <w:spacing w:val="1"/>
        </w:rPr>
        <w:t>95</w:t>
      </w:r>
      <w:r w:rsidRPr="009A0DA6">
        <w:rPr>
          <w:rFonts w:ascii="Cambria" w:eastAsia="Times New Roman" w:hAnsi="Cambria" w:cs="Times New Roman"/>
        </w:rPr>
        <w:t>9</w:t>
      </w:r>
      <w:r w:rsidRPr="009A0DA6">
        <w:rPr>
          <w:rFonts w:ascii="Cambria" w:eastAsia="Times New Roman" w:hAnsi="Cambria" w:cs="Times New Roman"/>
        </w:rPr>
        <w:tab/>
        <w:t>96,187</w:t>
      </w:r>
    </w:p>
    <w:p w14:paraId="52E718AB" w14:textId="77777777" w:rsidR="002E592D" w:rsidRPr="009A0DA6" w:rsidRDefault="002E592D" w:rsidP="002E592D">
      <w:pPr>
        <w:tabs>
          <w:tab w:val="right" w:pos="5954"/>
          <w:tab w:val="right" w:pos="7371"/>
          <w:tab w:val="right" w:pos="8789"/>
        </w:tabs>
        <w:spacing w:after="0" w:line="240" w:lineRule="auto"/>
        <w:rPr>
          <w:rFonts w:ascii="Cambria" w:eastAsia="Times New Roman" w:hAnsi="Cambria" w:cs="Times New Roman"/>
        </w:rPr>
      </w:pPr>
      <w:r w:rsidRPr="009A0DA6">
        <w:rPr>
          <w:rFonts w:ascii="Cambria" w:eastAsia="Times New Roman" w:hAnsi="Cambria" w:cs="Times New Roman"/>
          <w:b/>
          <w:bCs/>
          <w:spacing w:val="-1"/>
        </w:rPr>
        <w:t>T</w:t>
      </w:r>
      <w:r w:rsidRPr="009A0DA6">
        <w:rPr>
          <w:rFonts w:ascii="Cambria" w:eastAsia="Times New Roman" w:hAnsi="Cambria" w:cs="Times New Roman"/>
          <w:b/>
          <w:bCs/>
          <w:spacing w:val="1"/>
        </w:rPr>
        <w:t>O</w:t>
      </w:r>
      <w:r w:rsidRPr="009A0DA6">
        <w:rPr>
          <w:rFonts w:ascii="Cambria" w:eastAsia="Times New Roman" w:hAnsi="Cambria" w:cs="Times New Roman"/>
          <w:b/>
          <w:bCs/>
          <w:spacing w:val="-1"/>
        </w:rPr>
        <w:t>T</w:t>
      </w:r>
      <w:r w:rsidRPr="009A0DA6">
        <w:rPr>
          <w:rFonts w:ascii="Cambria" w:eastAsia="Times New Roman" w:hAnsi="Cambria" w:cs="Times New Roman"/>
          <w:b/>
          <w:bCs/>
        </w:rPr>
        <w:t>AL</w:t>
      </w:r>
      <w:r w:rsidRPr="009A0DA6">
        <w:rPr>
          <w:rFonts w:ascii="Cambria" w:eastAsia="Times New Roman" w:hAnsi="Cambria" w:cs="Times New Roman"/>
          <w:b/>
          <w:bCs/>
          <w:spacing w:val="-7"/>
        </w:rPr>
        <w:t xml:space="preserve"> </w:t>
      </w:r>
      <w:r w:rsidRPr="009A0DA6">
        <w:rPr>
          <w:rFonts w:ascii="Cambria" w:eastAsia="Times New Roman" w:hAnsi="Cambria" w:cs="Times New Roman"/>
          <w:b/>
          <w:bCs/>
        </w:rPr>
        <w:t>CUR</w:t>
      </w:r>
      <w:r w:rsidRPr="009A0DA6">
        <w:rPr>
          <w:rFonts w:ascii="Cambria" w:eastAsia="Times New Roman" w:hAnsi="Cambria" w:cs="Times New Roman"/>
          <w:b/>
          <w:bCs/>
          <w:spacing w:val="1"/>
        </w:rPr>
        <w:t>R</w:t>
      </w:r>
      <w:r w:rsidRPr="009A0DA6">
        <w:rPr>
          <w:rFonts w:ascii="Cambria" w:eastAsia="Times New Roman" w:hAnsi="Cambria" w:cs="Times New Roman"/>
          <w:b/>
          <w:bCs/>
          <w:spacing w:val="-1"/>
        </w:rPr>
        <w:t>E</w:t>
      </w:r>
      <w:r w:rsidRPr="009A0DA6">
        <w:rPr>
          <w:rFonts w:ascii="Cambria" w:eastAsia="Times New Roman" w:hAnsi="Cambria" w:cs="Times New Roman"/>
          <w:b/>
          <w:bCs/>
        </w:rPr>
        <w:t>NT</w:t>
      </w:r>
      <w:r w:rsidRPr="009A0DA6">
        <w:rPr>
          <w:rFonts w:ascii="Cambria" w:eastAsia="Times New Roman" w:hAnsi="Cambria" w:cs="Times New Roman"/>
          <w:b/>
          <w:bCs/>
          <w:spacing w:val="-10"/>
        </w:rPr>
        <w:t xml:space="preserve"> </w:t>
      </w:r>
      <w:r w:rsidRPr="009A0DA6">
        <w:rPr>
          <w:rFonts w:ascii="Cambria" w:eastAsia="Times New Roman" w:hAnsi="Cambria" w:cs="Times New Roman"/>
          <w:b/>
          <w:bCs/>
        </w:rPr>
        <w:t>ASS</w:t>
      </w:r>
      <w:r w:rsidRPr="009A0DA6">
        <w:rPr>
          <w:rFonts w:ascii="Cambria" w:eastAsia="Times New Roman" w:hAnsi="Cambria" w:cs="Times New Roman"/>
          <w:b/>
          <w:bCs/>
          <w:spacing w:val="-1"/>
        </w:rPr>
        <w:t>ET</w:t>
      </w:r>
      <w:r w:rsidRPr="009A0DA6">
        <w:rPr>
          <w:rFonts w:ascii="Cambria" w:eastAsia="Times New Roman" w:hAnsi="Cambria" w:cs="Times New Roman"/>
          <w:b/>
          <w:bCs/>
        </w:rPr>
        <w:t>S</w:t>
      </w:r>
      <w:r w:rsidRPr="009A0DA6">
        <w:rPr>
          <w:rFonts w:ascii="Cambria" w:eastAsia="Times New Roman" w:hAnsi="Cambria" w:cs="Times New Roman"/>
          <w:b/>
          <w:bCs/>
        </w:rPr>
        <w:tab/>
      </w:r>
      <w:r w:rsidRPr="009A0DA6">
        <w:rPr>
          <w:rFonts w:ascii="Cambria" w:eastAsia="Times New Roman" w:hAnsi="Cambria" w:cs="Times New Roman"/>
          <w:b/>
          <w:bCs/>
          <w:spacing w:val="1"/>
        </w:rPr>
        <w:t>5</w:t>
      </w:r>
      <w:r w:rsidRPr="009A0DA6">
        <w:rPr>
          <w:rFonts w:ascii="Cambria" w:eastAsia="Times New Roman" w:hAnsi="Cambria" w:cs="Times New Roman"/>
          <w:b/>
          <w:bCs/>
        </w:rPr>
        <w:t>,</w:t>
      </w:r>
      <w:r w:rsidRPr="009A0DA6">
        <w:rPr>
          <w:rFonts w:ascii="Cambria" w:eastAsia="Times New Roman" w:hAnsi="Cambria" w:cs="Times New Roman"/>
          <w:b/>
          <w:bCs/>
          <w:spacing w:val="1"/>
        </w:rPr>
        <w:t>768</w:t>
      </w:r>
      <w:r w:rsidRPr="009A0DA6">
        <w:rPr>
          <w:rFonts w:ascii="Cambria" w:eastAsia="Times New Roman" w:hAnsi="Cambria" w:cs="Times New Roman"/>
          <w:b/>
          <w:bCs/>
        </w:rPr>
        <w:t>,</w:t>
      </w:r>
      <w:r w:rsidRPr="009A0DA6">
        <w:rPr>
          <w:rFonts w:ascii="Cambria" w:eastAsia="Times New Roman" w:hAnsi="Cambria" w:cs="Times New Roman"/>
          <w:b/>
          <w:bCs/>
          <w:spacing w:val="1"/>
        </w:rPr>
        <w:t>437</w:t>
      </w:r>
      <w:r w:rsidRPr="009A0DA6">
        <w:rPr>
          <w:rFonts w:ascii="Cambria" w:eastAsia="Times New Roman" w:hAnsi="Cambria" w:cs="Times New Roman"/>
        </w:rPr>
        <w:tab/>
      </w:r>
      <w:r w:rsidRPr="009A0DA6">
        <w:rPr>
          <w:rFonts w:ascii="Cambria" w:eastAsia="Times New Roman" w:hAnsi="Cambria" w:cs="Times New Roman"/>
          <w:b/>
          <w:bCs/>
          <w:spacing w:val="1"/>
        </w:rPr>
        <w:t>5</w:t>
      </w:r>
      <w:r w:rsidRPr="009A0DA6">
        <w:rPr>
          <w:rFonts w:ascii="Cambria" w:eastAsia="Times New Roman" w:hAnsi="Cambria" w:cs="Times New Roman"/>
          <w:b/>
          <w:bCs/>
        </w:rPr>
        <w:t>,</w:t>
      </w:r>
      <w:r w:rsidRPr="009A0DA6">
        <w:rPr>
          <w:rFonts w:ascii="Cambria" w:eastAsia="Times New Roman" w:hAnsi="Cambria" w:cs="Times New Roman"/>
          <w:b/>
          <w:bCs/>
          <w:spacing w:val="1"/>
        </w:rPr>
        <w:t>708</w:t>
      </w:r>
      <w:r w:rsidRPr="009A0DA6">
        <w:rPr>
          <w:rFonts w:ascii="Cambria" w:eastAsia="Times New Roman" w:hAnsi="Cambria" w:cs="Times New Roman"/>
          <w:b/>
          <w:bCs/>
        </w:rPr>
        <w:t>,</w:t>
      </w:r>
      <w:r w:rsidRPr="009A0DA6">
        <w:rPr>
          <w:rFonts w:ascii="Cambria" w:eastAsia="Times New Roman" w:hAnsi="Cambria" w:cs="Times New Roman"/>
          <w:b/>
          <w:bCs/>
          <w:spacing w:val="1"/>
        </w:rPr>
        <w:t>37</w:t>
      </w:r>
      <w:r w:rsidRPr="009A0DA6">
        <w:rPr>
          <w:rFonts w:ascii="Cambria" w:eastAsia="Times New Roman" w:hAnsi="Cambria" w:cs="Times New Roman"/>
          <w:b/>
          <w:bCs/>
        </w:rPr>
        <w:t>4</w:t>
      </w:r>
      <w:r w:rsidRPr="009A0DA6">
        <w:rPr>
          <w:rFonts w:ascii="Cambria" w:eastAsia="Times New Roman" w:hAnsi="Cambria" w:cs="Times New Roman"/>
          <w:b/>
          <w:bCs/>
        </w:rPr>
        <w:tab/>
        <w:t>5,708,579</w:t>
      </w:r>
    </w:p>
    <w:p w14:paraId="06AA42BF" w14:textId="77777777" w:rsidR="002E592D" w:rsidRPr="009A0DA6" w:rsidRDefault="002E592D" w:rsidP="002E592D">
      <w:pPr>
        <w:tabs>
          <w:tab w:val="right" w:pos="5954"/>
          <w:tab w:val="right" w:pos="7371"/>
          <w:tab w:val="right" w:pos="8789"/>
        </w:tabs>
        <w:spacing w:after="0" w:line="240" w:lineRule="auto"/>
        <w:rPr>
          <w:rFonts w:ascii="Cambria" w:eastAsia="Times New Roman" w:hAnsi="Cambria" w:cs="Times New Roman"/>
        </w:rPr>
      </w:pPr>
      <w:r w:rsidRPr="009A0DA6">
        <w:rPr>
          <w:rFonts w:ascii="Cambria" w:eastAsia="Times New Roman" w:hAnsi="Cambria" w:cs="Times New Roman"/>
          <w:b/>
          <w:bCs/>
          <w:spacing w:val="-1"/>
        </w:rPr>
        <w:t>T</w:t>
      </w:r>
      <w:r w:rsidRPr="009A0DA6">
        <w:rPr>
          <w:rFonts w:ascii="Cambria" w:eastAsia="Times New Roman" w:hAnsi="Cambria" w:cs="Times New Roman"/>
          <w:b/>
          <w:bCs/>
          <w:spacing w:val="1"/>
        </w:rPr>
        <w:t>O</w:t>
      </w:r>
      <w:r w:rsidRPr="009A0DA6">
        <w:rPr>
          <w:rFonts w:ascii="Cambria" w:eastAsia="Times New Roman" w:hAnsi="Cambria" w:cs="Times New Roman"/>
          <w:b/>
          <w:bCs/>
          <w:spacing w:val="-1"/>
        </w:rPr>
        <w:t>T</w:t>
      </w:r>
      <w:r w:rsidRPr="009A0DA6">
        <w:rPr>
          <w:rFonts w:ascii="Cambria" w:eastAsia="Times New Roman" w:hAnsi="Cambria" w:cs="Times New Roman"/>
          <w:b/>
          <w:bCs/>
        </w:rPr>
        <w:t>AL</w:t>
      </w:r>
      <w:r w:rsidRPr="009A0DA6">
        <w:rPr>
          <w:rFonts w:ascii="Cambria" w:eastAsia="Times New Roman" w:hAnsi="Cambria" w:cs="Times New Roman"/>
          <w:b/>
          <w:bCs/>
          <w:spacing w:val="-7"/>
        </w:rPr>
        <w:t xml:space="preserve"> </w:t>
      </w:r>
      <w:r w:rsidRPr="009A0DA6">
        <w:rPr>
          <w:rFonts w:ascii="Cambria" w:eastAsia="Times New Roman" w:hAnsi="Cambria" w:cs="Times New Roman"/>
          <w:b/>
          <w:bCs/>
        </w:rPr>
        <w:t>ASS</w:t>
      </w:r>
      <w:r w:rsidRPr="009A0DA6">
        <w:rPr>
          <w:rFonts w:ascii="Cambria" w:eastAsia="Times New Roman" w:hAnsi="Cambria" w:cs="Times New Roman"/>
          <w:b/>
          <w:bCs/>
          <w:spacing w:val="-1"/>
        </w:rPr>
        <w:t>ET</w:t>
      </w:r>
      <w:r w:rsidRPr="009A0DA6">
        <w:rPr>
          <w:rFonts w:ascii="Cambria" w:eastAsia="Times New Roman" w:hAnsi="Cambria" w:cs="Times New Roman"/>
          <w:b/>
          <w:bCs/>
        </w:rPr>
        <w:t>S</w:t>
      </w:r>
      <w:r w:rsidRPr="009A0DA6">
        <w:rPr>
          <w:rFonts w:ascii="Cambria" w:eastAsia="Times New Roman" w:hAnsi="Cambria" w:cs="Times New Roman"/>
        </w:rPr>
        <w:tab/>
      </w:r>
      <w:r w:rsidRPr="009A0DA6">
        <w:rPr>
          <w:rFonts w:ascii="Cambria" w:eastAsia="Times New Roman" w:hAnsi="Cambria" w:cs="Times New Roman"/>
          <w:b/>
          <w:bCs/>
          <w:spacing w:val="1"/>
        </w:rPr>
        <w:t>5</w:t>
      </w:r>
      <w:r w:rsidRPr="009A0DA6">
        <w:rPr>
          <w:rFonts w:ascii="Cambria" w:eastAsia="Times New Roman" w:hAnsi="Cambria" w:cs="Times New Roman"/>
          <w:b/>
          <w:bCs/>
        </w:rPr>
        <w:t>,</w:t>
      </w:r>
      <w:r w:rsidRPr="009A0DA6">
        <w:rPr>
          <w:rFonts w:ascii="Cambria" w:eastAsia="Times New Roman" w:hAnsi="Cambria" w:cs="Times New Roman"/>
          <w:b/>
          <w:bCs/>
          <w:spacing w:val="1"/>
        </w:rPr>
        <w:t>768</w:t>
      </w:r>
      <w:r w:rsidRPr="009A0DA6">
        <w:rPr>
          <w:rFonts w:ascii="Cambria" w:eastAsia="Times New Roman" w:hAnsi="Cambria" w:cs="Times New Roman"/>
          <w:b/>
          <w:bCs/>
        </w:rPr>
        <w:t>,</w:t>
      </w:r>
      <w:r w:rsidRPr="009A0DA6">
        <w:rPr>
          <w:rFonts w:ascii="Cambria" w:eastAsia="Times New Roman" w:hAnsi="Cambria" w:cs="Times New Roman"/>
          <w:b/>
          <w:bCs/>
          <w:spacing w:val="1"/>
        </w:rPr>
        <w:t>437</w:t>
      </w:r>
      <w:r w:rsidRPr="009A0DA6">
        <w:rPr>
          <w:rFonts w:ascii="Cambria" w:eastAsia="Times New Roman" w:hAnsi="Cambria" w:cs="Times New Roman"/>
        </w:rPr>
        <w:tab/>
      </w:r>
      <w:r w:rsidRPr="009A0DA6">
        <w:rPr>
          <w:rFonts w:ascii="Cambria" w:eastAsia="Times New Roman" w:hAnsi="Cambria" w:cs="Times New Roman"/>
          <w:b/>
          <w:bCs/>
          <w:spacing w:val="1"/>
        </w:rPr>
        <w:t>5</w:t>
      </w:r>
      <w:r w:rsidRPr="009A0DA6">
        <w:rPr>
          <w:rFonts w:ascii="Cambria" w:eastAsia="Times New Roman" w:hAnsi="Cambria" w:cs="Times New Roman"/>
          <w:b/>
          <w:bCs/>
        </w:rPr>
        <w:t>,</w:t>
      </w:r>
      <w:r w:rsidRPr="009A0DA6">
        <w:rPr>
          <w:rFonts w:ascii="Cambria" w:eastAsia="Times New Roman" w:hAnsi="Cambria" w:cs="Times New Roman"/>
          <w:b/>
          <w:bCs/>
          <w:spacing w:val="1"/>
        </w:rPr>
        <w:t>708</w:t>
      </w:r>
      <w:r w:rsidRPr="009A0DA6">
        <w:rPr>
          <w:rFonts w:ascii="Cambria" w:eastAsia="Times New Roman" w:hAnsi="Cambria" w:cs="Times New Roman"/>
          <w:b/>
          <w:bCs/>
        </w:rPr>
        <w:t>,</w:t>
      </w:r>
      <w:r w:rsidRPr="009A0DA6">
        <w:rPr>
          <w:rFonts w:ascii="Cambria" w:eastAsia="Times New Roman" w:hAnsi="Cambria" w:cs="Times New Roman"/>
          <w:b/>
          <w:bCs/>
          <w:spacing w:val="1"/>
        </w:rPr>
        <w:t>37</w:t>
      </w:r>
      <w:r w:rsidRPr="009A0DA6">
        <w:rPr>
          <w:rFonts w:ascii="Cambria" w:eastAsia="Times New Roman" w:hAnsi="Cambria" w:cs="Times New Roman"/>
          <w:b/>
          <w:bCs/>
        </w:rPr>
        <w:t>4</w:t>
      </w:r>
      <w:r w:rsidRPr="009A0DA6">
        <w:rPr>
          <w:rFonts w:ascii="Cambria" w:eastAsia="Times New Roman" w:hAnsi="Cambria" w:cs="Times New Roman"/>
          <w:b/>
          <w:bCs/>
        </w:rPr>
        <w:tab/>
        <w:t>5,708,579</w:t>
      </w:r>
    </w:p>
    <w:p w14:paraId="4CCF5F12" w14:textId="3E8798F1" w:rsidR="002E592D" w:rsidRPr="009A0DA6" w:rsidRDefault="002E592D" w:rsidP="002E592D">
      <w:pPr>
        <w:tabs>
          <w:tab w:val="right" w:pos="5954"/>
          <w:tab w:val="right" w:pos="7371"/>
          <w:tab w:val="right" w:pos="8789"/>
        </w:tabs>
        <w:spacing w:after="0" w:line="240" w:lineRule="auto"/>
        <w:rPr>
          <w:rFonts w:ascii="Cambria" w:eastAsia="Times New Roman" w:hAnsi="Cambria" w:cs="Times New Roman"/>
        </w:rPr>
      </w:pPr>
      <w:r w:rsidRPr="009A0DA6">
        <w:rPr>
          <w:rFonts w:ascii="Cambria" w:eastAsia="Times New Roman" w:hAnsi="Cambria" w:cs="Times New Roman"/>
          <w:b/>
          <w:bCs/>
        </w:rPr>
        <w:t>N</w:t>
      </w:r>
      <w:r w:rsidRPr="009A0DA6">
        <w:rPr>
          <w:rFonts w:ascii="Cambria" w:eastAsia="Times New Roman" w:hAnsi="Cambria" w:cs="Times New Roman"/>
          <w:b/>
          <w:bCs/>
          <w:spacing w:val="-1"/>
        </w:rPr>
        <w:t>E</w:t>
      </w:r>
      <w:r w:rsidRPr="009A0DA6">
        <w:rPr>
          <w:rFonts w:ascii="Cambria" w:eastAsia="Times New Roman" w:hAnsi="Cambria" w:cs="Times New Roman"/>
          <w:b/>
          <w:bCs/>
        </w:rPr>
        <w:t>T</w:t>
      </w:r>
      <w:r w:rsidRPr="009A0DA6">
        <w:rPr>
          <w:rFonts w:ascii="Cambria" w:eastAsia="Times New Roman" w:hAnsi="Cambria" w:cs="Times New Roman"/>
          <w:b/>
          <w:bCs/>
          <w:spacing w:val="-5"/>
        </w:rPr>
        <w:t xml:space="preserve"> </w:t>
      </w:r>
      <w:r w:rsidRPr="009A0DA6">
        <w:rPr>
          <w:rFonts w:ascii="Cambria" w:eastAsia="Times New Roman" w:hAnsi="Cambria" w:cs="Times New Roman"/>
          <w:b/>
          <w:bCs/>
        </w:rPr>
        <w:t>ASS</w:t>
      </w:r>
      <w:r w:rsidRPr="009A0DA6">
        <w:rPr>
          <w:rFonts w:ascii="Cambria" w:eastAsia="Times New Roman" w:hAnsi="Cambria" w:cs="Times New Roman"/>
          <w:b/>
          <w:bCs/>
          <w:spacing w:val="-1"/>
        </w:rPr>
        <w:t>ET</w:t>
      </w:r>
      <w:r w:rsidRPr="009A0DA6">
        <w:rPr>
          <w:rFonts w:ascii="Cambria" w:eastAsia="Times New Roman" w:hAnsi="Cambria" w:cs="Times New Roman"/>
          <w:b/>
          <w:bCs/>
        </w:rPr>
        <w:t>S</w:t>
      </w:r>
      <w:r w:rsidRPr="009A0DA6">
        <w:rPr>
          <w:rFonts w:ascii="Cambria" w:eastAsia="Times New Roman" w:hAnsi="Cambria" w:cs="Times New Roman"/>
        </w:rPr>
        <w:tab/>
        <w:t>$</w:t>
      </w:r>
      <w:r w:rsidRPr="009A0DA6">
        <w:rPr>
          <w:rFonts w:ascii="Cambria" w:eastAsia="Times New Roman" w:hAnsi="Cambria" w:cs="Times New Roman"/>
          <w:b/>
          <w:bCs/>
          <w:spacing w:val="1"/>
        </w:rPr>
        <w:t>5</w:t>
      </w:r>
      <w:r w:rsidRPr="009A0DA6">
        <w:rPr>
          <w:rFonts w:ascii="Cambria" w:eastAsia="Times New Roman" w:hAnsi="Cambria" w:cs="Times New Roman"/>
          <w:b/>
          <w:bCs/>
        </w:rPr>
        <w:t>,</w:t>
      </w:r>
      <w:r w:rsidRPr="009A0DA6">
        <w:rPr>
          <w:rFonts w:ascii="Cambria" w:eastAsia="Times New Roman" w:hAnsi="Cambria" w:cs="Times New Roman"/>
          <w:b/>
          <w:bCs/>
          <w:spacing w:val="1"/>
        </w:rPr>
        <w:t>768</w:t>
      </w:r>
      <w:r w:rsidRPr="009A0DA6">
        <w:rPr>
          <w:rFonts w:ascii="Cambria" w:eastAsia="Times New Roman" w:hAnsi="Cambria" w:cs="Times New Roman"/>
          <w:b/>
          <w:bCs/>
        </w:rPr>
        <w:t>,</w:t>
      </w:r>
      <w:r w:rsidRPr="009A0DA6">
        <w:rPr>
          <w:rFonts w:ascii="Cambria" w:eastAsia="Times New Roman" w:hAnsi="Cambria" w:cs="Times New Roman"/>
          <w:b/>
          <w:bCs/>
          <w:spacing w:val="1"/>
        </w:rPr>
        <w:t>437</w:t>
      </w:r>
      <w:r w:rsidRPr="009A0DA6">
        <w:rPr>
          <w:rFonts w:ascii="Cambria" w:eastAsia="Times New Roman" w:hAnsi="Cambria" w:cs="Times New Roman"/>
        </w:rPr>
        <w:tab/>
        <w:t>$</w:t>
      </w:r>
      <w:r w:rsidRPr="009A0DA6">
        <w:rPr>
          <w:rFonts w:ascii="Cambria" w:eastAsia="Times New Roman" w:hAnsi="Cambria" w:cs="Times New Roman"/>
          <w:b/>
          <w:bCs/>
          <w:spacing w:val="1"/>
        </w:rPr>
        <w:t>5</w:t>
      </w:r>
      <w:r w:rsidRPr="009A0DA6">
        <w:rPr>
          <w:rFonts w:ascii="Cambria" w:eastAsia="Times New Roman" w:hAnsi="Cambria" w:cs="Times New Roman"/>
          <w:b/>
          <w:bCs/>
        </w:rPr>
        <w:t>,</w:t>
      </w:r>
      <w:r w:rsidRPr="009A0DA6">
        <w:rPr>
          <w:rFonts w:ascii="Cambria" w:eastAsia="Times New Roman" w:hAnsi="Cambria" w:cs="Times New Roman"/>
          <w:b/>
          <w:bCs/>
          <w:spacing w:val="1"/>
        </w:rPr>
        <w:t>708</w:t>
      </w:r>
      <w:r w:rsidRPr="009A0DA6">
        <w:rPr>
          <w:rFonts w:ascii="Cambria" w:eastAsia="Times New Roman" w:hAnsi="Cambria" w:cs="Times New Roman"/>
          <w:b/>
          <w:bCs/>
        </w:rPr>
        <w:t>,</w:t>
      </w:r>
      <w:r w:rsidRPr="009A0DA6">
        <w:rPr>
          <w:rFonts w:ascii="Cambria" w:eastAsia="Times New Roman" w:hAnsi="Cambria" w:cs="Times New Roman"/>
          <w:b/>
          <w:bCs/>
          <w:spacing w:val="1"/>
        </w:rPr>
        <w:t>37</w:t>
      </w:r>
      <w:r w:rsidR="00876946">
        <w:rPr>
          <w:rFonts w:ascii="Cambria" w:eastAsia="Times New Roman" w:hAnsi="Cambria" w:cs="Times New Roman"/>
          <w:b/>
          <w:bCs/>
        </w:rPr>
        <w:t>4</w:t>
      </w:r>
      <w:r w:rsidR="00876946">
        <w:rPr>
          <w:rFonts w:ascii="Cambria" w:eastAsia="Times New Roman" w:hAnsi="Cambria" w:cs="Times New Roman"/>
          <w:b/>
          <w:bCs/>
        </w:rPr>
        <w:tab/>
        <w:t>$5,708,579</w:t>
      </w:r>
    </w:p>
    <w:p w14:paraId="4A7F0C88" w14:textId="77777777" w:rsidR="002E592D" w:rsidRPr="009A0DA6" w:rsidRDefault="002E592D" w:rsidP="002E592D">
      <w:pPr>
        <w:tabs>
          <w:tab w:val="right" w:pos="5954"/>
          <w:tab w:val="right" w:pos="7371"/>
          <w:tab w:val="right" w:pos="8789"/>
        </w:tabs>
        <w:spacing w:after="0" w:line="240" w:lineRule="auto"/>
        <w:rPr>
          <w:rFonts w:ascii="Cambria" w:hAnsi="Cambria"/>
        </w:rPr>
      </w:pPr>
      <w:r w:rsidRPr="009A0DA6">
        <w:rPr>
          <w:rFonts w:ascii="Cambria" w:eastAsia="Times New Roman" w:hAnsi="Cambria" w:cs="Times New Roman"/>
          <w:b/>
          <w:bCs/>
          <w:spacing w:val="-1"/>
        </w:rPr>
        <w:t>EQ</w:t>
      </w:r>
      <w:r w:rsidRPr="009A0DA6">
        <w:rPr>
          <w:rFonts w:ascii="Cambria" w:eastAsia="Times New Roman" w:hAnsi="Cambria" w:cs="Times New Roman"/>
          <w:b/>
          <w:bCs/>
        </w:rPr>
        <w:t>UI</w:t>
      </w:r>
      <w:r w:rsidRPr="009A0DA6">
        <w:rPr>
          <w:rFonts w:ascii="Cambria" w:eastAsia="Times New Roman" w:hAnsi="Cambria" w:cs="Times New Roman"/>
          <w:b/>
          <w:bCs/>
          <w:spacing w:val="-1"/>
        </w:rPr>
        <w:t>T</w:t>
      </w:r>
      <w:r w:rsidRPr="009A0DA6">
        <w:rPr>
          <w:rFonts w:ascii="Cambria" w:eastAsia="Times New Roman" w:hAnsi="Cambria" w:cs="Times New Roman"/>
          <w:b/>
          <w:bCs/>
        </w:rPr>
        <w:t>Y</w:t>
      </w:r>
    </w:p>
    <w:p w14:paraId="071092D4" w14:textId="77777777" w:rsidR="002E592D" w:rsidRPr="009A0DA6" w:rsidRDefault="002E592D" w:rsidP="002E592D">
      <w:pPr>
        <w:tabs>
          <w:tab w:val="right" w:pos="5954"/>
          <w:tab w:val="right" w:pos="7371"/>
          <w:tab w:val="right" w:pos="8789"/>
        </w:tabs>
        <w:spacing w:after="0" w:line="240" w:lineRule="auto"/>
        <w:rPr>
          <w:rFonts w:ascii="Cambria" w:eastAsia="Times New Roman" w:hAnsi="Cambria" w:cs="Times New Roman"/>
        </w:rPr>
      </w:pPr>
      <w:r w:rsidRPr="009A0DA6">
        <w:rPr>
          <w:rFonts w:ascii="Cambria" w:eastAsia="Times New Roman" w:hAnsi="Cambria" w:cs="Times New Roman"/>
          <w:spacing w:val="-2"/>
        </w:rPr>
        <w:t>A</w:t>
      </w:r>
      <w:r w:rsidRPr="009A0DA6">
        <w:rPr>
          <w:rFonts w:ascii="Cambria" w:eastAsia="Times New Roman" w:hAnsi="Cambria" w:cs="Times New Roman"/>
        </w:rPr>
        <w:t>c</w:t>
      </w:r>
      <w:r w:rsidRPr="009A0DA6">
        <w:rPr>
          <w:rFonts w:ascii="Cambria" w:eastAsia="Times New Roman" w:hAnsi="Cambria" w:cs="Times New Roman"/>
          <w:spacing w:val="1"/>
        </w:rPr>
        <w:t>c</w:t>
      </w:r>
      <w:r w:rsidRPr="009A0DA6">
        <w:rPr>
          <w:rFonts w:ascii="Cambria" w:eastAsia="Times New Roman" w:hAnsi="Cambria" w:cs="Times New Roman"/>
          <w:spacing w:val="-1"/>
        </w:rPr>
        <w:t>u</w:t>
      </w:r>
      <w:r w:rsidRPr="009A0DA6">
        <w:rPr>
          <w:rFonts w:ascii="Cambria" w:eastAsia="Times New Roman" w:hAnsi="Cambria" w:cs="Times New Roman"/>
          <w:spacing w:val="-4"/>
        </w:rPr>
        <w:t>m</w:t>
      </w:r>
      <w:r w:rsidRPr="009A0DA6">
        <w:rPr>
          <w:rFonts w:ascii="Cambria" w:eastAsia="Times New Roman" w:hAnsi="Cambria" w:cs="Times New Roman"/>
          <w:spacing w:val="-1"/>
        </w:rPr>
        <w:t>u</w:t>
      </w:r>
      <w:r w:rsidRPr="009A0DA6">
        <w:rPr>
          <w:rFonts w:ascii="Cambria" w:eastAsia="Times New Roman" w:hAnsi="Cambria" w:cs="Times New Roman"/>
        </w:rPr>
        <w:t>lated</w:t>
      </w:r>
      <w:r w:rsidRPr="009A0DA6">
        <w:rPr>
          <w:rFonts w:ascii="Cambria" w:eastAsia="Times New Roman" w:hAnsi="Cambria" w:cs="Times New Roman"/>
          <w:spacing w:val="-9"/>
        </w:rPr>
        <w:t xml:space="preserve"> </w:t>
      </w:r>
      <w:r w:rsidRPr="009A0DA6">
        <w:rPr>
          <w:rFonts w:ascii="Cambria" w:eastAsia="Times New Roman" w:hAnsi="Cambria" w:cs="Times New Roman"/>
          <w:spacing w:val="-1"/>
        </w:rPr>
        <w:t>su</w:t>
      </w:r>
      <w:r w:rsidRPr="009A0DA6">
        <w:rPr>
          <w:rFonts w:ascii="Cambria" w:eastAsia="Times New Roman" w:hAnsi="Cambria" w:cs="Times New Roman"/>
          <w:spacing w:val="1"/>
        </w:rPr>
        <w:t>rp</w:t>
      </w:r>
      <w:r w:rsidRPr="009A0DA6">
        <w:rPr>
          <w:rFonts w:ascii="Cambria" w:eastAsia="Times New Roman" w:hAnsi="Cambria" w:cs="Times New Roman"/>
        </w:rPr>
        <w:t>l</w:t>
      </w:r>
      <w:r w:rsidRPr="009A0DA6">
        <w:rPr>
          <w:rFonts w:ascii="Cambria" w:eastAsia="Times New Roman" w:hAnsi="Cambria" w:cs="Times New Roman"/>
          <w:spacing w:val="-1"/>
        </w:rPr>
        <w:t>us</w:t>
      </w:r>
      <w:r w:rsidRPr="009A0DA6">
        <w:rPr>
          <w:rFonts w:ascii="Cambria" w:eastAsia="Times New Roman" w:hAnsi="Cambria" w:cs="Times New Roman"/>
        </w:rPr>
        <w:t>es</w:t>
      </w:r>
      <w:r w:rsidRPr="009A0DA6">
        <w:rPr>
          <w:rFonts w:ascii="Cambria" w:eastAsia="Times New Roman" w:hAnsi="Cambria" w:cs="Times New Roman"/>
        </w:rPr>
        <w:tab/>
      </w:r>
      <w:r w:rsidRPr="009A0DA6">
        <w:rPr>
          <w:rFonts w:ascii="Cambria" w:eastAsia="Times New Roman" w:hAnsi="Cambria" w:cs="Times New Roman"/>
          <w:spacing w:val="1"/>
        </w:rPr>
        <w:t>5</w:t>
      </w:r>
      <w:r w:rsidRPr="009A0DA6">
        <w:rPr>
          <w:rFonts w:ascii="Cambria" w:eastAsia="Times New Roman" w:hAnsi="Cambria" w:cs="Times New Roman"/>
        </w:rPr>
        <w:t>,</w:t>
      </w:r>
      <w:r w:rsidRPr="009A0DA6">
        <w:rPr>
          <w:rFonts w:ascii="Cambria" w:eastAsia="Times New Roman" w:hAnsi="Cambria" w:cs="Times New Roman"/>
          <w:spacing w:val="1"/>
        </w:rPr>
        <w:t>768</w:t>
      </w:r>
      <w:r w:rsidRPr="009A0DA6">
        <w:rPr>
          <w:rFonts w:ascii="Cambria" w:eastAsia="Times New Roman" w:hAnsi="Cambria" w:cs="Times New Roman"/>
        </w:rPr>
        <w:t>,</w:t>
      </w:r>
      <w:r w:rsidRPr="009A0DA6">
        <w:rPr>
          <w:rFonts w:ascii="Cambria" w:eastAsia="Times New Roman" w:hAnsi="Cambria" w:cs="Times New Roman"/>
          <w:spacing w:val="2"/>
        </w:rPr>
        <w:t>437</w:t>
      </w:r>
      <w:r w:rsidRPr="009A0DA6">
        <w:rPr>
          <w:rFonts w:ascii="Cambria" w:eastAsia="Times New Roman" w:hAnsi="Cambria" w:cs="Times New Roman"/>
        </w:rPr>
        <w:tab/>
      </w:r>
      <w:r w:rsidRPr="009A0DA6">
        <w:rPr>
          <w:rFonts w:ascii="Cambria" w:eastAsia="Times New Roman" w:hAnsi="Cambria" w:cs="Times New Roman"/>
          <w:spacing w:val="1"/>
        </w:rPr>
        <w:t>5</w:t>
      </w:r>
      <w:r w:rsidRPr="009A0DA6">
        <w:rPr>
          <w:rFonts w:ascii="Cambria" w:eastAsia="Times New Roman" w:hAnsi="Cambria" w:cs="Times New Roman"/>
        </w:rPr>
        <w:t>,</w:t>
      </w:r>
      <w:r w:rsidRPr="009A0DA6">
        <w:rPr>
          <w:rFonts w:ascii="Cambria" w:eastAsia="Times New Roman" w:hAnsi="Cambria" w:cs="Times New Roman"/>
          <w:spacing w:val="1"/>
        </w:rPr>
        <w:t>708</w:t>
      </w:r>
      <w:r w:rsidRPr="009A0DA6">
        <w:rPr>
          <w:rFonts w:ascii="Cambria" w:eastAsia="Times New Roman" w:hAnsi="Cambria" w:cs="Times New Roman"/>
        </w:rPr>
        <w:t>,</w:t>
      </w:r>
      <w:r w:rsidRPr="009A0DA6">
        <w:rPr>
          <w:rFonts w:ascii="Cambria" w:eastAsia="Times New Roman" w:hAnsi="Cambria" w:cs="Times New Roman"/>
          <w:spacing w:val="1"/>
        </w:rPr>
        <w:t>37</w:t>
      </w:r>
      <w:r w:rsidRPr="009A0DA6">
        <w:rPr>
          <w:rFonts w:ascii="Cambria" w:eastAsia="Times New Roman" w:hAnsi="Cambria" w:cs="Times New Roman"/>
        </w:rPr>
        <w:t>4</w:t>
      </w:r>
      <w:r w:rsidRPr="009A0DA6">
        <w:rPr>
          <w:rFonts w:ascii="Cambria" w:eastAsia="Times New Roman" w:hAnsi="Cambria" w:cs="Times New Roman"/>
        </w:rPr>
        <w:tab/>
      </w:r>
      <w:r w:rsidRPr="009A0DA6">
        <w:rPr>
          <w:rFonts w:ascii="Cambria" w:eastAsia="Times New Roman" w:hAnsi="Cambria" w:cs="Times New Roman"/>
          <w:bCs/>
        </w:rPr>
        <w:t>5,708,579</w:t>
      </w:r>
    </w:p>
    <w:p w14:paraId="21DD8531" w14:textId="77777777" w:rsidR="002E592D" w:rsidRPr="009A0DA6" w:rsidRDefault="002E592D" w:rsidP="002E592D">
      <w:pPr>
        <w:tabs>
          <w:tab w:val="right" w:pos="5954"/>
          <w:tab w:val="right" w:pos="7371"/>
          <w:tab w:val="right" w:pos="8789"/>
        </w:tabs>
        <w:spacing w:after="0" w:line="240" w:lineRule="auto"/>
        <w:rPr>
          <w:rFonts w:ascii="Cambria" w:eastAsia="Times New Roman" w:hAnsi="Cambria" w:cs="Times New Roman"/>
          <w:b/>
          <w:bCs/>
          <w:u w:val="single" w:color="000000"/>
        </w:rPr>
      </w:pPr>
      <w:r w:rsidRPr="009A0DA6">
        <w:rPr>
          <w:rFonts w:ascii="Cambria" w:eastAsia="Times New Roman" w:hAnsi="Cambria" w:cs="Times New Roman"/>
          <w:b/>
          <w:bCs/>
          <w:spacing w:val="-1"/>
        </w:rPr>
        <w:t>T</w:t>
      </w:r>
      <w:r w:rsidRPr="009A0DA6">
        <w:rPr>
          <w:rFonts w:ascii="Cambria" w:eastAsia="Times New Roman" w:hAnsi="Cambria" w:cs="Times New Roman"/>
          <w:b/>
          <w:bCs/>
          <w:spacing w:val="1"/>
        </w:rPr>
        <w:t>O</w:t>
      </w:r>
      <w:r w:rsidRPr="009A0DA6">
        <w:rPr>
          <w:rFonts w:ascii="Cambria" w:eastAsia="Times New Roman" w:hAnsi="Cambria" w:cs="Times New Roman"/>
          <w:b/>
          <w:bCs/>
          <w:spacing w:val="-1"/>
        </w:rPr>
        <w:t>T</w:t>
      </w:r>
      <w:r w:rsidRPr="009A0DA6">
        <w:rPr>
          <w:rFonts w:ascii="Cambria" w:eastAsia="Times New Roman" w:hAnsi="Cambria" w:cs="Times New Roman"/>
          <w:b/>
          <w:bCs/>
        </w:rPr>
        <w:t>AL</w:t>
      </w:r>
      <w:r w:rsidRPr="009A0DA6">
        <w:rPr>
          <w:rFonts w:ascii="Cambria" w:eastAsia="Times New Roman" w:hAnsi="Cambria" w:cs="Times New Roman"/>
          <w:b/>
          <w:bCs/>
          <w:spacing w:val="-7"/>
        </w:rPr>
        <w:t xml:space="preserve"> </w:t>
      </w:r>
      <w:r w:rsidRPr="009A0DA6">
        <w:rPr>
          <w:rFonts w:ascii="Cambria" w:eastAsia="Times New Roman" w:hAnsi="Cambria" w:cs="Times New Roman"/>
          <w:b/>
          <w:bCs/>
        </w:rPr>
        <w:t>ACC</w:t>
      </w:r>
      <w:r w:rsidRPr="009A0DA6">
        <w:rPr>
          <w:rFonts w:ascii="Cambria" w:eastAsia="Times New Roman" w:hAnsi="Cambria" w:cs="Times New Roman"/>
          <w:b/>
          <w:bCs/>
          <w:spacing w:val="1"/>
        </w:rPr>
        <w:t>U</w:t>
      </w:r>
      <w:r w:rsidRPr="009A0DA6">
        <w:rPr>
          <w:rFonts w:ascii="Cambria" w:eastAsia="Times New Roman" w:hAnsi="Cambria" w:cs="Times New Roman"/>
          <w:b/>
          <w:bCs/>
          <w:spacing w:val="4"/>
        </w:rPr>
        <w:t>M</w:t>
      </w:r>
      <w:r w:rsidRPr="009A0DA6">
        <w:rPr>
          <w:rFonts w:ascii="Cambria" w:eastAsia="Times New Roman" w:hAnsi="Cambria" w:cs="Times New Roman"/>
          <w:b/>
          <w:bCs/>
        </w:rPr>
        <w:t>U</w:t>
      </w:r>
      <w:r w:rsidRPr="009A0DA6">
        <w:rPr>
          <w:rFonts w:ascii="Cambria" w:eastAsia="Times New Roman" w:hAnsi="Cambria" w:cs="Times New Roman"/>
          <w:b/>
          <w:bCs/>
          <w:spacing w:val="-1"/>
        </w:rPr>
        <w:t>L</w:t>
      </w:r>
      <w:r w:rsidRPr="009A0DA6">
        <w:rPr>
          <w:rFonts w:ascii="Cambria" w:eastAsia="Times New Roman" w:hAnsi="Cambria" w:cs="Times New Roman"/>
          <w:b/>
          <w:bCs/>
        </w:rPr>
        <w:t>A</w:t>
      </w:r>
      <w:r w:rsidRPr="009A0DA6">
        <w:rPr>
          <w:rFonts w:ascii="Cambria" w:eastAsia="Times New Roman" w:hAnsi="Cambria" w:cs="Times New Roman"/>
          <w:b/>
          <w:bCs/>
          <w:spacing w:val="-1"/>
        </w:rPr>
        <w:t>TE</w:t>
      </w:r>
      <w:r w:rsidRPr="009A0DA6">
        <w:rPr>
          <w:rFonts w:ascii="Cambria" w:eastAsia="Times New Roman" w:hAnsi="Cambria" w:cs="Times New Roman"/>
          <w:b/>
          <w:bCs/>
        </w:rPr>
        <w:t>D</w:t>
      </w:r>
      <w:r w:rsidRPr="009A0DA6">
        <w:rPr>
          <w:rFonts w:ascii="Cambria" w:eastAsia="Times New Roman" w:hAnsi="Cambria" w:cs="Times New Roman"/>
          <w:b/>
          <w:bCs/>
          <w:spacing w:val="-16"/>
        </w:rPr>
        <w:t xml:space="preserve"> </w:t>
      </w:r>
      <w:r w:rsidRPr="009A0DA6">
        <w:rPr>
          <w:rFonts w:ascii="Cambria" w:eastAsia="Times New Roman" w:hAnsi="Cambria" w:cs="Times New Roman"/>
          <w:b/>
          <w:bCs/>
        </w:rPr>
        <w:t>FUNDS</w:t>
      </w:r>
      <w:r w:rsidRPr="009A0DA6">
        <w:rPr>
          <w:rFonts w:ascii="Cambria" w:eastAsia="Times New Roman" w:hAnsi="Cambria" w:cs="Times New Roman"/>
        </w:rPr>
        <w:tab/>
        <w:t>$</w:t>
      </w:r>
      <w:r w:rsidRPr="009A0DA6">
        <w:rPr>
          <w:rFonts w:ascii="Cambria" w:eastAsia="Times New Roman" w:hAnsi="Cambria" w:cs="Times New Roman"/>
          <w:b/>
          <w:bCs/>
          <w:spacing w:val="1"/>
        </w:rPr>
        <w:t>5</w:t>
      </w:r>
      <w:r w:rsidRPr="009A0DA6">
        <w:rPr>
          <w:rFonts w:ascii="Cambria" w:eastAsia="Times New Roman" w:hAnsi="Cambria" w:cs="Times New Roman"/>
          <w:b/>
          <w:bCs/>
        </w:rPr>
        <w:t>,</w:t>
      </w:r>
      <w:r w:rsidRPr="009A0DA6">
        <w:rPr>
          <w:rFonts w:ascii="Cambria" w:eastAsia="Times New Roman" w:hAnsi="Cambria" w:cs="Times New Roman"/>
          <w:b/>
          <w:bCs/>
          <w:spacing w:val="1"/>
        </w:rPr>
        <w:t>7</w:t>
      </w:r>
      <w:r w:rsidRPr="009A0DA6">
        <w:rPr>
          <w:rFonts w:ascii="Cambria" w:eastAsia="Times New Roman" w:hAnsi="Cambria" w:cs="Times New Roman"/>
          <w:b/>
          <w:bCs/>
          <w:spacing w:val="2"/>
        </w:rPr>
        <w:t>6</w:t>
      </w:r>
      <w:r w:rsidRPr="009A0DA6">
        <w:rPr>
          <w:rFonts w:ascii="Cambria" w:eastAsia="Times New Roman" w:hAnsi="Cambria" w:cs="Times New Roman"/>
          <w:b/>
          <w:bCs/>
          <w:spacing w:val="1"/>
        </w:rPr>
        <w:t>8</w:t>
      </w:r>
      <w:r w:rsidRPr="009A0DA6">
        <w:rPr>
          <w:rFonts w:ascii="Cambria" w:eastAsia="Times New Roman" w:hAnsi="Cambria" w:cs="Times New Roman"/>
          <w:b/>
          <w:bCs/>
        </w:rPr>
        <w:t>,</w:t>
      </w:r>
      <w:r w:rsidRPr="009A0DA6">
        <w:rPr>
          <w:rFonts w:ascii="Cambria" w:eastAsia="Times New Roman" w:hAnsi="Cambria" w:cs="Times New Roman"/>
          <w:b/>
          <w:bCs/>
          <w:spacing w:val="1"/>
        </w:rPr>
        <w:t>437</w:t>
      </w:r>
      <w:r w:rsidRPr="009A0DA6">
        <w:rPr>
          <w:rFonts w:ascii="Cambria" w:eastAsia="Times New Roman" w:hAnsi="Cambria" w:cs="Times New Roman"/>
        </w:rPr>
        <w:tab/>
        <w:t>$</w:t>
      </w:r>
      <w:r w:rsidRPr="009A0DA6">
        <w:rPr>
          <w:rFonts w:ascii="Cambria" w:eastAsia="Times New Roman" w:hAnsi="Cambria" w:cs="Times New Roman"/>
          <w:b/>
          <w:bCs/>
          <w:spacing w:val="1"/>
        </w:rPr>
        <w:t>5</w:t>
      </w:r>
      <w:r w:rsidRPr="009A0DA6">
        <w:rPr>
          <w:rFonts w:ascii="Cambria" w:eastAsia="Times New Roman" w:hAnsi="Cambria" w:cs="Times New Roman"/>
          <w:b/>
          <w:bCs/>
        </w:rPr>
        <w:t>,</w:t>
      </w:r>
      <w:r w:rsidRPr="009A0DA6">
        <w:rPr>
          <w:rFonts w:ascii="Cambria" w:eastAsia="Times New Roman" w:hAnsi="Cambria" w:cs="Times New Roman"/>
          <w:b/>
          <w:bCs/>
          <w:spacing w:val="1"/>
        </w:rPr>
        <w:t>708</w:t>
      </w:r>
      <w:r w:rsidRPr="009A0DA6">
        <w:rPr>
          <w:rFonts w:ascii="Cambria" w:eastAsia="Times New Roman" w:hAnsi="Cambria" w:cs="Times New Roman"/>
          <w:b/>
          <w:bCs/>
        </w:rPr>
        <w:t>,</w:t>
      </w:r>
      <w:r w:rsidRPr="009A0DA6">
        <w:rPr>
          <w:rFonts w:ascii="Cambria" w:eastAsia="Times New Roman" w:hAnsi="Cambria" w:cs="Times New Roman"/>
          <w:b/>
          <w:bCs/>
          <w:spacing w:val="1"/>
        </w:rPr>
        <w:t>37</w:t>
      </w:r>
      <w:r w:rsidRPr="009A0DA6">
        <w:rPr>
          <w:rFonts w:ascii="Cambria" w:eastAsia="Times New Roman" w:hAnsi="Cambria" w:cs="Times New Roman"/>
          <w:b/>
          <w:bCs/>
        </w:rPr>
        <w:t>4</w:t>
      </w:r>
      <w:r w:rsidRPr="009A0DA6">
        <w:rPr>
          <w:rFonts w:ascii="Cambria" w:eastAsia="Times New Roman" w:hAnsi="Cambria" w:cs="Times New Roman"/>
          <w:b/>
          <w:bCs/>
        </w:rPr>
        <w:tab/>
        <w:t>$5,708,579</w:t>
      </w:r>
    </w:p>
    <w:p w14:paraId="4A4B68CA" w14:textId="77777777" w:rsidR="002E592D" w:rsidRPr="009A0DA6" w:rsidRDefault="002E592D" w:rsidP="002E592D">
      <w:pPr>
        <w:tabs>
          <w:tab w:val="right" w:pos="5954"/>
          <w:tab w:val="right" w:pos="7371"/>
          <w:tab w:val="right" w:pos="8789"/>
        </w:tabs>
        <w:spacing w:after="0" w:line="240" w:lineRule="auto"/>
        <w:ind w:right="3307"/>
        <w:rPr>
          <w:rFonts w:ascii="Cambria" w:eastAsia="Times New Roman" w:hAnsi="Cambria" w:cs="Times New Roman"/>
          <w:b/>
          <w:bCs/>
          <w:spacing w:val="1"/>
          <w:w w:val="99"/>
        </w:rPr>
      </w:pPr>
    </w:p>
    <w:p w14:paraId="49FFEBDE" w14:textId="77777777" w:rsidR="002E592D" w:rsidRPr="009A0DA6" w:rsidRDefault="002E592D" w:rsidP="002E592D">
      <w:pPr>
        <w:tabs>
          <w:tab w:val="right" w:pos="5954"/>
          <w:tab w:val="right" w:pos="7371"/>
          <w:tab w:val="right" w:pos="8789"/>
        </w:tabs>
        <w:spacing w:after="0" w:line="240" w:lineRule="auto"/>
        <w:rPr>
          <w:rFonts w:ascii="Cambria" w:hAnsi="Cambria"/>
        </w:rPr>
      </w:pPr>
      <w:r w:rsidRPr="009A0DA6">
        <w:rPr>
          <w:rFonts w:ascii="Cambria" w:eastAsia="Times New Roman" w:hAnsi="Cambria" w:cs="Times New Roman"/>
          <w:b/>
          <w:bCs/>
          <w:spacing w:val="-1"/>
        </w:rPr>
        <w:t>EQ</w:t>
      </w:r>
      <w:r w:rsidRPr="009A0DA6">
        <w:rPr>
          <w:rFonts w:ascii="Cambria" w:eastAsia="Times New Roman" w:hAnsi="Cambria" w:cs="Times New Roman"/>
          <w:b/>
          <w:bCs/>
        </w:rPr>
        <w:t>UI</w:t>
      </w:r>
      <w:r w:rsidRPr="009A0DA6">
        <w:rPr>
          <w:rFonts w:ascii="Cambria" w:eastAsia="Times New Roman" w:hAnsi="Cambria" w:cs="Times New Roman"/>
          <w:b/>
          <w:bCs/>
          <w:spacing w:val="-1"/>
        </w:rPr>
        <w:t>T</w:t>
      </w:r>
      <w:r w:rsidRPr="009A0DA6">
        <w:rPr>
          <w:rFonts w:ascii="Cambria" w:eastAsia="Times New Roman" w:hAnsi="Cambria" w:cs="Times New Roman"/>
          <w:b/>
          <w:bCs/>
        </w:rPr>
        <w:t>Y</w:t>
      </w:r>
    </w:p>
    <w:p w14:paraId="7A087F5C" w14:textId="77777777" w:rsidR="002E592D" w:rsidRPr="009A0DA6" w:rsidRDefault="002E592D" w:rsidP="002E592D">
      <w:pPr>
        <w:tabs>
          <w:tab w:val="right" w:pos="5954"/>
          <w:tab w:val="right" w:pos="7371"/>
          <w:tab w:val="right" w:pos="8789"/>
        </w:tabs>
        <w:spacing w:after="0" w:line="240" w:lineRule="auto"/>
        <w:rPr>
          <w:rFonts w:ascii="Cambria" w:eastAsia="Times New Roman" w:hAnsi="Cambria" w:cs="Times New Roman"/>
          <w:spacing w:val="-2"/>
        </w:rPr>
      </w:pPr>
      <w:r w:rsidRPr="009A0DA6">
        <w:rPr>
          <w:rFonts w:ascii="Cambria" w:eastAsia="Times New Roman" w:hAnsi="Cambria" w:cs="Times New Roman"/>
          <w:spacing w:val="-2"/>
        </w:rPr>
        <w:t>Opening Balance</w:t>
      </w:r>
      <w:r w:rsidRPr="009A0DA6">
        <w:rPr>
          <w:rFonts w:ascii="Cambria" w:eastAsia="Times New Roman" w:hAnsi="Cambria" w:cs="Times New Roman"/>
          <w:spacing w:val="-2"/>
        </w:rPr>
        <w:tab/>
      </w:r>
      <w:r w:rsidRPr="009A0DA6">
        <w:rPr>
          <w:rFonts w:ascii="Cambria" w:eastAsia="Times New Roman" w:hAnsi="Cambria" w:cs="Times New Roman"/>
          <w:b/>
          <w:bCs/>
          <w:spacing w:val="1"/>
        </w:rPr>
        <w:t>5</w:t>
      </w:r>
      <w:r w:rsidRPr="009A0DA6">
        <w:rPr>
          <w:rFonts w:ascii="Cambria" w:eastAsia="Times New Roman" w:hAnsi="Cambria" w:cs="Times New Roman"/>
          <w:b/>
          <w:bCs/>
        </w:rPr>
        <w:t>,</w:t>
      </w:r>
      <w:r w:rsidRPr="009A0DA6">
        <w:rPr>
          <w:rFonts w:ascii="Cambria" w:eastAsia="Times New Roman" w:hAnsi="Cambria" w:cs="Times New Roman"/>
          <w:b/>
          <w:bCs/>
          <w:spacing w:val="1"/>
        </w:rPr>
        <w:t>708</w:t>
      </w:r>
      <w:r w:rsidRPr="009A0DA6">
        <w:rPr>
          <w:rFonts w:ascii="Cambria" w:eastAsia="Times New Roman" w:hAnsi="Cambria" w:cs="Times New Roman"/>
          <w:b/>
          <w:bCs/>
        </w:rPr>
        <w:t>,</w:t>
      </w:r>
      <w:r w:rsidRPr="009A0DA6">
        <w:rPr>
          <w:rFonts w:ascii="Cambria" w:eastAsia="Times New Roman" w:hAnsi="Cambria" w:cs="Times New Roman"/>
          <w:b/>
          <w:bCs/>
          <w:spacing w:val="1"/>
        </w:rPr>
        <w:t>37</w:t>
      </w:r>
      <w:r w:rsidRPr="009A0DA6">
        <w:rPr>
          <w:rFonts w:ascii="Cambria" w:eastAsia="Times New Roman" w:hAnsi="Cambria" w:cs="Times New Roman"/>
          <w:b/>
          <w:bCs/>
        </w:rPr>
        <w:t>4</w:t>
      </w:r>
      <w:r w:rsidRPr="009A0DA6">
        <w:rPr>
          <w:rFonts w:ascii="Cambria" w:eastAsia="Times New Roman" w:hAnsi="Cambria" w:cs="Times New Roman"/>
          <w:spacing w:val="-2"/>
        </w:rPr>
        <w:tab/>
      </w:r>
      <w:r w:rsidRPr="009A0DA6">
        <w:rPr>
          <w:rFonts w:ascii="Cambria" w:eastAsia="Times New Roman" w:hAnsi="Cambria" w:cs="Times New Roman"/>
          <w:b/>
          <w:bCs/>
        </w:rPr>
        <w:t>5,708,579</w:t>
      </w:r>
      <w:r w:rsidRPr="009A0DA6">
        <w:rPr>
          <w:rFonts w:ascii="Cambria" w:eastAsia="Times New Roman" w:hAnsi="Cambria" w:cs="Times New Roman"/>
          <w:b/>
          <w:bCs/>
        </w:rPr>
        <w:tab/>
        <w:t>5,568,550</w:t>
      </w:r>
    </w:p>
    <w:p w14:paraId="330AD2DA" w14:textId="77777777" w:rsidR="002E592D" w:rsidRPr="009A0DA6" w:rsidRDefault="002E592D" w:rsidP="002E592D">
      <w:pPr>
        <w:tabs>
          <w:tab w:val="right" w:pos="5954"/>
          <w:tab w:val="right" w:pos="7371"/>
          <w:tab w:val="right" w:pos="8789"/>
        </w:tabs>
        <w:spacing w:after="0" w:line="240" w:lineRule="auto"/>
        <w:rPr>
          <w:rFonts w:ascii="Cambria" w:eastAsia="Times New Roman" w:hAnsi="Cambria" w:cs="Times New Roman"/>
          <w:b/>
          <w:bCs/>
        </w:rPr>
      </w:pPr>
      <w:r w:rsidRPr="009A0DA6">
        <w:rPr>
          <w:rFonts w:ascii="Cambria" w:eastAsia="Times New Roman" w:hAnsi="Cambria" w:cs="Times New Roman"/>
          <w:b/>
          <w:bCs/>
        </w:rPr>
        <w:t>N</w:t>
      </w:r>
      <w:r w:rsidRPr="009A0DA6">
        <w:rPr>
          <w:rFonts w:ascii="Cambria" w:eastAsia="Times New Roman" w:hAnsi="Cambria" w:cs="Times New Roman"/>
          <w:b/>
          <w:bCs/>
          <w:spacing w:val="-1"/>
        </w:rPr>
        <w:t>E</w:t>
      </w:r>
      <w:r w:rsidRPr="009A0DA6">
        <w:rPr>
          <w:rFonts w:ascii="Cambria" w:eastAsia="Times New Roman" w:hAnsi="Cambria" w:cs="Times New Roman"/>
          <w:b/>
          <w:bCs/>
        </w:rPr>
        <w:t>T</w:t>
      </w:r>
      <w:r w:rsidRPr="009A0DA6">
        <w:rPr>
          <w:rFonts w:ascii="Cambria" w:eastAsia="Times New Roman" w:hAnsi="Cambria" w:cs="Times New Roman"/>
          <w:b/>
          <w:bCs/>
          <w:spacing w:val="-5"/>
        </w:rPr>
        <w:t xml:space="preserve"> </w:t>
      </w:r>
      <w:r w:rsidRPr="009A0DA6">
        <w:rPr>
          <w:rFonts w:ascii="Cambria" w:eastAsia="Times New Roman" w:hAnsi="Cambria" w:cs="Times New Roman"/>
          <w:b/>
          <w:bCs/>
        </w:rPr>
        <w:t>SURP</w:t>
      </w:r>
      <w:r w:rsidRPr="009A0DA6">
        <w:rPr>
          <w:rFonts w:ascii="Cambria" w:eastAsia="Times New Roman" w:hAnsi="Cambria" w:cs="Times New Roman"/>
          <w:b/>
          <w:bCs/>
          <w:spacing w:val="-1"/>
        </w:rPr>
        <w:t>L</w:t>
      </w:r>
      <w:r w:rsidRPr="009A0DA6">
        <w:rPr>
          <w:rFonts w:ascii="Cambria" w:eastAsia="Times New Roman" w:hAnsi="Cambria" w:cs="Times New Roman"/>
          <w:b/>
          <w:bCs/>
        </w:rPr>
        <w:t>US</w:t>
      </w:r>
      <w:r w:rsidRPr="009A0DA6">
        <w:rPr>
          <w:rFonts w:ascii="Cambria" w:eastAsia="Times New Roman" w:hAnsi="Cambria" w:cs="Times New Roman"/>
          <w:b/>
          <w:bCs/>
          <w:spacing w:val="-9"/>
        </w:rPr>
        <w:t xml:space="preserve"> </w:t>
      </w:r>
      <w:r w:rsidRPr="009A0DA6">
        <w:rPr>
          <w:rFonts w:ascii="Cambria" w:eastAsia="Times New Roman" w:hAnsi="Cambria" w:cs="Times New Roman"/>
          <w:b/>
          <w:bCs/>
          <w:spacing w:val="1"/>
        </w:rPr>
        <w:t>(</w:t>
      </w:r>
      <w:r w:rsidRPr="009A0DA6">
        <w:rPr>
          <w:rFonts w:ascii="Cambria" w:eastAsia="Times New Roman" w:hAnsi="Cambria" w:cs="Times New Roman"/>
          <w:b/>
          <w:bCs/>
        </w:rPr>
        <w:t>D</w:t>
      </w:r>
      <w:r w:rsidRPr="009A0DA6">
        <w:rPr>
          <w:rFonts w:ascii="Cambria" w:eastAsia="Times New Roman" w:hAnsi="Cambria" w:cs="Times New Roman"/>
          <w:b/>
          <w:bCs/>
          <w:spacing w:val="-1"/>
        </w:rPr>
        <w:t>E</w:t>
      </w:r>
      <w:r w:rsidRPr="009A0DA6">
        <w:rPr>
          <w:rFonts w:ascii="Cambria" w:eastAsia="Times New Roman" w:hAnsi="Cambria" w:cs="Times New Roman"/>
          <w:b/>
          <w:bCs/>
        </w:rPr>
        <w:t>F</w:t>
      </w:r>
      <w:r w:rsidRPr="009A0DA6">
        <w:rPr>
          <w:rFonts w:ascii="Cambria" w:eastAsia="Times New Roman" w:hAnsi="Cambria" w:cs="Times New Roman"/>
          <w:b/>
          <w:bCs/>
          <w:spacing w:val="-1"/>
        </w:rPr>
        <w:t>I</w:t>
      </w:r>
      <w:r w:rsidRPr="009A0DA6">
        <w:rPr>
          <w:rFonts w:ascii="Cambria" w:eastAsia="Times New Roman" w:hAnsi="Cambria" w:cs="Times New Roman"/>
          <w:b/>
          <w:bCs/>
        </w:rPr>
        <w:t>CI</w:t>
      </w:r>
      <w:r w:rsidRPr="009A0DA6">
        <w:rPr>
          <w:rFonts w:ascii="Cambria" w:eastAsia="Times New Roman" w:hAnsi="Cambria" w:cs="Times New Roman"/>
          <w:b/>
          <w:bCs/>
          <w:spacing w:val="-1"/>
        </w:rPr>
        <w:t>T</w:t>
      </w:r>
      <w:r w:rsidRPr="009A0DA6">
        <w:rPr>
          <w:rFonts w:ascii="Cambria" w:eastAsia="Times New Roman" w:hAnsi="Cambria" w:cs="Times New Roman"/>
          <w:b/>
          <w:bCs/>
        </w:rPr>
        <w:t>)</w:t>
      </w:r>
      <w:r w:rsidRPr="009A0DA6">
        <w:rPr>
          <w:rFonts w:ascii="Cambria" w:eastAsia="Times New Roman" w:hAnsi="Cambria" w:cs="Times New Roman"/>
          <w:b/>
          <w:bCs/>
        </w:rPr>
        <w:tab/>
      </w:r>
      <w:r w:rsidRPr="009A0DA6">
        <w:rPr>
          <w:rFonts w:ascii="Cambria" w:eastAsia="Times New Roman" w:hAnsi="Cambria" w:cs="Times New Roman"/>
          <w:b/>
          <w:bCs/>
          <w:w w:val="99"/>
        </w:rPr>
        <w:t>$</w:t>
      </w:r>
      <w:r w:rsidRPr="009A0DA6">
        <w:rPr>
          <w:rFonts w:ascii="Cambria" w:eastAsia="Times New Roman" w:hAnsi="Cambria" w:cs="Times New Roman"/>
          <w:b/>
          <w:bCs/>
          <w:spacing w:val="1"/>
        </w:rPr>
        <w:t>60</w:t>
      </w:r>
      <w:r w:rsidRPr="009A0DA6">
        <w:rPr>
          <w:rFonts w:ascii="Cambria" w:eastAsia="Times New Roman" w:hAnsi="Cambria" w:cs="Times New Roman"/>
          <w:b/>
          <w:bCs/>
        </w:rPr>
        <w:t>,</w:t>
      </w:r>
      <w:r w:rsidRPr="009A0DA6">
        <w:rPr>
          <w:rFonts w:ascii="Cambria" w:eastAsia="Times New Roman" w:hAnsi="Cambria" w:cs="Times New Roman"/>
          <w:b/>
          <w:bCs/>
          <w:spacing w:val="1"/>
        </w:rPr>
        <w:t>0</w:t>
      </w:r>
      <w:r w:rsidRPr="009A0DA6">
        <w:rPr>
          <w:rFonts w:ascii="Cambria" w:eastAsia="Times New Roman" w:hAnsi="Cambria" w:cs="Times New Roman"/>
          <w:b/>
          <w:bCs/>
          <w:spacing w:val="2"/>
        </w:rPr>
        <w:t>9</w:t>
      </w:r>
      <w:r w:rsidRPr="009A0DA6">
        <w:rPr>
          <w:rFonts w:ascii="Cambria" w:eastAsia="Times New Roman" w:hAnsi="Cambria" w:cs="Times New Roman"/>
          <w:b/>
          <w:bCs/>
        </w:rPr>
        <w:t>1</w:t>
      </w:r>
      <w:r w:rsidRPr="009A0DA6">
        <w:rPr>
          <w:rFonts w:ascii="Cambria" w:eastAsia="Times New Roman" w:hAnsi="Cambria" w:cs="Times New Roman"/>
          <w:b/>
          <w:bCs/>
          <w:w w:val="99"/>
        </w:rPr>
        <w:t xml:space="preserve"> </w:t>
      </w:r>
      <w:r w:rsidRPr="009A0DA6">
        <w:rPr>
          <w:rFonts w:ascii="Cambria" w:eastAsia="Times New Roman" w:hAnsi="Cambria" w:cs="Times New Roman"/>
          <w:b/>
          <w:bCs/>
        </w:rPr>
        <w:tab/>
        <w:t>$</w:t>
      </w:r>
      <w:r w:rsidRPr="009A0DA6">
        <w:rPr>
          <w:rFonts w:ascii="Cambria" w:eastAsia="Times New Roman" w:hAnsi="Cambria" w:cs="Times New Roman"/>
          <w:b/>
          <w:bCs/>
          <w:spacing w:val="1"/>
        </w:rPr>
        <w:t>(204</w:t>
      </w:r>
      <w:r w:rsidRPr="009A0DA6">
        <w:rPr>
          <w:rFonts w:ascii="Cambria" w:eastAsia="Times New Roman" w:hAnsi="Cambria" w:cs="Times New Roman"/>
          <w:b/>
          <w:bCs/>
        </w:rPr>
        <w:t xml:space="preserve">) </w:t>
      </w:r>
      <w:r w:rsidRPr="009A0DA6">
        <w:rPr>
          <w:rFonts w:ascii="Cambria" w:eastAsia="Times New Roman" w:hAnsi="Cambria" w:cs="Times New Roman"/>
          <w:b/>
          <w:bCs/>
        </w:rPr>
        <w:tab/>
        <w:t>$140,029</w:t>
      </w:r>
    </w:p>
    <w:p w14:paraId="4147B45C" w14:textId="77777777" w:rsidR="002E592D" w:rsidRPr="009A0DA6" w:rsidRDefault="002E592D" w:rsidP="002E592D">
      <w:pPr>
        <w:tabs>
          <w:tab w:val="right" w:pos="5954"/>
          <w:tab w:val="right" w:pos="7371"/>
          <w:tab w:val="right" w:pos="8789"/>
        </w:tabs>
        <w:spacing w:after="0" w:line="240" w:lineRule="auto"/>
        <w:rPr>
          <w:rFonts w:ascii="Cambria" w:eastAsia="Times New Roman" w:hAnsi="Cambria" w:cs="Times New Roman"/>
          <w:b/>
          <w:bCs/>
          <w:u w:val="single" w:color="000000"/>
        </w:rPr>
      </w:pPr>
      <w:r w:rsidRPr="009A0DA6">
        <w:rPr>
          <w:rFonts w:ascii="Cambria" w:eastAsia="Times New Roman" w:hAnsi="Cambria" w:cs="Times New Roman"/>
          <w:b/>
          <w:bCs/>
          <w:spacing w:val="-1"/>
        </w:rPr>
        <w:t>T</w:t>
      </w:r>
      <w:r w:rsidRPr="009A0DA6">
        <w:rPr>
          <w:rFonts w:ascii="Cambria" w:eastAsia="Times New Roman" w:hAnsi="Cambria" w:cs="Times New Roman"/>
          <w:b/>
          <w:bCs/>
          <w:spacing w:val="1"/>
        </w:rPr>
        <w:t>O</w:t>
      </w:r>
      <w:r w:rsidRPr="009A0DA6">
        <w:rPr>
          <w:rFonts w:ascii="Cambria" w:eastAsia="Times New Roman" w:hAnsi="Cambria" w:cs="Times New Roman"/>
          <w:b/>
          <w:bCs/>
          <w:spacing w:val="-1"/>
        </w:rPr>
        <w:t>T</w:t>
      </w:r>
      <w:r w:rsidRPr="009A0DA6">
        <w:rPr>
          <w:rFonts w:ascii="Cambria" w:eastAsia="Times New Roman" w:hAnsi="Cambria" w:cs="Times New Roman"/>
          <w:b/>
          <w:bCs/>
        </w:rPr>
        <w:t>AL</w:t>
      </w:r>
      <w:r w:rsidRPr="009A0DA6">
        <w:rPr>
          <w:rFonts w:ascii="Cambria" w:eastAsia="Times New Roman" w:hAnsi="Cambria" w:cs="Times New Roman"/>
          <w:b/>
          <w:bCs/>
          <w:spacing w:val="-7"/>
        </w:rPr>
        <w:t xml:space="preserve"> </w:t>
      </w:r>
      <w:r w:rsidRPr="009A0DA6">
        <w:rPr>
          <w:rFonts w:ascii="Cambria" w:eastAsia="Times New Roman" w:hAnsi="Cambria" w:cs="Times New Roman"/>
          <w:b/>
          <w:bCs/>
        </w:rPr>
        <w:t>ACC</w:t>
      </w:r>
      <w:r w:rsidRPr="009A0DA6">
        <w:rPr>
          <w:rFonts w:ascii="Cambria" w:eastAsia="Times New Roman" w:hAnsi="Cambria" w:cs="Times New Roman"/>
          <w:b/>
          <w:bCs/>
          <w:spacing w:val="1"/>
        </w:rPr>
        <w:t>U</w:t>
      </w:r>
      <w:r w:rsidRPr="009A0DA6">
        <w:rPr>
          <w:rFonts w:ascii="Cambria" w:eastAsia="Times New Roman" w:hAnsi="Cambria" w:cs="Times New Roman"/>
          <w:b/>
          <w:bCs/>
          <w:spacing w:val="4"/>
        </w:rPr>
        <w:t>M</w:t>
      </w:r>
      <w:r w:rsidRPr="009A0DA6">
        <w:rPr>
          <w:rFonts w:ascii="Cambria" w:eastAsia="Times New Roman" w:hAnsi="Cambria" w:cs="Times New Roman"/>
          <w:b/>
          <w:bCs/>
        </w:rPr>
        <w:t>U</w:t>
      </w:r>
      <w:r w:rsidRPr="009A0DA6">
        <w:rPr>
          <w:rFonts w:ascii="Cambria" w:eastAsia="Times New Roman" w:hAnsi="Cambria" w:cs="Times New Roman"/>
          <w:b/>
          <w:bCs/>
          <w:spacing w:val="-1"/>
        </w:rPr>
        <w:t>L</w:t>
      </w:r>
      <w:r w:rsidRPr="009A0DA6">
        <w:rPr>
          <w:rFonts w:ascii="Cambria" w:eastAsia="Times New Roman" w:hAnsi="Cambria" w:cs="Times New Roman"/>
          <w:b/>
          <w:bCs/>
        </w:rPr>
        <w:t>A</w:t>
      </w:r>
      <w:r w:rsidRPr="009A0DA6">
        <w:rPr>
          <w:rFonts w:ascii="Cambria" w:eastAsia="Times New Roman" w:hAnsi="Cambria" w:cs="Times New Roman"/>
          <w:b/>
          <w:bCs/>
          <w:spacing w:val="-1"/>
        </w:rPr>
        <w:t>TE</w:t>
      </w:r>
      <w:r w:rsidRPr="009A0DA6">
        <w:rPr>
          <w:rFonts w:ascii="Cambria" w:eastAsia="Times New Roman" w:hAnsi="Cambria" w:cs="Times New Roman"/>
          <w:b/>
          <w:bCs/>
        </w:rPr>
        <w:t>D</w:t>
      </w:r>
      <w:r w:rsidRPr="009A0DA6">
        <w:rPr>
          <w:rFonts w:ascii="Cambria" w:eastAsia="Times New Roman" w:hAnsi="Cambria" w:cs="Times New Roman"/>
          <w:b/>
          <w:bCs/>
          <w:spacing w:val="-16"/>
        </w:rPr>
        <w:t xml:space="preserve"> </w:t>
      </w:r>
      <w:r w:rsidRPr="009A0DA6">
        <w:rPr>
          <w:rFonts w:ascii="Cambria" w:eastAsia="Times New Roman" w:hAnsi="Cambria" w:cs="Times New Roman"/>
          <w:b/>
          <w:bCs/>
        </w:rPr>
        <w:t>FUNDS</w:t>
      </w:r>
      <w:r w:rsidRPr="009A0DA6">
        <w:rPr>
          <w:rFonts w:ascii="Cambria" w:eastAsia="Times New Roman" w:hAnsi="Cambria" w:cs="Times New Roman"/>
        </w:rPr>
        <w:tab/>
        <w:t>$</w:t>
      </w:r>
      <w:r w:rsidRPr="009A0DA6">
        <w:rPr>
          <w:rFonts w:ascii="Cambria" w:eastAsia="Times New Roman" w:hAnsi="Cambria" w:cs="Times New Roman"/>
          <w:b/>
          <w:bCs/>
          <w:spacing w:val="1"/>
        </w:rPr>
        <w:t>5</w:t>
      </w:r>
      <w:r w:rsidRPr="009A0DA6">
        <w:rPr>
          <w:rFonts w:ascii="Cambria" w:eastAsia="Times New Roman" w:hAnsi="Cambria" w:cs="Times New Roman"/>
          <w:b/>
          <w:bCs/>
        </w:rPr>
        <w:t>,</w:t>
      </w:r>
      <w:r w:rsidRPr="009A0DA6">
        <w:rPr>
          <w:rFonts w:ascii="Cambria" w:eastAsia="Times New Roman" w:hAnsi="Cambria" w:cs="Times New Roman"/>
          <w:b/>
          <w:bCs/>
          <w:spacing w:val="1"/>
        </w:rPr>
        <w:t>7</w:t>
      </w:r>
      <w:r w:rsidRPr="009A0DA6">
        <w:rPr>
          <w:rFonts w:ascii="Cambria" w:eastAsia="Times New Roman" w:hAnsi="Cambria" w:cs="Times New Roman"/>
          <w:b/>
          <w:bCs/>
          <w:spacing w:val="2"/>
        </w:rPr>
        <w:t>6</w:t>
      </w:r>
      <w:r w:rsidRPr="009A0DA6">
        <w:rPr>
          <w:rFonts w:ascii="Cambria" w:eastAsia="Times New Roman" w:hAnsi="Cambria" w:cs="Times New Roman"/>
          <w:b/>
          <w:bCs/>
          <w:spacing w:val="1"/>
        </w:rPr>
        <w:t>8</w:t>
      </w:r>
      <w:r w:rsidRPr="009A0DA6">
        <w:rPr>
          <w:rFonts w:ascii="Cambria" w:eastAsia="Times New Roman" w:hAnsi="Cambria" w:cs="Times New Roman"/>
          <w:b/>
          <w:bCs/>
        </w:rPr>
        <w:t>,</w:t>
      </w:r>
      <w:r w:rsidRPr="009A0DA6">
        <w:rPr>
          <w:rFonts w:ascii="Cambria" w:eastAsia="Times New Roman" w:hAnsi="Cambria" w:cs="Times New Roman"/>
          <w:b/>
          <w:bCs/>
          <w:spacing w:val="1"/>
        </w:rPr>
        <w:t>4</w:t>
      </w:r>
      <w:r w:rsidRPr="009A0DA6">
        <w:rPr>
          <w:rFonts w:ascii="Cambria" w:eastAsia="Times New Roman" w:hAnsi="Cambria" w:cs="Times New Roman"/>
          <w:b/>
          <w:bCs/>
          <w:spacing w:val="2"/>
        </w:rPr>
        <w:t>6</w:t>
      </w:r>
      <w:r w:rsidRPr="009A0DA6">
        <w:rPr>
          <w:rFonts w:ascii="Cambria" w:eastAsia="Times New Roman" w:hAnsi="Cambria" w:cs="Times New Roman"/>
          <w:b/>
          <w:bCs/>
        </w:rPr>
        <w:t>5</w:t>
      </w:r>
      <w:r w:rsidRPr="009A0DA6">
        <w:rPr>
          <w:rFonts w:ascii="Cambria" w:eastAsia="Times New Roman" w:hAnsi="Cambria" w:cs="Times New Roman"/>
        </w:rPr>
        <w:tab/>
        <w:t>$</w:t>
      </w:r>
      <w:r w:rsidRPr="009A0DA6">
        <w:rPr>
          <w:rFonts w:ascii="Cambria" w:eastAsia="Times New Roman" w:hAnsi="Cambria" w:cs="Times New Roman"/>
          <w:b/>
          <w:bCs/>
          <w:spacing w:val="1"/>
        </w:rPr>
        <w:t>5</w:t>
      </w:r>
      <w:r w:rsidRPr="009A0DA6">
        <w:rPr>
          <w:rFonts w:ascii="Cambria" w:eastAsia="Times New Roman" w:hAnsi="Cambria" w:cs="Times New Roman"/>
          <w:b/>
          <w:bCs/>
        </w:rPr>
        <w:t>,</w:t>
      </w:r>
      <w:r w:rsidRPr="009A0DA6">
        <w:rPr>
          <w:rFonts w:ascii="Cambria" w:eastAsia="Times New Roman" w:hAnsi="Cambria" w:cs="Times New Roman"/>
          <w:b/>
          <w:bCs/>
          <w:spacing w:val="1"/>
        </w:rPr>
        <w:t>708</w:t>
      </w:r>
      <w:r w:rsidRPr="009A0DA6">
        <w:rPr>
          <w:rFonts w:ascii="Cambria" w:eastAsia="Times New Roman" w:hAnsi="Cambria" w:cs="Times New Roman"/>
          <w:b/>
          <w:bCs/>
        </w:rPr>
        <w:t>,</w:t>
      </w:r>
      <w:r w:rsidRPr="009A0DA6">
        <w:rPr>
          <w:rFonts w:ascii="Cambria" w:eastAsia="Times New Roman" w:hAnsi="Cambria" w:cs="Times New Roman"/>
          <w:b/>
          <w:bCs/>
          <w:spacing w:val="1"/>
        </w:rPr>
        <w:t>37</w:t>
      </w:r>
      <w:r w:rsidRPr="009A0DA6">
        <w:rPr>
          <w:rFonts w:ascii="Cambria" w:eastAsia="Times New Roman" w:hAnsi="Cambria" w:cs="Times New Roman"/>
          <w:b/>
          <w:bCs/>
        </w:rPr>
        <w:t>5</w:t>
      </w:r>
      <w:r w:rsidRPr="009A0DA6">
        <w:rPr>
          <w:rFonts w:ascii="Cambria" w:eastAsia="Times New Roman" w:hAnsi="Cambria" w:cs="Times New Roman"/>
          <w:b/>
          <w:bCs/>
        </w:rPr>
        <w:tab/>
        <w:t>$5,708,579</w:t>
      </w:r>
    </w:p>
    <w:p w14:paraId="76DF0BFA" w14:textId="77777777" w:rsidR="002E592D" w:rsidRPr="009A0DA6" w:rsidRDefault="002E592D" w:rsidP="002E592D">
      <w:pPr>
        <w:pStyle w:val="NoSpacing"/>
      </w:pPr>
    </w:p>
    <w:p w14:paraId="65DB7EDD" w14:textId="77777777" w:rsidR="002E592D" w:rsidRPr="009A0DA6" w:rsidRDefault="002E592D" w:rsidP="002E592D">
      <w:pPr>
        <w:pStyle w:val="NoSpacing"/>
        <w:pBdr>
          <w:between w:val="single" w:sz="4" w:space="1" w:color="auto"/>
        </w:pBdr>
        <w:rPr>
          <w:b/>
          <w:lang w:eastAsia="en-AU"/>
        </w:rPr>
      </w:pPr>
      <w:r w:rsidRPr="009A0DA6">
        <w:rPr>
          <w:b/>
          <w:lang w:eastAsia="en-AU"/>
        </w:rPr>
        <w:t>STATEMENT OF CASH FLOWS</w:t>
      </w:r>
    </w:p>
    <w:p w14:paraId="309EC6AB" w14:textId="729C965C" w:rsidR="002E592D" w:rsidRPr="009A0DA6" w:rsidRDefault="002E1492" w:rsidP="002E1492">
      <w:pPr>
        <w:pStyle w:val="NoSpacing"/>
        <w:rPr>
          <w:b/>
          <w:lang w:eastAsia="ja-JP"/>
        </w:rPr>
      </w:pPr>
      <w:r w:rsidRPr="009A0DA6">
        <w:rPr>
          <w:b/>
        </w:rPr>
        <w:t xml:space="preserve">FOR </w:t>
      </w:r>
      <w:r>
        <w:rPr>
          <w:b/>
        </w:rPr>
        <w:t>THE PERIODS ENDING</w:t>
      </w:r>
      <w:r w:rsidRPr="009A0DA6">
        <w:rPr>
          <w:b/>
        </w:rPr>
        <w:t xml:space="preserve"> </w:t>
      </w:r>
      <w:r w:rsidR="002E592D" w:rsidRPr="009A0DA6">
        <w:rPr>
          <w:rFonts w:eastAsia="Times New Roman" w:cs="Times New Roman"/>
          <w:b/>
          <w:bCs/>
          <w:spacing w:val="-4"/>
        </w:rPr>
        <w:t xml:space="preserve"> </w:t>
      </w:r>
      <w:r w:rsidR="002E592D" w:rsidRPr="009A0DA6">
        <w:rPr>
          <w:rFonts w:eastAsia="Times New Roman" w:cs="Times New Roman"/>
          <w:b/>
          <w:bCs/>
          <w:spacing w:val="1"/>
        </w:rPr>
        <w:t>3</w:t>
      </w:r>
      <w:r w:rsidR="002E592D" w:rsidRPr="009A0DA6">
        <w:rPr>
          <w:rFonts w:eastAsia="Times New Roman" w:cs="Times New Roman"/>
          <w:b/>
          <w:bCs/>
        </w:rPr>
        <w:t>0</w:t>
      </w:r>
      <w:r w:rsidR="002E592D" w:rsidRPr="009A0DA6">
        <w:rPr>
          <w:rFonts w:eastAsia="Times New Roman" w:cs="Times New Roman"/>
          <w:b/>
          <w:bCs/>
          <w:spacing w:val="-1"/>
        </w:rPr>
        <w:t xml:space="preserve"> </w:t>
      </w:r>
      <w:r w:rsidR="002E592D" w:rsidRPr="009A0DA6">
        <w:rPr>
          <w:rFonts w:eastAsia="Times New Roman" w:cs="Times New Roman"/>
          <w:b/>
          <w:bCs/>
          <w:spacing w:val="1"/>
        </w:rPr>
        <w:t>J</w:t>
      </w:r>
      <w:r w:rsidR="002E592D" w:rsidRPr="009A0DA6">
        <w:rPr>
          <w:rFonts w:eastAsia="Times New Roman" w:cs="Times New Roman"/>
          <w:b/>
          <w:bCs/>
        </w:rPr>
        <w:t>UNE</w:t>
      </w:r>
      <w:r w:rsidR="002E592D" w:rsidRPr="009A0DA6">
        <w:rPr>
          <w:rFonts w:eastAsia="Times New Roman" w:cs="Times New Roman"/>
          <w:b/>
          <w:bCs/>
          <w:spacing w:val="-4"/>
        </w:rPr>
        <w:t xml:space="preserve"> </w:t>
      </w:r>
    </w:p>
    <w:p w14:paraId="5638548D" w14:textId="77777777" w:rsidR="002E592D" w:rsidRPr="009A0DA6" w:rsidRDefault="002E592D" w:rsidP="002E592D">
      <w:pPr>
        <w:tabs>
          <w:tab w:val="right" w:pos="5954"/>
          <w:tab w:val="right" w:pos="7371"/>
          <w:tab w:val="right" w:pos="8789"/>
        </w:tabs>
        <w:spacing w:after="0" w:line="240" w:lineRule="auto"/>
        <w:ind w:right="3307"/>
        <w:rPr>
          <w:rFonts w:ascii="Cambria" w:eastAsia="Times New Roman" w:hAnsi="Cambria" w:cs="Times New Roman"/>
          <w:b/>
          <w:bCs/>
          <w:spacing w:val="1"/>
          <w:w w:val="99"/>
        </w:rPr>
      </w:pPr>
    </w:p>
    <w:p w14:paraId="4A109B89" w14:textId="77777777" w:rsidR="002E592D" w:rsidRPr="009A0DA6" w:rsidRDefault="002E592D" w:rsidP="002E592D">
      <w:pPr>
        <w:tabs>
          <w:tab w:val="right" w:pos="5954"/>
          <w:tab w:val="right" w:pos="7371"/>
          <w:tab w:val="right" w:pos="8789"/>
        </w:tabs>
        <w:spacing w:after="0" w:line="204" w:lineRule="exact"/>
        <w:ind w:right="-20"/>
        <w:rPr>
          <w:rFonts w:ascii="Cambria" w:eastAsia="Times New Roman" w:hAnsi="Cambria" w:cs="Times New Roman"/>
          <w:spacing w:val="-1"/>
        </w:rPr>
      </w:pPr>
      <w:r w:rsidRPr="009A0DA6">
        <w:rPr>
          <w:rFonts w:ascii="Cambria" w:eastAsia="Times New Roman" w:hAnsi="Cambria" w:cs="Times New Roman"/>
          <w:b/>
          <w:bCs/>
        </w:rPr>
        <w:t>CASH</w:t>
      </w:r>
      <w:r w:rsidRPr="009A0DA6">
        <w:rPr>
          <w:rFonts w:ascii="Cambria" w:eastAsia="Times New Roman" w:hAnsi="Cambria" w:cs="Times New Roman"/>
          <w:b/>
          <w:bCs/>
          <w:spacing w:val="-5"/>
        </w:rPr>
        <w:t xml:space="preserve"> </w:t>
      </w:r>
      <w:r w:rsidRPr="009A0DA6">
        <w:rPr>
          <w:rFonts w:ascii="Cambria" w:eastAsia="Times New Roman" w:hAnsi="Cambria" w:cs="Times New Roman"/>
          <w:b/>
          <w:bCs/>
        </w:rPr>
        <w:t>F</w:t>
      </w:r>
      <w:r w:rsidRPr="009A0DA6">
        <w:rPr>
          <w:rFonts w:ascii="Cambria" w:eastAsia="Times New Roman" w:hAnsi="Cambria" w:cs="Times New Roman"/>
          <w:b/>
          <w:bCs/>
          <w:spacing w:val="-1"/>
        </w:rPr>
        <w:t>L</w:t>
      </w:r>
      <w:r w:rsidRPr="009A0DA6">
        <w:rPr>
          <w:rFonts w:ascii="Cambria" w:eastAsia="Times New Roman" w:hAnsi="Cambria" w:cs="Times New Roman"/>
          <w:b/>
          <w:bCs/>
          <w:spacing w:val="1"/>
        </w:rPr>
        <w:t>O</w:t>
      </w:r>
      <w:r w:rsidRPr="009A0DA6">
        <w:rPr>
          <w:rFonts w:ascii="Cambria" w:eastAsia="Times New Roman" w:hAnsi="Cambria" w:cs="Times New Roman"/>
          <w:b/>
          <w:bCs/>
        </w:rPr>
        <w:t>WS</w:t>
      </w:r>
      <w:r w:rsidRPr="009A0DA6">
        <w:rPr>
          <w:rFonts w:ascii="Cambria" w:eastAsia="Times New Roman" w:hAnsi="Cambria" w:cs="Times New Roman"/>
          <w:b/>
          <w:bCs/>
          <w:spacing w:val="-7"/>
        </w:rPr>
        <w:t xml:space="preserve"> </w:t>
      </w:r>
      <w:r w:rsidRPr="009A0DA6">
        <w:rPr>
          <w:rFonts w:ascii="Cambria" w:eastAsia="Times New Roman" w:hAnsi="Cambria" w:cs="Times New Roman"/>
          <w:b/>
          <w:bCs/>
          <w:spacing w:val="1"/>
        </w:rPr>
        <w:t>F</w:t>
      </w:r>
      <w:r w:rsidRPr="009A0DA6">
        <w:rPr>
          <w:rFonts w:ascii="Cambria" w:eastAsia="Times New Roman" w:hAnsi="Cambria" w:cs="Times New Roman"/>
          <w:b/>
          <w:bCs/>
        </w:rPr>
        <w:t>R</w:t>
      </w:r>
      <w:r w:rsidRPr="009A0DA6">
        <w:rPr>
          <w:rFonts w:ascii="Cambria" w:eastAsia="Times New Roman" w:hAnsi="Cambria" w:cs="Times New Roman"/>
          <w:b/>
          <w:bCs/>
          <w:spacing w:val="1"/>
        </w:rPr>
        <w:t>O</w:t>
      </w:r>
      <w:r w:rsidRPr="009A0DA6">
        <w:rPr>
          <w:rFonts w:ascii="Cambria" w:eastAsia="Times New Roman" w:hAnsi="Cambria" w:cs="Times New Roman"/>
          <w:b/>
          <w:bCs/>
        </w:rPr>
        <w:t>M</w:t>
      </w:r>
      <w:r w:rsidRPr="009A0DA6">
        <w:rPr>
          <w:rFonts w:ascii="Cambria" w:eastAsia="Times New Roman" w:hAnsi="Cambria" w:cs="Times New Roman"/>
          <w:b/>
          <w:bCs/>
          <w:spacing w:val="-2"/>
        </w:rPr>
        <w:t xml:space="preserve"> </w:t>
      </w:r>
      <w:r w:rsidRPr="009A0DA6">
        <w:rPr>
          <w:rFonts w:ascii="Cambria" w:eastAsia="Times New Roman" w:hAnsi="Cambria" w:cs="Times New Roman"/>
          <w:b/>
          <w:bCs/>
          <w:spacing w:val="1"/>
        </w:rPr>
        <w:t>O</w:t>
      </w:r>
      <w:r w:rsidRPr="009A0DA6">
        <w:rPr>
          <w:rFonts w:ascii="Cambria" w:eastAsia="Times New Roman" w:hAnsi="Cambria" w:cs="Times New Roman"/>
          <w:b/>
          <w:bCs/>
        </w:rPr>
        <w:t>P</w:t>
      </w:r>
      <w:r w:rsidRPr="009A0DA6">
        <w:rPr>
          <w:rFonts w:ascii="Cambria" w:eastAsia="Times New Roman" w:hAnsi="Cambria" w:cs="Times New Roman"/>
          <w:b/>
          <w:bCs/>
          <w:spacing w:val="-1"/>
        </w:rPr>
        <w:t>E</w:t>
      </w:r>
      <w:r w:rsidRPr="009A0DA6">
        <w:rPr>
          <w:rFonts w:ascii="Cambria" w:eastAsia="Times New Roman" w:hAnsi="Cambria" w:cs="Times New Roman"/>
          <w:b/>
          <w:bCs/>
        </w:rPr>
        <w:t>RAT</w:t>
      </w:r>
      <w:r w:rsidRPr="009A0DA6">
        <w:rPr>
          <w:rFonts w:ascii="Cambria" w:eastAsia="Times New Roman" w:hAnsi="Cambria" w:cs="Times New Roman"/>
          <w:b/>
          <w:bCs/>
          <w:spacing w:val="-1"/>
        </w:rPr>
        <w:t>I</w:t>
      </w:r>
      <w:r w:rsidRPr="009A0DA6">
        <w:rPr>
          <w:rFonts w:ascii="Cambria" w:eastAsia="Times New Roman" w:hAnsi="Cambria" w:cs="Times New Roman"/>
          <w:b/>
          <w:bCs/>
        </w:rPr>
        <w:t>NG</w:t>
      </w:r>
      <w:r w:rsidRPr="009A0DA6">
        <w:rPr>
          <w:rFonts w:ascii="Cambria" w:eastAsia="Times New Roman" w:hAnsi="Cambria" w:cs="Times New Roman"/>
          <w:b/>
          <w:bCs/>
          <w:spacing w:val="-13"/>
        </w:rPr>
        <w:t xml:space="preserve"> </w:t>
      </w:r>
      <w:r w:rsidRPr="009A0DA6">
        <w:rPr>
          <w:rFonts w:ascii="Cambria" w:eastAsia="Times New Roman" w:hAnsi="Cambria" w:cs="Times New Roman"/>
          <w:b/>
          <w:bCs/>
        </w:rPr>
        <w:t>ACT</w:t>
      </w:r>
      <w:r w:rsidRPr="009A0DA6">
        <w:rPr>
          <w:rFonts w:ascii="Cambria" w:eastAsia="Times New Roman" w:hAnsi="Cambria" w:cs="Times New Roman"/>
          <w:b/>
          <w:bCs/>
          <w:spacing w:val="-1"/>
        </w:rPr>
        <w:t>I</w:t>
      </w:r>
      <w:r w:rsidRPr="009A0DA6">
        <w:rPr>
          <w:rFonts w:ascii="Cambria" w:eastAsia="Times New Roman" w:hAnsi="Cambria" w:cs="Times New Roman"/>
          <w:b/>
          <w:bCs/>
        </w:rPr>
        <w:t>VI</w:t>
      </w:r>
      <w:r w:rsidRPr="009A0DA6">
        <w:rPr>
          <w:rFonts w:ascii="Cambria" w:eastAsia="Times New Roman" w:hAnsi="Cambria" w:cs="Times New Roman"/>
          <w:b/>
          <w:bCs/>
          <w:spacing w:val="-1"/>
        </w:rPr>
        <w:t>TIE</w:t>
      </w:r>
      <w:r w:rsidRPr="009A0DA6">
        <w:rPr>
          <w:rFonts w:ascii="Cambria" w:eastAsia="Times New Roman" w:hAnsi="Cambria" w:cs="Times New Roman"/>
          <w:b/>
          <w:bCs/>
        </w:rPr>
        <w:t>S</w:t>
      </w:r>
      <w:r w:rsidRPr="009A0DA6">
        <w:rPr>
          <w:rFonts w:ascii="Cambria" w:eastAsia="Times New Roman" w:hAnsi="Cambria" w:cs="Times New Roman"/>
          <w:spacing w:val="-1"/>
        </w:rPr>
        <w:t xml:space="preserve"> </w:t>
      </w:r>
    </w:p>
    <w:p w14:paraId="7A2BA956" w14:textId="77777777" w:rsidR="002E592D" w:rsidRPr="009A0DA6" w:rsidRDefault="002E592D" w:rsidP="002E592D">
      <w:pPr>
        <w:tabs>
          <w:tab w:val="right" w:pos="5954"/>
          <w:tab w:val="right" w:pos="7371"/>
          <w:tab w:val="right" w:pos="8789"/>
        </w:tabs>
        <w:spacing w:after="0" w:line="204" w:lineRule="exact"/>
        <w:ind w:right="-20"/>
        <w:rPr>
          <w:rFonts w:ascii="Cambria" w:eastAsia="Times New Roman" w:hAnsi="Cambria" w:cs="Times New Roman"/>
        </w:rPr>
      </w:pPr>
      <w:r w:rsidRPr="009A0DA6">
        <w:rPr>
          <w:rFonts w:ascii="Cambria" w:eastAsia="Times New Roman" w:hAnsi="Cambria" w:cs="Times New Roman"/>
          <w:spacing w:val="-1"/>
        </w:rPr>
        <w:t>R</w:t>
      </w:r>
      <w:r w:rsidRPr="009A0DA6">
        <w:rPr>
          <w:rFonts w:ascii="Cambria" w:eastAsia="Times New Roman" w:hAnsi="Cambria" w:cs="Times New Roman"/>
        </w:rPr>
        <w:t>e</w:t>
      </w:r>
      <w:r w:rsidRPr="009A0DA6">
        <w:rPr>
          <w:rFonts w:ascii="Cambria" w:eastAsia="Times New Roman" w:hAnsi="Cambria" w:cs="Times New Roman"/>
          <w:spacing w:val="1"/>
        </w:rPr>
        <w:t>c</w:t>
      </w:r>
      <w:r w:rsidRPr="009A0DA6">
        <w:rPr>
          <w:rFonts w:ascii="Cambria" w:eastAsia="Times New Roman" w:hAnsi="Cambria" w:cs="Times New Roman"/>
        </w:rPr>
        <w:t>ei</w:t>
      </w:r>
      <w:r w:rsidRPr="009A0DA6">
        <w:rPr>
          <w:rFonts w:ascii="Cambria" w:eastAsia="Times New Roman" w:hAnsi="Cambria" w:cs="Times New Roman"/>
          <w:spacing w:val="1"/>
        </w:rPr>
        <w:t>p</w:t>
      </w:r>
      <w:r w:rsidRPr="009A0DA6">
        <w:rPr>
          <w:rFonts w:ascii="Cambria" w:eastAsia="Times New Roman" w:hAnsi="Cambria" w:cs="Times New Roman"/>
        </w:rPr>
        <w:t>ts</w:t>
      </w:r>
      <w:r w:rsidRPr="009A0DA6">
        <w:rPr>
          <w:rFonts w:ascii="Cambria" w:eastAsia="Times New Roman" w:hAnsi="Cambria" w:cs="Times New Roman"/>
          <w:spacing w:val="-8"/>
        </w:rPr>
        <w:t xml:space="preserve"> </w:t>
      </w:r>
      <w:r w:rsidRPr="009A0DA6">
        <w:rPr>
          <w:rFonts w:ascii="Cambria" w:eastAsia="Times New Roman" w:hAnsi="Cambria" w:cs="Times New Roman"/>
          <w:spacing w:val="-2"/>
        </w:rPr>
        <w:t>f</w:t>
      </w:r>
      <w:r w:rsidRPr="009A0DA6">
        <w:rPr>
          <w:rFonts w:ascii="Cambria" w:eastAsia="Times New Roman" w:hAnsi="Cambria" w:cs="Times New Roman"/>
          <w:spacing w:val="1"/>
        </w:rPr>
        <w:t>ro</w:t>
      </w:r>
      <w:r w:rsidRPr="009A0DA6">
        <w:rPr>
          <w:rFonts w:ascii="Cambria" w:eastAsia="Times New Roman" w:hAnsi="Cambria" w:cs="Times New Roman"/>
        </w:rPr>
        <w:t>m</w:t>
      </w:r>
      <w:r w:rsidRPr="009A0DA6">
        <w:rPr>
          <w:rFonts w:ascii="Cambria" w:eastAsia="Times New Roman" w:hAnsi="Cambria" w:cs="Times New Roman"/>
          <w:spacing w:val="-8"/>
        </w:rPr>
        <w:t xml:space="preserve"> </w:t>
      </w:r>
      <w:r w:rsidRPr="009A0DA6">
        <w:rPr>
          <w:rFonts w:ascii="Cambria" w:eastAsia="Times New Roman" w:hAnsi="Cambria" w:cs="Times New Roman"/>
        </w:rPr>
        <w:t>c</w:t>
      </w:r>
      <w:r w:rsidRPr="009A0DA6">
        <w:rPr>
          <w:rFonts w:ascii="Cambria" w:eastAsia="Times New Roman" w:hAnsi="Cambria" w:cs="Times New Roman"/>
          <w:spacing w:val="-1"/>
        </w:rPr>
        <w:t>us</w:t>
      </w:r>
      <w:r w:rsidRPr="009A0DA6">
        <w:rPr>
          <w:rFonts w:ascii="Cambria" w:eastAsia="Times New Roman" w:hAnsi="Cambria" w:cs="Times New Roman"/>
        </w:rPr>
        <w:t>t</w:t>
      </w:r>
      <w:r w:rsidRPr="009A0DA6">
        <w:rPr>
          <w:rFonts w:ascii="Cambria" w:eastAsia="Times New Roman" w:hAnsi="Cambria" w:cs="Times New Roman"/>
          <w:spacing w:val="1"/>
        </w:rPr>
        <w:t>o</w:t>
      </w:r>
      <w:r w:rsidRPr="009A0DA6">
        <w:rPr>
          <w:rFonts w:ascii="Cambria" w:eastAsia="Times New Roman" w:hAnsi="Cambria" w:cs="Times New Roman"/>
          <w:spacing w:val="-4"/>
        </w:rPr>
        <w:t>m</w:t>
      </w:r>
      <w:r w:rsidRPr="009A0DA6">
        <w:rPr>
          <w:rFonts w:ascii="Cambria" w:eastAsia="Times New Roman" w:hAnsi="Cambria" w:cs="Times New Roman"/>
        </w:rPr>
        <w:t>e</w:t>
      </w:r>
      <w:r w:rsidRPr="009A0DA6">
        <w:rPr>
          <w:rFonts w:ascii="Cambria" w:eastAsia="Times New Roman" w:hAnsi="Cambria" w:cs="Times New Roman"/>
          <w:spacing w:val="1"/>
        </w:rPr>
        <w:t>r</w:t>
      </w:r>
      <w:r w:rsidRPr="009A0DA6">
        <w:rPr>
          <w:rFonts w:ascii="Cambria" w:eastAsia="Times New Roman" w:hAnsi="Cambria" w:cs="Times New Roman"/>
        </w:rPr>
        <w:t>s</w:t>
      </w:r>
      <w:r w:rsidRPr="009A0DA6">
        <w:rPr>
          <w:rFonts w:ascii="Cambria" w:eastAsia="Times New Roman" w:hAnsi="Cambria" w:cs="Times New Roman"/>
        </w:rPr>
        <w:tab/>
      </w:r>
      <w:r w:rsidRPr="009A0DA6">
        <w:rPr>
          <w:rFonts w:ascii="Cambria" w:eastAsia="Times New Roman" w:hAnsi="Cambria" w:cs="Times New Roman"/>
          <w:spacing w:val="1"/>
        </w:rPr>
        <w:t>519</w:t>
      </w:r>
      <w:r w:rsidRPr="009A0DA6">
        <w:rPr>
          <w:rFonts w:ascii="Cambria" w:eastAsia="Times New Roman" w:hAnsi="Cambria" w:cs="Times New Roman"/>
        </w:rPr>
        <w:t>,</w:t>
      </w:r>
      <w:r w:rsidRPr="009A0DA6">
        <w:rPr>
          <w:rFonts w:ascii="Cambria" w:eastAsia="Times New Roman" w:hAnsi="Cambria" w:cs="Times New Roman"/>
          <w:spacing w:val="1"/>
        </w:rPr>
        <w:t>85</w:t>
      </w:r>
      <w:r w:rsidRPr="009A0DA6">
        <w:rPr>
          <w:rFonts w:ascii="Cambria" w:eastAsia="Times New Roman" w:hAnsi="Cambria" w:cs="Times New Roman"/>
        </w:rPr>
        <w:t>4</w:t>
      </w:r>
      <w:r w:rsidRPr="009A0DA6">
        <w:rPr>
          <w:rFonts w:ascii="Cambria" w:hAnsi="Cambria"/>
        </w:rPr>
        <w:tab/>
      </w:r>
      <w:r w:rsidRPr="009A0DA6">
        <w:rPr>
          <w:rFonts w:ascii="Cambria" w:eastAsia="Times New Roman" w:hAnsi="Cambria" w:cs="Times New Roman"/>
          <w:spacing w:val="1"/>
        </w:rPr>
        <w:t>475</w:t>
      </w:r>
      <w:r w:rsidRPr="009A0DA6">
        <w:rPr>
          <w:rFonts w:ascii="Cambria" w:eastAsia="Times New Roman" w:hAnsi="Cambria" w:cs="Times New Roman"/>
        </w:rPr>
        <w:t>,</w:t>
      </w:r>
      <w:r w:rsidRPr="009A0DA6">
        <w:rPr>
          <w:rFonts w:ascii="Cambria" w:eastAsia="Times New Roman" w:hAnsi="Cambria" w:cs="Times New Roman"/>
          <w:spacing w:val="1"/>
        </w:rPr>
        <w:t>13</w:t>
      </w:r>
      <w:r w:rsidRPr="009A0DA6">
        <w:rPr>
          <w:rFonts w:ascii="Cambria" w:eastAsia="Times New Roman" w:hAnsi="Cambria" w:cs="Times New Roman"/>
        </w:rPr>
        <w:t>8</w:t>
      </w:r>
      <w:r w:rsidRPr="009A0DA6">
        <w:rPr>
          <w:rFonts w:ascii="Cambria" w:eastAsia="Times New Roman" w:hAnsi="Cambria" w:cs="Times New Roman"/>
        </w:rPr>
        <w:tab/>
      </w:r>
    </w:p>
    <w:p w14:paraId="780C4EE3" w14:textId="77777777" w:rsidR="002E592D" w:rsidRPr="009A0DA6" w:rsidRDefault="002E592D" w:rsidP="002E592D">
      <w:pPr>
        <w:tabs>
          <w:tab w:val="right" w:pos="5954"/>
          <w:tab w:val="right" w:pos="7371"/>
          <w:tab w:val="right" w:pos="8789"/>
        </w:tabs>
        <w:spacing w:after="0" w:line="222" w:lineRule="exact"/>
        <w:ind w:right="-20"/>
        <w:rPr>
          <w:rFonts w:ascii="Cambria" w:eastAsia="Times New Roman" w:hAnsi="Cambria" w:cs="Times New Roman"/>
        </w:rPr>
      </w:pPr>
      <w:r w:rsidRPr="009A0DA6">
        <w:rPr>
          <w:rFonts w:ascii="Cambria" w:eastAsia="Times New Roman" w:hAnsi="Cambria" w:cs="Times New Roman"/>
          <w:spacing w:val="2"/>
        </w:rPr>
        <w:t>P</w:t>
      </w:r>
      <w:r w:rsidRPr="009A0DA6">
        <w:rPr>
          <w:rFonts w:ascii="Cambria" w:eastAsia="Times New Roman" w:hAnsi="Cambria" w:cs="Times New Roman"/>
        </w:rPr>
        <w:t>a</w:t>
      </w:r>
      <w:r w:rsidRPr="009A0DA6">
        <w:rPr>
          <w:rFonts w:ascii="Cambria" w:eastAsia="Times New Roman" w:hAnsi="Cambria" w:cs="Times New Roman"/>
          <w:spacing w:val="-3"/>
        </w:rPr>
        <w:t>y</w:t>
      </w:r>
      <w:r w:rsidRPr="009A0DA6">
        <w:rPr>
          <w:rFonts w:ascii="Cambria" w:eastAsia="Times New Roman" w:hAnsi="Cambria" w:cs="Times New Roman"/>
          <w:spacing w:val="-4"/>
        </w:rPr>
        <w:t>m</w:t>
      </w:r>
      <w:r w:rsidRPr="009A0DA6">
        <w:rPr>
          <w:rFonts w:ascii="Cambria" w:eastAsia="Times New Roman" w:hAnsi="Cambria" w:cs="Times New Roman"/>
        </w:rPr>
        <w:t>e</w:t>
      </w:r>
      <w:r w:rsidRPr="009A0DA6">
        <w:rPr>
          <w:rFonts w:ascii="Cambria" w:eastAsia="Times New Roman" w:hAnsi="Cambria" w:cs="Times New Roman"/>
          <w:spacing w:val="-1"/>
        </w:rPr>
        <w:t>n</w:t>
      </w:r>
      <w:r w:rsidRPr="009A0DA6">
        <w:rPr>
          <w:rFonts w:ascii="Cambria" w:eastAsia="Times New Roman" w:hAnsi="Cambria" w:cs="Times New Roman"/>
        </w:rPr>
        <w:t>ts</w:t>
      </w:r>
      <w:r w:rsidRPr="009A0DA6">
        <w:rPr>
          <w:rFonts w:ascii="Cambria" w:eastAsia="Times New Roman" w:hAnsi="Cambria" w:cs="Times New Roman"/>
          <w:spacing w:val="-9"/>
        </w:rPr>
        <w:t xml:space="preserve"> </w:t>
      </w:r>
      <w:r w:rsidRPr="009A0DA6">
        <w:rPr>
          <w:rFonts w:ascii="Cambria" w:eastAsia="Times New Roman" w:hAnsi="Cambria" w:cs="Times New Roman"/>
        </w:rPr>
        <w:t>to</w:t>
      </w:r>
      <w:r w:rsidRPr="009A0DA6">
        <w:rPr>
          <w:rFonts w:ascii="Cambria" w:eastAsia="Times New Roman" w:hAnsi="Cambria" w:cs="Times New Roman"/>
          <w:spacing w:val="-1"/>
        </w:rPr>
        <w:t xml:space="preserve"> su</w:t>
      </w:r>
      <w:r w:rsidRPr="009A0DA6">
        <w:rPr>
          <w:rFonts w:ascii="Cambria" w:eastAsia="Times New Roman" w:hAnsi="Cambria" w:cs="Times New Roman"/>
          <w:spacing w:val="1"/>
        </w:rPr>
        <w:t>pp</w:t>
      </w:r>
      <w:r w:rsidRPr="009A0DA6">
        <w:rPr>
          <w:rFonts w:ascii="Cambria" w:eastAsia="Times New Roman" w:hAnsi="Cambria" w:cs="Times New Roman"/>
        </w:rPr>
        <w:t>lie</w:t>
      </w:r>
      <w:r w:rsidRPr="009A0DA6">
        <w:rPr>
          <w:rFonts w:ascii="Cambria" w:eastAsia="Times New Roman" w:hAnsi="Cambria" w:cs="Times New Roman"/>
          <w:spacing w:val="1"/>
        </w:rPr>
        <w:t>r</w:t>
      </w:r>
      <w:r w:rsidRPr="009A0DA6">
        <w:rPr>
          <w:rFonts w:ascii="Cambria" w:eastAsia="Times New Roman" w:hAnsi="Cambria" w:cs="Times New Roman"/>
        </w:rPr>
        <w:t>s</w:t>
      </w:r>
      <w:r w:rsidRPr="009A0DA6">
        <w:rPr>
          <w:rFonts w:ascii="Cambria" w:eastAsia="Times New Roman" w:hAnsi="Cambria" w:cs="Times New Roman"/>
          <w:spacing w:val="-7"/>
        </w:rPr>
        <w:t xml:space="preserve"> </w:t>
      </w:r>
      <w:r w:rsidRPr="009A0DA6">
        <w:rPr>
          <w:rFonts w:ascii="Cambria" w:eastAsia="Times New Roman" w:hAnsi="Cambria" w:cs="Times New Roman"/>
        </w:rPr>
        <w:t>a</w:t>
      </w:r>
      <w:r w:rsidRPr="009A0DA6">
        <w:rPr>
          <w:rFonts w:ascii="Cambria" w:eastAsia="Times New Roman" w:hAnsi="Cambria" w:cs="Times New Roman"/>
          <w:spacing w:val="-1"/>
        </w:rPr>
        <w:t>n</w:t>
      </w:r>
      <w:r w:rsidRPr="009A0DA6">
        <w:rPr>
          <w:rFonts w:ascii="Cambria" w:eastAsia="Times New Roman" w:hAnsi="Cambria" w:cs="Times New Roman"/>
        </w:rPr>
        <w:t>d</w:t>
      </w:r>
      <w:r w:rsidRPr="009A0DA6">
        <w:rPr>
          <w:rFonts w:ascii="Cambria" w:eastAsia="Times New Roman" w:hAnsi="Cambria" w:cs="Times New Roman"/>
          <w:spacing w:val="-2"/>
        </w:rPr>
        <w:t xml:space="preserve"> </w:t>
      </w:r>
      <w:r w:rsidRPr="009A0DA6">
        <w:rPr>
          <w:rFonts w:ascii="Cambria" w:eastAsia="Times New Roman" w:hAnsi="Cambria" w:cs="Times New Roman"/>
        </w:rPr>
        <w:t>e</w:t>
      </w:r>
      <w:r w:rsidRPr="009A0DA6">
        <w:rPr>
          <w:rFonts w:ascii="Cambria" w:eastAsia="Times New Roman" w:hAnsi="Cambria" w:cs="Times New Roman"/>
          <w:spacing w:val="-3"/>
        </w:rPr>
        <w:t>m</w:t>
      </w:r>
      <w:r w:rsidRPr="009A0DA6">
        <w:rPr>
          <w:rFonts w:ascii="Cambria" w:eastAsia="Times New Roman" w:hAnsi="Cambria" w:cs="Times New Roman"/>
          <w:spacing w:val="1"/>
        </w:rPr>
        <w:t>p</w:t>
      </w:r>
      <w:r w:rsidRPr="009A0DA6">
        <w:rPr>
          <w:rFonts w:ascii="Cambria" w:eastAsia="Times New Roman" w:hAnsi="Cambria" w:cs="Times New Roman"/>
        </w:rPr>
        <w:t>l</w:t>
      </w:r>
      <w:r w:rsidRPr="009A0DA6">
        <w:rPr>
          <w:rFonts w:ascii="Cambria" w:eastAsia="Times New Roman" w:hAnsi="Cambria" w:cs="Times New Roman"/>
          <w:spacing w:val="1"/>
        </w:rPr>
        <w:t>o</w:t>
      </w:r>
      <w:r w:rsidRPr="009A0DA6">
        <w:rPr>
          <w:rFonts w:ascii="Cambria" w:eastAsia="Times New Roman" w:hAnsi="Cambria" w:cs="Times New Roman"/>
          <w:spacing w:val="-4"/>
        </w:rPr>
        <w:t>y</w:t>
      </w:r>
      <w:r w:rsidRPr="009A0DA6">
        <w:rPr>
          <w:rFonts w:ascii="Cambria" w:eastAsia="Times New Roman" w:hAnsi="Cambria" w:cs="Times New Roman"/>
        </w:rPr>
        <w:t>e</w:t>
      </w:r>
      <w:r w:rsidRPr="009A0DA6">
        <w:rPr>
          <w:rFonts w:ascii="Cambria" w:eastAsia="Times New Roman" w:hAnsi="Cambria" w:cs="Times New Roman"/>
          <w:spacing w:val="1"/>
        </w:rPr>
        <w:t>e</w:t>
      </w:r>
      <w:r w:rsidRPr="009A0DA6">
        <w:rPr>
          <w:rFonts w:ascii="Cambria" w:eastAsia="Times New Roman" w:hAnsi="Cambria" w:cs="Times New Roman"/>
        </w:rPr>
        <w:t>s</w:t>
      </w:r>
      <w:r w:rsidRPr="009A0DA6">
        <w:rPr>
          <w:rFonts w:ascii="Cambria" w:eastAsia="Times New Roman" w:hAnsi="Cambria" w:cs="Times New Roman"/>
        </w:rPr>
        <w:tab/>
      </w:r>
      <w:r w:rsidRPr="009A0DA6">
        <w:rPr>
          <w:rFonts w:ascii="Cambria" w:eastAsia="Times New Roman" w:hAnsi="Cambria" w:cs="Times New Roman"/>
          <w:spacing w:val="1"/>
        </w:rPr>
        <w:t>(701</w:t>
      </w:r>
      <w:r w:rsidRPr="009A0DA6">
        <w:rPr>
          <w:rFonts w:ascii="Cambria" w:eastAsia="Times New Roman" w:hAnsi="Cambria" w:cs="Times New Roman"/>
        </w:rPr>
        <w:t>,</w:t>
      </w:r>
      <w:r w:rsidRPr="009A0DA6">
        <w:rPr>
          <w:rFonts w:ascii="Cambria" w:eastAsia="Times New Roman" w:hAnsi="Cambria" w:cs="Times New Roman"/>
          <w:spacing w:val="1"/>
        </w:rPr>
        <w:t>24</w:t>
      </w:r>
      <w:r w:rsidRPr="009A0DA6">
        <w:rPr>
          <w:rFonts w:ascii="Cambria" w:eastAsia="Times New Roman" w:hAnsi="Cambria" w:cs="Times New Roman"/>
          <w:spacing w:val="2"/>
        </w:rPr>
        <w:t>8</w:t>
      </w:r>
      <w:r w:rsidRPr="009A0DA6">
        <w:rPr>
          <w:rFonts w:ascii="Cambria" w:eastAsia="Times New Roman" w:hAnsi="Cambria" w:cs="Times New Roman"/>
        </w:rPr>
        <w:t>)</w:t>
      </w:r>
      <w:r w:rsidRPr="009A0DA6">
        <w:rPr>
          <w:rFonts w:ascii="Cambria" w:hAnsi="Cambria"/>
        </w:rPr>
        <w:tab/>
      </w:r>
      <w:r w:rsidRPr="009A0DA6">
        <w:rPr>
          <w:rFonts w:ascii="Cambria" w:eastAsia="Times New Roman" w:hAnsi="Cambria" w:cs="Times New Roman"/>
          <w:spacing w:val="1"/>
        </w:rPr>
        <w:t>(789</w:t>
      </w:r>
      <w:r w:rsidRPr="009A0DA6">
        <w:rPr>
          <w:rFonts w:ascii="Cambria" w:eastAsia="Times New Roman" w:hAnsi="Cambria" w:cs="Times New Roman"/>
        </w:rPr>
        <w:t>,</w:t>
      </w:r>
      <w:r w:rsidRPr="009A0DA6">
        <w:rPr>
          <w:rFonts w:ascii="Cambria" w:eastAsia="Times New Roman" w:hAnsi="Cambria" w:cs="Times New Roman"/>
          <w:spacing w:val="1"/>
        </w:rPr>
        <w:t>14</w:t>
      </w:r>
      <w:r w:rsidRPr="009A0DA6">
        <w:rPr>
          <w:rFonts w:ascii="Cambria" w:eastAsia="Times New Roman" w:hAnsi="Cambria" w:cs="Times New Roman"/>
          <w:spacing w:val="3"/>
        </w:rPr>
        <w:t>5</w:t>
      </w:r>
      <w:r w:rsidRPr="009A0DA6">
        <w:rPr>
          <w:rFonts w:ascii="Cambria" w:eastAsia="Times New Roman" w:hAnsi="Cambria" w:cs="Times New Roman"/>
        </w:rPr>
        <w:t>)</w:t>
      </w:r>
      <w:r w:rsidRPr="009A0DA6">
        <w:rPr>
          <w:rFonts w:ascii="Cambria" w:eastAsia="Times New Roman" w:hAnsi="Cambria" w:cs="Times New Roman"/>
        </w:rPr>
        <w:tab/>
      </w:r>
    </w:p>
    <w:p w14:paraId="0B3B440B" w14:textId="77777777" w:rsidR="002E592D" w:rsidRPr="009A0DA6" w:rsidRDefault="002E592D" w:rsidP="002E592D">
      <w:pPr>
        <w:tabs>
          <w:tab w:val="right" w:pos="5954"/>
          <w:tab w:val="right" w:pos="7371"/>
          <w:tab w:val="right" w:pos="8789"/>
        </w:tabs>
        <w:spacing w:after="0" w:line="222" w:lineRule="exact"/>
        <w:ind w:right="-20"/>
        <w:rPr>
          <w:rFonts w:ascii="Cambria" w:eastAsia="Times New Roman" w:hAnsi="Cambria" w:cs="Times New Roman"/>
        </w:rPr>
      </w:pPr>
      <w:r w:rsidRPr="009A0DA6">
        <w:rPr>
          <w:rFonts w:ascii="Cambria" w:eastAsia="Times New Roman" w:hAnsi="Cambria" w:cs="Times New Roman"/>
        </w:rPr>
        <w:t>Ot</w:t>
      </w:r>
      <w:r w:rsidRPr="009A0DA6">
        <w:rPr>
          <w:rFonts w:ascii="Cambria" w:eastAsia="Times New Roman" w:hAnsi="Cambria" w:cs="Times New Roman"/>
          <w:spacing w:val="-1"/>
        </w:rPr>
        <w:t>h</w:t>
      </w:r>
      <w:r w:rsidRPr="009A0DA6">
        <w:rPr>
          <w:rFonts w:ascii="Cambria" w:eastAsia="Times New Roman" w:hAnsi="Cambria" w:cs="Times New Roman"/>
        </w:rPr>
        <w:t>er</w:t>
      </w:r>
      <w:r w:rsidRPr="009A0DA6">
        <w:rPr>
          <w:rFonts w:ascii="Cambria" w:eastAsia="Times New Roman" w:hAnsi="Cambria" w:cs="Times New Roman"/>
          <w:spacing w:val="-4"/>
        </w:rPr>
        <w:t xml:space="preserve"> </w:t>
      </w:r>
      <w:r w:rsidRPr="009A0DA6">
        <w:rPr>
          <w:rFonts w:ascii="Cambria" w:eastAsia="Times New Roman" w:hAnsi="Cambria" w:cs="Times New Roman"/>
          <w:spacing w:val="1"/>
        </w:rPr>
        <w:t>r</w:t>
      </w:r>
      <w:r w:rsidRPr="009A0DA6">
        <w:rPr>
          <w:rFonts w:ascii="Cambria" w:eastAsia="Times New Roman" w:hAnsi="Cambria" w:cs="Times New Roman"/>
        </w:rPr>
        <w:t>e</w:t>
      </w:r>
      <w:r w:rsidRPr="009A0DA6">
        <w:rPr>
          <w:rFonts w:ascii="Cambria" w:eastAsia="Times New Roman" w:hAnsi="Cambria" w:cs="Times New Roman"/>
          <w:spacing w:val="1"/>
        </w:rPr>
        <w:t>c</w:t>
      </w:r>
      <w:r w:rsidRPr="009A0DA6">
        <w:rPr>
          <w:rFonts w:ascii="Cambria" w:eastAsia="Times New Roman" w:hAnsi="Cambria" w:cs="Times New Roman"/>
        </w:rPr>
        <w:t>ei</w:t>
      </w:r>
      <w:r w:rsidRPr="009A0DA6">
        <w:rPr>
          <w:rFonts w:ascii="Cambria" w:eastAsia="Times New Roman" w:hAnsi="Cambria" w:cs="Times New Roman"/>
          <w:spacing w:val="1"/>
        </w:rPr>
        <w:t>p</w:t>
      </w:r>
      <w:r w:rsidRPr="009A0DA6">
        <w:rPr>
          <w:rFonts w:ascii="Cambria" w:eastAsia="Times New Roman" w:hAnsi="Cambria" w:cs="Times New Roman"/>
        </w:rPr>
        <w:t>ts</w:t>
      </w:r>
      <w:r w:rsidRPr="009A0DA6">
        <w:rPr>
          <w:rFonts w:ascii="Cambria" w:eastAsia="Times New Roman" w:hAnsi="Cambria" w:cs="Times New Roman"/>
        </w:rPr>
        <w:tab/>
      </w:r>
      <w:r w:rsidRPr="009A0DA6">
        <w:rPr>
          <w:rFonts w:ascii="Cambria" w:eastAsia="Times New Roman" w:hAnsi="Cambria" w:cs="Times New Roman"/>
          <w:spacing w:val="1"/>
        </w:rPr>
        <w:t>202</w:t>
      </w:r>
      <w:r w:rsidRPr="009A0DA6">
        <w:rPr>
          <w:rFonts w:ascii="Cambria" w:eastAsia="Times New Roman" w:hAnsi="Cambria" w:cs="Times New Roman"/>
        </w:rPr>
        <w:t>,</w:t>
      </w:r>
      <w:r w:rsidRPr="009A0DA6">
        <w:rPr>
          <w:rFonts w:ascii="Cambria" w:eastAsia="Times New Roman" w:hAnsi="Cambria" w:cs="Times New Roman"/>
          <w:spacing w:val="1"/>
        </w:rPr>
        <w:t>43</w:t>
      </w:r>
      <w:r w:rsidRPr="009A0DA6">
        <w:rPr>
          <w:rFonts w:ascii="Cambria" w:eastAsia="Times New Roman" w:hAnsi="Cambria" w:cs="Times New Roman"/>
        </w:rPr>
        <w:t>8</w:t>
      </w:r>
      <w:r w:rsidRPr="009A0DA6">
        <w:rPr>
          <w:rFonts w:ascii="Cambria" w:hAnsi="Cambria"/>
        </w:rPr>
        <w:tab/>
      </w:r>
      <w:r w:rsidRPr="009A0DA6">
        <w:rPr>
          <w:rFonts w:ascii="Cambria" w:eastAsia="Times New Roman" w:hAnsi="Cambria" w:cs="Times New Roman"/>
          <w:spacing w:val="1"/>
        </w:rPr>
        <w:t>309</w:t>
      </w:r>
      <w:r w:rsidRPr="009A0DA6">
        <w:rPr>
          <w:rFonts w:ascii="Cambria" w:eastAsia="Times New Roman" w:hAnsi="Cambria" w:cs="Times New Roman"/>
        </w:rPr>
        <w:t>,</w:t>
      </w:r>
      <w:r w:rsidRPr="009A0DA6">
        <w:rPr>
          <w:rFonts w:ascii="Cambria" w:eastAsia="Times New Roman" w:hAnsi="Cambria" w:cs="Times New Roman"/>
          <w:spacing w:val="1"/>
        </w:rPr>
        <w:t>02</w:t>
      </w:r>
      <w:r w:rsidRPr="009A0DA6">
        <w:rPr>
          <w:rFonts w:ascii="Cambria" w:eastAsia="Times New Roman" w:hAnsi="Cambria" w:cs="Times New Roman"/>
        </w:rPr>
        <w:t>9</w:t>
      </w:r>
      <w:r w:rsidRPr="009A0DA6">
        <w:rPr>
          <w:rFonts w:ascii="Cambria" w:eastAsia="Times New Roman" w:hAnsi="Cambria" w:cs="Times New Roman"/>
        </w:rPr>
        <w:tab/>
      </w:r>
    </w:p>
    <w:p w14:paraId="7BAE0AEC" w14:textId="77777777" w:rsidR="002E592D" w:rsidRPr="009A0DA6" w:rsidRDefault="002E592D" w:rsidP="002E592D">
      <w:pPr>
        <w:tabs>
          <w:tab w:val="right" w:pos="5954"/>
          <w:tab w:val="right" w:pos="7371"/>
          <w:tab w:val="right" w:pos="8789"/>
        </w:tabs>
        <w:spacing w:after="0" w:line="222" w:lineRule="exact"/>
        <w:ind w:right="-20"/>
        <w:rPr>
          <w:rFonts w:ascii="Cambria" w:eastAsia="Times New Roman" w:hAnsi="Cambria" w:cs="Times New Roman"/>
          <w:b/>
          <w:bCs/>
          <w:position w:val="-1"/>
        </w:rPr>
      </w:pPr>
      <w:r w:rsidRPr="009A0DA6">
        <w:rPr>
          <w:rFonts w:ascii="Cambria" w:eastAsia="Times New Roman" w:hAnsi="Cambria" w:cs="Times New Roman"/>
          <w:b/>
          <w:bCs/>
          <w:position w:val="-1"/>
        </w:rPr>
        <w:lastRenderedPageBreak/>
        <w:t>Net</w:t>
      </w:r>
      <w:r w:rsidRPr="009A0DA6">
        <w:rPr>
          <w:rFonts w:ascii="Cambria" w:eastAsia="Times New Roman" w:hAnsi="Cambria" w:cs="Times New Roman"/>
          <w:b/>
          <w:bCs/>
          <w:spacing w:val="-1"/>
          <w:position w:val="-1"/>
        </w:rPr>
        <w:t xml:space="preserve"> </w:t>
      </w:r>
      <w:r w:rsidRPr="009A0DA6">
        <w:rPr>
          <w:rFonts w:ascii="Cambria" w:eastAsia="Times New Roman" w:hAnsi="Cambria" w:cs="Times New Roman"/>
          <w:b/>
          <w:bCs/>
          <w:position w:val="-1"/>
        </w:rPr>
        <w:t>c</w:t>
      </w:r>
      <w:r w:rsidRPr="009A0DA6">
        <w:rPr>
          <w:rFonts w:ascii="Cambria" w:eastAsia="Times New Roman" w:hAnsi="Cambria" w:cs="Times New Roman"/>
          <w:b/>
          <w:bCs/>
          <w:spacing w:val="1"/>
          <w:position w:val="-1"/>
        </w:rPr>
        <w:t>a</w:t>
      </w:r>
      <w:r w:rsidRPr="009A0DA6">
        <w:rPr>
          <w:rFonts w:ascii="Cambria" w:eastAsia="Times New Roman" w:hAnsi="Cambria" w:cs="Times New Roman"/>
          <w:b/>
          <w:bCs/>
          <w:spacing w:val="-1"/>
          <w:position w:val="-1"/>
        </w:rPr>
        <w:t>s</w:t>
      </w:r>
      <w:r w:rsidRPr="009A0DA6">
        <w:rPr>
          <w:rFonts w:ascii="Cambria" w:eastAsia="Times New Roman" w:hAnsi="Cambria" w:cs="Times New Roman"/>
          <w:b/>
          <w:bCs/>
          <w:position w:val="-1"/>
        </w:rPr>
        <w:t>h</w:t>
      </w:r>
      <w:r w:rsidRPr="009A0DA6">
        <w:rPr>
          <w:rFonts w:ascii="Cambria" w:eastAsia="Times New Roman" w:hAnsi="Cambria" w:cs="Times New Roman"/>
          <w:b/>
          <w:bCs/>
          <w:spacing w:val="-4"/>
          <w:position w:val="-1"/>
        </w:rPr>
        <w:t xml:space="preserve"> </w:t>
      </w:r>
      <w:r w:rsidRPr="009A0DA6">
        <w:rPr>
          <w:rFonts w:ascii="Cambria" w:eastAsia="Times New Roman" w:hAnsi="Cambria" w:cs="Times New Roman"/>
          <w:b/>
          <w:bCs/>
          <w:position w:val="-1"/>
        </w:rPr>
        <w:t>pr</w:t>
      </w:r>
      <w:r w:rsidRPr="009A0DA6">
        <w:rPr>
          <w:rFonts w:ascii="Cambria" w:eastAsia="Times New Roman" w:hAnsi="Cambria" w:cs="Times New Roman"/>
          <w:b/>
          <w:bCs/>
          <w:spacing w:val="1"/>
          <w:position w:val="-1"/>
        </w:rPr>
        <w:t>ov</w:t>
      </w:r>
      <w:r w:rsidRPr="009A0DA6">
        <w:rPr>
          <w:rFonts w:ascii="Cambria" w:eastAsia="Times New Roman" w:hAnsi="Cambria" w:cs="Times New Roman"/>
          <w:b/>
          <w:bCs/>
          <w:position w:val="-1"/>
        </w:rPr>
        <w:t>ided</w:t>
      </w:r>
      <w:r w:rsidRPr="009A0DA6">
        <w:rPr>
          <w:rFonts w:ascii="Cambria" w:eastAsia="Times New Roman" w:hAnsi="Cambria" w:cs="Times New Roman"/>
          <w:b/>
          <w:bCs/>
          <w:spacing w:val="-8"/>
          <w:position w:val="-1"/>
        </w:rPr>
        <w:t xml:space="preserve"> </w:t>
      </w:r>
      <w:r w:rsidRPr="009A0DA6">
        <w:rPr>
          <w:rFonts w:ascii="Cambria" w:eastAsia="Times New Roman" w:hAnsi="Cambria" w:cs="Times New Roman"/>
          <w:b/>
          <w:bCs/>
          <w:position w:val="-1"/>
        </w:rPr>
        <w:t xml:space="preserve">by </w:t>
      </w:r>
      <w:r w:rsidRPr="009A0DA6">
        <w:rPr>
          <w:rFonts w:ascii="Cambria" w:eastAsia="Times New Roman" w:hAnsi="Cambria" w:cs="Times New Roman"/>
          <w:b/>
          <w:bCs/>
          <w:spacing w:val="1"/>
          <w:position w:val="-1"/>
        </w:rPr>
        <w:t>(</w:t>
      </w:r>
      <w:r w:rsidRPr="009A0DA6">
        <w:rPr>
          <w:rFonts w:ascii="Cambria" w:eastAsia="Times New Roman" w:hAnsi="Cambria" w:cs="Times New Roman"/>
          <w:b/>
          <w:bCs/>
          <w:position w:val="-1"/>
        </w:rPr>
        <w:t>u</w:t>
      </w:r>
      <w:r w:rsidRPr="009A0DA6">
        <w:rPr>
          <w:rFonts w:ascii="Cambria" w:eastAsia="Times New Roman" w:hAnsi="Cambria" w:cs="Times New Roman"/>
          <w:b/>
          <w:bCs/>
          <w:spacing w:val="-1"/>
          <w:position w:val="-1"/>
        </w:rPr>
        <w:t>s</w:t>
      </w:r>
      <w:r w:rsidRPr="009A0DA6">
        <w:rPr>
          <w:rFonts w:ascii="Cambria" w:eastAsia="Times New Roman" w:hAnsi="Cambria" w:cs="Times New Roman"/>
          <w:b/>
          <w:bCs/>
          <w:position w:val="-1"/>
        </w:rPr>
        <w:t>ed</w:t>
      </w:r>
      <w:r w:rsidRPr="009A0DA6">
        <w:rPr>
          <w:rFonts w:ascii="Cambria" w:eastAsia="Times New Roman" w:hAnsi="Cambria" w:cs="Times New Roman"/>
          <w:b/>
          <w:bCs/>
          <w:spacing w:val="-5"/>
          <w:position w:val="-1"/>
        </w:rPr>
        <w:t xml:space="preserve"> </w:t>
      </w:r>
      <w:r w:rsidRPr="009A0DA6">
        <w:rPr>
          <w:rFonts w:ascii="Cambria" w:eastAsia="Times New Roman" w:hAnsi="Cambria" w:cs="Times New Roman"/>
          <w:b/>
          <w:bCs/>
          <w:position w:val="-1"/>
        </w:rPr>
        <w:t xml:space="preserve">in) </w:t>
      </w:r>
      <w:r w:rsidRPr="009A0DA6">
        <w:rPr>
          <w:rFonts w:ascii="Cambria" w:eastAsia="Times New Roman" w:hAnsi="Cambria" w:cs="Times New Roman"/>
          <w:b/>
          <w:bCs/>
          <w:spacing w:val="1"/>
          <w:position w:val="-1"/>
        </w:rPr>
        <w:t>o</w:t>
      </w:r>
      <w:r w:rsidRPr="009A0DA6">
        <w:rPr>
          <w:rFonts w:ascii="Cambria" w:eastAsia="Times New Roman" w:hAnsi="Cambria" w:cs="Times New Roman"/>
          <w:b/>
          <w:bCs/>
          <w:position w:val="-1"/>
        </w:rPr>
        <w:t>per</w:t>
      </w:r>
      <w:r w:rsidRPr="009A0DA6">
        <w:rPr>
          <w:rFonts w:ascii="Cambria" w:eastAsia="Times New Roman" w:hAnsi="Cambria" w:cs="Times New Roman"/>
          <w:b/>
          <w:bCs/>
          <w:spacing w:val="1"/>
          <w:position w:val="-1"/>
        </w:rPr>
        <w:t>at</w:t>
      </w:r>
      <w:r w:rsidRPr="009A0DA6">
        <w:rPr>
          <w:rFonts w:ascii="Cambria" w:eastAsia="Times New Roman" w:hAnsi="Cambria" w:cs="Times New Roman"/>
          <w:b/>
          <w:bCs/>
          <w:position w:val="-1"/>
        </w:rPr>
        <w:t>ing</w:t>
      </w:r>
      <w:r w:rsidRPr="009A0DA6">
        <w:rPr>
          <w:rFonts w:ascii="Cambria" w:eastAsia="Times New Roman" w:hAnsi="Cambria" w:cs="Times New Roman"/>
          <w:b/>
          <w:bCs/>
          <w:spacing w:val="-7"/>
          <w:position w:val="-1"/>
        </w:rPr>
        <w:t xml:space="preserve"> </w:t>
      </w:r>
      <w:r w:rsidRPr="009A0DA6">
        <w:rPr>
          <w:rFonts w:ascii="Cambria" w:eastAsia="Times New Roman" w:hAnsi="Cambria" w:cs="Times New Roman"/>
          <w:b/>
          <w:bCs/>
          <w:spacing w:val="1"/>
          <w:position w:val="-1"/>
        </w:rPr>
        <w:t>a</w:t>
      </w:r>
      <w:r w:rsidRPr="009A0DA6">
        <w:rPr>
          <w:rFonts w:ascii="Cambria" w:eastAsia="Times New Roman" w:hAnsi="Cambria" w:cs="Times New Roman"/>
          <w:b/>
          <w:bCs/>
          <w:position w:val="-1"/>
        </w:rPr>
        <w:t>c</w:t>
      </w:r>
      <w:r w:rsidRPr="009A0DA6">
        <w:rPr>
          <w:rFonts w:ascii="Cambria" w:eastAsia="Times New Roman" w:hAnsi="Cambria" w:cs="Times New Roman"/>
          <w:b/>
          <w:bCs/>
          <w:spacing w:val="1"/>
          <w:position w:val="-1"/>
        </w:rPr>
        <w:t>t</w:t>
      </w:r>
      <w:r w:rsidRPr="009A0DA6">
        <w:rPr>
          <w:rFonts w:ascii="Cambria" w:eastAsia="Times New Roman" w:hAnsi="Cambria" w:cs="Times New Roman"/>
          <w:b/>
          <w:bCs/>
          <w:position w:val="-1"/>
        </w:rPr>
        <w:t>i</w:t>
      </w:r>
      <w:r w:rsidRPr="009A0DA6">
        <w:rPr>
          <w:rFonts w:ascii="Cambria" w:eastAsia="Times New Roman" w:hAnsi="Cambria" w:cs="Times New Roman"/>
          <w:b/>
          <w:bCs/>
          <w:spacing w:val="1"/>
          <w:position w:val="-1"/>
        </w:rPr>
        <w:t>v</w:t>
      </w:r>
      <w:r w:rsidRPr="009A0DA6">
        <w:rPr>
          <w:rFonts w:ascii="Cambria" w:eastAsia="Times New Roman" w:hAnsi="Cambria" w:cs="Times New Roman"/>
          <w:b/>
          <w:bCs/>
          <w:position w:val="-1"/>
        </w:rPr>
        <w:t>ities</w:t>
      </w:r>
      <w:r w:rsidRPr="009A0DA6">
        <w:rPr>
          <w:rFonts w:ascii="Cambria" w:eastAsia="Times New Roman" w:hAnsi="Cambria" w:cs="Times New Roman"/>
          <w:b/>
          <w:bCs/>
          <w:position w:val="-1"/>
        </w:rPr>
        <w:tab/>
      </w:r>
      <w:r w:rsidRPr="009A0DA6">
        <w:rPr>
          <w:rFonts w:ascii="Cambria" w:eastAsia="Times New Roman" w:hAnsi="Cambria" w:cs="Times New Roman"/>
          <w:b/>
          <w:bCs/>
          <w:spacing w:val="1"/>
          <w:position w:val="-1"/>
        </w:rPr>
        <w:t>21</w:t>
      </w:r>
      <w:r w:rsidRPr="009A0DA6">
        <w:rPr>
          <w:rFonts w:ascii="Cambria" w:eastAsia="Times New Roman" w:hAnsi="Cambria" w:cs="Times New Roman"/>
          <w:b/>
          <w:bCs/>
          <w:position w:val="-1"/>
        </w:rPr>
        <w:t>,</w:t>
      </w:r>
      <w:r w:rsidRPr="009A0DA6">
        <w:rPr>
          <w:rFonts w:ascii="Cambria" w:eastAsia="Times New Roman" w:hAnsi="Cambria" w:cs="Times New Roman"/>
          <w:b/>
          <w:bCs/>
          <w:spacing w:val="1"/>
          <w:position w:val="-1"/>
        </w:rPr>
        <w:t>04</w:t>
      </w:r>
      <w:r w:rsidRPr="009A0DA6">
        <w:rPr>
          <w:rFonts w:ascii="Cambria" w:eastAsia="Times New Roman" w:hAnsi="Cambria" w:cs="Times New Roman"/>
          <w:b/>
          <w:bCs/>
          <w:position w:val="-1"/>
        </w:rPr>
        <w:t>4</w:t>
      </w:r>
      <w:r w:rsidRPr="009A0DA6">
        <w:rPr>
          <w:rFonts w:ascii="Cambria" w:eastAsia="Times New Roman" w:hAnsi="Cambria" w:cs="Times New Roman"/>
          <w:b/>
          <w:bCs/>
          <w:position w:val="-1"/>
        </w:rPr>
        <w:tab/>
      </w:r>
      <w:r w:rsidRPr="009A0DA6">
        <w:rPr>
          <w:rFonts w:ascii="Cambria" w:eastAsia="Times New Roman" w:hAnsi="Cambria" w:cs="Times New Roman"/>
          <w:b/>
          <w:bCs/>
          <w:spacing w:val="1"/>
          <w:position w:val="-1"/>
        </w:rPr>
        <w:t>(4</w:t>
      </w:r>
      <w:r w:rsidRPr="009A0DA6">
        <w:rPr>
          <w:rFonts w:ascii="Cambria" w:eastAsia="Times New Roman" w:hAnsi="Cambria" w:cs="Times New Roman"/>
          <w:b/>
          <w:bCs/>
          <w:position w:val="-1"/>
        </w:rPr>
        <w:t>,</w:t>
      </w:r>
      <w:r w:rsidRPr="009A0DA6">
        <w:rPr>
          <w:rFonts w:ascii="Cambria" w:eastAsia="Times New Roman" w:hAnsi="Cambria" w:cs="Times New Roman"/>
          <w:b/>
          <w:bCs/>
          <w:spacing w:val="1"/>
          <w:position w:val="-1"/>
        </w:rPr>
        <w:t>978</w:t>
      </w:r>
      <w:r w:rsidRPr="009A0DA6">
        <w:rPr>
          <w:rFonts w:ascii="Cambria" w:eastAsia="Times New Roman" w:hAnsi="Cambria" w:cs="Times New Roman"/>
          <w:b/>
          <w:bCs/>
          <w:position w:val="-1"/>
        </w:rPr>
        <w:t>)</w:t>
      </w:r>
      <w:r w:rsidRPr="009A0DA6">
        <w:rPr>
          <w:rFonts w:ascii="Cambria" w:eastAsia="Times New Roman" w:hAnsi="Cambria" w:cs="Times New Roman"/>
          <w:b/>
          <w:bCs/>
          <w:position w:val="-1"/>
        </w:rPr>
        <w:tab/>
      </w:r>
    </w:p>
    <w:p w14:paraId="5EE5F106" w14:textId="77777777" w:rsidR="002E592D" w:rsidRPr="009A0DA6" w:rsidRDefault="002E592D" w:rsidP="002E592D">
      <w:pPr>
        <w:tabs>
          <w:tab w:val="right" w:pos="5954"/>
          <w:tab w:val="right" w:pos="7371"/>
          <w:tab w:val="right" w:pos="8789"/>
        </w:tabs>
        <w:spacing w:after="0" w:line="222" w:lineRule="exact"/>
        <w:ind w:right="-20"/>
        <w:rPr>
          <w:rFonts w:ascii="Cambria" w:eastAsia="Times New Roman" w:hAnsi="Cambria" w:cs="Times New Roman"/>
          <w:b/>
          <w:bCs/>
          <w:position w:val="-1"/>
        </w:rPr>
      </w:pPr>
    </w:p>
    <w:p w14:paraId="365C6599" w14:textId="77777777" w:rsidR="002E592D" w:rsidRPr="009A0DA6" w:rsidRDefault="002E592D" w:rsidP="002E592D">
      <w:pPr>
        <w:tabs>
          <w:tab w:val="right" w:pos="5954"/>
          <w:tab w:val="right" w:pos="7371"/>
          <w:tab w:val="right" w:pos="8789"/>
        </w:tabs>
        <w:spacing w:after="0" w:line="222" w:lineRule="exact"/>
        <w:ind w:right="-20"/>
        <w:rPr>
          <w:rFonts w:ascii="Cambria" w:eastAsia="Times New Roman" w:hAnsi="Cambria" w:cs="Times New Roman"/>
          <w:b/>
          <w:bCs/>
          <w:spacing w:val="-1"/>
          <w:position w:val="-1"/>
        </w:rPr>
      </w:pPr>
      <w:r w:rsidRPr="009A0DA6">
        <w:rPr>
          <w:rFonts w:ascii="Cambria" w:eastAsia="Times New Roman" w:hAnsi="Cambria" w:cs="Times New Roman"/>
          <w:b/>
          <w:bCs/>
          <w:position w:val="-1"/>
        </w:rPr>
        <w:t>CASH</w:t>
      </w:r>
      <w:r w:rsidRPr="009A0DA6">
        <w:rPr>
          <w:rFonts w:ascii="Cambria" w:eastAsia="Times New Roman" w:hAnsi="Cambria" w:cs="Times New Roman"/>
          <w:b/>
          <w:bCs/>
          <w:spacing w:val="-5"/>
          <w:position w:val="-1"/>
        </w:rPr>
        <w:t xml:space="preserve"> </w:t>
      </w:r>
      <w:r w:rsidRPr="009A0DA6">
        <w:rPr>
          <w:rFonts w:ascii="Cambria" w:eastAsia="Times New Roman" w:hAnsi="Cambria" w:cs="Times New Roman"/>
          <w:b/>
          <w:bCs/>
          <w:position w:val="-1"/>
        </w:rPr>
        <w:t>F</w:t>
      </w:r>
      <w:r w:rsidRPr="009A0DA6">
        <w:rPr>
          <w:rFonts w:ascii="Cambria" w:eastAsia="Times New Roman" w:hAnsi="Cambria" w:cs="Times New Roman"/>
          <w:b/>
          <w:bCs/>
          <w:spacing w:val="-1"/>
          <w:position w:val="-1"/>
        </w:rPr>
        <w:t>L</w:t>
      </w:r>
      <w:r w:rsidRPr="009A0DA6">
        <w:rPr>
          <w:rFonts w:ascii="Cambria" w:eastAsia="Times New Roman" w:hAnsi="Cambria" w:cs="Times New Roman"/>
          <w:b/>
          <w:bCs/>
          <w:spacing w:val="1"/>
          <w:position w:val="-1"/>
        </w:rPr>
        <w:t>O</w:t>
      </w:r>
      <w:r w:rsidRPr="009A0DA6">
        <w:rPr>
          <w:rFonts w:ascii="Cambria" w:eastAsia="Times New Roman" w:hAnsi="Cambria" w:cs="Times New Roman"/>
          <w:b/>
          <w:bCs/>
          <w:position w:val="-1"/>
        </w:rPr>
        <w:t>W</w:t>
      </w:r>
      <w:r w:rsidRPr="009A0DA6">
        <w:rPr>
          <w:rFonts w:ascii="Cambria" w:eastAsia="Times New Roman" w:hAnsi="Cambria" w:cs="Times New Roman"/>
          <w:b/>
          <w:bCs/>
          <w:spacing w:val="-6"/>
          <w:position w:val="-1"/>
        </w:rPr>
        <w:t xml:space="preserve"> </w:t>
      </w:r>
      <w:r w:rsidRPr="009A0DA6">
        <w:rPr>
          <w:rFonts w:ascii="Cambria" w:eastAsia="Times New Roman" w:hAnsi="Cambria" w:cs="Times New Roman"/>
          <w:b/>
          <w:bCs/>
          <w:position w:val="-1"/>
        </w:rPr>
        <w:t>FR</w:t>
      </w:r>
      <w:r w:rsidRPr="009A0DA6">
        <w:rPr>
          <w:rFonts w:ascii="Cambria" w:eastAsia="Times New Roman" w:hAnsi="Cambria" w:cs="Times New Roman"/>
          <w:b/>
          <w:bCs/>
          <w:spacing w:val="1"/>
          <w:position w:val="-1"/>
        </w:rPr>
        <w:t>O</w:t>
      </w:r>
      <w:r w:rsidRPr="009A0DA6">
        <w:rPr>
          <w:rFonts w:ascii="Cambria" w:eastAsia="Times New Roman" w:hAnsi="Cambria" w:cs="Times New Roman"/>
          <w:b/>
          <w:bCs/>
          <w:position w:val="-1"/>
        </w:rPr>
        <w:t>M</w:t>
      </w:r>
      <w:r w:rsidRPr="009A0DA6">
        <w:rPr>
          <w:rFonts w:ascii="Cambria" w:eastAsia="Times New Roman" w:hAnsi="Cambria" w:cs="Times New Roman"/>
          <w:b/>
          <w:bCs/>
          <w:spacing w:val="-2"/>
          <w:position w:val="-1"/>
        </w:rPr>
        <w:t xml:space="preserve"> </w:t>
      </w:r>
      <w:r w:rsidRPr="009A0DA6">
        <w:rPr>
          <w:rFonts w:ascii="Cambria" w:eastAsia="Times New Roman" w:hAnsi="Cambria" w:cs="Times New Roman"/>
          <w:b/>
          <w:bCs/>
          <w:spacing w:val="-1"/>
          <w:position w:val="-1"/>
        </w:rPr>
        <w:t>I</w:t>
      </w:r>
      <w:r w:rsidRPr="009A0DA6">
        <w:rPr>
          <w:rFonts w:ascii="Cambria" w:eastAsia="Times New Roman" w:hAnsi="Cambria" w:cs="Times New Roman"/>
          <w:b/>
          <w:bCs/>
          <w:position w:val="-1"/>
        </w:rPr>
        <w:t>NVE</w:t>
      </w:r>
      <w:r w:rsidRPr="009A0DA6">
        <w:rPr>
          <w:rFonts w:ascii="Cambria" w:eastAsia="Times New Roman" w:hAnsi="Cambria" w:cs="Times New Roman"/>
          <w:b/>
          <w:bCs/>
          <w:spacing w:val="-1"/>
          <w:position w:val="-1"/>
        </w:rPr>
        <w:t>STI</w:t>
      </w:r>
      <w:r w:rsidRPr="009A0DA6">
        <w:rPr>
          <w:rFonts w:ascii="Cambria" w:eastAsia="Times New Roman" w:hAnsi="Cambria" w:cs="Times New Roman"/>
          <w:b/>
          <w:bCs/>
          <w:position w:val="-1"/>
        </w:rPr>
        <w:t>NG</w:t>
      </w:r>
      <w:r w:rsidRPr="009A0DA6">
        <w:rPr>
          <w:rFonts w:ascii="Cambria" w:eastAsia="Times New Roman" w:hAnsi="Cambria" w:cs="Times New Roman"/>
          <w:b/>
          <w:bCs/>
          <w:spacing w:val="-12"/>
          <w:position w:val="-1"/>
        </w:rPr>
        <w:t xml:space="preserve"> </w:t>
      </w:r>
      <w:r w:rsidRPr="009A0DA6">
        <w:rPr>
          <w:rFonts w:ascii="Cambria" w:eastAsia="Times New Roman" w:hAnsi="Cambria" w:cs="Times New Roman"/>
          <w:b/>
          <w:bCs/>
          <w:position w:val="-1"/>
        </w:rPr>
        <w:t>ACT</w:t>
      </w:r>
      <w:r w:rsidRPr="009A0DA6">
        <w:rPr>
          <w:rFonts w:ascii="Cambria" w:eastAsia="Times New Roman" w:hAnsi="Cambria" w:cs="Times New Roman"/>
          <w:b/>
          <w:bCs/>
          <w:spacing w:val="-1"/>
          <w:position w:val="-1"/>
        </w:rPr>
        <w:t>I</w:t>
      </w:r>
      <w:r w:rsidRPr="009A0DA6">
        <w:rPr>
          <w:rFonts w:ascii="Cambria" w:eastAsia="Times New Roman" w:hAnsi="Cambria" w:cs="Times New Roman"/>
          <w:b/>
          <w:bCs/>
          <w:position w:val="-1"/>
        </w:rPr>
        <w:t>VI</w:t>
      </w:r>
      <w:r w:rsidRPr="009A0DA6">
        <w:rPr>
          <w:rFonts w:ascii="Cambria" w:eastAsia="Times New Roman" w:hAnsi="Cambria" w:cs="Times New Roman"/>
          <w:b/>
          <w:bCs/>
          <w:spacing w:val="-1"/>
          <w:position w:val="-1"/>
        </w:rPr>
        <w:t>TIES</w:t>
      </w:r>
    </w:p>
    <w:p w14:paraId="11B26013" w14:textId="6EA51B18" w:rsidR="002E592D" w:rsidRPr="009A0DA6" w:rsidRDefault="002E592D" w:rsidP="002E592D">
      <w:pPr>
        <w:tabs>
          <w:tab w:val="right" w:pos="5954"/>
          <w:tab w:val="right" w:pos="7371"/>
          <w:tab w:val="right" w:pos="8789"/>
        </w:tabs>
        <w:spacing w:after="0" w:line="222" w:lineRule="exact"/>
        <w:ind w:right="-20"/>
        <w:rPr>
          <w:rFonts w:ascii="Cambria" w:eastAsia="Times New Roman" w:hAnsi="Cambria" w:cs="Times New Roman"/>
          <w:b/>
          <w:bCs/>
          <w:position w:val="-1"/>
        </w:rPr>
      </w:pPr>
      <w:r w:rsidRPr="009A0DA6">
        <w:rPr>
          <w:rFonts w:ascii="Cambria" w:eastAsia="Times New Roman" w:hAnsi="Cambria" w:cs="Times New Roman"/>
          <w:b/>
          <w:bCs/>
          <w:position w:val="-1"/>
        </w:rPr>
        <w:t>Net</w:t>
      </w:r>
      <w:r w:rsidRPr="009A0DA6">
        <w:rPr>
          <w:rFonts w:ascii="Cambria" w:eastAsia="Times New Roman" w:hAnsi="Cambria" w:cs="Times New Roman"/>
          <w:b/>
          <w:bCs/>
          <w:spacing w:val="-2"/>
          <w:position w:val="-1"/>
        </w:rPr>
        <w:t xml:space="preserve"> </w:t>
      </w:r>
      <w:r w:rsidRPr="009A0DA6">
        <w:rPr>
          <w:rFonts w:ascii="Cambria" w:eastAsia="Times New Roman" w:hAnsi="Cambria" w:cs="Times New Roman"/>
          <w:b/>
          <w:bCs/>
          <w:position w:val="-1"/>
        </w:rPr>
        <w:t>c</w:t>
      </w:r>
      <w:r w:rsidRPr="009A0DA6">
        <w:rPr>
          <w:rFonts w:ascii="Cambria" w:eastAsia="Times New Roman" w:hAnsi="Cambria" w:cs="Times New Roman"/>
          <w:b/>
          <w:bCs/>
          <w:spacing w:val="1"/>
          <w:position w:val="-1"/>
        </w:rPr>
        <w:t>a</w:t>
      </w:r>
      <w:r w:rsidRPr="009A0DA6">
        <w:rPr>
          <w:rFonts w:ascii="Cambria" w:eastAsia="Times New Roman" w:hAnsi="Cambria" w:cs="Times New Roman"/>
          <w:b/>
          <w:bCs/>
          <w:spacing w:val="-1"/>
          <w:position w:val="-1"/>
        </w:rPr>
        <w:t>s</w:t>
      </w:r>
      <w:r w:rsidRPr="009A0DA6">
        <w:rPr>
          <w:rFonts w:ascii="Cambria" w:eastAsia="Times New Roman" w:hAnsi="Cambria" w:cs="Times New Roman"/>
          <w:b/>
          <w:bCs/>
          <w:position w:val="-1"/>
        </w:rPr>
        <w:t>h</w:t>
      </w:r>
      <w:r w:rsidRPr="009A0DA6">
        <w:rPr>
          <w:rFonts w:ascii="Cambria" w:eastAsia="Times New Roman" w:hAnsi="Cambria" w:cs="Times New Roman"/>
          <w:b/>
          <w:bCs/>
          <w:spacing w:val="-4"/>
          <w:position w:val="-1"/>
        </w:rPr>
        <w:t xml:space="preserve"> </w:t>
      </w:r>
      <w:r w:rsidRPr="009A0DA6">
        <w:rPr>
          <w:rFonts w:ascii="Cambria" w:eastAsia="Times New Roman" w:hAnsi="Cambria" w:cs="Times New Roman"/>
          <w:b/>
          <w:bCs/>
          <w:position w:val="-1"/>
        </w:rPr>
        <w:t>pr</w:t>
      </w:r>
      <w:r w:rsidRPr="009A0DA6">
        <w:rPr>
          <w:rFonts w:ascii="Cambria" w:eastAsia="Times New Roman" w:hAnsi="Cambria" w:cs="Times New Roman"/>
          <w:b/>
          <w:bCs/>
          <w:spacing w:val="1"/>
          <w:position w:val="-1"/>
        </w:rPr>
        <w:t>ov</w:t>
      </w:r>
      <w:r w:rsidRPr="009A0DA6">
        <w:rPr>
          <w:rFonts w:ascii="Cambria" w:eastAsia="Times New Roman" w:hAnsi="Cambria" w:cs="Times New Roman"/>
          <w:b/>
          <w:bCs/>
          <w:position w:val="-1"/>
        </w:rPr>
        <w:t>ided</w:t>
      </w:r>
      <w:r w:rsidRPr="009A0DA6">
        <w:rPr>
          <w:rFonts w:ascii="Cambria" w:eastAsia="Times New Roman" w:hAnsi="Cambria" w:cs="Times New Roman"/>
          <w:b/>
          <w:bCs/>
          <w:spacing w:val="-8"/>
          <w:position w:val="-1"/>
        </w:rPr>
        <w:t xml:space="preserve"> </w:t>
      </w:r>
      <w:r w:rsidRPr="009A0DA6">
        <w:rPr>
          <w:rFonts w:ascii="Cambria" w:eastAsia="Times New Roman" w:hAnsi="Cambria" w:cs="Times New Roman"/>
          <w:b/>
          <w:bCs/>
          <w:position w:val="-1"/>
        </w:rPr>
        <w:t>by</w:t>
      </w:r>
      <w:r w:rsidRPr="009A0DA6">
        <w:rPr>
          <w:rFonts w:ascii="Cambria" w:eastAsia="Times New Roman" w:hAnsi="Cambria" w:cs="Times New Roman"/>
          <w:b/>
          <w:bCs/>
          <w:spacing w:val="-1"/>
          <w:position w:val="-1"/>
        </w:rPr>
        <w:t xml:space="preserve"> </w:t>
      </w:r>
      <w:r w:rsidRPr="009A0DA6">
        <w:rPr>
          <w:rFonts w:ascii="Cambria" w:eastAsia="Times New Roman" w:hAnsi="Cambria" w:cs="Times New Roman"/>
          <w:b/>
          <w:bCs/>
          <w:position w:val="-1"/>
        </w:rPr>
        <w:t>investing</w:t>
      </w:r>
      <w:r w:rsidRPr="009A0DA6">
        <w:rPr>
          <w:rFonts w:ascii="Cambria" w:eastAsia="Times New Roman" w:hAnsi="Cambria" w:cs="Times New Roman"/>
          <w:b/>
          <w:bCs/>
          <w:spacing w:val="-7"/>
          <w:position w:val="-1"/>
        </w:rPr>
        <w:t xml:space="preserve"> </w:t>
      </w:r>
      <w:r w:rsidRPr="009A0DA6">
        <w:rPr>
          <w:rFonts w:ascii="Cambria" w:eastAsia="Times New Roman" w:hAnsi="Cambria" w:cs="Times New Roman"/>
          <w:b/>
          <w:bCs/>
          <w:spacing w:val="1"/>
          <w:position w:val="-1"/>
        </w:rPr>
        <w:t>a</w:t>
      </w:r>
      <w:r w:rsidRPr="009A0DA6">
        <w:rPr>
          <w:rFonts w:ascii="Cambria" w:eastAsia="Times New Roman" w:hAnsi="Cambria" w:cs="Times New Roman"/>
          <w:b/>
          <w:bCs/>
          <w:position w:val="-1"/>
        </w:rPr>
        <w:t>c</w:t>
      </w:r>
      <w:r w:rsidRPr="009A0DA6">
        <w:rPr>
          <w:rFonts w:ascii="Cambria" w:eastAsia="Times New Roman" w:hAnsi="Cambria" w:cs="Times New Roman"/>
          <w:b/>
          <w:bCs/>
          <w:spacing w:val="1"/>
          <w:position w:val="-1"/>
        </w:rPr>
        <w:t>t</w:t>
      </w:r>
      <w:r w:rsidRPr="009A0DA6">
        <w:rPr>
          <w:rFonts w:ascii="Cambria" w:eastAsia="Times New Roman" w:hAnsi="Cambria" w:cs="Times New Roman"/>
          <w:b/>
          <w:bCs/>
          <w:position w:val="-1"/>
        </w:rPr>
        <w:t>i</w:t>
      </w:r>
      <w:r w:rsidRPr="009A0DA6">
        <w:rPr>
          <w:rFonts w:ascii="Cambria" w:eastAsia="Times New Roman" w:hAnsi="Cambria" w:cs="Times New Roman"/>
          <w:b/>
          <w:bCs/>
          <w:spacing w:val="1"/>
          <w:position w:val="-1"/>
        </w:rPr>
        <w:t>v</w:t>
      </w:r>
      <w:r w:rsidR="00876946">
        <w:rPr>
          <w:rFonts w:ascii="Cambria" w:eastAsia="Times New Roman" w:hAnsi="Cambria" w:cs="Times New Roman"/>
          <w:b/>
          <w:bCs/>
          <w:position w:val="-1"/>
        </w:rPr>
        <w:t>ities</w:t>
      </w:r>
      <w:r w:rsidR="00876946">
        <w:rPr>
          <w:rFonts w:ascii="Cambria" w:eastAsia="Times New Roman" w:hAnsi="Cambria" w:cs="Times New Roman"/>
          <w:b/>
          <w:bCs/>
          <w:position w:val="-1"/>
        </w:rPr>
        <w:tab/>
        <w:t>0</w:t>
      </w:r>
      <w:r w:rsidR="00876946">
        <w:rPr>
          <w:rFonts w:ascii="Cambria" w:eastAsia="Times New Roman" w:hAnsi="Cambria" w:cs="Times New Roman"/>
          <w:b/>
          <w:bCs/>
          <w:position w:val="-1"/>
        </w:rPr>
        <w:tab/>
        <w:t>0</w:t>
      </w:r>
      <w:r w:rsidR="00876946">
        <w:rPr>
          <w:rFonts w:ascii="Cambria" w:eastAsia="Times New Roman" w:hAnsi="Cambria" w:cs="Times New Roman"/>
          <w:b/>
          <w:bCs/>
          <w:position w:val="-1"/>
        </w:rPr>
        <w:tab/>
      </w:r>
    </w:p>
    <w:p w14:paraId="031C62F1" w14:textId="77777777" w:rsidR="002E592D" w:rsidRPr="009A0DA6" w:rsidRDefault="002E592D" w:rsidP="002E592D">
      <w:pPr>
        <w:tabs>
          <w:tab w:val="right" w:pos="5954"/>
          <w:tab w:val="right" w:pos="7371"/>
          <w:tab w:val="right" w:pos="8789"/>
        </w:tabs>
        <w:spacing w:after="0" w:line="222" w:lineRule="exact"/>
        <w:ind w:right="-20"/>
        <w:rPr>
          <w:rFonts w:ascii="Cambria" w:eastAsia="Times New Roman" w:hAnsi="Cambria" w:cs="Times New Roman"/>
          <w:b/>
          <w:bCs/>
          <w:position w:val="-1"/>
        </w:rPr>
      </w:pPr>
    </w:p>
    <w:p w14:paraId="730C6734" w14:textId="77777777" w:rsidR="002E592D" w:rsidRPr="009A0DA6" w:rsidRDefault="002E592D" w:rsidP="002E592D">
      <w:pPr>
        <w:tabs>
          <w:tab w:val="right" w:pos="5954"/>
          <w:tab w:val="right" w:pos="7371"/>
          <w:tab w:val="right" w:pos="8789"/>
        </w:tabs>
        <w:spacing w:before="33" w:after="0" w:line="226" w:lineRule="exact"/>
        <w:ind w:right="-20"/>
        <w:rPr>
          <w:rFonts w:ascii="Cambria" w:eastAsia="Times New Roman" w:hAnsi="Cambria" w:cs="Times New Roman"/>
        </w:rPr>
      </w:pPr>
      <w:r w:rsidRPr="009A0DA6">
        <w:rPr>
          <w:rFonts w:ascii="Cambria" w:eastAsia="Times New Roman" w:hAnsi="Cambria" w:cs="Times New Roman"/>
          <w:b/>
          <w:bCs/>
        </w:rPr>
        <w:t>CASH</w:t>
      </w:r>
      <w:r w:rsidRPr="009A0DA6">
        <w:rPr>
          <w:rFonts w:ascii="Cambria" w:eastAsia="Times New Roman" w:hAnsi="Cambria" w:cs="Times New Roman"/>
          <w:b/>
          <w:bCs/>
          <w:spacing w:val="-5"/>
        </w:rPr>
        <w:t xml:space="preserve"> </w:t>
      </w:r>
      <w:r w:rsidRPr="009A0DA6">
        <w:rPr>
          <w:rFonts w:ascii="Cambria" w:eastAsia="Times New Roman" w:hAnsi="Cambria" w:cs="Times New Roman"/>
          <w:b/>
          <w:bCs/>
        </w:rPr>
        <w:t>F</w:t>
      </w:r>
      <w:r w:rsidRPr="009A0DA6">
        <w:rPr>
          <w:rFonts w:ascii="Cambria" w:eastAsia="Times New Roman" w:hAnsi="Cambria" w:cs="Times New Roman"/>
          <w:b/>
          <w:bCs/>
          <w:spacing w:val="-1"/>
        </w:rPr>
        <w:t>L</w:t>
      </w:r>
      <w:r w:rsidRPr="009A0DA6">
        <w:rPr>
          <w:rFonts w:ascii="Cambria" w:eastAsia="Times New Roman" w:hAnsi="Cambria" w:cs="Times New Roman"/>
          <w:b/>
          <w:bCs/>
          <w:spacing w:val="1"/>
        </w:rPr>
        <w:t>O</w:t>
      </w:r>
      <w:r w:rsidRPr="009A0DA6">
        <w:rPr>
          <w:rFonts w:ascii="Cambria" w:eastAsia="Times New Roman" w:hAnsi="Cambria" w:cs="Times New Roman"/>
          <w:b/>
          <w:bCs/>
        </w:rPr>
        <w:t>W</w:t>
      </w:r>
      <w:r w:rsidRPr="009A0DA6">
        <w:rPr>
          <w:rFonts w:ascii="Cambria" w:eastAsia="Times New Roman" w:hAnsi="Cambria" w:cs="Times New Roman"/>
          <w:b/>
          <w:bCs/>
          <w:spacing w:val="-6"/>
        </w:rPr>
        <w:t xml:space="preserve"> </w:t>
      </w:r>
      <w:r w:rsidRPr="009A0DA6">
        <w:rPr>
          <w:rFonts w:ascii="Cambria" w:eastAsia="Times New Roman" w:hAnsi="Cambria" w:cs="Times New Roman"/>
          <w:b/>
          <w:bCs/>
        </w:rPr>
        <w:t>FR</w:t>
      </w:r>
      <w:r w:rsidRPr="009A0DA6">
        <w:rPr>
          <w:rFonts w:ascii="Cambria" w:eastAsia="Times New Roman" w:hAnsi="Cambria" w:cs="Times New Roman"/>
          <w:b/>
          <w:bCs/>
          <w:spacing w:val="1"/>
        </w:rPr>
        <w:t>O</w:t>
      </w:r>
      <w:r w:rsidRPr="009A0DA6">
        <w:rPr>
          <w:rFonts w:ascii="Cambria" w:eastAsia="Times New Roman" w:hAnsi="Cambria" w:cs="Times New Roman"/>
          <w:b/>
          <w:bCs/>
        </w:rPr>
        <w:t>M</w:t>
      </w:r>
      <w:r w:rsidRPr="009A0DA6">
        <w:rPr>
          <w:rFonts w:ascii="Cambria" w:eastAsia="Times New Roman" w:hAnsi="Cambria" w:cs="Times New Roman"/>
          <w:b/>
          <w:bCs/>
          <w:spacing w:val="-2"/>
        </w:rPr>
        <w:t xml:space="preserve"> </w:t>
      </w:r>
      <w:r w:rsidRPr="009A0DA6">
        <w:rPr>
          <w:rFonts w:ascii="Cambria" w:eastAsia="Times New Roman" w:hAnsi="Cambria" w:cs="Times New Roman"/>
          <w:b/>
          <w:bCs/>
        </w:rPr>
        <w:t>F</w:t>
      </w:r>
      <w:r w:rsidRPr="009A0DA6">
        <w:rPr>
          <w:rFonts w:ascii="Cambria" w:eastAsia="Times New Roman" w:hAnsi="Cambria" w:cs="Times New Roman"/>
          <w:b/>
          <w:bCs/>
          <w:spacing w:val="-1"/>
        </w:rPr>
        <w:t>I</w:t>
      </w:r>
      <w:r w:rsidRPr="009A0DA6">
        <w:rPr>
          <w:rFonts w:ascii="Cambria" w:eastAsia="Times New Roman" w:hAnsi="Cambria" w:cs="Times New Roman"/>
          <w:b/>
          <w:bCs/>
        </w:rPr>
        <w:t>NAN</w:t>
      </w:r>
      <w:r w:rsidRPr="009A0DA6">
        <w:rPr>
          <w:rFonts w:ascii="Cambria" w:eastAsia="Times New Roman" w:hAnsi="Cambria" w:cs="Times New Roman"/>
          <w:b/>
          <w:bCs/>
          <w:spacing w:val="1"/>
        </w:rPr>
        <w:t>C</w:t>
      </w:r>
      <w:r w:rsidRPr="009A0DA6">
        <w:rPr>
          <w:rFonts w:ascii="Cambria" w:eastAsia="Times New Roman" w:hAnsi="Cambria" w:cs="Times New Roman"/>
          <w:b/>
          <w:bCs/>
          <w:spacing w:val="-1"/>
        </w:rPr>
        <w:t>I</w:t>
      </w:r>
      <w:r w:rsidRPr="009A0DA6">
        <w:rPr>
          <w:rFonts w:ascii="Cambria" w:eastAsia="Times New Roman" w:hAnsi="Cambria" w:cs="Times New Roman"/>
          <w:b/>
          <w:bCs/>
        </w:rPr>
        <w:t>NG</w:t>
      </w:r>
      <w:r w:rsidRPr="009A0DA6">
        <w:rPr>
          <w:rFonts w:ascii="Cambria" w:eastAsia="Times New Roman" w:hAnsi="Cambria" w:cs="Times New Roman"/>
          <w:b/>
          <w:bCs/>
          <w:spacing w:val="-13"/>
        </w:rPr>
        <w:t xml:space="preserve"> </w:t>
      </w:r>
      <w:r w:rsidRPr="009A0DA6">
        <w:rPr>
          <w:rFonts w:ascii="Cambria" w:eastAsia="Times New Roman" w:hAnsi="Cambria" w:cs="Times New Roman"/>
          <w:b/>
          <w:bCs/>
        </w:rPr>
        <w:t>ACT</w:t>
      </w:r>
      <w:r w:rsidRPr="009A0DA6">
        <w:rPr>
          <w:rFonts w:ascii="Cambria" w:eastAsia="Times New Roman" w:hAnsi="Cambria" w:cs="Times New Roman"/>
          <w:b/>
          <w:bCs/>
          <w:spacing w:val="-1"/>
        </w:rPr>
        <w:t>I</w:t>
      </w:r>
      <w:r w:rsidRPr="009A0DA6">
        <w:rPr>
          <w:rFonts w:ascii="Cambria" w:eastAsia="Times New Roman" w:hAnsi="Cambria" w:cs="Times New Roman"/>
          <w:b/>
          <w:bCs/>
        </w:rPr>
        <w:t>VI</w:t>
      </w:r>
      <w:r w:rsidRPr="009A0DA6">
        <w:rPr>
          <w:rFonts w:ascii="Cambria" w:eastAsia="Times New Roman" w:hAnsi="Cambria" w:cs="Times New Roman"/>
          <w:b/>
          <w:bCs/>
          <w:spacing w:val="-1"/>
        </w:rPr>
        <w:t>TIE</w:t>
      </w:r>
      <w:r w:rsidRPr="009A0DA6">
        <w:rPr>
          <w:rFonts w:ascii="Cambria" w:eastAsia="Times New Roman" w:hAnsi="Cambria" w:cs="Times New Roman"/>
          <w:b/>
          <w:bCs/>
        </w:rPr>
        <w:t>S</w:t>
      </w:r>
    </w:p>
    <w:p w14:paraId="3DE023D0" w14:textId="0D34ABE6" w:rsidR="002E592D" w:rsidRPr="009A0DA6" w:rsidRDefault="002E592D" w:rsidP="002E592D">
      <w:pPr>
        <w:tabs>
          <w:tab w:val="right" w:pos="5954"/>
          <w:tab w:val="right" w:pos="7371"/>
          <w:tab w:val="right" w:pos="8789"/>
        </w:tabs>
        <w:spacing w:after="0" w:line="222" w:lineRule="exact"/>
        <w:ind w:right="-20"/>
        <w:rPr>
          <w:rFonts w:ascii="Cambria" w:eastAsia="Times New Roman" w:hAnsi="Cambria" w:cs="Times New Roman"/>
          <w:b/>
          <w:bCs/>
        </w:rPr>
      </w:pPr>
      <w:r w:rsidRPr="009A0DA6">
        <w:rPr>
          <w:rFonts w:ascii="Cambria" w:eastAsia="Times New Roman" w:hAnsi="Cambria" w:cs="Times New Roman"/>
          <w:b/>
          <w:bCs/>
        </w:rPr>
        <w:t>Net</w:t>
      </w:r>
      <w:r w:rsidRPr="009A0DA6">
        <w:rPr>
          <w:rFonts w:ascii="Cambria" w:eastAsia="Times New Roman" w:hAnsi="Cambria" w:cs="Times New Roman"/>
          <w:b/>
          <w:bCs/>
          <w:spacing w:val="-2"/>
        </w:rPr>
        <w:t xml:space="preserve"> </w:t>
      </w:r>
      <w:r w:rsidRPr="009A0DA6">
        <w:rPr>
          <w:rFonts w:ascii="Cambria" w:eastAsia="Times New Roman" w:hAnsi="Cambria" w:cs="Times New Roman"/>
          <w:b/>
          <w:bCs/>
        </w:rPr>
        <w:t>c</w:t>
      </w:r>
      <w:r w:rsidRPr="009A0DA6">
        <w:rPr>
          <w:rFonts w:ascii="Cambria" w:eastAsia="Times New Roman" w:hAnsi="Cambria" w:cs="Times New Roman"/>
          <w:b/>
          <w:bCs/>
          <w:spacing w:val="1"/>
        </w:rPr>
        <w:t>a</w:t>
      </w:r>
      <w:r w:rsidRPr="009A0DA6">
        <w:rPr>
          <w:rFonts w:ascii="Cambria" w:eastAsia="Times New Roman" w:hAnsi="Cambria" w:cs="Times New Roman"/>
          <w:b/>
          <w:bCs/>
          <w:spacing w:val="-1"/>
        </w:rPr>
        <w:t>s</w:t>
      </w:r>
      <w:r w:rsidRPr="009A0DA6">
        <w:rPr>
          <w:rFonts w:ascii="Cambria" w:eastAsia="Times New Roman" w:hAnsi="Cambria" w:cs="Times New Roman"/>
          <w:b/>
          <w:bCs/>
        </w:rPr>
        <w:t>h</w:t>
      </w:r>
      <w:r w:rsidRPr="009A0DA6">
        <w:rPr>
          <w:rFonts w:ascii="Cambria" w:eastAsia="Times New Roman" w:hAnsi="Cambria" w:cs="Times New Roman"/>
          <w:b/>
          <w:bCs/>
          <w:spacing w:val="-4"/>
        </w:rPr>
        <w:t xml:space="preserve"> </w:t>
      </w:r>
      <w:r w:rsidRPr="009A0DA6">
        <w:rPr>
          <w:rFonts w:ascii="Cambria" w:eastAsia="Times New Roman" w:hAnsi="Cambria" w:cs="Times New Roman"/>
          <w:b/>
          <w:bCs/>
        </w:rPr>
        <w:t>pr</w:t>
      </w:r>
      <w:r w:rsidRPr="009A0DA6">
        <w:rPr>
          <w:rFonts w:ascii="Cambria" w:eastAsia="Times New Roman" w:hAnsi="Cambria" w:cs="Times New Roman"/>
          <w:b/>
          <w:bCs/>
          <w:spacing w:val="1"/>
        </w:rPr>
        <w:t>ov</w:t>
      </w:r>
      <w:r w:rsidRPr="009A0DA6">
        <w:rPr>
          <w:rFonts w:ascii="Cambria" w:eastAsia="Times New Roman" w:hAnsi="Cambria" w:cs="Times New Roman"/>
          <w:b/>
          <w:bCs/>
        </w:rPr>
        <w:t>ided</w:t>
      </w:r>
      <w:r w:rsidRPr="009A0DA6">
        <w:rPr>
          <w:rFonts w:ascii="Cambria" w:eastAsia="Times New Roman" w:hAnsi="Cambria" w:cs="Times New Roman"/>
          <w:b/>
          <w:bCs/>
          <w:spacing w:val="-8"/>
        </w:rPr>
        <w:t xml:space="preserve"> </w:t>
      </w:r>
      <w:r w:rsidRPr="009A0DA6">
        <w:rPr>
          <w:rFonts w:ascii="Cambria" w:eastAsia="Times New Roman" w:hAnsi="Cambria" w:cs="Times New Roman"/>
          <w:b/>
          <w:bCs/>
        </w:rPr>
        <w:t xml:space="preserve">by </w:t>
      </w:r>
      <w:r w:rsidRPr="009A0DA6">
        <w:rPr>
          <w:rFonts w:ascii="Cambria" w:eastAsia="Times New Roman" w:hAnsi="Cambria" w:cs="Times New Roman"/>
          <w:b/>
          <w:bCs/>
          <w:spacing w:val="1"/>
        </w:rPr>
        <w:t>f</w:t>
      </w:r>
      <w:r w:rsidRPr="009A0DA6">
        <w:rPr>
          <w:rFonts w:ascii="Cambria" w:eastAsia="Times New Roman" w:hAnsi="Cambria" w:cs="Times New Roman"/>
          <w:b/>
          <w:bCs/>
        </w:rPr>
        <w:t>inancing</w:t>
      </w:r>
      <w:r w:rsidRPr="009A0DA6">
        <w:rPr>
          <w:rFonts w:ascii="Cambria" w:eastAsia="Times New Roman" w:hAnsi="Cambria" w:cs="Times New Roman"/>
          <w:b/>
          <w:bCs/>
          <w:spacing w:val="-6"/>
        </w:rPr>
        <w:t xml:space="preserve"> </w:t>
      </w:r>
      <w:r w:rsidRPr="009A0DA6">
        <w:rPr>
          <w:rFonts w:ascii="Cambria" w:eastAsia="Times New Roman" w:hAnsi="Cambria" w:cs="Times New Roman"/>
          <w:b/>
          <w:bCs/>
          <w:spacing w:val="1"/>
        </w:rPr>
        <w:t>a</w:t>
      </w:r>
      <w:r w:rsidRPr="009A0DA6">
        <w:rPr>
          <w:rFonts w:ascii="Cambria" w:eastAsia="Times New Roman" w:hAnsi="Cambria" w:cs="Times New Roman"/>
          <w:b/>
          <w:bCs/>
        </w:rPr>
        <w:t>c</w:t>
      </w:r>
      <w:r w:rsidRPr="009A0DA6">
        <w:rPr>
          <w:rFonts w:ascii="Cambria" w:eastAsia="Times New Roman" w:hAnsi="Cambria" w:cs="Times New Roman"/>
          <w:b/>
          <w:bCs/>
          <w:spacing w:val="1"/>
        </w:rPr>
        <w:t>t</w:t>
      </w:r>
      <w:r w:rsidRPr="009A0DA6">
        <w:rPr>
          <w:rFonts w:ascii="Cambria" w:eastAsia="Times New Roman" w:hAnsi="Cambria" w:cs="Times New Roman"/>
          <w:b/>
          <w:bCs/>
        </w:rPr>
        <w:t>i</w:t>
      </w:r>
      <w:r w:rsidRPr="009A0DA6">
        <w:rPr>
          <w:rFonts w:ascii="Cambria" w:eastAsia="Times New Roman" w:hAnsi="Cambria" w:cs="Times New Roman"/>
          <w:b/>
          <w:bCs/>
          <w:spacing w:val="1"/>
        </w:rPr>
        <w:t>v</w:t>
      </w:r>
      <w:r w:rsidR="0042278A">
        <w:rPr>
          <w:rFonts w:ascii="Cambria" w:eastAsia="Times New Roman" w:hAnsi="Cambria" w:cs="Times New Roman"/>
          <w:b/>
          <w:bCs/>
        </w:rPr>
        <w:t>ities</w:t>
      </w:r>
      <w:r w:rsidR="0042278A">
        <w:rPr>
          <w:rFonts w:ascii="Cambria" w:eastAsia="Times New Roman" w:hAnsi="Cambria" w:cs="Times New Roman"/>
          <w:b/>
          <w:bCs/>
        </w:rPr>
        <w:tab/>
        <w:t>0</w:t>
      </w:r>
      <w:r w:rsidR="0042278A">
        <w:rPr>
          <w:rFonts w:ascii="Cambria" w:eastAsia="Times New Roman" w:hAnsi="Cambria" w:cs="Times New Roman"/>
          <w:b/>
          <w:bCs/>
        </w:rPr>
        <w:tab/>
        <w:t>0</w:t>
      </w:r>
      <w:r w:rsidR="0042278A">
        <w:rPr>
          <w:rFonts w:ascii="Cambria" w:eastAsia="Times New Roman" w:hAnsi="Cambria" w:cs="Times New Roman"/>
          <w:b/>
          <w:bCs/>
        </w:rPr>
        <w:tab/>
      </w:r>
    </w:p>
    <w:p w14:paraId="5ACABEF3" w14:textId="77777777" w:rsidR="002E592D" w:rsidRPr="009A0DA6" w:rsidRDefault="002E592D" w:rsidP="002E592D">
      <w:pPr>
        <w:tabs>
          <w:tab w:val="right" w:pos="5954"/>
          <w:tab w:val="right" w:pos="7371"/>
          <w:tab w:val="right" w:pos="8789"/>
        </w:tabs>
        <w:spacing w:after="0" w:line="222" w:lineRule="exact"/>
        <w:ind w:right="-20"/>
        <w:rPr>
          <w:rFonts w:ascii="Cambria" w:eastAsia="Times New Roman" w:hAnsi="Cambria" w:cs="Times New Roman"/>
          <w:b/>
          <w:bCs/>
        </w:rPr>
      </w:pPr>
    </w:p>
    <w:p w14:paraId="2F0C48B2" w14:textId="77777777" w:rsidR="002E592D" w:rsidRPr="009A0DA6" w:rsidRDefault="002E592D" w:rsidP="002E592D">
      <w:pPr>
        <w:tabs>
          <w:tab w:val="right" w:pos="5954"/>
          <w:tab w:val="right" w:pos="7371"/>
          <w:tab w:val="right" w:pos="8789"/>
        </w:tabs>
        <w:spacing w:after="0" w:line="222" w:lineRule="exact"/>
        <w:ind w:right="-20"/>
        <w:rPr>
          <w:rFonts w:ascii="Cambria" w:hAnsi="Cambria"/>
          <w:spacing w:val="-5"/>
        </w:rPr>
      </w:pPr>
      <w:r w:rsidRPr="009A0DA6">
        <w:rPr>
          <w:rFonts w:ascii="Cambria" w:hAnsi="Cambria"/>
        </w:rPr>
        <w:t>Net</w:t>
      </w:r>
      <w:r w:rsidRPr="009A0DA6">
        <w:rPr>
          <w:rFonts w:ascii="Cambria" w:hAnsi="Cambria"/>
          <w:spacing w:val="-2"/>
        </w:rPr>
        <w:t xml:space="preserve"> </w:t>
      </w:r>
      <w:r w:rsidRPr="009A0DA6">
        <w:rPr>
          <w:rFonts w:ascii="Cambria" w:hAnsi="Cambria"/>
          <w:spacing w:val="1"/>
        </w:rPr>
        <w:t>(d</w:t>
      </w:r>
      <w:r w:rsidRPr="009A0DA6">
        <w:rPr>
          <w:rFonts w:ascii="Cambria" w:hAnsi="Cambria"/>
        </w:rPr>
        <w:t>e</w:t>
      </w:r>
      <w:r w:rsidRPr="009A0DA6">
        <w:rPr>
          <w:rFonts w:ascii="Cambria" w:hAnsi="Cambria"/>
          <w:spacing w:val="1"/>
        </w:rPr>
        <w:t>cr</w:t>
      </w:r>
      <w:r w:rsidRPr="009A0DA6">
        <w:rPr>
          <w:rFonts w:ascii="Cambria" w:hAnsi="Cambria"/>
        </w:rPr>
        <w:t>e</w:t>
      </w:r>
      <w:r w:rsidRPr="009A0DA6">
        <w:rPr>
          <w:rFonts w:ascii="Cambria" w:hAnsi="Cambria"/>
          <w:spacing w:val="1"/>
        </w:rPr>
        <w:t>a</w:t>
      </w:r>
      <w:r w:rsidRPr="009A0DA6">
        <w:rPr>
          <w:rFonts w:ascii="Cambria" w:hAnsi="Cambria"/>
          <w:spacing w:val="-1"/>
        </w:rPr>
        <w:t>s</w:t>
      </w:r>
      <w:r w:rsidRPr="009A0DA6">
        <w:rPr>
          <w:rFonts w:ascii="Cambria" w:hAnsi="Cambria"/>
        </w:rPr>
        <w:t>e)</w:t>
      </w:r>
      <w:r w:rsidRPr="009A0DA6">
        <w:rPr>
          <w:rFonts w:ascii="Cambria" w:hAnsi="Cambria"/>
          <w:spacing w:val="-6"/>
        </w:rPr>
        <w:t xml:space="preserve"> </w:t>
      </w:r>
      <w:r w:rsidRPr="009A0DA6">
        <w:rPr>
          <w:rFonts w:ascii="Cambria" w:hAnsi="Cambria"/>
        </w:rPr>
        <w:t>i</w:t>
      </w:r>
      <w:r w:rsidRPr="009A0DA6">
        <w:rPr>
          <w:rFonts w:ascii="Cambria" w:hAnsi="Cambria"/>
          <w:spacing w:val="-1"/>
        </w:rPr>
        <w:t>n</w:t>
      </w:r>
      <w:r w:rsidRPr="009A0DA6">
        <w:rPr>
          <w:rFonts w:ascii="Cambria" w:hAnsi="Cambria"/>
        </w:rPr>
        <w:t>c</w:t>
      </w:r>
      <w:r w:rsidRPr="009A0DA6">
        <w:rPr>
          <w:rFonts w:ascii="Cambria" w:hAnsi="Cambria"/>
          <w:spacing w:val="1"/>
        </w:rPr>
        <w:t>r</w:t>
      </w:r>
      <w:r w:rsidRPr="009A0DA6">
        <w:rPr>
          <w:rFonts w:ascii="Cambria" w:hAnsi="Cambria"/>
        </w:rPr>
        <w:t>e</w:t>
      </w:r>
      <w:r w:rsidRPr="009A0DA6">
        <w:rPr>
          <w:rFonts w:ascii="Cambria" w:hAnsi="Cambria"/>
          <w:spacing w:val="1"/>
        </w:rPr>
        <w:t>a</w:t>
      </w:r>
      <w:r w:rsidRPr="009A0DA6">
        <w:rPr>
          <w:rFonts w:ascii="Cambria" w:hAnsi="Cambria"/>
          <w:spacing w:val="-1"/>
        </w:rPr>
        <w:t>s</w:t>
      </w:r>
      <w:r w:rsidRPr="009A0DA6">
        <w:rPr>
          <w:rFonts w:ascii="Cambria" w:hAnsi="Cambria"/>
        </w:rPr>
        <w:t>e</w:t>
      </w:r>
      <w:r w:rsidRPr="009A0DA6">
        <w:rPr>
          <w:rFonts w:ascii="Cambria" w:hAnsi="Cambria"/>
          <w:spacing w:val="-6"/>
        </w:rPr>
        <w:t xml:space="preserve"> </w:t>
      </w:r>
      <w:r w:rsidRPr="009A0DA6">
        <w:rPr>
          <w:rFonts w:ascii="Cambria" w:hAnsi="Cambria"/>
        </w:rPr>
        <w:t>in</w:t>
      </w:r>
      <w:r w:rsidRPr="009A0DA6">
        <w:rPr>
          <w:rFonts w:ascii="Cambria" w:hAnsi="Cambria"/>
          <w:spacing w:val="-3"/>
        </w:rPr>
        <w:t xml:space="preserve"> </w:t>
      </w:r>
      <w:r w:rsidRPr="009A0DA6">
        <w:rPr>
          <w:rFonts w:ascii="Cambria" w:hAnsi="Cambria"/>
        </w:rPr>
        <w:t>c</w:t>
      </w:r>
      <w:r w:rsidRPr="009A0DA6">
        <w:rPr>
          <w:rFonts w:ascii="Cambria" w:hAnsi="Cambria"/>
          <w:spacing w:val="1"/>
        </w:rPr>
        <w:t>a</w:t>
      </w:r>
      <w:r w:rsidRPr="009A0DA6">
        <w:rPr>
          <w:rFonts w:ascii="Cambria" w:hAnsi="Cambria"/>
          <w:spacing w:val="-1"/>
        </w:rPr>
        <w:t>s</w:t>
      </w:r>
      <w:r w:rsidRPr="009A0DA6">
        <w:rPr>
          <w:rFonts w:ascii="Cambria" w:hAnsi="Cambria"/>
        </w:rPr>
        <w:t>h</w:t>
      </w:r>
      <w:r w:rsidRPr="009A0DA6">
        <w:rPr>
          <w:rFonts w:ascii="Cambria" w:hAnsi="Cambria"/>
          <w:spacing w:val="-5"/>
        </w:rPr>
        <w:t xml:space="preserve"> </w:t>
      </w:r>
      <w:r w:rsidRPr="009A0DA6">
        <w:rPr>
          <w:rFonts w:ascii="Cambria" w:hAnsi="Cambria"/>
        </w:rPr>
        <w:t>a</w:t>
      </w:r>
      <w:r w:rsidRPr="009A0DA6">
        <w:rPr>
          <w:rFonts w:ascii="Cambria" w:hAnsi="Cambria"/>
          <w:spacing w:val="-1"/>
        </w:rPr>
        <w:t>n</w:t>
      </w:r>
      <w:r w:rsidRPr="009A0DA6">
        <w:rPr>
          <w:rFonts w:ascii="Cambria" w:hAnsi="Cambria"/>
        </w:rPr>
        <w:t>d</w:t>
      </w:r>
      <w:r w:rsidRPr="009A0DA6">
        <w:rPr>
          <w:rFonts w:ascii="Cambria" w:hAnsi="Cambria"/>
          <w:spacing w:val="-2"/>
        </w:rPr>
        <w:t xml:space="preserve"> </w:t>
      </w:r>
      <w:r w:rsidRPr="009A0DA6">
        <w:rPr>
          <w:rFonts w:ascii="Cambria" w:hAnsi="Cambria"/>
        </w:rPr>
        <w:t>c</w:t>
      </w:r>
      <w:r w:rsidRPr="009A0DA6">
        <w:rPr>
          <w:rFonts w:ascii="Cambria" w:hAnsi="Cambria"/>
          <w:spacing w:val="1"/>
        </w:rPr>
        <w:t>a</w:t>
      </w:r>
      <w:r w:rsidRPr="009A0DA6">
        <w:rPr>
          <w:rFonts w:ascii="Cambria" w:hAnsi="Cambria"/>
          <w:spacing w:val="-1"/>
        </w:rPr>
        <w:t>s</w:t>
      </w:r>
      <w:r w:rsidRPr="009A0DA6">
        <w:rPr>
          <w:rFonts w:ascii="Cambria" w:hAnsi="Cambria"/>
        </w:rPr>
        <w:t>h</w:t>
      </w:r>
      <w:r w:rsidRPr="009A0DA6">
        <w:rPr>
          <w:rFonts w:ascii="Cambria" w:hAnsi="Cambria"/>
          <w:spacing w:val="-5"/>
        </w:rPr>
        <w:t xml:space="preserve"> </w:t>
      </w:r>
    </w:p>
    <w:p w14:paraId="054D9508" w14:textId="77777777" w:rsidR="002E592D" w:rsidRPr="009A0DA6" w:rsidRDefault="002E592D" w:rsidP="002E592D">
      <w:pPr>
        <w:tabs>
          <w:tab w:val="right" w:pos="5954"/>
          <w:tab w:val="right" w:pos="7371"/>
          <w:tab w:val="right" w:pos="8789"/>
        </w:tabs>
        <w:spacing w:after="0" w:line="222" w:lineRule="exact"/>
        <w:ind w:right="-20"/>
        <w:rPr>
          <w:rFonts w:ascii="Cambria" w:eastAsiaTheme="minorEastAsia" w:hAnsi="Cambria"/>
        </w:rPr>
      </w:pPr>
      <w:r w:rsidRPr="009A0DA6">
        <w:rPr>
          <w:rFonts w:ascii="Cambria" w:hAnsi="Cambria"/>
          <w:spacing w:val="-5"/>
        </w:rPr>
        <w:t xml:space="preserve">     </w:t>
      </w:r>
      <w:r w:rsidRPr="009A0DA6">
        <w:rPr>
          <w:rFonts w:ascii="Cambria" w:hAnsi="Cambria"/>
        </w:rPr>
        <w:t>e</w:t>
      </w:r>
      <w:r w:rsidRPr="009A0DA6">
        <w:rPr>
          <w:rFonts w:ascii="Cambria" w:hAnsi="Cambria"/>
          <w:spacing w:val="1"/>
        </w:rPr>
        <w:t>q</w:t>
      </w:r>
      <w:r w:rsidRPr="009A0DA6">
        <w:rPr>
          <w:rFonts w:ascii="Cambria" w:hAnsi="Cambria"/>
          <w:spacing w:val="-1"/>
        </w:rPr>
        <w:t>u</w:t>
      </w:r>
      <w:r w:rsidRPr="009A0DA6">
        <w:rPr>
          <w:rFonts w:ascii="Cambria" w:hAnsi="Cambria"/>
        </w:rPr>
        <w:t>i</w:t>
      </w:r>
      <w:r w:rsidRPr="009A0DA6">
        <w:rPr>
          <w:rFonts w:ascii="Cambria" w:hAnsi="Cambria"/>
          <w:spacing w:val="-1"/>
        </w:rPr>
        <w:t>v</w:t>
      </w:r>
      <w:r w:rsidRPr="009A0DA6">
        <w:rPr>
          <w:rFonts w:ascii="Cambria" w:hAnsi="Cambria"/>
        </w:rPr>
        <w:t>ale</w:t>
      </w:r>
      <w:r w:rsidRPr="009A0DA6">
        <w:rPr>
          <w:rFonts w:ascii="Cambria" w:hAnsi="Cambria"/>
          <w:spacing w:val="-1"/>
        </w:rPr>
        <w:t>n</w:t>
      </w:r>
      <w:r w:rsidRPr="009A0DA6">
        <w:rPr>
          <w:rFonts w:ascii="Cambria" w:hAnsi="Cambria"/>
        </w:rPr>
        <w:t>ts</w:t>
      </w:r>
      <w:r w:rsidRPr="009A0DA6">
        <w:rPr>
          <w:rFonts w:ascii="Cambria" w:hAnsi="Cambria"/>
          <w:spacing w:val="-10"/>
        </w:rPr>
        <w:t xml:space="preserve"> </w:t>
      </w:r>
      <w:r w:rsidRPr="009A0DA6">
        <w:rPr>
          <w:rFonts w:ascii="Cambria" w:hAnsi="Cambria"/>
          <w:spacing w:val="-1"/>
        </w:rPr>
        <w:t>h</w:t>
      </w:r>
      <w:r w:rsidRPr="009A0DA6">
        <w:rPr>
          <w:rFonts w:ascii="Cambria" w:hAnsi="Cambria"/>
        </w:rPr>
        <w:t>eld</w:t>
      </w:r>
      <w:r w:rsidRPr="009A0DA6">
        <w:rPr>
          <w:rFonts w:ascii="Cambria" w:hAnsi="Cambria"/>
        </w:rPr>
        <w:tab/>
      </w:r>
      <w:r w:rsidRPr="009A0DA6">
        <w:rPr>
          <w:rFonts w:ascii="Cambria" w:hAnsi="Cambria"/>
          <w:spacing w:val="1"/>
        </w:rPr>
        <w:t>21</w:t>
      </w:r>
      <w:r w:rsidRPr="009A0DA6">
        <w:rPr>
          <w:rFonts w:ascii="Cambria" w:hAnsi="Cambria"/>
        </w:rPr>
        <w:t>,</w:t>
      </w:r>
      <w:r w:rsidRPr="009A0DA6">
        <w:rPr>
          <w:rFonts w:ascii="Cambria" w:hAnsi="Cambria"/>
          <w:spacing w:val="1"/>
        </w:rPr>
        <w:t>04</w:t>
      </w:r>
      <w:r w:rsidRPr="009A0DA6">
        <w:rPr>
          <w:rFonts w:ascii="Cambria" w:hAnsi="Cambria"/>
        </w:rPr>
        <w:t>4</w:t>
      </w:r>
      <w:r w:rsidRPr="009A0DA6">
        <w:rPr>
          <w:rFonts w:ascii="Cambria" w:hAnsi="Cambria"/>
        </w:rPr>
        <w:tab/>
      </w:r>
      <w:r w:rsidRPr="009A0DA6">
        <w:rPr>
          <w:rFonts w:ascii="Cambria" w:hAnsi="Cambria"/>
          <w:spacing w:val="1"/>
        </w:rPr>
        <w:t>(4</w:t>
      </w:r>
      <w:r w:rsidRPr="009A0DA6">
        <w:rPr>
          <w:rFonts w:ascii="Cambria" w:hAnsi="Cambria"/>
        </w:rPr>
        <w:t>,</w:t>
      </w:r>
      <w:r w:rsidRPr="009A0DA6">
        <w:rPr>
          <w:rFonts w:ascii="Cambria" w:hAnsi="Cambria"/>
          <w:spacing w:val="1"/>
        </w:rPr>
        <w:t>978</w:t>
      </w:r>
      <w:r w:rsidRPr="009A0DA6">
        <w:rPr>
          <w:rFonts w:ascii="Cambria" w:hAnsi="Cambria"/>
        </w:rPr>
        <w:t>)</w:t>
      </w:r>
      <w:r w:rsidRPr="009A0DA6">
        <w:rPr>
          <w:rFonts w:ascii="Cambria" w:hAnsi="Cambria"/>
        </w:rPr>
        <w:tab/>
      </w:r>
    </w:p>
    <w:p w14:paraId="0C5B0882" w14:textId="77777777" w:rsidR="002E592D" w:rsidRPr="009A0DA6" w:rsidRDefault="002E592D" w:rsidP="002E592D">
      <w:pPr>
        <w:tabs>
          <w:tab w:val="right" w:pos="5954"/>
          <w:tab w:val="right" w:pos="7371"/>
          <w:tab w:val="right" w:pos="8789"/>
        </w:tabs>
        <w:spacing w:after="0" w:line="222" w:lineRule="exact"/>
        <w:ind w:right="-20"/>
        <w:rPr>
          <w:rFonts w:ascii="Cambria" w:hAnsi="Cambria"/>
          <w:spacing w:val="-9"/>
        </w:rPr>
      </w:pPr>
      <w:r w:rsidRPr="009A0DA6">
        <w:rPr>
          <w:rFonts w:ascii="Cambria" w:hAnsi="Cambria"/>
          <w:spacing w:val="-1"/>
        </w:rPr>
        <w:t>C</w:t>
      </w:r>
      <w:r w:rsidRPr="009A0DA6">
        <w:rPr>
          <w:rFonts w:ascii="Cambria" w:hAnsi="Cambria"/>
        </w:rPr>
        <w:t>ash</w:t>
      </w:r>
      <w:r w:rsidRPr="009A0DA6">
        <w:rPr>
          <w:rFonts w:ascii="Cambria" w:hAnsi="Cambria"/>
          <w:spacing w:val="-5"/>
        </w:rPr>
        <w:t xml:space="preserve"> </w:t>
      </w:r>
      <w:r w:rsidRPr="009A0DA6">
        <w:rPr>
          <w:rFonts w:ascii="Cambria" w:hAnsi="Cambria"/>
        </w:rPr>
        <w:t>a</w:t>
      </w:r>
      <w:r w:rsidRPr="009A0DA6">
        <w:rPr>
          <w:rFonts w:ascii="Cambria" w:hAnsi="Cambria"/>
          <w:spacing w:val="-1"/>
        </w:rPr>
        <w:t>n</w:t>
      </w:r>
      <w:r w:rsidRPr="009A0DA6">
        <w:rPr>
          <w:rFonts w:ascii="Cambria" w:hAnsi="Cambria"/>
        </w:rPr>
        <w:t>d</w:t>
      </w:r>
      <w:r w:rsidRPr="009A0DA6">
        <w:rPr>
          <w:rFonts w:ascii="Cambria" w:hAnsi="Cambria"/>
          <w:spacing w:val="-2"/>
        </w:rPr>
        <w:t xml:space="preserve"> </w:t>
      </w:r>
      <w:r w:rsidRPr="009A0DA6">
        <w:rPr>
          <w:rFonts w:ascii="Cambria" w:hAnsi="Cambria"/>
        </w:rPr>
        <w:t>c</w:t>
      </w:r>
      <w:r w:rsidRPr="009A0DA6">
        <w:rPr>
          <w:rFonts w:ascii="Cambria" w:hAnsi="Cambria"/>
          <w:spacing w:val="1"/>
        </w:rPr>
        <w:t>a</w:t>
      </w:r>
      <w:r w:rsidRPr="009A0DA6">
        <w:rPr>
          <w:rFonts w:ascii="Cambria" w:hAnsi="Cambria"/>
          <w:spacing w:val="-1"/>
        </w:rPr>
        <w:t>s</w:t>
      </w:r>
      <w:r w:rsidRPr="009A0DA6">
        <w:rPr>
          <w:rFonts w:ascii="Cambria" w:hAnsi="Cambria"/>
        </w:rPr>
        <w:t>h</w:t>
      </w:r>
      <w:r w:rsidRPr="009A0DA6">
        <w:rPr>
          <w:rFonts w:ascii="Cambria" w:hAnsi="Cambria"/>
          <w:spacing w:val="-5"/>
        </w:rPr>
        <w:t xml:space="preserve"> </w:t>
      </w:r>
      <w:r w:rsidRPr="009A0DA6">
        <w:rPr>
          <w:rFonts w:ascii="Cambria" w:hAnsi="Cambria"/>
        </w:rPr>
        <w:t>e</w:t>
      </w:r>
      <w:r w:rsidRPr="009A0DA6">
        <w:rPr>
          <w:rFonts w:ascii="Cambria" w:hAnsi="Cambria"/>
          <w:spacing w:val="1"/>
        </w:rPr>
        <w:t>q</w:t>
      </w:r>
      <w:r w:rsidRPr="009A0DA6">
        <w:rPr>
          <w:rFonts w:ascii="Cambria" w:hAnsi="Cambria"/>
          <w:spacing w:val="-1"/>
        </w:rPr>
        <w:t>u</w:t>
      </w:r>
      <w:r w:rsidRPr="009A0DA6">
        <w:rPr>
          <w:rFonts w:ascii="Cambria" w:hAnsi="Cambria"/>
        </w:rPr>
        <w:t>i</w:t>
      </w:r>
      <w:r w:rsidRPr="009A0DA6">
        <w:rPr>
          <w:rFonts w:ascii="Cambria" w:hAnsi="Cambria"/>
          <w:spacing w:val="-1"/>
        </w:rPr>
        <w:t>v</w:t>
      </w:r>
      <w:r w:rsidRPr="009A0DA6">
        <w:rPr>
          <w:rFonts w:ascii="Cambria" w:hAnsi="Cambria"/>
        </w:rPr>
        <w:t>ale</w:t>
      </w:r>
      <w:r w:rsidRPr="009A0DA6">
        <w:rPr>
          <w:rFonts w:ascii="Cambria" w:hAnsi="Cambria"/>
          <w:spacing w:val="-1"/>
        </w:rPr>
        <w:t>n</w:t>
      </w:r>
      <w:r w:rsidRPr="009A0DA6">
        <w:rPr>
          <w:rFonts w:ascii="Cambria" w:hAnsi="Cambria"/>
        </w:rPr>
        <w:t>ts</w:t>
      </w:r>
      <w:r w:rsidRPr="009A0DA6">
        <w:rPr>
          <w:rFonts w:ascii="Cambria" w:hAnsi="Cambria"/>
          <w:spacing w:val="-10"/>
        </w:rPr>
        <w:t xml:space="preserve"> </w:t>
      </w:r>
      <w:r w:rsidRPr="009A0DA6">
        <w:rPr>
          <w:rFonts w:ascii="Cambria" w:hAnsi="Cambria"/>
        </w:rPr>
        <w:t>at</w:t>
      </w:r>
      <w:r w:rsidRPr="009A0DA6">
        <w:rPr>
          <w:rFonts w:ascii="Cambria" w:hAnsi="Cambria"/>
          <w:spacing w:val="-1"/>
        </w:rPr>
        <w:t xml:space="preserve"> </w:t>
      </w:r>
      <w:r w:rsidRPr="009A0DA6">
        <w:rPr>
          <w:rFonts w:ascii="Cambria" w:hAnsi="Cambria"/>
        </w:rPr>
        <w:t>t</w:t>
      </w:r>
      <w:r w:rsidRPr="009A0DA6">
        <w:rPr>
          <w:rFonts w:ascii="Cambria" w:hAnsi="Cambria"/>
          <w:spacing w:val="-1"/>
        </w:rPr>
        <w:t>h</w:t>
      </w:r>
      <w:r w:rsidRPr="009A0DA6">
        <w:rPr>
          <w:rFonts w:ascii="Cambria" w:hAnsi="Cambria"/>
        </w:rPr>
        <w:t>e</w:t>
      </w:r>
      <w:r w:rsidRPr="009A0DA6">
        <w:rPr>
          <w:rFonts w:ascii="Cambria" w:hAnsi="Cambria"/>
          <w:spacing w:val="-1"/>
        </w:rPr>
        <w:t xml:space="preserve"> </w:t>
      </w:r>
      <w:r w:rsidRPr="009A0DA6">
        <w:rPr>
          <w:rFonts w:ascii="Cambria" w:hAnsi="Cambria"/>
          <w:spacing w:val="1"/>
        </w:rPr>
        <w:t>b</w:t>
      </w:r>
      <w:r w:rsidRPr="009A0DA6">
        <w:rPr>
          <w:rFonts w:ascii="Cambria" w:hAnsi="Cambria"/>
        </w:rPr>
        <w:t>e</w:t>
      </w:r>
      <w:r w:rsidRPr="009A0DA6">
        <w:rPr>
          <w:rFonts w:ascii="Cambria" w:hAnsi="Cambria"/>
          <w:spacing w:val="-1"/>
        </w:rPr>
        <w:t>g</w:t>
      </w:r>
      <w:r w:rsidRPr="009A0DA6">
        <w:rPr>
          <w:rFonts w:ascii="Cambria" w:hAnsi="Cambria"/>
        </w:rPr>
        <w:t>i</w:t>
      </w:r>
      <w:r w:rsidRPr="009A0DA6">
        <w:rPr>
          <w:rFonts w:ascii="Cambria" w:hAnsi="Cambria"/>
          <w:spacing w:val="-1"/>
        </w:rPr>
        <w:t>nn</w:t>
      </w:r>
      <w:r w:rsidRPr="009A0DA6">
        <w:rPr>
          <w:rFonts w:ascii="Cambria" w:hAnsi="Cambria"/>
        </w:rPr>
        <w:t>i</w:t>
      </w:r>
      <w:r w:rsidRPr="009A0DA6">
        <w:rPr>
          <w:rFonts w:ascii="Cambria" w:hAnsi="Cambria"/>
          <w:spacing w:val="-1"/>
        </w:rPr>
        <w:t>n</w:t>
      </w:r>
      <w:r w:rsidRPr="009A0DA6">
        <w:rPr>
          <w:rFonts w:ascii="Cambria" w:hAnsi="Cambria"/>
        </w:rPr>
        <w:t>g</w:t>
      </w:r>
      <w:r w:rsidRPr="009A0DA6">
        <w:rPr>
          <w:rFonts w:ascii="Cambria" w:hAnsi="Cambria"/>
          <w:spacing w:val="-9"/>
        </w:rPr>
        <w:t xml:space="preserve"> </w:t>
      </w:r>
    </w:p>
    <w:p w14:paraId="1B622A56" w14:textId="77777777" w:rsidR="002E592D" w:rsidRPr="009A0DA6" w:rsidRDefault="002E592D" w:rsidP="002E592D">
      <w:pPr>
        <w:tabs>
          <w:tab w:val="right" w:pos="5954"/>
          <w:tab w:val="right" w:pos="7371"/>
          <w:tab w:val="right" w:pos="8789"/>
        </w:tabs>
        <w:spacing w:after="0" w:line="222" w:lineRule="exact"/>
        <w:ind w:right="-20"/>
        <w:rPr>
          <w:rFonts w:ascii="Cambria" w:eastAsia="Times New Roman" w:hAnsi="Cambria" w:cs="Times New Roman"/>
          <w:b/>
          <w:bCs/>
        </w:rPr>
      </w:pPr>
      <w:r w:rsidRPr="009A0DA6">
        <w:rPr>
          <w:rFonts w:ascii="Cambria" w:hAnsi="Cambria"/>
          <w:spacing w:val="-9"/>
        </w:rPr>
        <w:t xml:space="preserve">     </w:t>
      </w:r>
      <w:r w:rsidRPr="009A0DA6">
        <w:rPr>
          <w:rFonts w:ascii="Cambria" w:hAnsi="Cambria"/>
          <w:spacing w:val="1"/>
        </w:rPr>
        <w:t>o</w:t>
      </w:r>
      <w:r w:rsidRPr="009A0DA6">
        <w:rPr>
          <w:rFonts w:ascii="Cambria" w:hAnsi="Cambria"/>
        </w:rPr>
        <w:t>f</w:t>
      </w:r>
      <w:r w:rsidRPr="009A0DA6">
        <w:rPr>
          <w:rFonts w:ascii="Cambria" w:hAnsi="Cambria"/>
          <w:spacing w:val="-3"/>
        </w:rPr>
        <w:t xml:space="preserve"> </w:t>
      </w:r>
      <w:r w:rsidRPr="009A0DA6">
        <w:rPr>
          <w:rFonts w:ascii="Cambria" w:hAnsi="Cambria"/>
        </w:rPr>
        <w:t>t</w:t>
      </w:r>
      <w:r w:rsidRPr="009A0DA6">
        <w:rPr>
          <w:rFonts w:ascii="Cambria" w:hAnsi="Cambria"/>
          <w:spacing w:val="-1"/>
        </w:rPr>
        <w:t>h</w:t>
      </w:r>
      <w:r w:rsidRPr="009A0DA6">
        <w:rPr>
          <w:rFonts w:ascii="Cambria" w:hAnsi="Cambria"/>
        </w:rPr>
        <w:t>e</w:t>
      </w:r>
      <w:r w:rsidRPr="009A0DA6">
        <w:rPr>
          <w:rFonts w:ascii="Cambria" w:hAnsi="Cambria"/>
          <w:spacing w:val="-1"/>
        </w:rPr>
        <w:t xml:space="preserve"> </w:t>
      </w:r>
      <w:r w:rsidRPr="009A0DA6">
        <w:rPr>
          <w:rFonts w:ascii="Cambria" w:hAnsi="Cambria"/>
          <w:spacing w:val="-4"/>
        </w:rPr>
        <w:t>y</w:t>
      </w:r>
      <w:r w:rsidRPr="009A0DA6">
        <w:rPr>
          <w:rFonts w:ascii="Cambria" w:hAnsi="Cambria"/>
        </w:rPr>
        <w:t>e</w:t>
      </w:r>
      <w:r w:rsidRPr="009A0DA6">
        <w:rPr>
          <w:rFonts w:ascii="Cambria" w:hAnsi="Cambria"/>
          <w:spacing w:val="1"/>
        </w:rPr>
        <w:t>a</w:t>
      </w:r>
      <w:r w:rsidRPr="009A0DA6">
        <w:rPr>
          <w:rFonts w:ascii="Cambria" w:hAnsi="Cambria"/>
        </w:rPr>
        <w:t>r</w:t>
      </w:r>
      <w:r w:rsidRPr="009A0DA6">
        <w:rPr>
          <w:rFonts w:ascii="Cambria" w:hAnsi="Cambria"/>
        </w:rPr>
        <w:tab/>
      </w:r>
      <w:r w:rsidRPr="009A0DA6">
        <w:rPr>
          <w:rFonts w:ascii="Cambria" w:hAnsi="Cambria"/>
          <w:spacing w:val="1"/>
        </w:rPr>
        <w:t>5</w:t>
      </w:r>
      <w:r w:rsidRPr="009A0DA6">
        <w:rPr>
          <w:rFonts w:ascii="Cambria" w:hAnsi="Cambria"/>
        </w:rPr>
        <w:t>,</w:t>
      </w:r>
      <w:r w:rsidRPr="009A0DA6">
        <w:rPr>
          <w:rFonts w:ascii="Cambria" w:hAnsi="Cambria"/>
          <w:spacing w:val="1"/>
        </w:rPr>
        <w:t>607</w:t>
      </w:r>
      <w:r w:rsidRPr="009A0DA6">
        <w:rPr>
          <w:rFonts w:ascii="Cambria" w:hAnsi="Cambria"/>
        </w:rPr>
        <w:t>,</w:t>
      </w:r>
      <w:r w:rsidRPr="009A0DA6">
        <w:rPr>
          <w:rFonts w:ascii="Cambria" w:hAnsi="Cambria"/>
          <w:spacing w:val="1"/>
        </w:rPr>
        <w:t>41</w:t>
      </w:r>
      <w:r w:rsidRPr="009A0DA6">
        <w:rPr>
          <w:rFonts w:ascii="Cambria" w:hAnsi="Cambria"/>
        </w:rPr>
        <w:t>5</w:t>
      </w:r>
      <w:r w:rsidRPr="009A0DA6">
        <w:rPr>
          <w:rFonts w:ascii="Cambria" w:hAnsi="Cambria"/>
        </w:rPr>
        <w:tab/>
      </w:r>
      <w:r w:rsidRPr="009A0DA6">
        <w:rPr>
          <w:rFonts w:ascii="Cambria" w:hAnsi="Cambria"/>
          <w:spacing w:val="1"/>
        </w:rPr>
        <w:t>5</w:t>
      </w:r>
      <w:r w:rsidRPr="009A0DA6">
        <w:rPr>
          <w:rFonts w:ascii="Cambria" w:hAnsi="Cambria"/>
        </w:rPr>
        <w:t>,</w:t>
      </w:r>
      <w:r w:rsidRPr="009A0DA6">
        <w:rPr>
          <w:rFonts w:ascii="Cambria" w:hAnsi="Cambria"/>
          <w:spacing w:val="1"/>
        </w:rPr>
        <w:t>612</w:t>
      </w:r>
      <w:r w:rsidRPr="009A0DA6">
        <w:rPr>
          <w:rFonts w:ascii="Cambria" w:hAnsi="Cambria"/>
        </w:rPr>
        <w:t>,</w:t>
      </w:r>
      <w:r w:rsidRPr="009A0DA6">
        <w:rPr>
          <w:rFonts w:ascii="Cambria" w:hAnsi="Cambria"/>
          <w:spacing w:val="1"/>
        </w:rPr>
        <w:t>39</w:t>
      </w:r>
      <w:r w:rsidRPr="009A0DA6">
        <w:rPr>
          <w:rFonts w:ascii="Cambria" w:hAnsi="Cambria"/>
        </w:rPr>
        <w:t>2</w:t>
      </w:r>
      <w:r w:rsidRPr="009A0DA6">
        <w:rPr>
          <w:rFonts w:ascii="Cambria" w:hAnsi="Cambria"/>
        </w:rPr>
        <w:tab/>
      </w:r>
    </w:p>
    <w:p w14:paraId="1FFEE72E" w14:textId="555BDC95" w:rsidR="002E592D" w:rsidRPr="009A0DA6" w:rsidRDefault="002E592D" w:rsidP="002E592D">
      <w:pPr>
        <w:tabs>
          <w:tab w:val="right" w:pos="5954"/>
          <w:tab w:val="right" w:pos="7371"/>
          <w:tab w:val="right" w:pos="8789"/>
        </w:tabs>
        <w:spacing w:after="0" w:line="240" w:lineRule="auto"/>
        <w:ind w:right="-20"/>
        <w:rPr>
          <w:rFonts w:ascii="Cambria" w:eastAsia="Times New Roman" w:hAnsi="Cambria" w:cs="Times New Roman"/>
          <w:b/>
          <w:bCs/>
        </w:rPr>
      </w:pPr>
      <w:r w:rsidRPr="009A0DA6">
        <w:rPr>
          <w:rFonts w:ascii="Cambria" w:eastAsia="Times New Roman" w:hAnsi="Cambria" w:cs="Times New Roman"/>
          <w:b/>
          <w:bCs/>
        </w:rPr>
        <w:t>C</w:t>
      </w:r>
      <w:r w:rsidRPr="009A0DA6">
        <w:rPr>
          <w:rFonts w:ascii="Cambria" w:eastAsia="Times New Roman" w:hAnsi="Cambria" w:cs="Times New Roman"/>
          <w:b/>
          <w:bCs/>
          <w:spacing w:val="1"/>
        </w:rPr>
        <w:t>a</w:t>
      </w:r>
      <w:r w:rsidRPr="009A0DA6">
        <w:rPr>
          <w:rFonts w:ascii="Cambria" w:eastAsia="Times New Roman" w:hAnsi="Cambria" w:cs="Times New Roman"/>
          <w:b/>
          <w:bCs/>
          <w:spacing w:val="-1"/>
        </w:rPr>
        <w:t>s</w:t>
      </w:r>
      <w:r w:rsidRPr="009A0DA6">
        <w:rPr>
          <w:rFonts w:ascii="Cambria" w:eastAsia="Times New Roman" w:hAnsi="Cambria" w:cs="Times New Roman"/>
          <w:b/>
          <w:bCs/>
        </w:rPr>
        <w:t>h</w:t>
      </w:r>
      <w:r w:rsidRPr="009A0DA6">
        <w:rPr>
          <w:rFonts w:ascii="Cambria" w:eastAsia="Times New Roman" w:hAnsi="Cambria" w:cs="Times New Roman"/>
          <w:b/>
          <w:bCs/>
          <w:spacing w:val="-4"/>
        </w:rPr>
        <w:t xml:space="preserve"> </w:t>
      </w:r>
      <w:r w:rsidRPr="009A0DA6">
        <w:rPr>
          <w:rFonts w:ascii="Cambria" w:eastAsia="Times New Roman" w:hAnsi="Cambria" w:cs="Times New Roman"/>
          <w:b/>
          <w:bCs/>
          <w:spacing w:val="1"/>
        </w:rPr>
        <w:t>a</w:t>
      </w:r>
      <w:r w:rsidRPr="009A0DA6">
        <w:rPr>
          <w:rFonts w:ascii="Cambria" w:eastAsia="Times New Roman" w:hAnsi="Cambria" w:cs="Times New Roman"/>
          <w:b/>
          <w:bCs/>
        </w:rPr>
        <w:t>nd</w:t>
      </w:r>
      <w:r w:rsidRPr="009A0DA6">
        <w:rPr>
          <w:rFonts w:ascii="Cambria" w:eastAsia="Times New Roman" w:hAnsi="Cambria" w:cs="Times New Roman"/>
          <w:b/>
          <w:bCs/>
          <w:spacing w:val="-4"/>
        </w:rPr>
        <w:t xml:space="preserve"> </w:t>
      </w:r>
      <w:r w:rsidRPr="009A0DA6">
        <w:rPr>
          <w:rFonts w:ascii="Cambria" w:eastAsia="Times New Roman" w:hAnsi="Cambria" w:cs="Times New Roman"/>
          <w:b/>
          <w:bCs/>
        </w:rPr>
        <w:t>c</w:t>
      </w:r>
      <w:r w:rsidRPr="009A0DA6">
        <w:rPr>
          <w:rFonts w:ascii="Cambria" w:eastAsia="Times New Roman" w:hAnsi="Cambria" w:cs="Times New Roman"/>
          <w:b/>
          <w:bCs/>
          <w:spacing w:val="1"/>
        </w:rPr>
        <w:t>a</w:t>
      </w:r>
      <w:r w:rsidRPr="009A0DA6">
        <w:rPr>
          <w:rFonts w:ascii="Cambria" w:eastAsia="Times New Roman" w:hAnsi="Cambria" w:cs="Times New Roman"/>
          <w:b/>
          <w:bCs/>
          <w:spacing w:val="-1"/>
        </w:rPr>
        <w:t>s</w:t>
      </w:r>
      <w:r w:rsidRPr="009A0DA6">
        <w:rPr>
          <w:rFonts w:ascii="Cambria" w:eastAsia="Times New Roman" w:hAnsi="Cambria" w:cs="Times New Roman"/>
          <w:b/>
          <w:bCs/>
        </w:rPr>
        <w:t>h</w:t>
      </w:r>
      <w:r w:rsidRPr="009A0DA6">
        <w:rPr>
          <w:rFonts w:ascii="Cambria" w:eastAsia="Times New Roman" w:hAnsi="Cambria" w:cs="Times New Roman"/>
          <w:b/>
          <w:bCs/>
          <w:spacing w:val="-4"/>
        </w:rPr>
        <w:t xml:space="preserve"> </w:t>
      </w:r>
      <w:r w:rsidRPr="009A0DA6">
        <w:rPr>
          <w:rFonts w:ascii="Cambria" w:eastAsia="Times New Roman" w:hAnsi="Cambria" w:cs="Times New Roman"/>
          <w:b/>
          <w:bCs/>
        </w:rPr>
        <w:t>eq</w:t>
      </w:r>
      <w:r w:rsidRPr="009A0DA6">
        <w:rPr>
          <w:rFonts w:ascii="Cambria" w:eastAsia="Times New Roman" w:hAnsi="Cambria" w:cs="Times New Roman"/>
          <w:b/>
          <w:bCs/>
          <w:spacing w:val="-1"/>
        </w:rPr>
        <w:t>u</w:t>
      </w:r>
      <w:r w:rsidRPr="009A0DA6">
        <w:rPr>
          <w:rFonts w:ascii="Cambria" w:eastAsia="Times New Roman" w:hAnsi="Cambria" w:cs="Times New Roman"/>
          <w:b/>
          <w:bCs/>
        </w:rPr>
        <w:t>i</w:t>
      </w:r>
      <w:r w:rsidRPr="009A0DA6">
        <w:rPr>
          <w:rFonts w:ascii="Cambria" w:eastAsia="Times New Roman" w:hAnsi="Cambria" w:cs="Times New Roman"/>
          <w:b/>
          <w:bCs/>
          <w:spacing w:val="1"/>
        </w:rPr>
        <w:t>va</w:t>
      </w:r>
      <w:r w:rsidRPr="009A0DA6">
        <w:rPr>
          <w:rFonts w:ascii="Cambria" w:eastAsia="Times New Roman" w:hAnsi="Cambria" w:cs="Times New Roman"/>
          <w:b/>
          <w:bCs/>
        </w:rPr>
        <w:t>lents</w:t>
      </w:r>
      <w:r w:rsidRPr="009A0DA6">
        <w:rPr>
          <w:rFonts w:ascii="Cambria" w:eastAsia="Times New Roman" w:hAnsi="Cambria" w:cs="Times New Roman"/>
          <w:b/>
          <w:bCs/>
          <w:spacing w:val="-10"/>
        </w:rPr>
        <w:t xml:space="preserve"> </w:t>
      </w:r>
      <w:r w:rsidRPr="009A0DA6">
        <w:rPr>
          <w:rFonts w:ascii="Cambria" w:eastAsia="Times New Roman" w:hAnsi="Cambria" w:cs="Times New Roman"/>
          <w:b/>
          <w:bCs/>
          <w:spacing w:val="1"/>
        </w:rPr>
        <w:t>a</w:t>
      </w:r>
      <w:r w:rsidRPr="009A0DA6">
        <w:rPr>
          <w:rFonts w:ascii="Cambria" w:eastAsia="Times New Roman" w:hAnsi="Cambria" w:cs="Times New Roman"/>
          <w:b/>
          <w:bCs/>
        </w:rPr>
        <w:t>t</w:t>
      </w:r>
      <w:r w:rsidRPr="009A0DA6">
        <w:rPr>
          <w:rFonts w:ascii="Cambria" w:eastAsia="Times New Roman" w:hAnsi="Cambria" w:cs="Times New Roman"/>
          <w:b/>
          <w:bCs/>
          <w:spacing w:val="-1"/>
        </w:rPr>
        <w:t xml:space="preserve"> </w:t>
      </w:r>
      <w:r w:rsidRPr="009A0DA6">
        <w:rPr>
          <w:rFonts w:ascii="Cambria" w:eastAsia="Times New Roman" w:hAnsi="Cambria" w:cs="Times New Roman"/>
          <w:b/>
          <w:bCs/>
          <w:spacing w:val="1"/>
        </w:rPr>
        <w:t>t</w:t>
      </w:r>
      <w:r w:rsidRPr="009A0DA6">
        <w:rPr>
          <w:rFonts w:ascii="Cambria" w:eastAsia="Times New Roman" w:hAnsi="Cambria" w:cs="Times New Roman"/>
          <w:b/>
          <w:bCs/>
        </w:rPr>
        <w:t>he</w:t>
      </w:r>
      <w:r w:rsidRPr="009A0DA6">
        <w:rPr>
          <w:rFonts w:ascii="Cambria" w:eastAsia="Times New Roman" w:hAnsi="Cambria" w:cs="Times New Roman"/>
          <w:b/>
          <w:bCs/>
          <w:spacing w:val="-3"/>
        </w:rPr>
        <w:t xml:space="preserve"> </w:t>
      </w:r>
      <w:r w:rsidRPr="009A0DA6">
        <w:rPr>
          <w:rFonts w:ascii="Cambria" w:eastAsia="Times New Roman" w:hAnsi="Cambria" w:cs="Times New Roman"/>
          <w:b/>
          <w:bCs/>
        </w:rPr>
        <w:t>end</w:t>
      </w:r>
      <w:r w:rsidRPr="009A0DA6">
        <w:rPr>
          <w:rFonts w:ascii="Cambria" w:eastAsia="Times New Roman" w:hAnsi="Cambria" w:cs="Times New Roman"/>
          <w:b/>
          <w:bCs/>
          <w:spacing w:val="-3"/>
        </w:rPr>
        <w:t xml:space="preserve"> </w:t>
      </w:r>
      <w:r w:rsidRPr="009A0DA6">
        <w:rPr>
          <w:rFonts w:ascii="Cambria" w:eastAsia="Times New Roman" w:hAnsi="Cambria" w:cs="Times New Roman"/>
          <w:b/>
          <w:bCs/>
          <w:spacing w:val="1"/>
        </w:rPr>
        <w:t>o</w:t>
      </w:r>
      <w:r w:rsidRPr="009A0DA6">
        <w:rPr>
          <w:rFonts w:ascii="Cambria" w:eastAsia="Times New Roman" w:hAnsi="Cambria" w:cs="Times New Roman"/>
          <w:b/>
          <w:bCs/>
        </w:rPr>
        <w:t>f</w:t>
      </w:r>
      <w:r w:rsidRPr="009A0DA6">
        <w:rPr>
          <w:rFonts w:ascii="Cambria" w:eastAsia="Times New Roman" w:hAnsi="Cambria" w:cs="Times New Roman"/>
          <w:b/>
          <w:bCs/>
          <w:spacing w:val="-1"/>
        </w:rPr>
        <w:t xml:space="preserve"> </w:t>
      </w:r>
      <w:r w:rsidRPr="009A0DA6">
        <w:rPr>
          <w:rFonts w:ascii="Cambria" w:eastAsia="Times New Roman" w:hAnsi="Cambria" w:cs="Times New Roman"/>
          <w:b/>
          <w:bCs/>
          <w:spacing w:val="1"/>
        </w:rPr>
        <w:t>t</w:t>
      </w:r>
      <w:r w:rsidRPr="009A0DA6">
        <w:rPr>
          <w:rFonts w:ascii="Cambria" w:eastAsia="Times New Roman" w:hAnsi="Cambria" w:cs="Times New Roman"/>
          <w:b/>
          <w:bCs/>
        </w:rPr>
        <w:t>he</w:t>
      </w:r>
      <w:r w:rsidRPr="009A0DA6">
        <w:rPr>
          <w:rFonts w:ascii="Cambria" w:eastAsia="Times New Roman" w:hAnsi="Cambria" w:cs="Times New Roman"/>
          <w:b/>
          <w:bCs/>
          <w:spacing w:val="-3"/>
        </w:rPr>
        <w:t xml:space="preserve"> </w:t>
      </w:r>
      <w:r w:rsidRPr="009A0DA6">
        <w:rPr>
          <w:rFonts w:ascii="Cambria" w:eastAsia="Times New Roman" w:hAnsi="Cambria" w:cs="Times New Roman"/>
          <w:b/>
          <w:bCs/>
          <w:spacing w:val="1"/>
        </w:rPr>
        <w:t>y</w:t>
      </w:r>
      <w:r w:rsidRPr="009A0DA6">
        <w:rPr>
          <w:rFonts w:ascii="Cambria" w:eastAsia="Times New Roman" w:hAnsi="Cambria" w:cs="Times New Roman"/>
          <w:b/>
          <w:bCs/>
        </w:rPr>
        <w:t>e</w:t>
      </w:r>
      <w:r w:rsidRPr="009A0DA6">
        <w:rPr>
          <w:rFonts w:ascii="Cambria" w:eastAsia="Times New Roman" w:hAnsi="Cambria" w:cs="Times New Roman"/>
          <w:b/>
          <w:bCs/>
          <w:spacing w:val="1"/>
        </w:rPr>
        <w:t>a</w:t>
      </w:r>
      <w:r w:rsidRPr="009A0DA6">
        <w:rPr>
          <w:rFonts w:ascii="Cambria" w:eastAsia="Times New Roman" w:hAnsi="Cambria" w:cs="Times New Roman"/>
          <w:b/>
          <w:bCs/>
        </w:rPr>
        <w:t>r</w:t>
      </w:r>
      <w:r w:rsidRPr="009A0DA6">
        <w:rPr>
          <w:rFonts w:ascii="Cambria" w:eastAsia="Times New Roman" w:hAnsi="Cambria" w:cs="Times New Roman"/>
        </w:rPr>
        <w:tab/>
      </w:r>
      <w:r w:rsidRPr="009A0DA6">
        <w:rPr>
          <w:rFonts w:ascii="Cambria" w:eastAsia="Times New Roman" w:hAnsi="Cambria" w:cs="Times New Roman"/>
          <w:b/>
          <w:bCs/>
          <w:w w:val="99"/>
        </w:rPr>
        <w:t xml:space="preserve"> </w:t>
      </w:r>
      <w:r w:rsidRPr="009A0DA6">
        <w:rPr>
          <w:rFonts w:ascii="Cambria" w:eastAsia="Times New Roman" w:hAnsi="Cambria" w:cs="Times New Roman"/>
          <w:b/>
          <w:bCs/>
        </w:rPr>
        <w:t xml:space="preserve"> </w:t>
      </w:r>
      <w:r w:rsidR="00AD7835">
        <w:rPr>
          <w:rFonts w:ascii="Cambria" w:eastAsia="Times New Roman" w:hAnsi="Cambria" w:cs="Times New Roman"/>
          <w:b/>
          <w:bCs/>
          <w:spacing w:val="1"/>
        </w:rPr>
        <w:t xml:space="preserve"> </w:t>
      </w:r>
      <w:r w:rsidRPr="009A0DA6">
        <w:rPr>
          <w:rFonts w:ascii="Cambria" w:eastAsia="Times New Roman" w:hAnsi="Cambria" w:cs="Times New Roman"/>
          <w:b/>
          <w:bCs/>
          <w:spacing w:val="1"/>
        </w:rPr>
        <w:t>5</w:t>
      </w:r>
      <w:r w:rsidRPr="009A0DA6">
        <w:rPr>
          <w:rFonts w:ascii="Cambria" w:eastAsia="Times New Roman" w:hAnsi="Cambria" w:cs="Times New Roman"/>
          <w:b/>
          <w:bCs/>
        </w:rPr>
        <w:t>,</w:t>
      </w:r>
      <w:r w:rsidRPr="009A0DA6">
        <w:rPr>
          <w:rFonts w:ascii="Cambria" w:eastAsia="Times New Roman" w:hAnsi="Cambria" w:cs="Times New Roman"/>
          <w:b/>
          <w:bCs/>
          <w:spacing w:val="1"/>
        </w:rPr>
        <w:t>628</w:t>
      </w:r>
      <w:r w:rsidRPr="009A0DA6">
        <w:rPr>
          <w:rFonts w:ascii="Cambria" w:eastAsia="Times New Roman" w:hAnsi="Cambria" w:cs="Times New Roman"/>
          <w:b/>
          <w:bCs/>
        </w:rPr>
        <w:t>,</w:t>
      </w:r>
      <w:r w:rsidRPr="009A0DA6">
        <w:rPr>
          <w:rFonts w:ascii="Cambria" w:eastAsia="Times New Roman" w:hAnsi="Cambria" w:cs="Times New Roman"/>
          <w:b/>
          <w:bCs/>
          <w:spacing w:val="1"/>
        </w:rPr>
        <w:t>45</w:t>
      </w:r>
      <w:r w:rsidRPr="009A0DA6">
        <w:rPr>
          <w:rFonts w:ascii="Cambria" w:eastAsia="Times New Roman" w:hAnsi="Cambria" w:cs="Times New Roman"/>
          <w:b/>
          <w:bCs/>
        </w:rPr>
        <w:t>9</w:t>
      </w:r>
      <w:r w:rsidRPr="009A0DA6">
        <w:rPr>
          <w:rFonts w:ascii="Cambria" w:eastAsia="Times New Roman" w:hAnsi="Cambria" w:cs="Times New Roman"/>
        </w:rPr>
        <w:tab/>
      </w:r>
      <w:r w:rsidR="00AD7835">
        <w:rPr>
          <w:rFonts w:ascii="Cambria" w:eastAsia="Times New Roman" w:hAnsi="Cambria" w:cs="Times New Roman"/>
          <w:b/>
          <w:bCs/>
          <w:w w:val="99"/>
        </w:rPr>
        <w:t xml:space="preserve"> </w:t>
      </w:r>
      <w:r w:rsidRPr="009A0DA6">
        <w:rPr>
          <w:rFonts w:ascii="Cambria" w:eastAsia="Times New Roman" w:hAnsi="Cambria" w:cs="Times New Roman"/>
          <w:b/>
          <w:bCs/>
          <w:spacing w:val="1"/>
        </w:rPr>
        <w:t>5</w:t>
      </w:r>
      <w:r w:rsidRPr="009A0DA6">
        <w:rPr>
          <w:rFonts w:ascii="Cambria" w:eastAsia="Times New Roman" w:hAnsi="Cambria" w:cs="Times New Roman"/>
          <w:b/>
          <w:bCs/>
        </w:rPr>
        <w:t>,</w:t>
      </w:r>
      <w:r w:rsidRPr="009A0DA6">
        <w:rPr>
          <w:rFonts w:ascii="Cambria" w:eastAsia="Times New Roman" w:hAnsi="Cambria" w:cs="Times New Roman"/>
          <w:b/>
          <w:bCs/>
          <w:spacing w:val="1"/>
        </w:rPr>
        <w:t>607</w:t>
      </w:r>
      <w:r w:rsidRPr="009A0DA6">
        <w:rPr>
          <w:rFonts w:ascii="Cambria" w:eastAsia="Times New Roman" w:hAnsi="Cambria" w:cs="Times New Roman"/>
          <w:b/>
          <w:bCs/>
        </w:rPr>
        <w:t>,</w:t>
      </w:r>
      <w:r w:rsidRPr="009A0DA6">
        <w:rPr>
          <w:rFonts w:ascii="Cambria" w:eastAsia="Times New Roman" w:hAnsi="Cambria" w:cs="Times New Roman"/>
          <w:b/>
          <w:bCs/>
          <w:spacing w:val="1"/>
        </w:rPr>
        <w:t>41</w:t>
      </w:r>
      <w:r w:rsidR="00AD7835">
        <w:rPr>
          <w:rFonts w:ascii="Cambria" w:eastAsia="Times New Roman" w:hAnsi="Cambria" w:cs="Times New Roman"/>
          <w:b/>
          <w:bCs/>
        </w:rPr>
        <w:t>4</w:t>
      </w:r>
      <w:r w:rsidR="00AD7835">
        <w:rPr>
          <w:rFonts w:ascii="Cambria" w:eastAsia="Times New Roman" w:hAnsi="Cambria" w:cs="Times New Roman"/>
          <w:b/>
          <w:bCs/>
        </w:rPr>
        <w:tab/>
      </w:r>
    </w:p>
    <w:p w14:paraId="10F7A38F" w14:textId="77777777" w:rsidR="002E592D" w:rsidRPr="009A0DA6" w:rsidRDefault="002E592D" w:rsidP="002E592D">
      <w:pPr>
        <w:tabs>
          <w:tab w:val="right" w:pos="5954"/>
          <w:tab w:val="right" w:pos="7371"/>
          <w:tab w:val="right" w:pos="8789"/>
        </w:tabs>
        <w:spacing w:after="0" w:line="240" w:lineRule="auto"/>
        <w:ind w:right="-20"/>
        <w:rPr>
          <w:rFonts w:ascii="Cambria" w:eastAsia="Times New Roman" w:hAnsi="Cambria" w:cs="Times New Roman"/>
          <w:bCs/>
        </w:rPr>
      </w:pPr>
      <w:r w:rsidRPr="009A0DA6">
        <w:rPr>
          <w:rFonts w:ascii="Cambria" w:hAnsi="Cambria"/>
          <w:bCs/>
        </w:rPr>
        <w:t xml:space="preserve">Please note the comparatives for the FY2015 Statement of cash flow are </w:t>
      </w:r>
      <w:r w:rsidRPr="009A0DA6">
        <w:rPr>
          <w:rFonts w:ascii="Cambria" w:hAnsi="Cambria"/>
        </w:rPr>
        <w:t>not available due to changes to accounting reporting which applied to subsequent years.</w:t>
      </w:r>
    </w:p>
    <w:p w14:paraId="074A623F" w14:textId="77777777" w:rsidR="002E592D" w:rsidRPr="009A0DA6" w:rsidRDefault="002E592D" w:rsidP="002E592D">
      <w:pPr>
        <w:pStyle w:val="NoSpacing"/>
      </w:pPr>
    </w:p>
    <w:p w14:paraId="170CE6B9" w14:textId="5291D860" w:rsidR="002E592D" w:rsidRDefault="002E592D" w:rsidP="0054360D">
      <w:pPr>
        <w:pStyle w:val="Heading3"/>
      </w:pPr>
    </w:p>
    <w:p w14:paraId="4026C965" w14:textId="2B08FE76" w:rsidR="00206BF6" w:rsidRDefault="00206BF6" w:rsidP="00206BF6">
      <w:pPr>
        <w:pStyle w:val="NoSpacing"/>
      </w:pPr>
    </w:p>
    <w:p w14:paraId="1316B562" w14:textId="77777777" w:rsidR="00206BF6" w:rsidRPr="00206BF6" w:rsidRDefault="00206BF6" w:rsidP="00206BF6">
      <w:pPr>
        <w:pStyle w:val="NoSpacing"/>
      </w:pPr>
    </w:p>
    <w:p w14:paraId="037127C4" w14:textId="6F62E59B" w:rsidR="0054360D" w:rsidRPr="009A0DA6" w:rsidRDefault="00427D86" w:rsidP="0054360D">
      <w:pPr>
        <w:pStyle w:val="Heading3"/>
      </w:pPr>
      <w:r>
        <w:br/>
      </w:r>
      <w:r w:rsidR="0054360D" w:rsidRPr="009A0DA6">
        <w:t>agenda 14.13</w:t>
      </w:r>
    </w:p>
    <w:p w14:paraId="270F3F67" w14:textId="77777777" w:rsidR="0054360D" w:rsidRPr="009A0DA6" w:rsidRDefault="0054360D" w:rsidP="0054360D">
      <w:pPr>
        <w:pStyle w:val="Heading2"/>
      </w:pPr>
      <w:bookmarkStart w:id="527" w:name="_Toc521954764"/>
      <w:r w:rsidRPr="009A0DA6">
        <w:t>LCA Nominees Pty Ltd ATF Lutheran Super</w:t>
      </w:r>
      <w:bookmarkEnd w:id="527"/>
    </w:p>
    <w:p w14:paraId="0F002AE9" w14:textId="77777777" w:rsidR="0054360D" w:rsidRPr="009A0DA6" w:rsidRDefault="0054360D" w:rsidP="0054360D">
      <w:pPr>
        <w:pStyle w:val="NoSpacing"/>
      </w:pPr>
    </w:p>
    <w:p w14:paraId="147AF3FB" w14:textId="77777777" w:rsidR="0054360D" w:rsidRPr="009A0DA6" w:rsidRDefault="0054360D" w:rsidP="0054360D">
      <w:pPr>
        <w:pStyle w:val="Heading3"/>
      </w:pPr>
      <w:r w:rsidRPr="009A0DA6">
        <w:t>MEMBERS</w:t>
      </w:r>
    </w:p>
    <w:p w14:paraId="4BEE94A9" w14:textId="77777777" w:rsidR="0054360D" w:rsidRPr="009A0DA6" w:rsidRDefault="0054360D" w:rsidP="0054360D">
      <w:pPr>
        <w:pStyle w:val="NoSpacing"/>
      </w:pPr>
      <w:r w:rsidRPr="009A0DA6">
        <w:t>John Grocke (Chairperson) Anthony Klatt, Sarah Dixon Lester Kerber Bernadette Latimer Alison Doecke, Philip Riquier</w:t>
      </w:r>
    </w:p>
    <w:p w14:paraId="1ACA053E" w14:textId="77777777" w:rsidR="0054360D" w:rsidRPr="009A0DA6" w:rsidRDefault="0054360D" w:rsidP="0054360D">
      <w:pPr>
        <w:pStyle w:val="NoSpacing"/>
      </w:pPr>
    </w:p>
    <w:p w14:paraId="5337D9F0" w14:textId="77777777" w:rsidR="0054360D" w:rsidRPr="009A0DA6" w:rsidRDefault="0054360D" w:rsidP="0054360D">
      <w:pPr>
        <w:pStyle w:val="Heading3"/>
      </w:pPr>
      <w:r w:rsidRPr="009A0DA6">
        <w:t>Background</w:t>
      </w:r>
    </w:p>
    <w:p w14:paraId="20B0B1CB" w14:textId="77777777" w:rsidR="0054360D" w:rsidRPr="009A0DA6" w:rsidRDefault="0054360D" w:rsidP="0054360D">
      <w:pPr>
        <w:pStyle w:val="NoSpacing"/>
      </w:pPr>
      <w:r w:rsidRPr="009A0DA6">
        <w:t>Lutheran Super is a not-for-profit fund established by the Lutheran Church of Australia to provide excellent superannuation benefits with competitive fees for its employees.</w:t>
      </w:r>
      <w:r w:rsidRPr="009A0DA6">
        <w:br/>
      </w:r>
    </w:p>
    <w:p w14:paraId="35A177E9" w14:textId="77777777" w:rsidR="0054360D" w:rsidRPr="009A0DA6" w:rsidRDefault="0054360D" w:rsidP="00F55252">
      <w:pPr>
        <w:pStyle w:val="NoSpacing"/>
        <w:numPr>
          <w:ilvl w:val="0"/>
          <w:numId w:val="288"/>
        </w:numPr>
        <w:ind w:left="567" w:hanging="567"/>
      </w:pPr>
      <w:r w:rsidRPr="009A0DA6">
        <w:t xml:space="preserve">Increase and Maintain Membership Numbers. </w:t>
      </w:r>
    </w:p>
    <w:p w14:paraId="0E820435" w14:textId="77777777" w:rsidR="0054360D" w:rsidRPr="009A0DA6" w:rsidRDefault="0054360D" w:rsidP="00F55252">
      <w:pPr>
        <w:pStyle w:val="NoSpacing"/>
        <w:numPr>
          <w:ilvl w:val="1"/>
          <w:numId w:val="288"/>
        </w:numPr>
        <w:ind w:left="1134" w:hanging="567"/>
      </w:pPr>
      <w:r w:rsidRPr="009A0DA6">
        <w:t>6,526 members as at 31 December 2017. Target to increase membership numbers to 6,950 by 31 December 2020.</w:t>
      </w:r>
      <w:r w:rsidRPr="009A0DA6">
        <w:br/>
      </w:r>
    </w:p>
    <w:p w14:paraId="2CE82193" w14:textId="77777777" w:rsidR="0054360D" w:rsidRPr="009A0DA6" w:rsidRDefault="0054360D" w:rsidP="00F55252">
      <w:pPr>
        <w:pStyle w:val="NoSpacing"/>
        <w:numPr>
          <w:ilvl w:val="0"/>
          <w:numId w:val="288"/>
        </w:numPr>
        <w:ind w:left="567" w:hanging="567"/>
      </w:pPr>
      <w:r w:rsidRPr="009A0DA6">
        <w:t>Continuing to deal with increased internal governance and regulatory requirements and demands on the board.</w:t>
      </w:r>
    </w:p>
    <w:p w14:paraId="605CC058" w14:textId="77777777" w:rsidR="0054360D" w:rsidRPr="009A0DA6" w:rsidRDefault="0054360D" w:rsidP="00F55252">
      <w:pPr>
        <w:pStyle w:val="NoSpacing"/>
        <w:numPr>
          <w:ilvl w:val="1"/>
          <w:numId w:val="288"/>
        </w:numPr>
        <w:ind w:left="1134" w:hanging="567"/>
      </w:pPr>
      <w:r w:rsidRPr="009A0DA6">
        <w:t>Internal Review of Board Structure resulted in a change from 4 Employer Appointed and 4 Member Elected Directors to 3 Employer Appointed, 3 Member Elected and 2 Independent Directors;</w:t>
      </w:r>
    </w:p>
    <w:p w14:paraId="614BD5CB" w14:textId="77777777" w:rsidR="0054360D" w:rsidRPr="009A0DA6" w:rsidRDefault="0054360D" w:rsidP="00F55252">
      <w:pPr>
        <w:pStyle w:val="NoSpacing"/>
        <w:numPr>
          <w:ilvl w:val="1"/>
          <w:numId w:val="288"/>
        </w:numPr>
        <w:ind w:left="1134" w:hanging="567"/>
      </w:pPr>
      <w:r w:rsidRPr="009A0DA6">
        <w:t xml:space="preserve">Received a "Normal rating from each prudential Review conducted by the Australian Prudential Regulation Authority (APRA). </w:t>
      </w:r>
    </w:p>
    <w:p w14:paraId="3555C72E" w14:textId="77777777" w:rsidR="0054360D" w:rsidRPr="009A0DA6" w:rsidRDefault="0054360D" w:rsidP="00F55252">
      <w:pPr>
        <w:pStyle w:val="NoSpacing"/>
        <w:numPr>
          <w:ilvl w:val="1"/>
          <w:numId w:val="288"/>
        </w:numPr>
        <w:ind w:left="1134" w:hanging="567"/>
      </w:pPr>
      <w:r w:rsidRPr="009A0DA6">
        <w:t>Continue to meet all regulatory requirements.</w:t>
      </w:r>
    </w:p>
    <w:p w14:paraId="36C701E8" w14:textId="77777777" w:rsidR="0054360D" w:rsidRPr="009A0DA6" w:rsidRDefault="0054360D" w:rsidP="0054360D">
      <w:pPr>
        <w:pStyle w:val="NoSpacing"/>
      </w:pPr>
    </w:p>
    <w:p w14:paraId="0BA10517" w14:textId="77777777" w:rsidR="0054360D" w:rsidRPr="009A0DA6" w:rsidRDefault="0054360D" w:rsidP="0054360D">
      <w:pPr>
        <w:pStyle w:val="Heading3"/>
      </w:pPr>
      <w:r w:rsidRPr="009A0DA6">
        <w:t>Successes</w:t>
      </w:r>
    </w:p>
    <w:p w14:paraId="3B4CF4BC" w14:textId="77777777" w:rsidR="0054360D" w:rsidRPr="009A0DA6" w:rsidRDefault="0054360D" w:rsidP="00F55252">
      <w:pPr>
        <w:pStyle w:val="NoSpacing"/>
        <w:numPr>
          <w:ilvl w:val="0"/>
          <w:numId w:val="289"/>
        </w:numPr>
        <w:ind w:left="567" w:hanging="567"/>
      </w:pPr>
      <w:r w:rsidRPr="009A0DA6">
        <w:t>Reviewed the structure of the Lutheran Super Investments offering resulting in a saving of $150k per annum.</w:t>
      </w:r>
    </w:p>
    <w:p w14:paraId="12559EAD" w14:textId="77777777" w:rsidR="0054360D" w:rsidRPr="009A0DA6" w:rsidRDefault="0054360D" w:rsidP="00F55252">
      <w:pPr>
        <w:pStyle w:val="NoSpacing"/>
        <w:numPr>
          <w:ilvl w:val="0"/>
          <w:numId w:val="289"/>
        </w:numPr>
        <w:ind w:left="567" w:hanging="567"/>
      </w:pPr>
      <w:r w:rsidRPr="009A0DA6">
        <w:t>Review on Insurance Arrangements resulting in  a reduction in the premiums paid by members.</w:t>
      </w:r>
    </w:p>
    <w:p w14:paraId="79B5062C" w14:textId="77777777" w:rsidR="0054360D" w:rsidRPr="009A0DA6" w:rsidRDefault="0054360D" w:rsidP="00F55252">
      <w:pPr>
        <w:pStyle w:val="NoSpacing"/>
        <w:numPr>
          <w:ilvl w:val="0"/>
          <w:numId w:val="289"/>
        </w:numPr>
        <w:ind w:left="567" w:hanging="567"/>
      </w:pPr>
      <w:r w:rsidRPr="009A0DA6">
        <w:t>Remaining a valued niche Superannuation Fund for the Lutheran Church of Australia's employees</w:t>
      </w:r>
    </w:p>
    <w:p w14:paraId="30BAB016" w14:textId="77777777" w:rsidR="0054360D" w:rsidRPr="009A0DA6" w:rsidRDefault="0054360D" w:rsidP="0054360D">
      <w:pPr>
        <w:pStyle w:val="NoSpacing"/>
      </w:pPr>
    </w:p>
    <w:p w14:paraId="0501F744" w14:textId="77777777" w:rsidR="0054360D" w:rsidRPr="009A0DA6" w:rsidRDefault="0054360D" w:rsidP="0054360D">
      <w:pPr>
        <w:pStyle w:val="Heading3"/>
      </w:pPr>
      <w:r w:rsidRPr="009A0DA6">
        <w:lastRenderedPageBreak/>
        <w:t>Challenges and Lessons Learned</w:t>
      </w:r>
    </w:p>
    <w:p w14:paraId="377792D1" w14:textId="77777777" w:rsidR="0054360D" w:rsidRPr="009A0DA6" w:rsidRDefault="0054360D" w:rsidP="00F55252">
      <w:pPr>
        <w:pStyle w:val="NoSpacing"/>
        <w:numPr>
          <w:ilvl w:val="0"/>
          <w:numId w:val="290"/>
        </w:numPr>
        <w:ind w:left="567" w:hanging="567"/>
      </w:pPr>
      <w:r w:rsidRPr="009A0DA6">
        <w:t>Maintaining ongoing regulatory requirements given relative scale compared to the wider superannuation industry.</w:t>
      </w:r>
    </w:p>
    <w:p w14:paraId="01482EBA" w14:textId="77777777" w:rsidR="0054360D" w:rsidRPr="009A0DA6" w:rsidRDefault="0054360D" w:rsidP="00F55252">
      <w:pPr>
        <w:pStyle w:val="NoSpacing"/>
        <w:numPr>
          <w:ilvl w:val="0"/>
          <w:numId w:val="290"/>
        </w:numPr>
        <w:ind w:left="567" w:hanging="567"/>
      </w:pPr>
      <w:r w:rsidRPr="009A0DA6">
        <w:t>Accessing appropriate expertise to continue to run the superannuation on a best practice basis.</w:t>
      </w:r>
    </w:p>
    <w:p w14:paraId="49353E08" w14:textId="77777777" w:rsidR="0054360D" w:rsidRPr="009A0DA6" w:rsidRDefault="0054360D" w:rsidP="0054360D">
      <w:pPr>
        <w:pStyle w:val="NoSpacing"/>
      </w:pPr>
    </w:p>
    <w:p w14:paraId="1A99960C" w14:textId="77777777" w:rsidR="0054360D" w:rsidRPr="009A0DA6" w:rsidRDefault="0054360D" w:rsidP="0054360D">
      <w:pPr>
        <w:pStyle w:val="Heading3"/>
      </w:pPr>
      <w:r w:rsidRPr="009A0DA6">
        <w:t>RISKS</w:t>
      </w:r>
    </w:p>
    <w:tbl>
      <w:tblPr>
        <w:tblStyle w:val="PlainTable2"/>
        <w:tblW w:w="8845" w:type="dxa"/>
        <w:tblLayout w:type="fixed"/>
        <w:tblLook w:val="01E0" w:firstRow="1" w:lastRow="1" w:firstColumn="1" w:lastColumn="1" w:noHBand="0" w:noVBand="0"/>
      </w:tblPr>
      <w:tblGrid>
        <w:gridCol w:w="2041"/>
        <w:gridCol w:w="3402"/>
        <w:gridCol w:w="3402"/>
      </w:tblGrid>
      <w:tr w:rsidR="0054360D" w:rsidRPr="009A0DA6" w14:paraId="69D34B2B" w14:textId="77777777" w:rsidTr="00AD09CB">
        <w:trPr>
          <w:cnfStyle w:val="100000000000" w:firstRow="1" w:lastRow="0" w:firstColumn="0" w:lastColumn="0" w:oddVBand="0" w:evenVBand="0" w:oddHBand="0" w:evenHBand="0" w:firstRowFirstColumn="0" w:firstRowLastColumn="0" w:lastRowFirstColumn="0" w:lastRowLastColumn="0"/>
          <w:trHeight w:hRule="exact" w:val="890"/>
        </w:trPr>
        <w:tc>
          <w:tcPr>
            <w:cnfStyle w:val="001000000000" w:firstRow="0" w:lastRow="0" w:firstColumn="1" w:lastColumn="0" w:oddVBand="0" w:evenVBand="0" w:oddHBand="0" w:evenHBand="0" w:firstRowFirstColumn="0" w:firstRowLastColumn="0" w:lastRowFirstColumn="0" w:lastRowLastColumn="0"/>
            <w:tcW w:w="2041" w:type="dxa"/>
            <w:tcBorders>
              <w:top w:val="single" w:sz="4" w:space="0" w:color="7F7F7F" w:themeColor="text1" w:themeTint="80"/>
              <w:right w:val="nil"/>
            </w:tcBorders>
            <w:vAlign w:val="center"/>
            <w:hideMark/>
          </w:tcPr>
          <w:p w14:paraId="111E00D6" w14:textId="77777777" w:rsidR="0054360D" w:rsidRPr="009A0DA6" w:rsidRDefault="0054360D" w:rsidP="0015713F">
            <w:pPr>
              <w:pStyle w:val="NoSpacing"/>
            </w:pPr>
            <w:r w:rsidRPr="009A0DA6">
              <w:t>Description of risk</w:t>
            </w:r>
          </w:p>
        </w:tc>
        <w:tc>
          <w:tcPr>
            <w:cnfStyle w:val="000010000000" w:firstRow="0" w:lastRow="0" w:firstColumn="0" w:lastColumn="0" w:oddVBand="1" w:evenVBand="0" w:oddHBand="0" w:evenHBand="0" w:firstRowFirstColumn="0" w:firstRowLastColumn="0" w:lastRowFirstColumn="0" w:lastRowLastColumn="0"/>
            <w:tcW w:w="3402" w:type="dxa"/>
            <w:tcBorders>
              <w:top w:val="single" w:sz="4" w:space="0" w:color="7F7F7F" w:themeColor="text1" w:themeTint="80"/>
              <w:left w:val="nil"/>
              <w:right w:val="nil"/>
            </w:tcBorders>
            <w:vAlign w:val="center"/>
            <w:hideMark/>
          </w:tcPr>
          <w:p w14:paraId="4712C73E" w14:textId="77777777" w:rsidR="0054360D" w:rsidRPr="009A0DA6" w:rsidRDefault="0054360D" w:rsidP="0015713F">
            <w:pPr>
              <w:pStyle w:val="NoSpacing"/>
            </w:pPr>
            <w:r w:rsidRPr="009A0DA6">
              <w:t>Likelihood of risk occurring and potential impact for the</w:t>
            </w:r>
          </w:p>
          <w:p w14:paraId="36726386" w14:textId="77777777" w:rsidR="0054360D" w:rsidRPr="009A0DA6" w:rsidRDefault="0054360D" w:rsidP="0015713F">
            <w:pPr>
              <w:pStyle w:val="NoSpacing"/>
            </w:pPr>
            <w:r w:rsidRPr="009A0DA6">
              <w:t>ministry and LCA</w:t>
            </w:r>
          </w:p>
        </w:tc>
        <w:tc>
          <w:tcPr>
            <w:cnfStyle w:val="000100000000" w:firstRow="0" w:lastRow="0" w:firstColumn="0" w:lastColumn="1" w:oddVBand="0" w:evenVBand="0" w:oddHBand="0" w:evenHBand="0" w:firstRowFirstColumn="0" w:firstRowLastColumn="0" w:lastRowFirstColumn="0" w:lastRowLastColumn="0"/>
            <w:tcW w:w="3402" w:type="dxa"/>
            <w:tcBorders>
              <w:left w:val="nil"/>
            </w:tcBorders>
            <w:vAlign w:val="center"/>
            <w:hideMark/>
          </w:tcPr>
          <w:p w14:paraId="5D60E8E4" w14:textId="77777777" w:rsidR="0054360D" w:rsidRPr="009A0DA6" w:rsidRDefault="0054360D" w:rsidP="0015713F">
            <w:pPr>
              <w:pStyle w:val="NoSpacing"/>
            </w:pPr>
            <w:r w:rsidRPr="009A0DA6">
              <w:t>Summary of action to mitigate the risk</w:t>
            </w:r>
          </w:p>
        </w:tc>
      </w:tr>
      <w:tr w:rsidR="0054360D" w:rsidRPr="009A0DA6" w14:paraId="77FDDFEC" w14:textId="77777777" w:rsidTr="00AD09CB">
        <w:trPr>
          <w:cnfStyle w:val="000000100000" w:firstRow="0" w:lastRow="0" w:firstColumn="0" w:lastColumn="0" w:oddVBand="0" w:evenVBand="0" w:oddHBand="1" w:evenHBand="0" w:firstRowFirstColumn="0" w:firstRowLastColumn="0" w:lastRowFirstColumn="0" w:lastRowLastColumn="0"/>
          <w:trHeight w:hRule="exact" w:val="892"/>
        </w:trPr>
        <w:tc>
          <w:tcPr>
            <w:cnfStyle w:val="001000000000" w:firstRow="0" w:lastRow="0" w:firstColumn="1" w:lastColumn="0" w:oddVBand="0" w:evenVBand="0" w:oddHBand="0" w:evenHBand="0" w:firstRowFirstColumn="0" w:firstRowLastColumn="0" w:lastRowFirstColumn="0" w:lastRowLastColumn="0"/>
            <w:tcW w:w="2041" w:type="dxa"/>
            <w:tcBorders>
              <w:right w:val="nil"/>
            </w:tcBorders>
            <w:hideMark/>
          </w:tcPr>
          <w:p w14:paraId="69F79061" w14:textId="77777777" w:rsidR="0054360D" w:rsidRPr="009A0DA6" w:rsidRDefault="0054360D" w:rsidP="00AD09CB">
            <w:pPr>
              <w:pStyle w:val="NoSpacing"/>
            </w:pPr>
            <w:r w:rsidRPr="009A0DA6">
              <w:t>Increased Regulation</w:t>
            </w:r>
          </w:p>
        </w:tc>
        <w:tc>
          <w:tcPr>
            <w:cnfStyle w:val="000010000000" w:firstRow="0" w:lastRow="0" w:firstColumn="0" w:lastColumn="0" w:oddVBand="1" w:evenVBand="0" w:oddHBand="0" w:evenHBand="0" w:firstRowFirstColumn="0" w:firstRowLastColumn="0" w:lastRowFirstColumn="0" w:lastRowLastColumn="0"/>
            <w:tcW w:w="3402" w:type="dxa"/>
            <w:tcBorders>
              <w:left w:val="nil"/>
              <w:right w:val="nil"/>
            </w:tcBorders>
            <w:hideMark/>
          </w:tcPr>
          <w:p w14:paraId="596AB852" w14:textId="77777777" w:rsidR="0054360D" w:rsidRPr="009A0DA6" w:rsidRDefault="0054360D" w:rsidP="00AD09CB">
            <w:pPr>
              <w:pStyle w:val="NoSpacing"/>
            </w:pPr>
            <w:r w:rsidRPr="009A0DA6">
              <w:t>Almost Certain- potential for Lutheran Super to become non-compliant</w:t>
            </w:r>
          </w:p>
        </w:tc>
        <w:tc>
          <w:tcPr>
            <w:cnfStyle w:val="000100000000" w:firstRow="0" w:lastRow="0" w:firstColumn="0" w:lastColumn="1" w:oddVBand="0" w:evenVBand="0" w:oddHBand="0" w:evenHBand="0" w:firstRowFirstColumn="0" w:firstRowLastColumn="0" w:lastRowFirstColumn="0" w:lastRowLastColumn="0"/>
            <w:tcW w:w="3402" w:type="dxa"/>
            <w:tcBorders>
              <w:left w:val="nil"/>
            </w:tcBorders>
            <w:hideMark/>
          </w:tcPr>
          <w:p w14:paraId="6E2E0EE2" w14:textId="77777777" w:rsidR="0054360D" w:rsidRPr="009A0DA6" w:rsidRDefault="0054360D" w:rsidP="00AD09CB">
            <w:pPr>
              <w:pStyle w:val="NoSpacing"/>
              <w:rPr>
                <w:b w:val="0"/>
              </w:rPr>
            </w:pPr>
            <w:r w:rsidRPr="009A0DA6">
              <w:rPr>
                <w:b w:val="0"/>
              </w:rPr>
              <w:t>Ongoing timely response to regulatory requirements</w:t>
            </w:r>
          </w:p>
        </w:tc>
      </w:tr>
      <w:tr w:rsidR="0054360D" w:rsidRPr="009A0DA6" w14:paraId="2B620A1B" w14:textId="77777777" w:rsidTr="00AD09CB">
        <w:trPr>
          <w:cnfStyle w:val="010000000000" w:firstRow="0" w:lastRow="1" w:firstColumn="0" w:lastColumn="0" w:oddVBand="0" w:evenVBand="0" w:oddHBand="0" w:evenHBand="0" w:firstRowFirstColumn="0" w:firstRowLastColumn="0" w:lastRowFirstColumn="0" w:lastRowLastColumn="0"/>
          <w:trHeight w:hRule="exact" w:val="1324"/>
        </w:trPr>
        <w:tc>
          <w:tcPr>
            <w:cnfStyle w:val="001000000000" w:firstRow="0" w:lastRow="0" w:firstColumn="1" w:lastColumn="0" w:oddVBand="0" w:evenVBand="0" w:oddHBand="0" w:evenHBand="0" w:firstRowFirstColumn="0" w:firstRowLastColumn="0" w:lastRowFirstColumn="0" w:lastRowLastColumn="0"/>
            <w:tcW w:w="2041" w:type="dxa"/>
            <w:tcBorders>
              <w:bottom w:val="single" w:sz="4" w:space="0" w:color="7F7F7F" w:themeColor="text1" w:themeTint="80"/>
              <w:right w:val="nil"/>
            </w:tcBorders>
            <w:hideMark/>
          </w:tcPr>
          <w:p w14:paraId="61844942" w14:textId="77777777" w:rsidR="0054360D" w:rsidRPr="009A0DA6" w:rsidRDefault="0054360D" w:rsidP="00AD09CB">
            <w:pPr>
              <w:pStyle w:val="NoSpacing"/>
            </w:pPr>
            <w:r w:rsidRPr="009A0DA6">
              <w:t>Relative Scale</w:t>
            </w:r>
          </w:p>
        </w:tc>
        <w:tc>
          <w:tcPr>
            <w:cnfStyle w:val="000010000000" w:firstRow="0" w:lastRow="0" w:firstColumn="0" w:lastColumn="0" w:oddVBand="1" w:evenVBand="0" w:oddHBand="0" w:evenHBand="0" w:firstRowFirstColumn="0" w:firstRowLastColumn="0" w:lastRowFirstColumn="0" w:lastRowLastColumn="0"/>
            <w:tcW w:w="3402" w:type="dxa"/>
            <w:tcBorders>
              <w:left w:val="nil"/>
              <w:bottom w:val="single" w:sz="4" w:space="0" w:color="7F7F7F" w:themeColor="text1" w:themeTint="80"/>
              <w:right w:val="nil"/>
            </w:tcBorders>
            <w:hideMark/>
          </w:tcPr>
          <w:p w14:paraId="2AFB51CE" w14:textId="77777777" w:rsidR="0054360D" w:rsidRPr="009A0DA6" w:rsidRDefault="0054360D" w:rsidP="00AD09CB">
            <w:pPr>
              <w:pStyle w:val="NoSpacing"/>
              <w:rPr>
                <w:b w:val="0"/>
              </w:rPr>
            </w:pPr>
            <w:r w:rsidRPr="009A0DA6">
              <w:rPr>
                <w:b w:val="0"/>
              </w:rPr>
              <w:t>Possible - potential for Lutheran Super to become financially unviable</w:t>
            </w:r>
          </w:p>
        </w:tc>
        <w:tc>
          <w:tcPr>
            <w:cnfStyle w:val="000100000000" w:firstRow="0" w:lastRow="0" w:firstColumn="0" w:lastColumn="1" w:oddVBand="0" w:evenVBand="0" w:oddHBand="0" w:evenHBand="0" w:firstRowFirstColumn="0" w:firstRowLastColumn="0" w:lastRowFirstColumn="0" w:lastRowLastColumn="0"/>
            <w:tcW w:w="3402" w:type="dxa"/>
            <w:tcBorders>
              <w:left w:val="nil"/>
            </w:tcBorders>
            <w:hideMark/>
          </w:tcPr>
          <w:p w14:paraId="067E03BC" w14:textId="77777777" w:rsidR="0054360D" w:rsidRPr="009A0DA6" w:rsidRDefault="0054360D" w:rsidP="00AD09CB">
            <w:pPr>
              <w:pStyle w:val="NoSpacing"/>
              <w:rPr>
                <w:b w:val="0"/>
              </w:rPr>
            </w:pPr>
            <w:r w:rsidRPr="009A0DA6">
              <w:rPr>
                <w:b w:val="0"/>
              </w:rPr>
              <w:t>Continuing investigation into possible efficiency gains in order to maintain competitiveness</w:t>
            </w:r>
          </w:p>
        </w:tc>
      </w:tr>
    </w:tbl>
    <w:p w14:paraId="6B2A7A3C" w14:textId="77777777" w:rsidR="0054360D" w:rsidRPr="009A0DA6" w:rsidRDefault="0054360D" w:rsidP="0054360D">
      <w:pPr>
        <w:pStyle w:val="NoSpacing"/>
      </w:pPr>
    </w:p>
    <w:p w14:paraId="57A03420" w14:textId="2C2A1A23" w:rsidR="0054360D" w:rsidRPr="009A0DA6" w:rsidRDefault="0054360D" w:rsidP="0054360D">
      <w:pPr>
        <w:pStyle w:val="Heading3"/>
      </w:pPr>
      <w:r w:rsidRPr="009A0DA6">
        <w:t>Alignment to LCA Strategic Direction 2013</w:t>
      </w:r>
      <w:r w:rsidR="00AD7835">
        <w:sym w:font="Symbol" w:char="F02D"/>
      </w:r>
      <w:r w:rsidRPr="009A0DA6">
        <w:t>2018</w:t>
      </w:r>
    </w:p>
    <w:p w14:paraId="37FC91DB" w14:textId="77777777" w:rsidR="0054360D" w:rsidRPr="009A0DA6" w:rsidRDefault="0054360D" w:rsidP="0054360D">
      <w:pPr>
        <w:pStyle w:val="NoSpacing"/>
      </w:pPr>
      <w:r w:rsidRPr="009A0DA6">
        <w:t>Lutheran Super assists the LCA in meeting Strategic Priority 3: Enable us to Go and Grow.</w:t>
      </w:r>
    </w:p>
    <w:p w14:paraId="6F745D6A" w14:textId="77777777" w:rsidR="0054360D" w:rsidRPr="009A0DA6" w:rsidRDefault="0054360D" w:rsidP="0054360D">
      <w:pPr>
        <w:pStyle w:val="NoSpacing"/>
      </w:pPr>
    </w:p>
    <w:p w14:paraId="5E30AA0F" w14:textId="77777777" w:rsidR="0054360D" w:rsidRPr="009A0DA6" w:rsidRDefault="0054360D" w:rsidP="0054360D">
      <w:pPr>
        <w:pStyle w:val="Heading3"/>
      </w:pPr>
      <w:r w:rsidRPr="009A0DA6">
        <w:t>Cooperating LCA Boards and Agencies</w:t>
      </w:r>
    </w:p>
    <w:p w14:paraId="0BF8F9B6" w14:textId="77777777" w:rsidR="0054360D" w:rsidRPr="009A0DA6" w:rsidRDefault="0054360D" w:rsidP="0054360D">
      <w:pPr>
        <w:pStyle w:val="NoSpacing"/>
      </w:pPr>
      <w:r w:rsidRPr="009A0DA6">
        <w:t>Lutheran Super engages on a collaborative basis with both the LCA Executive Office and Lutheran Education Australia to ensure that any superannuation issues that have ramifications for the employers and employees of the LCA are raised at the appropriate level so that informed decisions can be made in the best interests of all key stakeholders.</w:t>
      </w:r>
    </w:p>
    <w:p w14:paraId="43DC50EE" w14:textId="77777777" w:rsidR="00AD7835" w:rsidRDefault="00AD7835" w:rsidP="00964A90">
      <w:pPr>
        <w:pStyle w:val="Heading3"/>
      </w:pPr>
    </w:p>
    <w:p w14:paraId="4BDFDC3A" w14:textId="77777777" w:rsidR="00AD7835" w:rsidRDefault="00AD7835" w:rsidP="00964A90">
      <w:pPr>
        <w:pStyle w:val="Heading3"/>
      </w:pPr>
    </w:p>
    <w:p w14:paraId="526BAAF1" w14:textId="77777777" w:rsidR="00206BF6" w:rsidRDefault="00206BF6">
      <w:pPr>
        <w:rPr>
          <w:rFonts w:ascii="Cambria" w:eastAsiaTheme="majorEastAsia" w:hAnsi="Cambria" w:cstheme="majorBidi"/>
          <w:b/>
          <w:caps/>
          <w:sz w:val="28"/>
          <w:szCs w:val="24"/>
        </w:rPr>
      </w:pPr>
      <w:r>
        <w:br w:type="page"/>
      </w:r>
    </w:p>
    <w:p w14:paraId="72B4AF6B" w14:textId="69393323" w:rsidR="004F6C40" w:rsidRPr="009A0DA6" w:rsidRDefault="004F6C40" w:rsidP="00964A90">
      <w:pPr>
        <w:pStyle w:val="Heading3"/>
      </w:pPr>
      <w:r w:rsidRPr="009A0DA6">
        <w:lastRenderedPageBreak/>
        <w:t>Agenda 15.1</w:t>
      </w:r>
    </w:p>
    <w:p w14:paraId="18BA89B8" w14:textId="77777777" w:rsidR="004F6C40" w:rsidRPr="009A0DA6" w:rsidRDefault="004F6C40" w:rsidP="004F6C40">
      <w:pPr>
        <w:pStyle w:val="Heading2"/>
      </w:pPr>
      <w:bookmarkStart w:id="528" w:name="_Toc521954765"/>
      <w:r w:rsidRPr="009A0DA6">
        <w:t>Lutheran Men of Australia</w:t>
      </w:r>
      <w:bookmarkEnd w:id="528"/>
    </w:p>
    <w:p w14:paraId="47421669" w14:textId="77777777" w:rsidR="004F6C40" w:rsidRPr="009A0DA6" w:rsidRDefault="004F6C40" w:rsidP="004F6C40">
      <w:pPr>
        <w:pStyle w:val="NoSpacing"/>
      </w:pPr>
    </w:p>
    <w:p w14:paraId="39686817" w14:textId="77777777" w:rsidR="00AD55DF" w:rsidRPr="009A0DA6" w:rsidRDefault="00AD55DF" w:rsidP="00AD55DF">
      <w:pPr>
        <w:pStyle w:val="Heading3"/>
      </w:pPr>
      <w:r w:rsidRPr="009A0DA6">
        <w:t>MEMBERS</w:t>
      </w:r>
    </w:p>
    <w:p w14:paraId="756DFF10" w14:textId="17C0A0B6" w:rsidR="00AD55DF" w:rsidRPr="009A0DA6" w:rsidRDefault="00AD55DF" w:rsidP="00AD55DF">
      <w:pPr>
        <w:spacing w:after="120" w:line="240" w:lineRule="auto"/>
        <w:rPr>
          <w:rFonts w:ascii="Cambria" w:hAnsi="Cambria"/>
        </w:rPr>
      </w:pPr>
      <w:r w:rsidRPr="009A0DA6">
        <w:rPr>
          <w:rFonts w:ascii="Cambria" w:hAnsi="Cambria"/>
        </w:rPr>
        <w:t>Pastor David Kuss</w:t>
      </w:r>
      <w:r w:rsidR="0015713F">
        <w:rPr>
          <w:rFonts w:ascii="Cambria" w:hAnsi="Cambria"/>
        </w:rPr>
        <w:t xml:space="preserve"> </w:t>
      </w:r>
      <w:r w:rsidRPr="009A0DA6">
        <w:rPr>
          <w:rFonts w:ascii="Cambria" w:hAnsi="Cambria"/>
        </w:rPr>
        <w:t>– Spiritual Adviser – Public Officer elect, Neil Lehmann</w:t>
      </w:r>
      <w:r w:rsidR="0015713F">
        <w:rPr>
          <w:rFonts w:ascii="Cambria" w:hAnsi="Cambria"/>
        </w:rPr>
        <w:t xml:space="preserve"> </w:t>
      </w:r>
      <w:r w:rsidRPr="009A0DA6">
        <w:rPr>
          <w:rFonts w:ascii="Cambria" w:hAnsi="Cambria"/>
        </w:rPr>
        <w:t>– Retiring chairman, Keith</w:t>
      </w:r>
      <w:r w:rsidRPr="009A0DA6">
        <w:rPr>
          <w:rFonts w:ascii="Cambria" w:hAnsi="Cambria"/>
          <w:b/>
        </w:rPr>
        <w:t xml:space="preserve"> </w:t>
      </w:r>
      <w:r w:rsidRPr="009A0DA6">
        <w:rPr>
          <w:rFonts w:ascii="Cambria" w:hAnsi="Cambria"/>
        </w:rPr>
        <w:t>Munchenberg</w:t>
      </w:r>
      <w:r w:rsidR="0015713F">
        <w:rPr>
          <w:rFonts w:ascii="Cambria" w:hAnsi="Cambria"/>
        </w:rPr>
        <w:t xml:space="preserve"> </w:t>
      </w:r>
      <w:r w:rsidRPr="009A0DA6">
        <w:rPr>
          <w:rFonts w:ascii="Cambria" w:hAnsi="Cambria"/>
        </w:rPr>
        <w:t>– Secretary. Malcolm Pfeiffer - Retiring Vice-chairman, David Pfeiffer</w:t>
      </w:r>
      <w:r w:rsidR="0015713F">
        <w:rPr>
          <w:rFonts w:ascii="Cambria" w:hAnsi="Cambria"/>
        </w:rPr>
        <w:t xml:space="preserve"> </w:t>
      </w:r>
      <w:r w:rsidRPr="009A0DA6">
        <w:rPr>
          <w:rFonts w:ascii="Cambria" w:hAnsi="Cambria"/>
        </w:rPr>
        <w:t>– Retiring Treasurer – Chairman elect, David Schiller</w:t>
      </w:r>
      <w:r w:rsidR="0015713F">
        <w:rPr>
          <w:rFonts w:ascii="Cambria" w:hAnsi="Cambria"/>
        </w:rPr>
        <w:t xml:space="preserve"> – Treasurer-</w:t>
      </w:r>
      <w:r w:rsidRPr="009A0DA6">
        <w:rPr>
          <w:rFonts w:ascii="Cambria" w:hAnsi="Cambria"/>
        </w:rPr>
        <w:t>elect, John Seidel</w:t>
      </w:r>
      <w:r w:rsidR="0015713F">
        <w:rPr>
          <w:rFonts w:ascii="Cambria" w:hAnsi="Cambria"/>
        </w:rPr>
        <w:t xml:space="preserve"> – Retiring Public Officer</w:t>
      </w:r>
    </w:p>
    <w:p w14:paraId="17DEF84F" w14:textId="77777777" w:rsidR="00AD55DF" w:rsidRPr="009A0DA6" w:rsidRDefault="00AD55DF" w:rsidP="00AD55DF">
      <w:pPr>
        <w:pStyle w:val="Heading3"/>
        <w:rPr>
          <w:rFonts w:cs="Arial"/>
          <w:i/>
        </w:rPr>
      </w:pPr>
      <w:r w:rsidRPr="009A0DA6">
        <w:t>Background</w:t>
      </w:r>
    </w:p>
    <w:p w14:paraId="5FE8ACF7" w14:textId="77777777" w:rsidR="00AD55DF" w:rsidRPr="009A0DA6" w:rsidRDefault="00AD55DF" w:rsidP="00AD55DF">
      <w:pPr>
        <w:pStyle w:val="NoSpacing"/>
        <w:rPr>
          <w:i/>
        </w:rPr>
      </w:pPr>
      <w:r w:rsidRPr="009A0DA6">
        <w:t>The LMA exists to foster Christian fellowship, Evangelism and Stewardship among the laymen of the church and in particular;</w:t>
      </w:r>
    </w:p>
    <w:p w14:paraId="7C405765" w14:textId="77777777" w:rsidR="00AD55DF" w:rsidRPr="009A0DA6" w:rsidRDefault="00AD55DF" w:rsidP="00F55252">
      <w:pPr>
        <w:pStyle w:val="NoSpacing"/>
        <w:numPr>
          <w:ilvl w:val="0"/>
          <w:numId w:val="291"/>
        </w:numPr>
        <w:ind w:left="567" w:hanging="567"/>
      </w:pPr>
      <w:r w:rsidRPr="009A0DA6">
        <w:t>to assist in promoting a passion for the Bible and to encourage continued growth in Christian knowledge resulting in a systematic study of the Bible;</w:t>
      </w:r>
    </w:p>
    <w:p w14:paraId="4B65AB76" w14:textId="7BF06590" w:rsidR="00AD55DF" w:rsidRPr="009A0DA6" w:rsidRDefault="00AD55DF" w:rsidP="00F55252">
      <w:pPr>
        <w:pStyle w:val="NoSpacing"/>
        <w:numPr>
          <w:ilvl w:val="0"/>
          <w:numId w:val="291"/>
        </w:numPr>
        <w:ind w:left="567" w:hanging="567"/>
      </w:pPr>
      <w:r w:rsidRPr="009A0DA6">
        <w:t>To identify the needs of the church’s ministry to its own members, those on the margins of the church and its own organizations, so that through our members we may respond appropriately to those in need (</w:t>
      </w:r>
      <w:r w:rsidR="00C3381F" w:rsidRPr="009A0DA6">
        <w:t>eg</w:t>
      </w:r>
      <w:r w:rsidRPr="009A0DA6">
        <w:t xml:space="preserve"> sick, aged, the disabled, the abandoned, the lonely, the poor, the biblically, and confessionally illiterate, etc.) and other such undertakings of the church.</w:t>
      </w:r>
    </w:p>
    <w:p w14:paraId="166FABC1" w14:textId="77777777" w:rsidR="00AD55DF" w:rsidRPr="009A0DA6" w:rsidRDefault="00AD55DF" w:rsidP="00F55252">
      <w:pPr>
        <w:pStyle w:val="NoSpacing"/>
        <w:numPr>
          <w:ilvl w:val="0"/>
          <w:numId w:val="291"/>
        </w:numPr>
        <w:ind w:left="567" w:hanging="567"/>
      </w:pPr>
      <w:r w:rsidRPr="009A0DA6">
        <w:t>To encourage lay-members to participate actively in this work of the local congregations of the church.</w:t>
      </w:r>
    </w:p>
    <w:p w14:paraId="551CD571" w14:textId="55C0F81F" w:rsidR="00AD55DF" w:rsidRPr="009A0DA6" w:rsidRDefault="00AD55DF" w:rsidP="00F55252">
      <w:pPr>
        <w:pStyle w:val="NoSpacing"/>
        <w:numPr>
          <w:ilvl w:val="0"/>
          <w:numId w:val="291"/>
        </w:numPr>
        <w:ind w:left="567" w:hanging="567"/>
      </w:pPr>
      <w:r w:rsidRPr="009A0DA6">
        <w:t xml:space="preserve">To support other bodies of the </w:t>
      </w:r>
      <w:r w:rsidR="00336CE0" w:rsidRPr="009A0DA6">
        <w:t>church</w:t>
      </w:r>
      <w:r w:rsidRPr="009A0DA6">
        <w:t xml:space="preserve"> such as the Tract Mission in its publicity of the </w:t>
      </w:r>
      <w:r w:rsidR="00336CE0" w:rsidRPr="009A0DA6">
        <w:t>church</w:t>
      </w:r>
      <w:r w:rsidRPr="009A0DA6">
        <w:t xml:space="preserve"> and its ministry;</w:t>
      </w:r>
    </w:p>
    <w:p w14:paraId="4E353115" w14:textId="715E9F92" w:rsidR="00AD55DF" w:rsidRPr="009A0DA6" w:rsidRDefault="00AD55DF" w:rsidP="00F55252">
      <w:pPr>
        <w:pStyle w:val="NoSpacing"/>
        <w:numPr>
          <w:ilvl w:val="0"/>
          <w:numId w:val="291"/>
        </w:numPr>
        <w:ind w:left="567" w:hanging="567"/>
      </w:pPr>
      <w:r w:rsidRPr="009A0DA6">
        <w:t xml:space="preserve">To encourage and develop in the hearts and minds the highest type of Christian vocation in the home in the </w:t>
      </w:r>
      <w:r w:rsidR="00336CE0" w:rsidRPr="009A0DA6">
        <w:t>church</w:t>
      </w:r>
      <w:r w:rsidRPr="009A0DA6">
        <w:t>, the community, and the government.</w:t>
      </w:r>
    </w:p>
    <w:p w14:paraId="69A8D515" w14:textId="22668957" w:rsidR="00AD55DF" w:rsidRPr="009A0DA6" w:rsidRDefault="00F80178" w:rsidP="00AD55DF">
      <w:pPr>
        <w:pStyle w:val="Heading3"/>
      </w:pPr>
      <w:r w:rsidRPr="009A0DA6">
        <w:rPr>
          <w:highlight w:val="cyan"/>
        </w:rPr>
        <w:br/>
      </w:r>
      <w:r w:rsidR="00AD55DF" w:rsidRPr="009A0DA6">
        <w:t>Achievement against Plan</w:t>
      </w:r>
    </w:p>
    <w:tbl>
      <w:tblPr>
        <w:tblStyle w:val="PlainTable2"/>
        <w:tblW w:w="8747" w:type="dxa"/>
        <w:tblLook w:val="04A0" w:firstRow="1" w:lastRow="0" w:firstColumn="1" w:lastColumn="0" w:noHBand="0" w:noVBand="1"/>
      </w:tblPr>
      <w:tblGrid>
        <w:gridCol w:w="3402"/>
        <w:gridCol w:w="2284"/>
        <w:gridCol w:w="3061"/>
      </w:tblGrid>
      <w:tr w:rsidR="00F80178" w:rsidRPr="009A0DA6" w14:paraId="52A8441A" w14:textId="77777777" w:rsidTr="00F80178">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3402" w:type="dxa"/>
            <w:vAlign w:val="center"/>
            <w:hideMark/>
          </w:tcPr>
          <w:p w14:paraId="0D037A66" w14:textId="77777777" w:rsidR="00AD55DF" w:rsidRPr="009A0DA6" w:rsidRDefault="00AD55DF" w:rsidP="0015713F">
            <w:pPr>
              <w:ind w:left="319" w:hanging="319"/>
              <w:rPr>
                <w:rFonts w:ascii="Cambria" w:hAnsi="Cambria" w:cs="Arial"/>
              </w:rPr>
            </w:pPr>
            <w:r w:rsidRPr="009A0DA6">
              <w:rPr>
                <w:rFonts w:ascii="Cambria" w:hAnsi="Cambria" w:cs="Arial"/>
              </w:rPr>
              <w:t>Objectives</w:t>
            </w:r>
          </w:p>
        </w:tc>
        <w:tc>
          <w:tcPr>
            <w:tcW w:w="2284" w:type="dxa"/>
            <w:vAlign w:val="center"/>
            <w:hideMark/>
          </w:tcPr>
          <w:p w14:paraId="597B4085" w14:textId="77777777" w:rsidR="00AD55DF" w:rsidRPr="009A0DA6" w:rsidRDefault="00AD55DF" w:rsidP="0015713F">
            <w:pPr>
              <w:cnfStyle w:val="100000000000" w:firstRow="1"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Planned Annual Activities/Outcomes</w:t>
            </w:r>
          </w:p>
        </w:tc>
        <w:tc>
          <w:tcPr>
            <w:tcW w:w="3061" w:type="dxa"/>
            <w:vAlign w:val="center"/>
            <w:hideMark/>
          </w:tcPr>
          <w:p w14:paraId="68670143" w14:textId="77777777" w:rsidR="00AD55DF" w:rsidRPr="009A0DA6" w:rsidRDefault="00AD55DF" w:rsidP="0015713F">
            <w:pPr>
              <w:cnfStyle w:val="100000000000" w:firstRow="1"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Achievement of Annual Activities/Outcomes</w:t>
            </w:r>
          </w:p>
        </w:tc>
      </w:tr>
      <w:tr w:rsidR="00F80178" w:rsidRPr="009A0DA6" w14:paraId="5D2BD6A4" w14:textId="77777777" w:rsidTr="00F80178">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3402" w:type="dxa"/>
            <w:hideMark/>
          </w:tcPr>
          <w:p w14:paraId="1C496E57" w14:textId="528DFEA9" w:rsidR="00AD55DF" w:rsidRPr="009A0DA6" w:rsidRDefault="00AD55DF" w:rsidP="00F55252">
            <w:pPr>
              <w:widowControl w:val="0"/>
              <w:numPr>
                <w:ilvl w:val="0"/>
                <w:numId w:val="292"/>
              </w:numPr>
              <w:suppressAutoHyphens/>
              <w:ind w:left="319" w:hanging="319"/>
              <w:rPr>
                <w:rFonts w:ascii="Cambria" w:hAnsi="Cambria" w:cs="Arial"/>
                <w:b w:val="0"/>
              </w:rPr>
            </w:pPr>
            <w:r w:rsidRPr="009A0DA6">
              <w:rPr>
                <w:rFonts w:ascii="Cambria" w:hAnsi="Cambria" w:cs="Arial"/>
              </w:rPr>
              <w:t xml:space="preserve">To assist in promoting a passion for studying the Bible and growing Christian knowledge to assist the </w:t>
            </w:r>
            <w:r w:rsidR="00336CE0" w:rsidRPr="009A0DA6">
              <w:rPr>
                <w:rFonts w:ascii="Cambria" w:hAnsi="Cambria" w:cs="Arial"/>
              </w:rPr>
              <w:t>church</w:t>
            </w:r>
            <w:r w:rsidRPr="009A0DA6">
              <w:rPr>
                <w:rFonts w:ascii="Cambria" w:hAnsi="Cambria" w:cs="Arial"/>
              </w:rPr>
              <w:t xml:space="preserve"> and its members.</w:t>
            </w:r>
          </w:p>
        </w:tc>
        <w:tc>
          <w:tcPr>
            <w:tcW w:w="2284" w:type="dxa"/>
            <w:hideMark/>
          </w:tcPr>
          <w:p w14:paraId="481AD1BA" w14:textId="77777777" w:rsidR="00AD55DF" w:rsidRPr="009A0DA6" w:rsidRDefault="00AD55DF">
            <w:pPr>
              <w:cnfStyle w:val="000000100000" w:firstRow="0" w:lastRow="0" w:firstColumn="0" w:lastColumn="0" w:oddVBand="0" w:evenVBand="0" w:oddHBand="1" w:evenHBand="0" w:firstRowFirstColumn="0" w:firstRowLastColumn="0" w:lastRowFirstColumn="0" w:lastRowLastColumn="0"/>
              <w:rPr>
                <w:rFonts w:ascii="Cambria" w:hAnsi="Cambria" w:cstheme="minorHAnsi"/>
              </w:rPr>
            </w:pPr>
            <w:r w:rsidRPr="009A0DA6">
              <w:rPr>
                <w:rFonts w:ascii="Cambria" w:hAnsi="Cambria" w:cstheme="minorHAnsi"/>
              </w:rPr>
              <w:t>State Branches hold annual conferences to discuss business and partake in Bible study with a guest speaker</w:t>
            </w:r>
          </w:p>
        </w:tc>
        <w:tc>
          <w:tcPr>
            <w:tcW w:w="3061" w:type="dxa"/>
            <w:hideMark/>
          </w:tcPr>
          <w:p w14:paraId="47ECA968" w14:textId="77777777" w:rsidR="00AD55DF" w:rsidRPr="009A0DA6" w:rsidRDefault="00AD55DF">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Branches in each state meet regularly and have bible study during their meetings.</w:t>
            </w:r>
          </w:p>
        </w:tc>
      </w:tr>
      <w:tr w:rsidR="00F80178" w:rsidRPr="009A0DA6" w14:paraId="51FF9478" w14:textId="77777777" w:rsidTr="00F80178">
        <w:trPr>
          <w:trHeight w:val="267"/>
        </w:trPr>
        <w:tc>
          <w:tcPr>
            <w:cnfStyle w:val="001000000000" w:firstRow="0" w:lastRow="0" w:firstColumn="1" w:lastColumn="0" w:oddVBand="0" w:evenVBand="0" w:oddHBand="0" w:evenHBand="0" w:firstRowFirstColumn="0" w:firstRowLastColumn="0" w:lastRowFirstColumn="0" w:lastRowLastColumn="0"/>
            <w:tcW w:w="3402" w:type="dxa"/>
            <w:hideMark/>
          </w:tcPr>
          <w:p w14:paraId="75D645F0" w14:textId="77777777" w:rsidR="00AD55DF" w:rsidRPr="009A0DA6" w:rsidRDefault="00AD55DF" w:rsidP="00F55252">
            <w:pPr>
              <w:widowControl w:val="0"/>
              <w:numPr>
                <w:ilvl w:val="0"/>
                <w:numId w:val="292"/>
              </w:numPr>
              <w:suppressAutoHyphens/>
              <w:ind w:left="319" w:hanging="319"/>
              <w:rPr>
                <w:rFonts w:ascii="Cambria" w:hAnsi="Cambria" w:cs="Arial"/>
              </w:rPr>
            </w:pPr>
            <w:r w:rsidRPr="009A0DA6">
              <w:rPr>
                <w:rFonts w:ascii="Cambria" w:hAnsi="Cambria" w:cs="Arial"/>
              </w:rPr>
              <w:t>To encourage lay-members to participate actively in this work</w:t>
            </w:r>
          </w:p>
        </w:tc>
        <w:tc>
          <w:tcPr>
            <w:tcW w:w="2284" w:type="dxa"/>
          </w:tcPr>
          <w:p w14:paraId="38460BC3" w14:textId="77777777" w:rsidR="00AD55DF" w:rsidRPr="009A0DA6" w:rsidRDefault="00AD55DF">
            <w:pPr>
              <w:cnfStyle w:val="000000000000" w:firstRow="0" w:lastRow="0" w:firstColumn="0" w:lastColumn="0" w:oddVBand="0" w:evenVBand="0" w:oddHBand="0" w:evenHBand="0" w:firstRowFirstColumn="0" w:firstRowLastColumn="0" w:lastRowFirstColumn="0" w:lastRowLastColumn="0"/>
              <w:rPr>
                <w:rFonts w:ascii="Cambria" w:hAnsi="Cambria" w:cs="Arial"/>
              </w:rPr>
            </w:pPr>
          </w:p>
        </w:tc>
        <w:tc>
          <w:tcPr>
            <w:tcW w:w="3061" w:type="dxa"/>
            <w:hideMark/>
          </w:tcPr>
          <w:p w14:paraId="723E102D" w14:textId="77777777" w:rsidR="00AD55DF" w:rsidRPr="009A0DA6" w:rsidRDefault="00AD55DF">
            <w:pPr>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Member numbers are decreasing in some branches.</w:t>
            </w:r>
          </w:p>
        </w:tc>
      </w:tr>
      <w:tr w:rsidR="00F80178" w:rsidRPr="009A0DA6" w14:paraId="46AD815E" w14:textId="77777777" w:rsidTr="00F80178">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3402" w:type="dxa"/>
            <w:hideMark/>
          </w:tcPr>
          <w:p w14:paraId="54EF9ED4" w14:textId="77777777" w:rsidR="00AD55DF" w:rsidRPr="009A0DA6" w:rsidRDefault="00AD55DF" w:rsidP="00F55252">
            <w:pPr>
              <w:widowControl w:val="0"/>
              <w:numPr>
                <w:ilvl w:val="0"/>
                <w:numId w:val="292"/>
              </w:numPr>
              <w:suppressAutoHyphens/>
              <w:ind w:left="319" w:hanging="319"/>
              <w:rPr>
                <w:rFonts w:ascii="Cambria" w:hAnsi="Cambria" w:cs="Arial"/>
              </w:rPr>
            </w:pPr>
            <w:r w:rsidRPr="009A0DA6">
              <w:rPr>
                <w:rFonts w:ascii="Cambria" w:hAnsi="Cambria" w:cs="Arial"/>
              </w:rPr>
              <w:t>To support other bodies of the church.</w:t>
            </w:r>
          </w:p>
        </w:tc>
        <w:tc>
          <w:tcPr>
            <w:tcW w:w="2284" w:type="dxa"/>
            <w:hideMark/>
          </w:tcPr>
          <w:p w14:paraId="07ACFFB0" w14:textId="77777777" w:rsidR="00AD55DF" w:rsidRPr="009A0DA6" w:rsidRDefault="00AD55DF">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Annual contributions</w:t>
            </w:r>
          </w:p>
        </w:tc>
        <w:tc>
          <w:tcPr>
            <w:tcW w:w="3061" w:type="dxa"/>
            <w:hideMark/>
          </w:tcPr>
          <w:p w14:paraId="12D9C028" w14:textId="77777777" w:rsidR="00AD55DF" w:rsidRPr="009A0DA6" w:rsidRDefault="00AD55DF">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The LMA has supported several church bodies</w:t>
            </w:r>
          </w:p>
        </w:tc>
      </w:tr>
      <w:tr w:rsidR="00F80178" w:rsidRPr="009A0DA6" w14:paraId="5CD9A6F9" w14:textId="77777777" w:rsidTr="00F80178">
        <w:trPr>
          <w:trHeight w:val="252"/>
        </w:trPr>
        <w:tc>
          <w:tcPr>
            <w:cnfStyle w:val="001000000000" w:firstRow="0" w:lastRow="0" w:firstColumn="1" w:lastColumn="0" w:oddVBand="0" w:evenVBand="0" w:oddHBand="0" w:evenHBand="0" w:firstRowFirstColumn="0" w:firstRowLastColumn="0" w:lastRowFirstColumn="0" w:lastRowLastColumn="0"/>
            <w:tcW w:w="3402" w:type="dxa"/>
            <w:hideMark/>
          </w:tcPr>
          <w:p w14:paraId="0948CDE4" w14:textId="77777777" w:rsidR="00AD55DF" w:rsidRPr="009A0DA6" w:rsidRDefault="00AD55DF" w:rsidP="00F55252">
            <w:pPr>
              <w:widowControl w:val="0"/>
              <w:numPr>
                <w:ilvl w:val="0"/>
                <w:numId w:val="292"/>
              </w:numPr>
              <w:suppressAutoHyphens/>
              <w:ind w:left="319" w:hanging="319"/>
              <w:rPr>
                <w:rFonts w:ascii="Cambria" w:hAnsi="Cambria" w:cs="Arial"/>
              </w:rPr>
            </w:pPr>
            <w:r w:rsidRPr="009A0DA6">
              <w:rPr>
                <w:rFonts w:ascii="Cambria" w:hAnsi="Cambria" w:cs="Arial"/>
              </w:rPr>
              <w:t>To encourage and develop in the hearts and minds the highest type of Christian vocation in the home, in the church, in the community and in the government.</w:t>
            </w:r>
          </w:p>
        </w:tc>
        <w:tc>
          <w:tcPr>
            <w:tcW w:w="2284" w:type="dxa"/>
          </w:tcPr>
          <w:p w14:paraId="490F5608" w14:textId="77777777" w:rsidR="00AD55DF" w:rsidRPr="009A0DA6" w:rsidRDefault="00AD55DF">
            <w:pPr>
              <w:cnfStyle w:val="000000000000" w:firstRow="0" w:lastRow="0" w:firstColumn="0" w:lastColumn="0" w:oddVBand="0" w:evenVBand="0" w:oddHBand="0" w:evenHBand="0" w:firstRowFirstColumn="0" w:firstRowLastColumn="0" w:lastRowFirstColumn="0" w:lastRowLastColumn="0"/>
              <w:rPr>
                <w:rFonts w:ascii="Cambria" w:hAnsi="Cambria" w:cs="Arial"/>
              </w:rPr>
            </w:pPr>
          </w:p>
        </w:tc>
        <w:tc>
          <w:tcPr>
            <w:tcW w:w="3061" w:type="dxa"/>
            <w:hideMark/>
          </w:tcPr>
          <w:p w14:paraId="6C643F34" w14:textId="77777777" w:rsidR="00AD55DF" w:rsidRPr="009A0DA6" w:rsidRDefault="00AD55DF">
            <w:pPr>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The LMA has encouraged members to promote Christian principles in the community and government</w:t>
            </w:r>
          </w:p>
        </w:tc>
      </w:tr>
      <w:tr w:rsidR="00F80178" w:rsidRPr="009A0DA6" w14:paraId="1C672C3D" w14:textId="77777777" w:rsidTr="00F80178">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3402" w:type="dxa"/>
            <w:hideMark/>
          </w:tcPr>
          <w:p w14:paraId="24E78CAE" w14:textId="5E667C91" w:rsidR="00AD55DF" w:rsidRPr="009A0DA6" w:rsidRDefault="00AD55DF" w:rsidP="00F55252">
            <w:pPr>
              <w:widowControl w:val="0"/>
              <w:numPr>
                <w:ilvl w:val="0"/>
                <w:numId w:val="292"/>
              </w:numPr>
              <w:suppressAutoHyphens/>
              <w:ind w:left="319" w:hanging="319"/>
              <w:rPr>
                <w:rFonts w:ascii="Cambria" w:hAnsi="Cambria"/>
              </w:rPr>
            </w:pPr>
            <w:r w:rsidRPr="009A0DA6">
              <w:rPr>
                <w:rFonts w:ascii="Cambria" w:hAnsi="Cambria"/>
              </w:rPr>
              <w:t xml:space="preserve">To solicit, receive and accept monetary contributions, loans, legacies and assistance for the purpose of aiding the </w:t>
            </w:r>
            <w:r w:rsidR="00336CE0" w:rsidRPr="009A0DA6">
              <w:rPr>
                <w:rFonts w:ascii="Cambria" w:hAnsi="Cambria"/>
              </w:rPr>
              <w:t>church</w:t>
            </w:r>
            <w:r w:rsidRPr="009A0DA6">
              <w:rPr>
                <w:rFonts w:ascii="Cambria" w:hAnsi="Cambria"/>
              </w:rPr>
              <w:t>.</w:t>
            </w:r>
          </w:p>
        </w:tc>
        <w:tc>
          <w:tcPr>
            <w:tcW w:w="2284" w:type="dxa"/>
          </w:tcPr>
          <w:p w14:paraId="620CAA1A" w14:textId="77777777" w:rsidR="00AD55DF" w:rsidRPr="009A0DA6" w:rsidRDefault="00AD55DF">
            <w:pPr>
              <w:cnfStyle w:val="000000100000" w:firstRow="0" w:lastRow="0" w:firstColumn="0" w:lastColumn="0" w:oddVBand="0" w:evenVBand="0" w:oddHBand="1" w:evenHBand="0" w:firstRowFirstColumn="0" w:firstRowLastColumn="0" w:lastRowFirstColumn="0" w:lastRowLastColumn="0"/>
              <w:rPr>
                <w:rFonts w:ascii="Cambria" w:hAnsi="Cambria" w:cs="Arial"/>
              </w:rPr>
            </w:pPr>
          </w:p>
        </w:tc>
        <w:tc>
          <w:tcPr>
            <w:tcW w:w="3061" w:type="dxa"/>
            <w:hideMark/>
          </w:tcPr>
          <w:p w14:paraId="1AE69ECF" w14:textId="1027640F" w:rsidR="00AD55DF" w:rsidRPr="009A0DA6" w:rsidRDefault="00AD55DF">
            <w:pPr>
              <w:cnfStyle w:val="000000100000" w:firstRow="0" w:lastRow="0" w:firstColumn="0" w:lastColumn="0" w:oddVBand="0" w:evenVBand="0" w:oddHBand="1" w:evenHBand="0" w:firstRowFirstColumn="0" w:firstRowLastColumn="0" w:lastRowFirstColumn="0" w:lastRowLastColumn="0"/>
              <w:rPr>
                <w:rFonts w:ascii="Cambria" w:hAnsi="Cambria" w:cs="Arial"/>
                <w:lang w:val="en-US"/>
              </w:rPr>
            </w:pPr>
            <w:r w:rsidRPr="009A0DA6">
              <w:rPr>
                <w:rFonts w:ascii="Cambria" w:hAnsi="Cambria" w:cs="Arial"/>
              </w:rPr>
              <w:t xml:space="preserve">The LMA has received donations from members and has financially supported several </w:t>
            </w:r>
            <w:r w:rsidR="00336CE0" w:rsidRPr="009A0DA6">
              <w:rPr>
                <w:rFonts w:ascii="Cambria" w:hAnsi="Cambria" w:cs="Arial"/>
              </w:rPr>
              <w:t>church</w:t>
            </w:r>
            <w:r w:rsidRPr="009A0DA6">
              <w:rPr>
                <w:rFonts w:ascii="Cambria" w:hAnsi="Cambria" w:cs="Arial"/>
              </w:rPr>
              <w:t xml:space="preserve"> and Christian organisations.</w:t>
            </w:r>
          </w:p>
        </w:tc>
      </w:tr>
      <w:tr w:rsidR="00F80178" w:rsidRPr="009A0DA6" w14:paraId="61B43AB9" w14:textId="77777777" w:rsidTr="00F80178">
        <w:trPr>
          <w:trHeight w:val="252"/>
        </w:trPr>
        <w:tc>
          <w:tcPr>
            <w:cnfStyle w:val="001000000000" w:firstRow="0" w:lastRow="0" w:firstColumn="1" w:lastColumn="0" w:oddVBand="0" w:evenVBand="0" w:oddHBand="0" w:evenHBand="0" w:firstRowFirstColumn="0" w:firstRowLastColumn="0" w:lastRowFirstColumn="0" w:lastRowLastColumn="0"/>
            <w:tcW w:w="3402" w:type="dxa"/>
            <w:hideMark/>
          </w:tcPr>
          <w:p w14:paraId="3D18ED1D" w14:textId="086D768F" w:rsidR="00AD55DF" w:rsidRPr="009A0DA6" w:rsidRDefault="00AD55DF" w:rsidP="00F55252">
            <w:pPr>
              <w:widowControl w:val="0"/>
              <w:numPr>
                <w:ilvl w:val="0"/>
                <w:numId w:val="292"/>
              </w:numPr>
              <w:suppressAutoHyphens/>
              <w:ind w:left="319" w:hanging="319"/>
              <w:rPr>
                <w:rFonts w:ascii="Cambria" w:hAnsi="Cambria"/>
              </w:rPr>
            </w:pPr>
            <w:r w:rsidRPr="009A0DA6">
              <w:rPr>
                <w:rFonts w:ascii="Cambria" w:hAnsi="Cambria"/>
              </w:rPr>
              <w:lastRenderedPageBreak/>
              <w:t xml:space="preserve">To conduct the financial affairs of the auxiliary for the sole benefit of the </w:t>
            </w:r>
            <w:r w:rsidR="00336CE0" w:rsidRPr="009A0DA6">
              <w:rPr>
                <w:rFonts w:ascii="Cambria" w:hAnsi="Cambria"/>
              </w:rPr>
              <w:t>church</w:t>
            </w:r>
            <w:r w:rsidRPr="009A0DA6">
              <w:rPr>
                <w:rFonts w:ascii="Cambria" w:hAnsi="Cambria"/>
              </w:rPr>
              <w:t>.</w:t>
            </w:r>
          </w:p>
        </w:tc>
        <w:tc>
          <w:tcPr>
            <w:tcW w:w="2284" w:type="dxa"/>
            <w:hideMark/>
          </w:tcPr>
          <w:p w14:paraId="004D39EC" w14:textId="77777777" w:rsidR="00AD55DF" w:rsidRPr="009A0DA6" w:rsidRDefault="00AD55DF">
            <w:pPr>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LMA has a planned budget but with waning members is finding it difficult to maintain</w:t>
            </w:r>
          </w:p>
        </w:tc>
        <w:tc>
          <w:tcPr>
            <w:tcW w:w="3061" w:type="dxa"/>
            <w:hideMark/>
          </w:tcPr>
          <w:p w14:paraId="2DB3B1AE" w14:textId="77777777" w:rsidR="00AD55DF" w:rsidRPr="009A0DA6" w:rsidRDefault="00AD55DF">
            <w:pPr>
              <w:cnfStyle w:val="000000000000" w:firstRow="0" w:lastRow="0" w:firstColumn="0" w:lastColumn="0" w:oddVBand="0" w:evenVBand="0" w:oddHBand="0" w:evenHBand="0" w:firstRowFirstColumn="0" w:firstRowLastColumn="0" w:lastRowFirstColumn="0" w:lastRowLastColumn="0"/>
              <w:rPr>
                <w:rFonts w:ascii="Cambria" w:hAnsi="Cambria" w:cs="Arial"/>
                <w:lang w:val="en-US"/>
              </w:rPr>
            </w:pPr>
            <w:r w:rsidRPr="009A0DA6">
              <w:rPr>
                <w:rFonts w:ascii="Cambria" w:hAnsi="Cambria" w:cs="Arial"/>
              </w:rPr>
              <w:t>The financial affairs have been handled by a diligent treasurer who has the accounts audited.</w:t>
            </w:r>
          </w:p>
        </w:tc>
      </w:tr>
    </w:tbl>
    <w:p w14:paraId="5C3B92DE" w14:textId="77777777" w:rsidR="00F80178" w:rsidRPr="009A0DA6" w:rsidRDefault="00F80178" w:rsidP="00AD55DF">
      <w:pPr>
        <w:rPr>
          <w:rFonts w:ascii="Cambria" w:hAnsi="Cambria"/>
          <w:b/>
        </w:rPr>
      </w:pPr>
    </w:p>
    <w:p w14:paraId="5A3DC39E" w14:textId="5C3AF0FA" w:rsidR="00AD55DF" w:rsidRPr="009A0DA6" w:rsidRDefault="00AD55DF" w:rsidP="00F80178">
      <w:pPr>
        <w:pStyle w:val="Heading3"/>
        <w:rPr>
          <w:lang w:eastAsia="ja-JP"/>
        </w:rPr>
      </w:pPr>
      <w:r w:rsidRPr="009A0DA6">
        <w:t>Successes</w:t>
      </w:r>
    </w:p>
    <w:p w14:paraId="0E865A45" w14:textId="77777777" w:rsidR="00AD55DF" w:rsidRPr="009A0DA6" w:rsidRDefault="00AD55DF" w:rsidP="00AD55DF">
      <w:pPr>
        <w:pStyle w:val="NoSpacing"/>
        <w:rPr>
          <w:lang w:val="en-US"/>
        </w:rPr>
      </w:pPr>
      <w:r w:rsidRPr="009A0DA6">
        <w:t>The successes of our auxiliary is that we oversee the state branches and their mission support and have contributed financially to the graduating pastors each year, Lutheran Media Ministry and Trans World Radio overseas mission.</w:t>
      </w:r>
    </w:p>
    <w:p w14:paraId="2676DA00" w14:textId="77777777" w:rsidR="00F80178" w:rsidRPr="009A0DA6" w:rsidRDefault="00F80178" w:rsidP="00AD55DF">
      <w:pPr>
        <w:rPr>
          <w:rFonts w:ascii="Cambria" w:hAnsi="Cambria"/>
          <w:b/>
        </w:rPr>
      </w:pPr>
    </w:p>
    <w:p w14:paraId="5341C2AF" w14:textId="747E25A3" w:rsidR="00AD55DF" w:rsidRPr="009A0DA6" w:rsidRDefault="00AD55DF" w:rsidP="00F80178">
      <w:pPr>
        <w:pStyle w:val="Heading3"/>
      </w:pPr>
      <w:r w:rsidRPr="009A0DA6">
        <w:t xml:space="preserve">Challenges and Lessons Learned </w:t>
      </w:r>
    </w:p>
    <w:p w14:paraId="1CD6A791" w14:textId="77777777" w:rsidR="00AD55DF" w:rsidRPr="009A0DA6" w:rsidRDefault="00AD55DF" w:rsidP="00AD55DF">
      <w:pPr>
        <w:pStyle w:val="NoSpacing"/>
      </w:pPr>
      <w:r w:rsidRPr="009A0DA6">
        <w:t xml:space="preserve">Our main challenge is to maintain our leadership role and fill our own offices in an environment of ageing members. </w:t>
      </w:r>
    </w:p>
    <w:p w14:paraId="69F8C656" w14:textId="77777777" w:rsidR="00F80178" w:rsidRPr="009A0DA6" w:rsidRDefault="00F80178" w:rsidP="00AD55DF">
      <w:pPr>
        <w:rPr>
          <w:rFonts w:ascii="Cambria" w:hAnsi="Cambria"/>
          <w:b/>
        </w:rPr>
      </w:pPr>
    </w:p>
    <w:p w14:paraId="71E7200B" w14:textId="3895E82D" w:rsidR="00AD55DF" w:rsidRPr="009A0DA6" w:rsidRDefault="00AD55DF" w:rsidP="00F80178">
      <w:pPr>
        <w:pStyle w:val="Heading3"/>
      </w:pPr>
      <w:r w:rsidRPr="009A0DA6">
        <w:t>Risks</w:t>
      </w:r>
    </w:p>
    <w:tbl>
      <w:tblPr>
        <w:tblStyle w:val="PlainTable2"/>
        <w:tblW w:w="8789" w:type="dxa"/>
        <w:tblLook w:val="04A0" w:firstRow="1" w:lastRow="0" w:firstColumn="1" w:lastColumn="0" w:noHBand="0" w:noVBand="1"/>
      </w:tblPr>
      <w:tblGrid>
        <w:gridCol w:w="2977"/>
        <w:gridCol w:w="3089"/>
        <w:gridCol w:w="2723"/>
      </w:tblGrid>
      <w:tr w:rsidR="00AD55DF" w:rsidRPr="009A0DA6" w14:paraId="37D8C244" w14:textId="77777777" w:rsidTr="00F80178">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977" w:type="dxa"/>
            <w:vAlign w:val="center"/>
            <w:hideMark/>
          </w:tcPr>
          <w:p w14:paraId="4AC532F1" w14:textId="546AB70C" w:rsidR="00AD55DF" w:rsidRPr="009A0DA6" w:rsidRDefault="00AD55DF" w:rsidP="0015713F">
            <w:pPr>
              <w:rPr>
                <w:rFonts w:ascii="Cambria" w:hAnsi="Cambria" w:cs="Arial"/>
              </w:rPr>
            </w:pPr>
            <w:r w:rsidRPr="009A0DA6">
              <w:rPr>
                <w:rFonts w:ascii="Cambria" w:hAnsi="Cambria" w:cs="Arial"/>
              </w:rPr>
              <w:t xml:space="preserve">Description of </w:t>
            </w:r>
            <w:r w:rsidR="00F80178" w:rsidRPr="009A0DA6">
              <w:rPr>
                <w:rFonts w:ascii="Cambria" w:hAnsi="Cambria" w:cs="Arial"/>
              </w:rPr>
              <w:t>risk</w:t>
            </w:r>
          </w:p>
        </w:tc>
        <w:tc>
          <w:tcPr>
            <w:tcW w:w="3089" w:type="dxa"/>
            <w:vAlign w:val="center"/>
            <w:hideMark/>
          </w:tcPr>
          <w:p w14:paraId="0A402597" w14:textId="77777777" w:rsidR="00AD55DF" w:rsidRPr="009A0DA6" w:rsidRDefault="00AD55DF" w:rsidP="0015713F">
            <w:pPr>
              <w:cnfStyle w:val="100000000000" w:firstRow="1"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Likelihood of risk occurring and potential impact for the ministry and LCA</w:t>
            </w:r>
          </w:p>
        </w:tc>
        <w:tc>
          <w:tcPr>
            <w:tcW w:w="2723" w:type="dxa"/>
            <w:vAlign w:val="center"/>
            <w:hideMark/>
          </w:tcPr>
          <w:p w14:paraId="59EEC3C2" w14:textId="77777777" w:rsidR="00AD55DF" w:rsidRPr="009A0DA6" w:rsidRDefault="00AD55DF" w:rsidP="0015713F">
            <w:pPr>
              <w:cnfStyle w:val="100000000000" w:firstRow="1"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Summary of action to mitigate the risk</w:t>
            </w:r>
          </w:p>
        </w:tc>
      </w:tr>
      <w:tr w:rsidR="00AD55DF" w:rsidRPr="009A0DA6" w14:paraId="3CB593D0" w14:textId="77777777" w:rsidTr="00F80178">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977" w:type="dxa"/>
            <w:hideMark/>
          </w:tcPr>
          <w:p w14:paraId="11A18DE9" w14:textId="77777777" w:rsidR="00AD55DF" w:rsidRPr="009A0DA6" w:rsidRDefault="00AD55DF">
            <w:pPr>
              <w:widowControl w:val="0"/>
              <w:suppressAutoHyphens/>
              <w:ind w:left="360"/>
              <w:rPr>
                <w:rFonts w:ascii="Cambria" w:hAnsi="Cambria" w:cs="Arial"/>
              </w:rPr>
            </w:pPr>
            <w:r w:rsidRPr="009A0DA6">
              <w:rPr>
                <w:rFonts w:ascii="Cambria" w:hAnsi="Cambria" w:cs="Arial"/>
              </w:rPr>
              <w:t>The main risk of the LMA is the aging membership which is not being replaced by younger men.</w:t>
            </w:r>
          </w:p>
        </w:tc>
        <w:tc>
          <w:tcPr>
            <w:tcW w:w="3089" w:type="dxa"/>
            <w:hideMark/>
          </w:tcPr>
          <w:p w14:paraId="7DCDEA00" w14:textId="77777777" w:rsidR="00AD55DF" w:rsidRPr="009A0DA6" w:rsidRDefault="00AD55DF">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The likelihood of this auxiliary remaining viable is in doubt.</w:t>
            </w:r>
          </w:p>
        </w:tc>
        <w:tc>
          <w:tcPr>
            <w:tcW w:w="2723" w:type="dxa"/>
            <w:hideMark/>
          </w:tcPr>
          <w:p w14:paraId="5F96F158" w14:textId="77777777" w:rsidR="00AD55DF" w:rsidRPr="009A0DA6" w:rsidRDefault="00AD55DF">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Branches try to promote their aims and activities. One state auxiliary is having a camp for younger men</w:t>
            </w:r>
          </w:p>
        </w:tc>
      </w:tr>
      <w:tr w:rsidR="00AD55DF" w:rsidRPr="009A0DA6" w14:paraId="60800FEF" w14:textId="77777777" w:rsidTr="00F80178">
        <w:trPr>
          <w:trHeight w:val="267"/>
        </w:trPr>
        <w:tc>
          <w:tcPr>
            <w:cnfStyle w:val="001000000000" w:firstRow="0" w:lastRow="0" w:firstColumn="1" w:lastColumn="0" w:oddVBand="0" w:evenVBand="0" w:oddHBand="0" w:evenHBand="0" w:firstRowFirstColumn="0" w:firstRowLastColumn="0" w:lastRowFirstColumn="0" w:lastRowLastColumn="0"/>
            <w:tcW w:w="2977" w:type="dxa"/>
            <w:hideMark/>
          </w:tcPr>
          <w:p w14:paraId="1CF45A0C" w14:textId="77777777" w:rsidR="00AD55DF" w:rsidRPr="009A0DA6" w:rsidRDefault="00AD55DF">
            <w:pPr>
              <w:widowControl w:val="0"/>
              <w:suppressAutoHyphens/>
              <w:ind w:left="360"/>
              <w:rPr>
                <w:rFonts w:ascii="Cambria" w:hAnsi="Cambria" w:cs="Arial"/>
              </w:rPr>
            </w:pPr>
            <w:r w:rsidRPr="009A0DA6">
              <w:rPr>
                <w:rFonts w:ascii="Cambria" w:hAnsi="Cambria" w:cs="Arial"/>
              </w:rPr>
              <w:t>Governance these days is becoming quite a burden and does little to encourage new members.</w:t>
            </w:r>
          </w:p>
        </w:tc>
        <w:tc>
          <w:tcPr>
            <w:tcW w:w="3089" w:type="dxa"/>
          </w:tcPr>
          <w:p w14:paraId="652F3CC6" w14:textId="77777777" w:rsidR="00AD55DF" w:rsidRPr="009A0DA6" w:rsidRDefault="00AD55DF">
            <w:pPr>
              <w:cnfStyle w:val="000000000000" w:firstRow="0" w:lastRow="0" w:firstColumn="0" w:lastColumn="0" w:oddVBand="0" w:evenVBand="0" w:oddHBand="0" w:evenHBand="0" w:firstRowFirstColumn="0" w:firstRowLastColumn="0" w:lastRowFirstColumn="0" w:lastRowLastColumn="0"/>
              <w:rPr>
                <w:rFonts w:ascii="Cambria" w:hAnsi="Cambria" w:cs="Arial"/>
              </w:rPr>
            </w:pPr>
          </w:p>
        </w:tc>
        <w:tc>
          <w:tcPr>
            <w:tcW w:w="2723" w:type="dxa"/>
            <w:hideMark/>
          </w:tcPr>
          <w:p w14:paraId="603B5D88" w14:textId="77777777" w:rsidR="00AD55DF" w:rsidRPr="009A0DA6" w:rsidRDefault="00AD55DF">
            <w:pPr>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This seems to be a legislated requirement and not much can be done about it.</w:t>
            </w:r>
          </w:p>
        </w:tc>
      </w:tr>
    </w:tbl>
    <w:p w14:paraId="16595B2B" w14:textId="77777777" w:rsidR="00F80178" w:rsidRPr="009A0DA6" w:rsidRDefault="00F80178" w:rsidP="00AD55DF">
      <w:pPr>
        <w:rPr>
          <w:rFonts w:ascii="Cambria" w:hAnsi="Cambria"/>
          <w:b/>
        </w:rPr>
      </w:pPr>
    </w:p>
    <w:p w14:paraId="2BF02263" w14:textId="5E6131BB" w:rsidR="00AD55DF" w:rsidRPr="009A0DA6" w:rsidRDefault="00AD55DF" w:rsidP="00F80178">
      <w:pPr>
        <w:pStyle w:val="Heading3"/>
        <w:rPr>
          <w:lang w:val="en-US" w:eastAsia="ja-JP"/>
        </w:rPr>
      </w:pPr>
      <w:r w:rsidRPr="009A0DA6">
        <w:t xml:space="preserve">Alignment to LCA Strategic Direction </w:t>
      </w:r>
      <w:r w:rsidR="00AC7AA2">
        <w:t>2013–2018</w:t>
      </w:r>
    </w:p>
    <w:p w14:paraId="3663EC48" w14:textId="77777777" w:rsidR="00AD55DF" w:rsidRPr="009A0DA6" w:rsidRDefault="00AD55DF" w:rsidP="00AD55DF">
      <w:pPr>
        <w:pStyle w:val="NoSpacing"/>
      </w:pPr>
      <w:r w:rsidRPr="009A0DA6">
        <w:rPr>
          <w:rFonts w:cs="Calibri"/>
        </w:rPr>
        <w:t>The Mission Statement of the LMA states that the Mission of Lutheran Men of Australia exists as an Auxiliary of the Lutheran Church of Australia as such it submits itself in all things to the spiritual oversight of the church.</w:t>
      </w:r>
    </w:p>
    <w:p w14:paraId="3594C9D2" w14:textId="77777777" w:rsidR="00F80178" w:rsidRPr="009A0DA6" w:rsidRDefault="00F80178" w:rsidP="00AD55DF">
      <w:pPr>
        <w:rPr>
          <w:rFonts w:ascii="Cambria" w:hAnsi="Cambria"/>
          <w:b/>
        </w:rPr>
      </w:pPr>
    </w:p>
    <w:p w14:paraId="326C6877" w14:textId="7D0B4CF8" w:rsidR="00AD55DF" w:rsidRPr="009A0DA6" w:rsidRDefault="00AD55DF" w:rsidP="00F80178">
      <w:pPr>
        <w:pStyle w:val="Heading3"/>
      </w:pPr>
      <w:r w:rsidRPr="009A0DA6">
        <w:t>Cooperating LCA Boards and Agencies</w:t>
      </w:r>
    </w:p>
    <w:p w14:paraId="03F05CB3" w14:textId="6630D55D" w:rsidR="00AD55DF" w:rsidRPr="009A0DA6" w:rsidRDefault="00AD55DF" w:rsidP="00AD55DF">
      <w:pPr>
        <w:rPr>
          <w:rFonts w:ascii="Cambria" w:hAnsi="Cambria"/>
        </w:rPr>
      </w:pPr>
      <w:r w:rsidRPr="009A0DA6">
        <w:rPr>
          <w:rFonts w:ascii="Cambria" w:hAnsi="Cambria"/>
        </w:rPr>
        <w:t xml:space="preserve">The only LCA </w:t>
      </w:r>
      <w:r w:rsidR="00AD7835">
        <w:rPr>
          <w:rFonts w:ascii="Cambria" w:hAnsi="Cambria"/>
        </w:rPr>
        <w:t>a</w:t>
      </w:r>
      <w:r w:rsidRPr="009A0DA6">
        <w:rPr>
          <w:rFonts w:ascii="Cambria" w:hAnsi="Cambria"/>
        </w:rPr>
        <w:t xml:space="preserve">gency we have dealt with is the ALC when we meet with the </w:t>
      </w:r>
      <w:r w:rsidR="00AD7835">
        <w:rPr>
          <w:rFonts w:ascii="Cambria" w:hAnsi="Cambria"/>
        </w:rPr>
        <w:t>g</w:t>
      </w:r>
      <w:r w:rsidRPr="009A0DA6">
        <w:rPr>
          <w:rFonts w:ascii="Cambria" w:hAnsi="Cambria"/>
        </w:rPr>
        <w:t xml:space="preserve">raduating </w:t>
      </w:r>
      <w:r w:rsidR="00AD7835">
        <w:rPr>
          <w:rFonts w:ascii="Cambria" w:hAnsi="Cambria"/>
        </w:rPr>
        <w:t>p</w:t>
      </w:r>
      <w:r w:rsidRPr="009A0DA6">
        <w:rPr>
          <w:rFonts w:ascii="Cambria" w:hAnsi="Cambria"/>
        </w:rPr>
        <w:t xml:space="preserve">astors and present them with their gift vouchers. The College has been most cooperative and we hope that relationship can be maintained. </w:t>
      </w:r>
    </w:p>
    <w:p w14:paraId="3720ECBC" w14:textId="77777777" w:rsidR="00AD55DF" w:rsidRPr="009A0DA6" w:rsidRDefault="00AD55DF" w:rsidP="00F80178">
      <w:pPr>
        <w:pStyle w:val="Heading3"/>
      </w:pPr>
      <w:r w:rsidRPr="009A0DA6">
        <w:t>FINANCIAL PERFORMANCE</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1422"/>
        <w:gridCol w:w="1422"/>
        <w:gridCol w:w="1422"/>
      </w:tblGrid>
      <w:tr w:rsidR="00AD55DF" w:rsidRPr="009A0DA6" w14:paraId="66DF12A2" w14:textId="77777777" w:rsidTr="00F80178">
        <w:tc>
          <w:tcPr>
            <w:tcW w:w="4390" w:type="dxa"/>
            <w:hideMark/>
          </w:tcPr>
          <w:p w14:paraId="0526BA7F" w14:textId="77777777" w:rsidR="00AD55DF" w:rsidRPr="009A0DA6" w:rsidRDefault="00AD55DF">
            <w:pPr>
              <w:rPr>
                <w:rFonts w:ascii="Cambria" w:hAnsi="Cambria" w:cs="Arial"/>
                <w:b/>
              </w:rPr>
            </w:pPr>
            <w:r w:rsidRPr="009A0DA6">
              <w:rPr>
                <w:rFonts w:ascii="Cambria" w:hAnsi="Cambria" w:cs="Arial"/>
                <w:b/>
              </w:rPr>
              <w:t>Alignment to LCA Strategic Priorities</w:t>
            </w:r>
          </w:p>
        </w:tc>
        <w:tc>
          <w:tcPr>
            <w:tcW w:w="1422" w:type="dxa"/>
            <w:hideMark/>
          </w:tcPr>
          <w:p w14:paraId="39CD5794" w14:textId="77777777" w:rsidR="00AD55DF" w:rsidRPr="009A0DA6" w:rsidRDefault="00AD55DF">
            <w:pPr>
              <w:jc w:val="right"/>
              <w:rPr>
                <w:rFonts w:ascii="Cambria" w:hAnsi="Cambria" w:cs="Arial"/>
                <w:b/>
              </w:rPr>
            </w:pPr>
            <w:r w:rsidRPr="009A0DA6">
              <w:rPr>
                <w:rFonts w:ascii="Cambria" w:hAnsi="Cambria" w:cs="Arial"/>
                <w:b/>
              </w:rPr>
              <w:t xml:space="preserve">2017 </w:t>
            </w:r>
          </w:p>
        </w:tc>
        <w:tc>
          <w:tcPr>
            <w:tcW w:w="1422" w:type="dxa"/>
            <w:hideMark/>
          </w:tcPr>
          <w:p w14:paraId="15A5A082" w14:textId="77777777" w:rsidR="00AD55DF" w:rsidRPr="009A0DA6" w:rsidRDefault="00AD55DF">
            <w:pPr>
              <w:jc w:val="right"/>
              <w:rPr>
                <w:rFonts w:ascii="Cambria" w:hAnsi="Cambria" w:cs="Arial"/>
                <w:b/>
              </w:rPr>
            </w:pPr>
            <w:r w:rsidRPr="009A0DA6">
              <w:rPr>
                <w:rFonts w:ascii="Cambria" w:hAnsi="Cambria" w:cs="Arial"/>
                <w:b/>
              </w:rPr>
              <w:t xml:space="preserve">2016 </w:t>
            </w:r>
          </w:p>
        </w:tc>
        <w:tc>
          <w:tcPr>
            <w:tcW w:w="1422" w:type="dxa"/>
            <w:hideMark/>
          </w:tcPr>
          <w:p w14:paraId="0E0B699B" w14:textId="77777777" w:rsidR="00AD55DF" w:rsidRPr="009A0DA6" w:rsidRDefault="00AD55DF">
            <w:pPr>
              <w:jc w:val="right"/>
              <w:rPr>
                <w:rFonts w:ascii="Cambria" w:hAnsi="Cambria" w:cs="Arial"/>
                <w:b/>
              </w:rPr>
            </w:pPr>
            <w:r w:rsidRPr="009A0DA6">
              <w:rPr>
                <w:rFonts w:ascii="Cambria" w:hAnsi="Cambria" w:cs="Arial"/>
                <w:b/>
              </w:rPr>
              <w:t xml:space="preserve">2015 </w:t>
            </w:r>
          </w:p>
        </w:tc>
      </w:tr>
      <w:tr w:rsidR="00AD55DF" w:rsidRPr="009A0DA6" w14:paraId="287D6F47" w14:textId="77777777" w:rsidTr="00F80178">
        <w:tc>
          <w:tcPr>
            <w:tcW w:w="4390" w:type="dxa"/>
            <w:hideMark/>
          </w:tcPr>
          <w:p w14:paraId="16DABAF4" w14:textId="77777777" w:rsidR="00AD55DF" w:rsidRPr="009A0DA6" w:rsidRDefault="00AD55DF">
            <w:pPr>
              <w:rPr>
                <w:rFonts w:ascii="Cambria" w:hAnsi="Cambria" w:cs="Arial"/>
                <w:b/>
              </w:rPr>
            </w:pPr>
            <w:r w:rsidRPr="009A0DA6">
              <w:rPr>
                <w:rFonts w:ascii="Cambria" w:hAnsi="Cambria" w:cs="Arial"/>
                <w:b/>
              </w:rPr>
              <w:t>Expenditure</w:t>
            </w:r>
          </w:p>
        </w:tc>
        <w:tc>
          <w:tcPr>
            <w:tcW w:w="1422" w:type="dxa"/>
          </w:tcPr>
          <w:p w14:paraId="6042DDE8" w14:textId="77777777" w:rsidR="00AD55DF" w:rsidRPr="009A0DA6" w:rsidRDefault="00AD55DF">
            <w:pPr>
              <w:jc w:val="right"/>
              <w:rPr>
                <w:rFonts w:ascii="Cambria" w:hAnsi="Cambria" w:cs="Arial"/>
                <w:b/>
              </w:rPr>
            </w:pPr>
          </w:p>
        </w:tc>
        <w:tc>
          <w:tcPr>
            <w:tcW w:w="1422" w:type="dxa"/>
          </w:tcPr>
          <w:p w14:paraId="00480120" w14:textId="77777777" w:rsidR="00AD55DF" w:rsidRPr="009A0DA6" w:rsidRDefault="00AD55DF">
            <w:pPr>
              <w:jc w:val="right"/>
              <w:rPr>
                <w:rFonts w:ascii="Cambria" w:hAnsi="Cambria" w:cs="Arial"/>
                <w:b/>
              </w:rPr>
            </w:pPr>
          </w:p>
        </w:tc>
        <w:tc>
          <w:tcPr>
            <w:tcW w:w="1422" w:type="dxa"/>
          </w:tcPr>
          <w:p w14:paraId="655FD50E" w14:textId="77777777" w:rsidR="00AD55DF" w:rsidRPr="009A0DA6" w:rsidRDefault="00AD55DF">
            <w:pPr>
              <w:jc w:val="right"/>
              <w:rPr>
                <w:rFonts w:ascii="Cambria" w:hAnsi="Cambria" w:cs="Arial"/>
                <w:b/>
              </w:rPr>
            </w:pPr>
          </w:p>
        </w:tc>
      </w:tr>
      <w:tr w:rsidR="00AD55DF" w:rsidRPr="009A0DA6" w14:paraId="2A1672E5" w14:textId="77777777" w:rsidTr="00F80178">
        <w:tc>
          <w:tcPr>
            <w:tcW w:w="4390" w:type="dxa"/>
            <w:hideMark/>
          </w:tcPr>
          <w:p w14:paraId="6F22BBF3" w14:textId="77777777" w:rsidR="00AD55DF" w:rsidRPr="009A0DA6" w:rsidRDefault="00AD55DF">
            <w:pPr>
              <w:rPr>
                <w:rFonts w:ascii="Cambria" w:hAnsi="Cambria" w:cs="Arial"/>
              </w:rPr>
            </w:pPr>
            <w:r w:rsidRPr="009A0DA6">
              <w:rPr>
                <w:rFonts w:ascii="Cambria" w:hAnsi="Cambria" w:cs="Arial"/>
              </w:rPr>
              <w:t>1 Growing as God’s People</w:t>
            </w:r>
          </w:p>
        </w:tc>
        <w:tc>
          <w:tcPr>
            <w:tcW w:w="1422" w:type="dxa"/>
            <w:hideMark/>
          </w:tcPr>
          <w:p w14:paraId="22914C38" w14:textId="77777777" w:rsidR="00AD55DF" w:rsidRPr="009A0DA6" w:rsidRDefault="00AD55DF">
            <w:pPr>
              <w:jc w:val="right"/>
              <w:rPr>
                <w:rFonts w:ascii="Cambria" w:hAnsi="Cambria" w:cs="Arial"/>
              </w:rPr>
            </w:pPr>
            <w:r w:rsidRPr="009A0DA6">
              <w:rPr>
                <w:rFonts w:ascii="Cambria" w:hAnsi="Cambria" w:cs="Arial"/>
              </w:rPr>
              <w:t>3,507</w:t>
            </w:r>
          </w:p>
        </w:tc>
        <w:tc>
          <w:tcPr>
            <w:tcW w:w="1422" w:type="dxa"/>
            <w:hideMark/>
          </w:tcPr>
          <w:p w14:paraId="3B25CC66" w14:textId="77777777" w:rsidR="00AD55DF" w:rsidRPr="009A0DA6" w:rsidRDefault="00AD55DF">
            <w:pPr>
              <w:jc w:val="right"/>
              <w:rPr>
                <w:rFonts w:ascii="Cambria" w:hAnsi="Cambria" w:cs="Arial"/>
              </w:rPr>
            </w:pPr>
            <w:r w:rsidRPr="009A0DA6">
              <w:rPr>
                <w:rFonts w:ascii="Cambria" w:hAnsi="Cambria" w:cs="Arial"/>
              </w:rPr>
              <w:t>2,433</w:t>
            </w:r>
          </w:p>
        </w:tc>
        <w:tc>
          <w:tcPr>
            <w:tcW w:w="1422" w:type="dxa"/>
            <w:hideMark/>
          </w:tcPr>
          <w:p w14:paraId="341F268B" w14:textId="77777777" w:rsidR="00AD55DF" w:rsidRPr="009A0DA6" w:rsidRDefault="00AD55DF">
            <w:pPr>
              <w:jc w:val="right"/>
              <w:rPr>
                <w:rFonts w:ascii="Cambria" w:hAnsi="Cambria" w:cs="Arial"/>
              </w:rPr>
            </w:pPr>
            <w:r w:rsidRPr="009A0DA6">
              <w:rPr>
                <w:rFonts w:ascii="Cambria" w:hAnsi="Cambria" w:cs="Arial"/>
              </w:rPr>
              <w:t>2,342</w:t>
            </w:r>
          </w:p>
        </w:tc>
      </w:tr>
      <w:tr w:rsidR="00AD55DF" w:rsidRPr="009A0DA6" w14:paraId="0D9B4A6A" w14:textId="77777777" w:rsidTr="00F80178">
        <w:tc>
          <w:tcPr>
            <w:tcW w:w="4390" w:type="dxa"/>
            <w:hideMark/>
          </w:tcPr>
          <w:p w14:paraId="3A429136" w14:textId="77777777" w:rsidR="00AD55DF" w:rsidRPr="009A0DA6" w:rsidRDefault="00AD55DF">
            <w:pPr>
              <w:rPr>
                <w:rFonts w:ascii="Cambria" w:hAnsi="Cambria" w:cs="Arial"/>
              </w:rPr>
            </w:pPr>
            <w:r w:rsidRPr="009A0DA6">
              <w:rPr>
                <w:rFonts w:ascii="Cambria" w:hAnsi="Cambria" w:cs="Arial"/>
              </w:rPr>
              <w:t>2 Going as God’s People</w:t>
            </w:r>
          </w:p>
        </w:tc>
        <w:tc>
          <w:tcPr>
            <w:tcW w:w="1422" w:type="dxa"/>
            <w:hideMark/>
          </w:tcPr>
          <w:p w14:paraId="26C98C2D" w14:textId="77777777" w:rsidR="00AD55DF" w:rsidRPr="009A0DA6" w:rsidRDefault="00AD55DF">
            <w:pPr>
              <w:jc w:val="right"/>
              <w:rPr>
                <w:rFonts w:ascii="Cambria" w:hAnsi="Cambria" w:cs="Arial"/>
              </w:rPr>
            </w:pPr>
            <w:r w:rsidRPr="009A0DA6">
              <w:rPr>
                <w:rFonts w:ascii="Cambria" w:hAnsi="Cambria" w:cs="Arial"/>
              </w:rPr>
              <w:t>3,507</w:t>
            </w:r>
          </w:p>
        </w:tc>
        <w:tc>
          <w:tcPr>
            <w:tcW w:w="1422" w:type="dxa"/>
            <w:hideMark/>
          </w:tcPr>
          <w:p w14:paraId="1D135FBC" w14:textId="77777777" w:rsidR="00AD55DF" w:rsidRPr="009A0DA6" w:rsidRDefault="00AD55DF">
            <w:pPr>
              <w:jc w:val="right"/>
              <w:rPr>
                <w:rFonts w:ascii="Cambria" w:hAnsi="Cambria" w:cs="Arial"/>
              </w:rPr>
            </w:pPr>
            <w:r w:rsidRPr="009A0DA6">
              <w:rPr>
                <w:rFonts w:ascii="Cambria" w:hAnsi="Cambria" w:cs="Arial"/>
              </w:rPr>
              <w:t>2,433</w:t>
            </w:r>
          </w:p>
        </w:tc>
        <w:tc>
          <w:tcPr>
            <w:tcW w:w="1422" w:type="dxa"/>
            <w:hideMark/>
          </w:tcPr>
          <w:p w14:paraId="0B4C6A6B" w14:textId="77777777" w:rsidR="00AD55DF" w:rsidRPr="009A0DA6" w:rsidRDefault="00AD55DF">
            <w:pPr>
              <w:jc w:val="right"/>
              <w:rPr>
                <w:rFonts w:ascii="Cambria" w:hAnsi="Cambria" w:cs="Arial"/>
              </w:rPr>
            </w:pPr>
            <w:r w:rsidRPr="009A0DA6">
              <w:rPr>
                <w:rFonts w:ascii="Cambria" w:hAnsi="Cambria" w:cs="Arial"/>
              </w:rPr>
              <w:t>2,342</w:t>
            </w:r>
          </w:p>
        </w:tc>
      </w:tr>
      <w:tr w:rsidR="00AD55DF" w:rsidRPr="009A0DA6" w14:paraId="79AC1D55" w14:textId="77777777" w:rsidTr="00F80178">
        <w:tc>
          <w:tcPr>
            <w:tcW w:w="4390" w:type="dxa"/>
            <w:hideMark/>
          </w:tcPr>
          <w:p w14:paraId="1982792F" w14:textId="77777777" w:rsidR="00AD55DF" w:rsidRPr="009A0DA6" w:rsidRDefault="00AD55DF">
            <w:pPr>
              <w:rPr>
                <w:rFonts w:ascii="Cambria" w:hAnsi="Cambria" w:cs="Arial"/>
              </w:rPr>
            </w:pPr>
            <w:r w:rsidRPr="009A0DA6">
              <w:rPr>
                <w:rFonts w:ascii="Cambria" w:hAnsi="Cambria" w:cs="Arial"/>
              </w:rPr>
              <w:t>3 Enable us to Go &amp; Grow</w:t>
            </w:r>
          </w:p>
        </w:tc>
        <w:tc>
          <w:tcPr>
            <w:tcW w:w="1422" w:type="dxa"/>
            <w:hideMark/>
          </w:tcPr>
          <w:p w14:paraId="3D6FCE26" w14:textId="77777777" w:rsidR="00AD55DF" w:rsidRPr="009A0DA6" w:rsidRDefault="00AD55DF">
            <w:pPr>
              <w:jc w:val="right"/>
              <w:rPr>
                <w:rFonts w:ascii="Cambria" w:hAnsi="Cambria" w:cs="Arial"/>
              </w:rPr>
            </w:pPr>
            <w:r w:rsidRPr="009A0DA6">
              <w:rPr>
                <w:rFonts w:ascii="Cambria" w:hAnsi="Cambria" w:cs="Arial"/>
              </w:rPr>
              <w:t>3,507</w:t>
            </w:r>
          </w:p>
        </w:tc>
        <w:tc>
          <w:tcPr>
            <w:tcW w:w="1422" w:type="dxa"/>
            <w:hideMark/>
          </w:tcPr>
          <w:p w14:paraId="05446BFD" w14:textId="77777777" w:rsidR="00AD55DF" w:rsidRPr="009A0DA6" w:rsidRDefault="00AD55DF">
            <w:pPr>
              <w:jc w:val="right"/>
              <w:rPr>
                <w:rFonts w:ascii="Cambria" w:hAnsi="Cambria" w:cs="Arial"/>
              </w:rPr>
            </w:pPr>
            <w:r w:rsidRPr="009A0DA6">
              <w:rPr>
                <w:rFonts w:ascii="Cambria" w:hAnsi="Cambria" w:cs="Arial"/>
              </w:rPr>
              <w:t>2,433</w:t>
            </w:r>
          </w:p>
        </w:tc>
        <w:tc>
          <w:tcPr>
            <w:tcW w:w="1422" w:type="dxa"/>
            <w:hideMark/>
          </w:tcPr>
          <w:p w14:paraId="2CEF76C5" w14:textId="77777777" w:rsidR="00AD55DF" w:rsidRPr="009A0DA6" w:rsidRDefault="00AD55DF">
            <w:pPr>
              <w:jc w:val="right"/>
              <w:rPr>
                <w:rFonts w:ascii="Cambria" w:hAnsi="Cambria" w:cs="Arial"/>
              </w:rPr>
            </w:pPr>
            <w:r w:rsidRPr="009A0DA6">
              <w:rPr>
                <w:rFonts w:ascii="Cambria" w:hAnsi="Cambria" w:cs="Arial"/>
              </w:rPr>
              <w:t>2,342</w:t>
            </w:r>
          </w:p>
        </w:tc>
      </w:tr>
      <w:tr w:rsidR="00AD55DF" w:rsidRPr="009A0DA6" w14:paraId="1F3A09BD" w14:textId="77777777" w:rsidTr="00F80178">
        <w:tc>
          <w:tcPr>
            <w:tcW w:w="4390" w:type="dxa"/>
            <w:hideMark/>
          </w:tcPr>
          <w:p w14:paraId="5AEE47CE" w14:textId="77777777" w:rsidR="00AD55DF" w:rsidRPr="00206BF6" w:rsidRDefault="00AD55DF">
            <w:pPr>
              <w:rPr>
                <w:rFonts w:ascii="Cambria" w:hAnsi="Cambria" w:cs="Arial"/>
                <w:b/>
              </w:rPr>
            </w:pPr>
            <w:r w:rsidRPr="00206BF6">
              <w:rPr>
                <w:rFonts w:ascii="Cambria" w:hAnsi="Cambria" w:cs="Arial"/>
                <w:b/>
              </w:rPr>
              <w:t>Total</w:t>
            </w:r>
          </w:p>
        </w:tc>
        <w:tc>
          <w:tcPr>
            <w:tcW w:w="1422" w:type="dxa"/>
            <w:hideMark/>
          </w:tcPr>
          <w:p w14:paraId="0245827B" w14:textId="77777777" w:rsidR="00AD55DF" w:rsidRPr="009A0DA6" w:rsidRDefault="00AD55DF">
            <w:pPr>
              <w:jc w:val="right"/>
              <w:rPr>
                <w:rFonts w:ascii="Cambria" w:hAnsi="Cambria" w:cs="Arial"/>
              </w:rPr>
            </w:pPr>
            <w:r w:rsidRPr="009A0DA6">
              <w:rPr>
                <w:rFonts w:ascii="Cambria" w:hAnsi="Cambria" w:cs="Arial"/>
              </w:rPr>
              <w:t>10,552</w:t>
            </w:r>
          </w:p>
        </w:tc>
        <w:tc>
          <w:tcPr>
            <w:tcW w:w="1422" w:type="dxa"/>
            <w:hideMark/>
          </w:tcPr>
          <w:p w14:paraId="3FAB5797" w14:textId="77777777" w:rsidR="00AD55DF" w:rsidRPr="009A0DA6" w:rsidRDefault="00AD55DF">
            <w:pPr>
              <w:jc w:val="right"/>
              <w:rPr>
                <w:rFonts w:ascii="Cambria" w:hAnsi="Cambria" w:cs="Arial"/>
              </w:rPr>
            </w:pPr>
            <w:r w:rsidRPr="009A0DA6">
              <w:rPr>
                <w:rFonts w:ascii="Cambria" w:hAnsi="Cambria" w:cs="Arial"/>
              </w:rPr>
              <w:t>7,300</w:t>
            </w:r>
          </w:p>
        </w:tc>
        <w:tc>
          <w:tcPr>
            <w:tcW w:w="1422" w:type="dxa"/>
            <w:hideMark/>
          </w:tcPr>
          <w:p w14:paraId="2B4C0A76" w14:textId="77777777" w:rsidR="00AD55DF" w:rsidRPr="009A0DA6" w:rsidRDefault="00AD55DF">
            <w:pPr>
              <w:jc w:val="right"/>
              <w:rPr>
                <w:rFonts w:ascii="Cambria" w:hAnsi="Cambria" w:cs="Arial"/>
              </w:rPr>
            </w:pPr>
            <w:r w:rsidRPr="009A0DA6">
              <w:rPr>
                <w:rFonts w:ascii="Cambria" w:hAnsi="Cambria" w:cs="Arial"/>
              </w:rPr>
              <w:t>7,028</w:t>
            </w:r>
          </w:p>
        </w:tc>
      </w:tr>
    </w:tbl>
    <w:p w14:paraId="6BB18B25" w14:textId="77777777" w:rsidR="00F80178" w:rsidRPr="009A0DA6" w:rsidRDefault="00F80178" w:rsidP="00AD55DF">
      <w:pPr>
        <w:spacing w:after="0" w:line="240" w:lineRule="auto"/>
        <w:rPr>
          <w:rFonts w:ascii="Cambria" w:hAnsi="Cambria" w:cs="Arial"/>
          <w:b/>
        </w:rPr>
      </w:pPr>
    </w:p>
    <w:p w14:paraId="0175E106" w14:textId="3E064406" w:rsidR="00AD55DF" w:rsidRPr="009A0DA6" w:rsidRDefault="00F80178" w:rsidP="00AD7835">
      <w:pPr>
        <w:tabs>
          <w:tab w:val="right" w:pos="5954"/>
          <w:tab w:val="right" w:pos="7371"/>
          <w:tab w:val="right" w:pos="8789"/>
        </w:tabs>
        <w:autoSpaceDE w:val="0"/>
        <w:autoSpaceDN w:val="0"/>
        <w:adjustRightInd w:val="0"/>
        <w:spacing w:after="0" w:line="240" w:lineRule="auto"/>
        <w:rPr>
          <w:rFonts w:ascii="Cambria" w:hAnsi="Cambria" w:cs="Tahoma"/>
          <w:b/>
          <w:bCs/>
          <w:lang w:val="en"/>
        </w:rPr>
      </w:pPr>
      <w:r w:rsidRPr="009A0DA6">
        <w:rPr>
          <w:rFonts w:ascii="Cambria" w:hAnsi="Cambria" w:cs="Tahoma"/>
          <w:b/>
          <w:bCs/>
          <w:lang w:val="en"/>
        </w:rPr>
        <w:lastRenderedPageBreak/>
        <w:t>STATEMENT OF RECEIPTS AND PAYMENTS</w:t>
      </w:r>
    </w:p>
    <w:p w14:paraId="224661D2" w14:textId="71C9482E" w:rsidR="00AD55DF" w:rsidRPr="009A0DA6" w:rsidRDefault="00F80178" w:rsidP="00AD55DF">
      <w:pPr>
        <w:tabs>
          <w:tab w:val="right" w:pos="5954"/>
          <w:tab w:val="right" w:pos="7371"/>
          <w:tab w:val="right" w:pos="8789"/>
        </w:tabs>
        <w:autoSpaceDE w:val="0"/>
        <w:autoSpaceDN w:val="0"/>
        <w:adjustRightInd w:val="0"/>
        <w:spacing w:after="0" w:line="240" w:lineRule="auto"/>
        <w:rPr>
          <w:rFonts w:ascii="Cambria" w:hAnsi="Cambria" w:cs="Tahoma"/>
          <w:b/>
          <w:bCs/>
          <w:lang w:val="en"/>
        </w:rPr>
      </w:pPr>
      <w:r w:rsidRPr="009A0DA6">
        <w:rPr>
          <w:rFonts w:ascii="Cambria" w:hAnsi="Cambria" w:cs="Tahoma"/>
          <w:b/>
          <w:bCs/>
          <w:lang w:val="en"/>
        </w:rPr>
        <w:t>MARCH 2015 – MARCH 2018</w:t>
      </w:r>
    </w:p>
    <w:p w14:paraId="01238970" w14:textId="77777777" w:rsidR="00AD55DF" w:rsidRPr="009A0DA6" w:rsidRDefault="00AD55DF" w:rsidP="00AD55DF">
      <w:pPr>
        <w:tabs>
          <w:tab w:val="right" w:pos="5954"/>
          <w:tab w:val="right" w:pos="7371"/>
          <w:tab w:val="right" w:pos="8789"/>
        </w:tabs>
        <w:autoSpaceDE w:val="0"/>
        <w:autoSpaceDN w:val="0"/>
        <w:adjustRightInd w:val="0"/>
        <w:spacing w:after="0" w:line="240" w:lineRule="auto"/>
        <w:rPr>
          <w:rFonts w:ascii="Cambria" w:hAnsi="Cambria" w:cs="Tahoma"/>
          <w:b/>
          <w:bCs/>
          <w:lang w:val="en"/>
        </w:rPr>
      </w:pPr>
    </w:p>
    <w:p w14:paraId="4B5C4BFD" w14:textId="77777777" w:rsidR="00AD55DF" w:rsidRPr="009A0DA6" w:rsidRDefault="00AD55DF" w:rsidP="00AD55DF">
      <w:pPr>
        <w:tabs>
          <w:tab w:val="right" w:pos="5954"/>
          <w:tab w:val="right" w:pos="7371"/>
          <w:tab w:val="right" w:pos="8789"/>
        </w:tabs>
        <w:autoSpaceDE w:val="0"/>
        <w:autoSpaceDN w:val="0"/>
        <w:adjustRightInd w:val="0"/>
        <w:spacing w:after="0" w:line="240" w:lineRule="auto"/>
        <w:rPr>
          <w:rFonts w:ascii="Cambria" w:hAnsi="Cambria" w:cs="Tahoma"/>
          <w:lang w:val="en"/>
        </w:rPr>
      </w:pPr>
      <w:r w:rsidRPr="009A0DA6">
        <w:rPr>
          <w:rFonts w:ascii="Cambria" w:hAnsi="Cambria" w:cs="Tahoma"/>
          <w:lang w:val="en"/>
        </w:rPr>
        <w:t>Opening Balance -</w:t>
      </w:r>
      <w:r w:rsidRPr="009A0DA6">
        <w:rPr>
          <w:rFonts w:ascii="Cambria" w:hAnsi="Cambria" w:cs="Tahoma"/>
          <w:lang w:val="en"/>
        </w:rPr>
        <w:tab/>
      </w:r>
      <w:r w:rsidRPr="009A0DA6">
        <w:rPr>
          <w:rFonts w:ascii="Cambria" w:hAnsi="Cambria" w:cs="Tahoma"/>
          <w:lang w:val="en"/>
        </w:rPr>
        <w:tab/>
      </w:r>
      <w:r w:rsidRPr="009A0DA6">
        <w:rPr>
          <w:rFonts w:ascii="Cambria" w:hAnsi="Cambria" w:cs="Tahoma"/>
          <w:lang w:val="en"/>
        </w:rPr>
        <w:tab/>
        <w:t>8,168</w:t>
      </w:r>
    </w:p>
    <w:p w14:paraId="2EDC173F" w14:textId="77777777" w:rsidR="00AD55DF" w:rsidRPr="009A0DA6" w:rsidRDefault="00AD55DF" w:rsidP="00AD55DF">
      <w:pPr>
        <w:tabs>
          <w:tab w:val="right" w:pos="5954"/>
          <w:tab w:val="right" w:pos="7371"/>
          <w:tab w:val="right" w:pos="8789"/>
        </w:tabs>
        <w:autoSpaceDE w:val="0"/>
        <w:autoSpaceDN w:val="0"/>
        <w:adjustRightInd w:val="0"/>
        <w:spacing w:after="0" w:line="240" w:lineRule="auto"/>
        <w:rPr>
          <w:rFonts w:ascii="Cambria" w:hAnsi="Cambria" w:cs="Tahoma"/>
          <w:lang w:val="en"/>
        </w:rPr>
      </w:pPr>
      <w:r w:rsidRPr="009A0DA6">
        <w:rPr>
          <w:rFonts w:ascii="Cambria" w:hAnsi="Cambria" w:cs="Tahoma"/>
          <w:lang w:val="en"/>
        </w:rPr>
        <w:t>Add Receipts</w:t>
      </w:r>
    </w:p>
    <w:p w14:paraId="4C74898D" w14:textId="77777777" w:rsidR="00AD55DF" w:rsidRPr="009A0DA6" w:rsidRDefault="00AD55DF" w:rsidP="00AD55DF">
      <w:pPr>
        <w:tabs>
          <w:tab w:val="right" w:pos="5954"/>
          <w:tab w:val="right" w:pos="7371"/>
          <w:tab w:val="right" w:pos="8789"/>
        </w:tabs>
        <w:autoSpaceDE w:val="0"/>
        <w:autoSpaceDN w:val="0"/>
        <w:adjustRightInd w:val="0"/>
        <w:spacing w:after="0" w:line="240" w:lineRule="auto"/>
        <w:rPr>
          <w:rFonts w:ascii="Cambria" w:hAnsi="Cambria" w:cs="Tahoma"/>
          <w:lang w:val="en"/>
        </w:rPr>
      </w:pPr>
      <w:r w:rsidRPr="009A0DA6">
        <w:rPr>
          <w:rFonts w:ascii="Cambria" w:hAnsi="Cambria" w:cs="Tahoma"/>
          <w:lang w:val="en"/>
        </w:rPr>
        <w:t>Membership Donations</w:t>
      </w:r>
      <w:r w:rsidRPr="009A0DA6">
        <w:rPr>
          <w:rFonts w:ascii="Cambria" w:hAnsi="Cambria" w:cs="Tahoma"/>
          <w:lang w:val="en"/>
        </w:rPr>
        <w:tab/>
        <w:t>SA</w:t>
      </w:r>
      <w:r w:rsidRPr="009A0DA6">
        <w:rPr>
          <w:rFonts w:ascii="Cambria" w:hAnsi="Cambria" w:cs="Tahoma"/>
          <w:lang w:val="en"/>
        </w:rPr>
        <w:tab/>
        <w:t>680</w:t>
      </w:r>
      <w:r w:rsidRPr="009A0DA6">
        <w:rPr>
          <w:rFonts w:ascii="Cambria" w:hAnsi="Cambria" w:cs="Tahoma"/>
          <w:lang w:val="en"/>
        </w:rPr>
        <w:tab/>
      </w:r>
    </w:p>
    <w:p w14:paraId="2DCDD2DF" w14:textId="77777777" w:rsidR="00AD55DF" w:rsidRPr="009A0DA6" w:rsidRDefault="00AD55DF" w:rsidP="00AD55DF">
      <w:pPr>
        <w:tabs>
          <w:tab w:val="right" w:pos="5954"/>
          <w:tab w:val="right" w:pos="7371"/>
          <w:tab w:val="right" w:pos="8789"/>
        </w:tabs>
        <w:autoSpaceDE w:val="0"/>
        <w:autoSpaceDN w:val="0"/>
        <w:adjustRightInd w:val="0"/>
        <w:spacing w:after="0" w:line="240" w:lineRule="auto"/>
        <w:rPr>
          <w:rFonts w:ascii="Cambria" w:hAnsi="Cambria" w:cs="Tahoma"/>
          <w:lang w:val="en"/>
        </w:rPr>
      </w:pPr>
      <w:r w:rsidRPr="009A0DA6">
        <w:rPr>
          <w:rFonts w:ascii="Cambria" w:hAnsi="Cambria" w:cs="Tahoma"/>
          <w:lang w:val="en"/>
        </w:rPr>
        <w:tab/>
        <w:t>Vic</w:t>
      </w:r>
      <w:r w:rsidRPr="009A0DA6">
        <w:rPr>
          <w:rFonts w:ascii="Cambria" w:hAnsi="Cambria" w:cs="Tahoma"/>
          <w:lang w:val="en"/>
        </w:rPr>
        <w:tab/>
      </w:r>
      <w:r w:rsidRPr="009A0DA6">
        <w:rPr>
          <w:rFonts w:ascii="Cambria" w:hAnsi="Cambria" w:cs="Tahoma"/>
          <w:u w:val="single"/>
          <w:lang w:val="en"/>
        </w:rPr>
        <w:t>785</w:t>
      </w:r>
      <w:r w:rsidRPr="009A0DA6">
        <w:rPr>
          <w:rFonts w:ascii="Cambria" w:hAnsi="Cambria" w:cs="Tahoma"/>
          <w:lang w:val="en"/>
        </w:rPr>
        <w:tab/>
        <w:t>1,465</w:t>
      </w:r>
    </w:p>
    <w:p w14:paraId="4C1F7706" w14:textId="77777777" w:rsidR="00AD55DF" w:rsidRPr="009A0DA6" w:rsidRDefault="00AD55DF" w:rsidP="00AD55DF">
      <w:pPr>
        <w:tabs>
          <w:tab w:val="right" w:pos="5954"/>
          <w:tab w:val="right" w:pos="7371"/>
          <w:tab w:val="right" w:pos="8789"/>
        </w:tabs>
        <w:autoSpaceDE w:val="0"/>
        <w:autoSpaceDN w:val="0"/>
        <w:adjustRightInd w:val="0"/>
        <w:spacing w:after="0" w:line="240" w:lineRule="auto"/>
        <w:rPr>
          <w:rFonts w:ascii="Cambria" w:hAnsi="Cambria" w:cs="Tahoma"/>
          <w:lang w:val="en"/>
        </w:rPr>
      </w:pPr>
      <w:r w:rsidRPr="009A0DA6">
        <w:rPr>
          <w:rFonts w:ascii="Cambria" w:hAnsi="Cambria" w:cs="Tahoma"/>
          <w:lang w:val="en"/>
        </w:rPr>
        <w:t>Projects</w:t>
      </w:r>
      <w:r w:rsidRPr="009A0DA6">
        <w:rPr>
          <w:rFonts w:ascii="Cambria" w:hAnsi="Cambria" w:cs="Tahoma"/>
          <w:lang w:val="en"/>
        </w:rPr>
        <w:tab/>
        <w:t>SA</w:t>
      </w:r>
      <w:r w:rsidRPr="009A0DA6">
        <w:rPr>
          <w:rFonts w:ascii="Cambria" w:hAnsi="Cambria" w:cs="Tahoma"/>
          <w:lang w:val="en"/>
        </w:rPr>
        <w:tab/>
        <w:t>13,741</w:t>
      </w:r>
      <w:r w:rsidRPr="009A0DA6">
        <w:rPr>
          <w:rFonts w:ascii="Cambria" w:hAnsi="Cambria" w:cs="Tahoma"/>
          <w:lang w:val="en"/>
        </w:rPr>
        <w:tab/>
      </w:r>
    </w:p>
    <w:p w14:paraId="6E25FBFE" w14:textId="77777777" w:rsidR="00AD55DF" w:rsidRPr="009A0DA6" w:rsidRDefault="00AD55DF" w:rsidP="00AD55DF">
      <w:pPr>
        <w:tabs>
          <w:tab w:val="right" w:pos="5954"/>
          <w:tab w:val="right" w:pos="7371"/>
          <w:tab w:val="right" w:pos="8789"/>
        </w:tabs>
        <w:autoSpaceDE w:val="0"/>
        <w:autoSpaceDN w:val="0"/>
        <w:adjustRightInd w:val="0"/>
        <w:spacing w:after="0" w:line="240" w:lineRule="auto"/>
        <w:rPr>
          <w:rFonts w:ascii="Cambria" w:hAnsi="Cambria" w:cs="Tahoma"/>
          <w:lang w:val="en"/>
        </w:rPr>
      </w:pPr>
      <w:r w:rsidRPr="009A0DA6">
        <w:rPr>
          <w:rFonts w:ascii="Cambria" w:hAnsi="Cambria" w:cs="Tahoma"/>
          <w:lang w:val="en"/>
        </w:rPr>
        <w:tab/>
        <w:t>Vic</w:t>
      </w:r>
      <w:r w:rsidRPr="009A0DA6">
        <w:rPr>
          <w:rFonts w:ascii="Cambria" w:hAnsi="Cambria" w:cs="Tahoma"/>
          <w:lang w:val="en"/>
        </w:rPr>
        <w:tab/>
        <w:t>5,487</w:t>
      </w:r>
      <w:r w:rsidRPr="009A0DA6">
        <w:rPr>
          <w:rFonts w:ascii="Cambria" w:hAnsi="Cambria" w:cs="Tahoma"/>
          <w:lang w:val="en"/>
        </w:rPr>
        <w:tab/>
      </w:r>
    </w:p>
    <w:p w14:paraId="42411ECF" w14:textId="77777777" w:rsidR="00AD55DF" w:rsidRPr="009A0DA6" w:rsidRDefault="00AD55DF" w:rsidP="00AD55DF">
      <w:pPr>
        <w:tabs>
          <w:tab w:val="right" w:pos="5954"/>
          <w:tab w:val="right" w:pos="7371"/>
          <w:tab w:val="right" w:pos="8789"/>
        </w:tabs>
        <w:autoSpaceDE w:val="0"/>
        <w:autoSpaceDN w:val="0"/>
        <w:adjustRightInd w:val="0"/>
        <w:spacing w:after="0" w:line="240" w:lineRule="auto"/>
        <w:rPr>
          <w:rFonts w:ascii="Cambria" w:hAnsi="Cambria" w:cs="Tahoma"/>
          <w:lang w:val="en"/>
        </w:rPr>
      </w:pPr>
      <w:r w:rsidRPr="009A0DA6">
        <w:rPr>
          <w:rFonts w:ascii="Cambria" w:hAnsi="Cambria" w:cs="Tahoma"/>
          <w:lang w:val="en"/>
        </w:rPr>
        <w:tab/>
        <w:t>QLD</w:t>
      </w:r>
      <w:r w:rsidRPr="009A0DA6">
        <w:rPr>
          <w:rFonts w:ascii="Cambria" w:hAnsi="Cambria" w:cs="Tahoma"/>
          <w:lang w:val="en"/>
        </w:rPr>
        <w:tab/>
      </w:r>
      <w:r w:rsidRPr="009A0DA6">
        <w:rPr>
          <w:rFonts w:ascii="Cambria" w:hAnsi="Cambria" w:cs="Tahoma"/>
          <w:u w:val="single"/>
          <w:lang w:val="en"/>
        </w:rPr>
        <w:t>92</w:t>
      </w:r>
      <w:r w:rsidRPr="009A0DA6">
        <w:rPr>
          <w:rFonts w:ascii="Cambria" w:hAnsi="Cambria" w:cs="Tahoma"/>
          <w:lang w:val="en"/>
        </w:rPr>
        <w:tab/>
        <w:t>19,321</w:t>
      </w:r>
    </w:p>
    <w:p w14:paraId="5747B574" w14:textId="77777777" w:rsidR="00AD55DF" w:rsidRPr="009A0DA6" w:rsidRDefault="00AD55DF" w:rsidP="00AD55DF">
      <w:pPr>
        <w:tabs>
          <w:tab w:val="right" w:pos="5954"/>
          <w:tab w:val="right" w:pos="7371"/>
          <w:tab w:val="right" w:pos="8789"/>
        </w:tabs>
        <w:autoSpaceDE w:val="0"/>
        <w:autoSpaceDN w:val="0"/>
        <w:adjustRightInd w:val="0"/>
        <w:spacing w:after="0" w:line="240" w:lineRule="auto"/>
        <w:rPr>
          <w:rFonts w:ascii="Cambria" w:hAnsi="Cambria" w:cs="Tahoma"/>
          <w:lang w:val="en"/>
        </w:rPr>
      </w:pPr>
      <w:r w:rsidRPr="009A0DA6">
        <w:rPr>
          <w:rFonts w:ascii="Cambria" w:hAnsi="Cambria" w:cs="Tahoma"/>
          <w:lang w:val="en"/>
        </w:rPr>
        <w:t>LLL Interest</w:t>
      </w:r>
      <w:r w:rsidRPr="009A0DA6">
        <w:rPr>
          <w:rFonts w:ascii="Cambria" w:hAnsi="Cambria" w:cs="Tahoma"/>
          <w:lang w:val="en"/>
        </w:rPr>
        <w:tab/>
      </w:r>
      <w:r w:rsidRPr="009A0DA6">
        <w:rPr>
          <w:rFonts w:ascii="Cambria" w:hAnsi="Cambria" w:cs="Tahoma"/>
          <w:lang w:val="en"/>
        </w:rPr>
        <w:tab/>
      </w:r>
      <w:r w:rsidRPr="009A0DA6">
        <w:rPr>
          <w:rFonts w:ascii="Cambria" w:hAnsi="Cambria" w:cs="Tahoma"/>
          <w:lang w:val="en"/>
        </w:rPr>
        <w:tab/>
      </w:r>
      <w:r w:rsidRPr="009A0DA6">
        <w:rPr>
          <w:rFonts w:ascii="Cambria" w:hAnsi="Cambria" w:cs="Tahoma"/>
          <w:u w:val="single"/>
          <w:lang w:val="en"/>
        </w:rPr>
        <w:t>631</w:t>
      </w:r>
    </w:p>
    <w:p w14:paraId="7508FD34" w14:textId="77777777" w:rsidR="00AD55DF" w:rsidRPr="009A0DA6" w:rsidRDefault="00AD55DF" w:rsidP="00AD55DF">
      <w:pPr>
        <w:tabs>
          <w:tab w:val="right" w:pos="5954"/>
          <w:tab w:val="right" w:pos="7371"/>
          <w:tab w:val="right" w:pos="8789"/>
        </w:tabs>
        <w:autoSpaceDE w:val="0"/>
        <w:autoSpaceDN w:val="0"/>
        <w:adjustRightInd w:val="0"/>
        <w:spacing w:after="0" w:line="240" w:lineRule="auto"/>
        <w:rPr>
          <w:rFonts w:ascii="Cambria" w:hAnsi="Cambria" w:cs="Tahoma"/>
          <w:lang w:val="en"/>
        </w:rPr>
      </w:pPr>
      <w:r w:rsidRPr="009A0DA6">
        <w:rPr>
          <w:rFonts w:ascii="Cambria" w:hAnsi="Cambria" w:cs="Tahoma"/>
          <w:lang w:val="en"/>
        </w:rPr>
        <w:t>TWR</w:t>
      </w:r>
      <w:r w:rsidRPr="009A0DA6">
        <w:rPr>
          <w:rFonts w:ascii="Cambria" w:hAnsi="Cambria" w:cs="Tahoma"/>
          <w:lang w:val="en"/>
        </w:rPr>
        <w:tab/>
      </w:r>
      <w:r w:rsidRPr="009A0DA6">
        <w:rPr>
          <w:rFonts w:ascii="Cambria" w:hAnsi="Cambria" w:cs="Tahoma"/>
          <w:lang w:val="en"/>
        </w:rPr>
        <w:tab/>
      </w:r>
      <w:r w:rsidRPr="009A0DA6">
        <w:rPr>
          <w:rFonts w:ascii="Cambria" w:hAnsi="Cambria" w:cs="Tahoma"/>
          <w:lang w:val="en"/>
        </w:rPr>
        <w:tab/>
        <w:t>100</w:t>
      </w:r>
    </w:p>
    <w:p w14:paraId="74E69A77" w14:textId="77777777" w:rsidR="00AD55DF" w:rsidRPr="009A0DA6" w:rsidRDefault="00AD55DF" w:rsidP="00AD55DF">
      <w:pPr>
        <w:tabs>
          <w:tab w:val="right" w:pos="5954"/>
          <w:tab w:val="right" w:pos="7371"/>
          <w:tab w:val="right" w:pos="8789"/>
        </w:tabs>
        <w:autoSpaceDE w:val="0"/>
        <w:autoSpaceDN w:val="0"/>
        <w:adjustRightInd w:val="0"/>
        <w:spacing w:after="0" w:line="240" w:lineRule="auto"/>
        <w:rPr>
          <w:rFonts w:ascii="Cambria" w:hAnsi="Cambria" w:cs="Tahoma"/>
          <w:lang w:val="en"/>
        </w:rPr>
      </w:pPr>
      <w:r w:rsidRPr="009A0DA6">
        <w:rPr>
          <w:rFonts w:ascii="Cambria" w:hAnsi="Cambria" w:cs="Tahoma"/>
          <w:b/>
          <w:bCs/>
          <w:lang w:val="en"/>
        </w:rPr>
        <w:t>Total Receipts</w:t>
      </w:r>
      <w:r w:rsidRPr="009A0DA6">
        <w:rPr>
          <w:rFonts w:ascii="Cambria" w:hAnsi="Cambria" w:cs="Tahoma"/>
          <w:b/>
          <w:bCs/>
          <w:lang w:val="en"/>
        </w:rPr>
        <w:tab/>
      </w:r>
      <w:r w:rsidRPr="009A0DA6">
        <w:rPr>
          <w:rFonts w:ascii="Cambria" w:hAnsi="Cambria" w:cs="Tahoma"/>
          <w:b/>
          <w:bCs/>
          <w:lang w:val="en"/>
        </w:rPr>
        <w:tab/>
      </w:r>
      <w:r w:rsidRPr="009A0DA6">
        <w:rPr>
          <w:rFonts w:ascii="Cambria" w:hAnsi="Cambria" w:cs="Tahoma"/>
          <w:b/>
          <w:bCs/>
          <w:lang w:val="en"/>
        </w:rPr>
        <w:tab/>
        <w:t>29,685</w:t>
      </w:r>
    </w:p>
    <w:p w14:paraId="4DC0BAB2" w14:textId="77777777" w:rsidR="00AD55DF" w:rsidRPr="009A0DA6" w:rsidRDefault="00AD55DF" w:rsidP="00AD55DF">
      <w:pPr>
        <w:tabs>
          <w:tab w:val="right" w:pos="5954"/>
          <w:tab w:val="right" w:pos="7371"/>
          <w:tab w:val="right" w:pos="8789"/>
        </w:tabs>
        <w:autoSpaceDE w:val="0"/>
        <w:autoSpaceDN w:val="0"/>
        <w:adjustRightInd w:val="0"/>
        <w:spacing w:after="0" w:line="240" w:lineRule="auto"/>
        <w:rPr>
          <w:rFonts w:ascii="Cambria" w:hAnsi="Cambria" w:cs="Tahoma"/>
          <w:lang w:val="en"/>
        </w:rPr>
      </w:pPr>
      <w:r w:rsidRPr="009A0DA6">
        <w:rPr>
          <w:rFonts w:ascii="Cambria" w:hAnsi="Cambria" w:cs="Tahoma"/>
          <w:lang w:val="en"/>
        </w:rPr>
        <w:t>Less Payments</w:t>
      </w:r>
    </w:p>
    <w:p w14:paraId="75C7150E" w14:textId="77777777" w:rsidR="00AD55DF" w:rsidRPr="009A0DA6" w:rsidRDefault="00AD55DF" w:rsidP="00AD55DF">
      <w:pPr>
        <w:tabs>
          <w:tab w:val="right" w:pos="5954"/>
          <w:tab w:val="right" w:pos="7371"/>
          <w:tab w:val="right" w:pos="8789"/>
        </w:tabs>
        <w:autoSpaceDE w:val="0"/>
        <w:autoSpaceDN w:val="0"/>
        <w:adjustRightInd w:val="0"/>
        <w:spacing w:after="0" w:line="240" w:lineRule="auto"/>
        <w:rPr>
          <w:rFonts w:ascii="Cambria" w:hAnsi="Cambria" w:cs="Tahoma"/>
          <w:lang w:val="en"/>
        </w:rPr>
      </w:pPr>
      <w:r w:rsidRPr="009A0DA6">
        <w:rPr>
          <w:rFonts w:ascii="Cambria" w:hAnsi="Cambria" w:cs="Tahoma"/>
          <w:lang w:val="en"/>
        </w:rPr>
        <w:t>Men for Ministry</w:t>
      </w:r>
      <w:r w:rsidRPr="009A0DA6">
        <w:rPr>
          <w:rFonts w:ascii="Cambria" w:hAnsi="Cambria" w:cs="Tahoma"/>
          <w:lang w:val="en"/>
        </w:rPr>
        <w:tab/>
      </w:r>
      <w:r w:rsidRPr="009A0DA6">
        <w:rPr>
          <w:rFonts w:ascii="Cambria" w:hAnsi="Cambria" w:cs="Tahoma"/>
          <w:lang w:val="en"/>
        </w:rPr>
        <w:tab/>
        <w:t>12,750</w:t>
      </w:r>
      <w:r w:rsidRPr="009A0DA6">
        <w:rPr>
          <w:rFonts w:ascii="Cambria" w:hAnsi="Cambria" w:cs="Tahoma"/>
          <w:lang w:val="en"/>
        </w:rPr>
        <w:tab/>
      </w:r>
    </w:p>
    <w:p w14:paraId="717FA47B" w14:textId="77777777" w:rsidR="00AD55DF" w:rsidRPr="009A0DA6" w:rsidRDefault="00AD55DF" w:rsidP="00AD55DF">
      <w:pPr>
        <w:tabs>
          <w:tab w:val="right" w:pos="5954"/>
          <w:tab w:val="right" w:pos="7371"/>
          <w:tab w:val="right" w:pos="8789"/>
        </w:tabs>
        <w:autoSpaceDE w:val="0"/>
        <w:autoSpaceDN w:val="0"/>
        <w:adjustRightInd w:val="0"/>
        <w:spacing w:after="0" w:line="240" w:lineRule="auto"/>
        <w:rPr>
          <w:rFonts w:ascii="Cambria" w:hAnsi="Cambria" w:cs="Tahoma"/>
          <w:lang w:val="en"/>
        </w:rPr>
      </w:pPr>
      <w:r w:rsidRPr="009A0DA6">
        <w:rPr>
          <w:rFonts w:ascii="Cambria" w:hAnsi="Cambria" w:cs="Tahoma"/>
          <w:lang w:val="en"/>
        </w:rPr>
        <w:t>Lutheran Media Ministry</w:t>
      </w:r>
      <w:r w:rsidRPr="009A0DA6">
        <w:rPr>
          <w:rFonts w:ascii="Cambria" w:hAnsi="Cambria" w:cs="Tahoma"/>
          <w:lang w:val="en"/>
        </w:rPr>
        <w:tab/>
      </w:r>
      <w:r w:rsidRPr="009A0DA6">
        <w:rPr>
          <w:rFonts w:ascii="Cambria" w:hAnsi="Cambria" w:cs="Tahoma"/>
          <w:lang w:val="en"/>
        </w:rPr>
        <w:tab/>
        <w:t>9,000</w:t>
      </w:r>
      <w:r w:rsidRPr="009A0DA6">
        <w:rPr>
          <w:rFonts w:ascii="Cambria" w:hAnsi="Cambria" w:cs="Tahoma"/>
          <w:lang w:val="en"/>
        </w:rPr>
        <w:tab/>
      </w:r>
    </w:p>
    <w:p w14:paraId="48D60030" w14:textId="77777777" w:rsidR="00AD55DF" w:rsidRPr="009A0DA6" w:rsidRDefault="00AD55DF" w:rsidP="00AD55DF">
      <w:pPr>
        <w:tabs>
          <w:tab w:val="right" w:pos="5954"/>
          <w:tab w:val="right" w:pos="7371"/>
          <w:tab w:val="right" w:pos="8789"/>
        </w:tabs>
        <w:autoSpaceDE w:val="0"/>
        <w:autoSpaceDN w:val="0"/>
        <w:adjustRightInd w:val="0"/>
        <w:spacing w:after="0" w:line="240" w:lineRule="auto"/>
        <w:rPr>
          <w:rFonts w:ascii="Cambria" w:hAnsi="Cambria" w:cs="Tahoma"/>
          <w:lang w:val="en"/>
        </w:rPr>
      </w:pPr>
      <w:r w:rsidRPr="009A0DA6">
        <w:rPr>
          <w:rFonts w:ascii="Cambria" w:hAnsi="Cambria" w:cs="Tahoma"/>
          <w:lang w:val="en"/>
        </w:rPr>
        <w:t>Trans World Radio</w:t>
      </w:r>
      <w:r w:rsidRPr="009A0DA6">
        <w:rPr>
          <w:rFonts w:ascii="Cambria" w:hAnsi="Cambria" w:cs="Tahoma"/>
          <w:lang w:val="en"/>
        </w:rPr>
        <w:tab/>
      </w:r>
      <w:r w:rsidRPr="009A0DA6">
        <w:rPr>
          <w:rFonts w:ascii="Cambria" w:hAnsi="Cambria" w:cs="Tahoma"/>
          <w:lang w:val="en"/>
        </w:rPr>
        <w:tab/>
        <w:t>3,100</w:t>
      </w:r>
      <w:r w:rsidRPr="009A0DA6">
        <w:rPr>
          <w:rFonts w:ascii="Cambria" w:hAnsi="Cambria" w:cs="Tahoma"/>
          <w:lang w:val="en"/>
        </w:rPr>
        <w:tab/>
      </w:r>
    </w:p>
    <w:p w14:paraId="54D214DE" w14:textId="77777777" w:rsidR="00AD55DF" w:rsidRPr="009A0DA6" w:rsidRDefault="00AD55DF" w:rsidP="00AD55DF">
      <w:pPr>
        <w:tabs>
          <w:tab w:val="right" w:pos="5954"/>
          <w:tab w:val="right" w:pos="7371"/>
          <w:tab w:val="right" w:pos="8789"/>
        </w:tabs>
        <w:autoSpaceDE w:val="0"/>
        <w:autoSpaceDN w:val="0"/>
        <w:adjustRightInd w:val="0"/>
        <w:spacing w:after="0" w:line="240" w:lineRule="auto"/>
        <w:rPr>
          <w:rFonts w:ascii="Cambria" w:hAnsi="Cambria" w:cs="Tahoma"/>
          <w:b/>
          <w:lang w:val="en"/>
        </w:rPr>
      </w:pPr>
      <w:r w:rsidRPr="009A0DA6">
        <w:rPr>
          <w:rFonts w:ascii="Cambria" w:hAnsi="Cambria" w:cs="Tahoma"/>
          <w:b/>
          <w:lang w:val="en"/>
        </w:rPr>
        <w:t>Total Payments</w:t>
      </w:r>
      <w:r w:rsidRPr="009A0DA6">
        <w:rPr>
          <w:rFonts w:ascii="Cambria" w:hAnsi="Cambria" w:cs="Tahoma"/>
          <w:b/>
          <w:lang w:val="en"/>
        </w:rPr>
        <w:tab/>
      </w:r>
      <w:r w:rsidRPr="009A0DA6">
        <w:rPr>
          <w:rFonts w:ascii="Cambria" w:hAnsi="Cambria" w:cs="Tahoma"/>
          <w:b/>
          <w:lang w:val="en"/>
        </w:rPr>
        <w:tab/>
      </w:r>
      <w:r w:rsidRPr="009A0DA6">
        <w:rPr>
          <w:rFonts w:ascii="Cambria" w:hAnsi="Cambria" w:cs="Tahoma"/>
          <w:b/>
          <w:lang w:val="en"/>
        </w:rPr>
        <w:tab/>
        <w:t>24,850</w:t>
      </w:r>
    </w:p>
    <w:p w14:paraId="1A7763EA" w14:textId="77777777" w:rsidR="00AD55DF" w:rsidRPr="009A0DA6" w:rsidRDefault="00AD55DF" w:rsidP="00AD55DF">
      <w:pPr>
        <w:tabs>
          <w:tab w:val="right" w:pos="5954"/>
          <w:tab w:val="right" w:pos="7371"/>
          <w:tab w:val="right" w:pos="8789"/>
        </w:tabs>
        <w:autoSpaceDE w:val="0"/>
        <w:autoSpaceDN w:val="0"/>
        <w:adjustRightInd w:val="0"/>
        <w:spacing w:after="0" w:line="240" w:lineRule="auto"/>
        <w:rPr>
          <w:rFonts w:ascii="Cambria" w:hAnsi="Cambria" w:cs="Tahoma"/>
          <w:lang w:val="en"/>
        </w:rPr>
      </w:pPr>
      <w:r w:rsidRPr="009A0DA6">
        <w:rPr>
          <w:rFonts w:ascii="Cambria" w:hAnsi="Cambria" w:cs="Tahoma"/>
          <w:b/>
          <w:bCs/>
          <w:lang w:val="en"/>
        </w:rPr>
        <w:t>Credit Balance</w:t>
      </w:r>
      <w:r w:rsidRPr="009A0DA6">
        <w:rPr>
          <w:rFonts w:ascii="Cambria" w:hAnsi="Cambria" w:cs="Tahoma"/>
          <w:b/>
          <w:bCs/>
          <w:lang w:val="en"/>
        </w:rPr>
        <w:tab/>
      </w:r>
      <w:r w:rsidRPr="009A0DA6">
        <w:rPr>
          <w:rFonts w:ascii="Cambria" w:hAnsi="Cambria" w:cs="Tahoma"/>
          <w:b/>
          <w:bCs/>
          <w:lang w:val="en"/>
        </w:rPr>
        <w:tab/>
      </w:r>
      <w:r w:rsidRPr="009A0DA6">
        <w:rPr>
          <w:rFonts w:ascii="Cambria" w:hAnsi="Cambria" w:cs="Tahoma"/>
          <w:b/>
          <w:bCs/>
          <w:lang w:val="en"/>
        </w:rPr>
        <w:tab/>
        <w:t>$4,835</w:t>
      </w:r>
    </w:p>
    <w:p w14:paraId="7140C49F" w14:textId="77777777" w:rsidR="00AD55DF" w:rsidRPr="009A0DA6" w:rsidRDefault="00AD55DF" w:rsidP="00AD55DF">
      <w:pPr>
        <w:tabs>
          <w:tab w:val="right" w:pos="5954"/>
          <w:tab w:val="right" w:pos="7371"/>
          <w:tab w:val="right" w:pos="8789"/>
        </w:tabs>
        <w:autoSpaceDE w:val="0"/>
        <w:autoSpaceDN w:val="0"/>
        <w:adjustRightInd w:val="0"/>
        <w:spacing w:after="0" w:line="240" w:lineRule="auto"/>
        <w:rPr>
          <w:rFonts w:ascii="Cambria" w:hAnsi="Cambria" w:cs="Tahoma"/>
          <w:b/>
          <w:bCs/>
          <w:lang w:val="en"/>
        </w:rPr>
      </w:pPr>
    </w:p>
    <w:p w14:paraId="5CC405F1" w14:textId="0C401E00" w:rsidR="00AD55DF" w:rsidRPr="009A0DA6" w:rsidRDefault="00F80178" w:rsidP="00AD7835">
      <w:pPr>
        <w:tabs>
          <w:tab w:val="right" w:pos="5954"/>
          <w:tab w:val="right" w:pos="7371"/>
          <w:tab w:val="right" w:pos="8789"/>
        </w:tabs>
        <w:autoSpaceDE w:val="0"/>
        <w:autoSpaceDN w:val="0"/>
        <w:adjustRightInd w:val="0"/>
        <w:spacing w:after="0" w:line="240" w:lineRule="auto"/>
        <w:rPr>
          <w:rFonts w:ascii="Cambria" w:hAnsi="Cambria" w:cs="Tahoma"/>
          <w:b/>
          <w:bCs/>
          <w:lang w:val="en"/>
        </w:rPr>
      </w:pPr>
      <w:r w:rsidRPr="009A0DA6">
        <w:rPr>
          <w:rFonts w:ascii="Cambria" w:hAnsi="Cambria" w:cs="Tahoma"/>
          <w:b/>
          <w:bCs/>
          <w:lang w:val="en"/>
        </w:rPr>
        <w:t>LUTHERAN MEN OF AUSTRALIA – MEN FOR MINISTRY TRUST FUND</w:t>
      </w:r>
    </w:p>
    <w:p w14:paraId="6724C3E4" w14:textId="77777777" w:rsidR="00AD55DF" w:rsidRPr="009A0DA6" w:rsidRDefault="00AD55DF" w:rsidP="00AD55DF">
      <w:pPr>
        <w:tabs>
          <w:tab w:val="right" w:pos="5954"/>
          <w:tab w:val="right" w:pos="7371"/>
          <w:tab w:val="right" w:pos="8789"/>
        </w:tabs>
        <w:autoSpaceDE w:val="0"/>
        <w:autoSpaceDN w:val="0"/>
        <w:adjustRightInd w:val="0"/>
        <w:spacing w:after="0" w:line="240" w:lineRule="auto"/>
        <w:rPr>
          <w:rFonts w:ascii="Cambria" w:hAnsi="Cambria" w:cs="Tahoma"/>
          <w:lang w:val="en"/>
        </w:rPr>
      </w:pPr>
      <w:r w:rsidRPr="009A0DA6">
        <w:rPr>
          <w:rFonts w:ascii="Cambria" w:hAnsi="Cambria" w:cs="Tahoma"/>
          <w:b/>
          <w:bCs/>
          <w:lang w:val="en"/>
        </w:rPr>
        <w:t>Opening Balance</w:t>
      </w:r>
      <w:r w:rsidRPr="009A0DA6">
        <w:rPr>
          <w:rFonts w:ascii="Cambria" w:hAnsi="Cambria" w:cs="Tahoma"/>
          <w:b/>
          <w:bCs/>
          <w:lang w:val="en"/>
        </w:rPr>
        <w:tab/>
      </w:r>
      <w:r w:rsidRPr="009A0DA6">
        <w:rPr>
          <w:rFonts w:ascii="Cambria" w:hAnsi="Cambria" w:cs="Tahoma"/>
          <w:b/>
          <w:bCs/>
          <w:lang w:val="en"/>
        </w:rPr>
        <w:tab/>
      </w:r>
      <w:r w:rsidRPr="009A0DA6">
        <w:rPr>
          <w:rFonts w:ascii="Cambria" w:hAnsi="Cambria" w:cs="Tahoma"/>
          <w:b/>
          <w:bCs/>
          <w:lang w:val="en"/>
        </w:rPr>
        <w:tab/>
        <w:t>21,771</w:t>
      </w:r>
    </w:p>
    <w:p w14:paraId="087BFDC3" w14:textId="77777777" w:rsidR="00AD55DF" w:rsidRPr="009A0DA6" w:rsidRDefault="00AD55DF" w:rsidP="00AD55DF">
      <w:pPr>
        <w:tabs>
          <w:tab w:val="right" w:pos="5954"/>
          <w:tab w:val="right" w:pos="7371"/>
          <w:tab w:val="right" w:pos="8789"/>
        </w:tabs>
        <w:autoSpaceDE w:val="0"/>
        <w:autoSpaceDN w:val="0"/>
        <w:adjustRightInd w:val="0"/>
        <w:spacing w:after="0" w:line="240" w:lineRule="auto"/>
        <w:rPr>
          <w:rFonts w:ascii="Cambria" w:hAnsi="Cambria" w:cs="Tahoma"/>
          <w:lang w:val="en"/>
        </w:rPr>
      </w:pPr>
      <w:r w:rsidRPr="009A0DA6">
        <w:rPr>
          <w:rFonts w:ascii="Cambria" w:hAnsi="Cambria" w:cs="Tahoma"/>
          <w:lang w:val="en"/>
        </w:rPr>
        <w:t>Add Receipts:</w:t>
      </w:r>
    </w:p>
    <w:p w14:paraId="17C2E5F4" w14:textId="77777777" w:rsidR="00AD55DF" w:rsidRPr="009A0DA6" w:rsidRDefault="00AD55DF" w:rsidP="00AD55DF">
      <w:pPr>
        <w:tabs>
          <w:tab w:val="right" w:pos="5954"/>
          <w:tab w:val="right" w:pos="7371"/>
          <w:tab w:val="right" w:pos="8789"/>
        </w:tabs>
        <w:autoSpaceDE w:val="0"/>
        <w:autoSpaceDN w:val="0"/>
        <w:adjustRightInd w:val="0"/>
        <w:spacing w:after="0" w:line="240" w:lineRule="auto"/>
        <w:rPr>
          <w:rFonts w:ascii="Cambria" w:hAnsi="Cambria" w:cs="Tahoma"/>
          <w:lang w:val="en"/>
        </w:rPr>
      </w:pPr>
      <w:r w:rsidRPr="009A0DA6">
        <w:rPr>
          <w:rFonts w:ascii="Cambria" w:hAnsi="Cambria" w:cs="Tahoma"/>
          <w:lang w:val="en"/>
        </w:rPr>
        <w:t>Donations</w:t>
      </w:r>
      <w:r w:rsidRPr="009A0DA6">
        <w:rPr>
          <w:rFonts w:ascii="Cambria" w:hAnsi="Cambria" w:cs="Tahoma"/>
          <w:lang w:val="en"/>
        </w:rPr>
        <w:tab/>
      </w:r>
      <w:r w:rsidRPr="009A0DA6">
        <w:rPr>
          <w:rFonts w:ascii="Cambria" w:hAnsi="Cambria" w:cs="Tahoma"/>
          <w:lang w:val="en"/>
        </w:rPr>
        <w:tab/>
        <w:t>40</w:t>
      </w:r>
      <w:r w:rsidRPr="009A0DA6">
        <w:rPr>
          <w:rFonts w:ascii="Cambria" w:hAnsi="Cambria" w:cs="Tahoma"/>
          <w:lang w:val="en"/>
        </w:rPr>
        <w:tab/>
      </w:r>
    </w:p>
    <w:p w14:paraId="2AFC7964" w14:textId="77777777" w:rsidR="00AD55DF" w:rsidRPr="009A0DA6" w:rsidRDefault="00AD55DF" w:rsidP="00AD55DF">
      <w:pPr>
        <w:tabs>
          <w:tab w:val="right" w:pos="5954"/>
          <w:tab w:val="right" w:pos="7371"/>
          <w:tab w:val="right" w:pos="8789"/>
        </w:tabs>
        <w:autoSpaceDE w:val="0"/>
        <w:autoSpaceDN w:val="0"/>
        <w:adjustRightInd w:val="0"/>
        <w:spacing w:after="0" w:line="240" w:lineRule="auto"/>
        <w:rPr>
          <w:rFonts w:ascii="Cambria" w:hAnsi="Cambria" w:cs="Tahoma"/>
          <w:lang w:val="en"/>
        </w:rPr>
      </w:pPr>
      <w:r w:rsidRPr="009A0DA6">
        <w:rPr>
          <w:rFonts w:ascii="Cambria" w:hAnsi="Cambria" w:cs="Tahoma"/>
          <w:lang w:val="en"/>
        </w:rPr>
        <w:t>LLL Interest</w:t>
      </w:r>
      <w:r w:rsidRPr="009A0DA6">
        <w:rPr>
          <w:rFonts w:ascii="Cambria" w:hAnsi="Cambria" w:cs="Tahoma"/>
          <w:lang w:val="en"/>
        </w:rPr>
        <w:tab/>
      </w:r>
      <w:r w:rsidRPr="009A0DA6">
        <w:rPr>
          <w:rFonts w:ascii="Cambria" w:hAnsi="Cambria" w:cs="Tahoma"/>
          <w:lang w:val="en"/>
        </w:rPr>
        <w:tab/>
      </w:r>
      <w:r w:rsidRPr="009A0DA6">
        <w:rPr>
          <w:rFonts w:ascii="Cambria" w:hAnsi="Cambria" w:cs="Tahoma"/>
          <w:u w:val="single"/>
          <w:lang w:val="en"/>
        </w:rPr>
        <w:t>1,988</w:t>
      </w:r>
      <w:r w:rsidRPr="009A0DA6">
        <w:rPr>
          <w:rFonts w:ascii="Cambria" w:hAnsi="Cambria" w:cs="Tahoma"/>
          <w:lang w:val="en"/>
        </w:rPr>
        <w:tab/>
      </w:r>
    </w:p>
    <w:p w14:paraId="32C9AA33" w14:textId="77777777" w:rsidR="00AD55DF" w:rsidRPr="009A0DA6" w:rsidRDefault="00AD55DF" w:rsidP="00AD55DF">
      <w:pPr>
        <w:tabs>
          <w:tab w:val="right" w:pos="5954"/>
          <w:tab w:val="right" w:pos="7371"/>
          <w:tab w:val="right" w:pos="8789"/>
        </w:tabs>
        <w:autoSpaceDE w:val="0"/>
        <w:autoSpaceDN w:val="0"/>
        <w:adjustRightInd w:val="0"/>
        <w:spacing w:after="0" w:line="240" w:lineRule="auto"/>
        <w:rPr>
          <w:rFonts w:ascii="Cambria" w:hAnsi="Cambria" w:cs="Tahoma"/>
          <w:lang w:val="en"/>
        </w:rPr>
      </w:pPr>
      <w:r w:rsidRPr="009A0DA6">
        <w:rPr>
          <w:rFonts w:ascii="Cambria" w:hAnsi="Cambria" w:cs="Tahoma"/>
          <w:lang w:val="en"/>
        </w:rPr>
        <w:t>Total receipts</w:t>
      </w:r>
      <w:r w:rsidRPr="009A0DA6">
        <w:rPr>
          <w:rFonts w:ascii="Cambria" w:hAnsi="Cambria" w:cs="Tahoma"/>
          <w:lang w:val="en"/>
        </w:rPr>
        <w:tab/>
      </w:r>
      <w:r w:rsidRPr="009A0DA6">
        <w:rPr>
          <w:rFonts w:ascii="Cambria" w:hAnsi="Cambria" w:cs="Tahoma"/>
          <w:lang w:val="en"/>
        </w:rPr>
        <w:tab/>
      </w:r>
      <w:r w:rsidRPr="009A0DA6">
        <w:rPr>
          <w:rFonts w:ascii="Cambria" w:hAnsi="Cambria" w:cs="Tahoma"/>
          <w:lang w:val="en"/>
        </w:rPr>
        <w:tab/>
        <w:t>2,028</w:t>
      </w:r>
    </w:p>
    <w:p w14:paraId="7D933B31" w14:textId="77777777" w:rsidR="00AD55DF" w:rsidRPr="009A0DA6" w:rsidRDefault="00AD55DF" w:rsidP="00AD55DF">
      <w:pPr>
        <w:tabs>
          <w:tab w:val="right" w:pos="5954"/>
          <w:tab w:val="right" w:pos="7371"/>
          <w:tab w:val="right" w:pos="8789"/>
        </w:tabs>
        <w:autoSpaceDE w:val="0"/>
        <w:autoSpaceDN w:val="0"/>
        <w:adjustRightInd w:val="0"/>
        <w:spacing w:after="0" w:line="240" w:lineRule="auto"/>
        <w:rPr>
          <w:rFonts w:ascii="Cambria" w:hAnsi="Cambria" w:cs="Tahoma"/>
          <w:b/>
          <w:bCs/>
          <w:lang w:val="en"/>
        </w:rPr>
      </w:pPr>
      <w:r w:rsidRPr="009A0DA6">
        <w:rPr>
          <w:rFonts w:ascii="Cambria" w:hAnsi="Cambria" w:cs="Tahoma"/>
          <w:b/>
          <w:bCs/>
          <w:lang w:val="en"/>
        </w:rPr>
        <w:t>Credit Balance</w:t>
      </w:r>
      <w:r w:rsidRPr="009A0DA6">
        <w:rPr>
          <w:rFonts w:ascii="Cambria" w:hAnsi="Cambria" w:cs="Tahoma"/>
          <w:lang w:val="en"/>
        </w:rPr>
        <w:t xml:space="preserve"> -</w:t>
      </w:r>
      <w:r w:rsidRPr="009A0DA6">
        <w:rPr>
          <w:rFonts w:ascii="Cambria" w:hAnsi="Cambria" w:cs="Tahoma"/>
          <w:lang w:val="en"/>
        </w:rPr>
        <w:tab/>
      </w:r>
      <w:r w:rsidRPr="009A0DA6">
        <w:rPr>
          <w:rFonts w:ascii="Cambria" w:hAnsi="Cambria" w:cs="Tahoma"/>
          <w:lang w:val="en"/>
        </w:rPr>
        <w:tab/>
      </w:r>
      <w:r w:rsidRPr="009A0DA6">
        <w:rPr>
          <w:rFonts w:ascii="Cambria" w:hAnsi="Cambria" w:cs="Tahoma"/>
          <w:lang w:val="en"/>
        </w:rPr>
        <w:tab/>
      </w:r>
      <w:r w:rsidRPr="009A0DA6">
        <w:rPr>
          <w:rFonts w:ascii="Cambria" w:hAnsi="Cambria" w:cs="Tahoma"/>
          <w:b/>
          <w:bCs/>
          <w:lang w:val="en"/>
        </w:rPr>
        <w:t>$23,799</w:t>
      </w:r>
    </w:p>
    <w:p w14:paraId="1452D0BF" w14:textId="77777777" w:rsidR="00AD55DF" w:rsidRPr="009A0DA6" w:rsidRDefault="00AD55DF" w:rsidP="00AD55DF">
      <w:pPr>
        <w:tabs>
          <w:tab w:val="right" w:pos="5954"/>
          <w:tab w:val="right" w:pos="7371"/>
          <w:tab w:val="right" w:pos="8789"/>
        </w:tabs>
        <w:autoSpaceDE w:val="0"/>
        <w:autoSpaceDN w:val="0"/>
        <w:adjustRightInd w:val="0"/>
        <w:spacing w:after="0" w:line="240" w:lineRule="auto"/>
        <w:rPr>
          <w:rFonts w:ascii="Cambria" w:hAnsi="Cambria" w:cs="Tahoma"/>
          <w:b/>
          <w:bCs/>
          <w:lang w:val="en"/>
        </w:rPr>
      </w:pPr>
    </w:p>
    <w:p w14:paraId="481EF24C" w14:textId="77777777" w:rsidR="00AD55DF" w:rsidRPr="009A0DA6" w:rsidRDefault="00AD55DF" w:rsidP="00AD55DF">
      <w:pPr>
        <w:tabs>
          <w:tab w:val="right" w:pos="5954"/>
          <w:tab w:val="right" w:pos="7371"/>
          <w:tab w:val="right" w:pos="8789"/>
        </w:tabs>
        <w:autoSpaceDE w:val="0"/>
        <w:autoSpaceDN w:val="0"/>
        <w:adjustRightInd w:val="0"/>
        <w:spacing w:after="0" w:line="240" w:lineRule="auto"/>
        <w:rPr>
          <w:rFonts w:ascii="Cambria" w:hAnsi="Cambria" w:cs="Tahoma"/>
          <w:b/>
          <w:bCs/>
          <w:lang w:val="en"/>
        </w:rPr>
      </w:pPr>
      <w:r w:rsidRPr="009A0DA6">
        <w:rPr>
          <w:rFonts w:ascii="Cambria" w:hAnsi="Cambria" w:cs="Tahoma"/>
          <w:b/>
          <w:bCs/>
          <w:lang w:val="en"/>
        </w:rPr>
        <w:t xml:space="preserve">Lutheran Men of Australia - R E G Account </w:t>
      </w:r>
    </w:p>
    <w:p w14:paraId="66422F50" w14:textId="77777777" w:rsidR="00AD55DF" w:rsidRPr="009A0DA6" w:rsidRDefault="00AD55DF" w:rsidP="00AD55DF">
      <w:pPr>
        <w:tabs>
          <w:tab w:val="right" w:pos="5954"/>
          <w:tab w:val="right" w:pos="7371"/>
          <w:tab w:val="right" w:pos="8789"/>
        </w:tabs>
        <w:autoSpaceDE w:val="0"/>
        <w:autoSpaceDN w:val="0"/>
        <w:adjustRightInd w:val="0"/>
        <w:spacing w:after="0" w:line="240" w:lineRule="auto"/>
        <w:rPr>
          <w:rFonts w:ascii="Cambria" w:hAnsi="Cambria" w:cs="Tahoma"/>
          <w:b/>
          <w:bCs/>
          <w:lang w:val="en"/>
        </w:rPr>
      </w:pPr>
      <w:r w:rsidRPr="009A0DA6">
        <w:rPr>
          <w:rFonts w:ascii="Cambria" w:hAnsi="Cambria" w:cs="Tahoma"/>
          <w:b/>
          <w:bCs/>
          <w:lang w:val="en"/>
        </w:rPr>
        <w:t>Credit Balance</w:t>
      </w:r>
      <w:r w:rsidRPr="009A0DA6">
        <w:rPr>
          <w:rFonts w:ascii="Cambria" w:hAnsi="Cambria" w:cs="Tahoma"/>
          <w:b/>
          <w:bCs/>
          <w:lang w:val="en"/>
        </w:rPr>
        <w:tab/>
      </w:r>
      <w:r w:rsidRPr="009A0DA6">
        <w:rPr>
          <w:rFonts w:ascii="Cambria" w:hAnsi="Cambria" w:cs="Tahoma"/>
          <w:b/>
          <w:bCs/>
          <w:lang w:val="en"/>
        </w:rPr>
        <w:tab/>
      </w:r>
      <w:r w:rsidRPr="009A0DA6">
        <w:rPr>
          <w:rFonts w:ascii="Cambria" w:hAnsi="Cambria" w:cs="Tahoma"/>
          <w:b/>
          <w:bCs/>
          <w:lang w:val="en"/>
        </w:rPr>
        <w:tab/>
        <w:t>128</w:t>
      </w:r>
    </w:p>
    <w:p w14:paraId="141E0ADF" w14:textId="77777777" w:rsidR="00AD55DF" w:rsidRPr="009A0DA6" w:rsidRDefault="00AD55DF" w:rsidP="00AD55DF">
      <w:pPr>
        <w:tabs>
          <w:tab w:val="right" w:pos="5954"/>
          <w:tab w:val="right" w:pos="7371"/>
          <w:tab w:val="right" w:pos="8789"/>
        </w:tabs>
        <w:autoSpaceDE w:val="0"/>
        <w:autoSpaceDN w:val="0"/>
        <w:adjustRightInd w:val="0"/>
        <w:spacing w:after="0" w:line="240" w:lineRule="auto"/>
        <w:rPr>
          <w:rFonts w:ascii="Cambria" w:hAnsi="Cambria" w:cs="Tahoma"/>
          <w:bCs/>
          <w:lang w:val="en"/>
        </w:rPr>
      </w:pPr>
      <w:r w:rsidRPr="009A0DA6">
        <w:rPr>
          <w:rFonts w:ascii="Cambria" w:hAnsi="Cambria" w:cs="Tahoma"/>
          <w:bCs/>
          <w:lang w:val="en"/>
        </w:rPr>
        <w:t>Donations</w:t>
      </w:r>
      <w:r w:rsidRPr="009A0DA6">
        <w:rPr>
          <w:rFonts w:ascii="Cambria" w:hAnsi="Cambria" w:cs="Tahoma"/>
          <w:bCs/>
          <w:lang w:val="en"/>
        </w:rPr>
        <w:tab/>
      </w:r>
      <w:r w:rsidRPr="009A0DA6">
        <w:rPr>
          <w:rFonts w:ascii="Cambria" w:hAnsi="Cambria" w:cs="Tahoma"/>
          <w:bCs/>
          <w:lang w:val="en"/>
        </w:rPr>
        <w:tab/>
        <w:t>961</w:t>
      </w:r>
      <w:r w:rsidRPr="009A0DA6">
        <w:rPr>
          <w:rFonts w:ascii="Cambria" w:hAnsi="Cambria" w:cs="Tahoma"/>
          <w:bCs/>
          <w:lang w:val="en"/>
        </w:rPr>
        <w:tab/>
      </w:r>
    </w:p>
    <w:p w14:paraId="5F93DBAF" w14:textId="77777777" w:rsidR="00AD55DF" w:rsidRPr="009A0DA6" w:rsidRDefault="00AD55DF" w:rsidP="00AD55DF">
      <w:pPr>
        <w:tabs>
          <w:tab w:val="right" w:pos="5954"/>
          <w:tab w:val="right" w:pos="7371"/>
          <w:tab w:val="right" w:pos="8789"/>
        </w:tabs>
        <w:autoSpaceDE w:val="0"/>
        <w:autoSpaceDN w:val="0"/>
        <w:adjustRightInd w:val="0"/>
        <w:spacing w:after="0" w:line="240" w:lineRule="auto"/>
        <w:rPr>
          <w:rFonts w:ascii="Cambria" w:hAnsi="Cambria" w:cs="Tahoma"/>
          <w:bCs/>
          <w:lang w:val="en"/>
        </w:rPr>
      </w:pPr>
      <w:r w:rsidRPr="009A0DA6">
        <w:rPr>
          <w:rFonts w:ascii="Cambria" w:hAnsi="Cambria" w:cs="Tahoma"/>
          <w:bCs/>
          <w:lang w:val="en"/>
        </w:rPr>
        <w:t>LLL Interest</w:t>
      </w:r>
      <w:r w:rsidRPr="009A0DA6">
        <w:rPr>
          <w:rFonts w:ascii="Cambria" w:hAnsi="Cambria" w:cs="Tahoma"/>
          <w:bCs/>
          <w:lang w:val="en"/>
        </w:rPr>
        <w:tab/>
      </w:r>
      <w:r w:rsidRPr="009A0DA6">
        <w:rPr>
          <w:rFonts w:ascii="Cambria" w:hAnsi="Cambria" w:cs="Tahoma"/>
          <w:bCs/>
          <w:lang w:val="en"/>
        </w:rPr>
        <w:tab/>
        <w:t>28</w:t>
      </w:r>
      <w:r w:rsidRPr="009A0DA6">
        <w:rPr>
          <w:rFonts w:ascii="Cambria" w:hAnsi="Cambria" w:cs="Tahoma"/>
          <w:bCs/>
          <w:lang w:val="en"/>
        </w:rPr>
        <w:tab/>
      </w:r>
    </w:p>
    <w:p w14:paraId="465FBE23" w14:textId="77777777" w:rsidR="00AD55DF" w:rsidRPr="009A0DA6" w:rsidRDefault="00AD55DF" w:rsidP="00AD55DF">
      <w:pPr>
        <w:tabs>
          <w:tab w:val="right" w:pos="5954"/>
          <w:tab w:val="right" w:pos="7371"/>
          <w:tab w:val="right" w:pos="8789"/>
        </w:tabs>
        <w:autoSpaceDE w:val="0"/>
        <w:autoSpaceDN w:val="0"/>
        <w:adjustRightInd w:val="0"/>
        <w:spacing w:after="0" w:line="240" w:lineRule="auto"/>
        <w:rPr>
          <w:rFonts w:ascii="Cambria" w:hAnsi="Cambria" w:cs="Tahoma"/>
          <w:bCs/>
          <w:lang w:val="en"/>
        </w:rPr>
      </w:pPr>
      <w:r w:rsidRPr="009A0DA6">
        <w:rPr>
          <w:rFonts w:ascii="Cambria" w:hAnsi="Cambria" w:cs="Tahoma"/>
          <w:bCs/>
          <w:lang w:val="en"/>
        </w:rPr>
        <w:t>Total Receipts</w:t>
      </w:r>
      <w:r w:rsidRPr="009A0DA6">
        <w:rPr>
          <w:rFonts w:ascii="Cambria" w:hAnsi="Cambria" w:cs="Tahoma"/>
          <w:bCs/>
          <w:lang w:val="en"/>
        </w:rPr>
        <w:tab/>
      </w:r>
      <w:r w:rsidRPr="009A0DA6">
        <w:rPr>
          <w:rFonts w:ascii="Cambria" w:hAnsi="Cambria" w:cs="Tahoma"/>
          <w:bCs/>
          <w:lang w:val="en"/>
        </w:rPr>
        <w:tab/>
      </w:r>
      <w:r w:rsidRPr="009A0DA6">
        <w:rPr>
          <w:rFonts w:ascii="Cambria" w:hAnsi="Cambria" w:cs="Tahoma"/>
          <w:bCs/>
          <w:lang w:val="en"/>
        </w:rPr>
        <w:tab/>
        <w:t>989</w:t>
      </w:r>
    </w:p>
    <w:p w14:paraId="620E1E54" w14:textId="77777777" w:rsidR="00AD55DF" w:rsidRPr="009A0DA6" w:rsidRDefault="00AD55DF" w:rsidP="00AD55DF">
      <w:pPr>
        <w:tabs>
          <w:tab w:val="right" w:pos="5954"/>
          <w:tab w:val="right" w:pos="7371"/>
          <w:tab w:val="right" w:pos="8789"/>
        </w:tabs>
        <w:autoSpaceDE w:val="0"/>
        <w:autoSpaceDN w:val="0"/>
        <w:adjustRightInd w:val="0"/>
        <w:spacing w:after="0" w:line="240" w:lineRule="auto"/>
        <w:rPr>
          <w:rFonts w:ascii="Cambria" w:hAnsi="Cambria" w:cs="Tahoma"/>
          <w:bCs/>
          <w:lang w:val="en"/>
        </w:rPr>
      </w:pPr>
      <w:r w:rsidRPr="009A0DA6">
        <w:rPr>
          <w:rFonts w:ascii="Cambria" w:hAnsi="Cambria" w:cs="Tahoma"/>
          <w:b/>
          <w:bCs/>
          <w:lang w:val="en"/>
        </w:rPr>
        <w:t>Credit Balance</w:t>
      </w:r>
      <w:r w:rsidRPr="009A0DA6">
        <w:rPr>
          <w:rFonts w:ascii="Cambria" w:hAnsi="Cambria" w:cs="Tahoma"/>
          <w:b/>
          <w:bCs/>
          <w:lang w:val="en"/>
        </w:rPr>
        <w:tab/>
      </w:r>
      <w:r w:rsidRPr="009A0DA6">
        <w:rPr>
          <w:rFonts w:ascii="Cambria" w:hAnsi="Cambria" w:cs="Tahoma"/>
          <w:b/>
          <w:bCs/>
          <w:lang w:val="en"/>
        </w:rPr>
        <w:tab/>
      </w:r>
      <w:r w:rsidRPr="009A0DA6">
        <w:rPr>
          <w:rFonts w:ascii="Cambria" w:hAnsi="Cambria" w:cs="Tahoma"/>
          <w:b/>
          <w:bCs/>
          <w:lang w:val="en"/>
        </w:rPr>
        <w:tab/>
        <w:t>$1117</w:t>
      </w:r>
    </w:p>
    <w:p w14:paraId="52AE5FA5" w14:textId="110FB2B2" w:rsidR="00AD55DF" w:rsidRDefault="00AD55DF" w:rsidP="00AD55DF">
      <w:pPr>
        <w:pStyle w:val="BOR"/>
        <w:spacing w:before="120" w:after="120" w:line="240" w:lineRule="auto"/>
        <w:contextualSpacing/>
        <w:jc w:val="left"/>
        <w:rPr>
          <w:rFonts w:ascii="Cambria" w:hAnsi="Cambria"/>
        </w:rPr>
      </w:pPr>
    </w:p>
    <w:p w14:paraId="22471934" w14:textId="1C9E9EC2" w:rsidR="007408EE" w:rsidRDefault="007408EE" w:rsidP="00AD55DF">
      <w:pPr>
        <w:pStyle w:val="BOR"/>
        <w:spacing w:before="120" w:after="120" w:line="240" w:lineRule="auto"/>
        <w:contextualSpacing/>
        <w:jc w:val="left"/>
        <w:rPr>
          <w:rFonts w:ascii="Cambria" w:hAnsi="Cambria"/>
        </w:rPr>
      </w:pPr>
    </w:p>
    <w:p w14:paraId="0C3D3B2B" w14:textId="77777777" w:rsidR="007408EE" w:rsidRPr="009A0DA6" w:rsidRDefault="007408EE" w:rsidP="00AD55DF">
      <w:pPr>
        <w:pStyle w:val="BOR"/>
        <w:spacing w:before="120" w:after="120" w:line="240" w:lineRule="auto"/>
        <w:contextualSpacing/>
        <w:jc w:val="left"/>
        <w:rPr>
          <w:rFonts w:ascii="Cambria" w:hAnsi="Cambria"/>
        </w:rPr>
      </w:pPr>
    </w:p>
    <w:p w14:paraId="780A0D40" w14:textId="77777777" w:rsidR="004F6C40" w:rsidRPr="009A0DA6" w:rsidRDefault="004F6C40" w:rsidP="00964A90">
      <w:pPr>
        <w:pStyle w:val="Heading3"/>
      </w:pPr>
      <w:r w:rsidRPr="009A0DA6">
        <w:t>Agenda 15.2</w:t>
      </w:r>
    </w:p>
    <w:p w14:paraId="34AB5613" w14:textId="77777777" w:rsidR="004F6C40" w:rsidRPr="009A0DA6" w:rsidRDefault="004F6C40" w:rsidP="004F6C40">
      <w:pPr>
        <w:pStyle w:val="Heading2"/>
      </w:pPr>
      <w:bookmarkStart w:id="529" w:name="_Toc521954766"/>
      <w:r w:rsidRPr="009A0DA6">
        <w:t>Lutheran Nurses of Australia (including Parish Nursing)</w:t>
      </w:r>
      <w:bookmarkEnd w:id="529"/>
    </w:p>
    <w:p w14:paraId="2C11DA44" w14:textId="77777777" w:rsidR="004F6C40" w:rsidRPr="009A0DA6" w:rsidRDefault="004F6C40" w:rsidP="004F6C40">
      <w:pPr>
        <w:pStyle w:val="NoSpacing"/>
      </w:pPr>
    </w:p>
    <w:p w14:paraId="5C84B485" w14:textId="77777777" w:rsidR="00F80178" w:rsidRPr="009A0DA6" w:rsidRDefault="00F80178" w:rsidP="00F80178">
      <w:pPr>
        <w:pStyle w:val="Heading3"/>
      </w:pPr>
      <w:r w:rsidRPr="009A0DA6">
        <w:t>MEMBERS</w:t>
      </w:r>
    </w:p>
    <w:p w14:paraId="6A0E3BF7" w14:textId="77777777" w:rsidR="00F80178" w:rsidRPr="009A0DA6" w:rsidRDefault="00F80178" w:rsidP="00F80178">
      <w:pPr>
        <w:spacing w:after="120" w:line="240" w:lineRule="auto"/>
        <w:rPr>
          <w:rFonts w:ascii="Cambria" w:hAnsi="Cambria"/>
        </w:rPr>
      </w:pPr>
      <w:r w:rsidRPr="009A0DA6">
        <w:rPr>
          <w:rFonts w:ascii="Cambria" w:hAnsi="Cambria"/>
        </w:rPr>
        <w:t>Roger Atze, Rose Howard, Sylvia Hutt (President/Chairperson), Marcia Hyde, Megan Materne, Vicki Minge, Lyn Pech, Lynette Wiebusch</w:t>
      </w:r>
    </w:p>
    <w:p w14:paraId="3F1F50EA" w14:textId="77777777" w:rsidR="00F80178" w:rsidRPr="009A0DA6" w:rsidRDefault="00F80178" w:rsidP="00F80178">
      <w:pPr>
        <w:pStyle w:val="Heading3"/>
      </w:pPr>
      <w:r w:rsidRPr="009A0DA6">
        <w:t>Background</w:t>
      </w:r>
    </w:p>
    <w:p w14:paraId="2F700736" w14:textId="77777777" w:rsidR="00F80178" w:rsidRPr="009A0DA6" w:rsidRDefault="00F80178" w:rsidP="00F80178">
      <w:pPr>
        <w:rPr>
          <w:rFonts w:ascii="Cambria" w:hAnsi="Cambria"/>
        </w:rPr>
      </w:pPr>
      <w:r w:rsidRPr="009A0DA6">
        <w:rPr>
          <w:rFonts w:ascii="Cambria" w:hAnsi="Cambria"/>
        </w:rPr>
        <w:t xml:space="preserve">Health crises can challenge the faith of patients and those close to them, as well as their professional Carers. The LNAA was founded in 1990 set up as a support group for Christian Nurses. </w:t>
      </w:r>
      <w:r w:rsidRPr="009A0DA6">
        <w:rPr>
          <w:rFonts w:ascii="Cambria" w:eastAsia="Calibri" w:hAnsi="Cambria" w:cs="Times New Roman"/>
        </w:rPr>
        <w:t>In particular</w:t>
      </w:r>
      <w:r w:rsidRPr="009A0DA6">
        <w:rPr>
          <w:rFonts w:ascii="Cambria" w:hAnsi="Cambria"/>
        </w:rPr>
        <w:t xml:space="preserve"> for</w:t>
      </w:r>
      <w:r w:rsidRPr="009A0DA6">
        <w:rPr>
          <w:rFonts w:ascii="Cambria" w:eastAsia="Calibri" w:hAnsi="Cambria" w:cs="Times New Roman"/>
        </w:rPr>
        <w:t xml:space="preserve"> student and novice nurses need</w:t>
      </w:r>
      <w:r w:rsidRPr="009A0DA6">
        <w:rPr>
          <w:rFonts w:ascii="Cambria" w:hAnsi="Cambria"/>
        </w:rPr>
        <w:t>ing</w:t>
      </w:r>
      <w:r w:rsidRPr="009A0DA6">
        <w:rPr>
          <w:rFonts w:ascii="Cambria" w:eastAsia="Calibri" w:hAnsi="Cambria" w:cs="Times New Roman"/>
        </w:rPr>
        <w:t xml:space="preserve"> support and guidance with ethical issues</w:t>
      </w:r>
      <w:r w:rsidRPr="009A0DA6">
        <w:rPr>
          <w:rFonts w:ascii="Cambria" w:hAnsi="Cambria"/>
        </w:rPr>
        <w:t xml:space="preserve"> so that they</w:t>
      </w:r>
      <w:r w:rsidRPr="009A0DA6">
        <w:rPr>
          <w:rFonts w:ascii="Cambria" w:eastAsia="Calibri" w:hAnsi="Cambria" w:cs="Times New Roman"/>
        </w:rPr>
        <w:t xml:space="preserve"> would benefit from older Christian nurses being mentors and </w:t>
      </w:r>
      <w:r w:rsidRPr="009A0DA6">
        <w:rPr>
          <w:rFonts w:ascii="Cambria" w:hAnsi="Cambria"/>
        </w:rPr>
        <w:t>to help answer the question ‘Where is God in these encounters?’</w:t>
      </w:r>
    </w:p>
    <w:p w14:paraId="77D17329" w14:textId="77777777" w:rsidR="00F80178" w:rsidRPr="009A0DA6" w:rsidRDefault="00F80178" w:rsidP="00F80178">
      <w:pPr>
        <w:pStyle w:val="Heading3"/>
      </w:pPr>
      <w:r w:rsidRPr="009A0DA6">
        <w:lastRenderedPageBreak/>
        <w:t>Achievement against Plan</w:t>
      </w:r>
    </w:p>
    <w:tbl>
      <w:tblPr>
        <w:tblStyle w:val="PlainTable2"/>
        <w:tblW w:w="8844" w:type="dxa"/>
        <w:tblLook w:val="04A0" w:firstRow="1" w:lastRow="0" w:firstColumn="1" w:lastColumn="0" w:noHBand="0" w:noVBand="1"/>
      </w:tblPr>
      <w:tblGrid>
        <w:gridCol w:w="2948"/>
        <w:gridCol w:w="2948"/>
        <w:gridCol w:w="2948"/>
      </w:tblGrid>
      <w:tr w:rsidR="00F80178" w:rsidRPr="009A0DA6" w14:paraId="23327F3F" w14:textId="77777777" w:rsidTr="00D94020">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948" w:type="dxa"/>
            <w:vAlign w:val="center"/>
            <w:hideMark/>
          </w:tcPr>
          <w:p w14:paraId="393BF637" w14:textId="77777777" w:rsidR="00F80178" w:rsidRPr="009A0DA6" w:rsidRDefault="00F80178" w:rsidP="0015713F">
            <w:pPr>
              <w:tabs>
                <w:tab w:val="left" w:pos="319"/>
              </w:tabs>
              <w:ind w:left="319" w:hanging="319"/>
              <w:rPr>
                <w:rFonts w:ascii="Cambria" w:hAnsi="Cambria" w:cs="Arial"/>
              </w:rPr>
            </w:pPr>
            <w:r w:rsidRPr="009A0DA6">
              <w:rPr>
                <w:rFonts w:ascii="Cambria" w:hAnsi="Cambria" w:cs="Arial"/>
              </w:rPr>
              <w:t>Objectives</w:t>
            </w:r>
          </w:p>
        </w:tc>
        <w:tc>
          <w:tcPr>
            <w:tcW w:w="2948" w:type="dxa"/>
            <w:vAlign w:val="center"/>
            <w:hideMark/>
          </w:tcPr>
          <w:p w14:paraId="4C615B72" w14:textId="77777777" w:rsidR="00F80178" w:rsidRPr="009A0DA6" w:rsidRDefault="00F80178" w:rsidP="0015713F">
            <w:pPr>
              <w:cnfStyle w:val="100000000000" w:firstRow="1"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Planned Annual Activities/Outcomes</w:t>
            </w:r>
          </w:p>
        </w:tc>
        <w:tc>
          <w:tcPr>
            <w:tcW w:w="2948" w:type="dxa"/>
            <w:vAlign w:val="center"/>
            <w:hideMark/>
          </w:tcPr>
          <w:p w14:paraId="4DFDF87C" w14:textId="77777777" w:rsidR="00F80178" w:rsidRPr="009A0DA6" w:rsidRDefault="00F80178" w:rsidP="0015713F">
            <w:pPr>
              <w:cnfStyle w:val="100000000000" w:firstRow="1"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Achievement of Annual Activities/Outcomes</w:t>
            </w:r>
          </w:p>
        </w:tc>
      </w:tr>
      <w:tr w:rsidR="00F80178" w:rsidRPr="009A0DA6" w14:paraId="785A2729" w14:textId="77777777" w:rsidTr="00D94020">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948" w:type="dxa"/>
          </w:tcPr>
          <w:p w14:paraId="003C415B" w14:textId="580AA492" w:rsidR="00F80178" w:rsidRPr="009A0DA6" w:rsidRDefault="00F80178" w:rsidP="00D94020">
            <w:pPr>
              <w:tabs>
                <w:tab w:val="left" w:pos="319"/>
              </w:tabs>
              <w:ind w:left="319" w:hanging="319"/>
              <w:rPr>
                <w:rFonts w:ascii="Cambria" w:hAnsi="Cambria" w:cs="Arial"/>
              </w:rPr>
            </w:pPr>
            <w:r w:rsidRPr="009A0DA6">
              <w:rPr>
                <w:rFonts w:ascii="Cambria" w:hAnsi="Cambria"/>
              </w:rPr>
              <w:t>1</w:t>
            </w:r>
            <w:r w:rsidR="0027799A" w:rsidRPr="009A0DA6">
              <w:rPr>
                <w:rFonts w:ascii="Cambria" w:hAnsi="Cambria"/>
              </w:rPr>
              <w:t xml:space="preserve">. </w:t>
            </w:r>
            <w:r w:rsidRPr="009A0DA6">
              <w:rPr>
                <w:rFonts w:ascii="Cambria" w:hAnsi="Cambria"/>
              </w:rPr>
              <w:t>To encourage members to see their profession as a service to Christ, caring for the sick and infirm promoting health and giving an opportunity for Christian witness to the world.</w:t>
            </w:r>
          </w:p>
        </w:tc>
        <w:tc>
          <w:tcPr>
            <w:tcW w:w="2948" w:type="dxa"/>
            <w:hideMark/>
          </w:tcPr>
          <w:p w14:paraId="22A3F363" w14:textId="77777777" w:rsidR="00F80178" w:rsidRPr="009A0DA6" w:rsidRDefault="00F80178">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Financial support for Parish Nurse/Pastoral Care Nurse Ministry.</w:t>
            </w:r>
          </w:p>
          <w:p w14:paraId="06BCE0B5" w14:textId="77777777" w:rsidR="00F80178" w:rsidRPr="009A0DA6" w:rsidRDefault="00F80178">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Participation in Parish Nurse Seminar promoting LNAA.</w:t>
            </w:r>
          </w:p>
          <w:p w14:paraId="1705230C" w14:textId="77777777" w:rsidR="00F80178" w:rsidRPr="009A0DA6" w:rsidRDefault="00F80178">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Articles in the newsletter have a Christian focus.</w:t>
            </w:r>
          </w:p>
        </w:tc>
        <w:tc>
          <w:tcPr>
            <w:tcW w:w="2948" w:type="dxa"/>
            <w:hideMark/>
          </w:tcPr>
          <w:p w14:paraId="3B1E4C0A" w14:textId="77777777" w:rsidR="00F80178" w:rsidRPr="009A0DA6" w:rsidRDefault="00F80178">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Financial support for Parish Nurse/Pastoral Care Nurse Ministry.</w:t>
            </w:r>
          </w:p>
          <w:p w14:paraId="1457FCD1" w14:textId="77777777" w:rsidR="00F80178" w:rsidRPr="009A0DA6" w:rsidRDefault="00F80178">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Participation in Parish Nurse Seminar promoting LNAA.</w:t>
            </w:r>
          </w:p>
          <w:p w14:paraId="0E8AA7F5" w14:textId="77777777" w:rsidR="00F80178" w:rsidRPr="009A0DA6" w:rsidRDefault="00F80178">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Articles in the newsletter have a Christian focus.</w:t>
            </w:r>
          </w:p>
        </w:tc>
      </w:tr>
      <w:tr w:rsidR="00F80178" w:rsidRPr="009A0DA6" w14:paraId="343B34CA" w14:textId="77777777" w:rsidTr="00D94020">
        <w:trPr>
          <w:trHeight w:val="267"/>
        </w:trPr>
        <w:tc>
          <w:tcPr>
            <w:cnfStyle w:val="001000000000" w:firstRow="0" w:lastRow="0" w:firstColumn="1" w:lastColumn="0" w:oddVBand="0" w:evenVBand="0" w:oddHBand="0" w:evenHBand="0" w:firstRowFirstColumn="0" w:firstRowLastColumn="0" w:lastRowFirstColumn="0" w:lastRowLastColumn="0"/>
            <w:tcW w:w="2948" w:type="dxa"/>
          </w:tcPr>
          <w:p w14:paraId="359D42D6" w14:textId="5821283E" w:rsidR="00F80178" w:rsidRPr="009A0DA6" w:rsidRDefault="007408EE" w:rsidP="00F80178">
            <w:pPr>
              <w:tabs>
                <w:tab w:val="left" w:pos="319"/>
              </w:tabs>
              <w:spacing w:before="48" w:after="48"/>
              <w:ind w:left="319" w:hanging="319"/>
              <w:outlineLvl w:val="1"/>
              <w:rPr>
                <w:rStyle w:val="NoSpacingChar"/>
              </w:rPr>
            </w:pPr>
            <w:bookmarkStart w:id="530" w:name="_Toc521575260"/>
            <w:bookmarkStart w:id="531" w:name="_Toc521692809"/>
            <w:r>
              <w:rPr>
                <w:b w:val="0"/>
                <w:bCs w:val="0"/>
              </w:rPr>
              <w:br w:type="page"/>
            </w:r>
            <w:bookmarkStart w:id="532" w:name="_Toc521954767"/>
            <w:r w:rsidR="00F80178" w:rsidRPr="009A0DA6">
              <w:rPr>
                <w:rFonts w:ascii="Cambria" w:hAnsi="Cambria"/>
              </w:rPr>
              <w:t>2</w:t>
            </w:r>
            <w:r w:rsidR="0027799A" w:rsidRPr="009A0DA6">
              <w:rPr>
                <w:rStyle w:val="NoSpacingChar"/>
              </w:rPr>
              <w:t xml:space="preserve">. </w:t>
            </w:r>
            <w:r w:rsidR="00F80178" w:rsidRPr="009A0DA6">
              <w:rPr>
                <w:rStyle w:val="NoSpacingChar"/>
              </w:rPr>
              <w:t>To provide spiritual support and practical guidance for members, foster their deeper spiritual understanding and provide opportunities for the study of practical and ethical issues related to their work.</w:t>
            </w:r>
            <w:bookmarkEnd w:id="530"/>
            <w:bookmarkEnd w:id="531"/>
            <w:bookmarkEnd w:id="532"/>
            <w:r w:rsidR="00F80178" w:rsidRPr="009A0DA6">
              <w:rPr>
                <w:rStyle w:val="NoSpacingChar"/>
              </w:rPr>
              <w:t xml:space="preserve"> </w:t>
            </w:r>
          </w:p>
          <w:p w14:paraId="6D19D7CB" w14:textId="77777777" w:rsidR="00F80178" w:rsidRPr="009A0DA6" w:rsidRDefault="00F80178" w:rsidP="00F80178">
            <w:pPr>
              <w:widowControl w:val="0"/>
              <w:tabs>
                <w:tab w:val="left" w:pos="319"/>
              </w:tabs>
              <w:suppressAutoHyphens/>
              <w:ind w:left="319" w:hanging="319"/>
              <w:rPr>
                <w:rFonts w:ascii="Cambria" w:hAnsi="Cambria" w:cs="Arial"/>
                <w:b w:val="0"/>
                <w:bCs w:val="0"/>
              </w:rPr>
            </w:pPr>
          </w:p>
        </w:tc>
        <w:tc>
          <w:tcPr>
            <w:tcW w:w="2948" w:type="dxa"/>
            <w:hideMark/>
          </w:tcPr>
          <w:p w14:paraId="13786E9A" w14:textId="77777777" w:rsidR="00F80178" w:rsidRPr="009A0DA6" w:rsidRDefault="00F80178">
            <w:pPr>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Guest speakers on various health related topics are organised for every meeting.</w:t>
            </w:r>
          </w:p>
          <w:p w14:paraId="0E37B422" w14:textId="77777777" w:rsidR="00F80178" w:rsidRPr="009A0DA6" w:rsidRDefault="00F80178">
            <w:pPr>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Evidence of Continuous Professional Development provided for working nurses.</w:t>
            </w:r>
          </w:p>
          <w:p w14:paraId="0A0639F2" w14:textId="77777777" w:rsidR="00F80178" w:rsidRPr="009A0DA6" w:rsidRDefault="00F80178">
            <w:pPr>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 xml:space="preserve">Regular scheduled Forum discussions on ethical issues </w:t>
            </w:r>
            <w:r w:rsidRPr="009A0DA6">
              <w:rPr>
                <w:rFonts w:ascii="Cambria" w:hAnsi="Cambria"/>
              </w:rPr>
              <w:t>aimed to give anyone concerned an opportunity to express their concerns and to remind that the Lord walks with us always</w:t>
            </w:r>
          </w:p>
        </w:tc>
        <w:tc>
          <w:tcPr>
            <w:tcW w:w="2948" w:type="dxa"/>
          </w:tcPr>
          <w:p w14:paraId="2BE9B83B" w14:textId="77777777" w:rsidR="00F80178" w:rsidRPr="009A0DA6" w:rsidRDefault="00F80178">
            <w:pPr>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Guest speakers on various health related topics are organised for every meeting.</w:t>
            </w:r>
          </w:p>
          <w:p w14:paraId="404D7591" w14:textId="77777777" w:rsidR="00F80178" w:rsidRPr="009A0DA6" w:rsidRDefault="00F80178">
            <w:pPr>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Evidence of Continuous Professional Development provided for working nurses.</w:t>
            </w:r>
          </w:p>
          <w:p w14:paraId="0FF13998" w14:textId="5A0BBFD2" w:rsidR="00F80178" w:rsidRPr="009A0DA6" w:rsidRDefault="00F80178" w:rsidP="00D94020">
            <w:pPr>
              <w:pStyle w:val="NoSpacing"/>
              <w:cnfStyle w:val="000000000000" w:firstRow="0" w:lastRow="0" w:firstColumn="0" w:lastColumn="0" w:oddVBand="0" w:evenVBand="0" w:oddHBand="0" w:evenHBand="0" w:firstRowFirstColumn="0" w:firstRowLastColumn="0" w:lastRowFirstColumn="0" w:lastRowLastColumn="0"/>
            </w:pPr>
            <w:r w:rsidRPr="009A0DA6">
              <w:rPr>
                <w:rFonts w:cs="Arial"/>
              </w:rPr>
              <w:t xml:space="preserve">Regular scheduled Forum discussions on ethical issues with </w:t>
            </w:r>
            <w:r w:rsidRPr="009A0DA6">
              <w:t>Forum Moderator who always reminding about the power of the Word and Sacraments bringing the grace of our Lord t</w:t>
            </w:r>
            <w:r w:rsidR="00D94020" w:rsidRPr="009A0DA6">
              <w:t>o the carers and the cared for.</w:t>
            </w:r>
          </w:p>
        </w:tc>
      </w:tr>
      <w:tr w:rsidR="00F80178" w:rsidRPr="009A0DA6" w14:paraId="70837542" w14:textId="77777777" w:rsidTr="00D94020">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948" w:type="dxa"/>
          </w:tcPr>
          <w:p w14:paraId="5E65088A" w14:textId="71C04032" w:rsidR="00F80178" w:rsidRPr="009A0DA6" w:rsidRDefault="00D94020" w:rsidP="00F80178">
            <w:pPr>
              <w:pStyle w:val="NormalWeb"/>
              <w:tabs>
                <w:tab w:val="left" w:pos="319"/>
              </w:tabs>
              <w:spacing w:after="60"/>
              <w:ind w:left="319" w:hanging="319"/>
              <w:rPr>
                <w:rFonts w:ascii="Cambria" w:hAnsi="Cambria"/>
                <w:sz w:val="22"/>
                <w:szCs w:val="22"/>
                <w:lang w:val="en-US"/>
              </w:rPr>
            </w:pPr>
            <w:r w:rsidRPr="009A0DA6">
              <w:rPr>
                <w:rFonts w:ascii="Cambria" w:hAnsi="Cambria"/>
                <w:sz w:val="22"/>
                <w:szCs w:val="22"/>
                <w:lang w:val="en-US"/>
              </w:rPr>
              <w:t>3</w:t>
            </w:r>
            <w:r w:rsidR="0027799A" w:rsidRPr="009A0DA6">
              <w:rPr>
                <w:rFonts w:ascii="Cambria" w:hAnsi="Cambria"/>
                <w:sz w:val="22"/>
                <w:szCs w:val="22"/>
                <w:lang w:val="en-US"/>
              </w:rPr>
              <w:t xml:space="preserve">. </w:t>
            </w:r>
            <w:r w:rsidRPr="009A0DA6">
              <w:rPr>
                <w:rFonts w:ascii="Cambria" w:hAnsi="Cambria"/>
                <w:sz w:val="22"/>
                <w:szCs w:val="22"/>
                <w:lang w:val="en-US"/>
              </w:rPr>
              <w:t>T</w:t>
            </w:r>
            <w:r w:rsidR="00F80178" w:rsidRPr="009A0DA6">
              <w:rPr>
                <w:rFonts w:ascii="Cambria" w:hAnsi="Cambria"/>
                <w:sz w:val="22"/>
                <w:szCs w:val="22"/>
                <w:lang w:val="en-US"/>
              </w:rPr>
              <w:t>o provide opportunities for discussion, mutual sharing, moral support, social contact and fellowship among members.</w:t>
            </w:r>
          </w:p>
          <w:p w14:paraId="65058A32" w14:textId="77777777" w:rsidR="00F80178" w:rsidRPr="009A0DA6" w:rsidRDefault="00F80178" w:rsidP="00F80178">
            <w:pPr>
              <w:widowControl w:val="0"/>
              <w:tabs>
                <w:tab w:val="left" w:pos="319"/>
              </w:tabs>
              <w:suppressAutoHyphens/>
              <w:ind w:left="319" w:hanging="319"/>
              <w:rPr>
                <w:rFonts w:ascii="Cambria" w:hAnsi="Cambria" w:cs="Arial"/>
                <w:lang w:val="en-US"/>
              </w:rPr>
            </w:pPr>
          </w:p>
        </w:tc>
        <w:tc>
          <w:tcPr>
            <w:tcW w:w="2948" w:type="dxa"/>
          </w:tcPr>
          <w:p w14:paraId="209387DE" w14:textId="77777777" w:rsidR="00F80178" w:rsidRPr="009A0DA6" w:rsidRDefault="00F80178">
            <w:pPr>
              <w:ind w:left="34"/>
              <w:cnfStyle w:val="000000100000" w:firstRow="0" w:lastRow="0" w:firstColumn="0" w:lastColumn="0" w:oddVBand="0" w:evenVBand="0" w:oddHBand="1" w:evenHBand="0" w:firstRowFirstColumn="0" w:firstRowLastColumn="0" w:lastRowFirstColumn="0" w:lastRowLastColumn="0"/>
              <w:rPr>
                <w:rFonts w:ascii="Cambria" w:hAnsi="Cambria"/>
              </w:rPr>
            </w:pPr>
            <w:r w:rsidRPr="009A0DA6">
              <w:rPr>
                <w:rFonts w:ascii="Cambria" w:hAnsi="Cambria"/>
              </w:rPr>
              <w:t>Facebook page established in the name of Lutheran Nurses Association of Australia.</w:t>
            </w:r>
          </w:p>
          <w:p w14:paraId="56D0121C" w14:textId="77777777" w:rsidR="00F80178" w:rsidRPr="009A0DA6" w:rsidRDefault="00F80178">
            <w:pPr>
              <w:cnfStyle w:val="000000100000" w:firstRow="0" w:lastRow="0" w:firstColumn="0" w:lastColumn="0" w:oddVBand="0" w:evenVBand="0" w:oddHBand="1" w:evenHBand="0" w:firstRowFirstColumn="0" w:firstRowLastColumn="0" w:lastRowFirstColumn="0" w:lastRowLastColumn="0"/>
              <w:rPr>
                <w:rFonts w:ascii="Cambria" w:hAnsi="Cambria" w:cs="Arial"/>
              </w:rPr>
            </w:pPr>
          </w:p>
        </w:tc>
        <w:tc>
          <w:tcPr>
            <w:tcW w:w="2948" w:type="dxa"/>
          </w:tcPr>
          <w:p w14:paraId="07539A6F" w14:textId="77777777" w:rsidR="00F80178" w:rsidRPr="009A0DA6" w:rsidRDefault="00F80178">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Guest speakers encourage questions during and at the end of their talks.</w:t>
            </w:r>
          </w:p>
          <w:p w14:paraId="2D585B22" w14:textId="77777777" w:rsidR="00F80178" w:rsidRPr="009A0DA6" w:rsidRDefault="00F80178">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Supper is provided which allows time for discussions and networking.</w:t>
            </w:r>
          </w:p>
          <w:p w14:paraId="31ACF3C8" w14:textId="77777777" w:rsidR="00F80178" w:rsidRPr="009A0DA6" w:rsidRDefault="00F80178">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Forum discussions on ethical issues in particular give opportunity mutual sharing.</w:t>
            </w:r>
          </w:p>
          <w:p w14:paraId="4DDE9EEB" w14:textId="71F4BDBB" w:rsidR="00F80178" w:rsidRPr="009A0DA6" w:rsidRDefault="00F80178" w:rsidP="00D94020">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The Executive and Spiritual counsellor are available for contact by phone</w:t>
            </w:r>
            <w:r w:rsidR="00D94020" w:rsidRPr="009A0DA6">
              <w:rPr>
                <w:rFonts w:ascii="Cambria" w:hAnsi="Cambria" w:cs="Arial"/>
              </w:rPr>
              <w:t>.</w:t>
            </w:r>
          </w:p>
        </w:tc>
      </w:tr>
      <w:tr w:rsidR="00F80178" w:rsidRPr="009A0DA6" w14:paraId="63349851" w14:textId="77777777" w:rsidTr="00D94020">
        <w:trPr>
          <w:trHeight w:val="252"/>
        </w:trPr>
        <w:tc>
          <w:tcPr>
            <w:cnfStyle w:val="001000000000" w:firstRow="0" w:lastRow="0" w:firstColumn="1" w:lastColumn="0" w:oddVBand="0" w:evenVBand="0" w:oddHBand="0" w:evenHBand="0" w:firstRowFirstColumn="0" w:firstRowLastColumn="0" w:lastRowFirstColumn="0" w:lastRowLastColumn="0"/>
            <w:tcW w:w="2948" w:type="dxa"/>
            <w:hideMark/>
          </w:tcPr>
          <w:p w14:paraId="7E3667A6" w14:textId="7992E36A" w:rsidR="00F80178" w:rsidRPr="009A0DA6" w:rsidRDefault="00F80178" w:rsidP="00F80178">
            <w:pPr>
              <w:widowControl w:val="0"/>
              <w:tabs>
                <w:tab w:val="left" w:pos="319"/>
              </w:tabs>
              <w:suppressAutoHyphens/>
              <w:ind w:left="319" w:hanging="319"/>
              <w:rPr>
                <w:rFonts w:ascii="Cambria" w:hAnsi="Cambria" w:cs="Arial"/>
              </w:rPr>
            </w:pPr>
            <w:r w:rsidRPr="009A0DA6">
              <w:rPr>
                <w:rFonts w:ascii="Cambria" w:hAnsi="Cambria"/>
              </w:rPr>
              <w:t>4</w:t>
            </w:r>
            <w:r w:rsidR="0027799A" w:rsidRPr="009A0DA6">
              <w:rPr>
                <w:rFonts w:ascii="Cambria" w:hAnsi="Cambria"/>
              </w:rPr>
              <w:t xml:space="preserve">. </w:t>
            </w:r>
            <w:r w:rsidRPr="009A0DA6">
              <w:rPr>
                <w:rFonts w:ascii="Cambria" w:hAnsi="Cambria"/>
              </w:rPr>
              <w:t>To communicate with members via a regular publication</w:t>
            </w:r>
          </w:p>
        </w:tc>
        <w:tc>
          <w:tcPr>
            <w:tcW w:w="2948" w:type="dxa"/>
            <w:hideMark/>
          </w:tcPr>
          <w:p w14:paraId="0833431E" w14:textId="77777777" w:rsidR="00F80178" w:rsidRPr="009A0DA6" w:rsidRDefault="00F80178">
            <w:pPr>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The IN TOUCH newsletter is published and sent to each member as well as to church leaders and others 6 times a year before each meeting</w:t>
            </w:r>
          </w:p>
        </w:tc>
        <w:tc>
          <w:tcPr>
            <w:tcW w:w="2948" w:type="dxa"/>
          </w:tcPr>
          <w:p w14:paraId="460C5C0F" w14:textId="6A28A910" w:rsidR="00F80178" w:rsidRPr="009A0DA6" w:rsidRDefault="00F80178" w:rsidP="00D94020">
            <w:pPr>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The IN TOUCH newsletter is published and sent to each member as well as to</w:t>
            </w:r>
            <w:r w:rsidR="00206BF6">
              <w:rPr>
                <w:rFonts w:ascii="Cambria" w:hAnsi="Cambria" w:cs="Arial"/>
              </w:rPr>
              <w:t xml:space="preserve"> </w:t>
            </w:r>
            <w:r w:rsidRPr="009A0DA6">
              <w:rPr>
                <w:rFonts w:ascii="Cambria" w:hAnsi="Cambria" w:cs="Arial"/>
              </w:rPr>
              <w:t>church leaders and others 6 times a year before each meeting,</w:t>
            </w:r>
          </w:p>
        </w:tc>
      </w:tr>
    </w:tbl>
    <w:p w14:paraId="2C5622D4" w14:textId="77777777" w:rsidR="00206BF6" w:rsidRDefault="00206BF6">
      <w:r>
        <w:rPr>
          <w:b/>
          <w:bCs/>
        </w:rPr>
        <w:br w:type="page"/>
      </w:r>
    </w:p>
    <w:tbl>
      <w:tblPr>
        <w:tblStyle w:val="PlainTable2"/>
        <w:tblW w:w="8844" w:type="dxa"/>
        <w:tblLook w:val="04A0" w:firstRow="1" w:lastRow="0" w:firstColumn="1" w:lastColumn="0" w:noHBand="0" w:noVBand="1"/>
      </w:tblPr>
      <w:tblGrid>
        <w:gridCol w:w="2948"/>
        <w:gridCol w:w="2948"/>
        <w:gridCol w:w="2948"/>
      </w:tblGrid>
      <w:tr w:rsidR="00F80178" w:rsidRPr="009A0DA6" w14:paraId="63D54B84" w14:textId="77777777" w:rsidTr="00D94020">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948" w:type="dxa"/>
          </w:tcPr>
          <w:p w14:paraId="73C458B4" w14:textId="34EABCB4" w:rsidR="00F80178" w:rsidRPr="009A0DA6" w:rsidRDefault="00F80178" w:rsidP="00F80178">
            <w:pPr>
              <w:pStyle w:val="NoSpacing"/>
              <w:tabs>
                <w:tab w:val="left" w:pos="319"/>
              </w:tabs>
              <w:ind w:left="319" w:hanging="319"/>
            </w:pPr>
            <w:r w:rsidRPr="009A0DA6">
              <w:lastRenderedPageBreak/>
              <w:t>5</w:t>
            </w:r>
            <w:r w:rsidR="0027799A" w:rsidRPr="009A0DA6">
              <w:t xml:space="preserve">. </w:t>
            </w:r>
            <w:r w:rsidR="00D94020" w:rsidRPr="009A0DA6">
              <w:t xml:space="preserve"> A</w:t>
            </w:r>
            <w:r w:rsidRPr="009A0DA6">
              <w:t xml:space="preserve">ims to keep members informed of opportunities for service in the </w:t>
            </w:r>
            <w:r w:rsidR="00336CE0" w:rsidRPr="009A0DA6">
              <w:t>church</w:t>
            </w:r>
            <w:r w:rsidRPr="009A0DA6">
              <w:t>.</w:t>
            </w:r>
          </w:p>
          <w:p w14:paraId="4E8BE634" w14:textId="77777777" w:rsidR="00F80178" w:rsidRPr="009A0DA6" w:rsidRDefault="00F80178" w:rsidP="00F80178">
            <w:pPr>
              <w:widowControl w:val="0"/>
              <w:tabs>
                <w:tab w:val="left" w:pos="319"/>
              </w:tabs>
              <w:suppressAutoHyphens/>
              <w:ind w:left="319" w:hanging="319"/>
              <w:rPr>
                <w:rFonts w:ascii="Cambria" w:hAnsi="Cambria"/>
              </w:rPr>
            </w:pPr>
          </w:p>
        </w:tc>
        <w:tc>
          <w:tcPr>
            <w:tcW w:w="2948" w:type="dxa"/>
            <w:hideMark/>
          </w:tcPr>
          <w:p w14:paraId="680B399F" w14:textId="77777777" w:rsidR="00F80178" w:rsidRPr="00206BF6" w:rsidRDefault="00F80178">
            <w:pPr>
              <w:cnfStyle w:val="100000000000" w:firstRow="1" w:lastRow="0" w:firstColumn="0" w:lastColumn="0" w:oddVBand="0" w:evenVBand="0" w:oddHBand="0" w:evenHBand="0" w:firstRowFirstColumn="0" w:firstRowLastColumn="0" w:lastRowFirstColumn="0" w:lastRowLastColumn="0"/>
              <w:rPr>
                <w:rFonts w:ascii="Cambria" w:hAnsi="Cambria" w:cs="Arial"/>
                <w:b w:val="0"/>
              </w:rPr>
            </w:pPr>
            <w:r w:rsidRPr="00206BF6">
              <w:rPr>
                <w:rFonts w:ascii="Cambria" w:hAnsi="Cambria" w:cs="Arial"/>
                <w:b w:val="0"/>
              </w:rPr>
              <w:t>The LNAA  supports &amp; promotes Parish Nursing.</w:t>
            </w:r>
          </w:p>
          <w:p w14:paraId="11AE75B6" w14:textId="77777777" w:rsidR="00F80178" w:rsidRPr="00206BF6" w:rsidRDefault="00F80178">
            <w:pPr>
              <w:cnfStyle w:val="100000000000" w:firstRow="1" w:lastRow="0" w:firstColumn="0" w:lastColumn="0" w:oddVBand="0" w:evenVBand="0" w:oddHBand="0" w:evenHBand="0" w:firstRowFirstColumn="0" w:firstRowLastColumn="0" w:lastRowFirstColumn="0" w:lastRowLastColumn="0"/>
              <w:rPr>
                <w:rFonts w:ascii="Cambria" w:hAnsi="Cambria" w:cs="Arial"/>
                <w:b w:val="0"/>
              </w:rPr>
            </w:pPr>
            <w:r w:rsidRPr="00206BF6">
              <w:rPr>
                <w:rFonts w:ascii="Cambria" w:hAnsi="Cambria" w:cs="Arial"/>
                <w:b w:val="0"/>
              </w:rPr>
              <w:t>Where possible informs members of nursing positions available at LCA aged care facilities through the IN TOUCH newsletter.</w:t>
            </w:r>
          </w:p>
        </w:tc>
        <w:tc>
          <w:tcPr>
            <w:tcW w:w="2948" w:type="dxa"/>
            <w:hideMark/>
          </w:tcPr>
          <w:p w14:paraId="6CE67EA3" w14:textId="77777777" w:rsidR="00F80178" w:rsidRPr="00206BF6" w:rsidRDefault="00F80178">
            <w:pPr>
              <w:cnfStyle w:val="100000000000" w:firstRow="1" w:lastRow="0" w:firstColumn="0" w:lastColumn="0" w:oddVBand="0" w:evenVBand="0" w:oddHBand="0" w:evenHBand="0" w:firstRowFirstColumn="0" w:firstRowLastColumn="0" w:lastRowFirstColumn="0" w:lastRowLastColumn="0"/>
              <w:rPr>
                <w:rFonts w:ascii="Cambria" w:hAnsi="Cambria" w:cs="Arial"/>
                <w:b w:val="0"/>
              </w:rPr>
            </w:pPr>
            <w:r w:rsidRPr="00206BF6">
              <w:rPr>
                <w:rFonts w:ascii="Cambria" w:hAnsi="Cambria" w:cs="Arial"/>
                <w:b w:val="0"/>
              </w:rPr>
              <w:t>The LNAA supports and promotes Parish Nursing.</w:t>
            </w:r>
          </w:p>
          <w:p w14:paraId="619523E8" w14:textId="77777777" w:rsidR="00F80178" w:rsidRPr="00206BF6" w:rsidRDefault="00F80178">
            <w:pPr>
              <w:cnfStyle w:val="100000000000" w:firstRow="1" w:lastRow="0" w:firstColumn="0" w:lastColumn="0" w:oddVBand="0" w:evenVBand="0" w:oddHBand="0" w:evenHBand="0" w:firstRowFirstColumn="0" w:firstRowLastColumn="0" w:lastRowFirstColumn="0" w:lastRowLastColumn="0"/>
              <w:rPr>
                <w:rFonts w:ascii="Cambria" w:hAnsi="Cambria" w:cs="Arial"/>
                <w:b w:val="0"/>
              </w:rPr>
            </w:pPr>
            <w:r w:rsidRPr="00206BF6">
              <w:rPr>
                <w:rFonts w:ascii="Cambria" w:hAnsi="Cambria" w:cs="Arial"/>
                <w:b w:val="0"/>
              </w:rPr>
              <w:t>Where possible informs members of nursing positions available at LCA aged-care facilities through the IN TOUCH newsletter.</w:t>
            </w:r>
          </w:p>
          <w:p w14:paraId="318F5C51" w14:textId="04A94EC0" w:rsidR="00F80178" w:rsidRPr="00206BF6" w:rsidRDefault="00F80178">
            <w:pPr>
              <w:cnfStyle w:val="100000000000" w:firstRow="1" w:lastRow="0" w:firstColumn="0" w:lastColumn="0" w:oddVBand="0" w:evenVBand="0" w:oddHBand="0" w:evenHBand="0" w:firstRowFirstColumn="0" w:firstRowLastColumn="0" w:lastRowFirstColumn="0" w:lastRowLastColumn="0"/>
              <w:rPr>
                <w:rFonts w:ascii="Cambria" w:hAnsi="Cambria" w:cs="Arial"/>
                <w:b w:val="0"/>
              </w:rPr>
            </w:pPr>
            <w:r w:rsidRPr="00206BF6">
              <w:rPr>
                <w:rFonts w:ascii="Cambria" w:hAnsi="Cambria" w:cs="Arial"/>
                <w:b w:val="0"/>
              </w:rPr>
              <w:t xml:space="preserve">A Distance Education version of the </w:t>
            </w:r>
            <w:r w:rsidRPr="00206BF6">
              <w:rPr>
                <w:rFonts w:ascii="Cambria" w:hAnsi="Cambria" w:cs="Arial"/>
                <w:b w:val="0"/>
                <w:i/>
              </w:rPr>
              <w:t>Introduction to Pastoral Care Nursing</w:t>
            </w:r>
            <w:r w:rsidRPr="00206BF6">
              <w:rPr>
                <w:rFonts w:ascii="Cambria" w:hAnsi="Cambria" w:cs="Arial"/>
                <w:b w:val="0"/>
              </w:rPr>
              <w:t xml:space="preserve"> course has been developed</w:t>
            </w:r>
            <w:r w:rsidR="0027799A" w:rsidRPr="00206BF6">
              <w:rPr>
                <w:rFonts w:ascii="Cambria" w:hAnsi="Cambria" w:cs="Arial"/>
                <w:b w:val="0"/>
              </w:rPr>
              <w:t xml:space="preserve">. </w:t>
            </w:r>
            <w:r w:rsidRPr="00206BF6">
              <w:rPr>
                <w:rFonts w:ascii="Cambria" w:hAnsi="Cambria" w:cs="Arial"/>
                <w:b w:val="0"/>
              </w:rPr>
              <w:t>Several people have completed this course, others have enrolled.</w:t>
            </w:r>
          </w:p>
        </w:tc>
      </w:tr>
      <w:tr w:rsidR="00F80178" w:rsidRPr="009A0DA6" w14:paraId="0CDE971B" w14:textId="77777777" w:rsidTr="00D94020">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948" w:type="dxa"/>
          </w:tcPr>
          <w:p w14:paraId="21A530AC" w14:textId="3991DA6E" w:rsidR="00F80178" w:rsidRPr="009A0DA6" w:rsidRDefault="00D94020" w:rsidP="00F55252">
            <w:pPr>
              <w:pStyle w:val="ListParagraph"/>
              <w:numPr>
                <w:ilvl w:val="0"/>
                <w:numId w:val="291"/>
              </w:numPr>
              <w:tabs>
                <w:tab w:val="left" w:pos="319"/>
                <w:tab w:val="left" w:pos="426"/>
              </w:tabs>
              <w:spacing w:after="120" w:line="240" w:lineRule="auto"/>
              <w:ind w:left="319" w:hanging="319"/>
              <w:rPr>
                <w:rFonts w:ascii="Cambria" w:hAnsi="Cambria"/>
              </w:rPr>
            </w:pPr>
            <w:r w:rsidRPr="009A0DA6">
              <w:rPr>
                <w:rFonts w:ascii="Cambria" w:hAnsi="Cambria"/>
              </w:rPr>
              <w:t>T</w:t>
            </w:r>
            <w:r w:rsidR="00F80178" w:rsidRPr="009A0DA6">
              <w:rPr>
                <w:rFonts w:ascii="Cambria" w:hAnsi="Cambria"/>
              </w:rPr>
              <w:t>o support nurses experiencing difficulties in the work place, especially student nurses.</w:t>
            </w:r>
          </w:p>
        </w:tc>
        <w:tc>
          <w:tcPr>
            <w:tcW w:w="2948" w:type="dxa"/>
            <w:hideMark/>
          </w:tcPr>
          <w:p w14:paraId="5949096E" w14:textId="77777777" w:rsidR="00F80178" w:rsidRPr="009A0DA6" w:rsidRDefault="00F80178">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Older and/or more experienced members are willing to act as mentors to  student and novice nurses and healthcare workers.</w:t>
            </w:r>
          </w:p>
        </w:tc>
        <w:tc>
          <w:tcPr>
            <w:tcW w:w="2948" w:type="dxa"/>
          </w:tcPr>
          <w:p w14:paraId="61FB9DB8" w14:textId="77777777" w:rsidR="00F80178" w:rsidRPr="009A0DA6" w:rsidRDefault="00F80178">
            <w:pPr>
              <w:cnfStyle w:val="000000100000" w:firstRow="0" w:lastRow="0" w:firstColumn="0" w:lastColumn="0" w:oddVBand="0" w:evenVBand="0" w:oddHBand="1" w:evenHBand="0" w:firstRowFirstColumn="0" w:firstRowLastColumn="0" w:lastRowFirstColumn="0" w:lastRowLastColumn="0"/>
              <w:rPr>
                <w:rFonts w:ascii="Cambria" w:hAnsi="Cambria" w:cs="Arial"/>
              </w:rPr>
            </w:pPr>
          </w:p>
        </w:tc>
      </w:tr>
    </w:tbl>
    <w:p w14:paraId="2643E7E5" w14:textId="77777777" w:rsidR="00D94020" w:rsidRPr="00427D86" w:rsidRDefault="00D94020" w:rsidP="00F80178">
      <w:pPr>
        <w:rPr>
          <w:rFonts w:ascii="Cambria" w:hAnsi="Cambria"/>
          <w:b/>
          <w:sz w:val="8"/>
        </w:rPr>
      </w:pPr>
    </w:p>
    <w:p w14:paraId="52579291" w14:textId="736C8C01" w:rsidR="00F80178" w:rsidRPr="009A0DA6" w:rsidRDefault="00F80178" w:rsidP="00D94020">
      <w:pPr>
        <w:pStyle w:val="Heading3"/>
        <w:rPr>
          <w:lang w:val="en-US" w:eastAsia="ja-JP"/>
        </w:rPr>
      </w:pPr>
      <w:r w:rsidRPr="009A0DA6">
        <w:t>Successes</w:t>
      </w:r>
    </w:p>
    <w:p w14:paraId="049EA184" w14:textId="77777777" w:rsidR="00F80178" w:rsidRPr="009A0DA6" w:rsidRDefault="00F80178" w:rsidP="009334B2">
      <w:pPr>
        <w:pStyle w:val="ListParagraph"/>
        <w:numPr>
          <w:ilvl w:val="0"/>
          <w:numId w:val="293"/>
        </w:numPr>
        <w:spacing w:after="0" w:line="240" w:lineRule="auto"/>
        <w:ind w:left="567" w:hanging="567"/>
        <w:rPr>
          <w:rFonts w:ascii="Cambria" w:hAnsi="Cambria" w:cs="Times New Roman"/>
        </w:rPr>
      </w:pPr>
      <w:r w:rsidRPr="009A0DA6">
        <w:rPr>
          <w:rFonts w:ascii="Cambria" w:hAnsi="Cambria" w:cs="Times New Roman"/>
        </w:rPr>
        <w:t xml:space="preserve">Facebook - increasing reach of LNAA to </w:t>
      </w:r>
      <w:r w:rsidRPr="009A0DA6">
        <w:rPr>
          <w:rFonts w:ascii="Cambria" w:hAnsi="Cambria"/>
        </w:rPr>
        <w:t>younger "tech-savvy" practitioners</w:t>
      </w:r>
    </w:p>
    <w:p w14:paraId="54A6FA73" w14:textId="77777777" w:rsidR="00F80178" w:rsidRPr="009A0DA6" w:rsidRDefault="00F80178" w:rsidP="009334B2">
      <w:pPr>
        <w:pStyle w:val="ListParagraph"/>
        <w:numPr>
          <w:ilvl w:val="0"/>
          <w:numId w:val="293"/>
        </w:numPr>
        <w:spacing w:after="0" w:line="240" w:lineRule="auto"/>
        <w:ind w:left="567" w:hanging="567"/>
        <w:rPr>
          <w:rFonts w:ascii="Cambria" w:hAnsi="Cambria"/>
        </w:rPr>
      </w:pPr>
      <w:r w:rsidRPr="009A0DA6">
        <w:rPr>
          <w:rFonts w:ascii="Cambria" w:hAnsi="Cambria"/>
        </w:rPr>
        <w:t>IN TOUCH newsletter issued to every member plus other significant bodies six times a year.</w:t>
      </w:r>
    </w:p>
    <w:p w14:paraId="24E30225" w14:textId="77777777" w:rsidR="00F80178" w:rsidRPr="009A0DA6" w:rsidRDefault="00F80178" w:rsidP="009334B2">
      <w:pPr>
        <w:pStyle w:val="ListParagraph"/>
        <w:numPr>
          <w:ilvl w:val="0"/>
          <w:numId w:val="293"/>
        </w:numPr>
        <w:spacing w:after="0" w:line="240" w:lineRule="auto"/>
        <w:ind w:left="567" w:hanging="567"/>
        <w:rPr>
          <w:rFonts w:ascii="Cambria" w:hAnsi="Cambria" w:cs="Times New Roman"/>
        </w:rPr>
      </w:pPr>
      <w:r w:rsidRPr="009A0DA6">
        <w:rPr>
          <w:rFonts w:ascii="Cambria" w:hAnsi="Cambria" w:cs="Times New Roman"/>
        </w:rPr>
        <w:t>Tour of South Australian Health Medical Research Institute organised &amp; well attended.</w:t>
      </w:r>
    </w:p>
    <w:p w14:paraId="33D5FC4A" w14:textId="77777777" w:rsidR="00F80178" w:rsidRPr="009A0DA6" w:rsidRDefault="00F80178" w:rsidP="009334B2">
      <w:pPr>
        <w:pStyle w:val="ListParagraph"/>
        <w:numPr>
          <w:ilvl w:val="0"/>
          <w:numId w:val="293"/>
        </w:numPr>
        <w:spacing w:after="0" w:line="240" w:lineRule="auto"/>
        <w:ind w:left="567" w:hanging="567"/>
        <w:rPr>
          <w:rFonts w:ascii="Cambria" w:hAnsi="Cambria"/>
        </w:rPr>
      </w:pPr>
      <w:r w:rsidRPr="009A0DA6">
        <w:rPr>
          <w:rFonts w:ascii="Cambria" w:hAnsi="Cambria"/>
        </w:rPr>
        <w:t xml:space="preserve">Top quality speakers willing to present on a voluntary basis so that evidence of Continuous Professional Development can be given to working nurses. Donation made to charity of each guest speaker's choice. </w:t>
      </w:r>
    </w:p>
    <w:p w14:paraId="333C7B39" w14:textId="77777777" w:rsidR="00F80178" w:rsidRPr="009A0DA6" w:rsidRDefault="00F80178" w:rsidP="009334B2">
      <w:pPr>
        <w:pStyle w:val="ListParagraph"/>
        <w:numPr>
          <w:ilvl w:val="0"/>
          <w:numId w:val="293"/>
        </w:numPr>
        <w:spacing w:after="0" w:line="240" w:lineRule="auto"/>
        <w:ind w:left="567" w:hanging="567"/>
        <w:rPr>
          <w:rFonts w:ascii="Cambria" w:hAnsi="Cambria"/>
        </w:rPr>
      </w:pPr>
      <w:r w:rsidRPr="009A0DA6">
        <w:rPr>
          <w:rFonts w:ascii="Cambria" w:hAnsi="Cambria"/>
        </w:rPr>
        <w:t>Attendances at meetings averaged 20 (ranging between 18 - 25) and included visitors who are always welcome if the topic is of interest to them.</w:t>
      </w:r>
    </w:p>
    <w:p w14:paraId="32501977" w14:textId="7F82E5E5" w:rsidR="00F80178" w:rsidRPr="009A0DA6" w:rsidRDefault="00F80178" w:rsidP="009334B2">
      <w:pPr>
        <w:pStyle w:val="ListParagraph"/>
        <w:numPr>
          <w:ilvl w:val="0"/>
          <w:numId w:val="293"/>
        </w:numPr>
        <w:spacing w:after="0" w:line="240" w:lineRule="auto"/>
        <w:ind w:left="567" w:hanging="567"/>
        <w:rPr>
          <w:rFonts w:ascii="Cambria" w:hAnsi="Cambria"/>
        </w:rPr>
      </w:pPr>
      <w:r w:rsidRPr="009A0DA6">
        <w:rPr>
          <w:rFonts w:ascii="Cambria" w:hAnsi="Cambria"/>
        </w:rPr>
        <w:t>Membership fees remain at $25 for working nurses $20 for non-working nurses and associates</w:t>
      </w:r>
      <w:r w:rsidR="0027799A" w:rsidRPr="009A0DA6">
        <w:rPr>
          <w:rFonts w:ascii="Cambria" w:hAnsi="Cambria"/>
        </w:rPr>
        <w:t xml:space="preserve">. </w:t>
      </w:r>
      <w:r w:rsidRPr="009A0DA6">
        <w:rPr>
          <w:rFonts w:ascii="Cambria" w:hAnsi="Cambria"/>
        </w:rPr>
        <w:t>Electronic payment option working satisfactorily.</w:t>
      </w:r>
      <w:r w:rsidR="00206BF6">
        <w:rPr>
          <w:rFonts w:ascii="Cambria" w:hAnsi="Cambria"/>
        </w:rPr>
        <w:br/>
      </w:r>
    </w:p>
    <w:p w14:paraId="45EDC950" w14:textId="77777777" w:rsidR="00F80178" w:rsidRPr="009A0DA6" w:rsidRDefault="00F80178" w:rsidP="00D94020">
      <w:pPr>
        <w:pStyle w:val="Heading3"/>
      </w:pPr>
      <w:r w:rsidRPr="009A0DA6">
        <w:t>Challenges and Lessons Learned</w:t>
      </w:r>
    </w:p>
    <w:p w14:paraId="4E50EF28" w14:textId="77777777" w:rsidR="00F80178" w:rsidRPr="009A0DA6" w:rsidRDefault="00F80178" w:rsidP="00F55252">
      <w:pPr>
        <w:pStyle w:val="NoSpacing"/>
        <w:numPr>
          <w:ilvl w:val="0"/>
          <w:numId w:val="293"/>
        </w:numPr>
        <w:ind w:left="567" w:hanging="567"/>
      </w:pPr>
      <w:r w:rsidRPr="009A0DA6">
        <w:t>To keep aware of controversies relating to Facebook - Contrary to what some people may think, communication technology is a great gift from God for us to connect with those at a distance.</w:t>
      </w:r>
    </w:p>
    <w:p w14:paraId="11F3BD5B" w14:textId="77777777" w:rsidR="00F80178" w:rsidRPr="009A0DA6" w:rsidRDefault="00F80178" w:rsidP="00F55252">
      <w:pPr>
        <w:pStyle w:val="Default"/>
        <w:numPr>
          <w:ilvl w:val="0"/>
          <w:numId w:val="293"/>
        </w:numPr>
        <w:ind w:left="567" w:hanging="567"/>
        <w:rPr>
          <w:rFonts w:ascii="Cambria" w:hAnsi="Cambria"/>
          <w:color w:val="auto"/>
          <w:sz w:val="22"/>
          <w:szCs w:val="22"/>
        </w:rPr>
      </w:pPr>
      <w:r w:rsidRPr="009A0DA6">
        <w:rPr>
          <w:rFonts w:ascii="Cambria" w:hAnsi="Cambria"/>
          <w:color w:val="auto"/>
          <w:sz w:val="22"/>
          <w:szCs w:val="22"/>
        </w:rPr>
        <w:t xml:space="preserve">Healthcare workers are probably drawn to their profession because of compassion leading them to work with vulnerable people. Looking after other people all the time may take its toll, so it is important to avoid compassion fatigue. </w:t>
      </w:r>
    </w:p>
    <w:p w14:paraId="4EB40E25" w14:textId="77777777" w:rsidR="00F80178" w:rsidRPr="009A0DA6" w:rsidRDefault="00F80178" w:rsidP="00F55252">
      <w:pPr>
        <w:pStyle w:val="NoSpacing"/>
        <w:numPr>
          <w:ilvl w:val="0"/>
          <w:numId w:val="293"/>
        </w:numPr>
        <w:ind w:left="567" w:hanging="567"/>
      </w:pPr>
      <w:r w:rsidRPr="009A0DA6">
        <w:t>As with any year, there will be challenges but Christian nurses and healthcare workers could see them as opportunities for Christian witness to the world.</w:t>
      </w:r>
    </w:p>
    <w:p w14:paraId="6C8F8338" w14:textId="77777777" w:rsidR="00F80178" w:rsidRPr="009A0DA6" w:rsidRDefault="00F80178" w:rsidP="00F55252">
      <w:pPr>
        <w:pStyle w:val="NoSpacing"/>
        <w:numPr>
          <w:ilvl w:val="0"/>
          <w:numId w:val="293"/>
        </w:numPr>
        <w:ind w:left="567" w:hanging="567"/>
      </w:pPr>
      <w:r w:rsidRPr="009A0DA6">
        <w:t>Sometimes it seems advances in technology are happening with such speed that we may lose control, especially if they are in the wrong hands the challenge is to trust our  Creator, and that good things will result from this technology</w:t>
      </w:r>
    </w:p>
    <w:p w14:paraId="58A9FD1E" w14:textId="05590F1F" w:rsidR="00F80178" w:rsidRPr="009A0DA6" w:rsidRDefault="00F80178" w:rsidP="00F55252">
      <w:pPr>
        <w:pStyle w:val="NoSpacing"/>
        <w:numPr>
          <w:ilvl w:val="0"/>
          <w:numId w:val="293"/>
        </w:numPr>
        <w:ind w:left="567" w:hanging="567"/>
      </w:pPr>
      <w:r w:rsidRPr="009A0DA6">
        <w:t>It is reported that Health is one of the fastest growing employment industries in Australia. About 51,400 extra registered nurses - in both public and private institutions are forecast to be needed between 2015 - 2020. Many of these will be Christian nurses who may desire a safe place to debrief from stressful situations and be reminded that Jesus is with them ALWAYS.</w:t>
      </w:r>
      <w:r w:rsidR="00D94020" w:rsidRPr="009A0DA6">
        <w:br/>
      </w:r>
    </w:p>
    <w:p w14:paraId="0C6058D2" w14:textId="77777777" w:rsidR="00F80178" w:rsidRPr="009A0DA6" w:rsidRDefault="00F80178" w:rsidP="00D94020">
      <w:pPr>
        <w:pStyle w:val="Heading3"/>
      </w:pPr>
      <w:r w:rsidRPr="009A0DA6">
        <w:t>Risks</w:t>
      </w:r>
    </w:p>
    <w:p w14:paraId="673C197F" w14:textId="77777777" w:rsidR="00F80178" w:rsidRPr="009A0DA6" w:rsidRDefault="00F80178" w:rsidP="009334B2">
      <w:pPr>
        <w:pStyle w:val="ListParagraph"/>
        <w:numPr>
          <w:ilvl w:val="0"/>
          <w:numId w:val="293"/>
        </w:numPr>
        <w:spacing w:after="0" w:line="240" w:lineRule="auto"/>
        <w:ind w:left="567" w:hanging="709"/>
        <w:rPr>
          <w:rFonts w:ascii="Cambria" w:hAnsi="Cambria"/>
        </w:rPr>
      </w:pPr>
      <w:r w:rsidRPr="009A0DA6">
        <w:rPr>
          <w:rFonts w:ascii="Cambria" w:hAnsi="Cambria"/>
        </w:rPr>
        <w:t>If members don't step up when vacancies for key executive positions arise, the organisation will fold.</w:t>
      </w:r>
    </w:p>
    <w:p w14:paraId="07AB1999" w14:textId="3E87ED4A" w:rsidR="00F80178" w:rsidRPr="009A0DA6" w:rsidRDefault="00F80178" w:rsidP="009334B2">
      <w:pPr>
        <w:pStyle w:val="ListParagraph"/>
        <w:numPr>
          <w:ilvl w:val="0"/>
          <w:numId w:val="293"/>
        </w:numPr>
        <w:spacing w:after="0" w:line="240" w:lineRule="auto"/>
        <w:ind w:left="567" w:hanging="709"/>
        <w:rPr>
          <w:rFonts w:ascii="Cambria" w:hAnsi="Cambria"/>
        </w:rPr>
      </w:pPr>
      <w:r w:rsidRPr="009A0DA6">
        <w:rPr>
          <w:rFonts w:ascii="Cambria" w:hAnsi="Cambria"/>
        </w:rPr>
        <w:lastRenderedPageBreak/>
        <w:t>If, for whatever reason, the newsletter IN TOUCH cannot be issued to members the organisation's viability will be threatened.</w:t>
      </w:r>
      <w:r w:rsidR="009334B2">
        <w:rPr>
          <w:rFonts w:ascii="Cambria" w:hAnsi="Cambria"/>
        </w:rPr>
        <w:br/>
      </w:r>
    </w:p>
    <w:p w14:paraId="4A01AABE" w14:textId="400617D1" w:rsidR="00F80178" w:rsidRPr="009A0DA6" w:rsidRDefault="00F80178" w:rsidP="00D94020">
      <w:pPr>
        <w:pStyle w:val="Heading3"/>
      </w:pPr>
      <w:r w:rsidRPr="009A0DA6">
        <w:t xml:space="preserve">Alignment to LCA Strategic Direction </w:t>
      </w:r>
      <w:r w:rsidR="00AC7AA2">
        <w:t>2013–2018</w:t>
      </w:r>
    </w:p>
    <w:p w14:paraId="3D0022A6" w14:textId="4A4588E5" w:rsidR="00F80178" w:rsidRPr="009A0DA6" w:rsidRDefault="00F80178" w:rsidP="009334B2">
      <w:pPr>
        <w:pStyle w:val="Default"/>
        <w:numPr>
          <w:ilvl w:val="0"/>
          <w:numId w:val="294"/>
        </w:numPr>
        <w:ind w:left="567" w:hanging="567"/>
        <w:rPr>
          <w:rFonts w:ascii="Cambria" w:hAnsi="Cambria"/>
          <w:color w:val="auto"/>
          <w:sz w:val="22"/>
          <w:szCs w:val="22"/>
        </w:rPr>
      </w:pPr>
      <w:r w:rsidRPr="009A0DA6">
        <w:rPr>
          <w:rFonts w:ascii="Cambria" w:hAnsi="Cambria"/>
          <w:color w:val="auto"/>
          <w:sz w:val="22"/>
          <w:szCs w:val="22"/>
        </w:rPr>
        <w:t xml:space="preserve">We have a God given gift, and our profession is the vehicle to use that gift. The LNAA is here to remind us that, through our caring for the sick and infirm, the light of Jesus shines through us. </w:t>
      </w:r>
    </w:p>
    <w:p w14:paraId="493E1C29" w14:textId="77777777" w:rsidR="00F80178" w:rsidRPr="009A0DA6" w:rsidRDefault="00F80178" w:rsidP="009334B2">
      <w:pPr>
        <w:pStyle w:val="ListParagraph"/>
        <w:numPr>
          <w:ilvl w:val="0"/>
          <w:numId w:val="294"/>
        </w:numPr>
        <w:spacing w:after="0" w:line="240" w:lineRule="auto"/>
        <w:ind w:left="567" w:hanging="567"/>
        <w:rPr>
          <w:rFonts w:ascii="Cambria" w:hAnsi="Cambria"/>
          <w:i/>
        </w:rPr>
      </w:pPr>
      <w:r w:rsidRPr="009A0DA6">
        <w:rPr>
          <w:rFonts w:ascii="Cambria" w:hAnsi="Cambria"/>
        </w:rPr>
        <w:t>Christian nurses can take reassurance from the words of Bishop Henderson (</w:t>
      </w:r>
      <w:r w:rsidRPr="009A0DA6">
        <w:rPr>
          <w:rFonts w:ascii="Cambria" w:hAnsi="Cambria"/>
          <w:i/>
          <w:iCs/>
        </w:rPr>
        <w:t>The Lutheran</w:t>
      </w:r>
      <w:r w:rsidRPr="009A0DA6">
        <w:rPr>
          <w:rFonts w:ascii="Cambria" w:hAnsi="Cambria"/>
        </w:rPr>
        <w:t>, 17 March): ‘As we go out into the world ... God tells us we do not go alone. He goes with us, blessing us so we can bless others. Our hands are his hands, our feet his feet. Such a blessing fills our lives with meaning, purpose and vitality. Being blessed takes away the need to be anxious and self-absorbed. We don’t need to carry everything on our own. We are free of all that.’</w:t>
      </w:r>
    </w:p>
    <w:p w14:paraId="6ECB3346" w14:textId="77777777" w:rsidR="00F80178" w:rsidRPr="009A0DA6" w:rsidRDefault="00F80178" w:rsidP="009334B2">
      <w:pPr>
        <w:pStyle w:val="ListParagraph"/>
        <w:numPr>
          <w:ilvl w:val="0"/>
          <w:numId w:val="294"/>
        </w:numPr>
        <w:spacing w:after="0" w:line="240" w:lineRule="auto"/>
        <w:ind w:left="567" w:hanging="567"/>
        <w:rPr>
          <w:rFonts w:ascii="Cambria" w:hAnsi="Cambria"/>
          <w:i/>
        </w:rPr>
      </w:pPr>
      <w:r w:rsidRPr="009A0DA6">
        <w:rPr>
          <w:rFonts w:ascii="Cambria" w:hAnsi="Cambria"/>
        </w:rPr>
        <w:t xml:space="preserve">All things are possible for those who believe especially when surrounded by people who share a passionate commitment around a common purpose. We look forward to possibilities which will unfold in the future as we remember Jeremiah 29:11 </w:t>
      </w:r>
      <w:r w:rsidRPr="009A0DA6">
        <w:rPr>
          <w:rFonts w:ascii="Cambria" w:hAnsi="Cambria"/>
          <w:bCs/>
          <w:i/>
          <w:iCs/>
        </w:rPr>
        <w:t>‘“For I know the plans I have for you”, declares the Lord, “plans to prosper you and not to harm you, plans to give you hope and a future.”’</w:t>
      </w:r>
    </w:p>
    <w:p w14:paraId="047AF13B" w14:textId="55AB1851" w:rsidR="00F80178" w:rsidRPr="009A0DA6" w:rsidRDefault="00F80178" w:rsidP="009334B2">
      <w:pPr>
        <w:pStyle w:val="ListParagraph"/>
        <w:numPr>
          <w:ilvl w:val="0"/>
          <w:numId w:val="294"/>
        </w:numPr>
        <w:spacing w:after="0" w:line="240" w:lineRule="auto"/>
        <w:ind w:left="567" w:hanging="567"/>
        <w:rPr>
          <w:rFonts w:ascii="Cambria" w:hAnsi="Cambria"/>
          <w:i/>
        </w:rPr>
      </w:pPr>
      <w:r w:rsidRPr="009A0DA6">
        <w:rPr>
          <w:rFonts w:ascii="Cambria" w:hAnsi="Cambria"/>
        </w:rPr>
        <w:t xml:space="preserve">In our daily life ‘storms’ happen causing us to worry and forget our connection with Christ. The LNAA reminds Christian nurses and healthcare workers "as you go about your day, take Jesus with you because He does care!" </w:t>
      </w:r>
      <w:r w:rsidR="009334B2">
        <w:rPr>
          <w:rFonts w:ascii="Cambria" w:hAnsi="Cambria"/>
        </w:rPr>
        <w:br/>
      </w:r>
    </w:p>
    <w:p w14:paraId="3A77A863" w14:textId="465A8B21" w:rsidR="00F80178" w:rsidRPr="009A0DA6" w:rsidRDefault="00F80178" w:rsidP="00D94020">
      <w:pPr>
        <w:pStyle w:val="Heading3"/>
      </w:pPr>
      <w:r w:rsidRPr="009A0DA6">
        <w:t>Cooperating LCA Boards and Agencies</w:t>
      </w:r>
    </w:p>
    <w:p w14:paraId="1A984FC6" w14:textId="657404C7" w:rsidR="00D94020" w:rsidRPr="009A0DA6" w:rsidRDefault="00D94020" w:rsidP="00D94020">
      <w:pPr>
        <w:pStyle w:val="NoSpacing"/>
      </w:pPr>
      <w:r w:rsidRPr="009A0DA6">
        <w:t>Parish/Pastoral Care Nursing – See Appendix to LNAA report</w:t>
      </w:r>
    </w:p>
    <w:p w14:paraId="3073667C" w14:textId="77777777" w:rsidR="00F80178" w:rsidRPr="009A0DA6" w:rsidRDefault="00F80178" w:rsidP="00F80178">
      <w:pPr>
        <w:spacing w:after="0"/>
        <w:rPr>
          <w:rFonts w:ascii="Cambria" w:hAnsi="Cambria"/>
          <w:b/>
          <w:lang w:val="en-US" w:eastAsia="ja-JP"/>
        </w:rPr>
      </w:pPr>
    </w:p>
    <w:p w14:paraId="562F68F4" w14:textId="77777777" w:rsidR="00F80178" w:rsidRPr="009A0DA6" w:rsidRDefault="00F80178" w:rsidP="00D94020">
      <w:pPr>
        <w:pStyle w:val="Heading3"/>
      </w:pPr>
      <w:r w:rsidRPr="009A0DA6">
        <w:t>Financial Performance</w:t>
      </w:r>
    </w:p>
    <w:p w14:paraId="73DA4489" w14:textId="77777777" w:rsidR="00F80178" w:rsidRPr="009A0DA6" w:rsidRDefault="00F80178" w:rsidP="00F80178">
      <w:pPr>
        <w:spacing w:after="0"/>
        <w:rPr>
          <w:rFonts w:ascii="Cambria" w:hAnsi="Cambria"/>
        </w:rPr>
      </w:pPr>
      <w:r w:rsidRPr="009A0DA6">
        <w:rPr>
          <w:rFonts w:ascii="Cambria" w:hAnsi="Cambria"/>
        </w:rPr>
        <w:t>LNAA's only income is from membership fees, interest from bank accounts and the occasional donation.</w:t>
      </w:r>
    </w:p>
    <w:p w14:paraId="1A4248BC" w14:textId="77777777" w:rsidR="00D94020" w:rsidRPr="009A0DA6" w:rsidRDefault="00D94020" w:rsidP="00F80178">
      <w:pPr>
        <w:spacing w:after="0"/>
        <w:rPr>
          <w:rFonts w:ascii="Cambria" w:hAnsi="Cambria"/>
        </w:rPr>
      </w:pPr>
    </w:p>
    <w:p w14:paraId="17842B31" w14:textId="2EE820E2" w:rsidR="00F80178" w:rsidRPr="009A0DA6" w:rsidRDefault="00F80178" w:rsidP="00F80178">
      <w:pPr>
        <w:spacing w:after="0"/>
        <w:rPr>
          <w:rFonts w:ascii="Cambria" w:hAnsi="Cambria"/>
          <w:i/>
        </w:rPr>
      </w:pPr>
      <w:r w:rsidRPr="009A0DA6">
        <w:rPr>
          <w:rFonts w:ascii="Cambria" w:hAnsi="Cambria"/>
        </w:rPr>
        <w:t>The LNAA is able to meet all of its financial obligations allowing annual fees to remain the same at $25 for working nurses and $20 for retired and associate members.</w:t>
      </w:r>
    </w:p>
    <w:p w14:paraId="4ED18E4B" w14:textId="77777777" w:rsidR="00D94020" w:rsidRPr="009A0DA6" w:rsidRDefault="00D94020" w:rsidP="00F80178">
      <w:pPr>
        <w:spacing w:after="0"/>
        <w:rPr>
          <w:rFonts w:ascii="Cambria" w:hAnsi="Cambria"/>
        </w:rPr>
      </w:pPr>
    </w:p>
    <w:p w14:paraId="4479AE2C" w14:textId="7BED0479" w:rsidR="00F80178" w:rsidRPr="009A0DA6" w:rsidRDefault="00F80178" w:rsidP="00F80178">
      <w:pPr>
        <w:spacing w:after="0"/>
        <w:rPr>
          <w:rFonts w:ascii="Cambria" w:hAnsi="Cambria"/>
        </w:rPr>
      </w:pPr>
      <w:r w:rsidRPr="009A0DA6">
        <w:rPr>
          <w:rFonts w:ascii="Cambria" w:hAnsi="Cambria"/>
        </w:rPr>
        <w:t>All executive positions as well as the position of editor of the Newsletter are held on a voluntary basis.</w:t>
      </w:r>
    </w:p>
    <w:p w14:paraId="0EFB094A" w14:textId="77777777" w:rsidR="00D94020" w:rsidRPr="009A0DA6" w:rsidRDefault="00D94020" w:rsidP="00F80178">
      <w:pPr>
        <w:spacing w:after="0"/>
        <w:rPr>
          <w:rFonts w:ascii="Cambria" w:hAnsi="Cambria"/>
        </w:rPr>
      </w:pPr>
    </w:p>
    <w:p w14:paraId="0B1BB0BE" w14:textId="584CA24B" w:rsidR="00F80178" w:rsidRPr="009A0DA6" w:rsidRDefault="00F80178" w:rsidP="00F80178">
      <w:pPr>
        <w:spacing w:after="0"/>
        <w:rPr>
          <w:rFonts w:ascii="Cambria" w:hAnsi="Cambria"/>
        </w:rPr>
      </w:pPr>
      <w:r w:rsidRPr="009A0DA6">
        <w:rPr>
          <w:rFonts w:ascii="Cambria" w:hAnsi="Cambria"/>
        </w:rPr>
        <w:t>LNAA financially supports Parish/Pastoral Care Nursing.</w:t>
      </w:r>
    </w:p>
    <w:p w14:paraId="4D1AAFD5" w14:textId="77777777" w:rsidR="00D94020" w:rsidRPr="009A0DA6" w:rsidRDefault="00D94020" w:rsidP="00F80178">
      <w:pPr>
        <w:pStyle w:val="NoSpacing"/>
      </w:pPr>
    </w:p>
    <w:p w14:paraId="40582BEF" w14:textId="6D2DE256" w:rsidR="00F80178" w:rsidRPr="009A0DA6" w:rsidRDefault="00F80178" w:rsidP="00F80178">
      <w:pPr>
        <w:pStyle w:val="NoSpacing"/>
      </w:pPr>
      <w:r w:rsidRPr="009A0DA6">
        <w:t xml:space="preserve">Thank you to the LCA South Australian District office for allowing us </w:t>
      </w:r>
      <w:r w:rsidR="00D94020" w:rsidRPr="009A0DA6">
        <w:t>to use their premises and audio-</w:t>
      </w:r>
      <w:r w:rsidRPr="009A0DA6">
        <w:t>visual equipment at a rent representing very little cost when compared with the actual value received.</w:t>
      </w:r>
      <w:r w:rsidR="00D94020" w:rsidRPr="009A0DA6">
        <w:br/>
      </w:r>
    </w:p>
    <w:p w14:paraId="6836A2D9" w14:textId="51DC6A2D" w:rsidR="00F80178" w:rsidRPr="009A0DA6" w:rsidRDefault="00F80178" w:rsidP="00D94020">
      <w:pPr>
        <w:pStyle w:val="Heading3"/>
        <w:pBdr>
          <w:bottom w:val="single" w:sz="4" w:space="1" w:color="auto"/>
        </w:pBdr>
      </w:pPr>
      <w:r w:rsidRPr="009A0DA6">
        <w:t>APPENDIX: Lutheran Parish Nurses</w:t>
      </w:r>
    </w:p>
    <w:p w14:paraId="41286136" w14:textId="266206D8" w:rsidR="00F80178" w:rsidRPr="009A0DA6" w:rsidRDefault="00F80178" w:rsidP="00D94020">
      <w:pPr>
        <w:rPr>
          <w:rFonts w:ascii="Cambria" w:hAnsi="Cambria"/>
        </w:rPr>
      </w:pPr>
      <w:r w:rsidRPr="009A0DA6">
        <w:rPr>
          <w:rFonts w:ascii="Cambria" w:hAnsi="Cambria"/>
        </w:rPr>
        <w:t>Parish Nursing, or Pastoral Care Nursing as it is increasingly being called, is an holistic ministry of the church that functions with the support of the Lutheran Nurses Association of Australia, which has a Parish Nurse subcommittee</w:t>
      </w:r>
      <w:r w:rsidR="0027799A" w:rsidRPr="009A0DA6">
        <w:rPr>
          <w:rFonts w:ascii="Cambria" w:hAnsi="Cambria"/>
        </w:rPr>
        <w:t xml:space="preserve">. </w:t>
      </w:r>
      <w:r w:rsidRPr="009A0DA6">
        <w:rPr>
          <w:rFonts w:ascii="Cambria" w:hAnsi="Cambria"/>
        </w:rPr>
        <w:t>It has progressed steadily since the last General Synod</w:t>
      </w:r>
      <w:r w:rsidR="0027799A" w:rsidRPr="009A0DA6">
        <w:rPr>
          <w:rFonts w:ascii="Cambria" w:hAnsi="Cambria"/>
        </w:rPr>
        <w:t xml:space="preserve">. </w:t>
      </w:r>
      <w:r w:rsidRPr="009A0DA6">
        <w:rPr>
          <w:rFonts w:ascii="Cambria" w:hAnsi="Cambria"/>
        </w:rPr>
        <w:t>However, although it was introduced to the LCA more than 20 years ago, and officially recognised as a ministry of the church by the LCA’s General Synod in the year 2000, it is still not widely known or understood</w:t>
      </w:r>
      <w:r w:rsidR="0027799A" w:rsidRPr="009A0DA6">
        <w:rPr>
          <w:rFonts w:ascii="Cambria" w:hAnsi="Cambria"/>
        </w:rPr>
        <w:t xml:space="preserve">. </w:t>
      </w:r>
      <w:r w:rsidRPr="009A0DA6">
        <w:rPr>
          <w:rFonts w:ascii="Cambria" w:hAnsi="Cambria"/>
        </w:rPr>
        <w:t xml:space="preserve"> </w:t>
      </w:r>
    </w:p>
    <w:p w14:paraId="1C31F990" w14:textId="77777777" w:rsidR="00206BF6" w:rsidRDefault="00206BF6" w:rsidP="00D94020">
      <w:pPr>
        <w:pStyle w:val="Heading3"/>
      </w:pPr>
    </w:p>
    <w:p w14:paraId="45262E3B" w14:textId="5BBA7BF3" w:rsidR="00F80178" w:rsidRPr="009A0DA6" w:rsidRDefault="00F80178" w:rsidP="00D94020">
      <w:pPr>
        <w:pStyle w:val="Heading3"/>
      </w:pPr>
      <w:r w:rsidRPr="009A0DA6">
        <w:t>Achievements in Synodical Period against Plan</w:t>
      </w:r>
    </w:p>
    <w:tbl>
      <w:tblPr>
        <w:tblStyle w:val="PlainTable2"/>
        <w:tblW w:w="8789" w:type="dxa"/>
        <w:tblLook w:val="04A0" w:firstRow="1" w:lastRow="0" w:firstColumn="1" w:lastColumn="0" w:noHBand="0" w:noVBand="1"/>
      </w:tblPr>
      <w:tblGrid>
        <w:gridCol w:w="2835"/>
        <w:gridCol w:w="5954"/>
      </w:tblGrid>
      <w:tr w:rsidR="00F80178" w:rsidRPr="009A0DA6" w14:paraId="40C19B47" w14:textId="77777777" w:rsidTr="00D94020">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835" w:type="dxa"/>
            <w:hideMark/>
          </w:tcPr>
          <w:p w14:paraId="64C87090" w14:textId="77777777" w:rsidR="00F80178" w:rsidRPr="009A0DA6" w:rsidRDefault="00F80178">
            <w:pPr>
              <w:rPr>
                <w:rFonts w:ascii="Cambria" w:hAnsi="Cambria" w:cs="Arial"/>
              </w:rPr>
            </w:pPr>
            <w:r w:rsidRPr="009A0DA6">
              <w:rPr>
                <w:rFonts w:ascii="Cambria" w:hAnsi="Cambria" w:cs="Arial"/>
              </w:rPr>
              <w:t>Objectives or Main Duties</w:t>
            </w:r>
          </w:p>
        </w:tc>
        <w:tc>
          <w:tcPr>
            <w:tcW w:w="5954" w:type="dxa"/>
            <w:hideMark/>
          </w:tcPr>
          <w:p w14:paraId="78932A10" w14:textId="58D82FB9" w:rsidR="00F80178" w:rsidRPr="009A0DA6" w:rsidRDefault="00F80178">
            <w:pPr>
              <w:jc w:val="center"/>
              <w:cnfStyle w:val="100000000000" w:firstRow="1"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 xml:space="preserve">Key outcomes over the </w:t>
            </w:r>
            <w:r w:rsidR="00C67D2A" w:rsidRPr="009A0DA6">
              <w:rPr>
                <w:rFonts w:ascii="Cambria" w:hAnsi="Cambria" w:cs="Arial"/>
              </w:rPr>
              <w:t>synodical</w:t>
            </w:r>
            <w:r w:rsidRPr="009A0DA6">
              <w:rPr>
                <w:rFonts w:ascii="Cambria" w:hAnsi="Cambria" w:cs="Arial"/>
              </w:rPr>
              <w:t xml:space="preserve"> period</w:t>
            </w:r>
          </w:p>
        </w:tc>
      </w:tr>
      <w:tr w:rsidR="00F80178" w:rsidRPr="009A0DA6" w14:paraId="4E1DCB19" w14:textId="77777777" w:rsidTr="00D94020">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835" w:type="dxa"/>
            <w:hideMark/>
          </w:tcPr>
          <w:p w14:paraId="5E6EC92F" w14:textId="77777777" w:rsidR="00F80178" w:rsidRPr="009A0DA6" w:rsidRDefault="00F80178" w:rsidP="00F55252">
            <w:pPr>
              <w:widowControl w:val="0"/>
              <w:numPr>
                <w:ilvl w:val="0"/>
                <w:numId w:val="295"/>
              </w:numPr>
              <w:suppressAutoHyphens/>
              <w:rPr>
                <w:rFonts w:ascii="Cambria" w:hAnsi="Cambria" w:cs="Arial"/>
              </w:rPr>
            </w:pPr>
            <w:r w:rsidRPr="009A0DA6">
              <w:rPr>
                <w:rFonts w:ascii="Cambria" w:hAnsi="Cambria" w:cs="Arial"/>
              </w:rPr>
              <w:t>Promote Parish/Pastoral Care Nursing</w:t>
            </w:r>
          </w:p>
        </w:tc>
        <w:tc>
          <w:tcPr>
            <w:tcW w:w="5954" w:type="dxa"/>
            <w:hideMark/>
          </w:tcPr>
          <w:p w14:paraId="5B28FA79" w14:textId="2DEC8D44" w:rsidR="00F80178" w:rsidRPr="009A0DA6" w:rsidRDefault="00F80178">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Gave after-service Powerpoint presentations at various congregations</w:t>
            </w:r>
            <w:r w:rsidR="0027799A" w:rsidRPr="009A0DA6">
              <w:rPr>
                <w:rFonts w:ascii="Cambria" w:hAnsi="Cambria" w:cs="Arial"/>
              </w:rPr>
              <w:t xml:space="preserve">. </w:t>
            </w:r>
            <w:r w:rsidRPr="009A0DA6">
              <w:rPr>
                <w:rFonts w:ascii="Cambria" w:hAnsi="Cambria" w:cs="Arial"/>
              </w:rPr>
              <w:t>Provided news items to LCA publications</w:t>
            </w:r>
            <w:r w:rsidR="0027799A" w:rsidRPr="009A0DA6">
              <w:rPr>
                <w:rFonts w:ascii="Cambria" w:hAnsi="Cambria" w:cs="Arial"/>
              </w:rPr>
              <w:t xml:space="preserve">. </w:t>
            </w:r>
            <w:r w:rsidRPr="009A0DA6">
              <w:rPr>
                <w:rFonts w:ascii="Cambria" w:hAnsi="Cambria" w:cs="Arial"/>
              </w:rPr>
              <w:t xml:space="preserve"> Forwarded Parish Nursing newsletters to church leaders</w:t>
            </w:r>
            <w:r w:rsidR="0027799A" w:rsidRPr="009A0DA6">
              <w:rPr>
                <w:rFonts w:ascii="Cambria" w:hAnsi="Cambria" w:cs="Arial"/>
              </w:rPr>
              <w:t xml:space="preserve">. </w:t>
            </w:r>
            <w:r w:rsidRPr="009A0DA6">
              <w:rPr>
                <w:rFonts w:ascii="Cambria" w:hAnsi="Cambria" w:cs="Arial"/>
              </w:rPr>
              <w:t xml:space="preserve">  Kept church leaders aware of role and developments in Parish/Pastoral Care Nursing.</w:t>
            </w:r>
          </w:p>
        </w:tc>
      </w:tr>
      <w:tr w:rsidR="00F80178" w:rsidRPr="009A0DA6" w14:paraId="5DF25949" w14:textId="77777777" w:rsidTr="00D94020">
        <w:trPr>
          <w:trHeight w:val="267"/>
        </w:trPr>
        <w:tc>
          <w:tcPr>
            <w:cnfStyle w:val="001000000000" w:firstRow="0" w:lastRow="0" w:firstColumn="1" w:lastColumn="0" w:oddVBand="0" w:evenVBand="0" w:oddHBand="0" w:evenHBand="0" w:firstRowFirstColumn="0" w:firstRowLastColumn="0" w:lastRowFirstColumn="0" w:lastRowLastColumn="0"/>
            <w:tcW w:w="2835" w:type="dxa"/>
            <w:hideMark/>
          </w:tcPr>
          <w:p w14:paraId="6805616F" w14:textId="77777777" w:rsidR="00F80178" w:rsidRPr="009A0DA6" w:rsidRDefault="00F80178" w:rsidP="00F55252">
            <w:pPr>
              <w:widowControl w:val="0"/>
              <w:numPr>
                <w:ilvl w:val="0"/>
                <w:numId w:val="295"/>
              </w:numPr>
              <w:suppressAutoHyphens/>
              <w:rPr>
                <w:rFonts w:ascii="Cambria" w:hAnsi="Cambria" w:cs="Arial"/>
              </w:rPr>
            </w:pPr>
            <w:r w:rsidRPr="009A0DA6">
              <w:rPr>
                <w:rFonts w:ascii="Cambria" w:hAnsi="Cambria" w:cs="Arial"/>
              </w:rPr>
              <w:t>Support Parish/Pastoral  Care Nurses</w:t>
            </w:r>
          </w:p>
        </w:tc>
        <w:tc>
          <w:tcPr>
            <w:tcW w:w="5954" w:type="dxa"/>
            <w:hideMark/>
          </w:tcPr>
          <w:p w14:paraId="3177D9FC" w14:textId="417FD7CF" w:rsidR="00F80178" w:rsidRPr="009A0DA6" w:rsidRDefault="00F80178">
            <w:pPr>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Prepared and distributed resources, including regular newsletter</w:t>
            </w:r>
            <w:r w:rsidR="0027799A" w:rsidRPr="009A0DA6">
              <w:rPr>
                <w:rFonts w:ascii="Cambria" w:hAnsi="Cambria" w:cs="Arial"/>
              </w:rPr>
              <w:t xml:space="preserve">. </w:t>
            </w:r>
            <w:r w:rsidRPr="009A0DA6">
              <w:rPr>
                <w:rFonts w:ascii="Cambria" w:hAnsi="Cambria" w:cs="Arial"/>
              </w:rPr>
              <w:t>Maintained personal contact with Pastoral Care/Parish Nurses as possible.</w:t>
            </w:r>
          </w:p>
        </w:tc>
      </w:tr>
      <w:tr w:rsidR="00F80178" w:rsidRPr="009A0DA6" w14:paraId="3002DB9C" w14:textId="77777777" w:rsidTr="00D94020">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835" w:type="dxa"/>
            <w:hideMark/>
          </w:tcPr>
          <w:p w14:paraId="35581CF6" w14:textId="77777777" w:rsidR="00F80178" w:rsidRPr="009A0DA6" w:rsidRDefault="00F80178" w:rsidP="00F55252">
            <w:pPr>
              <w:widowControl w:val="0"/>
              <w:numPr>
                <w:ilvl w:val="0"/>
                <w:numId w:val="295"/>
              </w:numPr>
              <w:suppressAutoHyphens/>
              <w:rPr>
                <w:rFonts w:ascii="Cambria" w:hAnsi="Cambria" w:cs="Arial"/>
              </w:rPr>
            </w:pPr>
            <w:r w:rsidRPr="009A0DA6">
              <w:rPr>
                <w:rFonts w:ascii="Cambria" w:hAnsi="Cambria" w:cs="Arial"/>
              </w:rPr>
              <w:t xml:space="preserve">Provide education opportunities </w:t>
            </w:r>
          </w:p>
        </w:tc>
        <w:tc>
          <w:tcPr>
            <w:tcW w:w="5954" w:type="dxa"/>
            <w:hideMark/>
          </w:tcPr>
          <w:p w14:paraId="105BE23C" w14:textId="0048B9F7" w:rsidR="00F80178" w:rsidRPr="009A0DA6" w:rsidRDefault="00F80178">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Arranged in-service seminars in 2015 and 2016 that drew elders, carers and other lay personnel as well as nurses</w:t>
            </w:r>
            <w:r w:rsidR="0027799A" w:rsidRPr="009A0DA6">
              <w:rPr>
                <w:rFonts w:ascii="Cambria" w:hAnsi="Cambria" w:cs="Arial"/>
              </w:rPr>
              <w:t xml:space="preserve">. </w:t>
            </w:r>
            <w:r w:rsidRPr="009A0DA6">
              <w:rPr>
                <w:rFonts w:ascii="Cambria" w:hAnsi="Cambria" w:cs="Arial"/>
              </w:rPr>
              <w:t>Because of the Lay Workers conference in 2017 there was no seminar that year</w:t>
            </w:r>
            <w:r w:rsidR="0027799A" w:rsidRPr="009A0DA6">
              <w:rPr>
                <w:rFonts w:ascii="Cambria" w:hAnsi="Cambria" w:cs="Arial"/>
              </w:rPr>
              <w:t xml:space="preserve">. </w:t>
            </w:r>
            <w:r w:rsidRPr="009A0DA6">
              <w:rPr>
                <w:rFonts w:ascii="Cambria" w:hAnsi="Cambria" w:cs="Arial"/>
              </w:rPr>
              <w:t xml:space="preserve">Some PNs participated in study tours to New Zealand (2015), Brazil (2016) and England (2017) organised on behalf of Lutheran Parish Nurses International. </w:t>
            </w:r>
          </w:p>
        </w:tc>
      </w:tr>
    </w:tbl>
    <w:p w14:paraId="00F9E4C2" w14:textId="77777777" w:rsidR="00D94020" w:rsidRPr="009A0DA6" w:rsidRDefault="00D94020" w:rsidP="00F80178">
      <w:pPr>
        <w:rPr>
          <w:rFonts w:ascii="Cambria" w:hAnsi="Cambria"/>
          <w:b/>
          <w:sz w:val="4"/>
        </w:rPr>
      </w:pPr>
    </w:p>
    <w:p w14:paraId="78AFB1E8" w14:textId="42F30B00" w:rsidR="00F80178" w:rsidRPr="009A0DA6" w:rsidRDefault="00F80178" w:rsidP="00D94020">
      <w:pPr>
        <w:pStyle w:val="Heading3"/>
        <w:rPr>
          <w:lang w:val="en-US" w:eastAsia="ja-JP"/>
        </w:rPr>
      </w:pPr>
      <w:r w:rsidRPr="009A0DA6">
        <w:t>Successes</w:t>
      </w:r>
    </w:p>
    <w:p w14:paraId="07490101" w14:textId="4EB476A6" w:rsidR="00F80178" w:rsidRPr="009A0DA6" w:rsidRDefault="00F80178" w:rsidP="00F55252">
      <w:pPr>
        <w:numPr>
          <w:ilvl w:val="0"/>
          <w:numId w:val="296"/>
        </w:numPr>
        <w:tabs>
          <w:tab w:val="left" w:pos="567"/>
          <w:tab w:val="left" w:pos="1134"/>
          <w:tab w:val="left" w:pos="2977"/>
        </w:tabs>
        <w:spacing w:after="60" w:line="240" w:lineRule="auto"/>
        <w:ind w:left="567" w:hanging="567"/>
        <w:rPr>
          <w:rFonts w:ascii="Cambria" w:eastAsia="Times New Roman" w:hAnsi="Cambria"/>
          <w:lang w:eastAsia="en-AU"/>
        </w:rPr>
      </w:pPr>
      <w:r w:rsidRPr="009A0DA6">
        <w:rPr>
          <w:rFonts w:ascii="Cambria" w:eastAsia="Times New Roman" w:hAnsi="Cambria"/>
          <w:lang w:eastAsia="en-AU"/>
        </w:rPr>
        <w:t xml:space="preserve">The introduction of a Distance Education version of the </w:t>
      </w:r>
      <w:r w:rsidRPr="009A0DA6">
        <w:rPr>
          <w:rFonts w:ascii="Cambria" w:eastAsia="Times New Roman" w:hAnsi="Cambria"/>
          <w:i/>
          <w:lang w:eastAsia="en-AU"/>
        </w:rPr>
        <w:t xml:space="preserve">Introduction to Pastoral Care Nursing </w:t>
      </w:r>
      <w:r w:rsidRPr="009A0DA6">
        <w:rPr>
          <w:rFonts w:ascii="Cambria" w:eastAsia="Times New Roman" w:hAnsi="Cambria"/>
          <w:lang w:eastAsia="en-AU"/>
        </w:rPr>
        <w:t>course</w:t>
      </w:r>
      <w:r w:rsidR="0027799A" w:rsidRPr="009A0DA6">
        <w:rPr>
          <w:rFonts w:ascii="Cambria" w:eastAsia="Times New Roman" w:hAnsi="Cambria"/>
          <w:lang w:eastAsia="en-AU"/>
        </w:rPr>
        <w:t xml:space="preserve">. </w:t>
      </w:r>
      <w:r w:rsidRPr="009A0DA6">
        <w:rPr>
          <w:rFonts w:ascii="Cambria" w:eastAsia="Times New Roman" w:hAnsi="Cambria"/>
          <w:lang w:eastAsia="en-AU"/>
        </w:rPr>
        <w:t>The first person to complete this course received her graduation certificate at Minlaton on South Australia’s Yorke Peninsula, on 1 March 2015 and was installed as Pastoral Care Nurse in the same service.</w:t>
      </w:r>
    </w:p>
    <w:p w14:paraId="16B83040" w14:textId="24FFB64E" w:rsidR="00F80178" w:rsidRPr="009A0DA6" w:rsidRDefault="00F80178" w:rsidP="00F55252">
      <w:pPr>
        <w:numPr>
          <w:ilvl w:val="0"/>
          <w:numId w:val="296"/>
        </w:numPr>
        <w:tabs>
          <w:tab w:val="left" w:pos="567"/>
          <w:tab w:val="left" w:pos="1134"/>
          <w:tab w:val="left" w:pos="2977"/>
        </w:tabs>
        <w:spacing w:after="60" w:line="240" w:lineRule="auto"/>
        <w:ind w:left="567" w:hanging="567"/>
        <w:rPr>
          <w:rFonts w:ascii="Cambria" w:eastAsia="Times New Roman" w:hAnsi="Cambria"/>
          <w:lang w:eastAsia="en-AU"/>
        </w:rPr>
      </w:pPr>
      <w:r w:rsidRPr="009A0DA6">
        <w:rPr>
          <w:rFonts w:ascii="Cambria" w:eastAsia="Times New Roman" w:hAnsi="Cambria"/>
          <w:lang w:eastAsia="en-AU"/>
        </w:rPr>
        <w:t>Pastoral Care/Parish Nurse seminars have been presented annually, at Hamilton, Victoria, in 2013, and at Unley in suburban Adelaide in 2014</w:t>
      </w:r>
      <w:r w:rsidR="0027799A" w:rsidRPr="009A0DA6">
        <w:rPr>
          <w:rFonts w:ascii="Cambria" w:eastAsia="Times New Roman" w:hAnsi="Cambria"/>
          <w:lang w:eastAsia="en-AU"/>
        </w:rPr>
        <w:t xml:space="preserve">. </w:t>
      </w:r>
      <w:r w:rsidRPr="009A0DA6">
        <w:rPr>
          <w:rFonts w:ascii="Cambria" w:eastAsia="Times New Roman" w:hAnsi="Cambria"/>
          <w:lang w:eastAsia="en-AU"/>
        </w:rPr>
        <w:t>Participants have included church elders, lay assistants, and congregational visitors and carers as well as Pastoral Care/Parish Nurses.</w:t>
      </w:r>
    </w:p>
    <w:p w14:paraId="331FB329" w14:textId="631C62F2" w:rsidR="00F80178" w:rsidRPr="009A0DA6" w:rsidRDefault="00F80178" w:rsidP="00F55252">
      <w:pPr>
        <w:numPr>
          <w:ilvl w:val="0"/>
          <w:numId w:val="296"/>
        </w:numPr>
        <w:tabs>
          <w:tab w:val="left" w:pos="567"/>
          <w:tab w:val="left" w:pos="1134"/>
          <w:tab w:val="left" w:pos="2977"/>
        </w:tabs>
        <w:spacing w:after="60" w:line="240" w:lineRule="auto"/>
        <w:ind w:left="567" w:hanging="567"/>
        <w:rPr>
          <w:rFonts w:ascii="Cambria" w:eastAsia="Times New Roman" w:hAnsi="Cambria"/>
          <w:lang w:eastAsia="en-AU"/>
        </w:rPr>
      </w:pPr>
      <w:r w:rsidRPr="009A0DA6">
        <w:rPr>
          <w:rFonts w:ascii="Cambria" w:eastAsia="Times New Roman" w:hAnsi="Cambria"/>
          <w:lang w:eastAsia="en-AU"/>
        </w:rPr>
        <w:t>Four Australians participated in a Parish Nurse study tour to New Zealand in 2015 I organised on behalf of Lutheran Parish Nurses International – a global network of Lutheran Parish Nurses</w:t>
      </w:r>
      <w:r w:rsidR="0027799A" w:rsidRPr="009A0DA6">
        <w:rPr>
          <w:rFonts w:ascii="Cambria" w:eastAsia="Times New Roman" w:hAnsi="Cambria"/>
          <w:lang w:eastAsia="en-AU"/>
        </w:rPr>
        <w:t xml:space="preserve">. </w:t>
      </w:r>
      <w:r w:rsidRPr="009A0DA6">
        <w:rPr>
          <w:rFonts w:ascii="Cambria" w:eastAsia="Times New Roman" w:hAnsi="Cambria"/>
          <w:lang w:eastAsia="en-AU"/>
        </w:rPr>
        <w:t>One person joined the study tour to Brazil that I organised in 2016</w:t>
      </w:r>
      <w:r w:rsidR="0027799A" w:rsidRPr="009A0DA6">
        <w:rPr>
          <w:rFonts w:ascii="Cambria" w:eastAsia="Times New Roman" w:hAnsi="Cambria"/>
          <w:lang w:eastAsia="en-AU"/>
        </w:rPr>
        <w:t xml:space="preserve">. </w:t>
      </w:r>
      <w:r w:rsidRPr="009A0DA6">
        <w:rPr>
          <w:rFonts w:ascii="Cambria" w:eastAsia="Times New Roman" w:hAnsi="Cambria"/>
          <w:lang w:eastAsia="en-AU"/>
        </w:rPr>
        <w:t xml:space="preserve"> Four Australians joined the tour to England that I organised in 2017</w:t>
      </w:r>
      <w:r w:rsidR="0027799A" w:rsidRPr="009A0DA6">
        <w:rPr>
          <w:rFonts w:ascii="Cambria" w:eastAsia="Times New Roman" w:hAnsi="Cambria"/>
          <w:lang w:eastAsia="en-AU"/>
        </w:rPr>
        <w:t xml:space="preserve">. </w:t>
      </w:r>
      <w:r w:rsidRPr="009A0DA6">
        <w:rPr>
          <w:rFonts w:ascii="Cambria" w:eastAsia="Times New Roman" w:hAnsi="Cambria"/>
          <w:lang w:eastAsia="en-AU"/>
        </w:rPr>
        <w:t>These tours enable participants to learn about Lutheranism and Parish Nursing in the countries visited, as well as to network with people from other countries</w:t>
      </w:r>
      <w:r w:rsidR="0027799A" w:rsidRPr="009A0DA6">
        <w:rPr>
          <w:rFonts w:ascii="Cambria" w:eastAsia="Times New Roman" w:hAnsi="Cambria"/>
          <w:lang w:eastAsia="en-AU"/>
        </w:rPr>
        <w:t xml:space="preserve">. </w:t>
      </w:r>
      <w:r w:rsidRPr="009A0DA6">
        <w:rPr>
          <w:rFonts w:ascii="Cambria" w:eastAsia="Times New Roman" w:hAnsi="Cambria"/>
          <w:lang w:eastAsia="en-AU"/>
        </w:rPr>
        <w:t>A formal seminar is part of each tour.</w:t>
      </w:r>
    </w:p>
    <w:p w14:paraId="6228F04D" w14:textId="2B39EA0B" w:rsidR="00F80178" w:rsidRPr="009A0DA6" w:rsidRDefault="00F80178" w:rsidP="00F55252">
      <w:pPr>
        <w:numPr>
          <w:ilvl w:val="0"/>
          <w:numId w:val="296"/>
        </w:numPr>
        <w:tabs>
          <w:tab w:val="left" w:pos="567"/>
          <w:tab w:val="left" w:pos="1134"/>
          <w:tab w:val="left" w:pos="2977"/>
        </w:tabs>
        <w:spacing w:after="60" w:line="240" w:lineRule="auto"/>
        <w:ind w:left="567" w:hanging="567"/>
        <w:rPr>
          <w:rFonts w:ascii="Cambria" w:eastAsia="Times New Roman" w:hAnsi="Cambria"/>
          <w:lang w:eastAsia="en-AU"/>
        </w:rPr>
      </w:pPr>
      <w:r w:rsidRPr="009A0DA6">
        <w:rPr>
          <w:rFonts w:ascii="Cambria" w:eastAsia="Times New Roman" w:hAnsi="Cambria"/>
          <w:lang w:eastAsia="en-AU"/>
        </w:rPr>
        <w:t>Nurses who have relinquished their nursing registration, and people whose background is in health-related professions, may now be recognised as ‘Pastoral Health Care Workers’, serving in the Pastoral Care/Parish Nurse ministry within the limits of their education, experience and scope of practice</w:t>
      </w:r>
      <w:r w:rsidR="0027799A" w:rsidRPr="009A0DA6">
        <w:rPr>
          <w:rFonts w:ascii="Cambria" w:eastAsia="Times New Roman" w:hAnsi="Cambria"/>
          <w:lang w:eastAsia="en-AU"/>
        </w:rPr>
        <w:t xml:space="preserve">. </w:t>
      </w:r>
      <w:r w:rsidRPr="009A0DA6">
        <w:rPr>
          <w:rFonts w:ascii="Cambria" w:eastAsia="Times New Roman" w:hAnsi="Cambria"/>
          <w:lang w:eastAsia="en-AU"/>
        </w:rPr>
        <w:t>Several retired nurses have taken advantage of this option to continue to serve.</w:t>
      </w:r>
    </w:p>
    <w:p w14:paraId="4DB4B432" w14:textId="77777777" w:rsidR="00D94020" w:rsidRPr="00427D86" w:rsidRDefault="00D94020" w:rsidP="00F80178">
      <w:pPr>
        <w:rPr>
          <w:rFonts w:ascii="Cambria" w:hAnsi="Cambria"/>
          <w:b/>
          <w:sz w:val="6"/>
        </w:rPr>
      </w:pPr>
    </w:p>
    <w:p w14:paraId="5797B3F4" w14:textId="721EA4FA" w:rsidR="00F80178" w:rsidRPr="009A0DA6" w:rsidRDefault="00F80178" w:rsidP="00D94020">
      <w:pPr>
        <w:pStyle w:val="Heading3"/>
        <w:rPr>
          <w:rFonts w:eastAsiaTheme="minorHAnsi"/>
        </w:rPr>
      </w:pPr>
      <w:r w:rsidRPr="009A0DA6">
        <w:t xml:space="preserve">Challenges and Lessons Learned  </w:t>
      </w:r>
    </w:p>
    <w:p w14:paraId="71DF8CC0" w14:textId="77777777" w:rsidR="00F80178" w:rsidRPr="009A0DA6" w:rsidRDefault="00F80178" w:rsidP="00F80178">
      <w:pPr>
        <w:rPr>
          <w:rFonts w:ascii="Cambria" w:hAnsi="Cambria"/>
          <w:b/>
        </w:rPr>
      </w:pPr>
      <w:r w:rsidRPr="009A0DA6">
        <w:rPr>
          <w:rFonts w:ascii="Cambria" w:hAnsi="Cambria"/>
          <w:b/>
        </w:rPr>
        <w:t>Activities/Program-specific</w:t>
      </w:r>
    </w:p>
    <w:p w14:paraId="28279E48" w14:textId="5D0A517C" w:rsidR="00F80178" w:rsidRPr="009A0DA6" w:rsidRDefault="00F80178" w:rsidP="009334B2">
      <w:pPr>
        <w:pStyle w:val="ListParagraph"/>
        <w:numPr>
          <w:ilvl w:val="0"/>
          <w:numId w:val="297"/>
        </w:numPr>
        <w:spacing w:after="0" w:line="240" w:lineRule="auto"/>
        <w:ind w:left="567" w:hanging="567"/>
        <w:rPr>
          <w:rFonts w:ascii="Cambria" w:hAnsi="Cambria"/>
        </w:rPr>
      </w:pPr>
      <w:r w:rsidRPr="009A0DA6">
        <w:rPr>
          <w:rFonts w:ascii="Cambria" w:hAnsi="Cambria"/>
        </w:rPr>
        <w:t>Pastoral Care Nurses are serving in LCA aged care facilities, one in an LCA College, and in local congregation</w:t>
      </w:r>
      <w:r w:rsidR="0027799A" w:rsidRPr="009A0DA6">
        <w:rPr>
          <w:rFonts w:ascii="Cambria" w:hAnsi="Cambria"/>
        </w:rPr>
        <w:t xml:space="preserve">. </w:t>
      </w:r>
      <w:r w:rsidRPr="009A0DA6">
        <w:rPr>
          <w:rFonts w:ascii="Cambria" w:hAnsi="Cambria"/>
        </w:rPr>
        <w:t>Several others who have completed an Introduction to Pastoral Care Nursing course are serving in a voluntary capacity in their local congregation, without being officially appointed.</w:t>
      </w:r>
    </w:p>
    <w:p w14:paraId="12F005CD" w14:textId="15625CDD" w:rsidR="00F80178" w:rsidRPr="009A0DA6" w:rsidRDefault="00F80178" w:rsidP="009334B2">
      <w:pPr>
        <w:pStyle w:val="ListParagraph"/>
        <w:numPr>
          <w:ilvl w:val="0"/>
          <w:numId w:val="297"/>
        </w:numPr>
        <w:spacing w:after="0" w:line="240" w:lineRule="auto"/>
        <w:ind w:left="567" w:hanging="567"/>
        <w:rPr>
          <w:rFonts w:ascii="Cambria" w:hAnsi="Cambria"/>
          <w:b/>
        </w:rPr>
      </w:pPr>
      <w:r w:rsidRPr="009A0DA6">
        <w:rPr>
          <w:rFonts w:ascii="Cambria" w:hAnsi="Cambria"/>
        </w:rPr>
        <w:t>The scope of ministry for a Pastoral Care Nurse is very broad, determined by the needs of the congregation and its community, the skills and experience of the nurse and the time available to serve in this ministry</w:t>
      </w:r>
      <w:r w:rsidR="009334B2">
        <w:rPr>
          <w:rFonts w:ascii="Cambria" w:hAnsi="Cambria"/>
        </w:rPr>
        <w:t>.</w:t>
      </w:r>
      <w:r w:rsidR="009334B2">
        <w:rPr>
          <w:rFonts w:ascii="Cambria" w:hAnsi="Cambria"/>
        </w:rPr>
        <w:br/>
      </w:r>
    </w:p>
    <w:p w14:paraId="5E932806" w14:textId="77777777" w:rsidR="00206BF6" w:rsidRDefault="00206BF6" w:rsidP="00F80178">
      <w:pPr>
        <w:rPr>
          <w:rFonts w:ascii="Cambria" w:hAnsi="Cambria"/>
          <w:b/>
        </w:rPr>
      </w:pPr>
    </w:p>
    <w:p w14:paraId="1D1B548E" w14:textId="443FCC73" w:rsidR="00F80178" w:rsidRPr="009A0DA6" w:rsidRDefault="00F80178" w:rsidP="00F80178">
      <w:pPr>
        <w:rPr>
          <w:rFonts w:ascii="Cambria" w:hAnsi="Cambria"/>
          <w:b/>
        </w:rPr>
      </w:pPr>
      <w:r w:rsidRPr="009A0DA6">
        <w:rPr>
          <w:rFonts w:ascii="Cambria" w:hAnsi="Cambria"/>
          <w:b/>
        </w:rPr>
        <w:lastRenderedPageBreak/>
        <w:t xml:space="preserve">Organisational </w:t>
      </w:r>
    </w:p>
    <w:p w14:paraId="3C877F36" w14:textId="4E588662" w:rsidR="00F80178" w:rsidRPr="009A0DA6" w:rsidRDefault="00F80178" w:rsidP="009334B2">
      <w:pPr>
        <w:spacing w:after="0" w:line="240" w:lineRule="auto"/>
        <w:rPr>
          <w:rFonts w:ascii="Cambria" w:hAnsi="Cambria"/>
        </w:rPr>
      </w:pPr>
      <w:r w:rsidRPr="009A0DA6">
        <w:rPr>
          <w:rFonts w:ascii="Cambria" w:hAnsi="Cambria"/>
        </w:rPr>
        <w:t>A major change occurred in mid-2017 with the retirement of Lynette Wiebusch as LCA Pastoral Care Nursing Coordinator for health reasons</w:t>
      </w:r>
      <w:r w:rsidR="0027799A" w:rsidRPr="009A0DA6">
        <w:rPr>
          <w:rFonts w:ascii="Cambria" w:hAnsi="Cambria"/>
        </w:rPr>
        <w:t xml:space="preserve">. </w:t>
      </w:r>
      <w:r w:rsidRPr="009A0DA6">
        <w:rPr>
          <w:rFonts w:ascii="Cambria" w:hAnsi="Cambria"/>
        </w:rPr>
        <w:t>She had served in the role for 20 years. The LNAA Parish Nurse subcommittee appointed Angela Uhrhane as Pastoral Care Nursing coordinator and Pr Rob Weibusch as Pastoral Care Nursing Ministry Manager.</w:t>
      </w:r>
      <w:r w:rsidR="009334B2">
        <w:rPr>
          <w:rFonts w:ascii="Cambria" w:hAnsi="Cambria"/>
        </w:rPr>
        <w:br/>
      </w:r>
    </w:p>
    <w:p w14:paraId="35281A3A" w14:textId="77777777" w:rsidR="00F80178" w:rsidRPr="009A0DA6" w:rsidRDefault="00F80178" w:rsidP="00D94020">
      <w:pPr>
        <w:pStyle w:val="Heading3"/>
      </w:pPr>
      <w:r w:rsidRPr="009A0DA6">
        <w:t>Risks</w:t>
      </w:r>
    </w:p>
    <w:tbl>
      <w:tblPr>
        <w:tblStyle w:val="PlainTable2"/>
        <w:tblW w:w="8761" w:type="dxa"/>
        <w:tblLook w:val="04A0" w:firstRow="1" w:lastRow="0" w:firstColumn="1" w:lastColumn="0" w:noHBand="0" w:noVBand="1"/>
      </w:tblPr>
      <w:tblGrid>
        <w:gridCol w:w="6663"/>
        <w:gridCol w:w="2098"/>
      </w:tblGrid>
      <w:tr w:rsidR="00F80178" w:rsidRPr="009A0DA6" w14:paraId="65C8DCA1" w14:textId="77777777" w:rsidTr="00D94020">
        <w:trPr>
          <w:cnfStyle w:val="100000000000" w:firstRow="1" w:lastRow="0" w:firstColumn="0" w:lastColumn="0" w:oddVBand="0" w:evenVBand="0" w:oddHBand="0"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6663" w:type="dxa"/>
            <w:hideMark/>
          </w:tcPr>
          <w:p w14:paraId="5E82F437" w14:textId="77777777" w:rsidR="00F80178" w:rsidRPr="009A0DA6" w:rsidRDefault="00F80178">
            <w:pPr>
              <w:widowControl w:val="0"/>
              <w:suppressAutoHyphens/>
              <w:ind w:left="171"/>
              <w:rPr>
                <w:rFonts w:ascii="Cambria" w:hAnsi="Cambria" w:cs="Arial"/>
              </w:rPr>
            </w:pPr>
            <w:r w:rsidRPr="009A0DA6">
              <w:rPr>
                <w:rFonts w:ascii="Cambria" w:hAnsi="Cambria" w:cs="Arial"/>
              </w:rPr>
              <w:t xml:space="preserve">The number of active Pastoral Care Nurses has declined in the past two years as older nurses retired. </w:t>
            </w:r>
          </w:p>
          <w:p w14:paraId="60DFD751" w14:textId="4D2AD079" w:rsidR="00F80178" w:rsidRPr="009A0DA6" w:rsidRDefault="00F80178">
            <w:pPr>
              <w:widowControl w:val="0"/>
              <w:suppressAutoHyphens/>
              <w:ind w:left="171"/>
              <w:rPr>
                <w:rFonts w:ascii="Cambria" w:hAnsi="Cambria" w:cs="Arial"/>
              </w:rPr>
            </w:pPr>
            <w:r w:rsidRPr="009A0DA6">
              <w:rPr>
                <w:rFonts w:ascii="Cambria" w:hAnsi="Cambria" w:cs="Arial"/>
              </w:rPr>
              <w:t>Because this ministry is still comparatively new, it is still not widely understood</w:t>
            </w:r>
            <w:r w:rsidR="0027799A" w:rsidRPr="009A0DA6">
              <w:rPr>
                <w:rFonts w:ascii="Cambria" w:hAnsi="Cambria" w:cs="Arial"/>
              </w:rPr>
              <w:t xml:space="preserve">. </w:t>
            </w:r>
            <w:r w:rsidRPr="009A0DA6">
              <w:rPr>
                <w:rFonts w:ascii="Cambria" w:hAnsi="Cambria" w:cs="Arial"/>
              </w:rPr>
              <w:t>There have been a number of nurses qualified and willing to serve in this role, but their congregations have been reluctant to appoint them</w:t>
            </w:r>
          </w:p>
        </w:tc>
        <w:tc>
          <w:tcPr>
            <w:tcW w:w="2098" w:type="dxa"/>
            <w:hideMark/>
          </w:tcPr>
          <w:p w14:paraId="06542981" w14:textId="6F5AB41C" w:rsidR="00F80178" w:rsidRPr="009A0DA6" w:rsidRDefault="00F80178">
            <w:pPr>
              <w:cnfStyle w:val="100000000000" w:firstRow="1" w:lastRow="0" w:firstColumn="0" w:lastColumn="0" w:oddVBand="0" w:evenVBand="0" w:oddHBand="0" w:evenHBand="0" w:firstRowFirstColumn="0" w:firstRowLastColumn="0" w:lastRowFirstColumn="0" w:lastRowLastColumn="0"/>
              <w:rPr>
                <w:rFonts w:ascii="Cambria" w:hAnsi="Cambria" w:cs="Arial"/>
                <w:b w:val="0"/>
              </w:rPr>
            </w:pPr>
            <w:r w:rsidRPr="009A0DA6">
              <w:rPr>
                <w:rFonts w:ascii="Cambria" w:hAnsi="Cambria" w:cs="Arial"/>
                <w:b w:val="0"/>
              </w:rPr>
              <w:t>Promotion of the Pastoral Care Nurse ministry continues</w:t>
            </w:r>
            <w:r w:rsidR="0027799A" w:rsidRPr="009A0DA6">
              <w:rPr>
                <w:rFonts w:ascii="Cambria" w:hAnsi="Cambria" w:cs="Arial"/>
                <w:b w:val="0"/>
              </w:rPr>
              <w:t xml:space="preserve">. </w:t>
            </w:r>
          </w:p>
        </w:tc>
      </w:tr>
    </w:tbl>
    <w:p w14:paraId="3E33F405" w14:textId="77777777" w:rsidR="00D94020" w:rsidRPr="009A0DA6" w:rsidRDefault="00D94020" w:rsidP="00F80178">
      <w:pPr>
        <w:rPr>
          <w:rFonts w:ascii="Cambria" w:hAnsi="Cambria"/>
          <w:b/>
          <w:sz w:val="10"/>
        </w:rPr>
      </w:pPr>
    </w:p>
    <w:p w14:paraId="65C4F11D" w14:textId="4EF333D0" w:rsidR="00F80178" w:rsidRPr="009A0DA6" w:rsidRDefault="00F80178" w:rsidP="00D94020">
      <w:pPr>
        <w:pStyle w:val="Heading3"/>
        <w:rPr>
          <w:lang w:val="en-US" w:eastAsia="ja-JP"/>
        </w:rPr>
      </w:pPr>
      <w:r w:rsidRPr="009A0DA6">
        <w:t xml:space="preserve">Alignment to LCA Strategic Direction </w:t>
      </w:r>
      <w:r w:rsidR="00AC7AA2">
        <w:t>2013–2018</w:t>
      </w:r>
    </w:p>
    <w:p w14:paraId="3D387CD1" w14:textId="77777777" w:rsidR="00D94020" w:rsidRPr="009A0DA6" w:rsidRDefault="00F80178" w:rsidP="00D94020">
      <w:pPr>
        <w:spacing w:after="0"/>
        <w:rPr>
          <w:rFonts w:ascii="Cambria" w:hAnsi="Cambria"/>
          <w:b/>
        </w:rPr>
      </w:pPr>
      <w:r w:rsidRPr="009A0DA6">
        <w:rPr>
          <w:rFonts w:ascii="Cambria" w:hAnsi="Cambria"/>
          <w:b/>
        </w:rPr>
        <w:t>Grow as God’s People</w:t>
      </w:r>
      <w:r w:rsidRPr="009A0DA6">
        <w:rPr>
          <w:rFonts w:ascii="Cambria" w:hAnsi="Cambria"/>
          <w:b/>
        </w:rPr>
        <w:tab/>
      </w:r>
    </w:p>
    <w:p w14:paraId="4F62E390" w14:textId="11F69ED8" w:rsidR="00F80178" w:rsidRPr="009A0DA6" w:rsidRDefault="00F80178" w:rsidP="009334B2">
      <w:pPr>
        <w:pStyle w:val="ListParagraph"/>
        <w:numPr>
          <w:ilvl w:val="0"/>
          <w:numId w:val="300"/>
        </w:numPr>
        <w:spacing w:after="0" w:line="240" w:lineRule="auto"/>
        <w:ind w:left="567" w:hanging="567"/>
        <w:rPr>
          <w:rFonts w:ascii="Cambria" w:hAnsi="Cambria"/>
        </w:rPr>
      </w:pPr>
      <w:r w:rsidRPr="009A0DA6">
        <w:rPr>
          <w:rFonts w:ascii="Cambria" w:hAnsi="Cambria"/>
        </w:rPr>
        <w:t>Introduction to Pastoral Care Nursing course now available via distance education</w:t>
      </w:r>
    </w:p>
    <w:p w14:paraId="1FC0F916" w14:textId="77777777" w:rsidR="00F80178" w:rsidRPr="009A0DA6" w:rsidRDefault="00F80178" w:rsidP="009334B2">
      <w:pPr>
        <w:pStyle w:val="ListParagraph"/>
        <w:numPr>
          <w:ilvl w:val="0"/>
          <w:numId w:val="298"/>
        </w:numPr>
        <w:spacing w:after="0" w:line="240" w:lineRule="auto"/>
        <w:ind w:left="567" w:hanging="567"/>
        <w:rPr>
          <w:rFonts w:ascii="Cambria" w:hAnsi="Cambria"/>
        </w:rPr>
      </w:pPr>
      <w:r w:rsidRPr="009A0DA6">
        <w:rPr>
          <w:rFonts w:ascii="Cambria" w:hAnsi="Cambria"/>
        </w:rPr>
        <w:t>Pastoral Care/Parish Nurse seminars held approximately annually</w:t>
      </w:r>
    </w:p>
    <w:p w14:paraId="49207870" w14:textId="59C318BC" w:rsidR="00F80178" w:rsidRPr="009A0DA6" w:rsidRDefault="00F80178" w:rsidP="009334B2">
      <w:pPr>
        <w:pStyle w:val="ListParagraph"/>
        <w:numPr>
          <w:ilvl w:val="0"/>
          <w:numId w:val="298"/>
        </w:numPr>
        <w:spacing w:after="0" w:line="240" w:lineRule="auto"/>
        <w:ind w:left="567" w:hanging="567"/>
        <w:rPr>
          <w:rFonts w:ascii="Cambria" w:hAnsi="Cambria"/>
        </w:rPr>
      </w:pPr>
      <w:r w:rsidRPr="009A0DA6">
        <w:rPr>
          <w:rFonts w:ascii="Cambria" w:hAnsi="Cambria"/>
        </w:rPr>
        <w:t>‘Pastoral Health Care Workers’ recognition for nurses who have relinquished their nursing registration and people are not nurses, but whose background is in a health-related profession.</w:t>
      </w:r>
      <w:r w:rsidR="009334B2">
        <w:rPr>
          <w:rFonts w:ascii="Cambria" w:hAnsi="Cambria"/>
        </w:rPr>
        <w:br/>
      </w:r>
    </w:p>
    <w:p w14:paraId="37EA5C8C" w14:textId="77777777" w:rsidR="00D94020" w:rsidRPr="009A0DA6" w:rsidRDefault="00F80178" w:rsidP="00F80178">
      <w:pPr>
        <w:spacing w:after="0"/>
        <w:rPr>
          <w:rFonts w:ascii="Cambria" w:hAnsi="Cambria"/>
          <w:b/>
        </w:rPr>
      </w:pPr>
      <w:r w:rsidRPr="009A0DA6">
        <w:rPr>
          <w:rFonts w:ascii="Cambria" w:hAnsi="Cambria"/>
          <w:b/>
        </w:rPr>
        <w:t xml:space="preserve">Go as God’s People </w:t>
      </w:r>
      <w:r w:rsidRPr="009A0DA6">
        <w:rPr>
          <w:rFonts w:ascii="Cambria" w:hAnsi="Cambria"/>
          <w:b/>
        </w:rPr>
        <w:tab/>
      </w:r>
    </w:p>
    <w:p w14:paraId="7DB94A68" w14:textId="772C5281" w:rsidR="00F80178" w:rsidRPr="009A0DA6" w:rsidRDefault="00F80178" w:rsidP="009334B2">
      <w:pPr>
        <w:pStyle w:val="ListParagraph"/>
        <w:numPr>
          <w:ilvl w:val="0"/>
          <w:numId w:val="299"/>
        </w:numPr>
        <w:spacing w:after="0" w:line="240" w:lineRule="auto"/>
        <w:ind w:left="567" w:hanging="567"/>
        <w:rPr>
          <w:rFonts w:ascii="Cambria" w:hAnsi="Cambria"/>
        </w:rPr>
      </w:pPr>
      <w:r w:rsidRPr="009A0DA6">
        <w:rPr>
          <w:rFonts w:ascii="Cambria" w:hAnsi="Cambria"/>
        </w:rPr>
        <w:t>Introduction to Pastoral Care Nursing courses presented in Goroka, PNG in 2013 and 2014. To be presented in Madang at a time to be determined by</w:t>
      </w:r>
    </w:p>
    <w:p w14:paraId="4868834C" w14:textId="77777777" w:rsidR="00F80178" w:rsidRPr="009A0DA6" w:rsidRDefault="00F80178" w:rsidP="009334B2">
      <w:pPr>
        <w:pStyle w:val="ListParagraph"/>
        <w:numPr>
          <w:ilvl w:val="0"/>
          <w:numId w:val="299"/>
        </w:numPr>
        <w:spacing w:after="0" w:line="240" w:lineRule="auto"/>
        <w:ind w:left="567" w:hanging="567"/>
        <w:rPr>
          <w:rFonts w:ascii="Cambria" w:hAnsi="Cambria"/>
        </w:rPr>
      </w:pPr>
      <w:r w:rsidRPr="009A0DA6">
        <w:rPr>
          <w:rFonts w:ascii="Cambria" w:hAnsi="Cambria"/>
        </w:rPr>
        <w:t>Parish Nurse study tour participation through the Lutheran Parish Nurses International (LPNI) organisation.</w:t>
      </w:r>
    </w:p>
    <w:p w14:paraId="6C81DCD7" w14:textId="5178B73D" w:rsidR="00F80178" w:rsidRDefault="00F80178" w:rsidP="009334B2">
      <w:pPr>
        <w:pStyle w:val="ListParagraph"/>
        <w:numPr>
          <w:ilvl w:val="0"/>
          <w:numId w:val="299"/>
        </w:numPr>
        <w:spacing w:after="0" w:line="240" w:lineRule="auto"/>
        <w:ind w:left="567" w:hanging="567"/>
        <w:rPr>
          <w:rFonts w:ascii="Cambria" w:hAnsi="Cambria"/>
        </w:rPr>
      </w:pPr>
      <w:r w:rsidRPr="009A0DA6">
        <w:rPr>
          <w:rFonts w:ascii="Cambria" w:hAnsi="Cambria"/>
        </w:rPr>
        <w:t>Study tour are being planned for Canada (2018), Singapore (2019) and Alice Springs (2020).</w:t>
      </w:r>
    </w:p>
    <w:p w14:paraId="1F1A89EF" w14:textId="77777777" w:rsidR="0015713F" w:rsidRPr="009A0DA6" w:rsidRDefault="0015713F" w:rsidP="0015713F">
      <w:pPr>
        <w:pStyle w:val="ListParagraph"/>
        <w:spacing w:after="0" w:line="240" w:lineRule="auto"/>
        <w:ind w:left="567"/>
        <w:rPr>
          <w:rFonts w:ascii="Cambria" w:hAnsi="Cambria"/>
        </w:rPr>
      </w:pPr>
    </w:p>
    <w:p w14:paraId="4D0202F7" w14:textId="77777777" w:rsidR="00F80178" w:rsidRPr="009A0DA6" w:rsidRDefault="00F80178" w:rsidP="00D94020">
      <w:pPr>
        <w:pStyle w:val="Heading3"/>
      </w:pPr>
      <w:r w:rsidRPr="009A0DA6">
        <w:t>Cooperating LCA Boards and Agencies</w:t>
      </w:r>
    </w:p>
    <w:tbl>
      <w:tblPr>
        <w:tblStyle w:val="PlainTable2"/>
        <w:tblW w:w="0" w:type="auto"/>
        <w:tblLook w:val="04A0" w:firstRow="1" w:lastRow="0" w:firstColumn="1" w:lastColumn="0" w:noHBand="0" w:noVBand="1"/>
      </w:tblPr>
      <w:tblGrid>
        <w:gridCol w:w="3087"/>
        <w:gridCol w:w="5581"/>
      </w:tblGrid>
      <w:tr w:rsidR="00F80178" w:rsidRPr="009A0DA6" w14:paraId="459812B2" w14:textId="77777777" w:rsidTr="00D940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hideMark/>
          </w:tcPr>
          <w:p w14:paraId="61389612" w14:textId="77777777" w:rsidR="00F80178" w:rsidRPr="009A0DA6" w:rsidRDefault="00F80178">
            <w:pPr>
              <w:rPr>
                <w:rFonts w:ascii="Cambria" w:hAnsi="Cambria" w:cs="Arial"/>
              </w:rPr>
            </w:pPr>
            <w:r w:rsidRPr="009A0DA6">
              <w:rPr>
                <w:rFonts w:ascii="Cambria" w:hAnsi="Cambria" w:cs="Arial"/>
              </w:rPr>
              <w:t>Board for Lay Ministry</w:t>
            </w:r>
          </w:p>
        </w:tc>
        <w:tc>
          <w:tcPr>
            <w:tcW w:w="5670" w:type="dxa"/>
            <w:hideMark/>
          </w:tcPr>
          <w:p w14:paraId="52E2104C" w14:textId="77777777" w:rsidR="00F80178" w:rsidRPr="009A0DA6" w:rsidRDefault="00F80178">
            <w:pPr>
              <w:cnfStyle w:val="100000000000" w:firstRow="1" w:lastRow="0" w:firstColumn="0" w:lastColumn="0" w:oddVBand="0" w:evenVBand="0" w:oddHBand="0" w:evenHBand="0" w:firstRowFirstColumn="0" w:firstRowLastColumn="0" w:lastRowFirstColumn="0" w:lastRowLastColumn="0"/>
              <w:rPr>
                <w:rFonts w:ascii="Cambria" w:hAnsi="Cambria" w:cs="Arial"/>
                <w:b w:val="0"/>
              </w:rPr>
            </w:pPr>
            <w:r w:rsidRPr="009A0DA6">
              <w:rPr>
                <w:rFonts w:ascii="Cambria" w:hAnsi="Cambria" w:cs="Arial"/>
                <w:b w:val="0"/>
              </w:rPr>
              <w:t>Provided information to BLM staff re Parish Nursing.</w:t>
            </w:r>
          </w:p>
        </w:tc>
      </w:tr>
      <w:tr w:rsidR="00F80178" w:rsidRPr="009A0DA6" w14:paraId="5D4E451D" w14:textId="77777777" w:rsidTr="00D940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hideMark/>
          </w:tcPr>
          <w:p w14:paraId="7611FD65" w14:textId="77777777" w:rsidR="00F80178" w:rsidRPr="009A0DA6" w:rsidRDefault="00F80178">
            <w:pPr>
              <w:rPr>
                <w:rFonts w:ascii="Cambria" w:hAnsi="Cambria" w:cs="Arial"/>
              </w:rPr>
            </w:pPr>
            <w:r w:rsidRPr="009A0DA6">
              <w:rPr>
                <w:rFonts w:ascii="Cambria" w:hAnsi="Cambria" w:cs="Arial"/>
              </w:rPr>
              <w:t>Lutheran Nurses Association of Australia</w:t>
            </w:r>
          </w:p>
        </w:tc>
        <w:tc>
          <w:tcPr>
            <w:tcW w:w="5670" w:type="dxa"/>
            <w:hideMark/>
          </w:tcPr>
          <w:p w14:paraId="2B32F784" w14:textId="77777777" w:rsidR="00F80178" w:rsidRPr="009A0DA6" w:rsidRDefault="00F80178">
            <w:pP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LNAA provided funding and support to the Pastoral Care/Parish Nursing initiatives and promotion</w:t>
            </w:r>
          </w:p>
        </w:tc>
      </w:tr>
      <w:tr w:rsidR="00F80178" w:rsidRPr="009A0DA6" w14:paraId="4E51A37E" w14:textId="77777777" w:rsidTr="00D94020">
        <w:tc>
          <w:tcPr>
            <w:cnfStyle w:val="001000000000" w:firstRow="0" w:lastRow="0" w:firstColumn="1" w:lastColumn="0" w:oddVBand="0" w:evenVBand="0" w:oddHBand="0" w:evenHBand="0" w:firstRowFirstColumn="0" w:firstRowLastColumn="0" w:lastRowFirstColumn="0" w:lastRowLastColumn="0"/>
            <w:tcW w:w="3119" w:type="dxa"/>
            <w:hideMark/>
          </w:tcPr>
          <w:p w14:paraId="1EBE524A" w14:textId="77777777" w:rsidR="00F80178" w:rsidRPr="009A0DA6" w:rsidRDefault="00F80178">
            <w:pPr>
              <w:rPr>
                <w:rFonts w:ascii="Cambria" w:hAnsi="Cambria" w:cs="Arial"/>
              </w:rPr>
            </w:pPr>
            <w:r w:rsidRPr="009A0DA6">
              <w:rPr>
                <w:rFonts w:ascii="Cambria" w:hAnsi="Cambria" w:cs="Arial"/>
              </w:rPr>
              <w:t>LCA Mission International</w:t>
            </w:r>
          </w:p>
        </w:tc>
        <w:tc>
          <w:tcPr>
            <w:tcW w:w="5670" w:type="dxa"/>
            <w:hideMark/>
          </w:tcPr>
          <w:p w14:paraId="066791D1" w14:textId="77777777" w:rsidR="00F80178" w:rsidRPr="009A0DA6" w:rsidRDefault="00F80178">
            <w:pPr>
              <w:cnfStyle w:val="000000000000" w:firstRow="0"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Provided support to enable courses to be presented in PNG and has made provision to support the projected course in Madang</w:t>
            </w:r>
          </w:p>
        </w:tc>
      </w:tr>
    </w:tbl>
    <w:p w14:paraId="2DC7627C" w14:textId="77777777" w:rsidR="004F6C40" w:rsidRPr="009A0DA6" w:rsidRDefault="004F6C40" w:rsidP="004F6C40">
      <w:pPr>
        <w:pStyle w:val="NoSpacing"/>
      </w:pPr>
    </w:p>
    <w:p w14:paraId="70BAF26D" w14:textId="68E3E04C" w:rsidR="007408EE" w:rsidRDefault="007408EE" w:rsidP="00964A90">
      <w:pPr>
        <w:pStyle w:val="Heading3"/>
      </w:pPr>
    </w:p>
    <w:p w14:paraId="0920BC53" w14:textId="77777777" w:rsidR="00427D86" w:rsidRPr="00427D86" w:rsidRDefault="00427D86" w:rsidP="00427D86">
      <w:pPr>
        <w:pStyle w:val="NoSpacing"/>
      </w:pPr>
    </w:p>
    <w:p w14:paraId="3AB535ED" w14:textId="77777777" w:rsidR="00206BF6" w:rsidRDefault="00206BF6">
      <w:pPr>
        <w:rPr>
          <w:rFonts w:ascii="Cambria" w:eastAsiaTheme="majorEastAsia" w:hAnsi="Cambria" w:cstheme="majorBidi"/>
          <w:b/>
          <w:caps/>
          <w:sz w:val="28"/>
          <w:szCs w:val="24"/>
        </w:rPr>
      </w:pPr>
      <w:r>
        <w:br w:type="page"/>
      </w:r>
    </w:p>
    <w:p w14:paraId="5519E91E" w14:textId="4E735CA0" w:rsidR="004F6C40" w:rsidRPr="009A0DA6" w:rsidRDefault="004F6C40" w:rsidP="00964A90">
      <w:pPr>
        <w:pStyle w:val="Heading3"/>
      </w:pPr>
      <w:r w:rsidRPr="009A0DA6">
        <w:lastRenderedPageBreak/>
        <w:t>Agenda 15.3</w:t>
      </w:r>
    </w:p>
    <w:p w14:paraId="5E10F4F8" w14:textId="77777777" w:rsidR="004F6C40" w:rsidRPr="009A0DA6" w:rsidRDefault="004F6C40" w:rsidP="004F6C40">
      <w:pPr>
        <w:pStyle w:val="Heading2"/>
      </w:pPr>
      <w:bookmarkStart w:id="533" w:name="_Toc521954768"/>
      <w:r w:rsidRPr="009A0DA6">
        <w:t>Lutheran Women of Australia</w:t>
      </w:r>
      <w:bookmarkEnd w:id="533"/>
    </w:p>
    <w:p w14:paraId="4B92BC76" w14:textId="77777777" w:rsidR="004F6C40" w:rsidRPr="00206BF6" w:rsidRDefault="004F6C40" w:rsidP="004F6C40">
      <w:pPr>
        <w:pStyle w:val="NoSpacing"/>
        <w:rPr>
          <w:sz w:val="14"/>
        </w:rPr>
      </w:pPr>
    </w:p>
    <w:p w14:paraId="3AE82F8A" w14:textId="77777777" w:rsidR="00D94020" w:rsidRPr="009A0DA6" w:rsidRDefault="00D94020" w:rsidP="00D94020">
      <w:pPr>
        <w:pStyle w:val="Heading3"/>
      </w:pPr>
      <w:r w:rsidRPr="009A0DA6">
        <w:t>MEMBERS</w:t>
      </w:r>
    </w:p>
    <w:p w14:paraId="78749546" w14:textId="2E8BA4CE" w:rsidR="00D94020" w:rsidRPr="009A0DA6" w:rsidRDefault="00D94020" w:rsidP="00D94020">
      <w:pPr>
        <w:spacing w:before="120" w:after="120" w:line="240" w:lineRule="auto"/>
        <w:contextualSpacing/>
        <w:rPr>
          <w:rFonts w:ascii="Cambria" w:hAnsi="Cambria"/>
        </w:rPr>
      </w:pPr>
      <w:r w:rsidRPr="009A0DA6">
        <w:rPr>
          <w:rFonts w:ascii="Cambria" w:hAnsi="Cambria"/>
        </w:rPr>
        <w:t xml:space="preserve">Marilyn Barber, Cheryl Brauer, Tuula Contarino (LWA </w:t>
      </w:r>
      <w:r w:rsidR="00AD7835">
        <w:rPr>
          <w:rFonts w:ascii="Cambria" w:hAnsi="Cambria"/>
        </w:rPr>
        <w:t>President</w:t>
      </w:r>
      <w:r w:rsidRPr="009A0DA6">
        <w:rPr>
          <w:rFonts w:ascii="Cambria" w:hAnsi="Cambria"/>
        </w:rPr>
        <w:t>) Pam Flesser, Rev Michael Jarick, R</w:t>
      </w:r>
      <w:r w:rsidR="00AD7835">
        <w:rPr>
          <w:rFonts w:ascii="Cambria" w:hAnsi="Cambria"/>
        </w:rPr>
        <w:t>ev Stan Rudowski, Lynette Weise</w:t>
      </w:r>
    </w:p>
    <w:p w14:paraId="2B8F9DF6" w14:textId="77777777" w:rsidR="00D94020" w:rsidRPr="009A0DA6" w:rsidRDefault="00D94020" w:rsidP="00D94020">
      <w:pPr>
        <w:pStyle w:val="Heading3"/>
        <w:rPr>
          <w:rFonts w:cs="Arial"/>
          <w:i/>
        </w:rPr>
      </w:pPr>
      <w:r w:rsidRPr="009A0DA6">
        <w:t>Background</w:t>
      </w:r>
    </w:p>
    <w:p w14:paraId="3FAB9FD6" w14:textId="7EB2B49B" w:rsidR="00D94020" w:rsidRPr="009A0DA6" w:rsidRDefault="00D94020" w:rsidP="00D94020">
      <w:pPr>
        <w:spacing w:before="120" w:after="120" w:line="240" w:lineRule="auto"/>
        <w:contextualSpacing/>
        <w:rPr>
          <w:rFonts w:ascii="Cambria" w:hAnsi="Cambria"/>
          <w:i/>
        </w:rPr>
      </w:pPr>
      <w:r w:rsidRPr="009A0DA6">
        <w:rPr>
          <w:rFonts w:ascii="Cambria" w:hAnsi="Cambria"/>
          <w:i/>
        </w:rPr>
        <w:t>Christian Women</w:t>
      </w:r>
      <w:r w:rsidR="00AD7835">
        <w:rPr>
          <w:rFonts w:ascii="Cambria" w:hAnsi="Cambria"/>
          <w:i/>
        </w:rPr>
        <w:sym w:font="Symbol" w:char="F02D"/>
      </w:r>
      <w:r w:rsidRPr="009A0DA6">
        <w:rPr>
          <w:rFonts w:ascii="Cambria" w:hAnsi="Cambria"/>
          <w:i/>
        </w:rPr>
        <w:t>meeting together</w:t>
      </w:r>
      <w:r w:rsidR="00AD7835">
        <w:rPr>
          <w:rFonts w:ascii="Cambria" w:hAnsi="Cambria"/>
          <w:i/>
        </w:rPr>
        <w:sym w:font="Symbol" w:char="F02D"/>
      </w:r>
      <w:r w:rsidRPr="009A0DA6">
        <w:rPr>
          <w:rFonts w:ascii="Cambria" w:hAnsi="Cambria"/>
          <w:i/>
        </w:rPr>
        <w:t xml:space="preserve"> studying together</w:t>
      </w:r>
      <w:r w:rsidR="00AD7835">
        <w:rPr>
          <w:rFonts w:ascii="Cambria" w:hAnsi="Cambria"/>
          <w:i/>
        </w:rPr>
        <w:sym w:font="Symbol" w:char="F02D"/>
      </w:r>
      <w:r w:rsidRPr="009A0DA6">
        <w:rPr>
          <w:rFonts w:ascii="Cambria" w:hAnsi="Cambria"/>
          <w:i/>
        </w:rPr>
        <w:t>serving and loving others together</w:t>
      </w:r>
      <w:r w:rsidR="00AD7835">
        <w:rPr>
          <w:rFonts w:ascii="Cambria" w:hAnsi="Cambria"/>
          <w:i/>
        </w:rPr>
        <w:sym w:font="Symbol" w:char="F02D"/>
      </w:r>
      <w:r w:rsidRPr="009A0DA6">
        <w:rPr>
          <w:rFonts w:ascii="Cambria" w:hAnsi="Cambria"/>
          <w:i/>
        </w:rPr>
        <w:t>under God.</w:t>
      </w:r>
    </w:p>
    <w:p w14:paraId="361FBACC" w14:textId="77777777" w:rsidR="00D94020" w:rsidRPr="009A0DA6" w:rsidRDefault="00D94020" w:rsidP="00D94020">
      <w:pPr>
        <w:pStyle w:val="Heading3"/>
      </w:pPr>
      <w:r w:rsidRPr="009A0DA6">
        <w:t>Successes</w:t>
      </w:r>
    </w:p>
    <w:p w14:paraId="7A4DE6B8" w14:textId="77777777" w:rsidR="00D94020" w:rsidRPr="009A0DA6" w:rsidRDefault="00D94020" w:rsidP="00F55252">
      <w:pPr>
        <w:pStyle w:val="ListParagraph"/>
        <w:numPr>
          <w:ilvl w:val="0"/>
          <w:numId w:val="301"/>
        </w:numPr>
        <w:spacing w:before="120" w:after="120" w:line="240" w:lineRule="auto"/>
        <w:ind w:left="567" w:hanging="567"/>
        <w:rPr>
          <w:rFonts w:ascii="Cambria" w:hAnsi="Cambria"/>
        </w:rPr>
      </w:pPr>
      <w:r w:rsidRPr="009A0DA6">
        <w:rPr>
          <w:rFonts w:ascii="Cambria" w:hAnsi="Cambria"/>
        </w:rPr>
        <w:t>Papua New Guinea – Meri Wok Trening</w:t>
      </w:r>
    </w:p>
    <w:p w14:paraId="19990D0B" w14:textId="77777777" w:rsidR="00D94020" w:rsidRPr="009A0DA6" w:rsidRDefault="00D94020" w:rsidP="00F55252">
      <w:pPr>
        <w:pStyle w:val="ListParagraph"/>
        <w:numPr>
          <w:ilvl w:val="0"/>
          <w:numId w:val="301"/>
        </w:numPr>
        <w:spacing w:before="120" w:after="120" w:line="240" w:lineRule="auto"/>
        <w:ind w:left="567" w:hanging="567"/>
        <w:rPr>
          <w:rFonts w:ascii="Cambria" w:hAnsi="Cambria"/>
        </w:rPr>
      </w:pPr>
      <w:r w:rsidRPr="009A0DA6">
        <w:rPr>
          <w:rFonts w:ascii="Cambria" w:hAnsi="Cambria"/>
        </w:rPr>
        <w:t>Debora Orphanage- Indonesia</w:t>
      </w:r>
    </w:p>
    <w:p w14:paraId="1F961D90" w14:textId="77777777" w:rsidR="00D94020" w:rsidRPr="009A0DA6" w:rsidRDefault="00D94020" w:rsidP="00F55252">
      <w:pPr>
        <w:pStyle w:val="ListParagraph"/>
        <w:numPr>
          <w:ilvl w:val="0"/>
          <w:numId w:val="301"/>
        </w:numPr>
        <w:spacing w:before="120" w:after="120" w:line="240" w:lineRule="auto"/>
        <w:ind w:left="567" w:hanging="567"/>
        <w:rPr>
          <w:rFonts w:ascii="Cambria" w:hAnsi="Cambria"/>
        </w:rPr>
      </w:pPr>
      <w:r w:rsidRPr="009A0DA6">
        <w:rPr>
          <w:rFonts w:ascii="Cambria" w:hAnsi="Cambria"/>
        </w:rPr>
        <w:t>Home of Praise in the slums of Bangkok Thailand</w:t>
      </w:r>
    </w:p>
    <w:p w14:paraId="5CF8EA7D" w14:textId="77777777" w:rsidR="00D94020" w:rsidRPr="009A0DA6" w:rsidRDefault="00D94020" w:rsidP="00F55252">
      <w:pPr>
        <w:pStyle w:val="ListParagraph"/>
        <w:numPr>
          <w:ilvl w:val="0"/>
          <w:numId w:val="301"/>
        </w:numPr>
        <w:spacing w:before="120" w:after="120" w:line="240" w:lineRule="auto"/>
        <w:ind w:left="567" w:hanging="567"/>
        <w:rPr>
          <w:rFonts w:ascii="Cambria" w:hAnsi="Cambria"/>
        </w:rPr>
      </w:pPr>
      <w:r w:rsidRPr="009A0DA6">
        <w:rPr>
          <w:rFonts w:ascii="Cambria" w:hAnsi="Cambria"/>
        </w:rPr>
        <w:t>Scholarships for students from overseas to study through ALC</w:t>
      </w:r>
    </w:p>
    <w:p w14:paraId="54489AB2" w14:textId="77777777" w:rsidR="00D94020" w:rsidRPr="009A0DA6" w:rsidRDefault="00D94020" w:rsidP="00F55252">
      <w:pPr>
        <w:pStyle w:val="ListParagraph"/>
        <w:numPr>
          <w:ilvl w:val="0"/>
          <w:numId w:val="301"/>
        </w:numPr>
        <w:spacing w:before="120" w:after="120" w:line="240" w:lineRule="auto"/>
        <w:ind w:left="567" w:hanging="567"/>
        <w:rPr>
          <w:rFonts w:ascii="Cambria" w:hAnsi="Cambria"/>
        </w:rPr>
      </w:pPr>
      <w:r w:rsidRPr="009A0DA6">
        <w:rPr>
          <w:rFonts w:ascii="Cambria" w:hAnsi="Cambria"/>
        </w:rPr>
        <w:t>Bethany Home for children/people with severe disabilities Malaysia</w:t>
      </w:r>
    </w:p>
    <w:p w14:paraId="00637DFA" w14:textId="77777777" w:rsidR="00D94020" w:rsidRPr="009A0DA6" w:rsidRDefault="00D94020" w:rsidP="00F55252">
      <w:pPr>
        <w:pStyle w:val="ListParagraph"/>
        <w:numPr>
          <w:ilvl w:val="0"/>
          <w:numId w:val="301"/>
        </w:numPr>
        <w:spacing w:before="120" w:after="120" w:line="240" w:lineRule="auto"/>
        <w:ind w:left="567" w:hanging="567"/>
        <w:rPr>
          <w:rFonts w:ascii="Cambria" w:hAnsi="Cambria"/>
        </w:rPr>
      </w:pPr>
      <w:r w:rsidRPr="009A0DA6">
        <w:rPr>
          <w:rFonts w:ascii="Cambria" w:hAnsi="Cambria"/>
        </w:rPr>
        <w:t>LCA Mission international Cambodia</w:t>
      </w:r>
    </w:p>
    <w:p w14:paraId="03E49519" w14:textId="77777777" w:rsidR="00D94020" w:rsidRPr="009A0DA6" w:rsidRDefault="00D94020" w:rsidP="00F55252">
      <w:pPr>
        <w:pStyle w:val="ListParagraph"/>
        <w:numPr>
          <w:ilvl w:val="0"/>
          <w:numId w:val="301"/>
        </w:numPr>
        <w:spacing w:before="120" w:after="120" w:line="240" w:lineRule="auto"/>
        <w:ind w:left="567" w:hanging="567"/>
        <w:rPr>
          <w:rFonts w:ascii="Cambria" w:hAnsi="Cambria"/>
        </w:rPr>
      </w:pPr>
      <w:r w:rsidRPr="009A0DA6">
        <w:rPr>
          <w:rFonts w:ascii="Cambria" w:hAnsi="Cambria"/>
        </w:rPr>
        <w:t>P N G Lutheran Health Services Solar Panels</w:t>
      </w:r>
    </w:p>
    <w:p w14:paraId="7338992D" w14:textId="77777777" w:rsidR="00D94020" w:rsidRPr="009A0DA6" w:rsidRDefault="00D94020" w:rsidP="00F55252">
      <w:pPr>
        <w:pStyle w:val="ListParagraph"/>
        <w:numPr>
          <w:ilvl w:val="0"/>
          <w:numId w:val="301"/>
        </w:numPr>
        <w:spacing w:before="120" w:after="120" w:line="240" w:lineRule="auto"/>
        <w:ind w:left="567" w:hanging="567"/>
        <w:rPr>
          <w:rFonts w:ascii="Cambria" w:hAnsi="Cambria"/>
        </w:rPr>
      </w:pPr>
      <w:r w:rsidRPr="009A0DA6">
        <w:rPr>
          <w:rFonts w:ascii="Cambria" w:hAnsi="Cambria"/>
        </w:rPr>
        <w:t>Aboriginal Missions/Aboriginal ministry SA, Far north Qld. Aboriginal mission and Finke River Mission</w:t>
      </w:r>
    </w:p>
    <w:p w14:paraId="5D594B4B" w14:textId="77777777" w:rsidR="00D94020" w:rsidRPr="009A0DA6" w:rsidRDefault="00D94020" w:rsidP="00F55252">
      <w:pPr>
        <w:pStyle w:val="ListParagraph"/>
        <w:numPr>
          <w:ilvl w:val="0"/>
          <w:numId w:val="301"/>
        </w:numPr>
        <w:spacing w:before="120" w:after="120" w:line="240" w:lineRule="auto"/>
        <w:ind w:left="567" w:hanging="567"/>
        <w:rPr>
          <w:rFonts w:ascii="Cambria" w:hAnsi="Cambria"/>
        </w:rPr>
      </w:pPr>
      <w:r w:rsidRPr="009A0DA6">
        <w:rPr>
          <w:rFonts w:ascii="Cambria" w:hAnsi="Cambria"/>
        </w:rPr>
        <w:t>Australian Lutheran World Service</w:t>
      </w:r>
    </w:p>
    <w:p w14:paraId="45AA5E2D" w14:textId="77777777" w:rsidR="00D94020" w:rsidRPr="009A0DA6" w:rsidRDefault="00D94020" w:rsidP="00F55252">
      <w:pPr>
        <w:pStyle w:val="ListParagraph"/>
        <w:numPr>
          <w:ilvl w:val="0"/>
          <w:numId w:val="301"/>
        </w:numPr>
        <w:spacing w:before="120" w:after="120" w:line="240" w:lineRule="auto"/>
        <w:ind w:left="567" w:hanging="567"/>
        <w:rPr>
          <w:rFonts w:ascii="Cambria" w:hAnsi="Cambria"/>
        </w:rPr>
      </w:pPr>
      <w:r w:rsidRPr="009A0DA6">
        <w:rPr>
          <w:rFonts w:ascii="Cambria" w:hAnsi="Cambria"/>
        </w:rPr>
        <w:t>Australian Lutheran College – Pastoral Students Assistance Fund</w:t>
      </w:r>
    </w:p>
    <w:p w14:paraId="33EBCDB3" w14:textId="77777777" w:rsidR="00D94020" w:rsidRPr="009A0DA6" w:rsidRDefault="00D94020" w:rsidP="00F55252">
      <w:pPr>
        <w:pStyle w:val="ListParagraph"/>
        <w:numPr>
          <w:ilvl w:val="0"/>
          <w:numId w:val="301"/>
        </w:numPr>
        <w:spacing w:before="120" w:after="120" w:line="240" w:lineRule="auto"/>
        <w:ind w:left="567" w:hanging="567"/>
        <w:rPr>
          <w:rFonts w:ascii="Cambria" w:hAnsi="Cambria"/>
        </w:rPr>
      </w:pPr>
      <w:r w:rsidRPr="009A0DA6">
        <w:rPr>
          <w:rFonts w:ascii="Cambria" w:hAnsi="Cambria"/>
        </w:rPr>
        <w:t>Australian Lutheran College Women’s Auxiliary</w:t>
      </w:r>
    </w:p>
    <w:p w14:paraId="783F0E56" w14:textId="77777777" w:rsidR="00D94020" w:rsidRPr="009A0DA6" w:rsidRDefault="00D94020" w:rsidP="00D94020">
      <w:pPr>
        <w:pStyle w:val="Heading3"/>
      </w:pPr>
      <w:r w:rsidRPr="009A0DA6">
        <w:t>Challenges and Lessons Learned</w:t>
      </w:r>
    </w:p>
    <w:p w14:paraId="2615EFEE" w14:textId="7B10D85F" w:rsidR="00D94020" w:rsidRPr="009A0DA6" w:rsidRDefault="00D94020" w:rsidP="00F55252">
      <w:pPr>
        <w:pStyle w:val="ListParagraph"/>
        <w:numPr>
          <w:ilvl w:val="0"/>
          <w:numId w:val="302"/>
        </w:numPr>
        <w:spacing w:before="120" w:after="120" w:line="240" w:lineRule="auto"/>
        <w:ind w:left="567" w:hanging="567"/>
        <w:rPr>
          <w:rFonts w:ascii="Cambria" w:hAnsi="Cambria"/>
        </w:rPr>
      </w:pPr>
      <w:r w:rsidRPr="009A0DA6">
        <w:rPr>
          <w:rFonts w:ascii="Cambria" w:hAnsi="Cambria"/>
        </w:rPr>
        <w:t>Our members queried just how this money was being used</w:t>
      </w:r>
      <w:r w:rsidR="0027799A" w:rsidRPr="009A0DA6">
        <w:rPr>
          <w:rFonts w:ascii="Cambria" w:hAnsi="Cambria"/>
        </w:rPr>
        <w:t xml:space="preserve"> </w:t>
      </w:r>
      <w:r w:rsidRPr="009A0DA6">
        <w:rPr>
          <w:rFonts w:ascii="Cambria" w:hAnsi="Cambria"/>
        </w:rPr>
        <w:t>(Pastoral Ministry Students Assistance Fund).</w:t>
      </w:r>
    </w:p>
    <w:p w14:paraId="32A24C83" w14:textId="7E4A64AF" w:rsidR="00D94020" w:rsidRPr="009A0DA6" w:rsidRDefault="00D94020" w:rsidP="00F55252">
      <w:pPr>
        <w:pStyle w:val="ListParagraph"/>
        <w:numPr>
          <w:ilvl w:val="0"/>
          <w:numId w:val="302"/>
        </w:numPr>
        <w:spacing w:before="120" w:after="120" w:line="240" w:lineRule="auto"/>
        <w:ind w:left="567" w:hanging="567"/>
        <w:rPr>
          <w:rFonts w:ascii="Cambria" w:hAnsi="Cambria"/>
        </w:rPr>
      </w:pPr>
      <w:r w:rsidRPr="009A0DA6">
        <w:rPr>
          <w:rFonts w:ascii="Cambria" w:hAnsi="Cambria"/>
        </w:rPr>
        <w:t xml:space="preserve">A separate LWA bank Account has been opened at LLL to receive donations from Lutheran Women for the PMSA Fund project to be given as gifts to the Pastoral students who find themselves in unexpected financial situations. Joan Zilm has volunteered and been appointed by the LWA Executive as the local contact person to liaise with the students and the LWA Executive as to how the money is gifted. </w:t>
      </w:r>
    </w:p>
    <w:p w14:paraId="175E0945" w14:textId="070597AC" w:rsidR="00D94020" w:rsidRPr="009A0DA6" w:rsidRDefault="00D94020" w:rsidP="00D94020">
      <w:pPr>
        <w:pStyle w:val="Heading3"/>
      </w:pPr>
      <w:r w:rsidRPr="009A0DA6">
        <w:t>Risks</w:t>
      </w:r>
    </w:p>
    <w:tbl>
      <w:tblPr>
        <w:tblStyle w:val="PlainTable2"/>
        <w:tblW w:w="8647" w:type="dxa"/>
        <w:tblLook w:val="04A0" w:firstRow="1" w:lastRow="0" w:firstColumn="1" w:lastColumn="0" w:noHBand="0" w:noVBand="1"/>
      </w:tblPr>
      <w:tblGrid>
        <w:gridCol w:w="2835"/>
        <w:gridCol w:w="2977"/>
        <w:gridCol w:w="2835"/>
      </w:tblGrid>
      <w:tr w:rsidR="00D94020" w:rsidRPr="009A0DA6" w14:paraId="1F93B0C4" w14:textId="77777777" w:rsidTr="00D94020">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835" w:type="dxa"/>
            <w:vAlign w:val="center"/>
            <w:hideMark/>
          </w:tcPr>
          <w:p w14:paraId="0D966114" w14:textId="1670D98F" w:rsidR="00D94020" w:rsidRPr="009A0DA6" w:rsidRDefault="00D94020" w:rsidP="0015713F">
            <w:pPr>
              <w:spacing w:before="120" w:after="120"/>
              <w:contextualSpacing/>
              <w:rPr>
                <w:rFonts w:ascii="Cambria" w:hAnsi="Cambria" w:cs="Arial"/>
              </w:rPr>
            </w:pPr>
            <w:r w:rsidRPr="009A0DA6">
              <w:rPr>
                <w:rFonts w:ascii="Cambria" w:hAnsi="Cambria" w:cs="Arial"/>
              </w:rPr>
              <w:t>Description of risk</w:t>
            </w:r>
          </w:p>
        </w:tc>
        <w:tc>
          <w:tcPr>
            <w:tcW w:w="2977" w:type="dxa"/>
            <w:vAlign w:val="center"/>
            <w:hideMark/>
          </w:tcPr>
          <w:p w14:paraId="5D16FAE7" w14:textId="77777777" w:rsidR="00D94020" w:rsidRPr="009A0DA6" w:rsidRDefault="00D94020" w:rsidP="0015713F">
            <w:pPr>
              <w:spacing w:before="120" w:after="120"/>
              <w:contextualSpacing/>
              <w:cnfStyle w:val="100000000000" w:firstRow="1"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Likelihood of risk occurring and potential impact for the ministry and LCA</w:t>
            </w:r>
          </w:p>
        </w:tc>
        <w:tc>
          <w:tcPr>
            <w:tcW w:w="2835" w:type="dxa"/>
            <w:vAlign w:val="center"/>
            <w:hideMark/>
          </w:tcPr>
          <w:p w14:paraId="55A46A6D" w14:textId="77777777" w:rsidR="00D94020" w:rsidRPr="009A0DA6" w:rsidRDefault="00D94020" w:rsidP="0015713F">
            <w:pPr>
              <w:spacing w:before="120" w:after="120"/>
              <w:contextualSpacing/>
              <w:cnfStyle w:val="100000000000" w:firstRow="1" w:lastRow="0" w:firstColumn="0" w:lastColumn="0" w:oddVBand="0" w:evenVBand="0" w:oddHBand="0" w:evenHBand="0" w:firstRowFirstColumn="0" w:firstRowLastColumn="0" w:lastRowFirstColumn="0" w:lastRowLastColumn="0"/>
              <w:rPr>
                <w:rFonts w:ascii="Cambria" w:hAnsi="Cambria" w:cs="Arial"/>
              </w:rPr>
            </w:pPr>
            <w:r w:rsidRPr="009A0DA6">
              <w:rPr>
                <w:rFonts w:ascii="Cambria" w:hAnsi="Cambria" w:cs="Arial"/>
              </w:rPr>
              <w:t>Summary of action to mitigate the risk</w:t>
            </w:r>
          </w:p>
        </w:tc>
      </w:tr>
      <w:tr w:rsidR="00D94020" w:rsidRPr="009A0DA6" w14:paraId="7EA4A8D0" w14:textId="77777777" w:rsidTr="00D94020">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835" w:type="dxa"/>
            <w:hideMark/>
          </w:tcPr>
          <w:p w14:paraId="7FF10885" w14:textId="3A525983" w:rsidR="00D94020" w:rsidRPr="009A0DA6" w:rsidRDefault="00D94020" w:rsidP="00A0565F">
            <w:pPr>
              <w:widowControl w:val="0"/>
              <w:suppressAutoHyphens/>
              <w:spacing w:before="120" w:after="120"/>
              <w:ind w:left="63"/>
              <w:contextualSpacing/>
              <w:rPr>
                <w:rFonts w:ascii="Cambria" w:hAnsi="Cambria" w:cs="Arial"/>
                <w:b w:val="0"/>
              </w:rPr>
            </w:pPr>
            <w:r w:rsidRPr="009A0DA6">
              <w:rPr>
                <w:rFonts w:ascii="Cambria" w:hAnsi="Cambria" w:cs="Arial"/>
              </w:rPr>
              <w:t>LWA executive have difficulty in creating web page for LWA inform</w:t>
            </w:r>
            <w:r w:rsidR="00A0565F">
              <w:rPr>
                <w:rFonts w:ascii="Cambria" w:hAnsi="Cambria" w:cs="Arial"/>
              </w:rPr>
              <w:t>-</w:t>
            </w:r>
            <w:r w:rsidRPr="009A0DA6">
              <w:rPr>
                <w:rFonts w:ascii="Cambria" w:hAnsi="Cambria" w:cs="Arial"/>
              </w:rPr>
              <w:t xml:space="preserve">ation </w:t>
            </w:r>
            <w:r w:rsidR="00A0565F">
              <w:rPr>
                <w:rFonts w:ascii="Cambria" w:hAnsi="Cambria" w:cs="Arial"/>
              </w:rPr>
              <w:t>–</w:t>
            </w:r>
            <w:r w:rsidRPr="009A0DA6">
              <w:rPr>
                <w:rFonts w:ascii="Cambria" w:hAnsi="Cambria" w:cs="Arial"/>
              </w:rPr>
              <w:t xml:space="preserve"> </w:t>
            </w:r>
            <w:r w:rsidR="00A0565F">
              <w:rPr>
                <w:rFonts w:ascii="Cambria" w:hAnsi="Cambria" w:cs="Arial"/>
              </w:rPr>
              <w:t>LCA Commun-ications</w:t>
            </w:r>
            <w:r w:rsidRPr="009A0DA6">
              <w:rPr>
                <w:rFonts w:ascii="Cambria" w:hAnsi="Cambria" w:cs="Arial"/>
              </w:rPr>
              <w:t xml:space="preserve"> is assisting </w:t>
            </w:r>
          </w:p>
        </w:tc>
        <w:tc>
          <w:tcPr>
            <w:tcW w:w="2977" w:type="dxa"/>
            <w:hideMark/>
          </w:tcPr>
          <w:p w14:paraId="5CE0D4CB" w14:textId="77777777" w:rsidR="00D94020" w:rsidRPr="009A0DA6" w:rsidRDefault="00D94020">
            <w:pPr>
              <w:spacing w:before="120" w:after="120"/>
              <w:contextualSpacing/>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It is difficult reaching our older members with modern technology so impacting on our ministry</w:t>
            </w:r>
          </w:p>
        </w:tc>
        <w:tc>
          <w:tcPr>
            <w:tcW w:w="2835" w:type="dxa"/>
            <w:hideMark/>
          </w:tcPr>
          <w:p w14:paraId="385060F7" w14:textId="77777777" w:rsidR="00D94020" w:rsidRPr="009A0DA6" w:rsidRDefault="00D94020">
            <w:pPr>
              <w:spacing w:before="120" w:after="120"/>
              <w:contextualSpacing/>
              <w:cnfStyle w:val="000000100000" w:firstRow="0" w:lastRow="0" w:firstColumn="0" w:lastColumn="0" w:oddVBand="0" w:evenVBand="0" w:oddHBand="1" w:evenHBand="0" w:firstRowFirstColumn="0" w:firstRowLastColumn="0" w:lastRowFirstColumn="0" w:lastRowLastColumn="0"/>
              <w:rPr>
                <w:rFonts w:ascii="Cambria" w:hAnsi="Cambria" w:cs="Arial"/>
              </w:rPr>
            </w:pPr>
            <w:r w:rsidRPr="009A0DA6">
              <w:rPr>
                <w:rFonts w:ascii="Cambria" w:hAnsi="Cambria" w:cs="Arial"/>
              </w:rPr>
              <w:t xml:space="preserve">Younger members are hoping to be recruited </w:t>
            </w:r>
          </w:p>
        </w:tc>
      </w:tr>
    </w:tbl>
    <w:p w14:paraId="3D96829A" w14:textId="77777777" w:rsidR="00D94020" w:rsidRPr="00206BF6" w:rsidRDefault="00D94020" w:rsidP="00D94020">
      <w:pPr>
        <w:pStyle w:val="Heading3"/>
        <w:rPr>
          <w:sz w:val="8"/>
        </w:rPr>
      </w:pPr>
    </w:p>
    <w:p w14:paraId="0DED1F8A" w14:textId="3FA52558" w:rsidR="00D94020" w:rsidRPr="009A0DA6" w:rsidRDefault="00D94020" w:rsidP="00D94020">
      <w:pPr>
        <w:pStyle w:val="Heading3"/>
        <w:rPr>
          <w:rFonts w:cstheme="minorBidi"/>
          <w:sz w:val="22"/>
          <w:szCs w:val="22"/>
          <w:lang w:val="en-US" w:eastAsia="ja-JP"/>
        </w:rPr>
      </w:pPr>
      <w:r w:rsidRPr="009A0DA6">
        <w:t>Cooperating LCA Boards and Agencies</w:t>
      </w:r>
    </w:p>
    <w:tbl>
      <w:tblPr>
        <w:tblStyle w:val="PlainTable2"/>
        <w:tblW w:w="0" w:type="auto"/>
        <w:tblLook w:val="04A0" w:firstRow="1" w:lastRow="0" w:firstColumn="1" w:lastColumn="0" w:noHBand="0" w:noVBand="1"/>
      </w:tblPr>
      <w:tblGrid>
        <w:gridCol w:w="4190"/>
        <w:gridCol w:w="4478"/>
      </w:tblGrid>
      <w:tr w:rsidR="00D94020" w:rsidRPr="009A0DA6" w14:paraId="162AB006" w14:textId="77777777" w:rsidTr="00D940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3A963193" w14:textId="25392CE8" w:rsidR="00D94020" w:rsidRPr="009A0DA6" w:rsidRDefault="00D94020" w:rsidP="00206BF6">
            <w:pPr>
              <w:contextualSpacing/>
              <w:rPr>
                <w:rFonts w:ascii="Cambria" w:hAnsi="Cambria" w:cs="Arial"/>
              </w:rPr>
            </w:pPr>
            <w:r w:rsidRPr="009A0DA6">
              <w:rPr>
                <w:rFonts w:ascii="Cambria" w:hAnsi="Cambria" w:cs="Arial"/>
              </w:rPr>
              <w:t>ALWS</w:t>
            </w:r>
            <w:r w:rsidR="00206BF6">
              <w:rPr>
                <w:rFonts w:ascii="Cambria" w:hAnsi="Cambria" w:cs="Arial"/>
              </w:rPr>
              <w:t xml:space="preserve">, </w:t>
            </w:r>
            <w:r w:rsidRPr="009A0DA6">
              <w:rPr>
                <w:rFonts w:ascii="Cambria" w:hAnsi="Cambria" w:cs="Arial"/>
              </w:rPr>
              <w:t>LCA Mission International</w:t>
            </w:r>
            <w:r w:rsidR="00206BF6">
              <w:rPr>
                <w:rFonts w:ascii="Cambria" w:hAnsi="Cambria" w:cs="Arial"/>
              </w:rPr>
              <w:t>,</w:t>
            </w:r>
          </w:p>
          <w:p w14:paraId="281F0233" w14:textId="22FAB29E" w:rsidR="00D94020" w:rsidRPr="009A0DA6" w:rsidRDefault="00206BF6" w:rsidP="00206BF6">
            <w:pPr>
              <w:contextualSpacing/>
              <w:rPr>
                <w:rFonts w:ascii="Cambria" w:hAnsi="Cambria" w:cs="Arial"/>
              </w:rPr>
            </w:pPr>
            <w:r>
              <w:rPr>
                <w:rFonts w:ascii="Cambria" w:hAnsi="Cambria" w:cs="Arial"/>
              </w:rPr>
              <w:t xml:space="preserve">Aboriginal Ministry SA, </w:t>
            </w:r>
            <w:r w:rsidR="00D94020" w:rsidRPr="009A0DA6">
              <w:rPr>
                <w:rFonts w:ascii="Cambria" w:hAnsi="Cambria" w:cs="Arial"/>
              </w:rPr>
              <w:t>Far Nth Qld. Aboriginal Mission</w:t>
            </w:r>
            <w:r>
              <w:rPr>
                <w:rFonts w:ascii="Cambria" w:hAnsi="Cambria" w:cs="Arial"/>
              </w:rPr>
              <w:t xml:space="preserve">, </w:t>
            </w:r>
            <w:r w:rsidR="00D94020" w:rsidRPr="009A0DA6">
              <w:rPr>
                <w:rFonts w:ascii="Cambria" w:hAnsi="Cambria" w:cs="Arial"/>
              </w:rPr>
              <w:t>Finke River Mission</w:t>
            </w:r>
            <w:r>
              <w:rPr>
                <w:rFonts w:ascii="Cambria" w:hAnsi="Cambria" w:cs="Arial"/>
              </w:rPr>
              <w:t xml:space="preserve">, </w:t>
            </w:r>
            <w:r w:rsidR="00D94020" w:rsidRPr="009A0DA6">
              <w:rPr>
                <w:rFonts w:ascii="Cambria" w:hAnsi="Cambria" w:cs="Arial"/>
              </w:rPr>
              <w:t>ALC Pastoral Students Assistance Fund</w:t>
            </w:r>
            <w:r>
              <w:rPr>
                <w:rFonts w:ascii="Cambria" w:hAnsi="Cambria" w:cs="Arial"/>
              </w:rPr>
              <w:t xml:space="preserve">, </w:t>
            </w:r>
            <w:r w:rsidR="00D94020" w:rsidRPr="009A0DA6">
              <w:rPr>
                <w:rFonts w:ascii="Cambria" w:hAnsi="Cambria" w:cs="Arial"/>
              </w:rPr>
              <w:t xml:space="preserve">ALC Women’s Auxiliary </w:t>
            </w:r>
          </w:p>
        </w:tc>
        <w:tc>
          <w:tcPr>
            <w:tcW w:w="4558" w:type="dxa"/>
          </w:tcPr>
          <w:p w14:paraId="5F247F0B" w14:textId="32D608A7" w:rsidR="00D94020" w:rsidRPr="009A0DA6" w:rsidRDefault="00D94020" w:rsidP="00206BF6">
            <w:pPr>
              <w:contextualSpacing/>
              <w:cnfStyle w:val="100000000000" w:firstRow="1" w:lastRow="0" w:firstColumn="0" w:lastColumn="0" w:oddVBand="0" w:evenVBand="0" w:oddHBand="0" w:evenHBand="0" w:firstRowFirstColumn="0" w:firstRowLastColumn="0" w:lastRowFirstColumn="0" w:lastRowLastColumn="0"/>
              <w:rPr>
                <w:rFonts w:ascii="Cambria" w:hAnsi="Cambria" w:cs="Arial"/>
                <w:b w:val="0"/>
              </w:rPr>
            </w:pPr>
            <w:r w:rsidRPr="009A0DA6">
              <w:rPr>
                <w:rFonts w:ascii="Cambria" w:hAnsi="Cambria" w:cs="Arial"/>
                <w:b w:val="0"/>
              </w:rPr>
              <w:t xml:space="preserve">These are the </w:t>
            </w:r>
            <w:r w:rsidR="00AD7835">
              <w:rPr>
                <w:rFonts w:ascii="Cambria" w:hAnsi="Cambria" w:cs="Arial"/>
                <w:b w:val="0"/>
              </w:rPr>
              <w:t>m</w:t>
            </w:r>
            <w:r w:rsidRPr="009A0DA6">
              <w:rPr>
                <w:rFonts w:ascii="Cambria" w:hAnsi="Cambria" w:cs="Arial"/>
                <w:b w:val="0"/>
              </w:rPr>
              <w:t xml:space="preserve">ission </w:t>
            </w:r>
            <w:r w:rsidR="00AD7835">
              <w:rPr>
                <w:rFonts w:ascii="Cambria" w:hAnsi="Cambria" w:cs="Arial"/>
                <w:b w:val="0"/>
              </w:rPr>
              <w:t>a</w:t>
            </w:r>
            <w:r w:rsidRPr="009A0DA6">
              <w:rPr>
                <w:rFonts w:ascii="Cambria" w:hAnsi="Cambria" w:cs="Arial"/>
                <w:b w:val="0"/>
              </w:rPr>
              <w:t>gencies we support financially from member donations and fund raising.</w:t>
            </w:r>
          </w:p>
        </w:tc>
      </w:tr>
    </w:tbl>
    <w:p w14:paraId="7EAFA6A6" w14:textId="47E5612B" w:rsidR="00D94020" w:rsidRPr="009A0DA6" w:rsidRDefault="00D94020" w:rsidP="00D94020">
      <w:pPr>
        <w:pStyle w:val="Heading3"/>
        <w:rPr>
          <w:rFonts w:cstheme="minorBidi"/>
          <w:sz w:val="22"/>
          <w:szCs w:val="22"/>
          <w:lang w:val="en-US" w:eastAsia="ja-JP"/>
        </w:rPr>
      </w:pPr>
      <w:r w:rsidRPr="009A0DA6">
        <w:lastRenderedPageBreak/>
        <w:t>Financial Performance</w:t>
      </w:r>
    </w:p>
    <w:p w14:paraId="44FE4A39" w14:textId="77777777" w:rsidR="00D94020" w:rsidRPr="009A0DA6" w:rsidRDefault="00D94020" w:rsidP="00D94020">
      <w:pPr>
        <w:tabs>
          <w:tab w:val="right" w:pos="5954"/>
          <w:tab w:val="right" w:pos="7371"/>
          <w:tab w:val="right" w:pos="8789"/>
        </w:tabs>
        <w:spacing w:after="0" w:line="240" w:lineRule="auto"/>
        <w:ind w:right="-20"/>
        <w:contextualSpacing/>
        <w:rPr>
          <w:rFonts w:ascii="Cambria" w:eastAsia="Arial" w:hAnsi="Cambria" w:cs="Arial"/>
        </w:rPr>
      </w:pPr>
      <w:r w:rsidRPr="00AD7835">
        <w:rPr>
          <w:rStyle w:val="NoSpacingChar"/>
          <w:b/>
        </w:rPr>
        <w:t>INCOME</w:t>
      </w:r>
      <w:r w:rsidRPr="009A0DA6">
        <w:rPr>
          <w:rFonts w:ascii="Cambria" w:eastAsia="Arial" w:hAnsi="Cambria" w:cs="Arial"/>
        </w:rPr>
        <w:tab/>
      </w:r>
      <w:r w:rsidRPr="009A0DA6">
        <w:rPr>
          <w:rFonts w:ascii="Cambria" w:eastAsia="Arial" w:hAnsi="Cambria" w:cs="Arial"/>
          <w:b/>
          <w:bCs/>
          <w:w w:val="109"/>
        </w:rPr>
        <w:t>2017</w:t>
      </w:r>
      <w:r w:rsidRPr="009A0DA6">
        <w:rPr>
          <w:rFonts w:ascii="Cambria" w:hAnsi="Cambria"/>
        </w:rPr>
        <w:tab/>
      </w:r>
      <w:r w:rsidRPr="009A0DA6">
        <w:rPr>
          <w:rFonts w:ascii="Cambria" w:eastAsia="Arial" w:hAnsi="Cambria" w:cs="Arial"/>
          <w:b/>
          <w:bCs/>
          <w:w w:val="109"/>
        </w:rPr>
        <w:t>2016</w:t>
      </w:r>
      <w:r w:rsidRPr="009A0DA6">
        <w:rPr>
          <w:rFonts w:ascii="Cambria" w:eastAsia="Arial" w:hAnsi="Cambria" w:cs="Arial"/>
          <w:b/>
          <w:bCs/>
          <w:w w:val="109"/>
        </w:rPr>
        <w:tab/>
        <w:t>2015</w:t>
      </w:r>
    </w:p>
    <w:p w14:paraId="6A72468B" w14:textId="77777777" w:rsidR="00D94020" w:rsidRPr="00AD7835" w:rsidRDefault="00D94020" w:rsidP="00D94020">
      <w:pPr>
        <w:tabs>
          <w:tab w:val="right" w:pos="5954"/>
          <w:tab w:val="right" w:pos="7371"/>
          <w:tab w:val="right" w:pos="8789"/>
        </w:tabs>
        <w:spacing w:after="0" w:line="240" w:lineRule="auto"/>
        <w:contextualSpacing/>
        <w:rPr>
          <w:rStyle w:val="NoSpacingChar"/>
        </w:rPr>
      </w:pPr>
      <w:r w:rsidRPr="00AD7835">
        <w:rPr>
          <w:rStyle w:val="NoSpacingChar"/>
        </w:rPr>
        <w:t>Member Donations</w:t>
      </w:r>
      <w:r w:rsidRPr="009A0DA6">
        <w:rPr>
          <w:rFonts w:ascii="Cambria" w:eastAsia="Arial" w:hAnsi="Cambria" w:cs="Arial"/>
        </w:rPr>
        <w:tab/>
      </w:r>
      <w:r w:rsidRPr="00AD7835">
        <w:rPr>
          <w:rStyle w:val="NoSpacingChar"/>
        </w:rPr>
        <w:t>19,750</w:t>
      </w:r>
      <w:r w:rsidRPr="00AD7835">
        <w:rPr>
          <w:rStyle w:val="NoSpacingChar"/>
        </w:rPr>
        <w:tab/>
        <w:t>14,990</w:t>
      </w:r>
      <w:r w:rsidRPr="00AD7835">
        <w:rPr>
          <w:rStyle w:val="NoSpacingChar"/>
        </w:rPr>
        <w:tab/>
        <w:t>19,065</w:t>
      </w:r>
    </w:p>
    <w:p w14:paraId="3D093A88" w14:textId="77777777" w:rsidR="00D94020" w:rsidRPr="009A0DA6" w:rsidRDefault="00D94020" w:rsidP="00D94020">
      <w:pPr>
        <w:tabs>
          <w:tab w:val="right" w:pos="5954"/>
          <w:tab w:val="right" w:pos="7371"/>
          <w:tab w:val="right" w:pos="8789"/>
        </w:tabs>
        <w:spacing w:after="0" w:line="240" w:lineRule="auto"/>
        <w:contextualSpacing/>
        <w:rPr>
          <w:rFonts w:ascii="Cambria" w:hAnsi="Cambria"/>
        </w:rPr>
      </w:pPr>
      <w:r w:rsidRPr="00AD7835">
        <w:rPr>
          <w:rStyle w:val="NoSpacingChar"/>
        </w:rPr>
        <w:t>Merchandise</w:t>
      </w:r>
      <w:r w:rsidRPr="009A0DA6">
        <w:rPr>
          <w:rFonts w:ascii="Cambria" w:eastAsia="Arial" w:hAnsi="Cambria" w:cs="Arial"/>
        </w:rPr>
        <w:tab/>
      </w:r>
      <w:r w:rsidRPr="00AD7835">
        <w:rPr>
          <w:rStyle w:val="NoSpacingChar"/>
        </w:rPr>
        <w:t>5</w:t>
      </w:r>
      <w:r w:rsidRPr="00AD7835">
        <w:rPr>
          <w:rStyle w:val="NoSpacingChar"/>
        </w:rPr>
        <w:tab/>
        <w:t>70</w:t>
      </w:r>
      <w:r w:rsidRPr="00AD7835">
        <w:rPr>
          <w:rStyle w:val="NoSpacingChar"/>
        </w:rPr>
        <w:tab/>
        <w:t>1,081</w:t>
      </w:r>
    </w:p>
    <w:p w14:paraId="26174CCC" w14:textId="77777777" w:rsidR="00D94020" w:rsidRPr="009A0DA6" w:rsidRDefault="00D94020" w:rsidP="00D94020">
      <w:pPr>
        <w:tabs>
          <w:tab w:val="right" w:pos="5954"/>
          <w:tab w:val="right" w:pos="7371"/>
          <w:tab w:val="right" w:pos="8789"/>
        </w:tabs>
        <w:spacing w:after="0" w:line="240" w:lineRule="auto"/>
        <w:contextualSpacing/>
        <w:rPr>
          <w:rFonts w:ascii="Cambria" w:hAnsi="Cambria"/>
        </w:rPr>
      </w:pPr>
      <w:r w:rsidRPr="00AD7835">
        <w:t>Refunds)</w:t>
      </w:r>
      <w:r w:rsidRPr="009A0DA6">
        <w:rPr>
          <w:rFonts w:ascii="Cambria" w:eastAsia="Arial" w:hAnsi="Cambria" w:cs="Arial"/>
        </w:rPr>
        <w:tab/>
      </w:r>
      <w:r w:rsidRPr="00AD7835">
        <w:rPr>
          <w:rStyle w:val="NoSpacingChar"/>
        </w:rPr>
        <w:t>19</w:t>
      </w:r>
      <w:r w:rsidRPr="00AD7835">
        <w:rPr>
          <w:rStyle w:val="NoSpacingChar"/>
        </w:rPr>
        <w:tab/>
        <w:t>0</w:t>
      </w:r>
      <w:r w:rsidRPr="00AD7835">
        <w:rPr>
          <w:rStyle w:val="NoSpacingChar"/>
        </w:rPr>
        <w:tab/>
        <w:t>50</w:t>
      </w:r>
    </w:p>
    <w:p w14:paraId="66E9FC55" w14:textId="77777777" w:rsidR="00D94020" w:rsidRPr="009A0DA6" w:rsidRDefault="00D94020" w:rsidP="00D94020">
      <w:pPr>
        <w:tabs>
          <w:tab w:val="right" w:pos="5954"/>
          <w:tab w:val="right" w:pos="7371"/>
          <w:tab w:val="right" w:pos="8789"/>
        </w:tabs>
        <w:spacing w:after="0" w:line="240" w:lineRule="auto"/>
        <w:contextualSpacing/>
        <w:rPr>
          <w:rFonts w:ascii="Cambria" w:eastAsia="Times New Roman" w:hAnsi="Cambria" w:cs="Times New Roman"/>
          <w:w w:val="111"/>
        </w:rPr>
      </w:pPr>
      <w:r w:rsidRPr="00AD7835">
        <w:rPr>
          <w:rStyle w:val="NoSpacingChar"/>
        </w:rPr>
        <w:t>Bank Interest</w:t>
      </w:r>
      <w:r w:rsidRPr="009A0DA6">
        <w:rPr>
          <w:rFonts w:ascii="Cambria" w:eastAsia="Arial" w:hAnsi="Cambria" w:cs="Arial"/>
        </w:rPr>
        <w:tab/>
      </w:r>
      <w:r w:rsidRPr="00AD7835">
        <w:rPr>
          <w:rStyle w:val="NoSpacingChar"/>
        </w:rPr>
        <w:t>59</w:t>
      </w:r>
      <w:r w:rsidRPr="00AD7835">
        <w:rPr>
          <w:rStyle w:val="NoSpacingChar"/>
        </w:rPr>
        <w:tab/>
        <w:t>46</w:t>
      </w:r>
      <w:r w:rsidRPr="00AD7835">
        <w:rPr>
          <w:rStyle w:val="NoSpacingChar"/>
        </w:rPr>
        <w:tab/>
        <w:t>111</w:t>
      </w:r>
    </w:p>
    <w:p w14:paraId="39823AFF" w14:textId="77777777" w:rsidR="00D94020" w:rsidRPr="00AD7835" w:rsidRDefault="00D94020" w:rsidP="00D94020">
      <w:pPr>
        <w:tabs>
          <w:tab w:val="right" w:pos="5954"/>
          <w:tab w:val="right" w:pos="7371"/>
          <w:tab w:val="right" w:pos="8789"/>
        </w:tabs>
        <w:spacing w:after="0" w:line="240" w:lineRule="auto"/>
        <w:contextualSpacing/>
        <w:rPr>
          <w:rStyle w:val="NoSpacingChar"/>
        </w:rPr>
      </w:pPr>
      <w:r w:rsidRPr="00AD7835">
        <w:rPr>
          <w:rStyle w:val="NoSpacingChar"/>
        </w:rPr>
        <w:t>LCA reimbursements</w:t>
      </w:r>
      <w:r w:rsidRPr="009A0DA6">
        <w:rPr>
          <w:rFonts w:ascii="Cambria" w:eastAsia="Times New Roman" w:hAnsi="Cambria" w:cs="Times New Roman"/>
          <w:w w:val="111"/>
        </w:rPr>
        <w:tab/>
      </w:r>
      <w:r w:rsidRPr="00AD7835">
        <w:rPr>
          <w:rStyle w:val="NoSpacingChar"/>
        </w:rPr>
        <w:t>0</w:t>
      </w:r>
      <w:r w:rsidRPr="00AD7835">
        <w:rPr>
          <w:rStyle w:val="NoSpacingChar"/>
        </w:rPr>
        <w:tab/>
        <w:t>0</w:t>
      </w:r>
      <w:r w:rsidRPr="00AD7835">
        <w:rPr>
          <w:rStyle w:val="NoSpacingChar"/>
        </w:rPr>
        <w:tab/>
        <w:t>3,094</w:t>
      </w:r>
    </w:p>
    <w:p w14:paraId="541E149D" w14:textId="77777777" w:rsidR="00D94020" w:rsidRPr="00AD7835" w:rsidRDefault="00D94020" w:rsidP="00D94020">
      <w:pPr>
        <w:tabs>
          <w:tab w:val="right" w:pos="5954"/>
          <w:tab w:val="right" w:pos="7371"/>
          <w:tab w:val="right" w:pos="8789"/>
        </w:tabs>
        <w:spacing w:after="0" w:line="240" w:lineRule="auto"/>
        <w:contextualSpacing/>
        <w:rPr>
          <w:rStyle w:val="NoSpacingChar"/>
        </w:rPr>
      </w:pPr>
      <w:r w:rsidRPr="00AD7835">
        <w:rPr>
          <w:rStyle w:val="NoSpacingChar"/>
        </w:rPr>
        <w:t>Convention receipts</w:t>
      </w:r>
      <w:r w:rsidRPr="009A0DA6">
        <w:rPr>
          <w:rFonts w:ascii="Cambria" w:eastAsia="Times New Roman" w:hAnsi="Cambria" w:cs="Times New Roman"/>
          <w:w w:val="111"/>
        </w:rPr>
        <w:tab/>
      </w:r>
      <w:r w:rsidRPr="009A0DA6">
        <w:rPr>
          <w:rFonts w:ascii="Cambria" w:eastAsia="Times New Roman" w:hAnsi="Cambria" w:cs="Times New Roman"/>
          <w:w w:val="111"/>
        </w:rPr>
        <w:tab/>
      </w:r>
      <w:r w:rsidRPr="009A0DA6">
        <w:rPr>
          <w:rFonts w:ascii="Cambria" w:eastAsia="Times New Roman" w:hAnsi="Cambria" w:cs="Times New Roman"/>
          <w:w w:val="111"/>
        </w:rPr>
        <w:tab/>
      </w:r>
      <w:r w:rsidRPr="00AD7835">
        <w:rPr>
          <w:rStyle w:val="NoSpacingChar"/>
        </w:rPr>
        <w:t>5,484</w:t>
      </w:r>
    </w:p>
    <w:p w14:paraId="2109ABEB" w14:textId="77777777" w:rsidR="00D94020" w:rsidRPr="009A0DA6" w:rsidRDefault="00D94020" w:rsidP="00D94020">
      <w:pPr>
        <w:tabs>
          <w:tab w:val="right" w:pos="5954"/>
          <w:tab w:val="right" w:pos="7371"/>
          <w:tab w:val="right" w:pos="8789"/>
        </w:tabs>
        <w:spacing w:after="0" w:line="240" w:lineRule="auto"/>
        <w:ind w:right="-20"/>
        <w:contextualSpacing/>
        <w:rPr>
          <w:rFonts w:ascii="Cambria" w:eastAsia="Times New Roman" w:hAnsi="Cambria" w:cs="Times New Roman"/>
        </w:rPr>
      </w:pPr>
      <w:r w:rsidRPr="009A0DA6">
        <w:rPr>
          <w:rFonts w:ascii="Cambria" w:hAnsi="Cambria"/>
        </w:rPr>
        <w:tab/>
      </w:r>
      <w:r w:rsidRPr="009A0DA6">
        <w:rPr>
          <w:rFonts w:ascii="Cambria" w:eastAsia="Times New Roman" w:hAnsi="Cambria" w:cs="Times New Roman"/>
          <w:w w:val="110"/>
        </w:rPr>
        <w:t>19,83</w:t>
      </w:r>
      <w:r w:rsidRPr="009A0DA6">
        <w:rPr>
          <w:rFonts w:ascii="Cambria" w:eastAsia="Times New Roman" w:hAnsi="Cambria" w:cs="Times New Roman"/>
          <w:spacing w:val="6"/>
          <w:w w:val="110"/>
        </w:rPr>
        <w:t>3</w:t>
      </w:r>
      <w:r w:rsidRPr="009A0DA6">
        <w:rPr>
          <w:rFonts w:ascii="Cambria" w:eastAsia="Times New Roman" w:hAnsi="Cambria" w:cs="Times New Roman"/>
          <w:spacing w:val="6"/>
          <w:w w:val="110"/>
        </w:rPr>
        <w:tab/>
      </w:r>
      <w:r w:rsidRPr="009A0DA6">
        <w:rPr>
          <w:rFonts w:ascii="Cambria" w:eastAsia="Times New Roman" w:hAnsi="Cambria" w:cs="Times New Roman"/>
          <w:w w:val="113"/>
        </w:rPr>
        <w:t>1</w:t>
      </w:r>
      <w:r w:rsidRPr="009A0DA6">
        <w:rPr>
          <w:rFonts w:ascii="Cambria" w:eastAsia="Times New Roman" w:hAnsi="Cambria" w:cs="Times New Roman"/>
          <w:spacing w:val="-14"/>
          <w:w w:val="113"/>
        </w:rPr>
        <w:t>5</w:t>
      </w:r>
      <w:r w:rsidRPr="009A0DA6">
        <w:rPr>
          <w:rFonts w:ascii="Cambria" w:eastAsia="Times New Roman" w:hAnsi="Cambria" w:cs="Times New Roman"/>
          <w:spacing w:val="2"/>
          <w:w w:val="115"/>
        </w:rPr>
        <w:t>,</w:t>
      </w:r>
      <w:r w:rsidRPr="009A0DA6">
        <w:rPr>
          <w:rFonts w:ascii="Cambria" w:eastAsia="Times New Roman" w:hAnsi="Cambria" w:cs="Times New Roman"/>
          <w:w w:val="110"/>
        </w:rPr>
        <w:t>10</w:t>
      </w:r>
      <w:r w:rsidRPr="009A0DA6">
        <w:rPr>
          <w:rFonts w:ascii="Cambria" w:eastAsia="Times New Roman" w:hAnsi="Cambria" w:cs="Times New Roman"/>
          <w:spacing w:val="6"/>
          <w:w w:val="110"/>
        </w:rPr>
        <w:t>6</w:t>
      </w:r>
      <w:r w:rsidRPr="009A0DA6">
        <w:rPr>
          <w:rFonts w:ascii="Cambria" w:eastAsia="Times New Roman" w:hAnsi="Cambria" w:cs="Times New Roman"/>
          <w:spacing w:val="6"/>
          <w:w w:val="110"/>
        </w:rPr>
        <w:tab/>
        <w:t>28,885</w:t>
      </w:r>
    </w:p>
    <w:p w14:paraId="0B152AE5" w14:textId="77777777" w:rsidR="00D94020" w:rsidRPr="009A0DA6" w:rsidRDefault="00D94020" w:rsidP="00D94020">
      <w:pPr>
        <w:tabs>
          <w:tab w:val="right" w:pos="5954"/>
          <w:tab w:val="right" w:pos="7371"/>
          <w:tab w:val="right" w:pos="8789"/>
        </w:tabs>
        <w:spacing w:after="0" w:line="240" w:lineRule="auto"/>
        <w:ind w:right="-20"/>
        <w:contextualSpacing/>
        <w:rPr>
          <w:rFonts w:ascii="Cambria" w:eastAsia="Times New Roman" w:hAnsi="Cambria" w:cs="Times New Roman"/>
        </w:rPr>
      </w:pPr>
      <w:r w:rsidRPr="009A0DA6">
        <w:rPr>
          <w:rFonts w:ascii="Cambria" w:eastAsia="Arial" w:hAnsi="Cambria" w:cs="Arial"/>
        </w:rPr>
        <w:t>Project</w:t>
      </w:r>
      <w:r w:rsidRPr="009A0DA6">
        <w:rPr>
          <w:rFonts w:ascii="Cambria" w:eastAsia="Arial" w:hAnsi="Cambria" w:cs="Arial"/>
          <w:spacing w:val="36"/>
        </w:rPr>
        <w:t xml:space="preserve"> </w:t>
      </w:r>
      <w:r w:rsidRPr="009A0DA6">
        <w:rPr>
          <w:rFonts w:ascii="Cambria" w:eastAsia="Arial" w:hAnsi="Cambria" w:cs="Arial"/>
          <w:w w:val="110"/>
        </w:rPr>
        <w:t>Donations-</w:t>
      </w:r>
      <w:r w:rsidRPr="009A0DA6">
        <w:rPr>
          <w:rFonts w:ascii="Cambria" w:eastAsia="Arial" w:hAnsi="Cambria" w:cs="Arial"/>
          <w:spacing w:val="-2"/>
          <w:w w:val="110"/>
        </w:rPr>
        <w:t xml:space="preserve"> </w:t>
      </w:r>
      <w:r w:rsidRPr="009A0DA6">
        <w:rPr>
          <w:rFonts w:ascii="Cambria" w:eastAsia="Arial" w:hAnsi="Cambria" w:cs="Arial"/>
        </w:rPr>
        <w:t>see</w:t>
      </w:r>
      <w:r w:rsidRPr="009A0DA6">
        <w:rPr>
          <w:rFonts w:ascii="Cambria" w:eastAsia="Arial" w:hAnsi="Cambria" w:cs="Arial"/>
          <w:spacing w:val="-1"/>
        </w:rPr>
        <w:t xml:space="preserve"> </w:t>
      </w:r>
      <w:r w:rsidRPr="009A0DA6">
        <w:rPr>
          <w:rFonts w:ascii="Cambria" w:eastAsia="Arial" w:hAnsi="Cambria" w:cs="Arial"/>
          <w:w w:val="105"/>
        </w:rPr>
        <w:t>summary</w:t>
      </w:r>
      <w:r w:rsidRPr="009A0DA6">
        <w:rPr>
          <w:rFonts w:ascii="Cambria" w:eastAsia="Arial" w:hAnsi="Cambria" w:cs="Arial"/>
        </w:rPr>
        <w:tab/>
      </w:r>
      <w:r w:rsidRPr="009A0DA6">
        <w:rPr>
          <w:rFonts w:ascii="Cambria" w:eastAsia="Times New Roman" w:hAnsi="Cambria" w:cs="Times New Roman"/>
          <w:w w:val="108"/>
        </w:rPr>
        <w:t>17</w:t>
      </w:r>
      <w:r w:rsidRPr="009A0DA6">
        <w:rPr>
          <w:rFonts w:ascii="Cambria" w:eastAsia="Times New Roman" w:hAnsi="Cambria" w:cs="Times New Roman"/>
          <w:spacing w:val="9"/>
          <w:w w:val="108"/>
        </w:rPr>
        <w:t>2</w:t>
      </w:r>
      <w:r w:rsidRPr="009A0DA6">
        <w:rPr>
          <w:rFonts w:ascii="Cambria" w:eastAsia="Times New Roman" w:hAnsi="Cambria" w:cs="Times New Roman"/>
          <w:spacing w:val="4"/>
          <w:w w:val="89"/>
        </w:rPr>
        <w:t>.</w:t>
      </w:r>
      <w:r w:rsidRPr="009A0DA6">
        <w:rPr>
          <w:rFonts w:ascii="Cambria" w:eastAsia="Times New Roman" w:hAnsi="Cambria" w:cs="Times New Roman"/>
          <w:w w:val="114"/>
        </w:rPr>
        <w:t>10</w:t>
      </w:r>
      <w:r w:rsidRPr="009A0DA6">
        <w:rPr>
          <w:rFonts w:ascii="Cambria" w:eastAsia="Times New Roman" w:hAnsi="Cambria" w:cs="Times New Roman"/>
          <w:spacing w:val="-2"/>
          <w:w w:val="114"/>
        </w:rPr>
        <w:t>6</w:t>
      </w:r>
      <w:r w:rsidRPr="009A0DA6">
        <w:rPr>
          <w:rFonts w:ascii="Cambria" w:eastAsia="Times New Roman" w:hAnsi="Cambria" w:cs="Times New Roman"/>
          <w:w w:val="109"/>
        </w:rPr>
        <w:tab/>
      </w:r>
      <w:r w:rsidRPr="009A0DA6">
        <w:rPr>
          <w:rFonts w:ascii="Cambria" w:eastAsia="Times New Roman" w:hAnsi="Cambria" w:cs="Times New Roman"/>
          <w:w w:val="111"/>
        </w:rPr>
        <w:t>72,431</w:t>
      </w:r>
      <w:r w:rsidRPr="009A0DA6">
        <w:rPr>
          <w:rFonts w:ascii="Cambria" w:eastAsia="Times New Roman" w:hAnsi="Cambria" w:cs="Times New Roman"/>
          <w:w w:val="111"/>
        </w:rPr>
        <w:tab/>
        <w:t>183,350</w:t>
      </w:r>
    </w:p>
    <w:p w14:paraId="461B4279" w14:textId="046046AE" w:rsidR="00D94020" w:rsidRPr="009A0DA6" w:rsidRDefault="00AD7835" w:rsidP="00D94020">
      <w:pPr>
        <w:tabs>
          <w:tab w:val="right" w:pos="5954"/>
          <w:tab w:val="right" w:pos="7371"/>
          <w:tab w:val="right" w:pos="8789"/>
        </w:tabs>
        <w:spacing w:after="0" w:line="240" w:lineRule="auto"/>
        <w:ind w:right="-20"/>
        <w:contextualSpacing/>
        <w:rPr>
          <w:rFonts w:ascii="Cambria" w:eastAsia="Arial" w:hAnsi="Cambria" w:cs="Arial"/>
        </w:rPr>
      </w:pPr>
      <w:r w:rsidRPr="00AD7835">
        <w:rPr>
          <w:rStyle w:val="NoSpacingChar"/>
          <w:b/>
        </w:rPr>
        <w:t>Total Income</w:t>
      </w:r>
      <w:r w:rsidR="00D94020" w:rsidRPr="009A0DA6">
        <w:rPr>
          <w:rFonts w:ascii="Cambria" w:eastAsia="Arial" w:hAnsi="Cambria" w:cs="Arial"/>
        </w:rPr>
        <w:tab/>
        <w:t>$</w:t>
      </w:r>
      <w:r w:rsidR="00D94020" w:rsidRPr="009A0DA6">
        <w:rPr>
          <w:rFonts w:ascii="Cambria" w:eastAsia="Arial" w:hAnsi="Cambria" w:cs="Arial"/>
          <w:b/>
          <w:bCs/>
          <w:w w:val="110"/>
        </w:rPr>
        <w:t>178,299</w:t>
      </w:r>
      <w:r w:rsidR="00D94020" w:rsidRPr="009A0DA6">
        <w:rPr>
          <w:rFonts w:ascii="Cambria" w:eastAsia="Arial" w:hAnsi="Cambria" w:cs="Arial"/>
        </w:rPr>
        <w:tab/>
        <w:t>$</w:t>
      </w:r>
      <w:r w:rsidR="00D94020" w:rsidRPr="009A0DA6">
        <w:rPr>
          <w:rFonts w:ascii="Cambria" w:eastAsia="Arial" w:hAnsi="Cambria" w:cs="Arial"/>
          <w:b/>
          <w:bCs/>
          <w:w w:val="110"/>
        </w:rPr>
        <w:t>127,532</w:t>
      </w:r>
      <w:r w:rsidR="00D94020" w:rsidRPr="009A0DA6">
        <w:rPr>
          <w:rFonts w:ascii="Cambria" w:eastAsia="Arial" w:hAnsi="Cambria" w:cs="Arial"/>
          <w:b/>
          <w:bCs/>
          <w:w w:val="110"/>
        </w:rPr>
        <w:tab/>
        <w:t>$212,235</w:t>
      </w:r>
    </w:p>
    <w:p w14:paraId="05F98989" w14:textId="77777777" w:rsidR="0015713F" w:rsidRDefault="0015713F" w:rsidP="00AD7835">
      <w:pPr>
        <w:pStyle w:val="NoSpacing"/>
        <w:rPr>
          <w:b/>
        </w:rPr>
      </w:pPr>
    </w:p>
    <w:p w14:paraId="1ED1E70A" w14:textId="3251C4D9" w:rsidR="00D94020" w:rsidRPr="00AD7835" w:rsidRDefault="00D94020" w:rsidP="00AD7835">
      <w:pPr>
        <w:pStyle w:val="NoSpacing"/>
        <w:rPr>
          <w:b/>
        </w:rPr>
      </w:pPr>
      <w:r w:rsidRPr="00AD7835">
        <w:rPr>
          <w:b/>
        </w:rPr>
        <w:t>EXPENDITURE</w:t>
      </w:r>
    </w:p>
    <w:p w14:paraId="75991E41" w14:textId="77777777" w:rsidR="00D94020" w:rsidRPr="009A0DA6" w:rsidRDefault="00D94020" w:rsidP="00D94020">
      <w:pPr>
        <w:tabs>
          <w:tab w:val="right" w:pos="5954"/>
          <w:tab w:val="right" w:pos="7371"/>
          <w:tab w:val="right" w:pos="8789"/>
        </w:tabs>
        <w:spacing w:after="0" w:line="240" w:lineRule="auto"/>
        <w:contextualSpacing/>
        <w:rPr>
          <w:rFonts w:ascii="Cambria" w:eastAsiaTheme="minorEastAsia" w:hAnsi="Cambria"/>
        </w:rPr>
      </w:pPr>
      <w:r w:rsidRPr="00AD7835">
        <w:rPr>
          <w:rStyle w:val="NoSpacingChar"/>
        </w:rPr>
        <w:t>Executive travel</w:t>
      </w:r>
      <w:r w:rsidRPr="009A0DA6">
        <w:rPr>
          <w:rFonts w:ascii="Cambria" w:eastAsia="Arial" w:hAnsi="Cambria" w:cs="Arial"/>
        </w:rPr>
        <w:tab/>
      </w:r>
      <w:r w:rsidRPr="009A0DA6">
        <w:rPr>
          <w:rFonts w:ascii="Cambria" w:eastAsia="Times New Roman" w:hAnsi="Cambria" w:cs="Times New Roman"/>
          <w:spacing w:val="-41"/>
        </w:rPr>
        <w:t xml:space="preserve"> </w:t>
      </w:r>
      <w:r w:rsidRPr="009A0DA6">
        <w:rPr>
          <w:rFonts w:ascii="Cambria" w:eastAsia="Times New Roman" w:hAnsi="Cambria" w:cs="Times New Roman"/>
          <w:w w:val="109"/>
          <w:position w:val="1"/>
        </w:rPr>
        <w:t>2,482</w:t>
      </w:r>
      <w:r w:rsidRPr="009A0DA6">
        <w:rPr>
          <w:rFonts w:ascii="Cambria" w:hAnsi="Cambria"/>
        </w:rPr>
        <w:tab/>
      </w:r>
      <w:r w:rsidRPr="009A0DA6">
        <w:rPr>
          <w:rFonts w:ascii="Cambria" w:eastAsia="Times New Roman" w:hAnsi="Cambria" w:cs="Times New Roman"/>
          <w:w w:val="110"/>
        </w:rPr>
        <w:t>98</w:t>
      </w:r>
      <w:r w:rsidRPr="009A0DA6">
        <w:rPr>
          <w:rFonts w:ascii="Cambria" w:eastAsia="Times New Roman" w:hAnsi="Cambria" w:cs="Times New Roman"/>
          <w:spacing w:val="1"/>
          <w:w w:val="110"/>
        </w:rPr>
        <w:t>4</w:t>
      </w:r>
      <w:r w:rsidRPr="009A0DA6">
        <w:rPr>
          <w:rFonts w:ascii="Cambria" w:eastAsia="Times New Roman" w:hAnsi="Cambria" w:cs="Times New Roman"/>
          <w:spacing w:val="1"/>
          <w:w w:val="110"/>
        </w:rPr>
        <w:tab/>
        <w:t>2,794</w:t>
      </w:r>
    </w:p>
    <w:p w14:paraId="0E2AA997" w14:textId="77777777" w:rsidR="00D94020" w:rsidRPr="009A0DA6" w:rsidRDefault="00D94020" w:rsidP="00D94020">
      <w:pPr>
        <w:tabs>
          <w:tab w:val="right" w:pos="5954"/>
          <w:tab w:val="right" w:pos="7371"/>
          <w:tab w:val="right" w:pos="8789"/>
        </w:tabs>
        <w:spacing w:after="0" w:line="240" w:lineRule="auto"/>
        <w:contextualSpacing/>
        <w:rPr>
          <w:rFonts w:ascii="Cambria" w:hAnsi="Cambria"/>
        </w:rPr>
      </w:pPr>
      <w:r w:rsidRPr="00AD7835">
        <w:rPr>
          <w:rStyle w:val="NoSpacingChar"/>
        </w:rPr>
        <w:t>Exec travel to states</w:t>
      </w:r>
      <w:r w:rsidRPr="009A0DA6">
        <w:rPr>
          <w:rFonts w:ascii="Cambria" w:eastAsia="Arial" w:hAnsi="Cambria" w:cs="Arial"/>
        </w:rPr>
        <w:tab/>
      </w:r>
      <w:r w:rsidRPr="009A0DA6">
        <w:rPr>
          <w:rFonts w:ascii="Cambria" w:hAnsi="Cambria"/>
        </w:rPr>
        <w:tab/>
      </w:r>
      <w:r w:rsidRPr="009A0DA6">
        <w:rPr>
          <w:rFonts w:ascii="Cambria" w:eastAsia="Times New Roman" w:hAnsi="Cambria" w:cs="Times New Roman"/>
          <w:w w:val="110"/>
        </w:rPr>
        <w:t>1,42</w:t>
      </w:r>
      <w:r w:rsidRPr="009A0DA6">
        <w:rPr>
          <w:rFonts w:ascii="Cambria" w:eastAsia="Times New Roman" w:hAnsi="Cambria" w:cs="Times New Roman"/>
          <w:spacing w:val="5"/>
          <w:w w:val="110"/>
        </w:rPr>
        <w:t>7</w:t>
      </w:r>
      <w:r w:rsidRPr="009A0DA6">
        <w:rPr>
          <w:rFonts w:ascii="Cambria" w:eastAsia="Times New Roman" w:hAnsi="Cambria" w:cs="Times New Roman"/>
          <w:spacing w:val="5"/>
          <w:w w:val="110"/>
        </w:rPr>
        <w:tab/>
        <w:t>1,216</w:t>
      </w:r>
    </w:p>
    <w:p w14:paraId="15B8B0A4" w14:textId="77777777" w:rsidR="00D94020" w:rsidRPr="009A0DA6" w:rsidRDefault="00D94020" w:rsidP="00D94020">
      <w:pPr>
        <w:tabs>
          <w:tab w:val="right" w:pos="5954"/>
          <w:tab w:val="right" w:pos="7371"/>
          <w:tab w:val="right" w:pos="8789"/>
        </w:tabs>
        <w:spacing w:after="0" w:line="240" w:lineRule="auto"/>
        <w:contextualSpacing/>
        <w:rPr>
          <w:rFonts w:ascii="Cambria" w:hAnsi="Cambria"/>
        </w:rPr>
      </w:pPr>
      <w:r w:rsidRPr="00AD7835">
        <w:rPr>
          <w:rStyle w:val="NoSpacingChar"/>
        </w:rPr>
        <w:t>Council travel</w:t>
      </w:r>
      <w:r w:rsidRPr="009A0DA6">
        <w:rPr>
          <w:rFonts w:ascii="Cambria" w:eastAsia="Arial" w:hAnsi="Cambria" w:cs="Arial"/>
        </w:rPr>
        <w:tab/>
      </w:r>
      <w:r w:rsidRPr="009A0DA6">
        <w:rPr>
          <w:rFonts w:ascii="Cambria" w:eastAsia="Times New Roman" w:hAnsi="Cambria" w:cs="Times New Roman"/>
          <w:spacing w:val="6"/>
          <w:w w:val="108"/>
        </w:rPr>
        <w:t>3,437</w:t>
      </w:r>
      <w:r w:rsidRPr="009A0DA6">
        <w:rPr>
          <w:rFonts w:ascii="Cambria" w:eastAsia="Times New Roman" w:hAnsi="Cambria" w:cs="Times New Roman"/>
        </w:rPr>
        <w:tab/>
      </w:r>
      <w:r w:rsidRPr="009A0DA6">
        <w:rPr>
          <w:rFonts w:ascii="Cambria" w:eastAsia="Times New Roman" w:hAnsi="Cambria" w:cs="Times New Roman"/>
        </w:rPr>
        <w:tab/>
        <w:t>4,971</w:t>
      </w:r>
    </w:p>
    <w:p w14:paraId="695D528D" w14:textId="77777777" w:rsidR="00D94020" w:rsidRPr="009A0DA6" w:rsidRDefault="00D94020" w:rsidP="00D94020">
      <w:pPr>
        <w:tabs>
          <w:tab w:val="right" w:pos="5954"/>
          <w:tab w:val="right" w:pos="7371"/>
          <w:tab w:val="right" w:pos="8789"/>
        </w:tabs>
        <w:spacing w:after="0" w:line="240" w:lineRule="auto"/>
        <w:contextualSpacing/>
        <w:rPr>
          <w:rFonts w:ascii="Cambria" w:hAnsi="Cambria"/>
        </w:rPr>
      </w:pPr>
      <w:r w:rsidRPr="00AD7835">
        <w:rPr>
          <w:rStyle w:val="NoSpacingChar"/>
        </w:rPr>
        <w:t>Postage and Stationary</w:t>
      </w:r>
      <w:r w:rsidRPr="009A0DA6">
        <w:rPr>
          <w:rFonts w:ascii="Cambria" w:eastAsia="Arial" w:hAnsi="Cambria" w:cs="Arial"/>
        </w:rPr>
        <w:tab/>
      </w:r>
      <w:r w:rsidRPr="009A0DA6">
        <w:rPr>
          <w:rFonts w:ascii="Cambria" w:eastAsia="Times New Roman" w:hAnsi="Cambria" w:cs="Times New Roman"/>
          <w:w w:val="112"/>
        </w:rPr>
        <w:t>84</w:t>
      </w:r>
      <w:r w:rsidRPr="009A0DA6">
        <w:rPr>
          <w:rFonts w:ascii="Cambria" w:hAnsi="Cambria"/>
        </w:rPr>
        <w:tab/>
      </w:r>
      <w:r w:rsidRPr="009A0DA6">
        <w:rPr>
          <w:rFonts w:ascii="Cambria" w:eastAsia="Times New Roman" w:hAnsi="Cambria" w:cs="Times New Roman"/>
          <w:w w:val="110"/>
        </w:rPr>
        <w:t>13</w:t>
      </w:r>
      <w:r w:rsidRPr="009A0DA6">
        <w:rPr>
          <w:rFonts w:ascii="Cambria" w:eastAsia="Times New Roman" w:hAnsi="Cambria" w:cs="Times New Roman"/>
          <w:spacing w:val="1"/>
          <w:w w:val="110"/>
        </w:rPr>
        <w:t>0</w:t>
      </w:r>
      <w:r w:rsidRPr="009A0DA6">
        <w:rPr>
          <w:rFonts w:ascii="Cambria" w:eastAsia="Times New Roman" w:hAnsi="Cambria" w:cs="Times New Roman"/>
          <w:spacing w:val="1"/>
          <w:w w:val="110"/>
        </w:rPr>
        <w:tab/>
        <w:t>135</w:t>
      </w:r>
    </w:p>
    <w:p w14:paraId="3C34D64C" w14:textId="77777777" w:rsidR="00D94020" w:rsidRPr="009A0DA6" w:rsidRDefault="00D94020" w:rsidP="00D94020">
      <w:pPr>
        <w:tabs>
          <w:tab w:val="right" w:pos="5954"/>
          <w:tab w:val="right" w:pos="7371"/>
          <w:tab w:val="right" w:pos="8789"/>
        </w:tabs>
        <w:spacing w:after="0" w:line="240" w:lineRule="auto"/>
        <w:contextualSpacing/>
        <w:rPr>
          <w:rFonts w:ascii="Cambria" w:hAnsi="Cambria"/>
        </w:rPr>
      </w:pPr>
      <w:r w:rsidRPr="00AD7835">
        <w:rPr>
          <w:rStyle w:val="NoSpacingChar"/>
        </w:rPr>
        <w:t>Bible study writers</w:t>
      </w:r>
      <w:r w:rsidRPr="009A0DA6">
        <w:rPr>
          <w:rFonts w:ascii="Cambria" w:eastAsia="Arial" w:hAnsi="Cambria" w:cs="Arial"/>
        </w:rPr>
        <w:tab/>
      </w:r>
      <w:r w:rsidRPr="009A0DA6">
        <w:rPr>
          <w:rFonts w:ascii="Cambria" w:eastAsia="Times New Roman" w:hAnsi="Cambria" w:cs="Times New Roman"/>
          <w:w w:val="111"/>
        </w:rPr>
        <w:t>200</w:t>
      </w:r>
      <w:r w:rsidRPr="009A0DA6">
        <w:rPr>
          <w:rFonts w:ascii="Cambria" w:hAnsi="Cambria"/>
        </w:rPr>
        <w:tab/>
      </w:r>
      <w:r w:rsidRPr="009A0DA6">
        <w:rPr>
          <w:rFonts w:ascii="Cambria" w:eastAsia="Times New Roman" w:hAnsi="Cambria" w:cs="Times New Roman"/>
          <w:w w:val="112"/>
        </w:rPr>
        <w:t>10</w:t>
      </w:r>
      <w:r w:rsidRPr="009A0DA6">
        <w:rPr>
          <w:rFonts w:ascii="Cambria" w:eastAsia="Times New Roman" w:hAnsi="Cambria" w:cs="Times New Roman"/>
          <w:spacing w:val="1"/>
          <w:w w:val="112"/>
        </w:rPr>
        <w:t>0</w:t>
      </w:r>
      <w:r w:rsidRPr="009A0DA6">
        <w:rPr>
          <w:rFonts w:ascii="Cambria" w:eastAsia="Times New Roman" w:hAnsi="Cambria" w:cs="Times New Roman"/>
          <w:spacing w:val="1"/>
          <w:w w:val="112"/>
        </w:rPr>
        <w:tab/>
        <w:t>250</w:t>
      </w:r>
    </w:p>
    <w:p w14:paraId="520DEABD" w14:textId="77777777" w:rsidR="00D94020" w:rsidRPr="009A0DA6" w:rsidRDefault="00D94020" w:rsidP="00D94020">
      <w:pPr>
        <w:tabs>
          <w:tab w:val="right" w:pos="5954"/>
          <w:tab w:val="right" w:pos="7371"/>
          <w:tab w:val="right" w:pos="8789"/>
        </w:tabs>
        <w:spacing w:after="0" w:line="240" w:lineRule="auto"/>
        <w:contextualSpacing/>
        <w:rPr>
          <w:rFonts w:ascii="Cambria" w:hAnsi="Cambria"/>
        </w:rPr>
      </w:pPr>
      <w:r w:rsidRPr="00AD7835">
        <w:rPr>
          <w:rStyle w:val="NoSpacingChar"/>
        </w:rPr>
        <w:t>Convention 2018 - for bags</w:t>
      </w:r>
      <w:r w:rsidRPr="009A0DA6">
        <w:rPr>
          <w:rFonts w:ascii="Cambria" w:eastAsia="Arial" w:hAnsi="Cambria" w:cs="Arial"/>
        </w:rPr>
        <w:tab/>
      </w:r>
      <w:r w:rsidRPr="009A0DA6">
        <w:rPr>
          <w:rFonts w:ascii="Cambria" w:eastAsia="Times New Roman" w:hAnsi="Cambria" w:cs="Times New Roman"/>
          <w:w w:val="110"/>
        </w:rPr>
        <w:t>31</w:t>
      </w:r>
      <w:r w:rsidRPr="009A0DA6">
        <w:rPr>
          <w:rFonts w:ascii="Cambria" w:eastAsia="Times New Roman" w:hAnsi="Cambria" w:cs="Times New Roman"/>
          <w:spacing w:val="5"/>
          <w:w w:val="110"/>
        </w:rPr>
        <w:t>8</w:t>
      </w:r>
      <w:r w:rsidRPr="009A0DA6">
        <w:rPr>
          <w:rFonts w:ascii="Cambria" w:hAnsi="Cambria"/>
        </w:rPr>
        <w:tab/>
      </w:r>
      <w:r w:rsidRPr="009A0DA6">
        <w:rPr>
          <w:rFonts w:ascii="Cambria" w:hAnsi="Cambria"/>
        </w:rPr>
        <w:tab/>
        <w:t>0</w:t>
      </w:r>
    </w:p>
    <w:p w14:paraId="7AF33949" w14:textId="77777777" w:rsidR="00D94020" w:rsidRPr="009A0DA6" w:rsidRDefault="00D94020" w:rsidP="00D94020">
      <w:pPr>
        <w:tabs>
          <w:tab w:val="right" w:pos="5954"/>
          <w:tab w:val="right" w:pos="7371"/>
          <w:tab w:val="right" w:pos="8789"/>
        </w:tabs>
        <w:spacing w:after="0" w:line="240" w:lineRule="auto"/>
        <w:contextualSpacing/>
        <w:rPr>
          <w:rFonts w:ascii="Cambria" w:hAnsi="Cambria"/>
        </w:rPr>
      </w:pPr>
      <w:r w:rsidRPr="00AD7835">
        <w:rPr>
          <w:rStyle w:val="NoSpacingChar"/>
        </w:rPr>
        <w:t>Auditor Honoraria</w:t>
      </w:r>
      <w:r w:rsidRPr="009A0DA6">
        <w:rPr>
          <w:rFonts w:ascii="Cambria" w:eastAsia="Times New Roman" w:hAnsi="Cambria" w:cs="Times New Roman"/>
        </w:rPr>
        <w:tab/>
      </w:r>
      <w:r w:rsidRPr="009A0DA6">
        <w:rPr>
          <w:rFonts w:ascii="Cambria" w:eastAsia="Times New Roman" w:hAnsi="Cambria" w:cs="Times New Roman"/>
          <w:w w:val="112"/>
        </w:rPr>
        <w:t>10</w:t>
      </w:r>
      <w:r w:rsidRPr="009A0DA6">
        <w:rPr>
          <w:rFonts w:ascii="Cambria" w:eastAsia="Times New Roman" w:hAnsi="Cambria" w:cs="Times New Roman"/>
          <w:spacing w:val="-4"/>
          <w:w w:val="112"/>
        </w:rPr>
        <w:t>0</w:t>
      </w:r>
      <w:r w:rsidRPr="009A0DA6">
        <w:rPr>
          <w:rFonts w:ascii="Cambria" w:hAnsi="Cambria"/>
        </w:rPr>
        <w:tab/>
      </w:r>
      <w:r w:rsidRPr="009A0DA6">
        <w:rPr>
          <w:rFonts w:ascii="Cambria" w:eastAsia="Times New Roman" w:hAnsi="Cambria" w:cs="Times New Roman"/>
          <w:w w:val="110"/>
        </w:rPr>
        <w:t>10</w:t>
      </w:r>
      <w:r w:rsidRPr="009A0DA6">
        <w:rPr>
          <w:rFonts w:ascii="Cambria" w:eastAsia="Times New Roman" w:hAnsi="Cambria" w:cs="Times New Roman"/>
          <w:spacing w:val="1"/>
          <w:w w:val="110"/>
        </w:rPr>
        <w:t>0</w:t>
      </w:r>
      <w:r w:rsidRPr="009A0DA6">
        <w:rPr>
          <w:rFonts w:ascii="Cambria" w:eastAsia="Times New Roman" w:hAnsi="Cambria" w:cs="Times New Roman"/>
        </w:rPr>
        <w:tab/>
        <w:t>0</w:t>
      </w:r>
    </w:p>
    <w:p w14:paraId="5FE9A38C" w14:textId="77777777" w:rsidR="00D94020" w:rsidRPr="009A0DA6" w:rsidRDefault="00D94020" w:rsidP="00D94020">
      <w:pPr>
        <w:tabs>
          <w:tab w:val="right" w:pos="5954"/>
          <w:tab w:val="right" w:pos="7371"/>
          <w:tab w:val="right" w:pos="8789"/>
        </w:tabs>
        <w:spacing w:after="0" w:line="240" w:lineRule="auto"/>
        <w:contextualSpacing/>
        <w:rPr>
          <w:rFonts w:ascii="Cambria" w:hAnsi="Cambria"/>
        </w:rPr>
      </w:pPr>
      <w:r w:rsidRPr="00AD7835">
        <w:rPr>
          <w:rStyle w:val="NoSpacingChar"/>
        </w:rPr>
        <w:t>LCA Subs (LW Mag Past Stud)</w:t>
      </w:r>
      <w:r w:rsidRPr="009A0DA6">
        <w:rPr>
          <w:rFonts w:ascii="Cambria" w:eastAsia="Arial" w:hAnsi="Cambria" w:cs="Arial"/>
        </w:rPr>
        <w:tab/>
      </w:r>
      <w:r w:rsidRPr="009A0DA6">
        <w:rPr>
          <w:rFonts w:ascii="Cambria" w:eastAsia="Times New Roman" w:hAnsi="Cambria" w:cs="Times New Roman"/>
          <w:w w:val="110"/>
        </w:rPr>
        <w:t>20</w:t>
      </w:r>
      <w:r w:rsidRPr="009A0DA6">
        <w:rPr>
          <w:rFonts w:ascii="Cambria" w:eastAsia="Times New Roman" w:hAnsi="Cambria" w:cs="Times New Roman"/>
          <w:spacing w:val="1"/>
          <w:w w:val="110"/>
        </w:rPr>
        <w:t>0</w:t>
      </w:r>
      <w:r w:rsidRPr="009A0DA6">
        <w:rPr>
          <w:rFonts w:ascii="Cambria" w:hAnsi="Cambria"/>
        </w:rPr>
        <w:tab/>
      </w:r>
      <w:r w:rsidRPr="009A0DA6">
        <w:rPr>
          <w:rFonts w:ascii="Cambria" w:hAnsi="Cambria"/>
        </w:rPr>
        <w:tab/>
        <w:t>0</w:t>
      </w:r>
    </w:p>
    <w:p w14:paraId="21341FC8" w14:textId="77777777" w:rsidR="00D94020" w:rsidRPr="009A0DA6" w:rsidRDefault="00D94020" w:rsidP="00D94020">
      <w:pPr>
        <w:tabs>
          <w:tab w:val="right" w:pos="5954"/>
          <w:tab w:val="right" w:pos="7371"/>
          <w:tab w:val="right" w:pos="8789"/>
        </w:tabs>
        <w:spacing w:after="0" w:line="240" w:lineRule="auto"/>
        <w:contextualSpacing/>
        <w:rPr>
          <w:rFonts w:ascii="Cambria" w:hAnsi="Cambria"/>
        </w:rPr>
      </w:pPr>
      <w:r w:rsidRPr="00AD7835">
        <w:rPr>
          <w:rStyle w:val="NoSpacingChar"/>
        </w:rPr>
        <w:t>Painting- Convention</w:t>
      </w:r>
      <w:r w:rsidRPr="009A0DA6">
        <w:rPr>
          <w:rFonts w:ascii="Cambria" w:eastAsia="Arial" w:hAnsi="Cambria" w:cs="Arial"/>
        </w:rPr>
        <w:tab/>
      </w:r>
      <w:r w:rsidRPr="009A0DA6">
        <w:rPr>
          <w:rFonts w:ascii="Cambria" w:eastAsia="Times New Roman" w:hAnsi="Cambria" w:cs="Times New Roman"/>
          <w:w w:val="111"/>
        </w:rPr>
        <w:t>219</w:t>
      </w:r>
      <w:r w:rsidRPr="009A0DA6">
        <w:rPr>
          <w:rFonts w:ascii="Cambria" w:hAnsi="Cambria"/>
        </w:rPr>
        <w:tab/>
      </w:r>
      <w:r w:rsidRPr="009A0DA6">
        <w:rPr>
          <w:rFonts w:ascii="Cambria" w:hAnsi="Cambria"/>
        </w:rPr>
        <w:tab/>
        <w:t>0</w:t>
      </w:r>
    </w:p>
    <w:p w14:paraId="67B4010A" w14:textId="77777777" w:rsidR="00D94020" w:rsidRPr="009A0DA6" w:rsidRDefault="00D94020" w:rsidP="00D94020">
      <w:pPr>
        <w:tabs>
          <w:tab w:val="right" w:pos="5954"/>
          <w:tab w:val="right" w:pos="7371"/>
          <w:tab w:val="right" w:pos="8789"/>
        </w:tabs>
        <w:spacing w:after="0" w:line="240" w:lineRule="auto"/>
        <w:ind w:right="-20"/>
        <w:contextualSpacing/>
        <w:rPr>
          <w:rFonts w:ascii="Cambria" w:eastAsia="Times New Roman" w:hAnsi="Cambria" w:cs="Times New Roman"/>
          <w:w w:val="110"/>
        </w:rPr>
      </w:pPr>
      <w:r w:rsidRPr="00AD7835">
        <w:rPr>
          <w:rStyle w:val="NoSpacingChar"/>
        </w:rPr>
        <w:t>Total Expenditure</w:t>
      </w:r>
      <w:r w:rsidRPr="009A0DA6">
        <w:rPr>
          <w:rFonts w:ascii="Cambria" w:eastAsia="Arial" w:hAnsi="Cambria" w:cs="Arial"/>
        </w:rPr>
        <w:tab/>
      </w:r>
      <w:r w:rsidRPr="009A0DA6">
        <w:rPr>
          <w:rFonts w:ascii="Cambria" w:eastAsia="Times New Roman" w:hAnsi="Cambria" w:cs="Times New Roman"/>
          <w:spacing w:val="-2"/>
          <w:w w:val="111"/>
        </w:rPr>
        <w:t>7</w:t>
      </w:r>
      <w:r w:rsidRPr="009A0DA6">
        <w:rPr>
          <w:rFonts w:ascii="Cambria" w:eastAsia="Times New Roman" w:hAnsi="Cambria" w:cs="Times New Roman"/>
          <w:spacing w:val="7"/>
          <w:w w:val="98"/>
        </w:rPr>
        <w:t>,</w:t>
      </w:r>
      <w:r w:rsidRPr="009A0DA6">
        <w:rPr>
          <w:rFonts w:ascii="Cambria" w:eastAsia="Times New Roman" w:hAnsi="Cambria" w:cs="Times New Roman"/>
          <w:w w:val="111"/>
        </w:rPr>
        <w:t>040</w:t>
      </w:r>
      <w:r w:rsidRPr="009A0DA6">
        <w:rPr>
          <w:rFonts w:ascii="Cambria" w:hAnsi="Cambria"/>
        </w:rPr>
        <w:tab/>
      </w:r>
      <w:r w:rsidRPr="009A0DA6">
        <w:rPr>
          <w:rFonts w:ascii="Cambria" w:eastAsia="Times New Roman" w:hAnsi="Cambria" w:cs="Times New Roman"/>
          <w:spacing w:val="1"/>
          <w:w w:val="108"/>
        </w:rPr>
        <w:t>2</w:t>
      </w:r>
      <w:r w:rsidRPr="009A0DA6">
        <w:rPr>
          <w:rFonts w:ascii="Cambria" w:eastAsia="Times New Roman" w:hAnsi="Cambria" w:cs="Times New Roman"/>
          <w:spacing w:val="8"/>
          <w:w w:val="115"/>
        </w:rPr>
        <w:t>,</w:t>
      </w:r>
      <w:r w:rsidRPr="009A0DA6">
        <w:rPr>
          <w:rFonts w:ascii="Cambria" w:eastAsia="Times New Roman" w:hAnsi="Cambria" w:cs="Times New Roman"/>
          <w:w w:val="110"/>
        </w:rPr>
        <w:t>741</w:t>
      </w:r>
      <w:r w:rsidRPr="009A0DA6">
        <w:rPr>
          <w:rFonts w:ascii="Cambria" w:eastAsia="Times New Roman" w:hAnsi="Cambria" w:cs="Times New Roman"/>
          <w:w w:val="110"/>
        </w:rPr>
        <w:tab/>
        <w:t>9,366</w:t>
      </w:r>
    </w:p>
    <w:p w14:paraId="7F98BE1C" w14:textId="77777777" w:rsidR="00D94020" w:rsidRPr="009A0DA6" w:rsidRDefault="00D94020" w:rsidP="00D94020">
      <w:pPr>
        <w:tabs>
          <w:tab w:val="right" w:pos="5954"/>
          <w:tab w:val="right" w:pos="7371"/>
          <w:tab w:val="right" w:pos="8789"/>
        </w:tabs>
        <w:spacing w:after="0" w:line="240" w:lineRule="auto"/>
        <w:ind w:right="-20"/>
        <w:contextualSpacing/>
        <w:rPr>
          <w:rFonts w:ascii="Cambria" w:eastAsia="Times New Roman" w:hAnsi="Cambria" w:cs="Times New Roman"/>
          <w:w w:val="110"/>
        </w:rPr>
      </w:pPr>
      <w:r w:rsidRPr="00AD7835">
        <w:rPr>
          <w:rStyle w:val="NoSpacingChar"/>
        </w:rPr>
        <w:t>LWA Convention 2015</w:t>
      </w:r>
      <w:r w:rsidRPr="009A0DA6">
        <w:rPr>
          <w:rFonts w:ascii="Cambria" w:eastAsia="Times New Roman" w:hAnsi="Cambria" w:cs="Times New Roman"/>
          <w:w w:val="110"/>
        </w:rPr>
        <w:tab/>
        <w:t>0</w:t>
      </w:r>
      <w:r w:rsidRPr="009A0DA6">
        <w:rPr>
          <w:rFonts w:ascii="Cambria" w:eastAsia="Times New Roman" w:hAnsi="Cambria" w:cs="Times New Roman"/>
          <w:w w:val="110"/>
        </w:rPr>
        <w:tab/>
        <w:t>0</w:t>
      </w:r>
      <w:r w:rsidRPr="009A0DA6">
        <w:rPr>
          <w:rFonts w:ascii="Cambria" w:eastAsia="Times New Roman" w:hAnsi="Cambria" w:cs="Times New Roman"/>
          <w:w w:val="110"/>
        </w:rPr>
        <w:tab/>
        <w:t>5,484</w:t>
      </w:r>
    </w:p>
    <w:p w14:paraId="21C24471" w14:textId="77777777" w:rsidR="00D94020" w:rsidRPr="009A0DA6" w:rsidRDefault="00D94020" w:rsidP="00D94020">
      <w:pPr>
        <w:tabs>
          <w:tab w:val="right" w:pos="5954"/>
          <w:tab w:val="right" w:pos="7371"/>
          <w:tab w:val="right" w:pos="8789"/>
        </w:tabs>
        <w:spacing w:after="0" w:line="240" w:lineRule="auto"/>
        <w:ind w:right="-20"/>
        <w:contextualSpacing/>
        <w:rPr>
          <w:rFonts w:ascii="Cambria" w:eastAsia="Times New Roman" w:hAnsi="Cambria" w:cs="Times New Roman"/>
        </w:rPr>
      </w:pPr>
      <w:r w:rsidRPr="00AD7835">
        <w:rPr>
          <w:rStyle w:val="NoSpacingChar"/>
        </w:rPr>
        <w:t>Special convention Project 2015</w:t>
      </w:r>
      <w:r w:rsidRPr="009A0DA6">
        <w:rPr>
          <w:rFonts w:ascii="Cambria" w:eastAsia="Times New Roman" w:hAnsi="Cambria" w:cs="Times New Roman"/>
          <w:w w:val="110"/>
        </w:rPr>
        <w:tab/>
      </w:r>
      <w:r w:rsidRPr="009A0DA6">
        <w:rPr>
          <w:rFonts w:ascii="Cambria" w:eastAsia="Times New Roman" w:hAnsi="Cambria" w:cs="Times New Roman"/>
          <w:w w:val="110"/>
        </w:rPr>
        <w:tab/>
      </w:r>
      <w:r w:rsidRPr="009A0DA6">
        <w:rPr>
          <w:rFonts w:ascii="Cambria" w:eastAsia="Times New Roman" w:hAnsi="Cambria" w:cs="Times New Roman"/>
          <w:w w:val="110"/>
        </w:rPr>
        <w:tab/>
        <w:t>37,865</w:t>
      </w:r>
    </w:p>
    <w:p w14:paraId="34C857BA" w14:textId="77777777" w:rsidR="00D94020" w:rsidRPr="009A0DA6" w:rsidRDefault="00D94020" w:rsidP="00D94020">
      <w:pPr>
        <w:tabs>
          <w:tab w:val="right" w:pos="5954"/>
          <w:tab w:val="right" w:pos="7371"/>
          <w:tab w:val="right" w:pos="8789"/>
        </w:tabs>
        <w:spacing w:after="0" w:line="240" w:lineRule="auto"/>
        <w:ind w:right="-20"/>
        <w:contextualSpacing/>
        <w:rPr>
          <w:rFonts w:ascii="Cambria" w:eastAsia="Times New Roman" w:hAnsi="Cambria" w:cs="Times New Roman"/>
        </w:rPr>
      </w:pPr>
      <w:r w:rsidRPr="00AD7835">
        <w:rPr>
          <w:rStyle w:val="NoSpacingChar"/>
        </w:rPr>
        <w:t>Project Donations- see summary</w:t>
      </w:r>
      <w:r w:rsidRPr="009A0DA6">
        <w:rPr>
          <w:rFonts w:ascii="Cambria" w:eastAsia="Arial" w:hAnsi="Cambria" w:cs="Arial"/>
        </w:rPr>
        <w:tab/>
      </w:r>
      <w:r w:rsidRPr="009A0DA6">
        <w:rPr>
          <w:rFonts w:ascii="Cambria" w:eastAsia="Times New Roman" w:hAnsi="Cambria" w:cs="Times New Roman"/>
          <w:w w:val="109"/>
        </w:rPr>
        <w:t>17</w:t>
      </w:r>
      <w:r w:rsidRPr="009A0DA6">
        <w:rPr>
          <w:rFonts w:ascii="Cambria" w:eastAsia="Times New Roman" w:hAnsi="Cambria" w:cs="Times New Roman"/>
          <w:spacing w:val="-2"/>
          <w:w w:val="109"/>
        </w:rPr>
        <w:t>2</w:t>
      </w:r>
      <w:r w:rsidRPr="009A0DA6">
        <w:rPr>
          <w:rFonts w:ascii="Cambria" w:eastAsia="Times New Roman" w:hAnsi="Cambria" w:cs="Times New Roman"/>
          <w:spacing w:val="2"/>
          <w:w w:val="115"/>
        </w:rPr>
        <w:t>,</w:t>
      </w:r>
      <w:r w:rsidRPr="009A0DA6">
        <w:rPr>
          <w:rFonts w:ascii="Cambria" w:eastAsia="Times New Roman" w:hAnsi="Cambria" w:cs="Times New Roman"/>
          <w:w w:val="113"/>
        </w:rPr>
        <w:t>10</w:t>
      </w:r>
      <w:r w:rsidRPr="009A0DA6">
        <w:rPr>
          <w:rFonts w:ascii="Cambria" w:eastAsia="Times New Roman" w:hAnsi="Cambria" w:cs="Times New Roman"/>
          <w:spacing w:val="-2"/>
          <w:w w:val="113"/>
        </w:rPr>
        <w:t>4</w:t>
      </w:r>
      <w:r w:rsidRPr="009A0DA6">
        <w:rPr>
          <w:rFonts w:ascii="Cambria" w:hAnsi="Cambria"/>
        </w:rPr>
        <w:tab/>
      </w:r>
      <w:r w:rsidRPr="009A0DA6">
        <w:rPr>
          <w:rFonts w:ascii="Cambria" w:eastAsia="Times New Roman" w:hAnsi="Cambria" w:cs="Times New Roman"/>
          <w:w w:val="111"/>
        </w:rPr>
        <w:t>72,431</w:t>
      </w:r>
      <w:r w:rsidRPr="009A0DA6">
        <w:rPr>
          <w:rFonts w:ascii="Cambria" w:eastAsia="Times New Roman" w:hAnsi="Cambria" w:cs="Times New Roman"/>
          <w:w w:val="111"/>
        </w:rPr>
        <w:tab/>
        <w:t>116,501</w:t>
      </w:r>
    </w:p>
    <w:p w14:paraId="04DA48A6" w14:textId="54B0D4F3" w:rsidR="00D94020" w:rsidRPr="009A0DA6" w:rsidRDefault="00D94020" w:rsidP="00D94020">
      <w:pPr>
        <w:tabs>
          <w:tab w:val="right" w:pos="5954"/>
          <w:tab w:val="right" w:pos="7371"/>
          <w:tab w:val="right" w:pos="8789"/>
        </w:tabs>
        <w:spacing w:after="0" w:line="240" w:lineRule="auto"/>
        <w:ind w:right="-20"/>
        <w:contextualSpacing/>
        <w:rPr>
          <w:rFonts w:ascii="Cambria" w:eastAsia="Arial" w:hAnsi="Cambria" w:cs="Arial"/>
        </w:rPr>
      </w:pPr>
      <w:r w:rsidRPr="00AD7835">
        <w:rPr>
          <w:rStyle w:val="NoSpacingChar"/>
          <w:b/>
        </w:rPr>
        <w:t>Total Expenditure</w:t>
      </w:r>
      <w:r w:rsidRPr="009A0DA6">
        <w:rPr>
          <w:rFonts w:ascii="Cambria" w:eastAsia="Arial" w:hAnsi="Cambria" w:cs="Arial"/>
        </w:rPr>
        <w:tab/>
        <w:t>$</w:t>
      </w:r>
      <w:r w:rsidRPr="009A0DA6">
        <w:rPr>
          <w:rFonts w:ascii="Cambria" w:eastAsia="Arial" w:hAnsi="Cambria" w:cs="Arial"/>
          <w:b/>
          <w:bCs/>
          <w:w w:val="109"/>
        </w:rPr>
        <w:t>179,14</w:t>
      </w:r>
      <w:r w:rsidRPr="009A0DA6">
        <w:rPr>
          <w:rFonts w:ascii="Cambria" w:eastAsia="Arial" w:hAnsi="Cambria" w:cs="Arial"/>
          <w:b/>
          <w:bCs/>
          <w:spacing w:val="4"/>
          <w:w w:val="110"/>
        </w:rPr>
        <w:t>6</w:t>
      </w:r>
      <w:r w:rsidRPr="009A0DA6">
        <w:rPr>
          <w:rFonts w:ascii="Cambria" w:hAnsi="Cambria"/>
        </w:rPr>
        <w:tab/>
        <w:t>$</w:t>
      </w:r>
      <w:r w:rsidRPr="009A0DA6">
        <w:rPr>
          <w:rFonts w:ascii="Cambria" w:eastAsia="Arial" w:hAnsi="Cambria" w:cs="Arial"/>
          <w:b/>
          <w:bCs/>
          <w:w w:val="108"/>
        </w:rPr>
        <w:t>75,171</w:t>
      </w:r>
      <w:r w:rsidRPr="009A0DA6">
        <w:rPr>
          <w:rFonts w:ascii="Cambria" w:eastAsia="Arial" w:hAnsi="Cambria" w:cs="Arial"/>
          <w:b/>
          <w:bCs/>
          <w:w w:val="108"/>
        </w:rPr>
        <w:tab/>
        <w:t>169,216</w:t>
      </w:r>
    </w:p>
    <w:p w14:paraId="4521C61F" w14:textId="77777777" w:rsidR="00D94020" w:rsidRPr="009A0DA6" w:rsidRDefault="00D94020" w:rsidP="00D94020">
      <w:pPr>
        <w:tabs>
          <w:tab w:val="right" w:pos="5954"/>
          <w:tab w:val="right" w:pos="7371"/>
          <w:tab w:val="right" w:pos="8789"/>
        </w:tabs>
        <w:spacing w:after="0" w:line="240" w:lineRule="auto"/>
        <w:contextualSpacing/>
        <w:rPr>
          <w:rFonts w:ascii="Cambria" w:eastAsiaTheme="minorEastAsia" w:hAnsi="Cambria"/>
        </w:rPr>
      </w:pPr>
    </w:p>
    <w:p w14:paraId="3BBA677B" w14:textId="73930454" w:rsidR="00D94020" w:rsidRPr="00AD7835" w:rsidRDefault="00AD7835" w:rsidP="00AD7835">
      <w:pPr>
        <w:pStyle w:val="NoSpacing"/>
        <w:rPr>
          <w:b/>
        </w:rPr>
      </w:pPr>
      <w:r w:rsidRPr="00AD7835">
        <w:rPr>
          <w:b/>
        </w:rPr>
        <w:t>LWA</w:t>
      </w:r>
      <w:r w:rsidR="00D94020" w:rsidRPr="00AD7835">
        <w:rPr>
          <w:b/>
        </w:rPr>
        <w:t xml:space="preserve"> PROJECT SUMMARY</w:t>
      </w:r>
    </w:p>
    <w:p w14:paraId="7920B9D0" w14:textId="77777777" w:rsidR="00D94020" w:rsidRPr="00AD7835" w:rsidRDefault="00D94020" w:rsidP="00AD7835">
      <w:pPr>
        <w:pStyle w:val="NoSpacing"/>
        <w:rPr>
          <w:b/>
        </w:rPr>
      </w:pPr>
      <w:r w:rsidRPr="00AD7835">
        <w:rPr>
          <w:b/>
        </w:rPr>
        <w:t>LCA MISSION INTERNATIONAL</w:t>
      </w:r>
    </w:p>
    <w:p w14:paraId="7785627C" w14:textId="77777777" w:rsidR="00D94020" w:rsidRPr="009A0DA6" w:rsidRDefault="00D94020" w:rsidP="00D94020">
      <w:pPr>
        <w:tabs>
          <w:tab w:val="right" w:pos="5954"/>
          <w:tab w:val="right" w:pos="7371"/>
          <w:tab w:val="right" w:pos="8789"/>
        </w:tabs>
        <w:spacing w:after="0" w:line="240" w:lineRule="auto"/>
        <w:contextualSpacing/>
        <w:rPr>
          <w:rFonts w:ascii="Cambria" w:eastAsiaTheme="minorEastAsia" w:hAnsi="Cambria"/>
        </w:rPr>
      </w:pPr>
      <w:r w:rsidRPr="00AD7835">
        <w:rPr>
          <w:rStyle w:val="NoSpacingChar"/>
        </w:rPr>
        <w:t>Bethany Home Malaysia</w:t>
      </w:r>
      <w:r w:rsidRPr="009A0DA6">
        <w:rPr>
          <w:rFonts w:ascii="Cambria" w:eastAsia="Arial" w:hAnsi="Cambria" w:cs="Arial"/>
        </w:rPr>
        <w:tab/>
      </w:r>
      <w:r w:rsidRPr="009A0DA6">
        <w:rPr>
          <w:rFonts w:ascii="Cambria" w:eastAsia="Times New Roman" w:hAnsi="Cambria" w:cs="Times New Roman"/>
          <w:w w:val="111"/>
        </w:rPr>
        <w:t>1</w:t>
      </w:r>
      <w:r w:rsidRPr="009A0DA6">
        <w:rPr>
          <w:rFonts w:ascii="Cambria" w:eastAsia="Times New Roman" w:hAnsi="Cambria" w:cs="Times New Roman"/>
          <w:spacing w:val="-6"/>
          <w:w w:val="111"/>
        </w:rPr>
        <w:t>5</w:t>
      </w:r>
      <w:r w:rsidRPr="009A0DA6">
        <w:rPr>
          <w:rFonts w:ascii="Cambria" w:eastAsia="Times New Roman" w:hAnsi="Cambria" w:cs="Times New Roman"/>
          <w:spacing w:val="6"/>
          <w:w w:val="115"/>
        </w:rPr>
        <w:t>,</w:t>
      </w:r>
      <w:r w:rsidRPr="009A0DA6">
        <w:rPr>
          <w:rFonts w:ascii="Cambria" w:eastAsia="Times New Roman" w:hAnsi="Cambria" w:cs="Times New Roman"/>
          <w:w w:val="109"/>
        </w:rPr>
        <w:t>52</w:t>
      </w:r>
      <w:r w:rsidRPr="009A0DA6">
        <w:rPr>
          <w:rFonts w:ascii="Cambria" w:eastAsia="Times New Roman" w:hAnsi="Cambria" w:cs="Times New Roman"/>
          <w:spacing w:val="6"/>
          <w:w w:val="109"/>
        </w:rPr>
        <w:t>2</w:t>
      </w:r>
      <w:r w:rsidRPr="009A0DA6">
        <w:rPr>
          <w:rFonts w:ascii="Cambria" w:hAnsi="Cambria"/>
        </w:rPr>
        <w:tab/>
      </w:r>
      <w:r w:rsidRPr="009A0DA6">
        <w:rPr>
          <w:rFonts w:ascii="Cambria" w:eastAsia="Times New Roman" w:hAnsi="Cambria" w:cs="Times New Roman"/>
          <w:w w:val="110"/>
        </w:rPr>
        <w:t>5,96</w:t>
      </w:r>
      <w:r w:rsidRPr="009A0DA6">
        <w:rPr>
          <w:rFonts w:ascii="Cambria" w:eastAsia="Times New Roman" w:hAnsi="Cambria" w:cs="Times New Roman"/>
          <w:spacing w:val="5"/>
          <w:w w:val="110"/>
        </w:rPr>
        <w:t>7</w:t>
      </w:r>
      <w:r w:rsidRPr="009A0DA6">
        <w:rPr>
          <w:rFonts w:ascii="Cambria" w:eastAsia="Times New Roman" w:hAnsi="Cambria" w:cs="Times New Roman"/>
        </w:rPr>
        <w:tab/>
        <w:t>8.811</w:t>
      </w:r>
    </w:p>
    <w:p w14:paraId="53202E0D" w14:textId="77777777" w:rsidR="00D94020" w:rsidRPr="009A0DA6" w:rsidRDefault="00D94020" w:rsidP="00D94020">
      <w:pPr>
        <w:tabs>
          <w:tab w:val="right" w:pos="5954"/>
          <w:tab w:val="right" w:pos="7371"/>
          <w:tab w:val="right" w:pos="8789"/>
        </w:tabs>
        <w:spacing w:after="0" w:line="240" w:lineRule="auto"/>
        <w:contextualSpacing/>
        <w:rPr>
          <w:rFonts w:ascii="Cambria" w:hAnsi="Cambria"/>
        </w:rPr>
      </w:pPr>
      <w:r w:rsidRPr="00AD7835">
        <w:rPr>
          <w:rStyle w:val="NoSpacingChar"/>
        </w:rPr>
        <w:t>PNG Meri Wok Training</w:t>
      </w:r>
      <w:r w:rsidRPr="009A0DA6">
        <w:rPr>
          <w:rFonts w:ascii="Cambria" w:eastAsia="Arial" w:hAnsi="Cambria" w:cs="Arial"/>
        </w:rPr>
        <w:tab/>
      </w:r>
      <w:r w:rsidRPr="009A0DA6">
        <w:rPr>
          <w:rFonts w:ascii="Cambria" w:eastAsia="Times New Roman" w:hAnsi="Cambria" w:cs="Times New Roman"/>
          <w:w w:val="109"/>
        </w:rPr>
        <w:t>1</w:t>
      </w:r>
      <w:r w:rsidRPr="009A0DA6">
        <w:rPr>
          <w:rFonts w:ascii="Cambria" w:eastAsia="Times New Roman" w:hAnsi="Cambria" w:cs="Times New Roman"/>
          <w:spacing w:val="1"/>
          <w:w w:val="109"/>
        </w:rPr>
        <w:t>2</w:t>
      </w:r>
      <w:r w:rsidRPr="009A0DA6">
        <w:rPr>
          <w:rFonts w:ascii="Cambria" w:eastAsia="Times New Roman" w:hAnsi="Cambria" w:cs="Times New Roman"/>
          <w:spacing w:val="7"/>
          <w:w w:val="115"/>
        </w:rPr>
        <w:t>,</w:t>
      </w:r>
      <w:r w:rsidRPr="009A0DA6">
        <w:rPr>
          <w:rFonts w:ascii="Cambria" w:eastAsia="Times New Roman" w:hAnsi="Cambria" w:cs="Times New Roman"/>
          <w:w w:val="109"/>
        </w:rPr>
        <w:t>62</w:t>
      </w:r>
      <w:r w:rsidRPr="009A0DA6">
        <w:rPr>
          <w:rFonts w:ascii="Cambria" w:eastAsia="Times New Roman" w:hAnsi="Cambria" w:cs="Times New Roman"/>
          <w:spacing w:val="5"/>
          <w:w w:val="109"/>
        </w:rPr>
        <w:t>7</w:t>
      </w:r>
      <w:r w:rsidRPr="009A0DA6">
        <w:rPr>
          <w:rFonts w:ascii="Cambria" w:hAnsi="Cambria"/>
        </w:rPr>
        <w:tab/>
      </w:r>
      <w:r w:rsidRPr="009A0DA6">
        <w:rPr>
          <w:rFonts w:ascii="Cambria" w:eastAsia="Times New Roman" w:hAnsi="Cambria" w:cs="Times New Roman"/>
          <w:w w:val="110"/>
        </w:rPr>
        <w:t>7,060</w:t>
      </w:r>
      <w:r w:rsidRPr="009A0DA6">
        <w:rPr>
          <w:rFonts w:ascii="Cambria" w:eastAsia="Times New Roman" w:hAnsi="Cambria" w:cs="Times New Roman"/>
        </w:rPr>
        <w:tab/>
        <w:t>3,989</w:t>
      </w:r>
    </w:p>
    <w:p w14:paraId="14937E12" w14:textId="77777777" w:rsidR="00D94020" w:rsidRPr="009A0DA6" w:rsidRDefault="00D94020" w:rsidP="00D94020">
      <w:pPr>
        <w:tabs>
          <w:tab w:val="right" w:pos="5954"/>
          <w:tab w:val="right" w:pos="7371"/>
          <w:tab w:val="right" w:pos="8789"/>
        </w:tabs>
        <w:spacing w:after="0" w:line="240" w:lineRule="auto"/>
        <w:contextualSpacing/>
        <w:rPr>
          <w:rFonts w:ascii="Cambria" w:eastAsia="Times New Roman" w:hAnsi="Cambria" w:cs="Times New Roman"/>
          <w:w w:val="110"/>
        </w:rPr>
      </w:pPr>
      <w:r w:rsidRPr="00AD7835">
        <w:rPr>
          <w:rStyle w:val="NoSpacingChar"/>
        </w:rPr>
        <w:t>PNG Solar Panels</w:t>
      </w:r>
      <w:r w:rsidRPr="009A0DA6">
        <w:rPr>
          <w:rFonts w:ascii="Cambria" w:eastAsia="Arial" w:hAnsi="Cambria" w:cs="Arial"/>
        </w:rPr>
        <w:tab/>
      </w:r>
      <w:r w:rsidRPr="009A0DA6">
        <w:rPr>
          <w:rFonts w:ascii="Cambria" w:eastAsia="Times New Roman" w:hAnsi="Cambria" w:cs="Times New Roman"/>
          <w:w w:val="111"/>
        </w:rPr>
        <w:t>13,824</w:t>
      </w:r>
      <w:r w:rsidRPr="009A0DA6">
        <w:rPr>
          <w:rFonts w:ascii="Cambria" w:hAnsi="Cambria"/>
        </w:rPr>
        <w:tab/>
      </w:r>
      <w:r w:rsidRPr="009A0DA6">
        <w:rPr>
          <w:rFonts w:ascii="Cambria" w:eastAsia="Times New Roman" w:hAnsi="Cambria" w:cs="Times New Roman"/>
          <w:w w:val="110"/>
        </w:rPr>
        <w:t>5,167</w:t>
      </w:r>
      <w:r w:rsidRPr="009A0DA6">
        <w:rPr>
          <w:rFonts w:ascii="Cambria" w:eastAsia="Times New Roman" w:hAnsi="Cambria" w:cs="Times New Roman"/>
          <w:w w:val="110"/>
        </w:rPr>
        <w:tab/>
        <w:t>8,835</w:t>
      </w:r>
    </w:p>
    <w:p w14:paraId="795827BE" w14:textId="77777777" w:rsidR="00D94020" w:rsidRPr="009A0DA6" w:rsidRDefault="00D94020" w:rsidP="00D94020">
      <w:pPr>
        <w:tabs>
          <w:tab w:val="right" w:pos="5954"/>
          <w:tab w:val="right" w:pos="7371"/>
          <w:tab w:val="right" w:pos="8789"/>
        </w:tabs>
        <w:spacing w:after="0" w:line="240" w:lineRule="auto"/>
        <w:contextualSpacing/>
        <w:rPr>
          <w:rFonts w:ascii="Cambria" w:eastAsiaTheme="minorEastAsia" w:hAnsi="Cambria"/>
        </w:rPr>
      </w:pPr>
      <w:r w:rsidRPr="00AD7835">
        <w:rPr>
          <w:rStyle w:val="NoSpacingChar"/>
        </w:rPr>
        <w:t>PNG Scholarships</w:t>
      </w:r>
      <w:r w:rsidRPr="009A0DA6">
        <w:rPr>
          <w:rFonts w:ascii="Cambria" w:eastAsia="Times New Roman" w:hAnsi="Cambria" w:cs="Times New Roman"/>
          <w:w w:val="110"/>
        </w:rPr>
        <w:tab/>
        <w:t>0</w:t>
      </w:r>
      <w:r w:rsidRPr="009A0DA6">
        <w:rPr>
          <w:rFonts w:ascii="Cambria" w:eastAsia="Times New Roman" w:hAnsi="Cambria" w:cs="Times New Roman"/>
          <w:w w:val="110"/>
        </w:rPr>
        <w:tab/>
        <w:t>0</w:t>
      </w:r>
      <w:r w:rsidRPr="009A0DA6">
        <w:rPr>
          <w:rFonts w:ascii="Cambria" w:eastAsia="Times New Roman" w:hAnsi="Cambria" w:cs="Times New Roman"/>
          <w:w w:val="110"/>
        </w:rPr>
        <w:tab/>
        <w:t>3,234</w:t>
      </w:r>
    </w:p>
    <w:p w14:paraId="45F98E7F" w14:textId="77777777" w:rsidR="00D94020" w:rsidRPr="009A0DA6" w:rsidRDefault="00D94020" w:rsidP="00D94020">
      <w:pPr>
        <w:tabs>
          <w:tab w:val="right" w:pos="5954"/>
          <w:tab w:val="right" w:pos="7371"/>
          <w:tab w:val="right" w:pos="8789"/>
        </w:tabs>
        <w:spacing w:after="0" w:line="240" w:lineRule="auto"/>
        <w:contextualSpacing/>
        <w:rPr>
          <w:rFonts w:ascii="Cambria" w:hAnsi="Cambria"/>
        </w:rPr>
      </w:pPr>
      <w:r w:rsidRPr="00AD7835">
        <w:rPr>
          <w:rStyle w:val="NoSpacingChar"/>
        </w:rPr>
        <w:t>Overseas scholarships at ALC</w:t>
      </w:r>
      <w:r w:rsidRPr="009A0DA6">
        <w:rPr>
          <w:rFonts w:ascii="Cambria" w:eastAsia="Arial" w:hAnsi="Cambria" w:cs="Arial"/>
        </w:rPr>
        <w:tab/>
      </w:r>
      <w:r w:rsidRPr="009A0DA6">
        <w:rPr>
          <w:rFonts w:ascii="Cambria" w:eastAsia="Times New Roman" w:hAnsi="Cambria" w:cs="Times New Roman"/>
          <w:w w:val="111"/>
        </w:rPr>
        <w:t>9,53</w:t>
      </w:r>
      <w:r w:rsidRPr="009A0DA6">
        <w:rPr>
          <w:rFonts w:ascii="Cambria" w:eastAsia="Times New Roman" w:hAnsi="Cambria" w:cs="Times New Roman"/>
          <w:spacing w:val="2"/>
          <w:w w:val="111"/>
        </w:rPr>
        <w:t>4</w:t>
      </w:r>
      <w:r w:rsidRPr="009A0DA6">
        <w:rPr>
          <w:rFonts w:ascii="Cambria" w:hAnsi="Cambria"/>
        </w:rPr>
        <w:tab/>
      </w:r>
      <w:r w:rsidRPr="009A0DA6">
        <w:rPr>
          <w:rFonts w:ascii="Cambria" w:eastAsia="Times New Roman" w:hAnsi="Cambria" w:cs="Times New Roman"/>
          <w:w w:val="110"/>
        </w:rPr>
        <w:t>3,138</w:t>
      </w:r>
      <w:r w:rsidRPr="009A0DA6">
        <w:rPr>
          <w:rFonts w:ascii="Cambria" w:eastAsia="Times New Roman" w:hAnsi="Cambria" w:cs="Times New Roman"/>
        </w:rPr>
        <w:tab/>
        <w:t>7,025</w:t>
      </w:r>
    </w:p>
    <w:p w14:paraId="11DC7C53" w14:textId="77777777" w:rsidR="00D94020" w:rsidRPr="009A0DA6" w:rsidRDefault="00D94020" w:rsidP="00D94020">
      <w:pPr>
        <w:tabs>
          <w:tab w:val="right" w:pos="5954"/>
          <w:tab w:val="right" w:pos="7371"/>
          <w:tab w:val="right" w:pos="8789"/>
        </w:tabs>
        <w:spacing w:after="0" w:line="240" w:lineRule="auto"/>
        <w:contextualSpacing/>
        <w:rPr>
          <w:rFonts w:ascii="Cambria" w:hAnsi="Cambria"/>
        </w:rPr>
      </w:pPr>
      <w:r w:rsidRPr="00AD7835">
        <w:rPr>
          <w:rStyle w:val="NoSpacingChar"/>
        </w:rPr>
        <w:t>LCA Mission Int. Cambodia</w:t>
      </w:r>
      <w:r w:rsidRPr="009A0DA6">
        <w:rPr>
          <w:rFonts w:ascii="Cambria" w:eastAsia="Arial" w:hAnsi="Cambria" w:cs="Arial"/>
        </w:rPr>
        <w:tab/>
      </w:r>
      <w:r w:rsidRPr="009A0DA6">
        <w:rPr>
          <w:rFonts w:ascii="Cambria" w:eastAsia="Times New Roman" w:hAnsi="Cambria" w:cs="Times New Roman"/>
          <w:w w:val="117"/>
        </w:rPr>
        <w:t>1</w:t>
      </w:r>
      <w:r w:rsidRPr="009A0DA6">
        <w:rPr>
          <w:rFonts w:ascii="Cambria" w:eastAsia="Times New Roman" w:hAnsi="Cambria" w:cs="Times New Roman"/>
          <w:spacing w:val="-31"/>
          <w:w w:val="117"/>
        </w:rPr>
        <w:t>1</w:t>
      </w:r>
      <w:r w:rsidRPr="009A0DA6">
        <w:rPr>
          <w:rFonts w:ascii="Cambria" w:eastAsia="Times New Roman" w:hAnsi="Cambria" w:cs="Times New Roman"/>
          <w:spacing w:val="11"/>
          <w:w w:val="98"/>
        </w:rPr>
        <w:t>,</w:t>
      </w:r>
      <w:r w:rsidRPr="009A0DA6">
        <w:rPr>
          <w:rFonts w:ascii="Cambria" w:eastAsia="Times New Roman" w:hAnsi="Cambria" w:cs="Times New Roman"/>
          <w:w w:val="110"/>
        </w:rPr>
        <w:t>951</w:t>
      </w:r>
      <w:r w:rsidRPr="009A0DA6">
        <w:rPr>
          <w:rFonts w:ascii="Cambria" w:hAnsi="Cambria"/>
        </w:rPr>
        <w:tab/>
      </w:r>
      <w:r w:rsidRPr="009A0DA6">
        <w:rPr>
          <w:rFonts w:ascii="Cambria" w:eastAsia="Times New Roman" w:hAnsi="Cambria" w:cs="Times New Roman"/>
          <w:w w:val="111"/>
        </w:rPr>
        <w:t>4,55</w:t>
      </w:r>
      <w:r w:rsidRPr="009A0DA6">
        <w:rPr>
          <w:rFonts w:ascii="Cambria" w:eastAsia="Times New Roman" w:hAnsi="Cambria" w:cs="Times New Roman"/>
          <w:w w:val="110"/>
        </w:rPr>
        <w:t>5</w:t>
      </w:r>
      <w:r w:rsidRPr="009A0DA6">
        <w:rPr>
          <w:rFonts w:ascii="Cambria" w:eastAsia="Times New Roman" w:hAnsi="Cambria" w:cs="Times New Roman"/>
        </w:rPr>
        <w:tab/>
        <w:t>7,710</w:t>
      </w:r>
    </w:p>
    <w:p w14:paraId="529A3BFE" w14:textId="77777777" w:rsidR="00D94020" w:rsidRPr="009A0DA6" w:rsidRDefault="00D94020" w:rsidP="00D94020">
      <w:pPr>
        <w:tabs>
          <w:tab w:val="right" w:pos="5954"/>
          <w:tab w:val="right" w:pos="7371"/>
          <w:tab w:val="right" w:pos="8789"/>
        </w:tabs>
        <w:spacing w:after="0" w:line="240" w:lineRule="auto"/>
        <w:contextualSpacing/>
        <w:rPr>
          <w:rFonts w:ascii="Cambria" w:hAnsi="Cambria"/>
        </w:rPr>
      </w:pPr>
      <w:r w:rsidRPr="00AD7835">
        <w:rPr>
          <w:rStyle w:val="NoSpacingChar"/>
        </w:rPr>
        <w:t>Debora Orphanage</w:t>
      </w:r>
      <w:r w:rsidRPr="009A0DA6">
        <w:rPr>
          <w:rFonts w:ascii="Cambria" w:eastAsia="Arial" w:hAnsi="Cambria" w:cs="Arial"/>
        </w:rPr>
        <w:tab/>
      </w:r>
      <w:r w:rsidRPr="009A0DA6">
        <w:rPr>
          <w:rFonts w:ascii="Cambria" w:eastAsia="Times New Roman" w:hAnsi="Cambria" w:cs="Times New Roman"/>
          <w:w w:val="113"/>
        </w:rPr>
        <w:t>1</w:t>
      </w:r>
      <w:r w:rsidRPr="009A0DA6">
        <w:rPr>
          <w:rFonts w:ascii="Cambria" w:eastAsia="Times New Roman" w:hAnsi="Cambria" w:cs="Times New Roman"/>
          <w:spacing w:val="-8"/>
          <w:w w:val="113"/>
        </w:rPr>
        <w:t>5</w:t>
      </w:r>
      <w:r w:rsidRPr="009A0DA6">
        <w:rPr>
          <w:rFonts w:ascii="Cambria" w:eastAsia="Times New Roman" w:hAnsi="Cambria" w:cs="Times New Roman"/>
          <w:spacing w:val="11"/>
          <w:w w:val="98"/>
        </w:rPr>
        <w:t>,</w:t>
      </w:r>
      <w:r w:rsidRPr="009A0DA6">
        <w:rPr>
          <w:rFonts w:ascii="Cambria" w:eastAsia="Times New Roman" w:hAnsi="Cambria" w:cs="Times New Roman"/>
          <w:w w:val="110"/>
        </w:rPr>
        <w:t>330</w:t>
      </w:r>
      <w:r w:rsidRPr="009A0DA6">
        <w:rPr>
          <w:rFonts w:ascii="Cambria" w:hAnsi="Cambria"/>
        </w:rPr>
        <w:tab/>
      </w:r>
      <w:r w:rsidRPr="009A0DA6">
        <w:rPr>
          <w:rFonts w:ascii="Cambria" w:eastAsia="Times New Roman" w:hAnsi="Cambria" w:cs="Times New Roman"/>
          <w:spacing w:val="-6"/>
          <w:w w:val="110"/>
        </w:rPr>
        <w:t>8</w:t>
      </w:r>
      <w:r w:rsidRPr="009A0DA6">
        <w:rPr>
          <w:rFonts w:ascii="Cambria" w:eastAsia="Times New Roman" w:hAnsi="Cambria" w:cs="Times New Roman"/>
          <w:spacing w:val="3"/>
          <w:w w:val="115"/>
        </w:rPr>
        <w:t>,</w:t>
      </w:r>
      <w:r w:rsidRPr="009A0DA6">
        <w:rPr>
          <w:rFonts w:ascii="Cambria" w:eastAsia="Times New Roman" w:hAnsi="Cambria" w:cs="Times New Roman"/>
          <w:w w:val="111"/>
        </w:rPr>
        <w:t>499</w:t>
      </w:r>
      <w:r w:rsidRPr="009A0DA6">
        <w:rPr>
          <w:rFonts w:ascii="Cambria" w:eastAsia="Times New Roman" w:hAnsi="Cambria" w:cs="Times New Roman"/>
        </w:rPr>
        <w:tab/>
        <w:t>13,206</w:t>
      </w:r>
    </w:p>
    <w:p w14:paraId="01FC4FD3" w14:textId="77777777" w:rsidR="00D94020" w:rsidRPr="009A0DA6" w:rsidRDefault="00D94020" w:rsidP="00D94020">
      <w:pPr>
        <w:tabs>
          <w:tab w:val="right" w:pos="5954"/>
          <w:tab w:val="right" w:pos="7371"/>
          <w:tab w:val="right" w:pos="8789"/>
        </w:tabs>
        <w:spacing w:after="0" w:line="240" w:lineRule="auto"/>
        <w:contextualSpacing/>
        <w:rPr>
          <w:rFonts w:ascii="Cambria" w:hAnsi="Cambria"/>
        </w:rPr>
      </w:pPr>
      <w:r w:rsidRPr="00AD7835">
        <w:rPr>
          <w:rStyle w:val="NoSpacingChar"/>
        </w:rPr>
        <w:t>Home of Praise Bangkok</w:t>
      </w:r>
      <w:r w:rsidRPr="009A0DA6">
        <w:rPr>
          <w:rFonts w:ascii="Cambria" w:eastAsia="Arial" w:hAnsi="Cambria" w:cs="Arial"/>
        </w:rPr>
        <w:tab/>
      </w:r>
      <w:r w:rsidRPr="009A0DA6">
        <w:rPr>
          <w:rFonts w:ascii="Cambria" w:eastAsia="Times New Roman" w:hAnsi="Cambria" w:cs="Times New Roman"/>
          <w:w w:val="112"/>
        </w:rPr>
        <w:t>1</w:t>
      </w:r>
      <w:r w:rsidRPr="009A0DA6">
        <w:rPr>
          <w:rFonts w:ascii="Cambria" w:eastAsia="Times New Roman" w:hAnsi="Cambria" w:cs="Times New Roman"/>
          <w:spacing w:val="-5"/>
          <w:w w:val="112"/>
        </w:rPr>
        <w:t>4</w:t>
      </w:r>
      <w:r w:rsidRPr="009A0DA6">
        <w:rPr>
          <w:rFonts w:ascii="Cambria" w:eastAsia="Times New Roman" w:hAnsi="Cambria" w:cs="Times New Roman"/>
          <w:spacing w:val="6"/>
          <w:w w:val="98"/>
        </w:rPr>
        <w:t>,</w:t>
      </w:r>
      <w:r w:rsidRPr="009A0DA6">
        <w:rPr>
          <w:rFonts w:ascii="Cambria" w:eastAsia="Times New Roman" w:hAnsi="Cambria" w:cs="Times New Roman"/>
          <w:w w:val="112"/>
        </w:rPr>
        <w:t>107</w:t>
      </w:r>
      <w:r w:rsidRPr="009A0DA6">
        <w:rPr>
          <w:rFonts w:ascii="Cambria" w:hAnsi="Cambria"/>
        </w:rPr>
        <w:tab/>
      </w:r>
      <w:r w:rsidRPr="009A0DA6">
        <w:rPr>
          <w:rFonts w:ascii="Cambria" w:eastAsia="Times New Roman" w:hAnsi="Cambria" w:cs="Times New Roman"/>
          <w:w w:val="110"/>
        </w:rPr>
        <w:t>5,630</w:t>
      </w:r>
      <w:r w:rsidRPr="009A0DA6">
        <w:rPr>
          <w:rFonts w:ascii="Cambria" w:eastAsia="Times New Roman" w:hAnsi="Cambria" w:cs="Times New Roman"/>
        </w:rPr>
        <w:tab/>
        <w:t>10,135</w:t>
      </w:r>
    </w:p>
    <w:p w14:paraId="478F0F3E" w14:textId="77777777" w:rsidR="00D94020" w:rsidRPr="009A0DA6" w:rsidRDefault="00D94020" w:rsidP="00D94020">
      <w:pPr>
        <w:tabs>
          <w:tab w:val="right" w:pos="5954"/>
          <w:tab w:val="right" w:pos="7371"/>
          <w:tab w:val="right" w:pos="8789"/>
        </w:tabs>
        <w:spacing w:after="0" w:line="240" w:lineRule="auto"/>
        <w:ind w:right="-20"/>
        <w:contextualSpacing/>
        <w:rPr>
          <w:rFonts w:ascii="Cambria" w:eastAsia="Times New Roman" w:hAnsi="Cambria" w:cs="Times New Roman"/>
        </w:rPr>
      </w:pPr>
      <w:r w:rsidRPr="00AD7835">
        <w:rPr>
          <w:rStyle w:val="NoSpacingChar"/>
        </w:rPr>
        <w:t>LCA International Mission</w:t>
      </w:r>
      <w:r w:rsidRPr="009A0DA6">
        <w:rPr>
          <w:rFonts w:ascii="Cambria" w:eastAsia="Arial" w:hAnsi="Cambria" w:cs="Arial"/>
        </w:rPr>
        <w:tab/>
      </w:r>
      <w:r w:rsidRPr="009A0DA6">
        <w:rPr>
          <w:rFonts w:ascii="Cambria" w:eastAsia="Times New Roman" w:hAnsi="Cambria" w:cs="Times New Roman"/>
          <w:w w:val="111"/>
        </w:rPr>
        <w:t>1,218</w:t>
      </w:r>
      <w:r w:rsidRPr="009A0DA6">
        <w:rPr>
          <w:rFonts w:ascii="Cambria" w:eastAsia="Times New Roman" w:hAnsi="Cambria" w:cs="Times New Roman"/>
        </w:rPr>
        <w:tab/>
        <w:t>0</w:t>
      </w:r>
      <w:r w:rsidRPr="009A0DA6">
        <w:rPr>
          <w:rFonts w:ascii="Cambria" w:hAnsi="Cambria"/>
        </w:rPr>
        <w:tab/>
      </w:r>
    </w:p>
    <w:p w14:paraId="5648A334" w14:textId="77777777" w:rsidR="00D94020" w:rsidRPr="009A0DA6" w:rsidRDefault="00D94020" w:rsidP="00D94020">
      <w:pPr>
        <w:tabs>
          <w:tab w:val="right" w:pos="5954"/>
          <w:tab w:val="right" w:pos="7371"/>
          <w:tab w:val="right" w:pos="8789"/>
        </w:tabs>
        <w:spacing w:after="0" w:line="240" w:lineRule="auto"/>
        <w:contextualSpacing/>
        <w:rPr>
          <w:rFonts w:ascii="Cambria" w:eastAsiaTheme="minorEastAsia" w:hAnsi="Cambria"/>
          <w:b/>
        </w:rPr>
      </w:pPr>
      <w:r w:rsidRPr="009A0DA6">
        <w:rPr>
          <w:rFonts w:ascii="Cambria" w:eastAsia="Arial" w:hAnsi="Cambria" w:cs="Arial"/>
          <w:b/>
          <w:bCs/>
        </w:rPr>
        <w:tab/>
        <w:t>$</w:t>
      </w:r>
      <w:r w:rsidRPr="009A0DA6">
        <w:rPr>
          <w:rFonts w:ascii="Cambria" w:eastAsia="Times New Roman" w:hAnsi="Cambria" w:cs="Times New Roman"/>
          <w:b/>
          <w:w w:val="111"/>
        </w:rPr>
        <w:t>94,114</w:t>
      </w:r>
      <w:r w:rsidRPr="009A0DA6">
        <w:rPr>
          <w:rFonts w:ascii="Cambria" w:eastAsia="Times New Roman" w:hAnsi="Cambria" w:cs="Times New Roman"/>
          <w:b/>
          <w:w w:val="113"/>
        </w:rPr>
        <w:tab/>
        <w:t>$</w:t>
      </w:r>
      <w:r w:rsidRPr="009A0DA6">
        <w:rPr>
          <w:rFonts w:ascii="Cambria" w:eastAsia="Times New Roman" w:hAnsi="Cambria" w:cs="Times New Roman"/>
          <w:b/>
          <w:w w:val="112"/>
        </w:rPr>
        <w:t>4</w:t>
      </w:r>
      <w:r w:rsidRPr="009A0DA6">
        <w:rPr>
          <w:rFonts w:ascii="Cambria" w:eastAsia="Times New Roman" w:hAnsi="Cambria" w:cs="Times New Roman"/>
          <w:b/>
          <w:spacing w:val="-5"/>
          <w:w w:val="112"/>
        </w:rPr>
        <w:t>0</w:t>
      </w:r>
      <w:r w:rsidRPr="009A0DA6">
        <w:rPr>
          <w:rFonts w:ascii="Cambria" w:eastAsia="Times New Roman" w:hAnsi="Cambria" w:cs="Times New Roman"/>
          <w:b/>
          <w:spacing w:val="7"/>
          <w:w w:val="98"/>
        </w:rPr>
        <w:t>,</w:t>
      </w:r>
      <w:r w:rsidRPr="009A0DA6">
        <w:rPr>
          <w:rFonts w:ascii="Cambria" w:eastAsia="Times New Roman" w:hAnsi="Cambria" w:cs="Times New Roman"/>
          <w:b/>
          <w:w w:val="111"/>
        </w:rPr>
        <w:t>016</w:t>
      </w:r>
      <w:r w:rsidRPr="009A0DA6">
        <w:rPr>
          <w:rFonts w:ascii="Cambria" w:hAnsi="Cambria"/>
          <w:b/>
        </w:rPr>
        <w:tab/>
        <w:t>$62,945</w:t>
      </w:r>
    </w:p>
    <w:p w14:paraId="3BA9DF07" w14:textId="6C4C0FBA" w:rsidR="00D94020" w:rsidRPr="00AD7835" w:rsidRDefault="00D94020" w:rsidP="00AD7835">
      <w:pPr>
        <w:pStyle w:val="NoSpacing"/>
        <w:rPr>
          <w:b/>
        </w:rPr>
      </w:pPr>
      <w:r w:rsidRPr="00AD7835">
        <w:rPr>
          <w:b/>
        </w:rPr>
        <w:t>L</w:t>
      </w:r>
      <w:r w:rsidR="00AD7835" w:rsidRPr="00AD7835">
        <w:rPr>
          <w:b/>
        </w:rPr>
        <w:t xml:space="preserve">WA </w:t>
      </w:r>
      <w:r w:rsidRPr="00AD7835">
        <w:rPr>
          <w:b/>
        </w:rPr>
        <w:t>NATIONAL</w:t>
      </w:r>
      <w:r w:rsidRPr="00AD7835">
        <w:rPr>
          <w:b/>
          <w:spacing w:val="21"/>
        </w:rPr>
        <w:t xml:space="preserve"> </w:t>
      </w:r>
      <w:r w:rsidRPr="00AD7835">
        <w:rPr>
          <w:b/>
        </w:rPr>
        <w:t>PROJECTS</w:t>
      </w:r>
    </w:p>
    <w:p w14:paraId="7EDDE0E9" w14:textId="77777777" w:rsidR="00D94020" w:rsidRPr="009A0DA6" w:rsidRDefault="00D94020" w:rsidP="00D94020">
      <w:pPr>
        <w:tabs>
          <w:tab w:val="right" w:pos="5954"/>
          <w:tab w:val="right" w:pos="7371"/>
          <w:tab w:val="right" w:pos="8789"/>
        </w:tabs>
        <w:spacing w:after="0" w:line="240" w:lineRule="auto"/>
        <w:contextualSpacing/>
        <w:rPr>
          <w:rFonts w:ascii="Cambria" w:hAnsi="Cambria"/>
        </w:rPr>
      </w:pPr>
      <w:r w:rsidRPr="00AD7835">
        <w:rPr>
          <w:rStyle w:val="NoSpacingChar"/>
        </w:rPr>
        <w:t>Aboriginal Mission - Finke River</w:t>
      </w:r>
      <w:r w:rsidRPr="009A0DA6">
        <w:rPr>
          <w:rFonts w:ascii="Cambria" w:eastAsia="Arial" w:hAnsi="Cambria" w:cs="Arial"/>
        </w:rPr>
        <w:tab/>
      </w:r>
      <w:r w:rsidRPr="009A0DA6">
        <w:rPr>
          <w:rFonts w:ascii="Cambria" w:eastAsia="Times New Roman" w:hAnsi="Cambria" w:cs="Times New Roman"/>
          <w:w w:val="111"/>
        </w:rPr>
        <w:t>6,845</w:t>
      </w:r>
      <w:r w:rsidRPr="009A0DA6">
        <w:rPr>
          <w:rFonts w:ascii="Cambria" w:hAnsi="Cambria"/>
        </w:rPr>
        <w:tab/>
      </w:r>
      <w:r w:rsidRPr="009A0DA6">
        <w:rPr>
          <w:rFonts w:ascii="Cambria" w:eastAsia="Times New Roman" w:hAnsi="Cambria" w:cs="Times New Roman"/>
          <w:w w:val="109"/>
        </w:rPr>
        <w:t>2,41</w:t>
      </w:r>
      <w:r w:rsidRPr="009A0DA6">
        <w:rPr>
          <w:rFonts w:ascii="Cambria" w:eastAsia="Times New Roman" w:hAnsi="Cambria" w:cs="Times New Roman"/>
          <w:spacing w:val="6"/>
          <w:w w:val="109"/>
        </w:rPr>
        <w:t>3</w:t>
      </w:r>
      <w:r w:rsidRPr="009A0DA6">
        <w:rPr>
          <w:rFonts w:ascii="Cambria" w:eastAsia="Times New Roman" w:hAnsi="Cambria" w:cs="Times New Roman"/>
        </w:rPr>
        <w:tab/>
        <w:t>4,584</w:t>
      </w:r>
    </w:p>
    <w:p w14:paraId="210A54E4" w14:textId="05181E02" w:rsidR="00D94020" w:rsidRPr="009A0DA6" w:rsidRDefault="00D94020" w:rsidP="00D94020">
      <w:pPr>
        <w:tabs>
          <w:tab w:val="right" w:pos="5954"/>
          <w:tab w:val="right" w:pos="7371"/>
          <w:tab w:val="right" w:pos="8789"/>
        </w:tabs>
        <w:spacing w:after="0" w:line="240" w:lineRule="auto"/>
        <w:contextualSpacing/>
        <w:rPr>
          <w:rFonts w:ascii="Cambria" w:hAnsi="Cambria"/>
        </w:rPr>
      </w:pPr>
      <w:r w:rsidRPr="00AD7835">
        <w:rPr>
          <w:rStyle w:val="NoSpacingChar"/>
        </w:rPr>
        <w:t>Aboriginal Mission -</w:t>
      </w:r>
      <w:r w:rsidR="00AD7835" w:rsidRPr="00AD7835">
        <w:rPr>
          <w:rStyle w:val="NoSpacingChar"/>
        </w:rPr>
        <w:t xml:space="preserve"> </w:t>
      </w:r>
      <w:r w:rsidRPr="00AD7835">
        <w:rPr>
          <w:rStyle w:val="NoSpacingChar"/>
        </w:rPr>
        <w:t>SA/NT</w:t>
      </w:r>
      <w:r w:rsidRPr="009A0DA6">
        <w:rPr>
          <w:rFonts w:ascii="Cambria" w:eastAsia="Arial" w:hAnsi="Cambria" w:cs="Arial"/>
        </w:rPr>
        <w:tab/>
      </w:r>
      <w:r w:rsidRPr="009A0DA6">
        <w:rPr>
          <w:rFonts w:ascii="Cambria" w:eastAsia="Times New Roman" w:hAnsi="Cambria" w:cs="Times New Roman"/>
          <w:w w:val="111"/>
        </w:rPr>
        <w:t>6,676</w:t>
      </w:r>
      <w:r w:rsidRPr="009A0DA6">
        <w:rPr>
          <w:rFonts w:ascii="Cambria" w:hAnsi="Cambria"/>
        </w:rPr>
        <w:tab/>
      </w:r>
      <w:r w:rsidRPr="009A0DA6">
        <w:rPr>
          <w:rFonts w:ascii="Cambria" w:eastAsia="Times New Roman" w:hAnsi="Cambria" w:cs="Times New Roman"/>
          <w:w w:val="110"/>
        </w:rPr>
        <w:t>8,000</w:t>
      </w:r>
      <w:r w:rsidRPr="009A0DA6">
        <w:rPr>
          <w:rFonts w:ascii="Cambria" w:eastAsia="Times New Roman" w:hAnsi="Cambria" w:cs="Times New Roman"/>
        </w:rPr>
        <w:tab/>
        <w:t>9,060</w:t>
      </w:r>
    </w:p>
    <w:p w14:paraId="24676740" w14:textId="0943E29C" w:rsidR="00D94020" w:rsidRPr="009A0DA6" w:rsidRDefault="00D94020" w:rsidP="00D94020">
      <w:pPr>
        <w:tabs>
          <w:tab w:val="right" w:pos="5954"/>
          <w:tab w:val="right" w:pos="7371"/>
          <w:tab w:val="right" w:pos="8789"/>
        </w:tabs>
        <w:spacing w:after="0" w:line="240" w:lineRule="auto"/>
        <w:contextualSpacing/>
        <w:rPr>
          <w:rFonts w:ascii="Cambria" w:hAnsi="Cambria"/>
        </w:rPr>
      </w:pPr>
      <w:r w:rsidRPr="00AD7835">
        <w:rPr>
          <w:rStyle w:val="NoSpacingChar"/>
        </w:rPr>
        <w:t>Aboriginal Mission Nth Qld</w:t>
      </w:r>
      <w:r w:rsidRPr="009A0DA6">
        <w:rPr>
          <w:rFonts w:ascii="Cambria" w:eastAsia="Arial" w:hAnsi="Cambria" w:cs="Arial"/>
        </w:rPr>
        <w:tab/>
      </w:r>
      <w:r w:rsidRPr="009A0DA6">
        <w:rPr>
          <w:rFonts w:ascii="Cambria" w:eastAsia="Times New Roman" w:hAnsi="Cambria" w:cs="Times New Roman"/>
          <w:w w:val="110"/>
        </w:rPr>
        <w:t>5,012</w:t>
      </w:r>
      <w:r w:rsidRPr="009A0DA6">
        <w:rPr>
          <w:rFonts w:ascii="Cambria" w:hAnsi="Cambria"/>
        </w:rPr>
        <w:tab/>
      </w:r>
      <w:r w:rsidRPr="009A0DA6">
        <w:rPr>
          <w:rFonts w:ascii="Cambria" w:eastAsia="Times New Roman" w:hAnsi="Cambria" w:cs="Times New Roman"/>
          <w:w w:val="112"/>
        </w:rPr>
        <w:t>2,48</w:t>
      </w:r>
      <w:r w:rsidRPr="009A0DA6">
        <w:rPr>
          <w:rFonts w:ascii="Cambria" w:eastAsia="Times New Roman" w:hAnsi="Cambria" w:cs="Times New Roman"/>
          <w:spacing w:val="-5"/>
          <w:w w:val="112"/>
        </w:rPr>
        <w:t>3</w:t>
      </w:r>
      <w:r w:rsidRPr="009A0DA6">
        <w:rPr>
          <w:rFonts w:ascii="Cambria" w:eastAsia="Times New Roman" w:hAnsi="Cambria" w:cs="Times New Roman"/>
        </w:rPr>
        <w:tab/>
        <w:t>3,730</w:t>
      </w:r>
    </w:p>
    <w:p w14:paraId="2DF0D379" w14:textId="77777777" w:rsidR="00D94020" w:rsidRPr="009A0DA6" w:rsidRDefault="00D94020" w:rsidP="00D94020">
      <w:pPr>
        <w:tabs>
          <w:tab w:val="right" w:pos="5954"/>
          <w:tab w:val="right" w:pos="7371"/>
          <w:tab w:val="right" w:pos="8789"/>
        </w:tabs>
        <w:spacing w:after="0" w:line="240" w:lineRule="auto"/>
        <w:contextualSpacing/>
        <w:rPr>
          <w:rFonts w:ascii="Cambria" w:hAnsi="Cambria"/>
        </w:rPr>
      </w:pPr>
      <w:r w:rsidRPr="00AD7835">
        <w:rPr>
          <w:rStyle w:val="NoSpacingChar"/>
        </w:rPr>
        <w:t>ALC Women's Auxiliary</w:t>
      </w:r>
      <w:r w:rsidRPr="009A0DA6">
        <w:rPr>
          <w:rFonts w:ascii="Cambria" w:eastAsia="Arial" w:hAnsi="Cambria" w:cs="Arial"/>
        </w:rPr>
        <w:tab/>
      </w:r>
      <w:r w:rsidRPr="009A0DA6">
        <w:rPr>
          <w:rFonts w:ascii="Cambria" w:eastAsia="Times New Roman" w:hAnsi="Cambria" w:cs="Times New Roman"/>
          <w:w w:val="110"/>
        </w:rPr>
        <w:t>9,304</w:t>
      </w:r>
      <w:r w:rsidRPr="009A0DA6">
        <w:rPr>
          <w:rFonts w:ascii="Cambria" w:hAnsi="Cambria"/>
        </w:rPr>
        <w:tab/>
      </w:r>
      <w:r w:rsidRPr="009A0DA6">
        <w:rPr>
          <w:rFonts w:ascii="Cambria" w:eastAsia="Times New Roman" w:hAnsi="Cambria" w:cs="Times New Roman"/>
          <w:w w:val="111"/>
        </w:rPr>
        <w:t>2,551</w:t>
      </w:r>
      <w:r w:rsidRPr="009A0DA6">
        <w:rPr>
          <w:rFonts w:ascii="Cambria" w:eastAsia="Times New Roman" w:hAnsi="Cambria" w:cs="Times New Roman"/>
        </w:rPr>
        <w:tab/>
        <w:t>5.149</w:t>
      </w:r>
    </w:p>
    <w:p w14:paraId="0AED9EE7" w14:textId="7B08C2F5" w:rsidR="00D94020" w:rsidRPr="009A0DA6" w:rsidRDefault="00AD7835" w:rsidP="00D94020">
      <w:pPr>
        <w:tabs>
          <w:tab w:val="right" w:pos="5954"/>
          <w:tab w:val="right" w:pos="7371"/>
          <w:tab w:val="right" w:pos="8789"/>
        </w:tabs>
        <w:spacing w:after="0" w:line="240" w:lineRule="auto"/>
        <w:contextualSpacing/>
        <w:rPr>
          <w:rFonts w:ascii="Cambria" w:hAnsi="Cambria"/>
        </w:rPr>
      </w:pPr>
      <w:r w:rsidRPr="00AD7835">
        <w:rPr>
          <w:rStyle w:val="NoSpacingChar"/>
        </w:rPr>
        <w:t>ALC</w:t>
      </w:r>
      <w:r w:rsidR="00D94020" w:rsidRPr="00AD7835">
        <w:rPr>
          <w:rStyle w:val="NoSpacingChar"/>
        </w:rPr>
        <w:t>. Pastoral Stud Ass Fund</w:t>
      </w:r>
      <w:r w:rsidR="00D94020" w:rsidRPr="009A0DA6">
        <w:rPr>
          <w:rFonts w:ascii="Cambria" w:eastAsia="Arial" w:hAnsi="Cambria" w:cs="Arial"/>
        </w:rPr>
        <w:tab/>
      </w:r>
      <w:r w:rsidR="00D94020" w:rsidRPr="009A0DA6">
        <w:rPr>
          <w:rFonts w:ascii="Cambria" w:eastAsia="Times New Roman" w:hAnsi="Cambria" w:cs="Times New Roman"/>
          <w:w w:val="111"/>
        </w:rPr>
        <w:t>18,086</w:t>
      </w:r>
      <w:r w:rsidR="00D94020" w:rsidRPr="009A0DA6">
        <w:rPr>
          <w:rFonts w:ascii="Cambria" w:hAnsi="Cambria"/>
        </w:rPr>
        <w:tab/>
      </w:r>
      <w:r w:rsidR="00D94020" w:rsidRPr="009A0DA6">
        <w:rPr>
          <w:rFonts w:ascii="Cambria" w:eastAsia="Times New Roman" w:hAnsi="Cambria" w:cs="Times New Roman"/>
          <w:w w:val="111"/>
        </w:rPr>
        <w:t>5,965</w:t>
      </w:r>
      <w:r w:rsidR="00D94020" w:rsidRPr="009A0DA6">
        <w:rPr>
          <w:rFonts w:ascii="Cambria" w:eastAsia="Times New Roman" w:hAnsi="Cambria" w:cs="Times New Roman"/>
        </w:rPr>
        <w:tab/>
        <w:t>10,358</w:t>
      </w:r>
    </w:p>
    <w:p w14:paraId="58F5C481" w14:textId="24283F64" w:rsidR="00D94020" w:rsidRPr="009A0DA6" w:rsidRDefault="00AD7835" w:rsidP="00D94020">
      <w:pPr>
        <w:tabs>
          <w:tab w:val="right" w:pos="5954"/>
          <w:tab w:val="right" w:pos="7371"/>
          <w:tab w:val="right" w:pos="8789"/>
        </w:tabs>
        <w:spacing w:after="0" w:line="240" w:lineRule="auto"/>
        <w:contextualSpacing/>
        <w:rPr>
          <w:rFonts w:ascii="Cambria" w:hAnsi="Cambria"/>
        </w:rPr>
      </w:pPr>
      <w:r w:rsidRPr="00AD7835">
        <w:rPr>
          <w:rStyle w:val="NoSpacingChar"/>
        </w:rPr>
        <w:t>ALWS</w:t>
      </w:r>
      <w:r w:rsidR="00D94020" w:rsidRPr="009A0DA6">
        <w:rPr>
          <w:rFonts w:ascii="Cambria" w:eastAsia="Arial" w:hAnsi="Cambria" w:cs="Arial"/>
        </w:rPr>
        <w:tab/>
      </w:r>
      <w:r w:rsidR="00D94020" w:rsidRPr="009A0DA6">
        <w:rPr>
          <w:rFonts w:ascii="Cambria" w:eastAsia="Times New Roman" w:hAnsi="Cambria" w:cs="Times New Roman"/>
          <w:w w:val="111"/>
        </w:rPr>
        <w:t>27,07</w:t>
      </w:r>
      <w:r w:rsidR="00D94020" w:rsidRPr="009A0DA6">
        <w:rPr>
          <w:rFonts w:ascii="Cambria" w:eastAsia="Times New Roman" w:hAnsi="Cambria" w:cs="Times New Roman"/>
          <w:spacing w:val="-2"/>
          <w:w w:val="111"/>
        </w:rPr>
        <w:t>5</w:t>
      </w:r>
      <w:r w:rsidR="00D94020" w:rsidRPr="009A0DA6">
        <w:rPr>
          <w:rFonts w:ascii="Cambria" w:hAnsi="Cambria"/>
        </w:rPr>
        <w:tab/>
      </w:r>
      <w:r w:rsidR="00D94020" w:rsidRPr="009A0DA6">
        <w:rPr>
          <w:rFonts w:ascii="Cambria" w:eastAsia="Times New Roman" w:hAnsi="Cambria" w:cs="Times New Roman"/>
          <w:spacing w:val="-8"/>
          <w:w w:val="113"/>
        </w:rPr>
        <w:t>8</w:t>
      </w:r>
      <w:r w:rsidR="00D94020" w:rsidRPr="009A0DA6">
        <w:rPr>
          <w:rFonts w:ascii="Cambria" w:eastAsia="Times New Roman" w:hAnsi="Cambria" w:cs="Times New Roman"/>
          <w:spacing w:val="6"/>
          <w:w w:val="98"/>
        </w:rPr>
        <w:t>,</w:t>
      </w:r>
      <w:r w:rsidR="00D94020" w:rsidRPr="009A0DA6">
        <w:rPr>
          <w:rFonts w:ascii="Cambria" w:eastAsia="Times New Roman" w:hAnsi="Cambria" w:cs="Times New Roman"/>
          <w:w w:val="114"/>
        </w:rPr>
        <w:t>10</w:t>
      </w:r>
      <w:r w:rsidR="00D94020" w:rsidRPr="009A0DA6">
        <w:rPr>
          <w:rFonts w:ascii="Cambria" w:eastAsia="Times New Roman" w:hAnsi="Cambria" w:cs="Times New Roman"/>
          <w:spacing w:val="-6"/>
          <w:w w:val="114"/>
        </w:rPr>
        <w:t>8</w:t>
      </w:r>
      <w:r w:rsidR="00D94020" w:rsidRPr="009A0DA6">
        <w:rPr>
          <w:rFonts w:ascii="Cambria" w:eastAsia="Times New Roman" w:hAnsi="Cambria" w:cs="Times New Roman"/>
        </w:rPr>
        <w:tab/>
        <w:t>20,675</w:t>
      </w:r>
    </w:p>
    <w:p w14:paraId="678078BB" w14:textId="1E88E724" w:rsidR="00D94020" w:rsidRPr="009A0DA6" w:rsidRDefault="00AD7835" w:rsidP="00D94020">
      <w:pPr>
        <w:tabs>
          <w:tab w:val="right" w:pos="5954"/>
          <w:tab w:val="right" w:pos="7371"/>
          <w:tab w:val="right" w:pos="8789"/>
        </w:tabs>
        <w:spacing w:after="0" w:line="240" w:lineRule="auto"/>
        <w:contextualSpacing/>
        <w:rPr>
          <w:rFonts w:ascii="Cambria" w:hAnsi="Cambria"/>
        </w:rPr>
      </w:pPr>
      <w:r w:rsidRPr="00AD7835">
        <w:rPr>
          <w:rStyle w:val="NoSpacingChar"/>
        </w:rPr>
        <w:t>ALWS</w:t>
      </w:r>
      <w:r w:rsidR="0027799A" w:rsidRPr="00AD7835">
        <w:rPr>
          <w:rStyle w:val="NoSpacingChar"/>
        </w:rPr>
        <w:t xml:space="preserve"> </w:t>
      </w:r>
      <w:r w:rsidR="00D94020" w:rsidRPr="00AD7835">
        <w:rPr>
          <w:rStyle w:val="NoSpacingChar"/>
        </w:rPr>
        <w:t>Specified</w:t>
      </w:r>
      <w:r w:rsidR="00D94020" w:rsidRPr="009A0DA6">
        <w:rPr>
          <w:rFonts w:ascii="Cambria" w:eastAsia="Arial" w:hAnsi="Cambria" w:cs="Arial"/>
        </w:rPr>
        <w:tab/>
      </w:r>
      <w:r w:rsidR="00D94020" w:rsidRPr="009A0DA6">
        <w:rPr>
          <w:rFonts w:ascii="Cambria" w:eastAsia="Times New Roman" w:hAnsi="Cambria" w:cs="Times New Roman"/>
          <w:w w:val="111"/>
        </w:rPr>
        <w:t>4,994</w:t>
      </w:r>
      <w:r w:rsidR="00D94020" w:rsidRPr="009A0DA6">
        <w:rPr>
          <w:rFonts w:ascii="Cambria" w:hAnsi="Cambria"/>
        </w:rPr>
        <w:tab/>
      </w:r>
      <w:r w:rsidR="00D94020" w:rsidRPr="009A0DA6">
        <w:rPr>
          <w:rFonts w:ascii="Cambria" w:eastAsia="Times New Roman" w:hAnsi="Cambria" w:cs="Times New Roman"/>
          <w:spacing w:val="1"/>
          <w:w w:val="108"/>
        </w:rPr>
        <w:t>2</w:t>
      </w:r>
      <w:r w:rsidR="00D94020" w:rsidRPr="009A0DA6">
        <w:rPr>
          <w:rFonts w:ascii="Cambria" w:eastAsia="Times New Roman" w:hAnsi="Cambria" w:cs="Times New Roman"/>
          <w:spacing w:val="4"/>
          <w:w w:val="115"/>
        </w:rPr>
        <w:t>,</w:t>
      </w:r>
      <w:r w:rsidR="00D94020" w:rsidRPr="009A0DA6">
        <w:rPr>
          <w:rFonts w:ascii="Cambria" w:eastAsia="Times New Roman" w:hAnsi="Cambria" w:cs="Times New Roman"/>
          <w:w w:val="112"/>
        </w:rPr>
        <w:t>89</w:t>
      </w:r>
      <w:r w:rsidR="00D94020" w:rsidRPr="009A0DA6">
        <w:rPr>
          <w:rFonts w:ascii="Cambria" w:eastAsia="Times New Roman" w:hAnsi="Cambria" w:cs="Times New Roman"/>
          <w:spacing w:val="-2"/>
          <w:w w:val="112"/>
        </w:rPr>
        <w:t>5</w:t>
      </w:r>
      <w:r w:rsidR="00D94020" w:rsidRPr="009A0DA6">
        <w:rPr>
          <w:rFonts w:ascii="Cambria" w:eastAsia="Times New Roman" w:hAnsi="Cambria" w:cs="Times New Roman"/>
        </w:rPr>
        <w:tab/>
      </w:r>
    </w:p>
    <w:p w14:paraId="46A47F0A" w14:textId="77777777" w:rsidR="00D94020" w:rsidRPr="009A0DA6" w:rsidRDefault="00D94020" w:rsidP="00D94020">
      <w:pPr>
        <w:tabs>
          <w:tab w:val="right" w:pos="5954"/>
          <w:tab w:val="right" w:pos="7371"/>
          <w:tab w:val="right" w:pos="8789"/>
        </w:tabs>
        <w:spacing w:after="0" w:line="240" w:lineRule="auto"/>
        <w:ind w:right="-20"/>
        <w:contextualSpacing/>
        <w:rPr>
          <w:rFonts w:ascii="Cambria" w:eastAsia="Times New Roman" w:hAnsi="Cambria" w:cs="Times New Roman"/>
          <w:b/>
        </w:rPr>
      </w:pPr>
      <w:r w:rsidRPr="009A0DA6">
        <w:rPr>
          <w:rFonts w:ascii="Cambria" w:hAnsi="Cambria"/>
          <w:b/>
        </w:rPr>
        <w:tab/>
        <w:t>$</w:t>
      </w:r>
      <w:r w:rsidRPr="009A0DA6">
        <w:rPr>
          <w:rFonts w:ascii="Cambria" w:eastAsia="Times New Roman" w:hAnsi="Cambria" w:cs="Times New Roman"/>
          <w:b/>
          <w:w w:val="110"/>
        </w:rPr>
        <w:t>77,99</w:t>
      </w:r>
      <w:r w:rsidRPr="009A0DA6">
        <w:rPr>
          <w:rFonts w:ascii="Cambria" w:eastAsia="Times New Roman" w:hAnsi="Cambria" w:cs="Times New Roman"/>
          <w:b/>
          <w:spacing w:val="6"/>
          <w:w w:val="110"/>
        </w:rPr>
        <w:t>2</w:t>
      </w:r>
      <w:r w:rsidRPr="009A0DA6">
        <w:rPr>
          <w:rFonts w:ascii="Cambria" w:hAnsi="Cambria"/>
          <w:b/>
        </w:rPr>
        <w:tab/>
        <w:t>$</w:t>
      </w:r>
      <w:r w:rsidRPr="009A0DA6">
        <w:rPr>
          <w:rFonts w:ascii="Cambria" w:eastAsia="Times New Roman" w:hAnsi="Cambria" w:cs="Times New Roman"/>
          <w:b/>
          <w:w w:val="111"/>
        </w:rPr>
        <w:t>32,41</w:t>
      </w:r>
      <w:r w:rsidRPr="009A0DA6">
        <w:rPr>
          <w:rFonts w:ascii="Cambria" w:eastAsia="Times New Roman" w:hAnsi="Cambria" w:cs="Times New Roman"/>
          <w:b/>
          <w:w w:val="112"/>
        </w:rPr>
        <w:t>5</w:t>
      </w:r>
      <w:r w:rsidRPr="009A0DA6">
        <w:rPr>
          <w:rFonts w:ascii="Cambria" w:eastAsia="Times New Roman" w:hAnsi="Cambria" w:cs="Times New Roman"/>
          <w:b/>
          <w:w w:val="112"/>
        </w:rPr>
        <w:tab/>
        <w:t>$53,556</w:t>
      </w:r>
    </w:p>
    <w:p w14:paraId="2FAA8C0F" w14:textId="3FEB3B6D" w:rsidR="00D94020" w:rsidRPr="009A0DA6" w:rsidRDefault="00D94020" w:rsidP="00D94020">
      <w:pPr>
        <w:tabs>
          <w:tab w:val="right" w:pos="5954"/>
          <w:tab w:val="right" w:pos="7371"/>
          <w:tab w:val="right" w:pos="8789"/>
        </w:tabs>
        <w:spacing w:after="0" w:line="240" w:lineRule="auto"/>
        <w:ind w:right="-20"/>
        <w:contextualSpacing/>
        <w:rPr>
          <w:rFonts w:ascii="Cambria" w:eastAsia="Arial" w:hAnsi="Cambria" w:cs="Arial"/>
        </w:rPr>
      </w:pPr>
      <w:r w:rsidRPr="00AD7835">
        <w:rPr>
          <w:rStyle w:val="NoSpacingChar"/>
          <w:b/>
        </w:rPr>
        <w:t>TOTAL L</w:t>
      </w:r>
      <w:r w:rsidR="00AD7835">
        <w:rPr>
          <w:rStyle w:val="NoSpacingChar"/>
          <w:b/>
        </w:rPr>
        <w:t>WA</w:t>
      </w:r>
      <w:r w:rsidRPr="00AD7835">
        <w:rPr>
          <w:rStyle w:val="NoSpacingChar"/>
          <w:b/>
        </w:rPr>
        <w:t xml:space="preserve"> PROJECTS</w:t>
      </w:r>
      <w:r w:rsidRPr="009A0DA6">
        <w:rPr>
          <w:rFonts w:ascii="Cambria" w:eastAsia="Arial" w:hAnsi="Cambria" w:cs="Arial"/>
        </w:rPr>
        <w:tab/>
        <w:t>$</w:t>
      </w:r>
      <w:r w:rsidRPr="009A0DA6">
        <w:rPr>
          <w:rFonts w:ascii="Cambria" w:eastAsia="Arial" w:hAnsi="Cambria" w:cs="Arial"/>
          <w:b/>
          <w:bCs/>
          <w:w w:val="109"/>
        </w:rPr>
        <w:t>172,104</w:t>
      </w:r>
      <w:r w:rsidRPr="009A0DA6">
        <w:rPr>
          <w:rFonts w:ascii="Cambria" w:eastAsia="Arial" w:hAnsi="Cambria" w:cs="Arial"/>
          <w:b/>
          <w:bCs/>
          <w:w w:val="109"/>
        </w:rPr>
        <w:tab/>
        <w:t>$</w:t>
      </w:r>
      <w:r w:rsidRPr="009A0DA6">
        <w:rPr>
          <w:rFonts w:ascii="Cambria" w:eastAsia="Arial" w:hAnsi="Cambria" w:cs="Arial"/>
          <w:b/>
          <w:bCs/>
          <w:w w:val="110"/>
        </w:rPr>
        <w:t>72,43</w:t>
      </w:r>
      <w:r w:rsidRPr="009A0DA6">
        <w:rPr>
          <w:rFonts w:ascii="Cambria" w:eastAsia="Arial" w:hAnsi="Cambria" w:cs="Arial"/>
          <w:b/>
          <w:bCs/>
          <w:spacing w:val="-10"/>
          <w:w w:val="111"/>
        </w:rPr>
        <w:t>1</w:t>
      </w:r>
      <w:r w:rsidRPr="009A0DA6">
        <w:rPr>
          <w:rFonts w:ascii="Cambria" w:eastAsia="Arial" w:hAnsi="Cambria" w:cs="Arial"/>
          <w:b/>
          <w:bCs/>
          <w:spacing w:val="-10"/>
          <w:w w:val="111"/>
        </w:rPr>
        <w:tab/>
        <w:t>$116,501</w:t>
      </w:r>
    </w:p>
    <w:p w14:paraId="3CCBE4BB" w14:textId="77777777" w:rsidR="00D94020" w:rsidRPr="009A0DA6" w:rsidRDefault="00D94020" w:rsidP="00D94020">
      <w:pPr>
        <w:spacing w:before="120" w:after="120" w:line="240" w:lineRule="auto"/>
        <w:contextualSpacing/>
        <w:rPr>
          <w:rFonts w:ascii="Cambria" w:eastAsiaTheme="minorEastAsia" w:hAnsi="Cambria"/>
          <w:b/>
        </w:rPr>
      </w:pPr>
    </w:p>
    <w:p w14:paraId="173C29A4" w14:textId="77777777" w:rsidR="004F6C40" w:rsidRPr="009A0DA6" w:rsidRDefault="004F6C40" w:rsidP="004F6C40">
      <w:pPr>
        <w:pStyle w:val="NoSpacing"/>
      </w:pPr>
    </w:p>
    <w:p w14:paraId="38C4537F" w14:textId="77777777" w:rsidR="004F6C40" w:rsidRPr="009A0DA6" w:rsidRDefault="004F6C40" w:rsidP="004F6C40">
      <w:pPr>
        <w:pStyle w:val="NoSpacing"/>
      </w:pPr>
    </w:p>
    <w:p w14:paraId="7AD7A321" w14:textId="77777777" w:rsidR="002E592D" w:rsidRDefault="002E592D">
      <w:pPr>
        <w:rPr>
          <w:rFonts w:ascii="Cambria" w:eastAsiaTheme="majorEastAsia" w:hAnsi="Cambria" w:cstheme="majorBidi"/>
          <w:b/>
          <w:sz w:val="36"/>
          <w:szCs w:val="32"/>
        </w:rPr>
      </w:pPr>
      <w:r>
        <w:br w:type="page"/>
      </w:r>
    </w:p>
    <w:p w14:paraId="78833C4D" w14:textId="24543150" w:rsidR="00C3276D" w:rsidRDefault="00C3276D" w:rsidP="00C3276D">
      <w:pPr>
        <w:pStyle w:val="Heading1"/>
      </w:pPr>
      <w:bookmarkStart w:id="534" w:name="_Toc521954769"/>
      <w:bookmarkStart w:id="535" w:name="_Hlk522191719"/>
      <w:r w:rsidRPr="00FD2E93">
        <w:lastRenderedPageBreak/>
        <w:t xml:space="preserve">AGENDA </w:t>
      </w:r>
      <w:r w:rsidRPr="00C3276D">
        <w:t>DOCUMENT</w:t>
      </w:r>
      <w:r w:rsidR="00D50899">
        <w:t xml:space="preserve"> 1</w:t>
      </w:r>
    </w:p>
    <w:p w14:paraId="3276AF2D" w14:textId="0E2B0C9F" w:rsidR="00C3276D" w:rsidRDefault="00C3276D" w:rsidP="00C3276D">
      <w:pPr>
        <w:pStyle w:val="NoSpacing"/>
      </w:pPr>
    </w:p>
    <w:p w14:paraId="5DAD5C3E" w14:textId="5198C1C7" w:rsidR="00C3276D" w:rsidRPr="00FD2E93" w:rsidRDefault="00C3276D" w:rsidP="00C3276D">
      <w:pPr>
        <w:pStyle w:val="Heading2"/>
      </w:pPr>
      <w:r w:rsidRPr="00FD2E93">
        <w:t xml:space="preserve">Trial </w:t>
      </w:r>
      <w:r>
        <w:t>s</w:t>
      </w:r>
      <w:r w:rsidRPr="00FD2E93">
        <w:t xml:space="preserve">tructures for </w:t>
      </w:r>
      <w:r>
        <w:t>g</w:t>
      </w:r>
      <w:r w:rsidRPr="00FD2E93">
        <w:t xml:space="preserve">overning </w:t>
      </w:r>
      <w:r>
        <w:t>b</w:t>
      </w:r>
      <w:r w:rsidRPr="00FD2E93">
        <w:t xml:space="preserve">odies and </w:t>
      </w:r>
      <w:r>
        <w:t>n</w:t>
      </w:r>
      <w:r w:rsidRPr="00FD2E93">
        <w:t xml:space="preserve">ational </w:t>
      </w:r>
      <w:r>
        <w:t>o</w:t>
      </w:r>
      <w:r w:rsidRPr="00FD2E93">
        <w:t xml:space="preserve">ffice </w:t>
      </w:r>
      <w:r>
        <w:t>f</w:t>
      </w:r>
      <w:r w:rsidRPr="00FD2E93">
        <w:t>unctions</w:t>
      </w:r>
      <w:r>
        <w:t>: Report of the evaluation study</w:t>
      </w:r>
    </w:p>
    <w:p w14:paraId="441F72E7" w14:textId="77777777" w:rsidR="00C3276D" w:rsidRPr="00C3276D" w:rsidRDefault="00C3276D" w:rsidP="00C3276D">
      <w:pPr>
        <w:rPr>
          <w:rFonts w:ascii="Cambria" w:hAnsi="Cambria"/>
          <w:b/>
          <w:sz w:val="14"/>
        </w:rPr>
      </w:pPr>
    </w:p>
    <w:p w14:paraId="0587E967" w14:textId="77777777" w:rsidR="00C3276D" w:rsidRPr="00FD2E93" w:rsidRDefault="00C3276D" w:rsidP="00C3276D">
      <w:pPr>
        <w:rPr>
          <w:rFonts w:ascii="Cambria" w:hAnsi="Cambria"/>
          <w:b/>
        </w:rPr>
      </w:pPr>
      <w:r w:rsidRPr="00FD2E93">
        <w:rPr>
          <w:rFonts w:ascii="Cambria" w:hAnsi="Cambria"/>
          <w:b/>
        </w:rPr>
        <w:t>Report prepared by: Wendy Taylor, Managing Director and Principal Consultant, Taylored Consulting Pty Ltd</w:t>
      </w:r>
    </w:p>
    <w:p w14:paraId="4A11D3F5" w14:textId="6C4EDCC3" w:rsidR="00C3276D" w:rsidRPr="00C3276D" w:rsidRDefault="00C3276D" w:rsidP="00C3276D">
      <w:pPr>
        <w:rPr>
          <w:rFonts w:ascii="Cambria" w:hAnsi="Cambria"/>
          <w:b/>
          <w:sz w:val="12"/>
        </w:rPr>
      </w:pPr>
      <w:r w:rsidRPr="00FD2E93">
        <w:rPr>
          <w:rFonts w:ascii="Cambria" w:hAnsi="Cambria"/>
          <w:b/>
        </w:rPr>
        <w:t>5 June 2018</w:t>
      </w:r>
      <w:r>
        <w:rPr>
          <w:rFonts w:ascii="Cambria" w:hAnsi="Cambria"/>
          <w:b/>
        </w:rPr>
        <w:br/>
      </w:r>
    </w:p>
    <w:p w14:paraId="3D6E7BB8" w14:textId="77777777" w:rsidR="00C3276D" w:rsidRPr="00FD2E93" w:rsidRDefault="00C3276D" w:rsidP="00C3276D">
      <w:pPr>
        <w:pStyle w:val="Heading3"/>
      </w:pPr>
      <w:r w:rsidRPr="00FD2E93">
        <w:t>Executive Summary</w:t>
      </w:r>
    </w:p>
    <w:p w14:paraId="099443F3" w14:textId="77777777" w:rsidR="00C3276D" w:rsidRPr="00FD2E93" w:rsidRDefault="00C3276D" w:rsidP="00C3276D">
      <w:pPr>
        <w:rPr>
          <w:rFonts w:ascii="Cambria" w:hAnsi="Cambria" w:cs="Arial"/>
        </w:rPr>
      </w:pPr>
      <w:r w:rsidRPr="00FD2E93">
        <w:rPr>
          <w:rFonts w:ascii="Cambria" w:hAnsi="Cambria" w:cs="Arial"/>
        </w:rPr>
        <w:t>As a result of Synod resolutions in 2015</w:t>
      </w:r>
      <w:r w:rsidRPr="00FD2E93">
        <w:rPr>
          <w:rStyle w:val="FootnoteReference"/>
          <w:rFonts w:ascii="Cambria" w:hAnsi="Cambria" w:cs="Arial"/>
        </w:rPr>
        <w:footnoteReference w:id="40"/>
      </w:r>
      <w:r w:rsidRPr="00FD2E93">
        <w:rPr>
          <w:rFonts w:ascii="Cambria" w:hAnsi="Cambria" w:cs="Arial"/>
        </w:rPr>
        <w:t xml:space="preserve">, various Governing Bodies and National Church functions were re-structured to provide leadership, governance and other resources that are churchwide, mission-focused, service orientated, efficiently delivered and effective in enacting the decisions and direction of Synod. </w:t>
      </w:r>
    </w:p>
    <w:p w14:paraId="17FF767B" w14:textId="2D36729C" w:rsidR="00C3276D" w:rsidRPr="00FD2E93" w:rsidRDefault="00C3276D" w:rsidP="00C3276D">
      <w:pPr>
        <w:rPr>
          <w:rFonts w:ascii="Cambria" w:hAnsi="Cambria" w:cs="Arial"/>
        </w:rPr>
      </w:pPr>
      <w:r w:rsidRPr="00FD2E93">
        <w:rPr>
          <w:rFonts w:ascii="Cambria" w:hAnsi="Cambria" w:cs="Arial"/>
        </w:rPr>
        <w:t>The changes have been trialled over the past three years, though the implementation and outcomes to be gained are likely to need 1</w:t>
      </w:r>
      <w:r w:rsidR="00AD7835">
        <w:rPr>
          <w:rFonts w:ascii="Cambria" w:hAnsi="Cambria" w:cs="Arial"/>
        </w:rPr>
        <w:sym w:font="Symbol" w:char="F02D"/>
      </w:r>
      <w:r w:rsidRPr="00FD2E93">
        <w:rPr>
          <w:rFonts w:ascii="Cambria" w:hAnsi="Cambria" w:cs="Arial"/>
        </w:rPr>
        <w:t>3 years more to be fully realised, since a number of matters have required lead-in time, and are still works-in-progress at the time of this report. An evaluation of the trial was requested by Synod.</w:t>
      </w:r>
    </w:p>
    <w:p w14:paraId="3E70FED0" w14:textId="77777777" w:rsidR="00C3276D" w:rsidRPr="00FD2E93" w:rsidRDefault="00C3276D" w:rsidP="00C3276D">
      <w:pPr>
        <w:rPr>
          <w:rFonts w:ascii="Cambria" w:hAnsi="Cambria"/>
        </w:rPr>
      </w:pPr>
      <w:r w:rsidRPr="00FD2E93">
        <w:rPr>
          <w:rFonts w:ascii="Cambria" w:hAnsi="Cambria"/>
        </w:rPr>
        <w:t>This report provides a summary of the Evaluation Study of these changes, undertaken independently by Wendy Taylor, Principal Consultant of Taylored Consulting Pty Ltd at the request of General Church Council (GCC).</w:t>
      </w:r>
    </w:p>
    <w:p w14:paraId="0FEC38E6" w14:textId="28780D24" w:rsidR="00C3276D" w:rsidRPr="00FD2E93" w:rsidRDefault="00C3276D" w:rsidP="00C3276D">
      <w:pPr>
        <w:autoSpaceDE w:val="0"/>
        <w:autoSpaceDN w:val="0"/>
        <w:adjustRightInd w:val="0"/>
        <w:spacing w:after="0" w:line="240" w:lineRule="auto"/>
        <w:rPr>
          <w:rFonts w:ascii="Cambria" w:hAnsi="Cambria" w:cs="Arial"/>
        </w:rPr>
      </w:pPr>
      <w:r w:rsidRPr="00FD2E93">
        <w:rPr>
          <w:rFonts w:ascii="Cambria" w:hAnsi="Cambria"/>
        </w:rPr>
        <w:t xml:space="preserve">The changes are intended to </w:t>
      </w:r>
      <w:r w:rsidRPr="00FD2E93">
        <w:rPr>
          <w:rFonts w:ascii="Cambria" w:hAnsi="Cambria" w:cs="Arial"/>
        </w:rPr>
        <w:t>establish a national structure that provides improved leadership and governance, by:</w:t>
      </w:r>
      <w:r>
        <w:rPr>
          <w:rFonts w:ascii="Cambria" w:hAnsi="Cambria" w:cs="Arial"/>
        </w:rPr>
        <w:br/>
      </w:r>
    </w:p>
    <w:p w14:paraId="744F8008" w14:textId="77777777" w:rsidR="00C3276D" w:rsidRPr="00FD2E93" w:rsidRDefault="00C3276D" w:rsidP="00F55252">
      <w:pPr>
        <w:pStyle w:val="ListParagraph"/>
        <w:numPr>
          <w:ilvl w:val="0"/>
          <w:numId w:val="327"/>
        </w:numPr>
        <w:autoSpaceDE w:val="0"/>
        <w:autoSpaceDN w:val="0"/>
        <w:adjustRightInd w:val="0"/>
        <w:spacing w:after="0" w:line="240" w:lineRule="auto"/>
        <w:ind w:left="567" w:hanging="567"/>
        <w:rPr>
          <w:rFonts w:ascii="Cambria" w:hAnsi="Cambria" w:cs="Arial"/>
        </w:rPr>
      </w:pPr>
      <w:r w:rsidRPr="00FD2E93">
        <w:rPr>
          <w:rFonts w:ascii="Cambria" w:hAnsi="Cambria" w:cs="Arial"/>
        </w:rPr>
        <w:t>Enabling GCC to focus on the strategic priorities of the LCA by reducing from over 20 the number of boards, commissions and committees reporting to General Church Council to only five (not including the GCC sub-committees) reporting to it;</w:t>
      </w:r>
    </w:p>
    <w:p w14:paraId="28EFA0C1" w14:textId="77777777" w:rsidR="00C3276D" w:rsidRPr="00FD2E93" w:rsidRDefault="00C3276D" w:rsidP="00F55252">
      <w:pPr>
        <w:pStyle w:val="ListParagraph"/>
        <w:numPr>
          <w:ilvl w:val="0"/>
          <w:numId w:val="327"/>
        </w:numPr>
        <w:autoSpaceDE w:val="0"/>
        <w:autoSpaceDN w:val="0"/>
        <w:adjustRightInd w:val="0"/>
        <w:spacing w:after="0" w:line="240" w:lineRule="auto"/>
        <w:ind w:left="567" w:hanging="567"/>
        <w:rPr>
          <w:rFonts w:ascii="Cambria" w:hAnsi="Cambria" w:cs="Arial"/>
        </w:rPr>
      </w:pPr>
      <w:r w:rsidRPr="00FD2E93">
        <w:rPr>
          <w:rFonts w:ascii="Cambria" w:hAnsi="Cambria" w:cs="Arial"/>
        </w:rPr>
        <w:t>Achieving greater effectiveness and integration of mission activities through one Local Mission Board focusing on the mission of the whole Church in Australia and New Zealand and providing GCC and Synod with the in-depth advice it requires for the policies, direction and resourcing of mission activities;</w:t>
      </w:r>
    </w:p>
    <w:p w14:paraId="0BF6CAAF" w14:textId="77777777" w:rsidR="00C3276D" w:rsidRPr="00FD2E93" w:rsidRDefault="00C3276D" w:rsidP="00F55252">
      <w:pPr>
        <w:pStyle w:val="ListParagraph"/>
        <w:numPr>
          <w:ilvl w:val="0"/>
          <w:numId w:val="327"/>
        </w:numPr>
        <w:autoSpaceDE w:val="0"/>
        <w:autoSpaceDN w:val="0"/>
        <w:adjustRightInd w:val="0"/>
        <w:spacing w:after="0" w:line="240" w:lineRule="auto"/>
        <w:ind w:left="567" w:hanging="567"/>
        <w:rPr>
          <w:rFonts w:ascii="Cambria" w:hAnsi="Cambria" w:cs="Arial"/>
        </w:rPr>
      </w:pPr>
      <w:r w:rsidRPr="00FD2E93">
        <w:rPr>
          <w:rFonts w:ascii="Cambria" w:hAnsi="Cambria" w:cs="Arial"/>
        </w:rPr>
        <w:t>Strengthening the LCA Bishop’s capacity to exercise oversight responsibilities by participating in fewer, but influential mission-setting and decision-making bodies, especially the proposed one local mission board that has a key role in shaping the direction of the LCA’s mission activities;</w:t>
      </w:r>
    </w:p>
    <w:p w14:paraId="15CA4264" w14:textId="77777777" w:rsidR="00C3276D" w:rsidRPr="00FD2E93" w:rsidRDefault="00C3276D" w:rsidP="00F55252">
      <w:pPr>
        <w:pStyle w:val="ListParagraph"/>
        <w:numPr>
          <w:ilvl w:val="0"/>
          <w:numId w:val="327"/>
        </w:numPr>
        <w:autoSpaceDE w:val="0"/>
        <w:autoSpaceDN w:val="0"/>
        <w:adjustRightInd w:val="0"/>
        <w:spacing w:after="0" w:line="240" w:lineRule="auto"/>
        <w:ind w:left="567" w:hanging="567"/>
        <w:rPr>
          <w:rFonts w:ascii="Cambria" w:hAnsi="Cambria" w:cs="Arial"/>
        </w:rPr>
      </w:pPr>
      <w:r w:rsidRPr="00FD2E93">
        <w:rPr>
          <w:rFonts w:ascii="Cambria" w:hAnsi="Cambria" w:cs="Arial"/>
        </w:rPr>
        <w:t>Developing a better managed, more systematic and collegial approach to mission planning, sharing resources and shaping future directions through placing the majority of the mission departments into the Office of the Bishop;</w:t>
      </w:r>
    </w:p>
    <w:p w14:paraId="0B61AD41" w14:textId="77777777" w:rsidR="00C3276D" w:rsidRPr="00FD2E93" w:rsidRDefault="00C3276D" w:rsidP="00F55252">
      <w:pPr>
        <w:pStyle w:val="ListParagraph"/>
        <w:numPr>
          <w:ilvl w:val="0"/>
          <w:numId w:val="327"/>
        </w:numPr>
        <w:autoSpaceDE w:val="0"/>
        <w:autoSpaceDN w:val="0"/>
        <w:adjustRightInd w:val="0"/>
        <w:spacing w:after="0" w:line="240" w:lineRule="auto"/>
        <w:ind w:left="567" w:hanging="567"/>
        <w:rPr>
          <w:rFonts w:ascii="Cambria" w:hAnsi="Cambria" w:cs="Arial"/>
        </w:rPr>
      </w:pPr>
      <w:r w:rsidRPr="00FD2E93">
        <w:rPr>
          <w:rFonts w:ascii="Cambria" w:hAnsi="Cambria" w:cs="Arial"/>
        </w:rPr>
        <w:t xml:space="preserve">Establishing the position of Mission Executive Officer to lead a national local mission leadership team that works together to achieve the outcomes described in point 4. </w:t>
      </w:r>
    </w:p>
    <w:p w14:paraId="3D404F8F" w14:textId="77777777" w:rsidR="00C3276D" w:rsidRPr="00FD2E93" w:rsidRDefault="00C3276D" w:rsidP="00F55252">
      <w:pPr>
        <w:pStyle w:val="ListParagraph"/>
        <w:numPr>
          <w:ilvl w:val="0"/>
          <w:numId w:val="327"/>
        </w:numPr>
        <w:autoSpaceDE w:val="0"/>
        <w:autoSpaceDN w:val="0"/>
        <w:adjustRightInd w:val="0"/>
        <w:spacing w:after="0" w:line="240" w:lineRule="auto"/>
        <w:ind w:left="567" w:hanging="567"/>
        <w:rPr>
          <w:rFonts w:ascii="Cambria" w:hAnsi="Cambria"/>
        </w:rPr>
      </w:pPr>
      <w:r w:rsidRPr="00FD2E93">
        <w:rPr>
          <w:rFonts w:ascii="Cambria" w:hAnsi="Cambria" w:cs="Arial"/>
        </w:rPr>
        <w:t>Strengthening national capacity to provide support services through a more effective, coordinated and integrated management structure under the Executive Officer of the Church.”</w:t>
      </w:r>
    </w:p>
    <w:p w14:paraId="6738FC96" w14:textId="77777777" w:rsidR="00C3276D" w:rsidRPr="00C3276D" w:rsidRDefault="00C3276D" w:rsidP="00C3276D">
      <w:pPr>
        <w:pStyle w:val="ListParagraph"/>
        <w:autoSpaceDE w:val="0"/>
        <w:autoSpaceDN w:val="0"/>
        <w:adjustRightInd w:val="0"/>
        <w:spacing w:after="0" w:line="240" w:lineRule="auto"/>
        <w:ind w:left="567"/>
        <w:rPr>
          <w:rFonts w:ascii="Cambria" w:hAnsi="Cambria"/>
          <w:sz w:val="14"/>
        </w:rPr>
      </w:pPr>
      <w:r w:rsidRPr="00FD2E93">
        <w:rPr>
          <w:rFonts w:ascii="Cambria" w:hAnsi="Cambria" w:cs="Arial"/>
        </w:rPr>
        <w:t xml:space="preserve"> </w:t>
      </w:r>
    </w:p>
    <w:p w14:paraId="103EE5F4" w14:textId="3AB27E69" w:rsidR="00C3276D" w:rsidRPr="00FD2E93" w:rsidRDefault="00C3276D" w:rsidP="00C3276D">
      <w:pPr>
        <w:autoSpaceDE w:val="0"/>
        <w:autoSpaceDN w:val="0"/>
        <w:adjustRightInd w:val="0"/>
        <w:spacing w:after="0" w:line="240" w:lineRule="auto"/>
        <w:rPr>
          <w:rFonts w:ascii="Cambria" w:hAnsi="Cambria"/>
        </w:rPr>
      </w:pPr>
      <w:r w:rsidRPr="00FD2E93">
        <w:rPr>
          <w:rFonts w:ascii="Cambria" w:hAnsi="Cambria" w:cs="Arial"/>
          <w:b/>
        </w:rPr>
        <w:t xml:space="preserve">(RECOMMENDATION 6 - </w:t>
      </w:r>
      <w:r w:rsidRPr="00FD2E93">
        <w:rPr>
          <w:rFonts w:ascii="Cambria" w:hAnsi="Cambria" w:cs="Arial"/>
        </w:rPr>
        <w:t xml:space="preserve">Extract from Synod 2015 </w:t>
      </w:r>
      <w:r w:rsidR="00995084">
        <w:rPr>
          <w:rFonts w:ascii="Cambria" w:hAnsi="Cambria" w:cs="Arial"/>
        </w:rPr>
        <w:t>Agenda</w:t>
      </w:r>
      <w:r w:rsidRPr="00FD2E93">
        <w:rPr>
          <w:rFonts w:ascii="Cambria" w:hAnsi="Cambria" w:cs="Arial"/>
        </w:rPr>
        <w:t xml:space="preserve"> 2.2.4) </w:t>
      </w:r>
      <w:r w:rsidRPr="00FD2E93">
        <w:rPr>
          <w:rFonts w:ascii="Cambria" w:hAnsi="Cambria"/>
        </w:rPr>
        <w:t xml:space="preserve"> </w:t>
      </w:r>
    </w:p>
    <w:p w14:paraId="093268BB" w14:textId="77777777" w:rsidR="00C3276D" w:rsidRDefault="00C3276D" w:rsidP="00C3276D">
      <w:pPr>
        <w:rPr>
          <w:rFonts w:ascii="Cambria" w:hAnsi="Cambria"/>
          <w:b/>
        </w:rPr>
      </w:pPr>
    </w:p>
    <w:p w14:paraId="59DD7669" w14:textId="7F3401B5" w:rsidR="00C3276D" w:rsidRPr="00FD2E93" w:rsidRDefault="00C3276D" w:rsidP="00C3276D">
      <w:pPr>
        <w:pStyle w:val="Heading3"/>
      </w:pPr>
      <w:r w:rsidRPr="00FD2E93">
        <w:lastRenderedPageBreak/>
        <w:t>Findings in summary</w:t>
      </w:r>
    </w:p>
    <w:p w14:paraId="20148478" w14:textId="77777777" w:rsidR="00C3276D" w:rsidRPr="00FD2E93" w:rsidRDefault="00C3276D" w:rsidP="00C3276D">
      <w:pPr>
        <w:rPr>
          <w:rFonts w:ascii="Cambria" w:hAnsi="Cambria"/>
        </w:rPr>
      </w:pPr>
      <w:r w:rsidRPr="00FD2E93">
        <w:rPr>
          <w:rFonts w:ascii="Cambria" w:hAnsi="Cambria"/>
        </w:rPr>
        <w:t>Though not universal, the majority of entities and persons who participated in the Evaluation of Trial Structures for Governing Bodies and National Functions, indicate the moves as positive, with a further grouping indicating no effect as yet. Perceptions of negative impact are in the minority, with some of these seen as transitory.</w:t>
      </w:r>
    </w:p>
    <w:p w14:paraId="4E2ABFC4" w14:textId="2EA33F82" w:rsidR="00C3276D" w:rsidRPr="00FD2E93" w:rsidRDefault="00C3276D" w:rsidP="00C3276D">
      <w:pPr>
        <w:rPr>
          <w:rFonts w:ascii="Cambria" w:hAnsi="Cambria"/>
        </w:rPr>
      </w:pPr>
      <w:r w:rsidRPr="00FD2E93">
        <w:rPr>
          <w:rFonts w:ascii="Cambria" w:hAnsi="Cambria"/>
        </w:rPr>
        <w:t xml:space="preserve">This positive sentiment is strongly stated by certain respondents – GCC, Office of the Bishop, District Bishops and Administrators, national office personnel, and half of the Boards/Commissions and Committees. Comments in both </w:t>
      </w:r>
      <w:r w:rsidR="00E532DD">
        <w:rPr>
          <w:rFonts w:ascii="Cambria" w:hAnsi="Cambria"/>
        </w:rPr>
        <w:t>focus groups</w:t>
      </w:r>
      <w:r w:rsidRPr="00FD2E93">
        <w:rPr>
          <w:rFonts w:ascii="Cambria" w:hAnsi="Cambria"/>
        </w:rPr>
        <w:t xml:space="preserve"> and survey indicate a need to continue implementation to reap the full benefits.</w:t>
      </w:r>
    </w:p>
    <w:p w14:paraId="590BA9AE" w14:textId="77777777" w:rsidR="00C3276D" w:rsidRPr="00FD2E93" w:rsidRDefault="00C3276D" w:rsidP="00C3276D">
      <w:pPr>
        <w:rPr>
          <w:rFonts w:ascii="Cambria" w:hAnsi="Cambria"/>
          <w:b/>
        </w:rPr>
      </w:pPr>
      <w:r w:rsidRPr="00FD2E93">
        <w:rPr>
          <w:rFonts w:ascii="Cambria" w:hAnsi="Cambria"/>
          <w:b/>
        </w:rPr>
        <w:t>Key positive findings include:</w:t>
      </w:r>
    </w:p>
    <w:p w14:paraId="2F794C22" w14:textId="77777777" w:rsidR="00C3276D" w:rsidRPr="00FD2E93" w:rsidRDefault="00C3276D" w:rsidP="00F55252">
      <w:pPr>
        <w:pStyle w:val="ListParagraph"/>
        <w:numPr>
          <w:ilvl w:val="0"/>
          <w:numId w:val="341"/>
        </w:numPr>
        <w:spacing w:line="259" w:lineRule="auto"/>
        <w:ind w:left="567" w:hanging="567"/>
        <w:rPr>
          <w:rFonts w:ascii="Cambria" w:hAnsi="Cambria"/>
        </w:rPr>
      </w:pPr>
      <w:r w:rsidRPr="00FD2E93">
        <w:rPr>
          <w:rFonts w:ascii="Cambria" w:hAnsi="Cambria"/>
        </w:rPr>
        <w:t>Key Leaders of the Church (GCC, The Bishop, District Bishops) report time efficiencies in their work as a result of:</w:t>
      </w:r>
    </w:p>
    <w:p w14:paraId="5B6A789C" w14:textId="77777777" w:rsidR="00C3276D" w:rsidRPr="00FD2E93" w:rsidRDefault="00C3276D" w:rsidP="00F55252">
      <w:pPr>
        <w:pStyle w:val="ListParagraph"/>
        <w:numPr>
          <w:ilvl w:val="1"/>
          <w:numId w:val="351"/>
        </w:numPr>
        <w:spacing w:line="259" w:lineRule="auto"/>
        <w:ind w:left="1134" w:hanging="567"/>
        <w:rPr>
          <w:rFonts w:ascii="Cambria" w:hAnsi="Cambria"/>
        </w:rPr>
      </w:pPr>
      <w:r w:rsidRPr="00FD2E93">
        <w:rPr>
          <w:rFonts w:ascii="Cambria" w:hAnsi="Cambria"/>
        </w:rPr>
        <w:t>Fewer reporting bodies</w:t>
      </w:r>
    </w:p>
    <w:p w14:paraId="1EA1E4B9" w14:textId="77777777" w:rsidR="00C3276D" w:rsidRPr="00FD2E93" w:rsidRDefault="00C3276D" w:rsidP="00F55252">
      <w:pPr>
        <w:pStyle w:val="ListParagraph"/>
        <w:numPr>
          <w:ilvl w:val="1"/>
          <w:numId w:val="351"/>
        </w:numPr>
        <w:spacing w:line="259" w:lineRule="auto"/>
        <w:ind w:left="1134" w:hanging="567"/>
        <w:rPr>
          <w:rFonts w:ascii="Cambria" w:hAnsi="Cambria"/>
        </w:rPr>
      </w:pPr>
      <w:r w:rsidRPr="00FD2E93">
        <w:rPr>
          <w:rFonts w:ascii="Cambria" w:hAnsi="Cambria"/>
        </w:rPr>
        <w:t>Clearer connections points</w:t>
      </w:r>
    </w:p>
    <w:p w14:paraId="43D03DD6" w14:textId="77777777" w:rsidR="00C3276D" w:rsidRPr="00FD2E93" w:rsidRDefault="00C3276D" w:rsidP="00F55252">
      <w:pPr>
        <w:pStyle w:val="ListParagraph"/>
        <w:numPr>
          <w:ilvl w:val="1"/>
          <w:numId w:val="351"/>
        </w:numPr>
        <w:spacing w:line="259" w:lineRule="auto"/>
        <w:ind w:left="1134" w:hanging="567"/>
        <w:rPr>
          <w:rFonts w:ascii="Cambria" w:hAnsi="Cambria"/>
        </w:rPr>
      </w:pPr>
      <w:r w:rsidRPr="00FD2E93">
        <w:rPr>
          <w:rFonts w:ascii="Cambria" w:hAnsi="Cambria"/>
        </w:rPr>
        <w:t>Establishment of departments such as Church Worker Support, and the consistency of policy and practice that is developing through it.</w:t>
      </w:r>
    </w:p>
    <w:p w14:paraId="26E1102A" w14:textId="77777777" w:rsidR="00C3276D" w:rsidRPr="00FD2E93" w:rsidRDefault="00C3276D" w:rsidP="00C3276D">
      <w:pPr>
        <w:ind w:firstLine="720"/>
        <w:rPr>
          <w:rFonts w:ascii="Cambria" w:hAnsi="Cambria"/>
        </w:rPr>
      </w:pPr>
      <w:r w:rsidRPr="00FD2E93">
        <w:rPr>
          <w:rFonts w:ascii="Cambria" w:hAnsi="Cambria"/>
        </w:rPr>
        <w:t xml:space="preserve">This has enabled greater focus on missional work. </w:t>
      </w:r>
    </w:p>
    <w:p w14:paraId="62B04F50" w14:textId="73CC30A2" w:rsidR="00C3276D" w:rsidRPr="00FD2E93" w:rsidRDefault="00C3276D" w:rsidP="00C3276D">
      <w:pPr>
        <w:spacing w:after="0" w:line="240" w:lineRule="auto"/>
        <w:ind w:left="709" w:firstLine="11"/>
        <w:rPr>
          <w:rFonts w:ascii="Cambria" w:hAnsi="Cambria"/>
        </w:rPr>
      </w:pPr>
      <w:r w:rsidRPr="00FD2E93">
        <w:rPr>
          <w:rFonts w:ascii="Cambria" w:hAnsi="Cambria"/>
        </w:rPr>
        <w:t>Department Managers also report fewer Board/Committee meetings of shorter duration,</w:t>
      </w:r>
      <w:r>
        <w:rPr>
          <w:rFonts w:ascii="Cambria" w:hAnsi="Cambria"/>
        </w:rPr>
        <w:t xml:space="preserve"> </w:t>
      </w:r>
      <w:r w:rsidRPr="00FD2E93">
        <w:rPr>
          <w:rFonts w:ascii="Cambria" w:hAnsi="Cambria"/>
        </w:rPr>
        <w:t>which results in time efficiencies to handle the additional scope of work now performed.</w:t>
      </w:r>
    </w:p>
    <w:p w14:paraId="20DF8E8D" w14:textId="77777777" w:rsidR="00C3276D" w:rsidRPr="00FD2E93" w:rsidRDefault="00C3276D" w:rsidP="00C3276D">
      <w:pPr>
        <w:spacing w:after="0" w:line="240" w:lineRule="auto"/>
        <w:ind w:firstLine="720"/>
        <w:rPr>
          <w:rFonts w:ascii="Cambria" w:hAnsi="Cambria"/>
        </w:rPr>
      </w:pPr>
    </w:p>
    <w:p w14:paraId="3B6C6C92" w14:textId="77777777" w:rsidR="00C3276D" w:rsidRPr="00FD2E93" w:rsidRDefault="00C3276D" w:rsidP="00F55252">
      <w:pPr>
        <w:pStyle w:val="ListParagraph"/>
        <w:numPr>
          <w:ilvl w:val="0"/>
          <w:numId w:val="341"/>
        </w:numPr>
        <w:spacing w:line="259" w:lineRule="auto"/>
        <w:ind w:left="567" w:hanging="567"/>
        <w:rPr>
          <w:rFonts w:ascii="Cambria" w:hAnsi="Cambria"/>
        </w:rPr>
      </w:pPr>
      <w:r w:rsidRPr="00FD2E93">
        <w:rPr>
          <w:rFonts w:ascii="Cambria" w:hAnsi="Cambria"/>
        </w:rPr>
        <w:t>Administration in Districts and congregations is gradually being standardised and streamlined and this is creating efficiencies for District Administrators; this is also enabling the Key Leaders (above) to start a shift in their focus from compliance and risk management, to strategic matters for the Church. Various Boards and Committees report the positive flow on effect of this with their increased engagement from either the Bishop or GCC.</w:t>
      </w:r>
    </w:p>
    <w:p w14:paraId="498E0377" w14:textId="77777777" w:rsidR="00C3276D" w:rsidRPr="00FD2E93" w:rsidRDefault="00C3276D" w:rsidP="00C3276D">
      <w:pPr>
        <w:pStyle w:val="ListParagraph"/>
        <w:ind w:left="567" w:hanging="567"/>
        <w:rPr>
          <w:rFonts w:ascii="Cambria" w:hAnsi="Cambria"/>
        </w:rPr>
      </w:pPr>
    </w:p>
    <w:p w14:paraId="6827D1AE" w14:textId="77777777" w:rsidR="00C3276D" w:rsidRPr="00FD2E93" w:rsidRDefault="00C3276D" w:rsidP="00F55252">
      <w:pPr>
        <w:pStyle w:val="ListParagraph"/>
        <w:numPr>
          <w:ilvl w:val="0"/>
          <w:numId w:val="341"/>
        </w:numPr>
        <w:spacing w:line="259" w:lineRule="auto"/>
        <w:ind w:left="567" w:hanging="567"/>
        <w:rPr>
          <w:rFonts w:ascii="Cambria" w:hAnsi="Cambria"/>
        </w:rPr>
      </w:pPr>
      <w:r w:rsidRPr="00FD2E93">
        <w:rPr>
          <w:rFonts w:ascii="Cambria" w:hAnsi="Cambria"/>
        </w:rPr>
        <w:t>Various Churchwide services are progressively increasing their scope of work, with the Communications Department, Finance and Administration and ICT Departments already undertaking large volume work for the Church; these areas are markedly improved over past performance, though more is to be done. Progress to date is reducing the burden on congregations, improving the consistency of branding, promotion of the Church’s messages and services, and delivering efficiencies in service and cost per transaction. The removal of administration from Districts and congregations is gradually allowing their few resources to focus on missional work, but this is variable at present in terms of the positive impacts felt. For some, including entities such as ALWS and ALC, the transition of systems and processes underpinning these shifts, particularly in the areas of finance/ payroll and technological support is causing concerns over loss of past or needed levels of service. Lutheran Archives express concern over loss of past levels of service in the area of ICT support.</w:t>
      </w:r>
    </w:p>
    <w:p w14:paraId="5AA3FE2A" w14:textId="77777777" w:rsidR="00C3276D" w:rsidRPr="00FD2E93" w:rsidRDefault="00C3276D" w:rsidP="00C3276D">
      <w:pPr>
        <w:pStyle w:val="ListParagraph"/>
        <w:ind w:left="567" w:hanging="567"/>
        <w:rPr>
          <w:rFonts w:ascii="Cambria" w:hAnsi="Cambria"/>
        </w:rPr>
      </w:pPr>
    </w:p>
    <w:p w14:paraId="605A780F" w14:textId="77777777" w:rsidR="00C3276D" w:rsidRPr="00FD2E93" w:rsidRDefault="00C3276D" w:rsidP="00F55252">
      <w:pPr>
        <w:pStyle w:val="ListParagraph"/>
        <w:numPr>
          <w:ilvl w:val="0"/>
          <w:numId w:val="341"/>
        </w:numPr>
        <w:spacing w:line="259" w:lineRule="auto"/>
        <w:ind w:left="567" w:hanging="567"/>
        <w:rPr>
          <w:rFonts w:ascii="Cambria" w:hAnsi="Cambria"/>
        </w:rPr>
      </w:pPr>
      <w:r w:rsidRPr="00FD2E93">
        <w:rPr>
          <w:rFonts w:ascii="Cambria" w:hAnsi="Cambria"/>
        </w:rPr>
        <w:t>The risk profile of the Church has been fundamentally improved.</w:t>
      </w:r>
    </w:p>
    <w:p w14:paraId="09BCB962" w14:textId="77777777" w:rsidR="00C3276D" w:rsidRPr="00FD2E93" w:rsidRDefault="00C3276D" w:rsidP="00C3276D">
      <w:pPr>
        <w:pStyle w:val="ListParagraph"/>
        <w:ind w:left="567" w:hanging="567"/>
        <w:rPr>
          <w:rFonts w:ascii="Cambria" w:hAnsi="Cambria"/>
        </w:rPr>
      </w:pPr>
    </w:p>
    <w:p w14:paraId="2820A797" w14:textId="77777777" w:rsidR="00C3276D" w:rsidRPr="00FD2E93" w:rsidRDefault="00C3276D" w:rsidP="00F55252">
      <w:pPr>
        <w:pStyle w:val="ListParagraph"/>
        <w:numPr>
          <w:ilvl w:val="0"/>
          <w:numId w:val="341"/>
        </w:numPr>
        <w:spacing w:line="259" w:lineRule="auto"/>
        <w:ind w:left="567" w:hanging="567"/>
        <w:rPr>
          <w:rFonts w:ascii="Cambria" w:hAnsi="Cambria"/>
        </w:rPr>
      </w:pPr>
      <w:r w:rsidRPr="00FD2E93">
        <w:rPr>
          <w:rFonts w:ascii="Cambria" w:hAnsi="Cambria"/>
        </w:rPr>
        <w:t>The skills available to the Church via its Boards, Committees and Commissions is very valuable and substantially more fit for purpose (this also assists effective risk management).</w:t>
      </w:r>
    </w:p>
    <w:p w14:paraId="07CA0E2C" w14:textId="77777777" w:rsidR="00C3276D" w:rsidRPr="00FD2E93" w:rsidRDefault="00C3276D" w:rsidP="00C3276D">
      <w:pPr>
        <w:pStyle w:val="ListParagraph"/>
        <w:ind w:left="567" w:hanging="567"/>
        <w:rPr>
          <w:rFonts w:ascii="Cambria" w:hAnsi="Cambria"/>
        </w:rPr>
      </w:pPr>
    </w:p>
    <w:p w14:paraId="6D8E57F1" w14:textId="77777777" w:rsidR="00C3276D" w:rsidRPr="00FD2E93" w:rsidRDefault="00C3276D" w:rsidP="00F55252">
      <w:pPr>
        <w:pStyle w:val="ListParagraph"/>
        <w:numPr>
          <w:ilvl w:val="0"/>
          <w:numId w:val="341"/>
        </w:numPr>
        <w:spacing w:line="259" w:lineRule="auto"/>
        <w:ind w:left="567" w:hanging="567"/>
        <w:rPr>
          <w:rFonts w:ascii="Cambria" w:hAnsi="Cambria"/>
        </w:rPr>
      </w:pPr>
      <w:r w:rsidRPr="00FD2E93">
        <w:rPr>
          <w:rFonts w:ascii="Cambria" w:hAnsi="Cambria"/>
        </w:rPr>
        <w:lastRenderedPageBreak/>
        <w:t xml:space="preserve">The profile of Local Mission has been substantially developed within the Church, with increased linkages across the many entities and programs that deal with this at national levels. </w:t>
      </w:r>
    </w:p>
    <w:p w14:paraId="08D0ADF8" w14:textId="77777777" w:rsidR="00C3276D" w:rsidRPr="00FD2E93" w:rsidRDefault="00C3276D" w:rsidP="00C3276D">
      <w:pPr>
        <w:pStyle w:val="ListParagraph"/>
        <w:ind w:left="567"/>
        <w:rPr>
          <w:rFonts w:ascii="Cambria" w:hAnsi="Cambria"/>
        </w:rPr>
      </w:pPr>
      <w:r w:rsidRPr="00FD2E93">
        <w:rPr>
          <w:rFonts w:ascii="Cambria" w:hAnsi="Cambria"/>
        </w:rPr>
        <w:t>The majority of related Committees indicate the establishment of a Local Mission Department has had a positive impact. The strategic positioning and integration of goals and activities in Local Mission is still to come, as is integrated work on Local Mission with the Districts and congregations.</w:t>
      </w:r>
    </w:p>
    <w:p w14:paraId="48AEA87C" w14:textId="77777777" w:rsidR="00C3276D" w:rsidRPr="00FD2E93" w:rsidRDefault="00C3276D" w:rsidP="00C3276D">
      <w:pPr>
        <w:pStyle w:val="ListParagraph"/>
        <w:ind w:left="567" w:hanging="567"/>
        <w:rPr>
          <w:rFonts w:ascii="Cambria" w:hAnsi="Cambria"/>
        </w:rPr>
      </w:pPr>
    </w:p>
    <w:p w14:paraId="6F826906" w14:textId="77777777" w:rsidR="00C3276D" w:rsidRPr="00FD2E93" w:rsidRDefault="00C3276D" w:rsidP="00F55252">
      <w:pPr>
        <w:pStyle w:val="ListParagraph"/>
        <w:numPr>
          <w:ilvl w:val="0"/>
          <w:numId w:val="341"/>
        </w:numPr>
        <w:spacing w:line="259" w:lineRule="auto"/>
        <w:ind w:left="567" w:hanging="567"/>
        <w:rPr>
          <w:rFonts w:ascii="Cambria" w:hAnsi="Cambria"/>
        </w:rPr>
      </w:pPr>
      <w:r w:rsidRPr="00FD2E93">
        <w:rPr>
          <w:rFonts w:ascii="Cambria" w:hAnsi="Cambria"/>
        </w:rPr>
        <w:t>The amount of time spent with focus on Cross-Cultural Ministry and Ministry for the Ageing has increased, as has their profile within the Church, their production of resources and inputs to national policy and initiatives.</w:t>
      </w:r>
    </w:p>
    <w:p w14:paraId="7903EC0F" w14:textId="77777777" w:rsidR="00C3276D" w:rsidRPr="00FD2E93" w:rsidRDefault="00C3276D" w:rsidP="00C3276D">
      <w:pPr>
        <w:pStyle w:val="ListParagraph"/>
        <w:ind w:left="567" w:hanging="567"/>
        <w:rPr>
          <w:rFonts w:ascii="Cambria" w:hAnsi="Cambria"/>
        </w:rPr>
      </w:pPr>
    </w:p>
    <w:p w14:paraId="2683F669" w14:textId="77777777" w:rsidR="00C3276D" w:rsidRPr="00FD2E93" w:rsidRDefault="00C3276D" w:rsidP="00F55252">
      <w:pPr>
        <w:pStyle w:val="ListParagraph"/>
        <w:numPr>
          <w:ilvl w:val="0"/>
          <w:numId w:val="341"/>
        </w:numPr>
        <w:spacing w:line="259" w:lineRule="auto"/>
        <w:ind w:left="567" w:hanging="567"/>
        <w:rPr>
          <w:rFonts w:ascii="Cambria" w:hAnsi="Cambria"/>
        </w:rPr>
      </w:pPr>
      <w:r w:rsidRPr="00FD2E93">
        <w:rPr>
          <w:rFonts w:ascii="Cambria" w:hAnsi="Cambria"/>
        </w:rPr>
        <w:t>The effectiveness of half the number of Boards, Committees and Commissions has been positively impacted by the changes made to Governing Bodies. Many report seeing the connections points more clearly, though the mechanisms to connect need more work.</w:t>
      </w:r>
    </w:p>
    <w:p w14:paraId="2F90D078" w14:textId="77777777" w:rsidR="00C3276D" w:rsidRPr="00FD2E93" w:rsidRDefault="00C3276D" w:rsidP="00C3276D">
      <w:pPr>
        <w:pStyle w:val="ListParagraph"/>
        <w:ind w:left="567" w:hanging="567"/>
        <w:rPr>
          <w:rFonts w:ascii="Cambria" w:hAnsi="Cambria"/>
        </w:rPr>
      </w:pPr>
    </w:p>
    <w:p w14:paraId="619A5984" w14:textId="77777777" w:rsidR="00C3276D" w:rsidRPr="00FD2E93" w:rsidRDefault="00C3276D" w:rsidP="00F55252">
      <w:pPr>
        <w:pStyle w:val="ListParagraph"/>
        <w:numPr>
          <w:ilvl w:val="0"/>
          <w:numId w:val="341"/>
        </w:numPr>
        <w:spacing w:line="259" w:lineRule="auto"/>
        <w:ind w:left="567" w:hanging="567"/>
        <w:rPr>
          <w:rFonts w:ascii="Cambria" w:hAnsi="Cambria"/>
        </w:rPr>
      </w:pPr>
      <w:r w:rsidRPr="00FD2E93">
        <w:rPr>
          <w:rFonts w:ascii="Cambria" w:hAnsi="Cambria"/>
        </w:rPr>
        <w:t>Efficiency – one quarter of the Boards, Committees and Commissions indicate positive impact, with another substantial group indicating no significant impact, at least as yet; significant efficiencies have been made by those Boards, Committees and Commissions that now receive some administrative support and the increased participation of the Executive Officers of the Church is adding value to the focus, decision – making and actions taken by these groups.</w:t>
      </w:r>
    </w:p>
    <w:p w14:paraId="7969198E" w14:textId="77777777" w:rsidR="00C3276D" w:rsidRPr="00FD2E93" w:rsidRDefault="00C3276D" w:rsidP="00C3276D">
      <w:pPr>
        <w:rPr>
          <w:rFonts w:ascii="Cambria" w:hAnsi="Cambria"/>
          <w:b/>
        </w:rPr>
      </w:pPr>
      <w:r w:rsidRPr="00FD2E93">
        <w:rPr>
          <w:rFonts w:ascii="Cambria" w:hAnsi="Cambria"/>
          <w:b/>
        </w:rPr>
        <w:t>Key areas found to warrant further development include:</w:t>
      </w:r>
    </w:p>
    <w:p w14:paraId="50065F69" w14:textId="77777777" w:rsidR="00C3276D" w:rsidRPr="00FD2E93" w:rsidRDefault="00C3276D" w:rsidP="00F55252">
      <w:pPr>
        <w:pStyle w:val="ListParagraph"/>
        <w:numPr>
          <w:ilvl w:val="0"/>
          <w:numId w:val="343"/>
        </w:numPr>
        <w:spacing w:line="259" w:lineRule="auto"/>
        <w:ind w:left="567" w:hanging="567"/>
        <w:rPr>
          <w:rFonts w:ascii="Cambria" w:hAnsi="Cambria"/>
        </w:rPr>
      </w:pPr>
      <w:r w:rsidRPr="00FD2E93">
        <w:rPr>
          <w:rFonts w:ascii="Cambria" w:hAnsi="Cambria"/>
        </w:rPr>
        <w:t>Strategy development and communication of it, in the areas of:</w:t>
      </w:r>
    </w:p>
    <w:p w14:paraId="1DB0C364" w14:textId="77777777" w:rsidR="00C3276D" w:rsidRPr="00FD2E93" w:rsidRDefault="00C3276D" w:rsidP="00F55252">
      <w:pPr>
        <w:pStyle w:val="ListParagraph"/>
        <w:numPr>
          <w:ilvl w:val="1"/>
          <w:numId w:val="352"/>
        </w:numPr>
        <w:spacing w:line="259" w:lineRule="auto"/>
        <w:ind w:left="1134" w:hanging="567"/>
        <w:rPr>
          <w:rFonts w:ascii="Cambria" w:hAnsi="Cambria"/>
        </w:rPr>
      </w:pPr>
      <w:r w:rsidRPr="00FD2E93">
        <w:rPr>
          <w:rFonts w:ascii="Cambria" w:hAnsi="Cambria"/>
        </w:rPr>
        <w:t>Local Mission (priority)</w:t>
      </w:r>
    </w:p>
    <w:p w14:paraId="2144A66D" w14:textId="77777777" w:rsidR="00C3276D" w:rsidRPr="00FD2E93" w:rsidRDefault="00C3276D" w:rsidP="00F55252">
      <w:pPr>
        <w:pStyle w:val="ListParagraph"/>
        <w:numPr>
          <w:ilvl w:val="1"/>
          <w:numId w:val="352"/>
        </w:numPr>
        <w:spacing w:line="259" w:lineRule="auto"/>
        <w:ind w:left="1134" w:hanging="567"/>
        <w:rPr>
          <w:rFonts w:ascii="Cambria" w:hAnsi="Cambria"/>
        </w:rPr>
      </w:pPr>
      <w:r w:rsidRPr="00FD2E93">
        <w:rPr>
          <w:rFonts w:ascii="Cambria" w:hAnsi="Cambria"/>
        </w:rPr>
        <w:t>Long term financial planning and management</w:t>
      </w:r>
    </w:p>
    <w:p w14:paraId="61B167EE" w14:textId="77777777" w:rsidR="00C3276D" w:rsidRPr="00FD2E93" w:rsidRDefault="00C3276D" w:rsidP="00F55252">
      <w:pPr>
        <w:pStyle w:val="ListParagraph"/>
        <w:numPr>
          <w:ilvl w:val="1"/>
          <w:numId w:val="352"/>
        </w:numPr>
        <w:spacing w:line="259" w:lineRule="auto"/>
        <w:ind w:left="1134" w:hanging="567"/>
        <w:rPr>
          <w:rFonts w:ascii="Cambria" w:hAnsi="Cambria"/>
        </w:rPr>
      </w:pPr>
      <w:r w:rsidRPr="00FD2E93">
        <w:rPr>
          <w:rFonts w:ascii="Cambria" w:hAnsi="Cambria"/>
        </w:rPr>
        <w:t>Communications</w:t>
      </w:r>
    </w:p>
    <w:p w14:paraId="6DED0879" w14:textId="77777777" w:rsidR="00C3276D" w:rsidRPr="00FD2E93" w:rsidRDefault="00C3276D" w:rsidP="00F55252">
      <w:pPr>
        <w:pStyle w:val="ListParagraph"/>
        <w:numPr>
          <w:ilvl w:val="1"/>
          <w:numId w:val="352"/>
        </w:numPr>
        <w:spacing w:line="259" w:lineRule="auto"/>
        <w:ind w:left="1134" w:hanging="567"/>
        <w:rPr>
          <w:rFonts w:ascii="Cambria" w:hAnsi="Cambria"/>
        </w:rPr>
      </w:pPr>
      <w:r w:rsidRPr="00FD2E93">
        <w:rPr>
          <w:rFonts w:ascii="Cambria" w:hAnsi="Cambria"/>
        </w:rPr>
        <w:t>Communications technologies, especially for education and worship purposes (priority).</w:t>
      </w:r>
    </w:p>
    <w:p w14:paraId="396B0331" w14:textId="77777777" w:rsidR="00C3276D" w:rsidRPr="00FD2E93" w:rsidRDefault="00C3276D" w:rsidP="00C3276D">
      <w:pPr>
        <w:pStyle w:val="ListParagraph"/>
        <w:rPr>
          <w:rFonts w:ascii="Cambria" w:hAnsi="Cambria"/>
        </w:rPr>
      </w:pPr>
    </w:p>
    <w:p w14:paraId="596644BE" w14:textId="77777777" w:rsidR="00C3276D" w:rsidRPr="00FD2E93" w:rsidRDefault="00C3276D" w:rsidP="00F55252">
      <w:pPr>
        <w:pStyle w:val="ListParagraph"/>
        <w:numPr>
          <w:ilvl w:val="0"/>
          <w:numId w:val="343"/>
        </w:numPr>
        <w:spacing w:line="259" w:lineRule="auto"/>
        <w:ind w:left="567" w:hanging="567"/>
        <w:rPr>
          <w:rFonts w:ascii="Cambria" w:hAnsi="Cambria"/>
        </w:rPr>
      </w:pPr>
      <w:r w:rsidRPr="00FD2E93">
        <w:rPr>
          <w:rFonts w:ascii="Cambria" w:hAnsi="Cambria"/>
        </w:rPr>
        <w:t>Cross-Board alignment of goals and activities under the Strategic Directions, a priority especially for:</w:t>
      </w:r>
    </w:p>
    <w:p w14:paraId="436813FA" w14:textId="77777777" w:rsidR="00C3276D" w:rsidRPr="00FD2E93" w:rsidRDefault="00C3276D" w:rsidP="00F55252">
      <w:pPr>
        <w:pStyle w:val="ListParagraph"/>
        <w:numPr>
          <w:ilvl w:val="1"/>
          <w:numId w:val="353"/>
        </w:numPr>
        <w:spacing w:line="259" w:lineRule="auto"/>
        <w:ind w:left="1134" w:hanging="567"/>
        <w:rPr>
          <w:rFonts w:ascii="Cambria" w:hAnsi="Cambria"/>
        </w:rPr>
      </w:pPr>
      <w:r w:rsidRPr="00FD2E93">
        <w:rPr>
          <w:rFonts w:ascii="Cambria" w:hAnsi="Cambria"/>
        </w:rPr>
        <w:t>Local Mission</w:t>
      </w:r>
    </w:p>
    <w:p w14:paraId="0AD32754" w14:textId="77777777" w:rsidR="00C3276D" w:rsidRPr="00FD2E93" w:rsidRDefault="00C3276D" w:rsidP="00F55252">
      <w:pPr>
        <w:pStyle w:val="ListParagraph"/>
        <w:numPr>
          <w:ilvl w:val="1"/>
          <w:numId w:val="353"/>
        </w:numPr>
        <w:spacing w:line="259" w:lineRule="auto"/>
        <w:ind w:left="1134" w:hanging="567"/>
        <w:rPr>
          <w:rFonts w:ascii="Cambria" w:hAnsi="Cambria"/>
        </w:rPr>
      </w:pPr>
      <w:r w:rsidRPr="00FD2E93">
        <w:rPr>
          <w:rFonts w:ascii="Cambria" w:hAnsi="Cambria"/>
        </w:rPr>
        <w:t>Education.</w:t>
      </w:r>
    </w:p>
    <w:p w14:paraId="61987C42" w14:textId="77777777" w:rsidR="00C3276D" w:rsidRPr="00FD2E93" w:rsidRDefault="00C3276D" w:rsidP="00C3276D">
      <w:pPr>
        <w:pStyle w:val="ListParagraph"/>
        <w:rPr>
          <w:rFonts w:ascii="Cambria" w:hAnsi="Cambria"/>
        </w:rPr>
      </w:pPr>
    </w:p>
    <w:p w14:paraId="31E3D967" w14:textId="77777777" w:rsidR="00C3276D" w:rsidRPr="00FD2E93" w:rsidRDefault="00C3276D" w:rsidP="00F55252">
      <w:pPr>
        <w:pStyle w:val="ListParagraph"/>
        <w:numPr>
          <w:ilvl w:val="0"/>
          <w:numId w:val="343"/>
        </w:numPr>
        <w:spacing w:line="259" w:lineRule="auto"/>
        <w:ind w:left="567" w:hanging="567"/>
        <w:rPr>
          <w:rFonts w:ascii="Cambria" w:hAnsi="Cambria"/>
        </w:rPr>
      </w:pPr>
      <w:r w:rsidRPr="00FD2E93">
        <w:rPr>
          <w:rFonts w:ascii="Cambria" w:hAnsi="Cambria"/>
        </w:rPr>
        <w:t>Local Mission Department/ Board and its linkages to Districts for formation – maintaining the organic model, its agility and its connectedness, within a suitable governance framework.</w:t>
      </w:r>
    </w:p>
    <w:p w14:paraId="0D180DB4" w14:textId="77777777" w:rsidR="00C3276D" w:rsidRPr="00FD2E93" w:rsidRDefault="00C3276D" w:rsidP="00C3276D">
      <w:pPr>
        <w:pStyle w:val="ListParagraph"/>
        <w:ind w:left="567" w:hanging="567"/>
        <w:rPr>
          <w:rFonts w:ascii="Cambria" w:hAnsi="Cambria"/>
        </w:rPr>
      </w:pPr>
    </w:p>
    <w:p w14:paraId="6ED2583A" w14:textId="77777777" w:rsidR="00C3276D" w:rsidRPr="00FD2E93" w:rsidRDefault="00C3276D" w:rsidP="00F55252">
      <w:pPr>
        <w:pStyle w:val="ListParagraph"/>
        <w:numPr>
          <w:ilvl w:val="0"/>
          <w:numId w:val="343"/>
        </w:numPr>
        <w:spacing w:before="240" w:line="259" w:lineRule="auto"/>
        <w:ind w:left="567" w:hanging="567"/>
        <w:rPr>
          <w:rFonts w:ascii="Cambria" w:hAnsi="Cambria"/>
        </w:rPr>
      </w:pPr>
      <w:r w:rsidRPr="00FD2E93">
        <w:rPr>
          <w:rFonts w:ascii="Cambria" w:hAnsi="Cambria"/>
        </w:rPr>
        <w:t>Delivery of more impact and support at the congregational level.</w:t>
      </w:r>
    </w:p>
    <w:p w14:paraId="168F9EDC" w14:textId="77777777" w:rsidR="00C3276D" w:rsidRPr="00FD2E93" w:rsidRDefault="00C3276D" w:rsidP="00C3276D">
      <w:pPr>
        <w:pStyle w:val="ListParagraph"/>
        <w:ind w:left="567" w:hanging="567"/>
        <w:rPr>
          <w:rFonts w:ascii="Cambria" w:hAnsi="Cambria"/>
        </w:rPr>
      </w:pPr>
    </w:p>
    <w:p w14:paraId="1ECE2615" w14:textId="77777777" w:rsidR="00C3276D" w:rsidRPr="00FD2E93" w:rsidRDefault="00C3276D" w:rsidP="00F55252">
      <w:pPr>
        <w:pStyle w:val="ListParagraph"/>
        <w:numPr>
          <w:ilvl w:val="0"/>
          <w:numId w:val="343"/>
        </w:numPr>
        <w:spacing w:line="259" w:lineRule="auto"/>
        <w:ind w:left="567" w:hanging="567"/>
        <w:rPr>
          <w:rFonts w:ascii="Cambria" w:hAnsi="Cambria"/>
        </w:rPr>
      </w:pPr>
      <w:r w:rsidRPr="00FD2E93">
        <w:rPr>
          <w:rFonts w:ascii="Cambria" w:hAnsi="Cambria"/>
          <w:b/>
        </w:rPr>
        <w:t>Role clarification and confirmation of information channels for Boards, Committees and Commissions</w:t>
      </w:r>
      <w:r w:rsidRPr="00FD2E93">
        <w:rPr>
          <w:rFonts w:ascii="Cambria" w:hAnsi="Cambria"/>
        </w:rPr>
        <w:t>, so that their work promptly reaches and informs the decision-makers, and is integrated with other entities with common goals.</w:t>
      </w:r>
    </w:p>
    <w:p w14:paraId="6597A408" w14:textId="77777777" w:rsidR="00C3276D" w:rsidRPr="00FD2E93" w:rsidRDefault="00C3276D" w:rsidP="00C3276D">
      <w:pPr>
        <w:pStyle w:val="ListParagraph"/>
        <w:ind w:left="567" w:hanging="567"/>
        <w:rPr>
          <w:rFonts w:ascii="Cambria" w:hAnsi="Cambria"/>
        </w:rPr>
      </w:pPr>
    </w:p>
    <w:p w14:paraId="057CADC9" w14:textId="77777777" w:rsidR="00C3276D" w:rsidRPr="00FD2E93" w:rsidRDefault="00C3276D" w:rsidP="00F55252">
      <w:pPr>
        <w:pStyle w:val="ListParagraph"/>
        <w:numPr>
          <w:ilvl w:val="0"/>
          <w:numId w:val="343"/>
        </w:numPr>
        <w:spacing w:line="259" w:lineRule="auto"/>
        <w:ind w:left="567" w:hanging="567"/>
        <w:rPr>
          <w:rFonts w:ascii="Cambria" w:hAnsi="Cambria"/>
        </w:rPr>
      </w:pPr>
      <w:r w:rsidRPr="00FD2E93">
        <w:rPr>
          <w:rFonts w:ascii="Cambria" w:hAnsi="Cambria"/>
        </w:rPr>
        <w:t>Taking the next step: Move beyond the joined-up thinking to actual partnered approaches to Ministry and effective/efficient Churchwide functions.</w:t>
      </w:r>
    </w:p>
    <w:p w14:paraId="1B23BA8F" w14:textId="77777777" w:rsidR="00C3276D" w:rsidRPr="00FD2E93" w:rsidRDefault="00C3276D" w:rsidP="00C3276D">
      <w:pPr>
        <w:pStyle w:val="ListParagraph"/>
        <w:ind w:left="567" w:hanging="567"/>
        <w:rPr>
          <w:rFonts w:ascii="Cambria" w:hAnsi="Cambria"/>
        </w:rPr>
      </w:pPr>
    </w:p>
    <w:p w14:paraId="44B8BED0" w14:textId="77777777" w:rsidR="00C3276D" w:rsidRPr="00FD2E93" w:rsidRDefault="00C3276D" w:rsidP="00F55252">
      <w:pPr>
        <w:pStyle w:val="ListParagraph"/>
        <w:numPr>
          <w:ilvl w:val="0"/>
          <w:numId w:val="343"/>
        </w:numPr>
        <w:spacing w:line="259" w:lineRule="auto"/>
        <w:ind w:left="567" w:hanging="567"/>
        <w:rPr>
          <w:rFonts w:ascii="Cambria" w:hAnsi="Cambria"/>
        </w:rPr>
      </w:pPr>
      <w:r w:rsidRPr="00FD2E93">
        <w:rPr>
          <w:rFonts w:ascii="Cambria" w:hAnsi="Cambria"/>
        </w:rPr>
        <w:t>Governance training for members of all Boards, Committees and Commissions.</w:t>
      </w:r>
    </w:p>
    <w:p w14:paraId="7E7D1A9C" w14:textId="77777777" w:rsidR="00C3276D" w:rsidRPr="00FD2E93" w:rsidRDefault="00C3276D" w:rsidP="00C3276D">
      <w:pPr>
        <w:pStyle w:val="ListParagraph"/>
        <w:ind w:left="567" w:hanging="567"/>
        <w:rPr>
          <w:rFonts w:ascii="Cambria" w:hAnsi="Cambria"/>
        </w:rPr>
      </w:pPr>
    </w:p>
    <w:p w14:paraId="2072C5D7" w14:textId="77777777" w:rsidR="00C3276D" w:rsidRPr="00FD2E93" w:rsidRDefault="00C3276D" w:rsidP="00F55252">
      <w:pPr>
        <w:pStyle w:val="ListParagraph"/>
        <w:numPr>
          <w:ilvl w:val="0"/>
          <w:numId w:val="343"/>
        </w:numPr>
        <w:spacing w:line="259" w:lineRule="auto"/>
        <w:ind w:left="567" w:hanging="567"/>
        <w:rPr>
          <w:rFonts w:ascii="Cambria" w:hAnsi="Cambria"/>
        </w:rPr>
      </w:pPr>
      <w:r w:rsidRPr="00FD2E93">
        <w:rPr>
          <w:rFonts w:ascii="Cambria" w:hAnsi="Cambria"/>
        </w:rPr>
        <w:t>Policy roll-out, especially Delegations Policy and priority Human Resources ones.</w:t>
      </w:r>
    </w:p>
    <w:p w14:paraId="6E1C839F" w14:textId="77777777" w:rsidR="00C3276D" w:rsidRPr="00FD2E93" w:rsidRDefault="00C3276D" w:rsidP="00C3276D">
      <w:pPr>
        <w:pStyle w:val="ListParagraph"/>
        <w:ind w:left="567" w:hanging="567"/>
        <w:rPr>
          <w:rFonts w:ascii="Cambria" w:hAnsi="Cambria"/>
        </w:rPr>
      </w:pPr>
    </w:p>
    <w:p w14:paraId="56F265A5" w14:textId="77777777" w:rsidR="00C3276D" w:rsidRPr="00FD2E93" w:rsidRDefault="00C3276D" w:rsidP="00F55252">
      <w:pPr>
        <w:pStyle w:val="ListParagraph"/>
        <w:numPr>
          <w:ilvl w:val="0"/>
          <w:numId w:val="343"/>
        </w:numPr>
        <w:spacing w:line="259" w:lineRule="auto"/>
        <w:ind w:left="567" w:hanging="567"/>
        <w:rPr>
          <w:rFonts w:ascii="Cambria" w:hAnsi="Cambria"/>
        </w:rPr>
      </w:pPr>
      <w:r w:rsidRPr="00FD2E93">
        <w:rPr>
          <w:rFonts w:ascii="Cambria" w:hAnsi="Cambria"/>
        </w:rPr>
        <w:t>Resolution of key service ‘glitches’ already conveyed to the service providers by internal ‘customers’.</w:t>
      </w:r>
    </w:p>
    <w:p w14:paraId="2C324096" w14:textId="77777777" w:rsidR="00C3276D" w:rsidRPr="00FD2E93" w:rsidRDefault="00C3276D" w:rsidP="00C3276D">
      <w:pPr>
        <w:pStyle w:val="ListParagraph"/>
        <w:ind w:left="567" w:hanging="567"/>
        <w:rPr>
          <w:rFonts w:ascii="Cambria" w:hAnsi="Cambria"/>
        </w:rPr>
      </w:pPr>
    </w:p>
    <w:p w14:paraId="1EE48593" w14:textId="77777777" w:rsidR="00C3276D" w:rsidRPr="00FD2E93" w:rsidRDefault="00C3276D" w:rsidP="00F55252">
      <w:pPr>
        <w:pStyle w:val="ListParagraph"/>
        <w:numPr>
          <w:ilvl w:val="0"/>
          <w:numId w:val="344"/>
        </w:numPr>
        <w:spacing w:line="259" w:lineRule="auto"/>
        <w:ind w:left="567" w:hanging="567"/>
        <w:rPr>
          <w:rFonts w:ascii="Cambria" w:hAnsi="Cambria"/>
        </w:rPr>
      </w:pPr>
      <w:r w:rsidRPr="00FD2E93">
        <w:rPr>
          <w:rFonts w:ascii="Cambria" w:hAnsi="Cambria"/>
        </w:rPr>
        <w:t>Consolidated financial and management reporting for the Church and its entities to support governance/ oversight, accurate determinations of the financial position of an entity, its programs, related entities and the overall Church, financial sustainability and informed decision-making, at both strategic and operational levels.</w:t>
      </w:r>
    </w:p>
    <w:p w14:paraId="3FE50C07" w14:textId="77777777" w:rsidR="00C3276D" w:rsidRPr="00FD2E93" w:rsidRDefault="00C3276D" w:rsidP="00C3276D">
      <w:pPr>
        <w:pStyle w:val="ListParagraph"/>
        <w:ind w:left="567" w:hanging="567"/>
        <w:rPr>
          <w:rFonts w:ascii="Cambria" w:hAnsi="Cambria"/>
        </w:rPr>
      </w:pPr>
    </w:p>
    <w:p w14:paraId="510B4827" w14:textId="77777777" w:rsidR="00C3276D" w:rsidRPr="00FD2E93" w:rsidRDefault="00C3276D" w:rsidP="00F55252">
      <w:pPr>
        <w:pStyle w:val="ListParagraph"/>
        <w:numPr>
          <w:ilvl w:val="0"/>
          <w:numId w:val="344"/>
        </w:numPr>
        <w:spacing w:line="259" w:lineRule="auto"/>
        <w:ind w:left="567" w:hanging="567"/>
        <w:rPr>
          <w:rFonts w:ascii="Cambria" w:hAnsi="Cambria"/>
        </w:rPr>
      </w:pPr>
      <w:r w:rsidRPr="00FD2E93">
        <w:rPr>
          <w:rFonts w:ascii="Cambria" w:hAnsi="Cambria"/>
        </w:rPr>
        <w:t>Performance in the timely management and accuracy of payroll adjustments, especially for pastors, including locums.</w:t>
      </w:r>
    </w:p>
    <w:p w14:paraId="38DBD151" w14:textId="77777777" w:rsidR="00C3276D" w:rsidRPr="00FD2E93" w:rsidRDefault="00C3276D" w:rsidP="00C3276D">
      <w:pPr>
        <w:pStyle w:val="ListParagraph"/>
        <w:ind w:left="567" w:hanging="567"/>
        <w:rPr>
          <w:rFonts w:ascii="Cambria" w:hAnsi="Cambria"/>
        </w:rPr>
      </w:pPr>
    </w:p>
    <w:p w14:paraId="63F9DF66" w14:textId="77777777" w:rsidR="00C3276D" w:rsidRPr="00FD2E93" w:rsidRDefault="00C3276D" w:rsidP="00F55252">
      <w:pPr>
        <w:pStyle w:val="ListParagraph"/>
        <w:numPr>
          <w:ilvl w:val="0"/>
          <w:numId w:val="343"/>
        </w:numPr>
        <w:spacing w:line="259" w:lineRule="auto"/>
        <w:ind w:left="567" w:hanging="567"/>
        <w:rPr>
          <w:rFonts w:ascii="Cambria" w:hAnsi="Cambria"/>
        </w:rPr>
      </w:pPr>
      <w:r w:rsidRPr="00FD2E93">
        <w:rPr>
          <w:rFonts w:ascii="Cambria" w:hAnsi="Cambria"/>
        </w:rPr>
        <w:t>Communication of work plans for Churchwide service providers to increase awareness and importantly, to support District planning with congregations.</w:t>
      </w:r>
    </w:p>
    <w:p w14:paraId="03FC3722" w14:textId="77777777" w:rsidR="00C3276D" w:rsidRPr="00FD2E93" w:rsidRDefault="00C3276D" w:rsidP="00C3276D">
      <w:pPr>
        <w:pStyle w:val="ListParagraph"/>
        <w:ind w:left="567" w:hanging="567"/>
        <w:rPr>
          <w:rFonts w:ascii="Cambria" w:hAnsi="Cambria"/>
        </w:rPr>
      </w:pPr>
    </w:p>
    <w:p w14:paraId="7DDBB61D" w14:textId="77777777" w:rsidR="00C3276D" w:rsidRPr="00FD2E93" w:rsidRDefault="00C3276D" w:rsidP="00F55252">
      <w:pPr>
        <w:pStyle w:val="ListParagraph"/>
        <w:numPr>
          <w:ilvl w:val="0"/>
          <w:numId w:val="343"/>
        </w:numPr>
        <w:spacing w:line="259" w:lineRule="auto"/>
        <w:ind w:left="567" w:hanging="567"/>
        <w:rPr>
          <w:rFonts w:ascii="Cambria" w:hAnsi="Cambria"/>
        </w:rPr>
      </w:pPr>
      <w:r w:rsidRPr="00FD2E93">
        <w:rPr>
          <w:rFonts w:ascii="Cambria" w:hAnsi="Cambria"/>
        </w:rPr>
        <w:t>Next stage development of the governance structures in terms of their linkages to District entities and other arms of the Church such as schools and aged care.</w:t>
      </w:r>
    </w:p>
    <w:p w14:paraId="70E68186" w14:textId="77777777" w:rsidR="00C3276D" w:rsidRPr="00FD2E93" w:rsidRDefault="00C3276D" w:rsidP="00C3276D">
      <w:pPr>
        <w:pStyle w:val="ListParagraph"/>
        <w:ind w:left="567" w:hanging="567"/>
        <w:rPr>
          <w:rFonts w:ascii="Cambria" w:hAnsi="Cambria"/>
        </w:rPr>
      </w:pPr>
    </w:p>
    <w:p w14:paraId="5603EFC8" w14:textId="77777777" w:rsidR="00C3276D" w:rsidRPr="00FD2E93" w:rsidRDefault="00C3276D" w:rsidP="00F55252">
      <w:pPr>
        <w:pStyle w:val="ListParagraph"/>
        <w:numPr>
          <w:ilvl w:val="0"/>
          <w:numId w:val="343"/>
        </w:numPr>
        <w:spacing w:line="259" w:lineRule="auto"/>
        <w:ind w:left="567" w:hanging="567"/>
        <w:rPr>
          <w:rFonts w:ascii="Cambria" w:hAnsi="Cambria"/>
        </w:rPr>
      </w:pPr>
      <w:r w:rsidRPr="00FD2E93">
        <w:rPr>
          <w:rFonts w:ascii="Cambria" w:hAnsi="Cambria"/>
        </w:rPr>
        <w:t>‘Workforce development’ activities for both pastoral and lay workers with focus on:</w:t>
      </w:r>
    </w:p>
    <w:p w14:paraId="1A6E9C41" w14:textId="77777777" w:rsidR="00C3276D" w:rsidRPr="00FD2E93" w:rsidRDefault="00C3276D" w:rsidP="00F55252">
      <w:pPr>
        <w:pStyle w:val="ListParagraph"/>
        <w:numPr>
          <w:ilvl w:val="1"/>
          <w:numId w:val="354"/>
        </w:numPr>
        <w:spacing w:line="259" w:lineRule="auto"/>
        <w:ind w:left="1134" w:hanging="567"/>
        <w:rPr>
          <w:rFonts w:ascii="Cambria" w:hAnsi="Cambria"/>
        </w:rPr>
      </w:pPr>
      <w:r w:rsidRPr="00FD2E93">
        <w:rPr>
          <w:rFonts w:ascii="Cambria" w:hAnsi="Cambria"/>
        </w:rPr>
        <w:t>Pastoral support and care</w:t>
      </w:r>
    </w:p>
    <w:p w14:paraId="206D2961" w14:textId="77777777" w:rsidR="00C3276D" w:rsidRPr="00FD2E93" w:rsidRDefault="00C3276D" w:rsidP="00F55252">
      <w:pPr>
        <w:pStyle w:val="ListParagraph"/>
        <w:numPr>
          <w:ilvl w:val="1"/>
          <w:numId w:val="354"/>
        </w:numPr>
        <w:spacing w:line="259" w:lineRule="auto"/>
        <w:ind w:left="1134" w:hanging="567"/>
        <w:rPr>
          <w:rFonts w:ascii="Cambria" w:hAnsi="Cambria"/>
        </w:rPr>
      </w:pPr>
      <w:r w:rsidRPr="00FD2E93">
        <w:rPr>
          <w:rFonts w:ascii="Cambria" w:hAnsi="Cambria"/>
        </w:rPr>
        <w:t>Pastoral development and skills training</w:t>
      </w:r>
    </w:p>
    <w:p w14:paraId="16D937D2" w14:textId="77777777" w:rsidR="00C3276D" w:rsidRPr="00FD2E93" w:rsidRDefault="00C3276D" w:rsidP="00F55252">
      <w:pPr>
        <w:pStyle w:val="ListParagraph"/>
        <w:numPr>
          <w:ilvl w:val="1"/>
          <w:numId w:val="354"/>
        </w:numPr>
        <w:spacing w:line="259" w:lineRule="auto"/>
        <w:ind w:left="1134" w:hanging="567"/>
        <w:rPr>
          <w:rFonts w:ascii="Cambria" w:hAnsi="Cambria"/>
        </w:rPr>
      </w:pPr>
      <w:r w:rsidRPr="00FD2E93">
        <w:rPr>
          <w:rFonts w:ascii="Cambria" w:hAnsi="Cambria"/>
        </w:rPr>
        <w:t>Performance management</w:t>
      </w:r>
    </w:p>
    <w:p w14:paraId="263F3501" w14:textId="77777777" w:rsidR="00C3276D" w:rsidRPr="00FD2E93" w:rsidRDefault="00C3276D" w:rsidP="00F55252">
      <w:pPr>
        <w:pStyle w:val="ListParagraph"/>
        <w:numPr>
          <w:ilvl w:val="1"/>
          <w:numId w:val="354"/>
        </w:numPr>
        <w:spacing w:line="259" w:lineRule="auto"/>
        <w:ind w:left="1134" w:hanging="567"/>
        <w:rPr>
          <w:rFonts w:ascii="Cambria" w:hAnsi="Cambria"/>
        </w:rPr>
      </w:pPr>
      <w:r w:rsidRPr="00FD2E93">
        <w:rPr>
          <w:rFonts w:ascii="Cambria" w:hAnsi="Cambria"/>
        </w:rPr>
        <w:t>Succession planning.</w:t>
      </w:r>
    </w:p>
    <w:p w14:paraId="158747FE" w14:textId="77777777" w:rsidR="00C3276D" w:rsidRPr="00FD2E93" w:rsidRDefault="00C3276D" w:rsidP="00C3276D">
      <w:pPr>
        <w:pStyle w:val="Heading3"/>
      </w:pPr>
      <w:r w:rsidRPr="00FD2E93">
        <w:t>Consultant’s Recommendations</w:t>
      </w:r>
    </w:p>
    <w:p w14:paraId="01E1A3F5" w14:textId="77777777" w:rsidR="00C3276D" w:rsidRPr="00FD2E93" w:rsidRDefault="00C3276D" w:rsidP="00F55252">
      <w:pPr>
        <w:pStyle w:val="ListParagraph"/>
        <w:numPr>
          <w:ilvl w:val="0"/>
          <w:numId w:val="345"/>
        </w:numPr>
        <w:spacing w:line="259" w:lineRule="auto"/>
        <w:ind w:left="567" w:hanging="567"/>
        <w:rPr>
          <w:rFonts w:ascii="Cambria" w:hAnsi="Cambria"/>
        </w:rPr>
      </w:pPr>
      <w:r w:rsidRPr="00FD2E93">
        <w:rPr>
          <w:rFonts w:ascii="Cambria" w:hAnsi="Cambria"/>
        </w:rPr>
        <w:t>Continue the implementation of the changes, and move beyond the ‘trial’ status of them to facilitate prompt action and further implementation. Continue the focus of pursuing improvements in effectiveness and efficiency in governing bodies and national service areas, with a view to achieving churchwide, service-oriented functions that support other members to use their time and effort to enact Synod resolutions and undertake mission on behalf of the Church.</w:t>
      </w:r>
    </w:p>
    <w:p w14:paraId="485BA8D3" w14:textId="77777777" w:rsidR="00C3276D" w:rsidRPr="00FD2E93" w:rsidRDefault="00C3276D" w:rsidP="00C3276D">
      <w:pPr>
        <w:pStyle w:val="ListParagraph"/>
        <w:ind w:left="567" w:hanging="567"/>
        <w:rPr>
          <w:rFonts w:ascii="Cambria" w:hAnsi="Cambria"/>
        </w:rPr>
      </w:pPr>
      <w:r w:rsidRPr="00FD2E93">
        <w:rPr>
          <w:rFonts w:ascii="Cambria" w:hAnsi="Cambria"/>
        </w:rPr>
        <w:t xml:space="preserve"> </w:t>
      </w:r>
    </w:p>
    <w:p w14:paraId="7F6870AE" w14:textId="77777777" w:rsidR="00C3276D" w:rsidRPr="00FD2E93" w:rsidRDefault="00C3276D" w:rsidP="00F55252">
      <w:pPr>
        <w:pStyle w:val="ListParagraph"/>
        <w:numPr>
          <w:ilvl w:val="0"/>
          <w:numId w:val="345"/>
        </w:numPr>
        <w:spacing w:line="259" w:lineRule="auto"/>
        <w:ind w:left="567" w:hanging="567"/>
        <w:rPr>
          <w:rFonts w:ascii="Cambria" w:hAnsi="Cambria"/>
        </w:rPr>
      </w:pPr>
      <w:r w:rsidRPr="00FD2E93">
        <w:rPr>
          <w:rFonts w:ascii="Cambria" w:hAnsi="Cambria"/>
        </w:rPr>
        <w:t>Continue a focus on accountability in the Churchwide service departments in terms of effectiveness and efficiencies delivered, through ongoing evaluation and reporting to GCC. (Recommendations on possible evaluation processes are provided in Section E.)</w:t>
      </w:r>
    </w:p>
    <w:p w14:paraId="64B7C5BC" w14:textId="77777777" w:rsidR="00C3276D" w:rsidRPr="00FD2E93" w:rsidRDefault="00C3276D" w:rsidP="00C3276D">
      <w:pPr>
        <w:pStyle w:val="ListParagraph"/>
        <w:ind w:left="567" w:hanging="567"/>
        <w:rPr>
          <w:rFonts w:ascii="Cambria" w:hAnsi="Cambria"/>
        </w:rPr>
      </w:pPr>
    </w:p>
    <w:p w14:paraId="7929A751" w14:textId="77777777" w:rsidR="00C3276D" w:rsidRPr="00FD2E93" w:rsidRDefault="00C3276D" w:rsidP="00F55252">
      <w:pPr>
        <w:pStyle w:val="ListParagraph"/>
        <w:numPr>
          <w:ilvl w:val="0"/>
          <w:numId w:val="345"/>
        </w:numPr>
        <w:spacing w:line="259" w:lineRule="auto"/>
        <w:ind w:left="567" w:hanging="567"/>
        <w:rPr>
          <w:rFonts w:ascii="Cambria" w:hAnsi="Cambria"/>
        </w:rPr>
      </w:pPr>
      <w:r w:rsidRPr="00FD2E93">
        <w:rPr>
          <w:rFonts w:ascii="Cambria" w:hAnsi="Cambria"/>
        </w:rPr>
        <w:t>Implement governance training for all members of Boards, Committees and Commissions.</w:t>
      </w:r>
    </w:p>
    <w:p w14:paraId="4E04CF74" w14:textId="77777777" w:rsidR="00C3276D" w:rsidRPr="00FD2E93" w:rsidRDefault="00C3276D" w:rsidP="00C3276D">
      <w:pPr>
        <w:pStyle w:val="ListParagraph"/>
        <w:ind w:left="567" w:hanging="567"/>
        <w:rPr>
          <w:rFonts w:ascii="Cambria" w:hAnsi="Cambria"/>
        </w:rPr>
      </w:pPr>
    </w:p>
    <w:p w14:paraId="299766E4" w14:textId="77777777" w:rsidR="00C3276D" w:rsidRPr="00FD2E93" w:rsidRDefault="00C3276D" w:rsidP="00F55252">
      <w:pPr>
        <w:pStyle w:val="ListParagraph"/>
        <w:numPr>
          <w:ilvl w:val="0"/>
          <w:numId w:val="345"/>
        </w:numPr>
        <w:spacing w:line="259" w:lineRule="auto"/>
        <w:ind w:left="567" w:hanging="567"/>
        <w:rPr>
          <w:rFonts w:ascii="Cambria" w:hAnsi="Cambria"/>
        </w:rPr>
      </w:pPr>
      <w:r w:rsidRPr="00FD2E93">
        <w:rPr>
          <w:rFonts w:ascii="Cambria" w:hAnsi="Cambria"/>
        </w:rPr>
        <w:t>Activity on role clarification and identification of clear conduits of information flow and exchange, to support joined-up thinking and timely communication to decision-makers. The EOC working with Boards and Committees, to recommend mechanisms to enable this to happen promptly, to ensure those entities currently unclear in their role move into optimum productivity as soon as possible. Include Board to Board mechanisms for those with common goals eg Local Mission at national and District levels, Board for Lutheran Education and Board for Australian Lutheran College.</w:t>
      </w:r>
    </w:p>
    <w:p w14:paraId="3052F2D3" w14:textId="77777777" w:rsidR="00C3276D" w:rsidRPr="00FD2E93" w:rsidRDefault="00C3276D" w:rsidP="00C3276D">
      <w:pPr>
        <w:pStyle w:val="ListParagraph"/>
        <w:ind w:left="567" w:hanging="567"/>
        <w:rPr>
          <w:rFonts w:ascii="Cambria" w:hAnsi="Cambria"/>
        </w:rPr>
      </w:pPr>
    </w:p>
    <w:p w14:paraId="793A52C1" w14:textId="77777777" w:rsidR="00C3276D" w:rsidRPr="00FD2E93" w:rsidRDefault="00C3276D" w:rsidP="00F55252">
      <w:pPr>
        <w:pStyle w:val="ListParagraph"/>
        <w:numPr>
          <w:ilvl w:val="0"/>
          <w:numId w:val="345"/>
        </w:numPr>
        <w:spacing w:line="259" w:lineRule="auto"/>
        <w:ind w:left="567" w:hanging="567"/>
        <w:rPr>
          <w:rFonts w:ascii="Cambria" w:hAnsi="Cambria"/>
        </w:rPr>
      </w:pPr>
      <w:r w:rsidRPr="00FD2E93">
        <w:rPr>
          <w:rFonts w:ascii="Cambria" w:hAnsi="Cambria"/>
        </w:rPr>
        <w:t xml:space="preserve">Develop and communicate the strategic plans identified as key to the Church’s continued shift to effectiveness and efficiency, above. Immediately move to a needs </w:t>
      </w:r>
      <w:r w:rsidRPr="00FD2E93">
        <w:rPr>
          <w:rFonts w:ascii="Cambria" w:hAnsi="Cambria"/>
        </w:rPr>
        <w:lastRenderedPageBreak/>
        <w:t>analysis of the communications technology needs of key ‘customers’ for education and worship.</w:t>
      </w:r>
    </w:p>
    <w:p w14:paraId="4D85A89A" w14:textId="77777777" w:rsidR="00C3276D" w:rsidRPr="00FD2E93" w:rsidRDefault="00C3276D" w:rsidP="00C3276D">
      <w:pPr>
        <w:pStyle w:val="ListParagraph"/>
        <w:ind w:left="567" w:hanging="567"/>
        <w:rPr>
          <w:rFonts w:ascii="Cambria" w:hAnsi="Cambria"/>
        </w:rPr>
      </w:pPr>
    </w:p>
    <w:p w14:paraId="1BA20AC4" w14:textId="77777777" w:rsidR="00C3276D" w:rsidRPr="00FD2E93" w:rsidRDefault="00C3276D" w:rsidP="00F55252">
      <w:pPr>
        <w:pStyle w:val="ListParagraph"/>
        <w:numPr>
          <w:ilvl w:val="0"/>
          <w:numId w:val="345"/>
        </w:numPr>
        <w:spacing w:line="259" w:lineRule="auto"/>
        <w:ind w:left="567" w:hanging="567"/>
        <w:rPr>
          <w:rFonts w:ascii="Cambria" w:hAnsi="Cambria"/>
        </w:rPr>
      </w:pPr>
      <w:r w:rsidRPr="00FD2E93">
        <w:rPr>
          <w:rFonts w:ascii="Cambria" w:hAnsi="Cambria"/>
        </w:rPr>
        <w:t>Develop formal work plans for the national functions/departments, and communicate them. Encourage partnership approaches as part of this. Consider a needs analysis of congregations (based on the experience of the 2015-2018 changes) to inform the priorities in these plans for ‘early wins’ in a continuing change management focus to support improvements in effectiveness and efficiency at grassroots/ congregational levels. Ensure the focus on congregational support through national functions retains a strong service orientation, and result in more effective and efficient processes for the congregations. Consider a ‘work request’ tracking system to ensure accountability for prompt, accurate and complete service in ‘hygiene’ areas such as payroll adjustments and processing.</w:t>
      </w:r>
    </w:p>
    <w:p w14:paraId="3283CD7B" w14:textId="77777777" w:rsidR="00C3276D" w:rsidRPr="00FD2E93" w:rsidRDefault="00C3276D" w:rsidP="00C3276D">
      <w:pPr>
        <w:pStyle w:val="ListParagraph"/>
        <w:ind w:left="567" w:hanging="567"/>
        <w:rPr>
          <w:rFonts w:ascii="Cambria" w:hAnsi="Cambria"/>
        </w:rPr>
      </w:pPr>
    </w:p>
    <w:p w14:paraId="056EBE14" w14:textId="77777777" w:rsidR="00C3276D" w:rsidRPr="00FD2E93" w:rsidRDefault="00C3276D" w:rsidP="00F55252">
      <w:pPr>
        <w:pStyle w:val="ListParagraph"/>
        <w:numPr>
          <w:ilvl w:val="0"/>
          <w:numId w:val="345"/>
        </w:numPr>
        <w:spacing w:line="259" w:lineRule="auto"/>
        <w:ind w:left="567" w:hanging="567"/>
        <w:rPr>
          <w:rFonts w:ascii="Cambria" w:hAnsi="Cambria"/>
        </w:rPr>
      </w:pPr>
      <w:r w:rsidRPr="00FD2E93">
        <w:rPr>
          <w:rFonts w:ascii="Cambria" w:hAnsi="Cambria"/>
        </w:rPr>
        <w:t>Develop a transparent resource assessment process and criteria to identify carefully the possible options for resource allocation to any LCA entity, and also proposed increases in national office workforce numbers.</w:t>
      </w:r>
    </w:p>
    <w:p w14:paraId="047EC94E" w14:textId="77777777" w:rsidR="00C3276D" w:rsidRPr="00FD2E93" w:rsidRDefault="00C3276D" w:rsidP="00C3276D">
      <w:pPr>
        <w:pStyle w:val="ListParagraph"/>
        <w:ind w:left="567" w:hanging="567"/>
        <w:rPr>
          <w:rFonts w:ascii="Cambria" w:hAnsi="Cambria"/>
        </w:rPr>
      </w:pPr>
    </w:p>
    <w:p w14:paraId="0EFD661E" w14:textId="77777777" w:rsidR="00C3276D" w:rsidRPr="00FD2E93" w:rsidRDefault="00C3276D" w:rsidP="00F55252">
      <w:pPr>
        <w:pStyle w:val="ListParagraph"/>
        <w:numPr>
          <w:ilvl w:val="0"/>
          <w:numId w:val="345"/>
        </w:numPr>
        <w:spacing w:line="259" w:lineRule="auto"/>
        <w:ind w:left="567" w:hanging="567"/>
        <w:rPr>
          <w:rFonts w:ascii="Cambria" w:hAnsi="Cambria"/>
        </w:rPr>
      </w:pPr>
      <w:r w:rsidRPr="00FD2E93">
        <w:rPr>
          <w:rFonts w:ascii="Cambria" w:hAnsi="Cambria"/>
        </w:rPr>
        <w:t>Identify and implement a mechanism for continued discussion and engagement on ‘Mission’, including at congregational levels to ensure integrated and partnered thinking, but also to focus with congregations, on what is the core purpose of the Church.</w:t>
      </w:r>
    </w:p>
    <w:p w14:paraId="2A4349E4" w14:textId="77777777" w:rsidR="00C3276D" w:rsidRPr="00FD2E93" w:rsidRDefault="00C3276D" w:rsidP="00C3276D">
      <w:pPr>
        <w:rPr>
          <w:rFonts w:ascii="Cambria" w:hAnsi="Cambria"/>
        </w:rPr>
      </w:pPr>
      <w:r w:rsidRPr="00FD2E93">
        <w:rPr>
          <w:rFonts w:ascii="Cambria" w:hAnsi="Cambria"/>
        </w:rPr>
        <w:t>In addition, several matters were identified and changes suggested by the various Boards and Committees, in terms of next stages of development.</w:t>
      </w:r>
    </w:p>
    <w:p w14:paraId="47B7805D" w14:textId="77777777" w:rsidR="00C3276D" w:rsidRPr="00FD2E93" w:rsidRDefault="00C3276D" w:rsidP="00C3276D">
      <w:pPr>
        <w:pStyle w:val="Heading3"/>
      </w:pPr>
      <w:r w:rsidRPr="00FD2E93">
        <w:t>Evaluation Study – Methodology and Participation Levels</w:t>
      </w:r>
    </w:p>
    <w:p w14:paraId="65C44739" w14:textId="77777777" w:rsidR="00C3276D" w:rsidRPr="00FD2E93" w:rsidRDefault="00C3276D" w:rsidP="00C3276D">
      <w:pPr>
        <w:rPr>
          <w:rFonts w:ascii="Cambria" w:hAnsi="Cambria" w:cstheme="minorHAnsi"/>
          <w:b/>
        </w:rPr>
      </w:pPr>
      <w:r w:rsidRPr="00FD2E93">
        <w:rPr>
          <w:rFonts w:ascii="Cambria" w:hAnsi="Cambria" w:cstheme="minorHAnsi"/>
          <w:b/>
        </w:rPr>
        <w:t>Evaluation Framework</w:t>
      </w:r>
    </w:p>
    <w:p w14:paraId="35ED54F0" w14:textId="77777777" w:rsidR="00C3276D" w:rsidRPr="00FD2E93" w:rsidRDefault="00C3276D" w:rsidP="00C3276D">
      <w:pPr>
        <w:rPr>
          <w:rFonts w:ascii="Cambria" w:hAnsi="Cambria"/>
        </w:rPr>
      </w:pPr>
      <w:r w:rsidRPr="00FD2E93">
        <w:rPr>
          <w:rFonts w:ascii="Cambria" w:hAnsi="Cambria"/>
        </w:rPr>
        <w:t>The General Church Council approved an evaluation framework in October 2017. The framework includes:</w:t>
      </w:r>
    </w:p>
    <w:p w14:paraId="6CE03EFF" w14:textId="77777777" w:rsidR="00C3276D" w:rsidRPr="00FD2E93" w:rsidRDefault="00C3276D" w:rsidP="00F55252">
      <w:pPr>
        <w:pStyle w:val="ListParagraph"/>
        <w:numPr>
          <w:ilvl w:val="0"/>
          <w:numId w:val="328"/>
        </w:numPr>
        <w:spacing w:line="259" w:lineRule="auto"/>
        <w:ind w:left="567" w:hanging="567"/>
        <w:rPr>
          <w:rFonts w:ascii="Cambria" w:hAnsi="Cambria"/>
        </w:rPr>
      </w:pPr>
      <w:r w:rsidRPr="00FD2E93">
        <w:rPr>
          <w:rFonts w:ascii="Cambria" w:hAnsi="Cambria"/>
        </w:rPr>
        <w:t>Definition of the key ‘problems’ identified with the past Governing Bodies and national functions, in terms of their effectiveness for the LCA and their efficiency in progressing the decisions and directions of Synod;</w:t>
      </w:r>
    </w:p>
    <w:p w14:paraId="71DDA53C" w14:textId="77777777" w:rsidR="00C3276D" w:rsidRPr="00FD2E93" w:rsidRDefault="00C3276D" w:rsidP="00F55252">
      <w:pPr>
        <w:pStyle w:val="ListParagraph"/>
        <w:numPr>
          <w:ilvl w:val="0"/>
          <w:numId w:val="328"/>
        </w:numPr>
        <w:spacing w:line="259" w:lineRule="auto"/>
        <w:ind w:left="567" w:hanging="567"/>
        <w:rPr>
          <w:rFonts w:ascii="Cambria" w:hAnsi="Cambria"/>
        </w:rPr>
      </w:pPr>
      <w:r w:rsidRPr="00FD2E93">
        <w:rPr>
          <w:rFonts w:ascii="Cambria" w:hAnsi="Cambria"/>
        </w:rPr>
        <w:t>Key outputs of the changes in terms of activities undertaken and the participants involved in the transitions or affected by the changes;</w:t>
      </w:r>
    </w:p>
    <w:p w14:paraId="5F18DE83" w14:textId="35C42648" w:rsidR="00C3276D" w:rsidRPr="00FD2E93" w:rsidRDefault="00C3276D" w:rsidP="00F55252">
      <w:pPr>
        <w:pStyle w:val="ListParagraph"/>
        <w:numPr>
          <w:ilvl w:val="0"/>
          <w:numId w:val="328"/>
        </w:numPr>
        <w:spacing w:line="259" w:lineRule="auto"/>
        <w:ind w:left="567" w:hanging="567"/>
        <w:rPr>
          <w:rFonts w:ascii="Cambria" w:hAnsi="Cambria"/>
        </w:rPr>
      </w:pPr>
      <w:r w:rsidRPr="00FD2E93">
        <w:rPr>
          <w:rFonts w:ascii="Cambria" w:hAnsi="Cambria"/>
        </w:rPr>
        <w:t>Outcomes achieved as at the General Convention of Synod 2018 or expected to be achieved in the next 3</w:t>
      </w:r>
      <w:r w:rsidR="004E1A9E">
        <w:rPr>
          <w:rFonts w:ascii="Cambria" w:hAnsi="Cambria"/>
        </w:rPr>
        <w:sym w:font="Symbol" w:char="F02D"/>
      </w:r>
      <w:r w:rsidRPr="00FD2E93">
        <w:rPr>
          <w:rFonts w:ascii="Cambria" w:hAnsi="Cambria"/>
        </w:rPr>
        <w:t>5 years, as a result of the changes made;</w:t>
      </w:r>
    </w:p>
    <w:p w14:paraId="581D4133" w14:textId="77777777" w:rsidR="00C3276D" w:rsidRPr="00FD2E93" w:rsidRDefault="00C3276D" w:rsidP="00F55252">
      <w:pPr>
        <w:pStyle w:val="ListParagraph"/>
        <w:numPr>
          <w:ilvl w:val="0"/>
          <w:numId w:val="328"/>
        </w:numPr>
        <w:spacing w:line="259" w:lineRule="auto"/>
        <w:ind w:left="567" w:hanging="567"/>
        <w:rPr>
          <w:rFonts w:ascii="Cambria" w:hAnsi="Cambria"/>
        </w:rPr>
      </w:pPr>
      <w:r w:rsidRPr="00FD2E93">
        <w:rPr>
          <w:rFonts w:ascii="Cambria" w:hAnsi="Cambria"/>
        </w:rPr>
        <w:t>Key measures of the improvements achieved for the Church, as at the time of the evaluation (up to end March 2018).</w:t>
      </w:r>
    </w:p>
    <w:p w14:paraId="755B13CC" w14:textId="77777777" w:rsidR="00C3276D" w:rsidRPr="00FD2E93" w:rsidRDefault="00C3276D" w:rsidP="00C3276D">
      <w:pPr>
        <w:rPr>
          <w:rFonts w:ascii="Cambria" w:hAnsi="Cambria" w:cstheme="minorHAnsi"/>
          <w:b/>
        </w:rPr>
      </w:pPr>
      <w:r w:rsidRPr="00FD2E93">
        <w:rPr>
          <w:rFonts w:ascii="Cambria" w:hAnsi="Cambria" w:cstheme="minorHAnsi"/>
          <w:b/>
        </w:rPr>
        <w:t>Evaluation Study</w:t>
      </w:r>
    </w:p>
    <w:p w14:paraId="421363E2" w14:textId="77777777" w:rsidR="00C3276D" w:rsidRPr="00FD2E93" w:rsidRDefault="00C3276D" w:rsidP="00C3276D">
      <w:pPr>
        <w:rPr>
          <w:rFonts w:ascii="Cambria" w:hAnsi="Cambria" w:cstheme="minorHAnsi"/>
        </w:rPr>
      </w:pPr>
      <w:r w:rsidRPr="00FD2E93">
        <w:rPr>
          <w:rFonts w:ascii="Cambria" w:hAnsi="Cambria" w:cstheme="minorHAnsi"/>
        </w:rPr>
        <w:t xml:space="preserve">The Evaluation Study has been completed in the period November 2017 – April 2018. The detail of its methodology in assessing outcomes under the evaluation framework was developed by the consultant, then approved by the Executive Officer of the Church in consultation with GCC. </w:t>
      </w:r>
    </w:p>
    <w:p w14:paraId="7CEBA8CB" w14:textId="77777777" w:rsidR="00C3276D" w:rsidRPr="00FD2E93" w:rsidRDefault="00C3276D" w:rsidP="00C3276D">
      <w:pPr>
        <w:rPr>
          <w:rFonts w:ascii="Cambria" w:hAnsi="Cambria" w:cstheme="minorHAnsi"/>
        </w:rPr>
      </w:pPr>
      <w:r w:rsidRPr="00FD2E93">
        <w:rPr>
          <w:rFonts w:ascii="Cambria" w:hAnsi="Cambria" w:cstheme="minorHAnsi"/>
        </w:rPr>
        <w:t xml:space="preserve">Not all national office functions were evaluated, only those where there was major work done to address the criteria and seek more effective support services through increased coordination and integration, ie. Local Mission, Communications Department, Church </w:t>
      </w:r>
      <w:r w:rsidRPr="00FD2E93">
        <w:rPr>
          <w:rFonts w:ascii="Cambria" w:hAnsi="Cambria" w:cstheme="minorHAnsi"/>
        </w:rPr>
        <w:lastRenderedPageBreak/>
        <w:t>Worker Support Department, Finance and Administration, and Information and Communications Technology (ICT).</w:t>
      </w:r>
    </w:p>
    <w:p w14:paraId="77B76FD3" w14:textId="77777777" w:rsidR="00C3276D" w:rsidRPr="00FD2E93" w:rsidRDefault="00C3276D" w:rsidP="00C3276D">
      <w:pPr>
        <w:rPr>
          <w:rFonts w:ascii="Cambria" w:hAnsi="Cambria" w:cstheme="minorHAnsi"/>
        </w:rPr>
      </w:pPr>
      <w:r w:rsidRPr="00FD2E93">
        <w:rPr>
          <w:rFonts w:ascii="Cambria" w:hAnsi="Cambria" w:cstheme="minorHAnsi"/>
        </w:rPr>
        <w:t>The evaluation criteria used have been derived from the wording of the Resolutions, ie</w:t>
      </w:r>
    </w:p>
    <w:p w14:paraId="5349EA10" w14:textId="11EA16FC" w:rsidR="00C3276D" w:rsidRPr="00FD2E93" w:rsidRDefault="00E532DD" w:rsidP="00C3276D">
      <w:pPr>
        <w:pStyle w:val="Default"/>
        <w:rPr>
          <w:rFonts w:ascii="Cambria" w:hAnsi="Cambria" w:cstheme="minorHAnsi"/>
          <w:color w:val="auto"/>
          <w:sz w:val="22"/>
          <w:szCs w:val="22"/>
        </w:rPr>
      </w:pPr>
      <w:r>
        <w:rPr>
          <w:rFonts w:ascii="Cambria" w:hAnsi="Cambria" w:cstheme="minorHAnsi"/>
          <w:color w:val="auto"/>
          <w:sz w:val="22"/>
          <w:szCs w:val="22"/>
        </w:rPr>
        <w:t xml:space="preserve">Evaluation of whether each of </w:t>
      </w:r>
      <w:r w:rsidR="00C3276D" w:rsidRPr="00FD2E93">
        <w:rPr>
          <w:rFonts w:ascii="Cambria" w:hAnsi="Cambria" w:cstheme="minorHAnsi"/>
          <w:color w:val="auto"/>
          <w:sz w:val="22"/>
          <w:szCs w:val="22"/>
        </w:rPr>
        <w:t xml:space="preserve">the overall changes introduced has resulted in </w:t>
      </w:r>
      <w:r w:rsidR="00C3276D" w:rsidRPr="00FD2E93">
        <w:rPr>
          <w:rFonts w:ascii="Cambria" w:hAnsi="Cambria" w:cstheme="minorHAnsi"/>
          <w:b/>
          <w:color w:val="auto"/>
          <w:sz w:val="22"/>
          <w:szCs w:val="22"/>
        </w:rPr>
        <w:t xml:space="preserve">leadership, governance and other resource structures or management processes </w:t>
      </w:r>
      <w:r w:rsidR="00C3276D" w:rsidRPr="00FD2E93">
        <w:rPr>
          <w:rFonts w:ascii="Cambria" w:hAnsi="Cambria" w:cstheme="minorHAnsi"/>
          <w:color w:val="auto"/>
          <w:sz w:val="22"/>
          <w:szCs w:val="22"/>
        </w:rPr>
        <w:t>that are:</w:t>
      </w:r>
    </w:p>
    <w:p w14:paraId="55A53DC1" w14:textId="77777777" w:rsidR="00C3276D" w:rsidRPr="00FD2E93" w:rsidRDefault="00C3276D" w:rsidP="00C3276D">
      <w:pPr>
        <w:pStyle w:val="Default"/>
        <w:ind w:firstLine="720"/>
        <w:rPr>
          <w:rFonts w:ascii="Cambria" w:hAnsi="Cambria" w:cstheme="minorHAnsi"/>
          <w:color w:val="auto"/>
          <w:sz w:val="22"/>
          <w:szCs w:val="22"/>
        </w:rPr>
      </w:pPr>
    </w:p>
    <w:p w14:paraId="3F3EFC11" w14:textId="77777777" w:rsidR="00C3276D" w:rsidRPr="00FD2E93" w:rsidRDefault="00C3276D" w:rsidP="00F55252">
      <w:pPr>
        <w:pStyle w:val="Default"/>
        <w:numPr>
          <w:ilvl w:val="0"/>
          <w:numId w:val="329"/>
        </w:numPr>
        <w:ind w:left="567" w:hanging="567"/>
        <w:rPr>
          <w:rFonts w:ascii="Cambria" w:hAnsi="Cambria" w:cstheme="minorHAnsi"/>
          <w:color w:val="auto"/>
          <w:sz w:val="22"/>
          <w:szCs w:val="22"/>
        </w:rPr>
      </w:pPr>
      <w:r w:rsidRPr="00FD2E93">
        <w:rPr>
          <w:rFonts w:ascii="Cambria" w:hAnsi="Cambria" w:cstheme="minorHAnsi"/>
          <w:color w:val="auto"/>
          <w:sz w:val="22"/>
          <w:szCs w:val="22"/>
        </w:rPr>
        <w:t>Churchwide</w:t>
      </w:r>
    </w:p>
    <w:p w14:paraId="6E58E1AE" w14:textId="77777777" w:rsidR="00C3276D" w:rsidRPr="00FD2E93" w:rsidRDefault="00C3276D" w:rsidP="00F55252">
      <w:pPr>
        <w:pStyle w:val="Default"/>
        <w:numPr>
          <w:ilvl w:val="0"/>
          <w:numId w:val="329"/>
        </w:numPr>
        <w:ind w:left="567" w:hanging="567"/>
        <w:rPr>
          <w:rFonts w:ascii="Cambria" w:hAnsi="Cambria" w:cstheme="minorHAnsi"/>
          <w:color w:val="auto"/>
          <w:sz w:val="22"/>
          <w:szCs w:val="22"/>
        </w:rPr>
      </w:pPr>
      <w:r w:rsidRPr="00FD2E93">
        <w:rPr>
          <w:rFonts w:ascii="Cambria" w:hAnsi="Cambria" w:cstheme="minorHAnsi"/>
          <w:color w:val="auto"/>
          <w:sz w:val="22"/>
          <w:szCs w:val="22"/>
        </w:rPr>
        <w:t>Mission-focused</w:t>
      </w:r>
    </w:p>
    <w:p w14:paraId="62D6B151" w14:textId="77777777" w:rsidR="00C3276D" w:rsidRPr="00FD2E93" w:rsidRDefault="00C3276D" w:rsidP="00F55252">
      <w:pPr>
        <w:pStyle w:val="Default"/>
        <w:numPr>
          <w:ilvl w:val="0"/>
          <w:numId w:val="329"/>
        </w:numPr>
        <w:ind w:left="567" w:hanging="567"/>
        <w:rPr>
          <w:rFonts w:ascii="Cambria" w:hAnsi="Cambria" w:cstheme="minorHAnsi"/>
          <w:color w:val="auto"/>
          <w:sz w:val="22"/>
          <w:szCs w:val="22"/>
        </w:rPr>
      </w:pPr>
      <w:r w:rsidRPr="00FD2E93">
        <w:rPr>
          <w:rFonts w:ascii="Cambria" w:hAnsi="Cambria" w:cstheme="minorHAnsi"/>
          <w:color w:val="auto"/>
          <w:sz w:val="22"/>
          <w:szCs w:val="22"/>
        </w:rPr>
        <w:t>Service-oriented</w:t>
      </w:r>
    </w:p>
    <w:p w14:paraId="615D59D9" w14:textId="77777777" w:rsidR="00C3276D" w:rsidRPr="00FD2E93" w:rsidRDefault="00C3276D" w:rsidP="00F55252">
      <w:pPr>
        <w:pStyle w:val="Default"/>
        <w:numPr>
          <w:ilvl w:val="0"/>
          <w:numId w:val="329"/>
        </w:numPr>
        <w:ind w:left="567" w:hanging="567"/>
        <w:rPr>
          <w:rFonts w:ascii="Cambria" w:hAnsi="Cambria" w:cstheme="minorHAnsi"/>
          <w:color w:val="auto"/>
          <w:sz w:val="22"/>
          <w:szCs w:val="22"/>
        </w:rPr>
      </w:pPr>
      <w:r w:rsidRPr="00FD2E93">
        <w:rPr>
          <w:rFonts w:ascii="Cambria" w:hAnsi="Cambria" w:cstheme="minorHAnsi"/>
          <w:color w:val="auto"/>
          <w:sz w:val="22"/>
          <w:szCs w:val="22"/>
        </w:rPr>
        <w:t>Efficient (presumed to mean more efficient than in the past structure)</w:t>
      </w:r>
      <w:r w:rsidRPr="00FD2E93">
        <w:rPr>
          <w:rStyle w:val="FootnoteReference"/>
          <w:rFonts w:ascii="Cambria" w:hAnsi="Cambria" w:cstheme="minorHAnsi"/>
          <w:color w:val="auto"/>
          <w:sz w:val="22"/>
          <w:szCs w:val="22"/>
        </w:rPr>
        <w:footnoteReference w:id="41"/>
      </w:r>
    </w:p>
    <w:p w14:paraId="554CC979" w14:textId="7EBA2A95" w:rsidR="00C3276D" w:rsidRPr="00FD2E93" w:rsidRDefault="00C3276D" w:rsidP="00F55252">
      <w:pPr>
        <w:pStyle w:val="Default"/>
        <w:numPr>
          <w:ilvl w:val="0"/>
          <w:numId w:val="329"/>
        </w:numPr>
        <w:ind w:left="567" w:hanging="567"/>
        <w:rPr>
          <w:rFonts w:ascii="Cambria" w:hAnsi="Cambria" w:cstheme="minorHAnsi"/>
          <w:color w:val="auto"/>
          <w:sz w:val="22"/>
          <w:szCs w:val="22"/>
        </w:rPr>
      </w:pPr>
      <w:r w:rsidRPr="00FD2E93">
        <w:rPr>
          <w:rFonts w:ascii="Cambria" w:hAnsi="Cambria" w:cstheme="minorHAnsi"/>
          <w:color w:val="auto"/>
          <w:sz w:val="22"/>
          <w:szCs w:val="22"/>
        </w:rPr>
        <w:t>Effective in delivering/ supporting</w:t>
      </w:r>
      <w:r w:rsidR="00E532DD">
        <w:rPr>
          <w:rFonts w:ascii="Cambria" w:hAnsi="Cambria" w:cstheme="minorHAnsi"/>
          <w:color w:val="auto"/>
          <w:sz w:val="22"/>
          <w:szCs w:val="22"/>
        </w:rPr>
        <w:t xml:space="preserve"> Synod decisions and directions.</w:t>
      </w:r>
      <w:r w:rsidRPr="00FD2E93">
        <w:rPr>
          <w:rStyle w:val="FootnoteReference"/>
          <w:rFonts w:ascii="Cambria" w:hAnsi="Cambria" w:cstheme="minorHAnsi"/>
          <w:color w:val="auto"/>
          <w:sz w:val="22"/>
          <w:szCs w:val="22"/>
        </w:rPr>
        <w:footnoteReference w:id="42"/>
      </w:r>
    </w:p>
    <w:p w14:paraId="7DDA1985" w14:textId="77777777" w:rsidR="00C3276D" w:rsidRPr="00FD2E93" w:rsidRDefault="00C3276D" w:rsidP="00C3276D">
      <w:pPr>
        <w:pStyle w:val="Default"/>
        <w:rPr>
          <w:rFonts w:ascii="Cambria" w:hAnsi="Cambria" w:cstheme="minorHAnsi"/>
          <w:color w:val="auto"/>
          <w:sz w:val="22"/>
          <w:szCs w:val="22"/>
        </w:rPr>
      </w:pPr>
    </w:p>
    <w:p w14:paraId="3311F91B" w14:textId="77777777" w:rsidR="00C3276D" w:rsidRPr="00FD2E93" w:rsidRDefault="00C3276D" w:rsidP="00C3276D">
      <w:pPr>
        <w:pStyle w:val="Default"/>
        <w:rPr>
          <w:rFonts w:ascii="Cambria" w:hAnsi="Cambria" w:cstheme="minorHAnsi"/>
          <w:color w:val="auto"/>
          <w:sz w:val="22"/>
          <w:szCs w:val="22"/>
        </w:rPr>
      </w:pPr>
      <w:r w:rsidRPr="00FD2E93">
        <w:rPr>
          <w:rFonts w:ascii="Cambria" w:hAnsi="Cambria" w:cstheme="minorHAnsi"/>
          <w:color w:val="auto"/>
          <w:sz w:val="22"/>
          <w:szCs w:val="22"/>
        </w:rPr>
        <w:t>The participants identified in the Evaluation Framework were agreed as the participants from whom views were to be gathered on perceptions of and satisfaction with the changes. They were consulted via:</w:t>
      </w:r>
    </w:p>
    <w:p w14:paraId="538E48F7" w14:textId="77777777" w:rsidR="00C3276D" w:rsidRPr="00FD2E93" w:rsidRDefault="00C3276D" w:rsidP="00C3276D">
      <w:pPr>
        <w:pStyle w:val="Default"/>
        <w:rPr>
          <w:rFonts w:ascii="Cambria" w:hAnsi="Cambria" w:cstheme="minorHAnsi"/>
          <w:color w:val="auto"/>
          <w:sz w:val="22"/>
          <w:szCs w:val="22"/>
        </w:rPr>
      </w:pPr>
    </w:p>
    <w:p w14:paraId="14920280" w14:textId="0ED5CB09" w:rsidR="00C3276D" w:rsidRPr="00FD2E93" w:rsidRDefault="00E532DD" w:rsidP="00F55252">
      <w:pPr>
        <w:pStyle w:val="Default"/>
        <w:numPr>
          <w:ilvl w:val="0"/>
          <w:numId w:val="330"/>
        </w:numPr>
        <w:ind w:left="567" w:hanging="567"/>
        <w:rPr>
          <w:rFonts w:ascii="Cambria" w:hAnsi="Cambria" w:cstheme="minorHAnsi"/>
          <w:color w:val="auto"/>
          <w:sz w:val="22"/>
          <w:szCs w:val="22"/>
        </w:rPr>
      </w:pPr>
      <w:r>
        <w:rPr>
          <w:rFonts w:ascii="Cambria" w:hAnsi="Cambria" w:cstheme="minorHAnsi"/>
          <w:color w:val="auto"/>
          <w:sz w:val="22"/>
          <w:szCs w:val="22"/>
        </w:rPr>
        <w:t>twenty</w:t>
      </w:r>
      <w:r w:rsidR="00C3276D" w:rsidRPr="00FD2E93">
        <w:rPr>
          <w:rFonts w:ascii="Cambria" w:hAnsi="Cambria" w:cstheme="minorHAnsi"/>
          <w:color w:val="auto"/>
          <w:sz w:val="22"/>
          <w:szCs w:val="22"/>
        </w:rPr>
        <w:t xml:space="preserve"> </w:t>
      </w:r>
      <w:r>
        <w:rPr>
          <w:rFonts w:ascii="Cambria" w:hAnsi="Cambria" w:cstheme="minorHAnsi"/>
          <w:color w:val="auto"/>
          <w:sz w:val="22"/>
          <w:szCs w:val="22"/>
        </w:rPr>
        <w:t>focus g</w:t>
      </w:r>
      <w:r w:rsidR="00C3276D" w:rsidRPr="00FD2E93">
        <w:rPr>
          <w:rFonts w:ascii="Cambria" w:hAnsi="Cambria" w:cstheme="minorHAnsi"/>
          <w:color w:val="auto"/>
          <w:sz w:val="22"/>
          <w:szCs w:val="22"/>
        </w:rPr>
        <w:t xml:space="preserve">roups of the primary Boards, Committees and Commissions of the LCA which were affected to a small or large degree by the changes; </w:t>
      </w:r>
    </w:p>
    <w:p w14:paraId="4076A903" w14:textId="77777777" w:rsidR="00C3276D" w:rsidRPr="00FD2E93" w:rsidRDefault="00C3276D" w:rsidP="00F55252">
      <w:pPr>
        <w:pStyle w:val="Default"/>
        <w:numPr>
          <w:ilvl w:val="0"/>
          <w:numId w:val="330"/>
        </w:numPr>
        <w:ind w:left="567" w:hanging="567"/>
        <w:rPr>
          <w:rFonts w:ascii="Cambria" w:hAnsi="Cambria" w:cstheme="minorHAnsi"/>
          <w:color w:val="auto"/>
          <w:sz w:val="22"/>
          <w:szCs w:val="22"/>
        </w:rPr>
      </w:pPr>
      <w:r w:rsidRPr="00FD2E93">
        <w:rPr>
          <w:rFonts w:ascii="Cambria" w:hAnsi="Cambria" w:cstheme="minorHAnsi"/>
          <w:color w:val="auto"/>
          <w:sz w:val="22"/>
          <w:szCs w:val="22"/>
        </w:rPr>
        <w:t>an online survey with 505 persons invited to participate (resulting in 262 responses), including all Synod representatives who voted on the 2015 resolutions;</w:t>
      </w:r>
    </w:p>
    <w:p w14:paraId="233EC0FE" w14:textId="77777777" w:rsidR="00C3276D" w:rsidRPr="00FD2E93" w:rsidRDefault="00C3276D" w:rsidP="00F55252">
      <w:pPr>
        <w:pStyle w:val="Default"/>
        <w:numPr>
          <w:ilvl w:val="0"/>
          <w:numId w:val="330"/>
        </w:numPr>
        <w:ind w:left="567" w:hanging="567"/>
        <w:rPr>
          <w:rFonts w:ascii="Cambria" w:hAnsi="Cambria" w:cstheme="minorHAnsi"/>
          <w:color w:val="auto"/>
          <w:sz w:val="22"/>
          <w:szCs w:val="22"/>
        </w:rPr>
      </w:pPr>
      <w:r w:rsidRPr="00FD2E93">
        <w:rPr>
          <w:rFonts w:ascii="Cambria" w:hAnsi="Cambria" w:cstheme="minorHAnsi"/>
          <w:color w:val="auto"/>
          <w:sz w:val="22"/>
          <w:szCs w:val="22"/>
        </w:rPr>
        <w:t>workshop discussions with national office managers, and the national office leaders’ fora;</w:t>
      </w:r>
    </w:p>
    <w:p w14:paraId="397E8F24" w14:textId="77777777" w:rsidR="00C3276D" w:rsidRPr="00FD2E93" w:rsidRDefault="00C3276D" w:rsidP="00F55252">
      <w:pPr>
        <w:pStyle w:val="Default"/>
        <w:numPr>
          <w:ilvl w:val="0"/>
          <w:numId w:val="330"/>
        </w:numPr>
        <w:ind w:left="567" w:hanging="567"/>
        <w:rPr>
          <w:rFonts w:ascii="Cambria" w:hAnsi="Cambria" w:cstheme="minorHAnsi"/>
          <w:color w:val="auto"/>
          <w:sz w:val="22"/>
          <w:szCs w:val="22"/>
        </w:rPr>
      </w:pPr>
      <w:r w:rsidRPr="00FD2E93">
        <w:rPr>
          <w:rFonts w:ascii="Cambria" w:hAnsi="Cambria" w:cstheme="minorHAnsi"/>
          <w:color w:val="auto"/>
          <w:sz w:val="22"/>
          <w:szCs w:val="22"/>
        </w:rPr>
        <w:t>an interview with the Bishop.</w:t>
      </w:r>
    </w:p>
    <w:p w14:paraId="47461AC4" w14:textId="77777777" w:rsidR="00C3276D" w:rsidRPr="00FD2E93" w:rsidRDefault="00C3276D" w:rsidP="00C3276D">
      <w:pPr>
        <w:pStyle w:val="Default"/>
        <w:rPr>
          <w:rFonts w:ascii="Cambria" w:hAnsi="Cambria" w:cstheme="minorHAnsi"/>
          <w:color w:val="auto"/>
          <w:sz w:val="22"/>
          <w:szCs w:val="22"/>
        </w:rPr>
      </w:pPr>
    </w:p>
    <w:p w14:paraId="677D9E01" w14:textId="77777777" w:rsidR="00C3276D" w:rsidRPr="00FD2E93" w:rsidRDefault="00C3276D" w:rsidP="00C3276D">
      <w:pPr>
        <w:pStyle w:val="Default"/>
        <w:rPr>
          <w:rFonts w:ascii="Cambria" w:hAnsi="Cambria" w:cstheme="minorHAnsi"/>
          <w:color w:val="auto"/>
          <w:sz w:val="22"/>
          <w:szCs w:val="22"/>
        </w:rPr>
      </w:pPr>
      <w:r w:rsidRPr="00FD2E93">
        <w:rPr>
          <w:rFonts w:ascii="Cambria" w:hAnsi="Cambria" w:cstheme="minorHAnsi"/>
          <w:color w:val="auto"/>
          <w:sz w:val="22"/>
          <w:szCs w:val="22"/>
        </w:rPr>
        <w:t>In addition to the consultations to gather perceptions, outcomes that could be quantified were identified and are reported below in Section C. These include financial savings, increased volumes of output, increased scope of service, speedier throughput of Synod resolutions and increased efficiency in use of resources through centralised administration.</w:t>
      </w:r>
    </w:p>
    <w:p w14:paraId="59236D2B" w14:textId="77777777" w:rsidR="00C3276D" w:rsidRPr="00FD2E93" w:rsidRDefault="00C3276D" w:rsidP="00C3276D">
      <w:pPr>
        <w:pStyle w:val="Default"/>
        <w:rPr>
          <w:rFonts w:ascii="Cambria" w:hAnsi="Cambria" w:cstheme="minorHAnsi"/>
          <w:color w:val="auto"/>
          <w:sz w:val="22"/>
          <w:szCs w:val="22"/>
        </w:rPr>
      </w:pPr>
    </w:p>
    <w:p w14:paraId="3F1FFE89" w14:textId="77777777" w:rsidR="00C3276D" w:rsidRPr="00FD2E93" w:rsidRDefault="00C3276D" w:rsidP="00C3276D">
      <w:pPr>
        <w:pStyle w:val="Default"/>
        <w:rPr>
          <w:rFonts w:ascii="Cambria" w:hAnsi="Cambria" w:cstheme="minorHAnsi"/>
          <w:b/>
          <w:color w:val="auto"/>
          <w:sz w:val="22"/>
          <w:szCs w:val="22"/>
        </w:rPr>
      </w:pPr>
      <w:r w:rsidRPr="00FD2E93">
        <w:rPr>
          <w:rFonts w:ascii="Cambria" w:hAnsi="Cambria" w:cstheme="minorHAnsi"/>
          <w:b/>
          <w:color w:val="auto"/>
          <w:sz w:val="22"/>
          <w:szCs w:val="22"/>
        </w:rPr>
        <w:t>Respondent profile</w:t>
      </w:r>
    </w:p>
    <w:p w14:paraId="4974A789" w14:textId="77777777" w:rsidR="00C3276D" w:rsidRPr="00FD2E93" w:rsidRDefault="00C3276D" w:rsidP="00C3276D">
      <w:pPr>
        <w:pStyle w:val="Default"/>
        <w:rPr>
          <w:rFonts w:ascii="Cambria" w:hAnsi="Cambria" w:cstheme="minorHAnsi"/>
          <w:b/>
          <w:color w:val="auto"/>
          <w:sz w:val="22"/>
          <w:szCs w:val="22"/>
        </w:rPr>
      </w:pPr>
    </w:p>
    <w:p w14:paraId="1B4BFD7A" w14:textId="77777777" w:rsidR="00C3276D" w:rsidRPr="00FD2E93" w:rsidRDefault="00C3276D" w:rsidP="00C3276D">
      <w:pPr>
        <w:pStyle w:val="Default"/>
        <w:rPr>
          <w:rFonts w:ascii="Cambria" w:hAnsi="Cambria" w:cstheme="minorHAnsi"/>
          <w:color w:val="auto"/>
          <w:sz w:val="22"/>
          <w:szCs w:val="22"/>
        </w:rPr>
      </w:pPr>
      <w:r w:rsidRPr="00FD2E93">
        <w:rPr>
          <w:rFonts w:ascii="Cambria" w:hAnsi="Cambria" w:cstheme="minorHAnsi"/>
          <w:color w:val="auto"/>
          <w:sz w:val="22"/>
          <w:szCs w:val="22"/>
        </w:rPr>
        <w:t>In broad terms, the survey responses (</w:t>
      </w:r>
      <w:r w:rsidRPr="00FD2E93">
        <w:rPr>
          <w:rFonts w:ascii="Cambria" w:hAnsi="Cambria" w:cstheme="minorHAnsi"/>
          <w:i/>
          <w:color w:val="auto"/>
          <w:sz w:val="22"/>
          <w:szCs w:val="22"/>
        </w:rPr>
        <w:t xml:space="preserve">N= 262, from 505 invitations to participate) </w:t>
      </w:r>
      <w:r w:rsidRPr="00FD2E93">
        <w:rPr>
          <w:rFonts w:ascii="Cambria" w:hAnsi="Cambria" w:cstheme="minorHAnsi"/>
          <w:color w:val="auto"/>
          <w:sz w:val="22"/>
          <w:szCs w:val="22"/>
        </w:rPr>
        <w:t>were comprised off:</w:t>
      </w:r>
    </w:p>
    <w:p w14:paraId="4D47E878" w14:textId="77777777" w:rsidR="00C3276D" w:rsidRPr="00FD2E93" w:rsidRDefault="00C3276D" w:rsidP="00C3276D">
      <w:pPr>
        <w:pStyle w:val="Default"/>
        <w:rPr>
          <w:rFonts w:ascii="Cambria" w:hAnsi="Cambria" w:cstheme="minorHAnsi"/>
          <w:color w:val="auto"/>
          <w:sz w:val="22"/>
          <w:szCs w:val="22"/>
        </w:rPr>
      </w:pPr>
    </w:p>
    <w:p w14:paraId="5AAE1171" w14:textId="77777777" w:rsidR="00C3276D" w:rsidRPr="00FD2E93" w:rsidRDefault="00C3276D" w:rsidP="00F55252">
      <w:pPr>
        <w:pStyle w:val="Default"/>
        <w:numPr>
          <w:ilvl w:val="0"/>
          <w:numId w:val="331"/>
        </w:numPr>
        <w:ind w:left="567" w:hanging="567"/>
        <w:rPr>
          <w:rFonts w:ascii="Cambria" w:hAnsi="Cambria" w:cstheme="minorHAnsi"/>
          <w:color w:val="auto"/>
          <w:sz w:val="22"/>
          <w:szCs w:val="22"/>
        </w:rPr>
      </w:pPr>
      <w:r w:rsidRPr="00FD2E93">
        <w:rPr>
          <w:rFonts w:ascii="Cambria" w:hAnsi="Cambria" w:cstheme="minorHAnsi"/>
          <w:color w:val="auto"/>
          <w:sz w:val="22"/>
          <w:szCs w:val="22"/>
        </w:rPr>
        <w:t>117 Synod delegates (45% of responses received; 37% of the total Synod representatives invited to participate)</w:t>
      </w:r>
    </w:p>
    <w:p w14:paraId="62E011B0" w14:textId="77777777" w:rsidR="00C3276D" w:rsidRPr="00FD2E93" w:rsidRDefault="00C3276D" w:rsidP="00F55252">
      <w:pPr>
        <w:pStyle w:val="Default"/>
        <w:numPr>
          <w:ilvl w:val="0"/>
          <w:numId w:val="331"/>
        </w:numPr>
        <w:ind w:left="567" w:hanging="567"/>
        <w:rPr>
          <w:rFonts w:ascii="Cambria" w:hAnsi="Cambria" w:cstheme="minorHAnsi"/>
          <w:color w:val="auto"/>
          <w:sz w:val="22"/>
          <w:szCs w:val="22"/>
        </w:rPr>
      </w:pPr>
      <w:r w:rsidRPr="00FD2E93">
        <w:rPr>
          <w:rFonts w:ascii="Cambria" w:hAnsi="Cambria" w:cstheme="minorHAnsi"/>
          <w:color w:val="auto"/>
          <w:sz w:val="22"/>
          <w:szCs w:val="22"/>
        </w:rPr>
        <w:t>34 persons working in national office including pastoral and lay workers (13%)</w:t>
      </w:r>
    </w:p>
    <w:p w14:paraId="49136D85" w14:textId="77777777" w:rsidR="00C3276D" w:rsidRPr="00FD2E93" w:rsidRDefault="00C3276D" w:rsidP="00F55252">
      <w:pPr>
        <w:pStyle w:val="Default"/>
        <w:numPr>
          <w:ilvl w:val="0"/>
          <w:numId w:val="331"/>
        </w:numPr>
        <w:ind w:left="567" w:hanging="567"/>
        <w:rPr>
          <w:rFonts w:ascii="Cambria" w:hAnsi="Cambria" w:cstheme="minorHAnsi"/>
          <w:color w:val="auto"/>
          <w:sz w:val="22"/>
          <w:szCs w:val="22"/>
        </w:rPr>
      </w:pPr>
      <w:r w:rsidRPr="00FD2E93">
        <w:rPr>
          <w:rFonts w:ascii="Cambria" w:hAnsi="Cambria" w:cstheme="minorHAnsi"/>
          <w:color w:val="auto"/>
          <w:sz w:val="22"/>
          <w:szCs w:val="22"/>
        </w:rPr>
        <w:t>12 persons working in District Offices including pastoral and lay workers (4%)</w:t>
      </w:r>
    </w:p>
    <w:p w14:paraId="095D6654" w14:textId="77777777" w:rsidR="00C3276D" w:rsidRPr="00FD2E93" w:rsidRDefault="00C3276D" w:rsidP="00F55252">
      <w:pPr>
        <w:pStyle w:val="Default"/>
        <w:numPr>
          <w:ilvl w:val="0"/>
          <w:numId w:val="331"/>
        </w:numPr>
        <w:ind w:left="567" w:hanging="567"/>
        <w:rPr>
          <w:rFonts w:ascii="Cambria" w:hAnsi="Cambria" w:cstheme="minorHAnsi"/>
          <w:color w:val="auto"/>
          <w:sz w:val="22"/>
          <w:szCs w:val="22"/>
        </w:rPr>
      </w:pPr>
      <w:r w:rsidRPr="00FD2E93">
        <w:rPr>
          <w:rFonts w:ascii="Cambria" w:hAnsi="Cambria" w:cstheme="minorHAnsi"/>
          <w:color w:val="auto"/>
          <w:sz w:val="22"/>
          <w:szCs w:val="22"/>
        </w:rPr>
        <w:t>99 persons who identified as a member of a participating Board, Committee or Commission (38%).</w:t>
      </w:r>
    </w:p>
    <w:p w14:paraId="5F2B6447" w14:textId="77777777" w:rsidR="00C3276D" w:rsidRPr="00FD2E93" w:rsidRDefault="00C3276D" w:rsidP="00C3276D">
      <w:pPr>
        <w:pStyle w:val="Default"/>
        <w:ind w:left="720"/>
        <w:rPr>
          <w:rFonts w:ascii="Cambria" w:hAnsi="Cambria" w:cstheme="minorHAnsi"/>
          <w:color w:val="auto"/>
          <w:sz w:val="22"/>
          <w:szCs w:val="22"/>
        </w:rPr>
      </w:pPr>
    </w:p>
    <w:p w14:paraId="1EB2E7BD" w14:textId="6F8CC8BF" w:rsidR="00C3276D" w:rsidRPr="00FD2E93" w:rsidRDefault="00C3276D" w:rsidP="00C3276D">
      <w:pPr>
        <w:pStyle w:val="Default"/>
        <w:rPr>
          <w:rFonts w:ascii="Cambria" w:hAnsi="Cambria" w:cstheme="minorHAnsi"/>
          <w:color w:val="auto"/>
          <w:sz w:val="22"/>
          <w:szCs w:val="22"/>
        </w:rPr>
      </w:pPr>
      <w:r w:rsidRPr="00FD2E93">
        <w:rPr>
          <w:rFonts w:ascii="Cambria" w:hAnsi="Cambria" w:cstheme="minorHAnsi"/>
          <w:color w:val="auto"/>
          <w:sz w:val="22"/>
          <w:szCs w:val="22"/>
        </w:rPr>
        <w:t>Note: While several participants hold more than one role within the Church’s structures, they received a single invitation to the survey and could only provide one re</w:t>
      </w:r>
      <w:r w:rsidR="00E532DD">
        <w:rPr>
          <w:rFonts w:ascii="Cambria" w:hAnsi="Cambria" w:cstheme="minorHAnsi"/>
          <w:color w:val="auto"/>
          <w:sz w:val="22"/>
          <w:szCs w:val="22"/>
        </w:rPr>
        <w:t>sponse as an individual. Focus g</w:t>
      </w:r>
      <w:r w:rsidRPr="00FD2E93">
        <w:rPr>
          <w:rFonts w:ascii="Cambria" w:hAnsi="Cambria" w:cstheme="minorHAnsi"/>
          <w:color w:val="auto"/>
          <w:sz w:val="22"/>
          <w:szCs w:val="22"/>
        </w:rPr>
        <w:t>roups were entered as another single response, though minority views within a group have also been captured with a second entry for some questions.</w:t>
      </w:r>
    </w:p>
    <w:p w14:paraId="5070FF5F" w14:textId="77777777" w:rsidR="00C3276D" w:rsidRPr="00FD2E93" w:rsidRDefault="00C3276D" w:rsidP="00C3276D">
      <w:pPr>
        <w:pStyle w:val="Default"/>
        <w:rPr>
          <w:rFonts w:ascii="Cambria" w:hAnsi="Cambria" w:cstheme="minorHAnsi"/>
          <w:color w:val="auto"/>
          <w:sz w:val="22"/>
          <w:szCs w:val="22"/>
        </w:rPr>
      </w:pPr>
    </w:p>
    <w:p w14:paraId="1A01C4D1" w14:textId="77777777" w:rsidR="00C3276D" w:rsidRPr="00FD2E93" w:rsidRDefault="00C3276D" w:rsidP="00C3276D">
      <w:pPr>
        <w:pStyle w:val="Default"/>
        <w:rPr>
          <w:rFonts w:ascii="Cambria" w:hAnsi="Cambria" w:cstheme="minorHAnsi"/>
          <w:color w:val="auto"/>
          <w:sz w:val="22"/>
          <w:szCs w:val="22"/>
        </w:rPr>
      </w:pPr>
      <w:r w:rsidRPr="00FD2E93">
        <w:rPr>
          <w:rFonts w:ascii="Cambria" w:hAnsi="Cambria" w:cstheme="minorHAnsi"/>
          <w:noProof/>
          <w:color w:val="auto"/>
          <w:sz w:val="22"/>
          <w:szCs w:val="22"/>
        </w:rPr>
        <w:lastRenderedPageBreak/>
        <w:drawing>
          <wp:inline distT="0" distB="0" distL="0" distR="0" wp14:anchorId="139947DD" wp14:editId="60CAD9F0">
            <wp:extent cx="5451895" cy="375942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rt1.jpg"/>
                    <pic:cNvPicPr/>
                  </pic:nvPicPr>
                  <pic:blipFill>
                    <a:blip r:embed="rId62">
                      <a:extLst>
                        <a:ext uri="{28A0092B-C50C-407E-A947-70E740481C1C}">
                          <a14:useLocalDpi xmlns:a14="http://schemas.microsoft.com/office/drawing/2010/main" val="0"/>
                        </a:ext>
                      </a:extLst>
                    </a:blip>
                    <a:stretch>
                      <a:fillRect/>
                    </a:stretch>
                  </pic:blipFill>
                  <pic:spPr>
                    <a:xfrm>
                      <a:off x="0" y="0"/>
                      <a:ext cx="5453148" cy="3760292"/>
                    </a:xfrm>
                    <a:prstGeom prst="rect">
                      <a:avLst/>
                    </a:prstGeom>
                  </pic:spPr>
                </pic:pic>
              </a:graphicData>
            </a:graphic>
          </wp:inline>
        </w:drawing>
      </w:r>
    </w:p>
    <w:p w14:paraId="7B41CFCE" w14:textId="77777777" w:rsidR="00C3276D" w:rsidRPr="00FD2E93" w:rsidRDefault="00C3276D" w:rsidP="00C3276D">
      <w:pPr>
        <w:rPr>
          <w:rFonts w:ascii="Cambria" w:hAnsi="Cambria"/>
          <w:b/>
        </w:rPr>
      </w:pPr>
    </w:p>
    <w:p w14:paraId="26CE1962" w14:textId="77777777" w:rsidR="00C3276D" w:rsidRPr="00FD2E93" w:rsidRDefault="00C3276D" w:rsidP="00C3276D">
      <w:pPr>
        <w:pStyle w:val="Heading3"/>
      </w:pPr>
      <w:r w:rsidRPr="00FD2E93">
        <w:t>Key Results of the Changes to Governing Structures and National Functions</w:t>
      </w:r>
    </w:p>
    <w:p w14:paraId="4F5F81E1" w14:textId="77777777" w:rsidR="00C3276D" w:rsidRPr="00FD2E93" w:rsidRDefault="00C3276D" w:rsidP="009A5284">
      <w:pPr>
        <w:pStyle w:val="Subtitle"/>
      </w:pPr>
      <w:r w:rsidRPr="00FD2E93">
        <w:t>Reported Achievements</w:t>
      </w:r>
    </w:p>
    <w:p w14:paraId="7AF1D139" w14:textId="42C1A9EA" w:rsidR="00C3276D" w:rsidRPr="009A5284" w:rsidRDefault="009A5284" w:rsidP="00C3276D">
      <w:pPr>
        <w:rPr>
          <w:rFonts w:ascii="Cambria" w:hAnsi="Cambria"/>
          <w:b/>
        </w:rPr>
      </w:pPr>
      <w:r w:rsidRPr="00912E0C">
        <w:rPr>
          <w:rFonts w:ascii="Cambria" w:hAnsi="Cambria"/>
          <w:sz w:val="10"/>
        </w:rPr>
        <w:br/>
      </w:r>
      <w:r w:rsidR="00C3276D" w:rsidRPr="009A5284">
        <w:rPr>
          <w:rFonts w:ascii="Cambria" w:hAnsi="Cambria"/>
          <w:b/>
        </w:rPr>
        <w:t>C1. Reported Achievements – Governing Bodies</w:t>
      </w:r>
    </w:p>
    <w:p w14:paraId="29F47477" w14:textId="77777777" w:rsidR="00C3276D" w:rsidRPr="00FD2E93" w:rsidRDefault="00C3276D" w:rsidP="00C3276D">
      <w:pPr>
        <w:rPr>
          <w:rFonts w:ascii="Cambria" w:hAnsi="Cambria"/>
        </w:rPr>
      </w:pPr>
      <w:r w:rsidRPr="00FD2E93">
        <w:rPr>
          <w:rFonts w:ascii="Cambria" w:hAnsi="Cambria"/>
        </w:rPr>
        <w:t>The following outcomes have been identified to date (31 March 2018) as achievements resulting from the changes made to Governing Bodies:</w:t>
      </w:r>
    </w:p>
    <w:p w14:paraId="2224BD58" w14:textId="77777777" w:rsidR="00C3276D" w:rsidRPr="00FD2E93" w:rsidRDefault="00C3276D" w:rsidP="00F55252">
      <w:pPr>
        <w:pStyle w:val="ListParagraph"/>
        <w:numPr>
          <w:ilvl w:val="0"/>
          <w:numId w:val="332"/>
        </w:numPr>
        <w:spacing w:line="259" w:lineRule="auto"/>
        <w:ind w:left="567" w:hanging="567"/>
        <w:rPr>
          <w:rFonts w:ascii="Cambria" w:hAnsi="Cambria"/>
        </w:rPr>
      </w:pPr>
      <w:r w:rsidRPr="00FD2E93">
        <w:rPr>
          <w:rFonts w:ascii="Cambria" w:hAnsi="Cambria"/>
        </w:rPr>
        <w:t>Reduction in the number of bodies directly accountable to GCC to five key Boards</w:t>
      </w:r>
    </w:p>
    <w:p w14:paraId="768090B6" w14:textId="284F2B55" w:rsidR="00C3276D" w:rsidRPr="00FD2E93" w:rsidRDefault="00C3276D" w:rsidP="00F55252">
      <w:pPr>
        <w:pStyle w:val="ListParagraph"/>
        <w:numPr>
          <w:ilvl w:val="0"/>
          <w:numId w:val="332"/>
        </w:numPr>
        <w:spacing w:line="259" w:lineRule="auto"/>
        <w:ind w:left="567" w:hanging="567"/>
        <w:rPr>
          <w:rFonts w:ascii="Cambria" w:hAnsi="Cambria"/>
        </w:rPr>
      </w:pPr>
      <w:r w:rsidRPr="00FD2E93">
        <w:rPr>
          <w:rFonts w:ascii="Cambria" w:hAnsi="Cambria"/>
        </w:rPr>
        <w:t xml:space="preserve">Movement of multiple Boards into a Committee structure </w:t>
      </w:r>
      <w:r w:rsidR="002A2396" w:rsidRPr="00FD2E93">
        <w:rPr>
          <w:rFonts w:ascii="Cambria" w:hAnsi="Cambria"/>
        </w:rPr>
        <w:t>e.g.</w:t>
      </w:r>
      <w:r w:rsidRPr="00FD2E93">
        <w:rPr>
          <w:rFonts w:ascii="Cambria" w:hAnsi="Cambria"/>
        </w:rPr>
        <w:t xml:space="preserve"> Board of Local Mission supported by various Committees</w:t>
      </w:r>
    </w:p>
    <w:p w14:paraId="3D3C9BB7" w14:textId="77777777" w:rsidR="00C3276D" w:rsidRPr="00FD2E93" w:rsidRDefault="00C3276D" w:rsidP="00F55252">
      <w:pPr>
        <w:pStyle w:val="ListParagraph"/>
        <w:numPr>
          <w:ilvl w:val="0"/>
          <w:numId w:val="332"/>
        </w:numPr>
        <w:spacing w:line="259" w:lineRule="auto"/>
        <w:ind w:left="567" w:hanging="567"/>
        <w:rPr>
          <w:rFonts w:ascii="Cambria" w:hAnsi="Cambria"/>
        </w:rPr>
      </w:pPr>
      <w:r w:rsidRPr="00FD2E93">
        <w:rPr>
          <w:rFonts w:ascii="Cambria" w:hAnsi="Cambria"/>
        </w:rPr>
        <w:t>Refocus of the Bishop’s involvement in Boards, into fewer but the key influential mission-setting and decision-making bodies</w:t>
      </w:r>
    </w:p>
    <w:p w14:paraId="592E9039" w14:textId="77777777" w:rsidR="00C3276D" w:rsidRPr="00FD2E93" w:rsidRDefault="00C3276D" w:rsidP="00F55252">
      <w:pPr>
        <w:pStyle w:val="ListParagraph"/>
        <w:numPr>
          <w:ilvl w:val="0"/>
          <w:numId w:val="332"/>
        </w:numPr>
        <w:spacing w:line="259" w:lineRule="auto"/>
        <w:ind w:left="567" w:hanging="567"/>
        <w:rPr>
          <w:rFonts w:ascii="Cambria" w:hAnsi="Cambria"/>
        </w:rPr>
      </w:pPr>
      <w:r w:rsidRPr="00FD2E93">
        <w:rPr>
          <w:rFonts w:ascii="Cambria" w:hAnsi="Cambria"/>
        </w:rPr>
        <w:t>Boards (and Committees) now operating with new Terms of Reference, with a focus on mission planning and strategy</w:t>
      </w:r>
    </w:p>
    <w:p w14:paraId="6A5FC541" w14:textId="77777777" w:rsidR="00C3276D" w:rsidRPr="00FD2E93" w:rsidRDefault="00C3276D" w:rsidP="00F55252">
      <w:pPr>
        <w:pStyle w:val="ListParagraph"/>
        <w:numPr>
          <w:ilvl w:val="0"/>
          <w:numId w:val="332"/>
        </w:numPr>
        <w:spacing w:line="259" w:lineRule="auto"/>
        <w:ind w:left="567" w:hanging="567"/>
        <w:rPr>
          <w:rFonts w:ascii="Cambria" w:hAnsi="Cambria"/>
        </w:rPr>
      </w:pPr>
      <w:r w:rsidRPr="00FD2E93">
        <w:rPr>
          <w:rFonts w:ascii="Cambria" w:hAnsi="Cambria"/>
        </w:rPr>
        <w:t>Movement towards competency-based Boards and Committees with consideration of gender and geographical representation</w:t>
      </w:r>
    </w:p>
    <w:p w14:paraId="771F33B0" w14:textId="77777777" w:rsidR="00C3276D" w:rsidRPr="00FD2E93" w:rsidRDefault="00C3276D" w:rsidP="00F55252">
      <w:pPr>
        <w:pStyle w:val="ListParagraph"/>
        <w:numPr>
          <w:ilvl w:val="0"/>
          <w:numId w:val="332"/>
        </w:numPr>
        <w:spacing w:line="259" w:lineRule="auto"/>
        <w:ind w:left="567" w:hanging="567"/>
        <w:rPr>
          <w:rFonts w:ascii="Cambria" w:hAnsi="Cambria"/>
        </w:rPr>
      </w:pPr>
      <w:r w:rsidRPr="00FD2E93">
        <w:rPr>
          <w:rFonts w:ascii="Cambria" w:hAnsi="Cambria"/>
        </w:rPr>
        <w:t>GCC agenda and workload now more focused on strategy and mission because of less reporting bodies</w:t>
      </w:r>
    </w:p>
    <w:p w14:paraId="030EE86B" w14:textId="77777777" w:rsidR="00C3276D" w:rsidRPr="00FD2E93" w:rsidRDefault="00C3276D" w:rsidP="00F55252">
      <w:pPr>
        <w:pStyle w:val="ListParagraph"/>
        <w:numPr>
          <w:ilvl w:val="0"/>
          <w:numId w:val="332"/>
        </w:numPr>
        <w:spacing w:line="259" w:lineRule="auto"/>
        <w:ind w:left="567" w:hanging="567"/>
        <w:rPr>
          <w:rFonts w:ascii="Cambria" w:hAnsi="Cambria"/>
        </w:rPr>
      </w:pPr>
      <w:r w:rsidRPr="00FD2E93">
        <w:rPr>
          <w:rFonts w:ascii="Cambria" w:hAnsi="Cambria"/>
        </w:rPr>
        <w:t>Regular reporting on national office work has increased accountability to Governing Bodies</w:t>
      </w:r>
    </w:p>
    <w:p w14:paraId="6DF6FF8D" w14:textId="77777777" w:rsidR="00C3276D" w:rsidRPr="00FD2E93" w:rsidRDefault="00C3276D" w:rsidP="00F55252">
      <w:pPr>
        <w:pStyle w:val="ListParagraph"/>
        <w:numPr>
          <w:ilvl w:val="0"/>
          <w:numId w:val="332"/>
        </w:numPr>
        <w:spacing w:line="259" w:lineRule="auto"/>
        <w:ind w:left="567" w:hanging="567"/>
        <w:rPr>
          <w:rFonts w:ascii="Cambria" w:hAnsi="Cambria"/>
        </w:rPr>
      </w:pPr>
      <w:r w:rsidRPr="00FD2E93">
        <w:rPr>
          <w:rFonts w:ascii="Cambria" w:hAnsi="Cambria"/>
        </w:rPr>
        <w:t>Holistic risk identification and mitigation strategy work done churchwide</w:t>
      </w:r>
    </w:p>
    <w:p w14:paraId="37B6A449" w14:textId="77777777" w:rsidR="00C3276D" w:rsidRPr="00FD2E93" w:rsidRDefault="00C3276D" w:rsidP="00F55252">
      <w:pPr>
        <w:pStyle w:val="ListParagraph"/>
        <w:numPr>
          <w:ilvl w:val="0"/>
          <w:numId w:val="332"/>
        </w:numPr>
        <w:spacing w:line="259" w:lineRule="auto"/>
        <w:ind w:left="567" w:hanging="567"/>
        <w:rPr>
          <w:rFonts w:ascii="Cambria" w:hAnsi="Cambria"/>
        </w:rPr>
      </w:pPr>
      <w:r w:rsidRPr="00FD2E93">
        <w:rPr>
          <w:rFonts w:ascii="Cambria" w:hAnsi="Cambria"/>
        </w:rPr>
        <w:t>Conflicts of Interest identified more comprehensively and documented</w:t>
      </w:r>
    </w:p>
    <w:p w14:paraId="74C949D3" w14:textId="77777777" w:rsidR="00C3276D" w:rsidRPr="00FD2E93" w:rsidRDefault="00C3276D" w:rsidP="00F55252">
      <w:pPr>
        <w:pStyle w:val="ListParagraph"/>
        <w:numPr>
          <w:ilvl w:val="0"/>
          <w:numId w:val="332"/>
        </w:numPr>
        <w:spacing w:line="259" w:lineRule="auto"/>
        <w:ind w:left="567" w:hanging="567"/>
        <w:rPr>
          <w:rFonts w:ascii="Cambria" w:hAnsi="Cambria"/>
        </w:rPr>
      </w:pPr>
      <w:r w:rsidRPr="00FD2E93">
        <w:rPr>
          <w:rFonts w:ascii="Cambria" w:hAnsi="Cambria"/>
        </w:rPr>
        <w:t>Clarity of contact points is allowing more churchwide focus in consultations, strategy, projects</w:t>
      </w:r>
    </w:p>
    <w:p w14:paraId="69222487" w14:textId="77777777" w:rsidR="00C3276D" w:rsidRPr="00FD2E93" w:rsidRDefault="00C3276D" w:rsidP="00F55252">
      <w:pPr>
        <w:pStyle w:val="ListParagraph"/>
        <w:numPr>
          <w:ilvl w:val="0"/>
          <w:numId w:val="332"/>
        </w:numPr>
        <w:spacing w:line="259" w:lineRule="auto"/>
        <w:ind w:left="567" w:hanging="567"/>
        <w:rPr>
          <w:rFonts w:ascii="Cambria" w:hAnsi="Cambria"/>
        </w:rPr>
      </w:pPr>
      <w:r w:rsidRPr="00FD2E93">
        <w:rPr>
          <w:rFonts w:ascii="Cambria" w:hAnsi="Cambria"/>
        </w:rPr>
        <w:t>Improved management and throughput of business in all Governing Bodies, including Synod resolutions, due to increased capacity in national office (now to be known as LCA Churchwide Services) and Committees; (analysis of throughput of Synod resolutions is demonstrated in Attachment 3)</w:t>
      </w:r>
    </w:p>
    <w:p w14:paraId="5DE03911" w14:textId="77777777" w:rsidR="00C3276D" w:rsidRPr="00FD2E93" w:rsidRDefault="00C3276D" w:rsidP="00F55252">
      <w:pPr>
        <w:pStyle w:val="ListParagraph"/>
        <w:numPr>
          <w:ilvl w:val="0"/>
          <w:numId w:val="332"/>
        </w:numPr>
        <w:spacing w:line="259" w:lineRule="auto"/>
        <w:ind w:left="567" w:hanging="567"/>
        <w:rPr>
          <w:rFonts w:ascii="Cambria" w:hAnsi="Cambria"/>
        </w:rPr>
      </w:pPr>
      <w:r w:rsidRPr="00FD2E93">
        <w:rPr>
          <w:rFonts w:ascii="Cambria" w:hAnsi="Cambria"/>
        </w:rPr>
        <w:lastRenderedPageBreak/>
        <w:t>Decisions of Governing Bodies achieving more throughput to action because of increased capacity at national office level</w:t>
      </w:r>
    </w:p>
    <w:p w14:paraId="7DFA1BD6" w14:textId="77777777" w:rsidR="00C3276D" w:rsidRPr="00FD2E93" w:rsidRDefault="00C3276D" w:rsidP="00F55252">
      <w:pPr>
        <w:pStyle w:val="ListParagraph"/>
        <w:numPr>
          <w:ilvl w:val="0"/>
          <w:numId w:val="332"/>
        </w:numPr>
        <w:spacing w:line="259" w:lineRule="auto"/>
        <w:ind w:left="567" w:hanging="567"/>
        <w:rPr>
          <w:rFonts w:ascii="Cambria" w:hAnsi="Cambria"/>
        </w:rPr>
      </w:pPr>
      <w:r w:rsidRPr="00FD2E93">
        <w:rPr>
          <w:rFonts w:ascii="Cambria" w:hAnsi="Cambria"/>
        </w:rPr>
        <w:t>Separation of the work of the interim Board for Local Mission into two committees: More hours now spent on Cross-Cultural Ministry resulting in improvements in accountability of grants, the development of resources, and the submission to the Federal Government’s discussion on strengthening immigrations laws</w:t>
      </w:r>
    </w:p>
    <w:p w14:paraId="7F0AD8B3" w14:textId="77777777" w:rsidR="00C3276D" w:rsidRPr="00FD2E93" w:rsidRDefault="00C3276D" w:rsidP="00F55252">
      <w:pPr>
        <w:pStyle w:val="ListParagraph"/>
        <w:numPr>
          <w:ilvl w:val="0"/>
          <w:numId w:val="332"/>
        </w:numPr>
        <w:spacing w:line="259" w:lineRule="auto"/>
        <w:ind w:left="567" w:hanging="567"/>
        <w:rPr>
          <w:rFonts w:ascii="Cambria" w:hAnsi="Cambria"/>
        </w:rPr>
      </w:pPr>
      <w:r w:rsidRPr="00FD2E93">
        <w:rPr>
          <w:rFonts w:ascii="Cambria" w:hAnsi="Cambria"/>
        </w:rPr>
        <w:t>Separation of the work of the interim Board for Local Mission into two committees: Allows more events to be planned and resources deployed to Cross-Cultural Ministry and New and Renewing Churches</w:t>
      </w:r>
    </w:p>
    <w:p w14:paraId="5E2843E3" w14:textId="77777777" w:rsidR="00C3276D" w:rsidRPr="00FD2E93" w:rsidRDefault="00C3276D" w:rsidP="00F55252">
      <w:pPr>
        <w:pStyle w:val="ListParagraph"/>
        <w:numPr>
          <w:ilvl w:val="0"/>
          <w:numId w:val="332"/>
        </w:numPr>
        <w:spacing w:line="259" w:lineRule="auto"/>
        <w:ind w:left="567" w:hanging="567"/>
        <w:rPr>
          <w:rFonts w:ascii="Cambria" w:hAnsi="Cambria"/>
        </w:rPr>
      </w:pPr>
      <w:r w:rsidRPr="00FD2E93">
        <w:rPr>
          <w:rFonts w:ascii="Cambria" w:hAnsi="Cambria"/>
        </w:rPr>
        <w:t xml:space="preserve">Moving to a Committee for Ministry with the Ageing (from the Board for Lutheran Aged Care Australia) has resulted in a mission and ministry focus </w:t>
      </w:r>
    </w:p>
    <w:p w14:paraId="49C134DB" w14:textId="77777777" w:rsidR="00C3276D" w:rsidRPr="00FD2E93" w:rsidRDefault="00C3276D" w:rsidP="00F55252">
      <w:pPr>
        <w:pStyle w:val="ListParagraph"/>
        <w:numPr>
          <w:ilvl w:val="0"/>
          <w:numId w:val="332"/>
        </w:numPr>
        <w:spacing w:line="259" w:lineRule="auto"/>
        <w:ind w:left="567" w:hanging="567"/>
        <w:rPr>
          <w:rFonts w:ascii="Cambria" w:hAnsi="Cambria"/>
        </w:rPr>
      </w:pPr>
      <w:r w:rsidRPr="00FD2E93">
        <w:rPr>
          <w:rFonts w:ascii="Cambria" w:hAnsi="Cambria"/>
        </w:rPr>
        <w:t>Development of a local mission management and department structure, and recruitment of an Executive Officer-Local Mission</w:t>
      </w:r>
    </w:p>
    <w:p w14:paraId="141583C9" w14:textId="77777777" w:rsidR="00C3276D" w:rsidRPr="00FD2E93" w:rsidRDefault="00C3276D" w:rsidP="00F55252">
      <w:pPr>
        <w:pStyle w:val="ListParagraph"/>
        <w:numPr>
          <w:ilvl w:val="0"/>
          <w:numId w:val="332"/>
        </w:numPr>
        <w:spacing w:line="259" w:lineRule="auto"/>
        <w:ind w:left="567" w:hanging="567"/>
        <w:rPr>
          <w:rFonts w:ascii="Cambria" w:hAnsi="Cambria"/>
        </w:rPr>
      </w:pPr>
      <w:r w:rsidRPr="00FD2E93">
        <w:rPr>
          <w:rFonts w:ascii="Cambria" w:hAnsi="Cambria"/>
        </w:rPr>
        <w:t>More joined up thinking – through the formation of a Local Mission Leadership Team and the holding of Local Mission staff meetings – leading to better cross-promotion, greater awareness of activities, active seeking of cooperation and partnerships</w:t>
      </w:r>
    </w:p>
    <w:p w14:paraId="186D81C6" w14:textId="2B380CA1" w:rsidR="00C3276D" w:rsidRPr="00FD2E93" w:rsidRDefault="00C3276D" w:rsidP="00F55252">
      <w:pPr>
        <w:pStyle w:val="ListParagraph"/>
        <w:numPr>
          <w:ilvl w:val="0"/>
          <w:numId w:val="332"/>
        </w:numPr>
        <w:spacing w:line="259" w:lineRule="auto"/>
        <w:ind w:left="567" w:hanging="567"/>
        <w:rPr>
          <w:rFonts w:ascii="Cambria" w:hAnsi="Cambria"/>
        </w:rPr>
      </w:pPr>
      <w:r w:rsidRPr="00FD2E93">
        <w:rPr>
          <w:rFonts w:ascii="Cambria" w:hAnsi="Cambria"/>
        </w:rPr>
        <w:t>Improved governance of Local Mission with improved advice from the Local Mission committees (</w:t>
      </w:r>
      <w:r w:rsidR="002A2396" w:rsidRPr="00FD2E93">
        <w:rPr>
          <w:rFonts w:ascii="Cambria" w:hAnsi="Cambria"/>
        </w:rPr>
        <w:t>e.g.</w:t>
      </w:r>
      <w:r w:rsidRPr="00FD2E93">
        <w:rPr>
          <w:rFonts w:ascii="Cambria" w:hAnsi="Cambria"/>
        </w:rPr>
        <w:t xml:space="preserve"> competency-based Board and committees; clarity re delegations of authority, development of policies and procedures which leads to improved practice)</w:t>
      </w:r>
    </w:p>
    <w:p w14:paraId="3C1854E8" w14:textId="77777777" w:rsidR="00C3276D" w:rsidRPr="00FD2E93" w:rsidRDefault="00C3276D" w:rsidP="00F55252">
      <w:pPr>
        <w:pStyle w:val="ListParagraph"/>
        <w:numPr>
          <w:ilvl w:val="0"/>
          <w:numId w:val="332"/>
        </w:numPr>
        <w:spacing w:line="259" w:lineRule="auto"/>
        <w:ind w:left="567" w:hanging="567"/>
        <w:rPr>
          <w:rFonts w:ascii="Cambria" w:hAnsi="Cambria"/>
        </w:rPr>
      </w:pPr>
      <w:r w:rsidRPr="00FD2E93">
        <w:rPr>
          <w:rFonts w:ascii="Cambria" w:hAnsi="Cambria"/>
        </w:rPr>
        <w:t>Board for Local Mission is developing a unifying Local Mission strategic direction which will inform the work of the local mission departments.</w:t>
      </w:r>
    </w:p>
    <w:p w14:paraId="5EFE04C6" w14:textId="77777777" w:rsidR="00C3276D" w:rsidRPr="00912E0C" w:rsidRDefault="00C3276D" w:rsidP="00C3276D">
      <w:pPr>
        <w:rPr>
          <w:rFonts w:ascii="Cambria" w:hAnsi="Cambria"/>
          <w:b/>
        </w:rPr>
      </w:pPr>
      <w:r w:rsidRPr="00912E0C">
        <w:rPr>
          <w:rFonts w:ascii="Cambria" w:hAnsi="Cambria"/>
          <w:b/>
        </w:rPr>
        <w:t>C2. Reported Achievements – Local Mission</w:t>
      </w:r>
    </w:p>
    <w:p w14:paraId="520A1BEF" w14:textId="2C7E6240" w:rsidR="00C3276D" w:rsidRPr="00FD2E93" w:rsidRDefault="00C3276D" w:rsidP="00F55252">
      <w:pPr>
        <w:pStyle w:val="ListParagraph"/>
        <w:numPr>
          <w:ilvl w:val="0"/>
          <w:numId w:val="333"/>
        </w:numPr>
        <w:spacing w:line="259" w:lineRule="auto"/>
        <w:ind w:left="567" w:hanging="567"/>
        <w:rPr>
          <w:rFonts w:ascii="Cambria" w:hAnsi="Cambria"/>
        </w:rPr>
      </w:pPr>
      <w:r w:rsidRPr="00FD2E93">
        <w:rPr>
          <w:rFonts w:ascii="Cambria" w:hAnsi="Cambria"/>
        </w:rPr>
        <w:t>Employment of Executive Officer-Local Mission (EOLM) has led to increased activity in Ministry with the Ageing (</w:t>
      </w:r>
      <w:r w:rsidR="002A2396" w:rsidRPr="00FD2E93">
        <w:rPr>
          <w:rFonts w:ascii="Cambria" w:hAnsi="Cambria"/>
        </w:rPr>
        <w:t>e.g.</w:t>
      </w:r>
      <w:r w:rsidRPr="00FD2E93">
        <w:rPr>
          <w:rFonts w:ascii="Cambria" w:hAnsi="Cambria"/>
        </w:rPr>
        <w:t xml:space="preserve"> improved communication through e-newsletter; One Loving God project on resourcing the ministry; speaking to Federal Government’s discussion on Elder Abuse; development of discussion papers; ability to assist re Aged Care governance review outcomes)</w:t>
      </w:r>
    </w:p>
    <w:p w14:paraId="68DE9143" w14:textId="482F32A2" w:rsidR="00C3276D" w:rsidRPr="00FD2E93" w:rsidRDefault="00C3276D" w:rsidP="00F55252">
      <w:pPr>
        <w:pStyle w:val="ListParagraph"/>
        <w:numPr>
          <w:ilvl w:val="0"/>
          <w:numId w:val="333"/>
        </w:numPr>
        <w:spacing w:line="259" w:lineRule="auto"/>
        <w:ind w:left="567" w:hanging="567"/>
        <w:rPr>
          <w:rFonts w:ascii="Cambria" w:hAnsi="Cambria"/>
        </w:rPr>
      </w:pPr>
      <w:r w:rsidRPr="00FD2E93">
        <w:rPr>
          <w:rFonts w:ascii="Cambria" w:hAnsi="Cambria"/>
        </w:rPr>
        <w:t>Employment of EOLM has led to increased activity in New and Renewing Churches (</w:t>
      </w:r>
      <w:r w:rsidR="002A2396" w:rsidRPr="00FD2E93">
        <w:rPr>
          <w:rFonts w:ascii="Cambria" w:hAnsi="Cambria"/>
        </w:rPr>
        <w:t>e.g.</w:t>
      </w:r>
      <w:r w:rsidRPr="00FD2E93">
        <w:rPr>
          <w:rFonts w:ascii="Cambria" w:hAnsi="Cambria"/>
        </w:rPr>
        <w:t xml:space="preserve"> feedback survey from conferences; improved accountability for grants, improved communication)</w:t>
      </w:r>
    </w:p>
    <w:p w14:paraId="3D77B7B1" w14:textId="49306F0F" w:rsidR="00C3276D" w:rsidRPr="00FD2E93" w:rsidRDefault="00C3276D" w:rsidP="00F55252">
      <w:pPr>
        <w:pStyle w:val="ListParagraph"/>
        <w:numPr>
          <w:ilvl w:val="0"/>
          <w:numId w:val="333"/>
        </w:numPr>
        <w:spacing w:line="259" w:lineRule="auto"/>
        <w:ind w:left="567" w:hanging="567"/>
        <w:rPr>
          <w:rFonts w:ascii="Cambria" w:hAnsi="Cambria"/>
        </w:rPr>
      </w:pPr>
      <w:r w:rsidRPr="00FD2E93">
        <w:rPr>
          <w:rFonts w:ascii="Cambria" w:hAnsi="Cambria"/>
        </w:rPr>
        <w:t>Employment of EOLM has led to increased activity in Cross-Cultural Ministry (</w:t>
      </w:r>
      <w:r w:rsidR="002A2396" w:rsidRPr="00FD2E93">
        <w:rPr>
          <w:rFonts w:ascii="Cambria" w:hAnsi="Cambria"/>
        </w:rPr>
        <w:t>e.g.</w:t>
      </w:r>
      <w:r w:rsidRPr="00FD2E93">
        <w:rPr>
          <w:rFonts w:ascii="Cambria" w:hAnsi="Cambria"/>
        </w:rPr>
        <w:t xml:space="preserve"> improved accountability documentation for grants; development of Cross-Cultural orientation booklet)</w:t>
      </w:r>
    </w:p>
    <w:p w14:paraId="34CEE0E9" w14:textId="77777777" w:rsidR="00C3276D" w:rsidRPr="00FD2E93" w:rsidRDefault="00C3276D" w:rsidP="00F55252">
      <w:pPr>
        <w:pStyle w:val="ListParagraph"/>
        <w:numPr>
          <w:ilvl w:val="0"/>
          <w:numId w:val="333"/>
        </w:numPr>
        <w:spacing w:line="259" w:lineRule="auto"/>
        <w:ind w:left="567" w:hanging="567"/>
        <w:rPr>
          <w:rFonts w:ascii="Cambria" w:hAnsi="Cambria"/>
        </w:rPr>
      </w:pPr>
      <w:r w:rsidRPr="00FD2E93">
        <w:rPr>
          <w:rFonts w:ascii="Cambria" w:hAnsi="Cambria"/>
        </w:rPr>
        <w:t>Shared resources and joint projects - examples include a joint project of Ministry with the Ageing and Lutheran Community Care SA/NT for ‘One Loving God’ resourcing project; and soon-to-begin projects between Australian Lutheran College and Cross-Cultural Ministry re cross-cultural unit/s and training, and a LCA immersion/study tour</w:t>
      </w:r>
    </w:p>
    <w:p w14:paraId="7F971BCA" w14:textId="0D4AB617" w:rsidR="00C3276D" w:rsidRPr="00FD2E93" w:rsidRDefault="00C3276D" w:rsidP="00F55252">
      <w:pPr>
        <w:pStyle w:val="ListParagraph"/>
        <w:numPr>
          <w:ilvl w:val="0"/>
          <w:numId w:val="333"/>
        </w:numPr>
        <w:spacing w:line="259" w:lineRule="auto"/>
        <w:ind w:left="567" w:hanging="567"/>
        <w:rPr>
          <w:rFonts w:ascii="Cambria" w:hAnsi="Cambria"/>
        </w:rPr>
      </w:pPr>
      <w:r w:rsidRPr="00FD2E93">
        <w:rPr>
          <w:rFonts w:ascii="Cambria" w:hAnsi="Cambria"/>
        </w:rPr>
        <w:t>Increased communication of Churchwide issues (</w:t>
      </w:r>
      <w:r w:rsidR="002A2396" w:rsidRPr="00FD2E93">
        <w:rPr>
          <w:rFonts w:ascii="Cambria" w:hAnsi="Cambria"/>
        </w:rPr>
        <w:t>e.g.</w:t>
      </w:r>
      <w:r w:rsidRPr="00FD2E93">
        <w:rPr>
          <w:rFonts w:ascii="Cambria" w:hAnsi="Cambria"/>
        </w:rPr>
        <w:t xml:space="preserve"> the Aged and Community Care governance consultations have led Ministry with the Ageing to develop a theological identity paper and are now working on a paper on multi-faith issues; the development of a Cross-Cultural Ministry orientation booklet)</w:t>
      </w:r>
    </w:p>
    <w:p w14:paraId="631209B8" w14:textId="77777777" w:rsidR="00C3276D" w:rsidRPr="00FD2E93" w:rsidRDefault="00C3276D" w:rsidP="00F55252">
      <w:pPr>
        <w:pStyle w:val="ListParagraph"/>
        <w:numPr>
          <w:ilvl w:val="0"/>
          <w:numId w:val="333"/>
        </w:numPr>
        <w:spacing w:line="259" w:lineRule="auto"/>
        <w:ind w:left="567" w:hanging="567"/>
        <w:rPr>
          <w:rFonts w:ascii="Cambria" w:hAnsi="Cambria"/>
        </w:rPr>
      </w:pPr>
      <w:r w:rsidRPr="00FD2E93">
        <w:rPr>
          <w:rFonts w:ascii="Cambria" w:hAnsi="Cambria"/>
        </w:rPr>
        <w:t xml:space="preserve">Increased communication of the work of New and Renewing Churches through the development of web and social media presence and the offering of training/conferences </w:t>
      </w:r>
    </w:p>
    <w:p w14:paraId="460BC311" w14:textId="77777777" w:rsidR="00C3276D" w:rsidRPr="00FD2E93" w:rsidRDefault="00C3276D" w:rsidP="00F55252">
      <w:pPr>
        <w:pStyle w:val="ListParagraph"/>
        <w:numPr>
          <w:ilvl w:val="0"/>
          <w:numId w:val="333"/>
        </w:numPr>
        <w:spacing w:line="259" w:lineRule="auto"/>
        <w:ind w:left="567" w:hanging="567"/>
        <w:rPr>
          <w:rFonts w:ascii="Cambria" w:hAnsi="Cambria"/>
        </w:rPr>
      </w:pPr>
      <w:r w:rsidRPr="00FD2E93">
        <w:rPr>
          <w:rFonts w:ascii="Cambria" w:hAnsi="Cambria"/>
        </w:rPr>
        <w:t>Development of theological identity for aged care facilities (the theological identity discussion paper together, with the outcomes of the One Loving God project, will lead to a framework for and resources to support the induction and formation of staff in Lutheran aged care and community services).</w:t>
      </w:r>
    </w:p>
    <w:p w14:paraId="4C473A3E" w14:textId="77777777" w:rsidR="00C3276D" w:rsidRPr="00FD2E93" w:rsidRDefault="00C3276D" w:rsidP="00C3276D">
      <w:pPr>
        <w:rPr>
          <w:rFonts w:ascii="Cambria" w:hAnsi="Cambria"/>
        </w:rPr>
      </w:pPr>
    </w:p>
    <w:p w14:paraId="639238E8" w14:textId="77777777" w:rsidR="00C3276D" w:rsidRPr="00912E0C" w:rsidRDefault="00C3276D" w:rsidP="00C3276D">
      <w:pPr>
        <w:rPr>
          <w:rFonts w:ascii="Cambria" w:hAnsi="Cambria"/>
          <w:b/>
        </w:rPr>
      </w:pPr>
      <w:r w:rsidRPr="00912E0C">
        <w:rPr>
          <w:rFonts w:ascii="Cambria" w:hAnsi="Cambria"/>
          <w:b/>
        </w:rPr>
        <w:lastRenderedPageBreak/>
        <w:t>C3. Reported Achievements – Communications Department</w:t>
      </w:r>
    </w:p>
    <w:p w14:paraId="7B9E1B0E" w14:textId="77777777" w:rsidR="00C3276D" w:rsidRPr="00FD2E93" w:rsidRDefault="00C3276D" w:rsidP="00C3276D">
      <w:pPr>
        <w:rPr>
          <w:rFonts w:ascii="Cambria" w:hAnsi="Cambria" w:cstheme="minorHAnsi"/>
          <w:lang w:val="en-US"/>
        </w:rPr>
      </w:pPr>
      <w:r w:rsidRPr="00FD2E93">
        <w:rPr>
          <w:rFonts w:ascii="Cambria" w:hAnsi="Cambria" w:cstheme="minorHAnsi"/>
          <w:lang w:val="en-US"/>
        </w:rPr>
        <w:t>Websites:</w:t>
      </w:r>
    </w:p>
    <w:p w14:paraId="7B80F52C" w14:textId="1CB1C4E8" w:rsidR="00C3276D" w:rsidRPr="00FD2E93" w:rsidRDefault="00C3276D" w:rsidP="00F55252">
      <w:pPr>
        <w:pStyle w:val="ListParagraph"/>
        <w:numPr>
          <w:ilvl w:val="0"/>
          <w:numId w:val="334"/>
        </w:numPr>
        <w:spacing w:line="259" w:lineRule="auto"/>
        <w:ind w:left="567" w:hanging="567"/>
        <w:rPr>
          <w:rFonts w:ascii="Cambria" w:hAnsi="Cambria" w:cstheme="minorHAnsi"/>
        </w:rPr>
      </w:pPr>
      <w:r w:rsidRPr="00FD2E93">
        <w:rPr>
          <w:rFonts w:ascii="Cambria" w:hAnsi="Cambria" w:cstheme="minorHAnsi"/>
        </w:rPr>
        <w:t>Roll-out of 566 auto-generated one-page congregation websites, a free service for congre</w:t>
      </w:r>
      <w:r w:rsidR="00E532DD">
        <w:rPr>
          <w:rFonts w:ascii="Cambria" w:hAnsi="Cambria" w:cstheme="minorHAnsi"/>
        </w:rPr>
        <w:t>gations (c</w:t>
      </w:r>
      <w:r w:rsidRPr="00FD2E93">
        <w:rPr>
          <w:rFonts w:ascii="Cambria" w:hAnsi="Cambria" w:cstheme="minorHAnsi"/>
        </w:rPr>
        <w:t>hurchwide integration website project: to achieve greater effectiveness, efficiency, functionality, useability, brand and message consistency).</w:t>
      </w:r>
    </w:p>
    <w:p w14:paraId="1D4A9A63" w14:textId="0F5DF601" w:rsidR="00C3276D" w:rsidRPr="00FD2E93" w:rsidRDefault="00E532DD" w:rsidP="00C3276D">
      <w:pPr>
        <w:rPr>
          <w:rFonts w:ascii="Cambria" w:hAnsi="Cambria" w:cstheme="minorHAnsi"/>
        </w:rPr>
      </w:pPr>
      <w:r>
        <w:rPr>
          <w:rFonts w:ascii="Cambria" w:hAnsi="Cambria" w:cstheme="minorHAnsi"/>
        </w:rPr>
        <w:t>e</w:t>
      </w:r>
      <w:r w:rsidR="00C3276D" w:rsidRPr="00FD2E93">
        <w:rPr>
          <w:rFonts w:ascii="Cambria" w:hAnsi="Cambria" w:cstheme="minorHAnsi"/>
        </w:rPr>
        <w:t>News:</w:t>
      </w:r>
    </w:p>
    <w:p w14:paraId="5211961D" w14:textId="77777777" w:rsidR="00C3276D" w:rsidRPr="00FD2E93" w:rsidRDefault="00C3276D" w:rsidP="00F55252">
      <w:pPr>
        <w:pStyle w:val="ListParagraph"/>
        <w:numPr>
          <w:ilvl w:val="0"/>
          <w:numId w:val="334"/>
        </w:numPr>
        <w:spacing w:line="259" w:lineRule="auto"/>
        <w:ind w:left="567" w:hanging="567"/>
        <w:rPr>
          <w:rFonts w:ascii="Cambria" w:hAnsi="Cambria" w:cstheme="minorHAnsi"/>
        </w:rPr>
      </w:pPr>
      <w:r w:rsidRPr="00FD2E93">
        <w:rPr>
          <w:rFonts w:ascii="Cambria" w:hAnsi="Cambria" w:cstheme="minorHAnsi"/>
        </w:rPr>
        <w:t>Consistent growth in requests for eNews services from departments and Districts (16 lists in 2014; 34 in 2017)</w:t>
      </w:r>
    </w:p>
    <w:p w14:paraId="07B8C1B0" w14:textId="77777777" w:rsidR="00C3276D" w:rsidRPr="00FD2E93" w:rsidRDefault="00C3276D" w:rsidP="00F55252">
      <w:pPr>
        <w:pStyle w:val="ListParagraph"/>
        <w:numPr>
          <w:ilvl w:val="0"/>
          <w:numId w:val="334"/>
        </w:numPr>
        <w:spacing w:line="259" w:lineRule="auto"/>
        <w:ind w:left="567" w:hanging="567"/>
        <w:rPr>
          <w:rFonts w:ascii="Cambria" w:hAnsi="Cambria" w:cstheme="minorHAnsi"/>
        </w:rPr>
      </w:pPr>
      <w:r w:rsidRPr="00FD2E93">
        <w:rPr>
          <w:rFonts w:ascii="Cambria" w:hAnsi="Cambria" w:cstheme="minorHAnsi"/>
        </w:rPr>
        <w:t>Upwards trend in voluntary subscribers to all lists</w:t>
      </w:r>
    </w:p>
    <w:p w14:paraId="55EB26AC" w14:textId="77777777" w:rsidR="00C3276D" w:rsidRPr="00FD2E93" w:rsidRDefault="00C3276D" w:rsidP="00F55252">
      <w:pPr>
        <w:pStyle w:val="ListParagraph"/>
        <w:numPr>
          <w:ilvl w:val="0"/>
          <w:numId w:val="334"/>
        </w:numPr>
        <w:spacing w:line="259" w:lineRule="auto"/>
        <w:ind w:left="567" w:hanging="567"/>
        <w:rPr>
          <w:rFonts w:ascii="Cambria" w:hAnsi="Cambria" w:cstheme="minorHAnsi"/>
        </w:rPr>
      </w:pPr>
      <w:r w:rsidRPr="00FD2E93">
        <w:rPr>
          <w:rFonts w:ascii="Cambria" w:hAnsi="Cambria" w:cstheme="minorHAnsi"/>
        </w:rPr>
        <w:t>Extremely low (&lt;0.3%) unsubscribe rate</w:t>
      </w:r>
    </w:p>
    <w:p w14:paraId="393774FE" w14:textId="77777777" w:rsidR="00C3276D" w:rsidRPr="00FD2E93" w:rsidRDefault="00C3276D" w:rsidP="00F55252">
      <w:pPr>
        <w:pStyle w:val="ListParagraph"/>
        <w:numPr>
          <w:ilvl w:val="0"/>
          <w:numId w:val="334"/>
        </w:numPr>
        <w:spacing w:line="259" w:lineRule="auto"/>
        <w:ind w:left="567" w:hanging="567"/>
        <w:rPr>
          <w:rFonts w:ascii="Cambria" w:hAnsi="Cambria" w:cstheme="minorHAnsi"/>
        </w:rPr>
      </w:pPr>
      <w:r w:rsidRPr="00FD2E93">
        <w:rPr>
          <w:rFonts w:ascii="Cambria" w:hAnsi="Cambria" w:cstheme="minorHAnsi"/>
        </w:rPr>
        <w:t>Dramatic spikes in website traffic as a direct result of weekly and fortnightly eNews</w:t>
      </w:r>
    </w:p>
    <w:p w14:paraId="1F900C51" w14:textId="77777777" w:rsidR="00C3276D" w:rsidRPr="00FD2E93" w:rsidRDefault="00C3276D" w:rsidP="00F55252">
      <w:pPr>
        <w:pStyle w:val="ListParagraph"/>
        <w:numPr>
          <w:ilvl w:val="0"/>
          <w:numId w:val="334"/>
        </w:numPr>
        <w:spacing w:line="259" w:lineRule="auto"/>
        <w:ind w:left="567" w:hanging="567"/>
        <w:rPr>
          <w:rFonts w:ascii="Cambria" w:hAnsi="Cambria" w:cstheme="minorHAnsi"/>
        </w:rPr>
      </w:pPr>
      <w:r w:rsidRPr="009A5284">
        <w:rPr>
          <w:rFonts w:ascii="Cambria" w:hAnsi="Cambria" w:cstheme="minorHAnsi"/>
        </w:rPr>
        <w:t>Increased response to employment and</w:t>
      </w:r>
      <w:r w:rsidRPr="00FD2E93">
        <w:rPr>
          <w:rFonts w:ascii="Cambria" w:hAnsi="Cambria" w:cstheme="minorHAnsi"/>
        </w:rPr>
        <w:t xml:space="preserve"> volunteer vacancies as a result of eNews advertising.</w:t>
      </w:r>
    </w:p>
    <w:p w14:paraId="7435434F" w14:textId="77777777" w:rsidR="00C3276D" w:rsidRPr="00FD2E93" w:rsidRDefault="00C3276D" w:rsidP="00C3276D">
      <w:pPr>
        <w:rPr>
          <w:rFonts w:ascii="Cambria" w:hAnsi="Cambria" w:cstheme="minorHAnsi"/>
        </w:rPr>
      </w:pPr>
      <w:r w:rsidRPr="00FD2E93">
        <w:rPr>
          <w:rFonts w:ascii="Cambria" w:hAnsi="Cambria" w:cstheme="minorHAnsi"/>
        </w:rPr>
        <w:t>Social Media:</w:t>
      </w:r>
    </w:p>
    <w:p w14:paraId="3A641D45" w14:textId="77777777" w:rsidR="00C3276D" w:rsidRPr="00FD2E93" w:rsidRDefault="00C3276D" w:rsidP="009A5284">
      <w:pPr>
        <w:pStyle w:val="ListParagraph"/>
        <w:numPr>
          <w:ilvl w:val="0"/>
          <w:numId w:val="334"/>
        </w:numPr>
        <w:spacing w:line="259" w:lineRule="auto"/>
        <w:ind w:left="567" w:hanging="567"/>
        <w:rPr>
          <w:rFonts w:ascii="Cambria" w:hAnsi="Cambria" w:cstheme="minorHAnsi"/>
        </w:rPr>
      </w:pPr>
      <w:r w:rsidRPr="00FD2E93">
        <w:rPr>
          <w:rFonts w:ascii="Cambria" w:hAnsi="Cambria" w:cstheme="minorHAnsi"/>
        </w:rPr>
        <w:t>Steady and consistent growth in social media engagement</w:t>
      </w:r>
    </w:p>
    <w:p w14:paraId="2DC3A560" w14:textId="77777777" w:rsidR="00C3276D" w:rsidRPr="00FD2E93" w:rsidRDefault="00C3276D" w:rsidP="009A5284">
      <w:pPr>
        <w:pStyle w:val="ListParagraph"/>
        <w:numPr>
          <w:ilvl w:val="0"/>
          <w:numId w:val="334"/>
        </w:numPr>
        <w:spacing w:line="259" w:lineRule="auto"/>
        <w:ind w:left="567" w:hanging="567"/>
        <w:rPr>
          <w:rFonts w:ascii="Cambria" w:hAnsi="Cambria" w:cstheme="minorHAnsi"/>
        </w:rPr>
      </w:pPr>
      <w:r w:rsidRPr="00FD2E93">
        <w:rPr>
          <w:rFonts w:ascii="Cambria" w:hAnsi="Cambria" w:cstheme="minorHAnsi"/>
        </w:rPr>
        <w:t>Facebook page is attracting a younger demographic than our traditional media channels do</w:t>
      </w:r>
    </w:p>
    <w:p w14:paraId="45AC2E63" w14:textId="77777777" w:rsidR="00C3276D" w:rsidRPr="00FD2E93" w:rsidRDefault="00C3276D" w:rsidP="009A5284">
      <w:pPr>
        <w:pStyle w:val="ListParagraph"/>
        <w:numPr>
          <w:ilvl w:val="0"/>
          <w:numId w:val="334"/>
        </w:numPr>
        <w:spacing w:line="259" w:lineRule="auto"/>
        <w:ind w:left="567" w:hanging="567"/>
        <w:rPr>
          <w:rFonts w:ascii="Cambria" w:hAnsi="Cambria" w:cstheme="minorHAnsi"/>
        </w:rPr>
      </w:pPr>
      <w:r w:rsidRPr="00FD2E93">
        <w:rPr>
          <w:rFonts w:ascii="Cambria" w:hAnsi="Cambria" w:cstheme="minorHAnsi"/>
        </w:rPr>
        <w:t>Best-practice for organisation social media presence is used, which helps to shape churchwide policy and procedures.</w:t>
      </w:r>
    </w:p>
    <w:p w14:paraId="797C75FC" w14:textId="77777777" w:rsidR="00C3276D" w:rsidRPr="00FD2E93" w:rsidRDefault="00C3276D" w:rsidP="00C3276D">
      <w:pPr>
        <w:rPr>
          <w:rFonts w:ascii="Cambria" w:hAnsi="Cambria" w:cstheme="minorHAnsi"/>
        </w:rPr>
      </w:pPr>
      <w:r w:rsidRPr="00FD2E93">
        <w:rPr>
          <w:rFonts w:ascii="Cambria" w:hAnsi="Cambria" w:cstheme="minorHAnsi"/>
        </w:rPr>
        <w:t>Communication Services:</w:t>
      </w:r>
    </w:p>
    <w:p w14:paraId="36C74593" w14:textId="33EEE9FE" w:rsidR="00C3276D" w:rsidRPr="00FD2E93" w:rsidRDefault="00C3276D" w:rsidP="009A5284">
      <w:pPr>
        <w:pStyle w:val="ListParagraph"/>
        <w:numPr>
          <w:ilvl w:val="0"/>
          <w:numId w:val="334"/>
        </w:numPr>
        <w:spacing w:line="259" w:lineRule="auto"/>
        <w:ind w:left="567" w:hanging="567"/>
        <w:rPr>
          <w:rFonts w:ascii="Cambria" w:hAnsi="Cambria" w:cstheme="minorHAnsi"/>
        </w:rPr>
      </w:pPr>
      <w:r w:rsidRPr="00FD2E93">
        <w:rPr>
          <w:rFonts w:ascii="Cambria" w:hAnsi="Cambria" w:cstheme="minorHAnsi"/>
        </w:rPr>
        <w:t>Consistent growth in service demand every year since establis</w:t>
      </w:r>
      <w:r w:rsidR="00E532DD">
        <w:rPr>
          <w:rFonts w:ascii="Cambria" w:hAnsi="Cambria" w:cstheme="minorHAnsi"/>
        </w:rPr>
        <w:t>hment of the unit (2014; a d</w:t>
      </w:r>
      <w:r w:rsidRPr="00FD2E93">
        <w:rPr>
          <w:rFonts w:ascii="Cambria" w:hAnsi="Cambria" w:cstheme="minorHAnsi"/>
        </w:rPr>
        <w:t>epartment as of 2015)</w:t>
      </w:r>
    </w:p>
    <w:p w14:paraId="15C4EA27" w14:textId="31E27ACC" w:rsidR="00C3276D" w:rsidRPr="00FD2E93" w:rsidRDefault="00C3276D" w:rsidP="009A5284">
      <w:pPr>
        <w:pStyle w:val="ListParagraph"/>
        <w:numPr>
          <w:ilvl w:val="0"/>
          <w:numId w:val="334"/>
        </w:numPr>
        <w:spacing w:line="259" w:lineRule="auto"/>
        <w:ind w:left="567" w:hanging="567"/>
        <w:rPr>
          <w:rFonts w:ascii="Cambria" w:hAnsi="Cambria" w:cstheme="minorHAnsi"/>
        </w:rPr>
      </w:pPr>
      <w:r w:rsidRPr="00FD2E93">
        <w:rPr>
          <w:rFonts w:ascii="Cambria" w:hAnsi="Cambria" w:cstheme="minorHAnsi"/>
        </w:rPr>
        <w:t>All LCA departments and districts now using Communications Department services; increasing requests being received from congregations</w:t>
      </w:r>
      <w:r w:rsidR="00E532DD">
        <w:rPr>
          <w:rFonts w:ascii="Cambria" w:hAnsi="Cambria" w:cstheme="minorHAnsi"/>
        </w:rPr>
        <w:t>.</w:t>
      </w:r>
    </w:p>
    <w:p w14:paraId="3E57942A" w14:textId="77777777" w:rsidR="00C3276D" w:rsidRPr="00FD2E93" w:rsidRDefault="00C3276D" w:rsidP="00C3276D">
      <w:pPr>
        <w:rPr>
          <w:rFonts w:ascii="Cambria" w:hAnsi="Cambria" w:cstheme="minorHAnsi"/>
        </w:rPr>
      </w:pPr>
      <w:r w:rsidRPr="00FD2E93">
        <w:rPr>
          <w:rFonts w:ascii="Cambria" w:hAnsi="Cambria" w:cstheme="minorHAnsi"/>
        </w:rPr>
        <w:t>Branding:</w:t>
      </w:r>
    </w:p>
    <w:p w14:paraId="40DBD95D" w14:textId="77777777" w:rsidR="00C3276D" w:rsidRPr="00FD2E93" w:rsidRDefault="00C3276D" w:rsidP="009A5284">
      <w:pPr>
        <w:pStyle w:val="ListParagraph"/>
        <w:numPr>
          <w:ilvl w:val="0"/>
          <w:numId w:val="334"/>
        </w:numPr>
        <w:spacing w:line="259" w:lineRule="auto"/>
        <w:ind w:left="567" w:hanging="567"/>
        <w:rPr>
          <w:rFonts w:ascii="Cambria" w:hAnsi="Cambria" w:cstheme="minorHAnsi"/>
        </w:rPr>
      </w:pPr>
      <w:r w:rsidRPr="00FD2E93">
        <w:rPr>
          <w:rFonts w:ascii="Cambria" w:hAnsi="Cambria" w:cstheme="minorHAnsi"/>
        </w:rPr>
        <w:t>Increased standardisation in overall branding (LCA logo, tagline and messaging) across the church, adding to sense of unity and professionalism.</w:t>
      </w:r>
    </w:p>
    <w:p w14:paraId="0E7A2978" w14:textId="77777777" w:rsidR="00C3276D" w:rsidRPr="00912E0C" w:rsidRDefault="00C3276D" w:rsidP="00C3276D">
      <w:pPr>
        <w:rPr>
          <w:rFonts w:ascii="Cambria" w:hAnsi="Cambria"/>
          <w:b/>
        </w:rPr>
      </w:pPr>
      <w:r w:rsidRPr="00912E0C">
        <w:rPr>
          <w:rFonts w:ascii="Cambria" w:hAnsi="Cambria" w:cstheme="minorHAnsi"/>
          <w:b/>
        </w:rPr>
        <w:t xml:space="preserve">C4.  </w:t>
      </w:r>
      <w:r w:rsidRPr="00912E0C">
        <w:rPr>
          <w:rFonts w:ascii="Cambria" w:hAnsi="Cambria"/>
          <w:b/>
        </w:rPr>
        <w:t>Reported Achievements – Church Worker Support Department</w:t>
      </w:r>
    </w:p>
    <w:p w14:paraId="7F958681" w14:textId="77777777" w:rsidR="00C3276D" w:rsidRPr="00FD2E93" w:rsidRDefault="00C3276D" w:rsidP="00912E0C">
      <w:pPr>
        <w:pStyle w:val="ListParagraph"/>
        <w:numPr>
          <w:ilvl w:val="0"/>
          <w:numId w:val="335"/>
        </w:numPr>
        <w:spacing w:line="259" w:lineRule="auto"/>
        <w:ind w:left="567" w:hanging="567"/>
        <w:rPr>
          <w:rFonts w:ascii="Cambria" w:hAnsi="Cambria"/>
        </w:rPr>
      </w:pPr>
      <w:r w:rsidRPr="00FD2E93">
        <w:rPr>
          <w:rFonts w:ascii="Cambria" w:hAnsi="Cambria"/>
        </w:rPr>
        <w:t xml:space="preserve">Increasing links established across all entities with Church Worker Support Department </w:t>
      </w:r>
    </w:p>
    <w:p w14:paraId="2655FF9F" w14:textId="77777777" w:rsidR="00C3276D" w:rsidRPr="00FD2E93" w:rsidRDefault="00C3276D" w:rsidP="00912E0C">
      <w:pPr>
        <w:pStyle w:val="ListParagraph"/>
        <w:numPr>
          <w:ilvl w:val="0"/>
          <w:numId w:val="335"/>
        </w:numPr>
        <w:spacing w:line="259" w:lineRule="auto"/>
        <w:ind w:left="567" w:hanging="567"/>
        <w:rPr>
          <w:rFonts w:ascii="Cambria" w:hAnsi="Cambria"/>
        </w:rPr>
      </w:pPr>
      <w:r w:rsidRPr="00FD2E93">
        <w:rPr>
          <w:rFonts w:ascii="Cambria" w:hAnsi="Cambria"/>
        </w:rPr>
        <w:t xml:space="preserve">The recognition of coverage and management of all Church Workers (Pastors, Lay Workers, other Employees and Volunteers) has resulted in increased dialogue, increasing consistency of current policy application and practice, greater understanding of compliance issues and awareness of other issues that are emerging across the LCA (for example incidence of mental health issues) </w:t>
      </w:r>
    </w:p>
    <w:p w14:paraId="4C3C3ADF" w14:textId="79345F3C" w:rsidR="00C3276D" w:rsidRPr="00FD2E93" w:rsidRDefault="00C3276D" w:rsidP="00912E0C">
      <w:pPr>
        <w:pStyle w:val="ListParagraph"/>
        <w:numPr>
          <w:ilvl w:val="0"/>
          <w:numId w:val="335"/>
        </w:numPr>
        <w:spacing w:line="259" w:lineRule="auto"/>
        <w:ind w:left="567" w:hanging="567"/>
        <w:rPr>
          <w:rFonts w:ascii="Cambria" w:hAnsi="Cambria"/>
        </w:rPr>
      </w:pPr>
      <w:r w:rsidRPr="00FD2E93">
        <w:rPr>
          <w:rFonts w:ascii="Cambria" w:hAnsi="Cambria"/>
        </w:rPr>
        <w:t>Improved and increased relationship development, in particular with College of Bishops, District Administrators, Local Mission, LEA and other Ministry Support Functions (</w:t>
      </w:r>
      <w:r w:rsidR="002A2396" w:rsidRPr="00FD2E93">
        <w:rPr>
          <w:rFonts w:ascii="Cambria" w:hAnsi="Cambria"/>
        </w:rPr>
        <w:t>i.e.</w:t>
      </w:r>
      <w:r w:rsidRPr="00FD2E93">
        <w:rPr>
          <w:rFonts w:ascii="Cambria" w:hAnsi="Cambria"/>
        </w:rPr>
        <w:t xml:space="preserve"> PSD, Communications, Finance and Admin)</w:t>
      </w:r>
    </w:p>
    <w:p w14:paraId="3DAB5B1F" w14:textId="77777777" w:rsidR="00C3276D" w:rsidRPr="00FD2E93" w:rsidRDefault="00C3276D" w:rsidP="00912E0C">
      <w:pPr>
        <w:pStyle w:val="ListParagraph"/>
        <w:numPr>
          <w:ilvl w:val="0"/>
          <w:numId w:val="335"/>
        </w:numPr>
        <w:spacing w:line="259" w:lineRule="auto"/>
        <w:ind w:left="567" w:hanging="567"/>
        <w:rPr>
          <w:rFonts w:ascii="Cambria" w:hAnsi="Cambria"/>
        </w:rPr>
      </w:pPr>
      <w:r w:rsidRPr="00FD2E93">
        <w:rPr>
          <w:rFonts w:ascii="Cambria" w:hAnsi="Cambria"/>
        </w:rPr>
        <w:t>Reduced rework or duplication of work (expected savings to workloads of District Bishops, District Offices in timeframe of 3-5 years)</w:t>
      </w:r>
    </w:p>
    <w:p w14:paraId="71D3937E" w14:textId="643B4472" w:rsidR="00C3276D" w:rsidRPr="00FD2E93" w:rsidRDefault="00C3276D" w:rsidP="00912E0C">
      <w:pPr>
        <w:pStyle w:val="ListParagraph"/>
        <w:numPr>
          <w:ilvl w:val="0"/>
          <w:numId w:val="335"/>
        </w:numPr>
        <w:spacing w:line="259" w:lineRule="auto"/>
        <w:ind w:left="567" w:hanging="567"/>
        <w:rPr>
          <w:rFonts w:ascii="Cambria" w:hAnsi="Cambria"/>
        </w:rPr>
      </w:pPr>
      <w:r w:rsidRPr="00FD2E93">
        <w:rPr>
          <w:rFonts w:ascii="Cambria" w:hAnsi="Cambria"/>
        </w:rPr>
        <w:t>Increased scope of work for HR/ people management within CWS than previously undertaken by Lay Ministry Department - increasingly providing support to Congregational and District Leadership (</w:t>
      </w:r>
      <w:r w:rsidR="002A2396" w:rsidRPr="00FD2E93">
        <w:rPr>
          <w:rFonts w:ascii="Cambria" w:hAnsi="Cambria"/>
        </w:rPr>
        <w:t>e.g.</w:t>
      </w:r>
      <w:r w:rsidRPr="00FD2E93">
        <w:rPr>
          <w:rFonts w:ascii="Cambria" w:hAnsi="Cambria"/>
        </w:rPr>
        <w:t xml:space="preserve"> Congregational and Board Chairpersons, Bishops and Administrators) for all Church Worker service types in the Church</w:t>
      </w:r>
    </w:p>
    <w:p w14:paraId="5CCE43CE" w14:textId="77777777" w:rsidR="00C3276D" w:rsidRPr="00FD2E93" w:rsidRDefault="00C3276D" w:rsidP="00912E0C">
      <w:pPr>
        <w:pStyle w:val="ListParagraph"/>
        <w:numPr>
          <w:ilvl w:val="0"/>
          <w:numId w:val="335"/>
        </w:numPr>
        <w:spacing w:line="259" w:lineRule="auto"/>
        <w:ind w:left="567" w:hanging="567"/>
        <w:rPr>
          <w:rFonts w:ascii="Cambria" w:hAnsi="Cambria"/>
        </w:rPr>
      </w:pPr>
      <w:r w:rsidRPr="00FD2E93">
        <w:rPr>
          <w:rFonts w:ascii="Cambria" w:hAnsi="Cambria"/>
        </w:rPr>
        <w:lastRenderedPageBreak/>
        <w:t>Increased resource development, including resources for congregations – for example, induction handbook template, template position descriptions, performance development framework and guidelines</w:t>
      </w:r>
    </w:p>
    <w:p w14:paraId="700C1990" w14:textId="77777777" w:rsidR="00C3276D" w:rsidRPr="00FD2E93" w:rsidRDefault="00C3276D" w:rsidP="00912E0C">
      <w:pPr>
        <w:pStyle w:val="ListParagraph"/>
        <w:numPr>
          <w:ilvl w:val="0"/>
          <w:numId w:val="335"/>
        </w:numPr>
        <w:spacing w:line="259" w:lineRule="auto"/>
        <w:ind w:left="567" w:hanging="567"/>
        <w:rPr>
          <w:rFonts w:ascii="Cambria" w:hAnsi="Cambria"/>
        </w:rPr>
      </w:pPr>
      <w:r w:rsidRPr="00FD2E93">
        <w:rPr>
          <w:rFonts w:ascii="Cambria" w:hAnsi="Cambria"/>
        </w:rPr>
        <w:t>Reduced staff turnover due to improved local practice as a result of engagement between CWS and local congregations (likely to be realised over longer term but current trend shows slight reduction in 2017 compared to 2015 and 2016)</w:t>
      </w:r>
    </w:p>
    <w:p w14:paraId="1B3DA073" w14:textId="77777777" w:rsidR="00C3276D" w:rsidRPr="00FD2E93" w:rsidRDefault="00C3276D" w:rsidP="00912E0C">
      <w:pPr>
        <w:pStyle w:val="ListParagraph"/>
        <w:numPr>
          <w:ilvl w:val="0"/>
          <w:numId w:val="335"/>
        </w:numPr>
        <w:spacing w:line="259" w:lineRule="auto"/>
        <w:ind w:left="567" w:hanging="567"/>
        <w:rPr>
          <w:rFonts w:ascii="Cambria" w:hAnsi="Cambria"/>
        </w:rPr>
      </w:pPr>
      <w:r w:rsidRPr="00FD2E93">
        <w:rPr>
          <w:rFonts w:ascii="Cambria" w:hAnsi="Cambria"/>
        </w:rPr>
        <w:t>Accelerated policy development in CWS/HR area:  Overarching Policy and Framework and initial sub polices endorsed by GCC (1/2018) which will pave the way for accelerated policy development and accompanying guidelines; communication and discussion stage imminent</w:t>
      </w:r>
    </w:p>
    <w:p w14:paraId="26412E6D" w14:textId="77777777" w:rsidR="00C3276D" w:rsidRPr="00FD2E93" w:rsidRDefault="00C3276D" w:rsidP="00912E0C">
      <w:pPr>
        <w:pStyle w:val="ListParagraph"/>
        <w:numPr>
          <w:ilvl w:val="0"/>
          <w:numId w:val="335"/>
        </w:numPr>
        <w:spacing w:line="259" w:lineRule="auto"/>
        <w:ind w:left="567" w:hanging="567"/>
        <w:rPr>
          <w:rFonts w:ascii="Cambria" w:hAnsi="Cambria"/>
        </w:rPr>
      </w:pPr>
      <w:r w:rsidRPr="00FD2E93">
        <w:rPr>
          <w:rFonts w:ascii="Cambria" w:hAnsi="Cambria"/>
        </w:rPr>
        <w:t>Consistent interpretation of existing policy and practices and in line with LCA and legislative requirements</w:t>
      </w:r>
    </w:p>
    <w:p w14:paraId="2D9ECC7D" w14:textId="77777777" w:rsidR="00C3276D" w:rsidRPr="00FD2E93" w:rsidRDefault="00C3276D" w:rsidP="00912E0C">
      <w:pPr>
        <w:pStyle w:val="ListParagraph"/>
        <w:numPr>
          <w:ilvl w:val="0"/>
          <w:numId w:val="335"/>
        </w:numPr>
        <w:spacing w:line="259" w:lineRule="auto"/>
        <w:ind w:left="567" w:hanging="567"/>
        <w:rPr>
          <w:rFonts w:ascii="Cambria" w:hAnsi="Cambria"/>
        </w:rPr>
      </w:pPr>
      <w:r w:rsidRPr="00FD2E93">
        <w:rPr>
          <w:rFonts w:ascii="Cambria" w:hAnsi="Cambria"/>
        </w:rPr>
        <w:t>Increased support of congregations with Industrial Relations matters (including redundancies, award interpretation) resulting in improved outcomes for individuals involved and for congregations/LCA entities through improved risk mitigation and identification of support needs for all affected parties</w:t>
      </w:r>
    </w:p>
    <w:p w14:paraId="4017966D" w14:textId="77777777" w:rsidR="00C3276D" w:rsidRPr="00FD2E93" w:rsidRDefault="00C3276D" w:rsidP="00912E0C">
      <w:pPr>
        <w:pStyle w:val="ListParagraph"/>
        <w:numPr>
          <w:ilvl w:val="0"/>
          <w:numId w:val="335"/>
        </w:numPr>
        <w:spacing w:line="259" w:lineRule="auto"/>
        <w:ind w:left="567" w:hanging="567"/>
        <w:rPr>
          <w:rFonts w:ascii="Cambria" w:hAnsi="Cambria"/>
        </w:rPr>
      </w:pPr>
      <w:r w:rsidRPr="00FD2E93">
        <w:rPr>
          <w:rFonts w:ascii="Cambria" w:hAnsi="Cambria"/>
        </w:rPr>
        <w:t>Built deeper and more strategic engagement with ALC (beyond that with Grassroots) to support and promote ALC</w:t>
      </w:r>
    </w:p>
    <w:p w14:paraId="63F2A438" w14:textId="68C5121F" w:rsidR="00C3276D" w:rsidRPr="00FD2E93" w:rsidRDefault="00C3276D" w:rsidP="00912E0C">
      <w:pPr>
        <w:pStyle w:val="ListParagraph"/>
        <w:numPr>
          <w:ilvl w:val="0"/>
          <w:numId w:val="335"/>
        </w:numPr>
        <w:spacing w:line="259" w:lineRule="auto"/>
        <w:ind w:left="567" w:hanging="567"/>
        <w:rPr>
          <w:rFonts w:ascii="Cambria" w:hAnsi="Cambria"/>
        </w:rPr>
      </w:pPr>
      <w:r w:rsidRPr="00FD2E93">
        <w:rPr>
          <w:rFonts w:ascii="Cambria" w:hAnsi="Cambria"/>
        </w:rPr>
        <w:t>Initiated contact with LCA Schools to improve awareness in schools of career, service and study opportunities within the LCA in collaboration with ALC, and local entities (</w:t>
      </w:r>
      <w:r w:rsidR="00912E0C" w:rsidRPr="00FD2E93">
        <w:rPr>
          <w:rFonts w:ascii="Cambria" w:hAnsi="Cambria"/>
        </w:rPr>
        <w:t>e.g.</w:t>
      </w:r>
      <w:r w:rsidRPr="00FD2E93">
        <w:rPr>
          <w:rFonts w:ascii="Cambria" w:hAnsi="Cambria"/>
        </w:rPr>
        <w:t>, LCC, LYQ, LS and LDS) – including development of resources and school visits</w:t>
      </w:r>
    </w:p>
    <w:p w14:paraId="6E92E344" w14:textId="77777777" w:rsidR="00C3276D" w:rsidRPr="00FD2E93" w:rsidRDefault="00C3276D" w:rsidP="00912E0C">
      <w:pPr>
        <w:pStyle w:val="ListParagraph"/>
        <w:numPr>
          <w:ilvl w:val="0"/>
          <w:numId w:val="335"/>
        </w:numPr>
        <w:spacing w:line="259" w:lineRule="auto"/>
        <w:ind w:left="567" w:hanging="567"/>
        <w:rPr>
          <w:rFonts w:ascii="Cambria" w:hAnsi="Cambria"/>
        </w:rPr>
      </w:pPr>
      <w:r w:rsidRPr="00FD2E93">
        <w:rPr>
          <w:rFonts w:ascii="Cambria" w:hAnsi="Cambria"/>
        </w:rPr>
        <w:t>Providing resources and ongoing support to the Continuing Education for Pastors Program, in particular to the Coordinator and through ALC</w:t>
      </w:r>
    </w:p>
    <w:p w14:paraId="14258943" w14:textId="77777777" w:rsidR="00C3276D" w:rsidRPr="00FD2E93" w:rsidRDefault="00C3276D" w:rsidP="00912E0C">
      <w:pPr>
        <w:pStyle w:val="ListParagraph"/>
        <w:numPr>
          <w:ilvl w:val="0"/>
          <w:numId w:val="335"/>
        </w:numPr>
        <w:spacing w:line="259" w:lineRule="auto"/>
        <w:ind w:left="567" w:hanging="567"/>
        <w:rPr>
          <w:rFonts w:ascii="Cambria" w:hAnsi="Cambria"/>
        </w:rPr>
      </w:pPr>
      <w:r w:rsidRPr="00FD2E93">
        <w:rPr>
          <w:rFonts w:ascii="Cambria" w:hAnsi="Cambria"/>
        </w:rPr>
        <w:t>Planned congregational visits to support local leadership have commenced and the aim is to visit every congregation over next 3 years.</w:t>
      </w:r>
    </w:p>
    <w:p w14:paraId="7F0F95FE" w14:textId="77777777" w:rsidR="00C3276D" w:rsidRPr="00912E0C" w:rsidRDefault="00C3276D" w:rsidP="00C3276D">
      <w:pPr>
        <w:rPr>
          <w:rFonts w:ascii="Cambria" w:hAnsi="Cambria" w:cstheme="minorHAnsi"/>
          <w:b/>
        </w:rPr>
      </w:pPr>
      <w:r w:rsidRPr="00912E0C">
        <w:rPr>
          <w:rFonts w:ascii="Cambria" w:hAnsi="Cambria" w:cstheme="minorHAnsi"/>
          <w:b/>
        </w:rPr>
        <w:t>C5. Reported Achievements – Finance and Administration Department</w:t>
      </w:r>
    </w:p>
    <w:p w14:paraId="13FA3C7E" w14:textId="09A22584" w:rsidR="00C3276D" w:rsidRPr="00FD2E93" w:rsidRDefault="00C3276D" w:rsidP="00912E0C">
      <w:pPr>
        <w:pStyle w:val="ListParagraph"/>
        <w:numPr>
          <w:ilvl w:val="0"/>
          <w:numId w:val="336"/>
        </w:numPr>
        <w:spacing w:line="259" w:lineRule="auto"/>
        <w:ind w:left="567" w:hanging="567"/>
        <w:rPr>
          <w:rFonts w:ascii="Cambria" w:hAnsi="Cambria"/>
        </w:rPr>
      </w:pPr>
      <w:r w:rsidRPr="00FD2E93">
        <w:rPr>
          <w:rFonts w:ascii="Cambria" w:hAnsi="Cambria"/>
        </w:rPr>
        <w:t xml:space="preserve">Increased reach of central finance and administration services, implemented via HRS system (though HRS not itself an outcome of 2015 Synod) </w:t>
      </w:r>
      <w:r w:rsidR="00912E0C" w:rsidRPr="00FD2E93">
        <w:rPr>
          <w:rFonts w:ascii="Cambria" w:hAnsi="Cambria"/>
        </w:rPr>
        <w:t>e.g.</w:t>
      </w:r>
      <w:r w:rsidRPr="00FD2E93">
        <w:rPr>
          <w:rFonts w:ascii="Cambria" w:hAnsi="Cambria"/>
        </w:rPr>
        <w:t xml:space="preserve"> Coverage of payroll (now 80% of LCA workers), leave management services. as a result of HRS = 1400 persons managed per pay, with 99%+ accuracy (Cf 65 persons in 2015) </w:t>
      </w:r>
    </w:p>
    <w:p w14:paraId="01EF7423" w14:textId="77777777" w:rsidR="00C3276D" w:rsidRPr="00FD2E93" w:rsidRDefault="00C3276D" w:rsidP="00912E0C">
      <w:pPr>
        <w:pStyle w:val="ListParagraph"/>
        <w:numPr>
          <w:ilvl w:val="0"/>
          <w:numId w:val="336"/>
        </w:numPr>
        <w:spacing w:line="259" w:lineRule="auto"/>
        <w:ind w:left="567" w:hanging="567"/>
        <w:rPr>
          <w:rFonts w:ascii="Cambria" w:hAnsi="Cambria"/>
        </w:rPr>
      </w:pPr>
      <w:r w:rsidRPr="00FD2E93">
        <w:rPr>
          <w:rFonts w:ascii="Cambria" w:hAnsi="Cambria"/>
        </w:rPr>
        <w:t>Transfer Fund centralised ($1M costs pa) = more efficiency in negotiations possible; improved oversight; less administration at district offices</w:t>
      </w:r>
    </w:p>
    <w:p w14:paraId="5A470555" w14:textId="3365C960" w:rsidR="00C3276D" w:rsidRPr="00FD2E93" w:rsidRDefault="00C3276D" w:rsidP="00912E0C">
      <w:pPr>
        <w:pStyle w:val="ListParagraph"/>
        <w:numPr>
          <w:ilvl w:val="0"/>
          <w:numId w:val="336"/>
        </w:numPr>
        <w:spacing w:line="259" w:lineRule="auto"/>
        <w:ind w:left="567" w:hanging="567"/>
        <w:rPr>
          <w:rFonts w:ascii="Cambria" w:hAnsi="Cambria"/>
        </w:rPr>
      </w:pPr>
      <w:r w:rsidRPr="00FD2E93">
        <w:rPr>
          <w:rFonts w:ascii="Cambria" w:hAnsi="Cambria"/>
        </w:rPr>
        <w:t xml:space="preserve">Other HRS modules implemented since 2015, with more to come in next years </w:t>
      </w:r>
      <w:r w:rsidR="00E532DD">
        <w:rPr>
          <w:rFonts w:ascii="Cambria" w:hAnsi="Cambria"/>
        </w:rPr>
        <w:t xml:space="preserve">eg </w:t>
      </w:r>
      <w:r w:rsidRPr="00FD2E93">
        <w:rPr>
          <w:rFonts w:ascii="Cambria" w:hAnsi="Cambria"/>
        </w:rPr>
        <w:t>WHS, Training and Development</w:t>
      </w:r>
    </w:p>
    <w:p w14:paraId="71A46492" w14:textId="77ED20C0" w:rsidR="00C3276D" w:rsidRPr="00FD2E93" w:rsidRDefault="00C3276D" w:rsidP="00912E0C">
      <w:pPr>
        <w:pStyle w:val="ListParagraph"/>
        <w:numPr>
          <w:ilvl w:val="0"/>
          <w:numId w:val="336"/>
        </w:numPr>
        <w:spacing w:line="259" w:lineRule="auto"/>
        <w:ind w:left="567" w:hanging="567"/>
        <w:rPr>
          <w:rFonts w:ascii="Cambria" w:hAnsi="Cambria"/>
        </w:rPr>
      </w:pPr>
      <w:r w:rsidRPr="00FD2E93">
        <w:rPr>
          <w:rFonts w:ascii="Cambria" w:hAnsi="Cambria"/>
        </w:rPr>
        <w:t xml:space="preserve">Ability to calculate and track leave liabilities and associated costs </w:t>
      </w:r>
      <w:r w:rsidR="00912E0C" w:rsidRPr="00FD2E93">
        <w:rPr>
          <w:rFonts w:ascii="Cambria" w:hAnsi="Cambria"/>
        </w:rPr>
        <w:t>e.g.</w:t>
      </w:r>
      <w:r w:rsidRPr="00FD2E93">
        <w:rPr>
          <w:rFonts w:ascii="Cambria" w:hAnsi="Cambria"/>
        </w:rPr>
        <w:t xml:space="preserve"> An</w:t>
      </w:r>
      <w:r w:rsidR="00E532DD">
        <w:rPr>
          <w:rFonts w:ascii="Cambria" w:hAnsi="Cambria"/>
        </w:rPr>
        <w:t>nual Leave, Long Service Leave -</w:t>
      </w:r>
      <w:r w:rsidRPr="00FD2E93">
        <w:rPr>
          <w:rFonts w:ascii="Cambria" w:hAnsi="Cambria"/>
        </w:rPr>
        <w:t xml:space="preserve"> greater oversight and closer management of liabilities possible</w:t>
      </w:r>
    </w:p>
    <w:p w14:paraId="4AB32BF3" w14:textId="562DB2E3" w:rsidR="00C3276D" w:rsidRPr="00FD2E93" w:rsidRDefault="00C3276D" w:rsidP="00912E0C">
      <w:pPr>
        <w:pStyle w:val="ListParagraph"/>
        <w:numPr>
          <w:ilvl w:val="0"/>
          <w:numId w:val="336"/>
        </w:numPr>
        <w:spacing w:line="259" w:lineRule="auto"/>
        <w:ind w:left="567" w:hanging="567"/>
        <w:rPr>
          <w:rFonts w:ascii="Cambria" w:hAnsi="Cambria"/>
        </w:rPr>
      </w:pPr>
      <w:r w:rsidRPr="00FD2E93">
        <w:rPr>
          <w:rFonts w:ascii="Cambria" w:hAnsi="Cambria"/>
        </w:rPr>
        <w:t>More efficien</w:t>
      </w:r>
      <w:r w:rsidR="00E532DD">
        <w:rPr>
          <w:rFonts w:ascii="Cambria" w:hAnsi="Cambria"/>
        </w:rPr>
        <w:t>t establishment of new workers/</w:t>
      </w:r>
      <w:r w:rsidRPr="00FD2E93">
        <w:rPr>
          <w:rFonts w:ascii="Cambria" w:hAnsi="Cambria"/>
        </w:rPr>
        <w:t>employees in LCA administration records and payroll systems within HRS, compared with previous processes = less time spent by various people</w:t>
      </w:r>
    </w:p>
    <w:p w14:paraId="56A9ED4E" w14:textId="719BC25C" w:rsidR="00C3276D" w:rsidRPr="00FD2E93" w:rsidRDefault="00C3276D" w:rsidP="00912E0C">
      <w:pPr>
        <w:pStyle w:val="ListParagraph"/>
        <w:numPr>
          <w:ilvl w:val="0"/>
          <w:numId w:val="336"/>
        </w:numPr>
        <w:spacing w:line="259" w:lineRule="auto"/>
        <w:ind w:left="567" w:hanging="567"/>
        <w:rPr>
          <w:rFonts w:ascii="Cambria" w:hAnsi="Cambria"/>
          <w:b/>
        </w:rPr>
      </w:pPr>
      <w:r w:rsidRPr="00FD2E93">
        <w:rPr>
          <w:rFonts w:ascii="Cambria" w:hAnsi="Cambria"/>
        </w:rPr>
        <w:t>Increased support to Ministry for the Ag</w:t>
      </w:r>
      <w:r w:rsidR="00E532DD">
        <w:rPr>
          <w:rFonts w:ascii="Cambria" w:hAnsi="Cambria"/>
        </w:rPr>
        <w:t>e</w:t>
      </w:r>
      <w:r w:rsidRPr="00FD2E93">
        <w:rPr>
          <w:rFonts w:ascii="Cambria" w:hAnsi="Cambria"/>
        </w:rPr>
        <w:t>ing, New and Renewing Churches, Grow Ministries, International Mission, Communications, in budget management, accounts receivable and account payable, administration</w:t>
      </w:r>
    </w:p>
    <w:p w14:paraId="5001B5FB" w14:textId="16266FDC" w:rsidR="00C3276D" w:rsidRPr="00FD2E93" w:rsidRDefault="00C3276D" w:rsidP="00912E0C">
      <w:pPr>
        <w:pStyle w:val="ListParagraph"/>
        <w:numPr>
          <w:ilvl w:val="0"/>
          <w:numId w:val="336"/>
        </w:numPr>
        <w:spacing w:line="259" w:lineRule="auto"/>
        <w:ind w:left="567" w:hanging="567"/>
        <w:rPr>
          <w:rFonts w:ascii="Cambria" w:hAnsi="Cambria"/>
        </w:rPr>
      </w:pPr>
      <w:r w:rsidRPr="00FD2E93">
        <w:rPr>
          <w:rFonts w:ascii="Cambria" w:hAnsi="Cambria"/>
        </w:rPr>
        <w:t>Administration support to smaller ministries c</w:t>
      </w:r>
      <w:r w:rsidR="00E532DD">
        <w:rPr>
          <w:rFonts w:ascii="Cambria" w:hAnsi="Cambria"/>
        </w:rPr>
        <w:t>o-located in national office co</w:t>
      </w:r>
      <w:r w:rsidRPr="00FD2E93">
        <w:rPr>
          <w:rFonts w:ascii="Cambria" w:hAnsi="Cambria"/>
        </w:rPr>
        <w:t>ordinated for greater efficiency and flexibility</w:t>
      </w:r>
    </w:p>
    <w:p w14:paraId="6CAF468E" w14:textId="77777777" w:rsidR="00C3276D" w:rsidRPr="00FD2E93" w:rsidRDefault="00C3276D" w:rsidP="00912E0C">
      <w:pPr>
        <w:pStyle w:val="ListParagraph"/>
        <w:numPr>
          <w:ilvl w:val="0"/>
          <w:numId w:val="336"/>
        </w:numPr>
        <w:spacing w:line="259" w:lineRule="auto"/>
        <w:ind w:left="567" w:hanging="567"/>
        <w:rPr>
          <w:rFonts w:ascii="Cambria" w:hAnsi="Cambria"/>
        </w:rPr>
      </w:pPr>
      <w:r w:rsidRPr="00FD2E93">
        <w:rPr>
          <w:rFonts w:ascii="Cambria" w:hAnsi="Cambria"/>
        </w:rPr>
        <w:t>Ability to grow administration support with efficiencies due to increased activity.</w:t>
      </w:r>
    </w:p>
    <w:p w14:paraId="7F7D91D3" w14:textId="77777777" w:rsidR="00912E0C" w:rsidRDefault="00912E0C">
      <w:pPr>
        <w:rPr>
          <w:rFonts w:ascii="Cambria" w:hAnsi="Cambria" w:cstheme="minorHAnsi"/>
          <w:b/>
        </w:rPr>
      </w:pPr>
      <w:r>
        <w:rPr>
          <w:rFonts w:ascii="Cambria" w:hAnsi="Cambria" w:cstheme="minorHAnsi"/>
          <w:b/>
        </w:rPr>
        <w:br w:type="page"/>
      </w:r>
    </w:p>
    <w:p w14:paraId="039A3661" w14:textId="1E6ABA66" w:rsidR="00C3276D" w:rsidRPr="00912E0C" w:rsidRDefault="00C3276D" w:rsidP="00C3276D">
      <w:pPr>
        <w:rPr>
          <w:rFonts w:ascii="Cambria" w:hAnsi="Cambria" w:cstheme="minorHAnsi"/>
          <w:b/>
        </w:rPr>
      </w:pPr>
      <w:r w:rsidRPr="00912E0C">
        <w:rPr>
          <w:rFonts w:ascii="Cambria" w:hAnsi="Cambria" w:cstheme="minorHAnsi"/>
          <w:b/>
        </w:rPr>
        <w:lastRenderedPageBreak/>
        <w:t>C6. Reported Achievements – Information and Communication Technology Department</w:t>
      </w:r>
    </w:p>
    <w:p w14:paraId="4E24CB0E" w14:textId="77777777" w:rsidR="00C3276D" w:rsidRPr="00FD2E93" w:rsidRDefault="00C3276D" w:rsidP="00912E0C">
      <w:pPr>
        <w:pStyle w:val="ListParagraph"/>
        <w:numPr>
          <w:ilvl w:val="0"/>
          <w:numId w:val="337"/>
        </w:numPr>
        <w:ind w:left="567" w:hanging="567"/>
        <w:rPr>
          <w:rFonts w:ascii="Cambria" w:hAnsi="Cambria"/>
        </w:rPr>
      </w:pPr>
      <w:r w:rsidRPr="00FD2E93">
        <w:rPr>
          <w:rFonts w:ascii="Cambria" w:hAnsi="Cambria"/>
        </w:rPr>
        <w:t>Increased reach of service/ support including hosting and management of domain names and web services, LCA email option, single sign on for portal services and access</w:t>
      </w:r>
    </w:p>
    <w:p w14:paraId="748EAB2E" w14:textId="77777777" w:rsidR="00C3276D" w:rsidRPr="00FD2E93" w:rsidRDefault="00C3276D" w:rsidP="00912E0C">
      <w:pPr>
        <w:pStyle w:val="ListParagraph"/>
        <w:numPr>
          <w:ilvl w:val="0"/>
          <w:numId w:val="337"/>
        </w:numPr>
        <w:ind w:left="567" w:hanging="567"/>
        <w:rPr>
          <w:rFonts w:ascii="Cambria" w:hAnsi="Cambria"/>
        </w:rPr>
      </w:pPr>
      <w:r w:rsidRPr="00FD2E93">
        <w:rPr>
          <w:rFonts w:ascii="Cambria" w:hAnsi="Cambria"/>
        </w:rPr>
        <w:t>Shift to Australian based web-servers has made it possible to offer/sell space to congregations for hosted services</w:t>
      </w:r>
    </w:p>
    <w:p w14:paraId="2049EE69" w14:textId="771295BC" w:rsidR="00C3276D" w:rsidRPr="00FD2E93" w:rsidRDefault="00C3276D" w:rsidP="00912E0C">
      <w:pPr>
        <w:pStyle w:val="ListParagraph"/>
        <w:numPr>
          <w:ilvl w:val="0"/>
          <w:numId w:val="337"/>
        </w:numPr>
        <w:ind w:left="567" w:hanging="567"/>
        <w:rPr>
          <w:rFonts w:ascii="Cambria" w:hAnsi="Cambria"/>
        </w:rPr>
      </w:pPr>
      <w:r w:rsidRPr="00FD2E93">
        <w:rPr>
          <w:rFonts w:ascii="Cambria" w:hAnsi="Cambria"/>
        </w:rPr>
        <w:t xml:space="preserve">Nos. of non-national office entities supported </w:t>
      </w:r>
      <w:r w:rsidR="00912E0C" w:rsidRPr="00FD2E93">
        <w:rPr>
          <w:rFonts w:ascii="Cambria" w:hAnsi="Cambria"/>
        </w:rPr>
        <w:t>e.g.</w:t>
      </w:r>
      <w:r w:rsidRPr="00FD2E93">
        <w:rPr>
          <w:rFonts w:ascii="Cambria" w:hAnsi="Cambria"/>
        </w:rPr>
        <w:t xml:space="preserve"> Lutheran Archives, SA, NSW and Victorian Districts, ALC (covering 88 staff)</w:t>
      </w:r>
    </w:p>
    <w:p w14:paraId="4F4BFECC" w14:textId="77777777" w:rsidR="00C3276D" w:rsidRPr="00FD2E93" w:rsidRDefault="00C3276D" w:rsidP="00912E0C">
      <w:pPr>
        <w:pStyle w:val="ListParagraph"/>
        <w:numPr>
          <w:ilvl w:val="0"/>
          <w:numId w:val="337"/>
        </w:numPr>
        <w:ind w:left="567" w:hanging="567"/>
        <w:rPr>
          <w:rFonts w:ascii="Cambria" w:hAnsi="Cambria"/>
        </w:rPr>
      </w:pPr>
      <w:r w:rsidRPr="00FD2E93">
        <w:rPr>
          <w:rFonts w:ascii="Cambria" w:hAnsi="Cambria"/>
        </w:rPr>
        <w:t>Nos of congregations supported = 109 separate hosted accounts</w:t>
      </w:r>
    </w:p>
    <w:p w14:paraId="317AAAFB" w14:textId="77777777" w:rsidR="00C3276D" w:rsidRPr="00FD2E93" w:rsidRDefault="00C3276D" w:rsidP="00912E0C">
      <w:pPr>
        <w:pStyle w:val="ListParagraph"/>
        <w:numPr>
          <w:ilvl w:val="0"/>
          <w:numId w:val="337"/>
        </w:numPr>
        <w:spacing w:line="259" w:lineRule="auto"/>
        <w:ind w:left="567" w:hanging="567"/>
        <w:rPr>
          <w:rFonts w:ascii="Cambria" w:hAnsi="Cambria"/>
          <w:b/>
        </w:rPr>
      </w:pPr>
      <w:r w:rsidRPr="00FD2E93">
        <w:rPr>
          <w:rFonts w:ascii="Cambria" w:hAnsi="Cambria"/>
        </w:rPr>
        <w:t>Microsoft licence negotiation as a national Not for Profit (NFP) organisation = saving of $20K per month cf. individual District expense levels</w:t>
      </w:r>
    </w:p>
    <w:p w14:paraId="49FE34FA" w14:textId="4E0C022E" w:rsidR="00C3276D" w:rsidRPr="00FD2E93" w:rsidRDefault="00C3276D" w:rsidP="00912E0C">
      <w:pPr>
        <w:pStyle w:val="ListParagraph"/>
        <w:numPr>
          <w:ilvl w:val="0"/>
          <w:numId w:val="337"/>
        </w:numPr>
        <w:spacing w:line="259" w:lineRule="auto"/>
        <w:ind w:left="567" w:hanging="567"/>
        <w:rPr>
          <w:rFonts w:ascii="Cambria" w:hAnsi="Cambria"/>
        </w:rPr>
      </w:pPr>
      <w:r w:rsidRPr="00FD2E93">
        <w:rPr>
          <w:rFonts w:ascii="Cambria" w:hAnsi="Cambria"/>
        </w:rPr>
        <w:t>Single Sign On (SSO) achieved through co-ordin</w:t>
      </w:r>
      <w:r w:rsidR="00E532DD">
        <w:rPr>
          <w:rFonts w:ascii="Cambria" w:hAnsi="Cambria"/>
        </w:rPr>
        <w:t>ation of various systems (ShareP</w:t>
      </w:r>
      <w:r w:rsidRPr="00FD2E93">
        <w:rPr>
          <w:rFonts w:ascii="Cambria" w:hAnsi="Cambria"/>
        </w:rPr>
        <w:t>oint, LAMP2, HRS)</w:t>
      </w:r>
    </w:p>
    <w:p w14:paraId="384333D6" w14:textId="77777777" w:rsidR="00C3276D" w:rsidRPr="00FD2E93" w:rsidRDefault="00C3276D" w:rsidP="00912E0C">
      <w:pPr>
        <w:pStyle w:val="ListParagraph"/>
        <w:numPr>
          <w:ilvl w:val="0"/>
          <w:numId w:val="337"/>
        </w:numPr>
        <w:spacing w:line="259" w:lineRule="auto"/>
        <w:ind w:left="567" w:hanging="567"/>
        <w:rPr>
          <w:rFonts w:ascii="Cambria" w:hAnsi="Cambria"/>
        </w:rPr>
      </w:pPr>
      <w:r w:rsidRPr="00FD2E93">
        <w:rPr>
          <w:rFonts w:ascii="Cambria" w:hAnsi="Cambria"/>
        </w:rPr>
        <w:t>Creation of LCA email inboxes for those working on Church work.</w:t>
      </w:r>
    </w:p>
    <w:p w14:paraId="05286A7E" w14:textId="77777777" w:rsidR="00C3276D" w:rsidRPr="00FD2E93" w:rsidRDefault="00C3276D" w:rsidP="00912E0C">
      <w:pPr>
        <w:pStyle w:val="Heading3"/>
      </w:pPr>
      <w:r w:rsidRPr="00FD2E93">
        <w:t>Current Status of the Trial Changes</w:t>
      </w:r>
    </w:p>
    <w:p w14:paraId="7A8A1DC4" w14:textId="77777777" w:rsidR="00C3276D" w:rsidRPr="00FD2E93" w:rsidRDefault="00C3276D" w:rsidP="00C3276D">
      <w:pPr>
        <w:rPr>
          <w:rFonts w:ascii="Cambria" w:hAnsi="Cambria"/>
        </w:rPr>
      </w:pPr>
      <w:r w:rsidRPr="00FD2E93">
        <w:rPr>
          <w:rFonts w:ascii="Cambria" w:hAnsi="Cambria"/>
        </w:rPr>
        <w:t>It needs to be stated that some of the changes planned as a result of Synod 2015 resolutions were being implemented concurrently during the Evaluation Study. This means that participants were sometimes commenting on current activities, which they had not yet had time to experience in operation. For example, many of the Committees and Commissions were consulted in early 2018, and at the same meetings were also to revisit Terms of Reference (ToR) for their entity (with some having been refined and others edited in minor ways from the past versions). This was particularly an issue for those Committees which had previously been Boards. Though some Committees had been functioning during 2016–2017, the number of meetings held as a new entity, and membership during this period, varied. Certainly, some issues of role clarification and uncertainty around information and communication conduits for their entity, were not yet understood or bedded down, but this was just commencing through their discussion of Committee Objects and Duties within their Terms of Reference. Their ToR typically address their reporting lines, at least, if not their connection points and communication channels.</w:t>
      </w:r>
    </w:p>
    <w:p w14:paraId="1FA4D8AC" w14:textId="00D5A557" w:rsidR="00C3276D" w:rsidRPr="00FD2E93" w:rsidRDefault="00C3276D" w:rsidP="00C3276D">
      <w:pPr>
        <w:rPr>
          <w:rFonts w:ascii="Cambria" w:hAnsi="Cambria"/>
        </w:rPr>
      </w:pPr>
      <w:r w:rsidRPr="00FD2E93">
        <w:rPr>
          <w:rFonts w:ascii="Cambria" w:hAnsi="Cambria"/>
        </w:rPr>
        <w:t>Also, implementation of various work plans for national office departments was active, naturally, during the months of the evaluation study. The ‘hard’ data shared here was taken in two snapshots (in January 2018 and an opportunity to update it provided at end March 2018); the reality is a dynamic one and therefore will have changed by the end of the Synodical period. Examples of such dynamic data include the numbers of persons covere</w:t>
      </w:r>
      <w:r w:rsidR="00E532DD">
        <w:rPr>
          <w:rFonts w:ascii="Cambria" w:hAnsi="Cambria"/>
        </w:rPr>
        <w:t>d by the LCA payroll</w:t>
      </w:r>
      <w:r w:rsidRPr="00FD2E93">
        <w:rPr>
          <w:rFonts w:ascii="Cambria" w:hAnsi="Cambria"/>
        </w:rPr>
        <w:t xml:space="preserve"> and the number of congregational websites developed and ‘live’</w:t>
      </w:r>
      <w:r w:rsidR="00E532DD">
        <w:rPr>
          <w:rFonts w:ascii="Cambria" w:hAnsi="Cambria"/>
        </w:rPr>
        <w:t xml:space="preserve"> </w:t>
      </w:r>
      <w:r w:rsidRPr="00FD2E93">
        <w:rPr>
          <w:rFonts w:ascii="Cambria" w:hAnsi="Cambria"/>
        </w:rPr>
        <w:t>at the time of data collection.</w:t>
      </w:r>
    </w:p>
    <w:p w14:paraId="12190AB1" w14:textId="20FBB74E" w:rsidR="00C3276D" w:rsidRPr="00FD2E93" w:rsidRDefault="00C3276D" w:rsidP="00C3276D">
      <w:pPr>
        <w:rPr>
          <w:rFonts w:ascii="Cambria" w:hAnsi="Cambria"/>
        </w:rPr>
      </w:pPr>
      <w:r w:rsidRPr="00FD2E93">
        <w:rPr>
          <w:rFonts w:ascii="Cambria" w:hAnsi="Cambria"/>
        </w:rPr>
        <w:t>Finally, a number of the planned changes towards more integrated missional work, and effective and efficient administrative working, will take longer time to demonstrate their impact, and a five-year timeline is more likely needed for assessment. Examples</w:t>
      </w:r>
      <w:r w:rsidR="00E532DD">
        <w:rPr>
          <w:rFonts w:ascii="Cambria" w:hAnsi="Cambria"/>
        </w:rPr>
        <w:t xml:space="preserve"> of </w:t>
      </w:r>
      <w:r w:rsidR="00E532DD" w:rsidRPr="00FD2E93">
        <w:rPr>
          <w:rFonts w:ascii="Cambria" w:hAnsi="Cambria"/>
        </w:rPr>
        <w:t>longer-term impacts expected</w:t>
      </w:r>
      <w:r w:rsidRPr="00FD2E93">
        <w:rPr>
          <w:rFonts w:ascii="Cambria" w:hAnsi="Cambria"/>
        </w:rPr>
        <w:t xml:space="preserve"> include increased integration of the Local Mission activities under a holistic strategy (in development currently), and the strategic refocus of GCC operations as the various Boards and Committees move fully into the changed governance arrangements.</w:t>
      </w:r>
    </w:p>
    <w:p w14:paraId="2146D749" w14:textId="77777777" w:rsidR="00912E0C" w:rsidRDefault="00912E0C">
      <w:pPr>
        <w:rPr>
          <w:rFonts w:ascii="Cambria" w:eastAsiaTheme="majorEastAsia" w:hAnsi="Cambria" w:cstheme="majorBidi"/>
          <w:b/>
          <w:caps/>
          <w:sz w:val="28"/>
          <w:szCs w:val="24"/>
        </w:rPr>
      </w:pPr>
      <w:r>
        <w:br w:type="page"/>
      </w:r>
    </w:p>
    <w:p w14:paraId="65BBD15C" w14:textId="680EF7D7" w:rsidR="00C3276D" w:rsidRPr="00FD2E93" w:rsidRDefault="00C3276D" w:rsidP="00912E0C">
      <w:pPr>
        <w:pStyle w:val="Heading3"/>
      </w:pPr>
      <w:r w:rsidRPr="00FD2E93">
        <w:lastRenderedPageBreak/>
        <w:t>Key Results – Perceptions of the changes, by Stakeholders (Focus Groups)</w:t>
      </w:r>
    </w:p>
    <w:p w14:paraId="715BA4F0" w14:textId="77777777" w:rsidR="00C3276D" w:rsidRPr="00912E0C" w:rsidRDefault="00C3276D" w:rsidP="00C3276D">
      <w:pPr>
        <w:rPr>
          <w:rFonts w:ascii="Cambria" w:hAnsi="Cambria"/>
          <w:b/>
        </w:rPr>
      </w:pPr>
      <w:r w:rsidRPr="00912E0C">
        <w:rPr>
          <w:rFonts w:ascii="Cambria" w:hAnsi="Cambria"/>
          <w:b/>
        </w:rPr>
        <w:t xml:space="preserve">Qualitative Feedback from Focus Groups </w:t>
      </w:r>
      <w:r w:rsidRPr="00912E0C">
        <w:rPr>
          <w:rFonts w:ascii="Cambria" w:hAnsi="Cambria"/>
          <w:b/>
          <w:i/>
        </w:rPr>
        <w:t>(N=20)</w:t>
      </w:r>
    </w:p>
    <w:p w14:paraId="63D38851" w14:textId="5C192F7E" w:rsidR="00C3276D" w:rsidRPr="00FD2E93" w:rsidRDefault="00C3276D" w:rsidP="00C3276D">
      <w:pPr>
        <w:rPr>
          <w:rFonts w:ascii="Cambria" w:hAnsi="Cambria"/>
        </w:rPr>
      </w:pPr>
      <w:r w:rsidRPr="00FD2E93">
        <w:rPr>
          <w:rFonts w:ascii="Cambria" w:hAnsi="Cambria"/>
        </w:rPr>
        <w:t xml:space="preserve">Analysis of the qualitative feedback from the participants in </w:t>
      </w:r>
      <w:r w:rsidR="00E532DD">
        <w:rPr>
          <w:rFonts w:ascii="Cambria" w:hAnsi="Cambria"/>
        </w:rPr>
        <w:t>focus g</w:t>
      </w:r>
      <w:r w:rsidRPr="00FD2E93">
        <w:rPr>
          <w:rFonts w:ascii="Cambria" w:hAnsi="Cambria"/>
        </w:rPr>
        <w:t>roups has been undertaken and the following is a thematic summary of the key positives and the key issues identified as still problematic.</w:t>
      </w:r>
    </w:p>
    <w:p w14:paraId="45217274" w14:textId="77777777" w:rsidR="00C3276D" w:rsidRPr="00FD2E93" w:rsidRDefault="00C3276D" w:rsidP="00C3276D">
      <w:pPr>
        <w:rPr>
          <w:rFonts w:ascii="Cambria" w:hAnsi="Cambria"/>
        </w:rPr>
      </w:pPr>
      <w:r w:rsidRPr="00FD2E93">
        <w:rPr>
          <w:rFonts w:ascii="Cambria" w:hAnsi="Cambria"/>
        </w:rPr>
        <w:t>In relation to the issues raised, these have been shared with the managers in National Office and also the Standing Committee on Constitutions, to inform their concurrent work and in the interests of prompt attention to any sensitive or problematic issue raised.</w:t>
      </w:r>
    </w:p>
    <w:p w14:paraId="2F309C9D" w14:textId="7CB3F956" w:rsidR="00C3276D" w:rsidRPr="00FD2E93" w:rsidRDefault="00C3276D" w:rsidP="00C3276D">
      <w:pPr>
        <w:rPr>
          <w:rFonts w:ascii="Cambria" w:hAnsi="Cambria"/>
          <w:i/>
        </w:rPr>
      </w:pPr>
      <w:r w:rsidRPr="00FD2E93">
        <w:rPr>
          <w:rFonts w:ascii="Cambria" w:hAnsi="Cambria"/>
        </w:rPr>
        <w:t xml:space="preserve">Table 1: Qualitative feedback, in themes, from </w:t>
      </w:r>
      <w:r w:rsidR="00E532DD">
        <w:rPr>
          <w:rFonts w:ascii="Cambria" w:hAnsi="Cambria"/>
        </w:rPr>
        <w:t>focus groups</w:t>
      </w:r>
      <w:r w:rsidRPr="00FD2E93">
        <w:rPr>
          <w:rFonts w:ascii="Cambria" w:hAnsi="Cambria"/>
        </w:rPr>
        <w:t xml:space="preserve"> February – April 2018 </w:t>
      </w:r>
      <w:r w:rsidRPr="00FD2E93">
        <w:rPr>
          <w:rFonts w:ascii="Cambria" w:hAnsi="Cambria"/>
          <w:i/>
        </w:rPr>
        <w:t>(N=20)</w:t>
      </w:r>
    </w:p>
    <w:tbl>
      <w:tblPr>
        <w:tblStyle w:val="PlainTable2"/>
        <w:tblW w:w="9067" w:type="dxa"/>
        <w:tblLook w:val="04A0" w:firstRow="1" w:lastRow="0" w:firstColumn="1" w:lastColumn="0" w:noHBand="0" w:noVBand="1"/>
      </w:tblPr>
      <w:tblGrid>
        <w:gridCol w:w="4390"/>
        <w:gridCol w:w="4677"/>
      </w:tblGrid>
      <w:tr w:rsidR="00C3276D" w:rsidRPr="00FD2E93" w14:paraId="396A6828" w14:textId="77777777" w:rsidTr="00912E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vAlign w:val="center"/>
          </w:tcPr>
          <w:p w14:paraId="76F51005" w14:textId="20347048" w:rsidR="00C3276D" w:rsidRPr="00912E0C" w:rsidRDefault="00C3276D" w:rsidP="00912E0C">
            <w:pPr>
              <w:jc w:val="center"/>
              <w:rPr>
                <w:rFonts w:ascii="Cambria" w:hAnsi="Cambria"/>
                <w:b w:val="0"/>
                <w:i/>
              </w:rPr>
            </w:pPr>
            <w:r w:rsidRPr="00912E0C">
              <w:rPr>
                <w:rFonts w:ascii="Cambria" w:hAnsi="Cambria"/>
                <w:b w:val="0"/>
                <w:i/>
              </w:rPr>
              <w:t xml:space="preserve">Key positives heard during </w:t>
            </w:r>
            <w:r w:rsidR="00E532DD">
              <w:rPr>
                <w:rFonts w:ascii="Cambria" w:hAnsi="Cambria"/>
                <w:b w:val="0"/>
                <w:i/>
              </w:rPr>
              <w:t>focus groups</w:t>
            </w:r>
          </w:p>
        </w:tc>
        <w:tc>
          <w:tcPr>
            <w:tcW w:w="4677" w:type="dxa"/>
            <w:vAlign w:val="center"/>
          </w:tcPr>
          <w:p w14:paraId="3274799E" w14:textId="1FB7C686" w:rsidR="00C3276D" w:rsidRPr="00912E0C" w:rsidRDefault="00C3276D" w:rsidP="00912E0C">
            <w:pPr>
              <w:jc w:val="center"/>
              <w:cnfStyle w:val="100000000000" w:firstRow="1" w:lastRow="0" w:firstColumn="0" w:lastColumn="0" w:oddVBand="0" w:evenVBand="0" w:oddHBand="0" w:evenHBand="0" w:firstRowFirstColumn="0" w:firstRowLastColumn="0" w:lastRowFirstColumn="0" w:lastRowLastColumn="0"/>
              <w:rPr>
                <w:rFonts w:ascii="Cambria" w:hAnsi="Cambria"/>
                <w:b w:val="0"/>
                <w:i/>
              </w:rPr>
            </w:pPr>
            <w:r w:rsidRPr="00912E0C">
              <w:rPr>
                <w:rFonts w:ascii="Cambria" w:hAnsi="Cambria"/>
                <w:b w:val="0"/>
                <w:i/>
              </w:rPr>
              <w:t xml:space="preserve">Key negatives/ areas for further development heard during </w:t>
            </w:r>
            <w:r w:rsidR="00E532DD">
              <w:rPr>
                <w:rFonts w:ascii="Cambria" w:hAnsi="Cambria"/>
                <w:b w:val="0"/>
                <w:i/>
              </w:rPr>
              <w:t>focus groups</w:t>
            </w:r>
            <w:r w:rsidRPr="00912E0C">
              <w:rPr>
                <w:rFonts w:ascii="Cambria" w:hAnsi="Cambria"/>
                <w:b w:val="0"/>
                <w:i/>
              </w:rPr>
              <w:t xml:space="preserve">; </w:t>
            </w:r>
            <w:r w:rsidR="00912E0C">
              <w:rPr>
                <w:rFonts w:ascii="Cambria" w:hAnsi="Cambria"/>
                <w:b w:val="0"/>
                <w:i/>
              </w:rPr>
              <w:br/>
            </w:r>
            <w:r w:rsidRPr="00912E0C">
              <w:rPr>
                <w:rFonts w:ascii="Cambria" w:hAnsi="Cambria"/>
                <w:b w:val="0"/>
                <w:i/>
              </w:rPr>
              <w:t>matters still seen as problematic</w:t>
            </w:r>
          </w:p>
        </w:tc>
      </w:tr>
      <w:tr w:rsidR="00C3276D" w:rsidRPr="00FD2E93" w14:paraId="74B45A72" w14:textId="77777777" w:rsidTr="00912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2"/>
            <w:shd w:val="clear" w:color="auto" w:fill="A6A6A6" w:themeFill="background1" w:themeFillShade="A6"/>
          </w:tcPr>
          <w:p w14:paraId="78F54711" w14:textId="4AA99FA8" w:rsidR="00C3276D" w:rsidRPr="00912E0C" w:rsidRDefault="00C3276D" w:rsidP="009A5284">
            <w:pPr>
              <w:rPr>
                <w:rFonts w:ascii="Cambria" w:hAnsi="Cambria"/>
              </w:rPr>
            </w:pPr>
            <w:r w:rsidRPr="00912E0C">
              <w:rPr>
                <w:rFonts w:ascii="Cambria" w:hAnsi="Cambria"/>
              </w:rPr>
              <w:t>Governin</w:t>
            </w:r>
            <w:r w:rsidR="00912E0C">
              <w:rPr>
                <w:rFonts w:ascii="Cambria" w:hAnsi="Cambria"/>
              </w:rPr>
              <w:t>g Bodies and Governance Matters</w:t>
            </w:r>
          </w:p>
        </w:tc>
      </w:tr>
      <w:tr w:rsidR="00C3276D" w:rsidRPr="00FD2E93" w14:paraId="1A2570AE" w14:textId="77777777" w:rsidTr="00912E0C">
        <w:tc>
          <w:tcPr>
            <w:cnfStyle w:val="001000000000" w:firstRow="0" w:lastRow="0" w:firstColumn="1" w:lastColumn="0" w:oddVBand="0" w:evenVBand="0" w:oddHBand="0" w:evenHBand="0" w:firstRowFirstColumn="0" w:firstRowLastColumn="0" w:lastRowFirstColumn="0" w:lastRowLastColumn="0"/>
            <w:tcW w:w="4390" w:type="dxa"/>
          </w:tcPr>
          <w:p w14:paraId="45FED09C" w14:textId="77777777" w:rsidR="00C3276D" w:rsidRPr="00912E0C" w:rsidRDefault="00C3276D" w:rsidP="009A5284">
            <w:pPr>
              <w:rPr>
                <w:rFonts w:ascii="Cambria" w:hAnsi="Cambria"/>
                <w:b w:val="0"/>
              </w:rPr>
            </w:pPr>
            <w:r w:rsidRPr="00912E0C">
              <w:rPr>
                <w:rFonts w:ascii="Cambria" w:hAnsi="Cambria"/>
                <w:b w:val="0"/>
              </w:rPr>
              <w:t>Now know who to focus on and why; feel there are clear lines and resources to take effective action; can feel the new energy</w:t>
            </w:r>
          </w:p>
        </w:tc>
        <w:tc>
          <w:tcPr>
            <w:tcW w:w="4677" w:type="dxa"/>
          </w:tcPr>
          <w:p w14:paraId="5B95BAA0" w14:textId="77777777" w:rsidR="00C3276D" w:rsidRPr="00FD2E93" w:rsidRDefault="00C3276D" w:rsidP="009A5284">
            <w:pPr>
              <w:cnfStyle w:val="000000000000" w:firstRow="0" w:lastRow="0" w:firstColumn="0" w:lastColumn="0" w:oddVBand="0" w:evenVBand="0" w:oddHBand="0" w:evenHBand="0" w:firstRowFirstColumn="0" w:firstRowLastColumn="0" w:lastRowFirstColumn="0" w:lastRowLastColumn="0"/>
              <w:rPr>
                <w:rFonts w:ascii="Cambria" w:hAnsi="Cambria"/>
              </w:rPr>
            </w:pPr>
            <w:r w:rsidRPr="00FD2E93">
              <w:rPr>
                <w:rFonts w:ascii="Cambria" w:hAnsi="Cambria"/>
              </w:rPr>
              <w:t>While seeing more joined up thinking, movement in same directions, yet to see more tangible partnering and much outcome (early days)</w:t>
            </w:r>
          </w:p>
        </w:tc>
      </w:tr>
      <w:tr w:rsidR="00C3276D" w:rsidRPr="00FD2E93" w14:paraId="1B1B3C32" w14:textId="77777777" w:rsidTr="00912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79171D2B" w14:textId="6E19A9D0" w:rsidR="00C3276D" w:rsidRPr="00912E0C" w:rsidRDefault="00C3276D" w:rsidP="009A5284">
            <w:pPr>
              <w:rPr>
                <w:rFonts w:ascii="Cambria" w:hAnsi="Cambria"/>
                <w:b w:val="0"/>
              </w:rPr>
            </w:pPr>
            <w:r w:rsidRPr="00912E0C">
              <w:rPr>
                <w:rFonts w:ascii="Cambria" w:hAnsi="Cambria"/>
                <w:b w:val="0"/>
              </w:rPr>
              <w:t>GCC and the Bishop of the Church are more focused on strategic matters: Can better exercise their roles; time savings and reduce</w:t>
            </w:r>
            <w:r w:rsidR="00912E0C">
              <w:rPr>
                <w:rFonts w:ascii="Cambria" w:hAnsi="Cambria"/>
                <w:b w:val="0"/>
              </w:rPr>
              <w:t>d pressure of supervisory role;</w:t>
            </w:r>
          </w:p>
        </w:tc>
        <w:tc>
          <w:tcPr>
            <w:tcW w:w="4677" w:type="dxa"/>
          </w:tcPr>
          <w:p w14:paraId="06C6FE6C" w14:textId="77777777" w:rsidR="00C3276D" w:rsidRPr="00FD2E93" w:rsidRDefault="00C3276D" w:rsidP="009A5284">
            <w:pPr>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rPr>
              <w:t>Policy devt is in transition, so yet to see full renewal; still lots of policy and compliance matters exercising our time – yet to get to strategy as focus for majority of time</w:t>
            </w:r>
          </w:p>
        </w:tc>
      </w:tr>
      <w:tr w:rsidR="00C3276D" w:rsidRPr="00FD2E93" w14:paraId="0506ABF4" w14:textId="77777777" w:rsidTr="00912E0C">
        <w:tc>
          <w:tcPr>
            <w:cnfStyle w:val="001000000000" w:firstRow="0" w:lastRow="0" w:firstColumn="1" w:lastColumn="0" w:oddVBand="0" w:evenVBand="0" w:oddHBand="0" w:evenHBand="0" w:firstRowFirstColumn="0" w:firstRowLastColumn="0" w:lastRowFirstColumn="0" w:lastRowLastColumn="0"/>
            <w:tcW w:w="4390" w:type="dxa"/>
          </w:tcPr>
          <w:p w14:paraId="7EE0FE29" w14:textId="77777777" w:rsidR="00C3276D" w:rsidRPr="00912E0C" w:rsidRDefault="00C3276D" w:rsidP="009A5284">
            <w:pPr>
              <w:rPr>
                <w:rFonts w:ascii="Cambria" w:hAnsi="Cambria"/>
                <w:b w:val="0"/>
              </w:rPr>
            </w:pPr>
            <w:r w:rsidRPr="00912E0C">
              <w:rPr>
                <w:rFonts w:ascii="Cambria" w:hAnsi="Cambria"/>
                <w:b w:val="0"/>
              </w:rPr>
              <w:t>Feeling and enjoying more focus and interest from GCC, who have more time</w:t>
            </w:r>
          </w:p>
        </w:tc>
        <w:tc>
          <w:tcPr>
            <w:tcW w:w="4677" w:type="dxa"/>
          </w:tcPr>
          <w:p w14:paraId="18836D59" w14:textId="77777777" w:rsidR="00C3276D" w:rsidRPr="00FD2E93" w:rsidRDefault="00C3276D" w:rsidP="009A5284">
            <w:pPr>
              <w:pStyle w:val="ListParagraph"/>
              <w:ind w:left="360"/>
              <w:cnfStyle w:val="000000000000" w:firstRow="0" w:lastRow="0" w:firstColumn="0" w:lastColumn="0" w:oddVBand="0" w:evenVBand="0" w:oddHBand="0" w:evenHBand="0" w:firstRowFirstColumn="0" w:firstRowLastColumn="0" w:lastRowFirstColumn="0" w:lastRowLastColumn="0"/>
              <w:rPr>
                <w:rFonts w:ascii="Cambria" w:hAnsi="Cambria"/>
              </w:rPr>
            </w:pPr>
          </w:p>
        </w:tc>
      </w:tr>
      <w:tr w:rsidR="00C3276D" w:rsidRPr="00FD2E93" w14:paraId="5656A669" w14:textId="77777777" w:rsidTr="00912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6BFF6117" w14:textId="77777777" w:rsidR="00C3276D" w:rsidRPr="00912E0C" w:rsidRDefault="00C3276D" w:rsidP="009A5284">
            <w:pPr>
              <w:rPr>
                <w:rFonts w:ascii="Cambria" w:hAnsi="Cambria"/>
                <w:b w:val="0"/>
              </w:rPr>
            </w:pPr>
            <w:r w:rsidRPr="00912E0C">
              <w:rPr>
                <w:rFonts w:ascii="Cambria" w:hAnsi="Cambria"/>
                <w:b w:val="0"/>
              </w:rPr>
              <w:t>More alignment evident; reinforcement of common objectives</w:t>
            </w:r>
          </w:p>
          <w:p w14:paraId="3F3CAB10" w14:textId="77777777" w:rsidR="00C3276D" w:rsidRPr="00912E0C" w:rsidRDefault="00C3276D" w:rsidP="009A5284">
            <w:pPr>
              <w:rPr>
                <w:rFonts w:ascii="Cambria" w:hAnsi="Cambria"/>
                <w:b w:val="0"/>
              </w:rPr>
            </w:pPr>
          </w:p>
          <w:p w14:paraId="157B5A75" w14:textId="77777777" w:rsidR="00C3276D" w:rsidRPr="00912E0C" w:rsidRDefault="00C3276D" w:rsidP="009A5284">
            <w:pPr>
              <w:rPr>
                <w:rFonts w:ascii="Cambria" w:hAnsi="Cambria"/>
                <w:b w:val="0"/>
              </w:rPr>
            </w:pPr>
          </w:p>
        </w:tc>
        <w:tc>
          <w:tcPr>
            <w:tcW w:w="4677" w:type="dxa"/>
          </w:tcPr>
          <w:p w14:paraId="384A0595" w14:textId="77777777" w:rsidR="00C3276D" w:rsidRPr="00FD2E93" w:rsidRDefault="00C3276D" w:rsidP="00F55252">
            <w:pPr>
              <w:pStyle w:val="ListParagraph"/>
              <w:numPr>
                <w:ilvl w:val="0"/>
                <w:numId w:val="338"/>
              </w:num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rPr>
              <w:t xml:space="preserve">Ctee/ Commission roles need more clarity; where to link in; how to add value; how to inform timely decision making by Boards with Ctees’ ‘on ground’ intelligence; delegations need sorting; </w:t>
            </w:r>
          </w:p>
          <w:p w14:paraId="0AC4FF1F" w14:textId="77777777" w:rsidR="00C3276D" w:rsidRPr="00FD2E93" w:rsidRDefault="00C3276D" w:rsidP="00F55252">
            <w:pPr>
              <w:pStyle w:val="ListParagraph"/>
              <w:numPr>
                <w:ilvl w:val="0"/>
                <w:numId w:val="338"/>
              </w:num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rPr>
              <w:t>Board to Board linkages are needed for those with common or shared aims;</w:t>
            </w:r>
          </w:p>
          <w:p w14:paraId="427C0182" w14:textId="77777777" w:rsidR="00C3276D" w:rsidRPr="00FD2E93" w:rsidRDefault="00C3276D" w:rsidP="00F55252">
            <w:pPr>
              <w:pStyle w:val="ListParagraph"/>
              <w:numPr>
                <w:ilvl w:val="0"/>
                <w:numId w:val="338"/>
              </w:num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rPr>
              <w:t>Need to clarify roles and parameters for consultants and ex-officio members in terms of them fulfilling roles across Boards;</w:t>
            </w:r>
          </w:p>
          <w:p w14:paraId="2A52A960" w14:textId="77777777" w:rsidR="00C3276D" w:rsidRPr="00FD2E93" w:rsidRDefault="00C3276D" w:rsidP="00F55252">
            <w:pPr>
              <w:pStyle w:val="ListParagraph"/>
              <w:numPr>
                <w:ilvl w:val="0"/>
                <w:numId w:val="338"/>
              </w:num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rPr>
              <w:t>What expectations are there of Board to Board, to staff, to Ctee communication?;</w:t>
            </w:r>
          </w:p>
          <w:p w14:paraId="55FFEDE7" w14:textId="077244FA" w:rsidR="00C3276D" w:rsidRPr="00912E0C" w:rsidRDefault="00C3276D" w:rsidP="00912E0C">
            <w:pPr>
              <w:pStyle w:val="ListParagraph"/>
              <w:numPr>
                <w:ilvl w:val="0"/>
                <w:numId w:val="338"/>
              </w:num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rPr>
              <w:t>Cross Board alignment of Strategic Directions is a big remaining issue.</w:t>
            </w:r>
          </w:p>
        </w:tc>
      </w:tr>
      <w:tr w:rsidR="00C3276D" w:rsidRPr="00FD2E93" w14:paraId="3F1BF891" w14:textId="77777777" w:rsidTr="00912E0C">
        <w:tc>
          <w:tcPr>
            <w:cnfStyle w:val="001000000000" w:firstRow="0" w:lastRow="0" w:firstColumn="1" w:lastColumn="0" w:oddVBand="0" w:evenVBand="0" w:oddHBand="0" w:evenHBand="0" w:firstRowFirstColumn="0" w:firstRowLastColumn="0" w:lastRowFirstColumn="0" w:lastRowLastColumn="0"/>
            <w:tcW w:w="4390" w:type="dxa"/>
          </w:tcPr>
          <w:p w14:paraId="553AEEC6" w14:textId="77777777" w:rsidR="00C3276D" w:rsidRPr="00912E0C" w:rsidRDefault="00C3276D" w:rsidP="009A5284">
            <w:pPr>
              <w:rPr>
                <w:rFonts w:ascii="Cambria" w:hAnsi="Cambria"/>
                <w:b w:val="0"/>
              </w:rPr>
            </w:pPr>
            <w:r w:rsidRPr="00912E0C">
              <w:rPr>
                <w:rFonts w:ascii="Cambria" w:hAnsi="Cambria"/>
                <w:b w:val="0"/>
              </w:rPr>
              <w:t>Skills Matrix for Board and Ctee membership helpful; can use at District level too;</w:t>
            </w:r>
          </w:p>
          <w:p w14:paraId="480229FD" w14:textId="61B201AC" w:rsidR="00C3276D" w:rsidRPr="00912E0C" w:rsidRDefault="00C3276D" w:rsidP="009A5284">
            <w:pPr>
              <w:rPr>
                <w:rFonts w:ascii="Cambria" w:hAnsi="Cambria"/>
                <w:b w:val="0"/>
              </w:rPr>
            </w:pPr>
            <w:r w:rsidRPr="00912E0C">
              <w:rPr>
                <w:rFonts w:ascii="Cambria" w:hAnsi="Cambria"/>
                <w:b w:val="0"/>
              </w:rPr>
              <w:t>Skills - based membership a positive in terms of specialist skills now available in the right places eg for risk mgmt., finance etc;</w:t>
            </w:r>
            <w:r w:rsidR="00912E0C">
              <w:rPr>
                <w:rFonts w:ascii="Cambria" w:hAnsi="Cambria"/>
                <w:b w:val="0"/>
              </w:rPr>
              <w:t xml:space="preserve"> frees up Ctees, less worrying.</w:t>
            </w:r>
          </w:p>
        </w:tc>
        <w:tc>
          <w:tcPr>
            <w:tcW w:w="4677" w:type="dxa"/>
          </w:tcPr>
          <w:p w14:paraId="1611ACB9" w14:textId="77777777" w:rsidR="00C3276D" w:rsidRPr="00FD2E93" w:rsidRDefault="00C3276D" w:rsidP="009A5284">
            <w:pPr>
              <w:cnfStyle w:val="000000000000" w:firstRow="0" w:lastRow="0" w:firstColumn="0" w:lastColumn="0" w:oddVBand="0" w:evenVBand="0" w:oddHBand="0" w:evenHBand="0" w:firstRowFirstColumn="0" w:firstRowLastColumn="0" w:lastRowFirstColumn="0" w:lastRowLastColumn="0"/>
              <w:rPr>
                <w:rFonts w:ascii="Cambria" w:hAnsi="Cambria"/>
              </w:rPr>
            </w:pPr>
            <w:r w:rsidRPr="00FD2E93">
              <w:rPr>
                <w:rFonts w:ascii="Cambria" w:hAnsi="Cambria"/>
              </w:rPr>
              <w:t>Don’t think congregations see the value or understand the needs for governance in the Church vs. the Church’s core purpose as a Church</w:t>
            </w:r>
          </w:p>
        </w:tc>
      </w:tr>
      <w:tr w:rsidR="00C3276D" w:rsidRPr="00FD2E93" w14:paraId="53B44B2E" w14:textId="77777777" w:rsidTr="00912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2F1BB7D5" w14:textId="77777777" w:rsidR="00C3276D" w:rsidRPr="00FD2E93" w:rsidRDefault="00C3276D" w:rsidP="009A5284">
            <w:pPr>
              <w:rPr>
                <w:rFonts w:ascii="Cambria" w:hAnsi="Cambria"/>
              </w:rPr>
            </w:pPr>
          </w:p>
        </w:tc>
        <w:tc>
          <w:tcPr>
            <w:tcW w:w="4677" w:type="dxa"/>
          </w:tcPr>
          <w:p w14:paraId="55682219" w14:textId="77777777" w:rsidR="00C3276D" w:rsidRPr="00FD2E93" w:rsidRDefault="00C3276D" w:rsidP="00F55252">
            <w:pPr>
              <w:pStyle w:val="ListParagraph"/>
              <w:numPr>
                <w:ilvl w:val="0"/>
                <w:numId w:val="339"/>
              </w:num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rPr>
              <w:t>The role of the District is the next governance question; need to remember that they are closer to the congregations; will need extensive conversation and likely to cause tensions.</w:t>
            </w:r>
          </w:p>
          <w:p w14:paraId="334E08CC" w14:textId="03B86E32" w:rsidR="00C3276D" w:rsidRPr="00912E0C" w:rsidRDefault="00C3276D" w:rsidP="009A5284">
            <w:pPr>
              <w:pStyle w:val="ListParagraph"/>
              <w:numPr>
                <w:ilvl w:val="0"/>
                <w:numId w:val="339"/>
              </w:num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rPr>
              <w:lastRenderedPageBreak/>
              <w:t>District staff already concerned about their future and roles cf. national functions.</w:t>
            </w:r>
          </w:p>
        </w:tc>
      </w:tr>
      <w:tr w:rsidR="00C3276D" w:rsidRPr="00FD2E93" w14:paraId="3CB12EEA" w14:textId="77777777" w:rsidTr="00912E0C">
        <w:tc>
          <w:tcPr>
            <w:cnfStyle w:val="001000000000" w:firstRow="0" w:lastRow="0" w:firstColumn="1" w:lastColumn="0" w:oddVBand="0" w:evenVBand="0" w:oddHBand="0" w:evenHBand="0" w:firstRowFirstColumn="0" w:firstRowLastColumn="0" w:lastRowFirstColumn="0" w:lastRowLastColumn="0"/>
            <w:tcW w:w="4390" w:type="dxa"/>
          </w:tcPr>
          <w:p w14:paraId="46B51215" w14:textId="77777777" w:rsidR="00C3276D" w:rsidRPr="00FD2E93" w:rsidRDefault="00C3276D" w:rsidP="009A5284">
            <w:pPr>
              <w:rPr>
                <w:rFonts w:ascii="Cambria" w:hAnsi="Cambria"/>
              </w:rPr>
            </w:pPr>
          </w:p>
        </w:tc>
        <w:tc>
          <w:tcPr>
            <w:tcW w:w="4677" w:type="dxa"/>
          </w:tcPr>
          <w:p w14:paraId="6DB10F9F" w14:textId="1783733A" w:rsidR="00C3276D" w:rsidRPr="00FD2E93" w:rsidRDefault="00C3276D" w:rsidP="009A5284">
            <w:pPr>
              <w:cnfStyle w:val="000000000000" w:firstRow="0" w:lastRow="0" w:firstColumn="0" w:lastColumn="0" w:oddVBand="0" w:evenVBand="0" w:oddHBand="0" w:evenHBand="0" w:firstRowFirstColumn="0" w:firstRowLastColumn="0" w:lastRowFirstColumn="0" w:lastRowLastColumn="0"/>
              <w:rPr>
                <w:rFonts w:ascii="Cambria" w:hAnsi="Cambria"/>
              </w:rPr>
            </w:pPr>
            <w:r w:rsidRPr="00FD2E93">
              <w:rPr>
                <w:rFonts w:ascii="Cambria" w:hAnsi="Cambria"/>
              </w:rPr>
              <w:t>The connection points for school governing bodies in the structures is still unclear; symptomatic of the questions remaining about the next</w:t>
            </w:r>
            <w:r w:rsidR="00912E0C">
              <w:rPr>
                <w:rFonts w:ascii="Cambria" w:hAnsi="Cambria"/>
              </w:rPr>
              <w:t xml:space="preserve"> levels of governance structure</w:t>
            </w:r>
          </w:p>
        </w:tc>
      </w:tr>
      <w:tr w:rsidR="00C3276D" w:rsidRPr="00FD2E93" w14:paraId="39ECF20D" w14:textId="77777777" w:rsidTr="00912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74618D10" w14:textId="77777777" w:rsidR="00C3276D" w:rsidRPr="00FD2E93" w:rsidRDefault="00C3276D" w:rsidP="009A5284">
            <w:pPr>
              <w:rPr>
                <w:rFonts w:ascii="Cambria" w:hAnsi="Cambria"/>
              </w:rPr>
            </w:pPr>
          </w:p>
        </w:tc>
        <w:tc>
          <w:tcPr>
            <w:tcW w:w="4677" w:type="dxa"/>
          </w:tcPr>
          <w:p w14:paraId="5085D944" w14:textId="707EED23" w:rsidR="00C3276D" w:rsidRPr="00FD2E93" w:rsidRDefault="00C3276D" w:rsidP="009A5284">
            <w:pPr>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rPr>
              <w:t xml:space="preserve">The ‘rules’ around governance structure of Ctees is not appropriate to all types of governing work; a generative space for Local </w:t>
            </w:r>
            <w:r w:rsidR="00912E0C">
              <w:rPr>
                <w:rFonts w:ascii="Cambria" w:hAnsi="Cambria"/>
              </w:rPr>
              <w:t>Mission has been lost.</w:t>
            </w:r>
          </w:p>
        </w:tc>
      </w:tr>
      <w:tr w:rsidR="00C3276D" w:rsidRPr="00FD2E93" w14:paraId="5CB78852" w14:textId="77777777" w:rsidTr="00912E0C">
        <w:tc>
          <w:tcPr>
            <w:cnfStyle w:val="001000000000" w:firstRow="0" w:lastRow="0" w:firstColumn="1" w:lastColumn="0" w:oddVBand="0" w:evenVBand="0" w:oddHBand="0" w:evenHBand="0" w:firstRowFirstColumn="0" w:firstRowLastColumn="0" w:lastRowFirstColumn="0" w:lastRowLastColumn="0"/>
            <w:tcW w:w="4390" w:type="dxa"/>
          </w:tcPr>
          <w:p w14:paraId="177EDB02" w14:textId="002D14FD" w:rsidR="00C3276D" w:rsidRPr="00912E0C" w:rsidRDefault="00C3276D" w:rsidP="009A5284">
            <w:pPr>
              <w:rPr>
                <w:rFonts w:ascii="Cambria" w:hAnsi="Cambria"/>
                <w:b w:val="0"/>
              </w:rPr>
            </w:pPr>
            <w:r w:rsidRPr="00912E0C">
              <w:rPr>
                <w:rFonts w:ascii="Cambria" w:hAnsi="Cambria"/>
                <w:b w:val="0"/>
              </w:rPr>
              <w:t>More accountability and leadership contribution evident from roles of Executive Officers (EOs); more contribution felt and valued by b</w:t>
            </w:r>
            <w:r w:rsidR="00912E0C">
              <w:rPr>
                <w:rFonts w:ascii="Cambria" w:hAnsi="Cambria"/>
                <w:b w:val="0"/>
              </w:rPr>
              <w:t>oth committees and senior staff</w:t>
            </w:r>
          </w:p>
        </w:tc>
        <w:tc>
          <w:tcPr>
            <w:tcW w:w="4677" w:type="dxa"/>
          </w:tcPr>
          <w:p w14:paraId="78A49365" w14:textId="77777777" w:rsidR="00C3276D" w:rsidRPr="00FD2E93" w:rsidRDefault="00C3276D" w:rsidP="009A5284">
            <w:pPr>
              <w:cnfStyle w:val="000000000000" w:firstRow="0" w:lastRow="0" w:firstColumn="0" w:lastColumn="0" w:oddVBand="0" w:evenVBand="0" w:oddHBand="0" w:evenHBand="0" w:firstRowFirstColumn="0" w:firstRowLastColumn="0" w:lastRowFirstColumn="0" w:lastRowLastColumn="0"/>
              <w:rPr>
                <w:rFonts w:ascii="Cambria" w:hAnsi="Cambria"/>
              </w:rPr>
            </w:pPr>
          </w:p>
        </w:tc>
      </w:tr>
      <w:tr w:rsidR="00C3276D" w:rsidRPr="00FD2E93" w14:paraId="0487149A" w14:textId="77777777" w:rsidTr="00912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07F58ABC" w14:textId="77777777" w:rsidR="00C3276D" w:rsidRPr="00912E0C" w:rsidRDefault="00C3276D" w:rsidP="009A5284">
            <w:pPr>
              <w:rPr>
                <w:rFonts w:ascii="Cambria" w:hAnsi="Cambria"/>
                <w:b w:val="0"/>
              </w:rPr>
            </w:pPr>
            <w:r w:rsidRPr="00912E0C">
              <w:rPr>
                <w:rFonts w:ascii="Cambria" w:hAnsi="Cambria"/>
                <w:b w:val="0"/>
              </w:rPr>
              <w:t>Positive impact in appointment of Assistant to the Bishop (Public Theology).</w:t>
            </w:r>
          </w:p>
        </w:tc>
        <w:tc>
          <w:tcPr>
            <w:tcW w:w="4677" w:type="dxa"/>
          </w:tcPr>
          <w:p w14:paraId="71D7F2B6" w14:textId="77777777" w:rsidR="00C3276D" w:rsidRPr="00FD2E93" w:rsidRDefault="00C3276D" w:rsidP="009A5284">
            <w:pPr>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rPr>
              <w:t>Would like opportunity to delegate work to the departments, to expedite and integrate; concerns re lack of resource/support (could be shared)</w:t>
            </w:r>
          </w:p>
        </w:tc>
      </w:tr>
      <w:tr w:rsidR="00C3276D" w:rsidRPr="00FD2E93" w14:paraId="6021BC11" w14:textId="77777777" w:rsidTr="00912E0C">
        <w:tc>
          <w:tcPr>
            <w:cnfStyle w:val="001000000000" w:firstRow="0" w:lastRow="0" w:firstColumn="1" w:lastColumn="0" w:oddVBand="0" w:evenVBand="0" w:oddHBand="0" w:evenHBand="0" w:firstRowFirstColumn="0" w:firstRowLastColumn="0" w:lastRowFirstColumn="0" w:lastRowLastColumn="0"/>
            <w:tcW w:w="9067" w:type="dxa"/>
            <w:gridSpan w:val="2"/>
            <w:shd w:val="clear" w:color="auto" w:fill="A6A6A6" w:themeFill="background1" w:themeFillShade="A6"/>
          </w:tcPr>
          <w:p w14:paraId="7811DB94" w14:textId="169BAB63" w:rsidR="00C3276D" w:rsidRPr="00FD2E93" w:rsidRDefault="00C3276D" w:rsidP="00912E0C">
            <w:pPr>
              <w:rPr>
                <w:rFonts w:ascii="Cambria" w:hAnsi="Cambria"/>
                <w:b w:val="0"/>
              </w:rPr>
            </w:pPr>
            <w:r w:rsidRPr="00912E0C">
              <w:rPr>
                <w:rFonts w:ascii="Cambria" w:hAnsi="Cambria"/>
              </w:rPr>
              <w:t>Local Mission</w:t>
            </w:r>
          </w:p>
        </w:tc>
      </w:tr>
      <w:tr w:rsidR="00C3276D" w:rsidRPr="00FD2E93" w14:paraId="399253E7" w14:textId="77777777" w:rsidTr="00912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0938C965" w14:textId="77777777" w:rsidR="00C3276D" w:rsidRPr="00912E0C" w:rsidRDefault="00C3276D" w:rsidP="009A5284">
            <w:pPr>
              <w:rPr>
                <w:rFonts w:ascii="Cambria" w:hAnsi="Cambria"/>
                <w:b w:val="0"/>
              </w:rPr>
            </w:pPr>
            <w:r w:rsidRPr="00912E0C">
              <w:rPr>
                <w:rFonts w:ascii="Cambria" w:hAnsi="Cambria"/>
                <w:b w:val="0"/>
              </w:rPr>
              <w:t>Increase dialogue about what “Mission” means, how to get engagement and how to work at a national level</w:t>
            </w:r>
          </w:p>
        </w:tc>
        <w:tc>
          <w:tcPr>
            <w:tcW w:w="4677" w:type="dxa"/>
          </w:tcPr>
          <w:p w14:paraId="6292ECC6" w14:textId="77777777" w:rsidR="00C3276D" w:rsidRPr="00FD2E93" w:rsidRDefault="00C3276D" w:rsidP="009A5284">
            <w:pPr>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rPr>
              <w:t>Still need to consolidate (and continue) robust discussion of what is “Mission”</w:t>
            </w:r>
          </w:p>
        </w:tc>
      </w:tr>
      <w:tr w:rsidR="00C3276D" w:rsidRPr="00FD2E93" w14:paraId="48ED3D84" w14:textId="77777777" w:rsidTr="00912E0C">
        <w:tc>
          <w:tcPr>
            <w:cnfStyle w:val="001000000000" w:firstRow="0" w:lastRow="0" w:firstColumn="1" w:lastColumn="0" w:oddVBand="0" w:evenVBand="0" w:oddHBand="0" w:evenHBand="0" w:firstRowFirstColumn="0" w:firstRowLastColumn="0" w:lastRowFirstColumn="0" w:lastRowLastColumn="0"/>
            <w:tcW w:w="4390" w:type="dxa"/>
          </w:tcPr>
          <w:p w14:paraId="3DA994F1" w14:textId="77777777" w:rsidR="00C3276D" w:rsidRPr="00912E0C" w:rsidRDefault="00C3276D" w:rsidP="009A5284">
            <w:pPr>
              <w:rPr>
                <w:rFonts w:ascii="Cambria" w:hAnsi="Cambria"/>
                <w:b w:val="0"/>
              </w:rPr>
            </w:pPr>
            <w:r w:rsidRPr="00912E0C">
              <w:rPr>
                <w:rFonts w:ascii="Cambria" w:hAnsi="Cambria"/>
                <w:b w:val="0"/>
              </w:rPr>
              <w:t>Ministry for the Aging feeling more connected and recognised</w:t>
            </w:r>
          </w:p>
        </w:tc>
        <w:tc>
          <w:tcPr>
            <w:tcW w:w="4677" w:type="dxa"/>
          </w:tcPr>
          <w:p w14:paraId="2DC3BB17" w14:textId="77777777" w:rsidR="00C3276D" w:rsidRPr="00FD2E93" w:rsidRDefault="00C3276D" w:rsidP="009A5284">
            <w:pPr>
              <w:cnfStyle w:val="000000000000" w:firstRow="0" w:lastRow="0" w:firstColumn="0" w:lastColumn="0" w:oddVBand="0" w:evenVBand="0" w:oddHBand="0" w:evenHBand="0" w:firstRowFirstColumn="0" w:firstRowLastColumn="0" w:lastRowFirstColumn="0" w:lastRowLastColumn="0"/>
              <w:rPr>
                <w:rFonts w:ascii="Cambria" w:hAnsi="Cambria"/>
              </w:rPr>
            </w:pPr>
            <w:r w:rsidRPr="00FD2E93">
              <w:rPr>
                <w:rFonts w:ascii="Cambria" w:hAnsi="Cambria"/>
              </w:rPr>
              <w:t>Unsure of fit of Aged Care within LM; disparate needs and complex</w:t>
            </w:r>
          </w:p>
        </w:tc>
      </w:tr>
      <w:tr w:rsidR="00C3276D" w:rsidRPr="00FD2E93" w14:paraId="4AD29465" w14:textId="77777777" w:rsidTr="00912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505DDAD3" w14:textId="77777777" w:rsidR="00C3276D" w:rsidRPr="00912E0C" w:rsidRDefault="00C3276D" w:rsidP="009A5284">
            <w:pPr>
              <w:rPr>
                <w:rFonts w:ascii="Cambria" w:hAnsi="Cambria"/>
                <w:b w:val="0"/>
              </w:rPr>
            </w:pPr>
            <w:r w:rsidRPr="00912E0C">
              <w:rPr>
                <w:rFonts w:ascii="Cambria" w:hAnsi="Cambria"/>
                <w:b w:val="0"/>
              </w:rPr>
              <w:t>EOLM recruitment has made a fundamental difference to how the committee can do business; bridging the gaps between Local Mission (LM) entities; broadened scope/ thinking and communications</w:t>
            </w:r>
          </w:p>
        </w:tc>
        <w:tc>
          <w:tcPr>
            <w:tcW w:w="4677" w:type="dxa"/>
          </w:tcPr>
          <w:p w14:paraId="3BA0C3BE" w14:textId="77777777" w:rsidR="00C3276D" w:rsidRPr="00FD2E93" w:rsidRDefault="00C3276D" w:rsidP="009A5284">
            <w:pPr>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rPr>
              <w:t>EOLM scope of work is too much; concerns re workload</w:t>
            </w:r>
          </w:p>
          <w:p w14:paraId="218229DD" w14:textId="77777777" w:rsidR="00C3276D" w:rsidRPr="00FD2E93" w:rsidRDefault="00C3276D" w:rsidP="009A5284">
            <w:pPr>
              <w:cnfStyle w:val="000000100000" w:firstRow="0" w:lastRow="0" w:firstColumn="0" w:lastColumn="0" w:oddVBand="0" w:evenVBand="0" w:oddHBand="1" w:evenHBand="0" w:firstRowFirstColumn="0" w:firstRowLastColumn="0" w:lastRowFirstColumn="0" w:lastRowLastColumn="0"/>
              <w:rPr>
                <w:rFonts w:ascii="Cambria" w:hAnsi="Cambria"/>
              </w:rPr>
            </w:pPr>
          </w:p>
          <w:p w14:paraId="198CD4F6" w14:textId="77777777" w:rsidR="00C3276D" w:rsidRPr="00FD2E93" w:rsidRDefault="00C3276D" w:rsidP="009A5284">
            <w:pPr>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rPr>
              <w:t>Still need more partnered work across LM groups: models and  willingness, proactivity</w:t>
            </w:r>
          </w:p>
        </w:tc>
      </w:tr>
      <w:tr w:rsidR="00C3276D" w:rsidRPr="00FD2E93" w14:paraId="0AD1029B" w14:textId="77777777" w:rsidTr="00912E0C">
        <w:tc>
          <w:tcPr>
            <w:cnfStyle w:val="001000000000" w:firstRow="0" w:lastRow="0" w:firstColumn="1" w:lastColumn="0" w:oddVBand="0" w:evenVBand="0" w:oddHBand="0" w:evenHBand="0" w:firstRowFirstColumn="0" w:firstRowLastColumn="0" w:lastRowFirstColumn="0" w:lastRowLastColumn="0"/>
            <w:tcW w:w="4390" w:type="dxa"/>
          </w:tcPr>
          <w:p w14:paraId="0B93B4EC" w14:textId="77777777" w:rsidR="00C3276D" w:rsidRPr="00912E0C" w:rsidRDefault="00C3276D" w:rsidP="009A5284">
            <w:pPr>
              <w:rPr>
                <w:rFonts w:ascii="Cambria" w:hAnsi="Cambria"/>
                <w:b w:val="0"/>
              </w:rPr>
            </w:pPr>
            <w:r w:rsidRPr="00912E0C">
              <w:rPr>
                <w:rFonts w:ascii="Cambria" w:hAnsi="Cambria"/>
                <w:b w:val="0"/>
              </w:rPr>
              <w:t>Recognition of Local Mission as a key focus for the Church is very positive; it is shaping the directions in ministry</w:t>
            </w:r>
          </w:p>
        </w:tc>
        <w:tc>
          <w:tcPr>
            <w:tcW w:w="4677" w:type="dxa"/>
          </w:tcPr>
          <w:p w14:paraId="3C906720" w14:textId="77777777" w:rsidR="00C3276D" w:rsidRPr="00FD2E93" w:rsidRDefault="00C3276D" w:rsidP="009A5284">
            <w:pPr>
              <w:cnfStyle w:val="000000000000" w:firstRow="0" w:lastRow="0" w:firstColumn="0" w:lastColumn="0" w:oddVBand="0" w:evenVBand="0" w:oddHBand="0" w:evenHBand="0" w:firstRowFirstColumn="0" w:firstRowLastColumn="0" w:lastRowFirstColumn="0" w:lastRowLastColumn="0"/>
              <w:rPr>
                <w:rFonts w:ascii="Cambria" w:hAnsi="Cambria"/>
              </w:rPr>
            </w:pPr>
            <w:r w:rsidRPr="00FD2E93">
              <w:rPr>
                <w:rFonts w:ascii="Cambria" w:hAnsi="Cambria"/>
              </w:rPr>
              <w:t>New and Renewing Churches needs to consider District strategy and engage District Bishops as they plan their activities at local levels</w:t>
            </w:r>
          </w:p>
        </w:tc>
      </w:tr>
      <w:tr w:rsidR="00C3276D" w:rsidRPr="00FD2E93" w14:paraId="250E906A" w14:textId="77777777" w:rsidTr="00912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0F5DAED5" w14:textId="77777777" w:rsidR="00C3276D" w:rsidRPr="00912E0C" w:rsidRDefault="00C3276D" w:rsidP="009A5284">
            <w:pPr>
              <w:rPr>
                <w:rFonts w:ascii="Cambria" w:hAnsi="Cambria"/>
                <w:b w:val="0"/>
              </w:rPr>
            </w:pPr>
            <w:r w:rsidRPr="00912E0C">
              <w:rPr>
                <w:rFonts w:ascii="Cambria" w:hAnsi="Cambria"/>
                <w:b w:val="0"/>
              </w:rPr>
              <w:t>Local Mission Department achieving a lot and getting positive feedback at District levels</w:t>
            </w:r>
          </w:p>
        </w:tc>
        <w:tc>
          <w:tcPr>
            <w:tcW w:w="4677" w:type="dxa"/>
          </w:tcPr>
          <w:p w14:paraId="1808CF8A" w14:textId="77777777" w:rsidR="00C3276D" w:rsidRPr="00FD2E93" w:rsidRDefault="00C3276D" w:rsidP="009A5284">
            <w:pPr>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rPr>
              <w:t>Local Mission needs to consider the varying demographics of Districts and regional differences, in strategy development; tendency for metro centric thinking and activity</w:t>
            </w:r>
          </w:p>
        </w:tc>
      </w:tr>
      <w:tr w:rsidR="00C3276D" w:rsidRPr="00FD2E93" w14:paraId="4D574965" w14:textId="77777777" w:rsidTr="00912E0C">
        <w:tc>
          <w:tcPr>
            <w:cnfStyle w:val="001000000000" w:firstRow="0" w:lastRow="0" w:firstColumn="1" w:lastColumn="0" w:oddVBand="0" w:evenVBand="0" w:oddHBand="0" w:evenHBand="0" w:firstRowFirstColumn="0" w:firstRowLastColumn="0" w:lastRowFirstColumn="0" w:lastRowLastColumn="0"/>
            <w:tcW w:w="4390" w:type="dxa"/>
          </w:tcPr>
          <w:p w14:paraId="3AC6FD96" w14:textId="77777777" w:rsidR="00C3276D" w:rsidRPr="00912E0C" w:rsidRDefault="00C3276D" w:rsidP="009A5284">
            <w:pPr>
              <w:rPr>
                <w:rFonts w:ascii="Cambria" w:hAnsi="Cambria"/>
                <w:b w:val="0"/>
              </w:rPr>
            </w:pPr>
          </w:p>
        </w:tc>
        <w:tc>
          <w:tcPr>
            <w:tcW w:w="4677" w:type="dxa"/>
          </w:tcPr>
          <w:p w14:paraId="7EFB3D7A" w14:textId="77777777" w:rsidR="00C3276D" w:rsidRPr="00FD2E93" w:rsidRDefault="00C3276D" w:rsidP="009A5284">
            <w:pPr>
              <w:cnfStyle w:val="000000000000" w:firstRow="0" w:lastRow="0" w:firstColumn="0" w:lastColumn="0" w:oddVBand="0" w:evenVBand="0" w:oddHBand="0" w:evenHBand="0" w:firstRowFirstColumn="0" w:firstRowLastColumn="0" w:lastRowFirstColumn="0" w:lastRowLastColumn="0"/>
              <w:rPr>
                <w:rFonts w:ascii="Cambria" w:hAnsi="Cambria"/>
              </w:rPr>
            </w:pPr>
            <w:r w:rsidRPr="00FD2E93">
              <w:rPr>
                <w:rFonts w:ascii="Cambria" w:hAnsi="Cambria"/>
              </w:rPr>
              <w:t>Inadequate representation of District and grassroots reps in new Ctee structure (noting that the membership of boards and committees is skills-based and not representational);</w:t>
            </w:r>
          </w:p>
          <w:p w14:paraId="0772774C" w14:textId="77777777" w:rsidR="00C3276D" w:rsidRPr="00FD2E93" w:rsidRDefault="00C3276D" w:rsidP="009A5284">
            <w:pPr>
              <w:cnfStyle w:val="000000000000" w:firstRow="0" w:lastRow="0" w:firstColumn="0" w:lastColumn="0" w:oddVBand="0" w:evenVBand="0" w:oddHBand="0" w:evenHBand="0" w:firstRowFirstColumn="0" w:firstRowLastColumn="0" w:lastRowFirstColumn="0" w:lastRowLastColumn="0"/>
              <w:rPr>
                <w:rFonts w:ascii="Cambria" w:hAnsi="Cambria"/>
              </w:rPr>
            </w:pPr>
            <w:r w:rsidRPr="00FD2E93">
              <w:rPr>
                <w:rFonts w:ascii="Cambria" w:hAnsi="Cambria"/>
              </w:rPr>
              <w:t>Need to clarify relationship to local mission groups</w:t>
            </w:r>
          </w:p>
        </w:tc>
      </w:tr>
      <w:tr w:rsidR="00C3276D" w:rsidRPr="00FD2E93" w14:paraId="438395DB" w14:textId="77777777" w:rsidTr="00912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28A776AB" w14:textId="77777777" w:rsidR="00C3276D" w:rsidRPr="00912E0C" w:rsidRDefault="00C3276D" w:rsidP="009A5284">
            <w:pPr>
              <w:rPr>
                <w:rFonts w:ascii="Cambria" w:hAnsi="Cambria"/>
                <w:b w:val="0"/>
              </w:rPr>
            </w:pPr>
            <w:r w:rsidRPr="00912E0C">
              <w:rPr>
                <w:rFonts w:ascii="Cambria" w:hAnsi="Cambria"/>
                <w:b w:val="0"/>
              </w:rPr>
              <w:t>Funding more aligned to strategy; accessibility to resources much improved</w:t>
            </w:r>
          </w:p>
        </w:tc>
        <w:tc>
          <w:tcPr>
            <w:tcW w:w="4677" w:type="dxa"/>
          </w:tcPr>
          <w:p w14:paraId="3B8042D5" w14:textId="77777777" w:rsidR="00C3276D" w:rsidRPr="00FD2E93" w:rsidRDefault="00C3276D" w:rsidP="00F55252">
            <w:pPr>
              <w:pStyle w:val="ListParagraph"/>
              <w:numPr>
                <w:ilvl w:val="0"/>
                <w:numId w:val="340"/>
              </w:num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rPr>
              <w:t>Need a national strategy for Local Mission to ensure linkages and alignment</w:t>
            </w:r>
          </w:p>
          <w:p w14:paraId="4290AE82" w14:textId="77777777" w:rsidR="00C3276D" w:rsidRPr="00FD2E93" w:rsidRDefault="00C3276D" w:rsidP="00F55252">
            <w:pPr>
              <w:pStyle w:val="ListParagraph"/>
              <w:numPr>
                <w:ilvl w:val="0"/>
                <w:numId w:val="340"/>
              </w:num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rPr>
              <w:t xml:space="preserve">Resourcing of Local Mission is a concern as its scope of programs is large </w:t>
            </w:r>
          </w:p>
        </w:tc>
      </w:tr>
      <w:tr w:rsidR="00C3276D" w:rsidRPr="00FD2E93" w14:paraId="32545822" w14:textId="77777777" w:rsidTr="00912E0C">
        <w:tc>
          <w:tcPr>
            <w:cnfStyle w:val="001000000000" w:firstRow="0" w:lastRow="0" w:firstColumn="1" w:lastColumn="0" w:oddVBand="0" w:evenVBand="0" w:oddHBand="0" w:evenHBand="0" w:firstRowFirstColumn="0" w:firstRowLastColumn="0" w:lastRowFirstColumn="0" w:lastRowLastColumn="0"/>
            <w:tcW w:w="4390" w:type="dxa"/>
          </w:tcPr>
          <w:p w14:paraId="2A18CA3A" w14:textId="77777777" w:rsidR="00C3276D" w:rsidRPr="00912E0C" w:rsidRDefault="00C3276D" w:rsidP="009A5284">
            <w:pPr>
              <w:rPr>
                <w:rFonts w:ascii="Cambria" w:hAnsi="Cambria"/>
                <w:b w:val="0"/>
              </w:rPr>
            </w:pPr>
          </w:p>
        </w:tc>
        <w:tc>
          <w:tcPr>
            <w:tcW w:w="4677" w:type="dxa"/>
          </w:tcPr>
          <w:p w14:paraId="1412DA7B" w14:textId="77777777" w:rsidR="00C3276D" w:rsidRPr="00FD2E93" w:rsidRDefault="00C3276D" w:rsidP="009A5284">
            <w:pPr>
              <w:cnfStyle w:val="000000000000" w:firstRow="0" w:lastRow="0" w:firstColumn="0" w:lastColumn="0" w:oddVBand="0" w:evenVBand="0" w:oddHBand="0" w:evenHBand="0" w:firstRowFirstColumn="0" w:firstRowLastColumn="0" w:lastRowFirstColumn="0" w:lastRowLastColumn="0"/>
              <w:rPr>
                <w:rFonts w:ascii="Cambria" w:hAnsi="Cambria"/>
              </w:rPr>
            </w:pPr>
            <w:r w:rsidRPr="00FD2E93">
              <w:rPr>
                <w:rFonts w:ascii="Cambria" w:hAnsi="Cambria"/>
              </w:rPr>
              <w:t>Lots of communication still needed to get messages to congregational levels</w:t>
            </w:r>
          </w:p>
        </w:tc>
      </w:tr>
      <w:tr w:rsidR="00C3276D" w:rsidRPr="00FD2E93" w14:paraId="75F619B9" w14:textId="77777777" w:rsidTr="00912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68C5D3B6" w14:textId="77777777" w:rsidR="00C3276D" w:rsidRPr="00912E0C" w:rsidRDefault="00C3276D" w:rsidP="009A5284">
            <w:pPr>
              <w:rPr>
                <w:rFonts w:ascii="Cambria" w:hAnsi="Cambria"/>
                <w:b w:val="0"/>
              </w:rPr>
            </w:pPr>
            <w:r w:rsidRPr="00912E0C">
              <w:rPr>
                <w:rFonts w:ascii="Cambria" w:hAnsi="Cambria"/>
                <w:b w:val="0"/>
              </w:rPr>
              <w:t>Good cross-fertilisation for LM Ctees through EOLM; more integration of LM activity; more probity; more connection between departments with LM focus; more information flow</w:t>
            </w:r>
          </w:p>
        </w:tc>
        <w:tc>
          <w:tcPr>
            <w:tcW w:w="4677" w:type="dxa"/>
          </w:tcPr>
          <w:p w14:paraId="0857D246" w14:textId="77777777" w:rsidR="00C3276D" w:rsidRPr="00FD2E93" w:rsidRDefault="00C3276D" w:rsidP="009A5284">
            <w:pPr>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rPr>
              <w:t>Need to clarify alignment of Finke River Mission to LM department and strategy</w:t>
            </w:r>
          </w:p>
          <w:p w14:paraId="2C2A8326" w14:textId="77777777" w:rsidR="00C3276D" w:rsidRPr="00FD2E93" w:rsidRDefault="00C3276D" w:rsidP="009A5284">
            <w:pPr>
              <w:cnfStyle w:val="000000100000" w:firstRow="0" w:lastRow="0" w:firstColumn="0" w:lastColumn="0" w:oddVBand="0" w:evenVBand="0" w:oddHBand="1" w:evenHBand="0" w:firstRowFirstColumn="0" w:firstRowLastColumn="0" w:lastRowFirstColumn="0" w:lastRowLastColumn="0"/>
              <w:rPr>
                <w:rFonts w:ascii="Cambria" w:hAnsi="Cambria"/>
              </w:rPr>
            </w:pPr>
          </w:p>
        </w:tc>
      </w:tr>
      <w:tr w:rsidR="00C3276D" w:rsidRPr="00FD2E93" w14:paraId="309568A4" w14:textId="77777777" w:rsidTr="00912E0C">
        <w:tc>
          <w:tcPr>
            <w:cnfStyle w:val="001000000000" w:firstRow="0" w:lastRow="0" w:firstColumn="1" w:lastColumn="0" w:oddVBand="0" w:evenVBand="0" w:oddHBand="0" w:evenHBand="0" w:firstRowFirstColumn="0" w:firstRowLastColumn="0" w:lastRowFirstColumn="0" w:lastRowLastColumn="0"/>
            <w:tcW w:w="4390" w:type="dxa"/>
          </w:tcPr>
          <w:p w14:paraId="7D45D500" w14:textId="77777777" w:rsidR="00C3276D" w:rsidRPr="00912E0C" w:rsidRDefault="00C3276D" w:rsidP="009A5284">
            <w:pPr>
              <w:rPr>
                <w:rFonts w:ascii="Cambria" w:hAnsi="Cambria"/>
                <w:b w:val="0"/>
              </w:rPr>
            </w:pPr>
          </w:p>
        </w:tc>
        <w:tc>
          <w:tcPr>
            <w:tcW w:w="4677" w:type="dxa"/>
          </w:tcPr>
          <w:p w14:paraId="7B095882" w14:textId="77777777" w:rsidR="00C3276D" w:rsidRPr="00FD2E93" w:rsidRDefault="00C3276D" w:rsidP="009A5284">
            <w:pPr>
              <w:cnfStyle w:val="000000000000" w:firstRow="0" w:lastRow="0" w:firstColumn="0" w:lastColumn="0" w:oddVBand="0" w:evenVBand="0" w:oddHBand="0" w:evenHBand="0" w:firstRowFirstColumn="0" w:firstRowLastColumn="0" w:lastRowFirstColumn="0" w:lastRowLastColumn="0"/>
              <w:rPr>
                <w:rFonts w:ascii="Cambria" w:hAnsi="Cambria"/>
              </w:rPr>
            </w:pPr>
            <w:r w:rsidRPr="00FD2E93">
              <w:rPr>
                <w:rFonts w:ascii="Cambria" w:hAnsi="Cambria"/>
              </w:rPr>
              <w:t>Schools Ministry still needs attention; lay chaplains need engagement and support</w:t>
            </w:r>
          </w:p>
        </w:tc>
      </w:tr>
      <w:tr w:rsidR="00C3276D" w:rsidRPr="00FD2E93" w14:paraId="2961B850" w14:textId="77777777" w:rsidTr="00912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6EDC2754" w14:textId="77777777" w:rsidR="00C3276D" w:rsidRPr="00912E0C" w:rsidRDefault="00C3276D" w:rsidP="009A5284">
            <w:pPr>
              <w:rPr>
                <w:rFonts w:ascii="Cambria" w:hAnsi="Cambria"/>
                <w:b w:val="0"/>
              </w:rPr>
            </w:pPr>
            <w:r w:rsidRPr="00912E0C">
              <w:rPr>
                <w:rFonts w:ascii="Cambria" w:hAnsi="Cambria"/>
                <w:b w:val="0"/>
              </w:rPr>
              <w:lastRenderedPageBreak/>
              <w:t>Much improved progress on Cross Cultural mission work (research, reports, throughput); the restructuring has provided focus and time to attend to mission; has raised the profile and awareness of this as a contemporary issue in Church</w:t>
            </w:r>
          </w:p>
          <w:p w14:paraId="0EDDB3DC" w14:textId="77777777" w:rsidR="00C3276D" w:rsidRPr="00912E0C" w:rsidRDefault="00C3276D" w:rsidP="009A5284">
            <w:pPr>
              <w:rPr>
                <w:rFonts w:ascii="Cambria" w:hAnsi="Cambria"/>
                <w:b w:val="0"/>
              </w:rPr>
            </w:pPr>
          </w:p>
        </w:tc>
        <w:tc>
          <w:tcPr>
            <w:tcW w:w="4677" w:type="dxa"/>
          </w:tcPr>
          <w:p w14:paraId="6A49B997" w14:textId="77777777" w:rsidR="00C3276D" w:rsidRPr="00FD2E93" w:rsidRDefault="00C3276D" w:rsidP="009A5284">
            <w:pPr>
              <w:cnfStyle w:val="000000100000" w:firstRow="0" w:lastRow="0" w:firstColumn="0" w:lastColumn="0" w:oddVBand="0" w:evenVBand="0" w:oddHBand="1" w:evenHBand="0" w:firstRowFirstColumn="0" w:firstRowLastColumn="0" w:lastRowFirstColumn="0" w:lastRowLastColumn="0"/>
              <w:rPr>
                <w:rFonts w:ascii="Cambria" w:hAnsi="Cambria"/>
              </w:rPr>
            </w:pPr>
          </w:p>
        </w:tc>
      </w:tr>
      <w:tr w:rsidR="00C3276D" w:rsidRPr="00FD2E93" w14:paraId="30461C74" w14:textId="77777777" w:rsidTr="00912E0C">
        <w:tc>
          <w:tcPr>
            <w:cnfStyle w:val="001000000000" w:firstRow="0" w:lastRow="0" w:firstColumn="1" w:lastColumn="0" w:oddVBand="0" w:evenVBand="0" w:oddHBand="0" w:evenHBand="0" w:firstRowFirstColumn="0" w:firstRowLastColumn="0" w:lastRowFirstColumn="0" w:lastRowLastColumn="0"/>
            <w:tcW w:w="4390" w:type="dxa"/>
          </w:tcPr>
          <w:p w14:paraId="24E8A277" w14:textId="77777777" w:rsidR="00C3276D" w:rsidRPr="00912E0C" w:rsidRDefault="00C3276D" w:rsidP="009A5284">
            <w:pPr>
              <w:rPr>
                <w:rFonts w:ascii="Cambria" w:hAnsi="Cambria"/>
                <w:b w:val="0"/>
              </w:rPr>
            </w:pPr>
            <w:r w:rsidRPr="00912E0C">
              <w:rPr>
                <w:rFonts w:ascii="Cambria" w:hAnsi="Cambria"/>
                <w:b w:val="0"/>
              </w:rPr>
              <w:t>The changes are going in the right direction and need to be sustained; the increased focus on mission is tangible</w:t>
            </w:r>
          </w:p>
          <w:p w14:paraId="0BAD7B10" w14:textId="77777777" w:rsidR="00C3276D" w:rsidRPr="00912E0C" w:rsidRDefault="00C3276D" w:rsidP="009A5284">
            <w:pPr>
              <w:rPr>
                <w:rFonts w:ascii="Cambria" w:hAnsi="Cambria"/>
                <w:b w:val="0"/>
              </w:rPr>
            </w:pPr>
          </w:p>
        </w:tc>
        <w:tc>
          <w:tcPr>
            <w:tcW w:w="4677" w:type="dxa"/>
          </w:tcPr>
          <w:p w14:paraId="1956C166" w14:textId="77777777" w:rsidR="00C3276D" w:rsidRPr="00FD2E93" w:rsidRDefault="00C3276D" w:rsidP="009A5284">
            <w:pPr>
              <w:cnfStyle w:val="000000000000" w:firstRow="0" w:lastRow="0" w:firstColumn="0" w:lastColumn="0" w:oddVBand="0" w:evenVBand="0" w:oddHBand="0" w:evenHBand="0" w:firstRowFirstColumn="0" w:firstRowLastColumn="0" w:lastRowFirstColumn="0" w:lastRowLastColumn="0"/>
              <w:rPr>
                <w:rFonts w:ascii="Cambria" w:hAnsi="Cambria"/>
              </w:rPr>
            </w:pPr>
            <w:r w:rsidRPr="00FD2E93">
              <w:rPr>
                <w:rFonts w:ascii="Cambria" w:hAnsi="Cambria"/>
              </w:rPr>
              <w:t>Concern of any further changes eg to Board of LM; just gaining momentum and sense of breadth/scope of role</w:t>
            </w:r>
          </w:p>
        </w:tc>
      </w:tr>
      <w:tr w:rsidR="00C3276D" w:rsidRPr="00FD2E93" w14:paraId="77363329" w14:textId="77777777" w:rsidTr="00912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2"/>
            <w:shd w:val="clear" w:color="auto" w:fill="A6A6A6" w:themeFill="background1" w:themeFillShade="A6"/>
          </w:tcPr>
          <w:p w14:paraId="7EEA2263" w14:textId="4D2EE5BF" w:rsidR="00C3276D" w:rsidRPr="00FD2E93" w:rsidRDefault="00C3276D" w:rsidP="009A5284">
            <w:pPr>
              <w:rPr>
                <w:rFonts w:ascii="Cambria" w:hAnsi="Cambria"/>
              </w:rPr>
            </w:pPr>
            <w:r w:rsidRPr="00912E0C">
              <w:rPr>
                <w:rFonts w:ascii="Cambria" w:hAnsi="Cambria"/>
              </w:rPr>
              <w:t>Communic</w:t>
            </w:r>
            <w:r w:rsidR="00912E0C">
              <w:rPr>
                <w:rFonts w:ascii="Cambria" w:hAnsi="Cambria"/>
              </w:rPr>
              <w:t>ations Functions and Department</w:t>
            </w:r>
          </w:p>
        </w:tc>
      </w:tr>
      <w:tr w:rsidR="00C3276D" w:rsidRPr="00FD2E93" w14:paraId="5E8A2F9A" w14:textId="77777777" w:rsidTr="00912E0C">
        <w:tc>
          <w:tcPr>
            <w:cnfStyle w:val="001000000000" w:firstRow="0" w:lastRow="0" w:firstColumn="1" w:lastColumn="0" w:oddVBand="0" w:evenVBand="0" w:oddHBand="0" w:evenHBand="0" w:firstRowFirstColumn="0" w:firstRowLastColumn="0" w:lastRowFirstColumn="0" w:lastRowLastColumn="0"/>
            <w:tcW w:w="4390" w:type="dxa"/>
          </w:tcPr>
          <w:p w14:paraId="73088934" w14:textId="574E80A1" w:rsidR="00C3276D" w:rsidRPr="00912E0C" w:rsidRDefault="00C3276D" w:rsidP="009A5284">
            <w:pPr>
              <w:rPr>
                <w:rFonts w:ascii="Cambria" w:hAnsi="Cambria"/>
                <w:b w:val="0"/>
              </w:rPr>
            </w:pPr>
            <w:r w:rsidRPr="00912E0C">
              <w:rPr>
                <w:rFonts w:ascii="Cambria" w:hAnsi="Cambria"/>
                <w:b w:val="0"/>
              </w:rPr>
              <w:t>Can disseminate messages for whole Church quickly; redevelopment of w</w:t>
            </w:r>
            <w:r w:rsidR="00912E0C">
              <w:rPr>
                <w:rFonts w:ascii="Cambria" w:hAnsi="Cambria"/>
                <w:b w:val="0"/>
              </w:rPr>
              <w:t>ebsites a valuable contribution</w:t>
            </w:r>
          </w:p>
        </w:tc>
        <w:tc>
          <w:tcPr>
            <w:tcW w:w="4677" w:type="dxa"/>
          </w:tcPr>
          <w:p w14:paraId="29849663" w14:textId="77777777" w:rsidR="00C3276D" w:rsidRPr="00FD2E93" w:rsidRDefault="00C3276D" w:rsidP="009A5284">
            <w:pPr>
              <w:cnfStyle w:val="000000000000" w:firstRow="0" w:lastRow="0" w:firstColumn="0" w:lastColumn="0" w:oddVBand="0" w:evenVBand="0" w:oddHBand="0" w:evenHBand="0" w:firstRowFirstColumn="0" w:firstRowLastColumn="0" w:lastRowFirstColumn="0" w:lastRowLastColumn="0"/>
              <w:rPr>
                <w:rFonts w:ascii="Cambria" w:hAnsi="Cambria"/>
              </w:rPr>
            </w:pPr>
            <w:r w:rsidRPr="00FD2E93">
              <w:rPr>
                <w:rFonts w:ascii="Cambria" w:hAnsi="Cambria"/>
              </w:rPr>
              <w:t>Roll-out of services could benefit from more communication itself. Need to communicate if expected timelines will not be met.</w:t>
            </w:r>
          </w:p>
        </w:tc>
      </w:tr>
      <w:tr w:rsidR="00C3276D" w:rsidRPr="00FD2E93" w14:paraId="7768A69A" w14:textId="77777777" w:rsidTr="00912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1D6F86FF" w14:textId="75F797FC" w:rsidR="00C3276D" w:rsidRPr="00912E0C" w:rsidRDefault="00912E0C" w:rsidP="009A5284">
            <w:pPr>
              <w:rPr>
                <w:rFonts w:ascii="Cambria" w:hAnsi="Cambria"/>
                <w:b w:val="0"/>
              </w:rPr>
            </w:pPr>
            <w:r w:rsidRPr="00912E0C">
              <w:rPr>
                <w:rFonts w:ascii="Cambria" w:hAnsi="Cambria"/>
                <w:b w:val="0"/>
              </w:rPr>
              <w:t>Contracted communication</w:t>
            </w:r>
            <w:r w:rsidR="00C3276D" w:rsidRPr="00912E0C">
              <w:rPr>
                <w:rFonts w:ascii="Cambria" w:hAnsi="Cambria"/>
                <w:b w:val="0"/>
              </w:rPr>
              <w:t xml:space="preserve">s services for District very valued and efficient </w:t>
            </w:r>
            <w:r w:rsidRPr="00912E0C">
              <w:rPr>
                <w:rFonts w:ascii="Cambria" w:hAnsi="Cambria"/>
                <w:b w:val="0"/>
              </w:rPr>
              <w:t>e.g.</w:t>
            </w:r>
            <w:r>
              <w:rPr>
                <w:rFonts w:ascii="Cambria" w:hAnsi="Cambria"/>
                <w:b w:val="0"/>
              </w:rPr>
              <w:t xml:space="preserve"> journalist</w:t>
            </w:r>
          </w:p>
        </w:tc>
        <w:tc>
          <w:tcPr>
            <w:tcW w:w="4677" w:type="dxa"/>
          </w:tcPr>
          <w:p w14:paraId="5A9A9590" w14:textId="77777777" w:rsidR="00C3276D" w:rsidRPr="00FD2E93" w:rsidRDefault="00C3276D" w:rsidP="009A5284">
            <w:pPr>
              <w:cnfStyle w:val="000000100000" w:firstRow="0" w:lastRow="0" w:firstColumn="0" w:lastColumn="0" w:oddVBand="0" w:evenVBand="0" w:oddHBand="1" w:evenHBand="0" w:firstRowFirstColumn="0" w:firstRowLastColumn="0" w:lastRowFirstColumn="0" w:lastRowLastColumn="0"/>
              <w:rPr>
                <w:rFonts w:ascii="Cambria" w:hAnsi="Cambria"/>
              </w:rPr>
            </w:pPr>
          </w:p>
        </w:tc>
      </w:tr>
      <w:tr w:rsidR="00C3276D" w:rsidRPr="00FD2E93" w14:paraId="6E1F3E07" w14:textId="77777777" w:rsidTr="00912E0C">
        <w:tc>
          <w:tcPr>
            <w:cnfStyle w:val="001000000000" w:firstRow="0" w:lastRow="0" w:firstColumn="1" w:lastColumn="0" w:oddVBand="0" w:evenVBand="0" w:oddHBand="0" w:evenHBand="0" w:firstRowFirstColumn="0" w:firstRowLastColumn="0" w:lastRowFirstColumn="0" w:lastRowLastColumn="0"/>
            <w:tcW w:w="4390" w:type="dxa"/>
          </w:tcPr>
          <w:p w14:paraId="2DCD3559" w14:textId="195E72A3" w:rsidR="00C3276D" w:rsidRPr="00912E0C" w:rsidRDefault="00C3276D" w:rsidP="009A5284">
            <w:pPr>
              <w:rPr>
                <w:rFonts w:ascii="Cambria" w:hAnsi="Cambria"/>
                <w:b w:val="0"/>
              </w:rPr>
            </w:pPr>
            <w:r w:rsidRPr="00912E0C">
              <w:rPr>
                <w:rFonts w:ascii="Cambria" w:hAnsi="Cambria"/>
                <w:b w:val="0"/>
              </w:rPr>
              <w:t>Increase consistency in brand, style; quality of outputs, freshness etc as result of collaboration and co</w:t>
            </w:r>
            <w:r w:rsidR="00912E0C">
              <w:rPr>
                <w:rFonts w:ascii="Cambria" w:hAnsi="Cambria"/>
                <w:b w:val="0"/>
              </w:rPr>
              <w:t>operation with Comms Department</w:t>
            </w:r>
          </w:p>
        </w:tc>
        <w:tc>
          <w:tcPr>
            <w:tcW w:w="4677" w:type="dxa"/>
          </w:tcPr>
          <w:p w14:paraId="57979AEC" w14:textId="2E8D1046" w:rsidR="00C3276D" w:rsidRPr="00FD2E93" w:rsidRDefault="00C3276D" w:rsidP="009A5284">
            <w:pPr>
              <w:cnfStyle w:val="000000000000" w:firstRow="0" w:lastRow="0" w:firstColumn="0" w:lastColumn="0" w:oddVBand="0" w:evenVBand="0" w:oddHBand="0" w:evenHBand="0" w:firstRowFirstColumn="0" w:firstRowLastColumn="0" w:lastRowFirstColumn="0" w:lastRowLastColumn="0"/>
              <w:rPr>
                <w:rFonts w:ascii="Cambria" w:hAnsi="Cambria"/>
              </w:rPr>
            </w:pPr>
            <w:r w:rsidRPr="00FD2E93">
              <w:rPr>
                <w:rFonts w:ascii="Cambria" w:hAnsi="Cambria"/>
              </w:rPr>
              <w:t>Efforts needed to get changes requested to website accurate; seems to be frequent changes to personnel who</w:t>
            </w:r>
            <w:r w:rsidR="00912E0C">
              <w:rPr>
                <w:rFonts w:ascii="Cambria" w:hAnsi="Cambria"/>
              </w:rPr>
              <w:t xml:space="preserve"> look after website maintenance</w:t>
            </w:r>
          </w:p>
        </w:tc>
      </w:tr>
      <w:tr w:rsidR="00C3276D" w:rsidRPr="00FD2E93" w14:paraId="00010FC3" w14:textId="77777777" w:rsidTr="00912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4AC1A484" w14:textId="12DCD0BA" w:rsidR="00C3276D" w:rsidRPr="00912E0C" w:rsidRDefault="00C3276D" w:rsidP="009A5284">
            <w:pPr>
              <w:rPr>
                <w:rFonts w:ascii="Cambria" w:hAnsi="Cambria"/>
                <w:b w:val="0"/>
              </w:rPr>
            </w:pPr>
            <w:r w:rsidRPr="00912E0C">
              <w:rPr>
                <w:rFonts w:ascii="Cambria" w:hAnsi="Cambria"/>
                <w:b w:val="0"/>
              </w:rPr>
              <w:t>Improved, proactive consultation from national office re forthcoming events/ milestones; good professional advice and skills provided to enable; collaborative styles evident; more unified service; responsive</w:t>
            </w:r>
            <w:r w:rsidR="00912E0C">
              <w:rPr>
                <w:rFonts w:ascii="Cambria" w:hAnsi="Cambria"/>
                <w:b w:val="0"/>
              </w:rPr>
              <w:t>; quick pick up of their scope.</w:t>
            </w:r>
          </w:p>
        </w:tc>
        <w:tc>
          <w:tcPr>
            <w:tcW w:w="4677" w:type="dxa"/>
          </w:tcPr>
          <w:p w14:paraId="552B7A56" w14:textId="0AA8B845" w:rsidR="00C3276D" w:rsidRPr="00FD2E93" w:rsidRDefault="00C3276D" w:rsidP="009A5284">
            <w:pPr>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rPr>
              <w:t>Need more forward -looking communications strategy: targeted and fresh thinking about what media for which target cohorts and the ‘hard to reach’: scoping of emerging demands and how these will be addressed</w:t>
            </w:r>
            <w:r w:rsidR="00912E0C">
              <w:rPr>
                <w:rFonts w:ascii="Cambria" w:hAnsi="Cambria"/>
              </w:rPr>
              <w:t xml:space="preserve"> – media mix needs to keep pace</w:t>
            </w:r>
          </w:p>
        </w:tc>
      </w:tr>
      <w:tr w:rsidR="00C3276D" w:rsidRPr="00FD2E93" w14:paraId="25A29A7D" w14:textId="77777777" w:rsidTr="00912E0C">
        <w:tc>
          <w:tcPr>
            <w:cnfStyle w:val="001000000000" w:firstRow="0" w:lastRow="0" w:firstColumn="1" w:lastColumn="0" w:oddVBand="0" w:evenVBand="0" w:oddHBand="0" w:evenHBand="0" w:firstRowFirstColumn="0" w:firstRowLastColumn="0" w:lastRowFirstColumn="0" w:lastRowLastColumn="0"/>
            <w:tcW w:w="9067" w:type="dxa"/>
            <w:gridSpan w:val="2"/>
            <w:shd w:val="clear" w:color="auto" w:fill="A6A6A6" w:themeFill="background1" w:themeFillShade="A6"/>
          </w:tcPr>
          <w:p w14:paraId="7069CB21" w14:textId="563734AB" w:rsidR="00C3276D" w:rsidRPr="00FD2E93" w:rsidRDefault="00C3276D" w:rsidP="009A5284">
            <w:pPr>
              <w:rPr>
                <w:rFonts w:ascii="Cambria" w:hAnsi="Cambria"/>
              </w:rPr>
            </w:pPr>
            <w:r w:rsidRPr="00912E0C">
              <w:rPr>
                <w:rFonts w:ascii="Cambria" w:hAnsi="Cambria"/>
              </w:rPr>
              <w:t>Church Worker S</w:t>
            </w:r>
            <w:r w:rsidR="00912E0C">
              <w:rPr>
                <w:rFonts w:ascii="Cambria" w:hAnsi="Cambria"/>
              </w:rPr>
              <w:t>upport Functions and Department</w:t>
            </w:r>
          </w:p>
        </w:tc>
      </w:tr>
      <w:tr w:rsidR="00C3276D" w:rsidRPr="00FD2E93" w14:paraId="5E5ECAB7" w14:textId="77777777" w:rsidTr="00912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229A847A" w14:textId="020C265D" w:rsidR="00C3276D" w:rsidRPr="00912E0C" w:rsidRDefault="00C3276D" w:rsidP="009A5284">
            <w:pPr>
              <w:rPr>
                <w:rFonts w:ascii="Cambria" w:hAnsi="Cambria"/>
                <w:b w:val="0"/>
              </w:rPr>
            </w:pPr>
            <w:r w:rsidRPr="00912E0C">
              <w:rPr>
                <w:rFonts w:ascii="Cambria" w:hAnsi="Cambria"/>
                <w:b w:val="0"/>
              </w:rPr>
              <w:t>Valuable skill set in HR Management = reduced risk to Church, through positive management of some difficult matters; already saving Bi</w:t>
            </w:r>
            <w:r w:rsidR="00912E0C">
              <w:rPr>
                <w:rFonts w:ascii="Cambria" w:hAnsi="Cambria"/>
                <w:b w:val="0"/>
              </w:rPr>
              <w:t>shops’ and District Office time</w:t>
            </w:r>
          </w:p>
        </w:tc>
        <w:tc>
          <w:tcPr>
            <w:tcW w:w="4677" w:type="dxa"/>
          </w:tcPr>
          <w:p w14:paraId="1CD90C1F" w14:textId="77777777" w:rsidR="00C3276D" w:rsidRPr="00FD2E93" w:rsidRDefault="00C3276D" w:rsidP="009A5284">
            <w:pPr>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rPr>
              <w:t>Pastors feeling unsupported; nett effect of governance changes has been no increase in care for Pastors</w:t>
            </w:r>
          </w:p>
          <w:p w14:paraId="4DB2C5E5" w14:textId="77777777" w:rsidR="00C3276D" w:rsidRPr="00FD2E93" w:rsidRDefault="00C3276D" w:rsidP="009A5284">
            <w:pPr>
              <w:cnfStyle w:val="000000100000" w:firstRow="0" w:lastRow="0" w:firstColumn="0" w:lastColumn="0" w:oddVBand="0" w:evenVBand="0" w:oddHBand="1" w:evenHBand="0" w:firstRowFirstColumn="0" w:firstRowLastColumn="0" w:lastRowFirstColumn="0" w:lastRowLastColumn="0"/>
              <w:rPr>
                <w:rFonts w:ascii="Cambria" w:hAnsi="Cambria"/>
              </w:rPr>
            </w:pPr>
          </w:p>
        </w:tc>
      </w:tr>
      <w:tr w:rsidR="00C3276D" w:rsidRPr="00FD2E93" w14:paraId="217ACD6D" w14:textId="77777777" w:rsidTr="00912E0C">
        <w:tc>
          <w:tcPr>
            <w:cnfStyle w:val="001000000000" w:firstRow="0" w:lastRow="0" w:firstColumn="1" w:lastColumn="0" w:oddVBand="0" w:evenVBand="0" w:oddHBand="0" w:evenHBand="0" w:firstRowFirstColumn="0" w:firstRowLastColumn="0" w:lastRowFirstColumn="0" w:lastRowLastColumn="0"/>
            <w:tcW w:w="4390" w:type="dxa"/>
          </w:tcPr>
          <w:p w14:paraId="3EE929BA" w14:textId="57C14FAA" w:rsidR="00C3276D" w:rsidRPr="00912E0C" w:rsidRDefault="00C3276D" w:rsidP="009A5284">
            <w:pPr>
              <w:rPr>
                <w:rFonts w:ascii="Cambria" w:hAnsi="Cambria"/>
                <w:b w:val="0"/>
              </w:rPr>
            </w:pPr>
            <w:r w:rsidRPr="00912E0C">
              <w:rPr>
                <w:rFonts w:ascii="Cambria" w:hAnsi="Cambria"/>
                <w:b w:val="0"/>
              </w:rPr>
              <w:t>Positive grassroots effects from creation of CWS Department: prompt, diligent, helpful service from ‘one stop shop’; jo</w:t>
            </w:r>
            <w:r w:rsidR="00912E0C">
              <w:rPr>
                <w:rFonts w:ascii="Cambria" w:hAnsi="Cambria"/>
                <w:b w:val="0"/>
              </w:rPr>
              <w:t>int approach to problem solving</w:t>
            </w:r>
          </w:p>
        </w:tc>
        <w:tc>
          <w:tcPr>
            <w:tcW w:w="4677" w:type="dxa"/>
          </w:tcPr>
          <w:p w14:paraId="11F28F94" w14:textId="77777777" w:rsidR="00C3276D" w:rsidRPr="00FD2E93" w:rsidRDefault="00C3276D" w:rsidP="009A5284">
            <w:pPr>
              <w:cnfStyle w:val="000000000000" w:firstRow="0" w:lastRow="0" w:firstColumn="0" w:lastColumn="0" w:oddVBand="0" w:evenVBand="0" w:oddHBand="0" w:evenHBand="0" w:firstRowFirstColumn="0" w:firstRowLastColumn="0" w:lastRowFirstColumn="0" w:lastRowLastColumn="0"/>
              <w:rPr>
                <w:rFonts w:ascii="Cambria" w:hAnsi="Cambria"/>
              </w:rPr>
            </w:pPr>
            <w:r w:rsidRPr="00FD2E93">
              <w:rPr>
                <w:rFonts w:ascii="Cambria" w:hAnsi="Cambria"/>
              </w:rPr>
              <w:t>Congregations still in learning mode and cause issues</w:t>
            </w:r>
          </w:p>
        </w:tc>
      </w:tr>
      <w:tr w:rsidR="00C3276D" w:rsidRPr="00FD2E93" w14:paraId="304705B3" w14:textId="77777777" w:rsidTr="00912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2B315381" w14:textId="3A8CA9F3" w:rsidR="00C3276D" w:rsidRPr="00912E0C" w:rsidRDefault="00C3276D" w:rsidP="009A5284">
            <w:pPr>
              <w:rPr>
                <w:rFonts w:ascii="Cambria" w:hAnsi="Cambria"/>
                <w:b w:val="0"/>
              </w:rPr>
            </w:pPr>
            <w:r w:rsidRPr="00912E0C">
              <w:rPr>
                <w:rFonts w:ascii="Cambria" w:hAnsi="Cambria"/>
                <w:b w:val="0"/>
              </w:rPr>
              <w:t>Less volunteers managing staff matte</w:t>
            </w:r>
            <w:r w:rsidR="00912E0C">
              <w:rPr>
                <w:rFonts w:ascii="Cambria" w:hAnsi="Cambria"/>
                <w:b w:val="0"/>
              </w:rPr>
              <w:t>rs = reduced risk to the Church</w:t>
            </w:r>
          </w:p>
        </w:tc>
        <w:tc>
          <w:tcPr>
            <w:tcW w:w="4677" w:type="dxa"/>
          </w:tcPr>
          <w:p w14:paraId="7C99B879" w14:textId="32536BF2" w:rsidR="00C3276D" w:rsidRPr="00FD2E93" w:rsidRDefault="00C3276D" w:rsidP="009A5284">
            <w:pPr>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rPr>
              <w:t>Need more engagement with su</w:t>
            </w:r>
            <w:r w:rsidR="00912E0C">
              <w:rPr>
                <w:rFonts w:ascii="Cambria" w:hAnsi="Cambria"/>
              </w:rPr>
              <w:t>pport for lay chaplains/schools</w:t>
            </w:r>
          </w:p>
        </w:tc>
      </w:tr>
      <w:tr w:rsidR="00C3276D" w:rsidRPr="00FD2E93" w14:paraId="40F9CF85" w14:textId="77777777" w:rsidTr="00912E0C">
        <w:tc>
          <w:tcPr>
            <w:cnfStyle w:val="001000000000" w:firstRow="0" w:lastRow="0" w:firstColumn="1" w:lastColumn="0" w:oddVBand="0" w:evenVBand="0" w:oddHBand="0" w:evenHBand="0" w:firstRowFirstColumn="0" w:firstRowLastColumn="0" w:lastRowFirstColumn="0" w:lastRowLastColumn="0"/>
            <w:tcW w:w="4390" w:type="dxa"/>
          </w:tcPr>
          <w:p w14:paraId="2FB274BA" w14:textId="77777777" w:rsidR="00C3276D" w:rsidRPr="00912E0C" w:rsidRDefault="00C3276D" w:rsidP="009A5284">
            <w:pPr>
              <w:rPr>
                <w:rFonts w:ascii="Cambria" w:hAnsi="Cambria"/>
                <w:b w:val="0"/>
              </w:rPr>
            </w:pPr>
            <w:r w:rsidRPr="00912E0C">
              <w:rPr>
                <w:rFonts w:ascii="Cambria" w:hAnsi="Cambria"/>
                <w:b w:val="0"/>
              </w:rPr>
              <w:t>Improved quality of policy devt and writing noted for GCC level; prepared to listen and debate content</w:t>
            </w:r>
          </w:p>
        </w:tc>
        <w:tc>
          <w:tcPr>
            <w:tcW w:w="4677" w:type="dxa"/>
          </w:tcPr>
          <w:p w14:paraId="6C34CF18" w14:textId="6C57E75A" w:rsidR="00C3276D" w:rsidRPr="00FD2E93" w:rsidRDefault="00C3276D" w:rsidP="009A5284">
            <w:pPr>
              <w:cnfStyle w:val="000000000000" w:firstRow="0" w:lastRow="0" w:firstColumn="0" w:lastColumn="0" w:oddVBand="0" w:evenVBand="0" w:oddHBand="0" w:evenHBand="0" w:firstRowFirstColumn="0" w:firstRowLastColumn="0" w:lastRowFirstColumn="0" w:lastRowLastColumn="0"/>
              <w:rPr>
                <w:rFonts w:ascii="Cambria" w:hAnsi="Cambria"/>
              </w:rPr>
            </w:pPr>
            <w:r w:rsidRPr="00FD2E93">
              <w:rPr>
                <w:rFonts w:ascii="Cambria" w:hAnsi="Cambria"/>
              </w:rPr>
              <w:t>Need work on suc</w:t>
            </w:r>
            <w:r w:rsidR="00912E0C">
              <w:rPr>
                <w:rFonts w:ascii="Cambria" w:hAnsi="Cambria"/>
              </w:rPr>
              <w:t>cession planning for pastors; me</w:t>
            </w:r>
            <w:r w:rsidRPr="00FD2E93">
              <w:rPr>
                <w:rFonts w:ascii="Cambria" w:hAnsi="Cambria"/>
              </w:rPr>
              <w:t>dian age is 55; many retirements imminent</w:t>
            </w:r>
          </w:p>
        </w:tc>
      </w:tr>
      <w:tr w:rsidR="00C3276D" w:rsidRPr="00FD2E93" w14:paraId="0244704A" w14:textId="77777777" w:rsidTr="00912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33CD9FCB" w14:textId="2F3C1188" w:rsidR="00C3276D" w:rsidRPr="00912E0C" w:rsidRDefault="00C3276D" w:rsidP="009A5284">
            <w:pPr>
              <w:rPr>
                <w:rFonts w:ascii="Cambria" w:hAnsi="Cambria"/>
                <w:b w:val="0"/>
              </w:rPr>
            </w:pPr>
            <w:r w:rsidRPr="00912E0C">
              <w:rPr>
                <w:rFonts w:ascii="Cambria" w:hAnsi="Cambria"/>
                <w:b w:val="0"/>
              </w:rPr>
              <w:t xml:space="preserve">Increasing focus on professional devt for pastors and workers provides some </w:t>
            </w:r>
            <w:r w:rsidR="00912E0C">
              <w:rPr>
                <w:rFonts w:ascii="Cambria" w:hAnsi="Cambria"/>
                <w:b w:val="0"/>
              </w:rPr>
              <w:t>reassurance about future skills</w:t>
            </w:r>
          </w:p>
        </w:tc>
        <w:tc>
          <w:tcPr>
            <w:tcW w:w="4677" w:type="dxa"/>
          </w:tcPr>
          <w:p w14:paraId="72780AD5" w14:textId="77777777" w:rsidR="00C3276D" w:rsidRPr="00FD2E93" w:rsidRDefault="00C3276D" w:rsidP="009A5284">
            <w:pPr>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rPr>
              <w:t>Need increased focus on performance assessment and reviews of role scope, going forward</w:t>
            </w:r>
          </w:p>
        </w:tc>
      </w:tr>
      <w:tr w:rsidR="00C3276D" w:rsidRPr="00FD2E93" w14:paraId="682C5F5C" w14:textId="77777777" w:rsidTr="00912E0C">
        <w:tc>
          <w:tcPr>
            <w:cnfStyle w:val="001000000000" w:firstRow="0" w:lastRow="0" w:firstColumn="1" w:lastColumn="0" w:oddVBand="0" w:evenVBand="0" w:oddHBand="0" w:evenHBand="0" w:firstRowFirstColumn="0" w:firstRowLastColumn="0" w:lastRowFirstColumn="0" w:lastRowLastColumn="0"/>
            <w:tcW w:w="9067" w:type="dxa"/>
            <w:gridSpan w:val="2"/>
            <w:shd w:val="clear" w:color="auto" w:fill="A6A6A6" w:themeFill="background1" w:themeFillShade="A6"/>
          </w:tcPr>
          <w:p w14:paraId="1460FF3C" w14:textId="7F73A628" w:rsidR="00C3276D" w:rsidRPr="00FD2E93" w:rsidRDefault="00C3276D" w:rsidP="009A5284">
            <w:pPr>
              <w:rPr>
                <w:rFonts w:ascii="Cambria" w:hAnsi="Cambria"/>
              </w:rPr>
            </w:pPr>
            <w:r w:rsidRPr="00912E0C">
              <w:rPr>
                <w:rFonts w:ascii="Cambria" w:hAnsi="Cambria"/>
              </w:rPr>
              <w:t>Finance and Administration F</w:t>
            </w:r>
            <w:r w:rsidR="00912E0C">
              <w:rPr>
                <w:rFonts w:ascii="Cambria" w:hAnsi="Cambria"/>
              </w:rPr>
              <w:t>unctions and Department (F &amp; A)</w:t>
            </w:r>
          </w:p>
        </w:tc>
      </w:tr>
      <w:tr w:rsidR="00C3276D" w:rsidRPr="00FD2E93" w14:paraId="14FD39F2" w14:textId="77777777" w:rsidTr="00912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09533FF7" w14:textId="77777777" w:rsidR="00C3276D" w:rsidRPr="00912E0C" w:rsidRDefault="00C3276D" w:rsidP="009A5284">
            <w:pPr>
              <w:rPr>
                <w:rFonts w:ascii="Cambria" w:hAnsi="Cambria"/>
                <w:b w:val="0"/>
              </w:rPr>
            </w:pPr>
            <w:r w:rsidRPr="00912E0C">
              <w:rPr>
                <w:rFonts w:ascii="Cambria" w:hAnsi="Cambria"/>
                <w:b w:val="0"/>
              </w:rPr>
              <w:t>Better reporting now (F&amp;A); more aligned and integrated reporting; The F &amp; A Dept doing best they can with resources they have;</w:t>
            </w:r>
          </w:p>
          <w:p w14:paraId="59C99DA7" w14:textId="77777777" w:rsidR="00C3276D" w:rsidRPr="00912E0C" w:rsidRDefault="00C3276D" w:rsidP="009A5284">
            <w:pPr>
              <w:rPr>
                <w:rFonts w:ascii="Cambria" w:hAnsi="Cambria"/>
                <w:b w:val="0"/>
              </w:rPr>
            </w:pPr>
            <w:r w:rsidRPr="00912E0C">
              <w:rPr>
                <w:rFonts w:ascii="Cambria" w:hAnsi="Cambria"/>
                <w:b w:val="0"/>
              </w:rPr>
              <w:t>Significant progress in past 5 years</w:t>
            </w:r>
          </w:p>
        </w:tc>
        <w:tc>
          <w:tcPr>
            <w:tcW w:w="4677" w:type="dxa"/>
          </w:tcPr>
          <w:p w14:paraId="26B1EEFB" w14:textId="77777777" w:rsidR="00C3276D" w:rsidRPr="00FD2E93" w:rsidRDefault="00C3276D" w:rsidP="009A5284">
            <w:pPr>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rPr>
              <w:t>But still need better budget reporting; cannot get accurate or consolidated reporting; worrying to a number of Ctees etc; hard to provide oversight.</w:t>
            </w:r>
          </w:p>
          <w:p w14:paraId="1329C876" w14:textId="77777777" w:rsidR="00C3276D" w:rsidRPr="00FD2E93" w:rsidRDefault="00C3276D" w:rsidP="009A5284">
            <w:pPr>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rPr>
              <w:t>Need analysis skills/ role and oversight mechanisms once new platform in place.</w:t>
            </w:r>
          </w:p>
          <w:p w14:paraId="44FC0FF6" w14:textId="77777777" w:rsidR="00C3276D" w:rsidRPr="00FD2E93" w:rsidRDefault="00C3276D" w:rsidP="009A5284">
            <w:pPr>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rPr>
              <w:t>Ctees need to be treated as a ‘customer’ is assessment of reporting requirements.</w:t>
            </w:r>
          </w:p>
        </w:tc>
      </w:tr>
      <w:tr w:rsidR="00C3276D" w:rsidRPr="00FD2E93" w14:paraId="02614138" w14:textId="77777777" w:rsidTr="00912E0C">
        <w:tc>
          <w:tcPr>
            <w:cnfStyle w:val="001000000000" w:firstRow="0" w:lastRow="0" w:firstColumn="1" w:lastColumn="0" w:oddVBand="0" w:evenVBand="0" w:oddHBand="0" w:evenHBand="0" w:firstRowFirstColumn="0" w:firstRowLastColumn="0" w:lastRowFirstColumn="0" w:lastRowLastColumn="0"/>
            <w:tcW w:w="4390" w:type="dxa"/>
          </w:tcPr>
          <w:p w14:paraId="51A4A9C4" w14:textId="77777777" w:rsidR="00C3276D" w:rsidRPr="00912E0C" w:rsidRDefault="00C3276D" w:rsidP="009A5284">
            <w:pPr>
              <w:rPr>
                <w:rFonts w:ascii="Cambria" w:hAnsi="Cambria"/>
                <w:b w:val="0"/>
              </w:rPr>
            </w:pPr>
            <w:r w:rsidRPr="00912E0C">
              <w:rPr>
                <w:rFonts w:ascii="Cambria" w:hAnsi="Cambria"/>
                <w:b w:val="0"/>
              </w:rPr>
              <w:lastRenderedPageBreak/>
              <w:t>Ctees now recognise more accountability to LCA for LCA funds</w:t>
            </w:r>
          </w:p>
        </w:tc>
        <w:tc>
          <w:tcPr>
            <w:tcW w:w="4677" w:type="dxa"/>
          </w:tcPr>
          <w:p w14:paraId="3511AE87" w14:textId="77777777" w:rsidR="00C3276D" w:rsidRPr="00FD2E93" w:rsidRDefault="00C3276D" w:rsidP="009A5284">
            <w:pPr>
              <w:cnfStyle w:val="000000000000" w:firstRow="0" w:lastRow="0" w:firstColumn="0" w:lastColumn="0" w:oddVBand="0" w:evenVBand="0" w:oddHBand="0" w:evenHBand="0" w:firstRowFirstColumn="0" w:firstRowLastColumn="0" w:lastRowFirstColumn="0" w:lastRowLastColumn="0"/>
              <w:rPr>
                <w:rFonts w:ascii="Cambria" w:hAnsi="Cambria"/>
              </w:rPr>
            </w:pPr>
            <w:r w:rsidRPr="00FD2E93">
              <w:rPr>
                <w:rFonts w:ascii="Cambria" w:hAnsi="Cambria"/>
              </w:rPr>
              <w:t>Need to take a strategic view of our financial mgmt. needs; need an Investment Fund</w:t>
            </w:r>
          </w:p>
        </w:tc>
      </w:tr>
      <w:tr w:rsidR="00C3276D" w:rsidRPr="00FD2E93" w14:paraId="0B65EEDD" w14:textId="77777777" w:rsidTr="00912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680FC274" w14:textId="77777777" w:rsidR="00C3276D" w:rsidRPr="00912E0C" w:rsidRDefault="00C3276D" w:rsidP="009A5284">
            <w:pPr>
              <w:rPr>
                <w:rFonts w:ascii="Cambria" w:hAnsi="Cambria"/>
                <w:b w:val="0"/>
              </w:rPr>
            </w:pPr>
            <w:r w:rsidRPr="00912E0C">
              <w:rPr>
                <w:rFonts w:ascii="Cambria" w:hAnsi="Cambria"/>
                <w:b w:val="0"/>
              </w:rPr>
              <w:t>Useful F &amp; A Ctee: much improved financial mgmt. (early win from Governance Review)</w:t>
            </w:r>
          </w:p>
        </w:tc>
        <w:tc>
          <w:tcPr>
            <w:tcW w:w="4677" w:type="dxa"/>
          </w:tcPr>
          <w:p w14:paraId="3FA3D66D" w14:textId="77777777" w:rsidR="00C3276D" w:rsidRPr="00FD2E93" w:rsidRDefault="00C3276D" w:rsidP="009A5284">
            <w:pPr>
              <w:cnfStyle w:val="000000100000" w:firstRow="0" w:lastRow="0" w:firstColumn="0" w:lastColumn="0" w:oddVBand="0" w:evenVBand="0" w:oddHBand="1" w:evenHBand="0" w:firstRowFirstColumn="0" w:firstRowLastColumn="0" w:lastRowFirstColumn="0" w:lastRowLastColumn="0"/>
              <w:rPr>
                <w:rFonts w:ascii="Cambria" w:hAnsi="Cambria"/>
              </w:rPr>
            </w:pPr>
          </w:p>
        </w:tc>
      </w:tr>
      <w:tr w:rsidR="00C3276D" w:rsidRPr="00FD2E93" w14:paraId="62A452A3" w14:textId="77777777" w:rsidTr="00912E0C">
        <w:tc>
          <w:tcPr>
            <w:cnfStyle w:val="001000000000" w:firstRow="0" w:lastRow="0" w:firstColumn="1" w:lastColumn="0" w:oddVBand="0" w:evenVBand="0" w:oddHBand="0" w:evenHBand="0" w:firstRowFirstColumn="0" w:firstRowLastColumn="0" w:lastRowFirstColumn="0" w:lastRowLastColumn="0"/>
            <w:tcW w:w="4390" w:type="dxa"/>
          </w:tcPr>
          <w:p w14:paraId="608950E7" w14:textId="77777777" w:rsidR="00C3276D" w:rsidRPr="00912E0C" w:rsidRDefault="00C3276D" w:rsidP="009A5284">
            <w:pPr>
              <w:rPr>
                <w:rFonts w:ascii="Cambria" w:hAnsi="Cambria"/>
                <w:b w:val="0"/>
              </w:rPr>
            </w:pPr>
          </w:p>
        </w:tc>
        <w:tc>
          <w:tcPr>
            <w:tcW w:w="4677" w:type="dxa"/>
          </w:tcPr>
          <w:p w14:paraId="0EF185BD" w14:textId="77777777" w:rsidR="00C3276D" w:rsidRPr="00FD2E93" w:rsidRDefault="00C3276D" w:rsidP="009A5284">
            <w:pPr>
              <w:cnfStyle w:val="000000000000" w:firstRow="0" w:lastRow="0" w:firstColumn="0" w:lastColumn="0" w:oddVBand="0" w:evenVBand="0" w:oddHBand="0" w:evenHBand="0" w:firstRowFirstColumn="0" w:firstRowLastColumn="0" w:lastRowFirstColumn="0" w:lastRowLastColumn="0"/>
              <w:rPr>
                <w:rFonts w:ascii="Cambria" w:hAnsi="Cambria"/>
              </w:rPr>
            </w:pPr>
            <w:r w:rsidRPr="00FD2E93">
              <w:rPr>
                <w:rFonts w:ascii="Cambria" w:hAnsi="Cambria"/>
              </w:rPr>
              <w:t>Budget over Synodal term would be a sensible devt for program funding</w:t>
            </w:r>
          </w:p>
        </w:tc>
      </w:tr>
      <w:tr w:rsidR="00C3276D" w:rsidRPr="00FD2E93" w14:paraId="576C7B1E" w14:textId="77777777" w:rsidTr="00912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55033325" w14:textId="77777777" w:rsidR="00C3276D" w:rsidRPr="00912E0C" w:rsidRDefault="00C3276D" w:rsidP="009A5284">
            <w:pPr>
              <w:rPr>
                <w:rFonts w:ascii="Cambria" w:hAnsi="Cambria"/>
                <w:b w:val="0"/>
              </w:rPr>
            </w:pPr>
          </w:p>
        </w:tc>
        <w:tc>
          <w:tcPr>
            <w:tcW w:w="4677" w:type="dxa"/>
          </w:tcPr>
          <w:p w14:paraId="76CDFCE9" w14:textId="77777777" w:rsidR="00C3276D" w:rsidRPr="00FD2E93" w:rsidRDefault="00C3276D" w:rsidP="009A5284">
            <w:pPr>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rPr>
              <w:t>Budget devt process back to front; should be developed in light of strategic and operational plans from Ctee level, not mandated from above</w:t>
            </w:r>
          </w:p>
        </w:tc>
      </w:tr>
      <w:tr w:rsidR="00C3276D" w:rsidRPr="00FD2E93" w14:paraId="24FDF18C" w14:textId="77777777" w:rsidTr="00912E0C">
        <w:tc>
          <w:tcPr>
            <w:cnfStyle w:val="001000000000" w:firstRow="0" w:lastRow="0" w:firstColumn="1" w:lastColumn="0" w:oddVBand="0" w:evenVBand="0" w:oddHBand="0" w:evenHBand="0" w:firstRowFirstColumn="0" w:firstRowLastColumn="0" w:lastRowFirstColumn="0" w:lastRowLastColumn="0"/>
            <w:tcW w:w="4390" w:type="dxa"/>
          </w:tcPr>
          <w:p w14:paraId="77BC0D21" w14:textId="77777777" w:rsidR="00C3276D" w:rsidRPr="00912E0C" w:rsidRDefault="00C3276D" w:rsidP="009A5284">
            <w:pPr>
              <w:rPr>
                <w:rFonts w:ascii="Cambria" w:hAnsi="Cambria"/>
                <w:b w:val="0"/>
              </w:rPr>
            </w:pPr>
          </w:p>
        </w:tc>
        <w:tc>
          <w:tcPr>
            <w:tcW w:w="4677" w:type="dxa"/>
          </w:tcPr>
          <w:p w14:paraId="0450A606" w14:textId="77777777" w:rsidR="00C3276D" w:rsidRPr="00FD2E93" w:rsidRDefault="00C3276D" w:rsidP="009A5284">
            <w:pPr>
              <w:cnfStyle w:val="000000000000" w:firstRow="0" w:lastRow="0" w:firstColumn="0" w:lastColumn="0" w:oddVBand="0" w:evenVBand="0" w:oddHBand="0" w:evenHBand="0" w:firstRowFirstColumn="0" w:firstRowLastColumn="0" w:lastRowFirstColumn="0" w:lastRowLastColumn="0"/>
              <w:rPr>
                <w:rFonts w:ascii="Cambria" w:hAnsi="Cambria"/>
              </w:rPr>
            </w:pPr>
            <w:r w:rsidRPr="00FD2E93">
              <w:rPr>
                <w:rFonts w:ascii="Cambria" w:hAnsi="Cambria"/>
              </w:rPr>
              <w:t>Concern re change effectiveness is dependent on LLL funding as an enabler; need to develop funding models further in consideration of role of Districts</w:t>
            </w:r>
          </w:p>
        </w:tc>
      </w:tr>
      <w:tr w:rsidR="00C3276D" w:rsidRPr="00FD2E93" w14:paraId="6EEF5CA5" w14:textId="77777777" w:rsidTr="00912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3D2858A2" w14:textId="77777777" w:rsidR="00C3276D" w:rsidRPr="00912E0C" w:rsidRDefault="00C3276D" w:rsidP="009A5284">
            <w:pPr>
              <w:rPr>
                <w:rFonts w:ascii="Cambria" w:hAnsi="Cambria"/>
                <w:b w:val="0"/>
              </w:rPr>
            </w:pPr>
          </w:p>
        </w:tc>
        <w:tc>
          <w:tcPr>
            <w:tcW w:w="4677" w:type="dxa"/>
          </w:tcPr>
          <w:p w14:paraId="4FDD1159" w14:textId="77777777" w:rsidR="00C3276D" w:rsidRPr="00FD2E93" w:rsidRDefault="00C3276D" w:rsidP="009A5284">
            <w:pPr>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rPr>
              <w:t xml:space="preserve">Pay processes and timeliness for pastors including locums need to be speedier; need to be mindful of impacts on Centrelink income; on-boarding to HRS needs improved PR </w:t>
            </w:r>
          </w:p>
        </w:tc>
      </w:tr>
      <w:tr w:rsidR="00C3276D" w:rsidRPr="00FD2E93" w14:paraId="1B9F79CD" w14:textId="77777777" w:rsidTr="00912E0C">
        <w:tc>
          <w:tcPr>
            <w:cnfStyle w:val="001000000000" w:firstRow="0" w:lastRow="0" w:firstColumn="1" w:lastColumn="0" w:oddVBand="0" w:evenVBand="0" w:oddHBand="0" w:evenHBand="0" w:firstRowFirstColumn="0" w:firstRowLastColumn="0" w:lastRowFirstColumn="0" w:lastRowLastColumn="0"/>
            <w:tcW w:w="4390" w:type="dxa"/>
          </w:tcPr>
          <w:p w14:paraId="6FC2138F" w14:textId="77777777" w:rsidR="00C3276D" w:rsidRPr="00912E0C" w:rsidRDefault="00C3276D" w:rsidP="009A5284">
            <w:pPr>
              <w:rPr>
                <w:rFonts w:ascii="Cambria" w:hAnsi="Cambria"/>
                <w:b w:val="0"/>
              </w:rPr>
            </w:pPr>
            <w:r w:rsidRPr="00912E0C">
              <w:rPr>
                <w:rFonts w:ascii="Cambria" w:hAnsi="Cambria"/>
                <w:b w:val="0"/>
              </w:rPr>
              <w:t>Good there is a centralised pay service</w:t>
            </w:r>
          </w:p>
          <w:p w14:paraId="03754B44" w14:textId="77777777" w:rsidR="00C3276D" w:rsidRPr="00912E0C" w:rsidRDefault="00C3276D" w:rsidP="009A5284">
            <w:pPr>
              <w:rPr>
                <w:rFonts w:ascii="Cambria" w:hAnsi="Cambria"/>
                <w:b w:val="0"/>
              </w:rPr>
            </w:pPr>
          </w:p>
        </w:tc>
        <w:tc>
          <w:tcPr>
            <w:tcW w:w="4677" w:type="dxa"/>
          </w:tcPr>
          <w:p w14:paraId="45D51BFC" w14:textId="77777777" w:rsidR="00C3276D" w:rsidRPr="00FD2E93" w:rsidRDefault="00C3276D" w:rsidP="009A5284">
            <w:pPr>
              <w:cnfStyle w:val="000000000000" w:firstRow="0" w:lastRow="0" w:firstColumn="0" w:lastColumn="0" w:oddVBand="0" w:evenVBand="0" w:oddHBand="0" w:evenHBand="0" w:firstRowFirstColumn="0" w:firstRowLastColumn="0" w:lastRowFirstColumn="0" w:lastRowLastColumn="0"/>
              <w:rPr>
                <w:rFonts w:ascii="Cambria" w:hAnsi="Cambria"/>
              </w:rPr>
            </w:pPr>
            <w:r w:rsidRPr="00FD2E93">
              <w:rPr>
                <w:rFonts w:ascii="Cambria" w:hAnsi="Cambria"/>
              </w:rPr>
              <w:t>Lots of negative perception of F&amp;A Department is skewed by HRS currently, if not going well</w:t>
            </w:r>
          </w:p>
        </w:tc>
      </w:tr>
      <w:tr w:rsidR="00C3276D" w:rsidRPr="00FD2E93" w14:paraId="34ECC5D4" w14:textId="77777777" w:rsidTr="00912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50106C7D" w14:textId="77777777" w:rsidR="00C3276D" w:rsidRPr="00912E0C" w:rsidRDefault="00C3276D" w:rsidP="009A5284">
            <w:pPr>
              <w:rPr>
                <w:rFonts w:ascii="Cambria" w:hAnsi="Cambria"/>
                <w:b w:val="0"/>
              </w:rPr>
            </w:pPr>
            <w:r w:rsidRPr="00912E0C">
              <w:rPr>
                <w:rFonts w:ascii="Cambria" w:hAnsi="Cambria"/>
                <w:b w:val="0"/>
              </w:rPr>
              <w:t>Responses from F&amp;A section have been quick otherwise (see comment under Key Negative --&gt;)</w:t>
            </w:r>
          </w:p>
        </w:tc>
        <w:tc>
          <w:tcPr>
            <w:tcW w:w="4677" w:type="dxa"/>
          </w:tcPr>
          <w:p w14:paraId="211EC809" w14:textId="77777777" w:rsidR="00C3276D" w:rsidRPr="00FD2E93" w:rsidRDefault="00C3276D" w:rsidP="009A5284">
            <w:pPr>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rPr>
              <w:t>Significant negative impact on time of ALWS accountant in shifting to less flexible HRS payroll system; Help Desk under-resourced</w:t>
            </w:r>
          </w:p>
        </w:tc>
      </w:tr>
      <w:tr w:rsidR="00C3276D" w:rsidRPr="00FD2E93" w14:paraId="58EF67B5" w14:textId="77777777" w:rsidTr="00912E0C">
        <w:tc>
          <w:tcPr>
            <w:cnfStyle w:val="001000000000" w:firstRow="0" w:lastRow="0" w:firstColumn="1" w:lastColumn="0" w:oddVBand="0" w:evenVBand="0" w:oddHBand="0" w:evenHBand="0" w:firstRowFirstColumn="0" w:firstRowLastColumn="0" w:lastRowFirstColumn="0" w:lastRowLastColumn="0"/>
            <w:tcW w:w="9067" w:type="dxa"/>
            <w:gridSpan w:val="2"/>
            <w:shd w:val="clear" w:color="auto" w:fill="A6A6A6" w:themeFill="background1" w:themeFillShade="A6"/>
          </w:tcPr>
          <w:p w14:paraId="296669A3" w14:textId="10FECFF6" w:rsidR="00C3276D" w:rsidRPr="00912E0C" w:rsidRDefault="00C3276D" w:rsidP="009A5284">
            <w:pPr>
              <w:rPr>
                <w:rFonts w:ascii="Cambria" w:hAnsi="Cambria"/>
              </w:rPr>
            </w:pPr>
            <w:r w:rsidRPr="00912E0C">
              <w:rPr>
                <w:rFonts w:ascii="Cambria" w:hAnsi="Cambria"/>
              </w:rPr>
              <w:br w:type="page"/>
              <w:t>Information &amp; Communications Tech</w:t>
            </w:r>
            <w:r w:rsidR="00912E0C">
              <w:rPr>
                <w:rFonts w:ascii="Cambria" w:hAnsi="Cambria"/>
              </w:rPr>
              <w:t>nology Functions and Department</w:t>
            </w:r>
          </w:p>
        </w:tc>
      </w:tr>
      <w:tr w:rsidR="00C3276D" w:rsidRPr="00FD2E93" w14:paraId="17851C31" w14:textId="77777777" w:rsidTr="00912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736A6E42" w14:textId="77777777" w:rsidR="00C3276D" w:rsidRPr="00912E0C" w:rsidRDefault="00C3276D" w:rsidP="009A5284">
            <w:pPr>
              <w:rPr>
                <w:rFonts w:ascii="Cambria" w:hAnsi="Cambria"/>
                <w:b w:val="0"/>
              </w:rPr>
            </w:pPr>
            <w:r w:rsidRPr="00912E0C">
              <w:rPr>
                <w:rFonts w:ascii="Cambria" w:hAnsi="Cambria"/>
                <w:b w:val="0"/>
              </w:rPr>
              <w:t>HRS good and efficient; positive direction</w:t>
            </w:r>
          </w:p>
        </w:tc>
        <w:tc>
          <w:tcPr>
            <w:tcW w:w="4677" w:type="dxa"/>
          </w:tcPr>
          <w:p w14:paraId="5514BC35" w14:textId="77777777" w:rsidR="00C3276D" w:rsidRPr="00FD2E93" w:rsidRDefault="00C3276D" w:rsidP="009A5284">
            <w:pPr>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rPr>
              <w:t>Need ICT Plan and more strategic focus; this will inform new skills set requirements</w:t>
            </w:r>
          </w:p>
        </w:tc>
      </w:tr>
      <w:tr w:rsidR="00C3276D" w:rsidRPr="00FD2E93" w14:paraId="52000662" w14:textId="77777777" w:rsidTr="00912E0C">
        <w:tc>
          <w:tcPr>
            <w:cnfStyle w:val="001000000000" w:firstRow="0" w:lastRow="0" w:firstColumn="1" w:lastColumn="0" w:oddVBand="0" w:evenVBand="0" w:oddHBand="0" w:evenHBand="0" w:firstRowFirstColumn="0" w:firstRowLastColumn="0" w:lastRowFirstColumn="0" w:lastRowLastColumn="0"/>
            <w:tcW w:w="4390" w:type="dxa"/>
          </w:tcPr>
          <w:p w14:paraId="0CFC8749" w14:textId="74F14A8B" w:rsidR="00C3276D" w:rsidRPr="00912E0C" w:rsidRDefault="00C3276D" w:rsidP="009A5284">
            <w:pPr>
              <w:rPr>
                <w:rFonts w:ascii="Cambria" w:hAnsi="Cambria"/>
                <w:b w:val="0"/>
              </w:rPr>
            </w:pPr>
            <w:r w:rsidRPr="00912E0C">
              <w:rPr>
                <w:rFonts w:ascii="Cambria" w:hAnsi="Cambria"/>
                <w:b w:val="0"/>
              </w:rPr>
              <w:t>Good helpful ICT staff, if it’s their issue to resolve; good at getting back; take responsibility; provide p</w:t>
            </w:r>
            <w:r w:rsidR="00912E0C">
              <w:rPr>
                <w:rFonts w:ascii="Cambria" w:hAnsi="Cambria"/>
                <w:b w:val="0"/>
              </w:rPr>
              <w:t>roducts, service, and solutions</w:t>
            </w:r>
          </w:p>
        </w:tc>
        <w:tc>
          <w:tcPr>
            <w:tcW w:w="4677" w:type="dxa"/>
          </w:tcPr>
          <w:p w14:paraId="4EDEBCDB" w14:textId="77777777" w:rsidR="00C3276D" w:rsidRPr="00FD2E93" w:rsidRDefault="00C3276D" w:rsidP="009A5284">
            <w:pPr>
              <w:cnfStyle w:val="000000000000" w:firstRow="0" w:lastRow="0" w:firstColumn="0" w:lastColumn="0" w:oddVBand="0" w:evenVBand="0" w:oddHBand="0" w:evenHBand="0" w:firstRowFirstColumn="0" w:firstRowLastColumn="0" w:lastRowFirstColumn="0" w:lastRowLastColumn="0"/>
              <w:rPr>
                <w:rFonts w:ascii="Cambria" w:hAnsi="Cambria"/>
              </w:rPr>
            </w:pPr>
            <w:r w:rsidRPr="00FD2E93">
              <w:rPr>
                <w:rFonts w:ascii="Cambria" w:hAnsi="Cambria"/>
              </w:rPr>
              <w:t>Need more resources and strategic focus in ICT area; need to look at the synergies between technologies as these develop</w:t>
            </w:r>
          </w:p>
        </w:tc>
      </w:tr>
      <w:tr w:rsidR="00C3276D" w:rsidRPr="00FD2E93" w14:paraId="5E3B2BB9" w14:textId="77777777" w:rsidTr="00912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6601BBDC" w14:textId="77777777" w:rsidR="00C3276D" w:rsidRPr="00912E0C" w:rsidRDefault="00C3276D" w:rsidP="009A5284">
            <w:pPr>
              <w:rPr>
                <w:rFonts w:ascii="Cambria" w:hAnsi="Cambria"/>
                <w:b w:val="0"/>
              </w:rPr>
            </w:pPr>
            <w:r w:rsidRPr="00912E0C">
              <w:rPr>
                <w:rFonts w:ascii="Cambria" w:hAnsi="Cambria"/>
                <w:b w:val="0"/>
              </w:rPr>
              <w:t>Valuable Churchwide service</w:t>
            </w:r>
          </w:p>
          <w:p w14:paraId="6B90D417" w14:textId="77777777" w:rsidR="00C3276D" w:rsidRPr="00912E0C" w:rsidRDefault="00C3276D" w:rsidP="009A5284">
            <w:pPr>
              <w:rPr>
                <w:rFonts w:ascii="Cambria" w:hAnsi="Cambria"/>
                <w:b w:val="0"/>
              </w:rPr>
            </w:pPr>
          </w:p>
          <w:p w14:paraId="2E256926" w14:textId="77777777" w:rsidR="00C3276D" w:rsidRPr="00912E0C" w:rsidRDefault="00C3276D" w:rsidP="009A5284">
            <w:pPr>
              <w:rPr>
                <w:rFonts w:ascii="Cambria" w:hAnsi="Cambria"/>
                <w:b w:val="0"/>
              </w:rPr>
            </w:pPr>
          </w:p>
        </w:tc>
        <w:tc>
          <w:tcPr>
            <w:tcW w:w="4677" w:type="dxa"/>
          </w:tcPr>
          <w:p w14:paraId="6C3F94C5" w14:textId="77777777" w:rsidR="00C3276D" w:rsidRPr="00FD2E93" w:rsidRDefault="00C3276D" w:rsidP="009A5284">
            <w:pPr>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rPr>
              <w:t>Seem under-resourced for the scale of service now; some internal customers had better service from their outsourced provider previously</w:t>
            </w:r>
          </w:p>
        </w:tc>
      </w:tr>
      <w:tr w:rsidR="00C3276D" w:rsidRPr="00FD2E93" w14:paraId="213110F8" w14:textId="77777777" w:rsidTr="00912E0C">
        <w:tc>
          <w:tcPr>
            <w:cnfStyle w:val="001000000000" w:firstRow="0" w:lastRow="0" w:firstColumn="1" w:lastColumn="0" w:oddVBand="0" w:evenVBand="0" w:oddHBand="0" w:evenHBand="0" w:firstRowFirstColumn="0" w:firstRowLastColumn="0" w:lastRowFirstColumn="0" w:lastRowLastColumn="0"/>
            <w:tcW w:w="4390" w:type="dxa"/>
          </w:tcPr>
          <w:p w14:paraId="1F093040" w14:textId="77777777" w:rsidR="00C3276D" w:rsidRPr="00912E0C" w:rsidRDefault="00C3276D" w:rsidP="009A5284">
            <w:pPr>
              <w:rPr>
                <w:rFonts w:ascii="Cambria" w:hAnsi="Cambria"/>
                <w:b w:val="0"/>
              </w:rPr>
            </w:pPr>
          </w:p>
        </w:tc>
        <w:tc>
          <w:tcPr>
            <w:tcW w:w="4677" w:type="dxa"/>
          </w:tcPr>
          <w:p w14:paraId="3A59C6EC" w14:textId="7CF6A192" w:rsidR="00C3276D" w:rsidRPr="00FD2E93" w:rsidRDefault="00C3276D" w:rsidP="009A5284">
            <w:pPr>
              <w:cnfStyle w:val="000000000000" w:firstRow="0" w:lastRow="0" w:firstColumn="0" w:lastColumn="0" w:oddVBand="0" w:evenVBand="0" w:oddHBand="0" w:evenHBand="0" w:firstRowFirstColumn="0" w:firstRowLastColumn="0" w:lastRowFirstColumn="0" w:lastRowLastColumn="0"/>
              <w:rPr>
                <w:rFonts w:ascii="Cambria" w:hAnsi="Cambria"/>
              </w:rPr>
            </w:pPr>
            <w:r w:rsidRPr="00FD2E93">
              <w:rPr>
                <w:rFonts w:ascii="Cambria" w:hAnsi="Cambria"/>
              </w:rPr>
              <w:t>Will need more significant/ sophisticated architecture for Worship, ALC, Schools delivery/ websites, eg for live streaming, e-storage of resources, provision of music, podcasts; assessment uploads and security protocols, educational program delivery; remote access and tech support 24/7; very re</w:t>
            </w:r>
            <w:r w:rsidR="00912E0C">
              <w:rPr>
                <w:rFonts w:ascii="Cambria" w:hAnsi="Cambria"/>
              </w:rPr>
              <w:t>liable and stable access needed</w:t>
            </w:r>
          </w:p>
        </w:tc>
      </w:tr>
      <w:tr w:rsidR="00C3276D" w:rsidRPr="00FD2E93" w14:paraId="24B085FB" w14:textId="77777777" w:rsidTr="00912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2031D45D" w14:textId="54C215A2" w:rsidR="00C3276D" w:rsidRPr="00912E0C" w:rsidRDefault="00C3276D" w:rsidP="009A5284">
            <w:pPr>
              <w:rPr>
                <w:rFonts w:ascii="Cambria" w:hAnsi="Cambria"/>
                <w:b w:val="0"/>
              </w:rPr>
            </w:pPr>
            <w:r w:rsidRPr="00912E0C">
              <w:rPr>
                <w:rFonts w:ascii="Cambria" w:hAnsi="Cambria"/>
                <w:b w:val="0"/>
              </w:rPr>
              <w:t xml:space="preserve">Sharepoint working effectively for Board papers etc; reduces admin and creates efficiency for Ctee members remote from mtgs; costs could be extended to capture and share Board to </w:t>
            </w:r>
            <w:r w:rsidR="00912E0C">
              <w:rPr>
                <w:rFonts w:ascii="Cambria" w:hAnsi="Cambria"/>
                <w:b w:val="0"/>
              </w:rPr>
              <w:t>Board communications e.g. Minutes</w:t>
            </w:r>
          </w:p>
        </w:tc>
        <w:tc>
          <w:tcPr>
            <w:tcW w:w="4677" w:type="dxa"/>
          </w:tcPr>
          <w:p w14:paraId="32ACA7DD" w14:textId="77777777" w:rsidR="00C3276D" w:rsidRPr="00FD2E93" w:rsidRDefault="00C3276D" w:rsidP="009A5284">
            <w:pPr>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rPr>
              <w:t>Sharepoint not working efficiently for many yet</w:t>
            </w:r>
          </w:p>
        </w:tc>
      </w:tr>
      <w:tr w:rsidR="00C3276D" w:rsidRPr="00FD2E93" w14:paraId="07C4194A" w14:textId="77777777" w:rsidTr="00912E0C">
        <w:tc>
          <w:tcPr>
            <w:cnfStyle w:val="001000000000" w:firstRow="0" w:lastRow="0" w:firstColumn="1" w:lastColumn="0" w:oddVBand="0" w:evenVBand="0" w:oddHBand="0" w:evenHBand="0" w:firstRowFirstColumn="0" w:firstRowLastColumn="0" w:lastRowFirstColumn="0" w:lastRowLastColumn="0"/>
            <w:tcW w:w="4390" w:type="dxa"/>
          </w:tcPr>
          <w:p w14:paraId="50D45988" w14:textId="67C5B86B" w:rsidR="00C3276D" w:rsidRPr="00912E0C" w:rsidRDefault="00912E0C" w:rsidP="009A5284">
            <w:pPr>
              <w:rPr>
                <w:rFonts w:ascii="Cambria" w:hAnsi="Cambria"/>
                <w:b w:val="0"/>
              </w:rPr>
            </w:pPr>
            <w:r>
              <w:rPr>
                <w:rFonts w:ascii="Cambria" w:hAnsi="Cambria"/>
                <w:b w:val="0"/>
              </w:rPr>
              <w:t>One’ login’ works well</w:t>
            </w:r>
          </w:p>
        </w:tc>
        <w:tc>
          <w:tcPr>
            <w:tcW w:w="4677" w:type="dxa"/>
          </w:tcPr>
          <w:p w14:paraId="7D7B8C58" w14:textId="77777777" w:rsidR="00C3276D" w:rsidRPr="00FD2E93" w:rsidRDefault="00C3276D" w:rsidP="009A5284">
            <w:pPr>
              <w:cnfStyle w:val="000000000000" w:firstRow="0" w:lastRow="0" w:firstColumn="0" w:lastColumn="0" w:oddVBand="0" w:evenVBand="0" w:oddHBand="0" w:evenHBand="0" w:firstRowFirstColumn="0" w:firstRowLastColumn="0" w:lastRowFirstColumn="0" w:lastRowLastColumn="0"/>
              <w:rPr>
                <w:rFonts w:ascii="Cambria" w:hAnsi="Cambria"/>
              </w:rPr>
            </w:pPr>
          </w:p>
        </w:tc>
      </w:tr>
      <w:tr w:rsidR="00C3276D" w:rsidRPr="00FD2E93" w14:paraId="2253CCAD" w14:textId="77777777" w:rsidTr="00912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090ACF2D" w14:textId="77777777" w:rsidR="00C3276D" w:rsidRPr="00912E0C" w:rsidRDefault="00C3276D" w:rsidP="009A5284">
            <w:pPr>
              <w:rPr>
                <w:rFonts w:ascii="Cambria" w:hAnsi="Cambria"/>
                <w:b w:val="0"/>
              </w:rPr>
            </w:pPr>
          </w:p>
        </w:tc>
        <w:tc>
          <w:tcPr>
            <w:tcW w:w="4677" w:type="dxa"/>
          </w:tcPr>
          <w:p w14:paraId="5C7F7FB9" w14:textId="7ED969A4" w:rsidR="00C3276D" w:rsidRPr="00FD2E93" w:rsidRDefault="00C3276D" w:rsidP="009A5284">
            <w:pPr>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rPr>
              <w:t>LCA needs to recognise and better resource the key introduction/ implementation stage of new technologies with be</w:t>
            </w:r>
            <w:r w:rsidR="00912E0C">
              <w:rPr>
                <w:rFonts w:ascii="Cambria" w:hAnsi="Cambria"/>
              </w:rPr>
              <w:t>tter change management planning</w:t>
            </w:r>
          </w:p>
        </w:tc>
      </w:tr>
    </w:tbl>
    <w:p w14:paraId="03DFD4FB" w14:textId="77777777" w:rsidR="00C3276D" w:rsidRPr="00FD2E93" w:rsidRDefault="00C3276D" w:rsidP="00C3276D">
      <w:pPr>
        <w:rPr>
          <w:rFonts w:ascii="Cambria" w:hAnsi="Cambria"/>
        </w:rPr>
      </w:pPr>
    </w:p>
    <w:p w14:paraId="3CFA4347" w14:textId="77777777" w:rsidR="00C3276D" w:rsidRPr="00FD2E93" w:rsidRDefault="00C3276D" w:rsidP="00C3276D">
      <w:pPr>
        <w:rPr>
          <w:rFonts w:ascii="Cambria" w:hAnsi="Cambria"/>
        </w:rPr>
      </w:pPr>
      <w:r w:rsidRPr="00FD2E93">
        <w:rPr>
          <w:rFonts w:ascii="Cambria" w:hAnsi="Cambria"/>
        </w:rPr>
        <w:br w:type="page"/>
      </w:r>
    </w:p>
    <w:p w14:paraId="67F3C711" w14:textId="77777777" w:rsidR="00C3276D" w:rsidRPr="00912E0C" w:rsidRDefault="00C3276D" w:rsidP="002A2396">
      <w:pPr>
        <w:spacing w:after="120"/>
        <w:rPr>
          <w:rFonts w:ascii="Cambria" w:hAnsi="Cambria"/>
          <w:b/>
          <w:i/>
        </w:rPr>
      </w:pPr>
      <w:r w:rsidRPr="00912E0C">
        <w:rPr>
          <w:rFonts w:ascii="Cambria" w:hAnsi="Cambria"/>
          <w:b/>
        </w:rPr>
        <w:lastRenderedPageBreak/>
        <w:t xml:space="preserve">Qualitative Feedback from Survey </w:t>
      </w:r>
      <w:r w:rsidRPr="00912E0C">
        <w:rPr>
          <w:rFonts w:ascii="Cambria" w:hAnsi="Cambria"/>
          <w:b/>
          <w:i/>
        </w:rPr>
        <w:t>(N=262)</w:t>
      </w:r>
    </w:p>
    <w:p w14:paraId="0E28D3EF" w14:textId="77777777" w:rsidR="00C3276D" w:rsidRPr="00FD2E93" w:rsidRDefault="00C3276D" w:rsidP="002A2396">
      <w:pPr>
        <w:spacing w:after="120"/>
        <w:rPr>
          <w:rFonts w:ascii="Cambria" w:hAnsi="Cambria"/>
        </w:rPr>
      </w:pPr>
      <w:r w:rsidRPr="00FD2E93">
        <w:rPr>
          <w:rFonts w:ascii="Cambria" w:hAnsi="Cambria"/>
        </w:rPr>
        <w:t>As indicated in the Methodology section (B) above, the criteria used for evaluation were derived from the wording of the 2015 Resolutions, ie changes have been evaluated by the selected participants, on the basis of whether they have resulted in impacts that are:</w:t>
      </w:r>
    </w:p>
    <w:p w14:paraId="4F573BDC" w14:textId="77777777" w:rsidR="00C3276D" w:rsidRPr="00FD2E93" w:rsidRDefault="00C3276D" w:rsidP="002A2396">
      <w:pPr>
        <w:pStyle w:val="Default"/>
        <w:numPr>
          <w:ilvl w:val="0"/>
          <w:numId w:val="329"/>
        </w:numPr>
        <w:ind w:left="567" w:hanging="567"/>
        <w:rPr>
          <w:rFonts w:ascii="Cambria" w:hAnsi="Cambria" w:cstheme="minorHAnsi"/>
          <w:color w:val="auto"/>
          <w:sz w:val="22"/>
          <w:szCs w:val="22"/>
        </w:rPr>
      </w:pPr>
      <w:r w:rsidRPr="00FD2E93">
        <w:rPr>
          <w:rFonts w:ascii="Cambria" w:hAnsi="Cambria" w:cstheme="minorHAnsi"/>
          <w:color w:val="auto"/>
          <w:sz w:val="22"/>
          <w:szCs w:val="22"/>
        </w:rPr>
        <w:t>Churchwide</w:t>
      </w:r>
    </w:p>
    <w:p w14:paraId="60A03E10" w14:textId="77777777" w:rsidR="00C3276D" w:rsidRPr="00FD2E93" w:rsidRDefault="00C3276D" w:rsidP="00912E0C">
      <w:pPr>
        <w:pStyle w:val="Default"/>
        <w:numPr>
          <w:ilvl w:val="0"/>
          <w:numId w:val="329"/>
        </w:numPr>
        <w:ind w:left="567" w:hanging="567"/>
        <w:rPr>
          <w:rFonts w:ascii="Cambria" w:hAnsi="Cambria" w:cstheme="minorHAnsi"/>
          <w:color w:val="auto"/>
          <w:sz w:val="22"/>
          <w:szCs w:val="22"/>
        </w:rPr>
      </w:pPr>
      <w:r w:rsidRPr="00FD2E93">
        <w:rPr>
          <w:rFonts w:ascii="Cambria" w:hAnsi="Cambria" w:cstheme="minorHAnsi"/>
          <w:color w:val="auto"/>
          <w:sz w:val="22"/>
          <w:szCs w:val="22"/>
        </w:rPr>
        <w:t>Mission-focused</w:t>
      </w:r>
    </w:p>
    <w:p w14:paraId="7E79CF2A" w14:textId="77777777" w:rsidR="00C3276D" w:rsidRPr="00FD2E93" w:rsidRDefault="00C3276D" w:rsidP="00912E0C">
      <w:pPr>
        <w:pStyle w:val="Default"/>
        <w:numPr>
          <w:ilvl w:val="0"/>
          <w:numId w:val="329"/>
        </w:numPr>
        <w:ind w:left="567" w:hanging="567"/>
        <w:rPr>
          <w:rFonts w:ascii="Cambria" w:hAnsi="Cambria" w:cstheme="minorHAnsi"/>
          <w:color w:val="auto"/>
          <w:sz w:val="22"/>
          <w:szCs w:val="22"/>
        </w:rPr>
      </w:pPr>
      <w:r w:rsidRPr="00FD2E93">
        <w:rPr>
          <w:rFonts w:ascii="Cambria" w:hAnsi="Cambria" w:cstheme="minorHAnsi"/>
          <w:color w:val="auto"/>
          <w:sz w:val="22"/>
          <w:szCs w:val="22"/>
        </w:rPr>
        <w:t>Service-oriented</w:t>
      </w:r>
    </w:p>
    <w:p w14:paraId="220D78EB" w14:textId="77777777" w:rsidR="00C3276D" w:rsidRPr="00FD2E93" w:rsidRDefault="00C3276D" w:rsidP="00912E0C">
      <w:pPr>
        <w:pStyle w:val="Default"/>
        <w:numPr>
          <w:ilvl w:val="0"/>
          <w:numId w:val="329"/>
        </w:numPr>
        <w:ind w:left="567" w:hanging="567"/>
        <w:rPr>
          <w:rFonts w:ascii="Cambria" w:hAnsi="Cambria" w:cstheme="minorHAnsi"/>
          <w:color w:val="auto"/>
          <w:sz w:val="22"/>
          <w:szCs w:val="22"/>
        </w:rPr>
      </w:pPr>
      <w:r w:rsidRPr="00FD2E93">
        <w:rPr>
          <w:rFonts w:ascii="Cambria" w:hAnsi="Cambria" w:cstheme="minorHAnsi"/>
          <w:color w:val="auto"/>
          <w:sz w:val="22"/>
          <w:szCs w:val="22"/>
        </w:rPr>
        <w:t>Efficient (presumed to mean more efficient than in the past structure)</w:t>
      </w:r>
      <w:r w:rsidRPr="00FD2E93">
        <w:rPr>
          <w:rStyle w:val="FootnoteReference"/>
          <w:rFonts w:ascii="Cambria" w:hAnsi="Cambria" w:cstheme="minorHAnsi"/>
          <w:color w:val="auto"/>
          <w:sz w:val="22"/>
          <w:szCs w:val="22"/>
        </w:rPr>
        <w:footnoteReference w:id="43"/>
      </w:r>
    </w:p>
    <w:p w14:paraId="79E4902E" w14:textId="77777777" w:rsidR="00C3276D" w:rsidRPr="00FD2E93" w:rsidRDefault="00C3276D" w:rsidP="00912E0C">
      <w:pPr>
        <w:pStyle w:val="Default"/>
        <w:numPr>
          <w:ilvl w:val="0"/>
          <w:numId w:val="329"/>
        </w:numPr>
        <w:ind w:left="567" w:hanging="567"/>
        <w:rPr>
          <w:rFonts w:ascii="Cambria" w:hAnsi="Cambria" w:cstheme="minorHAnsi"/>
          <w:color w:val="auto"/>
          <w:sz w:val="22"/>
          <w:szCs w:val="22"/>
        </w:rPr>
      </w:pPr>
      <w:r w:rsidRPr="00FD2E93">
        <w:rPr>
          <w:rFonts w:ascii="Cambria" w:hAnsi="Cambria" w:cstheme="minorHAnsi"/>
          <w:color w:val="auto"/>
          <w:sz w:val="22"/>
          <w:szCs w:val="22"/>
        </w:rPr>
        <w:t>Effective in delivering/ supporting Synod decisions and directions?</w:t>
      </w:r>
      <w:r w:rsidRPr="00FD2E93">
        <w:rPr>
          <w:rStyle w:val="FootnoteReference"/>
          <w:rFonts w:ascii="Cambria" w:hAnsi="Cambria" w:cstheme="minorHAnsi"/>
          <w:color w:val="auto"/>
          <w:sz w:val="22"/>
          <w:szCs w:val="22"/>
        </w:rPr>
        <w:footnoteReference w:id="44"/>
      </w:r>
    </w:p>
    <w:p w14:paraId="507C397C" w14:textId="77777777" w:rsidR="00C3276D" w:rsidRPr="002A2396" w:rsidRDefault="00C3276D" w:rsidP="00C3276D">
      <w:pPr>
        <w:pStyle w:val="Default"/>
        <w:rPr>
          <w:rFonts w:ascii="Cambria" w:hAnsi="Cambria" w:cstheme="minorHAnsi"/>
          <w:color w:val="auto"/>
          <w:sz w:val="12"/>
          <w:szCs w:val="22"/>
        </w:rPr>
      </w:pPr>
    </w:p>
    <w:p w14:paraId="48B61ECA" w14:textId="77777777" w:rsidR="00C3276D" w:rsidRPr="00FD2E93" w:rsidRDefault="00C3276D" w:rsidP="002A2396">
      <w:pPr>
        <w:spacing w:after="0"/>
        <w:rPr>
          <w:rFonts w:ascii="Cambria" w:hAnsi="Cambria"/>
        </w:rPr>
      </w:pPr>
      <w:r w:rsidRPr="00FD2E93">
        <w:rPr>
          <w:rFonts w:ascii="Cambria" w:hAnsi="Cambria"/>
        </w:rPr>
        <w:t>The rating scale used provided was:</w:t>
      </w:r>
    </w:p>
    <w:p w14:paraId="0DC815EF" w14:textId="77777777" w:rsidR="00C3276D" w:rsidRPr="00FD2E93" w:rsidRDefault="00C3276D" w:rsidP="002A2396">
      <w:pPr>
        <w:pStyle w:val="ListParagraph"/>
        <w:spacing w:after="0"/>
        <w:ind w:left="426" w:hanging="426"/>
        <w:rPr>
          <w:rFonts w:ascii="Cambria" w:hAnsi="Cambria"/>
        </w:rPr>
      </w:pPr>
      <w:r w:rsidRPr="00FD2E93">
        <w:rPr>
          <w:rFonts w:ascii="Cambria" w:hAnsi="Cambria"/>
        </w:rPr>
        <w:t>5 = Significant positive effect</w:t>
      </w:r>
    </w:p>
    <w:p w14:paraId="4FFE308A" w14:textId="77777777" w:rsidR="00C3276D" w:rsidRPr="00FD2E93" w:rsidRDefault="00C3276D" w:rsidP="00912E0C">
      <w:pPr>
        <w:pStyle w:val="ListParagraph"/>
        <w:ind w:left="426" w:hanging="426"/>
        <w:rPr>
          <w:rFonts w:ascii="Cambria" w:hAnsi="Cambria"/>
        </w:rPr>
      </w:pPr>
      <w:r w:rsidRPr="00FD2E93">
        <w:rPr>
          <w:rFonts w:ascii="Cambria" w:hAnsi="Cambria"/>
        </w:rPr>
        <w:t>4 = Positive effect</w:t>
      </w:r>
    </w:p>
    <w:p w14:paraId="6598F93E" w14:textId="77777777" w:rsidR="00C3276D" w:rsidRPr="00FD2E93" w:rsidRDefault="00C3276D" w:rsidP="00912E0C">
      <w:pPr>
        <w:pStyle w:val="ListParagraph"/>
        <w:ind w:left="426" w:hanging="426"/>
        <w:rPr>
          <w:rFonts w:ascii="Cambria" w:hAnsi="Cambria"/>
        </w:rPr>
      </w:pPr>
      <w:r w:rsidRPr="00FD2E93">
        <w:rPr>
          <w:rFonts w:ascii="Cambria" w:hAnsi="Cambria"/>
        </w:rPr>
        <w:t>3 = No effect</w:t>
      </w:r>
    </w:p>
    <w:p w14:paraId="389EBAEE" w14:textId="77777777" w:rsidR="00C3276D" w:rsidRPr="00FD2E93" w:rsidRDefault="00C3276D" w:rsidP="00912E0C">
      <w:pPr>
        <w:pStyle w:val="ListParagraph"/>
        <w:ind w:left="426" w:hanging="426"/>
        <w:rPr>
          <w:rFonts w:ascii="Cambria" w:hAnsi="Cambria"/>
        </w:rPr>
      </w:pPr>
      <w:r w:rsidRPr="00FD2E93">
        <w:rPr>
          <w:rFonts w:ascii="Cambria" w:hAnsi="Cambria"/>
        </w:rPr>
        <w:t>2 = Negative effect</w:t>
      </w:r>
    </w:p>
    <w:p w14:paraId="3C761C85" w14:textId="77777777" w:rsidR="00C3276D" w:rsidRPr="00FD2E93" w:rsidRDefault="00C3276D" w:rsidP="00912E0C">
      <w:pPr>
        <w:pStyle w:val="ListParagraph"/>
        <w:ind w:left="426" w:hanging="426"/>
        <w:rPr>
          <w:rFonts w:ascii="Cambria" w:hAnsi="Cambria"/>
        </w:rPr>
      </w:pPr>
      <w:r w:rsidRPr="00FD2E93">
        <w:rPr>
          <w:rFonts w:ascii="Cambria" w:hAnsi="Cambria"/>
        </w:rPr>
        <w:t>1 = Significant negative effect</w:t>
      </w:r>
    </w:p>
    <w:p w14:paraId="1A30EEEA" w14:textId="79F3C3EF" w:rsidR="00C3276D" w:rsidRPr="00FD2E93" w:rsidRDefault="00C3276D" w:rsidP="00912E0C">
      <w:pPr>
        <w:pStyle w:val="ListParagraph"/>
        <w:ind w:left="426" w:hanging="426"/>
        <w:rPr>
          <w:rFonts w:ascii="Cambria" w:hAnsi="Cambria"/>
        </w:rPr>
      </w:pPr>
      <w:r w:rsidRPr="00FD2E93">
        <w:rPr>
          <w:rFonts w:ascii="Cambria" w:hAnsi="Cambria"/>
        </w:rPr>
        <w:t xml:space="preserve">NA = Not able to rate; insufficient knowledge or exposure to be able to provide an informed </w:t>
      </w:r>
      <w:r w:rsidR="00912E0C">
        <w:rPr>
          <w:rFonts w:ascii="Cambria" w:hAnsi="Cambria"/>
        </w:rPr>
        <w:t xml:space="preserve">  </w:t>
      </w:r>
      <w:r w:rsidR="00912E0C">
        <w:rPr>
          <w:rFonts w:ascii="Cambria" w:hAnsi="Cambria"/>
        </w:rPr>
        <w:br/>
        <w:t xml:space="preserve">  </w:t>
      </w:r>
      <w:r w:rsidRPr="00FD2E93">
        <w:rPr>
          <w:rFonts w:ascii="Cambria" w:hAnsi="Cambria"/>
        </w:rPr>
        <w:t>view.</w:t>
      </w:r>
    </w:p>
    <w:p w14:paraId="551CD3EF" w14:textId="77777777" w:rsidR="00C3276D" w:rsidRPr="00FD2E93" w:rsidRDefault="00C3276D" w:rsidP="00C3276D">
      <w:pPr>
        <w:rPr>
          <w:rFonts w:ascii="Cambria" w:hAnsi="Cambria"/>
          <w:b/>
        </w:rPr>
      </w:pPr>
      <w:r w:rsidRPr="00FD2E93">
        <w:rPr>
          <w:rFonts w:ascii="Cambria" w:hAnsi="Cambria"/>
          <w:b/>
        </w:rPr>
        <w:t>Analysis of results by Stakeholder Group – Focus Groups and Survey</w:t>
      </w:r>
    </w:p>
    <w:p w14:paraId="4DFB5230" w14:textId="77777777" w:rsidR="00C3276D" w:rsidRPr="00FD2E93" w:rsidRDefault="00C3276D" w:rsidP="00C3276D">
      <w:pPr>
        <w:rPr>
          <w:rFonts w:ascii="Cambria" w:hAnsi="Cambria"/>
        </w:rPr>
      </w:pPr>
      <w:r w:rsidRPr="00FD2E93">
        <w:rPr>
          <w:rFonts w:ascii="Cambria" w:hAnsi="Cambria"/>
        </w:rPr>
        <w:t>The following tables of results indicate that the change impacts are being positively felt by GCC, Districts, and persons working in national functions so far, but limited impact has yet been felt at congregational level. This outcome was anticipated by GCC and the Office of the Bishop at this time, given the lead-time it is taking to negotiate and establish new bodies, systems and churchwide processes. As mentioned earlier in this report, GCC has expected some of the change benefits will be realised in more the five-year+ timeframe.</w:t>
      </w:r>
    </w:p>
    <w:p w14:paraId="3D8CD786" w14:textId="77777777" w:rsidR="00C3276D" w:rsidRPr="00FD2E93" w:rsidRDefault="00C3276D" w:rsidP="00C3276D">
      <w:pPr>
        <w:rPr>
          <w:rFonts w:ascii="Cambria" w:hAnsi="Cambria"/>
        </w:rPr>
      </w:pPr>
      <w:r w:rsidRPr="00FD2E93">
        <w:rPr>
          <w:rFonts w:ascii="Cambria" w:hAnsi="Cambria"/>
        </w:rPr>
        <w:t>However, some positive impact has been achieved by the stronger churchwide and service focus of some national departments who are interacting with congregations, in the example of the Communications Department with marginally higher (than “3”) scores for impact in terms of effectiveness and efficiency from the Synod representatives (Table 3).</w:t>
      </w:r>
    </w:p>
    <w:p w14:paraId="5F351295" w14:textId="77777777" w:rsidR="00C3276D" w:rsidRPr="00FD2E93" w:rsidRDefault="00C3276D" w:rsidP="00C3276D">
      <w:pPr>
        <w:rPr>
          <w:rFonts w:ascii="Cambria" w:hAnsi="Cambria"/>
        </w:rPr>
      </w:pPr>
      <w:r w:rsidRPr="00FD2E93">
        <w:rPr>
          <w:rFonts w:ascii="Cambria" w:hAnsi="Cambria"/>
        </w:rPr>
        <w:t xml:space="preserve">Table 2 provides some next level analysis for the respondent group of Boards, Committees and Commissions. As a result of changes to Governing Bodies, this respondent group is marginally more positive in terms of impact on effectiveness, though close to an even split between those reporting a positive effect, and those reporting ‘no effect’; a small minority, report a negative effect. For those that rated it, Local Mission changes are also rated as positive by the majority of this group. In the subsequent table (Table 3), which summarises all Board, Committee and Commission respondents into one grouping, these variations are lost because the data has been normalised by the calculation of medians or averages. </w:t>
      </w:r>
    </w:p>
    <w:p w14:paraId="1216D558" w14:textId="77777777" w:rsidR="00C3276D" w:rsidRPr="00FD2E93" w:rsidRDefault="00C3276D" w:rsidP="00C3276D">
      <w:pPr>
        <w:rPr>
          <w:rFonts w:ascii="Cambria" w:hAnsi="Cambria"/>
        </w:rPr>
      </w:pPr>
      <w:r w:rsidRPr="00FD2E93">
        <w:rPr>
          <w:rFonts w:ascii="Cambria" w:hAnsi="Cambria"/>
        </w:rPr>
        <w:t>Table 2: Next level investigation – Boards, Committees and Commissions’ Summary of Impacts (Focus Group data)</w:t>
      </w:r>
    </w:p>
    <w:p w14:paraId="11034413" w14:textId="77777777" w:rsidR="00C3276D" w:rsidRPr="00FD2E93" w:rsidRDefault="00C3276D" w:rsidP="00C3276D">
      <w:pPr>
        <w:rPr>
          <w:rFonts w:ascii="Cambria" w:hAnsi="Cambria"/>
        </w:rPr>
      </w:pPr>
      <w:r w:rsidRPr="00FD2E93">
        <w:rPr>
          <w:rFonts w:ascii="Cambria" w:hAnsi="Cambria"/>
        </w:rPr>
        <w:t xml:space="preserve">Note: Not all Boards, Committees and Commissions provided a rating in each Area of Change, focusing on those with which they deal more regularly. Some also feel able to rate </w:t>
      </w:r>
      <w:r w:rsidRPr="00FD2E93">
        <w:rPr>
          <w:rFonts w:ascii="Cambria" w:hAnsi="Cambria"/>
        </w:rPr>
        <w:lastRenderedPageBreak/>
        <w:t>Impact on Effectiveness but ‘Not able to Rate’ for Efficiency, as the changes are seen as still being implemented.</w:t>
      </w:r>
    </w:p>
    <w:tbl>
      <w:tblPr>
        <w:tblStyle w:val="PlainTable2"/>
        <w:tblW w:w="0" w:type="auto"/>
        <w:tblLook w:val="04A0" w:firstRow="1" w:lastRow="0" w:firstColumn="1" w:lastColumn="0" w:noHBand="0" w:noVBand="1"/>
      </w:tblPr>
      <w:tblGrid>
        <w:gridCol w:w="2182"/>
        <w:gridCol w:w="2180"/>
        <w:gridCol w:w="2153"/>
        <w:gridCol w:w="2153"/>
      </w:tblGrid>
      <w:tr w:rsidR="00C3276D" w:rsidRPr="00FD2E93" w14:paraId="1122BC04" w14:textId="77777777" w:rsidTr="002A23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vAlign w:val="center"/>
          </w:tcPr>
          <w:p w14:paraId="45573BBC" w14:textId="77777777" w:rsidR="00C3276D" w:rsidRPr="002A2396" w:rsidRDefault="00C3276D" w:rsidP="002A2396">
            <w:pPr>
              <w:jc w:val="center"/>
              <w:rPr>
                <w:rFonts w:ascii="Cambria" w:hAnsi="Cambria"/>
              </w:rPr>
            </w:pPr>
            <w:r w:rsidRPr="002A2396">
              <w:rPr>
                <w:rFonts w:ascii="Cambria" w:hAnsi="Cambria"/>
              </w:rPr>
              <w:t>Area of change</w:t>
            </w:r>
          </w:p>
        </w:tc>
        <w:tc>
          <w:tcPr>
            <w:tcW w:w="2254" w:type="dxa"/>
            <w:vAlign w:val="center"/>
          </w:tcPr>
          <w:p w14:paraId="3E9B62EE" w14:textId="77777777" w:rsidR="00C3276D" w:rsidRPr="002A2396" w:rsidRDefault="00C3276D" w:rsidP="002A2396">
            <w:pPr>
              <w:jc w:val="center"/>
              <w:cnfStyle w:val="100000000000" w:firstRow="1" w:lastRow="0" w:firstColumn="0" w:lastColumn="0" w:oddVBand="0" w:evenVBand="0" w:oddHBand="0" w:evenHBand="0" w:firstRowFirstColumn="0" w:firstRowLastColumn="0" w:lastRowFirstColumn="0" w:lastRowLastColumn="0"/>
              <w:rPr>
                <w:rFonts w:ascii="Cambria" w:hAnsi="Cambria"/>
              </w:rPr>
            </w:pPr>
            <w:r w:rsidRPr="002A2396">
              <w:rPr>
                <w:rFonts w:ascii="Cambria" w:hAnsi="Cambria"/>
              </w:rPr>
              <w:t>Positive impact reported</w:t>
            </w:r>
          </w:p>
        </w:tc>
        <w:tc>
          <w:tcPr>
            <w:tcW w:w="2254" w:type="dxa"/>
            <w:vAlign w:val="center"/>
          </w:tcPr>
          <w:p w14:paraId="6A2F10D0" w14:textId="77777777" w:rsidR="00C3276D" w:rsidRPr="002A2396" w:rsidRDefault="00C3276D" w:rsidP="002A2396">
            <w:pPr>
              <w:jc w:val="center"/>
              <w:cnfStyle w:val="100000000000" w:firstRow="1" w:lastRow="0" w:firstColumn="0" w:lastColumn="0" w:oddVBand="0" w:evenVBand="0" w:oddHBand="0" w:evenHBand="0" w:firstRowFirstColumn="0" w:firstRowLastColumn="0" w:lastRowFirstColumn="0" w:lastRowLastColumn="0"/>
              <w:rPr>
                <w:rFonts w:ascii="Cambria" w:hAnsi="Cambria"/>
              </w:rPr>
            </w:pPr>
            <w:r w:rsidRPr="002A2396">
              <w:rPr>
                <w:rFonts w:ascii="Cambria" w:hAnsi="Cambria"/>
              </w:rPr>
              <w:t>No impact reported</w:t>
            </w:r>
          </w:p>
        </w:tc>
        <w:tc>
          <w:tcPr>
            <w:tcW w:w="2254" w:type="dxa"/>
            <w:vAlign w:val="center"/>
          </w:tcPr>
          <w:p w14:paraId="2AA4D8ED" w14:textId="77777777" w:rsidR="00C3276D" w:rsidRPr="002A2396" w:rsidRDefault="00C3276D" w:rsidP="002A2396">
            <w:pPr>
              <w:jc w:val="center"/>
              <w:cnfStyle w:val="100000000000" w:firstRow="1" w:lastRow="0" w:firstColumn="0" w:lastColumn="0" w:oddVBand="0" w:evenVBand="0" w:oddHBand="0" w:evenHBand="0" w:firstRowFirstColumn="0" w:firstRowLastColumn="0" w:lastRowFirstColumn="0" w:lastRowLastColumn="0"/>
              <w:rPr>
                <w:rFonts w:ascii="Cambria" w:hAnsi="Cambria"/>
              </w:rPr>
            </w:pPr>
            <w:r w:rsidRPr="002A2396">
              <w:rPr>
                <w:rFonts w:ascii="Cambria" w:hAnsi="Cambria"/>
              </w:rPr>
              <w:t>Negative impact reported</w:t>
            </w:r>
          </w:p>
        </w:tc>
      </w:tr>
      <w:tr w:rsidR="00C3276D" w:rsidRPr="00FD2E93" w14:paraId="45059824" w14:textId="77777777" w:rsidTr="002A2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4"/>
            <w:shd w:val="clear" w:color="auto" w:fill="A6A6A6" w:themeFill="background1" w:themeFillShade="A6"/>
          </w:tcPr>
          <w:p w14:paraId="7C93969A" w14:textId="77777777" w:rsidR="00C3276D" w:rsidRPr="002A2396" w:rsidRDefault="00C3276D" w:rsidP="009A5284">
            <w:pPr>
              <w:rPr>
                <w:rFonts w:ascii="Cambria" w:hAnsi="Cambria"/>
              </w:rPr>
            </w:pPr>
            <w:r w:rsidRPr="002A2396">
              <w:rPr>
                <w:rFonts w:ascii="Cambria" w:hAnsi="Cambria"/>
              </w:rPr>
              <w:t>Governing Bodies</w:t>
            </w:r>
          </w:p>
        </w:tc>
      </w:tr>
      <w:tr w:rsidR="00C3276D" w:rsidRPr="00FD2E93" w14:paraId="00B4625F" w14:textId="77777777" w:rsidTr="002A2396">
        <w:tc>
          <w:tcPr>
            <w:cnfStyle w:val="001000000000" w:firstRow="0" w:lastRow="0" w:firstColumn="1" w:lastColumn="0" w:oddVBand="0" w:evenVBand="0" w:oddHBand="0" w:evenHBand="0" w:firstRowFirstColumn="0" w:firstRowLastColumn="0" w:lastRowFirstColumn="0" w:lastRowLastColumn="0"/>
            <w:tcW w:w="2254" w:type="dxa"/>
          </w:tcPr>
          <w:p w14:paraId="02AA8336" w14:textId="77777777" w:rsidR="00C3276D" w:rsidRPr="002A2396" w:rsidRDefault="00C3276D" w:rsidP="009A5284">
            <w:pPr>
              <w:rPr>
                <w:rFonts w:ascii="Cambria" w:hAnsi="Cambria"/>
                <w:b w:val="0"/>
              </w:rPr>
            </w:pPr>
            <w:r w:rsidRPr="002A2396">
              <w:rPr>
                <w:rFonts w:ascii="Cambria" w:hAnsi="Cambria"/>
                <w:b w:val="0"/>
              </w:rPr>
              <w:t>Effectiveness</w:t>
            </w:r>
          </w:p>
        </w:tc>
        <w:tc>
          <w:tcPr>
            <w:tcW w:w="2254" w:type="dxa"/>
          </w:tcPr>
          <w:p w14:paraId="627851D5" w14:textId="77777777" w:rsidR="00C3276D" w:rsidRPr="00FD2E93" w:rsidRDefault="00C3276D" w:rsidP="002A2396">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FD2E93">
              <w:rPr>
                <w:rFonts w:ascii="Cambria" w:hAnsi="Cambria"/>
              </w:rPr>
              <w:t>10 (Boards and Committees)</w:t>
            </w:r>
          </w:p>
        </w:tc>
        <w:tc>
          <w:tcPr>
            <w:tcW w:w="2254" w:type="dxa"/>
          </w:tcPr>
          <w:p w14:paraId="3CE84075" w14:textId="77777777" w:rsidR="00C3276D" w:rsidRPr="00FD2E93" w:rsidRDefault="00C3276D" w:rsidP="002A2396">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FD2E93">
              <w:rPr>
                <w:rFonts w:ascii="Cambria" w:hAnsi="Cambria"/>
              </w:rPr>
              <w:t>7</w:t>
            </w:r>
          </w:p>
        </w:tc>
        <w:tc>
          <w:tcPr>
            <w:tcW w:w="2254" w:type="dxa"/>
          </w:tcPr>
          <w:p w14:paraId="34FD9E73" w14:textId="77777777" w:rsidR="00C3276D" w:rsidRPr="00FD2E93" w:rsidRDefault="00C3276D" w:rsidP="002A2396">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FD2E93">
              <w:rPr>
                <w:rFonts w:ascii="Cambria" w:hAnsi="Cambria"/>
              </w:rPr>
              <w:t>1</w:t>
            </w:r>
          </w:p>
        </w:tc>
      </w:tr>
      <w:tr w:rsidR="00C3276D" w:rsidRPr="00FD2E93" w14:paraId="033A48F7" w14:textId="77777777" w:rsidTr="002A2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232E79A8" w14:textId="77777777" w:rsidR="00C3276D" w:rsidRPr="002A2396" w:rsidRDefault="00C3276D" w:rsidP="009A5284">
            <w:pPr>
              <w:rPr>
                <w:rFonts w:ascii="Cambria" w:hAnsi="Cambria"/>
                <w:b w:val="0"/>
              </w:rPr>
            </w:pPr>
            <w:r w:rsidRPr="002A2396">
              <w:rPr>
                <w:rFonts w:ascii="Cambria" w:hAnsi="Cambria"/>
                <w:b w:val="0"/>
              </w:rPr>
              <w:t>Efficiency</w:t>
            </w:r>
          </w:p>
        </w:tc>
        <w:tc>
          <w:tcPr>
            <w:tcW w:w="2254" w:type="dxa"/>
          </w:tcPr>
          <w:p w14:paraId="48FDDCC7" w14:textId="77777777" w:rsidR="00C3276D" w:rsidRPr="00FD2E93" w:rsidRDefault="00C3276D" w:rsidP="002A2396">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rPr>
              <w:t>6</w:t>
            </w:r>
          </w:p>
        </w:tc>
        <w:tc>
          <w:tcPr>
            <w:tcW w:w="2254" w:type="dxa"/>
          </w:tcPr>
          <w:p w14:paraId="4E0B8CDB" w14:textId="77777777" w:rsidR="00C3276D" w:rsidRPr="00FD2E93" w:rsidRDefault="00C3276D" w:rsidP="002A2396">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rPr>
              <w:t>6</w:t>
            </w:r>
          </w:p>
        </w:tc>
        <w:tc>
          <w:tcPr>
            <w:tcW w:w="2254" w:type="dxa"/>
          </w:tcPr>
          <w:p w14:paraId="2C278587" w14:textId="77777777" w:rsidR="00C3276D" w:rsidRPr="00FD2E93" w:rsidRDefault="00C3276D" w:rsidP="002A2396">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rPr>
              <w:t>1</w:t>
            </w:r>
          </w:p>
        </w:tc>
      </w:tr>
      <w:tr w:rsidR="00C3276D" w:rsidRPr="00FD2E93" w14:paraId="2358BB87" w14:textId="77777777" w:rsidTr="002A2396">
        <w:tc>
          <w:tcPr>
            <w:cnfStyle w:val="001000000000" w:firstRow="0" w:lastRow="0" w:firstColumn="1" w:lastColumn="0" w:oddVBand="0" w:evenVBand="0" w:oddHBand="0" w:evenHBand="0" w:firstRowFirstColumn="0" w:firstRowLastColumn="0" w:lastRowFirstColumn="0" w:lastRowLastColumn="0"/>
            <w:tcW w:w="9016" w:type="dxa"/>
            <w:gridSpan w:val="4"/>
            <w:shd w:val="clear" w:color="auto" w:fill="A6A6A6" w:themeFill="background1" w:themeFillShade="A6"/>
          </w:tcPr>
          <w:p w14:paraId="6E0DD2B1" w14:textId="77777777" w:rsidR="00C3276D" w:rsidRPr="002A2396" w:rsidRDefault="00C3276D" w:rsidP="002A2396">
            <w:pPr>
              <w:jc w:val="center"/>
              <w:rPr>
                <w:rFonts w:ascii="Cambria" w:hAnsi="Cambria"/>
              </w:rPr>
            </w:pPr>
            <w:r w:rsidRPr="002A2396">
              <w:rPr>
                <w:rFonts w:ascii="Cambria" w:hAnsi="Cambria"/>
              </w:rPr>
              <w:t>Local Mission</w:t>
            </w:r>
          </w:p>
        </w:tc>
      </w:tr>
      <w:tr w:rsidR="00C3276D" w:rsidRPr="00FD2E93" w14:paraId="6F5B37B7" w14:textId="77777777" w:rsidTr="002A2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1E1EF1C0" w14:textId="77777777" w:rsidR="00C3276D" w:rsidRPr="002A2396" w:rsidRDefault="00C3276D" w:rsidP="009A5284">
            <w:pPr>
              <w:rPr>
                <w:rFonts w:ascii="Cambria" w:hAnsi="Cambria"/>
                <w:b w:val="0"/>
              </w:rPr>
            </w:pPr>
            <w:r w:rsidRPr="002A2396">
              <w:rPr>
                <w:rFonts w:ascii="Cambria" w:hAnsi="Cambria"/>
                <w:b w:val="0"/>
              </w:rPr>
              <w:t>Effectiveness</w:t>
            </w:r>
          </w:p>
        </w:tc>
        <w:tc>
          <w:tcPr>
            <w:tcW w:w="2254" w:type="dxa"/>
          </w:tcPr>
          <w:p w14:paraId="242D2613" w14:textId="77777777" w:rsidR="00C3276D" w:rsidRPr="00FD2E93" w:rsidRDefault="00C3276D" w:rsidP="002A2396">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rPr>
              <w:t>7</w:t>
            </w:r>
          </w:p>
        </w:tc>
        <w:tc>
          <w:tcPr>
            <w:tcW w:w="2254" w:type="dxa"/>
          </w:tcPr>
          <w:p w14:paraId="54F30DF2" w14:textId="1F5174D2" w:rsidR="00C3276D" w:rsidRPr="00FD2E93" w:rsidRDefault="00EA13AA" w:rsidP="00EA13AA">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1</w:t>
            </w:r>
          </w:p>
        </w:tc>
        <w:tc>
          <w:tcPr>
            <w:tcW w:w="2254" w:type="dxa"/>
          </w:tcPr>
          <w:p w14:paraId="1BE3059E" w14:textId="12FB5726" w:rsidR="00C3276D" w:rsidRPr="00FD2E93" w:rsidRDefault="00EA13AA" w:rsidP="00EA13AA">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1</w:t>
            </w:r>
          </w:p>
        </w:tc>
      </w:tr>
      <w:tr w:rsidR="00C3276D" w:rsidRPr="00FD2E93" w14:paraId="0DF3732C" w14:textId="77777777" w:rsidTr="002A2396">
        <w:tc>
          <w:tcPr>
            <w:cnfStyle w:val="001000000000" w:firstRow="0" w:lastRow="0" w:firstColumn="1" w:lastColumn="0" w:oddVBand="0" w:evenVBand="0" w:oddHBand="0" w:evenHBand="0" w:firstRowFirstColumn="0" w:firstRowLastColumn="0" w:lastRowFirstColumn="0" w:lastRowLastColumn="0"/>
            <w:tcW w:w="2254" w:type="dxa"/>
          </w:tcPr>
          <w:p w14:paraId="197565F6" w14:textId="77777777" w:rsidR="00C3276D" w:rsidRPr="002A2396" w:rsidRDefault="00C3276D" w:rsidP="009A5284">
            <w:pPr>
              <w:rPr>
                <w:rFonts w:ascii="Cambria" w:hAnsi="Cambria"/>
                <w:b w:val="0"/>
              </w:rPr>
            </w:pPr>
            <w:r w:rsidRPr="002A2396">
              <w:rPr>
                <w:rFonts w:ascii="Cambria" w:hAnsi="Cambria"/>
                <w:b w:val="0"/>
              </w:rPr>
              <w:t>Efficiency</w:t>
            </w:r>
          </w:p>
        </w:tc>
        <w:tc>
          <w:tcPr>
            <w:tcW w:w="2254" w:type="dxa"/>
          </w:tcPr>
          <w:p w14:paraId="5ECCA4CA" w14:textId="5A1B12AE" w:rsidR="00C3276D" w:rsidRPr="00FD2E93" w:rsidRDefault="00C3276D" w:rsidP="002A2396">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FD2E93">
              <w:rPr>
                <w:rFonts w:ascii="Cambria" w:hAnsi="Cambria"/>
              </w:rPr>
              <w:t>5</w:t>
            </w:r>
          </w:p>
        </w:tc>
        <w:tc>
          <w:tcPr>
            <w:tcW w:w="2254" w:type="dxa"/>
          </w:tcPr>
          <w:p w14:paraId="6BDAC55A" w14:textId="77777777" w:rsidR="00C3276D" w:rsidRPr="00FD2E93" w:rsidRDefault="00C3276D" w:rsidP="002A2396">
            <w:pPr>
              <w:jc w:val="center"/>
              <w:cnfStyle w:val="000000000000" w:firstRow="0" w:lastRow="0" w:firstColumn="0" w:lastColumn="0" w:oddVBand="0" w:evenVBand="0" w:oddHBand="0" w:evenHBand="0" w:firstRowFirstColumn="0" w:firstRowLastColumn="0" w:lastRowFirstColumn="0" w:lastRowLastColumn="0"/>
              <w:rPr>
                <w:rFonts w:ascii="Cambria" w:hAnsi="Cambria"/>
              </w:rPr>
            </w:pPr>
          </w:p>
        </w:tc>
        <w:tc>
          <w:tcPr>
            <w:tcW w:w="2254" w:type="dxa"/>
          </w:tcPr>
          <w:p w14:paraId="42D20415" w14:textId="77777777" w:rsidR="00C3276D" w:rsidRPr="00FD2E93" w:rsidRDefault="00C3276D" w:rsidP="002A2396">
            <w:pPr>
              <w:jc w:val="center"/>
              <w:cnfStyle w:val="000000000000" w:firstRow="0" w:lastRow="0" w:firstColumn="0" w:lastColumn="0" w:oddVBand="0" w:evenVBand="0" w:oddHBand="0" w:evenHBand="0" w:firstRowFirstColumn="0" w:firstRowLastColumn="0" w:lastRowFirstColumn="0" w:lastRowLastColumn="0"/>
              <w:rPr>
                <w:rFonts w:ascii="Cambria" w:hAnsi="Cambria"/>
              </w:rPr>
            </w:pPr>
          </w:p>
        </w:tc>
      </w:tr>
      <w:tr w:rsidR="00C3276D" w:rsidRPr="00FD2E93" w14:paraId="4BA82688" w14:textId="77777777" w:rsidTr="002A2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4"/>
            <w:shd w:val="clear" w:color="auto" w:fill="A6A6A6" w:themeFill="background1" w:themeFillShade="A6"/>
          </w:tcPr>
          <w:p w14:paraId="4F9614C8" w14:textId="77777777" w:rsidR="00C3276D" w:rsidRPr="002A2396" w:rsidRDefault="00C3276D" w:rsidP="002A2396">
            <w:pPr>
              <w:jc w:val="center"/>
              <w:rPr>
                <w:rFonts w:ascii="Cambria" w:hAnsi="Cambria"/>
              </w:rPr>
            </w:pPr>
            <w:r w:rsidRPr="002A2396">
              <w:rPr>
                <w:rFonts w:ascii="Cambria" w:hAnsi="Cambria"/>
              </w:rPr>
              <w:t>Communications Department</w:t>
            </w:r>
          </w:p>
        </w:tc>
      </w:tr>
      <w:tr w:rsidR="00C3276D" w:rsidRPr="00FD2E93" w14:paraId="68D80BB3" w14:textId="77777777" w:rsidTr="002A2396">
        <w:tc>
          <w:tcPr>
            <w:cnfStyle w:val="001000000000" w:firstRow="0" w:lastRow="0" w:firstColumn="1" w:lastColumn="0" w:oddVBand="0" w:evenVBand="0" w:oddHBand="0" w:evenHBand="0" w:firstRowFirstColumn="0" w:firstRowLastColumn="0" w:lastRowFirstColumn="0" w:lastRowLastColumn="0"/>
            <w:tcW w:w="2254" w:type="dxa"/>
          </w:tcPr>
          <w:p w14:paraId="0CDAFC23" w14:textId="77777777" w:rsidR="00C3276D" w:rsidRPr="002A2396" w:rsidRDefault="00C3276D" w:rsidP="009A5284">
            <w:pPr>
              <w:rPr>
                <w:rFonts w:ascii="Cambria" w:hAnsi="Cambria"/>
                <w:b w:val="0"/>
              </w:rPr>
            </w:pPr>
            <w:r w:rsidRPr="002A2396">
              <w:rPr>
                <w:rFonts w:ascii="Cambria" w:hAnsi="Cambria"/>
                <w:b w:val="0"/>
              </w:rPr>
              <w:t>Effectiveness</w:t>
            </w:r>
          </w:p>
        </w:tc>
        <w:tc>
          <w:tcPr>
            <w:tcW w:w="2254" w:type="dxa"/>
          </w:tcPr>
          <w:p w14:paraId="48077E31" w14:textId="77777777" w:rsidR="00C3276D" w:rsidRPr="00FD2E93" w:rsidRDefault="00C3276D" w:rsidP="002A2396">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FD2E93">
              <w:rPr>
                <w:rFonts w:ascii="Cambria" w:hAnsi="Cambria"/>
              </w:rPr>
              <w:t>3</w:t>
            </w:r>
          </w:p>
        </w:tc>
        <w:tc>
          <w:tcPr>
            <w:tcW w:w="2254" w:type="dxa"/>
          </w:tcPr>
          <w:p w14:paraId="076FCE5A" w14:textId="1A60F8D1" w:rsidR="00C3276D" w:rsidRPr="00FD2E93" w:rsidRDefault="002A2396" w:rsidP="002A2396">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1</w:t>
            </w:r>
          </w:p>
        </w:tc>
        <w:tc>
          <w:tcPr>
            <w:tcW w:w="2254" w:type="dxa"/>
          </w:tcPr>
          <w:p w14:paraId="674BFA8E" w14:textId="77777777" w:rsidR="00C3276D" w:rsidRPr="00FD2E93" w:rsidRDefault="00C3276D" w:rsidP="002A2396">
            <w:pPr>
              <w:jc w:val="center"/>
              <w:cnfStyle w:val="000000000000" w:firstRow="0" w:lastRow="0" w:firstColumn="0" w:lastColumn="0" w:oddVBand="0" w:evenVBand="0" w:oddHBand="0" w:evenHBand="0" w:firstRowFirstColumn="0" w:firstRowLastColumn="0" w:lastRowFirstColumn="0" w:lastRowLastColumn="0"/>
              <w:rPr>
                <w:rFonts w:ascii="Cambria" w:hAnsi="Cambria"/>
              </w:rPr>
            </w:pPr>
          </w:p>
        </w:tc>
      </w:tr>
      <w:tr w:rsidR="00C3276D" w:rsidRPr="00FD2E93" w14:paraId="468F0A9A" w14:textId="77777777" w:rsidTr="002A2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4345C45E" w14:textId="77777777" w:rsidR="00C3276D" w:rsidRPr="002A2396" w:rsidRDefault="00C3276D" w:rsidP="009A5284">
            <w:pPr>
              <w:rPr>
                <w:rFonts w:ascii="Cambria" w:hAnsi="Cambria"/>
                <w:b w:val="0"/>
              </w:rPr>
            </w:pPr>
            <w:r w:rsidRPr="002A2396">
              <w:rPr>
                <w:rFonts w:ascii="Cambria" w:hAnsi="Cambria"/>
                <w:b w:val="0"/>
              </w:rPr>
              <w:t>Efficiency</w:t>
            </w:r>
          </w:p>
        </w:tc>
        <w:tc>
          <w:tcPr>
            <w:tcW w:w="2254" w:type="dxa"/>
          </w:tcPr>
          <w:p w14:paraId="668B2B07" w14:textId="77777777" w:rsidR="00C3276D" w:rsidRPr="00FD2E93" w:rsidRDefault="00C3276D" w:rsidP="002A2396">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rPr>
              <w:t>3</w:t>
            </w:r>
          </w:p>
        </w:tc>
        <w:tc>
          <w:tcPr>
            <w:tcW w:w="2254" w:type="dxa"/>
          </w:tcPr>
          <w:p w14:paraId="03FEA66E" w14:textId="77777777" w:rsidR="00C3276D" w:rsidRPr="00FD2E93" w:rsidRDefault="00C3276D" w:rsidP="002A2396">
            <w:pPr>
              <w:jc w:val="center"/>
              <w:cnfStyle w:val="000000100000" w:firstRow="0" w:lastRow="0" w:firstColumn="0" w:lastColumn="0" w:oddVBand="0" w:evenVBand="0" w:oddHBand="1" w:evenHBand="0" w:firstRowFirstColumn="0" w:firstRowLastColumn="0" w:lastRowFirstColumn="0" w:lastRowLastColumn="0"/>
              <w:rPr>
                <w:rFonts w:ascii="Cambria" w:hAnsi="Cambria"/>
              </w:rPr>
            </w:pPr>
          </w:p>
        </w:tc>
        <w:tc>
          <w:tcPr>
            <w:tcW w:w="2254" w:type="dxa"/>
          </w:tcPr>
          <w:p w14:paraId="5B43793D" w14:textId="77777777" w:rsidR="00C3276D" w:rsidRPr="00FD2E93" w:rsidRDefault="00C3276D" w:rsidP="002A2396">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rPr>
              <w:t>1</w:t>
            </w:r>
          </w:p>
        </w:tc>
      </w:tr>
      <w:tr w:rsidR="00C3276D" w:rsidRPr="00FD2E93" w14:paraId="431CA36F" w14:textId="77777777" w:rsidTr="002A2396">
        <w:tc>
          <w:tcPr>
            <w:cnfStyle w:val="001000000000" w:firstRow="0" w:lastRow="0" w:firstColumn="1" w:lastColumn="0" w:oddVBand="0" w:evenVBand="0" w:oddHBand="0" w:evenHBand="0" w:firstRowFirstColumn="0" w:firstRowLastColumn="0" w:lastRowFirstColumn="0" w:lastRowLastColumn="0"/>
            <w:tcW w:w="9016" w:type="dxa"/>
            <w:gridSpan w:val="4"/>
            <w:shd w:val="clear" w:color="auto" w:fill="A6A6A6" w:themeFill="background1" w:themeFillShade="A6"/>
          </w:tcPr>
          <w:p w14:paraId="78968FEE" w14:textId="77777777" w:rsidR="00C3276D" w:rsidRPr="002A2396" w:rsidRDefault="00C3276D" w:rsidP="002A2396">
            <w:pPr>
              <w:jc w:val="center"/>
              <w:rPr>
                <w:rFonts w:ascii="Cambria" w:hAnsi="Cambria"/>
              </w:rPr>
            </w:pPr>
            <w:r w:rsidRPr="002A2396">
              <w:rPr>
                <w:rFonts w:ascii="Cambria" w:hAnsi="Cambria"/>
              </w:rPr>
              <w:t>Church Worker Support Department</w:t>
            </w:r>
          </w:p>
        </w:tc>
      </w:tr>
      <w:tr w:rsidR="00C3276D" w:rsidRPr="00FD2E93" w14:paraId="1CF0E330" w14:textId="77777777" w:rsidTr="002A2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3CB6AA79" w14:textId="77777777" w:rsidR="00C3276D" w:rsidRPr="002A2396" w:rsidRDefault="00C3276D" w:rsidP="009A5284">
            <w:pPr>
              <w:rPr>
                <w:rFonts w:ascii="Cambria" w:hAnsi="Cambria"/>
                <w:b w:val="0"/>
              </w:rPr>
            </w:pPr>
            <w:r w:rsidRPr="002A2396">
              <w:rPr>
                <w:rFonts w:ascii="Cambria" w:hAnsi="Cambria"/>
                <w:b w:val="0"/>
              </w:rPr>
              <w:t>Effectiveness</w:t>
            </w:r>
          </w:p>
        </w:tc>
        <w:tc>
          <w:tcPr>
            <w:tcW w:w="2254" w:type="dxa"/>
          </w:tcPr>
          <w:p w14:paraId="46B6B2EE" w14:textId="77777777" w:rsidR="00C3276D" w:rsidRPr="00FD2E93" w:rsidRDefault="00C3276D" w:rsidP="002A2396">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rPr>
              <w:t>2</w:t>
            </w:r>
          </w:p>
        </w:tc>
        <w:tc>
          <w:tcPr>
            <w:tcW w:w="2254" w:type="dxa"/>
          </w:tcPr>
          <w:p w14:paraId="69FB3F88" w14:textId="77777777" w:rsidR="00C3276D" w:rsidRPr="00FD2E93" w:rsidRDefault="00C3276D" w:rsidP="002A2396">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rPr>
              <w:t>1</w:t>
            </w:r>
          </w:p>
        </w:tc>
        <w:tc>
          <w:tcPr>
            <w:tcW w:w="2254" w:type="dxa"/>
          </w:tcPr>
          <w:p w14:paraId="66C133E6" w14:textId="77777777" w:rsidR="00C3276D" w:rsidRPr="00FD2E93" w:rsidRDefault="00C3276D" w:rsidP="002A2396">
            <w:pPr>
              <w:jc w:val="center"/>
              <w:cnfStyle w:val="000000100000" w:firstRow="0" w:lastRow="0" w:firstColumn="0" w:lastColumn="0" w:oddVBand="0" w:evenVBand="0" w:oddHBand="1" w:evenHBand="0" w:firstRowFirstColumn="0" w:firstRowLastColumn="0" w:lastRowFirstColumn="0" w:lastRowLastColumn="0"/>
              <w:rPr>
                <w:rFonts w:ascii="Cambria" w:hAnsi="Cambria"/>
              </w:rPr>
            </w:pPr>
          </w:p>
        </w:tc>
      </w:tr>
      <w:tr w:rsidR="00C3276D" w:rsidRPr="00FD2E93" w14:paraId="7A6A1909" w14:textId="77777777" w:rsidTr="002A2396">
        <w:tc>
          <w:tcPr>
            <w:cnfStyle w:val="001000000000" w:firstRow="0" w:lastRow="0" w:firstColumn="1" w:lastColumn="0" w:oddVBand="0" w:evenVBand="0" w:oddHBand="0" w:evenHBand="0" w:firstRowFirstColumn="0" w:firstRowLastColumn="0" w:lastRowFirstColumn="0" w:lastRowLastColumn="0"/>
            <w:tcW w:w="2254" w:type="dxa"/>
          </w:tcPr>
          <w:p w14:paraId="604859BD" w14:textId="77777777" w:rsidR="00C3276D" w:rsidRPr="002A2396" w:rsidRDefault="00C3276D" w:rsidP="009A5284">
            <w:pPr>
              <w:rPr>
                <w:rFonts w:ascii="Cambria" w:hAnsi="Cambria"/>
                <w:b w:val="0"/>
              </w:rPr>
            </w:pPr>
            <w:r w:rsidRPr="002A2396">
              <w:rPr>
                <w:rFonts w:ascii="Cambria" w:hAnsi="Cambria"/>
                <w:b w:val="0"/>
              </w:rPr>
              <w:t>Efficiency</w:t>
            </w:r>
          </w:p>
        </w:tc>
        <w:tc>
          <w:tcPr>
            <w:tcW w:w="2254" w:type="dxa"/>
          </w:tcPr>
          <w:p w14:paraId="52A7956E" w14:textId="77777777" w:rsidR="00C3276D" w:rsidRPr="00FD2E93" w:rsidRDefault="00C3276D" w:rsidP="002A2396">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FD2E93">
              <w:rPr>
                <w:rFonts w:ascii="Cambria" w:hAnsi="Cambria"/>
              </w:rPr>
              <w:t>2</w:t>
            </w:r>
          </w:p>
        </w:tc>
        <w:tc>
          <w:tcPr>
            <w:tcW w:w="2254" w:type="dxa"/>
          </w:tcPr>
          <w:p w14:paraId="021C7AC6" w14:textId="77777777" w:rsidR="00C3276D" w:rsidRPr="00FD2E93" w:rsidRDefault="00C3276D" w:rsidP="002A2396">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FD2E93">
              <w:rPr>
                <w:rFonts w:ascii="Cambria" w:hAnsi="Cambria"/>
              </w:rPr>
              <w:t>1</w:t>
            </w:r>
          </w:p>
        </w:tc>
        <w:tc>
          <w:tcPr>
            <w:tcW w:w="2254" w:type="dxa"/>
          </w:tcPr>
          <w:p w14:paraId="199EC14B" w14:textId="77777777" w:rsidR="00C3276D" w:rsidRPr="00FD2E93" w:rsidRDefault="00C3276D" w:rsidP="002A2396">
            <w:pPr>
              <w:jc w:val="center"/>
              <w:cnfStyle w:val="000000000000" w:firstRow="0" w:lastRow="0" w:firstColumn="0" w:lastColumn="0" w:oddVBand="0" w:evenVBand="0" w:oddHBand="0" w:evenHBand="0" w:firstRowFirstColumn="0" w:firstRowLastColumn="0" w:lastRowFirstColumn="0" w:lastRowLastColumn="0"/>
              <w:rPr>
                <w:rFonts w:ascii="Cambria" w:hAnsi="Cambria"/>
              </w:rPr>
            </w:pPr>
          </w:p>
        </w:tc>
      </w:tr>
      <w:tr w:rsidR="00C3276D" w:rsidRPr="00FD2E93" w14:paraId="283CD5EB" w14:textId="77777777" w:rsidTr="002A2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4"/>
            <w:shd w:val="clear" w:color="auto" w:fill="A6A6A6" w:themeFill="background1" w:themeFillShade="A6"/>
          </w:tcPr>
          <w:p w14:paraId="534F675A" w14:textId="77777777" w:rsidR="00C3276D" w:rsidRPr="002A2396" w:rsidRDefault="00C3276D" w:rsidP="002A2396">
            <w:pPr>
              <w:jc w:val="center"/>
              <w:rPr>
                <w:rFonts w:ascii="Cambria" w:hAnsi="Cambria"/>
              </w:rPr>
            </w:pPr>
            <w:r w:rsidRPr="002A2396">
              <w:rPr>
                <w:rFonts w:ascii="Cambria" w:hAnsi="Cambria"/>
              </w:rPr>
              <w:t>Finance &amp; Administration Department</w:t>
            </w:r>
          </w:p>
        </w:tc>
      </w:tr>
      <w:tr w:rsidR="00C3276D" w:rsidRPr="00FD2E93" w14:paraId="753A68A2" w14:textId="77777777" w:rsidTr="002A2396">
        <w:tc>
          <w:tcPr>
            <w:cnfStyle w:val="001000000000" w:firstRow="0" w:lastRow="0" w:firstColumn="1" w:lastColumn="0" w:oddVBand="0" w:evenVBand="0" w:oddHBand="0" w:evenHBand="0" w:firstRowFirstColumn="0" w:firstRowLastColumn="0" w:lastRowFirstColumn="0" w:lastRowLastColumn="0"/>
            <w:tcW w:w="2254" w:type="dxa"/>
          </w:tcPr>
          <w:p w14:paraId="40E75344" w14:textId="77777777" w:rsidR="00C3276D" w:rsidRPr="002A2396" w:rsidRDefault="00C3276D" w:rsidP="009A5284">
            <w:pPr>
              <w:rPr>
                <w:rFonts w:ascii="Cambria" w:hAnsi="Cambria"/>
                <w:b w:val="0"/>
              </w:rPr>
            </w:pPr>
            <w:r w:rsidRPr="002A2396">
              <w:rPr>
                <w:rFonts w:ascii="Cambria" w:hAnsi="Cambria"/>
                <w:b w:val="0"/>
              </w:rPr>
              <w:t>Effectiveness</w:t>
            </w:r>
          </w:p>
        </w:tc>
        <w:tc>
          <w:tcPr>
            <w:tcW w:w="2254" w:type="dxa"/>
          </w:tcPr>
          <w:p w14:paraId="057228B4" w14:textId="77777777" w:rsidR="00C3276D" w:rsidRPr="00FD2E93" w:rsidRDefault="00C3276D" w:rsidP="002A2396">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FD2E93">
              <w:rPr>
                <w:rFonts w:ascii="Cambria" w:hAnsi="Cambria"/>
              </w:rPr>
              <w:t>1</w:t>
            </w:r>
          </w:p>
        </w:tc>
        <w:tc>
          <w:tcPr>
            <w:tcW w:w="2254" w:type="dxa"/>
          </w:tcPr>
          <w:p w14:paraId="0790426F" w14:textId="77777777" w:rsidR="00C3276D" w:rsidRPr="00FD2E93" w:rsidRDefault="00C3276D" w:rsidP="002A2396">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FD2E93">
              <w:rPr>
                <w:rFonts w:ascii="Cambria" w:hAnsi="Cambria"/>
              </w:rPr>
              <w:t>1</w:t>
            </w:r>
          </w:p>
        </w:tc>
        <w:tc>
          <w:tcPr>
            <w:tcW w:w="2254" w:type="dxa"/>
          </w:tcPr>
          <w:p w14:paraId="7C80D363" w14:textId="0C5DA000" w:rsidR="00C3276D" w:rsidRPr="00FD2E93" w:rsidRDefault="00EA13AA" w:rsidP="00EA13AA">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2</w:t>
            </w:r>
          </w:p>
        </w:tc>
      </w:tr>
      <w:tr w:rsidR="00C3276D" w:rsidRPr="00FD2E93" w14:paraId="0264A18E" w14:textId="77777777" w:rsidTr="002A2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5CCD0FCD" w14:textId="77777777" w:rsidR="00C3276D" w:rsidRPr="002A2396" w:rsidRDefault="00C3276D" w:rsidP="009A5284">
            <w:pPr>
              <w:rPr>
                <w:rFonts w:ascii="Cambria" w:hAnsi="Cambria"/>
                <w:b w:val="0"/>
              </w:rPr>
            </w:pPr>
            <w:r w:rsidRPr="002A2396">
              <w:rPr>
                <w:rFonts w:ascii="Cambria" w:hAnsi="Cambria"/>
                <w:b w:val="0"/>
              </w:rPr>
              <w:t>Efficiency</w:t>
            </w:r>
          </w:p>
        </w:tc>
        <w:tc>
          <w:tcPr>
            <w:tcW w:w="2254" w:type="dxa"/>
          </w:tcPr>
          <w:p w14:paraId="41E41C8A" w14:textId="77777777" w:rsidR="00C3276D" w:rsidRPr="00FD2E93" w:rsidRDefault="00C3276D" w:rsidP="002A2396">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rPr>
              <w:t>2</w:t>
            </w:r>
          </w:p>
        </w:tc>
        <w:tc>
          <w:tcPr>
            <w:tcW w:w="2254" w:type="dxa"/>
          </w:tcPr>
          <w:p w14:paraId="6727B7A4" w14:textId="77777777" w:rsidR="00C3276D" w:rsidRPr="00FD2E93" w:rsidRDefault="00C3276D" w:rsidP="002A2396">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rPr>
              <w:t>1</w:t>
            </w:r>
          </w:p>
        </w:tc>
        <w:tc>
          <w:tcPr>
            <w:tcW w:w="2254" w:type="dxa"/>
          </w:tcPr>
          <w:p w14:paraId="6320F505" w14:textId="4F4B0723" w:rsidR="00C3276D" w:rsidRPr="00FD2E93" w:rsidRDefault="00EA13AA" w:rsidP="00EA13AA">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2</w:t>
            </w:r>
          </w:p>
        </w:tc>
      </w:tr>
      <w:tr w:rsidR="00C3276D" w:rsidRPr="00FD2E93" w14:paraId="49A610B9" w14:textId="77777777" w:rsidTr="002A2396">
        <w:tc>
          <w:tcPr>
            <w:cnfStyle w:val="001000000000" w:firstRow="0" w:lastRow="0" w:firstColumn="1" w:lastColumn="0" w:oddVBand="0" w:evenVBand="0" w:oddHBand="0" w:evenHBand="0" w:firstRowFirstColumn="0" w:firstRowLastColumn="0" w:lastRowFirstColumn="0" w:lastRowLastColumn="0"/>
            <w:tcW w:w="9016" w:type="dxa"/>
            <w:gridSpan w:val="4"/>
            <w:shd w:val="clear" w:color="auto" w:fill="A6A6A6" w:themeFill="background1" w:themeFillShade="A6"/>
          </w:tcPr>
          <w:p w14:paraId="699664CE" w14:textId="77777777" w:rsidR="00C3276D" w:rsidRPr="002A2396" w:rsidRDefault="00C3276D" w:rsidP="002A2396">
            <w:pPr>
              <w:jc w:val="center"/>
              <w:rPr>
                <w:rFonts w:ascii="Cambria" w:hAnsi="Cambria"/>
              </w:rPr>
            </w:pPr>
            <w:r w:rsidRPr="002A2396">
              <w:rPr>
                <w:rFonts w:ascii="Cambria" w:hAnsi="Cambria"/>
              </w:rPr>
              <w:t>Information &amp; Comms Technology Department</w:t>
            </w:r>
          </w:p>
        </w:tc>
      </w:tr>
      <w:tr w:rsidR="00C3276D" w:rsidRPr="00FD2E93" w14:paraId="40AE7610" w14:textId="77777777" w:rsidTr="002A2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02DC6A8B" w14:textId="77777777" w:rsidR="00C3276D" w:rsidRPr="002A2396" w:rsidRDefault="00C3276D" w:rsidP="009A5284">
            <w:pPr>
              <w:rPr>
                <w:rFonts w:ascii="Cambria" w:hAnsi="Cambria"/>
                <w:b w:val="0"/>
              </w:rPr>
            </w:pPr>
            <w:r w:rsidRPr="002A2396">
              <w:rPr>
                <w:rFonts w:ascii="Cambria" w:hAnsi="Cambria"/>
                <w:b w:val="0"/>
              </w:rPr>
              <w:t>Effectiveness</w:t>
            </w:r>
          </w:p>
        </w:tc>
        <w:tc>
          <w:tcPr>
            <w:tcW w:w="2254" w:type="dxa"/>
          </w:tcPr>
          <w:p w14:paraId="5CF00819" w14:textId="77777777" w:rsidR="00C3276D" w:rsidRPr="00FD2E93" w:rsidRDefault="00C3276D" w:rsidP="002A2396">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rPr>
              <w:t>1</w:t>
            </w:r>
          </w:p>
        </w:tc>
        <w:tc>
          <w:tcPr>
            <w:tcW w:w="2254" w:type="dxa"/>
          </w:tcPr>
          <w:p w14:paraId="7F738A5C" w14:textId="77777777" w:rsidR="00C3276D" w:rsidRPr="00FD2E93" w:rsidRDefault="00C3276D" w:rsidP="002A2396">
            <w:pPr>
              <w:jc w:val="center"/>
              <w:cnfStyle w:val="000000100000" w:firstRow="0" w:lastRow="0" w:firstColumn="0" w:lastColumn="0" w:oddVBand="0" w:evenVBand="0" w:oddHBand="1" w:evenHBand="0" w:firstRowFirstColumn="0" w:firstRowLastColumn="0" w:lastRowFirstColumn="0" w:lastRowLastColumn="0"/>
              <w:rPr>
                <w:rFonts w:ascii="Cambria" w:hAnsi="Cambria"/>
              </w:rPr>
            </w:pPr>
          </w:p>
        </w:tc>
        <w:tc>
          <w:tcPr>
            <w:tcW w:w="2254" w:type="dxa"/>
          </w:tcPr>
          <w:p w14:paraId="43E198C4" w14:textId="7ECFC65C" w:rsidR="00C3276D" w:rsidRPr="00FD2E93" w:rsidRDefault="00EA13AA" w:rsidP="00EA13AA">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1</w:t>
            </w:r>
          </w:p>
        </w:tc>
      </w:tr>
      <w:tr w:rsidR="00C3276D" w:rsidRPr="00FD2E93" w14:paraId="6DE00C68" w14:textId="77777777" w:rsidTr="002A2396">
        <w:tc>
          <w:tcPr>
            <w:cnfStyle w:val="001000000000" w:firstRow="0" w:lastRow="0" w:firstColumn="1" w:lastColumn="0" w:oddVBand="0" w:evenVBand="0" w:oddHBand="0" w:evenHBand="0" w:firstRowFirstColumn="0" w:firstRowLastColumn="0" w:lastRowFirstColumn="0" w:lastRowLastColumn="0"/>
            <w:tcW w:w="2254" w:type="dxa"/>
          </w:tcPr>
          <w:p w14:paraId="7FF41C00" w14:textId="77777777" w:rsidR="00C3276D" w:rsidRPr="002A2396" w:rsidRDefault="00C3276D" w:rsidP="009A5284">
            <w:pPr>
              <w:rPr>
                <w:rFonts w:ascii="Cambria" w:hAnsi="Cambria"/>
                <w:b w:val="0"/>
              </w:rPr>
            </w:pPr>
            <w:r w:rsidRPr="002A2396">
              <w:rPr>
                <w:rFonts w:ascii="Cambria" w:hAnsi="Cambria"/>
                <w:b w:val="0"/>
              </w:rPr>
              <w:t>Efficiency</w:t>
            </w:r>
          </w:p>
        </w:tc>
        <w:tc>
          <w:tcPr>
            <w:tcW w:w="2254" w:type="dxa"/>
          </w:tcPr>
          <w:p w14:paraId="52E3242F" w14:textId="77777777" w:rsidR="00C3276D" w:rsidRPr="00FD2E93" w:rsidRDefault="00C3276D" w:rsidP="002A2396">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FD2E93">
              <w:rPr>
                <w:rFonts w:ascii="Cambria" w:hAnsi="Cambria"/>
              </w:rPr>
              <w:t>1</w:t>
            </w:r>
          </w:p>
        </w:tc>
        <w:tc>
          <w:tcPr>
            <w:tcW w:w="2254" w:type="dxa"/>
          </w:tcPr>
          <w:p w14:paraId="6EF00666" w14:textId="77777777" w:rsidR="00C3276D" w:rsidRPr="00FD2E93" w:rsidRDefault="00C3276D" w:rsidP="002A2396">
            <w:pPr>
              <w:jc w:val="center"/>
              <w:cnfStyle w:val="000000000000" w:firstRow="0" w:lastRow="0" w:firstColumn="0" w:lastColumn="0" w:oddVBand="0" w:evenVBand="0" w:oddHBand="0" w:evenHBand="0" w:firstRowFirstColumn="0" w:firstRowLastColumn="0" w:lastRowFirstColumn="0" w:lastRowLastColumn="0"/>
              <w:rPr>
                <w:rFonts w:ascii="Cambria" w:hAnsi="Cambria"/>
              </w:rPr>
            </w:pPr>
          </w:p>
        </w:tc>
        <w:tc>
          <w:tcPr>
            <w:tcW w:w="2254" w:type="dxa"/>
          </w:tcPr>
          <w:p w14:paraId="6D1C3311" w14:textId="03F9B7A1" w:rsidR="00C3276D" w:rsidRPr="00FD2E93" w:rsidRDefault="00EA13AA" w:rsidP="00EA13AA">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1</w:t>
            </w:r>
          </w:p>
        </w:tc>
      </w:tr>
    </w:tbl>
    <w:p w14:paraId="4748EE16" w14:textId="77777777" w:rsidR="00C3276D" w:rsidRPr="00FD2E93" w:rsidRDefault="00C3276D" w:rsidP="00C3276D">
      <w:pPr>
        <w:rPr>
          <w:rFonts w:ascii="Cambria" w:hAnsi="Cambria"/>
        </w:rPr>
      </w:pPr>
    </w:p>
    <w:p w14:paraId="397AF54A" w14:textId="77777777" w:rsidR="00C3276D" w:rsidRPr="00FD2E93" w:rsidRDefault="00C3276D" w:rsidP="00C3276D">
      <w:pPr>
        <w:rPr>
          <w:rFonts w:ascii="Cambria" w:hAnsi="Cambria"/>
          <w:b/>
        </w:rPr>
      </w:pPr>
      <w:r w:rsidRPr="00FD2E93">
        <w:rPr>
          <w:rFonts w:ascii="Cambria" w:hAnsi="Cambria"/>
          <w:b/>
        </w:rPr>
        <w:t>Changes to Governing Bodies and national office functions</w:t>
      </w:r>
    </w:p>
    <w:p w14:paraId="3D20F4DF" w14:textId="77777777" w:rsidR="00C3276D" w:rsidRPr="00FD2E93" w:rsidRDefault="00C3276D" w:rsidP="00C3276D">
      <w:pPr>
        <w:rPr>
          <w:rFonts w:ascii="Cambria" w:hAnsi="Cambria"/>
        </w:rPr>
      </w:pPr>
      <w:r w:rsidRPr="00FD2E93">
        <w:rPr>
          <w:rFonts w:ascii="Cambria" w:hAnsi="Cambria"/>
        </w:rPr>
        <w:t>The following table (Table 3) provides a breakdown of all results for those questions that required a rating, using the five-point scale mentioned above. The statistical Median of All Respondents is shown, with comparisons provided for various Respondents Groups. Use of the Median in this edition of this report, conveys more statistical accuracy by recognising the range of ratings provided by respondents; the scores are not normalised therefore, as they can be when Averages are used.</w:t>
      </w:r>
    </w:p>
    <w:p w14:paraId="345ED273" w14:textId="77777777" w:rsidR="00C3276D" w:rsidRPr="00FD2E93" w:rsidRDefault="00C3276D" w:rsidP="00C3276D">
      <w:pPr>
        <w:rPr>
          <w:rFonts w:ascii="Cambria" w:hAnsi="Cambria"/>
        </w:rPr>
      </w:pPr>
    </w:p>
    <w:p w14:paraId="34BC4B89" w14:textId="77777777" w:rsidR="00C3276D" w:rsidRPr="00FD2E93" w:rsidRDefault="00C3276D" w:rsidP="00C3276D">
      <w:pPr>
        <w:rPr>
          <w:rFonts w:ascii="Cambria" w:hAnsi="Cambria"/>
          <w:b/>
        </w:rPr>
      </w:pPr>
      <w:r w:rsidRPr="00FD2E93">
        <w:rPr>
          <w:rFonts w:ascii="Cambria" w:hAnsi="Cambria"/>
          <w:b/>
        </w:rPr>
        <w:br w:type="page"/>
      </w:r>
    </w:p>
    <w:p w14:paraId="36AAA4BB" w14:textId="77777777" w:rsidR="00C3276D" w:rsidRPr="00FD2E93" w:rsidRDefault="00C3276D" w:rsidP="00C3276D">
      <w:pPr>
        <w:rPr>
          <w:rFonts w:ascii="Cambria" w:hAnsi="Cambria"/>
          <w:b/>
        </w:rPr>
        <w:sectPr w:rsidR="00C3276D" w:rsidRPr="00FD2E93" w:rsidSect="00C3276D">
          <w:type w:val="continuous"/>
          <w:pgSz w:w="11906" w:h="16838"/>
          <w:pgMar w:top="1134" w:right="1134" w:bottom="1134" w:left="2104" w:header="709" w:footer="709" w:gutter="0"/>
          <w:cols w:space="708"/>
          <w:titlePg/>
          <w:docGrid w:linePitch="360"/>
        </w:sectPr>
      </w:pPr>
    </w:p>
    <w:p w14:paraId="4B7E6B3B" w14:textId="77777777" w:rsidR="00C3276D" w:rsidRPr="00FD2E93" w:rsidRDefault="00C3276D" w:rsidP="00C3276D">
      <w:pPr>
        <w:rPr>
          <w:rFonts w:ascii="Cambria" w:hAnsi="Cambria"/>
        </w:rPr>
      </w:pPr>
      <w:r w:rsidRPr="00FD2E93">
        <w:rPr>
          <w:rFonts w:ascii="Cambria" w:hAnsi="Cambria"/>
        </w:rPr>
        <w:lastRenderedPageBreak/>
        <w:t xml:space="preserve">Table 3: Rated Survey Questions, by Respondent Categories; Calculation of </w:t>
      </w:r>
      <w:r w:rsidRPr="00FD2E93">
        <w:rPr>
          <w:rFonts w:ascii="Cambria" w:hAnsi="Cambria"/>
          <w:u w:val="single"/>
        </w:rPr>
        <w:t>Median</w:t>
      </w:r>
      <w:r w:rsidRPr="00FD2E93">
        <w:rPr>
          <w:rFonts w:ascii="Cambria" w:hAnsi="Cambria"/>
        </w:rPr>
        <w:t xml:space="preserve"> responses. Grey highlights a Positive Response. Those Medians rating higher than “3” indicate a substantial number of respondents rated a “4” or better.</w:t>
      </w:r>
    </w:p>
    <w:tbl>
      <w:tblPr>
        <w:tblStyle w:val="TableGrid"/>
        <w:tblW w:w="0" w:type="auto"/>
        <w:tblInd w:w="0" w:type="dxa"/>
        <w:tblLook w:val="04A0" w:firstRow="1" w:lastRow="0" w:firstColumn="1" w:lastColumn="0" w:noHBand="0" w:noVBand="1"/>
      </w:tblPr>
      <w:tblGrid>
        <w:gridCol w:w="6813"/>
        <w:gridCol w:w="993"/>
        <w:gridCol w:w="849"/>
        <w:gridCol w:w="822"/>
        <w:gridCol w:w="1342"/>
        <w:gridCol w:w="1648"/>
        <w:gridCol w:w="1481"/>
      </w:tblGrid>
      <w:tr w:rsidR="00C3276D" w:rsidRPr="00FD2E93" w14:paraId="6D1E2ACC" w14:textId="77777777" w:rsidTr="009A5284">
        <w:tc>
          <w:tcPr>
            <w:tcW w:w="7233" w:type="dxa"/>
            <w:shd w:val="clear" w:color="auto" w:fill="F2F2F2" w:themeFill="background1" w:themeFillShade="F2"/>
          </w:tcPr>
          <w:p w14:paraId="4BE49358" w14:textId="77777777" w:rsidR="00C3276D" w:rsidRPr="00FD2E93" w:rsidRDefault="00C3276D" w:rsidP="009A5284">
            <w:pPr>
              <w:rPr>
                <w:rFonts w:ascii="Cambria" w:hAnsi="Cambria"/>
              </w:rPr>
            </w:pPr>
            <w:r w:rsidRPr="00FD2E93">
              <w:rPr>
                <w:rFonts w:ascii="Cambria" w:hAnsi="Cambria"/>
              </w:rPr>
              <w:t>Survey Questions / Response Groupings</w:t>
            </w:r>
          </w:p>
          <w:p w14:paraId="1AF579CD" w14:textId="77777777" w:rsidR="00C3276D" w:rsidRPr="00FD2E93" w:rsidRDefault="00C3276D" w:rsidP="009A5284">
            <w:pPr>
              <w:rPr>
                <w:rFonts w:ascii="Cambria" w:hAnsi="Cambria"/>
              </w:rPr>
            </w:pPr>
            <w:r w:rsidRPr="00FD2E93">
              <w:rPr>
                <w:rFonts w:ascii="Cambria" w:hAnsi="Cambria"/>
              </w:rPr>
              <w:t>(questions requiring a rating: 5 = Significant Positive Impact; 4 = Positive Impact; 3 = No Impact; 2 = Negative Impact; 1 = Significantly Negative Impact)</w:t>
            </w:r>
          </w:p>
        </w:tc>
        <w:tc>
          <w:tcPr>
            <w:tcW w:w="872" w:type="dxa"/>
            <w:shd w:val="clear" w:color="auto" w:fill="F2F2F2" w:themeFill="background1" w:themeFillShade="F2"/>
          </w:tcPr>
          <w:p w14:paraId="564E775A" w14:textId="77777777" w:rsidR="00C3276D" w:rsidRPr="00FD2E93" w:rsidRDefault="00C3276D" w:rsidP="009A5284">
            <w:pPr>
              <w:rPr>
                <w:rFonts w:ascii="Cambria" w:hAnsi="Cambria" w:cs="Calibri"/>
                <w:bCs/>
              </w:rPr>
            </w:pPr>
            <w:r w:rsidRPr="00FD2E93">
              <w:rPr>
                <w:rFonts w:ascii="Cambria" w:hAnsi="Cambria" w:cs="Calibri"/>
                <w:bCs/>
              </w:rPr>
              <w:t>Median – All</w:t>
            </w:r>
          </w:p>
          <w:p w14:paraId="1B459549" w14:textId="77777777" w:rsidR="00C3276D" w:rsidRPr="00FD2E93" w:rsidRDefault="00C3276D" w:rsidP="009A5284">
            <w:pPr>
              <w:rPr>
                <w:rFonts w:ascii="Cambria" w:hAnsi="Cambria"/>
              </w:rPr>
            </w:pPr>
            <w:r w:rsidRPr="00FD2E93">
              <w:rPr>
                <w:rFonts w:ascii="Cambria" w:hAnsi="Cambria"/>
              </w:rPr>
              <w:t>Resp</w:t>
            </w:r>
          </w:p>
          <w:p w14:paraId="577CBFF9" w14:textId="77777777" w:rsidR="00C3276D" w:rsidRPr="00FD2E93" w:rsidRDefault="00C3276D" w:rsidP="009A5284">
            <w:pPr>
              <w:rPr>
                <w:rFonts w:ascii="Cambria" w:hAnsi="Cambria"/>
                <w:i/>
              </w:rPr>
            </w:pPr>
            <w:r w:rsidRPr="00FD2E93">
              <w:rPr>
                <w:rFonts w:ascii="Cambria" w:hAnsi="Cambria"/>
                <w:i/>
              </w:rPr>
              <w:t>(N=262)</w:t>
            </w:r>
          </w:p>
        </w:tc>
        <w:tc>
          <w:tcPr>
            <w:tcW w:w="855" w:type="dxa"/>
            <w:shd w:val="clear" w:color="auto" w:fill="F2F2F2" w:themeFill="background1" w:themeFillShade="F2"/>
          </w:tcPr>
          <w:p w14:paraId="67DDA4F9" w14:textId="77777777" w:rsidR="00C3276D" w:rsidRPr="00FD2E93" w:rsidRDefault="00C3276D" w:rsidP="009A5284">
            <w:pPr>
              <w:rPr>
                <w:rFonts w:ascii="Cambria" w:hAnsi="Cambria"/>
              </w:rPr>
            </w:pPr>
            <w:r w:rsidRPr="00FD2E93">
              <w:rPr>
                <w:rFonts w:ascii="Cambria" w:hAnsi="Cambria" w:cs="Calibri"/>
                <w:bCs/>
              </w:rPr>
              <w:t>Synod</w:t>
            </w:r>
          </w:p>
        </w:tc>
        <w:tc>
          <w:tcPr>
            <w:tcW w:w="840" w:type="dxa"/>
            <w:shd w:val="clear" w:color="auto" w:fill="F2F2F2" w:themeFill="background1" w:themeFillShade="F2"/>
          </w:tcPr>
          <w:p w14:paraId="3D0EC56A" w14:textId="77777777" w:rsidR="00C3276D" w:rsidRPr="00FD2E93" w:rsidRDefault="00C3276D" w:rsidP="009A5284">
            <w:pPr>
              <w:rPr>
                <w:rFonts w:ascii="Cambria" w:hAnsi="Cambria"/>
              </w:rPr>
            </w:pPr>
            <w:r w:rsidRPr="00FD2E93">
              <w:rPr>
                <w:rFonts w:ascii="Cambria" w:hAnsi="Cambria" w:cs="Calibri"/>
                <w:bCs/>
              </w:rPr>
              <w:t>GCC</w:t>
            </w:r>
          </w:p>
        </w:tc>
        <w:tc>
          <w:tcPr>
            <w:tcW w:w="1106" w:type="dxa"/>
            <w:shd w:val="clear" w:color="auto" w:fill="F2F2F2" w:themeFill="background1" w:themeFillShade="F2"/>
          </w:tcPr>
          <w:p w14:paraId="7AB84EFE" w14:textId="77777777" w:rsidR="00C3276D" w:rsidRPr="00FD2E93" w:rsidRDefault="00C3276D" w:rsidP="009A5284">
            <w:pPr>
              <w:rPr>
                <w:rFonts w:ascii="Cambria" w:hAnsi="Cambria"/>
              </w:rPr>
            </w:pPr>
            <w:r w:rsidRPr="00FD2E93">
              <w:rPr>
                <w:rFonts w:ascii="Cambria" w:hAnsi="Cambria" w:cs="Calibri"/>
                <w:bCs/>
              </w:rPr>
              <w:t>Committees &amp; Boards</w:t>
            </w:r>
          </w:p>
        </w:tc>
        <w:tc>
          <w:tcPr>
            <w:tcW w:w="1307" w:type="dxa"/>
            <w:shd w:val="clear" w:color="auto" w:fill="F2F2F2" w:themeFill="background1" w:themeFillShade="F2"/>
          </w:tcPr>
          <w:p w14:paraId="0BBB5E2A" w14:textId="77777777" w:rsidR="00C3276D" w:rsidRPr="00FD2E93" w:rsidRDefault="00C3276D" w:rsidP="009A5284">
            <w:pPr>
              <w:rPr>
                <w:rFonts w:ascii="Cambria" w:hAnsi="Cambria"/>
              </w:rPr>
            </w:pPr>
            <w:r w:rsidRPr="00FD2E93">
              <w:rPr>
                <w:rFonts w:ascii="Cambria" w:hAnsi="Cambria" w:cs="Calibri"/>
                <w:bCs/>
              </w:rPr>
              <w:t>District Bishops + District Administrators</w:t>
            </w:r>
          </w:p>
        </w:tc>
        <w:tc>
          <w:tcPr>
            <w:tcW w:w="1532" w:type="dxa"/>
            <w:shd w:val="clear" w:color="auto" w:fill="F2F2F2" w:themeFill="background1" w:themeFillShade="F2"/>
          </w:tcPr>
          <w:p w14:paraId="2E181659" w14:textId="77777777" w:rsidR="00C3276D" w:rsidRPr="00FD2E93" w:rsidRDefault="00C3276D" w:rsidP="009A5284">
            <w:pPr>
              <w:rPr>
                <w:rFonts w:ascii="Cambria" w:hAnsi="Cambria"/>
              </w:rPr>
            </w:pPr>
            <w:r w:rsidRPr="00FD2E93">
              <w:rPr>
                <w:rFonts w:ascii="Cambria" w:hAnsi="Cambria" w:cs="Calibri"/>
                <w:bCs/>
              </w:rPr>
              <w:t>National Office</w:t>
            </w:r>
          </w:p>
        </w:tc>
      </w:tr>
      <w:tr w:rsidR="00C3276D" w:rsidRPr="00FD2E93" w14:paraId="1907495A" w14:textId="77777777" w:rsidTr="009A5284">
        <w:tc>
          <w:tcPr>
            <w:tcW w:w="7233" w:type="dxa"/>
            <w:shd w:val="clear" w:color="auto" w:fill="D9D9D9" w:themeFill="background1" w:themeFillShade="D9"/>
            <w:vAlign w:val="bottom"/>
          </w:tcPr>
          <w:p w14:paraId="395CC57A" w14:textId="77777777" w:rsidR="00C3276D" w:rsidRPr="00FD2E93" w:rsidRDefault="00C3276D" w:rsidP="009A5284">
            <w:pPr>
              <w:rPr>
                <w:rFonts w:ascii="Cambria" w:hAnsi="Cambria"/>
              </w:rPr>
            </w:pPr>
            <w:r w:rsidRPr="00FD2E93">
              <w:rPr>
                <w:rFonts w:ascii="Cambria" w:hAnsi="Cambria" w:cs="Calibri"/>
                <w:b/>
                <w:bCs/>
              </w:rPr>
              <w:t>Governing Bodies</w:t>
            </w:r>
          </w:p>
        </w:tc>
        <w:tc>
          <w:tcPr>
            <w:tcW w:w="872" w:type="dxa"/>
            <w:shd w:val="clear" w:color="auto" w:fill="D9D9D9" w:themeFill="background1" w:themeFillShade="D9"/>
          </w:tcPr>
          <w:p w14:paraId="3710AC6B" w14:textId="77777777" w:rsidR="00C3276D" w:rsidRPr="00FD2E93" w:rsidRDefault="00C3276D" w:rsidP="009A5284">
            <w:pPr>
              <w:rPr>
                <w:rFonts w:ascii="Cambria" w:hAnsi="Cambria"/>
              </w:rPr>
            </w:pPr>
            <w:r w:rsidRPr="00FD2E93">
              <w:rPr>
                <w:rFonts w:ascii="Cambria" w:hAnsi="Cambria" w:cs="Calibri"/>
                <w:b/>
                <w:bCs/>
              </w:rPr>
              <w:t>3.7</w:t>
            </w:r>
          </w:p>
        </w:tc>
        <w:tc>
          <w:tcPr>
            <w:tcW w:w="855" w:type="dxa"/>
            <w:shd w:val="clear" w:color="auto" w:fill="D9D9D9" w:themeFill="background1" w:themeFillShade="D9"/>
          </w:tcPr>
          <w:p w14:paraId="15B34935" w14:textId="77777777" w:rsidR="00C3276D" w:rsidRPr="00FD2E93" w:rsidRDefault="00C3276D" w:rsidP="009A5284">
            <w:pPr>
              <w:rPr>
                <w:rFonts w:ascii="Cambria" w:hAnsi="Cambria"/>
              </w:rPr>
            </w:pPr>
            <w:r w:rsidRPr="00FD2E93">
              <w:rPr>
                <w:rFonts w:ascii="Cambria" w:hAnsi="Cambria" w:cs="Calibri"/>
                <w:b/>
                <w:bCs/>
              </w:rPr>
              <w:t>3.00</w:t>
            </w:r>
          </w:p>
        </w:tc>
        <w:tc>
          <w:tcPr>
            <w:tcW w:w="840" w:type="dxa"/>
            <w:shd w:val="clear" w:color="auto" w:fill="D9D9D9" w:themeFill="background1" w:themeFillShade="D9"/>
          </w:tcPr>
          <w:p w14:paraId="1A0C42E8" w14:textId="77777777" w:rsidR="00C3276D" w:rsidRPr="00FD2E93" w:rsidRDefault="00C3276D" w:rsidP="009A5284">
            <w:pPr>
              <w:rPr>
                <w:rFonts w:ascii="Cambria" w:hAnsi="Cambria"/>
              </w:rPr>
            </w:pPr>
            <w:r w:rsidRPr="00FD2E93">
              <w:rPr>
                <w:rFonts w:ascii="Cambria" w:hAnsi="Cambria" w:cs="Calibri"/>
                <w:b/>
                <w:bCs/>
              </w:rPr>
              <w:t>4.00</w:t>
            </w:r>
          </w:p>
        </w:tc>
        <w:tc>
          <w:tcPr>
            <w:tcW w:w="1106" w:type="dxa"/>
            <w:shd w:val="clear" w:color="auto" w:fill="D9D9D9" w:themeFill="background1" w:themeFillShade="D9"/>
          </w:tcPr>
          <w:p w14:paraId="636F9126" w14:textId="77777777" w:rsidR="00C3276D" w:rsidRPr="00FD2E93" w:rsidRDefault="00C3276D" w:rsidP="009A5284">
            <w:pPr>
              <w:rPr>
                <w:rFonts w:ascii="Cambria" w:hAnsi="Cambria"/>
              </w:rPr>
            </w:pPr>
            <w:r w:rsidRPr="00FD2E93">
              <w:rPr>
                <w:rFonts w:ascii="Cambria" w:hAnsi="Cambria" w:cs="Calibri"/>
                <w:b/>
                <w:bCs/>
              </w:rPr>
              <w:t>3.50</w:t>
            </w:r>
          </w:p>
        </w:tc>
        <w:tc>
          <w:tcPr>
            <w:tcW w:w="1307" w:type="dxa"/>
            <w:shd w:val="clear" w:color="auto" w:fill="D9D9D9" w:themeFill="background1" w:themeFillShade="D9"/>
          </w:tcPr>
          <w:p w14:paraId="4A205AF6" w14:textId="77777777" w:rsidR="00C3276D" w:rsidRPr="00FD2E93" w:rsidRDefault="00C3276D" w:rsidP="009A5284">
            <w:pPr>
              <w:rPr>
                <w:rFonts w:ascii="Cambria" w:hAnsi="Cambria"/>
              </w:rPr>
            </w:pPr>
            <w:r w:rsidRPr="00FD2E93">
              <w:rPr>
                <w:rFonts w:ascii="Cambria" w:hAnsi="Cambria" w:cs="Calibri"/>
                <w:b/>
                <w:bCs/>
              </w:rPr>
              <w:t>4.00</w:t>
            </w:r>
          </w:p>
        </w:tc>
        <w:tc>
          <w:tcPr>
            <w:tcW w:w="1532" w:type="dxa"/>
            <w:shd w:val="clear" w:color="auto" w:fill="D9D9D9" w:themeFill="background1" w:themeFillShade="D9"/>
          </w:tcPr>
          <w:p w14:paraId="564E6862" w14:textId="77777777" w:rsidR="00C3276D" w:rsidRPr="00FD2E93" w:rsidRDefault="00C3276D" w:rsidP="009A5284">
            <w:pPr>
              <w:rPr>
                <w:rFonts w:ascii="Cambria" w:hAnsi="Cambria"/>
              </w:rPr>
            </w:pPr>
            <w:r w:rsidRPr="00FD2E93">
              <w:rPr>
                <w:rFonts w:ascii="Cambria" w:hAnsi="Cambria" w:cs="Calibri"/>
                <w:b/>
                <w:bCs/>
              </w:rPr>
              <w:t>3.75</w:t>
            </w:r>
          </w:p>
        </w:tc>
      </w:tr>
      <w:tr w:rsidR="00C3276D" w:rsidRPr="00FD2E93" w14:paraId="10746254" w14:textId="77777777" w:rsidTr="00F52205">
        <w:tc>
          <w:tcPr>
            <w:tcW w:w="7233" w:type="dxa"/>
            <w:vAlign w:val="bottom"/>
          </w:tcPr>
          <w:p w14:paraId="4795BBB1" w14:textId="77777777" w:rsidR="00C3276D" w:rsidRPr="00FD2E93" w:rsidRDefault="00C3276D" w:rsidP="009A5284">
            <w:pPr>
              <w:rPr>
                <w:rFonts w:ascii="Cambria" w:hAnsi="Cambria"/>
              </w:rPr>
            </w:pPr>
            <w:r w:rsidRPr="00FD2E93">
              <w:rPr>
                <w:rFonts w:ascii="Cambria" w:hAnsi="Cambria" w:cs="Calibri"/>
              </w:rPr>
              <w:t xml:space="preserve">Q2. What impact on </w:t>
            </w:r>
            <w:r w:rsidRPr="00FD2E93">
              <w:rPr>
                <w:rFonts w:ascii="Cambria" w:hAnsi="Cambria" w:cs="Calibri"/>
                <w:b/>
              </w:rPr>
              <w:t>effectiveness</w:t>
            </w:r>
            <w:r w:rsidRPr="00FD2E93">
              <w:rPr>
                <w:rFonts w:ascii="Cambria" w:hAnsi="Cambria" w:cs="Calibri"/>
              </w:rPr>
              <w:t xml:space="preserve"> of your group/District/Congregation has this work on Governing Bodies had? </w:t>
            </w:r>
          </w:p>
        </w:tc>
        <w:tc>
          <w:tcPr>
            <w:tcW w:w="872" w:type="dxa"/>
          </w:tcPr>
          <w:p w14:paraId="564E3F67" w14:textId="77777777" w:rsidR="00C3276D" w:rsidRPr="00FD2E93" w:rsidRDefault="00C3276D" w:rsidP="009A5284">
            <w:pPr>
              <w:rPr>
                <w:rFonts w:ascii="Cambria" w:hAnsi="Cambria"/>
              </w:rPr>
            </w:pPr>
            <w:r w:rsidRPr="00FD2E93">
              <w:rPr>
                <w:rFonts w:ascii="Cambria" w:hAnsi="Cambria" w:cs="Calibri"/>
              </w:rPr>
              <w:t>3.8</w:t>
            </w:r>
          </w:p>
        </w:tc>
        <w:tc>
          <w:tcPr>
            <w:tcW w:w="855" w:type="dxa"/>
            <w:shd w:val="clear" w:color="auto" w:fill="FFFFFF" w:themeFill="background1"/>
          </w:tcPr>
          <w:p w14:paraId="12E344E9" w14:textId="77777777" w:rsidR="00C3276D" w:rsidRPr="00FD2E93" w:rsidRDefault="00C3276D" w:rsidP="009A5284">
            <w:pPr>
              <w:rPr>
                <w:rFonts w:ascii="Cambria" w:hAnsi="Cambria"/>
              </w:rPr>
            </w:pPr>
            <w:r w:rsidRPr="00FD2E93">
              <w:rPr>
                <w:rFonts w:ascii="Cambria" w:hAnsi="Cambria" w:cs="Calibri"/>
              </w:rPr>
              <w:t>3.0</w:t>
            </w:r>
          </w:p>
        </w:tc>
        <w:tc>
          <w:tcPr>
            <w:tcW w:w="840" w:type="dxa"/>
            <w:shd w:val="clear" w:color="auto" w:fill="808080" w:themeFill="background1" w:themeFillShade="80"/>
          </w:tcPr>
          <w:p w14:paraId="33D7671A" w14:textId="77777777" w:rsidR="00C3276D" w:rsidRPr="00FD2E93" w:rsidRDefault="00C3276D" w:rsidP="009A5284">
            <w:pPr>
              <w:rPr>
                <w:rFonts w:ascii="Cambria" w:hAnsi="Cambria"/>
              </w:rPr>
            </w:pPr>
            <w:r w:rsidRPr="00FD2E93">
              <w:rPr>
                <w:rFonts w:ascii="Cambria" w:hAnsi="Cambria" w:cs="Calibri"/>
              </w:rPr>
              <w:t>4.0</w:t>
            </w:r>
          </w:p>
        </w:tc>
        <w:tc>
          <w:tcPr>
            <w:tcW w:w="1106" w:type="dxa"/>
            <w:shd w:val="clear" w:color="auto" w:fill="808080" w:themeFill="background1" w:themeFillShade="80"/>
          </w:tcPr>
          <w:p w14:paraId="699B1CB8" w14:textId="77777777" w:rsidR="00C3276D" w:rsidRPr="00FD2E93" w:rsidRDefault="00C3276D" w:rsidP="009A5284">
            <w:pPr>
              <w:rPr>
                <w:rFonts w:ascii="Cambria" w:hAnsi="Cambria"/>
              </w:rPr>
            </w:pPr>
            <w:r w:rsidRPr="00FD2E93">
              <w:rPr>
                <w:rFonts w:ascii="Cambria" w:hAnsi="Cambria" w:cs="Calibri"/>
              </w:rPr>
              <w:t>4.0</w:t>
            </w:r>
          </w:p>
        </w:tc>
        <w:tc>
          <w:tcPr>
            <w:tcW w:w="1307" w:type="dxa"/>
            <w:shd w:val="clear" w:color="auto" w:fill="808080" w:themeFill="background1" w:themeFillShade="80"/>
          </w:tcPr>
          <w:p w14:paraId="7EA9BB99" w14:textId="77777777" w:rsidR="00C3276D" w:rsidRPr="00FD2E93" w:rsidRDefault="00C3276D" w:rsidP="009A5284">
            <w:pPr>
              <w:rPr>
                <w:rFonts w:ascii="Cambria" w:hAnsi="Cambria"/>
              </w:rPr>
            </w:pPr>
            <w:r w:rsidRPr="00FD2E93">
              <w:rPr>
                <w:rFonts w:ascii="Cambria" w:hAnsi="Cambria" w:cs="Calibri"/>
              </w:rPr>
              <w:t>4.0</w:t>
            </w:r>
          </w:p>
        </w:tc>
        <w:tc>
          <w:tcPr>
            <w:tcW w:w="1532" w:type="dxa"/>
            <w:shd w:val="clear" w:color="auto" w:fill="808080" w:themeFill="background1" w:themeFillShade="80"/>
          </w:tcPr>
          <w:p w14:paraId="508EC6FB" w14:textId="77777777" w:rsidR="00C3276D" w:rsidRPr="00FD2E93" w:rsidRDefault="00C3276D" w:rsidP="009A5284">
            <w:pPr>
              <w:rPr>
                <w:rFonts w:ascii="Cambria" w:hAnsi="Cambria"/>
              </w:rPr>
            </w:pPr>
            <w:r w:rsidRPr="00FD2E93">
              <w:rPr>
                <w:rFonts w:ascii="Cambria" w:hAnsi="Cambria" w:cs="Calibri"/>
              </w:rPr>
              <w:t>4.00</w:t>
            </w:r>
          </w:p>
        </w:tc>
      </w:tr>
      <w:tr w:rsidR="00C3276D" w:rsidRPr="00FD2E93" w14:paraId="39C8777E" w14:textId="77777777" w:rsidTr="00F52205">
        <w:tc>
          <w:tcPr>
            <w:tcW w:w="7233" w:type="dxa"/>
            <w:vAlign w:val="bottom"/>
          </w:tcPr>
          <w:p w14:paraId="2B606886" w14:textId="1F60E89A" w:rsidR="00C3276D" w:rsidRPr="00EA13AA" w:rsidRDefault="00C3276D" w:rsidP="009A5284">
            <w:pPr>
              <w:rPr>
                <w:rFonts w:ascii="Cambria" w:hAnsi="Cambria" w:cs="Calibri"/>
              </w:rPr>
            </w:pPr>
            <w:r w:rsidRPr="00FD2E93">
              <w:rPr>
                <w:rFonts w:ascii="Cambria" w:hAnsi="Cambria" w:cs="Calibri"/>
              </w:rPr>
              <w:t xml:space="preserve">Q3. What impact on </w:t>
            </w:r>
            <w:r w:rsidRPr="00FD2E93">
              <w:rPr>
                <w:rFonts w:ascii="Cambria" w:hAnsi="Cambria" w:cs="Calibri"/>
                <w:b/>
              </w:rPr>
              <w:t>efficiency</w:t>
            </w:r>
            <w:r w:rsidRPr="00FD2E93">
              <w:rPr>
                <w:rFonts w:ascii="Cambria" w:hAnsi="Cambria" w:cs="Calibri"/>
              </w:rPr>
              <w:t xml:space="preserve"> of your group/ District/ Congregation has thi</w:t>
            </w:r>
            <w:r w:rsidR="00EA13AA">
              <w:rPr>
                <w:rFonts w:ascii="Cambria" w:hAnsi="Cambria" w:cs="Calibri"/>
              </w:rPr>
              <w:t>s work on Governing Bodies had?</w:t>
            </w:r>
          </w:p>
        </w:tc>
        <w:tc>
          <w:tcPr>
            <w:tcW w:w="872" w:type="dxa"/>
          </w:tcPr>
          <w:p w14:paraId="2C969D6B" w14:textId="77777777" w:rsidR="00C3276D" w:rsidRPr="00FD2E93" w:rsidRDefault="00C3276D" w:rsidP="009A5284">
            <w:pPr>
              <w:rPr>
                <w:rFonts w:ascii="Cambria" w:hAnsi="Cambria"/>
              </w:rPr>
            </w:pPr>
            <w:r w:rsidRPr="00FD2E93">
              <w:rPr>
                <w:rFonts w:ascii="Cambria" w:hAnsi="Cambria" w:cs="Calibri"/>
              </w:rPr>
              <w:t>3.5</w:t>
            </w:r>
          </w:p>
        </w:tc>
        <w:tc>
          <w:tcPr>
            <w:tcW w:w="855" w:type="dxa"/>
            <w:shd w:val="clear" w:color="auto" w:fill="FFFFFF" w:themeFill="background1"/>
          </w:tcPr>
          <w:p w14:paraId="2921E950" w14:textId="77777777" w:rsidR="00C3276D" w:rsidRPr="00FD2E93" w:rsidRDefault="00C3276D" w:rsidP="009A5284">
            <w:pPr>
              <w:rPr>
                <w:rFonts w:ascii="Cambria" w:hAnsi="Cambria"/>
              </w:rPr>
            </w:pPr>
            <w:r w:rsidRPr="00FD2E93">
              <w:rPr>
                <w:rFonts w:ascii="Cambria" w:hAnsi="Cambria" w:cs="Calibri"/>
              </w:rPr>
              <w:t>3.0</w:t>
            </w:r>
          </w:p>
        </w:tc>
        <w:tc>
          <w:tcPr>
            <w:tcW w:w="840" w:type="dxa"/>
            <w:shd w:val="clear" w:color="auto" w:fill="808080" w:themeFill="background1" w:themeFillShade="80"/>
          </w:tcPr>
          <w:p w14:paraId="15007AEE" w14:textId="77777777" w:rsidR="00C3276D" w:rsidRPr="00FD2E93" w:rsidRDefault="00C3276D" w:rsidP="009A5284">
            <w:pPr>
              <w:rPr>
                <w:rFonts w:ascii="Cambria" w:hAnsi="Cambria"/>
              </w:rPr>
            </w:pPr>
            <w:r w:rsidRPr="00FD2E93">
              <w:rPr>
                <w:rFonts w:ascii="Cambria" w:hAnsi="Cambria" w:cs="Calibri"/>
              </w:rPr>
              <w:t>4.0</w:t>
            </w:r>
          </w:p>
        </w:tc>
        <w:tc>
          <w:tcPr>
            <w:tcW w:w="1106" w:type="dxa"/>
          </w:tcPr>
          <w:p w14:paraId="4E78C045" w14:textId="77777777" w:rsidR="00C3276D" w:rsidRPr="00FD2E93" w:rsidRDefault="00C3276D" w:rsidP="009A5284">
            <w:pPr>
              <w:rPr>
                <w:rFonts w:ascii="Cambria" w:hAnsi="Cambria"/>
              </w:rPr>
            </w:pPr>
            <w:r w:rsidRPr="00FD2E93">
              <w:rPr>
                <w:rFonts w:ascii="Cambria" w:hAnsi="Cambria" w:cs="Calibri"/>
              </w:rPr>
              <w:t>3.0</w:t>
            </w:r>
          </w:p>
        </w:tc>
        <w:tc>
          <w:tcPr>
            <w:tcW w:w="1307" w:type="dxa"/>
            <w:shd w:val="clear" w:color="auto" w:fill="808080" w:themeFill="background1" w:themeFillShade="80"/>
          </w:tcPr>
          <w:p w14:paraId="0974FFAC" w14:textId="77777777" w:rsidR="00C3276D" w:rsidRPr="00FD2E93" w:rsidRDefault="00C3276D" w:rsidP="009A5284">
            <w:pPr>
              <w:rPr>
                <w:rFonts w:ascii="Cambria" w:hAnsi="Cambria"/>
              </w:rPr>
            </w:pPr>
            <w:r w:rsidRPr="00FD2E93">
              <w:rPr>
                <w:rFonts w:ascii="Cambria" w:hAnsi="Cambria" w:cs="Calibri"/>
              </w:rPr>
              <w:t>4.0</w:t>
            </w:r>
          </w:p>
        </w:tc>
        <w:tc>
          <w:tcPr>
            <w:tcW w:w="1532" w:type="dxa"/>
          </w:tcPr>
          <w:p w14:paraId="68810C79" w14:textId="77777777" w:rsidR="00C3276D" w:rsidRPr="00FD2E93" w:rsidRDefault="00C3276D" w:rsidP="009A5284">
            <w:pPr>
              <w:rPr>
                <w:rFonts w:ascii="Cambria" w:hAnsi="Cambria"/>
              </w:rPr>
            </w:pPr>
            <w:r w:rsidRPr="00FD2E93">
              <w:rPr>
                <w:rFonts w:ascii="Cambria" w:hAnsi="Cambria" w:cs="Calibri"/>
              </w:rPr>
              <w:t>3.50</w:t>
            </w:r>
          </w:p>
        </w:tc>
      </w:tr>
      <w:tr w:rsidR="00C3276D" w:rsidRPr="00FD2E93" w14:paraId="4A89D034" w14:textId="77777777" w:rsidTr="009A5284">
        <w:tc>
          <w:tcPr>
            <w:tcW w:w="7233" w:type="dxa"/>
            <w:shd w:val="clear" w:color="auto" w:fill="D9D9D9" w:themeFill="background1" w:themeFillShade="D9"/>
            <w:vAlign w:val="bottom"/>
          </w:tcPr>
          <w:p w14:paraId="5A9CE813" w14:textId="77777777" w:rsidR="00C3276D" w:rsidRPr="00FD2E93" w:rsidRDefault="00C3276D" w:rsidP="009A5284">
            <w:pPr>
              <w:rPr>
                <w:rFonts w:ascii="Cambria" w:hAnsi="Cambria"/>
              </w:rPr>
            </w:pPr>
            <w:r w:rsidRPr="00FD2E93">
              <w:rPr>
                <w:rFonts w:ascii="Cambria" w:hAnsi="Cambria" w:cs="Calibri"/>
                <w:b/>
                <w:bCs/>
              </w:rPr>
              <w:t>Local Mission</w:t>
            </w:r>
          </w:p>
        </w:tc>
        <w:tc>
          <w:tcPr>
            <w:tcW w:w="872" w:type="dxa"/>
            <w:shd w:val="clear" w:color="auto" w:fill="D9D9D9" w:themeFill="background1" w:themeFillShade="D9"/>
          </w:tcPr>
          <w:p w14:paraId="50800FCC" w14:textId="77777777" w:rsidR="00C3276D" w:rsidRPr="00FD2E93" w:rsidRDefault="00C3276D" w:rsidP="009A5284">
            <w:pPr>
              <w:rPr>
                <w:rFonts w:ascii="Cambria" w:hAnsi="Cambria"/>
              </w:rPr>
            </w:pPr>
            <w:r w:rsidRPr="00FD2E93">
              <w:rPr>
                <w:rFonts w:ascii="Cambria" w:hAnsi="Cambria" w:cs="Calibri"/>
                <w:b/>
                <w:bCs/>
              </w:rPr>
              <w:t>3.7</w:t>
            </w:r>
          </w:p>
        </w:tc>
        <w:tc>
          <w:tcPr>
            <w:tcW w:w="855" w:type="dxa"/>
            <w:shd w:val="clear" w:color="auto" w:fill="D9D9D9" w:themeFill="background1" w:themeFillShade="D9"/>
          </w:tcPr>
          <w:p w14:paraId="5BEAD85A" w14:textId="77777777" w:rsidR="00C3276D" w:rsidRPr="00FD2E93" w:rsidRDefault="00C3276D" w:rsidP="009A5284">
            <w:pPr>
              <w:rPr>
                <w:rFonts w:ascii="Cambria" w:hAnsi="Cambria"/>
              </w:rPr>
            </w:pPr>
            <w:r w:rsidRPr="00FD2E93">
              <w:rPr>
                <w:rFonts w:ascii="Cambria" w:hAnsi="Cambria" w:cs="Calibri"/>
                <w:b/>
                <w:bCs/>
              </w:rPr>
              <w:t>3.00</w:t>
            </w:r>
          </w:p>
        </w:tc>
        <w:tc>
          <w:tcPr>
            <w:tcW w:w="840" w:type="dxa"/>
            <w:shd w:val="clear" w:color="auto" w:fill="D9D9D9" w:themeFill="background1" w:themeFillShade="D9"/>
          </w:tcPr>
          <w:p w14:paraId="5B7AED54" w14:textId="77777777" w:rsidR="00C3276D" w:rsidRPr="00FD2E93" w:rsidRDefault="00C3276D" w:rsidP="009A5284">
            <w:pPr>
              <w:rPr>
                <w:rFonts w:ascii="Cambria" w:hAnsi="Cambria"/>
              </w:rPr>
            </w:pPr>
            <w:r w:rsidRPr="00FD2E93">
              <w:rPr>
                <w:rFonts w:ascii="Cambria" w:hAnsi="Cambria" w:cs="Calibri"/>
                <w:b/>
                <w:bCs/>
              </w:rPr>
              <w:t>4.00</w:t>
            </w:r>
          </w:p>
        </w:tc>
        <w:tc>
          <w:tcPr>
            <w:tcW w:w="1106" w:type="dxa"/>
            <w:shd w:val="clear" w:color="auto" w:fill="D9D9D9" w:themeFill="background1" w:themeFillShade="D9"/>
          </w:tcPr>
          <w:p w14:paraId="15EF9A4B" w14:textId="77777777" w:rsidR="00C3276D" w:rsidRPr="00FD2E93" w:rsidRDefault="00C3276D" w:rsidP="009A5284">
            <w:pPr>
              <w:rPr>
                <w:rFonts w:ascii="Cambria" w:hAnsi="Cambria"/>
              </w:rPr>
            </w:pPr>
            <w:r w:rsidRPr="00FD2E93">
              <w:rPr>
                <w:rFonts w:ascii="Cambria" w:hAnsi="Cambria" w:cs="Calibri"/>
                <w:b/>
                <w:bCs/>
              </w:rPr>
              <w:t>3.50</w:t>
            </w:r>
          </w:p>
        </w:tc>
        <w:tc>
          <w:tcPr>
            <w:tcW w:w="1307" w:type="dxa"/>
            <w:shd w:val="clear" w:color="auto" w:fill="D9D9D9" w:themeFill="background1" w:themeFillShade="D9"/>
          </w:tcPr>
          <w:p w14:paraId="23FEDC81" w14:textId="77777777" w:rsidR="00C3276D" w:rsidRPr="00FD2E93" w:rsidRDefault="00C3276D" w:rsidP="009A5284">
            <w:pPr>
              <w:rPr>
                <w:rFonts w:ascii="Cambria" w:hAnsi="Cambria"/>
              </w:rPr>
            </w:pPr>
            <w:r w:rsidRPr="00FD2E93">
              <w:rPr>
                <w:rFonts w:ascii="Cambria" w:hAnsi="Cambria" w:cs="Calibri"/>
                <w:b/>
                <w:bCs/>
              </w:rPr>
              <w:t>3.75</w:t>
            </w:r>
          </w:p>
        </w:tc>
        <w:tc>
          <w:tcPr>
            <w:tcW w:w="1532" w:type="dxa"/>
            <w:shd w:val="clear" w:color="auto" w:fill="D9D9D9" w:themeFill="background1" w:themeFillShade="D9"/>
          </w:tcPr>
          <w:p w14:paraId="035E0F9E" w14:textId="77777777" w:rsidR="00C3276D" w:rsidRPr="00FD2E93" w:rsidRDefault="00C3276D" w:rsidP="009A5284">
            <w:pPr>
              <w:rPr>
                <w:rFonts w:ascii="Cambria" w:hAnsi="Cambria"/>
              </w:rPr>
            </w:pPr>
            <w:r w:rsidRPr="00FD2E93">
              <w:rPr>
                <w:rFonts w:ascii="Cambria" w:hAnsi="Cambria" w:cs="Calibri"/>
                <w:b/>
                <w:bCs/>
              </w:rPr>
              <w:t>4.00</w:t>
            </w:r>
          </w:p>
        </w:tc>
      </w:tr>
      <w:tr w:rsidR="00C3276D" w:rsidRPr="00FD2E93" w14:paraId="42832FC7" w14:textId="77777777" w:rsidTr="00F52205">
        <w:tc>
          <w:tcPr>
            <w:tcW w:w="7233" w:type="dxa"/>
            <w:vAlign w:val="bottom"/>
          </w:tcPr>
          <w:p w14:paraId="24053063" w14:textId="77777777" w:rsidR="00C3276D" w:rsidRPr="00FD2E93" w:rsidRDefault="00C3276D" w:rsidP="009A5284">
            <w:pPr>
              <w:rPr>
                <w:rFonts w:ascii="Cambria" w:hAnsi="Cambria"/>
              </w:rPr>
            </w:pPr>
            <w:r w:rsidRPr="00FD2E93">
              <w:rPr>
                <w:rFonts w:ascii="Cambria" w:hAnsi="Cambria" w:cs="Calibri"/>
              </w:rPr>
              <w:t xml:space="preserve">Q6. What impact on </w:t>
            </w:r>
            <w:r w:rsidRPr="00FD2E93">
              <w:rPr>
                <w:rFonts w:ascii="Cambria" w:hAnsi="Cambria" w:cs="Calibri"/>
                <w:b/>
              </w:rPr>
              <w:t>effectiveness</w:t>
            </w:r>
            <w:r w:rsidRPr="00FD2E93">
              <w:rPr>
                <w:rFonts w:ascii="Cambria" w:hAnsi="Cambria" w:cs="Calibri"/>
              </w:rPr>
              <w:t xml:space="preserve"> of your group/District/Congregation has this work on Local Mission had? </w:t>
            </w:r>
          </w:p>
        </w:tc>
        <w:tc>
          <w:tcPr>
            <w:tcW w:w="872" w:type="dxa"/>
          </w:tcPr>
          <w:p w14:paraId="761E031A" w14:textId="77777777" w:rsidR="00C3276D" w:rsidRPr="00FD2E93" w:rsidRDefault="00C3276D" w:rsidP="009A5284">
            <w:pPr>
              <w:rPr>
                <w:rFonts w:ascii="Cambria" w:hAnsi="Cambria"/>
              </w:rPr>
            </w:pPr>
            <w:r w:rsidRPr="00FD2E93">
              <w:rPr>
                <w:rFonts w:ascii="Cambria" w:hAnsi="Cambria" w:cs="Calibri"/>
              </w:rPr>
              <w:t>3.8</w:t>
            </w:r>
          </w:p>
        </w:tc>
        <w:tc>
          <w:tcPr>
            <w:tcW w:w="855" w:type="dxa"/>
          </w:tcPr>
          <w:p w14:paraId="786A0509" w14:textId="77777777" w:rsidR="00C3276D" w:rsidRPr="00FD2E93" w:rsidRDefault="00C3276D" w:rsidP="009A5284">
            <w:pPr>
              <w:rPr>
                <w:rFonts w:ascii="Cambria" w:hAnsi="Cambria"/>
              </w:rPr>
            </w:pPr>
            <w:r w:rsidRPr="00FD2E93">
              <w:rPr>
                <w:rFonts w:ascii="Cambria" w:hAnsi="Cambria" w:cs="Calibri"/>
              </w:rPr>
              <w:t>3.0</w:t>
            </w:r>
          </w:p>
        </w:tc>
        <w:tc>
          <w:tcPr>
            <w:tcW w:w="840" w:type="dxa"/>
            <w:shd w:val="clear" w:color="auto" w:fill="808080" w:themeFill="background1" w:themeFillShade="80"/>
          </w:tcPr>
          <w:p w14:paraId="16502F92" w14:textId="77777777" w:rsidR="00C3276D" w:rsidRPr="00FD2E93" w:rsidRDefault="00C3276D" w:rsidP="009A5284">
            <w:pPr>
              <w:rPr>
                <w:rFonts w:ascii="Cambria" w:hAnsi="Cambria"/>
              </w:rPr>
            </w:pPr>
            <w:r w:rsidRPr="00FD2E93">
              <w:rPr>
                <w:rFonts w:ascii="Cambria" w:hAnsi="Cambria" w:cs="Calibri"/>
              </w:rPr>
              <w:t>4.0</w:t>
            </w:r>
          </w:p>
        </w:tc>
        <w:tc>
          <w:tcPr>
            <w:tcW w:w="1106" w:type="dxa"/>
            <w:shd w:val="clear" w:color="auto" w:fill="808080" w:themeFill="background1" w:themeFillShade="80"/>
          </w:tcPr>
          <w:p w14:paraId="1D3DACE9" w14:textId="77777777" w:rsidR="00C3276D" w:rsidRPr="00FD2E93" w:rsidRDefault="00C3276D" w:rsidP="009A5284">
            <w:pPr>
              <w:rPr>
                <w:rFonts w:ascii="Cambria" w:hAnsi="Cambria"/>
              </w:rPr>
            </w:pPr>
            <w:r w:rsidRPr="00FD2E93">
              <w:rPr>
                <w:rFonts w:ascii="Cambria" w:hAnsi="Cambria" w:cs="Calibri"/>
              </w:rPr>
              <w:t>4.0</w:t>
            </w:r>
          </w:p>
        </w:tc>
        <w:tc>
          <w:tcPr>
            <w:tcW w:w="1307" w:type="dxa"/>
            <w:shd w:val="clear" w:color="auto" w:fill="808080" w:themeFill="background1" w:themeFillShade="80"/>
          </w:tcPr>
          <w:p w14:paraId="621F3B50" w14:textId="77777777" w:rsidR="00C3276D" w:rsidRPr="00FD2E93" w:rsidRDefault="00C3276D" w:rsidP="009A5284">
            <w:pPr>
              <w:rPr>
                <w:rFonts w:ascii="Cambria" w:hAnsi="Cambria"/>
              </w:rPr>
            </w:pPr>
            <w:r w:rsidRPr="00FD2E93">
              <w:rPr>
                <w:rFonts w:ascii="Cambria" w:hAnsi="Cambria" w:cs="Calibri"/>
              </w:rPr>
              <w:t>4.0</w:t>
            </w:r>
          </w:p>
        </w:tc>
        <w:tc>
          <w:tcPr>
            <w:tcW w:w="1532" w:type="dxa"/>
            <w:shd w:val="clear" w:color="auto" w:fill="808080" w:themeFill="background1" w:themeFillShade="80"/>
          </w:tcPr>
          <w:p w14:paraId="63334FA4" w14:textId="77777777" w:rsidR="00C3276D" w:rsidRPr="00FD2E93" w:rsidRDefault="00C3276D" w:rsidP="009A5284">
            <w:pPr>
              <w:rPr>
                <w:rFonts w:ascii="Cambria" w:hAnsi="Cambria"/>
              </w:rPr>
            </w:pPr>
            <w:r w:rsidRPr="00FD2E93">
              <w:rPr>
                <w:rFonts w:ascii="Cambria" w:hAnsi="Cambria" w:cs="Calibri"/>
              </w:rPr>
              <w:t>4.00</w:t>
            </w:r>
          </w:p>
        </w:tc>
      </w:tr>
      <w:tr w:rsidR="00C3276D" w:rsidRPr="00FD2E93" w14:paraId="114788A9" w14:textId="77777777" w:rsidTr="00F52205">
        <w:tc>
          <w:tcPr>
            <w:tcW w:w="7233" w:type="dxa"/>
            <w:vAlign w:val="bottom"/>
          </w:tcPr>
          <w:p w14:paraId="72EFCB78" w14:textId="2956C458" w:rsidR="00C3276D" w:rsidRPr="00EA13AA" w:rsidRDefault="00C3276D" w:rsidP="009A5284">
            <w:pPr>
              <w:rPr>
                <w:rFonts w:ascii="Cambria" w:hAnsi="Cambria" w:cs="Calibri"/>
              </w:rPr>
            </w:pPr>
            <w:r w:rsidRPr="00FD2E93">
              <w:rPr>
                <w:rFonts w:ascii="Cambria" w:hAnsi="Cambria" w:cs="Calibri"/>
              </w:rPr>
              <w:t xml:space="preserve">Q7. What impact on </w:t>
            </w:r>
            <w:r w:rsidRPr="00FD2E93">
              <w:rPr>
                <w:rFonts w:ascii="Cambria" w:hAnsi="Cambria" w:cs="Calibri"/>
                <w:b/>
              </w:rPr>
              <w:t>efficiency</w:t>
            </w:r>
            <w:r w:rsidRPr="00FD2E93">
              <w:rPr>
                <w:rFonts w:ascii="Cambria" w:hAnsi="Cambria" w:cs="Calibri"/>
              </w:rPr>
              <w:t xml:space="preserve"> of your group/ District/ Congregation has </w:t>
            </w:r>
            <w:r w:rsidR="00EA13AA">
              <w:rPr>
                <w:rFonts w:ascii="Cambria" w:hAnsi="Cambria" w:cs="Calibri"/>
              </w:rPr>
              <w:t>this work on Local Mission had?</w:t>
            </w:r>
          </w:p>
        </w:tc>
        <w:tc>
          <w:tcPr>
            <w:tcW w:w="872" w:type="dxa"/>
          </w:tcPr>
          <w:p w14:paraId="745DAF41" w14:textId="77777777" w:rsidR="00C3276D" w:rsidRPr="00FD2E93" w:rsidRDefault="00C3276D" w:rsidP="009A5284">
            <w:pPr>
              <w:rPr>
                <w:rFonts w:ascii="Cambria" w:hAnsi="Cambria"/>
              </w:rPr>
            </w:pPr>
            <w:r w:rsidRPr="00FD2E93">
              <w:rPr>
                <w:rFonts w:ascii="Cambria" w:hAnsi="Cambria" w:cs="Calibri"/>
              </w:rPr>
              <w:t>3.5</w:t>
            </w:r>
          </w:p>
        </w:tc>
        <w:tc>
          <w:tcPr>
            <w:tcW w:w="855" w:type="dxa"/>
          </w:tcPr>
          <w:p w14:paraId="491949C6" w14:textId="77777777" w:rsidR="00C3276D" w:rsidRPr="00FD2E93" w:rsidRDefault="00C3276D" w:rsidP="009A5284">
            <w:pPr>
              <w:rPr>
                <w:rFonts w:ascii="Cambria" w:hAnsi="Cambria"/>
              </w:rPr>
            </w:pPr>
            <w:r w:rsidRPr="00FD2E93">
              <w:rPr>
                <w:rFonts w:ascii="Cambria" w:hAnsi="Cambria" w:cs="Calibri"/>
              </w:rPr>
              <w:t>3.0</w:t>
            </w:r>
          </w:p>
        </w:tc>
        <w:tc>
          <w:tcPr>
            <w:tcW w:w="840" w:type="dxa"/>
            <w:shd w:val="clear" w:color="auto" w:fill="808080" w:themeFill="background1" w:themeFillShade="80"/>
          </w:tcPr>
          <w:p w14:paraId="6A2FFFD4" w14:textId="77777777" w:rsidR="00C3276D" w:rsidRPr="00FD2E93" w:rsidRDefault="00C3276D" w:rsidP="009A5284">
            <w:pPr>
              <w:rPr>
                <w:rFonts w:ascii="Cambria" w:hAnsi="Cambria"/>
              </w:rPr>
            </w:pPr>
            <w:r w:rsidRPr="00FD2E93">
              <w:rPr>
                <w:rFonts w:ascii="Cambria" w:hAnsi="Cambria" w:cs="Calibri"/>
              </w:rPr>
              <w:t>4.0</w:t>
            </w:r>
          </w:p>
        </w:tc>
        <w:tc>
          <w:tcPr>
            <w:tcW w:w="1106" w:type="dxa"/>
          </w:tcPr>
          <w:p w14:paraId="4E764C1F" w14:textId="77777777" w:rsidR="00C3276D" w:rsidRPr="00FD2E93" w:rsidRDefault="00C3276D" w:rsidP="009A5284">
            <w:pPr>
              <w:rPr>
                <w:rFonts w:ascii="Cambria" w:hAnsi="Cambria"/>
              </w:rPr>
            </w:pPr>
            <w:r w:rsidRPr="00FD2E93">
              <w:rPr>
                <w:rFonts w:ascii="Cambria" w:hAnsi="Cambria" w:cs="Calibri"/>
              </w:rPr>
              <w:t>3.0</w:t>
            </w:r>
          </w:p>
        </w:tc>
        <w:tc>
          <w:tcPr>
            <w:tcW w:w="1307" w:type="dxa"/>
          </w:tcPr>
          <w:p w14:paraId="2B530E84" w14:textId="77777777" w:rsidR="00C3276D" w:rsidRPr="00FD2E93" w:rsidRDefault="00C3276D" w:rsidP="009A5284">
            <w:pPr>
              <w:rPr>
                <w:rFonts w:ascii="Cambria" w:hAnsi="Cambria"/>
              </w:rPr>
            </w:pPr>
            <w:r w:rsidRPr="00FD2E93">
              <w:rPr>
                <w:rFonts w:ascii="Cambria" w:hAnsi="Cambria" w:cs="Calibri"/>
              </w:rPr>
              <w:t>3.5</w:t>
            </w:r>
          </w:p>
        </w:tc>
        <w:tc>
          <w:tcPr>
            <w:tcW w:w="1532" w:type="dxa"/>
            <w:shd w:val="clear" w:color="auto" w:fill="808080" w:themeFill="background1" w:themeFillShade="80"/>
          </w:tcPr>
          <w:p w14:paraId="2C609BD8" w14:textId="77777777" w:rsidR="00C3276D" w:rsidRPr="00FD2E93" w:rsidRDefault="00C3276D" w:rsidP="009A5284">
            <w:pPr>
              <w:rPr>
                <w:rFonts w:ascii="Cambria" w:hAnsi="Cambria"/>
              </w:rPr>
            </w:pPr>
            <w:r w:rsidRPr="00FD2E93">
              <w:rPr>
                <w:rFonts w:ascii="Cambria" w:hAnsi="Cambria" w:cs="Calibri"/>
              </w:rPr>
              <w:t>4.00</w:t>
            </w:r>
          </w:p>
        </w:tc>
      </w:tr>
      <w:tr w:rsidR="00C3276D" w:rsidRPr="00FD2E93" w14:paraId="70D23450" w14:textId="77777777" w:rsidTr="009A5284">
        <w:tc>
          <w:tcPr>
            <w:tcW w:w="7233" w:type="dxa"/>
            <w:shd w:val="clear" w:color="auto" w:fill="D9D9D9" w:themeFill="background1" w:themeFillShade="D9"/>
            <w:vAlign w:val="bottom"/>
          </w:tcPr>
          <w:p w14:paraId="0052710C" w14:textId="77777777" w:rsidR="00C3276D" w:rsidRPr="00FD2E93" w:rsidRDefault="00C3276D" w:rsidP="009A5284">
            <w:pPr>
              <w:rPr>
                <w:rFonts w:ascii="Cambria" w:hAnsi="Cambria"/>
              </w:rPr>
            </w:pPr>
            <w:r w:rsidRPr="00FD2E93">
              <w:rPr>
                <w:rFonts w:ascii="Cambria" w:hAnsi="Cambria" w:cs="Calibri"/>
                <w:b/>
                <w:bCs/>
              </w:rPr>
              <w:t>Communications Department</w:t>
            </w:r>
          </w:p>
        </w:tc>
        <w:tc>
          <w:tcPr>
            <w:tcW w:w="872" w:type="dxa"/>
            <w:shd w:val="clear" w:color="auto" w:fill="D9D9D9" w:themeFill="background1" w:themeFillShade="D9"/>
          </w:tcPr>
          <w:p w14:paraId="75C78EEE" w14:textId="77777777" w:rsidR="00C3276D" w:rsidRPr="00FD2E93" w:rsidRDefault="00C3276D" w:rsidP="009A5284">
            <w:pPr>
              <w:rPr>
                <w:rFonts w:ascii="Cambria" w:hAnsi="Cambria"/>
              </w:rPr>
            </w:pPr>
            <w:r w:rsidRPr="00FD2E93">
              <w:rPr>
                <w:rFonts w:ascii="Cambria" w:hAnsi="Cambria" w:cs="Calibri"/>
                <w:b/>
                <w:bCs/>
              </w:rPr>
              <w:t>4.0</w:t>
            </w:r>
          </w:p>
        </w:tc>
        <w:tc>
          <w:tcPr>
            <w:tcW w:w="855" w:type="dxa"/>
            <w:shd w:val="clear" w:color="auto" w:fill="D9D9D9" w:themeFill="background1" w:themeFillShade="D9"/>
          </w:tcPr>
          <w:p w14:paraId="03C33BCC" w14:textId="77777777" w:rsidR="00C3276D" w:rsidRPr="00FD2E93" w:rsidRDefault="00C3276D" w:rsidP="009A5284">
            <w:pPr>
              <w:rPr>
                <w:rFonts w:ascii="Cambria" w:hAnsi="Cambria"/>
              </w:rPr>
            </w:pPr>
            <w:r w:rsidRPr="00FD2E93">
              <w:rPr>
                <w:rFonts w:ascii="Cambria" w:hAnsi="Cambria" w:cs="Calibri"/>
                <w:b/>
                <w:bCs/>
              </w:rPr>
              <w:t>4.00</w:t>
            </w:r>
          </w:p>
        </w:tc>
        <w:tc>
          <w:tcPr>
            <w:tcW w:w="840" w:type="dxa"/>
            <w:shd w:val="clear" w:color="auto" w:fill="D9D9D9" w:themeFill="background1" w:themeFillShade="D9"/>
          </w:tcPr>
          <w:p w14:paraId="73D9C238" w14:textId="77777777" w:rsidR="00C3276D" w:rsidRPr="00FD2E93" w:rsidRDefault="00C3276D" w:rsidP="009A5284">
            <w:pPr>
              <w:rPr>
                <w:rFonts w:ascii="Cambria" w:hAnsi="Cambria"/>
              </w:rPr>
            </w:pPr>
            <w:r w:rsidRPr="00FD2E93">
              <w:rPr>
                <w:rFonts w:ascii="Cambria" w:hAnsi="Cambria" w:cs="Calibri"/>
                <w:b/>
                <w:bCs/>
              </w:rPr>
              <w:t>4.17</w:t>
            </w:r>
          </w:p>
        </w:tc>
        <w:tc>
          <w:tcPr>
            <w:tcW w:w="1106" w:type="dxa"/>
            <w:shd w:val="clear" w:color="auto" w:fill="D9D9D9" w:themeFill="background1" w:themeFillShade="D9"/>
          </w:tcPr>
          <w:p w14:paraId="03FCD8A1" w14:textId="77777777" w:rsidR="00C3276D" w:rsidRPr="00FD2E93" w:rsidRDefault="00C3276D" w:rsidP="009A5284">
            <w:pPr>
              <w:rPr>
                <w:rFonts w:ascii="Cambria" w:hAnsi="Cambria"/>
              </w:rPr>
            </w:pPr>
            <w:r w:rsidRPr="00FD2E93">
              <w:rPr>
                <w:rFonts w:ascii="Cambria" w:hAnsi="Cambria" w:cs="Calibri"/>
                <w:b/>
                <w:bCs/>
              </w:rPr>
              <w:t>4.00</w:t>
            </w:r>
          </w:p>
        </w:tc>
        <w:tc>
          <w:tcPr>
            <w:tcW w:w="1307" w:type="dxa"/>
            <w:shd w:val="clear" w:color="auto" w:fill="D9D9D9" w:themeFill="background1" w:themeFillShade="D9"/>
          </w:tcPr>
          <w:p w14:paraId="160F5CC0" w14:textId="77777777" w:rsidR="00C3276D" w:rsidRPr="00FD2E93" w:rsidRDefault="00C3276D" w:rsidP="009A5284">
            <w:pPr>
              <w:rPr>
                <w:rFonts w:ascii="Cambria" w:hAnsi="Cambria"/>
              </w:rPr>
            </w:pPr>
            <w:r w:rsidRPr="00FD2E93">
              <w:rPr>
                <w:rFonts w:ascii="Cambria" w:hAnsi="Cambria" w:cs="Calibri"/>
                <w:b/>
                <w:bCs/>
              </w:rPr>
              <w:t>4.00</w:t>
            </w:r>
          </w:p>
        </w:tc>
        <w:tc>
          <w:tcPr>
            <w:tcW w:w="1532" w:type="dxa"/>
            <w:shd w:val="clear" w:color="auto" w:fill="D9D9D9" w:themeFill="background1" w:themeFillShade="D9"/>
          </w:tcPr>
          <w:p w14:paraId="6665F76E" w14:textId="77777777" w:rsidR="00C3276D" w:rsidRPr="00FD2E93" w:rsidRDefault="00C3276D" w:rsidP="009A5284">
            <w:pPr>
              <w:rPr>
                <w:rFonts w:ascii="Cambria" w:hAnsi="Cambria"/>
              </w:rPr>
            </w:pPr>
            <w:r w:rsidRPr="00FD2E93">
              <w:rPr>
                <w:rFonts w:ascii="Cambria" w:hAnsi="Cambria" w:cs="Calibri"/>
                <w:b/>
                <w:bCs/>
              </w:rPr>
              <w:t>4.00</w:t>
            </w:r>
          </w:p>
        </w:tc>
      </w:tr>
      <w:tr w:rsidR="00C3276D" w:rsidRPr="00FD2E93" w14:paraId="669AC985" w14:textId="77777777" w:rsidTr="00F52205">
        <w:tc>
          <w:tcPr>
            <w:tcW w:w="7233" w:type="dxa"/>
            <w:vAlign w:val="bottom"/>
          </w:tcPr>
          <w:p w14:paraId="4B2DDCD8" w14:textId="77777777" w:rsidR="00C3276D" w:rsidRPr="00FD2E93" w:rsidRDefault="00C3276D" w:rsidP="009A5284">
            <w:pPr>
              <w:rPr>
                <w:rFonts w:ascii="Cambria" w:hAnsi="Cambria"/>
              </w:rPr>
            </w:pPr>
            <w:r w:rsidRPr="00FD2E93">
              <w:rPr>
                <w:rFonts w:ascii="Cambria" w:hAnsi="Cambria" w:cs="Calibri"/>
              </w:rPr>
              <w:t>Q10. What impact on</w:t>
            </w:r>
            <w:r w:rsidRPr="00FD2E93">
              <w:rPr>
                <w:rFonts w:ascii="Cambria" w:hAnsi="Cambria" w:cs="Calibri"/>
                <w:b/>
              </w:rPr>
              <w:t xml:space="preserve"> effectiveness</w:t>
            </w:r>
            <w:r w:rsidRPr="00FD2E93">
              <w:rPr>
                <w:rFonts w:ascii="Cambria" w:hAnsi="Cambria" w:cs="Calibri"/>
              </w:rPr>
              <w:t xml:space="preserve"> of your group/District/Congregation has this work by Communications Department had? </w:t>
            </w:r>
          </w:p>
        </w:tc>
        <w:tc>
          <w:tcPr>
            <w:tcW w:w="872" w:type="dxa"/>
            <w:shd w:val="clear" w:color="auto" w:fill="808080" w:themeFill="background1" w:themeFillShade="80"/>
          </w:tcPr>
          <w:p w14:paraId="397E2702" w14:textId="77777777" w:rsidR="00C3276D" w:rsidRPr="00FD2E93" w:rsidRDefault="00C3276D" w:rsidP="009A5284">
            <w:pPr>
              <w:rPr>
                <w:rFonts w:ascii="Cambria" w:hAnsi="Cambria"/>
              </w:rPr>
            </w:pPr>
            <w:r w:rsidRPr="00FD2E93">
              <w:rPr>
                <w:rFonts w:ascii="Cambria" w:hAnsi="Cambria" w:cs="Calibri"/>
              </w:rPr>
              <w:t>4.1</w:t>
            </w:r>
          </w:p>
        </w:tc>
        <w:tc>
          <w:tcPr>
            <w:tcW w:w="855" w:type="dxa"/>
            <w:shd w:val="clear" w:color="auto" w:fill="808080" w:themeFill="background1" w:themeFillShade="80"/>
          </w:tcPr>
          <w:p w14:paraId="37AB37B7" w14:textId="77777777" w:rsidR="00C3276D" w:rsidRPr="00FD2E93" w:rsidRDefault="00C3276D" w:rsidP="009A5284">
            <w:pPr>
              <w:rPr>
                <w:rFonts w:ascii="Cambria" w:hAnsi="Cambria"/>
              </w:rPr>
            </w:pPr>
            <w:r w:rsidRPr="00FD2E93">
              <w:rPr>
                <w:rFonts w:ascii="Cambria" w:hAnsi="Cambria" w:cs="Calibri"/>
              </w:rPr>
              <w:t>4.0</w:t>
            </w:r>
          </w:p>
        </w:tc>
        <w:tc>
          <w:tcPr>
            <w:tcW w:w="840" w:type="dxa"/>
            <w:shd w:val="clear" w:color="auto" w:fill="808080" w:themeFill="background1" w:themeFillShade="80"/>
          </w:tcPr>
          <w:p w14:paraId="3E8545F7" w14:textId="77777777" w:rsidR="00C3276D" w:rsidRPr="00FD2E93" w:rsidRDefault="00C3276D" w:rsidP="009A5284">
            <w:pPr>
              <w:rPr>
                <w:rFonts w:ascii="Cambria" w:hAnsi="Cambria"/>
              </w:rPr>
            </w:pPr>
            <w:r w:rsidRPr="00FD2E93">
              <w:rPr>
                <w:rFonts w:ascii="Cambria" w:hAnsi="Cambria" w:cs="Calibri"/>
              </w:rPr>
              <w:t>4.5</w:t>
            </w:r>
          </w:p>
        </w:tc>
        <w:tc>
          <w:tcPr>
            <w:tcW w:w="1106" w:type="dxa"/>
            <w:shd w:val="clear" w:color="auto" w:fill="808080" w:themeFill="background1" w:themeFillShade="80"/>
          </w:tcPr>
          <w:p w14:paraId="19D9F072" w14:textId="77777777" w:rsidR="00C3276D" w:rsidRPr="00FD2E93" w:rsidRDefault="00C3276D" w:rsidP="009A5284">
            <w:pPr>
              <w:rPr>
                <w:rFonts w:ascii="Cambria" w:hAnsi="Cambria"/>
              </w:rPr>
            </w:pPr>
            <w:r w:rsidRPr="00FD2E93">
              <w:rPr>
                <w:rFonts w:ascii="Cambria" w:hAnsi="Cambria" w:cs="Calibri"/>
              </w:rPr>
              <w:t>4.0</w:t>
            </w:r>
          </w:p>
        </w:tc>
        <w:tc>
          <w:tcPr>
            <w:tcW w:w="1307" w:type="dxa"/>
            <w:shd w:val="clear" w:color="auto" w:fill="808080" w:themeFill="background1" w:themeFillShade="80"/>
          </w:tcPr>
          <w:p w14:paraId="58EA057A" w14:textId="77777777" w:rsidR="00C3276D" w:rsidRPr="00FD2E93" w:rsidRDefault="00C3276D" w:rsidP="009A5284">
            <w:pPr>
              <w:rPr>
                <w:rFonts w:ascii="Cambria" w:hAnsi="Cambria"/>
              </w:rPr>
            </w:pPr>
            <w:r w:rsidRPr="00FD2E93">
              <w:rPr>
                <w:rFonts w:ascii="Cambria" w:hAnsi="Cambria" w:cs="Calibri"/>
              </w:rPr>
              <w:t>4.0</w:t>
            </w:r>
          </w:p>
        </w:tc>
        <w:tc>
          <w:tcPr>
            <w:tcW w:w="1532" w:type="dxa"/>
            <w:shd w:val="clear" w:color="auto" w:fill="808080" w:themeFill="background1" w:themeFillShade="80"/>
          </w:tcPr>
          <w:p w14:paraId="24E0FEC6" w14:textId="77777777" w:rsidR="00C3276D" w:rsidRPr="00FD2E93" w:rsidRDefault="00C3276D" w:rsidP="009A5284">
            <w:pPr>
              <w:rPr>
                <w:rFonts w:ascii="Cambria" w:hAnsi="Cambria"/>
              </w:rPr>
            </w:pPr>
            <w:r w:rsidRPr="00FD2E93">
              <w:rPr>
                <w:rFonts w:ascii="Cambria" w:hAnsi="Cambria" w:cs="Calibri"/>
              </w:rPr>
              <w:t>4.00</w:t>
            </w:r>
          </w:p>
        </w:tc>
      </w:tr>
      <w:tr w:rsidR="00C3276D" w:rsidRPr="00FD2E93" w14:paraId="68ED3562" w14:textId="77777777" w:rsidTr="00F52205">
        <w:tc>
          <w:tcPr>
            <w:tcW w:w="7233" w:type="dxa"/>
            <w:vAlign w:val="bottom"/>
          </w:tcPr>
          <w:p w14:paraId="5B31DA1E" w14:textId="77777777" w:rsidR="00C3276D" w:rsidRPr="00FD2E93" w:rsidRDefault="00C3276D" w:rsidP="009A5284">
            <w:pPr>
              <w:rPr>
                <w:rFonts w:ascii="Cambria" w:hAnsi="Cambria"/>
              </w:rPr>
            </w:pPr>
            <w:r w:rsidRPr="00FD2E93">
              <w:rPr>
                <w:rFonts w:ascii="Cambria" w:hAnsi="Cambria" w:cs="Calibri"/>
              </w:rPr>
              <w:t xml:space="preserve">Q11. What impact on </w:t>
            </w:r>
            <w:r w:rsidRPr="00FD2E93">
              <w:rPr>
                <w:rFonts w:ascii="Cambria" w:hAnsi="Cambria" w:cs="Calibri"/>
                <w:b/>
              </w:rPr>
              <w:t>efficiency</w:t>
            </w:r>
            <w:r w:rsidRPr="00FD2E93">
              <w:rPr>
                <w:rFonts w:ascii="Cambria" w:hAnsi="Cambria" w:cs="Calibri"/>
              </w:rPr>
              <w:t xml:space="preserve"> of your group/ District/ Congregation has this work by the Communications Department had? </w:t>
            </w:r>
          </w:p>
        </w:tc>
        <w:tc>
          <w:tcPr>
            <w:tcW w:w="872" w:type="dxa"/>
            <w:shd w:val="clear" w:color="auto" w:fill="808080" w:themeFill="background1" w:themeFillShade="80"/>
          </w:tcPr>
          <w:p w14:paraId="228992D5" w14:textId="77777777" w:rsidR="00C3276D" w:rsidRPr="00FD2E93" w:rsidRDefault="00C3276D" w:rsidP="009A5284">
            <w:pPr>
              <w:rPr>
                <w:rFonts w:ascii="Cambria" w:hAnsi="Cambria"/>
              </w:rPr>
            </w:pPr>
            <w:r w:rsidRPr="00FD2E93">
              <w:rPr>
                <w:rFonts w:ascii="Cambria" w:hAnsi="Cambria" w:cs="Calibri"/>
              </w:rPr>
              <w:t>4.0</w:t>
            </w:r>
          </w:p>
        </w:tc>
        <w:tc>
          <w:tcPr>
            <w:tcW w:w="855" w:type="dxa"/>
            <w:shd w:val="clear" w:color="auto" w:fill="808080" w:themeFill="background1" w:themeFillShade="80"/>
          </w:tcPr>
          <w:p w14:paraId="12D2B85E" w14:textId="77777777" w:rsidR="00C3276D" w:rsidRPr="00FD2E93" w:rsidRDefault="00C3276D" w:rsidP="009A5284">
            <w:pPr>
              <w:rPr>
                <w:rFonts w:ascii="Cambria" w:hAnsi="Cambria"/>
              </w:rPr>
            </w:pPr>
            <w:r w:rsidRPr="00FD2E93">
              <w:rPr>
                <w:rFonts w:ascii="Cambria" w:hAnsi="Cambria" w:cs="Calibri"/>
              </w:rPr>
              <w:t>4.0</w:t>
            </w:r>
          </w:p>
        </w:tc>
        <w:tc>
          <w:tcPr>
            <w:tcW w:w="840" w:type="dxa"/>
            <w:shd w:val="clear" w:color="auto" w:fill="808080" w:themeFill="background1" w:themeFillShade="80"/>
          </w:tcPr>
          <w:p w14:paraId="38F7B076" w14:textId="77777777" w:rsidR="00C3276D" w:rsidRPr="00FD2E93" w:rsidRDefault="00C3276D" w:rsidP="009A5284">
            <w:pPr>
              <w:rPr>
                <w:rFonts w:ascii="Cambria" w:hAnsi="Cambria"/>
              </w:rPr>
            </w:pPr>
            <w:r w:rsidRPr="00FD2E93">
              <w:rPr>
                <w:rFonts w:ascii="Cambria" w:hAnsi="Cambria" w:cs="Calibri"/>
              </w:rPr>
              <w:t>4.0</w:t>
            </w:r>
          </w:p>
        </w:tc>
        <w:tc>
          <w:tcPr>
            <w:tcW w:w="1106" w:type="dxa"/>
            <w:shd w:val="clear" w:color="auto" w:fill="808080" w:themeFill="background1" w:themeFillShade="80"/>
          </w:tcPr>
          <w:p w14:paraId="11396F32" w14:textId="77777777" w:rsidR="00C3276D" w:rsidRPr="00FD2E93" w:rsidRDefault="00C3276D" w:rsidP="009A5284">
            <w:pPr>
              <w:rPr>
                <w:rFonts w:ascii="Cambria" w:hAnsi="Cambria"/>
              </w:rPr>
            </w:pPr>
            <w:r w:rsidRPr="00FD2E93">
              <w:rPr>
                <w:rFonts w:ascii="Cambria" w:hAnsi="Cambria" w:cs="Calibri"/>
              </w:rPr>
              <w:t>4.0</w:t>
            </w:r>
          </w:p>
        </w:tc>
        <w:tc>
          <w:tcPr>
            <w:tcW w:w="1307" w:type="dxa"/>
            <w:shd w:val="clear" w:color="auto" w:fill="808080" w:themeFill="background1" w:themeFillShade="80"/>
          </w:tcPr>
          <w:p w14:paraId="636B79D9" w14:textId="77777777" w:rsidR="00C3276D" w:rsidRPr="00FD2E93" w:rsidRDefault="00C3276D" w:rsidP="009A5284">
            <w:pPr>
              <w:rPr>
                <w:rFonts w:ascii="Cambria" w:hAnsi="Cambria"/>
              </w:rPr>
            </w:pPr>
            <w:r w:rsidRPr="00FD2E93">
              <w:rPr>
                <w:rFonts w:ascii="Cambria" w:hAnsi="Cambria" w:cs="Calibri"/>
              </w:rPr>
              <w:t>4.0</w:t>
            </w:r>
          </w:p>
        </w:tc>
        <w:tc>
          <w:tcPr>
            <w:tcW w:w="1532" w:type="dxa"/>
            <w:shd w:val="clear" w:color="auto" w:fill="808080" w:themeFill="background1" w:themeFillShade="80"/>
          </w:tcPr>
          <w:p w14:paraId="2D2E6BE0" w14:textId="77777777" w:rsidR="00C3276D" w:rsidRPr="00FD2E93" w:rsidRDefault="00C3276D" w:rsidP="009A5284">
            <w:pPr>
              <w:rPr>
                <w:rFonts w:ascii="Cambria" w:hAnsi="Cambria"/>
              </w:rPr>
            </w:pPr>
            <w:r w:rsidRPr="00FD2E93">
              <w:rPr>
                <w:rFonts w:ascii="Cambria" w:hAnsi="Cambria" w:cs="Calibri"/>
              </w:rPr>
              <w:t>4.00</w:t>
            </w:r>
          </w:p>
        </w:tc>
      </w:tr>
      <w:tr w:rsidR="00C3276D" w:rsidRPr="00FD2E93" w14:paraId="5ADF4FFC" w14:textId="77777777" w:rsidTr="00F52205">
        <w:tc>
          <w:tcPr>
            <w:tcW w:w="7233" w:type="dxa"/>
            <w:vAlign w:val="bottom"/>
          </w:tcPr>
          <w:p w14:paraId="19806F75" w14:textId="25F2C516" w:rsidR="00C3276D" w:rsidRPr="00EA13AA" w:rsidRDefault="00C3276D" w:rsidP="009A5284">
            <w:pPr>
              <w:rPr>
                <w:rFonts w:ascii="Cambria" w:hAnsi="Cambria" w:cs="Calibri"/>
              </w:rPr>
            </w:pPr>
            <w:r w:rsidRPr="00FD2E93">
              <w:rPr>
                <w:rFonts w:ascii="Cambria" w:hAnsi="Cambria" w:cs="Calibri"/>
              </w:rPr>
              <w:t>Q13. Please rate the service you have had from the Communications Dep</w:t>
            </w:r>
            <w:r w:rsidR="00EA13AA">
              <w:rPr>
                <w:rFonts w:ascii="Cambria" w:hAnsi="Cambria" w:cs="Calibri"/>
              </w:rPr>
              <w:t>artment in the years since 201</w:t>
            </w:r>
          </w:p>
        </w:tc>
        <w:tc>
          <w:tcPr>
            <w:tcW w:w="872" w:type="dxa"/>
            <w:shd w:val="clear" w:color="auto" w:fill="808080" w:themeFill="background1" w:themeFillShade="80"/>
          </w:tcPr>
          <w:p w14:paraId="6F408E61" w14:textId="77777777" w:rsidR="00C3276D" w:rsidRPr="00FD2E93" w:rsidRDefault="00C3276D" w:rsidP="009A5284">
            <w:pPr>
              <w:rPr>
                <w:rFonts w:ascii="Cambria" w:hAnsi="Cambria"/>
              </w:rPr>
            </w:pPr>
            <w:r w:rsidRPr="00FD2E93">
              <w:rPr>
                <w:rFonts w:ascii="Cambria" w:hAnsi="Cambria" w:cs="Calibri"/>
              </w:rPr>
              <w:t>4.0</w:t>
            </w:r>
          </w:p>
        </w:tc>
        <w:tc>
          <w:tcPr>
            <w:tcW w:w="855" w:type="dxa"/>
            <w:shd w:val="clear" w:color="auto" w:fill="808080" w:themeFill="background1" w:themeFillShade="80"/>
          </w:tcPr>
          <w:p w14:paraId="1AA305E5" w14:textId="77777777" w:rsidR="00C3276D" w:rsidRPr="00FD2E93" w:rsidRDefault="00C3276D" w:rsidP="009A5284">
            <w:pPr>
              <w:rPr>
                <w:rFonts w:ascii="Cambria" w:hAnsi="Cambria"/>
              </w:rPr>
            </w:pPr>
            <w:r w:rsidRPr="00FD2E93">
              <w:rPr>
                <w:rFonts w:ascii="Cambria" w:hAnsi="Cambria" w:cs="Calibri"/>
              </w:rPr>
              <w:t>4.0</w:t>
            </w:r>
          </w:p>
        </w:tc>
        <w:tc>
          <w:tcPr>
            <w:tcW w:w="840" w:type="dxa"/>
            <w:shd w:val="clear" w:color="auto" w:fill="808080" w:themeFill="background1" w:themeFillShade="80"/>
          </w:tcPr>
          <w:p w14:paraId="7B25CFF8" w14:textId="77777777" w:rsidR="00C3276D" w:rsidRPr="00FD2E93" w:rsidRDefault="00C3276D" w:rsidP="009A5284">
            <w:pPr>
              <w:rPr>
                <w:rFonts w:ascii="Cambria" w:hAnsi="Cambria"/>
              </w:rPr>
            </w:pPr>
            <w:r w:rsidRPr="00FD2E93">
              <w:rPr>
                <w:rFonts w:ascii="Cambria" w:hAnsi="Cambria" w:cs="Calibri"/>
              </w:rPr>
              <w:t>4.0</w:t>
            </w:r>
          </w:p>
        </w:tc>
        <w:tc>
          <w:tcPr>
            <w:tcW w:w="1106" w:type="dxa"/>
            <w:shd w:val="clear" w:color="auto" w:fill="808080" w:themeFill="background1" w:themeFillShade="80"/>
          </w:tcPr>
          <w:p w14:paraId="74A85C9E" w14:textId="77777777" w:rsidR="00C3276D" w:rsidRPr="00FD2E93" w:rsidRDefault="00C3276D" w:rsidP="009A5284">
            <w:pPr>
              <w:rPr>
                <w:rFonts w:ascii="Cambria" w:hAnsi="Cambria"/>
              </w:rPr>
            </w:pPr>
            <w:r w:rsidRPr="00FD2E93">
              <w:rPr>
                <w:rFonts w:ascii="Cambria" w:hAnsi="Cambria" w:cs="Calibri"/>
              </w:rPr>
              <w:t>4.0</w:t>
            </w:r>
          </w:p>
        </w:tc>
        <w:tc>
          <w:tcPr>
            <w:tcW w:w="1307" w:type="dxa"/>
            <w:shd w:val="clear" w:color="auto" w:fill="808080" w:themeFill="background1" w:themeFillShade="80"/>
          </w:tcPr>
          <w:p w14:paraId="79F61F98" w14:textId="77777777" w:rsidR="00C3276D" w:rsidRPr="00FD2E93" w:rsidRDefault="00C3276D" w:rsidP="009A5284">
            <w:pPr>
              <w:rPr>
                <w:rFonts w:ascii="Cambria" w:hAnsi="Cambria"/>
              </w:rPr>
            </w:pPr>
            <w:r w:rsidRPr="00FD2E93">
              <w:rPr>
                <w:rFonts w:ascii="Cambria" w:hAnsi="Cambria" w:cs="Calibri"/>
              </w:rPr>
              <w:t>4.0</w:t>
            </w:r>
          </w:p>
        </w:tc>
        <w:tc>
          <w:tcPr>
            <w:tcW w:w="1532" w:type="dxa"/>
            <w:shd w:val="clear" w:color="auto" w:fill="808080" w:themeFill="background1" w:themeFillShade="80"/>
          </w:tcPr>
          <w:p w14:paraId="7226F058" w14:textId="77777777" w:rsidR="00C3276D" w:rsidRPr="00FD2E93" w:rsidRDefault="00C3276D" w:rsidP="009A5284">
            <w:pPr>
              <w:rPr>
                <w:rFonts w:ascii="Cambria" w:hAnsi="Cambria"/>
              </w:rPr>
            </w:pPr>
            <w:r w:rsidRPr="00FD2E93">
              <w:rPr>
                <w:rFonts w:ascii="Cambria" w:hAnsi="Cambria" w:cs="Calibri"/>
              </w:rPr>
              <w:t>4.00</w:t>
            </w:r>
          </w:p>
        </w:tc>
      </w:tr>
      <w:tr w:rsidR="00C3276D" w:rsidRPr="00FD2E93" w14:paraId="0DA53FB2" w14:textId="77777777" w:rsidTr="009A5284">
        <w:tc>
          <w:tcPr>
            <w:tcW w:w="7233" w:type="dxa"/>
            <w:shd w:val="clear" w:color="auto" w:fill="D9D9D9" w:themeFill="background1" w:themeFillShade="D9"/>
            <w:vAlign w:val="bottom"/>
          </w:tcPr>
          <w:p w14:paraId="440C65AA" w14:textId="77777777" w:rsidR="00C3276D" w:rsidRPr="00FD2E93" w:rsidRDefault="00C3276D" w:rsidP="009A5284">
            <w:pPr>
              <w:rPr>
                <w:rFonts w:ascii="Cambria" w:hAnsi="Cambria"/>
              </w:rPr>
            </w:pPr>
            <w:r w:rsidRPr="00FD2E93">
              <w:rPr>
                <w:rFonts w:ascii="Cambria" w:hAnsi="Cambria" w:cs="Calibri"/>
                <w:b/>
                <w:bCs/>
              </w:rPr>
              <w:t>Church Worker Support Department</w:t>
            </w:r>
          </w:p>
        </w:tc>
        <w:tc>
          <w:tcPr>
            <w:tcW w:w="872" w:type="dxa"/>
            <w:shd w:val="clear" w:color="auto" w:fill="D9D9D9" w:themeFill="background1" w:themeFillShade="D9"/>
          </w:tcPr>
          <w:p w14:paraId="2AA512E9" w14:textId="77777777" w:rsidR="00C3276D" w:rsidRPr="00FD2E93" w:rsidRDefault="00C3276D" w:rsidP="009A5284">
            <w:pPr>
              <w:rPr>
                <w:rFonts w:ascii="Cambria" w:hAnsi="Cambria"/>
              </w:rPr>
            </w:pPr>
            <w:r w:rsidRPr="00FD2E93">
              <w:rPr>
                <w:rFonts w:ascii="Cambria" w:hAnsi="Cambria" w:cs="Calibri"/>
                <w:b/>
                <w:bCs/>
              </w:rPr>
              <w:t>3.7</w:t>
            </w:r>
          </w:p>
        </w:tc>
        <w:tc>
          <w:tcPr>
            <w:tcW w:w="855" w:type="dxa"/>
            <w:shd w:val="clear" w:color="auto" w:fill="D9D9D9" w:themeFill="background1" w:themeFillShade="D9"/>
          </w:tcPr>
          <w:p w14:paraId="19D33A8E" w14:textId="77777777" w:rsidR="00C3276D" w:rsidRPr="00FD2E93" w:rsidRDefault="00C3276D" w:rsidP="009A5284">
            <w:pPr>
              <w:rPr>
                <w:rFonts w:ascii="Cambria" w:hAnsi="Cambria"/>
              </w:rPr>
            </w:pPr>
            <w:r w:rsidRPr="00FD2E93">
              <w:rPr>
                <w:rFonts w:ascii="Cambria" w:hAnsi="Cambria" w:cs="Calibri"/>
                <w:b/>
                <w:bCs/>
              </w:rPr>
              <w:t>3.00</w:t>
            </w:r>
          </w:p>
        </w:tc>
        <w:tc>
          <w:tcPr>
            <w:tcW w:w="840" w:type="dxa"/>
            <w:shd w:val="clear" w:color="auto" w:fill="D9D9D9" w:themeFill="background1" w:themeFillShade="D9"/>
          </w:tcPr>
          <w:p w14:paraId="577A1F1E" w14:textId="77777777" w:rsidR="00C3276D" w:rsidRPr="00FD2E93" w:rsidRDefault="00C3276D" w:rsidP="009A5284">
            <w:pPr>
              <w:rPr>
                <w:rFonts w:ascii="Cambria" w:hAnsi="Cambria"/>
              </w:rPr>
            </w:pPr>
            <w:r w:rsidRPr="00FD2E93">
              <w:rPr>
                <w:rFonts w:ascii="Cambria" w:hAnsi="Cambria" w:cs="Calibri"/>
                <w:b/>
                <w:bCs/>
              </w:rPr>
              <w:t>4.00</w:t>
            </w:r>
          </w:p>
        </w:tc>
        <w:tc>
          <w:tcPr>
            <w:tcW w:w="1106" w:type="dxa"/>
            <w:shd w:val="clear" w:color="auto" w:fill="D9D9D9" w:themeFill="background1" w:themeFillShade="D9"/>
          </w:tcPr>
          <w:p w14:paraId="0308B152" w14:textId="77777777" w:rsidR="00C3276D" w:rsidRPr="00FD2E93" w:rsidRDefault="00C3276D" w:rsidP="009A5284">
            <w:pPr>
              <w:rPr>
                <w:rFonts w:ascii="Cambria" w:hAnsi="Cambria"/>
              </w:rPr>
            </w:pPr>
            <w:r w:rsidRPr="00FD2E93">
              <w:rPr>
                <w:rFonts w:ascii="Cambria" w:hAnsi="Cambria" w:cs="Calibri"/>
                <w:b/>
                <w:bCs/>
              </w:rPr>
              <w:t>3.33</w:t>
            </w:r>
          </w:p>
        </w:tc>
        <w:tc>
          <w:tcPr>
            <w:tcW w:w="1307" w:type="dxa"/>
            <w:shd w:val="clear" w:color="auto" w:fill="D9D9D9" w:themeFill="background1" w:themeFillShade="D9"/>
          </w:tcPr>
          <w:p w14:paraId="7F874E15" w14:textId="77777777" w:rsidR="00C3276D" w:rsidRPr="00FD2E93" w:rsidRDefault="00C3276D" w:rsidP="009A5284">
            <w:pPr>
              <w:rPr>
                <w:rFonts w:ascii="Cambria" w:hAnsi="Cambria"/>
              </w:rPr>
            </w:pPr>
            <w:r w:rsidRPr="00FD2E93">
              <w:rPr>
                <w:rFonts w:ascii="Cambria" w:hAnsi="Cambria" w:cs="Calibri"/>
                <w:b/>
                <w:bCs/>
              </w:rPr>
              <w:t>4.00</w:t>
            </w:r>
          </w:p>
        </w:tc>
        <w:tc>
          <w:tcPr>
            <w:tcW w:w="1532" w:type="dxa"/>
            <w:shd w:val="clear" w:color="auto" w:fill="D9D9D9" w:themeFill="background1" w:themeFillShade="D9"/>
          </w:tcPr>
          <w:p w14:paraId="04CB7DC9" w14:textId="77777777" w:rsidR="00C3276D" w:rsidRPr="00FD2E93" w:rsidRDefault="00C3276D" w:rsidP="009A5284">
            <w:pPr>
              <w:rPr>
                <w:rFonts w:ascii="Cambria" w:hAnsi="Cambria"/>
              </w:rPr>
            </w:pPr>
            <w:r w:rsidRPr="00FD2E93">
              <w:rPr>
                <w:rFonts w:ascii="Cambria" w:hAnsi="Cambria" w:cs="Calibri"/>
                <w:b/>
                <w:bCs/>
              </w:rPr>
              <w:t>4.17</w:t>
            </w:r>
          </w:p>
        </w:tc>
      </w:tr>
      <w:tr w:rsidR="00C3276D" w:rsidRPr="00FD2E93" w14:paraId="51A19BF9" w14:textId="77777777" w:rsidTr="00F52205">
        <w:tc>
          <w:tcPr>
            <w:tcW w:w="7233" w:type="dxa"/>
            <w:vAlign w:val="bottom"/>
          </w:tcPr>
          <w:p w14:paraId="17894192" w14:textId="77777777" w:rsidR="00C3276D" w:rsidRPr="00FD2E93" w:rsidRDefault="00C3276D" w:rsidP="009A5284">
            <w:pPr>
              <w:rPr>
                <w:rFonts w:ascii="Cambria" w:hAnsi="Cambria"/>
              </w:rPr>
            </w:pPr>
            <w:r w:rsidRPr="00FD2E93">
              <w:rPr>
                <w:rFonts w:ascii="Cambria" w:hAnsi="Cambria" w:cs="Calibri"/>
              </w:rPr>
              <w:t xml:space="preserve">Q15. What impact on </w:t>
            </w:r>
            <w:r w:rsidRPr="00FD2E93">
              <w:rPr>
                <w:rFonts w:ascii="Cambria" w:hAnsi="Cambria" w:cs="Calibri"/>
                <w:b/>
              </w:rPr>
              <w:t>effectiveness</w:t>
            </w:r>
            <w:r w:rsidRPr="00FD2E93">
              <w:rPr>
                <w:rFonts w:ascii="Cambria" w:hAnsi="Cambria" w:cs="Calibri"/>
              </w:rPr>
              <w:t xml:space="preserve"> of your group/District/Congregation has this work by Church Worker Support Department had? </w:t>
            </w:r>
          </w:p>
        </w:tc>
        <w:tc>
          <w:tcPr>
            <w:tcW w:w="872" w:type="dxa"/>
            <w:shd w:val="clear" w:color="auto" w:fill="auto"/>
          </w:tcPr>
          <w:p w14:paraId="07A53078" w14:textId="77777777" w:rsidR="00C3276D" w:rsidRPr="00FD2E93" w:rsidRDefault="00C3276D" w:rsidP="009A5284">
            <w:pPr>
              <w:rPr>
                <w:rFonts w:ascii="Cambria" w:hAnsi="Cambria"/>
              </w:rPr>
            </w:pPr>
            <w:r w:rsidRPr="00FD2E93">
              <w:rPr>
                <w:rFonts w:ascii="Cambria" w:hAnsi="Cambria" w:cs="Calibri"/>
              </w:rPr>
              <w:t>3.6</w:t>
            </w:r>
          </w:p>
        </w:tc>
        <w:tc>
          <w:tcPr>
            <w:tcW w:w="855" w:type="dxa"/>
            <w:shd w:val="clear" w:color="auto" w:fill="FFFFFF" w:themeFill="background1"/>
          </w:tcPr>
          <w:p w14:paraId="6741286F" w14:textId="77777777" w:rsidR="00C3276D" w:rsidRPr="00FD2E93" w:rsidRDefault="00C3276D" w:rsidP="009A5284">
            <w:pPr>
              <w:rPr>
                <w:rFonts w:ascii="Cambria" w:hAnsi="Cambria"/>
              </w:rPr>
            </w:pPr>
            <w:r w:rsidRPr="00FD2E93">
              <w:rPr>
                <w:rFonts w:ascii="Cambria" w:hAnsi="Cambria" w:cs="Calibri"/>
              </w:rPr>
              <w:t>3.0</w:t>
            </w:r>
          </w:p>
        </w:tc>
        <w:tc>
          <w:tcPr>
            <w:tcW w:w="840" w:type="dxa"/>
            <w:shd w:val="clear" w:color="auto" w:fill="808080" w:themeFill="background1" w:themeFillShade="80"/>
          </w:tcPr>
          <w:p w14:paraId="49B9170B" w14:textId="77777777" w:rsidR="00C3276D" w:rsidRPr="00FD2E93" w:rsidRDefault="00C3276D" w:rsidP="009A5284">
            <w:pPr>
              <w:rPr>
                <w:rFonts w:ascii="Cambria" w:hAnsi="Cambria"/>
              </w:rPr>
            </w:pPr>
            <w:r w:rsidRPr="00FD2E93">
              <w:rPr>
                <w:rFonts w:ascii="Cambria" w:hAnsi="Cambria" w:cs="Calibri"/>
              </w:rPr>
              <w:t>4.0</w:t>
            </w:r>
          </w:p>
        </w:tc>
        <w:tc>
          <w:tcPr>
            <w:tcW w:w="1106" w:type="dxa"/>
          </w:tcPr>
          <w:p w14:paraId="5CB5F057" w14:textId="77777777" w:rsidR="00C3276D" w:rsidRPr="00FD2E93" w:rsidRDefault="00C3276D" w:rsidP="009A5284">
            <w:pPr>
              <w:rPr>
                <w:rFonts w:ascii="Cambria" w:hAnsi="Cambria"/>
              </w:rPr>
            </w:pPr>
            <w:r w:rsidRPr="00FD2E93">
              <w:rPr>
                <w:rFonts w:ascii="Cambria" w:hAnsi="Cambria" w:cs="Calibri"/>
              </w:rPr>
              <w:t>3.0</w:t>
            </w:r>
          </w:p>
        </w:tc>
        <w:tc>
          <w:tcPr>
            <w:tcW w:w="1307" w:type="dxa"/>
            <w:shd w:val="clear" w:color="auto" w:fill="808080" w:themeFill="background1" w:themeFillShade="80"/>
          </w:tcPr>
          <w:p w14:paraId="4AD2104C" w14:textId="77777777" w:rsidR="00C3276D" w:rsidRPr="00FD2E93" w:rsidRDefault="00C3276D" w:rsidP="009A5284">
            <w:pPr>
              <w:rPr>
                <w:rFonts w:ascii="Cambria" w:hAnsi="Cambria"/>
              </w:rPr>
            </w:pPr>
            <w:r w:rsidRPr="00FD2E93">
              <w:rPr>
                <w:rFonts w:ascii="Cambria" w:hAnsi="Cambria" w:cs="Calibri"/>
              </w:rPr>
              <w:t>4.0</w:t>
            </w:r>
          </w:p>
        </w:tc>
        <w:tc>
          <w:tcPr>
            <w:tcW w:w="1532" w:type="dxa"/>
            <w:shd w:val="clear" w:color="auto" w:fill="808080" w:themeFill="background1" w:themeFillShade="80"/>
          </w:tcPr>
          <w:p w14:paraId="77C81384" w14:textId="77777777" w:rsidR="00C3276D" w:rsidRPr="00FD2E93" w:rsidRDefault="00C3276D" w:rsidP="009A5284">
            <w:pPr>
              <w:rPr>
                <w:rFonts w:ascii="Cambria" w:hAnsi="Cambria"/>
              </w:rPr>
            </w:pPr>
            <w:r w:rsidRPr="00FD2E93">
              <w:rPr>
                <w:rFonts w:ascii="Cambria" w:hAnsi="Cambria" w:cs="Calibri"/>
              </w:rPr>
              <w:t>4.00</w:t>
            </w:r>
          </w:p>
        </w:tc>
      </w:tr>
      <w:tr w:rsidR="00C3276D" w:rsidRPr="00FD2E93" w14:paraId="62367B9F" w14:textId="77777777" w:rsidTr="00F52205">
        <w:tc>
          <w:tcPr>
            <w:tcW w:w="7233" w:type="dxa"/>
            <w:vAlign w:val="bottom"/>
          </w:tcPr>
          <w:p w14:paraId="3FE98463" w14:textId="77777777" w:rsidR="00C3276D" w:rsidRPr="00FD2E93" w:rsidRDefault="00C3276D" w:rsidP="009A5284">
            <w:pPr>
              <w:rPr>
                <w:rFonts w:ascii="Cambria" w:hAnsi="Cambria"/>
              </w:rPr>
            </w:pPr>
            <w:r w:rsidRPr="00FD2E93">
              <w:rPr>
                <w:rFonts w:ascii="Cambria" w:hAnsi="Cambria" w:cs="Calibri"/>
              </w:rPr>
              <w:t xml:space="preserve">Q16. What impact on </w:t>
            </w:r>
            <w:r w:rsidRPr="00FD2E93">
              <w:rPr>
                <w:rFonts w:ascii="Cambria" w:hAnsi="Cambria" w:cs="Calibri"/>
                <w:b/>
              </w:rPr>
              <w:t xml:space="preserve">efficiency </w:t>
            </w:r>
            <w:r w:rsidRPr="00FD2E93">
              <w:rPr>
                <w:rFonts w:ascii="Cambria" w:hAnsi="Cambria" w:cs="Calibri"/>
              </w:rPr>
              <w:t xml:space="preserve">of your group/ District/ Congregation has this work by the Church Worker Support Department had? </w:t>
            </w:r>
          </w:p>
        </w:tc>
        <w:tc>
          <w:tcPr>
            <w:tcW w:w="872" w:type="dxa"/>
            <w:shd w:val="clear" w:color="auto" w:fill="auto"/>
          </w:tcPr>
          <w:p w14:paraId="7C889723" w14:textId="77777777" w:rsidR="00C3276D" w:rsidRPr="00FD2E93" w:rsidRDefault="00C3276D" w:rsidP="009A5284">
            <w:pPr>
              <w:rPr>
                <w:rFonts w:ascii="Cambria" w:hAnsi="Cambria"/>
              </w:rPr>
            </w:pPr>
            <w:r w:rsidRPr="00FD2E93">
              <w:rPr>
                <w:rFonts w:ascii="Cambria" w:hAnsi="Cambria" w:cs="Calibri"/>
              </w:rPr>
              <w:t>3.6</w:t>
            </w:r>
          </w:p>
        </w:tc>
        <w:tc>
          <w:tcPr>
            <w:tcW w:w="855" w:type="dxa"/>
            <w:shd w:val="clear" w:color="auto" w:fill="FFFFFF" w:themeFill="background1"/>
          </w:tcPr>
          <w:p w14:paraId="1F1B1D5E" w14:textId="77777777" w:rsidR="00C3276D" w:rsidRPr="00FD2E93" w:rsidRDefault="00C3276D" w:rsidP="009A5284">
            <w:pPr>
              <w:rPr>
                <w:rFonts w:ascii="Cambria" w:hAnsi="Cambria"/>
              </w:rPr>
            </w:pPr>
            <w:r w:rsidRPr="00FD2E93">
              <w:rPr>
                <w:rFonts w:ascii="Cambria" w:hAnsi="Cambria" w:cs="Calibri"/>
              </w:rPr>
              <w:t>3.0</w:t>
            </w:r>
          </w:p>
        </w:tc>
        <w:tc>
          <w:tcPr>
            <w:tcW w:w="840" w:type="dxa"/>
            <w:shd w:val="clear" w:color="auto" w:fill="808080" w:themeFill="background1" w:themeFillShade="80"/>
          </w:tcPr>
          <w:p w14:paraId="6E42582B" w14:textId="77777777" w:rsidR="00C3276D" w:rsidRPr="00FD2E93" w:rsidRDefault="00C3276D" w:rsidP="009A5284">
            <w:pPr>
              <w:rPr>
                <w:rFonts w:ascii="Cambria" w:hAnsi="Cambria"/>
              </w:rPr>
            </w:pPr>
            <w:r w:rsidRPr="00FD2E93">
              <w:rPr>
                <w:rFonts w:ascii="Cambria" w:hAnsi="Cambria" w:cs="Calibri"/>
              </w:rPr>
              <w:t>4.0</w:t>
            </w:r>
          </w:p>
        </w:tc>
        <w:tc>
          <w:tcPr>
            <w:tcW w:w="1106" w:type="dxa"/>
          </w:tcPr>
          <w:p w14:paraId="023D4C3B" w14:textId="77777777" w:rsidR="00C3276D" w:rsidRPr="00FD2E93" w:rsidRDefault="00C3276D" w:rsidP="009A5284">
            <w:pPr>
              <w:rPr>
                <w:rFonts w:ascii="Cambria" w:hAnsi="Cambria"/>
              </w:rPr>
            </w:pPr>
            <w:r w:rsidRPr="00FD2E93">
              <w:rPr>
                <w:rFonts w:ascii="Cambria" w:hAnsi="Cambria" w:cs="Calibri"/>
              </w:rPr>
              <w:t>3.0</w:t>
            </w:r>
          </w:p>
        </w:tc>
        <w:tc>
          <w:tcPr>
            <w:tcW w:w="1307" w:type="dxa"/>
            <w:shd w:val="clear" w:color="auto" w:fill="808080" w:themeFill="background1" w:themeFillShade="80"/>
          </w:tcPr>
          <w:p w14:paraId="04A22869" w14:textId="77777777" w:rsidR="00C3276D" w:rsidRPr="00FD2E93" w:rsidRDefault="00C3276D" w:rsidP="009A5284">
            <w:pPr>
              <w:rPr>
                <w:rFonts w:ascii="Cambria" w:hAnsi="Cambria"/>
              </w:rPr>
            </w:pPr>
            <w:r w:rsidRPr="00FD2E93">
              <w:rPr>
                <w:rFonts w:ascii="Cambria" w:hAnsi="Cambria" w:cs="Calibri"/>
              </w:rPr>
              <w:t>4.0</w:t>
            </w:r>
          </w:p>
        </w:tc>
        <w:tc>
          <w:tcPr>
            <w:tcW w:w="1532" w:type="dxa"/>
            <w:shd w:val="clear" w:color="auto" w:fill="808080" w:themeFill="background1" w:themeFillShade="80"/>
          </w:tcPr>
          <w:p w14:paraId="5BF507BB" w14:textId="77777777" w:rsidR="00C3276D" w:rsidRPr="00FD2E93" w:rsidRDefault="00C3276D" w:rsidP="009A5284">
            <w:pPr>
              <w:rPr>
                <w:rFonts w:ascii="Cambria" w:hAnsi="Cambria"/>
              </w:rPr>
            </w:pPr>
            <w:r w:rsidRPr="00FD2E93">
              <w:rPr>
                <w:rFonts w:ascii="Cambria" w:hAnsi="Cambria" w:cs="Calibri"/>
              </w:rPr>
              <w:t>4.00</w:t>
            </w:r>
          </w:p>
        </w:tc>
      </w:tr>
      <w:tr w:rsidR="00C3276D" w:rsidRPr="00FD2E93" w14:paraId="116021FA" w14:textId="77777777" w:rsidTr="00F52205">
        <w:tc>
          <w:tcPr>
            <w:tcW w:w="7233" w:type="dxa"/>
            <w:vAlign w:val="bottom"/>
          </w:tcPr>
          <w:p w14:paraId="5F31667D" w14:textId="77777777" w:rsidR="00C3276D" w:rsidRPr="00FD2E93" w:rsidRDefault="00C3276D" w:rsidP="009A5284">
            <w:pPr>
              <w:rPr>
                <w:rFonts w:ascii="Cambria" w:hAnsi="Cambria"/>
              </w:rPr>
            </w:pPr>
            <w:r w:rsidRPr="00FD2E93">
              <w:rPr>
                <w:rFonts w:ascii="Cambria" w:hAnsi="Cambria" w:cs="Calibri"/>
              </w:rPr>
              <w:t>Q18. Please rate the service you have had from the Church Worker Support Department in the years since 2015</w:t>
            </w:r>
          </w:p>
        </w:tc>
        <w:tc>
          <w:tcPr>
            <w:tcW w:w="872" w:type="dxa"/>
            <w:shd w:val="clear" w:color="auto" w:fill="auto"/>
          </w:tcPr>
          <w:p w14:paraId="0535C08D" w14:textId="77777777" w:rsidR="00C3276D" w:rsidRPr="00FD2E93" w:rsidRDefault="00C3276D" w:rsidP="009A5284">
            <w:pPr>
              <w:rPr>
                <w:rFonts w:ascii="Cambria" w:hAnsi="Cambria"/>
              </w:rPr>
            </w:pPr>
            <w:r w:rsidRPr="00FD2E93">
              <w:rPr>
                <w:rFonts w:ascii="Cambria" w:hAnsi="Cambria" w:cs="Calibri"/>
              </w:rPr>
              <w:t>3.9</w:t>
            </w:r>
          </w:p>
        </w:tc>
        <w:tc>
          <w:tcPr>
            <w:tcW w:w="855" w:type="dxa"/>
            <w:shd w:val="clear" w:color="auto" w:fill="FFFFFF" w:themeFill="background1"/>
          </w:tcPr>
          <w:p w14:paraId="7A288D5A" w14:textId="77777777" w:rsidR="00C3276D" w:rsidRPr="00FD2E93" w:rsidRDefault="00C3276D" w:rsidP="009A5284">
            <w:pPr>
              <w:rPr>
                <w:rFonts w:ascii="Cambria" w:hAnsi="Cambria"/>
              </w:rPr>
            </w:pPr>
            <w:r w:rsidRPr="00FD2E93">
              <w:rPr>
                <w:rFonts w:ascii="Cambria" w:hAnsi="Cambria" w:cs="Calibri"/>
              </w:rPr>
              <w:t>3.0</w:t>
            </w:r>
          </w:p>
        </w:tc>
        <w:tc>
          <w:tcPr>
            <w:tcW w:w="840" w:type="dxa"/>
            <w:shd w:val="clear" w:color="auto" w:fill="808080" w:themeFill="background1" w:themeFillShade="80"/>
          </w:tcPr>
          <w:p w14:paraId="00C3B561" w14:textId="77777777" w:rsidR="00C3276D" w:rsidRPr="00FD2E93" w:rsidRDefault="00C3276D" w:rsidP="009A5284">
            <w:pPr>
              <w:rPr>
                <w:rFonts w:ascii="Cambria" w:hAnsi="Cambria"/>
              </w:rPr>
            </w:pPr>
            <w:r w:rsidRPr="00FD2E93">
              <w:rPr>
                <w:rFonts w:ascii="Cambria" w:hAnsi="Cambria" w:cs="Calibri"/>
              </w:rPr>
              <w:t>4.0</w:t>
            </w:r>
          </w:p>
        </w:tc>
        <w:tc>
          <w:tcPr>
            <w:tcW w:w="1106" w:type="dxa"/>
            <w:shd w:val="clear" w:color="auto" w:fill="808080" w:themeFill="background1" w:themeFillShade="80"/>
          </w:tcPr>
          <w:p w14:paraId="6F11EB21" w14:textId="77777777" w:rsidR="00C3276D" w:rsidRPr="00FD2E93" w:rsidRDefault="00C3276D" w:rsidP="009A5284">
            <w:pPr>
              <w:rPr>
                <w:rFonts w:ascii="Cambria" w:hAnsi="Cambria"/>
              </w:rPr>
            </w:pPr>
            <w:r w:rsidRPr="00FD2E93">
              <w:rPr>
                <w:rFonts w:ascii="Cambria" w:hAnsi="Cambria" w:cs="Calibri"/>
              </w:rPr>
              <w:t>4.0</w:t>
            </w:r>
          </w:p>
        </w:tc>
        <w:tc>
          <w:tcPr>
            <w:tcW w:w="1307" w:type="dxa"/>
            <w:shd w:val="clear" w:color="auto" w:fill="808080" w:themeFill="background1" w:themeFillShade="80"/>
          </w:tcPr>
          <w:p w14:paraId="1D76473B" w14:textId="77777777" w:rsidR="00C3276D" w:rsidRPr="00FD2E93" w:rsidRDefault="00C3276D" w:rsidP="009A5284">
            <w:pPr>
              <w:rPr>
                <w:rFonts w:ascii="Cambria" w:hAnsi="Cambria"/>
              </w:rPr>
            </w:pPr>
            <w:r w:rsidRPr="00FD2E93">
              <w:rPr>
                <w:rFonts w:ascii="Cambria" w:hAnsi="Cambria" w:cs="Calibri"/>
              </w:rPr>
              <w:t>4.0</w:t>
            </w:r>
          </w:p>
        </w:tc>
        <w:tc>
          <w:tcPr>
            <w:tcW w:w="1532" w:type="dxa"/>
            <w:shd w:val="clear" w:color="auto" w:fill="808080" w:themeFill="background1" w:themeFillShade="80"/>
          </w:tcPr>
          <w:p w14:paraId="5D975336" w14:textId="77777777" w:rsidR="00C3276D" w:rsidRPr="00FD2E93" w:rsidRDefault="00C3276D" w:rsidP="009A5284">
            <w:pPr>
              <w:rPr>
                <w:rFonts w:ascii="Cambria" w:hAnsi="Cambria"/>
              </w:rPr>
            </w:pPr>
            <w:r w:rsidRPr="00FD2E93">
              <w:rPr>
                <w:rFonts w:ascii="Cambria" w:hAnsi="Cambria" w:cs="Calibri"/>
              </w:rPr>
              <w:t>4.50</w:t>
            </w:r>
          </w:p>
        </w:tc>
      </w:tr>
    </w:tbl>
    <w:p w14:paraId="300421C1" w14:textId="77777777" w:rsidR="00C3276D" w:rsidRPr="00FD2E93" w:rsidRDefault="00C3276D" w:rsidP="00C3276D">
      <w:pPr>
        <w:rPr>
          <w:rFonts w:ascii="Cambria" w:hAnsi="Cambria"/>
        </w:rPr>
      </w:pPr>
    </w:p>
    <w:p w14:paraId="298FA9DA" w14:textId="77777777" w:rsidR="00C3276D" w:rsidRPr="00FD2E93" w:rsidRDefault="00C3276D" w:rsidP="00C3276D">
      <w:pPr>
        <w:rPr>
          <w:rFonts w:ascii="Cambria" w:hAnsi="Cambria"/>
        </w:rPr>
      </w:pPr>
      <w:r w:rsidRPr="00FD2E93">
        <w:rPr>
          <w:rFonts w:ascii="Cambria" w:hAnsi="Cambria"/>
        </w:rPr>
        <w:lastRenderedPageBreak/>
        <w:t>Table 3 continued: Rated Survey Questions, by Respondent Categories;</w:t>
      </w:r>
      <w:r w:rsidRPr="00FD2E93">
        <w:rPr>
          <w:rFonts w:ascii="Cambria" w:hAnsi="Cambria"/>
          <w:u w:val="single"/>
        </w:rPr>
        <w:t xml:space="preserve"> Median</w:t>
      </w:r>
      <w:r w:rsidRPr="00FD2E93">
        <w:rPr>
          <w:rFonts w:ascii="Cambria" w:hAnsi="Cambria"/>
        </w:rPr>
        <w:t xml:space="preserve"> of Responses. Grey highlights a Positive Response. Those Medians rating higher than “3” indicate a substantial number of respondents rated a “4” or better.</w:t>
      </w:r>
    </w:p>
    <w:tbl>
      <w:tblPr>
        <w:tblStyle w:val="TableGrid"/>
        <w:tblW w:w="0" w:type="auto"/>
        <w:tblInd w:w="0" w:type="dxa"/>
        <w:tblLook w:val="04A0" w:firstRow="1" w:lastRow="0" w:firstColumn="1" w:lastColumn="0" w:noHBand="0" w:noVBand="1"/>
      </w:tblPr>
      <w:tblGrid>
        <w:gridCol w:w="6813"/>
        <w:gridCol w:w="993"/>
        <w:gridCol w:w="849"/>
        <w:gridCol w:w="822"/>
        <w:gridCol w:w="1342"/>
        <w:gridCol w:w="1648"/>
        <w:gridCol w:w="1481"/>
      </w:tblGrid>
      <w:tr w:rsidR="00C3276D" w:rsidRPr="00FD2E93" w14:paraId="26EE6021" w14:textId="77777777" w:rsidTr="009A5284">
        <w:tc>
          <w:tcPr>
            <w:tcW w:w="7236" w:type="dxa"/>
            <w:shd w:val="clear" w:color="auto" w:fill="F2F2F2" w:themeFill="background1" w:themeFillShade="F2"/>
          </w:tcPr>
          <w:p w14:paraId="0773E7A4" w14:textId="77777777" w:rsidR="00C3276D" w:rsidRPr="00FD2E93" w:rsidRDefault="00C3276D" w:rsidP="009A5284">
            <w:pPr>
              <w:rPr>
                <w:rFonts w:ascii="Cambria" w:hAnsi="Cambria"/>
              </w:rPr>
            </w:pPr>
            <w:r w:rsidRPr="00FD2E93">
              <w:rPr>
                <w:rFonts w:ascii="Cambria" w:hAnsi="Cambria"/>
              </w:rPr>
              <w:t>Survey Questions / Response Groupings</w:t>
            </w:r>
          </w:p>
          <w:p w14:paraId="048A3115" w14:textId="77777777" w:rsidR="00C3276D" w:rsidRPr="00FD2E93" w:rsidRDefault="00C3276D" w:rsidP="009A5284">
            <w:pPr>
              <w:rPr>
                <w:rFonts w:ascii="Cambria" w:hAnsi="Cambria" w:cs="Calibri"/>
                <w:b/>
                <w:bCs/>
              </w:rPr>
            </w:pPr>
            <w:r w:rsidRPr="00FD2E93">
              <w:rPr>
                <w:rFonts w:ascii="Cambria" w:hAnsi="Cambria"/>
              </w:rPr>
              <w:t>(questions requiring a rating: 5 = Significant Positive Impact; 4 = Positive Impact; 3 = No Impact; 2 = Negative Impact; 1 = Significantly Negative Impact)</w:t>
            </w:r>
          </w:p>
        </w:tc>
        <w:tc>
          <w:tcPr>
            <w:tcW w:w="872" w:type="dxa"/>
            <w:shd w:val="clear" w:color="auto" w:fill="F2F2F2" w:themeFill="background1" w:themeFillShade="F2"/>
          </w:tcPr>
          <w:p w14:paraId="4489B670" w14:textId="77777777" w:rsidR="00C3276D" w:rsidRPr="00FD2E93" w:rsidRDefault="00C3276D" w:rsidP="009A5284">
            <w:pPr>
              <w:rPr>
                <w:rFonts w:ascii="Cambria" w:hAnsi="Cambria" w:cs="Calibri"/>
                <w:bCs/>
              </w:rPr>
            </w:pPr>
            <w:r w:rsidRPr="00FD2E93">
              <w:rPr>
                <w:rFonts w:ascii="Cambria" w:hAnsi="Cambria" w:cs="Calibri"/>
                <w:bCs/>
              </w:rPr>
              <w:t>Median – All</w:t>
            </w:r>
          </w:p>
          <w:p w14:paraId="7228CF49" w14:textId="77777777" w:rsidR="00C3276D" w:rsidRPr="00FD2E93" w:rsidRDefault="00C3276D" w:rsidP="009A5284">
            <w:pPr>
              <w:rPr>
                <w:rFonts w:ascii="Cambria" w:hAnsi="Cambria"/>
              </w:rPr>
            </w:pPr>
            <w:r w:rsidRPr="00FD2E93">
              <w:rPr>
                <w:rFonts w:ascii="Cambria" w:hAnsi="Cambria"/>
              </w:rPr>
              <w:t>Resp</w:t>
            </w:r>
          </w:p>
          <w:p w14:paraId="22A5133D" w14:textId="77777777" w:rsidR="00C3276D" w:rsidRPr="00FD2E93" w:rsidRDefault="00C3276D" w:rsidP="009A5284">
            <w:pPr>
              <w:rPr>
                <w:rFonts w:ascii="Cambria" w:hAnsi="Cambria"/>
              </w:rPr>
            </w:pPr>
            <w:r w:rsidRPr="00FD2E93">
              <w:rPr>
                <w:rFonts w:ascii="Cambria" w:hAnsi="Cambria"/>
                <w:i/>
              </w:rPr>
              <w:t>(N=262)</w:t>
            </w:r>
          </w:p>
        </w:tc>
        <w:tc>
          <w:tcPr>
            <w:tcW w:w="855" w:type="dxa"/>
            <w:shd w:val="clear" w:color="auto" w:fill="F2F2F2" w:themeFill="background1" w:themeFillShade="F2"/>
          </w:tcPr>
          <w:p w14:paraId="31DFDE68" w14:textId="77777777" w:rsidR="00C3276D" w:rsidRPr="00FD2E93" w:rsidRDefault="00C3276D" w:rsidP="009A5284">
            <w:pPr>
              <w:rPr>
                <w:rFonts w:ascii="Cambria" w:hAnsi="Cambria"/>
              </w:rPr>
            </w:pPr>
            <w:r w:rsidRPr="00FD2E93">
              <w:rPr>
                <w:rFonts w:ascii="Cambria" w:hAnsi="Cambria" w:cs="Calibri"/>
                <w:bCs/>
              </w:rPr>
              <w:t>Synod</w:t>
            </w:r>
          </w:p>
        </w:tc>
        <w:tc>
          <w:tcPr>
            <w:tcW w:w="840" w:type="dxa"/>
            <w:shd w:val="clear" w:color="auto" w:fill="F2F2F2" w:themeFill="background1" w:themeFillShade="F2"/>
          </w:tcPr>
          <w:p w14:paraId="74640E0D" w14:textId="77777777" w:rsidR="00C3276D" w:rsidRPr="00FD2E93" w:rsidRDefault="00C3276D" w:rsidP="009A5284">
            <w:pPr>
              <w:rPr>
                <w:rFonts w:ascii="Cambria" w:hAnsi="Cambria"/>
              </w:rPr>
            </w:pPr>
            <w:r w:rsidRPr="00FD2E93">
              <w:rPr>
                <w:rFonts w:ascii="Cambria" w:hAnsi="Cambria" w:cs="Calibri"/>
                <w:bCs/>
              </w:rPr>
              <w:t>GCC</w:t>
            </w:r>
          </w:p>
        </w:tc>
        <w:tc>
          <w:tcPr>
            <w:tcW w:w="1106" w:type="dxa"/>
            <w:shd w:val="clear" w:color="auto" w:fill="F2F2F2" w:themeFill="background1" w:themeFillShade="F2"/>
          </w:tcPr>
          <w:p w14:paraId="3D7BF37F" w14:textId="77777777" w:rsidR="00C3276D" w:rsidRPr="00FD2E93" w:rsidRDefault="00C3276D" w:rsidP="009A5284">
            <w:pPr>
              <w:rPr>
                <w:rFonts w:ascii="Cambria" w:hAnsi="Cambria"/>
              </w:rPr>
            </w:pPr>
            <w:r w:rsidRPr="00FD2E93">
              <w:rPr>
                <w:rFonts w:ascii="Cambria" w:hAnsi="Cambria" w:cs="Calibri"/>
                <w:bCs/>
              </w:rPr>
              <w:t>Committees &amp; Boards</w:t>
            </w:r>
          </w:p>
        </w:tc>
        <w:tc>
          <w:tcPr>
            <w:tcW w:w="1304" w:type="dxa"/>
            <w:shd w:val="clear" w:color="auto" w:fill="F2F2F2" w:themeFill="background1" w:themeFillShade="F2"/>
          </w:tcPr>
          <w:p w14:paraId="573922D5" w14:textId="77777777" w:rsidR="00C3276D" w:rsidRPr="00FD2E93" w:rsidRDefault="00C3276D" w:rsidP="009A5284">
            <w:pPr>
              <w:rPr>
                <w:rFonts w:ascii="Cambria" w:hAnsi="Cambria"/>
              </w:rPr>
            </w:pPr>
            <w:r w:rsidRPr="00FD2E93">
              <w:rPr>
                <w:rFonts w:ascii="Cambria" w:hAnsi="Cambria" w:cs="Calibri"/>
                <w:bCs/>
              </w:rPr>
              <w:t>District Bishops + District Administrators</w:t>
            </w:r>
          </w:p>
        </w:tc>
        <w:tc>
          <w:tcPr>
            <w:tcW w:w="1532" w:type="dxa"/>
            <w:shd w:val="clear" w:color="auto" w:fill="F2F2F2" w:themeFill="background1" w:themeFillShade="F2"/>
          </w:tcPr>
          <w:p w14:paraId="45FA1B19" w14:textId="77777777" w:rsidR="00C3276D" w:rsidRPr="00FD2E93" w:rsidRDefault="00C3276D" w:rsidP="009A5284">
            <w:pPr>
              <w:rPr>
                <w:rFonts w:ascii="Cambria" w:hAnsi="Cambria"/>
              </w:rPr>
            </w:pPr>
            <w:r w:rsidRPr="00FD2E93">
              <w:rPr>
                <w:rFonts w:ascii="Cambria" w:hAnsi="Cambria" w:cs="Calibri"/>
                <w:bCs/>
              </w:rPr>
              <w:t>National Office</w:t>
            </w:r>
          </w:p>
        </w:tc>
      </w:tr>
      <w:tr w:rsidR="00C3276D" w:rsidRPr="00FD2E93" w14:paraId="60F7E4DF" w14:textId="77777777" w:rsidTr="009A5284">
        <w:tc>
          <w:tcPr>
            <w:tcW w:w="7236" w:type="dxa"/>
            <w:shd w:val="clear" w:color="auto" w:fill="D9D9D9" w:themeFill="background1" w:themeFillShade="D9"/>
            <w:vAlign w:val="bottom"/>
          </w:tcPr>
          <w:p w14:paraId="21EAA7DC" w14:textId="77777777" w:rsidR="00C3276D" w:rsidRPr="00FD2E93" w:rsidRDefault="00C3276D" w:rsidP="009A5284">
            <w:pPr>
              <w:rPr>
                <w:rFonts w:ascii="Cambria" w:hAnsi="Cambria"/>
              </w:rPr>
            </w:pPr>
            <w:r w:rsidRPr="00FD2E93">
              <w:rPr>
                <w:rFonts w:ascii="Cambria" w:hAnsi="Cambria" w:cs="Calibri"/>
                <w:b/>
                <w:bCs/>
              </w:rPr>
              <w:t>Finance and Administration Department</w:t>
            </w:r>
          </w:p>
        </w:tc>
        <w:tc>
          <w:tcPr>
            <w:tcW w:w="872" w:type="dxa"/>
            <w:shd w:val="clear" w:color="auto" w:fill="D9D9D9" w:themeFill="background1" w:themeFillShade="D9"/>
          </w:tcPr>
          <w:p w14:paraId="42365C8B" w14:textId="77777777" w:rsidR="00C3276D" w:rsidRPr="00FD2E93" w:rsidRDefault="00C3276D" w:rsidP="009A5284">
            <w:pPr>
              <w:rPr>
                <w:rFonts w:ascii="Cambria" w:hAnsi="Cambria"/>
              </w:rPr>
            </w:pPr>
            <w:r w:rsidRPr="00FD2E93">
              <w:rPr>
                <w:rFonts w:ascii="Cambria" w:hAnsi="Cambria" w:cs="Calibri"/>
                <w:b/>
                <w:bCs/>
              </w:rPr>
              <w:t>3.5</w:t>
            </w:r>
          </w:p>
        </w:tc>
        <w:tc>
          <w:tcPr>
            <w:tcW w:w="855" w:type="dxa"/>
            <w:shd w:val="clear" w:color="auto" w:fill="D9D9D9" w:themeFill="background1" w:themeFillShade="D9"/>
          </w:tcPr>
          <w:p w14:paraId="3A890E1F" w14:textId="77777777" w:rsidR="00C3276D" w:rsidRPr="00FD2E93" w:rsidRDefault="00C3276D" w:rsidP="009A5284">
            <w:pPr>
              <w:rPr>
                <w:rFonts w:ascii="Cambria" w:hAnsi="Cambria"/>
              </w:rPr>
            </w:pPr>
            <w:r w:rsidRPr="00FD2E93">
              <w:rPr>
                <w:rFonts w:ascii="Cambria" w:hAnsi="Cambria" w:cs="Calibri"/>
                <w:b/>
                <w:bCs/>
              </w:rPr>
              <w:t>3.00</w:t>
            </w:r>
          </w:p>
        </w:tc>
        <w:tc>
          <w:tcPr>
            <w:tcW w:w="840" w:type="dxa"/>
            <w:shd w:val="clear" w:color="auto" w:fill="D9D9D9" w:themeFill="background1" w:themeFillShade="D9"/>
          </w:tcPr>
          <w:p w14:paraId="36EF9BFF" w14:textId="77777777" w:rsidR="00C3276D" w:rsidRPr="00FD2E93" w:rsidRDefault="00C3276D" w:rsidP="009A5284">
            <w:pPr>
              <w:rPr>
                <w:rFonts w:ascii="Cambria" w:hAnsi="Cambria"/>
              </w:rPr>
            </w:pPr>
            <w:r w:rsidRPr="00FD2E93">
              <w:rPr>
                <w:rFonts w:ascii="Cambria" w:hAnsi="Cambria" w:cs="Calibri"/>
                <w:b/>
                <w:bCs/>
              </w:rPr>
              <w:t>4.00</w:t>
            </w:r>
          </w:p>
        </w:tc>
        <w:tc>
          <w:tcPr>
            <w:tcW w:w="1106" w:type="dxa"/>
            <w:shd w:val="clear" w:color="auto" w:fill="D9D9D9" w:themeFill="background1" w:themeFillShade="D9"/>
          </w:tcPr>
          <w:p w14:paraId="21404C39" w14:textId="77777777" w:rsidR="00C3276D" w:rsidRPr="00FD2E93" w:rsidRDefault="00C3276D" w:rsidP="009A5284">
            <w:pPr>
              <w:rPr>
                <w:rFonts w:ascii="Cambria" w:hAnsi="Cambria"/>
              </w:rPr>
            </w:pPr>
            <w:r w:rsidRPr="00FD2E93">
              <w:rPr>
                <w:rFonts w:ascii="Cambria" w:hAnsi="Cambria" w:cs="Calibri"/>
                <w:b/>
                <w:bCs/>
              </w:rPr>
              <w:t>3.17</w:t>
            </w:r>
          </w:p>
        </w:tc>
        <w:tc>
          <w:tcPr>
            <w:tcW w:w="1304" w:type="dxa"/>
            <w:shd w:val="clear" w:color="auto" w:fill="D9D9D9" w:themeFill="background1" w:themeFillShade="D9"/>
          </w:tcPr>
          <w:p w14:paraId="3AB8DE3B" w14:textId="77777777" w:rsidR="00C3276D" w:rsidRPr="00FD2E93" w:rsidRDefault="00C3276D" w:rsidP="009A5284">
            <w:pPr>
              <w:rPr>
                <w:rFonts w:ascii="Cambria" w:hAnsi="Cambria"/>
              </w:rPr>
            </w:pPr>
            <w:r w:rsidRPr="00FD2E93">
              <w:rPr>
                <w:rFonts w:ascii="Cambria" w:hAnsi="Cambria" w:cs="Calibri"/>
                <w:b/>
                <w:bCs/>
              </w:rPr>
              <w:t>3.67</w:t>
            </w:r>
          </w:p>
        </w:tc>
        <w:tc>
          <w:tcPr>
            <w:tcW w:w="1532" w:type="dxa"/>
            <w:shd w:val="clear" w:color="auto" w:fill="D9D9D9" w:themeFill="background1" w:themeFillShade="D9"/>
          </w:tcPr>
          <w:p w14:paraId="613247C3" w14:textId="77777777" w:rsidR="00C3276D" w:rsidRPr="00FD2E93" w:rsidRDefault="00C3276D" w:rsidP="009A5284">
            <w:pPr>
              <w:rPr>
                <w:rFonts w:ascii="Cambria" w:hAnsi="Cambria"/>
              </w:rPr>
            </w:pPr>
            <w:r w:rsidRPr="00FD2E93">
              <w:rPr>
                <w:rFonts w:ascii="Cambria" w:hAnsi="Cambria" w:cs="Calibri"/>
                <w:b/>
                <w:bCs/>
              </w:rPr>
              <w:t>3.67</w:t>
            </w:r>
          </w:p>
        </w:tc>
      </w:tr>
      <w:tr w:rsidR="00C3276D" w:rsidRPr="00FD2E93" w14:paraId="32CC67A5" w14:textId="77777777" w:rsidTr="00F52205">
        <w:tc>
          <w:tcPr>
            <w:tcW w:w="7236" w:type="dxa"/>
            <w:vAlign w:val="bottom"/>
          </w:tcPr>
          <w:p w14:paraId="1C54C5FF" w14:textId="0E9A386B" w:rsidR="00C3276D" w:rsidRPr="00EA13AA" w:rsidRDefault="00C3276D" w:rsidP="009A5284">
            <w:pPr>
              <w:rPr>
                <w:rFonts w:ascii="Cambria" w:hAnsi="Cambria" w:cs="Calibri"/>
              </w:rPr>
            </w:pPr>
            <w:r w:rsidRPr="00FD2E93">
              <w:rPr>
                <w:rFonts w:ascii="Cambria" w:hAnsi="Cambria" w:cs="Calibri"/>
              </w:rPr>
              <w:t xml:space="preserve">Q20. What impact on </w:t>
            </w:r>
            <w:r w:rsidRPr="00FD2E93">
              <w:rPr>
                <w:rFonts w:ascii="Cambria" w:hAnsi="Cambria" w:cs="Calibri"/>
                <w:b/>
              </w:rPr>
              <w:t>effectiveness</w:t>
            </w:r>
            <w:r w:rsidRPr="00FD2E93">
              <w:rPr>
                <w:rFonts w:ascii="Cambria" w:hAnsi="Cambria" w:cs="Calibri"/>
              </w:rPr>
              <w:t xml:space="preserve"> of your group/District/Congregation has this work by Finance and</w:t>
            </w:r>
            <w:r w:rsidR="00EA13AA">
              <w:rPr>
                <w:rFonts w:ascii="Cambria" w:hAnsi="Cambria" w:cs="Calibri"/>
              </w:rPr>
              <w:t xml:space="preserve"> Administration Department had?</w:t>
            </w:r>
          </w:p>
        </w:tc>
        <w:tc>
          <w:tcPr>
            <w:tcW w:w="872" w:type="dxa"/>
          </w:tcPr>
          <w:p w14:paraId="7B3C9376" w14:textId="77777777" w:rsidR="00C3276D" w:rsidRPr="00FD2E93" w:rsidRDefault="00C3276D" w:rsidP="009A5284">
            <w:pPr>
              <w:rPr>
                <w:rFonts w:ascii="Cambria" w:hAnsi="Cambria"/>
              </w:rPr>
            </w:pPr>
            <w:r w:rsidRPr="00FD2E93">
              <w:rPr>
                <w:rFonts w:ascii="Cambria" w:hAnsi="Cambria" w:cs="Calibri"/>
              </w:rPr>
              <w:t>3.7</w:t>
            </w:r>
          </w:p>
        </w:tc>
        <w:tc>
          <w:tcPr>
            <w:tcW w:w="855" w:type="dxa"/>
          </w:tcPr>
          <w:p w14:paraId="5DF20F2D" w14:textId="77777777" w:rsidR="00C3276D" w:rsidRPr="00FD2E93" w:rsidRDefault="00C3276D" w:rsidP="009A5284">
            <w:pPr>
              <w:rPr>
                <w:rFonts w:ascii="Cambria" w:hAnsi="Cambria"/>
              </w:rPr>
            </w:pPr>
            <w:r w:rsidRPr="00FD2E93">
              <w:rPr>
                <w:rFonts w:ascii="Cambria" w:hAnsi="Cambria" w:cs="Calibri"/>
              </w:rPr>
              <w:t>3.0</w:t>
            </w:r>
          </w:p>
        </w:tc>
        <w:tc>
          <w:tcPr>
            <w:tcW w:w="840" w:type="dxa"/>
            <w:shd w:val="clear" w:color="auto" w:fill="808080" w:themeFill="background1" w:themeFillShade="80"/>
          </w:tcPr>
          <w:p w14:paraId="2A3D0E2F" w14:textId="77777777" w:rsidR="00C3276D" w:rsidRPr="00FD2E93" w:rsidRDefault="00C3276D" w:rsidP="009A5284">
            <w:pPr>
              <w:rPr>
                <w:rFonts w:ascii="Cambria" w:hAnsi="Cambria"/>
              </w:rPr>
            </w:pPr>
            <w:r w:rsidRPr="00FD2E93">
              <w:rPr>
                <w:rFonts w:ascii="Cambria" w:hAnsi="Cambria" w:cs="Calibri"/>
              </w:rPr>
              <w:t>4.0</w:t>
            </w:r>
          </w:p>
        </w:tc>
        <w:tc>
          <w:tcPr>
            <w:tcW w:w="1106" w:type="dxa"/>
          </w:tcPr>
          <w:p w14:paraId="0355FCF1" w14:textId="77777777" w:rsidR="00C3276D" w:rsidRPr="00FD2E93" w:rsidRDefault="00C3276D" w:rsidP="009A5284">
            <w:pPr>
              <w:rPr>
                <w:rFonts w:ascii="Cambria" w:hAnsi="Cambria"/>
              </w:rPr>
            </w:pPr>
            <w:r w:rsidRPr="00FD2E93">
              <w:rPr>
                <w:rFonts w:ascii="Cambria" w:hAnsi="Cambria" w:cs="Calibri"/>
              </w:rPr>
              <w:t>3.5</w:t>
            </w:r>
          </w:p>
        </w:tc>
        <w:tc>
          <w:tcPr>
            <w:tcW w:w="1304" w:type="dxa"/>
            <w:shd w:val="clear" w:color="auto" w:fill="808080" w:themeFill="background1" w:themeFillShade="80"/>
          </w:tcPr>
          <w:p w14:paraId="14D55131" w14:textId="77777777" w:rsidR="00C3276D" w:rsidRPr="00FD2E93" w:rsidRDefault="00C3276D" w:rsidP="009A5284">
            <w:pPr>
              <w:rPr>
                <w:rFonts w:ascii="Cambria" w:hAnsi="Cambria"/>
              </w:rPr>
            </w:pPr>
            <w:r w:rsidRPr="00FD2E93">
              <w:rPr>
                <w:rFonts w:ascii="Cambria" w:hAnsi="Cambria" w:cs="Calibri"/>
              </w:rPr>
              <w:t>4.0</w:t>
            </w:r>
          </w:p>
        </w:tc>
        <w:tc>
          <w:tcPr>
            <w:tcW w:w="1532" w:type="dxa"/>
            <w:shd w:val="clear" w:color="auto" w:fill="808080" w:themeFill="background1" w:themeFillShade="80"/>
          </w:tcPr>
          <w:p w14:paraId="56987BA6" w14:textId="77777777" w:rsidR="00C3276D" w:rsidRPr="00FD2E93" w:rsidRDefault="00C3276D" w:rsidP="009A5284">
            <w:pPr>
              <w:rPr>
                <w:rFonts w:ascii="Cambria" w:hAnsi="Cambria"/>
              </w:rPr>
            </w:pPr>
            <w:r w:rsidRPr="00FD2E93">
              <w:rPr>
                <w:rFonts w:ascii="Cambria" w:hAnsi="Cambria" w:cs="Calibri"/>
              </w:rPr>
              <w:t>4.00</w:t>
            </w:r>
          </w:p>
        </w:tc>
      </w:tr>
      <w:tr w:rsidR="00C3276D" w:rsidRPr="00FD2E93" w14:paraId="68F7A6AA" w14:textId="77777777" w:rsidTr="00F52205">
        <w:tc>
          <w:tcPr>
            <w:tcW w:w="7236" w:type="dxa"/>
            <w:vAlign w:val="bottom"/>
          </w:tcPr>
          <w:p w14:paraId="300E261D" w14:textId="2C1488EF" w:rsidR="00C3276D" w:rsidRPr="00EA13AA" w:rsidRDefault="00C3276D" w:rsidP="009A5284">
            <w:pPr>
              <w:rPr>
                <w:rFonts w:ascii="Cambria" w:hAnsi="Cambria" w:cs="Calibri"/>
              </w:rPr>
            </w:pPr>
            <w:r w:rsidRPr="00FD2E93">
              <w:rPr>
                <w:rFonts w:ascii="Cambria" w:hAnsi="Cambria" w:cs="Calibri"/>
              </w:rPr>
              <w:t xml:space="preserve">Q21. What impact on </w:t>
            </w:r>
            <w:r w:rsidRPr="00FD2E93">
              <w:rPr>
                <w:rFonts w:ascii="Cambria" w:hAnsi="Cambria" w:cs="Calibri"/>
                <w:b/>
              </w:rPr>
              <w:t>efficiency</w:t>
            </w:r>
            <w:r w:rsidRPr="00FD2E93">
              <w:rPr>
                <w:rFonts w:ascii="Cambria" w:hAnsi="Cambria" w:cs="Calibri"/>
              </w:rPr>
              <w:t xml:space="preserve"> of your group/ District/ Congregation has this work by the Finance and </w:t>
            </w:r>
            <w:r w:rsidR="00EA13AA">
              <w:rPr>
                <w:rFonts w:ascii="Cambria" w:hAnsi="Cambria" w:cs="Calibri"/>
              </w:rPr>
              <w:t>Administration Department had?</w:t>
            </w:r>
          </w:p>
        </w:tc>
        <w:tc>
          <w:tcPr>
            <w:tcW w:w="872" w:type="dxa"/>
          </w:tcPr>
          <w:p w14:paraId="29D8ED45" w14:textId="77777777" w:rsidR="00C3276D" w:rsidRPr="00FD2E93" w:rsidRDefault="00C3276D" w:rsidP="009A5284">
            <w:pPr>
              <w:rPr>
                <w:rFonts w:ascii="Cambria" w:hAnsi="Cambria"/>
              </w:rPr>
            </w:pPr>
            <w:r w:rsidRPr="00FD2E93">
              <w:rPr>
                <w:rFonts w:ascii="Cambria" w:hAnsi="Cambria" w:cs="Calibri"/>
              </w:rPr>
              <w:t>3.6</w:t>
            </w:r>
          </w:p>
        </w:tc>
        <w:tc>
          <w:tcPr>
            <w:tcW w:w="855" w:type="dxa"/>
          </w:tcPr>
          <w:p w14:paraId="02133587" w14:textId="77777777" w:rsidR="00C3276D" w:rsidRPr="00FD2E93" w:rsidRDefault="00C3276D" w:rsidP="009A5284">
            <w:pPr>
              <w:rPr>
                <w:rFonts w:ascii="Cambria" w:hAnsi="Cambria"/>
              </w:rPr>
            </w:pPr>
            <w:r w:rsidRPr="00FD2E93">
              <w:rPr>
                <w:rFonts w:ascii="Cambria" w:hAnsi="Cambria" w:cs="Calibri"/>
              </w:rPr>
              <w:t>3.0</w:t>
            </w:r>
          </w:p>
        </w:tc>
        <w:tc>
          <w:tcPr>
            <w:tcW w:w="840" w:type="dxa"/>
            <w:shd w:val="clear" w:color="auto" w:fill="808080" w:themeFill="background1" w:themeFillShade="80"/>
          </w:tcPr>
          <w:p w14:paraId="35F93E21" w14:textId="77777777" w:rsidR="00C3276D" w:rsidRPr="00FD2E93" w:rsidRDefault="00C3276D" w:rsidP="009A5284">
            <w:pPr>
              <w:rPr>
                <w:rFonts w:ascii="Cambria" w:hAnsi="Cambria"/>
              </w:rPr>
            </w:pPr>
            <w:r w:rsidRPr="00FD2E93">
              <w:rPr>
                <w:rFonts w:ascii="Cambria" w:hAnsi="Cambria" w:cs="Calibri"/>
              </w:rPr>
              <w:t>4.0</w:t>
            </w:r>
          </w:p>
        </w:tc>
        <w:tc>
          <w:tcPr>
            <w:tcW w:w="1106" w:type="dxa"/>
          </w:tcPr>
          <w:p w14:paraId="35D159C6" w14:textId="77777777" w:rsidR="00C3276D" w:rsidRPr="00FD2E93" w:rsidRDefault="00C3276D" w:rsidP="009A5284">
            <w:pPr>
              <w:rPr>
                <w:rFonts w:ascii="Cambria" w:hAnsi="Cambria"/>
              </w:rPr>
            </w:pPr>
            <w:r w:rsidRPr="00FD2E93">
              <w:rPr>
                <w:rFonts w:ascii="Cambria" w:hAnsi="Cambria" w:cs="Calibri"/>
              </w:rPr>
              <w:t>3.0</w:t>
            </w:r>
          </w:p>
        </w:tc>
        <w:tc>
          <w:tcPr>
            <w:tcW w:w="1304" w:type="dxa"/>
            <w:shd w:val="clear" w:color="auto" w:fill="808080" w:themeFill="background1" w:themeFillShade="80"/>
          </w:tcPr>
          <w:p w14:paraId="3B6DCCFC" w14:textId="77777777" w:rsidR="00C3276D" w:rsidRPr="00FD2E93" w:rsidRDefault="00C3276D" w:rsidP="009A5284">
            <w:pPr>
              <w:rPr>
                <w:rFonts w:ascii="Cambria" w:hAnsi="Cambria"/>
              </w:rPr>
            </w:pPr>
            <w:r w:rsidRPr="00FD2E93">
              <w:rPr>
                <w:rFonts w:ascii="Cambria" w:hAnsi="Cambria" w:cs="Calibri"/>
              </w:rPr>
              <w:t>4.0</w:t>
            </w:r>
          </w:p>
        </w:tc>
        <w:tc>
          <w:tcPr>
            <w:tcW w:w="1532" w:type="dxa"/>
            <w:shd w:val="clear" w:color="auto" w:fill="808080" w:themeFill="background1" w:themeFillShade="80"/>
          </w:tcPr>
          <w:p w14:paraId="7E5DA108" w14:textId="77777777" w:rsidR="00C3276D" w:rsidRPr="00FD2E93" w:rsidRDefault="00C3276D" w:rsidP="009A5284">
            <w:pPr>
              <w:rPr>
                <w:rFonts w:ascii="Cambria" w:hAnsi="Cambria"/>
              </w:rPr>
            </w:pPr>
            <w:r w:rsidRPr="00FD2E93">
              <w:rPr>
                <w:rFonts w:ascii="Cambria" w:hAnsi="Cambria" w:cs="Calibri"/>
              </w:rPr>
              <w:t>4.00</w:t>
            </w:r>
          </w:p>
        </w:tc>
      </w:tr>
      <w:tr w:rsidR="00C3276D" w:rsidRPr="00FD2E93" w14:paraId="574E8485" w14:textId="77777777" w:rsidTr="00F52205">
        <w:tc>
          <w:tcPr>
            <w:tcW w:w="7236" w:type="dxa"/>
            <w:vAlign w:val="bottom"/>
          </w:tcPr>
          <w:p w14:paraId="47914081" w14:textId="7088A195" w:rsidR="00C3276D" w:rsidRPr="00EA13AA" w:rsidRDefault="00C3276D" w:rsidP="009A5284">
            <w:pPr>
              <w:rPr>
                <w:rFonts w:ascii="Cambria" w:hAnsi="Cambria" w:cs="Calibri"/>
              </w:rPr>
            </w:pPr>
            <w:r w:rsidRPr="00FD2E93">
              <w:rPr>
                <w:rFonts w:ascii="Cambria" w:hAnsi="Cambria" w:cs="Calibri"/>
              </w:rPr>
              <w:t>Q22. Please rate the service you have had from the Finance and Administration Dep</w:t>
            </w:r>
            <w:r w:rsidR="00EA13AA">
              <w:rPr>
                <w:rFonts w:ascii="Cambria" w:hAnsi="Cambria" w:cs="Calibri"/>
              </w:rPr>
              <w:t>artment in the years since 2015</w:t>
            </w:r>
          </w:p>
        </w:tc>
        <w:tc>
          <w:tcPr>
            <w:tcW w:w="872" w:type="dxa"/>
          </w:tcPr>
          <w:p w14:paraId="2A647C7E" w14:textId="77777777" w:rsidR="00C3276D" w:rsidRPr="00FD2E93" w:rsidRDefault="00C3276D" w:rsidP="009A5284">
            <w:pPr>
              <w:rPr>
                <w:rFonts w:ascii="Cambria" w:hAnsi="Cambria"/>
              </w:rPr>
            </w:pPr>
            <w:r w:rsidRPr="00FD2E93">
              <w:rPr>
                <w:rFonts w:ascii="Cambria" w:hAnsi="Cambria" w:cs="Calibri"/>
              </w:rPr>
              <w:t>3.2</w:t>
            </w:r>
          </w:p>
        </w:tc>
        <w:tc>
          <w:tcPr>
            <w:tcW w:w="855" w:type="dxa"/>
          </w:tcPr>
          <w:p w14:paraId="6C08A944" w14:textId="77777777" w:rsidR="00C3276D" w:rsidRPr="00FD2E93" w:rsidRDefault="00C3276D" w:rsidP="009A5284">
            <w:pPr>
              <w:rPr>
                <w:rFonts w:ascii="Cambria" w:hAnsi="Cambria"/>
              </w:rPr>
            </w:pPr>
            <w:r w:rsidRPr="00FD2E93">
              <w:rPr>
                <w:rFonts w:ascii="Cambria" w:hAnsi="Cambria" w:cs="Calibri"/>
              </w:rPr>
              <w:t>3.0</w:t>
            </w:r>
          </w:p>
        </w:tc>
        <w:tc>
          <w:tcPr>
            <w:tcW w:w="840" w:type="dxa"/>
            <w:shd w:val="clear" w:color="auto" w:fill="808080" w:themeFill="background1" w:themeFillShade="80"/>
          </w:tcPr>
          <w:p w14:paraId="23527816" w14:textId="77777777" w:rsidR="00C3276D" w:rsidRPr="00FD2E93" w:rsidRDefault="00C3276D" w:rsidP="009A5284">
            <w:pPr>
              <w:rPr>
                <w:rFonts w:ascii="Cambria" w:hAnsi="Cambria"/>
              </w:rPr>
            </w:pPr>
            <w:r w:rsidRPr="00FD2E93">
              <w:rPr>
                <w:rFonts w:ascii="Cambria" w:hAnsi="Cambria" w:cs="Calibri"/>
              </w:rPr>
              <w:t>4.0</w:t>
            </w:r>
          </w:p>
        </w:tc>
        <w:tc>
          <w:tcPr>
            <w:tcW w:w="1106" w:type="dxa"/>
          </w:tcPr>
          <w:p w14:paraId="2DD5AA80" w14:textId="77777777" w:rsidR="00C3276D" w:rsidRPr="00FD2E93" w:rsidRDefault="00C3276D" w:rsidP="009A5284">
            <w:pPr>
              <w:rPr>
                <w:rFonts w:ascii="Cambria" w:hAnsi="Cambria"/>
              </w:rPr>
            </w:pPr>
            <w:r w:rsidRPr="00FD2E93">
              <w:rPr>
                <w:rFonts w:ascii="Cambria" w:hAnsi="Cambria" w:cs="Calibri"/>
              </w:rPr>
              <w:t>3.0</w:t>
            </w:r>
          </w:p>
        </w:tc>
        <w:tc>
          <w:tcPr>
            <w:tcW w:w="1304" w:type="dxa"/>
          </w:tcPr>
          <w:p w14:paraId="78FAC76A" w14:textId="77777777" w:rsidR="00C3276D" w:rsidRPr="00FD2E93" w:rsidRDefault="00C3276D" w:rsidP="009A5284">
            <w:pPr>
              <w:rPr>
                <w:rFonts w:ascii="Cambria" w:hAnsi="Cambria"/>
              </w:rPr>
            </w:pPr>
            <w:r w:rsidRPr="00FD2E93">
              <w:rPr>
                <w:rFonts w:ascii="Cambria" w:hAnsi="Cambria" w:cs="Calibri"/>
              </w:rPr>
              <w:t>3.0</w:t>
            </w:r>
          </w:p>
        </w:tc>
        <w:tc>
          <w:tcPr>
            <w:tcW w:w="1532" w:type="dxa"/>
          </w:tcPr>
          <w:p w14:paraId="47C12252" w14:textId="77777777" w:rsidR="00C3276D" w:rsidRPr="00FD2E93" w:rsidRDefault="00C3276D" w:rsidP="009A5284">
            <w:pPr>
              <w:rPr>
                <w:rFonts w:ascii="Cambria" w:hAnsi="Cambria"/>
              </w:rPr>
            </w:pPr>
            <w:r w:rsidRPr="00FD2E93">
              <w:rPr>
                <w:rFonts w:ascii="Cambria" w:hAnsi="Cambria" w:cs="Calibri"/>
              </w:rPr>
              <w:t>3.00</w:t>
            </w:r>
          </w:p>
        </w:tc>
      </w:tr>
      <w:tr w:rsidR="00C3276D" w:rsidRPr="00FD2E93" w14:paraId="346FE0E0" w14:textId="77777777" w:rsidTr="009A5284">
        <w:tc>
          <w:tcPr>
            <w:tcW w:w="7236" w:type="dxa"/>
            <w:shd w:val="clear" w:color="auto" w:fill="D9D9D9" w:themeFill="background1" w:themeFillShade="D9"/>
            <w:vAlign w:val="bottom"/>
          </w:tcPr>
          <w:p w14:paraId="7A3ECF42" w14:textId="77777777" w:rsidR="00C3276D" w:rsidRPr="00FD2E93" w:rsidRDefault="00C3276D" w:rsidP="009A5284">
            <w:pPr>
              <w:rPr>
                <w:rFonts w:ascii="Cambria" w:hAnsi="Cambria"/>
              </w:rPr>
            </w:pPr>
            <w:r w:rsidRPr="00FD2E93">
              <w:rPr>
                <w:rFonts w:ascii="Cambria" w:hAnsi="Cambria" w:cs="Calibri"/>
                <w:b/>
                <w:bCs/>
              </w:rPr>
              <w:t>ICT Department</w:t>
            </w:r>
          </w:p>
        </w:tc>
        <w:tc>
          <w:tcPr>
            <w:tcW w:w="872" w:type="dxa"/>
            <w:shd w:val="clear" w:color="auto" w:fill="D9D9D9" w:themeFill="background1" w:themeFillShade="D9"/>
          </w:tcPr>
          <w:p w14:paraId="56A21B39" w14:textId="77777777" w:rsidR="00C3276D" w:rsidRPr="00FD2E93" w:rsidRDefault="00C3276D" w:rsidP="009A5284">
            <w:pPr>
              <w:rPr>
                <w:rFonts w:ascii="Cambria" w:hAnsi="Cambria"/>
              </w:rPr>
            </w:pPr>
            <w:r w:rsidRPr="00FD2E93">
              <w:rPr>
                <w:rFonts w:ascii="Cambria" w:hAnsi="Cambria" w:cs="Calibri"/>
                <w:b/>
                <w:bCs/>
              </w:rPr>
              <w:t>3.9</w:t>
            </w:r>
          </w:p>
        </w:tc>
        <w:tc>
          <w:tcPr>
            <w:tcW w:w="855" w:type="dxa"/>
            <w:shd w:val="clear" w:color="auto" w:fill="D9D9D9" w:themeFill="background1" w:themeFillShade="D9"/>
          </w:tcPr>
          <w:p w14:paraId="23FB4A7A" w14:textId="77777777" w:rsidR="00C3276D" w:rsidRPr="00FD2E93" w:rsidRDefault="00C3276D" w:rsidP="009A5284">
            <w:pPr>
              <w:rPr>
                <w:rFonts w:ascii="Cambria" w:hAnsi="Cambria"/>
              </w:rPr>
            </w:pPr>
            <w:r w:rsidRPr="00FD2E93">
              <w:rPr>
                <w:rFonts w:ascii="Cambria" w:hAnsi="Cambria" w:cs="Calibri"/>
                <w:b/>
                <w:bCs/>
              </w:rPr>
              <w:t>3.67</w:t>
            </w:r>
          </w:p>
        </w:tc>
        <w:tc>
          <w:tcPr>
            <w:tcW w:w="840" w:type="dxa"/>
            <w:shd w:val="clear" w:color="auto" w:fill="D9D9D9" w:themeFill="background1" w:themeFillShade="D9"/>
          </w:tcPr>
          <w:p w14:paraId="7A64EBF4" w14:textId="77777777" w:rsidR="00C3276D" w:rsidRPr="00FD2E93" w:rsidRDefault="00C3276D" w:rsidP="009A5284">
            <w:pPr>
              <w:rPr>
                <w:rFonts w:ascii="Cambria" w:hAnsi="Cambria"/>
              </w:rPr>
            </w:pPr>
            <w:r w:rsidRPr="00FD2E93">
              <w:rPr>
                <w:rFonts w:ascii="Cambria" w:hAnsi="Cambria" w:cs="Calibri"/>
                <w:b/>
                <w:bCs/>
              </w:rPr>
              <w:t>4.00</w:t>
            </w:r>
          </w:p>
        </w:tc>
        <w:tc>
          <w:tcPr>
            <w:tcW w:w="1106" w:type="dxa"/>
            <w:shd w:val="clear" w:color="auto" w:fill="D9D9D9" w:themeFill="background1" w:themeFillShade="D9"/>
          </w:tcPr>
          <w:p w14:paraId="0CBCF458" w14:textId="77777777" w:rsidR="00C3276D" w:rsidRPr="00FD2E93" w:rsidRDefault="00C3276D" w:rsidP="009A5284">
            <w:pPr>
              <w:rPr>
                <w:rFonts w:ascii="Cambria" w:hAnsi="Cambria"/>
              </w:rPr>
            </w:pPr>
            <w:r w:rsidRPr="00FD2E93">
              <w:rPr>
                <w:rFonts w:ascii="Cambria" w:hAnsi="Cambria" w:cs="Calibri"/>
                <w:b/>
                <w:bCs/>
              </w:rPr>
              <w:t>4.00</w:t>
            </w:r>
          </w:p>
        </w:tc>
        <w:tc>
          <w:tcPr>
            <w:tcW w:w="1304" w:type="dxa"/>
            <w:shd w:val="clear" w:color="auto" w:fill="D9D9D9" w:themeFill="background1" w:themeFillShade="D9"/>
          </w:tcPr>
          <w:p w14:paraId="47F67B75" w14:textId="77777777" w:rsidR="00C3276D" w:rsidRPr="00FD2E93" w:rsidRDefault="00C3276D" w:rsidP="009A5284">
            <w:pPr>
              <w:rPr>
                <w:rFonts w:ascii="Cambria" w:hAnsi="Cambria"/>
              </w:rPr>
            </w:pPr>
            <w:r w:rsidRPr="00FD2E93">
              <w:rPr>
                <w:rFonts w:ascii="Cambria" w:hAnsi="Cambria" w:cs="Calibri"/>
                <w:b/>
                <w:bCs/>
              </w:rPr>
              <w:t>4.00</w:t>
            </w:r>
          </w:p>
        </w:tc>
        <w:tc>
          <w:tcPr>
            <w:tcW w:w="1532" w:type="dxa"/>
            <w:shd w:val="clear" w:color="auto" w:fill="D9D9D9" w:themeFill="background1" w:themeFillShade="D9"/>
          </w:tcPr>
          <w:p w14:paraId="55EB06C7" w14:textId="77777777" w:rsidR="00C3276D" w:rsidRPr="00FD2E93" w:rsidRDefault="00C3276D" w:rsidP="009A5284">
            <w:pPr>
              <w:rPr>
                <w:rFonts w:ascii="Cambria" w:hAnsi="Cambria"/>
              </w:rPr>
            </w:pPr>
            <w:r w:rsidRPr="00FD2E93">
              <w:rPr>
                <w:rFonts w:ascii="Cambria" w:hAnsi="Cambria" w:cs="Calibri"/>
                <w:b/>
                <w:bCs/>
              </w:rPr>
              <w:t>4.00</w:t>
            </w:r>
          </w:p>
        </w:tc>
      </w:tr>
      <w:tr w:rsidR="00C3276D" w:rsidRPr="00FD2E93" w14:paraId="587BEA10" w14:textId="77777777" w:rsidTr="00F52205">
        <w:tc>
          <w:tcPr>
            <w:tcW w:w="7236" w:type="dxa"/>
            <w:vAlign w:val="bottom"/>
          </w:tcPr>
          <w:p w14:paraId="43D125BB" w14:textId="0F08F5F0" w:rsidR="00C3276D" w:rsidRPr="00EA13AA" w:rsidRDefault="00C3276D" w:rsidP="009A5284">
            <w:pPr>
              <w:rPr>
                <w:rFonts w:ascii="Cambria" w:hAnsi="Cambria" w:cs="Calibri"/>
              </w:rPr>
            </w:pPr>
            <w:r w:rsidRPr="00FD2E93">
              <w:rPr>
                <w:rFonts w:ascii="Cambria" w:hAnsi="Cambria" w:cs="Calibri"/>
              </w:rPr>
              <w:t>Q25. What impact on</w:t>
            </w:r>
            <w:r w:rsidRPr="00FD2E93">
              <w:rPr>
                <w:rFonts w:ascii="Cambria" w:hAnsi="Cambria" w:cs="Calibri"/>
                <w:b/>
              </w:rPr>
              <w:t xml:space="preserve"> effectiveness</w:t>
            </w:r>
            <w:r w:rsidRPr="00FD2E93">
              <w:rPr>
                <w:rFonts w:ascii="Cambria" w:hAnsi="Cambria" w:cs="Calibri"/>
              </w:rPr>
              <w:t xml:space="preserve"> of your group/District/Congregation has this w</w:t>
            </w:r>
            <w:r w:rsidR="00EA13AA">
              <w:rPr>
                <w:rFonts w:ascii="Cambria" w:hAnsi="Cambria" w:cs="Calibri"/>
              </w:rPr>
              <w:t xml:space="preserve">ork by the ICT Department had? </w:t>
            </w:r>
          </w:p>
        </w:tc>
        <w:tc>
          <w:tcPr>
            <w:tcW w:w="872" w:type="dxa"/>
            <w:shd w:val="clear" w:color="auto" w:fill="808080" w:themeFill="background1" w:themeFillShade="80"/>
          </w:tcPr>
          <w:p w14:paraId="49A14083" w14:textId="77777777" w:rsidR="00C3276D" w:rsidRPr="00FD2E93" w:rsidRDefault="00C3276D" w:rsidP="009A5284">
            <w:pPr>
              <w:rPr>
                <w:rFonts w:ascii="Cambria" w:hAnsi="Cambria"/>
              </w:rPr>
            </w:pPr>
            <w:r w:rsidRPr="00FD2E93">
              <w:rPr>
                <w:rFonts w:ascii="Cambria" w:hAnsi="Cambria" w:cs="Calibri"/>
              </w:rPr>
              <w:t>4.0</w:t>
            </w:r>
          </w:p>
        </w:tc>
        <w:tc>
          <w:tcPr>
            <w:tcW w:w="855" w:type="dxa"/>
            <w:shd w:val="clear" w:color="auto" w:fill="808080" w:themeFill="background1" w:themeFillShade="80"/>
          </w:tcPr>
          <w:p w14:paraId="4A34C9AA" w14:textId="77777777" w:rsidR="00C3276D" w:rsidRPr="00FD2E93" w:rsidRDefault="00C3276D" w:rsidP="009A5284">
            <w:pPr>
              <w:rPr>
                <w:rFonts w:ascii="Cambria" w:hAnsi="Cambria"/>
              </w:rPr>
            </w:pPr>
            <w:r w:rsidRPr="00FD2E93">
              <w:rPr>
                <w:rFonts w:ascii="Cambria" w:hAnsi="Cambria" w:cs="Calibri"/>
              </w:rPr>
              <w:t>4.0</w:t>
            </w:r>
          </w:p>
        </w:tc>
        <w:tc>
          <w:tcPr>
            <w:tcW w:w="840" w:type="dxa"/>
            <w:shd w:val="clear" w:color="auto" w:fill="808080" w:themeFill="background1" w:themeFillShade="80"/>
          </w:tcPr>
          <w:p w14:paraId="6629640F" w14:textId="77777777" w:rsidR="00C3276D" w:rsidRPr="00FD2E93" w:rsidRDefault="00C3276D" w:rsidP="009A5284">
            <w:pPr>
              <w:rPr>
                <w:rFonts w:ascii="Cambria" w:hAnsi="Cambria"/>
              </w:rPr>
            </w:pPr>
            <w:r w:rsidRPr="00FD2E93">
              <w:rPr>
                <w:rFonts w:ascii="Cambria" w:hAnsi="Cambria" w:cs="Calibri"/>
              </w:rPr>
              <w:t>4.0</w:t>
            </w:r>
          </w:p>
        </w:tc>
        <w:tc>
          <w:tcPr>
            <w:tcW w:w="1106" w:type="dxa"/>
            <w:shd w:val="clear" w:color="auto" w:fill="808080" w:themeFill="background1" w:themeFillShade="80"/>
          </w:tcPr>
          <w:p w14:paraId="5CF08377" w14:textId="77777777" w:rsidR="00C3276D" w:rsidRPr="00FD2E93" w:rsidRDefault="00C3276D" w:rsidP="009A5284">
            <w:pPr>
              <w:rPr>
                <w:rFonts w:ascii="Cambria" w:hAnsi="Cambria"/>
              </w:rPr>
            </w:pPr>
            <w:r w:rsidRPr="00FD2E93">
              <w:rPr>
                <w:rFonts w:ascii="Cambria" w:hAnsi="Cambria" w:cs="Calibri"/>
              </w:rPr>
              <w:t>4.0</w:t>
            </w:r>
          </w:p>
        </w:tc>
        <w:tc>
          <w:tcPr>
            <w:tcW w:w="1304" w:type="dxa"/>
            <w:shd w:val="clear" w:color="auto" w:fill="808080" w:themeFill="background1" w:themeFillShade="80"/>
          </w:tcPr>
          <w:p w14:paraId="11F05B47" w14:textId="77777777" w:rsidR="00C3276D" w:rsidRPr="00FD2E93" w:rsidRDefault="00C3276D" w:rsidP="009A5284">
            <w:pPr>
              <w:rPr>
                <w:rFonts w:ascii="Cambria" w:hAnsi="Cambria"/>
              </w:rPr>
            </w:pPr>
            <w:r w:rsidRPr="00FD2E93">
              <w:rPr>
                <w:rFonts w:ascii="Cambria" w:hAnsi="Cambria" w:cs="Calibri"/>
              </w:rPr>
              <w:t>4.0</w:t>
            </w:r>
          </w:p>
        </w:tc>
        <w:tc>
          <w:tcPr>
            <w:tcW w:w="1532" w:type="dxa"/>
            <w:shd w:val="clear" w:color="auto" w:fill="808080" w:themeFill="background1" w:themeFillShade="80"/>
          </w:tcPr>
          <w:p w14:paraId="4CEA6D9C" w14:textId="77777777" w:rsidR="00C3276D" w:rsidRPr="00FD2E93" w:rsidRDefault="00C3276D" w:rsidP="009A5284">
            <w:pPr>
              <w:rPr>
                <w:rFonts w:ascii="Cambria" w:hAnsi="Cambria"/>
              </w:rPr>
            </w:pPr>
            <w:r w:rsidRPr="00FD2E93">
              <w:rPr>
                <w:rFonts w:ascii="Cambria" w:hAnsi="Cambria" w:cs="Calibri"/>
              </w:rPr>
              <w:t>4.00</w:t>
            </w:r>
          </w:p>
        </w:tc>
      </w:tr>
      <w:tr w:rsidR="00C3276D" w:rsidRPr="00FD2E93" w14:paraId="78C71EF0" w14:textId="77777777" w:rsidTr="00F52205">
        <w:tc>
          <w:tcPr>
            <w:tcW w:w="7236" w:type="dxa"/>
            <w:vAlign w:val="bottom"/>
          </w:tcPr>
          <w:p w14:paraId="40BCD6D2" w14:textId="6D85ED12" w:rsidR="00C3276D" w:rsidRPr="00EA13AA" w:rsidRDefault="00C3276D" w:rsidP="009A5284">
            <w:pPr>
              <w:rPr>
                <w:rFonts w:ascii="Cambria" w:hAnsi="Cambria" w:cs="Calibri"/>
              </w:rPr>
            </w:pPr>
            <w:r w:rsidRPr="00FD2E93">
              <w:rPr>
                <w:rFonts w:ascii="Cambria" w:hAnsi="Cambria" w:cs="Calibri"/>
              </w:rPr>
              <w:t xml:space="preserve">Q26. What impact on </w:t>
            </w:r>
            <w:r w:rsidRPr="00FD2E93">
              <w:rPr>
                <w:rFonts w:ascii="Cambria" w:hAnsi="Cambria" w:cs="Calibri"/>
                <w:b/>
              </w:rPr>
              <w:t>efficiency</w:t>
            </w:r>
            <w:r w:rsidRPr="00FD2E93">
              <w:rPr>
                <w:rFonts w:ascii="Cambria" w:hAnsi="Cambria" w:cs="Calibri"/>
              </w:rPr>
              <w:t xml:space="preserve"> of your group/ District/ Congregation has this w</w:t>
            </w:r>
            <w:r w:rsidR="00EA13AA">
              <w:rPr>
                <w:rFonts w:ascii="Cambria" w:hAnsi="Cambria" w:cs="Calibri"/>
              </w:rPr>
              <w:t xml:space="preserve">ork by the ICT Department had? </w:t>
            </w:r>
          </w:p>
        </w:tc>
        <w:tc>
          <w:tcPr>
            <w:tcW w:w="872" w:type="dxa"/>
          </w:tcPr>
          <w:p w14:paraId="278A0231" w14:textId="77777777" w:rsidR="00C3276D" w:rsidRPr="00FD2E93" w:rsidRDefault="00C3276D" w:rsidP="009A5284">
            <w:pPr>
              <w:rPr>
                <w:rFonts w:ascii="Cambria" w:hAnsi="Cambria"/>
              </w:rPr>
            </w:pPr>
            <w:r w:rsidRPr="00FD2E93">
              <w:rPr>
                <w:rFonts w:ascii="Cambria" w:hAnsi="Cambria" w:cs="Calibri"/>
              </w:rPr>
              <w:t>3.8</w:t>
            </w:r>
          </w:p>
        </w:tc>
        <w:tc>
          <w:tcPr>
            <w:tcW w:w="855" w:type="dxa"/>
          </w:tcPr>
          <w:p w14:paraId="7482EBB6" w14:textId="77777777" w:rsidR="00C3276D" w:rsidRPr="00FD2E93" w:rsidRDefault="00C3276D" w:rsidP="009A5284">
            <w:pPr>
              <w:rPr>
                <w:rFonts w:ascii="Cambria" w:hAnsi="Cambria"/>
              </w:rPr>
            </w:pPr>
            <w:r w:rsidRPr="00FD2E93">
              <w:rPr>
                <w:rFonts w:ascii="Cambria" w:hAnsi="Cambria" w:cs="Calibri"/>
              </w:rPr>
              <w:t>3.0</w:t>
            </w:r>
          </w:p>
        </w:tc>
        <w:tc>
          <w:tcPr>
            <w:tcW w:w="840" w:type="dxa"/>
            <w:shd w:val="clear" w:color="auto" w:fill="808080" w:themeFill="background1" w:themeFillShade="80"/>
          </w:tcPr>
          <w:p w14:paraId="5D99A41F" w14:textId="77777777" w:rsidR="00C3276D" w:rsidRPr="00FD2E93" w:rsidRDefault="00C3276D" w:rsidP="009A5284">
            <w:pPr>
              <w:rPr>
                <w:rFonts w:ascii="Cambria" w:hAnsi="Cambria"/>
              </w:rPr>
            </w:pPr>
            <w:r w:rsidRPr="00FD2E93">
              <w:rPr>
                <w:rFonts w:ascii="Cambria" w:hAnsi="Cambria" w:cs="Calibri"/>
              </w:rPr>
              <w:t>4.0</w:t>
            </w:r>
          </w:p>
        </w:tc>
        <w:tc>
          <w:tcPr>
            <w:tcW w:w="1106" w:type="dxa"/>
            <w:shd w:val="clear" w:color="auto" w:fill="808080" w:themeFill="background1" w:themeFillShade="80"/>
          </w:tcPr>
          <w:p w14:paraId="6A3A0E9A" w14:textId="77777777" w:rsidR="00C3276D" w:rsidRPr="00FD2E93" w:rsidRDefault="00C3276D" w:rsidP="009A5284">
            <w:pPr>
              <w:rPr>
                <w:rFonts w:ascii="Cambria" w:hAnsi="Cambria"/>
              </w:rPr>
            </w:pPr>
            <w:r w:rsidRPr="00FD2E93">
              <w:rPr>
                <w:rFonts w:ascii="Cambria" w:hAnsi="Cambria" w:cs="Calibri"/>
              </w:rPr>
              <w:t>4.0</w:t>
            </w:r>
          </w:p>
        </w:tc>
        <w:tc>
          <w:tcPr>
            <w:tcW w:w="1304" w:type="dxa"/>
            <w:shd w:val="clear" w:color="auto" w:fill="808080" w:themeFill="background1" w:themeFillShade="80"/>
          </w:tcPr>
          <w:p w14:paraId="504F25E0" w14:textId="77777777" w:rsidR="00C3276D" w:rsidRPr="00FD2E93" w:rsidRDefault="00C3276D" w:rsidP="009A5284">
            <w:pPr>
              <w:rPr>
                <w:rFonts w:ascii="Cambria" w:hAnsi="Cambria"/>
              </w:rPr>
            </w:pPr>
            <w:r w:rsidRPr="00FD2E93">
              <w:rPr>
                <w:rFonts w:ascii="Cambria" w:hAnsi="Cambria" w:cs="Calibri"/>
              </w:rPr>
              <w:t>4.0</w:t>
            </w:r>
          </w:p>
        </w:tc>
        <w:tc>
          <w:tcPr>
            <w:tcW w:w="1532" w:type="dxa"/>
            <w:shd w:val="clear" w:color="auto" w:fill="808080" w:themeFill="background1" w:themeFillShade="80"/>
          </w:tcPr>
          <w:p w14:paraId="076CECDA" w14:textId="77777777" w:rsidR="00C3276D" w:rsidRPr="00FD2E93" w:rsidRDefault="00C3276D" w:rsidP="009A5284">
            <w:pPr>
              <w:rPr>
                <w:rFonts w:ascii="Cambria" w:hAnsi="Cambria"/>
              </w:rPr>
            </w:pPr>
            <w:r w:rsidRPr="00FD2E93">
              <w:rPr>
                <w:rFonts w:ascii="Cambria" w:hAnsi="Cambria" w:cs="Calibri"/>
              </w:rPr>
              <w:t>4.00</w:t>
            </w:r>
          </w:p>
        </w:tc>
      </w:tr>
      <w:tr w:rsidR="00C3276D" w:rsidRPr="00FD2E93" w14:paraId="295D347F" w14:textId="77777777" w:rsidTr="00F52205">
        <w:tc>
          <w:tcPr>
            <w:tcW w:w="7236" w:type="dxa"/>
            <w:vAlign w:val="bottom"/>
          </w:tcPr>
          <w:p w14:paraId="78DB0DC3" w14:textId="732183F2" w:rsidR="00C3276D" w:rsidRPr="00EA13AA" w:rsidRDefault="00C3276D" w:rsidP="009A5284">
            <w:pPr>
              <w:rPr>
                <w:rFonts w:ascii="Cambria" w:hAnsi="Cambria" w:cs="Calibri"/>
              </w:rPr>
            </w:pPr>
            <w:r w:rsidRPr="00FD2E93">
              <w:rPr>
                <w:rFonts w:ascii="Cambria" w:hAnsi="Cambria" w:cs="Calibri"/>
              </w:rPr>
              <w:t>Q28. Please rate the service you have had from the ICT Dep</w:t>
            </w:r>
            <w:r w:rsidR="00EA13AA">
              <w:rPr>
                <w:rFonts w:ascii="Cambria" w:hAnsi="Cambria" w:cs="Calibri"/>
              </w:rPr>
              <w:t>artment in the years since 2015</w:t>
            </w:r>
          </w:p>
        </w:tc>
        <w:tc>
          <w:tcPr>
            <w:tcW w:w="872" w:type="dxa"/>
            <w:shd w:val="clear" w:color="auto" w:fill="808080" w:themeFill="background1" w:themeFillShade="80"/>
          </w:tcPr>
          <w:p w14:paraId="06ABDC64" w14:textId="77777777" w:rsidR="00C3276D" w:rsidRPr="00FD2E93" w:rsidRDefault="00C3276D" w:rsidP="009A5284">
            <w:pPr>
              <w:rPr>
                <w:rFonts w:ascii="Cambria" w:hAnsi="Cambria"/>
              </w:rPr>
            </w:pPr>
            <w:r w:rsidRPr="00FD2E93">
              <w:rPr>
                <w:rFonts w:ascii="Cambria" w:hAnsi="Cambria" w:cs="Calibri"/>
              </w:rPr>
              <w:t>4.0</w:t>
            </w:r>
          </w:p>
        </w:tc>
        <w:tc>
          <w:tcPr>
            <w:tcW w:w="855" w:type="dxa"/>
            <w:shd w:val="clear" w:color="auto" w:fill="808080" w:themeFill="background1" w:themeFillShade="80"/>
          </w:tcPr>
          <w:p w14:paraId="0A32A732" w14:textId="77777777" w:rsidR="00C3276D" w:rsidRPr="00FD2E93" w:rsidRDefault="00C3276D" w:rsidP="009A5284">
            <w:pPr>
              <w:rPr>
                <w:rFonts w:ascii="Cambria" w:hAnsi="Cambria"/>
              </w:rPr>
            </w:pPr>
            <w:r w:rsidRPr="00FD2E93">
              <w:rPr>
                <w:rFonts w:ascii="Cambria" w:hAnsi="Cambria" w:cs="Calibri"/>
              </w:rPr>
              <w:t>4.0</w:t>
            </w:r>
          </w:p>
        </w:tc>
        <w:tc>
          <w:tcPr>
            <w:tcW w:w="840" w:type="dxa"/>
            <w:shd w:val="clear" w:color="auto" w:fill="808080" w:themeFill="background1" w:themeFillShade="80"/>
          </w:tcPr>
          <w:p w14:paraId="5444EBD9" w14:textId="77777777" w:rsidR="00C3276D" w:rsidRPr="00FD2E93" w:rsidRDefault="00C3276D" w:rsidP="009A5284">
            <w:pPr>
              <w:rPr>
                <w:rFonts w:ascii="Cambria" w:hAnsi="Cambria"/>
              </w:rPr>
            </w:pPr>
            <w:r w:rsidRPr="00FD2E93">
              <w:rPr>
                <w:rFonts w:ascii="Cambria" w:hAnsi="Cambria" w:cs="Calibri"/>
              </w:rPr>
              <w:t>4.0</w:t>
            </w:r>
          </w:p>
        </w:tc>
        <w:tc>
          <w:tcPr>
            <w:tcW w:w="1106" w:type="dxa"/>
            <w:shd w:val="clear" w:color="auto" w:fill="808080" w:themeFill="background1" w:themeFillShade="80"/>
          </w:tcPr>
          <w:p w14:paraId="7318D6FE" w14:textId="77777777" w:rsidR="00C3276D" w:rsidRPr="00FD2E93" w:rsidRDefault="00C3276D" w:rsidP="009A5284">
            <w:pPr>
              <w:rPr>
                <w:rFonts w:ascii="Cambria" w:hAnsi="Cambria"/>
              </w:rPr>
            </w:pPr>
            <w:r w:rsidRPr="00FD2E93">
              <w:rPr>
                <w:rFonts w:ascii="Cambria" w:hAnsi="Cambria" w:cs="Calibri"/>
              </w:rPr>
              <w:t>4.0</w:t>
            </w:r>
          </w:p>
        </w:tc>
        <w:tc>
          <w:tcPr>
            <w:tcW w:w="1304" w:type="dxa"/>
            <w:shd w:val="clear" w:color="auto" w:fill="808080" w:themeFill="background1" w:themeFillShade="80"/>
          </w:tcPr>
          <w:p w14:paraId="1AFCD572" w14:textId="77777777" w:rsidR="00C3276D" w:rsidRPr="00FD2E93" w:rsidRDefault="00C3276D" w:rsidP="009A5284">
            <w:pPr>
              <w:rPr>
                <w:rFonts w:ascii="Cambria" w:hAnsi="Cambria"/>
              </w:rPr>
            </w:pPr>
            <w:r w:rsidRPr="00FD2E93">
              <w:rPr>
                <w:rFonts w:ascii="Cambria" w:hAnsi="Cambria" w:cs="Calibri"/>
              </w:rPr>
              <w:t>4.0</w:t>
            </w:r>
          </w:p>
        </w:tc>
        <w:tc>
          <w:tcPr>
            <w:tcW w:w="1532" w:type="dxa"/>
            <w:shd w:val="clear" w:color="auto" w:fill="808080" w:themeFill="background1" w:themeFillShade="80"/>
          </w:tcPr>
          <w:p w14:paraId="709543F6" w14:textId="77777777" w:rsidR="00C3276D" w:rsidRPr="00FD2E93" w:rsidRDefault="00C3276D" w:rsidP="009A5284">
            <w:pPr>
              <w:rPr>
                <w:rFonts w:ascii="Cambria" w:hAnsi="Cambria"/>
              </w:rPr>
            </w:pPr>
            <w:r w:rsidRPr="00FD2E93">
              <w:rPr>
                <w:rFonts w:ascii="Cambria" w:hAnsi="Cambria" w:cs="Calibri"/>
              </w:rPr>
              <w:t>4.00</w:t>
            </w:r>
          </w:p>
        </w:tc>
      </w:tr>
    </w:tbl>
    <w:p w14:paraId="77B3B6FD" w14:textId="77777777" w:rsidR="00C3276D" w:rsidRPr="00FD2E93" w:rsidRDefault="00C3276D" w:rsidP="00C3276D">
      <w:pPr>
        <w:rPr>
          <w:rFonts w:ascii="Cambria" w:hAnsi="Cambria"/>
        </w:rPr>
      </w:pPr>
    </w:p>
    <w:p w14:paraId="447FF35B" w14:textId="77777777" w:rsidR="00C3276D" w:rsidRPr="00FD2E93" w:rsidRDefault="00C3276D" w:rsidP="00C3276D">
      <w:pPr>
        <w:rPr>
          <w:rFonts w:ascii="Cambria" w:hAnsi="Cambria"/>
          <w:b/>
        </w:rPr>
      </w:pPr>
      <w:r w:rsidRPr="00FD2E93">
        <w:rPr>
          <w:rFonts w:ascii="Cambria" w:hAnsi="Cambria"/>
          <w:b/>
        </w:rPr>
        <w:br w:type="page"/>
      </w:r>
    </w:p>
    <w:p w14:paraId="7BA7D62D" w14:textId="77777777" w:rsidR="00C3276D" w:rsidRPr="00FD2E93" w:rsidRDefault="00C3276D" w:rsidP="00C3276D">
      <w:pPr>
        <w:rPr>
          <w:rFonts w:ascii="Cambria" w:hAnsi="Cambria"/>
          <w:b/>
        </w:rPr>
        <w:sectPr w:rsidR="00C3276D" w:rsidRPr="00FD2E93" w:rsidSect="009A5284">
          <w:pgSz w:w="16838" w:h="11906" w:orient="landscape"/>
          <w:pgMar w:top="1440" w:right="1440" w:bottom="1440" w:left="1440" w:header="709" w:footer="709" w:gutter="0"/>
          <w:cols w:space="708"/>
          <w:titlePg/>
          <w:docGrid w:linePitch="360"/>
        </w:sectPr>
      </w:pPr>
    </w:p>
    <w:p w14:paraId="70D080AB" w14:textId="77777777" w:rsidR="00C3276D" w:rsidRPr="00FD2E93" w:rsidRDefault="00C3276D" w:rsidP="00C3276D">
      <w:pPr>
        <w:rPr>
          <w:rFonts w:ascii="Cambria" w:hAnsi="Cambria"/>
          <w:lang w:val="en-US"/>
        </w:rPr>
      </w:pPr>
      <w:r w:rsidRPr="00FD2E93">
        <w:rPr>
          <w:rFonts w:ascii="Cambria" w:hAnsi="Cambria"/>
          <w:lang w:val="en-US"/>
        </w:rPr>
        <w:lastRenderedPageBreak/>
        <w:t>Table 3 also provides indications of the service performance of the national office functions. The following data is extracted from it. Achieving impact at the congregational level is still an area for development, as indicated by the Synod representative ratings (and comments).</w:t>
      </w:r>
    </w:p>
    <w:p w14:paraId="09E517EF" w14:textId="77777777" w:rsidR="00C3276D" w:rsidRPr="00FD2E93" w:rsidRDefault="00C3276D" w:rsidP="00C3276D">
      <w:pPr>
        <w:rPr>
          <w:rFonts w:ascii="Cambria" w:hAnsi="Cambria"/>
          <w:lang w:val="en-US"/>
        </w:rPr>
      </w:pPr>
      <w:r w:rsidRPr="00FD2E93">
        <w:rPr>
          <w:rFonts w:ascii="Cambria" w:hAnsi="Cambria"/>
          <w:lang w:val="en-US"/>
        </w:rPr>
        <w:t>Extract Table 3: Please rate the service you have had from the national service providers, since 2015 (Median values)</w:t>
      </w:r>
    </w:p>
    <w:tbl>
      <w:tblPr>
        <w:tblStyle w:val="PlainTable2"/>
        <w:tblW w:w="8653" w:type="dxa"/>
        <w:tblLayout w:type="fixed"/>
        <w:tblLook w:val="04A0" w:firstRow="1" w:lastRow="0" w:firstColumn="1" w:lastColumn="0" w:noHBand="0" w:noVBand="1"/>
      </w:tblPr>
      <w:tblGrid>
        <w:gridCol w:w="1985"/>
        <w:gridCol w:w="1228"/>
        <w:gridCol w:w="904"/>
        <w:gridCol w:w="850"/>
        <w:gridCol w:w="1229"/>
        <w:gridCol w:w="1228"/>
        <w:gridCol w:w="1229"/>
      </w:tblGrid>
      <w:tr w:rsidR="00C3276D" w:rsidRPr="00FD2E93" w14:paraId="739CE8E7" w14:textId="77777777" w:rsidTr="00EA13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4D3F062" w14:textId="77777777" w:rsidR="00C3276D" w:rsidRPr="00FD2E93" w:rsidRDefault="00C3276D" w:rsidP="009A5284">
            <w:pPr>
              <w:rPr>
                <w:rFonts w:ascii="Cambria" w:hAnsi="Cambria"/>
              </w:rPr>
            </w:pPr>
          </w:p>
        </w:tc>
        <w:tc>
          <w:tcPr>
            <w:tcW w:w="1228" w:type="dxa"/>
          </w:tcPr>
          <w:p w14:paraId="41B9C129" w14:textId="77777777" w:rsidR="00C3276D" w:rsidRPr="00FD2E93" w:rsidRDefault="00C3276D" w:rsidP="009A5284">
            <w:pPr>
              <w:cnfStyle w:val="100000000000" w:firstRow="1" w:lastRow="0" w:firstColumn="0" w:lastColumn="0" w:oddVBand="0" w:evenVBand="0" w:oddHBand="0" w:evenHBand="0" w:firstRowFirstColumn="0" w:firstRowLastColumn="0" w:lastRowFirstColumn="0" w:lastRowLastColumn="0"/>
              <w:rPr>
                <w:rFonts w:ascii="Cambria" w:hAnsi="Cambria" w:cs="Calibri"/>
                <w:bCs w:val="0"/>
              </w:rPr>
            </w:pPr>
            <w:r w:rsidRPr="00FD2E93">
              <w:rPr>
                <w:rFonts w:ascii="Cambria" w:hAnsi="Cambria" w:cs="Calibri"/>
                <w:bCs w:val="0"/>
              </w:rPr>
              <w:t>Median – All</w:t>
            </w:r>
          </w:p>
          <w:p w14:paraId="0E340868" w14:textId="77777777" w:rsidR="00C3276D" w:rsidRPr="00FD2E93" w:rsidRDefault="00C3276D" w:rsidP="009A5284">
            <w:pPr>
              <w:cnfStyle w:val="100000000000" w:firstRow="1" w:lastRow="0" w:firstColumn="0" w:lastColumn="0" w:oddVBand="0" w:evenVBand="0" w:oddHBand="0" w:evenHBand="0" w:firstRowFirstColumn="0" w:firstRowLastColumn="0" w:lastRowFirstColumn="0" w:lastRowLastColumn="0"/>
              <w:rPr>
                <w:rFonts w:ascii="Cambria" w:hAnsi="Cambria"/>
              </w:rPr>
            </w:pPr>
            <w:r w:rsidRPr="00FD2E93">
              <w:rPr>
                <w:rFonts w:ascii="Cambria" w:hAnsi="Cambria"/>
              </w:rPr>
              <w:t>Resp</w:t>
            </w:r>
          </w:p>
          <w:p w14:paraId="7D332E55" w14:textId="77777777" w:rsidR="00C3276D" w:rsidRPr="00FD2E93" w:rsidRDefault="00C3276D" w:rsidP="009A5284">
            <w:pPr>
              <w:cnfStyle w:val="100000000000" w:firstRow="1" w:lastRow="0" w:firstColumn="0" w:lastColumn="0" w:oddVBand="0" w:evenVBand="0" w:oddHBand="0" w:evenHBand="0" w:firstRowFirstColumn="0" w:firstRowLastColumn="0" w:lastRowFirstColumn="0" w:lastRowLastColumn="0"/>
              <w:rPr>
                <w:rFonts w:ascii="Cambria" w:hAnsi="Cambria"/>
              </w:rPr>
            </w:pPr>
            <w:r w:rsidRPr="00FD2E93">
              <w:rPr>
                <w:rFonts w:ascii="Cambria" w:hAnsi="Cambria"/>
                <w:i/>
              </w:rPr>
              <w:t>(N=262)</w:t>
            </w:r>
          </w:p>
        </w:tc>
        <w:tc>
          <w:tcPr>
            <w:tcW w:w="904" w:type="dxa"/>
          </w:tcPr>
          <w:p w14:paraId="2F8567B2" w14:textId="77777777" w:rsidR="00C3276D" w:rsidRPr="00FD2E93" w:rsidRDefault="00C3276D" w:rsidP="009A5284">
            <w:pPr>
              <w:cnfStyle w:val="100000000000" w:firstRow="1" w:lastRow="0" w:firstColumn="0" w:lastColumn="0" w:oddVBand="0" w:evenVBand="0" w:oddHBand="0" w:evenHBand="0" w:firstRowFirstColumn="0" w:firstRowLastColumn="0" w:lastRowFirstColumn="0" w:lastRowLastColumn="0"/>
              <w:rPr>
                <w:rFonts w:ascii="Cambria" w:hAnsi="Cambria"/>
              </w:rPr>
            </w:pPr>
            <w:r w:rsidRPr="00FD2E93">
              <w:rPr>
                <w:rFonts w:ascii="Cambria" w:hAnsi="Cambria" w:cs="Calibri"/>
                <w:bCs w:val="0"/>
              </w:rPr>
              <w:t>Synod</w:t>
            </w:r>
          </w:p>
        </w:tc>
        <w:tc>
          <w:tcPr>
            <w:tcW w:w="850" w:type="dxa"/>
          </w:tcPr>
          <w:p w14:paraId="2BE7D209" w14:textId="77777777" w:rsidR="00C3276D" w:rsidRPr="00FD2E93" w:rsidRDefault="00C3276D" w:rsidP="009A5284">
            <w:pPr>
              <w:cnfStyle w:val="100000000000" w:firstRow="1" w:lastRow="0" w:firstColumn="0" w:lastColumn="0" w:oddVBand="0" w:evenVBand="0" w:oddHBand="0" w:evenHBand="0" w:firstRowFirstColumn="0" w:firstRowLastColumn="0" w:lastRowFirstColumn="0" w:lastRowLastColumn="0"/>
              <w:rPr>
                <w:rFonts w:ascii="Cambria" w:hAnsi="Cambria"/>
              </w:rPr>
            </w:pPr>
            <w:r w:rsidRPr="00FD2E93">
              <w:rPr>
                <w:rFonts w:ascii="Cambria" w:hAnsi="Cambria" w:cs="Calibri"/>
                <w:bCs w:val="0"/>
              </w:rPr>
              <w:t>GCC</w:t>
            </w:r>
          </w:p>
        </w:tc>
        <w:tc>
          <w:tcPr>
            <w:tcW w:w="1229" w:type="dxa"/>
          </w:tcPr>
          <w:p w14:paraId="777169D9" w14:textId="77777777" w:rsidR="00C3276D" w:rsidRPr="00FD2E93" w:rsidRDefault="00C3276D" w:rsidP="009A5284">
            <w:pPr>
              <w:cnfStyle w:val="100000000000" w:firstRow="1" w:lastRow="0" w:firstColumn="0" w:lastColumn="0" w:oddVBand="0" w:evenVBand="0" w:oddHBand="0" w:evenHBand="0" w:firstRowFirstColumn="0" w:firstRowLastColumn="0" w:lastRowFirstColumn="0" w:lastRowLastColumn="0"/>
              <w:rPr>
                <w:rFonts w:ascii="Cambria" w:hAnsi="Cambria"/>
              </w:rPr>
            </w:pPr>
            <w:r w:rsidRPr="00FD2E93">
              <w:rPr>
                <w:rFonts w:ascii="Cambria" w:hAnsi="Cambria" w:cs="Calibri"/>
                <w:bCs w:val="0"/>
              </w:rPr>
              <w:t>Committees &amp; Boards</w:t>
            </w:r>
          </w:p>
        </w:tc>
        <w:tc>
          <w:tcPr>
            <w:tcW w:w="1228" w:type="dxa"/>
          </w:tcPr>
          <w:p w14:paraId="54F6AE14" w14:textId="77777777" w:rsidR="00C3276D" w:rsidRPr="00FD2E93" w:rsidRDefault="00C3276D" w:rsidP="009A5284">
            <w:pPr>
              <w:cnfStyle w:val="100000000000" w:firstRow="1" w:lastRow="0" w:firstColumn="0" w:lastColumn="0" w:oddVBand="0" w:evenVBand="0" w:oddHBand="0" w:evenHBand="0" w:firstRowFirstColumn="0" w:firstRowLastColumn="0" w:lastRowFirstColumn="0" w:lastRowLastColumn="0"/>
              <w:rPr>
                <w:rFonts w:ascii="Cambria" w:hAnsi="Cambria"/>
              </w:rPr>
            </w:pPr>
            <w:r w:rsidRPr="00FD2E93">
              <w:rPr>
                <w:rFonts w:ascii="Cambria" w:hAnsi="Cambria" w:cs="Calibri"/>
                <w:bCs w:val="0"/>
              </w:rPr>
              <w:t>College of Bishops + District Administrators</w:t>
            </w:r>
          </w:p>
        </w:tc>
        <w:tc>
          <w:tcPr>
            <w:tcW w:w="1229" w:type="dxa"/>
          </w:tcPr>
          <w:p w14:paraId="16812609" w14:textId="77777777" w:rsidR="00C3276D" w:rsidRPr="00FD2E93" w:rsidRDefault="00C3276D" w:rsidP="009A5284">
            <w:pPr>
              <w:cnfStyle w:val="100000000000" w:firstRow="1" w:lastRow="0" w:firstColumn="0" w:lastColumn="0" w:oddVBand="0" w:evenVBand="0" w:oddHBand="0" w:evenHBand="0" w:firstRowFirstColumn="0" w:firstRowLastColumn="0" w:lastRowFirstColumn="0" w:lastRowLastColumn="0"/>
              <w:rPr>
                <w:rFonts w:ascii="Cambria" w:hAnsi="Cambria"/>
              </w:rPr>
            </w:pPr>
            <w:r w:rsidRPr="00FD2E93">
              <w:rPr>
                <w:rFonts w:ascii="Cambria" w:hAnsi="Cambria" w:cs="Calibri"/>
                <w:bCs w:val="0"/>
              </w:rPr>
              <w:t>National Office</w:t>
            </w:r>
          </w:p>
        </w:tc>
      </w:tr>
      <w:tr w:rsidR="00C3276D" w:rsidRPr="00FD2E93" w14:paraId="04612EB8" w14:textId="77777777" w:rsidTr="00EA1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2F87D40" w14:textId="05681558" w:rsidR="00C3276D" w:rsidRPr="00EA13AA" w:rsidRDefault="00EA13AA" w:rsidP="009A5284">
            <w:pPr>
              <w:rPr>
                <w:rFonts w:ascii="Cambria" w:hAnsi="Cambria"/>
              </w:rPr>
            </w:pPr>
            <w:r>
              <w:rPr>
                <w:rFonts w:ascii="Cambria" w:hAnsi="Cambria"/>
              </w:rPr>
              <w:t>Communications (Q13)</w:t>
            </w:r>
          </w:p>
        </w:tc>
        <w:tc>
          <w:tcPr>
            <w:tcW w:w="1228" w:type="dxa"/>
          </w:tcPr>
          <w:p w14:paraId="51E9CF86" w14:textId="77777777" w:rsidR="00C3276D" w:rsidRPr="00FD2E93" w:rsidRDefault="00C3276D" w:rsidP="009A5284">
            <w:pPr>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cs="Calibri"/>
              </w:rPr>
              <w:t>4.0</w:t>
            </w:r>
          </w:p>
        </w:tc>
        <w:tc>
          <w:tcPr>
            <w:tcW w:w="904" w:type="dxa"/>
          </w:tcPr>
          <w:p w14:paraId="11CB2844" w14:textId="77777777" w:rsidR="00C3276D" w:rsidRPr="00FD2E93" w:rsidRDefault="00C3276D" w:rsidP="009A5284">
            <w:pPr>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cs="Calibri"/>
              </w:rPr>
              <w:t>4.0</w:t>
            </w:r>
          </w:p>
        </w:tc>
        <w:tc>
          <w:tcPr>
            <w:tcW w:w="850" w:type="dxa"/>
          </w:tcPr>
          <w:p w14:paraId="39D4715A" w14:textId="77777777" w:rsidR="00C3276D" w:rsidRPr="00FD2E93" w:rsidRDefault="00C3276D" w:rsidP="009A5284">
            <w:pPr>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cs="Calibri"/>
              </w:rPr>
              <w:t>4.0</w:t>
            </w:r>
          </w:p>
        </w:tc>
        <w:tc>
          <w:tcPr>
            <w:tcW w:w="1229" w:type="dxa"/>
          </w:tcPr>
          <w:p w14:paraId="260D4976" w14:textId="77777777" w:rsidR="00C3276D" w:rsidRPr="00FD2E93" w:rsidRDefault="00C3276D" w:rsidP="009A5284">
            <w:pPr>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cs="Calibri"/>
              </w:rPr>
              <w:t>4.0</w:t>
            </w:r>
          </w:p>
        </w:tc>
        <w:tc>
          <w:tcPr>
            <w:tcW w:w="1228" w:type="dxa"/>
          </w:tcPr>
          <w:p w14:paraId="66C7FD72" w14:textId="77777777" w:rsidR="00C3276D" w:rsidRPr="00FD2E93" w:rsidRDefault="00C3276D" w:rsidP="009A5284">
            <w:pPr>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cs="Calibri"/>
              </w:rPr>
              <w:t>4.0</w:t>
            </w:r>
          </w:p>
        </w:tc>
        <w:tc>
          <w:tcPr>
            <w:tcW w:w="1229" w:type="dxa"/>
          </w:tcPr>
          <w:p w14:paraId="2152E67E" w14:textId="77777777" w:rsidR="00C3276D" w:rsidRPr="00FD2E93" w:rsidRDefault="00C3276D" w:rsidP="009A5284">
            <w:pPr>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cs="Calibri"/>
              </w:rPr>
              <w:t>4.00</w:t>
            </w:r>
          </w:p>
        </w:tc>
      </w:tr>
      <w:tr w:rsidR="00C3276D" w:rsidRPr="00FD2E93" w14:paraId="68FE02A5" w14:textId="77777777" w:rsidTr="00EA13AA">
        <w:tc>
          <w:tcPr>
            <w:cnfStyle w:val="001000000000" w:firstRow="0" w:lastRow="0" w:firstColumn="1" w:lastColumn="0" w:oddVBand="0" w:evenVBand="0" w:oddHBand="0" w:evenHBand="0" w:firstRowFirstColumn="0" w:firstRowLastColumn="0" w:lastRowFirstColumn="0" w:lastRowLastColumn="0"/>
            <w:tcW w:w="1985" w:type="dxa"/>
          </w:tcPr>
          <w:p w14:paraId="71F4C364" w14:textId="138F8EDB" w:rsidR="00C3276D" w:rsidRPr="00EA13AA" w:rsidRDefault="00EA13AA" w:rsidP="009A5284">
            <w:pPr>
              <w:rPr>
                <w:rFonts w:ascii="Cambria" w:hAnsi="Cambria"/>
              </w:rPr>
            </w:pPr>
            <w:r>
              <w:rPr>
                <w:rFonts w:ascii="Cambria" w:hAnsi="Cambria"/>
              </w:rPr>
              <w:t>Church Worker Support (Q18)</w:t>
            </w:r>
          </w:p>
        </w:tc>
        <w:tc>
          <w:tcPr>
            <w:tcW w:w="1228" w:type="dxa"/>
          </w:tcPr>
          <w:p w14:paraId="55F8DADF" w14:textId="77777777" w:rsidR="00C3276D" w:rsidRPr="00FD2E93" w:rsidRDefault="00C3276D" w:rsidP="009A5284">
            <w:pPr>
              <w:cnfStyle w:val="000000000000" w:firstRow="0" w:lastRow="0" w:firstColumn="0" w:lastColumn="0" w:oddVBand="0" w:evenVBand="0" w:oddHBand="0" w:evenHBand="0" w:firstRowFirstColumn="0" w:firstRowLastColumn="0" w:lastRowFirstColumn="0" w:lastRowLastColumn="0"/>
              <w:rPr>
                <w:rFonts w:ascii="Cambria" w:hAnsi="Cambria"/>
              </w:rPr>
            </w:pPr>
            <w:r w:rsidRPr="00FD2E93">
              <w:rPr>
                <w:rFonts w:ascii="Cambria" w:hAnsi="Cambria" w:cs="Calibri"/>
              </w:rPr>
              <w:t>3.9</w:t>
            </w:r>
          </w:p>
        </w:tc>
        <w:tc>
          <w:tcPr>
            <w:tcW w:w="904" w:type="dxa"/>
          </w:tcPr>
          <w:p w14:paraId="46F18D7B" w14:textId="77777777" w:rsidR="00C3276D" w:rsidRPr="00FD2E93" w:rsidRDefault="00C3276D" w:rsidP="009A5284">
            <w:pPr>
              <w:cnfStyle w:val="000000000000" w:firstRow="0" w:lastRow="0" w:firstColumn="0" w:lastColumn="0" w:oddVBand="0" w:evenVBand="0" w:oddHBand="0" w:evenHBand="0" w:firstRowFirstColumn="0" w:firstRowLastColumn="0" w:lastRowFirstColumn="0" w:lastRowLastColumn="0"/>
              <w:rPr>
                <w:rFonts w:ascii="Cambria" w:hAnsi="Cambria"/>
              </w:rPr>
            </w:pPr>
            <w:r w:rsidRPr="00FD2E93">
              <w:rPr>
                <w:rFonts w:ascii="Cambria" w:hAnsi="Cambria" w:cs="Calibri"/>
              </w:rPr>
              <w:t>3.0</w:t>
            </w:r>
          </w:p>
        </w:tc>
        <w:tc>
          <w:tcPr>
            <w:tcW w:w="850" w:type="dxa"/>
          </w:tcPr>
          <w:p w14:paraId="3BCD73D0" w14:textId="77777777" w:rsidR="00C3276D" w:rsidRPr="00FD2E93" w:rsidRDefault="00C3276D" w:rsidP="009A5284">
            <w:pPr>
              <w:cnfStyle w:val="000000000000" w:firstRow="0" w:lastRow="0" w:firstColumn="0" w:lastColumn="0" w:oddVBand="0" w:evenVBand="0" w:oddHBand="0" w:evenHBand="0" w:firstRowFirstColumn="0" w:firstRowLastColumn="0" w:lastRowFirstColumn="0" w:lastRowLastColumn="0"/>
              <w:rPr>
                <w:rFonts w:ascii="Cambria" w:hAnsi="Cambria"/>
              </w:rPr>
            </w:pPr>
            <w:r w:rsidRPr="00FD2E93">
              <w:rPr>
                <w:rFonts w:ascii="Cambria" w:hAnsi="Cambria" w:cs="Calibri"/>
              </w:rPr>
              <w:t>4.0</w:t>
            </w:r>
          </w:p>
        </w:tc>
        <w:tc>
          <w:tcPr>
            <w:tcW w:w="1229" w:type="dxa"/>
          </w:tcPr>
          <w:p w14:paraId="53E0BB04" w14:textId="77777777" w:rsidR="00C3276D" w:rsidRPr="00FD2E93" w:rsidRDefault="00C3276D" w:rsidP="009A5284">
            <w:pPr>
              <w:cnfStyle w:val="000000000000" w:firstRow="0" w:lastRow="0" w:firstColumn="0" w:lastColumn="0" w:oddVBand="0" w:evenVBand="0" w:oddHBand="0" w:evenHBand="0" w:firstRowFirstColumn="0" w:firstRowLastColumn="0" w:lastRowFirstColumn="0" w:lastRowLastColumn="0"/>
              <w:rPr>
                <w:rFonts w:ascii="Cambria" w:hAnsi="Cambria"/>
              </w:rPr>
            </w:pPr>
            <w:r w:rsidRPr="00FD2E93">
              <w:rPr>
                <w:rFonts w:ascii="Cambria" w:hAnsi="Cambria" w:cs="Calibri"/>
              </w:rPr>
              <w:t>4.0</w:t>
            </w:r>
          </w:p>
        </w:tc>
        <w:tc>
          <w:tcPr>
            <w:tcW w:w="1228" w:type="dxa"/>
          </w:tcPr>
          <w:p w14:paraId="6F737B17" w14:textId="77777777" w:rsidR="00C3276D" w:rsidRPr="00FD2E93" w:rsidRDefault="00C3276D" w:rsidP="009A5284">
            <w:pPr>
              <w:cnfStyle w:val="000000000000" w:firstRow="0" w:lastRow="0" w:firstColumn="0" w:lastColumn="0" w:oddVBand="0" w:evenVBand="0" w:oddHBand="0" w:evenHBand="0" w:firstRowFirstColumn="0" w:firstRowLastColumn="0" w:lastRowFirstColumn="0" w:lastRowLastColumn="0"/>
              <w:rPr>
                <w:rFonts w:ascii="Cambria" w:hAnsi="Cambria"/>
              </w:rPr>
            </w:pPr>
            <w:r w:rsidRPr="00FD2E93">
              <w:rPr>
                <w:rFonts w:ascii="Cambria" w:hAnsi="Cambria" w:cs="Calibri"/>
              </w:rPr>
              <w:t>4.0</w:t>
            </w:r>
          </w:p>
        </w:tc>
        <w:tc>
          <w:tcPr>
            <w:tcW w:w="1229" w:type="dxa"/>
          </w:tcPr>
          <w:p w14:paraId="3C461E1D" w14:textId="77777777" w:rsidR="00C3276D" w:rsidRPr="00FD2E93" w:rsidRDefault="00C3276D" w:rsidP="009A5284">
            <w:pPr>
              <w:cnfStyle w:val="000000000000" w:firstRow="0" w:lastRow="0" w:firstColumn="0" w:lastColumn="0" w:oddVBand="0" w:evenVBand="0" w:oddHBand="0" w:evenHBand="0" w:firstRowFirstColumn="0" w:firstRowLastColumn="0" w:lastRowFirstColumn="0" w:lastRowLastColumn="0"/>
              <w:rPr>
                <w:rFonts w:ascii="Cambria" w:hAnsi="Cambria"/>
              </w:rPr>
            </w:pPr>
            <w:r w:rsidRPr="00FD2E93">
              <w:rPr>
                <w:rFonts w:ascii="Cambria" w:hAnsi="Cambria" w:cs="Calibri"/>
              </w:rPr>
              <w:t>4.50</w:t>
            </w:r>
          </w:p>
        </w:tc>
      </w:tr>
      <w:tr w:rsidR="00C3276D" w:rsidRPr="00FD2E93" w14:paraId="5F01400A" w14:textId="77777777" w:rsidTr="00EA1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3B8520C" w14:textId="77777777" w:rsidR="00C3276D" w:rsidRPr="00EA13AA" w:rsidRDefault="00C3276D" w:rsidP="009A5284">
            <w:pPr>
              <w:rPr>
                <w:rFonts w:ascii="Cambria" w:hAnsi="Cambria"/>
              </w:rPr>
            </w:pPr>
            <w:r w:rsidRPr="00EA13AA">
              <w:rPr>
                <w:rFonts w:ascii="Cambria" w:hAnsi="Cambria"/>
              </w:rPr>
              <w:t>Finance and Admin</w:t>
            </w:r>
          </w:p>
          <w:p w14:paraId="40DBDAC0" w14:textId="0017FB5F" w:rsidR="00C3276D" w:rsidRPr="00EA13AA" w:rsidRDefault="00EA13AA" w:rsidP="009A5284">
            <w:pPr>
              <w:rPr>
                <w:rFonts w:ascii="Cambria" w:hAnsi="Cambria"/>
              </w:rPr>
            </w:pPr>
            <w:r>
              <w:rPr>
                <w:rFonts w:ascii="Cambria" w:hAnsi="Cambria"/>
              </w:rPr>
              <w:t>(Q22)</w:t>
            </w:r>
          </w:p>
        </w:tc>
        <w:tc>
          <w:tcPr>
            <w:tcW w:w="1228" w:type="dxa"/>
          </w:tcPr>
          <w:p w14:paraId="4D63BBEF" w14:textId="77777777" w:rsidR="00C3276D" w:rsidRPr="00FD2E93" w:rsidRDefault="00C3276D" w:rsidP="009A5284">
            <w:pPr>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cs="Calibri"/>
              </w:rPr>
              <w:t>3.2</w:t>
            </w:r>
          </w:p>
        </w:tc>
        <w:tc>
          <w:tcPr>
            <w:tcW w:w="904" w:type="dxa"/>
          </w:tcPr>
          <w:p w14:paraId="062DB05F" w14:textId="77777777" w:rsidR="00C3276D" w:rsidRPr="00FD2E93" w:rsidRDefault="00C3276D" w:rsidP="009A5284">
            <w:pPr>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cs="Calibri"/>
              </w:rPr>
              <w:t>3.0</w:t>
            </w:r>
          </w:p>
        </w:tc>
        <w:tc>
          <w:tcPr>
            <w:tcW w:w="850" w:type="dxa"/>
          </w:tcPr>
          <w:p w14:paraId="21D3D93F" w14:textId="77777777" w:rsidR="00C3276D" w:rsidRPr="00FD2E93" w:rsidRDefault="00C3276D" w:rsidP="009A5284">
            <w:pPr>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cs="Calibri"/>
              </w:rPr>
              <w:t>4.0</w:t>
            </w:r>
          </w:p>
        </w:tc>
        <w:tc>
          <w:tcPr>
            <w:tcW w:w="1229" w:type="dxa"/>
          </w:tcPr>
          <w:p w14:paraId="57420A38" w14:textId="77777777" w:rsidR="00C3276D" w:rsidRPr="00FD2E93" w:rsidRDefault="00C3276D" w:rsidP="009A5284">
            <w:pPr>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cs="Calibri"/>
              </w:rPr>
              <w:t>3.0</w:t>
            </w:r>
          </w:p>
        </w:tc>
        <w:tc>
          <w:tcPr>
            <w:tcW w:w="1228" w:type="dxa"/>
          </w:tcPr>
          <w:p w14:paraId="1B8EF95C" w14:textId="77777777" w:rsidR="00C3276D" w:rsidRPr="00FD2E93" w:rsidRDefault="00C3276D" w:rsidP="009A5284">
            <w:pPr>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cs="Calibri"/>
              </w:rPr>
              <w:t>3.0</w:t>
            </w:r>
          </w:p>
        </w:tc>
        <w:tc>
          <w:tcPr>
            <w:tcW w:w="1229" w:type="dxa"/>
          </w:tcPr>
          <w:p w14:paraId="5701114B" w14:textId="77777777" w:rsidR="00C3276D" w:rsidRPr="00FD2E93" w:rsidRDefault="00C3276D" w:rsidP="009A5284">
            <w:pPr>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cs="Calibri"/>
              </w:rPr>
              <w:t>3.00</w:t>
            </w:r>
          </w:p>
        </w:tc>
      </w:tr>
      <w:tr w:rsidR="00C3276D" w:rsidRPr="00FD2E93" w14:paraId="2544417D" w14:textId="77777777" w:rsidTr="00EA13AA">
        <w:tc>
          <w:tcPr>
            <w:cnfStyle w:val="001000000000" w:firstRow="0" w:lastRow="0" w:firstColumn="1" w:lastColumn="0" w:oddVBand="0" w:evenVBand="0" w:oddHBand="0" w:evenHBand="0" w:firstRowFirstColumn="0" w:firstRowLastColumn="0" w:lastRowFirstColumn="0" w:lastRowLastColumn="0"/>
            <w:tcW w:w="1985" w:type="dxa"/>
          </w:tcPr>
          <w:p w14:paraId="54A6EA0D" w14:textId="0C56FC41" w:rsidR="00C3276D" w:rsidRPr="00EA13AA" w:rsidRDefault="00C3276D" w:rsidP="009A5284">
            <w:pPr>
              <w:rPr>
                <w:rFonts w:ascii="Cambria" w:hAnsi="Cambria"/>
              </w:rPr>
            </w:pPr>
            <w:r w:rsidRPr="00EA13AA">
              <w:rPr>
                <w:rFonts w:ascii="Cambria" w:hAnsi="Cambria"/>
              </w:rPr>
              <w:t>ICT (Q2</w:t>
            </w:r>
            <w:r w:rsidR="00EA13AA">
              <w:rPr>
                <w:rFonts w:ascii="Cambria" w:hAnsi="Cambria"/>
              </w:rPr>
              <w:t>8)</w:t>
            </w:r>
          </w:p>
        </w:tc>
        <w:tc>
          <w:tcPr>
            <w:tcW w:w="1228" w:type="dxa"/>
          </w:tcPr>
          <w:p w14:paraId="226DD515" w14:textId="77777777" w:rsidR="00C3276D" w:rsidRPr="00FD2E93" w:rsidRDefault="00C3276D" w:rsidP="009A5284">
            <w:pPr>
              <w:cnfStyle w:val="000000000000" w:firstRow="0" w:lastRow="0" w:firstColumn="0" w:lastColumn="0" w:oddVBand="0" w:evenVBand="0" w:oddHBand="0" w:evenHBand="0" w:firstRowFirstColumn="0" w:firstRowLastColumn="0" w:lastRowFirstColumn="0" w:lastRowLastColumn="0"/>
              <w:rPr>
                <w:rFonts w:ascii="Cambria" w:hAnsi="Cambria"/>
              </w:rPr>
            </w:pPr>
            <w:r w:rsidRPr="00FD2E93">
              <w:rPr>
                <w:rFonts w:ascii="Cambria" w:hAnsi="Cambria" w:cs="Calibri"/>
              </w:rPr>
              <w:t>4.0</w:t>
            </w:r>
          </w:p>
        </w:tc>
        <w:tc>
          <w:tcPr>
            <w:tcW w:w="904" w:type="dxa"/>
          </w:tcPr>
          <w:p w14:paraId="6A9450BB" w14:textId="77777777" w:rsidR="00C3276D" w:rsidRPr="00FD2E93" w:rsidRDefault="00C3276D" w:rsidP="009A5284">
            <w:pPr>
              <w:cnfStyle w:val="000000000000" w:firstRow="0" w:lastRow="0" w:firstColumn="0" w:lastColumn="0" w:oddVBand="0" w:evenVBand="0" w:oddHBand="0" w:evenHBand="0" w:firstRowFirstColumn="0" w:firstRowLastColumn="0" w:lastRowFirstColumn="0" w:lastRowLastColumn="0"/>
              <w:rPr>
                <w:rFonts w:ascii="Cambria" w:hAnsi="Cambria"/>
              </w:rPr>
            </w:pPr>
            <w:r w:rsidRPr="00FD2E93">
              <w:rPr>
                <w:rFonts w:ascii="Cambria" w:hAnsi="Cambria" w:cs="Calibri"/>
              </w:rPr>
              <w:t>4.0</w:t>
            </w:r>
          </w:p>
        </w:tc>
        <w:tc>
          <w:tcPr>
            <w:tcW w:w="850" w:type="dxa"/>
          </w:tcPr>
          <w:p w14:paraId="56EA086C" w14:textId="77777777" w:rsidR="00C3276D" w:rsidRPr="00FD2E93" w:rsidRDefault="00C3276D" w:rsidP="009A5284">
            <w:pPr>
              <w:cnfStyle w:val="000000000000" w:firstRow="0" w:lastRow="0" w:firstColumn="0" w:lastColumn="0" w:oddVBand="0" w:evenVBand="0" w:oddHBand="0" w:evenHBand="0" w:firstRowFirstColumn="0" w:firstRowLastColumn="0" w:lastRowFirstColumn="0" w:lastRowLastColumn="0"/>
              <w:rPr>
                <w:rFonts w:ascii="Cambria" w:hAnsi="Cambria"/>
              </w:rPr>
            </w:pPr>
            <w:r w:rsidRPr="00FD2E93">
              <w:rPr>
                <w:rFonts w:ascii="Cambria" w:hAnsi="Cambria" w:cs="Calibri"/>
              </w:rPr>
              <w:t>4.0</w:t>
            </w:r>
          </w:p>
        </w:tc>
        <w:tc>
          <w:tcPr>
            <w:tcW w:w="1229" w:type="dxa"/>
          </w:tcPr>
          <w:p w14:paraId="6B52060D" w14:textId="77777777" w:rsidR="00C3276D" w:rsidRPr="00FD2E93" w:rsidRDefault="00C3276D" w:rsidP="009A5284">
            <w:pPr>
              <w:cnfStyle w:val="000000000000" w:firstRow="0" w:lastRow="0" w:firstColumn="0" w:lastColumn="0" w:oddVBand="0" w:evenVBand="0" w:oddHBand="0" w:evenHBand="0" w:firstRowFirstColumn="0" w:firstRowLastColumn="0" w:lastRowFirstColumn="0" w:lastRowLastColumn="0"/>
              <w:rPr>
                <w:rFonts w:ascii="Cambria" w:hAnsi="Cambria"/>
              </w:rPr>
            </w:pPr>
            <w:r w:rsidRPr="00FD2E93">
              <w:rPr>
                <w:rFonts w:ascii="Cambria" w:hAnsi="Cambria" w:cs="Calibri"/>
              </w:rPr>
              <w:t>4.0</w:t>
            </w:r>
          </w:p>
        </w:tc>
        <w:tc>
          <w:tcPr>
            <w:tcW w:w="1228" w:type="dxa"/>
          </w:tcPr>
          <w:p w14:paraId="44BF135D" w14:textId="77777777" w:rsidR="00C3276D" w:rsidRPr="00FD2E93" w:rsidRDefault="00C3276D" w:rsidP="009A5284">
            <w:pPr>
              <w:cnfStyle w:val="000000000000" w:firstRow="0" w:lastRow="0" w:firstColumn="0" w:lastColumn="0" w:oddVBand="0" w:evenVBand="0" w:oddHBand="0" w:evenHBand="0" w:firstRowFirstColumn="0" w:firstRowLastColumn="0" w:lastRowFirstColumn="0" w:lastRowLastColumn="0"/>
              <w:rPr>
                <w:rFonts w:ascii="Cambria" w:hAnsi="Cambria"/>
              </w:rPr>
            </w:pPr>
            <w:r w:rsidRPr="00FD2E93">
              <w:rPr>
                <w:rFonts w:ascii="Cambria" w:hAnsi="Cambria" w:cs="Calibri"/>
              </w:rPr>
              <w:t>4.0</w:t>
            </w:r>
          </w:p>
        </w:tc>
        <w:tc>
          <w:tcPr>
            <w:tcW w:w="1229" w:type="dxa"/>
          </w:tcPr>
          <w:p w14:paraId="7156AD53" w14:textId="77777777" w:rsidR="00C3276D" w:rsidRPr="00FD2E93" w:rsidRDefault="00C3276D" w:rsidP="009A5284">
            <w:pPr>
              <w:cnfStyle w:val="000000000000" w:firstRow="0" w:lastRow="0" w:firstColumn="0" w:lastColumn="0" w:oddVBand="0" w:evenVBand="0" w:oddHBand="0" w:evenHBand="0" w:firstRowFirstColumn="0" w:firstRowLastColumn="0" w:lastRowFirstColumn="0" w:lastRowLastColumn="0"/>
              <w:rPr>
                <w:rFonts w:ascii="Cambria" w:hAnsi="Cambria"/>
              </w:rPr>
            </w:pPr>
            <w:r w:rsidRPr="00FD2E93">
              <w:rPr>
                <w:rFonts w:ascii="Cambria" w:hAnsi="Cambria" w:cs="Calibri"/>
              </w:rPr>
              <w:t>4.00</w:t>
            </w:r>
          </w:p>
        </w:tc>
      </w:tr>
    </w:tbl>
    <w:p w14:paraId="55C02740" w14:textId="77777777" w:rsidR="00C3276D" w:rsidRPr="00FD2E93" w:rsidRDefault="00C3276D" w:rsidP="00C3276D">
      <w:pPr>
        <w:rPr>
          <w:rFonts w:ascii="Cambria" w:hAnsi="Cambria"/>
          <w:b/>
        </w:rPr>
      </w:pPr>
    </w:p>
    <w:p w14:paraId="47AEA5AE" w14:textId="77777777" w:rsidR="00C3276D" w:rsidRPr="00FD2E93" w:rsidRDefault="00C3276D" w:rsidP="00C3276D">
      <w:pPr>
        <w:rPr>
          <w:rFonts w:ascii="Cambria" w:hAnsi="Cambria"/>
          <w:b/>
        </w:rPr>
      </w:pPr>
      <w:r w:rsidRPr="00FD2E93">
        <w:rPr>
          <w:rFonts w:ascii="Cambria" w:hAnsi="Cambria"/>
          <w:b/>
        </w:rPr>
        <w:t>Commentary by Respondents to survey – Impacts of the changes made</w:t>
      </w:r>
    </w:p>
    <w:p w14:paraId="1216DF7A" w14:textId="77777777" w:rsidR="00C3276D" w:rsidRPr="00FD2E93" w:rsidRDefault="00C3276D" w:rsidP="00C3276D">
      <w:pPr>
        <w:rPr>
          <w:rFonts w:ascii="Cambria" w:hAnsi="Cambria"/>
        </w:rPr>
      </w:pPr>
      <w:r w:rsidRPr="00FD2E93">
        <w:rPr>
          <w:rFonts w:ascii="Cambria" w:hAnsi="Cambria"/>
        </w:rPr>
        <w:t>The following themes have been identified in the various comments sections available to Respondents throughout the survey. While there is strong consistency between these themes and those expressed in the focus groups and reported earlier in this report, the following includes a stronger congregational voice, via the Synod representatives. This results in more identification of local service perceptions, issues and concerns.</w:t>
      </w:r>
    </w:p>
    <w:p w14:paraId="128807F1" w14:textId="77777777" w:rsidR="00C3276D" w:rsidRPr="00FD2E93" w:rsidRDefault="00C3276D" w:rsidP="00F55252">
      <w:pPr>
        <w:pStyle w:val="ListParagraph"/>
        <w:numPr>
          <w:ilvl w:val="0"/>
          <w:numId w:val="349"/>
        </w:numPr>
        <w:spacing w:line="259" w:lineRule="auto"/>
        <w:rPr>
          <w:rFonts w:ascii="Cambria" w:hAnsi="Cambria"/>
          <w:i/>
        </w:rPr>
      </w:pPr>
      <w:r w:rsidRPr="00FD2E93">
        <w:rPr>
          <w:rFonts w:ascii="Cambria" w:hAnsi="Cambria"/>
          <w:b/>
        </w:rPr>
        <w:t>Governing Bodies</w:t>
      </w:r>
      <w:r w:rsidRPr="00FD2E93">
        <w:rPr>
          <w:rFonts w:ascii="Cambria" w:hAnsi="Cambria"/>
        </w:rPr>
        <w:t xml:space="preserve"> (</w:t>
      </w:r>
      <w:r w:rsidRPr="00FD2E93">
        <w:rPr>
          <w:rFonts w:ascii="Cambria" w:hAnsi="Cambria"/>
          <w:i/>
        </w:rPr>
        <w:t>N= 158 comments (55 of which indicate ‘No comment’, or ‘No impact’ as a response)</w:t>
      </w:r>
    </w:p>
    <w:p w14:paraId="07A55A02" w14:textId="77777777" w:rsidR="00C3276D" w:rsidRPr="00FD2E93" w:rsidRDefault="00C3276D" w:rsidP="00C3276D">
      <w:pPr>
        <w:pStyle w:val="ListParagraph"/>
        <w:ind w:left="360"/>
        <w:rPr>
          <w:rFonts w:ascii="Cambria" w:hAnsi="Cambria"/>
          <w:i/>
        </w:rPr>
      </w:pPr>
      <w:r w:rsidRPr="00FD2E93">
        <w:rPr>
          <w:rFonts w:ascii="Cambria" w:hAnsi="Cambria"/>
          <w:i/>
        </w:rPr>
        <w:t>(Note: There is no correlation between items in the Positive column and those adjacent in the Negative column).</w:t>
      </w:r>
    </w:p>
    <w:tbl>
      <w:tblPr>
        <w:tblStyle w:val="PlainTable2"/>
        <w:tblW w:w="0" w:type="auto"/>
        <w:tblLook w:val="04A0" w:firstRow="1" w:lastRow="0" w:firstColumn="1" w:lastColumn="0" w:noHBand="0" w:noVBand="1"/>
      </w:tblPr>
      <w:tblGrid>
        <w:gridCol w:w="4407"/>
        <w:gridCol w:w="4404"/>
      </w:tblGrid>
      <w:tr w:rsidR="00C3276D" w:rsidRPr="00FD2E93" w14:paraId="01060A6B" w14:textId="77777777" w:rsidTr="00EA13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7" w:type="dxa"/>
          </w:tcPr>
          <w:p w14:paraId="6D7AADB4" w14:textId="77777777" w:rsidR="00C3276D" w:rsidRPr="00FD2E93" w:rsidRDefault="00C3276D" w:rsidP="009A5284">
            <w:pPr>
              <w:rPr>
                <w:rFonts w:ascii="Cambria" w:hAnsi="Cambria"/>
              </w:rPr>
            </w:pPr>
            <w:r w:rsidRPr="00FD2E93">
              <w:rPr>
                <w:rFonts w:ascii="Cambria" w:hAnsi="Cambria"/>
              </w:rPr>
              <w:t>Positive Themes</w:t>
            </w:r>
          </w:p>
        </w:tc>
        <w:tc>
          <w:tcPr>
            <w:tcW w:w="4404" w:type="dxa"/>
          </w:tcPr>
          <w:p w14:paraId="1666CE53" w14:textId="77777777" w:rsidR="00C3276D" w:rsidRPr="00FD2E93" w:rsidRDefault="00C3276D" w:rsidP="009A5284">
            <w:pPr>
              <w:cnfStyle w:val="100000000000" w:firstRow="1" w:lastRow="0" w:firstColumn="0" w:lastColumn="0" w:oddVBand="0" w:evenVBand="0" w:oddHBand="0" w:evenHBand="0" w:firstRowFirstColumn="0" w:firstRowLastColumn="0" w:lastRowFirstColumn="0" w:lastRowLastColumn="0"/>
              <w:rPr>
                <w:rFonts w:ascii="Cambria" w:hAnsi="Cambria"/>
              </w:rPr>
            </w:pPr>
            <w:r w:rsidRPr="00FD2E93">
              <w:rPr>
                <w:rFonts w:ascii="Cambria" w:hAnsi="Cambria"/>
              </w:rPr>
              <w:t>Negative Themes</w:t>
            </w:r>
          </w:p>
        </w:tc>
      </w:tr>
      <w:tr w:rsidR="00C3276D" w:rsidRPr="00FD2E93" w14:paraId="34CA1CA1" w14:textId="77777777" w:rsidTr="00EA1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7" w:type="dxa"/>
          </w:tcPr>
          <w:p w14:paraId="5FCA4A31" w14:textId="77777777" w:rsidR="00C3276D" w:rsidRPr="00EA13AA" w:rsidRDefault="00C3276D" w:rsidP="009A5284">
            <w:pPr>
              <w:rPr>
                <w:rFonts w:ascii="Cambria" w:hAnsi="Cambria"/>
                <w:b w:val="0"/>
              </w:rPr>
            </w:pPr>
            <w:r w:rsidRPr="00EA13AA">
              <w:rPr>
                <w:rFonts w:ascii="Cambria" w:hAnsi="Cambria"/>
                <w:b w:val="0"/>
              </w:rPr>
              <w:t>Clearer and better understood governance; increased accountability and oversight; clearer sense of role and purpose</w:t>
            </w:r>
          </w:p>
        </w:tc>
        <w:tc>
          <w:tcPr>
            <w:tcW w:w="4404" w:type="dxa"/>
          </w:tcPr>
          <w:p w14:paraId="6E8D10CB" w14:textId="77777777" w:rsidR="00C3276D" w:rsidRPr="00FD2E93" w:rsidRDefault="00C3276D" w:rsidP="009A5284">
            <w:pPr>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rPr>
              <w:t>Relative focus on the gospel seems diminished</w:t>
            </w:r>
          </w:p>
        </w:tc>
      </w:tr>
      <w:tr w:rsidR="00C3276D" w:rsidRPr="00FD2E93" w14:paraId="35EAB47B" w14:textId="77777777" w:rsidTr="00EA13AA">
        <w:tc>
          <w:tcPr>
            <w:cnfStyle w:val="001000000000" w:firstRow="0" w:lastRow="0" w:firstColumn="1" w:lastColumn="0" w:oddVBand="0" w:evenVBand="0" w:oddHBand="0" w:evenHBand="0" w:firstRowFirstColumn="0" w:firstRowLastColumn="0" w:lastRowFirstColumn="0" w:lastRowLastColumn="0"/>
            <w:tcW w:w="4407" w:type="dxa"/>
          </w:tcPr>
          <w:p w14:paraId="48B92115" w14:textId="77777777" w:rsidR="00C3276D" w:rsidRPr="00EA13AA" w:rsidRDefault="00C3276D" w:rsidP="009A5284">
            <w:pPr>
              <w:rPr>
                <w:rFonts w:ascii="Cambria" w:hAnsi="Cambria"/>
                <w:b w:val="0"/>
              </w:rPr>
            </w:pPr>
            <w:r w:rsidRPr="00EA13AA">
              <w:rPr>
                <w:rFonts w:ascii="Cambria" w:hAnsi="Cambria"/>
                <w:b w:val="0"/>
              </w:rPr>
              <w:t>Improved coordination and overview of mission; clarification of areas now regarded as mission eg Lutheran Media, aged care, cross-cultural ministry, Central Australia = more collegiate work, sense of common purpose and focus in discussions</w:t>
            </w:r>
          </w:p>
        </w:tc>
        <w:tc>
          <w:tcPr>
            <w:tcW w:w="4404" w:type="dxa"/>
          </w:tcPr>
          <w:p w14:paraId="0136FF3F" w14:textId="77777777" w:rsidR="00C3276D" w:rsidRPr="00FD2E93" w:rsidRDefault="00C3276D" w:rsidP="009A5284">
            <w:pPr>
              <w:cnfStyle w:val="000000000000" w:firstRow="0" w:lastRow="0" w:firstColumn="0" w:lastColumn="0" w:oddVBand="0" w:evenVBand="0" w:oddHBand="0" w:evenHBand="0" w:firstRowFirstColumn="0" w:firstRowLastColumn="0" w:lastRowFirstColumn="0" w:lastRowLastColumn="0"/>
              <w:rPr>
                <w:rFonts w:ascii="Cambria" w:hAnsi="Cambria"/>
              </w:rPr>
            </w:pPr>
            <w:r w:rsidRPr="00FD2E93">
              <w:rPr>
                <w:rFonts w:ascii="Cambria" w:hAnsi="Cambria"/>
              </w:rPr>
              <w:t>Local level engagement has been negatively impacted eg Cross-Cultural Ministry, New and Renewing Churches; many local congregations not seeing benefits/ services/ information flows</w:t>
            </w:r>
          </w:p>
        </w:tc>
      </w:tr>
      <w:tr w:rsidR="00C3276D" w:rsidRPr="00FD2E93" w14:paraId="4F18C4E9" w14:textId="77777777" w:rsidTr="00EA1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7" w:type="dxa"/>
          </w:tcPr>
          <w:p w14:paraId="081AAD0D" w14:textId="77777777" w:rsidR="00C3276D" w:rsidRPr="00EA13AA" w:rsidRDefault="00C3276D" w:rsidP="009A5284">
            <w:pPr>
              <w:rPr>
                <w:rFonts w:ascii="Cambria" w:hAnsi="Cambria"/>
                <w:b w:val="0"/>
              </w:rPr>
            </w:pPr>
            <w:r w:rsidRPr="00EA13AA">
              <w:rPr>
                <w:rFonts w:ascii="Cambria" w:hAnsi="Cambria"/>
                <w:b w:val="0"/>
              </w:rPr>
              <w:t>Clearer risk identification</w:t>
            </w:r>
          </w:p>
        </w:tc>
        <w:tc>
          <w:tcPr>
            <w:tcW w:w="4404" w:type="dxa"/>
          </w:tcPr>
          <w:p w14:paraId="3FC3A188" w14:textId="11459C9E" w:rsidR="00C3276D" w:rsidRPr="00FD2E93" w:rsidRDefault="00C3276D" w:rsidP="009A5284">
            <w:pPr>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rPr>
              <w:t xml:space="preserve">Many services and supports provided do not cater for the smaller congregations and their limited capacities </w:t>
            </w:r>
            <w:r w:rsidR="00EA13AA">
              <w:rPr>
                <w:rFonts w:ascii="Cambria" w:hAnsi="Cambria"/>
              </w:rPr>
              <w:t>eg CommsChoice, payroll systems</w:t>
            </w:r>
          </w:p>
        </w:tc>
      </w:tr>
      <w:tr w:rsidR="00C3276D" w:rsidRPr="00FD2E93" w14:paraId="09B66EBF" w14:textId="77777777" w:rsidTr="00EA13AA">
        <w:tc>
          <w:tcPr>
            <w:cnfStyle w:val="001000000000" w:firstRow="0" w:lastRow="0" w:firstColumn="1" w:lastColumn="0" w:oddVBand="0" w:evenVBand="0" w:oddHBand="0" w:evenHBand="0" w:firstRowFirstColumn="0" w:firstRowLastColumn="0" w:lastRowFirstColumn="0" w:lastRowLastColumn="0"/>
            <w:tcW w:w="4407" w:type="dxa"/>
          </w:tcPr>
          <w:p w14:paraId="0446FBB6" w14:textId="77777777" w:rsidR="00C3276D" w:rsidRPr="00EA13AA" w:rsidRDefault="00C3276D" w:rsidP="009A5284">
            <w:pPr>
              <w:rPr>
                <w:rFonts w:ascii="Cambria" w:hAnsi="Cambria"/>
                <w:b w:val="0"/>
              </w:rPr>
            </w:pPr>
            <w:r w:rsidRPr="00EA13AA">
              <w:rPr>
                <w:rFonts w:ascii="Cambria" w:hAnsi="Cambria"/>
                <w:b w:val="0"/>
              </w:rPr>
              <w:t>More resources and support available; more resources/ training promoted that we can use</w:t>
            </w:r>
          </w:p>
        </w:tc>
        <w:tc>
          <w:tcPr>
            <w:tcW w:w="4404" w:type="dxa"/>
          </w:tcPr>
          <w:p w14:paraId="6D58FB87" w14:textId="37BA850E" w:rsidR="00C3276D" w:rsidRPr="00FD2E93" w:rsidRDefault="00C3276D" w:rsidP="009A5284">
            <w:pPr>
              <w:cnfStyle w:val="000000000000" w:firstRow="0" w:lastRow="0" w:firstColumn="0" w:lastColumn="0" w:oddVBand="0" w:evenVBand="0" w:oddHBand="0" w:evenHBand="0" w:firstRowFirstColumn="0" w:firstRowLastColumn="0" w:lastRowFirstColumn="0" w:lastRowLastColumn="0"/>
              <w:rPr>
                <w:rFonts w:ascii="Cambria" w:hAnsi="Cambria"/>
              </w:rPr>
            </w:pPr>
            <w:r w:rsidRPr="00FD2E93">
              <w:rPr>
                <w:rFonts w:ascii="Cambria" w:hAnsi="Cambria"/>
              </w:rPr>
              <w:t>Compliance paperwork and processes not easy to use/ understand eg  Professional Standards, or not sufficiently fl</w:t>
            </w:r>
            <w:r w:rsidR="00EA13AA">
              <w:rPr>
                <w:rFonts w:ascii="Cambria" w:hAnsi="Cambria"/>
              </w:rPr>
              <w:t>exible for the realities eg HRS</w:t>
            </w:r>
          </w:p>
        </w:tc>
      </w:tr>
    </w:tbl>
    <w:p w14:paraId="1044E894" w14:textId="77777777" w:rsidR="00EA13AA" w:rsidRDefault="00EA13AA">
      <w:r>
        <w:rPr>
          <w:b/>
          <w:bCs/>
        </w:rPr>
        <w:br w:type="page"/>
      </w:r>
    </w:p>
    <w:tbl>
      <w:tblPr>
        <w:tblStyle w:val="PlainTable2"/>
        <w:tblW w:w="0" w:type="auto"/>
        <w:tblLook w:val="04A0" w:firstRow="1" w:lastRow="0" w:firstColumn="1" w:lastColumn="0" w:noHBand="0" w:noVBand="1"/>
      </w:tblPr>
      <w:tblGrid>
        <w:gridCol w:w="4407"/>
        <w:gridCol w:w="4404"/>
      </w:tblGrid>
      <w:tr w:rsidR="00C3276D" w:rsidRPr="00FD2E93" w14:paraId="6CB014AC" w14:textId="77777777" w:rsidTr="00EA13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7" w:type="dxa"/>
          </w:tcPr>
          <w:p w14:paraId="3D3DED51" w14:textId="504C0ABE" w:rsidR="00C3276D" w:rsidRPr="00EA13AA" w:rsidRDefault="00C3276D" w:rsidP="009A5284">
            <w:pPr>
              <w:rPr>
                <w:rFonts w:ascii="Cambria" w:hAnsi="Cambria"/>
                <w:b w:val="0"/>
              </w:rPr>
            </w:pPr>
            <w:r w:rsidRPr="00EA13AA">
              <w:rPr>
                <w:rFonts w:ascii="Cambria" w:hAnsi="Cambria"/>
                <w:b w:val="0"/>
              </w:rPr>
              <w:lastRenderedPageBreak/>
              <w:t>More information communicated and accessible; improved quality of information provided</w:t>
            </w:r>
          </w:p>
        </w:tc>
        <w:tc>
          <w:tcPr>
            <w:tcW w:w="4404" w:type="dxa"/>
          </w:tcPr>
          <w:p w14:paraId="4A81B2AB" w14:textId="54B574BB" w:rsidR="00C3276D" w:rsidRPr="00EA13AA" w:rsidRDefault="00C3276D" w:rsidP="009A5284">
            <w:pPr>
              <w:cnfStyle w:val="100000000000" w:firstRow="1" w:lastRow="0" w:firstColumn="0" w:lastColumn="0" w:oddVBand="0" w:evenVBand="0" w:oddHBand="0" w:evenHBand="0" w:firstRowFirstColumn="0" w:firstRowLastColumn="0" w:lastRowFirstColumn="0" w:lastRowLastColumn="0"/>
              <w:rPr>
                <w:rFonts w:ascii="Cambria" w:hAnsi="Cambria"/>
                <w:b w:val="0"/>
              </w:rPr>
            </w:pPr>
            <w:r w:rsidRPr="00EA13AA">
              <w:rPr>
                <w:rFonts w:ascii="Cambria" w:hAnsi="Cambria"/>
                <w:b w:val="0"/>
              </w:rPr>
              <w:t>Many Churchwide services don’t get back or respond; demands are experienced as excessive; congregations feel these support services have been dist</w:t>
            </w:r>
            <w:r w:rsidR="00EA13AA" w:rsidRPr="00EA13AA">
              <w:rPr>
                <w:rFonts w:ascii="Cambria" w:hAnsi="Cambria"/>
                <w:b w:val="0"/>
              </w:rPr>
              <w:t>racted by the changes happening</w:t>
            </w:r>
          </w:p>
        </w:tc>
      </w:tr>
      <w:tr w:rsidR="00C3276D" w:rsidRPr="00FD2E93" w14:paraId="58BAD930" w14:textId="77777777" w:rsidTr="00EA1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7" w:type="dxa"/>
          </w:tcPr>
          <w:p w14:paraId="3A16006C" w14:textId="77777777" w:rsidR="00C3276D" w:rsidRPr="00EA13AA" w:rsidRDefault="00C3276D" w:rsidP="009A5284">
            <w:pPr>
              <w:rPr>
                <w:rFonts w:ascii="Cambria" w:hAnsi="Cambria"/>
                <w:b w:val="0"/>
              </w:rPr>
            </w:pPr>
            <w:r w:rsidRPr="00EA13AA">
              <w:rPr>
                <w:rFonts w:ascii="Cambria" w:hAnsi="Cambria"/>
                <w:b w:val="0"/>
              </w:rPr>
              <w:t>Clearer connection points in the structure = more efficient</w:t>
            </w:r>
          </w:p>
        </w:tc>
        <w:tc>
          <w:tcPr>
            <w:tcW w:w="4404" w:type="dxa"/>
          </w:tcPr>
          <w:p w14:paraId="791B0579" w14:textId="77777777" w:rsidR="00C3276D" w:rsidRPr="00FD2E93" w:rsidRDefault="00C3276D" w:rsidP="009A5284">
            <w:pPr>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rPr>
              <w:t>Pastoral support has not improved tangibly</w:t>
            </w:r>
          </w:p>
          <w:p w14:paraId="1CADF5C9" w14:textId="77777777" w:rsidR="00C3276D" w:rsidRPr="00FD2E93" w:rsidRDefault="00C3276D" w:rsidP="009A5284">
            <w:pPr>
              <w:cnfStyle w:val="000000100000" w:firstRow="0" w:lastRow="0" w:firstColumn="0" w:lastColumn="0" w:oddVBand="0" w:evenVBand="0" w:oddHBand="1" w:evenHBand="0" w:firstRowFirstColumn="0" w:firstRowLastColumn="0" w:lastRowFirstColumn="0" w:lastRowLastColumn="0"/>
              <w:rPr>
                <w:rFonts w:ascii="Cambria" w:hAnsi="Cambria"/>
              </w:rPr>
            </w:pPr>
          </w:p>
        </w:tc>
      </w:tr>
      <w:tr w:rsidR="00C3276D" w:rsidRPr="00FD2E93" w14:paraId="4B13026D" w14:textId="77777777" w:rsidTr="00EA13AA">
        <w:tc>
          <w:tcPr>
            <w:cnfStyle w:val="001000000000" w:firstRow="0" w:lastRow="0" w:firstColumn="1" w:lastColumn="0" w:oddVBand="0" w:evenVBand="0" w:oddHBand="0" w:evenHBand="0" w:firstRowFirstColumn="0" w:firstRowLastColumn="0" w:lastRowFirstColumn="0" w:lastRowLastColumn="0"/>
            <w:tcW w:w="4407" w:type="dxa"/>
          </w:tcPr>
          <w:p w14:paraId="132AF6FC" w14:textId="77777777" w:rsidR="00C3276D" w:rsidRPr="00EA13AA" w:rsidRDefault="00C3276D" w:rsidP="009A5284">
            <w:pPr>
              <w:rPr>
                <w:rFonts w:ascii="Cambria" w:hAnsi="Cambria"/>
                <w:b w:val="0"/>
              </w:rPr>
            </w:pPr>
            <w:r w:rsidRPr="00EA13AA">
              <w:rPr>
                <w:rFonts w:ascii="Cambria" w:hAnsi="Cambria"/>
                <w:b w:val="0"/>
              </w:rPr>
              <w:t>Less time and effort tracking finances</w:t>
            </w:r>
          </w:p>
        </w:tc>
        <w:tc>
          <w:tcPr>
            <w:tcW w:w="4404" w:type="dxa"/>
          </w:tcPr>
          <w:p w14:paraId="4763647E" w14:textId="61872153" w:rsidR="00C3276D" w:rsidRPr="00FD2E93" w:rsidRDefault="00C3276D" w:rsidP="009A5284">
            <w:pPr>
              <w:cnfStyle w:val="000000000000" w:firstRow="0" w:lastRow="0" w:firstColumn="0" w:lastColumn="0" w:oddVBand="0" w:evenVBand="0" w:oddHBand="0" w:evenHBand="0" w:firstRowFirstColumn="0" w:firstRowLastColumn="0" w:lastRowFirstColumn="0" w:lastRowLastColumn="0"/>
              <w:rPr>
                <w:rFonts w:ascii="Cambria" w:hAnsi="Cambria"/>
              </w:rPr>
            </w:pPr>
            <w:r w:rsidRPr="00FD2E93">
              <w:rPr>
                <w:rFonts w:ascii="Cambria" w:hAnsi="Cambria"/>
              </w:rPr>
              <w:t>The structure for one committee is considered to be less efficient than in the past since it lacks key voices and easy mechanisms for engagement/ dialogue with Distr</w:t>
            </w:r>
            <w:r w:rsidR="00EA13AA">
              <w:rPr>
                <w:rFonts w:ascii="Cambria" w:hAnsi="Cambria"/>
              </w:rPr>
              <w:t>icts and their mission planning</w:t>
            </w:r>
          </w:p>
        </w:tc>
      </w:tr>
      <w:tr w:rsidR="00C3276D" w:rsidRPr="00FD2E93" w14:paraId="01B827EF" w14:textId="77777777" w:rsidTr="00EA1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7" w:type="dxa"/>
          </w:tcPr>
          <w:p w14:paraId="3350E278" w14:textId="77777777" w:rsidR="00C3276D" w:rsidRPr="00EA13AA" w:rsidRDefault="00C3276D" w:rsidP="009A5284">
            <w:pPr>
              <w:rPr>
                <w:rFonts w:ascii="Cambria" w:hAnsi="Cambria"/>
                <w:b w:val="0"/>
              </w:rPr>
            </w:pPr>
            <w:r w:rsidRPr="00EA13AA">
              <w:rPr>
                <w:rFonts w:ascii="Cambria" w:hAnsi="Cambria"/>
                <w:b w:val="0"/>
              </w:rPr>
              <w:t>Skill sets available to Boards and Committees</w:t>
            </w:r>
          </w:p>
        </w:tc>
        <w:tc>
          <w:tcPr>
            <w:tcW w:w="4404" w:type="dxa"/>
          </w:tcPr>
          <w:p w14:paraId="410CEB63" w14:textId="77777777" w:rsidR="00C3276D" w:rsidRPr="00FD2E93" w:rsidRDefault="00C3276D" w:rsidP="009A5284">
            <w:pPr>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rPr>
              <w:t>Remote members feel even more distanced</w:t>
            </w:r>
          </w:p>
          <w:p w14:paraId="27AF0DFB" w14:textId="77777777" w:rsidR="00C3276D" w:rsidRPr="00FD2E93" w:rsidRDefault="00C3276D" w:rsidP="009A5284">
            <w:pPr>
              <w:cnfStyle w:val="000000100000" w:firstRow="0" w:lastRow="0" w:firstColumn="0" w:lastColumn="0" w:oddVBand="0" w:evenVBand="0" w:oddHBand="1" w:evenHBand="0" w:firstRowFirstColumn="0" w:firstRowLastColumn="0" w:lastRowFirstColumn="0" w:lastRowLastColumn="0"/>
              <w:rPr>
                <w:rFonts w:ascii="Cambria" w:hAnsi="Cambria"/>
              </w:rPr>
            </w:pPr>
          </w:p>
        </w:tc>
      </w:tr>
      <w:tr w:rsidR="00C3276D" w:rsidRPr="00FD2E93" w14:paraId="6E5D8A0A" w14:textId="77777777" w:rsidTr="00EA13AA">
        <w:tc>
          <w:tcPr>
            <w:cnfStyle w:val="001000000000" w:firstRow="0" w:lastRow="0" w:firstColumn="1" w:lastColumn="0" w:oddVBand="0" w:evenVBand="0" w:oddHBand="0" w:evenHBand="0" w:firstRowFirstColumn="0" w:firstRowLastColumn="0" w:lastRowFirstColumn="0" w:lastRowLastColumn="0"/>
            <w:tcW w:w="4407" w:type="dxa"/>
          </w:tcPr>
          <w:p w14:paraId="10E0B5D2" w14:textId="77777777" w:rsidR="00C3276D" w:rsidRPr="00EA13AA" w:rsidRDefault="00C3276D" w:rsidP="009A5284">
            <w:pPr>
              <w:rPr>
                <w:rFonts w:ascii="Cambria" w:hAnsi="Cambria"/>
                <w:b w:val="0"/>
              </w:rPr>
            </w:pPr>
            <w:r w:rsidRPr="00EA13AA">
              <w:rPr>
                <w:rFonts w:ascii="Cambria" w:hAnsi="Cambria"/>
                <w:b w:val="0"/>
              </w:rPr>
              <w:t>More transparent and simplified reporting</w:t>
            </w:r>
          </w:p>
        </w:tc>
        <w:tc>
          <w:tcPr>
            <w:tcW w:w="4404" w:type="dxa"/>
          </w:tcPr>
          <w:p w14:paraId="3D0B1CD2" w14:textId="2A3B299C" w:rsidR="00C3276D" w:rsidRPr="00FD2E93" w:rsidRDefault="00C3276D" w:rsidP="009A5284">
            <w:pPr>
              <w:cnfStyle w:val="000000000000" w:firstRow="0" w:lastRow="0" w:firstColumn="0" w:lastColumn="0" w:oddVBand="0" w:evenVBand="0" w:oddHBand="0" w:evenHBand="0" w:firstRowFirstColumn="0" w:firstRowLastColumn="0" w:lastRowFirstColumn="0" w:lastRowLastColumn="0"/>
              <w:rPr>
                <w:rFonts w:ascii="Cambria" w:hAnsi="Cambria"/>
              </w:rPr>
            </w:pPr>
            <w:r w:rsidRPr="00FD2E93">
              <w:rPr>
                <w:rFonts w:ascii="Cambria" w:hAnsi="Cambria"/>
              </w:rPr>
              <w:t xml:space="preserve">Increased workloads for managers of Churchwide services is affecting their </w:t>
            </w:r>
            <w:r w:rsidR="00EA13AA">
              <w:rPr>
                <w:rFonts w:ascii="Cambria" w:hAnsi="Cambria"/>
              </w:rPr>
              <w:t>support and leadership of staff</w:t>
            </w:r>
          </w:p>
        </w:tc>
      </w:tr>
      <w:tr w:rsidR="00C3276D" w:rsidRPr="00FD2E93" w14:paraId="5133BC33" w14:textId="77777777" w:rsidTr="00EA1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7" w:type="dxa"/>
          </w:tcPr>
          <w:p w14:paraId="1585951A" w14:textId="77777777" w:rsidR="00C3276D" w:rsidRPr="00EA13AA" w:rsidRDefault="00C3276D" w:rsidP="009A5284">
            <w:pPr>
              <w:rPr>
                <w:rFonts w:ascii="Cambria" w:hAnsi="Cambria"/>
                <w:b w:val="0"/>
              </w:rPr>
            </w:pPr>
            <w:r w:rsidRPr="00EA13AA">
              <w:rPr>
                <w:rFonts w:ascii="Cambria" w:hAnsi="Cambria"/>
                <w:b w:val="0"/>
              </w:rPr>
              <w:t>Improved capacity for strategic decision-making</w:t>
            </w:r>
          </w:p>
        </w:tc>
        <w:tc>
          <w:tcPr>
            <w:tcW w:w="4404" w:type="dxa"/>
          </w:tcPr>
          <w:p w14:paraId="16262A5C" w14:textId="4308687F" w:rsidR="00C3276D" w:rsidRPr="00FD2E93" w:rsidRDefault="00C3276D" w:rsidP="009A5284">
            <w:pPr>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rPr>
              <w:t xml:space="preserve">Much information is slow </w:t>
            </w:r>
            <w:r w:rsidR="00EA13AA">
              <w:rPr>
                <w:rFonts w:ascii="Cambria" w:hAnsi="Cambria"/>
              </w:rPr>
              <w:t>to reach the congregation level</w:t>
            </w:r>
          </w:p>
        </w:tc>
      </w:tr>
      <w:tr w:rsidR="00C3276D" w:rsidRPr="00FD2E93" w14:paraId="2E836930" w14:textId="77777777" w:rsidTr="00EA13AA">
        <w:tc>
          <w:tcPr>
            <w:cnfStyle w:val="001000000000" w:firstRow="0" w:lastRow="0" w:firstColumn="1" w:lastColumn="0" w:oddVBand="0" w:evenVBand="0" w:oddHBand="0" w:evenHBand="0" w:firstRowFirstColumn="0" w:firstRowLastColumn="0" w:lastRowFirstColumn="0" w:lastRowLastColumn="0"/>
            <w:tcW w:w="4407" w:type="dxa"/>
          </w:tcPr>
          <w:p w14:paraId="48C7D3E2" w14:textId="77777777" w:rsidR="00C3276D" w:rsidRPr="00EA13AA" w:rsidRDefault="00C3276D" w:rsidP="009A5284">
            <w:pPr>
              <w:rPr>
                <w:rFonts w:ascii="Cambria" w:hAnsi="Cambria"/>
                <w:b w:val="0"/>
              </w:rPr>
            </w:pPr>
            <w:r w:rsidRPr="00EA13AA">
              <w:rPr>
                <w:rFonts w:ascii="Cambria" w:hAnsi="Cambria"/>
                <w:b w:val="0"/>
              </w:rPr>
              <w:t>Broader roles and scope of work for many areas of Churchwide services</w:t>
            </w:r>
          </w:p>
        </w:tc>
        <w:tc>
          <w:tcPr>
            <w:tcW w:w="4404" w:type="dxa"/>
          </w:tcPr>
          <w:p w14:paraId="022A5ECC" w14:textId="20550492" w:rsidR="00C3276D" w:rsidRPr="00FD2E93" w:rsidRDefault="00C3276D" w:rsidP="009A5284">
            <w:pPr>
              <w:cnfStyle w:val="000000000000" w:firstRow="0" w:lastRow="0" w:firstColumn="0" w:lastColumn="0" w:oddVBand="0" w:evenVBand="0" w:oddHBand="0" w:evenHBand="0" w:firstRowFirstColumn="0" w:firstRowLastColumn="0" w:lastRowFirstColumn="0" w:lastRowLastColumn="0"/>
              <w:rPr>
                <w:rFonts w:ascii="Cambria" w:hAnsi="Cambria"/>
              </w:rPr>
            </w:pPr>
            <w:r w:rsidRPr="00FD2E93">
              <w:rPr>
                <w:rFonts w:ascii="Cambria" w:hAnsi="Cambria"/>
              </w:rPr>
              <w:t xml:space="preserve">Congregations feeling disempowered, going backwards; that the ‘tail is wagging the dog’ in areas such as HR (though the </w:t>
            </w:r>
            <w:r w:rsidR="00EA13AA">
              <w:rPr>
                <w:rFonts w:ascii="Cambria" w:hAnsi="Cambria"/>
              </w:rPr>
              <w:t>admin improvements are welcome)</w:t>
            </w:r>
          </w:p>
        </w:tc>
      </w:tr>
      <w:tr w:rsidR="00C3276D" w:rsidRPr="00FD2E93" w14:paraId="31FEA5CA" w14:textId="77777777" w:rsidTr="00EA1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7" w:type="dxa"/>
          </w:tcPr>
          <w:p w14:paraId="02672F4F" w14:textId="77777777" w:rsidR="00C3276D" w:rsidRPr="00EA13AA" w:rsidRDefault="00C3276D" w:rsidP="009A5284">
            <w:pPr>
              <w:rPr>
                <w:rFonts w:ascii="Cambria" w:hAnsi="Cambria"/>
                <w:b w:val="0"/>
              </w:rPr>
            </w:pPr>
            <w:r w:rsidRPr="00EA13AA">
              <w:rPr>
                <w:rFonts w:ascii="Cambria" w:hAnsi="Cambria"/>
                <w:b w:val="0"/>
              </w:rPr>
              <w:t>Improved management of meetings and their outcomes = more action, promptly</w:t>
            </w:r>
          </w:p>
        </w:tc>
        <w:tc>
          <w:tcPr>
            <w:tcW w:w="4404" w:type="dxa"/>
          </w:tcPr>
          <w:p w14:paraId="3955F757" w14:textId="3EAC7B79" w:rsidR="00C3276D" w:rsidRPr="00FD2E93" w:rsidRDefault="00C3276D" w:rsidP="009A5284">
            <w:pPr>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rPr>
              <w:t>Increased tensions in some quarters; uncertainty for s</w:t>
            </w:r>
            <w:r w:rsidR="00EA13AA">
              <w:rPr>
                <w:rFonts w:ascii="Cambria" w:hAnsi="Cambria"/>
              </w:rPr>
              <w:t>taff and functions in Districts</w:t>
            </w:r>
          </w:p>
        </w:tc>
      </w:tr>
      <w:tr w:rsidR="00C3276D" w:rsidRPr="00FD2E93" w14:paraId="7D11F972" w14:textId="77777777" w:rsidTr="00EA13AA">
        <w:tc>
          <w:tcPr>
            <w:cnfStyle w:val="001000000000" w:firstRow="0" w:lastRow="0" w:firstColumn="1" w:lastColumn="0" w:oddVBand="0" w:evenVBand="0" w:oddHBand="0" w:evenHBand="0" w:firstRowFirstColumn="0" w:firstRowLastColumn="0" w:lastRowFirstColumn="0" w:lastRowLastColumn="0"/>
            <w:tcW w:w="4407" w:type="dxa"/>
          </w:tcPr>
          <w:p w14:paraId="112B006A" w14:textId="77777777" w:rsidR="00C3276D" w:rsidRPr="00EA13AA" w:rsidRDefault="00C3276D" w:rsidP="009A5284">
            <w:pPr>
              <w:rPr>
                <w:rFonts w:ascii="Cambria" w:hAnsi="Cambria"/>
                <w:b w:val="0"/>
              </w:rPr>
            </w:pPr>
            <w:r w:rsidRPr="00EA13AA">
              <w:rPr>
                <w:rFonts w:ascii="Cambria" w:hAnsi="Cambria"/>
                <w:b w:val="0"/>
              </w:rPr>
              <w:t>Less administration for Committees</w:t>
            </w:r>
          </w:p>
          <w:p w14:paraId="39BBA7AB" w14:textId="77777777" w:rsidR="00C3276D" w:rsidRPr="00EA13AA" w:rsidRDefault="00C3276D" w:rsidP="009A5284">
            <w:pPr>
              <w:rPr>
                <w:rFonts w:ascii="Cambria" w:hAnsi="Cambria"/>
                <w:b w:val="0"/>
              </w:rPr>
            </w:pPr>
          </w:p>
        </w:tc>
        <w:tc>
          <w:tcPr>
            <w:tcW w:w="4404" w:type="dxa"/>
          </w:tcPr>
          <w:p w14:paraId="23C5F9EF" w14:textId="61A4D1DD" w:rsidR="00C3276D" w:rsidRPr="00FD2E93" w:rsidRDefault="00C3276D" w:rsidP="009A5284">
            <w:pPr>
              <w:cnfStyle w:val="000000000000" w:firstRow="0" w:lastRow="0" w:firstColumn="0" w:lastColumn="0" w:oddVBand="0" w:evenVBand="0" w:oddHBand="0" w:evenHBand="0" w:firstRowFirstColumn="0" w:firstRowLastColumn="0" w:lastRowFirstColumn="0" w:lastRowLastColumn="0"/>
              <w:rPr>
                <w:rFonts w:ascii="Cambria" w:hAnsi="Cambria"/>
              </w:rPr>
            </w:pPr>
            <w:r w:rsidRPr="00FD2E93">
              <w:rPr>
                <w:rFonts w:ascii="Cambria" w:hAnsi="Cambria"/>
              </w:rPr>
              <w:t>Clarify what decisions can be made locally; empower congreg</w:t>
            </w:r>
            <w:r w:rsidR="00EA13AA">
              <w:rPr>
                <w:rFonts w:ascii="Cambria" w:hAnsi="Cambria"/>
              </w:rPr>
              <w:t>ations to make (good) decisions</w:t>
            </w:r>
          </w:p>
        </w:tc>
      </w:tr>
      <w:tr w:rsidR="00C3276D" w:rsidRPr="00FD2E93" w14:paraId="6A36D32D" w14:textId="77777777" w:rsidTr="00EA1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7" w:type="dxa"/>
          </w:tcPr>
          <w:p w14:paraId="2BFEF71D" w14:textId="17D930D0" w:rsidR="00C3276D" w:rsidRPr="00EA13AA" w:rsidRDefault="00C3276D" w:rsidP="009A5284">
            <w:pPr>
              <w:rPr>
                <w:rFonts w:ascii="Cambria" w:hAnsi="Cambria"/>
                <w:b w:val="0"/>
              </w:rPr>
            </w:pPr>
            <w:r w:rsidRPr="00EA13AA">
              <w:rPr>
                <w:rFonts w:ascii="Cambria" w:hAnsi="Cambria"/>
                <w:b w:val="0"/>
              </w:rPr>
              <w:t>Less administration and staff management time spent by Bish</w:t>
            </w:r>
            <w:r w:rsidR="00EA13AA">
              <w:rPr>
                <w:rFonts w:ascii="Cambria" w:hAnsi="Cambria"/>
                <w:b w:val="0"/>
              </w:rPr>
              <w:t>ops and District Administrators</w:t>
            </w:r>
          </w:p>
        </w:tc>
        <w:tc>
          <w:tcPr>
            <w:tcW w:w="4404" w:type="dxa"/>
          </w:tcPr>
          <w:p w14:paraId="0CB0804D" w14:textId="61E92374" w:rsidR="00C3276D" w:rsidRPr="00FD2E93" w:rsidRDefault="00C3276D" w:rsidP="009A5284">
            <w:pPr>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rPr>
              <w:t>Encourage all Districts to participate fully as one Church so approaches can be consistent, projects</w:t>
            </w:r>
            <w:r w:rsidR="00EA13AA">
              <w:rPr>
                <w:rFonts w:ascii="Cambria" w:hAnsi="Cambria"/>
              </w:rPr>
              <w:t xml:space="preserve"> and discussions most impactful</w:t>
            </w:r>
          </w:p>
        </w:tc>
      </w:tr>
      <w:tr w:rsidR="00C3276D" w:rsidRPr="00FD2E93" w14:paraId="0F523799" w14:textId="77777777" w:rsidTr="00EA13AA">
        <w:tc>
          <w:tcPr>
            <w:cnfStyle w:val="001000000000" w:firstRow="0" w:lastRow="0" w:firstColumn="1" w:lastColumn="0" w:oddVBand="0" w:evenVBand="0" w:oddHBand="0" w:evenHBand="0" w:firstRowFirstColumn="0" w:firstRowLastColumn="0" w:lastRowFirstColumn="0" w:lastRowLastColumn="0"/>
            <w:tcW w:w="4407" w:type="dxa"/>
          </w:tcPr>
          <w:p w14:paraId="283E2776" w14:textId="11DE414E" w:rsidR="00C3276D" w:rsidRPr="00EA13AA" w:rsidRDefault="00C3276D" w:rsidP="009A5284">
            <w:pPr>
              <w:rPr>
                <w:rFonts w:ascii="Cambria" w:hAnsi="Cambria"/>
                <w:b w:val="0"/>
              </w:rPr>
            </w:pPr>
            <w:r w:rsidRPr="00EA13AA">
              <w:rPr>
                <w:rFonts w:ascii="Cambria" w:hAnsi="Cambria"/>
                <w:b w:val="0"/>
              </w:rPr>
              <w:t>Shorter focused meetings; time spent on other things</w:t>
            </w:r>
            <w:r w:rsidR="00EA13AA">
              <w:rPr>
                <w:rFonts w:ascii="Cambria" w:hAnsi="Cambria"/>
                <w:b w:val="0"/>
              </w:rPr>
              <w:t xml:space="preserve"> such as mission</w:t>
            </w:r>
          </w:p>
        </w:tc>
        <w:tc>
          <w:tcPr>
            <w:tcW w:w="4404" w:type="dxa"/>
          </w:tcPr>
          <w:p w14:paraId="737CA1A5" w14:textId="77777777" w:rsidR="00C3276D" w:rsidRPr="00FD2E93" w:rsidRDefault="00C3276D" w:rsidP="009A5284">
            <w:pPr>
              <w:cnfStyle w:val="000000000000" w:firstRow="0" w:lastRow="0" w:firstColumn="0" w:lastColumn="0" w:oddVBand="0" w:evenVBand="0" w:oddHBand="0" w:evenHBand="0" w:firstRowFirstColumn="0" w:firstRowLastColumn="0" w:lastRowFirstColumn="0" w:lastRowLastColumn="0"/>
              <w:rPr>
                <w:rFonts w:ascii="Cambria" w:hAnsi="Cambria"/>
              </w:rPr>
            </w:pPr>
          </w:p>
        </w:tc>
      </w:tr>
      <w:tr w:rsidR="00C3276D" w:rsidRPr="00FD2E93" w14:paraId="50D49352" w14:textId="77777777" w:rsidTr="00EA1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7" w:type="dxa"/>
          </w:tcPr>
          <w:p w14:paraId="035C8525" w14:textId="2EADD7EF" w:rsidR="00C3276D" w:rsidRPr="00EA13AA" w:rsidRDefault="00C3276D" w:rsidP="009A5284">
            <w:pPr>
              <w:rPr>
                <w:rFonts w:ascii="Cambria" w:hAnsi="Cambria"/>
                <w:b w:val="0"/>
              </w:rPr>
            </w:pPr>
            <w:r w:rsidRPr="00EA13AA">
              <w:rPr>
                <w:rFonts w:ascii="Cambria" w:hAnsi="Cambria"/>
                <w:b w:val="0"/>
              </w:rPr>
              <w:t xml:space="preserve">Following the national structure model is enabling Districts to focus </w:t>
            </w:r>
            <w:r w:rsidR="00EA13AA">
              <w:rPr>
                <w:rFonts w:ascii="Cambria" w:hAnsi="Cambria"/>
                <w:b w:val="0"/>
              </w:rPr>
              <w:t>on a mission-oriented structure</w:t>
            </w:r>
          </w:p>
        </w:tc>
        <w:tc>
          <w:tcPr>
            <w:tcW w:w="4404" w:type="dxa"/>
          </w:tcPr>
          <w:p w14:paraId="0F6C826F" w14:textId="77777777" w:rsidR="00C3276D" w:rsidRPr="00FD2E93" w:rsidRDefault="00C3276D" w:rsidP="009A5284">
            <w:pPr>
              <w:cnfStyle w:val="000000100000" w:firstRow="0" w:lastRow="0" w:firstColumn="0" w:lastColumn="0" w:oddVBand="0" w:evenVBand="0" w:oddHBand="1" w:evenHBand="0" w:firstRowFirstColumn="0" w:firstRowLastColumn="0" w:lastRowFirstColumn="0" w:lastRowLastColumn="0"/>
              <w:rPr>
                <w:rFonts w:ascii="Cambria" w:hAnsi="Cambria"/>
              </w:rPr>
            </w:pPr>
          </w:p>
        </w:tc>
      </w:tr>
    </w:tbl>
    <w:p w14:paraId="06249712" w14:textId="77777777" w:rsidR="00C3276D" w:rsidRPr="00EA13AA" w:rsidRDefault="00C3276D" w:rsidP="00C3276D">
      <w:pPr>
        <w:rPr>
          <w:rFonts w:ascii="Cambria" w:hAnsi="Cambria"/>
          <w:sz w:val="8"/>
        </w:rPr>
      </w:pPr>
    </w:p>
    <w:p w14:paraId="44C43EB1" w14:textId="455864EB" w:rsidR="00C3276D" w:rsidRPr="00EA13AA" w:rsidRDefault="00C3276D" w:rsidP="00EA13AA">
      <w:pPr>
        <w:pStyle w:val="ListParagraph"/>
        <w:numPr>
          <w:ilvl w:val="0"/>
          <w:numId w:val="349"/>
        </w:numPr>
        <w:spacing w:after="0"/>
        <w:rPr>
          <w:rFonts w:ascii="Cambria" w:hAnsi="Cambria"/>
          <w:i/>
        </w:rPr>
      </w:pPr>
      <w:r w:rsidRPr="00EA13AA">
        <w:rPr>
          <w:rFonts w:ascii="Cambria" w:hAnsi="Cambria"/>
          <w:b/>
        </w:rPr>
        <w:t>Local Mission</w:t>
      </w:r>
      <w:r w:rsidRPr="00EA13AA">
        <w:rPr>
          <w:rFonts w:ascii="Cambria" w:hAnsi="Cambria"/>
        </w:rPr>
        <w:t xml:space="preserve"> (</w:t>
      </w:r>
      <w:r w:rsidRPr="00EA13AA">
        <w:rPr>
          <w:rFonts w:ascii="Cambria" w:hAnsi="Cambria"/>
          <w:i/>
        </w:rPr>
        <w:t>N=129 comments (46 of which indicate ‘No comment’, or ‘No impact’ as a response.))</w:t>
      </w:r>
    </w:p>
    <w:p w14:paraId="37A5EC23" w14:textId="77777777" w:rsidR="00C3276D" w:rsidRPr="00FD2E93" w:rsidRDefault="00C3276D" w:rsidP="00EA13AA">
      <w:pPr>
        <w:spacing w:after="0"/>
        <w:ind w:left="426"/>
        <w:rPr>
          <w:rFonts w:ascii="Cambria" w:hAnsi="Cambria"/>
          <w:i/>
        </w:rPr>
      </w:pPr>
      <w:r w:rsidRPr="00FD2E93">
        <w:rPr>
          <w:rFonts w:ascii="Cambria" w:hAnsi="Cambria"/>
          <w:i/>
        </w:rPr>
        <w:t>(Note: There is no correlation between items in the Positive column and those adjacent in the Negative column).</w:t>
      </w:r>
    </w:p>
    <w:p w14:paraId="7360BA67" w14:textId="77777777" w:rsidR="00C3276D" w:rsidRPr="00EA13AA" w:rsidRDefault="00C3276D" w:rsidP="00C3276D">
      <w:pPr>
        <w:spacing w:after="0"/>
        <w:rPr>
          <w:rFonts w:ascii="Cambria" w:hAnsi="Cambria"/>
          <w:i/>
          <w:sz w:val="12"/>
        </w:rPr>
      </w:pPr>
    </w:p>
    <w:tbl>
      <w:tblPr>
        <w:tblStyle w:val="PlainTable2"/>
        <w:tblW w:w="0" w:type="auto"/>
        <w:tblLook w:val="04A0" w:firstRow="1" w:lastRow="0" w:firstColumn="1" w:lastColumn="0" w:noHBand="0" w:noVBand="1"/>
      </w:tblPr>
      <w:tblGrid>
        <w:gridCol w:w="4261"/>
        <w:gridCol w:w="126"/>
        <w:gridCol w:w="4424"/>
      </w:tblGrid>
      <w:tr w:rsidR="00C3276D" w:rsidRPr="00FD2E93" w14:paraId="1723DB7B" w14:textId="77777777" w:rsidTr="00EA13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7" w:type="dxa"/>
            <w:gridSpan w:val="2"/>
          </w:tcPr>
          <w:p w14:paraId="60DBEA64" w14:textId="77777777" w:rsidR="00C3276D" w:rsidRPr="00FD2E93" w:rsidRDefault="00C3276D" w:rsidP="009A5284">
            <w:pPr>
              <w:pStyle w:val="ListParagraph"/>
              <w:ind w:left="0"/>
              <w:rPr>
                <w:rFonts w:ascii="Cambria" w:hAnsi="Cambria"/>
              </w:rPr>
            </w:pPr>
            <w:r w:rsidRPr="00FD2E93">
              <w:rPr>
                <w:rFonts w:ascii="Cambria" w:hAnsi="Cambria"/>
              </w:rPr>
              <w:t>Positive Themes</w:t>
            </w:r>
          </w:p>
        </w:tc>
        <w:tc>
          <w:tcPr>
            <w:tcW w:w="4424" w:type="dxa"/>
          </w:tcPr>
          <w:p w14:paraId="6FBBEA99" w14:textId="77777777" w:rsidR="00C3276D" w:rsidRPr="00FD2E93" w:rsidRDefault="00C3276D" w:rsidP="009A5284">
            <w:pPr>
              <w:pStyle w:val="ListParagraph"/>
              <w:ind w:left="0"/>
              <w:cnfStyle w:val="100000000000" w:firstRow="1" w:lastRow="0" w:firstColumn="0" w:lastColumn="0" w:oddVBand="0" w:evenVBand="0" w:oddHBand="0" w:evenHBand="0" w:firstRowFirstColumn="0" w:firstRowLastColumn="0" w:lastRowFirstColumn="0" w:lastRowLastColumn="0"/>
              <w:rPr>
                <w:rFonts w:ascii="Cambria" w:hAnsi="Cambria"/>
              </w:rPr>
            </w:pPr>
            <w:r w:rsidRPr="00FD2E93">
              <w:rPr>
                <w:rFonts w:ascii="Cambria" w:hAnsi="Cambria"/>
              </w:rPr>
              <w:t>Negative Themes</w:t>
            </w:r>
          </w:p>
        </w:tc>
      </w:tr>
      <w:tr w:rsidR="00C3276D" w:rsidRPr="00FD2E93" w14:paraId="2B80F3CD" w14:textId="77777777" w:rsidTr="00EA1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7" w:type="dxa"/>
            <w:gridSpan w:val="2"/>
          </w:tcPr>
          <w:p w14:paraId="20801E53" w14:textId="6A9A345A" w:rsidR="00C3276D" w:rsidRPr="00EA13AA" w:rsidRDefault="00C3276D" w:rsidP="009A5284">
            <w:pPr>
              <w:pStyle w:val="ListParagraph"/>
              <w:ind w:left="0"/>
              <w:rPr>
                <w:rFonts w:ascii="Cambria" w:hAnsi="Cambria"/>
                <w:b w:val="0"/>
              </w:rPr>
            </w:pPr>
            <w:r w:rsidRPr="00EA13AA">
              <w:rPr>
                <w:rFonts w:ascii="Cambria" w:hAnsi="Cambria"/>
                <w:b w:val="0"/>
              </w:rPr>
              <w:t>EOLM appointment a positive contribution; has brought increased energy and focus to local mission; integration of the various arms/activities; a national voice now evident for some areas</w:t>
            </w:r>
            <w:r w:rsidR="00EA13AA">
              <w:rPr>
                <w:rFonts w:ascii="Cambria" w:hAnsi="Cambria"/>
                <w:b w:val="0"/>
              </w:rPr>
              <w:t>; holistic approach now evident</w:t>
            </w:r>
          </w:p>
        </w:tc>
        <w:tc>
          <w:tcPr>
            <w:tcW w:w="4424" w:type="dxa"/>
          </w:tcPr>
          <w:p w14:paraId="6E180B93" w14:textId="77777777" w:rsidR="00C3276D" w:rsidRPr="00FD2E93" w:rsidRDefault="00C3276D" w:rsidP="009A5284">
            <w:pPr>
              <w:pStyle w:val="ListParagraph"/>
              <w:ind w:left="0"/>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rPr>
              <w:t>We continue to lose members</w:t>
            </w:r>
          </w:p>
        </w:tc>
      </w:tr>
      <w:tr w:rsidR="00C3276D" w:rsidRPr="00FD2E93" w14:paraId="377FE6A0" w14:textId="77777777" w:rsidTr="00EA13AA">
        <w:tc>
          <w:tcPr>
            <w:cnfStyle w:val="001000000000" w:firstRow="0" w:lastRow="0" w:firstColumn="1" w:lastColumn="0" w:oddVBand="0" w:evenVBand="0" w:oddHBand="0" w:evenHBand="0" w:firstRowFirstColumn="0" w:firstRowLastColumn="0" w:lastRowFirstColumn="0" w:lastRowLastColumn="0"/>
            <w:tcW w:w="4387" w:type="dxa"/>
            <w:gridSpan w:val="2"/>
          </w:tcPr>
          <w:p w14:paraId="159E5905" w14:textId="3643508B" w:rsidR="00C3276D" w:rsidRPr="00EA13AA" w:rsidRDefault="00C3276D" w:rsidP="009A5284">
            <w:pPr>
              <w:pStyle w:val="ListParagraph"/>
              <w:ind w:left="0"/>
              <w:rPr>
                <w:rFonts w:ascii="Cambria" w:hAnsi="Cambria"/>
                <w:b w:val="0"/>
              </w:rPr>
            </w:pPr>
            <w:r w:rsidRPr="00EA13AA">
              <w:rPr>
                <w:rFonts w:ascii="Cambria" w:hAnsi="Cambria"/>
                <w:b w:val="0"/>
              </w:rPr>
              <w:t>Local Mission now more organised and planned; better resourced; more accountable; less distracted by governance; more sense of purpose; gets more done</w:t>
            </w:r>
            <w:r w:rsidR="00EA13AA">
              <w:rPr>
                <w:rFonts w:ascii="Cambria" w:hAnsi="Cambria"/>
                <w:b w:val="0"/>
              </w:rPr>
              <w:t xml:space="preserve"> between meetings</w:t>
            </w:r>
          </w:p>
        </w:tc>
        <w:tc>
          <w:tcPr>
            <w:tcW w:w="4424" w:type="dxa"/>
          </w:tcPr>
          <w:p w14:paraId="76C9D1BB" w14:textId="77777777" w:rsidR="00C3276D" w:rsidRPr="00FD2E93" w:rsidRDefault="00C3276D" w:rsidP="009A5284">
            <w:pPr>
              <w:pStyle w:val="ListParagraph"/>
              <w:ind w:left="0"/>
              <w:cnfStyle w:val="000000000000" w:firstRow="0" w:lastRow="0" w:firstColumn="0" w:lastColumn="0" w:oddVBand="0" w:evenVBand="0" w:oddHBand="0" w:evenHBand="0" w:firstRowFirstColumn="0" w:firstRowLastColumn="0" w:lastRowFirstColumn="0" w:lastRowLastColumn="0"/>
              <w:rPr>
                <w:rFonts w:ascii="Cambria" w:hAnsi="Cambria"/>
              </w:rPr>
            </w:pPr>
            <w:r w:rsidRPr="00FD2E93">
              <w:rPr>
                <w:rFonts w:ascii="Cambria" w:hAnsi="Cambria"/>
              </w:rPr>
              <w:t>Some materials such as hymnals not having impact; others not suitable for cross-cultural work – despite the efforts put into their development</w:t>
            </w:r>
          </w:p>
        </w:tc>
      </w:tr>
      <w:tr w:rsidR="00C3276D" w:rsidRPr="00FD2E93" w14:paraId="73EAE4B3" w14:textId="77777777" w:rsidTr="00EA1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14:paraId="2A394D46" w14:textId="2E730FB3" w:rsidR="00C3276D" w:rsidRPr="00EA13AA" w:rsidRDefault="00C3276D" w:rsidP="009A5284">
            <w:pPr>
              <w:pStyle w:val="ListParagraph"/>
              <w:ind w:left="0"/>
              <w:rPr>
                <w:rFonts w:ascii="Cambria" w:hAnsi="Cambria"/>
                <w:b w:val="0"/>
              </w:rPr>
            </w:pPr>
            <w:r w:rsidRPr="00EA13AA">
              <w:rPr>
                <w:rFonts w:ascii="Cambria" w:hAnsi="Cambria"/>
                <w:b w:val="0"/>
              </w:rPr>
              <w:lastRenderedPageBreak/>
              <w:t xml:space="preserve">Quality and value in a number of the resources and training now provided </w:t>
            </w:r>
            <w:r w:rsidR="00EA13AA" w:rsidRPr="00EA13AA">
              <w:rPr>
                <w:rFonts w:ascii="Cambria" w:hAnsi="Cambria"/>
                <w:b w:val="0"/>
              </w:rPr>
              <w:t>e.g.</w:t>
            </w:r>
            <w:r w:rsidRPr="00EA13AA">
              <w:rPr>
                <w:rFonts w:ascii="Cambria" w:hAnsi="Cambria"/>
                <w:b w:val="0"/>
              </w:rPr>
              <w:t xml:space="preserve"> the SENT, Due/Eaton and Kiefert materials; mor</w:t>
            </w:r>
            <w:r w:rsidR="00EA13AA">
              <w:rPr>
                <w:rFonts w:ascii="Cambria" w:hAnsi="Cambria"/>
                <w:b w:val="0"/>
              </w:rPr>
              <w:t xml:space="preserve">e training has been accessible </w:t>
            </w:r>
          </w:p>
        </w:tc>
        <w:tc>
          <w:tcPr>
            <w:tcW w:w="4550" w:type="dxa"/>
            <w:gridSpan w:val="2"/>
          </w:tcPr>
          <w:p w14:paraId="5177970E" w14:textId="747B7C7E" w:rsidR="00C3276D" w:rsidRPr="00FD2E93" w:rsidRDefault="00C3276D" w:rsidP="009A5284">
            <w:pPr>
              <w:pStyle w:val="ListParagraph"/>
              <w:ind w:left="0"/>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rPr>
              <w:t>Aging members in congregations do not use technology and are missing the information disseminated this way; lots of information does not reach pastors or cong</w:t>
            </w:r>
            <w:r w:rsidR="00EA13AA">
              <w:rPr>
                <w:rFonts w:ascii="Cambria" w:hAnsi="Cambria"/>
              </w:rPr>
              <w:t>regations (for various reasons)</w:t>
            </w:r>
          </w:p>
        </w:tc>
      </w:tr>
      <w:tr w:rsidR="00C3276D" w:rsidRPr="00FD2E93" w14:paraId="638D5C4A" w14:textId="77777777" w:rsidTr="00EA13AA">
        <w:tc>
          <w:tcPr>
            <w:cnfStyle w:val="001000000000" w:firstRow="0" w:lastRow="0" w:firstColumn="1" w:lastColumn="0" w:oddVBand="0" w:evenVBand="0" w:oddHBand="0" w:evenHBand="0" w:firstRowFirstColumn="0" w:firstRowLastColumn="0" w:lastRowFirstColumn="0" w:lastRowLastColumn="0"/>
            <w:tcW w:w="4261" w:type="dxa"/>
          </w:tcPr>
          <w:p w14:paraId="6BA8F3DD" w14:textId="55DE13DC" w:rsidR="00C3276D" w:rsidRPr="00EA13AA" w:rsidRDefault="00C3276D" w:rsidP="009A5284">
            <w:pPr>
              <w:pStyle w:val="ListParagraph"/>
              <w:ind w:left="0"/>
              <w:rPr>
                <w:rFonts w:ascii="Cambria" w:hAnsi="Cambria"/>
                <w:b w:val="0"/>
              </w:rPr>
            </w:pPr>
            <w:r w:rsidRPr="00EA13AA">
              <w:rPr>
                <w:rFonts w:ascii="Cambria" w:hAnsi="Cambria"/>
                <w:b w:val="0"/>
              </w:rPr>
              <w:t>Various congregations feel well supported by the New and Renewing Churches team and GROW ministries an</w:t>
            </w:r>
            <w:r w:rsidR="00EA13AA">
              <w:rPr>
                <w:rFonts w:ascii="Cambria" w:hAnsi="Cambria"/>
                <w:b w:val="0"/>
              </w:rPr>
              <w:t>d their input has been valuable</w:t>
            </w:r>
          </w:p>
        </w:tc>
        <w:tc>
          <w:tcPr>
            <w:tcW w:w="4550" w:type="dxa"/>
            <w:gridSpan w:val="2"/>
          </w:tcPr>
          <w:p w14:paraId="4BA0669C" w14:textId="77777777" w:rsidR="00C3276D" w:rsidRPr="00FD2E93" w:rsidRDefault="00C3276D" w:rsidP="009A5284">
            <w:pPr>
              <w:pStyle w:val="ListParagraph"/>
              <w:ind w:left="0"/>
              <w:cnfStyle w:val="000000000000" w:firstRow="0" w:lastRow="0" w:firstColumn="0" w:lastColumn="0" w:oddVBand="0" w:evenVBand="0" w:oddHBand="0" w:evenHBand="0" w:firstRowFirstColumn="0" w:firstRowLastColumn="0" w:lastRowFirstColumn="0" w:lastRowLastColumn="0"/>
              <w:rPr>
                <w:rFonts w:ascii="Cambria" w:hAnsi="Cambria"/>
              </w:rPr>
            </w:pPr>
            <w:r w:rsidRPr="00FD2E93">
              <w:rPr>
                <w:rFonts w:ascii="Cambria" w:hAnsi="Cambria"/>
              </w:rPr>
              <w:t>The theology of mission needs attention</w:t>
            </w:r>
          </w:p>
        </w:tc>
      </w:tr>
      <w:tr w:rsidR="00C3276D" w:rsidRPr="00FD2E93" w14:paraId="2E975010" w14:textId="77777777" w:rsidTr="00EA1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14:paraId="411A791F" w14:textId="77777777" w:rsidR="00C3276D" w:rsidRPr="00EA13AA" w:rsidRDefault="00C3276D" w:rsidP="009A5284">
            <w:pPr>
              <w:pStyle w:val="ListParagraph"/>
              <w:ind w:left="0"/>
              <w:rPr>
                <w:rFonts w:ascii="Cambria" w:hAnsi="Cambria"/>
                <w:b w:val="0"/>
              </w:rPr>
            </w:pPr>
            <w:r w:rsidRPr="00EA13AA">
              <w:rPr>
                <w:rFonts w:ascii="Cambria" w:hAnsi="Cambria"/>
                <w:b w:val="0"/>
              </w:rPr>
              <w:t>Increased focus on Aged Care as part of mission is positive; more buy in evident; more collaboration, education and engagement of leaders in this area</w:t>
            </w:r>
          </w:p>
        </w:tc>
        <w:tc>
          <w:tcPr>
            <w:tcW w:w="4550" w:type="dxa"/>
            <w:gridSpan w:val="2"/>
          </w:tcPr>
          <w:p w14:paraId="7741B3B0" w14:textId="52F9D0DE" w:rsidR="00C3276D" w:rsidRPr="00FD2E93" w:rsidRDefault="00C3276D" w:rsidP="009A5284">
            <w:pPr>
              <w:pStyle w:val="ListParagraph"/>
              <w:ind w:left="0"/>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rPr>
              <w:t>Support at the grassroots continues to be needed; less focus on the strategy; we need practical supports to work on evangelism, mission and churc</w:t>
            </w:r>
            <w:r w:rsidR="00EA13AA">
              <w:rPr>
                <w:rFonts w:ascii="Cambria" w:hAnsi="Cambria"/>
              </w:rPr>
              <w:t>h planting with small resources</w:t>
            </w:r>
          </w:p>
        </w:tc>
      </w:tr>
      <w:tr w:rsidR="00C3276D" w:rsidRPr="00FD2E93" w14:paraId="74BDF161" w14:textId="77777777" w:rsidTr="00EA13AA">
        <w:tc>
          <w:tcPr>
            <w:cnfStyle w:val="001000000000" w:firstRow="0" w:lastRow="0" w:firstColumn="1" w:lastColumn="0" w:oddVBand="0" w:evenVBand="0" w:oddHBand="0" w:evenHBand="0" w:firstRowFirstColumn="0" w:firstRowLastColumn="0" w:lastRowFirstColumn="0" w:lastRowLastColumn="0"/>
            <w:tcW w:w="4261" w:type="dxa"/>
          </w:tcPr>
          <w:p w14:paraId="7DE749A7" w14:textId="77777777" w:rsidR="00C3276D" w:rsidRPr="00EA13AA" w:rsidRDefault="00C3276D" w:rsidP="009A5284">
            <w:pPr>
              <w:pStyle w:val="ListParagraph"/>
              <w:ind w:left="0"/>
              <w:rPr>
                <w:rFonts w:ascii="Cambria" w:hAnsi="Cambria"/>
                <w:b w:val="0"/>
              </w:rPr>
            </w:pPr>
            <w:r w:rsidRPr="00EA13AA">
              <w:rPr>
                <w:rFonts w:ascii="Cambria" w:hAnsi="Cambria"/>
                <w:b w:val="0"/>
              </w:rPr>
              <w:t>Communication is more frequent and clearer; links and points to connect are clearer; consultation now more meaningful, barriers are reducing</w:t>
            </w:r>
          </w:p>
        </w:tc>
        <w:tc>
          <w:tcPr>
            <w:tcW w:w="4550" w:type="dxa"/>
            <w:gridSpan w:val="2"/>
          </w:tcPr>
          <w:p w14:paraId="30D84AE5" w14:textId="178768E8" w:rsidR="00C3276D" w:rsidRPr="00FD2E93" w:rsidRDefault="00C3276D" w:rsidP="009A5284">
            <w:pPr>
              <w:pStyle w:val="ListParagraph"/>
              <w:ind w:left="0"/>
              <w:cnfStyle w:val="000000000000" w:firstRow="0" w:lastRow="0" w:firstColumn="0" w:lastColumn="0" w:oddVBand="0" w:evenVBand="0" w:oddHBand="0" w:evenHBand="0" w:firstRowFirstColumn="0" w:firstRowLastColumn="0" w:lastRowFirstColumn="0" w:lastRowLastColumn="0"/>
              <w:rPr>
                <w:rFonts w:ascii="Cambria" w:hAnsi="Cambria"/>
              </w:rPr>
            </w:pPr>
            <w:r w:rsidRPr="00FD2E93">
              <w:rPr>
                <w:rFonts w:ascii="Cambria" w:hAnsi="Cambria"/>
              </w:rPr>
              <w:t xml:space="preserve">Need more focus in ALC training for pastors to be Sending pastors rather than Church-keepers; need them to learn to be more inclusive of their congregations’ members’ opinions; need local ministry teams; help </w:t>
            </w:r>
            <w:r w:rsidR="00EA13AA">
              <w:rPr>
                <w:rFonts w:ascii="Cambria" w:hAnsi="Cambria"/>
              </w:rPr>
              <w:t>local members with discipleship</w:t>
            </w:r>
          </w:p>
        </w:tc>
      </w:tr>
      <w:tr w:rsidR="00C3276D" w:rsidRPr="00FD2E93" w14:paraId="2C2B24F6" w14:textId="77777777" w:rsidTr="00EA1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14:paraId="35E20D4D" w14:textId="77777777" w:rsidR="00C3276D" w:rsidRPr="00EA13AA" w:rsidRDefault="00C3276D" w:rsidP="009A5284">
            <w:pPr>
              <w:pStyle w:val="ListParagraph"/>
              <w:ind w:left="0"/>
              <w:rPr>
                <w:rFonts w:ascii="Cambria" w:hAnsi="Cambria"/>
                <w:b w:val="0"/>
              </w:rPr>
            </w:pPr>
            <w:r w:rsidRPr="00EA13AA">
              <w:rPr>
                <w:rFonts w:ascii="Cambria" w:hAnsi="Cambria"/>
                <w:b w:val="0"/>
              </w:rPr>
              <w:t>Keep going on this integrated pathway for Local Mission</w:t>
            </w:r>
          </w:p>
        </w:tc>
        <w:tc>
          <w:tcPr>
            <w:tcW w:w="4550" w:type="dxa"/>
            <w:gridSpan w:val="2"/>
          </w:tcPr>
          <w:p w14:paraId="74AD01CE" w14:textId="0F2532EC" w:rsidR="00C3276D" w:rsidRPr="00FD2E93" w:rsidRDefault="00C3276D" w:rsidP="009A5284">
            <w:pPr>
              <w:pStyle w:val="ListParagraph"/>
              <w:ind w:left="0"/>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rPr>
              <w:t>One Committee is a silo from other local mission departments; increases workload and admin for the workers which distract time and resource fro</w:t>
            </w:r>
            <w:r w:rsidR="00EA13AA">
              <w:rPr>
                <w:rFonts w:ascii="Cambria" w:hAnsi="Cambria"/>
              </w:rPr>
              <w:t>m church planting and mentoring</w:t>
            </w:r>
          </w:p>
        </w:tc>
      </w:tr>
      <w:tr w:rsidR="00C3276D" w:rsidRPr="00FD2E93" w14:paraId="14D18B6B" w14:textId="77777777" w:rsidTr="00EA13AA">
        <w:tc>
          <w:tcPr>
            <w:cnfStyle w:val="001000000000" w:firstRow="0" w:lastRow="0" w:firstColumn="1" w:lastColumn="0" w:oddVBand="0" w:evenVBand="0" w:oddHBand="0" w:evenHBand="0" w:firstRowFirstColumn="0" w:firstRowLastColumn="0" w:lastRowFirstColumn="0" w:lastRowLastColumn="0"/>
            <w:tcW w:w="4261" w:type="dxa"/>
          </w:tcPr>
          <w:p w14:paraId="0E35C537" w14:textId="77777777" w:rsidR="00C3276D" w:rsidRPr="00EA13AA" w:rsidRDefault="00C3276D" w:rsidP="009A5284">
            <w:pPr>
              <w:pStyle w:val="ListParagraph"/>
              <w:ind w:left="0"/>
              <w:rPr>
                <w:rFonts w:ascii="Cambria" w:hAnsi="Cambria"/>
                <w:b w:val="0"/>
              </w:rPr>
            </w:pPr>
            <w:r w:rsidRPr="00EA13AA">
              <w:rPr>
                <w:rFonts w:ascii="Cambria" w:hAnsi="Cambria"/>
                <w:b w:val="0"/>
              </w:rPr>
              <w:t>The continued connection between Local and International Mission is valued</w:t>
            </w:r>
          </w:p>
        </w:tc>
        <w:tc>
          <w:tcPr>
            <w:tcW w:w="4550" w:type="dxa"/>
            <w:gridSpan w:val="2"/>
          </w:tcPr>
          <w:p w14:paraId="64A1233B" w14:textId="44D387F0" w:rsidR="00C3276D" w:rsidRPr="00FD2E93" w:rsidRDefault="00C3276D" w:rsidP="009A5284">
            <w:pPr>
              <w:pStyle w:val="ListParagraph"/>
              <w:ind w:left="0"/>
              <w:cnfStyle w:val="000000000000" w:firstRow="0" w:lastRow="0" w:firstColumn="0" w:lastColumn="0" w:oddVBand="0" w:evenVBand="0" w:oddHBand="0" w:evenHBand="0" w:firstRowFirstColumn="0" w:firstRowLastColumn="0" w:lastRowFirstColumn="0" w:lastRowLastColumn="0"/>
              <w:rPr>
                <w:rFonts w:ascii="Cambria" w:hAnsi="Cambria"/>
              </w:rPr>
            </w:pPr>
            <w:r w:rsidRPr="00FD2E93">
              <w:rPr>
                <w:rFonts w:ascii="Cambria" w:hAnsi="Cambria"/>
              </w:rPr>
              <w:t>We were more connected and felt more involved under the Interim Board for Local Missi</w:t>
            </w:r>
            <w:r w:rsidR="00EA13AA">
              <w:rPr>
                <w:rFonts w:ascii="Cambria" w:hAnsi="Cambria"/>
              </w:rPr>
              <w:t>on</w:t>
            </w:r>
          </w:p>
        </w:tc>
      </w:tr>
      <w:tr w:rsidR="00C3276D" w:rsidRPr="00FD2E93" w14:paraId="40A929FB" w14:textId="77777777" w:rsidTr="00EA1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14:paraId="45DE3A73" w14:textId="77777777" w:rsidR="00C3276D" w:rsidRPr="00EA13AA" w:rsidRDefault="00C3276D" w:rsidP="009A5284">
            <w:pPr>
              <w:pStyle w:val="ListParagraph"/>
              <w:ind w:left="0"/>
              <w:rPr>
                <w:rFonts w:ascii="Cambria" w:hAnsi="Cambria"/>
                <w:b w:val="0"/>
              </w:rPr>
            </w:pPr>
          </w:p>
        </w:tc>
        <w:tc>
          <w:tcPr>
            <w:tcW w:w="4550" w:type="dxa"/>
            <w:gridSpan w:val="2"/>
          </w:tcPr>
          <w:p w14:paraId="1C3BE411" w14:textId="287BAB1F" w:rsidR="00C3276D" w:rsidRPr="00FD2E93" w:rsidRDefault="00C3276D" w:rsidP="009A5284">
            <w:pPr>
              <w:pStyle w:val="ListParagraph"/>
              <w:ind w:left="0"/>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rPr>
              <w:t>Aged Care sector is highly regulated and will cause more issues going forward; LCA should withdraw from this s</w:t>
            </w:r>
            <w:r w:rsidR="00EA13AA">
              <w:rPr>
                <w:rFonts w:ascii="Cambria" w:hAnsi="Cambria"/>
              </w:rPr>
              <w:t>ector other than have chaplains</w:t>
            </w:r>
          </w:p>
        </w:tc>
      </w:tr>
      <w:tr w:rsidR="00C3276D" w:rsidRPr="00FD2E93" w14:paraId="18E03F00" w14:textId="77777777" w:rsidTr="00EA13AA">
        <w:tc>
          <w:tcPr>
            <w:cnfStyle w:val="001000000000" w:firstRow="0" w:lastRow="0" w:firstColumn="1" w:lastColumn="0" w:oddVBand="0" w:evenVBand="0" w:oddHBand="0" w:evenHBand="0" w:firstRowFirstColumn="0" w:firstRowLastColumn="0" w:lastRowFirstColumn="0" w:lastRowLastColumn="0"/>
            <w:tcW w:w="4261" w:type="dxa"/>
          </w:tcPr>
          <w:p w14:paraId="34BC58CD" w14:textId="77777777" w:rsidR="00C3276D" w:rsidRPr="00EA13AA" w:rsidRDefault="00C3276D" w:rsidP="009A5284">
            <w:pPr>
              <w:pStyle w:val="ListParagraph"/>
              <w:ind w:left="0"/>
              <w:rPr>
                <w:rFonts w:ascii="Cambria" w:hAnsi="Cambria"/>
                <w:b w:val="0"/>
              </w:rPr>
            </w:pPr>
          </w:p>
        </w:tc>
        <w:tc>
          <w:tcPr>
            <w:tcW w:w="4550" w:type="dxa"/>
            <w:gridSpan w:val="2"/>
          </w:tcPr>
          <w:p w14:paraId="0E4F724A" w14:textId="331FE552" w:rsidR="00C3276D" w:rsidRPr="00FD2E93" w:rsidRDefault="00C3276D" w:rsidP="009A5284">
            <w:pPr>
              <w:pStyle w:val="ListParagraph"/>
              <w:ind w:left="0"/>
              <w:cnfStyle w:val="000000000000" w:firstRow="0" w:lastRow="0" w:firstColumn="0" w:lastColumn="0" w:oddVBand="0" w:evenVBand="0" w:oddHBand="0" w:evenHBand="0" w:firstRowFirstColumn="0" w:firstRowLastColumn="0" w:lastRowFirstColumn="0" w:lastRowLastColumn="0"/>
              <w:rPr>
                <w:rFonts w:ascii="Cambria" w:hAnsi="Cambria"/>
              </w:rPr>
            </w:pPr>
            <w:r w:rsidRPr="00FD2E93">
              <w:rPr>
                <w:rFonts w:ascii="Cambria" w:hAnsi="Cambria"/>
              </w:rPr>
              <w:t>Improve the connections between Aged Care leaders and the Church; increase theological training of these leaders and look to succ</w:t>
            </w:r>
            <w:r w:rsidR="00EA13AA">
              <w:rPr>
                <w:rFonts w:ascii="Cambria" w:hAnsi="Cambria"/>
              </w:rPr>
              <w:t>ession planning for their roles</w:t>
            </w:r>
          </w:p>
        </w:tc>
      </w:tr>
      <w:tr w:rsidR="00C3276D" w:rsidRPr="00FD2E93" w14:paraId="2B2A6827" w14:textId="77777777" w:rsidTr="00EA1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14:paraId="6DDDACBA" w14:textId="77777777" w:rsidR="00C3276D" w:rsidRPr="00EA13AA" w:rsidRDefault="00C3276D" w:rsidP="009A5284">
            <w:pPr>
              <w:pStyle w:val="ListParagraph"/>
              <w:ind w:left="0"/>
              <w:rPr>
                <w:rFonts w:ascii="Cambria" w:hAnsi="Cambria"/>
                <w:b w:val="0"/>
              </w:rPr>
            </w:pPr>
          </w:p>
        </w:tc>
        <w:tc>
          <w:tcPr>
            <w:tcW w:w="4550" w:type="dxa"/>
            <w:gridSpan w:val="2"/>
          </w:tcPr>
          <w:p w14:paraId="479E9E44" w14:textId="39CDF393" w:rsidR="00C3276D" w:rsidRPr="00FD2E93" w:rsidRDefault="00C3276D" w:rsidP="009A5284">
            <w:pPr>
              <w:pStyle w:val="ListParagraph"/>
              <w:ind w:left="0"/>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rPr>
              <w:t xml:space="preserve">Need to make communication with the District Mission Directors easier for joint thinking and acting on challenges in local </w:t>
            </w:r>
            <w:r w:rsidR="00EA13AA">
              <w:rPr>
                <w:rFonts w:ascii="Cambria" w:hAnsi="Cambria"/>
              </w:rPr>
              <w:t>mission; need a line of contact</w:t>
            </w:r>
          </w:p>
        </w:tc>
      </w:tr>
      <w:tr w:rsidR="00C3276D" w:rsidRPr="00FD2E93" w14:paraId="69C3E3D9" w14:textId="77777777" w:rsidTr="00EA13AA">
        <w:tc>
          <w:tcPr>
            <w:cnfStyle w:val="001000000000" w:firstRow="0" w:lastRow="0" w:firstColumn="1" w:lastColumn="0" w:oddVBand="0" w:evenVBand="0" w:oddHBand="0" w:evenHBand="0" w:firstRowFirstColumn="0" w:firstRowLastColumn="0" w:lastRowFirstColumn="0" w:lastRowLastColumn="0"/>
            <w:tcW w:w="4261" w:type="dxa"/>
          </w:tcPr>
          <w:p w14:paraId="14EA64A8" w14:textId="77777777" w:rsidR="00C3276D" w:rsidRPr="00FD2E93" w:rsidRDefault="00C3276D" w:rsidP="009A5284">
            <w:pPr>
              <w:pStyle w:val="ListParagraph"/>
              <w:ind w:left="0"/>
              <w:rPr>
                <w:rFonts w:ascii="Cambria" w:hAnsi="Cambria"/>
              </w:rPr>
            </w:pPr>
          </w:p>
        </w:tc>
        <w:tc>
          <w:tcPr>
            <w:tcW w:w="4550" w:type="dxa"/>
            <w:gridSpan w:val="2"/>
          </w:tcPr>
          <w:p w14:paraId="2B1BEF9B" w14:textId="5F56EECC" w:rsidR="00C3276D" w:rsidRPr="00FD2E93" w:rsidRDefault="00C3276D" w:rsidP="009A5284">
            <w:pPr>
              <w:pStyle w:val="ListParagraph"/>
              <w:ind w:left="0"/>
              <w:cnfStyle w:val="000000000000" w:firstRow="0" w:lastRow="0" w:firstColumn="0" w:lastColumn="0" w:oddVBand="0" w:evenVBand="0" w:oddHBand="0" w:evenHBand="0" w:firstRowFirstColumn="0" w:firstRowLastColumn="0" w:lastRowFirstColumn="0" w:lastRowLastColumn="0"/>
              <w:rPr>
                <w:rFonts w:ascii="Cambria" w:hAnsi="Cambria"/>
              </w:rPr>
            </w:pPr>
            <w:r w:rsidRPr="00FD2E93">
              <w:rPr>
                <w:rFonts w:ascii="Cambria" w:hAnsi="Cambria"/>
              </w:rPr>
              <w:t>Linkages and partnered work needs more attention, eg Lutheran Media and CSBQ, G</w:t>
            </w:r>
            <w:r w:rsidR="00EA13AA">
              <w:rPr>
                <w:rFonts w:ascii="Cambria" w:hAnsi="Cambria"/>
              </w:rPr>
              <w:t>ROW and Cross-Cultural Ministry</w:t>
            </w:r>
          </w:p>
        </w:tc>
      </w:tr>
      <w:tr w:rsidR="00C3276D" w:rsidRPr="00FD2E93" w14:paraId="2F5F4A7D" w14:textId="77777777" w:rsidTr="00EA1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14:paraId="1B08F42B" w14:textId="77777777" w:rsidR="00C3276D" w:rsidRPr="00FD2E93" w:rsidRDefault="00C3276D" w:rsidP="009A5284">
            <w:pPr>
              <w:pStyle w:val="ListParagraph"/>
              <w:ind w:left="0"/>
              <w:rPr>
                <w:rFonts w:ascii="Cambria" w:hAnsi="Cambria"/>
              </w:rPr>
            </w:pPr>
          </w:p>
        </w:tc>
        <w:tc>
          <w:tcPr>
            <w:tcW w:w="4550" w:type="dxa"/>
            <w:gridSpan w:val="2"/>
          </w:tcPr>
          <w:p w14:paraId="2ECAA66C" w14:textId="0B64C430" w:rsidR="00C3276D" w:rsidRPr="00FD2E93" w:rsidRDefault="00C3276D" w:rsidP="009A5284">
            <w:pPr>
              <w:pStyle w:val="ListParagraph"/>
              <w:ind w:left="0"/>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rPr>
              <w:t xml:space="preserve">We would benefit from the exchange of stories from congregations where </w:t>
            </w:r>
            <w:r w:rsidR="00EA13AA">
              <w:rPr>
                <w:rFonts w:ascii="Cambria" w:hAnsi="Cambria"/>
              </w:rPr>
              <w:t>positive progress has been made</w:t>
            </w:r>
          </w:p>
        </w:tc>
      </w:tr>
      <w:tr w:rsidR="00C3276D" w:rsidRPr="00FD2E93" w14:paraId="03889418" w14:textId="77777777" w:rsidTr="00EA13AA">
        <w:tc>
          <w:tcPr>
            <w:cnfStyle w:val="001000000000" w:firstRow="0" w:lastRow="0" w:firstColumn="1" w:lastColumn="0" w:oddVBand="0" w:evenVBand="0" w:oddHBand="0" w:evenHBand="0" w:firstRowFirstColumn="0" w:firstRowLastColumn="0" w:lastRowFirstColumn="0" w:lastRowLastColumn="0"/>
            <w:tcW w:w="4261" w:type="dxa"/>
          </w:tcPr>
          <w:p w14:paraId="75B95B4C" w14:textId="77777777" w:rsidR="00C3276D" w:rsidRPr="00FD2E93" w:rsidRDefault="00C3276D" w:rsidP="009A5284">
            <w:pPr>
              <w:pStyle w:val="ListParagraph"/>
              <w:ind w:left="0"/>
              <w:rPr>
                <w:rFonts w:ascii="Cambria" w:hAnsi="Cambria"/>
              </w:rPr>
            </w:pPr>
          </w:p>
        </w:tc>
        <w:tc>
          <w:tcPr>
            <w:tcW w:w="4550" w:type="dxa"/>
            <w:gridSpan w:val="2"/>
          </w:tcPr>
          <w:p w14:paraId="3DA524FB" w14:textId="78FF5012" w:rsidR="00C3276D" w:rsidRPr="00FD2E93" w:rsidRDefault="00C3276D" w:rsidP="009A5284">
            <w:pPr>
              <w:pStyle w:val="ListParagraph"/>
              <w:ind w:left="0"/>
              <w:cnfStyle w:val="000000000000" w:firstRow="0" w:lastRow="0" w:firstColumn="0" w:lastColumn="0" w:oddVBand="0" w:evenVBand="0" w:oddHBand="0" w:evenHBand="0" w:firstRowFirstColumn="0" w:firstRowLastColumn="0" w:lastRowFirstColumn="0" w:lastRowLastColumn="0"/>
              <w:rPr>
                <w:rFonts w:ascii="Cambria" w:hAnsi="Cambria"/>
              </w:rPr>
            </w:pPr>
            <w:r w:rsidRPr="00FD2E93">
              <w:rPr>
                <w:rFonts w:ascii="Cambria" w:hAnsi="Cambria"/>
              </w:rPr>
              <w:t>Need to continue to recognise the geographic (all Aust, northern Aust, Central Aust, NZ) and demographic spread of the Church and the differences this brings when developing/implementing new policy, programs, resources etc</w:t>
            </w:r>
          </w:p>
        </w:tc>
      </w:tr>
    </w:tbl>
    <w:p w14:paraId="01788B42" w14:textId="77777777" w:rsidR="00C3276D" w:rsidRPr="00FD2E93" w:rsidRDefault="00C3276D" w:rsidP="00F55252">
      <w:pPr>
        <w:pStyle w:val="ListParagraph"/>
        <w:numPr>
          <w:ilvl w:val="0"/>
          <w:numId w:val="349"/>
        </w:numPr>
        <w:spacing w:line="259" w:lineRule="auto"/>
        <w:rPr>
          <w:rFonts w:ascii="Cambria" w:hAnsi="Cambria"/>
        </w:rPr>
      </w:pPr>
      <w:r w:rsidRPr="00FD2E93">
        <w:rPr>
          <w:rFonts w:ascii="Cambria" w:hAnsi="Cambria"/>
          <w:b/>
        </w:rPr>
        <w:lastRenderedPageBreak/>
        <w:t>Communications Department</w:t>
      </w:r>
      <w:r w:rsidRPr="00FD2E93">
        <w:rPr>
          <w:rFonts w:ascii="Cambria" w:hAnsi="Cambria"/>
        </w:rPr>
        <w:t xml:space="preserve"> </w:t>
      </w:r>
      <w:r w:rsidRPr="00FD2E93">
        <w:rPr>
          <w:rFonts w:ascii="Cambria" w:hAnsi="Cambria"/>
          <w:i/>
        </w:rPr>
        <w:t>(N= 132 of which only 16 are ‘No comment’, or ‘No impact’ as a response. That is, this is an area of LCA Churchwide services that has a relatively high level of acknowledgement of its work.)</w:t>
      </w:r>
    </w:p>
    <w:p w14:paraId="08830440" w14:textId="77777777" w:rsidR="00C3276D" w:rsidRPr="00FD2E93" w:rsidRDefault="00C3276D" w:rsidP="00C3276D">
      <w:pPr>
        <w:pStyle w:val="ListParagraph"/>
        <w:spacing w:after="0"/>
        <w:ind w:left="360"/>
        <w:rPr>
          <w:rFonts w:ascii="Cambria" w:hAnsi="Cambria"/>
          <w:i/>
        </w:rPr>
      </w:pPr>
      <w:r w:rsidRPr="00FD2E93">
        <w:rPr>
          <w:rFonts w:ascii="Cambria" w:hAnsi="Cambria"/>
          <w:i/>
        </w:rPr>
        <w:t>(Note: There is no correlation between items in the Positive column and those adjacent in the Negative column).</w:t>
      </w:r>
    </w:p>
    <w:p w14:paraId="2546B13E" w14:textId="77777777" w:rsidR="00C3276D" w:rsidRPr="00EA13AA" w:rsidRDefault="00C3276D" w:rsidP="00C3276D">
      <w:pPr>
        <w:pStyle w:val="ListParagraph"/>
        <w:ind w:left="360"/>
        <w:rPr>
          <w:rFonts w:ascii="Cambria" w:hAnsi="Cambria"/>
          <w:sz w:val="12"/>
          <w:szCs w:val="12"/>
        </w:rPr>
      </w:pPr>
    </w:p>
    <w:p w14:paraId="240A5A06" w14:textId="7B1095CC" w:rsidR="00C3276D" w:rsidRPr="00FD2E93" w:rsidRDefault="00C3276D" w:rsidP="00C3276D">
      <w:pPr>
        <w:pStyle w:val="ListParagraph"/>
        <w:ind w:left="360"/>
        <w:rPr>
          <w:rFonts w:ascii="Cambria" w:hAnsi="Cambria"/>
        </w:rPr>
      </w:pPr>
      <w:r w:rsidRPr="00FD2E93">
        <w:rPr>
          <w:rFonts w:ascii="Cambria" w:hAnsi="Cambria"/>
        </w:rPr>
        <w:t xml:space="preserve">Given the diversity of the Church members and their communication preferences, it is not perhaps surprising that some things seen as positives by some are seen as negatives by others. Some comments indicate some confusion as to the source of specific resources, </w:t>
      </w:r>
      <w:r w:rsidR="00EA13AA" w:rsidRPr="00FD2E93">
        <w:rPr>
          <w:rFonts w:ascii="Cambria" w:hAnsi="Cambria"/>
        </w:rPr>
        <w:t>e.g.</w:t>
      </w:r>
      <w:r w:rsidRPr="00FD2E93">
        <w:rPr>
          <w:rFonts w:ascii="Cambria" w:hAnsi="Cambria"/>
        </w:rPr>
        <w:t xml:space="preserve"> with worship and Lutheran Media, but this isn’t an issue for the users.</w:t>
      </w:r>
    </w:p>
    <w:p w14:paraId="3C2C66BE" w14:textId="77777777" w:rsidR="00C3276D" w:rsidRPr="00BE1D35" w:rsidRDefault="00C3276D" w:rsidP="00C3276D">
      <w:pPr>
        <w:pStyle w:val="ListParagraph"/>
        <w:ind w:left="360"/>
        <w:rPr>
          <w:rFonts w:ascii="Cambria" w:hAnsi="Cambria"/>
          <w:sz w:val="8"/>
          <w:szCs w:val="12"/>
        </w:rPr>
      </w:pPr>
    </w:p>
    <w:p w14:paraId="0E6E5EF5" w14:textId="77777777" w:rsidR="00C3276D" w:rsidRPr="00FD2E93" w:rsidRDefault="00C3276D" w:rsidP="00C3276D">
      <w:pPr>
        <w:pStyle w:val="ListParagraph"/>
        <w:ind w:left="360"/>
        <w:rPr>
          <w:rFonts w:ascii="Cambria" w:hAnsi="Cambria"/>
        </w:rPr>
      </w:pPr>
      <w:r w:rsidRPr="00FD2E93">
        <w:rPr>
          <w:rFonts w:ascii="Cambria" w:hAnsi="Cambria"/>
        </w:rPr>
        <w:t>The majority of comments for this area and Churchwide service are positive, with considerable consensus, while the ‘negatives’ listed (especially those down the list) are more individual comments. They are included to pass on messages that may be useful for the staff to hear.</w:t>
      </w:r>
    </w:p>
    <w:p w14:paraId="3B3D8338" w14:textId="77777777" w:rsidR="00C3276D" w:rsidRPr="00EA13AA" w:rsidRDefault="00C3276D" w:rsidP="00C3276D">
      <w:pPr>
        <w:pStyle w:val="ListParagraph"/>
        <w:ind w:left="360"/>
        <w:rPr>
          <w:rFonts w:ascii="Cambria" w:hAnsi="Cambria"/>
          <w:sz w:val="12"/>
          <w:szCs w:val="12"/>
        </w:rPr>
      </w:pPr>
    </w:p>
    <w:tbl>
      <w:tblPr>
        <w:tblStyle w:val="PlainTable2"/>
        <w:tblW w:w="0" w:type="auto"/>
        <w:tblLook w:val="04A0" w:firstRow="1" w:lastRow="0" w:firstColumn="1" w:lastColumn="0" w:noHBand="0" w:noVBand="1"/>
      </w:tblPr>
      <w:tblGrid>
        <w:gridCol w:w="4380"/>
        <w:gridCol w:w="23"/>
        <w:gridCol w:w="4403"/>
      </w:tblGrid>
      <w:tr w:rsidR="00C3276D" w:rsidRPr="00FD2E93" w14:paraId="28DEB21D" w14:textId="77777777" w:rsidTr="00EA13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3" w:type="dxa"/>
            <w:gridSpan w:val="2"/>
          </w:tcPr>
          <w:p w14:paraId="41DFC73F" w14:textId="77777777" w:rsidR="00C3276D" w:rsidRPr="00FD2E93" w:rsidRDefault="00C3276D" w:rsidP="009A5284">
            <w:pPr>
              <w:pStyle w:val="ListParagraph"/>
              <w:ind w:left="0"/>
              <w:rPr>
                <w:rFonts w:ascii="Cambria" w:hAnsi="Cambria"/>
              </w:rPr>
            </w:pPr>
            <w:r w:rsidRPr="00FD2E93">
              <w:rPr>
                <w:rFonts w:ascii="Cambria" w:hAnsi="Cambria"/>
              </w:rPr>
              <w:t>Positive Themes</w:t>
            </w:r>
          </w:p>
        </w:tc>
        <w:tc>
          <w:tcPr>
            <w:tcW w:w="4403" w:type="dxa"/>
          </w:tcPr>
          <w:p w14:paraId="40EB95CD" w14:textId="77777777" w:rsidR="00C3276D" w:rsidRPr="00FD2E93" w:rsidRDefault="00C3276D" w:rsidP="009A5284">
            <w:pPr>
              <w:pStyle w:val="ListParagraph"/>
              <w:ind w:left="0"/>
              <w:cnfStyle w:val="100000000000" w:firstRow="1" w:lastRow="0" w:firstColumn="0" w:lastColumn="0" w:oddVBand="0" w:evenVBand="0" w:oddHBand="0" w:evenHBand="0" w:firstRowFirstColumn="0" w:firstRowLastColumn="0" w:lastRowFirstColumn="0" w:lastRowLastColumn="0"/>
              <w:rPr>
                <w:rFonts w:ascii="Cambria" w:hAnsi="Cambria"/>
              </w:rPr>
            </w:pPr>
            <w:r w:rsidRPr="00FD2E93">
              <w:rPr>
                <w:rFonts w:ascii="Cambria" w:hAnsi="Cambria"/>
              </w:rPr>
              <w:t>Negative Themes/ Improvements Sought</w:t>
            </w:r>
          </w:p>
        </w:tc>
      </w:tr>
      <w:tr w:rsidR="00C3276D" w:rsidRPr="00FD2E93" w14:paraId="403C841C" w14:textId="77777777" w:rsidTr="00EA1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3" w:type="dxa"/>
            <w:gridSpan w:val="2"/>
          </w:tcPr>
          <w:p w14:paraId="4B5AC86F" w14:textId="73BDA653" w:rsidR="00C3276D" w:rsidRPr="00EA13AA" w:rsidRDefault="00C3276D" w:rsidP="009A5284">
            <w:pPr>
              <w:pStyle w:val="ListParagraph"/>
              <w:ind w:left="0"/>
              <w:rPr>
                <w:rFonts w:ascii="Cambria" w:hAnsi="Cambria"/>
                <w:b w:val="0"/>
              </w:rPr>
            </w:pPr>
            <w:r w:rsidRPr="00EA13AA">
              <w:rPr>
                <w:rFonts w:ascii="Cambria" w:hAnsi="Cambria"/>
                <w:b w:val="0"/>
              </w:rPr>
              <w:t>eNews valued for its information currency and range, ease of use and forwarding; ease of</w:t>
            </w:r>
            <w:r w:rsidR="00EA13AA">
              <w:rPr>
                <w:rFonts w:ascii="Cambria" w:hAnsi="Cambria"/>
                <w:b w:val="0"/>
              </w:rPr>
              <w:t xml:space="preserve"> use of links = more efficiency</w:t>
            </w:r>
          </w:p>
        </w:tc>
        <w:tc>
          <w:tcPr>
            <w:tcW w:w="4403" w:type="dxa"/>
          </w:tcPr>
          <w:p w14:paraId="74C838EB" w14:textId="77777777" w:rsidR="00C3276D" w:rsidRPr="00FD2E93" w:rsidRDefault="00C3276D" w:rsidP="009A5284">
            <w:pPr>
              <w:pStyle w:val="ListParagraph"/>
              <w:ind w:left="0"/>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rPr>
              <w:t>eNews questioned for its continued value by a minority; also seen as repetitious</w:t>
            </w:r>
          </w:p>
        </w:tc>
      </w:tr>
      <w:tr w:rsidR="00C3276D" w:rsidRPr="00FD2E93" w14:paraId="03E75367" w14:textId="77777777" w:rsidTr="00EA13AA">
        <w:tc>
          <w:tcPr>
            <w:cnfStyle w:val="001000000000" w:firstRow="0" w:lastRow="0" w:firstColumn="1" w:lastColumn="0" w:oddVBand="0" w:evenVBand="0" w:oddHBand="0" w:evenHBand="0" w:firstRowFirstColumn="0" w:firstRowLastColumn="0" w:lastRowFirstColumn="0" w:lastRowLastColumn="0"/>
            <w:tcW w:w="4403" w:type="dxa"/>
            <w:gridSpan w:val="2"/>
          </w:tcPr>
          <w:p w14:paraId="10FE44C4" w14:textId="752BB4DF" w:rsidR="00C3276D" w:rsidRPr="00EA13AA" w:rsidRDefault="00C3276D" w:rsidP="009A5284">
            <w:pPr>
              <w:pStyle w:val="ListParagraph"/>
              <w:ind w:left="0"/>
              <w:rPr>
                <w:rFonts w:ascii="Cambria" w:hAnsi="Cambria"/>
                <w:b w:val="0"/>
              </w:rPr>
            </w:pPr>
            <w:r w:rsidRPr="00EA13AA">
              <w:rPr>
                <w:rFonts w:ascii="Cambria" w:hAnsi="Cambria"/>
                <w:b w:val="0"/>
              </w:rPr>
              <w:t xml:space="preserve">Valued supports for committees and their dissemination/ repository </w:t>
            </w:r>
            <w:r w:rsidR="00EA13AA">
              <w:rPr>
                <w:rFonts w:ascii="Cambria" w:hAnsi="Cambria"/>
                <w:b w:val="0"/>
              </w:rPr>
              <w:t>of material; improved publicity</w:t>
            </w:r>
          </w:p>
        </w:tc>
        <w:tc>
          <w:tcPr>
            <w:tcW w:w="4403" w:type="dxa"/>
          </w:tcPr>
          <w:p w14:paraId="05A0C662" w14:textId="77777777" w:rsidR="00C3276D" w:rsidRPr="00FD2E93" w:rsidRDefault="00C3276D" w:rsidP="009A5284">
            <w:pPr>
              <w:pStyle w:val="ListParagraph"/>
              <w:ind w:left="0"/>
              <w:cnfStyle w:val="000000000000" w:firstRow="0" w:lastRow="0" w:firstColumn="0" w:lastColumn="0" w:oddVBand="0" w:evenVBand="0" w:oddHBand="0" w:evenHBand="0" w:firstRowFirstColumn="0" w:firstRowLastColumn="0" w:lastRowFirstColumn="0" w:lastRowLastColumn="0"/>
              <w:rPr>
                <w:rFonts w:ascii="Cambria" w:hAnsi="Cambria"/>
              </w:rPr>
            </w:pPr>
            <w:r w:rsidRPr="00FD2E93">
              <w:rPr>
                <w:rFonts w:ascii="Cambria" w:hAnsi="Cambria"/>
              </w:rPr>
              <w:t>People feeling overloaded in the volume of communications via email, eNews etc – can’t keep up; key news needs to be on opening page</w:t>
            </w:r>
          </w:p>
        </w:tc>
      </w:tr>
      <w:tr w:rsidR="00C3276D" w:rsidRPr="00FD2E93" w14:paraId="4E06CE9F" w14:textId="77777777" w:rsidTr="00EA1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3" w:type="dxa"/>
            <w:gridSpan w:val="2"/>
          </w:tcPr>
          <w:p w14:paraId="5C7759ED" w14:textId="77777777" w:rsidR="00C3276D" w:rsidRPr="00EA13AA" w:rsidRDefault="00C3276D" w:rsidP="009A5284">
            <w:pPr>
              <w:pStyle w:val="ListParagraph"/>
              <w:ind w:left="0"/>
              <w:rPr>
                <w:rFonts w:ascii="Cambria" w:hAnsi="Cambria"/>
                <w:b w:val="0"/>
              </w:rPr>
            </w:pPr>
            <w:r w:rsidRPr="00EA13AA">
              <w:rPr>
                <w:rFonts w:ascii="Cambria" w:hAnsi="Cambria"/>
                <w:b w:val="0"/>
              </w:rPr>
              <w:t>Significant improvements in access and currency of information about the Church</w:t>
            </w:r>
          </w:p>
          <w:p w14:paraId="69C1CC2F" w14:textId="77777777" w:rsidR="00C3276D" w:rsidRPr="00EA13AA" w:rsidRDefault="00C3276D" w:rsidP="009A5284">
            <w:pPr>
              <w:pStyle w:val="ListParagraph"/>
              <w:ind w:left="0"/>
              <w:rPr>
                <w:rFonts w:ascii="Cambria" w:hAnsi="Cambria"/>
                <w:b w:val="0"/>
              </w:rPr>
            </w:pPr>
          </w:p>
        </w:tc>
        <w:tc>
          <w:tcPr>
            <w:tcW w:w="4403" w:type="dxa"/>
          </w:tcPr>
          <w:p w14:paraId="3BC6A077" w14:textId="6DB4E68D" w:rsidR="00C3276D" w:rsidRPr="00FD2E93" w:rsidRDefault="00C3276D" w:rsidP="009A5284">
            <w:pPr>
              <w:pStyle w:val="ListParagraph"/>
              <w:ind w:left="0"/>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rPr>
              <w:t xml:space="preserve">Communications in the Church also need to focus on outreach, training and equipping people, rather than just information </w:t>
            </w:r>
            <w:r w:rsidR="00EA13AA">
              <w:rPr>
                <w:rFonts w:ascii="Cambria" w:hAnsi="Cambria"/>
              </w:rPr>
              <w:t>sharing</w:t>
            </w:r>
          </w:p>
        </w:tc>
      </w:tr>
      <w:tr w:rsidR="00C3276D" w:rsidRPr="00FD2E93" w14:paraId="04B16E0E" w14:textId="77777777" w:rsidTr="00EA13AA">
        <w:tc>
          <w:tcPr>
            <w:cnfStyle w:val="001000000000" w:firstRow="0" w:lastRow="0" w:firstColumn="1" w:lastColumn="0" w:oddVBand="0" w:evenVBand="0" w:oddHBand="0" w:evenHBand="0" w:firstRowFirstColumn="0" w:firstRowLastColumn="0" w:lastRowFirstColumn="0" w:lastRowLastColumn="0"/>
            <w:tcW w:w="4403" w:type="dxa"/>
            <w:gridSpan w:val="2"/>
          </w:tcPr>
          <w:p w14:paraId="62D4F0A9" w14:textId="4F2EFDBA" w:rsidR="00C3276D" w:rsidRPr="00EA13AA" w:rsidRDefault="00C3276D" w:rsidP="009A5284">
            <w:pPr>
              <w:pStyle w:val="ListParagraph"/>
              <w:ind w:left="0"/>
              <w:rPr>
                <w:rFonts w:ascii="Cambria" w:hAnsi="Cambria"/>
                <w:b w:val="0"/>
              </w:rPr>
            </w:pPr>
            <w:r w:rsidRPr="00EA13AA">
              <w:rPr>
                <w:rFonts w:ascii="Cambria" w:hAnsi="Cambria"/>
                <w:b w:val="0"/>
              </w:rPr>
              <w:t>Professional look to congregational websites; good progress on branding; valued as a local resource that Pastor can use for teaching, outreach; helping to get news about church</w:t>
            </w:r>
            <w:r w:rsidR="00EA13AA">
              <w:rPr>
                <w:rFonts w:ascii="Cambria" w:hAnsi="Cambria"/>
                <w:b w:val="0"/>
              </w:rPr>
              <w:t xml:space="preserve"> planting and local mission out</w:t>
            </w:r>
          </w:p>
        </w:tc>
        <w:tc>
          <w:tcPr>
            <w:tcW w:w="4403" w:type="dxa"/>
          </w:tcPr>
          <w:p w14:paraId="1E2175D0" w14:textId="77777777" w:rsidR="00C3276D" w:rsidRPr="00FD2E93" w:rsidRDefault="00C3276D" w:rsidP="009A5284">
            <w:pPr>
              <w:pStyle w:val="ListParagraph"/>
              <w:ind w:left="0"/>
              <w:cnfStyle w:val="000000000000" w:firstRow="0" w:lastRow="0" w:firstColumn="0" w:lastColumn="0" w:oddVBand="0" w:evenVBand="0" w:oddHBand="0" w:evenHBand="0" w:firstRowFirstColumn="0" w:firstRowLastColumn="0" w:lastRowFirstColumn="0" w:lastRowLastColumn="0"/>
              <w:rPr>
                <w:rFonts w:ascii="Cambria" w:hAnsi="Cambria"/>
              </w:rPr>
            </w:pPr>
            <w:r w:rsidRPr="00FD2E93">
              <w:rPr>
                <w:rFonts w:ascii="Cambria" w:hAnsi="Cambria"/>
              </w:rPr>
              <w:t>Many congregational members express lack of a local website, don’t feel supported in areas where access is limited. Some unaware of what they can access directly as a congregation.</w:t>
            </w:r>
          </w:p>
        </w:tc>
      </w:tr>
      <w:tr w:rsidR="00C3276D" w:rsidRPr="00FD2E93" w14:paraId="20850EDE" w14:textId="77777777" w:rsidTr="00EA1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3" w:type="dxa"/>
            <w:gridSpan w:val="2"/>
          </w:tcPr>
          <w:p w14:paraId="25D7B91F" w14:textId="77777777" w:rsidR="00C3276D" w:rsidRPr="00EA13AA" w:rsidRDefault="00C3276D" w:rsidP="009A5284">
            <w:pPr>
              <w:pStyle w:val="ListParagraph"/>
              <w:ind w:left="0"/>
              <w:rPr>
                <w:rFonts w:ascii="Cambria" w:hAnsi="Cambria"/>
                <w:b w:val="0"/>
              </w:rPr>
            </w:pPr>
            <w:r w:rsidRPr="00EA13AA">
              <w:rPr>
                <w:rFonts w:ascii="Cambria" w:hAnsi="Cambria"/>
                <w:b w:val="0"/>
              </w:rPr>
              <w:t>Lines of communication between congregations and national Church are now much easier</w:t>
            </w:r>
          </w:p>
        </w:tc>
        <w:tc>
          <w:tcPr>
            <w:tcW w:w="4403" w:type="dxa"/>
          </w:tcPr>
          <w:p w14:paraId="09A881B7" w14:textId="22311D28" w:rsidR="00C3276D" w:rsidRPr="00FD2E93" w:rsidRDefault="00C3276D" w:rsidP="009A5284">
            <w:pPr>
              <w:pStyle w:val="ListParagraph"/>
              <w:ind w:left="0"/>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rPr>
              <w:t>Service times would be useful on local congregation websites to assist tho</w:t>
            </w:r>
            <w:r w:rsidR="00EA13AA">
              <w:rPr>
                <w:rFonts w:ascii="Cambria" w:hAnsi="Cambria"/>
              </w:rPr>
              <w:t>se visiting (used to have this)</w:t>
            </w:r>
          </w:p>
        </w:tc>
      </w:tr>
      <w:tr w:rsidR="00C3276D" w:rsidRPr="00FD2E93" w14:paraId="5D3C869C" w14:textId="77777777" w:rsidTr="00EA13AA">
        <w:tc>
          <w:tcPr>
            <w:cnfStyle w:val="001000000000" w:firstRow="0" w:lastRow="0" w:firstColumn="1" w:lastColumn="0" w:oddVBand="0" w:evenVBand="0" w:oddHBand="0" w:evenHBand="0" w:firstRowFirstColumn="0" w:firstRowLastColumn="0" w:lastRowFirstColumn="0" w:lastRowLastColumn="0"/>
            <w:tcW w:w="4403" w:type="dxa"/>
            <w:gridSpan w:val="2"/>
          </w:tcPr>
          <w:p w14:paraId="2B9815C5" w14:textId="77777777" w:rsidR="00C3276D" w:rsidRPr="00EA13AA" w:rsidRDefault="00C3276D" w:rsidP="009A5284">
            <w:pPr>
              <w:pStyle w:val="ListParagraph"/>
              <w:ind w:left="0"/>
              <w:rPr>
                <w:rFonts w:ascii="Cambria" w:hAnsi="Cambria"/>
                <w:b w:val="0"/>
              </w:rPr>
            </w:pPr>
            <w:r w:rsidRPr="00EA13AA">
              <w:rPr>
                <w:rFonts w:ascii="Cambria" w:hAnsi="Cambria"/>
                <w:b w:val="0"/>
              </w:rPr>
              <w:t>The access to resources is appreciated</w:t>
            </w:r>
          </w:p>
          <w:p w14:paraId="0487E61C" w14:textId="77777777" w:rsidR="00C3276D" w:rsidRPr="00EA13AA" w:rsidRDefault="00C3276D" w:rsidP="009A5284">
            <w:pPr>
              <w:pStyle w:val="ListParagraph"/>
              <w:ind w:left="0"/>
              <w:rPr>
                <w:rFonts w:ascii="Cambria" w:hAnsi="Cambria"/>
                <w:b w:val="0"/>
              </w:rPr>
            </w:pPr>
          </w:p>
        </w:tc>
        <w:tc>
          <w:tcPr>
            <w:tcW w:w="4403" w:type="dxa"/>
          </w:tcPr>
          <w:p w14:paraId="6FF676E8" w14:textId="7955BE31" w:rsidR="00C3276D" w:rsidRPr="00FD2E93" w:rsidRDefault="00C3276D" w:rsidP="009A5284">
            <w:pPr>
              <w:pStyle w:val="ListParagraph"/>
              <w:ind w:left="0"/>
              <w:cnfStyle w:val="000000000000" w:firstRow="0" w:lastRow="0" w:firstColumn="0" w:lastColumn="0" w:oddVBand="0" w:evenVBand="0" w:oddHBand="0" w:evenHBand="0" w:firstRowFirstColumn="0" w:firstRowLastColumn="0" w:lastRowFirstColumn="0" w:lastRowLastColumn="0"/>
              <w:rPr>
                <w:rFonts w:ascii="Cambria" w:hAnsi="Cambria"/>
              </w:rPr>
            </w:pPr>
            <w:r w:rsidRPr="00FD2E93">
              <w:rPr>
                <w:rFonts w:ascii="Cambria" w:hAnsi="Cambria"/>
              </w:rPr>
              <w:t>Getting messages out seems to have more focus than mission; need to remember that Commu</w:t>
            </w:r>
            <w:r w:rsidR="00EA13AA">
              <w:rPr>
                <w:rFonts w:ascii="Cambria" w:hAnsi="Cambria"/>
              </w:rPr>
              <w:t>nications is only the mechanism</w:t>
            </w:r>
          </w:p>
        </w:tc>
      </w:tr>
      <w:tr w:rsidR="00C3276D" w:rsidRPr="00FD2E93" w14:paraId="334DF49C" w14:textId="77777777" w:rsidTr="00EA1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3" w:type="dxa"/>
            <w:gridSpan w:val="2"/>
          </w:tcPr>
          <w:p w14:paraId="7604F0E6" w14:textId="77777777" w:rsidR="00C3276D" w:rsidRPr="00EA13AA" w:rsidRDefault="00C3276D" w:rsidP="009A5284">
            <w:pPr>
              <w:pStyle w:val="ListParagraph"/>
              <w:ind w:left="0"/>
              <w:rPr>
                <w:rFonts w:ascii="Cambria" w:hAnsi="Cambria"/>
                <w:b w:val="0"/>
              </w:rPr>
            </w:pPr>
            <w:r w:rsidRPr="00EA13AA">
              <w:rPr>
                <w:rFonts w:ascii="Cambria" w:hAnsi="Cambria"/>
                <w:b w:val="0"/>
              </w:rPr>
              <w:t>One stop shop for communications has made sending messages throughout the Church more efficient and thereby enabled them to be more regular</w:t>
            </w:r>
          </w:p>
        </w:tc>
        <w:tc>
          <w:tcPr>
            <w:tcW w:w="4403" w:type="dxa"/>
          </w:tcPr>
          <w:p w14:paraId="66E326A2" w14:textId="48D44CCC" w:rsidR="00C3276D" w:rsidRPr="00FD2E93" w:rsidRDefault="00C3276D" w:rsidP="009A5284">
            <w:pPr>
              <w:pStyle w:val="ListParagraph"/>
              <w:ind w:left="0"/>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rPr>
              <w:t>Many members don’t have computers or want to access this way, so less information is flowing to them than previously; need a communications strategy and means</w:t>
            </w:r>
            <w:r w:rsidR="00EA13AA">
              <w:rPr>
                <w:rFonts w:ascii="Cambria" w:hAnsi="Cambria"/>
              </w:rPr>
              <w:t xml:space="preserve"> to continue for older members </w:t>
            </w:r>
          </w:p>
        </w:tc>
      </w:tr>
      <w:tr w:rsidR="00C3276D" w:rsidRPr="00FD2E93" w14:paraId="303FDA5B" w14:textId="77777777" w:rsidTr="00EA13AA">
        <w:tc>
          <w:tcPr>
            <w:cnfStyle w:val="001000000000" w:firstRow="0" w:lastRow="0" w:firstColumn="1" w:lastColumn="0" w:oddVBand="0" w:evenVBand="0" w:oddHBand="0" w:evenHBand="0" w:firstRowFirstColumn="0" w:firstRowLastColumn="0" w:lastRowFirstColumn="0" w:lastRowLastColumn="0"/>
            <w:tcW w:w="4403" w:type="dxa"/>
            <w:gridSpan w:val="2"/>
          </w:tcPr>
          <w:p w14:paraId="50ADE3C1" w14:textId="77777777" w:rsidR="00C3276D" w:rsidRPr="00EA13AA" w:rsidRDefault="00C3276D" w:rsidP="009A5284">
            <w:pPr>
              <w:pStyle w:val="ListParagraph"/>
              <w:ind w:left="0"/>
              <w:rPr>
                <w:rFonts w:ascii="Cambria" w:hAnsi="Cambria"/>
                <w:b w:val="0"/>
              </w:rPr>
            </w:pPr>
            <w:r w:rsidRPr="00EA13AA">
              <w:rPr>
                <w:rFonts w:ascii="Cambria" w:hAnsi="Cambria"/>
                <w:b w:val="0"/>
              </w:rPr>
              <w:t>Increased online presence = less phone calls and delays = more efficiency</w:t>
            </w:r>
          </w:p>
        </w:tc>
        <w:tc>
          <w:tcPr>
            <w:tcW w:w="4403" w:type="dxa"/>
          </w:tcPr>
          <w:p w14:paraId="459CED13" w14:textId="0323BAB5" w:rsidR="00C3276D" w:rsidRPr="00FD2E93" w:rsidRDefault="00C3276D" w:rsidP="009A5284">
            <w:pPr>
              <w:pStyle w:val="ListParagraph"/>
              <w:ind w:left="0"/>
              <w:cnfStyle w:val="000000000000" w:firstRow="0" w:lastRow="0" w:firstColumn="0" w:lastColumn="0" w:oddVBand="0" w:evenVBand="0" w:oddHBand="0" w:evenHBand="0" w:firstRowFirstColumn="0" w:firstRowLastColumn="0" w:lastRowFirstColumn="0" w:lastRowLastColumn="0"/>
              <w:rPr>
                <w:rFonts w:ascii="Cambria" w:hAnsi="Cambria"/>
              </w:rPr>
            </w:pPr>
            <w:r w:rsidRPr="00FD2E93">
              <w:rPr>
                <w:rFonts w:ascii="Cambria" w:hAnsi="Cambria"/>
              </w:rPr>
              <w:t xml:space="preserve">Social media clunky, requires too many clicks; uses high traffic times; not reflecting users preferred methods </w:t>
            </w:r>
            <w:r w:rsidR="00EA13AA" w:rsidRPr="00FD2E93">
              <w:rPr>
                <w:rFonts w:ascii="Cambria" w:hAnsi="Cambria"/>
              </w:rPr>
              <w:t>e.g.</w:t>
            </w:r>
            <w:r w:rsidRPr="00FD2E93">
              <w:rPr>
                <w:rFonts w:ascii="Cambria" w:hAnsi="Cambria"/>
              </w:rPr>
              <w:t xml:space="preserve"> video/image; </w:t>
            </w:r>
            <w:r w:rsidR="00EA13AA">
              <w:rPr>
                <w:rFonts w:ascii="Cambria" w:hAnsi="Cambria"/>
              </w:rPr>
              <w:t>provide more photos (and names)</w:t>
            </w:r>
          </w:p>
        </w:tc>
      </w:tr>
      <w:tr w:rsidR="00C3276D" w:rsidRPr="00FD2E93" w14:paraId="7753BDD9" w14:textId="77777777" w:rsidTr="00EA1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3" w:type="dxa"/>
            <w:gridSpan w:val="2"/>
          </w:tcPr>
          <w:p w14:paraId="1CA8907B" w14:textId="7199A0FA" w:rsidR="00C3276D" w:rsidRPr="00EA13AA" w:rsidRDefault="00C3276D" w:rsidP="009A5284">
            <w:pPr>
              <w:pStyle w:val="ListParagraph"/>
              <w:ind w:left="0"/>
              <w:rPr>
                <w:rFonts w:ascii="Cambria" w:hAnsi="Cambria"/>
                <w:b w:val="0"/>
              </w:rPr>
            </w:pPr>
            <w:r w:rsidRPr="00EA13AA">
              <w:rPr>
                <w:rFonts w:ascii="Cambria" w:hAnsi="Cambria"/>
                <w:b w:val="0"/>
              </w:rPr>
              <w:t xml:space="preserve">Advertising support from Communications service area has greatly assist the Nominations Committee to attract better, broader range of candidates for Church </w:t>
            </w:r>
            <w:r w:rsidR="00EA13AA">
              <w:rPr>
                <w:rFonts w:ascii="Cambria" w:hAnsi="Cambria"/>
                <w:b w:val="0"/>
              </w:rPr>
              <w:t>c</w:t>
            </w:r>
            <w:r w:rsidRPr="00EA13AA">
              <w:rPr>
                <w:rFonts w:ascii="Cambria" w:hAnsi="Cambria"/>
                <w:b w:val="0"/>
              </w:rPr>
              <w:t>ommittees = added value for the whole Church</w:t>
            </w:r>
          </w:p>
        </w:tc>
        <w:tc>
          <w:tcPr>
            <w:tcW w:w="4403" w:type="dxa"/>
          </w:tcPr>
          <w:p w14:paraId="09BB73BD" w14:textId="77777777" w:rsidR="00C3276D" w:rsidRPr="00FD2E93" w:rsidRDefault="00C3276D" w:rsidP="009A5284">
            <w:pPr>
              <w:pStyle w:val="ListParagraph"/>
              <w:ind w:left="0"/>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rPr>
              <w:t>Some congregations (in the minority) developing their own apps or websites, more tailored to the local needs and interests, so see them as better quality than LCA product</w:t>
            </w:r>
          </w:p>
        </w:tc>
      </w:tr>
      <w:tr w:rsidR="00C3276D" w:rsidRPr="00FD2E93" w14:paraId="3A226BA9" w14:textId="77777777" w:rsidTr="00EA13AA">
        <w:tc>
          <w:tcPr>
            <w:cnfStyle w:val="001000000000" w:firstRow="0" w:lastRow="0" w:firstColumn="1" w:lastColumn="0" w:oddVBand="0" w:evenVBand="0" w:oddHBand="0" w:evenHBand="0" w:firstRowFirstColumn="0" w:firstRowLastColumn="0" w:lastRowFirstColumn="0" w:lastRowLastColumn="0"/>
            <w:tcW w:w="4403" w:type="dxa"/>
            <w:gridSpan w:val="2"/>
          </w:tcPr>
          <w:p w14:paraId="62A723C4" w14:textId="77777777" w:rsidR="00C3276D" w:rsidRPr="00EA13AA" w:rsidRDefault="00C3276D" w:rsidP="009A5284">
            <w:pPr>
              <w:pStyle w:val="ListParagraph"/>
              <w:ind w:left="0"/>
              <w:rPr>
                <w:rFonts w:ascii="Cambria" w:hAnsi="Cambria"/>
                <w:b w:val="0"/>
              </w:rPr>
            </w:pPr>
            <w:r w:rsidRPr="00EA13AA">
              <w:rPr>
                <w:rFonts w:ascii="Cambria" w:hAnsi="Cambria"/>
                <w:b w:val="0"/>
              </w:rPr>
              <w:lastRenderedPageBreak/>
              <w:t>Electronic blogs valued</w:t>
            </w:r>
          </w:p>
        </w:tc>
        <w:tc>
          <w:tcPr>
            <w:tcW w:w="4403" w:type="dxa"/>
          </w:tcPr>
          <w:p w14:paraId="411412CF" w14:textId="77777777" w:rsidR="00C3276D" w:rsidRPr="00FD2E93" w:rsidRDefault="00C3276D" w:rsidP="009A5284">
            <w:pPr>
              <w:pStyle w:val="ListParagraph"/>
              <w:ind w:left="0"/>
              <w:cnfStyle w:val="000000000000" w:firstRow="0" w:lastRow="0" w:firstColumn="0" w:lastColumn="0" w:oddVBand="0" w:evenVBand="0" w:oddHBand="0" w:evenHBand="0" w:firstRowFirstColumn="0" w:firstRowLastColumn="0" w:lastRowFirstColumn="0" w:lastRowLastColumn="0"/>
              <w:rPr>
                <w:rFonts w:ascii="Cambria" w:hAnsi="Cambria"/>
              </w:rPr>
            </w:pPr>
            <w:r w:rsidRPr="00FD2E93">
              <w:rPr>
                <w:rFonts w:ascii="Cambria" w:hAnsi="Cambria"/>
              </w:rPr>
              <w:t>Suggest web pages with content from thought leaders, where members can get answers to key questions; need spiritual substance; suggest inputs from Commissions</w:t>
            </w:r>
          </w:p>
        </w:tc>
      </w:tr>
      <w:tr w:rsidR="00C3276D" w:rsidRPr="00FD2E93" w14:paraId="6CEC87C6" w14:textId="77777777" w:rsidTr="00EA1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3" w:type="dxa"/>
            <w:gridSpan w:val="2"/>
          </w:tcPr>
          <w:p w14:paraId="558911C7" w14:textId="77777777" w:rsidR="00C3276D" w:rsidRPr="00EA13AA" w:rsidRDefault="00C3276D" w:rsidP="009A5284">
            <w:pPr>
              <w:pStyle w:val="ListParagraph"/>
              <w:ind w:left="0"/>
              <w:rPr>
                <w:rFonts w:ascii="Cambria" w:hAnsi="Cambria"/>
                <w:b w:val="0"/>
              </w:rPr>
            </w:pPr>
            <w:r w:rsidRPr="00EA13AA">
              <w:rPr>
                <w:rFonts w:ascii="Cambria" w:hAnsi="Cambria"/>
                <w:b w:val="0"/>
              </w:rPr>
              <w:t>Facebook valued by adults for the younger people in their lives and congregations</w:t>
            </w:r>
          </w:p>
        </w:tc>
        <w:tc>
          <w:tcPr>
            <w:tcW w:w="4403" w:type="dxa"/>
          </w:tcPr>
          <w:p w14:paraId="59960FE4" w14:textId="7E3BA5BE" w:rsidR="00C3276D" w:rsidRPr="00FD2E93" w:rsidRDefault="00C3276D" w:rsidP="009A5284">
            <w:pPr>
              <w:pStyle w:val="ListParagraph"/>
              <w:ind w:left="0"/>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rPr>
              <w:t>LAMP2 implementation is urgent so congregations can readily update congregational webs</w:t>
            </w:r>
            <w:r w:rsidR="00EA13AA">
              <w:rPr>
                <w:rFonts w:ascii="Cambria" w:hAnsi="Cambria"/>
              </w:rPr>
              <w:t>ites</w:t>
            </w:r>
          </w:p>
        </w:tc>
      </w:tr>
      <w:tr w:rsidR="00C3276D" w:rsidRPr="00FD2E93" w14:paraId="450AE086" w14:textId="77777777" w:rsidTr="00EA13AA">
        <w:tc>
          <w:tcPr>
            <w:cnfStyle w:val="001000000000" w:firstRow="0" w:lastRow="0" w:firstColumn="1" w:lastColumn="0" w:oddVBand="0" w:evenVBand="0" w:oddHBand="0" w:evenHBand="0" w:firstRowFirstColumn="0" w:firstRowLastColumn="0" w:lastRowFirstColumn="0" w:lastRowLastColumn="0"/>
            <w:tcW w:w="4380" w:type="dxa"/>
          </w:tcPr>
          <w:p w14:paraId="1F546568" w14:textId="77777777" w:rsidR="00C3276D" w:rsidRPr="00EA13AA" w:rsidRDefault="00C3276D" w:rsidP="009A5284">
            <w:pPr>
              <w:pStyle w:val="ListParagraph"/>
              <w:ind w:left="0"/>
              <w:rPr>
                <w:rFonts w:ascii="Cambria" w:hAnsi="Cambria"/>
                <w:b w:val="0"/>
              </w:rPr>
            </w:pPr>
          </w:p>
        </w:tc>
        <w:tc>
          <w:tcPr>
            <w:tcW w:w="4426" w:type="dxa"/>
            <w:gridSpan w:val="2"/>
          </w:tcPr>
          <w:p w14:paraId="6E90D366" w14:textId="633A37F0" w:rsidR="00C3276D" w:rsidRPr="00FD2E93" w:rsidRDefault="00C3276D" w:rsidP="009A5284">
            <w:pPr>
              <w:pStyle w:val="ListParagraph"/>
              <w:ind w:left="0"/>
              <w:cnfStyle w:val="000000000000" w:firstRow="0" w:lastRow="0" w:firstColumn="0" w:lastColumn="0" w:oddVBand="0" w:evenVBand="0" w:oddHBand="0" w:evenHBand="0" w:firstRowFirstColumn="0" w:firstRowLastColumn="0" w:lastRowFirstColumn="0" w:lastRowLastColumn="0"/>
              <w:rPr>
                <w:rFonts w:ascii="Cambria" w:hAnsi="Cambria"/>
              </w:rPr>
            </w:pPr>
            <w:r w:rsidRPr="00FD2E93">
              <w:rPr>
                <w:rFonts w:ascii="Cambria" w:hAnsi="Cambria"/>
              </w:rPr>
              <w:t xml:space="preserve">Need online mechanisms for those for whom </w:t>
            </w:r>
            <w:r w:rsidR="00EA13AA">
              <w:rPr>
                <w:rFonts w:ascii="Cambria" w:hAnsi="Cambria"/>
              </w:rPr>
              <w:t>English is not a first language</w:t>
            </w:r>
          </w:p>
        </w:tc>
      </w:tr>
      <w:tr w:rsidR="00C3276D" w:rsidRPr="00FD2E93" w14:paraId="5188A74B" w14:textId="77777777" w:rsidTr="00EA1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0" w:type="dxa"/>
          </w:tcPr>
          <w:p w14:paraId="4D5440E2" w14:textId="77777777" w:rsidR="00C3276D" w:rsidRPr="00EA13AA" w:rsidRDefault="00C3276D" w:rsidP="009A5284">
            <w:pPr>
              <w:pStyle w:val="ListParagraph"/>
              <w:ind w:left="0"/>
              <w:rPr>
                <w:rFonts w:ascii="Cambria" w:hAnsi="Cambria"/>
                <w:b w:val="0"/>
              </w:rPr>
            </w:pPr>
          </w:p>
        </w:tc>
        <w:tc>
          <w:tcPr>
            <w:tcW w:w="4426" w:type="dxa"/>
            <w:gridSpan w:val="2"/>
          </w:tcPr>
          <w:p w14:paraId="132A1C34" w14:textId="286A8B58" w:rsidR="00C3276D" w:rsidRPr="00FD2E93" w:rsidRDefault="00C3276D" w:rsidP="009A5284">
            <w:pPr>
              <w:pStyle w:val="ListParagraph"/>
              <w:ind w:left="0"/>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rPr>
              <w:t>Unsubscribing is clunky; multiple copi</w:t>
            </w:r>
            <w:r w:rsidR="00EA13AA">
              <w:rPr>
                <w:rFonts w:ascii="Cambria" w:hAnsi="Cambria"/>
              </w:rPr>
              <w:t>es received and can’t stop this</w:t>
            </w:r>
          </w:p>
        </w:tc>
      </w:tr>
      <w:tr w:rsidR="00C3276D" w:rsidRPr="00FD2E93" w14:paraId="6870D04D" w14:textId="77777777" w:rsidTr="00EA13AA">
        <w:tc>
          <w:tcPr>
            <w:cnfStyle w:val="001000000000" w:firstRow="0" w:lastRow="0" w:firstColumn="1" w:lastColumn="0" w:oddVBand="0" w:evenVBand="0" w:oddHBand="0" w:evenHBand="0" w:firstRowFirstColumn="0" w:firstRowLastColumn="0" w:lastRowFirstColumn="0" w:lastRowLastColumn="0"/>
            <w:tcW w:w="4380" w:type="dxa"/>
          </w:tcPr>
          <w:p w14:paraId="0286CF20" w14:textId="77777777" w:rsidR="00C3276D" w:rsidRPr="00EA13AA" w:rsidRDefault="00C3276D" w:rsidP="009A5284">
            <w:pPr>
              <w:pStyle w:val="ListParagraph"/>
              <w:ind w:left="0"/>
              <w:rPr>
                <w:rFonts w:ascii="Cambria" w:hAnsi="Cambria"/>
                <w:b w:val="0"/>
              </w:rPr>
            </w:pPr>
          </w:p>
        </w:tc>
        <w:tc>
          <w:tcPr>
            <w:tcW w:w="4426" w:type="dxa"/>
            <w:gridSpan w:val="2"/>
          </w:tcPr>
          <w:p w14:paraId="7F33271F" w14:textId="6823B70E" w:rsidR="00C3276D" w:rsidRPr="00FD2E93" w:rsidRDefault="00C3276D" w:rsidP="009A5284">
            <w:pPr>
              <w:pStyle w:val="ListParagraph"/>
              <w:ind w:left="0"/>
              <w:cnfStyle w:val="000000000000" w:firstRow="0" w:lastRow="0" w:firstColumn="0" w:lastColumn="0" w:oddVBand="0" w:evenVBand="0" w:oddHBand="0" w:evenHBand="0" w:firstRowFirstColumn="0" w:firstRowLastColumn="0" w:lastRowFirstColumn="0" w:lastRowLastColumn="0"/>
              <w:rPr>
                <w:rFonts w:ascii="Cambria" w:hAnsi="Cambria"/>
              </w:rPr>
            </w:pPr>
            <w:r w:rsidRPr="00FD2E93">
              <w:rPr>
                <w:rFonts w:ascii="Cambria" w:hAnsi="Cambria"/>
              </w:rPr>
              <w:t>Suggest some online tutorials that could help the non-tech savvy members learn how to find key a</w:t>
            </w:r>
            <w:r w:rsidR="00EA13AA">
              <w:rPr>
                <w:rFonts w:ascii="Cambria" w:hAnsi="Cambria"/>
              </w:rPr>
              <w:t>reas of interest</w:t>
            </w:r>
          </w:p>
        </w:tc>
      </w:tr>
      <w:tr w:rsidR="00C3276D" w:rsidRPr="00FD2E93" w14:paraId="5EA84951" w14:textId="77777777" w:rsidTr="00EA1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0" w:type="dxa"/>
          </w:tcPr>
          <w:p w14:paraId="4AF41B39" w14:textId="77777777" w:rsidR="00C3276D" w:rsidRPr="00FD2E93" w:rsidRDefault="00C3276D" w:rsidP="009A5284">
            <w:pPr>
              <w:pStyle w:val="ListParagraph"/>
              <w:ind w:left="0"/>
              <w:rPr>
                <w:rFonts w:ascii="Cambria" w:hAnsi="Cambria"/>
              </w:rPr>
            </w:pPr>
          </w:p>
        </w:tc>
        <w:tc>
          <w:tcPr>
            <w:tcW w:w="4426" w:type="dxa"/>
            <w:gridSpan w:val="2"/>
          </w:tcPr>
          <w:p w14:paraId="573D1DAD" w14:textId="532009BA" w:rsidR="00C3276D" w:rsidRPr="00FD2E93" w:rsidRDefault="00C3276D" w:rsidP="009A5284">
            <w:pPr>
              <w:pStyle w:val="ListParagraph"/>
              <w:ind w:left="0"/>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rPr>
              <w:t>Suggest m</w:t>
            </w:r>
            <w:r w:rsidR="00EA13AA">
              <w:rPr>
                <w:rFonts w:ascii="Cambria" w:hAnsi="Cambria"/>
              </w:rPr>
              <w:t>ore children’s resources online</w:t>
            </w:r>
          </w:p>
        </w:tc>
      </w:tr>
      <w:tr w:rsidR="00C3276D" w:rsidRPr="00FD2E93" w14:paraId="3A65AB05" w14:textId="77777777" w:rsidTr="00EA13AA">
        <w:tc>
          <w:tcPr>
            <w:cnfStyle w:val="001000000000" w:firstRow="0" w:lastRow="0" w:firstColumn="1" w:lastColumn="0" w:oddVBand="0" w:evenVBand="0" w:oddHBand="0" w:evenHBand="0" w:firstRowFirstColumn="0" w:firstRowLastColumn="0" w:lastRowFirstColumn="0" w:lastRowLastColumn="0"/>
            <w:tcW w:w="4380" w:type="dxa"/>
          </w:tcPr>
          <w:p w14:paraId="79118F99" w14:textId="77777777" w:rsidR="00C3276D" w:rsidRPr="00FD2E93" w:rsidRDefault="00C3276D" w:rsidP="009A5284">
            <w:pPr>
              <w:pStyle w:val="ListParagraph"/>
              <w:ind w:left="0"/>
              <w:rPr>
                <w:rFonts w:ascii="Cambria" w:hAnsi="Cambria"/>
              </w:rPr>
            </w:pPr>
          </w:p>
        </w:tc>
        <w:tc>
          <w:tcPr>
            <w:tcW w:w="4426" w:type="dxa"/>
            <w:gridSpan w:val="2"/>
          </w:tcPr>
          <w:p w14:paraId="0371A8CE" w14:textId="2501C124" w:rsidR="00C3276D" w:rsidRPr="00FD2E93" w:rsidRDefault="00C3276D" w:rsidP="009A5284">
            <w:pPr>
              <w:pStyle w:val="ListParagraph"/>
              <w:ind w:left="0"/>
              <w:cnfStyle w:val="000000000000" w:firstRow="0" w:lastRow="0" w:firstColumn="0" w:lastColumn="0" w:oddVBand="0" w:evenVBand="0" w:oddHBand="0" w:evenHBand="0" w:firstRowFirstColumn="0" w:firstRowLastColumn="0" w:lastRowFirstColumn="0" w:lastRowLastColumn="0"/>
              <w:rPr>
                <w:rFonts w:ascii="Cambria" w:hAnsi="Cambria"/>
              </w:rPr>
            </w:pPr>
            <w:r w:rsidRPr="00FD2E93">
              <w:rPr>
                <w:rFonts w:ascii="Cambria" w:hAnsi="Cambria"/>
              </w:rPr>
              <w:t xml:space="preserve">Communication with stakeholders about roll-out times </w:t>
            </w:r>
            <w:r w:rsidR="00EA13AA">
              <w:rPr>
                <w:rFonts w:ascii="Cambria" w:hAnsi="Cambria"/>
              </w:rPr>
              <w:t>or their delay needs to improve</w:t>
            </w:r>
          </w:p>
        </w:tc>
      </w:tr>
      <w:tr w:rsidR="00C3276D" w:rsidRPr="00FD2E93" w14:paraId="6679155F" w14:textId="77777777" w:rsidTr="00EA1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0" w:type="dxa"/>
          </w:tcPr>
          <w:p w14:paraId="695EC3E4" w14:textId="77777777" w:rsidR="00C3276D" w:rsidRPr="00FD2E93" w:rsidRDefault="00C3276D" w:rsidP="009A5284">
            <w:pPr>
              <w:pStyle w:val="ListParagraph"/>
              <w:ind w:left="0"/>
              <w:rPr>
                <w:rFonts w:ascii="Cambria" w:hAnsi="Cambria"/>
              </w:rPr>
            </w:pPr>
          </w:p>
        </w:tc>
        <w:tc>
          <w:tcPr>
            <w:tcW w:w="4426" w:type="dxa"/>
            <w:gridSpan w:val="2"/>
          </w:tcPr>
          <w:p w14:paraId="2A219C62" w14:textId="796FF6C3" w:rsidR="00C3276D" w:rsidRPr="00FD2E93" w:rsidRDefault="00C3276D" w:rsidP="009A5284">
            <w:pPr>
              <w:pStyle w:val="ListParagraph"/>
              <w:ind w:left="0"/>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rPr>
              <w:t>Establish central resource/data base storage for all to access for resources for worship such as hymn ly</w:t>
            </w:r>
            <w:r w:rsidR="00EA13AA">
              <w:rPr>
                <w:rFonts w:ascii="Cambria" w:hAnsi="Cambria"/>
              </w:rPr>
              <w:t>rics, music</w:t>
            </w:r>
          </w:p>
        </w:tc>
      </w:tr>
      <w:tr w:rsidR="00C3276D" w:rsidRPr="00FD2E93" w14:paraId="77815505" w14:textId="77777777" w:rsidTr="00EA13AA">
        <w:tc>
          <w:tcPr>
            <w:cnfStyle w:val="001000000000" w:firstRow="0" w:lastRow="0" w:firstColumn="1" w:lastColumn="0" w:oddVBand="0" w:evenVBand="0" w:oddHBand="0" w:evenHBand="0" w:firstRowFirstColumn="0" w:firstRowLastColumn="0" w:lastRowFirstColumn="0" w:lastRowLastColumn="0"/>
            <w:tcW w:w="4380" w:type="dxa"/>
          </w:tcPr>
          <w:p w14:paraId="4E35B913" w14:textId="77777777" w:rsidR="00C3276D" w:rsidRPr="00FD2E93" w:rsidRDefault="00C3276D" w:rsidP="009A5284">
            <w:pPr>
              <w:pStyle w:val="ListParagraph"/>
              <w:ind w:left="0"/>
              <w:rPr>
                <w:rFonts w:ascii="Cambria" w:hAnsi="Cambria"/>
              </w:rPr>
            </w:pPr>
          </w:p>
        </w:tc>
        <w:tc>
          <w:tcPr>
            <w:tcW w:w="4426" w:type="dxa"/>
            <w:gridSpan w:val="2"/>
          </w:tcPr>
          <w:p w14:paraId="5CD87806" w14:textId="49E2ACD9" w:rsidR="00C3276D" w:rsidRPr="00FD2E93" w:rsidRDefault="00C3276D" w:rsidP="009A5284">
            <w:pPr>
              <w:pStyle w:val="ListParagraph"/>
              <w:ind w:left="0"/>
              <w:cnfStyle w:val="000000000000" w:firstRow="0" w:lastRow="0" w:firstColumn="0" w:lastColumn="0" w:oddVBand="0" w:evenVBand="0" w:oddHBand="0" w:evenHBand="0" w:firstRowFirstColumn="0" w:firstRowLastColumn="0" w:lastRowFirstColumn="0" w:lastRowLastColumn="0"/>
              <w:rPr>
                <w:rFonts w:ascii="Cambria" w:hAnsi="Cambria"/>
              </w:rPr>
            </w:pPr>
            <w:r w:rsidRPr="00FD2E93">
              <w:rPr>
                <w:rFonts w:ascii="Cambria" w:hAnsi="Cambria"/>
              </w:rPr>
              <w:t xml:space="preserve">‘How </w:t>
            </w:r>
            <w:r w:rsidR="00EA13AA">
              <w:rPr>
                <w:rFonts w:ascii="Cambria" w:hAnsi="Cambria"/>
              </w:rPr>
              <w:t>to give a donation’ is too hard</w:t>
            </w:r>
          </w:p>
        </w:tc>
      </w:tr>
      <w:tr w:rsidR="00C3276D" w:rsidRPr="00FD2E93" w14:paraId="09E25ACE" w14:textId="77777777" w:rsidTr="00EA1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0" w:type="dxa"/>
          </w:tcPr>
          <w:p w14:paraId="37A78EAA" w14:textId="77777777" w:rsidR="00C3276D" w:rsidRPr="00FD2E93" w:rsidRDefault="00C3276D" w:rsidP="009A5284">
            <w:pPr>
              <w:pStyle w:val="ListParagraph"/>
              <w:ind w:left="0"/>
              <w:rPr>
                <w:rFonts w:ascii="Cambria" w:hAnsi="Cambria"/>
              </w:rPr>
            </w:pPr>
          </w:p>
        </w:tc>
        <w:tc>
          <w:tcPr>
            <w:tcW w:w="4426" w:type="dxa"/>
            <w:gridSpan w:val="2"/>
          </w:tcPr>
          <w:p w14:paraId="7CB01353" w14:textId="676DDFF0" w:rsidR="00C3276D" w:rsidRPr="00FD2E93" w:rsidRDefault="00C3276D" w:rsidP="009A5284">
            <w:pPr>
              <w:pStyle w:val="ListParagraph"/>
              <w:ind w:left="0"/>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rPr>
              <w:t>Need integrated systems for event management – with pre and post follow ups as w</w:t>
            </w:r>
            <w:r w:rsidR="00EA13AA">
              <w:rPr>
                <w:rFonts w:ascii="Cambria" w:hAnsi="Cambria"/>
              </w:rPr>
              <w:t>ell as registration and payment</w:t>
            </w:r>
          </w:p>
        </w:tc>
      </w:tr>
    </w:tbl>
    <w:p w14:paraId="4BC249DB" w14:textId="77777777" w:rsidR="00C3276D" w:rsidRPr="00FD2E93" w:rsidRDefault="00C3276D" w:rsidP="00C3276D">
      <w:pPr>
        <w:rPr>
          <w:rFonts w:ascii="Cambria" w:hAnsi="Cambria"/>
        </w:rPr>
      </w:pPr>
    </w:p>
    <w:p w14:paraId="77983929" w14:textId="77777777" w:rsidR="00C3276D" w:rsidRPr="00FD2E93" w:rsidRDefault="00C3276D" w:rsidP="00EA13AA">
      <w:pPr>
        <w:pStyle w:val="ListParagraph"/>
        <w:numPr>
          <w:ilvl w:val="0"/>
          <w:numId w:val="349"/>
        </w:numPr>
        <w:spacing w:after="0" w:line="259" w:lineRule="auto"/>
        <w:rPr>
          <w:rFonts w:ascii="Cambria" w:hAnsi="Cambria"/>
          <w:i/>
        </w:rPr>
      </w:pPr>
      <w:r w:rsidRPr="00FD2E93">
        <w:rPr>
          <w:rFonts w:ascii="Cambria" w:hAnsi="Cambria"/>
          <w:b/>
        </w:rPr>
        <w:t>Finance and Administration Department</w:t>
      </w:r>
      <w:r w:rsidRPr="00FD2E93">
        <w:rPr>
          <w:rFonts w:ascii="Cambria" w:hAnsi="Cambria"/>
          <w:i/>
        </w:rPr>
        <w:t xml:space="preserve"> (N=112 of which 24 are ‘No comment’, or ‘No impact’ as a response. A further small number of responses indicate their congregations are yet to be transferred into the payroll system.)</w:t>
      </w:r>
    </w:p>
    <w:p w14:paraId="25D5DB99" w14:textId="77777777" w:rsidR="00C3276D" w:rsidRPr="00FD2E93" w:rsidRDefault="00C3276D" w:rsidP="00C3276D">
      <w:pPr>
        <w:pStyle w:val="ListParagraph"/>
        <w:spacing w:after="0"/>
        <w:ind w:left="360"/>
        <w:rPr>
          <w:rFonts w:ascii="Cambria" w:hAnsi="Cambria"/>
          <w:i/>
        </w:rPr>
      </w:pPr>
      <w:r w:rsidRPr="00FD2E93">
        <w:rPr>
          <w:rFonts w:ascii="Cambria" w:hAnsi="Cambria"/>
          <w:i/>
        </w:rPr>
        <w:t>(Note: There is no correlation between items in the Positive column and those adjacent in the Negative column).</w:t>
      </w:r>
    </w:p>
    <w:p w14:paraId="1856403F" w14:textId="77777777" w:rsidR="00C3276D" w:rsidRPr="00BE1D35" w:rsidRDefault="00C3276D" w:rsidP="00C3276D">
      <w:pPr>
        <w:pStyle w:val="ListParagraph"/>
        <w:spacing w:after="0"/>
        <w:ind w:left="360"/>
        <w:rPr>
          <w:rFonts w:ascii="Cambria" w:hAnsi="Cambria"/>
          <w:i/>
          <w:sz w:val="10"/>
        </w:rPr>
      </w:pPr>
    </w:p>
    <w:p w14:paraId="3FEB6530" w14:textId="77777777" w:rsidR="00C3276D" w:rsidRPr="00FD2E93" w:rsidRDefault="00C3276D" w:rsidP="00C3276D">
      <w:pPr>
        <w:pStyle w:val="ListParagraph"/>
        <w:spacing w:after="0"/>
        <w:ind w:left="0"/>
        <w:rPr>
          <w:rFonts w:ascii="Cambria" w:hAnsi="Cambria"/>
        </w:rPr>
      </w:pPr>
      <w:r w:rsidRPr="00FD2E93">
        <w:rPr>
          <w:rFonts w:ascii="Cambria" w:hAnsi="Cambria"/>
        </w:rPr>
        <w:t>While there continue to be glitches and delays reported in sorting the information required for the new payroll system, most views are positive and people report starting to reap the benefits. Others are not experiencing benefits compared with their previous systems under local treasurers; the new system therefore takes more time than previously and is seen as less direct for communications.</w:t>
      </w:r>
    </w:p>
    <w:p w14:paraId="4495B409" w14:textId="77777777" w:rsidR="00C3276D" w:rsidRPr="00BE1D35" w:rsidRDefault="00C3276D" w:rsidP="00C3276D">
      <w:pPr>
        <w:pStyle w:val="ListParagraph"/>
        <w:spacing w:after="0"/>
        <w:ind w:left="360"/>
        <w:rPr>
          <w:rFonts w:ascii="Cambria" w:hAnsi="Cambria"/>
          <w:sz w:val="14"/>
        </w:rPr>
      </w:pPr>
    </w:p>
    <w:tbl>
      <w:tblPr>
        <w:tblStyle w:val="PlainTable2"/>
        <w:tblW w:w="0" w:type="auto"/>
        <w:tblLook w:val="04A0" w:firstRow="1" w:lastRow="0" w:firstColumn="1" w:lastColumn="0" w:noHBand="0" w:noVBand="1"/>
      </w:tblPr>
      <w:tblGrid>
        <w:gridCol w:w="4397"/>
        <w:gridCol w:w="25"/>
        <w:gridCol w:w="4166"/>
        <w:gridCol w:w="223"/>
      </w:tblGrid>
      <w:tr w:rsidR="00C3276D" w:rsidRPr="00FD2E93" w14:paraId="3FEBEAAF" w14:textId="77777777" w:rsidTr="00BE1D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0" w:type="dxa"/>
          </w:tcPr>
          <w:p w14:paraId="3E288FB1" w14:textId="77777777" w:rsidR="00C3276D" w:rsidRPr="00FD2E93" w:rsidRDefault="00C3276D" w:rsidP="009A5284">
            <w:pPr>
              <w:pStyle w:val="ListParagraph"/>
              <w:ind w:left="0"/>
              <w:rPr>
                <w:rFonts w:ascii="Cambria" w:hAnsi="Cambria"/>
              </w:rPr>
            </w:pPr>
            <w:r w:rsidRPr="00FD2E93">
              <w:rPr>
                <w:rFonts w:ascii="Cambria" w:hAnsi="Cambria"/>
              </w:rPr>
              <w:t>Positive Themes</w:t>
            </w:r>
          </w:p>
        </w:tc>
        <w:tc>
          <w:tcPr>
            <w:tcW w:w="4511" w:type="dxa"/>
            <w:gridSpan w:val="3"/>
          </w:tcPr>
          <w:p w14:paraId="351D4BA6" w14:textId="2847226E" w:rsidR="00C3276D" w:rsidRPr="00FD2E93" w:rsidRDefault="00C3276D" w:rsidP="009A5284">
            <w:pPr>
              <w:pStyle w:val="ListParagraph"/>
              <w:ind w:left="0"/>
              <w:cnfStyle w:val="100000000000" w:firstRow="1" w:lastRow="0" w:firstColumn="0" w:lastColumn="0" w:oddVBand="0" w:evenVBand="0" w:oddHBand="0" w:evenHBand="0" w:firstRowFirstColumn="0" w:firstRowLastColumn="0" w:lastRowFirstColumn="0" w:lastRowLastColumn="0"/>
              <w:rPr>
                <w:rFonts w:ascii="Cambria" w:hAnsi="Cambria"/>
              </w:rPr>
            </w:pPr>
            <w:r w:rsidRPr="00FD2E93">
              <w:rPr>
                <w:rFonts w:ascii="Cambria" w:hAnsi="Cambria"/>
              </w:rPr>
              <w:t xml:space="preserve">Negative Themes/ </w:t>
            </w:r>
            <w:r w:rsidR="00BE1D35">
              <w:rPr>
                <w:rFonts w:ascii="Cambria" w:hAnsi="Cambria"/>
              </w:rPr>
              <w:t>Improvements sought</w:t>
            </w:r>
          </w:p>
        </w:tc>
      </w:tr>
      <w:tr w:rsidR="00C3276D" w:rsidRPr="00FD2E93" w14:paraId="7CD65750" w14:textId="77777777" w:rsidTr="00BE1D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0" w:type="dxa"/>
          </w:tcPr>
          <w:p w14:paraId="3590A707" w14:textId="4C23D9AB" w:rsidR="00C3276D" w:rsidRPr="00BE1D35" w:rsidRDefault="00C3276D" w:rsidP="009A5284">
            <w:pPr>
              <w:pStyle w:val="ListParagraph"/>
              <w:ind w:left="0"/>
              <w:rPr>
                <w:rFonts w:ascii="Cambria" w:hAnsi="Cambria"/>
                <w:b w:val="0"/>
              </w:rPr>
            </w:pPr>
            <w:r w:rsidRPr="00BE1D35">
              <w:rPr>
                <w:rFonts w:ascii="Cambria" w:hAnsi="Cambria"/>
                <w:b w:val="0"/>
              </w:rPr>
              <w:t>Reliance on the skills of volunteers to undertake these tasks has been relieved from many congregations and Committees = appreciation and the time capacity to focus on other things, or to have non-financially trained persons in th</w:t>
            </w:r>
            <w:r w:rsidR="00BE1D35">
              <w:rPr>
                <w:rFonts w:ascii="Cambria" w:hAnsi="Cambria"/>
                <w:b w:val="0"/>
              </w:rPr>
              <w:t>e congregational treasurer role</w:t>
            </w:r>
          </w:p>
        </w:tc>
        <w:tc>
          <w:tcPr>
            <w:tcW w:w="4511" w:type="dxa"/>
            <w:gridSpan w:val="3"/>
          </w:tcPr>
          <w:p w14:paraId="09648A31" w14:textId="77777777" w:rsidR="00C3276D" w:rsidRPr="00FD2E93" w:rsidRDefault="00C3276D" w:rsidP="009A5284">
            <w:pPr>
              <w:pStyle w:val="ListParagraph"/>
              <w:ind w:left="0"/>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rPr>
              <w:t>Financial reporting accuracy and ease of interpretation remains a major issue for many Boards, Committees and program managers = time wasted and risks not well managed for the Church</w:t>
            </w:r>
          </w:p>
          <w:p w14:paraId="71163AB0" w14:textId="77777777" w:rsidR="00C3276D" w:rsidRPr="00FD2E93" w:rsidRDefault="00C3276D" w:rsidP="009A5284">
            <w:pPr>
              <w:pStyle w:val="ListParagraph"/>
              <w:ind w:left="0"/>
              <w:cnfStyle w:val="000000100000" w:firstRow="0" w:lastRow="0" w:firstColumn="0" w:lastColumn="0" w:oddVBand="0" w:evenVBand="0" w:oddHBand="1" w:evenHBand="0" w:firstRowFirstColumn="0" w:firstRowLastColumn="0" w:lastRowFirstColumn="0" w:lastRowLastColumn="0"/>
              <w:rPr>
                <w:rFonts w:ascii="Cambria" w:hAnsi="Cambria"/>
              </w:rPr>
            </w:pPr>
          </w:p>
        </w:tc>
      </w:tr>
      <w:tr w:rsidR="00C3276D" w:rsidRPr="00FD2E93" w14:paraId="36798615" w14:textId="77777777" w:rsidTr="00BE1D35">
        <w:tc>
          <w:tcPr>
            <w:cnfStyle w:val="001000000000" w:firstRow="0" w:lastRow="0" w:firstColumn="1" w:lastColumn="0" w:oddVBand="0" w:evenVBand="0" w:oddHBand="0" w:evenHBand="0" w:firstRowFirstColumn="0" w:firstRowLastColumn="0" w:lastRowFirstColumn="0" w:lastRowLastColumn="0"/>
            <w:tcW w:w="4510" w:type="dxa"/>
          </w:tcPr>
          <w:p w14:paraId="45E08F20" w14:textId="77777777" w:rsidR="00C3276D" w:rsidRPr="00BE1D35" w:rsidRDefault="00C3276D" w:rsidP="009A5284">
            <w:pPr>
              <w:pStyle w:val="ListParagraph"/>
              <w:ind w:left="0"/>
              <w:rPr>
                <w:rFonts w:ascii="Cambria" w:hAnsi="Cambria"/>
                <w:b w:val="0"/>
              </w:rPr>
            </w:pPr>
            <w:r w:rsidRPr="00BE1D35">
              <w:rPr>
                <w:rFonts w:ascii="Cambria" w:hAnsi="Cambria"/>
                <w:b w:val="0"/>
              </w:rPr>
              <w:t>Staff report much satisfaction with online application process for leave and being able to check balances; the ready access to information</w:t>
            </w:r>
          </w:p>
        </w:tc>
        <w:tc>
          <w:tcPr>
            <w:tcW w:w="4511" w:type="dxa"/>
            <w:gridSpan w:val="3"/>
          </w:tcPr>
          <w:p w14:paraId="64C6B779" w14:textId="55FD33B5" w:rsidR="00C3276D" w:rsidRPr="00FD2E93" w:rsidRDefault="00C3276D" w:rsidP="009A5284">
            <w:pPr>
              <w:pStyle w:val="ListParagraph"/>
              <w:ind w:left="0"/>
              <w:cnfStyle w:val="000000000000" w:firstRow="0" w:lastRow="0" w:firstColumn="0" w:lastColumn="0" w:oddVBand="0" w:evenVBand="0" w:oddHBand="0" w:evenHBand="0" w:firstRowFirstColumn="0" w:firstRowLastColumn="0" w:lastRowFirstColumn="0" w:lastRowLastColumn="0"/>
              <w:rPr>
                <w:rFonts w:ascii="Cambria" w:hAnsi="Cambria"/>
              </w:rPr>
            </w:pPr>
            <w:r w:rsidRPr="00FD2E93">
              <w:rPr>
                <w:rFonts w:ascii="Cambria" w:hAnsi="Cambria"/>
              </w:rPr>
              <w:t>Management/ accuracy of leave entitlements, holiday pay, superannuation contributions and reporting of these is not</w:t>
            </w:r>
            <w:r w:rsidR="00BE1D35">
              <w:rPr>
                <w:rFonts w:ascii="Cambria" w:hAnsi="Cambria"/>
              </w:rPr>
              <w:t xml:space="preserve"> sufficient or efficient as yet</w:t>
            </w:r>
          </w:p>
        </w:tc>
      </w:tr>
      <w:tr w:rsidR="00C3276D" w:rsidRPr="00FD2E93" w14:paraId="1FF8DE65" w14:textId="77777777" w:rsidTr="00BE1D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0" w:type="dxa"/>
          </w:tcPr>
          <w:p w14:paraId="6F19A765" w14:textId="77777777" w:rsidR="00C3276D" w:rsidRPr="00BE1D35" w:rsidRDefault="00C3276D" w:rsidP="009A5284">
            <w:pPr>
              <w:pStyle w:val="ListParagraph"/>
              <w:ind w:left="0"/>
              <w:rPr>
                <w:rFonts w:ascii="Cambria" w:hAnsi="Cambria"/>
                <w:b w:val="0"/>
              </w:rPr>
            </w:pPr>
            <w:r w:rsidRPr="00BE1D35">
              <w:rPr>
                <w:rFonts w:ascii="Cambria" w:hAnsi="Cambria"/>
                <w:b w:val="0"/>
              </w:rPr>
              <w:lastRenderedPageBreak/>
              <w:t xml:space="preserve">Streamlined approaches supported with coaching has been helpful and created efficiencies and greater accuracy for the majority of respondents </w:t>
            </w:r>
          </w:p>
        </w:tc>
        <w:tc>
          <w:tcPr>
            <w:tcW w:w="4511" w:type="dxa"/>
            <w:gridSpan w:val="3"/>
          </w:tcPr>
          <w:p w14:paraId="664FD706" w14:textId="6A7CF193" w:rsidR="00C3276D" w:rsidRPr="00FD2E93" w:rsidRDefault="00C3276D" w:rsidP="009A5284">
            <w:pPr>
              <w:pStyle w:val="ListParagraph"/>
              <w:ind w:left="0"/>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rPr>
              <w:t>Lack of/ access and interpretation of historical data records in congregations is affecting accuracy and timeliness of up</w:t>
            </w:r>
            <w:r w:rsidR="00BE1D35">
              <w:rPr>
                <w:rFonts w:ascii="Cambria" w:hAnsi="Cambria"/>
              </w:rPr>
              <w:t>dating/reporting leave balances</w:t>
            </w:r>
          </w:p>
        </w:tc>
      </w:tr>
      <w:tr w:rsidR="00C3276D" w:rsidRPr="00FD2E93" w14:paraId="6003FC62" w14:textId="77777777" w:rsidTr="00BE1D35">
        <w:tc>
          <w:tcPr>
            <w:cnfStyle w:val="001000000000" w:firstRow="0" w:lastRow="0" w:firstColumn="1" w:lastColumn="0" w:oddVBand="0" w:evenVBand="0" w:oddHBand="0" w:evenHBand="0" w:firstRowFirstColumn="0" w:firstRowLastColumn="0" w:lastRowFirstColumn="0" w:lastRowLastColumn="0"/>
            <w:tcW w:w="4510" w:type="dxa"/>
          </w:tcPr>
          <w:p w14:paraId="29787AAC" w14:textId="77777777" w:rsidR="00C3276D" w:rsidRPr="00BE1D35" w:rsidRDefault="00C3276D" w:rsidP="009A5284">
            <w:pPr>
              <w:pStyle w:val="ListParagraph"/>
              <w:ind w:left="0"/>
              <w:rPr>
                <w:rFonts w:ascii="Cambria" w:hAnsi="Cambria"/>
                <w:b w:val="0"/>
              </w:rPr>
            </w:pPr>
            <w:r w:rsidRPr="00BE1D35">
              <w:rPr>
                <w:rFonts w:ascii="Cambria" w:hAnsi="Cambria"/>
                <w:b w:val="0"/>
              </w:rPr>
              <w:t>Budgets and spreadsheets are being better explained; appreciated</w:t>
            </w:r>
          </w:p>
        </w:tc>
        <w:tc>
          <w:tcPr>
            <w:tcW w:w="4511" w:type="dxa"/>
            <w:gridSpan w:val="3"/>
          </w:tcPr>
          <w:p w14:paraId="36AE83D3" w14:textId="4F1C7BF3" w:rsidR="00C3276D" w:rsidRPr="00FD2E93" w:rsidRDefault="00C3276D" w:rsidP="009A5284">
            <w:pPr>
              <w:pStyle w:val="ListParagraph"/>
              <w:ind w:left="0"/>
              <w:cnfStyle w:val="000000000000" w:firstRow="0" w:lastRow="0" w:firstColumn="0" w:lastColumn="0" w:oddVBand="0" w:evenVBand="0" w:oddHBand="0" w:evenHBand="0" w:firstRowFirstColumn="0" w:firstRowLastColumn="0" w:lastRowFirstColumn="0" w:lastRowLastColumn="0"/>
              <w:rPr>
                <w:rFonts w:ascii="Cambria" w:hAnsi="Cambria"/>
              </w:rPr>
            </w:pPr>
            <w:r w:rsidRPr="00FD2E93">
              <w:rPr>
                <w:rFonts w:ascii="Cambria" w:hAnsi="Cambria"/>
              </w:rPr>
              <w:t xml:space="preserve">Financial imposts of these new admin systems is a concern to congregations </w:t>
            </w:r>
            <w:r w:rsidR="00BE1D35">
              <w:rPr>
                <w:rFonts w:ascii="Cambria" w:hAnsi="Cambria"/>
              </w:rPr>
              <w:t>that are struggling financially</w:t>
            </w:r>
          </w:p>
        </w:tc>
      </w:tr>
      <w:tr w:rsidR="00C3276D" w:rsidRPr="00FD2E93" w14:paraId="24462F83" w14:textId="77777777" w:rsidTr="00BE1D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0" w:type="dxa"/>
          </w:tcPr>
          <w:p w14:paraId="13F6276D" w14:textId="77777777" w:rsidR="00C3276D" w:rsidRPr="00BE1D35" w:rsidRDefault="00C3276D" w:rsidP="009A5284">
            <w:pPr>
              <w:pStyle w:val="ListParagraph"/>
              <w:ind w:left="0"/>
              <w:rPr>
                <w:rFonts w:ascii="Cambria" w:hAnsi="Cambria"/>
                <w:b w:val="0"/>
              </w:rPr>
            </w:pPr>
            <w:r w:rsidRPr="00BE1D35">
              <w:rPr>
                <w:rFonts w:ascii="Cambria" w:hAnsi="Cambria"/>
                <w:b w:val="0"/>
              </w:rPr>
              <w:t>System provides an improved base for employment management; improved information is a valuable tool</w:t>
            </w:r>
          </w:p>
        </w:tc>
        <w:tc>
          <w:tcPr>
            <w:tcW w:w="4511" w:type="dxa"/>
            <w:gridSpan w:val="3"/>
          </w:tcPr>
          <w:p w14:paraId="655342AF" w14:textId="77777777" w:rsidR="00C3276D" w:rsidRPr="00FD2E93" w:rsidRDefault="00C3276D" w:rsidP="009A5284">
            <w:pPr>
              <w:pStyle w:val="ListParagraph"/>
              <w:ind w:left="0"/>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rPr>
              <w:t>During the transition to HRS based payroll, the change management was not always handled well: people in congregations (and departments) report feeling pressured, rushed and unable to ask questions, resulting in issues later.</w:t>
            </w:r>
          </w:p>
          <w:p w14:paraId="0A6A1F7A" w14:textId="13034705" w:rsidR="00C3276D" w:rsidRPr="00FD2E93" w:rsidRDefault="00C3276D" w:rsidP="009A5284">
            <w:pPr>
              <w:pStyle w:val="ListParagraph"/>
              <w:ind w:left="0"/>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rPr>
              <w:t xml:space="preserve">Other central decisions not well communicated or forecast to congregations </w:t>
            </w:r>
            <w:r w:rsidR="00BE1D35" w:rsidRPr="00FD2E93">
              <w:rPr>
                <w:rFonts w:ascii="Cambria" w:hAnsi="Cambria"/>
              </w:rPr>
              <w:t>e.g.</w:t>
            </w:r>
            <w:r w:rsidRPr="00FD2E93">
              <w:rPr>
                <w:rFonts w:ascii="Cambria" w:hAnsi="Cambria"/>
              </w:rPr>
              <w:t xml:space="preserve"> changes to use of helpers for counting monies; changes to pastor’s </w:t>
            </w:r>
            <w:r w:rsidR="00BE1D35">
              <w:rPr>
                <w:rFonts w:ascii="Cambria" w:hAnsi="Cambria"/>
              </w:rPr>
              <w:t>pay = cause of local antagonism</w:t>
            </w:r>
          </w:p>
        </w:tc>
      </w:tr>
      <w:tr w:rsidR="00C3276D" w:rsidRPr="00FD2E93" w14:paraId="51AC96F3" w14:textId="77777777" w:rsidTr="00BE1D35">
        <w:tc>
          <w:tcPr>
            <w:cnfStyle w:val="001000000000" w:firstRow="0" w:lastRow="0" w:firstColumn="1" w:lastColumn="0" w:oddVBand="0" w:evenVBand="0" w:oddHBand="0" w:evenHBand="0" w:firstRowFirstColumn="0" w:firstRowLastColumn="0" w:lastRowFirstColumn="0" w:lastRowLastColumn="0"/>
            <w:tcW w:w="4510" w:type="dxa"/>
          </w:tcPr>
          <w:p w14:paraId="2370155A" w14:textId="41A5A26D" w:rsidR="00C3276D" w:rsidRPr="00BE1D35" w:rsidRDefault="00C3276D" w:rsidP="009A5284">
            <w:pPr>
              <w:pStyle w:val="ListParagraph"/>
              <w:ind w:left="0"/>
              <w:rPr>
                <w:rFonts w:ascii="Cambria" w:hAnsi="Cambria"/>
                <w:b w:val="0"/>
              </w:rPr>
            </w:pPr>
            <w:r w:rsidRPr="00BE1D35">
              <w:rPr>
                <w:rFonts w:ascii="Cambria" w:hAnsi="Cambria"/>
                <w:b w:val="0"/>
              </w:rPr>
              <w:t>HRS is an excellent tool; appreciate the efficient, centralised system; has improved consistency and revealed inconsistencies of practice ac</w:t>
            </w:r>
            <w:r w:rsidR="00BE1D35">
              <w:rPr>
                <w:rFonts w:ascii="Cambria" w:hAnsi="Cambria"/>
                <w:b w:val="0"/>
              </w:rPr>
              <w:t>ross the Church</w:t>
            </w:r>
          </w:p>
        </w:tc>
        <w:tc>
          <w:tcPr>
            <w:tcW w:w="4511" w:type="dxa"/>
            <w:gridSpan w:val="3"/>
          </w:tcPr>
          <w:p w14:paraId="1DEFEC39" w14:textId="77777777" w:rsidR="00C3276D" w:rsidRPr="00FD2E93" w:rsidRDefault="00C3276D" w:rsidP="009A5284">
            <w:pPr>
              <w:pStyle w:val="ListParagraph"/>
              <w:ind w:left="0"/>
              <w:cnfStyle w:val="000000000000" w:firstRow="0" w:lastRow="0" w:firstColumn="0" w:lastColumn="0" w:oddVBand="0" w:evenVBand="0" w:oddHBand="0" w:evenHBand="0" w:firstRowFirstColumn="0" w:firstRowLastColumn="0" w:lastRowFirstColumn="0" w:lastRowLastColumn="0"/>
              <w:rPr>
                <w:rFonts w:ascii="Cambria" w:hAnsi="Cambria"/>
              </w:rPr>
            </w:pPr>
            <w:r w:rsidRPr="00FD2E93">
              <w:rPr>
                <w:rFonts w:ascii="Cambria" w:hAnsi="Cambria"/>
              </w:rPr>
              <w:t>Lead up time to transfer to HRS seen as too long at three months+</w:t>
            </w:r>
          </w:p>
          <w:p w14:paraId="184607F9" w14:textId="77777777" w:rsidR="00C3276D" w:rsidRPr="00FD2E93" w:rsidRDefault="00C3276D" w:rsidP="009A5284">
            <w:pPr>
              <w:pStyle w:val="ListParagraph"/>
              <w:ind w:left="0"/>
              <w:cnfStyle w:val="000000000000" w:firstRow="0" w:lastRow="0" w:firstColumn="0" w:lastColumn="0" w:oddVBand="0" w:evenVBand="0" w:oddHBand="0" w:evenHBand="0" w:firstRowFirstColumn="0" w:firstRowLastColumn="0" w:lastRowFirstColumn="0" w:lastRowLastColumn="0"/>
              <w:rPr>
                <w:rFonts w:ascii="Cambria" w:hAnsi="Cambria"/>
              </w:rPr>
            </w:pPr>
          </w:p>
        </w:tc>
      </w:tr>
      <w:tr w:rsidR="00C3276D" w:rsidRPr="00FD2E93" w14:paraId="4B43C341" w14:textId="77777777" w:rsidTr="00BE1D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0" w:type="dxa"/>
          </w:tcPr>
          <w:p w14:paraId="6527CAA8" w14:textId="77777777" w:rsidR="00C3276D" w:rsidRPr="00BE1D35" w:rsidRDefault="00C3276D" w:rsidP="009A5284">
            <w:pPr>
              <w:pStyle w:val="ListParagraph"/>
              <w:ind w:left="0"/>
              <w:rPr>
                <w:rFonts w:ascii="Cambria" w:hAnsi="Cambria"/>
                <w:b w:val="0"/>
              </w:rPr>
            </w:pPr>
            <w:r w:rsidRPr="00BE1D35">
              <w:rPr>
                <w:rFonts w:ascii="Cambria" w:hAnsi="Cambria"/>
                <w:b w:val="0"/>
              </w:rPr>
              <w:t>Finance Department trying very hard to provide accurate data; appreciated for doing the best they can with and through the changes and with the systems capabilities available to them; positive experience of making enquiries</w:t>
            </w:r>
          </w:p>
        </w:tc>
        <w:tc>
          <w:tcPr>
            <w:tcW w:w="4511" w:type="dxa"/>
            <w:gridSpan w:val="3"/>
          </w:tcPr>
          <w:p w14:paraId="42967BD4" w14:textId="77777777" w:rsidR="00C3276D" w:rsidRPr="00FD2E93" w:rsidRDefault="00C3276D" w:rsidP="009A5284">
            <w:pPr>
              <w:pStyle w:val="ListParagraph"/>
              <w:ind w:left="0"/>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rPr>
              <w:t>Access to part-time staffers for queries can be difficult for those in different time zones; need to work proactively and co-operatively with congregations for the items that are outside the normal circumstance and to demonstrate service for the congregational dollars that fund this area. Personal contact with congregational Chair or Treasurer would be appreciated.</w:t>
            </w:r>
          </w:p>
          <w:p w14:paraId="3E512D4D" w14:textId="7935B7EE" w:rsidR="00C3276D" w:rsidRPr="00FD2E93" w:rsidRDefault="00C3276D" w:rsidP="009A5284">
            <w:pPr>
              <w:pStyle w:val="ListParagraph"/>
              <w:ind w:left="0"/>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rPr>
              <w:t>Finance/payroll staff need to be more responsive when there are problems. Resolution times o</w:t>
            </w:r>
            <w:r w:rsidR="00BE1D35">
              <w:rPr>
                <w:rFonts w:ascii="Cambria" w:hAnsi="Cambria"/>
              </w:rPr>
              <w:t>f 6 months+ are not acceptable.</w:t>
            </w:r>
          </w:p>
        </w:tc>
      </w:tr>
      <w:tr w:rsidR="00C3276D" w:rsidRPr="00FD2E93" w14:paraId="432FA79B" w14:textId="77777777" w:rsidTr="00BE1D35">
        <w:tc>
          <w:tcPr>
            <w:cnfStyle w:val="001000000000" w:firstRow="0" w:lastRow="0" w:firstColumn="1" w:lastColumn="0" w:oddVBand="0" w:evenVBand="0" w:oddHBand="0" w:evenHBand="0" w:firstRowFirstColumn="0" w:firstRowLastColumn="0" w:lastRowFirstColumn="0" w:lastRowLastColumn="0"/>
            <w:tcW w:w="4510" w:type="dxa"/>
          </w:tcPr>
          <w:p w14:paraId="01A67E1E" w14:textId="77777777" w:rsidR="00C3276D" w:rsidRPr="00BE1D35" w:rsidRDefault="00C3276D" w:rsidP="009A5284">
            <w:pPr>
              <w:pStyle w:val="ListParagraph"/>
              <w:ind w:left="0"/>
              <w:rPr>
                <w:rFonts w:ascii="Cambria" w:hAnsi="Cambria"/>
                <w:b w:val="0"/>
              </w:rPr>
            </w:pPr>
            <w:r w:rsidRPr="00BE1D35">
              <w:rPr>
                <w:rFonts w:ascii="Cambria" w:hAnsi="Cambria"/>
                <w:b w:val="0"/>
              </w:rPr>
              <w:t>Improved transparency of the Church’s administration as a whole and at local level</w:t>
            </w:r>
          </w:p>
        </w:tc>
        <w:tc>
          <w:tcPr>
            <w:tcW w:w="4511" w:type="dxa"/>
            <w:gridSpan w:val="3"/>
          </w:tcPr>
          <w:p w14:paraId="6B40EEC8" w14:textId="77777777" w:rsidR="00C3276D" w:rsidRPr="00FD2E93" w:rsidRDefault="00C3276D" w:rsidP="009A5284">
            <w:pPr>
              <w:pStyle w:val="ListParagraph"/>
              <w:ind w:left="0"/>
              <w:cnfStyle w:val="000000000000" w:firstRow="0" w:lastRow="0" w:firstColumn="0" w:lastColumn="0" w:oddVBand="0" w:evenVBand="0" w:oddHBand="0" w:evenHBand="0" w:firstRowFirstColumn="0" w:firstRowLastColumn="0" w:lastRowFirstColumn="0" w:lastRowLastColumn="0"/>
              <w:rPr>
                <w:rFonts w:ascii="Cambria" w:hAnsi="Cambria"/>
              </w:rPr>
            </w:pPr>
            <w:r w:rsidRPr="00FD2E93">
              <w:rPr>
                <w:rFonts w:ascii="Cambria" w:hAnsi="Cambria"/>
              </w:rPr>
              <w:t xml:space="preserve">Changes imposed with no consultation or flexibility, not appreciated; congregations feeling disempowered; </w:t>
            </w:r>
          </w:p>
          <w:p w14:paraId="0FA189C9" w14:textId="0DE26457" w:rsidR="00C3276D" w:rsidRPr="00FD2E93" w:rsidRDefault="00C3276D" w:rsidP="009A5284">
            <w:pPr>
              <w:pStyle w:val="ListParagraph"/>
              <w:ind w:left="0"/>
              <w:cnfStyle w:val="000000000000" w:firstRow="0" w:lastRow="0" w:firstColumn="0" w:lastColumn="0" w:oddVBand="0" w:evenVBand="0" w:oddHBand="0" w:evenHBand="0" w:firstRowFirstColumn="0" w:firstRowLastColumn="0" w:lastRowFirstColumn="0" w:lastRowLastColumn="0"/>
              <w:rPr>
                <w:rFonts w:ascii="Cambria" w:hAnsi="Cambria"/>
              </w:rPr>
            </w:pPr>
            <w:r w:rsidRPr="00FD2E93">
              <w:rPr>
                <w:rFonts w:ascii="Cambria" w:hAnsi="Cambria"/>
              </w:rPr>
              <w:t>Some experiencing the removal of GL codes without consultation = not assisting with reporting back to bodies/ funders in the manner they require; pro</w:t>
            </w:r>
            <w:r w:rsidR="00BE1D35">
              <w:rPr>
                <w:rFonts w:ascii="Cambria" w:hAnsi="Cambria"/>
              </w:rPr>
              <w:t>jects require multiple GL codes</w:t>
            </w:r>
          </w:p>
        </w:tc>
      </w:tr>
      <w:tr w:rsidR="00C3276D" w:rsidRPr="00FD2E93" w14:paraId="4897F6B7" w14:textId="77777777" w:rsidTr="00BE1D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0" w:type="dxa"/>
          </w:tcPr>
          <w:p w14:paraId="163DB902" w14:textId="77777777" w:rsidR="00C3276D" w:rsidRPr="00BE1D35" w:rsidRDefault="00C3276D" w:rsidP="009A5284">
            <w:pPr>
              <w:pStyle w:val="ListParagraph"/>
              <w:ind w:left="0"/>
              <w:rPr>
                <w:rFonts w:ascii="Cambria" w:hAnsi="Cambria"/>
                <w:b w:val="0"/>
              </w:rPr>
            </w:pPr>
          </w:p>
        </w:tc>
        <w:tc>
          <w:tcPr>
            <w:tcW w:w="4511" w:type="dxa"/>
            <w:gridSpan w:val="3"/>
          </w:tcPr>
          <w:p w14:paraId="6B3AC4AC" w14:textId="6D84B35B" w:rsidR="00C3276D" w:rsidRPr="00FD2E93" w:rsidRDefault="00C3276D" w:rsidP="009A5284">
            <w:pPr>
              <w:pStyle w:val="ListParagraph"/>
              <w:ind w:left="0"/>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rPr>
              <w:t>Local people (congregation and District levels) involved in HR and payroll matters sometimes fail to notify changes in employment arrangements and then this compounds for the individ</w:t>
            </w:r>
            <w:r w:rsidR="00BE1D35">
              <w:rPr>
                <w:rFonts w:ascii="Cambria" w:hAnsi="Cambria"/>
              </w:rPr>
              <w:t xml:space="preserve">uals as delays are experienced </w:t>
            </w:r>
          </w:p>
        </w:tc>
      </w:tr>
      <w:tr w:rsidR="00C3276D" w:rsidRPr="00FD2E93" w14:paraId="5F90D23C" w14:textId="77777777" w:rsidTr="00BE1D35">
        <w:tc>
          <w:tcPr>
            <w:cnfStyle w:val="001000000000" w:firstRow="0" w:lastRow="0" w:firstColumn="1" w:lastColumn="0" w:oddVBand="0" w:evenVBand="0" w:oddHBand="0" w:evenHBand="0" w:firstRowFirstColumn="0" w:firstRowLastColumn="0" w:lastRowFirstColumn="0" w:lastRowLastColumn="0"/>
            <w:tcW w:w="4510" w:type="dxa"/>
          </w:tcPr>
          <w:p w14:paraId="08E0AA9E" w14:textId="77777777" w:rsidR="00C3276D" w:rsidRPr="00BE1D35" w:rsidRDefault="00C3276D" w:rsidP="009A5284">
            <w:pPr>
              <w:pStyle w:val="ListParagraph"/>
              <w:ind w:left="0"/>
              <w:rPr>
                <w:rFonts w:ascii="Cambria" w:hAnsi="Cambria"/>
                <w:b w:val="0"/>
              </w:rPr>
            </w:pPr>
          </w:p>
        </w:tc>
        <w:tc>
          <w:tcPr>
            <w:tcW w:w="4511" w:type="dxa"/>
            <w:gridSpan w:val="3"/>
          </w:tcPr>
          <w:p w14:paraId="09CEDA13" w14:textId="69D20392" w:rsidR="00C3276D" w:rsidRPr="00FD2E93" w:rsidRDefault="00C3276D" w:rsidP="009A5284">
            <w:pPr>
              <w:pStyle w:val="ListParagraph"/>
              <w:ind w:left="0"/>
              <w:cnfStyle w:val="000000000000" w:firstRow="0" w:lastRow="0" w:firstColumn="0" w:lastColumn="0" w:oddVBand="0" w:evenVBand="0" w:oddHBand="0" w:evenHBand="0" w:firstRowFirstColumn="0" w:firstRowLastColumn="0" w:lastRowFirstColumn="0" w:lastRowLastColumn="0"/>
              <w:rPr>
                <w:rFonts w:ascii="Cambria" w:hAnsi="Cambria"/>
              </w:rPr>
            </w:pPr>
            <w:r w:rsidRPr="00FD2E93">
              <w:rPr>
                <w:rFonts w:ascii="Cambria" w:hAnsi="Cambria"/>
              </w:rPr>
              <w:t xml:space="preserve">At this point, a number of congregations report that the new system is not saving </w:t>
            </w:r>
            <w:r w:rsidRPr="00FD2E93">
              <w:rPr>
                <w:rFonts w:ascii="Cambria" w:hAnsi="Cambria"/>
              </w:rPr>
              <w:lastRenderedPageBreak/>
              <w:t>them time, instead t</w:t>
            </w:r>
            <w:r w:rsidR="00BE1D35">
              <w:rPr>
                <w:rFonts w:ascii="Cambria" w:hAnsi="Cambria"/>
              </w:rPr>
              <w:t>aking more time than previously</w:t>
            </w:r>
          </w:p>
        </w:tc>
      </w:tr>
      <w:tr w:rsidR="00C3276D" w:rsidRPr="00FD2E93" w14:paraId="5337B3AC" w14:textId="77777777" w:rsidTr="00BE1D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0" w:type="dxa"/>
          </w:tcPr>
          <w:p w14:paraId="51DE1EA3" w14:textId="77777777" w:rsidR="00C3276D" w:rsidRPr="00BE1D35" w:rsidRDefault="00C3276D" w:rsidP="009A5284">
            <w:pPr>
              <w:pStyle w:val="ListParagraph"/>
              <w:ind w:left="0"/>
              <w:rPr>
                <w:rFonts w:ascii="Cambria" w:hAnsi="Cambria"/>
                <w:b w:val="0"/>
              </w:rPr>
            </w:pPr>
          </w:p>
        </w:tc>
        <w:tc>
          <w:tcPr>
            <w:tcW w:w="4511" w:type="dxa"/>
            <w:gridSpan w:val="3"/>
          </w:tcPr>
          <w:p w14:paraId="28AEC13B" w14:textId="01016E32" w:rsidR="00C3276D" w:rsidRPr="00FD2E93" w:rsidRDefault="00C3276D" w:rsidP="009A5284">
            <w:pPr>
              <w:pStyle w:val="ListParagraph"/>
              <w:ind w:left="0"/>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rPr>
              <w:t>LCA funds transfer process in and out of NZ has improved but there are still issues with communic</w:t>
            </w:r>
            <w:r w:rsidR="00BE1D35">
              <w:rPr>
                <w:rFonts w:ascii="Cambria" w:hAnsi="Cambria"/>
              </w:rPr>
              <w:t>ations and lack of transparency</w:t>
            </w:r>
          </w:p>
        </w:tc>
      </w:tr>
      <w:tr w:rsidR="00C3276D" w:rsidRPr="00FD2E93" w14:paraId="4F9737DA" w14:textId="77777777" w:rsidTr="00BE1D35">
        <w:tc>
          <w:tcPr>
            <w:cnfStyle w:val="001000000000" w:firstRow="0" w:lastRow="0" w:firstColumn="1" w:lastColumn="0" w:oddVBand="0" w:evenVBand="0" w:oddHBand="0" w:evenHBand="0" w:firstRowFirstColumn="0" w:firstRowLastColumn="0" w:lastRowFirstColumn="0" w:lastRowLastColumn="0"/>
            <w:tcW w:w="4510" w:type="dxa"/>
          </w:tcPr>
          <w:p w14:paraId="1AF4B304" w14:textId="77777777" w:rsidR="00C3276D" w:rsidRPr="00BE1D35" w:rsidRDefault="00C3276D" w:rsidP="009A5284">
            <w:pPr>
              <w:pStyle w:val="ListParagraph"/>
              <w:ind w:left="0"/>
              <w:rPr>
                <w:rFonts w:ascii="Cambria" w:hAnsi="Cambria"/>
                <w:b w:val="0"/>
              </w:rPr>
            </w:pPr>
          </w:p>
        </w:tc>
        <w:tc>
          <w:tcPr>
            <w:tcW w:w="4511" w:type="dxa"/>
            <w:gridSpan w:val="3"/>
          </w:tcPr>
          <w:p w14:paraId="4849BAFC" w14:textId="58AC8C0E" w:rsidR="00C3276D" w:rsidRPr="00FD2E93" w:rsidRDefault="00C3276D" w:rsidP="009A5284">
            <w:pPr>
              <w:pStyle w:val="ListParagraph"/>
              <w:ind w:left="0"/>
              <w:cnfStyle w:val="000000000000" w:firstRow="0" w:lastRow="0" w:firstColumn="0" w:lastColumn="0" w:oddVBand="0" w:evenVBand="0" w:oddHBand="0" w:evenHBand="0" w:firstRowFirstColumn="0" w:firstRowLastColumn="0" w:lastRowFirstColumn="0" w:lastRowLastColumn="0"/>
              <w:rPr>
                <w:rFonts w:ascii="Cambria" w:hAnsi="Cambria"/>
              </w:rPr>
            </w:pPr>
            <w:r w:rsidRPr="00FD2E93">
              <w:rPr>
                <w:rFonts w:ascii="Cambria" w:hAnsi="Cambria"/>
              </w:rPr>
              <w:t xml:space="preserve">Staff resources in Finance support seem overworked resulting in delays in response; this flows onto to time impacts for grant submissions, donors, transfers of funds, and  provision </w:t>
            </w:r>
            <w:r w:rsidR="00BE1D35">
              <w:rPr>
                <w:rFonts w:ascii="Cambria" w:hAnsi="Cambria"/>
              </w:rPr>
              <w:t>of reports for program managers</w:t>
            </w:r>
          </w:p>
        </w:tc>
      </w:tr>
      <w:tr w:rsidR="00C3276D" w:rsidRPr="00FD2E93" w14:paraId="41B7A3F6" w14:textId="77777777" w:rsidTr="00BE1D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0" w:type="dxa"/>
          </w:tcPr>
          <w:p w14:paraId="77468C05" w14:textId="77777777" w:rsidR="00C3276D" w:rsidRPr="00BE1D35" w:rsidRDefault="00C3276D" w:rsidP="009A5284">
            <w:pPr>
              <w:pStyle w:val="ListParagraph"/>
              <w:ind w:left="0"/>
              <w:rPr>
                <w:rFonts w:ascii="Cambria" w:hAnsi="Cambria"/>
                <w:b w:val="0"/>
              </w:rPr>
            </w:pPr>
          </w:p>
        </w:tc>
        <w:tc>
          <w:tcPr>
            <w:tcW w:w="4511" w:type="dxa"/>
            <w:gridSpan w:val="3"/>
          </w:tcPr>
          <w:p w14:paraId="286EE799" w14:textId="547681D8" w:rsidR="00C3276D" w:rsidRPr="00FD2E93" w:rsidRDefault="00C3276D" w:rsidP="009A5284">
            <w:pPr>
              <w:pStyle w:val="ListParagraph"/>
              <w:ind w:left="0"/>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rPr>
              <w:t xml:space="preserve">Need to ensure full bed down of the HRS and its capabilities to reap the full benefits, </w:t>
            </w:r>
            <w:r w:rsidR="00BE1D35" w:rsidRPr="00FD2E93">
              <w:rPr>
                <w:rFonts w:ascii="Cambria" w:hAnsi="Cambria"/>
              </w:rPr>
              <w:t>e.g.</w:t>
            </w:r>
            <w:r w:rsidRPr="00FD2E93">
              <w:rPr>
                <w:rFonts w:ascii="Cambria" w:hAnsi="Cambria"/>
              </w:rPr>
              <w:t xml:space="preserve"> provision of full reports, l</w:t>
            </w:r>
            <w:r w:rsidR="00BE1D35">
              <w:rPr>
                <w:rFonts w:ascii="Cambria" w:hAnsi="Cambria"/>
              </w:rPr>
              <w:t>inks with system functional etc.</w:t>
            </w:r>
          </w:p>
        </w:tc>
      </w:tr>
      <w:tr w:rsidR="00C3276D" w:rsidRPr="00FD2E93" w14:paraId="4F3256FB" w14:textId="77777777" w:rsidTr="00BE1D35">
        <w:trPr>
          <w:gridAfter w:val="1"/>
          <w:wAfter w:w="22" w:type="dxa"/>
        </w:trPr>
        <w:tc>
          <w:tcPr>
            <w:cnfStyle w:val="001000000000" w:firstRow="0" w:lastRow="0" w:firstColumn="1" w:lastColumn="0" w:oddVBand="0" w:evenVBand="0" w:oddHBand="0" w:evenHBand="0" w:firstRowFirstColumn="0" w:firstRowLastColumn="0" w:lastRowFirstColumn="0" w:lastRowLastColumn="0"/>
            <w:tcW w:w="4536" w:type="dxa"/>
            <w:gridSpan w:val="2"/>
          </w:tcPr>
          <w:p w14:paraId="44A3A093" w14:textId="77777777" w:rsidR="00C3276D" w:rsidRPr="00FD2E93" w:rsidRDefault="00C3276D" w:rsidP="009A5284">
            <w:pPr>
              <w:pStyle w:val="ListParagraph"/>
              <w:ind w:left="0"/>
              <w:rPr>
                <w:rFonts w:ascii="Cambria" w:hAnsi="Cambria"/>
              </w:rPr>
            </w:pPr>
          </w:p>
        </w:tc>
        <w:tc>
          <w:tcPr>
            <w:tcW w:w="4253" w:type="dxa"/>
          </w:tcPr>
          <w:p w14:paraId="37C3020C" w14:textId="1ACCFF5B" w:rsidR="00C3276D" w:rsidRPr="00FD2E93" w:rsidRDefault="00C3276D" w:rsidP="009A5284">
            <w:pPr>
              <w:pStyle w:val="ListParagraph"/>
              <w:ind w:left="0"/>
              <w:cnfStyle w:val="000000000000" w:firstRow="0" w:lastRow="0" w:firstColumn="0" w:lastColumn="0" w:oddVBand="0" w:evenVBand="0" w:oddHBand="0" w:evenHBand="0" w:firstRowFirstColumn="0" w:firstRowLastColumn="0" w:lastRowFirstColumn="0" w:lastRowLastColumn="0"/>
              <w:rPr>
                <w:rFonts w:ascii="Cambria" w:hAnsi="Cambria"/>
              </w:rPr>
            </w:pPr>
            <w:r w:rsidRPr="00FD2E93">
              <w:rPr>
                <w:rFonts w:ascii="Cambria" w:hAnsi="Cambria"/>
              </w:rPr>
              <w:t>Need to start creation of separate investment funds for the future operation of mission within the Church as</w:t>
            </w:r>
            <w:r w:rsidR="00BE1D35">
              <w:rPr>
                <w:rFonts w:ascii="Cambria" w:hAnsi="Cambria"/>
              </w:rPr>
              <w:t xml:space="preserve"> members’ contributions decline</w:t>
            </w:r>
          </w:p>
        </w:tc>
      </w:tr>
      <w:tr w:rsidR="00C3276D" w:rsidRPr="00FD2E93" w14:paraId="45C1E306" w14:textId="77777777" w:rsidTr="00BE1D35">
        <w:trPr>
          <w:gridAfter w:val="1"/>
          <w:cnfStyle w:val="000000100000" w:firstRow="0" w:lastRow="0" w:firstColumn="0" w:lastColumn="0" w:oddVBand="0" w:evenVBand="0" w:oddHBand="1" w:evenHBand="0" w:firstRowFirstColumn="0" w:firstRowLastColumn="0" w:lastRowFirstColumn="0" w:lastRowLastColumn="0"/>
          <w:wAfter w:w="22" w:type="dxa"/>
        </w:trPr>
        <w:tc>
          <w:tcPr>
            <w:cnfStyle w:val="001000000000" w:firstRow="0" w:lastRow="0" w:firstColumn="1" w:lastColumn="0" w:oddVBand="0" w:evenVBand="0" w:oddHBand="0" w:evenHBand="0" w:firstRowFirstColumn="0" w:firstRowLastColumn="0" w:lastRowFirstColumn="0" w:lastRowLastColumn="0"/>
            <w:tcW w:w="4536" w:type="dxa"/>
            <w:gridSpan w:val="2"/>
          </w:tcPr>
          <w:p w14:paraId="593FC61B" w14:textId="77777777" w:rsidR="00C3276D" w:rsidRPr="00FD2E93" w:rsidRDefault="00C3276D" w:rsidP="009A5284">
            <w:pPr>
              <w:pStyle w:val="ListParagraph"/>
              <w:ind w:left="0"/>
              <w:rPr>
                <w:rFonts w:ascii="Cambria" w:hAnsi="Cambria"/>
              </w:rPr>
            </w:pPr>
          </w:p>
        </w:tc>
        <w:tc>
          <w:tcPr>
            <w:tcW w:w="4253" w:type="dxa"/>
          </w:tcPr>
          <w:p w14:paraId="55AF6BA8" w14:textId="052E7A96" w:rsidR="00C3276D" w:rsidRPr="00FD2E93" w:rsidRDefault="00C3276D" w:rsidP="009A5284">
            <w:pPr>
              <w:pStyle w:val="ListParagraph"/>
              <w:ind w:left="0"/>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rPr>
              <w:t>Other financial resources/ tools for congregations would b</w:t>
            </w:r>
            <w:r w:rsidR="00BE1D35">
              <w:rPr>
                <w:rFonts w:ascii="Cambria" w:hAnsi="Cambria"/>
              </w:rPr>
              <w:t>e valued eg budget planning kit</w:t>
            </w:r>
          </w:p>
        </w:tc>
      </w:tr>
      <w:tr w:rsidR="00C3276D" w:rsidRPr="00FD2E93" w14:paraId="2E9DBABC" w14:textId="77777777" w:rsidTr="00BE1D35">
        <w:trPr>
          <w:gridAfter w:val="1"/>
          <w:wAfter w:w="22" w:type="dxa"/>
        </w:trPr>
        <w:tc>
          <w:tcPr>
            <w:cnfStyle w:val="001000000000" w:firstRow="0" w:lastRow="0" w:firstColumn="1" w:lastColumn="0" w:oddVBand="0" w:evenVBand="0" w:oddHBand="0" w:evenHBand="0" w:firstRowFirstColumn="0" w:firstRowLastColumn="0" w:lastRowFirstColumn="0" w:lastRowLastColumn="0"/>
            <w:tcW w:w="4536" w:type="dxa"/>
            <w:gridSpan w:val="2"/>
          </w:tcPr>
          <w:p w14:paraId="3A2F3299" w14:textId="77777777" w:rsidR="00C3276D" w:rsidRPr="00FD2E93" w:rsidRDefault="00C3276D" w:rsidP="009A5284">
            <w:pPr>
              <w:pStyle w:val="ListParagraph"/>
              <w:ind w:left="0"/>
              <w:rPr>
                <w:rFonts w:ascii="Cambria" w:hAnsi="Cambria"/>
              </w:rPr>
            </w:pPr>
          </w:p>
        </w:tc>
        <w:tc>
          <w:tcPr>
            <w:tcW w:w="4253" w:type="dxa"/>
          </w:tcPr>
          <w:p w14:paraId="1C060941" w14:textId="16B5C497" w:rsidR="00C3276D" w:rsidRPr="00FD2E93" w:rsidRDefault="00C3276D" w:rsidP="009A5284">
            <w:pPr>
              <w:pStyle w:val="ListParagraph"/>
              <w:ind w:left="0"/>
              <w:cnfStyle w:val="000000000000" w:firstRow="0" w:lastRow="0" w:firstColumn="0" w:lastColumn="0" w:oddVBand="0" w:evenVBand="0" w:oddHBand="0" w:evenHBand="0" w:firstRowFirstColumn="0" w:firstRowLastColumn="0" w:lastRowFirstColumn="0" w:lastRowLastColumn="0"/>
              <w:rPr>
                <w:rFonts w:ascii="Cambria" w:hAnsi="Cambria"/>
              </w:rPr>
            </w:pPr>
            <w:r w:rsidRPr="00FD2E93">
              <w:rPr>
                <w:rFonts w:ascii="Cambria" w:hAnsi="Cambria"/>
              </w:rPr>
              <w:t>Review of process for remuneration of retired and locum pastors needed – needed by an external party; currently some inflexi</w:t>
            </w:r>
            <w:r w:rsidR="00BE1D35">
              <w:rPr>
                <w:rFonts w:ascii="Cambria" w:hAnsi="Cambria"/>
              </w:rPr>
              <w:t>bility and loyalty not rewarded</w:t>
            </w:r>
          </w:p>
        </w:tc>
      </w:tr>
      <w:tr w:rsidR="00C3276D" w:rsidRPr="00FD2E93" w14:paraId="34B04139" w14:textId="77777777" w:rsidTr="00BE1D35">
        <w:trPr>
          <w:gridAfter w:val="1"/>
          <w:cnfStyle w:val="000000100000" w:firstRow="0" w:lastRow="0" w:firstColumn="0" w:lastColumn="0" w:oddVBand="0" w:evenVBand="0" w:oddHBand="1" w:evenHBand="0" w:firstRowFirstColumn="0" w:firstRowLastColumn="0" w:lastRowFirstColumn="0" w:lastRowLastColumn="0"/>
          <w:wAfter w:w="22" w:type="dxa"/>
        </w:trPr>
        <w:tc>
          <w:tcPr>
            <w:cnfStyle w:val="001000000000" w:firstRow="0" w:lastRow="0" w:firstColumn="1" w:lastColumn="0" w:oddVBand="0" w:evenVBand="0" w:oddHBand="0" w:evenHBand="0" w:firstRowFirstColumn="0" w:firstRowLastColumn="0" w:lastRowFirstColumn="0" w:lastRowLastColumn="0"/>
            <w:tcW w:w="4536" w:type="dxa"/>
            <w:gridSpan w:val="2"/>
          </w:tcPr>
          <w:p w14:paraId="74119A02" w14:textId="77777777" w:rsidR="00C3276D" w:rsidRPr="00FD2E93" w:rsidRDefault="00C3276D" w:rsidP="009A5284">
            <w:pPr>
              <w:pStyle w:val="ListParagraph"/>
              <w:ind w:left="0"/>
              <w:rPr>
                <w:rFonts w:ascii="Cambria" w:hAnsi="Cambria"/>
              </w:rPr>
            </w:pPr>
          </w:p>
        </w:tc>
        <w:tc>
          <w:tcPr>
            <w:tcW w:w="4253" w:type="dxa"/>
          </w:tcPr>
          <w:p w14:paraId="6AF42EB2" w14:textId="76CC6251" w:rsidR="00C3276D" w:rsidRPr="00FD2E93" w:rsidRDefault="00C3276D" w:rsidP="009A5284">
            <w:pPr>
              <w:pStyle w:val="ListParagraph"/>
              <w:ind w:left="0"/>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rPr>
              <w:t>The regular ‘sweeps’ of funds from local accounts need to be explained to assist understanding of use and deployment, at local level eg ‘payr</w:t>
            </w:r>
            <w:r w:rsidR="00BE1D35">
              <w:rPr>
                <w:rFonts w:ascii="Cambria" w:hAnsi="Cambria"/>
              </w:rPr>
              <w:t>oll’, ‘superannuation’ or what?</w:t>
            </w:r>
          </w:p>
        </w:tc>
      </w:tr>
      <w:tr w:rsidR="00C3276D" w:rsidRPr="00FD2E93" w14:paraId="1D5B3BAB" w14:textId="77777777" w:rsidTr="00BE1D35">
        <w:trPr>
          <w:gridAfter w:val="1"/>
          <w:wAfter w:w="22" w:type="dxa"/>
        </w:trPr>
        <w:tc>
          <w:tcPr>
            <w:cnfStyle w:val="001000000000" w:firstRow="0" w:lastRow="0" w:firstColumn="1" w:lastColumn="0" w:oddVBand="0" w:evenVBand="0" w:oddHBand="0" w:evenHBand="0" w:firstRowFirstColumn="0" w:firstRowLastColumn="0" w:lastRowFirstColumn="0" w:lastRowLastColumn="0"/>
            <w:tcW w:w="4536" w:type="dxa"/>
            <w:gridSpan w:val="2"/>
          </w:tcPr>
          <w:p w14:paraId="68C30A89" w14:textId="77777777" w:rsidR="00C3276D" w:rsidRPr="00FD2E93" w:rsidRDefault="00C3276D" w:rsidP="009A5284">
            <w:pPr>
              <w:pStyle w:val="ListParagraph"/>
              <w:ind w:left="0"/>
              <w:rPr>
                <w:rFonts w:ascii="Cambria" w:hAnsi="Cambria"/>
              </w:rPr>
            </w:pPr>
          </w:p>
        </w:tc>
        <w:tc>
          <w:tcPr>
            <w:tcW w:w="4253" w:type="dxa"/>
          </w:tcPr>
          <w:p w14:paraId="238AC2AD" w14:textId="75EFCAF5" w:rsidR="00C3276D" w:rsidRPr="00FD2E93" w:rsidRDefault="00C3276D" w:rsidP="009A5284">
            <w:pPr>
              <w:pStyle w:val="ListParagraph"/>
              <w:ind w:left="0"/>
              <w:cnfStyle w:val="000000000000" w:firstRow="0" w:lastRow="0" w:firstColumn="0" w:lastColumn="0" w:oddVBand="0" w:evenVBand="0" w:oddHBand="0" w:evenHBand="0" w:firstRowFirstColumn="0" w:firstRowLastColumn="0" w:lastRowFirstColumn="0" w:lastRowLastColumn="0"/>
              <w:rPr>
                <w:rFonts w:ascii="Cambria" w:hAnsi="Cambria"/>
              </w:rPr>
            </w:pPr>
            <w:r w:rsidRPr="00FD2E93">
              <w:rPr>
                <w:rFonts w:ascii="Cambria" w:hAnsi="Cambria"/>
              </w:rPr>
              <w:t>More work needed in this Churchwide service area on centralised management of broader financial tasks and facilities management, for those</w:t>
            </w:r>
            <w:r w:rsidR="00BE1D35">
              <w:rPr>
                <w:rFonts w:ascii="Cambria" w:hAnsi="Cambria"/>
              </w:rPr>
              <w:t xml:space="preserve"> not in North Adelaide precinct</w:t>
            </w:r>
          </w:p>
        </w:tc>
      </w:tr>
    </w:tbl>
    <w:p w14:paraId="500CDA46" w14:textId="77777777" w:rsidR="00C3276D" w:rsidRPr="00FD2E93" w:rsidRDefault="00C3276D" w:rsidP="00C3276D">
      <w:pPr>
        <w:rPr>
          <w:rFonts w:ascii="Cambria" w:hAnsi="Cambria"/>
        </w:rPr>
      </w:pPr>
    </w:p>
    <w:p w14:paraId="181E9064" w14:textId="77777777" w:rsidR="00C3276D" w:rsidRPr="00FD2E93" w:rsidRDefault="00C3276D" w:rsidP="00EA13AA">
      <w:pPr>
        <w:pStyle w:val="ListParagraph"/>
        <w:numPr>
          <w:ilvl w:val="0"/>
          <w:numId w:val="349"/>
        </w:numPr>
        <w:spacing w:line="259" w:lineRule="auto"/>
        <w:rPr>
          <w:rFonts w:ascii="Cambria" w:hAnsi="Cambria"/>
          <w:b/>
        </w:rPr>
      </w:pPr>
      <w:r w:rsidRPr="00FD2E93">
        <w:rPr>
          <w:rFonts w:ascii="Cambria" w:hAnsi="Cambria"/>
          <w:b/>
        </w:rPr>
        <w:t>Information and Communications Technology Department</w:t>
      </w:r>
    </w:p>
    <w:p w14:paraId="67960173" w14:textId="77777777" w:rsidR="00C3276D" w:rsidRPr="00FD2E93" w:rsidRDefault="00C3276D" w:rsidP="00C3276D">
      <w:pPr>
        <w:pStyle w:val="ListParagraph"/>
        <w:spacing w:after="0"/>
        <w:ind w:left="360"/>
        <w:rPr>
          <w:rFonts w:ascii="Cambria" w:hAnsi="Cambria"/>
          <w:i/>
        </w:rPr>
      </w:pPr>
      <w:r w:rsidRPr="00FD2E93">
        <w:rPr>
          <w:rFonts w:ascii="Cambria" w:hAnsi="Cambria"/>
          <w:i/>
        </w:rPr>
        <w:t xml:space="preserve">(N= 110 of which 32 are ‘No comment’, or ‘No impact’ as a response.) </w:t>
      </w:r>
    </w:p>
    <w:p w14:paraId="00C290AB" w14:textId="77777777" w:rsidR="00C3276D" w:rsidRPr="00FD2E93" w:rsidRDefault="00C3276D" w:rsidP="00C3276D">
      <w:pPr>
        <w:pStyle w:val="ListParagraph"/>
        <w:spacing w:after="0"/>
        <w:ind w:left="360"/>
        <w:rPr>
          <w:rFonts w:ascii="Cambria" w:hAnsi="Cambria"/>
          <w:i/>
        </w:rPr>
      </w:pPr>
      <w:r w:rsidRPr="00FD2E93">
        <w:rPr>
          <w:rFonts w:ascii="Cambria" w:hAnsi="Cambria"/>
          <w:i/>
        </w:rPr>
        <w:t>(Note: There is no correlation between items in the Positive column and those adjacent in the Negative column).</w:t>
      </w:r>
    </w:p>
    <w:p w14:paraId="43349536" w14:textId="77777777" w:rsidR="00C3276D" w:rsidRPr="00BE1D35" w:rsidRDefault="00C3276D" w:rsidP="00C3276D">
      <w:pPr>
        <w:pStyle w:val="ListParagraph"/>
        <w:spacing w:after="0"/>
        <w:ind w:left="360"/>
        <w:rPr>
          <w:rFonts w:ascii="Cambria" w:hAnsi="Cambria"/>
          <w:i/>
          <w:sz w:val="8"/>
        </w:rPr>
      </w:pPr>
    </w:p>
    <w:p w14:paraId="534D0F16" w14:textId="4D977AA3" w:rsidR="00C3276D" w:rsidRPr="00FD2E93" w:rsidRDefault="00C3276D" w:rsidP="00C3276D">
      <w:pPr>
        <w:spacing w:after="0"/>
        <w:rPr>
          <w:rFonts w:ascii="Cambria" w:hAnsi="Cambria"/>
        </w:rPr>
      </w:pPr>
      <w:r w:rsidRPr="00FD2E93">
        <w:rPr>
          <w:rFonts w:ascii="Cambria" w:hAnsi="Cambria"/>
        </w:rPr>
        <w:t xml:space="preserve">Some of the comments made under this heading indicate confusion between the roles/ services of the Communications Department and the ICT Department, </w:t>
      </w:r>
      <w:r w:rsidR="00BE1D35" w:rsidRPr="00FD2E93">
        <w:rPr>
          <w:rFonts w:ascii="Cambria" w:hAnsi="Cambria"/>
        </w:rPr>
        <w:t>e.g.</w:t>
      </w:r>
      <w:r w:rsidRPr="00FD2E93">
        <w:rPr>
          <w:rFonts w:ascii="Cambria" w:hAnsi="Cambria"/>
        </w:rPr>
        <w:t xml:space="preserve"> provision of websites.</w:t>
      </w:r>
    </w:p>
    <w:p w14:paraId="4E489575" w14:textId="77777777" w:rsidR="00C3276D" w:rsidRPr="00BE1D35" w:rsidRDefault="00C3276D" w:rsidP="00C3276D">
      <w:pPr>
        <w:pStyle w:val="ListParagraph"/>
        <w:spacing w:after="0"/>
        <w:ind w:left="360"/>
        <w:rPr>
          <w:rFonts w:ascii="Cambria" w:hAnsi="Cambria"/>
          <w:i/>
          <w:sz w:val="12"/>
        </w:rPr>
      </w:pPr>
    </w:p>
    <w:tbl>
      <w:tblPr>
        <w:tblStyle w:val="PlainTable2"/>
        <w:tblW w:w="0" w:type="auto"/>
        <w:tblLook w:val="04A0" w:firstRow="1" w:lastRow="0" w:firstColumn="1" w:lastColumn="0" w:noHBand="0" w:noVBand="1"/>
      </w:tblPr>
      <w:tblGrid>
        <w:gridCol w:w="4395"/>
        <w:gridCol w:w="4416"/>
      </w:tblGrid>
      <w:tr w:rsidR="00C3276D" w:rsidRPr="00FD2E93" w14:paraId="629A1B8E" w14:textId="77777777" w:rsidTr="00BE1D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0" w:type="dxa"/>
          </w:tcPr>
          <w:p w14:paraId="742386A2" w14:textId="4748A1E5" w:rsidR="00C3276D" w:rsidRPr="00FD2E93" w:rsidRDefault="00BE1D35" w:rsidP="009A5284">
            <w:pPr>
              <w:pStyle w:val="ListParagraph"/>
              <w:ind w:left="0"/>
              <w:rPr>
                <w:rFonts w:ascii="Cambria" w:hAnsi="Cambria"/>
              </w:rPr>
            </w:pPr>
            <w:r>
              <w:rPr>
                <w:rFonts w:ascii="Cambria" w:hAnsi="Cambria"/>
              </w:rPr>
              <w:t>Positive Themes</w:t>
            </w:r>
          </w:p>
        </w:tc>
        <w:tc>
          <w:tcPr>
            <w:tcW w:w="4511" w:type="dxa"/>
          </w:tcPr>
          <w:p w14:paraId="11F0EBFE" w14:textId="77777777" w:rsidR="00C3276D" w:rsidRPr="00FD2E93" w:rsidRDefault="00C3276D" w:rsidP="009A5284">
            <w:pPr>
              <w:pStyle w:val="ListParagraph"/>
              <w:ind w:left="0"/>
              <w:cnfStyle w:val="100000000000" w:firstRow="1" w:lastRow="0" w:firstColumn="0" w:lastColumn="0" w:oddVBand="0" w:evenVBand="0" w:oddHBand="0" w:evenHBand="0" w:firstRowFirstColumn="0" w:firstRowLastColumn="0" w:lastRowFirstColumn="0" w:lastRowLastColumn="0"/>
              <w:rPr>
                <w:rFonts w:ascii="Cambria" w:hAnsi="Cambria"/>
              </w:rPr>
            </w:pPr>
            <w:r w:rsidRPr="00FD2E93">
              <w:rPr>
                <w:rFonts w:ascii="Cambria" w:hAnsi="Cambria"/>
              </w:rPr>
              <w:t>Negative Themes/ Improvements Sought</w:t>
            </w:r>
          </w:p>
        </w:tc>
      </w:tr>
      <w:tr w:rsidR="00C3276D" w:rsidRPr="00FD2E93" w14:paraId="0FBA09BD" w14:textId="77777777" w:rsidTr="00BE1D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0" w:type="dxa"/>
          </w:tcPr>
          <w:p w14:paraId="5F59E01E" w14:textId="32BADDF7" w:rsidR="00C3276D" w:rsidRPr="00BE1D35" w:rsidRDefault="00C3276D" w:rsidP="009A5284">
            <w:pPr>
              <w:pStyle w:val="ListParagraph"/>
              <w:ind w:left="0"/>
              <w:rPr>
                <w:rFonts w:ascii="Cambria" w:hAnsi="Cambria"/>
                <w:b w:val="0"/>
              </w:rPr>
            </w:pPr>
            <w:r w:rsidRPr="00BE1D35">
              <w:rPr>
                <w:rFonts w:ascii="Cambria" w:hAnsi="Cambria"/>
                <w:b w:val="0"/>
              </w:rPr>
              <w:t>Sharepoint working rea</w:t>
            </w:r>
            <w:r w:rsidR="00BE1D35">
              <w:rPr>
                <w:rFonts w:ascii="Cambria" w:hAnsi="Cambria"/>
                <w:b w:val="0"/>
              </w:rPr>
              <w:t>sonably well for meeting papers</w:t>
            </w:r>
          </w:p>
        </w:tc>
        <w:tc>
          <w:tcPr>
            <w:tcW w:w="4511" w:type="dxa"/>
          </w:tcPr>
          <w:p w14:paraId="15F7D5E3" w14:textId="77777777" w:rsidR="00C3276D" w:rsidRPr="00FD2E93" w:rsidRDefault="00C3276D" w:rsidP="009A5284">
            <w:pPr>
              <w:pStyle w:val="ListParagraph"/>
              <w:ind w:left="0"/>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rPr>
              <w:t>Load time for websites is slow</w:t>
            </w:r>
          </w:p>
          <w:p w14:paraId="5FD52A06" w14:textId="77777777" w:rsidR="00C3276D" w:rsidRPr="00FD2E93" w:rsidRDefault="00C3276D" w:rsidP="009A5284">
            <w:pPr>
              <w:pStyle w:val="ListParagraph"/>
              <w:ind w:left="0"/>
              <w:cnfStyle w:val="000000100000" w:firstRow="0" w:lastRow="0" w:firstColumn="0" w:lastColumn="0" w:oddVBand="0" w:evenVBand="0" w:oddHBand="1" w:evenHBand="0" w:firstRowFirstColumn="0" w:firstRowLastColumn="0" w:lastRowFirstColumn="0" w:lastRowLastColumn="0"/>
              <w:rPr>
                <w:rFonts w:ascii="Cambria" w:hAnsi="Cambria"/>
              </w:rPr>
            </w:pPr>
          </w:p>
        </w:tc>
      </w:tr>
      <w:tr w:rsidR="00C3276D" w:rsidRPr="00FD2E93" w14:paraId="4B994ADE" w14:textId="77777777" w:rsidTr="00BE1D35">
        <w:tc>
          <w:tcPr>
            <w:cnfStyle w:val="001000000000" w:firstRow="0" w:lastRow="0" w:firstColumn="1" w:lastColumn="0" w:oddVBand="0" w:evenVBand="0" w:oddHBand="0" w:evenHBand="0" w:firstRowFirstColumn="0" w:firstRowLastColumn="0" w:lastRowFirstColumn="0" w:lastRowLastColumn="0"/>
            <w:tcW w:w="4510" w:type="dxa"/>
          </w:tcPr>
          <w:p w14:paraId="7B6D6E89" w14:textId="0F112AAC" w:rsidR="00C3276D" w:rsidRPr="00BE1D35" w:rsidRDefault="00C3276D" w:rsidP="009A5284">
            <w:pPr>
              <w:pStyle w:val="ListParagraph"/>
              <w:ind w:left="0"/>
              <w:rPr>
                <w:rFonts w:ascii="Cambria" w:hAnsi="Cambria"/>
                <w:b w:val="0"/>
              </w:rPr>
            </w:pPr>
            <w:r w:rsidRPr="00BE1D35">
              <w:rPr>
                <w:rFonts w:ascii="Cambria" w:hAnsi="Cambria"/>
                <w:b w:val="0"/>
              </w:rPr>
              <w:t>Skype supporting Committees to meet virtually and not have to all travel = more efficient for them, less impact, and less cost</w:t>
            </w:r>
          </w:p>
        </w:tc>
        <w:tc>
          <w:tcPr>
            <w:tcW w:w="4511" w:type="dxa"/>
          </w:tcPr>
          <w:p w14:paraId="33D69EDD" w14:textId="061BECD8" w:rsidR="00C3276D" w:rsidRPr="00FD2E93" w:rsidRDefault="00C3276D" w:rsidP="009A5284">
            <w:pPr>
              <w:pStyle w:val="ListParagraph"/>
              <w:ind w:left="0"/>
              <w:cnfStyle w:val="000000000000" w:firstRow="0" w:lastRow="0" w:firstColumn="0" w:lastColumn="0" w:oddVBand="0" w:evenVBand="0" w:oddHBand="0" w:evenHBand="0" w:firstRowFirstColumn="0" w:firstRowLastColumn="0" w:lastRowFirstColumn="0" w:lastRowLastColumn="0"/>
              <w:rPr>
                <w:rFonts w:ascii="Cambria" w:hAnsi="Cambria"/>
              </w:rPr>
            </w:pPr>
            <w:r w:rsidRPr="00FD2E93">
              <w:rPr>
                <w:rFonts w:ascii="Cambria" w:hAnsi="Cambria"/>
              </w:rPr>
              <w:t>Need maintenance support and ways of supporting those less proficient and more remote</w:t>
            </w:r>
          </w:p>
        </w:tc>
      </w:tr>
      <w:tr w:rsidR="00C3276D" w:rsidRPr="00FD2E93" w14:paraId="668E6DAC" w14:textId="77777777" w:rsidTr="00BE1D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0" w:type="dxa"/>
          </w:tcPr>
          <w:p w14:paraId="10ECC61A" w14:textId="2686C260" w:rsidR="00C3276D" w:rsidRPr="00BE1D35" w:rsidRDefault="00C3276D" w:rsidP="009A5284">
            <w:pPr>
              <w:pStyle w:val="ListParagraph"/>
              <w:ind w:left="0"/>
              <w:rPr>
                <w:rFonts w:ascii="Cambria" w:hAnsi="Cambria"/>
                <w:b w:val="0"/>
              </w:rPr>
            </w:pPr>
            <w:r w:rsidRPr="00BE1D35">
              <w:rPr>
                <w:rFonts w:ascii="Cambria" w:hAnsi="Cambria"/>
                <w:b w:val="0"/>
              </w:rPr>
              <w:lastRenderedPageBreak/>
              <w:t>Having a centralised resource on which to call for tech suppor</w:t>
            </w:r>
            <w:r w:rsidR="00BE1D35">
              <w:rPr>
                <w:rFonts w:ascii="Cambria" w:hAnsi="Cambria"/>
                <w:b w:val="0"/>
              </w:rPr>
              <w:t>t or advice is much appreciated</w:t>
            </w:r>
          </w:p>
        </w:tc>
        <w:tc>
          <w:tcPr>
            <w:tcW w:w="4511" w:type="dxa"/>
          </w:tcPr>
          <w:p w14:paraId="39F0D0FE" w14:textId="76B0422C" w:rsidR="00C3276D" w:rsidRPr="00FD2E93" w:rsidRDefault="00C3276D" w:rsidP="009A5284">
            <w:pPr>
              <w:pStyle w:val="ListParagraph"/>
              <w:ind w:left="0"/>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rPr>
              <w:t>Skype for Business not as efficient as Skype; lots of downtime to g</w:t>
            </w:r>
            <w:r w:rsidR="00BE1D35">
              <w:rPr>
                <w:rFonts w:ascii="Cambria" w:hAnsi="Cambria"/>
              </w:rPr>
              <w:t>et all members on for a meeting</w:t>
            </w:r>
          </w:p>
        </w:tc>
      </w:tr>
      <w:tr w:rsidR="00C3276D" w:rsidRPr="00FD2E93" w14:paraId="6B9C0F95" w14:textId="77777777" w:rsidTr="00BE1D35">
        <w:tc>
          <w:tcPr>
            <w:cnfStyle w:val="001000000000" w:firstRow="0" w:lastRow="0" w:firstColumn="1" w:lastColumn="0" w:oddVBand="0" w:evenVBand="0" w:oddHBand="0" w:evenHBand="0" w:firstRowFirstColumn="0" w:firstRowLastColumn="0" w:lastRowFirstColumn="0" w:lastRowLastColumn="0"/>
            <w:tcW w:w="4510" w:type="dxa"/>
          </w:tcPr>
          <w:p w14:paraId="011251AE" w14:textId="77777777" w:rsidR="00C3276D" w:rsidRPr="00BE1D35" w:rsidRDefault="00C3276D" w:rsidP="009A5284">
            <w:pPr>
              <w:pStyle w:val="ListParagraph"/>
              <w:ind w:left="0"/>
              <w:rPr>
                <w:rFonts w:ascii="Cambria" w:hAnsi="Cambria"/>
                <w:b w:val="0"/>
              </w:rPr>
            </w:pPr>
            <w:r w:rsidRPr="00BE1D35">
              <w:rPr>
                <w:rFonts w:ascii="Cambria" w:hAnsi="Cambria"/>
                <w:b w:val="0"/>
              </w:rPr>
              <w:t>Web-hosting appreciated; working well</w:t>
            </w:r>
          </w:p>
        </w:tc>
        <w:tc>
          <w:tcPr>
            <w:tcW w:w="4511" w:type="dxa"/>
          </w:tcPr>
          <w:p w14:paraId="04C74483" w14:textId="6667A9A2" w:rsidR="00C3276D" w:rsidRPr="00FD2E93" w:rsidRDefault="00C3276D" w:rsidP="009A5284">
            <w:pPr>
              <w:pStyle w:val="ListParagraph"/>
              <w:ind w:left="0"/>
              <w:cnfStyle w:val="000000000000" w:firstRow="0" w:lastRow="0" w:firstColumn="0" w:lastColumn="0" w:oddVBand="0" w:evenVBand="0" w:oddHBand="0" w:evenHBand="0" w:firstRowFirstColumn="0" w:firstRowLastColumn="0" w:lastRowFirstColumn="0" w:lastRowLastColumn="0"/>
              <w:rPr>
                <w:rFonts w:ascii="Cambria" w:hAnsi="Cambria"/>
              </w:rPr>
            </w:pPr>
            <w:r w:rsidRPr="00FD2E93">
              <w:rPr>
                <w:rFonts w:ascii="Cambria" w:hAnsi="Cambria"/>
              </w:rPr>
              <w:t>Sharepoint does not meet more specialised needs of some departments; is not a substitute for a corp</w:t>
            </w:r>
            <w:r w:rsidR="00BE1D35">
              <w:rPr>
                <w:rFonts w:ascii="Cambria" w:hAnsi="Cambria"/>
              </w:rPr>
              <w:t>orate records management system</w:t>
            </w:r>
          </w:p>
        </w:tc>
      </w:tr>
      <w:tr w:rsidR="00C3276D" w:rsidRPr="00FD2E93" w14:paraId="2C13E2CF" w14:textId="77777777" w:rsidTr="00BE1D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0" w:type="dxa"/>
          </w:tcPr>
          <w:p w14:paraId="18A634C9" w14:textId="5878E365" w:rsidR="00C3276D" w:rsidRPr="00BE1D35" w:rsidRDefault="00C3276D" w:rsidP="009A5284">
            <w:pPr>
              <w:pStyle w:val="ListParagraph"/>
              <w:ind w:left="0"/>
              <w:rPr>
                <w:rFonts w:ascii="Cambria" w:hAnsi="Cambria"/>
                <w:b w:val="0"/>
              </w:rPr>
            </w:pPr>
            <w:r w:rsidRPr="00BE1D35">
              <w:rPr>
                <w:rFonts w:ascii="Cambria" w:hAnsi="Cambria"/>
                <w:b w:val="0"/>
              </w:rPr>
              <w:t>Single sign on and</w:t>
            </w:r>
            <w:r w:rsidR="00BE1D35">
              <w:rPr>
                <w:rFonts w:ascii="Cambria" w:hAnsi="Cambria"/>
                <w:b w:val="0"/>
              </w:rPr>
              <w:t xml:space="preserve"> LCA email are much appreciated</w:t>
            </w:r>
          </w:p>
        </w:tc>
        <w:tc>
          <w:tcPr>
            <w:tcW w:w="4511" w:type="dxa"/>
          </w:tcPr>
          <w:p w14:paraId="33ED2792" w14:textId="052A13D3" w:rsidR="00C3276D" w:rsidRPr="00FD2E93" w:rsidRDefault="00C3276D" w:rsidP="009A5284">
            <w:pPr>
              <w:pStyle w:val="ListParagraph"/>
              <w:ind w:left="0"/>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rPr>
              <w:t>Having to pay for extra supports. Eg when a new sta</w:t>
            </w:r>
            <w:r w:rsidR="00BE1D35">
              <w:rPr>
                <w:rFonts w:ascii="Cambria" w:hAnsi="Cambria"/>
              </w:rPr>
              <w:t>ffer begins, is not appreciated</w:t>
            </w:r>
          </w:p>
        </w:tc>
      </w:tr>
      <w:tr w:rsidR="00C3276D" w:rsidRPr="00FD2E93" w14:paraId="52EE0442" w14:textId="77777777" w:rsidTr="00BE1D35">
        <w:tc>
          <w:tcPr>
            <w:cnfStyle w:val="001000000000" w:firstRow="0" w:lastRow="0" w:firstColumn="1" w:lastColumn="0" w:oddVBand="0" w:evenVBand="0" w:oddHBand="0" w:evenHBand="0" w:firstRowFirstColumn="0" w:firstRowLastColumn="0" w:lastRowFirstColumn="0" w:lastRowLastColumn="0"/>
            <w:tcW w:w="4510" w:type="dxa"/>
          </w:tcPr>
          <w:p w14:paraId="11F0DFB7" w14:textId="77777777" w:rsidR="00C3276D" w:rsidRPr="00BE1D35" w:rsidRDefault="00C3276D" w:rsidP="009A5284">
            <w:pPr>
              <w:pStyle w:val="ListParagraph"/>
              <w:ind w:left="0"/>
              <w:rPr>
                <w:rFonts w:ascii="Cambria" w:hAnsi="Cambria"/>
                <w:b w:val="0"/>
              </w:rPr>
            </w:pPr>
            <w:r w:rsidRPr="00BE1D35">
              <w:rPr>
                <w:rFonts w:ascii="Cambria" w:hAnsi="Cambria"/>
                <w:b w:val="0"/>
              </w:rPr>
              <w:t xml:space="preserve">Very helpful service support and training provided by the team; very prompt and friendly service support </w:t>
            </w:r>
          </w:p>
          <w:p w14:paraId="60C33204" w14:textId="77777777" w:rsidR="00C3276D" w:rsidRPr="00BE1D35" w:rsidRDefault="00C3276D" w:rsidP="009A5284">
            <w:pPr>
              <w:pStyle w:val="ListParagraph"/>
              <w:ind w:left="0"/>
              <w:rPr>
                <w:rFonts w:ascii="Cambria" w:hAnsi="Cambria"/>
                <w:b w:val="0"/>
              </w:rPr>
            </w:pPr>
          </w:p>
        </w:tc>
        <w:tc>
          <w:tcPr>
            <w:tcW w:w="4511" w:type="dxa"/>
          </w:tcPr>
          <w:p w14:paraId="3B62A8AF" w14:textId="77777777" w:rsidR="00C3276D" w:rsidRPr="00FD2E93" w:rsidRDefault="00C3276D" w:rsidP="009A5284">
            <w:pPr>
              <w:pStyle w:val="ListParagraph"/>
              <w:ind w:left="0"/>
              <w:cnfStyle w:val="000000000000" w:firstRow="0" w:lastRow="0" w:firstColumn="0" w:lastColumn="0" w:oddVBand="0" w:evenVBand="0" w:oddHBand="0" w:evenHBand="0" w:firstRowFirstColumn="0" w:firstRowLastColumn="0" w:lastRowFirstColumn="0" w:lastRowLastColumn="0"/>
              <w:rPr>
                <w:rFonts w:ascii="Cambria" w:hAnsi="Cambria"/>
              </w:rPr>
            </w:pPr>
            <w:r w:rsidRPr="00FD2E93">
              <w:rPr>
                <w:rFonts w:ascii="Cambria" w:hAnsi="Cambria"/>
              </w:rPr>
              <w:t>Supports for those less technologically proficient with things like Sharepoint are needed; high levels of frustration reported by a minority; induction of Committee/Board members recommended at start up/ new members</w:t>
            </w:r>
          </w:p>
        </w:tc>
      </w:tr>
      <w:tr w:rsidR="00C3276D" w:rsidRPr="00FD2E93" w14:paraId="288A6C0D" w14:textId="77777777" w:rsidTr="00BE1D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0" w:type="dxa"/>
          </w:tcPr>
          <w:p w14:paraId="10264B25" w14:textId="77777777" w:rsidR="00C3276D" w:rsidRPr="00BE1D35" w:rsidRDefault="00C3276D" w:rsidP="009A5284">
            <w:pPr>
              <w:pStyle w:val="ListParagraph"/>
              <w:ind w:left="0"/>
              <w:rPr>
                <w:rFonts w:ascii="Cambria" w:hAnsi="Cambria"/>
                <w:b w:val="0"/>
              </w:rPr>
            </w:pPr>
            <w:r w:rsidRPr="00BE1D35">
              <w:rPr>
                <w:rFonts w:ascii="Cambria" w:hAnsi="Cambria"/>
                <w:b w:val="0"/>
              </w:rPr>
              <w:t>LAMP access is positive</w:t>
            </w:r>
          </w:p>
          <w:p w14:paraId="281D84E3" w14:textId="77777777" w:rsidR="00C3276D" w:rsidRPr="00BE1D35" w:rsidRDefault="00C3276D" w:rsidP="009A5284">
            <w:pPr>
              <w:pStyle w:val="ListParagraph"/>
              <w:ind w:left="0"/>
              <w:rPr>
                <w:rFonts w:ascii="Cambria" w:hAnsi="Cambria"/>
                <w:b w:val="0"/>
              </w:rPr>
            </w:pPr>
          </w:p>
        </w:tc>
        <w:tc>
          <w:tcPr>
            <w:tcW w:w="4511" w:type="dxa"/>
          </w:tcPr>
          <w:p w14:paraId="33DC6138" w14:textId="2EA8206B" w:rsidR="00C3276D" w:rsidRPr="00FD2E93" w:rsidRDefault="00C3276D" w:rsidP="009A5284">
            <w:pPr>
              <w:pStyle w:val="ListParagraph"/>
              <w:ind w:left="0"/>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rPr>
              <w:t>Support demands are increasing; lack of completion of tasks is a negative in what</w:t>
            </w:r>
            <w:r w:rsidR="00BE1D35">
              <w:rPr>
                <w:rFonts w:ascii="Cambria" w:hAnsi="Cambria"/>
              </w:rPr>
              <w:t xml:space="preserve"> is otherwise a helpful service</w:t>
            </w:r>
          </w:p>
        </w:tc>
      </w:tr>
      <w:tr w:rsidR="00C3276D" w:rsidRPr="00FD2E93" w14:paraId="1B68D889" w14:textId="77777777" w:rsidTr="00BE1D35">
        <w:tc>
          <w:tcPr>
            <w:cnfStyle w:val="001000000000" w:firstRow="0" w:lastRow="0" w:firstColumn="1" w:lastColumn="0" w:oddVBand="0" w:evenVBand="0" w:oddHBand="0" w:evenHBand="0" w:firstRowFirstColumn="0" w:firstRowLastColumn="0" w:lastRowFirstColumn="0" w:lastRowLastColumn="0"/>
            <w:tcW w:w="4510" w:type="dxa"/>
          </w:tcPr>
          <w:p w14:paraId="370269DD" w14:textId="5B866352" w:rsidR="00C3276D" w:rsidRPr="00BE1D35" w:rsidRDefault="00C3276D" w:rsidP="009A5284">
            <w:pPr>
              <w:pStyle w:val="ListParagraph"/>
              <w:ind w:left="0"/>
              <w:rPr>
                <w:rFonts w:ascii="Cambria" w:hAnsi="Cambria"/>
                <w:b w:val="0"/>
              </w:rPr>
            </w:pPr>
            <w:r w:rsidRPr="00BE1D35">
              <w:rPr>
                <w:rFonts w:ascii="Cambria" w:hAnsi="Cambria"/>
                <w:b w:val="0"/>
              </w:rPr>
              <w:t>Interaction of members in Church groups is much easier and a great saving of efforts all round; much appreciated</w:t>
            </w:r>
            <w:r w:rsidR="00BE1D35">
              <w:rPr>
                <w:rFonts w:ascii="Cambria" w:hAnsi="Cambria"/>
                <w:b w:val="0"/>
              </w:rPr>
              <w:t>; Committees are more efficient</w:t>
            </w:r>
          </w:p>
        </w:tc>
        <w:tc>
          <w:tcPr>
            <w:tcW w:w="4511" w:type="dxa"/>
          </w:tcPr>
          <w:p w14:paraId="72A4128E" w14:textId="77777777" w:rsidR="00C3276D" w:rsidRPr="00FD2E93" w:rsidRDefault="00C3276D" w:rsidP="009A5284">
            <w:pPr>
              <w:pStyle w:val="ListParagraph"/>
              <w:ind w:left="0"/>
              <w:cnfStyle w:val="000000000000" w:firstRow="0" w:lastRow="0" w:firstColumn="0" w:lastColumn="0" w:oddVBand="0" w:evenVBand="0" w:oddHBand="0" w:evenHBand="0" w:firstRowFirstColumn="0" w:firstRowLastColumn="0" w:lastRowFirstColumn="0" w:lastRowLastColumn="0"/>
              <w:rPr>
                <w:rFonts w:ascii="Cambria" w:hAnsi="Cambria"/>
              </w:rPr>
            </w:pPr>
            <w:r w:rsidRPr="00FD2E93">
              <w:rPr>
                <w:rFonts w:ascii="Cambria" w:hAnsi="Cambria"/>
              </w:rPr>
              <w:t>Reliability of systems is a problem; equipment needs upgrade to be most efficient</w:t>
            </w:r>
          </w:p>
        </w:tc>
      </w:tr>
      <w:tr w:rsidR="00C3276D" w:rsidRPr="00FD2E93" w14:paraId="1367E21A" w14:textId="77777777" w:rsidTr="00BE1D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0" w:type="dxa"/>
          </w:tcPr>
          <w:p w14:paraId="7A7D8081" w14:textId="1FD41280" w:rsidR="00C3276D" w:rsidRPr="00BE1D35" w:rsidRDefault="00C3276D" w:rsidP="009A5284">
            <w:pPr>
              <w:pStyle w:val="ListParagraph"/>
              <w:ind w:left="0"/>
              <w:rPr>
                <w:rFonts w:ascii="Cambria" w:hAnsi="Cambria"/>
                <w:b w:val="0"/>
              </w:rPr>
            </w:pPr>
            <w:r w:rsidRPr="00BE1D35">
              <w:rPr>
                <w:rFonts w:ascii="Cambria" w:hAnsi="Cambria"/>
                <w:b w:val="0"/>
              </w:rPr>
              <w:t>Advice and support for securing Church data has bee</w:t>
            </w:r>
            <w:r w:rsidR="00BE1D35">
              <w:rPr>
                <w:rFonts w:ascii="Cambria" w:hAnsi="Cambria"/>
                <w:b w:val="0"/>
              </w:rPr>
              <w:t>n appreciated and reduced risks</w:t>
            </w:r>
          </w:p>
        </w:tc>
        <w:tc>
          <w:tcPr>
            <w:tcW w:w="4511" w:type="dxa"/>
          </w:tcPr>
          <w:p w14:paraId="3BB7C0B0" w14:textId="77777777" w:rsidR="00C3276D" w:rsidRPr="00FD2E93" w:rsidRDefault="00C3276D" w:rsidP="009A5284">
            <w:pPr>
              <w:pStyle w:val="ListParagraph"/>
              <w:ind w:left="0"/>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rPr>
              <w:t>Tech mechanisms for Intragroup interactions between meetings would be appreciated</w:t>
            </w:r>
          </w:p>
        </w:tc>
      </w:tr>
      <w:tr w:rsidR="00C3276D" w:rsidRPr="00FD2E93" w14:paraId="638C728F" w14:textId="77777777" w:rsidTr="00BE1D35">
        <w:tc>
          <w:tcPr>
            <w:cnfStyle w:val="001000000000" w:firstRow="0" w:lastRow="0" w:firstColumn="1" w:lastColumn="0" w:oddVBand="0" w:evenVBand="0" w:oddHBand="0" w:evenHBand="0" w:firstRowFirstColumn="0" w:firstRowLastColumn="0" w:lastRowFirstColumn="0" w:lastRowLastColumn="0"/>
            <w:tcW w:w="4510" w:type="dxa"/>
          </w:tcPr>
          <w:p w14:paraId="1359C1D6" w14:textId="77777777" w:rsidR="00C3276D" w:rsidRPr="00BE1D35" w:rsidRDefault="00C3276D" w:rsidP="009A5284">
            <w:pPr>
              <w:pStyle w:val="ListParagraph"/>
              <w:ind w:left="0"/>
              <w:rPr>
                <w:rFonts w:ascii="Cambria" w:hAnsi="Cambria"/>
                <w:b w:val="0"/>
              </w:rPr>
            </w:pPr>
            <w:r w:rsidRPr="00BE1D35">
              <w:rPr>
                <w:rFonts w:ascii="Cambria" w:hAnsi="Cambria"/>
                <w:b w:val="0"/>
              </w:rPr>
              <w:t xml:space="preserve">Reduction efforts for Spam are appreciated </w:t>
            </w:r>
          </w:p>
        </w:tc>
        <w:tc>
          <w:tcPr>
            <w:tcW w:w="4511" w:type="dxa"/>
          </w:tcPr>
          <w:p w14:paraId="132A946A" w14:textId="312982C4" w:rsidR="00C3276D" w:rsidRPr="00FD2E93" w:rsidRDefault="00C3276D" w:rsidP="009A5284">
            <w:pPr>
              <w:pStyle w:val="ListParagraph"/>
              <w:ind w:left="0"/>
              <w:cnfStyle w:val="000000000000" w:firstRow="0" w:lastRow="0" w:firstColumn="0" w:lastColumn="0" w:oddVBand="0" w:evenVBand="0" w:oddHBand="0" w:evenHBand="0" w:firstRowFirstColumn="0" w:firstRowLastColumn="0" w:lastRowFirstColumn="0" w:lastRowLastColumn="0"/>
              <w:rPr>
                <w:rFonts w:ascii="Cambria" w:hAnsi="Cambria"/>
              </w:rPr>
            </w:pPr>
            <w:r w:rsidRPr="00FD2E93">
              <w:rPr>
                <w:rFonts w:ascii="Cambria" w:hAnsi="Cambria"/>
              </w:rPr>
              <w:t>Could ICT have remote access to computers to assist those l</w:t>
            </w:r>
            <w:r w:rsidR="00BE1D35">
              <w:rPr>
                <w:rFonts w:ascii="Cambria" w:hAnsi="Cambria"/>
              </w:rPr>
              <w:t>ess proficient to troubleshoot?</w:t>
            </w:r>
          </w:p>
        </w:tc>
      </w:tr>
      <w:tr w:rsidR="00C3276D" w:rsidRPr="00FD2E93" w14:paraId="39B21A77" w14:textId="77777777" w:rsidTr="00BE1D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0" w:type="dxa"/>
          </w:tcPr>
          <w:p w14:paraId="1E13BFCD" w14:textId="77777777" w:rsidR="00C3276D" w:rsidRPr="00BE1D35" w:rsidRDefault="00C3276D" w:rsidP="009A5284">
            <w:pPr>
              <w:pStyle w:val="ListParagraph"/>
              <w:ind w:left="0"/>
              <w:rPr>
                <w:rFonts w:ascii="Cambria" w:hAnsi="Cambria"/>
                <w:b w:val="0"/>
              </w:rPr>
            </w:pPr>
            <w:r w:rsidRPr="00BE1D35">
              <w:rPr>
                <w:rFonts w:ascii="Cambria" w:hAnsi="Cambria"/>
                <w:b w:val="0"/>
              </w:rPr>
              <w:t>LCA Shared Drives are helpful</w:t>
            </w:r>
          </w:p>
        </w:tc>
        <w:tc>
          <w:tcPr>
            <w:tcW w:w="4511" w:type="dxa"/>
          </w:tcPr>
          <w:p w14:paraId="22B2A008" w14:textId="776FA111" w:rsidR="00C3276D" w:rsidRPr="00FD2E93" w:rsidRDefault="00C3276D" w:rsidP="009A5284">
            <w:pPr>
              <w:pStyle w:val="ListParagraph"/>
              <w:ind w:left="0"/>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rPr>
              <w:t>ICT Department may not be able to handle the increasing and specialised areas of demand; some tailored solutions are needed to sit alongside the br</w:t>
            </w:r>
            <w:r w:rsidR="00BE1D35">
              <w:rPr>
                <w:rFonts w:ascii="Cambria" w:hAnsi="Cambria"/>
              </w:rPr>
              <w:t>oad organisational system needs</w:t>
            </w:r>
          </w:p>
        </w:tc>
      </w:tr>
      <w:tr w:rsidR="00C3276D" w:rsidRPr="00FD2E93" w14:paraId="78DE7518" w14:textId="77777777" w:rsidTr="00BE1D35">
        <w:tc>
          <w:tcPr>
            <w:cnfStyle w:val="001000000000" w:firstRow="0" w:lastRow="0" w:firstColumn="1" w:lastColumn="0" w:oddVBand="0" w:evenVBand="0" w:oddHBand="0" w:evenHBand="0" w:firstRowFirstColumn="0" w:firstRowLastColumn="0" w:lastRowFirstColumn="0" w:lastRowLastColumn="0"/>
            <w:tcW w:w="4510" w:type="dxa"/>
          </w:tcPr>
          <w:p w14:paraId="00AE0C9E" w14:textId="77777777" w:rsidR="00C3276D" w:rsidRPr="00BE1D35" w:rsidRDefault="00C3276D" w:rsidP="009A5284">
            <w:pPr>
              <w:pStyle w:val="ListParagraph"/>
              <w:ind w:left="0"/>
              <w:rPr>
                <w:rFonts w:ascii="Cambria" w:hAnsi="Cambria"/>
                <w:b w:val="0"/>
              </w:rPr>
            </w:pPr>
          </w:p>
        </w:tc>
        <w:tc>
          <w:tcPr>
            <w:tcW w:w="4511" w:type="dxa"/>
          </w:tcPr>
          <w:p w14:paraId="5A4DE1DB" w14:textId="0B87BCF5" w:rsidR="00C3276D" w:rsidRPr="00FD2E93" w:rsidRDefault="00C3276D" w:rsidP="009A5284">
            <w:pPr>
              <w:pStyle w:val="ListParagraph"/>
              <w:ind w:left="0"/>
              <w:cnfStyle w:val="000000000000" w:firstRow="0" w:lastRow="0" w:firstColumn="0" w:lastColumn="0" w:oddVBand="0" w:evenVBand="0" w:oddHBand="0" w:evenHBand="0" w:firstRowFirstColumn="0" w:firstRowLastColumn="0" w:lastRowFirstColumn="0" w:lastRowLastColumn="0"/>
              <w:rPr>
                <w:rFonts w:ascii="Cambria" w:hAnsi="Cambria"/>
              </w:rPr>
            </w:pPr>
            <w:r w:rsidRPr="00FD2E93">
              <w:rPr>
                <w:rFonts w:ascii="Cambria" w:hAnsi="Cambria"/>
              </w:rPr>
              <w:t xml:space="preserve">Roll out and implementation of new </w:t>
            </w:r>
            <w:r w:rsidR="00BE1D35">
              <w:rPr>
                <w:rFonts w:ascii="Cambria" w:hAnsi="Cambria"/>
              </w:rPr>
              <w:t>systems is slow and frustrating</w:t>
            </w:r>
          </w:p>
        </w:tc>
      </w:tr>
      <w:tr w:rsidR="00C3276D" w:rsidRPr="00FD2E93" w14:paraId="1B5A28E7" w14:textId="77777777" w:rsidTr="00BE1D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0" w:type="dxa"/>
          </w:tcPr>
          <w:p w14:paraId="093F1CD9" w14:textId="77777777" w:rsidR="00C3276D" w:rsidRPr="00BE1D35" w:rsidRDefault="00C3276D" w:rsidP="009A5284">
            <w:pPr>
              <w:pStyle w:val="ListParagraph"/>
              <w:ind w:left="0"/>
              <w:rPr>
                <w:rFonts w:ascii="Cambria" w:hAnsi="Cambria"/>
                <w:b w:val="0"/>
              </w:rPr>
            </w:pPr>
          </w:p>
        </w:tc>
        <w:tc>
          <w:tcPr>
            <w:tcW w:w="4511" w:type="dxa"/>
          </w:tcPr>
          <w:p w14:paraId="6E5704A5" w14:textId="5A836EF7" w:rsidR="00C3276D" w:rsidRPr="00FD2E93" w:rsidRDefault="00C3276D" w:rsidP="009A5284">
            <w:pPr>
              <w:pStyle w:val="ListParagraph"/>
              <w:ind w:left="0"/>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rPr>
              <w:t>Access to Group Data Account in future wor</w:t>
            </w:r>
            <w:r w:rsidR="00BE1D35">
              <w:rPr>
                <w:rFonts w:ascii="Cambria" w:hAnsi="Cambria"/>
              </w:rPr>
              <w:t>ld of NBN would be appreciated</w:t>
            </w:r>
          </w:p>
        </w:tc>
      </w:tr>
      <w:tr w:rsidR="00C3276D" w:rsidRPr="00FD2E93" w14:paraId="3FF64A47" w14:textId="77777777" w:rsidTr="00BE1D35">
        <w:tc>
          <w:tcPr>
            <w:cnfStyle w:val="001000000000" w:firstRow="0" w:lastRow="0" w:firstColumn="1" w:lastColumn="0" w:oddVBand="0" w:evenVBand="0" w:oddHBand="0" w:evenHBand="0" w:firstRowFirstColumn="0" w:firstRowLastColumn="0" w:lastRowFirstColumn="0" w:lastRowLastColumn="0"/>
            <w:tcW w:w="4510" w:type="dxa"/>
          </w:tcPr>
          <w:p w14:paraId="6CDFDC3D" w14:textId="77777777" w:rsidR="00C3276D" w:rsidRPr="00FD2E93" w:rsidRDefault="00C3276D" w:rsidP="009A5284">
            <w:pPr>
              <w:pStyle w:val="ListParagraph"/>
              <w:ind w:left="0"/>
              <w:rPr>
                <w:rFonts w:ascii="Cambria" w:hAnsi="Cambria"/>
              </w:rPr>
            </w:pPr>
          </w:p>
        </w:tc>
        <w:tc>
          <w:tcPr>
            <w:tcW w:w="4511" w:type="dxa"/>
          </w:tcPr>
          <w:p w14:paraId="1EE48606" w14:textId="0FA60C01" w:rsidR="00C3276D" w:rsidRPr="00FD2E93" w:rsidRDefault="00C3276D" w:rsidP="009A5284">
            <w:pPr>
              <w:pStyle w:val="ListParagraph"/>
              <w:ind w:left="0"/>
              <w:cnfStyle w:val="000000000000" w:firstRow="0" w:lastRow="0" w:firstColumn="0" w:lastColumn="0" w:oddVBand="0" w:evenVBand="0" w:oddHBand="0" w:evenHBand="0" w:firstRowFirstColumn="0" w:firstRowLastColumn="0" w:lastRowFirstColumn="0" w:lastRowLastColumn="0"/>
              <w:rPr>
                <w:rFonts w:ascii="Cambria" w:hAnsi="Cambria"/>
              </w:rPr>
            </w:pPr>
            <w:r w:rsidRPr="00FD2E93">
              <w:rPr>
                <w:rFonts w:ascii="Cambria" w:hAnsi="Cambria"/>
              </w:rPr>
              <w:t>General training on use of computers, data security, uses of social media, so</w:t>
            </w:r>
            <w:r w:rsidR="00BE1D35">
              <w:rPr>
                <w:rFonts w:ascii="Cambria" w:hAnsi="Cambria"/>
              </w:rPr>
              <w:t>ftware etc would be appreciated</w:t>
            </w:r>
          </w:p>
        </w:tc>
      </w:tr>
      <w:tr w:rsidR="00C3276D" w:rsidRPr="00FD2E93" w14:paraId="6036D8C4" w14:textId="77777777" w:rsidTr="00BE1D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0" w:type="dxa"/>
          </w:tcPr>
          <w:p w14:paraId="668C652D" w14:textId="77777777" w:rsidR="00C3276D" w:rsidRPr="00FD2E93" w:rsidRDefault="00C3276D" w:rsidP="009A5284">
            <w:pPr>
              <w:pStyle w:val="ListParagraph"/>
              <w:ind w:left="0"/>
              <w:rPr>
                <w:rFonts w:ascii="Cambria" w:hAnsi="Cambria"/>
              </w:rPr>
            </w:pPr>
          </w:p>
        </w:tc>
        <w:tc>
          <w:tcPr>
            <w:tcW w:w="4511" w:type="dxa"/>
          </w:tcPr>
          <w:p w14:paraId="60DED8FA" w14:textId="2EBEA2F2" w:rsidR="00C3276D" w:rsidRPr="00FD2E93" w:rsidRDefault="00C3276D" w:rsidP="009A5284">
            <w:pPr>
              <w:pStyle w:val="ListParagraph"/>
              <w:ind w:left="0"/>
              <w:cnfStyle w:val="000000100000" w:firstRow="0" w:lastRow="0" w:firstColumn="0" w:lastColumn="0" w:oddVBand="0" w:evenVBand="0" w:oddHBand="1" w:evenHBand="0" w:firstRowFirstColumn="0" w:firstRowLastColumn="0" w:lastRowFirstColumn="0" w:lastRowLastColumn="0"/>
              <w:rPr>
                <w:rFonts w:ascii="Cambria" w:hAnsi="Cambria"/>
              </w:rPr>
            </w:pPr>
            <w:r w:rsidRPr="00FD2E93">
              <w:rPr>
                <w:rFonts w:ascii="Cambria" w:hAnsi="Cambria"/>
              </w:rPr>
              <w:t>Resource capacity to assist with project oriented IT work would be valuable to departments and also other part</w:t>
            </w:r>
            <w:r w:rsidR="00BE1D35">
              <w:rPr>
                <w:rFonts w:ascii="Cambria" w:hAnsi="Cambria"/>
              </w:rPr>
              <w:t>s of the Church</w:t>
            </w:r>
          </w:p>
        </w:tc>
      </w:tr>
      <w:tr w:rsidR="00C3276D" w:rsidRPr="00FD2E93" w14:paraId="0A7F0015" w14:textId="77777777" w:rsidTr="00BE1D35">
        <w:tc>
          <w:tcPr>
            <w:cnfStyle w:val="001000000000" w:firstRow="0" w:lastRow="0" w:firstColumn="1" w:lastColumn="0" w:oddVBand="0" w:evenVBand="0" w:oddHBand="0" w:evenHBand="0" w:firstRowFirstColumn="0" w:firstRowLastColumn="0" w:lastRowFirstColumn="0" w:lastRowLastColumn="0"/>
            <w:tcW w:w="4510" w:type="dxa"/>
          </w:tcPr>
          <w:p w14:paraId="3326D143" w14:textId="77777777" w:rsidR="00C3276D" w:rsidRPr="00FD2E93" w:rsidRDefault="00C3276D" w:rsidP="009A5284">
            <w:pPr>
              <w:pStyle w:val="ListParagraph"/>
              <w:ind w:left="0"/>
              <w:rPr>
                <w:rFonts w:ascii="Cambria" w:hAnsi="Cambria"/>
              </w:rPr>
            </w:pPr>
          </w:p>
        </w:tc>
        <w:tc>
          <w:tcPr>
            <w:tcW w:w="4511" w:type="dxa"/>
          </w:tcPr>
          <w:p w14:paraId="18658A80" w14:textId="150C7EFF" w:rsidR="00C3276D" w:rsidRPr="00FD2E93" w:rsidRDefault="00C3276D" w:rsidP="009A5284">
            <w:pPr>
              <w:pStyle w:val="ListParagraph"/>
              <w:ind w:left="0"/>
              <w:cnfStyle w:val="000000000000" w:firstRow="0" w:lastRow="0" w:firstColumn="0" w:lastColumn="0" w:oddVBand="0" w:evenVBand="0" w:oddHBand="0" w:evenHBand="0" w:firstRowFirstColumn="0" w:firstRowLastColumn="0" w:lastRowFirstColumn="0" w:lastRowLastColumn="0"/>
              <w:rPr>
                <w:rFonts w:ascii="Cambria" w:hAnsi="Cambria"/>
              </w:rPr>
            </w:pPr>
            <w:r w:rsidRPr="00FD2E93">
              <w:rPr>
                <w:rFonts w:ascii="Cambria" w:hAnsi="Cambria"/>
              </w:rPr>
              <w:t>Establish service level agreements to be transparent abo</w:t>
            </w:r>
            <w:r w:rsidR="00BE1D35">
              <w:rPr>
                <w:rFonts w:ascii="Cambria" w:hAnsi="Cambria"/>
              </w:rPr>
              <w:t>ut service provision and costs.</w:t>
            </w:r>
          </w:p>
        </w:tc>
      </w:tr>
    </w:tbl>
    <w:p w14:paraId="4532E638" w14:textId="77777777" w:rsidR="00C3276D" w:rsidRPr="00FD2E93" w:rsidRDefault="00C3276D" w:rsidP="00C3276D">
      <w:pPr>
        <w:pStyle w:val="ListParagraph"/>
        <w:spacing w:after="0"/>
        <w:ind w:left="360"/>
        <w:rPr>
          <w:rFonts w:ascii="Cambria" w:hAnsi="Cambria"/>
          <w:i/>
        </w:rPr>
      </w:pPr>
    </w:p>
    <w:p w14:paraId="4CB6BBD9" w14:textId="77777777" w:rsidR="00C3276D" w:rsidRPr="00FD2E93" w:rsidRDefault="00C3276D" w:rsidP="00C3276D">
      <w:pPr>
        <w:pStyle w:val="ListParagraph"/>
        <w:ind w:left="360"/>
        <w:rPr>
          <w:rFonts w:ascii="Cambria" w:hAnsi="Cambria"/>
        </w:rPr>
      </w:pPr>
    </w:p>
    <w:p w14:paraId="4DF5D0A3" w14:textId="77777777" w:rsidR="00BE1D35" w:rsidRDefault="00BE1D35">
      <w:pPr>
        <w:rPr>
          <w:rFonts w:ascii="Cambria" w:hAnsi="Cambria"/>
          <w:b/>
        </w:rPr>
      </w:pPr>
      <w:r>
        <w:rPr>
          <w:rFonts w:ascii="Cambria" w:hAnsi="Cambria"/>
          <w:b/>
        </w:rPr>
        <w:br w:type="page"/>
      </w:r>
    </w:p>
    <w:p w14:paraId="195154F1" w14:textId="1B70B5A9" w:rsidR="00C3276D" w:rsidRPr="00FD2E93" w:rsidRDefault="00C3276D" w:rsidP="00BE1D35">
      <w:pPr>
        <w:pStyle w:val="Heading3"/>
      </w:pPr>
      <w:r w:rsidRPr="00FD2E93">
        <w:lastRenderedPageBreak/>
        <w:t>Analysis of results using quantitative data</w:t>
      </w:r>
    </w:p>
    <w:p w14:paraId="6034649C" w14:textId="77777777" w:rsidR="00C3276D" w:rsidRPr="00FD2E93" w:rsidRDefault="00C3276D" w:rsidP="00C3276D">
      <w:pPr>
        <w:rPr>
          <w:rFonts w:ascii="Cambria" w:hAnsi="Cambria"/>
        </w:rPr>
      </w:pPr>
      <w:r w:rsidRPr="00FD2E93">
        <w:rPr>
          <w:rFonts w:ascii="Cambria" w:hAnsi="Cambria"/>
        </w:rPr>
        <w:t xml:space="preserve">In assessing performance against some of the evaluation criteria (such as Provision of Churchwide, Service-Orientated functions and Efficiencies Gained) it has also been possible to test some matters cited as Achievements, with quantifiable data. </w:t>
      </w:r>
    </w:p>
    <w:p w14:paraId="5504A450" w14:textId="468F8F18" w:rsidR="00C3276D" w:rsidRPr="00FD2E93" w:rsidRDefault="00C3276D" w:rsidP="00C3276D">
      <w:pPr>
        <w:rPr>
          <w:rFonts w:ascii="Cambria" w:hAnsi="Cambria"/>
        </w:rPr>
      </w:pPr>
      <w:r w:rsidRPr="00FD2E93">
        <w:rPr>
          <w:rFonts w:ascii="Cambria" w:hAnsi="Cambria"/>
        </w:rPr>
        <w:t xml:space="preserve">(Reading of this section should be supplemented with the qualitative feedback summary reported in Section C, Table 1, which highlights the positive outcomes of these efficiencies, </w:t>
      </w:r>
      <w:r w:rsidR="00BE1D35" w:rsidRPr="00FD2E93">
        <w:rPr>
          <w:rFonts w:ascii="Cambria" w:hAnsi="Cambria"/>
        </w:rPr>
        <w:t>e.g.</w:t>
      </w:r>
      <w:r w:rsidRPr="00FD2E93">
        <w:rPr>
          <w:rFonts w:ascii="Cambria" w:hAnsi="Cambria"/>
        </w:rPr>
        <w:t xml:space="preserve"> how time saved is now being spent.) </w:t>
      </w:r>
    </w:p>
    <w:p w14:paraId="2E2083A1" w14:textId="77777777" w:rsidR="00C3276D" w:rsidRPr="00FD2E93" w:rsidRDefault="00C3276D" w:rsidP="00C3276D">
      <w:pPr>
        <w:rPr>
          <w:rFonts w:ascii="Cambria" w:hAnsi="Cambria"/>
        </w:rPr>
      </w:pPr>
      <w:r w:rsidRPr="00FD2E93">
        <w:rPr>
          <w:rFonts w:ascii="Cambria" w:hAnsi="Cambria"/>
        </w:rPr>
        <w:t>Examples indicating efficiencies gained and churchwide focus, include the following (as at March 2018).</w:t>
      </w:r>
    </w:p>
    <w:p w14:paraId="306686EA" w14:textId="77777777" w:rsidR="00C3276D" w:rsidRPr="00FD2E93" w:rsidRDefault="00C3276D" w:rsidP="00BE1D35">
      <w:pPr>
        <w:pStyle w:val="ListParagraph"/>
        <w:numPr>
          <w:ilvl w:val="0"/>
          <w:numId w:val="342"/>
        </w:numPr>
        <w:ind w:left="567" w:hanging="567"/>
        <w:rPr>
          <w:rFonts w:ascii="Cambria" w:hAnsi="Cambria"/>
        </w:rPr>
      </w:pPr>
      <w:r w:rsidRPr="00FD2E93">
        <w:rPr>
          <w:rFonts w:ascii="Cambria" w:hAnsi="Cambria"/>
        </w:rPr>
        <w:t>Reduction in the number of bodies directly accountable to GCC from 20 to five key Boards.</w:t>
      </w:r>
    </w:p>
    <w:p w14:paraId="68528729" w14:textId="77777777" w:rsidR="00C3276D" w:rsidRPr="00FD2E93" w:rsidRDefault="00C3276D" w:rsidP="00BE1D35">
      <w:pPr>
        <w:pStyle w:val="ListParagraph"/>
        <w:ind w:left="567" w:hanging="567"/>
        <w:rPr>
          <w:rFonts w:ascii="Cambria" w:hAnsi="Cambria"/>
        </w:rPr>
      </w:pPr>
    </w:p>
    <w:p w14:paraId="41182D06" w14:textId="77777777" w:rsidR="00C3276D" w:rsidRPr="00FD2E93" w:rsidRDefault="00C3276D" w:rsidP="00BE1D35">
      <w:pPr>
        <w:pStyle w:val="ListParagraph"/>
        <w:numPr>
          <w:ilvl w:val="0"/>
          <w:numId w:val="342"/>
        </w:numPr>
        <w:spacing w:line="240" w:lineRule="auto"/>
        <w:ind w:left="567" w:hanging="567"/>
        <w:rPr>
          <w:rFonts w:ascii="Cambria" w:hAnsi="Cambria" w:cstheme="minorHAnsi"/>
        </w:rPr>
      </w:pPr>
      <w:r w:rsidRPr="00FD2E93">
        <w:rPr>
          <w:rFonts w:ascii="Cambria" w:hAnsi="Cambria" w:cstheme="minorHAnsi"/>
        </w:rPr>
        <w:t>Improved deployment of the Church’s ‘management’ resource has been achieved as demonstrated by the timely implementation of (more complex) 2015 Synod Resolutions and a reduction in the number of Synod Resolutions required.</w:t>
      </w:r>
    </w:p>
    <w:p w14:paraId="5784260E" w14:textId="77777777" w:rsidR="00C3276D" w:rsidRPr="00FD2E93" w:rsidRDefault="00C3276D" w:rsidP="00BE1D35">
      <w:pPr>
        <w:pStyle w:val="ListParagraph"/>
        <w:ind w:left="567" w:hanging="567"/>
        <w:rPr>
          <w:rFonts w:ascii="Cambria" w:hAnsi="Cambria"/>
        </w:rPr>
      </w:pPr>
    </w:p>
    <w:p w14:paraId="03B4CFFD" w14:textId="77777777" w:rsidR="00C3276D" w:rsidRPr="00FD2E93" w:rsidRDefault="00C3276D" w:rsidP="00BE1D35">
      <w:pPr>
        <w:pStyle w:val="ListParagraph"/>
        <w:numPr>
          <w:ilvl w:val="0"/>
          <w:numId w:val="342"/>
        </w:numPr>
        <w:ind w:left="567" w:hanging="567"/>
        <w:rPr>
          <w:rFonts w:ascii="Cambria" w:hAnsi="Cambria"/>
        </w:rPr>
      </w:pPr>
      <w:r w:rsidRPr="00FD2E93">
        <w:rPr>
          <w:rFonts w:ascii="Cambria" w:hAnsi="Cambria"/>
        </w:rPr>
        <w:t>Separation of the work of the interim Board for Local Mission into two committees: More hours now spent on Cross-Cultural Ministry resulting in improvements in accountability for grants, the development of resources, and the submission to the Federal Government’s discussion on strengthening immigrations laws.</w:t>
      </w:r>
    </w:p>
    <w:p w14:paraId="4A9BDBC6" w14:textId="77777777" w:rsidR="00C3276D" w:rsidRPr="00FD2E93" w:rsidRDefault="00C3276D" w:rsidP="00BE1D35">
      <w:pPr>
        <w:pStyle w:val="ListParagraph"/>
        <w:ind w:left="567" w:hanging="567"/>
        <w:rPr>
          <w:rFonts w:ascii="Cambria" w:hAnsi="Cambria"/>
        </w:rPr>
      </w:pPr>
    </w:p>
    <w:p w14:paraId="584B23FA" w14:textId="77777777" w:rsidR="00C3276D" w:rsidRPr="00FD2E93" w:rsidRDefault="00C3276D" w:rsidP="00BE1D35">
      <w:pPr>
        <w:pStyle w:val="ListParagraph"/>
        <w:numPr>
          <w:ilvl w:val="0"/>
          <w:numId w:val="342"/>
        </w:numPr>
        <w:ind w:left="567" w:hanging="567"/>
        <w:rPr>
          <w:rFonts w:ascii="Cambria" w:hAnsi="Cambria"/>
        </w:rPr>
      </w:pPr>
      <w:r w:rsidRPr="00FD2E93">
        <w:rPr>
          <w:rFonts w:ascii="Cambria" w:hAnsi="Cambria"/>
        </w:rPr>
        <w:t>Separation of the work of the interim Board for Local Mission into two committees: Allows more events to be planned and resources deployed to Cross-Cultural Ministry and New and Renewing Churches.</w:t>
      </w:r>
    </w:p>
    <w:p w14:paraId="55B020FC" w14:textId="77777777" w:rsidR="00C3276D" w:rsidRPr="00FD2E93" w:rsidRDefault="00C3276D" w:rsidP="00BE1D35">
      <w:pPr>
        <w:pStyle w:val="ListParagraph"/>
        <w:ind w:left="567" w:hanging="567"/>
        <w:rPr>
          <w:rFonts w:ascii="Cambria" w:hAnsi="Cambria"/>
        </w:rPr>
      </w:pPr>
    </w:p>
    <w:p w14:paraId="60EE445A" w14:textId="77777777" w:rsidR="00C3276D" w:rsidRPr="00FD2E93" w:rsidRDefault="00C3276D" w:rsidP="00BE1D35">
      <w:pPr>
        <w:pStyle w:val="ListParagraph"/>
        <w:numPr>
          <w:ilvl w:val="0"/>
          <w:numId w:val="342"/>
        </w:numPr>
        <w:ind w:left="567" w:hanging="567"/>
        <w:rPr>
          <w:rFonts w:ascii="Cambria" w:hAnsi="Cambria" w:cstheme="minorHAnsi"/>
        </w:rPr>
      </w:pPr>
      <w:r w:rsidRPr="00FD2E93">
        <w:rPr>
          <w:rFonts w:ascii="Cambria" w:hAnsi="Cambria" w:cstheme="minorHAnsi"/>
        </w:rPr>
        <w:t>Roll-out of 566 auto-generated one-page congregation websites, a free service for congregations (Churchwide integration website project: to achieve greater effectiveness, efficiency, functionality, useability, brand and message consistency).</w:t>
      </w:r>
    </w:p>
    <w:p w14:paraId="2FC1249C" w14:textId="77777777" w:rsidR="00C3276D" w:rsidRPr="00FD2E93" w:rsidRDefault="00C3276D" w:rsidP="00BE1D35">
      <w:pPr>
        <w:pStyle w:val="ListParagraph"/>
        <w:ind w:left="567" w:hanging="567"/>
        <w:rPr>
          <w:rFonts w:ascii="Cambria" w:hAnsi="Cambria" w:cstheme="minorHAnsi"/>
        </w:rPr>
      </w:pPr>
    </w:p>
    <w:p w14:paraId="1FA64E70" w14:textId="77777777" w:rsidR="00C3276D" w:rsidRPr="00FD2E93" w:rsidRDefault="00C3276D" w:rsidP="00BE1D35">
      <w:pPr>
        <w:pStyle w:val="ListParagraph"/>
        <w:numPr>
          <w:ilvl w:val="0"/>
          <w:numId w:val="342"/>
        </w:numPr>
        <w:spacing w:line="259" w:lineRule="auto"/>
        <w:ind w:left="567" w:hanging="567"/>
        <w:rPr>
          <w:rFonts w:ascii="Cambria" w:hAnsi="Cambria" w:cstheme="minorHAnsi"/>
        </w:rPr>
      </w:pPr>
      <w:r w:rsidRPr="00FD2E93">
        <w:rPr>
          <w:rFonts w:ascii="Cambria" w:hAnsi="Cambria" w:cstheme="minorHAnsi"/>
        </w:rPr>
        <w:t>Consistent growth in requests for eNews services from departments and Districts (16 lists in 2014; 34 in 2017); extremely low (&lt;0.3%) unsubscribe rate.</w:t>
      </w:r>
    </w:p>
    <w:p w14:paraId="4A1BE964" w14:textId="77777777" w:rsidR="00C3276D" w:rsidRPr="00FD2E93" w:rsidRDefault="00C3276D" w:rsidP="00BE1D35">
      <w:pPr>
        <w:pStyle w:val="ListParagraph"/>
        <w:ind w:left="567" w:hanging="567"/>
        <w:rPr>
          <w:rFonts w:ascii="Cambria" w:hAnsi="Cambria" w:cstheme="minorHAnsi"/>
        </w:rPr>
      </w:pPr>
    </w:p>
    <w:p w14:paraId="2BD57ED7" w14:textId="77777777" w:rsidR="00C3276D" w:rsidRPr="00FD2E93" w:rsidRDefault="00C3276D" w:rsidP="00BE1D35">
      <w:pPr>
        <w:pStyle w:val="ListParagraph"/>
        <w:numPr>
          <w:ilvl w:val="0"/>
          <w:numId w:val="342"/>
        </w:numPr>
        <w:ind w:left="567" w:hanging="567"/>
        <w:rPr>
          <w:rFonts w:ascii="Cambria" w:hAnsi="Cambria"/>
        </w:rPr>
      </w:pPr>
      <w:r w:rsidRPr="00FD2E93">
        <w:rPr>
          <w:rFonts w:ascii="Cambria" w:hAnsi="Cambria"/>
        </w:rPr>
        <w:t xml:space="preserve">Reduced staff turnover will be possible to monitor in future, due to improved local practice as a result of engagement between Church Worker Support Department and local congregations. (This is likely to be fully realised over longer term; current accessible data does not allow accurate classification of all workers and pastors.) Turnover in 2016 was higher than usual because of the resolution of some long-standing people matters within the Church ‘workforce’, after the appointment of the Manager, Church Worker Support. </w:t>
      </w:r>
    </w:p>
    <w:p w14:paraId="386FCBF5" w14:textId="77777777" w:rsidR="00C3276D" w:rsidRPr="00FD2E93" w:rsidRDefault="00C3276D" w:rsidP="00BE1D35">
      <w:pPr>
        <w:pStyle w:val="ListParagraph"/>
        <w:ind w:left="567" w:hanging="567"/>
        <w:rPr>
          <w:rFonts w:ascii="Cambria" w:hAnsi="Cambria"/>
        </w:rPr>
      </w:pPr>
    </w:p>
    <w:p w14:paraId="33F04547" w14:textId="77777777" w:rsidR="00C3276D" w:rsidRPr="00FD2E93" w:rsidRDefault="00C3276D" w:rsidP="00BE1D35">
      <w:pPr>
        <w:pStyle w:val="ListParagraph"/>
        <w:ind w:left="567" w:hanging="567"/>
        <w:rPr>
          <w:rFonts w:ascii="Cambria" w:hAnsi="Cambria"/>
        </w:rPr>
      </w:pPr>
      <w:r w:rsidRPr="00FD2E93">
        <w:rPr>
          <w:rFonts w:ascii="Cambria" w:hAnsi="Cambria"/>
        </w:rPr>
        <w:t>Baseline data for 2017 and a consistent formula for calculation will be possible from now on, as the implementation of the HRS system provides for more accurate capture and categorisation of all Church workers. This will support trend analysis of turnover from 2017 onwards. Data for 2015 and 2016 was not clearly measured on the same baselines, eg volunteers and expected completions of contract may have been included but are now too difficult to extract from the historical data.</w:t>
      </w:r>
    </w:p>
    <w:p w14:paraId="239E9561" w14:textId="77777777" w:rsidR="00C3276D" w:rsidRPr="00FD2E93" w:rsidRDefault="00C3276D" w:rsidP="00BE1D35">
      <w:pPr>
        <w:pStyle w:val="ListParagraph"/>
        <w:ind w:left="567" w:hanging="567"/>
        <w:rPr>
          <w:rFonts w:ascii="Cambria" w:hAnsi="Cambria"/>
        </w:rPr>
      </w:pPr>
    </w:p>
    <w:p w14:paraId="15D562E3" w14:textId="77777777" w:rsidR="00C3276D" w:rsidRPr="00FD2E93" w:rsidRDefault="00C3276D" w:rsidP="00BE1D35">
      <w:pPr>
        <w:pStyle w:val="ListParagraph"/>
        <w:numPr>
          <w:ilvl w:val="0"/>
          <w:numId w:val="342"/>
        </w:numPr>
        <w:ind w:left="567" w:hanging="567"/>
        <w:rPr>
          <w:rFonts w:ascii="Cambria" w:hAnsi="Cambria"/>
        </w:rPr>
      </w:pPr>
      <w:r w:rsidRPr="00FD2E93">
        <w:rPr>
          <w:rFonts w:ascii="Cambria" w:hAnsi="Cambria"/>
        </w:rPr>
        <w:t xml:space="preserve">Increased reach of central finance and administration services, implemented via HRS system (though HRS not itself an outcome of 2015 Synod) eg Coverage of payroll (now 80% of LCA workers), leave management services. As a result of HRS = 1400 persons </w:t>
      </w:r>
      <w:r w:rsidRPr="00FD2E93">
        <w:rPr>
          <w:rFonts w:ascii="Cambria" w:hAnsi="Cambria"/>
        </w:rPr>
        <w:lastRenderedPageBreak/>
        <w:t>managed per pay, with 99%+ accuracy (Cf 65 persons in 2015). (That there has been some ‘pain’ to achieve this is recognised. Reported service ‘glitches’ have been progressively resolved and local familiarity with the information and processes required is growing.)</w:t>
      </w:r>
    </w:p>
    <w:p w14:paraId="363F5E3B" w14:textId="77777777" w:rsidR="00C3276D" w:rsidRPr="00FD2E93" w:rsidRDefault="00C3276D" w:rsidP="00BE1D35">
      <w:pPr>
        <w:pStyle w:val="ListParagraph"/>
        <w:ind w:left="567" w:hanging="567"/>
        <w:rPr>
          <w:rFonts w:ascii="Cambria" w:hAnsi="Cambria"/>
        </w:rPr>
      </w:pPr>
    </w:p>
    <w:p w14:paraId="380EC704" w14:textId="77777777" w:rsidR="00C3276D" w:rsidRPr="00FD2E93" w:rsidRDefault="00C3276D" w:rsidP="00BE1D35">
      <w:pPr>
        <w:pStyle w:val="ListParagraph"/>
        <w:numPr>
          <w:ilvl w:val="0"/>
          <w:numId w:val="342"/>
        </w:numPr>
        <w:ind w:left="567" w:hanging="567"/>
        <w:rPr>
          <w:rFonts w:ascii="Cambria" w:hAnsi="Cambria"/>
        </w:rPr>
      </w:pPr>
      <w:r w:rsidRPr="00FD2E93">
        <w:rPr>
          <w:rFonts w:ascii="Cambria" w:hAnsi="Cambria"/>
        </w:rPr>
        <w:t>Transfer Fund centralised ($1M costs pa) = more efficiency in negotiations possible; improved oversight; less administration at district offices.</w:t>
      </w:r>
    </w:p>
    <w:p w14:paraId="29F5A62B" w14:textId="77777777" w:rsidR="00C3276D" w:rsidRPr="00FD2E93" w:rsidRDefault="00C3276D" w:rsidP="00BE1D35">
      <w:pPr>
        <w:pStyle w:val="ListParagraph"/>
        <w:ind w:left="567" w:hanging="567"/>
        <w:rPr>
          <w:rFonts w:ascii="Cambria" w:hAnsi="Cambria"/>
        </w:rPr>
      </w:pPr>
    </w:p>
    <w:p w14:paraId="4FF47E8F" w14:textId="77777777" w:rsidR="00C3276D" w:rsidRPr="00FD2E93" w:rsidRDefault="00C3276D" w:rsidP="00BE1D35">
      <w:pPr>
        <w:pStyle w:val="ListParagraph"/>
        <w:numPr>
          <w:ilvl w:val="0"/>
          <w:numId w:val="342"/>
        </w:numPr>
        <w:spacing w:line="254" w:lineRule="auto"/>
        <w:ind w:left="567" w:hanging="567"/>
        <w:rPr>
          <w:rFonts w:ascii="Cambria" w:hAnsi="Cambria"/>
        </w:rPr>
      </w:pPr>
      <w:r w:rsidRPr="00FD2E93">
        <w:rPr>
          <w:rFonts w:ascii="Cambria" w:hAnsi="Cambria"/>
        </w:rPr>
        <w:t>Numbers of non-national office entities supported eg Lutheran Archives, SA, NSW and Victorian Districts, ALC (covering 88 staff).</w:t>
      </w:r>
    </w:p>
    <w:p w14:paraId="71A823F7" w14:textId="77777777" w:rsidR="00C3276D" w:rsidRPr="00FD2E93" w:rsidRDefault="00C3276D" w:rsidP="00BE1D35">
      <w:pPr>
        <w:pStyle w:val="ListParagraph"/>
        <w:ind w:left="567" w:hanging="567"/>
        <w:rPr>
          <w:rFonts w:ascii="Cambria" w:hAnsi="Cambria"/>
        </w:rPr>
      </w:pPr>
    </w:p>
    <w:p w14:paraId="5A78A9C6" w14:textId="77777777" w:rsidR="00C3276D" w:rsidRPr="00FD2E93" w:rsidRDefault="00C3276D" w:rsidP="00BE1D35">
      <w:pPr>
        <w:pStyle w:val="ListParagraph"/>
        <w:numPr>
          <w:ilvl w:val="0"/>
          <w:numId w:val="342"/>
        </w:numPr>
        <w:spacing w:line="254" w:lineRule="auto"/>
        <w:ind w:left="567" w:hanging="567"/>
        <w:rPr>
          <w:rFonts w:ascii="Cambria" w:hAnsi="Cambria"/>
        </w:rPr>
      </w:pPr>
      <w:r w:rsidRPr="00FD2E93">
        <w:rPr>
          <w:rFonts w:ascii="Cambria" w:hAnsi="Cambria"/>
        </w:rPr>
        <w:t>Numbers of congregations supported = 109 separate hosted accounts.</w:t>
      </w:r>
    </w:p>
    <w:p w14:paraId="6215F243" w14:textId="77777777" w:rsidR="00C3276D" w:rsidRPr="00FD2E93" w:rsidRDefault="00C3276D" w:rsidP="00BE1D35">
      <w:pPr>
        <w:pStyle w:val="ListParagraph"/>
        <w:ind w:left="567" w:hanging="567"/>
        <w:rPr>
          <w:rFonts w:ascii="Cambria" w:hAnsi="Cambria"/>
        </w:rPr>
      </w:pPr>
    </w:p>
    <w:p w14:paraId="7EFBCC4D" w14:textId="77777777" w:rsidR="00C3276D" w:rsidRPr="00FD2E93" w:rsidRDefault="00C3276D" w:rsidP="00BE1D35">
      <w:pPr>
        <w:pStyle w:val="ListParagraph"/>
        <w:numPr>
          <w:ilvl w:val="0"/>
          <w:numId w:val="342"/>
        </w:numPr>
        <w:ind w:left="567" w:hanging="567"/>
        <w:rPr>
          <w:rFonts w:ascii="Cambria" w:hAnsi="Cambria"/>
          <w:b/>
        </w:rPr>
      </w:pPr>
      <w:r w:rsidRPr="00FD2E93">
        <w:rPr>
          <w:rFonts w:ascii="Cambria" w:hAnsi="Cambria"/>
        </w:rPr>
        <w:t>Microsoft licence negotiation as a national Not for Profit (NFP) organisation = saving of $20K per month cf. individual District expense levels.</w:t>
      </w:r>
    </w:p>
    <w:p w14:paraId="1CD9AF9E" w14:textId="77777777" w:rsidR="00C3276D" w:rsidRPr="00FD2E93" w:rsidRDefault="00C3276D" w:rsidP="00C3276D">
      <w:pPr>
        <w:pStyle w:val="ListParagraph"/>
        <w:rPr>
          <w:rFonts w:ascii="Cambria" w:hAnsi="Cambria"/>
          <w:b/>
        </w:rPr>
      </w:pPr>
    </w:p>
    <w:p w14:paraId="66330DCC" w14:textId="77777777" w:rsidR="00C3276D" w:rsidRPr="00FD2E93" w:rsidRDefault="00C3276D" w:rsidP="00C3276D">
      <w:pPr>
        <w:pStyle w:val="ListParagraph"/>
        <w:ind w:left="0"/>
        <w:rPr>
          <w:rFonts w:ascii="Cambria" w:hAnsi="Cambria"/>
        </w:rPr>
      </w:pPr>
      <w:r w:rsidRPr="00FD2E93">
        <w:rPr>
          <w:rFonts w:ascii="Cambria" w:hAnsi="Cambria"/>
        </w:rPr>
        <w:t xml:space="preserve">In terms of Governing Bodies, it has also been possible to examine the effects of the shift to competency-based Boards and Committees, on representation statistics. </w:t>
      </w:r>
    </w:p>
    <w:p w14:paraId="4FA53D4D" w14:textId="77777777" w:rsidR="00C3276D" w:rsidRPr="00FD2E93" w:rsidRDefault="00C3276D" w:rsidP="00C3276D">
      <w:pPr>
        <w:rPr>
          <w:rFonts w:ascii="Cambria" w:hAnsi="Cambria" w:cstheme="minorHAnsi"/>
        </w:rPr>
      </w:pPr>
      <w:r w:rsidRPr="00FD2E93">
        <w:rPr>
          <w:rFonts w:ascii="Cambria" w:hAnsi="Cambria" w:cstheme="minorHAnsi"/>
        </w:rPr>
        <w:t>Though not a perfect analysis because some of the data (particularly around church membership numbers) is uncertain to a degree, and it was really only the restructured boards/committees that have been fully subject to the competencies-based approach. The other weakness is that Nominations Committee can only choose from who nominates for vacancies. With these provisos the representation analysis shows:</w:t>
      </w:r>
    </w:p>
    <w:p w14:paraId="112D85EC" w14:textId="77777777" w:rsidR="00C3276D" w:rsidRPr="00FD2E93" w:rsidRDefault="00C3276D" w:rsidP="00C3276D">
      <w:pPr>
        <w:rPr>
          <w:rFonts w:ascii="Cambria" w:hAnsi="Cambria" w:cstheme="minorHAnsi"/>
        </w:rPr>
      </w:pPr>
      <w:r w:rsidRPr="00FD2E93">
        <w:rPr>
          <w:rFonts w:ascii="Cambria" w:hAnsi="Cambria" w:cstheme="minorHAnsi"/>
        </w:rPr>
        <w:t>The breakdown of governing body representation by District (LCA membership in the District as a percentage of the whole LCA membership) is:</w:t>
      </w:r>
    </w:p>
    <w:p w14:paraId="1A776523" w14:textId="77777777" w:rsidR="00C3276D" w:rsidRPr="00FD2E93" w:rsidRDefault="00C3276D" w:rsidP="00C3276D">
      <w:pPr>
        <w:spacing w:after="0" w:line="240" w:lineRule="auto"/>
        <w:rPr>
          <w:rFonts w:ascii="Cambria" w:hAnsi="Cambria" w:cstheme="minorHAnsi"/>
        </w:rPr>
      </w:pPr>
      <w:r w:rsidRPr="00FD2E93">
        <w:rPr>
          <w:rFonts w:ascii="Cambria" w:hAnsi="Cambria" w:cstheme="minorHAnsi"/>
        </w:rPr>
        <w:t xml:space="preserve">SA/NT:   </w:t>
      </w:r>
      <w:r w:rsidRPr="00FD2E93">
        <w:rPr>
          <w:rFonts w:ascii="Cambria" w:hAnsi="Cambria" w:cstheme="minorHAnsi"/>
        </w:rPr>
        <w:tab/>
        <w:t>55% (50%)</w:t>
      </w:r>
    </w:p>
    <w:p w14:paraId="716F9E3E" w14:textId="77777777" w:rsidR="00C3276D" w:rsidRPr="00FD2E93" w:rsidRDefault="00C3276D" w:rsidP="00C3276D">
      <w:pPr>
        <w:spacing w:after="0" w:line="240" w:lineRule="auto"/>
        <w:rPr>
          <w:rFonts w:ascii="Cambria" w:hAnsi="Cambria" w:cstheme="minorHAnsi"/>
        </w:rPr>
      </w:pPr>
      <w:r w:rsidRPr="00FD2E93">
        <w:rPr>
          <w:rFonts w:ascii="Cambria" w:hAnsi="Cambria" w:cstheme="minorHAnsi"/>
        </w:rPr>
        <w:t>Qld:       </w:t>
      </w:r>
      <w:r w:rsidRPr="00FD2E93">
        <w:rPr>
          <w:rFonts w:ascii="Cambria" w:hAnsi="Cambria" w:cstheme="minorHAnsi"/>
        </w:rPr>
        <w:tab/>
        <w:t>14% (30%)</w:t>
      </w:r>
    </w:p>
    <w:p w14:paraId="6216A902" w14:textId="77777777" w:rsidR="00C3276D" w:rsidRPr="00FD2E93" w:rsidRDefault="00C3276D" w:rsidP="00C3276D">
      <w:pPr>
        <w:spacing w:after="0" w:line="240" w:lineRule="auto"/>
        <w:rPr>
          <w:rFonts w:ascii="Cambria" w:hAnsi="Cambria" w:cstheme="minorHAnsi"/>
        </w:rPr>
      </w:pPr>
      <w:r w:rsidRPr="00FD2E93">
        <w:rPr>
          <w:rFonts w:ascii="Cambria" w:hAnsi="Cambria" w:cstheme="minorHAnsi"/>
        </w:rPr>
        <w:t>NSW:        </w:t>
      </w:r>
      <w:r w:rsidRPr="00FD2E93">
        <w:rPr>
          <w:rFonts w:ascii="Cambria" w:hAnsi="Cambria" w:cstheme="minorHAnsi"/>
        </w:rPr>
        <w:tab/>
        <w:t>5% (4%)</w:t>
      </w:r>
    </w:p>
    <w:p w14:paraId="1A5E8E91" w14:textId="77777777" w:rsidR="00C3276D" w:rsidRPr="00FD2E93" w:rsidRDefault="00C3276D" w:rsidP="00C3276D">
      <w:pPr>
        <w:spacing w:after="0" w:line="240" w:lineRule="auto"/>
        <w:rPr>
          <w:rFonts w:ascii="Cambria" w:hAnsi="Cambria" w:cstheme="minorHAnsi"/>
        </w:rPr>
      </w:pPr>
      <w:r w:rsidRPr="00FD2E93">
        <w:rPr>
          <w:rFonts w:ascii="Cambria" w:hAnsi="Cambria" w:cstheme="minorHAnsi"/>
        </w:rPr>
        <w:t>Vic/Tas: </w:t>
      </w:r>
      <w:r w:rsidRPr="00FD2E93">
        <w:rPr>
          <w:rFonts w:ascii="Cambria" w:hAnsi="Cambria" w:cstheme="minorHAnsi"/>
        </w:rPr>
        <w:tab/>
        <w:t>17% (14%)</w:t>
      </w:r>
    </w:p>
    <w:p w14:paraId="3890062D" w14:textId="77777777" w:rsidR="00C3276D" w:rsidRPr="00FD2E93" w:rsidRDefault="00C3276D" w:rsidP="00C3276D">
      <w:pPr>
        <w:spacing w:after="0" w:line="240" w:lineRule="auto"/>
        <w:rPr>
          <w:rFonts w:ascii="Cambria" w:hAnsi="Cambria" w:cstheme="minorHAnsi"/>
        </w:rPr>
      </w:pPr>
      <w:r w:rsidRPr="00FD2E93">
        <w:rPr>
          <w:rFonts w:ascii="Cambria" w:hAnsi="Cambria" w:cstheme="minorHAnsi"/>
        </w:rPr>
        <w:t xml:space="preserve">WA:          </w:t>
      </w:r>
      <w:r w:rsidRPr="00FD2E93">
        <w:rPr>
          <w:rFonts w:ascii="Cambria" w:hAnsi="Cambria" w:cstheme="minorHAnsi"/>
        </w:rPr>
        <w:tab/>
        <w:t>4% (1%)</w:t>
      </w:r>
    </w:p>
    <w:p w14:paraId="0849BA5A" w14:textId="77777777" w:rsidR="00C3276D" w:rsidRPr="00FD2E93" w:rsidRDefault="00C3276D" w:rsidP="00C3276D">
      <w:pPr>
        <w:spacing w:after="0" w:line="240" w:lineRule="auto"/>
        <w:rPr>
          <w:rFonts w:ascii="Cambria" w:hAnsi="Cambria" w:cstheme="minorHAnsi"/>
        </w:rPr>
      </w:pPr>
      <w:r w:rsidRPr="00FD2E93">
        <w:rPr>
          <w:rFonts w:ascii="Cambria" w:hAnsi="Cambria" w:cstheme="minorHAnsi"/>
        </w:rPr>
        <w:t xml:space="preserve">NZ:            </w:t>
      </w:r>
      <w:r w:rsidRPr="00FD2E93">
        <w:rPr>
          <w:rFonts w:ascii="Cambria" w:hAnsi="Cambria" w:cstheme="minorHAnsi"/>
        </w:rPr>
        <w:tab/>
        <w:t>4% (1%)</w:t>
      </w:r>
    </w:p>
    <w:p w14:paraId="0F7EC58C" w14:textId="77777777" w:rsidR="00C3276D" w:rsidRPr="00FD2E93" w:rsidRDefault="00C3276D" w:rsidP="00C3276D">
      <w:pPr>
        <w:spacing w:after="0" w:line="240" w:lineRule="auto"/>
        <w:rPr>
          <w:rFonts w:ascii="Cambria" w:hAnsi="Cambria" w:cstheme="minorHAnsi"/>
        </w:rPr>
      </w:pPr>
    </w:p>
    <w:p w14:paraId="0D6D3DD7" w14:textId="77777777" w:rsidR="00C3276D" w:rsidRPr="00FD2E93" w:rsidRDefault="00C3276D" w:rsidP="00C3276D">
      <w:pPr>
        <w:rPr>
          <w:rFonts w:ascii="Cambria" w:hAnsi="Cambria" w:cstheme="minorHAnsi"/>
        </w:rPr>
      </w:pPr>
      <w:r w:rsidRPr="00FD2E93">
        <w:rPr>
          <w:rFonts w:ascii="Cambria" w:hAnsi="Cambria" w:cstheme="minorHAnsi"/>
        </w:rPr>
        <w:t>Queensland is well under-represented but this not entirely due to over-representation from SA/NT, but fairly well shared among the other Districts.</w:t>
      </w:r>
    </w:p>
    <w:p w14:paraId="32EA1A80" w14:textId="77777777" w:rsidR="00C3276D" w:rsidRPr="00FD2E93" w:rsidRDefault="00C3276D" w:rsidP="00C3276D">
      <w:pPr>
        <w:rPr>
          <w:rFonts w:ascii="Cambria" w:hAnsi="Cambria" w:cstheme="minorHAnsi"/>
        </w:rPr>
      </w:pPr>
      <w:r w:rsidRPr="00FD2E93">
        <w:rPr>
          <w:rFonts w:ascii="Cambria" w:hAnsi="Cambria" w:cstheme="minorHAnsi"/>
        </w:rPr>
        <w:t>Of those bodies that are new and been appointed under the new system a similar pattern emerges:</w:t>
      </w:r>
    </w:p>
    <w:p w14:paraId="5A077F95" w14:textId="77777777" w:rsidR="00C3276D" w:rsidRPr="00FD2E93" w:rsidRDefault="00C3276D" w:rsidP="00C3276D">
      <w:pPr>
        <w:spacing w:after="0" w:line="240" w:lineRule="auto"/>
        <w:rPr>
          <w:rFonts w:ascii="Cambria" w:hAnsi="Cambria" w:cstheme="minorHAnsi"/>
        </w:rPr>
      </w:pPr>
      <w:r w:rsidRPr="00FD2E93">
        <w:rPr>
          <w:rFonts w:ascii="Cambria" w:hAnsi="Cambria" w:cstheme="minorHAnsi"/>
        </w:rPr>
        <w:t xml:space="preserve">SA/NT:  </w:t>
      </w:r>
      <w:r w:rsidRPr="00FD2E93">
        <w:rPr>
          <w:rFonts w:ascii="Cambria" w:hAnsi="Cambria" w:cstheme="minorHAnsi"/>
        </w:rPr>
        <w:tab/>
        <w:t>48% (50%)</w:t>
      </w:r>
    </w:p>
    <w:p w14:paraId="6CB66439" w14:textId="77777777" w:rsidR="00C3276D" w:rsidRPr="00FD2E93" w:rsidRDefault="00C3276D" w:rsidP="00C3276D">
      <w:pPr>
        <w:spacing w:after="0" w:line="240" w:lineRule="auto"/>
        <w:rPr>
          <w:rFonts w:ascii="Cambria" w:hAnsi="Cambria" w:cstheme="minorHAnsi"/>
        </w:rPr>
      </w:pPr>
      <w:r w:rsidRPr="00FD2E93">
        <w:rPr>
          <w:rFonts w:ascii="Cambria" w:hAnsi="Cambria" w:cstheme="minorHAnsi"/>
        </w:rPr>
        <w:t>Qld:      </w:t>
      </w:r>
      <w:r w:rsidRPr="00FD2E93">
        <w:rPr>
          <w:rFonts w:ascii="Cambria" w:hAnsi="Cambria" w:cstheme="minorHAnsi"/>
        </w:rPr>
        <w:tab/>
        <w:t xml:space="preserve"> </w:t>
      </w:r>
      <w:r w:rsidRPr="00FD2E93">
        <w:rPr>
          <w:rFonts w:ascii="Cambria" w:hAnsi="Cambria" w:cstheme="minorHAnsi"/>
        </w:rPr>
        <w:tab/>
        <w:t>11% (30%)</w:t>
      </w:r>
    </w:p>
    <w:p w14:paraId="2C2FCA88" w14:textId="77777777" w:rsidR="00C3276D" w:rsidRPr="00FD2E93" w:rsidRDefault="00C3276D" w:rsidP="00C3276D">
      <w:pPr>
        <w:spacing w:after="0" w:line="240" w:lineRule="auto"/>
        <w:rPr>
          <w:rFonts w:ascii="Cambria" w:hAnsi="Cambria" w:cstheme="minorHAnsi"/>
        </w:rPr>
      </w:pPr>
      <w:r w:rsidRPr="00FD2E93">
        <w:rPr>
          <w:rFonts w:ascii="Cambria" w:hAnsi="Cambria" w:cstheme="minorHAnsi"/>
        </w:rPr>
        <w:t xml:space="preserve">NSW:       </w:t>
      </w:r>
      <w:r w:rsidRPr="00FD2E93">
        <w:rPr>
          <w:rFonts w:ascii="Cambria" w:hAnsi="Cambria" w:cstheme="minorHAnsi"/>
        </w:rPr>
        <w:tab/>
        <w:t>7% (4%)</w:t>
      </w:r>
    </w:p>
    <w:p w14:paraId="40798591" w14:textId="77777777" w:rsidR="00C3276D" w:rsidRPr="00FD2E93" w:rsidRDefault="00C3276D" w:rsidP="00C3276D">
      <w:pPr>
        <w:spacing w:after="0" w:line="240" w:lineRule="auto"/>
        <w:rPr>
          <w:rFonts w:ascii="Cambria" w:hAnsi="Cambria" w:cstheme="minorHAnsi"/>
        </w:rPr>
      </w:pPr>
      <w:r w:rsidRPr="00FD2E93">
        <w:rPr>
          <w:rFonts w:ascii="Cambria" w:hAnsi="Cambria" w:cstheme="minorHAnsi"/>
        </w:rPr>
        <w:t xml:space="preserve">Vic/Tas:  </w:t>
      </w:r>
      <w:r w:rsidRPr="00FD2E93">
        <w:rPr>
          <w:rFonts w:ascii="Cambria" w:hAnsi="Cambria" w:cstheme="minorHAnsi"/>
        </w:rPr>
        <w:tab/>
        <w:t>22% (14%)</w:t>
      </w:r>
    </w:p>
    <w:p w14:paraId="1105F46E" w14:textId="77777777" w:rsidR="00C3276D" w:rsidRPr="00FD2E93" w:rsidRDefault="00C3276D" w:rsidP="00C3276D">
      <w:pPr>
        <w:spacing w:after="0" w:line="240" w:lineRule="auto"/>
        <w:rPr>
          <w:rFonts w:ascii="Cambria" w:hAnsi="Cambria" w:cstheme="minorHAnsi"/>
        </w:rPr>
      </w:pPr>
      <w:r w:rsidRPr="00FD2E93">
        <w:rPr>
          <w:rFonts w:ascii="Cambria" w:hAnsi="Cambria" w:cstheme="minorHAnsi"/>
        </w:rPr>
        <w:t xml:space="preserve">WA:         </w:t>
      </w:r>
      <w:r w:rsidRPr="00FD2E93">
        <w:rPr>
          <w:rFonts w:ascii="Cambria" w:hAnsi="Cambria" w:cstheme="minorHAnsi"/>
        </w:rPr>
        <w:tab/>
        <w:t>11% (1%)</w:t>
      </w:r>
    </w:p>
    <w:p w14:paraId="2C7ED0E4" w14:textId="77777777" w:rsidR="00C3276D" w:rsidRPr="00FD2E93" w:rsidRDefault="00C3276D" w:rsidP="00C3276D">
      <w:pPr>
        <w:spacing w:after="0" w:line="240" w:lineRule="auto"/>
        <w:rPr>
          <w:rFonts w:ascii="Cambria" w:hAnsi="Cambria" w:cstheme="minorHAnsi"/>
        </w:rPr>
      </w:pPr>
      <w:r w:rsidRPr="00FD2E93">
        <w:rPr>
          <w:rFonts w:ascii="Cambria" w:hAnsi="Cambria" w:cstheme="minorHAnsi"/>
        </w:rPr>
        <w:t xml:space="preserve">NZ:             </w:t>
      </w:r>
      <w:r w:rsidRPr="00FD2E93">
        <w:rPr>
          <w:rFonts w:ascii="Cambria" w:hAnsi="Cambria" w:cstheme="minorHAnsi"/>
        </w:rPr>
        <w:tab/>
        <w:t>0% (1%).</w:t>
      </w:r>
    </w:p>
    <w:p w14:paraId="182085C2" w14:textId="77777777" w:rsidR="00C3276D" w:rsidRPr="00FD2E93" w:rsidRDefault="00C3276D" w:rsidP="00C3276D">
      <w:pPr>
        <w:rPr>
          <w:rFonts w:ascii="Cambria" w:hAnsi="Cambria" w:cstheme="minorHAnsi"/>
        </w:rPr>
      </w:pPr>
    </w:p>
    <w:p w14:paraId="32B82F88" w14:textId="77777777" w:rsidR="00C3276D" w:rsidRPr="00FD2E93" w:rsidRDefault="00C3276D" w:rsidP="00C3276D">
      <w:pPr>
        <w:rPr>
          <w:rFonts w:ascii="Cambria" w:hAnsi="Cambria" w:cstheme="minorHAnsi"/>
        </w:rPr>
      </w:pPr>
      <w:r w:rsidRPr="00FD2E93">
        <w:rPr>
          <w:rFonts w:ascii="Cambria" w:hAnsi="Cambria" w:cstheme="minorHAnsi"/>
        </w:rPr>
        <w:t>Given the small sample, even a relatively small number of Western Australia representatives skews their percentage relative to their size. Queensland remains well under-represented; the balance of (their) numbers is shared among the other Districts.</w:t>
      </w:r>
    </w:p>
    <w:p w14:paraId="5F0435E4" w14:textId="77777777" w:rsidR="00C3276D" w:rsidRPr="00FD2E93" w:rsidRDefault="00C3276D" w:rsidP="00C3276D">
      <w:pPr>
        <w:rPr>
          <w:rFonts w:ascii="Cambria" w:hAnsi="Cambria"/>
          <w:lang w:val="en-US"/>
        </w:rPr>
      </w:pPr>
    </w:p>
    <w:p w14:paraId="763DA603" w14:textId="77777777" w:rsidR="00BE1D35" w:rsidRDefault="00BE1D35" w:rsidP="00C3276D">
      <w:pPr>
        <w:rPr>
          <w:rFonts w:ascii="Cambria" w:hAnsi="Cambria"/>
          <w:b/>
        </w:rPr>
      </w:pPr>
    </w:p>
    <w:p w14:paraId="3F946297" w14:textId="0C716BB5" w:rsidR="00C3276D" w:rsidRPr="00FD2E93" w:rsidRDefault="00C3276D" w:rsidP="00BE1D35">
      <w:pPr>
        <w:pStyle w:val="Heading3"/>
      </w:pPr>
      <w:r w:rsidRPr="00FD2E93">
        <w:lastRenderedPageBreak/>
        <w:t>Key Findings</w:t>
      </w:r>
    </w:p>
    <w:p w14:paraId="3A9710E0" w14:textId="77777777" w:rsidR="00C3276D" w:rsidRPr="00FD2E93" w:rsidRDefault="00C3276D" w:rsidP="00C3276D">
      <w:pPr>
        <w:rPr>
          <w:rFonts w:ascii="Cambria" w:hAnsi="Cambria"/>
        </w:rPr>
      </w:pPr>
      <w:r w:rsidRPr="00FD2E93">
        <w:rPr>
          <w:rFonts w:ascii="Cambria" w:hAnsi="Cambria"/>
        </w:rPr>
        <w:t>Though not universal, the majority of entities and persons who participated in the Evaluation of Trial Structures for Governing Bodies, indicate the moves as positive, with a further grouping indicating no effect as yet. For many others, such as Synod representatives from 2015, the majority indicate ‘no impact’, at least yet.</w:t>
      </w:r>
    </w:p>
    <w:p w14:paraId="506F28EE" w14:textId="56C32637" w:rsidR="00C3276D" w:rsidRPr="00FD2E93" w:rsidRDefault="00C3276D" w:rsidP="00C3276D">
      <w:pPr>
        <w:rPr>
          <w:rFonts w:ascii="Cambria" w:hAnsi="Cambria"/>
        </w:rPr>
      </w:pPr>
      <w:r w:rsidRPr="00FD2E93">
        <w:rPr>
          <w:rFonts w:ascii="Cambria" w:hAnsi="Cambria"/>
        </w:rPr>
        <w:t xml:space="preserve">The positive perspective of the changes is strongly stated by certain respondents – GCC, Office of the Bishop, District Bishops and Administrators, national office personnel, and half of the Boards/Commissions and Committees. Comments in both </w:t>
      </w:r>
      <w:r w:rsidR="00E532DD">
        <w:rPr>
          <w:rFonts w:ascii="Cambria" w:hAnsi="Cambria"/>
        </w:rPr>
        <w:t>focus groups</w:t>
      </w:r>
      <w:r w:rsidRPr="00FD2E93">
        <w:rPr>
          <w:rFonts w:ascii="Cambria" w:hAnsi="Cambria"/>
        </w:rPr>
        <w:t xml:space="preserve"> and survey indicate a need to continue implementation to reap the full benefits.</w:t>
      </w:r>
    </w:p>
    <w:p w14:paraId="53821E35" w14:textId="77777777" w:rsidR="00C3276D" w:rsidRPr="00FD2E93" w:rsidRDefault="00C3276D" w:rsidP="00C3276D">
      <w:pPr>
        <w:spacing w:before="240"/>
        <w:rPr>
          <w:rFonts w:ascii="Cambria" w:hAnsi="Cambria"/>
          <w:b/>
        </w:rPr>
      </w:pPr>
      <w:r w:rsidRPr="00FD2E93">
        <w:rPr>
          <w:rFonts w:ascii="Cambria" w:hAnsi="Cambria"/>
          <w:b/>
        </w:rPr>
        <w:t>Key positive findings include:</w:t>
      </w:r>
    </w:p>
    <w:p w14:paraId="41CDB8BC" w14:textId="77777777" w:rsidR="00C3276D" w:rsidRPr="00FD2E93" w:rsidRDefault="00C3276D" w:rsidP="00BE1D35">
      <w:pPr>
        <w:pStyle w:val="ListParagraph"/>
        <w:numPr>
          <w:ilvl w:val="0"/>
          <w:numId w:val="341"/>
        </w:numPr>
        <w:spacing w:line="259" w:lineRule="auto"/>
        <w:ind w:left="567" w:hanging="567"/>
        <w:rPr>
          <w:rFonts w:ascii="Cambria" w:hAnsi="Cambria"/>
        </w:rPr>
      </w:pPr>
      <w:r w:rsidRPr="00FD2E93">
        <w:rPr>
          <w:rFonts w:ascii="Cambria" w:hAnsi="Cambria"/>
        </w:rPr>
        <w:t>Key Leaders of the Church (GCC, LCA Bishop, District Bishops) report time efficiencies in their work as a result of:</w:t>
      </w:r>
    </w:p>
    <w:p w14:paraId="0C34EA34" w14:textId="77777777" w:rsidR="00C3276D" w:rsidRPr="00FD2E93" w:rsidRDefault="00C3276D" w:rsidP="00BE1D35">
      <w:pPr>
        <w:pStyle w:val="ListParagraph"/>
        <w:numPr>
          <w:ilvl w:val="1"/>
          <w:numId w:val="356"/>
        </w:numPr>
        <w:spacing w:line="259" w:lineRule="auto"/>
        <w:ind w:left="1134" w:hanging="567"/>
        <w:rPr>
          <w:rFonts w:ascii="Cambria" w:hAnsi="Cambria"/>
        </w:rPr>
      </w:pPr>
      <w:r w:rsidRPr="00FD2E93">
        <w:rPr>
          <w:rFonts w:ascii="Cambria" w:hAnsi="Cambria"/>
        </w:rPr>
        <w:t>Fewer reporting bodies</w:t>
      </w:r>
    </w:p>
    <w:p w14:paraId="65098190" w14:textId="77777777" w:rsidR="00C3276D" w:rsidRPr="00FD2E93" w:rsidRDefault="00C3276D" w:rsidP="00BE1D35">
      <w:pPr>
        <w:pStyle w:val="ListParagraph"/>
        <w:numPr>
          <w:ilvl w:val="1"/>
          <w:numId w:val="356"/>
        </w:numPr>
        <w:spacing w:line="259" w:lineRule="auto"/>
        <w:ind w:left="1134" w:hanging="567"/>
        <w:rPr>
          <w:rFonts w:ascii="Cambria" w:hAnsi="Cambria"/>
        </w:rPr>
      </w:pPr>
      <w:r w:rsidRPr="00FD2E93">
        <w:rPr>
          <w:rFonts w:ascii="Cambria" w:hAnsi="Cambria"/>
        </w:rPr>
        <w:t>Clearer connections points</w:t>
      </w:r>
    </w:p>
    <w:p w14:paraId="38BC65C0" w14:textId="77777777" w:rsidR="00C3276D" w:rsidRPr="00FD2E93" w:rsidRDefault="00C3276D" w:rsidP="00BE1D35">
      <w:pPr>
        <w:pStyle w:val="ListParagraph"/>
        <w:numPr>
          <w:ilvl w:val="1"/>
          <w:numId w:val="356"/>
        </w:numPr>
        <w:spacing w:line="259" w:lineRule="auto"/>
        <w:ind w:left="1134" w:hanging="567"/>
        <w:rPr>
          <w:rFonts w:ascii="Cambria" w:hAnsi="Cambria"/>
        </w:rPr>
      </w:pPr>
      <w:r w:rsidRPr="00FD2E93">
        <w:rPr>
          <w:rFonts w:ascii="Cambria" w:hAnsi="Cambria"/>
        </w:rPr>
        <w:t>Establishment of departments such as Church Worker Support, and the consistency of policy and practice that is developing through it.</w:t>
      </w:r>
    </w:p>
    <w:p w14:paraId="2E985AEE" w14:textId="77777777" w:rsidR="00C3276D" w:rsidRPr="00FD2E93" w:rsidRDefault="00C3276D" w:rsidP="00BE1D35">
      <w:pPr>
        <w:ind w:firstLine="567"/>
        <w:rPr>
          <w:rFonts w:ascii="Cambria" w:hAnsi="Cambria"/>
        </w:rPr>
      </w:pPr>
      <w:r w:rsidRPr="00FD2E93">
        <w:rPr>
          <w:rFonts w:ascii="Cambria" w:hAnsi="Cambria"/>
        </w:rPr>
        <w:t xml:space="preserve">This has enabled greater focus on missional work. </w:t>
      </w:r>
    </w:p>
    <w:p w14:paraId="64896358" w14:textId="35FDCD8E" w:rsidR="00C3276D" w:rsidRPr="00FD2E93" w:rsidRDefault="00C3276D" w:rsidP="00BE1D35">
      <w:pPr>
        <w:spacing w:after="0" w:line="240" w:lineRule="auto"/>
        <w:ind w:left="567"/>
        <w:rPr>
          <w:rFonts w:ascii="Cambria" w:hAnsi="Cambria"/>
        </w:rPr>
      </w:pPr>
      <w:r w:rsidRPr="00FD2E93">
        <w:rPr>
          <w:rFonts w:ascii="Cambria" w:hAnsi="Cambria"/>
        </w:rPr>
        <w:t>Department Managers also report fewer Board/Committee meetings of shorter duration,</w:t>
      </w:r>
      <w:r w:rsidR="00BE1D35">
        <w:rPr>
          <w:rFonts w:ascii="Cambria" w:hAnsi="Cambria"/>
        </w:rPr>
        <w:t xml:space="preserve"> </w:t>
      </w:r>
      <w:r w:rsidRPr="00FD2E93">
        <w:rPr>
          <w:rFonts w:ascii="Cambria" w:hAnsi="Cambria"/>
        </w:rPr>
        <w:t>which results in time efficiencies to handle the additional scope of work now performed.</w:t>
      </w:r>
    </w:p>
    <w:p w14:paraId="05B50289" w14:textId="77777777" w:rsidR="00C3276D" w:rsidRPr="00FD2E93" w:rsidRDefault="00C3276D" w:rsidP="00BE1D35">
      <w:pPr>
        <w:pStyle w:val="ListParagraph"/>
        <w:numPr>
          <w:ilvl w:val="0"/>
          <w:numId w:val="341"/>
        </w:numPr>
        <w:spacing w:before="240" w:line="259" w:lineRule="auto"/>
        <w:ind w:left="567" w:hanging="567"/>
        <w:rPr>
          <w:rFonts w:ascii="Cambria" w:hAnsi="Cambria"/>
        </w:rPr>
      </w:pPr>
      <w:r w:rsidRPr="00FD2E93">
        <w:rPr>
          <w:rFonts w:ascii="Cambria" w:hAnsi="Cambria"/>
        </w:rPr>
        <w:t>Administration in Districts and congregations is gradually being standardised and streamlined and this is creating efficiencies for District Administrators; this is also enabling the Key Leaders (above) to start a shift in their focus from compliance and risk management, to strategic matters for the Church. Various Boards and Committees report the positive flow on effect of this with their increased engagement from either the Bishop or GCC.</w:t>
      </w:r>
    </w:p>
    <w:p w14:paraId="0C2EF3E6" w14:textId="77777777" w:rsidR="00C3276D" w:rsidRPr="00FD2E93" w:rsidRDefault="00C3276D" w:rsidP="00BE1D35">
      <w:pPr>
        <w:pStyle w:val="ListParagraph"/>
        <w:ind w:left="567" w:hanging="567"/>
        <w:rPr>
          <w:rFonts w:ascii="Cambria" w:hAnsi="Cambria"/>
        </w:rPr>
      </w:pPr>
    </w:p>
    <w:p w14:paraId="004F85E4" w14:textId="77777777" w:rsidR="00C3276D" w:rsidRPr="00FD2E93" w:rsidRDefault="00C3276D" w:rsidP="00BE1D35">
      <w:pPr>
        <w:pStyle w:val="ListParagraph"/>
        <w:numPr>
          <w:ilvl w:val="0"/>
          <w:numId w:val="341"/>
        </w:numPr>
        <w:spacing w:line="259" w:lineRule="auto"/>
        <w:ind w:left="567" w:hanging="567"/>
        <w:rPr>
          <w:rFonts w:ascii="Cambria" w:hAnsi="Cambria"/>
        </w:rPr>
      </w:pPr>
      <w:r w:rsidRPr="00FD2E93">
        <w:rPr>
          <w:rFonts w:ascii="Cambria" w:hAnsi="Cambria"/>
        </w:rPr>
        <w:t>Various churchwide services are progressively increasing their scope of work, with the Communications Department, Finance and Administration and ICT Departments already undertaking large volume work for the church; these areas are markedly improved over past performance, though there is more to be done. Progress to date is reducing the burden on congregations, improving the consistency of branding, promotion of the Church’s messages and services, and delivering efficiencies in service and cost per transaction. The removal of administration from Districts and congregations is gradually allowing their few resources to focus on missional work, but this is variable at present in terms of the positive impacts felt. For some, including entities such as ALWS, Lutheran Archives and ALC, the transition of systems and processes underpinning these shifts, particularly in the areas of finance/ payroll and technological support is causing concerns over loss of past or needed levels of service.</w:t>
      </w:r>
    </w:p>
    <w:p w14:paraId="05D02C50" w14:textId="77777777" w:rsidR="00C3276D" w:rsidRPr="00FD2E93" w:rsidRDefault="00C3276D" w:rsidP="00BE1D35">
      <w:pPr>
        <w:pStyle w:val="ListParagraph"/>
        <w:ind w:left="567" w:hanging="567"/>
        <w:rPr>
          <w:rFonts w:ascii="Cambria" w:hAnsi="Cambria"/>
        </w:rPr>
      </w:pPr>
    </w:p>
    <w:p w14:paraId="1E409A2F" w14:textId="77777777" w:rsidR="00C3276D" w:rsidRPr="00FD2E93" w:rsidRDefault="00C3276D" w:rsidP="00BE1D35">
      <w:pPr>
        <w:pStyle w:val="ListParagraph"/>
        <w:numPr>
          <w:ilvl w:val="0"/>
          <w:numId w:val="341"/>
        </w:numPr>
        <w:spacing w:line="259" w:lineRule="auto"/>
        <w:ind w:left="567" w:hanging="567"/>
        <w:rPr>
          <w:rFonts w:ascii="Cambria" w:hAnsi="Cambria"/>
        </w:rPr>
      </w:pPr>
      <w:r w:rsidRPr="00FD2E93">
        <w:rPr>
          <w:rFonts w:ascii="Cambria" w:hAnsi="Cambria"/>
        </w:rPr>
        <w:t>The risk profile of the Church has been fundamentally improved.</w:t>
      </w:r>
    </w:p>
    <w:p w14:paraId="2F67C9DD" w14:textId="77777777" w:rsidR="00C3276D" w:rsidRPr="00FD2E93" w:rsidRDefault="00C3276D" w:rsidP="00BE1D35">
      <w:pPr>
        <w:pStyle w:val="ListParagraph"/>
        <w:ind w:left="567" w:hanging="567"/>
        <w:rPr>
          <w:rFonts w:ascii="Cambria" w:hAnsi="Cambria"/>
        </w:rPr>
      </w:pPr>
    </w:p>
    <w:p w14:paraId="3BB7ED34" w14:textId="77777777" w:rsidR="00C3276D" w:rsidRPr="00FD2E93" w:rsidRDefault="00C3276D" w:rsidP="00BE1D35">
      <w:pPr>
        <w:pStyle w:val="ListParagraph"/>
        <w:numPr>
          <w:ilvl w:val="0"/>
          <w:numId w:val="341"/>
        </w:numPr>
        <w:spacing w:line="259" w:lineRule="auto"/>
        <w:ind w:left="567" w:hanging="567"/>
        <w:rPr>
          <w:rFonts w:ascii="Cambria" w:hAnsi="Cambria"/>
        </w:rPr>
      </w:pPr>
      <w:r w:rsidRPr="00FD2E93">
        <w:rPr>
          <w:rFonts w:ascii="Cambria" w:hAnsi="Cambria"/>
        </w:rPr>
        <w:t>The skills available to the Church via its Boards, Committees and Commissions is very valuable and substantially more fit for purpose (this also assist effective risk management).</w:t>
      </w:r>
    </w:p>
    <w:p w14:paraId="1A13B1C8" w14:textId="77777777" w:rsidR="00C3276D" w:rsidRPr="00FD2E93" w:rsidRDefault="00C3276D" w:rsidP="00BE1D35">
      <w:pPr>
        <w:pStyle w:val="ListParagraph"/>
        <w:ind w:left="567" w:hanging="567"/>
        <w:rPr>
          <w:rFonts w:ascii="Cambria" w:hAnsi="Cambria"/>
        </w:rPr>
      </w:pPr>
    </w:p>
    <w:p w14:paraId="630C2A33" w14:textId="1C3BE467" w:rsidR="00C3276D" w:rsidRPr="0015713F" w:rsidRDefault="00C3276D" w:rsidP="0015713F">
      <w:pPr>
        <w:pStyle w:val="ListParagraph"/>
        <w:numPr>
          <w:ilvl w:val="0"/>
          <w:numId w:val="341"/>
        </w:numPr>
        <w:spacing w:line="259" w:lineRule="auto"/>
        <w:ind w:left="567" w:hanging="567"/>
        <w:rPr>
          <w:rFonts w:ascii="Cambria" w:hAnsi="Cambria"/>
        </w:rPr>
      </w:pPr>
      <w:r w:rsidRPr="00FD2E93">
        <w:rPr>
          <w:rFonts w:ascii="Cambria" w:hAnsi="Cambria"/>
        </w:rPr>
        <w:lastRenderedPageBreak/>
        <w:t xml:space="preserve">The profile of Local Mission has been substantially developed within the Church, with increased linkages across the many entities and programs that deal with this at national levels. </w:t>
      </w:r>
      <w:r w:rsidRPr="0015713F">
        <w:rPr>
          <w:rFonts w:ascii="Cambria" w:hAnsi="Cambria"/>
        </w:rPr>
        <w:t>The majority of related Committees indicate the establishment of a Local Mission Department has had a positive impact. The strategic positioning and integration of goals and activities in Local Mission is still to come, as is integrated work on Local Mission with the Districts and congregations.</w:t>
      </w:r>
    </w:p>
    <w:p w14:paraId="64BBDAF7" w14:textId="77777777" w:rsidR="00C3276D" w:rsidRPr="00FD2E93" w:rsidRDefault="00C3276D" w:rsidP="00BE1D35">
      <w:pPr>
        <w:pStyle w:val="ListParagraph"/>
        <w:ind w:left="567" w:hanging="567"/>
        <w:rPr>
          <w:rFonts w:ascii="Cambria" w:hAnsi="Cambria"/>
        </w:rPr>
      </w:pPr>
    </w:p>
    <w:p w14:paraId="15CC2560" w14:textId="77777777" w:rsidR="00C3276D" w:rsidRPr="00FD2E93" w:rsidRDefault="00C3276D" w:rsidP="00BE1D35">
      <w:pPr>
        <w:pStyle w:val="ListParagraph"/>
        <w:numPr>
          <w:ilvl w:val="0"/>
          <w:numId w:val="341"/>
        </w:numPr>
        <w:spacing w:line="259" w:lineRule="auto"/>
        <w:ind w:left="567" w:hanging="567"/>
        <w:rPr>
          <w:rFonts w:ascii="Cambria" w:hAnsi="Cambria"/>
        </w:rPr>
      </w:pPr>
      <w:r w:rsidRPr="00FD2E93">
        <w:rPr>
          <w:rFonts w:ascii="Cambria" w:hAnsi="Cambria"/>
        </w:rPr>
        <w:t>The amount of time spent with focus on Cross-Cultural Ministry and Ministry for the Ageing has increased, as has their profile within the Church, their production of resources and inputs to national policy and initiatives.</w:t>
      </w:r>
    </w:p>
    <w:p w14:paraId="53C2A014" w14:textId="77777777" w:rsidR="00C3276D" w:rsidRPr="00FD2E93" w:rsidRDefault="00C3276D" w:rsidP="00BE1D35">
      <w:pPr>
        <w:pStyle w:val="ListParagraph"/>
        <w:ind w:left="567" w:hanging="567"/>
        <w:rPr>
          <w:rFonts w:ascii="Cambria" w:hAnsi="Cambria"/>
        </w:rPr>
      </w:pPr>
    </w:p>
    <w:p w14:paraId="6C83EEB0" w14:textId="77777777" w:rsidR="00C3276D" w:rsidRPr="00FD2E93" w:rsidRDefault="00C3276D" w:rsidP="00BE1D35">
      <w:pPr>
        <w:pStyle w:val="ListParagraph"/>
        <w:numPr>
          <w:ilvl w:val="0"/>
          <w:numId w:val="341"/>
        </w:numPr>
        <w:spacing w:line="259" w:lineRule="auto"/>
        <w:ind w:left="567" w:hanging="567"/>
        <w:rPr>
          <w:rFonts w:ascii="Cambria" w:hAnsi="Cambria"/>
        </w:rPr>
      </w:pPr>
      <w:r w:rsidRPr="00FD2E93">
        <w:rPr>
          <w:rFonts w:ascii="Cambria" w:hAnsi="Cambria"/>
        </w:rPr>
        <w:t>The effectiveness of half the number of Boards, Committees and Commissions has been positively impacted by the changes made to Governing Bodies. Many report seeing the connections points more clearly, though the mechanisms to connect need more work.</w:t>
      </w:r>
    </w:p>
    <w:p w14:paraId="1C68C476" w14:textId="77777777" w:rsidR="00C3276D" w:rsidRPr="00FD2E93" w:rsidRDefault="00C3276D" w:rsidP="00BE1D35">
      <w:pPr>
        <w:pStyle w:val="ListParagraph"/>
        <w:ind w:left="567" w:hanging="567"/>
        <w:rPr>
          <w:rFonts w:ascii="Cambria" w:hAnsi="Cambria"/>
        </w:rPr>
      </w:pPr>
    </w:p>
    <w:p w14:paraId="7A459358" w14:textId="77777777" w:rsidR="00C3276D" w:rsidRPr="00FD2E93" w:rsidRDefault="00C3276D" w:rsidP="00BE1D35">
      <w:pPr>
        <w:pStyle w:val="ListParagraph"/>
        <w:numPr>
          <w:ilvl w:val="0"/>
          <w:numId w:val="341"/>
        </w:numPr>
        <w:spacing w:line="259" w:lineRule="auto"/>
        <w:ind w:left="567" w:hanging="567"/>
        <w:rPr>
          <w:rFonts w:ascii="Cambria" w:hAnsi="Cambria"/>
        </w:rPr>
      </w:pPr>
      <w:r w:rsidRPr="00FD2E93">
        <w:rPr>
          <w:rFonts w:ascii="Cambria" w:hAnsi="Cambria"/>
        </w:rPr>
        <w:t>Efficiency – one quarter of the Boards, Committees and Commissions indicate positive impact, with another substantial group indicating no significant impact, at least as yet; significant efficiencies have been made by those Boards, Committees and Commissions that now receive some administrative support and the increased participation of the Executive Officers of the Church is adding value to the focus, decision – making and actions taken by these groups.</w:t>
      </w:r>
    </w:p>
    <w:p w14:paraId="5F1E047D" w14:textId="77777777" w:rsidR="00C3276D" w:rsidRPr="00FD2E93" w:rsidRDefault="00C3276D" w:rsidP="00C3276D">
      <w:pPr>
        <w:rPr>
          <w:rFonts w:ascii="Cambria" w:hAnsi="Cambria"/>
          <w:b/>
        </w:rPr>
      </w:pPr>
      <w:r w:rsidRPr="00FD2E93">
        <w:rPr>
          <w:rFonts w:ascii="Cambria" w:hAnsi="Cambria"/>
          <w:b/>
        </w:rPr>
        <w:t>Key areas found to warrant further development include:</w:t>
      </w:r>
    </w:p>
    <w:p w14:paraId="1D9F22F4" w14:textId="77777777" w:rsidR="00C3276D" w:rsidRPr="00FD2E93" w:rsidRDefault="00C3276D" w:rsidP="00BE1D35">
      <w:pPr>
        <w:pStyle w:val="ListParagraph"/>
        <w:numPr>
          <w:ilvl w:val="0"/>
          <w:numId w:val="343"/>
        </w:numPr>
        <w:spacing w:line="259" w:lineRule="auto"/>
        <w:ind w:left="567" w:hanging="567"/>
        <w:rPr>
          <w:rFonts w:ascii="Cambria" w:hAnsi="Cambria"/>
        </w:rPr>
      </w:pPr>
      <w:r w:rsidRPr="00FD2E93">
        <w:rPr>
          <w:rFonts w:ascii="Cambria" w:hAnsi="Cambria"/>
        </w:rPr>
        <w:t>Strategy development and communication of it, in the areas of:</w:t>
      </w:r>
    </w:p>
    <w:p w14:paraId="689EF09E" w14:textId="77777777" w:rsidR="00C3276D" w:rsidRPr="00FD2E93" w:rsidRDefault="00C3276D" w:rsidP="00BE1D35">
      <w:pPr>
        <w:pStyle w:val="ListParagraph"/>
        <w:numPr>
          <w:ilvl w:val="1"/>
          <w:numId w:val="357"/>
        </w:numPr>
        <w:spacing w:line="259" w:lineRule="auto"/>
        <w:ind w:left="1134" w:hanging="567"/>
        <w:rPr>
          <w:rFonts w:ascii="Cambria" w:hAnsi="Cambria"/>
        </w:rPr>
      </w:pPr>
      <w:r w:rsidRPr="00FD2E93">
        <w:rPr>
          <w:rFonts w:ascii="Cambria" w:hAnsi="Cambria"/>
        </w:rPr>
        <w:t>Local Mission (priority)</w:t>
      </w:r>
    </w:p>
    <w:p w14:paraId="3481DF66" w14:textId="77777777" w:rsidR="00C3276D" w:rsidRPr="00FD2E93" w:rsidRDefault="00C3276D" w:rsidP="00BE1D35">
      <w:pPr>
        <w:pStyle w:val="ListParagraph"/>
        <w:numPr>
          <w:ilvl w:val="1"/>
          <w:numId w:val="357"/>
        </w:numPr>
        <w:spacing w:line="259" w:lineRule="auto"/>
        <w:ind w:left="1134" w:hanging="567"/>
        <w:rPr>
          <w:rFonts w:ascii="Cambria" w:hAnsi="Cambria"/>
        </w:rPr>
      </w:pPr>
      <w:r w:rsidRPr="00FD2E93">
        <w:rPr>
          <w:rFonts w:ascii="Cambria" w:hAnsi="Cambria"/>
        </w:rPr>
        <w:t>Long term financial planning and management</w:t>
      </w:r>
    </w:p>
    <w:p w14:paraId="75642B83" w14:textId="77777777" w:rsidR="00C3276D" w:rsidRPr="00FD2E93" w:rsidRDefault="00C3276D" w:rsidP="00BE1D35">
      <w:pPr>
        <w:pStyle w:val="ListParagraph"/>
        <w:numPr>
          <w:ilvl w:val="1"/>
          <w:numId w:val="357"/>
        </w:numPr>
        <w:spacing w:line="259" w:lineRule="auto"/>
        <w:ind w:left="1134" w:hanging="567"/>
        <w:rPr>
          <w:rFonts w:ascii="Cambria" w:hAnsi="Cambria"/>
        </w:rPr>
      </w:pPr>
      <w:r w:rsidRPr="00FD2E93">
        <w:rPr>
          <w:rFonts w:ascii="Cambria" w:hAnsi="Cambria"/>
        </w:rPr>
        <w:t>Communications</w:t>
      </w:r>
    </w:p>
    <w:p w14:paraId="1EE62A2B" w14:textId="77777777" w:rsidR="00C3276D" w:rsidRPr="00FD2E93" w:rsidRDefault="00C3276D" w:rsidP="00BE1D35">
      <w:pPr>
        <w:pStyle w:val="ListParagraph"/>
        <w:numPr>
          <w:ilvl w:val="1"/>
          <w:numId w:val="357"/>
        </w:numPr>
        <w:spacing w:line="259" w:lineRule="auto"/>
        <w:ind w:left="1134" w:hanging="567"/>
        <w:rPr>
          <w:rFonts w:ascii="Cambria" w:hAnsi="Cambria"/>
        </w:rPr>
      </w:pPr>
      <w:r w:rsidRPr="00FD2E93">
        <w:rPr>
          <w:rFonts w:ascii="Cambria" w:hAnsi="Cambria"/>
        </w:rPr>
        <w:t>Communications technologies, especially for education and worship purposes (priority).</w:t>
      </w:r>
    </w:p>
    <w:p w14:paraId="7EEC648C" w14:textId="77777777" w:rsidR="00C3276D" w:rsidRPr="00FD2E93" w:rsidRDefault="00C3276D" w:rsidP="00C3276D">
      <w:pPr>
        <w:pStyle w:val="ListParagraph"/>
        <w:rPr>
          <w:rFonts w:ascii="Cambria" w:hAnsi="Cambria"/>
        </w:rPr>
      </w:pPr>
    </w:p>
    <w:p w14:paraId="4DDA4027" w14:textId="77777777" w:rsidR="00C3276D" w:rsidRPr="00FD2E93" w:rsidRDefault="00C3276D" w:rsidP="00BE1D35">
      <w:pPr>
        <w:pStyle w:val="ListParagraph"/>
        <w:numPr>
          <w:ilvl w:val="0"/>
          <w:numId w:val="343"/>
        </w:numPr>
        <w:spacing w:line="259" w:lineRule="auto"/>
        <w:ind w:left="567" w:hanging="567"/>
        <w:rPr>
          <w:rFonts w:ascii="Cambria" w:hAnsi="Cambria"/>
        </w:rPr>
      </w:pPr>
      <w:r w:rsidRPr="00FD2E93">
        <w:rPr>
          <w:rFonts w:ascii="Cambria" w:hAnsi="Cambria"/>
        </w:rPr>
        <w:t>Cross-Board alignment of goals and activities under the Strategic Directions, a priority especially for:</w:t>
      </w:r>
    </w:p>
    <w:p w14:paraId="48DBE438" w14:textId="77777777" w:rsidR="00C3276D" w:rsidRPr="00FD2E93" w:rsidRDefault="00C3276D" w:rsidP="00BE1D35">
      <w:pPr>
        <w:pStyle w:val="ListParagraph"/>
        <w:numPr>
          <w:ilvl w:val="1"/>
          <w:numId w:val="358"/>
        </w:numPr>
        <w:spacing w:line="259" w:lineRule="auto"/>
        <w:ind w:left="1134" w:hanging="567"/>
        <w:rPr>
          <w:rFonts w:ascii="Cambria" w:hAnsi="Cambria"/>
        </w:rPr>
      </w:pPr>
      <w:r w:rsidRPr="00FD2E93">
        <w:rPr>
          <w:rFonts w:ascii="Cambria" w:hAnsi="Cambria"/>
        </w:rPr>
        <w:t>Local Mission</w:t>
      </w:r>
    </w:p>
    <w:p w14:paraId="36CF2032" w14:textId="77777777" w:rsidR="00C3276D" w:rsidRPr="00FD2E93" w:rsidRDefault="00C3276D" w:rsidP="00BE1D35">
      <w:pPr>
        <w:pStyle w:val="ListParagraph"/>
        <w:numPr>
          <w:ilvl w:val="1"/>
          <w:numId w:val="358"/>
        </w:numPr>
        <w:spacing w:line="259" w:lineRule="auto"/>
        <w:ind w:left="1134" w:hanging="567"/>
        <w:rPr>
          <w:rFonts w:ascii="Cambria" w:hAnsi="Cambria"/>
        </w:rPr>
      </w:pPr>
      <w:r w:rsidRPr="00FD2E93">
        <w:rPr>
          <w:rFonts w:ascii="Cambria" w:hAnsi="Cambria"/>
        </w:rPr>
        <w:t>Education.</w:t>
      </w:r>
    </w:p>
    <w:p w14:paraId="4312EE90" w14:textId="77777777" w:rsidR="00C3276D" w:rsidRPr="00FD2E93" w:rsidRDefault="00C3276D" w:rsidP="00C3276D">
      <w:pPr>
        <w:pStyle w:val="ListParagraph"/>
        <w:rPr>
          <w:rFonts w:ascii="Cambria" w:hAnsi="Cambria"/>
        </w:rPr>
      </w:pPr>
    </w:p>
    <w:p w14:paraId="4856E054" w14:textId="77777777" w:rsidR="00C3276D" w:rsidRPr="00FD2E93" w:rsidRDefault="00C3276D" w:rsidP="00BE1D35">
      <w:pPr>
        <w:pStyle w:val="ListParagraph"/>
        <w:numPr>
          <w:ilvl w:val="0"/>
          <w:numId w:val="343"/>
        </w:numPr>
        <w:spacing w:line="259" w:lineRule="auto"/>
        <w:ind w:left="567" w:hanging="567"/>
        <w:rPr>
          <w:rFonts w:ascii="Cambria" w:hAnsi="Cambria"/>
        </w:rPr>
      </w:pPr>
      <w:r w:rsidRPr="00FD2E93">
        <w:rPr>
          <w:rFonts w:ascii="Cambria" w:hAnsi="Cambria"/>
        </w:rPr>
        <w:t>Local Mission Department/ Board and its linkages to Districts for formation – maintaining the organic model, its agility and its connectedness, within a suitable governance framework.</w:t>
      </w:r>
    </w:p>
    <w:p w14:paraId="47E8E46F" w14:textId="77777777" w:rsidR="00C3276D" w:rsidRPr="00FD2E93" w:rsidRDefault="00C3276D" w:rsidP="00BE1D35">
      <w:pPr>
        <w:pStyle w:val="ListParagraph"/>
        <w:ind w:left="567" w:hanging="567"/>
        <w:rPr>
          <w:rFonts w:ascii="Cambria" w:hAnsi="Cambria"/>
        </w:rPr>
      </w:pPr>
    </w:p>
    <w:p w14:paraId="4C906212" w14:textId="77777777" w:rsidR="00C3276D" w:rsidRPr="00FD2E93" w:rsidRDefault="00C3276D" w:rsidP="00BE1D35">
      <w:pPr>
        <w:pStyle w:val="ListParagraph"/>
        <w:numPr>
          <w:ilvl w:val="0"/>
          <w:numId w:val="343"/>
        </w:numPr>
        <w:spacing w:line="259" w:lineRule="auto"/>
        <w:ind w:left="567" w:hanging="567"/>
        <w:rPr>
          <w:rFonts w:ascii="Cambria" w:hAnsi="Cambria"/>
        </w:rPr>
      </w:pPr>
      <w:r w:rsidRPr="00FD2E93">
        <w:rPr>
          <w:rFonts w:ascii="Cambria" w:hAnsi="Cambria"/>
        </w:rPr>
        <w:t>Delivery of more impact and support at the congregational level.</w:t>
      </w:r>
    </w:p>
    <w:p w14:paraId="5A0F2E05" w14:textId="77777777" w:rsidR="00C3276D" w:rsidRPr="00FD2E93" w:rsidRDefault="00C3276D" w:rsidP="00BE1D35">
      <w:pPr>
        <w:pStyle w:val="ListParagraph"/>
        <w:ind w:left="567" w:hanging="567"/>
        <w:rPr>
          <w:rFonts w:ascii="Cambria" w:hAnsi="Cambria"/>
        </w:rPr>
      </w:pPr>
    </w:p>
    <w:p w14:paraId="13655BB9" w14:textId="77777777" w:rsidR="00C3276D" w:rsidRPr="00FD2E93" w:rsidRDefault="00C3276D" w:rsidP="00BE1D35">
      <w:pPr>
        <w:pStyle w:val="ListParagraph"/>
        <w:numPr>
          <w:ilvl w:val="0"/>
          <w:numId w:val="343"/>
        </w:numPr>
        <w:spacing w:line="259" w:lineRule="auto"/>
        <w:ind w:left="567" w:hanging="567"/>
        <w:rPr>
          <w:rFonts w:ascii="Cambria" w:hAnsi="Cambria"/>
        </w:rPr>
      </w:pPr>
      <w:r w:rsidRPr="00FD2E93">
        <w:rPr>
          <w:rFonts w:ascii="Cambria" w:hAnsi="Cambria"/>
        </w:rPr>
        <w:t>Role clarification and confirmation of information channels for Boards, Committees and Commissions, so that their work promptly reaches and informs the decision-makers, and is integrated with other entities with common goals.</w:t>
      </w:r>
    </w:p>
    <w:p w14:paraId="327C7CE2" w14:textId="77777777" w:rsidR="00C3276D" w:rsidRPr="00FD2E93" w:rsidRDefault="00C3276D" w:rsidP="00BE1D35">
      <w:pPr>
        <w:pStyle w:val="ListParagraph"/>
        <w:ind w:left="567" w:hanging="567"/>
        <w:rPr>
          <w:rFonts w:ascii="Cambria" w:hAnsi="Cambria"/>
        </w:rPr>
      </w:pPr>
    </w:p>
    <w:p w14:paraId="6CCFB82D" w14:textId="77777777" w:rsidR="00C3276D" w:rsidRPr="00FD2E93" w:rsidRDefault="00C3276D" w:rsidP="00BE1D35">
      <w:pPr>
        <w:pStyle w:val="ListParagraph"/>
        <w:numPr>
          <w:ilvl w:val="0"/>
          <w:numId w:val="343"/>
        </w:numPr>
        <w:spacing w:line="259" w:lineRule="auto"/>
        <w:ind w:left="567" w:hanging="567"/>
        <w:rPr>
          <w:rFonts w:ascii="Cambria" w:hAnsi="Cambria"/>
        </w:rPr>
      </w:pPr>
      <w:r w:rsidRPr="00FD2E93">
        <w:rPr>
          <w:rFonts w:ascii="Cambria" w:hAnsi="Cambria"/>
        </w:rPr>
        <w:t>Taking the next step: Move beyond the joined-up thinking to actual partnered approaches to Ministry and effective/efficient Churchwide functions.</w:t>
      </w:r>
    </w:p>
    <w:p w14:paraId="77D97A86" w14:textId="77777777" w:rsidR="00C3276D" w:rsidRPr="00FD2E93" w:rsidRDefault="00C3276D" w:rsidP="00BE1D35">
      <w:pPr>
        <w:pStyle w:val="ListParagraph"/>
        <w:ind w:left="567" w:hanging="567"/>
        <w:rPr>
          <w:rFonts w:ascii="Cambria" w:hAnsi="Cambria"/>
        </w:rPr>
      </w:pPr>
    </w:p>
    <w:p w14:paraId="6D3E6156" w14:textId="77777777" w:rsidR="00C3276D" w:rsidRPr="00FD2E93" w:rsidRDefault="00C3276D" w:rsidP="00BE1D35">
      <w:pPr>
        <w:pStyle w:val="ListParagraph"/>
        <w:numPr>
          <w:ilvl w:val="0"/>
          <w:numId w:val="343"/>
        </w:numPr>
        <w:spacing w:line="259" w:lineRule="auto"/>
        <w:ind w:left="567" w:hanging="567"/>
        <w:rPr>
          <w:rFonts w:ascii="Cambria" w:hAnsi="Cambria"/>
        </w:rPr>
      </w:pPr>
      <w:r w:rsidRPr="00FD2E93">
        <w:rPr>
          <w:rFonts w:ascii="Cambria" w:hAnsi="Cambria"/>
        </w:rPr>
        <w:t>Governance training for members of all Boards, Committees and Commissions.</w:t>
      </w:r>
    </w:p>
    <w:p w14:paraId="0D29076C" w14:textId="77777777" w:rsidR="00C3276D" w:rsidRPr="00FD2E93" w:rsidRDefault="00C3276D" w:rsidP="00BE1D35">
      <w:pPr>
        <w:pStyle w:val="ListParagraph"/>
        <w:ind w:left="567" w:hanging="567"/>
        <w:rPr>
          <w:rFonts w:ascii="Cambria" w:hAnsi="Cambria"/>
        </w:rPr>
      </w:pPr>
    </w:p>
    <w:p w14:paraId="7A0E725A" w14:textId="77777777" w:rsidR="00C3276D" w:rsidRPr="00FD2E93" w:rsidRDefault="00C3276D" w:rsidP="00BE1D35">
      <w:pPr>
        <w:pStyle w:val="ListParagraph"/>
        <w:numPr>
          <w:ilvl w:val="0"/>
          <w:numId w:val="343"/>
        </w:numPr>
        <w:spacing w:line="259" w:lineRule="auto"/>
        <w:ind w:left="567" w:hanging="567"/>
        <w:rPr>
          <w:rFonts w:ascii="Cambria" w:hAnsi="Cambria"/>
        </w:rPr>
      </w:pPr>
      <w:r w:rsidRPr="00FD2E93">
        <w:rPr>
          <w:rFonts w:ascii="Cambria" w:hAnsi="Cambria"/>
        </w:rPr>
        <w:t>Policy roll-out, especially Delegations Policy and priority Human Resources ones.</w:t>
      </w:r>
    </w:p>
    <w:p w14:paraId="1745E8C6" w14:textId="77777777" w:rsidR="00C3276D" w:rsidRPr="00FD2E93" w:rsidRDefault="00C3276D" w:rsidP="00BE1D35">
      <w:pPr>
        <w:pStyle w:val="ListParagraph"/>
        <w:ind w:left="567" w:hanging="567"/>
        <w:rPr>
          <w:rFonts w:ascii="Cambria" w:hAnsi="Cambria"/>
        </w:rPr>
      </w:pPr>
    </w:p>
    <w:p w14:paraId="6FFFB3FE" w14:textId="77777777" w:rsidR="00C3276D" w:rsidRPr="00FD2E93" w:rsidRDefault="00C3276D" w:rsidP="00BE1D35">
      <w:pPr>
        <w:pStyle w:val="ListParagraph"/>
        <w:numPr>
          <w:ilvl w:val="0"/>
          <w:numId w:val="343"/>
        </w:numPr>
        <w:spacing w:line="259" w:lineRule="auto"/>
        <w:ind w:left="567" w:hanging="567"/>
        <w:rPr>
          <w:rFonts w:ascii="Cambria" w:hAnsi="Cambria"/>
        </w:rPr>
      </w:pPr>
      <w:r w:rsidRPr="00FD2E93">
        <w:rPr>
          <w:rFonts w:ascii="Cambria" w:hAnsi="Cambria"/>
        </w:rPr>
        <w:t>Resolution of key service ‘glitches’ already conveyed to the service providers by internal ‘customers’.</w:t>
      </w:r>
    </w:p>
    <w:p w14:paraId="3FA8FCBA" w14:textId="77777777" w:rsidR="00C3276D" w:rsidRPr="00FD2E93" w:rsidRDefault="00C3276D" w:rsidP="00BE1D35">
      <w:pPr>
        <w:pStyle w:val="ListParagraph"/>
        <w:ind w:left="567" w:hanging="567"/>
        <w:rPr>
          <w:rFonts w:ascii="Cambria" w:hAnsi="Cambria"/>
        </w:rPr>
      </w:pPr>
    </w:p>
    <w:p w14:paraId="50F44350" w14:textId="77777777" w:rsidR="00C3276D" w:rsidRPr="00FD2E93" w:rsidRDefault="00C3276D" w:rsidP="00BE1D35">
      <w:pPr>
        <w:pStyle w:val="ListParagraph"/>
        <w:numPr>
          <w:ilvl w:val="0"/>
          <w:numId w:val="344"/>
        </w:numPr>
        <w:spacing w:line="259" w:lineRule="auto"/>
        <w:ind w:left="567" w:hanging="567"/>
        <w:rPr>
          <w:rFonts w:ascii="Cambria" w:hAnsi="Cambria"/>
        </w:rPr>
      </w:pPr>
      <w:r w:rsidRPr="00FD2E93">
        <w:rPr>
          <w:rFonts w:ascii="Cambria" w:hAnsi="Cambria"/>
        </w:rPr>
        <w:t>Consolidated financial and management reporting for the Church and its entities to support governance/ oversight, accurate determinations of the financial position of an entity, its programs, related entities and the overall Church, financial sustainability and informed decision-making, at both strategic and operational levels.</w:t>
      </w:r>
    </w:p>
    <w:p w14:paraId="45C72270" w14:textId="77777777" w:rsidR="00C3276D" w:rsidRPr="00FD2E93" w:rsidRDefault="00C3276D" w:rsidP="00BE1D35">
      <w:pPr>
        <w:pStyle w:val="ListParagraph"/>
        <w:ind w:left="567" w:hanging="567"/>
        <w:rPr>
          <w:rFonts w:ascii="Cambria" w:hAnsi="Cambria"/>
        </w:rPr>
      </w:pPr>
    </w:p>
    <w:p w14:paraId="0380FC61" w14:textId="77777777" w:rsidR="00C3276D" w:rsidRPr="00FD2E93" w:rsidRDefault="00C3276D" w:rsidP="00BE1D35">
      <w:pPr>
        <w:pStyle w:val="ListParagraph"/>
        <w:numPr>
          <w:ilvl w:val="0"/>
          <w:numId w:val="344"/>
        </w:numPr>
        <w:spacing w:line="259" w:lineRule="auto"/>
        <w:ind w:left="567" w:hanging="567"/>
        <w:rPr>
          <w:rFonts w:ascii="Cambria" w:hAnsi="Cambria"/>
        </w:rPr>
      </w:pPr>
      <w:r w:rsidRPr="00FD2E93">
        <w:rPr>
          <w:rFonts w:ascii="Cambria" w:hAnsi="Cambria"/>
        </w:rPr>
        <w:t>Performance in the timely management and accuracy of payroll adjustments, especially for pastors including locums.</w:t>
      </w:r>
    </w:p>
    <w:p w14:paraId="065ED8FA" w14:textId="77777777" w:rsidR="00C3276D" w:rsidRPr="00FD2E93" w:rsidRDefault="00C3276D" w:rsidP="00BE1D35">
      <w:pPr>
        <w:pStyle w:val="ListParagraph"/>
        <w:ind w:left="567" w:hanging="567"/>
        <w:rPr>
          <w:rFonts w:ascii="Cambria" w:hAnsi="Cambria"/>
        </w:rPr>
      </w:pPr>
    </w:p>
    <w:p w14:paraId="7FB6AA16" w14:textId="77777777" w:rsidR="00C3276D" w:rsidRPr="00FD2E93" w:rsidRDefault="00C3276D" w:rsidP="00BE1D35">
      <w:pPr>
        <w:pStyle w:val="ListParagraph"/>
        <w:numPr>
          <w:ilvl w:val="0"/>
          <w:numId w:val="343"/>
        </w:numPr>
        <w:spacing w:line="259" w:lineRule="auto"/>
        <w:ind w:left="567" w:hanging="567"/>
        <w:rPr>
          <w:rFonts w:ascii="Cambria" w:hAnsi="Cambria"/>
        </w:rPr>
      </w:pPr>
      <w:r w:rsidRPr="00FD2E93">
        <w:rPr>
          <w:rFonts w:ascii="Cambria" w:hAnsi="Cambria"/>
        </w:rPr>
        <w:t>Communication of work plans for Churchwide service providers to increase awareness and importantly, to support District planning with congregations.</w:t>
      </w:r>
    </w:p>
    <w:p w14:paraId="1DA801D5" w14:textId="77777777" w:rsidR="00C3276D" w:rsidRPr="00FD2E93" w:rsidRDefault="00C3276D" w:rsidP="00BE1D35">
      <w:pPr>
        <w:pStyle w:val="ListParagraph"/>
        <w:ind w:left="567" w:hanging="567"/>
        <w:rPr>
          <w:rFonts w:ascii="Cambria" w:hAnsi="Cambria"/>
        </w:rPr>
      </w:pPr>
    </w:p>
    <w:p w14:paraId="515B1B53" w14:textId="77777777" w:rsidR="00C3276D" w:rsidRPr="00FD2E93" w:rsidRDefault="00C3276D" w:rsidP="00BE1D35">
      <w:pPr>
        <w:pStyle w:val="ListParagraph"/>
        <w:numPr>
          <w:ilvl w:val="0"/>
          <w:numId w:val="343"/>
        </w:numPr>
        <w:spacing w:line="259" w:lineRule="auto"/>
        <w:ind w:left="567" w:hanging="567"/>
        <w:rPr>
          <w:rFonts w:ascii="Cambria" w:hAnsi="Cambria"/>
        </w:rPr>
      </w:pPr>
      <w:r w:rsidRPr="00FD2E93">
        <w:rPr>
          <w:rFonts w:ascii="Cambria" w:hAnsi="Cambria"/>
        </w:rPr>
        <w:t>Next stage development of the governance structures in terms of their linkages to District entities and other arms of the Church such as schools and aged care.</w:t>
      </w:r>
    </w:p>
    <w:p w14:paraId="2F341BEA" w14:textId="77777777" w:rsidR="00C3276D" w:rsidRPr="00FD2E93" w:rsidRDefault="00C3276D" w:rsidP="00BE1D35">
      <w:pPr>
        <w:pStyle w:val="ListParagraph"/>
        <w:ind w:left="567" w:hanging="567"/>
        <w:rPr>
          <w:rFonts w:ascii="Cambria" w:hAnsi="Cambria"/>
        </w:rPr>
      </w:pPr>
    </w:p>
    <w:p w14:paraId="7D1FB4E6" w14:textId="77777777" w:rsidR="00C3276D" w:rsidRPr="00FD2E93" w:rsidRDefault="00C3276D" w:rsidP="00BE1D35">
      <w:pPr>
        <w:pStyle w:val="ListParagraph"/>
        <w:numPr>
          <w:ilvl w:val="0"/>
          <w:numId w:val="343"/>
        </w:numPr>
        <w:spacing w:line="259" w:lineRule="auto"/>
        <w:ind w:left="567" w:hanging="567"/>
        <w:rPr>
          <w:rFonts w:ascii="Cambria" w:hAnsi="Cambria"/>
        </w:rPr>
      </w:pPr>
      <w:r w:rsidRPr="00FD2E93">
        <w:rPr>
          <w:rFonts w:ascii="Cambria" w:hAnsi="Cambria"/>
        </w:rPr>
        <w:t>‘Workforce development’ activities for both pastoral and lay workers with focus on:</w:t>
      </w:r>
    </w:p>
    <w:p w14:paraId="446BD40A" w14:textId="77777777" w:rsidR="00C3276D" w:rsidRPr="00FD2E93" w:rsidRDefault="00C3276D" w:rsidP="00C3276D">
      <w:pPr>
        <w:pStyle w:val="ListParagraph"/>
        <w:rPr>
          <w:rFonts w:ascii="Cambria" w:hAnsi="Cambria"/>
        </w:rPr>
      </w:pPr>
    </w:p>
    <w:p w14:paraId="77B26077" w14:textId="77777777" w:rsidR="00C3276D" w:rsidRPr="00FD2E93" w:rsidRDefault="00C3276D" w:rsidP="00BE1D35">
      <w:pPr>
        <w:pStyle w:val="ListParagraph"/>
        <w:numPr>
          <w:ilvl w:val="1"/>
          <w:numId w:val="359"/>
        </w:numPr>
        <w:spacing w:line="259" w:lineRule="auto"/>
        <w:ind w:left="1134" w:hanging="567"/>
        <w:rPr>
          <w:rFonts w:ascii="Cambria" w:hAnsi="Cambria"/>
        </w:rPr>
      </w:pPr>
      <w:r w:rsidRPr="00FD2E93">
        <w:rPr>
          <w:rFonts w:ascii="Cambria" w:hAnsi="Cambria"/>
        </w:rPr>
        <w:t>Pastoral support and care</w:t>
      </w:r>
    </w:p>
    <w:p w14:paraId="112BB776" w14:textId="77777777" w:rsidR="00C3276D" w:rsidRPr="00FD2E93" w:rsidRDefault="00C3276D" w:rsidP="00BE1D35">
      <w:pPr>
        <w:pStyle w:val="ListParagraph"/>
        <w:numPr>
          <w:ilvl w:val="1"/>
          <w:numId w:val="359"/>
        </w:numPr>
        <w:spacing w:line="259" w:lineRule="auto"/>
        <w:ind w:left="1134" w:hanging="567"/>
        <w:rPr>
          <w:rFonts w:ascii="Cambria" w:hAnsi="Cambria"/>
        </w:rPr>
      </w:pPr>
      <w:r w:rsidRPr="00FD2E93">
        <w:rPr>
          <w:rFonts w:ascii="Cambria" w:hAnsi="Cambria"/>
        </w:rPr>
        <w:t>Pastoral development and skills training</w:t>
      </w:r>
    </w:p>
    <w:p w14:paraId="5529D1A7" w14:textId="77777777" w:rsidR="00C3276D" w:rsidRPr="00FD2E93" w:rsidRDefault="00C3276D" w:rsidP="00BE1D35">
      <w:pPr>
        <w:pStyle w:val="ListParagraph"/>
        <w:numPr>
          <w:ilvl w:val="1"/>
          <w:numId w:val="359"/>
        </w:numPr>
        <w:spacing w:line="259" w:lineRule="auto"/>
        <w:ind w:left="1134" w:hanging="567"/>
        <w:rPr>
          <w:rFonts w:ascii="Cambria" w:hAnsi="Cambria"/>
        </w:rPr>
      </w:pPr>
      <w:r w:rsidRPr="00FD2E93">
        <w:rPr>
          <w:rFonts w:ascii="Cambria" w:hAnsi="Cambria"/>
        </w:rPr>
        <w:t>Performance management</w:t>
      </w:r>
    </w:p>
    <w:p w14:paraId="405CDED1" w14:textId="77777777" w:rsidR="00C3276D" w:rsidRPr="00FD2E93" w:rsidRDefault="00C3276D" w:rsidP="00BE1D35">
      <w:pPr>
        <w:pStyle w:val="ListParagraph"/>
        <w:numPr>
          <w:ilvl w:val="1"/>
          <w:numId w:val="359"/>
        </w:numPr>
        <w:spacing w:line="259" w:lineRule="auto"/>
        <w:ind w:left="1134" w:hanging="567"/>
        <w:rPr>
          <w:rFonts w:ascii="Cambria" w:hAnsi="Cambria"/>
        </w:rPr>
      </w:pPr>
      <w:r w:rsidRPr="00FD2E93">
        <w:rPr>
          <w:rFonts w:ascii="Cambria" w:hAnsi="Cambria"/>
        </w:rPr>
        <w:t>Succession planning.</w:t>
      </w:r>
    </w:p>
    <w:p w14:paraId="41F26EB0" w14:textId="77777777" w:rsidR="00C3276D" w:rsidRPr="00FD2E93" w:rsidRDefault="00C3276D" w:rsidP="00BE1D35">
      <w:pPr>
        <w:pStyle w:val="Heading3"/>
      </w:pPr>
      <w:r w:rsidRPr="00FD2E93">
        <w:t>Recommendations</w:t>
      </w:r>
    </w:p>
    <w:p w14:paraId="1F29BA12" w14:textId="77777777" w:rsidR="00C3276D" w:rsidRPr="00FD2E93" w:rsidRDefault="00C3276D" w:rsidP="00BE1D35">
      <w:pPr>
        <w:pStyle w:val="ListParagraph"/>
        <w:numPr>
          <w:ilvl w:val="0"/>
          <w:numId w:val="346"/>
        </w:numPr>
        <w:ind w:left="567" w:hanging="567"/>
        <w:rPr>
          <w:rFonts w:ascii="Cambria" w:hAnsi="Cambria"/>
        </w:rPr>
      </w:pPr>
      <w:r w:rsidRPr="00FD2E93">
        <w:rPr>
          <w:rFonts w:ascii="Cambria" w:hAnsi="Cambria"/>
        </w:rPr>
        <w:t>Continue the implementation of the changes, and move beyond the ‘trial’ status of them to facilitate prompt action and further implementation. Continue the focus of pursuing improvements in effectiveness and efficiency in governing bodies and national service areas, with a view to achieving Churchwide, service-oriented functions that support other members to use their time and effort to enact Synod resolutions and undertake mission on behalf of the Church.</w:t>
      </w:r>
    </w:p>
    <w:p w14:paraId="1ED40DBF" w14:textId="77777777" w:rsidR="00C3276D" w:rsidRPr="00FD2E93" w:rsidRDefault="00C3276D" w:rsidP="00BE1D35">
      <w:pPr>
        <w:pStyle w:val="ListParagraph"/>
        <w:ind w:left="567" w:hanging="567"/>
        <w:rPr>
          <w:rFonts w:ascii="Cambria" w:hAnsi="Cambria"/>
        </w:rPr>
      </w:pPr>
    </w:p>
    <w:p w14:paraId="48201D9F" w14:textId="77777777" w:rsidR="00C3276D" w:rsidRPr="00FD2E93" w:rsidRDefault="00C3276D" w:rsidP="00BE1D35">
      <w:pPr>
        <w:pStyle w:val="ListParagraph"/>
        <w:numPr>
          <w:ilvl w:val="0"/>
          <w:numId w:val="346"/>
        </w:numPr>
        <w:spacing w:line="259" w:lineRule="auto"/>
        <w:ind w:left="567" w:hanging="567"/>
        <w:rPr>
          <w:rFonts w:ascii="Cambria" w:hAnsi="Cambria"/>
        </w:rPr>
      </w:pPr>
      <w:r w:rsidRPr="00FD2E93">
        <w:rPr>
          <w:rFonts w:ascii="Cambria" w:hAnsi="Cambria"/>
        </w:rPr>
        <w:t>Continue a focus on accountability in the Churchwide service departments in terms of effectiveness and efficiencies delivered, through ongoing evaluation and reporting to GCC. (Proposal for ongoing evaluation process are included below.)</w:t>
      </w:r>
    </w:p>
    <w:p w14:paraId="131D304F" w14:textId="77777777" w:rsidR="00C3276D" w:rsidRPr="00FD2E93" w:rsidRDefault="00C3276D" w:rsidP="00BE1D35">
      <w:pPr>
        <w:pStyle w:val="ListParagraph"/>
        <w:ind w:left="567" w:hanging="567"/>
        <w:rPr>
          <w:rFonts w:ascii="Cambria" w:hAnsi="Cambria"/>
        </w:rPr>
      </w:pPr>
    </w:p>
    <w:p w14:paraId="61D30E7B" w14:textId="77777777" w:rsidR="00C3276D" w:rsidRPr="00FD2E93" w:rsidRDefault="00C3276D" w:rsidP="00BE1D35">
      <w:pPr>
        <w:pStyle w:val="ListParagraph"/>
        <w:numPr>
          <w:ilvl w:val="0"/>
          <w:numId w:val="346"/>
        </w:numPr>
        <w:spacing w:line="259" w:lineRule="auto"/>
        <w:ind w:left="567" w:hanging="567"/>
        <w:rPr>
          <w:rFonts w:ascii="Cambria" w:hAnsi="Cambria"/>
        </w:rPr>
      </w:pPr>
      <w:r w:rsidRPr="00FD2E93">
        <w:rPr>
          <w:rFonts w:ascii="Cambria" w:hAnsi="Cambria"/>
        </w:rPr>
        <w:t>Implement governance training for all members of Boards, Committees and Commissions.</w:t>
      </w:r>
    </w:p>
    <w:p w14:paraId="78DF5EF8" w14:textId="77777777" w:rsidR="00C3276D" w:rsidRPr="00FD2E93" w:rsidRDefault="00C3276D" w:rsidP="00BE1D35">
      <w:pPr>
        <w:pStyle w:val="ListParagraph"/>
        <w:ind w:left="567" w:hanging="567"/>
        <w:rPr>
          <w:rFonts w:ascii="Cambria" w:hAnsi="Cambria"/>
        </w:rPr>
      </w:pPr>
    </w:p>
    <w:p w14:paraId="2C4B4B94" w14:textId="77777777" w:rsidR="00C3276D" w:rsidRPr="00FD2E93" w:rsidRDefault="00C3276D" w:rsidP="00BE1D35">
      <w:pPr>
        <w:pStyle w:val="ListParagraph"/>
        <w:numPr>
          <w:ilvl w:val="0"/>
          <w:numId w:val="346"/>
        </w:numPr>
        <w:ind w:left="567" w:hanging="567"/>
        <w:rPr>
          <w:rFonts w:ascii="Cambria" w:hAnsi="Cambria"/>
        </w:rPr>
      </w:pPr>
      <w:r w:rsidRPr="00FD2E93">
        <w:rPr>
          <w:rFonts w:ascii="Cambria" w:hAnsi="Cambria"/>
        </w:rPr>
        <w:t>Activity on role clarification and identification of clear conduits of information flow and exchange, to support joined up thinking and timely communication to decision-makers. The EOC working with Boards and Committees, to recommend mechanisms to enable this to happen promptly, to ensure those entities currently unclear in their role move into optimum productivity as soon as possible. Include Board to Board mechanisms for those with common goals eg Local Mission at National and District levels, Board for Lutheran Education and Board for Australian Lutheran College.</w:t>
      </w:r>
    </w:p>
    <w:p w14:paraId="5F9F2D6D" w14:textId="77777777" w:rsidR="00C3276D" w:rsidRPr="00FD2E93" w:rsidRDefault="00C3276D" w:rsidP="00BE1D35">
      <w:pPr>
        <w:pStyle w:val="ListParagraph"/>
        <w:ind w:left="567" w:hanging="567"/>
        <w:rPr>
          <w:rFonts w:ascii="Cambria" w:hAnsi="Cambria"/>
        </w:rPr>
      </w:pPr>
    </w:p>
    <w:p w14:paraId="789EA56E" w14:textId="77777777" w:rsidR="00C3276D" w:rsidRPr="00FD2E93" w:rsidRDefault="00C3276D" w:rsidP="00BE1D35">
      <w:pPr>
        <w:pStyle w:val="ListParagraph"/>
        <w:numPr>
          <w:ilvl w:val="0"/>
          <w:numId w:val="346"/>
        </w:numPr>
        <w:spacing w:line="259" w:lineRule="auto"/>
        <w:ind w:left="567" w:hanging="567"/>
        <w:rPr>
          <w:rFonts w:ascii="Cambria" w:hAnsi="Cambria"/>
        </w:rPr>
      </w:pPr>
      <w:r w:rsidRPr="00FD2E93">
        <w:rPr>
          <w:rFonts w:ascii="Cambria" w:hAnsi="Cambria"/>
        </w:rPr>
        <w:t>Develop and communicate the strategic plans identified as key to the Church’s continued shift to effectiveness and efficiency, above. Immediately move to a needs analysis of the communications technology needs of key ‘customers’ for education and worship.</w:t>
      </w:r>
    </w:p>
    <w:p w14:paraId="793D704F" w14:textId="77777777" w:rsidR="00C3276D" w:rsidRPr="00FD2E93" w:rsidRDefault="00C3276D" w:rsidP="00BE1D35">
      <w:pPr>
        <w:pStyle w:val="ListParagraph"/>
        <w:ind w:left="567" w:hanging="567"/>
        <w:rPr>
          <w:rFonts w:ascii="Cambria" w:hAnsi="Cambria"/>
        </w:rPr>
      </w:pPr>
    </w:p>
    <w:p w14:paraId="450A7093" w14:textId="77777777" w:rsidR="00C3276D" w:rsidRPr="00FD2E93" w:rsidRDefault="00C3276D" w:rsidP="00BE1D35">
      <w:pPr>
        <w:pStyle w:val="ListParagraph"/>
        <w:numPr>
          <w:ilvl w:val="0"/>
          <w:numId w:val="346"/>
        </w:numPr>
        <w:ind w:left="567" w:hanging="567"/>
        <w:rPr>
          <w:rFonts w:ascii="Cambria" w:hAnsi="Cambria"/>
        </w:rPr>
      </w:pPr>
      <w:r w:rsidRPr="00FD2E93">
        <w:rPr>
          <w:rFonts w:ascii="Cambria" w:hAnsi="Cambria"/>
        </w:rPr>
        <w:t>Develop formal work plans for the national functions/departments and communicate them. Encourage partnership approaches as part of this. Consider a needs analysis of congregations (based on the experience of the 2015–2018 changes) to inform the priorities in these plans for ‘early wins’ in a continuing change management focus to support improvements in effectiveness and efficiency at grassroots/congregational levels. Ensure the focus on congregational support through national functions retains a strong service orientation, and results in more effective and efficient processes for the congregations. Consider a ‘work request’ tracking system to ensure accountability for prompt, accurate and complete service in ‘hygiene’ areas such as payroll adjustments and processing.</w:t>
      </w:r>
    </w:p>
    <w:p w14:paraId="3C8D8434" w14:textId="77777777" w:rsidR="00C3276D" w:rsidRPr="00FD2E93" w:rsidRDefault="00C3276D" w:rsidP="00BE1D35">
      <w:pPr>
        <w:pStyle w:val="ListParagraph"/>
        <w:ind w:left="567" w:hanging="567"/>
        <w:rPr>
          <w:rFonts w:ascii="Cambria" w:hAnsi="Cambria"/>
        </w:rPr>
      </w:pPr>
    </w:p>
    <w:p w14:paraId="1C159FB3" w14:textId="77777777" w:rsidR="00C3276D" w:rsidRPr="00FD2E93" w:rsidRDefault="00C3276D" w:rsidP="00BE1D35">
      <w:pPr>
        <w:pStyle w:val="ListParagraph"/>
        <w:numPr>
          <w:ilvl w:val="0"/>
          <w:numId w:val="346"/>
        </w:numPr>
        <w:spacing w:line="259" w:lineRule="auto"/>
        <w:ind w:left="567" w:hanging="567"/>
        <w:rPr>
          <w:rFonts w:ascii="Cambria" w:hAnsi="Cambria"/>
        </w:rPr>
      </w:pPr>
      <w:r w:rsidRPr="00FD2E93">
        <w:rPr>
          <w:rFonts w:ascii="Cambria" w:hAnsi="Cambria"/>
        </w:rPr>
        <w:t>Develop a transparent resource assessment process and criteria to identify carefully the possible options for resource allocation to any LCA entity, and also proposed increases in national office workforce numbers.</w:t>
      </w:r>
    </w:p>
    <w:p w14:paraId="049C6395" w14:textId="77777777" w:rsidR="00C3276D" w:rsidRPr="00FD2E93" w:rsidRDefault="00C3276D" w:rsidP="00BE1D35">
      <w:pPr>
        <w:pStyle w:val="ListParagraph"/>
        <w:ind w:left="567" w:hanging="567"/>
        <w:rPr>
          <w:rFonts w:ascii="Cambria" w:hAnsi="Cambria"/>
        </w:rPr>
      </w:pPr>
    </w:p>
    <w:p w14:paraId="7EA4FE87" w14:textId="77777777" w:rsidR="00C3276D" w:rsidRPr="00FD2E93" w:rsidRDefault="00C3276D" w:rsidP="00BE1D35">
      <w:pPr>
        <w:pStyle w:val="ListParagraph"/>
        <w:numPr>
          <w:ilvl w:val="0"/>
          <w:numId w:val="346"/>
        </w:numPr>
        <w:spacing w:line="259" w:lineRule="auto"/>
        <w:ind w:left="567" w:hanging="567"/>
        <w:rPr>
          <w:rFonts w:ascii="Cambria" w:hAnsi="Cambria"/>
        </w:rPr>
      </w:pPr>
      <w:r w:rsidRPr="00FD2E93">
        <w:rPr>
          <w:rFonts w:ascii="Cambria" w:hAnsi="Cambria"/>
        </w:rPr>
        <w:t>Identify and implement a mechanism for continued discussion and engagement on “Mission”, including at congregational levels to ensure integrated and partnered thinking, but also to focus with congregations, on what is the core purpose of the Church.</w:t>
      </w:r>
    </w:p>
    <w:p w14:paraId="1AC5721D" w14:textId="77777777" w:rsidR="00C3276D" w:rsidRPr="00FD2E93" w:rsidRDefault="00C3276D" w:rsidP="00C3276D">
      <w:pPr>
        <w:rPr>
          <w:rFonts w:ascii="Cambria" w:hAnsi="Cambria"/>
        </w:rPr>
      </w:pPr>
      <w:r w:rsidRPr="00FD2E93">
        <w:rPr>
          <w:rFonts w:ascii="Cambria" w:hAnsi="Cambria"/>
        </w:rPr>
        <w:t>In addition, the matters identified in columns 2 and 5, Attachment 4 also highlight details of many of the changes suggested by the various Boards and Committees, in terms of next stages of development.</w:t>
      </w:r>
    </w:p>
    <w:p w14:paraId="50C6DC4B" w14:textId="77777777" w:rsidR="00C3276D" w:rsidRPr="00FD2E93" w:rsidRDefault="00C3276D" w:rsidP="00BE1D35">
      <w:pPr>
        <w:pStyle w:val="Heading3"/>
      </w:pPr>
      <w:r w:rsidRPr="00FD2E93">
        <w:t>Consultant suggestions for ongoing evaluation processes</w:t>
      </w:r>
    </w:p>
    <w:p w14:paraId="77FE1AC2" w14:textId="77777777" w:rsidR="00C3276D" w:rsidRPr="00FD2E93" w:rsidRDefault="00C3276D" w:rsidP="00C3276D">
      <w:pPr>
        <w:rPr>
          <w:rFonts w:ascii="Cambria" w:hAnsi="Cambria"/>
        </w:rPr>
      </w:pPr>
      <w:r w:rsidRPr="00FD2E93">
        <w:rPr>
          <w:rFonts w:ascii="Cambria" w:hAnsi="Cambria"/>
        </w:rPr>
        <w:t>Ongoing evaluation of Governing Bodies and Churchwide service providers is recommended as a demonstrable form of accountability back to GCC and Church members. Wide communication of the outcomes of the evaluations would be advisable to assist grassroots members to identify what their funds are delivering. (LLL indicates that this would be helpful from their perspective also.)</w:t>
      </w:r>
    </w:p>
    <w:p w14:paraId="6A558BCB" w14:textId="77777777" w:rsidR="00C3276D" w:rsidRPr="00FD2E93" w:rsidRDefault="00C3276D" w:rsidP="00C3276D">
      <w:pPr>
        <w:rPr>
          <w:rFonts w:ascii="Cambria" w:hAnsi="Cambria"/>
        </w:rPr>
      </w:pPr>
      <w:r w:rsidRPr="00FD2E93">
        <w:rPr>
          <w:rFonts w:ascii="Cambria" w:hAnsi="Cambria"/>
        </w:rPr>
        <w:t>Some evaluation options can be undertaken on a service-by-service basis with the ‘customer’ eg a congregation which has received a new website from Communications, or support for resolution of a staff management matter from Church Worker Support. In these circumstances, a one-page service feedback form could be administered immediately (via Survey Monkey to assist likelihood and ease of response), seeking feedback on satisfaction, impacts on effectiveness and efficiency, and resolution of ‘customer’ need. Use the same rating scale as used in this study may assist trend analysis going forward. It is recommended that such data be collated annually for reporting in The Lutheran and other media, as well as management reports. Again, use of Survey Monkey for annual collation should be efficient for all parties.</w:t>
      </w:r>
    </w:p>
    <w:p w14:paraId="6EE0ECBE" w14:textId="74EE858A" w:rsidR="00C3276D" w:rsidRPr="00FD2E93" w:rsidRDefault="00C3276D" w:rsidP="00C3276D">
      <w:pPr>
        <w:rPr>
          <w:rFonts w:ascii="Cambria" w:hAnsi="Cambria"/>
        </w:rPr>
      </w:pPr>
      <w:r w:rsidRPr="00FD2E93">
        <w:rPr>
          <w:rFonts w:ascii="Cambria" w:hAnsi="Cambria"/>
        </w:rPr>
        <w:t xml:space="preserve">For each Churchwide service provider it is recommended that simple formative and summative surveys/assessments be used during project work, </w:t>
      </w:r>
      <w:r w:rsidR="00BE1D35" w:rsidRPr="00FD2E93">
        <w:rPr>
          <w:rFonts w:ascii="Cambria" w:hAnsi="Cambria"/>
        </w:rPr>
        <w:t>e.g.</w:t>
      </w:r>
    </w:p>
    <w:p w14:paraId="45E73AD8" w14:textId="77777777" w:rsidR="00C3276D" w:rsidRPr="00FD2E93" w:rsidRDefault="00C3276D" w:rsidP="00C3276D">
      <w:pPr>
        <w:rPr>
          <w:rFonts w:ascii="Cambria" w:hAnsi="Cambria"/>
        </w:rPr>
      </w:pPr>
      <w:r w:rsidRPr="00FD2E93">
        <w:rPr>
          <w:rFonts w:ascii="Cambria" w:hAnsi="Cambria"/>
        </w:rPr>
        <w:br w:type="page"/>
      </w:r>
    </w:p>
    <w:p w14:paraId="52C95A31" w14:textId="77777777" w:rsidR="00C3276D" w:rsidRPr="00FD2E93" w:rsidRDefault="00C3276D" w:rsidP="00C3276D">
      <w:pPr>
        <w:rPr>
          <w:rFonts w:ascii="Cambria" w:hAnsi="Cambria"/>
        </w:rPr>
      </w:pPr>
    </w:p>
    <w:p w14:paraId="1195EEF5" w14:textId="77777777" w:rsidR="00C3276D" w:rsidRPr="00FD2E93" w:rsidRDefault="00C3276D" w:rsidP="00BE1D35">
      <w:pPr>
        <w:numPr>
          <w:ilvl w:val="0"/>
          <w:numId w:val="347"/>
        </w:numPr>
        <w:tabs>
          <w:tab w:val="clear" w:pos="720"/>
          <w:tab w:val="num" w:pos="567"/>
        </w:tabs>
        <w:ind w:left="567" w:hanging="567"/>
        <w:rPr>
          <w:rFonts w:ascii="Cambria" w:hAnsi="Cambria"/>
        </w:rPr>
      </w:pPr>
      <w:r w:rsidRPr="00FD2E93">
        <w:rPr>
          <w:rFonts w:ascii="Cambria" w:hAnsi="Cambria"/>
        </w:rPr>
        <w:t>Stakeholder analysis prior, then stakeholder feedback afterwards</w:t>
      </w:r>
    </w:p>
    <w:p w14:paraId="3FFCE8B9" w14:textId="77777777" w:rsidR="00C3276D" w:rsidRPr="00FD2E93" w:rsidRDefault="00C3276D" w:rsidP="00BE1D35">
      <w:pPr>
        <w:numPr>
          <w:ilvl w:val="0"/>
          <w:numId w:val="347"/>
        </w:numPr>
        <w:tabs>
          <w:tab w:val="clear" w:pos="720"/>
          <w:tab w:val="num" w:pos="567"/>
        </w:tabs>
        <w:ind w:left="567" w:hanging="567"/>
        <w:rPr>
          <w:rFonts w:ascii="Cambria" w:hAnsi="Cambria"/>
        </w:rPr>
      </w:pPr>
      <w:r w:rsidRPr="00FD2E93">
        <w:rPr>
          <w:rFonts w:ascii="Cambria" w:hAnsi="Cambria"/>
        </w:rPr>
        <w:t>Test a congregation’s response to the planned work before the project plan is finalised so their needs are considered in the design; perhaps use ‘pilot’ forms of change management to ensure flexibility for different levels of congregational need and varying environments</w:t>
      </w:r>
    </w:p>
    <w:p w14:paraId="6478D221" w14:textId="77777777" w:rsidR="00C3276D" w:rsidRPr="00FD2E93" w:rsidRDefault="00C3276D" w:rsidP="00BE1D35">
      <w:pPr>
        <w:numPr>
          <w:ilvl w:val="0"/>
          <w:numId w:val="347"/>
        </w:numPr>
        <w:tabs>
          <w:tab w:val="clear" w:pos="720"/>
          <w:tab w:val="num" w:pos="567"/>
        </w:tabs>
        <w:ind w:left="567" w:hanging="567"/>
        <w:rPr>
          <w:rFonts w:ascii="Cambria" w:hAnsi="Cambria"/>
        </w:rPr>
      </w:pPr>
      <w:r w:rsidRPr="00FD2E93">
        <w:rPr>
          <w:rFonts w:ascii="Cambria" w:hAnsi="Cambria"/>
        </w:rPr>
        <w:t>Use the feedback to inform the next stage of design</w:t>
      </w:r>
    </w:p>
    <w:p w14:paraId="0A221C6D" w14:textId="77777777" w:rsidR="00C3276D" w:rsidRPr="00FD2E93" w:rsidRDefault="00C3276D" w:rsidP="00BE1D35">
      <w:pPr>
        <w:numPr>
          <w:ilvl w:val="0"/>
          <w:numId w:val="347"/>
        </w:numPr>
        <w:tabs>
          <w:tab w:val="clear" w:pos="720"/>
          <w:tab w:val="num" w:pos="567"/>
        </w:tabs>
        <w:ind w:left="567" w:hanging="567"/>
        <w:rPr>
          <w:rFonts w:ascii="Cambria" w:hAnsi="Cambria"/>
        </w:rPr>
      </w:pPr>
      <w:r w:rsidRPr="00FD2E93">
        <w:rPr>
          <w:rFonts w:ascii="Cambria" w:hAnsi="Cambria"/>
        </w:rPr>
        <w:t>Use the learnings for the development of the next iteration.</w:t>
      </w:r>
    </w:p>
    <w:p w14:paraId="59A92C4E" w14:textId="77777777" w:rsidR="00C3276D" w:rsidRPr="00FD2E93" w:rsidRDefault="00C3276D" w:rsidP="00C3276D">
      <w:pPr>
        <w:rPr>
          <w:rFonts w:ascii="Cambria" w:hAnsi="Cambria"/>
        </w:rPr>
      </w:pPr>
      <w:r w:rsidRPr="00FD2E93">
        <w:rPr>
          <w:rFonts w:ascii="Cambria" w:hAnsi="Cambria"/>
        </w:rPr>
        <w:t>There may be an opportunity for standardised versions of project management/ stakeholder consultation tools that all service areas could use if the base is generic enough.</w:t>
      </w:r>
    </w:p>
    <w:p w14:paraId="4A159AB4" w14:textId="77777777" w:rsidR="00C3276D" w:rsidRPr="00FD2E93" w:rsidRDefault="00C3276D" w:rsidP="00C3276D">
      <w:pPr>
        <w:tabs>
          <w:tab w:val="num" w:pos="720"/>
        </w:tabs>
        <w:rPr>
          <w:rFonts w:ascii="Cambria" w:hAnsi="Cambria"/>
        </w:rPr>
      </w:pPr>
      <w:r w:rsidRPr="00FD2E93">
        <w:rPr>
          <w:rFonts w:ascii="Cambria" w:hAnsi="Cambria"/>
        </w:rPr>
        <w:t>For more formal annual reporting, the existing reporting of performance against plan is recommended to continue. Increased rigour in the alignment between annual work plans and the Strategic Directions of the Church should ensure that longer-term directions can be realised. Some rolled-up form of this annual reporting is recommended to progress into reporting to Synod, if not already undertaken.</w:t>
      </w:r>
    </w:p>
    <w:p w14:paraId="39DCDA96" w14:textId="77777777" w:rsidR="00C3276D" w:rsidRPr="00FD2E93" w:rsidRDefault="00C3276D" w:rsidP="00C3276D">
      <w:pPr>
        <w:tabs>
          <w:tab w:val="num" w:pos="720"/>
        </w:tabs>
        <w:rPr>
          <w:rFonts w:ascii="Cambria" w:hAnsi="Cambria"/>
        </w:rPr>
      </w:pPr>
      <w:r w:rsidRPr="00FD2E93">
        <w:rPr>
          <w:rFonts w:ascii="Cambria" w:hAnsi="Cambria"/>
        </w:rPr>
        <w:t>For GCC, it is suggested that a dashboard of ‘hard data’ can be gradually be developed as the Church’s reporting system capacities build with HRS. This will enable trend analysis year-on-year. Typical matters that could be monitored this way, in time, would be:</w:t>
      </w:r>
    </w:p>
    <w:p w14:paraId="68BA753F" w14:textId="77777777" w:rsidR="00C3276D" w:rsidRPr="00FD2E93" w:rsidRDefault="00C3276D" w:rsidP="00BE1D35">
      <w:pPr>
        <w:pStyle w:val="ListParagraph"/>
        <w:numPr>
          <w:ilvl w:val="0"/>
          <w:numId w:val="348"/>
        </w:numPr>
        <w:spacing w:line="259" w:lineRule="auto"/>
        <w:ind w:left="567" w:hanging="567"/>
        <w:rPr>
          <w:rFonts w:ascii="Cambria" w:hAnsi="Cambria"/>
        </w:rPr>
      </w:pPr>
      <w:r w:rsidRPr="00FD2E93">
        <w:rPr>
          <w:rFonts w:ascii="Cambria" w:hAnsi="Cambria"/>
        </w:rPr>
        <w:t>Church Worker turnover</w:t>
      </w:r>
    </w:p>
    <w:p w14:paraId="5430DA09" w14:textId="77777777" w:rsidR="00C3276D" w:rsidRPr="00FD2E93" w:rsidRDefault="00C3276D" w:rsidP="00BE1D35">
      <w:pPr>
        <w:pStyle w:val="ListParagraph"/>
        <w:numPr>
          <w:ilvl w:val="0"/>
          <w:numId w:val="348"/>
        </w:numPr>
        <w:spacing w:line="259" w:lineRule="auto"/>
        <w:ind w:left="567" w:hanging="567"/>
        <w:rPr>
          <w:rFonts w:ascii="Cambria" w:hAnsi="Cambria"/>
        </w:rPr>
      </w:pPr>
      <w:r w:rsidRPr="00FD2E93">
        <w:rPr>
          <w:rFonts w:ascii="Cambria" w:hAnsi="Cambria"/>
        </w:rPr>
        <w:t>Training completions/ days</w:t>
      </w:r>
    </w:p>
    <w:p w14:paraId="7129778A" w14:textId="77777777" w:rsidR="00C3276D" w:rsidRPr="00FD2E93" w:rsidRDefault="00C3276D" w:rsidP="00BE1D35">
      <w:pPr>
        <w:pStyle w:val="ListParagraph"/>
        <w:numPr>
          <w:ilvl w:val="0"/>
          <w:numId w:val="348"/>
        </w:numPr>
        <w:spacing w:line="259" w:lineRule="auto"/>
        <w:ind w:left="567" w:hanging="567"/>
        <w:rPr>
          <w:rFonts w:ascii="Cambria" w:hAnsi="Cambria"/>
        </w:rPr>
      </w:pPr>
      <w:r w:rsidRPr="00FD2E93">
        <w:rPr>
          <w:rFonts w:ascii="Cambria" w:hAnsi="Cambria"/>
        </w:rPr>
        <w:t>Workplace satisfaction</w:t>
      </w:r>
    </w:p>
    <w:p w14:paraId="5EDBD507" w14:textId="77777777" w:rsidR="00C3276D" w:rsidRPr="00FD2E93" w:rsidRDefault="00C3276D" w:rsidP="00BE1D35">
      <w:pPr>
        <w:pStyle w:val="ListParagraph"/>
        <w:numPr>
          <w:ilvl w:val="0"/>
          <w:numId w:val="348"/>
        </w:numPr>
        <w:spacing w:line="259" w:lineRule="auto"/>
        <w:ind w:left="567" w:hanging="567"/>
        <w:rPr>
          <w:rFonts w:ascii="Cambria" w:hAnsi="Cambria"/>
        </w:rPr>
      </w:pPr>
      <w:r w:rsidRPr="00FD2E93">
        <w:rPr>
          <w:rFonts w:ascii="Cambria" w:hAnsi="Cambria"/>
        </w:rPr>
        <w:t>Congregational/ ‘customer’ satisfaction</w:t>
      </w:r>
    </w:p>
    <w:p w14:paraId="32885CF6" w14:textId="77777777" w:rsidR="00C3276D" w:rsidRPr="00FD2E93" w:rsidRDefault="00C3276D" w:rsidP="00BE1D35">
      <w:pPr>
        <w:pStyle w:val="ListParagraph"/>
        <w:numPr>
          <w:ilvl w:val="0"/>
          <w:numId w:val="348"/>
        </w:numPr>
        <w:spacing w:line="259" w:lineRule="auto"/>
        <w:ind w:left="567" w:hanging="567"/>
        <w:rPr>
          <w:rFonts w:ascii="Cambria" w:hAnsi="Cambria"/>
        </w:rPr>
      </w:pPr>
      <w:r w:rsidRPr="00FD2E93">
        <w:rPr>
          <w:rFonts w:ascii="Cambria" w:hAnsi="Cambria"/>
        </w:rPr>
        <w:t>WHS incident data</w:t>
      </w:r>
    </w:p>
    <w:p w14:paraId="34632707" w14:textId="7EF1846D" w:rsidR="00C3276D" w:rsidRPr="00FD2E93" w:rsidRDefault="00C3276D" w:rsidP="00BE1D35">
      <w:pPr>
        <w:pStyle w:val="ListParagraph"/>
        <w:numPr>
          <w:ilvl w:val="0"/>
          <w:numId w:val="348"/>
        </w:numPr>
        <w:spacing w:line="259" w:lineRule="auto"/>
        <w:ind w:left="567" w:hanging="567"/>
        <w:rPr>
          <w:rFonts w:ascii="Cambria" w:hAnsi="Cambria"/>
        </w:rPr>
      </w:pPr>
      <w:r w:rsidRPr="00FD2E93">
        <w:rPr>
          <w:rFonts w:ascii="Cambria" w:hAnsi="Cambria"/>
        </w:rPr>
        <w:t xml:space="preserve">Various workplace liabilities </w:t>
      </w:r>
      <w:r w:rsidR="00BE1D35" w:rsidRPr="00FD2E93">
        <w:rPr>
          <w:rFonts w:ascii="Cambria" w:hAnsi="Cambria"/>
        </w:rPr>
        <w:t>e.g.</w:t>
      </w:r>
      <w:r w:rsidRPr="00FD2E93">
        <w:rPr>
          <w:rFonts w:ascii="Cambria" w:hAnsi="Cambria"/>
        </w:rPr>
        <w:t xml:space="preserve"> annual leave accruals, long service liabilities</w:t>
      </w:r>
    </w:p>
    <w:p w14:paraId="5ADD1354" w14:textId="77777777" w:rsidR="00C3276D" w:rsidRPr="00FD2E93" w:rsidRDefault="00C3276D" w:rsidP="00BE1D35">
      <w:pPr>
        <w:pStyle w:val="ListParagraph"/>
        <w:numPr>
          <w:ilvl w:val="0"/>
          <w:numId w:val="348"/>
        </w:numPr>
        <w:spacing w:line="259" w:lineRule="auto"/>
        <w:ind w:left="567" w:hanging="567"/>
        <w:rPr>
          <w:rFonts w:ascii="Cambria" w:hAnsi="Cambria"/>
        </w:rPr>
      </w:pPr>
      <w:r w:rsidRPr="00FD2E93">
        <w:rPr>
          <w:rFonts w:ascii="Cambria" w:hAnsi="Cambria"/>
        </w:rPr>
        <w:t>Pastor development days/ units of study</w:t>
      </w:r>
    </w:p>
    <w:p w14:paraId="6E3B6AE9" w14:textId="77777777" w:rsidR="00C3276D" w:rsidRPr="00FD2E93" w:rsidRDefault="00C3276D" w:rsidP="00BE1D35">
      <w:pPr>
        <w:pStyle w:val="ListParagraph"/>
        <w:numPr>
          <w:ilvl w:val="0"/>
          <w:numId w:val="348"/>
        </w:numPr>
        <w:spacing w:line="259" w:lineRule="auto"/>
        <w:ind w:left="567" w:hanging="567"/>
        <w:rPr>
          <w:rFonts w:ascii="Cambria" w:hAnsi="Cambria"/>
        </w:rPr>
      </w:pPr>
      <w:r w:rsidRPr="00FD2E93">
        <w:rPr>
          <w:rFonts w:ascii="Cambria" w:hAnsi="Cambria"/>
        </w:rPr>
        <w:t>Conduct of performance reviews; timeliness of completion.</w:t>
      </w:r>
    </w:p>
    <w:p w14:paraId="78814DF9" w14:textId="77777777" w:rsidR="00C3276D" w:rsidRPr="00FD2E93" w:rsidRDefault="00C3276D" w:rsidP="00C3276D">
      <w:pPr>
        <w:tabs>
          <w:tab w:val="num" w:pos="720"/>
        </w:tabs>
        <w:rPr>
          <w:rFonts w:ascii="Cambria" w:hAnsi="Cambria"/>
        </w:rPr>
      </w:pPr>
      <w:r w:rsidRPr="00FD2E93">
        <w:rPr>
          <w:rFonts w:ascii="Cambria" w:hAnsi="Cambria"/>
        </w:rPr>
        <w:t>The Church may wish to integrate other data/ information relating to Church membership and participation, so that a single snapshot tool is readily available to inform planning for strategic directions and decision-making.</w:t>
      </w:r>
    </w:p>
    <w:p w14:paraId="25835FBC" w14:textId="266273EB" w:rsidR="000855E6" w:rsidRDefault="00C3276D" w:rsidP="000A734E">
      <w:pPr>
        <w:pStyle w:val="Heading1"/>
        <w:tabs>
          <w:tab w:val="left" w:pos="567"/>
          <w:tab w:val="left" w:pos="1134"/>
          <w:tab w:val="left" w:pos="1701"/>
          <w:tab w:val="left" w:pos="2552"/>
          <w:tab w:val="left" w:pos="3119"/>
        </w:tabs>
      </w:pPr>
      <w:r>
        <w:br w:type="page"/>
      </w:r>
      <w:r w:rsidR="000855E6" w:rsidRPr="00FD2E93">
        <w:lastRenderedPageBreak/>
        <w:t xml:space="preserve">AGENDA </w:t>
      </w:r>
      <w:r w:rsidR="000855E6" w:rsidRPr="00C3276D">
        <w:t>DOCUMENT</w:t>
      </w:r>
      <w:r w:rsidR="000855E6">
        <w:t xml:space="preserve"> 2</w:t>
      </w:r>
    </w:p>
    <w:p w14:paraId="3BFC7847" w14:textId="77777777" w:rsidR="000855E6" w:rsidRDefault="000855E6" w:rsidP="000A734E">
      <w:pPr>
        <w:pStyle w:val="NoSpacing"/>
        <w:tabs>
          <w:tab w:val="left" w:pos="567"/>
          <w:tab w:val="left" w:pos="1134"/>
          <w:tab w:val="left" w:pos="1701"/>
          <w:tab w:val="left" w:pos="2552"/>
          <w:tab w:val="left" w:pos="3119"/>
        </w:tabs>
      </w:pPr>
    </w:p>
    <w:p w14:paraId="737A3852" w14:textId="0DF770E9" w:rsidR="00BA7F24" w:rsidRDefault="00BA7F24" w:rsidP="00BA7F24">
      <w:pPr>
        <w:pStyle w:val="NoSpacing"/>
      </w:pPr>
    </w:p>
    <w:p w14:paraId="68B35982" w14:textId="32846CBC" w:rsidR="00BA7F24" w:rsidRPr="00BA7F24" w:rsidRDefault="00BA7F24" w:rsidP="00BA7F24">
      <w:pPr>
        <w:pStyle w:val="NoSpacing"/>
        <w:rPr>
          <w:b/>
          <w:sz w:val="40"/>
          <w:szCs w:val="40"/>
        </w:rPr>
      </w:pPr>
      <w:r w:rsidRPr="00BA7F24">
        <w:rPr>
          <w:b/>
          <w:sz w:val="40"/>
          <w:szCs w:val="40"/>
        </w:rPr>
        <w:t>Governing Bodies and National Functions: Terms of Reference</w:t>
      </w:r>
    </w:p>
    <w:p w14:paraId="51C8B054" w14:textId="77777777" w:rsidR="000855E6" w:rsidRDefault="000855E6" w:rsidP="000A734E">
      <w:pPr>
        <w:tabs>
          <w:tab w:val="left" w:pos="567"/>
          <w:tab w:val="left" w:pos="1134"/>
          <w:tab w:val="left" w:pos="1418"/>
          <w:tab w:val="left" w:pos="1701"/>
          <w:tab w:val="left" w:pos="2552"/>
          <w:tab w:val="left" w:pos="3119"/>
          <w:tab w:val="left" w:pos="3969"/>
        </w:tabs>
        <w:spacing w:after="0" w:line="240" w:lineRule="auto"/>
        <w:rPr>
          <w:b/>
          <w:sz w:val="28"/>
          <w:szCs w:val="28"/>
        </w:rPr>
      </w:pPr>
    </w:p>
    <w:p w14:paraId="0C3A99BB" w14:textId="3C6A9989" w:rsidR="00D63B36" w:rsidRPr="00D63B36" w:rsidRDefault="00D63B36" w:rsidP="00D63B36">
      <w:pPr>
        <w:pStyle w:val="NoSpacing"/>
      </w:pPr>
    </w:p>
    <w:p w14:paraId="1B2163CE" w14:textId="6D6C0A2D" w:rsidR="000855E6" w:rsidRPr="00D27D31" w:rsidRDefault="000855E6" w:rsidP="00D63B36">
      <w:pPr>
        <w:pStyle w:val="Heading2"/>
      </w:pPr>
      <w:r w:rsidRPr="00D27D31">
        <w:t>COMMITTEE FOR CHILD,</w:t>
      </w:r>
      <w:r>
        <w:t xml:space="preserve"> </w:t>
      </w:r>
      <w:r w:rsidR="00E85ED0">
        <w:t xml:space="preserve">YOUTH AND FAMILY </w:t>
      </w:r>
      <w:r w:rsidRPr="00D27D31">
        <w:t>MINISTRY</w:t>
      </w:r>
    </w:p>
    <w:p w14:paraId="6AFE8EC7" w14:textId="77777777" w:rsidR="000855E6" w:rsidRDefault="000855E6" w:rsidP="000A734E">
      <w:pPr>
        <w:tabs>
          <w:tab w:val="left" w:pos="567"/>
          <w:tab w:val="left" w:pos="1134"/>
          <w:tab w:val="left" w:pos="1418"/>
          <w:tab w:val="left" w:pos="1701"/>
          <w:tab w:val="left" w:pos="2552"/>
          <w:tab w:val="left" w:pos="3119"/>
          <w:tab w:val="left" w:pos="3969"/>
        </w:tabs>
        <w:spacing w:after="0" w:line="240" w:lineRule="auto"/>
        <w:rPr>
          <w:b/>
        </w:rPr>
      </w:pPr>
    </w:p>
    <w:p w14:paraId="37D29EC8" w14:textId="6D3850A5" w:rsidR="000855E6" w:rsidRPr="00D63B36" w:rsidRDefault="000855E6" w:rsidP="00D63B36">
      <w:pPr>
        <w:pStyle w:val="Heading3"/>
      </w:pPr>
      <w:r w:rsidRPr="00D63B36">
        <w:t>Terms of Reference</w:t>
      </w:r>
    </w:p>
    <w:p w14:paraId="262228D6" w14:textId="77777777" w:rsidR="000855E6" w:rsidRPr="00A646B0" w:rsidRDefault="000855E6" w:rsidP="000A734E">
      <w:pPr>
        <w:tabs>
          <w:tab w:val="left" w:pos="567"/>
          <w:tab w:val="left" w:pos="1134"/>
          <w:tab w:val="left" w:pos="1418"/>
          <w:tab w:val="left" w:pos="1701"/>
          <w:tab w:val="left" w:pos="2552"/>
          <w:tab w:val="left" w:pos="3119"/>
          <w:tab w:val="left" w:pos="3969"/>
        </w:tabs>
        <w:spacing w:after="0" w:line="240" w:lineRule="auto"/>
        <w:ind w:left="1440" w:hanging="1440"/>
        <w:jc w:val="center"/>
        <w:rPr>
          <w:b/>
        </w:rPr>
      </w:pPr>
    </w:p>
    <w:p w14:paraId="3757816F" w14:textId="77777777" w:rsidR="00D63B36" w:rsidRPr="00260136" w:rsidRDefault="00D63B36" w:rsidP="00D63B36">
      <w:pPr>
        <w:tabs>
          <w:tab w:val="left" w:pos="567"/>
          <w:tab w:val="left" w:pos="1418"/>
          <w:tab w:val="left" w:pos="2268"/>
          <w:tab w:val="left" w:pos="3119"/>
          <w:tab w:val="left" w:pos="3969"/>
        </w:tabs>
        <w:spacing w:after="0" w:line="240" w:lineRule="auto"/>
        <w:ind w:left="567" w:hanging="567"/>
        <w:rPr>
          <w:rFonts w:ascii="Cambria" w:hAnsi="Cambria"/>
          <w:b/>
        </w:rPr>
      </w:pPr>
      <w:r w:rsidRPr="00260136">
        <w:rPr>
          <w:rFonts w:ascii="Cambria" w:hAnsi="Cambria"/>
          <w:b/>
        </w:rPr>
        <w:t>1.</w:t>
      </w:r>
      <w:r w:rsidRPr="00260136">
        <w:rPr>
          <w:rFonts w:ascii="Cambria" w:hAnsi="Cambria"/>
          <w:b/>
        </w:rPr>
        <w:tab/>
        <w:t>NAME</w:t>
      </w:r>
    </w:p>
    <w:p w14:paraId="330D57D1" w14:textId="77777777" w:rsidR="00D63B36" w:rsidRPr="00260136" w:rsidRDefault="00D63B36" w:rsidP="00D63B36">
      <w:pPr>
        <w:tabs>
          <w:tab w:val="left" w:pos="567"/>
          <w:tab w:val="left" w:pos="1418"/>
          <w:tab w:val="left" w:pos="2268"/>
          <w:tab w:val="left" w:pos="3119"/>
          <w:tab w:val="left" w:pos="3969"/>
        </w:tabs>
        <w:spacing w:after="0" w:line="240" w:lineRule="auto"/>
        <w:ind w:left="567" w:hanging="567"/>
        <w:rPr>
          <w:rFonts w:ascii="Cambria" w:hAnsi="Cambria"/>
        </w:rPr>
      </w:pPr>
      <w:r w:rsidRPr="00260136">
        <w:rPr>
          <w:rFonts w:ascii="Cambria" w:hAnsi="Cambria"/>
        </w:rPr>
        <w:tab/>
        <w:t>Committee for Child, Youth and Family Ministry, referred to as “the Committee”.</w:t>
      </w:r>
    </w:p>
    <w:p w14:paraId="21EEB442" w14:textId="77777777" w:rsidR="00D63B36" w:rsidRPr="00260136" w:rsidRDefault="00D63B36" w:rsidP="00D63B36">
      <w:pPr>
        <w:tabs>
          <w:tab w:val="left" w:pos="567"/>
          <w:tab w:val="left" w:pos="1418"/>
          <w:tab w:val="left" w:pos="2268"/>
          <w:tab w:val="left" w:pos="3119"/>
          <w:tab w:val="left" w:pos="3969"/>
        </w:tabs>
        <w:spacing w:after="0" w:line="240" w:lineRule="auto"/>
        <w:ind w:left="567" w:hanging="567"/>
        <w:rPr>
          <w:rFonts w:ascii="Cambria" w:hAnsi="Cambria"/>
        </w:rPr>
      </w:pPr>
    </w:p>
    <w:p w14:paraId="5D861ED1" w14:textId="460D024E" w:rsidR="00D63B36" w:rsidRPr="00260136" w:rsidRDefault="00D63B36" w:rsidP="00D63B36">
      <w:pPr>
        <w:tabs>
          <w:tab w:val="left" w:pos="567"/>
          <w:tab w:val="left" w:pos="1418"/>
          <w:tab w:val="left" w:pos="2268"/>
          <w:tab w:val="left" w:pos="3119"/>
          <w:tab w:val="left" w:pos="3969"/>
        </w:tabs>
        <w:spacing w:after="0" w:line="240" w:lineRule="auto"/>
        <w:ind w:left="567" w:hanging="567"/>
        <w:rPr>
          <w:rFonts w:ascii="Cambria" w:hAnsi="Cambria"/>
          <w:b/>
        </w:rPr>
      </w:pPr>
      <w:r>
        <w:rPr>
          <w:rFonts w:ascii="Cambria" w:hAnsi="Cambria"/>
          <w:b/>
        </w:rPr>
        <w:t>2.</w:t>
      </w:r>
      <w:r>
        <w:rPr>
          <w:rFonts w:ascii="Cambria" w:hAnsi="Cambria"/>
          <w:b/>
        </w:rPr>
        <w:tab/>
        <w:t>RELATIONSHIP</w:t>
      </w:r>
      <w:r w:rsidRPr="00260136">
        <w:rPr>
          <w:rFonts w:ascii="Cambria" w:hAnsi="Cambria"/>
          <w:b/>
        </w:rPr>
        <w:t xml:space="preserve"> </w:t>
      </w:r>
      <w:r>
        <w:rPr>
          <w:rFonts w:ascii="Cambria" w:hAnsi="Cambria"/>
          <w:b/>
        </w:rPr>
        <w:t>TO</w:t>
      </w:r>
      <w:r w:rsidRPr="00260136">
        <w:rPr>
          <w:rFonts w:ascii="Cambria" w:hAnsi="Cambria"/>
          <w:b/>
        </w:rPr>
        <w:t xml:space="preserve"> THE CHURCH</w:t>
      </w:r>
    </w:p>
    <w:p w14:paraId="7D5925C4" w14:textId="77777777" w:rsidR="00D63B36" w:rsidRPr="00260136" w:rsidRDefault="00D63B36" w:rsidP="00D63B36">
      <w:pPr>
        <w:tabs>
          <w:tab w:val="left" w:pos="567"/>
          <w:tab w:val="left" w:pos="1418"/>
          <w:tab w:val="left" w:pos="2268"/>
          <w:tab w:val="left" w:pos="3119"/>
          <w:tab w:val="left" w:pos="3969"/>
        </w:tabs>
        <w:spacing w:after="0" w:line="240" w:lineRule="auto"/>
        <w:ind w:left="567" w:hanging="567"/>
        <w:rPr>
          <w:rFonts w:ascii="Cambria" w:hAnsi="Cambria"/>
        </w:rPr>
      </w:pPr>
      <w:r w:rsidRPr="00260136">
        <w:rPr>
          <w:rFonts w:ascii="Cambria" w:hAnsi="Cambria"/>
          <w:b/>
        </w:rPr>
        <w:tab/>
      </w:r>
      <w:r w:rsidRPr="00260136">
        <w:rPr>
          <w:rFonts w:ascii="Cambria" w:hAnsi="Cambria"/>
        </w:rPr>
        <w:t xml:space="preserve">The Committee is a committee of the Council for Local Mission, referred to as “the Council”, and shall fulfil its responsibilities in keeping with the Constitution and the policies of the Church. </w:t>
      </w:r>
    </w:p>
    <w:p w14:paraId="600ADB58" w14:textId="77777777" w:rsidR="00D63B36" w:rsidRPr="00260136" w:rsidRDefault="00D63B36" w:rsidP="00D63B36">
      <w:pPr>
        <w:tabs>
          <w:tab w:val="left" w:pos="567"/>
          <w:tab w:val="left" w:pos="1418"/>
          <w:tab w:val="left" w:pos="2268"/>
          <w:tab w:val="left" w:pos="3119"/>
          <w:tab w:val="left" w:pos="3969"/>
        </w:tabs>
        <w:spacing w:after="0" w:line="240" w:lineRule="auto"/>
        <w:ind w:left="567" w:hanging="567"/>
        <w:rPr>
          <w:rFonts w:ascii="Cambria" w:hAnsi="Cambria"/>
        </w:rPr>
      </w:pPr>
    </w:p>
    <w:p w14:paraId="1B8DA4A6" w14:textId="77777777" w:rsidR="00D63B36" w:rsidRPr="00260136" w:rsidRDefault="00D63B36" w:rsidP="00D63B36">
      <w:pPr>
        <w:tabs>
          <w:tab w:val="left" w:pos="567"/>
          <w:tab w:val="left" w:pos="1418"/>
          <w:tab w:val="left" w:pos="2268"/>
          <w:tab w:val="left" w:pos="3119"/>
          <w:tab w:val="left" w:pos="3969"/>
        </w:tabs>
        <w:spacing w:after="0" w:line="240" w:lineRule="auto"/>
        <w:ind w:left="567" w:hanging="567"/>
        <w:rPr>
          <w:rFonts w:ascii="Cambria" w:hAnsi="Cambria"/>
          <w:b/>
        </w:rPr>
      </w:pPr>
      <w:r w:rsidRPr="00260136">
        <w:rPr>
          <w:rFonts w:ascii="Cambria" w:hAnsi="Cambria"/>
          <w:b/>
        </w:rPr>
        <w:t>3.</w:t>
      </w:r>
      <w:r w:rsidRPr="00260136">
        <w:rPr>
          <w:rFonts w:ascii="Cambria" w:hAnsi="Cambria"/>
          <w:b/>
        </w:rPr>
        <w:tab/>
        <w:t>PURPOSE</w:t>
      </w:r>
    </w:p>
    <w:p w14:paraId="23F23A71" w14:textId="77777777" w:rsidR="00D63B36" w:rsidRPr="00260136" w:rsidRDefault="00D63B36" w:rsidP="00D63B36">
      <w:pPr>
        <w:tabs>
          <w:tab w:val="left" w:pos="567"/>
          <w:tab w:val="left" w:pos="1418"/>
          <w:tab w:val="left" w:pos="2268"/>
          <w:tab w:val="left" w:pos="3119"/>
          <w:tab w:val="left" w:pos="3969"/>
        </w:tabs>
        <w:spacing w:after="0" w:line="240" w:lineRule="auto"/>
        <w:ind w:left="1418" w:hanging="1418"/>
        <w:rPr>
          <w:rFonts w:ascii="Cambria" w:hAnsi="Cambria"/>
        </w:rPr>
      </w:pPr>
      <w:r w:rsidRPr="00260136">
        <w:rPr>
          <w:rFonts w:ascii="Cambria" w:hAnsi="Cambria"/>
        </w:rPr>
        <w:tab/>
        <w:t>3.1</w:t>
      </w:r>
      <w:r w:rsidRPr="00260136">
        <w:rPr>
          <w:rFonts w:ascii="Cambria" w:hAnsi="Cambria"/>
        </w:rPr>
        <w:tab/>
        <w:t xml:space="preserve">The Committee shall assist the Council to strengthen, support and maintain relevance in ministries to children, young people and families within the Church. </w:t>
      </w:r>
    </w:p>
    <w:p w14:paraId="1EB8B521" w14:textId="77777777" w:rsidR="00D63B36" w:rsidRPr="00260136" w:rsidRDefault="00D63B36" w:rsidP="00D63B36">
      <w:pPr>
        <w:tabs>
          <w:tab w:val="left" w:pos="567"/>
          <w:tab w:val="left" w:pos="1418"/>
          <w:tab w:val="left" w:pos="2268"/>
          <w:tab w:val="left" w:pos="3119"/>
          <w:tab w:val="left" w:pos="3969"/>
        </w:tabs>
        <w:spacing w:after="0" w:line="240" w:lineRule="auto"/>
        <w:ind w:left="1418" w:hanging="1418"/>
        <w:rPr>
          <w:rFonts w:ascii="Cambria" w:hAnsi="Cambria"/>
        </w:rPr>
      </w:pPr>
      <w:r w:rsidRPr="00260136">
        <w:rPr>
          <w:rFonts w:ascii="Cambria" w:hAnsi="Cambria"/>
        </w:rPr>
        <w:tab/>
        <w:t>3.2</w:t>
      </w:r>
      <w:r w:rsidRPr="00260136">
        <w:rPr>
          <w:rFonts w:ascii="Cambria" w:hAnsi="Cambria"/>
        </w:rPr>
        <w:tab/>
        <w:t>The Committee shall operate under the authority of the Council, working with and supporting the Grow Ministries Director and Department in its advocacy for child, youth and family ministries, in providing the Council with specific information and advice.</w:t>
      </w:r>
    </w:p>
    <w:p w14:paraId="2F096FAE" w14:textId="77777777" w:rsidR="00D63B36" w:rsidRPr="00260136" w:rsidRDefault="00D63B36" w:rsidP="00D63B36">
      <w:pPr>
        <w:tabs>
          <w:tab w:val="left" w:pos="567"/>
          <w:tab w:val="left" w:pos="1418"/>
          <w:tab w:val="left" w:pos="2268"/>
          <w:tab w:val="left" w:pos="3119"/>
          <w:tab w:val="left" w:pos="3969"/>
        </w:tabs>
        <w:spacing w:after="0" w:line="240" w:lineRule="auto"/>
        <w:ind w:left="567" w:hanging="567"/>
        <w:rPr>
          <w:rFonts w:ascii="Cambria" w:hAnsi="Cambria"/>
        </w:rPr>
      </w:pPr>
      <w:r w:rsidRPr="00260136">
        <w:rPr>
          <w:rFonts w:ascii="Cambria" w:hAnsi="Cambria"/>
        </w:rPr>
        <w:tab/>
        <w:t>3.3</w:t>
      </w:r>
      <w:r w:rsidRPr="00260136">
        <w:rPr>
          <w:rFonts w:ascii="Cambria" w:hAnsi="Cambria"/>
        </w:rPr>
        <w:tab/>
        <w:t>The work of the Committee is underpinned by scriptural mandates to</w:t>
      </w:r>
    </w:p>
    <w:p w14:paraId="180E44FF" w14:textId="77777777" w:rsidR="00D63B36" w:rsidRPr="00260136" w:rsidRDefault="00D63B36" w:rsidP="00D63B36">
      <w:pPr>
        <w:tabs>
          <w:tab w:val="left" w:pos="567"/>
          <w:tab w:val="left" w:pos="1418"/>
          <w:tab w:val="left" w:pos="2268"/>
          <w:tab w:val="left" w:pos="3119"/>
          <w:tab w:val="left" w:pos="3969"/>
        </w:tabs>
        <w:spacing w:after="0" w:line="240" w:lineRule="auto"/>
        <w:ind w:left="2268" w:hanging="2268"/>
        <w:rPr>
          <w:rFonts w:ascii="Cambria" w:hAnsi="Cambria"/>
        </w:rPr>
      </w:pPr>
      <w:r w:rsidRPr="00260136">
        <w:rPr>
          <w:rFonts w:ascii="Cambria" w:hAnsi="Cambria"/>
        </w:rPr>
        <w:tab/>
      </w:r>
      <w:r w:rsidRPr="00260136">
        <w:rPr>
          <w:rFonts w:ascii="Cambria" w:hAnsi="Cambria"/>
        </w:rPr>
        <w:tab/>
        <w:t>3.3.1</w:t>
      </w:r>
      <w:r w:rsidRPr="00260136">
        <w:rPr>
          <w:rFonts w:ascii="Cambria" w:hAnsi="Cambria"/>
        </w:rPr>
        <w:tab/>
        <w:t>support children, youth and families to live in their baptism and grow in Christ;</w:t>
      </w:r>
    </w:p>
    <w:p w14:paraId="7679BBDB" w14:textId="77777777" w:rsidR="00D63B36" w:rsidRPr="00260136" w:rsidRDefault="00D63B36" w:rsidP="00D63B36">
      <w:pPr>
        <w:tabs>
          <w:tab w:val="left" w:pos="567"/>
          <w:tab w:val="left" w:pos="1418"/>
          <w:tab w:val="left" w:pos="2268"/>
          <w:tab w:val="left" w:pos="3119"/>
          <w:tab w:val="left" w:pos="3969"/>
        </w:tabs>
        <w:spacing w:after="0" w:line="240" w:lineRule="auto"/>
        <w:ind w:left="2268" w:hanging="2268"/>
        <w:rPr>
          <w:rFonts w:ascii="Cambria" w:hAnsi="Cambria"/>
        </w:rPr>
      </w:pPr>
      <w:r w:rsidRPr="00260136">
        <w:rPr>
          <w:rFonts w:ascii="Cambria" w:hAnsi="Cambria"/>
        </w:rPr>
        <w:tab/>
      </w:r>
      <w:r w:rsidRPr="00260136">
        <w:rPr>
          <w:rFonts w:ascii="Cambria" w:hAnsi="Cambria"/>
        </w:rPr>
        <w:tab/>
        <w:t>3.3.2</w:t>
      </w:r>
      <w:r w:rsidRPr="00260136">
        <w:rPr>
          <w:rFonts w:ascii="Cambria" w:hAnsi="Cambria"/>
        </w:rPr>
        <w:tab/>
        <w:t>participate in mission and ministry, and serve others in his name;  and</w:t>
      </w:r>
    </w:p>
    <w:p w14:paraId="3728BCDE" w14:textId="77777777" w:rsidR="00D63B36" w:rsidRPr="00260136" w:rsidRDefault="00D63B36" w:rsidP="00D63B36">
      <w:pPr>
        <w:tabs>
          <w:tab w:val="left" w:pos="567"/>
          <w:tab w:val="left" w:pos="1418"/>
          <w:tab w:val="left" w:pos="2268"/>
          <w:tab w:val="left" w:pos="3119"/>
          <w:tab w:val="left" w:pos="3969"/>
        </w:tabs>
        <w:spacing w:after="0" w:line="240" w:lineRule="auto"/>
        <w:ind w:left="2268" w:hanging="2268"/>
        <w:rPr>
          <w:rFonts w:ascii="Cambria" w:hAnsi="Cambria"/>
        </w:rPr>
      </w:pPr>
      <w:r w:rsidRPr="00260136">
        <w:rPr>
          <w:rFonts w:ascii="Cambria" w:hAnsi="Cambria"/>
        </w:rPr>
        <w:tab/>
      </w:r>
      <w:r w:rsidRPr="00260136">
        <w:rPr>
          <w:rFonts w:ascii="Cambria" w:hAnsi="Cambria"/>
        </w:rPr>
        <w:tab/>
        <w:t>3.3.3</w:t>
      </w:r>
      <w:r w:rsidRPr="00260136">
        <w:rPr>
          <w:rFonts w:ascii="Cambria" w:hAnsi="Cambria"/>
        </w:rPr>
        <w:tab/>
        <w:t>provide intergenerational support for relationships that build up a practising faith.</w:t>
      </w:r>
    </w:p>
    <w:p w14:paraId="30E25150" w14:textId="77777777" w:rsidR="00D63B36" w:rsidRPr="00260136" w:rsidRDefault="00D63B36" w:rsidP="00D63B36">
      <w:pPr>
        <w:tabs>
          <w:tab w:val="left" w:pos="567"/>
          <w:tab w:val="left" w:pos="1418"/>
          <w:tab w:val="left" w:pos="2268"/>
          <w:tab w:val="left" w:pos="3119"/>
          <w:tab w:val="left" w:pos="3969"/>
        </w:tabs>
        <w:spacing w:after="0" w:line="240" w:lineRule="auto"/>
        <w:ind w:left="567" w:hanging="567"/>
        <w:rPr>
          <w:rFonts w:ascii="Cambria" w:hAnsi="Cambria"/>
        </w:rPr>
      </w:pPr>
    </w:p>
    <w:p w14:paraId="75563A88" w14:textId="77777777" w:rsidR="00D63B36" w:rsidRPr="00260136" w:rsidRDefault="00D63B36" w:rsidP="00D63B36">
      <w:pPr>
        <w:tabs>
          <w:tab w:val="left" w:pos="567"/>
          <w:tab w:val="left" w:pos="1418"/>
          <w:tab w:val="left" w:pos="2268"/>
          <w:tab w:val="left" w:pos="3119"/>
          <w:tab w:val="left" w:pos="3969"/>
        </w:tabs>
        <w:spacing w:after="0" w:line="240" w:lineRule="auto"/>
        <w:ind w:left="567" w:hanging="567"/>
        <w:rPr>
          <w:rFonts w:ascii="Cambria" w:hAnsi="Cambria"/>
          <w:b/>
        </w:rPr>
      </w:pPr>
      <w:r w:rsidRPr="00260136">
        <w:rPr>
          <w:rFonts w:ascii="Cambria" w:hAnsi="Cambria"/>
          <w:b/>
        </w:rPr>
        <w:t>4.</w:t>
      </w:r>
      <w:r w:rsidRPr="00260136">
        <w:rPr>
          <w:rFonts w:ascii="Cambria" w:hAnsi="Cambria"/>
          <w:b/>
        </w:rPr>
        <w:tab/>
        <w:t>AUTHORITY</w:t>
      </w:r>
    </w:p>
    <w:p w14:paraId="081076C2" w14:textId="77777777" w:rsidR="00D63B36" w:rsidRPr="00260136" w:rsidRDefault="00D63B36" w:rsidP="00D63B36">
      <w:pPr>
        <w:tabs>
          <w:tab w:val="left" w:pos="567"/>
          <w:tab w:val="left" w:pos="1418"/>
          <w:tab w:val="left" w:pos="2268"/>
          <w:tab w:val="left" w:pos="3119"/>
          <w:tab w:val="left" w:pos="3969"/>
        </w:tabs>
        <w:spacing w:after="0" w:line="240" w:lineRule="auto"/>
        <w:ind w:left="1418" w:hanging="1418"/>
        <w:rPr>
          <w:rFonts w:ascii="Cambria" w:hAnsi="Cambria"/>
        </w:rPr>
      </w:pPr>
      <w:r w:rsidRPr="00260136">
        <w:rPr>
          <w:rFonts w:ascii="Cambria" w:hAnsi="Cambria"/>
        </w:rPr>
        <w:tab/>
        <w:t>4.1</w:t>
      </w:r>
      <w:r w:rsidRPr="00260136">
        <w:rPr>
          <w:rFonts w:ascii="Cambria" w:hAnsi="Cambria"/>
        </w:rPr>
        <w:tab/>
        <w:t>The Committee may recommend to the Council such approaches and actions based on its considered assessment of opportunity, priority and need.</w:t>
      </w:r>
    </w:p>
    <w:p w14:paraId="7AA8B3FC" w14:textId="77777777" w:rsidR="00D63B36" w:rsidRPr="00260136" w:rsidRDefault="00D63B36" w:rsidP="00D63B36">
      <w:pPr>
        <w:tabs>
          <w:tab w:val="left" w:pos="567"/>
          <w:tab w:val="left" w:pos="1418"/>
          <w:tab w:val="left" w:pos="2268"/>
          <w:tab w:val="left" w:pos="3119"/>
          <w:tab w:val="left" w:pos="3969"/>
        </w:tabs>
        <w:spacing w:after="0" w:line="240" w:lineRule="auto"/>
        <w:ind w:left="1418" w:hanging="1418"/>
        <w:rPr>
          <w:rFonts w:ascii="Cambria" w:hAnsi="Cambria"/>
        </w:rPr>
      </w:pPr>
      <w:r w:rsidRPr="00260136">
        <w:rPr>
          <w:rFonts w:ascii="Cambria" w:hAnsi="Cambria"/>
        </w:rPr>
        <w:tab/>
        <w:t>4.2</w:t>
      </w:r>
      <w:r w:rsidRPr="00260136">
        <w:rPr>
          <w:rFonts w:ascii="Cambria" w:hAnsi="Cambria"/>
        </w:rPr>
        <w:tab/>
        <w:t>The Council may delegate specific decision-making authority to the Committee under a written delegations policy.</w:t>
      </w:r>
    </w:p>
    <w:p w14:paraId="350DBDA3" w14:textId="77777777" w:rsidR="00D63B36" w:rsidRPr="00260136" w:rsidRDefault="00D63B36" w:rsidP="00D63B36">
      <w:pPr>
        <w:tabs>
          <w:tab w:val="left" w:pos="567"/>
          <w:tab w:val="left" w:pos="1418"/>
          <w:tab w:val="left" w:pos="2268"/>
          <w:tab w:val="left" w:pos="3119"/>
          <w:tab w:val="left" w:pos="3969"/>
        </w:tabs>
        <w:spacing w:after="0" w:line="240" w:lineRule="auto"/>
        <w:ind w:left="567" w:hanging="567"/>
        <w:rPr>
          <w:rFonts w:ascii="Cambria" w:hAnsi="Cambria"/>
        </w:rPr>
      </w:pPr>
    </w:p>
    <w:p w14:paraId="6B30F00D" w14:textId="77777777" w:rsidR="00D63B36" w:rsidRPr="00260136" w:rsidRDefault="00D63B36" w:rsidP="00D63B36">
      <w:pPr>
        <w:tabs>
          <w:tab w:val="left" w:pos="567"/>
          <w:tab w:val="left" w:pos="1418"/>
          <w:tab w:val="left" w:pos="2268"/>
          <w:tab w:val="left" w:pos="3119"/>
          <w:tab w:val="left" w:pos="3969"/>
        </w:tabs>
        <w:spacing w:after="0" w:line="240" w:lineRule="auto"/>
        <w:ind w:left="567" w:hanging="567"/>
        <w:rPr>
          <w:rFonts w:ascii="Cambria" w:hAnsi="Cambria"/>
          <w:b/>
        </w:rPr>
      </w:pPr>
      <w:r w:rsidRPr="00260136">
        <w:rPr>
          <w:rFonts w:ascii="Cambria" w:hAnsi="Cambria"/>
          <w:b/>
        </w:rPr>
        <w:t>5.</w:t>
      </w:r>
      <w:r w:rsidRPr="00260136">
        <w:rPr>
          <w:rFonts w:ascii="Cambria" w:hAnsi="Cambria"/>
          <w:b/>
        </w:rPr>
        <w:tab/>
        <w:t>MEMBERSHIP</w:t>
      </w:r>
    </w:p>
    <w:p w14:paraId="4F761AC2" w14:textId="77777777" w:rsidR="00D63B36" w:rsidRPr="00260136" w:rsidRDefault="00D63B36" w:rsidP="00D63B36">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260136">
        <w:rPr>
          <w:rFonts w:ascii="Cambria" w:hAnsi="Cambria" w:cstheme="minorHAnsi"/>
        </w:rPr>
        <w:tab/>
        <w:t>5.1</w:t>
      </w:r>
      <w:r w:rsidRPr="00260136">
        <w:rPr>
          <w:rFonts w:ascii="Cambria" w:hAnsi="Cambria" w:cstheme="minorHAnsi"/>
        </w:rPr>
        <w:tab/>
        <w:t xml:space="preserve">The Committee shall consist of seven [7] members: </w:t>
      </w:r>
    </w:p>
    <w:p w14:paraId="00ED5E05" w14:textId="77777777" w:rsidR="00D63B36" w:rsidRPr="00260136" w:rsidRDefault="00D63B36" w:rsidP="00D63B36">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260136">
        <w:rPr>
          <w:rFonts w:ascii="Cambria" w:hAnsi="Cambria" w:cstheme="minorHAnsi"/>
        </w:rPr>
        <w:tab/>
      </w:r>
      <w:r w:rsidRPr="00260136">
        <w:rPr>
          <w:rFonts w:ascii="Cambria" w:hAnsi="Cambria" w:cstheme="minorHAnsi"/>
        </w:rPr>
        <w:tab/>
        <w:t>5.1.1</w:t>
      </w:r>
      <w:r w:rsidRPr="00260136">
        <w:rPr>
          <w:rFonts w:ascii="Cambria" w:hAnsi="Cambria" w:cstheme="minorHAnsi"/>
        </w:rPr>
        <w:tab/>
        <w:t>a chairperson appointed by the Council who possesses experience and qualities appropriate to the task;</w:t>
      </w:r>
    </w:p>
    <w:p w14:paraId="2D3C9B9E" w14:textId="77777777" w:rsidR="00D63B36" w:rsidRPr="00260136" w:rsidRDefault="00D63B36" w:rsidP="00D63B36">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260136">
        <w:rPr>
          <w:rFonts w:ascii="Cambria" w:hAnsi="Cambria" w:cstheme="minorHAnsi"/>
        </w:rPr>
        <w:tab/>
      </w:r>
      <w:r w:rsidRPr="00260136">
        <w:rPr>
          <w:rFonts w:ascii="Cambria" w:hAnsi="Cambria" w:cstheme="minorHAnsi"/>
        </w:rPr>
        <w:tab/>
        <w:t>5.1.2</w:t>
      </w:r>
      <w:r w:rsidRPr="00260136">
        <w:rPr>
          <w:rFonts w:ascii="Cambria" w:hAnsi="Cambria" w:cstheme="minorHAnsi"/>
        </w:rPr>
        <w:tab/>
        <w:t>one [1] pastor currently serving in a local congregation;</w:t>
      </w:r>
    </w:p>
    <w:p w14:paraId="092ABFEA" w14:textId="77777777" w:rsidR="00D63B36" w:rsidRPr="00260136" w:rsidRDefault="00D63B36" w:rsidP="00D63B36">
      <w:pPr>
        <w:tabs>
          <w:tab w:val="left" w:pos="567"/>
          <w:tab w:val="left" w:pos="1418"/>
          <w:tab w:val="left" w:pos="2268"/>
          <w:tab w:val="left" w:pos="3119"/>
          <w:tab w:val="left" w:pos="3969"/>
        </w:tabs>
        <w:spacing w:after="0" w:line="240" w:lineRule="auto"/>
        <w:ind w:left="2268" w:hanging="2268"/>
        <w:rPr>
          <w:rFonts w:ascii="Cambria" w:hAnsi="Cambria"/>
        </w:rPr>
      </w:pPr>
      <w:r w:rsidRPr="00260136">
        <w:rPr>
          <w:rFonts w:ascii="Cambria" w:hAnsi="Cambria"/>
        </w:rPr>
        <w:tab/>
      </w:r>
      <w:r w:rsidRPr="00260136">
        <w:rPr>
          <w:rFonts w:ascii="Cambria" w:hAnsi="Cambria"/>
        </w:rPr>
        <w:tab/>
        <w:t>5.1.3</w:t>
      </w:r>
      <w:r w:rsidRPr="00260136">
        <w:rPr>
          <w:rFonts w:ascii="Cambria" w:hAnsi="Cambria"/>
        </w:rPr>
        <w:tab/>
        <w:t>one [1] pastor serving in a school of the Church;</w:t>
      </w:r>
    </w:p>
    <w:p w14:paraId="481125DF" w14:textId="77777777" w:rsidR="00D63B36" w:rsidRPr="00260136" w:rsidRDefault="00D63B36" w:rsidP="00D63B36">
      <w:pPr>
        <w:tabs>
          <w:tab w:val="left" w:pos="567"/>
          <w:tab w:val="left" w:pos="1418"/>
          <w:tab w:val="left" w:pos="2268"/>
          <w:tab w:val="left" w:pos="3119"/>
          <w:tab w:val="left" w:pos="3969"/>
        </w:tabs>
        <w:spacing w:after="0" w:line="240" w:lineRule="auto"/>
        <w:ind w:left="2268" w:hanging="2268"/>
        <w:rPr>
          <w:rFonts w:ascii="Cambria" w:hAnsi="Cambria"/>
        </w:rPr>
      </w:pPr>
      <w:r w:rsidRPr="00260136">
        <w:rPr>
          <w:rFonts w:ascii="Cambria" w:hAnsi="Cambria"/>
        </w:rPr>
        <w:tab/>
      </w:r>
      <w:r w:rsidRPr="00260136">
        <w:rPr>
          <w:rFonts w:ascii="Cambria" w:hAnsi="Cambria"/>
        </w:rPr>
        <w:tab/>
        <w:t>5.1.4</w:t>
      </w:r>
      <w:r w:rsidRPr="00260136">
        <w:rPr>
          <w:rFonts w:ascii="Cambria" w:hAnsi="Cambria"/>
        </w:rPr>
        <w:tab/>
        <w:t>one [1] member who is currently practising in child, youth or family ministry;</w:t>
      </w:r>
    </w:p>
    <w:p w14:paraId="54E6C480" w14:textId="77777777" w:rsidR="00D63B36" w:rsidRPr="00260136" w:rsidRDefault="00D63B36" w:rsidP="00D63B36">
      <w:pPr>
        <w:tabs>
          <w:tab w:val="left" w:pos="567"/>
          <w:tab w:val="left" w:pos="1418"/>
          <w:tab w:val="left" w:pos="2268"/>
          <w:tab w:val="left" w:pos="3119"/>
          <w:tab w:val="left" w:pos="3969"/>
        </w:tabs>
        <w:spacing w:after="0" w:line="240" w:lineRule="auto"/>
        <w:ind w:left="2268" w:hanging="2268"/>
        <w:rPr>
          <w:rFonts w:ascii="Cambria" w:hAnsi="Cambria"/>
        </w:rPr>
      </w:pPr>
      <w:r w:rsidRPr="00260136">
        <w:rPr>
          <w:rFonts w:ascii="Cambria" w:hAnsi="Cambria"/>
        </w:rPr>
        <w:lastRenderedPageBreak/>
        <w:tab/>
      </w:r>
      <w:r w:rsidRPr="00260136">
        <w:rPr>
          <w:rFonts w:ascii="Cambria" w:hAnsi="Cambria"/>
        </w:rPr>
        <w:tab/>
        <w:t>5.1.5</w:t>
      </w:r>
      <w:r w:rsidRPr="00260136">
        <w:rPr>
          <w:rFonts w:ascii="Cambria" w:hAnsi="Cambria"/>
        </w:rPr>
        <w:tab/>
        <w:t>one [1] member who has experience or expertise in child, youth or family ministry;</w:t>
      </w:r>
    </w:p>
    <w:p w14:paraId="340D349F" w14:textId="77777777" w:rsidR="00D63B36" w:rsidRPr="00260136" w:rsidRDefault="00D63B36" w:rsidP="00D63B36">
      <w:pPr>
        <w:tabs>
          <w:tab w:val="left" w:pos="567"/>
          <w:tab w:val="left" w:pos="1418"/>
          <w:tab w:val="left" w:pos="2268"/>
          <w:tab w:val="left" w:pos="3119"/>
          <w:tab w:val="left" w:pos="3969"/>
        </w:tabs>
        <w:spacing w:after="0" w:line="240" w:lineRule="auto"/>
        <w:ind w:left="2268" w:hanging="2268"/>
        <w:rPr>
          <w:rFonts w:ascii="Cambria" w:hAnsi="Cambria"/>
        </w:rPr>
      </w:pPr>
      <w:r w:rsidRPr="00260136">
        <w:rPr>
          <w:rFonts w:ascii="Cambria" w:hAnsi="Cambria"/>
        </w:rPr>
        <w:tab/>
      </w:r>
      <w:r w:rsidRPr="00260136">
        <w:rPr>
          <w:rFonts w:ascii="Cambria" w:hAnsi="Cambria"/>
        </w:rPr>
        <w:tab/>
        <w:t>5.1.6</w:t>
      </w:r>
      <w:r w:rsidRPr="00260136">
        <w:rPr>
          <w:rFonts w:ascii="Cambria" w:hAnsi="Cambria"/>
        </w:rPr>
        <w:tab/>
        <w:t>one [1] young member who is active in a congregation;  and</w:t>
      </w:r>
    </w:p>
    <w:p w14:paraId="79A89498" w14:textId="77777777" w:rsidR="00D63B36" w:rsidRPr="00260136" w:rsidRDefault="00D63B36" w:rsidP="00D63B36">
      <w:pPr>
        <w:tabs>
          <w:tab w:val="left" w:pos="567"/>
          <w:tab w:val="left" w:pos="1418"/>
          <w:tab w:val="left" w:pos="2268"/>
          <w:tab w:val="left" w:pos="3119"/>
          <w:tab w:val="left" w:pos="3969"/>
        </w:tabs>
        <w:spacing w:after="0" w:line="240" w:lineRule="auto"/>
        <w:ind w:left="2268" w:hanging="2268"/>
        <w:rPr>
          <w:rFonts w:ascii="Cambria" w:hAnsi="Cambria"/>
        </w:rPr>
      </w:pPr>
      <w:r w:rsidRPr="00260136">
        <w:rPr>
          <w:rFonts w:ascii="Cambria" w:hAnsi="Cambria"/>
        </w:rPr>
        <w:tab/>
      </w:r>
      <w:r w:rsidRPr="00260136">
        <w:rPr>
          <w:rFonts w:ascii="Cambria" w:hAnsi="Cambria"/>
        </w:rPr>
        <w:tab/>
        <w:t>5.1.7</w:t>
      </w:r>
      <w:r w:rsidRPr="00260136">
        <w:rPr>
          <w:rFonts w:ascii="Cambria" w:hAnsi="Cambria"/>
        </w:rPr>
        <w:tab/>
        <w:t xml:space="preserve">one [1] senior member who is active in a congregation.   </w:t>
      </w:r>
    </w:p>
    <w:p w14:paraId="53598D71" w14:textId="77777777" w:rsidR="00D63B36" w:rsidRPr="00260136" w:rsidRDefault="00D63B36" w:rsidP="00D63B36">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260136">
        <w:rPr>
          <w:rFonts w:ascii="Cambria" w:hAnsi="Cambria" w:cstheme="minorHAnsi"/>
        </w:rPr>
        <w:tab/>
        <w:t>5.2</w:t>
      </w:r>
      <w:r w:rsidRPr="00260136">
        <w:rPr>
          <w:rFonts w:ascii="Cambria" w:hAnsi="Cambria" w:cstheme="minorHAnsi"/>
        </w:rPr>
        <w:tab/>
        <w:t xml:space="preserve">The members of the Committee shall be appointed by the Council, based on recommendations from the Standing Committee on Nominations.  </w:t>
      </w:r>
    </w:p>
    <w:p w14:paraId="2D941C91" w14:textId="77777777" w:rsidR="00D63B36" w:rsidRPr="00260136" w:rsidRDefault="00D63B36" w:rsidP="00D63B36">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260136">
        <w:rPr>
          <w:rFonts w:ascii="Cambria" w:hAnsi="Cambria" w:cstheme="minorHAnsi"/>
        </w:rPr>
        <w:tab/>
        <w:t>5.3</w:t>
      </w:r>
      <w:r w:rsidRPr="00260136">
        <w:rPr>
          <w:rFonts w:ascii="Cambria" w:hAnsi="Cambria" w:cstheme="minorHAnsi"/>
        </w:rPr>
        <w:tab/>
        <w:t>The Committee shall consist of people with a passion for ministry and mission.</w:t>
      </w:r>
    </w:p>
    <w:p w14:paraId="2618AB76" w14:textId="77777777" w:rsidR="00D63B36" w:rsidRPr="00260136" w:rsidRDefault="00D63B36" w:rsidP="00D63B36">
      <w:pPr>
        <w:tabs>
          <w:tab w:val="left" w:pos="567"/>
          <w:tab w:val="left" w:pos="1418"/>
          <w:tab w:val="left" w:pos="2268"/>
          <w:tab w:val="left" w:pos="3119"/>
          <w:tab w:val="left" w:pos="3969"/>
        </w:tabs>
        <w:spacing w:after="0" w:line="240" w:lineRule="auto"/>
        <w:ind w:left="1418" w:hanging="1418"/>
        <w:rPr>
          <w:rFonts w:ascii="Cambria" w:hAnsi="Cambria"/>
        </w:rPr>
      </w:pPr>
      <w:r w:rsidRPr="00260136">
        <w:rPr>
          <w:rFonts w:ascii="Cambria" w:hAnsi="Cambria"/>
        </w:rPr>
        <w:tab/>
        <w:t>5.4</w:t>
      </w:r>
      <w:r w:rsidRPr="00260136">
        <w:rPr>
          <w:rFonts w:ascii="Cambria" w:hAnsi="Cambria"/>
        </w:rPr>
        <w:tab/>
        <w:t>The membership shall include a mix of backgrounds and perspectives which, together with the relevant skills, qualifications and experience will enable the Committee to fulfil its role.</w:t>
      </w:r>
    </w:p>
    <w:p w14:paraId="1B769DF8" w14:textId="77777777" w:rsidR="00D63B36" w:rsidRPr="00260136" w:rsidRDefault="00D63B36" w:rsidP="00D63B36">
      <w:pPr>
        <w:tabs>
          <w:tab w:val="left" w:pos="567"/>
          <w:tab w:val="left" w:pos="1418"/>
          <w:tab w:val="left" w:pos="2268"/>
          <w:tab w:val="left" w:pos="3119"/>
          <w:tab w:val="left" w:pos="3969"/>
        </w:tabs>
        <w:spacing w:after="0" w:line="240" w:lineRule="auto"/>
        <w:ind w:left="1418" w:hanging="1418"/>
        <w:rPr>
          <w:rFonts w:ascii="Cambria" w:hAnsi="Cambria"/>
        </w:rPr>
      </w:pPr>
      <w:r w:rsidRPr="00260136">
        <w:rPr>
          <w:rFonts w:ascii="Cambria" w:hAnsi="Cambria"/>
        </w:rPr>
        <w:tab/>
        <w:t>5.5</w:t>
      </w:r>
      <w:r w:rsidRPr="00260136">
        <w:rPr>
          <w:rFonts w:ascii="Cambria" w:hAnsi="Cambria"/>
        </w:rPr>
        <w:tab/>
        <w:t>The term of appointment for all members will be for a Synodical term.</w:t>
      </w:r>
    </w:p>
    <w:p w14:paraId="3096ED3D" w14:textId="77777777" w:rsidR="00D63B36" w:rsidRPr="00260136" w:rsidRDefault="00D63B36" w:rsidP="00D63B36">
      <w:pPr>
        <w:tabs>
          <w:tab w:val="left" w:pos="567"/>
          <w:tab w:val="left" w:pos="1418"/>
          <w:tab w:val="left" w:pos="2268"/>
          <w:tab w:val="left" w:pos="3119"/>
          <w:tab w:val="left" w:pos="3969"/>
        </w:tabs>
        <w:spacing w:after="0" w:line="240" w:lineRule="auto"/>
        <w:ind w:left="1418" w:hanging="1418"/>
        <w:rPr>
          <w:rFonts w:ascii="Cambria" w:hAnsi="Cambria"/>
        </w:rPr>
      </w:pPr>
      <w:r w:rsidRPr="00260136">
        <w:rPr>
          <w:rFonts w:ascii="Cambria" w:hAnsi="Cambria"/>
        </w:rPr>
        <w:tab/>
        <w:t>5.6</w:t>
      </w:r>
      <w:r w:rsidRPr="00260136">
        <w:rPr>
          <w:rFonts w:ascii="Cambria" w:hAnsi="Cambria"/>
        </w:rPr>
        <w:tab/>
        <w:t>The Executive Officer, Local Mission (EO-LM) and the Grow Ministries Director shall attend meetings.</w:t>
      </w:r>
    </w:p>
    <w:p w14:paraId="29181534" w14:textId="77777777" w:rsidR="00D63B36" w:rsidRPr="00260136" w:rsidRDefault="00D63B36" w:rsidP="00D63B36">
      <w:pPr>
        <w:tabs>
          <w:tab w:val="left" w:pos="567"/>
          <w:tab w:val="left" w:pos="1418"/>
          <w:tab w:val="left" w:pos="2268"/>
          <w:tab w:val="left" w:pos="3119"/>
          <w:tab w:val="left" w:pos="3969"/>
        </w:tabs>
        <w:spacing w:after="0" w:line="240" w:lineRule="auto"/>
        <w:ind w:left="1418" w:hanging="1418"/>
        <w:rPr>
          <w:rFonts w:ascii="Cambria" w:hAnsi="Cambria"/>
        </w:rPr>
      </w:pPr>
      <w:r w:rsidRPr="00260136">
        <w:rPr>
          <w:rFonts w:ascii="Cambria" w:hAnsi="Cambria"/>
        </w:rPr>
        <w:tab/>
        <w:t>5.7</w:t>
      </w:r>
      <w:r w:rsidRPr="00260136">
        <w:rPr>
          <w:rFonts w:ascii="Cambria" w:hAnsi="Cambria"/>
        </w:rPr>
        <w:tab/>
        <w:t>The Council Chairperson may attend meetings of the Committee in an ex officio capacity.</w:t>
      </w:r>
    </w:p>
    <w:p w14:paraId="1BF22FC7" w14:textId="77777777" w:rsidR="00D63B36" w:rsidRPr="00260136" w:rsidRDefault="00D63B36" w:rsidP="00D63B36">
      <w:pPr>
        <w:tabs>
          <w:tab w:val="left" w:pos="567"/>
          <w:tab w:val="left" w:pos="1418"/>
          <w:tab w:val="left" w:pos="2268"/>
          <w:tab w:val="left" w:pos="3119"/>
          <w:tab w:val="left" w:pos="3969"/>
        </w:tabs>
        <w:spacing w:after="0" w:line="240" w:lineRule="auto"/>
        <w:ind w:left="1418" w:hanging="1418"/>
        <w:rPr>
          <w:rFonts w:ascii="Cambria" w:hAnsi="Cambria"/>
        </w:rPr>
      </w:pPr>
      <w:r w:rsidRPr="00260136">
        <w:rPr>
          <w:rFonts w:ascii="Cambria" w:hAnsi="Cambria"/>
        </w:rPr>
        <w:tab/>
        <w:t>5.8</w:t>
      </w:r>
      <w:r w:rsidRPr="00260136">
        <w:rPr>
          <w:rFonts w:ascii="Cambria" w:hAnsi="Cambria"/>
        </w:rPr>
        <w:tab/>
        <w:t>Up to two [2] consultants may be appointed by the Council to contribute specialised knowledge that is not available among the membership when addressing specific issues.</w:t>
      </w:r>
    </w:p>
    <w:p w14:paraId="351FAE80" w14:textId="77777777" w:rsidR="00D63B36" w:rsidRPr="00260136" w:rsidRDefault="00D63B36" w:rsidP="00D63B36">
      <w:pPr>
        <w:tabs>
          <w:tab w:val="left" w:pos="567"/>
          <w:tab w:val="left" w:pos="1418"/>
          <w:tab w:val="left" w:pos="2268"/>
          <w:tab w:val="left" w:pos="3119"/>
          <w:tab w:val="left" w:pos="3969"/>
        </w:tabs>
        <w:spacing w:after="0" w:line="240" w:lineRule="auto"/>
        <w:ind w:left="567" w:hanging="567"/>
        <w:rPr>
          <w:rFonts w:ascii="Cambria" w:hAnsi="Cambria"/>
        </w:rPr>
      </w:pPr>
    </w:p>
    <w:p w14:paraId="1B7629BC" w14:textId="6ED80012" w:rsidR="00D63B36" w:rsidRPr="00260136" w:rsidRDefault="00D63B36" w:rsidP="00D63B36">
      <w:pPr>
        <w:tabs>
          <w:tab w:val="left" w:pos="567"/>
          <w:tab w:val="left" w:pos="1418"/>
          <w:tab w:val="left" w:pos="2268"/>
          <w:tab w:val="left" w:pos="3119"/>
          <w:tab w:val="left" w:pos="3969"/>
        </w:tabs>
        <w:spacing w:after="0" w:line="240" w:lineRule="auto"/>
        <w:ind w:left="567" w:hanging="567"/>
        <w:rPr>
          <w:rFonts w:ascii="Cambria" w:hAnsi="Cambria"/>
          <w:b/>
        </w:rPr>
      </w:pPr>
      <w:r w:rsidRPr="00260136">
        <w:rPr>
          <w:rFonts w:ascii="Cambria" w:hAnsi="Cambria"/>
          <w:b/>
        </w:rPr>
        <w:t>6.</w:t>
      </w:r>
      <w:r w:rsidRPr="00260136">
        <w:rPr>
          <w:rFonts w:ascii="Cambria" w:hAnsi="Cambria"/>
          <w:b/>
        </w:rPr>
        <w:tab/>
        <w:t>MEETING ARRANGEMENTS AND REPORTING</w:t>
      </w:r>
    </w:p>
    <w:p w14:paraId="1F2BE4D8" w14:textId="77777777" w:rsidR="00D63B36" w:rsidRPr="00260136" w:rsidRDefault="00D63B36" w:rsidP="00D63B36">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260136">
        <w:rPr>
          <w:rFonts w:ascii="Cambria" w:hAnsi="Cambria" w:cstheme="minorHAnsi"/>
        </w:rPr>
        <w:tab/>
        <w:t>6.1</w:t>
      </w:r>
      <w:r w:rsidRPr="00260136">
        <w:rPr>
          <w:rFonts w:ascii="Cambria" w:hAnsi="Cambria" w:cstheme="minorHAnsi"/>
        </w:rPr>
        <w:tab/>
        <w:t xml:space="preserve">Meetings shall be convened by the Chairperson.  </w:t>
      </w:r>
    </w:p>
    <w:p w14:paraId="71F6FA3F" w14:textId="77777777" w:rsidR="00D63B36" w:rsidRPr="00260136" w:rsidRDefault="00D63B36" w:rsidP="00D63B36">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260136">
        <w:rPr>
          <w:rFonts w:ascii="Cambria" w:hAnsi="Cambria" w:cstheme="minorHAnsi"/>
        </w:rPr>
        <w:tab/>
        <w:t>6.2</w:t>
      </w:r>
      <w:r w:rsidRPr="00260136">
        <w:rPr>
          <w:rFonts w:ascii="Cambria" w:hAnsi="Cambria" w:cstheme="minorHAnsi"/>
        </w:rPr>
        <w:tab/>
        <w:t>It is at the discretion of the Committee to meet face-to-face, by electronic means, or by other means of communication.</w:t>
      </w:r>
    </w:p>
    <w:p w14:paraId="2AEB438A" w14:textId="77777777" w:rsidR="00D63B36" w:rsidRPr="00260136" w:rsidRDefault="00D63B36" w:rsidP="00D63B36">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260136">
        <w:rPr>
          <w:rFonts w:ascii="Cambria" w:hAnsi="Cambria" w:cstheme="minorHAnsi"/>
        </w:rPr>
        <w:tab/>
        <w:t>6.3</w:t>
      </w:r>
      <w:r w:rsidRPr="00260136">
        <w:rPr>
          <w:rFonts w:ascii="Cambria" w:hAnsi="Cambria" w:cstheme="minorHAnsi"/>
        </w:rPr>
        <w:tab/>
        <w:t>Email correspondence may be used for the distribution of minutes, advisory information or approval of documentation.</w:t>
      </w:r>
    </w:p>
    <w:p w14:paraId="1E8ADA54" w14:textId="77777777" w:rsidR="00D63B36" w:rsidRPr="00260136" w:rsidRDefault="00D63B36" w:rsidP="00D63B36">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260136">
        <w:rPr>
          <w:rFonts w:ascii="Cambria" w:hAnsi="Cambria" w:cstheme="minorHAnsi"/>
        </w:rPr>
        <w:tab/>
        <w:t>6.4</w:t>
      </w:r>
      <w:r w:rsidRPr="00260136">
        <w:rPr>
          <w:rFonts w:ascii="Cambria" w:hAnsi="Cambria" w:cstheme="minorHAnsi"/>
        </w:rPr>
        <w:tab/>
        <w:t>The minutes of the meetings of the Committee shall be submitted to the Council.</w:t>
      </w:r>
    </w:p>
    <w:p w14:paraId="4FE69025" w14:textId="77777777" w:rsidR="00D63B36" w:rsidRPr="00260136" w:rsidRDefault="00D63B36" w:rsidP="00D63B36">
      <w:pPr>
        <w:tabs>
          <w:tab w:val="left" w:pos="567"/>
          <w:tab w:val="left" w:pos="1418"/>
          <w:tab w:val="left" w:pos="2268"/>
          <w:tab w:val="left" w:pos="3119"/>
          <w:tab w:val="left" w:pos="3969"/>
        </w:tabs>
        <w:spacing w:after="0" w:line="240" w:lineRule="auto"/>
        <w:ind w:left="567" w:hanging="567"/>
        <w:rPr>
          <w:rFonts w:ascii="Cambria" w:hAnsi="Cambria"/>
        </w:rPr>
      </w:pPr>
    </w:p>
    <w:p w14:paraId="5B34CE28" w14:textId="77777777" w:rsidR="00D63B36" w:rsidRPr="00260136" w:rsidRDefault="00D63B36" w:rsidP="00D63B36">
      <w:pPr>
        <w:tabs>
          <w:tab w:val="left" w:pos="567"/>
          <w:tab w:val="left" w:pos="1418"/>
          <w:tab w:val="left" w:pos="2268"/>
          <w:tab w:val="left" w:pos="3119"/>
          <w:tab w:val="left" w:pos="3969"/>
        </w:tabs>
        <w:spacing w:after="0" w:line="240" w:lineRule="auto"/>
        <w:ind w:left="567" w:hanging="567"/>
        <w:rPr>
          <w:rFonts w:ascii="Cambria" w:hAnsi="Cambria"/>
          <w:b/>
        </w:rPr>
      </w:pPr>
      <w:r w:rsidRPr="00260136">
        <w:rPr>
          <w:rFonts w:ascii="Cambria" w:hAnsi="Cambria"/>
          <w:b/>
        </w:rPr>
        <w:t>7.</w:t>
      </w:r>
      <w:r w:rsidRPr="00260136">
        <w:rPr>
          <w:rFonts w:ascii="Cambria" w:hAnsi="Cambria"/>
          <w:b/>
        </w:rPr>
        <w:tab/>
        <w:t>RESPONSIBILITIES</w:t>
      </w:r>
    </w:p>
    <w:p w14:paraId="13D5B1E5" w14:textId="77777777" w:rsidR="00D63B36" w:rsidRPr="00260136" w:rsidRDefault="00D63B36" w:rsidP="00D63B36">
      <w:pPr>
        <w:tabs>
          <w:tab w:val="left" w:pos="567"/>
          <w:tab w:val="left" w:pos="1418"/>
          <w:tab w:val="left" w:pos="2268"/>
          <w:tab w:val="left" w:pos="3119"/>
          <w:tab w:val="left" w:pos="3969"/>
        </w:tabs>
        <w:spacing w:after="0" w:line="240" w:lineRule="auto"/>
        <w:ind w:left="1418" w:hanging="1418"/>
        <w:rPr>
          <w:rFonts w:ascii="Cambria" w:hAnsi="Cambria"/>
        </w:rPr>
      </w:pPr>
      <w:r w:rsidRPr="00260136">
        <w:rPr>
          <w:rFonts w:ascii="Cambria" w:hAnsi="Cambria"/>
        </w:rPr>
        <w:tab/>
        <w:t>7.1</w:t>
      </w:r>
      <w:r w:rsidRPr="00260136">
        <w:rPr>
          <w:rFonts w:ascii="Cambria" w:hAnsi="Cambria"/>
        </w:rPr>
        <w:tab/>
        <w:t>The Committee shall focus on ministries that are specific to children, young people and families including</w:t>
      </w:r>
    </w:p>
    <w:p w14:paraId="08165E1C" w14:textId="77777777" w:rsidR="00D63B36" w:rsidRPr="00260136" w:rsidRDefault="00D63B36" w:rsidP="00D63B36">
      <w:pPr>
        <w:tabs>
          <w:tab w:val="left" w:pos="567"/>
          <w:tab w:val="left" w:pos="1418"/>
          <w:tab w:val="left" w:pos="2268"/>
          <w:tab w:val="left" w:pos="3119"/>
          <w:tab w:val="left" w:pos="3969"/>
        </w:tabs>
        <w:spacing w:after="0" w:line="240" w:lineRule="auto"/>
        <w:ind w:left="2268" w:hanging="2268"/>
        <w:rPr>
          <w:rFonts w:ascii="Cambria" w:hAnsi="Cambria"/>
        </w:rPr>
      </w:pPr>
      <w:r w:rsidRPr="00260136">
        <w:rPr>
          <w:rFonts w:ascii="Cambria" w:hAnsi="Cambria"/>
        </w:rPr>
        <w:tab/>
      </w:r>
      <w:r w:rsidRPr="00260136">
        <w:rPr>
          <w:rFonts w:ascii="Cambria" w:hAnsi="Cambria"/>
        </w:rPr>
        <w:tab/>
        <w:t>7.1.1</w:t>
      </w:r>
      <w:r w:rsidRPr="00260136">
        <w:rPr>
          <w:rFonts w:ascii="Cambria" w:hAnsi="Cambria"/>
        </w:rPr>
        <w:tab/>
        <w:t>fostering partnerships between District ministry networks;</w:t>
      </w:r>
    </w:p>
    <w:p w14:paraId="5D250953" w14:textId="77777777" w:rsidR="00D63B36" w:rsidRPr="00260136" w:rsidRDefault="00D63B36" w:rsidP="00D63B36">
      <w:pPr>
        <w:tabs>
          <w:tab w:val="left" w:pos="567"/>
          <w:tab w:val="left" w:pos="1418"/>
          <w:tab w:val="left" w:pos="2268"/>
          <w:tab w:val="left" w:pos="3119"/>
          <w:tab w:val="left" w:pos="3969"/>
        </w:tabs>
        <w:spacing w:after="0" w:line="240" w:lineRule="auto"/>
        <w:ind w:left="2268" w:hanging="2268"/>
        <w:rPr>
          <w:rFonts w:ascii="Cambria" w:hAnsi="Cambria"/>
        </w:rPr>
      </w:pPr>
      <w:r w:rsidRPr="00260136">
        <w:rPr>
          <w:rFonts w:ascii="Cambria" w:hAnsi="Cambria"/>
        </w:rPr>
        <w:tab/>
      </w:r>
      <w:r w:rsidRPr="00260136">
        <w:rPr>
          <w:rFonts w:ascii="Cambria" w:hAnsi="Cambria"/>
        </w:rPr>
        <w:tab/>
        <w:t>7.1.2</w:t>
      </w:r>
      <w:r w:rsidRPr="00260136">
        <w:rPr>
          <w:rFonts w:ascii="Cambria" w:hAnsi="Cambria"/>
        </w:rPr>
        <w:tab/>
        <w:t>supporting collaborative ministry efforts;  and</w:t>
      </w:r>
    </w:p>
    <w:p w14:paraId="70E394FC" w14:textId="77777777" w:rsidR="00D63B36" w:rsidRPr="00260136" w:rsidRDefault="00D63B36" w:rsidP="00D63B36">
      <w:pPr>
        <w:tabs>
          <w:tab w:val="left" w:pos="567"/>
          <w:tab w:val="left" w:pos="1418"/>
          <w:tab w:val="left" w:pos="2268"/>
          <w:tab w:val="left" w:pos="3119"/>
          <w:tab w:val="left" w:pos="3969"/>
        </w:tabs>
        <w:spacing w:after="0" w:line="240" w:lineRule="auto"/>
        <w:ind w:left="2268" w:hanging="2268"/>
        <w:rPr>
          <w:rFonts w:ascii="Cambria" w:hAnsi="Cambria"/>
        </w:rPr>
      </w:pPr>
      <w:r w:rsidRPr="00260136">
        <w:rPr>
          <w:rFonts w:ascii="Cambria" w:hAnsi="Cambria"/>
        </w:rPr>
        <w:tab/>
      </w:r>
      <w:r w:rsidRPr="00260136">
        <w:rPr>
          <w:rFonts w:ascii="Cambria" w:hAnsi="Cambria"/>
        </w:rPr>
        <w:tab/>
        <w:t>7.1.3</w:t>
      </w:r>
      <w:r w:rsidRPr="00260136">
        <w:rPr>
          <w:rFonts w:ascii="Cambria" w:hAnsi="Cambria"/>
        </w:rPr>
        <w:tab/>
        <w:t>developing and maintaining connections with other ministry-related committees within both the Church and ecumenical associations.</w:t>
      </w:r>
    </w:p>
    <w:p w14:paraId="65D76D99" w14:textId="77777777" w:rsidR="00D63B36" w:rsidRPr="00260136" w:rsidRDefault="00D63B36" w:rsidP="00D63B36">
      <w:pPr>
        <w:tabs>
          <w:tab w:val="left" w:pos="567"/>
          <w:tab w:val="left" w:pos="1418"/>
          <w:tab w:val="left" w:pos="2268"/>
          <w:tab w:val="left" w:pos="3119"/>
          <w:tab w:val="left" w:pos="3969"/>
        </w:tabs>
        <w:spacing w:after="0" w:line="240" w:lineRule="auto"/>
        <w:ind w:left="1418" w:hanging="1418"/>
        <w:rPr>
          <w:rFonts w:ascii="Cambria" w:hAnsi="Cambria"/>
        </w:rPr>
      </w:pPr>
      <w:r w:rsidRPr="00260136">
        <w:rPr>
          <w:rFonts w:ascii="Cambria" w:hAnsi="Cambria"/>
        </w:rPr>
        <w:tab/>
        <w:t>7.2</w:t>
      </w:r>
      <w:r w:rsidRPr="00260136">
        <w:rPr>
          <w:rFonts w:ascii="Cambria" w:hAnsi="Cambria"/>
        </w:rPr>
        <w:tab/>
        <w:t>The Committee shall work with the Grow Ministries Director and EO-LM to</w:t>
      </w:r>
    </w:p>
    <w:p w14:paraId="14946FB6" w14:textId="77777777" w:rsidR="00D63B36" w:rsidRPr="00260136" w:rsidRDefault="00D63B36" w:rsidP="00D63B36">
      <w:pPr>
        <w:tabs>
          <w:tab w:val="left" w:pos="567"/>
          <w:tab w:val="left" w:pos="1418"/>
          <w:tab w:val="left" w:pos="2268"/>
          <w:tab w:val="left" w:pos="3119"/>
          <w:tab w:val="left" w:pos="3969"/>
        </w:tabs>
        <w:spacing w:after="0" w:line="240" w:lineRule="auto"/>
        <w:ind w:left="2268" w:hanging="2268"/>
        <w:rPr>
          <w:rFonts w:ascii="Cambria" w:hAnsi="Cambria"/>
        </w:rPr>
      </w:pPr>
      <w:r w:rsidRPr="00260136">
        <w:rPr>
          <w:rFonts w:ascii="Cambria" w:hAnsi="Cambria"/>
        </w:rPr>
        <w:tab/>
      </w:r>
      <w:r w:rsidRPr="00260136">
        <w:rPr>
          <w:rFonts w:ascii="Cambria" w:hAnsi="Cambria"/>
        </w:rPr>
        <w:tab/>
        <w:t>7.2.1</w:t>
      </w:r>
      <w:r w:rsidRPr="00260136">
        <w:rPr>
          <w:rFonts w:ascii="Cambria" w:hAnsi="Cambria"/>
        </w:rPr>
        <w:tab/>
        <w:t>provide advice to the Council on relevant strategic directions and policies;</w:t>
      </w:r>
    </w:p>
    <w:p w14:paraId="1D8E4687" w14:textId="77777777" w:rsidR="00D63B36" w:rsidRPr="00260136" w:rsidRDefault="00D63B36" w:rsidP="00D63B36">
      <w:pPr>
        <w:tabs>
          <w:tab w:val="left" w:pos="567"/>
          <w:tab w:val="left" w:pos="1418"/>
          <w:tab w:val="left" w:pos="2268"/>
          <w:tab w:val="left" w:pos="3119"/>
          <w:tab w:val="left" w:pos="3969"/>
        </w:tabs>
        <w:spacing w:after="0" w:line="240" w:lineRule="auto"/>
        <w:ind w:left="2268" w:hanging="2268"/>
        <w:rPr>
          <w:rFonts w:ascii="Cambria" w:hAnsi="Cambria"/>
        </w:rPr>
      </w:pPr>
      <w:r w:rsidRPr="00260136">
        <w:rPr>
          <w:rFonts w:ascii="Cambria" w:hAnsi="Cambria"/>
        </w:rPr>
        <w:tab/>
      </w:r>
      <w:r w:rsidRPr="00260136">
        <w:rPr>
          <w:rFonts w:ascii="Cambria" w:hAnsi="Cambria"/>
        </w:rPr>
        <w:tab/>
        <w:t>7.2.2</w:t>
      </w:r>
      <w:r w:rsidRPr="00260136">
        <w:rPr>
          <w:rFonts w:ascii="Cambria" w:hAnsi="Cambria"/>
        </w:rPr>
        <w:tab/>
        <w:t>develop and recommend plans and ministry priorities, including the financial and resources support required;</w:t>
      </w:r>
    </w:p>
    <w:p w14:paraId="76345F5D" w14:textId="77777777" w:rsidR="00D63B36" w:rsidRPr="00260136" w:rsidRDefault="00D63B36" w:rsidP="00D63B36">
      <w:pPr>
        <w:tabs>
          <w:tab w:val="left" w:pos="567"/>
          <w:tab w:val="left" w:pos="1418"/>
          <w:tab w:val="left" w:pos="2268"/>
          <w:tab w:val="left" w:pos="3119"/>
          <w:tab w:val="left" w:pos="3969"/>
        </w:tabs>
        <w:spacing w:after="0" w:line="240" w:lineRule="auto"/>
        <w:ind w:left="2268" w:hanging="2268"/>
        <w:rPr>
          <w:rFonts w:ascii="Cambria" w:hAnsi="Cambria"/>
        </w:rPr>
      </w:pPr>
      <w:r w:rsidRPr="00260136">
        <w:rPr>
          <w:rFonts w:ascii="Cambria" w:hAnsi="Cambria"/>
        </w:rPr>
        <w:tab/>
      </w:r>
      <w:r w:rsidRPr="00260136">
        <w:rPr>
          <w:rFonts w:ascii="Cambria" w:hAnsi="Cambria"/>
        </w:rPr>
        <w:tab/>
        <w:t>7.2.3</w:t>
      </w:r>
      <w:r w:rsidRPr="00260136">
        <w:rPr>
          <w:rFonts w:ascii="Cambria" w:hAnsi="Cambria"/>
        </w:rPr>
        <w:tab/>
        <w:t>prioritise and recommend recipients and sums of grants and/or scholarships;</w:t>
      </w:r>
    </w:p>
    <w:p w14:paraId="523B6713" w14:textId="77777777" w:rsidR="00D63B36" w:rsidRPr="00260136" w:rsidRDefault="00D63B36" w:rsidP="00D63B36">
      <w:pPr>
        <w:tabs>
          <w:tab w:val="left" w:pos="567"/>
          <w:tab w:val="left" w:pos="1418"/>
          <w:tab w:val="left" w:pos="2268"/>
          <w:tab w:val="left" w:pos="3119"/>
          <w:tab w:val="left" w:pos="3969"/>
        </w:tabs>
        <w:spacing w:after="0" w:line="240" w:lineRule="auto"/>
        <w:ind w:left="2268" w:hanging="2268"/>
        <w:rPr>
          <w:rFonts w:ascii="Cambria" w:hAnsi="Cambria"/>
        </w:rPr>
      </w:pPr>
      <w:r w:rsidRPr="00260136">
        <w:rPr>
          <w:rFonts w:ascii="Cambria" w:hAnsi="Cambria"/>
        </w:rPr>
        <w:tab/>
      </w:r>
      <w:r w:rsidRPr="00260136">
        <w:rPr>
          <w:rFonts w:ascii="Cambria" w:hAnsi="Cambria"/>
        </w:rPr>
        <w:tab/>
        <w:t>7.2.4</w:t>
      </w:r>
      <w:r w:rsidRPr="00260136">
        <w:rPr>
          <w:rFonts w:ascii="Cambria" w:hAnsi="Cambria"/>
        </w:rPr>
        <w:tab/>
        <w:t>collaborate with Department staff in the resourcing and implementation of programs;</w:t>
      </w:r>
    </w:p>
    <w:p w14:paraId="4BEE1A25" w14:textId="77777777" w:rsidR="00D63B36" w:rsidRPr="00260136" w:rsidRDefault="00D63B36" w:rsidP="00D63B36">
      <w:pPr>
        <w:tabs>
          <w:tab w:val="left" w:pos="567"/>
          <w:tab w:val="left" w:pos="1418"/>
          <w:tab w:val="left" w:pos="2268"/>
          <w:tab w:val="left" w:pos="3119"/>
          <w:tab w:val="left" w:pos="3969"/>
        </w:tabs>
        <w:spacing w:after="0" w:line="240" w:lineRule="auto"/>
        <w:ind w:left="2268" w:hanging="2268"/>
        <w:rPr>
          <w:rFonts w:ascii="Cambria" w:hAnsi="Cambria"/>
        </w:rPr>
      </w:pPr>
      <w:r w:rsidRPr="00260136">
        <w:rPr>
          <w:rFonts w:ascii="Cambria" w:hAnsi="Cambria"/>
        </w:rPr>
        <w:tab/>
      </w:r>
      <w:r w:rsidRPr="00260136">
        <w:rPr>
          <w:rFonts w:ascii="Cambria" w:hAnsi="Cambria"/>
        </w:rPr>
        <w:tab/>
        <w:t>7.2.5</w:t>
      </w:r>
      <w:r w:rsidRPr="00260136">
        <w:rPr>
          <w:rFonts w:ascii="Cambria" w:hAnsi="Cambria"/>
        </w:rPr>
        <w:tab/>
        <w:t xml:space="preserve">review and monitor the work and well-being of the Grow Ministries Department staff;  </w:t>
      </w:r>
    </w:p>
    <w:p w14:paraId="086DD9E8" w14:textId="77777777" w:rsidR="00D63B36" w:rsidRPr="00260136" w:rsidRDefault="00D63B36" w:rsidP="00D63B36">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260136">
        <w:rPr>
          <w:rFonts w:ascii="Cambria" w:hAnsi="Cambria" w:cstheme="minorHAnsi"/>
        </w:rPr>
        <w:tab/>
      </w:r>
      <w:r w:rsidRPr="00260136">
        <w:rPr>
          <w:rFonts w:ascii="Cambria" w:hAnsi="Cambria" w:cstheme="minorHAnsi"/>
        </w:rPr>
        <w:tab/>
        <w:t>7.2.6</w:t>
      </w:r>
      <w:r w:rsidRPr="00260136">
        <w:rPr>
          <w:rFonts w:ascii="Cambria" w:hAnsi="Cambria" w:cstheme="minorHAnsi"/>
        </w:rPr>
        <w:tab/>
        <w:t>support the performance reviews of the Grow Ministries Director by the Council;  and</w:t>
      </w:r>
    </w:p>
    <w:p w14:paraId="794D524C" w14:textId="77777777" w:rsidR="00D63B36" w:rsidRPr="00260136" w:rsidRDefault="00D63B36" w:rsidP="00D63B36">
      <w:pPr>
        <w:tabs>
          <w:tab w:val="left" w:pos="567"/>
          <w:tab w:val="left" w:pos="1418"/>
          <w:tab w:val="left" w:pos="2268"/>
          <w:tab w:val="left" w:pos="3119"/>
          <w:tab w:val="left" w:pos="3969"/>
        </w:tabs>
        <w:spacing w:after="0" w:line="240" w:lineRule="auto"/>
        <w:ind w:left="2268" w:hanging="2268"/>
        <w:rPr>
          <w:rFonts w:ascii="Cambria" w:hAnsi="Cambria"/>
        </w:rPr>
      </w:pPr>
      <w:r w:rsidRPr="00260136">
        <w:rPr>
          <w:rFonts w:ascii="Cambria" w:hAnsi="Cambria"/>
        </w:rPr>
        <w:tab/>
      </w:r>
      <w:r w:rsidRPr="00260136">
        <w:rPr>
          <w:rFonts w:ascii="Cambria" w:hAnsi="Cambria"/>
        </w:rPr>
        <w:tab/>
        <w:t>7.2.7</w:t>
      </w:r>
      <w:r w:rsidRPr="00260136">
        <w:rPr>
          <w:rFonts w:ascii="Cambria" w:hAnsi="Cambria"/>
        </w:rPr>
        <w:tab/>
        <w:t>supporting the recruitment of the Grow Ministries Director.</w:t>
      </w:r>
    </w:p>
    <w:p w14:paraId="265B3695" w14:textId="77777777" w:rsidR="00D63B36" w:rsidRPr="00260136" w:rsidRDefault="00D63B36" w:rsidP="00D63B36">
      <w:pPr>
        <w:tabs>
          <w:tab w:val="left" w:pos="567"/>
          <w:tab w:val="left" w:pos="1418"/>
          <w:tab w:val="left" w:pos="2268"/>
          <w:tab w:val="left" w:pos="3119"/>
          <w:tab w:val="left" w:pos="3969"/>
        </w:tabs>
        <w:spacing w:after="0" w:line="240" w:lineRule="auto"/>
        <w:ind w:left="567" w:hanging="567"/>
        <w:rPr>
          <w:rFonts w:ascii="Cambria" w:hAnsi="Cambria"/>
        </w:rPr>
      </w:pPr>
    </w:p>
    <w:p w14:paraId="1449A71B" w14:textId="77777777" w:rsidR="00D63B36" w:rsidRPr="00260136" w:rsidRDefault="00D63B36" w:rsidP="00D63B36">
      <w:pPr>
        <w:tabs>
          <w:tab w:val="left" w:pos="567"/>
          <w:tab w:val="left" w:pos="1418"/>
          <w:tab w:val="left" w:pos="2268"/>
          <w:tab w:val="left" w:pos="3119"/>
          <w:tab w:val="left" w:pos="3969"/>
        </w:tabs>
        <w:spacing w:after="0" w:line="240" w:lineRule="auto"/>
        <w:ind w:left="567" w:hanging="567"/>
        <w:rPr>
          <w:rFonts w:ascii="Cambria" w:hAnsi="Cambria"/>
          <w:b/>
        </w:rPr>
      </w:pPr>
      <w:r w:rsidRPr="00260136">
        <w:rPr>
          <w:rFonts w:ascii="Cambria" w:hAnsi="Cambria"/>
          <w:b/>
        </w:rPr>
        <w:t>8.</w:t>
      </w:r>
      <w:r w:rsidRPr="00260136">
        <w:rPr>
          <w:rFonts w:ascii="Cambria" w:hAnsi="Cambria"/>
          <w:b/>
        </w:rPr>
        <w:tab/>
        <w:t>REVIEW</w:t>
      </w:r>
    </w:p>
    <w:p w14:paraId="689C7A64" w14:textId="77777777" w:rsidR="00D63B36" w:rsidRPr="00260136" w:rsidRDefault="00D63B36" w:rsidP="00D63B36">
      <w:pPr>
        <w:tabs>
          <w:tab w:val="left" w:pos="567"/>
          <w:tab w:val="left" w:pos="1418"/>
          <w:tab w:val="left" w:pos="2268"/>
          <w:tab w:val="left" w:pos="3119"/>
          <w:tab w:val="left" w:pos="3969"/>
        </w:tabs>
        <w:spacing w:after="0" w:line="240" w:lineRule="auto"/>
        <w:ind w:left="1418" w:hanging="1418"/>
        <w:rPr>
          <w:rFonts w:ascii="Cambria" w:hAnsi="Cambria"/>
        </w:rPr>
      </w:pPr>
      <w:r w:rsidRPr="00260136">
        <w:rPr>
          <w:rFonts w:ascii="Cambria" w:hAnsi="Cambria"/>
        </w:rPr>
        <w:tab/>
        <w:t>8.1</w:t>
      </w:r>
      <w:r w:rsidRPr="00260136">
        <w:rPr>
          <w:rFonts w:ascii="Cambria" w:hAnsi="Cambria"/>
        </w:rPr>
        <w:tab/>
        <w:t xml:space="preserve">The Terms of Reference for the Committee shall be reviewed during each Synodical term. </w:t>
      </w:r>
    </w:p>
    <w:p w14:paraId="56104863" w14:textId="77777777" w:rsidR="00D63B36" w:rsidRPr="00260136" w:rsidRDefault="00D63B36" w:rsidP="00D63B36">
      <w:pPr>
        <w:tabs>
          <w:tab w:val="left" w:pos="567"/>
          <w:tab w:val="left" w:pos="1418"/>
          <w:tab w:val="left" w:pos="2268"/>
          <w:tab w:val="left" w:pos="3119"/>
          <w:tab w:val="left" w:pos="3969"/>
        </w:tabs>
        <w:spacing w:after="0" w:line="240" w:lineRule="auto"/>
        <w:ind w:left="1418" w:hanging="1418"/>
        <w:rPr>
          <w:rFonts w:ascii="Cambria" w:hAnsi="Cambria"/>
        </w:rPr>
      </w:pPr>
      <w:r w:rsidRPr="00260136">
        <w:rPr>
          <w:rFonts w:ascii="Cambria" w:hAnsi="Cambria"/>
        </w:rPr>
        <w:tab/>
        <w:t>8.2</w:t>
      </w:r>
      <w:r w:rsidRPr="00260136">
        <w:rPr>
          <w:rFonts w:ascii="Cambria" w:hAnsi="Cambria"/>
        </w:rPr>
        <w:tab/>
        <w:t xml:space="preserve">Any changes to the Terms of Reference shall be approved by the Council, upon review by the Standing Committee on Constitutions. </w:t>
      </w:r>
    </w:p>
    <w:p w14:paraId="49B5D3AF" w14:textId="77777777" w:rsidR="00D63B36" w:rsidRPr="00260136" w:rsidRDefault="00D63B36" w:rsidP="00D63B36">
      <w:pPr>
        <w:tabs>
          <w:tab w:val="left" w:pos="567"/>
          <w:tab w:val="left" w:pos="1418"/>
          <w:tab w:val="left" w:pos="2268"/>
          <w:tab w:val="left" w:pos="3119"/>
          <w:tab w:val="left" w:pos="3969"/>
        </w:tabs>
        <w:ind w:left="567" w:hanging="567"/>
        <w:rPr>
          <w:rFonts w:ascii="Cambria" w:hAnsi="Cambria"/>
        </w:rPr>
      </w:pPr>
    </w:p>
    <w:p w14:paraId="78A6FFDB" w14:textId="7FCA4FEE" w:rsidR="00D63B36" w:rsidRPr="002B3F8E" w:rsidRDefault="00D63B36" w:rsidP="00D63B36">
      <w:pPr>
        <w:pStyle w:val="Heading2"/>
      </w:pPr>
      <w:r>
        <w:lastRenderedPageBreak/>
        <w:t>CHURCH WORKER SUPPORT ADVISORY</w:t>
      </w:r>
      <w:r w:rsidRPr="002B3F8E">
        <w:t xml:space="preserve"> COMMITTEE</w:t>
      </w:r>
    </w:p>
    <w:p w14:paraId="39B2791C" w14:textId="77777777" w:rsidR="00D63B36" w:rsidRPr="002B3F8E" w:rsidRDefault="00D63B36" w:rsidP="00D63B36">
      <w:pPr>
        <w:tabs>
          <w:tab w:val="left" w:pos="567"/>
          <w:tab w:val="left" w:pos="1418"/>
          <w:tab w:val="left" w:pos="2268"/>
          <w:tab w:val="left" w:pos="3119"/>
          <w:tab w:val="left" w:pos="3969"/>
        </w:tabs>
        <w:spacing w:after="0" w:line="240" w:lineRule="auto"/>
        <w:ind w:left="567" w:hanging="567"/>
        <w:jc w:val="center"/>
        <w:rPr>
          <w:b/>
        </w:rPr>
      </w:pPr>
    </w:p>
    <w:p w14:paraId="0EDCE717" w14:textId="77777777" w:rsidR="00D63B36" w:rsidRPr="002B3F8E" w:rsidRDefault="00D63B36" w:rsidP="00D63B36">
      <w:pPr>
        <w:pStyle w:val="Heading3"/>
      </w:pPr>
      <w:r w:rsidRPr="002B3F8E">
        <w:t>Terms of Reference</w:t>
      </w:r>
    </w:p>
    <w:p w14:paraId="4B9A0E82" w14:textId="77777777" w:rsidR="00D63B36" w:rsidRPr="002B3F8E" w:rsidRDefault="00D63B36" w:rsidP="00D63B36">
      <w:pPr>
        <w:tabs>
          <w:tab w:val="left" w:pos="567"/>
          <w:tab w:val="left" w:pos="1418"/>
          <w:tab w:val="left" w:pos="2268"/>
          <w:tab w:val="left" w:pos="3119"/>
          <w:tab w:val="left" w:pos="3969"/>
        </w:tabs>
        <w:spacing w:after="0" w:line="240" w:lineRule="auto"/>
        <w:ind w:left="567" w:hanging="567"/>
        <w:jc w:val="center"/>
        <w:rPr>
          <w:b/>
        </w:rPr>
      </w:pPr>
    </w:p>
    <w:p w14:paraId="702B710F" w14:textId="77777777" w:rsidR="00D63B36" w:rsidRPr="002B3F8E" w:rsidRDefault="00D63B36" w:rsidP="00D63B36">
      <w:pPr>
        <w:tabs>
          <w:tab w:val="left" w:pos="567"/>
          <w:tab w:val="left" w:pos="1418"/>
          <w:tab w:val="left" w:pos="2268"/>
          <w:tab w:val="left" w:pos="3119"/>
          <w:tab w:val="left" w:pos="3969"/>
        </w:tabs>
        <w:spacing w:after="0" w:line="240" w:lineRule="auto"/>
        <w:ind w:left="567" w:hanging="567"/>
        <w:jc w:val="center"/>
        <w:rPr>
          <w:b/>
        </w:rPr>
      </w:pPr>
    </w:p>
    <w:p w14:paraId="4D9D3280" w14:textId="77777777" w:rsidR="00D63B36" w:rsidRPr="00D63B36" w:rsidRDefault="00D63B36" w:rsidP="00D63B36">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D63B36">
        <w:rPr>
          <w:rFonts w:ascii="Cambria" w:hAnsi="Cambria" w:cstheme="minorHAnsi"/>
          <w:b/>
        </w:rPr>
        <w:t>1.</w:t>
      </w:r>
      <w:r w:rsidRPr="00D63B36">
        <w:rPr>
          <w:rFonts w:ascii="Cambria" w:hAnsi="Cambria" w:cstheme="minorHAnsi"/>
          <w:b/>
        </w:rPr>
        <w:tab/>
        <w:t xml:space="preserve">NAME </w:t>
      </w:r>
    </w:p>
    <w:p w14:paraId="22A741A0" w14:textId="77777777" w:rsidR="00D63B36" w:rsidRPr="00D63B36" w:rsidRDefault="00D63B36" w:rsidP="00D63B36">
      <w:pPr>
        <w:tabs>
          <w:tab w:val="left" w:pos="567"/>
          <w:tab w:val="left" w:pos="1418"/>
          <w:tab w:val="left" w:pos="2268"/>
          <w:tab w:val="left" w:pos="3119"/>
          <w:tab w:val="left" w:pos="3969"/>
        </w:tabs>
        <w:spacing w:after="0" w:line="240" w:lineRule="auto"/>
        <w:ind w:left="567" w:hanging="567"/>
        <w:rPr>
          <w:rFonts w:ascii="Cambria" w:hAnsi="Cambria" w:cstheme="minorHAnsi"/>
        </w:rPr>
      </w:pPr>
      <w:r w:rsidRPr="00D63B36">
        <w:rPr>
          <w:rFonts w:ascii="Cambria" w:hAnsi="Cambria" w:cstheme="minorHAnsi"/>
        </w:rPr>
        <w:tab/>
        <w:t>Church Worker Support Advisory Committee, referred to as “the Committee”.</w:t>
      </w:r>
    </w:p>
    <w:p w14:paraId="058D6AE6" w14:textId="77777777" w:rsidR="00D63B36" w:rsidRPr="00D63B36" w:rsidRDefault="00D63B36" w:rsidP="00D63B36">
      <w:pPr>
        <w:tabs>
          <w:tab w:val="left" w:pos="567"/>
          <w:tab w:val="left" w:pos="1418"/>
          <w:tab w:val="left" w:pos="2268"/>
          <w:tab w:val="left" w:pos="3119"/>
          <w:tab w:val="left" w:pos="3969"/>
        </w:tabs>
        <w:spacing w:after="0" w:line="240" w:lineRule="auto"/>
        <w:ind w:left="567" w:hanging="567"/>
        <w:rPr>
          <w:rFonts w:ascii="Cambria" w:hAnsi="Cambria" w:cstheme="minorHAnsi"/>
        </w:rPr>
      </w:pPr>
    </w:p>
    <w:p w14:paraId="1D4AAFE1" w14:textId="77777777" w:rsidR="00D63B36" w:rsidRPr="00D63B36" w:rsidRDefault="00D63B36" w:rsidP="00D63B36">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D63B36">
        <w:rPr>
          <w:rFonts w:ascii="Cambria" w:hAnsi="Cambria" w:cstheme="minorHAnsi"/>
          <w:b/>
        </w:rPr>
        <w:t>2.</w:t>
      </w:r>
      <w:r w:rsidRPr="00D63B36">
        <w:rPr>
          <w:rFonts w:ascii="Cambria" w:hAnsi="Cambria" w:cstheme="minorHAnsi"/>
          <w:b/>
        </w:rPr>
        <w:tab/>
        <w:t>RELATIONSHIP TO THE CHURCH</w:t>
      </w:r>
    </w:p>
    <w:p w14:paraId="554A18AA" w14:textId="77777777" w:rsidR="00D63B36" w:rsidRPr="00D63B36" w:rsidRDefault="00D63B36" w:rsidP="00D63B36">
      <w:pPr>
        <w:tabs>
          <w:tab w:val="left" w:pos="567"/>
          <w:tab w:val="left" w:pos="1418"/>
          <w:tab w:val="left" w:pos="2268"/>
          <w:tab w:val="left" w:pos="3119"/>
          <w:tab w:val="left" w:pos="3969"/>
        </w:tabs>
        <w:spacing w:after="0" w:line="240" w:lineRule="auto"/>
        <w:ind w:left="567" w:hanging="567"/>
        <w:rPr>
          <w:rFonts w:ascii="Cambria" w:hAnsi="Cambria" w:cstheme="minorHAnsi"/>
        </w:rPr>
      </w:pPr>
      <w:r w:rsidRPr="00D63B36">
        <w:rPr>
          <w:rFonts w:ascii="Cambria" w:hAnsi="Cambria" w:cstheme="minorHAnsi"/>
        </w:rPr>
        <w:tab/>
        <w:t>The Committee is a committee of the Office of the Bishop and shall fulfil its responsibilities in keeping with the Constitution and the policies of the Church.</w:t>
      </w:r>
    </w:p>
    <w:p w14:paraId="16A10801" w14:textId="77777777" w:rsidR="00D63B36" w:rsidRPr="00D63B36" w:rsidRDefault="00D63B36" w:rsidP="00D63B36">
      <w:pPr>
        <w:tabs>
          <w:tab w:val="left" w:pos="567"/>
          <w:tab w:val="left" w:pos="1418"/>
          <w:tab w:val="left" w:pos="2268"/>
          <w:tab w:val="left" w:pos="3119"/>
          <w:tab w:val="left" w:pos="3969"/>
        </w:tabs>
        <w:spacing w:after="0" w:line="240" w:lineRule="auto"/>
        <w:ind w:left="567" w:hanging="567"/>
        <w:rPr>
          <w:rFonts w:ascii="Cambria" w:hAnsi="Cambria" w:cstheme="minorHAnsi"/>
        </w:rPr>
      </w:pPr>
    </w:p>
    <w:p w14:paraId="3ABCC476" w14:textId="77777777" w:rsidR="00D63B36" w:rsidRPr="00D63B36" w:rsidRDefault="00D63B36" w:rsidP="00D63B36">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D63B36">
        <w:rPr>
          <w:rFonts w:ascii="Cambria" w:hAnsi="Cambria" w:cstheme="minorHAnsi"/>
          <w:b/>
        </w:rPr>
        <w:t>3.</w:t>
      </w:r>
      <w:r w:rsidRPr="00D63B36">
        <w:rPr>
          <w:rFonts w:ascii="Cambria" w:hAnsi="Cambria" w:cstheme="minorHAnsi"/>
          <w:b/>
        </w:rPr>
        <w:tab/>
        <w:t>PURPOSE</w:t>
      </w:r>
    </w:p>
    <w:p w14:paraId="76C9C23F" w14:textId="77777777" w:rsidR="00D63B36" w:rsidRPr="00D63B36" w:rsidRDefault="00D63B36" w:rsidP="00D63B36">
      <w:pPr>
        <w:tabs>
          <w:tab w:val="left" w:pos="567"/>
          <w:tab w:val="left" w:pos="1418"/>
          <w:tab w:val="left" w:pos="2268"/>
          <w:tab w:val="left" w:pos="3119"/>
          <w:tab w:val="left" w:pos="3969"/>
        </w:tabs>
        <w:spacing w:after="0" w:line="240" w:lineRule="auto"/>
        <w:ind w:left="567" w:hanging="567"/>
        <w:rPr>
          <w:rFonts w:ascii="Cambria" w:hAnsi="Cambria" w:cstheme="minorHAnsi"/>
        </w:rPr>
      </w:pPr>
      <w:r w:rsidRPr="00D63B36">
        <w:rPr>
          <w:rFonts w:ascii="Cambria" w:hAnsi="Cambria" w:cstheme="minorHAnsi"/>
        </w:rPr>
        <w:tab/>
        <w:t>The Committee shall provide advice to the Manager, Church Worker Support and the Executive Officer of the Church (EOC) in carrying out the work of the Church Worker Support Department to assist employing and calling bodies of the Church in supporting their employees and/or called pastors, as well as people serving in a volunteer capacity.</w:t>
      </w:r>
    </w:p>
    <w:p w14:paraId="352DF3DB" w14:textId="77777777" w:rsidR="00D63B36" w:rsidRPr="00D63B36" w:rsidRDefault="00D63B36" w:rsidP="00D63B36">
      <w:pPr>
        <w:tabs>
          <w:tab w:val="left" w:pos="567"/>
          <w:tab w:val="left" w:pos="1418"/>
          <w:tab w:val="left" w:pos="2268"/>
          <w:tab w:val="left" w:pos="3119"/>
          <w:tab w:val="left" w:pos="3969"/>
        </w:tabs>
        <w:spacing w:after="0" w:line="240" w:lineRule="auto"/>
        <w:ind w:left="567" w:hanging="567"/>
        <w:rPr>
          <w:rFonts w:ascii="Cambria" w:hAnsi="Cambria" w:cstheme="minorHAnsi"/>
        </w:rPr>
      </w:pPr>
    </w:p>
    <w:p w14:paraId="3EF0F3E6" w14:textId="77777777" w:rsidR="00D63B36" w:rsidRPr="00D63B36" w:rsidRDefault="00D63B36" w:rsidP="00D63B36">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D63B36">
        <w:rPr>
          <w:rFonts w:ascii="Cambria" w:hAnsi="Cambria" w:cstheme="minorHAnsi"/>
          <w:b/>
        </w:rPr>
        <w:t>4.</w:t>
      </w:r>
      <w:r w:rsidRPr="00D63B36">
        <w:rPr>
          <w:rFonts w:ascii="Cambria" w:hAnsi="Cambria" w:cstheme="minorHAnsi"/>
          <w:b/>
        </w:rPr>
        <w:tab/>
        <w:t>AUTHORITY</w:t>
      </w:r>
    </w:p>
    <w:p w14:paraId="3CC98224" w14:textId="77777777" w:rsidR="00D63B36" w:rsidRPr="00D63B36" w:rsidRDefault="00D63B36" w:rsidP="00D63B36">
      <w:pPr>
        <w:tabs>
          <w:tab w:val="left" w:pos="567"/>
          <w:tab w:val="left" w:pos="1418"/>
          <w:tab w:val="left" w:pos="2268"/>
          <w:tab w:val="left" w:pos="3119"/>
          <w:tab w:val="left" w:pos="3969"/>
        </w:tabs>
        <w:spacing w:after="0" w:line="240" w:lineRule="auto"/>
        <w:ind w:left="567" w:hanging="567"/>
        <w:rPr>
          <w:rFonts w:ascii="Cambria" w:hAnsi="Cambria" w:cstheme="minorHAnsi"/>
        </w:rPr>
      </w:pPr>
      <w:r w:rsidRPr="00D63B36">
        <w:rPr>
          <w:rFonts w:ascii="Cambria" w:hAnsi="Cambria" w:cstheme="minorHAnsi"/>
        </w:rPr>
        <w:tab/>
        <w:t>The Committee has no decision-making authority.</w:t>
      </w:r>
    </w:p>
    <w:p w14:paraId="199272C7" w14:textId="77777777" w:rsidR="00D63B36" w:rsidRPr="00D63B36" w:rsidRDefault="00D63B36" w:rsidP="00D63B36">
      <w:pPr>
        <w:tabs>
          <w:tab w:val="left" w:pos="567"/>
          <w:tab w:val="left" w:pos="1418"/>
          <w:tab w:val="left" w:pos="2268"/>
          <w:tab w:val="left" w:pos="3119"/>
          <w:tab w:val="left" w:pos="3969"/>
        </w:tabs>
        <w:spacing w:after="0" w:line="240" w:lineRule="auto"/>
        <w:ind w:left="567" w:hanging="567"/>
        <w:rPr>
          <w:rFonts w:ascii="Cambria" w:hAnsi="Cambria" w:cstheme="minorHAnsi"/>
        </w:rPr>
      </w:pPr>
    </w:p>
    <w:p w14:paraId="2249EBA6" w14:textId="77777777" w:rsidR="00D63B36" w:rsidRPr="00D63B36" w:rsidRDefault="00D63B36" w:rsidP="00D63B36">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D63B36">
        <w:rPr>
          <w:rFonts w:ascii="Cambria" w:hAnsi="Cambria" w:cstheme="minorHAnsi"/>
          <w:b/>
        </w:rPr>
        <w:t>5.</w:t>
      </w:r>
      <w:r w:rsidRPr="00D63B36">
        <w:rPr>
          <w:rFonts w:ascii="Cambria" w:hAnsi="Cambria" w:cstheme="minorHAnsi"/>
          <w:b/>
        </w:rPr>
        <w:tab/>
        <w:t>MEMBERSHIP</w:t>
      </w:r>
    </w:p>
    <w:p w14:paraId="08E2115B" w14:textId="77777777" w:rsidR="00D63B36" w:rsidRPr="00D63B36" w:rsidRDefault="00D63B36" w:rsidP="00D63B36">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D63B36">
        <w:rPr>
          <w:rFonts w:ascii="Cambria" w:hAnsi="Cambria" w:cstheme="minorHAnsi"/>
        </w:rPr>
        <w:tab/>
        <w:t>5.1</w:t>
      </w:r>
      <w:r w:rsidRPr="00D63B36">
        <w:rPr>
          <w:rFonts w:ascii="Cambria" w:hAnsi="Cambria" w:cstheme="minorHAnsi"/>
        </w:rPr>
        <w:tab/>
        <w:t>The Committee shall consist of seven [7] members:</w:t>
      </w:r>
    </w:p>
    <w:p w14:paraId="63C07F90" w14:textId="77777777" w:rsidR="00D63B36" w:rsidRPr="00D63B36" w:rsidRDefault="00D63B36" w:rsidP="00D63B36">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D63B36">
        <w:rPr>
          <w:rFonts w:ascii="Cambria" w:hAnsi="Cambria" w:cstheme="minorHAnsi"/>
        </w:rPr>
        <w:tab/>
      </w:r>
      <w:r w:rsidRPr="00D63B36">
        <w:rPr>
          <w:rFonts w:ascii="Cambria" w:hAnsi="Cambria" w:cstheme="minorHAnsi"/>
        </w:rPr>
        <w:tab/>
        <w:t>5.1.1</w:t>
      </w:r>
      <w:r w:rsidRPr="00D63B36">
        <w:rPr>
          <w:rFonts w:ascii="Cambria" w:hAnsi="Cambria" w:cstheme="minorHAnsi"/>
        </w:rPr>
        <w:tab/>
        <w:t xml:space="preserve">five [5] members appointed by the EOC from recommendations by the Standing Committee on Nominations; </w:t>
      </w:r>
    </w:p>
    <w:p w14:paraId="6AEA974B" w14:textId="77777777" w:rsidR="00D63B36" w:rsidRPr="00D63B36" w:rsidRDefault="00D63B36" w:rsidP="00D63B36">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D63B36">
        <w:rPr>
          <w:rFonts w:ascii="Cambria" w:hAnsi="Cambria" w:cstheme="minorHAnsi"/>
        </w:rPr>
        <w:tab/>
      </w:r>
      <w:r w:rsidRPr="00D63B36">
        <w:rPr>
          <w:rFonts w:ascii="Cambria" w:hAnsi="Cambria" w:cstheme="minorHAnsi"/>
        </w:rPr>
        <w:tab/>
        <w:t>5.1.2</w:t>
      </w:r>
      <w:r w:rsidRPr="00D63B36">
        <w:rPr>
          <w:rFonts w:ascii="Cambria" w:hAnsi="Cambria" w:cstheme="minorHAnsi"/>
        </w:rPr>
        <w:tab/>
        <w:t xml:space="preserve">one [1] pastor appointed by the College of Bishops;  and </w:t>
      </w:r>
    </w:p>
    <w:p w14:paraId="44BB0C3C" w14:textId="77777777" w:rsidR="00D63B36" w:rsidRPr="00D63B36" w:rsidRDefault="00D63B36" w:rsidP="00D63B36">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D63B36">
        <w:rPr>
          <w:rFonts w:ascii="Cambria" w:hAnsi="Cambria" w:cstheme="minorHAnsi"/>
        </w:rPr>
        <w:tab/>
      </w:r>
      <w:r w:rsidRPr="00D63B36">
        <w:rPr>
          <w:rFonts w:ascii="Cambria" w:hAnsi="Cambria" w:cstheme="minorHAnsi"/>
        </w:rPr>
        <w:tab/>
        <w:t>5.1.3</w:t>
      </w:r>
      <w:r w:rsidRPr="00D63B36">
        <w:rPr>
          <w:rFonts w:ascii="Cambria" w:hAnsi="Cambria" w:cstheme="minorHAnsi"/>
        </w:rPr>
        <w:tab/>
        <w:t>the EOC as the Chairperson.</w:t>
      </w:r>
    </w:p>
    <w:p w14:paraId="56D13A87" w14:textId="77777777" w:rsidR="00D63B36" w:rsidRPr="00D63B36" w:rsidRDefault="00D63B36" w:rsidP="00D63B36">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D63B36">
        <w:rPr>
          <w:rFonts w:ascii="Cambria" w:hAnsi="Cambria" w:cstheme="minorHAnsi"/>
        </w:rPr>
        <w:tab/>
        <w:t>5.2</w:t>
      </w:r>
      <w:r w:rsidRPr="00D63B36">
        <w:rPr>
          <w:rFonts w:ascii="Cambria" w:hAnsi="Cambria" w:cstheme="minorHAnsi"/>
        </w:rPr>
        <w:tab/>
        <w:t xml:space="preserve">The Committee shall consist of appointed members with a passion for mission and ministry and relevant skills, qualifications and experience in one or more of the following areas: </w:t>
      </w:r>
    </w:p>
    <w:p w14:paraId="33BF39FD" w14:textId="77777777" w:rsidR="00D63B36" w:rsidRPr="00D63B36" w:rsidRDefault="00D63B36" w:rsidP="00D63B36">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D63B36">
        <w:rPr>
          <w:rFonts w:ascii="Cambria" w:hAnsi="Cambria" w:cstheme="minorHAnsi"/>
        </w:rPr>
        <w:tab/>
      </w:r>
      <w:r w:rsidRPr="00D63B36">
        <w:rPr>
          <w:rFonts w:ascii="Cambria" w:hAnsi="Cambria" w:cstheme="minorHAnsi"/>
        </w:rPr>
        <w:tab/>
        <w:t>5.2.1</w:t>
      </w:r>
      <w:r w:rsidRPr="00D63B36">
        <w:rPr>
          <w:rFonts w:ascii="Cambria" w:hAnsi="Cambria" w:cstheme="minorHAnsi"/>
        </w:rPr>
        <w:tab/>
        <w:t xml:space="preserve">human resource management; </w:t>
      </w:r>
    </w:p>
    <w:p w14:paraId="4A207CCC" w14:textId="77777777" w:rsidR="00D63B36" w:rsidRPr="00D63B36" w:rsidRDefault="00D63B36" w:rsidP="00D63B36">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D63B36">
        <w:rPr>
          <w:rFonts w:ascii="Cambria" w:hAnsi="Cambria" w:cstheme="minorHAnsi"/>
        </w:rPr>
        <w:tab/>
      </w:r>
      <w:r w:rsidRPr="00D63B36">
        <w:rPr>
          <w:rFonts w:ascii="Cambria" w:hAnsi="Cambria" w:cstheme="minorHAnsi"/>
        </w:rPr>
        <w:tab/>
        <w:t>5.2.2</w:t>
      </w:r>
      <w:r w:rsidRPr="00D63B36">
        <w:rPr>
          <w:rFonts w:ascii="Cambria" w:hAnsi="Cambria" w:cstheme="minorHAnsi"/>
        </w:rPr>
        <w:tab/>
        <w:t xml:space="preserve">workplace health and safety; </w:t>
      </w:r>
    </w:p>
    <w:p w14:paraId="5B606870" w14:textId="77777777" w:rsidR="00D63B36" w:rsidRPr="00D63B36" w:rsidRDefault="00D63B36" w:rsidP="00D63B36">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D63B36">
        <w:rPr>
          <w:rFonts w:ascii="Cambria" w:hAnsi="Cambria" w:cstheme="minorHAnsi"/>
        </w:rPr>
        <w:tab/>
      </w:r>
      <w:r w:rsidRPr="00D63B36">
        <w:rPr>
          <w:rFonts w:ascii="Cambria" w:hAnsi="Cambria" w:cstheme="minorHAnsi"/>
        </w:rPr>
        <w:tab/>
        <w:t>5.2.3</w:t>
      </w:r>
      <w:r w:rsidRPr="00D63B36">
        <w:rPr>
          <w:rFonts w:ascii="Cambria" w:hAnsi="Cambria" w:cstheme="minorHAnsi"/>
        </w:rPr>
        <w:tab/>
        <w:t xml:space="preserve">industrial relations; </w:t>
      </w:r>
    </w:p>
    <w:p w14:paraId="1C9371B9" w14:textId="77777777" w:rsidR="00D63B36" w:rsidRPr="00D63B36" w:rsidRDefault="00D63B36" w:rsidP="00D63B36">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D63B36">
        <w:rPr>
          <w:rFonts w:ascii="Cambria" w:hAnsi="Cambria" w:cstheme="minorHAnsi"/>
        </w:rPr>
        <w:tab/>
      </w:r>
      <w:r w:rsidRPr="00D63B36">
        <w:rPr>
          <w:rFonts w:ascii="Cambria" w:hAnsi="Cambria" w:cstheme="minorHAnsi"/>
        </w:rPr>
        <w:tab/>
        <w:t>5.2.4</w:t>
      </w:r>
      <w:r w:rsidRPr="00D63B36">
        <w:rPr>
          <w:rFonts w:ascii="Cambria" w:hAnsi="Cambria" w:cstheme="minorHAnsi"/>
        </w:rPr>
        <w:tab/>
        <w:t xml:space="preserve">legal practice; </w:t>
      </w:r>
    </w:p>
    <w:p w14:paraId="5F7E824C" w14:textId="77777777" w:rsidR="00D63B36" w:rsidRPr="00D63B36" w:rsidRDefault="00D63B36" w:rsidP="00D63B36">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D63B36">
        <w:rPr>
          <w:rFonts w:ascii="Cambria" w:hAnsi="Cambria" w:cstheme="minorHAnsi"/>
        </w:rPr>
        <w:tab/>
      </w:r>
      <w:r w:rsidRPr="00D63B36">
        <w:rPr>
          <w:rFonts w:ascii="Cambria" w:hAnsi="Cambria" w:cstheme="minorHAnsi"/>
        </w:rPr>
        <w:tab/>
        <w:t>5.2.5</w:t>
      </w:r>
      <w:r w:rsidRPr="00D63B36">
        <w:rPr>
          <w:rFonts w:ascii="Cambria" w:hAnsi="Cambria" w:cstheme="minorHAnsi"/>
        </w:rPr>
        <w:tab/>
        <w:t xml:space="preserve">church administration and/or governance; </w:t>
      </w:r>
    </w:p>
    <w:p w14:paraId="13599160" w14:textId="77777777" w:rsidR="00D63B36" w:rsidRPr="00D63B36" w:rsidRDefault="00D63B36" w:rsidP="00D63B36">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D63B36">
        <w:rPr>
          <w:rFonts w:ascii="Cambria" w:hAnsi="Cambria" w:cstheme="minorHAnsi"/>
        </w:rPr>
        <w:tab/>
      </w:r>
      <w:r w:rsidRPr="00D63B36">
        <w:rPr>
          <w:rFonts w:ascii="Cambria" w:hAnsi="Cambria" w:cstheme="minorHAnsi"/>
        </w:rPr>
        <w:tab/>
        <w:t>5.2.6</w:t>
      </w:r>
      <w:r w:rsidRPr="00D63B36">
        <w:rPr>
          <w:rFonts w:ascii="Cambria" w:hAnsi="Cambria" w:cstheme="minorHAnsi"/>
        </w:rPr>
        <w:tab/>
        <w:t xml:space="preserve">lay ministry; </w:t>
      </w:r>
    </w:p>
    <w:p w14:paraId="6E2ADBB3" w14:textId="77777777" w:rsidR="00D63B36" w:rsidRPr="00D63B36" w:rsidRDefault="00D63B36" w:rsidP="00D63B36">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D63B36">
        <w:rPr>
          <w:rFonts w:ascii="Cambria" w:hAnsi="Cambria" w:cstheme="minorHAnsi"/>
        </w:rPr>
        <w:tab/>
      </w:r>
      <w:r w:rsidRPr="00D63B36">
        <w:rPr>
          <w:rFonts w:ascii="Cambria" w:hAnsi="Cambria" w:cstheme="minorHAnsi"/>
        </w:rPr>
        <w:tab/>
        <w:t>5.2.7</w:t>
      </w:r>
      <w:r w:rsidRPr="00D63B36">
        <w:rPr>
          <w:rFonts w:ascii="Cambria" w:hAnsi="Cambria" w:cstheme="minorHAnsi"/>
        </w:rPr>
        <w:tab/>
        <w:t xml:space="preserve">adult education or professional development;  or </w:t>
      </w:r>
    </w:p>
    <w:p w14:paraId="7D3B5B55" w14:textId="77777777" w:rsidR="00D63B36" w:rsidRPr="00D63B36" w:rsidRDefault="00D63B36" w:rsidP="00D63B36">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D63B36">
        <w:rPr>
          <w:rFonts w:ascii="Cambria" w:hAnsi="Cambria" w:cstheme="minorHAnsi"/>
        </w:rPr>
        <w:tab/>
      </w:r>
      <w:r w:rsidRPr="00D63B36">
        <w:rPr>
          <w:rFonts w:ascii="Cambria" w:hAnsi="Cambria" w:cstheme="minorHAnsi"/>
        </w:rPr>
        <w:tab/>
        <w:t>5.2.8</w:t>
      </w:r>
      <w:r w:rsidRPr="00D63B36">
        <w:rPr>
          <w:rFonts w:ascii="Cambria" w:hAnsi="Cambria" w:cstheme="minorHAnsi"/>
        </w:rPr>
        <w:tab/>
        <w:t>organisational psychology.</w:t>
      </w:r>
    </w:p>
    <w:p w14:paraId="692BCF13" w14:textId="77777777" w:rsidR="00D63B36" w:rsidRPr="00D63B36" w:rsidRDefault="00D63B36" w:rsidP="00D63B36">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D63B36">
        <w:rPr>
          <w:rFonts w:ascii="Cambria" w:hAnsi="Cambria" w:cstheme="minorHAnsi"/>
        </w:rPr>
        <w:tab/>
        <w:t>5.3</w:t>
      </w:r>
      <w:r w:rsidRPr="00D63B36">
        <w:rPr>
          <w:rFonts w:ascii="Cambria" w:hAnsi="Cambria" w:cstheme="minorHAnsi"/>
        </w:rPr>
        <w:tab/>
        <w:t>The membership shall include a mix of backgrounds and perspectives which, together with the relevant skills, qualifications and experience that will enable the Committee to fulfil its role.</w:t>
      </w:r>
    </w:p>
    <w:p w14:paraId="50B40E34" w14:textId="77777777" w:rsidR="00D63B36" w:rsidRPr="00D63B36" w:rsidRDefault="00D63B36" w:rsidP="00D63B36">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D63B36">
        <w:rPr>
          <w:rFonts w:ascii="Cambria" w:hAnsi="Cambria" w:cstheme="minorHAnsi"/>
        </w:rPr>
        <w:tab/>
        <w:t>5.4</w:t>
      </w:r>
      <w:r w:rsidRPr="00D63B36">
        <w:rPr>
          <w:rFonts w:ascii="Cambria" w:hAnsi="Cambria" w:cstheme="minorHAnsi"/>
        </w:rPr>
        <w:tab/>
        <w:t>The EOC may delegate the role of Chairperson to another member of the Committee, in consultation with the members of the Committee.</w:t>
      </w:r>
    </w:p>
    <w:p w14:paraId="2691B5DC" w14:textId="77777777" w:rsidR="00D63B36" w:rsidRPr="00D63B36" w:rsidRDefault="00D63B36" w:rsidP="00D63B36">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D63B36">
        <w:rPr>
          <w:rFonts w:ascii="Cambria" w:hAnsi="Cambria" w:cstheme="minorHAnsi"/>
        </w:rPr>
        <w:tab/>
        <w:t>5.5</w:t>
      </w:r>
      <w:r w:rsidRPr="00D63B36">
        <w:rPr>
          <w:rFonts w:ascii="Cambria" w:hAnsi="Cambria" w:cstheme="minorHAnsi"/>
        </w:rPr>
        <w:tab/>
        <w:t>Other persons may be invited to bring their knowledge and experience to a meeting to assist in the deliberations of the Committee.</w:t>
      </w:r>
    </w:p>
    <w:p w14:paraId="3EFA9203" w14:textId="77777777" w:rsidR="00D63B36" w:rsidRPr="00D63B36" w:rsidRDefault="00D63B36" w:rsidP="00D63B36">
      <w:pPr>
        <w:tabs>
          <w:tab w:val="left" w:pos="567"/>
          <w:tab w:val="left" w:pos="1418"/>
          <w:tab w:val="left" w:pos="2268"/>
          <w:tab w:val="left" w:pos="3119"/>
          <w:tab w:val="left" w:pos="3969"/>
        </w:tabs>
        <w:spacing w:after="0" w:line="240" w:lineRule="auto"/>
        <w:ind w:left="567" w:hanging="567"/>
        <w:rPr>
          <w:rFonts w:ascii="Cambria" w:hAnsi="Cambria" w:cstheme="minorHAnsi"/>
        </w:rPr>
      </w:pPr>
    </w:p>
    <w:p w14:paraId="2DC055CE" w14:textId="77777777" w:rsidR="00D63B36" w:rsidRPr="00D63B36" w:rsidRDefault="00D63B36" w:rsidP="00D63B36">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D63B36">
        <w:rPr>
          <w:rFonts w:ascii="Cambria" w:hAnsi="Cambria" w:cstheme="minorHAnsi"/>
          <w:b/>
        </w:rPr>
        <w:t>6.</w:t>
      </w:r>
      <w:r w:rsidRPr="00D63B36">
        <w:rPr>
          <w:rFonts w:ascii="Cambria" w:hAnsi="Cambria" w:cstheme="minorHAnsi"/>
          <w:b/>
        </w:rPr>
        <w:tab/>
        <w:t>MEETING ARRANGEMENTS AND REPORTING</w:t>
      </w:r>
    </w:p>
    <w:p w14:paraId="46A89C13" w14:textId="77777777" w:rsidR="00D63B36" w:rsidRPr="00D63B36" w:rsidRDefault="00D63B36" w:rsidP="00D63B36">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D63B36">
        <w:rPr>
          <w:rFonts w:ascii="Cambria" w:hAnsi="Cambria" w:cstheme="minorHAnsi"/>
        </w:rPr>
        <w:tab/>
        <w:t>6.1</w:t>
      </w:r>
      <w:r w:rsidRPr="00D63B36">
        <w:rPr>
          <w:rFonts w:ascii="Cambria" w:hAnsi="Cambria" w:cstheme="minorHAnsi"/>
        </w:rPr>
        <w:tab/>
        <w:t xml:space="preserve">Meetings shall be convened by the Chairperson or, by delegation, the Manager, Church Worker Support Department.  </w:t>
      </w:r>
    </w:p>
    <w:p w14:paraId="4D784F61" w14:textId="77777777" w:rsidR="00D63B36" w:rsidRPr="00D63B36" w:rsidRDefault="00D63B36" w:rsidP="00D63B36">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D63B36">
        <w:rPr>
          <w:rFonts w:ascii="Cambria" w:hAnsi="Cambria" w:cstheme="minorHAnsi"/>
        </w:rPr>
        <w:tab/>
        <w:t>6.2</w:t>
      </w:r>
      <w:r w:rsidRPr="00D63B36">
        <w:rPr>
          <w:rFonts w:ascii="Cambria" w:hAnsi="Cambria" w:cstheme="minorHAnsi"/>
        </w:rPr>
        <w:tab/>
        <w:t>It is at the discretion of the Committee to meet face-to-face, by electronic means, or by other means of communication.</w:t>
      </w:r>
    </w:p>
    <w:p w14:paraId="1B8A2B36" w14:textId="77777777" w:rsidR="00D63B36" w:rsidRPr="00D63B36" w:rsidRDefault="00D63B36" w:rsidP="00D63B36">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D63B36">
        <w:rPr>
          <w:rFonts w:ascii="Cambria" w:hAnsi="Cambria" w:cstheme="minorHAnsi"/>
        </w:rPr>
        <w:tab/>
        <w:t>6.3</w:t>
      </w:r>
      <w:r w:rsidRPr="00D63B36">
        <w:rPr>
          <w:rFonts w:ascii="Cambria" w:hAnsi="Cambria" w:cstheme="minorHAnsi"/>
        </w:rPr>
        <w:tab/>
        <w:t>Email correspondence may be used for the distribution of minutes, advisory information or approval of documentation.</w:t>
      </w:r>
    </w:p>
    <w:p w14:paraId="1EA86A78" w14:textId="77777777" w:rsidR="00D63B36" w:rsidRPr="00D63B36" w:rsidRDefault="00D63B36" w:rsidP="00D63B36">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D63B36">
        <w:rPr>
          <w:rFonts w:ascii="Cambria" w:hAnsi="Cambria" w:cstheme="minorHAnsi"/>
        </w:rPr>
        <w:tab/>
        <w:t>6.4</w:t>
      </w:r>
      <w:r w:rsidRPr="00D63B36">
        <w:rPr>
          <w:rFonts w:ascii="Cambria" w:hAnsi="Cambria" w:cstheme="minorHAnsi"/>
        </w:rPr>
        <w:tab/>
        <w:t>The minutes of the meetings of the Committee shall be submitted to the EOC.</w:t>
      </w:r>
    </w:p>
    <w:p w14:paraId="3E094BBF" w14:textId="77777777" w:rsidR="00D63B36" w:rsidRPr="00D63B36" w:rsidRDefault="00D63B36" w:rsidP="00D63B36">
      <w:pPr>
        <w:tabs>
          <w:tab w:val="left" w:pos="567"/>
          <w:tab w:val="left" w:pos="1418"/>
          <w:tab w:val="left" w:pos="2268"/>
          <w:tab w:val="left" w:pos="3119"/>
          <w:tab w:val="left" w:pos="3969"/>
        </w:tabs>
        <w:spacing w:after="0" w:line="240" w:lineRule="auto"/>
        <w:ind w:left="567" w:hanging="567"/>
        <w:rPr>
          <w:rFonts w:ascii="Cambria" w:hAnsi="Cambria"/>
        </w:rPr>
      </w:pPr>
      <w:r w:rsidRPr="00D63B36">
        <w:rPr>
          <w:rFonts w:ascii="Cambria" w:hAnsi="Cambria"/>
        </w:rPr>
        <w:lastRenderedPageBreak/>
        <w:tab/>
        <w:t>6.5</w:t>
      </w:r>
      <w:r w:rsidRPr="00D63B36">
        <w:rPr>
          <w:rFonts w:ascii="Cambria" w:hAnsi="Cambria"/>
        </w:rPr>
        <w:tab/>
        <w:t>An annual report shall be submitted to General Church Board.</w:t>
      </w:r>
    </w:p>
    <w:p w14:paraId="05ABA32D" w14:textId="77777777" w:rsidR="00D63B36" w:rsidRPr="00D63B36" w:rsidRDefault="00D63B36" w:rsidP="00D63B36">
      <w:pPr>
        <w:tabs>
          <w:tab w:val="left" w:pos="567"/>
          <w:tab w:val="left" w:pos="1418"/>
          <w:tab w:val="left" w:pos="2268"/>
          <w:tab w:val="left" w:pos="3119"/>
          <w:tab w:val="left" w:pos="3969"/>
        </w:tabs>
        <w:spacing w:after="0" w:line="240" w:lineRule="auto"/>
        <w:ind w:left="567" w:hanging="567"/>
        <w:rPr>
          <w:rFonts w:ascii="Cambria" w:hAnsi="Cambria" w:cstheme="minorHAnsi"/>
          <w:b/>
        </w:rPr>
      </w:pPr>
    </w:p>
    <w:p w14:paraId="249F9F16" w14:textId="77777777" w:rsidR="00D63B36" w:rsidRPr="00D63B36" w:rsidRDefault="00D63B36" w:rsidP="00D63B36">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D63B36">
        <w:rPr>
          <w:rFonts w:ascii="Cambria" w:hAnsi="Cambria" w:cstheme="minorHAnsi"/>
          <w:b/>
        </w:rPr>
        <w:t>7.</w:t>
      </w:r>
      <w:r w:rsidRPr="00D63B36">
        <w:rPr>
          <w:rFonts w:ascii="Cambria" w:hAnsi="Cambria" w:cstheme="minorHAnsi"/>
          <w:b/>
        </w:rPr>
        <w:tab/>
        <w:t>RESPONSIBILITIES</w:t>
      </w:r>
    </w:p>
    <w:p w14:paraId="1AA6C924" w14:textId="77777777" w:rsidR="00D63B36" w:rsidRPr="00D63B36" w:rsidRDefault="00D63B36" w:rsidP="00D63B36">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D63B36">
        <w:rPr>
          <w:rFonts w:ascii="Cambria" w:hAnsi="Cambria" w:cstheme="minorHAnsi"/>
        </w:rPr>
        <w:tab/>
        <w:t>7.1</w:t>
      </w:r>
      <w:r w:rsidRPr="00D63B36">
        <w:rPr>
          <w:rFonts w:ascii="Cambria" w:hAnsi="Cambria" w:cstheme="minorHAnsi"/>
        </w:rPr>
        <w:tab/>
        <w:t>The Committee shall be a support group to the Manager, Church Worker Support Department, and provide advice to the EOC, as necessary.</w:t>
      </w:r>
    </w:p>
    <w:p w14:paraId="0B7F1BC2" w14:textId="77777777" w:rsidR="00D63B36" w:rsidRPr="00D63B36" w:rsidRDefault="00D63B36" w:rsidP="00D63B36">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D63B36">
        <w:rPr>
          <w:rFonts w:ascii="Cambria" w:hAnsi="Cambria" w:cstheme="minorHAnsi"/>
        </w:rPr>
        <w:tab/>
        <w:t>7.2</w:t>
      </w:r>
      <w:r w:rsidRPr="00D63B36">
        <w:rPr>
          <w:rFonts w:ascii="Cambria" w:hAnsi="Cambria" w:cstheme="minorHAnsi"/>
        </w:rPr>
        <w:tab/>
        <w:t>The Committee shall provide advice and support in regard to</w:t>
      </w:r>
    </w:p>
    <w:p w14:paraId="2658A55D" w14:textId="77777777" w:rsidR="00D63B36" w:rsidRPr="00D63B36" w:rsidRDefault="00D63B36" w:rsidP="00D63B36">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D63B36">
        <w:rPr>
          <w:rFonts w:ascii="Cambria" w:hAnsi="Cambria" w:cstheme="minorHAnsi"/>
        </w:rPr>
        <w:tab/>
      </w:r>
      <w:r w:rsidRPr="00D63B36">
        <w:rPr>
          <w:rFonts w:ascii="Cambria" w:hAnsi="Cambria" w:cstheme="minorHAnsi"/>
        </w:rPr>
        <w:tab/>
        <w:t>7.2.1</w:t>
      </w:r>
      <w:r w:rsidRPr="00D63B36">
        <w:rPr>
          <w:rFonts w:ascii="Cambria" w:hAnsi="Cambria" w:cstheme="minorHAnsi"/>
        </w:rPr>
        <w:tab/>
        <w:t>the strategic direction of the Church Worker Support Department, in line with the mission and priorities of the Church;</w:t>
      </w:r>
    </w:p>
    <w:p w14:paraId="31CCA9FE" w14:textId="77777777" w:rsidR="00D63B36" w:rsidRPr="00D63B36" w:rsidRDefault="00D63B36" w:rsidP="00D63B36">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D63B36">
        <w:rPr>
          <w:rFonts w:ascii="Cambria" w:hAnsi="Cambria" w:cstheme="minorHAnsi"/>
        </w:rPr>
        <w:tab/>
      </w:r>
      <w:r w:rsidRPr="00D63B36">
        <w:rPr>
          <w:rFonts w:ascii="Cambria" w:hAnsi="Cambria" w:cstheme="minorHAnsi"/>
        </w:rPr>
        <w:tab/>
        <w:t>7.2.2</w:t>
      </w:r>
      <w:r w:rsidRPr="00D63B36">
        <w:rPr>
          <w:rFonts w:ascii="Cambria" w:hAnsi="Cambria" w:cstheme="minorHAnsi"/>
        </w:rPr>
        <w:tab/>
        <w:t>human resource management practices and matters relating to church workers;</w:t>
      </w:r>
    </w:p>
    <w:p w14:paraId="13A23A83" w14:textId="77777777" w:rsidR="00D63B36" w:rsidRPr="00D63B36" w:rsidRDefault="00D63B36" w:rsidP="00D63B36">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D63B36">
        <w:rPr>
          <w:rFonts w:ascii="Cambria" w:hAnsi="Cambria" w:cstheme="minorHAnsi"/>
        </w:rPr>
        <w:tab/>
      </w:r>
      <w:r w:rsidRPr="00D63B36">
        <w:rPr>
          <w:rFonts w:ascii="Cambria" w:hAnsi="Cambria" w:cstheme="minorHAnsi"/>
        </w:rPr>
        <w:tab/>
        <w:t>7.2.3</w:t>
      </w:r>
      <w:r w:rsidRPr="00D63B36">
        <w:rPr>
          <w:rFonts w:ascii="Cambria" w:hAnsi="Cambria" w:cstheme="minorHAnsi"/>
        </w:rPr>
        <w:tab/>
        <w:t>remuneration-related policies for church workers;</w:t>
      </w:r>
    </w:p>
    <w:p w14:paraId="51AB60C5" w14:textId="77777777" w:rsidR="00D63B36" w:rsidRPr="00D63B36" w:rsidRDefault="00D63B36" w:rsidP="00D63B36">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D63B36">
        <w:rPr>
          <w:rFonts w:ascii="Cambria" w:hAnsi="Cambria" w:cstheme="minorHAnsi"/>
        </w:rPr>
        <w:tab/>
      </w:r>
      <w:r w:rsidRPr="00D63B36">
        <w:rPr>
          <w:rFonts w:ascii="Cambria" w:hAnsi="Cambria" w:cstheme="minorHAnsi"/>
        </w:rPr>
        <w:tab/>
        <w:t>7.2.4</w:t>
      </w:r>
      <w:r w:rsidRPr="00D63B36">
        <w:rPr>
          <w:rFonts w:ascii="Cambria" w:hAnsi="Cambria" w:cstheme="minorHAnsi"/>
        </w:rPr>
        <w:tab/>
        <w:t>reviewing annual remuneration recommendations  submitted by the Department to the General Church Board for approval;</w:t>
      </w:r>
    </w:p>
    <w:p w14:paraId="36AC53B6" w14:textId="77777777" w:rsidR="00D63B36" w:rsidRPr="00D63B36" w:rsidRDefault="00D63B36" w:rsidP="00D63B36">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D63B36">
        <w:rPr>
          <w:rFonts w:ascii="Cambria" w:hAnsi="Cambria" w:cstheme="minorHAnsi"/>
        </w:rPr>
        <w:tab/>
      </w:r>
      <w:r w:rsidRPr="00D63B36">
        <w:rPr>
          <w:rFonts w:ascii="Cambria" w:hAnsi="Cambria" w:cstheme="minorHAnsi"/>
        </w:rPr>
        <w:tab/>
        <w:t>7.2.5</w:t>
      </w:r>
      <w:r w:rsidRPr="00D63B36">
        <w:rPr>
          <w:rFonts w:ascii="Cambria" w:hAnsi="Cambria" w:cstheme="minorHAnsi"/>
        </w:rPr>
        <w:tab/>
        <w:t>resource development and promotion, including identification of emerging or changing priorities;</w:t>
      </w:r>
    </w:p>
    <w:p w14:paraId="0C144769" w14:textId="77777777" w:rsidR="00D63B36" w:rsidRPr="00D63B36" w:rsidRDefault="00D63B36" w:rsidP="00D63B36">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D63B36">
        <w:rPr>
          <w:rFonts w:ascii="Cambria" w:hAnsi="Cambria" w:cstheme="minorHAnsi"/>
        </w:rPr>
        <w:tab/>
      </w:r>
      <w:r w:rsidRPr="00D63B36">
        <w:rPr>
          <w:rFonts w:ascii="Cambria" w:hAnsi="Cambria" w:cstheme="minorHAnsi"/>
        </w:rPr>
        <w:tab/>
        <w:t>7.2.6</w:t>
      </w:r>
      <w:r w:rsidRPr="00D63B36">
        <w:rPr>
          <w:rFonts w:ascii="Cambria" w:hAnsi="Cambria" w:cstheme="minorHAnsi"/>
        </w:rPr>
        <w:tab/>
        <w:t>investigating optimal solutions to challenges and changing or establishing new policies and procedures;</w:t>
      </w:r>
    </w:p>
    <w:p w14:paraId="010435E7" w14:textId="77777777" w:rsidR="00D63B36" w:rsidRPr="00D63B36" w:rsidRDefault="00D63B36" w:rsidP="00D63B36">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D63B36">
        <w:rPr>
          <w:rFonts w:ascii="Cambria" w:hAnsi="Cambria" w:cstheme="minorHAnsi"/>
        </w:rPr>
        <w:tab/>
      </w:r>
      <w:r w:rsidRPr="00D63B36">
        <w:rPr>
          <w:rFonts w:ascii="Cambria" w:hAnsi="Cambria" w:cstheme="minorHAnsi"/>
        </w:rPr>
        <w:tab/>
        <w:t>7.2.7</w:t>
      </w:r>
      <w:r w:rsidRPr="00D63B36">
        <w:rPr>
          <w:rFonts w:ascii="Cambria" w:hAnsi="Cambria" w:cstheme="minorHAnsi"/>
        </w:rPr>
        <w:tab/>
        <w:t xml:space="preserve">documentation and dissemination of changed or new policies and procedures; </w:t>
      </w:r>
    </w:p>
    <w:p w14:paraId="19949F95" w14:textId="77777777" w:rsidR="00D63B36" w:rsidRPr="00D63B36" w:rsidRDefault="00D63B36" w:rsidP="00D63B36">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D63B36">
        <w:rPr>
          <w:rFonts w:ascii="Cambria" w:hAnsi="Cambria" w:cstheme="minorHAnsi"/>
        </w:rPr>
        <w:tab/>
      </w:r>
      <w:r w:rsidRPr="00D63B36">
        <w:rPr>
          <w:rFonts w:ascii="Cambria" w:hAnsi="Cambria" w:cstheme="minorHAnsi"/>
        </w:rPr>
        <w:tab/>
        <w:t>7.2.8</w:t>
      </w:r>
      <w:r w:rsidRPr="00D63B36">
        <w:rPr>
          <w:rFonts w:ascii="Cambria" w:hAnsi="Cambria" w:cstheme="minorHAnsi"/>
        </w:rPr>
        <w:tab/>
        <w:t>identification and resolution of workplace/places of service and call appointment issues or concerns;  and</w:t>
      </w:r>
    </w:p>
    <w:p w14:paraId="75BAE79A" w14:textId="77777777" w:rsidR="00D63B36" w:rsidRPr="00D63B36" w:rsidRDefault="00D63B36" w:rsidP="00D63B36">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D63B36">
        <w:rPr>
          <w:rFonts w:ascii="Cambria" w:hAnsi="Cambria" w:cstheme="minorHAnsi"/>
        </w:rPr>
        <w:tab/>
      </w:r>
      <w:r w:rsidRPr="00D63B36">
        <w:rPr>
          <w:rFonts w:ascii="Cambria" w:hAnsi="Cambria" w:cstheme="minorHAnsi"/>
        </w:rPr>
        <w:tab/>
        <w:t>7.2.9</w:t>
      </w:r>
      <w:r w:rsidRPr="00D63B36">
        <w:rPr>
          <w:rFonts w:ascii="Cambria" w:hAnsi="Cambria" w:cstheme="minorHAnsi"/>
        </w:rPr>
        <w:tab/>
        <w:t>assist the EOC to facilitate the recruitment of the Manager, Church Worker Support Department and recommend a candidate to the General Church Board.</w:t>
      </w:r>
    </w:p>
    <w:p w14:paraId="1E53E76F" w14:textId="77777777" w:rsidR="00D63B36" w:rsidRPr="00D63B36" w:rsidRDefault="00D63B36" w:rsidP="00D63B36">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D63B36">
        <w:rPr>
          <w:rFonts w:ascii="Cambria" w:hAnsi="Cambria" w:cstheme="minorHAnsi"/>
        </w:rPr>
        <w:tab/>
        <w:t>7.3</w:t>
      </w:r>
      <w:r w:rsidRPr="00D63B36">
        <w:rPr>
          <w:rFonts w:ascii="Cambria" w:hAnsi="Cambria" w:cstheme="minorHAnsi"/>
        </w:rPr>
        <w:tab/>
        <w:t>The committee shall support the EOC to undertake regular performance reviews of the Manager, Church Worker Support Department.</w:t>
      </w:r>
    </w:p>
    <w:p w14:paraId="13E25F86" w14:textId="77777777" w:rsidR="00D63B36" w:rsidRPr="00D63B36" w:rsidRDefault="00D63B36" w:rsidP="00D63B36">
      <w:pPr>
        <w:tabs>
          <w:tab w:val="left" w:pos="567"/>
          <w:tab w:val="left" w:pos="1418"/>
          <w:tab w:val="left" w:pos="2268"/>
          <w:tab w:val="left" w:pos="3119"/>
          <w:tab w:val="left" w:pos="3969"/>
        </w:tabs>
        <w:spacing w:after="0" w:line="240" w:lineRule="auto"/>
        <w:ind w:left="2268" w:hanging="2268"/>
        <w:rPr>
          <w:rFonts w:ascii="Cambria" w:hAnsi="Cambria" w:cstheme="minorHAnsi"/>
        </w:rPr>
      </w:pPr>
    </w:p>
    <w:p w14:paraId="6E77551E" w14:textId="77777777" w:rsidR="00D63B36" w:rsidRPr="00D63B36" w:rsidRDefault="00D63B36" w:rsidP="00D63B36">
      <w:pPr>
        <w:tabs>
          <w:tab w:val="left" w:pos="567"/>
          <w:tab w:val="left" w:pos="1418"/>
          <w:tab w:val="left" w:pos="2268"/>
          <w:tab w:val="left" w:pos="3119"/>
          <w:tab w:val="left" w:pos="3969"/>
        </w:tabs>
        <w:spacing w:after="0" w:line="240" w:lineRule="auto"/>
        <w:ind w:left="567" w:hanging="567"/>
        <w:rPr>
          <w:rFonts w:ascii="Cambria" w:hAnsi="Cambria" w:cstheme="minorHAnsi"/>
        </w:rPr>
      </w:pPr>
      <w:r w:rsidRPr="00D63B36">
        <w:rPr>
          <w:rFonts w:ascii="Cambria" w:hAnsi="Cambria" w:cstheme="minorHAnsi"/>
        </w:rPr>
        <w:tab/>
      </w:r>
      <w:r w:rsidRPr="00D63B36">
        <w:rPr>
          <w:rFonts w:ascii="Cambria" w:hAnsi="Cambria" w:cstheme="minorHAnsi"/>
        </w:rPr>
        <w:tab/>
      </w:r>
      <w:r w:rsidRPr="00D63B36">
        <w:rPr>
          <w:rFonts w:ascii="Cambria" w:hAnsi="Cambria" w:cstheme="minorHAnsi"/>
        </w:rPr>
        <w:tab/>
      </w:r>
    </w:p>
    <w:p w14:paraId="73095E00" w14:textId="77777777" w:rsidR="00D63B36" w:rsidRPr="00D63B36" w:rsidRDefault="00D63B36" w:rsidP="00D63B36">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D63B36">
        <w:rPr>
          <w:rFonts w:ascii="Cambria" w:hAnsi="Cambria" w:cstheme="minorHAnsi"/>
          <w:b/>
        </w:rPr>
        <w:t>8.</w:t>
      </w:r>
      <w:r w:rsidRPr="00D63B36">
        <w:rPr>
          <w:rFonts w:ascii="Cambria" w:hAnsi="Cambria" w:cstheme="minorHAnsi"/>
          <w:b/>
        </w:rPr>
        <w:tab/>
        <w:t>REVIEW</w:t>
      </w:r>
    </w:p>
    <w:p w14:paraId="49681AD0" w14:textId="77777777" w:rsidR="00D63B36" w:rsidRPr="00D63B36" w:rsidRDefault="00D63B36" w:rsidP="00D63B36">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D63B36">
        <w:rPr>
          <w:rFonts w:ascii="Cambria" w:hAnsi="Cambria" w:cstheme="minorHAnsi"/>
        </w:rPr>
        <w:tab/>
        <w:t>8.1</w:t>
      </w:r>
      <w:r w:rsidRPr="00D63B36">
        <w:rPr>
          <w:rFonts w:ascii="Cambria" w:hAnsi="Cambria" w:cstheme="minorHAnsi"/>
        </w:rPr>
        <w:tab/>
        <w:t xml:space="preserve">The Terms of Reference for the Committee shall be reviewed during each Synodical term. </w:t>
      </w:r>
    </w:p>
    <w:p w14:paraId="39D97E4C" w14:textId="2E007746" w:rsidR="00D63B36" w:rsidRDefault="00D63B36" w:rsidP="00D63B36">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D63B36">
        <w:rPr>
          <w:rFonts w:ascii="Cambria" w:hAnsi="Cambria" w:cstheme="minorHAnsi"/>
        </w:rPr>
        <w:tab/>
        <w:t>8.2</w:t>
      </w:r>
      <w:r w:rsidRPr="00D63B36">
        <w:rPr>
          <w:rFonts w:ascii="Cambria" w:hAnsi="Cambria" w:cstheme="minorHAnsi"/>
        </w:rPr>
        <w:tab/>
        <w:t>Any changes to the Terms of Reference shall be approved by the EOC, upon review by the Standing Committee on Constitutions.</w:t>
      </w:r>
    </w:p>
    <w:p w14:paraId="62EC824F" w14:textId="476920BA" w:rsidR="00885847" w:rsidRDefault="00885847" w:rsidP="00D63B36">
      <w:pPr>
        <w:tabs>
          <w:tab w:val="left" w:pos="567"/>
          <w:tab w:val="left" w:pos="1418"/>
          <w:tab w:val="left" w:pos="2268"/>
          <w:tab w:val="left" w:pos="3119"/>
          <w:tab w:val="left" w:pos="3969"/>
        </w:tabs>
        <w:spacing w:after="0" w:line="240" w:lineRule="auto"/>
        <w:ind w:left="1418" w:hanging="1418"/>
        <w:rPr>
          <w:rFonts w:ascii="Cambria" w:hAnsi="Cambria" w:cstheme="minorHAnsi"/>
        </w:rPr>
      </w:pPr>
    </w:p>
    <w:p w14:paraId="27195930" w14:textId="77777777" w:rsidR="00885847" w:rsidRDefault="00885847" w:rsidP="00D63B36">
      <w:pPr>
        <w:tabs>
          <w:tab w:val="left" w:pos="567"/>
          <w:tab w:val="left" w:pos="1418"/>
          <w:tab w:val="left" w:pos="2268"/>
          <w:tab w:val="left" w:pos="3119"/>
          <w:tab w:val="left" w:pos="3969"/>
        </w:tabs>
        <w:spacing w:after="0" w:line="240" w:lineRule="auto"/>
        <w:ind w:left="1418" w:hanging="1418"/>
        <w:rPr>
          <w:rFonts w:ascii="Cambria" w:hAnsi="Cambria" w:cstheme="minorHAnsi"/>
        </w:rPr>
      </w:pPr>
    </w:p>
    <w:p w14:paraId="160DDFDF" w14:textId="0AE198DB" w:rsidR="00885847" w:rsidRDefault="00885847" w:rsidP="00D63B36">
      <w:pPr>
        <w:tabs>
          <w:tab w:val="left" w:pos="567"/>
          <w:tab w:val="left" w:pos="1418"/>
          <w:tab w:val="left" w:pos="2268"/>
          <w:tab w:val="left" w:pos="3119"/>
          <w:tab w:val="left" w:pos="3969"/>
        </w:tabs>
        <w:spacing w:after="0" w:line="240" w:lineRule="auto"/>
        <w:ind w:left="1418" w:hanging="1418"/>
        <w:rPr>
          <w:rFonts w:ascii="Cambria" w:hAnsi="Cambria" w:cstheme="minorHAnsi"/>
        </w:rPr>
      </w:pPr>
    </w:p>
    <w:p w14:paraId="0BB1ADE7" w14:textId="1593E3B6" w:rsidR="00885847" w:rsidRDefault="00885847" w:rsidP="00D63B36">
      <w:pPr>
        <w:tabs>
          <w:tab w:val="left" w:pos="567"/>
          <w:tab w:val="left" w:pos="1418"/>
          <w:tab w:val="left" w:pos="2268"/>
          <w:tab w:val="left" w:pos="3119"/>
          <w:tab w:val="left" w:pos="3969"/>
        </w:tabs>
        <w:spacing w:after="0" w:line="240" w:lineRule="auto"/>
        <w:ind w:left="1418" w:hanging="1418"/>
        <w:rPr>
          <w:rFonts w:ascii="Cambria" w:hAnsi="Cambria" w:cstheme="minorHAnsi"/>
        </w:rPr>
      </w:pPr>
    </w:p>
    <w:p w14:paraId="49DA4DD3" w14:textId="71A215A7" w:rsidR="00885847" w:rsidRPr="00B958B9" w:rsidRDefault="00885847" w:rsidP="00885847">
      <w:pPr>
        <w:pStyle w:val="Heading2"/>
      </w:pPr>
      <w:r w:rsidRPr="00B958B9">
        <w:t>COMMISSION ON SOCIAL AND BIOETHICAL QUESTIONS</w:t>
      </w:r>
    </w:p>
    <w:p w14:paraId="56E880B3" w14:textId="77777777" w:rsidR="00885847" w:rsidRPr="00B958B9" w:rsidRDefault="00885847" w:rsidP="00885847">
      <w:pPr>
        <w:tabs>
          <w:tab w:val="left" w:pos="567"/>
          <w:tab w:val="left" w:pos="1418"/>
          <w:tab w:val="left" w:pos="2268"/>
          <w:tab w:val="left" w:pos="3119"/>
          <w:tab w:val="left" w:pos="3969"/>
        </w:tabs>
        <w:spacing w:after="0" w:line="240" w:lineRule="auto"/>
        <w:ind w:left="567" w:hanging="567"/>
        <w:jc w:val="center"/>
        <w:rPr>
          <w:rFonts w:ascii="Cambria" w:hAnsi="Cambria" w:cstheme="minorHAnsi"/>
          <w:b/>
        </w:rPr>
      </w:pPr>
    </w:p>
    <w:p w14:paraId="309E4632" w14:textId="77777777" w:rsidR="00885847" w:rsidRPr="00B958B9" w:rsidRDefault="00885847" w:rsidP="00885847">
      <w:pPr>
        <w:pStyle w:val="Heading3"/>
      </w:pPr>
      <w:r w:rsidRPr="00B958B9">
        <w:t>Terms of Reference</w:t>
      </w:r>
    </w:p>
    <w:p w14:paraId="42F7A69C" w14:textId="77777777" w:rsidR="00885847" w:rsidRPr="00B958B9" w:rsidRDefault="00885847" w:rsidP="00885847">
      <w:pPr>
        <w:tabs>
          <w:tab w:val="left" w:pos="567"/>
          <w:tab w:val="left" w:pos="1418"/>
          <w:tab w:val="left" w:pos="2268"/>
          <w:tab w:val="left" w:pos="3119"/>
          <w:tab w:val="left" w:pos="3969"/>
        </w:tabs>
        <w:spacing w:after="0" w:line="240" w:lineRule="auto"/>
        <w:ind w:left="567" w:hanging="567"/>
        <w:jc w:val="center"/>
        <w:rPr>
          <w:rFonts w:ascii="Cambria" w:hAnsi="Cambria" w:cstheme="minorHAnsi"/>
          <w:b/>
        </w:rPr>
      </w:pPr>
    </w:p>
    <w:p w14:paraId="31BF7C39" w14:textId="77777777" w:rsidR="00885847" w:rsidRPr="00B958B9" w:rsidRDefault="00885847" w:rsidP="00885847">
      <w:pPr>
        <w:tabs>
          <w:tab w:val="left" w:pos="567"/>
          <w:tab w:val="left" w:pos="1418"/>
          <w:tab w:val="left" w:pos="2268"/>
          <w:tab w:val="left" w:pos="3119"/>
          <w:tab w:val="left" w:pos="3969"/>
        </w:tabs>
        <w:spacing w:after="0" w:line="240" w:lineRule="auto"/>
        <w:ind w:left="567" w:hanging="567"/>
        <w:jc w:val="center"/>
        <w:rPr>
          <w:rFonts w:ascii="Cambria" w:hAnsi="Cambria" w:cstheme="minorHAnsi"/>
          <w:b/>
        </w:rPr>
      </w:pPr>
    </w:p>
    <w:p w14:paraId="1A0D7079" w14:textId="77777777" w:rsidR="00885847" w:rsidRPr="00B958B9" w:rsidRDefault="00885847" w:rsidP="00885847">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B958B9">
        <w:rPr>
          <w:rFonts w:ascii="Cambria" w:hAnsi="Cambria" w:cstheme="minorHAnsi"/>
          <w:b/>
        </w:rPr>
        <w:t>1.</w:t>
      </w:r>
      <w:r w:rsidRPr="00B958B9">
        <w:rPr>
          <w:rFonts w:ascii="Cambria" w:hAnsi="Cambria" w:cstheme="minorHAnsi"/>
          <w:b/>
        </w:rPr>
        <w:tab/>
        <w:t>NAME</w:t>
      </w:r>
    </w:p>
    <w:p w14:paraId="10A09CAA" w14:textId="77777777" w:rsidR="00885847" w:rsidRPr="00B958B9" w:rsidRDefault="00885847" w:rsidP="00885847">
      <w:pPr>
        <w:tabs>
          <w:tab w:val="left" w:pos="567"/>
          <w:tab w:val="left" w:pos="1418"/>
          <w:tab w:val="left" w:pos="2268"/>
          <w:tab w:val="left" w:pos="3119"/>
          <w:tab w:val="left" w:pos="3969"/>
        </w:tabs>
        <w:spacing w:after="0" w:line="240" w:lineRule="auto"/>
        <w:ind w:left="567" w:hanging="567"/>
        <w:rPr>
          <w:rFonts w:ascii="Cambria" w:hAnsi="Cambria" w:cstheme="minorHAnsi"/>
        </w:rPr>
      </w:pPr>
      <w:r w:rsidRPr="00B958B9">
        <w:rPr>
          <w:rFonts w:ascii="Cambria" w:hAnsi="Cambria" w:cstheme="minorHAnsi"/>
        </w:rPr>
        <w:tab/>
        <w:t>The Commission on Social and Bioethical Questions, referred to as “the Commission”.</w:t>
      </w:r>
    </w:p>
    <w:p w14:paraId="7CA6DCE7" w14:textId="77777777" w:rsidR="00885847" w:rsidRPr="00B958B9" w:rsidRDefault="00885847" w:rsidP="00885847">
      <w:pPr>
        <w:tabs>
          <w:tab w:val="left" w:pos="567"/>
          <w:tab w:val="left" w:pos="1418"/>
          <w:tab w:val="left" w:pos="2268"/>
          <w:tab w:val="left" w:pos="3119"/>
          <w:tab w:val="left" w:pos="3969"/>
        </w:tabs>
        <w:spacing w:after="0" w:line="240" w:lineRule="auto"/>
        <w:ind w:left="567" w:hanging="567"/>
        <w:rPr>
          <w:rFonts w:ascii="Cambria" w:hAnsi="Cambria" w:cstheme="minorHAnsi"/>
        </w:rPr>
      </w:pPr>
    </w:p>
    <w:p w14:paraId="28757E22" w14:textId="77777777" w:rsidR="00885847" w:rsidRPr="00B958B9" w:rsidRDefault="00885847" w:rsidP="00885847">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B958B9">
        <w:rPr>
          <w:rFonts w:ascii="Cambria" w:hAnsi="Cambria" w:cstheme="minorHAnsi"/>
          <w:b/>
        </w:rPr>
        <w:t>2.</w:t>
      </w:r>
      <w:r w:rsidRPr="00B958B9">
        <w:rPr>
          <w:rFonts w:ascii="Cambria" w:hAnsi="Cambria" w:cstheme="minorHAnsi"/>
          <w:b/>
        </w:rPr>
        <w:tab/>
        <w:t>RELATIONSHIP TO THE CHURCH</w:t>
      </w:r>
    </w:p>
    <w:p w14:paraId="3E74ADB3" w14:textId="77777777" w:rsidR="00885847" w:rsidRPr="00B958B9" w:rsidRDefault="00885847" w:rsidP="00885847">
      <w:pPr>
        <w:tabs>
          <w:tab w:val="left" w:pos="567"/>
          <w:tab w:val="left" w:pos="1418"/>
          <w:tab w:val="left" w:pos="2268"/>
          <w:tab w:val="left" w:pos="3119"/>
          <w:tab w:val="left" w:pos="3969"/>
        </w:tabs>
        <w:spacing w:after="0" w:line="240" w:lineRule="auto"/>
        <w:ind w:left="567" w:hanging="567"/>
        <w:rPr>
          <w:rFonts w:ascii="Cambria" w:hAnsi="Cambria" w:cstheme="minorHAnsi"/>
        </w:rPr>
      </w:pPr>
      <w:r w:rsidRPr="00B958B9">
        <w:rPr>
          <w:rFonts w:ascii="Cambria" w:hAnsi="Cambria" w:cstheme="minorHAnsi"/>
        </w:rPr>
        <w:tab/>
        <w:t>The Commission is accountable to the College of Bishops and shall fulfil its responsibilities in keeping with the Constitution and the policies of the Church.</w:t>
      </w:r>
    </w:p>
    <w:p w14:paraId="1D389395" w14:textId="77777777" w:rsidR="00885847" w:rsidRPr="00B958B9" w:rsidRDefault="00885847" w:rsidP="00885847">
      <w:pPr>
        <w:tabs>
          <w:tab w:val="left" w:pos="567"/>
          <w:tab w:val="left" w:pos="1418"/>
          <w:tab w:val="left" w:pos="2268"/>
          <w:tab w:val="left" w:pos="3119"/>
          <w:tab w:val="left" w:pos="3969"/>
        </w:tabs>
        <w:spacing w:after="0" w:line="240" w:lineRule="auto"/>
        <w:ind w:left="567" w:hanging="567"/>
        <w:rPr>
          <w:rFonts w:ascii="Cambria" w:hAnsi="Cambria" w:cstheme="minorHAnsi"/>
        </w:rPr>
      </w:pPr>
    </w:p>
    <w:p w14:paraId="1E826FA8" w14:textId="77777777" w:rsidR="00885847" w:rsidRPr="00B958B9" w:rsidRDefault="00885847" w:rsidP="00885847">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B958B9">
        <w:rPr>
          <w:rFonts w:ascii="Cambria" w:hAnsi="Cambria" w:cstheme="minorHAnsi"/>
          <w:b/>
        </w:rPr>
        <w:t>3.</w:t>
      </w:r>
      <w:r w:rsidRPr="00B958B9">
        <w:rPr>
          <w:rFonts w:ascii="Cambria" w:hAnsi="Cambria" w:cstheme="minorHAnsi"/>
          <w:b/>
        </w:rPr>
        <w:tab/>
        <w:t>PURPOSE</w:t>
      </w:r>
    </w:p>
    <w:p w14:paraId="0D02402C" w14:textId="77777777" w:rsidR="00885847" w:rsidRPr="00B958B9" w:rsidRDefault="00885847" w:rsidP="00885847">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B958B9">
        <w:rPr>
          <w:rFonts w:ascii="Cambria" w:hAnsi="Cambria" w:cstheme="minorHAnsi"/>
        </w:rPr>
        <w:tab/>
        <w:t>3.1</w:t>
      </w:r>
      <w:r w:rsidRPr="00B958B9">
        <w:rPr>
          <w:rFonts w:ascii="Cambria" w:hAnsi="Cambria" w:cstheme="minorHAnsi"/>
        </w:rPr>
        <w:tab/>
        <w:t>The purpose of the Commission is to</w:t>
      </w:r>
    </w:p>
    <w:p w14:paraId="2A649E0B" w14:textId="77777777" w:rsidR="00885847" w:rsidRPr="00B958B9" w:rsidRDefault="00885847" w:rsidP="00885847">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B958B9">
        <w:rPr>
          <w:rFonts w:ascii="Cambria" w:hAnsi="Cambria" w:cstheme="minorHAnsi"/>
        </w:rPr>
        <w:tab/>
      </w:r>
      <w:r w:rsidRPr="00B958B9">
        <w:rPr>
          <w:rFonts w:ascii="Cambria" w:hAnsi="Cambria" w:cstheme="minorHAnsi"/>
        </w:rPr>
        <w:tab/>
        <w:t>3.1.1</w:t>
      </w:r>
      <w:r w:rsidRPr="00B958B9">
        <w:rPr>
          <w:rFonts w:ascii="Cambria" w:hAnsi="Cambria" w:cstheme="minorHAnsi"/>
        </w:rPr>
        <w:tab/>
        <w:t>give guidance to the members of the Church on current social and bioethical questions;  and</w:t>
      </w:r>
    </w:p>
    <w:p w14:paraId="710FDF77" w14:textId="77777777" w:rsidR="00885847" w:rsidRPr="00B958B9" w:rsidRDefault="00885847" w:rsidP="00885847">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B958B9">
        <w:rPr>
          <w:rFonts w:ascii="Cambria" w:hAnsi="Cambria" w:cstheme="minorHAnsi"/>
        </w:rPr>
        <w:lastRenderedPageBreak/>
        <w:tab/>
      </w:r>
      <w:r w:rsidRPr="00B958B9">
        <w:rPr>
          <w:rFonts w:ascii="Cambria" w:hAnsi="Cambria" w:cstheme="minorHAnsi"/>
        </w:rPr>
        <w:tab/>
        <w:t>3.1.2</w:t>
      </w:r>
      <w:r w:rsidRPr="00B958B9">
        <w:rPr>
          <w:rFonts w:ascii="Cambria" w:hAnsi="Cambria" w:cstheme="minorHAnsi"/>
        </w:rPr>
        <w:tab/>
        <w:t xml:space="preserve">assist the Church in responding publicly to questions, concerns and impacts arising from social and bioethical questions. </w:t>
      </w:r>
    </w:p>
    <w:p w14:paraId="08FCBF69" w14:textId="77777777" w:rsidR="00885847" w:rsidRPr="00B958B9" w:rsidRDefault="00885847" w:rsidP="00885847">
      <w:pPr>
        <w:tabs>
          <w:tab w:val="left" w:pos="567"/>
          <w:tab w:val="left" w:pos="1418"/>
          <w:tab w:val="left" w:pos="2268"/>
          <w:tab w:val="left" w:pos="3119"/>
          <w:tab w:val="left" w:pos="3969"/>
        </w:tabs>
        <w:spacing w:after="0" w:line="240" w:lineRule="auto"/>
        <w:ind w:left="567" w:hanging="567"/>
        <w:rPr>
          <w:rFonts w:ascii="Cambria" w:hAnsi="Cambria" w:cstheme="minorHAnsi"/>
        </w:rPr>
      </w:pPr>
    </w:p>
    <w:p w14:paraId="6347D744" w14:textId="77777777" w:rsidR="00885847" w:rsidRPr="00B958B9" w:rsidRDefault="00885847" w:rsidP="00885847">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B958B9">
        <w:rPr>
          <w:rFonts w:ascii="Cambria" w:hAnsi="Cambria" w:cstheme="minorHAnsi"/>
          <w:b/>
        </w:rPr>
        <w:t>4.</w:t>
      </w:r>
      <w:r w:rsidRPr="00B958B9">
        <w:rPr>
          <w:rFonts w:ascii="Cambria" w:hAnsi="Cambria" w:cstheme="minorHAnsi"/>
          <w:b/>
        </w:rPr>
        <w:tab/>
        <w:t>AUTHORITY</w:t>
      </w:r>
    </w:p>
    <w:p w14:paraId="561A276A" w14:textId="77777777" w:rsidR="00885847" w:rsidRPr="00B958B9" w:rsidRDefault="00885847" w:rsidP="00885847">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B958B9">
        <w:rPr>
          <w:rFonts w:ascii="Cambria" w:hAnsi="Cambria" w:cstheme="minorHAnsi"/>
        </w:rPr>
        <w:tab/>
        <w:t>4.1</w:t>
      </w:r>
      <w:r w:rsidRPr="00B958B9">
        <w:rPr>
          <w:rFonts w:ascii="Cambria" w:hAnsi="Cambria" w:cstheme="minorHAnsi"/>
        </w:rPr>
        <w:tab/>
        <w:t>The Commission has no decision-making authority.</w:t>
      </w:r>
    </w:p>
    <w:p w14:paraId="4466F3EF" w14:textId="77777777" w:rsidR="00885847" w:rsidRPr="00B958B9" w:rsidRDefault="00885847" w:rsidP="00885847">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B958B9">
        <w:rPr>
          <w:rFonts w:ascii="Cambria" w:hAnsi="Cambria" w:cstheme="minorHAnsi"/>
        </w:rPr>
        <w:tab/>
        <w:t>4.2</w:t>
      </w:r>
      <w:r w:rsidRPr="00B958B9">
        <w:rPr>
          <w:rFonts w:ascii="Cambria" w:hAnsi="Cambria" w:cstheme="minorHAnsi"/>
        </w:rPr>
        <w:tab/>
        <w:t xml:space="preserve">The Commission may speak for the Church on issues of social and bioethical matters and/or publish statements and documents on these matters, following approval by the College of Bishops or the General Church Board. </w:t>
      </w:r>
    </w:p>
    <w:p w14:paraId="3CA8FD47" w14:textId="77777777" w:rsidR="00885847" w:rsidRPr="00B958B9" w:rsidRDefault="00885847" w:rsidP="00885847">
      <w:pPr>
        <w:tabs>
          <w:tab w:val="left" w:pos="567"/>
          <w:tab w:val="left" w:pos="1418"/>
          <w:tab w:val="left" w:pos="2268"/>
          <w:tab w:val="left" w:pos="3119"/>
          <w:tab w:val="left" w:pos="3969"/>
        </w:tabs>
        <w:spacing w:after="0" w:line="240" w:lineRule="auto"/>
        <w:ind w:left="567" w:hanging="567"/>
        <w:rPr>
          <w:rFonts w:ascii="Cambria" w:hAnsi="Cambria" w:cstheme="minorHAnsi"/>
        </w:rPr>
      </w:pPr>
    </w:p>
    <w:p w14:paraId="3A096463" w14:textId="77777777" w:rsidR="00885847" w:rsidRPr="00B958B9" w:rsidRDefault="00885847" w:rsidP="00885847">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B958B9">
        <w:rPr>
          <w:rFonts w:ascii="Cambria" w:hAnsi="Cambria" w:cstheme="minorHAnsi"/>
          <w:b/>
        </w:rPr>
        <w:t>5.</w:t>
      </w:r>
      <w:r w:rsidRPr="00B958B9">
        <w:rPr>
          <w:rFonts w:ascii="Cambria" w:hAnsi="Cambria" w:cstheme="minorHAnsi"/>
          <w:b/>
        </w:rPr>
        <w:tab/>
        <w:t>MEMBERSHIP</w:t>
      </w:r>
    </w:p>
    <w:p w14:paraId="155CEA68" w14:textId="77777777" w:rsidR="00885847" w:rsidRPr="00B958B9" w:rsidRDefault="00885847" w:rsidP="00885847">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B958B9">
        <w:rPr>
          <w:rFonts w:ascii="Cambria" w:hAnsi="Cambria" w:cstheme="minorHAnsi"/>
        </w:rPr>
        <w:tab/>
        <w:t>5.1</w:t>
      </w:r>
      <w:r w:rsidRPr="00B958B9">
        <w:rPr>
          <w:rFonts w:ascii="Cambria" w:hAnsi="Cambria" w:cstheme="minorHAnsi"/>
        </w:rPr>
        <w:tab/>
        <w:t>The Commission shall consist of seven [7] members appointed by the General Church Board on recommendations from the Standing Committee on Nominations, in consultation with the College of Bishops:</w:t>
      </w:r>
    </w:p>
    <w:p w14:paraId="2899535A" w14:textId="77777777" w:rsidR="00885847" w:rsidRPr="00B958B9" w:rsidRDefault="00885847" w:rsidP="00885847">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B958B9">
        <w:rPr>
          <w:rFonts w:ascii="Cambria" w:hAnsi="Cambria" w:cstheme="minorHAnsi"/>
        </w:rPr>
        <w:tab/>
      </w:r>
      <w:r w:rsidRPr="00B958B9">
        <w:rPr>
          <w:rFonts w:ascii="Cambria" w:hAnsi="Cambria" w:cstheme="minorHAnsi"/>
        </w:rPr>
        <w:tab/>
        <w:t>5.1.1</w:t>
      </w:r>
      <w:r w:rsidRPr="00B958B9">
        <w:rPr>
          <w:rFonts w:ascii="Cambria" w:hAnsi="Cambria" w:cstheme="minorHAnsi"/>
        </w:rPr>
        <w:tab/>
        <w:t>the Bishop of the Church or his representative;</w:t>
      </w:r>
    </w:p>
    <w:p w14:paraId="1D1F66AF" w14:textId="77777777" w:rsidR="00885847" w:rsidRPr="00B958B9" w:rsidRDefault="00885847" w:rsidP="00885847">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B958B9">
        <w:rPr>
          <w:rFonts w:ascii="Cambria" w:hAnsi="Cambria" w:cstheme="minorHAnsi"/>
        </w:rPr>
        <w:tab/>
      </w:r>
      <w:r w:rsidRPr="00B958B9">
        <w:rPr>
          <w:rFonts w:ascii="Cambria" w:hAnsi="Cambria" w:cstheme="minorHAnsi"/>
        </w:rPr>
        <w:tab/>
        <w:t>5.1.2</w:t>
      </w:r>
      <w:r w:rsidRPr="00B958B9">
        <w:rPr>
          <w:rFonts w:ascii="Cambria" w:hAnsi="Cambria" w:cstheme="minorHAnsi"/>
        </w:rPr>
        <w:tab/>
        <w:t>two [2] parish pastors;  and</w:t>
      </w:r>
    </w:p>
    <w:p w14:paraId="58B309E2" w14:textId="77777777" w:rsidR="00885847" w:rsidRPr="00B958B9" w:rsidRDefault="00885847" w:rsidP="00885847">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B958B9">
        <w:rPr>
          <w:rFonts w:ascii="Cambria" w:hAnsi="Cambria" w:cstheme="minorHAnsi"/>
        </w:rPr>
        <w:tab/>
      </w:r>
      <w:r w:rsidRPr="00B958B9">
        <w:rPr>
          <w:rFonts w:ascii="Cambria" w:hAnsi="Cambria" w:cstheme="minorHAnsi"/>
        </w:rPr>
        <w:tab/>
        <w:t>5.1.3</w:t>
      </w:r>
      <w:r w:rsidRPr="00B958B9">
        <w:rPr>
          <w:rFonts w:ascii="Cambria" w:hAnsi="Cambria" w:cstheme="minorHAnsi"/>
        </w:rPr>
        <w:tab/>
        <w:t>four [4] lay members.</w:t>
      </w:r>
    </w:p>
    <w:p w14:paraId="678F19C9" w14:textId="77777777" w:rsidR="00885847" w:rsidRPr="00B958B9" w:rsidRDefault="00885847" w:rsidP="00885847">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B958B9">
        <w:rPr>
          <w:rFonts w:ascii="Cambria" w:hAnsi="Cambria" w:cstheme="minorHAnsi"/>
        </w:rPr>
        <w:tab/>
        <w:t>5.2</w:t>
      </w:r>
      <w:r w:rsidRPr="00B958B9">
        <w:rPr>
          <w:rFonts w:ascii="Cambria" w:hAnsi="Cambria" w:cstheme="minorHAnsi"/>
        </w:rPr>
        <w:tab/>
        <w:t xml:space="preserve">The Commission shall consist of members with a passion for mission and ministry and with relevant skills, qualifications and experience in one or more of the following areas: </w:t>
      </w:r>
    </w:p>
    <w:p w14:paraId="77DD296E" w14:textId="77777777" w:rsidR="00885847" w:rsidRPr="00B958B9" w:rsidRDefault="00885847" w:rsidP="00885847">
      <w:pPr>
        <w:tabs>
          <w:tab w:val="left" w:pos="567"/>
          <w:tab w:val="left" w:pos="1418"/>
          <w:tab w:val="left" w:pos="2268"/>
          <w:tab w:val="left" w:pos="3119"/>
          <w:tab w:val="left" w:pos="3969"/>
        </w:tabs>
        <w:spacing w:after="0" w:line="240" w:lineRule="auto"/>
        <w:ind w:left="567" w:hanging="567"/>
        <w:rPr>
          <w:rFonts w:ascii="Cambria" w:hAnsi="Cambria" w:cstheme="minorHAnsi"/>
        </w:rPr>
      </w:pPr>
      <w:r w:rsidRPr="00B958B9">
        <w:rPr>
          <w:rFonts w:ascii="Cambria" w:hAnsi="Cambria" w:cstheme="minorHAnsi"/>
        </w:rPr>
        <w:tab/>
      </w:r>
      <w:r w:rsidRPr="00B958B9">
        <w:rPr>
          <w:rFonts w:ascii="Cambria" w:hAnsi="Cambria" w:cstheme="minorHAnsi"/>
        </w:rPr>
        <w:tab/>
        <w:t>5.2.1</w:t>
      </w:r>
      <w:r w:rsidRPr="00B958B9">
        <w:rPr>
          <w:rFonts w:ascii="Cambria" w:hAnsi="Cambria" w:cstheme="minorHAnsi"/>
        </w:rPr>
        <w:tab/>
        <w:t xml:space="preserve">a good understanding of Lutheran theology; </w:t>
      </w:r>
    </w:p>
    <w:p w14:paraId="7A8B5300" w14:textId="77777777" w:rsidR="00885847" w:rsidRPr="00B958B9" w:rsidRDefault="00885847" w:rsidP="00885847">
      <w:pPr>
        <w:tabs>
          <w:tab w:val="left" w:pos="567"/>
          <w:tab w:val="left" w:pos="1418"/>
          <w:tab w:val="left" w:pos="2268"/>
          <w:tab w:val="left" w:pos="3119"/>
          <w:tab w:val="left" w:pos="3969"/>
        </w:tabs>
        <w:spacing w:after="0" w:line="240" w:lineRule="auto"/>
        <w:ind w:left="567" w:hanging="567"/>
        <w:rPr>
          <w:rFonts w:ascii="Cambria" w:hAnsi="Cambria" w:cstheme="minorHAnsi"/>
        </w:rPr>
      </w:pPr>
      <w:r w:rsidRPr="00B958B9">
        <w:rPr>
          <w:rFonts w:ascii="Cambria" w:hAnsi="Cambria" w:cstheme="minorHAnsi"/>
        </w:rPr>
        <w:tab/>
      </w:r>
      <w:r w:rsidRPr="00B958B9">
        <w:rPr>
          <w:rFonts w:ascii="Cambria" w:hAnsi="Cambria" w:cstheme="minorHAnsi"/>
        </w:rPr>
        <w:tab/>
        <w:t>5.2.2</w:t>
      </w:r>
      <w:r w:rsidRPr="00B958B9">
        <w:rPr>
          <w:rFonts w:ascii="Cambria" w:hAnsi="Cambria" w:cstheme="minorHAnsi"/>
        </w:rPr>
        <w:tab/>
        <w:t xml:space="preserve">a knowledge of social, bioethical, economic and/or political issues;  and </w:t>
      </w:r>
    </w:p>
    <w:p w14:paraId="4DFC1286" w14:textId="77777777" w:rsidR="00885847" w:rsidRPr="00B958B9" w:rsidRDefault="00885847" w:rsidP="00885847">
      <w:pPr>
        <w:tabs>
          <w:tab w:val="left" w:pos="567"/>
          <w:tab w:val="left" w:pos="1418"/>
          <w:tab w:val="left" w:pos="2268"/>
          <w:tab w:val="left" w:pos="3119"/>
          <w:tab w:val="left" w:pos="3969"/>
        </w:tabs>
        <w:spacing w:after="0" w:line="240" w:lineRule="auto"/>
        <w:ind w:left="567" w:hanging="567"/>
        <w:rPr>
          <w:rFonts w:ascii="Cambria" w:hAnsi="Cambria" w:cstheme="minorHAnsi"/>
        </w:rPr>
      </w:pPr>
      <w:r w:rsidRPr="00B958B9">
        <w:rPr>
          <w:rFonts w:ascii="Cambria" w:hAnsi="Cambria" w:cstheme="minorHAnsi"/>
        </w:rPr>
        <w:tab/>
      </w:r>
      <w:r w:rsidRPr="00B958B9">
        <w:rPr>
          <w:rFonts w:ascii="Cambria" w:hAnsi="Cambria" w:cstheme="minorHAnsi"/>
        </w:rPr>
        <w:tab/>
        <w:t>5.2.3</w:t>
      </w:r>
      <w:r w:rsidRPr="00B958B9">
        <w:rPr>
          <w:rFonts w:ascii="Cambria" w:hAnsi="Cambria" w:cstheme="minorHAnsi"/>
        </w:rPr>
        <w:tab/>
        <w:t>experience in research and analysis.</w:t>
      </w:r>
    </w:p>
    <w:p w14:paraId="5A5F6B54" w14:textId="77777777" w:rsidR="00885847" w:rsidRPr="00B958B9" w:rsidRDefault="00885847" w:rsidP="00885847">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B958B9">
        <w:rPr>
          <w:rFonts w:ascii="Cambria" w:hAnsi="Cambria" w:cstheme="minorHAnsi"/>
        </w:rPr>
        <w:tab/>
        <w:t>5.3</w:t>
      </w:r>
      <w:r w:rsidRPr="00B958B9">
        <w:rPr>
          <w:rFonts w:ascii="Cambria" w:hAnsi="Cambria" w:cstheme="minorHAnsi"/>
        </w:rPr>
        <w:tab/>
        <w:t>The membership shall include a suitable mix of backgrounds and perspectives which, together with the skills, qualifications and experience, will enable the Commission to fulfil its role.</w:t>
      </w:r>
    </w:p>
    <w:p w14:paraId="19A56EC1" w14:textId="77777777" w:rsidR="00885847" w:rsidRPr="00B958B9" w:rsidRDefault="00885847" w:rsidP="00885847">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B958B9">
        <w:rPr>
          <w:rFonts w:ascii="Cambria" w:hAnsi="Cambria" w:cstheme="minorHAnsi"/>
        </w:rPr>
        <w:tab/>
        <w:t>5.4</w:t>
      </w:r>
      <w:r w:rsidRPr="00B958B9">
        <w:rPr>
          <w:rFonts w:ascii="Cambria" w:hAnsi="Cambria" w:cstheme="minorHAnsi"/>
        </w:rPr>
        <w:tab/>
        <w:t>The Chairperson shall be appointed by the College of Bishops.</w:t>
      </w:r>
    </w:p>
    <w:p w14:paraId="7A96918A" w14:textId="77777777" w:rsidR="00885847" w:rsidRPr="00B958B9" w:rsidRDefault="00885847" w:rsidP="00885847">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B958B9">
        <w:rPr>
          <w:rFonts w:ascii="Cambria" w:hAnsi="Cambria" w:cstheme="minorHAnsi"/>
        </w:rPr>
        <w:tab/>
        <w:t>5.5</w:t>
      </w:r>
      <w:r w:rsidRPr="00B958B9">
        <w:rPr>
          <w:rFonts w:ascii="Cambria" w:hAnsi="Cambria" w:cstheme="minorHAnsi"/>
        </w:rPr>
        <w:tab/>
        <w:t xml:space="preserve">Up to two [2] consultants may be appointed by the College of Bishops to contribute specialised knowledge that is not available among the membership when addressing specific issues. </w:t>
      </w:r>
    </w:p>
    <w:p w14:paraId="7D5A5A82" w14:textId="77777777" w:rsidR="00885847" w:rsidRPr="00B958B9" w:rsidRDefault="00885847" w:rsidP="00885847">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B958B9">
        <w:rPr>
          <w:rFonts w:ascii="Cambria" w:hAnsi="Cambria" w:cstheme="minorHAnsi"/>
        </w:rPr>
        <w:tab/>
        <w:t>5.6</w:t>
      </w:r>
      <w:r w:rsidRPr="00B958B9">
        <w:rPr>
          <w:rFonts w:ascii="Cambria" w:hAnsi="Cambria" w:cstheme="minorHAnsi"/>
        </w:rPr>
        <w:tab/>
        <w:t xml:space="preserve">A nominated member of the teaching staff of Australian Lutheran College may also be a consultant to the Commission. </w:t>
      </w:r>
      <w:r w:rsidRPr="00B958B9">
        <w:rPr>
          <w:rFonts w:ascii="Cambria" w:hAnsi="Cambria" w:cstheme="minorHAnsi"/>
        </w:rPr>
        <w:tab/>
      </w:r>
      <w:r w:rsidRPr="00B958B9">
        <w:rPr>
          <w:rFonts w:ascii="Cambria" w:hAnsi="Cambria" w:cstheme="minorHAnsi"/>
        </w:rPr>
        <w:tab/>
      </w:r>
      <w:r w:rsidRPr="00B958B9">
        <w:rPr>
          <w:rFonts w:ascii="Cambria" w:hAnsi="Cambria" w:cstheme="minorHAnsi"/>
        </w:rPr>
        <w:tab/>
      </w:r>
    </w:p>
    <w:p w14:paraId="0E4F2557" w14:textId="77777777" w:rsidR="00885847" w:rsidRPr="00B958B9" w:rsidRDefault="00885847" w:rsidP="00885847">
      <w:pPr>
        <w:tabs>
          <w:tab w:val="left" w:pos="567"/>
          <w:tab w:val="left" w:pos="1418"/>
          <w:tab w:val="left" w:pos="2268"/>
          <w:tab w:val="left" w:pos="3119"/>
          <w:tab w:val="left" w:pos="3969"/>
        </w:tabs>
        <w:spacing w:after="0" w:line="240" w:lineRule="auto"/>
        <w:rPr>
          <w:rFonts w:ascii="Cambria" w:hAnsi="Cambria" w:cstheme="minorHAnsi"/>
        </w:rPr>
      </w:pPr>
    </w:p>
    <w:p w14:paraId="0D5834AE" w14:textId="77777777" w:rsidR="00885847" w:rsidRPr="00B958B9" w:rsidRDefault="00885847" w:rsidP="00885847">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B958B9">
        <w:rPr>
          <w:rFonts w:ascii="Cambria" w:hAnsi="Cambria" w:cstheme="minorHAnsi"/>
          <w:b/>
        </w:rPr>
        <w:t>6.0</w:t>
      </w:r>
      <w:r w:rsidRPr="00B958B9">
        <w:rPr>
          <w:rFonts w:ascii="Cambria" w:hAnsi="Cambria" w:cstheme="minorHAnsi"/>
          <w:b/>
        </w:rPr>
        <w:tab/>
        <w:t>MEETING ARRANGEMENTS AND REPORTING</w:t>
      </w:r>
    </w:p>
    <w:p w14:paraId="0BE9A1EC" w14:textId="77777777" w:rsidR="00885847" w:rsidRPr="00B958B9" w:rsidRDefault="00885847" w:rsidP="00885847">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B958B9">
        <w:rPr>
          <w:rFonts w:ascii="Cambria" w:hAnsi="Cambria" w:cstheme="minorHAnsi"/>
        </w:rPr>
        <w:tab/>
        <w:t>6.1</w:t>
      </w:r>
      <w:r w:rsidRPr="00B958B9">
        <w:rPr>
          <w:rFonts w:ascii="Cambria" w:hAnsi="Cambria" w:cstheme="minorHAnsi"/>
        </w:rPr>
        <w:tab/>
        <w:t xml:space="preserve">Meetings shall be convened by the Chairperson.  </w:t>
      </w:r>
    </w:p>
    <w:p w14:paraId="1CF5A2BE" w14:textId="77777777" w:rsidR="00885847" w:rsidRPr="00B958B9" w:rsidRDefault="00885847" w:rsidP="00885847">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B958B9">
        <w:rPr>
          <w:rFonts w:ascii="Cambria" w:hAnsi="Cambria" w:cstheme="minorHAnsi"/>
        </w:rPr>
        <w:tab/>
        <w:t>6.2</w:t>
      </w:r>
      <w:r w:rsidRPr="00B958B9">
        <w:rPr>
          <w:rFonts w:ascii="Cambria" w:hAnsi="Cambria" w:cstheme="minorHAnsi"/>
        </w:rPr>
        <w:tab/>
        <w:t>It is at the discretion of the Commission to meet face-to-face, by electronic means, or by other means of communication.</w:t>
      </w:r>
    </w:p>
    <w:p w14:paraId="16711BDB" w14:textId="77777777" w:rsidR="00885847" w:rsidRPr="00B958B9" w:rsidRDefault="00885847" w:rsidP="00885847">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B958B9">
        <w:rPr>
          <w:rFonts w:ascii="Cambria" w:hAnsi="Cambria" w:cstheme="minorHAnsi"/>
        </w:rPr>
        <w:tab/>
        <w:t>6.3</w:t>
      </w:r>
      <w:r w:rsidRPr="00B958B9">
        <w:rPr>
          <w:rFonts w:ascii="Cambria" w:hAnsi="Cambria" w:cstheme="minorHAnsi"/>
        </w:rPr>
        <w:tab/>
        <w:t xml:space="preserve">Email correspondence may be used for the distribution of minutes, advisory information or approval of documentation. </w:t>
      </w:r>
    </w:p>
    <w:p w14:paraId="0C466951" w14:textId="77777777" w:rsidR="00885847" w:rsidRPr="00B958B9" w:rsidRDefault="00885847" w:rsidP="00885847">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B958B9">
        <w:rPr>
          <w:rFonts w:ascii="Cambria" w:hAnsi="Cambria" w:cstheme="minorHAnsi"/>
        </w:rPr>
        <w:tab/>
        <w:t>6.4</w:t>
      </w:r>
      <w:r w:rsidRPr="00B958B9">
        <w:rPr>
          <w:rFonts w:ascii="Cambria" w:hAnsi="Cambria" w:cstheme="minorHAnsi"/>
        </w:rPr>
        <w:tab/>
        <w:t>The minutes of the meetings of the Commission shall be submitted to the College of Bishops.</w:t>
      </w:r>
    </w:p>
    <w:p w14:paraId="04430A37" w14:textId="77777777" w:rsidR="00885847" w:rsidRPr="00B958B9" w:rsidRDefault="00885847" w:rsidP="00885847">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B958B9">
        <w:rPr>
          <w:rFonts w:ascii="Cambria" w:hAnsi="Cambria" w:cstheme="minorHAnsi"/>
        </w:rPr>
        <w:tab/>
        <w:t>6.5</w:t>
      </w:r>
      <w:r w:rsidRPr="00B958B9">
        <w:rPr>
          <w:rFonts w:ascii="Cambria" w:hAnsi="Cambria" w:cstheme="minorHAnsi"/>
        </w:rPr>
        <w:tab/>
        <w:t>An annual report of the activities of the Commission and any subsidiary bodies shall be submitted to the College of Bishops, and as otherwise requested by the College of Bishops.</w:t>
      </w:r>
    </w:p>
    <w:p w14:paraId="1AEBA5E4" w14:textId="77777777" w:rsidR="00885847" w:rsidRPr="00B958B9" w:rsidRDefault="00885847" w:rsidP="00885847">
      <w:pPr>
        <w:tabs>
          <w:tab w:val="left" w:pos="567"/>
          <w:tab w:val="left" w:pos="1418"/>
          <w:tab w:val="left" w:pos="2268"/>
          <w:tab w:val="left" w:pos="3119"/>
          <w:tab w:val="left" w:pos="3969"/>
        </w:tabs>
        <w:spacing w:after="0" w:line="240" w:lineRule="auto"/>
        <w:ind w:left="567" w:hanging="567"/>
        <w:rPr>
          <w:rFonts w:ascii="Cambria" w:hAnsi="Cambria" w:cstheme="minorHAnsi"/>
        </w:rPr>
      </w:pPr>
    </w:p>
    <w:p w14:paraId="5D47E15C" w14:textId="77777777" w:rsidR="00885847" w:rsidRPr="00B958B9" w:rsidRDefault="00885847" w:rsidP="00885847">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B958B9">
        <w:rPr>
          <w:rFonts w:ascii="Cambria" w:hAnsi="Cambria" w:cstheme="minorHAnsi"/>
          <w:b/>
        </w:rPr>
        <w:t>7.0</w:t>
      </w:r>
      <w:r w:rsidRPr="00B958B9">
        <w:rPr>
          <w:rFonts w:ascii="Cambria" w:hAnsi="Cambria" w:cstheme="minorHAnsi"/>
          <w:b/>
        </w:rPr>
        <w:tab/>
        <w:t>RESPONSIBILITIES</w:t>
      </w:r>
    </w:p>
    <w:p w14:paraId="299D75D8" w14:textId="77777777" w:rsidR="00885847" w:rsidRPr="00B958B9" w:rsidRDefault="00885847" w:rsidP="00885847">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B958B9">
        <w:rPr>
          <w:rFonts w:ascii="Cambria" w:hAnsi="Cambria" w:cstheme="minorHAnsi"/>
        </w:rPr>
        <w:tab/>
        <w:t>7.1</w:t>
      </w:r>
      <w:r w:rsidRPr="00B958B9">
        <w:rPr>
          <w:rFonts w:ascii="Cambria" w:hAnsi="Cambria" w:cstheme="minorHAnsi"/>
        </w:rPr>
        <w:tab/>
        <w:t>The Commission shall fulfil its responsibilities in keeping with a commitment to the confessional basis of the Church, its objects and its policies and procedures.</w:t>
      </w:r>
    </w:p>
    <w:p w14:paraId="18BE96C5" w14:textId="77777777" w:rsidR="00885847" w:rsidRPr="00B958B9" w:rsidRDefault="00885847" w:rsidP="00885847">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B958B9">
        <w:rPr>
          <w:rFonts w:ascii="Cambria" w:hAnsi="Cambria" w:cstheme="minorHAnsi"/>
        </w:rPr>
        <w:tab/>
        <w:t>7.1</w:t>
      </w:r>
      <w:r w:rsidRPr="00B958B9">
        <w:rPr>
          <w:rFonts w:ascii="Cambria" w:hAnsi="Cambria" w:cstheme="minorHAnsi"/>
        </w:rPr>
        <w:tab/>
        <w:t>The Commission is responsible for, but not limited to</w:t>
      </w:r>
    </w:p>
    <w:p w14:paraId="62AAB8FD" w14:textId="77777777" w:rsidR="00885847" w:rsidRPr="00B958B9" w:rsidRDefault="00885847" w:rsidP="00885847">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B958B9">
        <w:rPr>
          <w:rFonts w:ascii="Cambria" w:hAnsi="Cambria" w:cstheme="minorHAnsi"/>
        </w:rPr>
        <w:tab/>
      </w:r>
      <w:r w:rsidRPr="00B958B9">
        <w:rPr>
          <w:rFonts w:ascii="Cambria" w:hAnsi="Cambria" w:cstheme="minorHAnsi"/>
        </w:rPr>
        <w:tab/>
        <w:t>7.1.1</w:t>
      </w:r>
      <w:r w:rsidRPr="00B958B9">
        <w:rPr>
          <w:rFonts w:ascii="Cambria" w:hAnsi="Cambria" w:cstheme="minorHAnsi"/>
        </w:rPr>
        <w:tab/>
        <w:t>studying and evaluating current social and bioethical questions in the light of the Scriptures and the Confessions of the Church;</w:t>
      </w:r>
    </w:p>
    <w:p w14:paraId="4A87AF4E" w14:textId="77777777" w:rsidR="00885847" w:rsidRPr="00B958B9" w:rsidRDefault="00885847" w:rsidP="00885847">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B958B9">
        <w:rPr>
          <w:rFonts w:ascii="Cambria" w:hAnsi="Cambria" w:cstheme="minorHAnsi"/>
        </w:rPr>
        <w:tab/>
      </w:r>
      <w:r w:rsidRPr="00B958B9">
        <w:rPr>
          <w:rFonts w:ascii="Cambria" w:hAnsi="Cambria" w:cstheme="minorHAnsi"/>
        </w:rPr>
        <w:tab/>
        <w:t>7.1.2</w:t>
      </w:r>
      <w:r w:rsidRPr="00B958B9">
        <w:rPr>
          <w:rFonts w:ascii="Cambria" w:hAnsi="Cambria" w:cstheme="minorHAnsi"/>
        </w:rPr>
        <w:tab/>
        <w:t>obtaining reports of any social and bioethical questions, if deemed desirable, from boards, councils, commissions and committees of the Church directly involved in such questions, and in general to maintain liaison with such bodies;  and</w:t>
      </w:r>
    </w:p>
    <w:p w14:paraId="525D24AB" w14:textId="77777777" w:rsidR="00885847" w:rsidRPr="00B958B9" w:rsidRDefault="00885847" w:rsidP="00885847">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B958B9">
        <w:rPr>
          <w:rFonts w:ascii="Cambria" w:hAnsi="Cambria" w:cstheme="minorHAnsi"/>
        </w:rPr>
        <w:lastRenderedPageBreak/>
        <w:tab/>
      </w:r>
      <w:r w:rsidRPr="00B958B9">
        <w:rPr>
          <w:rFonts w:ascii="Cambria" w:hAnsi="Cambria" w:cstheme="minorHAnsi"/>
        </w:rPr>
        <w:tab/>
        <w:t>7.1.3</w:t>
      </w:r>
      <w:r w:rsidRPr="00B958B9">
        <w:rPr>
          <w:rFonts w:ascii="Cambria" w:hAnsi="Cambria" w:cstheme="minorHAnsi"/>
        </w:rPr>
        <w:tab/>
        <w:t xml:space="preserve">developing statements, opinions and other suitable resources for dissemination in the Church with the approval of the College of Bishops and, as necessary, to forward submissions to appropriate secular bodies.  </w:t>
      </w:r>
    </w:p>
    <w:p w14:paraId="5A548C16" w14:textId="77777777" w:rsidR="00885847" w:rsidRPr="00B958B9" w:rsidRDefault="00885847" w:rsidP="00885847">
      <w:pPr>
        <w:tabs>
          <w:tab w:val="left" w:pos="567"/>
          <w:tab w:val="left" w:pos="1418"/>
          <w:tab w:val="left" w:pos="2268"/>
          <w:tab w:val="left" w:pos="3119"/>
          <w:tab w:val="left" w:pos="3969"/>
        </w:tabs>
        <w:spacing w:after="0" w:line="240" w:lineRule="auto"/>
        <w:ind w:left="567" w:hanging="567"/>
        <w:rPr>
          <w:rFonts w:ascii="Cambria" w:hAnsi="Cambria" w:cstheme="minorHAnsi"/>
        </w:rPr>
      </w:pPr>
    </w:p>
    <w:p w14:paraId="788F0B45" w14:textId="77777777" w:rsidR="00885847" w:rsidRPr="00B958B9" w:rsidRDefault="00885847" w:rsidP="00885847">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B958B9">
        <w:rPr>
          <w:rFonts w:ascii="Cambria" w:hAnsi="Cambria" w:cstheme="minorHAnsi"/>
          <w:b/>
        </w:rPr>
        <w:t>8.</w:t>
      </w:r>
      <w:r w:rsidRPr="00B958B9">
        <w:rPr>
          <w:rFonts w:ascii="Cambria" w:hAnsi="Cambria" w:cstheme="minorHAnsi"/>
          <w:b/>
        </w:rPr>
        <w:tab/>
        <w:t>REVIEW</w:t>
      </w:r>
    </w:p>
    <w:p w14:paraId="22B049C2" w14:textId="77777777" w:rsidR="00885847" w:rsidRPr="00B958B9" w:rsidRDefault="00885847" w:rsidP="00885847">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B958B9">
        <w:rPr>
          <w:rFonts w:ascii="Cambria" w:hAnsi="Cambria" w:cstheme="minorHAnsi"/>
        </w:rPr>
        <w:tab/>
        <w:t>8.1</w:t>
      </w:r>
      <w:r w:rsidRPr="00B958B9">
        <w:rPr>
          <w:rFonts w:ascii="Cambria" w:hAnsi="Cambria" w:cstheme="minorHAnsi"/>
        </w:rPr>
        <w:tab/>
        <w:t xml:space="preserve">The Terms of Reference for the Commission shall be reviewed during each Synodical term. </w:t>
      </w:r>
    </w:p>
    <w:p w14:paraId="600A5C56" w14:textId="356417B7" w:rsidR="00885847" w:rsidRDefault="00885847" w:rsidP="00885847">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B958B9">
        <w:rPr>
          <w:rFonts w:ascii="Cambria" w:hAnsi="Cambria" w:cstheme="minorHAnsi"/>
        </w:rPr>
        <w:tab/>
        <w:t>8.2</w:t>
      </w:r>
      <w:r w:rsidRPr="00B958B9">
        <w:rPr>
          <w:rFonts w:ascii="Cambria" w:hAnsi="Cambria" w:cstheme="minorHAnsi"/>
        </w:rPr>
        <w:tab/>
        <w:t>Any changes to the Terms of Reference shall be approved by the General Church Board on recommendation of the College of Bishops, upon review by the Standing Committee on Constitutions.</w:t>
      </w:r>
    </w:p>
    <w:p w14:paraId="5BEE8E8C" w14:textId="77777777" w:rsidR="008D5436" w:rsidRPr="00B958B9" w:rsidRDefault="008D5436" w:rsidP="00885847">
      <w:pPr>
        <w:tabs>
          <w:tab w:val="left" w:pos="567"/>
          <w:tab w:val="left" w:pos="1418"/>
          <w:tab w:val="left" w:pos="2268"/>
          <w:tab w:val="left" w:pos="3119"/>
          <w:tab w:val="left" w:pos="3969"/>
        </w:tabs>
        <w:spacing w:after="0" w:line="240" w:lineRule="auto"/>
        <w:ind w:left="1418" w:hanging="1418"/>
        <w:rPr>
          <w:rFonts w:ascii="Cambria" w:hAnsi="Cambria" w:cstheme="minorHAnsi"/>
        </w:rPr>
      </w:pPr>
    </w:p>
    <w:p w14:paraId="65938C8A" w14:textId="77777777" w:rsidR="00885847" w:rsidRPr="00D63B36" w:rsidRDefault="00885847" w:rsidP="00D63B36">
      <w:pPr>
        <w:tabs>
          <w:tab w:val="left" w:pos="567"/>
          <w:tab w:val="left" w:pos="1418"/>
          <w:tab w:val="left" w:pos="2268"/>
          <w:tab w:val="left" w:pos="3119"/>
          <w:tab w:val="left" w:pos="3969"/>
        </w:tabs>
        <w:spacing w:after="0" w:line="240" w:lineRule="auto"/>
        <w:ind w:left="1418" w:hanging="1418"/>
        <w:rPr>
          <w:rFonts w:ascii="Cambria" w:hAnsi="Cambria"/>
        </w:rPr>
      </w:pPr>
    </w:p>
    <w:p w14:paraId="4B1CC87C" w14:textId="60320026" w:rsidR="008D5436" w:rsidRDefault="008D5436" w:rsidP="008D5436">
      <w:pPr>
        <w:pStyle w:val="NoSpacing"/>
      </w:pPr>
    </w:p>
    <w:p w14:paraId="793CA484" w14:textId="77777777" w:rsidR="008D5436" w:rsidRPr="008D5436" w:rsidRDefault="008D5436" w:rsidP="008D5436">
      <w:pPr>
        <w:pStyle w:val="NoSpacing"/>
      </w:pPr>
    </w:p>
    <w:p w14:paraId="79D9B4BC" w14:textId="2C0DC519" w:rsidR="008D5436" w:rsidRPr="00AE7C46" w:rsidRDefault="008D5436" w:rsidP="008D5436">
      <w:pPr>
        <w:pStyle w:val="Heading2"/>
      </w:pPr>
      <w:r w:rsidRPr="00AE7C46">
        <w:t xml:space="preserve">COMMISSION ON THEOLOGY </w:t>
      </w:r>
      <w:r>
        <w:t>AND</w:t>
      </w:r>
      <w:r w:rsidRPr="00AE7C46">
        <w:t xml:space="preserve"> INTER-CHURCH RELATIONS</w:t>
      </w:r>
    </w:p>
    <w:p w14:paraId="2FF78124" w14:textId="77777777" w:rsidR="008D5436" w:rsidRPr="00AE7C46" w:rsidRDefault="008D5436" w:rsidP="008D5436">
      <w:pPr>
        <w:tabs>
          <w:tab w:val="left" w:pos="567"/>
          <w:tab w:val="left" w:pos="1418"/>
          <w:tab w:val="left" w:pos="2268"/>
          <w:tab w:val="left" w:pos="3119"/>
          <w:tab w:val="left" w:pos="3969"/>
        </w:tabs>
        <w:spacing w:after="0" w:line="240" w:lineRule="auto"/>
        <w:ind w:left="567" w:hanging="567"/>
        <w:jc w:val="center"/>
        <w:rPr>
          <w:rFonts w:ascii="Cambria" w:hAnsi="Cambria" w:cstheme="minorHAnsi"/>
          <w:b/>
        </w:rPr>
      </w:pPr>
    </w:p>
    <w:p w14:paraId="45220AD5" w14:textId="77777777" w:rsidR="008D5436" w:rsidRPr="00AE7C46" w:rsidRDefault="008D5436" w:rsidP="008D5436">
      <w:pPr>
        <w:pStyle w:val="Heading3"/>
      </w:pPr>
      <w:r w:rsidRPr="00AE7C46">
        <w:t>Terms of Reference</w:t>
      </w:r>
    </w:p>
    <w:p w14:paraId="46067587" w14:textId="77777777" w:rsidR="008D5436" w:rsidRPr="00AE7C46" w:rsidRDefault="008D5436" w:rsidP="008D5436">
      <w:pPr>
        <w:tabs>
          <w:tab w:val="left" w:pos="567"/>
          <w:tab w:val="left" w:pos="1418"/>
          <w:tab w:val="left" w:pos="2268"/>
          <w:tab w:val="left" w:pos="3119"/>
          <w:tab w:val="left" w:pos="3969"/>
        </w:tabs>
        <w:spacing w:after="0" w:line="240" w:lineRule="auto"/>
        <w:ind w:left="567" w:hanging="567"/>
        <w:jc w:val="center"/>
        <w:rPr>
          <w:rFonts w:ascii="Cambria" w:hAnsi="Cambria" w:cstheme="minorHAnsi"/>
          <w:b/>
        </w:rPr>
      </w:pPr>
    </w:p>
    <w:p w14:paraId="00D7A852" w14:textId="77777777" w:rsidR="008D5436" w:rsidRPr="00AE7C46" w:rsidRDefault="008D5436" w:rsidP="008D5436">
      <w:pPr>
        <w:tabs>
          <w:tab w:val="left" w:pos="567"/>
          <w:tab w:val="left" w:pos="1418"/>
          <w:tab w:val="left" w:pos="2268"/>
          <w:tab w:val="left" w:pos="3119"/>
          <w:tab w:val="left" w:pos="3969"/>
        </w:tabs>
        <w:spacing w:after="0" w:line="240" w:lineRule="auto"/>
        <w:ind w:left="567" w:hanging="567"/>
        <w:jc w:val="center"/>
        <w:rPr>
          <w:rFonts w:ascii="Cambria" w:hAnsi="Cambria" w:cstheme="minorHAnsi"/>
          <w:b/>
        </w:rPr>
      </w:pPr>
    </w:p>
    <w:p w14:paraId="6C60F0F5" w14:textId="77777777" w:rsidR="008D5436" w:rsidRPr="00AE7C46" w:rsidRDefault="008D5436" w:rsidP="008D5436">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AE7C46">
        <w:rPr>
          <w:rFonts w:ascii="Cambria" w:hAnsi="Cambria" w:cstheme="minorHAnsi"/>
          <w:b/>
        </w:rPr>
        <w:t>1.</w:t>
      </w:r>
      <w:r w:rsidRPr="00AE7C46">
        <w:rPr>
          <w:rFonts w:ascii="Cambria" w:hAnsi="Cambria" w:cstheme="minorHAnsi"/>
          <w:b/>
        </w:rPr>
        <w:tab/>
        <w:t xml:space="preserve">NAME </w:t>
      </w:r>
    </w:p>
    <w:p w14:paraId="5E08D66C" w14:textId="77777777" w:rsidR="008D5436" w:rsidRPr="00AE7C46" w:rsidRDefault="008D5436" w:rsidP="008D5436">
      <w:pPr>
        <w:tabs>
          <w:tab w:val="left" w:pos="567"/>
          <w:tab w:val="left" w:pos="1418"/>
          <w:tab w:val="left" w:pos="2268"/>
          <w:tab w:val="left" w:pos="3119"/>
          <w:tab w:val="left" w:pos="3969"/>
        </w:tabs>
        <w:spacing w:after="0" w:line="240" w:lineRule="auto"/>
        <w:ind w:left="567" w:hanging="567"/>
        <w:rPr>
          <w:rFonts w:ascii="Cambria" w:hAnsi="Cambria" w:cstheme="minorHAnsi"/>
        </w:rPr>
      </w:pPr>
      <w:r w:rsidRPr="00AE7C46">
        <w:rPr>
          <w:rFonts w:ascii="Cambria" w:hAnsi="Cambria" w:cstheme="minorHAnsi"/>
        </w:rPr>
        <w:tab/>
        <w:t>Commission on Theology and Inter-Church Relations, referred to as “the Commission”.</w:t>
      </w:r>
    </w:p>
    <w:p w14:paraId="1416D683" w14:textId="77777777" w:rsidR="008D5436" w:rsidRPr="00AE7C46" w:rsidRDefault="008D5436" w:rsidP="008D5436">
      <w:pPr>
        <w:tabs>
          <w:tab w:val="left" w:pos="567"/>
          <w:tab w:val="left" w:pos="1418"/>
          <w:tab w:val="left" w:pos="2268"/>
          <w:tab w:val="left" w:pos="3119"/>
          <w:tab w:val="left" w:pos="3969"/>
        </w:tabs>
        <w:spacing w:after="0" w:line="240" w:lineRule="auto"/>
        <w:ind w:left="567" w:hanging="567"/>
        <w:rPr>
          <w:rFonts w:ascii="Cambria" w:hAnsi="Cambria" w:cstheme="minorHAnsi"/>
        </w:rPr>
      </w:pPr>
    </w:p>
    <w:p w14:paraId="4B301AEF" w14:textId="5B68042B" w:rsidR="008D5436" w:rsidRPr="00AE7C46" w:rsidRDefault="008D5436" w:rsidP="008D5436">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AE7C46">
        <w:rPr>
          <w:rFonts w:ascii="Cambria" w:hAnsi="Cambria" w:cstheme="minorHAnsi"/>
          <w:b/>
        </w:rPr>
        <w:t>2.</w:t>
      </w:r>
      <w:r w:rsidRPr="00AE7C46">
        <w:rPr>
          <w:rFonts w:ascii="Cambria" w:hAnsi="Cambria" w:cstheme="minorHAnsi"/>
          <w:b/>
        </w:rPr>
        <w:tab/>
        <w:t>RELATIONSHIP TO THE CHURCH</w:t>
      </w:r>
    </w:p>
    <w:p w14:paraId="0F861746" w14:textId="77777777" w:rsidR="008D5436" w:rsidRPr="00AE7C46" w:rsidRDefault="008D5436" w:rsidP="008D5436">
      <w:pPr>
        <w:tabs>
          <w:tab w:val="left" w:pos="567"/>
          <w:tab w:val="left" w:pos="1418"/>
          <w:tab w:val="left" w:pos="2268"/>
          <w:tab w:val="left" w:pos="3119"/>
          <w:tab w:val="left" w:pos="3969"/>
        </w:tabs>
        <w:spacing w:after="0" w:line="240" w:lineRule="auto"/>
        <w:ind w:left="567" w:hanging="567"/>
        <w:rPr>
          <w:rFonts w:ascii="Cambria" w:hAnsi="Cambria" w:cstheme="minorHAnsi"/>
        </w:rPr>
      </w:pPr>
      <w:r w:rsidRPr="00AE7C46">
        <w:rPr>
          <w:rFonts w:ascii="Cambria" w:hAnsi="Cambria" w:cstheme="minorHAnsi"/>
        </w:rPr>
        <w:tab/>
        <w:t>The Commission is accountable to the College of Bishops</w:t>
      </w:r>
      <w:r w:rsidRPr="00AE7C46">
        <w:rPr>
          <w:rFonts w:ascii="Cambria" w:hAnsi="Cambria"/>
        </w:rPr>
        <w:t xml:space="preserve"> </w:t>
      </w:r>
      <w:r w:rsidRPr="00AE7C46">
        <w:rPr>
          <w:rFonts w:ascii="Cambria" w:hAnsi="Cambria" w:cstheme="minorHAnsi"/>
        </w:rPr>
        <w:t xml:space="preserve">and shall fulfil its responsibilities in keeping with the Constitution and the policies of the Church. </w:t>
      </w:r>
    </w:p>
    <w:p w14:paraId="263780BE" w14:textId="77777777" w:rsidR="008D5436" w:rsidRPr="00AE7C46" w:rsidRDefault="008D5436" w:rsidP="008D5436">
      <w:pPr>
        <w:tabs>
          <w:tab w:val="left" w:pos="567"/>
          <w:tab w:val="left" w:pos="1418"/>
          <w:tab w:val="left" w:pos="2268"/>
          <w:tab w:val="left" w:pos="3119"/>
          <w:tab w:val="left" w:pos="3969"/>
        </w:tabs>
        <w:spacing w:after="0" w:line="240" w:lineRule="auto"/>
        <w:ind w:left="567" w:hanging="567"/>
        <w:rPr>
          <w:rFonts w:ascii="Cambria" w:hAnsi="Cambria" w:cstheme="minorHAnsi"/>
        </w:rPr>
      </w:pPr>
    </w:p>
    <w:p w14:paraId="3A52C839" w14:textId="77777777" w:rsidR="008D5436" w:rsidRPr="00AE7C46" w:rsidRDefault="008D5436" w:rsidP="008D5436">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AE7C46">
        <w:rPr>
          <w:rFonts w:ascii="Cambria" w:hAnsi="Cambria" w:cstheme="minorHAnsi"/>
          <w:b/>
        </w:rPr>
        <w:t>3.</w:t>
      </w:r>
      <w:r w:rsidRPr="00AE7C46">
        <w:rPr>
          <w:rFonts w:ascii="Cambria" w:hAnsi="Cambria" w:cstheme="minorHAnsi"/>
          <w:b/>
        </w:rPr>
        <w:tab/>
        <w:t>PURPOSE</w:t>
      </w:r>
    </w:p>
    <w:p w14:paraId="14D80C53" w14:textId="77777777" w:rsidR="008D5436" w:rsidRPr="00AE7C46" w:rsidRDefault="008D5436" w:rsidP="008D5436">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AE7C46">
        <w:rPr>
          <w:rFonts w:ascii="Cambria" w:hAnsi="Cambria" w:cstheme="minorHAnsi"/>
        </w:rPr>
        <w:tab/>
        <w:t>3.1</w:t>
      </w:r>
      <w:r w:rsidRPr="00AE7C46">
        <w:rPr>
          <w:rFonts w:ascii="Cambria" w:hAnsi="Cambria" w:cstheme="minorHAnsi"/>
        </w:rPr>
        <w:tab/>
        <w:t>The purpose of the Commission is to</w:t>
      </w:r>
    </w:p>
    <w:p w14:paraId="3F5D88EB" w14:textId="77777777" w:rsidR="008D5436" w:rsidRPr="00AE7C46" w:rsidRDefault="008D5436" w:rsidP="008D5436">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AE7C46">
        <w:rPr>
          <w:rFonts w:ascii="Cambria" w:hAnsi="Cambria" w:cstheme="minorHAnsi"/>
        </w:rPr>
        <w:tab/>
      </w:r>
      <w:r w:rsidRPr="00AE7C46">
        <w:rPr>
          <w:rFonts w:ascii="Cambria" w:hAnsi="Cambria" w:cstheme="minorHAnsi"/>
        </w:rPr>
        <w:tab/>
        <w:t>3.1.1</w:t>
      </w:r>
      <w:r w:rsidRPr="00AE7C46">
        <w:rPr>
          <w:rFonts w:ascii="Cambria" w:hAnsi="Cambria" w:cstheme="minorHAnsi"/>
        </w:rPr>
        <w:tab/>
        <w:t>engage in the study of theological matters and inter-church relations;</w:t>
      </w:r>
    </w:p>
    <w:p w14:paraId="025A8521" w14:textId="77777777" w:rsidR="008D5436" w:rsidRPr="00AE7C46" w:rsidRDefault="008D5436" w:rsidP="008D5436">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AE7C46">
        <w:rPr>
          <w:rFonts w:ascii="Cambria" w:hAnsi="Cambria" w:cstheme="minorHAnsi"/>
        </w:rPr>
        <w:tab/>
      </w:r>
      <w:r w:rsidRPr="00AE7C46">
        <w:rPr>
          <w:rFonts w:ascii="Cambria" w:hAnsi="Cambria" w:cstheme="minorHAnsi"/>
        </w:rPr>
        <w:tab/>
        <w:t>3.1.2</w:t>
      </w:r>
      <w:r w:rsidRPr="00AE7C46">
        <w:rPr>
          <w:rFonts w:ascii="Cambria" w:hAnsi="Cambria" w:cstheme="minorHAnsi"/>
        </w:rPr>
        <w:tab/>
        <w:t>provide the Church with an informed position on issues and developments on theological matters and inter-church relations;  and</w:t>
      </w:r>
    </w:p>
    <w:p w14:paraId="65B1E9B9" w14:textId="77777777" w:rsidR="008D5436" w:rsidRPr="00AE7C46" w:rsidRDefault="008D5436" w:rsidP="008D5436">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AE7C46">
        <w:rPr>
          <w:rFonts w:ascii="Cambria" w:hAnsi="Cambria" w:cstheme="minorHAnsi"/>
        </w:rPr>
        <w:tab/>
      </w:r>
      <w:r w:rsidRPr="00AE7C46">
        <w:rPr>
          <w:rFonts w:ascii="Cambria" w:hAnsi="Cambria" w:cstheme="minorHAnsi"/>
        </w:rPr>
        <w:tab/>
        <w:t>3.1.3</w:t>
      </w:r>
      <w:r w:rsidRPr="00AE7C46">
        <w:rPr>
          <w:rFonts w:ascii="Cambria" w:hAnsi="Cambria" w:cstheme="minorHAnsi"/>
        </w:rPr>
        <w:tab/>
        <w:t>give guidance to members of the Church on current theological and inter-church questions.</w:t>
      </w:r>
    </w:p>
    <w:p w14:paraId="75605AE3" w14:textId="77777777" w:rsidR="008D5436" w:rsidRPr="00AE7C46" w:rsidRDefault="008D5436" w:rsidP="008D5436">
      <w:pPr>
        <w:tabs>
          <w:tab w:val="left" w:pos="567"/>
          <w:tab w:val="left" w:pos="1418"/>
          <w:tab w:val="left" w:pos="2268"/>
          <w:tab w:val="left" w:pos="3119"/>
          <w:tab w:val="left" w:pos="3969"/>
        </w:tabs>
        <w:spacing w:after="0" w:line="240" w:lineRule="auto"/>
        <w:ind w:left="2268" w:hanging="2268"/>
        <w:rPr>
          <w:rFonts w:ascii="Cambria" w:hAnsi="Cambria" w:cstheme="minorHAnsi"/>
        </w:rPr>
      </w:pPr>
    </w:p>
    <w:p w14:paraId="0C8BB0E7" w14:textId="77777777" w:rsidR="008D5436" w:rsidRPr="00AE7C46" w:rsidRDefault="008D5436" w:rsidP="008D5436">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AE7C46">
        <w:rPr>
          <w:rFonts w:ascii="Cambria" w:hAnsi="Cambria" w:cstheme="minorHAnsi"/>
          <w:b/>
        </w:rPr>
        <w:t>4.</w:t>
      </w:r>
      <w:r w:rsidRPr="00AE7C46">
        <w:rPr>
          <w:rFonts w:ascii="Cambria" w:hAnsi="Cambria" w:cstheme="minorHAnsi"/>
          <w:b/>
        </w:rPr>
        <w:tab/>
        <w:t>AUTHORITY</w:t>
      </w:r>
    </w:p>
    <w:p w14:paraId="660E39E6" w14:textId="77777777" w:rsidR="008D5436" w:rsidRPr="00AE7C46" w:rsidRDefault="008D5436" w:rsidP="008D5436">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AE7C46">
        <w:rPr>
          <w:rFonts w:ascii="Cambria" w:hAnsi="Cambria" w:cstheme="minorHAnsi"/>
        </w:rPr>
        <w:tab/>
        <w:t>4.1</w:t>
      </w:r>
      <w:r w:rsidRPr="00AE7C46">
        <w:rPr>
          <w:rFonts w:ascii="Cambria" w:hAnsi="Cambria" w:cstheme="minorHAnsi"/>
        </w:rPr>
        <w:tab/>
        <w:t>The Commission has no decision-making authority.</w:t>
      </w:r>
    </w:p>
    <w:p w14:paraId="4AD01E4C" w14:textId="77777777" w:rsidR="008D5436" w:rsidRPr="00AE7C46" w:rsidRDefault="008D5436" w:rsidP="008D5436">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AE7C46">
        <w:rPr>
          <w:rFonts w:ascii="Cambria" w:hAnsi="Cambria" w:cstheme="minorHAnsi"/>
        </w:rPr>
        <w:tab/>
        <w:t>4.2</w:t>
      </w:r>
      <w:r w:rsidRPr="00AE7C46">
        <w:rPr>
          <w:rFonts w:ascii="Cambria" w:hAnsi="Cambria" w:cstheme="minorHAnsi"/>
        </w:rPr>
        <w:tab/>
        <w:t>The Commission may speak for the Church on issues of theology and inter-church relations and/or publish statements and documents on these matters, following approval by the College of Bishops or the General Church Board.</w:t>
      </w:r>
    </w:p>
    <w:p w14:paraId="2D27191C" w14:textId="77777777" w:rsidR="008D5436" w:rsidRPr="00AE7C46" w:rsidRDefault="008D5436" w:rsidP="008D5436">
      <w:pPr>
        <w:tabs>
          <w:tab w:val="left" w:pos="567"/>
          <w:tab w:val="left" w:pos="1418"/>
          <w:tab w:val="left" w:pos="2268"/>
          <w:tab w:val="left" w:pos="3119"/>
          <w:tab w:val="left" w:pos="3969"/>
        </w:tabs>
        <w:spacing w:after="0" w:line="240" w:lineRule="auto"/>
        <w:ind w:left="567" w:hanging="567"/>
        <w:rPr>
          <w:rFonts w:ascii="Cambria" w:hAnsi="Cambria" w:cstheme="minorHAnsi"/>
        </w:rPr>
      </w:pPr>
    </w:p>
    <w:p w14:paraId="4FFB164C" w14:textId="77777777" w:rsidR="008D5436" w:rsidRPr="00AE7C46" w:rsidRDefault="008D5436" w:rsidP="008D5436">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AE7C46">
        <w:rPr>
          <w:rFonts w:ascii="Cambria" w:hAnsi="Cambria" w:cstheme="minorHAnsi"/>
          <w:b/>
        </w:rPr>
        <w:t>5.</w:t>
      </w:r>
      <w:r w:rsidRPr="00AE7C46">
        <w:rPr>
          <w:rFonts w:ascii="Cambria" w:hAnsi="Cambria" w:cstheme="minorHAnsi"/>
          <w:b/>
        </w:rPr>
        <w:tab/>
        <w:t>MEMBERSHIP</w:t>
      </w:r>
    </w:p>
    <w:p w14:paraId="6E933441" w14:textId="77777777" w:rsidR="008D5436" w:rsidRPr="00AE7C46" w:rsidRDefault="008D5436" w:rsidP="008D5436">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AE7C46">
        <w:rPr>
          <w:rFonts w:ascii="Cambria" w:hAnsi="Cambria" w:cstheme="minorHAnsi"/>
        </w:rPr>
        <w:tab/>
        <w:t>5.1</w:t>
      </w:r>
      <w:r w:rsidRPr="00AE7C46">
        <w:rPr>
          <w:rFonts w:ascii="Cambria" w:hAnsi="Cambria" w:cstheme="minorHAnsi"/>
        </w:rPr>
        <w:tab/>
        <w:t>The Commission shall consist of sixteen [16] members:</w:t>
      </w:r>
    </w:p>
    <w:p w14:paraId="204888DE" w14:textId="77777777" w:rsidR="008D5436" w:rsidRPr="00AE7C46" w:rsidRDefault="008D5436" w:rsidP="008D5436">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AE7C46">
        <w:rPr>
          <w:rFonts w:ascii="Cambria" w:hAnsi="Cambria" w:cstheme="minorHAnsi"/>
        </w:rPr>
        <w:tab/>
      </w:r>
      <w:r w:rsidRPr="00AE7C46">
        <w:rPr>
          <w:rFonts w:ascii="Cambria" w:hAnsi="Cambria" w:cstheme="minorHAnsi"/>
        </w:rPr>
        <w:tab/>
        <w:t>5.1.1</w:t>
      </w:r>
      <w:r w:rsidRPr="00AE7C46">
        <w:rPr>
          <w:rFonts w:ascii="Cambria" w:hAnsi="Cambria" w:cstheme="minorHAnsi"/>
        </w:rPr>
        <w:tab/>
        <w:t>the Bishop of the Church;</w:t>
      </w:r>
    </w:p>
    <w:p w14:paraId="19B76BD1" w14:textId="77777777" w:rsidR="008D5436" w:rsidRPr="00AE7C46" w:rsidRDefault="008D5436" w:rsidP="008D5436">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AE7C46">
        <w:rPr>
          <w:rFonts w:ascii="Cambria" w:hAnsi="Cambria" w:cstheme="minorHAnsi"/>
        </w:rPr>
        <w:tab/>
      </w:r>
      <w:r w:rsidRPr="00AE7C46">
        <w:rPr>
          <w:rFonts w:ascii="Cambria" w:hAnsi="Cambria" w:cstheme="minorHAnsi"/>
        </w:rPr>
        <w:tab/>
        <w:t>5.1.2</w:t>
      </w:r>
      <w:r w:rsidRPr="00AE7C46">
        <w:rPr>
          <w:rFonts w:ascii="Cambria" w:hAnsi="Cambria" w:cstheme="minorHAnsi"/>
        </w:rPr>
        <w:tab/>
        <w:t>the Assistant Bishop of the Church;</w:t>
      </w:r>
    </w:p>
    <w:p w14:paraId="2CAFE920" w14:textId="77777777" w:rsidR="008D5436" w:rsidRPr="00AE7C46" w:rsidRDefault="008D5436" w:rsidP="008D5436">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AE7C46">
        <w:rPr>
          <w:rFonts w:ascii="Cambria" w:hAnsi="Cambria" w:cstheme="minorHAnsi"/>
        </w:rPr>
        <w:tab/>
      </w:r>
      <w:r w:rsidRPr="00AE7C46">
        <w:rPr>
          <w:rFonts w:ascii="Cambria" w:hAnsi="Cambria" w:cstheme="minorHAnsi"/>
        </w:rPr>
        <w:tab/>
        <w:t>5.1.3</w:t>
      </w:r>
      <w:r w:rsidRPr="00AE7C46">
        <w:rPr>
          <w:rFonts w:ascii="Cambria" w:hAnsi="Cambria" w:cstheme="minorHAnsi"/>
        </w:rPr>
        <w:tab/>
        <w:t>two [2] District Bishops of the Church;</w:t>
      </w:r>
    </w:p>
    <w:p w14:paraId="738F2CF1" w14:textId="77777777" w:rsidR="008D5436" w:rsidRPr="00AE7C46" w:rsidRDefault="008D5436" w:rsidP="008D5436">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AE7C46">
        <w:rPr>
          <w:rFonts w:ascii="Cambria" w:hAnsi="Cambria" w:cstheme="minorHAnsi"/>
        </w:rPr>
        <w:tab/>
      </w:r>
      <w:r w:rsidRPr="00AE7C46">
        <w:rPr>
          <w:rFonts w:ascii="Cambria" w:hAnsi="Cambria" w:cstheme="minorHAnsi"/>
        </w:rPr>
        <w:tab/>
        <w:t>4.1.4</w:t>
      </w:r>
      <w:r w:rsidRPr="00AE7C46">
        <w:rPr>
          <w:rFonts w:ascii="Cambria" w:hAnsi="Cambria" w:cstheme="minorHAnsi"/>
        </w:rPr>
        <w:tab/>
        <w:t>five [5] members of the teaching staff of Australian Lutheran College;</w:t>
      </w:r>
    </w:p>
    <w:p w14:paraId="56BBFBDB" w14:textId="77777777" w:rsidR="008D5436" w:rsidRPr="00AE7C46" w:rsidRDefault="008D5436" w:rsidP="008D5436">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AE7C46">
        <w:rPr>
          <w:rFonts w:ascii="Cambria" w:hAnsi="Cambria" w:cstheme="minorHAnsi"/>
        </w:rPr>
        <w:tab/>
      </w:r>
      <w:r w:rsidRPr="00AE7C46">
        <w:rPr>
          <w:rFonts w:ascii="Cambria" w:hAnsi="Cambria" w:cstheme="minorHAnsi"/>
        </w:rPr>
        <w:tab/>
        <w:t>5.1.5</w:t>
      </w:r>
      <w:r w:rsidRPr="00AE7C46">
        <w:rPr>
          <w:rFonts w:ascii="Cambria" w:hAnsi="Cambria" w:cstheme="minorHAnsi"/>
        </w:rPr>
        <w:tab/>
        <w:t>four [4] pastors, three of whom shall be parish pastors;  and</w:t>
      </w:r>
    </w:p>
    <w:p w14:paraId="04B9E664" w14:textId="77777777" w:rsidR="008D5436" w:rsidRPr="00AE7C46" w:rsidRDefault="008D5436" w:rsidP="008D5436">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AE7C46">
        <w:rPr>
          <w:rFonts w:ascii="Cambria" w:hAnsi="Cambria" w:cstheme="minorHAnsi"/>
        </w:rPr>
        <w:tab/>
      </w:r>
      <w:r w:rsidRPr="00AE7C46">
        <w:rPr>
          <w:rFonts w:ascii="Cambria" w:hAnsi="Cambria" w:cstheme="minorHAnsi"/>
        </w:rPr>
        <w:tab/>
        <w:t>5.1.6</w:t>
      </w:r>
      <w:r w:rsidRPr="00AE7C46">
        <w:rPr>
          <w:rFonts w:ascii="Cambria" w:hAnsi="Cambria" w:cstheme="minorHAnsi"/>
        </w:rPr>
        <w:tab/>
        <w:t>three [3] lay members.</w:t>
      </w:r>
    </w:p>
    <w:p w14:paraId="6AC83808" w14:textId="77777777" w:rsidR="008D5436" w:rsidRPr="00AE7C46" w:rsidRDefault="008D5436" w:rsidP="008D5436">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AE7C46">
        <w:rPr>
          <w:rFonts w:ascii="Cambria" w:hAnsi="Cambria" w:cstheme="minorHAnsi"/>
        </w:rPr>
        <w:tab/>
        <w:t>5.2</w:t>
      </w:r>
      <w:r w:rsidRPr="00AE7C46">
        <w:rPr>
          <w:rFonts w:ascii="Cambria" w:hAnsi="Cambria" w:cstheme="minorHAnsi"/>
        </w:rPr>
        <w:tab/>
        <w:t xml:space="preserve">The Commission shall consist of members with knowledge and experience in the following areas: </w:t>
      </w:r>
    </w:p>
    <w:p w14:paraId="1E1A8378" w14:textId="77777777" w:rsidR="008D5436" w:rsidRPr="00AE7C46" w:rsidRDefault="008D5436" w:rsidP="008D5436">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AE7C46">
        <w:rPr>
          <w:rFonts w:ascii="Cambria" w:hAnsi="Cambria" w:cstheme="minorHAnsi"/>
        </w:rPr>
        <w:tab/>
      </w:r>
      <w:r w:rsidRPr="00AE7C46">
        <w:rPr>
          <w:rFonts w:ascii="Cambria" w:hAnsi="Cambria" w:cstheme="minorHAnsi"/>
        </w:rPr>
        <w:tab/>
        <w:t>5.2.1</w:t>
      </w:r>
      <w:r w:rsidRPr="00AE7C46">
        <w:rPr>
          <w:rFonts w:ascii="Cambria" w:hAnsi="Cambria" w:cstheme="minorHAnsi"/>
        </w:rPr>
        <w:tab/>
        <w:t xml:space="preserve">hold a tertiary degree in theology; </w:t>
      </w:r>
    </w:p>
    <w:p w14:paraId="7A32501B" w14:textId="77777777" w:rsidR="008D5436" w:rsidRPr="00AE7C46" w:rsidRDefault="008D5436" w:rsidP="008D5436">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AE7C46">
        <w:rPr>
          <w:rFonts w:ascii="Cambria" w:hAnsi="Cambria" w:cstheme="minorHAnsi"/>
        </w:rPr>
        <w:lastRenderedPageBreak/>
        <w:tab/>
      </w:r>
      <w:r w:rsidRPr="00AE7C46">
        <w:rPr>
          <w:rFonts w:ascii="Cambria" w:hAnsi="Cambria" w:cstheme="minorHAnsi"/>
        </w:rPr>
        <w:tab/>
        <w:t>5.2.2</w:t>
      </w:r>
      <w:r w:rsidRPr="00AE7C46">
        <w:rPr>
          <w:rFonts w:ascii="Cambria" w:hAnsi="Cambria" w:cstheme="minorHAnsi"/>
        </w:rPr>
        <w:tab/>
        <w:t xml:space="preserve">generation, evaluation and critical assessment of writings on a broad range of theological issues from a Lutheran theological and confessional standpoint; </w:t>
      </w:r>
    </w:p>
    <w:p w14:paraId="773820E1" w14:textId="77777777" w:rsidR="008D5436" w:rsidRPr="00AE7C46" w:rsidRDefault="008D5436" w:rsidP="008D5436">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AE7C46">
        <w:rPr>
          <w:rFonts w:ascii="Cambria" w:hAnsi="Cambria" w:cstheme="minorHAnsi"/>
        </w:rPr>
        <w:tab/>
      </w:r>
      <w:r w:rsidRPr="00AE7C46">
        <w:rPr>
          <w:rFonts w:ascii="Cambria" w:hAnsi="Cambria" w:cstheme="minorHAnsi"/>
        </w:rPr>
        <w:tab/>
        <w:t>5.2.3</w:t>
      </w:r>
      <w:r w:rsidRPr="00AE7C46">
        <w:rPr>
          <w:rFonts w:ascii="Cambria" w:hAnsi="Cambria" w:cstheme="minorHAnsi"/>
        </w:rPr>
        <w:tab/>
        <w:t xml:space="preserve">writing from a pastoral perspective on theological and doctrinal issues; </w:t>
      </w:r>
    </w:p>
    <w:p w14:paraId="3F52485B" w14:textId="77777777" w:rsidR="008D5436" w:rsidRPr="00AE7C46" w:rsidRDefault="008D5436" w:rsidP="008D5436">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AE7C46">
        <w:rPr>
          <w:rFonts w:ascii="Cambria" w:hAnsi="Cambria" w:cstheme="minorHAnsi"/>
        </w:rPr>
        <w:tab/>
      </w:r>
      <w:r w:rsidRPr="00AE7C46">
        <w:rPr>
          <w:rFonts w:ascii="Cambria" w:hAnsi="Cambria" w:cstheme="minorHAnsi"/>
        </w:rPr>
        <w:tab/>
        <w:t>5.2.4</w:t>
      </w:r>
      <w:r w:rsidRPr="00AE7C46">
        <w:rPr>
          <w:rFonts w:ascii="Cambria" w:hAnsi="Cambria" w:cstheme="minorHAnsi"/>
        </w:rPr>
        <w:tab/>
        <w:t xml:space="preserve">ecumenical engagement, both domestically and internationally;  and </w:t>
      </w:r>
    </w:p>
    <w:p w14:paraId="52AEA532" w14:textId="77777777" w:rsidR="008D5436" w:rsidRPr="00AE7C46" w:rsidRDefault="008D5436" w:rsidP="008D5436">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AE7C46">
        <w:rPr>
          <w:rFonts w:ascii="Cambria" w:hAnsi="Cambria" w:cstheme="minorHAnsi"/>
        </w:rPr>
        <w:tab/>
      </w:r>
      <w:r w:rsidRPr="00AE7C46">
        <w:rPr>
          <w:rFonts w:ascii="Cambria" w:hAnsi="Cambria" w:cstheme="minorHAnsi"/>
        </w:rPr>
        <w:tab/>
        <w:t>5.2.5</w:t>
      </w:r>
      <w:r w:rsidRPr="00AE7C46">
        <w:rPr>
          <w:rFonts w:ascii="Cambria" w:hAnsi="Cambria" w:cstheme="minorHAnsi"/>
        </w:rPr>
        <w:tab/>
        <w:t>understanding of the global Lutheran churches and organisations.</w:t>
      </w:r>
    </w:p>
    <w:p w14:paraId="11045CB6" w14:textId="77777777" w:rsidR="008D5436" w:rsidRPr="00AE7C46" w:rsidRDefault="008D5436" w:rsidP="008D5436">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AE7C46">
        <w:rPr>
          <w:rFonts w:ascii="Cambria" w:hAnsi="Cambria" w:cstheme="minorHAnsi"/>
        </w:rPr>
        <w:tab/>
        <w:t>5.3</w:t>
      </w:r>
      <w:r w:rsidRPr="00AE7C46">
        <w:rPr>
          <w:rFonts w:ascii="Cambria" w:hAnsi="Cambria" w:cstheme="minorHAnsi"/>
        </w:rPr>
        <w:tab/>
        <w:t xml:space="preserve">The membership shall include a mix of backgrounds and perspectives which, together with the relevant skills, qualifications and experience, will enable the Commission to fulfil its role. </w:t>
      </w:r>
    </w:p>
    <w:p w14:paraId="6F657B05" w14:textId="77777777" w:rsidR="008D5436" w:rsidRPr="00AE7C46" w:rsidRDefault="008D5436" w:rsidP="008D5436">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AE7C46">
        <w:rPr>
          <w:rFonts w:ascii="Cambria" w:hAnsi="Cambria" w:cstheme="minorHAnsi"/>
        </w:rPr>
        <w:tab/>
        <w:t>5.4</w:t>
      </w:r>
      <w:r w:rsidRPr="00AE7C46">
        <w:rPr>
          <w:rFonts w:ascii="Cambria" w:hAnsi="Cambria" w:cstheme="minorHAnsi"/>
        </w:rPr>
        <w:tab/>
        <w:t>The pastors and the lay members of the Commission shall be appointed by the General Church Board on recommendations from the Standing Committee on Nominations, in consultation with the College of Bishops.</w:t>
      </w:r>
    </w:p>
    <w:p w14:paraId="232D64E8" w14:textId="77777777" w:rsidR="008D5436" w:rsidRPr="00AE7C46" w:rsidRDefault="008D5436" w:rsidP="008D5436">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AE7C46">
        <w:rPr>
          <w:rFonts w:ascii="Cambria" w:hAnsi="Cambria" w:cstheme="minorHAnsi"/>
        </w:rPr>
        <w:tab/>
        <w:t>5.5</w:t>
      </w:r>
      <w:r w:rsidRPr="00AE7C46">
        <w:rPr>
          <w:rFonts w:ascii="Cambria" w:hAnsi="Cambria" w:cstheme="minorHAnsi"/>
        </w:rPr>
        <w:tab/>
        <w:t>The nomination of the staff members from Australian Lutheran College shall be endorsed by the College of Bishops.</w:t>
      </w:r>
    </w:p>
    <w:p w14:paraId="1F84D5F3" w14:textId="77777777" w:rsidR="008D5436" w:rsidRPr="00AE7C46" w:rsidRDefault="008D5436" w:rsidP="008D5436">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AE7C46">
        <w:rPr>
          <w:rFonts w:ascii="Cambria" w:hAnsi="Cambria" w:cstheme="minorHAnsi"/>
        </w:rPr>
        <w:tab/>
        <w:t>5.6</w:t>
      </w:r>
      <w:r w:rsidRPr="00AE7C46">
        <w:rPr>
          <w:rFonts w:ascii="Cambria" w:hAnsi="Cambria" w:cstheme="minorHAnsi"/>
        </w:rPr>
        <w:tab/>
        <w:t>The District Bishops shall be nominated and appointed by the College of Bishops.</w:t>
      </w:r>
    </w:p>
    <w:p w14:paraId="4610918F" w14:textId="77777777" w:rsidR="008D5436" w:rsidRPr="00AE7C46" w:rsidRDefault="008D5436" w:rsidP="008D5436">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AE7C46">
        <w:rPr>
          <w:rFonts w:ascii="Cambria" w:hAnsi="Cambria" w:cstheme="minorHAnsi"/>
        </w:rPr>
        <w:tab/>
        <w:t>5.7</w:t>
      </w:r>
      <w:r w:rsidRPr="00AE7C46">
        <w:rPr>
          <w:rFonts w:ascii="Cambria" w:hAnsi="Cambria" w:cstheme="minorHAnsi"/>
        </w:rPr>
        <w:tab/>
        <w:t>The Chairperson shall be appointed by the College of Bishops.</w:t>
      </w:r>
    </w:p>
    <w:p w14:paraId="04AD0354" w14:textId="77777777" w:rsidR="008D5436" w:rsidRPr="00AE7C46" w:rsidRDefault="008D5436" w:rsidP="008D5436">
      <w:pPr>
        <w:tabs>
          <w:tab w:val="left" w:pos="567"/>
          <w:tab w:val="left" w:pos="1418"/>
          <w:tab w:val="left" w:pos="2268"/>
          <w:tab w:val="left" w:pos="3119"/>
          <w:tab w:val="left" w:pos="3969"/>
        </w:tabs>
        <w:spacing w:after="0" w:line="240" w:lineRule="auto"/>
        <w:ind w:left="567" w:hanging="567"/>
        <w:rPr>
          <w:rFonts w:ascii="Cambria" w:hAnsi="Cambria" w:cstheme="minorHAnsi"/>
        </w:rPr>
      </w:pPr>
    </w:p>
    <w:p w14:paraId="7C6561F6" w14:textId="078296FA" w:rsidR="008D5436" w:rsidRPr="00AE7C46" w:rsidRDefault="008D5436" w:rsidP="008D5436">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AE7C46">
        <w:rPr>
          <w:rFonts w:ascii="Cambria" w:hAnsi="Cambria" w:cstheme="minorHAnsi"/>
          <w:b/>
        </w:rPr>
        <w:t>6.</w:t>
      </w:r>
      <w:r w:rsidRPr="00AE7C46">
        <w:rPr>
          <w:rFonts w:ascii="Cambria" w:hAnsi="Cambria" w:cstheme="minorHAnsi"/>
          <w:b/>
        </w:rPr>
        <w:tab/>
        <w:t>MEETING ARRANGEMENTS AND REPORTING</w:t>
      </w:r>
    </w:p>
    <w:p w14:paraId="586C2043" w14:textId="77777777" w:rsidR="008D5436" w:rsidRPr="00AE7C46" w:rsidRDefault="008D5436" w:rsidP="008D5436">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AE7C46">
        <w:rPr>
          <w:rFonts w:ascii="Cambria" w:hAnsi="Cambria" w:cstheme="minorHAnsi"/>
        </w:rPr>
        <w:tab/>
        <w:t>6.1</w:t>
      </w:r>
      <w:r w:rsidRPr="00AE7C46">
        <w:rPr>
          <w:rFonts w:ascii="Cambria" w:hAnsi="Cambria" w:cstheme="minorHAnsi"/>
        </w:rPr>
        <w:tab/>
        <w:t xml:space="preserve">Meetings shall be convened by the Chairperson.  </w:t>
      </w:r>
    </w:p>
    <w:p w14:paraId="471E9AF5" w14:textId="77777777" w:rsidR="008D5436" w:rsidRPr="00AE7C46" w:rsidRDefault="008D5436" w:rsidP="008D5436">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AE7C46">
        <w:rPr>
          <w:rFonts w:ascii="Cambria" w:hAnsi="Cambria" w:cstheme="minorHAnsi"/>
        </w:rPr>
        <w:tab/>
        <w:t>6.2</w:t>
      </w:r>
      <w:r w:rsidRPr="00AE7C46">
        <w:rPr>
          <w:rFonts w:ascii="Cambria" w:hAnsi="Cambria" w:cstheme="minorHAnsi"/>
        </w:rPr>
        <w:tab/>
        <w:t xml:space="preserve">It is at the discretion of the Commission to meet face-to- face, by electronic means, or by other means of communication.  </w:t>
      </w:r>
    </w:p>
    <w:p w14:paraId="7C2B8310" w14:textId="77777777" w:rsidR="008D5436" w:rsidRPr="00AE7C46" w:rsidRDefault="008D5436" w:rsidP="008D5436">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AE7C46">
        <w:rPr>
          <w:rFonts w:ascii="Cambria" w:hAnsi="Cambria" w:cstheme="minorHAnsi"/>
        </w:rPr>
        <w:tab/>
        <w:t>6.3</w:t>
      </w:r>
      <w:r w:rsidRPr="00AE7C46">
        <w:rPr>
          <w:rFonts w:ascii="Cambria" w:hAnsi="Cambria" w:cstheme="minorHAnsi"/>
        </w:rPr>
        <w:tab/>
        <w:t>Email correspondence may be used for the distribution of minutes, advisory information or approval of documentation.</w:t>
      </w:r>
    </w:p>
    <w:p w14:paraId="2C5009C1" w14:textId="77777777" w:rsidR="008D5436" w:rsidRPr="00AE7C46" w:rsidRDefault="008D5436" w:rsidP="008D5436">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AE7C46">
        <w:rPr>
          <w:rFonts w:ascii="Cambria" w:hAnsi="Cambria" w:cstheme="minorHAnsi"/>
        </w:rPr>
        <w:tab/>
        <w:t>6.4</w:t>
      </w:r>
      <w:r w:rsidRPr="00AE7C46">
        <w:rPr>
          <w:rFonts w:ascii="Cambria" w:hAnsi="Cambria" w:cstheme="minorHAnsi"/>
        </w:rPr>
        <w:tab/>
        <w:t>The minutes of the meetings of the Commission shall be submitted to the College of Bishops.</w:t>
      </w:r>
    </w:p>
    <w:p w14:paraId="1592FE38" w14:textId="77777777" w:rsidR="008D5436" w:rsidRPr="00AE7C46" w:rsidRDefault="008D5436" w:rsidP="008D5436">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AE7C46">
        <w:rPr>
          <w:rFonts w:ascii="Cambria" w:hAnsi="Cambria" w:cstheme="minorHAnsi"/>
        </w:rPr>
        <w:tab/>
        <w:t>6.5</w:t>
      </w:r>
      <w:r w:rsidRPr="00AE7C46">
        <w:rPr>
          <w:rFonts w:ascii="Cambria" w:hAnsi="Cambria" w:cstheme="minorHAnsi"/>
        </w:rPr>
        <w:tab/>
        <w:t>An annual report of the activities of the Commission and any subsidiary bodies shall be submitted to the College of Bishops.</w:t>
      </w:r>
    </w:p>
    <w:p w14:paraId="432F5A4C" w14:textId="77777777" w:rsidR="008D5436" w:rsidRPr="00AE7C46" w:rsidRDefault="008D5436" w:rsidP="008D5436">
      <w:pPr>
        <w:tabs>
          <w:tab w:val="left" w:pos="567"/>
          <w:tab w:val="left" w:pos="1418"/>
          <w:tab w:val="left" w:pos="2268"/>
          <w:tab w:val="left" w:pos="3119"/>
          <w:tab w:val="left" w:pos="3969"/>
        </w:tabs>
        <w:spacing w:after="0" w:line="240" w:lineRule="auto"/>
        <w:ind w:left="567" w:hanging="567"/>
        <w:rPr>
          <w:rFonts w:ascii="Cambria" w:hAnsi="Cambria" w:cstheme="minorHAnsi"/>
        </w:rPr>
      </w:pPr>
    </w:p>
    <w:p w14:paraId="0AA7F90B" w14:textId="77777777" w:rsidR="008D5436" w:rsidRPr="00AE7C46" w:rsidRDefault="008D5436" w:rsidP="008D5436">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AE7C46">
        <w:rPr>
          <w:rFonts w:ascii="Cambria" w:hAnsi="Cambria" w:cstheme="minorHAnsi"/>
          <w:b/>
        </w:rPr>
        <w:t>7.</w:t>
      </w:r>
      <w:r w:rsidRPr="00AE7C46">
        <w:rPr>
          <w:rFonts w:ascii="Cambria" w:hAnsi="Cambria" w:cstheme="minorHAnsi"/>
          <w:b/>
        </w:rPr>
        <w:tab/>
        <w:t>RESPONSIBILITIES</w:t>
      </w:r>
    </w:p>
    <w:p w14:paraId="6909CFE5" w14:textId="77777777" w:rsidR="008D5436" w:rsidRPr="00AE7C46" w:rsidRDefault="008D5436" w:rsidP="008D5436">
      <w:pPr>
        <w:tabs>
          <w:tab w:val="left" w:pos="567"/>
          <w:tab w:val="left" w:pos="1418"/>
          <w:tab w:val="left" w:pos="2268"/>
          <w:tab w:val="left" w:pos="3119"/>
          <w:tab w:val="left" w:pos="3969"/>
        </w:tabs>
        <w:spacing w:after="0" w:line="240" w:lineRule="auto"/>
        <w:ind w:left="567" w:hanging="567"/>
        <w:rPr>
          <w:rFonts w:ascii="Cambria" w:hAnsi="Cambria" w:cstheme="minorHAnsi"/>
        </w:rPr>
      </w:pPr>
      <w:r w:rsidRPr="00AE7C46">
        <w:rPr>
          <w:rFonts w:ascii="Cambria" w:hAnsi="Cambria" w:cstheme="minorHAnsi"/>
        </w:rPr>
        <w:tab/>
        <w:t>7.1</w:t>
      </w:r>
      <w:r w:rsidRPr="00AE7C46">
        <w:rPr>
          <w:rFonts w:ascii="Cambria" w:hAnsi="Cambria" w:cstheme="minorHAnsi"/>
        </w:rPr>
        <w:tab/>
        <w:t>The work of the Commission shall consist of</w:t>
      </w:r>
    </w:p>
    <w:p w14:paraId="3879672C" w14:textId="77777777" w:rsidR="008D5436" w:rsidRPr="00AE7C46" w:rsidRDefault="008D5436" w:rsidP="008D5436">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AE7C46">
        <w:rPr>
          <w:rFonts w:ascii="Cambria" w:hAnsi="Cambria" w:cstheme="minorHAnsi"/>
        </w:rPr>
        <w:tab/>
      </w:r>
      <w:r w:rsidRPr="00AE7C46">
        <w:rPr>
          <w:rFonts w:ascii="Cambria" w:hAnsi="Cambria" w:cstheme="minorHAnsi"/>
        </w:rPr>
        <w:tab/>
        <w:t>7.1.1</w:t>
      </w:r>
      <w:r w:rsidRPr="00AE7C46">
        <w:rPr>
          <w:rFonts w:ascii="Cambria" w:hAnsi="Cambria" w:cstheme="minorHAnsi"/>
        </w:rPr>
        <w:tab/>
        <w:t>studying and evaluating theological trends, within and outside the Church, in relation to the confessional paragraph of the Constitution of the Church and to report its findings to the General Church Board through the College of Bishops;</w:t>
      </w:r>
    </w:p>
    <w:p w14:paraId="2477DACD" w14:textId="77777777" w:rsidR="008D5436" w:rsidRPr="00AE7C46" w:rsidRDefault="008D5436" w:rsidP="008D5436">
      <w:pPr>
        <w:tabs>
          <w:tab w:val="left" w:pos="567"/>
          <w:tab w:val="left" w:pos="1418"/>
          <w:tab w:val="left" w:pos="2268"/>
          <w:tab w:val="left" w:pos="3119"/>
          <w:tab w:val="left" w:pos="3969"/>
        </w:tabs>
        <w:spacing w:after="0" w:line="240" w:lineRule="auto"/>
        <w:ind w:left="567" w:hanging="567"/>
        <w:rPr>
          <w:rFonts w:ascii="Cambria" w:hAnsi="Cambria" w:cstheme="minorHAnsi"/>
        </w:rPr>
      </w:pPr>
      <w:r w:rsidRPr="00AE7C46">
        <w:rPr>
          <w:rFonts w:ascii="Cambria" w:hAnsi="Cambria" w:cstheme="minorHAnsi"/>
        </w:rPr>
        <w:tab/>
      </w:r>
      <w:r w:rsidRPr="00AE7C46">
        <w:rPr>
          <w:rFonts w:ascii="Cambria" w:hAnsi="Cambria" w:cstheme="minorHAnsi"/>
        </w:rPr>
        <w:tab/>
        <w:t>7.1.2</w:t>
      </w:r>
      <w:r w:rsidRPr="00AE7C46">
        <w:rPr>
          <w:rFonts w:ascii="Cambria" w:hAnsi="Cambria" w:cstheme="minorHAnsi"/>
        </w:rPr>
        <w:tab/>
        <w:t>giving advice, on request, on theological matters in the Church or its Districts;</w:t>
      </w:r>
    </w:p>
    <w:p w14:paraId="2511BFD1" w14:textId="77777777" w:rsidR="008D5436" w:rsidRPr="00AE7C46" w:rsidRDefault="008D5436" w:rsidP="008D5436">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AE7C46">
        <w:rPr>
          <w:rFonts w:ascii="Cambria" w:hAnsi="Cambria" w:cstheme="minorHAnsi"/>
        </w:rPr>
        <w:tab/>
      </w:r>
      <w:r w:rsidRPr="00AE7C46">
        <w:rPr>
          <w:rFonts w:ascii="Cambria" w:hAnsi="Cambria" w:cstheme="minorHAnsi"/>
        </w:rPr>
        <w:tab/>
        <w:t>7.1.3</w:t>
      </w:r>
      <w:r w:rsidRPr="00AE7C46">
        <w:rPr>
          <w:rFonts w:ascii="Cambria" w:hAnsi="Cambria" w:cstheme="minorHAnsi"/>
        </w:rPr>
        <w:tab/>
        <w:t>acting, on request, in an advisory capacity to the Church and the General Church Board through the College of Bishops;  and</w:t>
      </w:r>
    </w:p>
    <w:p w14:paraId="34F88A7F" w14:textId="77777777" w:rsidR="008D5436" w:rsidRPr="00AE7C46" w:rsidRDefault="008D5436" w:rsidP="008D5436">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AE7C46">
        <w:rPr>
          <w:rFonts w:ascii="Cambria" w:hAnsi="Cambria" w:cstheme="minorHAnsi"/>
        </w:rPr>
        <w:tab/>
      </w:r>
      <w:r w:rsidRPr="00AE7C46">
        <w:rPr>
          <w:rFonts w:ascii="Cambria" w:hAnsi="Cambria" w:cstheme="minorHAnsi"/>
        </w:rPr>
        <w:tab/>
        <w:t>7.1.4</w:t>
      </w:r>
      <w:r w:rsidRPr="00AE7C46">
        <w:rPr>
          <w:rFonts w:ascii="Cambria" w:hAnsi="Cambria" w:cstheme="minorHAnsi"/>
        </w:rPr>
        <w:tab/>
        <w:t>consulting with other Lutheran bodies and organisations within the Christian church.</w:t>
      </w:r>
    </w:p>
    <w:p w14:paraId="3DE5EE3F" w14:textId="77777777" w:rsidR="008D5436" w:rsidRPr="00AE7C46" w:rsidRDefault="008D5436" w:rsidP="008D5436">
      <w:pPr>
        <w:tabs>
          <w:tab w:val="left" w:pos="567"/>
          <w:tab w:val="left" w:pos="1418"/>
          <w:tab w:val="left" w:pos="2268"/>
          <w:tab w:val="left" w:pos="3119"/>
          <w:tab w:val="left" w:pos="3969"/>
        </w:tabs>
        <w:spacing w:after="0" w:line="240" w:lineRule="auto"/>
        <w:ind w:left="567" w:hanging="567"/>
        <w:rPr>
          <w:rFonts w:ascii="Cambria" w:hAnsi="Cambria" w:cstheme="minorHAnsi"/>
        </w:rPr>
      </w:pPr>
    </w:p>
    <w:p w14:paraId="38F1C4FF" w14:textId="77777777" w:rsidR="008D5436" w:rsidRPr="00AE7C46" w:rsidRDefault="008D5436" w:rsidP="008D5436">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AE7C46">
        <w:rPr>
          <w:rFonts w:ascii="Cambria" w:hAnsi="Cambria" w:cstheme="minorHAnsi"/>
          <w:b/>
        </w:rPr>
        <w:t>8.</w:t>
      </w:r>
      <w:r w:rsidRPr="00AE7C46">
        <w:rPr>
          <w:rFonts w:ascii="Cambria" w:hAnsi="Cambria" w:cstheme="minorHAnsi"/>
          <w:b/>
        </w:rPr>
        <w:tab/>
        <w:t>REVIEW</w:t>
      </w:r>
    </w:p>
    <w:p w14:paraId="2E1F49DF" w14:textId="77777777" w:rsidR="008D5436" w:rsidRPr="00AE7C46" w:rsidRDefault="008D5436" w:rsidP="008D5436">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AE7C46">
        <w:rPr>
          <w:rFonts w:ascii="Cambria" w:hAnsi="Cambria" w:cstheme="minorHAnsi"/>
        </w:rPr>
        <w:tab/>
        <w:t>8.1</w:t>
      </w:r>
      <w:r w:rsidRPr="00AE7C46">
        <w:rPr>
          <w:rFonts w:ascii="Cambria" w:hAnsi="Cambria" w:cstheme="minorHAnsi"/>
        </w:rPr>
        <w:tab/>
        <w:t xml:space="preserve">The Terms of Reference for the Commission shall be reviewed during each Synodical term. </w:t>
      </w:r>
    </w:p>
    <w:p w14:paraId="0161C4AF" w14:textId="66B7E7AF" w:rsidR="008D5436" w:rsidRDefault="008D5436" w:rsidP="008D5436">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AE7C46">
        <w:rPr>
          <w:rFonts w:ascii="Cambria" w:hAnsi="Cambria" w:cstheme="minorHAnsi"/>
        </w:rPr>
        <w:tab/>
        <w:t>8.2</w:t>
      </w:r>
      <w:r w:rsidRPr="00AE7C46">
        <w:rPr>
          <w:rFonts w:ascii="Cambria" w:hAnsi="Cambria" w:cstheme="minorHAnsi"/>
        </w:rPr>
        <w:tab/>
        <w:t>Any changes to the Terms of Reference shall be approved by the General Church Board on recommendation of the College of Bishops, upon review by the Standing Committee on Constitutions.</w:t>
      </w:r>
    </w:p>
    <w:p w14:paraId="384001DC" w14:textId="055E6286" w:rsidR="0063463C" w:rsidRDefault="0063463C" w:rsidP="008D5436">
      <w:pPr>
        <w:tabs>
          <w:tab w:val="left" w:pos="567"/>
          <w:tab w:val="left" w:pos="1418"/>
          <w:tab w:val="left" w:pos="2268"/>
          <w:tab w:val="left" w:pos="3119"/>
          <w:tab w:val="left" w:pos="3969"/>
        </w:tabs>
        <w:spacing w:after="0" w:line="240" w:lineRule="auto"/>
        <w:ind w:left="1418" w:hanging="1418"/>
        <w:rPr>
          <w:rFonts w:ascii="Cambria" w:hAnsi="Cambria" w:cstheme="minorHAnsi"/>
        </w:rPr>
      </w:pPr>
    </w:p>
    <w:p w14:paraId="10F66FA5" w14:textId="48038D82" w:rsidR="0063463C" w:rsidRDefault="0063463C" w:rsidP="008D5436">
      <w:pPr>
        <w:tabs>
          <w:tab w:val="left" w:pos="567"/>
          <w:tab w:val="left" w:pos="1418"/>
          <w:tab w:val="left" w:pos="2268"/>
          <w:tab w:val="left" w:pos="3119"/>
          <w:tab w:val="left" w:pos="3969"/>
        </w:tabs>
        <w:spacing w:after="0" w:line="240" w:lineRule="auto"/>
        <w:ind w:left="1418" w:hanging="1418"/>
        <w:rPr>
          <w:rFonts w:ascii="Cambria" w:hAnsi="Cambria" w:cstheme="minorHAnsi"/>
        </w:rPr>
      </w:pPr>
    </w:p>
    <w:p w14:paraId="4B589329" w14:textId="03931B4F" w:rsidR="0063463C" w:rsidRDefault="0063463C" w:rsidP="008D5436">
      <w:pPr>
        <w:tabs>
          <w:tab w:val="left" w:pos="567"/>
          <w:tab w:val="left" w:pos="1418"/>
          <w:tab w:val="left" w:pos="2268"/>
          <w:tab w:val="left" w:pos="3119"/>
          <w:tab w:val="left" w:pos="3969"/>
        </w:tabs>
        <w:spacing w:after="0" w:line="240" w:lineRule="auto"/>
        <w:ind w:left="1418" w:hanging="1418"/>
        <w:rPr>
          <w:rFonts w:ascii="Cambria" w:hAnsi="Cambria" w:cstheme="minorHAnsi"/>
        </w:rPr>
      </w:pPr>
    </w:p>
    <w:p w14:paraId="3D8B5761" w14:textId="22AF5823" w:rsidR="0063463C" w:rsidRDefault="0063463C" w:rsidP="008D5436">
      <w:pPr>
        <w:tabs>
          <w:tab w:val="left" w:pos="567"/>
          <w:tab w:val="left" w:pos="1418"/>
          <w:tab w:val="left" w:pos="2268"/>
          <w:tab w:val="left" w:pos="3119"/>
          <w:tab w:val="left" w:pos="3969"/>
        </w:tabs>
        <w:spacing w:after="0" w:line="240" w:lineRule="auto"/>
        <w:ind w:left="1418" w:hanging="1418"/>
        <w:rPr>
          <w:rFonts w:ascii="Cambria" w:hAnsi="Cambria" w:cstheme="minorHAnsi"/>
        </w:rPr>
      </w:pPr>
    </w:p>
    <w:p w14:paraId="3BD50218" w14:textId="13D7F8C0" w:rsidR="0063463C" w:rsidRDefault="0063463C" w:rsidP="008D5436">
      <w:pPr>
        <w:tabs>
          <w:tab w:val="left" w:pos="567"/>
          <w:tab w:val="left" w:pos="1418"/>
          <w:tab w:val="left" w:pos="2268"/>
          <w:tab w:val="left" w:pos="3119"/>
          <w:tab w:val="left" w:pos="3969"/>
        </w:tabs>
        <w:spacing w:after="0" w:line="240" w:lineRule="auto"/>
        <w:ind w:left="1418" w:hanging="1418"/>
        <w:rPr>
          <w:rFonts w:ascii="Cambria" w:hAnsi="Cambria" w:cstheme="minorHAnsi"/>
        </w:rPr>
      </w:pPr>
    </w:p>
    <w:p w14:paraId="5F6EA515" w14:textId="77777777" w:rsidR="0063463C" w:rsidRDefault="0063463C" w:rsidP="008D5436">
      <w:pPr>
        <w:tabs>
          <w:tab w:val="left" w:pos="567"/>
          <w:tab w:val="left" w:pos="1418"/>
          <w:tab w:val="left" w:pos="2268"/>
          <w:tab w:val="left" w:pos="3119"/>
          <w:tab w:val="left" w:pos="3969"/>
        </w:tabs>
        <w:spacing w:after="0" w:line="240" w:lineRule="auto"/>
        <w:ind w:left="1418" w:hanging="1418"/>
        <w:rPr>
          <w:rFonts w:ascii="Cambria" w:hAnsi="Cambria" w:cstheme="minorHAnsi"/>
        </w:rPr>
      </w:pPr>
    </w:p>
    <w:p w14:paraId="4A87F00D" w14:textId="47E2391A" w:rsidR="0063463C" w:rsidRDefault="0063463C" w:rsidP="008D5436">
      <w:pPr>
        <w:tabs>
          <w:tab w:val="left" w:pos="567"/>
          <w:tab w:val="left" w:pos="1418"/>
          <w:tab w:val="left" w:pos="2268"/>
          <w:tab w:val="left" w:pos="3119"/>
          <w:tab w:val="left" w:pos="3969"/>
        </w:tabs>
        <w:spacing w:after="0" w:line="240" w:lineRule="auto"/>
        <w:ind w:left="1418" w:hanging="1418"/>
        <w:rPr>
          <w:rFonts w:ascii="Cambria" w:hAnsi="Cambria" w:cstheme="minorHAnsi"/>
        </w:rPr>
      </w:pPr>
    </w:p>
    <w:p w14:paraId="71C6DA0E" w14:textId="0DB68B99" w:rsidR="0063463C" w:rsidRPr="00FB63D2" w:rsidRDefault="0063463C" w:rsidP="0063463C">
      <w:pPr>
        <w:pStyle w:val="Heading2"/>
        <w:rPr>
          <w:sz w:val="22"/>
          <w:szCs w:val="22"/>
        </w:rPr>
      </w:pPr>
      <w:r>
        <w:lastRenderedPageBreak/>
        <w:t>COMMISSION ON WORSHIP</w:t>
      </w:r>
    </w:p>
    <w:p w14:paraId="74A8484A" w14:textId="77777777" w:rsidR="0063463C" w:rsidRPr="00FB63D2" w:rsidRDefault="0063463C" w:rsidP="0063463C">
      <w:pPr>
        <w:tabs>
          <w:tab w:val="left" w:pos="567"/>
          <w:tab w:val="left" w:pos="1418"/>
          <w:tab w:val="left" w:pos="2268"/>
          <w:tab w:val="left" w:pos="3119"/>
          <w:tab w:val="left" w:pos="3969"/>
        </w:tabs>
        <w:spacing w:after="0" w:line="240" w:lineRule="auto"/>
        <w:ind w:left="567" w:hanging="567"/>
        <w:jc w:val="center"/>
        <w:rPr>
          <w:rFonts w:ascii="Cambria" w:hAnsi="Cambria" w:cstheme="minorHAnsi"/>
          <w:b/>
        </w:rPr>
      </w:pPr>
    </w:p>
    <w:p w14:paraId="76EA2CCD" w14:textId="77777777" w:rsidR="0063463C" w:rsidRPr="00FB63D2" w:rsidRDefault="0063463C" w:rsidP="0063463C">
      <w:pPr>
        <w:pStyle w:val="Heading3"/>
      </w:pPr>
      <w:r w:rsidRPr="00FB63D2">
        <w:t>Terms of Reference</w:t>
      </w:r>
    </w:p>
    <w:p w14:paraId="10C5A04C" w14:textId="77777777" w:rsidR="0063463C" w:rsidRPr="00FB63D2" w:rsidRDefault="0063463C" w:rsidP="0063463C">
      <w:pPr>
        <w:tabs>
          <w:tab w:val="left" w:pos="567"/>
          <w:tab w:val="left" w:pos="1418"/>
          <w:tab w:val="left" w:pos="2268"/>
          <w:tab w:val="left" w:pos="3119"/>
          <w:tab w:val="left" w:pos="3969"/>
        </w:tabs>
        <w:spacing w:after="0" w:line="240" w:lineRule="auto"/>
        <w:ind w:left="567" w:hanging="567"/>
        <w:jc w:val="center"/>
        <w:rPr>
          <w:rFonts w:ascii="Cambria" w:hAnsi="Cambria" w:cstheme="minorHAnsi"/>
          <w:b/>
        </w:rPr>
      </w:pPr>
    </w:p>
    <w:p w14:paraId="08A345C6" w14:textId="77777777" w:rsidR="0063463C" w:rsidRPr="00FB63D2" w:rsidRDefault="0063463C" w:rsidP="0063463C">
      <w:pPr>
        <w:tabs>
          <w:tab w:val="left" w:pos="567"/>
          <w:tab w:val="left" w:pos="1418"/>
          <w:tab w:val="left" w:pos="2268"/>
          <w:tab w:val="left" w:pos="3119"/>
          <w:tab w:val="left" w:pos="3969"/>
        </w:tabs>
        <w:spacing w:after="0" w:line="240" w:lineRule="auto"/>
        <w:ind w:left="567" w:hanging="567"/>
        <w:jc w:val="center"/>
        <w:rPr>
          <w:rFonts w:ascii="Cambria" w:hAnsi="Cambria" w:cstheme="minorHAnsi"/>
          <w:b/>
        </w:rPr>
      </w:pPr>
    </w:p>
    <w:p w14:paraId="7AB87F50" w14:textId="77777777" w:rsidR="0063463C" w:rsidRPr="00FB63D2" w:rsidRDefault="0063463C" w:rsidP="0063463C">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FB63D2">
        <w:rPr>
          <w:rFonts w:ascii="Cambria" w:hAnsi="Cambria" w:cstheme="minorHAnsi"/>
          <w:b/>
        </w:rPr>
        <w:t>1.</w:t>
      </w:r>
      <w:r w:rsidRPr="00FB63D2">
        <w:rPr>
          <w:rFonts w:ascii="Cambria" w:hAnsi="Cambria" w:cstheme="minorHAnsi"/>
          <w:b/>
        </w:rPr>
        <w:tab/>
        <w:t xml:space="preserve">NAME </w:t>
      </w:r>
    </w:p>
    <w:p w14:paraId="12F91DB8" w14:textId="77777777" w:rsidR="0063463C" w:rsidRPr="00FB63D2" w:rsidRDefault="0063463C" w:rsidP="0063463C">
      <w:pPr>
        <w:tabs>
          <w:tab w:val="left" w:pos="567"/>
          <w:tab w:val="left" w:pos="1418"/>
          <w:tab w:val="left" w:pos="2268"/>
          <w:tab w:val="left" w:pos="3119"/>
          <w:tab w:val="left" w:pos="3969"/>
        </w:tabs>
        <w:spacing w:after="0" w:line="240" w:lineRule="auto"/>
        <w:ind w:left="567" w:hanging="567"/>
        <w:rPr>
          <w:rFonts w:ascii="Cambria" w:hAnsi="Cambria" w:cstheme="minorHAnsi"/>
        </w:rPr>
      </w:pPr>
      <w:r w:rsidRPr="00FB63D2">
        <w:rPr>
          <w:rFonts w:ascii="Cambria" w:hAnsi="Cambria" w:cstheme="minorHAnsi"/>
        </w:rPr>
        <w:tab/>
        <w:t>The Commission on Worship, referred to as “the Commission”.</w:t>
      </w:r>
    </w:p>
    <w:p w14:paraId="79F5E6D8" w14:textId="77777777" w:rsidR="0063463C" w:rsidRPr="00FB63D2" w:rsidRDefault="0063463C" w:rsidP="0063463C">
      <w:pPr>
        <w:tabs>
          <w:tab w:val="left" w:pos="567"/>
          <w:tab w:val="left" w:pos="1418"/>
          <w:tab w:val="left" w:pos="2268"/>
          <w:tab w:val="left" w:pos="3119"/>
          <w:tab w:val="left" w:pos="3969"/>
        </w:tabs>
        <w:spacing w:after="0" w:line="240" w:lineRule="auto"/>
        <w:ind w:left="567" w:hanging="567"/>
        <w:rPr>
          <w:rFonts w:ascii="Cambria" w:hAnsi="Cambria" w:cstheme="minorHAnsi"/>
        </w:rPr>
      </w:pPr>
    </w:p>
    <w:p w14:paraId="69A5E5DA" w14:textId="2CB6BC6D" w:rsidR="0063463C" w:rsidRPr="00FB63D2" w:rsidRDefault="0063463C" w:rsidP="0063463C">
      <w:pPr>
        <w:tabs>
          <w:tab w:val="left" w:pos="567"/>
          <w:tab w:val="left" w:pos="1418"/>
          <w:tab w:val="left" w:pos="2268"/>
          <w:tab w:val="left" w:pos="3119"/>
          <w:tab w:val="left" w:pos="3969"/>
        </w:tabs>
        <w:spacing w:after="0" w:line="240" w:lineRule="auto"/>
        <w:ind w:left="567" w:hanging="567"/>
        <w:rPr>
          <w:rFonts w:ascii="Cambria" w:hAnsi="Cambria" w:cstheme="minorHAnsi"/>
          <w:b/>
        </w:rPr>
      </w:pPr>
      <w:r>
        <w:rPr>
          <w:rFonts w:ascii="Cambria" w:hAnsi="Cambria" w:cstheme="minorHAnsi"/>
          <w:b/>
        </w:rPr>
        <w:t>2.</w:t>
      </w:r>
      <w:r>
        <w:rPr>
          <w:rFonts w:ascii="Cambria" w:hAnsi="Cambria" w:cstheme="minorHAnsi"/>
          <w:b/>
        </w:rPr>
        <w:tab/>
        <w:t>RELATIONSHIP</w:t>
      </w:r>
      <w:r w:rsidRPr="00FB63D2">
        <w:rPr>
          <w:rFonts w:ascii="Cambria" w:hAnsi="Cambria" w:cstheme="minorHAnsi"/>
          <w:b/>
        </w:rPr>
        <w:t xml:space="preserve"> TO THE CHURCH</w:t>
      </w:r>
    </w:p>
    <w:p w14:paraId="1C6FBFED" w14:textId="77777777" w:rsidR="0063463C" w:rsidRPr="00FB63D2" w:rsidRDefault="0063463C" w:rsidP="0063463C">
      <w:pPr>
        <w:tabs>
          <w:tab w:val="left" w:pos="567"/>
          <w:tab w:val="left" w:pos="1418"/>
          <w:tab w:val="left" w:pos="2268"/>
          <w:tab w:val="left" w:pos="3119"/>
          <w:tab w:val="left" w:pos="3969"/>
        </w:tabs>
        <w:spacing w:after="0" w:line="240" w:lineRule="auto"/>
        <w:ind w:left="567" w:hanging="567"/>
        <w:rPr>
          <w:rFonts w:ascii="Cambria" w:hAnsi="Cambria" w:cstheme="minorHAnsi"/>
        </w:rPr>
      </w:pPr>
      <w:r w:rsidRPr="00FB63D2">
        <w:rPr>
          <w:rFonts w:ascii="Cambria" w:hAnsi="Cambria" w:cstheme="minorHAnsi"/>
          <w:b/>
        </w:rPr>
        <w:tab/>
      </w:r>
      <w:r w:rsidRPr="00FB63D2">
        <w:rPr>
          <w:rFonts w:ascii="Cambria" w:hAnsi="Cambria" w:cstheme="minorHAnsi"/>
        </w:rPr>
        <w:t>The Commission is an advisory committee to the College of Bishops</w:t>
      </w:r>
      <w:r w:rsidRPr="00FB63D2">
        <w:rPr>
          <w:rFonts w:ascii="Cambria" w:hAnsi="Cambria"/>
        </w:rPr>
        <w:t xml:space="preserve"> </w:t>
      </w:r>
      <w:r w:rsidRPr="00FB63D2">
        <w:rPr>
          <w:rFonts w:ascii="Cambria" w:hAnsi="Cambria" w:cstheme="minorHAnsi"/>
        </w:rPr>
        <w:t>and shall fulfil its responsibilities in keeping with the Constitution and the policies of the Church.</w:t>
      </w:r>
    </w:p>
    <w:p w14:paraId="0622B7E0" w14:textId="77777777" w:rsidR="0063463C" w:rsidRPr="00FB63D2" w:rsidRDefault="0063463C" w:rsidP="0063463C">
      <w:pPr>
        <w:tabs>
          <w:tab w:val="left" w:pos="567"/>
          <w:tab w:val="left" w:pos="1418"/>
          <w:tab w:val="left" w:pos="2268"/>
          <w:tab w:val="left" w:pos="3119"/>
          <w:tab w:val="left" w:pos="3969"/>
        </w:tabs>
        <w:spacing w:after="0" w:line="240" w:lineRule="auto"/>
        <w:ind w:left="567" w:hanging="567"/>
        <w:rPr>
          <w:rFonts w:ascii="Cambria" w:hAnsi="Cambria" w:cstheme="minorHAnsi"/>
        </w:rPr>
      </w:pPr>
    </w:p>
    <w:p w14:paraId="7CF4B881" w14:textId="77777777" w:rsidR="0063463C" w:rsidRPr="00FB63D2" w:rsidRDefault="0063463C" w:rsidP="0063463C">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FB63D2">
        <w:rPr>
          <w:rFonts w:ascii="Cambria" w:hAnsi="Cambria" w:cstheme="minorHAnsi"/>
          <w:b/>
        </w:rPr>
        <w:t>3.</w:t>
      </w:r>
      <w:r w:rsidRPr="00FB63D2">
        <w:rPr>
          <w:rFonts w:ascii="Cambria" w:hAnsi="Cambria" w:cstheme="minorHAnsi"/>
          <w:b/>
        </w:rPr>
        <w:tab/>
        <w:t>PURPOSE</w:t>
      </w:r>
    </w:p>
    <w:p w14:paraId="53572C8A" w14:textId="77777777" w:rsidR="0063463C" w:rsidRPr="00FB63D2" w:rsidRDefault="0063463C" w:rsidP="0063463C">
      <w:pPr>
        <w:tabs>
          <w:tab w:val="left" w:pos="567"/>
          <w:tab w:val="left" w:pos="1418"/>
          <w:tab w:val="left" w:pos="2268"/>
          <w:tab w:val="left" w:pos="3119"/>
          <w:tab w:val="left" w:pos="3969"/>
        </w:tabs>
        <w:spacing w:after="0" w:line="240" w:lineRule="auto"/>
        <w:ind w:left="567" w:hanging="567"/>
        <w:rPr>
          <w:rFonts w:ascii="Cambria" w:hAnsi="Cambria" w:cstheme="minorHAnsi"/>
        </w:rPr>
      </w:pPr>
      <w:r w:rsidRPr="00FB63D2">
        <w:rPr>
          <w:rFonts w:ascii="Cambria" w:hAnsi="Cambria" w:cstheme="minorHAnsi"/>
        </w:rPr>
        <w:tab/>
        <w:t xml:space="preserve">The Commission shall </w:t>
      </w:r>
    </w:p>
    <w:p w14:paraId="525497C1" w14:textId="0A1717DB" w:rsidR="0063463C" w:rsidRPr="00FB63D2" w:rsidRDefault="0063463C" w:rsidP="0063463C">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FB63D2">
        <w:rPr>
          <w:rFonts w:ascii="Cambria" w:hAnsi="Cambria" w:cstheme="minorHAnsi"/>
        </w:rPr>
        <w:tab/>
        <w:t>3.1</w:t>
      </w:r>
      <w:r w:rsidRPr="00FB63D2">
        <w:rPr>
          <w:rFonts w:ascii="Cambria" w:hAnsi="Cambria" w:cstheme="minorHAnsi"/>
        </w:rPr>
        <w:tab/>
        <w:t>prepare materials for worship as requested by the Church, College of Bishops or the General Church Board</w:t>
      </w:r>
      <w:r>
        <w:rPr>
          <w:rFonts w:ascii="Cambria" w:hAnsi="Cambria" w:cstheme="minorHAnsi"/>
        </w:rPr>
        <w:t xml:space="preserve">; </w:t>
      </w:r>
      <w:r w:rsidRPr="00FB63D2">
        <w:rPr>
          <w:rFonts w:ascii="Cambria" w:hAnsi="Cambria" w:cstheme="minorHAnsi"/>
        </w:rPr>
        <w:t>and</w:t>
      </w:r>
    </w:p>
    <w:p w14:paraId="124E96FD" w14:textId="77777777" w:rsidR="0063463C" w:rsidRPr="00FB63D2" w:rsidRDefault="0063463C" w:rsidP="0063463C">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FB63D2">
        <w:rPr>
          <w:rFonts w:ascii="Cambria" w:hAnsi="Cambria" w:cstheme="minorHAnsi"/>
        </w:rPr>
        <w:tab/>
        <w:t>3.2</w:t>
      </w:r>
      <w:r w:rsidRPr="00FB63D2">
        <w:rPr>
          <w:rFonts w:ascii="Cambria" w:hAnsi="Cambria" w:cstheme="minorHAnsi"/>
        </w:rPr>
        <w:tab/>
        <w:t>give guidance, in conformity with sound Lutheran principles, in the theology and practice of Lutheran worship to the Church, its pastors, congregations, institutions, auxiliaries and other organisations.</w:t>
      </w:r>
    </w:p>
    <w:p w14:paraId="6C033383" w14:textId="77777777" w:rsidR="0063463C" w:rsidRPr="00FB63D2" w:rsidRDefault="0063463C" w:rsidP="0063463C">
      <w:pPr>
        <w:tabs>
          <w:tab w:val="left" w:pos="567"/>
          <w:tab w:val="left" w:pos="1418"/>
          <w:tab w:val="left" w:pos="2268"/>
          <w:tab w:val="left" w:pos="3119"/>
          <w:tab w:val="left" w:pos="3969"/>
        </w:tabs>
        <w:spacing w:after="0" w:line="240" w:lineRule="auto"/>
        <w:ind w:left="567" w:hanging="567"/>
        <w:rPr>
          <w:rFonts w:ascii="Cambria" w:hAnsi="Cambria" w:cstheme="minorHAnsi"/>
        </w:rPr>
      </w:pPr>
    </w:p>
    <w:p w14:paraId="51DC0CFE" w14:textId="77777777" w:rsidR="0063463C" w:rsidRPr="00FB63D2" w:rsidRDefault="0063463C" w:rsidP="0063463C">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FB63D2">
        <w:rPr>
          <w:rFonts w:ascii="Cambria" w:hAnsi="Cambria" w:cstheme="minorHAnsi"/>
          <w:b/>
        </w:rPr>
        <w:t>4.</w:t>
      </w:r>
      <w:r w:rsidRPr="00FB63D2">
        <w:rPr>
          <w:rFonts w:ascii="Cambria" w:hAnsi="Cambria" w:cstheme="minorHAnsi"/>
          <w:b/>
        </w:rPr>
        <w:tab/>
        <w:t>AUTHORITY</w:t>
      </w:r>
    </w:p>
    <w:p w14:paraId="01EB5567" w14:textId="77777777" w:rsidR="0063463C" w:rsidRPr="00FB63D2" w:rsidRDefault="0063463C" w:rsidP="0063463C">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FB63D2">
        <w:rPr>
          <w:rFonts w:ascii="Cambria" w:hAnsi="Cambria" w:cstheme="minorHAnsi"/>
        </w:rPr>
        <w:tab/>
        <w:t>4.1</w:t>
      </w:r>
      <w:r w:rsidRPr="00FB63D2">
        <w:rPr>
          <w:rFonts w:ascii="Cambria" w:hAnsi="Cambria" w:cstheme="minorHAnsi"/>
        </w:rPr>
        <w:tab/>
        <w:t>The Commission has no decision-making authority.</w:t>
      </w:r>
    </w:p>
    <w:p w14:paraId="3C37FDD3" w14:textId="77777777" w:rsidR="0063463C" w:rsidRPr="00FB63D2" w:rsidRDefault="0063463C" w:rsidP="0063463C">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FB63D2">
        <w:rPr>
          <w:rFonts w:ascii="Cambria" w:hAnsi="Cambria" w:cstheme="minorHAnsi"/>
        </w:rPr>
        <w:tab/>
        <w:t>4.2</w:t>
      </w:r>
      <w:r w:rsidRPr="00FB63D2">
        <w:rPr>
          <w:rFonts w:ascii="Cambria" w:hAnsi="Cambria" w:cstheme="minorHAnsi"/>
        </w:rPr>
        <w:tab/>
        <w:t>The Commission may speak for the Church on issues of worship and/or publish statements and documents on these matters, following approval by the College of Bishops or the General Church Board.</w:t>
      </w:r>
    </w:p>
    <w:p w14:paraId="4B116457" w14:textId="77777777" w:rsidR="0063463C" w:rsidRPr="00FB63D2" w:rsidRDefault="0063463C" w:rsidP="0063463C">
      <w:pPr>
        <w:tabs>
          <w:tab w:val="left" w:pos="567"/>
          <w:tab w:val="left" w:pos="1418"/>
          <w:tab w:val="left" w:pos="2268"/>
          <w:tab w:val="left" w:pos="3119"/>
          <w:tab w:val="left" w:pos="3969"/>
        </w:tabs>
        <w:spacing w:after="0" w:line="240" w:lineRule="auto"/>
        <w:ind w:left="567" w:hanging="567"/>
        <w:rPr>
          <w:rFonts w:ascii="Cambria" w:hAnsi="Cambria" w:cstheme="minorHAnsi"/>
          <w:b/>
        </w:rPr>
      </w:pPr>
    </w:p>
    <w:p w14:paraId="75434288" w14:textId="77777777" w:rsidR="0063463C" w:rsidRPr="00FB63D2" w:rsidRDefault="0063463C" w:rsidP="0063463C">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FB63D2">
        <w:rPr>
          <w:rFonts w:ascii="Cambria" w:hAnsi="Cambria" w:cstheme="minorHAnsi"/>
          <w:b/>
        </w:rPr>
        <w:t>5.</w:t>
      </w:r>
      <w:r w:rsidRPr="00FB63D2">
        <w:rPr>
          <w:rFonts w:ascii="Cambria" w:hAnsi="Cambria" w:cstheme="minorHAnsi"/>
          <w:b/>
        </w:rPr>
        <w:tab/>
        <w:t>MEMBERSHIP</w:t>
      </w:r>
    </w:p>
    <w:p w14:paraId="305C4EF2" w14:textId="77777777" w:rsidR="0063463C" w:rsidRPr="00FB63D2" w:rsidRDefault="0063463C" w:rsidP="0063463C">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FB63D2">
        <w:rPr>
          <w:rFonts w:ascii="Cambria" w:hAnsi="Cambria" w:cstheme="minorHAnsi"/>
        </w:rPr>
        <w:tab/>
        <w:t>5.1</w:t>
      </w:r>
      <w:r w:rsidRPr="00FB63D2">
        <w:rPr>
          <w:rFonts w:ascii="Cambria" w:hAnsi="Cambria" w:cstheme="minorHAnsi"/>
        </w:rPr>
        <w:tab/>
        <w:t>The Commission shall consist of seven [7] members:</w:t>
      </w:r>
    </w:p>
    <w:p w14:paraId="604D7759" w14:textId="77777777" w:rsidR="0063463C" w:rsidRPr="00FB63D2" w:rsidRDefault="0063463C" w:rsidP="0063463C">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FB63D2">
        <w:rPr>
          <w:rFonts w:ascii="Cambria" w:hAnsi="Cambria" w:cstheme="minorHAnsi"/>
        </w:rPr>
        <w:tab/>
      </w:r>
      <w:r w:rsidRPr="00FB63D2">
        <w:rPr>
          <w:rFonts w:ascii="Cambria" w:hAnsi="Cambria" w:cstheme="minorHAnsi"/>
        </w:rPr>
        <w:tab/>
        <w:t>5.1.1</w:t>
      </w:r>
      <w:r w:rsidRPr="00FB63D2">
        <w:rPr>
          <w:rFonts w:ascii="Cambria" w:hAnsi="Cambria" w:cstheme="minorHAnsi"/>
        </w:rPr>
        <w:tab/>
        <w:t>three [3] parish pastors;  and</w:t>
      </w:r>
    </w:p>
    <w:p w14:paraId="16E87E95" w14:textId="77777777" w:rsidR="0063463C" w:rsidRPr="00FB63D2" w:rsidRDefault="0063463C" w:rsidP="0063463C">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FB63D2">
        <w:rPr>
          <w:rFonts w:ascii="Cambria" w:hAnsi="Cambria" w:cstheme="minorHAnsi"/>
        </w:rPr>
        <w:tab/>
      </w:r>
      <w:r w:rsidRPr="00FB63D2">
        <w:rPr>
          <w:rFonts w:ascii="Cambria" w:hAnsi="Cambria" w:cstheme="minorHAnsi"/>
        </w:rPr>
        <w:tab/>
        <w:t>5.1.2</w:t>
      </w:r>
      <w:r w:rsidRPr="00FB63D2">
        <w:rPr>
          <w:rFonts w:ascii="Cambria" w:hAnsi="Cambria" w:cstheme="minorHAnsi"/>
        </w:rPr>
        <w:tab/>
        <w:t>four [4] lay members of congregations of the Church.</w:t>
      </w:r>
    </w:p>
    <w:p w14:paraId="704CC728" w14:textId="77777777" w:rsidR="0063463C" w:rsidRPr="00FB63D2" w:rsidRDefault="0063463C" w:rsidP="0063463C">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FB63D2">
        <w:rPr>
          <w:rFonts w:ascii="Cambria" w:hAnsi="Cambria" w:cstheme="minorHAnsi"/>
        </w:rPr>
        <w:tab/>
        <w:t>5.2</w:t>
      </w:r>
      <w:r w:rsidRPr="00FB63D2">
        <w:rPr>
          <w:rFonts w:ascii="Cambria" w:hAnsi="Cambria" w:cstheme="minorHAnsi"/>
        </w:rPr>
        <w:tab/>
        <w:t xml:space="preserve">The pastors and lay members shall be appointed by the General Church Board on recommendations from the Standing Committee on Nominations in consultation with the College of Bishops. </w:t>
      </w:r>
    </w:p>
    <w:p w14:paraId="4C81501A" w14:textId="77777777" w:rsidR="0063463C" w:rsidRPr="00FB63D2" w:rsidRDefault="0063463C" w:rsidP="0063463C">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FB63D2">
        <w:rPr>
          <w:rFonts w:ascii="Cambria" w:hAnsi="Cambria" w:cstheme="minorHAnsi"/>
        </w:rPr>
        <w:tab/>
        <w:t>5.3</w:t>
      </w:r>
      <w:r w:rsidRPr="00FB63D2">
        <w:rPr>
          <w:rFonts w:ascii="Cambria" w:hAnsi="Cambria" w:cstheme="minorHAnsi"/>
        </w:rPr>
        <w:tab/>
        <w:t>The Commission shall consist of members with a sound Lutheran practice in worship and with relevant skills, qualifications and experience in one or more of the following areas:</w:t>
      </w:r>
    </w:p>
    <w:p w14:paraId="17EAD7FB" w14:textId="77777777" w:rsidR="0063463C" w:rsidRPr="00FB63D2" w:rsidRDefault="0063463C" w:rsidP="0063463C">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FB63D2">
        <w:rPr>
          <w:rFonts w:ascii="Cambria" w:hAnsi="Cambria" w:cstheme="minorHAnsi"/>
        </w:rPr>
        <w:tab/>
      </w:r>
      <w:r w:rsidRPr="00FB63D2">
        <w:rPr>
          <w:rFonts w:ascii="Cambria" w:hAnsi="Cambria" w:cstheme="minorHAnsi"/>
        </w:rPr>
        <w:tab/>
        <w:t>5.3.1</w:t>
      </w:r>
      <w:r w:rsidRPr="00FB63D2">
        <w:rPr>
          <w:rFonts w:ascii="Cambria" w:hAnsi="Cambria" w:cstheme="minorHAnsi"/>
        </w:rPr>
        <w:tab/>
        <w:t xml:space="preserve">the capacity to shape the content of the liturgy of the Church and support its practical and appropriate use in the weekly worship of God's people; </w:t>
      </w:r>
    </w:p>
    <w:p w14:paraId="276C6631" w14:textId="77777777" w:rsidR="0063463C" w:rsidRPr="00FB63D2" w:rsidRDefault="0063463C" w:rsidP="0063463C">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FB63D2">
        <w:rPr>
          <w:rFonts w:ascii="Cambria" w:hAnsi="Cambria" w:cstheme="minorHAnsi"/>
        </w:rPr>
        <w:tab/>
      </w:r>
      <w:r w:rsidRPr="00FB63D2">
        <w:rPr>
          <w:rFonts w:ascii="Cambria" w:hAnsi="Cambria" w:cstheme="minorHAnsi"/>
        </w:rPr>
        <w:tab/>
        <w:t>5.3.2</w:t>
      </w:r>
      <w:r w:rsidRPr="00FB63D2">
        <w:rPr>
          <w:rFonts w:ascii="Cambria" w:hAnsi="Cambria" w:cstheme="minorHAnsi"/>
        </w:rPr>
        <w:tab/>
        <w:t>experience in the use of</w:t>
      </w:r>
    </w:p>
    <w:p w14:paraId="04992D83" w14:textId="77777777" w:rsidR="0063463C" w:rsidRPr="00FB63D2" w:rsidRDefault="0063463C" w:rsidP="0063463C">
      <w:pPr>
        <w:tabs>
          <w:tab w:val="left" w:pos="567"/>
          <w:tab w:val="left" w:pos="1418"/>
          <w:tab w:val="left" w:pos="2268"/>
          <w:tab w:val="left" w:pos="3119"/>
          <w:tab w:val="left" w:pos="3969"/>
        </w:tabs>
        <w:spacing w:after="0" w:line="240" w:lineRule="auto"/>
        <w:ind w:left="3119" w:hanging="3119"/>
        <w:rPr>
          <w:rFonts w:ascii="Cambria" w:hAnsi="Cambria" w:cstheme="minorHAnsi"/>
        </w:rPr>
      </w:pPr>
      <w:r w:rsidRPr="00FB63D2">
        <w:rPr>
          <w:rFonts w:ascii="Cambria" w:hAnsi="Cambria" w:cstheme="minorHAnsi"/>
        </w:rPr>
        <w:tab/>
      </w:r>
      <w:r w:rsidRPr="00FB63D2">
        <w:rPr>
          <w:rFonts w:ascii="Cambria" w:hAnsi="Cambria" w:cstheme="minorHAnsi"/>
        </w:rPr>
        <w:tab/>
      </w:r>
      <w:r w:rsidRPr="00FB63D2">
        <w:rPr>
          <w:rFonts w:ascii="Cambria" w:hAnsi="Cambria" w:cstheme="minorHAnsi"/>
        </w:rPr>
        <w:tab/>
        <w:t>5.3.2.1</w:t>
      </w:r>
      <w:r w:rsidRPr="00FB63D2">
        <w:rPr>
          <w:rFonts w:ascii="Cambria" w:hAnsi="Cambria" w:cstheme="minorHAnsi"/>
        </w:rPr>
        <w:tab/>
        <w:t>hymns and songs for community singing;</w:t>
      </w:r>
    </w:p>
    <w:p w14:paraId="0373A78D" w14:textId="77777777" w:rsidR="0063463C" w:rsidRPr="00FB63D2" w:rsidRDefault="0063463C" w:rsidP="0063463C">
      <w:pPr>
        <w:tabs>
          <w:tab w:val="left" w:pos="567"/>
          <w:tab w:val="left" w:pos="1418"/>
          <w:tab w:val="left" w:pos="2268"/>
          <w:tab w:val="left" w:pos="3119"/>
          <w:tab w:val="left" w:pos="3969"/>
        </w:tabs>
        <w:spacing w:after="0" w:line="240" w:lineRule="auto"/>
        <w:ind w:left="3119" w:hanging="3119"/>
        <w:rPr>
          <w:rFonts w:ascii="Cambria" w:hAnsi="Cambria" w:cstheme="minorHAnsi"/>
        </w:rPr>
      </w:pPr>
      <w:r w:rsidRPr="00FB63D2">
        <w:rPr>
          <w:rFonts w:ascii="Cambria" w:hAnsi="Cambria" w:cstheme="minorHAnsi"/>
        </w:rPr>
        <w:tab/>
      </w:r>
      <w:r w:rsidRPr="00FB63D2">
        <w:rPr>
          <w:rFonts w:ascii="Cambria" w:hAnsi="Cambria" w:cstheme="minorHAnsi"/>
        </w:rPr>
        <w:tab/>
      </w:r>
      <w:r w:rsidRPr="00FB63D2">
        <w:rPr>
          <w:rFonts w:ascii="Cambria" w:hAnsi="Cambria" w:cstheme="minorHAnsi"/>
        </w:rPr>
        <w:tab/>
        <w:t>5.3.2.2</w:t>
      </w:r>
      <w:r w:rsidRPr="00FB63D2">
        <w:rPr>
          <w:rFonts w:ascii="Cambria" w:hAnsi="Cambria" w:cstheme="minorHAnsi"/>
        </w:rPr>
        <w:tab/>
        <w:t xml:space="preserve">the dramatic arts;  and </w:t>
      </w:r>
    </w:p>
    <w:p w14:paraId="06EF7F1A" w14:textId="77777777" w:rsidR="0063463C" w:rsidRPr="00FB63D2" w:rsidRDefault="0063463C" w:rsidP="0063463C">
      <w:pPr>
        <w:tabs>
          <w:tab w:val="left" w:pos="567"/>
          <w:tab w:val="left" w:pos="1418"/>
          <w:tab w:val="left" w:pos="2268"/>
          <w:tab w:val="left" w:pos="3119"/>
          <w:tab w:val="left" w:pos="3969"/>
        </w:tabs>
        <w:spacing w:after="0" w:line="240" w:lineRule="auto"/>
        <w:ind w:left="3119" w:hanging="3119"/>
        <w:rPr>
          <w:rFonts w:ascii="Cambria" w:hAnsi="Cambria" w:cstheme="minorHAnsi"/>
        </w:rPr>
      </w:pPr>
      <w:r w:rsidRPr="00FB63D2">
        <w:rPr>
          <w:rFonts w:ascii="Cambria" w:hAnsi="Cambria" w:cstheme="minorHAnsi"/>
        </w:rPr>
        <w:tab/>
      </w:r>
      <w:r w:rsidRPr="00FB63D2">
        <w:rPr>
          <w:rFonts w:ascii="Cambria" w:hAnsi="Cambria" w:cstheme="minorHAnsi"/>
        </w:rPr>
        <w:tab/>
      </w:r>
      <w:r w:rsidRPr="00FB63D2">
        <w:rPr>
          <w:rFonts w:ascii="Cambria" w:hAnsi="Cambria" w:cstheme="minorHAnsi"/>
        </w:rPr>
        <w:tab/>
        <w:t>5.3.2.3</w:t>
      </w:r>
      <w:r w:rsidRPr="00FB63D2">
        <w:rPr>
          <w:rFonts w:ascii="Cambria" w:hAnsi="Cambria" w:cstheme="minorHAnsi"/>
        </w:rPr>
        <w:tab/>
        <w:t xml:space="preserve">visual arts; </w:t>
      </w:r>
    </w:p>
    <w:p w14:paraId="2CEBC8BC" w14:textId="77777777" w:rsidR="0063463C" w:rsidRPr="00FB63D2" w:rsidRDefault="0063463C" w:rsidP="0063463C">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FB63D2">
        <w:rPr>
          <w:rFonts w:ascii="Cambria" w:hAnsi="Cambria" w:cstheme="minorHAnsi"/>
        </w:rPr>
        <w:tab/>
      </w:r>
      <w:r w:rsidRPr="00FB63D2">
        <w:rPr>
          <w:rFonts w:ascii="Cambria" w:hAnsi="Cambria" w:cstheme="minorHAnsi"/>
        </w:rPr>
        <w:tab/>
        <w:t>5.3.3</w:t>
      </w:r>
      <w:r w:rsidRPr="00FB63D2">
        <w:rPr>
          <w:rFonts w:ascii="Cambria" w:hAnsi="Cambria" w:cstheme="minorHAnsi"/>
        </w:rPr>
        <w:tab/>
        <w:t xml:space="preserve">skills in creating, editing and publication of worship resources; </w:t>
      </w:r>
    </w:p>
    <w:p w14:paraId="6C80A84A" w14:textId="77777777" w:rsidR="0063463C" w:rsidRPr="00FB63D2" w:rsidRDefault="0063463C" w:rsidP="0063463C">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FB63D2">
        <w:rPr>
          <w:rFonts w:ascii="Cambria" w:hAnsi="Cambria" w:cstheme="minorHAnsi"/>
        </w:rPr>
        <w:tab/>
      </w:r>
      <w:r w:rsidRPr="00FB63D2">
        <w:rPr>
          <w:rFonts w:ascii="Cambria" w:hAnsi="Cambria" w:cstheme="minorHAnsi"/>
        </w:rPr>
        <w:tab/>
        <w:t>5.3.4</w:t>
      </w:r>
      <w:r w:rsidRPr="00FB63D2">
        <w:rPr>
          <w:rFonts w:ascii="Cambria" w:hAnsi="Cambria" w:cstheme="minorHAnsi"/>
        </w:rPr>
        <w:tab/>
        <w:t>experience in strategic planning;  and</w:t>
      </w:r>
    </w:p>
    <w:p w14:paraId="1EC5107A" w14:textId="77777777" w:rsidR="0063463C" w:rsidRPr="00FB63D2" w:rsidRDefault="0063463C" w:rsidP="0063463C">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FB63D2">
        <w:rPr>
          <w:rFonts w:ascii="Cambria" w:hAnsi="Cambria" w:cstheme="minorHAnsi"/>
        </w:rPr>
        <w:tab/>
      </w:r>
      <w:r w:rsidRPr="00FB63D2">
        <w:rPr>
          <w:rFonts w:ascii="Cambria" w:hAnsi="Cambria" w:cstheme="minorHAnsi"/>
        </w:rPr>
        <w:tab/>
        <w:t>5.3.5</w:t>
      </w:r>
      <w:r w:rsidRPr="00FB63D2">
        <w:rPr>
          <w:rFonts w:ascii="Cambria" w:hAnsi="Cambria" w:cstheme="minorHAnsi"/>
        </w:rPr>
        <w:tab/>
        <w:t>the ability to participate in dialogue around music, song, liturgy and the arts.</w:t>
      </w:r>
    </w:p>
    <w:p w14:paraId="0915D9E3" w14:textId="77777777" w:rsidR="0063463C" w:rsidRPr="00FB63D2" w:rsidRDefault="0063463C" w:rsidP="0063463C">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FB63D2">
        <w:rPr>
          <w:rFonts w:ascii="Cambria" w:hAnsi="Cambria" w:cstheme="minorHAnsi"/>
        </w:rPr>
        <w:tab/>
        <w:t>5.4</w:t>
      </w:r>
      <w:r w:rsidRPr="00FB63D2">
        <w:rPr>
          <w:rFonts w:ascii="Cambria" w:hAnsi="Cambria" w:cstheme="minorHAnsi"/>
        </w:rPr>
        <w:tab/>
        <w:t>The membership shall include a mix of backgrounds and perspectives which, together with the skills, qualifications and experience, will enable the Commission to fulfil its role.</w:t>
      </w:r>
      <w:r w:rsidRPr="00FB63D2">
        <w:rPr>
          <w:rFonts w:ascii="Cambria" w:hAnsi="Cambria" w:cstheme="minorHAnsi"/>
        </w:rPr>
        <w:tab/>
      </w:r>
    </w:p>
    <w:p w14:paraId="26548A78" w14:textId="77777777" w:rsidR="0063463C" w:rsidRPr="00FB63D2" w:rsidRDefault="0063463C" w:rsidP="0063463C">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FB63D2">
        <w:rPr>
          <w:rFonts w:ascii="Cambria" w:hAnsi="Cambria" w:cstheme="minorHAnsi"/>
        </w:rPr>
        <w:tab/>
        <w:t>5.5</w:t>
      </w:r>
      <w:r w:rsidRPr="00FB63D2">
        <w:rPr>
          <w:rFonts w:ascii="Cambria" w:hAnsi="Cambria" w:cstheme="minorHAnsi"/>
        </w:rPr>
        <w:tab/>
        <w:t>The Chairperson shall be appointed by the College of Bishops.</w:t>
      </w:r>
    </w:p>
    <w:p w14:paraId="1450EF7E" w14:textId="77777777" w:rsidR="0063463C" w:rsidRPr="00FB63D2" w:rsidRDefault="0063463C" w:rsidP="0063463C">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FB63D2">
        <w:rPr>
          <w:rFonts w:ascii="Cambria" w:hAnsi="Cambria" w:cstheme="minorHAnsi"/>
        </w:rPr>
        <w:tab/>
        <w:t>5.6</w:t>
      </w:r>
      <w:r w:rsidRPr="00FB63D2">
        <w:rPr>
          <w:rFonts w:ascii="Cambria" w:hAnsi="Cambria" w:cstheme="minorHAnsi"/>
        </w:rPr>
        <w:tab/>
        <w:t>A Bishop appointed by the College of Bishops shall be an ex officio member of the Commission.</w:t>
      </w:r>
    </w:p>
    <w:p w14:paraId="00007CB5" w14:textId="77777777" w:rsidR="0063463C" w:rsidRPr="00FB63D2" w:rsidRDefault="0063463C" w:rsidP="0063463C">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FB63D2">
        <w:rPr>
          <w:rFonts w:ascii="Cambria" w:hAnsi="Cambria" w:cstheme="minorHAnsi"/>
        </w:rPr>
        <w:lastRenderedPageBreak/>
        <w:tab/>
        <w:t>5.7</w:t>
      </w:r>
      <w:r w:rsidRPr="00FB63D2">
        <w:rPr>
          <w:rFonts w:ascii="Cambria" w:hAnsi="Cambria" w:cstheme="minorHAnsi"/>
        </w:rPr>
        <w:tab/>
        <w:t xml:space="preserve">Up to two [2] consultants may be appointed by the College of Bishops to contribute specialised knowledge that is not available among the membership when addressing specific issues. </w:t>
      </w:r>
    </w:p>
    <w:p w14:paraId="2DBCED9E" w14:textId="77777777" w:rsidR="0063463C" w:rsidRPr="00FB63D2" w:rsidRDefault="0063463C" w:rsidP="0063463C">
      <w:pPr>
        <w:tabs>
          <w:tab w:val="left" w:pos="567"/>
          <w:tab w:val="left" w:pos="1418"/>
          <w:tab w:val="left" w:pos="2268"/>
          <w:tab w:val="left" w:pos="3119"/>
          <w:tab w:val="left" w:pos="3969"/>
        </w:tabs>
        <w:spacing w:after="0" w:line="240" w:lineRule="auto"/>
        <w:ind w:left="1418" w:hanging="1418"/>
        <w:rPr>
          <w:rFonts w:ascii="Cambria" w:hAnsi="Cambria" w:cstheme="minorHAnsi"/>
        </w:rPr>
      </w:pPr>
    </w:p>
    <w:p w14:paraId="43F49347" w14:textId="77777777" w:rsidR="0063463C" w:rsidRPr="00FB63D2" w:rsidRDefault="0063463C" w:rsidP="0063463C">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FB63D2">
        <w:rPr>
          <w:rFonts w:ascii="Cambria" w:hAnsi="Cambria" w:cstheme="minorHAnsi"/>
          <w:b/>
        </w:rPr>
        <w:t>6.</w:t>
      </w:r>
      <w:r w:rsidRPr="00FB63D2">
        <w:rPr>
          <w:rFonts w:ascii="Cambria" w:hAnsi="Cambria" w:cstheme="minorHAnsi"/>
          <w:b/>
        </w:rPr>
        <w:tab/>
        <w:t>RESPONSIBILITIES</w:t>
      </w:r>
    </w:p>
    <w:p w14:paraId="18C2D9FF" w14:textId="77777777" w:rsidR="0063463C" w:rsidRPr="00FB63D2" w:rsidRDefault="0063463C" w:rsidP="0063463C">
      <w:pPr>
        <w:tabs>
          <w:tab w:val="left" w:pos="567"/>
          <w:tab w:val="left" w:pos="1418"/>
          <w:tab w:val="left" w:pos="2268"/>
          <w:tab w:val="left" w:pos="3119"/>
          <w:tab w:val="left" w:pos="3969"/>
        </w:tabs>
        <w:spacing w:after="0" w:line="240" w:lineRule="auto"/>
        <w:ind w:left="567" w:hanging="567"/>
        <w:rPr>
          <w:rFonts w:ascii="Cambria" w:hAnsi="Cambria" w:cstheme="minorHAnsi"/>
        </w:rPr>
      </w:pPr>
      <w:r w:rsidRPr="00FB63D2">
        <w:rPr>
          <w:rFonts w:ascii="Cambria" w:hAnsi="Cambria" w:cstheme="minorHAnsi"/>
        </w:rPr>
        <w:tab/>
        <w:t>6.1</w:t>
      </w:r>
      <w:r w:rsidRPr="00FB63D2">
        <w:rPr>
          <w:rFonts w:ascii="Cambria" w:hAnsi="Cambria" w:cstheme="minorHAnsi"/>
        </w:rPr>
        <w:tab/>
        <w:t>The Commission shall</w:t>
      </w:r>
    </w:p>
    <w:p w14:paraId="0631BEE4" w14:textId="77777777" w:rsidR="0063463C" w:rsidRPr="00FB63D2" w:rsidRDefault="0063463C" w:rsidP="0063463C">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FB63D2">
        <w:rPr>
          <w:rFonts w:ascii="Cambria" w:hAnsi="Cambria" w:cstheme="minorHAnsi"/>
        </w:rPr>
        <w:tab/>
      </w:r>
      <w:r w:rsidRPr="00FB63D2">
        <w:rPr>
          <w:rFonts w:ascii="Cambria" w:hAnsi="Cambria" w:cstheme="minorHAnsi"/>
        </w:rPr>
        <w:tab/>
        <w:t xml:space="preserve">6.1.1 </w:t>
      </w:r>
      <w:r w:rsidRPr="00FB63D2">
        <w:rPr>
          <w:rFonts w:ascii="Cambria" w:hAnsi="Cambria" w:cstheme="minorHAnsi"/>
        </w:rPr>
        <w:tab/>
        <w:t>evaluate trends and aspects of public worship in the light of sound Lutheran principles;</w:t>
      </w:r>
    </w:p>
    <w:p w14:paraId="3D74ED98" w14:textId="77777777" w:rsidR="0063463C" w:rsidRPr="00FB63D2" w:rsidRDefault="0063463C" w:rsidP="0063463C">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FB63D2">
        <w:rPr>
          <w:rFonts w:ascii="Cambria" w:hAnsi="Cambria" w:cstheme="minorHAnsi"/>
        </w:rPr>
        <w:tab/>
      </w:r>
      <w:r w:rsidRPr="00FB63D2">
        <w:rPr>
          <w:rFonts w:ascii="Cambria" w:hAnsi="Cambria" w:cstheme="minorHAnsi"/>
        </w:rPr>
        <w:tab/>
        <w:t>6.1.2</w:t>
      </w:r>
      <w:r w:rsidRPr="00FB63D2">
        <w:rPr>
          <w:rFonts w:ascii="Cambria" w:hAnsi="Cambria" w:cstheme="minorHAnsi"/>
        </w:rPr>
        <w:tab/>
        <w:t>inform, advise, and give guidance to the Church and its pastors, congregations, institutions, boards and auxiliaries in matters of worship;</w:t>
      </w:r>
    </w:p>
    <w:p w14:paraId="49CBC5F9" w14:textId="77777777" w:rsidR="0063463C" w:rsidRPr="00FB63D2" w:rsidRDefault="0063463C" w:rsidP="0063463C">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FB63D2">
        <w:rPr>
          <w:rFonts w:ascii="Cambria" w:hAnsi="Cambria" w:cstheme="minorHAnsi"/>
        </w:rPr>
        <w:tab/>
      </w:r>
      <w:r w:rsidRPr="00FB63D2">
        <w:rPr>
          <w:rFonts w:ascii="Cambria" w:hAnsi="Cambria" w:cstheme="minorHAnsi"/>
        </w:rPr>
        <w:tab/>
        <w:t>6.1.3</w:t>
      </w:r>
      <w:r w:rsidRPr="00FB63D2">
        <w:rPr>
          <w:rFonts w:ascii="Cambria" w:hAnsi="Cambria" w:cstheme="minorHAnsi"/>
        </w:rPr>
        <w:tab/>
        <w:t>cultivate in the Church an appreciation of the Lutheran principles of worship and advise the Church in the selection and use of appropriate media for worship;</w:t>
      </w:r>
    </w:p>
    <w:p w14:paraId="2976AE8F" w14:textId="77777777" w:rsidR="0063463C" w:rsidRPr="00FB63D2" w:rsidRDefault="0063463C" w:rsidP="0063463C">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FB63D2">
        <w:rPr>
          <w:rFonts w:ascii="Cambria" w:hAnsi="Cambria" w:cstheme="minorHAnsi"/>
        </w:rPr>
        <w:tab/>
      </w:r>
      <w:r w:rsidRPr="00FB63D2">
        <w:rPr>
          <w:rFonts w:ascii="Cambria" w:hAnsi="Cambria" w:cstheme="minorHAnsi"/>
        </w:rPr>
        <w:tab/>
        <w:t>6.1.4</w:t>
      </w:r>
      <w:r w:rsidRPr="00FB63D2">
        <w:rPr>
          <w:rFonts w:ascii="Cambria" w:hAnsi="Cambria" w:cstheme="minorHAnsi"/>
        </w:rPr>
        <w:tab/>
        <w:t>evaluate and, where appropriate, endorse resources and materials for corporate Christian worship and all ecclesiastical supplies in consultation with the relevant Church bodies;</w:t>
      </w:r>
    </w:p>
    <w:p w14:paraId="49137A44" w14:textId="77777777" w:rsidR="0063463C" w:rsidRPr="00FB63D2" w:rsidRDefault="0063463C" w:rsidP="0063463C">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FB63D2">
        <w:rPr>
          <w:rFonts w:ascii="Cambria" w:hAnsi="Cambria" w:cstheme="minorHAnsi"/>
        </w:rPr>
        <w:tab/>
      </w:r>
      <w:r w:rsidRPr="00FB63D2">
        <w:rPr>
          <w:rFonts w:ascii="Cambria" w:hAnsi="Cambria" w:cstheme="minorHAnsi"/>
        </w:rPr>
        <w:tab/>
        <w:t>6.1.5</w:t>
      </w:r>
      <w:r w:rsidRPr="00FB63D2">
        <w:rPr>
          <w:rFonts w:ascii="Cambria" w:hAnsi="Cambria" w:cstheme="minorHAnsi"/>
        </w:rPr>
        <w:tab/>
        <w:t xml:space="preserve">offer guidance and assistance to the Bishops in regard to synodical worship services;  </w:t>
      </w:r>
    </w:p>
    <w:p w14:paraId="0B466623" w14:textId="77777777" w:rsidR="0063463C" w:rsidRPr="00FB63D2" w:rsidRDefault="0063463C" w:rsidP="0063463C">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FB63D2">
        <w:rPr>
          <w:rFonts w:ascii="Cambria" w:hAnsi="Cambria" w:cstheme="minorHAnsi"/>
        </w:rPr>
        <w:tab/>
      </w:r>
      <w:r w:rsidRPr="00FB63D2">
        <w:rPr>
          <w:rFonts w:ascii="Cambria" w:hAnsi="Cambria" w:cstheme="minorHAnsi"/>
        </w:rPr>
        <w:tab/>
        <w:t>6.1.6</w:t>
      </w:r>
      <w:r w:rsidRPr="00FB63D2">
        <w:rPr>
          <w:rFonts w:ascii="Cambria" w:hAnsi="Cambria" w:cstheme="minorHAnsi"/>
        </w:rPr>
        <w:tab/>
        <w:t>study liturgical movements and developments in Australia and abroad, and for this purpose, establish contact with worship commissions or their equivalent in other Lutheran Churches and in other Christian Churches at home and abroad;</w:t>
      </w:r>
    </w:p>
    <w:p w14:paraId="26C9019E" w14:textId="77777777" w:rsidR="0063463C" w:rsidRPr="00FB63D2" w:rsidRDefault="0063463C" w:rsidP="0063463C">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FB63D2">
        <w:rPr>
          <w:rFonts w:ascii="Cambria" w:hAnsi="Cambria" w:cstheme="minorHAnsi"/>
        </w:rPr>
        <w:tab/>
      </w:r>
      <w:r w:rsidRPr="00FB63D2">
        <w:rPr>
          <w:rFonts w:ascii="Cambria" w:hAnsi="Cambria" w:cstheme="minorHAnsi"/>
        </w:rPr>
        <w:tab/>
        <w:t>6.1.7</w:t>
      </w:r>
      <w:r w:rsidRPr="00FB63D2">
        <w:rPr>
          <w:rFonts w:ascii="Cambria" w:hAnsi="Cambria" w:cstheme="minorHAnsi"/>
        </w:rPr>
        <w:tab/>
        <w:t>oversee any subsidiary bodies that are under its oversight;  and</w:t>
      </w:r>
    </w:p>
    <w:p w14:paraId="084FC705" w14:textId="77777777" w:rsidR="0063463C" w:rsidRPr="00FB63D2" w:rsidRDefault="0063463C" w:rsidP="0063463C">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FB63D2">
        <w:rPr>
          <w:rFonts w:ascii="Cambria" w:hAnsi="Cambria" w:cstheme="minorHAnsi"/>
        </w:rPr>
        <w:tab/>
      </w:r>
      <w:r w:rsidRPr="00FB63D2">
        <w:rPr>
          <w:rFonts w:ascii="Cambria" w:hAnsi="Cambria" w:cstheme="minorHAnsi"/>
        </w:rPr>
        <w:tab/>
        <w:t>6.1.8</w:t>
      </w:r>
      <w:r w:rsidRPr="00FB63D2">
        <w:rPr>
          <w:rFonts w:ascii="Cambria" w:hAnsi="Cambria" w:cstheme="minorHAnsi"/>
        </w:rPr>
        <w:tab/>
        <w:t xml:space="preserve">establish working groups to carry out specific duties approved by the Commission, under Terms of Reference developed by the Commission. </w:t>
      </w:r>
    </w:p>
    <w:p w14:paraId="7792BC44" w14:textId="77777777" w:rsidR="0063463C" w:rsidRPr="00FB63D2" w:rsidRDefault="0063463C" w:rsidP="0063463C">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FB63D2">
        <w:rPr>
          <w:rFonts w:ascii="Cambria" w:hAnsi="Cambria" w:cstheme="minorHAnsi"/>
        </w:rPr>
        <w:tab/>
        <w:t>6.2</w:t>
      </w:r>
      <w:r w:rsidRPr="00FB63D2">
        <w:rPr>
          <w:rFonts w:ascii="Cambria" w:hAnsi="Cambria" w:cstheme="minorHAnsi"/>
        </w:rPr>
        <w:tab/>
        <w:t xml:space="preserve">The Commission shall carry out specific duties through working groups as follows: </w:t>
      </w:r>
    </w:p>
    <w:p w14:paraId="534D7869" w14:textId="77777777" w:rsidR="0063463C" w:rsidRPr="00FB63D2" w:rsidRDefault="0063463C" w:rsidP="0063463C">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FB63D2">
        <w:rPr>
          <w:rFonts w:ascii="Cambria" w:hAnsi="Cambria" w:cstheme="minorHAnsi"/>
        </w:rPr>
        <w:tab/>
      </w:r>
      <w:r w:rsidRPr="00FB63D2">
        <w:rPr>
          <w:rFonts w:ascii="Cambria" w:hAnsi="Cambria" w:cstheme="minorHAnsi"/>
        </w:rPr>
        <w:tab/>
        <w:t>6.2.1</w:t>
      </w:r>
      <w:r w:rsidRPr="00FB63D2">
        <w:rPr>
          <w:rFonts w:ascii="Cambria" w:hAnsi="Cambria" w:cstheme="minorHAnsi"/>
        </w:rPr>
        <w:tab/>
        <w:t>The working group on Liturgics;</w:t>
      </w:r>
    </w:p>
    <w:p w14:paraId="5E1129C9" w14:textId="77777777" w:rsidR="0063463C" w:rsidRPr="00FB63D2" w:rsidRDefault="0063463C" w:rsidP="0063463C">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FB63D2">
        <w:rPr>
          <w:rFonts w:ascii="Cambria" w:hAnsi="Cambria" w:cstheme="minorHAnsi"/>
        </w:rPr>
        <w:tab/>
      </w:r>
      <w:r w:rsidRPr="00FB63D2">
        <w:rPr>
          <w:rFonts w:ascii="Cambria" w:hAnsi="Cambria" w:cstheme="minorHAnsi"/>
        </w:rPr>
        <w:tab/>
        <w:t>6.2.2</w:t>
      </w:r>
      <w:r w:rsidRPr="00FB63D2">
        <w:rPr>
          <w:rFonts w:ascii="Cambria" w:hAnsi="Cambria" w:cstheme="minorHAnsi"/>
        </w:rPr>
        <w:tab/>
        <w:t>The working group on Music and Song;  and</w:t>
      </w:r>
    </w:p>
    <w:p w14:paraId="537CF576" w14:textId="77777777" w:rsidR="0063463C" w:rsidRPr="00FB63D2" w:rsidRDefault="0063463C" w:rsidP="0063463C">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FB63D2">
        <w:rPr>
          <w:rFonts w:ascii="Cambria" w:hAnsi="Cambria" w:cstheme="minorHAnsi"/>
        </w:rPr>
        <w:tab/>
      </w:r>
      <w:r w:rsidRPr="00FB63D2">
        <w:rPr>
          <w:rFonts w:ascii="Cambria" w:hAnsi="Cambria" w:cstheme="minorHAnsi"/>
        </w:rPr>
        <w:tab/>
        <w:t>6.2.3</w:t>
      </w:r>
      <w:r w:rsidRPr="00FB63D2">
        <w:rPr>
          <w:rFonts w:ascii="Cambria" w:hAnsi="Cambria" w:cstheme="minorHAnsi"/>
        </w:rPr>
        <w:tab/>
        <w:t>The working group on Visual Arts.</w:t>
      </w:r>
    </w:p>
    <w:p w14:paraId="7BE189DA" w14:textId="77777777" w:rsidR="0063463C" w:rsidRPr="00FB63D2" w:rsidRDefault="0063463C" w:rsidP="0063463C">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FB63D2">
        <w:rPr>
          <w:rFonts w:ascii="Cambria" w:hAnsi="Cambria" w:cstheme="minorHAnsi"/>
        </w:rPr>
        <w:tab/>
        <w:t>6.3</w:t>
      </w:r>
      <w:r w:rsidRPr="00FB63D2">
        <w:rPr>
          <w:rFonts w:ascii="Cambria" w:hAnsi="Cambria" w:cstheme="minorHAnsi"/>
        </w:rPr>
        <w:tab/>
        <w:t>In fulfilment of this, the Commission shall</w:t>
      </w:r>
    </w:p>
    <w:p w14:paraId="1672762C" w14:textId="77777777" w:rsidR="0063463C" w:rsidRPr="00FB63D2" w:rsidRDefault="0063463C" w:rsidP="0063463C">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FB63D2">
        <w:rPr>
          <w:rFonts w:ascii="Cambria" w:hAnsi="Cambria" w:cstheme="minorHAnsi"/>
        </w:rPr>
        <w:tab/>
      </w:r>
      <w:r w:rsidRPr="00FB63D2">
        <w:rPr>
          <w:rFonts w:ascii="Cambria" w:hAnsi="Cambria" w:cstheme="minorHAnsi"/>
        </w:rPr>
        <w:tab/>
        <w:t>6.3.1</w:t>
      </w:r>
      <w:r w:rsidRPr="00FB63D2">
        <w:rPr>
          <w:rFonts w:ascii="Cambria" w:hAnsi="Cambria" w:cstheme="minorHAnsi"/>
        </w:rPr>
        <w:tab/>
        <w:t>delegate assignments;</w:t>
      </w:r>
    </w:p>
    <w:p w14:paraId="402C20C5" w14:textId="77777777" w:rsidR="0063463C" w:rsidRPr="00FB63D2" w:rsidRDefault="0063463C" w:rsidP="0063463C">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FB63D2">
        <w:rPr>
          <w:rFonts w:ascii="Cambria" w:hAnsi="Cambria" w:cstheme="minorHAnsi"/>
        </w:rPr>
        <w:tab/>
      </w:r>
      <w:r w:rsidRPr="00FB63D2">
        <w:rPr>
          <w:rFonts w:ascii="Cambria" w:hAnsi="Cambria" w:cstheme="minorHAnsi"/>
        </w:rPr>
        <w:tab/>
        <w:t>6.3.2</w:t>
      </w:r>
      <w:r w:rsidRPr="00FB63D2">
        <w:rPr>
          <w:rFonts w:ascii="Cambria" w:hAnsi="Cambria" w:cstheme="minorHAnsi"/>
        </w:rPr>
        <w:tab/>
        <w:t>receive reports;</w:t>
      </w:r>
    </w:p>
    <w:p w14:paraId="77F1F48A" w14:textId="77777777" w:rsidR="0063463C" w:rsidRPr="00FB63D2" w:rsidRDefault="0063463C" w:rsidP="0063463C">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FB63D2">
        <w:rPr>
          <w:rFonts w:ascii="Cambria" w:hAnsi="Cambria" w:cstheme="minorHAnsi"/>
        </w:rPr>
        <w:tab/>
      </w:r>
      <w:r w:rsidRPr="00FB63D2">
        <w:rPr>
          <w:rFonts w:ascii="Cambria" w:hAnsi="Cambria" w:cstheme="minorHAnsi"/>
        </w:rPr>
        <w:tab/>
        <w:t>6.3.3</w:t>
      </w:r>
      <w:r w:rsidRPr="00FB63D2">
        <w:rPr>
          <w:rFonts w:ascii="Cambria" w:hAnsi="Cambria" w:cstheme="minorHAnsi"/>
        </w:rPr>
        <w:tab/>
        <w:t>coordinate the work of the working groups, especially in areas of overlap;  and</w:t>
      </w:r>
    </w:p>
    <w:p w14:paraId="183F3D35" w14:textId="77777777" w:rsidR="0063463C" w:rsidRPr="00FB63D2" w:rsidRDefault="0063463C" w:rsidP="0063463C">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FB63D2">
        <w:rPr>
          <w:rFonts w:ascii="Cambria" w:hAnsi="Cambria" w:cstheme="minorHAnsi"/>
        </w:rPr>
        <w:tab/>
      </w:r>
      <w:r w:rsidRPr="00FB63D2">
        <w:rPr>
          <w:rFonts w:ascii="Cambria" w:hAnsi="Cambria" w:cstheme="minorHAnsi"/>
        </w:rPr>
        <w:tab/>
        <w:t>6.3.4</w:t>
      </w:r>
      <w:r w:rsidRPr="00FB63D2">
        <w:rPr>
          <w:rFonts w:ascii="Cambria" w:hAnsi="Cambria" w:cstheme="minorHAnsi"/>
        </w:rPr>
        <w:tab/>
        <w:t>review the work of the working groups and provide the approved orders and resources for distribution to the Church, or for reception by the Church as appropriate.</w:t>
      </w:r>
    </w:p>
    <w:p w14:paraId="4D1BE375" w14:textId="77777777" w:rsidR="0063463C" w:rsidRPr="00FB63D2" w:rsidRDefault="0063463C" w:rsidP="0063463C">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FB63D2">
        <w:rPr>
          <w:rFonts w:ascii="Cambria" w:hAnsi="Cambria" w:cstheme="minorHAnsi"/>
        </w:rPr>
        <w:tab/>
        <w:t>6.4</w:t>
      </w:r>
      <w:r w:rsidRPr="00FB63D2">
        <w:rPr>
          <w:rFonts w:ascii="Cambria" w:hAnsi="Cambria" w:cstheme="minorHAnsi"/>
        </w:rPr>
        <w:tab/>
        <w:t>Each working group shall consist of six [6] members:</w:t>
      </w:r>
    </w:p>
    <w:p w14:paraId="41F1EB1A" w14:textId="77777777" w:rsidR="0063463C" w:rsidRPr="00FB63D2" w:rsidRDefault="0063463C" w:rsidP="0063463C">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FB63D2">
        <w:rPr>
          <w:rFonts w:ascii="Cambria" w:hAnsi="Cambria" w:cstheme="minorHAnsi"/>
        </w:rPr>
        <w:tab/>
      </w:r>
      <w:r w:rsidRPr="00FB63D2">
        <w:rPr>
          <w:rFonts w:ascii="Cambria" w:hAnsi="Cambria" w:cstheme="minorHAnsi"/>
        </w:rPr>
        <w:tab/>
        <w:t>6.4.1</w:t>
      </w:r>
      <w:r w:rsidRPr="00FB63D2">
        <w:rPr>
          <w:rFonts w:ascii="Cambria" w:hAnsi="Cambria" w:cstheme="minorHAnsi"/>
        </w:rPr>
        <w:tab/>
        <w:t>one [1] member of the Commission;</w:t>
      </w:r>
    </w:p>
    <w:p w14:paraId="78D517FD" w14:textId="77777777" w:rsidR="0063463C" w:rsidRPr="00FB63D2" w:rsidRDefault="0063463C" w:rsidP="0063463C">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FB63D2">
        <w:rPr>
          <w:rFonts w:ascii="Cambria" w:hAnsi="Cambria" w:cstheme="minorHAnsi"/>
        </w:rPr>
        <w:tab/>
      </w:r>
      <w:r w:rsidRPr="00FB63D2">
        <w:rPr>
          <w:rFonts w:ascii="Cambria" w:hAnsi="Cambria" w:cstheme="minorHAnsi"/>
        </w:rPr>
        <w:tab/>
        <w:t>6.4.2</w:t>
      </w:r>
      <w:r w:rsidRPr="00FB63D2">
        <w:rPr>
          <w:rFonts w:ascii="Cambria" w:hAnsi="Cambria" w:cstheme="minorHAnsi"/>
        </w:rPr>
        <w:tab/>
        <w:t>five [5] additional members of the congregations of the Church.</w:t>
      </w:r>
    </w:p>
    <w:p w14:paraId="2206330F" w14:textId="77777777" w:rsidR="0063463C" w:rsidRPr="00FB63D2" w:rsidRDefault="0063463C" w:rsidP="0063463C">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FB63D2">
        <w:rPr>
          <w:rFonts w:ascii="Cambria" w:hAnsi="Cambria" w:cstheme="minorHAnsi"/>
        </w:rPr>
        <w:tab/>
        <w:t>6.5</w:t>
      </w:r>
      <w:r w:rsidRPr="00FB63D2">
        <w:rPr>
          <w:rFonts w:ascii="Cambria" w:hAnsi="Cambria" w:cstheme="minorHAnsi"/>
        </w:rPr>
        <w:tab/>
        <w:t>The working groups.</w:t>
      </w:r>
    </w:p>
    <w:p w14:paraId="62E17A86" w14:textId="77777777" w:rsidR="0063463C" w:rsidRPr="00FB63D2" w:rsidRDefault="0063463C" w:rsidP="0063463C">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FB63D2">
        <w:rPr>
          <w:rFonts w:ascii="Cambria" w:hAnsi="Cambria" w:cstheme="minorHAnsi"/>
        </w:rPr>
        <w:tab/>
      </w:r>
      <w:r w:rsidRPr="00FB63D2">
        <w:rPr>
          <w:rFonts w:ascii="Cambria" w:hAnsi="Cambria" w:cstheme="minorHAnsi"/>
        </w:rPr>
        <w:tab/>
        <w:t>6.5.1</w:t>
      </w:r>
      <w:r w:rsidRPr="00FB63D2">
        <w:rPr>
          <w:rFonts w:ascii="Cambria" w:hAnsi="Cambria" w:cstheme="minorHAnsi"/>
        </w:rPr>
        <w:tab/>
        <w:t>The Commission shall appoint the members of the working groups from nominations received by the Standing Committee on Nominations and may coopt additional members to serve on any working group.</w:t>
      </w:r>
    </w:p>
    <w:p w14:paraId="7F2649BB" w14:textId="77777777" w:rsidR="0063463C" w:rsidRPr="00FB63D2" w:rsidRDefault="0063463C" w:rsidP="0063463C">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FB63D2">
        <w:rPr>
          <w:rFonts w:ascii="Cambria" w:hAnsi="Cambria" w:cstheme="minorHAnsi"/>
        </w:rPr>
        <w:tab/>
      </w:r>
      <w:r w:rsidRPr="00FB63D2">
        <w:rPr>
          <w:rFonts w:ascii="Cambria" w:hAnsi="Cambria" w:cstheme="minorHAnsi"/>
        </w:rPr>
        <w:tab/>
        <w:t>6.5.2</w:t>
      </w:r>
      <w:r w:rsidRPr="00FB63D2">
        <w:rPr>
          <w:rFonts w:ascii="Cambria" w:hAnsi="Cambria" w:cstheme="minorHAnsi"/>
        </w:rPr>
        <w:tab/>
        <w:t>Each working group shall elect a convenor from its members.</w:t>
      </w:r>
    </w:p>
    <w:p w14:paraId="7AE79014" w14:textId="77777777" w:rsidR="0063463C" w:rsidRPr="00FB63D2" w:rsidRDefault="0063463C" w:rsidP="0063463C">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FB63D2">
        <w:rPr>
          <w:rFonts w:ascii="Cambria" w:hAnsi="Cambria" w:cstheme="minorHAnsi"/>
        </w:rPr>
        <w:tab/>
      </w:r>
      <w:r w:rsidRPr="00FB63D2">
        <w:rPr>
          <w:rFonts w:ascii="Cambria" w:hAnsi="Cambria" w:cstheme="minorHAnsi"/>
        </w:rPr>
        <w:tab/>
        <w:t>6.5.3</w:t>
      </w:r>
      <w:r w:rsidRPr="00FB63D2">
        <w:rPr>
          <w:rFonts w:ascii="Cambria" w:hAnsi="Cambria" w:cstheme="minorHAnsi"/>
        </w:rPr>
        <w:tab/>
        <w:t>Each working group shall provide regular reports to the Commission or as requested.</w:t>
      </w:r>
    </w:p>
    <w:p w14:paraId="208F46EE" w14:textId="77777777" w:rsidR="0063463C" w:rsidRPr="00FB63D2" w:rsidRDefault="0063463C" w:rsidP="0063463C">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FB63D2">
        <w:rPr>
          <w:rFonts w:ascii="Cambria" w:hAnsi="Cambria" w:cstheme="minorHAnsi"/>
        </w:rPr>
        <w:tab/>
        <w:t>6.6</w:t>
      </w:r>
      <w:r w:rsidRPr="00FB63D2">
        <w:rPr>
          <w:rFonts w:ascii="Cambria" w:hAnsi="Cambria" w:cstheme="minorHAnsi"/>
        </w:rPr>
        <w:tab/>
        <w:t xml:space="preserve">The working group on Liturgics shall </w:t>
      </w:r>
    </w:p>
    <w:p w14:paraId="33A0CF16" w14:textId="77777777" w:rsidR="0063463C" w:rsidRPr="00FB63D2" w:rsidRDefault="0063463C" w:rsidP="0063463C">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FB63D2">
        <w:rPr>
          <w:rFonts w:ascii="Cambria" w:hAnsi="Cambria" w:cstheme="minorHAnsi"/>
        </w:rPr>
        <w:tab/>
      </w:r>
      <w:r w:rsidRPr="00FB63D2">
        <w:rPr>
          <w:rFonts w:ascii="Cambria" w:hAnsi="Cambria" w:cstheme="minorHAnsi"/>
        </w:rPr>
        <w:tab/>
        <w:t>6.6.1</w:t>
      </w:r>
      <w:r w:rsidRPr="00FB63D2">
        <w:rPr>
          <w:rFonts w:ascii="Cambria" w:hAnsi="Cambria" w:cstheme="minorHAnsi"/>
        </w:rPr>
        <w:tab/>
        <w:t>enrich the worship life of the Church by studying the history, theology and practice of worship, especially in Lutheran Churches;</w:t>
      </w:r>
    </w:p>
    <w:p w14:paraId="3B35426E" w14:textId="77777777" w:rsidR="0063463C" w:rsidRPr="00FB63D2" w:rsidRDefault="0063463C" w:rsidP="0063463C">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FB63D2">
        <w:rPr>
          <w:rFonts w:ascii="Cambria" w:hAnsi="Cambria" w:cstheme="minorHAnsi"/>
        </w:rPr>
        <w:tab/>
      </w:r>
      <w:r w:rsidRPr="00FB63D2">
        <w:rPr>
          <w:rFonts w:ascii="Cambria" w:hAnsi="Cambria" w:cstheme="minorHAnsi"/>
        </w:rPr>
        <w:tab/>
        <w:t>6.6.2</w:t>
      </w:r>
      <w:r w:rsidRPr="00FB63D2">
        <w:rPr>
          <w:rFonts w:ascii="Cambria" w:hAnsi="Cambria" w:cstheme="minorHAnsi"/>
        </w:rPr>
        <w:tab/>
        <w:t>prepare worship orders and resources for use in the Church in its congregations, institutions, auxiliaries and homes;</w:t>
      </w:r>
    </w:p>
    <w:p w14:paraId="05423BB9" w14:textId="77777777" w:rsidR="0063463C" w:rsidRPr="00FB63D2" w:rsidRDefault="0063463C" w:rsidP="0063463C">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FB63D2">
        <w:rPr>
          <w:rFonts w:ascii="Cambria" w:hAnsi="Cambria" w:cstheme="minorHAnsi"/>
        </w:rPr>
        <w:lastRenderedPageBreak/>
        <w:tab/>
      </w:r>
      <w:r w:rsidRPr="00FB63D2">
        <w:rPr>
          <w:rFonts w:ascii="Cambria" w:hAnsi="Cambria" w:cstheme="minorHAnsi"/>
        </w:rPr>
        <w:tab/>
        <w:t>6.6.3</w:t>
      </w:r>
      <w:r w:rsidRPr="00FB63D2">
        <w:rPr>
          <w:rFonts w:ascii="Cambria" w:hAnsi="Cambria" w:cstheme="minorHAnsi"/>
        </w:rPr>
        <w:tab/>
        <w:t>receive and evaluate other worship orders and resources prepared elsewhere in the Church;  and</w:t>
      </w:r>
    </w:p>
    <w:p w14:paraId="58F9DFCD" w14:textId="77777777" w:rsidR="0063463C" w:rsidRPr="00FB63D2" w:rsidRDefault="0063463C" w:rsidP="0063463C">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FB63D2">
        <w:rPr>
          <w:rFonts w:ascii="Cambria" w:hAnsi="Cambria" w:cstheme="minorHAnsi"/>
        </w:rPr>
        <w:tab/>
      </w:r>
      <w:r w:rsidRPr="00FB63D2">
        <w:rPr>
          <w:rFonts w:ascii="Cambria" w:hAnsi="Cambria" w:cstheme="minorHAnsi"/>
        </w:rPr>
        <w:tab/>
        <w:t>6.6.4</w:t>
      </w:r>
      <w:r w:rsidRPr="00FB63D2">
        <w:rPr>
          <w:rFonts w:ascii="Cambria" w:hAnsi="Cambria" w:cstheme="minorHAnsi"/>
        </w:rPr>
        <w:tab/>
        <w:t>assist the Commission in the promotion of sound Lutheran practice in worship within the Church.</w:t>
      </w:r>
    </w:p>
    <w:p w14:paraId="050BB323" w14:textId="77777777" w:rsidR="0063463C" w:rsidRPr="00FB63D2" w:rsidRDefault="0063463C" w:rsidP="0063463C">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FB63D2">
        <w:rPr>
          <w:rFonts w:ascii="Cambria" w:hAnsi="Cambria" w:cstheme="minorHAnsi"/>
        </w:rPr>
        <w:tab/>
        <w:t>6.7</w:t>
      </w:r>
      <w:r w:rsidRPr="00FB63D2">
        <w:rPr>
          <w:rFonts w:ascii="Cambria" w:hAnsi="Cambria" w:cstheme="minorHAnsi"/>
        </w:rPr>
        <w:tab/>
        <w:t xml:space="preserve">The working group on Music and Song shall </w:t>
      </w:r>
    </w:p>
    <w:p w14:paraId="2CE3FC44" w14:textId="77777777" w:rsidR="0063463C" w:rsidRPr="00FB63D2" w:rsidRDefault="0063463C" w:rsidP="0063463C">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FB63D2">
        <w:rPr>
          <w:rFonts w:ascii="Cambria" w:hAnsi="Cambria" w:cstheme="minorHAnsi"/>
        </w:rPr>
        <w:tab/>
      </w:r>
      <w:r w:rsidRPr="00FB63D2">
        <w:rPr>
          <w:rFonts w:ascii="Cambria" w:hAnsi="Cambria" w:cstheme="minorHAnsi"/>
        </w:rPr>
        <w:tab/>
        <w:t>6.7.1</w:t>
      </w:r>
      <w:r w:rsidRPr="00FB63D2">
        <w:rPr>
          <w:rFonts w:ascii="Cambria" w:hAnsi="Cambria" w:cstheme="minorHAnsi"/>
        </w:rPr>
        <w:tab/>
        <w:t xml:space="preserve">prepare and offer to the Church musical settings of the Divine Service, other liturgical orders, festivals, minor services and devotional prayer; </w:t>
      </w:r>
    </w:p>
    <w:p w14:paraId="4151792C" w14:textId="77777777" w:rsidR="0063463C" w:rsidRPr="00FB63D2" w:rsidRDefault="0063463C" w:rsidP="0063463C">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FB63D2">
        <w:rPr>
          <w:rFonts w:ascii="Cambria" w:hAnsi="Cambria" w:cstheme="minorHAnsi"/>
        </w:rPr>
        <w:tab/>
      </w:r>
      <w:r w:rsidRPr="00FB63D2">
        <w:rPr>
          <w:rFonts w:ascii="Cambria" w:hAnsi="Cambria" w:cstheme="minorHAnsi"/>
        </w:rPr>
        <w:tab/>
        <w:t>6.7.2</w:t>
      </w:r>
      <w:r w:rsidRPr="00FB63D2">
        <w:rPr>
          <w:rFonts w:ascii="Cambria" w:hAnsi="Cambria" w:cstheme="minorHAnsi"/>
        </w:rPr>
        <w:tab/>
        <w:t>prepare and offer suitable supplemental music, such as preludes and postludes, for use in the worship life of the Church;</w:t>
      </w:r>
    </w:p>
    <w:p w14:paraId="6DA256DC" w14:textId="77777777" w:rsidR="0063463C" w:rsidRPr="00FB63D2" w:rsidRDefault="0063463C" w:rsidP="0063463C">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FB63D2">
        <w:rPr>
          <w:rFonts w:ascii="Cambria" w:hAnsi="Cambria" w:cstheme="minorHAnsi"/>
        </w:rPr>
        <w:tab/>
      </w:r>
      <w:r w:rsidRPr="00FB63D2">
        <w:rPr>
          <w:rFonts w:ascii="Cambria" w:hAnsi="Cambria" w:cstheme="minorHAnsi"/>
        </w:rPr>
        <w:tab/>
        <w:t>6.7.3</w:t>
      </w:r>
      <w:r w:rsidRPr="00FB63D2">
        <w:rPr>
          <w:rFonts w:ascii="Cambria" w:hAnsi="Cambria" w:cstheme="minorHAnsi"/>
        </w:rPr>
        <w:tab/>
        <w:t>examine and recommend suitable choir materials;</w:t>
      </w:r>
    </w:p>
    <w:p w14:paraId="07EB39E0" w14:textId="77777777" w:rsidR="0063463C" w:rsidRPr="00FB63D2" w:rsidRDefault="0063463C" w:rsidP="0063463C">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FB63D2">
        <w:rPr>
          <w:rFonts w:ascii="Cambria" w:hAnsi="Cambria" w:cstheme="minorHAnsi"/>
        </w:rPr>
        <w:tab/>
      </w:r>
      <w:r w:rsidRPr="00FB63D2">
        <w:rPr>
          <w:rFonts w:ascii="Cambria" w:hAnsi="Cambria" w:cstheme="minorHAnsi"/>
        </w:rPr>
        <w:tab/>
        <w:t>6.7.4</w:t>
      </w:r>
      <w:r w:rsidRPr="00FB63D2">
        <w:rPr>
          <w:rFonts w:ascii="Cambria" w:hAnsi="Cambria" w:cstheme="minorHAnsi"/>
        </w:rPr>
        <w:tab/>
        <w:t>advise, support and train worship leaders in the appropriate use of music instrumentation in worship;</w:t>
      </w:r>
    </w:p>
    <w:p w14:paraId="6617F4E7" w14:textId="77777777" w:rsidR="0063463C" w:rsidRPr="00FB63D2" w:rsidRDefault="0063463C" w:rsidP="0063463C">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FB63D2">
        <w:rPr>
          <w:rFonts w:ascii="Cambria" w:hAnsi="Cambria" w:cstheme="minorHAnsi"/>
        </w:rPr>
        <w:tab/>
      </w:r>
      <w:r w:rsidRPr="00FB63D2">
        <w:rPr>
          <w:rFonts w:ascii="Cambria" w:hAnsi="Cambria" w:cstheme="minorHAnsi"/>
        </w:rPr>
        <w:tab/>
        <w:t>6.7.5</w:t>
      </w:r>
      <w:r w:rsidRPr="00FB63D2">
        <w:rPr>
          <w:rFonts w:ascii="Cambria" w:hAnsi="Cambria" w:cstheme="minorHAnsi"/>
        </w:rPr>
        <w:tab/>
        <w:t>assist the Commission in the promotion of appropriate music and the encouragement of musical servant leadership in the worship life of the Church;</w:t>
      </w:r>
    </w:p>
    <w:p w14:paraId="401B3A67" w14:textId="77777777" w:rsidR="0063463C" w:rsidRPr="00FB63D2" w:rsidRDefault="0063463C" w:rsidP="0063463C">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FB63D2">
        <w:rPr>
          <w:rFonts w:ascii="Cambria" w:hAnsi="Cambria" w:cstheme="minorHAnsi"/>
        </w:rPr>
        <w:tab/>
      </w:r>
      <w:r w:rsidRPr="00FB63D2">
        <w:rPr>
          <w:rFonts w:ascii="Cambria" w:hAnsi="Cambria" w:cstheme="minorHAnsi"/>
        </w:rPr>
        <w:tab/>
        <w:t>6.7.6</w:t>
      </w:r>
      <w:r w:rsidRPr="00FB63D2">
        <w:rPr>
          <w:rFonts w:ascii="Cambria" w:hAnsi="Cambria" w:cstheme="minorHAnsi"/>
        </w:rPr>
        <w:tab/>
        <w:t>offer training, support and advice in the use of technology and its use in the worship life of the Church;</w:t>
      </w:r>
    </w:p>
    <w:p w14:paraId="6F9C5E40" w14:textId="77777777" w:rsidR="0063463C" w:rsidRPr="00FB63D2" w:rsidRDefault="0063463C" w:rsidP="0063463C">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FB63D2">
        <w:rPr>
          <w:rFonts w:ascii="Cambria" w:hAnsi="Cambria" w:cstheme="minorHAnsi"/>
        </w:rPr>
        <w:tab/>
      </w:r>
      <w:r w:rsidRPr="00FB63D2">
        <w:rPr>
          <w:rFonts w:ascii="Cambria" w:hAnsi="Cambria" w:cstheme="minorHAnsi"/>
        </w:rPr>
        <w:tab/>
        <w:t>6.7.7</w:t>
      </w:r>
      <w:r w:rsidRPr="00FB63D2">
        <w:rPr>
          <w:rFonts w:ascii="Cambria" w:hAnsi="Cambria" w:cstheme="minorHAnsi"/>
        </w:rPr>
        <w:tab/>
        <w:t>examine and recommend music from various traditions and styles for use in the worship life of the Church;</w:t>
      </w:r>
    </w:p>
    <w:p w14:paraId="5CD8BF79" w14:textId="77777777" w:rsidR="0063463C" w:rsidRPr="00FB63D2" w:rsidRDefault="0063463C" w:rsidP="0063463C">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FB63D2">
        <w:rPr>
          <w:rFonts w:ascii="Cambria" w:hAnsi="Cambria" w:cstheme="minorHAnsi"/>
        </w:rPr>
        <w:tab/>
      </w:r>
      <w:r w:rsidRPr="00FB63D2">
        <w:rPr>
          <w:rFonts w:ascii="Cambria" w:hAnsi="Cambria" w:cstheme="minorHAnsi"/>
        </w:rPr>
        <w:tab/>
        <w:t>6.7.8</w:t>
      </w:r>
      <w:r w:rsidRPr="00FB63D2">
        <w:rPr>
          <w:rFonts w:ascii="Cambria" w:hAnsi="Cambria" w:cstheme="minorHAnsi"/>
        </w:rPr>
        <w:tab/>
        <w:t xml:space="preserve">offer indexes and usage suggestions for the public worship of the Church according to seasonal, festive and catechetical themes; </w:t>
      </w:r>
    </w:p>
    <w:p w14:paraId="0236797A" w14:textId="77777777" w:rsidR="0063463C" w:rsidRPr="00FB63D2" w:rsidRDefault="0063463C" w:rsidP="0063463C">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FB63D2">
        <w:rPr>
          <w:rFonts w:ascii="Cambria" w:hAnsi="Cambria" w:cstheme="minorHAnsi"/>
        </w:rPr>
        <w:tab/>
      </w:r>
      <w:r w:rsidRPr="00FB63D2">
        <w:rPr>
          <w:rFonts w:ascii="Cambria" w:hAnsi="Cambria" w:cstheme="minorHAnsi"/>
        </w:rPr>
        <w:tab/>
        <w:t>6.7.9</w:t>
      </w:r>
      <w:r w:rsidRPr="00FB63D2">
        <w:rPr>
          <w:rFonts w:ascii="Cambria" w:hAnsi="Cambria" w:cstheme="minorHAnsi"/>
        </w:rPr>
        <w:tab/>
        <w:t>further develop music and song resources in digital form and on-line resourcing of the Church in its worship;  and</w:t>
      </w:r>
    </w:p>
    <w:p w14:paraId="7EDEDBBD" w14:textId="77777777" w:rsidR="0063463C" w:rsidRPr="00FB63D2" w:rsidRDefault="0063463C" w:rsidP="0063463C">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FB63D2">
        <w:rPr>
          <w:rFonts w:ascii="Cambria" w:hAnsi="Cambria" w:cstheme="minorHAnsi"/>
        </w:rPr>
        <w:tab/>
      </w:r>
      <w:r w:rsidRPr="00FB63D2">
        <w:rPr>
          <w:rFonts w:ascii="Cambria" w:hAnsi="Cambria" w:cstheme="minorHAnsi"/>
        </w:rPr>
        <w:tab/>
        <w:t>6.7.10</w:t>
      </w:r>
      <w:r w:rsidRPr="00FB63D2">
        <w:rPr>
          <w:rFonts w:ascii="Cambria" w:hAnsi="Cambria" w:cstheme="minorHAnsi"/>
        </w:rPr>
        <w:tab/>
        <w:t>maintain a catalogue of resources that reflect the collective memory of the Church.</w:t>
      </w:r>
    </w:p>
    <w:p w14:paraId="46A0D820" w14:textId="77777777" w:rsidR="0063463C" w:rsidRPr="00FB63D2" w:rsidRDefault="0063463C" w:rsidP="0063463C">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FB63D2">
        <w:rPr>
          <w:rFonts w:ascii="Cambria" w:hAnsi="Cambria" w:cstheme="minorHAnsi"/>
        </w:rPr>
        <w:tab/>
        <w:t>6.8</w:t>
      </w:r>
      <w:r w:rsidRPr="00FB63D2">
        <w:rPr>
          <w:rFonts w:ascii="Cambria" w:hAnsi="Cambria" w:cstheme="minorHAnsi"/>
        </w:rPr>
        <w:tab/>
        <w:t xml:space="preserve">The working group on Visual Arts shall </w:t>
      </w:r>
    </w:p>
    <w:p w14:paraId="239014C6" w14:textId="77777777" w:rsidR="0063463C" w:rsidRPr="00FB63D2" w:rsidRDefault="0063463C" w:rsidP="0063463C">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FB63D2">
        <w:rPr>
          <w:rFonts w:ascii="Cambria" w:hAnsi="Cambria" w:cstheme="minorHAnsi"/>
        </w:rPr>
        <w:tab/>
      </w:r>
      <w:r w:rsidRPr="00FB63D2">
        <w:rPr>
          <w:rFonts w:ascii="Cambria" w:hAnsi="Cambria" w:cstheme="minorHAnsi"/>
        </w:rPr>
        <w:tab/>
        <w:t>6.8.1</w:t>
      </w:r>
      <w:r w:rsidRPr="00FB63D2">
        <w:rPr>
          <w:rFonts w:ascii="Cambria" w:hAnsi="Cambria" w:cstheme="minorHAnsi"/>
        </w:rPr>
        <w:tab/>
        <w:t>promote the design and use of art forms in worship including</w:t>
      </w:r>
    </w:p>
    <w:p w14:paraId="6979BEE7" w14:textId="77777777" w:rsidR="0063463C" w:rsidRPr="00FB63D2" w:rsidRDefault="0063463C" w:rsidP="0063463C">
      <w:pPr>
        <w:tabs>
          <w:tab w:val="left" w:pos="567"/>
          <w:tab w:val="left" w:pos="1418"/>
          <w:tab w:val="left" w:pos="2268"/>
          <w:tab w:val="left" w:pos="3119"/>
          <w:tab w:val="left" w:pos="3969"/>
        </w:tabs>
        <w:spacing w:after="0" w:line="240" w:lineRule="auto"/>
        <w:ind w:left="3119" w:hanging="3119"/>
        <w:rPr>
          <w:rFonts w:ascii="Cambria" w:hAnsi="Cambria" w:cstheme="minorHAnsi"/>
        </w:rPr>
      </w:pPr>
      <w:r w:rsidRPr="00FB63D2">
        <w:rPr>
          <w:rFonts w:ascii="Cambria" w:hAnsi="Cambria" w:cstheme="minorHAnsi"/>
        </w:rPr>
        <w:tab/>
      </w:r>
      <w:r w:rsidRPr="00FB63D2">
        <w:rPr>
          <w:rFonts w:ascii="Cambria" w:hAnsi="Cambria" w:cstheme="minorHAnsi"/>
        </w:rPr>
        <w:tab/>
      </w:r>
      <w:r w:rsidRPr="00FB63D2">
        <w:rPr>
          <w:rFonts w:ascii="Cambria" w:hAnsi="Cambria" w:cstheme="minorHAnsi"/>
        </w:rPr>
        <w:tab/>
        <w:t>6.8.1.1</w:t>
      </w:r>
      <w:r w:rsidRPr="00FB63D2">
        <w:rPr>
          <w:rFonts w:ascii="Cambria" w:hAnsi="Cambria" w:cstheme="minorHAnsi"/>
        </w:rPr>
        <w:tab/>
        <w:t>ecclesiastical architecture;</w:t>
      </w:r>
    </w:p>
    <w:p w14:paraId="7E9D8EFD" w14:textId="77777777" w:rsidR="0063463C" w:rsidRPr="00FB63D2" w:rsidRDefault="0063463C" w:rsidP="0063463C">
      <w:pPr>
        <w:tabs>
          <w:tab w:val="left" w:pos="567"/>
          <w:tab w:val="left" w:pos="1418"/>
          <w:tab w:val="left" w:pos="2268"/>
          <w:tab w:val="left" w:pos="3119"/>
          <w:tab w:val="left" w:pos="3969"/>
        </w:tabs>
        <w:spacing w:after="0" w:line="240" w:lineRule="auto"/>
        <w:ind w:left="3119" w:hanging="3119"/>
        <w:rPr>
          <w:rFonts w:ascii="Cambria" w:hAnsi="Cambria" w:cstheme="minorHAnsi"/>
        </w:rPr>
      </w:pPr>
      <w:r w:rsidRPr="00FB63D2">
        <w:rPr>
          <w:rFonts w:ascii="Cambria" w:hAnsi="Cambria" w:cstheme="minorHAnsi"/>
        </w:rPr>
        <w:tab/>
      </w:r>
      <w:r w:rsidRPr="00FB63D2">
        <w:rPr>
          <w:rFonts w:ascii="Cambria" w:hAnsi="Cambria" w:cstheme="minorHAnsi"/>
        </w:rPr>
        <w:tab/>
      </w:r>
      <w:r w:rsidRPr="00FB63D2">
        <w:rPr>
          <w:rFonts w:ascii="Cambria" w:hAnsi="Cambria" w:cstheme="minorHAnsi"/>
        </w:rPr>
        <w:tab/>
        <w:t>6.8.1.2</w:t>
      </w:r>
      <w:r w:rsidRPr="00FB63D2">
        <w:rPr>
          <w:rFonts w:ascii="Cambria" w:hAnsi="Cambria" w:cstheme="minorHAnsi"/>
        </w:rPr>
        <w:tab/>
        <w:t>vestments, wall hangings, paraments, banners and other textile appointments;</w:t>
      </w:r>
    </w:p>
    <w:p w14:paraId="7D836F66" w14:textId="77777777" w:rsidR="0063463C" w:rsidRPr="00FB63D2" w:rsidRDefault="0063463C" w:rsidP="0063463C">
      <w:pPr>
        <w:tabs>
          <w:tab w:val="left" w:pos="567"/>
          <w:tab w:val="left" w:pos="1418"/>
          <w:tab w:val="left" w:pos="2268"/>
          <w:tab w:val="left" w:pos="3119"/>
          <w:tab w:val="left" w:pos="3969"/>
        </w:tabs>
        <w:spacing w:after="0" w:line="240" w:lineRule="auto"/>
        <w:ind w:left="3119" w:hanging="3119"/>
        <w:rPr>
          <w:rFonts w:ascii="Cambria" w:hAnsi="Cambria" w:cstheme="minorHAnsi"/>
        </w:rPr>
      </w:pPr>
      <w:r w:rsidRPr="00FB63D2">
        <w:rPr>
          <w:rFonts w:ascii="Cambria" w:hAnsi="Cambria" w:cstheme="minorHAnsi"/>
        </w:rPr>
        <w:tab/>
      </w:r>
      <w:r w:rsidRPr="00FB63D2">
        <w:rPr>
          <w:rFonts w:ascii="Cambria" w:hAnsi="Cambria" w:cstheme="minorHAnsi"/>
        </w:rPr>
        <w:tab/>
      </w:r>
      <w:r w:rsidRPr="00FB63D2">
        <w:rPr>
          <w:rFonts w:ascii="Cambria" w:hAnsi="Cambria" w:cstheme="minorHAnsi"/>
        </w:rPr>
        <w:tab/>
        <w:t>6.8.1.3</w:t>
      </w:r>
      <w:r w:rsidRPr="00FB63D2">
        <w:rPr>
          <w:rFonts w:ascii="Cambria" w:hAnsi="Cambria" w:cstheme="minorHAnsi"/>
        </w:rPr>
        <w:tab/>
        <w:t>sculptures, carvings, floral art and forms of three-dimensional art;  and</w:t>
      </w:r>
    </w:p>
    <w:p w14:paraId="3655A70C" w14:textId="77777777" w:rsidR="0063463C" w:rsidRPr="00FB63D2" w:rsidRDefault="0063463C" w:rsidP="0063463C">
      <w:pPr>
        <w:tabs>
          <w:tab w:val="left" w:pos="567"/>
          <w:tab w:val="left" w:pos="1418"/>
          <w:tab w:val="left" w:pos="2268"/>
          <w:tab w:val="left" w:pos="3119"/>
          <w:tab w:val="left" w:pos="3969"/>
        </w:tabs>
        <w:spacing w:after="0" w:line="240" w:lineRule="auto"/>
        <w:ind w:left="3119" w:hanging="3119"/>
        <w:rPr>
          <w:rFonts w:ascii="Cambria" w:hAnsi="Cambria" w:cstheme="minorHAnsi"/>
        </w:rPr>
      </w:pPr>
      <w:r w:rsidRPr="00FB63D2">
        <w:rPr>
          <w:rFonts w:ascii="Cambria" w:hAnsi="Cambria" w:cstheme="minorHAnsi"/>
        </w:rPr>
        <w:tab/>
      </w:r>
      <w:r w:rsidRPr="00FB63D2">
        <w:rPr>
          <w:rFonts w:ascii="Cambria" w:hAnsi="Cambria" w:cstheme="minorHAnsi"/>
        </w:rPr>
        <w:tab/>
      </w:r>
      <w:r w:rsidRPr="00FB63D2">
        <w:rPr>
          <w:rFonts w:ascii="Cambria" w:hAnsi="Cambria" w:cstheme="minorHAnsi"/>
        </w:rPr>
        <w:tab/>
        <w:t>6.8.1.4</w:t>
      </w:r>
      <w:r w:rsidRPr="00FB63D2">
        <w:rPr>
          <w:rFonts w:ascii="Cambria" w:hAnsi="Cambria" w:cstheme="minorHAnsi"/>
        </w:rPr>
        <w:tab/>
        <w:t>pictorial art, stained and coloured glass, and digital projected images;</w:t>
      </w:r>
    </w:p>
    <w:p w14:paraId="0EF64F1B" w14:textId="77777777" w:rsidR="0063463C" w:rsidRPr="00FB63D2" w:rsidRDefault="0063463C" w:rsidP="0063463C">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FB63D2">
        <w:rPr>
          <w:rFonts w:ascii="Cambria" w:hAnsi="Cambria" w:cstheme="minorHAnsi"/>
        </w:rPr>
        <w:tab/>
      </w:r>
      <w:r w:rsidRPr="00FB63D2">
        <w:rPr>
          <w:rFonts w:ascii="Cambria" w:hAnsi="Cambria" w:cstheme="minorHAnsi"/>
        </w:rPr>
        <w:tab/>
        <w:t>6.8.2</w:t>
      </w:r>
      <w:r w:rsidRPr="00FB63D2">
        <w:rPr>
          <w:rFonts w:ascii="Cambria" w:hAnsi="Cambria" w:cstheme="minorHAnsi"/>
        </w:rPr>
        <w:tab/>
        <w:t>offer encouragement and guidance to individuals and groups dedicated to the promotion of the visual arts in worship;</w:t>
      </w:r>
    </w:p>
    <w:p w14:paraId="1A4566D3" w14:textId="77777777" w:rsidR="0063463C" w:rsidRPr="00FB63D2" w:rsidRDefault="0063463C" w:rsidP="0063463C">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FB63D2">
        <w:rPr>
          <w:rFonts w:ascii="Cambria" w:hAnsi="Cambria" w:cstheme="minorHAnsi"/>
        </w:rPr>
        <w:tab/>
      </w:r>
      <w:r w:rsidRPr="00FB63D2">
        <w:rPr>
          <w:rFonts w:ascii="Cambria" w:hAnsi="Cambria" w:cstheme="minorHAnsi"/>
        </w:rPr>
        <w:tab/>
        <w:t>6.8.3</w:t>
      </w:r>
      <w:r w:rsidRPr="00FB63D2">
        <w:rPr>
          <w:rFonts w:ascii="Cambria" w:hAnsi="Cambria" w:cstheme="minorHAnsi"/>
        </w:rPr>
        <w:tab/>
        <w:t xml:space="preserve">encourage and promote artists within the Church;  and </w:t>
      </w:r>
    </w:p>
    <w:p w14:paraId="73865FFA" w14:textId="77777777" w:rsidR="0063463C" w:rsidRPr="00FB63D2" w:rsidRDefault="0063463C" w:rsidP="0063463C">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FB63D2">
        <w:rPr>
          <w:rFonts w:ascii="Cambria" w:hAnsi="Cambria" w:cstheme="minorHAnsi"/>
        </w:rPr>
        <w:tab/>
      </w:r>
      <w:r w:rsidRPr="00FB63D2">
        <w:rPr>
          <w:rFonts w:ascii="Cambria" w:hAnsi="Cambria" w:cstheme="minorHAnsi"/>
        </w:rPr>
        <w:tab/>
        <w:t>6.8.4</w:t>
      </w:r>
      <w:r w:rsidRPr="00FB63D2">
        <w:rPr>
          <w:rFonts w:ascii="Cambria" w:hAnsi="Cambria" w:cstheme="minorHAnsi"/>
        </w:rPr>
        <w:tab/>
        <w:t>maintain a register of competent artists willing to accept commissions for art works for use in worship.</w:t>
      </w:r>
    </w:p>
    <w:p w14:paraId="051CE3EC" w14:textId="77777777" w:rsidR="0063463C" w:rsidRPr="00FB63D2" w:rsidRDefault="0063463C" w:rsidP="0063463C">
      <w:pPr>
        <w:tabs>
          <w:tab w:val="left" w:pos="567"/>
          <w:tab w:val="left" w:pos="1418"/>
          <w:tab w:val="left" w:pos="2268"/>
          <w:tab w:val="left" w:pos="3119"/>
          <w:tab w:val="left" w:pos="3969"/>
        </w:tabs>
        <w:spacing w:after="0" w:line="240" w:lineRule="auto"/>
        <w:ind w:left="567" w:hanging="567"/>
        <w:rPr>
          <w:rFonts w:ascii="Cambria" w:hAnsi="Cambria" w:cstheme="minorHAnsi"/>
        </w:rPr>
      </w:pPr>
    </w:p>
    <w:p w14:paraId="40609001" w14:textId="77777777" w:rsidR="0063463C" w:rsidRPr="00FB63D2" w:rsidRDefault="0063463C" w:rsidP="0063463C">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FB63D2">
        <w:rPr>
          <w:rFonts w:ascii="Cambria" w:hAnsi="Cambria" w:cstheme="minorHAnsi"/>
          <w:b/>
        </w:rPr>
        <w:t>7.</w:t>
      </w:r>
      <w:r w:rsidRPr="00FB63D2">
        <w:rPr>
          <w:rFonts w:ascii="Cambria" w:hAnsi="Cambria" w:cstheme="minorHAnsi"/>
          <w:b/>
        </w:rPr>
        <w:tab/>
        <w:t>MEETING ARRANGEMENTS AND REPORTING</w:t>
      </w:r>
    </w:p>
    <w:p w14:paraId="538143D7" w14:textId="77777777" w:rsidR="0063463C" w:rsidRPr="00FB63D2" w:rsidRDefault="0063463C" w:rsidP="0063463C">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FB63D2">
        <w:rPr>
          <w:rFonts w:ascii="Cambria" w:hAnsi="Cambria" w:cstheme="minorHAnsi"/>
        </w:rPr>
        <w:tab/>
        <w:t>7.1</w:t>
      </w:r>
      <w:r w:rsidRPr="00FB63D2">
        <w:rPr>
          <w:rFonts w:ascii="Cambria" w:hAnsi="Cambria" w:cstheme="minorHAnsi"/>
        </w:rPr>
        <w:tab/>
        <w:t xml:space="preserve">Meetings shall be convened by the Chairperson.  </w:t>
      </w:r>
    </w:p>
    <w:p w14:paraId="211461E7" w14:textId="77777777" w:rsidR="0063463C" w:rsidRPr="00FB63D2" w:rsidRDefault="0063463C" w:rsidP="0063463C">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FB63D2">
        <w:rPr>
          <w:rFonts w:ascii="Cambria" w:hAnsi="Cambria" w:cstheme="minorHAnsi"/>
        </w:rPr>
        <w:tab/>
        <w:t>7.2</w:t>
      </w:r>
      <w:r w:rsidRPr="00FB63D2">
        <w:rPr>
          <w:rFonts w:ascii="Cambria" w:hAnsi="Cambria" w:cstheme="minorHAnsi"/>
        </w:rPr>
        <w:tab/>
        <w:t>It is at the discretion of the Commission to meet face-to-face, by electronic means, or by other means of communication.</w:t>
      </w:r>
    </w:p>
    <w:p w14:paraId="25FCA9BF" w14:textId="77777777" w:rsidR="0063463C" w:rsidRPr="00FB63D2" w:rsidRDefault="0063463C" w:rsidP="0063463C">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FB63D2">
        <w:rPr>
          <w:rFonts w:ascii="Cambria" w:hAnsi="Cambria" w:cstheme="minorHAnsi"/>
        </w:rPr>
        <w:tab/>
        <w:t>7.3</w:t>
      </w:r>
      <w:r w:rsidRPr="00FB63D2">
        <w:rPr>
          <w:rFonts w:ascii="Cambria" w:hAnsi="Cambria" w:cstheme="minorHAnsi"/>
        </w:rPr>
        <w:tab/>
        <w:t>Email correspondence may be used for the distribution of minutes, advisory information or approval of documentation.</w:t>
      </w:r>
    </w:p>
    <w:p w14:paraId="6908BB28" w14:textId="77777777" w:rsidR="0063463C" w:rsidRPr="00FB63D2" w:rsidRDefault="0063463C" w:rsidP="0063463C">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FB63D2">
        <w:rPr>
          <w:rFonts w:ascii="Cambria" w:hAnsi="Cambria" w:cstheme="minorHAnsi"/>
        </w:rPr>
        <w:tab/>
        <w:t>7.4</w:t>
      </w:r>
      <w:r w:rsidRPr="00FB63D2">
        <w:rPr>
          <w:rFonts w:ascii="Cambria" w:hAnsi="Cambria" w:cstheme="minorHAnsi"/>
        </w:rPr>
        <w:tab/>
        <w:t>The minutes of the meetings of the Commission shall be submitted to the College of Bishops.</w:t>
      </w:r>
    </w:p>
    <w:p w14:paraId="0F00E545" w14:textId="77777777" w:rsidR="0063463C" w:rsidRPr="00FB63D2" w:rsidRDefault="0063463C" w:rsidP="0063463C">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FB63D2">
        <w:rPr>
          <w:rFonts w:ascii="Cambria" w:hAnsi="Cambria" w:cstheme="minorHAnsi"/>
        </w:rPr>
        <w:tab/>
        <w:t>7.5</w:t>
      </w:r>
      <w:r w:rsidRPr="00FB63D2">
        <w:rPr>
          <w:rFonts w:ascii="Cambria" w:hAnsi="Cambria" w:cstheme="minorHAnsi"/>
        </w:rPr>
        <w:tab/>
        <w:t>An annual report of the activities of the Board and any subsidiary bodies shall be submitted to the College of Bishops.</w:t>
      </w:r>
    </w:p>
    <w:p w14:paraId="30684595" w14:textId="77777777" w:rsidR="0063463C" w:rsidRPr="00FB63D2" w:rsidRDefault="0063463C" w:rsidP="0063463C">
      <w:pPr>
        <w:tabs>
          <w:tab w:val="left" w:pos="567"/>
          <w:tab w:val="left" w:pos="1418"/>
          <w:tab w:val="left" w:pos="2268"/>
          <w:tab w:val="left" w:pos="3119"/>
          <w:tab w:val="left" w:pos="3969"/>
        </w:tabs>
        <w:spacing w:after="0" w:line="240" w:lineRule="auto"/>
        <w:ind w:left="567" w:hanging="567"/>
        <w:rPr>
          <w:rFonts w:ascii="Cambria" w:hAnsi="Cambria" w:cstheme="minorHAnsi"/>
        </w:rPr>
      </w:pPr>
    </w:p>
    <w:p w14:paraId="2B4243D7" w14:textId="77777777" w:rsidR="0063463C" w:rsidRPr="00FB63D2" w:rsidRDefault="0063463C" w:rsidP="0063463C">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FB63D2">
        <w:rPr>
          <w:rFonts w:ascii="Cambria" w:hAnsi="Cambria" w:cstheme="minorHAnsi"/>
          <w:b/>
        </w:rPr>
        <w:t>8.</w:t>
      </w:r>
      <w:r w:rsidRPr="00FB63D2">
        <w:rPr>
          <w:rFonts w:ascii="Cambria" w:hAnsi="Cambria" w:cstheme="minorHAnsi"/>
          <w:b/>
        </w:rPr>
        <w:tab/>
        <w:t>REVIEW</w:t>
      </w:r>
    </w:p>
    <w:p w14:paraId="2831595C" w14:textId="77777777" w:rsidR="0063463C" w:rsidRPr="00FB63D2" w:rsidRDefault="0063463C" w:rsidP="0063463C">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FB63D2">
        <w:rPr>
          <w:rFonts w:ascii="Cambria" w:hAnsi="Cambria" w:cstheme="minorHAnsi"/>
        </w:rPr>
        <w:tab/>
        <w:t>8.1</w:t>
      </w:r>
      <w:r w:rsidRPr="00FB63D2">
        <w:rPr>
          <w:rFonts w:ascii="Cambria" w:hAnsi="Cambria" w:cstheme="minorHAnsi"/>
        </w:rPr>
        <w:tab/>
        <w:t xml:space="preserve">The Terms of Reference for the Commission shall be reviewed during each Synodical term. </w:t>
      </w:r>
    </w:p>
    <w:p w14:paraId="083DF87D" w14:textId="3E8B73AB" w:rsidR="0063463C" w:rsidRDefault="0063463C" w:rsidP="0063463C">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FB63D2">
        <w:rPr>
          <w:rFonts w:ascii="Cambria" w:hAnsi="Cambria" w:cstheme="minorHAnsi"/>
        </w:rPr>
        <w:lastRenderedPageBreak/>
        <w:tab/>
        <w:t>8.2</w:t>
      </w:r>
      <w:r w:rsidRPr="00FB63D2">
        <w:rPr>
          <w:rFonts w:ascii="Cambria" w:hAnsi="Cambria" w:cstheme="minorHAnsi"/>
        </w:rPr>
        <w:tab/>
        <w:t>Any changes to the Terms of Reference shall be approved by the General Church Board on recommendation of the College of Bishops, upon review by the Standing Committee on Constitutions.</w:t>
      </w:r>
    </w:p>
    <w:p w14:paraId="06E13FC4" w14:textId="77777777" w:rsidR="001A7FB6" w:rsidRPr="00FB63D2" w:rsidRDefault="001A7FB6" w:rsidP="0063463C">
      <w:pPr>
        <w:tabs>
          <w:tab w:val="left" w:pos="567"/>
          <w:tab w:val="left" w:pos="1418"/>
          <w:tab w:val="left" w:pos="2268"/>
          <w:tab w:val="left" w:pos="3119"/>
          <w:tab w:val="left" w:pos="3969"/>
        </w:tabs>
        <w:spacing w:after="0" w:line="240" w:lineRule="auto"/>
        <w:ind w:left="1418" w:hanging="1418"/>
        <w:rPr>
          <w:rFonts w:ascii="Cambria" w:hAnsi="Cambria" w:cstheme="minorHAnsi"/>
        </w:rPr>
      </w:pPr>
    </w:p>
    <w:p w14:paraId="4C7293A0" w14:textId="77777777" w:rsidR="0063463C" w:rsidRPr="00FB63D2" w:rsidRDefault="0063463C" w:rsidP="0063463C">
      <w:pPr>
        <w:tabs>
          <w:tab w:val="left" w:pos="567"/>
          <w:tab w:val="left" w:pos="1418"/>
          <w:tab w:val="left" w:pos="2268"/>
          <w:tab w:val="left" w:pos="3119"/>
          <w:tab w:val="left" w:pos="3969"/>
        </w:tabs>
        <w:spacing w:after="0" w:line="240" w:lineRule="auto"/>
        <w:ind w:left="2268" w:hanging="2268"/>
        <w:rPr>
          <w:rFonts w:ascii="Cambria" w:hAnsi="Cambria" w:cstheme="minorHAnsi"/>
        </w:rPr>
      </w:pPr>
    </w:p>
    <w:p w14:paraId="4CB57A94" w14:textId="77777777" w:rsidR="0063463C" w:rsidRPr="00AE7C46" w:rsidRDefault="0063463C" w:rsidP="008D5436">
      <w:pPr>
        <w:tabs>
          <w:tab w:val="left" w:pos="567"/>
          <w:tab w:val="left" w:pos="1418"/>
          <w:tab w:val="left" w:pos="2268"/>
          <w:tab w:val="left" w:pos="3119"/>
          <w:tab w:val="left" w:pos="3969"/>
        </w:tabs>
        <w:spacing w:after="0" w:line="240" w:lineRule="auto"/>
        <w:ind w:left="1418" w:hanging="1418"/>
        <w:rPr>
          <w:rFonts w:ascii="Cambria" w:hAnsi="Cambria" w:cstheme="minorHAnsi"/>
        </w:rPr>
      </w:pPr>
    </w:p>
    <w:p w14:paraId="30B7F171" w14:textId="12977425" w:rsidR="001A7FB6" w:rsidRPr="000650B7" w:rsidRDefault="001A7FB6" w:rsidP="001A7FB6">
      <w:pPr>
        <w:pStyle w:val="Heading2"/>
      </w:pPr>
      <w:r w:rsidRPr="000650B7">
        <w:t>COMMITTEE FOR CROSS-CULTURAL MINISTRY</w:t>
      </w:r>
    </w:p>
    <w:p w14:paraId="1BB64B07" w14:textId="77777777" w:rsidR="001A7FB6" w:rsidRPr="000650B7" w:rsidRDefault="001A7FB6" w:rsidP="001A7FB6">
      <w:pPr>
        <w:tabs>
          <w:tab w:val="left" w:pos="567"/>
          <w:tab w:val="left" w:pos="1418"/>
          <w:tab w:val="left" w:pos="2268"/>
          <w:tab w:val="left" w:pos="3119"/>
          <w:tab w:val="left" w:pos="3969"/>
        </w:tabs>
        <w:spacing w:after="0" w:line="240" w:lineRule="auto"/>
        <w:ind w:left="567" w:hanging="567"/>
        <w:jc w:val="center"/>
        <w:rPr>
          <w:rFonts w:ascii="Cambria" w:hAnsi="Cambria" w:cstheme="minorHAnsi"/>
          <w:b/>
        </w:rPr>
      </w:pPr>
    </w:p>
    <w:p w14:paraId="3B691041" w14:textId="77777777" w:rsidR="001A7FB6" w:rsidRPr="001A7FB6" w:rsidRDefault="001A7FB6" w:rsidP="001A7FB6">
      <w:pPr>
        <w:pStyle w:val="Heading3"/>
      </w:pPr>
      <w:r w:rsidRPr="001A7FB6">
        <w:t>Terms of Reference</w:t>
      </w:r>
    </w:p>
    <w:p w14:paraId="48A156BE" w14:textId="77777777" w:rsidR="001A7FB6" w:rsidRPr="000650B7" w:rsidRDefault="001A7FB6" w:rsidP="001A7FB6">
      <w:pPr>
        <w:tabs>
          <w:tab w:val="left" w:pos="567"/>
          <w:tab w:val="left" w:pos="1418"/>
          <w:tab w:val="left" w:pos="2268"/>
          <w:tab w:val="left" w:pos="3119"/>
          <w:tab w:val="left" w:pos="3969"/>
        </w:tabs>
        <w:spacing w:after="0" w:line="240" w:lineRule="auto"/>
        <w:ind w:left="567" w:hanging="567"/>
        <w:jc w:val="center"/>
        <w:rPr>
          <w:rFonts w:ascii="Cambria" w:hAnsi="Cambria" w:cstheme="minorHAnsi"/>
          <w:b/>
        </w:rPr>
      </w:pPr>
    </w:p>
    <w:p w14:paraId="70899BA6" w14:textId="77777777" w:rsidR="001A7FB6" w:rsidRPr="000650B7" w:rsidRDefault="001A7FB6" w:rsidP="001A7FB6">
      <w:pPr>
        <w:tabs>
          <w:tab w:val="left" w:pos="567"/>
          <w:tab w:val="left" w:pos="1418"/>
          <w:tab w:val="left" w:pos="2268"/>
          <w:tab w:val="left" w:pos="3119"/>
          <w:tab w:val="left" w:pos="3969"/>
        </w:tabs>
        <w:spacing w:after="0" w:line="240" w:lineRule="auto"/>
        <w:ind w:left="567" w:hanging="567"/>
        <w:jc w:val="center"/>
        <w:rPr>
          <w:rFonts w:ascii="Cambria" w:hAnsi="Cambria" w:cstheme="minorHAnsi"/>
          <w:b/>
        </w:rPr>
      </w:pPr>
    </w:p>
    <w:p w14:paraId="6A252D55" w14:textId="77777777" w:rsidR="001A7FB6" w:rsidRPr="000650B7" w:rsidRDefault="001A7FB6" w:rsidP="001A7FB6">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0650B7">
        <w:rPr>
          <w:rFonts w:ascii="Cambria" w:hAnsi="Cambria" w:cstheme="minorHAnsi"/>
          <w:b/>
        </w:rPr>
        <w:t>1.</w:t>
      </w:r>
      <w:r w:rsidRPr="000650B7">
        <w:rPr>
          <w:rFonts w:ascii="Cambria" w:hAnsi="Cambria" w:cstheme="minorHAnsi"/>
          <w:b/>
        </w:rPr>
        <w:tab/>
        <w:t xml:space="preserve">NAME </w:t>
      </w:r>
    </w:p>
    <w:p w14:paraId="2F4903CD" w14:textId="77777777" w:rsidR="001A7FB6" w:rsidRPr="000650B7" w:rsidRDefault="001A7FB6" w:rsidP="001A7FB6">
      <w:pPr>
        <w:tabs>
          <w:tab w:val="left" w:pos="567"/>
          <w:tab w:val="left" w:pos="1418"/>
          <w:tab w:val="left" w:pos="2268"/>
          <w:tab w:val="left" w:pos="3119"/>
          <w:tab w:val="left" w:pos="3969"/>
        </w:tabs>
        <w:spacing w:after="0" w:line="240" w:lineRule="auto"/>
        <w:ind w:left="567" w:hanging="567"/>
        <w:rPr>
          <w:rFonts w:ascii="Cambria" w:hAnsi="Cambria" w:cstheme="minorHAnsi"/>
        </w:rPr>
      </w:pPr>
      <w:r w:rsidRPr="000650B7">
        <w:rPr>
          <w:rFonts w:ascii="Cambria" w:hAnsi="Cambria" w:cstheme="minorHAnsi"/>
        </w:rPr>
        <w:tab/>
        <w:t>Committee for Cross-cultural Ministry, referred to as “the Committee”.</w:t>
      </w:r>
    </w:p>
    <w:p w14:paraId="1F2394DC" w14:textId="77777777" w:rsidR="001A7FB6" w:rsidRPr="000650B7" w:rsidRDefault="001A7FB6" w:rsidP="001A7FB6">
      <w:pPr>
        <w:tabs>
          <w:tab w:val="left" w:pos="567"/>
          <w:tab w:val="left" w:pos="1418"/>
          <w:tab w:val="left" w:pos="2268"/>
          <w:tab w:val="left" w:pos="3119"/>
          <w:tab w:val="left" w:pos="3969"/>
        </w:tabs>
        <w:spacing w:after="0" w:line="240" w:lineRule="auto"/>
        <w:ind w:left="567" w:hanging="567"/>
        <w:rPr>
          <w:rFonts w:ascii="Cambria" w:hAnsi="Cambria" w:cstheme="minorHAnsi"/>
        </w:rPr>
      </w:pPr>
    </w:p>
    <w:p w14:paraId="3312770B" w14:textId="77777777" w:rsidR="001A7FB6" w:rsidRPr="000650B7" w:rsidRDefault="001A7FB6" w:rsidP="001A7FB6">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0650B7">
        <w:rPr>
          <w:rFonts w:ascii="Cambria" w:hAnsi="Cambria" w:cstheme="minorHAnsi"/>
          <w:b/>
        </w:rPr>
        <w:t>2.</w:t>
      </w:r>
      <w:r w:rsidRPr="000650B7">
        <w:rPr>
          <w:rFonts w:ascii="Cambria" w:hAnsi="Cambria" w:cstheme="minorHAnsi"/>
          <w:b/>
        </w:rPr>
        <w:tab/>
        <w:t>RELATIONSHIP TO THE CHURCH</w:t>
      </w:r>
    </w:p>
    <w:p w14:paraId="666DA089" w14:textId="77777777" w:rsidR="001A7FB6" w:rsidRPr="000650B7" w:rsidRDefault="001A7FB6" w:rsidP="001A7FB6">
      <w:pPr>
        <w:tabs>
          <w:tab w:val="left" w:pos="567"/>
          <w:tab w:val="left" w:pos="1418"/>
          <w:tab w:val="left" w:pos="2268"/>
          <w:tab w:val="left" w:pos="3119"/>
          <w:tab w:val="left" w:pos="3969"/>
        </w:tabs>
        <w:spacing w:after="0" w:line="240" w:lineRule="auto"/>
        <w:ind w:left="567" w:hanging="567"/>
        <w:rPr>
          <w:rFonts w:ascii="Cambria" w:hAnsi="Cambria" w:cstheme="minorHAnsi"/>
        </w:rPr>
      </w:pPr>
      <w:r w:rsidRPr="000650B7">
        <w:rPr>
          <w:rFonts w:ascii="Cambria" w:hAnsi="Cambria" w:cstheme="minorHAnsi"/>
        </w:rPr>
        <w:tab/>
        <w:t>The Committee is a committee of the Council for Local Mission, referred to as “the Council”,</w:t>
      </w:r>
      <w:r w:rsidRPr="000650B7">
        <w:rPr>
          <w:rFonts w:ascii="Cambria" w:hAnsi="Cambria"/>
        </w:rPr>
        <w:t xml:space="preserve"> </w:t>
      </w:r>
      <w:r w:rsidRPr="000650B7">
        <w:rPr>
          <w:rFonts w:ascii="Cambria" w:hAnsi="Cambria" w:cstheme="minorHAnsi"/>
        </w:rPr>
        <w:t>and shall fulfil its responsibilities in keeping with the Constitution and the policies of the Church.</w:t>
      </w:r>
    </w:p>
    <w:p w14:paraId="16B482CF" w14:textId="77777777" w:rsidR="001A7FB6" w:rsidRPr="000650B7" w:rsidRDefault="001A7FB6" w:rsidP="001A7FB6">
      <w:pPr>
        <w:tabs>
          <w:tab w:val="left" w:pos="567"/>
          <w:tab w:val="left" w:pos="1418"/>
          <w:tab w:val="left" w:pos="2268"/>
          <w:tab w:val="left" w:pos="3119"/>
          <w:tab w:val="left" w:pos="3969"/>
        </w:tabs>
        <w:spacing w:after="0" w:line="240" w:lineRule="auto"/>
        <w:ind w:left="567" w:hanging="567"/>
        <w:rPr>
          <w:rFonts w:ascii="Cambria" w:hAnsi="Cambria" w:cstheme="minorHAnsi"/>
        </w:rPr>
      </w:pPr>
    </w:p>
    <w:p w14:paraId="260B0D47" w14:textId="77777777" w:rsidR="001A7FB6" w:rsidRPr="000650B7" w:rsidRDefault="001A7FB6" w:rsidP="001A7FB6">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0650B7">
        <w:rPr>
          <w:rFonts w:ascii="Cambria" w:hAnsi="Cambria" w:cstheme="minorHAnsi"/>
          <w:b/>
        </w:rPr>
        <w:t>3.</w:t>
      </w:r>
      <w:r w:rsidRPr="000650B7">
        <w:rPr>
          <w:rFonts w:ascii="Cambria" w:hAnsi="Cambria" w:cstheme="minorHAnsi"/>
          <w:b/>
        </w:rPr>
        <w:tab/>
        <w:t xml:space="preserve">PURPOSE </w:t>
      </w:r>
    </w:p>
    <w:p w14:paraId="11091A9D" w14:textId="77777777" w:rsidR="001A7FB6" w:rsidRPr="000650B7" w:rsidRDefault="001A7FB6" w:rsidP="001A7FB6">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0650B7">
        <w:rPr>
          <w:rFonts w:ascii="Cambria" w:hAnsi="Cambria" w:cstheme="minorHAnsi"/>
        </w:rPr>
        <w:tab/>
        <w:t>3.1</w:t>
      </w:r>
      <w:r w:rsidRPr="000650B7">
        <w:rPr>
          <w:rFonts w:ascii="Cambria" w:hAnsi="Cambria" w:cstheme="minorHAnsi"/>
        </w:rPr>
        <w:tab/>
        <w:t>The Committee shall assist the Council to strengthen, support and maintain cross-cultural communities within the Church and to support their ministries.</w:t>
      </w:r>
    </w:p>
    <w:p w14:paraId="254EA6E5" w14:textId="77777777" w:rsidR="001A7FB6" w:rsidRPr="000650B7" w:rsidRDefault="001A7FB6" w:rsidP="001A7FB6">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0650B7">
        <w:rPr>
          <w:rFonts w:ascii="Cambria" w:hAnsi="Cambria" w:cstheme="minorHAnsi"/>
        </w:rPr>
        <w:tab/>
        <w:t>3.2</w:t>
      </w:r>
      <w:r w:rsidRPr="000650B7">
        <w:rPr>
          <w:rFonts w:ascii="Cambria" w:hAnsi="Cambria" w:cstheme="minorHAnsi"/>
        </w:rPr>
        <w:tab/>
        <w:t>The Committee shall operate under the authority of the Council and shall</w:t>
      </w:r>
    </w:p>
    <w:p w14:paraId="556558F6" w14:textId="77777777" w:rsidR="001A7FB6" w:rsidRPr="000650B7" w:rsidRDefault="001A7FB6" w:rsidP="001A7FB6">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0650B7">
        <w:rPr>
          <w:rFonts w:ascii="Cambria" w:hAnsi="Cambria" w:cstheme="minorHAnsi"/>
        </w:rPr>
        <w:tab/>
      </w:r>
      <w:r w:rsidRPr="000650B7">
        <w:rPr>
          <w:rFonts w:ascii="Cambria" w:hAnsi="Cambria" w:cstheme="minorHAnsi"/>
        </w:rPr>
        <w:tab/>
        <w:t>3.2.1</w:t>
      </w:r>
      <w:r w:rsidRPr="000650B7">
        <w:rPr>
          <w:rFonts w:ascii="Cambria" w:hAnsi="Cambria" w:cstheme="minorHAnsi"/>
        </w:rPr>
        <w:tab/>
        <w:t xml:space="preserve">work with and support the Manager, Cross-cultural Ministry and the Department in its advocacy for cross-cultural ministry; </w:t>
      </w:r>
    </w:p>
    <w:p w14:paraId="2C12B0EE" w14:textId="77777777" w:rsidR="001A7FB6" w:rsidRPr="000650B7" w:rsidRDefault="001A7FB6" w:rsidP="001A7FB6">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0650B7">
        <w:rPr>
          <w:rFonts w:ascii="Cambria" w:hAnsi="Cambria" w:cstheme="minorHAnsi"/>
        </w:rPr>
        <w:tab/>
      </w:r>
      <w:r w:rsidRPr="000650B7">
        <w:rPr>
          <w:rFonts w:ascii="Cambria" w:hAnsi="Cambria" w:cstheme="minorHAnsi"/>
        </w:rPr>
        <w:tab/>
        <w:t>3.2.2</w:t>
      </w:r>
      <w:r w:rsidRPr="000650B7">
        <w:rPr>
          <w:rFonts w:ascii="Cambria" w:hAnsi="Cambria" w:cstheme="minorHAnsi"/>
        </w:rPr>
        <w:tab/>
        <w:t>provide the Council with specific information and advice; and</w:t>
      </w:r>
    </w:p>
    <w:p w14:paraId="641A72F3" w14:textId="77777777" w:rsidR="001A7FB6" w:rsidRPr="000650B7" w:rsidRDefault="001A7FB6" w:rsidP="001A7FB6">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0650B7">
        <w:rPr>
          <w:rFonts w:ascii="Cambria" w:hAnsi="Cambria" w:cstheme="minorHAnsi"/>
        </w:rPr>
        <w:tab/>
      </w:r>
      <w:r w:rsidRPr="000650B7">
        <w:rPr>
          <w:rFonts w:ascii="Cambria" w:hAnsi="Cambria" w:cstheme="minorHAnsi"/>
        </w:rPr>
        <w:tab/>
        <w:t>3.2.3</w:t>
      </w:r>
      <w:r w:rsidRPr="000650B7">
        <w:rPr>
          <w:rFonts w:ascii="Cambria" w:hAnsi="Cambria" w:cstheme="minorHAnsi"/>
        </w:rPr>
        <w:tab/>
        <w:t>identify communities with the potential for establishing and growing culturally sensitive ministries.</w:t>
      </w:r>
    </w:p>
    <w:p w14:paraId="65B8C1F8" w14:textId="77777777" w:rsidR="001A7FB6" w:rsidRPr="000650B7" w:rsidRDefault="001A7FB6" w:rsidP="001A7FB6">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0650B7">
        <w:rPr>
          <w:rFonts w:ascii="Cambria" w:hAnsi="Cambria" w:cstheme="minorHAnsi"/>
        </w:rPr>
        <w:tab/>
        <w:t>3.3</w:t>
      </w:r>
      <w:r w:rsidRPr="000650B7">
        <w:rPr>
          <w:rFonts w:ascii="Cambria" w:hAnsi="Cambria" w:cstheme="minorHAnsi"/>
        </w:rPr>
        <w:tab/>
        <w:t>The work of the Committee to fulfil the mission of the Church in the world.</w:t>
      </w:r>
    </w:p>
    <w:p w14:paraId="7BF6444C" w14:textId="77777777" w:rsidR="001A7FB6" w:rsidRPr="000650B7" w:rsidRDefault="001A7FB6" w:rsidP="001A7FB6">
      <w:pPr>
        <w:tabs>
          <w:tab w:val="left" w:pos="567"/>
          <w:tab w:val="left" w:pos="1418"/>
          <w:tab w:val="left" w:pos="2268"/>
          <w:tab w:val="left" w:pos="3119"/>
          <w:tab w:val="left" w:pos="3969"/>
        </w:tabs>
        <w:spacing w:after="0" w:line="240" w:lineRule="auto"/>
        <w:ind w:left="567" w:hanging="567"/>
        <w:rPr>
          <w:rFonts w:ascii="Cambria" w:hAnsi="Cambria" w:cstheme="minorHAnsi"/>
        </w:rPr>
      </w:pPr>
    </w:p>
    <w:p w14:paraId="31A70575" w14:textId="77777777" w:rsidR="001A7FB6" w:rsidRPr="000650B7" w:rsidRDefault="001A7FB6" w:rsidP="001A7FB6">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0650B7">
        <w:rPr>
          <w:rFonts w:ascii="Cambria" w:hAnsi="Cambria" w:cstheme="minorHAnsi"/>
          <w:b/>
        </w:rPr>
        <w:t>4.</w:t>
      </w:r>
      <w:r w:rsidRPr="000650B7">
        <w:rPr>
          <w:rFonts w:ascii="Cambria" w:hAnsi="Cambria" w:cstheme="minorHAnsi"/>
          <w:b/>
        </w:rPr>
        <w:tab/>
        <w:t>AUTHORITY</w:t>
      </w:r>
    </w:p>
    <w:p w14:paraId="6F891811" w14:textId="77777777" w:rsidR="001A7FB6" w:rsidRPr="000650B7" w:rsidRDefault="001A7FB6" w:rsidP="001A7FB6">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0650B7">
        <w:rPr>
          <w:rFonts w:ascii="Cambria" w:hAnsi="Cambria" w:cstheme="minorHAnsi"/>
        </w:rPr>
        <w:tab/>
        <w:t>4.1</w:t>
      </w:r>
      <w:r w:rsidRPr="000650B7">
        <w:rPr>
          <w:rFonts w:ascii="Cambria" w:hAnsi="Cambria" w:cstheme="minorHAnsi"/>
        </w:rPr>
        <w:tab/>
        <w:t>The Committee may recommend to the Council such approaches and actions based on its considered assessment of opportunity, priority and need.</w:t>
      </w:r>
    </w:p>
    <w:p w14:paraId="796D37B6" w14:textId="77777777" w:rsidR="001A7FB6" w:rsidRPr="000650B7" w:rsidRDefault="001A7FB6" w:rsidP="001A7FB6">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0650B7">
        <w:rPr>
          <w:rFonts w:ascii="Cambria" w:hAnsi="Cambria" w:cstheme="minorHAnsi"/>
        </w:rPr>
        <w:tab/>
        <w:t>4.2</w:t>
      </w:r>
      <w:r w:rsidRPr="000650B7">
        <w:rPr>
          <w:rFonts w:ascii="Cambria" w:hAnsi="Cambria" w:cstheme="minorHAnsi"/>
        </w:rPr>
        <w:tab/>
        <w:t>The Council may delegate specific decision-making authority to the Committee under a written delegations policy.</w:t>
      </w:r>
    </w:p>
    <w:p w14:paraId="6DFF44EA" w14:textId="77777777" w:rsidR="001A7FB6" w:rsidRPr="000650B7" w:rsidRDefault="001A7FB6" w:rsidP="001A7FB6">
      <w:pPr>
        <w:tabs>
          <w:tab w:val="left" w:pos="567"/>
          <w:tab w:val="left" w:pos="1418"/>
          <w:tab w:val="left" w:pos="2268"/>
          <w:tab w:val="left" w:pos="3119"/>
          <w:tab w:val="left" w:pos="3969"/>
        </w:tabs>
        <w:spacing w:after="0" w:line="240" w:lineRule="auto"/>
        <w:ind w:left="567" w:hanging="567"/>
        <w:rPr>
          <w:rFonts w:ascii="Cambria" w:hAnsi="Cambria" w:cstheme="minorHAnsi"/>
        </w:rPr>
      </w:pPr>
    </w:p>
    <w:p w14:paraId="7503B253" w14:textId="77777777" w:rsidR="001A7FB6" w:rsidRPr="000650B7" w:rsidRDefault="001A7FB6" w:rsidP="001A7FB6">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0650B7">
        <w:rPr>
          <w:rFonts w:ascii="Cambria" w:hAnsi="Cambria" w:cstheme="minorHAnsi"/>
          <w:b/>
        </w:rPr>
        <w:t>5.</w:t>
      </w:r>
      <w:r w:rsidRPr="000650B7">
        <w:rPr>
          <w:rFonts w:ascii="Cambria" w:hAnsi="Cambria" w:cstheme="minorHAnsi"/>
          <w:b/>
        </w:rPr>
        <w:tab/>
        <w:t>MEMBERSHIP</w:t>
      </w:r>
    </w:p>
    <w:p w14:paraId="29DD1AF5" w14:textId="77777777" w:rsidR="001A7FB6" w:rsidRPr="000650B7" w:rsidRDefault="001A7FB6" w:rsidP="001A7FB6">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0650B7">
        <w:rPr>
          <w:rFonts w:ascii="Cambria" w:hAnsi="Cambria" w:cstheme="minorHAnsi"/>
        </w:rPr>
        <w:tab/>
        <w:t>5.1</w:t>
      </w:r>
      <w:r w:rsidRPr="000650B7">
        <w:rPr>
          <w:rFonts w:ascii="Cambria" w:hAnsi="Cambria" w:cstheme="minorHAnsi"/>
        </w:rPr>
        <w:tab/>
        <w:t xml:space="preserve">The Committee shall consist of seven [7] members: </w:t>
      </w:r>
    </w:p>
    <w:p w14:paraId="225FE5C6" w14:textId="77777777" w:rsidR="001A7FB6" w:rsidRPr="000650B7" w:rsidRDefault="001A7FB6" w:rsidP="001A7FB6">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0650B7">
        <w:rPr>
          <w:rFonts w:ascii="Cambria" w:hAnsi="Cambria" w:cstheme="minorHAnsi"/>
        </w:rPr>
        <w:tab/>
      </w:r>
      <w:r w:rsidRPr="000650B7">
        <w:rPr>
          <w:rFonts w:ascii="Cambria" w:hAnsi="Cambria" w:cstheme="minorHAnsi"/>
        </w:rPr>
        <w:tab/>
        <w:t>5.1.1</w:t>
      </w:r>
      <w:r w:rsidRPr="000650B7">
        <w:rPr>
          <w:rFonts w:ascii="Cambria" w:hAnsi="Cambria" w:cstheme="minorHAnsi"/>
        </w:rPr>
        <w:tab/>
        <w:t>a chairperson appointed by the Council who possesses experience and qualities appropriate to the task;</w:t>
      </w:r>
    </w:p>
    <w:p w14:paraId="53FE9C51" w14:textId="77777777" w:rsidR="001A7FB6" w:rsidRPr="000650B7" w:rsidRDefault="001A7FB6" w:rsidP="001A7FB6">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0650B7">
        <w:rPr>
          <w:rFonts w:ascii="Cambria" w:hAnsi="Cambria" w:cstheme="minorHAnsi"/>
        </w:rPr>
        <w:tab/>
      </w:r>
      <w:r w:rsidRPr="000650B7">
        <w:rPr>
          <w:rFonts w:ascii="Cambria" w:hAnsi="Cambria" w:cstheme="minorHAnsi"/>
        </w:rPr>
        <w:tab/>
        <w:t>5.1.2</w:t>
      </w:r>
      <w:r w:rsidRPr="000650B7">
        <w:rPr>
          <w:rFonts w:ascii="Cambria" w:hAnsi="Cambria" w:cstheme="minorHAnsi"/>
        </w:rPr>
        <w:tab/>
        <w:t>one [1] pastor currently serving in a cross-cultural setting;</w:t>
      </w:r>
    </w:p>
    <w:p w14:paraId="69BFC2E3" w14:textId="77777777" w:rsidR="001A7FB6" w:rsidRPr="000650B7" w:rsidRDefault="001A7FB6" w:rsidP="001A7FB6">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0650B7">
        <w:rPr>
          <w:rFonts w:ascii="Cambria" w:hAnsi="Cambria" w:cstheme="minorHAnsi"/>
        </w:rPr>
        <w:tab/>
      </w:r>
      <w:r w:rsidRPr="000650B7">
        <w:rPr>
          <w:rFonts w:ascii="Cambria" w:hAnsi="Cambria" w:cstheme="minorHAnsi"/>
        </w:rPr>
        <w:tab/>
        <w:t>5.1.3</w:t>
      </w:r>
      <w:r w:rsidRPr="000650B7">
        <w:rPr>
          <w:rFonts w:ascii="Cambria" w:hAnsi="Cambria" w:cstheme="minorHAnsi"/>
        </w:rPr>
        <w:tab/>
        <w:t>one [1] member who is familiar with the current African ministry;</w:t>
      </w:r>
    </w:p>
    <w:p w14:paraId="7CA47B24" w14:textId="77777777" w:rsidR="001A7FB6" w:rsidRPr="000650B7" w:rsidRDefault="001A7FB6" w:rsidP="001A7FB6">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0650B7">
        <w:rPr>
          <w:rFonts w:ascii="Cambria" w:hAnsi="Cambria" w:cstheme="minorHAnsi"/>
        </w:rPr>
        <w:tab/>
      </w:r>
      <w:r w:rsidRPr="000650B7">
        <w:rPr>
          <w:rFonts w:ascii="Cambria" w:hAnsi="Cambria" w:cstheme="minorHAnsi"/>
        </w:rPr>
        <w:tab/>
        <w:t>5.1.4</w:t>
      </w:r>
      <w:r w:rsidRPr="000650B7">
        <w:rPr>
          <w:rFonts w:ascii="Cambria" w:hAnsi="Cambria" w:cstheme="minorHAnsi"/>
        </w:rPr>
        <w:tab/>
        <w:t>one [1] member who is familiar with the current Asian ministry;</w:t>
      </w:r>
    </w:p>
    <w:p w14:paraId="4D151DDF" w14:textId="77777777" w:rsidR="001A7FB6" w:rsidRPr="000650B7" w:rsidRDefault="001A7FB6" w:rsidP="001A7FB6">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0650B7">
        <w:rPr>
          <w:rFonts w:ascii="Cambria" w:hAnsi="Cambria" w:cstheme="minorHAnsi"/>
        </w:rPr>
        <w:tab/>
      </w:r>
      <w:r w:rsidRPr="000650B7">
        <w:rPr>
          <w:rFonts w:ascii="Cambria" w:hAnsi="Cambria" w:cstheme="minorHAnsi"/>
        </w:rPr>
        <w:tab/>
        <w:t>5.1.5</w:t>
      </w:r>
      <w:r w:rsidRPr="000650B7">
        <w:rPr>
          <w:rFonts w:ascii="Cambria" w:hAnsi="Cambria" w:cstheme="minorHAnsi"/>
        </w:rPr>
        <w:tab/>
        <w:t>two [2] members who have experience in and a passion for cross-cultural ministry;  and</w:t>
      </w:r>
    </w:p>
    <w:p w14:paraId="3E27CF5A" w14:textId="77777777" w:rsidR="001A7FB6" w:rsidRPr="000650B7" w:rsidRDefault="001A7FB6" w:rsidP="001A7FB6">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0650B7">
        <w:rPr>
          <w:rFonts w:ascii="Cambria" w:hAnsi="Cambria" w:cstheme="minorHAnsi"/>
        </w:rPr>
        <w:tab/>
      </w:r>
      <w:r w:rsidRPr="000650B7">
        <w:rPr>
          <w:rFonts w:ascii="Cambria" w:hAnsi="Cambria" w:cstheme="minorHAnsi"/>
        </w:rPr>
        <w:tab/>
        <w:t>5.1.6</w:t>
      </w:r>
      <w:r w:rsidRPr="000650B7">
        <w:rPr>
          <w:rFonts w:ascii="Cambria" w:hAnsi="Cambria" w:cstheme="minorHAnsi"/>
        </w:rPr>
        <w:tab/>
        <w:t>one [1] member with experience in strategic planning or organisational  management.</w:t>
      </w:r>
    </w:p>
    <w:p w14:paraId="184A7349" w14:textId="77777777" w:rsidR="001A7FB6" w:rsidRPr="000650B7" w:rsidRDefault="001A7FB6" w:rsidP="001A7FB6">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0650B7">
        <w:rPr>
          <w:rFonts w:ascii="Cambria" w:hAnsi="Cambria" w:cstheme="minorHAnsi"/>
        </w:rPr>
        <w:tab/>
        <w:t>5.2</w:t>
      </w:r>
      <w:r w:rsidRPr="000650B7">
        <w:rPr>
          <w:rFonts w:ascii="Cambria" w:hAnsi="Cambria" w:cstheme="minorHAnsi"/>
        </w:rPr>
        <w:tab/>
        <w:t xml:space="preserve">The members of the Committee shall be appointed by the Council, based on recommendations from the Standing Committee on Nominations.  </w:t>
      </w:r>
    </w:p>
    <w:p w14:paraId="7B3564D9" w14:textId="77777777" w:rsidR="001A7FB6" w:rsidRPr="000650B7" w:rsidRDefault="001A7FB6" w:rsidP="001A7FB6">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0650B7">
        <w:rPr>
          <w:rFonts w:ascii="Cambria" w:hAnsi="Cambria" w:cstheme="minorHAnsi"/>
        </w:rPr>
        <w:tab/>
        <w:t>5.3</w:t>
      </w:r>
      <w:r w:rsidRPr="000650B7">
        <w:rPr>
          <w:rFonts w:ascii="Cambria" w:hAnsi="Cambria" w:cstheme="minorHAnsi"/>
        </w:rPr>
        <w:tab/>
        <w:t>The Committee shall consist of people with a passion for ministry and mission.</w:t>
      </w:r>
    </w:p>
    <w:p w14:paraId="4A6AD4EA" w14:textId="77777777" w:rsidR="001A7FB6" w:rsidRPr="000650B7" w:rsidRDefault="001A7FB6" w:rsidP="001A7FB6">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0650B7">
        <w:rPr>
          <w:rFonts w:ascii="Cambria" w:hAnsi="Cambria" w:cstheme="minorHAnsi"/>
        </w:rPr>
        <w:tab/>
        <w:t>5.4</w:t>
      </w:r>
      <w:r w:rsidRPr="000650B7">
        <w:rPr>
          <w:rFonts w:ascii="Cambria" w:hAnsi="Cambria" w:cstheme="minorHAnsi"/>
        </w:rPr>
        <w:tab/>
        <w:t>The membership shall include a mix of current areas of cross-cultural ministry in the Church and be located within reasonable travelling distance of at least one of these areas.</w:t>
      </w:r>
    </w:p>
    <w:p w14:paraId="7F76E70D" w14:textId="77777777" w:rsidR="001A7FB6" w:rsidRPr="000650B7" w:rsidRDefault="001A7FB6" w:rsidP="001A7FB6">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0650B7">
        <w:rPr>
          <w:rFonts w:ascii="Cambria" w:hAnsi="Cambria" w:cstheme="minorHAnsi"/>
        </w:rPr>
        <w:tab/>
        <w:t>5.5</w:t>
      </w:r>
      <w:r w:rsidRPr="000650B7">
        <w:rPr>
          <w:rFonts w:ascii="Cambria" w:hAnsi="Cambria" w:cstheme="minorHAnsi"/>
        </w:rPr>
        <w:tab/>
        <w:t>The term of appointment for all members will be for a Synodical term.</w:t>
      </w:r>
    </w:p>
    <w:p w14:paraId="0F8AD9F5" w14:textId="77777777" w:rsidR="001A7FB6" w:rsidRPr="000650B7" w:rsidRDefault="001A7FB6" w:rsidP="001A7FB6">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0650B7">
        <w:rPr>
          <w:rFonts w:ascii="Cambria" w:hAnsi="Cambria" w:cstheme="minorHAnsi"/>
        </w:rPr>
        <w:lastRenderedPageBreak/>
        <w:tab/>
        <w:t>5.6</w:t>
      </w:r>
      <w:r w:rsidRPr="000650B7">
        <w:rPr>
          <w:rFonts w:ascii="Cambria" w:hAnsi="Cambria" w:cstheme="minorHAnsi"/>
        </w:rPr>
        <w:tab/>
        <w:t xml:space="preserve">The Executive Officer - Local Mission (EO-LM) and the Manager, Cross-cultural Ministry shall attend meetings of the Committee. </w:t>
      </w:r>
    </w:p>
    <w:p w14:paraId="5CD845C6" w14:textId="77777777" w:rsidR="001A7FB6" w:rsidRPr="000650B7" w:rsidRDefault="001A7FB6" w:rsidP="001A7FB6">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0650B7">
        <w:rPr>
          <w:rFonts w:ascii="Cambria" w:hAnsi="Cambria" w:cstheme="minorHAnsi"/>
        </w:rPr>
        <w:tab/>
        <w:t>5.7</w:t>
      </w:r>
      <w:r w:rsidRPr="000650B7">
        <w:rPr>
          <w:rFonts w:ascii="Cambria" w:hAnsi="Cambria" w:cstheme="minorHAnsi"/>
        </w:rPr>
        <w:tab/>
        <w:t>The Council chairperson may attend meetings of the Committee in an ex officio capacity.</w:t>
      </w:r>
    </w:p>
    <w:p w14:paraId="6FF9987D" w14:textId="77777777" w:rsidR="001A7FB6" w:rsidRPr="000650B7" w:rsidRDefault="001A7FB6" w:rsidP="001A7FB6">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0650B7">
        <w:rPr>
          <w:rFonts w:ascii="Cambria" w:hAnsi="Cambria" w:cstheme="minorHAnsi"/>
        </w:rPr>
        <w:tab/>
        <w:t>5.8</w:t>
      </w:r>
      <w:r w:rsidRPr="000650B7">
        <w:rPr>
          <w:rFonts w:ascii="Cambria" w:hAnsi="Cambria" w:cstheme="minorHAnsi"/>
        </w:rPr>
        <w:tab/>
        <w:t>Up to two [2] consultants may be appointed by the Council to contribute specialised knowledge that is not available among the membership when addressing specific issues.</w:t>
      </w:r>
    </w:p>
    <w:p w14:paraId="555BF243" w14:textId="77777777" w:rsidR="001A7FB6" w:rsidRPr="000650B7" w:rsidRDefault="001A7FB6" w:rsidP="001A7FB6">
      <w:pPr>
        <w:tabs>
          <w:tab w:val="left" w:pos="567"/>
          <w:tab w:val="left" w:pos="1418"/>
          <w:tab w:val="left" w:pos="2268"/>
          <w:tab w:val="left" w:pos="3119"/>
          <w:tab w:val="left" w:pos="3969"/>
        </w:tabs>
        <w:spacing w:after="0" w:line="240" w:lineRule="auto"/>
        <w:ind w:left="567" w:hanging="567"/>
        <w:rPr>
          <w:rFonts w:ascii="Cambria" w:hAnsi="Cambria" w:cstheme="minorHAnsi"/>
        </w:rPr>
      </w:pPr>
      <w:r w:rsidRPr="000650B7">
        <w:rPr>
          <w:rFonts w:ascii="Cambria" w:hAnsi="Cambria" w:cstheme="minorHAnsi"/>
        </w:rPr>
        <w:tab/>
      </w:r>
    </w:p>
    <w:p w14:paraId="4369E21C" w14:textId="77777777" w:rsidR="001A7FB6" w:rsidRPr="000650B7" w:rsidRDefault="001A7FB6" w:rsidP="001A7FB6">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0650B7">
        <w:rPr>
          <w:rFonts w:ascii="Cambria" w:hAnsi="Cambria" w:cstheme="minorHAnsi"/>
          <w:b/>
        </w:rPr>
        <w:t>6.</w:t>
      </w:r>
      <w:r w:rsidRPr="000650B7">
        <w:rPr>
          <w:rFonts w:ascii="Cambria" w:hAnsi="Cambria" w:cstheme="minorHAnsi"/>
          <w:b/>
        </w:rPr>
        <w:tab/>
        <w:t>MEETING ARRANGEMENTS AND REPORTING</w:t>
      </w:r>
    </w:p>
    <w:p w14:paraId="501429FB" w14:textId="77777777" w:rsidR="001A7FB6" w:rsidRPr="000650B7" w:rsidRDefault="001A7FB6" w:rsidP="001A7FB6">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0650B7">
        <w:rPr>
          <w:rFonts w:ascii="Cambria" w:hAnsi="Cambria" w:cstheme="minorHAnsi"/>
        </w:rPr>
        <w:tab/>
        <w:t>6.1</w:t>
      </w:r>
      <w:r w:rsidRPr="000650B7">
        <w:rPr>
          <w:rFonts w:ascii="Cambria" w:hAnsi="Cambria" w:cstheme="minorHAnsi"/>
        </w:rPr>
        <w:tab/>
        <w:t xml:space="preserve">Meetings shall be convened by the Chairperson.  </w:t>
      </w:r>
    </w:p>
    <w:p w14:paraId="309B6BE9" w14:textId="77777777" w:rsidR="001A7FB6" w:rsidRPr="000650B7" w:rsidRDefault="001A7FB6" w:rsidP="001A7FB6">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0650B7">
        <w:rPr>
          <w:rFonts w:ascii="Cambria" w:hAnsi="Cambria" w:cstheme="minorHAnsi"/>
        </w:rPr>
        <w:tab/>
        <w:t>6.2</w:t>
      </w:r>
      <w:r w:rsidRPr="000650B7">
        <w:rPr>
          <w:rFonts w:ascii="Cambria" w:hAnsi="Cambria" w:cstheme="minorHAnsi"/>
        </w:rPr>
        <w:tab/>
        <w:t>It is at the discretion of the Committee to meet face-to-face, by electronic means, or by other means of communication.</w:t>
      </w:r>
    </w:p>
    <w:p w14:paraId="5587886F" w14:textId="77777777" w:rsidR="001A7FB6" w:rsidRPr="000650B7" w:rsidRDefault="001A7FB6" w:rsidP="001A7FB6">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0650B7">
        <w:rPr>
          <w:rFonts w:ascii="Cambria" w:hAnsi="Cambria" w:cstheme="minorHAnsi"/>
        </w:rPr>
        <w:tab/>
        <w:t>6.3</w:t>
      </w:r>
      <w:r w:rsidRPr="000650B7">
        <w:rPr>
          <w:rFonts w:ascii="Cambria" w:hAnsi="Cambria" w:cstheme="minorHAnsi"/>
        </w:rPr>
        <w:tab/>
        <w:t>Email correspondence may be used for the distribution of minutes, advisory information or approval of documentation.</w:t>
      </w:r>
    </w:p>
    <w:p w14:paraId="4B89EC68" w14:textId="77777777" w:rsidR="001A7FB6" w:rsidRPr="000650B7" w:rsidRDefault="001A7FB6" w:rsidP="001A7FB6">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0650B7">
        <w:rPr>
          <w:rFonts w:ascii="Cambria" w:hAnsi="Cambria" w:cstheme="minorHAnsi"/>
        </w:rPr>
        <w:tab/>
        <w:t>6.4</w:t>
      </w:r>
      <w:r w:rsidRPr="000650B7">
        <w:rPr>
          <w:rFonts w:ascii="Cambria" w:hAnsi="Cambria" w:cstheme="minorHAnsi"/>
        </w:rPr>
        <w:tab/>
        <w:t>The minutes of the meetings of the Committee shall be submitted to the Council.</w:t>
      </w:r>
    </w:p>
    <w:p w14:paraId="053F22B5" w14:textId="77777777" w:rsidR="001A7FB6" w:rsidRPr="000650B7" w:rsidRDefault="001A7FB6" w:rsidP="001A7FB6">
      <w:pPr>
        <w:tabs>
          <w:tab w:val="left" w:pos="567"/>
          <w:tab w:val="left" w:pos="1418"/>
          <w:tab w:val="left" w:pos="2268"/>
          <w:tab w:val="left" w:pos="3119"/>
          <w:tab w:val="left" w:pos="3969"/>
        </w:tabs>
        <w:spacing w:after="0" w:line="240" w:lineRule="auto"/>
        <w:ind w:left="567" w:hanging="567"/>
        <w:rPr>
          <w:rFonts w:ascii="Cambria" w:hAnsi="Cambria" w:cstheme="minorHAnsi"/>
        </w:rPr>
      </w:pPr>
    </w:p>
    <w:p w14:paraId="622333D2" w14:textId="77777777" w:rsidR="001A7FB6" w:rsidRPr="000650B7" w:rsidRDefault="001A7FB6" w:rsidP="001A7FB6">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0650B7">
        <w:rPr>
          <w:rFonts w:ascii="Cambria" w:hAnsi="Cambria" w:cstheme="minorHAnsi"/>
          <w:b/>
        </w:rPr>
        <w:t>7.</w:t>
      </w:r>
      <w:r w:rsidRPr="000650B7">
        <w:rPr>
          <w:rFonts w:ascii="Cambria" w:hAnsi="Cambria" w:cstheme="minorHAnsi"/>
          <w:b/>
        </w:rPr>
        <w:tab/>
        <w:t>RESPONSIBILITIES</w:t>
      </w:r>
    </w:p>
    <w:p w14:paraId="7B87F6B9" w14:textId="77777777" w:rsidR="001A7FB6" w:rsidRPr="000650B7" w:rsidRDefault="001A7FB6" w:rsidP="001A7FB6">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0650B7">
        <w:rPr>
          <w:rFonts w:ascii="Cambria" w:hAnsi="Cambria" w:cstheme="minorHAnsi"/>
        </w:rPr>
        <w:tab/>
        <w:t>7.1</w:t>
      </w:r>
      <w:r w:rsidRPr="000650B7">
        <w:rPr>
          <w:rFonts w:ascii="Cambria" w:hAnsi="Cambria" w:cstheme="minorHAnsi"/>
        </w:rPr>
        <w:tab/>
        <w:t>The Committee shall focus on cross-cultural ministry-related issues relevant to the Church which includes ensuring that cross-cultural ministries of the Church are established, strengthened and grown in culturally-sensitive ways, and within the financial and personnel resources available.</w:t>
      </w:r>
    </w:p>
    <w:p w14:paraId="2A110594" w14:textId="77777777" w:rsidR="001A7FB6" w:rsidRPr="000650B7" w:rsidRDefault="001A7FB6" w:rsidP="001A7FB6">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0650B7">
        <w:rPr>
          <w:rFonts w:ascii="Cambria" w:hAnsi="Cambria" w:cstheme="minorHAnsi"/>
        </w:rPr>
        <w:tab/>
        <w:t>7.2</w:t>
      </w:r>
      <w:r w:rsidRPr="000650B7">
        <w:rPr>
          <w:rFonts w:ascii="Cambria" w:hAnsi="Cambria" w:cstheme="minorHAnsi"/>
        </w:rPr>
        <w:tab/>
        <w:t>The Committee shall work with the Manager, Cross-cultural Ministry and the EO-LM to</w:t>
      </w:r>
    </w:p>
    <w:p w14:paraId="6A0FC7AB" w14:textId="77777777" w:rsidR="001A7FB6" w:rsidRPr="000650B7" w:rsidRDefault="001A7FB6" w:rsidP="001A7FB6">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0650B7">
        <w:rPr>
          <w:rFonts w:ascii="Cambria" w:hAnsi="Cambria" w:cstheme="minorHAnsi"/>
        </w:rPr>
        <w:tab/>
      </w:r>
      <w:r w:rsidRPr="000650B7">
        <w:rPr>
          <w:rFonts w:ascii="Cambria" w:hAnsi="Cambria" w:cstheme="minorHAnsi"/>
        </w:rPr>
        <w:tab/>
        <w:t>7.2.1</w:t>
      </w:r>
      <w:r w:rsidRPr="000650B7">
        <w:rPr>
          <w:rFonts w:ascii="Cambria" w:hAnsi="Cambria" w:cstheme="minorHAnsi"/>
        </w:rPr>
        <w:tab/>
        <w:t>provide advice to the Council on relevant strategic directions and policies;</w:t>
      </w:r>
    </w:p>
    <w:p w14:paraId="7A6BE134" w14:textId="77777777" w:rsidR="001A7FB6" w:rsidRPr="000650B7" w:rsidRDefault="001A7FB6" w:rsidP="001A7FB6">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0650B7">
        <w:rPr>
          <w:rFonts w:ascii="Cambria" w:hAnsi="Cambria" w:cstheme="minorHAnsi"/>
        </w:rPr>
        <w:tab/>
      </w:r>
      <w:r w:rsidRPr="000650B7">
        <w:rPr>
          <w:rFonts w:ascii="Cambria" w:hAnsi="Cambria" w:cstheme="minorHAnsi"/>
        </w:rPr>
        <w:tab/>
        <w:t>7.2.2</w:t>
      </w:r>
      <w:r w:rsidRPr="000650B7">
        <w:rPr>
          <w:rFonts w:ascii="Cambria" w:hAnsi="Cambria" w:cstheme="minorHAnsi"/>
        </w:rPr>
        <w:tab/>
        <w:t>develop and recommend plans and ministry priorities, including the financial and resources support required;</w:t>
      </w:r>
    </w:p>
    <w:p w14:paraId="17AB9249" w14:textId="77777777" w:rsidR="001A7FB6" w:rsidRPr="000650B7" w:rsidRDefault="001A7FB6" w:rsidP="001A7FB6">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0650B7">
        <w:rPr>
          <w:rFonts w:ascii="Cambria" w:hAnsi="Cambria" w:cstheme="minorHAnsi"/>
        </w:rPr>
        <w:tab/>
      </w:r>
      <w:r w:rsidRPr="000650B7">
        <w:rPr>
          <w:rFonts w:ascii="Cambria" w:hAnsi="Cambria" w:cstheme="minorHAnsi"/>
        </w:rPr>
        <w:tab/>
        <w:t>7.2.3</w:t>
      </w:r>
      <w:r w:rsidRPr="000650B7">
        <w:rPr>
          <w:rFonts w:ascii="Cambria" w:hAnsi="Cambria" w:cstheme="minorHAnsi"/>
        </w:rPr>
        <w:tab/>
        <w:t>prioritise and recommend recipients and sums of grants and/or Scholarships providing practical support for personnel involved in these ministries;</w:t>
      </w:r>
    </w:p>
    <w:p w14:paraId="2C17C0E1" w14:textId="77777777" w:rsidR="001A7FB6" w:rsidRPr="000650B7" w:rsidRDefault="001A7FB6" w:rsidP="001A7FB6">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0650B7">
        <w:rPr>
          <w:rFonts w:ascii="Cambria" w:hAnsi="Cambria" w:cstheme="minorHAnsi"/>
        </w:rPr>
        <w:tab/>
        <w:t xml:space="preserve">    </w:t>
      </w:r>
      <w:r w:rsidRPr="000650B7">
        <w:rPr>
          <w:rFonts w:ascii="Cambria" w:hAnsi="Cambria" w:cstheme="minorHAnsi"/>
        </w:rPr>
        <w:tab/>
        <w:t>7.2.4</w:t>
      </w:r>
      <w:r w:rsidRPr="000650B7">
        <w:rPr>
          <w:rFonts w:ascii="Cambria" w:hAnsi="Cambria" w:cstheme="minorHAnsi"/>
        </w:rPr>
        <w:tab/>
        <w:t>review and monitor the work and well-being of the Cross-cultural Department staff;</w:t>
      </w:r>
    </w:p>
    <w:p w14:paraId="264F40B8" w14:textId="77777777" w:rsidR="001A7FB6" w:rsidRPr="000650B7" w:rsidRDefault="001A7FB6" w:rsidP="001A7FB6">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0650B7">
        <w:rPr>
          <w:rFonts w:ascii="Cambria" w:hAnsi="Cambria" w:cstheme="minorHAnsi"/>
        </w:rPr>
        <w:tab/>
      </w:r>
      <w:r w:rsidRPr="000650B7">
        <w:rPr>
          <w:rFonts w:ascii="Cambria" w:hAnsi="Cambria" w:cstheme="minorHAnsi"/>
        </w:rPr>
        <w:tab/>
        <w:t>7.2.5</w:t>
      </w:r>
      <w:r w:rsidRPr="000650B7">
        <w:rPr>
          <w:rFonts w:ascii="Cambria" w:hAnsi="Cambria" w:cstheme="minorHAnsi"/>
        </w:rPr>
        <w:tab/>
        <w:t>support the performance reviews of the Manager, Cross-cultural Ministry;  and</w:t>
      </w:r>
    </w:p>
    <w:p w14:paraId="4972A989" w14:textId="77777777" w:rsidR="001A7FB6" w:rsidRPr="000650B7" w:rsidRDefault="001A7FB6" w:rsidP="001A7FB6">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0650B7">
        <w:rPr>
          <w:rFonts w:ascii="Cambria" w:hAnsi="Cambria" w:cstheme="minorHAnsi"/>
        </w:rPr>
        <w:tab/>
      </w:r>
      <w:r w:rsidRPr="000650B7">
        <w:rPr>
          <w:rFonts w:ascii="Cambria" w:hAnsi="Cambria" w:cstheme="minorHAnsi"/>
        </w:rPr>
        <w:tab/>
        <w:t>7.2.6</w:t>
      </w:r>
      <w:r w:rsidRPr="000650B7">
        <w:rPr>
          <w:rFonts w:ascii="Cambria" w:hAnsi="Cambria" w:cstheme="minorHAnsi"/>
        </w:rPr>
        <w:tab/>
        <w:t>support the recruitment of the Manager, Cross-cultural Ministry.</w:t>
      </w:r>
    </w:p>
    <w:p w14:paraId="4EDECCAD" w14:textId="77777777" w:rsidR="001A7FB6" w:rsidRPr="000650B7" w:rsidRDefault="001A7FB6" w:rsidP="001A7FB6">
      <w:pPr>
        <w:tabs>
          <w:tab w:val="left" w:pos="567"/>
          <w:tab w:val="left" w:pos="1418"/>
          <w:tab w:val="left" w:pos="2268"/>
          <w:tab w:val="left" w:pos="3119"/>
          <w:tab w:val="left" w:pos="3969"/>
        </w:tabs>
        <w:spacing w:after="0" w:line="240" w:lineRule="auto"/>
        <w:ind w:left="567" w:hanging="567"/>
        <w:rPr>
          <w:rFonts w:ascii="Cambria" w:hAnsi="Cambria" w:cstheme="minorHAnsi"/>
        </w:rPr>
      </w:pPr>
    </w:p>
    <w:p w14:paraId="545EF5DE" w14:textId="77777777" w:rsidR="001A7FB6" w:rsidRPr="000650B7" w:rsidRDefault="001A7FB6" w:rsidP="001A7FB6">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0650B7">
        <w:rPr>
          <w:rFonts w:ascii="Cambria" w:hAnsi="Cambria" w:cstheme="minorHAnsi"/>
          <w:b/>
        </w:rPr>
        <w:t>8.</w:t>
      </w:r>
      <w:r w:rsidRPr="000650B7">
        <w:rPr>
          <w:rFonts w:ascii="Cambria" w:hAnsi="Cambria" w:cstheme="minorHAnsi"/>
          <w:b/>
        </w:rPr>
        <w:tab/>
        <w:t>REVIEW</w:t>
      </w:r>
    </w:p>
    <w:p w14:paraId="5A0B2A80" w14:textId="77777777" w:rsidR="001A7FB6" w:rsidRPr="000650B7" w:rsidRDefault="001A7FB6" w:rsidP="001A7FB6">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0650B7">
        <w:rPr>
          <w:rFonts w:ascii="Cambria" w:hAnsi="Cambria" w:cstheme="minorHAnsi"/>
        </w:rPr>
        <w:tab/>
        <w:t>8.1</w:t>
      </w:r>
      <w:r w:rsidRPr="000650B7">
        <w:rPr>
          <w:rFonts w:ascii="Cambria" w:hAnsi="Cambria" w:cstheme="minorHAnsi"/>
        </w:rPr>
        <w:tab/>
        <w:t xml:space="preserve">The Terms of Reference for the Committee shall be reviewed during each Synodical term. </w:t>
      </w:r>
    </w:p>
    <w:p w14:paraId="00815CF3" w14:textId="739B20CC" w:rsidR="001A7FB6" w:rsidRDefault="001A7FB6" w:rsidP="001A7FB6">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0650B7">
        <w:rPr>
          <w:rFonts w:ascii="Cambria" w:hAnsi="Cambria" w:cstheme="minorHAnsi"/>
        </w:rPr>
        <w:tab/>
        <w:t>8.2</w:t>
      </w:r>
      <w:r w:rsidRPr="000650B7">
        <w:rPr>
          <w:rFonts w:ascii="Cambria" w:hAnsi="Cambria" w:cstheme="minorHAnsi"/>
        </w:rPr>
        <w:tab/>
        <w:t>Any changes to the Terms of Reference shall be approved by the Council, upon review by the Standing Committee on Constitutions.</w:t>
      </w:r>
    </w:p>
    <w:p w14:paraId="21461E28" w14:textId="3478C10D" w:rsidR="001A7FB6" w:rsidRDefault="001A7FB6" w:rsidP="001A7FB6">
      <w:pPr>
        <w:tabs>
          <w:tab w:val="left" w:pos="567"/>
          <w:tab w:val="left" w:pos="1418"/>
          <w:tab w:val="left" w:pos="2268"/>
          <w:tab w:val="left" w:pos="3119"/>
          <w:tab w:val="left" w:pos="3969"/>
        </w:tabs>
        <w:spacing w:after="0" w:line="240" w:lineRule="auto"/>
        <w:ind w:left="1418" w:hanging="1418"/>
        <w:rPr>
          <w:rFonts w:ascii="Cambria" w:hAnsi="Cambria" w:cstheme="minorHAnsi"/>
        </w:rPr>
      </w:pPr>
    </w:p>
    <w:p w14:paraId="1792E67E" w14:textId="4CFB7319" w:rsidR="001A7FB6" w:rsidRDefault="001A7FB6" w:rsidP="001A7FB6">
      <w:pPr>
        <w:tabs>
          <w:tab w:val="left" w:pos="567"/>
          <w:tab w:val="left" w:pos="1418"/>
          <w:tab w:val="left" w:pos="2268"/>
          <w:tab w:val="left" w:pos="3119"/>
          <w:tab w:val="left" w:pos="3969"/>
        </w:tabs>
        <w:spacing w:after="0" w:line="240" w:lineRule="auto"/>
        <w:ind w:left="1418" w:hanging="1418"/>
        <w:rPr>
          <w:rFonts w:ascii="Cambria" w:hAnsi="Cambria" w:cstheme="minorHAnsi"/>
        </w:rPr>
      </w:pPr>
    </w:p>
    <w:p w14:paraId="657B6F21" w14:textId="04AA9B98" w:rsidR="001A7FB6" w:rsidRDefault="001A7FB6" w:rsidP="001A7FB6">
      <w:pPr>
        <w:tabs>
          <w:tab w:val="left" w:pos="567"/>
          <w:tab w:val="left" w:pos="1418"/>
          <w:tab w:val="left" w:pos="2268"/>
          <w:tab w:val="left" w:pos="3119"/>
          <w:tab w:val="left" w:pos="3969"/>
        </w:tabs>
        <w:spacing w:after="0" w:line="240" w:lineRule="auto"/>
        <w:ind w:left="1418" w:hanging="1418"/>
        <w:rPr>
          <w:rFonts w:ascii="Cambria" w:hAnsi="Cambria" w:cstheme="minorHAnsi"/>
        </w:rPr>
      </w:pPr>
    </w:p>
    <w:p w14:paraId="5876AA96" w14:textId="37DC2D72" w:rsidR="001A7FB6" w:rsidRPr="00710AD5" w:rsidRDefault="001A7FB6" w:rsidP="001A7FB6">
      <w:pPr>
        <w:pStyle w:val="Heading2"/>
      </w:pPr>
      <w:r>
        <w:br w:type="column"/>
      </w:r>
      <w:r w:rsidRPr="00710AD5">
        <w:lastRenderedPageBreak/>
        <w:t>FINANCE, AUDIT AND RISK COMMITTEE</w:t>
      </w:r>
    </w:p>
    <w:p w14:paraId="5B7B332D" w14:textId="77777777" w:rsidR="001A7FB6" w:rsidRPr="00710AD5" w:rsidRDefault="001A7FB6" w:rsidP="001A7FB6">
      <w:pPr>
        <w:tabs>
          <w:tab w:val="left" w:pos="567"/>
          <w:tab w:val="left" w:pos="1418"/>
          <w:tab w:val="left" w:pos="2268"/>
          <w:tab w:val="left" w:pos="3119"/>
          <w:tab w:val="left" w:pos="3969"/>
        </w:tabs>
        <w:spacing w:after="0" w:line="240" w:lineRule="auto"/>
        <w:ind w:left="567" w:hanging="567"/>
        <w:jc w:val="center"/>
        <w:rPr>
          <w:rFonts w:ascii="Cambria" w:hAnsi="Cambria" w:cstheme="minorHAnsi"/>
          <w:b/>
        </w:rPr>
      </w:pPr>
    </w:p>
    <w:p w14:paraId="20673AC3" w14:textId="77777777" w:rsidR="001A7FB6" w:rsidRPr="00710AD5" w:rsidRDefault="001A7FB6" w:rsidP="001A7FB6">
      <w:pPr>
        <w:pStyle w:val="Heading3"/>
      </w:pPr>
      <w:r w:rsidRPr="00710AD5">
        <w:t>Terms of Reference</w:t>
      </w:r>
    </w:p>
    <w:p w14:paraId="33461685" w14:textId="77777777" w:rsidR="001A7FB6" w:rsidRPr="00710AD5" w:rsidRDefault="001A7FB6" w:rsidP="001A7FB6">
      <w:pPr>
        <w:tabs>
          <w:tab w:val="left" w:pos="567"/>
          <w:tab w:val="left" w:pos="1418"/>
          <w:tab w:val="left" w:pos="2268"/>
          <w:tab w:val="left" w:pos="3119"/>
          <w:tab w:val="left" w:pos="3969"/>
        </w:tabs>
        <w:spacing w:after="0" w:line="240" w:lineRule="auto"/>
        <w:ind w:left="567" w:hanging="567"/>
        <w:jc w:val="center"/>
        <w:rPr>
          <w:rFonts w:ascii="Cambria" w:hAnsi="Cambria" w:cstheme="minorHAnsi"/>
          <w:b/>
        </w:rPr>
      </w:pPr>
    </w:p>
    <w:p w14:paraId="22DAB154" w14:textId="77777777" w:rsidR="001A7FB6" w:rsidRPr="00710AD5" w:rsidRDefault="001A7FB6" w:rsidP="001A7FB6">
      <w:pPr>
        <w:tabs>
          <w:tab w:val="left" w:pos="567"/>
          <w:tab w:val="left" w:pos="1418"/>
          <w:tab w:val="left" w:pos="2268"/>
          <w:tab w:val="left" w:pos="3119"/>
          <w:tab w:val="left" w:pos="3969"/>
        </w:tabs>
        <w:spacing w:after="0" w:line="240" w:lineRule="auto"/>
        <w:ind w:left="567" w:hanging="567"/>
        <w:jc w:val="center"/>
        <w:rPr>
          <w:rFonts w:ascii="Cambria" w:hAnsi="Cambria" w:cstheme="minorHAnsi"/>
          <w:b/>
        </w:rPr>
      </w:pPr>
    </w:p>
    <w:p w14:paraId="3AD1A228" w14:textId="77777777" w:rsidR="001A7FB6" w:rsidRPr="00710AD5" w:rsidRDefault="001A7FB6" w:rsidP="001A7FB6">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710AD5">
        <w:rPr>
          <w:rFonts w:ascii="Cambria" w:hAnsi="Cambria" w:cstheme="minorHAnsi"/>
          <w:b/>
        </w:rPr>
        <w:t>1.</w:t>
      </w:r>
      <w:r w:rsidRPr="00710AD5">
        <w:rPr>
          <w:rFonts w:ascii="Cambria" w:hAnsi="Cambria" w:cstheme="minorHAnsi"/>
          <w:b/>
        </w:rPr>
        <w:tab/>
        <w:t>NAME</w:t>
      </w:r>
    </w:p>
    <w:p w14:paraId="1746ACAE" w14:textId="77777777" w:rsidR="001A7FB6" w:rsidRPr="00710AD5" w:rsidRDefault="001A7FB6" w:rsidP="001A7FB6">
      <w:pPr>
        <w:tabs>
          <w:tab w:val="left" w:pos="567"/>
          <w:tab w:val="left" w:pos="1418"/>
          <w:tab w:val="left" w:pos="2268"/>
          <w:tab w:val="left" w:pos="3119"/>
          <w:tab w:val="left" w:pos="3969"/>
        </w:tabs>
        <w:spacing w:after="0" w:line="240" w:lineRule="auto"/>
        <w:ind w:left="567" w:hanging="567"/>
        <w:rPr>
          <w:rFonts w:ascii="Cambria" w:hAnsi="Cambria" w:cstheme="minorHAnsi"/>
        </w:rPr>
      </w:pPr>
      <w:r w:rsidRPr="00710AD5">
        <w:rPr>
          <w:rFonts w:ascii="Cambria" w:hAnsi="Cambria" w:cstheme="minorHAnsi"/>
        </w:rPr>
        <w:tab/>
        <w:t>Finance, Audit and Risk Committee, referred to as “the Committee”.</w:t>
      </w:r>
    </w:p>
    <w:p w14:paraId="0D5B4204" w14:textId="77777777" w:rsidR="001A7FB6" w:rsidRPr="00710AD5" w:rsidRDefault="001A7FB6" w:rsidP="001A7FB6">
      <w:pPr>
        <w:tabs>
          <w:tab w:val="left" w:pos="567"/>
          <w:tab w:val="left" w:pos="1418"/>
          <w:tab w:val="left" w:pos="2268"/>
          <w:tab w:val="left" w:pos="3119"/>
          <w:tab w:val="left" w:pos="3969"/>
        </w:tabs>
        <w:spacing w:after="0" w:line="240" w:lineRule="auto"/>
        <w:ind w:left="567" w:hanging="567"/>
        <w:rPr>
          <w:rFonts w:ascii="Cambria" w:hAnsi="Cambria" w:cstheme="minorHAnsi"/>
        </w:rPr>
      </w:pPr>
    </w:p>
    <w:p w14:paraId="01004CC7" w14:textId="7696E3A1" w:rsidR="001A7FB6" w:rsidRPr="00710AD5" w:rsidRDefault="001A7FB6" w:rsidP="001A7FB6">
      <w:pPr>
        <w:tabs>
          <w:tab w:val="left" w:pos="567"/>
          <w:tab w:val="left" w:pos="1418"/>
          <w:tab w:val="left" w:pos="2268"/>
          <w:tab w:val="left" w:pos="3119"/>
          <w:tab w:val="left" w:pos="3969"/>
        </w:tabs>
        <w:spacing w:after="0" w:line="240" w:lineRule="auto"/>
        <w:ind w:left="567" w:hanging="567"/>
        <w:rPr>
          <w:rFonts w:ascii="Cambria" w:hAnsi="Cambria" w:cstheme="minorHAnsi"/>
        </w:rPr>
      </w:pPr>
      <w:r w:rsidRPr="00710AD5">
        <w:rPr>
          <w:rFonts w:ascii="Cambria" w:hAnsi="Cambria" w:cstheme="minorHAnsi"/>
          <w:b/>
        </w:rPr>
        <w:t>2.</w:t>
      </w:r>
      <w:r w:rsidRPr="00710AD5">
        <w:rPr>
          <w:rFonts w:ascii="Cambria" w:hAnsi="Cambria" w:cstheme="minorHAnsi"/>
          <w:b/>
        </w:rPr>
        <w:tab/>
        <w:t>RELATIONSHIP TO THE CHURCH</w:t>
      </w:r>
      <w:r w:rsidRPr="00710AD5">
        <w:rPr>
          <w:rFonts w:ascii="Cambria" w:hAnsi="Cambria" w:cstheme="minorHAnsi"/>
        </w:rPr>
        <w:t xml:space="preserve"> </w:t>
      </w:r>
    </w:p>
    <w:p w14:paraId="038E200D" w14:textId="77777777" w:rsidR="001A7FB6" w:rsidRPr="00710AD5" w:rsidRDefault="001A7FB6" w:rsidP="001A7FB6">
      <w:pPr>
        <w:tabs>
          <w:tab w:val="left" w:pos="567"/>
          <w:tab w:val="left" w:pos="1418"/>
          <w:tab w:val="left" w:pos="2268"/>
          <w:tab w:val="left" w:pos="3119"/>
          <w:tab w:val="left" w:pos="3969"/>
        </w:tabs>
        <w:spacing w:after="0" w:line="240" w:lineRule="auto"/>
        <w:ind w:left="567" w:hanging="567"/>
        <w:rPr>
          <w:rFonts w:ascii="Cambria" w:hAnsi="Cambria" w:cstheme="minorHAnsi"/>
        </w:rPr>
      </w:pPr>
      <w:r w:rsidRPr="00710AD5">
        <w:rPr>
          <w:rFonts w:ascii="Cambria" w:hAnsi="Cambria" w:cstheme="minorHAnsi"/>
        </w:rPr>
        <w:tab/>
        <w:t>The Committee is accountable to the General Church Board, referred to as “the Board”,</w:t>
      </w:r>
      <w:r w:rsidRPr="00710AD5">
        <w:rPr>
          <w:rFonts w:ascii="Cambria" w:hAnsi="Cambria"/>
        </w:rPr>
        <w:t xml:space="preserve"> </w:t>
      </w:r>
      <w:r w:rsidRPr="00710AD5">
        <w:rPr>
          <w:rFonts w:ascii="Cambria" w:hAnsi="Cambria" w:cstheme="minorHAnsi"/>
        </w:rPr>
        <w:t>and shall fulfil its responsibilities in keeping with the Constitution and the policies of the Church.</w:t>
      </w:r>
    </w:p>
    <w:p w14:paraId="7E703736" w14:textId="77777777" w:rsidR="001A7FB6" w:rsidRPr="00710AD5" w:rsidRDefault="001A7FB6" w:rsidP="001A7FB6">
      <w:pPr>
        <w:tabs>
          <w:tab w:val="left" w:pos="567"/>
          <w:tab w:val="left" w:pos="1418"/>
          <w:tab w:val="left" w:pos="2268"/>
          <w:tab w:val="left" w:pos="3119"/>
          <w:tab w:val="left" w:pos="3969"/>
        </w:tabs>
        <w:spacing w:after="0" w:line="240" w:lineRule="auto"/>
        <w:ind w:left="567" w:hanging="567"/>
        <w:rPr>
          <w:rFonts w:ascii="Cambria" w:hAnsi="Cambria" w:cstheme="minorHAnsi"/>
        </w:rPr>
      </w:pPr>
    </w:p>
    <w:p w14:paraId="32030990" w14:textId="77777777" w:rsidR="001A7FB6" w:rsidRPr="00710AD5" w:rsidRDefault="001A7FB6" w:rsidP="001A7FB6">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710AD5">
        <w:rPr>
          <w:rFonts w:ascii="Cambria" w:hAnsi="Cambria" w:cstheme="minorHAnsi"/>
          <w:b/>
        </w:rPr>
        <w:t>3.</w:t>
      </w:r>
      <w:r w:rsidRPr="00710AD5">
        <w:rPr>
          <w:rFonts w:ascii="Cambria" w:hAnsi="Cambria" w:cstheme="minorHAnsi"/>
          <w:b/>
        </w:rPr>
        <w:tab/>
        <w:t>PURPOSE</w:t>
      </w:r>
    </w:p>
    <w:p w14:paraId="3992A5F7" w14:textId="77777777" w:rsidR="001A7FB6" w:rsidRPr="00710AD5" w:rsidRDefault="001A7FB6" w:rsidP="001A7FB6">
      <w:pPr>
        <w:tabs>
          <w:tab w:val="left" w:pos="567"/>
          <w:tab w:val="left" w:pos="1418"/>
          <w:tab w:val="left" w:pos="2268"/>
          <w:tab w:val="left" w:pos="3119"/>
          <w:tab w:val="left" w:pos="3969"/>
        </w:tabs>
        <w:spacing w:after="0" w:line="240" w:lineRule="auto"/>
        <w:ind w:left="567" w:hanging="567"/>
        <w:rPr>
          <w:rFonts w:ascii="Cambria" w:hAnsi="Cambria" w:cstheme="minorHAnsi"/>
        </w:rPr>
      </w:pPr>
      <w:r w:rsidRPr="00710AD5">
        <w:rPr>
          <w:rFonts w:ascii="Cambria" w:hAnsi="Cambria" w:cstheme="minorHAnsi"/>
        </w:rPr>
        <w:tab/>
        <w:t xml:space="preserve">The Committee shall assist the Board in fulfilling its responsibilities prescribed in Section 8.4.2 of the By-Laws of the Church and in respect to relevant legislation.  It will provide independent comment, advice and counsel to the Board on matters considered by the Committee at its regular meetings. </w:t>
      </w:r>
    </w:p>
    <w:p w14:paraId="49F5C79A" w14:textId="77777777" w:rsidR="001A7FB6" w:rsidRPr="00710AD5" w:rsidRDefault="001A7FB6" w:rsidP="001A7FB6">
      <w:pPr>
        <w:tabs>
          <w:tab w:val="left" w:pos="567"/>
          <w:tab w:val="left" w:pos="1418"/>
          <w:tab w:val="left" w:pos="2268"/>
          <w:tab w:val="left" w:pos="3119"/>
          <w:tab w:val="left" w:pos="3969"/>
        </w:tabs>
        <w:spacing w:after="0" w:line="240" w:lineRule="auto"/>
        <w:ind w:left="567" w:hanging="567"/>
        <w:rPr>
          <w:rFonts w:ascii="Cambria" w:hAnsi="Cambria" w:cstheme="minorHAnsi"/>
        </w:rPr>
      </w:pPr>
    </w:p>
    <w:p w14:paraId="74F734BC" w14:textId="77777777" w:rsidR="001A7FB6" w:rsidRPr="00710AD5" w:rsidRDefault="001A7FB6" w:rsidP="001A7FB6">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710AD5">
        <w:rPr>
          <w:rFonts w:ascii="Cambria" w:hAnsi="Cambria" w:cstheme="minorHAnsi"/>
          <w:b/>
        </w:rPr>
        <w:t>4.</w:t>
      </w:r>
      <w:r w:rsidRPr="00710AD5">
        <w:rPr>
          <w:rFonts w:ascii="Cambria" w:hAnsi="Cambria" w:cstheme="minorHAnsi"/>
          <w:b/>
        </w:rPr>
        <w:tab/>
        <w:t>AUTHORITY</w:t>
      </w:r>
    </w:p>
    <w:p w14:paraId="4AAF0FAD" w14:textId="77777777" w:rsidR="001A7FB6" w:rsidRPr="00710AD5" w:rsidRDefault="001A7FB6" w:rsidP="001A7FB6">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710AD5">
        <w:rPr>
          <w:rFonts w:ascii="Cambria" w:hAnsi="Cambria" w:cstheme="minorHAnsi"/>
        </w:rPr>
        <w:tab/>
        <w:t>4.1</w:t>
      </w:r>
      <w:r w:rsidRPr="00710AD5">
        <w:rPr>
          <w:rFonts w:ascii="Cambria" w:hAnsi="Cambria" w:cstheme="minorHAnsi"/>
        </w:rPr>
        <w:tab/>
        <w:t>The Committee does not replace or replicate established management responsibilities and delegations.</w:t>
      </w:r>
    </w:p>
    <w:p w14:paraId="38F93198" w14:textId="77777777" w:rsidR="001A7FB6" w:rsidRPr="00710AD5" w:rsidRDefault="001A7FB6" w:rsidP="001A7FB6">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710AD5">
        <w:rPr>
          <w:rFonts w:ascii="Cambria" w:hAnsi="Cambria" w:cstheme="minorHAnsi"/>
        </w:rPr>
        <w:tab/>
        <w:t>4.2</w:t>
      </w:r>
      <w:r w:rsidRPr="00710AD5">
        <w:rPr>
          <w:rFonts w:ascii="Cambria" w:hAnsi="Cambria" w:cstheme="minorHAnsi"/>
        </w:rPr>
        <w:tab/>
        <w:t>There is no standing delegated decision-making authority from the Board to the Committee.</w:t>
      </w:r>
    </w:p>
    <w:p w14:paraId="4AF07494" w14:textId="77777777" w:rsidR="001A7FB6" w:rsidRPr="00710AD5" w:rsidRDefault="001A7FB6" w:rsidP="001A7FB6">
      <w:pPr>
        <w:tabs>
          <w:tab w:val="left" w:pos="567"/>
          <w:tab w:val="left" w:pos="1418"/>
          <w:tab w:val="left" w:pos="2268"/>
          <w:tab w:val="left" w:pos="3119"/>
          <w:tab w:val="left" w:pos="3969"/>
        </w:tabs>
        <w:spacing w:after="0" w:line="240" w:lineRule="auto"/>
        <w:ind w:left="567" w:hanging="567"/>
        <w:rPr>
          <w:rFonts w:ascii="Cambria" w:hAnsi="Cambria" w:cstheme="minorHAnsi"/>
          <w:b/>
        </w:rPr>
      </w:pPr>
    </w:p>
    <w:p w14:paraId="05B51BE0" w14:textId="77777777" w:rsidR="001A7FB6" w:rsidRPr="00710AD5" w:rsidRDefault="001A7FB6" w:rsidP="001A7FB6">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710AD5">
        <w:rPr>
          <w:rFonts w:ascii="Cambria" w:hAnsi="Cambria" w:cstheme="minorHAnsi"/>
          <w:b/>
        </w:rPr>
        <w:t>5.</w:t>
      </w:r>
      <w:r w:rsidRPr="00710AD5">
        <w:rPr>
          <w:rFonts w:ascii="Cambria" w:hAnsi="Cambria" w:cstheme="minorHAnsi"/>
          <w:b/>
        </w:rPr>
        <w:tab/>
        <w:t>MEMBERSHIP</w:t>
      </w:r>
    </w:p>
    <w:p w14:paraId="0FFB0624" w14:textId="77777777" w:rsidR="001A7FB6" w:rsidRPr="00710AD5" w:rsidRDefault="001A7FB6" w:rsidP="001A7FB6">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710AD5">
        <w:rPr>
          <w:rFonts w:ascii="Cambria" w:hAnsi="Cambria" w:cstheme="minorHAnsi"/>
        </w:rPr>
        <w:tab/>
        <w:t>5.1</w:t>
      </w:r>
      <w:r w:rsidRPr="00710AD5">
        <w:rPr>
          <w:rFonts w:ascii="Cambria" w:hAnsi="Cambria" w:cstheme="minorHAnsi"/>
        </w:rPr>
        <w:tab/>
        <w:t>The Committee shall be appointed by the Board and shall consist of four [4] members:</w:t>
      </w:r>
    </w:p>
    <w:p w14:paraId="2C275B89" w14:textId="77777777" w:rsidR="001A7FB6" w:rsidRPr="00710AD5" w:rsidRDefault="001A7FB6" w:rsidP="001A7FB6">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710AD5">
        <w:rPr>
          <w:rFonts w:ascii="Cambria" w:hAnsi="Cambria" w:cstheme="minorHAnsi"/>
        </w:rPr>
        <w:tab/>
      </w:r>
      <w:r w:rsidRPr="00710AD5">
        <w:rPr>
          <w:rFonts w:ascii="Cambria" w:hAnsi="Cambria" w:cstheme="minorHAnsi"/>
        </w:rPr>
        <w:tab/>
        <w:t>5.1.1</w:t>
      </w:r>
      <w:r w:rsidRPr="00710AD5">
        <w:rPr>
          <w:rFonts w:ascii="Cambria" w:hAnsi="Cambria" w:cstheme="minorHAnsi"/>
        </w:rPr>
        <w:tab/>
        <w:t>one [1] member of the Board;  and</w:t>
      </w:r>
    </w:p>
    <w:p w14:paraId="7CEF630B" w14:textId="77777777" w:rsidR="001A7FB6" w:rsidRPr="00710AD5" w:rsidRDefault="001A7FB6" w:rsidP="001A7FB6">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710AD5">
        <w:rPr>
          <w:rFonts w:ascii="Cambria" w:hAnsi="Cambria" w:cstheme="minorHAnsi"/>
        </w:rPr>
        <w:tab/>
      </w:r>
      <w:r w:rsidRPr="00710AD5">
        <w:rPr>
          <w:rFonts w:ascii="Cambria" w:hAnsi="Cambria" w:cstheme="minorHAnsi"/>
        </w:rPr>
        <w:tab/>
        <w:t>5.1.2</w:t>
      </w:r>
      <w:r w:rsidRPr="00710AD5">
        <w:rPr>
          <w:rFonts w:ascii="Cambria" w:hAnsi="Cambria" w:cstheme="minorHAnsi"/>
        </w:rPr>
        <w:tab/>
        <w:t>three [3] members of the Church with finance/risk/audit-related qualifications and relevant experience.</w:t>
      </w:r>
    </w:p>
    <w:p w14:paraId="06B799C1" w14:textId="77777777" w:rsidR="001A7FB6" w:rsidRPr="00710AD5" w:rsidRDefault="001A7FB6" w:rsidP="001A7FB6">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710AD5">
        <w:rPr>
          <w:rFonts w:ascii="Cambria" w:hAnsi="Cambria" w:cstheme="minorHAnsi"/>
        </w:rPr>
        <w:tab/>
        <w:t>5.2</w:t>
      </w:r>
      <w:r w:rsidRPr="00710AD5">
        <w:rPr>
          <w:rFonts w:ascii="Cambria" w:hAnsi="Cambria" w:cstheme="minorHAnsi"/>
        </w:rPr>
        <w:tab/>
        <w:t xml:space="preserve">The Board shall appoint the Chairperson of the Committee from its members. </w:t>
      </w:r>
    </w:p>
    <w:p w14:paraId="4C924539" w14:textId="77777777" w:rsidR="001A7FB6" w:rsidRPr="00710AD5" w:rsidRDefault="001A7FB6" w:rsidP="001A7FB6">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710AD5">
        <w:rPr>
          <w:rFonts w:ascii="Cambria" w:hAnsi="Cambria" w:cstheme="minorHAnsi"/>
        </w:rPr>
        <w:tab/>
        <w:t>5.3</w:t>
      </w:r>
      <w:r w:rsidRPr="00710AD5">
        <w:rPr>
          <w:rFonts w:ascii="Cambria" w:hAnsi="Cambria" w:cstheme="minorHAnsi"/>
        </w:rPr>
        <w:tab/>
        <w:t>The Executive Officer of the Church and Business Manager of the Church are to attend all meetings.</w:t>
      </w:r>
    </w:p>
    <w:p w14:paraId="227679D2" w14:textId="77777777" w:rsidR="001A7FB6" w:rsidRPr="00710AD5" w:rsidRDefault="001A7FB6" w:rsidP="001A7FB6">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710AD5">
        <w:rPr>
          <w:rFonts w:ascii="Cambria" w:hAnsi="Cambria" w:cstheme="minorHAnsi"/>
        </w:rPr>
        <w:tab/>
        <w:t>5.4</w:t>
      </w:r>
      <w:r w:rsidRPr="00710AD5">
        <w:rPr>
          <w:rFonts w:ascii="Cambria" w:hAnsi="Cambria" w:cstheme="minorHAnsi"/>
        </w:rPr>
        <w:tab/>
        <w:t>The term of appointment for all members will be for a Synodical term.</w:t>
      </w:r>
    </w:p>
    <w:p w14:paraId="362C2629" w14:textId="77777777" w:rsidR="001A7FB6" w:rsidRPr="00710AD5" w:rsidRDefault="001A7FB6" w:rsidP="001A7FB6">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710AD5">
        <w:rPr>
          <w:rFonts w:ascii="Cambria" w:hAnsi="Cambria" w:cstheme="minorHAnsi"/>
        </w:rPr>
        <w:tab/>
        <w:t>5.5</w:t>
      </w:r>
      <w:r w:rsidRPr="00710AD5">
        <w:rPr>
          <w:rFonts w:ascii="Cambria" w:hAnsi="Cambria" w:cstheme="minorHAnsi"/>
        </w:rPr>
        <w:tab/>
        <w:t xml:space="preserve">The Committee may engage advisers to provide specialist input and expertise. </w:t>
      </w:r>
    </w:p>
    <w:p w14:paraId="56C0C790" w14:textId="77777777" w:rsidR="001A7FB6" w:rsidRPr="00710AD5" w:rsidRDefault="001A7FB6" w:rsidP="001A7FB6">
      <w:pPr>
        <w:tabs>
          <w:tab w:val="left" w:pos="567"/>
          <w:tab w:val="left" w:pos="1418"/>
          <w:tab w:val="left" w:pos="2268"/>
          <w:tab w:val="left" w:pos="3119"/>
          <w:tab w:val="left" w:pos="3969"/>
        </w:tabs>
        <w:spacing w:after="0" w:line="240" w:lineRule="auto"/>
        <w:ind w:left="567" w:hanging="567"/>
        <w:rPr>
          <w:rFonts w:ascii="Cambria" w:hAnsi="Cambria" w:cstheme="minorHAnsi"/>
        </w:rPr>
      </w:pPr>
    </w:p>
    <w:p w14:paraId="3CB4C2E5" w14:textId="08E990E9" w:rsidR="001A7FB6" w:rsidRPr="00710AD5" w:rsidRDefault="001A7FB6" w:rsidP="001A7FB6">
      <w:pPr>
        <w:tabs>
          <w:tab w:val="left" w:pos="567"/>
          <w:tab w:val="left" w:pos="1418"/>
          <w:tab w:val="left" w:pos="2268"/>
          <w:tab w:val="left" w:pos="3119"/>
          <w:tab w:val="left" w:pos="3969"/>
        </w:tabs>
        <w:spacing w:after="0" w:line="240" w:lineRule="auto"/>
        <w:ind w:left="567" w:hanging="567"/>
        <w:rPr>
          <w:rFonts w:ascii="Cambria" w:hAnsi="Cambria" w:cstheme="minorHAnsi"/>
          <w:b/>
        </w:rPr>
      </w:pPr>
      <w:r>
        <w:rPr>
          <w:rFonts w:ascii="Cambria" w:hAnsi="Cambria" w:cstheme="minorHAnsi"/>
          <w:b/>
        </w:rPr>
        <w:t>6.</w:t>
      </w:r>
      <w:r>
        <w:rPr>
          <w:rFonts w:ascii="Cambria" w:hAnsi="Cambria" w:cstheme="minorHAnsi"/>
          <w:b/>
        </w:rPr>
        <w:tab/>
        <w:t>MEETING</w:t>
      </w:r>
      <w:r w:rsidRPr="00710AD5">
        <w:rPr>
          <w:rFonts w:ascii="Cambria" w:hAnsi="Cambria" w:cstheme="minorHAnsi"/>
          <w:b/>
        </w:rPr>
        <w:t xml:space="preserve"> ARRANG</w:t>
      </w:r>
      <w:r>
        <w:rPr>
          <w:rFonts w:ascii="Cambria" w:hAnsi="Cambria" w:cstheme="minorHAnsi"/>
          <w:b/>
        </w:rPr>
        <w:t xml:space="preserve">EMENTS </w:t>
      </w:r>
      <w:r w:rsidRPr="00710AD5">
        <w:rPr>
          <w:rFonts w:ascii="Cambria" w:hAnsi="Cambria" w:cstheme="minorHAnsi"/>
          <w:b/>
        </w:rPr>
        <w:t>AND  REPORTING</w:t>
      </w:r>
    </w:p>
    <w:p w14:paraId="7DA58E06" w14:textId="77777777" w:rsidR="001A7FB6" w:rsidRPr="00710AD5" w:rsidRDefault="001A7FB6" w:rsidP="001A7FB6">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710AD5">
        <w:rPr>
          <w:rFonts w:ascii="Cambria" w:hAnsi="Cambria" w:cstheme="minorHAnsi"/>
        </w:rPr>
        <w:tab/>
        <w:t>6.1</w:t>
      </w:r>
      <w:r w:rsidRPr="00710AD5">
        <w:rPr>
          <w:rFonts w:ascii="Cambria" w:hAnsi="Cambria" w:cstheme="minorHAnsi"/>
        </w:rPr>
        <w:tab/>
        <w:t>The minutes of all Committee meetings and a report by the Chairperson of the Committee detailing the findings and recommendations of the Committee must be tabled at the Board meeting following each Committee meeting.</w:t>
      </w:r>
    </w:p>
    <w:p w14:paraId="53467D48" w14:textId="77777777" w:rsidR="001A7FB6" w:rsidRPr="00710AD5" w:rsidRDefault="001A7FB6" w:rsidP="001A7FB6">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710AD5">
        <w:rPr>
          <w:rFonts w:ascii="Cambria" w:hAnsi="Cambria" w:cstheme="minorHAnsi"/>
        </w:rPr>
        <w:tab/>
        <w:t>6.2</w:t>
      </w:r>
      <w:r w:rsidRPr="00710AD5">
        <w:rPr>
          <w:rFonts w:ascii="Cambria" w:hAnsi="Cambria" w:cstheme="minorHAnsi"/>
        </w:rPr>
        <w:tab/>
        <w:t xml:space="preserve">The Board shall be made aware as soon as practicable of any finance, risk or audit matters which may impact the Church. </w:t>
      </w:r>
    </w:p>
    <w:p w14:paraId="52410BCC" w14:textId="77777777" w:rsidR="001A7FB6" w:rsidRPr="00710AD5" w:rsidRDefault="001A7FB6" w:rsidP="001A7FB6">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710AD5">
        <w:rPr>
          <w:rFonts w:ascii="Cambria" w:hAnsi="Cambria" w:cstheme="minorHAnsi"/>
        </w:rPr>
        <w:tab/>
        <w:t>6.3</w:t>
      </w:r>
      <w:r w:rsidRPr="00710AD5">
        <w:rPr>
          <w:rFonts w:ascii="Cambria" w:hAnsi="Cambria" w:cstheme="minorHAnsi"/>
        </w:rPr>
        <w:tab/>
        <w:t xml:space="preserve">The Committee will meet at least three [3] times each year.  </w:t>
      </w:r>
    </w:p>
    <w:p w14:paraId="246E6661" w14:textId="77777777" w:rsidR="001A7FB6" w:rsidRPr="00710AD5" w:rsidRDefault="001A7FB6" w:rsidP="001A7FB6">
      <w:pPr>
        <w:tabs>
          <w:tab w:val="left" w:pos="567"/>
          <w:tab w:val="left" w:pos="1418"/>
          <w:tab w:val="left" w:pos="2268"/>
          <w:tab w:val="left" w:pos="3119"/>
          <w:tab w:val="left" w:pos="3969"/>
        </w:tabs>
        <w:spacing w:after="0" w:line="240" w:lineRule="auto"/>
        <w:ind w:left="567" w:hanging="567"/>
        <w:rPr>
          <w:rFonts w:ascii="Cambria" w:hAnsi="Cambria" w:cstheme="minorHAnsi"/>
        </w:rPr>
      </w:pPr>
    </w:p>
    <w:p w14:paraId="3A5A65D7" w14:textId="77777777" w:rsidR="001A7FB6" w:rsidRPr="00710AD5" w:rsidRDefault="001A7FB6" w:rsidP="001A7FB6">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710AD5">
        <w:rPr>
          <w:rFonts w:ascii="Cambria" w:hAnsi="Cambria" w:cstheme="minorHAnsi"/>
          <w:b/>
        </w:rPr>
        <w:t>7.</w:t>
      </w:r>
      <w:r w:rsidRPr="00710AD5">
        <w:rPr>
          <w:rFonts w:ascii="Cambria" w:hAnsi="Cambria" w:cstheme="minorHAnsi"/>
          <w:b/>
        </w:rPr>
        <w:tab/>
        <w:t>RESPONSIBILITIES</w:t>
      </w:r>
    </w:p>
    <w:p w14:paraId="3901B156" w14:textId="77777777" w:rsidR="001A7FB6" w:rsidRPr="00710AD5" w:rsidRDefault="001A7FB6" w:rsidP="001A7FB6">
      <w:pPr>
        <w:tabs>
          <w:tab w:val="left" w:pos="567"/>
          <w:tab w:val="left" w:pos="1418"/>
          <w:tab w:val="left" w:pos="2268"/>
          <w:tab w:val="left" w:pos="3119"/>
          <w:tab w:val="left" w:pos="3969"/>
        </w:tabs>
        <w:spacing w:after="0" w:line="240" w:lineRule="auto"/>
        <w:ind w:left="567" w:hanging="567"/>
        <w:rPr>
          <w:rFonts w:ascii="Cambria" w:hAnsi="Cambria" w:cstheme="minorHAnsi"/>
        </w:rPr>
      </w:pPr>
      <w:r w:rsidRPr="00710AD5">
        <w:rPr>
          <w:rFonts w:ascii="Cambria" w:hAnsi="Cambria" w:cstheme="minorHAnsi"/>
        </w:rPr>
        <w:tab/>
        <w:t>The Committee shall</w:t>
      </w:r>
    </w:p>
    <w:p w14:paraId="10FD0DFB" w14:textId="77777777" w:rsidR="001A7FB6" w:rsidRPr="00710AD5" w:rsidRDefault="001A7FB6" w:rsidP="001A7FB6">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710AD5">
        <w:rPr>
          <w:rFonts w:ascii="Cambria" w:hAnsi="Cambria" w:cstheme="minorHAnsi"/>
        </w:rPr>
        <w:tab/>
        <w:t>7.1</w:t>
      </w:r>
      <w:r w:rsidRPr="00710AD5">
        <w:rPr>
          <w:rFonts w:ascii="Cambria" w:hAnsi="Cambria" w:cstheme="minorHAnsi"/>
        </w:rPr>
        <w:tab/>
        <w:t>assess and contribute to an assessment of the risks and threats to the Church, taking into account the financial and operational environment in which it operates;</w:t>
      </w:r>
    </w:p>
    <w:p w14:paraId="570E1293" w14:textId="77777777" w:rsidR="001A7FB6" w:rsidRPr="00710AD5" w:rsidRDefault="001A7FB6" w:rsidP="001A7FB6">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710AD5">
        <w:rPr>
          <w:rFonts w:ascii="Cambria" w:hAnsi="Cambria" w:cstheme="minorHAnsi"/>
        </w:rPr>
        <w:tab/>
        <w:t>7.2</w:t>
      </w:r>
      <w:r w:rsidRPr="00710AD5">
        <w:rPr>
          <w:rFonts w:ascii="Cambria" w:hAnsi="Cambria" w:cstheme="minorHAnsi"/>
        </w:rPr>
        <w:tab/>
        <w:t>assess and enhance the governance of the Church, including its systems of internal control as articulated in appropriate policies and procedures;</w:t>
      </w:r>
    </w:p>
    <w:p w14:paraId="51EB7AAD" w14:textId="77777777" w:rsidR="001A7FB6" w:rsidRPr="00710AD5" w:rsidRDefault="001A7FB6" w:rsidP="001A7FB6">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710AD5">
        <w:rPr>
          <w:rFonts w:ascii="Cambria" w:hAnsi="Cambria" w:cstheme="minorHAnsi"/>
        </w:rPr>
        <w:lastRenderedPageBreak/>
        <w:tab/>
        <w:t>7.3</w:t>
      </w:r>
      <w:r w:rsidRPr="00710AD5">
        <w:rPr>
          <w:rFonts w:ascii="Cambria" w:hAnsi="Cambria" w:cstheme="minorHAnsi"/>
        </w:rPr>
        <w:tab/>
        <w:t>evaluate the quality, and support the practical implementation of, the internal systems, particularly in respect of planning, budgeting, monitoring and reporting;</w:t>
      </w:r>
    </w:p>
    <w:p w14:paraId="51CE208E" w14:textId="77777777" w:rsidR="001A7FB6" w:rsidRPr="00710AD5" w:rsidRDefault="001A7FB6" w:rsidP="001A7FB6">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710AD5">
        <w:rPr>
          <w:rFonts w:ascii="Cambria" w:hAnsi="Cambria" w:cstheme="minorHAnsi"/>
        </w:rPr>
        <w:tab/>
        <w:t xml:space="preserve">7.4     </w:t>
      </w:r>
      <w:r w:rsidRPr="00710AD5">
        <w:rPr>
          <w:rFonts w:ascii="Cambria" w:hAnsi="Cambria" w:cstheme="minorHAnsi"/>
        </w:rPr>
        <w:tab/>
        <w:t>oversee and appraise the financial and operational reporting processes of the Church;</w:t>
      </w:r>
    </w:p>
    <w:p w14:paraId="6BC3BC07" w14:textId="77777777" w:rsidR="001A7FB6" w:rsidRPr="00710AD5" w:rsidRDefault="001A7FB6" w:rsidP="001A7FB6">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710AD5">
        <w:rPr>
          <w:rFonts w:ascii="Cambria" w:hAnsi="Cambria" w:cstheme="minorHAnsi"/>
        </w:rPr>
        <w:tab/>
        <w:t>7.5</w:t>
      </w:r>
      <w:r w:rsidRPr="00710AD5">
        <w:rPr>
          <w:rFonts w:ascii="Cambria" w:hAnsi="Cambria" w:cstheme="minorHAnsi"/>
        </w:rPr>
        <w:tab/>
        <w:t>provide advice to the Board on the financial management reports for Church boards, councils and committees, LCA Consolidated and the Districts of the Church;</w:t>
      </w:r>
    </w:p>
    <w:p w14:paraId="4F114D95" w14:textId="77777777" w:rsidR="001A7FB6" w:rsidRPr="00710AD5" w:rsidRDefault="001A7FB6" w:rsidP="001A7FB6">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710AD5">
        <w:rPr>
          <w:rFonts w:ascii="Cambria" w:hAnsi="Cambria" w:cstheme="minorHAnsi"/>
        </w:rPr>
        <w:tab/>
        <w:t>7.6</w:t>
      </w:r>
      <w:r w:rsidRPr="00710AD5">
        <w:rPr>
          <w:rFonts w:ascii="Cambria" w:hAnsi="Cambria" w:cstheme="minorHAnsi"/>
        </w:rPr>
        <w:tab/>
        <w:t xml:space="preserve">monitor and evaluate the risk management systems in place to protect the Church, including reviewing, in consultation with the LCA Insurance Fund, the adequacy of insurance policies in place; </w:t>
      </w:r>
    </w:p>
    <w:p w14:paraId="65DA1C7A" w14:textId="77777777" w:rsidR="001A7FB6" w:rsidRPr="00710AD5" w:rsidRDefault="001A7FB6" w:rsidP="001A7FB6">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710AD5">
        <w:rPr>
          <w:rFonts w:ascii="Cambria" w:hAnsi="Cambria" w:cstheme="minorHAnsi"/>
        </w:rPr>
        <w:tab/>
        <w:t>7.7</w:t>
      </w:r>
      <w:r w:rsidRPr="00710AD5">
        <w:rPr>
          <w:rFonts w:ascii="Cambria" w:hAnsi="Cambria" w:cstheme="minorHAnsi"/>
        </w:rPr>
        <w:tab/>
        <w:t xml:space="preserve">monitor and evaluate, in consultation with the Loans Management Committee, the loan-related policies and systems in place, particularly in respect of assessment, approval criteria and conditions, risk profile, loan monitoring and management of ‘at risk’ loans; </w:t>
      </w:r>
    </w:p>
    <w:p w14:paraId="7B835BDE" w14:textId="77777777" w:rsidR="001A7FB6" w:rsidRPr="00710AD5" w:rsidRDefault="001A7FB6" w:rsidP="001A7FB6">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710AD5">
        <w:rPr>
          <w:rFonts w:ascii="Cambria" w:hAnsi="Cambria" w:cstheme="minorHAnsi"/>
        </w:rPr>
        <w:tab/>
        <w:t>7.8</w:t>
      </w:r>
      <w:r w:rsidRPr="00710AD5">
        <w:rPr>
          <w:rFonts w:ascii="Cambria" w:hAnsi="Cambria" w:cstheme="minorHAnsi"/>
        </w:rPr>
        <w:tab/>
        <w:t>provide advice to the Board on setting a maximum debt ceiling for the Church that takes into account contingent liabilities;</w:t>
      </w:r>
    </w:p>
    <w:p w14:paraId="796854E6" w14:textId="77777777" w:rsidR="001A7FB6" w:rsidRPr="00710AD5" w:rsidRDefault="001A7FB6" w:rsidP="001A7FB6">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710AD5">
        <w:rPr>
          <w:rFonts w:ascii="Cambria" w:hAnsi="Cambria" w:cstheme="minorHAnsi"/>
        </w:rPr>
        <w:tab/>
        <w:t>7.9</w:t>
      </w:r>
      <w:r w:rsidRPr="00710AD5">
        <w:rPr>
          <w:rFonts w:ascii="Cambria" w:hAnsi="Cambria" w:cstheme="minorHAnsi"/>
        </w:rPr>
        <w:tab/>
        <w:t>monitor and evaluate the effectiveness of the compliance by the Church with applicable laws, regulations, standards and best practice guidelines, and propose changes where necessary;</w:t>
      </w:r>
    </w:p>
    <w:p w14:paraId="328DE222" w14:textId="77777777" w:rsidR="001A7FB6" w:rsidRPr="00710AD5" w:rsidRDefault="001A7FB6" w:rsidP="001A7FB6">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710AD5">
        <w:rPr>
          <w:rFonts w:ascii="Cambria" w:hAnsi="Cambria" w:cstheme="minorHAnsi"/>
        </w:rPr>
        <w:tab/>
        <w:t>7.10</w:t>
      </w:r>
      <w:r w:rsidRPr="00710AD5">
        <w:rPr>
          <w:rFonts w:ascii="Cambria" w:hAnsi="Cambria" w:cstheme="minorHAnsi"/>
        </w:rPr>
        <w:tab/>
        <w:t>recommend the appointment of the external auditor and provide advice on the quality and results of the audit;</w:t>
      </w:r>
    </w:p>
    <w:p w14:paraId="0828FF75" w14:textId="77777777" w:rsidR="001A7FB6" w:rsidRPr="00710AD5" w:rsidRDefault="001A7FB6" w:rsidP="001A7FB6">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710AD5">
        <w:rPr>
          <w:rFonts w:ascii="Cambria" w:hAnsi="Cambria" w:cstheme="minorHAnsi"/>
        </w:rPr>
        <w:tab/>
        <w:t>7.11</w:t>
      </w:r>
      <w:r w:rsidRPr="00710AD5">
        <w:rPr>
          <w:rFonts w:ascii="Cambria" w:hAnsi="Cambria" w:cstheme="minorHAnsi"/>
        </w:rPr>
        <w:tab/>
        <w:t>consult with external auditor on the proposed audit strategy and audit fees for each year;</w:t>
      </w:r>
    </w:p>
    <w:p w14:paraId="27DCDB76" w14:textId="77777777" w:rsidR="001A7FB6" w:rsidRPr="00710AD5" w:rsidRDefault="001A7FB6" w:rsidP="001A7FB6">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710AD5">
        <w:rPr>
          <w:rFonts w:ascii="Cambria" w:hAnsi="Cambria" w:cstheme="minorHAnsi"/>
        </w:rPr>
        <w:tab/>
        <w:t>7.12</w:t>
      </w:r>
      <w:r w:rsidRPr="00710AD5">
        <w:rPr>
          <w:rFonts w:ascii="Cambria" w:hAnsi="Cambria" w:cstheme="minorHAnsi"/>
        </w:rPr>
        <w:tab/>
        <w:t>examine the Annual Audited Financial Statements before submission to the Board, focussing particularly on</w:t>
      </w:r>
    </w:p>
    <w:p w14:paraId="5EDBFAEF" w14:textId="77777777" w:rsidR="001A7FB6" w:rsidRPr="00710AD5" w:rsidRDefault="001A7FB6" w:rsidP="001A7FB6">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710AD5">
        <w:rPr>
          <w:rFonts w:ascii="Cambria" w:hAnsi="Cambria" w:cstheme="minorHAnsi"/>
        </w:rPr>
        <w:tab/>
      </w:r>
      <w:r w:rsidRPr="00710AD5">
        <w:rPr>
          <w:rFonts w:ascii="Cambria" w:hAnsi="Cambria" w:cstheme="minorHAnsi"/>
        </w:rPr>
        <w:tab/>
        <w:t>7.12.1</w:t>
      </w:r>
      <w:r w:rsidRPr="00710AD5">
        <w:rPr>
          <w:rFonts w:ascii="Cambria" w:hAnsi="Cambria" w:cstheme="minorHAnsi"/>
        </w:rPr>
        <w:tab/>
        <w:t>any changes to accounting policies and practices;</w:t>
      </w:r>
    </w:p>
    <w:p w14:paraId="38367E16" w14:textId="77777777" w:rsidR="001A7FB6" w:rsidRPr="00710AD5" w:rsidRDefault="001A7FB6" w:rsidP="001A7FB6">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710AD5">
        <w:rPr>
          <w:rFonts w:ascii="Cambria" w:hAnsi="Cambria" w:cstheme="minorHAnsi"/>
        </w:rPr>
        <w:tab/>
      </w:r>
      <w:r w:rsidRPr="00710AD5">
        <w:rPr>
          <w:rFonts w:ascii="Cambria" w:hAnsi="Cambria" w:cstheme="minorHAnsi"/>
        </w:rPr>
        <w:tab/>
        <w:t>7.12.2</w:t>
      </w:r>
      <w:r w:rsidRPr="00710AD5">
        <w:rPr>
          <w:rFonts w:ascii="Cambria" w:hAnsi="Cambria" w:cstheme="minorHAnsi"/>
        </w:rPr>
        <w:tab/>
        <w:t>major judgement areas, for example accruals, provisions or estimates which significantly affect the financial statements;</w:t>
      </w:r>
    </w:p>
    <w:p w14:paraId="1D8FF4FA" w14:textId="77777777" w:rsidR="001A7FB6" w:rsidRPr="00710AD5" w:rsidRDefault="001A7FB6" w:rsidP="001A7FB6">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710AD5">
        <w:rPr>
          <w:rFonts w:ascii="Cambria" w:hAnsi="Cambria" w:cstheme="minorHAnsi"/>
        </w:rPr>
        <w:tab/>
      </w:r>
      <w:r w:rsidRPr="00710AD5">
        <w:rPr>
          <w:rFonts w:ascii="Cambria" w:hAnsi="Cambria" w:cstheme="minorHAnsi"/>
        </w:rPr>
        <w:tab/>
        <w:t>7.12.3</w:t>
      </w:r>
      <w:r w:rsidRPr="00710AD5">
        <w:rPr>
          <w:rFonts w:ascii="Cambria" w:hAnsi="Cambria" w:cstheme="minorHAnsi"/>
        </w:rPr>
        <w:tab/>
        <w:t>significant adjustments resulting from the audit;  and</w:t>
      </w:r>
    </w:p>
    <w:p w14:paraId="36B5CC46" w14:textId="77777777" w:rsidR="001A7FB6" w:rsidRPr="00710AD5" w:rsidRDefault="001A7FB6" w:rsidP="001A7FB6">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710AD5">
        <w:rPr>
          <w:rFonts w:ascii="Cambria" w:hAnsi="Cambria" w:cstheme="minorHAnsi"/>
        </w:rPr>
        <w:tab/>
      </w:r>
      <w:r w:rsidRPr="00710AD5">
        <w:rPr>
          <w:rFonts w:ascii="Cambria" w:hAnsi="Cambria" w:cstheme="minorHAnsi"/>
        </w:rPr>
        <w:tab/>
        <w:t>7.12.4</w:t>
      </w:r>
      <w:r w:rsidRPr="00710AD5">
        <w:rPr>
          <w:rFonts w:ascii="Cambria" w:hAnsi="Cambria" w:cstheme="minorHAnsi"/>
        </w:rPr>
        <w:tab/>
        <w:t>compliance with accounting standards, government and legal requirements;</w:t>
      </w:r>
    </w:p>
    <w:p w14:paraId="776A6EC5" w14:textId="4DBD4D0F" w:rsidR="001A7FB6" w:rsidRPr="00710AD5" w:rsidRDefault="001A7FB6" w:rsidP="001A7FB6">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710AD5">
        <w:rPr>
          <w:rFonts w:ascii="Cambria" w:hAnsi="Cambria" w:cstheme="minorHAnsi"/>
        </w:rPr>
        <w:tab/>
        <w:t>7.13</w:t>
      </w:r>
      <w:r w:rsidRPr="00710AD5">
        <w:rPr>
          <w:rFonts w:ascii="Cambria" w:hAnsi="Cambria" w:cstheme="minorHAnsi"/>
        </w:rPr>
        <w:tab/>
        <w:t>consider issues arising from the external auditor’s management letter and propose action, as appropriate; and</w:t>
      </w:r>
    </w:p>
    <w:p w14:paraId="4928777F" w14:textId="77777777" w:rsidR="001A7FB6" w:rsidRPr="00710AD5" w:rsidRDefault="001A7FB6" w:rsidP="001A7FB6">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710AD5">
        <w:rPr>
          <w:rFonts w:ascii="Cambria" w:hAnsi="Cambria" w:cstheme="minorHAnsi"/>
        </w:rPr>
        <w:tab/>
        <w:t>7.14</w:t>
      </w:r>
      <w:r w:rsidRPr="00710AD5">
        <w:rPr>
          <w:rFonts w:ascii="Cambria" w:hAnsi="Cambria" w:cstheme="minorHAnsi"/>
        </w:rPr>
        <w:tab/>
        <w:t>liaise with and, as necessary, provide guidance to other entities of the Church to ensure adequacy of internal policies and risk assessments and consistency with Church policies and procedures.</w:t>
      </w:r>
    </w:p>
    <w:p w14:paraId="307D2DC3" w14:textId="77777777" w:rsidR="001A7FB6" w:rsidRPr="00710AD5" w:rsidRDefault="001A7FB6" w:rsidP="001A7FB6">
      <w:pPr>
        <w:tabs>
          <w:tab w:val="left" w:pos="567"/>
          <w:tab w:val="left" w:pos="1418"/>
          <w:tab w:val="left" w:pos="2268"/>
          <w:tab w:val="left" w:pos="3119"/>
          <w:tab w:val="left" w:pos="3969"/>
        </w:tabs>
        <w:spacing w:after="0" w:line="240" w:lineRule="auto"/>
        <w:ind w:left="567" w:hanging="567"/>
        <w:rPr>
          <w:rFonts w:ascii="Cambria" w:hAnsi="Cambria" w:cstheme="minorHAnsi"/>
        </w:rPr>
      </w:pPr>
    </w:p>
    <w:p w14:paraId="4D515786" w14:textId="77777777" w:rsidR="001A7FB6" w:rsidRPr="00710AD5" w:rsidRDefault="001A7FB6" w:rsidP="001A7FB6">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710AD5">
        <w:rPr>
          <w:rFonts w:ascii="Cambria" w:hAnsi="Cambria" w:cstheme="minorHAnsi"/>
          <w:b/>
        </w:rPr>
        <w:t>8.</w:t>
      </w:r>
      <w:r w:rsidRPr="00710AD5">
        <w:rPr>
          <w:rFonts w:ascii="Cambria" w:hAnsi="Cambria" w:cstheme="minorHAnsi"/>
          <w:b/>
        </w:rPr>
        <w:tab/>
        <w:t>REVIEW</w:t>
      </w:r>
    </w:p>
    <w:p w14:paraId="449786AC" w14:textId="77777777" w:rsidR="001A7FB6" w:rsidRPr="00710AD5" w:rsidRDefault="001A7FB6" w:rsidP="001A7FB6">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710AD5">
        <w:rPr>
          <w:rFonts w:ascii="Cambria" w:hAnsi="Cambria" w:cstheme="minorHAnsi"/>
        </w:rPr>
        <w:tab/>
        <w:t>8.1</w:t>
      </w:r>
      <w:r w:rsidRPr="00710AD5">
        <w:rPr>
          <w:rFonts w:ascii="Cambria" w:hAnsi="Cambria" w:cstheme="minorHAnsi"/>
        </w:rPr>
        <w:tab/>
        <w:t xml:space="preserve">The Terms of Reference for the Committee shall be reviewed by the Board during each synodical term. </w:t>
      </w:r>
    </w:p>
    <w:p w14:paraId="041649E8" w14:textId="77777777" w:rsidR="001A7FB6" w:rsidRPr="00710AD5" w:rsidRDefault="001A7FB6" w:rsidP="001A7FB6">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710AD5">
        <w:rPr>
          <w:rFonts w:ascii="Cambria" w:hAnsi="Cambria" w:cstheme="minorHAnsi"/>
        </w:rPr>
        <w:tab/>
        <w:t>8.2</w:t>
      </w:r>
      <w:r w:rsidRPr="00710AD5">
        <w:rPr>
          <w:rFonts w:ascii="Cambria" w:hAnsi="Cambria" w:cstheme="minorHAnsi"/>
        </w:rPr>
        <w:tab/>
        <w:t>Any changes to the Terms of Reference shall be approved by the Board, upon review by the Standing Committee on Constitutions.</w:t>
      </w:r>
    </w:p>
    <w:p w14:paraId="661DFF74" w14:textId="77777777" w:rsidR="001A7FB6" w:rsidRPr="00710AD5" w:rsidRDefault="001A7FB6" w:rsidP="001A7FB6">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710AD5">
        <w:rPr>
          <w:rFonts w:ascii="Cambria" w:hAnsi="Cambria" w:cstheme="minorHAnsi"/>
        </w:rPr>
        <w:tab/>
        <w:t>8.3</w:t>
      </w:r>
      <w:r w:rsidRPr="00710AD5">
        <w:rPr>
          <w:rFonts w:ascii="Cambria" w:hAnsi="Cambria" w:cstheme="minorHAnsi"/>
        </w:rPr>
        <w:tab/>
        <w:t>The Committee shall review annually its own performance against its duties as outlined in the Terms of Reference, and report the outcome to the Board.</w:t>
      </w:r>
    </w:p>
    <w:p w14:paraId="27DDEB7F" w14:textId="77777777" w:rsidR="001A7FB6" w:rsidRPr="00710AD5" w:rsidRDefault="001A7FB6" w:rsidP="001A7FB6">
      <w:pPr>
        <w:tabs>
          <w:tab w:val="left" w:pos="567"/>
          <w:tab w:val="left" w:pos="1418"/>
          <w:tab w:val="left" w:pos="2268"/>
          <w:tab w:val="left" w:pos="3119"/>
          <w:tab w:val="left" w:pos="3969"/>
        </w:tabs>
        <w:spacing w:after="0" w:line="240" w:lineRule="auto"/>
        <w:ind w:left="567" w:hanging="567"/>
        <w:rPr>
          <w:rFonts w:ascii="Cambria" w:hAnsi="Cambria" w:cstheme="minorHAnsi"/>
        </w:rPr>
      </w:pPr>
    </w:p>
    <w:p w14:paraId="07A01F43" w14:textId="77777777" w:rsidR="001A7FB6" w:rsidRPr="00710AD5" w:rsidRDefault="001A7FB6" w:rsidP="001A7FB6">
      <w:pPr>
        <w:tabs>
          <w:tab w:val="left" w:pos="567"/>
          <w:tab w:val="left" w:pos="1418"/>
          <w:tab w:val="left" w:pos="2268"/>
          <w:tab w:val="left" w:pos="3119"/>
          <w:tab w:val="left" w:pos="3969"/>
        </w:tabs>
        <w:spacing w:after="0" w:line="240" w:lineRule="auto"/>
        <w:ind w:left="567" w:hanging="567"/>
        <w:rPr>
          <w:rFonts w:ascii="Cambria" w:hAnsi="Cambria" w:cstheme="minorHAnsi"/>
        </w:rPr>
      </w:pPr>
    </w:p>
    <w:p w14:paraId="37D902A3" w14:textId="496CFDC9" w:rsidR="00D70185" w:rsidRPr="00AC406E" w:rsidRDefault="00D70185" w:rsidP="00D70185">
      <w:pPr>
        <w:pStyle w:val="Heading2"/>
      </w:pPr>
      <w:r>
        <w:br w:type="column"/>
      </w:r>
      <w:r w:rsidR="00876946">
        <w:lastRenderedPageBreak/>
        <w:t>COMMITTEE FOR INTERNATIONAL</w:t>
      </w:r>
      <w:r w:rsidRPr="00AC406E">
        <w:t xml:space="preserve"> MISSION</w:t>
      </w:r>
    </w:p>
    <w:p w14:paraId="1B4700C2" w14:textId="77777777" w:rsidR="00D70185" w:rsidRPr="00AC406E" w:rsidRDefault="00D70185" w:rsidP="00D70185">
      <w:pPr>
        <w:tabs>
          <w:tab w:val="left" w:pos="567"/>
          <w:tab w:val="left" w:pos="1418"/>
          <w:tab w:val="left" w:pos="2268"/>
          <w:tab w:val="left" w:pos="3119"/>
          <w:tab w:val="left" w:pos="3969"/>
        </w:tabs>
        <w:spacing w:after="0" w:line="240" w:lineRule="auto"/>
        <w:ind w:left="567" w:hanging="567"/>
        <w:jc w:val="center"/>
        <w:rPr>
          <w:rFonts w:ascii="Cambria" w:hAnsi="Cambria" w:cstheme="minorHAnsi"/>
          <w:b/>
        </w:rPr>
      </w:pPr>
    </w:p>
    <w:p w14:paraId="0DF4C847" w14:textId="77777777" w:rsidR="00D70185" w:rsidRPr="00AC406E" w:rsidRDefault="00D70185" w:rsidP="006A2A40">
      <w:pPr>
        <w:pStyle w:val="Heading3"/>
      </w:pPr>
      <w:r w:rsidRPr="00AC406E">
        <w:t>Terms of Reference</w:t>
      </w:r>
    </w:p>
    <w:p w14:paraId="02B40F4F" w14:textId="77777777" w:rsidR="00D70185" w:rsidRPr="00AC406E" w:rsidRDefault="00D70185" w:rsidP="00D70185">
      <w:pPr>
        <w:tabs>
          <w:tab w:val="left" w:pos="567"/>
          <w:tab w:val="left" w:pos="1418"/>
          <w:tab w:val="left" w:pos="2268"/>
          <w:tab w:val="left" w:pos="3119"/>
          <w:tab w:val="left" w:pos="3969"/>
        </w:tabs>
        <w:spacing w:after="0" w:line="240" w:lineRule="auto"/>
        <w:ind w:left="567" w:hanging="567"/>
        <w:jc w:val="center"/>
        <w:rPr>
          <w:rFonts w:ascii="Cambria" w:hAnsi="Cambria" w:cstheme="minorHAnsi"/>
          <w:b/>
        </w:rPr>
      </w:pPr>
    </w:p>
    <w:p w14:paraId="50BBF010" w14:textId="77777777" w:rsidR="00D70185" w:rsidRPr="00AC406E" w:rsidRDefault="00D70185" w:rsidP="00D70185">
      <w:pPr>
        <w:tabs>
          <w:tab w:val="left" w:pos="567"/>
          <w:tab w:val="left" w:pos="1418"/>
          <w:tab w:val="left" w:pos="2268"/>
          <w:tab w:val="left" w:pos="3119"/>
          <w:tab w:val="left" w:pos="3969"/>
        </w:tabs>
        <w:spacing w:after="0" w:line="240" w:lineRule="auto"/>
        <w:ind w:left="567" w:hanging="567"/>
        <w:jc w:val="center"/>
        <w:rPr>
          <w:rFonts w:ascii="Cambria" w:hAnsi="Cambria" w:cstheme="minorHAnsi"/>
          <w:b/>
        </w:rPr>
      </w:pPr>
    </w:p>
    <w:p w14:paraId="54F56FA7" w14:textId="77777777" w:rsidR="00D70185" w:rsidRPr="00AC406E" w:rsidRDefault="00D70185" w:rsidP="00D70185">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AC406E">
        <w:rPr>
          <w:rFonts w:ascii="Cambria" w:hAnsi="Cambria" w:cstheme="minorHAnsi"/>
          <w:b/>
        </w:rPr>
        <w:t>1.</w:t>
      </w:r>
      <w:r w:rsidRPr="00AC406E">
        <w:rPr>
          <w:rFonts w:ascii="Cambria" w:hAnsi="Cambria" w:cstheme="minorHAnsi"/>
          <w:b/>
        </w:rPr>
        <w:tab/>
        <w:t>NAME</w:t>
      </w:r>
    </w:p>
    <w:p w14:paraId="66C94257" w14:textId="77777777" w:rsidR="00D70185" w:rsidRPr="00AC406E" w:rsidRDefault="00D70185" w:rsidP="00D70185">
      <w:pPr>
        <w:tabs>
          <w:tab w:val="left" w:pos="567"/>
          <w:tab w:val="left" w:pos="1418"/>
          <w:tab w:val="left" w:pos="2268"/>
          <w:tab w:val="left" w:pos="3119"/>
          <w:tab w:val="left" w:pos="3969"/>
        </w:tabs>
        <w:spacing w:after="0" w:line="240" w:lineRule="auto"/>
        <w:ind w:left="567" w:hanging="567"/>
        <w:rPr>
          <w:rFonts w:ascii="Cambria" w:hAnsi="Cambria" w:cstheme="minorHAnsi"/>
        </w:rPr>
      </w:pPr>
      <w:r w:rsidRPr="00AC406E">
        <w:rPr>
          <w:rFonts w:ascii="Cambria" w:hAnsi="Cambria" w:cstheme="minorHAnsi"/>
        </w:rPr>
        <w:tab/>
        <w:t>Committee for International Mission, referred to as “the Committee”.</w:t>
      </w:r>
    </w:p>
    <w:p w14:paraId="5202FA4B" w14:textId="77777777" w:rsidR="00D70185" w:rsidRPr="00AC406E" w:rsidRDefault="00D70185" w:rsidP="00D70185">
      <w:pPr>
        <w:tabs>
          <w:tab w:val="left" w:pos="567"/>
          <w:tab w:val="left" w:pos="1418"/>
          <w:tab w:val="left" w:pos="2268"/>
          <w:tab w:val="left" w:pos="3119"/>
          <w:tab w:val="left" w:pos="3969"/>
        </w:tabs>
        <w:spacing w:after="0" w:line="240" w:lineRule="auto"/>
        <w:ind w:left="567" w:hanging="567"/>
        <w:rPr>
          <w:rFonts w:ascii="Cambria" w:hAnsi="Cambria" w:cstheme="minorHAnsi"/>
        </w:rPr>
      </w:pPr>
    </w:p>
    <w:p w14:paraId="5748DE4B" w14:textId="73AA8E52" w:rsidR="00D70185" w:rsidRPr="00AC406E" w:rsidRDefault="00D70185" w:rsidP="00D70185">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AC406E">
        <w:rPr>
          <w:rFonts w:ascii="Cambria" w:hAnsi="Cambria" w:cstheme="minorHAnsi"/>
          <w:b/>
        </w:rPr>
        <w:t>2.</w:t>
      </w:r>
      <w:r w:rsidRPr="00AC406E">
        <w:rPr>
          <w:rFonts w:ascii="Cambria" w:hAnsi="Cambria" w:cstheme="minorHAnsi"/>
          <w:b/>
        </w:rPr>
        <w:tab/>
        <w:t>RELATIONSHIP TO THE CHURCH</w:t>
      </w:r>
    </w:p>
    <w:p w14:paraId="2184D54A" w14:textId="77777777" w:rsidR="00D70185" w:rsidRPr="00AC406E" w:rsidRDefault="00D70185" w:rsidP="00D70185">
      <w:pPr>
        <w:tabs>
          <w:tab w:val="left" w:pos="567"/>
          <w:tab w:val="left" w:pos="1418"/>
          <w:tab w:val="left" w:pos="2268"/>
          <w:tab w:val="left" w:pos="3119"/>
          <w:tab w:val="left" w:pos="3969"/>
        </w:tabs>
        <w:spacing w:after="0" w:line="240" w:lineRule="auto"/>
        <w:ind w:left="567" w:hanging="567"/>
        <w:rPr>
          <w:rFonts w:ascii="Cambria" w:hAnsi="Cambria" w:cstheme="minorHAnsi"/>
        </w:rPr>
      </w:pPr>
      <w:r w:rsidRPr="00AC406E">
        <w:rPr>
          <w:rFonts w:ascii="Cambria" w:hAnsi="Cambria" w:cstheme="minorHAnsi"/>
        </w:rPr>
        <w:tab/>
        <w:t>The Committee is an advisory committee of the Office of the Bishop</w:t>
      </w:r>
      <w:r w:rsidRPr="00AC406E">
        <w:rPr>
          <w:rFonts w:ascii="Cambria" w:hAnsi="Cambria"/>
        </w:rPr>
        <w:t xml:space="preserve"> </w:t>
      </w:r>
      <w:r w:rsidRPr="00AC406E">
        <w:rPr>
          <w:rFonts w:ascii="Cambria" w:hAnsi="Cambria" w:cstheme="minorHAnsi"/>
        </w:rPr>
        <w:t>and shall fulfil its responsibilities in keeping with the Constitution and the policies of the Church.</w:t>
      </w:r>
    </w:p>
    <w:p w14:paraId="7FF73CE3" w14:textId="77777777" w:rsidR="00D70185" w:rsidRPr="00AC406E" w:rsidRDefault="00D70185" w:rsidP="00D70185">
      <w:pPr>
        <w:tabs>
          <w:tab w:val="left" w:pos="567"/>
          <w:tab w:val="left" w:pos="1418"/>
          <w:tab w:val="left" w:pos="2268"/>
          <w:tab w:val="left" w:pos="3119"/>
          <w:tab w:val="left" w:pos="3969"/>
        </w:tabs>
        <w:spacing w:after="0" w:line="240" w:lineRule="auto"/>
        <w:ind w:left="567" w:hanging="567"/>
        <w:rPr>
          <w:rFonts w:ascii="Cambria" w:hAnsi="Cambria" w:cstheme="minorHAnsi"/>
        </w:rPr>
      </w:pPr>
    </w:p>
    <w:p w14:paraId="4AE7DBD5" w14:textId="77777777" w:rsidR="00D70185" w:rsidRPr="00AC406E" w:rsidRDefault="00D70185" w:rsidP="00D70185">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AC406E">
        <w:rPr>
          <w:rFonts w:ascii="Cambria" w:hAnsi="Cambria" w:cstheme="minorHAnsi"/>
          <w:b/>
        </w:rPr>
        <w:t>3.</w:t>
      </w:r>
      <w:r w:rsidRPr="00AC406E">
        <w:rPr>
          <w:rFonts w:ascii="Cambria" w:hAnsi="Cambria" w:cstheme="minorHAnsi"/>
          <w:b/>
        </w:rPr>
        <w:tab/>
        <w:t>PURPOSE</w:t>
      </w:r>
    </w:p>
    <w:p w14:paraId="3BE94E86" w14:textId="77777777" w:rsidR="00D70185" w:rsidRPr="00AC406E" w:rsidRDefault="00D70185" w:rsidP="00D70185">
      <w:pPr>
        <w:tabs>
          <w:tab w:val="left" w:pos="567"/>
          <w:tab w:val="left" w:pos="1418"/>
          <w:tab w:val="left" w:pos="2268"/>
          <w:tab w:val="left" w:pos="3119"/>
          <w:tab w:val="left" w:pos="3969"/>
        </w:tabs>
        <w:spacing w:after="0" w:line="240" w:lineRule="auto"/>
        <w:ind w:left="567" w:hanging="567"/>
        <w:rPr>
          <w:rFonts w:ascii="Cambria" w:hAnsi="Cambria" w:cstheme="minorHAnsi"/>
        </w:rPr>
      </w:pPr>
      <w:r w:rsidRPr="00AC406E">
        <w:rPr>
          <w:rFonts w:ascii="Cambria" w:hAnsi="Cambria" w:cstheme="minorHAnsi"/>
        </w:rPr>
        <w:tab/>
        <w:t>The Committee shall provide advice which assists the Bishop of the Church and the Assistant to the Bishop – International Mission to strengthen, support and maintain the partnerships of the Church with overseas churches.</w:t>
      </w:r>
    </w:p>
    <w:p w14:paraId="007643D9" w14:textId="77777777" w:rsidR="00D70185" w:rsidRPr="00AC406E" w:rsidRDefault="00D70185" w:rsidP="00D70185">
      <w:pPr>
        <w:tabs>
          <w:tab w:val="left" w:pos="567"/>
          <w:tab w:val="left" w:pos="1418"/>
          <w:tab w:val="left" w:pos="2268"/>
          <w:tab w:val="left" w:pos="3119"/>
          <w:tab w:val="left" w:pos="3969"/>
        </w:tabs>
        <w:spacing w:after="0" w:line="240" w:lineRule="auto"/>
        <w:ind w:left="567" w:hanging="567"/>
        <w:rPr>
          <w:rFonts w:ascii="Cambria" w:hAnsi="Cambria" w:cstheme="minorHAnsi"/>
        </w:rPr>
      </w:pPr>
    </w:p>
    <w:p w14:paraId="54159527" w14:textId="77777777" w:rsidR="00D70185" w:rsidRPr="00AC406E" w:rsidRDefault="00D70185" w:rsidP="00D70185">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AC406E">
        <w:rPr>
          <w:rFonts w:ascii="Cambria" w:hAnsi="Cambria" w:cstheme="minorHAnsi"/>
          <w:b/>
        </w:rPr>
        <w:t>4.</w:t>
      </w:r>
      <w:r w:rsidRPr="00AC406E">
        <w:rPr>
          <w:rFonts w:ascii="Cambria" w:hAnsi="Cambria" w:cstheme="minorHAnsi"/>
          <w:b/>
        </w:rPr>
        <w:tab/>
        <w:t>AUTHORITY</w:t>
      </w:r>
    </w:p>
    <w:p w14:paraId="5B07D149" w14:textId="77777777" w:rsidR="00D70185" w:rsidRPr="00AC406E" w:rsidRDefault="00D70185" w:rsidP="00D70185">
      <w:pPr>
        <w:tabs>
          <w:tab w:val="left" w:pos="567"/>
          <w:tab w:val="left" w:pos="1418"/>
          <w:tab w:val="left" w:pos="2268"/>
          <w:tab w:val="left" w:pos="3119"/>
          <w:tab w:val="left" w:pos="3969"/>
        </w:tabs>
        <w:spacing w:after="0" w:line="240" w:lineRule="auto"/>
        <w:ind w:left="567" w:hanging="567"/>
        <w:rPr>
          <w:rFonts w:ascii="Cambria" w:hAnsi="Cambria" w:cstheme="minorHAnsi"/>
        </w:rPr>
      </w:pPr>
      <w:r w:rsidRPr="00AC406E">
        <w:rPr>
          <w:rFonts w:ascii="Cambria" w:hAnsi="Cambria" w:cstheme="minorHAnsi"/>
        </w:rPr>
        <w:tab/>
        <w:t>The Committee has no decision-making authority.</w:t>
      </w:r>
    </w:p>
    <w:p w14:paraId="55F4B3D6" w14:textId="77777777" w:rsidR="00D70185" w:rsidRPr="00AC406E" w:rsidRDefault="00D70185" w:rsidP="00D70185">
      <w:pPr>
        <w:tabs>
          <w:tab w:val="left" w:pos="567"/>
          <w:tab w:val="left" w:pos="1418"/>
          <w:tab w:val="left" w:pos="2268"/>
          <w:tab w:val="left" w:pos="3119"/>
          <w:tab w:val="left" w:pos="3969"/>
        </w:tabs>
        <w:spacing w:after="0" w:line="240" w:lineRule="auto"/>
        <w:ind w:left="567" w:hanging="567"/>
        <w:rPr>
          <w:rFonts w:ascii="Cambria" w:hAnsi="Cambria" w:cstheme="minorHAnsi"/>
        </w:rPr>
      </w:pPr>
    </w:p>
    <w:p w14:paraId="27A3FC2D" w14:textId="77777777" w:rsidR="00D70185" w:rsidRPr="00AC406E" w:rsidRDefault="00D70185" w:rsidP="00D70185">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AC406E">
        <w:rPr>
          <w:rFonts w:ascii="Cambria" w:hAnsi="Cambria" w:cstheme="minorHAnsi"/>
          <w:b/>
        </w:rPr>
        <w:t>5.</w:t>
      </w:r>
      <w:r w:rsidRPr="00AC406E">
        <w:rPr>
          <w:rFonts w:ascii="Cambria" w:hAnsi="Cambria" w:cstheme="minorHAnsi"/>
          <w:b/>
        </w:rPr>
        <w:tab/>
        <w:t>MEMBERSHIP</w:t>
      </w:r>
    </w:p>
    <w:p w14:paraId="590DFF3F" w14:textId="77777777" w:rsidR="00D70185" w:rsidRPr="00AC406E" w:rsidRDefault="00D70185" w:rsidP="00D70185">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AC406E">
        <w:rPr>
          <w:rFonts w:ascii="Cambria" w:hAnsi="Cambria" w:cstheme="minorHAnsi"/>
        </w:rPr>
        <w:tab/>
        <w:t>5.1</w:t>
      </w:r>
      <w:r w:rsidRPr="00AC406E">
        <w:rPr>
          <w:rFonts w:ascii="Cambria" w:hAnsi="Cambria" w:cstheme="minorHAnsi"/>
        </w:rPr>
        <w:tab/>
        <w:t xml:space="preserve">The Committee shall consist of seven [7] members: </w:t>
      </w:r>
    </w:p>
    <w:p w14:paraId="0905F6DF" w14:textId="77777777" w:rsidR="00D70185" w:rsidRPr="00AC406E" w:rsidRDefault="00D70185" w:rsidP="00D70185">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AC406E">
        <w:rPr>
          <w:rFonts w:ascii="Cambria" w:hAnsi="Cambria" w:cstheme="minorHAnsi"/>
        </w:rPr>
        <w:tab/>
      </w:r>
      <w:r w:rsidRPr="00AC406E">
        <w:rPr>
          <w:rFonts w:ascii="Cambria" w:hAnsi="Cambria" w:cstheme="minorHAnsi"/>
        </w:rPr>
        <w:tab/>
        <w:t>5.2.1</w:t>
      </w:r>
      <w:r w:rsidRPr="00AC406E">
        <w:rPr>
          <w:rFonts w:ascii="Cambria" w:hAnsi="Cambria" w:cstheme="minorHAnsi"/>
        </w:rPr>
        <w:tab/>
        <w:t>the Bishop of the Church, who shall be the Chairperson;</w:t>
      </w:r>
    </w:p>
    <w:p w14:paraId="44DC7A77" w14:textId="77777777" w:rsidR="00D70185" w:rsidRPr="00AC406E" w:rsidRDefault="00D70185" w:rsidP="00D70185">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AC406E">
        <w:rPr>
          <w:rFonts w:ascii="Cambria" w:hAnsi="Cambria" w:cstheme="minorHAnsi"/>
        </w:rPr>
        <w:tab/>
      </w:r>
      <w:r w:rsidRPr="00AC406E">
        <w:rPr>
          <w:rFonts w:ascii="Cambria" w:hAnsi="Cambria" w:cstheme="minorHAnsi"/>
        </w:rPr>
        <w:tab/>
        <w:t>5.2.2</w:t>
      </w:r>
      <w:r w:rsidRPr="00AC406E">
        <w:rPr>
          <w:rFonts w:ascii="Cambria" w:hAnsi="Cambria" w:cstheme="minorHAnsi"/>
        </w:rPr>
        <w:tab/>
        <w:t>one [1] pastor with experience in international mission;</w:t>
      </w:r>
    </w:p>
    <w:p w14:paraId="5952FC93" w14:textId="77777777" w:rsidR="00D70185" w:rsidRPr="00AC406E" w:rsidRDefault="00D70185" w:rsidP="00D70185">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AC406E">
        <w:rPr>
          <w:rFonts w:ascii="Cambria" w:hAnsi="Cambria" w:cstheme="minorHAnsi"/>
        </w:rPr>
        <w:tab/>
      </w:r>
      <w:r w:rsidRPr="00AC406E">
        <w:rPr>
          <w:rFonts w:ascii="Cambria" w:hAnsi="Cambria" w:cstheme="minorHAnsi"/>
        </w:rPr>
        <w:tab/>
        <w:t>5.2.3</w:t>
      </w:r>
      <w:r w:rsidRPr="00AC406E">
        <w:rPr>
          <w:rFonts w:ascii="Cambria" w:hAnsi="Cambria" w:cstheme="minorHAnsi"/>
        </w:rPr>
        <w:tab/>
        <w:t>one [1] member with relevant experience in the international mission context;</w:t>
      </w:r>
    </w:p>
    <w:p w14:paraId="5FB068F8" w14:textId="77777777" w:rsidR="00D70185" w:rsidRPr="00AC406E" w:rsidRDefault="00D70185" w:rsidP="00D70185">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AC406E">
        <w:rPr>
          <w:rFonts w:ascii="Cambria" w:hAnsi="Cambria" w:cstheme="minorHAnsi"/>
        </w:rPr>
        <w:tab/>
      </w:r>
      <w:r w:rsidRPr="00AC406E">
        <w:rPr>
          <w:rFonts w:ascii="Cambria" w:hAnsi="Cambria" w:cstheme="minorHAnsi"/>
        </w:rPr>
        <w:tab/>
        <w:t>5.2.4</w:t>
      </w:r>
      <w:r w:rsidRPr="00AC406E">
        <w:rPr>
          <w:rFonts w:ascii="Cambria" w:hAnsi="Cambria" w:cstheme="minorHAnsi"/>
        </w:rPr>
        <w:tab/>
        <w:t>one [1] member with relevant financial and program management expertise;</w:t>
      </w:r>
    </w:p>
    <w:p w14:paraId="0DB7DC92" w14:textId="77777777" w:rsidR="00D70185" w:rsidRPr="00AC406E" w:rsidRDefault="00D70185" w:rsidP="00D70185">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AC406E">
        <w:rPr>
          <w:rFonts w:ascii="Cambria" w:hAnsi="Cambria" w:cstheme="minorHAnsi"/>
        </w:rPr>
        <w:tab/>
      </w:r>
      <w:r w:rsidRPr="00AC406E">
        <w:rPr>
          <w:rFonts w:ascii="Cambria" w:hAnsi="Cambria" w:cstheme="minorHAnsi"/>
        </w:rPr>
        <w:tab/>
        <w:t>5.2.5</w:t>
      </w:r>
      <w:r w:rsidRPr="00AC406E">
        <w:rPr>
          <w:rFonts w:ascii="Cambria" w:hAnsi="Cambria" w:cstheme="minorHAnsi"/>
        </w:rPr>
        <w:tab/>
        <w:t>one [1] member with a background in communications or a related field;</w:t>
      </w:r>
    </w:p>
    <w:p w14:paraId="619584C9" w14:textId="77777777" w:rsidR="00D70185" w:rsidRPr="00AC406E" w:rsidRDefault="00D70185" w:rsidP="00D70185">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AC406E">
        <w:rPr>
          <w:rFonts w:ascii="Cambria" w:hAnsi="Cambria" w:cstheme="minorHAnsi"/>
        </w:rPr>
        <w:tab/>
      </w:r>
      <w:r w:rsidRPr="00AC406E">
        <w:rPr>
          <w:rFonts w:ascii="Cambria" w:hAnsi="Cambria" w:cstheme="minorHAnsi"/>
        </w:rPr>
        <w:tab/>
        <w:t>5.2.6</w:t>
      </w:r>
      <w:r w:rsidRPr="00AC406E">
        <w:rPr>
          <w:rFonts w:ascii="Cambria" w:hAnsi="Cambria" w:cstheme="minorHAnsi"/>
        </w:rPr>
        <w:tab/>
        <w:t>one [1] member with experience and qualifications in education or related field;  and</w:t>
      </w:r>
    </w:p>
    <w:p w14:paraId="4013F241" w14:textId="77777777" w:rsidR="00D70185" w:rsidRPr="00AC406E" w:rsidRDefault="00D70185" w:rsidP="00D70185">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AC406E">
        <w:rPr>
          <w:rFonts w:ascii="Cambria" w:hAnsi="Cambria" w:cstheme="minorHAnsi"/>
        </w:rPr>
        <w:tab/>
      </w:r>
      <w:r w:rsidRPr="00AC406E">
        <w:rPr>
          <w:rFonts w:ascii="Cambria" w:hAnsi="Cambria" w:cstheme="minorHAnsi"/>
        </w:rPr>
        <w:tab/>
        <w:t>5.2.7</w:t>
      </w:r>
      <w:r w:rsidRPr="00AC406E">
        <w:rPr>
          <w:rFonts w:ascii="Cambria" w:hAnsi="Cambria" w:cstheme="minorHAnsi"/>
        </w:rPr>
        <w:tab/>
        <w:t>one [1] member with experience in a cross-cultural context.</w:t>
      </w:r>
    </w:p>
    <w:p w14:paraId="58417C48" w14:textId="77777777" w:rsidR="00D70185" w:rsidRPr="00AC406E" w:rsidRDefault="00D70185" w:rsidP="00D70185">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AC406E">
        <w:rPr>
          <w:rFonts w:ascii="Cambria" w:hAnsi="Cambria" w:cstheme="minorHAnsi"/>
        </w:rPr>
        <w:tab/>
        <w:t>5.2</w:t>
      </w:r>
      <w:r w:rsidRPr="00AC406E">
        <w:rPr>
          <w:rFonts w:ascii="Cambria" w:hAnsi="Cambria" w:cstheme="minorHAnsi"/>
        </w:rPr>
        <w:tab/>
        <w:t xml:space="preserve">The Committee shall be appointed by the Bishop of the Church from recommendations by the Standing Committee on Nominations.  </w:t>
      </w:r>
    </w:p>
    <w:p w14:paraId="6349B9BC" w14:textId="77777777" w:rsidR="00D70185" w:rsidRPr="00AC406E" w:rsidRDefault="00D70185" w:rsidP="00D70185">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AC406E">
        <w:rPr>
          <w:rFonts w:ascii="Cambria" w:hAnsi="Cambria" w:cstheme="minorHAnsi"/>
        </w:rPr>
        <w:tab/>
        <w:t>5.3</w:t>
      </w:r>
      <w:r w:rsidRPr="00AC406E">
        <w:rPr>
          <w:rFonts w:ascii="Cambria" w:hAnsi="Cambria" w:cstheme="minorHAnsi"/>
        </w:rPr>
        <w:tab/>
        <w:t>The Committee shall consist of people with a passion for mission and ministry.</w:t>
      </w:r>
    </w:p>
    <w:p w14:paraId="1E674A80" w14:textId="77777777" w:rsidR="00D70185" w:rsidRPr="00AC406E" w:rsidRDefault="00D70185" w:rsidP="00D70185">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AC406E">
        <w:rPr>
          <w:rFonts w:ascii="Cambria" w:hAnsi="Cambria" w:cstheme="minorHAnsi"/>
        </w:rPr>
        <w:tab/>
        <w:t>5.4</w:t>
      </w:r>
      <w:r w:rsidRPr="00AC406E">
        <w:rPr>
          <w:rFonts w:ascii="Cambria" w:hAnsi="Cambria" w:cstheme="minorHAnsi"/>
        </w:rPr>
        <w:tab/>
        <w:t>The Committee shall include a mix of backgrounds and perspectives which, together with the relevant skills, qualifications and experience will enable the Committee to fulfil its role.</w:t>
      </w:r>
    </w:p>
    <w:p w14:paraId="7BA1C4DF" w14:textId="77777777" w:rsidR="00D70185" w:rsidRPr="00AC406E" w:rsidRDefault="00D70185" w:rsidP="00D70185">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AC406E">
        <w:rPr>
          <w:rFonts w:ascii="Cambria" w:hAnsi="Cambria" w:cstheme="minorHAnsi"/>
        </w:rPr>
        <w:tab/>
        <w:t>5.5</w:t>
      </w:r>
      <w:r w:rsidRPr="00AC406E">
        <w:rPr>
          <w:rFonts w:ascii="Cambria" w:hAnsi="Cambria" w:cstheme="minorHAnsi"/>
        </w:rPr>
        <w:tab/>
        <w:t>The term of appointment for all members will be for a Synodical term.</w:t>
      </w:r>
    </w:p>
    <w:p w14:paraId="080A9DF2" w14:textId="77777777" w:rsidR="00D70185" w:rsidRPr="00AC406E" w:rsidRDefault="00D70185" w:rsidP="00D70185">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AC406E">
        <w:rPr>
          <w:rFonts w:ascii="Cambria" w:hAnsi="Cambria" w:cstheme="minorHAnsi"/>
        </w:rPr>
        <w:tab/>
        <w:t>5.6</w:t>
      </w:r>
      <w:r w:rsidRPr="00AC406E">
        <w:rPr>
          <w:rFonts w:ascii="Cambria" w:hAnsi="Cambria" w:cstheme="minorHAnsi"/>
        </w:rPr>
        <w:tab/>
        <w:t>The Bishop of the Church may delegate the role of Chairperson to another member of the Committee, in consultation with the members of the Committee.</w:t>
      </w:r>
    </w:p>
    <w:p w14:paraId="1A59F501" w14:textId="77777777" w:rsidR="00D70185" w:rsidRPr="00AC406E" w:rsidRDefault="00D70185" w:rsidP="00D70185">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AC406E">
        <w:rPr>
          <w:rFonts w:ascii="Cambria" w:hAnsi="Cambria" w:cstheme="minorHAnsi"/>
        </w:rPr>
        <w:tab/>
        <w:t>5.7</w:t>
      </w:r>
      <w:r w:rsidRPr="00AC406E">
        <w:rPr>
          <w:rFonts w:ascii="Cambria" w:hAnsi="Cambria" w:cstheme="minorHAnsi"/>
        </w:rPr>
        <w:tab/>
        <w:t>The Assistant to the Bishop – International Mission shall attend meetings of the Committee.</w:t>
      </w:r>
    </w:p>
    <w:p w14:paraId="0818E1A9" w14:textId="77777777" w:rsidR="00D70185" w:rsidRPr="00AC406E" w:rsidRDefault="00D70185" w:rsidP="00D70185">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AC406E">
        <w:rPr>
          <w:rFonts w:ascii="Cambria" w:hAnsi="Cambria" w:cstheme="minorHAnsi"/>
        </w:rPr>
        <w:tab/>
        <w:t>5.8</w:t>
      </w:r>
      <w:r w:rsidRPr="00AC406E">
        <w:rPr>
          <w:rFonts w:ascii="Cambria" w:hAnsi="Cambria" w:cstheme="minorHAnsi"/>
        </w:rPr>
        <w:tab/>
        <w:t>The Executive Officer – Local Mission shall attend meetings to maintain good collaboration between local mission and international mission.</w:t>
      </w:r>
    </w:p>
    <w:p w14:paraId="3D95D002" w14:textId="77777777" w:rsidR="00D70185" w:rsidRPr="00AC406E" w:rsidRDefault="00D70185" w:rsidP="00D70185">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AC406E">
        <w:rPr>
          <w:rFonts w:ascii="Cambria" w:hAnsi="Cambria" w:cstheme="minorHAnsi"/>
        </w:rPr>
        <w:tab/>
        <w:t>5.9</w:t>
      </w:r>
      <w:r w:rsidRPr="00AC406E">
        <w:rPr>
          <w:rFonts w:ascii="Cambria" w:hAnsi="Cambria" w:cstheme="minorHAnsi"/>
        </w:rPr>
        <w:tab/>
        <w:t>Other persons involved in or interested in International Mission, its program and partners may be invited to bring their knowledge and experience to the meeting to assist in the deliberations of the Committee.</w:t>
      </w:r>
    </w:p>
    <w:p w14:paraId="3759BEBC" w14:textId="77777777" w:rsidR="00D70185" w:rsidRPr="00AC406E" w:rsidRDefault="00D70185" w:rsidP="00D70185">
      <w:pPr>
        <w:tabs>
          <w:tab w:val="left" w:pos="567"/>
          <w:tab w:val="left" w:pos="1418"/>
          <w:tab w:val="left" w:pos="2268"/>
          <w:tab w:val="left" w:pos="3119"/>
          <w:tab w:val="left" w:pos="3969"/>
        </w:tabs>
        <w:spacing w:after="0" w:line="240" w:lineRule="auto"/>
        <w:ind w:left="567" w:hanging="567"/>
        <w:rPr>
          <w:rFonts w:ascii="Cambria" w:hAnsi="Cambria" w:cstheme="minorHAnsi"/>
        </w:rPr>
      </w:pPr>
    </w:p>
    <w:p w14:paraId="08F6FC41" w14:textId="425B4AA6" w:rsidR="00D70185" w:rsidRPr="00AC406E" w:rsidRDefault="00D70185" w:rsidP="00D70185">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AC406E">
        <w:rPr>
          <w:rFonts w:ascii="Cambria" w:hAnsi="Cambria" w:cstheme="minorHAnsi"/>
          <w:b/>
        </w:rPr>
        <w:t>6.</w:t>
      </w:r>
      <w:r w:rsidRPr="00AC406E">
        <w:rPr>
          <w:rFonts w:ascii="Cambria" w:hAnsi="Cambria" w:cstheme="minorHAnsi"/>
          <w:b/>
        </w:rPr>
        <w:tab/>
        <w:t>MEETING ARRANGEMENTS AND REPORTING</w:t>
      </w:r>
    </w:p>
    <w:p w14:paraId="063807CF" w14:textId="77777777" w:rsidR="00D70185" w:rsidRPr="00AC406E" w:rsidRDefault="00D70185" w:rsidP="00D70185">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AC406E">
        <w:rPr>
          <w:rFonts w:ascii="Cambria" w:hAnsi="Cambria" w:cstheme="minorHAnsi"/>
        </w:rPr>
        <w:tab/>
        <w:t>6.1</w:t>
      </w:r>
      <w:r w:rsidRPr="00AC406E">
        <w:rPr>
          <w:rFonts w:ascii="Cambria" w:hAnsi="Cambria" w:cstheme="minorHAnsi"/>
        </w:rPr>
        <w:tab/>
        <w:t xml:space="preserve">Meetings shall be convened by the Chairperson or, by delegation, the Assistant to the Bishop – International Mission.  </w:t>
      </w:r>
    </w:p>
    <w:p w14:paraId="2E903A89" w14:textId="77777777" w:rsidR="00D70185" w:rsidRPr="00AC406E" w:rsidRDefault="00D70185" w:rsidP="00D70185">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AC406E">
        <w:rPr>
          <w:rFonts w:ascii="Cambria" w:hAnsi="Cambria" w:cstheme="minorHAnsi"/>
        </w:rPr>
        <w:lastRenderedPageBreak/>
        <w:tab/>
        <w:t>6.2</w:t>
      </w:r>
      <w:r w:rsidRPr="00AC406E">
        <w:rPr>
          <w:rFonts w:ascii="Cambria" w:hAnsi="Cambria" w:cstheme="minorHAnsi"/>
        </w:rPr>
        <w:tab/>
        <w:t>It is at the discretion of the Committee to meet face-to-face, by electronic means, or by other means of communication.</w:t>
      </w:r>
    </w:p>
    <w:p w14:paraId="6E22654B" w14:textId="77777777" w:rsidR="00D70185" w:rsidRPr="00AC406E" w:rsidRDefault="00D70185" w:rsidP="00D70185">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AC406E">
        <w:rPr>
          <w:rFonts w:ascii="Cambria" w:hAnsi="Cambria" w:cstheme="minorHAnsi"/>
        </w:rPr>
        <w:tab/>
        <w:t>6.3</w:t>
      </w:r>
      <w:r w:rsidRPr="00AC406E">
        <w:rPr>
          <w:rFonts w:ascii="Cambria" w:hAnsi="Cambria" w:cstheme="minorHAnsi"/>
        </w:rPr>
        <w:tab/>
        <w:t>Email correspondence may be used for the distribution of minutes, advisory information or approval of documentation.</w:t>
      </w:r>
    </w:p>
    <w:p w14:paraId="3894F20C" w14:textId="77777777" w:rsidR="00D70185" w:rsidRPr="00AC406E" w:rsidRDefault="00D70185" w:rsidP="00D70185">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AC406E">
        <w:rPr>
          <w:rFonts w:ascii="Cambria" w:hAnsi="Cambria" w:cstheme="minorHAnsi"/>
        </w:rPr>
        <w:tab/>
        <w:t>6.4</w:t>
      </w:r>
      <w:r w:rsidRPr="00AC406E">
        <w:rPr>
          <w:rFonts w:ascii="Cambria" w:hAnsi="Cambria" w:cstheme="minorHAnsi"/>
        </w:rPr>
        <w:tab/>
        <w:t>The minutes of the meetings of the Committee shall be submitted to the Bishop of the Church.</w:t>
      </w:r>
    </w:p>
    <w:p w14:paraId="45167D51" w14:textId="77777777" w:rsidR="00D70185" w:rsidRPr="00AC406E" w:rsidRDefault="00D70185" w:rsidP="00D70185">
      <w:pPr>
        <w:tabs>
          <w:tab w:val="left" w:pos="567"/>
          <w:tab w:val="left" w:pos="1418"/>
          <w:tab w:val="left" w:pos="2268"/>
          <w:tab w:val="left" w:pos="3119"/>
          <w:tab w:val="left" w:pos="3969"/>
        </w:tabs>
        <w:spacing w:after="0" w:line="240" w:lineRule="auto"/>
        <w:ind w:left="567" w:hanging="567"/>
        <w:rPr>
          <w:rFonts w:ascii="Cambria" w:hAnsi="Cambria" w:cstheme="minorHAnsi"/>
          <w:b/>
        </w:rPr>
      </w:pPr>
    </w:p>
    <w:p w14:paraId="0AD266CB" w14:textId="77777777" w:rsidR="00D70185" w:rsidRPr="00AC406E" w:rsidRDefault="00D70185" w:rsidP="00D70185">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AC406E">
        <w:rPr>
          <w:rFonts w:ascii="Cambria" w:hAnsi="Cambria" w:cstheme="minorHAnsi"/>
          <w:b/>
        </w:rPr>
        <w:t>7.</w:t>
      </w:r>
      <w:r w:rsidRPr="00AC406E">
        <w:rPr>
          <w:rFonts w:ascii="Cambria" w:hAnsi="Cambria" w:cstheme="minorHAnsi"/>
          <w:b/>
        </w:rPr>
        <w:tab/>
        <w:t>RESPONSIBILITIES</w:t>
      </w:r>
    </w:p>
    <w:p w14:paraId="44BE2F78" w14:textId="77777777" w:rsidR="00D70185" w:rsidRPr="00AC406E" w:rsidRDefault="00D70185" w:rsidP="00D70185">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AC406E">
        <w:rPr>
          <w:rFonts w:ascii="Cambria" w:hAnsi="Cambria" w:cstheme="minorHAnsi"/>
        </w:rPr>
        <w:tab/>
        <w:t>7.1</w:t>
      </w:r>
      <w:r w:rsidRPr="00AC406E">
        <w:rPr>
          <w:rFonts w:ascii="Cambria" w:hAnsi="Cambria" w:cstheme="minorHAnsi"/>
        </w:rPr>
        <w:tab/>
        <w:t>The Committee shall provide advice, support and encouragement to the Assistant to the Bishop – International Mission and the Bishop in the following areas:</w:t>
      </w:r>
    </w:p>
    <w:p w14:paraId="4F2FF180" w14:textId="77777777" w:rsidR="00D70185" w:rsidRPr="00AC406E" w:rsidRDefault="00D70185" w:rsidP="00D70185">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AC406E">
        <w:rPr>
          <w:rFonts w:ascii="Cambria" w:hAnsi="Cambria" w:cstheme="minorHAnsi"/>
        </w:rPr>
        <w:tab/>
      </w:r>
      <w:r w:rsidRPr="00AC406E">
        <w:rPr>
          <w:rFonts w:ascii="Cambria" w:hAnsi="Cambria" w:cstheme="minorHAnsi"/>
        </w:rPr>
        <w:tab/>
        <w:t>7.1.1</w:t>
      </w:r>
      <w:r w:rsidRPr="00AC406E">
        <w:rPr>
          <w:rFonts w:ascii="Cambria" w:hAnsi="Cambria" w:cstheme="minorHAnsi"/>
        </w:rPr>
        <w:tab/>
        <w:t>developing and maintaining a holistic approach to the international mission of the Church and mission partnerships;</w:t>
      </w:r>
    </w:p>
    <w:p w14:paraId="7D508C58" w14:textId="77777777" w:rsidR="00D70185" w:rsidRPr="00AC406E" w:rsidRDefault="00D70185" w:rsidP="00D70185">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AC406E">
        <w:rPr>
          <w:rFonts w:ascii="Cambria" w:hAnsi="Cambria" w:cstheme="minorHAnsi"/>
        </w:rPr>
        <w:tab/>
      </w:r>
      <w:r w:rsidRPr="00AC406E">
        <w:rPr>
          <w:rFonts w:ascii="Cambria" w:hAnsi="Cambria" w:cstheme="minorHAnsi"/>
        </w:rPr>
        <w:tab/>
        <w:t>7.1.2</w:t>
      </w:r>
      <w:r w:rsidRPr="00AC406E">
        <w:rPr>
          <w:rFonts w:ascii="Cambria" w:hAnsi="Cambria" w:cstheme="minorHAnsi"/>
        </w:rPr>
        <w:tab/>
        <w:t>formulating the strategic priorities of the Church in respect to its selection of, engagement with, and accompaniment alongside, its international mission partners, which may include the placement of qualified personnel into mission-related overseas positions, as agreed with the partners of the Church;</w:t>
      </w:r>
    </w:p>
    <w:p w14:paraId="16250BCD" w14:textId="77777777" w:rsidR="00D70185" w:rsidRPr="00AC406E" w:rsidRDefault="00D70185" w:rsidP="00D70185">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AC406E">
        <w:rPr>
          <w:rFonts w:ascii="Cambria" w:hAnsi="Cambria" w:cstheme="minorHAnsi"/>
        </w:rPr>
        <w:tab/>
      </w:r>
      <w:r w:rsidRPr="00AC406E">
        <w:rPr>
          <w:rFonts w:ascii="Cambria" w:hAnsi="Cambria" w:cstheme="minorHAnsi"/>
        </w:rPr>
        <w:tab/>
        <w:t>7.1.3</w:t>
      </w:r>
      <w:r w:rsidRPr="00AC406E">
        <w:rPr>
          <w:rFonts w:ascii="Cambria" w:hAnsi="Cambria" w:cstheme="minorHAnsi"/>
        </w:rPr>
        <w:tab/>
        <w:t>receiving updates and reviewing progress in the implementation of the programs and projects of, and other forms of accompaniment with international partners that may be entered into and supported by the Church from time to time;</w:t>
      </w:r>
    </w:p>
    <w:p w14:paraId="26426674" w14:textId="77777777" w:rsidR="00D70185" w:rsidRPr="00AC406E" w:rsidRDefault="00D70185" w:rsidP="00D70185">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AC406E">
        <w:rPr>
          <w:rFonts w:ascii="Cambria" w:hAnsi="Cambria" w:cstheme="minorHAnsi"/>
        </w:rPr>
        <w:tab/>
      </w:r>
      <w:r w:rsidRPr="00AC406E">
        <w:rPr>
          <w:rFonts w:ascii="Cambria" w:hAnsi="Cambria" w:cstheme="minorHAnsi"/>
        </w:rPr>
        <w:tab/>
        <w:t>7.1.4</w:t>
      </w:r>
      <w:r w:rsidRPr="00AC406E">
        <w:rPr>
          <w:rFonts w:ascii="Cambria" w:hAnsi="Cambria" w:cstheme="minorHAnsi"/>
        </w:rPr>
        <w:tab/>
        <w:t>monitoring the well-being of the relationships of the Church with its international church partners;</w:t>
      </w:r>
    </w:p>
    <w:p w14:paraId="5C6145B5" w14:textId="77777777" w:rsidR="00D70185" w:rsidRPr="00AC406E" w:rsidRDefault="00D70185" w:rsidP="00D70185">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AC406E">
        <w:rPr>
          <w:rFonts w:ascii="Cambria" w:hAnsi="Cambria" w:cstheme="minorHAnsi"/>
        </w:rPr>
        <w:tab/>
      </w:r>
      <w:r w:rsidRPr="00AC406E">
        <w:rPr>
          <w:rFonts w:ascii="Cambria" w:hAnsi="Cambria" w:cstheme="minorHAnsi"/>
        </w:rPr>
        <w:tab/>
        <w:t>7.1.5</w:t>
      </w:r>
      <w:r w:rsidRPr="00AC406E">
        <w:rPr>
          <w:rFonts w:ascii="Cambria" w:hAnsi="Cambria" w:cstheme="minorHAnsi"/>
        </w:rPr>
        <w:tab/>
        <w:t>evaluating the effectiveness of programs which are supported by the Church, as well as to periodically review the well-being and future of the partnership itself;</w:t>
      </w:r>
    </w:p>
    <w:p w14:paraId="1ABC1B3B" w14:textId="77777777" w:rsidR="00D70185" w:rsidRPr="00AC406E" w:rsidRDefault="00D70185" w:rsidP="00D70185">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AC406E">
        <w:rPr>
          <w:rFonts w:ascii="Cambria" w:hAnsi="Cambria" w:cstheme="minorHAnsi"/>
        </w:rPr>
        <w:tab/>
      </w:r>
      <w:r w:rsidRPr="00AC406E">
        <w:rPr>
          <w:rFonts w:ascii="Cambria" w:hAnsi="Cambria" w:cstheme="minorHAnsi"/>
        </w:rPr>
        <w:tab/>
        <w:t>7.1.6</w:t>
      </w:r>
      <w:r w:rsidRPr="00AC406E">
        <w:rPr>
          <w:rFonts w:ascii="Cambria" w:hAnsi="Cambria" w:cstheme="minorHAnsi"/>
        </w:rPr>
        <w:tab/>
      </w:r>
      <w:r w:rsidRPr="00AC406E">
        <w:rPr>
          <w:rFonts w:ascii="Cambria" w:hAnsi="Cambria"/>
        </w:rPr>
        <w:t xml:space="preserve">reviewing and monitoring the work and well-being of the International Mission Department staff; </w:t>
      </w:r>
      <w:r w:rsidRPr="00AC406E">
        <w:rPr>
          <w:rFonts w:ascii="Cambria" w:hAnsi="Cambria" w:cstheme="minorHAnsi"/>
        </w:rPr>
        <w:t xml:space="preserve"> and</w:t>
      </w:r>
    </w:p>
    <w:p w14:paraId="3D6D5E2E" w14:textId="77777777" w:rsidR="00D70185" w:rsidRPr="00AC406E" w:rsidRDefault="00D70185" w:rsidP="00D70185">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AC406E">
        <w:rPr>
          <w:rFonts w:ascii="Cambria" w:hAnsi="Cambria" w:cstheme="minorHAnsi"/>
        </w:rPr>
        <w:tab/>
      </w:r>
      <w:r w:rsidRPr="00AC406E">
        <w:rPr>
          <w:rFonts w:ascii="Cambria" w:hAnsi="Cambria" w:cstheme="minorHAnsi"/>
        </w:rPr>
        <w:tab/>
        <w:t>7.1.7</w:t>
      </w:r>
      <w:r w:rsidRPr="00AC406E">
        <w:rPr>
          <w:rFonts w:ascii="Cambria" w:hAnsi="Cambria" w:cstheme="minorHAnsi"/>
        </w:rPr>
        <w:tab/>
        <w:t>providing support to the Bishop of the Church in the recruitment of the Assistant to the Bishop – International Mission.</w:t>
      </w:r>
    </w:p>
    <w:p w14:paraId="27C2E9F2" w14:textId="77777777" w:rsidR="00D70185" w:rsidRPr="00AC406E" w:rsidRDefault="00D70185" w:rsidP="00D70185">
      <w:pPr>
        <w:tabs>
          <w:tab w:val="left" w:pos="567"/>
          <w:tab w:val="left" w:pos="1418"/>
          <w:tab w:val="left" w:pos="2268"/>
          <w:tab w:val="left" w:pos="3119"/>
          <w:tab w:val="left" w:pos="3969"/>
        </w:tabs>
        <w:spacing w:after="0" w:line="240" w:lineRule="auto"/>
        <w:ind w:left="567" w:hanging="567"/>
        <w:rPr>
          <w:rFonts w:ascii="Cambria" w:hAnsi="Cambria" w:cstheme="minorHAnsi"/>
        </w:rPr>
      </w:pPr>
    </w:p>
    <w:p w14:paraId="7B95BD94" w14:textId="77777777" w:rsidR="00D70185" w:rsidRPr="00AC406E" w:rsidRDefault="00D70185" w:rsidP="00D70185">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AC406E">
        <w:rPr>
          <w:rFonts w:ascii="Cambria" w:hAnsi="Cambria" w:cstheme="minorHAnsi"/>
          <w:b/>
        </w:rPr>
        <w:t>8.</w:t>
      </w:r>
      <w:r w:rsidRPr="00AC406E">
        <w:rPr>
          <w:rFonts w:ascii="Cambria" w:hAnsi="Cambria" w:cstheme="minorHAnsi"/>
          <w:b/>
        </w:rPr>
        <w:tab/>
        <w:t>REVIEW</w:t>
      </w:r>
    </w:p>
    <w:p w14:paraId="3A96E0B6" w14:textId="77777777" w:rsidR="00D70185" w:rsidRPr="00AC406E" w:rsidRDefault="00D70185" w:rsidP="00D70185">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AC406E">
        <w:rPr>
          <w:rFonts w:ascii="Cambria" w:hAnsi="Cambria" w:cstheme="minorHAnsi"/>
        </w:rPr>
        <w:tab/>
        <w:t>8.1</w:t>
      </w:r>
      <w:r w:rsidRPr="00AC406E">
        <w:rPr>
          <w:rFonts w:ascii="Cambria" w:hAnsi="Cambria" w:cstheme="minorHAnsi"/>
        </w:rPr>
        <w:tab/>
        <w:t xml:space="preserve">The Terms of Reference for the Committee shall be reviewed during each Synodical term. </w:t>
      </w:r>
    </w:p>
    <w:p w14:paraId="49376907" w14:textId="77777777" w:rsidR="00D70185" w:rsidRPr="00AC406E" w:rsidRDefault="00D70185" w:rsidP="00D70185">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AC406E">
        <w:rPr>
          <w:rFonts w:ascii="Cambria" w:hAnsi="Cambria" w:cstheme="minorHAnsi"/>
        </w:rPr>
        <w:tab/>
        <w:t>8.2</w:t>
      </w:r>
      <w:r w:rsidRPr="00AC406E">
        <w:rPr>
          <w:rFonts w:ascii="Cambria" w:hAnsi="Cambria" w:cstheme="minorHAnsi"/>
        </w:rPr>
        <w:tab/>
        <w:t>Any changes to the Terms of Reference shall be approved by the Bishop, upon review by the Standing Committee on Constitutions.</w:t>
      </w:r>
    </w:p>
    <w:p w14:paraId="6DC5133F" w14:textId="77777777" w:rsidR="00D70185" w:rsidRPr="00AC406E" w:rsidRDefault="00D70185" w:rsidP="00D70185">
      <w:pPr>
        <w:tabs>
          <w:tab w:val="left" w:pos="567"/>
          <w:tab w:val="left" w:pos="1418"/>
          <w:tab w:val="left" w:pos="2268"/>
          <w:tab w:val="left" w:pos="3119"/>
          <w:tab w:val="left" w:pos="3969"/>
        </w:tabs>
        <w:rPr>
          <w:rFonts w:ascii="Cambria" w:hAnsi="Cambria"/>
        </w:rPr>
      </w:pPr>
    </w:p>
    <w:p w14:paraId="24DC02B1" w14:textId="77777777" w:rsidR="001A7FB6" w:rsidRPr="00710AD5" w:rsidRDefault="001A7FB6" w:rsidP="001A7FB6">
      <w:pPr>
        <w:tabs>
          <w:tab w:val="left" w:pos="567"/>
          <w:tab w:val="left" w:pos="1418"/>
          <w:tab w:val="left" w:pos="2268"/>
          <w:tab w:val="left" w:pos="3119"/>
          <w:tab w:val="left" w:pos="3969"/>
        </w:tabs>
        <w:ind w:left="567" w:hanging="567"/>
        <w:rPr>
          <w:rFonts w:ascii="Cambria" w:hAnsi="Cambria"/>
        </w:rPr>
      </w:pPr>
    </w:p>
    <w:p w14:paraId="201FBE75" w14:textId="77777777" w:rsidR="001A7FB6" w:rsidRPr="000650B7" w:rsidRDefault="001A7FB6" w:rsidP="001A7FB6">
      <w:pPr>
        <w:tabs>
          <w:tab w:val="left" w:pos="567"/>
          <w:tab w:val="left" w:pos="1418"/>
          <w:tab w:val="left" w:pos="2268"/>
          <w:tab w:val="left" w:pos="3119"/>
          <w:tab w:val="left" w:pos="3969"/>
        </w:tabs>
        <w:spacing w:after="0" w:line="240" w:lineRule="auto"/>
        <w:ind w:left="1418" w:hanging="1418"/>
        <w:rPr>
          <w:rFonts w:ascii="Cambria" w:hAnsi="Cambria"/>
        </w:rPr>
      </w:pPr>
    </w:p>
    <w:p w14:paraId="43DDC2F3" w14:textId="4E1E0843" w:rsidR="006A2A40" w:rsidRPr="002F31EF" w:rsidRDefault="006A2A40" w:rsidP="006A2A40">
      <w:pPr>
        <w:pStyle w:val="Heading2"/>
      </w:pPr>
      <w:r w:rsidRPr="002F31EF">
        <w:t>CO</w:t>
      </w:r>
      <w:r>
        <w:t xml:space="preserve">MMITTEE OF LUTHERAN </w:t>
      </w:r>
      <w:r w:rsidRPr="002F31EF">
        <w:t>ARCHIVES</w:t>
      </w:r>
    </w:p>
    <w:p w14:paraId="2D8CC323" w14:textId="77777777" w:rsidR="006A2A40" w:rsidRPr="002F31EF" w:rsidRDefault="006A2A40" w:rsidP="006A2A40">
      <w:pPr>
        <w:tabs>
          <w:tab w:val="left" w:pos="567"/>
          <w:tab w:val="left" w:pos="1418"/>
          <w:tab w:val="left" w:pos="2268"/>
          <w:tab w:val="left" w:pos="3119"/>
          <w:tab w:val="left" w:pos="3969"/>
        </w:tabs>
        <w:spacing w:after="0" w:line="240" w:lineRule="auto"/>
        <w:ind w:left="567" w:hanging="567"/>
        <w:jc w:val="center"/>
        <w:rPr>
          <w:rFonts w:ascii="Cambria" w:hAnsi="Cambria" w:cstheme="minorHAnsi"/>
          <w:b/>
        </w:rPr>
      </w:pPr>
    </w:p>
    <w:p w14:paraId="0C26EDE9" w14:textId="77777777" w:rsidR="006A2A40" w:rsidRPr="002F31EF" w:rsidRDefault="006A2A40" w:rsidP="006A2A40">
      <w:pPr>
        <w:pStyle w:val="Heading3"/>
      </w:pPr>
      <w:r w:rsidRPr="002F31EF">
        <w:t>Terms of Reference</w:t>
      </w:r>
    </w:p>
    <w:p w14:paraId="4C81AF1A" w14:textId="77777777" w:rsidR="006A2A40" w:rsidRPr="002F31EF" w:rsidRDefault="006A2A40" w:rsidP="006A2A40">
      <w:pPr>
        <w:tabs>
          <w:tab w:val="left" w:pos="567"/>
          <w:tab w:val="left" w:pos="1418"/>
          <w:tab w:val="left" w:pos="2268"/>
          <w:tab w:val="left" w:pos="3119"/>
          <w:tab w:val="left" w:pos="3969"/>
        </w:tabs>
        <w:spacing w:after="0" w:line="240" w:lineRule="auto"/>
        <w:ind w:left="567" w:hanging="567"/>
        <w:jc w:val="center"/>
        <w:rPr>
          <w:rFonts w:ascii="Cambria" w:hAnsi="Cambria" w:cstheme="minorHAnsi"/>
          <w:b/>
        </w:rPr>
      </w:pPr>
    </w:p>
    <w:p w14:paraId="26275FC6" w14:textId="77777777" w:rsidR="006A2A40" w:rsidRPr="002F31EF" w:rsidRDefault="006A2A40" w:rsidP="006A2A40">
      <w:pPr>
        <w:tabs>
          <w:tab w:val="left" w:pos="567"/>
          <w:tab w:val="left" w:pos="1418"/>
          <w:tab w:val="left" w:pos="2268"/>
          <w:tab w:val="left" w:pos="3119"/>
          <w:tab w:val="left" w:pos="3969"/>
        </w:tabs>
        <w:spacing w:after="0" w:line="240" w:lineRule="auto"/>
        <w:ind w:left="567" w:hanging="567"/>
        <w:jc w:val="center"/>
        <w:rPr>
          <w:rFonts w:ascii="Cambria" w:hAnsi="Cambria" w:cstheme="minorHAnsi"/>
          <w:b/>
        </w:rPr>
      </w:pPr>
    </w:p>
    <w:p w14:paraId="4F91F4E9" w14:textId="77777777" w:rsidR="006A2A40" w:rsidRPr="002F31EF" w:rsidRDefault="006A2A40" w:rsidP="006A2A40">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2F31EF">
        <w:rPr>
          <w:rFonts w:ascii="Cambria" w:hAnsi="Cambria" w:cstheme="minorHAnsi"/>
          <w:b/>
        </w:rPr>
        <w:t>1.</w:t>
      </w:r>
      <w:r w:rsidRPr="002F31EF">
        <w:rPr>
          <w:rFonts w:ascii="Cambria" w:hAnsi="Cambria" w:cstheme="minorHAnsi"/>
          <w:b/>
        </w:rPr>
        <w:tab/>
        <w:t xml:space="preserve">NAME </w:t>
      </w:r>
    </w:p>
    <w:p w14:paraId="2D6D8183" w14:textId="77777777" w:rsidR="006A2A40" w:rsidRPr="002F31EF" w:rsidRDefault="006A2A40" w:rsidP="006A2A40">
      <w:pPr>
        <w:tabs>
          <w:tab w:val="left" w:pos="567"/>
          <w:tab w:val="left" w:pos="1418"/>
          <w:tab w:val="left" w:pos="2268"/>
          <w:tab w:val="left" w:pos="3119"/>
          <w:tab w:val="left" w:pos="3969"/>
        </w:tabs>
        <w:spacing w:after="0" w:line="240" w:lineRule="auto"/>
        <w:ind w:left="567" w:hanging="567"/>
        <w:rPr>
          <w:rFonts w:ascii="Cambria" w:hAnsi="Cambria" w:cstheme="minorHAnsi"/>
        </w:rPr>
      </w:pPr>
      <w:r w:rsidRPr="002F31EF">
        <w:rPr>
          <w:rFonts w:ascii="Cambria" w:hAnsi="Cambria" w:cstheme="minorHAnsi"/>
        </w:rPr>
        <w:tab/>
        <w:t>Committee of Lutheran Archives, referred to as “the Committee”.</w:t>
      </w:r>
    </w:p>
    <w:p w14:paraId="5D0E4386" w14:textId="77777777" w:rsidR="006A2A40" w:rsidRPr="002F31EF" w:rsidRDefault="006A2A40" w:rsidP="006A2A40">
      <w:pPr>
        <w:tabs>
          <w:tab w:val="left" w:pos="567"/>
          <w:tab w:val="left" w:pos="1418"/>
          <w:tab w:val="left" w:pos="2268"/>
          <w:tab w:val="left" w:pos="3119"/>
          <w:tab w:val="left" w:pos="3969"/>
        </w:tabs>
        <w:spacing w:after="0" w:line="240" w:lineRule="auto"/>
        <w:ind w:left="567" w:hanging="567"/>
        <w:rPr>
          <w:rFonts w:ascii="Cambria" w:hAnsi="Cambria" w:cstheme="minorHAnsi"/>
        </w:rPr>
      </w:pPr>
    </w:p>
    <w:p w14:paraId="074149B8" w14:textId="0E9DE6BC" w:rsidR="006A2A40" w:rsidRPr="002F31EF" w:rsidRDefault="006A2A40" w:rsidP="006A2A40">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2F31EF">
        <w:rPr>
          <w:rFonts w:ascii="Cambria" w:hAnsi="Cambria" w:cstheme="minorHAnsi"/>
          <w:b/>
        </w:rPr>
        <w:t>2.</w:t>
      </w:r>
      <w:r w:rsidRPr="002F31EF">
        <w:rPr>
          <w:rFonts w:ascii="Cambria" w:hAnsi="Cambria" w:cstheme="minorHAnsi"/>
          <w:b/>
        </w:rPr>
        <w:tab/>
        <w:t>RELATIONSHIP</w:t>
      </w:r>
      <w:r w:rsidR="00092F00">
        <w:rPr>
          <w:rFonts w:ascii="Cambria" w:hAnsi="Cambria" w:cstheme="minorHAnsi"/>
          <w:b/>
        </w:rPr>
        <w:t xml:space="preserve"> </w:t>
      </w:r>
      <w:r w:rsidRPr="002F31EF">
        <w:rPr>
          <w:rFonts w:ascii="Cambria" w:hAnsi="Cambria" w:cstheme="minorHAnsi"/>
          <w:b/>
        </w:rPr>
        <w:t xml:space="preserve">TO </w:t>
      </w:r>
      <w:r w:rsidR="00092F00">
        <w:rPr>
          <w:rFonts w:ascii="Cambria" w:hAnsi="Cambria" w:cstheme="minorHAnsi"/>
          <w:b/>
        </w:rPr>
        <w:t>THE</w:t>
      </w:r>
      <w:r w:rsidRPr="002F31EF">
        <w:rPr>
          <w:rFonts w:ascii="Cambria" w:hAnsi="Cambria" w:cstheme="minorHAnsi"/>
          <w:b/>
        </w:rPr>
        <w:t xml:space="preserve"> CHURCH</w:t>
      </w:r>
    </w:p>
    <w:p w14:paraId="6EB5C9BE" w14:textId="653C9F1E" w:rsidR="006A2A40" w:rsidRDefault="006A2A40" w:rsidP="006A2A40">
      <w:pPr>
        <w:tabs>
          <w:tab w:val="left" w:pos="567"/>
          <w:tab w:val="left" w:pos="1418"/>
          <w:tab w:val="left" w:pos="2268"/>
          <w:tab w:val="left" w:pos="3119"/>
          <w:tab w:val="left" w:pos="3969"/>
        </w:tabs>
        <w:spacing w:after="0" w:line="240" w:lineRule="auto"/>
        <w:ind w:left="567" w:hanging="567"/>
        <w:rPr>
          <w:rFonts w:ascii="Cambria" w:hAnsi="Cambria" w:cstheme="minorHAnsi"/>
        </w:rPr>
      </w:pPr>
      <w:r w:rsidRPr="002F31EF">
        <w:rPr>
          <w:rFonts w:ascii="Cambria" w:hAnsi="Cambria" w:cstheme="minorHAnsi"/>
        </w:rPr>
        <w:tab/>
        <w:t>The Committee is an advisory committee of the Office of the Bishop</w:t>
      </w:r>
      <w:r w:rsidRPr="002F31EF">
        <w:rPr>
          <w:rFonts w:ascii="Cambria" w:hAnsi="Cambria"/>
        </w:rPr>
        <w:t xml:space="preserve"> </w:t>
      </w:r>
      <w:r w:rsidRPr="002F31EF">
        <w:rPr>
          <w:rFonts w:ascii="Cambria" w:hAnsi="Cambria" w:cstheme="minorHAnsi"/>
        </w:rPr>
        <w:t xml:space="preserve">and shall fulfil its responsibilities in keeping with the Constitution and the policies of the Church. </w:t>
      </w:r>
    </w:p>
    <w:p w14:paraId="61B122A1" w14:textId="77777777" w:rsidR="006A2A40" w:rsidRPr="002F31EF" w:rsidRDefault="006A2A40" w:rsidP="006A2A40">
      <w:pPr>
        <w:tabs>
          <w:tab w:val="left" w:pos="567"/>
          <w:tab w:val="left" w:pos="1418"/>
          <w:tab w:val="left" w:pos="2268"/>
          <w:tab w:val="left" w:pos="3119"/>
          <w:tab w:val="left" w:pos="3969"/>
        </w:tabs>
        <w:spacing w:after="0" w:line="240" w:lineRule="auto"/>
        <w:ind w:left="567" w:hanging="567"/>
        <w:rPr>
          <w:rFonts w:ascii="Cambria" w:hAnsi="Cambria" w:cstheme="minorHAnsi"/>
        </w:rPr>
      </w:pPr>
    </w:p>
    <w:p w14:paraId="4F097D2D" w14:textId="77777777" w:rsidR="006A2A40" w:rsidRPr="002F31EF" w:rsidRDefault="006A2A40" w:rsidP="006A2A40">
      <w:pPr>
        <w:tabs>
          <w:tab w:val="left" w:pos="567"/>
          <w:tab w:val="left" w:pos="1418"/>
          <w:tab w:val="left" w:pos="2268"/>
          <w:tab w:val="left" w:pos="3119"/>
          <w:tab w:val="left" w:pos="3969"/>
        </w:tabs>
        <w:spacing w:after="0" w:line="240" w:lineRule="auto"/>
        <w:ind w:left="567" w:hanging="567"/>
        <w:rPr>
          <w:rFonts w:ascii="Cambria" w:hAnsi="Cambria" w:cstheme="minorHAnsi"/>
        </w:rPr>
      </w:pPr>
    </w:p>
    <w:p w14:paraId="3A140AA1" w14:textId="77777777" w:rsidR="006A2A40" w:rsidRPr="002F31EF" w:rsidRDefault="006A2A40" w:rsidP="006A2A40">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2F31EF">
        <w:rPr>
          <w:rFonts w:ascii="Cambria" w:hAnsi="Cambria" w:cstheme="minorHAnsi"/>
          <w:b/>
        </w:rPr>
        <w:lastRenderedPageBreak/>
        <w:t>3.</w:t>
      </w:r>
      <w:r w:rsidRPr="002F31EF">
        <w:rPr>
          <w:rFonts w:ascii="Cambria" w:hAnsi="Cambria" w:cstheme="minorHAnsi"/>
          <w:b/>
        </w:rPr>
        <w:tab/>
        <w:t>PURPOSE</w:t>
      </w:r>
    </w:p>
    <w:p w14:paraId="2DE88FD1" w14:textId="77777777" w:rsidR="006A2A40" w:rsidRPr="002F31EF" w:rsidRDefault="006A2A40" w:rsidP="006A2A40">
      <w:pPr>
        <w:tabs>
          <w:tab w:val="left" w:pos="567"/>
          <w:tab w:val="left" w:pos="1418"/>
          <w:tab w:val="left" w:pos="2268"/>
          <w:tab w:val="left" w:pos="3119"/>
          <w:tab w:val="left" w:pos="3969"/>
        </w:tabs>
        <w:spacing w:after="0" w:line="240" w:lineRule="auto"/>
        <w:ind w:left="567" w:hanging="567"/>
        <w:rPr>
          <w:rFonts w:ascii="Cambria" w:hAnsi="Cambria" w:cstheme="minorHAnsi"/>
        </w:rPr>
      </w:pPr>
      <w:r w:rsidRPr="002F31EF">
        <w:rPr>
          <w:rFonts w:ascii="Cambria" w:hAnsi="Cambria" w:cstheme="minorHAnsi"/>
        </w:rPr>
        <w:tab/>
        <w:t xml:space="preserve">The Committee shall be an advisory committee to the Office of the Bishop, working with and supporting the Director, Lutheran Archives to ensure the records of the Church are available for the Church and wider community to access, remember and reflect, and to share today and for generations to come.  The committee provides advice and recommendations to the Executive Officer of the Church, as necessary. </w:t>
      </w:r>
    </w:p>
    <w:p w14:paraId="4DE209C9" w14:textId="77777777" w:rsidR="006A2A40" w:rsidRPr="002F31EF" w:rsidRDefault="006A2A40" w:rsidP="006A2A40">
      <w:pPr>
        <w:tabs>
          <w:tab w:val="left" w:pos="567"/>
          <w:tab w:val="left" w:pos="1418"/>
          <w:tab w:val="left" w:pos="2268"/>
          <w:tab w:val="left" w:pos="3119"/>
          <w:tab w:val="left" w:pos="3969"/>
        </w:tabs>
        <w:spacing w:after="0" w:line="240" w:lineRule="auto"/>
        <w:ind w:left="567" w:hanging="567"/>
        <w:rPr>
          <w:rFonts w:ascii="Cambria" w:hAnsi="Cambria" w:cstheme="minorHAnsi"/>
        </w:rPr>
      </w:pPr>
    </w:p>
    <w:p w14:paraId="739E3B15" w14:textId="77777777" w:rsidR="006A2A40" w:rsidRPr="002F31EF" w:rsidRDefault="006A2A40" w:rsidP="006A2A40">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2F31EF">
        <w:rPr>
          <w:rFonts w:ascii="Cambria" w:hAnsi="Cambria" w:cstheme="minorHAnsi"/>
          <w:b/>
        </w:rPr>
        <w:t>4.</w:t>
      </w:r>
      <w:r w:rsidRPr="002F31EF">
        <w:rPr>
          <w:rFonts w:ascii="Cambria" w:hAnsi="Cambria" w:cstheme="minorHAnsi"/>
          <w:b/>
        </w:rPr>
        <w:tab/>
        <w:t>AUTHORITY</w:t>
      </w:r>
    </w:p>
    <w:p w14:paraId="184D9762" w14:textId="77777777" w:rsidR="006A2A40" w:rsidRPr="002F31EF" w:rsidRDefault="006A2A40" w:rsidP="006A2A40">
      <w:pPr>
        <w:tabs>
          <w:tab w:val="left" w:pos="567"/>
          <w:tab w:val="left" w:pos="1418"/>
          <w:tab w:val="left" w:pos="2268"/>
          <w:tab w:val="left" w:pos="3119"/>
          <w:tab w:val="left" w:pos="3969"/>
        </w:tabs>
        <w:spacing w:after="0" w:line="240" w:lineRule="auto"/>
        <w:ind w:left="567" w:hanging="567"/>
        <w:rPr>
          <w:rFonts w:ascii="Cambria" w:hAnsi="Cambria" w:cstheme="minorHAnsi"/>
        </w:rPr>
      </w:pPr>
      <w:r w:rsidRPr="002F31EF">
        <w:rPr>
          <w:rFonts w:ascii="Cambria" w:hAnsi="Cambria" w:cstheme="minorHAnsi"/>
        </w:rPr>
        <w:tab/>
        <w:t>The Committee has no decision-making authority.</w:t>
      </w:r>
    </w:p>
    <w:p w14:paraId="73B53CBA" w14:textId="77777777" w:rsidR="006A2A40" w:rsidRPr="002F31EF" w:rsidRDefault="006A2A40" w:rsidP="006A2A40">
      <w:pPr>
        <w:tabs>
          <w:tab w:val="left" w:pos="567"/>
          <w:tab w:val="left" w:pos="1418"/>
          <w:tab w:val="left" w:pos="2268"/>
          <w:tab w:val="left" w:pos="3119"/>
          <w:tab w:val="left" w:pos="3969"/>
        </w:tabs>
        <w:spacing w:after="0" w:line="240" w:lineRule="auto"/>
        <w:ind w:left="567" w:hanging="567"/>
        <w:rPr>
          <w:rFonts w:ascii="Cambria" w:hAnsi="Cambria" w:cstheme="minorHAnsi"/>
        </w:rPr>
      </w:pPr>
    </w:p>
    <w:p w14:paraId="0AE79945" w14:textId="77777777" w:rsidR="006A2A40" w:rsidRPr="002F31EF" w:rsidRDefault="006A2A40" w:rsidP="006A2A40">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2F31EF">
        <w:rPr>
          <w:rFonts w:ascii="Cambria" w:hAnsi="Cambria" w:cstheme="minorHAnsi"/>
          <w:b/>
        </w:rPr>
        <w:t>5.</w:t>
      </w:r>
      <w:r w:rsidRPr="002F31EF">
        <w:rPr>
          <w:rFonts w:ascii="Cambria" w:hAnsi="Cambria" w:cstheme="minorHAnsi"/>
          <w:b/>
        </w:rPr>
        <w:tab/>
        <w:t>MEMBERSHIP</w:t>
      </w:r>
    </w:p>
    <w:p w14:paraId="71EF9C8B" w14:textId="77777777" w:rsidR="006A2A40" w:rsidRPr="002F31EF" w:rsidRDefault="006A2A40" w:rsidP="006A2A40">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2F31EF">
        <w:rPr>
          <w:rFonts w:ascii="Cambria" w:hAnsi="Cambria" w:cstheme="minorHAnsi"/>
        </w:rPr>
        <w:tab/>
        <w:t>5.1</w:t>
      </w:r>
      <w:r w:rsidRPr="002F31EF">
        <w:rPr>
          <w:rFonts w:ascii="Cambria" w:hAnsi="Cambria" w:cstheme="minorHAnsi"/>
        </w:rPr>
        <w:tab/>
        <w:t>The Committee shall consist of seven [7] members:</w:t>
      </w:r>
    </w:p>
    <w:p w14:paraId="10556E58" w14:textId="77777777" w:rsidR="006A2A40" w:rsidRPr="002F31EF" w:rsidRDefault="006A2A40" w:rsidP="006A2A40">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2F31EF">
        <w:rPr>
          <w:rFonts w:ascii="Cambria" w:hAnsi="Cambria" w:cstheme="minorHAnsi"/>
        </w:rPr>
        <w:tab/>
      </w:r>
      <w:r w:rsidRPr="002F31EF">
        <w:rPr>
          <w:rFonts w:ascii="Cambria" w:hAnsi="Cambria" w:cstheme="minorHAnsi"/>
        </w:rPr>
        <w:tab/>
        <w:t>5.1.1</w:t>
      </w:r>
      <w:r w:rsidRPr="002F31EF">
        <w:rPr>
          <w:rFonts w:ascii="Cambria" w:hAnsi="Cambria" w:cstheme="minorHAnsi"/>
        </w:rPr>
        <w:tab/>
        <w:t>the Executive Officer of the Church (EOC) as the chairperson of the Committee;</w:t>
      </w:r>
    </w:p>
    <w:p w14:paraId="3876E489" w14:textId="77777777" w:rsidR="006A2A40" w:rsidRPr="002F31EF" w:rsidRDefault="006A2A40" w:rsidP="006A2A40">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2F31EF">
        <w:rPr>
          <w:rFonts w:ascii="Cambria" w:hAnsi="Cambria" w:cstheme="minorHAnsi"/>
        </w:rPr>
        <w:tab/>
      </w:r>
      <w:r w:rsidRPr="002F31EF">
        <w:rPr>
          <w:rFonts w:ascii="Cambria" w:hAnsi="Cambria" w:cstheme="minorHAnsi"/>
        </w:rPr>
        <w:tab/>
        <w:t>5.1.2</w:t>
      </w:r>
      <w:r w:rsidRPr="002F31EF">
        <w:rPr>
          <w:rFonts w:ascii="Cambria" w:hAnsi="Cambria" w:cstheme="minorHAnsi"/>
        </w:rPr>
        <w:tab/>
        <w:t>six [6] members of congregations of the Church.</w:t>
      </w:r>
    </w:p>
    <w:p w14:paraId="442A28F2" w14:textId="77777777" w:rsidR="006A2A40" w:rsidRPr="002F31EF" w:rsidRDefault="006A2A40" w:rsidP="006A2A40">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2F31EF">
        <w:rPr>
          <w:rFonts w:ascii="Cambria" w:hAnsi="Cambria" w:cstheme="minorHAnsi"/>
        </w:rPr>
        <w:tab/>
        <w:t>5.2</w:t>
      </w:r>
      <w:r w:rsidRPr="002F31EF">
        <w:rPr>
          <w:rFonts w:ascii="Cambria" w:hAnsi="Cambria" w:cstheme="minorHAnsi"/>
        </w:rPr>
        <w:tab/>
        <w:t>Members shall be appointed by the EOC on the recommendation from the Standing Committee on Nominations.</w:t>
      </w:r>
    </w:p>
    <w:p w14:paraId="2071A934" w14:textId="77777777" w:rsidR="006A2A40" w:rsidRPr="002F31EF" w:rsidRDefault="006A2A40" w:rsidP="006A2A40">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2F31EF">
        <w:rPr>
          <w:rFonts w:ascii="Cambria" w:hAnsi="Cambria" w:cstheme="minorHAnsi"/>
        </w:rPr>
        <w:tab/>
        <w:t>5.3</w:t>
      </w:r>
      <w:r w:rsidRPr="002F31EF">
        <w:rPr>
          <w:rFonts w:ascii="Cambria" w:hAnsi="Cambria" w:cstheme="minorHAnsi"/>
        </w:rPr>
        <w:tab/>
        <w:t>The Committee shall consist of people with relevant skills and experience in the archival field, knowledge of the Lutheran Archives operations and collection, strategic planning, and an interest in the preservation and telling of the story of the Church, its history and heritage.</w:t>
      </w:r>
    </w:p>
    <w:p w14:paraId="4374E8D6" w14:textId="77777777" w:rsidR="006A2A40" w:rsidRPr="002F31EF" w:rsidRDefault="006A2A40" w:rsidP="006A2A40">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2F31EF">
        <w:rPr>
          <w:rFonts w:ascii="Cambria" w:hAnsi="Cambria" w:cstheme="minorHAnsi"/>
        </w:rPr>
        <w:tab/>
        <w:t>5.4</w:t>
      </w:r>
      <w:r w:rsidRPr="002F31EF">
        <w:rPr>
          <w:rFonts w:ascii="Cambria" w:hAnsi="Cambria" w:cstheme="minorHAnsi"/>
        </w:rPr>
        <w:tab/>
        <w:t>The Committee shall include a mix of backgrounds and perspectives which, together with the relevant skills, qualifications and experience will enable the Committee to fulfil its role.</w:t>
      </w:r>
    </w:p>
    <w:p w14:paraId="77153560" w14:textId="77777777" w:rsidR="006A2A40" w:rsidRPr="002F31EF" w:rsidRDefault="006A2A40" w:rsidP="006A2A40">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2F31EF">
        <w:rPr>
          <w:rFonts w:ascii="Cambria" w:hAnsi="Cambria" w:cstheme="minorHAnsi"/>
        </w:rPr>
        <w:tab/>
        <w:t>5.5</w:t>
      </w:r>
      <w:r w:rsidRPr="002F31EF">
        <w:rPr>
          <w:rFonts w:ascii="Cambria" w:hAnsi="Cambria" w:cstheme="minorHAnsi"/>
        </w:rPr>
        <w:tab/>
        <w:t>The term of appointment for all members will be for a Synodical term.</w:t>
      </w:r>
    </w:p>
    <w:p w14:paraId="03ADA9B3" w14:textId="77777777" w:rsidR="006A2A40" w:rsidRPr="002F31EF" w:rsidRDefault="006A2A40" w:rsidP="006A2A40">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2F31EF">
        <w:rPr>
          <w:rFonts w:ascii="Cambria" w:hAnsi="Cambria" w:cstheme="minorHAnsi"/>
        </w:rPr>
        <w:tab/>
        <w:t>5.6</w:t>
      </w:r>
      <w:r w:rsidRPr="002F31EF">
        <w:rPr>
          <w:rFonts w:ascii="Cambria" w:hAnsi="Cambria" w:cstheme="minorHAnsi"/>
        </w:rPr>
        <w:tab/>
        <w:t>The EOC may delegate the role of Chairperson to another member of the Committee, in consultation with the members of the Committee.</w:t>
      </w:r>
    </w:p>
    <w:p w14:paraId="3853FB64" w14:textId="77777777" w:rsidR="006A2A40" w:rsidRPr="002F31EF" w:rsidRDefault="006A2A40" w:rsidP="006A2A40">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2F31EF">
        <w:rPr>
          <w:rFonts w:ascii="Cambria" w:hAnsi="Cambria" w:cstheme="minorHAnsi"/>
        </w:rPr>
        <w:tab/>
        <w:t>5.7</w:t>
      </w:r>
      <w:r w:rsidRPr="002F31EF">
        <w:rPr>
          <w:rFonts w:ascii="Cambria" w:hAnsi="Cambria" w:cstheme="minorHAnsi"/>
        </w:rPr>
        <w:tab/>
        <w:t>The Director, Lutheran Archives shall attend the meetings of the Committee.</w:t>
      </w:r>
    </w:p>
    <w:p w14:paraId="08DFEA1F" w14:textId="77777777" w:rsidR="006A2A40" w:rsidRPr="002F31EF" w:rsidRDefault="006A2A40" w:rsidP="006A2A40">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2F31EF">
        <w:rPr>
          <w:rFonts w:ascii="Cambria" w:hAnsi="Cambria" w:cstheme="minorHAnsi"/>
        </w:rPr>
        <w:tab/>
        <w:t>5.8</w:t>
      </w:r>
      <w:r w:rsidRPr="002F31EF">
        <w:rPr>
          <w:rFonts w:ascii="Cambria" w:hAnsi="Cambria" w:cstheme="minorHAnsi"/>
        </w:rPr>
        <w:tab/>
        <w:t>Other members involved in or interested in Lutheran Archives may, from time to time, be invited to bring their knowledge and experience to the meeting to assist in the deliberations of the Committee.</w:t>
      </w:r>
    </w:p>
    <w:p w14:paraId="112562FC" w14:textId="77777777" w:rsidR="006A2A40" w:rsidRPr="002F31EF" w:rsidRDefault="006A2A40" w:rsidP="006A2A40">
      <w:pPr>
        <w:tabs>
          <w:tab w:val="left" w:pos="567"/>
          <w:tab w:val="left" w:pos="1418"/>
          <w:tab w:val="left" w:pos="2268"/>
          <w:tab w:val="left" w:pos="3119"/>
          <w:tab w:val="left" w:pos="3969"/>
        </w:tabs>
        <w:spacing w:after="0" w:line="240" w:lineRule="auto"/>
        <w:ind w:left="567" w:hanging="567"/>
        <w:rPr>
          <w:rFonts w:ascii="Cambria" w:hAnsi="Cambria" w:cstheme="minorHAnsi"/>
        </w:rPr>
      </w:pPr>
    </w:p>
    <w:p w14:paraId="6253081B" w14:textId="77777777" w:rsidR="006A2A40" w:rsidRPr="002F31EF" w:rsidRDefault="006A2A40" w:rsidP="006A2A40">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2F31EF">
        <w:rPr>
          <w:rFonts w:ascii="Cambria" w:hAnsi="Cambria" w:cstheme="minorHAnsi"/>
          <w:b/>
        </w:rPr>
        <w:t>6.</w:t>
      </w:r>
      <w:r w:rsidRPr="002F31EF">
        <w:rPr>
          <w:rFonts w:ascii="Cambria" w:hAnsi="Cambria" w:cstheme="minorHAnsi"/>
          <w:b/>
        </w:rPr>
        <w:tab/>
        <w:t>MEETING ARRANGEMENTS AND REPORTING</w:t>
      </w:r>
    </w:p>
    <w:p w14:paraId="266AD43E" w14:textId="77777777" w:rsidR="006A2A40" w:rsidRPr="002F31EF" w:rsidRDefault="006A2A40" w:rsidP="006A2A40">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2F31EF">
        <w:rPr>
          <w:rFonts w:ascii="Cambria" w:hAnsi="Cambria" w:cstheme="minorHAnsi"/>
        </w:rPr>
        <w:tab/>
        <w:t>6.1</w:t>
      </w:r>
      <w:r w:rsidRPr="002F31EF">
        <w:rPr>
          <w:rFonts w:ascii="Cambria" w:hAnsi="Cambria" w:cstheme="minorHAnsi"/>
        </w:rPr>
        <w:tab/>
        <w:t xml:space="preserve">Meetings shall be convened by the Chairperson.  </w:t>
      </w:r>
    </w:p>
    <w:p w14:paraId="6B5D1F98" w14:textId="77777777" w:rsidR="006A2A40" w:rsidRPr="002F31EF" w:rsidRDefault="006A2A40" w:rsidP="006A2A40">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2F31EF">
        <w:rPr>
          <w:rFonts w:ascii="Cambria" w:hAnsi="Cambria" w:cstheme="minorHAnsi"/>
        </w:rPr>
        <w:tab/>
        <w:t>6.2</w:t>
      </w:r>
      <w:r w:rsidRPr="002F31EF">
        <w:rPr>
          <w:rFonts w:ascii="Cambria" w:hAnsi="Cambria" w:cstheme="minorHAnsi"/>
        </w:rPr>
        <w:tab/>
        <w:t>It is at the discretion of the Committee to meet face-to-face, by electronic means, or by other means of communication.</w:t>
      </w:r>
    </w:p>
    <w:p w14:paraId="6E91F896" w14:textId="77777777" w:rsidR="006A2A40" w:rsidRPr="002F31EF" w:rsidRDefault="006A2A40" w:rsidP="006A2A40">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2F31EF">
        <w:rPr>
          <w:rFonts w:ascii="Cambria" w:hAnsi="Cambria" w:cstheme="minorHAnsi"/>
        </w:rPr>
        <w:tab/>
        <w:t>6.3</w:t>
      </w:r>
      <w:r w:rsidRPr="002F31EF">
        <w:rPr>
          <w:rFonts w:ascii="Cambria" w:hAnsi="Cambria" w:cstheme="minorHAnsi"/>
        </w:rPr>
        <w:tab/>
        <w:t>Email correspondence may be used for the distribution of minutes, advisory information or approval of documentation.</w:t>
      </w:r>
    </w:p>
    <w:p w14:paraId="70FA81C2" w14:textId="77777777" w:rsidR="006A2A40" w:rsidRPr="002F31EF" w:rsidRDefault="006A2A40" w:rsidP="006A2A40">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2F31EF">
        <w:rPr>
          <w:rFonts w:ascii="Cambria" w:hAnsi="Cambria" w:cstheme="minorHAnsi"/>
        </w:rPr>
        <w:tab/>
        <w:t>6.4</w:t>
      </w:r>
      <w:r w:rsidRPr="002F31EF">
        <w:rPr>
          <w:rFonts w:ascii="Cambria" w:hAnsi="Cambria" w:cstheme="minorHAnsi"/>
        </w:rPr>
        <w:tab/>
        <w:t>The minutes of the meetings of the Committee shall be submitted to the EOC.</w:t>
      </w:r>
    </w:p>
    <w:p w14:paraId="5550E5A3" w14:textId="77777777" w:rsidR="006A2A40" w:rsidRPr="002F31EF" w:rsidRDefault="006A2A40" w:rsidP="006A2A40">
      <w:pPr>
        <w:tabs>
          <w:tab w:val="left" w:pos="567"/>
          <w:tab w:val="left" w:pos="1418"/>
          <w:tab w:val="left" w:pos="2268"/>
          <w:tab w:val="left" w:pos="3119"/>
          <w:tab w:val="left" w:pos="3969"/>
        </w:tabs>
        <w:spacing w:after="0" w:line="240" w:lineRule="auto"/>
        <w:rPr>
          <w:rFonts w:ascii="Cambria" w:hAnsi="Cambria" w:cstheme="minorHAnsi"/>
          <w:b/>
        </w:rPr>
      </w:pPr>
    </w:p>
    <w:p w14:paraId="1B86894A" w14:textId="77777777" w:rsidR="006A2A40" w:rsidRPr="002F31EF" w:rsidRDefault="006A2A40" w:rsidP="006A2A40">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2F31EF">
        <w:rPr>
          <w:rFonts w:ascii="Cambria" w:hAnsi="Cambria" w:cstheme="minorHAnsi"/>
          <w:b/>
        </w:rPr>
        <w:t>7.</w:t>
      </w:r>
      <w:r w:rsidRPr="002F31EF">
        <w:rPr>
          <w:rFonts w:ascii="Cambria" w:hAnsi="Cambria" w:cstheme="minorHAnsi"/>
          <w:b/>
        </w:rPr>
        <w:tab/>
        <w:t>RESPONSIBILITIES</w:t>
      </w:r>
    </w:p>
    <w:p w14:paraId="134DA504" w14:textId="77777777" w:rsidR="006A2A40" w:rsidRPr="002F31EF" w:rsidRDefault="006A2A40" w:rsidP="006A2A40">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2F31EF">
        <w:rPr>
          <w:rFonts w:ascii="Cambria" w:hAnsi="Cambria" w:cstheme="minorHAnsi"/>
        </w:rPr>
        <w:tab/>
        <w:t>7.1</w:t>
      </w:r>
      <w:r w:rsidRPr="002F31EF">
        <w:rPr>
          <w:rFonts w:ascii="Cambria" w:hAnsi="Cambria" w:cstheme="minorHAnsi"/>
        </w:rPr>
        <w:tab/>
        <w:t>The Committee shall provide advice, support and encouragement to the Director, Lutheran Archives to</w:t>
      </w:r>
    </w:p>
    <w:p w14:paraId="24C048B8" w14:textId="77777777" w:rsidR="006A2A40" w:rsidRPr="002F31EF" w:rsidRDefault="006A2A40" w:rsidP="006A2A40">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2F31EF">
        <w:rPr>
          <w:rFonts w:ascii="Cambria" w:hAnsi="Cambria" w:cstheme="minorHAnsi"/>
        </w:rPr>
        <w:tab/>
      </w:r>
      <w:r w:rsidRPr="002F31EF">
        <w:rPr>
          <w:rFonts w:ascii="Cambria" w:hAnsi="Cambria" w:cstheme="minorHAnsi"/>
        </w:rPr>
        <w:tab/>
        <w:t>7.1.1</w:t>
      </w:r>
      <w:r w:rsidRPr="002F31EF">
        <w:rPr>
          <w:rFonts w:ascii="Cambria" w:hAnsi="Cambria" w:cstheme="minorHAnsi"/>
        </w:rPr>
        <w:tab/>
        <w:t>ensure the ministry of Lutheran Archives is understood by the Lutheran community;</w:t>
      </w:r>
    </w:p>
    <w:p w14:paraId="7FB29282" w14:textId="77777777" w:rsidR="006A2A40" w:rsidRPr="002F31EF" w:rsidRDefault="006A2A40" w:rsidP="006A2A40">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2F31EF">
        <w:rPr>
          <w:rFonts w:ascii="Cambria" w:hAnsi="Cambria" w:cstheme="minorHAnsi"/>
        </w:rPr>
        <w:tab/>
        <w:t xml:space="preserve">             </w:t>
      </w:r>
      <w:r w:rsidRPr="002F31EF">
        <w:rPr>
          <w:rFonts w:ascii="Cambria" w:hAnsi="Cambria" w:cstheme="minorHAnsi"/>
        </w:rPr>
        <w:tab/>
        <w:t>7.1.2</w:t>
      </w:r>
      <w:r w:rsidRPr="002F31EF">
        <w:rPr>
          <w:rFonts w:ascii="Cambria" w:hAnsi="Cambria" w:cstheme="minorHAnsi"/>
        </w:rPr>
        <w:tab/>
        <w:t>support the Church to create, capture and manage its records;</w:t>
      </w:r>
    </w:p>
    <w:p w14:paraId="00AB7300" w14:textId="77777777" w:rsidR="006A2A40" w:rsidRPr="002F31EF" w:rsidRDefault="006A2A40" w:rsidP="006A2A40">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2F31EF">
        <w:rPr>
          <w:rFonts w:ascii="Cambria" w:hAnsi="Cambria" w:cstheme="minorHAnsi"/>
        </w:rPr>
        <w:tab/>
      </w:r>
      <w:r w:rsidRPr="002F31EF">
        <w:rPr>
          <w:rFonts w:ascii="Cambria" w:hAnsi="Cambria" w:cstheme="minorHAnsi"/>
        </w:rPr>
        <w:tab/>
        <w:t>7.1.3</w:t>
      </w:r>
      <w:r w:rsidRPr="002F31EF">
        <w:rPr>
          <w:rFonts w:ascii="Cambria" w:hAnsi="Cambria" w:cstheme="minorHAnsi"/>
        </w:rPr>
        <w:tab/>
        <w:t>ensure records of permanent value are deposited at Lutheran Archives;</w:t>
      </w:r>
    </w:p>
    <w:p w14:paraId="4C677E85" w14:textId="77777777" w:rsidR="006A2A40" w:rsidRPr="002F31EF" w:rsidRDefault="006A2A40" w:rsidP="006A2A40">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2F31EF">
        <w:rPr>
          <w:rFonts w:ascii="Cambria" w:hAnsi="Cambria" w:cstheme="minorHAnsi"/>
        </w:rPr>
        <w:tab/>
      </w:r>
      <w:r w:rsidRPr="002F31EF">
        <w:rPr>
          <w:rFonts w:ascii="Cambria" w:hAnsi="Cambria" w:cstheme="minorHAnsi"/>
        </w:rPr>
        <w:tab/>
        <w:t>7.1.4</w:t>
      </w:r>
      <w:r w:rsidRPr="002F31EF">
        <w:rPr>
          <w:rFonts w:ascii="Cambria" w:hAnsi="Cambria" w:cstheme="minorHAnsi"/>
        </w:rPr>
        <w:tab/>
        <w:t>ensure the collective story of the Church can be accessed, encountered and disseminated by Lutherans and the wider community;</w:t>
      </w:r>
    </w:p>
    <w:p w14:paraId="396DA503" w14:textId="77777777" w:rsidR="006A2A40" w:rsidRPr="002F31EF" w:rsidRDefault="006A2A40" w:rsidP="006A2A40">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2F31EF">
        <w:rPr>
          <w:rFonts w:ascii="Cambria" w:hAnsi="Cambria" w:cstheme="minorHAnsi"/>
        </w:rPr>
        <w:tab/>
      </w:r>
      <w:r w:rsidRPr="002F31EF">
        <w:rPr>
          <w:rFonts w:ascii="Cambria" w:hAnsi="Cambria" w:cstheme="minorHAnsi"/>
        </w:rPr>
        <w:tab/>
        <w:t>7.1.5</w:t>
      </w:r>
      <w:r w:rsidRPr="002F31EF">
        <w:rPr>
          <w:rFonts w:ascii="Cambria" w:hAnsi="Cambria" w:cstheme="minorHAnsi"/>
        </w:rPr>
        <w:tab/>
        <w:t>develop and recommend strategic plans, ministry priorities and collection management policies for the Lutheran Archives for approval by the EOC;</w:t>
      </w:r>
    </w:p>
    <w:p w14:paraId="3E602A39" w14:textId="77777777" w:rsidR="006A2A40" w:rsidRPr="002F31EF" w:rsidRDefault="006A2A40" w:rsidP="006A2A40">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2F31EF">
        <w:rPr>
          <w:rFonts w:ascii="Cambria" w:hAnsi="Cambria" w:cstheme="minorHAnsi"/>
        </w:rPr>
        <w:lastRenderedPageBreak/>
        <w:tab/>
      </w:r>
      <w:r w:rsidRPr="002F31EF">
        <w:rPr>
          <w:rFonts w:ascii="Cambria" w:hAnsi="Cambria" w:cstheme="minorHAnsi"/>
        </w:rPr>
        <w:tab/>
        <w:t>7.1.6</w:t>
      </w:r>
      <w:r w:rsidRPr="002F31EF">
        <w:rPr>
          <w:rFonts w:ascii="Cambria" w:hAnsi="Cambria" w:cstheme="minorHAnsi"/>
        </w:rPr>
        <w:tab/>
        <w:t>generate financial resources for the work of Lutheran Archives, including from within the Church and by way of community and government grants or partnerships;</w:t>
      </w:r>
    </w:p>
    <w:p w14:paraId="0A40A726" w14:textId="77777777" w:rsidR="006A2A40" w:rsidRPr="002F31EF" w:rsidRDefault="006A2A40" w:rsidP="006A2A40">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2F31EF">
        <w:rPr>
          <w:rFonts w:ascii="Cambria" w:hAnsi="Cambria" w:cstheme="minorHAnsi"/>
        </w:rPr>
        <w:tab/>
      </w:r>
      <w:r w:rsidRPr="002F31EF">
        <w:rPr>
          <w:rFonts w:ascii="Cambria" w:hAnsi="Cambria" w:cstheme="minorHAnsi"/>
        </w:rPr>
        <w:tab/>
        <w:t>7.1.7</w:t>
      </w:r>
      <w:r w:rsidRPr="002F31EF">
        <w:rPr>
          <w:rFonts w:ascii="Cambria" w:hAnsi="Cambria" w:cstheme="minorHAnsi"/>
        </w:rPr>
        <w:tab/>
        <w:t>review and monitor the work and well-being of the Lutheran Archives staff and volunteers;  and</w:t>
      </w:r>
    </w:p>
    <w:p w14:paraId="6D59197F" w14:textId="77777777" w:rsidR="006A2A40" w:rsidRPr="002F31EF" w:rsidRDefault="006A2A40" w:rsidP="006A2A40">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2F31EF">
        <w:rPr>
          <w:rFonts w:ascii="Cambria" w:hAnsi="Cambria" w:cstheme="minorHAnsi"/>
        </w:rPr>
        <w:tab/>
      </w:r>
      <w:r w:rsidRPr="002F31EF">
        <w:rPr>
          <w:rFonts w:ascii="Cambria" w:hAnsi="Cambria" w:cstheme="minorHAnsi"/>
        </w:rPr>
        <w:tab/>
        <w:t>7.1.8</w:t>
      </w:r>
      <w:r w:rsidRPr="002F31EF">
        <w:rPr>
          <w:rFonts w:ascii="Cambria" w:hAnsi="Cambria" w:cstheme="minorHAnsi"/>
        </w:rPr>
        <w:tab/>
        <w:t>assist the EOC to facilitate the recruitment of the Director, Lutheran Archives and recommend a candidate to the General Church Board.</w:t>
      </w:r>
    </w:p>
    <w:p w14:paraId="0E33FBED" w14:textId="77777777" w:rsidR="006A2A40" w:rsidRPr="002F31EF" w:rsidRDefault="006A2A40" w:rsidP="006A2A40">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2F31EF">
        <w:rPr>
          <w:rFonts w:ascii="Cambria" w:hAnsi="Cambria" w:cstheme="minorHAnsi"/>
        </w:rPr>
        <w:tab/>
        <w:t>7.2</w:t>
      </w:r>
      <w:r w:rsidRPr="002F31EF">
        <w:rPr>
          <w:rFonts w:ascii="Cambria" w:hAnsi="Cambria" w:cstheme="minorHAnsi"/>
        </w:rPr>
        <w:tab/>
        <w:t>The Committee shall support the EOC to undertake regular performance reviews of the Director, Lutheran Archives.</w:t>
      </w:r>
    </w:p>
    <w:p w14:paraId="7B545E07" w14:textId="77777777" w:rsidR="006A2A40" w:rsidRPr="002F31EF" w:rsidRDefault="006A2A40" w:rsidP="006A2A40">
      <w:pPr>
        <w:tabs>
          <w:tab w:val="left" w:pos="567"/>
          <w:tab w:val="left" w:pos="1418"/>
          <w:tab w:val="left" w:pos="2268"/>
          <w:tab w:val="left" w:pos="3119"/>
          <w:tab w:val="left" w:pos="3969"/>
        </w:tabs>
        <w:spacing w:after="0" w:line="240" w:lineRule="auto"/>
        <w:ind w:left="567" w:hanging="567"/>
        <w:rPr>
          <w:rFonts w:ascii="Cambria" w:hAnsi="Cambria" w:cstheme="minorHAnsi"/>
        </w:rPr>
      </w:pPr>
    </w:p>
    <w:p w14:paraId="6EA835D1" w14:textId="77777777" w:rsidR="006A2A40" w:rsidRPr="002F31EF" w:rsidRDefault="006A2A40" w:rsidP="006A2A40">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2F31EF">
        <w:rPr>
          <w:rFonts w:ascii="Cambria" w:hAnsi="Cambria" w:cstheme="minorHAnsi"/>
          <w:b/>
        </w:rPr>
        <w:t>8.</w:t>
      </w:r>
      <w:r w:rsidRPr="002F31EF">
        <w:rPr>
          <w:rFonts w:ascii="Cambria" w:hAnsi="Cambria" w:cstheme="minorHAnsi"/>
          <w:b/>
        </w:rPr>
        <w:tab/>
        <w:t>REVIEW</w:t>
      </w:r>
    </w:p>
    <w:p w14:paraId="462575C2" w14:textId="77777777" w:rsidR="006A2A40" w:rsidRPr="002F31EF" w:rsidRDefault="006A2A40" w:rsidP="006A2A40">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2F31EF">
        <w:rPr>
          <w:rFonts w:ascii="Cambria" w:hAnsi="Cambria" w:cstheme="minorHAnsi"/>
        </w:rPr>
        <w:tab/>
        <w:t>8.1</w:t>
      </w:r>
      <w:r w:rsidRPr="002F31EF">
        <w:rPr>
          <w:rFonts w:ascii="Cambria" w:hAnsi="Cambria" w:cstheme="minorHAnsi"/>
        </w:rPr>
        <w:tab/>
        <w:t xml:space="preserve">The Terms of Reference for the Committee shall be reviewed during each Synodical term.   </w:t>
      </w:r>
    </w:p>
    <w:p w14:paraId="26235D6F" w14:textId="288B5851" w:rsidR="006A2A40" w:rsidRDefault="006A2A40" w:rsidP="006A2A40">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2F31EF">
        <w:rPr>
          <w:rFonts w:ascii="Cambria" w:hAnsi="Cambria" w:cstheme="minorHAnsi"/>
        </w:rPr>
        <w:tab/>
        <w:t>8.2</w:t>
      </w:r>
      <w:r w:rsidRPr="002F31EF">
        <w:rPr>
          <w:rFonts w:ascii="Cambria" w:hAnsi="Cambria" w:cstheme="minorHAnsi"/>
        </w:rPr>
        <w:tab/>
        <w:t>Any changes to the Terms of Reference shall be approved by the EOC</w:t>
      </w:r>
      <w:r w:rsidRPr="002F31EF">
        <w:rPr>
          <w:rFonts w:ascii="Cambria" w:hAnsi="Cambria" w:cstheme="minorHAnsi"/>
          <w:b/>
        </w:rPr>
        <w:t xml:space="preserve">, </w:t>
      </w:r>
      <w:r w:rsidRPr="002F31EF">
        <w:rPr>
          <w:rFonts w:ascii="Cambria" w:hAnsi="Cambria" w:cstheme="minorHAnsi"/>
        </w:rPr>
        <w:t>upon review by the Standing Committee on Constitutions.</w:t>
      </w:r>
    </w:p>
    <w:p w14:paraId="04C7D5A6" w14:textId="271B5D90" w:rsidR="00092F00" w:rsidRDefault="00092F00" w:rsidP="006A2A40">
      <w:pPr>
        <w:tabs>
          <w:tab w:val="left" w:pos="567"/>
          <w:tab w:val="left" w:pos="1418"/>
          <w:tab w:val="left" w:pos="2268"/>
          <w:tab w:val="left" w:pos="3119"/>
          <w:tab w:val="left" w:pos="3969"/>
        </w:tabs>
        <w:spacing w:after="0" w:line="240" w:lineRule="auto"/>
        <w:ind w:left="1418" w:hanging="1418"/>
        <w:rPr>
          <w:rFonts w:ascii="Cambria" w:hAnsi="Cambria" w:cstheme="minorHAnsi"/>
        </w:rPr>
      </w:pPr>
    </w:p>
    <w:p w14:paraId="5FE1362E" w14:textId="77777777" w:rsidR="00092F00" w:rsidRDefault="00092F00" w:rsidP="006A2A40">
      <w:pPr>
        <w:tabs>
          <w:tab w:val="left" w:pos="567"/>
          <w:tab w:val="left" w:pos="1418"/>
          <w:tab w:val="left" w:pos="2268"/>
          <w:tab w:val="left" w:pos="3119"/>
          <w:tab w:val="left" w:pos="3969"/>
        </w:tabs>
        <w:spacing w:after="0" w:line="240" w:lineRule="auto"/>
        <w:ind w:left="1418" w:hanging="1418"/>
        <w:rPr>
          <w:rFonts w:ascii="Cambria" w:hAnsi="Cambria" w:cstheme="minorHAnsi"/>
        </w:rPr>
      </w:pPr>
    </w:p>
    <w:p w14:paraId="6556EB13" w14:textId="6A229018" w:rsidR="00092F00" w:rsidRDefault="00092F00" w:rsidP="006A2A40">
      <w:pPr>
        <w:tabs>
          <w:tab w:val="left" w:pos="567"/>
          <w:tab w:val="left" w:pos="1418"/>
          <w:tab w:val="left" w:pos="2268"/>
          <w:tab w:val="left" w:pos="3119"/>
          <w:tab w:val="left" w:pos="3969"/>
        </w:tabs>
        <w:spacing w:after="0" w:line="240" w:lineRule="auto"/>
        <w:ind w:left="1418" w:hanging="1418"/>
        <w:rPr>
          <w:rFonts w:ascii="Cambria" w:hAnsi="Cambria" w:cstheme="minorHAnsi"/>
        </w:rPr>
      </w:pPr>
    </w:p>
    <w:p w14:paraId="4AFEE8D9" w14:textId="7A57D801" w:rsidR="00092F00" w:rsidRDefault="00092F00" w:rsidP="006A2A40">
      <w:pPr>
        <w:tabs>
          <w:tab w:val="left" w:pos="567"/>
          <w:tab w:val="left" w:pos="1418"/>
          <w:tab w:val="left" w:pos="2268"/>
          <w:tab w:val="left" w:pos="3119"/>
          <w:tab w:val="left" w:pos="3969"/>
        </w:tabs>
        <w:spacing w:after="0" w:line="240" w:lineRule="auto"/>
        <w:ind w:left="1418" w:hanging="1418"/>
        <w:rPr>
          <w:rFonts w:ascii="Cambria" w:hAnsi="Cambria" w:cstheme="minorHAnsi"/>
        </w:rPr>
      </w:pPr>
    </w:p>
    <w:p w14:paraId="7E3743C5" w14:textId="114B3192" w:rsidR="00092F00" w:rsidRPr="000A3322" w:rsidRDefault="00092F00" w:rsidP="00092F00">
      <w:pPr>
        <w:pStyle w:val="Heading2"/>
      </w:pPr>
      <w:r w:rsidRPr="000A3322">
        <w:t>COMMITTEE FOR LUTHERAN MEDIA</w:t>
      </w:r>
    </w:p>
    <w:p w14:paraId="292FDB32" w14:textId="77777777" w:rsidR="00092F00" w:rsidRPr="000A3322" w:rsidRDefault="00092F00" w:rsidP="00092F00">
      <w:pPr>
        <w:tabs>
          <w:tab w:val="left" w:pos="567"/>
          <w:tab w:val="left" w:pos="1418"/>
          <w:tab w:val="left" w:pos="2268"/>
          <w:tab w:val="left" w:pos="3119"/>
          <w:tab w:val="left" w:pos="3969"/>
        </w:tabs>
        <w:spacing w:after="0" w:line="240" w:lineRule="auto"/>
        <w:ind w:left="567" w:hanging="567"/>
        <w:jc w:val="center"/>
        <w:rPr>
          <w:rFonts w:ascii="Cambria" w:hAnsi="Cambria"/>
          <w:b/>
        </w:rPr>
      </w:pPr>
    </w:p>
    <w:p w14:paraId="2BF8E61B" w14:textId="77777777" w:rsidR="00092F00" w:rsidRPr="000A3322" w:rsidRDefault="00092F00" w:rsidP="00092F00">
      <w:pPr>
        <w:pStyle w:val="Heading3"/>
      </w:pPr>
      <w:r w:rsidRPr="000A3322">
        <w:t>Terms of Reference</w:t>
      </w:r>
    </w:p>
    <w:p w14:paraId="06A06497" w14:textId="77777777" w:rsidR="00092F00" w:rsidRPr="000A3322" w:rsidRDefault="00092F00" w:rsidP="00092F00">
      <w:pPr>
        <w:tabs>
          <w:tab w:val="left" w:pos="567"/>
          <w:tab w:val="left" w:pos="1418"/>
          <w:tab w:val="left" w:pos="2268"/>
          <w:tab w:val="left" w:pos="3119"/>
          <w:tab w:val="left" w:pos="3969"/>
        </w:tabs>
        <w:spacing w:after="0" w:line="240" w:lineRule="auto"/>
        <w:ind w:left="567" w:hanging="567"/>
        <w:rPr>
          <w:rFonts w:ascii="Cambria" w:hAnsi="Cambria"/>
        </w:rPr>
      </w:pPr>
    </w:p>
    <w:p w14:paraId="523FB2F8" w14:textId="77777777" w:rsidR="00092F00" w:rsidRPr="000A3322" w:rsidRDefault="00092F00" w:rsidP="00092F00">
      <w:pPr>
        <w:tabs>
          <w:tab w:val="left" w:pos="567"/>
          <w:tab w:val="left" w:pos="1418"/>
          <w:tab w:val="left" w:pos="2268"/>
          <w:tab w:val="left" w:pos="3119"/>
          <w:tab w:val="left" w:pos="3969"/>
        </w:tabs>
        <w:spacing w:after="0" w:line="240" w:lineRule="auto"/>
        <w:ind w:left="567" w:hanging="567"/>
        <w:rPr>
          <w:rFonts w:ascii="Cambria" w:hAnsi="Cambria"/>
        </w:rPr>
      </w:pPr>
    </w:p>
    <w:p w14:paraId="70C1C42F" w14:textId="77777777" w:rsidR="00092F00" w:rsidRPr="000A3322" w:rsidRDefault="00092F00" w:rsidP="00092F00">
      <w:pPr>
        <w:tabs>
          <w:tab w:val="left" w:pos="567"/>
          <w:tab w:val="left" w:pos="1418"/>
          <w:tab w:val="left" w:pos="2268"/>
          <w:tab w:val="left" w:pos="3119"/>
          <w:tab w:val="left" w:pos="3969"/>
        </w:tabs>
        <w:spacing w:after="0" w:line="240" w:lineRule="auto"/>
        <w:ind w:left="567" w:hanging="567"/>
        <w:rPr>
          <w:rFonts w:ascii="Cambria" w:hAnsi="Cambria"/>
          <w:b/>
        </w:rPr>
      </w:pPr>
      <w:r w:rsidRPr="000A3322">
        <w:rPr>
          <w:rFonts w:ascii="Cambria" w:hAnsi="Cambria"/>
          <w:b/>
        </w:rPr>
        <w:t>1.</w:t>
      </w:r>
      <w:r w:rsidRPr="000A3322">
        <w:rPr>
          <w:rFonts w:ascii="Cambria" w:hAnsi="Cambria"/>
          <w:b/>
        </w:rPr>
        <w:tab/>
        <w:t xml:space="preserve">NAME </w:t>
      </w:r>
    </w:p>
    <w:p w14:paraId="54903516" w14:textId="77777777" w:rsidR="00092F00" w:rsidRPr="000A3322" w:rsidRDefault="00092F00" w:rsidP="00092F00">
      <w:pPr>
        <w:tabs>
          <w:tab w:val="left" w:pos="567"/>
          <w:tab w:val="left" w:pos="1418"/>
          <w:tab w:val="left" w:pos="2268"/>
          <w:tab w:val="left" w:pos="3119"/>
          <w:tab w:val="left" w:pos="3969"/>
        </w:tabs>
        <w:spacing w:after="0" w:line="240" w:lineRule="auto"/>
        <w:ind w:left="567" w:hanging="567"/>
        <w:rPr>
          <w:rFonts w:ascii="Cambria" w:hAnsi="Cambria"/>
        </w:rPr>
      </w:pPr>
      <w:r w:rsidRPr="000A3322">
        <w:rPr>
          <w:rFonts w:ascii="Cambria" w:hAnsi="Cambria"/>
        </w:rPr>
        <w:tab/>
        <w:t>Committee for Lutheran Media, referred to as “the Committee”.</w:t>
      </w:r>
    </w:p>
    <w:p w14:paraId="3B516A21" w14:textId="77777777" w:rsidR="00092F00" w:rsidRPr="000A3322" w:rsidRDefault="00092F00" w:rsidP="00092F00">
      <w:pPr>
        <w:tabs>
          <w:tab w:val="left" w:pos="567"/>
          <w:tab w:val="left" w:pos="1418"/>
          <w:tab w:val="left" w:pos="2268"/>
          <w:tab w:val="left" w:pos="3119"/>
          <w:tab w:val="left" w:pos="3969"/>
        </w:tabs>
        <w:spacing w:after="0" w:line="240" w:lineRule="auto"/>
        <w:ind w:left="567" w:hanging="567"/>
        <w:rPr>
          <w:rFonts w:ascii="Cambria" w:hAnsi="Cambria"/>
        </w:rPr>
      </w:pPr>
    </w:p>
    <w:p w14:paraId="3D61455C" w14:textId="2AD7D30E" w:rsidR="00092F00" w:rsidRPr="000A3322" w:rsidRDefault="00092F00" w:rsidP="00092F00">
      <w:pPr>
        <w:tabs>
          <w:tab w:val="left" w:pos="567"/>
          <w:tab w:val="left" w:pos="1418"/>
          <w:tab w:val="left" w:pos="2268"/>
          <w:tab w:val="left" w:pos="3119"/>
          <w:tab w:val="left" w:pos="3969"/>
        </w:tabs>
        <w:spacing w:after="0" w:line="240" w:lineRule="auto"/>
        <w:ind w:left="567" w:hanging="567"/>
        <w:rPr>
          <w:rFonts w:ascii="Cambria" w:hAnsi="Cambria"/>
          <w:b/>
        </w:rPr>
      </w:pPr>
      <w:r w:rsidRPr="000A3322">
        <w:rPr>
          <w:rFonts w:ascii="Cambria" w:hAnsi="Cambria"/>
          <w:b/>
        </w:rPr>
        <w:t>2.</w:t>
      </w:r>
      <w:r w:rsidRPr="000A3322">
        <w:rPr>
          <w:rFonts w:ascii="Cambria" w:hAnsi="Cambria"/>
          <w:b/>
        </w:rPr>
        <w:tab/>
        <w:t>RELATIONSHIP TO THE CHURCH</w:t>
      </w:r>
    </w:p>
    <w:p w14:paraId="57AEBE4D" w14:textId="77777777" w:rsidR="00092F00" w:rsidRPr="000A3322" w:rsidRDefault="00092F00" w:rsidP="00092F00">
      <w:pPr>
        <w:tabs>
          <w:tab w:val="left" w:pos="567"/>
          <w:tab w:val="left" w:pos="1418"/>
          <w:tab w:val="left" w:pos="2268"/>
          <w:tab w:val="left" w:pos="3119"/>
          <w:tab w:val="left" w:pos="3969"/>
        </w:tabs>
        <w:spacing w:after="0" w:line="240" w:lineRule="auto"/>
        <w:ind w:left="567" w:hanging="567"/>
        <w:rPr>
          <w:rFonts w:ascii="Cambria" w:hAnsi="Cambria"/>
        </w:rPr>
      </w:pPr>
      <w:r w:rsidRPr="000A3322">
        <w:rPr>
          <w:rFonts w:ascii="Cambria" w:hAnsi="Cambria"/>
        </w:rPr>
        <w:tab/>
        <w:t xml:space="preserve">The Committee is a committee of the Council for Local Mission, referred to as “the Council”, and shall fulfil its responsibilities in keeping with the Constitution and the policies of the Church. </w:t>
      </w:r>
    </w:p>
    <w:p w14:paraId="65C76EAE" w14:textId="77777777" w:rsidR="00092F00" w:rsidRPr="000A3322" w:rsidRDefault="00092F00" w:rsidP="00092F00">
      <w:pPr>
        <w:tabs>
          <w:tab w:val="left" w:pos="567"/>
          <w:tab w:val="left" w:pos="1418"/>
          <w:tab w:val="left" w:pos="2268"/>
          <w:tab w:val="left" w:pos="3119"/>
          <w:tab w:val="left" w:pos="3969"/>
        </w:tabs>
        <w:spacing w:after="0" w:line="240" w:lineRule="auto"/>
        <w:ind w:left="567" w:hanging="567"/>
        <w:rPr>
          <w:rFonts w:ascii="Cambria" w:hAnsi="Cambria"/>
        </w:rPr>
      </w:pPr>
    </w:p>
    <w:p w14:paraId="2EEDF9D4" w14:textId="77777777" w:rsidR="00092F00" w:rsidRPr="000A3322" w:rsidRDefault="00092F00" w:rsidP="00092F00">
      <w:pPr>
        <w:tabs>
          <w:tab w:val="left" w:pos="567"/>
          <w:tab w:val="left" w:pos="1418"/>
          <w:tab w:val="left" w:pos="2268"/>
          <w:tab w:val="left" w:pos="3119"/>
          <w:tab w:val="left" w:pos="3969"/>
        </w:tabs>
        <w:spacing w:after="0" w:line="240" w:lineRule="auto"/>
        <w:ind w:left="567" w:hanging="567"/>
        <w:rPr>
          <w:rFonts w:ascii="Cambria" w:hAnsi="Cambria"/>
          <w:b/>
        </w:rPr>
      </w:pPr>
      <w:r w:rsidRPr="000A3322">
        <w:rPr>
          <w:rFonts w:ascii="Cambria" w:hAnsi="Cambria"/>
          <w:b/>
        </w:rPr>
        <w:t>3.</w:t>
      </w:r>
      <w:r w:rsidRPr="000A3322">
        <w:rPr>
          <w:rFonts w:ascii="Cambria" w:hAnsi="Cambria"/>
          <w:b/>
        </w:rPr>
        <w:tab/>
        <w:t>PURPOSE</w:t>
      </w:r>
    </w:p>
    <w:p w14:paraId="7A961414" w14:textId="77777777" w:rsidR="00092F00" w:rsidRPr="000A3322" w:rsidRDefault="00092F00" w:rsidP="00092F00">
      <w:pPr>
        <w:tabs>
          <w:tab w:val="left" w:pos="567"/>
          <w:tab w:val="left" w:pos="1418"/>
          <w:tab w:val="left" w:pos="2268"/>
          <w:tab w:val="left" w:pos="3119"/>
          <w:tab w:val="left" w:pos="3969"/>
        </w:tabs>
        <w:spacing w:after="0" w:line="240" w:lineRule="auto"/>
        <w:ind w:left="1418" w:hanging="1418"/>
        <w:rPr>
          <w:rFonts w:ascii="Cambria" w:hAnsi="Cambria"/>
        </w:rPr>
      </w:pPr>
      <w:r w:rsidRPr="000A3322">
        <w:rPr>
          <w:rFonts w:ascii="Cambria" w:hAnsi="Cambria"/>
        </w:rPr>
        <w:tab/>
        <w:t>3.1</w:t>
      </w:r>
      <w:r w:rsidRPr="000A3322">
        <w:rPr>
          <w:rFonts w:ascii="Cambria" w:hAnsi="Cambria"/>
        </w:rPr>
        <w:tab/>
        <w:t>The Committee shall assist the Council to reach out with the Gospel of Jesus Christ through media to all people (Romans 10: 14; Acts 1:8; Matthew 28: 19-20; 1 Peter 3:15).</w:t>
      </w:r>
    </w:p>
    <w:p w14:paraId="6A8D29D7" w14:textId="77777777" w:rsidR="00092F00" w:rsidRPr="000A3322" w:rsidRDefault="00092F00" w:rsidP="00092F00">
      <w:pPr>
        <w:tabs>
          <w:tab w:val="left" w:pos="567"/>
          <w:tab w:val="left" w:pos="1418"/>
          <w:tab w:val="left" w:pos="2268"/>
          <w:tab w:val="left" w:pos="3119"/>
          <w:tab w:val="left" w:pos="3969"/>
        </w:tabs>
        <w:spacing w:after="0" w:line="240" w:lineRule="auto"/>
        <w:ind w:left="1418" w:hanging="1418"/>
        <w:rPr>
          <w:rFonts w:ascii="Cambria" w:hAnsi="Cambria"/>
        </w:rPr>
      </w:pPr>
      <w:r w:rsidRPr="000A3322">
        <w:rPr>
          <w:rFonts w:ascii="Cambria" w:hAnsi="Cambria"/>
        </w:rPr>
        <w:tab/>
        <w:t>3.2</w:t>
      </w:r>
      <w:r w:rsidRPr="000A3322">
        <w:rPr>
          <w:rFonts w:ascii="Cambria" w:hAnsi="Cambria"/>
        </w:rPr>
        <w:tab/>
        <w:t>The Committee shall operate under the authority of the Council and shall</w:t>
      </w:r>
    </w:p>
    <w:p w14:paraId="448B1092" w14:textId="77777777" w:rsidR="00092F00" w:rsidRPr="000A3322" w:rsidRDefault="00092F00" w:rsidP="00092F00">
      <w:pPr>
        <w:tabs>
          <w:tab w:val="left" w:pos="567"/>
          <w:tab w:val="left" w:pos="1418"/>
          <w:tab w:val="left" w:pos="2268"/>
          <w:tab w:val="left" w:pos="3119"/>
          <w:tab w:val="left" w:pos="3969"/>
        </w:tabs>
        <w:spacing w:after="0" w:line="240" w:lineRule="auto"/>
        <w:ind w:left="2268" w:hanging="2268"/>
        <w:rPr>
          <w:rFonts w:ascii="Cambria" w:hAnsi="Cambria"/>
        </w:rPr>
      </w:pPr>
      <w:r w:rsidRPr="000A3322">
        <w:rPr>
          <w:rFonts w:ascii="Cambria" w:hAnsi="Cambria"/>
        </w:rPr>
        <w:tab/>
      </w:r>
      <w:r w:rsidRPr="000A3322">
        <w:rPr>
          <w:rFonts w:ascii="Cambria" w:hAnsi="Cambria"/>
        </w:rPr>
        <w:tab/>
        <w:t>3.2.1</w:t>
      </w:r>
      <w:r w:rsidRPr="000A3322">
        <w:rPr>
          <w:rFonts w:ascii="Cambria" w:hAnsi="Cambria"/>
        </w:rPr>
        <w:tab/>
        <w:t>work with and support the Director, Lutheran Media and the Department to achieve its purpose;  and</w:t>
      </w:r>
    </w:p>
    <w:p w14:paraId="2607875C" w14:textId="77777777" w:rsidR="00092F00" w:rsidRPr="000A3322" w:rsidRDefault="00092F00" w:rsidP="00092F00">
      <w:pPr>
        <w:tabs>
          <w:tab w:val="left" w:pos="567"/>
          <w:tab w:val="left" w:pos="1418"/>
          <w:tab w:val="left" w:pos="2268"/>
          <w:tab w:val="left" w:pos="3119"/>
          <w:tab w:val="left" w:pos="3969"/>
        </w:tabs>
        <w:spacing w:after="0" w:line="240" w:lineRule="auto"/>
        <w:ind w:left="2268" w:hanging="2268"/>
        <w:rPr>
          <w:rFonts w:ascii="Cambria" w:hAnsi="Cambria"/>
        </w:rPr>
      </w:pPr>
      <w:r w:rsidRPr="000A3322">
        <w:rPr>
          <w:rFonts w:ascii="Cambria" w:hAnsi="Cambria"/>
        </w:rPr>
        <w:tab/>
      </w:r>
      <w:r w:rsidRPr="000A3322">
        <w:rPr>
          <w:rFonts w:ascii="Cambria" w:hAnsi="Cambria"/>
        </w:rPr>
        <w:tab/>
        <w:t>3.2.2</w:t>
      </w:r>
      <w:r w:rsidRPr="000A3322">
        <w:rPr>
          <w:rFonts w:ascii="Cambria" w:hAnsi="Cambria"/>
        </w:rPr>
        <w:tab/>
        <w:t xml:space="preserve">provide the Council with information, advice and specific recommendations to strengthen and develop Lutheran Media and its mission. </w:t>
      </w:r>
    </w:p>
    <w:p w14:paraId="09E0917E" w14:textId="77777777" w:rsidR="00092F00" w:rsidRPr="000A3322" w:rsidRDefault="00092F00" w:rsidP="00092F00">
      <w:pPr>
        <w:tabs>
          <w:tab w:val="left" w:pos="567"/>
          <w:tab w:val="left" w:pos="1418"/>
          <w:tab w:val="left" w:pos="2268"/>
          <w:tab w:val="left" w:pos="3119"/>
          <w:tab w:val="left" w:pos="3969"/>
        </w:tabs>
        <w:spacing w:after="0" w:line="240" w:lineRule="auto"/>
        <w:ind w:left="567" w:hanging="567"/>
        <w:rPr>
          <w:rFonts w:ascii="Cambria" w:hAnsi="Cambria"/>
        </w:rPr>
      </w:pPr>
      <w:r w:rsidRPr="000A3322">
        <w:rPr>
          <w:rFonts w:ascii="Cambria" w:hAnsi="Cambria"/>
        </w:rPr>
        <w:tab/>
      </w:r>
    </w:p>
    <w:p w14:paraId="073A43AD" w14:textId="77777777" w:rsidR="00092F00" w:rsidRPr="000A3322" w:rsidRDefault="00092F00" w:rsidP="00092F00">
      <w:pPr>
        <w:tabs>
          <w:tab w:val="left" w:pos="567"/>
          <w:tab w:val="left" w:pos="1418"/>
          <w:tab w:val="left" w:pos="2268"/>
          <w:tab w:val="left" w:pos="3119"/>
          <w:tab w:val="left" w:pos="3969"/>
        </w:tabs>
        <w:spacing w:after="0" w:line="240" w:lineRule="auto"/>
        <w:ind w:left="567" w:hanging="567"/>
        <w:rPr>
          <w:rFonts w:ascii="Cambria" w:hAnsi="Cambria"/>
          <w:b/>
        </w:rPr>
      </w:pPr>
      <w:r w:rsidRPr="000A3322">
        <w:rPr>
          <w:rFonts w:ascii="Cambria" w:hAnsi="Cambria"/>
          <w:b/>
        </w:rPr>
        <w:t>4.</w:t>
      </w:r>
      <w:r w:rsidRPr="000A3322">
        <w:rPr>
          <w:rFonts w:ascii="Cambria" w:hAnsi="Cambria"/>
          <w:b/>
        </w:rPr>
        <w:tab/>
        <w:t>AUTHORITY</w:t>
      </w:r>
    </w:p>
    <w:p w14:paraId="61430077" w14:textId="77777777" w:rsidR="00092F00" w:rsidRPr="000A3322" w:rsidRDefault="00092F00" w:rsidP="00092F00">
      <w:pPr>
        <w:tabs>
          <w:tab w:val="left" w:pos="567"/>
          <w:tab w:val="left" w:pos="1418"/>
          <w:tab w:val="left" w:pos="2268"/>
          <w:tab w:val="left" w:pos="3119"/>
          <w:tab w:val="left" w:pos="3969"/>
        </w:tabs>
        <w:spacing w:after="0" w:line="240" w:lineRule="auto"/>
        <w:ind w:left="1418" w:hanging="1418"/>
        <w:rPr>
          <w:rFonts w:ascii="Cambria" w:hAnsi="Cambria"/>
        </w:rPr>
      </w:pPr>
      <w:r w:rsidRPr="000A3322">
        <w:rPr>
          <w:rFonts w:ascii="Cambria" w:hAnsi="Cambria"/>
        </w:rPr>
        <w:tab/>
        <w:t>4.1</w:t>
      </w:r>
      <w:r w:rsidRPr="000A3322">
        <w:rPr>
          <w:rFonts w:ascii="Cambria" w:hAnsi="Cambria"/>
        </w:rPr>
        <w:tab/>
        <w:t>The Committee may recommend to the Council such approaches and actions based on its considered assessment of opportunity, priority and need.</w:t>
      </w:r>
    </w:p>
    <w:p w14:paraId="6275AD0B" w14:textId="77777777" w:rsidR="00092F00" w:rsidRPr="000A3322" w:rsidRDefault="00092F00" w:rsidP="00092F00">
      <w:pPr>
        <w:tabs>
          <w:tab w:val="left" w:pos="567"/>
          <w:tab w:val="left" w:pos="1418"/>
          <w:tab w:val="left" w:pos="2268"/>
          <w:tab w:val="left" w:pos="3119"/>
          <w:tab w:val="left" w:pos="3969"/>
        </w:tabs>
        <w:spacing w:after="0" w:line="240" w:lineRule="auto"/>
        <w:ind w:left="1418" w:hanging="1418"/>
        <w:rPr>
          <w:rFonts w:ascii="Cambria" w:hAnsi="Cambria"/>
        </w:rPr>
      </w:pPr>
      <w:r w:rsidRPr="000A3322">
        <w:rPr>
          <w:rFonts w:ascii="Cambria" w:hAnsi="Cambria"/>
        </w:rPr>
        <w:tab/>
        <w:t>4.2</w:t>
      </w:r>
      <w:r w:rsidRPr="000A3322">
        <w:rPr>
          <w:rFonts w:ascii="Cambria" w:hAnsi="Cambria"/>
        </w:rPr>
        <w:tab/>
        <w:t>The Council may delegate specific decision-making authority to the Committee under a written delegations policy.</w:t>
      </w:r>
    </w:p>
    <w:p w14:paraId="577C7AB4" w14:textId="77777777" w:rsidR="00092F00" w:rsidRPr="000A3322" w:rsidRDefault="00092F00" w:rsidP="00092F00">
      <w:pPr>
        <w:tabs>
          <w:tab w:val="left" w:pos="567"/>
          <w:tab w:val="left" w:pos="1418"/>
          <w:tab w:val="left" w:pos="2268"/>
          <w:tab w:val="left" w:pos="3119"/>
          <w:tab w:val="left" w:pos="3969"/>
        </w:tabs>
        <w:spacing w:after="0" w:line="240" w:lineRule="auto"/>
        <w:ind w:left="567" w:hanging="567"/>
        <w:rPr>
          <w:rFonts w:ascii="Cambria" w:hAnsi="Cambria"/>
        </w:rPr>
      </w:pPr>
    </w:p>
    <w:p w14:paraId="5D7C20F5" w14:textId="77777777" w:rsidR="00092F00" w:rsidRPr="000A3322" w:rsidRDefault="00092F00" w:rsidP="00092F00">
      <w:pPr>
        <w:tabs>
          <w:tab w:val="left" w:pos="567"/>
          <w:tab w:val="left" w:pos="1418"/>
          <w:tab w:val="left" w:pos="2268"/>
          <w:tab w:val="left" w:pos="3119"/>
          <w:tab w:val="left" w:pos="3969"/>
        </w:tabs>
        <w:spacing w:after="0" w:line="240" w:lineRule="auto"/>
        <w:ind w:left="567" w:hanging="567"/>
        <w:rPr>
          <w:rFonts w:ascii="Cambria" w:hAnsi="Cambria"/>
          <w:b/>
        </w:rPr>
      </w:pPr>
      <w:r w:rsidRPr="000A3322">
        <w:rPr>
          <w:rFonts w:ascii="Cambria" w:hAnsi="Cambria"/>
          <w:b/>
        </w:rPr>
        <w:t>5.</w:t>
      </w:r>
      <w:r w:rsidRPr="000A3322">
        <w:rPr>
          <w:rFonts w:ascii="Cambria" w:hAnsi="Cambria"/>
          <w:b/>
        </w:rPr>
        <w:tab/>
        <w:t>MEMBERSHIP</w:t>
      </w:r>
    </w:p>
    <w:p w14:paraId="7E094179" w14:textId="77777777" w:rsidR="00092F00" w:rsidRPr="000A3322" w:rsidRDefault="00092F00" w:rsidP="00092F00">
      <w:pPr>
        <w:tabs>
          <w:tab w:val="left" w:pos="567"/>
          <w:tab w:val="left" w:pos="1418"/>
          <w:tab w:val="left" w:pos="2268"/>
          <w:tab w:val="left" w:pos="3119"/>
          <w:tab w:val="left" w:pos="3969"/>
        </w:tabs>
        <w:spacing w:after="0" w:line="240" w:lineRule="auto"/>
        <w:ind w:left="1418" w:hanging="1418"/>
        <w:rPr>
          <w:rFonts w:ascii="Cambria" w:hAnsi="Cambria"/>
        </w:rPr>
      </w:pPr>
      <w:r w:rsidRPr="000A3322">
        <w:rPr>
          <w:rFonts w:ascii="Cambria" w:hAnsi="Cambria"/>
        </w:rPr>
        <w:tab/>
        <w:t>5.1</w:t>
      </w:r>
      <w:r w:rsidRPr="000A3322">
        <w:rPr>
          <w:rFonts w:ascii="Cambria" w:hAnsi="Cambria"/>
        </w:rPr>
        <w:tab/>
        <w:t>The Committee shall consist of seven [7] members:</w:t>
      </w:r>
    </w:p>
    <w:p w14:paraId="4421C36E" w14:textId="77777777" w:rsidR="00092F00" w:rsidRPr="000A3322" w:rsidRDefault="00092F00" w:rsidP="00092F00">
      <w:pPr>
        <w:tabs>
          <w:tab w:val="left" w:pos="567"/>
          <w:tab w:val="left" w:pos="1418"/>
          <w:tab w:val="left" w:pos="2268"/>
          <w:tab w:val="left" w:pos="3119"/>
          <w:tab w:val="left" w:pos="3969"/>
        </w:tabs>
        <w:spacing w:after="0" w:line="240" w:lineRule="auto"/>
        <w:ind w:left="2268" w:hanging="2268"/>
        <w:rPr>
          <w:rFonts w:ascii="Cambria" w:hAnsi="Cambria"/>
        </w:rPr>
      </w:pPr>
      <w:r w:rsidRPr="000A3322">
        <w:rPr>
          <w:rFonts w:ascii="Cambria" w:hAnsi="Cambria"/>
        </w:rPr>
        <w:tab/>
      </w:r>
      <w:r w:rsidRPr="000A3322">
        <w:rPr>
          <w:rFonts w:ascii="Cambria" w:hAnsi="Cambria"/>
        </w:rPr>
        <w:tab/>
        <w:t>5.2.1</w:t>
      </w:r>
      <w:r w:rsidRPr="000A3322">
        <w:rPr>
          <w:rFonts w:ascii="Cambria" w:hAnsi="Cambria"/>
        </w:rPr>
        <w:tab/>
        <w:t xml:space="preserve">a chairperson appointed by the Council who possesses experience and qualities appropriate to the task; </w:t>
      </w:r>
    </w:p>
    <w:p w14:paraId="5E533231" w14:textId="77777777" w:rsidR="00092F00" w:rsidRPr="000A3322" w:rsidRDefault="00092F00" w:rsidP="00092F00">
      <w:pPr>
        <w:tabs>
          <w:tab w:val="left" w:pos="567"/>
          <w:tab w:val="left" w:pos="1418"/>
          <w:tab w:val="left" w:pos="2268"/>
          <w:tab w:val="left" w:pos="3119"/>
          <w:tab w:val="left" w:pos="3969"/>
        </w:tabs>
        <w:spacing w:after="0" w:line="240" w:lineRule="auto"/>
        <w:ind w:left="2268" w:hanging="2268"/>
        <w:rPr>
          <w:rFonts w:ascii="Cambria" w:hAnsi="Cambria"/>
        </w:rPr>
      </w:pPr>
      <w:r w:rsidRPr="000A3322">
        <w:rPr>
          <w:rFonts w:ascii="Cambria" w:hAnsi="Cambria"/>
        </w:rPr>
        <w:tab/>
      </w:r>
      <w:r w:rsidRPr="000A3322">
        <w:rPr>
          <w:rFonts w:ascii="Cambria" w:hAnsi="Cambria"/>
        </w:rPr>
        <w:tab/>
        <w:t>5.2.2</w:t>
      </w:r>
      <w:r w:rsidRPr="000A3322">
        <w:rPr>
          <w:rFonts w:ascii="Cambria" w:hAnsi="Cambria"/>
        </w:rPr>
        <w:tab/>
        <w:t>two [2] pastors;</w:t>
      </w:r>
    </w:p>
    <w:p w14:paraId="38B97CD5" w14:textId="77777777" w:rsidR="00092F00" w:rsidRPr="000A3322" w:rsidRDefault="00092F00" w:rsidP="00092F00">
      <w:pPr>
        <w:tabs>
          <w:tab w:val="left" w:pos="567"/>
          <w:tab w:val="left" w:pos="1418"/>
          <w:tab w:val="left" w:pos="2268"/>
          <w:tab w:val="left" w:pos="3119"/>
          <w:tab w:val="left" w:pos="3969"/>
        </w:tabs>
        <w:spacing w:after="0" w:line="240" w:lineRule="auto"/>
        <w:ind w:left="2268" w:hanging="2268"/>
        <w:rPr>
          <w:rFonts w:ascii="Cambria" w:hAnsi="Cambria"/>
        </w:rPr>
      </w:pPr>
      <w:r w:rsidRPr="000A3322">
        <w:rPr>
          <w:rFonts w:ascii="Cambria" w:hAnsi="Cambria"/>
        </w:rPr>
        <w:lastRenderedPageBreak/>
        <w:tab/>
      </w:r>
      <w:r w:rsidRPr="000A3322">
        <w:rPr>
          <w:rFonts w:ascii="Cambria" w:hAnsi="Cambria"/>
        </w:rPr>
        <w:tab/>
        <w:t>5.2.3</w:t>
      </w:r>
      <w:r w:rsidRPr="000A3322">
        <w:rPr>
          <w:rFonts w:ascii="Cambria" w:hAnsi="Cambria"/>
        </w:rPr>
        <w:tab/>
        <w:t>one [1] member with a knowledge and experience in working with the media;</w:t>
      </w:r>
    </w:p>
    <w:p w14:paraId="3EF6DAF6" w14:textId="77777777" w:rsidR="00092F00" w:rsidRPr="000A3322" w:rsidRDefault="00092F00" w:rsidP="00092F00">
      <w:pPr>
        <w:tabs>
          <w:tab w:val="left" w:pos="567"/>
          <w:tab w:val="left" w:pos="1418"/>
          <w:tab w:val="left" w:pos="2268"/>
          <w:tab w:val="left" w:pos="3119"/>
          <w:tab w:val="left" w:pos="3969"/>
        </w:tabs>
        <w:spacing w:after="0" w:line="240" w:lineRule="auto"/>
        <w:ind w:left="2268" w:hanging="2268"/>
        <w:rPr>
          <w:rFonts w:ascii="Cambria" w:hAnsi="Cambria"/>
        </w:rPr>
      </w:pPr>
      <w:r w:rsidRPr="000A3322">
        <w:rPr>
          <w:rFonts w:ascii="Cambria" w:hAnsi="Cambria"/>
        </w:rPr>
        <w:tab/>
      </w:r>
      <w:r w:rsidRPr="000A3322">
        <w:rPr>
          <w:rFonts w:ascii="Cambria" w:hAnsi="Cambria"/>
        </w:rPr>
        <w:tab/>
        <w:t>5.2.4</w:t>
      </w:r>
      <w:r w:rsidRPr="000A3322">
        <w:rPr>
          <w:rFonts w:ascii="Cambria" w:hAnsi="Cambria"/>
        </w:rPr>
        <w:tab/>
        <w:t>one [1] member with expertise in media;</w:t>
      </w:r>
    </w:p>
    <w:p w14:paraId="1F3AD235" w14:textId="77777777" w:rsidR="00092F00" w:rsidRPr="000A3322" w:rsidRDefault="00092F00" w:rsidP="00092F00">
      <w:pPr>
        <w:tabs>
          <w:tab w:val="left" w:pos="567"/>
          <w:tab w:val="left" w:pos="1418"/>
          <w:tab w:val="left" w:pos="2268"/>
          <w:tab w:val="left" w:pos="3119"/>
          <w:tab w:val="left" w:pos="3969"/>
        </w:tabs>
        <w:spacing w:after="0" w:line="240" w:lineRule="auto"/>
        <w:ind w:left="2268" w:hanging="2268"/>
        <w:rPr>
          <w:rFonts w:ascii="Cambria" w:hAnsi="Cambria"/>
        </w:rPr>
      </w:pPr>
      <w:r w:rsidRPr="000A3322">
        <w:rPr>
          <w:rFonts w:ascii="Cambria" w:hAnsi="Cambria"/>
        </w:rPr>
        <w:tab/>
      </w:r>
      <w:r w:rsidRPr="000A3322">
        <w:rPr>
          <w:rFonts w:ascii="Cambria" w:hAnsi="Cambria"/>
        </w:rPr>
        <w:tab/>
        <w:t>5.2.5</w:t>
      </w:r>
      <w:r w:rsidRPr="000A3322">
        <w:rPr>
          <w:rFonts w:ascii="Cambria" w:hAnsi="Cambria"/>
        </w:rPr>
        <w:tab/>
        <w:t>one [1] member with marketing experience;  and</w:t>
      </w:r>
    </w:p>
    <w:p w14:paraId="2E9EEFA1" w14:textId="77777777" w:rsidR="00092F00" w:rsidRPr="000A3322" w:rsidRDefault="00092F00" w:rsidP="00092F00">
      <w:pPr>
        <w:tabs>
          <w:tab w:val="left" w:pos="567"/>
          <w:tab w:val="left" w:pos="1418"/>
          <w:tab w:val="left" w:pos="2268"/>
          <w:tab w:val="left" w:pos="3119"/>
          <w:tab w:val="left" w:pos="3969"/>
        </w:tabs>
        <w:spacing w:after="0" w:line="240" w:lineRule="auto"/>
        <w:ind w:left="2268" w:hanging="2268"/>
        <w:rPr>
          <w:rFonts w:ascii="Cambria" w:hAnsi="Cambria"/>
        </w:rPr>
      </w:pPr>
      <w:r w:rsidRPr="000A3322">
        <w:rPr>
          <w:rFonts w:ascii="Cambria" w:hAnsi="Cambria"/>
        </w:rPr>
        <w:tab/>
      </w:r>
      <w:r w:rsidRPr="000A3322">
        <w:rPr>
          <w:rFonts w:ascii="Cambria" w:hAnsi="Cambria"/>
        </w:rPr>
        <w:tab/>
        <w:t>5.2.6</w:t>
      </w:r>
      <w:r w:rsidRPr="000A3322">
        <w:rPr>
          <w:rFonts w:ascii="Cambria" w:hAnsi="Cambria"/>
        </w:rPr>
        <w:tab/>
        <w:t>one [1] member with experience in outreach-related ministry.</w:t>
      </w:r>
    </w:p>
    <w:p w14:paraId="225BCC0E" w14:textId="77777777" w:rsidR="00092F00" w:rsidRPr="000A3322" w:rsidRDefault="00092F00" w:rsidP="00092F00">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0A3322">
        <w:rPr>
          <w:rFonts w:ascii="Cambria" w:hAnsi="Cambria" w:cstheme="minorHAnsi"/>
        </w:rPr>
        <w:tab/>
        <w:t>5.2</w:t>
      </w:r>
      <w:r w:rsidRPr="000A3322">
        <w:rPr>
          <w:rFonts w:ascii="Cambria" w:hAnsi="Cambria" w:cstheme="minorHAnsi"/>
        </w:rPr>
        <w:tab/>
        <w:t xml:space="preserve">The members of the Committee shall be appointed by the Council, based on recommendations from the Standing Committee on Nominations.  </w:t>
      </w:r>
    </w:p>
    <w:p w14:paraId="36B00363" w14:textId="77777777" w:rsidR="00092F00" w:rsidRPr="000A3322" w:rsidRDefault="00092F00" w:rsidP="00092F00">
      <w:pPr>
        <w:tabs>
          <w:tab w:val="left" w:pos="567"/>
          <w:tab w:val="left" w:pos="1418"/>
          <w:tab w:val="left" w:pos="2268"/>
          <w:tab w:val="left" w:pos="3119"/>
          <w:tab w:val="left" w:pos="3969"/>
        </w:tabs>
        <w:spacing w:after="0" w:line="240" w:lineRule="auto"/>
        <w:ind w:left="1418" w:hanging="1418"/>
        <w:rPr>
          <w:rFonts w:ascii="Cambria" w:hAnsi="Cambria"/>
        </w:rPr>
      </w:pPr>
      <w:r w:rsidRPr="000A3322">
        <w:rPr>
          <w:rFonts w:ascii="Cambria" w:hAnsi="Cambria"/>
        </w:rPr>
        <w:tab/>
        <w:t>5.3</w:t>
      </w:r>
      <w:r w:rsidRPr="000A3322">
        <w:rPr>
          <w:rFonts w:ascii="Cambria" w:hAnsi="Cambria"/>
        </w:rPr>
        <w:tab/>
        <w:t>The Committee shall consist of people with a passion for ministry and mission.</w:t>
      </w:r>
    </w:p>
    <w:p w14:paraId="197EBFB0" w14:textId="77777777" w:rsidR="00092F00" w:rsidRPr="000A3322" w:rsidRDefault="00092F00" w:rsidP="00092F00">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0A3322">
        <w:rPr>
          <w:rFonts w:ascii="Cambria" w:hAnsi="Cambria" w:cstheme="minorHAnsi"/>
        </w:rPr>
        <w:tab/>
        <w:t>5.4</w:t>
      </w:r>
      <w:r w:rsidRPr="000A3322">
        <w:rPr>
          <w:rFonts w:ascii="Cambria" w:hAnsi="Cambria" w:cstheme="minorHAnsi"/>
        </w:rPr>
        <w:tab/>
        <w:t>The membership will include a mix of backgrounds and perspectives which, together with the relevant skills, qualifications and experience will enable the Committee to fulfil its role.</w:t>
      </w:r>
    </w:p>
    <w:p w14:paraId="2E8C8ACC" w14:textId="77777777" w:rsidR="00092F00" w:rsidRPr="000A3322" w:rsidRDefault="00092F00" w:rsidP="00092F00">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0A3322">
        <w:rPr>
          <w:rFonts w:ascii="Cambria" w:hAnsi="Cambria" w:cstheme="minorHAnsi"/>
        </w:rPr>
        <w:tab/>
        <w:t>5.5</w:t>
      </w:r>
      <w:r w:rsidRPr="000A3322">
        <w:rPr>
          <w:rFonts w:ascii="Cambria" w:hAnsi="Cambria" w:cstheme="minorHAnsi"/>
        </w:rPr>
        <w:tab/>
        <w:t>The term of appointment for all members will be for a Synodical term.</w:t>
      </w:r>
    </w:p>
    <w:p w14:paraId="60B56F00" w14:textId="77777777" w:rsidR="00092F00" w:rsidRPr="000A3322" w:rsidRDefault="00092F00" w:rsidP="00092F00">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0A3322">
        <w:rPr>
          <w:rFonts w:ascii="Cambria" w:hAnsi="Cambria" w:cstheme="minorHAnsi"/>
        </w:rPr>
        <w:tab/>
        <w:t>5.6</w:t>
      </w:r>
      <w:r w:rsidRPr="000A3322">
        <w:rPr>
          <w:rFonts w:ascii="Cambria" w:hAnsi="Cambria" w:cstheme="minorHAnsi"/>
        </w:rPr>
        <w:tab/>
        <w:t xml:space="preserve">The Executive Officer - Local Mission (EO-LM) and the Director, Lutheran Media shall attend meetings of the Committee.  </w:t>
      </w:r>
    </w:p>
    <w:p w14:paraId="2B704A5D" w14:textId="77777777" w:rsidR="00092F00" w:rsidRPr="000A3322" w:rsidRDefault="00092F00" w:rsidP="00092F00">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0A3322">
        <w:rPr>
          <w:rFonts w:ascii="Cambria" w:hAnsi="Cambria" w:cstheme="minorHAnsi"/>
        </w:rPr>
        <w:tab/>
        <w:t>5.7</w:t>
      </w:r>
      <w:r w:rsidRPr="000A3322">
        <w:rPr>
          <w:rFonts w:ascii="Cambria" w:hAnsi="Cambria" w:cstheme="minorHAnsi"/>
        </w:rPr>
        <w:tab/>
        <w:t>The Council chairperson may attend meetings of the Committee in an ex officio capacity.</w:t>
      </w:r>
    </w:p>
    <w:p w14:paraId="0DE192D4" w14:textId="77777777" w:rsidR="00092F00" w:rsidRPr="000A3322" w:rsidRDefault="00092F00" w:rsidP="00092F00">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0A3322">
        <w:rPr>
          <w:rFonts w:ascii="Cambria" w:hAnsi="Cambria" w:cstheme="minorHAnsi"/>
        </w:rPr>
        <w:tab/>
        <w:t>5.8</w:t>
      </w:r>
      <w:r w:rsidRPr="000A3322">
        <w:rPr>
          <w:rFonts w:ascii="Cambria" w:hAnsi="Cambria" w:cstheme="minorHAnsi"/>
        </w:rPr>
        <w:tab/>
        <w:t>Up to two [2] consultants may be appointed by the Council to contribute specialised knowledge that is not available among the membership when addressing specific issues.</w:t>
      </w:r>
    </w:p>
    <w:p w14:paraId="21CA759B" w14:textId="77777777" w:rsidR="00092F00" w:rsidRPr="000A3322" w:rsidRDefault="00092F00" w:rsidP="00092F00">
      <w:pPr>
        <w:tabs>
          <w:tab w:val="left" w:pos="567"/>
          <w:tab w:val="left" w:pos="1418"/>
          <w:tab w:val="left" w:pos="2268"/>
          <w:tab w:val="left" w:pos="3119"/>
          <w:tab w:val="left" w:pos="3969"/>
        </w:tabs>
        <w:spacing w:after="0" w:line="240" w:lineRule="auto"/>
        <w:ind w:left="567" w:hanging="567"/>
        <w:rPr>
          <w:rFonts w:ascii="Cambria" w:hAnsi="Cambria"/>
        </w:rPr>
      </w:pPr>
    </w:p>
    <w:p w14:paraId="6F0E83B0" w14:textId="77777777" w:rsidR="00092F00" w:rsidRPr="000A3322" w:rsidRDefault="00092F00" w:rsidP="00092F00">
      <w:pPr>
        <w:tabs>
          <w:tab w:val="left" w:pos="567"/>
          <w:tab w:val="left" w:pos="1418"/>
          <w:tab w:val="left" w:pos="2268"/>
          <w:tab w:val="left" w:pos="3119"/>
          <w:tab w:val="left" w:pos="3969"/>
        </w:tabs>
        <w:spacing w:after="0" w:line="240" w:lineRule="auto"/>
        <w:ind w:left="567" w:hanging="567"/>
        <w:rPr>
          <w:rFonts w:ascii="Cambria" w:hAnsi="Cambria"/>
          <w:b/>
        </w:rPr>
      </w:pPr>
      <w:r w:rsidRPr="000A3322">
        <w:rPr>
          <w:rFonts w:ascii="Cambria" w:hAnsi="Cambria"/>
          <w:b/>
        </w:rPr>
        <w:t>6.</w:t>
      </w:r>
      <w:r w:rsidRPr="000A3322">
        <w:rPr>
          <w:rFonts w:ascii="Cambria" w:hAnsi="Cambria"/>
          <w:b/>
        </w:rPr>
        <w:tab/>
        <w:t>MEETING ARRANGEMENTS AND REPORTING</w:t>
      </w:r>
    </w:p>
    <w:p w14:paraId="1ADEE29D" w14:textId="77777777" w:rsidR="00092F00" w:rsidRPr="000A3322" w:rsidRDefault="00092F00" w:rsidP="00092F00">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0A3322">
        <w:rPr>
          <w:rFonts w:ascii="Cambria" w:hAnsi="Cambria" w:cstheme="minorHAnsi"/>
        </w:rPr>
        <w:tab/>
        <w:t>6.1</w:t>
      </w:r>
      <w:r w:rsidRPr="000A3322">
        <w:rPr>
          <w:rFonts w:ascii="Cambria" w:hAnsi="Cambria" w:cstheme="minorHAnsi"/>
        </w:rPr>
        <w:tab/>
        <w:t xml:space="preserve">Meetings shall be convened by the Chairperson.  </w:t>
      </w:r>
    </w:p>
    <w:p w14:paraId="73A85542" w14:textId="77777777" w:rsidR="00092F00" w:rsidRPr="000A3322" w:rsidRDefault="00092F00" w:rsidP="00092F00">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0A3322">
        <w:rPr>
          <w:rFonts w:ascii="Cambria" w:hAnsi="Cambria" w:cstheme="minorHAnsi"/>
        </w:rPr>
        <w:tab/>
        <w:t>6.2</w:t>
      </w:r>
      <w:r w:rsidRPr="000A3322">
        <w:rPr>
          <w:rFonts w:ascii="Cambria" w:hAnsi="Cambria" w:cstheme="minorHAnsi"/>
        </w:rPr>
        <w:tab/>
        <w:t>It is at the discretion of the Committee to meet face-to-face, by electronic means, or by other means of communication.</w:t>
      </w:r>
    </w:p>
    <w:p w14:paraId="1BDBB5F9" w14:textId="77777777" w:rsidR="00092F00" w:rsidRPr="000A3322" w:rsidRDefault="00092F00" w:rsidP="00092F00">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0A3322">
        <w:rPr>
          <w:rFonts w:ascii="Cambria" w:hAnsi="Cambria" w:cstheme="minorHAnsi"/>
        </w:rPr>
        <w:tab/>
        <w:t>6.3</w:t>
      </w:r>
      <w:r w:rsidRPr="000A3322">
        <w:rPr>
          <w:rFonts w:ascii="Cambria" w:hAnsi="Cambria" w:cstheme="minorHAnsi"/>
        </w:rPr>
        <w:tab/>
        <w:t>Email correspondence may be used for the distribution of minutes, advisory information or approval of documentation.</w:t>
      </w:r>
    </w:p>
    <w:p w14:paraId="56E0C1A3" w14:textId="77777777" w:rsidR="00092F00" w:rsidRPr="000A3322" w:rsidRDefault="00092F00" w:rsidP="00092F00">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0A3322">
        <w:rPr>
          <w:rFonts w:ascii="Cambria" w:hAnsi="Cambria" w:cstheme="minorHAnsi"/>
        </w:rPr>
        <w:tab/>
        <w:t>6.4</w:t>
      </w:r>
      <w:r w:rsidRPr="000A3322">
        <w:rPr>
          <w:rFonts w:ascii="Cambria" w:hAnsi="Cambria" w:cstheme="minorHAnsi"/>
        </w:rPr>
        <w:tab/>
        <w:t>The minutes of the meetings of the Committee shall be submitted to the Council.</w:t>
      </w:r>
    </w:p>
    <w:p w14:paraId="07715C31" w14:textId="77777777" w:rsidR="00092F00" w:rsidRPr="000A3322" w:rsidRDefault="00092F00" w:rsidP="00092F00">
      <w:pPr>
        <w:tabs>
          <w:tab w:val="left" w:pos="567"/>
          <w:tab w:val="left" w:pos="1418"/>
          <w:tab w:val="left" w:pos="2268"/>
          <w:tab w:val="left" w:pos="3119"/>
          <w:tab w:val="left" w:pos="3969"/>
        </w:tabs>
        <w:spacing w:after="0" w:line="240" w:lineRule="auto"/>
        <w:ind w:left="567" w:hanging="567"/>
        <w:rPr>
          <w:rFonts w:ascii="Cambria" w:hAnsi="Cambria"/>
        </w:rPr>
      </w:pPr>
    </w:p>
    <w:p w14:paraId="22EA6C57" w14:textId="77777777" w:rsidR="00092F00" w:rsidRPr="000A3322" w:rsidRDefault="00092F00" w:rsidP="00092F00">
      <w:pPr>
        <w:tabs>
          <w:tab w:val="left" w:pos="567"/>
          <w:tab w:val="left" w:pos="1418"/>
          <w:tab w:val="left" w:pos="2268"/>
          <w:tab w:val="left" w:pos="3119"/>
          <w:tab w:val="left" w:pos="3969"/>
        </w:tabs>
        <w:spacing w:after="0" w:line="240" w:lineRule="auto"/>
        <w:ind w:left="567" w:hanging="567"/>
        <w:rPr>
          <w:rFonts w:ascii="Cambria" w:hAnsi="Cambria"/>
          <w:b/>
        </w:rPr>
      </w:pPr>
      <w:r w:rsidRPr="000A3322">
        <w:rPr>
          <w:rFonts w:ascii="Cambria" w:hAnsi="Cambria"/>
          <w:b/>
        </w:rPr>
        <w:t>7.</w:t>
      </w:r>
      <w:r w:rsidRPr="000A3322">
        <w:rPr>
          <w:rFonts w:ascii="Cambria" w:hAnsi="Cambria"/>
          <w:b/>
        </w:rPr>
        <w:tab/>
        <w:t>RESPONSIBILITIES</w:t>
      </w:r>
    </w:p>
    <w:p w14:paraId="164B0359" w14:textId="77777777" w:rsidR="00092F00" w:rsidRPr="000A3322" w:rsidRDefault="00092F00" w:rsidP="00092F00">
      <w:pPr>
        <w:tabs>
          <w:tab w:val="left" w:pos="567"/>
          <w:tab w:val="left" w:pos="1418"/>
          <w:tab w:val="left" w:pos="2268"/>
          <w:tab w:val="left" w:pos="3119"/>
          <w:tab w:val="left" w:pos="3969"/>
        </w:tabs>
        <w:spacing w:after="0" w:line="240" w:lineRule="auto"/>
        <w:ind w:left="567" w:hanging="567"/>
        <w:rPr>
          <w:rFonts w:ascii="Cambria" w:hAnsi="Cambria"/>
        </w:rPr>
      </w:pPr>
      <w:r w:rsidRPr="000A3322">
        <w:rPr>
          <w:rFonts w:ascii="Cambria" w:hAnsi="Cambria"/>
        </w:rPr>
        <w:tab/>
        <w:t>The committee shall work with the Director, Lutheran Media and the EO-LM to</w:t>
      </w:r>
    </w:p>
    <w:p w14:paraId="56CC3A95" w14:textId="77777777" w:rsidR="00092F00" w:rsidRPr="000A3322" w:rsidRDefault="00092F00" w:rsidP="00092F00">
      <w:pPr>
        <w:tabs>
          <w:tab w:val="left" w:pos="567"/>
          <w:tab w:val="left" w:pos="1418"/>
          <w:tab w:val="left" w:pos="2268"/>
          <w:tab w:val="left" w:pos="3119"/>
          <w:tab w:val="left" w:pos="3969"/>
        </w:tabs>
        <w:spacing w:after="0" w:line="240" w:lineRule="auto"/>
        <w:ind w:left="1418" w:hanging="1418"/>
        <w:rPr>
          <w:rFonts w:ascii="Cambria" w:hAnsi="Cambria"/>
        </w:rPr>
      </w:pPr>
      <w:r w:rsidRPr="000A3322">
        <w:rPr>
          <w:rFonts w:ascii="Cambria" w:hAnsi="Cambria"/>
        </w:rPr>
        <w:tab/>
        <w:t>7.1</w:t>
      </w:r>
      <w:r w:rsidRPr="000A3322">
        <w:rPr>
          <w:rFonts w:ascii="Cambria" w:hAnsi="Cambria"/>
        </w:rPr>
        <w:tab/>
        <w:t>provide advice and recommendations to the Council on policies to guide practice in media outreach;</w:t>
      </w:r>
    </w:p>
    <w:p w14:paraId="73F04A61" w14:textId="77777777" w:rsidR="00092F00" w:rsidRPr="000A3322" w:rsidRDefault="00092F00" w:rsidP="00092F00">
      <w:pPr>
        <w:tabs>
          <w:tab w:val="left" w:pos="567"/>
          <w:tab w:val="left" w:pos="1418"/>
          <w:tab w:val="left" w:pos="2268"/>
          <w:tab w:val="left" w:pos="3119"/>
          <w:tab w:val="left" w:pos="3969"/>
        </w:tabs>
        <w:spacing w:after="0" w:line="240" w:lineRule="auto"/>
        <w:ind w:left="1418" w:hanging="1418"/>
        <w:rPr>
          <w:rFonts w:ascii="Cambria" w:hAnsi="Cambria"/>
        </w:rPr>
      </w:pPr>
      <w:r w:rsidRPr="000A3322">
        <w:rPr>
          <w:rFonts w:ascii="Cambria" w:hAnsi="Cambria"/>
        </w:rPr>
        <w:tab/>
        <w:t>7.2</w:t>
      </w:r>
      <w:r w:rsidRPr="000A3322">
        <w:rPr>
          <w:rFonts w:ascii="Cambria" w:hAnsi="Cambria"/>
        </w:rPr>
        <w:tab/>
        <w:t>develop, recommend and monitor plans and ministry priorities, including the financial and resources support required;</w:t>
      </w:r>
    </w:p>
    <w:p w14:paraId="64626CCA" w14:textId="77777777" w:rsidR="00092F00" w:rsidRPr="000A3322" w:rsidRDefault="00092F00" w:rsidP="00092F00">
      <w:pPr>
        <w:tabs>
          <w:tab w:val="left" w:pos="567"/>
          <w:tab w:val="left" w:pos="1418"/>
          <w:tab w:val="left" w:pos="2268"/>
          <w:tab w:val="left" w:pos="3119"/>
          <w:tab w:val="left" w:pos="3969"/>
        </w:tabs>
        <w:spacing w:after="0" w:line="240" w:lineRule="auto"/>
        <w:ind w:left="1418" w:hanging="1418"/>
        <w:rPr>
          <w:rFonts w:ascii="Cambria" w:hAnsi="Cambria"/>
        </w:rPr>
      </w:pPr>
      <w:r w:rsidRPr="000A3322">
        <w:rPr>
          <w:rFonts w:ascii="Cambria" w:hAnsi="Cambria"/>
        </w:rPr>
        <w:tab/>
        <w:t>7.3</w:t>
      </w:r>
      <w:r w:rsidRPr="000A3322">
        <w:rPr>
          <w:rFonts w:ascii="Cambria" w:hAnsi="Cambria"/>
        </w:rPr>
        <w:tab/>
        <w:t>produce outreach content throughout Australia and New Zealand and methods of distribution;</w:t>
      </w:r>
    </w:p>
    <w:p w14:paraId="2EF45D79" w14:textId="77777777" w:rsidR="00092F00" w:rsidRPr="000A3322" w:rsidRDefault="00092F00" w:rsidP="00092F00">
      <w:pPr>
        <w:tabs>
          <w:tab w:val="left" w:pos="567"/>
          <w:tab w:val="left" w:pos="1418"/>
          <w:tab w:val="left" w:pos="2268"/>
          <w:tab w:val="left" w:pos="3119"/>
          <w:tab w:val="left" w:pos="3969"/>
        </w:tabs>
        <w:spacing w:after="0" w:line="240" w:lineRule="auto"/>
        <w:ind w:left="1418" w:hanging="1418"/>
        <w:rPr>
          <w:rFonts w:ascii="Cambria" w:hAnsi="Cambria"/>
        </w:rPr>
      </w:pPr>
      <w:r w:rsidRPr="000A3322">
        <w:rPr>
          <w:rFonts w:ascii="Cambria" w:hAnsi="Cambria"/>
        </w:rPr>
        <w:tab/>
        <w:t>7.4</w:t>
      </w:r>
      <w:r w:rsidRPr="000A3322">
        <w:rPr>
          <w:rFonts w:ascii="Cambria" w:hAnsi="Cambria"/>
        </w:rPr>
        <w:tab/>
        <w:t>support the production of outreach content throughout Australia and New Zealand as an evangelism arm of the Church;</w:t>
      </w:r>
    </w:p>
    <w:p w14:paraId="6FB2A77F" w14:textId="77777777" w:rsidR="00092F00" w:rsidRPr="000A3322" w:rsidRDefault="00092F00" w:rsidP="00092F00">
      <w:pPr>
        <w:tabs>
          <w:tab w:val="left" w:pos="567"/>
          <w:tab w:val="left" w:pos="1418"/>
          <w:tab w:val="left" w:pos="2268"/>
          <w:tab w:val="left" w:pos="3119"/>
          <w:tab w:val="left" w:pos="3969"/>
        </w:tabs>
        <w:spacing w:after="0" w:line="240" w:lineRule="auto"/>
        <w:ind w:left="1418" w:hanging="1418"/>
        <w:rPr>
          <w:rFonts w:ascii="Cambria" w:hAnsi="Cambria"/>
        </w:rPr>
      </w:pPr>
      <w:r w:rsidRPr="000A3322">
        <w:rPr>
          <w:rFonts w:ascii="Cambria" w:hAnsi="Cambria"/>
        </w:rPr>
        <w:tab/>
        <w:t>7.5</w:t>
      </w:r>
      <w:r w:rsidRPr="000A3322">
        <w:rPr>
          <w:rFonts w:ascii="Cambria" w:hAnsi="Cambria"/>
        </w:rPr>
        <w:tab/>
        <w:t>collaborate with other parts of the Church, including Districts and local congregations in media outreach and support of inquirers;</w:t>
      </w:r>
    </w:p>
    <w:p w14:paraId="33D0AA59" w14:textId="77777777" w:rsidR="00092F00" w:rsidRPr="000A3322" w:rsidRDefault="00092F00" w:rsidP="00092F00">
      <w:pPr>
        <w:tabs>
          <w:tab w:val="left" w:pos="567"/>
          <w:tab w:val="left" w:pos="1418"/>
          <w:tab w:val="left" w:pos="2268"/>
          <w:tab w:val="left" w:pos="3119"/>
          <w:tab w:val="left" w:pos="3969"/>
        </w:tabs>
        <w:spacing w:after="0" w:line="240" w:lineRule="auto"/>
        <w:ind w:left="1418" w:hanging="1418"/>
        <w:rPr>
          <w:rFonts w:ascii="Cambria" w:hAnsi="Cambria"/>
        </w:rPr>
      </w:pPr>
      <w:r w:rsidRPr="000A3322">
        <w:rPr>
          <w:rFonts w:ascii="Cambria" w:hAnsi="Cambria"/>
        </w:rPr>
        <w:tab/>
        <w:t>7.6</w:t>
      </w:r>
      <w:r w:rsidRPr="000A3322">
        <w:rPr>
          <w:rFonts w:ascii="Cambria" w:hAnsi="Cambria"/>
        </w:rPr>
        <w:tab/>
        <w:t>promote support for the work of Lutheran Media, through financial, prayerful and volunteering support;</w:t>
      </w:r>
      <w:r w:rsidRPr="000A3322">
        <w:rPr>
          <w:rFonts w:ascii="Cambria" w:hAnsi="Cambria"/>
        </w:rPr>
        <w:tab/>
      </w:r>
      <w:r w:rsidRPr="000A3322">
        <w:rPr>
          <w:rFonts w:ascii="Cambria" w:hAnsi="Cambria"/>
        </w:rPr>
        <w:tab/>
      </w:r>
    </w:p>
    <w:p w14:paraId="6723F1DF" w14:textId="77777777" w:rsidR="00092F00" w:rsidRPr="000A3322" w:rsidRDefault="00092F00" w:rsidP="00092F00">
      <w:pPr>
        <w:tabs>
          <w:tab w:val="left" w:pos="567"/>
          <w:tab w:val="left" w:pos="1418"/>
          <w:tab w:val="left" w:pos="2268"/>
          <w:tab w:val="left" w:pos="3119"/>
          <w:tab w:val="left" w:pos="3969"/>
        </w:tabs>
        <w:spacing w:after="0" w:line="240" w:lineRule="auto"/>
        <w:ind w:left="1418" w:hanging="1418"/>
        <w:rPr>
          <w:rFonts w:ascii="Cambria" w:hAnsi="Cambria"/>
        </w:rPr>
      </w:pPr>
      <w:r w:rsidRPr="000A3322">
        <w:rPr>
          <w:rFonts w:ascii="Cambria" w:hAnsi="Cambria"/>
        </w:rPr>
        <w:tab/>
        <w:t>7.7</w:t>
      </w:r>
      <w:r w:rsidRPr="000A3322">
        <w:rPr>
          <w:rFonts w:ascii="Cambria" w:hAnsi="Cambria"/>
        </w:rPr>
        <w:tab/>
        <w:t>cooperate with other Christian media organisations in Australia, New Zealand and internationally, for the exchange of ideas, maintaining best practise, and for the effective sharing of resources;</w:t>
      </w:r>
    </w:p>
    <w:p w14:paraId="6902D42C" w14:textId="77777777" w:rsidR="00092F00" w:rsidRPr="000A3322" w:rsidRDefault="00092F00" w:rsidP="00092F00">
      <w:pPr>
        <w:tabs>
          <w:tab w:val="left" w:pos="567"/>
          <w:tab w:val="left" w:pos="1418"/>
          <w:tab w:val="left" w:pos="2268"/>
          <w:tab w:val="left" w:pos="3119"/>
          <w:tab w:val="left" w:pos="3969"/>
        </w:tabs>
        <w:spacing w:after="0" w:line="240" w:lineRule="auto"/>
        <w:ind w:left="1418" w:hanging="1418"/>
        <w:rPr>
          <w:rFonts w:ascii="Cambria" w:hAnsi="Cambria"/>
        </w:rPr>
      </w:pPr>
      <w:r w:rsidRPr="000A3322">
        <w:rPr>
          <w:rFonts w:ascii="Cambria" w:hAnsi="Cambria"/>
        </w:rPr>
        <w:tab/>
        <w:t>7.8</w:t>
      </w:r>
      <w:r w:rsidRPr="000A3322">
        <w:rPr>
          <w:rFonts w:ascii="Cambria" w:hAnsi="Cambria"/>
        </w:rPr>
        <w:tab/>
        <w:t>review and monitor the work and well-being of the Department staff;</w:t>
      </w:r>
    </w:p>
    <w:p w14:paraId="2C9285DC" w14:textId="77777777" w:rsidR="00092F00" w:rsidRPr="000A3322" w:rsidRDefault="00092F00" w:rsidP="00092F00">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0A3322">
        <w:rPr>
          <w:rFonts w:ascii="Cambria" w:hAnsi="Cambria" w:cstheme="minorHAnsi"/>
        </w:rPr>
        <w:tab/>
        <w:t>7.9</w:t>
      </w:r>
      <w:r w:rsidRPr="000A3322">
        <w:rPr>
          <w:rFonts w:ascii="Cambria" w:hAnsi="Cambria" w:cstheme="minorHAnsi"/>
        </w:rPr>
        <w:tab/>
        <w:t>support the performance reviews of the Director, Lutheran Media;  and</w:t>
      </w:r>
    </w:p>
    <w:p w14:paraId="0C2615A7" w14:textId="77777777" w:rsidR="00092F00" w:rsidRPr="000A3322" w:rsidRDefault="00092F00" w:rsidP="00092F00">
      <w:pPr>
        <w:tabs>
          <w:tab w:val="left" w:pos="567"/>
          <w:tab w:val="left" w:pos="1418"/>
          <w:tab w:val="left" w:pos="2268"/>
          <w:tab w:val="left" w:pos="3119"/>
          <w:tab w:val="left" w:pos="3969"/>
        </w:tabs>
        <w:spacing w:after="0" w:line="240" w:lineRule="auto"/>
        <w:ind w:left="1418" w:hanging="1418"/>
        <w:rPr>
          <w:rFonts w:ascii="Cambria" w:hAnsi="Cambria"/>
        </w:rPr>
      </w:pPr>
      <w:r w:rsidRPr="000A3322">
        <w:rPr>
          <w:rFonts w:ascii="Cambria" w:hAnsi="Cambria"/>
        </w:rPr>
        <w:tab/>
        <w:t>7.10</w:t>
      </w:r>
      <w:r w:rsidRPr="000A3322">
        <w:rPr>
          <w:rFonts w:ascii="Cambria" w:hAnsi="Cambria"/>
        </w:rPr>
        <w:tab/>
        <w:t>support the recruitment of the Director.</w:t>
      </w:r>
    </w:p>
    <w:p w14:paraId="2C195B25" w14:textId="77777777" w:rsidR="00092F00" w:rsidRPr="000A3322" w:rsidRDefault="00092F00" w:rsidP="00092F00">
      <w:pPr>
        <w:tabs>
          <w:tab w:val="left" w:pos="567"/>
          <w:tab w:val="left" w:pos="1418"/>
          <w:tab w:val="left" w:pos="2268"/>
          <w:tab w:val="left" w:pos="3119"/>
          <w:tab w:val="left" w:pos="3969"/>
        </w:tabs>
        <w:spacing w:after="0" w:line="240" w:lineRule="auto"/>
        <w:ind w:left="567" w:hanging="567"/>
        <w:rPr>
          <w:rFonts w:ascii="Cambria" w:hAnsi="Cambria"/>
        </w:rPr>
      </w:pPr>
    </w:p>
    <w:p w14:paraId="63CA6C1D" w14:textId="77777777" w:rsidR="00092F00" w:rsidRPr="000A3322" w:rsidRDefault="00092F00" w:rsidP="00092F00">
      <w:pPr>
        <w:tabs>
          <w:tab w:val="left" w:pos="567"/>
          <w:tab w:val="left" w:pos="1418"/>
          <w:tab w:val="left" w:pos="2268"/>
          <w:tab w:val="left" w:pos="3119"/>
          <w:tab w:val="left" w:pos="3969"/>
        </w:tabs>
        <w:spacing w:after="0" w:line="240" w:lineRule="auto"/>
        <w:ind w:left="567" w:hanging="567"/>
        <w:rPr>
          <w:rFonts w:ascii="Cambria" w:hAnsi="Cambria"/>
          <w:b/>
        </w:rPr>
      </w:pPr>
      <w:r w:rsidRPr="000A3322">
        <w:rPr>
          <w:rFonts w:ascii="Cambria" w:hAnsi="Cambria"/>
          <w:b/>
        </w:rPr>
        <w:t>8.</w:t>
      </w:r>
      <w:r w:rsidRPr="000A3322">
        <w:rPr>
          <w:rFonts w:ascii="Cambria" w:hAnsi="Cambria"/>
          <w:b/>
        </w:rPr>
        <w:tab/>
        <w:t>REVIEW</w:t>
      </w:r>
    </w:p>
    <w:p w14:paraId="67A26DEC" w14:textId="77777777" w:rsidR="00092F00" w:rsidRPr="000A3322" w:rsidRDefault="00092F00" w:rsidP="00092F00">
      <w:pPr>
        <w:tabs>
          <w:tab w:val="left" w:pos="567"/>
          <w:tab w:val="left" w:pos="1418"/>
          <w:tab w:val="left" w:pos="2268"/>
          <w:tab w:val="left" w:pos="3119"/>
          <w:tab w:val="left" w:pos="3969"/>
        </w:tabs>
        <w:spacing w:after="0" w:line="240" w:lineRule="auto"/>
        <w:ind w:left="1418" w:hanging="1418"/>
        <w:rPr>
          <w:rFonts w:ascii="Cambria" w:hAnsi="Cambria"/>
        </w:rPr>
      </w:pPr>
      <w:r w:rsidRPr="000A3322">
        <w:rPr>
          <w:rFonts w:ascii="Cambria" w:hAnsi="Cambria"/>
        </w:rPr>
        <w:tab/>
        <w:t>8.1</w:t>
      </w:r>
      <w:r w:rsidRPr="000A3322">
        <w:rPr>
          <w:rFonts w:ascii="Cambria" w:hAnsi="Cambria"/>
        </w:rPr>
        <w:tab/>
        <w:t xml:space="preserve">The Terms of Reference for the Committee shall be reviewed during each Synodical term. </w:t>
      </w:r>
    </w:p>
    <w:p w14:paraId="35C42984" w14:textId="68B28049" w:rsidR="006A2A40" w:rsidRPr="002F31EF" w:rsidRDefault="00092F00" w:rsidP="00092F00">
      <w:pPr>
        <w:tabs>
          <w:tab w:val="left" w:pos="567"/>
          <w:tab w:val="left" w:pos="1418"/>
          <w:tab w:val="left" w:pos="2268"/>
          <w:tab w:val="left" w:pos="3119"/>
          <w:tab w:val="left" w:pos="3969"/>
        </w:tabs>
        <w:spacing w:after="0" w:line="240" w:lineRule="auto"/>
        <w:ind w:left="1418" w:hanging="1418"/>
        <w:rPr>
          <w:rFonts w:ascii="Cambria" w:hAnsi="Cambria"/>
        </w:rPr>
      </w:pPr>
      <w:r w:rsidRPr="000A3322">
        <w:rPr>
          <w:rFonts w:ascii="Cambria" w:hAnsi="Cambria"/>
        </w:rPr>
        <w:tab/>
        <w:t>8.2</w:t>
      </w:r>
      <w:r w:rsidRPr="000A3322">
        <w:rPr>
          <w:rFonts w:ascii="Cambria" w:hAnsi="Cambria"/>
        </w:rPr>
        <w:tab/>
        <w:t xml:space="preserve">Any changes to the Terms of Reference shall be approved by the Council, upon review by the Standing Committee on Constitutions. </w:t>
      </w:r>
    </w:p>
    <w:p w14:paraId="1EC32ACB" w14:textId="77777777" w:rsidR="008D5436" w:rsidRPr="00AE7C46" w:rsidRDefault="008D5436" w:rsidP="008D5436">
      <w:pPr>
        <w:tabs>
          <w:tab w:val="left" w:pos="567"/>
          <w:tab w:val="left" w:pos="1418"/>
          <w:tab w:val="left" w:pos="2268"/>
          <w:tab w:val="left" w:pos="3119"/>
          <w:tab w:val="left" w:pos="3969"/>
        </w:tabs>
        <w:rPr>
          <w:rFonts w:ascii="Cambria" w:hAnsi="Cambria"/>
        </w:rPr>
      </w:pPr>
    </w:p>
    <w:p w14:paraId="42581D18" w14:textId="77777777" w:rsidR="008275E5" w:rsidRPr="00845AB1" w:rsidRDefault="00A0610C" w:rsidP="008275E5">
      <w:pPr>
        <w:pStyle w:val="Heading2"/>
      </w:pPr>
      <w:r w:rsidRPr="00615824">
        <w:br w:type="column"/>
      </w:r>
      <w:r w:rsidR="008275E5" w:rsidRPr="00845AB1">
        <w:lastRenderedPageBreak/>
        <w:t>COMMITTEE FOR LUTHERANS FOR LIFE</w:t>
      </w:r>
    </w:p>
    <w:p w14:paraId="4960F843" w14:textId="77777777" w:rsidR="008275E5" w:rsidRPr="00845AB1" w:rsidRDefault="008275E5" w:rsidP="008275E5">
      <w:pPr>
        <w:tabs>
          <w:tab w:val="left" w:pos="567"/>
          <w:tab w:val="left" w:pos="1418"/>
          <w:tab w:val="left" w:pos="2268"/>
          <w:tab w:val="left" w:pos="3119"/>
          <w:tab w:val="left" w:pos="3969"/>
        </w:tabs>
        <w:spacing w:after="0" w:line="240" w:lineRule="auto"/>
        <w:ind w:left="567" w:hanging="567"/>
        <w:jc w:val="center"/>
        <w:rPr>
          <w:rFonts w:ascii="Cambria" w:hAnsi="Cambria" w:cstheme="minorHAnsi"/>
          <w:b/>
        </w:rPr>
      </w:pPr>
    </w:p>
    <w:p w14:paraId="2820F450" w14:textId="77777777" w:rsidR="008275E5" w:rsidRPr="00845AB1" w:rsidRDefault="008275E5" w:rsidP="008275E5">
      <w:pPr>
        <w:pStyle w:val="Heading3"/>
      </w:pPr>
      <w:r w:rsidRPr="00845AB1">
        <w:t>Terms of Reference</w:t>
      </w:r>
    </w:p>
    <w:p w14:paraId="13496FF7" w14:textId="77777777" w:rsidR="008275E5" w:rsidRPr="00845AB1" w:rsidRDefault="008275E5" w:rsidP="008275E5">
      <w:pPr>
        <w:tabs>
          <w:tab w:val="left" w:pos="567"/>
          <w:tab w:val="left" w:pos="1418"/>
          <w:tab w:val="left" w:pos="2268"/>
          <w:tab w:val="left" w:pos="3119"/>
          <w:tab w:val="left" w:pos="3969"/>
        </w:tabs>
        <w:spacing w:after="0" w:line="240" w:lineRule="auto"/>
        <w:ind w:left="567" w:hanging="567"/>
        <w:jc w:val="center"/>
        <w:rPr>
          <w:rFonts w:ascii="Cambria" w:hAnsi="Cambria" w:cstheme="minorHAnsi"/>
          <w:b/>
        </w:rPr>
      </w:pPr>
    </w:p>
    <w:p w14:paraId="0359147A" w14:textId="77777777" w:rsidR="008275E5" w:rsidRPr="00845AB1" w:rsidRDefault="008275E5" w:rsidP="008275E5">
      <w:pPr>
        <w:tabs>
          <w:tab w:val="left" w:pos="567"/>
          <w:tab w:val="left" w:pos="1418"/>
          <w:tab w:val="left" w:pos="2268"/>
          <w:tab w:val="left" w:pos="3119"/>
          <w:tab w:val="left" w:pos="3969"/>
        </w:tabs>
        <w:spacing w:after="0" w:line="240" w:lineRule="auto"/>
        <w:ind w:left="567" w:hanging="567"/>
        <w:jc w:val="center"/>
        <w:rPr>
          <w:rFonts w:ascii="Cambria" w:hAnsi="Cambria" w:cstheme="minorHAnsi"/>
          <w:b/>
        </w:rPr>
      </w:pPr>
    </w:p>
    <w:p w14:paraId="0B733336" w14:textId="77777777" w:rsidR="008275E5" w:rsidRPr="00845AB1" w:rsidRDefault="008275E5" w:rsidP="008275E5">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845AB1">
        <w:rPr>
          <w:rFonts w:ascii="Cambria" w:hAnsi="Cambria" w:cstheme="minorHAnsi"/>
          <w:b/>
        </w:rPr>
        <w:t>1.</w:t>
      </w:r>
      <w:r w:rsidRPr="00845AB1">
        <w:rPr>
          <w:rFonts w:ascii="Cambria" w:hAnsi="Cambria" w:cstheme="minorHAnsi"/>
          <w:b/>
        </w:rPr>
        <w:tab/>
        <w:t>NAME</w:t>
      </w:r>
    </w:p>
    <w:p w14:paraId="5D805C82" w14:textId="77777777" w:rsidR="008275E5" w:rsidRPr="00845AB1" w:rsidRDefault="008275E5" w:rsidP="008275E5">
      <w:pPr>
        <w:tabs>
          <w:tab w:val="left" w:pos="567"/>
          <w:tab w:val="left" w:pos="1418"/>
          <w:tab w:val="left" w:pos="2268"/>
          <w:tab w:val="left" w:pos="3119"/>
          <w:tab w:val="left" w:pos="3969"/>
        </w:tabs>
        <w:spacing w:after="0" w:line="240" w:lineRule="auto"/>
        <w:ind w:left="567" w:hanging="567"/>
        <w:rPr>
          <w:rFonts w:ascii="Cambria" w:hAnsi="Cambria" w:cstheme="minorHAnsi"/>
        </w:rPr>
      </w:pPr>
      <w:r w:rsidRPr="00845AB1">
        <w:rPr>
          <w:rFonts w:ascii="Cambria" w:hAnsi="Cambria" w:cstheme="minorHAnsi"/>
        </w:rPr>
        <w:tab/>
        <w:t>Lutherans for Life, referred to as “the Committee”.</w:t>
      </w:r>
    </w:p>
    <w:p w14:paraId="2069C26B" w14:textId="77777777" w:rsidR="008275E5" w:rsidRPr="00845AB1" w:rsidRDefault="008275E5" w:rsidP="008275E5">
      <w:pPr>
        <w:tabs>
          <w:tab w:val="left" w:pos="567"/>
          <w:tab w:val="left" w:pos="1418"/>
          <w:tab w:val="left" w:pos="2268"/>
          <w:tab w:val="left" w:pos="3119"/>
          <w:tab w:val="left" w:pos="3969"/>
        </w:tabs>
        <w:spacing w:after="0" w:line="240" w:lineRule="auto"/>
        <w:ind w:left="567" w:hanging="567"/>
        <w:rPr>
          <w:rFonts w:ascii="Cambria" w:hAnsi="Cambria" w:cstheme="minorHAnsi"/>
        </w:rPr>
      </w:pPr>
    </w:p>
    <w:p w14:paraId="14543886" w14:textId="77777777" w:rsidR="008275E5" w:rsidRPr="00845AB1" w:rsidRDefault="008275E5" w:rsidP="008275E5">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845AB1">
        <w:rPr>
          <w:rFonts w:ascii="Cambria" w:hAnsi="Cambria" w:cstheme="minorHAnsi"/>
          <w:b/>
        </w:rPr>
        <w:t>2.</w:t>
      </w:r>
      <w:r w:rsidRPr="00845AB1">
        <w:rPr>
          <w:rFonts w:ascii="Cambria" w:hAnsi="Cambria" w:cstheme="minorHAnsi"/>
          <w:b/>
        </w:rPr>
        <w:tab/>
        <w:t>RELATIONSHIP TO THE CHURCH</w:t>
      </w:r>
    </w:p>
    <w:p w14:paraId="7E092240" w14:textId="77777777" w:rsidR="008275E5" w:rsidRPr="00845AB1" w:rsidRDefault="008275E5" w:rsidP="008275E5">
      <w:pPr>
        <w:tabs>
          <w:tab w:val="left" w:pos="567"/>
          <w:tab w:val="left" w:pos="1418"/>
          <w:tab w:val="left" w:pos="2268"/>
          <w:tab w:val="left" w:pos="3119"/>
          <w:tab w:val="left" w:pos="3969"/>
        </w:tabs>
        <w:spacing w:after="0" w:line="240" w:lineRule="auto"/>
        <w:ind w:left="567" w:hanging="567"/>
        <w:rPr>
          <w:rFonts w:ascii="Cambria" w:hAnsi="Cambria" w:cstheme="minorHAnsi"/>
        </w:rPr>
      </w:pPr>
      <w:r w:rsidRPr="00845AB1">
        <w:rPr>
          <w:rFonts w:ascii="Cambria" w:hAnsi="Cambria" w:cstheme="minorHAnsi"/>
        </w:rPr>
        <w:tab/>
        <w:t>The Committee is accountable to the Commission on Social and Bioethical Questions and shall fulfil its responsibilities in keeping with the Constitution and the policies of the Church.</w:t>
      </w:r>
    </w:p>
    <w:p w14:paraId="3F73EC95" w14:textId="77777777" w:rsidR="008275E5" w:rsidRPr="00845AB1" w:rsidRDefault="008275E5" w:rsidP="008275E5">
      <w:pPr>
        <w:tabs>
          <w:tab w:val="left" w:pos="567"/>
          <w:tab w:val="left" w:pos="1418"/>
          <w:tab w:val="left" w:pos="2268"/>
          <w:tab w:val="left" w:pos="3119"/>
          <w:tab w:val="left" w:pos="3969"/>
        </w:tabs>
        <w:spacing w:after="0" w:line="240" w:lineRule="auto"/>
        <w:ind w:left="567" w:hanging="567"/>
        <w:rPr>
          <w:rFonts w:ascii="Cambria" w:hAnsi="Cambria" w:cstheme="minorHAnsi"/>
        </w:rPr>
      </w:pPr>
    </w:p>
    <w:p w14:paraId="5D47E95E" w14:textId="77777777" w:rsidR="008275E5" w:rsidRPr="00845AB1" w:rsidRDefault="008275E5" w:rsidP="008275E5">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845AB1">
        <w:rPr>
          <w:rFonts w:ascii="Cambria" w:hAnsi="Cambria" w:cstheme="minorHAnsi"/>
          <w:b/>
        </w:rPr>
        <w:t>3.</w:t>
      </w:r>
      <w:r w:rsidRPr="00845AB1">
        <w:rPr>
          <w:rFonts w:ascii="Cambria" w:hAnsi="Cambria" w:cstheme="minorHAnsi"/>
          <w:b/>
        </w:rPr>
        <w:tab/>
        <w:t>PURPOSE</w:t>
      </w:r>
    </w:p>
    <w:p w14:paraId="2AD0A1CD" w14:textId="77777777" w:rsidR="008275E5" w:rsidRPr="00845AB1" w:rsidRDefault="008275E5" w:rsidP="008275E5">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845AB1">
        <w:rPr>
          <w:rFonts w:ascii="Cambria" w:hAnsi="Cambria" w:cstheme="minorHAnsi"/>
        </w:rPr>
        <w:tab/>
        <w:t>3.1</w:t>
      </w:r>
      <w:r w:rsidRPr="00845AB1">
        <w:rPr>
          <w:rFonts w:ascii="Cambria" w:hAnsi="Cambria" w:cstheme="minorHAnsi"/>
        </w:rPr>
        <w:tab/>
        <w:t>The purpose of the Committee is to</w:t>
      </w:r>
    </w:p>
    <w:p w14:paraId="20DC0978" w14:textId="77777777" w:rsidR="008275E5" w:rsidRPr="00845AB1" w:rsidRDefault="008275E5" w:rsidP="008275E5">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845AB1">
        <w:rPr>
          <w:rFonts w:ascii="Cambria" w:hAnsi="Cambria" w:cstheme="minorHAnsi"/>
        </w:rPr>
        <w:tab/>
      </w:r>
      <w:r w:rsidRPr="00845AB1">
        <w:rPr>
          <w:rFonts w:ascii="Cambria" w:hAnsi="Cambria" w:cstheme="minorHAnsi"/>
        </w:rPr>
        <w:tab/>
        <w:t>3.1.1</w:t>
      </w:r>
      <w:r w:rsidRPr="00845AB1">
        <w:rPr>
          <w:rFonts w:ascii="Cambria" w:hAnsi="Cambria" w:cstheme="minorHAnsi"/>
        </w:rPr>
        <w:tab/>
        <w:t>promote and defend the value of life from conception to natural death;  and</w:t>
      </w:r>
    </w:p>
    <w:p w14:paraId="34640BD3" w14:textId="77777777" w:rsidR="008275E5" w:rsidRPr="00845AB1" w:rsidRDefault="008275E5" w:rsidP="008275E5">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845AB1">
        <w:rPr>
          <w:rFonts w:ascii="Cambria" w:hAnsi="Cambria" w:cstheme="minorHAnsi"/>
        </w:rPr>
        <w:tab/>
      </w:r>
      <w:r w:rsidRPr="00845AB1">
        <w:rPr>
          <w:rFonts w:ascii="Cambria" w:hAnsi="Cambria" w:cstheme="minorHAnsi"/>
        </w:rPr>
        <w:tab/>
        <w:t>3.1.2</w:t>
      </w:r>
      <w:r w:rsidRPr="00845AB1">
        <w:rPr>
          <w:rFonts w:ascii="Cambria" w:hAnsi="Cambria" w:cstheme="minorHAnsi"/>
        </w:rPr>
        <w:tab/>
        <w:t xml:space="preserve">lead education and other appropriate activities to achieve this end. </w:t>
      </w:r>
    </w:p>
    <w:p w14:paraId="7D265F36" w14:textId="77777777" w:rsidR="008275E5" w:rsidRPr="00845AB1" w:rsidRDefault="008275E5" w:rsidP="008275E5">
      <w:pPr>
        <w:tabs>
          <w:tab w:val="left" w:pos="567"/>
          <w:tab w:val="left" w:pos="1418"/>
          <w:tab w:val="left" w:pos="2268"/>
          <w:tab w:val="left" w:pos="3119"/>
          <w:tab w:val="left" w:pos="3969"/>
        </w:tabs>
        <w:spacing w:after="0" w:line="240" w:lineRule="auto"/>
        <w:ind w:left="567" w:hanging="567"/>
        <w:rPr>
          <w:rFonts w:ascii="Cambria" w:hAnsi="Cambria" w:cstheme="minorHAnsi"/>
        </w:rPr>
      </w:pPr>
    </w:p>
    <w:p w14:paraId="441F9859" w14:textId="77777777" w:rsidR="008275E5" w:rsidRPr="00845AB1" w:rsidRDefault="008275E5" w:rsidP="008275E5">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845AB1">
        <w:rPr>
          <w:rFonts w:ascii="Cambria" w:hAnsi="Cambria" w:cstheme="minorHAnsi"/>
          <w:b/>
        </w:rPr>
        <w:t>4.</w:t>
      </w:r>
      <w:r w:rsidRPr="00845AB1">
        <w:rPr>
          <w:rFonts w:ascii="Cambria" w:hAnsi="Cambria" w:cstheme="minorHAnsi"/>
          <w:b/>
        </w:rPr>
        <w:tab/>
        <w:t>AUTHORITY</w:t>
      </w:r>
    </w:p>
    <w:p w14:paraId="0B246062" w14:textId="77777777" w:rsidR="008275E5" w:rsidRPr="00845AB1" w:rsidRDefault="008275E5" w:rsidP="008275E5">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845AB1">
        <w:rPr>
          <w:rFonts w:ascii="Cambria" w:hAnsi="Cambria" w:cstheme="minorHAnsi"/>
        </w:rPr>
        <w:tab/>
        <w:t>4.1</w:t>
      </w:r>
      <w:r w:rsidRPr="00845AB1">
        <w:rPr>
          <w:rFonts w:ascii="Cambria" w:hAnsi="Cambria" w:cstheme="minorHAnsi"/>
        </w:rPr>
        <w:tab/>
        <w:t>The Committee has no decision-making authority, except for any specific decision-making authority granted it under a written delegation.</w:t>
      </w:r>
    </w:p>
    <w:p w14:paraId="0D923F1C" w14:textId="77777777" w:rsidR="008275E5" w:rsidRPr="00845AB1" w:rsidRDefault="008275E5" w:rsidP="008275E5">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845AB1">
        <w:rPr>
          <w:rFonts w:ascii="Cambria" w:hAnsi="Cambria" w:cstheme="minorHAnsi"/>
        </w:rPr>
        <w:tab/>
        <w:t>4.2</w:t>
      </w:r>
      <w:r w:rsidRPr="00845AB1">
        <w:rPr>
          <w:rFonts w:ascii="Cambria" w:hAnsi="Cambria" w:cstheme="minorHAnsi"/>
        </w:rPr>
        <w:tab/>
        <w:t xml:space="preserve">The Committee may speak for the Church on issues related to its purpose, following approval by the College of Bishops or the General Church Board. </w:t>
      </w:r>
    </w:p>
    <w:p w14:paraId="3E8BCECB" w14:textId="77777777" w:rsidR="008275E5" w:rsidRPr="00845AB1" w:rsidRDefault="008275E5" w:rsidP="008275E5">
      <w:pPr>
        <w:tabs>
          <w:tab w:val="left" w:pos="567"/>
          <w:tab w:val="left" w:pos="1418"/>
          <w:tab w:val="left" w:pos="2268"/>
          <w:tab w:val="left" w:pos="3119"/>
          <w:tab w:val="left" w:pos="3969"/>
        </w:tabs>
        <w:spacing w:after="0" w:line="240" w:lineRule="auto"/>
        <w:ind w:left="567" w:hanging="567"/>
        <w:rPr>
          <w:rFonts w:ascii="Cambria" w:hAnsi="Cambria" w:cstheme="minorHAnsi"/>
        </w:rPr>
      </w:pPr>
    </w:p>
    <w:p w14:paraId="14890F60" w14:textId="77777777" w:rsidR="008275E5" w:rsidRPr="00845AB1" w:rsidRDefault="008275E5" w:rsidP="008275E5">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845AB1">
        <w:rPr>
          <w:rFonts w:ascii="Cambria" w:hAnsi="Cambria" w:cstheme="minorHAnsi"/>
          <w:b/>
        </w:rPr>
        <w:t>5.</w:t>
      </w:r>
      <w:r w:rsidRPr="00845AB1">
        <w:rPr>
          <w:rFonts w:ascii="Cambria" w:hAnsi="Cambria" w:cstheme="minorHAnsi"/>
          <w:b/>
        </w:rPr>
        <w:tab/>
        <w:t>MEMBERSHIP</w:t>
      </w:r>
    </w:p>
    <w:p w14:paraId="691F903E" w14:textId="77777777" w:rsidR="008275E5" w:rsidRPr="00845AB1" w:rsidRDefault="008275E5" w:rsidP="008275E5">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845AB1">
        <w:rPr>
          <w:rFonts w:ascii="Cambria" w:hAnsi="Cambria" w:cstheme="minorHAnsi"/>
        </w:rPr>
        <w:tab/>
        <w:t>5.1</w:t>
      </w:r>
      <w:r w:rsidRPr="00845AB1">
        <w:rPr>
          <w:rFonts w:ascii="Cambria" w:hAnsi="Cambria" w:cstheme="minorHAnsi"/>
        </w:rPr>
        <w:tab/>
        <w:t>The Committee shall consist of at least four [4] members and up to seven [7] members appointed by the General Church Board on recommendations from the Standing Committee on Nominations, in consultation with the College of Bishops and Commission on Social and Bioethical Questions:</w:t>
      </w:r>
    </w:p>
    <w:p w14:paraId="7AED8777" w14:textId="77777777" w:rsidR="008275E5" w:rsidRPr="00845AB1" w:rsidRDefault="008275E5" w:rsidP="008275E5">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845AB1">
        <w:rPr>
          <w:rFonts w:ascii="Cambria" w:hAnsi="Cambria" w:cstheme="minorHAnsi"/>
        </w:rPr>
        <w:tab/>
      </w:r>
      <w:r w:rsidRPr="00845AB1">
        <w:rPr>
          <w:rFonts w:ascii="Cambria" w:hAnsi="Cambria" w:cstheme="minorHAnsi"/>
        </w:rPr>
        <w:tab/>
        <w:t>5.1.1</w:t>
      </w:r>
      <w:r w:rsidRPr="00845AB1">
        <w:rPr>
          <w:rFonts w:ascii="Cambria" w:hAnsi="Cambria" w:cstheme="minorHAnsi"/>
        </w:rPr>
        <w:tab/>
        <w:t>at least one [1] parish pastor; and</w:t>
      </w:r>
    </w:p>
    <w:p w14:paraId="0572E47C" w14:textId="77777777" w:rsidR="008275E5" w:rsidRPr="00845AB1" w:rsidRDefault="008275E5" w:rsidP="008275E5">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845AB1">
        <w:rPr>
          <w:rFonts w:ascii="Cambria" w:hAnsi="Cambria" w:cstheme="minorHAnsi"/>
        </w:rPr>
        <w:tab/>
      </w:r>
      <w:r w:rsidRPr="00845AB1">
        <w:rPr>
          <w:rFonts w:ascii="Cambria" w:hAnsi="Cambria" w:cstheme="minorHAnsi"/>
        </w:rPr>
        <w:tab/>
        <w:t>5.1.2</w:t>
      </w:r>
      <w:r w:rsidRPr="00845AB1">
        <w:rPr>
          <w:rFonts w:ascii="Cambria" w:hAnsi="Cambria" w:cstheme="minorHAnsi"/>
        </w:rPr>
        <w:tab/>
        <w:t>at least  [3] lay members;  and</w:t>
      </w:r>
    </w:p>
    <w:p w14:paraId="23B40D17" w14:textId="77777777" w:rsidR="008275E5" w:rsidRPr="00845AB1" w:rsidRDefault="008275E5" w:rsidP="008275E5">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845AB1">
        <w:rPr>
          <w:rFonts w:ascii="Cambria" w:hAnsi="Cambria" w:cstheme="minorHAnsi"/>
        </w:rPr>
        <w:tab/>
      </w:r>
      <w:r w:rsidRPr="00845AB1">
        <w:rPr>
          <w:rFonts w:ascii="Cambria" w:hAnsi="Cambria" w:cstheme="minorHAnsi"/>
        </w:rPr>
        <w:tab/>
        <w:t>The Bishop of the Church, or his appointee, may attend meetings of the Committee</w:t>
      </w:r>
    </w:p>
    <w:p w14:paraId="4D66ECFE" w14:textId="77777777" w:rsidR="008275E5" w:rsidRPr="00845AB1" w:rsidRDefault="008275E5" w:rsidP="008275E5">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845AB1">
        <w:rPr>
          <w:rFonts w:ascii="Cambria" w:hAnsi="Cambria" w:cstheme="minorHAnsi"/>
        </w:rPr>
        <w:tab/>
        <w:t>5.2</w:t>
      </w:r>
      <w:r w:rsidRPr="00845AB1">
        <w:rPr>
          <w:rFonts w:ascii="Cambria" w:hAnsi="Cambria" w:cstheme="minorHAnsi"/>
        </w:rPr>
        <w:tab/>
        <w:t xml:space="preserve">The Committee shall consist of members with a passion for mission and ministry and with relevant skills, qualifications and experience in one or more of the following areas: </w:t>
      </w:r>
    </w:p>
    <w:p w14:paraId="009EAA9D" w14:textId="77777777" w:rsidR="008275E5" w:rsidRPr="00845AB1" w:rsidRDefault="008275E5" w:rsidP="008275E5">
      <w:pPr>
        <w:tabs>
          <w:tab w:val="left" w:pos="567"/>
          <w:tab w:val="left" w:pos="1418"/>
          <w:tab w:val="left" w:pos="2268"/>
          <w:tab w:val="left" w:pos="3119"/>
          <w:tab w:val="left" w:pos="3969"/>
        </w:tabs>
        <w:spacing w:after="0" w:line="240" w:lineRule="auto"/>
        <w:ind w:left="567" w:hanging="567"/>
        <w:rPr>
          <w:rFonts w:ascii="Cambria" w:hAnsi="Cambria" w:cstheme="minorHAnsi"/>
        </w:rPr>
      </w:pPr>
      <w:r w:rsidRPr="00845AB1">
        <w:rPr>
          <w:rFonts w:ascii="Cambria" w:hAnsi="Cambria" w:cstheme="minorHAnsi"/>
        </w:rPr>
        <w:tab/>
      </w:r>
      <w:r w:rsidRPr="00845AB1">
        <w:rPr>
          <w:rFonts w:ascii="Cambria" w:hAnsi="Cambria" w:cstheme="minorHAnsi"/>
        </w:rPr>
        <w:tab/>
        <w:t>5.2.1</w:t>
      </w:r>
      <w:r w:rsidRPr="00845AB1">
        <w:rPr>
          <w:rFonts w:ascii="Cambria" w:hAnsi="Cambria" w:cstheme="minorHAnsi"/>
        </w:rPr>
        <w:tab/>
        <w:t xml:space="preserve">an interest in Lutheran ethics; </w:t>
      </w:r>
    </w:p>
    <w:p w14:paraId="6203F072" w14:textId="77777777" w:rsidR="008275E5" w:rsidRPr="00845AB1" w:rsidRDefault="008275E5" w:rsidP="008275E5">
      <w:pPr>
        <w:tabs>
          <w:tab w:val="left" w:pos="567"/>
          <w:tab w:val="left" w:pos="1418"/>
          <w:tab w:val="left" w:pos="2268"/>
          <w:tab w:val="left" w:pos="3119"/>
          <w:tab w:val="left" w:pos="3969"/>
        </w:tabs>
        <w:spacing w:after="0" w:line="240" w:lineRule="auto"/>
        <w:ind w:left="567" w:hanging="567"/>
        <w:rPr>
          <w:rFonts w:ascii="Cambria" w:hAnsi="Cambria" w:cstheme="minorHAnsi"/>
        </w:rPr>
      </w:pPr>
      <w:r w:rsidRPr="00845AB1">
        <w:rPr>
          <w:rFonts w:ascii="Cambria" w:hAnsi="Cambria" w:cstheme="minorHAnsi"/>
        </w:rPr>
        <w:tab/>
      </w:r>
      <w:r w:rsidRPr="00845AB1">
        <w:rPr>
          <w:rFonts w:ascii="Cambria" w:hAnsi="Cambria" w:cstheme="minorHAnsi"/>
        </w:rPr>
        <w:tab/>
        <w:t>5.2.2</w:t>
      </w:r>
      <w:r w:rsidRPr="00845AB1">
        <w:rPr>
          <w:rFonts w:ascii="Cambria" w:hAnsi="Cambria" w:cstheme="minorHAnsi"/>
        </w:rPr>
        <w:tab/>
        <w:t>a legal background;</w:t>
      </w:r>
    </w:p>
    <w:p w14:paraId="4C2C3415" w14:textId="77777777" w:rsidR="008275E5" w:rsidRPr="00845AB1" w:rsidRDefault="008275E5" w:rsidP="008275E5">
      <w:pPr>
        <w:tabs>
          <w:tab w:val="left" w:pos="567"/>
          <w:tab w:val="left" w:pos="1418"/>
          <w:tab w:val="left" w:pos="2268"/>
          <w:tab w:val="left" w:pos="3119"/>
          <w:tab w:val="left" w:pos="3969"/>
        </w:tabs>
        <w:spacing w:after="0" w:line="240" w:lineRule="auto"/>
        <w:ind w:left="567" w:hanging="567"/>
        <w:rPr>
          <w:rFonts w:ascii="Cambria" w:hAnsi="Cambria" w:cstheme="minorHAnsi"/>
        </w:rPr>
      </w:pPr>
      <w:r w:rsidRPr="00845AB1">
        <w:rPr>
          <w:rFonts w:ascii="Cambria" w:hAnsi="Cambria" w:cstheme="minorHAnsi"/>
        </w:rPr>
        <w:tab/>
      </w:r>
      <w:r w:rsidRPr="00845AB1">
        <w:rPr>
          <w:rFonts w:ascii="Cambria" w:hAnsi="Cambria" w:cstheme="minorHAnsi"/>
        </w:rPr>
        <w:tab/>
        <w:t>5.2.3</w:t>
      </w:r>
      <w:r w:rsidRPr="00845AB1">
        <w:rPr>
          <w:rFonts w:ascii="Cambria" w:hAnsi="Cambria" w:cstheme="minorHAnsi"/>
        </w:rPr>
        <w:tab/>
        <w:t>financial literacy;</w:t>
      </w:r>
    </w:p>
    <w:p w14:paraId="56D6F9CC" w14:textId="77777777" w:rsidR="008275E5" w:rsidRPr="00845AB1" w:rsidRDefault="008275E5" w:rsidP="008275E5">
      <w:pPr>
        <w:tabs>
          <w:tab w:val="left" w:pos="567"/>
          <w:tab w:val="left" w:pos="1418"/>
          <w:tab w:val="left" w:pos="2268"/>
          <w:tab w:val="left" w:pos="3119"/>
          <w:tab w:val="left" w:pos="3969"/>
        </w:tabs>
        <w:spacing w:after="0" w:line="240" w:lineRule="auto"/>
        <w:ind w:left="567" w:hanging="567"/>
        <w:rPr>
          <w:rFonts w:ascii="Cambria" w:hAnsi="Cambria" w:cstheme="minorHAnsi"/>
        </w:rPr>
      </w:pPr>
      <w:r w:rsidRPr="00845AB1">
        <w:rPr>
          <w:rFonts w:ascii="Cambria" w:hAnsi="Cambria" w:cstheme="minorHAnsi"/>
        </w:rPr>
        <w:tab/>
      </w:r>
      <w:r w:rsidRPr="00845AB1">
        <w:rPr>
          <w:rFonts w:ascii="Cambria" w:hAnsi="Cambria" w:cstheme="minorHAnsi"/>
        </w:rPr>
        <w:tab/>
        <w:t>5.2.4</w:t>
      </w:r>
      <w:r w:rsidRPr="00845AB1">
        <w:rPr>
          <w:rFonts w:ascii="Cambria" w:hAnsi="Cambria" w:cstheme="minorHAnsi"/>
        </w:rPr>
        <w:tab/>
        <w:t xml:space="preserve">practitioner in the medical field  and </w:t>
      </w:r>
    </w:p>
    <w:p w14:paraId="1039DDBB" w14:textId="77777777" w:rsidR="008275E5" w:rsidRPr="00845AB1" w:rsidRDefault="008275E5" w:rsidP="008275E5">
      <w:pPr>
        <w:tabs>
          <w:tab w:val="left" w:pos="567"/>
          <w:tab w:val="left" w:pos="1418"/>
          <w:tab w:val="left" w:pos="2268"/>
          <w:tab w:val="left" w:pos="3119"/>
          <w:tab w:val="left" w:pos="3969"/>
        </w:tabs>
        <w:spacing w:after="0" w:line="240" w:lineRule="auto"/>
        <w:ind w:left="567" w:hanging="567"/>
        <w:rPr>
          <w:rFonts w:ascii="Cambria" w:hAnsi="Cambria" w:cstheme="minorHAnsi"/>
        </w:rPr>
      </w:pPr>
      <w:r w:rsidRPr="00845AB1">
        <w:rPr>
          <w:rFonts w:ascii="Cambria" w:hAnsi="Cambria" w:cstheme="minorHAnsi"/>
        </w:rPr>
        <w:tab/>
      </w:r>
      <w:r w:rsidRPr="00845AB1">
        <w:rPr>
          <w:rFonts w:ascii="Cambria" w:hAnsi="Cambria" w:cstheme="minorHAnsi"/>
        </w:rPr>
        <w:tab/>
        <w:t>5.2.5</w:t>
      </w:r>
      <w:r w:rsidRPr="00845AB1">
        <w:rPr>
          <w:rFonts w:ascii="Cambria" w:hAnsi="Cambria" w:cstheme="minorHAnsi"/>
        </w:rPr>
        <w:tab/>
        <w:t>experience in life, family or Christian sex education.</w:t>
      </w:r>
    </w:p>
    <w:p w14:paraId="16FC0183" w14:textId="77777777" w:rsidR="008275E5" w:rsidRPr="00845AB1" w:rsidRDefault="008275E5" w:rsidP="008275E5">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845AB1">
        <w:rPr>
          <w:rFonts w:ascii="Cambria" w:hAnsi="Cambria" w:cstheme="minorHAnsi"/>
        </w:rPr>
        <w:tab/>
        <w:t>5.3</w:t>
      </w:r>
      <w:r w:rsidRPr="00845AB1">
        <w:rPr>
          <w:rFonts w:ascii="Cambria" w:hAnsi="Cambria" w:cstheme="minorHAnsi"/>
        </w:rPr>
        <w:tab/>
        <w:t>The membership shall include a suitable mix of backgrounds and perspectives which, together with the skills, qualifications and experience, will enable the Committee to fulfil its role.</w:t>
      </w:r>
    </w:p>
    <w:p w14:paraId="5CD2C95E" w14:textId="77777777" w:rsidR="008275E5" w:rsidRPr="00845AB1" w:rsidRDefault="008275E5" w:rsidP="008275E5">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845AB1">
        <w:rPr>
          <w:rFonts w:ascii="Cambria" w:hAnsi="Cambria" w:cstheme="minorHAnsi"/>
        </w:rPr>
        <w:tab/>
        <w:t>5.4</w:t>
      </w:r>
      <w:r w:rsidRPr="00845AB1">
        <w:rPr>
          <w:rFonts w:ascii="Cambria" w:hAnsi="Cambria" w:cstheme="minorHAnsi"/>
        </w:rPr>
        <w:tab/>
        <w:t>The Chairperson shall be appointed by the College of Bishops.</w:t>
      </w:r>
    </w:p>
    <w:p w14:paraId="1D83FFA1" w14:textId="77777777" w:rsidR="008275E5" w:rsidRPr="00845AB1" w:rsidRDefault="008275E5" w:rsidP="008275E5">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845AB1">
        <w:rPr>
          <w:rFonts w:ascii="Cambria" w:hAnsi="Cambria" w:cstheme="minorHAnsi"/>
        </w:rPr>
        <w:tab/>
        <w:t>5.5</w:t>
      </w:r>
      <w:r w:rsidRPr="00845AB1">
        <w:rPr>
          <w:rFonts w:ascii="Cambria" w:hAnsi="Cambria" w:cstheme="minorHAnsi"/>
        </w:rPr>
        <w:tab/>
        <w:t xml:space="preserve">Up to two [2] consultants may be appointed by the Commission on Social and Bioethical Questions, on recommendation of the Committee, to contribute specialised knowledge that is not available among the membership when addressing specific issues. </w:t>
      </w:r>
      <w:r w:rsidRPr="00845AB1">
        <w:rPr>
          <w:rFonts w:ascii="Cambria" w:hAnsi="Cambria" w:cstheme="minorHAnsi"/>
        </w:rPr>
        <w:tab/>
      </w:r>
      <w:r w:rsidRPr="00845AB1">
        <w:rPr>
          <w:rFonts w:ascii="Cambria" w:hAnsi="Cambria" w:cstheme="minorHAnsi"/>
        </w:rPr>
        <w:tab/>
      </w:r>
    </w:p>
    <w:p w14:paraId="6BF28D37" w14:textId="77777777" w:rsidR="008275E5" w:rsidRPr="00845AB1" w:rsidRDefault="008275E5" w:rsidP="008275E5">
      <w:pPr>
        <w:tabs>
          <w:tab w:val="left" w:pos="567"/>
          <w:tab w:val="left" w:pos="1418"/>
          <w:tab w:val="left" w:pos="2268"/>
          <w:tab w:val="left" w:pos="3119"/>
          <w:tab w:val="left" w:pos="3969"/>
        </w:tabs>
        <w:spacing w:after="0" w:line="240" w:lineRule="auto"/>
        <w:rPr>
          <w:rFonts w:ascii="Cambria" w:hAnsi="Cambria" w:cstheme="minorHAnsi"/>
        </w:rPr>
      </w:pPr>
    </w:p>
    <w:p w14:paraId="53206CFE" w14:textId="77777777" w:rsidR="008275E5" w:rsidRPr="00845AB1" w:rsidRDefault="008275E5" w:rsidP="008275E5">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845AB1">
        <w:rPr>
          <w:rFonts w:ascii="Cambria" w:hAnsi="Cambria" w:cstheme="minorHAnsi"/>
          <w:b/>
        </w:rPr>
        <w:t>6.0</w:t>
      </w:r>
      <w:r w:rsidRPr="00845AB1">
        <w:rPr>
          <w:rFonts w:ascii="Cambria" w:hAnsi="Cambria" w:cstheme="minorHAnsi"/>
          <w:b/>
        </w:rPr>
        <w:tab/>
        <w:t>MEETING ARRANGEMENTS AND REPORTING</w:t>
      </w:r>
    </w:p>
    <w:p w14:paraId="1E022969" w14:textId="77777777" w:rsidR="008275E5" w:rsidRPr="00845AB1" w:rsidRDefault="008275E5" w:rsidP="008275E5">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845AB1">
        <w:rPr>
          <w:rFonts w:ascii="Cambria" w:hAnsi="Cambria" w:cstheme="minorHAnsi"/>
        </w:rPr>
        <w:tab/>
        <w:t>6.1</w:t>
      </w:r>
      <w:r w:rsidRPr="00845AB1">
        <w:rPr>
          <w:rFonts w:ascii="Cambria" w:hAnsi="Cambria" w:cstheme="minorHAnsi"/>
        </w:rPr>
        <w:tab/>
        <w:t xml:space="preserve">Meetings shall be convened by the Chairperson.  </w:t>
      </w:r>
    </w:p>
    <w:p w14:paraId="53FB7284" w14:textId="77777777" w:rsidR="008275E5" w:rsidRPr="00845AB1" w:rsidRDefault="008275E5" w:rsidP="008275E5">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845AB1">
        <w:rPr>
          <w:rFonts w:ascii="Cambria" w:hAnsi="Cambria" w:cstheme="minorHAnsi"/>
        </w:rPr>
        <w:lastRenderedPageBreak/>
        <w:tab/>
        <w:t>6.2</w:t>
      </w:r>
      <w:r w:rsidRPr="00845AB1">
        <w:rPr>
          <w:rFonts w:ascii="Cambria" w:hAnsi="Cambria" w:cstheme="minorHAnsi"/>
        </w:rPr>
        <w:tab/>
        <w:t>It is at the discretion of the Committee to meet face-to-face, by electronic means, or by other means of communication.</w:t>
      </w:r>
    </w:p>
    <w:p w14:paraId="706515D4" w14:textId="77777777" w:rsidR="008275E5" w:rsidRPr="00845AB1" w:rsidRDefault="008275E5" w:rsidP="008275E5">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845AB1">
        <w:rPr>
          <w:rFonts w:ascii="Cambria" w:hAnsi="Cambria" w:cstheme="minorHAnsi"/>
        </w:rPr>
        <w:tab/>
        <w:t>6.3</w:t>
      </w:r>
      <w:r w:rsidRPr="00845AB1">
        <w:rPr>
          <w:rFonts w:ascii="Cambria" w:hAnsi="Cambria" w:cstheme="minorHAnsi"/>
        </w:rPr>
        <w:tab/>
        <w:t xml:space="preserve">Email correspondence may be used for the distribution of minutes, advisory information or approval of documentation. </w:t>
      </w:r>
    </w:p>
    <w:p w14:paraId="71036B16" w14:textId="77777777" w:rsidR="008275E5" w:rsidRPr="00845AB1" w:rsidRDefault="008275E5" w:rsidP="008275E5">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845AB1">
        <w:rPr>
          <w:rFonts w:ascii="Cambria" w:hAnsi="Cambria" w:cstheme="minorHAnsi"/>
        </w:rPr>
        <w:tab/>
        <w:t>6.4</w:t>
      </w:r>
      <w:r w:rsidRPr="00845AB1">
        <w:rPr>
          <w:rFonts w:ascii="Cambria" w:hAnsi="Cambria" w:cstheme="minorHAnsi"/>
        </w:rPr>
        <w:tab/>
        <w:t>The minutes of the meetings of the Committee shall be submitted to the Commission on Social and Bioethical Questions.</w:t>
      </w:r>
    </w:p>
    <w:p w14:paraId="2B301B9C" w14:textId="77777777" w:rsidR="008275E5" w:rsidRPr="00845AB1" w:rsidRDefault="008275E5" w:rsidP="008275E5">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845AB1">
        <w:rPr>
          <w:rFonts w:ascii="Cambria" w:hAnsi="Cambria" w:cstheme="minorHAnsi"/>
        </w:rPr>
        <w:tab/>
        <w:t>6.5</w:t>
      </w:r>
      <w:r w:rsidRPr="00845AB1">
        <w:rPr>
          <w:rFonts w:ascii="Cambria" w:hAnsi="Cambria" w:cstheme="minorHAnsi"/>
        </w:rPr>
        <w:tab/>
        <w:t>An annual report of the activities of the Committee shall be submitted to the Commission on Social and Bioethical Questions, and as otherwise requested by the College of Bishops.</w:t>
      </w:r>
    </w:p>
    <w:p w14:paraId="6FA009CF" w14:textId="77777777" w:rsidR="008275E5" w:rsidRPr="00845AB1" w:rsidRDefault="008275E5" w:rsidP="008275E5">
      <w:pPr>
        <w:tabs>
          <w:tab w:val="left" w:pos="567"/>
          <w:tab w:val="left" w:pos="1418"/>
          <w:tab w:val="left" w:pos="2268"/>
          <w:tab w:val="left" w:pos="3119"/>
          <w:tab w:val="left" w:pos="3969"/>
        </w:tabs>
        <w:spacing w:after="0" w:line="240" w:lineRule="auto"/>
        <w:ind w:left="567" w:hanging="567"/>
        <w:rPr>
          <w:rFonts w:ascii="Cambria" w:hAnsi="Cambria" w:cstheme="minorHAnsi"/>
        </w:rPr>
      </w:pPr>
    </w:p>
    <w:p w14:paraId="69A537BE" w14:textId="77777777" w:rsidR="008275E5" w:rsidRPr="00845AB1" w:rsidRDefault="008275E5" w:rsidP="008275E5">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845AB1">
        <w:rPr>
          <w:rFonts w:ascii="Cambria" w:hAnsi="Cambria" w:cstheme="minorHAnsi"/>
          <w:b/>
        </w:rPr>
        <w:t>7.0</w:t>
      </w:r>
      <w:r w:rsidRPr="00845AB1">
        <w:rPr>
          <w:rFonts w:ascii="Cambria" w:hAnsi="Cambria" w:cstheme="minorHAnsi"/>
          <w:b/>
        </w:rPr>
        <w:tab/>
        <w:t>RESPONSIBILITIES</w:t>
      </w:r>
    </w:p>
    <w:p w14:paraId="02586372" w14:textId="77777777" w:rsidR="008275E5" w:rsidRPr="00845AB1" w:rsidRDefault="008275E5" w:rsidP="008275E5">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845AB1">
        <w:rPr>
          <w:rFonts w:ascii="Cambria" w:hAnsi="Cambria" w:cstheme="minorHAnsi"/>
        </w:rPr>
        <w:tab/>
        <w:t>7.1</w:t>
      </w:r>
      <w:r w:rsidRPr="00845AB1">
        <w:rPr>
          <w:rFonts w:ascii="Cambria" w:hAnsi="Cambria" w:cstheme="minorHAnsi"/>
        </w:rPr>
        <w:tab/>
        <w:t>The Committee shall fulfil its responsibilities in keeping with a commitment to the confessional basis of the Church, its objects and its policies and procedures.</w:t>
      </w:r>
    </w:p>
    <w:p w14:paraId="13EBC3B7" w14:textId="77777777" w:rsidR="008275E5" w:rsidRPr="00845AB1" w:rsidRDefault="008275E5" w:rsidP="008275E5">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845AB1">
        <w:rPr>
          <w:rFonts w:ascii="Cambria" w:hAnsi="Cambria" w:cstheme="minorHAnsi"/>
        </w:rPr>
        <w:tab/>
        <w:t>7.1</w:t>
      </w:r>
      <w:r w:rsidRPr="00845AB1">
        <w:rPr>
          <w:rFonts w:ascii="Cambria" w:hAnsi="Cambria" w:cstheme="minorHAnsi"/>
        </w:rPr>
        <w:tab/>
        <w:t>The Committee is responsible for, but not limited to</w:t>
      </w:r>
    </w:p>
    <w:p w14:paraId="56BFF8E8" w14:textId="77777777" w:rsidR="008275E5" w:rsidRPr="00845AB1" w:rsidRDefault="008275E5" w:rsidP="008275E5">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845AB1">
        <w:rPr>
          <w:rFonts w:ascii="Cambria" w:hAnsi="Cambria" w:cstheme="minorHAnsi"/>
        </w:rPr>
        <w:tab/>
      </w:r>
      <w:r w:rsidRPr="00845AB1">
        <w:rPr>
          <w:rFonts w:ascii="Cambria" w:hAnsi="Cambria" w:cstheme="minorHAnsi"/>
        </w:rPr>
        <w:tab/>
        <w:t>7.1.1</w:t>
      </w:r>
      <w:r w:rsidRPr="00845AB1">
        <w:rPr>
          <w:rFonts w:ascii="Cambria" w:hAnsi="Cambria" w:cstheme="minorHAnsi"/>
        </w:rPr>
        <w:tab/>
        <w:t>promoting utmost respect for human life since God is Creater and Preserver;</w:t>
      </w:r>
    </w:p>
    <w:p w14:paraId="1DBCBA52" w14:textId="77777777" w:rsidR="008275E5" w:rsidRPr="00845AB1" w:rsidRDefault="008275E5" w:rsidP="008275E5">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845AB1">
        <w:rPr>
          <w:rFonts w:ascii="Cambria" w:hAnsi="Cambria" w:cstheme="minorHAnsi"/>
        </w:rPr>
        <w:tab/>
      </w:r>
      <w:r w:rsidRPr="00845AB1">
        <w:rPr>
          <w:rFonts w:ascii="Cambria" w:hAnsi="Cambria" w:cstheme="minorHAnsi"/>
        </w:rPr>
        <w:tab/>
        <w:t>7.1.2</w:t>
      </w:r>
      <w:r w:rsidRPr="00845AB1">
        <w:rPr>
          <w:rFonts w:ascii="Cambria" w:hAnsi="Cambria" w:cstheme="minorHAnsi"/>
        </w:rPr>
        <w:tab/>
        <w:t>reminding the Church and the world that human life begins at the first instance of conception, sometimes denominated fertilisation;</w:t>
      </w:r>
    </w:p>
    <w:p w14:paraId="6C448DB0" w14:textId="77777777" w:rsidR="008275E5" w:rsidRPr="00845AB1" w:rsidRDefault="008275E5" w:rsidP="008275E5">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845AB1">
        <w:rPr>
          <w:rFonts w:ascii="Cambria" w:hAnsi="Cambria" w:cstheme="minorHAnsi"/>
        </w:rPr>
        <w:tab/>
      </w:r>
      <w:r w:rsidRPr="00845AB1">
        <w:rPr>
          <w:rFonts w:ascii="Cambria" w:hAnsi="Cambria" w:cstheme="minorHAnsi"/>
        </w:rPr>
        <w:tab/>
        <w:t>7.1.3</w:t>
      </w:r>
      <w:r w:rsidRPr="00845AB1">
        <w:rPr>
          <w:rFonts w:ascii="Cambria" w:hAnsi="Cambria" w:cstheme="minorHAnsi"/>
        </w:rPr>
        <w:tab/>
      </w:r>
      <w:r w:rsidRPr="00845AB1">
        <w:rPr>
          <w:rFonts w:ascii="Cambria" w:hAnsi="Cambria" w:cstheme="minorHAnsi"/>
          <w:bCs/>
        </w:rPr>
        <w:t>receiving, administering and expending funds according to the Committee’s purpose and the approved action plans.</w:t>
      </w:r>
    </w:p>
    <w:p w14:paraId="1CFC9818" w14:textId="77777777" w:rsidR="008275E5" w:rsidRPr="00845AB1" w:rsidRDefault="008275E5" w:rsidP="008275E5">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845AB1">
        <w:rPr>
          <w:rFonts w:ascii="Cambria" w:hAnsi="Cambria" w:cstheme="minorHAnsi"/>
        </w:rPr>
        <w:tab/>
      </w:r>
      <w:r w:rsidRPr="00845AB1">
        <w:rPr>
          <w:rFonts w:ascii="Cambria" w:hAnsi="Cambria" w:cstheme="minorHAnsi"/>
        </w:rPr>
        <w:tab/>
        <w:t>7.1.4</w:t>
      </w:r>
      <w:r w:rsidRPr="00845AB1">
        <w:rPr>
          <w:rFonts w:ascii="Cambria" w:hAnsi="Cambria" w:cstheme="minorHAnsi"/>
        </w:rPr>
        <w:tab/>
        <w:t>gaining public support for the protection of human life, especially those persons unborn and born, whose life others would categorise as unwanted, lacking in quality, worthless or otherwise dispensable;</w:t>
      </w:r>
    </w:p>
    <w:p w14:paraId="21638DA3" w14:textId="77777777" w:rsidR="008275E5" w:rsidRPr="00845AB1" w:rsidRDefault="008275E5" w:rsidP="008275E5">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845AB1">
        <w:rPr>
          <w:rFonts w:ascii="Cambria" w:hAnsi="Cambria" w:cstheme="minorHAnsi"/>
        </w:rPr>
        <w:tab/>
      </w:r>
      <w:r w:rsidRPr="00845AB1">
        <w:rPr>
          <w:rFonts w:ascii="Cambria" w:hAnsi="Cambria" w:cstheme="minorHAnsi"/>
        </w:rPr>
        <w:tab/>
        <w:t>7.1.5</w:t>
      </w:r>
      <w:r w:rsidRPr="00845AB1">
        <w:rPr>
          <w:rFonts w:ascii="Cambria" w:hAnsi="Cambria" w:cstheme="minorHAnsi"/>
        </w:rPr>
        <w:tab/>
        <w:t>supporting those pregnancy support service centres which do not refer women for abortion but provide them with positive help during and after their pregnancy;</w:t>
      </w:r>
    </w:p>
    <w:p w14:paraId="033D738B" w14:textId="77777777" w:rsidR="008275E5" w:rsidRPr="00845AB1" w:rsidRDefault="008275E5" w:rsidP="008275E5">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845AB1">
        <w:rPr>
          <w:rFonts w:ascii="Cambria" w:hAnsi="Cambria" w:cstheme="minorHAnsi"/>
        </w:rPr>
        <w:tab/>
      </w:r>
      <w:r w:rsidRPr="00845AB1">
        <w:rPr>
          <w:rFonts w:ascii="Cambria" w:hAnsi="Cambria" w:cstheme="minorHAnsi"/>
        </w:rPr>
        <w:tab/>
        <w:t>7.1.6</w:t>
      </w:r>
      <w:r w:rsidRPr="00845AB1">
        <w:rPr>
          <w:rFonts w:ascii="Cambria" w:hAnsi="Cambria" w:cstheme="minorHAnsi"/>
        </w:rPr>
        <w:tab/>
        <w:t>supporting organisations which do not endorse euthanasia or any form of assisted</w:t>
      </w:r>
    </w:p>
    <w:p w14:paraId="292B5A21" w14:textId="1FA6D3AB" w:rsidR="008275E5" w:rsidRPr="00845AB1" w:rsidRDefault="008275E5" w:rsidP="00806DE1">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845AB1">
        <w:rPr>
          <w:rFonts w:ascii="Cambria" w:hAnsi="Cambria" w:cstheme="minorHAnsi"/>
        </w:rPr>
        <w:tab/>
      </w:r>
      <w:r w:rsidRPr="00845AB1">
        <w:rPr>
          <w:rFonts w:ascii="Cambria" w:hAnsi="Cambria" w:cstheme="minorHAnsi"/>
        </w:rPr>
        <w:tab/>
      </w:r>
      <w:r w:rsidRPr="00845AB1">
        <w:rPr>
          <w:rFonts w:ascii="Cambria" w:hAnsi="Cambria" w:cstheme="minorHAnsi"/>
        </w:rPr>
        <w:tab/>
        <w:t>suicide but rather promote palliative care options for those who are seriously ill or</w:t>
      </w:r>
      <w:r w:rsidR="00806DE1">
        <w:rPr>
          <w:rFonts w:ascii="Cambria" w:hAnsi="Cambria" w:cstheme="minorHAnsi"/>
        </w:rPr>
        <w:t xml:space="preserve"> </w:t>
      </w:r>
      <w:r w:rsidRPr="00845AB1">
        <w:rPr>
          <w:rFonts w:ascii="Cambria" w:hAnsi="Cambria" w:cstheme="minorHAnsi"/>
        </w:rPr>
        <w:t>dying;</w:t>
      </w:r>
    </w:p>
    <w:p w14:paraId="0D5575CE" w14:textId="728A97D7" w:rsidR="008275E5" w:rsidRPr="00845AB1" w:rsidRDefault="008275E5" w:rsidP="00806DE1">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845AB1">
        <w:rPr>
          <w:rFonts w:ascii="Cambria" w:hAnsi="Cambria" w:cstheme="minorHAnsi"/>
        </w:rPr>
        <w:tab/>
      </w:r>
      <w:r w:rsidRPr="00845AB1">
        <w:rPr>
          <w:rFonts w:ascii="Cambria" w:hAnsi="Cambria" w:cstheme="minorHAnsi"/>
        </w:rPr>
        <w:tab/>
        <w:t>7.1.7</w:t>
      </w:r>
      <w:r w:rsidRPr="00845AB1">
        <w:rPr>
          <w:rFonts w:ascii="Cambria" w:hAnsi="Cambria" w:cstheme="minorHAnsi"/>
        </w:rPr>
        <w:tab/>
        <w:t>publishing suitable information and educational materials dealing with</w:t>
      </w:r>
      <w:r w:rsidR="00806DE1">
        <w:rPr>
          <w:rFonts w:ascii="Cambria" w:hAnsi="Cambria" w:cstheme="minorHAnsi"/>
        </w:rPr>
        <w:t xml:space="preserve"> </w:t>
      </w:r>
      <w:r w:rsidRPr="00845AB1">
        <w:rPr>
          <w:rFonts w:ascii="Cambria" w:hAnsi="Cambria" w:cstheme="minorHAnsi"/>
        </w:rPr>
        <w:t>contemporary life and death issues through appropriate media and having editorial oversight of their content;</w:t>
      </w:r>
    </w:p>
    <w:p w14:paraId="2295211A" w14:textId="77777777" w:rsidR="008275E5" w:rsidRPr="00845AB1" w:rsidRDefault="008275E5" w:rsidP="008275E5">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845AB1">
        <w:rPr>
          <w:rFonts w:ascii="Cambria" w:hAnsi="Cambria" w:cstheme="minorHAnsi"/>
        </w:rPr>
        <w:tab/>
      </w:r>
      <w:r w:rsidRPr="00845AB1">
        <w:rPr>
          <w:rFonts w:ascii="Cambria" w:hAnsi="Cambria" w:cstheme="minorHAnsi"/>
        </w:rPr>
        <w:tab/>
        <w:t>7.1.8</w:t>
      </w:r>
      <w:r w:rsidRPr="00845AB1">
        <w:rPr>
          <w:rFonts w:ascii="Cambria" w:hAnsi="Cambria" w:cstheme="minorHAnsi"/>
        </w:rPr>
        <w:tab/>
        <w:t>providing speakers and organising seminars or workshops with the purpose of creating or maintaining appreciation of God’s good gift of human life and the community’s responsibility for the ongoing care and protection of life; and</w:t>
      </w:r>
    </w:p>
    <w:p w14:paraId="4E239DF0" w14:textId="77777777" w:rsidR="008275E5" w:rsidRPr="00845AB1" w:rsidRDefault="008275E5" w:rsidP="008275E5">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845AB1">
        <w:rPr>
          <w:rFonts w:ascii="Cambria" w:hAnsi="Cambria" w:cstheme="minorHAnsi"/>
        </w:rPr>
        <w:tab/>
      </w:r>
      <w:r w:rsidRPr="00845AB1">
        <w:rPr>
          <w:rFonts w:ascii="Cambria" w:hAnsi="Cambria" w:cstheme="minorHAnsi"/>
        </w:rPr>
        <w:tab/>
        <w:t>7.1.9</w:t>
      </w:r>
      <w:r w:rsidRPr="00845AB1">
        <w:rPr>
          <w:rFonts w:ascii="Cambria" w:hAnsi="Cambria" w:cstheme="minorHAnsi"/>
        </w:rPr>
        <w:tab/>
        <w:t>overseeing, supporting and establishing Lutheran for Life Groups in Australia and New Zealand; and cooperating with other persons and organisations in pursuance of its purpose.</w:t>
      </w:r>
    </w:p>
    <w:p w14:paraId="476EE291" w14:textId="77777777" w:rsidR="008275E5" w:rsidRPr="00845AB1" w:rsidRDefault="008275E5" w:rsidP="008275E5">
      <w:pPr>
        <w:tabs>
          <w:tab w:val="left" w:pos="567"/>
          <w:tab w:val="left" w:pos="1418"/>
          <w:tab w:val="left" w:pos="2268"/>
          <w:tab w:val="left" w:pos="3119"/>
          <w:tab w:val="left" w:pos="3969"/>
        </w:tabs>
        <w:spacing w:after="0" w:line="240" w:lineRule="auto"/>
        <w:ind w:left="567" w:hanging="567"/>
        <w:rPr>
          <w:rFonts w:ascii="Cambria" w:hAnsi="Cambria" w:cstheme="minorHAnsi"/>
        </w:rPr>
      </w:pPr>
    </w:p>
    <w:p w14:paraId="03F6C17A" w14:textId="77777777" w:rsidR="008275E5" w:rsidRPr="00845AB1" w:rsidRDefault="008275E5" w:rsidP="008275E5">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845AB1">
        <w:rPr>
          <w:rFonts w:ascii="Cambria" w:hAnsi="Cambria" w:cstheme="minorHAnsi"/>
          <w:b/>
        </w:rPr>
        <w:t>8.</w:t>
      </w:r>
      <w:r w:rsidRPr="00845AB1">
        <w:rPr>
          <w:rFonts w:ascii="Cambria" w:hAnsi="Cambria" w:cstheme="minorHAnsi"/>
          <w:b/>
        </w:rPr>
        <w:tab/>
        <w:t>REVIEW</w:t>
      </w:r>
    </w:p>
    <w:p w14:paraId="2C690EE8" w14:textId="77777777" w:rsidR="008275E5" w:rsidRPr="00845AB1" w:rsidRDefault="008275E5" w:rsidP="008275E5">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845AB1">
        <w:rPr>
          <w:rFonts w:ascii="Cambria" w:hAnsi="Cambria" w:cstheme="minorHAnsi"/>
        </w:rPr>
        <w:tab/>
        <w:t>8.1</w:t>
      </w:r>
      <w:r w:rsidRPr="00845AB1">
        <w:rPr>
          <w:rFonts w:ascii="Cambria" w:hAnsi="Cambria" w:cstheme="minorHAnsi"/>
        </w:rPr>
        <w:tab/>
        <w:t xml:space="preserve">The Terms of Reference for the Committee shall be reviewed during each Synodical term. </w:t>
      </w:r>
    </w:p>
    <w:p w14:paraId="556DACDA" w14:textId="5B50014A" w:rsidR="008275E5" w:rsidRDefault="008275E5" w:rsidP="008275E5">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845AB1">
        <w:rPr>
          <w:rFonts w:ascii="Cambria" w:hAnsi="Cambria" w:cstheme="minorHAnsi"/>
        </w:rPr>
        <w:tab/>
        <w:t>8.2</w:t>
      </w:r>
      <w:r w:rsidRPr="00845AB1">
        <w:rPr>
          <w:rFonts w:ascii="Cambria" w:hAnsi="Cambria" w:cstheme="minorHAnsi"/>
        </w:rPr>
        <w:tab/>
        <w:t>Any changes to the Terms of Reference shall be approved by the General Church Board on recommendation of the Commission on Social and Bioethical Questions, upon review by the Standing Committee on Constitutions.</w:t>
      </w:r>
    </w:p>
    <w:p w14:paraId="274E5F42" w14:textId="06A997AA" w:rsidR="00806DE1" w:rsidRDefault="00806DE1" w:rsidP="008275E5">
      <w:pPr>
        <w:tabs>
          <w:tab w:val="left" w:pos="567"/>
          <w:tab w:val="left" w:pos="1418"/>
          <w:tab w:val="left" w:pos="2268"/>
          <w:tab w:val="left" w:pos="3119"/>
          <w:tab w:val="left" w:pos="3969"/>
        </w:tabs>
        <w:spacing w:after="0" w:line="240" w:lineRule="auto"/>
        <w:ind w:left="1418" w:hanging="1418"/>
        <w:rPr>
          <w:rFonts w:ascii="Cambria" w:hAnsi="Cambria" w:cstheme="minorHAnsi"/>
        </w:rPr>
      </w:pPr>
    </w:p>
    <w:p w14:paraId="332C0E14" w14:textId="572CB496" w:rsidR="00806DE1" w:rsidRDefault="00806DE1" w:rsidP="008275E5">
      <w:pPr>
        <w:tabs>
          <w:tab w:val="left" w:pos="567"/>
          <w:tab w:val="left" w:pos="1418"/>
          <w:tab w:val="left" w:pos="2268"/>
          <w:tab w:val="left" w:pos="3119"/>
          <w:tab w:val="left" w:pos="3969"/>
        </w:tabs>
        <w:spacing w:after="0" w:line="240" w:lineRule="auto"/>
        <w:ind w:left="1418" w:hanging="1418"/>
        <w:rPr>
          <w:rFonts w:ascii="Cambria" w:hAnsi="Cambria" w:cstheme="minorHAnsi"/>
        </w:rPr>
      </w:pPr>
    </w:p>
    <w:p w14:paraId="6918CA9D" w14:textId="4276AECF" w:rsidR="00806DE1" w:rsidRDefault="00806DE1" w:rsidP="008275E5">
      <w:pPr>
        <w:tabs>
          <w:tab w:val="left" w:pos="567"/>
          <w:tab w:val="left" w:pos="1418"/>
          <w:tab w:val="left" w:pos="2268"/>
          <w:tab w:val="left" w:pos="3119"/>
          <w:tab w:val="left" w:pos="3969"/>
        </w:tabs>
        <w:spacing w:after="0" w:line="240" w:lineRule="auto"/>
        <w:ind w:left="1418" w:hanging="1418"/>
        <w:rPr>
          <w:rFonts w:ascii="Cambria" w:hAnsi="Cambria" w:cstheme="minorHAnsi"/>
        </w:rPr>
      </w:pPr>
    </w:p>
    <w:p w14:paraId="5E1D24FF" w14:textId="72EB2FFB" w:rsidR="00806DE1" w:rsidRDefault="00806DE1" w:rsidP="008275E5">
      <w:pPr>
        <w:tabs>
          <w:tab w:val="left" w:pos="567"/>
          <w:tab w:val="left" w:pos="1418"/>
          <w:tab w:val="left" w:pos="2268"/>
          <w:tab w:val="left" w:pos="3119"/>
          <w:tab w:val="left" w:pos="3969"/>
        </w:tabs>
        <w:spacing w:after="0" w:line="240" w:lineRule="auto"/>
        <w:ind w:left="1418" w:hanging="1418"/>
        <w:rPr>
          <w:rFonts w:ascii="Cambria" w:hAnsi="Cambria" w:cstheme="minorHAnsi"/>
        </w:rPr>
      </w:pPr>
    </w:p>
    <w:p w14:paraId="439CB375" w14:textId="1EDBDE00" w:rsidR="00806DE1" w:rsidRDefault="00806DE1" w:rsidP="008275E5">
      <w:pPr>
        <w:tabs>
          <w:tab w:val="left" w:pos="567"/>
          <w:tab w:val="left" w:pos="1418"/>
          <w:tab w:val="left" w:pos="2268"/>
          <w:tab w:val="left" w:pos="3119"/>
          <w:tab w:val="left" w:pos="3969"/>
        </w:tabs>
        <w:spacing w:after="0" w:line="240" w:lineRule="auto"/>
        <w:ind w:left="1418" w:hanging="1418"/>
        <w:rPr>
          <w:rFonts w:ascii="Cambria" w:hAnsi="Cambria" w:cstheme="minorHAnsi"/>
        </w:rPr>
      </w:pPr>
    </w:p>
    <w:p w14:paraId="73E06264" w14:textId="5F8072FC" w:rsidR="00806DE1" w:rsidRDefault="00806DE1" w:rsidP="008275E5">
      <w:pPr>
        <w:tabs>
          <w:tab w:val="left" w:pos="567"/>
          <w:tab w:val="left" w:pos="1418"/>
          <w:tab w:val="left" w:pos="2268"/>
          <w:tab w:val="left" w:pos="3119"/>
          <w:tab w:val="left" w:pos="3969"/>
        </w:tabs>
        <w:spacing w:after="0" w:line="240" w:lineRule="auto"/>
        <w:ind w:left="1418" w:hanging="1418"/>
        <w:rPr>
          <w:rFonts w:ascii="Cambria" w:hAnsi="Cambria" w:cstheme="minorHAnsi"/>
        </w:rPr>
      </w:pPr>
    </w:p>
    <w:p w14:paraId="5DC80F1A" w14:textId="7F27FD6A" w:rsidR="00806DE1" w:rsidRDefault="00806DE1" w:rsidP="008275E5">
      <w:pPr>
        <w:tabs>
          <w:tab w:val="left" w:pos="567"/>
          <w:tab w:val="left" w:pos="1418"/>
          <w:tab w:val="left" w:pos="2268"/>
          <w:tab w:val="left" w:pos="3119"/>
          <w:tab w:val="left" w:pos="3969"/>
        </w:tabs>
        <w:spacing w:after="0" w:line="240" w:lineRule="auto"/>
        <w:ind w:left="1418" w:hanging="1418"/>
        <w:rPr>
          <w:rFonts w:ascii="Cambria" w:hAnsi="Cambria" w:cstheme="minorHAnsi"/>
        </w:rPr>
      </w:pPr>
    </w:p>
    <w:p w14:paraId="3C31D29B" w14:textId="776FF8D9" w:rsidR="00806DE1" w:rsidRDefault="00806DE1" w:rsidP="008275E5">
      <w:pPr>
        <w:tabs>
          <w:tab w:val="left" w:pos="567"/>
          <w:tab w:val="left" w:pos="1418"/>
          <w:tab w:val="left" w:pos="2268"/>
          <w:tab w:val="left" w:pos="3119"/>
          <w:tab w:val="left" w:pos="3969"/>
        </w:tabs>
        <w:spacing w:after="0" w:line="240" w:lineRule="auto"/>
        <w:ind w:left="1418" w:hanging="1418"/>
        <w:rPr>
          <w:rFonts w:ascii="Cambria" w:hAnsi="Cambria" w:cstheme="minorHAnsi"/>
        </w:rPr>
      </w:pPr>
    </w:p>
    <w:p w14:paraId="7C72D58E" w14:textId="4941F907" w:rsidR="00806DE1" w:rsidRPr="00B96BBD" w:rsidRDefault="00806DE1" w:rsidP="00806DE1">
      <w:pPr>
        <w:pStyle w:val="Heading2"/>
      </w:pPr>
      <w:r w:rsidRPr="00B96BBD">
        <w:lastRenderedPageBreak/>
        <w:t xml:space="preserve">COMMITTEE FOR MINISTRY WITH </w:t>
      </w:r>
      <w:r>
        <w:t>THE</w:t>
      </w:r>
      <w:r w:rsidRPr="00B96BBD">
        <w:t xml:space="preserve"> AGEING</w:t>
      </w:r>
    </w:p>
    <w:p w14:paraId="5C77AD48" w14:textId="77777777" w:rsidR="00806DE1" w:rsidRPr="00B96BBD" w:rsidRDefault="00806DE1" w:rsidP="00806DE1">
      <w:pPr>
        <w:tabs>
          <w:tab w:val="left" w:pos="567"/>
          <w:tab w:val="left" w:pos="1418"/>
          <w:tab w:val="left" w:pos="2268"/>
          <w:tab w:val="left" w:pos="3119"/>
          <w:tab w:val="left" w:pos="3969"/>
        </w:tabs>
        <w:spacing w:after="0" w:line="240" w:lineRule="auto"/>
        <w:ind w:left="567" w:hanging="567"/>
        <w:jc w:val="center"/>
        <w:rPr>
          <w:rFonts w:ascii="Cambria" w:hAnsi="Cambria"/>
          <w:b/>
        </w:rPr>
      </w:pPr>
    </w:p>
    <w:p w14:paraId="763F975E" w14:textId="690D0CFF" w:rsidR="00806DE1" w:rsidRDefault="00806DE1" w:rsidP="00806DE1">
      <w:pPr>
        <w:pStyle w:val="Heading3"/>
      </w:pPr>
      <w:r w:rsidRPr="00B96BBD">
        <w:t>Terms of Reference</w:t>
      </w:r>
    </w:p>
    <w:p w14:paraId="34B87C83" w14:textId="77777777" w:rsidR="00806DE1" w:rsidRPr="00806DE1" w:rsidRDefault="00806DE1" w:rsidP="00806DE1">
      <w:pPr>
        <w:pStyle w:val="NoSpacing"/>
      </w:pPr>
    </w:p>
    <w:p w14:paraId="009EE6CA" w14:textId="77777777" w:rsidR="00806DE1" w:rsidRPr="00B96BBD" w:rsidRDefault="00806DE1" w:rsidP="00806DE1">
      <w:pPr>
        <w:tabs>
          <w:tab w:val="left" w:pos="567"/>
          <w:tab w:val="left" w:pos="1418"/>
          <w:tab w:val="left" w:pos="2268"/>
          <w:tab w:val="left" w:pos="3119"/>
          <w:tab w:val="left" w:pos="3969"/>
        </w:tabs>
        <w:spacing w:after="0" w:line="240" w:lineRule="auto"/>
        <w:ind w:left="567" w:hanging="567"/>
        <w:jc w:val="center"/>
        <w:rPr>
          <w:rFonts w:ascii="Cambria" w:hAnsi="Cambria"/>
          <w:b/>
        </w:rPr>
      </w:pPr>
    </w:p>
    <w:p w14:paraId="6B088DC0" w14:textId="77777777" w:rsidR="00806DE1" w:rsidRPr="00B96BBD" w:rsidRDefault="00806DE1" w:rsidP="00806DE1">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B96BBD">
        <w:rPr>
          <w:rFonts w:ascii="Cambria" w:hAnsi="Cambria" w:cstheme="minorHAnsi"/>
          <w:b/>
        </w:rPr>
        <w:t>1.</w:t>
      </w:r>
      <w:r w:rsidRPr="00B96BBD">
        <w:rPr>
          <w:rFonts w:ascii="Cambria" w:hAnsi="Cambria" w:cstheme="minorHAnsi"/>
          <w:b/>
        </w:rPr>
        <w:tab/>
        <w:t xml:space="preserve">NAME </w:t>
      </w:r>
    </w:p>
    <w:p w14:paraId="4232EBB2" w14:textId="77777777" w:rsidR="00806DE1" w:rsidRPr="00B96BBD" w:rsidRDefault="00806DE1" w:rsidP="00806DE1">
      <w:pPr>
        <w:tabs>
          <w:tab w:val="left" w:pos="567"/>
          <w:tab w:val="left" w:pos="1418"/>
          <w:tab w:val="left" w:pos="2268"/>
          <w:tab w:val="left" w:pos="3119"/>
          <w:tab w:val="left" w:pos="3969"/>
        </w:tabs>
        <w:spacing w:after="0" w:line="240" w:lineRule="auto"/>
        <w:ind w:left="567" w:hanging="567"/>
        <w:rPr>
          <w:rFonts w:ascii="Cambria" w:hAnsi="Cambria" w:cstheme="minorHAnsi"/>
        </w:rPr>
      </w:pPr>
      <w:r w:rsidRPr="00B96BBD">
        <w:rPr>
          <w:rFonts w:ascii="Cambria" w:hAnsi="Cambria" w:cstheme="minorHAnsi"/>
        </w:rPr>
        <w:tab/>
        <w:t>The Committee for Ministry with the Ageing, referred to as “the Committee”.</w:t>
      </w:r>
    </w:p>
    <w:p w14:paraId="3688F517" w14:textId="77777777" w:rsidR="00806DE1" w:rsidRPr="00B96BBD" w:rsidRDefault="00806DE1" w:rsidP="00806DE1">
      <w:pPr>
        <w:tabs>
          <w:tab w:val="left" w:pos="567"/>
          <w:tab w:val="left" w:pos="1418"/>
          <w:tab w:val="left" w:pos="2268"/>
          <w:tab w:val="left" w:pos="3119"/>
          <w:tab w:val="left" w:pos="3969"/>
        </w:tabs>
        <w:spacing w:after="0" w:line="240" w:lineRule="auto"/>
        <w:ind w:left="567" w:hanging="567"/>
        <w:rPr>
          <w:rFonts w:ascii="Cambria" w:hAnsi="Cambria" w:cstheme="minorHAnsi"/>
        </w:rPr>
      </w:pPr>
    </w:p>
    <w:p w14:paraId="3F2F3CA3" w14:textId="13EEC374" w:rsidR="00806DE1" w:rsidRPr="00B96BBD" w:rsidRDefault="00806DE1" w:rsidP="00806DE1">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B96BBD">
        <w:rPr>
          <w:rFonts w:ascii="Cambria" w:hAnsi="Cambria" w:cstheme="minorHAnsi"/>
          <w:b/>
        </w:rPr>
        <w:t>2.</w:t>
      </w:r>
      <w:r w:rsidRPr="00B96BBD">
        <w:rPr>
          <w:rFonts w:ascii="Cambria" w:hAnsi="Cambria" w:cstheme="minorHAnsi"/>
          <w:b/>
        </w:rPr>
        <w:tab/>
        <w:t xml:space="preserve">RELATIONSHIP </w:t>
      </w:r>
      <w:r>
        <w:rPr>
          <w:rFonts w:ascii="Cambria" w:hAnsi="Cambria" w:cstheme="minorHAnsi"/>
          <w:b/>
        </w:rPr>
        <w:t>TO</w:t>
      </w:r>
      <w:r w:rsidRPr="00B96BBD">
        <w:rPr>
          <w:rFonts w:ascii="Cambria" w:hAnsi="Cambria" w:cstheme="minorHAnsi"/>
          <w:b/>
        </w:rPr>
        <w:t xml:space="preserve"> THE CHURCH</w:t>
      </w:r>
    </w:p>
    <w:p w14:paraId="1236056C" w14:textId="77777777" w:rsidR="00806DE1" w:rsidRPr="00B96BBD" w:rsidRDefault="00806DE1" w:rsidP="00806DE1">
      <w:pPr>
        <w:tabs>
          <w:tab w:val="left" w:pos="567"/>
          <w:tab w:val="left" w:pos="1418"/>
          <w:tab w:val="left" w:pos="2268"/>
          <w:tab w:val="left" w:pos="3119"/>
          <w:tab w:val="left" w:pos="3969"/>
        </w:tabs>
        <w:spacing w:after="0" w:line="240" w:lineRule="auto"/>
        <w:ind w:left="567" w:hanging="567"/>
        <w:rPr>
          <w:rFonts w:ascii="Cambria" w:hAnsi="Cambria" w:cstheme="minorHAnsi"/>
        </w:rPr>
      </w:pPr>
      <w:r w:rsidRPr="00B96BBD">
        <w:rPr>
          <w:rFonts w:ascii="Cambria" w:hAnsi="Cambria" w:cstheme="minorHAnsi"/>
          <w:b/>
        </w:rPr>
        <w:tab/>
      </w:r>
      <w:r w:rsidRPr="00B96BBD">
        <w:rPr>
          <w:rFonts w:ascii="Cambria" w:hAnsi="Cambria" w:cstheme="minorHAnsi"/>
        </w:rPr>
        <w:t xml:space="preserve">The Committee is a committee of the Council for Local Mission, referred to as “the Council” and shall fulfil its responsibilities in keeping with the Constitution and the policies of the Church. </w:t>
      </w:r>
    </w:p>
    <w:p w14:paraId="3D7AA94C" w14:textId="77777777" w:rsidR="00806DE1" w:rsidRPr="00B96BBD" w:rsidRDefault="00806DE1" w:rsidP="00806DE1">
      <w:pPr>
        <w:tabs>
          <w:tab w:val="left" w:pos="567"/>
          <w:tab w:val="left" w:pos="1418"/>
          <w:tab w:val="left" w:pos="2268"/>
          <w:tab w:val="left" w:pos="3119"/>
          <w:tab w:val="left" w:pos="3969"/>
        </w:tabs>
        <w:spacing w:after="0" w:line="240" w:lineRule="auto"/>
        <w:ind w:left="567" w:hanging="567"/>
        <w:rPr>
          <w:rFonts w:ascii="Cambria" w:hAnsi="Cambria" w:cstheme="minorHAnsi"/>
        </w:rPr>
      </w:pPr>
    </w:p>
    <w:p w14:paraId="25BD90C4" w14:textId="77777777" w:rsidR="00806DE1" w:rsidRPr="00B96BBD" w:rsidRDefault="00806DE1" w:rsidP="00806DE1">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B96BBD">
        <w:rPr>
          <w:rFonts w:ascii="Cambria" w:hAnsi="Cambria" w:cstheme="minorHAnsi"/>
          <w:b/>
        </w:rPr>
        <w:t>3.</w:t>
      </w:r>
      <w:r w:rsidRPr="00B96BBD">
        <w:rPr>
          <w:rFonts w:ascii="Cambria" w:hAnsi="Cambria" w:cstheme="minorHAnsi"/>
          <w:b/>
        </w:rPr>
        <w:tab/>
        <w:t>PURPOSE</w:t>
      </w:r>
    </w:p>
    <w:p w14:paraId="746785F8" w14:textId="77777777" w:rsidR="00806DE1" w:rsidRPr="00B96BBD" w:rsidRDefault="00806DE1" w:rsidP="00806DE1">
      <w:pPr>
        <w:tabs>
          <w:tab w:val="left" w:pos="567"/>
          <w:tab w:val="left" w:pos="1418"/>
          <w:tab w:val="left" w:pos="2268"/>
          <w:tab w:val="left" w:pos="3119"/>
          <w:tab w:val="left" w:pos="3969"/>
        </w:tabs>
        <w:spacing w:after="0" w:line="240" w:lineRule="auto"/>
        <w:ind w:left="567" w:hanging="567"/>
        <w:rPr>
          <w:rFonts w:ascii="Cambria" w:hAnsi="Cambria" w:cstheme="minorHAnsi"/>
        </w:rPr>
      </w:pPr>
      <w:r w:rsidRPr="00B96BBD">
        <w:rPr>
          <w:rFonts w:ascii="Cambria" w:hAnsi="Cambria" w:cstheme="minorHAnsi"/>
        </w:rPr>
        <w:tab/>
        <w:t>The Committee shall operate under the authority of the Council and shall</w:t>
      </w:r>
    </w:p>
    <w:p w14:paraId="428B61F8" w14:textId="77777777" w:rsidR="00806DE1" w:rsidRPr="00B96BBD" w:rsidRDefault="00806DE1" w:rsidP="00806DE1">
      <w:pPr>
        <w:tabs>
          <w:tab w:val="left" w:pos="567"/>
          <w:tab w:val="left" w:pos="1418"/>
          <w:tab w:val="left" w:pos="2268"/>
          <w:tab w:val="left" w:pos="3119"/>
          <w:tab w:val="left" w:pos="3969"/>
        </w:tabs>
        <w:spacing w:after="0" w:line="240" w:lineRule="auto"/>
        <w:ind w:left="567" w:hanging="567"/>
        <w:rPr>
          <w:rFonts w:ascii="Cambria" w:hAnsi="Cambria" w:cstheme="minorHAnsi"/>
        </w:rPr>
      </w:pPr>
      <w:r w:rsidRPr="00B96BBD">
        <w:rPr>
          <w:rFonts w:ascii="Cambria" w:hAnsi="Cambria" w:cstheme="minorHAnsi"/>
        </w:rPr>
        <w:tab/>
        <w:t>3.1</w:t>
      </w:r>
      <w:r w:rsidRPr="00B96BBD">
        <w:rPr>
          <w:rFonts w:ascii="Cambria" w:hAnsi="Cambria" w:cstheme="minorHAnsi"/>
        </w:rPr>
        <w:tab/>
        <w:t>provide advice on ministry with the ageing;</w:t>
      </w:r>
    </w:p>
    <w:p w14:paraId="783A5011" w14:textId="77777777" w:rsidR="00806DE1" w:rsidRPr="00B96BBD" w:rsidRDefault="00806DE1" w:rsidP="00806DE1">
      <w:pPr>
        <w:tabs>
          <w:tab w:val="left" w:pos="567"/>
          <w:tab w:val="left" w:pos="1418"/>
          <w:tab w:val="left" w:pos="2268"/>
          <w:tab w:val="left" w:pos="3119"/>
          <w:tab w:val="left" w:pos="3969"/>
        </w:tabs>
        <w:spacing w:after="0" w:line="240" w:lineRule="auto"/>
        <w:ind w:left="567" w:hanging="567"/>
        <w:rPr>
          <w:rFonts w:ascii="Cambria" w:hAnsi="Cambria" w:cstheme="minorHAnsi"/>
        </w:rPr>
      </w:pPr>
      <w:r w:rsidRPr="00B96BBD">
        <w:rPr>
          <w:rFonts w:ascii="Cambria" w:hAnsi="Cambria" w:cstheme="minorHAnsi"/>
        </w:rPr>
        <w:tab/>
        <w:t>3.2</w:t>
      </w:r>
      <w:r w:rsidRPr="00B96BBD">
        <w:rPr>
          <w:rFonts w:ascii="Cambria" w:hAnsi="Cambria" w:cstheme="minorHAnsi"/>
        </w:rPr>
        <w:tab/>
        <w:t xml:space="preserve">facilitate communication with all Lutheran agencies in this ministry;  and </w:t>
      </w:r>
    </w:p>
    <w:p w14:paraId="701E885F" w14:textId="77777777" w:rsidR="00806DE1" w:rsidRPr="00B96BBD" w:rsidRDefault="00806DE1" w:rsidP="00806DE1">
      <w:pPr>
        <w:tabs>
          <w:tab w:val="left" w:pos="567"/>
          <w:tab w:val="left" w:pos="1418"/>
          <w:tab w:val="left" w:pos="2268"/>
          <w:tab w:val="left" w:pos="3119"/>
          <w:tab w:val="left" w:pos="3969"/>
        </w:tabs>
        <w:spacing w:after="0" w:line="240" w:lineRule="auto"/>
        <w:ind w:left="567" w:hanging="567"/>
        <w:rPr>
          <w:rFonts w:ascii="Cambria" w:hAnsi="Cambria" w:cstheme="minorHAnsi"/>
        </w:rPr>
      </w:pPr>
      <w:r w:rsidRPr="00B96BBD">
        <w:rPr>
          <w:rFonts w:ascii="Cambria" w:hAnsi="Cambria" w:cstheme="minorHAnsi"/>
        </w:rPr>
        <w:tab/>
        <w:t>3.3</w:t>
      </w:r>
      <w:r w:rsidRPr="00B96BBD">
        <w:rPr>
          <w:rFonts w:ascii="Cambria" w:hAnsi="Cambria" w:cstheme="minorHAnsi"/>
        </w:rPr>
        <w:tab/>
        <w:t>represent the views of the Church to government on ageing-related issues.</w:t>
      </w:r>
    </w:p>
    <w:p w14:paraId="5E628970" w14:textId="77777777" w:rsidR="00806DE1" w:rsidRPr="00B96BBD" w:rsidRDefault="00806DE1" w:rsidP="00806DE1">
      <w:pPr>
        <w:tabs>
          <w:tab w:val="left" w:pos="567"/>
          <w:tab w:val="left" w:pos="1418"/>
          <w:tab w:val="left" w:pos="2268"/>
          <w:tab w:val="left" w:pos="3119"/>
          <w:tab w:val="left" w:pos="3969"/>
        </w:tabs>
        <w:spacing w:after="0" w:line="240" w:lineRule="auto"/>
        <w:ind w:left="567" w:hanging="567"/>
        <w:rPr>
          <w:rFonts w:ascii="Cambria" w:hAnsi="Cambria" w:cstheme="minorHAnsi"/>
        </w:rPr>
      </w:pPr>
    </w:p>
    <w:p w14:paraId="053F814E" w14:textId="77777777" w:rsidR="00806DE1" w:rsidRPr="00B96BBD" w:rsidRDefault="00806DE1" w:rsidP="00806DE1">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B96BBD">
        <w:rPr>
          <w:rFonts w:ascii="Cambria" w:hAnsi="Cambria" w:cstheme="minorHAnsi"/>
          <w:b/>
        </w:rPr>
        <w:t>4.</w:t>
      </w:r>
      <w:r w:rsidRPr="00B96BBD">
        <w:rPr>
          <w:rFonts w:ascii="Cambria" w:hAnsi="Cambria" w:cstheme="minorHAnsi"/>
          <w:b/>
        </w:rPr>
        <w:tab/>
        <w:t>AUTHORITY</w:t>
      </w:r>
    </w:p>
    <w:p w14:paraId="70504B39" w14:textId="77777777" w:rsidR="00806DE1" w:rsidRPr="00B96BBD" w:rsidRDefault="00806DE1" w:rsidP="00806DE1">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B96BBD">
        <w:rPr>
          <w:rFonts w:ascii="Cambria" w:hAnsi="Cambria" w:cstheme="minorHAnsi"/>
        </w:rPr>
        <w:tab/>
        <w:t>4.1</w:t>
      </w:r>
      <w:r w:rsidRPr="00B96BBD">
        <w:rPr>
          <w:rFonts w:ascii="Cambria" w:hAnsi="Cambria" w:cstheme="minorHAnsi"/>
        </w:rPr>
        <w:tab/>
        <w:t>The Committee may recommend to the Council such approaches and actions based on its considered assessment of opportunity, priority and need.</w:t>
      </w:r>
    </w:p>
    <w:p w14:paraId="5362CB42" w14:textId="77777777" w:rsidR="00806DE1" w:rsidRPr="00B96BBD" w:rsidRDefault="00806DE1" w:rsidP="00806DE1">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B96BBD">
        <w:rPr>
          <w:rFonts w:ascii="Cambria" w:hAnsi="Cambria" w:cstheme="minorHAnsi"/>
        </w:rPr>
        <w:tab/>
        <w:t>4.2</w:t>
      </w:r>
      <w:r w:rsidRPr="00B96BBD">
        <w:rPr>
          <w:rFonts w:ascii="Cambria" w:hAnsi="Cambria" w:cstheme="minorHAnsi"/>
        </w:rPr>
        <w:tab/>
        <w:t>The Council may delegate specific decision-making authority to the Committee under a written delegations policy.</w:t>
      </w:r>
    </w:p>
    <w:p w14:paraId="101C7F11" w14:textId="77777777" w:rsidR="00806DE1" w:rsidRPr="00B96BBD" w:rsidRDefault="00806DE1" w:rsidP="00806DE1">
      <w:pPr>
        <w:tabs>
          <w:tab w:val="left" w:pos="567"/>
          <w:tab w:val="left" w:pos="1418"/>
          <w:tab w:val="left" w:pos="2268"/>
          <w:tab w:val="left" w:pos="3119"/>
          <w:tab w:val="left" w:pos="3969"/>
        </w:tabs>
        <w:spacing w:after="0" w:line="240" w:lineRule="auto"/>
        <w:ind w:left="567" w:hanging="567"/>
        <w:rPr>
          <w:rFonts w:ascii="Cambria" w:hAnsi="Cambria" w:cstheme="minorHAnsi"/>
        </w:rPr>
      </w:pPr>
    </w:p>
    <w:p w14:paraId="30436BB8" w14:textId="77777777" w:rsidR="00806DE1" w:rsidRPr="00B96BBD" w:rsidRDefault="00806DE1" w:rsidP="00806DE1">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B96BBD">
        <w:rPr>
          <w:rFonts w:ascii="Cambria" w:hAnsi="Cambria" w:cstheme="minorHAnsi"/>
          <w:b/>
        </w:rPr>
        <w:t>5.</w:t>
      </w:r>
      <w:r w:rsidRPr="00B96BBD">
        <w:rPr>
          <w:rFonts w:ascii="Cambria" w:hAnsi="Cambria" w:cstheme="minorHAnsi"/>
          <w:b/>
        </w:rPr>
        <w:tab/>
        <w:t>MEMBERSHIP</w:t>
      </w:r>
    </w:p>
    <w:p w14:paraId="258842B1" w14:textId="77777777" w:rsidR="00806DE1" w:rsidRPr="00B96BBD" w:rsidRDefault="00806DE1" w:rsidP="00806DE1">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B96BBD">
        <w:rPr>
          <w:rFonts w:ascii="Cambria" w:hAnsi="Cambria" w:cstheme="minorHAnsi"/>
        </w:rPr>
        <w:tab/>
        <w:t>5.1</w:t>
      </w:r>
      <w:r w:rsidRPr="00B96BBD">
        <w:rPr>
          <w:rFonts w:ascii="Cambria" w:hAnsi="Cambria" w:cstheme="minorHAnsi"/>
        </w:rPr>
        <w:tab/>
        <w:t xml:space="preserve">The Committee shall consist of seven [7] members: </w:t>
      </w:r>
    </w:p>
    <w:p w14:paraId="777359C3" w14:textId="77777777" w:rsidR="00806DE1" w:rsidRPr="00B96BBD" w:rsidRDefault="00806DE1" w:rsidP="00806DE1">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B96BBD">
        <w:rPr>
          <w:rFonts w:ascii="Cambria" w:hAnsi="Cambria" w:cstheme="minorHAnsi"/>
        </w:rPr>
        <w:tab/>
      </w:r>
      <w:r w:rsidRPr="00B96BBD">
        <w:rPr>
          <w:rFonts w:ascii="Cambria" w:hAnsi="Cambria" w:cstheme="minorHAnsi"/>
        </w:rPr>
        <w:tab/>
        <w:t>5.1.1</w:t>
      </w:r>
      <w:r w:rsidRPr="00B96BBD">
        <w:rPr>
          <w:rFonts w:ascii="Cambria" w:hAnsi="Cambria" w:cstheme="minorHAnsi"/>
        </w:rPr>
        <w:tab/>
        <w:t>a chairperson appointed by the Council who shall possess experience and qualities appropriate to the task;</w:t>
      </w:r>
    </w:p>
    <w:p w14:paraId="1F478966" w14:textId="77777777" w:rsidR="00806DE1" w:rsidRPr="00B96BBD" w:rsidRDefault="00806DE1" w:rsidP="00806DE1">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B96BBD">
        <w:rPr>
          <w:rFonts w:ascii="Cambria" w:hAnsi="Cambria" w:cstheme="minorHAnsi"/>
        </w:rPr>
        <w:tab/>
      </w:r>
      <w:r w:rsidRPr="00B96BBD">
        <w:rPr>
          <w:rFonts w:ascii="Cambria" w:hAnsi="Cambria" w:cstheme="minorHAnsi"/>
        </w:rPr>
        <w:tab/>
        <w:t>5.1.2</w:t>
      </w:r>
      <w:r w:rsidRPr="00B96BBD">
        <w:rPr>
          <w:rFonts w:ascii="Cambria" w:hAnsi="Cambria" w:cstheme="minorHAnsi"/>
        </w:rPr>
        <w:tab/>
        <w:t>two [2] members with aged care industry experience capable of representing the Church on aged care sector bodies;</w:t>
      </w:r>
    </w:p>
    <w:p w14:paraId="166ED5C4" w14:textId="77777777" w:rsidR="00806DE1" w:rsidRPr="00B96BBD" w:rsidRDefault="00806DE1" w:rsidP="00806DE1">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B96BBD">
        <w:rPr>
          <w:rFonts w:ascii="Cambria" w:hAnsi="Cambria" w:cstheme="minorHAnsi"/>
        </w:rPr>
        <w:tab/>
      </w:r>
      <w:r w:rsidRPr="00B96BBD">
        <w:rPr>
          <w:rFonts w:ascii="Cambria" w:hAnsi="Cambria" w:cstheme="minorHAnsi"/>
        </w:rPr>
        <w:tab/>
        <w:t>5.1.3</w:t>
      </w:r>
      <w:r w:rsidRPr="00B96BBD">
        <w:rPr>
          <w:rFonts w:ascii="Cambria" w:hAnsi="Cambria" w:cstheme="minorHAnsi"/>
        </w:rPr>
        <w:tab/>
        <w:t>one [1] pastor with expertise in ministry with the ageing;</w:t>
      </w:r>
    </w:p>
    <w:p w14:paraId="350B6D29" w14:textId="77777777" w:rsidR="00806DE1" w:rsidRPr="00B96BBD" w:rsidRDefault="00806DE1" w:rsidP="00806DE1">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B96BBD">
        <w:rPr>
          <w:rFonts w:ascii="Cambria" w:hAnsi="Cambria" w:cstheme="minorHAnsi"/>
        </w:rPr>
        <w:tab/>
      </w:r>
      <w:r w:rsidRPr="00B96BBD">
        <w:rPr>
          <w:rFonts w:ascii="Cambria" w:hAnsi="Cambria" w:cstheme="minorHAnsi"/>
        </w:rPr>
        <w:tab/>
        <w:t>5.1.4</w:t>
      </w:r>
      <w:r w:rsidRPr="00B96BBD">
        <w:rPr>
          <w:rFonts w:ascii="Cambria" w:hAnsi="Cambria" w:cstheme="minorHAnsi"/>
        </w:rPr>
        <w:tab/>
        <w:t xml:space="preserve">one [1] lay member with expertise in ministry with ageing people;  and </w:t>
      </w:r>
    </w:p>
    <w:p w14:paraId="12679723" w14:textId="77777777" w:rsidR="00806DE1" w:rsidRPr="00B96BBD" w:rsidRDefault="00806DE1" w:rsidP="00806DE1">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B96BBD">
        <w:rPr>
          <w:rFonts w:ascii="Cambria" w:hAnsi="Cambria" w:cstheme="minorHAnsi"/>
        </w:rPr>
        <w:tab/>
      </w:r>
      <w:r w:rsidRPr="00B96BBD">
        <w:rPr>
          <w:rFonts w:ascii="Cambria" w:hAnsi="Cambria" w:cstheme="minorHAnsi"/>
        </w:rPr>
        <w:tab/>
        <w:t>5.1.5</w:t>
      </w:r>
      <w:r w:rsidRPr="00B96BBD">
        <w:rPr>
          <w:rFonts w:ascii="Cambria" w:hAnsi="Cambria" w:cstheme="minorHAnsi"/>
        </w:rPr>
        <w:tab/>
        <w:t>two [2] members with knowledge and experience of working with ageing people in a congregational setting.</w:t>
      </w:r>
    </w:p>
    <w:p w14:paraId="2B1DDA01" w14:textId="77777777" w:rsidR="00806DE1" w:rsidRPr="00B96BBD" w:rsidRDefault="00806DE1" w:rsidP="00806DE1">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B96BBD">
        <w:rPr>
          <w:rFonts w:ascii="Cambria" w:hAnsi="Cambria" w:cstheme="minorHAnsi"/>
        </w:rPr>
        <w:tab/>
        <w:t>5.2</w:t>
      </w:r>
      <w:r w:rsidRPr="00B96BBD">
        <w:rPr>
          <w:rFonts w:ascii="Cambria" w:hAnsi="Cambria" w:cstheme="minorHAnsi"/>
        </w:rPr>
        <w:tab/>
        <w:t xml:space="preserve">The members of the Committee shall be appointed by the Council, based on recommendations from the Standing Committee on Nominations.  </w:t>
      </w:r>
    </w:p>
    <w:p w14:paraId="33412C5C" w14:textId="77777777" w:rsidR="00806DE1" w:rsidRPr="00B96BBD" w:rsidRDefault="00806DE1" w:rsidP="00806DE1">
      <w:pPr>
        <w:tabs>
          <w:tab w:val="left" w:pos="567"/>
          <w:tab w:val="left" w:pos="1418"/>
          <w:tab w:val="left" w:pos="2268"/>
          <w:tab w:val="left" w:pos="3119"/>
          <w:tab w:val="left" w:pos="3969"/>
        </w:tabs>
        <w:spacing w:after="0" w:line="240" w:lineRule="auto"/>
        <w:ind w:left="1418" w:hanging="1418"/>
        <w:rPr>
          <w:rFonts w:ascii="Cambria" w:hAnsi="Cambria"/>
        </w:rPr>
      </w:pPr>
      <w:r w:rsidRPr="00B96BBD">
        <w:rPr>
          <w:rFonts w:ascii="Cambria" w:hAnsi="Cambria" w:cstheme="minorHAnsi"/>
        </w:rPr>
        <w:tab/>
        <w:t>5.3</w:t>
      </w:r>
      <w:r w:rsidRPr="00B96BBD">
        <w:rPr>
          <w:rFonts w:ascii="Cambria" w:hAnsi="Cambria" w:cstheme="minorHAnsi"/>
        </w:rPr>
        <w:tab/>
      </w:r>
      <w:r w:rsidRPr="00B96BBD">
        <w:rPr>
          <w:rFonts w:ascii="Cambria" w:hAnsi="Cambria"/>
        </w:rPr>
        <w:t>The Committee shall consist of people with a passion for ministry and mission.</w:t>
      </w:r>
    </w:p>
    <w:p w14:paraId="664F90A6" w14:textId="77777777" w:rsidR="00806DE1" w:rsidRPr="00B96BBD" w:rsidRDefault="00806DE1" w:rsidP="00806DE1">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B96BBD">
        <w:rPr>
          <w:rFonts w:ascii="Cambria" w:hAnsi="Cambria" w:cstheme="minorHAnsi"/>
        </w:rPr>
        <w:tab/>
        <w:t>5.4</w:t>
      </w:r>
      <w:r w:rsidRPr="00B96BBD">
        <w:rPr>
          <w:rFonts w:ascii="Cambria" w:hAnsi="Cambria" w:cstheme="minorHAnsi"/>
        </w:rPr>
        <w:tab/>
        <w:t>The Committee membership shall include a mix of backgrounds and perspectives which, together with the relevant skills and experience will enable the Committee to fulfil its role.</w:t>
      </w:r>
    </w:p>
    <w:p w14:paraId="156D183C" w14:textId="77777777" w:rsidR="00806DE1" w:rsidRPr="00B96BBD" w:rsidRDefault="00806DE1" w:rsidP="00806DE1">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B96BBD">
        <w:rPr>
          <w:rFonts w:ascii="Cambria" w:hAnsi="Cambria" w:cstheme="minorHAnsi"/>
        </w:rPr>
        <w:tab/>
        <w:t>5.5</w:t>
      </w:r>
      <w:r w:rsidRPr="00B96BBD">
        <w:rPr>
          <w:rFonts w:ascii="Cambria" w:hAnsi="Cambria" w:cstheme="minorHAnsi"/>
        </w:rPr>
        <w:tab/>
        <w:t>The term of appointment for all members will be for a Synodical term.</w:t>
      </w:r>
    </w:p>
    <w:p w14:paraId="154766CE" w14:textId="77777777" w:rsidR="00806DE1" w:rsidRPr="00B96BBD" w:rsidRDefault="00806DE1" w:rsidP="00806DE1">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B96BBD">
        <w:rPr>
          <w:rFonts w:ascii="Cambria" w:hAnsi="Cambria" w:cstheme="minorHAnsi"/>
        </w:rPr>
        <w:tab/>
        <w:t>5.6</w:t>
      </w:r>
      <w:r w:rsidRPr="00B96BBD">
        <w:rPr>
          <w:rFonts w:ascii="Cambria" w:hAnsi="Cambria" w:cstheme="minorHAnsi"/>
        </w:rPr>
        <w:tab/>
        <w:t>The Executive Officer, Local Mission (EO-LM) shall attend meetings of the Committee.</w:t>
      </w:r>
    </w:p>
    <w:p w14:paraId="6F3F985E" w14:textId="77777777" w:rsidR="00806DE1" w:rsidRPr="00B96BBD" w:rsidRDefault="00806DE1" w:rsidP="00806DE1">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B96BBD">
        <w:rPr>
          <w:rFonts w:ascii="Cambria" w:hAnsi="Cambria" w:cstheme="minorHAnsi"/>
        </w:rPr>
        <w:tab/>
        <w:t>5.7</w:t>
      </w:r>
      <w:r w:rsidRPr="00B96BBD">
        <w:rPr>
          <w:rFonts w:ascii="Cambria" w:hAnsi="Cambria" w:cstheme="minorHAnsi"/>
        </w:rPr>
        <w:tab/>
        <w:t>The Chairperson of the Council may attend meetings of the Committee in an ex officio capacity.</w:t>
      </w:r>
    </w:p>
    <w:p w14:paraId="75C53C71" w14:textId="77777777" w:rsidR="00806DE1" w:rsidRPr="00B96BBD" w:rsidRDefault="00806DE1" w:rsidP="00806DE1">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B96BBD">
        <w:rPr>
          <w:rFonts w:ascii="Cambria" w:hAnsi="Cambria" w:cstheme="minorHAnsi"/>
        </w:rPr>
        <w:tab/>
        <w:t>5.8</w:t>
      </w:r>
      <w:r w:rsidRPr="00B96BBD">
        <w:rPr>
          <w:rFonts w:ascii="Cambria" w:hAnsi="Cambria" w:cstheme="minorHAnsi"/>
        </w:rPr>
        <w:tab/>
        <w:t>Up to two [2] consultants may be appointed by the Council to contribute specialised knowledge that is not available among the membership when addressing specific issues.</w:t>
      </w:r>
    </w:p>
    <w:p w14:paraId="2AACA347" w14:textId="77777777" w:rsidR="00806DE1" w:rsidRPr="00B96BBD" w:rsidRDefault="00806DE1" w:rsidP="00806DE1">
      <w:pPr>
        <w:tabs>
          <w:tab w:val="left" w:pos="567"/>
          <w:tab w:val="left" w:pos="1418"/>
          <w:tab w:val="left" w:pos="2268"/>
          <w:tab w:val="left" w:pos="3119"/>
          <w:tab w:val="left" w:pos="3969"/>
        </w:tabs>
        <w:spacing w:after="0" w:line="240" w:lineRule="auto"/>
        <w:ind w:left="567" w:hanging="567"/>
        <w:rPr>
          <w:rFonts w:ascii="Cambria" w:hAnsi="Cambria" w:cstheme="minorHAnsi"/>
        </w:rPr>
      </w:pPr>
    </w:p>
    <w:p w14:paraId="3C00A7BF" w14:textId="0E3CFFAF" w:rsidR="00806DE1" w:rsidRPr="00B96BBD" w:rsidRDefault="00806DE1" w:rsidP="00806DE1">
      <w:pPr>
        <w:tabs>
          <w:tab w:val="left" w:pos="567"/>
          <w:tab w:val="left" w:pos="1418"/>
          <w:tab w:val="left" w:pos="2268"/>
          <w:tab w:val="left" w:pos="3119"/>
          <w:tab w:val="left" w:pos="3969"/>
        </w:tabs>
        <w:spacing w:after="0" w:line="240" w:lineRule="auto"/>
        <w:ind w:left="567" w:hanging="567"/>
        <w:rPr>
          <w:rFonts w:ascii="Cambria" w:hAnsi="Cambria" w:cstheme="minorHAnsi"/>
          <w:b/>
        </w:rPr>
      </w:pPr>
      <w:r>
        <w:rPr>
          <w:rFonts w:ascii="Cambria" w:hAnsi="Cambria" w:cstheme="minorHAnsi"/>
          <w:b/>
        </w:rPr>
        <w:t>6.</w:t>
      </w:r>
      <w:r>
        <w:rPr>
          <w:rFonts w:ascii="Cambria" w:hAnsi="Cambria" w:cstheme="minorHAnsi"/>
          <w:b/>
        </w:rPr>
        <w:tab/>
        <w:t>MEETING</w:t>
      </w:r>
      <w:r w:rsidRPr="00B96BBD">
        <w:rPr>
          <w:rFonts w:ascii="Cambria" w:hAnsi="Cambria" w:cstheme="minorHAnsi"/>
          <w:b/>
        </w:rPr>
        <w:t xml:space="preserve"> ARRANGEMENTS </w:t>
      </w:r>
      <w:r>
        <w:rPr>
          <w:rFonts w:ascii="Cambria" w:hAnsi="Cambria" w:cstheme="minorHAnsi"/>
          <w:b/>
        </w:rPr>
        <w:t>AND</w:t>
      </w:r>
      <w:r w:rsidRPr="00B96BBD">
        <w:rPr>
          <w:rFonts w:ascii="Cambria" w:hAnsi="Cambria" w:cstheme="minorHAnsi"/>
          <w:b/>
        </w:rPr>
        <w:t xml:space="preserve"> REPORTING</w:t>
      </w:r>
    </w:p>
    <w:p w14:paraId="003012C6" w14:textId="77777777" w:rsidR="00806DE1" w:rsidRPr="00B96BBD" w:rsidRDefault="00806DE1" w:rsidP="00806DE1">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B96BBD">
        <w:rPr>
          <w:rFonts w:ascii="Cambria" w:hAnsi="Cambria" w:cstheme="minorHAnsi"/>
        </w:rPr>
        <w:tab/>
        <w:t>6.1</w:t>
      </w:r>
      <w:r w:rsidRPr="00B96BBD">
        <w:rPr>
          <w:rFonts w:ascii="Cambria" w:hAnsi="Cambria" w:cstheme="minorHAnsi"/>
        </w:rPr>
        <w:tab/>
        <w:t xml:space="preserve">Meetings shall be convened by the Chairperson.  </w:t>
      </w:r>
    </w:p>
    <w:p w14:paraId="4F4CD4E0" w14:textId="77777777" w:rsidR="00806DE1" w:rsidRPr="00B96BBD" w:rsidRDefault="00806DE1" w:rsidP="00806DE1">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B96BBD">
        <w:rPr>
          <w:rFonts w:ascii="Cambria" w:hAnsi="Cambria" w:cstheme="minorHAnsi"/>
        </w:rPr>
        <w:lastRenderedPageBreak/>
        <w:tab/>
        <w:t>6.2</w:t>
      </w:r>
      <w:r w:rsidRPr="00B96BBD">
        <w:rPr>
          <w:rFonts w:ascii="Cambria" w:hAnsi="Cambria" w:cstheme="minorHAnsi"/>
        </w:rPr>
        <w:tab/>
        <w:t>It is at the discretion of the Committee to meet face-to-face, by electronic means, or by other means of communication.</w:t>
      </w:r>
    </w:p>
    <w:p w14:paraId="518F6FE4" w14:textId="77777777" w:rsidR="00806DE1" w:rsidRPr="00B96BBD" w:rsidRDefault="00806DE1" w:rsidP="00806DE1">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B96BBD">
        <w:rPr>
          <w:rFonts w:ascii="Cambria" w:hAnsi="Cambria" w:cstheme="minorHAnsi"/>
        </w:rPr>
        <w:tab/>
        <w:t>6.3</w:t>
      </w:r>
      <w:r w:rsidRPr="00B96BBD">
        <w:rPr>
          <w:rFonts w:ascii="Cambria" w:hAnsi="Cambria" w:cstheme="minorHAnsi"/>
        </w:rPr>
        <w:tab/>
        <w:t>Email correspondence may be used for the distribution of minutes, advisory information or approval of documentation.</w:t>
      </w:r>
    </w:p>
    <w:p w14:paraId="06C44FE1" w14:textId="77777777" w:rsidR="00806DE1" w:rsidRPr="00B96BBD" w:rsidRDefault="00806DE1" w:rsidP="00806DE1">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B96BBD">
        <w:rPr>
          <w:rFonts w:ascii="Cambria" w:hAnsi="Cambria" w:cstheme="minorHAnsi"/>
        </w:rPr>
        <w:tab/>
        <w:t>6.4</w:t>
      </w:r>
      <w:r w:rsidRPr="00B96BBD">
        <w:rPr>
          <w:rFonts w:ascii="Cambria" w:hAnsi="Cambria" w:cstheme="minorHAnsi"/>
        </w:rPr>
        <w:tab/>
        <w:t>The minutes of the meetings of the Committee shall be submitted to the Council.</w:t>
      </w:r>
    </w:p>
    <w:p w14:paraId="34391A3E" w14:textId="77777777" w:rsidR="00806DE1" w:rsidRPr="00B96BBD" w:rsidRDefault="00806DE1" w:rsidP="00806DE1">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B96BBD">
        <w:rPr>
          <w:rFonts w:ascii="Cambria" w:hAnsi="Cambria" w:cstheme="minorHAnsi"/>
        </w:rPr>
        <w:tab/>
        <w:t>6.5</w:t>
      </w:r>
      <w:r w:rsidRPr="00B96BBD">
        <w:rPr>
          <w:rFonts w:ascii="Cambria" w:hAnsi="Cambria" w:cstheme="minorHAnsi"/>
        </w:rPr>
        <w:tab/>
        <w:t>Members of the Committee who are engaging with external stakeholders on behalf of the Church and its aged care facilities, shall report on their communications to the Executive Officer of the Church.</w:t>
      </w:r>
    </w:p>
    <w:p w14:paraId="0DB09C83" w14:textId="77777777" w:rsidR="00806DE1" w:rsidRPr="00B96BBD" w:rsidRDefault="00806DE1" w:rsidP="00806DE1">
      <w:pPr>
        <w:tabs>
          <w:tab w:val="left" w:pos="567"/>
          <w:tab w:val="left" w:pos="1418"/>
          <w:tab w:val="left" w:pos="2268"/>
          <w:tab w:val="left" w:pos="3119"/>
          <w:tab w:val="left" w:pos="3969"/>
        </w:tabs>
        <w:spacing w:after="0" w:line="240" w:lineRule="auto"/>
        <w:ind w:left="567" w:hanging="567"/>
        <w:rPr>
          <w:rFonts w:ascii="Cambria" w:hAnsi="Cambria" w:cstheme="minorHAnsi"/>
        </w:rPr>
      </w:pPr>
    </w:p>
    <w:p w14:paraId="4B70F4DA" w14:textId="77777777" w:rsidR="00806DE1" w:rsidRPr="00B96BBD" w:rsidRDefault="00806DE1" w:rsidP="00806DE1">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B96BBD">
        <w:rPr>
          <w:rFonts w:ascii="Cambria" w:hAnsi="Cambria" w:cstheme="minorHAnsi"/>
          <w:b/>
        </w:rPr>
        <w:t>7.</w:t>
      </w:r>
      <w:r w:rsidRPr="00B96BBD">
        <w:rPr>
          <w:rFonts w:ascii="Cambria" w:hAnsi="Cambria" w:cstheme="minorHAnsi"/>
          <w:b/>
        </w:rPr>
        <w:tab/>
        <w:t>RESPONSIBILITIES</w:t>
      </w:r>
    </w:p>
    <w:p w14:paraId="476E2FED" w14:textId="77777777" w:rsidR="00806DE1" w:rsidRPr="00B96BBD" w:rsidRDefault="00806DE1" w:rsidP="00806DE1">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B96BBD">
        <w:rPr>
          <w:rFonts w:ascii="Cambria" w:hAnsi="Cambria" w:cstheme="minorHAnsi"/>
        </w:rPr>
        <w:tab/>
        <w:t>7.1</w:t>
      </w:r>
      <w:r w:rsidRPr="00B96BBD">
        <w:rPr>
          <w:rFonts w:ascii="Cambria" w:hAnsi="Cambria" w:cstheme="minorHAnsi"/>
        </w:rPr>
        <w:tab/>
        <w:t>In the exercise of its responsibilities, the Committee shall develop and maintain relationships with</w:t>
      </w:r>
    </w:p>
    <w:p w14:paraId="6931840B" w14:textId="77777777" w:rsidR="00806DE1" w:rsidRPr="00B96BBD" w:rsidRDefault="00806DE1" w:rsidP="00806DE1">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B96BBD">
        <w:rPr>
          <w:rFonts w:ascii="Cambria" w:hAnsi="Cambria" w:cstheme="minorHAnsi"/>
        </w:rPr>
        <w:tab/>
      </w:r>
      <w:r w:rsidRPr="00B96BBD">
        <w:rPr>
          <w:rFonts w:ascii="Cambria" w:hAnsi="Cambria" w:cstheme="minorHAnsi"/>
        </w:rPr>
        <w:tab/>
        <w:t>7.1.1</w:t>
      </w:r>
      <w:r w:rsidRPr="00B96BBD">
        <w:rPr>
          <w:rFonts w:ascii="Cambria" w:hAnsi="Cambria" w:cstheme="minorHAnsi"/>
        </w:rPr>
        <w:tab/>
        <w:t>Districts of the Church and in particular their aged-care related ministries;</w:t>
      </w:r>
    </w:p>
    <w:p w14:paraId="2BA377E2" w14:textId="77777777" w:rsidR="00806DE1" w:rsidRPr="00B96BBD" w:rsidRDefault="00806DE1" w:rsidP="00806DE1">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B96BBD">
        <w:rPr>
          <w:rFonts w:ascii="Cambria" w:hAnsi="Cambria" w:cstheme="minorHAnsi"/>
        </w:rPr>
        <w:tab/>
      </w:r>
      <w:r w:rsidRPr="00B96BBD">
        <w:rPr>
          <w:rFonts w:ascii="Cambria" w:hAnsi="Cambria" w:cstheme="minorHAnsi"/>
        </w:rPr>
        <w:tab/>
        <w:t xml:space="preserve">7.1.2 </w:t>
      </w:r>
      <w:r w:rsidRPr="00B96BBD">
        <w:rPr>
          <w:rFonts w:ascii="Cambria" w:hAnsi="Cambria" w:cstheme="minorHAnsi"/>
        </w:rPr>
        <w:tab/>
        <w:t>any relevant Church board, committee or agency;</w:t>
      </w:r>
    </w:p>
    <w:p w14:paraId="393AE36E" w14:textId="77777777" w:rsidR="00806DE1" w:rsidRPr="00B96BBD" w:rsidRDefault="00806DE1" w:rsidP="00806DE1">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B96BBD">
        <w:rPr>
          <w:rFonts w:ascii="Cambria" w:hAnsi="Cambria" w:cstheme="minorHAnsi"/>
        </w:rPr>
        <w:tab/>
      </w:r>
      <w:r w:rsidRPr="00B96BBD">
        <w:rPr>
          <w:rFonts w:ascii="Cambria" w:hAnsi="Cambria" w:cstheme="minorHAnsi"/>
        </w:rPr>
        <w:tab/>
        <w:t xml:space="preserve">7.1.3 </w:t>
      </w:r>
      <w:r w:rsidRPr="00B96BBD">
        <w:rPr>
          <w:rFonts w:ascii="Cambria" w:hAnsi="Cambria" w:cstheme="minorHAnsi"/>
        </w:rPr>
        <w:tab/>
        <w:t>Lutheran Aged Care providers;</w:t>
      </w:r>
    </w:p>
    <w:p w14:paraId="2333D3FF" w14:textId="77777777" w:rsidR="00806DE1" w:rsidRPr="00B96BBD" w:rsidRDefault="00806DE1" w:rsidP="00806DE1">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B96BBD">
        <w:rPr>
          <w:rFonts w:ascii="Cambria" w:hAnsi="Cambria" w:cstheme="minorHAnsi"/>
        </w:rPr>
        <w:tab/>
      </w:r>
      <w:r w:rsidRPr="00B96BBD">
        <w:rPr>
          <w:rFonts w:ascii="Cambria" w:hAnsi="Cambria" w:cstheme="minorHAnsi"/>
        </w:rPr>
        <w:tab/>
        <w:t xml:space="preserve">7.1.4 </w:t>
      </w:r>
      <w:r w:rsidRPr="00B96BBD">
        <w:rPr>
          <w:rFonts w:ascii="Cambria" w:hAnsi="Cambria" w:cstheme="minorHAnsi"/>
        </w:rPr>
        <w:tab/>
        <w:t>relevant denominational and sector organisations;  and</w:t>
      </w:r>
    </w:p>
    <w:p w14:paraId="165899BB" w14:textId="77777777" w:rsidR="00806DE1" w:rsidRPr="00B96BBD" w:rsidRDefault="00806DE1" w:rsidP="00806DE1">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B96BBD">
        <w:rPr>
          <w:rFonts w:ascii="Cambria" w:hAnsi="Cambria" w:cstheme="minorHAnsi"/>
        </w:rPr>
        <w:tab/>
      </w:r>
      <w:r w:rsidRPr="00B96BBD">
        <w:rPr>
          <w:rFonts w:ascii="Cambria" w:hAnsi="Cambria" w:cstheme="minorHAnsi"/>
        </w:rPr>
        <w:tab/>
        <w:t xml:space="preserve">7.1.5  </w:t>
      </w:r>
      <w:r w:rsidRPr="00B96BBD">
        <w:rPr>
          <w:rFonts w:ascii="Cambria" w:hAnsi="Cambria" w:cstheme="minorHAnsi"/>
        </w:rPr>
        <w:tab/>
        <w:t>Commonwealth Government and relevant State Governments and their aged care agencies.</w:t>
      </w:r>
    </w:p>
    <w:p w14:paraId="600E6855" w14:textId="77777777" w:rsidR="00806DE1" w:rsidRPr="00B96BBD" w:rsidRDefault="00806DE1" w:rsidP="00806DE1">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B96BBD">
        <w:rPr>
          <w:rFonts w:ascii="Cambria" w:hAnsi="Cambria" w:cstheme="minorHAnsi"/>
        </w:rPr>
        <w:tab/>
        <w:t>7.2</w:t>
      </w:r>
      <w:r w:rsidRPr="00B96BBD">
        <w:rPr>
          <w:rFonts w:ascii="Cambria" w:hAnsi="Cambria" w:cstheme="minorHAnsi"/>
        </w:rPr>
        <w:tab/>
        <w:t>The responsibilities of the Committee shall be in the following areas:</w:t>
      </w:r>
    </w:p>
    <w:p w14:paraId="23C57712" w14:textId="77777777" w:rsidR="00806DE1" w:rsidRPr="00B96BBD" w:rsidRDefault="00806DE1" w:rsidP="00806DE1">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B96BBD">
        <w:rPr>
          <w:rFonts w:ascii="Cambria" w:hAnsi="Cambria" w:cstheme="minorHAnsi"/>
        </w:rPr>
        <w:tab/>
      </w:r>
      <w:r w:rsidRPr="00B96BBD">
        <w:rPr>
          <w:rFonts w:ascii="Cambria" w:hAnsi="Cambria" w:cstheme="minorHAnsi"/>
        </w:rPr>
        <w:tab/>
        <w:t>7.2.1</w:t>
      </w:r>
      <w:r w:rsidRPr="00B96BBD">
        <w:rPr>
          <w:rFonts w:ascii="Cambria" w:hAnsi="Cambria" w:cstheme="minorHAnsi"/>
        </w:rPr>
        <w:tab/>
        <w:t>In Strategy and Planning, it shall</w:t>
      </w:r>
    </w:p>
    <w:p w14:paraId="6975C07C" w14:textId="77777777" w:rsidR="00806DE1" w:rsidRPr="00B96BBD" w:rsidRDefault="00806DE1" w:rsidP="00806DE1">
      <w:pPr>
        <w:tabs>
          <w:tab w:val="left" w:pos="567"/>
          <w:tab w:val="left" w:pos="1418"/>
          <w:tab w:val="left" w:pos="2268"/>
          <w:tab w:val="left" w:pos="3119"/>
          <w:tab w:val="left" w:pos="3969"/>
        </w:tabs>
        <w:spacing w:after="0" w:line="240" w:lineRule="auto"/>
        <w:ind w:left="3119" w:hanging="3119"/>
        <w:rPr>
          <w:rFonts w:ascii="Cambria" w:hAnsi="Cambria" w:cstheme="minorHAnsi"/>
        </w:rPr>
      </w:pPr>
      <w:r w:rsidRPr="00B96BBD">
        <w:rPr>
          <w:rFonts w:ascii="Cambria" w:hAnsi="Cambria" w:cstheme="minorHAnsi"/>
        </w:rPr>
        <w:tab/>
      </w:r>
      <w:r w:rsidRPr="00B96BBD">
        <w:rPr>
          <w:rFonts w:ascii="Cambria" w:hAnsi="Cambria" w:cstheme="minorHAnsi"/>
        </w:rPr>
        <w:tab/>
      </w:r>
      <w:r w:rsidRPr="00B96BBD">
        <w:rPr>
          <w:rFonts w:ascii="Cambria" w:hAnsi="Cambria" w:cstheme="minorHAnsi"/>
        </w:rPr>
        <w:tab/>
        <w:t xml:space="preserve">7.2.1.1  </w:t>
      </w:r>
      <w:r w:rsidRPr="00B96BBD">
        <w:rPr>
          <w:rFonts w:ascii="Cambria" w:hAnsi="Cambria" w:cstheme="minorHAnsi"/>
        </w:rPr>
        <w:tab/>
        <w:t>make recommendations to the Council on policies pertaining to ministry to  the ageing;</w:t>
      </w:r>
    </w:p>
    <w:p w14:paraId="656631CE" w14:textId="77777777" w:rsidR="00806DE1" w:rsidRPr="00B96BBD" w:rsidRDefault="00806DE1" w:rsidP="00806DE1">
      <w:pPr>
        <w:tabs>
          <w:tab w:val="left" w:pos="567"/>
          <w:tab w:val="left" w:pos="1418"/>
          <w:tab w:val="left" w:pos="2268"/>
          <w:tab w:val="left" w:pos="3119"/>
          <w:tab w:val="left" w:pos="3969"/>
        </w:tabs>
        <w:spacing w:after="0" w:line="240" w:lineRule="auto"/>
        <w:ind w:left="3119" w:hanging="3119"/>
        <w:rPr>
          <w:rFonts w:ascii="Cambria" w:hAnsi="Cambria" w:cstheme="minorHAnsi"/>
        </w:rPr>
      </w:pPr>
      <w:r w:rsidRPr="00B96BBD">
        <w:rPr>
          <w:rFonts w:ascii="Cambria" w:hAnsi="Cambria" w:cstheme="minorHAnsi"/>
        </w:rPr>
        <w:tab/>
      </w:r>
      <w:r w:rsidRPr="00B96BBD">
        <w:rPr>
          <w:rFonts w:ascii="Cambria" w:hAnsi="Cambria" w:cstheme="minorHAnsi"/>
        </w:rPr>
        <w:tab/>
      </w:r>
      <w:r w:rsidRPr="00B96BBD">
        <w:rPr>
          <w:rFonts w:ascii="Cambria" w:hAnsi="Cambria" w:cstheme="minorHAnsi"/>
        </w:rPr>
        <w:tab/>
        <w:t xml:space="preserve">7.2.1.2  </w:t>
      </w:r>
      <w:r w:rsidRPr="00B96BBD">
        <w:rPr>
          <w:rFonts w:ascii="Cambria" w:hAnsi="Cambria" w:cstheme="minorHAnsi"/>
        </w:rPr>
        <w:tab/>
        <w:t>develop and recommend plans, including proposed budgets, for the work of the Committee that integrate into the overall strategic plan of the Council;  and</w:t>
      </w:r>
    </w:p>
    <w:p w14:paraId="1C91A718" w14:textId="77777777" w:rsidR="00806DE1" w:rsidRPr="00B96BBD" w:rsidRDefault="00806DE1" w:rsidP="00806DE1">
      <w:pPr>
        <w:tabs>
          <w:tab w:val="left" w:pos="567"/>
          <w:tab w:val="left" w:pos="1418"/>
          <w:tab w:val="left" w:pos="2268"/>
          <w:tab w:val="left" w:pos="3119"/>
          <w:tab w:val="left" w:pos="3969"/>
        </w:tabs>
        <w:spacing w:after="0" w:line="240" w:lineRule="auto"/>
        <w:ind w:left="3119" w:hanging="3119"/>
        <w:rPr>
          <w:rFonts w:ascii="Cambria" w:hAnsi="Cambria" w:cstheme="minorHAnsi"/>
        </w:rPr>
      </w:pPr>
      <w:r w:rsidRPr="00B96BBD">
        <w:rPr>
          <w:rFonts w:ascii="Cambria" w:hAnsi="Cambria" w:cstheme="minorHAnsi"/>
        </w:rPr>
        <w:tab/>
      </w:r>
      <w:r w:rsidRPr="00B96BBD">
        <w:rPr>
          <w:rFonts w:ascii="Cambria" w:hAnsi="Cambria" w:cstheme="minorHAnsi"/>
        </w:rPr>
        <w:tab/>
      </w:r>
      <w:r w:rsidRPr="00B96BBD">
        <w:rPr>
          <w:rFonts w:ascii="Cambria" w:hAnsi="Cambria" w:cstheme="minorHAnsi"/>
        </w:rPr>
        <w:tab/>
        <w:t xml:space="preserve">7.2.1.3 </w:t>
      </w:r>
      <w:r w:rsidRPr="00B96BBD">
        <w:rPr>
          <w:rFonts w:ascii="Cambria" w:hAnsi="Cambria" w:cstheme="minorHAnsi"/>
        </w:rPr>
        <w:tab/>
        <w:t>suggest, develop, identify and facilitate specific programs and resources for  use by Lutheran communities involved in ministry with the ageing.</w:t>
      </w:r>
    </w:p>
    <w:p w14:paraId="1AC415D8" w14:textId="77777777" w:rsidR="00806DE1" w:rsidRPr="00B96BBD" w:rsidRDefault="00806DE1" w:rsidP="00806DE1">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B96BBD">
        <w:rPr>
          <w:rFonts w:ascii="Cambria" w:hAnsi="Cambria" w:cstheme="minorHAnsi"/>
        </w:rPr>
        <w:tab/>
      </w:r>
      <w:r w:rsidRPr="00B96BBD">
        <w:rPr>
          <w:rFonts w:ascii="Cambria" w:hAnsi="Cambria" w:cstheme="minorHAnsi"/>
        </w:rPr>
        <w:tab/>
        <w:t>7.2.2</w:t>
      </w:r>
      <w:r w:rsidRPr="00B96BBD">
        <w:rPr>
          <w:rFonts w:ascii="Cambria" w:hAnsi="Cambria" w:cstheme="minorHAnsi"/>
        </w:rPr>
        <w:tab/>
        <w:t>In Training and Development, it shall</w:t>
      </w:r>
    </w:p>
    <w:p w14:paraId="6F86B5F0" w14:textId="77777777" w:rsidR="00806DE1" w:rsidRPr="00B96BBD" w:rsidRDefault="00806DE1" w:rsidP="00806DE1">
      <w:pPr>
        <w:tabs>
          <w:tab w:val="left" w:pos="567"/>
          <w:tab w:val="left" w:pos="1418"/>
          <w:tab w:val="left" w:pos="2268"/>
          <w:tab w:val="left" w:pos="3119"/>
          <w:tab w:val="left" w:pos="3969"/>
        </w:tabs>
        <w:spacing w:after="0" w:line="240" w:lineRule="auto"/>
        <w:ind w:left="3119" w:hanging="3119"/>
        <w:rPr>
          <w:rFonts w:ascii="Cambria" w:hAnsi="Cambria" w:cstheme="minorHAnsi"/>
        </w:rPr>
      </w:pPr>
      <w:r w:rsidRPr="00B96BBD">
        <w:rPr>
          <w:rFonts w:ascii="Cambria" w:hAnsi="Cambria" w:cstheme="minorHAnsi"/>
        </w:rPr>
        <w:tab/>
      </w:r>
      <w:r w:rsidRPr="00B96BBD">
        <w:rPr>
          <w:rFonts w:ascii="Cambria" w:hAnsi="Cambria" w:cstheme="minorHAnsi"/>
        </w:rPr>
        <w:tab/>
      </w:r>
      <w:r w:rsidRPr="00B96BBD">
        <w:rPr>
          <w:rFonts w:ascii="Cambria" w:hAnsi="Cambria" w:cstheme="minorHAnsi"/>
        </w:rPr>
        <w:tab/>
        <w:t xml:space="preserve">7.2.2.1  </w:t>
      </w:r>
      <w:r w:rsidRPr="00B96BBD">
        <w:rPr>
          <w:rFonts w:ascii="Cambria" w:hAnsi="Cambria" w:cstheme="minorHAnsi"/>
        </w:rPr>
        <w:tab/>
        <w:t>identify training and professional development needs for people involved in ministry with the ageing;</w:t>
      </w:r>
    </w:p>
    <w:p w14:paraId="1DFEBA6A" w14:textId="77777777" w:rsidR="00806DE1" w:rsidRPr="00B96BBD" w:rsidRDefault="00806DE1" w:rsidP="00806DE1">
      <w:pPr>
        <w:tabs>
          <w:tab w:val="left" w:pos="567"/>
          <w:tab w:val="left" w:pos="1418"/>
          <w:tab w:val="left" w:pos="2268"/>
          <w:tab w:val="left" w:pos="3119"/>
          <w:tab w:val="left" w:pos="3969"/>
        </w:tabs>
        <w:spacing w:after="0" w:line="240" w:lineRule="auto"/>
        <w:ind w:left="3119" w:hanging="3119"/>
        <w:rPr>
          <w:rFonts w:ascii="Cambria" w:hAnsi="Cambria" w:cstheme="minorHAnsi"/>
        </w:rPr>
      </w:pPr>
      <w:r w:rsidRPr="00B96BBD">
        <w:rPr>
          <w:rFonts w:ascii="Cambria" w:hAnsi="Cambria" w:cstheme="minorHAnsi"/>
        </w:rPr>
        <w:tab/>
      </w:r>
      <w:r w:rsidRPr="00B96BBD">
        <w:rPr>
          <w:rFonts w:ascii="Cambria" w:hAnsi="Cambria" w:cstheme="minorHAnsi"/>
        </w:rPr>
        <w:tab/>
      </w:r>
      <w:r w:rsidRPr="00B96BBD">
        <w:rPr>
          <w:rFonts w:ascii="Cambria" w:hAnsi="Cambria" w:cstheme="minorHAnsi"/>
        </w:rPr>
        <w:tab/>
        <w:t xml:space="preserve">7.2.2.2  </w:t>
      </w:r>
      <w:r w:rsidRPr="00B96BBD">
        <w:rPr>
          <w:rFonts w:ascii="Cambria" w:hAnsi="Cambria" w:cstheme="minorHAnsi"/>
        </w:rPr>
        <w:tab/>
        <w:t>collaborate with educational providers to develop and implement training and development activities;</w:t>
      </w:r>
    </w:p>
    <w:p w14:paraId="504242A8" w14:textId="77777777" w:rsidR="00806DE1" w:rsidRPr="00B96BBD" w:rsidRDefault="00806DE1" w:rsidP="00806DE1">
      <w:pPr>
        <w:tabs>
          <w:tab w:val="left" w:pos="567"/>
          <w:tab w:val="left" w:pos="1418"/>
          <w:tab w:val="left" w:pos="2268"/>
          <w:tab w:val="left" w:pos="3119"/>
          <w:tab w:val="left" w:pos="3969"/>
        </w:tabs>
        <w:spacing w:after="0" w:line="240" w:lineRule="auto"/>
        <w:ind w:left="3119" w:hanging="3119"/>
        <w:rPr>
          <w:rFonts w:ascii="Cambria" w:hAnsi="Cambria" w:cstheme="minorHAnsi"/>
        </w:rPr>
      </w:pPr>
      <w:r w:rsidRPr="00B96BBD">
        <w:rPr>
          <w:rFonts w:ascii="Cambria" w:hAnsi="Cambria" w:cstheme="minorHAnsi"/>
        </w:rPr>
        <w:tab/>
      </w:r>
      <w:r w:rsidRPr="00B96BBD">
        <w:rPr>
          <w:rFonts w:ascii="Cambria" w:hAnsi="Cambria" w:cstheme="minorHAnsi"/>
        </w:rPr>
        <w:tab/>
      </w:r>
      <w:r w:rsidRPr="00B96BBD">
        <w:rPr>
          <w:rFonts w:ascii="Cambria" w:hAnsi="Cambria" w:cstheme="minorHAnsi"/>
        </w:rPr>
        <w:tab/>
        <w:t xml:space="preserve">7.2.2.3 </w:t>
      </w:r>
      <w:r w:rsidRPr="00B96BBD">
        <w:rPr>
          <w:rFonts w:ascii="Cambria" w:hAnsi="Cambria" w:cstheme="minorHAnsi"/>
        </w:rPr>
        <w:tab/>
        <w:t>cooperate with the College of Bishops and Australian Lutheran College in the development and delivery of appropriate materials to assist people working in Lutheran aged care facilities in understanding the theological basis for the care which Lutheran organisations provide;  and</w:t>
      </w:r>
    </w:p>
    <w:p w14:paraId="1904122E" w14:textId="77777777" w:rsidR="00806DE1" w:rsidRPr="00B96BBD" w:rsidRDefault="00806DE1" w:rsidP="00806DE1">
      <w:pPr>
        <w:tabs>
          <w:tab w:val="left" w:pos="567"/>
          <w:tab w:val="left" w:pos="1418"/>
          <w:tab w:val="left" w:pos="2268"/>
          <w:tab w:val="left" w:pos="3119"/>
          <w:tab w:val="left" w:pos="3969"/>
        </w:tabs>
        <w:spacing w:after="0" w:line="240" w:lineRule="auto"/>
        <w:ind w:left="3119" w:hanging="3119"/>
        <w:rPr>
          <w:rFonts w:ascii="Cambria" w:hAnsi="Cambria" w:cstheme="minorHAnsi"/>
        </w:rPr>
      </w:pPr>
      <w:r w:rsidRPr="00B96BBD">
        <w:rPr>
          <w:rFonts w:ascii="Cambria" w:hAnsi="Cambria" w:cstheme="minorHAnsi"/>
        </w:rPr>
        <w:t xml:space="preserve">      </w:t>
      </w:r>
      <w:r w:rsidRPr="00B96BBD">
        <w:rPr>
          <w:rFonts w:ascii="Cambria" w:hAnsi="Cambria" w:cstheme="minorHAnsi"/>
        </w:rPr>
        <w:tab/>
      </w:r>
      <w:r w:rsidRPr="00B96BBD">
        <w:rPr>
          <w:rFonts w:ascii="Cambria" w:hAnsi="Cambria" w:cstheme="minorHAnsi"/>
        </w:rPr>
        <w:tab/>
      </w:r>
      <w:r w:rsidRPr="00B96BBD">
        <w:rPr>
          <w:rFonts w:ascii="Cambria" w:hAnsi="Cambria" w:cstheme="minorHAnsi"/>
        </w:rPr>
        <w:tab/>
        <w:t xml:space="preserve">7.2.2.4  </w:t>
      </w:r>
      <w:r w:rsidRPr="00B96BBD">
        <w:rPr>
          <w:rFonts w:ascii="Cambria" w:hAnsi="Cambria" w:cstheme="minorHAnsi"/>
        </w:rPr>
        <w:tab/>
        <w:t>promote, consider, and approve applications for scholarships from the Aged Care Chaplaincy Scholarship Fund.</w:t>
      </w:r>
    </w:p>
    <w:p w14:paraId="4C3A3ECF" w14:textId="77777777" w:rsidR="00806DE1" w:rsidRPr="00B96BBD" w:rsidRDefault="00806DE1" w:rsidP="00806DE1">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B96BBD">
        <w:rPr>
          <w:rFonts w:ascii="Cambria" w:hAnsi="Cambria" w:cstheme="minorHAnsi"/>
        </w:rPr>
        <w:tab/>
      </w:r>
      <w:r w:rsidRPr="00B96BBD">
        <w:rPr>
          <w:rFonts w:ascii="Cambria" w:hAnsi="Cambria" w:cstheme="minorHAnsi"/>
        </w:rPr>
        <w:tab/>
        <w:t>7.2.3</w:t>
      </w:r>
      <w:r w:rsidRPr="00B96BBD">
        <w:rPr>
          <w:rFonts w:ascii="Cambria" w:hAnsi="Cambria" w:cstheme="minorHAnsi"/>
        </w:rPr>
        <w:tab/>
        <w:t>In Networking, Collaboration and Communications in the Church, it shall</w:t>
      </w:r>
    </w:p>
    <w:p w14:paraId="71886BB4" w14:textId="77777777" w:rsidR="00806DE1" w:rsidRPr="00B96BBD" w:rsidRDefault="00806DE1" w:rsidP="00806DE1">
      <w:pPr>
        <w:tabs>
          <w:tab w:val="left" w:pos="567"/>
          <w:tab w:val="left" w:pos="1418"/>
          <w:tab w:val="left" w:pos="2268"/>
          <w:tab w:val="left" w:pos="3119"/>
          <w:tab w:val="left" w:pos="3969"/>
        </w:tabs>
        <w:spacing w:after="0" w:line="240" w:lineRule="auto"/>
        <w:ind w:left="3119" w:hanging="3119"/>
        <w:rPr>
          <w:rFonts w:ascii="Cambria" w:hAnsi="Cambria" w:cstheme="minorHAnsi"/>
        </w:rPr>
      </w:pPr>
      <w:r w:rsidRPr="00B96BBD">
        <w:rPr>
          <w:rFonts w:ascii="Cambria" w:hAnsi="Cambria" w:cstheme="minorHAnsi"/>
        </w:rPr>
        <w:tab/>
      </w:r>
      <w:r w:rsidRPr="00B96BBD">
        <w:rPr>
          <w:rFonts w:ascii="Cambria" w:hAnsi="Cambria" w:cstheme="minorHAnsi"/>
        </w:rPr>
        <w:tab/>
      </w:r>
      <w:r w:rsidRPr="00B96BBD">
        <w:rPr>
          <w:rFonts w:ascii="Cambria" w:hAnsi="Cambria" w:cstheme="minorHAnsi"/>
        </w:rPr>
        <w:tab/>
        <w:t xml:space="preserve">7.2.3.1  </w:t>
      </w:r>
      <w:r w:rsidRPr="00B96BBD">
        <w:rPr>
          <w:rFonts w:ascii="Cambria" w:hAnsi="Cambria" w:cstheme="minorHAnsi"/>
        </w:rPr>
        <w:tab/>
        <w:t>act as a national point of reference in the Church for issues related to ministry with the ageing;</w:t>
      </w:r>
    </w:p>
    <w:p w14:paraId="1998D6CC" w14:textId="77777777" w:rsidR="00806DE1" w:rsidRPr="00B96BBD" w:rsidRDefault="00806DE1" w:rsidP="00806DE1">
      <w:pPr>
        <w:tabs>
          <w:tab w:val="left" w:pos="567"/>
          <w:tab w:val="left" w:pos="1418"/>
          <w:tab w:val="left" w:pos="2268"/>
          <w:tab w:val="left" w:pos="3119"/>
          <w:tab w:val="left" w:pos="3969"/>
        </w:tabs>
        <w:spacing w:after="0" w:line="240" w:lineRule="auto"/>
        <w:ind w:left="3119" w:hanging="3119"/>
        <w:rPr>
          <w:rFonts w:ascii="Cambria" w:hAnsi="Cambria" w:cstheme="minorHAnsi"/>
        </w:rPr>
      </w:pPr>
      <w:r w:rsidRPr="00B96BBD">
        <w:rPr>
          <w:rFonts w:ascii="Cambria" w:hAnsi="Cambria" w:cstheme="minorHAnsi"/>
        </w:rPr>
        <w:tab/>
      </w:r>
      <w:r w:rsidRPr="00B96BBD">
        <w:rPr>
          <w:rFonts w:ascii="Cambria" w:hAnsi="Cambria" w:cstheme="minorHAnsi"/>
        </w:rPr>
        <w:tab/>
      </w:r>
      <w:r w:rsidRPr="00B96BBD">
        <w:rPr>
          <w:rFonts w:ascii="Cambria" w:hAnsi="Cambria" w:cstheme="minorHAnsi"/>
        </w:rPr>
        <w:tab/>
        <w:t xml:space="preserve">7.2.3.2  </w:t>
      </w:r>
      <w:r w:rsidRPr="00B96BBD">
        <w:rPr>
          <w:rFonts w:ascii="Cambria" w:hAnsi="Cambria" w:cstheme="minorHAnsi"/>
        </w:rPr>
        <w:tab/>
        <w:t>promote effective ministry with the ageing through development of innovative mission partnership models between Lutheran institutions and services such as schools, congregations, and aged care facilities;  and</w:t>
      </w:r>
    </w:p>
    <w:p w14:paraId="17751412" w14:textId="77777777" w:rsidR="00806DE1" w:rsidRPr="00B96BBD" w:rsidRDefault="00806DE1" w:rsidP="00806DE1">
      <w:pPr>
        <w:tabs>
          <w:tab w:val="left" w:pos="567"/>
          <w:tab w:val="left" w:pos="1418"/>
          <w:tab w:val="left" w:pos="2268"/>
          <w:tab w:val="left" w:pos="3119"/>
          <w:tab w:val="left" w:pos="3969"/>
        </w:tabs>
        <w:spacing w:after="0" w:line="240" w:lineRule="auto"/>
        <w:ind w:left="3119" w:hanging="3119"/>
        <w:rPr>
          <w:rFonts w:ascii="Cambria" w:hAnsi="Cambria" w:cstheme="minorHAnsi"/>
        </w:rPr>
      </w:pPr>
      <w:r w:rsidRPr="00B96BBD">
        <w:rPr>
          <w:rFonts w:ascii="Cambria" w:hAnsi="Cambria" w:cstheme="minorHAnsi"/>
        </w:rPr>
        <w:tab/>
      </w:r>
      <w:r w:rsidRPr="00B96BBD">
        <w:rPr>
          <w:rFonts w:ascii="Cambria" w:hAnsi="Cambria" w:cstheme="minorHAnsi"/>
        </w:rPr>
        <w:tab/>
      </w:r>
      <w:r w:rsidRPr="00B96BBD">
        <w:rPr>
          <w:rFonts w:ascii="Cambria" w:hAnsi="Cambria" w:cstheme="minorHAnsi"/>
        </w:rPr>
        <w:tab/>
        <w:t xml:space="preserve">7.2.3.3  </w:t>
      </w:r>
      <w:r w:rsidRPr="00B96BBD">
        <w:rPr>
          <w:rFonts w:ascii="Cambria" w:hAnsi="Cambria" w:cstheme="minorHAnsi"/>
        </w:rPr>
        <w:tab/>
        <w:t>work with the Communications Department to facilitate greater awareness within the Church about the different ways and contexts in which ministry with the ageing can and is occurring.</w:t>
      </w:r>
    </w:p>
    <w:p w14:paraId="018FC6B7" w14:textId="77777777" w:rsidR="00806DE1" w:rsidRPr="00B96BBD" w:rsidRDefault="00806DE1" w:rsidP="00806DE1">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B96BBD">
        <w:rPr>
          <w:rFonts w:ascii="Cambria" w:hAnsi="Cambria" w:cstheme="minorHAnsi"/>
        </w:rPr>
        <w:tab/>
      </w:r>
      <w:r w:rsidRPr="00B96BBD">
        <w:rPr>
          <w:rFonts w:ascii="Cambria" w:hAnsi="Cambria" w:cstheme="minorHAnsi"/>
        </w:rPr>
        <w:tab/>
        <w:t>7.2.4</w:t>
      </w:r>
      <w:r w:rsidRPr="00B96BBD">
        <w:rPr>
          <w:rFonts w:ascii="Cambria" w:hAnsi="Cambria" w:cstheme="minorHAnsi"/>
        </w:rPr>
        <w:tab/>
        <w:t>In External Networking and Advocacy, it shall</w:t>
      </w:r>
    </w:p>
    <w:p w14:paraId="03C71B99" w14:textId="77777777" w:rsidR="00806DE1" w:rsidRPr="00B96BBD" w:rsidRDefault="00806DE1" w:rsidP="00806DE1">
      <w:pPr>
        <w:tabs>
          <w:tab w:val="left" w:pos="567"/>
          <w:tab w:val="left" w:pos="1418"/>
          <w:tab w:val="left" w:pos="2268"/>
          <w:tab w:val="left" w:pos="3119"/>
          <w:tab w:val="left" w:pos="3969"/>
        </w:tabs>
        <w:spacing w:after="0" w:line="240" w:lineRule="auto"/>
        <w:ind w:left="3119" w:hanging="3119"/>
        <w:rPr>
          <w:rFonts w:ascii="Cambria" w:hAnsi="Cambria" w:cstheme="minorHAnsi"/>
        </w:rPr>
      </w:pPr>
      <w:r w:rsidRPr="00B96BBD">
        <w:rPr>
          <w:rFonts w:ascii="Cambria" w:hAnsi="Cambria" w:cstheme="minorHAnsi"/>
        </w:rPr>
        <w:lastRenderedPageBreak/>
        <w:tab/>
      </w:r>
      <w:r w:rsidRPr="00B96BBD">
        <w:rPr>
          <w:rFonts w:ascii="Cambria" w:hAnsi="Cambria" w:cstheme="minorHAnsi"/>
        </w:rPr>
        <w:tab/>
      </w:r>
      <w:r w:rsidRPr="00B96BBD">
        <w:rPr>
          <w:rFonts w:ascii="Cambria" w:hAnsi="Cambria" w:cstheme="minorHAnsi"/>
        </w:rPr>
        <w:tab/>
        <w:t>7.2.4.1</w:t>
      </w:r>
      <w:r w:rsidRPr="00B96BBD">
        <w:rPr>
          <w:rFonts w:ascii="Cambria" w:hAnsi="Cambria" w:cstheme="minorHAnsi"/>
        </w:rPr>
        <w:tab/>
        <w:t>advocate nationally on ageing issues on behalf of the Church;</w:t>
      </w:r>
    </w:p>
    <w:p w14:paraId="087A6A25" w14:textId="77777777" w:rsidR="00806DE1" w:rsidRPr="00B96BBD" w:rsidRDefault="00806DE1" w:rsidP="00806DE1">
      <w:pPr>
        <w:tabs>
          <w:tab w:val="left" w:pos="567"/>
          <w:tab w:val="left" w:pos="1418"/>
          <w:tab w:val="left" w:pos="2268"/>
          <w:tab w:val="left" w:pos="3119"/>
          <w:tab w:val="left" w:pos="3969"/>
        </w:tabs>
        <w:spacing w:after="0" w:line="240" w:lineRule="auto"/>
        <w:ind w:left="3119" w:hanging="3119"/>
        <w:rPr>
          <w:rFonts w:ascii="Cambria" w:hAnsi="Cambria" w:cstheme="minorHAnsi"/>
        </w:rPr>
      </w:pPr>
      <w:r w:rsidRPr="00B96BBD">
        <w:rPr>
          <w:rFonts w:ascii="Cambria" w:hAnsi="Cambria" w:cstheme="minorHAnsi"/>
        </w:rPr>
        <w:tab/>
      </w:r>
      <w:r w:rsidRPr="00B96BBD">
        <w:rPr>
          <w:rFonts w:ascii="Cambria" w:hAnsi="Cambria" w:cstheme="minorHAnsi"/>
        </w:rPr>
        <w:tab/>
      </w:r>
      <w:r w:rsidRPr="00B96BBD">
        <w:rPr>
          <w:rFonts w:ascii="Cambria" w:hAnsi="Cambria" w:cstheme="minorHAnsi"/>
        </w:rPr>
        <w:tab/>
        <w:t>7.2.4.2</w:t>
      </w:r>
      <w:r w:rsidRPr="00B96BBD">
        <w:rPr>
          <w:rFonts w:ascii="Cambria" w:hAnsi="Cambria" w:cstheme="minorHAnsi"/>
        </w:rPr>
        <w:tab/>
        <w:t>represent the Church to facilitate communications with government on ageing-related issues;  and</w:t>
      </w:r>
    </w:p>
    <w:p w14:paraId="5B46B6D5" w14:textId="77777777" w:rsidR="00806DE1" w:rsidRPr="00B96BBD" w:rsidRDefault="00806DE1" w:rsidP="00806DE1">
      <w:pPr>
        <w:tabs>
          <w:tab w:val="left" w:pos="567"/>
          <w:tab w:val="left" w:pos="1418"/>
          <w:tab w:val="left" w:pos="2268"/>
          <w:tab w:val="left" w:pos="3119"/>
          <w:tab w:val="left" w:pos="3969"/>
        </w:tabs>
        <w:spacing w:after="0" w:line="240" w:lineRule="auto"/>
        <w:ind w:left="3119" w:hanging="3119"/>
        <w:rPr>
          <w:rFonts w:ascii="Cambria" w:hAnsi="Cambria" w:cstheme="minorHAnsi"/>
        </w:rPr>
      </w:pPr>
      <w:r w:rsidRPr="00B96BBD">
        <w:rPr>
          <w:rFonts w:ascii="Cambria" w:hAnsi="Cambria" w:cstheme="minorHAnsi"/>
        </w:rPr>
        <w:tab/>
      </w:r>
      <w:r w:rsidRPr="00B96BBD">
        <w:rPr>
          <w:rFonts w:ascii="Cambria" w:hAnsi="Cambria" w:cstheme="minorHAnsi"/>
        </w:rPr>
        <w:tab/>
      </w:r>
      <w:r w:rsidRPr="00B96BBD">
        <w:rPr>
          <w:rFonts w:ascii="Cambria" w:hAnsi="Cambria" w:cstheme="minorHAnsi"/>
        </w:rPr>
        <w:tab/>
        <w:t xml:space="preserve">7.2.4.3 </w:t>
      </w:r>
      <w:r w:rsidRPr="00B96BBD">
        <w:rPr>
          <w:rFonts w:ascii="Cambria" w:hAnsi="Cambria" w:cstheme="minorHAnsi"/>
        </w:rPr>
        <w:tab/>
        <w:t>engage with aged care networks as required.</w:t>
      </w:r>
    </w:p>
    <w:p w14:paraId="42E0FC73" w14:textId="77777777" w:rsidR="00806DE1" w:rsidRPr="00B96BBD" w:rsidRDefault="00806DE1" w:rsidP="00806DE1">
      <w:pPr>
        <w:tabs>
          <w:tab w:val="left" w:pos="567"/>
          <w:tab w:val="left" w:pos="1418"/>
          <w:tab w:val="left" w:pos="2268"/>
          <w:tab w:val="left" w:pos="3119"/>
          <w:tab w:val="left" w:pos="3969"/>
        </w:tabs>
        <w:spacing w:after="0" w:line="240" w:lineRule="auto"/>
        <w:ind w:left="567" w:hanging="567"/>
        <w:rPr>
          <w:rFonts w:ascii="Cambria" w:hAnsi="Cambria" w:cstheme="minorHAnsi"/>
        </w:rPr>
      </w:pPr>
    </w:p>
    <w:p w14:paraId="4C41A97C" w14:textId="77777777" w:rsidR="00806DE1" w:rsidRPr="00B96BBD" w:rsidRDefault="00806DE1" w:rsidP="00806DE1">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B96BBD">
        <w:rPr>
          <w:rFonts w:ascii="Cambria" w:hAnsi="Cambria" w:cstheme="minorHAnsi"/>
          <w:b/>
        </w:rPr>
        <w:t>8.</w:t>
      </w:r>
      <w:r w:rsidRPr="00B96BBD">
        <w:rPr>
          <w:rFonts w:ascii="Cambria" w:hAnsi="Cambria" w:cstheme="minorHAnsi"/>
          <w:b/>
        </w:rPr>
        <w:tab/>
        <w:t>REVIEW</w:t>
      </w:r>
    </w:p>
    <w:p w14:paraId="0E0FCE7F" w14:textId="77777777" w:rsidR="00806DE1" w:rsidRPr="00B96BBD" w:rsidRDefault="00806DE1" w:rsidP="00806DE1">
      <w:pPr>
        <w:tabs>
          <w:tab w:val="left" w:pos="567"/>
          <w:tab w:val="left" w:pos="1418"/>
          <w:tab w:val="left" w:pos="2268"/>
          <w:tab w:val="left" w:pos="3119"/>
          <w:tab w:val="left" w:pos="3969"/>
        </w:tabs>
        <w:spacing w:after="0" w:line="240" w:lineRule="auto"/>
        <w:ind w:left="1418" w:hanging="1418"/>
        <w:rPr>
          <w:rFonts w:ascii="Cambria" w:eastAsia="Calibri" w:hAnsi="Cambria" w:cstheme="minorHAnsi"/>
        </w:rPr>
      </w:pPr>
      <w:r w:rsidRPr="00B96BBD">
        <w:rPr>
          <w:rFonts w:ascii="Cambria" w:hAnsi="Cambria" w:cstheme="minorHAnsi"/>
        </w:rPr>
        <w:tab/>
        <w:t>8.1</w:t>
      </w:r>
      <w:r w:rsidRPr="00B96BBD">
        <w:rPr>
          <w:rFonts w:ascii="Cambria" w:hAnsi="Cambria" w:cstheme="minorHAnsi"/>
        </w:rPr>
        <w:tab/>
      </w:r>
      <w:r w:rsidRPr="00B96BBD">
        <w:rPr>
          <w:rFonts w:ascii="Cambria" w:eastAsia="Calibri" w:hAnsi="Cambria" w:cstheme="minorHAnsi"/>
        </w:rPr>
        <w:t xml:space="preserve">The Terms of Reference for the Committee shall be reviewed during each Synodical term. </w:t>
      </w:r>
    </w:p>
    <w:p w14:paraId="0F718674" w14:textId="77777777" w:rsidR="00806DE1" w:rsidRPr="00B96BBD" w:rsidRDefault="00806DE1" w:rsidP="00806DE1">
      <w:pPr>
        <w:tabs>
          <w:tab w:val="left" w:pos="567"/>
          <w:tab w:val="left" w:pos="1418"/>
          <w:tab w:val="left" w:pos="2268"/>
          <w:tab w:val="left" w:pos="3119"/>
          <w:tab w:val="left" w:pos="3969"/>
        </w:tabs>
        <w:spacing w:after="0" w:line="240" w:lineRule="auto"/>
        <w:ind w:left="1418" w:hanging="1418"/>
        <w:rPr>
          <w:rFonts w:ascii="Cambria" w:hAnsi="Cambria"/>
        </w:rPr>
      </w:pPr>
      <w:r w:rsidRPr="00B96BBD">
        <w:rPr>
          <w:rFonts w:ascii="Cambria" w:eastAsia="Calibri" w:hAnsi="Cambria" w:cstheme="minorHAnsi"/>
        </w:rPr>
        <w:tab/>
        <w:t>8.2</w:t>
      </w:r>
      <w:r w:rsidRPr="00B96BBD">
        <w:rPr>
          <w:rFonts w:ascii="Cambria" w:eastAsia="Calibri" w:hAnsi="Cambria" w:cstheme="minorHAnsi"/>
        </w:rPr>
        <w:tab/>
        <w:t xml:space="preserve">Any changes to the Terms of Reference shall be approved by the Council, upon review by the Standing Committee on Constitutions. </w:t>
      </w:r>
    </w:p>
    <w:p w14:paraId="113FB8FB" w14:textId="2C625168" w:rsidR="00806DE1" w:rsidRDefault="00806DE1" w:rsidP="00806DE1">
      <w:pPr>
        <w:tabs>
          <w:tab w:val="left" w:pos="567"/>
          <w:tab w:val="left" w:pos="1418"/>
          <w:tab w:val="left" w:pos="2268"/>
          <w:tab w:val="left" w:pos="3119"/>
          <w:tab w:val="left" w:pos="3969"/>
        </w:tabs>
        <w:ind w:left="567" w:hanging="567"/>
        <w:rPr>
          <w:rFonts w:ascii="Cambria" w:hAnsi="Cambria"/>
        </w:rPr>
      </w:pPr>
    </w:p>
    <w:p w14:paraId="52D9D8DF" w14:textId="77777777" w:rsidR="008006D9" w:rsidRPr="00B96BBD" w:rsidRDefault="008006D9" w:rsidP="00806DE1">
      <w:pPr>
        <w:tabs>
          <w:tab w:val="left" w:pos="567"/>
          <w:tab w:val="left" w:pos="1418"/>
          <w:tab w:val="left" w:pos="2268"/>
          <w:tab w:val="left" w:pos="3119"/>
          <w:tab w:val="left" w:pos="3969"/>
        </w:tabs>
        <w:ind w:left="567" w:hanging="567"/>
        <w:rPr>
          <w:rFonts w:ascii="Cambria" w:hAnsi="Cambria"/>
        </w:rPr>
      </w:pPr>
    </w:p>
    <w:p w14:paraId="1DAA8FA0" w14:textId="77777777" w:rsidR="00806DE1" w:rsidRPr="00845AB1" w:rsidRDefault="00806DE1" w:rsidP="008275E5">
      <w:pPr>
        <w:tabs>
          <w:tab w:val="left" w:pos="567"/>
          <w:tab w:val="left" w:pos="1418"/>
          <w:tab w:val="left" w:pos="2268"/>
          <w:tab w:val="left" w:pos="3119"/>
          <w:tab w:val="left" w:pos="3969"/>
        </w:tabs>
        <w:spacing w:after="0" w:line="240" w:lineRule="auto"/>
        <w:ind w:left="1418" w:hanging="1418"/>
        <w:rPr>
          <w:rFonts w:ascii="Cambria" w:hAnsi="Cambria" w:cstheme="minorHAnsi"/>
        </w:rPr>
      </w:pPr>
    </w:p>
    <w:p w14:paraId="1065EFFF" w14:textId="0BBBFE7C" w:rsidR="008006D9" w:rsidRPr="000A7211" w:rsidRDefault="008006D9" w:rsidP="008006D9">
      <w:pPr>
        <w:pStyle w:val="Heading2"/>
      </w:pPr>
      <w:r w:rsidRPr="000A7211">
        <w:t>COMMITTEE FOR</w:t>
      </w:r>
      <w:r>
        <w:t xml:space="preserve"> NEW</w:t>
      </w:r>
      <w:r w:rsidRPr="000A7211">
        <w:t xml:space="preserve"> AND RENEWING CHURCHES</w:t>
      </w:r>
    </w:p>
    <w:p w14:paraId="31B4BF49" w14:textId="77777777" w:rsidR="008006D9" w:rsidRPr="000A7211" w:rsidRDefault="008006D9" w:rsidP="008006D9">
      <w:pPr>
        <w:tabs>
          <w:tab w:val="left" w:pos="567"/>
          <w:tab w:val="left" w:pos="1418"/>
          <w:tab w:val="left" w:pos="2268"/>
          <w:tab w:val="left" w:pos="3119"/>
          <w:tab w:val="left" w:pos="3969"/>
        </w:tabs>
        <w:spacing w:after="0" w:line="240" w:lineRule="auto"/>
        <w:ind w:left="567" w:hanging="567"/>
        <w:jc w:val="center"/>
        <w:rPr>
          <w:rFonts w:ascii="Cambria" w:hAnsi="Cambria" w:cstheme="minorHAnsi"/>
          <w:b/>
        </w:rPr>
      </w:pPr>
    </w:p>
    <w:p w14:paraId="7E1B2F74" w14:textId="77777777" w:rsidR="008006D9" w:rsidRPr="000A7211" w:rsidRDefault="008006D9" w:rsidP="008006D9">
      <w:pPr>
        <w:pStyle w:val="Heading3"/>
      </w:pPr>
      <w:r w:rsidRPr="000A7211">
        <w:t>Terms of Reference</w:t>
      </w:r>
    </w:p>
    <w:p w14:paraId="73F87078" w14:textId="77777777" w:rsidR="008006D9" w:rsidRPr="000A7211" w:rsidRDefault="008006D9" w:rsidP="008006D9">
      <w:pPr>
        <w:tabs>
          <w:tab w:val="left" w:pos="567"/>
          <w:tab w:val="left" w:pos="1418"/>
          <w:tab w:val="left" w:pos="2268"/>
          <w:tab w:val="left" w:pos="3119"/>
          <w:tab w:val="left" w:pos="3969"/>
        </w:tabs>
        <w:spacing w:after="0" w:line="240" w:lineRule="auto"/>
        <w:ind w:left="567" w:hanging="567"/>
        <w:jc w:val="center"/>
        <w:rPr>
          <w:rFonts w:ascii="Cambria" w:hAnsi="Cambria" w:cstheme="minorHAnsi"/>
          <w:b/>
        </w:rPr>
      </w:pPr>
    </w:p>
    <w:p w14:paraId="1CFFAB33" w14:textId="77777777" w:rsidR="008006D9" w:rsidRPr="000A7211" w:rsidRDefault="008006D9" w:rsidP="008006D9">
      <w:pPr>
        <w:tabs>
          <w:tab w:val="left" w:pos="567"/>
          <w:tab w:val="left" w:pos="1418"/>
          <w:tab w:val="left" w:pos="2268"/>
          <w:tab w:val="left" w:pos="3119"/>
          <w:tab w:val="left" w:pos="3969"/>
        </w:tabs>
        <w:spacing w:after="0" w:line="240" w:lineRule="auto"/>
        <w:ind w:left="567" w:hanging="567"/>
        <w:jc w:val="center"/>
        <w:rPr>
          <w:rFonts w:ascii="Cambria" w:hAnsi="Cambria" w:cstheme="minorHAnsi"/>
          <w:b/>
        </w:rPr>
      </w:pPr>
    </w:p>
    <w:p w14:paraId="175783E5" w14:textId="77777777" w:rsidR="008006D9" w:rsidRPr="000A7211" w:rsidRDefault="008006D9" w:rsidP="008006D9">
      <w:pPr>
        <w:tabs>
          <w:tab w:val="left" w:pos="567"/>
          <w:tab w:val="left" w:pos="1418"/>
          <w:tab w:val="left" w:pos="2268"/>
          <w:tab w:val="left" w:pos="3119"/>
          <w:tab w:val="left" w:pos="3969"/>
        </w:tabs>
        <w:spacing w:after="0" w:line="240" w:lineRule="auto"/>
        <w:ind w:left="567" w:hanging="567"/>
        <w:rPr>
          <w:rFonts w:ascii="Cambria" w:hAnsi="Cambria" w:cstheme="minorHAnsi"/>
        </w:rPr>
      </w:pPr>
      <w:r w:rsidRPr="000A7211">
        <w:rPr>
          <w:rFonts w:ascii="Cambria" w:hAnsi="Cambria" w:cstheme="minorHAnsi"/>
          <w:b/>
        </w:rPr>
        <w:t>1.</w:t>
      </w:r>
      <w:r w:rsidRPr="000A7211">
        <w:rPr>
          <w:rFonts w:ascii="Cambria" w:hAnsi="Cambria" w:cstheme="minorHAnsi"/>
          <w:b/>
        </w:rPr>
        <w:tab/>
        <w:t>NAME</w:t>
      </w:r>
    </w:p>
    <w:p w14:paraId="136B9CCB" w14:textId="77777777" w:rsidR="008006D9" w:rsidRPr="000A7211" w:rsidRDefault="008006D9" w:rsidP="008006D9">
      <w:pPr>
        <w:tabs>
          <w:tab w:val="left" w:pos="567"/>
          <w:tab w:val="left" w:pos="1418"/>
          <w:tab w:val="left" w:pos="2268"/>
          <w:tab w:val="left" w:pos="3119"/>
          <w:tab w:val="left" w:pos="3969"/>
        </w:tabs>
        <w:spacing w:after="0" w:line="240" w:lineRule="auto"/>
        <w:ind w:left="567" w:hanging="567"/>
        <w:rPr>
          <w:rFonts w:ascii="Cambria" w:hAnsi="Cambria" w:cstheme="minorHAnsi"/>
        </w:rPr>
      </w:pPr>
      <w:r w:rsidRPr="000A7211">
        <w:rPr>
          <w:rFonts w:ascii="Cambria" w:hAnsi="Cambria" w:cstheme="minorHAnsi"/>
        </w:rPr>
        <w:tab/>
        <w:t>Committee for New and Renewing Churches, referred to as “the Committee”.</w:t>
      </w:r>
    </w:p>
    <w:p w14:paraId="226ADEDB" w14:textId="77777777" w:rsidR="008006D9" w:rsidRPr="000A7211" w:rsidRDefault="008006D9" w:rsidP="008006D9">
      <w:pPr>
        <w:tabs>
          <w:tab w:val="left" w:pos="567"/>
          <w:tab w:val="left" w:pos="1418"/>
          <w:tab w:val="left" w:pos="2268"/>
          <w:tab w:val="left" w:pos="3119"/>
          <w:tab w:val="left" w:pos="3969"/>
        </w:tabs>
        <w:spacing w:after="0" w:line="240" w:lineRule="auto"/>
        <w:ind w:left="567" w:hanging="567"/>
        <w:rPr>
          <w:rFonts w:ascii="Cambria" w:hAnsi="Cambria" w:cstheme="minorHAnsi"/>
        </w:rPr>
      </w:pPr>
    </w:p>
    <w:p w14:paraId="78F4397E" w14:textId="77777777" w:rsidR="008006D9" w:rsidRPr="000A7211" w:rsidRDefault="008006D9" w:rsidP="008006D9">
      <w:pPr>
        <w:tabs>
          <w:tab w:val="left" w:pos="567"/>
          <w:tab w:val="left" w:pos="1418"/>
          <w:tab w:val="left" w:pos="2268"/>
          <w:tab w:val="left" w:pos="3119"/>
          <w:tab w:val="left" w:pos="3969"/>
        </w:tabs>
        <w:spacing w:after="0" w:line="240" w:lineRule="auto"/>
        <w:ind w:left="567" w:hanging="567"/>
        <w:rPr>
          <w:rFonts w:ascii="Cambria" w:hAnsi="Cambria" w:cstheme="minorHAnsi"/>
        </w:rPr>
      </w:pPr>
      <w:r w:rsidRPr="000A7211">
        <w:rPr>
          <w:rFonts w:ascii="Cambria" w:hAnsi="Cambria" w:cstheme="minorHAnsi"/>
          <w:b/>
        </w:rPr>
        <w:t>2.</w:t>
      </w:r>
      <w:r w:rsidRPr="000A7211">
        <w:rPr>
          <w:rFonts w:ascii="Cambria" w:hAnsi="Cambria" w:cstheme="minorHAnsi"/>
          <w:b/>
        </w:rPr>
        <w:tab/>
        <w:t>RELATIONSHIP TO THE CHURCH</w:t>
      </w:r>
    </w:p>
    <w:p w14:paraId="4C4E90FB" w14:textId="77777777" w:rsidR="008006D9" w:rsidRPr="000A7211" w:rsidRDefault="008006D9" w:rsidP="008006D9">
      <w:pPr>
        <w:tabs>
          <w:tab w:val="left" w:pos="567"/>
          <w:tab w:val="left" w:pos="1418"/>
          <w:tab w:val="left" w:pos="2268"/>
          <w:tab w:val="left" w:pos="3119"/>
          <w:tab w:val="left" w:pos="3969"/>
        </w:tabs>
        <w:spacing w:after="0" w:line="240" w:lineRule="auto"/>
        <w:ind w:left="567" w:hanging="567"/>
        <w:rPr>
          <w:rFonts w:ascii="Cambria" w:hAnsi="Cambria" w:cstheme="minorHAnsi"/>
        </w:rPr>
      </w:pPr>
      <w:r w:rsidRPr="000A7211">
        <w:rPr>
          <w:rFonts w:ascii="Cambria" w:hAnsi="Cambria" w:cstheme="minorHAnsi"/>
        </w:rPr>
        <w:tab/>
        <w:t>The Committee is a committee of the Council for Local Mission, referred to as “the Council”,</w:t>
      </w:r>
      <w:r w:rsidRPr="000A7211">
        <w:rPr>
          <w:rFonts w:ascii="Cambria" w:hAnsi="Cambria"/>
        </w:rPr>
        <w:t xml:space="preserve"> </w:t>
      </w:r>
      <w:r w:rsidRPr="000A7211">
        <w:rPr>
          <w:rFonts w:ascii="Cambria" w:hAnsi="Cambria" w:cstheme="minorHAnsi"/>
        </w:rPr>
        <w:t xml:space="preserve">and shall fulfil its responsibilities in keeping with the Constitution and the policies of the Church. </w:t>
      </w:r>
    </w:p>
    <w:p w14:paraId="7D1CD0E9" w14:textId="77777777" w:rsidR="008006D9" w:rsidRPr="000A7211" w:rsidRDefault="008006D9" w:rsidP="008006D9">
      <w:pPr>
        <w:tabs>
          <w:tab w:val="left" w:pos="567"/>
          <w:tab w:val="left" w:pos="1418"/>
          <w:tab w:val="left" w:pos="2268"/>
          <w:tab w:val="left" w:pos="3119"/>
          <w:tab w:val="left" w:pos="3969"/>
        </w:tabs>
        <w:spacing w:after="0" w:line="240" w:lineRule="auto"/>
        <w:ind w:left="567" w:hanging="567"/>
        <w:rPr>
          <w:rFonts w:ascii="Cambria" w:hAnsi="Cambria" w:cstheme="minorHAnsi"/>
        </w:rPr>
      </w:pPr>
    </w:p>
    <w:p w14:paraId="558771C8" w14:textId="77777777" w:rsidR="008006D9" w:rsidRPr="000A7211" w:rsidRDefault="008006D9" w:rsidP="008006D9">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0A7211">
        <w:rPr>
          <w:rFonts w:ascii="Cambria" w:hAnsi="Cambria" w:cstheme="minorHAnsi"/>
          <w:b/>
        </w:rPr>
        <w:t>3.</w:t>
      </w:r>
      <w:r w:rsidRPr="000A7211">
        <w:rPr>
          <w:rFonts w:ascii="Cambria" w:hAnsi="Cambria" w:cstheme="minorHAnsi"/>
          <w:b/>
        </w:rPr>
        <w:tab/>
        <w:t>PURPOSE</w:t>
      </w:r>
    </w:p>
    <w:p w14:paraId="4824D84D" w14:textId="77777777" w:rsidR="008006D9" w:rsidRPr="000A7211" w:rsidRDefault="008006D9" w:rsidP="008006D9">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0A7211">
        <w:rPr>
          <w:rFonts w:ascii="Cambria" w:hAnsi="Cambria" w:cstheme="minorHAnsi"/>
        </w:rPr>
        <w:tab/>
        <w:t>3.1</w:t>
      </w:r>
      <w:r w:rsidRPr="000A7211">
        <w:rPr>
          <w:rFonts w:ascii="Cambria" w:hAnsi="Cambria" w:cstheme="minorHAnsi"/>
        </w:rPr>
        <w:tab/>
        <w:t xml:space="preserve">The Committee shall assist the Council to grow and strengthen local communities in the Church and to support its ministries. </w:t>
      </w:r>
    </w:p>
    <w:p w14:paraId="488AE939" w14:textId="77777777" w:rsidR="008006D9" w:rsidRPr="000A7211" w:rsidRDefault="008006D9" w:rsidP="008006D9">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0A7211">
        <w:rPr>
          <w:rFonts w:ascii="Cambria" w:hAnsi="Cambria" w:cstheme="minorHAnsi"/>
        </w:rPr>
        <w:tab/>
        <w:t>3.2</w:t>
      </w:r>
      <w:r w:rsidRPr="000A7211">
        <w:rPr>
          <w:rFonts w:ascii="Cambria" w:hAnsi="Cambria" w:cstheme="minorHAnsi"/>
        </w:rPr>
        <w:tab/>
        <w:t xml:space="preserve">The Committee shall operate under the authority of the Council and shall </w:t>
      </w:r>
    </w:p>
    <w:p w14:paraId="14221517" w14:textId="77777777" w:rsidR="008006D9" w:rsidRPr="000A7211" w:rsidRDefault="008006D9" w:rsidP="008006D9">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0A7211">
        <w:rPr>
          <w:rFonts w:ascii="Cambria" w:hAnsi="Cambria" w:cstheme="minorHAnsi"/>
        </w:rPr>
        <w:tab/>
      </w:r>
      <w:r w:rsidRPr="000A7211">
        <w:rPr>
          <w:rFonts w:ascii="Cambria" w:hAnsi="Cambria" w:cstheme="minorHAnsi"/>
        </w:rPr>
        <w:tab/>
        <w:t>3.2.1</w:t>
      </w:r>
      <w:r w:rsidRPr="000A7211">
        <w:rPr>
          <w:rFonts w:ascii="Cambria" w:hAnsi="Cambria" w:cstheme="minorHAnsi"/>
        </w:rPr>
        <w:tab/>
        <w:t>work with and support the New and Renewing Churches Manager and the Department in its advocacy for growing a missional culture in the Church;</w:t>
      </w:r>
    </w:p>
    <w:p w14:paraId="7A8FBD9D" w14:textId="77777777" w:rsidR="008006D9" w:rsidRPr="000A7211" w:rsidRDefault="008006D9" w:rsidP="008006D9">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0A7211">
        <w:rPr>
          <w:rFonts w:ascii="Cambria" w:hAnsi="Cambria" w:cstheme="minorHAnsi"/>
        </w:rPr>
        <w:tab/>
      </w:r>
      <w:r w:rsidRPr="000A7211">
        <w:rPr>
          <w:rFonts w:ascii="Cambria" w:hAnsi="Cambria" w:cstheme="minorHAnsi"/>
        </w:rPr>
        <w:tab/>
        <w:t>3.2.2</w:t>
      </w:r>
      <w:r w:rsidRPr="000A7211">
        <w:rPr>
          <w:rFonts w:ascii="Cambria" w:hAnsi="Cambria" w:cstheme="minorHAnsi"/>
        </w:rPr>
        <w:tab/>
        <w:t>identify communities with the potential for establishing and growing new missional communities;  and</w:t>
      </w:r>
    </w:p>
    <w:p w14:paraId="776A1AF4" w14:textId="77777777" w:rsidR="008006D9" w:rsidRPr="000A7211" w:rsidRDefault="008006D9" w:rsidP="008006D9">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0A7211">
        <w:rPr>
          <w:rFonts w:ascii="Cambria" w:hAnsi="Cambria" w:cstheme="minorHAnsi"/>
        </w:rPr>
        <w:tab/>
      </w:r>
      <w:r w:rsidRPr="000A7211">
        <w:rPr>
          <w:rFonts w:ascii="Cambria" w:hAnsi="Cambria" w:cstheme="minorHAnsi"/>
        </w:rPr>
        <w:tab/>
        <w:t>3.2.3</w:t>
      </w:r>
      <w:r w:rsidRPr="000A7211">
        <w:rPr>
          <w:rFonts w:ascii="Cambria" w:hAnsi="Cambria" w:cstheme="minorHAnsi"/>
        </w:rPr>
        <w:tab/>
        <w:t>provide specific information and advice to the Council.</w:t>
      </w:r>
    </w:p>
    <w:p w14:paraId="3C990AA3" w14:textId="77777777" w:rsidR="008006D9" w:rsidRPr="000A7211" w:rsidRDefault="008006D9" w:rsidP="008006D9">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0A7211">
        <w:rPr>
          <w:rFonts w:ascii="Cambria" w:hAnsi="Cambria" w:cstheme="minorHAnsi"/>
        </w:rPr>
        <w:tab/>
        <w:t>3.3</w:t>
      </w:r>
      <w:r w:rsidRPr="000A7211">
        <w:rPr>
          <w:rFonts w:ascii="Cambria" w:hAnsi="Cambria" w:cstheme="minorHAnsi"/>
        </w:rPr>
        <w:tab/>
        <w:t>The work of the Committee is to fulfil the mission of the Church in the world.</w:t>
      </w:r>
    </w:p>
    <w:p w14:paraId="5639DCC4" w14:textId="77777777" w:rsidR="008006D9" w:rsidRPr="000A7211" w:rsidRDefault="008006D9" w:rsidP="008006D9">
      <w:pPr>
        <w:tabs>
          <w:tab w:val="left" w:pos="567"/>
          <w:tab w:val="left" w:pos="1418"/>
          <w:tab w:val="left" w:pos="2268"/>
          <w:tab w:val="left" w:pos="3119"/>
          <w:tab w:val="left" w:pos="3969"/>
        </w:tabs>
        <w:spacing w:after="0" w:line="240" w:lineRule="auto"/>
        <w:ind w:left="567" w:hanging="567"/>
        <w:rPr>
          <w:rFonts w:ascii="Cambria" w:hAnsi="Cambria" w:cstheme="minorHAnsi"/>
        </w:rPr>
      </w:pPr>
    </w:p>
    <w:p w14:paraId="04D724F9" w14:textId="77777777" w:rsidR="008006D9" w:rsidRPr="000A7211" w:rsidRDefault="008006D9" w:rsidP="008006D9">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0A7211">
        <w:rPr>
          <w:rFonts w:ascii="Cambria" w:hAnsi="Cambria" w:cstheme="minorHAnsi"/>
          <w:b/>
        </w:rPr>
        <w:t>4.</w:t>
      </w:r>
      <w:r w:rsidRPr="000A7211">
        <w:rPr>
          <w:rFonts w:ascii="Cambria" w:hAnsi="Cambria" w:cstheme="minorHAnsi"/>
          <w:b/>
        </w:rPr>
        <w:tab/>
        <w:t>AUTHORITY</w:t>
      </w:r>
    </w:p>
    <w:p w14:paraId="4CB208CC" w14:textId="77777777" w:rsidR="008006D9" w:rsidRPr="000A7211" w:rsidRDefault="008006D9" w:rsidP="008006D9">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0A7211">
        <w:rPr>
          <w:rFonts w:ascii="Cambria" w:hAnsi="Cambria" w:cstheme="minorHAnsi"/>
        </w:rPr>
        <w:tab/>
        <w:t>4.1</w:t>
      </w:r>
      <w:r w:rsidRPr="000A7211">
        <w:rPr>
          <w:rFonts w:ascii="Cambria" w:hAnsi="Cambria" w:cstheme="minorHAnsi"/>
        </w:rPr>
        <w:tab/>
        <w:t>The Committee may recommend to the Council such approaches and actions based on its considered assessment of opportunity, priority and need.</w:t>
      </w:r>
    </w:p>
    <w:p w14:paraId="6508579E" w14:textId="77777777" w:rsidR="008006D9" w:rsidRPr="000A7211" w:rsidRDefault="008006D9" w:rsidP="008006D9">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0A7211">
        <w:rPr>
          <w:rFonts w:ascii="Cambria" w:hAnsi="Cambria" w:cstheme="minorHAnsi"/>
        </w:rPr>
        <w:tab/>
        <w:t>4.2</w:t>
      </w:r>
      <w:r w:rsidRPr="000A7211">
        <w:rPr>
          <w:rFonts w:ascii="Cambria" w:hAnsi="Cambria" w:cstheme="minorHAnsi"/>
        </w:rPr>
        <w:tab/>
        <w:t>The Council may delegate specific decision-making authority to the Committee under a written delegations policy.</w:t>
      </w:r>
    </w:p>
    <w:p w14:paraId="0C163C9E" w14:textId="77777777" w:rsidR="008006D9" w:rsidRPr="000A7211" w:rsidRDefault="008006D9" w:rsidP="008006D9">
      <w:pPr>
        <w:tabs>
          <w:tab w:val="left" w:pos="567"/>
          <w:tab w:val="left" w:pos="1418"/>
          <w:tab w:val="left" w:pos="2268"/>
          <w:tab w:val="left" w:pos="3119"/>
          <w:tab w:val="left" w:pos="3969"/>
        </w:tabs>
        <w:spacing w:after="0" w:line="240" w:lineRule="auto"/>
        <w:ind w:left="567" w:hanging="567"/>
        <w:rPr>
          <w:rFonts w:ascii="Cambria" w:hAnsi="Cambria" w:cstheme="minorHAnsi"/>
        </w:rPr>
      </w:pPr>
    </w:p>
    <w:p w14:paraId="4C20224F" w14:textId="77777777" w:rsidR="008006D9" w:rsidRPr="000A7211" w:rsidRDefault="008006D9" w:rsidP="008006D9">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0A7211">
        <w:rPr>
          <w:rFonts w:ascii="Cambria" w:hAnsi="Cambria" w:cstheme="minorHAnsi"/>
          <w:b/>
        </w:rPr>
        <w:t>5.</w:t>
      </w:r>
      <w:r w:rsidRPr="000A7211">
        <w:rPr>
          <w:rFonts w:ascii="Cambria" w:hAnsi="Cambria" w:cstheme="minorHAnsi"/>
          <w:b/>
        </w:rPr>
        <w:tab/>
        <w:t>MEMBERSHIP</w:t>
      </w:r>
    </w:p>
    <w:p w14:paraId="07D11149" w14:textId="77777777" w:rsidR="008006D9" w:rsidRPr="000A7211" w:rsidRDefault="008006D9" w:rsidP="008006D9">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0A7211">
        <w:rPr>
          <w:rFonts w:ascii="Cambria" w:hAnsi="Cambria" w:cstheme="minorHAnsi"/>
        </w:rPr>
        <w:tab/>
        <w:t>5.1</w:t>
      </w:r>
      <w:r w:rsidRPr="000A7211">
        <w:rPr>
          <w:rFonts w:ascii="Cambria" w:hAnsi="Cambria" w:cstheme="minorHAnsi"/>
        </w:rPr>
        <w:tab/>
        <w:t xml:space="preserve">The Committee shall consist of seven [7] members: </w:t>
      </w:r>
    </w:p>
    <w:p w14:paraId="7A90D629" w14:textId="77777777" w:rsidR="008006D9" w:rsidRPr="000A7211" w:rsidRDefault="008006D9" w:rsidP="008006D9">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0A7211">
        <w:rPr>
          <w:rFonts w:ascii="Cambria" w:hAnsi="Cambria" w:cstheme="minorHAnsi"/>
        </w:rPr>
        <w:tab/>
      </w:r>
      <w:r w:rsidRPr="000A7211">
        <w:rPr>
          <w:rFonts w:ascii="Cambria" w:hAnsi="Cambria" w:cstheme="minorHAnsi"/>
        </w:rPr>
        <w:tab/>
        <w:t>5.1.1</w:t>
      </w:r>
      <w:r w:rsidRPr="000A7211">
        <w:rPr>
          <w:rFonts w:ascii="Cambria" w:hAnsi="Cambria" w:cstheme="minorHAnsi"/>
        </w:rPr>
        <w:tab/>
        <w:t>a chairperson appointed by the Council who possesses experience and qualities appropriate to the task;</w:t>
      </w:r>
    </w:p>
    <w:p w14:paraId="2174EF63" w14:textId="77777777" w:rsidR="008006D9" w:rsidRPr="000A7211" w:rsidRDefault="008006D9" w:rsidP="008006D9">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0A7211">
        <w:rPr>
          <w:rFonts w:ascii="Cambria" w:hAnsi="Cambria" w:cstheme="minorHAnsi"/>
        </w:rPr>
        <w:tab/>
      </w:r>
      <w:r w:rsidRPr="000A7211">
        <w:rPr>
          <w:rFonts w:ascii="Cambria" w:hAnsi="Cambria" w:cstheme="minorHAnsi"/>
        </w:rPr>
        <w:tab/>
        <w:t>5.1.2</w:t>
      </w:r>
      <w:r w:rsidRPr="000A7211">
        <w:rPr>
          <w:rFonts w:ascii="Cambria" w:hAnsi="Cambria" w:cstheme="minorHAnsi"/>
        </w:rPr>
        <w:tab/>
        <w:t>one [1] pastor currently serving in a local congregation;</w:t>
      </w:r>
    </w:p>
    <w:p w14:paraId="1E10729F" w14:textId="77777777" w:rsidR="008006D9" w:rsidRPr="000A7211" w:rsidRDefault="008006D9" w:rsidP="008006D9">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0A7211">
        <w:rPr>
          <w:rFonts w:ascii="Cambria" w:hAnsi="Cambria" w:cstheme="minorHAnsi"/>
        </w:rPr>
        <w:tab/>
      </w:r>
      <w:r w:rsidRPr="000A7211">
        <w:rPr>
          <w:rFonts w:ascii="Cambria" w:hAnsi="Cambria" w:cstheme="minorHAnsi"/>
        </w:rPr>
        <w:tab/>
        <w:t>5.1.3</w:t>
      </w:r>
      <w:r w:rsidRPr="000A7211">
        <w:rPr>
          <w:rFonts w:ascii="Cambria" w:hAnsi="Cambria" w:cstheme="minorHAnsi"/>
        </w:rPr>
        <w:tab/>
        <w:t>two [2] members with expertise in diverse models of mission in new and established contexts;</w:t>
      </w:r>
    </w:p>
    <w:p w14:paraId="780A0670" w14:textId="77777777" w:rsidR="008006D9" w:rsidRPr="000A7211" w:rsidRDefault="008006D9" w:rsidP="008006D9">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0A7211">
        <w:rPr>
          <w:rFonts w:ascii="Cambria" w:hAnsi="Cambria" w:cstheme="minorHAnsi"/>
        </w:rPr>
        <w:lastRenderedPageBreak/>
        <w:tab/>
      </w:r>
      <w:r w:rsidRPr="000A7211">
        <w:rPr>
          <w:rFonts w:ascii="Cambria" w:hAnsi="Cambria" w:cstheme="minorHAnsi"/>
        </w:rPr>
        <w:tab/>
        <w:t>5.1.4</w:t>
      </w:r>
      <w:r w:rsidRPr="000A7211">
        <w:rPr>
          <w:rFonts w:ascii="Cambria" w:hAnsi="Cambria" w:cstheme="minorHAnsi"/>
        </w:rPr>
        <w:tab/>
        <w:t xml:space="preserve">two [2] members who are practitioners in local mission in new and/or existing </w:t>
      </w:r>
    </w:p>
    <w:p w14:paraId="33A5FE3C" w14:textId="77777777" w:rsidR="008006D9" w:rsidRPr="000A7211" w:rsidRDefault="008006D9" w:rsidP="008006D9">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0A7211">
        <w:rPr>
          <w:rFonts w:ascii="Cambria" w:hAnsi="Cambria" w:cstheme="minorHAnsi"/>
        </w:rPr>
        <w:tab/>
      </w:r>
      <w:r w:rsidRPr="000A7211">
        <w:rPr>
          <w:rFonts w:ascii="Cambria" w:hAnsi="Cambria" w:cstheme="minorHAnsi"/>
        </w:rPr>
        <w:tab/>
      </w:r>
      <w:r w:rsidRPr="000A7211">
        <w:rPr>
          <w:rFonts w:ascii="Cambria" w:hAnsi="Cambria" w:cstheme="minorHAnsi"/>
        </w:rPr>
        <w:tab/>
        <w:t>mission fields;</w:t>
      </w:r>
    </w:p>
    <w:p w14:paraId="02170DE8" w14:textId="77777777" w:rsidR="008006D9" w:rsidRPr="000A7211" w:rsidRDefault="008006D9" w:rsidP="008006D9">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0A7211">
        <w:rPr>
          <w:rFonts w:ascii="Cambria" w:hAnsi="Cambria" w:cstheme="minorHAnsi"/>
        </w:rPr>
        <w:tab/>
      </w:r>
      <w:r w:rsidRPr="000A7211">
        <w:rPr>
          <w:rFonts w:ascii="Cambria" w:hAnsi="Cambria" w:cstheme="minorHAnsi"/>
        </w:rPr>
        <w:tab/>
        <w:t>5.1.5</w:t>
      </w:r>
      <w:r w:rsidRPr="000A7211">
        <w:rPr>
          <w:rFonts w:ascii="Cambria" w:hAnsi="Cambria" w:cstheme="minorHAnsi"/>
        </w:rPr>
        <w:tab/>
        <w:t>one [1] member with experience in strategic planning or organisational management.</w:t>
      </w:r>
    </w:p>
    <w:p w14:paraId="497D230B" w14:textId="77777777" w:rsidR="008006D9" w:rsidRPr="000A7211" w:rsidRDefault="008006D9" w:rsidP="008006D9">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0A7211">
        <w:rPr>
          <w:rFonts w:ascii="Cambria" w:hAnsi="Cambria" w:cstheme="minorHAnsi"/>
        </w:rPr>
        <w:tab/>
        <w:t>5.2</w:t>
      </w:r>
      <w:r w:rsidRPr="000A7211">
        <w:rPr>
          <w:rFonts w:ascii="Cambria" w:hAnsi="Cambria" w:cstheme="minorHAnsi"/>
        </w:rPr>
        <w:tab/>
        <w:t xml:space="preserve">The members of the Committee shall be appointed by the Council, based on recommendations from the Standing Committee on Nominations.  </w:t>
      </w:r>
    </w:p>
    <w:p w14:paraId="60B64BD1" w14:textId="77777777" w:rsidR="008006D9" w:rsidRPr="000A7211" w:rsidRDefault="008006D9" w:rsidP="008006D9">
      <w:pPr>
        <w:tabs>
          <w:tab w:val="left" w:pos="567"/>
          <w:tab w:val="left" w:pos="1418"/>
          <w:tab w:val="left" w:pos="2268"/>
          <w:tab w:val="left" w:pos="3119"/>
          <w:tab w:val="left" w:pos="3969"/>
        </w:tabs>
        <w:spacing w:after="0" w:line="240" w:lineRule="auto"/>
        <w:ind w:left="1418" w:hanging="1418"/>
        <w:rPr>
          <w:rFonts w:ascii="Cambria" w:hAnsi="Cambria"/>
        </w:rPr>
      </w:pPr>
      <w:r w:rsidRPr="000A7211">
        <w:rPr>
          <w:rFonts w:ascii="Cambria" w:hAnsi="Cambria" w:cstheme="minorHAnsi"/>
        </w:rPr>
        <w:tab/>
        <w:t>5.3</w:t>
      </w:r>
      <w:r w:rsidRPr="000A7211">
        <w:rPr>
          <w:rFonts w:ascii="Cambria" w:hAnsi="Cambria" w:cstheme="minorHAnsi"/>
        </w:rPr>
        <w:tab/>
      </w:r>
      <w:r w:rsidRPr="000A7211">
        <w:rPr>
          <w:rFonts w:ascii="Cambria" w:hAnsi="Cambria"/>
        </w:rPr>
        <w:t>The Committee shall consist of people with a passion for ministry and mission.</w:t>
      </w:r>
      <w:r w:rsidRPr="000A7211">
        <w:rPr>
          <w:rFonts w:ascii="Cambria" w:hAnsi="Cambria" w:cstheme="minorHAnsi"/>
        </w:rPr>
        <w:t xml:space="preserve"> </w:t>
      </w:r>
    </w:p>
    <w:p w14:paraId="4C877435" w14:textId="77777777" w:rsidR="008006D9" w:rsidRPr="000A7211" w:rsidRDefault="008006D9" w:rsidP="008006D9">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0A7211">
        <w:rPr>
          <w:rFonts w:ascii="Cambria" w:hAnsi="Cambria" w:cstheme="minorHAnsi"/>
        </w:rPr>
        <w:tab/>
        <w:t>5.4</w:t>
      </w:r>
      <w:r w:rsidRPr="000A7211">
        <w:rPr>
          <w:rFonts w:ascii="Cambria" w:hAnsi="Cambria" w:cstheme="minorHAnsi"/>
        </w:rPr>
        <w:tab/>
        <w:t>The membership shall include a mix of backgrounds and perspectives which, together with the relevant skills, qualifications and experience will enable the Committee to fulfil its role.</w:t>
      </w:r>
    </w:p>
    <w:p w14:paraId="0381E295" w14:textId="77777777" w:rsidR="008006D9" w:rsidRPr="000A7211" w:rsidRDefault="008006D9" w:rsidP="008006D9">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0A7211">
        <w:rPr>
          <w:rFonts w:ascii="Cambria" w:hAnsi="Cambria" w:cstheme="minorHAnsi"/>
        </w:rPr>
        <w:tab/>
        <w:t>5.5</w:t>
      </w:r>
      <w:r w:rsidRPr="000A7211">
        <w:rPr>
          <w:rFonts w:ascii="Cambria" w:hAnsi="Cambria" w:cstheme="minorHAnsi"/>
        </w:rPr>
        <w:tab/>
        <w:t>The term of appointment for all members will be for a Synodical term.</w:t>
      </w:r>
    </w:p>
    <w:p w14:paraId="28DE32FD" w14:textId="77777777" w:rsidR="008006D9" w:rsidRPr="000A7211" w:rsidRDefault="008006D9" w:rsidP="008006D9">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0A7211">
        <w:rPr>
          <w:rFonts w:ascii="Cambria" w:hAnsi="Cambria" w:cstheme="minorHAnsi"/>
        </w:rPr>
        <w:tab/>
        <w:t>5.6</w:t>
      </w:r>
      <w:r w:rsidRPr="000A7211">
        <w:rPr>
          <w:rFonts w:ascii="Cambria" w:hAnsi="Cambria" w:cstheme="minorHAnsi"/>
        </w:rPr>
        <w:tab/>
        <w:t xml:space="preserve">The Executive Officer - Local Mission (EO-LM) and the Manager of the Department shall attend meetings of the Committee.  </w:t>
      </w:r>
    </w:p>
    <w:p w14:paraId="6F56EAF9" w14:textId="77777777" w:rsidR="008006D9" w:rsidRPr="000A7211" w:rsidRDefault="008006D9" w:rsidP="008006D9">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0A7211">
        <w:rPr>
          <w:rFonts w:ascii="Cambria" w:hAnsi="Cambria" w:cstheme="minorHAnsi"/>
        </w:rPr>
        <w:tab/>
        <w:t>5.7</w:t>
      </w:r>
      <w:r w:rsidRPr="000A7211">
        <w:rPr>
          <w:rFonts w:ascii="Cambria" w:hAnsi="Cambria" w:cstheme="minorHAnsi"/>
        </w:rPr>
        <w:tab/>
        <w:t>The Council chairperson may attend meetings of the Committee in an ex officio capacity.</w:t>
      </w:r>
    </w:p>
    <w:p w14:paraId="74815534" w14:textId="77777777" w:rsidR="008006D9" w:rsidRPr="000A7211" w:rsidRDefault="008006D9" w:rsidP="008006D9">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0A7211">
        <w:rPr>
          <w:rFonts w:ascii="Cambria" w:hAnsi="Cambria" w:cstheme="minorHAnsi"/>
        </w:rPr>
        <w:tab/>
        <w:t>5.8</w:t>
      </w:r>
      <w:r w:rsidRPr="000A7211">
        <w:rPr>
          <w:rFonts w:ascii="Cambria" w:hAnsi="Cambria" w:cstheme="minorHAnsi"/>
        </w:rPr>
        <w:tab/>
        <w:t>Up to two [2] consultants may be appointed by the Council to contribute specialised knowledge that is not available among the membership when addressing specific issues.</w:t>
      </w:r>
    </w:p>
    <w:p w14:paraId="20AEAABF" w14:textId="77777777" w:rsidR="008006D9" w:rsidRPr="000A7211" w:rsidRDefault="008006D9" w:rsidP="008006D9">
      <w:pPr>
        <w:tabs>
          <w:tab w:val="left" w:pos="567"/>
          <w:tab w:val="left" w:pos="1418"/>
          <w:tab w:val="left" w:pos="2268"/>
          <w:tab w:val="left" w:pos="3119"/>
          <w:tab w:val="left" w:pos="3969"/>
        </w:tabs>
        <w:spacing w:after="0" w:line="240" w:lineRule="auto"/>
        <w:ind w:left="567" w:hanging="567"/>
        <w:rPr>
          <w:rFonts w:ascii="Cambria" w:hAnsi="Cambria" w:cstheme="minorHAnsi"/>
          <w:b/>
        </w:rPr>
      </w:pPr>
    </w:p>
    <w:p w14:paraId="10FED18F" w14:textId="77777777" w:rsidR="008006D9" w:rsidRPr="000A7211" w:rsidRDefault="008006D9" w:rsidP="008006D9">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0A7211">
        <w:rPr>
          <w:rFonts w:ascii="Cambria" w:hAnsi="Cambria" w:cstheme="minorHAnsi"/>
          <w:b/>
        </w:rPr>
        <w:t>6.</w:t>
      </w:r>
      <w:r w:rsidRPr="000A7211">
        <w:rPr>
          <w:rFonts w:ascii="Cambria" w:hAnsi="Cambria" w:cstheme="minorHAnsi"/>
          <w:b/>
        </w:rPr>
        <w:tab/>
        <w:t>MEETING ARRANGEMENTS AND REPORTING</w:t>
      </w:r>
    </w:p>
    <w:p w14:paraId="1ABA1E50" w14:textId="77777777" w:rsidR="008006D9" w:rsidRPr="000A7211" w:rsidRDefault="008006D9" w:rsidP="008006D9">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0A7211">
        <w:rPr>
          <w:rFonts w:ascii="Cambria" w:hAnsi="Cambria" w:cstheme="minorHAnsi"/>
        </w:rPr>
        <w:tab/>
        <w:t>6.1</w:t>
      </w:r>
      <w:r w:rsidRPr="000A7211">
        <w:rPr>
          <w:rFonts w:ascii="Cambria" w:hAnsi="Cambria" w:cstheme="minorHAnsi"/>
        </w:rPr>
        <w:tab/>
        <w:t xml:space="preserve">Meetings shall be convened by the Chairperson.  </w:t>
      </w:r>
    </w:p>
    <w:p w14:paraId="7129A1DA" w14:textId="77777777" w:rsidR="008006D9" w:rsidRPr="000A7211" w:rsidRDefault="008006D9" w:rsidP="008006D9">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0A7211">
        <w:rPr>
          <w:rFonts w:ascii="Cambria" w:hAnsi="Cambria" w:cstheme="minorHAnsi"/>
        </w:rPr>
        <w:tab/>
        <w:t>6.2</w:t>
      </w:r>
      <w:r w:rsidRPr="000A7211">
        <w:rPr>
          <w:rFonts w:ascii="Cambria" w:hAnsi="Cambria" w:cstheme="minorHAnsi"/>
        </w:rPr>
        <w:tab/>
        <w:t>It is at the discretion of the Committee to meet face-to-face, by electronic means, or by other means of communication.</w:t>
      </w:r>
    </w:p>
    <w:p w14:paraId="65330A46" w14:textId="77777777" w:rsidR="008006D9" w:rsidRPr="000A7211" w:rsidRDefault="008006D9" w:rsidP="008006D9">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0A7211">
        <w:rPr>
          <w:rFonts w:ascii="Cambria" w:hAnsi="Cambria" w:cstheme="minorHAnsi"/>
        </w:rPr>
        <w:tab/>
        <w:t>6.3</w:t>
      </w:r>
      <w:r w:rsidRPr="000A7211">
        <w:rPr>
          <w:rFonts w:ascii="Cambria" w:hAnsi="Cambria" w:cstheme="minorHAnsi"/>
        </w:rPr>
        <w:tab/>
        <w:t>Email correspondence may be used for the distribution of minutes, advisory information or approval of documentation.</w:t>
      </w:r>
    </w:p>
    <w:p w14:paraId="721E16CA" w14:textId="77777777" w:rsidR="008006D9" w:rsidRPr="000A7211" w:rsidRDefault="008006D9" w:rsidP="008006D9">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0A7211">
        <w:rPr>
          <w:rFonts w:ascii="Cambria" w:hAnsi="Cambria" w:cstheme="minorHAnsi"/>
        </w:rPr>
        <w:tab/>
        <w:t>6.4</w:t>
      </w:r>
      <w:r w:rsidRPr="000A7211">
        <w:rPr>
          <w:rFonts w:ascii="Cambria" w:hAnsi="Cambria" w:cstheme="minorHAnsi"/>
        </w:rPr>
        <w:tab/>
        <w:t>The minutes of the meetings of the Committee shall be submitted to the Council.</w:t>
      </w:r>
    </w:p>
    <w:p w14:paraId="075D2ACA" w14:textId="77777777" w:rsidR="008006D9" w:rsidRPr="000A7211" w:rsidRDefault="008006D9" w:rsidP="008006D9">
      <w:pPr>
        <w:tabs>
          <w:tab w:val="left" w:pos="567"/>
          <w:tab w:val="left" w:pos="1418"/>
          <w:tab w:val="left" w:pos="2268"/>
          <w:tab w:val="left" w:pos="3119"/>
          <w:tab w:val="left" w:pos="3969"/>
        </w:tabs>
        <w:spacing w:after="0" w:line="240" w:lineRule="auto"/>
        <w:ind w:left="567" w:hanging="567"/>
        <w:rPr>
          <w:rFonts w:ascii="Cambria" w:hAnsi="Cambria" w:cstheme="minorHAnsi"/>
        </w:rPr>
      </w:pPr>
    </w:p>
    <w:p w14:paraId="1C3F2DF9" w14:textId="77777777" w:rsidR="008006D9" w:rsidRPr="000A7211" w:rsidRDefault="008006D9" w:rsidP="008006D9">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0A7211">
        <w:rPr>
          <w:rFonts w:ascii="Cambria" w:hAnsi="Cambria" w:cstheme="minorHAnsi"/>
          <w:b/>
        </w:rPr>
        <w:t>7.</w:t>
      </w:r>
      <w:r w:rsidRPr="000A7211">
        <w:rPr>
          <w:rFonts w:ascii="Cambria" w:hAnsi="Cambria" w:cstheme="minorHAnsi"/>
          <w:b/>
        </w:rPr>
        <w:tab/>
        <w:t xml:space="preserve">RESPONSIBILITIES </w:t>
      </w:r>
    </w:p>
    <w:p w14:paraId="3ED371D7" w14:textId="77777777" w:rsidR="008006D9" w:rsidRPr="000A7211" w:rsidRDefault="008006D9" w:rsidP="008006D9">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0A7211">
        <w:rPr>
          <w:rFonts w:ascii="Cambria" w:hAnsi="Cambria" w:cstheme="minorHAnsi"/>
        </w:rPr>
        <w:tab/>
        <w:t>7.1</w:t>
      </w:r>
      <w:r w:rsidRPr="000A7211">
        <w:rPr>
          <w:rFonts w:ascii="Cambria" w:hAnsi="Cambria" w:cstheme="minorHAnsi"/>
        </w:rPr>
        <w:tab/>
        <w:t xml:space="preserve">The Committee shall focus on issues relevant to the growing of the Church which includes ensuring that missional opportunities of the Church are established, strengthened and grown within the financial and personnel resources available. </w:t>
      </w:r>
    </w:p>
    <w:p w14:paraId="50C30A6A" w14:textId="77777777" w:rsidR="008006D9" w:rsidRPr="000A7211" w:rsidRDefault="008006D9" w:rsidP="008006D9">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0A7211">
        <w:rPr>
          <w:rFonts w:ascii="Cambria" w:hAnsi="Cambria" w:cstheme="minorHAnsi"/>
        </w:rPr>
        <w:tab/>
        <w:t>7.2</w:t>
      </w:r>
      <w:r w:rsidRPr="000A7211">
        <w:rPr>
          <w:rFonts w:ascii="Cambria" w:hAnsi="Cambria" w:cstheme="minorHAnsi"/>
        </w:rPr>
        <w:tab/>
        <w:t>The Committee shall work with the Manager of the Department and the EO-LM to</w:t>
      </w:r>
    </w:p>
    <w:p w14:paraId="65735F05" w14:textId="77777777" w:rsidR="008006D9" w:rsidRPr="000A7211" w:rsidRDefault="008006D9" w:rsidP="008006D9">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0A7211">
        <w:rPr>
          <w:rFonts w:ascii="Cambria" w:hAnsi="Cambria" w:cstheme="minorHAnsi"/>
        </w:rPr>
        <w:tab/>
      </w:r>
      <w:r w:rsidRPr="000A7211">
        <w:rPr>
          <w:rFonts w:ascii="Cambria" w:hAnsi="Cambria" w:cstheme="minorHAnsi"/>
        </w:rPr>
        <w:tab/>
        <w:t>7.2.1</w:t>
      </w:r>
      <w:r w:rsidRPr="000A7211">
        <w:rPr>
          <w:rFonts w:ascii="Cambria" w:hAnsi="Cambria" w:cstheme="minorHAnsi"/>
        </w:rPr>
        <w:tab/>
        <w:t>provide advice to the Council on relevant strategic directions and policies with respect to new and renewing churches;</w:t>
      </w:r>
    </w:p>
    <w:p w14:paraId="16112CD8" w14:textId="77777777" w:rsidR="008006D9" w:rsidRPr="000A7211" w:rsidRDefault="008006D9" w:rsidP="008006D9">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0A7211">
        <w:rPr>
          <w:rFonts w:ascii="Cambria" w:hAnsi="Cambria" w:cstheme="minorHAnsi"/>
        </w:rPr>
        <w:tab/>
      </w:r>
      <w:r w:rsidRPr="000A7211">
        <w:rPr>
          <w:rFonts w:ascii="Cambria" w:hAnsi="Cambria" w:cstheme="minorHAnsi"/>
        </w:rPr>
        <w:tab/>
        <w:t>7.2.2</w:t>
      </w:r>
      <w:r w:rsidRPr="000A7211">
        <w:rPr>
          <w:rFonts w:ascii="Cambria" w:hAnsi="Cambria" w:cstheme="minorHAnsi"/>
        </w:rPr>
        <w:tab/>
        <w:t>develop and recommend plans and ministry priorities, including the financial and resource support required;</w:t>
      </w:r>
    </w:p>
    <w:p w14:paraId="2BF20EC5" w14:textId="77777777" w:rsidR="008006D9" w:rsidRPr="000A7211" w:rsidRDefault="008006D9" w:rsidP="008006D9">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0A7211">
        <w:rPr>
          <w:rFonts w:ascii="Cambria" w:hAnsi="Cambria" w:cstheme="minorHAnsi"/>
        </w:rPr>
        <w:tab/>
      </w:r>
      <w:r w:rsidRPr="000A7211">
        <w:rPr>
          <w:rFonts w:ascii="Cambria" w:hAnsi="Cambria" w:cstheme="minorHAnsi"/>
        </w:rPr>
        <w:tab/>
        <w:t>7.2.3</w:t>
      </w:r>
      <w:r w:rsidRPr="000A7211">
        <w:rPr>
          <w:rFonts w:ascii="Cambria" w:hAnsi="Cambria" w:cstheme="minorHAnsi"/>
        </w:rPr>
        <w:tab/>
        <w:t>identify church planting opportunities and other mission possibilities, and act as a national point of reference in the Church for new churches and renewing churches;</w:t>
      </w:r>
    </w:p>
    <w:p w14:paraId="002D6D2B" w14:textId="77777777" w:rsidR="008006D9" w:rsidRPr="000A7211" w:rsidRDefault="008006D9" w:rsidP="008006D9">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0A7211">
        <w:rPr>
          <w:rFonts w:ascii="Cambria" w:hAnsi="Cambria" w:cstheme="minorHAnsi"/>
        </w:rPr>
        <w:tab/>
      </w:r>
      <w:r w:rsidRPr="000A7211">
        <w:rPr>
          <w:rFonts w:ascii="Cambria" w:hAnsi="Cambria" w:cstheme="minorHAnsi"/>
        </w:rPr>
        <w:tab/>
        <w:t>7.2.4</w:t>
      </w:r>
      <w:r w:rsidRPr="000A7211">
        <w:rPr>
          <w:rFonts w:ascii="Cambria" w:hAnsi="Cambria" w:cstheme="minorHAnsi"/>
        </w:rPr>
        <w:tab/>
        <w:t>provide practical support for personnel involved in these ministries;</w:t>
      </w:r>
    </w:p>
    <w:p w14:paraId="69C1B6AD" w14:textId="77777777" w:rsidR="008006D9" w:rsidRPr="000A7211" w:rsidRDefault="008006D9" w:rsidP="008006D9">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0A7211">
        <w:rPr>
          <w:rFonts w:ascii="Cambria" w:hAnsi="Cambria" w:cstheme="minorHAnsi"/>
        </w:rPr>
        <w:tab/>
      </w:r>
      <w:r w:rsidRPr="000A7211">
        <w:rPr>
          <w:rFonts w:ascii="Cambria" w:hAnsi="Cambria" w:cstheme="minorHAnsi"/>
        </w:rPr>
        <w:tab/>
        <w:t>7.2.5</w:t>
      </w:r>
      <w:r w:rsidRPr="000A7211">
        <w:rPr>
          <w:rFonts w:ascii="Cambria" w:hAnsi="Cambria" w:cstheme="minorHAnsi"/>
        </w:rPr>
        <w:tab/>
        <w:t>develop effective communication to facilitate sharing of initiatives and mutual support between missional communities;</w:t>
      </w:r>
    </w:p>
    <w:p w14:paraId="478A038F" w14:textId="77777777" w:rsidR="008006D9" w:rsidRPr="000A7211" w:rsidRDefault="008006D9" w:rsidP="008006D9">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0A7211">
        <w:rPr>
          <w:rFonts w:ascii="Cambria" w:hAnsi="Cambria" w:cstheme="minorHAnsi"/>
        </w:rPr>
        <w:tab/>
      </w:r>
      <w:r w:rsidRPr="000A7211">
        <w:rPr>
          <w:rFonts w:ascii="Cambria" w:hAnsi="Cambria" w:cstheme="minorHAnsi"/>
        </w:rPr>
        <w:tab/>
        <w:t>7.2.6</w:t>
      </w:r>
      <w:r w:rsidRPr="000A7211">
        <w:rPr>
          <w:rFonts w:ascii="Cambria" w:hAnsi="Cambria" w:cstheme="minorHAnsi"/>
        </w:rPr>
        <w:tab/>
        <w:t>prioritise and recommend recipients and sums of grants and/or scholarships;</w:t>
      </w:r>
    </w:p>
    <w:p w14:paraId="14B75EB7" w14:textId="77777777" w:rsidR="008006D9" w:rsidRPr="000A7211" w:rsidRDefault="008006D9" w:rsidP="008006D9">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0A7211">
        <w:rPr>
          <w:rFonts w:ascii="Cambria" w:hAnsi="Cambria" w:cstheme="minorHAnsi"/>
        </w:rPr>
        <w:tab/>
      </w:r>
      <w:r w:rsidRPr="000A7211">
        <w:rPr>
          <w:rFonts w:ascii="Cambria" w:hAnsi="Cambria" w:cstheme="minorHAnsi"/>
        </w:rPr>
        <w:tab/>
        <w:t>7.2.7</w:t>
      </w:r>
      <w:r w:rsidRPr="000A7211">
        <w:rPr>
          <w:rFonts w:ascii="Cambria" w:hAnsi="Cambria" w:cstheme="minorHAnsi"/>
        </w:rPr>
        <w:tab/>
        <w:t>promote, review and monitor the work of new and renewing churches;</w:t>
      </w:r>
    </w:p>
    <w:p w14:paraId="59B95D2F" w14:textId="77777777" w:rsidR="008006D9" w:rsidRPr="000A7211" w:rsidRDefault="008006D9" w:rsidP="008006D9">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0A7211">
        <w:rPr>
          <w:rFonts w:ascii="Cambria" w:hAnsi="Cambria" w:cstheme="minorHAnsi"/>
        </w:rPr>
        <w:tab/>
      </w:r>
      <w:r w:rsidRPr="000A7211">
        <w:rPr>
          <w:rFonts w:ascii="Cambria" w:hAnsi="Cambria" w:cstheme="minorHAnsi"/>
        </w:rPr>
        <w:tab/>
        <w:t>7.2.8</w:t>
      </w:r>
      <w:r w:rsidRPr="000A7211">
        <w:rPr>
          <w:rFonts w:ascii="Cambria" w:hAnsi="Cambria" w:cstheme="minorHAnsi"/>
        </w:rPr>
        <w:tab/>
        <w:t xml:space="preserve">review and monitor the work and well-being of the Department staff; </w:t>
      </w:r>
    </w:p>
    <w:p w14:paraId="3738B196" w14:textId="77777777" w:rsidR="008006D9" w:rsidRPr="000A7211" w:rsidRDefault="008006D9" w:rsidP="008006D9">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0A7211">
        <w:rPr>
          <w:rFonts w:ascii="Cambria" w:hAnsi="Cambria" w:cstheme="minorHAnsi"/>
        </w:rPr>
        <w:tab/>
      </w:r>
      <w:r w:rsidRPr="000A7211">
        <w:rPr>
          <w:rFonts w:ascii="Cambria" w:hAnsi="Cambria" w:cstheme="minorHAnsi"/>
        </w:rPr>
        <w:tab/>
        <w:t>7.2.8</w:t>
      </w:r>
      <w:r w:rsidRPr="000A7211">
        <w:rPr>
          <w:rFonts w:ascii="Cambria" w:hAnsi="Cambria" w:cstheme="minorHAnsi"/>
        </w:rPr>
        <w:tab/>
        <w:t>support the performance reviews of the Manager of the Department by the Council;  and</w:t>
      </w:r>
    </w:p>
    <w:p w14:paraId="15019558" w14:textId="77777777" w:rsidR="008006D9" w:rsidRPr="000A7211" w:rsidRDefault="008006D9" w:rsidP="008006D9">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0A7211">
        <w:rPr>
          <w:rFonts w:ascii="Cambria" w:hAnsi="Cambria" w:cstheme="minorHAnsi"/>
        </w:rPr>
        <w:tab/>
      </w:r>
      <w:r w:rsidRPr="000A7211">
        <w:rPr>
          <w:rFonts w:ascii="Cambria" w:hAnsi="Cambria" w:cstheme="minorHAnsi"/>
        </w:rPr>
        <w:tab/>
        <w:t>7.2.9</w:t>
      </w:r>
      <w:r w:rsidRPr="000A7211">
        <w:rPr>
          <w:rFonts w:ascii="Cambria" w:hAnsi="Cambria" w:cstheme="minorHAnsi"/>
        </w:rPr>
        <w:tab/>
        <w:t xml:space="preserve">support the recruitment of the Manager of the Department. </w:t>
      </w:r>
    </w:p>
    <w:p w14:paraId="78CB203D" w14:textId="77777777" w:rsidR="008006D9" w:rsidRPr="000A7211" w:rsidRDefault="008006D9" w:rsidP="008006D9">
      <w:pPr>
        <w:tabs>
          <w:tab w:val="left" w:pos="567"/>
          <w:tab w:val="left" w:pos="1418"/>
          <w:tab w:val="left" w:pos="2268"/>
          <w:tab w:val="left" w:pos="3119"/>
          <w:tab w:val="left" w:pos="3969"/>
        </w:tabs>
        <w:spacing w:after="0" w:line="240" w:lineRule="auto"/>
        <w:ind w:left="567" w:hanging="567"/>
        <w:rPr>
          <w:rFonts w:ascii="Cambria" w:hAnsi="Cambria" w:cstheme="minorHAnsi"/>
        </w:rPr>
      </w:pPr>
    </w:p>
    <w:p w14:paraId="2EF3E26E" w14:textId="77777777" w:rsidR="008006D9" w:rsidRDefault="008006D9" w:rsidP="008006D9">
      <w:pPr>
        <w:tabs>
          <w:tab w:val="left" w:pos="567"/>
          <w:tab w:val="left" w:pos="1418"/>
          <w:tab w:val="left" w:pos="2268"/>
          <w:tab w:val="left" w:pos="3119"/>
          <w:tab w:val="left" w:pos="3969"/>
        </w:tabs>
        <w:spacing w:after="0" w:line="240" w:lineRule="auto"/>
        <w:ind w:left="567" w:hanging="567"/>
        <w:rPr>
          <w:rFonts w:ascii="Cambria" w:hAnsi="Cambria" w:cstheme="minorHAnsi"/>
          <w:b/>
        </w:rPr>
      </w:pPr>
    </w:p>
    <w:p w14:paraId="23A0CB1C" w14:textId="1B4486CB" w:rsidR="008006D9" w:rsidRPr="000A7211" w:rsidRDefault="008006D9" w:rsidP="008006D9">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0A7211">
        <w:rPr>
          <w:rFonts w:ascii="Cambria" w:hAnsi="Cambria" w:cstheme="minorHAnsi"/>
          <w:b/>
        </w:rPr>
        <w:lastRenderedPageBreak/>
        <w:t>8.</w:t>
      </w:r>
      <w:r w:rsidRPr="000A7211">
        <w:rPr>
          <w:rFonts w:ascii="Cambria" w:hAnsi="Cambria" w:cstheme="minorHAnsi"/>
          <w:b/>
        </w:rPr>
        <w:tab/>
        <w:t>REVIEW</w:t>
      </w:r>
    </w:p>
    <w:p w14:paraId="6A9CA9E4" w14:textId="77777777" w:rsidR="008006D9" w:rsidRPr="000A7211" w:rsidRDefault="008006D9" w:rsidP="008006D9">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0A7211">
        <w:rPr>
          <w:rFonts w:ascii="Cambria" w:hAnsi="Cambria" w:cstheme="minorHAnsi"/>
        </w:rPr>
        <w:tab/>
        <w:t>8.1</w:t>
      </w:r>
      <w:r w:rsidRPr="000A7211">
        <w:rPr>
          <w:rFonts w:ascii="Cambria" w:hAnsi="Cambria" w:cstheme="minorHAnsi"/>
        </w:rPr>
        <w:tab/>
        <w:t xml:space="preserve">The Terms of Reference for the Committee shall be reviewed during each Synodical term.  </w:t>
      </w:r>
    </w:p>
    <w:p w14:paraId="172E7CED" w14:textId="28FB6C9B" w:rsidR="008006D9" w:rsidRDefault="008006D9" w:rsidP="008006D9">
      <w:pPr>
        <w:tabs>
          <w:tab w:val="left" w:pos="567"/>
          <w:tab w:val="left" w:pos="1418"/>
          <w:tab w:val="left" w:pos="2268"/>
          <w:tab w:val="left" w:pos="3119"/>
          <w:tab w:val="left" w:pos="3969"/>
        </w:tabs>
        <w:spacing w:after="0" w:line="240" w:lineRule="auto"/>
        <w:ind w:left="1418" w:hanging="1418"/>
        <w:rPr>
          <w:rFonts w:ascii="Cambria" w:hAnsi="Cambria" w:cstheme="minorHAnsi"/>
          <w:b/>
        </w:rPr>
      </w:pPr>
      <w:r w:rsidRPr="000A7211">
        <w:rPr>
          <w:rFonts w:ascii="Cambria" w:hAnsi="Cambria" w:cstheme="minorHAnsi"/>
        </w:rPr>
        <w:tab/>
        <w:t>8.2</w:t>
      </w:r>
      <w:r w:rsidRPr="000A7211">
        <w:rPr>
          <w:rFonts w:ascii="Cambria" w:hAnsi="Cambria" w:cstheme="minorHAnsi"/>
        </w:rPr>
        <w:tab/>
        <w:t>Any changes to the Terms of Reference shall be approved by the Council, upon review by the Standing Committee on Constitutions</w:t>
      </w:r>
      <w:r w:rsidRPr="000A7211">
        <w:rPr>
          <w:rFonts w:ascii="Cambria" w:hAnsi="Cambria" w:cstheme="minorHAnsi"/>
          <w:b/>
        </w:rPr>
        <w:t xml:space="preserve">. </w:t>
      </w:r>
    </w:p>
    <w:p w14:paraId="50823A0B" w14:textId="554C3635" w:rsidR="005A231D" w:rsidRDefault="005A231D" w:rsidP="008006D9">
      <w:pPr>
        <w:tabs>
          <w:tab w:val="left" w:pos="567"/>
          <w:tab w:val="left" w:pos="1418"/>
          <w:tab w:val="left" w:pos="2268"/>
          <w:tab w:val="left" w:pos="3119"/>
          <w:tab w:val="left" w:pos="3969"/>
        </w:tabs>
        <w:spacing w:after="0" w:line="240" w:lineRule="auto"/>
        <w:ind w:left="1418" w:hanging="1418"/>
        <w:rPr>
          <w:rFonts w:ascii="Cambria" w:hAnsi="Cambria" w:cstheme="minorHAnsi"/>
          <w:b/>
        </w:rPr>
      </w:pPr>
    </w:p>
    <w:p w14:paraId="67C86DF6" w14:textId="6C6FAF85" w:rsidR="005A231D" w:rsidRDefault="005A231D" w:rsidP="008006D9">
      <w:pPr>
        <w:tabs>
          <w:tab w:val="left" w:pos="567"/>
          <w:tab w:val="left" w:pos="1418"/>
          <w:tab w:val="left" w:pos="2268"/>
          <w:tab w:val="left" w:pos="3119"/>
          <w:tab w:val="left" w:pos="3969"/>
        </w:tabs>
        <w:spacing w:after="0" w:line="240" w:lineRule="auto"/>
        <w:ind w:left="1418" w:hanging="1418"/>
        <w:rPr>
          <w:rFonts w:ascii="Cambria" w:hAnsi="Cambria" w:cstheme="minorHAnsi"/>
          <w:b/>
        </w:rPr>
      </w:pPr>
    </w:p>
    <w:p w14:paraId="13AD614D" w14:textId="3C5E8876" w:rsidR="005A231D" w:rsidRDefault="005A231D" w:rsidP="008006D9">
      <w:pPr>
        <w:tabs>
          <w:tab w:val="left" w:pos="567"/>
          <w:tab w:val="left" w:pos="1418"/>
          <w:tab w:val="left" w:pos="2268"/>
          <w:tab w:val="left" w:pos="3119"/>
          <w:tab w:val="left" w:pos="3969"/>
        </w:tabs>
        <w:spacing w:after="0" w:line="240" w:lineRule="auto"/>
        <w:ind w:left="1418" w:hanging="1418"/>
        <w:rPr>
          <w:rFonts w:ascii="Cambria" w:hAnsi="Cambria" w:cstheme="minorHAnsi"/>
          <w:b/>
        </w:rPr>
      </w:pPr>
    </w:p>
    <w:p w14:paraId="11A5DBA8" w14:textId="77777777" w:rsidR="005A231D" w:rsidRDefault="005A231D" w:rsidP="008006D9">
      <w:pPr>
        <w:tabs>
          <w:tab w:val="left" w:pos="567"/>
          <w:tab w:val="left" w:pos="1418"/>
          <w:tab w:val="left" w:pos="2268"/>
          <w:tab w:val="left" w:pos="3119"/>
          <w:tab w:val="left" w:pos="3969"/>
        </w:tabs>
        <w:spacing w:after="0" w:line="240" w:lineRule="auto"/>
        <w:ind w:left="1418" w:hanging="1418"/>
        <w:rPr>
          <w:rFonts w:ascii="Cambria" w:hAnsi="Cambria" w:cstheme="minorHAnsi"/>
          <w:b/>
        </w:rPr>
      </w:pPr>
    </w:p>
    <w:p w14:paraId="7FA081CF" w14:textId="1683B7D0" w:rsidR="005A231D" w:rsidRPr="00686451" w:rsidRDefault="005A231D" w:rsidP="005A231D">
      <w:pPr>
        <w:pStyle w:val="Heading2"/>
      </w:pPr>
      <w:r w:rsidRPr="00686451">
        <w:t>STANDING COMMITTEE ON CONSTITUTIONS</w:t>
      </w:r>
    </w:p>
    <w:p w14:paraId="4BA0E94B" w14:textId="77777777" w:rsidR="005A231D" w:rsidRPr="00686451" w:rsidRDefault="005A231D" w:rsidP="005A231D">
      <w:pPr>
        <w:tabs>
          <w:tab w:val="left" w:pos="567"/>
          <w:tab w:val="left" w:pos="1418"/>
          <w:tab w:val="left" w:pos="2268"/>
          <w:tab w:val="left" w:pos="3119"/>
          <w:tab w:val="left" w:pos="3969"/>
        </w:tabs>
        <w:spacing w:after="0" w:line="240" w:lineRule="auto"/>
        <w:ind w:left="567" w:hanging="567"/>
        <w:jc w:val="center"/>
        <w:rPr>
          <w:rFonts w:ascii="Cambria" w:hAnsi="Cambria"/>
          <w:b/>
        </w:rPr>
      </w:pPr>
    </w:p>
    <w:p w14:paraId="7722CF44" w14:textId="77777777" w:rsidR="005A231D" w:rsidRPr="00686451" w:rsidRDefault="005A231D" w:rsidP="005A231D">
      <w:pPr>
        <w:pStyle w:val="Heading3"/>
      </w:pPr>
      <w:r w:rsidRPr="00686451">
        <w:t>Terms of Reference</w:t>
      </w:r>
    </w:p>
    <w:p w14:paraId="0D76488F" w14:textId="77777777" w:rsidR="005A231D" w:rsidRPr="00686451" w:rsidRDefault="005A231D" w:rsidP="005A231D">
      <w:pPr>
        <w:tabs>
          <w:tab w:val="left" w:pos="567"/>
          <w:tab w:val="left" w:pos="1418"/>
          <w:tab w:val="left" w:pos="2268"/>
          <w:tab w:val="left" w:pos="3119"/>
          <w:tab w:val="left" w:pos="3969"/>
        </w:tabs>
        <w:spacing w:after="0" w:line="240" w:lineRule="auto"/>
        <w:ind w:left="567" w:hanging="567"/>
        <w:jc w:val="center"/>
        <w:rPr>
          <w:rFonts w:ascii="Cambria" w:hAnsi="Cambria"/>
          <w:b/>
        </w:rPr>
      </w:pPr>
    </w:p>
    <w:p w14:paraId="0DCA5C4F" w14:textId="77777777" w:rsidR="005A231D" w:rsidRPr="00686451" w:rsidRDefault="005A231D" w:rsidP="005A231D">
      <w:pPr>
        <w:tabs>
          <w:tab w:val="left" w:pos="567"/>
          <w:tab w:val="left" w:pos="1418"/>
          <w:tab w:val="left" w:pos="2268"/>
          <w:tab w:val="left" w:pos="3119"/>
          <w:tab w:val="left" w:pos="3969"/>
        </w:tabs>
        <w:spacing w:after="0" w:line="240" w:lineRule="auto"/>
        <w:ind w:left="567" w:hanging="567"/>
        <w:jc w:val="center"/>
        <w:rPr>
          <w:rFonts w:ascii="Cambria" w:hAnsi="Cambria"/>
          <w:b/>
        </w:rPr>
      </w:pPr>
    </w:p>
    <w:p w14:paraId="27440BAE" w14:textId="77777777" w:rsidR="005A231D" w:rsidRPr="00686451" w:rsidRDefault="005A231D" w:rsidP="005A231D">
      <w:pPr>
        <w:tabs>
          <w:tab w:val="left" w:pos="567"/>
          <w:tab w:val="left" w:pos="1418"/>
          <w:tab w:val="left" w:pos="2268"/>
          <w:tab w:val="left" w:pos="3119"/>
          <w:tab w:val="left" w:pos="3969"/>
        </w:tabs>
        <w:spacing w:after="0" w:line="240" w:lineRule="auto"/>
        <w:ind w:left="567" w:hanging="567"/>
        <w:rPr>
          <w:rFonts w:ascii="Cambria" w:hAnsi="Cambria"/>
          <w:b/>
        </w:rPr>
      </w:pPr>
      <w:r w:rsidRPr="00686451">
        <w:rPr>
          <w:rFonts w:ascii="Cambria" w:hAnsi="Cambria"/>
          <w:b/>
        </w:rPr>
        <w:t>1.</w:t>
      </w:r>
      <w:r w:rsidRPr="00686451">
        <w:rPr>
          <w:rFonts w:ascii="Cambria" w:hAnsi="Cambria"/>
          <w:b/>
        </w:rPr>
        <w:tab/>
        <w:t xml:space="preserve">NAME </w:t>
      </w:r>
    </w:p>
    <w:p w14:paraId="7880E8E6" w14:textId="77777777" w:rsidR="005A231D" w:rsidRPr="00686451" w:rsidRDefault="005A231D" w:rsidP="005A231D">
      <w:pPr>
        <w:tabs>
          <w:tab w:val="left" w:pos="567"/>
          <w:tab w:val="left" w:pos="1418"/>
          <w:tab w:val="left" w:pos="2268"/>
          <w:tab w:val="left" w:pos="3119"/>
          <w:tab w:val="left" w:pos="3969"/>
        </w:tabs>
        <w:spacing w:after="0" w:line="240" w:lineRule="auto"/>
        <w:ind w:left="567" w:hanging="567"/>
        <w:rPr>
          <w:rFonts w:ascii="Cambria" w:hAnsi="Cambria"/>
        </w:rPr>
      </w:pPr>
      <w:r w:rsidRPr="00686451">
        <w:rPr>
          <w:rFonts w:ascii="Cambria" w:hAnsi="Cambria"/>
        </w:rPr>
        <w:tab/>
        <w:t>Standing Committee on Constitutions, referred to as “the Committee”.</w:t>
      </w:r>
    </w:p>
    <w:p w14:paraId="0473C5D5" w14:textId="77777777" w:rsidR="005A231D" w:rsidRPr="00686451" w:rsidRDefault="005A231D" w:rsidP="005A231D">
      <w:pPr>
        <w:tabs>
          <w:tab w:val="left" w:pos="567"/>
          <w:tab w:val="left" w:pos="1418"/>
          <w:tab w:val="left" w:pos="2268"/>
          <w:tab w:val="left" w:pos="3119"/>
          <w:tab w:val="left" w:pos="3969"/>
        </w:tabs>
        <w:spacing w:after="0" w:line="240" w:lineRule="auto"/>
        <w:ind w:left="567" w:hanging="567"/>
        <w:rPr>
          <w:rFonts w:ascii="Cambria" w:hAnsi="Cambria"/>
        </w:rPr>
      </w:pPr>
    </w:p>
    <w:p w14:paraId="68791CAC" w14:textId="712CC359" w:rsidR="005A231D" w:rsidRPr="00686451" w:rsidRDefault="005A231D" w:rsidP="005A231D">
      <w:pPr>
        <w:tabs>
          <w:tab w:val="left" w:pos="567"/>
          <w:tab w:val="left" w:pos="1418"/>
          <w:tab w:val="left" w:pos="2268"/>
          <w:tab w:val="left" w:pos="3119"/>
          <w:tab w:val="left" w:pos="3969"/>
        </w:tabs>
        <w:spacing w:after="0" w:line="240" w:lineRule="auto"/>
        <w:ind w:left="567" w:hanging="567"/>
        <w:rPr>
          <w:rFonts w:ascii="Cambria" w:hAnsi="Cambria"/>
          <w:b/>
        </w:rPr>
      </w:pPr>
      <w:r w:rsidRPr="00686451">
        <w:rPr>
          <w:rFonts w:ascii="Cambria" w:hAnsi="Cambria"/>
          <w:b/>
        </w:rPr>
        <w:t>2.</w:t>
      </w:r>
      <w:r w:rsidRPr="00686451">
        <w:rPr>
          <w:rFonts w:ascii="Cambria" w:hAnsi="Cambria"/>
          <w:b/>
        </w:rPr>
        <w:tab/>
        <w:t>RELATIONSHIP TO THE CHURCH</w:t>
      </w:r>
    </w:p>
    <w:p w14:paraId="094DD757" w14:textId="77777777" w:rsidR="005A231D" w:rsidRPr="00686451" w:rsidRDefault="005A231D" w:rsidP="005A231D">
      <w:pPr>
        <w:tabs>
          <w:tab w:val="left" w:pos="567"/>
          <w:tab w:val="left" w:pos="1418"/>
          <w:tab w:val="left" w:pos="2268"/>
          <w:tab w:val="left" w:pos="3119"/>
          <w:tab w:val="left" w:pos="3969"/>
        </w:tabs>
        <w:spacing w:after="0" w:line="240" w:lineRule="auto"/>
        <w:ind w:left="567" w:hanging="567"/>
        <w:rPr>
          <w:rFonts w:ascii="Cambria" w:hAnsi="Cambria"/>
        </w:rPr>
      </w:pPr>
      <w:r w:rsidRPr="00686451">
        <w:rPr>
          <w:rFonts w:ascii="Cambria" w:hAnsi="Cambria"/>
        </w:rPr>
        <w:tab/>
        <w:t>The Committee is a committee of the General Church Board and shall act at its direction in providing advice and recommendations on constitutional matters,</w:t>
      </w:r>
      <w:r w:rsidRPr="00686451">
        <w:rPr>
          <w:rFonts w:ascii="Cambria" w:hAnsi="Cambria" w:cstheme="minorHAnsi"/>
        </w:rPr>
        <w:t xml:space="preserve"> and shall fulfil its responsibilities in keeping with the Constitution and the policies of the Church</w:t>
      </w:r>
      <w:r w:rsidRPr="00686451">
        <w:rPr>
          <w:rFonts w:ascii="Cambria" w:hAnsi="Cambria"/>
        </w:rPr>
        <w:t>.</w:t>
      </w:r>
    </w:p>
    <w:p w14:paraId="0A4AEAD1" w14:textId="77777777" w:rsidR="005A231D" w:rsidRPr="00686451" w:rsidRDefault="005A231D" w:rsidP="005A231D">
      <w:pPr>
        <w:tabs>
          <w:tab w:val="left" w:pos="567"/>
          <w:tab w:val="left" w:pos="1418"/>
          <w:tab w:val="left" w:pos="2268"/>
          <w:tab w:val="left" w:pos="3119"/>
          <w:tab w:val="left" w:pos="3969"/>
        </w:tabs>
        <w:spacing w:after="0" w:line="240" w:lineRule="auto"/>
        <w:ind w:left="567" w:hanging="567"/>
        <w:rPr>
          <w:rFonts w:ascii="Cambria" w:hAnsi="Cambria"/>
        </w:rPr>
      </w:pPr>
    </w:p>
    <w:p w14:paraId="771F0EF7" w14:textId="77777777" w:rsidR="005A231D" w:rsidRPr="00686451" w:rsidRDefault="005A231D" w:rsidP="005A231D">
      <w:pPr>
        <w:tabs>
          <w:tab w:val="left" w:pos="567"/>
          <w:tab w:val="left" w:pos="1418"/>
          <w:tab w:val="left" w:pos="2268"/>
          <w:tab w:val="left" w:pos="3119"/>
          <w:tab w:val="left" w:pos="3969"/>
        </w:tabs>
        <w:spacing w:after="0" w:line="240" w:lineRule="auto"/>
        <w:ind w:left="567" w:hanging="567"/>
        <w:rPr>
          <w:rFonts w:ascii="Cambria" w:hAnsi="Cambria"/>
          <w:b/>
        </w:rPr>
      </w:pPr>
      <w:r w:rsidRPr="00686451">
        <w:rPr>
          <w:rFonts w:ascii="Cambria" w:hAnsi="Cambria"/>
          <w:b/>
        </w:rPr>
        <w:t>3.</w:t>
      </w:r>
      <w:r w:rsidRPr="00686451">
        <w:rPr>
          <w:rFonts w:ascii="Cambria" w:hAnsi="Cambria"/>
          <w:b/>
        </w:rPr>
        <w:tab/>
        <w:t>PURPOSE</w:t>
      </w:r>
    </w:p>
    <w:p w14:paraId="50492EC7" w14:textId="7F626AF4" w:rsidR="005A231D" w:rsidRPr="00686451" w:rsidRDefault="005A231D" w:rsidP="005A231D">
      <w:pPr>
        <w:tabs>
          <w:tab w:val="left" w:pos="567"/>
          <w:tab w:val="left" w:pos="1418"/>
          <w:tab w:val="left" w:pos="2268"/>
          <w:tab w:val="left" w:pos="3119"/>
          <w:tab w:val="left" w:pos="3969"/>
        </w:tabs>
        <w:spacing w:after="0" w:line="240" w:lineRule="auto"/>
        <w:ind w:left="567" w:hanging="567"/>
        <w:rPr>
          <w:rFonts w:ascii="Cambria" w:hAnsi="Cambria"/>
        </w:rPr>
      </w:pPr>
      <w:r w:rsidRPr="00686451">
        <w:rPr>
          <w:rFonts w:ascii="Cambria" w:hAnsi="Cambria"/>
        </w:rPr>
        <w:tab/>
        <w:t>The Committee shall supervise, review, and advise on all constitutional matters relating to the Church and its boards, councils and committees and to its Districts and auxiliary organisations in their relationship to the Church, so that all things may be done decently and in order.</w:t>
      </w:r>
    </w:p>
    <w:p w14:paraId="22945D0A" w14:textId="77777777" w:rsidR="005A231D" w:rsidRPr="00686451" w:rsidRDefault="005A231D" w:rsidP="005A231D">
      <w:pPr>
        <w:tabs>
          <w:tab w:val="left" w:pos="567"/>
          <w:tab w:val="left" w:pos="1418"/>
          <w:tab w:val="left" w:pos="2268"/>
          <w:tab w:val="left" w:pos="3119"/>
          <w:tab w:val="left" w:pos="3969"/>
        </w:tabs>
        <w:spacing w:after="0" w:line="240" w:lineRule="auto"/>
        <w:ind w:left="567" w:hanging="567"/>
        <w:rPr>
          <w:rFonts w:ascii="Cambria" w:hAnsi="Cambria"/>
        </w:rPr>
      </w:pPr>
    </w:p>
    <w:p w14:paraId="30C20CD2" w14:textId="77777777" w:rsidR="005A231D" w:rsidRPr="00686451" w:rsidRDefault="005A231D" w:rsidP="005A231D">
      <w:pPr>
        <w:tabs>
          <w:tab w:val="left" w:pos="567"/>
          <w:tab w:val="left" w:pos="1418"/>
          <w:tab w:val="left" w:pos="2268"/>
          <w:tab w:val="left" w:pos="3119"/>
          <w:tab w:val="left" w:pos="3969"/>
        </w:tabs>
        <w:spacing w:after="0" w:line="240" w:lineRule="auto"/>
        <w:ind w:left="567" w:hanging="567"/>
        <w:rPr>
          <w:rFonts w:ascii="Cambria" w:hAnsi="Cambria"/>
          <w:b/>
        </w:rPr>
      </w:pPr>
      <w:r w:rsidRPr="00686451">
        <w:rPr>
          <w:rFonts w:ascii="Cambria" w:hAnsi="Cambria"/>
          <w:b/>
        </w:rPr>
        <w:t>4.</w:t>
      </w:r>
      <w:r w:rsidRPr="00686451">
        <w:rPr>
          <w:rFonts w:ascii="Cambria" w:hAnsi="Cambria"/>
          <w:b/>
        </w:rPr>
        <w:tab/>
        <w:t>AUTHORITY</w:t>
      </w:r>
    </w:p>
    <w:p w14:paraId="1F729302" w14:textId="77777777" w:rsidR="005A231D" w:rsidRPr="00686451" w:rsidRDefault="005A231D" w:rsidP="005A231D">
      <w:pPr>
        <w:tabs>
          <w:tab w:val="left" w:pos="567"/>
          <w:tab w:val="left" w:pos="1418"/>
          <w:tab w:val="left" w:pos="2268"/>
          <w:tab w:val="left" w:pos="3119"/>
          <w:tab w:val="left" w:pos="3969"/>
        </w:tabs>
        <w:spacing w:after="0" w:line="240" w:lineRule="auto"/>
        <w:ind w:left="567" w:hanging="567"/>
        <w:rPr>
          <w:rFonts w:ascii="Cambria" w:hAnsi="Cambria"/>
        </w:rPr>
      </w:pPr>
      <w:r w:rsidRPr="00686451">
        <w:rPr>
          <w:rFonts w:ascii="Cambria" w:hAnsi="Cambria"/>
        </w:rPr>
        <w:tab/>
        <w:t>The Committee has no decision-making authority.</w:t>
      </w:r>
    </w:p>
    <w:p w14:paraId="097E687B" w14:textId="77777777" w:rsidR="005A231D" w:rsidRPr="00686451" w:rsidRDefault="005A231D" w:rsidP="005A231D">
      <w:pPr>
        <w:tabs>
          <w:tab w:val="left" w:pos="567"/>
          <w:tab w:val="left" w:pos="1418"/>
          <w:tab w:val="left" w:pos="2268"/>
          <w:tab w:val="left" w:pos="3119"/>
          <w:tab w:val="left" w:pos="3969"/>
        </w:tabs>
        <w:spacing w:after="0" w:line="240" w:lineRule="auto"/>
        <w:ind w:left="567" w:hanging="567"/>
        <w:rPr>
          <w:rFonts w:ascii="Cambria" w:hAnsi="Cambria"/>
        </w:rPr>
      </w:pPr>
    </w:p>
    <w:p w14:paraId="517AE55D" w14:textId="77777777" w:rsidR="005A231D" w:rsidRPr="00686451" w:rsidRDefault="005A231D" w:rsidP="005A231D">
      <w:pPr>
        <w:tabs>
          <w:tab w:val="left" w:pos="567"/>
          <w:tab w:val="left" w:pos="1418"/>
          <w:tab w:val="left" w:pos="2268"/>
          <w:tab w:val="left" w:pos="3119"/>
          <w:tab w:val="left" w:pos="3969"/>
        </w:tabs>
        <w:spacing w:after="0" w:line="240" w:lineRule="auto"/>
        <w:ind w:left="567" w:hanging="567"/>
        <w:rPr>
          <w:rFonts w:ascii="Cambria" w:hAnsi="Cambria"/>
          <w:b/>
        </w:rPr>
      </w:pPr>
      <w:r w:rsidRPr="00686451">
        <w:rPr>
          <w:rFonts w:ascii="Cambria" w:hAnsi="Cambria"/>
          <w:b/>
        </w:rPr>
        <w:t>5.</w:t>
      </w:r>
      <w:r w:rsidRPr="00686451">
        <w:rPr>
          <w:rFonts w:ascii="Cambria" w:hAnsi="Cambria"/>
          <w:b/>
        </w:rPr>
        <w:tab/>
        <w:t>MEMBERSHIP</w:t>
      </w:r>
    </w:p>
    <w:p w14:paraId="72BE00D7" w14:textId="77777777" w:rsidR="005A231D" w:rsidRPr="00686451" w:rsidRDefault="005A231D" w:rsidP="005A231D">
      <w:pPr>
        <w:tabs>
          <w:tab w:val="left" w:pos="567"/>
          <w:tab w:val="left" w:pos="1418"/>
          <w:tab w:val="left" w:pos="2268"/>
          <w:tab w:val="left" w:pos="3119"/>
          <w:tab w:val="left" w:pos="3969"/>
        </w:tabs>
        <w:spacing w:after="0" w:line="240" w:lineRule="auto"/>
        <w:ind w:left="567" w:hanging="567"/>
        <w:rPr>
          <w:rFonts w:ascii="Cambria" w:hAnsi="Cambria"/>
        </w:rPr>
      </w:pPr>
      <w:r w:rsidRPr="00686451">
        <w:rPr>
          <w:rFonts w:ascii="Cambria" w:hAnsi="Cambria"/>
        </w:rPr>
        <w:tab/>
        <w:t>5.1</w:t>
      </w:r>
      <w:r w:rsidRPr="00686451">
        <w:rPr>
          <w:rFonts w:ascii="Cambria" w:hAnsi="Cambria"/>
        </w:rPr>
        <w:tab/>
        <w:t>The Standing Committee shall consist of seven [7] members:</w:t>
      </w:r>
    </w:p>
    <w:p w14:paraId="7E33330F" w14:textId="77777777" w:rsidR="005A231D" w:rsidRPr="00686451" w:rsidRDefault="005A231D" w:rsidP="005A231D">
      <w:pPr>
        <w:tabs>
          <w:tab w:val="left" w:pos="567"/>
          <w:tab w:val="left" w:pos="1418"/>
          <w:tab w:val="left" w:pos="2268"/>
          <w:tab w:val="left" w:pos="3119"/>
          <w:tab w:val="left" w:pos="3969"/>
        </w:tabs>
        <w:spacing w:after="0" w:line="240" w:lineRule="auto"/>
        <w:ind w:left="567" w:hanging="567"/>
        <w:rPr>
          <w:rFonts w:ascii="Cambria" w:hAnsi="Cambria"/>
        </w:rPr>
      </w:pPr>
      <w:r w:rsidRPr="00686451">
        <w:rPr>
          <w:rFonts w:ascii="Cambria" w:hAnsi="Cambria"/>
        </w:rPr>
        <w:tab/>
      </w:r>
      <w:r w:rsidRPr="00686451">
        <w:rPr>
          <w:rFonts w:ascii="Cambria" w:hAnsi="Cambria"/>
        </w:rPr>
        <w:tab/>
        <w:t>5.1.1</w:t>
      </w:r>
      <w:r w:rsidRPr="00686451">
        <w:rPr>
          <w:rFonts w:ascii="Cambria" w:hAnsi="Cambria"/>
        </w:rPr>
        <w:tab/>
        <w:t>three [3] pastors and three [3] lay members;  and</w:t>
      </w:r>
    </w:p>
    <w:p w14:paraId="0D3AC981" w14:textId="77777777" w:rsidR="005A231D" w:rsidRPr="00686451" w:rsidRDefault="005A231D" w:rsidP="005A231D">
      <w:pPr>
        <w:tabs>
          <w:tab w:val="left" w:pos="567"/>
          <w:tab w:val="left" w:pos="1418"/>
          <w:tab w:val="left" w:pos="2268"/>
          <w:tab w:val="left" w:pos="3119"/>
          <w:tab w:val="left" w:pos="3969"/>
        </w:tabs>
        <w:spacing w:after="0" w:line="240" w:lineRule="auto"/>
        <w:ind w:left="567" w:hanging="567"/>
        <w:rPr>
          <w:rFonts w:ascii="Cambria" w:hAnsi="Cambria"/>
        </w:rPr>
      </w:pPr>
      <w:r w:rsidRPr="00686451">
        <w:rPr>
          <w:rFonts w:ascii="Cambria" w:hAnsi="Cambria"/>
        </w:rPr>
        <w:tab/>
      </w:r>
      <w:r w:rsidRPr="00686451">
        <w:rPr>
          <w:rFonts w:ascii="Cambria" w:hAnsi="Cambria"/>
        </w:rPr>
        <w:tab/>
        <w:t>5.1.2</w:t>
      </w:r>
      <w:r w:rsidRPr="00686451">
        <w:rPr>
          <w:rFonts w:ascii="Cambria" w:hAnsi="Cambria"/>
        </w:rPr>
        <w:tab/>
        <w:t>one [1] member of the General Church Board.</w:t>
      </w:r>
    </w:p>
    <w:p w14:paraId="23510181" w14:textId="77777777" w:rsidR="005A231D" w:rsidRPr="00686451" w:rsidRDefault="005A231D" w:rsidP="005A231D">
      <w:pPr>
        <w:tabs>
          <w:tab w:val="left" w:pos="567"/>
          <w:tab w:val="left" w:pos="1418"/>
          <w:tab w:val="left" w:pos="2268"/>
          <w:tab w:val="left" w:pos="3119"/>
          <w:tab w:val="left" w:pos="3969"/>
        </w:tabs>
        <w:spacing w:after="0" w:line="240" w:lineRule="auto"/>
        <w:ind w:left="1418" w:hanging="1418"/>
        <w:rPr>
          <w:rFonts w:ascii="Cambria" w:hAnsi="Cambria"/>
        </w:rPr>
      </w:pPr>
      <w:r w:rsidRPr="00686451">
        <w:rPr>
          <w:rFonts w:ascii="Cambria" w:hAnsi="Cambria"/>
        </w:rPr>
        <w:tab/>
        <w:t>5.2</w:t>
      </w:r>
      <w:r w:rsidRPr="00686451">
        <w:rPr>
          <w:rFonts w:ascii="Cambria" w:hAnsi="Cambria"/>
        </w:rPr>
        <w:tab/>
        <w:t xml:space="preserve">The Committee shall consist of members with knowledge and experience in the following areas: </w:t>
      </w:r>
    </w:p>
    <w:p w14:paraId="75B368B5" w14:textId="77777777" w:rsidR="005A231D" w:rsidRPr="00686451" w:rsidRDefault="005A231D" w:rsidP="005A231D">
      <w:pPr>
        <w:tabs>
          <w:tab w:val="left" w:pos="567"/>
          <w:tab w:val="left" w:pos="1418"/>
          <w:tab w:val="left" w:pos="2268"/>
          <w:tab w:val="left" w:pos="3119"/>
          <w:tab w:val="left" w:pos="3969"/>
        </w:tabs>
        <w:spacing w:after="0" w:line="240" w:lineRule="auto"/>
        <w:ind w:left="567" w:hanging="567"/>
        <w:rPr>
          <w:rFonts w:ascii="Cambria" w:hAnsi="Cambria"/>
        </w:rPr>
      </w:pPr>
      <w:r w:rsidRPr="00686451">
        <w:rPr>
          <w:rFonts w:ascii="Cambria" w:hAnsi="Cambria"/>
        </w:rPr>
        <w:tab/>
      </w:r>
      <w:r w:rsidRPr="00686451">
        <w:rPr>
          <w:rFonts w:ascii="Cambria" w:hAnsi="Cambria"/>
        </w:rPr>
        <w:tab/>
        <w:t>5.2.1</w:t>
      </w:r>
      <w:r w:rsidRPr="00686451">
        <w:rPr>
          <w:rFonts w:ascii="Cambria" w:hAnsi="Cambria"/>
        </w:rPr>
        <w:tab/>
        <w:t xml:space="preserve">constitutions; </w:t>
      </w:r>
    </w:p>
    <w:p w14:paraId="7EC4E674" w14:textId="77777777" w:rsidR="005A231D" w:rsidRPr="00686451" w:rsidRDefault="005A231D" w:rsidP="005A231D">
      <w:pPr>
        <w:tabs>
          <w:tab w:val="left" w:pos="567"/>
          <w:tab w:val="left" w:pos="1418"/>
          <w:tab w:val="left" w:pos="2268"/>
          <w:tab w:val="left" w:pos="3119"/>
          <w:tab w:val="left" w:pos="3969"/>
        </w:tabs>
        <w:spacing w:after="0" w:line="240" w:lineRule="auto"/>
        <w:ind w:left="567" w:hanging="567"/>
        <w:rPr>
          <w:rFonts w:ascii="Cambria" w:hAnsi="Cambria"/>
        </w:rPr>
      </w:pPr>
      <w:r w:rsidRPr="00686451">
        <w:rPr>
          <w:rFonts w:ascii="Cambria" w:hAnsi="Cambria"/>
        </w:rPr>
        <w:tab/>
      </w:r>
      <w:r w:rsidRPr="00686451">
        <w:rPr>
          <w:rFonts w:ascii="Cambria" w:hAnsi="Cambria"/>
        </w:rPr>
        <w:tab/>
        <w:t>5.2.2</w:t>
      </w:r>
      <w:r w:rsidRPr="00686451">
        <w:rPr>
          <w:rFonts w:ascii="Cambria" w:hAnsi="Cambria"/>
        </w:rPr>
        <w:tab/>
        <w:t xml:space="preserve">Church governance; </w:t>
      </w:r>
    </w:p>
    <w:p w14:paraId="62C9F656" w14:textId="77777777" w:rsidR="005A231D" w:rsidRPr="00686451" w:rsidRDefault="005A231D" w:rsidP="005A231D">
      <w:pPr>
        <w:tabs>
          <w:tab w:val="left" w:pos="567"/>
          <w:tab w:val="left" w:pos="1418"/>
          <w:tab w:val="left" w:pos="2268"/>
          <w:tab w:val="left" w:pos="3119"/>
          <w:tab w:val="left" w:pos="3969"/>
        </w:tabs>
        <w:spacing w:after="0" w:line="240" w:lineRule="auto"/>
        <w:ind w:left="567" w:hanging="567"/>
        <w:rPr>
          <w:rFonts w:ascii="Cambria" w:hAnsi="Cambria"/>
        </w:rPr>
      </w:pPr>
      <w:r w:rsidRPr="00686451">
        <w:rPr>
          <w:rFonts w:ascii="Cambria" w:hAnsi="Cambria"/>
        </w:rPr>
        <w:tab/>
      </w:r>
      <w:r w:rsidRPr="00686451">
        <w:rPr>
          <w:rFonts w:ascii="Cambria" w:hAnsi="Cambria"/>
        </w:rPr>
        <w:tab/>
        <w:t>5.2.3</w:t>
      </w:r>
      <w:r w:rsidRPr="00686451">
        <w:rPr>
          <w:rFonts w:ascii="Cambria" w:hAnsi="Cambria"/>
        </w:rPr>
        <w:tab/>
        <w:t xml:space="preserve">an understanding of and commitment to Church teaching; </w:t>
      </w:r>
    </w:p>
    <w:p w14:paraId="78FC275E" w14:textId="77777777" w:rsidR="005A231D" w:rsidRPr="00686451" w:rsidRDefault="005A231D" w:rsidP="005A231D">
      <w:pPr>
        <w:tabs>
          <w:tab w:val="left" w:pos="567"/>
          <w:tab w:val="left" w:pos="1418"/>
          <w:tab w:val="left" w:pos="2268"/>
          <w:tab w:val="left" w:pos="3119"/>
          <w:tab w:val="left" w:pos="3969"/>
        </w:tabs>
        <w:spacing w:after="0" w:line="240" w:lineRule="auto"/>
        <w:ind w:left="567" w:hanging="567"/>
        <w:rPr>
          <w:rFonts w:ascii="Cambria" w:hAnsi="Cambria"/>
        </w:rPr>
      </w:pPr>
      <w:r w:rsidRPr="00686451">
        <w:rPr>
          <w:rFonts w:ascii="Cambria" w:hAnsi="Cambria"/>
        </w:rPr>
        <w:tab/>
      </w:r>
      <w:r w:rsidRPr="00686451">
        <w:rPr>
          <w:rFonts w:ascii="Cambria" w:hAnsi="Cambria"/>
        </w:rPr>
        <w:tab/>
        <w:t>5.2.4</w:t>
      </w:r>
      <w:r w:rsidRPr="00686451">
        <w:rPr>
          <w:rFonts w:ascii="Cambria" w:hAnsi="Cambria"/>
        </w:rPr>
        <w:tab/>
        <w:t>literacy skills;  and</w:t>
      </w:r>
    </w:p>
    <w:p w14:paraId="7C7F3117" w14:textId="77777777" w:rsidR="005A231D" w:rsidRPr="00686451" w:rsidRDefault="005A231D" w:rsidP="005A231D">
      <w:pPr>
        <w:tabs>
          <w:tab w:val="left" w:pos="567"/>
          <w:tab w:val="left" w:pos="1418"/>
          <w:tab w:val="left" w:pos="2268"/>
          <w:tab w:val="left" w:pos="3119"/>
          <w:tab w:val="left" w:pos="3969"/>
        </w:tabs>
        <w:spacing w:after="0" w:line="240" w:lineRule="auto"/>
        <w:ind w:left="567" w:hanging="567"/>
        <w:rPr>
          <w:rFonts w:ascii="Cambria" w:hAnsi="Cambria"/>
        </w:rPr>
      </w:pPr>
      <w:r w:rsidRPr="00686451">
        <w:rPr>
          <w:rFonts w:ascii="Cambria" w:hAnsi="Cambria"/>
        </w:rPr>
        <w:tab/>
      </w:r>
      <w:r w:rsidRPr="00686451">
        <w:rPr>
          <w:rFonts w:ascii="Cambria" w:hAnsi="Cambria"/>
        </w:rPr>
        <w:tab/>
        <w:t>5.2.5</w:t>
      </w:r>
      <w:r w:rsidRPr="00686451">
        <w:rPr>
          <w:rFonts w:ascii="Cambria" w:hAnsi="Cambria"/>
        </w:rPr>
        <w:tab/>
        <w:t>logical thinking.</w:t>
      </w:r>
    </w:p>
    <w:p w14:paraId="368B2795" w14:textId="77777777" w:rsidR="005A231D" w:rsidRPr="00686451" w:rsidRDefault="005A231D" w:rsidP="005A231D">
      <w:pPr>
        <w:tabs>
          <w:tab w:val="left" w:pos="567"/>
          <w:tab w:val="left" w:pos="1418"/>
          <w:tab w:val="left" w:pos="2268"/>
          <w:tab w:val="left" w:pos="3119"/>
          <w:tab w:val="left" w:pos="3969"/>
        </w:tabs>
        <w:spacing w:after="0" w:line="240" w:lineRule="auto"/>
        <w:ind w:left="1418" w:hanging="1418"/>
        <w:rPr>
          <w:rFonts w:ascii="Cambria" w:hAnsi="Cambria"/>
        </w:rPr>
      </w:pPr>
      <w:r w:rsidRPr="00686451">
        <w:rPr>
          <w:rFonts w:ascii="Cambria" w:hAnsi="Cambria"/>
        </w:rPr>
        <w:tab/>
        <w:t>5.3</w:t>
      </w:r>
      <w:r w:rsidRPr="00686451">
        <w:rPr>
          <w:rFonts w:ascii="Cambria" w:hAnsi="Cambria"/>
        </w:rPr>
        <w:tab/>
        <w:t xml:space="preserve">The members shall be appointed by the General Church Board on recommendations from the Standing Committee on Nominations.  </w:t>
      </w:r>
    </w:p>
    <w:p w14:paraId="137A4C15" w14:textId="77777777" w:rsidR="005A231D" w:rsidRPr="00686451" w:rsidRDefault="005A231D" w:rsidP="005A231D">
      <w:pPr>
        <w:tabs>
          <w:tab w:val="left" w:pos="567"/>
          <w:tab w:val="left" w:pos="1418"/>
          <w:tab w:val="left" w:pos="2268"/>
          <w:tab w:val="left" w:pos="3119"/>
          <w:tab w:val="left" w:pos="3969"/>
        </w:tabs>
        <w:spacing w:after="0" w:line="240" w:lineRule="auto"/>
        <w:ind w:left="1418" w:hanging="1418"/>
        <w:rPr>
          <w:rFonts w:ascii="Cambria" w:hAnsi="Cambria"/>
        </w:rPr>
      </w:pPr>
      <w:r w:rsidRPr="00686451">
        <w:rPr>
          <w:rFonts w:ascii="Cambria" w:hAnsi="Cambria"/>
        </w:rPr>
        <w:tab/>
        <w:t>5.4</w:t>
      </w:r>
      <w:r w:rsidRPr="00686451">
        <w:rPr>
          <w:rFonts w:ascii="Cambria" w:hAnsi="Cambria"/>
        </w:rPr>
        <w:tab/>
        <w:t>The Chairperson shall be appointed by the General Church Board from the membership of the Committee.</w:t>
      </w:r>
    </w:p>
    <w:p w14:paraId="55C58A02" w14:textId="77777777" w:rsidR="005A231D" w:rsidRPr="00686451" w:rsidRDefault="005A231D" w:rsidP="005A231D">
      <w:pPr>
        <w:tabs>
          <w:tab w:val="left" w:pos="567"/>
          <w:tab w:val="left" w:pos="1418"/>
          <w:tab w:val="left" w:pos="2268"/>
          <w:tab w:val="left" w:pos="3119"/>
          <w:tab w:val="left" w:pos="3969"/>
        </w:tabs>
        <w:spacing w:after="0" w:line="240" w:lineRule="auto"/>
        <w:ind w:left="1418" w:hanging="1418"/>
        <w:rPr>
          <w:rFonts w:ascii="Cambria" w:hAnsi="Cambria"/>
        </w:rPr>
      </w:pPr>
      <w:r w:rsidRPr="00686451">
        <w:rPr>
          <w:rFonts w:ascii="Cambria" w:hAnsi="Cambria"/>
        </w:rPr>
        <w:tab/>
        <w:t>5.5</w:t>
      </w:r>
      <w:r w:rsidRPr="00686451">
        <w:rPr>
          <w:rFonts w:ascii="Cambria" w:hAnsi="Cambria"/>
        </w:rPr>
        <w:tab/>
        <w:t>The Executive Officer of the Church shall be a consultant and attend meetings as required on behalf of the General Church Board.</w:t>
      </w:r>
    </w:p>
    <w:p w14:paraId="164C5A67" w14:textId="77777777" w:rsidR="005A231D" w:rsidRPr="00686451" w:rsidRDefault="005A231D" w:rsidP="005A231D">
      <w:pPr>
        <w:tabs>
          <w:tab w:val="left" w:pos="567"/>
          <w:tab w:val="left" w:pos="1418"/>
          <w:tab w:val="left" w:pos="2268"/>
          <w:tab w:val="left" w:pos="3119"/>
          <w:tab w:val="left" w:pos="3969"/>
        </w:tabs>
        <w:spacing w:after="0" w:line="240" w:lineRule="auto"/>
        <w:ind w:left="567" w:hanging="567"/>
        <w:rPr>
          <w:rFonts w:ascii="Cambria" w:hAnsi="Cambria"/>
          <w:b/>
        </w:rPr>
      </w:pPr>
    </w:p>
    <w:p w14:paraId="0A34D592" w14:textId="77777777" w:rsidR="005A231D" w:rsidRPr="00686451" w:rsidRDefault="005A231D" w:rsidP="005A231D">
      <w:pPr>
        <w:tabs>
          <w:tab w:val="left" w:pos="567"/>
          <w:tab w:val="left" w:pos="1418"/>
          <w:tab w:val="left" w:pos="2268"/>
          <w:tab w:val="left" w:pos="3119"/>
          <w:tab w:val="left" w:pos="3969"/>
        </w:tabs>
        <w:spacing w:after="0" w:line="240" w:lineRule="auto"/>
        <w:ind w:left="567" w:hanging="567"/>
        <w:rPr>
          <w:rFonts w:ascii="Cambria" w:hAnsi="Cambria"/>
          <w:b/>
        </w:rPr>
      </w:pPr>
      <w:r w:rsidRPr="00686451">
        <w:rPr>
          <w:rFonts w:ascii="Cambria" w:hAnsi="Cambria"/>
          <w:b/>
        </w:rPr>
        <w:t>6.</w:t>
      </w:r>
      <w:r w:rsidRPr="00686451">
        <w:rPr>
          <w:rFonts w:ascii="Cambria" w:hAnsi="Cambria"/>
          <w:b/>
        </w:rPr>
        <w:tab/>
        <w:t>MEETING ARRANGEMENTS AND REPORTING</w:t>
      </w:r>
    </w:p>
    <w:p w14:paraId="27F205B3" w14:textId="77777777" w:rsidR="005A231D" w:rsidRPr="00686451" w:rsidRDefault="005A231D" w:rsidP="005A231D">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686451">
        <w:rPr>
          <w:rFonts w:ascii="Cambria" w:hAnsi="Cambria" w:cstheme="minorHAnsi"/>
        </w:rPr>
        <w:tab/>
        <w:t>6.1</w:t>
      </w:r>
      <w:r w:rsidRPr="00686451">
        <w:rPr>
          <w:rFonts w:ascii="Cambria" w:hAnsi="Cambria" w:cstheme="minorHAnsi"/>
        </w:rPr>
        <w:tab/>
        <w:t xml:space="preserve">Meetings shall be convened by the Chairperson.  </w:t>
      </w:r>
    </w:p>
    <w:p w14:paraId="0AD17EB2" w14:textId="77777777" w:rsidR="005A231D" w:rsidRPr="00686451" w:rsidRDefault="005A231D" w:rsidP="005A231D">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686451">
        <w:rPr>
          <w:rFonts w:ascii="Cambria" w:hAnsi="Cambria" w:cstheme="minorHAnsi"/>
        </w:rPr>
        <w:tab/>
        <w:t>6.2</w:t>
      </w:r>
      <w:r w:rsidRPr="00686451">
        <w:rPr>
          <w:rFonts w:ascii="Cambria" w:hAnsi="Cambria" w:cstheme="minorHAnsi"/>
        </w:rPr>
        <w:tab/>
        <w:t>It is at the discretion of the Committee to meet face-to-face, by electronic means, or by other means of communication.</w:t>
      </w:r>
    </w:p>
    <w:p w14:paraId="21F61DE6" w14:textId="77777777" w:rsidR="005A231D" w:rsidRPr="00686451" w:rsidRDefault="005A231D" w:rsidP="005A231D">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686451">
        <w:rPr>
          <w:rFonts w:ascii="Cambria" w:hAnsi="Cambria" w:cstheme="minorHAnsi"/>
        </w:rPr>
        <w:lastRenderedPageBreak/>
        <w:tab/>
        <w:t>6.3</w:t>
      </w:r>
      <w:r w:rsidRPr="00686451">
        <w:rPr>
          <w:rFonts w:ascii="Cambria" w:hAnsi="Cambria" w:cstheme="minorHAnsi"/>
        </w:rPr>
        <w:tab/>
        <w:t>Email correspondence may be used for the distribution of minutes, advisory information or approval of documentation.</w:t>
      </w:r>
    </w:p>
    <w:p w14:paraId="79E5D2F9" w14:textId="77777777" w:rsidR="005A231D" w:rsidRPr="00686451" w:rsidRDefault="005A231D" w:rsidP="005A231D">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686451">
        <w:rPr>
          <w:rFonts w:ascii="Cambria" w:hAnsi="Cambria" w:cstheme="minorHAnsi"/>
        </w:rPr>
        <w:tab/>
        <w:t>6.4</w:t>
      </w:r>
      <w:r w:rsidRPr="00686451">
        <w:rPr>
          <w:rFonts w:ascii="Cambria" w:hAnsi="Cambria" w:cstheme="minorHAnsi"/>
        </w:rPr>
        <w:tab/>
        <w:t>The minutes of the meetings of the Committee shall be submitted to the General Church Board.</w:t>
      </w:r>
    </w:p>
    <w:p w14:paraId="00DB932C" w14:textId="77777777" w:rsidR="005A231D" w:rsidRPr="00686451" w:rsidRDefault="005A231D" w:rsidP="005A231D">
      <w:pPr>
        <w:tabs>
          <w:tab w:val="left" w:pos="567"/>
          <w:tab w:val="left" w:pos="1418"/>
          <w:tab w:val="left" w:pos="2268"/>
          <w:tab w:val="left" w:pos="3119"/>
          <w:tab w:val="left" w:pos="3969"/>
        </w:tabs>
        <w:spacing w:after="0" w:line="240" w:lineRule="auto"/>
        <w:ind w:left="567" w:hanging="567"/>
        <w:rPr>
          <w:rFonts w:ascii="Cambria" w:hAnsi="Cambria"/>
        </w:rPr>
      </w:pPr>
      <w:r w:rsidRPr="00686451">
        <w:rPr>
          <w:rFonts w:ascii="Cambria" w:hAnsi="Cambria"/>
        </w:rPr>
        <w:tab/>
        <w:t>6.5</w:t>
      </w:r>
      <w:r w:rsidRPr="00686451">
        <w:rPr>
          <w:rFonts w:ascii="Cambria" w:hAnsi="Cambria"/>
        </w:rPr>
        <w:tab/>
        <w:t>An annual report shall be submitted to General Church Board.</w:t>
      </w:r>
    </w:p>
    <w:p w14:paraId="4108435F" w14:textId="77777777" w:rsidR="005A231D" w:rsidRPr="00686451" w:rsidRDefault="005A231D" w:rsidP="005A231D">
      <w:pPr>
        <w:tabs>
          <w:tab w:val="left" w:pos="567"/>
          <w:tab w:val="left" w:pos="1418"/>
          <w:tab w:val="left" w:pos="2268"/>
          <w:tab w:val="left" w:pos="3119"/>
          <w:tab w:val="left" w:pos="3969"/>
        </w:tabs>
        <w:spacing w:after="0" w:line="240" w:lineRule="auto"/>
        <w:ind w:left="567" w:hanging="567"/>
        <w:rPr>
          <w:rFonts w:ascii="Cambria" w:hAnsi="Cambria"/>
        </w:rPr>
      </w:pPr>
    </w:p>
    <w:p w14:paraId="750D6A03" w14:textId="77777777" w:rsidR="005A231D" w:rsidRPr="00686451" w:rsidRDefault="005A231D" w:rsidP="005A231D">
      <w:pPr>
        <w:tabs>
          <w:tab w:val="left" w:pos="567"/>
          <w:tab w:val="left" w:pos="1418"/>
          <w:tab w:val="left" w:pos="2268"/>
          <w:tab w:val="left" w:pos="3119"/>
          <w:tab w:val="left" w:pos="3969"/>
        </w:tabs>
        <w:spacing w:after="0" w:line="240" w:lineRule="auto"/>
        <w:ind w:left="567" w:hanging="567"/>
        <w:rPr>
          <w:rFonts w:ascii="Cambria" w:hAnsi="Cambria"/>
          <w:b/>
        </w:rPr>
      </w:pPr>
      <w:r w:rsidRPr="00686451">
        <w:rPr>
          <w:rFonts w:ascii="Cambria" w:hAnsi="Cambria"/>
          <w:b/>
        </w:rPr>
        <w:t>7.</w:t>
      </w:r>
      <w:r w:rsidRPr="00686451">
        <w:rPr>
          <w:rFonts w:ascii="Cambria" w:hAnsi="Cambria"/>
          <w:b/>
        </w:rPr>
        <w:tab/>
        <w:t>RESPONSIBILITIES</w:t>
      </w:r>
    </w:p>
    <w:p w14:paraId="1EA8E629" w14:textId="77777777" w:rsidR="005A231D" w:rsidRPr="00686451" w:rsidRDefault="005A231D" w:rsidP="005A231D">
      <w:pPr>
        <w:tabs>
          <w:tab w:val="left" w:pos="567"/>
          <w:tab w:val="left" w:pos="1418"/>
          <w:tab w:val="left" w:pos="2268"/>
          <w:tab w:val="left" w:pos="3119"/>
          <w:tab w:val="left" w:pos="3969"/>
        </w:tabs>
        <w:spacing w:after="0" w:line="240" w:lineRule="auto"/>
        <w:ind w:left="567" w:hanging="567"/>
        <w:rPr>
          <w:rFonts w:ascii="Cambria" w:hAnsi="Cambria"/>
        </w:rPr>
      </w:pPr>
      <w:r w:rsidRPr="00686451">
        <w:rPr>
          <w:rFonts w:ascii="Cambria" w:hAnsi="Cambria"/>
        </w:rPr>
        <w:tab/>
        <w:t>The Committee shall</w:t>
      </w:r>
    </w:p>
    <w:p w14:paraId="50926A1E" w14:textId="4CF4B120" w:rsidR="005A231D" w:rsidRPr="00686451" w:rsidRDefault="005A231D" w:rsidP="005A231D">
      <w:pPr>
        <w:tabs>
          <w:tab w:val="left" w:pos="567"/>
          <w:tab w:val="left" w:pos="1418"/>
          <w:tab w:val="left" w:pos="2268"/>
          <w:tab w:val="left" w:pos="3119"/>
          <w:tab w:val="left" w:pos="3969"/>
        </w:tabs>
        <w:spacing w:after="0" w:line="240" w:lineRule="auto"/>
        <w:ind w:left="1418" w:hanging="1418"/>
        <w:rPr>
          <w:rFonts w:ascii="Cambria" w:hAnsi="Cambria"/>
        </w:rPr>
      </w:pPr>
      <w:r>
        <w:rPr>
          <w:rFonts w:ascii="Cambria" w:hAnsi="Cambria"/>
        </w:rPr>
        <w:tab/>
        <w:t>7</w:t>
      </w:r>
      <w:r w:rsidRPr="00686451">
        <w:rPr>
          <w:rFonts w:ascii="Cambria" w:hAnsi="Cambria"/>
        </w:rPr>
        <w:t>.1</w:t>
      </w:r>
      <w:r w:rsidRPr="00686451">
        <w:rPr>
          <w:rFonts w:ascii="Cambria" w:hAnsi="Cambria"/>
        </w:rPr>
        <w:tab/>
        <w:t>review the organisational and constitutional structure of the Church, and submit any recommendations to the General Church Board;</w:t>
      </w:r>
    </w:p>
    <w:p w14:paraId="1BFDD5B8" w14:textId="69655CFC" w:rsidR="005A231D" w:rsidRPr="00686451" w:rsidRDefault="005A231D" w:rsidP="005A231D">
      <w:pPr>
        <w:tabs>
          <w:tab w:val="left" w:pos="567"/>
          <w:tab w:val="left" w:pos="1418"/>
          <w:tab w:val="left" w:pos="2268"/>
          <w:tab w:val="left" w:pos="3119"/>
          <w:tab w:val="left" w:pos="3969"/>
        </w:tabs>
        <w:spacing w:after="0" w:line="240" w:lineRule="auto"/>
        <w:ind w:left="1418" w:hanging="1418"/>
        <w:rPr>
          <w:rFonts w:ascii="Cambria" w:hAnsi="Cambria"/>
        </w:rPr>
      </w:pPr>
      <w:r>
        <w:rPr>
          <w:rFonts w:ascii="Cambria" w:hAnsi="Cambria"/>
        </w:rPr>
        <w:tab/>
        <w:t>7</w:t>
      </w:r>
      <w:r w:rsidRPr="00686451">
        <w:rPr>
          <w:rFonts w:ascii="Cambria" w:hAnsi="Cambria"/>
        </w:rPr>
        <w:t>.2</w:t>
      </w:r>
      <w:r w:rsidRPr="00686451">
        <w:rPr>
          <w:rFonts w:ascii="Cambria" w:hAnsi="Cambria"/>
        </w:rPr>
        <w:tab/>
        <w:t>review all proposed amendments or additions to or deletions from the Constitution or By- laws of the Church, the Constitution or By-laws Part A of the Districts, the rules governing any board, council or committee, or any fund of the Church, and make recommendations thereon to the General Church Board;</w:t>
      </w:r>
    </w:p>
    <w:p w14:paraId="73FCBEFE" w14:textId="694D21A3" w:rsidR="005A231D" w:rsidRPr="00686451" w:rsidRDefault="005A231D" w:rsidP="005A231D">
      <w:pPr>
        <w:tabs>
          <w:tab w:val="left" w:pos="567"/>
          <w:tab w:val="left" w:pos="1418"/>
          <w:tab w:val="left" w:pos="2268"/>
          <w:tab w:val="left" w:pos="3119"/>
          <w:tab w:val="left" w:pos="3969"/>
        </w:tabs>
        <w:spacing w:after="0" w:line="240" w:lineRule="auto"/>
        <w:ind w:left="1418" w:hanging="1418"/>
        <w:rPr>
          <w:rFonts w:ascii="Cambria" w:hAnsi="Cambria"/>
        </w:rPr>
      </w:pPr>
      <w:r>
        <w:rPr>
          <w:rFonts w:ascii="Cambria" w:hAnsi="Cambria"/>
        </w:rPr>
        <w:tab/>
        <w:t>7</w:t>
      </w:r>
      <w:r w:rsidRPr="00686451">
        <w:rPr>
          <w:rFonts w:ascii="Cambria" w:hAnsi="Cambria"/>
        </w:rPr>
        <w:t>.3</w:t>
      </w:r>
      <w:r w:rsidRPr="00686451">
        <w:rPr>
          <w:rFonts w:ascii="Cambria" w:hAnsi="Cambria"/>
        </w:rPr>
        <w:tab/>
        <w:t>prepare any alteration to the By-laws of the Church or the rules governing any board, council or committee, or fund of the Church made necessary by any resolution of the General Synod, for approval by the General Church Board;</w:t>
      </w:r>
    </w:p>
    <w:p w14:paraId="42381D98" w14:textId="32F3C264" w:rsidR="005A231D" w:rsidRPr="00686451" w:rsidRDefault="005A231D" w:rsidP="005A231D">
      <w:pPr>
        <w:tabs>
          <w:tab w:val="left" w:pos="567"/>
          <w:tab w:val="left" w:pos="1418"/>
          <w:tab w:val="left" w:pos="2268"/>
          <w:tab w:val="left" w:pos="3119"/>
          <w:tab w:val="left" w:pos="3969"/>
        </w:tabs>
        <w:spacing w:after="0" w:line="240" w:lineRule="auto"/>
        <w:ind w:left="1418" w:hanging="1418"/>
        <w:rPr>
          <w:rFonts w:ascii="Cambria" w:hAnsi="Cambria"/>
        </w:rPr>
      </w:pPr>
      <w:r>
        <w:rPr>
          <w:rFonts w:ascii="Cambria" w:hAnsi="Cambria"/>
        </w:rPr>
        <w:tab/>
        <w:t>7</w:t>
      </w:r>
      <w:r w:rsidRPr="00686451">
        <w:rPr>
          <w:rFonts w:ascii="Cambria" w:hAnsi="Cambria"/>
        </w:rPr>
        <w:t>.4</w:t>
      </w:r>
      <w:r w:rsidRPr="00686451">
        <w:rPr>
          <w:rFonts w:ascii="Cambria" w:hAnsi="Cambria"/>
        </w:rPr>
        <w:tab/>
        <w:t>review the regulations adopted by a board, council or committee of the Church and make any recommendations which it deems necessary regarding their compatibility with the rules governing the respective board, council or committee, and the Constitution and By-laws of the Church;</w:t>
      </w:r>
    </w:p>
    <w:p w14:paraId="7DD42BDA" w14:textId="6B07559B" w:rsidR="005A231D" w:rsidRPr="00686451" w:rsidRDefault="005A231D" w:rsidP="005A231D">
      <w:pPr>
        <w:tabs>
          <w:tab w:val="left" w:pos="567"/>
          <w:tab w:val="left" w:pos="1418"/>
          <w:tab w:val="left" w:pos="2268"/>
          <w:tab w:val="left" w:pos="3119"/>
          <w:tab w:val="left" w:pos="3969"/>
        </w:tabs>
        <w:spacing w:after="0" w:line="240" w:lineRule="auto"/>
        <w:ind w:left="1418" w:hanging="1418"/>
        <w:rPr>
          <w:rFonts w:ascii="Cambria" w:hAnsi="Cambria"/>
        </w:rPr>
      </w:pPr>
      <w:r>
        <w:rPr>
          <w:rFonts w:ascii="Cambria" w:hAnsi="Cambria"/>
        </w:rPr>
        <w:tab/>
        <w:t>7</w:t>
      </w:r>
      <w:r w:rsidRPr="00686451">
        <w:rPr>
          <w:rFonts w:ascii="Cambria" w:hAnsi="Cambria"/>
        </w:rPr>
        <w:t>.5</w:t>
      </w:r>
      <w:r w:rsidRPr="00686451">
        <w:rPr>
          <w:rFonts w:ascii="Cambria" w:hAnsi="Cambria"/>
        </w:rPr>
        <w:tab/>
        <w:t>review amendments or additions to or deletions from the Constitutions of the Auxiliaries of the Church, as proposed or adopted by the respective Auxiliary, and ensure that any such amendment, addition, or deletion is in harmony with the principles or resolutions of the Church;</w:t>
      </w:r>
    </w:p>
    <w:p w14:paraId="4FA35004" w14:textId="6A6DFE70" w:rsidR="005A231D" w:rsidRPr="00686451" w:rsidRDefault="005A231D" w:rsidP="005A231D">
      <w:pPr>
        <w:tabs>
          <w:tab w:val="left" w:pos="567"/>
          <w:tab w:val="left" w:pos="1418"/>
          <w:tab w:val="left" w:pos="2268"/>
          <w:tab w:val="left" w:pos="3119"/>
          <w:tab w:val="left" w:pos="3969"/>
        </w:tabs>
        <w:spacing w:after="0" w:line="240" w:lineRule="auto"/>
        <w:ind w:left="1418" w:hanging="1418"/>
        <w:rPr>
          <w:rFonts w:ascii="Cambria" w:hAnsi="Cambria"/>
        </w:rPr>
      </w:pPr>
      <w:r>
        <w:rPr>
          <w:rFonts w:ascii="Cambria" w:hAnsi="Cambria"/>
        </w:rPr>
        <w:tab/>
        <w:t>7</w:t>
      </w:r>
      <w:r w:rsidRPr="00686451">
        <w:rPr>
          <w:rFonts w:ascii="Cambria" w:hAnsi="Cambria"/>
        </w:rPr>
        <w:t>.6</w:t>
      </w:r>
      <w:r w:rsidRPr="00686451">
        <w:rPr>
          <w:rFonts w:ascii="Cambria" w:hAnsi="Cambria"/>
        </w:rPr>
        <w:tab/>
        <w:t>provide advice upon matters which pertain to the interpretation of the Constitution, rules or regulations of the Church, and upon request by the respective District or its Church Council to provide advice upon the Constitution, rules or regulations of a District;  and</w:t>
      </w:r>
    </w:p>
    <w:p w14:paraId="4741932D" w14:textId="5EF7A7E4" w:rsidR="005A231D" w:rsidRPr="00686451" w:rsidRDefault="005A231D" w:rsidP="005A231D">
      <w:pPr>
        <w:tabs>
          <w:tab w:val="left" w:pos="567"/>
          <w:tab w:val="left" w:pos="1418"/>
          <w:tab w:val="left" w:pos="2268"/>
          <w:tab w:val="left" w:pos="3119"/>
          <w:tab w:val="left" w:pos="3969"/>
        </w:tabs>
        <w:spacing w:after="0" w:line="240" w:lineRule="auto"/>
        <w:ind w:left="1418" w:hanging="1418"/>
        <w:rPr>
          <w:rFonts w:ascii="Cambria" w:hAnsi="Cambria"/>
        </w:rPr>
      </w:pPr>
      <w:r>
        <w:rPr>
          <w:rFonts w:ascii="Cambria" w:hAnsi="Cambria"/>
        </w:rPr>
        <w:tab/>
        <w:t>7</w:t>
      </w:r>
      <w:r w:rsidRPr="00686451">
        <w:rPr>
          <w:rFonts w:ascii="Cambria" w:hAnsi="Cambria"/>
        </w:rPr>
        <w:t>.7</w:t>
      </w:r>
      <w:r w:rsidRPr="00686451">
        <w:rPr>
          <w:rFonts w:ascii="Cambria" w:hAnsi="Cambria"/>
        </w:rPr>
        <w:tab/>
        <w:t xml:space="preserve">revise the Handbook of the Church after each convention of the General Synod, to bring it into harmony with the resolutions and changes adopted by the convention. </w:t>
      </w:r>
    </w:p>
    <w:p w14:paraId="39B80A80" w14:textId="77777777" w:rsidR="005A231D" w:rsidRPr="00686451" w:rsidRDefault="005A231D" w:rsidP="005A231D">
      <w:pPr>
        <w:tabs>
          <w:tab w:val="left" w:pos="567"/>
          <w:tab w:val="left" w:pos="1418"/>
          <w:tab w:val="left" w:pos="2268"/>
          <w:tab w:val="left" w:pos="3119"/>
          <w:tab w:val="left" w:pos="3969"/>
        </w:tabs>
        <w:spacing w:after="0" w:line="240" w:lineRule="auto"/>
        <w:ind w:left="567" w:hanging="567"/>
        <w:rPr>
          <w:rFonts w:ascii="Cambria" w:hAnsi="Cambria"/>
        </w:rPr>
      </w:pPr>
    </w:p>
    <w:p w14:paraId="6477B294" w14:textId="77777777" w:rsidR="005A231D" w:rsidRPr="00686451" w:rsidRDefault="005A231D" w:rsidP="005A231D">
      <w:pPr>
        <w:tabs>
          <w:tab w:val="left" w:pos="567"/>
          <w:tab w:val="left" w:pos="1418"/>
          <w:tab w:val="left" w:pos="2268"/>
          <w:tab w:val="left" w:pos="3119"/>
          <w:tab w:val="left" w:pos="3969"/>
        </w:tabs>
        <w:spacing w:after="0" w:line="240" w:lineRule="auto"/>
        <w:ind w:left="567" w:hanging="567"/>
        <w:rPr>
          <w:rFonts w:ascii="Cambria" w:hAnsi="Cambria"/>
          <w:b/>
        </w:rPr>
      </w:pPr>
      <w:r w:rsidRPr="00686451">
        <w:rPr>
          <w:rFonts w:ascii="Cambria" w:hAnsi="Cambria"/>
          <w:b/>
        </w:rPr>
        <w:t>8.</w:t>
      </w:r>
      <w:r w:rsidRPr="00686451">
        <w:rPr>
          <w:rFonts w:ascii="Cambria" w:hAnsi="Cambria"/>
          <w:b/>
        </w:rPr>
        <w:tab/>
        <w:t>REVIEW</w:t>
      </w:r>
    </w:p>
    <w:p w14:paraId="5F0ACF0D" w14:textId="77777777" w:rsidR="005A231D" w:rsidRPr="00686451" w:rsidRDefault="005A231D" w:rsidP="005A231D">
      <w:pPr>
        <w:tabs>
          <w:tab w:val="left" w:pos="567"/>
          <w:tab w:val="left" w:pos="1418"/>
          <w:tab w:val="left" w:pos="2268"/>
          <w:tab w:val="left" w:pos="3119"/>
          <w:tab w:val="left" w:pos="3969"/>
        </w:tabs>
        <w:spacing w:after="0" w:line="240" w:lineRule="auto"/>
        <w:ind w:left="1418" w:hanging="1418"/>
        <w:rPr>
          <w:rFonts w:ascii="Cambria" w:hAnsi="Cambria"/>
        </w:rPr>
      </w:pPr>
      <w:r w:rsidRPr="00686451">
        <w:rPr>
          <w:rFonts w:ascii="Cambria" w:hAnsi="Cambria"/>
        </w:rPr>
        <w:tab/>
        <w:t>8.1</w:t>
      </w:r>
      <w:r w:rsidRPr="00686451">
        <w:rPr>
          <w:rFonts w:ascii="Cambria" w:hAnsi="Cambria"/>
        </w:rPr>
        <w:tab/>
        <w:t xml:space="preserve">The Terms of Reference for the Committee shall be reviewed during each Synodical term. </w:t>
      </w:r>
    </w:p>
    <w:p w14:paraId="3CB60628" w14:textId="77777777" w:rsidR="005A231D" w:rsidRPr="00686451" w:rsidRDefault="005A231D" w:rsidP="005A231D">
      <w:pPr>
        <w:tabs>
          <w:tab w:val="left" w:pos="567"/>
          <w:tab w:val="left" w:pos="1418"/>
          <w:tab w:val="left" w:pos="2268"/>
          <w:tab w:val="left" w:pos="3119"/>
          <w:tab w:val="left" w:pos="3969"/>
        </w:tabs>
        <w:spacing w:after="0" w:line="240" w:lineRule="auto"/>
        <w:ind w:left="1418" w:hanging="1418"/>
        <w:rPr>
          <w:rFonts w:ascii="Cambria" w:hAnsi="Cambria"/>
        </w:rPr>
      </w:pPr>
      <w:r w:rsidRPr="00686451">
        <w:rPr>
          <w:rFonts w:ascii="Cambria" w:hAnsi="Cambria"/>
        </w:rPr>
        <w:tab/>
        <w:t>8.2</w:t>
      </w:r>
      <w:r w:rsidRPr="00686451">
        <w:rPr>
          <w:rFonts w:ascii="Cambria" w:hAnsi="Cambria"/>
        </w:rPr>
        <w:tab/>
        <w:t>Any changes to the Terms of Reference shall be approved by the General Church Board upon review by the Standing Committee on Constitutions.</w:t>
      </w:r>
    </w:p>
    <w:p w14:paraId="2E16FD9B" w14:textId="77777777" w:rsidR="005A231D" w:rsidRPr="00686451" w:rsidRDefault="005A231D" w:rsidP="005A231D">
      <w:pPr>
        <w:tabs>
          <w:tab w:val="left" w:pos="567"/>
          <w:tab w:val="left" w:pos="1418"/>
          <w:tab w:val="left" w:pos="2268"/>
          <w:tab w:val="left" w:pos="3119"/>
          <w:tab w:val="left" w:pos="3969"/>
        </w:tabs>
        <w:rPr>
          <w:rFonts w:ascii="Cambria" w:hAnsi="Cambria"/>
        </w:rPr>
      </w:pPr>
    </w:p>
    <w:p w14:paraId="7ED573C2" w14:textId="77777777" w:rsidR="005A231D" w:rsidRPr="000A7211" w:rsidRDefault="005A231D" w:rsidP="008006D9">
      <w:pPr>
        <w:tabs>
          <w:tab w:val="left" w:pos="567"/>
          <w:tab w:val="left" w:pos="1418"/>
          <w:tab w:val="left" w:pos="2268"/>
          <w:tab w:val="left" w:pos="3119"/>
          <w:tab w:val="left" w:pos="3969"/>
        </w:tabs>
        <w:spacing w:after="0" w:line="240" w:lineRule="auto"/>
        <w:ind w:left="1418" w:hanging="1418"/>
        <w:rPr>
          <w:rFonts w:ascii="Cambria" w:hAnsi="Cambria" w:cstheme="minorHAnsi"/>
          <w:b/>
        </w:rPr>
      </w:pPr>
    </w:p>
    <w:p w14:paraId="6D7B558E" w14:textId="77777777" w:rsidR="008006D9" w:rsidRPr="000A7211" w:rsidRDefault="008006D9" w:rsidP="008006D9">
      <w:pPr>
        <w:tabs>
          <w:tab w:val="left" w:pos="567"/>
          <w:tab w:val="left" w:pos="1418"/>
          <w:tab w:val="left" w:pos="2268"/>
          <w:tab w:val="left" w:pos="3119"/>
          <w:tab w:val="left" w:pos="3969"/>
        </w:tabs>
        <w:rPr>
          <w:rFonts w:ascii="Cambria" w:hAnsi="Cambria"/>
        </w:rPr>
      </w:pPr>
    </w:p>
    <w:p w14:paraId="359DB5C5" w14:textId="77777777" w:rsidR="005A231D" w:rsidRPr="00EA05C5" w:rsidRDefault="005A231D" w:rsidP="005A231D">
      <w:pPr>
        <w:pStyle w:val="Heading2"/>
      </w:pPr>
      <w:r w:rsidRPr="00EA05C5">
        <w:t>STANDING COMMITTEE ON NOMINATIONS</w:t>
      </w:r>
    </w:p>
    <w:p w14:paraId="7E531A7C" w14:textId="77777777" w:rsidR="005A231D" w:rsidRPr="00EA05C5" w:rsidRDefault="005A231D" w:rsidP="005A231D">
      <w:pPr>
        <w:tabs>
          <w:tab w:val="left" w:pos="567"/>
          <w:tab w:val="left" w:pos="1418"/>
          <w:tab w:val="left" w:pos="2268"/>
          <w:tab w:val="left" w:pos="3119"/>
          <w:tab w:val="left" w:pos="3969"/>
        </w:tabs>
        <w:spacing w:after="0" w:line="240" w:lineRule="auto"/>
        <w:ind w:left="567" w:hanging="567"/>
        <w:jc w:val="center"/>
        <w:rPr>
          <w:rFonts w:ascii="Cambria" w:hAnsi="Cambria" w:cstheme="minorHAnsi"/>
          <w:b/>
        </w:rPr>
      </w:pPr>
    </w:p>
    <w:p w14:paraId="552BF1AB" w14:textId="77777777" w:rsidR="005A231D" w:rsidRPr="00EA05C5" w:rsidRDefault="005A231D" w:rsidP="005A231D">
      <w:pPr>
        <w:pStyle w:val="Heading3"/>
      </w:pPr>
      <w:r w:rsidRPr="00EA05C5">
        <w:t xml:space="preserve">Terms of Reference </w:t>
      </w:r>
    </w:p>
    <w:p w14:paraId="11E3193F" w14:textId="77777777" w:rsidR="005A231D" w:rsidRPr="00EA05C5" w:rsidRDefault="005A231D" w:rsidP="005A231D">
      <w:pPr>
        <w:tabs>
          <w:tab w:val="left" w:pos="567"/>
          <w:tab w:val="left" w:pos="1418"/>
          <w:tab w:val="left" w:pos="2268"/>
          <w:tab w:val="left" w:pos="3119"/>
          <w:tab w:val="left" w:pos="3969"/>
        </w:tabs>
        <w:spacing w:after="0" w:line="240" w:lineRule="auto"/>
        <w:ind w:left="567" w:hanging="567"/>
        <w:jc w:val="center"/>
        <w:rPr>
          <w:rFonts w:ascii="Cambria" w:hAnsi="Cambria" w:cstheme="minorHAnsi"/>
          <w:b/>
        </w:rPr>
      </w:pPr>
    </w:p>
    <w:p w14:paraId="504C3D7C" w14:textId="77777777" w:rsidR="005A231D" w:rsidRPr="00EA05C5" w:rsidRDefault="005A231D" w:rsidP="005A231D">
      <w:pPr>
        <w:tabs>
          <w:tab w:val="left" w:pos="567"/>
          <w:tab w:val="left" w:pos="1418"/>
          <w:tab w:val="left" w:pos="2268"/>
          <w:tab w:val="left" w:pos="3119"/>
          <w:tab w:val="left" w:pos="3969"/>
        </w:tabs>
        <w:spacing w:after="0" w:line="240" w:lineRule="auto"/>
        <w:ind w:left="567" w:hanging="567"/>
        <w:jc w:val="center"/>
        <w:rPr>
          <w:rFonts w:ascii="Cambria" w:hAnsi="Cambria" w:cstheme="minorHAnsi"/>
          <w:b/>
        </w:rPr>
      </w:pPr>
    </w:p>
    <w:p w14:paraId="17DF8F59" w14:textId="77777777" w:rsidR="005A231D" w:rsidRPr="00EA05C5" w:rsidRDefault="005A231D" w:rsidP="005A231D">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EA05C5">
        <w:rPr>
          <w:rFonts w:ascii="Cambria" w:hAnsi="Cambria" w:cstheme="minorHAnsi"/>
          <w:b/>
        </w:rPr>
        <w:t xml:space="preserve">1. </w:t>
      </w:r>
      <w:r w:rsidRPr="00EA05C5">
        <w:rPr>
          <w:rFonts w:ascii="Cambria" w:hAnsi="Cambria" w:cstheme="minorHAnsi"/>
          <w:b/>
        </w:rPr>
        <w:tab/>
        <w:t xml:space="preserve">NAME </w:t>
      </w:r>
    </w:p>
    <w:p w14:paraId="768AFFE0" w14:textId="77777777" w:rsidR="005A231D" w:rsidRPr="00EA05C5" w:rsidRDefault="005A231D" w:rsidP="005A231D">
      <w:pPr>
        <w:tabs>
          <w:tab w:val="left" w:pos="567"/>
          <w:tab w:val="left" w:pos="1418"/>
          <w:tab w:val="left" w:pos="2268"/>
          <w:tab w:val="left" w:pos="3119"/>
          <w:tab w:val="left" w:pos="3969"/>
        </w:tabs>
        <w:spacing w:after="0" w:line="240" w:lineRule="auto"/>
        <w:ind w:left="567" w:hanging="567"/>
        <w:rPr>
          <w:rFonts w:ascii="Cambria" w:hAnsi="Cambria" w:cstheme="minorHAnsi"/>
        </w:rPr>
      </w:pPr>
      <w:r w:rsidRPr="00EA05C5">
        <w:rPr>
          <w:rFonts w:ascii="Cambria" w:hAnsi="Cambria" w:cstheme="minorHAnsi"/>
        </w:rPr>
        <w:tab/>
        <w:t>Standing Committee on Nominations, referred to as “the Committee”.</w:t>
      </w:r>
    </w:p>
    <w:p w14:paraId="4D873D91" w14:textId="77777777" w:rsidR="005A231D" w:rsidRPr="00EA05C5" w:rsidRDefault="005A231D" w:rsidP="005A231D">
      <w:pPr>
        <w:tabs>
          <w:tab w:val="left" w:pos="567"/>
          <w:tab w:val="left" w:pos="1418"/>
          <w:tab w:val="left" w:pos="2268"/>
          <w:tab w:val="left" w:pos="3119"/>
          <w:tab w:val="left" w:pos="3969"/>
        </w:tabs>
        <w:spacing w:after="0" w:line="240" w:lineRule="auto"/>
        <w:ind w:left="567" w:hanging="567"/>
        <w:rPr>
          <w:rFonts w:ascii="Cambria" w:hAnsi="Cambria" w:cstheme="minorHAnsi"/>
        </w:rPr>
      </w:pPr>
    </w:p>
    <w:p w14:paraId="5851D3FE" w14:textId="1C2E8DE2" w:rsidR="005A231D" w:rsidRPr="00EA05C5" w:rsidRDefault="005A231D" w:rsidP="005A231D">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EA05C5">
        <w:rPr>
          <w:rFonts w:ascii="Cambria" w:hAnsi="Cambria" w:cstheme="minorHAnsi"/>
          <w:b/>
        </w:rPr>
        <w:t>2.</w:t>
      </w:r>
      <w:r w:rsidRPr="00EA05C5">
        <w:rPr>
          <w:rFonts w:ascii="Cambria" w:hAnsi="Cambria" w:cstheme="minorHAnsi"/>
          <w:b/>
        </w:rPr>
        <w:tab/>
        <w:t>RELATIONSHIP TO THE CHURCH</w:t>
      </w:r>
    </w:p>
    <w:p w14:paraId="563E9BD4" w14:textId="77777777" w:rsidR="005A231D" w:rsidRPr="00EA05C5" w:rsidRDefault="005A231D" w:rsidP="005A231D">
      <w:pPr>
        <w:tabs>
          <w:tab w:val="left" w:pos="567"/>
          <w:tab w:val="left" w:pos="1418"/>
          <w:tab w:val="left" w:pos="2268"/>
          <w:tab w:val="left" w:pos="3119"/>
          <w:tab w:val="left" w:pos="3969"/>
        </w:tabs>
        <w:spacing w:after="0" w:line="240" w:lineRule="auto"/>
        <w:ind w:left="567" w:hanging="567"/>
        <w:rPr>
          <w:rFonts w:ascii="Cambria" w:hAnsi="Cambria" w:cstheme="minorHAnsi"/>
        </w:rPr>
      </w:pPr>
      <w:r w:rsidRPr="00EA05C5">
        <w:rPr>
          <w:rFonts w:ascii="Cambria" w:hAnsi="Cambria" w:cstheme="minorHAnsi"/>
          <w:b/>
        </w:rPr>
        <w:tab/>
      </w:r>
      <w:r w:rsidRPr="00EA05C5">
        <w:rPr>
          <w:rFonts w:ascii="Cambria" w:hAnsi="Cambria" w:cstheme="minorHAnsi"/>
        </w:rPr>
        <w:t>The Committee is accountable to the General Church Board</w:t>
      </w:r>
      <w:r w:rsidRPr="00EA05C5">
        <w:rPr>
          <w:rFonts w:ascii="Cambria" w:hAnsi="Cambria"/>
        </w:rPr>
        <w:t xml:space="preserve"> </w:t>
      </w:r>
      <w:r w:rsidRPr="00EA05C5">
        <w:rPr>
          <w:rFonts w:ascii="Cambria" w:hAnsi="Cambria" w:cstheme="minorHAnsi"/>
        </w:rPr>
        <w:t>and shall fulfil its responsibilities in keeping with the Constitution and the policies of the Church.</w:t>
      </w:r>
    </w:p>
    <w:p w14:paraId="3AECE4B7" w14:textId="77777777" w:rsidR="005A231D" w:rsidRPr="00EA05C5" w:rsidRDefault="005A231D" w:rsidP="005A231D">
      <w:pPr>
        <w:tabs>
          <w:tab w:val="left" w:pos="567"/>
          <w:tab w:val="left" w:pos="1418"/>
          <w:tab w:val="left" w:pos="2268"/>
          <w:tab w:val="left" w:pos="3119"/>
          <w:tab w:val="left" w:pos="3969"/>
        </w:tabs>
        <w:spacing w:after="0" w:line="240" w:lineRule="auto"/>
        <w:ind w:left="567" w:hanging="567"/>
        <w:rPr>
          <w:rFonts w:ascii="Cambria" w:hAnsi="Cambria" w:cstheme="minorHAnsi"/>
        </w:rPr>
      </w:pPr>
    </w:p>
    <w:p w14:paraId="2D0F0C02" w14:textId="77777777" w:rsidR="005A231D" w:rsidRPr="00EA05C5" w:rsidRDefault="005A231D" w:rsidP="005A231D">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EA05C5">
        <w:rPr>
          <w:rFonts w:ascii="Cambria" w:hAnsi="Cambria" w:cstheme="minorHAnsi"/>
          <w:b/>
        </w:rPr>
        <w:t>3.</w:t>
      </w:r>
      <w:r w:rsidRPr="00EA05C5">
        <w:rPr>
          <w:rFonts w:ascii="Cambria" w:hAnsi="Cambria" w:cstheme="minorHAnsi"/>
          <w:b/>
        </w:rPr>
        <w:tab/>
        <w:t>PURPOSE</w:t>
      </w:r>
    </w:p>
    <w:p w14:paraId="354C862A" w14:textId="77777777" w:rsidR="005A231D" w:rsidRPr="00EA05C5" w:rsidRDefault="005A231D" w:rsidP="005A231D">
      <w:pPr>
        <w:tabs>
          <w:tab w:val="left" w:pos="567"/>
          <w:tab w:val="left" w:pos="1418"/>
          <w:tab w:val="left" w:pos="2268"/>
          <w:tab w:val="left" w:pos="3119"/>
          <w:tab w:val="left" w:pos="3969"/>
        </w:tabs>
        <w:spacing w:after="0" w:line="240" w:lineRule="auto"/>
        <w:ind w:left="567" w:hanging="567"/>
        <w:rPr>
          <w:rFonts w:ascii="Cambria" w:hAnsi="Cambria" w:cstheme="minorHAnsi"/>
        </w:rPr>
      </w:pPr>
      <w:r w:rsidRPr="00EA05C5">
        <w:rPr>
          <w:rFonts w:ascii="Cambria" w:hAnsi="Cambria" w:cstheme="minorHAnsi"/>
        </w:rPr>
        <w:tab/>
        <w:t>The Committee shall</w:t>
      </w:r>
    </w:p>
    <w:p w14:paraId="17AEF87A" w14:textId="3BCB7B61" w:rsidR="005A231D" w:rsidRPr="00EA05C5" w:rsidRDefault="005A231D" w:rsidP="005A231D">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EA05C5">
        <w:rPr>
          <w:rFonts w:ascii="Cambria" w:hAnsi="Cambria" w:cstheme="minorHAnsi"/>
        </w:rPr>
        <w:tab/>
        <w:t xml:space="preserve">3.1 </w:t>
      </w:r>
      <w:r w:rsidRPr="00EA05C5">
        <w:rPr>
          <w:rFonts w:ascii="Cambria" w:hAnsi="Cambria" w:cstheme="minorHAnsi"/>
        </w:rPr>
        <w:tab/>
        <w:t>facilitate nominations to the governing bodies of the Church in close cooperation</w:t>
      </w:r>
      <w:r>
        <w:rPr>
          <w:rFonts w:ascii="Cambria" w:hAnsi="Cambria" w:cstheme="minorHAnsi"/>
        </w:rPr>
        <w:t xml:space="preserve"> </w:t>
      </w:r>
      <w:r w:rsidRPr="00EA05C5">
        <w:rPr>
          <w:rFonts w:ascii="Cambria" w:hAnsi="Cambria" w:cstheme="minorHAnsi"/>
        </w:rPr>
        <w:t>with the relevant bodies;</w:t>
      </w:r>
    </w:p>
    <w:p w14:paraId="2E7F1A2B" w14:textId="4BA9F6EB" w:rsidR="005A231D" w:rsidRPr="00EA05C5" w:rsidRDefault="005A231D" w:rsidP="005A231D">
      <w:pPr>
        <w:tabs>
          <w:tab w:val="left" w:pos="567"/>
          <w:tab w:val="left" w:pos="1418"/>
          <w:tab w:val="left" w:pos="2268"/>
          <w:tab w:val="left" w:pos="3119"/>
          <w:tab w:val="left" w:pos="3969"/>
        </w:tabs>
        <w:spacing w:after="0" w:line="240" w:lineRule="auto"/>
        <w:ind w:left="567" w:hanging="567"/>
        <w:rPr>
          <w:rFonts w:ascii="Cambria" w:hAnsi="Cambria" w:cstheme="minorHAnsi"/>
        </w:rPr>
      </w:pPr>
      <w:r w:rsidRPr="00EA05C5">
        <w:rPr>
          <w:rFonts w:ascii="Cambria" w:hAnsi="Cambria" w:cstheme="minorHAnsi"/>
        </w:rPr>
        <w:tab/>
        <w:t xml:space="preserve">3.2 </w:t>
      </w:r>
      <w:r w:rsidRPr="00EA05C5">
        <w:rPr>
          <w:rFonts w:ascii="Cambria" w:hAnsi="Cambria" w:cstheme="minorHAnsi"/>
        </w:rPr>
        <w:tab/>
        <w:t>seek appropriate p</w:t>
      </w:r>
      <w:r>
        <w:rPr>
          <w:rFonts w:ascii="Cambria" w:hAnsi="Cambria" w:cstheme="minorHAnsi"/>
        </w:rPr>
        <w:t>eople to serve on those bodies;</w:t>
      </w:r>
      <w:r w:rsidRPr="00EA05C5">
        <w:rPr>
          <w:rFonts w:ascii="Cambria" w:hAnsi="Cambria" w:cstheme="minorHAnsi"/>
        </w:rPr>
        <w:t xml:space="preserve"> and</w:t>
      </w:r>
    </w:p>
    <w:p w14:paraId="07CDDCC1" w14:textId="156777D8" w:rsidR="005A231D" w:rsidRPr="00EA05C5" w:rsidRDefault="005A231D" w:rsidP="005A231D">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EA05C5">
        <w:rPr>
          <w:rFonts w:ascii="Cambria" w:hAnsi="Cambria" w:cstheme="minorHAnsi"/>
        </w:rPr>
        <w:tab/>
        <w:t xml:space="preserve">3.3 </w:t>
      </w:r>
      <w:r w:rsidRPr="00EA05C5">
        <w:rPr>
          <w:rFonts w:ascii="Cambria" w:hAnsi="Cambria" w:cstheme="minorHAnsi"/>
        </w:rPr>
        <w:tab/>
        <w:t>carry out its duties during the synodical term and at the Convention of Synod as</w:t>
      </w:r>
      <w:r>
        <w:rPr>
          <w:rFonts w:ascii="Cambria" w:hAnsi="Cambria" w:cstheme="minorHAnsi"/>
        </w:rPr>
        <w:t xml:space="preserve"> </w:t>
      </w:r>
      <w:r w:rsidRPr="00EA05C5">
        <w:rPr>
          <w:rFonts w:ascii="Cambria" w:hAnsi="Cambria" w:cstheme="minorHAnsi"/>
        </w:rPr>
        <w:t>provided for in the By-Laws of the Church, Section 7.4.</w:t>
      </w:r>
    </w:p>
    <w:p w14:paraId="7F9A9FD1" w14:textId="77777777" w:rsidR="005A231D" w:rsidRPr="00EA05C5" w:rsidRDefault="005A231D" w:rsidP="005A231D">
      <w:pPr>
        <w:tabs>
          <w:tab w:val="left" w:pos="567"/>
          <w:tab w:val="left" w:pos="1418"/>
          <w:tab w:val="left" w:pos="2268"/>
          <w:tab w:val="left" w:pos="3119"/>
          <w:tab w:val="left" w:pos="3969"/>
        </w:tabs>
        <w:spacing w:after="0" w:line="240" w:lineRule="auto"/>
        <w:ind w:left="567" w:hanging="567"/>
        <w:rPr>
          <w:rFonts w:ascii="Cambria" w:hAnsi="Cambria" w:cstheme="minorHAnsi"/>
        </w:rPr>
      </w:pPr>
    </w:p>
    <w:p w14:paraId="69F20E9B" w14:textId="77777777" w:rsidR="005A231D" w:rsidRPr="00EA05C5" w:rsidRDefault="005A231D" w:rsidP="005A231D">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EA05C5">
        <w:rPr>
          <w:rFonts w:ascii="Cambria" w:hAnsi="Cambria" w:cstheme="minorHAnsi"/>
          <w:b/>
        </w:rPr>
        <w:t>4.</w:t>
      </w:r>
      <w:r w:rsidRPr="00EA05C5">
        <w:rPr>
          <w:rFonts w:ascii="Cambria" w:hAnsi="Cambria" w:cstheme="minorHAnsi"/>
          <w:b/>
        </w:rPr>
        <w:tab/>
        <w:t>AUTHORITY</w:t>
      </w:r>
    </w:p>
    <w:p w14:paraId="06274FEA" w14:textId="77777777" w:rsidR="005A231D" w:rsidRPr="00EA05C5" w:rsidRDefault="005A231D" w:rsidP="005A231D">
      <w:pPr>
        <w:tabs>
          <w:tab w:val="left" w:pos="567"/>
          <w:tab w:val="left" w:pos="1418"/>
          <w:tab w:val="left" w:pos="2268"/>
          <w:tab w:val="left" w:pos="3119"/>
          <w:tab w:val="left" w:pos="3969"/>
        </w:tabs>
        <w:spacing w:after="0" w:line="240" w:lineRule="auto"/>
        <w:ind w:left="567" w:hanging="567"/>
        <w:rPr>
          <w:rFonts w:ascii="Cambria" w:hAnsi="Cambria" w:cstheme="minorHAnsi"/>
        </w:rPr>
      </w:pPr>
      <w:r w:rsidRPr="00EA05C5">
        <w:rPr>
          <w:rFonts w:ascii="Cambria" w:hAnsi="Cambria" w:cstheme="minorHAnsi"/>
        </w:rPr>
        <w:tab/>
        <w:t>The Committee has no decision-making authority.</w:t>
      </w:r>
    </w:p>
    <w:p w14:paraId="2D31844C" w14:textId="77777777" w:rsidR="005A231D" w:rsidRPr="00EA05C5" w:rsidRDefault="005A231D" w:rsidP="005A231D">
      <w:pPr>
        <w:tabs>
          <w:tab w:val="left" w:pos="567"/>
          <w:tab w:val="left" w:pos="1418"/>
          <w:tab w:val="left" w:pos="2268"/>
          <w:tab w:val="left" w:pos="3119"/>
          <w:tab w:val="left" w:pos="3969"/>
        </w:tabs>
        <w:spacing w:after="0" w:line="240" w:lineRule="auto"/>
        <w:ind w:left="567" w:hanging="567"/>
        <w:rPr>
          <w:rFonts w:ascii="Cambria" w:hAnsi="Cambria" w:cstheme="minorHAnsi"/>
        </w:rPr>
      </w:pPr>
    </w:p>
    <w:p w14:paraId="5FAD2B9A" w14:textId="77777777" w:rsidR="005A231D" w:rsidRPr="00EA05C5" w:rsidRDefault="005A231D" w:rsidP="005A231D">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EA05C5">
        <w:rPr>
          <w:rFonts w:ascii="Cambria" w:hAnsi="Cambria" w:cstheme="minorHAnsi"/>
          <w:b/>
        </w:rPr>
        <w:t xml:space="preserve">5. </w:t>
      </w:r>
      <w:r w:rsidRPr="00EA05C5">
        <w:rPr>
          <w:rFonts w:ascii="Cambria" w:hAnsi="Cambria" w:cstheme="minorHAnsi"/>
          <w:b/>
        </w:rPr>
        <w:tab/>
        <w:t>MEMBERSHIP</w:t>
      </w:r>
    </w:p>
    <w:p w14:paraId="116EA48A" w14:textId="77777777" w:rsidR="005A231D" w:rsidRPr="00EA05C5" w:rsidRDefault="005A231D" w:rsidP="005A231D">
      <w:pPr>
        <w:tabs>
          <w:tab w:val="left" w:pos="567"/>
          <w:tab w:val="left" w:pos="1418"/>
          <w:tab w:val="left" w:pos="2268"/>
          <w:tab w:val="left" w:pos="3119"/>
          <w:tab w:val="left" w:pos="3969"/>
        </w:tabs>
        <w:spacing w:after="0" w:line="240" w:lineRule="auto"/>
        <w:ind w:left="567" w:hanging="567"/>
        <w:rPr>
          <w:rFonts w:ascii="Cambria" w:hAnsi="Cambria" w:cstheme="minorHAnsi"/>
        </w:rPr>
      </w:pPr>
      <w:r w:rsidRPr="00EA05C5">
        <w:rPr>
          <w:rFonts w:ascii="Cambria" w:hAnsi="Cambria" w:cstheme="minorHAnsi"/>
        </w:rPr>
        <w:tab/>
        <w:t xml:space="preserve">5.1 </w:t>
      </w:r>
      <w:r w:rsidRPr="00EA05C5">
        <w:rPr>
          <w:rFonts w:ascii="Cambria" w:hAnsi="Cambria" w:cstheme="minorHAnsi"/>
        </w:rPr>
        <w:tab/>
        <w:t>The Committee shall consist of seven [7] members:</w:t>
      </w:r>
    </w:p>
    <w:p w14:paraId="5CAB03B2" w14:textId="77777777" w:rsidR="005A231D" w:rsidRPr="00EA05C5" w:rsidRDefault="005A231D" w:rsidP="005A231D">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EA05C5">
        <w:rPr>
          <w:rFonts w:ascii="Cambria" w:hAnsi="Cambria" w:cstheme="minorHAnsi"/>
        </w:rPr>
        <w:tab/>
      </w:r>
      <w:r w:rsidRPr="00EA05C5">
        <w:rPr>
          <w:rFonts w:ascii="Cambria" w:hAnsi="Cambria" w:cstheme="minorHAnsi"/>
        </w:rPr>
        <w:tab/>
        <w:t xml:space="preserve">5.1.1 </w:t>
      </w:r>
      <w:r w:rsidRPr="00EA05C5">
        <w:rPr>
          <w:rFonts w:ascii="Cambria" w:hAnsi="Cambria" w:cstheme="minorHAnsi"/>
        </w:rPr>
        <w:tab/>
        <w:t>one [1] pastor and five [5] lay members, appointed by the General Church Board;  and</w:t>
      </w:r>
    </w:p>
    <w:p w14:paraId="27B99B08" w14:textId="77777777" w:rsidR="005A231D" w:rsidRPr="00EA05C5" w:rsidRDefault="005A231D" w:rsidP="005A231D">
      <w:pPr>
        <w:tabs>
          <w:tab w:val="left" w:pos="567"/>
          <w:tab w:val="left" w:pos="1418"/>
          <w:tab w:val="left" w:pos="2268"/>
          <w:tab w:val="left" w:pos="3119"/>
          <w:tab w:val="left" w:pos="3969"/>
        </w:tabs>
        <w:spacing w:after="0" w:line="240" w:lineRule="auto"/>
        <w:ind w:left="567" w:hanging="567"/>
        <w:rPr>
          <w:rFonts w:ascii="Cambria" w:hAnsi="Cambria" w:cstheme="minorHAnsi"/>
        </w:rPr>
      </w:pPr>
      <w:r w:rsidRPr="00EA05C5">
        <w:rPr>
          <w:rFonts w:ascii="Cambria" w:hAnsi="Cambria" w:cstheme="minorHAnsi"/>
        </w:rPr>
        <w:tab/>
      </w:r>
      <w:r w:rsidRPr="00EA05C5">
        <w:rPr>
          <w:rFonts w:ascii="Cambria" w:hAnsi="Cambria" w:cstheme="minorHAnsi"/>
        </w:rPr>
        <w:tab/>
        <w:t xml:space="preserve">5.1.2 </w:t>
      </w:r>
      <w:r w:rsidRPr="00EA05C5">
        <w:rPr>
          <w:rFonts w:ascii="Cambria" w:hAnsi="Cambria" w:cstheme="minorHAnsi"/>
        </w:rPr>
        <w:tab/>
        <w:t>one [1] member of the General Church Board.</w:t>
      </w:r>
    </w:p>
    <w:p w14:paraId="167D53CE" w14:textId="77777777" w:rsidR="005A231D" w:rsidRPr="00EA05C5" w:rsidRDefault="005A231D" w:rsidP="005A231D">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EA05C5">
        <w:rPr>
          <w:rFonts w:ascii="Cambria" w:hAnsi="Cambria" w:cstheme="minorHAnsi"/>
        </w:rPr>
        <w:tab/>
        <w:t xml:space="preserve">5.2 </w:t>
      </w:r>
      <w:r w:rsidRPr="00EA05C5">
        <w:rPr>
          <w:rFonts w:ascii="Cambria" w:hAnsi="Cambria" w:cstheme="minorHAnsi"/>
        </w:rPr>
        <w:tab/>
        <w:t>The Chairperson shall be appointed by the General Church Board from the membership of the Committee.</w:t>
      </w:r>
    </w:p>
    <w:p w14:paraId="6104CDC4" w14:textId="77777777" w:rsidR="005A231D" w:rsidRPr="000A2198" w:rsidRDefault="005A231D" w:rsidP="005A231D">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EA05C5">
        <w:rPr>
          <w:rFonts w:ascii="Cambria" w:hAnsi="Cambria" w:cstheme="minorHAnsi"/>
        </w:rPr>
        <w:tab/>
      </w:r>
      <w:r w:rsidRPr="00EA05C5">
        <w:rPr>
          <w:rFonts w:ascii="Cambria" w:hAnsi="Cambria" w:cstheme="minorHAnsi"/>
          <w:b/>
        </w:rPr>
        <w:t>5.3</w:t>
      </w:r>
      <w:r w:rsidRPr="00EA05C5">
        <w:rPr>
          <w:rFonts w:ascii="Cambria" w:hAnsi="Cambria" w:cstheme="minorHAnsi"/>
          <w:b/>
        </w:rPr>
        <w:tab/>
      </w:r>
      <w:r w:rsidRPr="000A2198">
        <w:rPr>
          <w:rFonts w:ascii="Cambria" w:hAnsi="Cambria" w:cstheme="minorHAnsi"/>
        </w:rPr>
        <w:t>The Committee shall consist of people with a passion for ministry and mission.</w:t>
      </w:r>
    </w:p>
    <w:p w14:paraId="1056C06E" w14:textId="77777777" w:rsidR="005A231D" w:rsidRPr="000A2198" w:rsidRDefault="005A231D" w:rsidP="005A231D">
      <w:pPr>
        <w:tabs>
          <w:tab w:val="left" w:pos="567"/>
          <w:tab w:val="left" w:pos="1418"/>
          <w:tab w:val="left" w:pos="2268"/>
          <w:tab w:val="left" w:pos="3119"/>
          <w:tab w:val="left" w:pos="3969"/>
        </w:tabs>
        <w:spacing w:after="0" w:line="240" w:lineRule="auto"/>
        <w:ind w:left="1418" w:hanging="1418"/>
        <w:rPr>
          <w:rFonts w:ascii="Cambria" w:hAnsi="Cambria"/>
        </w:rPr>
      </w:pPr>
      <w:r w:rsidRPr="000A2198">
        <w:rPr>
          <w:rFonts w:ascii="Cambria" w:hAnsi="Cambria"/>
        </w:rPr>
        <w:tab/>
        <w:t>5.4</w:t>
      </w:r>
      <w:r w:rsidRPr="000A2198">
        <w:rPr>
          <w:rFonts w:ascii="Cambria" w:hAnsi="Cambria"/>
        </w:rPr>
        <w:tab/>
        <w:t>The membership shall include a mix of backgrounds and perspectives which, together with the relevant skills, qualifications and experience will enable the Committee to fulfil its role.</w:t>
      </w:r>
    </w:p>
    <w:p w14:paraId="6B2108D6" w14:textId="77777777" w:rsidR="005A231D" w:rsidRPr="00EA05C5" w:rsidRDefault="005A231D" w:rsidP="005A231D">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EA05C5">
        <w:rPr>
          <w:rFonts w:ascii="Cambria" w:hAnsi="Cambria"/>
          <w:b/>
        </w:rPr>
        <w:tab/>
      </w:r>
      <w:r w:rsidRPr="00EA05C5">
        <w:rPr>
          <w:rFonts w:ascii="Cambria" w:hAnsi="Cambria" w:cstheme="minorHAnsi"/>
        </w:rPr>
        <w:t>5.5</w:t>
      </w:r>
      <w:r w:rsidRPr="00EA05C5">
        <w:rPr>
          <w:rFonts w:ascii="Cambria" w:hAnsi="Cambria" w:cstheme="minorHAnsi"/>
        </w:rPr>
        <w:tab/>
        <w:t>The term of appointment for all members will be for a Synodical term.</w:t>
      </w:r>
    </w:p>
    <w:p w14:paraId="6D5CE184" w14:textId="77777777" w:rsidR="005A231D" w:rsidRPr="00EA05C5" w:rsidRDefault="005A231D" w:rsidP="005A231D">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EA05C5">
        <w:rPr>
          <w:rFonts w:ascii="Cambria" w:hAnsi="Cambria" w:cstheme="minorHAnsi"/>
        </w:rPr>
        <w:tab/>
        <w:t>5.6</w:t>
      </w:r>
      <w:r w:rsidRPr="00EA05C5">
        <w:rPr>
          <w:rFonts w:ascii="Cambria" w:hAnsi="Cambria" w:cstheme="minorHAnsi"/>
        </w:rPr>
        <w:tab/>
        <w:t>The Executive Officer of the Church shall be a consultant.</w:t>
      </w:r>
    </w:p>
    <w:p w14:paraId="1F4474D3" w14:textId="77777777" w:rsidR="005A231D" w:rsidRPr="00EA05C5" w:rsidRDefault="005A231D" w:rsidP="005A231D">
      <w:pPr>
        <w:tabs>
          <w:tab w:val="left" w:pos="567"/>
          <w:tab w:val="left" w:pos="1418"/>
          <w:tab w:val="left" w:pos="2268"/>
          <w:tab w:val="left" w:pos="3119"/>
          <w:tab w:val="left" w:pos="3969"/>
        </w:tabs>
        <w:spacing w:after="0" w:line="240" w:lineRule="auto"/>
        <w:ind w:left="567" w:hanging="567"/>
        <w:rPr>
          <w:rFonts w:ascii="Cambria" w:hAnsi="Cambria" w:cstheme="minorHAnsi"/>
        </w:rPr>
      </w:pPr>
    </w:p>
    <w:p w14:paraId="20427D79" w14:textId="77777777" w:rsidR="005A231D" w:rsidRPr="00EA05C5" w:rsidRDefault="005A231D" w:rsidP="005A231D">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EA05C5">
        <w:rPr>
          <w:rFonts w:ascii="Cambria" w:hAnsi="Cambria" w:cstheme="minorHAnsi"/>
          <w:b/>
        </w:rPr>
        <w:t xml:space="preserve">6. </w:t>
      </w:r>
      <w:r w:rsidRPr="00EA05C5">
        <w:rPr>
          <w:rFonts w:ascii="Cambria" w:hAnsi="Cambria" w:cstheme="minorHAnsi"/>
          <w:b/>
        </w:rPr>
        <w:tab/>
        <w:t>MEETING ARRANGEMENTS AND REPORTING</w:t>
      </w:r>
    </w:p>
    <w:p w14:paraId="31D454FD" w14:textId="77777777" w:rsidR="005A231D" w:rsidRPr="00EA05C5" w:rsidRDefault="005A231D" w:rsidP="005A231D">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EA05C5">
        <w:rPr>
          <w:rFonts w:ascii="Cambria" w:hAnsi="Cambria" w:cstheme="minorHAnsi"/>
        </w:rPr>
        <w:tab/>
        <w:t>6.1</w:t>
      </w:r>
      <w:r w:rsidRPr="00EA05C5">
        <w:rPr>
          <w:rFonts w:ascii="Cambria" w:hAnsi="Cambria" w:cstheme="minorHAnsi"/>
        </w:rPr>
        <w:tab/>
        <w:t xml:space="preserve">Meetings shall be convened by the Chairperson.  </w:t>
      </w:r>
    </w:p>
    <w:p w14:paraId="39CD3312" w14:textId="77777777" w:rsidR="005A231D" w:rsidRPr="00EA05C5" w:rsidRDefault="005A231D" w:rsidP="005A231D">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EA05C5">
        <w:rPr>
          <w:rFonts w:ascii="Cambria" w:hAnsi="Cambria" w:cstheme="minorHAnsi"/>
        </w:rPr>
        <w:tab/>
        <w:t>6.2</w:t>
      </w:r>
      <w:r w:rsidRPr="00EA05C5">
        <w:rPr>
          <w:rFonts w:ascii="Cambria" w:hAnsi="Cambria" w:cstheme="minorHAnsi"/>
        </w:rPr>
        <w:tab/>
        <w:t>It is at the discretion of the Committee to meet face-to-face, by electronic means, or by other means of communication.</w:t>
      </w:r>
    </w:p>
    <w:p w14:paraId="102D061E" w14:textId="77777777" w:rsidR="005A231D" w:rsidRPr="00EA05C5" w:rsidRDefault="005A231D" w:rsidP="005A231D">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EA05C5">
        <w:rPr>
          <w:rFonts w:ascii="Cambria" w:hAnsi="Cambria" w:cstheme="minorHAnsi"/>
        </w:rPr>
        <w:tab/>
        <w:t xml:space="preserve">6.2 </w:t>
      </w:r>
      <w:r w:rsidRPr="00EA05C5">
        <w:rPr>
          <w:rFonts w:ascii="Cambria" w:hAnsi="Cambria" w:cstheme="minorHAnsi"/>
        </w:rPr>
        <w:tab/>
        <w:t>Special meetings of the Committee may be held prior to and at the regular convention of the General Synod.</w:t>
      </w:r>
    </w:p>
    <w:p w14:paraId="2A5078CD" w14:textId="77777777" w:rsidR="005A231D" w:rsidRPr="00EA05C5" w:rsidRDefault="005A231D" w:rsidP="005A231D">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EA05C5">
        <w:rPr>
          <w:rFonts w:ascii="Cambria" w:hAnsi="Cambria" w:cstheme="minorHAnsi"/>
        </w:rPr>
        <w:tab/>
        <w:t>6.4</w:t>
      </w:r>
      <w:r w:rsidRPr="00EA05C5">
        <w:rPr>
          <w:rFonts w:ascii="Cambria" w:hAnsi="Cambria" w:cstheme="minorHAnsi"/>
        </w:rPr>
        <w:tab/>
        <w:t>Email correspondence may be used for the distribution of minutes, advisory information or approval of documentation.</w:t>
      </w:r>
    </w:p>
    <w:p w14:paraId="6C372A62" w14:textId="77777777" w:rsidR="005A231D" w:rsidRPr="00EA05C5" w:rsidRDefault="005A231D" w:rsidP="005A231D">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EA05C5">
        <w:rPr>
          <w:rFonts w:ascii="Cambria" w:hAnsi="Cambria" w:cstheme="minorHAnsi"/>
        </w:rPr>
        <w:tab/>
        <w:t>6.5</w:t>
      </w:r>
      <w:r w:rsidRPr="00EA05C5">
        <w:rPr>
          <w:rFonts w:ascii="Cambria" w:hAnsi="Cambria" w:cstheme="minorHAnsi"/>
        </w:rPr>
        <w:tab/>
        <w:t>The minutes of the meetings of the Committee shall be submitted to the General Church Board.</w:t>
      </w:r>
    </w:p>
    <w:p w14:paraId="1B61F09C" w14:textId="77777777" w:rsidR="005A231D" w:rsidRPr="00EA05C5" w:rsidRDefault="005A231D" w:rsidP="005A231D">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EA05C5">
        <w:rPr>
          <w:rFonts w:ascii="Cambria" w:hAnsi="Cambria" w:cstheme="minorHAnsi"/>
        </w:rPr>
        <w:tab/>
        <w:t>6.6</w:t>
      </w:r>
      <w:r w:rsidRPr="00EA05C5">
        <w:rPr>
          <w:rFonts w:ascii="Cambria" w:hAnsi="Cambria" w:cstheme="minorHAnsi"/>
        </w:rPr>
        <w:tab/>
        <w:t>An annual report of the activities of the Committee shall be submitted to the General Church Board.</w:t>
      </w:r>
    </w:p>
    <w:p w14:paraId="17583FA8" w14:textId="77777777" w:rsidR="005A231D" w:rsidRPr="00EA05C5" w:rsidRDefault="005A231D" w:rsidP="005A231D">
      <w:pPr>
        <w:tabs>
          <w:tab w:val="left" w:pos="567"/>
          <w:tab w:val="left" w:pos="1418"/>
          <w:tab w:val="left" w:pos="2268"/>
          <w:tab w:val="left" w:pos="3119"/>
          <w:tab w:val="left" w:pos="3969"/>
        </w:tabs>
        <w:spacing w:after="0" w:line="240" w:lineRule="auto"/>
        <w:ind w:left="567" w:hanging="567"/>
        <w:rPr>
          <w:rFonts w:ascii="Cambria" w:hAnsi="Cambria" w:cstheme="minorHAnsi"/>
        </w:rPr>
      </w:pPr>
    </w:p>
    <w:p w14:paraId="2F8EBF3D" w14:textId="77777777" w:rsidR="005A231D" w:rsidRPr="00EA05C5" w:rsidRDefault="005A231D" w:rsidP="005A231D">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EA05C5">
        <w:rPr>
          <w:rFonts w:ascii="Cambria" w:hAnsi="Cambria" w:cstheme="minorHAnsi"/>
          <w:b/>
        </w:rPr>
        <w:t xml:space="preserve">7. </w:t>
      </w:r>
      <w:r w:rsidRPr="00EA05C5">
        <w:rPr>
          <w:rFonts w:ascii="Cambria" w:hAnsi="Cambria" w:cstheme="minorHAnsi"/>
          <w:b/>
        </w:rPr>
        <w:tab/>
        <w:t>RESPONSIBILITIES</w:t>
      </w:r>
    </w:p>
    <w:p w14:paraId="124B4B46" w14:textId="77777777" w:rsidR="005A231D" w:rsidRPr="00EA05C5" w:rsidRDefault="005A231D" w:rsidP="005A231D">
      <w:pPr>
        <w:tabs>
          <w:tab w:val="left" w:pos="567"/>
          <w:tab w:val="left" w:pos="1418"/>
          <w:tab w:val="left" w:pos="2268"/>
          <w:tab w:val="left" w:pos="3119"/>
          <w:tab w:val="left" w:pos="3969"/>
        </w:tabs>
        <w:spacing w:after="0" w:line="240" w:lineRule="auto"/>
        <w:ind w:left="567" w:hanging="567"/>
        <w:rPr>
          <w:rFonts w:ascii="Cambria" w:hAnsi="Cambria" w:cstheme="minorHAnsi"/>
        </w:rPr>
      </w:pPr>
      <w:r w:rsidRPr="00EA05C5">
        <w:rPr>
          <w:rFonts w:ascii="Cambria" w:hAnsi="Cambria" w:cstheme="minorHAnsi"/>
        </w:rPr>
        <w:tab/>
        <w:t xml:space="preserve">7.1 </w:t>
      </w:r>
      <w:r w:rsidRPr="00EA05C5">
        <w:rPr>
          <w:rFonts w:ascii="Cambria" w:hAnsi="Cambria" w:cstheme="minorHAnsi"/>
        </w:rPr>
        <w:tab/>
        <w:t xml:space="preserve">The Committee shall </w:t>
      </w:r>
    </w:p>
    <w:p w14:paraId="6D93742D" w14:textId="77777777" w:rsidR="005A231D" w:rsidRPr="00EA05C5" w:rsidRDefault="005A231D" w:rsidP="005A231D">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EA05C5">
        <w:rPr>
          <w:rFonts w:ascii="Cambria" w:hAnsi="Cambria" w:cstheme="minorHAnsi"/>
        </w:rPr>
        <w:tab/>
      </w:r>
      <w:r w:rsidRPr="00EA05C5">
        <w:rPr>
          <w:rFonts w:ascii="Cambria" w:hAnsi="Cambria" w:cstheme="minorHAnsi"/>
        </w:rPr>
        <w:tab/>
        <w:t xml:space="preserve">7.1.1 </w:t>
      </w:r>
      <w:r w:rsidRPr="00EA05C5">
        <w:rPr>
          <w:rFonts w:ascii="Cambria" w:hAnsi="Cambria" w:cstheme="minorHAnsi"/>
        </w:rPr>
        <w:tab/>
        <w:t>develop and implement processes that enable members of the Church to offer themselves for service on a board, council, commission or committee of the Church at any time;</w:t>
      </w:r>
    </w:p>
    <w:p w14:paraId="4CDCC195" w14:textId="77777777" w:rsidR="005A231D" w:rsidRPr="00EA05C5" w:rsidRDefault="005A231D" w:rsidP="005A231D">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EA05C5">
        <w:rPr>
          <w:rFonts w:ascii="Cambria" w:hAnsi="Cambria" w:cstheme="minorHAnsi"/>
        </w:rPr>
        <w:tab/>
      </w:r>
      <w:r w:rsidRPr="00EA05C5">
        <w:rPr>
          <w:rFonts w:ascii="Cambria" w:hAnsi="Cambria" w:cstheme="minorHAnsi"/>
        </w:rPr>
        <w:tab/>
        <w:t xml:space="preserve">7.1.2 </w:t>
      </w:r>
      <w:r w:rsidRPr="00EA05C5">
        <w:rPr>
          <w:rFonts w:ascii="Cambria" w:hAnsi="Cambria" w:cstheme="minorHAnsi"/>
        </w:rPr>
        <w:tab/>
        <w:t>develop a systematic approach to the retention and retrieval of the nominations received from members of the Church which can be accessed when needed;</w:t>
      </w:r>
    </w:p>
    <w:p w14:paraId="4BFB45DF" w14:textId="77777777" w:rsidR="005A231D" w:rsidRPr="00EA05C5" w:rsidRDefault="005A231D" w:rsidP="005A231D">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EA05C5">
        <w:rPr>
          <w:rFonts w:ascii="Cambria" w:hAnsi="Cambria" w:cstheme="minorHAnsi"/>
        </w:rPr>
        <w:tab/>
      </w:r>
      <w:r w:rsidRPr="00EA05C5">
        <w:rPr>
          <w:rFonts w:ascii="Cambria" w:hAnsi="Cambria" w:cstheme="minorHAnsi"/>
        </w:rPr>
        <w:tab/>
        <w:t xml:space="preserve">7.1.3 </w:t>
      </w:r>
      <w:r w:rsidRPr="00EA05C5">
        <w:rPr>
          <w:rFonts w:ascii="Cambria" w:hAnsi="Cambria" w:cstheme="minorHAnsi"/>
        </w:rPr>
        <w:tab/>
        <w:t>facilitate a process to liaise with boards, councils, commissions and committees to understand the strategic and operational decisions such bodies will need to make in a given Synodical term;</w:t>
      </w:r>
    </w:p>
    <w:p w14:paraId="01B46690" w14:textId="77777777" w:rsidR="005A231D" w:rsidRPr="00EA05C5" w:rsidRDefault="005A231D" w:rsidP="005A231D">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EA05C5">
        <w:rPr>
          <w:rFonts w:ascii="Cambria" w:hAnsi="Cambria" w:cstheme="minorHAnsi"/>
        </w:rPr>
        <w:tab/>
      </w:r>
      <w:r w:rsidRPr="00EA05C5">
        <w:rPr>
          <w:rFonts w:ascii="Cambria" w:hAnsi="Cambria" w:cstheme="minorHAnsi"/>
        </w:rPr>
        <w:tab/>
        <w:t xml:space="preserve">7.1.4 </w:t>
      </w:r>
      <w:r w:rsidRPr="00EA05C5">
        <w:rPr>
          <w:rFonts w:ascii="Cambria" w:hAnsi="Cambria" w:cstheme="minorHAnsi"/>
        </w:rPr>
        <w:tab/>
        <w:t>liaise with the governing bodies to identify the skills, experience and competencies such bodies will need;</w:t>
      </w:r>
    </w:p>
    <w:p w14:paraId="00CF6108" w14:textId="77777777" w:rsidR="005A231D" w:rsidRPr="00EA05C5" w:rsidRDefault="005A231D" w:rsidP="005A231D">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EA05C5">
        <w:rPr>
          <w:rFonts w:ascii="Cambria" w:hAnsi="Cambria" w:cstheme="minorHAnsi"/>
        </w:rPr>
        <w:tab/>
      </w:r>
      <w:r w:rsidRPr="00EA05C5">
        <w:rPr>
          <w:rFonts w:ascii="Cambria" w:hAnsi="Cambria" w:cstheme="minorHAnsi"/>
        </w:rPr>
        <w:tab/>
        <w:t xml:space="preserve">7.1.5 </w:t>
      </w:r>
      <w:r w:rsidRPr="00EA05C5">
        <w:rPr>
          <w:rFonts w:ascii="Cambria" w:hAnsi="Cambria" w:cstheme="minorHAnsi"/>
        </w:rPr>
        <w:tab/>
        <w:t>identify membership needs and consider the availability of suitable personnel to meet such needs;</w:t>
      </w:r>
    </w:p>
    <w:p w14:paraId="2ECA24A9" w14:textId="77777777" w:rsidR="005A231D" w:rsidRPr="00EA05C5" w:rsidRDefault="005A231D" w:rsidP="005A231D">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EA05C5">
        <w:rPr>
          <w:rFonts w:ascii="Cambria" w:hAnsi="Cambria" w:cstheme="minorHAnsi"/>
        </w:rPr>
        <w:tab/>
      </w:r>
      <w:r w:rsidRPr="00EA05C5">
        <w:rPr>
          <w:rFonts w:ascii="Cambria" w:hAnsi="Cambria" w:cstheme="minorHAnsi"/>
        </w:rPr>
        <w:tab/>
        <w:t xml:space="preserve">7.1.6 </w:t>
      </w:r>
      <w:r w:rsidRPr="00EA05C5">
        <w:rPr>
          <w:rFonts w:ascii="Cambria" w:hAnsi="Cambria" w:cstheme="minorHAnsi"/>
        </w:rPr>
        <w:tab/>
        <w:t>ensure that sufficient nominations are presented to fill all positions;</w:t>
      </w:r>
    </w:p>
    <w:p w14:paraId="1BED2D13" w14:textId="77777777" w:rsidR="005A231D" w:rsidRPr="00EA05C5" w:rsidRDefault="005A231D" w:rsidP="005A231D">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EA05C5">
        <w:rPr>
          <w:rFonts w:ascii="Cambria" w:hAnsi="Cambria" w:cstheme="minorHAnsi"/>
        </w:rPr>
        <w:lastRenderedPageBreak/>
        <w:tab/>
      </w:r>
      <w:r w:rsidRPr="00EA05C5">
        <w:rPr>
          <w:rFonts w:ascii="Cambria" w:hAnsi="Cambria" w:cstheme="minorHAnsi"/>
        </w:rPr>
        <w:tab/>
        <w:t xml:space="preserve">7.1.7 </w:t>
      </w:r>
      <w:r w:rsidRPr="00EA05C5">
        <w:rPr>
          <w:rFonts w:ascii="Cambria" w:hAnsi="Cambria" w:cstheme="minorHAnsi"/>
        </w:rPr>
        <w:tab/>
        <w:t>ensure that the consent of nominees has been received and that such nominees are eligible for office;</w:t>
      </w:r>
    </w:p>
    <w:p w14:paraId="74E6F5BF" w14:textId="77777777" w:rsidR="005A231D" w:rsidRPr="00EA05C5" w:rsidRDefault="005A231D" w:rsidP="005A231D">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EA05C5">
        <w:rPr>
          <w:rFonts w:ascii="Cambria" w:hAnsi="Cambria" w:cstheme="minorHAnsi"/>
        </w:rPr>
        <w:tab/>
      </w:r>
      <w:r w:rsidRPr="00EA05C5">
        <w:rPr>
          <w:rFonts w:ascii="Cambria" w:hAnsi="Cambria" w:cstheme="minorHAnsi"/>
        </w:rPr>
        <w:tab/>
        <w:t xml:space="preserve">7.1.8 </w:t>
      </w:r>
      <w:r w:rsidRPr="00EA05C5">
        <w:rPr>
          <w:rFonts w:ascii="Cambria" w:hAnsi="Cambria" w:cstheme="minorHAnsi"/>
        </w:rPr>
        <w:tab/>
        <w:t xml:space="preserve">work with the appointing bodies to make recommendations for membership to the appropriate body; </w:t>
      </w:r>
    </w:p>
    <w:p w14:paraId="5B6E9FA7" w14:textId="7A24C378" w:rsidR="005A231D" w:rsidRPr="00EA05C5" w:rsidRDefault="005A231D" w:rsidP="005A231D">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EA05C5">
        <w:rPr>
          <w:rFonts w:ascii="Cambria" w:hAnsi="Cambria" w:cstheme="minorHAnsi"/>
        </w:rPr>
        <w:tab/>
      </w:r>
      <w:r w:rsidRPr="00EA05C5">
        <w:rPr>
          <w:rFonts w:ascii="Cambria" w:hAnsi="Cambria" w:cstheme="minorHAnsi"/>
        </w:rPr>
        <w:tab/>
        <w:t xml:space="preserve">7.1.9 </w:t>
      </w:r>
      <w:r w:rsidRPr="00EA05C5">
        <w:rPr>
          <w:rFonts w:ascii="Cambria" w:hAnsi="Cambria" w:cstheme="minorHAnsi"/>
        </w:rPr>
        <w:tab/>
        <w:t>supply to the delegates at the regular convention of General Synod a copy of relevant information regarding the nominee</w:t>
      </w:r>
      <w:r>
        <w:rPr>
          <w:rFonts w:ascii="Cambria" w:hAnsi="Cambria" w:cstheme="minorHAnsi"/>
        </w:rPr>
        <w:t>s for the General Church Board;</w:t>
      </w:r>
      <w:r w:rsidRPr="00EA05C5">
        <w:rPr>
          <w:rFonts w:ascii="Cambria" w:hAnsi="Cambria" w:cstheme="minorHAnsi"/>
        </w:rPr>
        <w:t xml:space="preserve"> and</w:t>
      </w:r>
    </w:p>
    <w:p w14:paraId="3DEFA442" w14:textId="77777777" w:rsidR="005A231D" w:rsidRPr="00EA05C5" w:rsidRDefault="005A231D" w:rsidP="005A231D">
      <w:pPr>
        <w:tabs>
          <w:tab w:val="left" w:pos="567"/>
          <w:tab w:val="left" w:pos="1418"/>
          <w:tab w:val="left" w:pos="2268"/>
          <w:tab w:val="left" w:pos="3119"/>
          <w:tab w:val="left" w:pos="3969"/>
        </w:tabs>
        <w:spacing w:after="0" w:line="240" w:lineRule="auto"/>
        <w:ind w:left="2268" w:hanging="2268"/>
        <w:rPr>
          <w:rFonts w:ascii="Cambria" w:hAnsi="Cambria" w:cstheme="minorHAnsi"/>
        </w:rPr>
      </w:pPr>
      <w:r w:rsidRPr="00EA05C5">
        <w:rPr>
          <w:rFonts w:ascii="Cambria" w:hAnsi="Cambria" w:cstheme="minorHAnsi"/>
        </w:rPr>
        <w:tab/>
      </w:r>
      <w:r w:rsidRPr="00EA05C5">
        <w:rPr>
          <w:rFonts w:ascii="Cambria" w:hAnsi="Cambria" w:cstheme="minorHAnsi"/>
        </w:rPr>
        <w:tab/>
        <w:t xml:space="preserve">7.1.10 </w:t>
      </w:r>
      <w:r w:rsidRPr="00EA05C5">
        <w:rPr>
          <w:rFonts w:ascii="Cambria" w:hAnsi="Cambria" w:cstheme="minorHAnsi"/>
        </w:rPr>
        <w:tab/>
        <w:t>recommend to the General Church Board any policies and procedures to improve the identification and recruitment of suitable people to boards, councils and committees for good governance at all levels.</w:t>
      </w:r>
    </w:p>
    <w:p w14:paraId="2D7D429B" w14:textId="77777777" w:rsidR="005A231D" w:rsidRPr="00EA05C5" w:rsidRDefault="005A231D" w:rsidP="005A231D">
      <w:pPr>
        <w:tabs>
          <w:tab w:val="left" w:pos="567"/>
          <w:tab w:val="left" w:pos="1418"/>
          <w:tab w:val="left" w:pos="2268"/>
          <w:tab w:val="left" w:pos="3119"/>
          <w:tab w:val="left" w:pos="3969"/>
        </w:tabs>
        <w:spacing w:after="0" w:line="240" w:lineRule="auto"/>
        <w:ind w:left="567" w:hanging="567"/>
        <w:rPr>
          <w:rFonts w:ascii="Cambria" w:hAnsi="Cambria" w:cstheme="minorHAnsi"/>
        </w:rPr>
      </w:pPr>
    </w:p>
    <w:p w14:paraId="39710ADA" w14:textId="77777777" w:rsidR="005A231D" w:rsidRPr="00EA05C5" w:rsidRDefault="005A231D" w:rsidP="005A231D">
      <w:pPr>
        <w:tabs>
          <w:tab w:val="left" w:pos="567"/>
          <w:tab w:val="left" w:pos="1418"/>
          <w:tab w:val="left" w:pos="2268"/>
          <w:tab w:val="left" w:pos="3119"/>
          <w:tab w:val="left" w:pos="3969"/>
        </w:tabs>
        <w:spacing w:after="0" w:line="240" w:lineRule="auto"/>
        <w:ind w:left="567" w:hanging="567"/>
        <w:rPr>
          <w:rFonts w:ascii="Cambria" w:hAnsi="Cambria" w:cstheme="minorHAnsi"/>
          <w:b/>
        </w:rPr>
      </w:pPr>
      <w:r w:rsidRPr="00EA05C5">
        <w:rPr>
          <w:rFonts w:ascii="Cambria" w:hAnsi="Cambria" w:cstheme="minorHAnsi"/>
          <w:b/>
        </w:rPr>
        <w:t>8.</w:t>
      </w:r>
      <w:r w:rsidRPr="00EA05C5">
        <w:rPr>
          <w:rFonts w:ascii="Cambria" w:hAnsi="Cambria" w:cstheme="minorHAnsi"/>
          <w:b/>
        </w:rPr>
        <w:tab/>
        <w:t>REVIEW</w:t>
      </w:r>
    </w:p>
    <w:p w14:paraId="40BA1F2B" w14:textId="77777777" w:rsidR="005A231D" w:rsidRPr="00EA05C5" w:rsidRDefault="005A231D" w:rsidP="005A231D">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EA05C5">
        <w:rPr>
          <w:rFonts w:ascii="Cambria" w:hAnsi="Cambria" w:cstheme="minorHAnsi"/>
        </w:rPr>
        <w:tab/>
        <w:t>8.1</w:t>
      </w:r>
      <w:r w:rsidRPr="00EA05C5">
        <w:rPr>
          <w:rFonts w:ascii="Cambria" w:hAnsi="Cambria" w:cstheme="minorHAnsi"/>
        </w:rPr>
        <w:tab/>
        <w:t xml:space="preserve">The Terms of Reference for the Committee shall be reviewed during each Synodical term. </w:t>
      </w:r>
    </w:p>
    <w:p w14:paraId="3F4A8385" w14:textId="77777777" w:rsidR="005A231D" w:rsidRPr="00EA05C5" w:rsidRDefault="005A231D" w:rsidP="005A231D">
      <w:pPr>
        <w:tabs>
          <w:tab w:val="left" w:pos="567"/>
          <w:tab w:val="left" w:pos="1418"/>
          <w:tab w:val="left" w:pos="2268"/>
          <w:tab w:val="left" w:pos="3119"/>
          <w:tab w:val="left" w:pos="3969"/>
        </w:tabs>
        <w:spacing w:after="0" w:line="240" w:lineRule="auto"/>
        <w:ind w:left="1418" w:hanging="1418"/>
        <w:rPr>
          <w:rFonts w:ascii="Cambria" w:hAnsi="Cambria" w:cstheme="minorHAnsi"/>
        </w:rPr>
      </w:pPr>
      <w:r w:rsidRPr="00EA05C5">
        <w:rPr>
          <w:rFonts w:ascii="Cambria" w:hAnsi="Cambria" w:cstheme="minorHAnsi"/>
        </w:rPr>
        <w:tab/>
        <w:t>8.2</w:t>
      </w:r>
      <w:r w:rsidRPr="00EA05C5">
        <w:rPr>
          <w:rFonts w:ascii="Cambria" w:hAnsi="Cambria" w:cstheme="minorHAnsi"/>
        </w:rPr>
        <w:tab/>
        <w:t>Any changes to the Terms of Reference shall be approved by the General Church Board upon review by the Standing Committee on Constitutions.</w:t>
      </w:r>
    </w:p>
    <w:p w14:paraId="28A4696C" w14:textId="77777777" w:rsidR="005A231D" w:rsidRPr="00EA05C5" w:rsidRDefault="005A231D" w:rsidP="005A231D">
      <w:pPr>
        <w:tabs>
          <w:tab w:val="left" w:pos="567"/>
          <w:tab w:val="left" w:pos="1418"/>
          <w:tab w:val="left" w:pos="2268"/>
          <w:tab w:val="left" w:pos="3119"/>
          <w:tab w:val="left" w:pos="3969"/>
        </w:tabs>
        <w:rPr>
          <w:rFonts w:ascii="Cambria" w:hAnsi="Cambria"/>
        </w:rPr>
      </w:pPr>
    </w:p>
    <w:p w14:paraId="6B8D077A" w14:textId="77777777" w:rsidR="008275E5" w:rsidRPr="00845AB1" w:rsidRDefault="008275E5" w:rsidP="008275E5">
      <w:pPr>
        <w:tabs>
          <w:tab w:val="left" w:pos="567"/>
          <w:tab w:val="left" w:pos="1418"/>
          <w:tab w:val="left" w:pos="2268"/>
          <w:tab w:val="left" w:pos="3119"/>
          <w:tab w:val="left" w:pos="3969"/>
        </w:tabs>
        <w:ind w:left="567" w:hanging="567"/>
        <w:rPr>
          <w:rFonts w:ascii="Cambria" w:hAnsi="Cambria"/>
        </w:rPr>
      </w:pPr>
    </w:p>
    <w:p w14:paraId="050B1720" w14:textId="202076C7" w:rsidR="00CE0DB0" w:rsidRPr="00876946" w:rsidRDefault="00D63B36" w:rsidP="00876946">
      <w:pPr>
        <w:pStyle w:val="Heading2"/>
      </w:pPr>
      <w:r>
        <w:br w:type="column"/>
      </w:r>
      <w:r w:rsidR="004F6C40" w:rsidRPr="00876946">
        <w:lastRenderedPageBreak/>
        <w:t>R</w:t>
      </w:r>
      <w:bookmarkEnd w:id="534"/>
      <w:r w:rsidR="00876946">
        <w:t>ULES FOR TRANSACTING BUSINESS</w:t>
      </w:r>
    </w:p>
    <w:p w14:paraId="3EDB817F" w14:textId="77777777" w:rsidR="00D94020" w:rsidRPr="009A0DA6" w:rsidRDefault="00D94020" w:rsidP="00D94020">
      <w:pPr>
        <w:tabs>
          <w:tab w:val="left" w:pos="142"/>
          <w:tab w:val="left" w:pos="1701"/>
          <w:tab w:val="left" w:pos="2268"/>
          <w:tab w:val="left" w:pos="2835"/>
          <w:tab w:val="left" w:pos="3402"/>
        </w:tabs>
        <w:spacing w:before="120" w:after="120" w:line="240" w:lineRule="auto"/>
        <w:contextualSpacing/>
        <w:rPr>
          <w:rFonts w:ascii="Cambria" w:hAnsi="Cambria"/>
          <w:b/>
        </w:rPr>
      </w:pPr>
      <w:r w:rsidRPr="009A0DA6">
        <w:rPr>
          <w:rFonts w:ascii="Cambria" w:hAnsi="Cambria"/>
          <w:b/>
        </w:rPr>
        <w:t>The rules for transacting business at Convention of Synod are listed below. The rules are from the sections of the LCA Constitution and By-laws that deal with General Synod.</w:t>
      </w:r>
    </w:p>
    <w:p w14:paraId="6C9AE15C" w14:textId="77777777" w:rsidR="00D94020" w:rsidRPr="009A0DA6" w:rsidRDefault="00D94020" w:rsidP="00D94020">
      <w:pPr>
        <w:tabs>
          <w:tab w:val="left" w:pos="567"/>
          <w:tab w:val="left" w:pos="1701"/>
          <w:tab w:val="left" w:pos="2268"/>
          <w:tab w:val="left" w:pos="2835"/>
          <w:tab w:val="left" w:pos="3402"/>
        </w:tabs>
        <w:spacing w:before="120" w:after="120" w:line="240" w:lineRule="auto"/>
        <w:ind w:left="567" w:hanging="567"/>
        <w:contextualSpacing/>
        <w:rPr>
          <w:rFonts w:ascii="Cambria" w:hAnsi="Cambria"/>
          <w:b/>
        </w:rPr>
      </w:pPr>
    </w:p>
    <w:p w14:paraId="0603C07A" w14:textId="5A2F88AB" w:rsidR="00D94020" w:rsidRPr="009A0DA6" w:rsidRDefault="00D94020" w:rsidP="00D94020">
      <w:pPr>
        <w:pStyle w:val="Heading3"/>
      </w:pPr>
      <w:r w:rsidRPr="009A0DA6">
        <w:t>Who are the delegates?</w:t>
      </w:r>
    </w:p>
    <w:p w14:paraId="58FBCBE8" w14:textId="1AF72CC0" w:rsidR="00D94020" w:rsidRPr="009A0DA6" w:rsidRDefault="00D94020" w:rsidP="00D94020">
      <w:pPr>
        <w:tabs>
          <w:tab w:val="left" w:pos="-142"/>
          <w:tab w:val="left" w:pos="1701"/>
          <w:tab w:val="left" w:pos="2268"/>
          <w:tab w:val="left" w:pos="2835"/>
          <w:tab w:val="left" w:pos="3402"/>
        </w:tabs>
        <w:spacing w:before="120" w:after="120" w:line="240" w:lineRule="auto"/>
        <w:contextualSpacing/>
        <w:rPr>
          <w:rFonts w:ascii="Cambria" w:hAnsi="Cambria"/>
        </w:rPr>
      </w:pPr>
      <w:r w:rsidRPr="009A0DA6">
        <w:rPr>
          <w:rFonts w:ascii="Cambria" w:hAnsi="Cambria"/>
        </w:rPr>
        <w:t xml:space="preserve">Elected lay representatives of the parishes, </w:t>
      </w:r>
      <w:r w:rsidR="00FF4780">
        <w:rPr>
          <w:rFonts w:ascii="Cambria" w:hAnsi="Cambria"/>
        </w:rPr>
        <w:t>elected pastor delegates</w:t>
      </w:r>
      <w:r w:rsidRPr="009A0DA6">
        <w:rPr>
          <w:rFonts w:ascii="Cambria" w:hAnsi="Cambria"/>
        </w:rPr>
        <w:t>, the members of the General Church Council, bishops, chairpersons of LCA boards, executive officers of LCA departments, representatives of Lutheran Education principals, teaching pastoral staff of Australian Lutheran College representatives, past bishops (presidents) and emeriti pastor representatives make up the voting members known as ‘General Synod delegates’.</w:t>
      </w:r>
    </w:p>
    <w:p w14:paraId="4ECA56FA" w14:textId="77777777" w:rsidR="00D94020" w:rsidRPr="009A0DA6" w:rsidRDefault="00D94020" w:rsidP="00D94020">
      <w:pPr>
        <w:pStyle w:val="Heading3"/>
      </w:pPr>
      <w:r w:rsidRPr="009A0DA6">
        <w:t>How is the quorum determined?</w:t>
      </w:r>
    </w:p>
    <w:p w14:paraId="43778A8A" w14:textId="77777777" w:rsidR="00D94020" w:rsidRPr="009A0DA6" w:rsidRDefault="00D94020" w:rsidP="00D94020">
      <w:pPr>
        <w:tabs>
          <w:tab w:val="left" w:pos="567"/>
          <w:tab w:val="left" w:pos="1701"/>
          <w:tab w:val="left" w:pos="2268"/>
          <w:tab w:val="left" w:pos="2835"/>
          <w:tab w:val="left" w:pos="3402"/>
        </w:tabs>
        <w:spacing w:before="120" w:after="120" w:line="240" w:lineRule="auto"/>
        <w:ind w:left="567" w:hanging="567"/>
        <w:contextualSpacing/>
        <w:rPr>
          <w:rFonts w:ascii="Cambria" w:hAnsi="Cambria"/>
        </w:rPr>
      </w:pPr>
      <w:r w:rsidRPr="009A0DA6">
        <w:rPr>
          <w:rFonts w:ascii="Cambria" w:hAnsi="Cambria"/>
        </w:rPr>
        <w:t>A majority of the maximum number of people entitled to vote forms a quorum.</w:t>
      </w:r>
    </w:p>
    <w:p w14:paraId="5C0AA22E" w14:textId="77777777" w:rsidR="00D94020" w:rsidRPr="009A0DA6" w:rsidRDefault="00D94020" w:rsidP="00D94020">
      <w:pPr>
        <w:pStyle w:val="Heading3"/>
      </w:pPr>
      <w:r w:rsidRPr="009A0DA6">
        <w:t>Who may speak at Convention?</w:t>
      </w:r>
    </w:p>
    <w:p w14:paraId="1EFC9495" w14:textId="77777777" w:rsidR="00D94020" w:rsidRPr="009A0DA6" w:rsidRDefault="00D94020" w:rsidP="00F55252">
      <w:pPr>
        <w:numPr>
          <w:ilvl w:val="0"/>
          <w:numId w:val="303"/>
        </w:numPr>
        <w:tabs>
          <w:tab w:val="clear" w:pos="720"/>
          <w:tab w:val="num" w:pos="1134"/>
          <w:tab w:val="left" w:pos="1701"/>
          <w:tab w:val="left" w:pos="2268"/>
          <w:tab w:val="left" w:pos="2835"/>
          <w:tab w:val="left" w:pos="3402"/>
        </w:tabs>
        <w:spacing w:before="120" w:after="120" w:line="240" w:lineRule="auto"/>
        <w:ind w:left="567" w:hanging="567"/>
        <w:contextualSpacing/>
        <w:rPr>
          <w:rFonts w:ascii="Cambria" w:hAnsi="Cambria"/>
        </w:rPr>
      </w:pPr>
      <w:r w:rsidRPr="009A0DA6">
        <w:rPr>
          <w:rFonts w:ascii="Cambria" w:hAnsi="Cambria"/>
        </w:rPr>
        <w:t>All delegates</w:t>
      </w:r>
    </w:p>
    <w:p w14:paraId="5ADCD1BF" w14:textId="77777777" w:rsidR="00D94020" w:rsidRPr="009A0DA6" w:rsidRDefault="00D94020" w:rsidP="00F55252">
      <w:pPr>
        <w:numPr>
          <w:ilvl w:val="0"/>
          <w:numId w:val="303"/>
        </w:numPr>
        <w:tabs>
          <w:tab w:val="clear" w:pos="720"/>
          <w:tab w:val="num" w:pos="1134"/>
          <w:tab w:val="left" w:pos="1701"/>
          <w:tab w:val="left" w:pos="2268"/>
          <w:tab w:val="left" w:pos="2835"/>
          <w:tab w:val="left" w:pos="3402"/>
        </w:tabs>
        <w:spacing w:before="120" w:after="120" w:line="240" w:lineRule="auto"/>
        <w:ind w:left="567" w:hanging="567"/>
        <w:contextualSpacing/>
        <w:rPr>
          <w:rFonts w:ascii="Cambria" w:hAnsi="Cambria"/>
        </w:rPr>
      </w:pPr>
      <w:r w:rsidRPr="009A0DA6">
        <w:rPr>
          <w:rFonts w:ascii="Cambria" w:hAnsi="Cambria"/>
        </w:rPr>
        <w:t>Consultants</w:t>
      </w:r>
    </w:p>
    <w:p w14:paraId="64678060" w14:textId="77777777" w:rsidR="00D94020" w:rsidRPr="009A0DA6" w:rsidRDefault="00D94020" w:rsidP="00F55252">
      <w:pPr>
        <w:numPr>
          <w:ilvl w:val="0"/>
          <w:numId w:val="303"/>
        </w:numPr>
        <w:tabs>
          <w:tab w:val="clear" w:pos="720"/>
          <w:tab w:val="num" w:pos="1134"/>
          <w:tab w:val="left" w:pos="1701"/>
          <w:tab w:val="left" w:pos="2268"/>
          <w:tab w:val="left" w:pos="2835"/>
          <w:tab w:val="left" w:pos="3402"/>
        </w:tabs>
        <w:spacing w:before="120" w:after="120" w:line="240" w:lineRule="auto"/>
        <w:ind w:left="567" w:hanging="567"/>
        <w:contextualSpacing/>
        <w:rPr>
          <w:rFonts w:ascii="Cambria" w:hAnsi="Cambria"/>
        </w:rPr>
      </w:pPr>
      <w:r w:rsidRPr="009A0DA6">
        <w:rPr>
          <w:rFonts w:ascii="Cambria" w:hAnsi="Cambria"/>
        </w:rPr>
        <w:t>Any other member of the church, at the discretion of the chairperson</w:t>
      </w:r>
    </w:p>
    <w:p w14:paraId="71B4C39B" w14:textId="77777777" w:rsidR="00D94020" w:rsidRPr="009A0DA6" w:rsidRDefault="00D94020" w:rsidP="00D94020">
      <w:pPr>
        <w:pStyle w:val="Heading3"/>
      </w:pPr>
      <w:r w:rsidRPr="009A0DA6">
        <w:t>Who can submit matters for discussion at Convention?</w:t>
      </w:r>
    </w:p>
    <w:p w14:paraId="3EC0FE41" w14:textId="77777777" w:rsidR="00D94020" w:rsidRPr="009A0DA6" w:rsidRDefault="00D94020" w:rsidP="00F55252">
      <w:pPr>
        <w:numPr>
          <w:ilvl w:val="0"/>
          <w:numId w:val="304"/>
        </w:numPr>
        <w:tabs>
          <w:tab w:val="num" w:pos="1134"/>
          <w:tab w:val="left" w:pos="1701"/>
          <w:tab w:val="left" w:pos="2268"/>
          <w:tab w:val="left" w:pos="2835"/>
          <w:tab w:val="left" w:pos="3402"/>
        </w:tabs>
        <w:spacing w:before="120" w:after="120" w:line="240" w:lineRule="auto"/>
        <w:ind w:left="567" w:hanging="567"/>
        <w:contextualSpacing/>
        <w:rPr>
          <w:rFonts w:ascii="Cambria" w:hAnsi="Cambria"/>
        </w:rPr>
      </w:pPr>
      <w:r w:rsidRPr="009A0DA6">
        <w:rPr>
          <w:rFonts w:ascii="Cambria" w:hAnsi="Cambria"/>
        </w:rPr>
        <w:t>Any congregation</w:t>
      </w:r>
    </w:p>
    <w:p w14:paraId="0CE6E1A7" w14:textId="77777777" w:rsidR="00D94020" w:rsidRPr="009A0DA6" w:rsidRDefault="00D94020" w:rsidP="00F55252">
      <w:pPr>
        <w:numPr>
          <w:ilvl w:val="0"/>
          <w:numId w:val="304"/>
        </w:numPr>
        <w:tabs>
          <w:tab w:val="num" w:pos="1134"/>
          <w:tab w:val="left" w:pos="1701"/>
          <w:tab w:val="left" w:pos="2268"/>
          <w:tab w:val="left" w:pos="2835"/>
          <w:tab w:val="left" w:pos="3402"/>
        </w:tabs>
        <w:spacing w:before="120" w:after="120" w:line="240" w:lineRule="auto"/>
        <w:ind w:left="567" w:hanging="567"/>
        <w:contextualSpacing/>
        <w:rPr>
          <w:rFonts w:ascii="Cambria" w:hAnsi="Cambria"/>
        </w:rPr>
      </w:pPr>
      <w:r w:rsidRPr="009A0DA6">
        <w:rPr>
          <w:rFonts w:ascii="Cambria" w:hAnsi="Cambria"/>
        </w:rPr>
        <w:t>Any parish</w:t>
      </w:r>
    </w:p>
    <w:p w14:paraId="106B7593" w14:textId="77777777" w:rsidR="00D94020" w:rsidRPr="009A0DA6" w:rsidRDefault="00D94020" w:rsidP="00F55252">
      <w:pPr>
        <w:numPr>
          <w:ilvl w:val="0"/>
          <w:numId w:val="304"/>
        </w:numPr>
        <w:tabs>
          <w:tab w:val="num" w:pos="1134"/>
          <w:tab w:val="left" w:pos="1701"/>
          <w:tab w:val="left" w:pos="2268"/>
          <w:tab w:val="left" w:pos="2835"/>
          <w:tab w:val="left" w:pos="3402"/>
        </w:tabs>
        <w:spacing w:before="120" w:after="120" w:line="240" w:lineRule="auto"/>
        <w:ind w:left="567" w:hanging="567"/>
        <w:contextualSpacing/>
        <w:rPr>
          <w:rFonts w:ascii="Cambria" w:hAnsi="Cambria"/>
        </w:rPr>
      </w:pPr>
      <w:r w:rsidRPr="009A0DA6">
        <w:rPr>
          <w:rFonts w:ascii="Cambria" w:hAnsi="Cambria"/>
        </w:rPr>
        <w:t>Any board of the church, provided the matter is within the terms of reference of the group</w:t>
      </w:r>
    </w:p>
    <w:p w14:paraId="058A3AD5" w14:textId="77777777" w:rsidR="00D94020" w:rsidRPr="009A0DA6" w:rsidRDefault="00D94020" w:rsidP="00F55252">
      <w:pPr>
        <w:numPr>
          <w:ilvl w:val="0"/>
          <w:numId w:val="304"/>
        </w:numPr>
        <w:tabs>
          <w:tab w:val="num" w:pos="1134"/>
          <w:tab w:val="left" w:pos="1701"/>
          <w:tab w:val="left" w:pos="2268"/>
          <w:tab w:val="left" w:pos="2835"/>
          <w:tab w:val="left" w:pos="3402"/>
        </w:tabs>
        <w:spacing w:before="120" w:after="120" w:line="240" w:lineRule="auto"/>
        <w:ind w:left="567" w:hanging="567"/>
        <w:contextualSpacing/>
        <w:rPr>
          <w:rFonts w:ascii="Cambria" w:hAnsi="Cambria"/>
        </w:rPr>
      </w:pPr>
      <w:r w:rsidRPr="009A0DA6">
        <w:rPr>
          <w:rFonts w:ascii="Cambria" w:hAnsi="Cambria"/>
        </w:rPr>
        <w:t>The General Pastors Conference</w:t>
      </w:r>
    </w:p>
    <w:p w14:paraId="22FFBA39" w14:textId="77777777" w:rsidR="00D94020" w:rsidRPr="009A0DA6" w:rsidRDefault="00D94020" w:rsidP="00F55252">
      <w:pPr>
        <w:numPr>
          <w:ilvl w:val="0"/>
          <w:numId w:val="304"/>
        </w:numPr>
        <w:tabs>
          <w:tab w:val="num" w:pos="1134"/>
          <w:tab w:val="left" w:pos="1701"/>
          <w:tab w:val="left" w:pos="2268"/>
          <w:tab w:val="left" w:pos="2835"/>
          <w:tab w:val="left" w:pos="3402"/>
        </w:tabs>
        <w:spacing w:before="120" w:after="120" w:line="240" w:lineRule="auto"/>
        <w:ind w:left="567" w:hanging="567"/>
        <w:contextualSpacing/>
        <w:rPr>
          <w:rFonts w:ascii="Cambria" w:hAnsi="Cambria"/>
        </w:rPr>
      </w:pPr>
      <w:r w:rsidRPr="009A0DA6">
        <w:rPr>
          <w:rFonts w:ascii="Cambria" w:hAnsi="Cambria"/>
        </w:rPr>
        <w:t>The General Church Council or its executive</w:t>
      </w:r>
    </w:p>
    <w:p w14:paraId="4797E311" w14:textId="77777777" w:rsidR="00D94020" w:rsidRPr="009A0DA6" w:rsidRDefault="00D94020" w:rsidP="00F55252">
      <w:pPr>
        <w:numPr>
          <w:ilvl w:val="0"/>
          <w:numId w:val="304"/>
        </w:numPr>
        <w:tabs>
          <w:tab w:val="num" w:pos="1134"/>
          <w:tab w:val="left" w:pos="1701"/>
          <w:tab w:val="left" w:pos="2268"/>
          <w:tab w:val="left" w:pos="2835"/>
          <w:tab w:val="left" w:pos="3402"/>
        </w:tabs>
        <w:spacing w:before="120" w:after="120" w:line="240" w:lineRule="auto"/>
        <w:ind w:left="567" w:hanging="567"/>
        <w:contextualSpacing/>
        <w:rPr>
          <w:rFonts w:ascii="Cambria" w:hAnsi="Cambria"/>
        </w:rPr>
      </w:pPr>
      <w:r w:rsidRPr="009A0DA6">
        <w:rPr>
          <w:rFonts w:ascii="Cambria" w:hAnsi="Cambria"/>
        </w:rPr>
        <w:t>The Synod of any district of the church</w:t>
      </w:r>
    </w:p>
    <w:p w14:paraId="28EECC28" w14:textId="77777777" w:rsidR="00D94020" w:rsidRPr="009A0DA6" w:rsidRDefault="00D94020" w:rsidP="00F55252">
      <w:pPr>
        <w:numPr>
          <w:ilvl w:val="0"/>
          <w:numId w:val="304"/>
        </w:numPr>
        <w:tabs>
          <w:tab w:val="num" w:pos="1134"/>
          <w:tab w:val="left" w:pos="1701"/>
          <w:tab w:val="left" w:pos="2268"/>
          <w:tab w:val="left" w:pos="2835"/>
          <w:tab w:val="left" w:pos="3402"/>
        </w:tabs>
        <w:spacing w:before="120" w:after="120" w:line="240" w:lineRule="auto"/>
        <w:ind w:left="567" w:hanging="567"/>
        <w:contextualSpacing/>
        <w:rPr>
          <w:rFonts w:ascii="Cambria" w:hAnsi="Cambria"/>
        </w:rPr>
      </w:pPr>
      <w:r w:rsidRPr="009A0DA6">
        <w:rPr>
          <w:rFonts w:ascii="Cambria" w:hAnsi="Cambria"/>
        </w:rPr>
        <w:t>The Church Council of any district</w:t>
      </w:r>
    </w:p>
    <w:p w14:paraId="6C1AF139" w14:textId="77777777" w:rsidR="00D94020" w:rsidRPr="009A0DA6" w:rsidRDefault="00D94020" w:rsidP="00F55252">
      <w:pPr>
        <w:numPr>
          <w:ilvl w:val="0"/>
          <w:numId w:val="304"/>
        </w:numPr>
        <w:tabs>
          <w:tab w:val="num" w:pos="1134"/>
          <w:tab w:val="left" w:pos="1701"/>
          <w:tab w:val="left" w:pos="2268"/>
          <w:tab w:val="left" w:pos="2835"/>
          <w:tab w:val="left" w:pos="3402"/>
        </w:tabs>
        <w:spacing w:before="120" w:after="120" w:line="240" w:lineRule="auto"/>
        <w:ind w:left="567" w:hanging="567"/>
        <w:contextualSpacing/>
        <w:rPr>
          <w:rFonts w:ascii="Cambria" w:hAnsi="Cambria"/>
        </w:rPr>
      </w:pPr>
      <w:r w:rsidRPr="009A0DA6">
        <w:rPr>
          <w:rFonts w:ascii="Cambria" w:hAnsi="Cambria"/>
        </w:rPr>
        <w:t>The Pastors Conference of any district</w:t>
      </w:r>
    </w:p>
    <w:p w14:paraId="60A4F79D" w14:textId="77777777" w:rsidR="00D94020" w:rsidRPr="009A0DA6" w:rsidRDefault="00D94020" w:rsidP="00D94020">
      <w:pPr>
        <w:pStyle w:val="Heading3"/>
        <w:rPr>
          <w:lang w:val="en-US"/>
        </w:rPr>
      </w:pPr>
      <w:r w:rsidRPr="009A0DA6">
        <w:t>SECTION 7.3 PROCEDURE IN TRANSACTING BUSINESS</w:t>
      </w:r>
    </w:p>
    <w:p w14:paraId="33BC2F0F" w14:textId="7F469AAC" w:rsidR="00D94020" w:rsidRPr="009A0DA6" w:rsidRDefault="00D94020" w:rsidP="00D94020">
      <w:pPr>
        <w:tabs>
          <w:tab w:val="left" w:pos="851"/>
          <w:tab w:val="left" w:pos="1985"/>
          <w:tab w:val="left" w:pos="3119"/>
          <w:tab w:val="left" w:pos="4536"/>
          <w:tab w:val="left" w:pos="5670"/>
        </w:tabs>
        <w:spacing w:before="120" w:after="120" w:line="240" w:lineRule="auto"/>
        <w:ind w:left="851" w:hanging="851"/>
        <w:contextualSpacing/>
        <w:rPr>
          <w:rFonts w:ascii="Cambria" w:hAnsi="Cambria"/>
        </w:rPr>
      </w:pPr>
      <w:r w:rsidRPr="009A0DA6">
        <w:rPr>
          <w:rFonts w:ascii="Cambria" w:hAnsi="Cambria"/>
        </w:rPr>
        <w:t>7.3.1</w:t>
      </w:r>
      <w:r w:rsidRPr="009A0DA6">
        <w:rPr>
          <w:rFonts w:ascii="Cambria" w:hAnsi="Cambria"/>
        </w:rPr>
        <w:tab/>
        <w:t>The business of a convention of the General Synod shall be chaired by the Bishop, or at the Bishop's request, the Assistant Bishop</w:t>
      </w:r>
      <w:r w:rsidR="0027799A" w:rsidRPr="009A0DA6">
        <w:rPr>
          <w:rFonts w:ascii="Cambria" w:hAnsi="Cambria"/>
        </w:rPr>
        <w:t xml:space="preserve">. </w:t>
      </w:r>
      <w:r w:rsidRPr="009A0DA6">
        <w:rPr>
          <w:rFonts w:ascii="Cambria" w:hAnsi="Cambria"/>
        </w:rPr>
        <w:t>If they are unable to act, the convention shall elect its own Chairperson.</w:t>
      </w:r>
    </w:p>
    <w:p w14:paraId="556610F0" w14:textId="77777777" w:rsidR="00D94020" w:rsidRPr="009A0DA6" w:rsidRDefault="00D94020" w:rsidP="00D94020">
      <w:pPr>
        <w:tabs>
          <w:tab w:val="left" w:pos="851"/>
          <w:tab w:val="left" w:pos="1985"/>
          <w:tab w:val="left" w:pos="3119"/>
          <w:tab w:val="left" w:pos="4536"/>
          <w:tab w:val="left" w:pos="5670"/>
        </w:tabs>
        <w:spacing w:before="120" w:after="120" w:line="240" w:lineRule="auto"/>
        <w:ind w:left="851" w:hanging="851"/>
        <w:contextualSpacing/>
        <w:rPr>
          <w:rFonts w:ascii="Cambria" w:hAnsi="Cambria"/>
        </w:rPr>
      </w:pPr>
      <w:r w:rsidRPr="009A0DA6">
        <w:rPr>
          <w:rFonts w:ascii="Cambria" w:hAnsi="Cambria"/>
        </w:rPr>
        <w:t>7.3.2</w:t>
      </w:r>
      <w:r w:rsidRPr="009A0DA6">
        <w:rPr>
          <w:rFonts w:ascii="Cambria" w:hAnsi="Cambria"/>
        </w:rPr>
        <w:tab/>
        <w:t>The</w:t>
      </w:r>
      <w:r w:rsidRPr="009A0DA6">
        <w:rPr>
          <w:rFonts w:ascii="Cambria" w:hAnsi="Cambria"/>
          <w:b/>
        </w:rPr>
        <w:t xml:space="preserve"> </w:t>
      </w:r>
      <w:r w:rsidRPr="009A0DA6">
        <w:rPr>
          <w:rFonts w:ascii="Cambria" w:hAnsi="Cambria"/>
        </w:rPr>
        <w:t>Chairperson shall ensure that a quorum is present at all times.</w:t>
      </w:r>
    </w:p>
    <w:p w14:paraId="47A4B3C2" w14:textId="2EBEFE4E" w:rsidR="00D94020" w:rsidRPr="009A0DA6" w:rsidRDefault="00D94020" w:rsidP="00D94020">
      <w:pPr>
        <w:tabs>
          <w:tab w:val="left" w:pos="851"/>
          <w:tab w:val="left" w:pos="1985"/>
          <w:tab w:val="left" w:pos="3119"/>
          <w:tab w:val="left" w:pos="4536"/>
          <w:tab w:val="left" w:pos="5670"/>
        </w:tabs>
        <w:spacing w:before="120" w:after="120" w:line="240" w:lineRule="auto"/>
        <w:ind w:left="851" w:hanging="851"/>
        <w:contextualSpacing/>
        <w:rPr>
          <w:rFonts w:ascii="Cambria" w:hAnsi="Cambria"/>
        </w:rPr>
      </w:pPr>
      <w:r w:rsidRPr="009A0DA6">
        <w:rPr>
          <w:rFonts w:ascii="Cambria" w:hAnsi="Cambria"/>
        </w:rPr>
        <w:t>7.3.3</w:t>
      </w:r>
      <w:r w:rsidRPr="009A0DA6">
        <w:rPr>
          <w:rFonts w:ascii="Cambria" w:hAnsi="Cambria"/>
        </w:rPr>
        <w:tab/>
        <w:t>In addition to the voting members and the consultants, the right to speak may be exercised by recognised official visitors, by any additional members of the teaching staff of Australian Lutheran College present, and, when the reports of a board are before the convention, by any member of the respective board</w:t>
      </w:r>
      <w:r w:rsidR="0027799A" w:rsidRPr="009A0DA6">
        <w:rPr>
          <w:rFonts w:ascii="Cambria" w:hAnsi="Cambria"/>
        </w:rPr>
        <w:t xml:space="preserve">. </w:t>
      </w:r>
      <w:r w:rsidRPr="009A0DA6">
        <w:rPr>
          <w:rFonts w:ascii="Cambria" w:hAnsi="Cambria"/>
        </w:rPr>
        <w:t>Any other member of the Church present who desires to speak may do so at the discretion of the Chairperson.</w:t>
      </w:r>
    </w:p>
    <w:p w14:paraId="1490FAE3" w14:textId="4D5452C5" w:rsidR="00D94020" w:rsidRPr="009A0DA6" w:rsidRDefault="00D94020" w:rsidP="00D94020">
      <w:pPr>
        <w:tabs>
          <w:tab w:val="left" w:pos="851"/>
          <w:tab w:val="left" w:pos="1985"/>
          <w:tab w:val="left" w:pos="3119"/>
          <w:tab w:val="left" w:pos="4536"/>
          <w:tab w:val="left" w:pos="5670"/>
        </w:tabs>
        <w:spacing w:before="120" w:after="120" w:line="240" w:lineRule="auto"/>
        <w:ind w:left="851" w:hanging="851"/>
        <w:contextualSpacing/>
        <w:rPr>
          <w:rFonts w:ascii="Cambria" w:hAnsi="Cambria"/>
        </w:rPr>
      </w:pPr>
      <w:r w:rsidRPr="009A0DA6">
        <w:rPr>
          <w:rFonts w:ascii="Cambria" w:hAnsi="Cambria"/>
        </w:rPr>
        <w:t>7.3.4</w:t>
      </w:r>
      <w:r w:rsidRPr="009A0DA6">
        <w:rPr>
          <w:rFonts w:ascii="Cambria" w:hAnsi="Cambria"/>
        </w:rPr>
        <w:tab/>
        <w:t>Persons entitled to speak and desiring to exercise such right shall ask for the floor by raising their hand or otherwise indicating to the Chairperson their desire to speak, and when called upon to speak they shall stand and address themselves to the chair</w:t>
      </w:r>
      <w:r w:rsidR="0027799A" w:rsidRPr="009A0DA6">
        <w:rPr>
          <w:rFonts w:ascii="Cambria" w:hAnsi="Cambria"/>
        </w:rPr>
        <w:t xml:space="preserve">. </w:t>
      </w:r>
      <w:r w:rsidRPr="009A0DA6">
        <w:rPr>
          <w:rFonts w:ascii="Cambria" w:hAnsi="Cambria"/>
        </w:rPr>
        <w:t>No interruption to speech shall be permitted, except upon a question of order.</w:t>
      </w:r>
    </w:p>
    <w:p w14:paraId="18F58F0A" w14:textId="77777777" w:rsidR="00D94020" w:rsidRPr="009A0DA6" w:rsidRDefault="00D94020" w:rsidP="00D94020">
      <w:pPr>
        <w:tabs>
          <w:tab w:val="left" w:pos="851"/>
          <w:tab w:val="left" w:pos="1985"/>
          <w:tab w:val="left" w:pos="3119"/>
          <w:tab w:val="left" w:pos="4536"/>
          <w:tab w:val="left" w:pos="5670"/>
        </w:tabs>
        <w:spacing w:before="120" w:after="120" w:line="240" w:lineRule="auto"/>
        <w:ind w:left="851" w:hanging="851"/>
        <w:contextualSpacing/>
        <w:rPr>
          <w:rFonts w:ascii="Cambria" w:hAnsi="Cambria"/>
        </w:rPr>
      </w:pPr>
      <w:r w:rsidRPr="009A0DA6">
        <w:rPr>
          <w:rFonts w:ascii="Cambria" w:hAnsi="Cambria"/>
        </w:rPr>
        <w:t>7.3.5</w:t>
      </w:r>
      <w:r w:rsidRPr="009A0DA6">
        <w:rPr>
          <w:rFonts w:ascii="Cambria" w:hAnsi="Cambria"/>
        </w:rPr>
        <w:tab/>
        <w:t>All proposals on the Agenda shall be placed before the convention for discussion and decision, unless withdrawn.</w:t>
      </w:r>
    </w:p>
    <w:p w14:paraId="1F7D2B6E" w14:textId="77777777" w:rsidR="00D94020" w:rsidRPr="009A0DA6" w:rsidRDefault="00D94020" w:rsidP="00D94020">
      <w:pPr>
        <w:tabs>
          <w:tab w:val="left" w:pos="851"/>
          <w:tab w:val="left" w:pos="1985"/>
          <w:tab w:val="left" w:pos="3119"/>
          <w:tab w:val="left" w:pos="4536"/>
          <w:tab w:val="left" w:pos="5670"/>
        </w:tabs>
        <w:spacing w:before="120" w:after="120" w:line="240" w:lineRule="auto"/>
        <w:ind w:left="851" w:hanging="851"/>
        <w:contextualSpacing/>
        <w:rPr>
          <w:rFonts w:ascii="Cambria" w:hAnsi="Cambria"/>
        </w:rPr>
      </w:pPr>
      <w:r w:rsidRPr="009A0DA6">
        <w:rPr>
          <w:rFonts w:ascii="Cambria" w:hAnsi="Cambria"/>
        </w:rPr>
        <w:t>7.3.6</w:t>
      </w:r>
      <w:r w:rsidRPr="009A0DA6">
        <w:rPr>
          <w:rFonts w:ascii="Cambria" w:hAnsi="Cambria"/>
        </w:rPr>
        <w:tab/>
        <w:t>All reports published in the official book of reports or in supplements thereto shall be regarded as received by the convention by virtue of that fact.</w:t>
      </w:r>
    </w:p>
    <w:p w14:paraId="1FF7E8AA" w14:textId="77777777" w:rsidR="00D94020" w:rsidRPr="009A0DA6" w:rsidRDefault="00D94020" w:rsidP="00D94020">
      <w:pPr>
        <w:tabs>
          <w:tab w:val="left" w:pos="851"/>
          <w:tab w:val="left" w:pos="1985"/>
          <w:tab w:val="left" w:pos="3119"/>
          <w:tab w:val="left" w:pos="4536"/>
          <w:tab w:val="left" w:pos="5670"/>
        </w:tabs>
        <w:spacing w:before="120" w:after="120" w:line="240" w:lineRule="auto"/>
        <w:ind w:left="851" w:hanging="851"/>
        <w:contextualSpacing/>
        <w:rPr>
          <w:rFonts w:ascii="Cambria" w:hAnsi="Cambria"/>
        </w:rPr>
      </w:pPr>
      <w:r w:rsidRPr="009A0DA6">
        <w:rPr>
          <w:rFonts w:ascii="Cambria" w:hAnsi="Cambria"/>
        </w:rPr>
        <w:t>7.3.7</w:t>
      </w:r>
      <w:r w:rsidRPr="009A0DA6">
        <w:rPr>
          <w:rFonts w:ascii="Cambria" w:hAnsi="Cambria"/>
        </w:rPr>
        <w:tab/>
        <w:t>A motion or amendment, including any proposal stemming from the reports of councils or boards or submitted by a Sessional Committee, may be discussed and voted on only after it has been moved and seconded by a delegate.</w:t>
      </w:r>
    </w:p>
    <w:p w14:paraId="04A58319" w14:textId="77777777" w:rsidR="00D94020" w:rsidRPr="009A0DA6" w:rsidRDefault="00D94020" w:rsidP="00D94020">
      <w:pPr>
        <w:tabs>
          <w:tab w:val="left" w:pos="851"/>
          <w:tab w:val="left" w:pos="1985"/>
          <w:tab w:val="left" w:pos="3119"/>
          <w:tab w:val="left" w:pos="4536"/>
          <w:tab w:val="left" w:pos="5670"/>
        </w:tabs>
        <w:spacing w:before="120" w:after="120" w:line="240" w:lineRule="auto"/>
        <w:ind w:left="851" w:hanging="851"/>
        <w:contextualSpacing/>
        <w:rPr>
          <w:rFonts w:ascii="Cambria" w:hAnsi="Cambria"/>
        </w:rPr>
      </w:pPr>
      <w:r w:rsidRPr="009A0DA6">
        <w:rPr>
          <w:rFonts w:ascii="Cambria" w:hAnsi="Cambria"/>
        </w:rPr>
        <w:lastRenderedPageBreak/>
        <w:t>7.3.8</w:t>
      </w:r>
      <w:r w:rsidRPr="009A0DA6">
        <w:rPr>
          <w:rFonts w:ascii="Cambria" w:hAnsi="Cambria"/>
        </w:rPr>
        <w:tab/>
        <w:t>At the request of the mover and seconder, and with the consent of the convention, a motion or an amendment may be withdrawn.</w:t>
      </w:r>
    </w:p>
    <w:p w14:paraId="5CA3188B" w14:textId="6C9AE6F2" w:rsidR="00D94020" w:rsidRPr="009A0DA6" w:rsidRDefault="00D94020" w:rsidP="00D94020">
      <w:pPr>
        <w:tabs>
          <w:tab w:val="left" w:pos="851"/>
          <w:tab w:val="left" w:pos="1985"/>
          <w:tab w:val="left" w:pos="3119"/>
          <w:tab w:val="left" w:pos="4536"/>
          <w:tab w:val="left" w:pos="5670"/>
        </w:tabs>
        <w:spacing w:before="120" w:after="120" w:line="240" w:lineRule="auto"/>
        <w:ind w:left="851" w:hanging="851"/>
        <w:contextualSpacing/>
        <w:rPr>
          <w:rFonts w:ascii="Cambria" w:hAnsi="Cambria"/>
        </w:rPr>
      </w:pPr>
      <w:r w:rsidRPr="009A0DA6">
        <w:rPr>
          <w:rFonts w:ascii="Cambria" w:hAnsi="Cambria"/>
        </w:rPr>
        <w:t>7.3.9</w:t>
      </w:r>
      <w:r w:rsidRPr="009A0DA6">
        <w:rPr>
          <w:rFonts w:ascii="Cambria" w:hAnsi="Cambria"/>
        </w:rPr>
        <w:tab/>
        <w:t>A proposal which has not been moved may be withdrawn by the body from which it originated</w:t>
      </w:r>
      <w:r w:rsidR="0027799A" w:rsidRPr="009A0DA6">
        <w:rPr>
          <w:rFonts w:ascii="Cambria" w:hAnsi="Cambria"/>
        </w:rPr>
        <w:t xml:space="preserve">. </w:t>
      </w:r>
      <w:r w:rsidRPr="009A0DA6">
        <w:rPr>
          <w:rFonts w:ascii="Cambria" w:hAnsi="Cambria"/>
        </w:rPr>
        <w:t>A proposal which has been printed in the agenda of the convention, but which has not been moved, may be withdrawn by the body from which it originated, with the consent of the convention.</w:t>
      </w:r>
    </w:p>
    <w:p w14:paraId="77F16AC1" w14:textId="7E50DF0A" w:rsidR="00D94020" w:rsidRPr="009A0DA6" w:rsidRDefault="00D94020" w:rsidP="00D94020">
      <w:pPr>
        <w:tabs>
          <w:tab w:val="left" w:pos="851"/>
          <w:tab w:val="left" w:pos="1985"/>
          <w:tab w:val="left" w:pos="3119"/>
          <w:tab w:val="left" w:pos="4536"/>
          <w:tab w:val="left" w:pos="5670"/>
        </w:tabs>
        <w:spacing w:before="120" w:after="120" w:line="240" w:lineRule="auto"/>
        <w:ind w:left="851" w:hanging="851"/>
        <w:contextualSpacing/>
        <w:rPr>
          <w:rFonts w:ascii="Cambria" w:hAnsi="Cambria"/>
        </w:rPr>
      </w:pPr>
      <w:r w:rsidRPr="009A0DA6">
        <w:rPr>
          <w:rFonts w:ascii="Cambria" w:hAnsi="Cambria"/>
        </w:rPr>
        <w:t>7.3.10</w:t>
      </w:r>
      <w:r w:rsidRPr="009A0DA6">
        <w:rPr>
          <w:rFonts w:ascii="Cambria" w:hAnsi="Cambria"/>
        </w:rPr>
        <w:tab/>
        <w:t>Only one amendment to a motion shall be before the chair at any time</w:t>
      </w:r>
      <w:r w:rsidR="0027799A" w:rsidRPr="009A0DA6">
        <w:rPr>
          <w:rFonts w:ascii="Cambria" w:hAnsi="Cambria"/>
        </w:rPr>
        <w:t xml:space="preserve">. </w:t>
      </w:r>
      <w:r w:rsidRPr="009A0DA6">
        <w:rPr>
          <w:rFonts w:ascii="Cambria" w:hAnsi="Cambria"/>
        </w:rPr>
        <w:t>After the same has been agreed to or rejected another amendment may be moved</w:t>
      </w:r>
      <w:r w:rsidR="0027799A" w:rsidRPr="009A0DA6">
        <w:rPr>
          <w:rFonts w:ascii="Cambria" w:hAnsi="Cambria"/>
        </w:rPr>
        <w:t xml:space="preserve">. </w:t>
      </w:r>
      <w:r w:rsidRPr="009A0DA6">
        <w:rPr>
          <w:rFonts w:ascii="Cambria" w:hAnsi="Cambria"/>
        </w:rPr>
        <w:t>Notice of further amendment may be given at any time.</w:t>
      </w:r>
    </w:p>
    <w:p w14:paraId="03995B4A" w14:textId="77777777" w:rsidR="00D94020" w:rsidRPr="009A0DA6" w:rsidRDefault="00D94020" w:rsidP="00D94020">
      <w:pPr>
        <w:tabs>
          <w:tab w:val="left" w:pos="851"/>
          <w:tab w:val="left" w:pos="1985"/>
          <w:tab w:val="left" w:pos="3119"/>
          <w:tab w:val="left" w:pos="4536"/>
          <w:tab w:val="left" w:pos="5670"/>
        </w:tabs>
        <w:spacing w:before="120" w:after="120" w:line="240" w:lineRule="auto"/>
        <w:ind w:left="851" w:hanging="851"/>
        <w:contextualSpacing/>
        <w:rPr>
          <w:rFonts w:ascii="Cambria" w:hAnsi="Cambria"/>
        </w:rPr>
      </w:pPr>
      <w:r w:rsidRPr="009A0DA6">
        <w:rPr>
          <w:rFonts w:ascii="Cambria" w:hAnsi="Cambria"/>
        </w:rPr>
        <w:t>7.3.11</w:t>
      </w:r>
      <w:r w:rsidRPr="009A0DA6">
        <w:rPr>
          <w:rFonts w:ascii="Cambria" w:hAnsi="Cambria"/>
        </w:rPr>
        <w:tab/>
        <w:t>Every amendment shall be relevant to the motion to which it refers.</w:t>
      </w:r>
    </w:p>
    <w:p w14:paraId="2D4FCC06" w14:textId="77777777" w:rsidR="00D94020" w:rsidRPr="009A0DA6" w:rsidRDefault="00D94020" w:rsidP="00D94020">
      <w:pPr>
        <w:tabs>
          <w:tab w:val="left" w:pos="851"/>
          <w:tab w:val="left" w:pos="1985"/>
          <w:tab w:val="left" w:pos="3119"/>
          <w:tab w:val="left" w:pos="4536"/>
          <w:tab w:val="left" w:pos="5670"/>
        </w:tabs>
        <w:spacing w:before="120" w:after="120" w:line="240" w:lineRule="auto"/>
        <w:ind w:left="851" w:hanging="851"/>
        <w:contextualSpacing/>
        <w:rPr>
          <w:rFonts w:ascii="Cambria" w:hAnsi="Cambria"/>
        </w:rPr>
      </w:pPr>
      <w:r w:rsidRPr="009A0DA6">
        <w:rPr>
          <w:rFonts w:ascii="Cambria" w:hAnsi="Cambria"/>
        </w:rPr>
        <w:t>7.3.12</w:t>
      </w:r>
      <w:r w:rsidRPr="009A0DA6">
        <w:rPr>
          <w:rFonts w:ascii="Cambria" w:hAnsi="Cambria"/>
        </w:rPr>
        <w:tab/>
        <w:t>Proposers of amendments and of any motions not previously printed shall submit them to the Chairperson in writing either in advance, whenever possible, or when requested to do so by the Chairperson.</w:t>
      </w:r>
    </w:p>
    <w:p w14:paraId="6952C71D" w14:textId="77777777" w:rsidR="00D94020" w:rsidRPr="009A0DA6" w:rsidRDefault="00D94020" w:rsidP="00D94020">
      <w:pPr>
        <w:tabs>
          <w:tab w:val="left" w:pos="851"/>
          <w:tab w:val="left" w:pos="1985"/>
          <w:tab w:val="left" w:pos="3119"/>
          <w:tab w:val="left" w:pos="4536"/>
          <w:tab w:val="left" w:pos="5670"/>
        </w:tabs>
        <w:spacing w:before="120" w:after="120" w:line="240" w:lineRule="auto"/>
        <w:ind w:left="851" w:hanging="851"/>
        <w:contextualSpacing/>
        <w:rPr>
          <w:rFonts w:ascii="Cambria" w:hAnsi="Cambria"/>
        </w:rPr>
      </w:pPr>
      <w:r w:rsidRPr="009A0DA6">
        <w:rPr>
          <w:rFonts w:ascii="Cambria" w:hAnsi="Cambria"/>
        </w:rPr>
        <w:t>7.3.13</w:t>
      </w:r>
      <w:r w:rsidRPr="009A0DA6">
        <w:rPr>
          <w:rFonts w:ascii="Cambria" w:hAnsi="Cambria"/>
        </w:rPr>
        <w:tab/>
        <w:t>Those taking part in a debate shall be limited to one [1] speech on a motion or amendment, except to clear up misunderstanding or in exercising the right of reply, or except the meeting grant permission.</w:t>
      </w:r>
    </w:p>
    <w:p w14:paraId="27AD8192" w14:textId="5B7845F3" w:rsidR="00D94020" w:rsidRPr="009A0DA6" w:rsidRDefault="00D94020" w:rsidP="00D94020">
      <w:pPr>
        <w:tabs>
          <w:tab w:val="left" w:pos="851"/>
          <w:tab w:val="left" w:pos="1985"/>
          <w:tab w:val="left" w:pos="3119"/>
          <w:tab w:val="left" w:pos="4536"/>
          <w:tab w:val="left" w:pos="5670"/>
        </w:tabs>
        <w:spacing w:before="120" w:after="120" w:line="240" w:lineRule="auto"/>
        <w:ind w:left="851" w:hanging="851"/>
        <w:contextualSpacing/>
        <w:rPr>
          <w:rFonts w:ascii="Cambria" w:hAnsi="Cambria"/>
        </w:rPr>
      </w:pPr>
      <w:r w:rsidRPr="009A0DA6">
        <w:rPr>
          <w:rFonts w:ascii="Cambria" w:hAnsi="Cambria"/>
        </w:rPr>
        <w:t>7.3.14</w:t>
      </w:r>
      <w:r w:rsidRPr="009A0DA6">
        <w:rPr>
          <w:rFonts w:ascii="Cambria" w:hAnsi="Cambria"/>
        </w:rPr>
        <w:tab/>
        <w:t>A right of reply is only allowed to the mover of the original motion</w:t>
      </w:r>
      <w:r w:rsidR="0027799A" w:rsidRPr="009A0DA6">
        <w:rPr>
          <w:rFonts w:ascii="Cambria" w:hAnsi="Cambria"/>
        </w:rPr>
        <w:t xml:space="preserve">. </w:t>
      </w:r>
      <w:r w:rsidRPr="009A0DA6">
        <w:rPr>
          <w:rFonts w:ascii="Cambria" w:hAnsi="Cambria"/>
        </w:rPr>
        <w:t>It concludes the debate unless there are one or more amendments, in which case it may be exercised at the conclusion of the debate on the first amendment.</w:t>
      </w:r>
    </w:p>
    <w:p w14:paraId="4650964E" w14:textId="77777777" w:rsidR="00D94020" w:rsidRPr="009A0DA6" w:rsidRDefault="00D94020" w:rsidP="00D94020">
      <w:pPr>
        <w:tabs>
          <w:tab w:val="left" w:pos="851"/>
          <w:tab w:val="left" w:pos="1985"/>
          <w:tab w:val="left" w:pos="3119"/>
          <w:tab w:val="left" w:pos="4536"/>
          <w:tab w:val="left" w:pos="5670"/>
        </w:tabs>
        <w:spacing w:before="120" w:after="120" w:line="240" w:lineRule="auto"/>
        <w:ind w:left="851" w:hanging="851"/>
        <w:contextualSpacing/>
        <w:rPr>
          <w:rFonts w:ascii="Cambria" w:hAnsi="Cambria"/>
        </w:rPr>
      </w:pPr>
      <w:r w:rsidRPr="009A0DA6">
        <w:rPr>
          <w:rFonts w:ascii="Cambria" w:hAnsi="Cambria"/>
        </w:rPr>
        <w:t>7.3.15</w:t>
      </w:r>
      <w:r w:rsidRPr="009A0DA6">
        <w:rPr>
          <w:rFonts w:ascii="Cambria" w:hAnsi="Cambria"/>
        </w:rPr>
        <w:tab/>
        <w:t>Seconded amendments are new questions and persons who have spoken to the motion shall be permitted to speak again.</w:t>
      </w:r>
    </w:p>
    <w:p w14:paraId="1CA30721" w14:textId="77777777" w:rsidR="00D94020" w:rsidRPr="009A0DA6" w:rsidRDefault="00D94020" w:rsidP="00D94020">
      <w:pPr>
        <w:tabs>
          <w:tab w:val="left" w:pos="851"/>
          <w:tab w:val="left" w:pos="1985"/>
          <w:tab w:val="left" w:pos="3119"/>
          <w:tab w:val="left" w:pos="4536"/>
          <w:tab w:val="left" w:pos="5670"/>
        </w:tabs>
        <w:spacing w:before="120" w:after="120" w:line="240" w:lineRule="auto"/>
        <w:ind w:left="851" w:hanging="851"/>
        <w:contextualSpacing/>
        <w:rPr>
          <w:rFonts w:ascii="Cambria" w:hAnsi="Cambria"/>
        </w:rPr>
      </w:pPr>
      <w:r w:rsidRPr="009A0DA6">
        <w:rPr>
          <w:rFonts w:ascii="Cambria" w:hAnsi="Cambria"/>
        </w:rPr>
        <w:t>7.3.16</w:t>
      </w:r>
      <w:r w:rsidRPr="009A0DA6">
        <w:rPr>
          <w:rFonts w:ascii="Cambria" w:hAnsi="Cambria"/>
        </w:rPr>
        <w:tab/>
        <w:t>The mover of any motion shall be permitted to speak for five [5] minutes, and three [3] minutes shall be the limit for all other speakers unless a resolution granting extension of time be granted by the convention.</w:t>
      </w:r>
    </w:p>
    <w:p w14:paraId="355539D5" w14:textId="67004871" w:rsidR="00D94020" w:rsidRPr="009A0DA6" w:rsidRDefault="00D94020" w:rsidP="00D94020">
      <w:pPr>
        <w:tabs>
          <w:tab w:val="left" w:pos="851"/>
          <w:tab w:val="left" w:pos="1985"/>
          <w:tab w:val="left" w:pos="3119"/>
          <w:tab w:val="left" w:pos="4536"/>
          <w:tab w:val="left" w:pos="5670"/>
        </w:tabs>
        <w:spacing w:before="120" w:after="120" w:line="240" w:lineRule="auto"/>
        <w:ind w:left="851" w:hanging="851"/>
        <w:contextualSpacing/>
        <w:rPr>
          <w:rFonts w:ascii="Cambria" w:hAnsi="Cambria"/>
        </w:rPr>
      </w:pPr>
      <w:r w:rsidRPr="009A0DA6">
        <w:rPr>
          <w:rFonts w:ascii="Cambria" w:hAnsi="Cambria"/>
        </w:rPr>
        <w:t>7.3.17</w:t>
      </w:r>
      <w:r w:rsidRPr="009A0DA6">
        <w:rPr>
          <w:rFonts w:ascii="Cambria" w:hAnsi="Cambria"/>
        </w:rPr>
        <w:tab/>
        <w:t>The Chairperson shall give ample opportunity for speakers for and against a motion or an amendment to be heard</w:t>
      </w:r>
      <w:r w:rsidR="0027799A" w:rsidRPr="009A0DA6">
        <w:rPr>
          <w:rFonts w:ascii="Cambria" w:hAnsi="Cambria"/>
        </w:rPr>
        <w:t xml:space="preserve">. </w:t>
      </w:r>
      <w:r w:rsidRPr="009A0DA6">
        <w:rPr>
          <w:rFonts w:ascii="Cambria" w:hAnsi="Cambria"/>
        </w:rPr>
        <w:t>If there are no speakers against it shall be put without right of reply.</w:t>
      </w:r>
    </w:p>
    <w:p w14:paraId="219866BD" w14:textId="77777777" w:rsidR="00D94020" w:rsidRPr="009A0DA6" w:rsidRDefault="00D94020" w:rsidP="00D94020">
      <w:pPr>
        <w:tabs>
          <w:tab w:val="left" w:pos="851"/>
          <w:tab w:val="left" w:pos="1985"/>
          <w:tab w:val="left" w:pos="3119"/>
          <w:tab w:val="left" w:pos="4536"/>
          <w:tab w:val="left" w:pos="5670"/>
        </w:tabs>
        <w:spacing w:before="120" w:after="120" w:line="240" w:lineRule="auto"/>
        <w:ind w:left="851" w:hanging="851"/>
        <w:contextualSpacing/>
        <w:rPr>
          <w:rFonts w:ascii="Cambria" w:hAnsi="Cambria"/>
        </w:rPr>
      </w:pPr>
      <w:r w:rsidRPr="009A0DA6">
        <w:rPr>
          <w:rFonts w:ascii="Cambria" w:hAnsi="Cambria"/>
        </w:rPr>
        <w:t>7.3.18</w:t>
      </w:r>
      <w:r w:rsidRPr="009A0DA6">
        <w:rPr>
          <w:rFonts w:ascii="Cambria" w:hAnsi="Cambria"/>
        </w:rPr>
        <w:tab/>
        <w:t>As a general rule motions and amendments shall be read before a vote is taken, and the Chairperson shall if necessary briefly explain their meaning.</w:t>
      </w:r>
    </w:p>
    <w:p w14:paraId="6EAA29A3" w14:textId="1137E608" w:rsidR="00D94020" w:rsidRPr="009A0DA6" w:rsidRDefault="00D94020" w:rsidP="00D94020">
      <w:pPr>
        <w:tabs>
          <w:tab w:val="left" w:pos="851"/>
          <w:tab w:val="left" w:pos="1985"/>
          <w:tab w:val="left" w:pos="3119"/>
          <w:tab w:val="left" w:pos="4536"/>
          <w:tab w:val="left" w:pos="5670"/>
        </w:tabs>
        <w:spacing w:before="120" w:after="120" w:line="240" w:lineRule="auto"/>
        <w:ind w:left="851" w:hanging="851"/>
        <w:contextualSpacing/>
        <w:rPr>
          <w:rFonts w:ascii="Cambria" w:hAnsi="Cambria"/>
        </w:rPr>
      </w:pPr>
      <w:r w:rsidRPr="009A0DA6">
        <w:rPr>
          <w:rFonts w:ascii="Cambria" w:hAnsi="Cambria"/>
        </w:rPr>
        <w:t>7.3.19</w:t>
      </w:r>
      <w:r w:rsidRPr="009A0DA6">
        <w:rPr>
          <w:rFonts w:ascii="Cambria" w:hAnsi="Cambria"/>
        </w:rPr>
        <w:tab/>
        <w:t>No motion may be brought forward which is the same in substance as a matter which has already been resolved by the convention unless a motion calling for a reconsideration of the matter previously decided is moved and seconded by persons who voted with the majority when the matter was originally put</w:t>
      </w:r>
      <w:r w:rsidR="0027799A" w:rsidRPr="009A0DA6">
        <w:rPr>
          <w:rFonts w:ascii="Cambria" w:hAnsi="Cambria"/>
        </w:rPr>
        <w:t xml:space="preserve">. </w:t>
      </w:r>
      <w:r w:rsidRPr="009A0DA6">
        <w:rPr>
          <w:rFonts w:ascii="Cambria" w:hAnsi="Cambria"/>
        </w:rPr>
        <w:t>If the motion to reconsider is carried the previous vote is thereby cancelled, and the original motion is again before the convention in the form in which it was put to the vote</w:t>
      </w:r>
      <w:r w:rsidR="0027799A" w:rsidRPr="009A0DA6">
        <w:rPr>
          <w:rFonts w:ascii="Cambria" w:hAnsi="Cambria"/>
        </w:rPr>
        <w:t xml:space="preserve">. </w:t>
      </w:r>
      <w:r w:rsidRPr="009A0DA6">
        <w:rPr>
          <w:rFonts w:ascii="Cambria" w:hAnsi="Cambria"/>
        </w:rPr>
        <w:t>A matter may be reconsidered only once at the same convention.</w:t>
      </w:r>
    </w:p>
    <w:p w14:paraId="110C4F46" w14:textId="61543869" w:rsidR="00D94020" w:rsidRPr="009A0DA6" w:rsidRDefault="00D94020" w:rsidP="00D94020">
      <w:pPr>
        <w:tabs>
          <w:tab w:val="left" w:pos="851"/>
          <w:tab w:val="left" w:pos="1985"/>
          <w:tab w:val="left" w:pos="3119"/>
          <w:tab w:val="left" w:pos="4536"/>
          <w:tab w:val="left" w:pos="5670"/>
        </w:tabs>
        <w:spacing w:before="120" w:after="120" w:line="240" w:lineRule="auto"/>
        <w:ind w:left="851" w:hanging="851"/>
        <w:contextualSpacing/>
        <w:rPr>
          <w:rFonts w:ascii="Cambria" w:hAnsi="Cambria"/>
        </w:rPr>
      </w:pPr>
      <w:r w:rsidRPr="009A0DA6">
        <w:rPr>
          <w:rFonts w:ascii="Cambria" w:hAnsi="Cambria"/>
        </w:rPr>
        <w:t>7.3.20</w:t>
      </w:r>
      <w:r w:rsidRPr="009A0DA6">
        <w:rPr>
          <w:rFonts w:ascii="Cambria" w:hAnsi="Cambria"/>
        </w:rPr>
        <w:tab/>
        <w:t>A motion shall be decided by a show of hands unless a ballot is required by the Chairperson or demanded by a delegate and granted by resolution of the convention</w:t>
      </w:r>
      <w:r w:rsidR="0027799A" w:rsidRPr="009A0DA6">
        <w:rPr>
          <w:rFonts w:ascii="Cambria" w:hAnsi="Cambria"/>
        </w:rPr>
        <w:t xml:space="preserve">. </w:t>
      </w:r>
      <w:r w:rsidRPr="009A0DA6">
        <w:rPr>
          <w:rFonts w:ascii="Cambria" w:hAnsi="Cambria"/>
        </w:rPr>
        <w:t>In the event of a disagreement as to the result of the vote, a recount or second vote may be demanded.</w:t>
      </w:r>
    </w:p>
    <w:p w14:paraId="2049EA0D" w14:textId="533CFD94" w:rsidR="00D94020" w:rsidRPr="009A0DA6" w:rsidRDefault="00D94020" w:rsidP="00D94020">
      <w:pPr>
        <w:tabs>
          <w:tab w:val="left" w:pos="851"/>
          <w:tab w:val="left" w:pos="1985"/>
          <w:tab w:val="left" w:pos="3119"/>
          <w:tab w:val="left" w:pos="4536"/>
          <w:tab w:val="left" w:pos="5670"/>
        </w:tabs>
        <w:spacing w:before="120" w:after="120" w:line="240" w:lineRule="auto"/>
        <w:ind w:left="851" w:hanging="851"/>
        <w:contextualSpacing/>
        <w:rPr>
          <w:rFonts w:ascii="Cambria" w:hAnsi="Cambria"/>
        </w:rPr>
      </w:pPr>
      <w:r w:rsidRPr="009A0DA6">
        <w:rPr>
          <w:rFonts w:ascii="Cambria" w:hAnsi="Cambria"/>
        </w:rPr>
        <w:t>7.3.21</w:t>
      </w:r>
      <w:r w:rsidRPr="009A0DA6">
        <w:rPr>
          <w:rFonts w:ascii="Cambria" w:hAnsi="Cambria"/>
        </w:rPr>
        <w:tab/>
        <w:t>If in the opinion of any delegate an irregularity of procedure occurs the delegate may immediately without asking permission from the chair rise to a `point of order' and shall be heard forthwith</w:t>
      </w:r>
      <w:r w:rsidR="0027799A" w:rsidRPr="009A0DA6">
        <w:rPr>
          <w:rFonts w:ascii="Cambria" w:hAnsi="Cambria"/>
        </w:rPr>
        <w:t xml:space="preserve">. </w:t>
      </w:r>
      <w:r w:rsidRPr="009A0DA6">
        <w:rPr>
          <w:rFonts w:ascii="Cambria" w:hAnsi="Cambria"/>
        </w:rPr>
        <w:t>The delegate shall explain the point of order clearly and briefly without introducing new matter</w:t>
      </w:r>
      <w:r w:rsidR="0027799A" w:rsidRPr="009A0DA6">
        <w:rPr>
          <w:rFonts w:ascii="Cambria" w:hAnsi="Cambria"/>
        </w:rPr>
        <w:t xml:space="preserve">. </w:t>
      </w:r>
      <w:r w:rsidRPr="009A0DA6">
        <w:rPr>
          <w:rFonts w:ascii="Cambria" w:hAnsi="Cambria"/>
        </w:rPr>
        <w:t>The</w:t>
      </w:r>
      <w:r w:rsidRPr="009A0DA6">
        <w:rPr>
          <w:rFonts w:ascii="Cambria" w:hAnsi="Cambria"/>
          <w:b/>
        </w:rPr>
        <w:t xml:space="preserve"> </w:t>
      </w:r>
      <w:r w:rsidRPr="009A0DA6">
        <w:rPr>
          <w:rFonts w:ascii="Cambria" w:hAnsi="Cambria"/>
        </w:rPr>
        <w:t>Chairperson shall decide either to uphold or disallow the point raised, and it shall not be debated unless an appeal be made against the ruling of the Chairperson.</w:t>
      </w:r>
    </w:p>
    <w:p w14:paraId="4EA4C259" w14:textId="4E59BE91" w:rsidR="00D94020" w:rsidRPr="009A0DA6" w:rsidRDefault="00D94020" w:rsidP="00D94020">
      <w:pPr>
        <w:tabs>
          <w:tab w:val="left" w:pos="851"/>
          <w:tab w:val="left" w:pos="1985"/>
          <w:tab w:val="left" w:pos="3119"/>
          <w:tab w:val="left" w:pos="4536"/>
          <w:tab w:val="left" w:pos="5670"/>
        </w:tabs>
        <w:spacing w:before="120" w:after="120" w:line="240" w:lineRule="auto"/>
        <w:ind w:left="851" w:hanging="851"/>
        <w:contextualSpacing/>
        <w:rPr>
          <w:rFonts w:ascii="Cambria" w:hAnsi="Cambria"/>
        </w:rPr>
      </w:pPr>
      <w:r w:rsidRPr="009A0DA6">
        <w:rPr>
          <w:rFonts w:ascii="Cambria" w:hAnsi="Cambria"/>
        </w:rPr>
        <w:t>7.3.22</w:t>
      </w:r>
      <w:r w:rsidRPr="009A0DA6">
        <w:rPr>
          <w:rFonts w:ascii="Cambria" w:hAnsi="Cambria"/>
        </w:rPr>
        <w:tab/>
        <w:t>Deference shall be paid to the Chairperson's authority</w:t>
      </w:r>
      <w:r w:rsidR="0027799A" w:rsidRPr="009A0DA6">
        <w:rPr>
          <w:rFonts w:ascii="Cambria" w:hAnsi="Cambria"/>
        </w:rPr>
        <w:t xml:space="preserve">. </w:t>
      </w:r>
      <w:r w:rsidRPr="009A0DA6">
        <w:rPr>
          <w:rFonts w:ascii="Cambria" w:hAnsi="Cambria"/>
        </w:rPr>
        <w:t>All present shall be seated whenever the Chairperson rises to speak, and the Chairperson shall be heard without interruption, except when a point of order is raised.</w:t>
      </w:r>
    </w:p>
    <w:p w14:paraId="21C0B111" w14:textId="77777777" w:rsidR="00D94020" w:rsidRPr="009A0DA6" w:rsidRDefault="00D94020" w:rsidP="00D94020">
      <w:pPr>
        <w:tabs>
          <w:tab w:val="left" w:pos="851"/>
          <w:tab w:val="left" w:pos="1985"/>
          <w:tab w:val="left" w:pos="3119"/>
          <w:tab w:val="left" w:pos="4536"/>
          <w:tab w:val="left" w:pos="5670"/>
        </w:tabs>
        <w:spacing w:before="120" w:after="120" w:line="240" w:lineRule="auto"/>
        <w:ind w:left="851" w:hanging="851"/>
        <w:contextualSpacing/>
        <w:rPr>
          <w:rFonts w:ascii="Cambria" w:hAnsi="Cambria"/>
        </w:rPr>
      </w:pPr>
      <w:r w:rsidRPr="009A0DA6">
        <w:rPr>
          <w:rFonts w:ascii="Cambria" w:hAnsi="Cambria"/>
        </w:rPr>
        <w:t>7.3.23</w:t>
      </w:r>
      <w:r w:rsidRPr="009A0DA6">
        <w:rPr>
          <w:rFonts w:ascii="Cambria" w:hAnsi="Cambria"/>
        </w:rPr>
        <w:tab/>
        <w:t>The Chairperson may call attention to continued irrelevance or tedious repetition on the part of a speaker, and may direct the speaker to cease speaking.</w:t>
      </w:r>
    </w:p>
    <w:p w14:paraId="78559FC1" w14:textId="77777777" w:rsidR="00D94020" w:rsidRPr="009A0DA6" w:rsidRDefault="00D94020" w:rsidP="00D94020">
      <w:pPr>
        <w:tabs>
          <w:tab w:val="left" w:pos="851"/>
          <w:tab w:val="left" w:pos="1985"/>
          <w:tab w:val="left" w:pos="3119"/>
          <w:tab w:val="left" w:pos="4536"/>
          <w:tab w:val="left" w:pos="5670"/>
        </w:tabs>
        <w:spacing w:before="120" w:after="120" w:line="240" w:lineRule="auto"/>
        <w:ind w:left="851" w:hanging="851"/>
        <w:contextualSpacing/>
        <w:rPr>
          <w:rFonts w:ascii="Cambria" w:hAnsi="Cambria"/>
        </w:rPr>
      </w:pPr>
      <w:r w:rsidRPr="009A0DA6">
        <w:rPr>
          <w:rFonts w:ascii="Cambria" w:hAnsi="Cambria"/>
        </w:rPr>
        <w:t>7.3.24</w:t>
      </w:r>
      <w:r w:rsidRPr="009A0DA6">
        <w:rPr>
          <w:rFonts w:ascii="Cambria" w:hAnsi="Cambria"/>
        </w:rPr>
        <w:tab/>
        <w:t>If disorder should arise the Chairperson may announce an adjournment of the convention and leave the chair, and by that action the convention is immediately adjourned for a period that shall not exceed one-half hour.</w:t>
      </w:r>
    </w:p>
    <w:p w14:paraId="07DEB35E" w14:textId="212DC293" w:rsidR="00D94020" w:rsidRPr="009A0DA6" w:rsidRDefault="00D94020" w:rsidP="00D94020">
      <w:pPr>
        <w:tabs>
          <w:tab w:val="left" w:pos="851"/>
          <w:tab w:val="left" w:pos="1985"/>
          <w:tab w:val="left" w:pos="3119"/>
          <w:tab w:val="left" w:pos="4536"/>
          <w:tab w:val="left" w:pos="5670"/>
        </w:tabs>
        <w:spacing w:before="120" w:after="120" w:line="240" w:lineRule="auto"/>
        <w:ind w:left="851" w:hanging="851"/>
        <w:contextualSpacing/>
        <w:rPr>
          <w:rFonts w:ascii="Cambria" w:hAnsi="Cambria"/>
        </w:rPr>
      </w:pPr>
      <w:r w:rsidRPr="009A0DA6">
        <w:rPr>
          <w:rFonts w:ascii="Cambria" w:hAnsi="Cambria"/>
        </w:rPr>
        <w:lastRenderedPageBreak/>
        <w:t>7.3.25</w:t>
      </w:r>
      <w:r w:rsidRPr="009A0DA6">
        <w:rPr>
          <w:rFonts w:ascii="Cambria" w:hAnsi="Cambria"/>
        </w:rPr>
        <w:tab/>
        <w:t>The Chairperson may speak briefly for the purpose of giving some desired or necessary information</w:t>
      </w:r>
      <w:r w:rsidR="0027799A" w:rsidRPr="009A0DA6">
        <w:rPr>
          <w:rFonts w:ascii="Cambria" w:hAnsi="Cambria"/>
        </w:rPr>
        <w:t xml:space="preserve">. </w:t>
      </w:r>
      <w:r w:rsidRPr="009A0DA6">
        <w:rPr>
          <w:rFonts w:ascii="Cambria" w:hAnsi="Cambria"/>
        </w:rPr>
        <w:t>If, however, the Chairperson wishes to take an active part in a debate, an Assistant Bishop or some other appointed person shall take the chair.</w:t>
      </w:r>
    </w:p>
    <w:p w14:paraId="0593C131" w14:textId="77777777" w:rsidR="00D94020" w:rsidRPr="009A0DA6" w:rsidRDefault="00D94020" w:rsidP="00D94020">
      <w:pPr>
        <w:tabs>
          <w:tab w:val="left" w:pos="851"/>
          <w:tab w:val="left" w:pos="1985"/>
          <w:tab w:val="left" w:pos="3119"/>
          <w:tab w:val="left" w:pos="4536"/>
          <w:tab w:val="left" w:pos="5670"/>
        </w:tabs>
        <w:spacing w:before="120" w:after="120" w:line="240" w:lineRule="auto"/>
        <w:ind w:left="1985" w:hanging="1985"/>
        <w:contextualSpacing/>
        <w:rPr>
          <w:rFonts w:ascii="Cambria" w:hAnsi="Cambria"/>
        </w:rPr>
      </w:pPr>
      <w:r w:rsidRPr="009A0DA6">
        <w:rPr>
          <w:rFonts w:ascii="Cambria" w:hAnsi="Cambria"/>
        </w:rPr>
        <w:t>7.3.26</w:t>
      </w:r>
      <w:r w:rsidRPr="009A0DA6">
        <w:rPr>
          <w:rFonts w:ascii="Cambria" w:hAnsi="Cambria"/>
        </w:rPr>
        <w:tab/>
        <w:t>The Chairperson may determine when a vote is to be taken.</w:t>
      </w:r>
    </w:p>
    <w:p w14:paraId="10673671" w14:textId="34414E5F" w:rsidR="00D94020" w:rsidRPr="009A0DA6" w:rsidRDefault="00D94020" w:rsidP="00D94020">
      <w:pPr>
        <w:tabs>
          <w:tab w:val="left" w:pos="851"/>
          <w:tab w:val="left" w:pos="1985"/>
          <w:tab w:val="left" w:pos="3119"/>
          <w:tab w:val="left" w:pos="4536"/>
          <w:tab w:val="left" w:pos="5670"/>
        </w:tabs>
        <w:spacing w:before="120" w:after="120" w:line="240" w:lineRule="auto"/>
        <w:ind w:left="1985" w:hanging="1985"/>
        <w:contextualSpacing/>
        <w:rPr>
          <w:rFonts w:ascii="Cambria" w:hAnsi="Cambria"/>
        </w:rPr>
      </w:pPr>
      <w:r w:rsidRPr="009A0DA6">
        <w:rPr>
          <w:rFonts w:ascii="Cambria" w:hAnsi="Cambria"/>
        </w:rPr>
        <w:tab/>
        <w:t>7.3.26.1</w:t>
      </w:r>
      <w:r w:rsidRPr="009A0DA6">
        <w:rPr>
          <w:rFonts w:ascii="Cambria" w:hAnsi="Cambria"/>
        </w:rPr>
        <w:tab/>
        <w:t>During a debate the Chairperson may seek an indication of readiness to vote</w:t>
      </w:r>
      <w:r w:rsidR="0027799A" w:rsidRPr="009A0DA6">
        <w:rPr>
          <w:rFonts w:ascii="Cambria" w:hAnsi="Cambria"/>
        </w:rPr>
        <w:t xml:space="preserve">. </w:t>
      </w:r>
      <w:r w:rsidRPr="009A0DA6">
        <w:rPr>
          <w:rFonts w:ascii="Cambria" w:hAnsi="Cambria"/>
        </w:rPr>
        <w:t>If there is an indication of a significant or high number of possible abstentions from voting by reason of indecision or by absence from the meeting, the Chairperson may decide to continue the discussion or defer the motion.</w:t>
      </w:r>
    </w:p>
    <w:p w14:paraId="62A04505" w14:textId="77777777" w:rsidR="00D94020" w:rsidRPr="009A0DA6" w:rsidRDefault="00D94020" w:rsidP="00D94020">
      <w:pPr>
        <w:tabs>
          <w:tab w:val="left" w:pos="851"/>
          <w:tab w:val="left" w:pos="1985"/>
          <w:tab w:val="left" w:pos="3119"/>
          <w:tab w:val="left" w:pos="4536"/>
          <w:tab w:val="left" w:pos="5670"/>
        </w:tabs>
        <w:spacing w:before="120" w:after="120" w:line="240" w:lineRule="auto"/>
        <w:ind w:left="1985" w:hanging="1985"/>
        <w:contextualSpacing/>
        <w:rPr>
          <w:rFonts w:ascii="Cambria" w:hAnsi="Cambria"/>
        </w:rPr>
      </w:pPr>
      <w:r w:rsidRPr="009A0DA6">
        <w:rPr>
          <w:rFonts w:ascii="Cambria" w:hAnsi="Cambria"/>
        </w:rPr>
        <w:tab/>
        <w:t>7.3.26.2</w:t>
      </w:r>
      <w:r w:rsidRPr="009A0DA6">
        <w:rPr>
          <w:rFonts w:ascii="Cambria" w:hAnsi="Cambria"/>
        </w:rPr>
        <w:tab/>
        <w:t>Unless otherwise stipulated a majority of those delegates voting shall decide the motion, and in the event of an equality of votes the Chairperson shall in addition to a deliberative vote have a casting vote, or refer the motion for further discussion.</w:t>
      </w:r>
    </w:p>
    <w:p w14:paraId="3984C4F5" w14:textId="6A47FC66" w:rsidR="00D94020" w:rsidRPr="009A0DA6" w:rsidRDefault="00D94020" w:rsidP="00D94020">
      <w:pPr>
        <w:tabs>
          <w:tab w:val="left" w:pos="851"/>
          <w:tab w:val="left" w:pos="1985"/>
          <w:tab w:val="left" w:pos="3119"/>
          <w:tab w:val="left" w:pos="4536"/>
          <w:tab w:val="left" w:pos="5670"/>
        </w:tabs>
        <w:spacing w:before="120" w:after="120" w:line="240" w:lineRule="auto"/>
        <w:ind w:left="851" w:hanging="851"/>
        <w:contextualSpacing/>
        <w:rPr>
          <w:rFonts w:ascii="Cambria" w:hAnsi="Cambria"/>
        </w:rPr>
      </w:pPr>
      <w:r w:rsidRPr="009A0DA6">
        <w:rPr>
          <w:rFonts w:ascii="Cambria" w:hAnsi="Cambria"/>
        </w:rPr>
        <w:t>7.3.27</w:t>
      </w:r>
      <w:r w:rsidRPr="009A0DA6">
        <w:rPr>
          <w:rFonts w:ascii="Cambria" w:hAnsi="Cambria"/>
        </w:rPr>
        <w:tab/>
        <w:t>No formal motion may be moved or seconded by anyone who has moved, seconded or spoken to the motion or any amendment</w:t>
      </w:r>
      <w:r w:rsidR="0027799A" w:rsidRPr="009A0DA6">
        <w:rPr>
          <w:rFonts w:ascii="Cambria" w:hAnsi="Cambria"/>
        </w:rPr>
        <w:t xml:space="preserve">. </w:t>
      </w:r>
      <w:r w:rsidRPr="009A0DA6">
        <w:rPr>
          <w:rFonts w:ascii="Cambria" w:hAnsi="Cambria"/>
        </w:rPr>
        <w:t>The following formal motions may be moved and seconded and are not debatable:</w:t>
      </w:r>
    </w:p>
    <w:p w14:paraId="3584B350" w14:textId="77777777" w:rsidR="00D94020" w:rsidRPr="009A0DA6" w:rsidRDefault="00D94020" w:rsidP="00D94020">
      <w:pPr>
        <w:tabs>
          <w:tab w:val="left" w:pos="851"/>
          <w:tab w:val="left" w:pos="1985"/>
          <w:tab w:val="left" w:pos="3119"/>
          <w:tab w:val="left" w:pos="4536"/>
          <w:tab w:val="left" w:pos="5670"/>
        </w:tabs>
        <w:spacing w:before="120" w:after="120" w:line="240" w:lineRule="auto"/>
        <w:ind w:left="1985" w:hanging="1985"/>
        <w:contextualSpacing/>
        <w:rPr>
          <w:rFonts w:ascii="Cambria" w:hAnsi="Cambria"/>
        </w:rPr>
      </w:pPr>
      <w:r w:rsidRPr="009A0DA6">
        <w:rPr>
          <w:rFonts w:ascii="Cambria" w:hAnsi="Cambria"/>
        </w:rPr>
        <w:tab/>
        <w:t>7.3.27.1</w:t>
      </w:r>
      <w:r w:rsidRPr="009A0DA6">
        <w:rPr>
          <w:rFonts w:ascii="Cambria" w:hAnsi="Cambria"/>
        </w:rPr>
        <w:tab/>
        <w:t>A motion may be superseded for that particular convention by the acceptance of either of the following motions:</w:t>
      </w:r>
    </w:p>
    <w:p w14:paraId="3EDFC267" w14:textId="77777777" w:rsidR="00D94020" w:rsidRPr="009A0DA6" w:rsidRDefault="00D94020" w:rsidP="00D94020">
      <w:pPr>
        <w:tabs>
          <w:tab w:val="left" w:pos="851"/>
          <w:tab w:val="left" w:pos="1985"/>
          <w:tab w:val="left" w:pos="3119"/>
          <w:tab w:val="left" w:pos="4536"/>
          <w:tab w:val="left" w:pos="5670"/>
        </w:tabs>
        <w:spacing w:before="120" w:after="120" w:line="240" w:lineRule="auto"/>
        <w:ind w:left="1985" w:hanging="1985"/>
        <w:contextualSpacing/>
        <w:rPr>
          <w:rFonts w:ascii="Cambria" w:hAnsi="Cambria"/>
        </w:rPr>
      </w:pPr>
      <w:r w:rsidRPr="009A0DA6">
        <w:rPr>
          <w:rFonts w:ascii="Cambria" w:hAnsi="Cambria"/>
        </w:rPr>
        <w:tab/>
      </w:r>
      <w:r w:rsidRPr="009A0DA6">
        <w:rPr>
          <w:rFonts w:ascii="Cambria" w:hAnsi="Cambria"/>
        </w:rPr>
        <w:tab/>
      </w:r>
      <w:r w:rsidRPr="009A0DA6">
        <w:rPr>
          <w:rFonts w:ascii="Cambria" w:hAnsi="Cambria"/>
        </w:rPr>
        <w:tab/>
        <w:t>‘That the debate be adjourned';</w:t>
      </w:r>
    </w:p>
    <w:p w14:paraId="2931C80E" w14:textId="77777777" w:rsidR="00D94020" w:rsidRPr="009A0DA6" w:rsidRDefault="00D94020" w:rsidP="00D94020">
      <w:pPr>
        <w:tabs>
          <w:tab w:val="left" w:pos="851"/>
          <w:tab w:val="left" w:pos="1985"/>
          <w:tab w:val="left" w:pos="3119"/>
          <w:tab w:val="left" w:pos="4536"/>
          <w:tab w:val="left" w:pos="5670"/>
        </w:tabs>
        <w:spacing w:before="120" w:after="120" w:line="240" w:lineRule="auto"/>
        <w:ind w:left="1985" w:hanging="1985"/>
        <w:contextualSpacing/>
        <w:rPr>
          <w:rFonts w:ascii="Cambria" w:hAnsi="Cambria"/>
        </w:rPr>
      </w:pPr>
      <w:r w:rsidRPr="009A0DA6">
        <w:rPr>
          <w:rFonts w:ascii="Cambria" w:hAnsi="Cambria"/>
        </w:rPr>
        <w:tab/>
      </w:r>
      <w:r w:rsidRPr="009A0DA6">
        <w:rPr>
          <w:rFonts w:ascii="Cambria" w:hAnsi="Cambria"/>
        </w:rPr>
        <w:tab/>
      </w:r>
      <w:r w:rsidRPr="009A0DA6">
        <w:rPr>
          <w:rFonts w:ascii="Cambria" w:hAnsi="Cambria"/>
        </w:rPr>
        <w:tab/>
        <w:t>‘That Synod proceed to the next business'.</w:t>
      </w:r>
    </w:p>
    <w:p w14:paraId="75D4845E" w14:textId="77777777" w:rsidR="00D94020" w:rsidRPr="009A0DA6" w:rsidRDefault="00D94020" w:rsidP="00D94020">
      <w:pPr>
        <w:tabs>
          <w:tab w:val="left" w:pos="851"/>
          <w:tab w:val="left" w:pos="1985"/>
          <w:tab w:val="left" w:pos="3119"/>
          <w:tab w:val="left" w:pos="4536"/>
          <w:tab w:val="left" w:pos="5670"/>
        </w:tabs>
        <w:spacing w:before="120" w:after="120" w:line="240" w:lineRule="auto"/>
        <w:ind w:left="1985" w:hanging="1985"/>
        <w:contextualSpacing/>
        <w:rPr>
          <w:rFonts w:ascii="Cambria" w:hAnsi="Cambria"/>
        </w:rPr>
      </w:pPr>
      <w:r w:rsidRPr="009A0DA6">
        <w:rPr>
          <w:rFonts w:ascii="Cambria" w:hAnsi="Cambria"/>
        </w:rPr>
        <w:tab/>
        <w:t>7.3.27.2</w:t>
      </w:r>
      <w:r w:rsidRPr="009A0DA6">
        <w:rPr>
          <w:rFonts w:ascii="Cambria" w:hAnsi="Cambria"/>
        </w:rPr>
        <w:tab/>
        <w:t xml:space="preserve">A motion may be superseded for the time being by the motion </w:t>
      </w:r>
    </w:p>
    <w:p w14:paraId="74E70EB2" w14:textId="3F3D7F42" w:rsidR="00D94020" w:rsidRPr="009A0DA6" w:rsidRDefault="00D94020" w:rsidP="00D94020">
      <w:pPr>
        <w:tabs>
          <w:tab w:val="left" w:pos="851"/>
          <w:tab w:val="left" w:pos="1985"/>
          <w:tab w:val="left" w:pos="3119"/>
          <w:tab w:val="left" w:pos="4536"/>
          <w:tab w:val="left" w:pos="5670"/>
        </w:tabs>
        <w:spacing w:before="120" w:after="120" w:line="240" w:lineRule="auto"/>
        <w:ind w:left="1985" w:hanging="1985"/>
        <w:contextualSpacing/>
        <w:rPr>
          <w:rFonts w:ascii="Cambria" w:hAnsi="Cambria"/>
        </w:rPr>
      </w:pPr>
      <w:r w:rsidRPr="009A0DA6">
        <w:rPr>
          <w:rFonts w:ascii="Cambria" w:hAnsi="Cambria"/>
        </w:rPr>
        <w:tab/>
      </w:r>
      <w:r w:rsidRPr="009A0DA6">
        <w:rPr>
          <w:rFonts w:ascii="Cambria" w:hAnsi="Cambria"/>
        </w:rPr>
        <w:tab/>
      </w:r>
      <w:r w:rsidRPr="009A0DA6">
        <w:rPr>
          <w:rFonts w:ascii="Cambria" w:hAnsi="Cambria"/>
        </w:rPr>
        <w:tab/>
        <w:t>‘That the question lie on the table'</w:t>
      </w:r>
      <w:r w:rsidR="0027799A" w:rsidRPr="009A0DA6">
        <w:rPr>
          <w:rFonts w:ascii="Cambria" w:hAnsi="Cambria"/>
        </w:rPr>
        <w:t xml:space="preserve">. </w:t>
      </w:r>
    </w:p>
    <w:p w14:paraId="5F2BA8F1" w14:textId="77777777" w:rsidR="00D94020" w:rsidRPr="009A0DA6" w:rsidRDefault="00D94020" w:rsidP="00D94020">
      <w:pPr>
        <w:tabs>
          <w:tab w:val="left" w:pos="851"/>
          <w:tab w:val="left" w:pos="1985"/>
          <w:tab w:val="left" w:pos="3119"/>
          <w:tab w:val="left" w:pos="4536"/>
          <w:tab w:val="left" w:pos="5670"/>
        </w:tabs>
        <w:spacing w:before="120" w:after="120" w:line="240" w:lineRule="auto"/>
        <w:ind w:left="1985" w:hanging="1985"/>
        <w:contextualSpacing/>
        <w:rPr>
          <w:rFonts w:ascii="Cambria" w:hAnsi="Cambria"/>
        </w:rPr>
      </w:pPr>
      <w:r w:rsidRPr="009A0DA6">
        <w:rPr>
          <w:rFonts w:ascii="Cambria" w:hAnsi="Cambria"/>
        </w:rPr>
        <w:tab/>
      </w:r>
      <w:r w:rsidRPr="009A0DA6">
        <w:rPr>
          <w:rFonts w:ascii="Cambria" w:hAnsi="Cambria"/>
        </w:rPr>
        <w:tab/>
        <w:t>There can be a subsequent motion either at the same or a later convention to take the motion from the table.</w:t>
      </w:r>
    </w:p>
    <w:p w14:paraId="28FCFD25" w14:textId="1FEA9639" w:rsidR="00D94020" w:rsidRPr="009A0DA6" w:rsidRDefault="00D94020" w:rsidP="00D94020">
      <w:pPr>
        <w:tabs>
          <w:tab w:val="left" w:pos="851"/>
          <w:tab w:val="left" w:pos="1985"/>
          <w:tab w:val="left" w:pos="3119"/>
          <w:tab w:val="left" w:pos="4536"/>
          <w:tab w:val="left" w:pos="5670"/>
        </w:tabs>
        <w:spacing w:before="120" w:after="120" w:line="240" w:lineRule="auto"/>
        <w:ind w:left="1985" w:hanging="1985"/>
        <w:contextualSpacing/>
        <w:rPr>
          <w:rFonts w:ascii="Cambria" w:hAnsi="Cambria"/>
        </w:rPr>
      </w:pPr>
      <w:r w:rsidRPr="009A0DA6">
        <w:rPr>
          <w:rFonts w:ascii="Cambria" w:hAnsi="Cambria"/>
        </w:rPr>
        <w:tab/>
        <w:t>7.3.27.3</w:t>
      </w:r>
      <w:r w:rsidRPr="009A0DA6">
        <w:rPr>
          <w:rFonts w:ascii="Cambria" w:hAnsi="Cambria"/>
        </w:rPr>
        <w:tab/>
        <w:t>The convention may be adjourned by the motion `That the convention adjourn'</w:t>
      </w:r>
      <w:r w:rsidR="0027799A" w:rsidRPr="009A0DA6">
        <w:rPr>
          <w:rFonts w:ascii="Cambria" w:hAnsi="Cambria"/>
        </w:rPr>
        <w:t xml:space="preserve">. </w:t>
      </w:r>
      <w:r w:rsidRPr="009A0DA6">
        <w:rPr>
          <w:rFonts w:ascii="Cambria" w:hAnsi="Cambria"/>
        </w:rPr>
        <w:t>Debate may take place if the motion or amendment states time, date and place of the adjourned convention.</w:t>
      </w:r>
    </w:p>
    <w:p w14:paraId="0C8834E2" w14:textId="458DCA7C" w:rsidR="00D94020" w:rsidRPr="009A0DA6" w:rsidRDefault="00D94020" w:rsidP="00D94020">
      <w:pPr>
        <w:tabs>
          <w:tab w:val="left" w:pos="851"/>
          <w:tab w:val="left" w:pos="1985"/>
          <w:tab w:val="left" w:pos="3119"/>
          <w:tab w:val="left" w:pos="4536"/>
          <w:tab w:val="left" w:pos="5670"/>
        </w:tabs>
        <w:spacing w:before="120" w:after="120" w:line="240" w:lineRule="auto"/>
        <w:ind w:left="1985" w:hanging="1985"/>
        <w:contextualSpacing/>
        <w:rPr>
          <w:rFonts w:ascii="Cambria" w:hAnsi="Cambria"/>
        </w:rPr>
      </w:pPr>
      <w:r w:rsidRPr="009A0DA6">
        <w:rPr>
          <w:rFonts w:ascii="Cambria" w:hAnsi="Cambria"/>
        </w:rPr>
        <w:tab/>
        <w:t>7.3.27.4</w:t>
      </w:r>
      <w:r w:rsidRPr="009A0DA6">
        <w:rPr>
          <w:rFonts w:ascii="Cambria" w:hAnsi="Cambria"/>
        </w:rPr>
        <w:tab/>
        <w:t>Debate on a motion or an amendment may be closed by the motion `That the motion be now put'</w:t>
      </w:r>
      <w:r w:rsidR="0027799A" w:rsidRPr="009A0DA6">
        <w:rPr>
          <w:rFonts w:ascii="Cambria" w:hAnsi="Cambria"/>
        </w:rPr>
        <w:t xml:space="preserve">. </w:t>
      </w:r>
      <w:r w:rsidRPr="009A0DA6">
        <w:rPr>
          <w:rFonts w:ascii="Cambria" w:hAnsi="Cambria"/>
        </w:rPr>
        <w:t>If in the opinion of the Chairperson the motion has not been sufficiently discussed, such</w:t>
      </w:r>
      <w:r w:rsidRPr="009A0DA6">
        <w:rPr>
          <w:rFonts w:ascii="Cambria" w:hAnsi="Cambria"/>
          <w:b/>
        </w:rPr>
        <w:t xml:space="preserve"> </w:t>
      </w:r>
      <w:r w:rsidRPr="009A0DA6">
        <w:rPr>
          <w:rFonts w:ascii="Cambria" w:hAnsi="Cambria"/>
        </w:rPr>
        <w:t>motion may be</w:t>
      </w:r>
      <w:r w:rsidRPr="009A0DA6">
        <w:rPr>
          <w:rFonts w:ascii="Cambria" w:hAnsi="Cambria"/>
          <w:b/>
        </w:rPr>
        <w:t xml:space="preserve"> </w:t>
      </w:r>
      <w:r w:rsidRPr="009A0DA6">
        <w:rPr>
          <w:rFonts w:ascii="Cambria" w:hAnsi="Cambria"/>
        </w:rPr>
        <w:t>refused.</w:t>
      </w:r>
    </w:p>
    <w:p w14:paraId="60617DAB" w14:textId="77777777" w:rsidR="00D94020" w:rsidRPr="009A0DA6" w:rsidRDefault="00D94020" w:rsidP="00D94020">
      <w:pPr>
        <w:tabs>
          <w:tab w:val="left" w:pos="851"/>
          <w:tab w:val="left" w:pos="1985"/>
          <w:tab w:val="left" w:pos="3119"/>
          <w:tab w:val="left" w:pos="4536"/>
          <w:tab w:val="left" w:pos="5670"/>
        </w:tabs>
        <w:spacing w:before="120" w:after="120" w:line="240" w:lineRule="auto"/>
        <w:ind w:left="1985" w:hanging="1985"/>
        <w:contextualSpacing/>
        <w:rPr>
          <w:rFonts w:ascii="Cambria" w:hAnsi="Cambria"/>
        </w:rPr>
      </w:pPr>
      <w:r w:rsidRPr="009A0DA6">
        <w:rPr>
          <w:rFonts w:ascii="Cambria" w:hAnsi="Cambria"/>
        </w:rPr>
        <w:t>7.3.28</w:t>
      </w:r>
      <w:r w:rsidRPr="009A0DA6">
        <w:rPr>
          <w:rFonts w:ascii="Cambria" w:hAnsi="Cambria"/>
        </w:rPr>
        <w:tab/>
        <w:t>7.3.28.1</w:t>
      </w:r>
      <w:r w:rsidRPr="009A0DA6">
        <w:rPr>
          <w:rFonts w:ascii="Cambria" w:hAnsi="Cambria"/>
        </w:rPr>
        <w:tab/>
        <w:t>Matters of conscience and of doctrine shall have precedence over other matters and any rules relating to time limits and number of times a person may speak may be suspended by the ruling of the Chairperson or by a majority of those delegates voting.</w:t>
      </w:r>
    </w:p>
    <w:p w14:paraId="171EF279" w14:textId="70451D89" w:rsidR="00D94020" w:rsidRPr="009A0DA6" w:rsidRDefault="00D94020" w:rsidP="00D94020">
      <w:pPr>
        <w:tabs>
          <w:tab w:val="left" w:pos="851"/>
          <w:tab w:val="left" w:pos="1985"/>
          <w:tab w:val="left" w:pos="3119"/>
          <w:tab w:val="left" w:pos="4536"/>
          <w:tab w:val="left" w:pos="5670"/>
        </w:tabs>
        <w:spacing w:before="120" w:after="120" w:line="240" w:lineRule="auto"/>
        <w:ind w:left="1985" w:hanging="1985"/>
        <w:contextualSpacing/>
        <w:rPr>
          <w:rFonts w:ascii="Cambria" w:hAnsi="Cambria"/>
        </w:rPr>
      </w:pPr>
      <w:r w:rsidRPr="009A0DA6">
        <w:rPr>
          <w:rFonts w:ascii="Cambria" w:hAnsi="Cambria"/>
        </w:rPr>
        <w:tab/>
        <w:t>7.3.28.2</w:t>
      </w:r>
      <w:r w:rsidRPr="009A0DA6">
        <w:rPr>
          <w:rFonts w:ascii="Cambria" w:hAnsi="Cambria"/>
        </w:rPr>
        <w:tab/>
        <w:t xml:space="preserve">A matter deemed to be of a theological and confessional nature which has been referred to the </w:t>
      </w:r>
      <w:r w:rsidR="0027799A" w:rsidRPr="009A0DA6">
        <w:rPr>
          <w:rFonts w:ascii="Cambria" w:hAnsi="Cambria"/>
        </w:rPr>
        <w:t>General Pastors Conference</w:t>
      </w:r>
      <w:r w:rsidRPr="009A0DA6">
        <w:rPr>
          <w:rFonts w:ascii="Cambria" w:hAnsi="Cambria"/>
        </w:rPr>
        <w:t xml:space="preserve"> for consideration shall be considered by the convention only after a recommendation has been received from the </w:t>
      </w:r>
      <w:r w:rsidR="0027799A" w:rsidRPr="009A0DA6">
        <w:rPr>
          <w:rFonts w:ascii="Cambria" w:hAnsi="Cambria"/>
        </w:rPr>
        <w:t>General Pastors Conference</w:t>
      </w:r>
      <w:r w:rsidRPr="009A0DA6">
        <w:rPr>
          <w:rFonts w:ascii="Cambria" w:hAnsi="Cambria"/>
        </w:rPr>
        <w:t>.</w:t>
      </w:r>
    </w:p>
    <w:p w14:paraId="1948CE45" w14:textId="77777777" w:rsidR="00D94020" w:rsidRPr="009A0DA6" w:rsidRDefault="00D94020" w:rsidP="00D94020">
      <w:pPr>
        <w:tabs>
          <w:tab w:val="left" w:pos="851"/>
          <w:tab w:val="left" w:pos="1985"/>
          <w:tab w:val="left" w:pos="3119"/>
          <w:tab w:val="left" w:pos="4536"/>
          <w:tab w:val="left" w:pos="5670"/>
        </w:tabs>
        <w:spacing w:before="120" w:after="120" w:line="240" w:lineRule="auto"/>
        <w:ind w:left="1985" w:hanging="1985"/>
        <w:contextualSpacing/>
        <w:rPr>
          <w:rFonts w:ascii="Cambria" w:hAnsi="Cambria"/>
        </w:rPr>
      </w:pPr>
      <w:r w:rsidRPr="009A0DA6">
        <w:rPr>
          <w:rFonts w:ascii="Cambria" w:hAnsi="Cambria"/>
        </w:rPr>
        <w:tab/>
        <w:t>7.3.28.3</w:t>
      </w:r>
      <w:r w:rsidRPr="009A0DA6">
        <w:rPr>
          <w:rFonts w:ascii="Cambria" w:hAnsi="Cambria"/>
        </w:rPr>
        <w:tab/>
      </w:r>
      <w:r w:rsidRPr="009A0DA6">
        <w:rPr>
          <w:rFonts w:ascii="Cambria" w:hAnsi="Cambria" w:cs="Arial"/>
        </w:rPr>
        <w:t xml:space="preserve">For a resolution on a matter of doctrine </w:t>
      </w:r>
      <w:r w:rsidRPr="009A0DA6">
        <w:rPr>
          <w:rFonts w:ascii="Cambria" w:hAnsi="Cambria" w:cs="Arial"/>
          <w:bCs/>
        </w:rPr>
        <w:t xml:space="preserve">to </w:t>
      </w:r>
      <w:r w:rsidRPr="009A0DA6">
        <w:rPr>
          <w:rFonts w:ascii="Cambria" w:hAnsi="Cambria" w:cs="Arial"/>
        </w:rPr>
        <w:t xml:space="preserve">be deemed to be the official position of the Church </w:t>
      </w:r>
      <w:r w:rsidRPr="009A0DA6">
        <w:rPr>
          <w:rFonts w:ascii="Cambria" w:hAnsi="Cambria" w:cs="Arial"/>
          <w:bCs/>
        </w:rPr>
        <w:t>it shall require</w:t>
      </w:r>
      <w:r w:rsidRPr="009A0DA6">
        <w:rPr>
          <w:rFonts w:ascii="Cambria" w:hAnsi="Cambria" w:cs="Arial"/>
        </w:rPr>
        <w:t xml:space="preserve"> a two-thirds </w:t>
      </w:r>
      <w:r w:rsidRPr="009A0DA6">
        <w:rPr>
          <w:rFonts w:ascii="Cambria" w:hAnsi="Cambria" w:cs="Arial"/>
          <w:bCs/>
        </w:rPr>
        <w:t>majority</w:t>
      </w:r>
      <w:r w:rsidRPr="009A0DA6">
        <w:rPr>
          <w:rFonts w:ascii="Cambria" w:hAnsi="Cambria" w:cs="Arial"/>
        </w:rPr>
        <w:t xml:space="preserve"> of all the registered delegates at the convention.</w:t>
      </w:r>
      <w:r w:rsidRPr="009A0DA6">
        <w:rPr>
          <w:rFonts w:ascii="Cambria" w:hAnsi="Cambria"/>
        </w:rPr>
        <w:t xml:space="preserve"> </w:t>
      </w:r>
    </w:p>
    <w:p w14:paraId="191DFD64" w14:textId="77777777" w:rsidR="00D94020" w:rsidRPr="009A0DA6" w:rsidRDefault="00D94020" w:rsidP="00D94020">
      <w:pPr>
        <w:tabs>
          <w:tab w:val="left" w:pos="851"/>
          <w:tab w:val="left" w:pos="1985"/>
          <w:tab w:val="left" w:pos="3119"/>
          <w:tab w:val="left" w:pos="4536"/>
          <w:tab w:val="left" w:pos="5670"/>
        </w:tabs>
        <w:spacing w:before="120" w:after="120" w:line="240" w:lineRule="auto"/>
        <w:ind w:left="851" w:hanging="851"/>
        <w:contextualSpacing/>
        <w:rPr>
          <w:rFonts w:ascii="Cambria" w:hAnsi="Cambria"/>
        </w:rPr>
      </w:pPr>
      <w:r w:rsidRPr="009A0DA6">
        <w:rPr>
          <w:rFonts w:ascii="Cambria" w:hAnsi="Cambria"/>
        </w:rPr>
        <w:t>7.3.29</w:t>
      </w:r>
      <w:r w:rsidRPr="009A0DA6">
        <w:rPr>
          <w:rFonts w:ascii="Cambria" w:hAnsi="Cambria"/>
        </w:rPr>
        <w:tab/>
        <w:t>Any of the By-laws in Section 7.3 may, if the need arises, be suspended in respect to any business of the convention, by a two-thirds majority of those delegates present.</w:t>
      </w:r>
    </w:p>
    <w:p w14:paraId="2E8EB461" w14:textId="77777777" w:rsidR="00D94020" w:rsidRPr="009A0DA6" w:rsidRDefault="00D94020" w:rsidP="00D94020">
      <w:pPr>
        <w:tabs>
          <w:tab w:val="left" w:pos="851"/>
          <w:tab w:val="left" w:pos="1985"/>
          <w:tab w:val="left" w:pos="3119"/>
          <w:tab w:val="left" w:pos="4536"/>
          <w:tab w:val="left" w:pos="5670"/>
        </w:tabs>
        <w:spacing w:before="120" w:after="120" w:line="240" w:lineRule="auto"/>
        <w:ind w:left="851" w:hanging="851"/>
        <w:contextualSpacing/>
        <w:rPr>
          <w:rFonts w:ascii="Cambria" w:hAnsi="Cambria"/>
        </w:rPr>
      </w:pPr>
      <w:r w:rsidRPr="009A0DA6">
        <w:rPr>
          <w:rFonts w:ascii="Cambria" w:hAnsi="Cambria"/>
        </w:rPr>
        <w:t>7.3.30</w:t>
      </w:r>
      <w:r w:rsidRPr="009A0DA6">
        <w:rPr>
          <w:rFonts w:ascii="Cambria" w:hAnsi="Cambria"/>
        </w:rPr>
        <w:tab/>
        <w:t>Any motions coming before the convention may be referred by the Executive of the General Church Council prior to the sessions, or by the convention during the sessions, for study and for report to the convention.</w:t>
      </w:r>
    </w:p>
    <w:p w14:paraId="33AAB8EB" w14:textId="77777777" w:rsidR="00D94020" w:rsidRPr="009A0DA6" w:rsidRDefault="00D94020" w:rsidP="00D94020">
      <w:pPr>
        <w:tabs>
          <w:tab w:val="left" w:pos="851"/>
          <w:tab w:val="left" w:pos="1985"/>
          <w:tab w:val="left" w:pos="3119"/>
          <w:tab w:val="left" w:pos="4536"/>
          <w:tab w:val="left" w:pos="5670"/>
        </w:tabs>
        <w:spacing w:before="120" w:after="120" w:line="240" w:lineRule="auto"/>
        <w:ind w:left="851" w:hanging="851"/>
        <w:contextualSpacing/>
        <w:rPr>
          <w:rFonts w:ascii="Cambria" w:hAnsi="Cambria"/>
        </w:rPr>
      </w:pPr>
      <w:r w:rsidRPr="009A0DA6">
        <w:rPr>
          <w:rFonts w:ascii="Cambria" w:hAnsi="Cambria"/>
        </w:rPr>
        <w:t>7.3.31</w:t>
      </w:r>
      <w:r w:rsidRPr="009A0DA6">
        <w:rPr>
          <w:rFonts w:ascii="Cambria" w:hAnsi="Cambria"/>
        </w:rPr>
        <w:tab/>
        <w:t>All proceedings shall be entered into a minute book, with the exception of unseconded motions or amendments.</w:t>
      </w:r>
    </w:p>
    <w:p w14:paraId="3784D462" w14:textId="77777777" w:rsidR="00D94020" w:rsidRPr="009A0DA6" w:rsidRDefault="00D94020" w:rsidP="00D94020">
      <w:pPr>
        <w:tabs>
          <w:tab w:val="left" w:pos="851"/>
          <w:tab w:val="left" w:pos="1701"/>
          <w:tab w:val="left" w:pos="2268"/>
          <w:tab w:val="left" w:pos="2835"/>
          <w:tab w:val="left" w:pos="3402"/>
        </w:tabs>
        <w:spacing w:before="120" w:after="120" w:line="240" w:lineRule="auto"/>
        <w:ind w:left="851" w:hanging="851"/>
        <w:contextualSpacing/>
        <w:rPr>
          <w:rFonts w:ascii="Cambria" w:hAnsi="Cambria"/>
        </w:rPr>
      </w:pPr>
      <w:r w:rsidRPr="009A0DA6">
        <w:rPr>
          <w:rFonts w:ascii="Cambria" w:hAnsi="Cambria"/>
        </w:rPr>
        <w:t>7.3.32</w:t>
      </w:r>
      <w:r w:rsidRPr="009A0DA6">
        <w:rPr>
          <w:rFonts w:ascii="Cambria" w:hAnsi="Cambria"/>
        </w:rPr>
        <w:tab/>
        <w:t>The Church shall not be bound by any statements or plans contained in a report, but only by specific resolutions on matters arising from such report and carried by the General Synod.</w:t>
      </w:r>
    </w:p>
    <w:bookmarkEnd w:id="535"/>
    <w:p w14:paraId="7AF75129" w14:textId="337E1397" w:rsidR="00D94020" w:rsidRPr="009A0DA6" w:rsidRDefault="00D94020" w:rsidP="00D94020">
      <w:pPr>
        <w:pStyle w:val="NoSpacing"/>
      </w:pPr>
    </w:p>
    <w:sectPr w:rsidR="00D94020" w:rsidRPr="009A0DA6" w:rsidSect="001817EA">
      <w:type w:val="continuous"/>
      <w:pgSz w:w="11906" w:h="16838"/>
      <w:pgMar w:top="1134" w:right="991" w:bottom="1134" w:left="21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FE159D" w14:textId="77777777" w:rsidR="00FE2411" w:rsidRDefault="00FE2411" w:rsidP="002C1425">
      <w:pPr>
        <w:spacing w:after="0" w:line="240" w:lineRule="auto"/>
      </w:pPr>
      <w:r>
        <w:separator/>
      </w:r>
    </w:p>
  </w:endnote>
  <w:endnote w:type="continuationSeparator" w:id="0">
    <w:p w14:paraId="23E65A8B" w14:textId="77777777" w:rsidR="00FE2411" w:rsidRDefault="00FE2411" w:rsidP="002C1425">
      <w:pPr>
        <w:spacing w:after="0" w:line="240" w:lineRule="auto"/>
      </w:pPr>
      <w:r>
        <w:continuationSeparator/>
      </w:r>
    </w:p>
  </w:endnote>
  <w:endnote w:id="1">
    <w:p w14:paraId="66313D17" w14:textId="375CCB8E" w:rsidR="004B03F8" w:rsidRPr="00F44183" w:rsidRDefault="004B03F8" w:rsidP="000A2198">
      <w:pPr>
        <w:tabs>
          <w:tab w:val="left" w:pos="567"/>
          <w:tab w:val="left" w:pos="1418"/>
          <w:tab w:val="left" w:pos="2268"/>
          <w:tab w:val="left" w:pos="3119"/>
          <w:tab w:val="left" w:pos="3969"/>
        </w:tabs>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Iskoola Pota">
    <w:charset w:val="00"/>
    <w:family w:val="swiss"/>
    <w:pitch w:val="variable"/>
    <w:sig w:usb0="00000003" w:usb1="00000000" w:usb2="00000200" w:usb3="00000000" w:csb0="00000001" w:csb1="00000000"/>
  </w:font>
  <w:font w:name="Calibri Light">
    <w:panose1 w:val="020F0302020204030204"/>
    <w:charset w:val="00"/>
    <w:family w:val="swiss"/>
    <w:pitch w:val="variable"/>
    <w:sig w:usb0="E0002AFF" w:usb1="C000247B" w:usb2="00000009" w:usb3="00000000" w:csb0="000001FF" w:csb1="00000000"/>
  </w:font>
  <w:font w:name="Cheltenham">
    <w:panose1 w:val="02020500000000000000"/>
    <w:charset w:val="00"/>
    <w:family w:val="roman"/>
    <w:notTrueType/>
    <w:pitch w:val="variable"/>
    <w:sig w:usb0="800000AF" w:usb1="4000004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F">
    <w:charset w:val="00"/>
    <w:family w:val="auto"/>
    <w:pitch w:val="variable"/>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Optima">
    <w:altName w:val="Times New Roman"/>
    <w:charset w:val="00"/>
    <w:family w:val="auto"/>
    <w:pitch w:val="variable"/>
    <w:sig w:usb0="00000001" w:usb1="00000000" w:usb2="00000000" w:usb3="00000000" w:csb0="0000001B"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Helvetica">
    <w:panose1 w:val="020B0604020202020204"/>
    <w:charset w:val="00"/>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LT Std">
    <w:altName w:val="Arial"/>
    <w:panose1 w:val="00000000000000000000"/>
    <w:charset w:val="00"/>
    <w:family w:val="swiss"/>
    <w:notTrueType/>
    <w:pitch w:val="default"/>
    <w:sig w:usb0="00000003" w:usb1="00000000" w:usb2="00000000" w:usb3="00000000" w:csb0="00000001" w:csb1="00000000"/>
  </w:font>
  <w:font w:name="HelveticaNeueLTStd-Bd">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BoldMT">
    <w:altName w:val="Arial"/>
    <w:panose1 w:val="00000000000000000000"/>
    <w:charset w:val="00"/>
    <w:family w:val="auto"/>
    <w:notTrueType/>
    <w:pitch w:val="default"/>
    <w:sig w:usb0="00000003" w:usb1="00000000" w:usb2="00000000" w:usb3="00000000" w:csb0="00000001" w:csb1="00000000"/>
  </w:font>
  <w:font w:name="SymbolM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6290003"/>
      <w:docPartObj>
        <w:docPartGallery w:val="Page Numbers (Bottom of Page)"/>
        <w:docPartUnique/>
      </w:docPartObj>
    </w:sdtPr>
    <w:sdtEndPr>
      <w:rPr>
        <w:rFonts w:ascii="Cambria" w:hAnsi="Cambria"/>
        <w:b/>
        <w:noProof/>
      </w:rPr>
    </w:sdtEndPr>
    <w:sdtContent>
      <w:p w14:paraId="7886EB48" w14:textId="58C8A0AE" w:rsidR="004B03F8" w:rsidRPr="00C35C11" w:rsidRDefault="00FE2411" w:rsidP="00C35C11">
        <w:pPr>
          <w:pStyle w:val="Footer"/>
          <w:rPr>
            <w:rFonts w:ascii="Cambria" w:hAnsi="Cambria"/>
            <w:b/>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4B221" w14:textId="252486C0" w:rsidR="004B03F8" w:rsidRPr="009A61BA" w:rsidRDefault="004B03F8" w:rsidP="009A61BA">
    <w:pPr>
      <w:pStyle w:val="Footer"/>
      <w:rPr>
        <w:rFonts w:ascii="Cambria" w:hAnsi="Cambria"/>
        <w:b/>
      </w:rPr>
    </w:pPr>
    <w:r w:rsidRPr="009A61BA">
      <w:rPr>
        <w:rFonts w:ascii="Cambria" w:hAnsi="Cambria"/>
        <w:b/>
      </w:rPr>
      <w:fldChar w:fldCharType="begin"/>
    </w:r>
    <w:r w:rsidRPr="009A61BA">
      <w:rPr>
        <w:rFonts w:ascii="Cambria" w:hAnsi="Cambria"/>
        <w:b/>
      </w:rPr>
      <w:instrText xml:space="preserve"> PAGE   \* MERGEFORMAT </w:instrText>
    </w:r>
    <w:r w:rsidRPr="009A61BA">
      <w:rPr>
        <w:rFonts w:ascii="Cambria" w:hAnsi="Cambria"/>
        <w:b/>
      </w:rPr>
      <w:fldChar w:fldCharType="separate"/>
    </w:r>
    <w:r w:rsidR="00AA4320">
      <w:rPr>
        <w:rFonts w:ascii="Cambria" w:hAnsi="Cambria"/>
        <w:b/>
        <w:noProof/>
      </w:rPr>
      <w:t>438</w:t>
    </w:r>
    <w:r w:rsidRPr="009A61BA">
      <w:rPr>
        <w:rFonts w:ascii="Cambria" w:hAnsi="Cambria"/>
        <w:b/>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3397514"/>
      <w:docPartObj>
        <w:docPartGallery w:val="Page Numbers (Bottom of Page)"/>
        <w:docPartUnique/>
      </w:docPartObj>
    </w:sdtPr>
    <w:sdtEndPr>
      <w:rPr>
        <w:rFonts w:ascii="Cambria" w:hAnsi="Cambria"/>
        <w:b/>
        <w:noProof/>
      </w:rPr>
    </w:sdtEndPr>
    <w:sdtContent>
      <w:p w14:paraId="6A8A4E02" w14:textId="3A62DC86" w:rsidR="004B03F8" w:rsidRPr="00C35C11" w:rsidRDefault="004B03F8" w:rsidP="009A61BA">
        <w:pPr>
          <w:pStyle w:val="Footer"/>
          <w:jc w:val="right"/>
          <w:rPr>
            <w:rFonts w:ascii="Cambria" w:hAnsi="Cambria"/>
            <w:b/>
          </w:rPr>
        </w:pPr>
        <w:r w:rsidRPr="0063233B">
          <w:rPr>
            <w:rFonts w:ascii="Cambria" w:hAnsi="Cambria"/>
            <w:b/>
          </w:rPr>
          <w:fldChar w:fldCharType="begin"/>
        </w:r>
        <w:r w:rsidRPr="0063233B">
          <w:rPr>
            <w:rFonts w:ascii="Cambria" w:hAnsi="Cambria"/>
            <w:b/>
          </w:rPr>
          <w:instrText xml:space="preserve"> PAGE   \* MERGEFORMAT </w:instrText>
        </w:r>
        <w:r w:rsidRPr="0063233B">
          <w:rPr>
            <w:rFonts w:ascii="Cambria" w:hAnsi="Cambria"/>
            <w:b/>
          </w:rPr>
          <w:fldChar w:fldCharType="separate"/>
        </w:r>
        <w:r w:rsidR="00AA4320">
          <w:rPr>
            <w:rFonts w:ascii="Cambria" w:hAnsi="Cambria"/>
            <w:b/>
            <w:noProof/>
          </w:rPr>
          <w:t>iii</w:t>
        </w:r>
        <w:r w:rsidRPr="0063233B">
          <w:rPr>
            <w:rFonts w:ascii="Cambria" w:hAnsi="Cambria"/>
            <w:b/>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641668"/>
      <w:docPartObj>
        <w:docPartGallery w:val="Page Numbers (Bottom of Page)"/>
        <w:docPartUnique/>
      </w:docPartObj>
    </w:sdtPr>
    <w:sdtEndPr>
      <w:rPr>
        <w:rFonts w:ascii="Cambria" w:hAnsi="Cambria"/>
        <w:b/>
        <w:noProof/>
      </w:rPr>
    </w:sdtEndPr>
    <w:sdtContent>
      <w:p w14:paraId="73E02385" w14:textId="13125EA3" w:rsidR="004B03F8" w:rsidRPr="0063233B" w:rsidRDefault="004B03F8" w:rsidP="0063233B">
        <w:pPr>
          <w:pStyle w:val="Footer"/>
          <w:jc w:val="right"/>
          <w:rPr>
            <w:rFonts w:ascii="Cambria" w:hAnsi="Cambria"/>
            <w:b/>
          </w:rPr>
        </w:pPr>
        <w:r w:rsidRPr="0063233B">
          <w:rPr>
            <w:rFonts w:ascii="Cambria" w:hAnsi="Cambria"/>
            <w:b/>
          </w:rPr>
          <w:fldChar w:fldCharType="begin"/>
        </w:r>
        <w:r w:rsidRPr="0063233B">
          <w:rPr>
            <w:rFonts w:ascii="Cambria" w:hAnsi="Cambria"/>
            <w:b/>
          </w:rPr>
          <w:instrText xml:space="preserve"> PAGE   \* MERGEFORMAT </w:instrText>
        </w:r>
        <w:r w:rsidRPr="0063233B">
          <w:rPr>
            <w:rFonts w:ascii="Cambria" w:hAnsi="Cambria"/>
            <w:b/>
          </w:rPr>
          <w:fldChar w:fldCharType="separate"/>
        </w:r>
        <w:r w:rsidR="00AA4320">
          <w:rPr>
            <w:rFonts w:ascii="Cambria" w:hAnsi="Cambria"/>
            <w:b/>
            <w:noProof/>
          </w:rPr>
          <w:t>15</w:t>
        </w:r>
        <w:r w:rsidRPr="0063233B">
          <w:rPr>
            <w:rFonts w:ascii="Cambria" w:hAnsi="Cambria"/>
            <w:b/>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1D2EF4" w14:textId="77777777" w:rsidR="00FE2411" w:rsidRDefault="00FE2411" w:rsidP="002C1425">
      <w:pPr>
        <w:spacing w:after="0" w:line="240" w:lineRule="auto"/>
      </w:pPr>
      <w:r>
        <w:separator/>
      </w:r>
    </w:p>
  </w:footnote>
  <w:footnote w:type="continuationSeparator" w:id="0">
    <w:p w14:paraId="168B3666" w14:textId="77777777" w:rsidR="00FE2411" w:rsidRDefault="00FE2411" w:rsidP="002C1425">
      <w:pPr>
        <w:spacing w:after="0" w:line="240" w:lineRule="auto"/>
      </w:pPr>
      <w:r>
        <w:continuationSeparator/>
      </w:r>
    </w:p>
  </w:footnote>
  <w:footnote w:id="1">
    <w:p w14:paraId="5DA3D2BD" w14:textId="77777777" w:rsidR="004B03F8" w:rsidRPr="00FD7787" w:rsidRDefault="004B03F8" w:rsidP="00F631B1">
      <w:pPr>
        <w:pStyle w:val="Footnote"/>
        <w:rPr>
          <w:rFonts w:ascii="Cambria" w:hAnsi="Cambria"/>
          <w:sz w:val="18"/>
          <w:szCs w:val="18"/>
        </w:rPr>
      </w:pPr>
      <w:r w:rsidRPr="00FD7787">
        <w:rPr>
          <w:rStyle w:val="FootnoteReference"/>
          <w:rFonts w:ascii="Cambria" w:hAnsi="Cambria"/>
          <w:sz w:val="18"/>
          <w:szCs w:val="18"/>
        </w:rPr>
        <w:footnoteRef/>
      </w:r>
      <w:r w:rsidRPr="00FD7787">
        <w:rPr>
          <w:rFonts w:ascii="Cambria" w:hAnsi="Cambria"/>
          <w:sz w:val="18"/>
          <w:szCs w:val="18"/>
        </w:rPr>
        <w:t xml:space="preserve"> Tappert, T. G. (Ed.). (1959). The Book of Concord the confessions of the Evangelical Lutheran Church. (p. 365). Philadelphia: Mühlenberg Press.</w:t>
      </w:r>
    </w:p>
  </w:footnote>
  <w:footnote w:id="2">
    <w:p w14:paraId="70D887E1" w14:textId="77777777" w:rsidR="004B03F8" w:rsidRDefault="004B03F8" w:rsidP="00F631B1">
      <w:pPr>
        <w:pStyle w:val="Footnote"/>
      </w:pPr>
      <w:r w:rsidRPr="00FD7787">
        <w:rPr>
          <w:rStyle w:val="FootnoteReference"/>
          <w:rFonts w:ascii="Cambria" w:hAnsi="Cambria"/>
          <w:sz w:val="18"/>
          <w:szCs w:val="18"/>
        </w:rPr>
        <w:footnoteRef/>
      </w:r>
      <w:r w:rsidRPr="00FD7787">
        <w:rPr>
          <w:rFonts w:ascii="Cambria" w:hAnsi="Cambria"/>
          <w:sz w:val="18"/>
          <w:szCs w:val="18"/>
        </w:rPr>
        <w:t xml:space="preserve"> Tappert, T. G. (Ed.). (1959). The Book of Concord the confessions of the Evangelical Lutheran Church. (p. 343). Philadelphia: Mühlenberg Press.</w:t>
      </w:r>
    </w:p>
  </w:footnote>
  <w:footnote w:id="3">
    <w:p w14:paraId="3DE1C02B" w14:textId="77777777" w:rsidR="004B03F8" w:rsidRPr="00FD7787" w:rsidRDefault="004B03F8" w:rsidP="00F631B1">
      <w:pPr>
        <w:pStyle w:val="Footnote"/>
        <w:rPr>
          <w:rFonts w:ascii="Cambria" w:hAnsi="Cambria"/>
          <w:sz w:val="18"/>
        </w:rPr>
      </w:pPr>
      <w:r w:rsidRPr="00FD7787">
        <w:rPr>
          <w:rStyle w:val="FootnoteReference"/>
          <w:rFonts w:ascii="Cambria" w:hAnsi="Cambria"/>
          <w:sz w:val="18"/>
        </w:rPr>
        <w:footnoteRef/>
      </w:r>
      <w:r w:rsidRPr="00FD7787">
        <w:rPr>
          <w:rFonts w:ascii="Cambria" w:hAnsi="Cambria"/>
          <w:sz w:val="18"/>
        </w:rPr>
        <w:t xml:space="preserve"> LCA Constitution, Article 2. Confession, paragraph 1</w:t>
      </w:r>
    </w:p>
  </w:footnote>
  <w:footnote w:id="4">
    <w:p w14:paraId="18960E29" w14:textId="77777777" w:rsidR="004B03F8" w:rsidRPr="00FD7787" w:rsidRDefault="004B03F8" w:rsidP="00F631B1">
      <w:pPr>
        <w:pStyle w:val="Footnote"/>
        <w:rPr>
          <w:rFonts w:ascii="Cambria" w:hAnsi="Cambria"/>
          <w:sz w:val="18"/>
        </w:rPr>
      </w:pPr>
      <w:r w:rsidRPr="00FD7787">
        <w:rPr>
          <w:rStyle w:val="FootnoteReference"/>
          <w:rFonts w:ascii="Cambria" w:hAnsi="Cambria"/>
          <w:sz w:val="18"/>
        </w:rPr>
        <w:footnoteRef/>
      </w:r>
      <w:r w:rsidRPr="00FD7787">
        <w:rPr>
          <w:rFonts w:ascii="Cambria" w:hAnsi="Cambria"/>
          <w:sz w:val="18"/>
        </w:rPr>
        <w:t xml:space="preserve"> LCA By-Laws 7.3.28.3</w:t>
      </w:r>
    </w:p>
  </w:footnote>
  <w:footnote w:id="5">
    <w:p w14:paraId="4FA9FAE2" w14:textId="77777777" w:rsidR="004B03F8" w:rsidRDefault="004B03F8" w:rsidP="00F631B1">
      <w:pPr>
        <w:pStyle w:val="Footnote"/>
      </w:pPr>
      <w:r w:rsidRPr="00FD7787">
        <w:rPr>
          <w:rStyle w:val="FootnoteReference"/>
          <w:rFonts w:ascii="Cambria" w:hAnsi="Cambria"/>
          <w:sz w:val="18"/>
        </w:rPr>
        <w:footnoteRef/>
      </w:r>
      <w:r w:rsidRPr="00FD7787">
        <w:rPr>
          <w:rFonts w:ascii="Cambria" w:hAnsi="Cambria"/>
          <w:sz w:val="18"/>
        </w:rPr>
        <w:t xml:space="preserve"> LCA By-Laws 7.3.19</w:t>
      </w:r>
    </w:p>
  </w:footnote>
  <w:footnote w:id="6">
    <w:p w14:paraId="470A8E96" w14:textId="77777777" w:rsidR="004B03F8" w:rsidRDefault="004B03F8" w:rsidP="00F631B1">
      <w:pPr>
        <w:pStyle w:val="Footnote"/>
      </w:pPr>
      <w:r>
        <w:rPr>
          <w:rStyle w:val="FootnoteReference"/>
        </w:rPr>
        <w:footnoteRef/>
      </w:r>
      <w:r>
        <w:t xml:space="preserve"> LCA By-Laws 8.2.1.1.6</w:t>
      </w:r>
    </w:p>
  </w:footnote>
  <w:footnote w:id="7">
    <w:p w14:paraId="7B0CEC33" w14:textId="77777777" w:rsidR="004B03F8" w:rsidRPr="00163343" w:rsidRDefault="004B03F8" w:rsidP="00F631B1">
      <w:pPr>
        <w:pStyle w:val="FootnoteText"/>
        <w:rPr>
          <w:rFonts w:ascii="Cambria" w:hAnsi="Cambria"/>
          <w:sz w:val="18"/>
        </w:rPr>
      </w:pPr>
      <w:r w:rsidRPr="00163343">
        <w:rPr>
          <w:rStyle w:val="FootnoteReference"/>
          <w:rFonts w:ascii="Cambria" w:hAnsi="Cambria"/>
          <w:sz w:val="18"/>
        </w:rPr>
        <w:footnoteRef/>
      </w:r>
      <w:r w:rsidRPr="00163343">
        <w:rPr>
          <w:rFonts w:ascii="Cambria" w:hAnsi="Cambria"/>
          <w:sz w:val="18"/>
        </w:rPr>
        <w:t xml:space="preserve"> See LCA Standards of Ethical Behaviour and related policies which include: Prevention of Harassment and Abuse Policy; Privacy Policy; Training and Development Policy; Child Protection Policy; Prevention of Risk of Harm from Known Sex Offenders; ICT Policy.</w:t>
      </w:r>
    </w:p>
  </w:footnote>
  <w:footnote w:id="8">
    <w:p w14:paraId="39CE6D51" w14:textId="77777777" w:rsidR="004B03F8" w:rsidRDefault="004B03F8" w:rsidP="00F631B1">
      <w:pPr>
        <w:pStyle w:val="FootnoteText"/>
      </w:pPr>
      <w:r w:rsidRPr="00163343">
        <w:rPr>
          <w:rStyle w:val="FootnoteReference"/>
          <w:rFonts w:ascii="Cambria" w:hAnsi="Cambria"/>
          <w:sz w:val="18"/>
        </w:rPr>
        <w:footnoteRef/>
      </w:r>
      <w:r w:rsidRPr="00163343">
        <w:rPr>
          <w:rFonts w:ascii="Cambria" w:hAnsi="Cambria"/>
          <w:sz w:val="18"/>
        </w:rPr>
        <w:t xml:space="preserve"> Marriage, Divorce and Re-Marriage found in </w:t>
      </w:r>
      <w:r w:rsidRPr="00163343">
        <w:rPr>
          <w:rFonts w:ascii="Cambria" w:hAnsi="Cambria"/>
          <w:i/>
          <w:sz w:val="18"/>
        </w:rPr>
        <w:t xml:space="preserve">Doctrinal Statements and Theological Opinions </w:t>
      </w:r>
      <w:r w:rsidRPr="00163343">
        <w:rPr>
          <w:rFonts w:ascii="Cambria" w:hAnsi="Cambria"/>
          <w:sz w:val="18"/>
        </w:rPr>
        <w:t xml:space="preserve"> Vol 1 – H Ethical and Social Issues</w:t>
      </w:r>
    </w:p>
  </w:footnote>
  <w:footnote w:id="9">
    <w:p w14:paraId="089549E6" w14:textId="77777777" w:rsidR="004B03F8" w:rsidRPr="004C6612" w:rsidRDefault="004B03F8" w:rsidP="004C6612">
      <w:pPr>
        <w:pStyle w:val="FootnoteText"/>
        <w:rPr>
          <w:rFonts w:ascii="Cambria" w:hAnsi="Cambria"/>
          <w:sz w:val="18"/>
          <w:szCs w:val="18"/>
        </w:rPr>
      </w:pPr>
      <w:r w:rsidRPr="004C6612">
        <w:rPr>
          <w:rStyle w:val="FootnoteReference"/>
          <w:rFonts w:ascii="Cambria" w:hAnsi="Cambria"/>
          <w:sz w:val="18"/>
          <w:szCs w:val="18"/>
        </w:rPr>
        <w:footnoteRef/>
      </w:r>
      <w:r w:rsidRPr="004C6612">
        <w:rPr>
          <w:rFonts w:ascii="Cambria" w:hAnsi="Cambria"/>
          <w:sz w:val="18"/>
          <w:szCs w:val="18"/>
        </w:rPr>
        <w:t xml:space="preserve"> The report, </w:t>
      </w:r>
      <w:r w:rsidRPr="004C6612">
        <w:rPr>
          <w:rFonts w:ascii="Cambria" w:hAnsi="Cambria"/>
          <w:i/>
          <w:sz w:val="18"/>
          <w:szCs w:val="18"/>
        </w:rPr>
        <w:t>Lutheran Church of Australia, Governance and Administration Review Final Report 20 February 2015</w:t>
      </w:r>
      <w:r w:rsidRPr="004C6612">
        <w:rPr>
          <w:rFonts w:ascii="Cambria" w:hAnsi="Cambria"/>
          <w:sz w:val="18"/>
          <w:szCs w:val="18"/>
        </w:rPr>
        <w:t>, by Dr Maureen Cleary of Governance &amp; Management Pty Ltd was presented to the General Convention of Synod by GCC in September 2015. This report contained 27 recommendations, including the recommendation “</w:t>
      </w:r>
      <w:r w:rsidRPr="004C6612">
        <w:rPr>
          <w:rFonts w:ascii="Cambria" w:hAnsi="Cambria"/>
          <w:i/>
          <w:sz w:val="18"/>
          <w:szCs w:val="18"/>
        </w:rPr>
        <w:t>That GCC enters into serious dialogue with the LEA Board about their desired governance structure</w:t>
      </w:r>
      <w:r w:rsidRPr="004C6612">
        <w:rPr>
          <w:rFonts w:ascii="Cambria" w:hAnsi="Cambria"/>
          <w:sz w:val="18"/>
          <w:szCs w:val="18"/>
        </w:rPr>
        <w:t xml:space="preserve">”, which was accepted by GCC. This resulted in the first review of Lutheran schools and early childhood services undertaken in 2015-16. </w:t>
      </w:r>
    </w:p>
    <w:p w14:paraId="6240C2E9" w14:textId="77777777" w:rsidR="004B03F8" w:rsidRDefault="004B03F8" w:rsidP="004C6612">
      <w:pPr>
        <w:pStyle w:val="FootnoteText"/>
      </w:pPr>
    </w:p>
  </w:footnote>
  <w:footnote w:id="10">
    <w:p w14:paraId="5169864E" w14:textId="77777777" w:rsidR="004B03F8" w:rsidRPr="0042579D" w:rsidRDefault="004B03F8" w:rsidP="0042579D">
      <w:pPr>
        <w:pStyle w:val="FootnoteText"/>
        <w:rPr>
          <w:rFonts w:ascii="Cambria" w:hAnsi="Cambria"/>
          <w:sz w:val="18"/>
          <w:szCs w:val="18"/>
        </w:rPr>
      </w:pPr>
      <w:r>
        <w:rPr>
          <w:rStyle w:val="FootnoteReference"/>
        </w:rPr>
        <w:footnoteRef/>
      </w:r>
      <w:r>
        <w:t xml:space="preserve"> </w:t>
      </w:r>
      <w:r w:rsidRPr="0042579D">
        <w:rPr>
          <w:rFonts w:ascii="Cambria" w:eastAsia="Calibri" w:hAnsi="Cambria" w:cs="Calibri"/>
          <w:spacing w:val="-1"/>
          <w:sz w:val="18"/>
          <w:szCs w:val="18"/>
        </w:rPr>
        <w:t>T</w:t>
      </w:r>
      <w:r w:rsidRPr="0042579D">
        <w:rPr>
          <w:rFonts w:ascii="Cambria" w:eastAsia="Calibri" w:hAnsi="Cambria" w:cs="Calibri"/>
          <w:spacing w:val="1"/>
          <w:sz w:val="18"/>
          <w:szCs w:val="18"/>
        </w:rPr>
        <w:t>h</w:t>
      </w:r>
      <w:r w:rsidRPr="0042579D">
        <w:rPr>
          <w:rFonts w:ascii="Cambria" w:eastAsia="Calibri" w:hAnsi="Cambria" w:cs="Calibri"/>
          <w:sz w:val="18"/>
          <w:szCs w:val="18"/>
        </w:rPr>
        <w:t>e</w:t>
      </w:r>
      <w:r w:rsidRPr="0042579D">
        <w:rPr>
          <w:rFonts w:ascii="Cambria" w:eastAsia="Calibri" w:hAnsi="Cambria" w:cs="Calibri"/>
          <w:spacing w:val="-4"/>
          <w:sz w:val="18"/>
          <w:szCs w:val="18"/>
        </w:rPr>
        <w:t xml:space="preserve"> </w:t>
      </w:r>
      <w:r w:rsidRPr="0042579D">
        <w:rPr>
          <w:rFonts w:ascii="Cambria" w:eastAsia="Calibri" w:hAnsi="Cambria" w:cs="Calibri"/>
          <w:sz w:val="18"/>
          <w:szCs w:val="18"/>
        </w:rPr>
        <w:t>G</w:t>
      </w:r>
      <w:r w:rsidRPr="0042579D">
        <w:rPr>
          <w:rFonts w:ascii="Cambria" w:eastAsia="Calibri" w:hAnsi="Cambria" w:cs="Calibri"/>
          <w:spacing w:val="2"/>
          <w:sz w:val="18"/>
          <w:szCs w:val="18"/>
        </w:rPr>
        <w:t>r</w:t>
      </w:r>
      <w:r w:rsidRPr="0042579D">
        <w:rPr>
          <w:rFonts w:ascii="Cambria" w:eastAsia="Calibri" w:hAnsi="Cambria" w:cs="Calibri"/>
          <w:spacing w:val="-1"/>
          <w:sz w:val="18"/>
          <w:szCs w:val="18"/>
        </w:rPr>
        <w:t>ee</w:t>
      </w:r>
      <w:r w:rsidRPr="0042579D">
        <w:rPr>
          <w:rFonts w:ascii="Cambria" w:eastAsia="Calibri" w:hAnsi="Cambria" w:cs="Calibri"/>
          <w:sz w:val="18"/>
          <w:szCs w:val="18"/>
        </w:rPr>
        <w:t>k</w:t>
      </w:r>
      <w:r w:rsidRPr="0042579D">
        <w:rPr>
          <w:rFonts w:ascii="Cambria" w:eastAsia="Calibri" w:hAnsi="Cambria" w:cs="Calibri"/>
          <w:spacing w:val="-4"/>
          <w:sz w:val="18"/>
          <w:szCs w:val="18"/>
        </w:rPr>
        <w:t xml:space="preserve"> </w:t>
      </w:r>
      <w:r w:rsidRPr="0042579D">
        <w:rPr>
          <w:rFonts w:ascii="Cambria" w:eastAsia="Calibri" w:hAnsi="Cambria" w:cs="Calibri"/>
          <w:spacing w:val="-1"/>
          <w:sz w:val="18"/>
          <w:szCs w:val="18"/>
        </w:rPr>
        <w:t>w</w:t>
      </w:r>
      <w:r w:rsidRPr="0042579D">
        <w:rPr>
          <w:rFonts w:ascii="Cambria" w:eastAsia="Calibri" w:hAnsi="Cambria" w:cs="Calibri"/>
          <w:sz w:val="18"/>
          <w:szCs w:val="18"/>
        </w:rPr>
        <w:t>ord</w:t>
      </w:r>
      <w:r w:rsidRPr="0042579D">
        <w:rPr>
          <w:rFonts w:ascii="Cambria" w:eastAsia="Calibri" w:hAnsi="Cambria" w:cs="Calibri"/>
          <w:spacing w:val="-3"/>
          <w:sz w:val="18"/>
          <w:szCs w:val="18"/>
        </w:rPr>
        <w:t xml:space="preserve"> </w:t>
      </w:r>
      <w:r w:rsidRPr="0042579D">
        <w:rPr>
          <w:rFonts w:ascii="Cambria" w:eastAsia="Calibri" w:hAnsi="Cambria" w:cs="Calibri"/>
          <w:spacing w:val="1"/>
          <w:sz w:val="18"/>
          <w:szCs w:val="18"/>
        </w:rPr>
        <w:t>th</w:t>
      </w:r>
      <w:r w:rsidRPr="0042579D">
        <w:rPr>
          <w:rFonts w:ascii="Cambria" w:eastAsia="Calibri" w:hAnsi="Cambria" w:cs="Calibri"/>
          <w:sz w:val="18"/>
          <w:szCs w:val="18"/>
        </w:rPr>
        <w:t>at</w:t>
      </w:r>
      <w:r w:rsidRPr="0042579D">
        <w:rPr>
          <w:rFonts w:ascii="Cambria" w:eastAsia="Calibri" w:hAnsi="Cambria" w:cs="Calibri"/>
          <w:spacing w:val="-2"/>
          <w:sz w:val="18"/>
          <w:szCs w:val="18"/>
        </w:rPr>
        <w:t xml:space="preserve"> </w:t>
      </w:r>
      <w:r w:rsidRPr="0042579D">
        <w:rPr>
          <w:rFonts w:ascii="Cambria" w:eastAsia="Calibri" w:hAnsi="Cambria" w:cs="Calibri"/>
          <w:sz w:val="18"/>
          <w:szCs w:val="18"/>
        </w:rPr>
        <w:t>is</w:t>
      </w:r>
      <w:r w:rsidRPr="0042579D">
        <w:rPr>
          <w:rFonts w:ascii="Cambria" w:eastAsia="Calibri" w:hAnsi="Cambria" w:cs="Calibri"/>
          <w:spacing w:val="-2"/>
          <w:sz w:val="18"/>
          <w:szCs w:val="18"/>
        </w:rPr>
        <w:t xml:space="preserve"> </w:t>
      </w:r>
      <w:r w:rsidRPr="0042579D">
        <w:rPr>
          <w:rFonts w:ascii="Cambria" w:eastAsia="Calibri" w:hAnsi="Cambria" w:cs="Calibri"/>
          <w:spacing w:val="1"/>
          <w:sz w:val="18"/>
          <w:szCs w:val="18"/>
        </w:rPr>
        <w:t>us</w:t>
      </w:r>
      <w:r w:rsidRPr="0042579D">
        <w:rPr>
          <w:rFonts w:ascii="Cambria" w:eastAsia="Calibri" w:hAnsi="Cambria" w:cs="Calibri"/>
          <w:spacing w:val="-1"/>
          <w:sz w:val="18"/>
          <w:szCs w:val="18"/>
        </w:rPr>
        <w:t>e</w:t>
      </w:r>
      <w:r w:rsidRPr="0042579D">
        <w:rPr>
          <w:rFonts w:ascii="Cambria" w:eastAsia="Calibri" w:hAnsi="Cambria" w:cs="Calibri"/>
          <w:sz w:val="18"/>
          <w:szCs w:val="18"/>
        </w:rPr>
        <w:t>d</w:t>
      </w:r>
      <w:r w:rsidRPr="0042579D">
        <w:rPr>
          <w:rFonts w:ascii="Cambria" w:eastAsia="Calibri" w:hAnsi="Cambria" w:cs="Calibri"/>
          <w:spacing w:val="-3"/>
          <w:sz w:val="18"/>
          <w:szCs w:val="18"/>
        </w:rPr>
        <w:t xml:space="preserve"> </w:t>
      </w:r>
      <w:r w:rsidRPr="0042579D">
        <w:rPr>
          <w:rFonts w:ascii="Cambria" w:eastAsia="Calibri" w:hAnsi="Cambria" w:cs="Calibri"/>
          <w:spacing w:val="1"/>
          <w:sz w:val="18"/>
          <w:szCs w:val="18"/>
        </w:rPr>
        <w:t>h</w:t>
      </w:r>
      <w:r w:rsidRPr="0042579D">
        <w:rPr>
          <w:rFonts w:ascii="Cambria" w:eastAsia="Calibri" w:hAnsi="Cambria" w:cs="Calibri"/>
          <w:spacing w:val="-1"/>
          <w:sz w:val="18"/>
          <w:szCs w:val="18"/>
        </w:rPr>
        <w:t>e</w:t>
      </w:r>
      <w:r w:rsidRPr="0042579D">
        <w:rPr>
          <w:rFonts w:ascii="Cambria" w:eastAsia="Calibri" w:hAnsi="Cambria" w:cs="Calibri"/>
          <w:sz w:val="18"/>
          <w:szCs w:val="18"/>
        </w:rPr>
        <w:t>re</w:t>
      </w:r>
      <w:r w:rsidRPr="0042579D">
        <w:rPr>
          <w:rFonts w:ascii="Cambria" w:eastAsia="Calibri" w:hAnsi="Cambria" w:cs="Calibri"/>
          <w:spacing w:val="-5"/>
          <w:sz w:val="18"/>
          <w:szCs w:val="18"/>
        </w:rPr>
        <w:t xml:space="preserve"> </w:t>
      </w:r>
      <w:r w:rsidRPr="0042579D">
        <w:rPr>
          <w:rFonts w:ascii="Cambria" w:eastAsia="Calibri" w:hAnsi="Cambria" w:cs="Calibri"/>
          <w:sz w:val="18"/>
          <w:szCs w:val="18"/>
        </w:rPr>
        <w:t>is</w:t>
      </w:r>
      <w:r w:rsidRPr="0042579D">
        <w:rPr>
          <w:rFonts w:ascii="Cambria" w:eastAsia="Calibri" w:hAnsi="Cambria" w:cs="Calibri"/>
          <w:spacing w:val="2"/>
          <w:sz w:val="18"/>
          <w:szCs w:val="18"/>
        </w:rPr>
        <w:t xml:space="preserve"> </w:t>
      </w:r>
      <w:r w:rsidRPr="0042579D">
        <w:rPr>
          <w:rFonts w:ascii="Cambria" w:eastAsia="Calibri" w:hAnsi="Cambria" w:cs="Calibri"/>
          <w:i/>
          <w:spacing w:val="1"/>
          <w:sz w:val="18"/>
          <w:szCs w:val="18"/>
        </w:rPr>
        <w:t>and</w:t>
      </w:r>
      <w:r w:rsidRPr="0042579D">
        <w:rPr>
          <w:rFonts w:ascii="Cambria" w:eastAsia="Calibri" w:hAnsi="Cambria" w:cs="Calibri"/>
          <w:i/>
          <w:spacing w:val="-1"/>
          <w:sz w:val="18"/>
          <w:szCs w:val="18"/>
        </w:rPr>
        <w:t>r</w:t>
      </w:r>
      <w:r w:rsidRPr="0042579D">
        <w:rPr>
          <w:rFonts w:ascii="Cambria" w:eastAsia="Calibri" w:hAnsi="Cambria" w:cs="Calibri"/>
          <w:i/>
          <w:spacing w:val="1"/>
          <w:sz w:val="18"/>
          <w:szCs w:val="18"/>
        </w:rPr>
        <w:t>ō</w:t>
      </w:r>
      <w:r w:rsidRPr="0042579D">
        <w:rPr>
          <w:rFonts w:ascii="Cambria" w:eastAsia="Calibri" w:hAnsi="Cambria" w:cs="Calibri"/>
          <w:i/>
          <w:sz w:val="18"/>
          <w:szCs w:val="18"/>
        </w:rPr>
        <w:t>n</w:t>
      </w:r>
      <w:r w:rsidRPr="0042579D">
        <w:rPr>
          <w:rFonts w:ascii="Cambria" w:eastAsia="Calibri" w:hAnsi="Cambria" w:cs="Calibri"/>
          <w:i/>
          <w:spacing w:val="-5"/>
          <w:sz w:val="18"/>
          <w:szCs w:val="18"/>
        </w:rPr>
        <w:t xml:space="preserve"> </w:t>
      </w:r>
      <w:r w:rsidRPr="0042579D">
        <w:rPr>
          <w:rFonts w:ascii="Cambria" w:eastAsia="Calibri" w:hAnsi="Cambria" w:cs="Calibri"/>
          <w:spacing w:val="2"/>
          <w:sz w:val="18"/>
          <w:szCs w:val="18"/>
        </w:rPr>
        <w:t>(</w:t>
      </w:r>
      <w:r w:rsidRPr="0042579D">
        <w:rPr>
          <w:rFonts w:ascii="Cambria" w:eastAsia="Calibri" w:hAnsi="Cambria" w:cs="Calibri"/>
          <w:spacing w:val="-1"/>
          <w:sz w:val="18"/>
          <w:szCs w:val="18"/>
        </w:rPr>
        <w:t>w</w:t>
      </w:r>
      <w:r w:rsidRPr="0042579D">
        <w:rPr>
          <w:rFonts w:ascii="Cambria" w:eastAsia="Calibri" w:hAnsi="Cambria" w:cs="Calibri"/>
          <w:spacing w:val="1"/>
          <w:sz w:val="18"/>
          <w:szCs w:val="18"/>
        </w:rPr>
        <w:t>h</w:t>
      </w:r>
      <w:r w:rsidRPr="0042579D">
        <w:rPr>
          <w:rFonts w:ascii="Cambria" w:eastAsia="Calibri" w:hAnsi="Cambria" w:cs="Calibri"/>
          <w:sz w:val="18"/>
          <w:szCs w:val="18"/>
        </w:rPr>
        <w:t>ich</w:t>
      </w:r>
      <w:r w:rsidRPr="0042579D">
        <w:rPr>
          <w:rFonts w:ascii="Cambria" w:eastAsia="Calibri" w:hAnsi="Cambria" w:cs="Calibri"/>
          <w:spacing w:val="-4"/>
          <w:sz w:val="18"/>
          <w:szCs w:val="18"/>
        </w:rPr>
        <w:t xml:space="preserve"> </w:t>
      </w:r>
      <w:r w:rsidRPr="0042579D">
        <w:rPr>
          <w:rFonts w:ascii="Cambria" w:eastAsia="Calibri" w:hAnsi="Cambria" w:cs="Calibri"/>
          <w:spacing w:val="-1"/>
          <w:sz w:val="18"/>
          <w:szCs w:val="18"/>
        </w:rPr>
        <w:t>me</w:t>
      </w:r>
      <w:r w:rsidRPr="0042579D">
        <w:rPr>
          <w:rFonts w:ascii="Cambria" w:eastAsia="Calibri" w:hAnsi="Cambria" w:cs="Calibri"/>
          <w:sz w:val="18"/>
          <w:szCs w:val="18"/>
        </w:rPr>
        <w:t>a</w:t>
      </w:r>
      <w:r w:rsidRPr="0042579D">
        <w:rPr>
          <w:rFonts w:ascii="Cambria" w:eastAsia="Calibri" w:hAnsi="Cambria" w:cs="Calibri"/>
          <w:spacing w:val="4"/>
          <w:sz w:val="18"/>
          <w:szCs w:val="18"/>
        </w:rPr>
        <w:t>n</w:t>
      </w:r>
      <w:r w:rsidRPr="0042579D">
        <w:rPr>
          <w:rFonts w:ascii="Cambria" w:eastAsia="Calibri" w:hAnsi="Cambria" w:cs="Calibri"/>
          <w:sz w:val="18"/>
          <w:szCs w:val="18"/>
        </w:rPr>
        <w:t>s</w:t>
      </w:r>
      <w:r w:rsidRPr="0042579D">
        <w:rPr>
          <w:rFonts w:ascii="Cambria" w:eastAsia="Calibri" w:hAnsi="Cambria" w:cs="Calibri"/>
          <w:spacing w:val="-3"/>
          <w:sz w:val="18"/>
          <w:szCs w:val="18"/>
        </w:rPr>
        <w:t xml:space="preserve"> </w:t>
      </w:r>
      <w:r w:rsidRPr="0042579D">
        <w:rPr>
          <w:rFonts w:ascii="Cambria" w:eastAsia="Calibri" w:hAnsi="Cambria" w:cs="Calibri"/>
          <w:spacing w:val="-1"/>
          <w:sz w:val="18"/>
          <w:szCs w:val="18"/>
        </w:rPr>
        <w:t>me</w:t>
      </w:r>
      <w:r w:rsidRPr="0042579D">
        <w:rPr>
          <w:rFonts w:ascii="Cambria" w:eastAsia="Calibri" w:hAnsi="Cambria" w:cs="Calibri"/>
          <w:sz w:val="18"/>
          <w:szCs w:val="18"/>
        </w:rPr>
        <w:t>n</w:t>
      </w:r>
      <w:r w:rsidRPr="0042579D">
        <w:rPr>
          <w:rFonts w:ascii="Cambria" w:eastAsia="Calibri" w:hAnsi="Cambria" w:cs="Calibri"/>
          <w:spacing w:val="-3"/>
          <w:sz w:val="18"/>
          <w:szCs w:val="18"/>
        </w:rPr>
        <w:t xml:space="preserve"> </w:t>
      </w:r>
      <w:r w:rsidRPr="0042579D">
        <w:rPr>
          <w:rFonts w:ascii="Cambria" w:eastAsia="Calibri" w:hAnsi="Cambria" w:cs="Calibri"/>
          <w:spacing w:val="1"/>
          <w:sz w:val="18"/>
          <w:szCs w:val="18"/>
        </w:rPr>
        <w:t>a</w:t>
      </w:r>
      <w:r w:rsidRPr="0042579D">
        <w:rPr>
          <w:rFonts w:ascii="Cambria" w:eastAsia="Calibri" w:hAnsi="Cambria" w:cs="Calibri"/>
          <w:sz w:val="18"/>
          <w:szCs w:val="18"/>
        </w:rPr>
        <w:t>s</w:t>
      </w:r>
      <w:r w:rsidRPr="0042579D">
        <w:rPr>
          <w:rFonts w:ascii="Cambria" w:eastAsia="Calibri" w:hAnsi="Cambria" w:cs="Calibri"/>
          <w:spacing w:val="-3"/>
          <w:sz w:val="18"/>
          <w:szCs w:val="18"/>
        </w:rPr>
        <w:t xml:space="preserve"> </w:t>
      </w:r>
      <w:r w:rsidRPr="0042579D">
        <w:rPr>
          <w:rFonts w:ascii="Cambria" w:eastAsia="Calibri" w:hAnsi="Cambria" w:cs="Calibri"/>
          <w:spacing w:val="1"/>
          <w:sz w:val="18"/>
          <w:szCs w:val="18"/>
        </w:rPr>
        <w:t>opp</w:t>
      </w:r>
      <w:r w:rsidRPr="0042579D">
        <w:rPr>
          <w:rFonts w:ascii="Cambria" w:eastAsia="Calibri" w:hAnsi="Cambria" w:cs="Calibri"/>
          <w:sz w:val="18"/>
          <w:szCs w:val="18"/>
        </w:rPr>
        <w:t>o</w:t>
      </w:r>
      <w:r w:rsidRPr="0042579D">
        <w:rPr>
          <w:rFonts w:ascii="Cambria" w:eastAsia="Calibri" w:hAnsi="Cambria" w:cs="Calibri"/>
          <w:spacing w:val="1"/>
          <w:sz w:val="18"/>
          <w:szCs w:val="18"/>
        </w:rPr>
        <w:t>s</w:t>
      </w:r>
      <w:r w:rsidRPr="0042579D">
        <w:rPr>
          <w:rFonts w:ascii="Cambria" w:eastAsia="Calibri" w:hAnsi="Cambria" w:cs="Calibri"/>
          <w:spacing w:val="-1"/>
          <w:sz w:val="18"/>
          <w:szCs w:val="18"/>
        </w:rPr>
        <w:t>e</w:t>
      </w:r>
      <w:r w:rsidRPr="0042579D">
        <w:rPr>
          <w:rFonts w:ascii="Cambria" w:eastAsia="Calibri" w:hAnsi="Cambria" w:cs="Calibri"/>
          <w:sz w:val="18"/>
          <w:szCs w:val="18"/>
        </w:rPr>
        <w:t>d</w:t>
      </w:r>
      <w:r w:rsidRPr="0042579D">
        <w:rPr>
          <w:rFonts w:ascii="Cambria" w:eastAsia="Calibri" w:hAnsi="Cambria" w:cs="Calibri"/>
          <w:spacing w:val="-6"/>
          <w:sz w:val="18"/>
          <w:szCs w:val="18"/>
        </w:rPr>
        <w:t xml:space="preserve"> </w:t>
      </w:r>
      <w:r w:rsidRPr="0042579D">
        <w:rPr>
          <w:rFonts w:ascii="Cambria" w:eastAsia="Calibri" w:hAnsi="Cambria" w:cs="Calibri"/>
          <w:spacing w:val="1"/>
          <w:sz w:val="18"/>
          <w:szCs w:val="18"/>
        </w:rPr>
        <w:t>t</w:t>
      </w:r>
      <w:r w:rsidRPr="0042579D">
        <w:rPr>
          <w:rFonts w:ascii="Cambria" w:eastAsia="Calibri" w:hAnsi="Cambria" w:cs="Calibri"/>
          <w:sz w:val="18"/>
          <w:szCs w:val="18"/>
        </w:rPr>
        <w:t>o</w:t>
      </w:r>
      <w:r w:rsidRPr="0042579D">
        <w:rPr>
          <w:rFonts w:ascii="Cambria" w:eastAsia="Calibri" w:hAnsi="Cambria" w:cs="Calibri"/>
          <w:spacing w:val="-2"/>
          <w:sz w:val="18"/>
          <w:szCs w:val="18"/>
        </w:rPr>
        <w:t xml:space="preserve"> </w:t>
      </w:r>
      <w:r w:rsidRPr="0042579D">
        <w:rPr>
          <w:rFonts w:ascii="Cambria" w:eastAsia="Calibri" w:hAnsi="Cambria" w:cs="Calibri"/>
          <w:sz w:val="18"/>
          <w:szCs w:val="18"/>
        </w:rPr>
        <w:t>wom</w:t>
      </w:r>
      <w:r w:rsidRPr="0042579D">
        <w:rPr>
          <w:rFonts w:ascii="Cambria" w:eastAsia="Calibri" w:hAnsi="Cambria" w:cs="Calibri"/>
          <w:spacing w:val="-1"/>
          <w:sz w:val="18"/>
          <w:szCs w:val="18"/>
        </w:rPr>
        <w:t>e</w:t>
      </w:r>
      <w:r w:rsidRPr="0042579D">
        <w:rPr>
          <w:rFonts w:ascii="Cambria" w:eastAsia="Calibri" w:hAnsi="Cambria" w:cs="Calibri"/>
          <w:spacing w:val="3"/>
          <w:sz w:val="18"/>
          <w:szCs w:val="18"/>
        </w:rPr>
        <w:t>n</w:t>
      </w:r>
      <w:r w:rsidRPr="0042579D">
        <w:rPr>
          <w:rFonts w:ascii="Cambria" w:eastAsia="Calibri" w:hAnsi="Cambria" w:cs="Calibri"/>
          <w:sz w:val="18"/>
          <w:szCs w:val="18"/>
        </w:rPr>
        <w:t>)</w:t>
      </w:r>
      <w:r w:rsidRPr="0042579D">
        <w:rPr>
          <w:rFonts w:ascii="Cambria" w:eastAsia="Calibri" w:hAnsi="Cambria" w:cs="Calibri"/>
          <w:spacing w:val="-7"/>
          <w:sz w:val="18"/>
          <w:szCs w:val="18"/>
        </w:rPr>
        <w:t xml:space="preserve"> </w:t>
      </w:r>
      <w:r w:rsidRPr="0042579D">
        <w:rPr>
          <w:rFonts w:ascii="Cambria" w:eastAsia="Calibri" w:hAnsi="Cambria" w:cs="Calibri"/>
          <w:spacing w:val="1"/>
          <w:sz w:val="18"/>
          <w:szCs w:val="18"/>
        </w:rPr>
        <w:t>an</w:t>
      </w:r>
      <w:r w:rsidRPr="0042579D">
        <w:rPr>
          <w:rFonts w:ascii="Cambria" w:eastAsia="Calibri" w:hAnsi="Cambria" w:cs="Calibri"/>
          <w:sz w:val="18"/>
          <w:szCs w:val="18"/>
        </w:rPr>
        <w:t>d</w:t>
      </w:r>
      <w:r w:rsidRPr="0042579D">
        <w:rPr>
          <w:rFonts w:ascii="Cambria" w:eastAsia="Calibri" w:hAnsi="Cambria" w:cs="Calibri"/>
          <w:spacing w:val="-2"/>
          <w:sz w:val="18"/>
          <w:szCs w:val="18"/>
        </w:rPr>
        <w:t xml:space="preserve"> </w:t>
      </w:r>
      <w:r w:rsidRPr="0042579D">
        <w:rPr>
          <w:rFonts w:ascii="Cambria" w:eastAsia="Calibri" w:hAnsi="Cambria" w:cs="Calibri"/>
          <w:spacing w:val="1"/>
          <w:sz w:val="18"/>
          <w:szCs w:val="18"/>
        </w:rPr>
        <w:t>n</w:t>
      </w:r>
      <w:r w:rsidRPr="0042579D">
        <w:rPr>
          <w:rFonts w:ascii="Cambria" w:eastAsia="Calibri" w:hAnsi="Cambria" w:cs="Calibri"/>
          <w:sz w:val="18"/>
          <w:szCs w:val="18"/>
        </w:rPr>
        <w:t>ot</w:t>
      </w:r>
      <w:r w:rsidRPr="0042579D">
        <w:rPr>
          <w:rFonts w:ascii="Cambria" w:eastAsia="Calibri" w:hAnsi="Cambria" w:cs="Calibri"/>
          <w:spacing w:val="3"/>
          <w:sz w:val="18"/>
          <w:szCs w:val="18"/>
        </w:rPr>
        <w:t xml:space="preserve"> </w:t>
      </w:r>
      <w:r w:rsidRPr="0042579D">
        <w:rPr>
          <w:rFonts w:ascii="Cambria" w:eastAsia="Calibri" w:hAnsi="Cambria" w:cs="Calibri"/>
          <w:i/>
          <w:spacing w:val="1"/>
          <w:sz w:val="18"/>
          <w:szCs w:val="18"/>
        </w:rPr>
        <w:t>an</w:t>
      </w:r>
      <w:r w:rsidRPr="0042579D">
        <w:rPr>
          <w:rFonts w:ascii="Cambria" w:eastAsia="Calibri" w:hAnsi="Cambria" w:cs="Calibri"/>
          <w:i/>
          <w:spacing w:val="-2"/>
          <w:sz w:val="18"/>
          <w:szCs w:val="18"/>
        </w:rPr>
        <w:t>t</w:t>
      </w:r>
      <w:r w:rsidRPr="0042579D">
        <w:rPr>
          <w:rFonts w:ascii="Cambria" w:eastAsia="Calibri" w:hAnsi="Cambria" w:cs="Calibri"/>
          <w:i/>
          <w:spacing w:val="1"/>
          <w:sz w:val="18"/>
          <w:szCs w:val="18"/>
        </w:rPr>
        <w:t>h</w:t>
      </w:r>
      <w:r w:rsidRPr="0042579D">
        <w:rPr>
          <w:rFonts w:ascii="Cambria" w:eastAsia="Calibri" w:hAnsi="Cambria" w:cs="Calibri"/>
          <w:i/>
          <w:sz w:val="18"/>
          <w:szCs w:val="18"/>
        </w:rPr>
        <w:t>r</w:t>
      </w:r>
      <w:r w:rsidRPr="0042579D">
        <w:rPr>
          <w:rFonts w:ascii="Cambria" w:eastAsia="Calibri" w:hAnsi="Cambria" w:cs="Calibri"/>
          <w:i/>
          <w:spacing w:val="1"/>
          <w:sz w:val="18"/>
          <w:szCs w:val="18"/>
        </w:rPr>
        <w:t>ōpō</w:t>
      </w:r>
      <w:r w:rsidRPr="0042579D">
        <w:rPr>
          <w:rFonts w:ascii="Cambria" w:eastAsia="Calibri" w:hAnsi="Cambria" w:cs="Calibri"/>
          <w:i/>
          <w:sz w:val="18"/>
          <w:szCs w:val="18"/>
        </w:rPr>
        <w:t>n</w:t>
      </w:r>
      <w:r w:rsidRPr="0042579D">
        <w:rPr>
          <w:rFonts w:ascii="Cambria" w:eastAsia="Calibri" w:hAnsi="Cambria" w:cs="Calibri"/>
          <w:i/>
          <w:spacing w:val="-8"/>
          <w:sz w:val="18"/>
          <w:szCs w:val="18"/>
        </w:rPr>
        <w:t xml:space="preserve"> </w:t>
      </w:r>
      <w:r w:rsidRPr="0042579D">
        <w:rPr>
          <w:rFonts w:ascii="Cambria" w:eastAsia="Calibri" w:hAnsi="Cambria" w:cs="Calibri"/>
          <w:sz w:val="18"/>
          <w:szCs w:val="18"/>
        </w:rPr>
        <w:t>(</w:t>
      </w:r>
      <w:r w:rsidRPr="0042579D">
        <w:rPr>
          <w:rFonts w:ascii="Cambria" w:eastAsia="Calibri" w:hAnsi="Cambria" w:cs="Calibri"/>
          <w:spacing w:val="-1"/>
          <w:sz w:val="18"/>
          <w:szCs w:val="18"/>
        </w:rPr>
        <w:t>w</w:t>
      </w:r>
      <w:r w:rsidRPr="0042579D">
        <w:rPr>
          <w:rFonts w:ascii="Cambria" w:eastAsia="Calibri" w:hAnsi="Cambria" w:cs="Calibri"/>
          <w:spacing w:val="1"/>
          <w:sz w:val="18"/>
          <w:szCs w:val="18"/>
        </w:rPr>
        <w:t>h</w:t>
      </w:r>
      <w:r w:rsidRPr="0042579D">
        <w:rPr>
          <w:rFonts w:ascii="Cambria" w:eastAsia="Calibri" w:hAnsi="Cambria" w:cs="Calibri"/>
          <w:sz w:val="18"/>
          <w:szCs w:val="18"/>
        </w:rPr>
        <w:t>ich</w:t>
      </w:r>
      <w:r w:rsidRPr="0042579D">
        <w:rPr>
          <w:rFonts w:ascii="Cambria" w:eastAsia="Calibri" w:hAnsi="Cambria" w:cs="Calibri"/>
          <w:spacing w:val="-4"/>
          <w:sz w:val="18"/>
          <w:szCs w:val="18"/>
        </w:rPr>
        <w:t xml:space="preserve"> </w:t>
      </w:r>
      <w:r w:rsidRPr="0042579D">
        <w:rPr>
          <w:rFonts w:ascii="Cambria" w:eastAsia="Calibri" w:hAnsi="Cambria" w:cs="Calibri"/>
          <w:sz w:val="18"/>
          <w:szCs w:val="18"/>
        </w:rPr>
        <w:t>can</w:t>
      </w:r>
      <w:r w:rsidRPr="0042579D">
        <w:rPr>
          <w:rFonts w:ascii="Cambria" w:eastAsia="Calibri" w:hAnsi="Cambria" w:cs="Calibri"/>
          <w:spacing w:val="-4"/>
          <w:sz w:val="18"/>
          <w:szCs w:val="18"/>
        </w:rPr>
        <w:t xml:space="preserve"> </w:t>
      </w:r>
      <w:r w:rsidRPr="0042579D">
        <w:rPr>
          <w:rFonts w:ascii="Cambria" w:eastAsia="Calibri" w:hAnsi="Cambria" w:cs="Calibri"/>
          <w:spacing w:val="1"/>
          <w:sz w:val="18"/>
          <w:szCs w:val="18"/>
        </w:rPr>
        <w:t>b</w:t>
      </w:r>
      <w:r w:rsidRPr="0042579D">
        <w:rPr>
          <w:rFonts w:ascii="Cambria" w:eastAsia="Calibri" w:hAnsi="Cambria" w:cs="Calibri"/>
          <w:sz w:val="18"/>
          <w:szCs w:val="18"/>
        </w:rPr>
        <w:t>e</w:t>
      </w:r>
      <w:r w:rsidRPr="0042579D">
        <w:rPr>
          <w:rFonts w:ascii="Cambria" w:eastAsia="Calibri" w:hAnsi="Cambria" w:cs="Calibri"/>
          <w:spacing w:val="-3"/>
          <w:sz w:val="18"/>
          <w:szCs w:val="18"/>
        </w:rPr>
        <w:t xml:space="preserve"> </w:t>
      </w:r>
      <w:r w:rsidRPr="0042579D">
        <w:rPr>
          <w:rFonts w:ascii="Cambria" w:eastAsia="Calibri" w:hAnsi="Cambria" w:cs="Calibri"/>
          <w:spacing w:val="1"/>
          <w:sz w:val="18"/>
          <w:szCs w:val="18"/>
        </w:rPr>
        <w:t>u</w:t>
      </w:r>
      <w:r w:rsidRPr="0042579D">
        <w:rPr>
          <w:rFonts w:ascii="Cambria" w:eastAsia="Calibri" w:hAnsi="Cambria" w:cs="Calibri"/>
          <w:spacing w:val="-1"/>
          <w:sz w:val="18"/>
          <w:szCs w:val="18"/>
        </w:rPr>
        <w:t>se</w:t>
      </w:r>
      <w:r w:rsidRPr="0042579D">
        <w:rPr>
          <w:rFonts w:ascii="Cambria" w:eastAsia="Calibri" w:hAnsi="Cambria" w:cs="Calibri"/>
          <w:sz w:val="18"/>
          <w:szCs w:val="18"/>
        </w:rPr>
        <w:t>d g</w:t>
      </w:r>
      <w:r w:rsidRPr="0042579D">
        <w:rPr>
          <w:rFonts w:ascii="Cambria" w:eastAsia="Calibri" w:hAnsi="Cambria" w:cs="Calibri"/>
          <w:spacing w:val="-1"/>
          <w:sz w:val="18"/>
          <w:szCs w:val="18"/>
        </w:rPr>
        <w:t>e</w:t>
      </w:r>
      <w:r w:rsidRPr="0042579D">
        <w:rPr>
          <w:rFonts w:ascii="Cambria" w:eastAsia="Calibri" w:hAnsi="Cambria" w:cs="Calibri"/>
          <w:spacing w:val="1"/>
          <w:sz w:val="18"/>
          <w:szCs w:val="18"/>
        </w:rPr>
        <w:t>n</w:t>
      </w:r>
      <w:r w:rsidRPr="0042579D">
        <w:rPr>
          <w:rFonts w:ascii="Cambria" w:eastAsia="Calibri" w:hAnsi="Cambria" w:cs="Calibri"/>
          <w:spacing w:val="-1"/>
          <w:sz w:val="18"/>
          <w:szCs w:val="18"/>
        </w:rPr>
        <w:t>e</w:t>
      </w:r>
      <w:r w:rsidRPr="0042579D">
        <w:rPr>
          <w:rFonts w:ascii="Cambria" w:eastAsia="Calibri" w:hAnsi="Cambria" w:cs="Calibri"/>
          <w:sz w:val="18"/>
          <w:szCs w:val="18"/>
        </w:rPr>
        <w:t>rica</w:t>
      </w:r>
      <w:r w:rsidRPr="0042579D">
        <w:rPr>
          <w:rFonts w:ascii="Cambria" w:eastAsia="Calibri" w:hAnsi="Cambria" w:cs="Calibri"/>
          <w:spacing w:val="2"/>
          <w:sz w:val="18"/>
          <w:szCs w:val="18"/>
        </w:rPr>
        <w:t>l</w:t>
      </w:r>
      <w:r w:rsidRPr="0042579D">
        <w:rPr>
          <w:rFonts w:ascii="Cambria" w:eastAsia="Calibri" w:hAnsi="Cambria" w:cs="Calibri"/>
          <w:sz w:val="18"/>
          <w:szCs w:val="18"/>
        </w:rPr>
        <w:t>ly</w:t>
      </w:r>
      <w:r w:rsidRPr="0042579D">
        <w:rPr>
          <w:rFonts w:ascii="Cambria" w:eastAsia="Calibri" w:hAnsi="Cambria" w:cs="Calibri"/>
          <w:spacing w:val="-8"/>
          <w:sz w:val="18"/>
          <w:szCs w:val="18"/>
        </w:rPr>
        <w:t xml:space="preserve"> </w:t>
      </w:r>
      <w:r w:rsidRPr="0042579D">
        <w:rPr>
          <w:rFonts w:ascii="Cambria" w:eastAsia="Calibri" w:hAnsi="Cambria" w:cs="Calibri"/>
          <w:sz w:val="18"/>
          <w:szCs w:val="18"/>
        </w:rPr>
        <w:t>for</w:t>
      </w:r>
      <w:r w:rsidRPr="0042579D">
        <w:rPr>
          <w:rFonts w:ascii="Cambria" w:eastAsia="Calibri" w:hAnsi="Cambria" w:cs="Calibri"/>
          <w:spacing w:val="-1"/>
          <w:sz w:val="18"/>
          <w:szCs w:val="18"/>
        </w:rPr>
        <w:t xml:space="preserve"> e</w:t>
      </w:r>
      <w:r w:rsidRPr="0042579D">
        <w:rPr>
          <w:rFonts w:ascii="Cambria" w:eastAsia="Calibri" w:hAnsi="Cambria" w:cs="Calibri"/>
          <w:sz w:val="18"/>
          <w:szCs w:val="18"/>
        </w:rPr>
        <w:t>it</w:t>
      </w:r>
      <w:r w:rsidRPr="0042579D">
        <w:rPr>
          <w:rFonts w:ascii="Cambria" w:eastAsia="Calibri" w:hAnsi="Cambria" w:cs="Calibri"/>
          <w:spacing w:val="1"/>
          <w:sz w:val="18"/>
          <w:szCs w:val="18"/>
        </w:rPr>
        <w:t>h</w:t>
      </w:r>
      <w:r w:rsidRPr="0042579D">
        <w:rPr>
          <w:rFonts w:ascii="Cambria" w:eastAsia="Calibri" w:hAnsi="Cambria" w:cs="Calibri"/>
          <w:spacing w:val="-1"/>
          <w:sz w:val="18"/>
          <w:szCs w:val="18"/>
        </w:rPr>
        <w:t>e</w:t>
      </w:r>
      <w:r w:rsidRPr="0042579D">
        <w:rPr>
          <w:rFonts w:ascii="Cambria" w:eastAsia="Calibri" w:hAnsi="Cambria" w:cs="Calibri"/>
          <w:sz w:val="18"/>
          <w:szCs w:val="18"/>
        </w:rPr>
        <w:t>r</w:t>
      </w:r>
      <w:r w:rsidRPr="0042579D">
        <w:rPr>
          <w:rFonts w:ascii="Cambria" w:eastAsia="Calibri" w:hAnsi="Cambria" w:cs="Calibri"/>
          <w:spacing w:val="-2"/>
          <w:sz w:val="18"/>
          <w:szCs w:val="18"/>
        </w:rPr>
        <w:t xml:space="preserve"> </w:t>
      </w:r>
      <w:r w:rsidRPr="0042579D">
        <w:rPr>
          <w:rFonts w:ascii="Cambria" w:eastAsia="Calibri" w:hAnsi="Cambria" w:cs="Calibri"/>
          <w:spacing w:val="-1"/>
          <w:sz w:val="18"/>
          <w:szCs w:val="18"/>
        </w:rPr>
        <w:t>me</w:t>
      </w:r>
      <w:r w:rsidRPr="0042579D">
        <w:rPr>
          <w:rFonts w:ascii="Cambria" w:eastAsia="Calibri" w:hAnsi="Cambria" w:cs="Calibri"/>
          <w:sz w:val="18"/>
          <w:szCs w:val="18"/>
        </w:rPr>
        <w:t>n</w:t>
      </w:r>
      <w:r w:rsidRPr="0042579D">
        <w:rPr>
          <w:rFonts w:ascii="Cambria" w:eastAsia="Calibri" w:hAnsi="Cambria" w:cs="Calibri"/>
          <w:spacing w:val="-3"/>
          <w:sz w:val="18"/>
          <w:szCs w:val="18"/>
        </w:rPr>
        <w:t xml:space="preserve"> </w:t>
      </w:r>
      <w:r w:rsidRPr="0042579D">
        <w:rPr>
          <w:rFonts w:ascii="Cambria" w:eastAsia="Calibri" w:hAnsi="Cambria" w:cs="Calibri"/>
          <w:spacing w:val="1"/>
          <w:sz w:val="18"/>
          <w:szCs w:val="18"/>
        </w:rPr>
        <w:t>o</w:t>
      </w:r>
      <w:r w:rsidRPr="0042579D">
        <w:rPr>
          <w:rFonts w:ascii="Cambria" w:eastAsia="Calibri" w:hAnsi="Cambria" w:cs="Calibri"/>
          <w:sz w:val="18"/>
          <w:szCs w:val="18"/>
        </w:rPr>
        <w:t>r</w:t>
      </w:r>
      <w:r w:rsidRPr="0042579D">
        <w:rPr>
          <w:rFonts w:ascii="Cambria" w:eastAsia="Calibri" w:hAnsi="Cambria" w:cs="Calibri"/>
          <w:spacing w:val="1"/>
          <w:sz w:val="18"/>
          <w:szCs w:val="18"/>
        </w:rPr>
        <w:t xml:space="preserve"> </w:t>
      </w:r>
      <w:r w:rsidRPr="0042579D">
        <w:rPr>
          <w:rFonts w:ascii="Cambria" w:eastAsia="Calibri" w:hAnsi="Cambria" w:cs="Calibri"/>
          <w:spacing w:val="-1"/>
          <w:sz w:val="18"/>
          <w:szCs w:val="18"/>
        </w:rPr>
        <w:t>w</w:t>
      </w:r>
      <w:r w:rsidRPr="0042579D">
        <w:rPr>
          <w:rFonts w:ascii="Cambria" w:eastAsia="Calibri" w:hAnsi="Cambria" w:cs="Calibri"/>
          <w:sz w:val="18"/>
          <w:szCs w:val="18"/>
        </w:rPr>
        <w:t>o</w:t>
      </w:r>
      <w:r w:rsidRPr="0042579D">
        <w:rPr>
          <w:rFonts w:ascii="Cambria" w:eastAsia="Calibri" w:hAnsi="Cambria" w:cs="Calibri"/>
          <w:spacing w:val="1"/>
          <w:sz w:val="18"/>
          <w:szCs w:val="18"/>
        </w:rPr>
        <w:t>m</w:t>
      </w:r>
      <w:r w:rsidRPr="0042579D">
        <w:rPr>
          <w:rFonts w:ascii="Cambria" w:eastAsia="Calibri" w:hAnsi="Cambria" w:cs="Calibri"/>
          <w:spacing w:val="-1"/>
          <w:sz w:val="18"/>
          <w:szCs w:val="18"/>
        </w:rPr>
        <w:t>e</w:t>
      </w:r>
      <w:r w:rsidRPr="0042579D">
        <w:rPr>
          <w:rFonts w:ascii="Cambria" w:eastAsia="Calibri" w:hAnsi="Cambria" w:cs="Calibri"/>
          <w:spacing w:val="1"/>
          <w:sz w:val="18"/>
          <w:szCs w:val="18"/>
        </w:rPr>
        <w:t>n</w:t>
      </w:r>
      <w:r w:rsidRPr="0042579D">
        <w:rPr>
          <w:rFonts w:ascii="Cambria" w:eastAsia="Calibri" w:hAnsi="Cambria" w:cs="Calibri"/>
          <w:sz w:val="18"/>
          <w:szCs w:val="18"/>
        </w:rPr>
        <w:t>).</w:t>
      </w:r>
    </w:p>
  </w:footnote>
  <w:footnote w:id="11">
    <w:p w14:paraId="58522F08" w14:textId="0D6EA42E" w:rsidR="004B03F8" w:rsidRPr="0042579D" w:rsidRDefault="004B03F8" w:rsidP="0042579D">
      <w:pPr>
        <w:pStyle w:val="FootnoteText"/>
        <w:rPr>
          <w:rFonts w:ascii="Cambria" w:hAnsi="Cambria"/>
          <w:sz w:val="18"/>
          <w:szCs w:val="18"/>
        </w:rPr>
      </w:pPr>
      <w:r w:rsidRPr="0042579D">
        <w:rPr>
          <w:rStyle w:val="FootnoteReference"/>
          <w:rFonts w:ascii="Cambria" w:hAnsi="Cambria"/>
          <w:sz w:val="18"/>
          <w:szCs w:val="18"/>
        </w:rPr>
        <w:footnoteRef/>
      </w:r>
      <w:r w:rsidRPr="0042579D">
        <w:rPr>
          <w:rFonts w:ascii="Cambria" w:hAnsi="Cambria"/>
          <w:sz w:val="18"/>
          <w:szCs w:val="18"/>
        </w:rPr>
        <w:t xml:space="preserve"> </w:t>
      </w:r>
      <w:r w:rsidRPr="0042579D">
        <w:rPr>
          <w:rFonts w:ascii="Cambria" w:eastAsia="Calibri" w:hAnsi="Cambria" w:cs="Calibri"/>
          <w:spacing w:val="-1"/>
          <w:sz w:val="18"/>
          <w:szCs w:val="18"/>
        </w:rPr>
        <w:t>T</w:t>
      </w:r>
      <w:r w:rsidRPr="0042579D">
        <w:rPr>
          <w:rFonts w:ascii="Cambria" w:eastAsia="Calibri" w:hAnsi="Cambria" w:cs="Calibri"/>
          <w:spacing w:val="1"/>
          <w:sz w:val="18"/>
          <w:szCs w:val="18"/>
        </w:rPr>
        <w:t>h</w:t>
      </w:r>
      <w:r w:rsidRPr="0042579D">
        <w:rPr>
          <w:rFonts w:ascii="Cambria" w:eastAsia="Calibri" w:hAnsi="Cambria" w:cs="Calibri"/>
          <w:sz w:val="18"/>
          <w:szCs w:val="18"/>
        </w:rPr>
        <w:t>e</w:t>
      </w:r>
      <w:r w:rsidRPr="0042579D">
        <w:rPr>
          <w:rFonts w:ascii="Cambria" w:eastAsia="Calibri" w:hAnsi="Cambria" w:cs="Calibri"/>
          <w:spacing w:val="-4"/>
          <w:sz w:val="18"/>
          <w:szCs w:val="18"/>
        </w:rPr>
        <w:t xml:space="preserve"> </w:t>
      </w:r>
      <w:r w:rsidRPr="0042579D">
        <w:rPr>
          <w:rFonts w:ascii="Cambria" w:eastAsia="Calibri" w:hAnsi="Cambria" w:cs="Calibri"/>
          <w:spacing w:val="2"/>
          <w:sz w:val="18"/>
          <w:szCs w:val="18"/>
        </w:rPr>
        <w:t>e</w:t>
      </w:r>
      <w:r w:rsidRPr="0042579D">
        <w:rPr>
          <w:rFonts w:ascii="Cambria" w:eastAsia="Calibri" w:hAnsi="Cambria" w:cs="Calibri"/>
          <w:spacing w:val="-1"/>
          <w:sz w:val="18"/>
          <w:szCs w:val="18"/>
        </w:rPr>
        <w:t>v</w:t>
      </w:r>
      <w:r w:rsidRPr="0042579D">
        <w:rPr>
          <w:rFonts w:ascii="Cambria" w:eastAsia="Calibri" w:hAnsi="Cambria" w:cs="Calibri"/>
          <w:sz w:val="18"/>
          <w:szCs w:val="18"/>
        </w:rPr>
        <w:t>i</w:t>
      </w:r>
      <w:r w:rsidRPr="0042579D">
        <w:rPr>
          <w:rFonts w:ascii="Cambria" w:eastAsia="Calibri" w:hAnsi="Cambria" w:cs="Calibri"/>
          <w:spacing w:val="1"/>
          <w:sz w:val="18"/>
          <w:szCs w:val="18"/>
        </w:rPr>
        <w:t>d</w:t>
      </w:r>
      <w:r w:rsidRPr="0042579D">
        <w:rPr>
          <w:rFonts w:ascii="Cambria" w:eastAsia="Calibri" w:hAnsi="Cambria" w:cs="Calibri"/>
          <w:spacing w:val="-1"/>
          <w:sz w:val="18"/>
          <w:szCs w:val="18"/>
        </w:rPr>
        <w:t>e</w:t>
      </w:r>
      <w:r w:rsidRPr="0042579D">
        <w:rPr>
          <w:rFonts w:ascii="Cambria" w:eastAsia="Calibri" w:hAnsi="Cambria" w:cs="Calibri"/>
          <w:spacing w:val="1"/>
          <w:sz w:val="18"/>
          <w:szCs w:val="18"/>
        </w:rPr>
        <w:t>n</w:t>
      </w:r>
      <w:r w:rsidRPr="0042579D">
        <w:rPr>
          <w:rFonts w:ascii="Cambria" w:eastAsia="Calibri" w:hAnsi="Cambria" w:cs="Calibri"/>
          <w:spacing w:val="2"/>
          <w:sz w:val="18"/>
          <w:szCs w:val="18"/>
        </w:rPr>
        <w:t>c</w:t>
      </w:r>
      <w:r w:rsidRPr="0042579D">
        <w:rPr>
          <w:rFonts w:ascii="Cambria" w:eastAsia="Calibri" w:hAnsi="Cambria" w:cs="Calibri"/>
          <w:sz w:val="18"/>
          <w:szCs w:val="18"/>
        </w:rPr>
        <w:t>e</w:t>
      </w:r>
      <w:r w:rsidRPr="0042579D">
        <w:rPr>
          <w:rFonts w:ascii="Cambria" w:eastAsia="Calibri" w:hAnsi="Cambria" w:cs="Calibri"/>
          <w:spacing w:val="-8"/>
          <w:sz w:val="18"/>
          <w:szCs w:val="18"/>
        </w:rPr>
        <w:t xml:space="preserve"> </w:t>
      </w:r>
      <w:r w:rsidRPr="0042579D">
        <w:rPr>
          <w:rFonts w:ascii="Cambria" w:eastAsia="Calibri" w:hAnsi="Cambria" w:cs="Calibri"/>
          <w:sz w:val="18"/>
          <w:szCs w:val="18"/>
        </w:rPr>
        <w:t>for</w:t>
      </w:r>
      <w:r w:rsidRPr="0042579D">
        <w:rPr>
          <w:rFonts w:ascii="Cambria" w:eastAsia="Calibri" w:hAnsi="Cambria" w:cs="Calibri"/>
          <w:spacing w:val="-1"/>
          <w:sz w:val="18"/>
          <w:szCs w:val="18"/>
        </w:rPr>
        <w:t xml:space="preserve"> </w:t>
      </w:r>
      <w:r w:rsidRPr="0042579D">
        <w:rPr>
          <w:rFonts w:ascii="Cambria" w:eastAsia="Calibri" w:hAnsi="Cambria" w:cs="Calibri"/>
          <w:sz w:val="18"/>
          <w:szCs w:val="18"/>
        </w:rPr>
        <w:t>t</w:t>
      </w:r>
      <w:r w:rsidRPr="0042579D">
        <w:rPr>
          <w:rFonts w:ascii="Cambria" w:eastAsia="Calibri" w:hAnsi="Cambria" w:cs="Calibri"/>
          <w:spacing w:val="1"/>
          <w:sz w:val="18"/>
          <w:szCs w:val="18"/>
        </w:rPr>
        <w:t>h</w:t>
      </w:r>
      <w:r w:rsidRPr="0042579D">
        <w:rPr>
          <w:rFonts w:ascii="Cambria" w:eastAsia="Calibri" w:hAnsi="Cambria" w:cs="Calibri"/>
          <w:sz w:val="18"/>
          <w:szCs w:val="18"/>
        </w:rPr>
        <w:t>is</w:t>
      </w:r>
      <w:r w:rsidRPr="0042579D">
        <w:rPr>
          <w:rFonts w:ascii="Cambria" w:eastAsia="Calibri" w:hAnsi="Cambria" w:cs="Calibri"/>
          <w:spacing w:val="-4"/>
          <w:sz w:val="18"/>
          <w:szCs w:val="18"/>
        </w:rPr>
        <w:t xml:space="preserve"> </w:t>
      </w:r>
      <w:r w:rsidRPr="0042579D">
        <w:rPr>
          <w:rFonts w:ascii="Cambria" w:eastAsia="Calibri" w:hAnsi="Cambria" w:cs="Calibri"/>
          <w:sz w:val="18"/>
          <w:szCs w:val="18"/>
        </w:rPr>
        <w:t>cl</w:t>
      </w:r>
      <w:r w:rsidRPr="0042579D">
        <w:rPr>
          <w:rFonts w:ascii="Cambria" w:eastAsia="Calibri" w:hAnsi="Cambria" w:cs="Calibri"/>
          <w:spacing w:val="1"/>
          <w:sz w:val="18"/>
          <w:szCs w:val="18"/>
        </w:rPr>
        <w:t>a</w:t>
      </w:r>
      <w:r w:rsidRPr="0042579D">
        <w:rPr>
          <w:rFonts w:ascii="Cambria" w:eastAsia="Calibri" w:hAnsi="Cambria" w:cs="Calibri"/>
          <w:spacing w:val="2"/>
          <w:sz w:val="18"/>
          <w:szCs w:val="18"/>
        </w:rPr>
        <w:t>i</w:t>
      </w:r>
      <w:r w:rsidRPr="0042579D">
        <w:rPr>
          <w:rFonts w:ascii="Cambria" w:eastAsia="Calibri" w:hAnsi="Cambria" w:cs="Calibri"/>
          <w:sz w:val="18"/>
          <w:szCs w:val="18"/>
        </w:rPr>
        <w:t>m</w:t>
      </w:r>
      <w:r w:rsidRPr="0042579D">
        <w:rPr>
          <w:rFonts w:ascii="Cambria" w:eastAsia="Calibri" w:hAnsi="Cambria" w:cs="Calibri"/>
          <w:spacing w:val="-5"/>
          <w:sz w:val="18"/>
          <w:szCs w:val="18"/>
        </w:rPr>
        <w:t xml:space="preserve"> </w:t>
      </w:r>
      <w:r w:rsidRPr="0042579D">
        <w:rPr>
          <w:rFonts w:ascii="Cambria" w:eastAsia="Calibri" w:hAnsi="Cambria" w:cs="Calibri"/>
          <w:sz w:val="18"/>
          <w:szCs w:val="18"/>
        </w:rPr>
        <w:t>is</w:t>
      </w:r>
      <w:r w:rsidRPr="0042579D">
        <w:rPr>
          <w:rFonts w:ascii="Cambria" w:eastAsia="Calibri" w:hAnsi="Cambria" w:cs="Calibri"/>
          <w:spacing w:val="1"/>
          <w:sz w:val="18"/>
          <w:szCs w:val="18"/>
        </w:rPr>
        <w:t xml:space="preserve"> </w:t>
      </w:r>
      <w:r w:rsidRPr="0042579D">
        <w:rPr>
          <w:rFonts w:ascii="Cambria" w:eastAsia="Calibri" w:hAnsi="Cambria" w:cs="Calibri"/>
          <w:spacing w:val="-1"/>
          <w:sz w:val="18"/>
          <w:szCs w:val="18"/>
        </w:rPr>
        <w:t>we</w:t>
      </w:r>
      <w:r w:rsidRPr="0042579D">
        <w:rPr>
          <w:rFonts w:ascii="Cambria" w:eastAsia="Calibri" w:hAnsi="Cambria" w:cs="Calibri"/>
          <w:sz w:val="18"/>
          <w:szCs w:val="18"/>
        </w:rPr>
        <w:t>ak</w:t>
      </w:r>
      <w:r w:rsidRPr="0042579D">
        <w:rPr>
          <w:rFonts w:ascii="Cambria" w:eastAsia="Calibri" w:hAnsi="Cambria" w:cs="Calibri"/>
          <w:spacing w:val="-3"/>
          <w:sz w:val="18"/>
          <w:szCs w:val="18"/>
        </w:rPr>
        <w:t xml:space="preserve"> </w:t>
      </w:r>
      <w:r w:rsidRPr="0042579D">
        <w:rPr>
          <w:rFonts w:ascii="Cambria" w:eastAsia="Calibri" w:hAnsi="Cambria" w:cs="Calibri"/>
          <w:spacing w:val="1"/>
          <w:sz w:val="18"/>
          <w:szCs w:val="18"/>
        </w:rPr>
        <w:t>a</w:t>
      </w:r>
      <w:r w:rsidRPr="0042579D">
        <w:rPr>
          <w:rFonts w:ascii="Cambria" w:eastAsia="Calibri" w:hAnsi="Cambria" w:cs="Calibri"/>
          <w:sz w:val="18"/>
          <w:szCs w:val="18"/>
        </w:rPr>
        <w:t>t</w:t>
      </w:r>
      <w:r w:rsidRPr="0042579D">
        <w:rPr>
          <w:rFonts w:ascii="Cambria" w:eastAsia="Calibri" w:hAnsi="Cambria" w:cs="Calibri"/>
          <w:spacing w:val="-1"/>
          <w:sz w:val="18"/>
          <w:szCs w:val="18"/>
        </w:rPr>
        <w:t xml:space="preserve"> </w:t>
      </w:r>
      <w:r w:rsidRPr="0042579D">
        <w:rPr>
          <w:rFonts w:ascii="Cambria" w:eastAsia="Calibri" w:hAnsi="Cambria" w:cs="Calibri"/>
          <w:spacing w:val="1"/>
          <w:sz w:val="18"/>
          <w:szCs w:val="18"/>
        </w:rPr>
        <w:t>b</w:t>
      </w:r>
      <w:r w:rsidRPr="0042579D">
        <w:rPr>
          <w:rFonts w:ascii="Cambria" w:eastAsia="Calibri" w:hAnsi="Cambria" w:cs="Calibri"/>
          <w:spacing w:val="-1"/>
          <w:sz w:val="18"/>
          <w:szCs w:val="18"/>
        </w:rPr>
        <w:t>es</w:t>
      </w:r>
      <w:r w:rsidRPr="0042579D">
        <w:rPr>
          <w:rFonts w:ascii="Cambria" w:eastAsia="Calibri" w:hAnsi="Cambria" w:cs="Calibri"/>
          <w:sz w:val="18"/>
          <w:szCs w:val="18"/>
        </w:rPr>
        <w:t>t.</w:t>
      </w:r>
      <w:r w:rsidRPr="0042579D">
        <w:rPr>
          <w:rFonts w:ascii="Cambria" w:eastAsia="Calibri" w:hAnsi="Cambria" w:cs="Calibri"/>
          <w:spacing w:val="-4"/>
          <w:sz w:val="18"/>
          <w:szCs w:val="18"/>
        </w:rPr>
        <w:t xml:space="preserve"> </w:t>
      </w:r>
      <w:r w:rsidRPr="0042579D">
        <w:rPr>
          <w:rFonts w:ascii="Cambria" w:eastAsia="Calibri" w:hAnsi="Cambria" w:cs="Calibri"/>
          <w:sz w:val="18"/>
          <w:szCs w:val="18"/>
        </w:rPr>
        <w:t>Fi</w:t>
      </w:r>
      <w:r w:rsidRPr="0042579D">
        <w:rPr>
          <w:rFonts w:ascii="Cambria" w:eastAsia="Calibri" w:hAnsi="Cambria" w:cs="Calibri"/>
          <w:spacing w:val="2"/>
          <w:sz w:val="18"/>
          <w:szCs w:val="18"/>
        </w:rPr>
        <w:t>r</w:t>
      </w:r>
      <w:r w:rsidRPr="0042579D">
        <w:rPr>
          <w:rFonts w:ascii="Cambria" w:eastAsia="Calibri" w:hAnsi="Cambria" w:cs="Calibri"/>
          <w:spacing w:val="-1"/>
          <w:sz w:val="18"/>
          <w:szCs w:val="18"/>
        </w:rPr>
        <w:t>s</w:t>
      </w:r>
      <w:r w:rsidRPr="0042579D">
        <w:rPr>
          <w:rFonts w:ascii="Cambria" w:eastAsia="Calibri" w:hAnsi="Cambria" w:cs="Calibri"/>
          <w:sz w:val="18"/>
          <w:szCs w:val="18"/>
        </w:rPr>
        <w:t>t,</w:t>
      </w:r>
      <w:r w:rsidRPr="0042579D">
        <w:rPr>
          <w:rFonts w:ascii="Cambria" w:eastAsia="Calibri" w:hAnsi="Cambria" w:cs="Calibri"/>
          <w:spacing w:val="-3"/>
          <w:sz w:val="18"/>
          <w:szCs w:val="18"/>
        </w:rPr>
        <w:t xml:space="preserve"> </w:t>
      </w:r>
      <w:r w:rsidRPr="0042579D">
        <w:rPr>
          <w:rFonts w:ascii="Cambria" w:eastAsia="Calibri" w:hAnsi="Cambria" w:cs="Calibri"/>
          <w:spacing w:val="2"/>
          <w:sz w:val="18"/>
          <w:szCs w:val="18"/>
        </w:rPr>
        <w:t>w</w:t>
      </w:r>
      <w:r w:rsidRPr="0042579D">
        <w:rPr>
          <w:rFonts w:ascii="Cambria" w:eastAsia="Calibri" w:hAnsi="Cambria" w:cs="Calibri"/>
          <w:sz w:val="18"/>
          <w:szCs w:val="18"/>
        </w:rPr>
        <w:t>e</w:t>
      </w:r>
      <w:r w:rsidRPr="0042579D">
        <w:rPr>
          <w:rFonts w:ascii="Cambria" w:eastAsia="Calibri" w:hAnsi="Cambria" w:cs="Calibri"/>
          <w:spacing w:val="-3"/>
          <w:sz w:val="18"/>
          <w:szCs w:val="18"/>
        </w:rPr>
        <w:t xml:space="preserve"> </w:t>
      </w:r>
      <w:r w:rsidRPr="0042579D">
        <w:rPr>
          <w:rFonts w:ascii="Cambria" w:eastAsia="Calibri" w:hAnsi="Cambria" w:cs="Calibri"/>
          <w:spacing w:val="1"/>
          <w:sz w:val="18"/>
          <w:szCs w:val="18"/>
        </w:rPr>
        <w:t>d</w:t>
      </w:r>
      <w:r w:rsidRPr="0042579D">
        <w:rPr>
          <w:rFonts w:ascii="Cambria" w:eastAsia="Calibri" w:hAnsi="Cambria" w:cs="Calibri"/>
          <w:sz w:val="18"/>
          <w:szCs w:val="18"/>
        </w:rPr>
        <w:t>o</w:t>
      </w:r>
      <w:r w:rsidRPr="0042579D">
        <w:rPr>
          <w:rFonts w:ascii="Cambria" w:eastAsia="Calibri" w:hAnsi="Cambria" w:cs="Calibri"/>
          <w:spacing w:val="-2"/>
          <w:sz w:val="18"/>
          <w:szCs w:val="18"/>
        </w:rPr>
        <w:t xml:space="preserve"> </w:t>
      </w:r>
      <w:r w:rsidRPr="0042579D">
        <w:rPr>
          <w:rFonts w:ascii="Cambria" w:eastAsia="Calibri" w:hAnsi="Cambria" w:cs="Calibri"/>
          <w:spacing w:val="1"/>
          <w:sz w:val="18"/>
          <w:szCs w:val="18"/>
        </w:rPr>
        <w:t>n</w:t>
      </w:r>
      <w:r w:rsidRPr="0042579D">
        <w:rPr>
          <w:rFonts w:ascii="Cambria" w:eastAsia="Calibri" w:hAnsi="Cambria" w:cs="Calibri"/>
          <w:sz w:val="18"/>
          <w:szCs w:val="18"/>
        </w:rPr>
        <w:t>ot</w:t>
      </w:r>
      <w:r w:rsidRPr="0042579D">
        <w:rPr>
          <w:rFonts w:ascii="Cambria" w:eastAsia="Calibri" w:hAnsi="Cambria" w:cs="Calibri"/>
          <w:spacing w:val="-2"/>
          <w:sz w:val="18"/>
          <w:szCs w:val="18"/>
        </w:rPr>
        <w:t xml:space="preserve"> </w:t>
      </w:r>
      <w:r w:rsidRPr="0042579D">
        <w:rPr>
          <w:rFonts w:ascii="Cambria" w:eastAsia="Calibri" w:hAnsi="Cambria" w:cs="Calibri"/>
          <w:sz w:val="18"/>
          <w:szCs w:val="18"/>
        </w:rPr>
        <w:t>k</w:t>
      </w:r>
      <w:r w:rsidRPr="0042579D">
        <w:rPr>
          <w:rFonts w:ascii="Cambria" w:eastAsia="Calibri" w:hAnsi="Cambria" w:cs="Calibri"/>
          <w:spacing w:val="1"/>
          <w:sz w:val="18"/>
          <w:szCs w:val="18"/>
        </w:rPr>
        <w:t>n</w:t>
      </w:r>
      <w:r w:rsidRPr="0042579D">
        <w:rPr>
          <w:rFonts w:ascii="Cambria" w:eastAsia="Calibri" w:hAnsi="Cambria" w:cs="Calibri"/>
          <w:sz w:val="18"/>
          <w:szCs w:val="18"/>
        </w:rPr>
        <w:t>ow</w:t>
      </w:r>
      <w:r w:rsidRPr="0042579D">
        <w:rPr>
          <w:rFonts w:ascii="Cambria" w:eastAsia="Calibri" w:hAnsi="Cambria" w:cs="Calibri"/>
          <w:spacing w:val="-5"/>
          <w:sz w:val="18"/>
          <w:szCs w:val="18"/>
        </w:rPr>
        <w:t xml:space="preserve"> </w:t>
      </w:r>
      <w:r w:rsidRPr="0042579D">
        <w:rPr>
          <w:rFonts w:ascii="Cambria" w:eastAsia="Calibri" w:hAnsi="Cambria" w:cs="Calibri"/>
          <w:sz w:val="18"/>
          <w:szCs w:val="18"/>
        </w:rPr>
        <w:t>for</w:t>
      </w:r>
      <w:r w:rsidRPr="0042579D">
        <w:rPr>
          <w:rFonts w:ascii="Cambria" w:eastAsia="Calibri" w:hAnsi="Cambria" w:cs="Calibri"/>
          <w:spacing w:val="-1"/>
          <w:sz w:val="18"/>
          <w:szCs w:val="18"/>
        </w:rPr>
        <w:t xml:space="preserve"> s</w:t>
      </w:r>
      <w:r w:rsidRPr="0042579D">
        <w:rPr>
          <w:rFonts w:ascii="Cambria" w:eastAsia="Calibri" w:hAnsi="Cambria" w:cs="Calibri"/>
          <w:spacing w:val="1"/>
          <w:sz w:val="18"/>
          <w:szCs w:val="18"/>
        </w:rPr>
        <w:t>u</w:t>
      </w:r>
      <w:r w:rsidRPr="0042579D">
        <w:rPr>
          <w:rFonts w:ascii="Cambria" w:eastAsia="Calibri" w:hAnsi="Cambria" w:cs="Calibri"/>
          <w:sz w:val="18"/>
          <w:szCs w:val="18"/>
        </w:rPr>
        <w:t>re</w:t>
      </w:r>
      <w:r w:rsidRPr="0042579D">
        <w:rPr>
          <w:rFonts w:ascii="Cambria" w:eastAsia="Calibri" w:hAnsi="Cambria" w:cs="Calibri"/>
          <w:spacing w:val="-5"/>
          <w:sz w:val="18"/>
          <w:szCs w:val="18"/>
        </w:rPr>
        <w:t xml:space="preserve"> </w:t>
      </w:r>
      <w:r w:rsidRPr="0042579D">
        <w:rPr>
          <w:rFonts w:ascii="Cambria" w:eastAsia="Calibri" w:hAnsi="Cambria" w:cs="Calibri"/>
          <w:spacing w:val="1"/>
          <w:sz w:val="18"/>
          <w:szCs w:val="18"/>
        </w:rPr>
        <w:t>th</w:t>
      </w:r>
      <w:r w:rsidRPr="0042579D">
        <w:rPr>
          <w:rFonts w:ascii="Cambria" w:eastAsia="Calibri" w:hAnsi="Cambria" w:cs="Calibri"/>
          <w:sz w:val="18"/>
          <w:szCs w:val="18"/>
        </w:rPr>
        <w:t>at</w:t>
      </w:r>
      <w:r w:rsidRPr="0042579D">
        <w:rPr>
          <w:rFonts w:ascii="Cambria" w:eastAsia="Calibri" w:hAnsi="Cambria" w:cs="Calibri"/>
          <w:spacing w:val="-2"/>
          <w:sz w:val="18"/>
          <w:szCs w:val="18"/>
        </w:rPr>
        <w:t xml:space="preserve"> </w:t>
      </w:r>
      <w:r w:rsidRPr="0042579D">
        <w:rPr>
          <w:rFonts w:ascii="Cambria" w:eastAsia="Calibri" w:hAnsi="Cambria" w:cs="Calibri"/>
          <w:spacing w:val="1"/>
          <w:sz w:val="18"/>
          <w:szCs w:val="18"/>
        </w:rPr>
        <w:t>th</w:t>
      </w:r>
      <w:r w:rsidRPr="0042579D">
        <w:rPr>
          <w:rFonts w:ascii="Cambria" w:eastAsia="Calibri" w:hAnsi="Cambria" w:cs="Calibri"/>
          <w:sz w:val="18"/>
          <w:szCs w:val="18"/>
        </w:rPr>
        <w:t>e</w:t>
      </w:r>
      <w:r w:rsidRPr="0042579D">
        <w:rPr>
          <w:rFonts w:ascii="Cambria" w:eastAsia="Calibri" w:hAnsi="Cambria" w:cs="Calibri"/>
          <w:spacing w:val="-4"/>
          <w:sz w:val="18"/>
          <w:szCs w:val="18"/>
        </w:rPr>
        <w:t xml:space="preserve"> </w:t>
      </w:r>
      <w:r w:rsidRPr="0042579D">
        <w:rPr>
          <w:rFonts w:ascii="Cambria" w:eastAsia="Calibri" w:hAnsi="Cambria" w:cs="Calibri"/>
          <w:spacing w:val="1"/>
          <w:sz w:val="18"/>
          <w:szCs w:val="18"/>
        </w:rPr>
        <w:t>p</w:t>
      </w:r>
      <w:r w:rsidRPr="0042579D">
        <w:rPr>
          <w:rFonts w:ascii="Cambria" w:eastAsia="Calibri" w:hAnsi="Cambria" w:cs="Calibri"/>
          <w:spacing w:val="-1"/>
          <w:sz w:val="18"/>
          <w:szCs w:val="18"/>
        </w:rPr>
        <w:t>e</w:t>
      </w:r>
      <w:r w:rsidRPr="0042579D">
        <w:rPr>
          <w:rFonts w:ascii="Cambria" w:eastAsia="Calibri" w:hAnsi="Cambria" w:cs="Calibri"/>
          <w:sz w:val="18"/>
          <w:szCs w:val="18"/>
        </w:rPr>
        <w:t>r</w:t>
      </w:r>
      <w:r w:rsidRPr="0042579D">
        <w:rPr>
          <w:rFonts w:ascii="Cambria" w:eastAsia="Calibri" w:hAnsi="Cambria" w:cs="Calibri"/>
          <w:spacing w:val="-1"/>
          <w:sz w:val="18"/>
          <w:szCs w:val="18"/>
        </w:rPr>
        <w:t>s</w:t>
      </w:r>
      <w:r w:rsidRPr="0042579D">
        <w:rPr>
          <w:rFonts w:ascii="Cambria" w:eastAsia="Calibri" w:hAnsi="Cambria" w:cs="Calibri"/>
          <w:sz w:val="18"/>
          <w:szCs w:val="18"/>
        </w:rPr>
        <w:t>on</w:t>
      </w:r>
      <w:r w:rsidRPr="0042579D">
        <w:rPr>
          <w:rFonts w:ascii="Cambria" w:eastAsia="Calibri" w:hAnsi="Cambria" w:cs="Calibri"/>
          <w:spacing w:val="-3"/>
          <w:sz w:val="18"/>
          <w:szCs w:val="18"/>
        </w:rPr>
        <w:t xml:space="preserve"> </w:t>
      </w:r>
      <w:r w:rsidRPr="0042579D">
        <w:rPr>
          <w:rFonts w:ascii="Cambria" w:eastAsia="Calibri" w:hAnsi="Cambria" w:cs="Calibri"/>
          <w:sz w:val="18"/>
          <w:szCs w:val="18"/>
        </w:rPr>
        <w:t>m</w:t>
      </w:r>
      <w:r w:rsidRPr="0042579D">
        <w:rPr>
          <w:rFonts w:ascii="Cambria" w:eastAsia="Calibri" w:hAnsi="Cambria" w:cs="Calibri"/>
          <w:spacing w:val="-1"/>
          <w:sz w:val="18"/>
          <w:szCs w:val="18"/>
        </w:rPr>
        <w:t>e</w:t>
      </w:r>
      <w:r w:rsidRPr="0042579D">
        <w:rPr>
          <w:rFonts w:ascii="Cambria" w:eastAsia="Calibri" w:hAnsi="Cambria" w:cs="Calibri"/>
          <w:spacing w:val="1"/>
          <w:sz w:val="18"/>
          <w:szCs w:val="18"/>
        </w:rPr>
        <w:t>n</w:t>
      </w:r>
      <w:r w:rsidRPr="0042579D">
        <w:rPr>
          <w:rFonts w:ascii="Cambria" w:eastAsia="Calibri" w:hAnsi="Cambria" w:cs="Calibri"/>
          <w:sz w:val="18"/>
          <w:szCs w:val="18"/>
        </w:rPr>
        <w:t>ti</w:t>
      </w:r>
      <w:r w:rsidRPr="0042579D">
        <w:rPr>
          <w:rFonts w:ascii="Cambria" w:eastAsia="Calibri" w:hAnsi="Cambria" w:cs="Calibri"/>
          <w:spacing w:val="1"/>
          <w:sz w:val="18"/>
          <w:szCs w:val="18"/>
        </w:rPr>
        <w:t>on</w:t>
      </w:r>
      <w:r w:rsidRPr="0042579D">
        <w:rPr>
          <w:rFonts w:ascii="Cambria" w:eastAsia="Calibri" w:hAnsi="Cambria" w:cs="Calibri"/>
          <w:spacing w:val="-1"/>
          <w:sz w:val="18"/>
          <w:szCs w:val="18"/>
        </w:rPr>
        <w:t>e</w:t>
      </w:r>
      <w:r w:rsidRPr="0042579D">
        <w:rPr>
          <w:rFonts w:ascii="Cambria" w:eastAsia="Calibri" w:hAnsi="Cambria" w:cs="Calibri"/>
          <w:sz w:val="18"/>
          <w:szCs w:val="18"/>
        </w:rPr>
        <w:t>d</w:t>
      </w:r>
      <w:r w:rsidRPr="0042579D">
        <w:rPr>
          <w:rFonts w:ascii="Cambria" w:eastAsia="Calibri" w:hAnsi="Cambria" w:cs="Calibri"/>
          <w:spacing w:val="-8"/>
          <w:sz w:val="18"/>
          <w:szCs w:val="18"/>
        </w:rPr>
        <w:t xml:space="preserve"> </w:t>
      </w:r>
      <w:r w:rsidRPr="0042579D">
        <w:rPr>
          <w:rFonts w:ascii="Cambria" w:eastAsia="Calibri" w:hAnsi="Cambria" w:cs="Calibri"/>
          <w:sz w:val="18"/>
          <w:szCs w:val="18"/>
        </w:rPr>
        <w:t>in</w:t>
      </w:r>
      <w:r w:rsidRPr="0042579D">
        <w:rPr>
          <w:rFonts w:ascii="Cambria" w:eastAsia="Calibri" w:hAnsi="Cambria" w:cs="Calibri"/>
          <w:spacing w:val="-1"/>
          <w:sz w:val="18"/>
          <w:szCs w:val="18"/>
        </w:rPr>
        <w:t xml:space="preserve"> </w:t>
      </w:r>
      <w:r>
        <w:rPr>
          <w:rFonts w:ascii="Cambria" w:eastAsia="Calibri" w:hAnsi="Cambria" w:cs="Calibri"/>
          <w:spacing w:val="-1"/>
          <w:sz w:val="18"/>
          <w:szCs w:val="18"/>
        </w:rPr>
        <w:br/>
      </w:r>
      <w:r w:rsidRPr="0042579D">
        <w:rPr>
          <w:rFonts w:ascii="Cambria" w:eastAsia="Calibri" w:hAnsi="Cambria" w:cs="Calibri"/>
          <w:sz w:val="18"/>
          <w:szCs w:val="18"/>
        </w:rPr>
        <w:t>R</w:t>
      </w:r>
      <w:r w:rsidRPr="0042579D">
        <w:rPr>
          <w:rFonts w:ascii="Cambria" w:eastAsia="Calibri" w:hAnsi="Cambria" w:cs="Calibri"/>
          <w:spacing w:val="1"/>
          <w:sz w:val="18"/>
          <w:szCs w:val="18"/>
        </w:rPr>
        <w:t>o</w:t>
      </w:r>
      <w:r w:rsidRPr="0042579D">
        <w:rPr>
          <w:rFonts w:ascii="Cambria" w:eastAsia="Calibri" w:hAnsi="Cambria" w:cs="Calibri"/>
          <w:spacing w:val="-1"/>
          <w:sz w:val="18"/>
          <w:szCs w:val="18"/>
        </w:rPr>
        <w:t>m</w:t>
      </w:r>
      <w:r w:rsidRPr="0042579D">
        <w:rPr>
          <w:rFonts w:ascii="Cambria" w:eastAsia="Calibri" w:hAnsi="Cambria" w:cs="Calibri"/>
          <w:sz w:val="18"/>
          <w:szCs w:val="18"/>
        </w:rPr>
        <w:t>a</w:t>
      </w:r>
      <w:r w:rsidRPr="0042579D">
        <w:rPr>
          <w:rFonts w:ascii="Cambria" w:eastAsia="Calibri" w:hAnsi="Cambria" w:cs="Calibri"/>
          <w:spacing w:val="1"/>
          <w:sz w:val="18"/>
          <w:szCs w:val="18"/>
        </w:rPr>
        <w:t>n</w:t>
      </w:r>
      <w:r w:rsidRPr="0042579D">
        <w:rPr>
          <w:rFonts w:ascii="Cambria" w:eastAsia="Calibri" w:hAnsi="Cambria" w:cs="Calibri"/>
          <w:sz w:val="18"/>
          <w:szCs w:val="18"/>
        </w:rPr>
        <w:t>s</w:t>
      </w:r>
      <w:r w:rsidRPr="0042579D">
        <w:rPr>
          <w:rFonts w:ascii="Cambria" w:eastAsia="Calibri" w:hAnsi="Cambria" w:cs="Calibri"/>
          <w:spacing w:val="-8"/>
          <w:sz w:val="18"/>
          <w:szCs w:val="18"/>
        </w:rPr>
        <w:t xml:space="preserve"> </w:t>
      </w:r>
      <w:r w:rsidRPr="0042579D">
        <w:rPr>
          <w:rFonts w:ascii="Cambria" w:eastAsia="Calibri" w:hAnsi="Cambria" w:cs="Calibri"/>
          <w:spacing w:val="3"/>
          <w:sz w:val="18"/>
          <w:szCs w:val="18"/>
        </w:rPr>
        <w:t>1</w:t>
      </w:r>
      <w:r w:rsidRPr="0042579D">
        <w:rPr>
          <w:rFonts w:ascii="Cambria" w:eastAsia="Calibri" w:hAnsi="Cambria" w:cs="Calibri"/>
          <w:sz w:val="18"/>
          <w:szCs w:val="18"/>
        </w:rPr>
        <w:t>6</w:t>
      </w:r>
      <w:r w:rsidRPr="0042579D">
        <w:rPr>
          <w:rFonts w:ascii="Cambria" w:eastAsia="Calibri" w:hAnsi="Cambria" w:cs="Calibri"/>
          <w:spacing w:val="-1"/>
          <w:sz w:val="18"/>
          <w:szCs w:val="18"/>
        </w:rPr>
        <w:t>:</w:t>
      </w:r>
      <w:r w:rsidRPr="0042579D">
        <w:rPr>
          <w:rFonts w:ascii="Cambria" w:eastAsia="Calibri" w:hAnsi="Cambria" w:cs="Calibri"/>
          <w:sz w:val="18"/>
          <w:szCs w:val="18"/>
        </w:rPr>
        <w:t>6</w:t>
      </w:r>
      <w:r w:rsidRPr="0042579D">
        <w:rPr>
          <w:rFonts w:ascii="Cambria" w:eastAsia="Calibri" w:hAnsi="Cambria" w:cs="Calibri"/>
          <w:spacing w:val="-2"/>
          <w:sz w:val="18"/>
          <w:szCs w:val="18"/>
        </w:rPr>
        <w:t xml:space="preserve"> </w:t>
      </w:r>
      <w:r w:rsidRPr="0042579D">
        <w:rPr>
          <w:rFonts w:ascii="Cambria" w:eastAsia="Calibri" w:hAnsi="Cambria" w:cs="Calibri"/>
          <w:spacing w:val="1"/>
          <w:sz w:val="18"/>
          <w:szCs w:val="18"/>
        </w:rPr>
        <w:t>w</w:t>
      </w:r>
      <w:r w:rsidRPr="0042579D">
        <w:rPr>
          <w:rFonts w:ascii="Cambria" w:eastAsia="Calibri" w:hAnsi="Cambria" w:cs="Calibri"/>
          <w:sz w:val="18"/>
          <w:szCs w:val="18"/>
        </w:rPr>
        <w:t>as</w:t>
      </w:r>
      <w:r w:rsidRPr="0042579D">
        <w:rPr>
          <w:rFonts w:ascii="Cambria" w:eastAsia="Calibri" w:hAnsi="Cambria" w:cs="Calibri"/>
          <w:spacing w:val="-3"/>
          <w:sz w:val="18"/>
          <w:szCs w:val="18"/>
        </w:rPr>
        <w:t xml:space="preserve"> </w:t>
      </w:r>
      <w:r w:rsidRPr="0042579D">
        <w:rPr>
          <w:rFonts w:ascii="Cambria" w:eastAsia="Calibri" w:hAnsi="Cambria" w:cs="Calibri"/>
          <w:sz w:val="18"/>
          <w:szCs w:val="18"/>
        </w:rPr>
        <w:t xml:space="preserve">a </w:t>
      </w:r>
      <w:r w:rsidRPr="0042579D">
        <w:rPr>
          <w:rFonts w:ascii="Cambria" w:eastAsia="Calibri" w:hAnsi="Cambria" w:cs="Calibri"/>
          <w:spacing w:val="-1"/>
          <w:sz w:val="18"/>
          <w:szCs w:val="18"/>
        </w:rPr>
        <w:t>w</w:t>
      </w:r>
      <w:r w:rsidRPr="0042579D">
        <w:rPr>
          <w:rFonts w:ascii="Cambria" w:eastAsia="Calibri" w:hAnsi="Cambria" w:cs="Calibri"/>
          <w:sz w:val="18"/>
          <w:szCs w:val="18"/>
        </w:rPr>
        <w:t>o</w:t>
      </w:r>
      <w:r w:rsidRPr="0042579D">
        <w:rPr>
          <w:rFonts w:ascii="Cambria" w:eastAsia="Calibri" w:hAnsi="Cambria" w:cs="Calibri"/>
          <w:spacing w:val="-1"/>
          <w:sz w:val="18"/>
          <w:szCs w:val="18"/>
        </w:rPr>
        <w:t>m</w:t>
      </w:r>
      <w:r w:rsidRPr="0042579D">
        <w:rPr>
          <w:rFonts w:ascii="Cambria" w:eastAsia="Calibri" w:hAnsi="Cambria" w:cs="Calibri"/>
          <w:sz w:val="18"/>
          <w:szCs w:val="18"/>
        </w:rPr>
        <w:t>a</w:t>
      </w:r>
      <w:r w:rsidRPr="0042579D">
        <w:rPr>
          <w:rFonts w:ascii="Cambria" w:eastAsia="Calibri" w:hAnsi="Cambria" w:cs="Calibri"/>
          <w:spacing w:val="1"/>
          <w:sz w:val="18"/>
          <w:szCs w:val="18"/>
        </w:rPr>
        <w:t>n</w:t>
      </w:r>
      <w:r w:rsidRPr="0042579D">
        <w:rPr>
          <w:rFonts w:ascii="Cambria" w:eastAsia="Calibri" w:hAnsi="Cambria" w:cs="Calibri"/>
          <w:sz w:val="18"/>
          <w:szCs w:val="18"/>
        </w:rPr>
        <w:t>,</w:t>
      </w:r>
      <w:r w:rsidRPr="0042579D">
        <w:rPr>
          <w:rFonts w:ascii="Cambria" w:eastAsia="Calibri" w:hAnsi="Cambria" w:cs="Calibri"/>
          <w:spacing w:val="-7"/>
          <w:sz w:val="18"/>
          <w:szCs w:val="18"/>
        </w:rPr>
        <w:t xml:space="preserve"> </w:t>
      </w:r>
      <w:r w:rsidRPr="0042579D">
        <w:rPr>
          <w:rFonts w:ascii="Cambria" w:eastAsia="Calibri" w:hAnsi="Cambria" w:cs="Calibri"/>
          <w:sz w:val="18"/>
          <w:szCs w:val="18"/>
        </w:rPr>
        <w:t>s</w:t>
      </w:r>
      <w:r w:rsidRPr="0042579D">
        <w:rPr>
          <w:rFonts w:ascii="Cambria" w:eastAsia="Calibri" w:hAnsi="Cambria" w:cs="Calibri"/>
          <w:spacing w:val="-1"/>
          <w:sz w:val="18"/>
          <w:szCs w:val="18"/>
        </w:rPr>
        <w:t>i</w:t>
      </w:r>
      <w:r w:rsidRPr="0042579D">
        <w:rPr>
          <w:rFonts w:ascii="Cambria" w:eastAsia="Calibri" w:hAnsi="Cambria" w:cs="Calibri"/>
          <w:spacing w:val="1"/>
          <w:sz w:val="18"/>
          <w:szCs w:val="18"/>
        </w:rPr>
        <w:t>n</w:t>
      </w:r>
      <w:r w:rsidRPr="0042579D">
        <w:rPr>
          <w:rFonts w:ascii="Cambria" w:eastAsia="Calibri" w:hAnsi="Cambria" w:cs="Calibri"/>
          <w:spacing w:val="2"/>
          <w:sz w:val="18"/>
          <w:szCs w:val="18"/>
        </w:rPr>
        <w:t>c</w:t>
      </w:r>
      <w:r w:rsidRPr="0042579D">
        <w:rPr>
          <w:rFonts w:ascii="Cambria" w:eastAsia="Calibri" w:hAnsi="Cambria" w:cs="Calibri"/>
          <w:sz w:val="18"/>
          <w:szCs w:val="18"/>
        </w:rPr>
        <w:t>e</w:t>
      </w:r>
      <w:r w:rsidRPr="0042579D">
        <w:rPr>
          <w:rFonts w:ascii="Cambria" w:eastAsia="Calibri" w:hAnsi="Cambria" w:cs="Calibri"/>
          <w:spacing w:val="-5"/>
          <w:sz w:val="18"/>
          <w:szCs w:val="18"/>
        </w:rPr>
        <w:t xml:space="preserve"> </w:t>
      </w:r>
      <w:r w:rsidRPr="0042579D">
        <w:rPr>
          <w:rFonts w:ascii="Cambria" w:eastAsia="Calibri" w:hAnsi="Cambria" w:cs="Calibri"/>
          <w:sz w:val="18"/>
          <w:szCs w:val="18"/>
        </w:rPr>
        <w:t>in</w:t>
      </w:r>
      <w:r w:rsidRPr="0042579D">
        <w:rPr>
          <w:rFonts w:ascii="Cambria" w:eastAsia="Calibri" w:hAnsi="Cambria" w:cs="Calibri"/>
          <w:spacing w:val="-1"/>
          <w:sz w:val="18"/>
          <w:szCs w:val="18"/>
        </w:rPr>
        <w:t xml:space="preserve"> </w:t>
      </w:r>
      <w:r w:rsidRPr="0042579D">
        <w:rPr>
          <w:rFonts w:ascii="Cambria" w:eastAsia="Calibri" w:hAnsi="Cambria" w:cs="Calibri"/>
          <w:spacing w:val="1"/>
          <w:sz w:val="18"/>
          <w:szCs w:val="18"/>
        </w:rPr>
        <w:t>th</w:t>
      </w:r>
      <w:r w:rsidRPr="0042579D">
        <w:rPr>
          <w:rFonts w:ascii="Cambria" w:eastAsia="Calibri" w:hAnsi="Cambria" w:cs="Calibri"/>
          <w:sz w:val="18"/>
          <w:szCs w:val="18"/>
        </w:rPr>
        <w:t>e</w:t>
      </w:r>
      <w:r w:rsidRPr="0042579D">
        <w:rPr>
          <w:rFonts w:ascii="Cambria" w:eastAsia="Calibri" w:hAnsi="Cambria" w:cs="Calibri"/>
          <w:spacing w:val="-4"/>
          <w:sz w:val="18"/>
          <w:szCs w:val="18"/>
        </w:rPr>
        <w:t xml:space="preserve"> </w:t>
      </w:r>
      <w:r w:rsidRPr="0042579D">
        <w:rPr>
          <w:rFonts w:ascii="Cambria" w:eastAsia="Calibri" w:hAnsi="Cambria" w:cs="Calibri"/>
          <w:spacing w:val="1"/>
          <w:sz w:val="18"/>
          <w:szCs w:val="18"/>
        </w:rPr>
        <w:t>o</w:t>
      </w:r>
      <w:r w:rsidRPr="0042579D">
        <w:rPr>
          <w:rFonts w:ascii="Cambria" w:eastAsia="Calibri" w:hAnsi="Cambria" w:cs="Calibri"/>
          <w:sz w:val="18"/>
          <w:szCs w:val="18"/>
        </w:rPr>
        <w:t>rigin</w:t>
      </w:r>
      <w:r w:rsidRPr="0042579D">
        <w:rPr>
          <w:rFonts w:ascii="Cambria" w:eastAsia="Calibri" w:hAnsi="Cambria" w:cs="Calibri"/>
          <w:spacing w:val="1"/>
          <w:sz w:val="18"/>
          <w:szCs w:val="18"/>
        </w:rPr>
        <w:t>a</w:t>
      </w:r>
      <w:r w:rsidRPr="0042579D">
        <w:rPr>
          <w:rFonts w:ascii="Cambria" w:eastAsia="Calibri" w:hAnsi="Cambria" w:cs="Calibri"/>
          <w:sz w:val="18"/>
          <w:szCs w:val="18"/>
        </w:rPr>
        <w:t>l</w:t>
      </w:r>
      <w:r w:rsidRPr="0042579D">
        <w:rPr>
          <w:rFonts w:ascii="Cambria" w:eastAsia="Calibri" w:hAnsi="Cambria" w:cs="Calibri"/>
          <w:spacing w:val="-6"/>
          <w:sz w:val="18"/>
          <w:szCs w:val="18"/>
        </w:rPr>
        <w:t xml:space="preserve"> </w:t>
      </w:r>
      <w:r w:rsidRPr="0042579D">
        <w:rPr>
          <w:rFonts w:ascii="Cambria" w:eastAsia="Calibri" w:hAnsi="Cambria" w:cs="Calibri"/>
          <w:spacing w:val="2"/>
          <w:sz w:val="18"/>
          <w:szCs w:val="18"/>
        </w:rPr>
        <w:t>G</w:t>
      </w:r>
      <w:r w:rsidRPr="0042579D">
        <w:rPr>
          <w:rFonts w:ascii="Cambria" w:eastAsia="Calibri" w:hAnsi="Cambria" w:cs="Calibri"/>
          <w:sz w:val="18"/>
          <w:szCs w:val="18"/>
        </w:rPr>
        <w:t>r</w:t>
      </w:r>
      <w:r w:rsidRPr="0042579D">
        <w:rPr>
          <w:rFonts w:ascii="Cambria" w:eastAsia="Calibri" w:hAnsi="Cambria" w:cs="Calibri"/>
          <w:spacing w:val="-1"/>
          <w:sz w:val="18"/>
          <w:szCs w:val="18"/>
        </w:rPr>
        <w:t>ee</w:t>
      </w:r>
      <w:r w:rsidRPr="0042579D">
        <w:rPr>
          <w:rFonts w:ascii="Cambria" w:eastAsia="Calibri" w:hAnsi="Cambria" w:cs="Calibri"/>
          <w:sz w:val="18"/>
          <w:szCs w:val="18"/>
        </w:rPr>
        <w:t>k</w:t>
      </w:r>
      <w:r w:rsidRPr="0042579D">
        <w:rPr>
          <w:rFonts w:ascii="Cambria" w:eastAsia="Calibri" w:hAnsi="Cambria" w:cs="Calibri"/>
          <w:spacing w:val="-4"/>
          <w:sz w:val="18"/>
          <w:szCs w:val="18"/>
        </w:rPr>
        <w:t xml:space="preserve"> </w:t>
      </w:r>
      <w:r w:rsidRPr="0042579D">
        <w:rPr>
          <w:rFonts w:ascii="Cambria" w:eastAsia="Calibri" w:hAnsi="Cambria" w:cs="Calibri"/>
          <w:sz w:val="18"/>
          <w:szCs w:val="18"/>
        </w:rPr>
        <w:t>it</w:t>
      </w:r>
      <w:r w:rsidRPr="0042579D">
        <w:rPr>
          <w:rFonts w:ascii="Cambria" w:eastAsia="Calibri" w:hAnsi="Cambria" w:cs="Calibri"/>
          <w:spacing w:val="-1"/>
          <w:sz w:val="18"/>
          <w:szCs w:val="18"/>
        </w:rPr>
        <w:t xml:space="preserve"> </w:t>
      </w:r>
      <w:r w:rsidRPr="0042579D">
        <w:rPr>
          <w:rFonts w:ascii="Cambria" w:eastAsia="Calibri" w:hAnsi="Cambria" w:cs="Calibri"/>
          <w:sz w:val="18"/>
          <w:szCs w:val="18"/>
        </w:rPr>
        <w:t>is</w:t>
      </w:r>
      <w:r w:rsidRPr="0042579D">
        <w:rPr>
          <w:rFonts w:ascii="Cambria" w:eastAsia="Calibri" w:hAnsi="Cambria" w:cs="Calibri"/>
          <w:spacing w:val="-3"/>
          <w:sz w:val="18"/>
          <w:szCs w:val="18"/>
        </w:rPr>
        <w:t xml:space="preserve"> </w:t>
      </w:r>
      <w:r w:rsidRPr="0042579D">
        <w:rPr>
          <w:rFonts w:ascii="Cambria" w:eastAsia="Calibri" w:hAnsi="Cambria" w:cs="Calibri"/>
          <w:spacing w:val="3"/>
          <w:sz w:val="18"/>
          <w:szCs w:val="18"/>
        </w:rPr>
        <w:t>i</w:t>
      </w:r>
      <w:r w:rsidRPr="0042579D">
        <w:rPr>
          <w:rFonts w:ascii="Cambria" w:eastAsia="Calibri" w:hAnsi="Cambria" w:cs="Calibri"/>
          <w:spacing w:val="-1"/>
          <w:sz w:val="18"/>
          <w:szCs w:val="18"/>
        </w:rPr>
        <w:t>m</w:t>
      </w:r>
      <w:r w:rsidRPr="0042579D">
        <w:rPr>
          <w:rFonts w:ascii="Cambria" w:eastAsia="Calibri" w:hAnsi="Cambria" w:cs="Calibri"/>
          <w:spacing w:val="1"/>
          <w:sz w:val="18"/>
          <w:szCs w:val="18"/>
        </w:rPr>
        <w:t>p</w:t>
      </w:r>
      <w:r w:rsidRPr="0042579D">
        <w:rPr>
          <w:rFonts w:ascii="Cambria" w:eastAsia="Calibri" w:hAnsi="Cambria" w:cs="Calibri"/>
          <w:sz w:val="18"/>
          <w:szCs w:val="18"/>
        </w:rPr>
        <w:t>o</w:t>
      </w:r>
      <w:r w:rsidRPr="0042579D">
        <w:rPr>
          <w:rFonts w:ascii="Cambria" w:eastAsia="Calibri" w:hAnsi="Cambria" w:cs="Calibri"/>
          <w:spacing w:val="1"/>
          <w:sz w:val="18"/>
          <w:szCs w:val="18"/>
        </w:rPr>
        <w:t>s</w:t>
      </w:r>
      <w:r w:rsidRPr="0042579D">
        <w:rPr>
          <w:rFonts w:ascii="Cambria" w:eastAsia="Calibri" w:hAnsi="Cambria" w:cs="Calibri"/>
          <w:spacing w:val="-1"/>
          <w:sz w:val="18"/>
          <w:szCs w:val="18"/>
        </w:rPr>
        <w:t>s</w:t>
      </w:r>
      <w:r w:rsidRPr="0042579D">
        <w:rPr>
          <w:rFonts w:ascii="Cambria" w:eastAsia="Calibri" w:hAnsi="Cambria" w:cs="Calibri"/>
          <w:sz w:val="18"/>
          <w:szCs w:val="18"/>
        </w:rPr>
        <w:t>i</w:t>
      </w:r>
      <w:r w:rsidRPr="0042579D">
        <w:rPr>
          <w:rFonts w:ascii="Cambria" w:eastAsia="Calibri" w:hAnsi="Cambria" w:cs="Calibri"/>
          <w:spacing w:val="1"/>
          <w:sz w:val="18"/>
          <w:szCs w:val="18"/>
        </w:rPr>
        <w:t>b</w:t>
      </w:r>
      <w:r w:rsidRPr="0042579D">
        <w:rPr>
          <w:rFonts w:ascii="Cambria" w:eastAsia="Calibri" w:hAnsi="Cambria" w:cs="Calibri"/>
          <w:sz w:val="18"/>
          <w:szCs w:val="18"/>
        </w:rPr>
        <w:t>le</w:t>
      </w:r>
      <w:r w:rsidRPr="0042579D">
        <w:rPr>
          <w:rFonts w:ascii="Cambria" w:eastAsia="Calibri" w:hAnsi="Cambria" w:cs="Calibri"/>
          <w:spacing w:val="-9"/>
          <w:sz w:val="18"/>
          <w:szCs w:val="18"/>
        </w:rPr>
        <w:t xml:space="preserve"> </w:t>
      </w:r>
      <w:r w:rsidRPr="0042579D">
        <w:rPr>
          <w:rFonts w:ascii="Cambria" w:eastAsia="Calibri" w:hAnsi="Cambria" w:cs="Calibri"/>
          <w:spacing w:val="1"/>
          <w:sz w:val="18"/>
          <w:szCs w:val="18"/>
        </w:rPr>
        <w:t>t</w:t>
      </w:r>
      <w:r w:rsidRPr="0042579D">
        <w:rPr>
          <w:rFonts w:ascii="Cambria" w:eastAsia="Calibri" w:hAnsi="Cambria" w:cs="Calibri"/>
          <w:sz w:val="18"/>
          <w:szCs w:val="18"/>
        </w:rPr>
        <w:t>o</w:t>
      </w:r>
      <w:r w:rsidRPr="0042579D">
        <w:rPr>
          <w:rFonts w:ascii="Cambria" w:eastAsia="Calibri" w:hAnsi="Cambria" w:cs="Calibri"/>
          <w:spacing w:val="-2"/>
          <w:sz w:val="18"/>
          <w:szCs w:val="18"/>
        </w:rPr>
        <w:t xml:space="preserve"> </w:t>
      </w:r>
      <w:r w:rsidRPr="0042579D">
        <w:rPr>
          <w:rFonts w:ascii="Cambria" w:eastAsia="Calibri" w:hAnsi="Cambria" w:cs="Calibri"/>
          <w:spacing w:val="1"/>
          <w:sz w:val="18"/>
          <w:szCs w:val="18"/>
        </w:rPr>
        <w:t>t</w:t>
      </w:r>
      <w:r w:rsidRPr="0042579D">
        <w:rPr>
          <w:rFonts w:ascii="Cambria" w:eastAsia="Calibri" w:hAnsi="Cambria" w:cs="Calibri"/>
          <w:spacing w:val="-1"/>
          <w:sz w:val="18"/>
          <w:szCs w:val="18"/>
        </w:rPr>
        <w:t>e</w:t>
      </w:r>
      <w:r w:rsidRPr="0042579D">
        <w:rPr>
          <w:rFonts w:ascii="Cambria" w:eastAsia="Calibri" w:hAnsi="Cambria" w:cs="Calibri"/>
          <w:sz w:val="18"/>
          <w:szCs w:val="18"/>
        </w:rPr>
        <w:t xml:space="preserve">ll </w:t>
      </w:r>
      <w:r w:rsidRPr="0042579D">
        <w:rPr>
          <w:rFonts w:ascii="Cambria" w:eastAsia="Calibri" w:hAnsi="Cambria" w:cs="Calibri"/>
          <w:spacing w:val="-1"/>
          <w:sz w:val="18"/>
          <w:szCs w:val="18"/>
        </w:rPr>
        <w:t>w</w:t>
      </w:r>
      <w:r w:rsidRPr="0042579D">
        <w:rPr>
          <w:rFonts w:ascii="Cambria" w:eastAsia="Calibri" w:hAnsi="Cambria" w:cs="Calibri"/>
          <w:spacing w:val="3"/>
          <w:sz w:val="18"/>
          <w:szCs w:val="18"/>
        </w:rPr>
        <w:t>h</w:t>
      </w:r>
      <w:r w:rsidRPr="0042579D">
        <w:rPr>
          <w:rFonts w:ascii="Cambria" w:eastAsia="Calibri" w:hAnsi="Cambria" w:cs="Calibri"/>
          <w:spacing w:val="-1"/>
          <w:sz w:val="18"/>
          <w:szCs w:val="18"/>
        </w:rPr>
        <w:t>e</w:t>
      </w:r>
      <w:r w:rsidRPr="0042579D">
        <w:rPr>
          <w:rFonts w:ascii="Cambria" w:eastAsia="Calibri" w:hAnsi="Cambria" w:cs="Calibri"/>
          <w:sz w:val="18"/>
          <w:szCs w:val="18"/>
        </w:rPr>
        <w:t>t</w:t>
      </w:r>
      <w:r w:rsidRPr="0042579D">
        <w:rPr>
          <w:rFonts w:ascii="Cambria" w:eastAsia="Calibri" w:hAnsi="Cambria" w:cs="Calibri"/>
          <w:spacing w:val="1"/>
          <w:sz w:val="18"/>
          <w:szCs w:val="18"/>
        </w:rPr>
        <w:t>h</w:t>
      </w:r>
      <w:r w:rsidRPr="0042579D">
        <w:rPr>
          <w:rFonts w:ascii="Cambria" w:eastAsia="Calibri" w:hAnsi="Cambria" w:cs="Calibri"/>
          <w:spacing w:val="-1"/>
          <w:sz w:val="18"/>
          <w:szCs w:val="18"/>
        </w:rPr>
        <w:t>e</w:t>
      </w:r>
      <w:r w:rsidRPr="0042579D">
        <w:rPr>
          <w:rFonts w:ascii="Cambria" w:eastAsia="Calibri" w:hAnsi="Cambria" w:cs="Calibri"/>
          <w:sz w:val="18"/>
          <w:szCs w:val="18"/>
        </w:rPr>
        <w:t>r</w:t>
      </w:r>
      <w:r w:rsidRPr="0042579D">
        <w:rPr>
          <w:rFonts w:ascii="Cambria" w:eastAsia="Calibri" w:hAnsi="Cambria" w:cs="Calibri"/>
          <w:spacing w:val="-7"/>
          <w:sz w:val="18"/>
          <w:szCs w:val="18"/>
        </w:rPr>
        <w:t xml:space="preserve"> </w:t>
      </w:r>
      <w:r w:rsidRPr="0042579D">
        <w:rPr>
          <w:rFonts w:ascii="Cambria" w:eastAsia="Calibri" w:hAnsi="Cambria" w:cs="Calibri"/>
          <w:sz w:val="18"/>
          <w:szCs w:val="18"/>
        </w:rPr>
        <w:t>t</w:t>
      </w:r>
      <w:r w:rsidRPr="0042579D">
        <w:rPr>
          <w:rFonts w:ascii="Cambria" w:eastAsia="Calibri" w:hAnsi="Cambria" w:cs="Calibri"/>
          <w:spacing w:val="1"/>
          <w:sz w:val="18"/>
          <w:szCs w:val="18"/>
        </w:rPr>
        <w:t>h</w:t>
      </w:r>
      <w:r w:rsidRPr="0042579D">
        <w:rPr>
          <w:rFonts w:ascii="Cambria" w:eastAsia="Calibri" w:hAnsi="Cambria" w:cs="Calibri"/>
          <w:sz w:val="18"/>
          <w:szCs w:val="18"/>
        </w:rPr>
        <w:t>e</w:t>
      </w:r>
      <w:r w:rsidRPr="0042579D">
        <w:rPr>
          <w:rFonts w:ascii="Cambria" w:eastAsia="Calibri" w:hAnsi="Cambria" w:cs="Calibri"/>
          <w:spacing w:val="-4"/>
          <w:sz w:val="18"/>
          <w:szCs w:val="18"/>
        </w:rPr>
        <w:t xml:space="preserve"> </w:t>
      </w:r>
      <w:r w:rsidRPr="0042579D">
        <w:rPr>
          <w:rFonts w:ascii="Cambria" w:eastAsia="Calibri" w:hAnsi="Cambria" w:cs="Calibri"/>
          <w:spacing w:val="1"/>
          <w:sz w:val="18"/>
          <w:szCs w:val="18"/>
        </w:rPr>
        <w:t>n</w:t>
      </w:r>
      <w:r w:rsidRPr="0042579D">
        <w:rPr>
          <w:rFonts w:ascii="Cambria" w:eastAsia="Calibri" w:hAnsi="Cambria" w:cs="Calibri"/>
          <w:sz w:val="18"/>
          <w:szCs w:val="18"/>
        </w:rPr>
        <w:t>ame</w:t>
      </w:r>
      <w:r w:rsidRPr="0042579D">
        <w:rPr>
          <w:rFonts w:ascii="Cambria" w:eastAsia="Calibri" w:hAnsi="Cambria" w:cs="Calibri"/>
          <w:spacing w:val="-3"/>
          <w:sz w:val="18"/>
          <w:szCs w:val="18"/>
        </w:rPr>
        <w:t xml:space="preserve"> </w:t>
      </w:r>
      <w:r w:rsidRPr="0042579D">
        <w:rPr>
          <w:rFonts w:ascii="Cambria" w:eastAsia="Calibri" w:hAnsi="Cambria" w:cs="Calibri"/>
          <w:spacing w:val="-1"/>
          <w:sz w:val="18"/>
          <w:szCs w:val="18"/>
        </w:rPr>
        <w:t>s</w:t>
      </w:r>
      <w:r w:rsidRPr="0042579D">
        <w:rPr>
          <w:rFonts w:ascii="Cambria" w:eastAsia="Calibri" w:hAnsi="Cambria" w:cs="Calibri"/>
          <w:spacing w:val="1"/>
          <w:sz w:val="18"/>
          <w:szCs w:val="18"/>
        </w:rPr>
        <w:t>h</w:t>
      </w:r>
      <w:r w:rsidRPr="0042579D">
        <w:rPr>
          <w:rFonts w:ascii="Cambria" w:eastAsia="Calibri" w:hAnsi="Cambria" w:cs="Calibri"/>
          <w:sz w:val="18"/>
          <w:szCs w:val="18"/>
        </w:rPr>
        <w:t>o</w:t>
      </w:r>
      <w:r w:rsidRPr="0042579D">
        <w:rPr>
          <w:rFonts w:ascii="Cambria" w:eastAsia="Calibri" w:hAnsi="Cambria" w:cs="Calibri"/>
          <w:spacing w:val="1"/>
          <w:sz w:val="18"/>
          <w:szCs w:val="18"/>
        </w:rPr>
        <w:t>u</w:t>
      </w:r>
      <w:r w:rsidRPr="0042579D">
        <w:rPr>
          <w:rFonts w:ascii="Cambria" w:eastAsia="Calibri" w:hAnsi="Cambria" w:cs="Calibri"/>
          <w:sz w:val="18"/>
          <w:szCs w:val="18"/>
        </w:rPr>
        <w:t>ld</w:t>
      </w:r>
      <w:r w:rsidRPr="0042579D">
        <w:rPr>
          <w:rFonts w:ascii="Cambria" w:eastAsia="Calibri" w:hAnsi="Cambria" w:cs="Calibri"/>
          <w:spacing w:val="-5"/>
          <w:sz w:val="18"/>
          <w:szCs w:val="18"/>
        </w:rPr>
        <w:t xml:space="preserve"> </w:t>
      </w:r>
      <w:r w:rsidRPr="0042579D">
        <w:rPr>
          <w:rFonts w:ascii="Cambria" w:eastAsia="Calibri" w:hAnsi="Cambria" w:cs="Calibri"/>
          <w:spacing w:val="1"/>
          <w:sz w:val="18"/>
          <w:szCs w:val="18"/>
        </w:rPr>
        <w:t>b</w:t>
      </w:r>
      <w:r w:rsidRPr="0042579D">
        <w:rPr>
          <w:rFonts w:ascii="Cambria" w:eastAsia="Calibri" w:hAnsi="Cambria" w:cs="Calibri"/>
          <w:sz w:val="18"/>
          <w:szCs w:val="18"/>
        </w:rPr>
        <w:t>e</w:t>
      </w:r>
      <w:r w:rsidRPr="0042579D">
        <w:rPr>
          <w:rFonts w:ascii="Cambria" w:eastAsia="Calibri" w:hAnsi="Cambria" w:cs="Calibri"/>
          <w:spacing w:val="-3"/>
          <w:sz w:val="18"/>
          <w:szCs w:val="18"/>
        </w:rPr>
        <w:t xml:space="preserve"> </w:t>
      </w:r>
      <w:r w:rsidRPr="0042579D">
        <w:rPr>
          <w:rFonts w:ascii="Cambria" w:eastAsia="Calibri" w:hAnsi="Cambria" w:cs="Calibri"/>
          <w:spacing w:val="1"/>
          <w:sz w:val="18"/>
          <w:szCs w:val="18"/>
        </w:rPr>
        <w:t>“</w:t>
      </w:r>
      <w:r w:rsidRPr="0042579D">
        <w:rPr>
          <w:rFonts w:ascii="Cambria" w:eastAsia="Calibri" w:hAnsi="Cambria" w:cs="Calibri"/>
          <w:spacing w:val="-1"/>
          <w:sz w:val="18"/>
          <w:szCs w:val="18"/>
        </w:rPr>
        <w:t>J</w:t>
      </w:r>
      <w:r w:rsidRPr="0042579D">
        <w:rPr>
          <w:rFonts w:ascii="Cambria" w:eastAsia="Calibri" w:hAnsi="Cambria" w:cs="Calibri"/>
          <w:spacing w:val="1"/>
          <w:sz w:val="18"/>
          <w:szCs w:val="18"/>
        </w:rPr>
        <w:t>un</w:t>
      </w:r>
      <w:r w:rsidRPr="0042579D">
        <w:rPr>
          <w:rFonts w:ascii="Cambria" w:eastAsia="Calibri" w:hAnsi="Cambria" w:cs="Calibri"/>
          <w:sz w:val="18"/>
          <w:szCs w:val="18"/>
        </w:rPr>
        <w:t>ia”</w:t>
      </w:r>
      <w:r w:rsidRPr="0042579D">
        <w:rPr>
          <w:rFonts w:ascii="Cambria" w:eastAsia="Calibri" w:hAnsi="Cambria" w:cs="Calibri"/>
          <w:spacing w:val="-5"/>
          <w:sz w:val="18"/>
          <w:szCs w:val="18"/>
        </w:rPr>
        <w:t xml:space="preserve"> </w:t>
      </w:r>
      <w:r w:rsidRPr="0042579D">
        <w:rPr>
          <w:rFonts w:ascii="Cambria" w:eastAsia="Calibri" w:hAnsi="Cambria" w:cs="Calibri"/>
          <w:sz w:val="18"/>
          <w:szCs w:val="18"/>
        </w:rPr>
        <w:t>(a</w:t>
      </w:r>
      <w:r w:rsidRPr="0042579D">
        <w:rPr>
          <w:rFonts w:ascii="Cambria" w:eastAsia="Calibri" w:hAnsi="Cambria" w:cs="Calibri"/>
          <w:spacing w:val="-2"/>
          <w:sz w:val="18"/>
          <w:szCs w:val="18"/>
        </w:rPr>
        <w:t xml:space="preserve"> </w:t>
      </w:r>
      <w:r w:rsidRPr="0042579D">
        <w:rPr>
          <w:rFonts w:ascii="Cambria" w:eastAsia="Calibri" w:hAnsi="Cambria" w:cs="Calibri"/>
          <w:sz w:val="18"/>
          <w:szCs w:val="18"/>
        </w:rPr>
        <w:t>woma</w:t>
      </w:r>
      <w:r w:rsidRPr="0042579D">
        <w:rPr>
          <w:rFonts w:ascii="Cambria" w:eastAsia="Calibri" w:hAnsi="Cambria" w:cs="Calibri"/>
          <w:spacing w:val="1"/>
          <w:sz w:val="18"/>
          <w:szCs w:val="18"/>
        </w:rPr>
        <w:t>n</w:t>
      </w:r>
      <w:r w:rsidRPr="0042579D">
        <w:rPr>
          <w:rFonts w:ascii="Cambria" w:eastAsia="Calibri" w:hAnsi="Cambria" w:cs="Calibri"/>
          <w:sz w:val="18"/>
          <w:szCs w:val="18"/>
        </w:rPr>
        <w:t>’s</w:t>
      </w:r>
      <w:r w:rsidRPr="0042579D">
        <w:rPr>
          <w:rFonts w:ascii="Cambria" w:eastAsia="Calibri" w:hAnsi="Cambria" w:cs="Calibri"/>
          <w:spacing w:val="-8"/>
          <w:sz w:val="18"/>
          <w:szCs w:val="18"/>
        </w:rPr>
        <w:t xml:space="preserve"> </w:t>
      </w:r>
      <w:r w:rsidRPr="0042579D">
        <w:rPr>
          <w:rFonts w:ascii="Cambria" w:eastAsia="Calibri" w:hAnsi="Cambria" w:cs="Calibri"/>
          <w:spacing w:val="1"/>
          <w:sz w:val="18"/>
          <w:szCs w:val="18"/>
        </w:rPr>
        <w:t>n</w:t>
      </w:r>
      <w:r w:rsidRPr="0042579D">
        <w:rPr>
          <w:rFonts w:ascii="Cambria" w:eastAsia="Calibri" w:hAnsi="Cambria" w:cs="Calibri"/>
          <w:sz w:val="18"/>
          <w:szCs w:val="18"/>
        </w:rPr>
        <w:t>am</w:t>
      </w:r>
      <w:r w:rsidRPr="0042579D">
        <w:rPr>
          <w:rFonts w:ascii="Cambria" w:eastAsia="Calibri" w:hAnsi="Cambria" w:cs="Calibri"/>
          <w:spacing w:val="1"/>
          <w:sz w:val="18"/>
          <w:szCs w:val="18"/>
        </w:rPr>
        <w:t>e</w:t>
      </w:r>
      <w:r w:rsidRPr="0042579D">
        <w:rPr>
          <w:rFonts w:ascii="Cambria" w:eastAsia="Calibri" w:hAnsi="Cambria" w:cs="Calibri"/>
          <w:sz w:val="18"/>
          <w:szCs w:val="18"/>
        </w:rPr>
        <w:t>)</w:t>
      </w:r>
      <w:r w:rsidRPr="0042579D">
        <w:rPr>
          <w:rFonts w:ascii="Cambria" w:eastAsia="Calibri" w:hAnsi="Cambria" w:cs="Calibri"/>
          <w:spacing w:val="-5"/>
          <w:sz w:val="18"/>
          <w:szCs w:val="18"/>
        </w:rPr>
        <w:t xml:space="preserve"> </w:t>
      </w:r>
      <w:r w:rsidRPr="0042579D">
        <w:rPr>
          <w:rFonts w:ascii="Cambria" w:eastAsia="Calibri" w:hAnsi="Cambria" w:cs="Calibri"/>
          <w:spacing w:val="1"/>
          <w:sz w:val="18"/>
          <w:szCs w:val="18"/>
        </w:rPr>
        <w:t>o</w:t>
      </w:r>
      <w:r w:rsidRPr="0042579D">
        <w:rPr>
          <w:rFonts w:ascii="Cambria" w:eastAsia="Calibri" w:hAnsi="Cambria" w:cs="Calibri"/>
          <w:sz w:val="18"/>
          <w:szCs w:val="18"/>
        </w:rPr>
        <w:t>r</w:t>
      </w:r>
      <w:r w:rsidRPr="0042579D">
        <w:rPr>
          <w:rFonts w:ascii="Cambria" w:eastAsia="Calibri" w:hAnsi="Cambria" w:cs="Calibri"/>
          <w:spacing w:val="-2"/>
          <w:sz w:val="18"/>
          <w:szCs w:val="18"/>
        </w:rPr>
        <w:t xml:space="preserve"> </w:t>
      </w:r>
      <w:r w:rsidRPr="0042579D">
        <w:rPr>
          <w:rFonts w:ascii="Cambria" w:eastAsia="Calibri" w:hAnsi="Cambria" w:cs="Calibri"/>
          <w:spacing w:val="1"/>
          <w:sz w:val="18"/>
          <w:szCs w:val="18"/>
        </w:rPr>
        <w:t>“</w:t>
      </w:r>
      <w:r w:rsidRPr="0042579D">
        <w:rPr>
          <w:rFonts w:ascii="Cambria" w:eastAsia="Calibri" w:hAnsi="Cambria" w:cs="Calibri"/>
          <w:spacing w:val="-1"/>
          <w:sz w:val="18"/>
          <w:szCs w:val="18"/>
        </w:rPr>
        <w:t>J</w:t>
      </w:r>
      <w:r w:rsidRPr="0042579D">
        <w:rPr>
          <w:rFonts w:ascii="Cambria" w:eastAsia="Calibri" w:hAnsi="Cambria" w:cs="Calibri"/>
          <w:spacing w:val="3"/>
          <w:sz w:val="18"/>
          <w:szCs w:val="18"/>
        </w:rPr>
        <w:t>u</w:t>
      </w:r>
      <w:r w:rsidRPr="0042579D">
        <w:rPr>
          <w:rFonts w:ascii="Cambria" w:eastAsia="Calibri" w:hAnsi="Cambria" w:cs="Calibri"/>
          <w:spacing w:val="1"/>
          <w:sz w:val="18"/>
          <w:szCs w:val="18"/>
        </w:rPr>
        <w:t>n</w:t>
      </w:r>
      <w:r w:rsidRPr="0042579D">
        <w:rPr>
          <w:rFonts w:ascii="Cambria" w:eastAsia="Calibri" w:hAnsi="Cambria" w:cs="Calibri"/>
          <w:sz w:val="18"/>
          <w:szCs w:val="18"/>
        </w:rPr>
        <w:t>ia</w:t>
      </w:r>
      <w:r w:rsidRPr="0042579D">
        <w:rPr>
          <w:rFonts w:ascii="Cambria" w:eastAsia="Calibri" w:hAnsi="Cambria" w:cs="Calibri"/>
          <w:spacing w:val="-1"/>
          <w:sz w:val="18"/>
          <w:szCs w:val="18"/>
        </w:rPr>
        <w:t>s</w:t>
      </w:r>
      <w:r w:rsidRPr="0042579D">
        <w:rPr>
          <w:rFonts w:ascii="Cambria" w:eastAsia="Calibri" w:hAnsi="Cambria" w:cs="Calibri"/>
          <w:sz w:val="18"/>
          <w:szCs w:val="18"/>
        </w:rPr>
        <w:t>”</w:t>
      </w:r>
      <w:r w:rsidRPr="0042579D">
        <w:rPr>
          <w:rFonts w:ascii="Cambria" w:eastAsia="Calibri" w:hAnsi="Cambria" w:cs="Calibri"/>
          <w:spacing w:val="-7"/>
          <w:sz w:val="18"/>
          <w:szCs w:val="18"/>
        </w:rPr>
        <w:t xml:space="preserve"> </w:t>
      </w:r>
      <w:r w:rsidRPr="0042579D">
        <w:rPr>
          <w:rFonts w:ascii="Cambria" w:eastAsia="Calibri" w:hAnsi="Cambria" w:cs="Calibri"/>
          <w:w w:val="99"/>
          <w:sz w:val="18"/>
          <w:szCs w:val="18"/>
        </w:rPr>
        <w:t>(</w:t>
      </w:r>
      <w:r w:rsidRPr="0042579D">
        <w:rPr>
          <w:rFonts w:ascii="Cambria" w:eastAsia="Calibri" w:hAnsi="Cambria" w:cs="Calibri"/>
          <w:spacing w:val="-33"/>
          <w:sz w:val="18"/>
          <w:szCs w:val="18"/>
        </w:rPr>
        <w:t xml:space="preserve"> </w:t>
      </w:r>
      <w:r w:rsidRPr="0042579D">
        <w:rPr>
          <w:rFonts w:ascii="Cambria" w:eastAsia="Calibri" w:hAnsi="Cambria" w:cs="Calibri"/>
          <w:sz w:val="18"/>
          <w:szCs w:val="18"/>
        </w:rPr>
        <w:t xml:space="preserve">a </w:t>
      </w:r>
      <w:r w:rsidRPr="0042579D">
        <w:rPr>
          <w:rFonts w:ascii="Cambria" w:eastAsia="Calibri" w:hAnsi="Cambria" w:cs="Calibri"/>
          <w:spacing w:val="-1"/>
          <w:sz w:val="18"/>
          <w:szCs w:val="18"/>
        </w:rPr>
        <w:t>m</w:t>
      </w:r>
      <w:r w:rsidRPr="0042579D">
        <w:rPr>
          <w:rFonts w:ascii="Cambria" w:eastAsia="Calibri" w:hAnsi="Cambria" w:cs="Calibri"/>
          <w:sz w:val="18"/>
          <w:szCs w:val="18"/>
        </w:rPr>
        <w:t>a</w:t>
      </w:r>
      <w:r w:rsidRPr="0042579D">
        <w:rPr>
          <w:rFonts w:ascii="Cambria" w:eastAsia="Calibri" w:hAnsi="Cambria" w:cs="Calibri"/>
          <w:spacing w:val="1"/>
          <w:sz w:val="18"/>
          <w:szCs w:val="18"/>
        </w:rPr>
        <w:t>n</w:t>
      </w:r>
      <w:r w:rsidRPr="0042579D">
        <w:rPr>
          <w:rFonts w:ascii="Cambria" w:eastAsia="Calibri" w:hAnsi="Cambria" w:cs="Calibri"/>
          <w:sz w:val="18"/>
          <w:szCs w:val="18"/>
        </w:rPr>
        <w:t>’s</w:t>
      </w:r>
      <w:r w:rsidRPr="0042579D">
        <w:rPr>
          <w:rFonts w:ascii="Cambria" w:eastAsia="Calibri" w:hAnsi="Cambria" w:cs="Calibri"/>
          <w:spacing w:val="-5"/>
          <w:sz w:val="18"/>
          <w:szCs w:val="18"/>
        </w:rPr>
        <w:t xml:space="preserve"> </w:t>
      </w:r>
      <w:r w:rsidRPr="0042579D">
        <w:rPr>
          <w:rFonts w:ascii="Cambria" w:eastAsia="Calibri" w:hAnsi="Cambria" w:cs="Calibri"/>
          <w:spacing w:val="1"/>
          <w:sz w:val="18"/>
          <w:szCs w:val="18"/>
        </w:rPr>
        <w:t>n</w:t>
      </w:r>
      <w:r w:rsidRPr="0042579D">
        <w:rPr>
          <w:rFonts w:ascii="Cambria" w:eastAsia="Calibri" w:hAnsi="Cambria" w:cs="Calibri"/>
          <w:sz w:val="18"/>
          <w:szCs w:val="18"/>
        </w:rPr>
        <w:t>am</w:t>
      </w:r>
      <w:r w:rsidRPr="0042579D">
        <w:rPr>
          <w:rFonts w:ascii="Cambria" w:eastAsia="Calibri" w:hAnsi="Cambria" w:cs="Calibri"/>
          <w:spacing w:val="1"/>
          <w:sz w:val="18"/>
          <w:szCs w:val="18"/>
        </w:rPr>
        <w:t>e</w:t>
      </w:r>
      <w:r w:rsidRPr="0042579D">
        <w:rPr>
          <w:rFonts w:ascii="Cambria" w:eastAsia="Calibri" w:hAnsi="Cambria" w:cs="Calibri"/>
          <w:sz w:val="18"/>
          <w:szCs w:val="18"/>
        </w:rPr>
        <w:t>).</w:t>
      </w:r>
      <w:r w:rsidRPr="0042579D">
        <w:rPr>
          <w:rFonts w:ascii="Cambria" w:eastAsia="Calibri" w:hAnsi="Cambria" w:cs="Calibri"/>
          <w:spacing w:val="-6"/>
          <w:sz w:val="18"/>
          <w:szCs w:val="18"/>
        </w:rPr>
        <w:t xml:space="preserve"> </w:t>
      </w:r>
      <w:r w:rsidRPr="0042579D">
        <w:rPr>
          <w:rFonts w:ascii="Cambria" w:eastAsia="Calibri" w:hAnsi="Cambria" w:cs="Calibri"/>
          <w:sz w:val="18"/>
          <w:szCs w:val="18"/>
        </w:rPr>
        <w:t>S</w:t>
      </w:r>
      <w:r w:rsidRPr="0042579D">
        <w:rPr>
          <w:rFonts w:ascii="Cambria" w:eastAsia="Calibri" w:hAnsi="Cambria" w:cs="Calibri"/>
          <w:spacing w:val="-1"/>
          <w:sz w:val="18"/>
          <w:szCs w:val="18"/>
        </w:rPr>
        <w:t>e</w:t>
      </w:r>
      <w:r w:rsidRPr="0042579D">
        <w:rPr>
          <w:rFonts w:ascii="Cambria" w:eastAsia="Calibri" w:hAnsi="Cambria" w:cs="Calibri"/>
          <w:sz w:val="18"/>
          <w:szCs w:val="18"/>
        </w:rPr>
        <w:t>co</w:t>
      </w:r>
      <w:r w:rsidRPr="0042579D">
        <w:rPr>
          <w:rFonts w:ascii="Cambria" w:eastAsia="Calibri" w:hAnsi="Cambria" w:cs="Calibri"/>
          <w:spacing w:val="1"/>
          <w:sz w:val="18"/>
          <w:szCs w:val="18"/>
        </w:rPr>
        <w:t>nd</w:t>
      </w:r>
      <w:r w:rsidRPr="0042579D">
        <w:rPr>
          <w:rFonts w:ascii="Cambria" w:eastAsia="Calibri" w:hAnsi="Cambria" w:cs="Calibri"/>
          <w:sz w:val="18"/>
          <w:szCs w:val="18"/>
        </w:rPr>
        <w:t>,</w:t>
      </w:r>
      <w:r w:rsidRPr="0042579D">
        <w:rPr>
          <w:rFonts w:ascii="Cambria" w:eastAsia="Calibri" w:hAnsi="Cambria" w:cs="Calibri"/>
          <w:spacing w:val="-6"/>
          <w:sz w:val="18"/>
          <w:szCs w:val="18"/>
        </w:rPr>
        <w:t xml:space="preserve"> </w:t>
      </w:r>
      <w:r w:rsidRPr="0042579D">
        <w:rPr>
          <w:rFonts w:ascii="Cambria" w:eastAsia="Calibri" w:hAnsi="Cambria" w:cs="Calibri"/>
          <w:spacing w:val="2"/>
          <w:sz w:val="18"/>
          <w:szCs w:val="18"/>
        </w:rPr>
        <w:t>w</w:t>
      </w:r>
      <w:r w:rsidRPr="0042579D">
        <w:rPr>
          <w:rFonts w:ascii="Cambria" w:eastAsia="Calibri" w:hAnsi="Cambria" w:cs="Calibri"/>
          <w:sz w:val="18"/>
          <w:szCs w:val="18"/>
        </w:rPr>
        <w:t>e</w:t>
      </w:r>
      <w:r w:rsidRPr="0042579D">
        <w:rPr>
          <w:rFonts w:ascii="Cambria" w:eastAsia="Calibri" w:hAnsi="Cambria" w:cs="Calibri"/>
          <w:spacing w:val="-3"/>
          <w:sz w:val="18"/>
          <w:szCs w:val="18"/>
        </w:rPr>
        <w:t xml:space="preserve"> </w:t>
      </w:r>
      <w:r w:rsidRPr="0042579D">
        <w:rPr>
          <w:rFonts w:ascii="Cambria" w:eastAsia="Calibri" w:hAnsi="Cambria" w:cs="Calibri"/>
          <w:spacing w:val="1"/>
          <w:sz w:val="18"/>
          <w:szCs w:val="18"/>
        </w:rPr>
        <w:t>d</w:t>
      </w:r>
      <w:r w:rsidRPr="0042579D">
        <w:rPr>
          <w:rFonts w:ascii="Cambria" w:eastAsia="Calibri" w:hAnsi="Cambria" w:cs="Calibri"/>
          <w:sz w:val="18"/>
          <w:szCs w:val="18"/>
        </w:rPr>
        <w:t>o</w:t>
      </w:r>
      <w:r w:rsidRPr="0042579D">
        <w:rPr>
          <w:rFonts w:ascii="Cambria" w:eastAsia="Calibri" w:hAnsi="Cambria" w:cs="Calibri"/>
          <w:spacing w:val="-2"/>
          <w:sz w:val="18"/>
          <w:szCs w:val="18"/>
        </w:rPr>
        <w:t xml:space="preserve"> </w:t>
      </w:r>
      <w:r w:rsidRPr="0042579D">
        <w:rPr>
          <w:rFonts w:ascii="Cambria" w:eastAsia="Calibri" w:hAnsi="Cambria" w:cs="Calibri"/>
          <w:spacing w:val="1"/>
          <w:sz w:val="18"/>
          <w:szCs w:val="18"/>
        </w:rPr>
        <w:t>n</w:t>
      </w:r>
      <w:r w:rsidRPr="0042579D">
        <w:rPr>
          <w:rFonts w:ascii="Cambria" w:eastAsia="Calibri" w:hAnsi="Cambria" w:cs="Calibri"/>
          <w:sz w:val="18"/>
          <w:szCs w:val="18"/>
        </w:rPr>
        <w:t>ot</w:t>
      </w:r>
      <w:r w:rsidRPr="0042579D">
        <w:rPr>
          <w:rFonts w:ascii="Cambria" w:eastAsia="Calibri" w:hAnsi="Cambria" w:cs="Calibri"/>
          <w:spacing w:val="-2"/>
          <w:sz w:val="18"/>
          <w:szCs w:val="18"/>
        </w:rPr>
        <w:t xml:space="preserve"> </w:t>
      </w:r>
      <w:r w:rsidRPr="0042579D">
        <w:rPr>
          <w:rFonts w:ascii="Cambria" w:eastAsia="Calibri" w:hAnsi="Cambria" w:cs="Calibri"/>
          <w:sz w:val="18"/>
          <w:szCs w:val="18"/>
        </w:rPr>
        <w:t>k</w:t>
      </w:r>
      <w:r w:rsidRPr="0042579D">
        <w:rPr>
          <w:rFonts w:ascii="Cambria" w:eastAsia="Calibri" w:hAnsi="Cambria" w:cs="Calibri"/>
          <w:spacing w:val="1"/>
          <w:sz w:val="18"/>
          <w:szCs w:val="18"/>
        </w:rPr>
        <w:t>n</w:t>
      </w:r>
      <w:r w:rsidRPr="0042579D">
        <w:rPr>
          <w:rFonts w:ascii="Cambria" w:eastAsia="Calibri" w:hAnsi="Cambria" w:cs="Calibri"/>
          <w:sz w:val="18"/>
          <w:szCs w:val="18"/>
        </w:rPr>
        <w:t>ow</w:t>
      </w:r>
      <w:r w:rsidRPr="0042579D">
        <w:rPr>
          <w:rFonts w:ascii="Cambria" w:eastAsia="Calibri" w:hAnsi="Cambria" w:cs="Calibri"/>
          <w:spacing w:val="-5"/>
          <w:sz w:val="18"/>
          <w:szCs w:val="18"/>
        </w:rPr>
        <w:t xml:space="preserve"> </w:t>
      </w:r>
      <w:r w:rsidRPr="0042579D">
        <w:rPr>
          <w:rFonts w:ascii="Cambria" w:eastAsia="Calibri" w:hAnsi="Cambria" w:cs="Calibri"/>
          <w:spacing w:val="1"/>
          <w:sz w:val="18"/>
          <w:szCs w:val="18"/>
        </w:rPr>
        <w:t>th</w:t>
      </w:r>
      <w:r w:rsidRPr="0042579D">
        <w:rPr>
          <w:rFonts w:ascii="Cambria" w:eastAsia="Calibri" w:hAnsi="Cambria" w:cs="Calibri"/>
          <w:sz w:val="18"/>
          <w:szCs w:val="18"/>
        </w:rPr>
        <w:t>at</w:t>
      </w:r>
      <w:r w:rsidRPr="0042579D">
        <w:rPr>
          <w:rFonts w:ascii="Cambria" w:eastAsia="Calibri" w:hAnsi="Cambria" w:cs="Calibri"/>
          <w:spacing w:val="-2"/>
          <w:sz w:val="18"/>
          <w:szCs w:val="18"/>
        </w:rPr>
        <w:t xml:space="preserve"> </w:t>
      </w:r>
      <w:r w:rsidRPr="0042579D">
        <w:rPr>
          <w:rFonts w:ascii="Cambria" w:eastAsia="Calibri" w:hAnsi="Cambria" w:cs="Calibri"/>
          <w:spacing w:val="1"/>
          <w:sz w:val="18"/>
          <w:szCs w:val="18"/>
        </w:rPr>
        <w:t>th</w:t>
      </w:r>
      <w:r w:rsidRPr="0042579D">
        <w:rPr>
          <w:rFonts w:ascii="Cambria" w:eastAsia="Calibri" w:hAnsi="Cambria" w:cs="Calibri"/>
          <w:sz w:val="18"/>
          <w:szCs w:val="18"/>
        </w:rPr>
        <w:t>is</w:t>
      </w:r>
      <w:r w:rsidRPr="0042579D">
        <w:rPr>
          <w:rFonts w:ascii="Cambria" w:eastAsia="Calibri" w:hAnsi="Cambria" w:cs="Calibri"/>
          <w:spacing w:val="-5"/>
          <w:sz w:val="18"/>
          <w:szCs w:val="18"/>
        </w:rPr>
        <w:t xml:space="preserve"> </w:t>
      </w:r>
      <w:r w:rsidRPr="0042579D">
        <w:rPr>
          <w:rFonts w:ascii="Cambria" w:eastAsia="Calibri" w:hAnsi="Cambria" w:cs="Calibri"/>
          <w:spacing w:val="1"/>
          <w:sz w:val="18"/>
          <w:szCs w:val="18"/>
        </w:rPr>
        <w:t>p</w:t>
      </w:r>
      <w:r w:rsidRPr="0042579D">
        <w:rPr>
          <w:rFonts w:ascii="Cambria" w:eastAsia="Calibri" w:hAnsi="Cambria" w:cs="Calibri"/>
          <w:spacing w:val="-1"/>
          <w:sz w:val="18"/>
          <w:szCs w:val="18"/>
        </w:rPr>
        <w:t>e</w:t>
      </w:r>
      <w:r w:rsidRPr="0042579D">
        <w:rPr>
          <w:rFonts w:ascii="Cambria" w:eastAsia="Calibri" w:hAnsi="Cambria" w:cs="Calibri"/>
          <w:sz w:val="18"/>
          <w:szCs w:val="18"/>
        </w:rPr>
        <w:t>r</w:t>
      </w:r>
      <w:r w:rsidRPr="0042579D">
        <w:rPr>
          <w:rFonts w:ascii="Cambria" w:eastAsia="Calibri" w:hAnsi="Cambria" w:cs="Calibri"/>
          <w:spacing w:val="-1"/>
          <w:sz w:val="18"/>
          <w:szCs w:val="18"/>
        </w:rPr>
        <w:t>s</w:t>
      </w:r>
      <w:r w:rsidRPr="0042579D">
        <w:rPr>
          <w:rFonts w:ascii="Cambria" w:eastAsia="Calibri" w:hAnsi="Cambria" w:cs="Calibri"/>
          <w:sz w:val="18"/>
          <w:szCs w:val="18"/>
        </w:rPr>
        <w:t>on</w:t>
      </w:r>
      <w:r w:rsidRPr="0042579D">
        <w:rPr>
          <w:rFonts w:ascii="Cambria" w:eastAsia="Calibri" w:hAnsi="Cambria" w:cs="Calibri"/>
          <w:spacing w:val="-5"/>
          <w:sz w:val="18"/>
          <w:szCs w:val="18"/>
        </w:rPr>
        <w:t xml:space="preserve"> </w:t>
      </w:r>
      <w:r w:rsidRPr="0042579D">
        <w:rPr>
          <w:rFonts w:ascii="Cambria" w:eastAsia="Calibri" w:hAnsi="Cambria" w:cs="Calibri"/>
          <w:sz w:val="18"/>
          <w:szCs w:val="18"/>
        </w:rPr>
        <w:t>was</w:t>
      </w:r>
      <w:r w:rsidRPr="0042579D">
        <w:rPr>
          <w:rFonts w:ascii="Cambria" w:eastAsia="Calibri" w:hAnsi="Cambria" w:cs="Calibri"/>
          <w:spacing w:val="-4"/>
          <w:sz w:val="18"/>
          <w:szCs w:val="18"/>
        </w:rPr>
        <w:t xml:space="preserve"> </w:t>
      </w:r>
      <w:r w:rsidRPr="0042579D">
        <w:rPr>
          <w:rFonts w:ascii="Cambria" w:eastAsia="Calibri" w:hAnsi="Cambria" w:cs="Calibri"/>
          <w:spacing w:val="1"/>
          <w:sz w:val="18"/>
          <w:szCs w:val="18"/>
        </w:rPr>
        <w:t>a</w:t>
      </w:r>
      <w:r w:rsidRPr="0042579D">
        <w:rPr>
          <w:rFonts w:ascii="Cambria" w:eastAsia="Calibri" w:hAnsi="Cambria" w:cs="Calibri"/>
          <w:sz w:val="18"/>
          <w:szCs w:val="18"/>
        </w:rPr>
        <w:t>n</w:t>
      </w:r>
      <w:r w:rsidRPr="0042579D">
        <w:rPr>
          <w:rFonts w:ascii="Cambria" w:eastAsia="Calibri" w:hAnsi="Cambria" w:cs="Calibri"/>
          <w:spacing w:val="-1"/>
          <w:sz w:val="18"/>
          <w:szCs w:val="18"/>
        </w:rPr>
        <w:t xml:space="preserve"> </w:t>
      </w:r>
      <w:r w:rsidRPr="0042579D">
        <w:rPr>
          <w:rFonts w:ascii="Cambria" w:eastAsia="Calibri" w:hAnsi="Cambria" w:cs="Calibri"/>
          <w:sz w:val="18"/>
          <w:szCs w:val="18"/>
        </w:rPr>
        <w:t>A</w:t>
      </w:r>
      <w:r w:rsidRPr="0042579D">
        <w:rPr>
          <w:rFonts w:ascii="Cambria" w:eastAsia="Calibri" w:hAnsi="Cambria" w:cs="Calibri"/>
          <w:spacing w:val="1"/>
          <w:sz w:val="18"/>
          <w:szCs w:val="18"/>
        </w:rPr>
        <w:t>p</w:t>
      </w:r>
      <w:r w:rsidRPr="0042579D">
        <w:rPr>
          <w:rFonts w:ascii="Cambria" w:eastAsia="Calibri" w:hAnsi="Cambria" w:cs="Calibri"/>
          <w:sz w:val="18"/>
          <w:szCs w:val="18"/>
        </w:rPr>
        <w:t>o</w:t>
      </w:r>
      <w:r w:rsidRPr="0042579D">
        <w:rPr>
          <w:rFonts w:ascii="Cambria" w:eastAsia="Calibri" w:hAnsi="Cambria" w:cs="Calibri"/>
          <w:spacing w:val="-1"/>
          <w:sz w:val="18"/>
          <w:szCs w:val="18"/>
        </w:rPr>
        <w:t>s</w:t>
      </w:r>
      <w:r w:rsidRPr="0042579D">
        <w:rPr>
          <w:rFonts w:ascii="Cambria" w:eastAsia="Calibri" w:hAnsi="Cambria" w:cs="Calibri"/>
          <w:sz w:val="18"/>
          <w:szCs w:val="18"/>
        </w:rPr>
        <w:t>tle,</w:t>
      </w:r>
      <w:r w:rsidRPr="0042579D">
        <w:rPr>
          <w:rFonts w:ascii="Cambria" w:eastAsia="Calibri" w:hAnsi="Cambria" w:cs="Calibri"/>
          <w:spacing w:val="-7"/>
          <w:sz w:val="18"/>
          <w:szCs w:val="18"/>
        </w:rPr>
        <w:t xml:space="preserve"> </w:t>
      </w:r>
      <w:r w:rsidRPr="0042579D">
        <w:rPr>
          <w:rFonts w:ascii="Cambria" w:eastAsia="Calibri" w:hAnsi="Cambria" w:cs="Calibri"/>
          <w:spacing w:val="-1"/>
          <w:sz w:val="18"/>
          <w:szCs w:val="18"/>
        </w:rPr>
        <w:t>s</w:t>
      </w:r>
      <w:r w:rsidRPr="0042579D">
        <w:rPr>
          <w:rFonts w:ascii="Cambria" w:eastAsia="Calibri" w:hAnsi="Cambria" w:cs="Calibri"/>
          <w:sz w:val="18"/>
          <w:szCs w:val="18"/>
        </w:rPr>
        <w:t>i</w:t>
      </w:r>
      <w:r w:rsidRPr="0042579D">
        <w:rPr>
          <w:rFonts w:ascii="Cambria" w:eastAsia="Calibri" w:hAnsi="Cambria" w:cs="Calibri"/>
          <w:spacing w:val="1"/>
          <w:sz w:val="18"/>
          <w:szCs w:val="18"/>
        </w:rPr>
        <w:t>n</w:t>
      </w:r>
      <w:r w:rsidRPr="0042579D">
        <w:rPr>
          <w:rFonts w:ascii="Cambria" w:eastAsia="Calibri" w:hAnsi="Cambria" w:cs="Calibri"/>
          <w:spacing w:val="2"/>
          <w:sz w:val="18"/>
          <w:szCs w:val="18"/>
        </w:rPr>
        <w:t>c</w:t>
      </w:r>
      <w:r w:rsidRPr="0042579D">
        <w:rPr>
          <w:rFonts w:ascii="Cambria" w:eastAsia="Calibri" w:hAnsi="Cambria" w:cs="Calibri"/>
          <w:sz w:val="18"/>
          <w:szCs w:val="18"/>
        </w:rPr>
        <w:t>e</w:t>
      </w:r>
      <w:r w:rsidRPr="0042579D">
        <w:rPr>
          <w:rFonts w:ascii="Cambria" w:eastAsia="Calibri" w:hAnsi="Cambria" w:cs="Calibri"/>
          <w:spacing w:val="-5"/>
          <w:sz w:val="18"/>
          <w:szCs w:val="18"/>
        </w:rPr>
        <w:t xml:space="preserve"> </w:t>
      </w:r>
      <w:r w:rsidRPr="0042579D">
        <w:rPr>
          <w:rFonts w:ascii="Cambria" w:eastAsia="Calibri" w:hAnsi="Cambria" w:cs="Calibri"/>
          <w:spacing w:val="1"/>
          <w:sz w:val="18"/>
          <w:szCs w:val="18"/>
        </w:rPr>
        <w:t>th</w:t>
      </w:r>
      <w:r w:rsidRPr="0042579D">
        <w:rPr>
          <w:rFonts w:ascii="Cambria" w:eastAsia="Calibri" w:hAnsi="Cambria" w:cs="Calibri"/>
          <w:sz w:val="18"/>
          <w:szCs w:val="18"/>
        </w:rPr>
        <w:t>e</w:t>
      </w:r>
      <w:r w:rsidRPr="0042579D">
        <w:rPr>
          <w:rFonts w:ascii="Cambria" w:eastAsia="Calibri" w:hAnsi="Cambria" w:cs="Calibri"/>
          <w:spacing w:val="-4"/>
          <w:sz w:val="18"/>
          <w:szCs w:val="18"/>
        </w:rPr>
        <w:t xml:space="preserve"> </w:t>
      </w:r>
      <w:r w:rsidRPr="0042579D">
        <w:rPr>
          <w:rFonts w:ascii="Cambria" w:eastAsia="Calibri" w:hAnsi="Cambria" w:cs="Calibri"/>
          <w:sz w:val="18"/>
          <w:szCs w:val="18"/>
        </w:rPr>
        <w:t>G</w:t>
      </w:r>
      <w:r w:rsidRPr="0042579D">
        <w:rPr>
          <w:rFonts w:ascii="Cambria" w:eastAsia="Calibri" w:hAnsi="Cambria" w:cs="Calibri"/>
          <w:spacing w:val="2"/>
          <w:sz w:val="18"/>
          <w:szCs w:val="18"/>
        </w:rPr>
        <w:t>r</w:t>
      </w:r>
      <w:r w:rsidRPr="0042579D">
        <w:rPr>
          <w:rFonts w:ascii="Cambria" w:eastAsia="Calibri" w:hAnsi="Cambria" w:cs="Calibri"/>
          <w:spacing w:val="-1"/>
          <w:sz w:val="18"/>
          <w:szCs w:val="18"/>
        </w:rPr>
        <w:t>ee</w:t>
      </w:r>
      <w:r w:rsidRPr="0042579D">
        <w:rPr>
          <w:rFonts w:ascii="Cambria" w:eastAsia="Calibri" w:hAnsi="Cambria" w:cs="Calibri"/>
          <w:sz w:val="18"/>
          <w:szCs w:val="18"/>
        </w:rPr>
        <w:t>k</w:t>
      </w:r>
      <w:r w:rsidRPr="0042579D">
        <w:rPr>
          <w:rFonts w:ascii="Cambria" w:eastAsia="Calibri" w:hAnsi="Cambria" w:cs="Calibri"/>
          <w:spacing w:val="-2"/>
          <w:sz w:val="18"/>
          <w:szCs w:val="18"/>
        </w:rPr>
        <w:t xml:space="preserve"> </w:t>
      </w:r>
      <w:r w:rsidRPr="0042579D">
        <w:rPr>
          <w:rFonts w:ascii="Cambria" w:eastAsia="Calibri" w:hAnsi="Cambria" w:cs="Calibri"/>
          <w:spacing w:val="1"/>
          <w:sz w:val="18"/>
          <w:szCs w:val="18"/>
        </w:rPr>
        <w:t>ph</w:t>
      </w:r>
      <w:r w:rsidRPr="0042579D">
        <w:rPr>
          <w:rFonts w:ascii="Cambria" w:eastAsia="Calibri" w:hAnsi="Cambria" w:cs="Calibri"/>
          <w:sz w:val="18"/>
          <w:szCs w:val="18"/>
        </w:rPr>
        <w:t>ra</w:t>
      </w:r>
      <w:r w:rsidRPr="0042579D">
        <w:rPr>
          <w:rFonts w:ascii="Cambria" w:eastAsia="Calibri" w:hAnsi="Cambria" w:cs="Calibri"/>
          <w:spacing w:val="-1"/>
          <w:sz w:val="18"/>
          <w:szCs w:val="18"/>
        </w:rPr>
        <w:t>s</w:t>
      </w:r>
      <w:r w:rsidRPr="0042579D">
        <w:rPr>
          <w:rFonts w:ascii="Cambria" w:eastAsia="Calibri" w:hAnsi="Cambria" w:cs="Calibri"/>
          <w:sz w:val="18"/>
          <w:szCs w:val="18"/>
        </w:rPr>
        <w:t>e</w:t>
      </w:r>
      <w:r w:rsidRPr="0042579D">
        <w:rPr>
          <w:rFonts w:ascii="Cambria" w:eastAsia="Calibri" w:hAnsi="Cambria" w:cs="Calibri"/>
          <w:spacing w:val="-7"/>
          <w:sz w:val="18"/>
          <w:szCs w:val="18"/>
        </w:rPr>
        <w:t xml:space="preserve"> </w:t>
      </w:r>
      <w:r w:rsidRPr="0042579D">
        <w:rPr>
          <w:rFonts w:ascii="Cambria" w:eastAsia="Calibri" w:hAnsi="Cambria" w:cs="Calibri"/>
          <w:spacing w:val="1"/>
          <w:sz w:val="18"/>
          <w:szCs w:val="18"/>
        </w:rPr>
        <w:t>th</w:t>
      </w:r>
      <w:r w:rsidRPr="0042579D">
        <w:rPr>
          <w:rFonts w:ascii="Cambria" w:eastAsia="Calibri" w:hAnsi="Cambria" w:cs="Calibri"/>
          <w:sz w:val="18"/>
          <w:szCs w:val="18"/>
        </w:rPr>
        <w:t>at</w:t>
      </w:r>
      <w:r w:rsidRPr="0042579D">
        <w:rPr>
          <w:rFonts w:ascii="Cambria" w:eastAsia="Calibri" w:hAnsi="Cambria" w:cs="Calibri"/>
          <w:spacing w:val="-2"/>
          <w:sz w:val="18"/>
          <w:szCs w:val="18"/>
        </w:rPr>
        <w:t xml:space="preserve"> </w:t>
      </w:r>
      <w:r w:rsidRPr="0042579D">
        <w:rPr>
          <w:rFonts w:ascii="Cambria" w:eastAsia="Calibri" w:hAnsi="Cambria" w:cs="Calibri"/>
          <w:sz w:val="18"/>
          <w:szCs w:val="18"/>
        </w:rPr>
        <w:t>is</w:t>
      </w:r>
      <w:r w:rsidRPr="0042579D">
        <w:rPr>
          <w:rFonts w:ascii="Cambria" w:eastAsia="Calibri" w:hAnsi="Cambria" w:cs="Calibri"/>
          <w:spacing w:val="-2"/>
          <w:sz w:val="18"/>
          <w:szCs w:val="18"/>
        </w:rPr>
        <w:t xml:space="preserve"> </w:t>
      </w:r>
      <w:r w:rsidRPr="0042579D">
        <w:rPr>
          <w:rFonts w:ascii="Cambria" w:eastAsia="Calibri" w:hAnsi="Cambria" w:cs="Calibri"/>
          <w:sz w:val="18"/>
          <w:szCs w:val="18"/>
        </w:rPr>
        <w:t>s</w:t>
      </w:r>
      <w:r w:rsidRPr="0042579D">
        <w:rPr>
          <w:rFonts w:ascii="Cambria" w:eastAsia="Calibri" w:hAnsi="Cambria" w:cs="Calibri"/>
          <w:spacing w:val="2"/>
          <w:sz w:val="18"/>
          <w:szCs w:val="18"/>
        </w:rPr>
        <w:t>o</w:t>
      </w:r>
      <w:r w:rsidRPr="0042579D">
        <w:rPr>
          <w:rFonts w:ascii="Cambria" w:eastAsia="Calibri" w:hAnsi="Cambria" w:cs="Calibri"/>
          <w:spacing w:val="-1"/>
          <w:sz w:val="18"/>
          <w:szCs w:val="18"/>
        </w:rPr>
        <w:t>me</w:t>
      </w:r>
      <w:r w:rsidRPr="0042579D">
        <w:rPr>
          <w:rFonts w:ascii="Cambria" w:eastAsia="Calibri" w:hAnsi="Cambria" w:cs="Calibri"/>
          <w:sz w:val="18"/>
          <w:szCs w:val="18"/>
        </w:rPr>
        <w:t>t</w:t>
      </w:r>
      <w:r w:rsidRPr="0042579D">
        <w:rPr>
          <w:rFonts w:ascii="Cambria" w:eastAsia="Calibri" w:hAnsi="Cambria" w:cs="Calibri"/>
          <w:spacing w:val="2"/>
          <w:sz w:val="18"/>
          <w:szCs w:val="18"/>
        </w:rPr>
        <w:t>i</w:t>
      </w:r>
      <w:r w:rsidRPr="0042579D">
        <w:rPr>
          <w:rFonts w:ascii="Cambria" w:eastAsia="Calibri" w:hAnsi="Cambria" w:cs="Calibri"/>
          <w:spacing w:val="-1"/>
          <w:sz w:val="18"/>
          <w:szCs w:val="18"/>
        </w:rPr>
        <w:t>m</w:t>
      </w:r>
      <w:r w:rsidRPr="0042579D">
        <w:rPr>
          <w:rFonts w:ascii="Cambria" w:eastAsia="Calibri" w:hAnsi="Cambria" w:cs="Calibri"/>
          <w:spacing w:val="1"/>
          <w:sz w:val="18"/>
          <w:szCs w:val="18"/>
        </w:rPr>
        <w:t>e</w:t>
      </w:r>
      <w:r w:rsidRPr="0042579D">
        <w:rPr>
          <w:rFonts w:ascii="Cambria" w:eastAsia="Calibri" w:hAnsi="Cambria" w:cs="Calibri"/>
          <w:sz w:val="18"/>
          <w:szCs w:val="18"/>
        </w:rPr>
        <w:t>s</w:t>
      </w:r>
      <w:r w:rsidRPr="0042579D">
        <w:rPr>
          <w:rFonts w:ascii="Cambria" w:eastAsia="Calibri" w:hAnsi="Cambria" w:cs="Calibri"/>
          <w:spacing w:val="-10"/>
          <w:sz w:val="18"/>
          <w:szCs w:val="18"/>
        </w:rPr>
        <w:t xml:space="preserve"> </w:t>
      </w:r>
      <w:r w:rsidRPr="0042579D">
        <w:rPr>
          <w:rFonts w:ascii="Cambria" w:eastAsia="Calibri" w:hAnsi="Cambria" w:cs="Calibri"/>
          <w:sz w:val="18"/>
          <w:szCs w:val="18"/>
        </w:rPr>
        <w:t>r</w:t>
      </w:r>
      <w:r w:rsidRPr="0042579D">
        <w:rPr>
          <w:rFonts w:ascii="Cambria" w:eastAsia="Calibri" w:hAnsi="Cambria" w:cs="Calibri"/>
          <w:spacing w:val="-1"/>
          <w:sz w:val="18"/>
          <w:szCs w:val="18"/>
        </w:rPr>
        <w:t>e</w:t>
      </w:r>
      <w:r w:rsidRPr="0042579D">
        <w:rPr>
          <w:rFonts w:ascii="Cambria" w:eastAsia="Calibri" w:hAnsi="Cambria" w:cs="Calibri"/>
          <w:spacing w:val="3"/>
          <w:sz w:val="18"/>
          <w:szCs w:val="18"/>
        </w:rPr>
        <w:t>n</w:t>
      </w:r>
      <w:r w:rsidRPr="0042579D">
        <w:rPr>
          <w:rFonts w:ascii="Cambria" w:eastAsia="Calibri" w:hAnsi="Cambria" w:cs="Calibri"/>
          <w:spacing w:val="1"/>
          <w:sz w:val="18"/>
          <w:szCs w:val="18"/>
        </w:rPr>
        <w:t>d</w:t>
      </w:r>
      <w:r w:rsidRPr="0042579D">
        <w:rPr>
          <w:rFonts w:ascii="Cambria" w:eastAsia="Calibri" w:hAnsi="Cambria" w:cs="Calibri"/>
          <w:spacing w:val="-1"/>
          <w:sz w:val="18"/>
          <w:szCs w:val="18"/>
        </w:rPr>
        <w:t>e</w:t>
      </w:r>
      <w:r w:rsidRPr="0042579D">
        <w:rPr>
          <w:rFonts w:ascii="Cambria" w:eastAsia="Calibri" w:hAnsi="Cambria" w:cs="Calibri"/>
          <w:sz w:val="18"/>
          <w:szCs w:val="18"/>
        </w:rPr>
        <w:t>r</w:t>
      </w:r>
      <w:r w:rsidRPr="0042579D">
        <w:rPr>
          <w:rFonts w:ascii="Cambria" w:eastAsia="Calibri" w:hAnsi="Cambria" w:cs="Calibri"/>
          <w:spacing w:val="-1"/>
          <w:sz w:val="18"/>
          <w:szCs w:val="18"/>
        </w:rPr>
        <w:t>e</w:t>
      </w:r>
      <w:r w:rsidRPr="0042579D">
        <w:rPr>
          <w:rFonts w:ascii="Cambria" w:eastAsia="Calibri" w:hAnsi="Cambria" w:cs="Calibri"/>
          <w:sz w:val="18"/>
          <w:szCs w:val="18"/>
        </w:rPr>
        <w:t>d</w:t>
      </w:r>
      <w:r w:rsidRPr="0042579D">
        <w:rPr>
          <w:rFonts w:ascii="Cambria" w:eastAsia="Calibri" w:hAnsi="Cambria" w:cs="Calibri"/>
          <w:spacing w:val="-7"/>
          <w:sz w:val="18"/>
          <w:szCs w:val="18"/>
        </w:rPr>
        <w:t xml:space="preserve"> </w:t>
      </w:r>
      <w:r w:rsidRPr="0042579D">
        <w:rPr>
          <w:rFonts w:ascii="Cambria" w:eastAsia="Calibri" w:hAnsi="Cambria" w:cs="Calibri"/>
          <w:spacing w:val="1"/>
          <w:sz w:val="18"/>
          <w:szCs w:val="18"/>
        </w:rPr>
        <w:t>“</w:t>
      </w:r>
      <w:r w:rsidRPr="0042579D">
        <w:rPr>
          <w:rFonts w:ascii="Cambria" w:eastAsia="Calibri" w:hAnsi="Cambria" w:cs="Calibri"/>
          <w:spacing w:val="-1"/>
          <w:sz w:val="18"/>
          <w:szCs w:val="18"/>
        </w:rPr>
        <w:t>we</w:t>
      </w:r>
      <w:r w:rsidRPr="0042579D">
        <w:rPr>
          <w:rFonts w:ascii="Cambria" w:eastAsia="Calibri" w:hAnsi="Cambria" w:cs="Calibri"/>
          <w:spacing w:val="2"/>
          <w:sz w:val="18"/>
          <w:szCs w:val="18"/>
        </w:rPr>
        <w:t>l</w:t>
      </w:r>
      <w:r w:rsidRPr="0042579D">
        <w:rPr>
          <w:rFonts w:ascii="Cambria" w:eastAsia="Calibri" w:hAnsi="Cambria" w:cs="Calibri"/>
          <w:sz w:val="18"/>
          <w:szCs w:val="18"/>
        </w:rPr>
        <w:t>l k</w:t>
      </w:r>
      <w:r w:rsidRPr="0042579D">
        <w:rPr>
          <w:rFonts w:ascii="Cambria" w:eastAsia="Calibri" w:hAnsi="Cambria" w:cs="Calibri"/>
          <w:spacing w:val="1"/>
          <w:sz w:val="18"/>
          <w:szCs w:val="18"/>
        </w:rPr>
        <w:t>n</w:t>
      </w:r>
      <w:r w:rsidRPr="0042579D">
        <w:rPr>
          <w:rFonts w:ascii="Cambria" w:eastAsia="Calibri" w:hAnsi="Cambria" w:cs="Calibri"/>
          <w:sz w:val="18"/>
          <w:szCs w:val="18"/>
        </w:rPr>
        <w:t>o</w:t>
      </w:r>
      <w:r w:rsidRPr="0042579D">
        <w:rPr>
          <w:rFonts w:ascii="Cambria" w:eastAsia="Calibri" w:hAnsi="Cambria" w:cs="Calibri"/>
          <w:spacing w:val="-1"/>
          <w:sz w:val="18"/>
          <w:szCs w:val="18"/>
        </w:rPr>
        <w:t>w</w:t>
      </w:r>
      <w:r w:rsidRPr="0042579D">
        <w:rPr>
          <w:rFonts w:ascii="Cambria" w:eastAsia="Calibri" w:hAnsi="Cambria" w:cs="Calibri"/>
          <w:sz w:val="18"/>
          <w:szCs w:val="18"/>
        </w:rPr>
        <w:t>n</w:t>
      </w:r>
      <w:r w:rsidRPr="0042579D">
        <w:rPr>
          <w:rFonts w:ascii="Cambria" w:eastAsia="Calibri" w:hAnsi="Cambria" w:cs="Calibri"/>
          <w:spacing w:val="-4"/>
          <w:sz w:val="18"/>
          <w:szCs w:val="18"/>
        </w:rPr>
        <w:t xml:space="preserve"> </w:t>
      </w:r>
      <w:r w:rsidRPr="0042579D">
        <w:rPr>
          <w:rFonts w:ascii="Cambria" w:eastAsia="Calibri" w:hAnsi="Cambria" w:cs="Calibri"/>
          <w:spacing w:val="1"/>
          <w:sz w:val="18"/>
          <w:szCs w:val="18"/>
        </w:rPr>
        <w:t>a</w:t>
      </w:r>
      <w:r w:rsidRPr="0042579D">
        <w:rPr>
          <w:rFonts w:ascii="Cambria" w:eastAsia="Calibri" w:hAnsi="Cambria" w:cs="Calibri"/>
          <w:spacing w:val="-1"/>
          <w:sz w:val="18"/>
          <w:szCs w:val="18"/>
        </w:rPr>
        <w:t>m</w:t>
      </w:r>
      <w:r w:rsidRPr="0042579D">
        <w:rPr>
          <w:rFonts w:ascii="Cambria" w:eastAsia="Calibri" w:hAnsi="Cambria" w:cs="Calibri"/>
          <w:sz w:val="18"/>
          <w:szCs w:val="18"/>
        </w:rPr>
        <w:t>o</w:t>
      </w:r>
      <w:r w:rsidRPr="0042579D">
        <w:rPr>
          <w:rFonts w:ascii="Cambria" w:eastAsia="Calibri" w:hAnsi="Cambria" w:cs="Calibri"/>
          <w:spacing w:val="1"/>
          <w:sz w:val="18"/>
          <w:szCs w:val="18"/>
        </w:rPr>
        <w:t>n</w:t>
      </w:r>
      <w:r w:rsidRPr="0042579D">
        <w:rPr>
          <w:rFonts w:ascii="Cambria" w:eastAsia="Calibri" w:hAnsi="Cambria" w:cs="Calibri"/>
          <w:sz w:val="18"/>
          <w:szCs w:val="18"/>
        </w:rPr>
        <w:t>g</w:t>
      </w:r>
      <w:r w:rsidRPr="0042579D">
        <w:rPr>
          <w:rFonts w:ascii="Cambria" w:eastAsia="Calibri" w:hAnsi="Cambria" w:cs="Calibri"/>
          <w:spacing w:val="-6"/>
          <w:sz w:val="18"/>
          <w:szCs w:val="18"/>
        </w:rPr>
        <w:t xml:space="preserve"> </w:t>
      </w:r>
      <w:r w:rsidRPr="0042579D">
        <w:rPr>
          <w:rFonts w:ascii="Cambria" w:eastAsia="Calibri" w:hAnsi="Cambria" w:cs="Calibri"/>
          <w:spacing w:val="1"/>
          <w:sz w:val="18"/>
          <w:szCs w:val="18"/>
        </w:rPr>
        <w:t>th</w:t>
      </w:r>
      <w:r w:rsidRPr="0042579D">
        <w:rPr>
          <w:rFonts w:ascii="Cambria" w:eastAsia="Calibri" w:hAnsi="Cambria" w:cs="Calibri"/>
          <w:sz w:val="18"/>
          <w:szCs w:val="18"/>
        </w:rPr>
        <w:t>e</w:t>
      </w:r>
      <w:r w:rsidRPr="0042579D">
        <w:rPr>
          <w:rFonts w:ascii="Cambria" w:eastAsia="Calibri" w:hAnsi="Cambria" w:cs="Calibri"/>
          <w:spacing w:val="-4"/>
          <w:sz w:val="18"/>
          <w:szCs w:val="18"/>
        </w:rPr>
        <w:t xml:space="preserve"> </w:t>
      </w:r>
      <w:r w:rsidRPr="0042579D">
        <w:rPr>
          <w:rFonts w:ascii="Cambria" w:eastAsia="Calibri" w:hAnsi="Cambria" w:cs="Calibri"/>
          <w:sz w:val="18"/>
          <w:szCs w:val="18"/>
        </w:rPr>
        <w:t>A</w:t>
      </w:r>
      <w:r w:rsidRPr="0042579D">
        <w:rPr>
          <w:rFonts w:ascii="Cambria" w:eastAsia="Calibri" w:hAnsi="Cambria" w:cs="Calibri"/>
          <w:spacing w:val="1"/>
          <w:sz w:val="18"/>
          <w:szCs w:val="18"/>
        </w:rPr>
        <w:t>p</w:t>
      </w:r>
      <w:r w:rsidRPr="0042579D">
        <w:rPr>
          <w:rFonts w:ascii="Cambria" w:eastAsia="Calibri" w:hAnsi="Cambria" w:cs="Calibri"/>
          <w:sz w:val="18"/>
          <w:szCs w:val="18"/>
        </w:rPr>
        <w:t>o</w:t>
      </w:r>
      <w:r w:rsidRPr="0042579D">
        <w:rPr>
          <w:rFonts w:ascii="Cambria" w:eastAsia="Calibri" w:hAnsi="Cambria" w:cs="Calibri"/>
          <w:spacing w:val="-1"/>
          <w:sz w:val="18"/>
          <w:szCs w:val="18"/>
        </w:rPr>
        <w:t>s</w:t>
      </w:r>
      <w:r w:rsidRPr="0042579D">
        <w:rPr>
          <w:rFonts w:ascii="Cambria" w:eastAsia="Calibri" w:hAnsi="Cambria" w:cs="Calibri"/>
          <w:sz w:val="18"/>
          <w:szCs w:val="18"/>
        </w:rPr>
        <w:t>tl</w:t>
      </w:r>
      <w:r w:rsidRPr="0042579D">
        <w:rPr>
          <w:rFonts w:ascii="Cambria" w:eastAsia="Calibri" w:hAnsi="Cambria" w:cs="Calibri"/>
          <w:spacing w:val="2"/>
          <w:sz w:val="18"/>
          <w:szCs w:val="18"/>
        </w:rPr>
        <w:t>e</w:t>
      </w:r>
      <w:r w:rsidRPr="0042579D">
        <w:rPr>
          <w:rFonts w:ascii="Cambria" w:eastAsia="Calibri" w:hAnsi="Cambria" w:cs="Calibri"/>
          <w:spacing w:val="-1"/>
          <w:sz w:val="18"/>
          <w:szCs w:val="18"/>
        </w:rPr>
        <w:t>s</w:t>
      </w:r>
      <w:r w:rsidRPr="0042579D">
        <w:rPr>
          <w:rFonts w:ascii="Cambria" w:eastAsia="Calibri" w:hAnsi="Cambria" w:cs="Calibri"/>
          <w:sz w:val="18"/>
          <w:szCs w:val="18"/>
        </w:rPr>
        <w:t>”</w:t>
      </w:r>
      <w:r w:rsidRPr="0042579D">
        <w:rPr>
          <w:rFonts w:ascii="Cambria" w:eastAsia="Calibri" w:hAnsi="Cambria" w:cs="Calibri"/>
          <w:spacing w:val="-8"/>
          <w:sz w:val="18"/>
          <w:szCs w:val="18"/>
        </w:rPr>
        <w:t xml:space="preserve"> </w:t>
      </w:r>
      <w:r w:rsidRPr="0042579D">
        <w:rPr>
          <w:rFonts w:ascii="Cambria" w:eastAsia="Calibri" w:hAnsi="Cambria" w:cs="Calibri"/>
          <w:spacing w:val="3"/>
          <w:sz w:val="18"/>
          <w:szCs w:val="18"/>
        </w:rPr>
        <w:t>c</w:t>
      </w:r>
      <w:r w:rsidRPr="0042579D">
        <w:rPr>
          <w:rFonts w:ascii="Cambria" w:eastAsia="Calibri" w:hAnsi="Cambria" w:cs="Calibri"/>
          <w:sz w:val="18"/>
          <w:szCs w:val="18"/>
        </w:rPr>
        <w:t>an</w:t>
      </w:r>
      <w:r w:rsidRPr="0042579D">
        <w:rPr>
          <w:rFonts w:ascii="Cambria" w:eastAsia="Calibri" w:hAnsi="Cambria" w:cs="Calibri"/>
          <w:spacing w:val="-2"/>
          <w:sz w:val="18"/>
          <w:szCs w:val="18"/>
        </w:rPr>
        <w:t xml:space="preserve"> </w:t>
      </w:r>
      <w:r w:rsidRPr="0042579D">
        <w:rPr>
          <w:rFonts w:ascii="Cambria" w:eastAsia="Calibri" w:hAnsi="Cambria" w:cs="Calibri"/>
          <w:spacing w:val="1"/>
          <w:sz w:val="18"/>
          <w:szCs w:val="18"/>
        </w:rPr>
        <w:t>ju</w:t>
      </w:r>
      <w:r w:rsidRPr="0042579D">
        <w:rPr>
          <w:rFonts w:ascii="Cambria" w:eastAsia="Calibri" w:hAnsi="Cambria" w:cs="Calibri"/>
          <w:spacing w:val="-1"/>
          <w:sz w:val="18"/>
          <w:szCs w:val="18"/>
        </w:rPr>
        <w:t>s</w:t>
      </w:r>
      <w:r w:rsidRPr="0042579D">
        <w:rPr>
          <w:rFonts w:ascii="Cambria" w:eastAsia="Calibri" w:hAnsi="Cambria" w:cs="Calibri"/>
          <w:sz w:val="18"/>
          <w:szCs w:val="18"/>
        </w:rPr>
        <w:t>t</w:t>
      </w:r>
      <w:r w:rsidRPr="0042579D">
        <w:rPr>
          <w:rFonts w:ascii="Cambria" w:eastAsia="Calibri" w:hAnsi="Cambria" w:cs="Calibri"/>
          <w:spacing w:val="-2"/>
          <w:sz w:val="18"/>
          <w:szCs w:val="18"/>
        </w:rPr>
        <w:t xml:space="preserve"> </w:t>
      </w:r>
      <w:r w:rsidRPr="0042579D">
        <w:rPr>
          <w:rFonts w:ascii="Cambria" w:eastAsia="Calibri" w:hAnsi="Cambria" w:cs="Calibri"/>
          <w:sz w:val="18"/>
          <w:szCs w:val="18"/>
        </w:rPr>
        <w:t>as</w:t>
      </w:r>
      <w:r w:rsidRPr="0042579D">
        <w:rPr>
          <w:rFonts w:ascii="Cambria" w:eastAsia="Calibri" w:hAnsi="Cambria" w:cs="Calibri"/>
          <w:spacing w:val="-2"/>
          <w:sz w:val="18"/>
          <w:szCs w:val="18"/>
        </w:rPr>
        <w:t xml:space="preserve"> </w:t>
      </w:r>
      <w:r w:rsidRPr="0042579D">
        <w:rPr>
          <w:rFonts w:ascii="Cambria" w:eastAsia="Calibri" w:hAnsi="Cambria" w:cs="Calibri"/>
          <w:spacing w:val="-1"/>
          <w:sz w:val="18"/>
          <w:szCs w:val="18"/>
        </w:rPr>
        <w:t>e</w:t>
      </w:r>
      <w:r w:rsidRPr="0042579D">
        <w:rPr>
          <w:rFonts w:ascii="Cambria" w:eastAsia="Calibri" w:hAnsi="Cambria" w:cs="Calibri"/>
          <w:sz w:val="18"/>
          <w:szCs w:val="18"/>
        </w:rPr>
        <w:t>as</w:t>
      </w:r>
      <w:r w:rsidRPr="0042579D">
        <w:rPr>
          <w:rFonts w:ascii="Cambria" w:eastAsia="Calibri" w:hAnsi="Cambria" w:cs="Calibri"/>
          <w:spacing w:val="-1"/>
          <w:sz w:val="18"/>
          <w:szCs w:val="18"/>
        </w:rPr>
        <w:t>i</w:t>
      </w:r>
      <w:r w:rsidRPr="0042579D">
        <w:rPr>
          <w:rFonts w:ascii="Cambria" w:eastAsia="Calibri" w:hAnsi="Cambria" w:cs="Calibri"/>
          <w:sz w:val="18"/>
          <w:szCs w:val="18"/>
        </w:rPr>
        <w:t>ly</w:t>
      </w:r>
      <w:r w:rsidRPr="0042579D">
        <w:rPr>
          <w:rFonts w:ascii="Cambria" w:eastAsia="Calibri" w:hAnsi="Cambria" w:cs="Calibri"/>
          <w:spacing w:val="-5"/>
          <w:sz w:val="18"/>
          <w:szCs w:val="18"/>
        </w:rPr>
        <w:t xml:space="preserve"> </w:t>
      </w:r>
      <w:r w:rsidRPr="0042579D">
        <w:rPr>
          <w:rFonts w:ascii="Cambria" w:eastAsia="Calibri" w:hAnsi="Cambria" w:cs="Calibri"/>
          <w:spacing w:val="1"/>
          <w:sz w:val="18"/>
          <w:szCs w:val="18"/>
        </w:rPr>
        <w:t>b</w:t>
      </w:r>
      <w:r w:rsidRPr="0042579D">
        <w:rPr>
          <w:rFonts w:ascii="Cambria" w:eastAsia="Calibri" w:hAnsi="Cambria" w:cs="Calibri"/>
          <w:sz w:val="18"/>
          <w:szCs w:val="18"/>
        </w:rPr>
        <w:t>e</w:t>
      </w:r>
      <w:r w:rsidRPr="0042579D">
        <w:rPr>
          <w:rFonts w:ascii="Cambria" w:eastAsia="Calibri" w:hAnsi="Cambria" w:cs="Calibri"/>
          <w:spacing w:val="-3"/>
          <w:sz w:val="18"/>
          <w:szCs w:val="18"/>
        </w:rPr>
        <w:t xml:space="preserve"> </w:t>
      </w:r>
      <w:r w:rsidRPr="0042579D">
        <w:rPr>
          <w:rFonts w:ascii="Cambria" w:eastAsia="Calibri" w:hAnsi="Cambria" w:cs="Calibri"/>
          <w:spacing w:val="1"/>
          <w:sz w:val="18"/>
          <w:szCs w:val="18"/>
        </w:rPr>
        <w:t>t</w:t>
      </w:r>
      <w:r w:rsidRPr="0042579D">
        <w:rPr>
          <w:rFonts w:ascii="Cambria" w:eastAsia="Calibri" w:hAnsi="Cambria" w:cs="Calibri"/>
          <w:sz w:val="18"/>
          <w:szCs w:val="18"/>
        </w:rPr>
        <w:t>ra</w:t>
      </w:r>
      <w:r w:rsidRPr="0042579D">
        <w:rPr>
          <w:rFonts w:ascii="Cambria" w:eastAsia="Calibri" w:hAnsi="Cambria" w:cs="Calibri"/>
          <w:spacing w:val="1"/>
          <w:sz w:val="18"/>
          <w:szCs w:val="18"/>
        </w:rPr>
        <w:t>n</w:t>
      </w:r>
      <w:r w:rsidRPr="0042579D">
        <w:rPr>
          <w:rFonts w:ascii="Cambria" w:eastAsia="Calibri" w:hAnsi="Cambria" w:cs="Calibri"/>
          <w:spacing w:val="-1"/>
          <w:sz w:val="18"/>
          <w:szCs w:val="18"/>
        </w:rPr>
        <w:t>s</w:t>
      </w:r>
      <w:r w:rsidRPr="0042579D">
        <w:rPr>
          <w:rFonts w:ascii="Cambria" w:eastAsia="Calibri" w:hAnsi="Cambria" w:cs="Calibri"/>
          <w:sz w:val="18"/>
          <w:szCs w:val="18"/>
        </w:rPr>
        <w:t>la</w:t>
      </w:r>
      <w:r w:rsidRPr="0042579D">
        <w:rPr>
          <w:rFonts w:ascii="Cambria" w:eastAsia="Calibri" w:hAnsi="Cambria" w:cs="Calibri"/>
          <w:spacing w:val="3"/>
          <w:sz w:val="18"/>
          <w:szCs w:val="18"/>
        </w:rPr>
        <w:t>t</w:t>
      </w:r>
      <w:r w:rsidRPr="0042579D">
        <w:rPr>
          <w:rFonts w:ascii="Cambria" w:eastAsia="Calibri" w:hAnsi="Cambria" w:cs="Calibri"/>
          <w:spacing w:val="-1"/>
          <w:sz w:val="18"/>
          <w:szCs w:val="18"/>
        </w:rPr>
        <w:t>e</w:t>
      </w:r>
      <w:r w:rsidRPr="0042579D">
        <w:rPr>
          <w:rFonts w:ascii="Cambria" w:eastAsia="Calibri" w:hAnsi="Cambria" w:cs="Calibri"/>
          <w:sz w:val="18"/>
          <w:szCs w:val="18"/>
        </w:rPr>
        <w:t>d</w:t>
      </w:r>
      <w:r w:rsidRPr="0042579D">
        <w:rPr>
          <w:rFonts w:ascii="Cambria" w:eastAsia="Calibri" w:hAnsi="Cambria" w:cs="Calibri"/>
          <w:spacing w:val="-7"/>
          <w:sz w:val="18"/>
          <w:szCs w:val="18"/>
        </w:rPr>
        <w:t xml:space="preserve"> </w:t>
      </w:r>
      <w:r w:rsidRPr="0042579D">
        <w:rPr>
          <w:rFonts w:ascii="Cambria" w:eastAsia="Calibri" w:hAnsi="Cambria" w:cs="Calibri"/>
          <w:spacing w:val="1"/>
          <w:sz w:val="18"/>
          <w:szCs w:val="18"/>
        </w:rPr>
        <w:t>“</w:t>
      </w:r>
      <w:r w:rsidRPr="0042579D">
        <w:rPr>
          <w:rFonts w:ascii="Cambria" w:eastAsia="Calibri" w:hAnsi="Cambria" w:cs="Calibri"/>
          <w:spacing w:val="-1"/>
          <w:sz w:val="18"/>
          <w:szCs w:val="18"/>
        </w:rPr>
        <w:t>we</w:t>
      </w:r>
      <w:r w:rsidRPr="0042579D">
        <w:rPr>
          <w:rFonts w:ascii="Cambria" w:eastAsia="Calibri" w:hAnsi="Cambria" w:cs="Calibri"/>
          <w:sz w:val="18"/>
          <w:szCs w:val="18"/>
        </w:rPr>
        <w:t>ll</w:t>
      </w:r>
      <w:r w:rsidRPr="0042579D">
        <w:rPr>
          <w:rFonts w:ascii="Cambria" w:eastAsia="Calibri" w:hAnsi="Cambria" w:cs="Calibri"/>
          <w:spacing w:val="-3"/>
          <w:sz w:val="18"/>
          <w:szCs w:val="18"/>
        </w:rPr>
        <w:t xml:space="preserve"> </w:t>
      </w:r>
      <w:r w:rsidRPr="0042579D">
        <w:rPr>
          <w:rFonts w:ascii="Cambria" w:eastAsia="Calibri" w:hAnsi="Cambria" w:cs="Calibri"/>
          <w:spacing w:val="1"/>
          <w:sz w:val="18"/>
          <w:szCs w:val="18"/>
        </w:rPr>
        <w:t>kn</w:t>
      </w:r>
      <w:r w:rsidRPr="0042579D">
        <w:rPr>
          <w:rFonts w:ascii="Cambria" w:eastAsia="Calibri" w:hAnsi="Cambria" w:cs="Calibri"/>
          <w:sz w:val="18"/>
          <w:szCs w:val="18"/>
        </w:rPr>
        <w:t>o</w:t>
      </w:r>
      <w:r w:rsidRPr="0042579D">
        <w:rPr>
          <w:rFonts w:ascii="Cambria" w:eastAsia="Calibri" w:hAnsi="Cambria" w:cs="Calibri"/>
          <w:spacing w:val="-1"/>
          <w:sz w:val="18"/>
          <w:szCs w:val="18"/>
        </w:rPr>
        <w:t>w</w:t>
      </w:r>
      <w:r w:rsidRPr="0042579D">
        <w:rPr>
          <w:rFonts w:ascii="Cambria" w:eastAsia="Calibri" w:hAnsi="Cambria" w:cs="Calibri"/>
          <w:sz w:val="18"/>
          <w:szCs w:val="18"/>
        </w:rPr>
        <w:t>n</w:t>
      </w:r>
      <w:r w:rsidRPr="0042579D">
        <w:rPr>
          <w:rFonts w:ascii="Cambria" w:eastAsia="Calibri" w:hAnsi="Cambria" w:cs="Calibri"/>
          <w:spacing w:val="-4"/>
          <w:sz w:val="18"/>
          <w:szCs w:val="18"/>
        </w:rPr>
        <w:t xml:space="preserve"> </w:t>
      </w:r>
      <w:r w:rsidRPr="0042579D">
        <w:rPr>
          <w:rFonts w:ascii="Cambria" w:eastAsia="Calibri" w:hAnsi="Cambria" w:cs="Calibri"/>
          <w:spacing w:val="1"/>
          <w:sz w:val="18"/>
          <w:szCs w:val="18"/>
        </w:rPr>
        <w:t>t</w:t>
      </w:r>
      <w:r w:rsidRPr="0042579D">
        <w:rPr>
          <w:rFonts w:ascii="Cambria" w:eastAsia="Calibri" w:hAnsi="Cambria" w:cs="Calibri"/>
          <w:sz w:val="18"/>
          <w:szCs w:val="18"/>
        </w:rPr>
        <w:t>o</w:t>
      </w:r>
      <w:r w:rsidRPr="0042579D">
        <w:rPr>
          <w:rFonts w:ascii="Cambria" w:eastAsia="Calibri" w:hAnsi="Cambria" w:cs="Calibri"/>
          <w:spacing w:val="-2"/>
          <w:sz w:val="18"/>
          <w:szCs w:val="18"/>
        </w:rPr>
        <w:t xml:space="preserve"> </w:t>
      </w:r>
      <w:r w:rsidRPr="0042579D">
        <w:rPr>
          <w:rFonts w:ascii="Cambria" w:eastAsia="Calibri" w:hAnsi="Cambria" w:cs="Calibri"/>
          <w:spacing w:val="1"/>
          <w:sz w:val="18"/>
          <w:szCs w:val="18"/>
        </w:rPr>
        <w:t>th</w:t>
      </w:r>
      <w:r w:rsidRPr="0042579D">
        <w:rPr>
          <w:rFonts w:ascii="Cambria" w:eastAsia="Calibri" w:hAnsi="Cambria" w:cs="Calibri"/>
          <w:sz w:val="18"/>
          <w:szCs w:val="18"/>
        </w:rPr>
        <w:t>e</w:t>
      </w:r>
      <w:r w:rsidRPr="0042579D">
        <w:rPr>
          <w:rFonts w:ascii="Cambria" w:eastAsia="Calibri" w:hAnsi="Cambria" w:cs="Calibri"/>
          <w:spacing w:val="-4"/>
          <w:sz w:val="18"/>
          <w:szCs w:val="18"/>
        </w:rPr>
        <w:t xml:space="preserve"> </w:t>
      </w:r>
      <w:r w:rsidRPr="0042579D">
        <w:rPr>
          <w:rFonts w:ascii="Cambria" w:eastAsia="Calibri" w:hAnsi="Cambria" w:cs="Calibri"/>
          <w:sz w:val="18"/>
          <w:szCs w:val="18"/>
        </w:rPr>
        <w:t>A</w:t>
      </w:r>
      <w:r w:rsidRPr="0042579D">
        <w:rPr>
          <w:rFonts w:ascii="Cambria" w:eastAsia="Calibri" w:hAnsi="Cambria" w:cs="Calibri"/>
          <w:spacing w:val="1"/>
          <w:sz w:val="18"/>
          <w:szCs w:val="18"/>
        </w:rPr>
        <w:t>p</w:t>
      </w:r>
      <w:r w:rsidRPr="0042579D">
        <w:rPr>
          <w:rFonts w:ascii="Cambria" w:eastAsia="Calibri" w:hAnsi="Cambria" w:cs="Calibri"/>
          <w:sz w:val="18"/>
          <w:szCs w:val="18"/>
        </w:rPr>
        <w:t>o</w:t>
      </w:r>
      <w:r w:rsidRPr="0042579D">
        <w:rPr>
          <w:rFonts w:ascii="Cambria" w:eastAsia="Calibri" w:hAnsi="Cambria" w:cs="Calibri"/>
          <w:spacing w:val="-1"/>
          <w:sz w:val="18"/>
          <w:szCs w:val="18"/>
        </w:rPr>
        <w:t>s</w:t>
      </w:r>
      <w:r w:rsidRPr="0042579D">
        <w:rPr>
          <w:rFonts w:ascii="Cambria" w:eastAsia="Calibri" w:hAnsi="Cambria" w:cs="Calibri"/>
          <w:sz w:val="18"/>
          <w:szCs w:val="18"/>
        </w:rPr>
        <w:t>t</w:t>
      </w:r>
      <w:r w:rsidRPr="0042579D">
        <w:rPr>
          <w:rFonts w:ascii="Cambria" w:eastAsia="Calibri" w:hAnsi="Cambria" w:cs="Calibri"/>
          <w:spacing w:val="2"/>
          <w:sz w:val="18"/>
          <w:szCs w:val="18"/>
        </w:rPr>
        <w:t>l</w:t>
      </w:r>
      <w:r w:rsidRPr="0042579D">
        <w:rPr>
          <w:rFonts w:ascii="Cambria" w:eastAsia="Calibri" w:hAnsi="Cambria" w:cs="Calibri"/>
          <w:spacing w:val="-1"/>
          <w:sz w:val="18"/>
          <w:szCs w:val="18"/>
        </w:rPr>
        <w:t>es</w:t>
      </w:r>
      <w:r w:rsidRPr="0042579D">
        <w:rPr>
          <w:rFonts w:ascii="Cambria" w:eastAsia="Calibri" w:hAnsi="Cambria" w:cs="Calibri"/>
          <w:sz w:val="18"/>
          <w:szCs w:val="18"/>
        </w:rPr>
        <w:t>.”</w:t>
      </w:r>
      <w:r w:rsidRPr="0042579D">
        <w:rPr>
          <w:rFonts w:ascii="Cambria" w:eastAsia="Calibri" w:hAnsi="Cambria" w:cs="Calibri"/>
          <w:spacing w:val="-5"/>
          <w:sz w:val="18"/>
          <w:szCs w:val="18"/>
        </w:rPr>
        <w:t xml:space="preserve"> </w:t>
      </w:r>
      <w:r w:rsidRPr="0042579D">
        <w:rPr>
          <w:rFonts w:ascii="Cambria" w:eastAsia="Calibri" w:hAnsi="Cambria" w:cs="Calibri"/>
          <w:sz w:val="18"/>
          <w:szCs w:val="18"/>
        </w:rPr>
        <w:t>F</w:t>
      </w:r>
      <w:r w:rsidRPr="0042579D">
        <w:rPr>
          <w:rFonts w:ascii="Cambria" w:eastAsia="Calibri" w:hAnsi="Cambria" w:cs="Calibri"/>
          <w:spacing w:val="1"/>
          <w:sz w:val="18"/>
          <w:szCs w:val="18"/>
        </w:rPr>
        <w:t>o</w:t>
      </w:r>
      <w:r w:rsidRPr="0042579D">
        <w:rPr>
          <w:rFonts w:ascii="Cambria" w:eastAsia="Calibri" w:hAnsi="Cambria" w:cs="Calibri"/>
          <w:sz w:val="18"/>
          <w:szCs w:val="18"/>
        </w:rPr>
        <w:t>r</w:t>
      </w:r>
      <w:r w:rsidRPr="0042579D">
        <w:rPr>
          <w:rFonts w:ascii="Cambria" w:eastAsia="Calibri" w:hAnsi="Cambria" w:cs="Calibri"/>
          <w:spacing w:val="-3"/>
          <w:sz w:val="18"/>
          <w:szCs w:val="18"/>
        </w:rPr>
        <w:t xml:space="preserve"> </w:t>
      </w:r>
      <w:r w:rsidRPr="0042579D">
        <w:rPr>
          <w:rFonts w:ascii="Cambria" w:eastAsia="Calibri" w:hAnsi="Cambria" w:cs="Calibri"/>
          <w:spacing w:val="-1"/>
          <w:sz w:val="18"/>
          <w:szCs w:val="18"/>
        </w:rPr>
        <w:t>e</w:t>
      </w:r>
      <w:r w:rsidRPr="0042579D">
        <w:rPr>
          <w:rFonts w:ascii="Cambria" w:eastAsia="Calibri" w:hAnsi="Cambria" w:cs="Calibri"/>
          <w:sz w:val="18"/>
          <w:szCs w:val="18"/>
        </w:rPr>
        <w:t>x</w:t>
      </w:r>
      <w:r w:rsidRPr="0042579D">
        <w:rPr>
          <w:rFonts w:ascii="Cambria" w:eastAsia="Calibri" w:hAnsi="Cambria" w:cs="Calibri"/>
          <w:spacing w:val="1"/>
          <w:sz w:val="18"/>
          <w:szCs w:val="18"/>
        </w:rPr>
        <w:t>a</w:t>
      </w:r>
      <w:r w:rsidRPr="0042579D">
        <w:rPr>
          <w:rFonts w:ascii="Cambria" w:eastAsia="Calibri" w:hAnsi="Cambria" w:cs="Calibri"/>
          <w:spacing w:val="-1"/>
          <w:sz w:val="18"/>
          <w:szCs w:val="18"/>
        </w:rPr>
        <w:t>m</w:t>
      </w:r>
      <w:r w:rsidRPr="0042579D">
        <w:rPr>
          <w:rFonts w:ascii="Cambria" w:eastAsia="Calibri" w:hAnsi="Cambria" w:cs="Calibri"/>
          <w:spacing w:val="1"/>
          <w:sz w:val="18"/>
          <w:szCs w:val="18"/>
        </w:rPr>
        <w:t>p</w:t>
      </w:r>
      <w:r w:rsidRPr="0042579D">
        <w:rPr>
          <w:rFonts w:ascii="Cambria" w:eastAsia="Calibri" w:hAnsi="Cambria" w:cs="Calibri"/>
          <w:sz w:val="18"/>
          <w:szCs w:val="18"/>
        </w:rPr>
        <w:t>l</w:t>
      </w:r>
      <w:r w:rsidRPr="0042579D">
        <w:rPr>
          <w:rFonts w:ascii="Cambria" w:eastAsia="Calibri" w:hAnsi="Cambria" w:cs="Calibri"/>
          <w:spacing w:val="-1"/>
          <w:sz w:val="18"/>
          <w:szCs w:val="18"/>
        </w:rPr>
        <w:t>e</w:t>
      </w:r>
      <w:r w:rsidRPr="0042579D">
        <w:rPr>
          <w:rFonts w:ascii="Cambria" w:eastAsia="Calibri" w:hAnsi="Cambria" w:cs="Calibri"/>
          <w:sz w:val="18"/>
          <w:szCs w:val="18"/>
        </w:rPr>
        <w:t>,</w:t>
      </w:r>
      <w:r w:rsidRPr="0042579D">
        <w:rPr>
          <w:rFonts w:ascii="Cambria" w:eastAsia="Calibri" w:hAnsi="Cambria" w:cs="Calibri"/>
          <w:spacing w:val="-4"/>
          <w:sz w:val="18"/>
          <w:szCs w:val="18"/>
        </w:rPr>
        <w:t xml:space="preserve"> </w:t>
      </w:r>
      <w:r w:rsidRPr="0042579D">
        <w:rPr>
          <w:rFonts w:ascii="Cambria" w:eastAsia="Calibri" w:hAnsi="Cambria" w:cs="Calibri"/>
          <w:spacing w:val="-1"/>
          <w:sz w:val="18"/>
          <w:szCs w:val="18"/>
        </w:rPr>
        <w:t>w</w:t>
      </w:r>
      <w:r w:rsidRPr="0042579D">
        <w:rPr>
          <w:rFonts w:ascii="Cambria" w:eastAsia="Calibri" w:hAnsi="Cambria" w:cs="Calibri"/>
          <w:spacing w:val="1"/>
          <w:sz w:val="18"/>
          <w:szCs w:val="18"/>
        </w:rPr>
        <w:t>h</w:t>
      </w:r>
      <w:r w:rsidRPr="0042579D">
        <w:rPr>
          <w:rFonts w:ascii="Cambria" w:eastAsia="Calibri" w:hAnsi="Cambria" w:cs="Calibri"/>
          <w:spacing w:val="-1"/>
          <w:sz w:val="18"/>
          <w:szCs w:val="18"/>
        </w:rPr>
        <w:t>e</w:t>
      </w:r>
      <w:r w:rsidRPr="0042579D">
        <w:rPr>
          <w:rFonts w:ascii="Cambria" w:eastAsia="Calibri" w:hAnsi="Cambria" w:cs="Calibri"/>
          <w:sz w:val="18"/>
          <w:szCs w:val="18"/>
        </w:rPr>
        <w:t>n</w:t>
      </w:r>
      <w:r w:rsidRPr="0042579D">
        <w:rPr>
          <w:rFonts w:ascii="Cambria" w:eastAsia="Calibri" w:hAnsi="Cambria" w:cs="Calibri"/>
          <w:spacing w:val="-4"/>
          <w:sz w:val="18"/>
          <w:szCs w:val="18"/>
        </w:rPr>
        <w:t xml:space="preserve"> </w:t>
      </w:r>
      <w:r w:rsidRPr="0042579D">
        <w:rPr>
          <w:rFonts w:ascii="Cambria" w:eastAsia="Calibri" w:hAnsi="Cambria" w:cs="Calibri"/>
          <w:spacing w:val="1"/>
          <w:sz w:val="18"/>
          <w:szCs w:val="18"/>
        </w:rPr>
        <w:t>th</w:t>
      </w:r>
      <w:r w:rsidRPr="0042579D">
        <w:rPr>
          <w:rFonts w:ascii="Cambria" w:eastAsia="Calibri" w:hAnsi="Cambria" w:cs="Calibri"/>
          <w:sz w:val="18"/>
          <w:szCs w:val="18"/>
        </w:rPr>
        <w:t>e</w:t>
      </w:r>
      <w:r w:rsidRPr="0042579D">
        <w:rPr>
          <w:rFonts w:ascii="Cambria" w:eastAsia="Calibri" w:hAnsi="Cambria" w:cs="Calibri"/>
          <w:spacing w:val="-4"/>
          <w:sz w:val="18"/>
          <w:szCs w:val="18"/>
        </w:rPr>
        <w:t xml:space="preserve"> </w:t>
      </w:r>
      <w:r w:rsidRPr="0042579D">
        <w:rPr>
          <w:rFonts w:ascii="Cambria" w:eastAsia="Calibri" w:hAnsi="Cambria" w:cs="Calibri"/>
          <w:sz w:val="18"/>
          <w:szCs w:val="18"/>
        </w:rPr>
        <w:t>G</w:t>
      </w:r>
      <w:r w:rsidRPr="0042579D">
        <w:rPr>
          <w:rFonts w:ascii="Cambria" w:eastAsia="Calibri" w:hAnsi="Cambria" w:cs="Calibri"/>
          <w:spacing w:val="2"/>
          <w:sz w:val="18"/>
          <w:szCs w:val="18"/>
        </w:rPr>
        <w:t>r</w:t>
      </w:r>
      <w:r w:rsidRPr="0042579D">
        <w:rPr>
          <w:rFonts w:ascii="Cambria" w:eastAsia="Calibri" w:hAnsi="Cambria" w:cs="Calibri"/>
          <w:spacing w:val="-1"/>
          <w:sz w:val="18"/>
          <w:szCs w:val="18"/>
        </w:rPr>
        <w:t>ee</w:t>
      </w:r>
      <w:r w:rsidRPr="0042579D">
        <w:rPr>
          <w:rFonts w:ascii="Cambria" w:eastAsia="Calibri" w:hAnsi="Cambria" w:cs="Calibri"/>
          <w:sz w:val="18"/>
          <w:szCs w:val="18"/>
        </w:rPr>
        <w:t xml:space="preserve">k </w:t>
      </w:r>
      <w:r w:rsidRPr="0042579D">
        <w:rPr>
          <w:rFonts w:ascii="Cambria" w:eastAsia="Calibri" w:hAnsi="Cambria" w:cs="Calibri"/>
          <w:spacing w:val="1"/>
          <w:sz w:val="18"/>
          <w:szCs w:val="18"/>
        </w:rPr>
        <w:t>p</w:t>
      </w:r>
      <w:r w:rsidRPr="0042579D">
        <w:rPr>
          <w:rFonts w:ascii="Cambria" w:eastAsia="Calibri" w:hAnsi="Cambria" w:cs="Calibri"/>
          <w:sz w:val="18"/>
          <w:szCs w:val="18"/>
        </w:rPr>
        <w:t>la</w:t>
      </w:r>
      <w:r w:rsidRPr="0042579D">
        <w:rPr>
          <w:rFonts w:ascii="Cambria" w:eastAsia="Calibri" w:hAnsi="Cambria" w:cs="Calibri"/>
          <w:spacing w:val="1"/>
          <w:sz w:val="18"/>
          <w:szCs w:val="18"/>
        </w:rPr>
        <w:t>y</w:t>
      </w:r>
      <w:r w:rsidRPr="0042579D">
        <w:rPr>
          <w:rFonts w:ascii="Cambria" w:eastAsia="Calibri" w:hAnsi="Cambria" w:cs="Calibri"/>
          <w:spacing w:val="-1"/>
          <w:sz w:val="18"/>
          <w:szCs w:val="18"/>
        </w:rPr>
        <w:t>w</w:t>
      </w:r>
      <w:r w:rsidRPr="0042579D">
        <w:rPr>
          <w:rFonts w:ascii="Cambria" w:eastAsia="Calibri" w:hAnsi="Cambria" w:cs="Calibri"/>
          <w:sz w:val="18"/>
          <w:szCs w:val="18"/>
        </w:rPr>
        <w:t>rig</w:t>
      </w:r>
      <w:r w:rsidRPr="0042579D">
        <w:rPr>
          <w:rFonts w:ascii="Cambria" w:eastAsia="Calibri" w:hAnsi="Cambria" w:cs="Calibri"/>
          <w:spacing w:val="1"/>
          <w:sz w:val="18"/>
          <w:szCs w:val="18"/>
        </w:rPr>
        <w:t>h</w:t>
      </w:r>
      <w:r w:rsidRPr="0042579D">
        <w:rPr>
          <w:rFonts w:ascii="Cambria" w:eastAsia="Calibri" w:hAnsi="Cambria" w:cs="Calibri"/>
          <w:sz w:val="18"/>
          <w:szCs w:val="18"/>
        </w:rPr>
        <w:t>t</w:t>
      </w:r>
      <w:r w:rsidRPr="0042579D">
        <w:rPr>
          <w:rFonts w:ascii="Cambria" w:eastAsia="Calibri" w:hAnsi="Cambria" w:cs="Calibri"/>
          <w:spacing w:val="-8"/>
          <w:sz w:val="18"/>
          <w:szCs w:val="18"/>
        </w:rPr>
        <w:t xml:space="preserve"> </w:t>
      </w:r>
      <w:r w:rsidRPr="0042579D">
        <w:rPr>
          <w:rFonts w:ascii="Cambria" w:eastAsia="Calibri" w:hAnsi="Cambria" w:cs="Calibri"/>
          <w:spacing w:val="1"/>
          <w:sz w:val="18"/>
          <w:szCs w:val="18"/>
        </w:rPr>
        <w:t>Eu</w:t>
      </w:r>
      <w:r w:rsidRPr="0042579D">
        <w:rPr>
          <w:rFonts w:ascii="Cambria" w:eastAsia="Calibri" w:hAnsi="Cambria" w:cs="Calibri"/>
          <w:sz w:val="18"/>
          <w:szCs w:val="18"/>
        </w:rPr>
        <w:t>ri</w:t>
      </w:r>
      <w:r w:rsidRPr="0042579D">
        <w:rPr>
          <w:rFonts w:ascii="Cambria" w:eastAsia="Calibri" w:hAnsi="Cambria" w:cs="Calibri"/>
          <w:spacing w:val="1"/>
          <w:sz w:val="18"/>
          <w:szCs w:val="18"/>
        </w:rPr>
        <w:t>p</w:t>
      </w:r>
      <w:r w:rsidRPr="0042579D">
        <w:rPr>
          <w:rFonts w:ascii="Cambria" w:eastAsia="Calibri" w:hAnsi="Cambria" w:cs="Calibri"/>
          <w:sz w:val="18"/>
          <w:szCs w:val="18"/>
        </w:rPr>
        <w:t>i</w:t>
      </w:r>
      <w:r w:rsidRPr="0042579D">
        <w:rPr>
          <w:rFonts w:ascii="Cambria" w:eastAsia="Calibri" w:hAnsi="Cambria" w:cs="Calibri"/>
          <w:spacing w:val="1"/>
          <w:sz w:val="18"/>
          <w:szCs w:val="18"/>
        </w:rPr>
        <w:t>de</w:t>
      </w:r>
      <w:r w:rsidRPr="0042579D">
        <w:rPr>
          <w:rFonts w:ascii="Cambria" w:eastAsia="Calibri" w:hAnsi="Cambria" w:cs="Calibri"/>
          <w:sz w:val="18"/>
          <w:szCs w:val="18"/>
        </w:rPr>
        <w:t>s</w:t>
      </w:r>
      <w:r w:rsidRPr="0042579D">
        <w:rPr>
          <w:rFonts w:ascii="Cambria" w:eastAsia="Calibri" w:hAnsi="Cambria" w:cs="Calibri"/>
          <w:spacing w:val="-8"/>
          <w:sz w:val="18"/>
          <w:szCs w:val="18"/>
        </w:rPr>
        <w:t xml:space="preserve"> </w:t>
      </w:r>
      <w:r w:rsidRPr="0042579D">
        <w:rPr>
          <w:rFonts w:ascii="Cambria" w:eastAsia="Calibri" w:hAnsi="Cambria" w:cs="Calibri"/>
          <w:sz w:val="18"/>
          <w:szCs w:val="18"/>
        </w:rPr>
        <w:t>sa</w:t>
      </w:r>
      <w:r w:rsidRPr="0042579D">
        <w:rPr>
          <w:rFonts w:ascii="Cambria" w:eastAsia="Calibri" w:hAnsi="Cambria" w:cs="Calibri"/>
          <w:spacing w:val="1"/>
          <w:sz w:val="18"/>
          <w:szCs w:val="18"/>
        </w:rPr>
        <w:t>y</w:t>
      </w:r>
      <w:r w:rsidRPr="0042579D">
        <w:rPr>
          <w:rFonts w:ascii="Cambria" w:eastAsia="Calibri" w:hAnsi="Cambria" w:cs="Calibri"/>
          <w:sz w:val="18"/>
          <w:szCs w:val="18"/>
        </w:rPr>
        <w:t>s</w:t>
      </w:r>
      <w:r w:rsidRPr="0042579D">
        <w:rPr>
          <w:rFonts w:ascii="Cambria" w:eastAsia="Calibri" w:hAnsi="Cambria" w:cs="Calibri"/>
          <w:spacing w:val="-4"/>
          <w:sz w:val="18"/>
          <w:szCs w:val="18"/>
        </w:rPr>
        <w:t xml:space="preserve"> </w:t>
      </w:r>
      <w:r w:rsidRPr="0042579D">
        <w:rPr>
          <w:rFonts w:ascii="Cambria" w:eastAsia="Calibri" w:hAnsi="Cambria" w:cs="Calibri"/>
          <w:sz w:val="18"/>
          <w:szCs w:val="18"/>
        </w:rPr>
        <w:t>in</w:t>
      </w:r>
      <w:r w:rsidRPr="0042579D">
        <w:rPr>
          <w:rFonts w:ascii="Cambria" w:eastAsia="Calibri" w:hAnsi="Cambria" w:cs="Calibri"/>
          <w:spacing w:val="-1"/>
          <w:sz w:val="18"/>
          <w:szCs w:val="18"/>
        </w:rPr>
        <w:t xml:space="preserve"> </w:t>
      </w:r>
      <w:r w:rsidRPr="0042579D">
        <w:rPr>
          <w:rFonts w:ascii="Cambria" w:eastAsia="Calibri" w:hAnsi="Cambria" w:cs="Calibri"/>
          <w:spacing w:val="1"/>
          <w:sz w:val="18"/>
          <w:szCs w:val="18"/>
        </w:rPr>
        <w:t>h</w:t>
      </w:r>
      <w:r w:rsidRPr="0042579D">
        <w:rPr>
          <w:rFonts w:ascii="Cambria" w:eastAsia="Calibri" w:hAnsi="Cambria" w:cs="Calibri"/>
          <w:spacing w:val="2"/>
          <w:sz w:val="18"/>
          <w:szCs w:val="18"/>
        </w:rPr>
        <w:t>i</w:t>
      </w:r>
      <w:r w:rsidRPr="0042579D">
        <w:rPr>
          <w:rFonts w:ascii="Cambria" w:eastAsia="Calibri" w:hAnsi="Cambria" w:cs="Calibri"/>
          <w:sz w:val="18"/>
          <w:szCs w:val="18"/>
        </w:rPr>
        <w:t>s</w:t>
      </w:r>
      <w:r w:rsidRPr="0042579D">
        <w:rPr>
          <w:rFonts w:ascii="Cambria" w:eastAsia="Calibri" w:hAnsi="Cambria" w:cs="Calibri"/>
          <w:spacing w:val="-3"/>
          <w:sz w:val="18"/>
          <w:szCs w:val="18"/>
        </w:rPr>
        <w:t xml:space="preserve"> </w:t>
      </w:r>
      <w:r w:rsidRPr="0042579D">
        <w:rPr>
          <w:rFonts w:ascii="Cambria" w:eastAsia="Calibri" w:hAnsi="Cambria" w:cs="Calibri"/>
          <w:spacing w:val="1"/>
          <w:sz w:val="18"/>
          <w:szCs w:val="18"/>
        </w:rPr>
        <w:t>p</w:t>
      </w:r>
      <w:r w:rsidRPr="0042579D">
        <w:rPr>
          <w:rFonts w:ascii="Cambria" w:eastAsia="Calibri" w:hAnsi="Cambria" w:cs="Calibri"/>
          <w:sz w:val="18"/>
          <w:szCs w:val="18"/>
        </w:rPr>
        <w:t xml:space="preserve">lay </w:t>
      </w:r>
      <w:r w:rsidRPr="0042579D">
        <w:rPr>
          <w:rFonts w:ascii="Cambria" w:eastAsia="Calibri" w:hAnsi="Cambria" w:cs="Calibri"/>
          <w:i/>
          <w:spacing w:val="1"/>
          <w:sz w:val="18"/>
          <w:szCs w:val="18"/>
        </w:rPr>
        <w:t>H</w:t>
      </w:r>
      <w:r w:rsidRPr="0042579D">
        <w:rPr>
          <w:rFonts w:ascii="Cambria" w:eastAsia="Calibri" w:hAnsi="Cambria" w:cs="Calibri"/>
          <w:i/>
          <w:sz w:val="18"/>
          <w:szCs w:val="18"/>
        </w:rPr>
        <w:t>ip</w:t>
      </w:r>
      <w:r w:rsidRPr="0042579D">
        <w:rPr>
          <w:rFonts w:ascii="Cambria" w:eastAsia="Calibri" w:hAnsi="Cambria" w:cs="Calibri"/>
          <w:i/>
          <w:spacing w:val="1"/>
          <w:sz w:val="18"/>
          <w:szCs w:val="18"/>
        </w:rPr>
        <w:t>po</w:t>
      </w:r>
      <w:r w:rsidRPr="0042579D">
        <w:rPr>
          <w:rFonts w:ascii="Cambria" w:eastAsia="Calibri" w:hAnsi="Cambria" w:cs="Calibri"/>
          <w:i/>
          <w:sz w:val="18"/>
          <w:szCs w:val="18"/>
        </w:rPr>
        <w:t>lyt</w:t>
      </w:r>
      <w:r w:rsidRPr="0042579D">
        <w:rPr>
          <w:rFonts w:ascii="Cambria" w:eastAsia="Calibri" w:hAnsi="Cambria" w:cs="Calibri"/>
          <w:i/>
          <w:spacing w:val="1"/>
          <w:sz w:val="18"/>
          <w:szCs w:val="18"/>
        </w:rPr>
        <w:t>u</w:t>
      </w:r>
      <w:r w:rsidRPr="0042579D">
        <w:rPr>
          <w:rFonts w:ascii="Cambria" w:eastAsia="Calibri" w:hAnsi="Cambria" w:cs="Calibri"/>
          <w:i/>
          <w:sz w:val="18"/>
          <w:szCs w:val="18"/>
        </w:rPr>
        <w:t>s</w:t>
      </w:r>
      <w:r w:rsidRPr="0042579D">
        <w:rPr>
          <w:rFonts w:ascii="Cambria" w:eastAsia="Calibri" w:hAnsi="Cambria" w:cs="Calibri"/>
          <w:i/>
          <w:spacing w:val="-9"/>
          <w:sz w:val="18"/>
          <w:szCs w:val="18"/>
        </w:rPr>
        <w:t xml:space="preserve"> </w:t>
      </w:r>
      <w:r w:rsidRPr="0042579D">
        <w:rPr>
          <w:rFonts w:ascii="Cambria" w:eastAsia="Calibri" w:hAnsi="Cambria" w:cs="Calibri"/>
          <w:sz w:val="18"/>
          <w:szCs w:val="18"/>
        </w:rPr>
        <w:t>t</w:t>
      </w:r>
      <w:r w:rsidRPr="0042579D">
        <w:rPr>
          <w:rFonts w:ascii="Cambria" w:eastAsia="Calibri" w:hAnsi="Cambria" w:cs="Calibri"/>
          <w:spacing w:val="1"/>
          <w:sz w:val="18"/>
          <w:szCs w:val="18"/>
        </w:rPr>
        <w:t>h</w:t>
      </w:r>
      <w:r w:rsidRPr="0042579D">
        <w:rPr>
          <w:rFonts w:ascii="Cambria" w:eastAsia="Calibri" w:hAnsi="Cambria" w:cs="Calibri"/>
          <w:sz w:val="18"/>
          <w:szCs w:val="18"/>
        </w:rPr>
        <w:t>at</w:t>
      </w:r>
      <w:r w:rsidRPr="0042579D">
        <w:rPr>
          <w:rFonts w:ascii="Cambria" w:eastAsia="Calibri" w:hAnsi="Cambria" w:cs="Calibri"/>
          <w:spacing w:val="-2"/>
          <w:sz w:val="18"/>
          <w:szCs w:val="18"/>
        </w:rPr>
        <w:t xml:space="preserve"> </w:t>
      </w:r>
      <w:r w:rsidRPr="0042579D">
        <w:rPr>
          <w:rFonts w:ascii="Cambria" w:eastAsia="Calibri" w:hAnsi="Cambria" w:cs="Calibri"/>
          <w:spacing w:val="1"/>
          <w:sz w:val="18"/>
          <w:szCs w:val="18"/>
        </w:rPr>
        <w:t>“</w:t>
      </w:r>
      <w:r w:rsidRPr="0042579D">
        <w:rPr>
          <w:rFonts w:ascii="Cambria" w:eastAsia="Calibri" w:hAnsi="Cambria" w:cs="Calibri"/>
          <w:sz w:val="18"/>
          <w:szCs w:val="18"/>
        </w:rPr>
        <w:t>A</w:t>
      </w:r>
      <w:r w:rsidRPr="0042579D">
        <w:rPr>
          <w:rFonts w:ascii="Cambria" w:eastAsia="Calibri" w:hAnsi="Cambria" w:cs="Calibri"/>
          <w:spacing w:val="1"/>
          <w:sz w:val="18"/>
          <w:szCs w:val="18"/>
        </w:rPr>
        <w:t>ph</w:t>
      </w:r>
      <w:r w:rsidRPr="0042579D">
        <w:rPr>
          <w:rFonts w:ascii="Cambria" w:eastAsia="Calibri" w:hAnsi="Cambria" w:cs="Calibri"/>
          <w:sz w:val="18"/>
          <w:szCs w:val="18"/>
        </w:rPr>
        <w:t>r</w:t>
      </w:r>
      <w:r w:rsidRPr="0042579D">
        <w:rPr>
          <w:rFonts w:ascii="Cambria" w:eastAsia="Calibri" w:hAnsi="Cambria" w:cs="Calibri"/>
          <w:spacing w:val="-2"/>
          <w:sz w:val="18"/>
          <w:szCs w:val="18"/>
        </w:rPr>
        <w:t>o</w:t>
      </w:r>
      <w:r w:rsidRPr="0042579D">
        <w:rPr>
          <w:rFonts w:ascii="Cambria" w:eastAsia="Calibri" w:hAnsi="Cambria" w:cs="Calibri"/>
          <w:spacing w:val="1"/>
          <w:sz w:val="18"/>
          <w:szCs w:val="18"/>
        </w:rPr>
        <w:t>d</w:t>
      </w:r>
      <w:r w:rsidRPr="0042579D">
        <w:rPr>
          <w:rFonts w:ascii="Cambria" w:eastAsia="Calibri" w:hAnsi="Cambria" w:cs="Calibri"/>
          <w:sz w:val="18"/>
          <w:szCs w:val="18"/>
        </w:rPr>
        <w:t>ite</w:t>
      </w:r>
      <w:r w:rsidRPr="0042579D">
        <w:rPr>
          <w:rFonts w:ascii="Cambria" w:eastAsia="Calibri" w:hAnsi="Cambria" w:cs="Calibri"/>
          <w:spacing w:val="-9"/>
          <w:sz w:val="18"/>
          <w:szCs w:val="18"/>
        </w:rPr>
        <w:t xml:space="preserve"> </w:t>
      </w:r>
      <w:r w:rsidRPr="0042579D">
        <w:rPr>
          <w:rFonts w:ascii="Cambria" w:eastAsia="Calibri" w:hAnsi="Cambria" w:cs="Calibri"/>
          <w:sz w:val="18"/>
          <w:szCs w:val="18"/>
        </w:rPr>
        <w:t>is</w:t>
      </w:r>
      <w:r w:rsidRPr="0042579D">
        <w:rPr>
          <w:rFonts w:ascii="Cambria" w:eastAsia="Calibri" w:hAnsi="Cambria" w:cs="Calibri"/>
          <w:spacing w:val="-2"/>
          <w:sz w:val="18"/>
          <w:szCs w:val="18"/>
        </w:rPr>
        <w:t xml:space="preserve"> </w:t>
      </w:r>
      <w:r w:rsidRPr="0042579D">
        <w:rPr>
          <w:rFonts w:ascii="Cambria" w:eastAsia="Calibri" w:hAnsi="Cambria" w:cs="Calibri"/>
          <w:spacing w:val="2"/>
          <w:sz w:val="18"/>
          <w:szCs w:val="18"/>
        </w:rPr>
        <w:t>w</w:t>
      </w:r>
      <w:r w:rsidRPr="0042579D">
        <w:rPr>
          <w:rFonts w:ascii="Cambria" w:eastAsia="Calibri" w:hAnsi="Cambria" w:cs="Calibri"/>
          <w:spacing w:val="-1"/>
          <w:sz w:val="18"/>
          <w:szCs w:val="18"/>
        </w:rPr>
        <w:t>e</w:t>
      </w:r>
      <w:r w:rsidRPr="0042579D">
        <w:rPr>
          <w:rFonts w:ascii="Cambria" w:eastAsia="Calibri" w:hAnsi="Cambria" w:cs="Calibri"/>
          <w:sz w:val="18"/>
          <w:szCs w:val="18"/>
        </w:rPr>
        <w:t>ll</w:t>
      </w:r>
      <w:r w:rsidRPr="0042579D">
        <w:rPr>
          <w:rFonts w:ascii="Cambria" w:eastAsia="Calibri" w:hAnsi="Cambria" w:cs="Calibri"/>
          <w:spacing w:val="-2"/>
          <w:sz w:val="18"/>
          <w:szCs w:val="18"/>
        </w:rPr>
        <w:t xml:space="preserve"> </w:t>
      </w:r>
      <w:r w:rsidRPr="0042579D">
        <w:rPr>
          <w:rFonts w:ascii="Cambria" w:eastAsia="Calibri" w:hAnsi="Cambria" w:cs="Calibri"/>
          <w:spacing w:val="1"/>
          <w:sz w:val="18"/>
          <w:szCs w:val="18"/>
        </w:rPr>
        <w:t>kn</w:t>
      </w:r>
      <w:r w:rsidRPr="0042579D">
        <w:rPr>
          <w:rFonts w:ascii="Cambria" w:eastAsia="Calibri" w:hAnsi="Cambria" w:cs="Calibri"/>
          <w:sz w:val="18"/>
          <w:szCs w:val="18"/>
        </w:rPr>
        <w:t>o</w:t>
      </w:r>
      <w:r w:rsidRPr="0042579D">
        <w:rPr>
          <w:rFonts w:ascii="Cambria" w:eastAsia="Calibri" w:hAnsi="Cambria" w:cs="Calibri"/>
          <w:spacing w:val="-1"/>
          <w:sz w:val="18"/>
          <w:szCs w:val="18"/>
        </w:rPr>
        <w:t>w</w:t>
      </w:r>
      <w:r w:rsidRPr="0042579D">
        <w:rPr>
          <w:rFonts w:ascii="Cambria" w:eastAsia="Calibri" w:hAnsi="Cambria" w:cs="Calibri"/>
          <w:sz w:val="18"/>
          <w:szCs w:val="18"/>
        </w:rPr>
        <w:t>n</w:t>
      </w:r>
      <w:r w:rsidRPr="0042579D">
        <w:rPr>
          <w:rFonts w:ascii="Cambria" w:eastAsia="Calibri" w:hAnsi="Cambria" w:cs="Calibri"/>
          <w:spacing w:val="-4"/>
          <w:sz w:val="18"/>
          <w:szCs w:val="18"/>
        </w:rPr>
        <w:t xml:space="preserve"> </w:t>
      </w:r>
      <w:r w:rsidRPr="0042579D">
        <w:rPr>
          <w:rFonts w:ascii="Cambria" w:eastAsia="Calibri" w:hAnsi="Cambria" w:cs="Calibri"/>
          <w:spacing w:val="1"/>
          <w:sz w:val="18"/>
          <w:szCs w:val="18"/>
        </w:rPr>
        <w:t>t</w:t>
      </w:r>
      <w:r w:rsidRPr="0042579D">
        <w:rPr>
          <w:rFonts w:ascii="Cambria" w:eastAsia="Calibri" w:hAnsi="Cambria" w:cs="Calibri"/>
          <w:sz w:val="18"/>
          <w:szCs w:val="18"/>
        </w:rPr>
        <w:t>o</w:t>
      </w:r>
      <w:r w:rsidRPr="0042579D">
        <w:rPr>
          <w:rFonts w:ascii="Cambria" w:eastAsia="Calibri" w:hAnsi="Cambria" w:cs="Calibri"/>
          <w:spacing w:val="-2"/>
          <w:sz w:val="18"/>
          <w:szCs w:val="18"/>
        </w:rPr>
        <w:t xml:space="preserve"> </w:t>
      </w:r>
      <w:r w:rsidRPr="0042579D">
        <w:rPr>
          <w:rFonts w:ascii="Cambria" w:eastAsia="Calibri" w:hAnsi="Cambria" w:cs="Calibri"/>
          <w:sz w:val="18"/>
          <w:szCs w:val="18"/>
        </w:rPr>
        <w:t>mor</w:t>
      </w:r>
      <w:r w:rsidRPr="0042579D">
        <w:rPr>
          <w:rFonts w:ascii="Cambria" w:eastAsia="Calibri" w:hAnsi="Cambria" w:cs="Calibri"/>
          <w:spacing w:val="1"/>
          <w:sz w:val="18"/>
          <w:szCs w:val="18"/>
        </w:rPr>
        <w:t>t</w:t>
      </w:r>
      <w:r w:rsidRPr="0042579D">
        <w:rPr>
          <w:rFonts w:ascii="Cambria" w:eastAsia="Calibri" w:hAnsi="Cambria" w:cs="Calibri"/>
          <w:sz w:val="18"/>
          <w:szCs w:val="18"/>
        </w:rPr>
        <w:t>al</w:t>
      </w:r>
      <w:r w:rsidRPr="0042579D">
        <w:rPr>
          <w:rFonts w:ascii="Cambria" w:eastAsia="Calibri" w:hAnsi="Cambria" w:cs="Calibri"/>
          <w:spacing w:val="-1"/>
          <w:sz w:val="18"/>
          <w:szCs w:val="18"/>
        </w:rPr>
        <w:t>s</w:t>
      </w:r>
      <w:r w:rsidRPr="0042579D">
        <w:rPr>
          <w:rFonts w:ascii="Cambria" w:eastAsia="Calibri" w:hAnsi="Cambria" w:cs="Calibri"/>
          <w:spacing w:val="3"/>
          <w:sz w:val="18"/>
          <w:szCs w:val="18"/>
        </w:rPr>
        <w:t>,</w:t>
      </w:r>
      <w:r w:rsidRPr="0042579D">
        <w:rPr>
          <w:rFonts w:ascii="Cambria" w:eastAsia="Calibri" w:hAnsi="Cambria" w:cs="Calibri"/>
          <w:sz w:val="18"/>
          <w:szCs w:val="18"/>
        </w:rPr>
        <w:t>”</w:t>
      </w:r>
      <w:r w:rsidRPr="0042579D">
        <w:rPr>
          <w:rFonts w:ascii="Cambria" w:eastAsia="Calibri" w:hAnsi="Cambria" w:cs="Calibri"/>
          <w:spacing w:val="-8"/>
          <w:sz w:val="18"/>
          <w:szCs w:val="18"/>
        </w:rPr>
        <w:t xml:space="preserve"> </w:t>
      </w:r>
      <w:r w:rsidRPr="0042579D">
        <w:rPr>
          <w:rFonts w:ascii="Cambria" w:eastAsia="Calibri" w:hAnsi="Cambria" w:cs="Calibri"/>
          <w:spacing w:val="1"/>
          <w:sz w:val="18"/>
          <w:szCs w:val="18"/>
        </w:rPr>
        <w:t>h</w:t>
      </w:r>
      <w:r w:rsidRPr="0042579D">
        <w:rPr>
          <w:rFonts w:ascii="Cambria" w:eastAsia="Calibri" w:hAnsi="Cambria" w:cs="Calibri"/>
          <w:sz w:val="18"/>
          <w:szCs w:val="18"/>
        </w:rPr>
        <w:t>e</w:t>
      </w:r>
      <w:r w:rsidRPr="0042579D">
        <w:rPr>
          <w:rFonts w:ascii="Cambria" w:eastAsia="Calibri" w:hAnsi="Cambria" w:cs="Calibri"/>
          <w:spacing w:val="-3"/>
          <w:sz w:val="18"/>
          <w:szCs w:val="18"/>
        </w:rPr>
        <w:t xml:space="preserve"> </w:t>
      </w:r>
      <w:r w:rsidRPr="0042579D">
        <w:rPr>
          <w:rFonts w:ascii="Cambria" w:eastAsia="Calibri" w:hAnsi="Cambria" w:cs="Calibri"/>
          <w:spacing w:val="1"/>
          <w:sz w:val="18"/>
          <w:szCs w:val="18"/>
        </w:rPr>
        <w:t>u</w:t>
      </w:r>
      <w:r w:rsidRPr="0042579D">
        <w:rPr>
          <w:rFonts w:ascii="Cambria" w:eastAsia="Calibri" w:hAnsi="Cambria" w:cs="Calibri"/>
          <w:spacing w:val="-1"/>
          <w:sz w:val="18"/>
          <w:szCs w:val="18"/>
        </w:rPr>
        <w:t>se</w:t>
      </w:r>
      <w:r w:rsidRPr="0042579D">
        <w:rPr>
          <w:rFonts w:ascii="Cambria" w:eastAsia="Calibri" w:hAnsi="Cambria" w:cs="Calibri"/>
          <w:sz w:val="18"/>
          <w:szCs w:val="18"/>
        </w:rPr>
        <w:t>s</w:t>
      </w:r>
      <w:r w:rsidRPr="0042579D">
        <w:rPr>
          <w:rFonts w:ascii="Cambria" w:eastAsia="Calibri" w:hAnsi="Cambria" w:cs="Calibri"/>
          <w:spacing w:val="-5"/>
          <w:sz w:val="18"/>
          <w:szCs w:val="18"/>
        </w:rPr>
        <w:t xml:space="preserve"> </w:t>
      </w:r>
      <w:r w:rsidRPr="0042579D">
        <w:rPr>
          <w:rFonts w:ascii="Cambria" w:eastAsia="Calibri" w:hAnsi="Cambria" w:cs="Calibri"/>
          <w:spacing w:val="1"/>
          <w:sz w:val="18"/>
          <w:szCs w:val="18"/>
        </w:rPr>
        <w:t>th</w:t>
      </w:r>
      <w:r w:rsidRPr="0042579D">
        <w:rPr>
          <w:rFonts w:ascii="Cambria" w:eastAsia="Calibri" w:hAnsi="Cambria" w:cs="Calibri"/>
          <w:sz w:val="18"/>
          <w:szCs w:val="18"/>
        </w:rPr>
        <w:t>e</w:t>
      </w:r>
      <w:r w:rsidRPr="0042579D">
        <w:rPr>
          <w:rFonts w:ascii="Cambria" w:eastAsia="Calibri" w:hAnsi="Cambria" w:cs="Calibri"/>
          <w:spacing w:val="-1"/>
          <w:sz w:val="18"/>
          <w:szCs w:val="18"/>
        </w:rPr>
        <w:t xml:space="preserve"> s</w:t>
      </w:r>
      <w:r w:rsidRPr="0042579D">
        <w:rPr>
          <w:rFonts w:ascii="Cambria" w:eastAsia="Calibri" w:hAnsi="Cambria" w:cs="Calibri"/>
          <w:sz w:val="18"/>
          <w:szCs w:val="18"/>
        </w:rPr>
        <w:t>a</w:t>
      </w:r>
      <w:r w:rsidRPr="0042579D">
        <w:rPr>
          <w:rFonts w:ascii="Cambria" w:eastAsia="Calibri" w:hAnsi="Cambria" w:cs="Calibri"/>
          <w:spacing w:val="2"/>
          <w:sz w:val="18"/>
          <w:szCs w:val="18"/>
        </w:rPr>
        <w:t>m</w:t>
      </w:r>
      <w:r w:rsidRPr="0042579D">
        <w:rPr>
          <w:rFonts w:ascii="Cambria" w:eastAsia="Calibri" w:hAnsi="Cambria" w:cs="Calibri"/>
          <w:sz w:val="18"/>
          <w:szCs w:val="18"/>
        </w:rPr>
        <w:t>e</w:t>
      </w:r>
      <w:r w:rsidRPr="0042579D">
        <w:rPr>
          <w:rFonts w:ascii="Cambria" w:eastAsia="Calibri" w:hAnsi="Cambria" w:cs="Calibri"/>
          <w:spacing w:val="-5"/>
          <w:sz w:val="18"/>
          <w:szCs w:val="18"/>
        </w:rPr>
        <w:t xml:space="preserve"> </w:t>
      </w:r>
      <w:r w:rsidRPr="0042579D">
        <w:rPr>
          <w:rFonts w:ascii="Cambria" w:eastAsia="Calibri" w:hAnsi="Cambria" w:cs="Calibri"/>
          <w:sz w:val="18"/>
          <w:szCs w:val="18"/>
        </w:rPr>
        <w:t>G</w:t>
      </w:r>
      <w:r w:rsidRPr="0042579D">
        <w:rPr>
          <w:rFonts w:ascii="Cambria" w:eastAsia="Calibri" w:hAnsi="Cambria" w:cs="Calibri"/>
          <w:spacing w:val="2"/>
          <w:sz w:val="18"/>
          <w:szCs w:val="18"/>
        </w:rPr>
        <w:t>r</w:t>
      </w:r>
      <w:r w:rsidRPr="0042579D">
        <w:rPr>
          <w:rFonts w:ascii="Cambria" w:eastAsia="Calibri" w:hAnsi="Cambria" w:cs="Calibri"/>
          <w:spacing w:val="-1"/>
          <w:sz w:val="18"/>
          <w:szCs w:val="18"/>
        </w:rPr>
        <w:t>ee</w:t>
      </w:r>
      <w:r w:rsidRPr="0042579D">
        <w:rPr>
          <w:rFonts w:ascii="Cambria" w:eastAsia="Calibri" w:hAnsi="Cambria" w:cs="Calibri"/>
          <w:sz w:val="18"/>
          <w:szCs w:val="18"/>
        </w:rPr>
        <w:t>k</w:t>
      </w:r>
      <w:r w:rsidRPr="0042579D">
        <w:rPr>
          <w:rFonts w:ascii="Cambria" w:eastAsia="Calibri" w:hAnsi="Cambria" w:cs="Calibri"/>
          <w:spacing w:val="-4"/>
          <w:sz w:val="18"/>
          <w:szCs w:val="18"/>
        </w:rPr>
        <w:t xml:space="preserve"> </w:t>
      </w:r>
      <w:r w:rsidRPr="0042579D">
        <w:rPr>
          <w:rFonts w:ascii="Cambria" w:eastAsia="Calibri" w:hAnsi="Cambria" w:cs="Calibri"/>
          <w:sz w:val="18"/>
          <w:szCs w:val="18"/>
        </w:rPr>
        <w:t>co</w:t>
      </w:r>
      <w:r w:rsidRPr="0042579D">
        <w:rPr>
          <w:rFonts w:ascii="Cambria" w:eastAsia="Calibri" w:hAnsi="Cambria" w:cs="Calibri"/>
          <w:spacing w:val="4"/>
          <w:sz w:val="18"/>
          <w:szCs w:val="18"/>
        </w:rPr>
        <w:t>n</w:t>
      </w:r>
      <w:r w:rsidRPr="0042579D">
        <w:rPr>
          <w:rFonts w:ascii="Cambria" w:eastAsia="Calibri" w:hAnsi="Cambria" w:cs="Calibri"/>
          <w:spacing w:val="-1"/>
          <w:sz w:val="18"/>
          <w:szCs w:val="18"/>
        </w:rPr>
        <w:t>s</w:t>
      </w:r>
      <w:r w:rsidRPr="0042579D">
        <w:rPr>
          <w:rFonts w:ascii="Cambria" w:eastAsia="Calibri" w:hAnsi="Cambria" w:cs="Calibri"/>
          <w:sz w:val="18"/>
          <w:szCs w:val="18"/>
        </w:rPr>
        <w:t>tr</w:t>
      </w:r>
      <w:r w:rsidRPr="0042579D">
        <w:rPr>
          <w:rFonts w:ascii="Cambria" w:eastAsia="Calibri" w:hAnsi="Cambria" w:cs="Calibri"/>
          <w:spacing w:val="1"/>
          <w:sz w:val="18"/>
          <w:szCs w:val="18"/>
        </w:rPr>
        <w:t>u</w:t>
      </w:r>
      <w:r w:rsidRPr="0042579D">
        <w:rPr>
          <w:rFonts w:ascii="Cambria" w:eastAsia="Calibri" w:hAnsi="Cambria" w:cs="Calibri"/>
          <w:sz w:val="18"/>
          <w:szCs w:val="18"/>
        </w:rPr>
        <w:t>ctio</w:t>
      </w:r>
      <w:r w:rsidRPr="0042579D">
        <w:rPr>
          <w:rFonts w:ascii="Cambria" w:eastAsia="Calibri" w:hAnsi="Cambria" w:cs="Calibri"/>
          <w:spacing w:val="1"/>
          <w:sz w:val="18"/>
          <w:szCs w:val="18"/>
        </w:rPr>
        <w:t>n</w:t>
      </w:r>
      <w:r w:rsidRPr="0042579D">
        <w:rPr>
          <w:rFonts w:ascii="Cambria" w:eastAsia="Calibri" w:hAnsi="Cambria" w:cs="Calibri"/>
          <w:sz w:val="18"/>
          <w:szCs w:val="18"/>
        </w:rPr>
        <w:t>. In</w:t>
      </w:r>
      <w:r w:rsidRPr="0042579D">
        <w:rPr>
          <w:rFonts w:ascii="Cambria" w:eastAsia="Calibri" w:hAnsi="Cambria" w:cs="Calibri"/>
          <w:spacing w:val="-1"/>
          <w:sz w:val="18"/>
          <w:szCs w:val="18"/>
        </w:rPr>
        <w:t xml:space="preserve"> </w:t>
      </w:r>
      <w:r w:rsidRPr="0042579D">
        <w:rPr>
          <w:rFonts w:ascii="Cambria" w:eastAsia="Calibri" w:hAnsi="Cambria" w:cs="Calibri"/>
          <w:spacing w:val="1"/>
          <w:sz w:val="18"/>
          <w:szCs w:val="18"/>
        </w:rPr>
        <w:t>th</w:t>
      </w:r>
      <w:r w:rsidRPr="0042579D">
        <w:rPr>
          <w:rFonts w:ascii="Cambria" w:eastAsia="Calibri" w:hAnsi="Cambria" w:cs="Calibri"/>
          <w:sz w:val="18"/>
          <w:szCs w:val="18"/>
        </w:rPr>
        <w:t>is</w:t>
      </w:r>
      <w:r w:rsidRPr="0042579D">
        <w:rPr>
          <w:rFonts w:ascii="Cambria" w:eastAsia="Calibri" w:hAnsi="Cambria" w:cs="Calibri"/>
          <w:spacing w:val="-4"/>
          <w:sz w:val="18"/>
          <w:szCs w:val="18"/>
        </w:rPr>
        <w:t xml:space="preserve"> </w:t>
      </w:r>
      <w:r w:rsidRPr="0042579D">
        <w:rPr>
          <w:rFonts w:ascii="Cambria" w:eastAsia="Calibri" w:hAnsi="Cambria" w:cs="Calibri"/>
          <w:sz w:val="18"/>
          <w:szCs w:val="18"/>
        </w:rPr>
        <w:t>c</w:t>
      </w:r>
      <w:r w:rsidRPr="0042579D">
        <w:rPr>
          <w:rFonts w:ascii="Cambria" w:eastAsia="Calibri" w:hAnsi="Cambria" w:cs="Calibri"/>
          <w:spacing w:val="1"/>
          <w:sz w:val="18"/>
          <w:szCs w:val="18"/>
        </w:rPr>
        <w:t>a</w:t>
      </w:r>
      <w:r w:rsidRPr="0042579D">
        <w:rPr>
          <w:rFonts w:ascii="Cambria" w:eastAsia="Calibri" w:hAnsi="Cambria" w:cs="Calibri"/>
          <w:spacing w:val="-1"/>
          <w:sz w:val="18"/>
          <w:szCs w:val="18"/>
        </w:rPr>
        <w:t>s</w:t>
      </w:r>
      <w:r w:rsidRPr="0042579D">
        <w:rPr>
          <w:rFonts w:ascii="Cambria" w:eastAsia="Calibri" w:hAnsi="Cambria" w:cs="Calibri"/>
          <w:sz w:val="18"/>
          <w:szCs w:val="18"/>
        </w:rPr>
        <w:t>e</w:t>
      </w:r>
      <w:r w:rsidRPr="0042579D">
        <w:rPr>
          <w:rFonts w:ascii="Cambria" w:eastAsia="Calibri" w:hAnsi="Cambria" w:cs="Calibri"/>
          <w:spacing w:val="-5"/>
          <w:sz w:val="18"/>
          <w:szCs w:val="18"/>
        </w:rPr>
        <w:t xml:space="preserve"> </w:t>
      </w:r>
      <w:r w:rsidRPr="0042579D">
        <w:rPr>
          <w:rFonts w:ascii="Cambria" w:eastAsia="Calibri" w:hAnsi="Cambria" w:cs="Calibri"/>
          <w:sz w:val="18"/>
          <w:szCs w:val="18"/>
        </w:rPr>
        <w:t xml:space="preserve">it </w:t>
      </w:r>
      <w:r w:rsidRPr="0042579D">
        <w:rPr>
          <w:rFonts w:ascii="Cambria" w:eastAsia="Calibri" w:hAnsi="Cambria" w:cs="Calibri"/>
          <w:spacing w:val="3"/>
          <w:sz w:val="18"/>
          <w:szCs w:val="18"/>
        </w:rPr>
        <w:t>i</w:t>
      </w:r>
      <w:r w:rsidRPr="0042579D">
        <w:rPr>
          <w:rFonts w:ascii="Cambria" w:eastAsia="Calibri" w:hAnsi="Cambria" w:cs="Calibri"/>
          <w:sz w:val="18"/>
          <w:szCs w:val="18"/>
        </w:rPr>
        <w:t>s</w:t>
      </w:r>
      <w:r w:rsidRPr="0042579D">
        <w:rPr>
          <w:rFonts w:ascii="Cambria" w:eastAsia="Calibri" w:hAnsi="Cambria" w:cs="Calibri"/>
          <w:spacing w:val="-2"/>
          <w:sz w:val="18"/>
          <w:szCs w:val="18"/>
        </w:rPr>
        <w:t xml:space="preserve"> </w:t>
      </w:r>
      <w:r w:rsidRPr="0042579D">
        <w:rPr>
          <w:rFonts w:ascii="Cambria" w:eastAsia="Calibri" w:hAnsi="Cambria" w:cs="Calibri"/>
          <w:sz w:val="18"/>
          <w:szCs w:val="18"/>
        </w:rPr>
        <w:t>cl</w:t>
      </w:r>
      <w:r w:rsidRPr="0042579D">
        <w:rPr>
          <w:rFonts w:ascii="Cambria" w:eastAsia="Calibri" w:hAnsi="Cambria" w:cs="Calibri"/>
          <w:spacing w:val="-1"/>
          <w:sz w:val="18"/>
          <w:szCs w:val="18"/>
        </w:rPr>
        <w:t>e</w:t>
      </w:r>
      <w:r w:rsidRPr="0042579D">
        <w:rPr>
          <w:rFonts w:ascii="Cambria" w:eastAsia="Calibri" w:hAnsi="Cambria" w:cs="Calibri"/>
          <w:sz w:val="18"/>
          <w:szCs w:val="18"/>
        </w:rPr>
        <w:t>ar</w:t>
      </w:r>
      <w:r w:rsidRPr="0042579D">
        <w:rPr>
          <w:rFonts w:ascii="Cambria" w:eastAsia="Calibri" w:hAnsi="Cambria" w:cs="Calibri"/>
          <w:spacing w:val="-4"/>
          <w:sz w:val="18"/>
          <w:szCs w:val="18"/>
        </w:rPr>
        <w:t xml:space="preserve"> </w:t>
      </w:r>
      <w:r w:rsidRPr="0042579D">
        <w:rPr>
          <w:rFonts w:ascii="Cambria" w:eastAsia="Calibri" w:hAnsi="Cambria" w:cs="Calibri"/>
          <w:spacing w:val="1"/>
          <w:sz w:val="18"/>
          <w:szCs w:val="18"/>
        </w:rPr>
        <w:t>th</w:t>
      </w:r>
      <w:r w:rsidRPr="0042579D">
        <w:rPr>
          <w:rFonts w:ascii="Cambria" w:eastAsia="Calibri" w:hAnsi="Cambria" w:cs="Calibri"/>
          <w:sz w:val="18"/>
          <w:szCs w:val="18"/>
        </w:rPr>
        <w:t>at</w:t>
      </w:r>
      <w:r w:rsidRPr="0042579D">
        <w:rPr>
          <w:rFonts w:ascii="Cambria" w:eastAsia="Calibri" w:hAnsi="Cambria" w:cs="Calibri"/>
          <w:spacing w:val="-2"/>
          <w:sz w:val="18"/>
          <w:szCs w:val="18"/>
        </w:rPr>
        <w:t xml:space="preserve"> </w:t>
      </w:r>
      <w:r w:rsidRPr="0042579D">
        <w:rPr>
          <w:rFonts w:ascii="Cambria" w:eastAsia="Calibri" w:hAnsi="Cambria" w:cs="Calibri"/>
          <w:sz w:val="18"/>
          <w:szCs w:val="18"/>
        </w:rPr>
        <w:t>A</w:t>
      </w:r>
      <w:r w:rsidRPr="0042579D">
        <w:rPr>
          <w:rFonts w:ascii="Cambria" w:eastAsia="Calibri" w:hAnsi="Cambria" w:cs="Calibri"/>
          <w:spacing w:val="1"/>
          <w:sz w:val="18"/>
          <w:szCs w:val="18"/>
        </w:rPr>
        <w:t>ph</w:t>
      </w:r>
      <w:r w:rsidRPr="0042579D">
        <w:rPr>
          <w:rFonts w:ascii="Cambria" w:eastAsia="Calibri" w:hAnsi="Cambria" w:cs="Calibri"/>
          <w:sz w:val="18"/>
          <w:szCs w:val="18"/>
        </w:rPr>
        <w:t>r</w:t>
      </w:r>
      <w:r w:rsidRPr="0042579D">
        <w:rPr>
          <w:rFonts w:ascii="Cambria" w:eastAsia="Calibri" w:hAnsi="Cambria" w:cs="Calibri"/>
          <w:spacing w:val="1"/>
          <w:sz w:val="18"/>
          <w:szCs w:val="18"/>
        </w:rPr>
        <w:t>od</w:t>
      </w:r>
      <w:r w:rsidRPr="0042579D">
        <w:rPr>
          <w:rFonts w:ascii="Cambria" w:eastAsia="Calibri" w:hAnsi="Cambria" w:cs="Calibri"/>
          <w:sz w:val="18"/>
          <w:szCs w:val="18"/>
        </w:rPr>
        <w:t>ite</w:t>
      </w:r>
      <w:r w:rsidRPr="0042579D">
        <w:rPr>
          <w:rFonts w:ascii="Cambria" w:eastAsia="Calibri" w:hAnsi="Cambria" w:cs="Calibri"/>
          <w:spacing w:val="-8"/>
          <w:sz w:val="18"/>
          <w:szCs w:val="18"/>
        </w:rPr>
        <w:t xml:space="preserve"> </w:t>
      </w:r>
      <w:r w:rsidRPr="0042579D">
        <w:rPr>
          <w:rFonts w:ascii="Cambria" w:eastAsia="Calibri" w:hAnsi="Cambria" w:cs="Calibri"/>
          <w:sz w:val="18"/>
          <w:szCs w:val="18"/>
        </w:rPr>
        <w:t>is</w:t>
      </w:r>
      <w:r w:rsidRPr="0042579D">
        <w:rPr>
          <w:rFonts w:ascii="Cambria" w:eastAsia="Calibri" w:hAnsi="Cambria" w:cs="Calibri"/>
          <w:spacing w:val="-2"/>
          <w:sz w:val="18"/>
          <w:szCs w:val="18"/>
        </w:rPr>
        <w:t xml:space="preserve"> </w:t>
      </w:r>
      <w:r w:rsidRPr="0042579D">
        <w:rPr>
          <w:rFonts w:ascii="Cambria" w:eastAsia="Calibri" w:hAnsi="Cambria" w:cs="Calibri"/>
          <w:spacing w:val="1"/>
          <w:sz w:val="18"/>
          <w:szCs w:val="18"/>
        </w:rPr>
        <w:t>n</w:t>
      </w:r>
      <w:r w:rsidRPr="0042579D">
        <w:rPr>
          <w:rFonts w:ascii="Cambria" w:eastAsia="Calibri" w:hAnsi="Cambria" w:cs="Calibri"/>
          <w:sz w:val="18"/>
          <w:szCs w:val="18"/>
        </w:rPr>
        <w:t>ot</w:t>
      </w:r>
      <w:r w:rsidRPr="0042579D">
        <w:rPr>
          <w:rFonts w:ascii="Cambria" w:eastAsia="Calibri" w:hAnsi="Cambria" w:cs="Calibri"/>
          <w:spacing w:val="-2"/>
          <w:sz w:val="18"/>
          <w:szCs w:val="18"/>
        </w:rPr>
        <w:t xml:space="preserve"> </w:t>
      </w:r>
      <w:r w:rsidRPr="0042579D">
        <w:rPr>
          <w:rFonts w:ascii="Cambria" w:eastAsia="Calibri" w:hAnsi="Cambria" w:cs="Calibri"/>
          <w:sz w:val="18"/>
          <w:szCs w:val="18"/>
        </w:rPr>
        <w:t>o</w:t>
      </w:r>
      <w:r w:rsidRPr="0042579D">
        <w:rPr>
          <w:rFonts w:ascii="Cambria" w:eastAsia="Calibri" w:hAnsi="Cambria" w:cs="Calibri"/>
          <w:spacing w:val="1"/>
          <w:sz w:val="18"/>
          <w:szCs w:val="18"/>
        </w:rPr>
        <w:t>n</w:t>
      </w:r>
      <w:r w:rsidRPr="0042579D">
        <w:rPr>
          <w:rFonts w:ascii="Cambria" w:eastAsia="Calibri" w:hAnsi="Cambria" w:cs="Calibri"/>
          <w:sz w:val="18"/>
          <w:szCs w:val="18"/>
        </w:rPr>
        <w:t>e</w:t>
      </w:r>
      <w:r w:rsidRPr="0042579D">
        <w:rPr>
          <w:rFonts w:ascii="Cambria" w:eastAsia="Calibri" w:hAnsi="Cambria" w:cs="Calibri"/>
          <w:spacing w:val="-4"/>
          <w:sz w:val="18"/>
          <w:szCs w:val="18"/>
        </w:rPr>
        <w:t xml:space="preserve"> </w:t>
      </w:r>
      <w:r w:rsidRPr="0042579D">
        <w:rPr>
          <w:rFonts w:ascii="Cambria" w:eastAsia="Calibri" w:hAnsi="Cambria" w:cs="Calibri"/>
          <w:spacing w:val="1"/>
          <w:sz w:val="18"/>
          <w:szCs w:val="18"/>
        </w:rPr>
        <w:t>o</w:t>
      </w:r>
      <w:r w:rsidRPr="0042579D">
        <w:rPr>
          <w:rFonts w:ascii="Cambria" w:eastAsia="Calibri" w:hAnsi="Cambria" w:cs="Calibri"/>
          <w:sz w:val="18"/>
          <w:szCs w:val="18"/>
        </w:rPr>
        <w:t>f</w:t>
      </w:r>
      <w:r w:rsidRPr="0042579D">
        <w:rPr>
          <w:rFonts w:ascii="Cambria" w:eastAsia="Calibri" w:hAnsi="Cambria" w:cs="Calibri"/>
          <w:spacing w:val="-3"/>
          <w:sz w:val="18"/>
          <w:szCs w:val="18"/>
        </w:rPr>
        <w:t xml:space="preserve"> </w:t>
      </w:r>
      <w:r w:rsidRPr="0042579D">
        <w:rPr>
          <w:rFonts w:ascii="Cambria" w:eastAsia="Calibri" w:hAnsi="Cambria" w:cs="Calibri"/>
          <w:spacing w:val="1"/>
          <w:sz w:val="18"/>
          <w:szCs w:val="18"/>
        </w:rPr>
        <w:t>th</w:t>
      </w:r>
      <w:r w:rsidRPr="0042579D">
        <w:rPr>
          <w:rFonts w:ascii="Cambria" w:eastAsia="Calibri" w:hAnsi="Cambria" w:cs="Calibri"/>
          <w:sz w:val="18"/>
          <w:szCs w:val="18"/>
        </w:rPr>
        <w:t>e</w:t>
      </w:r>
      <w:r w:rsidRPr="0042579D">
        <w:rPr>
          <w:rFonts w:ascii="Cambria" w:eastAsia="Calibri" w:hAnsi="Cambria" w:cs="Calibri"/>
          <w:spacing w:val="-4"/>
          <w:sz w:val="18"/>
          <w:szCs w:val="18"/>
        </w:rPr>
        <w:t xml:space="preserve"> </w:t>
      </w:r>
      <w:r w:rsidRPr="0042579D">
        <w:rPr>
          <w:rFonts w:ascii="Cambria" w:eastAsia="Calibri" w:hAnsi="Cambria" w:cs="Calibri"/>
          <w:sz w:val="18"/>
          <w:szCs w:val="18"/>
        </w:rPr>
        <w:t>mor</w:t>
      </w:r>
      <w:r w:rsidRPr="0042579D">
        <w:rPr>
          <w:rFonts w:ascii="Cambria" w:eastAsia="Calibri" w:hAnsi="Cambria" w:cs="Calibri"/>
          <w:spacing w:val="1"/>
          <w:sz w:val="18"/>
          <w:szCs w:val="18"/>
        </w:rPr>
        <w:t>t</w:t>
      </w:r>
      <w:r w:rsidRPr="0042579D">
        <w:rPr>
          <w:rFonts w:ascii="Cambria" w:eastAsia="Calibri" w:hAnsi="Cambria" w:cs="Calibri"/>
          <w:spacing w:val="3"/>
          <w:sz w:val="18"/>
          <w:szCs w:val="18"/>
        </w:rPr>
        <w:t>a</w:t>
      </w:r>
      <w:r w:rsidRPr="0042579D">
        <w:rPr>
          <w:rFonts w:ascii="Cambria" w:eastAsia="Calibri" w:hAnsi="Cambria" w:cs="Calibri"/>
          <w:sz w:val="18"/>
          <w:szCs w:val="18"/>
        </w:rPr>
        <w:t>l</w:t>
      </w:r>
      <w:r w:rsidRPr="0042579D">
        <w:rPr>
          <w:rFonts w:ascii="Cambria" w:eastAsia="Calibri" w:hAnsi="Cambria" w:cs="Calibri"/>
          <w:spacing w:val="-1"/>
          <w:sz w:val="18"/>
          <w:szCs w:val="18"/>
        </w:rPr>
        <w:t>s</w:t>
      </w:r>
      <w:r w:rsidRPr="0042579D">
        <w:rPr>
          <w:rFonts w:ascii="Cambria" w:eastAsia="Calibri" w:hAnsi="Cambria" w:cs="Calibri"/>
          <w:sz w:val="18"/>
          <w:szCs w:val="18"/>
        </w:rPr>
        <w:t>,</w:t>
      </w:r>
      <w:r w:rsidRPr="0042579D">
        <w:rPr>
          <w:rFonts w:ascii="Cambria" w:eastAsia="Calibri" w:hAnsi="Cambria" w:cs="Calibri"/>
          <w:spacing w:val="-7"/>
          <w:sz w:val="18"/>
          <w:szCs w:val="18"/>
        </w:rPr>
        <w:t xml:space="preserve"> </w:t>
      </w:r>
      <w:r w:rsidRPr="0042579D">
        <w:rPr>
          <w:rFonts w:ascii="Cambria" w:eastAsia="Calibri" w:hAnsi="Cambria" w:cs="Calibri"/>
          <w:spacing w:val="1"/>
          <w:sz w:val="18"/>
          <w:szCs w:val="18"/>
        </w:rPr>
        <w:t>ju</w:t>
      </w:r>
      <w:r w:rsidRPr="0042579D">
        <w:rPr>
          <w:rFonts w:ascii="Cambria" w:eastAsia="Calibri" w:hAnsi="Cambria" w:cs="Calibri"/>
          <w:spacing w:val="-1"/>
          <w:sz w:val="18"/>
          <w:szCs w:val="18"/>
        </w:rPr>
        <w:t>s</w:t>
      </w:r>
      <w:r w:rsidRPr="0042579D">
        <w:rPr>
          <w:rFonts w:ascii="Cambria" w:eastAsia="Calibri" w:hAnsi="Cambria" w:cs="Calibri"/>
          <w:sz w:val="18"/>
          <w:szCs w:val="18"/>
        </w:rPr>
        <w:t>t</w:t>
      </w:r>
      <w:r w:rsidRPr="0042579D">
        <w:rPr>
          <w:rFonts w:ascii="Cambria" w:eastAsia="Calibri" w:hAnsi="Cambria" w:cs="Calibri"/>
          <w:spacing w:val="-2"/>
          <w:sz w:val="18"/>
          <w:szCs w:val="18"/>
        </w:rPr>
        <w:t xml:space="preserve"> </w:t>
      </w:r>
      <w:r w:rsidRPr="0042579D">
        <w:rPr>
          <w:rFonts w:ascii="Cambria" w:eastAsia="Calibri" w:hAnsi="Cambria" w:cs="Calibri"/>
          <w:sz w:val="18"/>
          <w:szCs w:val="18"/>
        </w:rPr>
        <w:t>as</w:t>
      </w:r>
      <w:r w:rsidRPr="0042579D">
        <w:rPr>
          <w:rFonts w:ascii="Cambria" w:eastAsia="Calibri" w:hAnsi="Cambria" w:cs="Calibri"/>
          <w:spacing w:val="-2"/>
          <w:sz w:val="18"/>
          <w:szCs w:val="18"/>
        </w:rPr>
        <w:t xml:space="preserve"> </w:t>
      </w:r>
      <w:r w:rsidRPr="0042579D">
        <w:rPr>
          <w:rFonts w:ascii="Cambria" w:eastAsia="Calibri" w:hAnsi="Cambria" w:cs="Calibri"/>
          <w:spacing w:val="-1"/>
          <w:sz w:val="18"/>
          <w:szCs w:val="18"/>
        </w:rPr>
        <w:t>J</w:t>
      </w:r>
      <w:r w:rsidRPr="0042579D">
        <w:rPr>
          <w:rFonts w:ascii="Cambria" w:eastAsia="Calibri" w:hAnsi="Cambria" w:cs="Calibri"/>
          <w:spacing w:val="1"/>
          <w:sz w:val="18"/>
          <w:szCs w:val="18"/>
        </w:rPr>
        <w:t>un</w:t>
      </w:r>
      <w:r w:rsidRPr="0042579D">
        <w:rPr>
          <w:rFonts w:ascii="Cambria" w:eastAsia="Calibri" w:hAnsi="Cambria" w:cs="Calibri"/>
          <w:sz w:val="18"/>
          <w:szCs w:val="18"/>
        </w:rPr>
        <w:t>ia</w:t>
      </w:r>
      <w:r w:rsidRPr="0042579D">
        <w:rPr>
          <w:rFonts w:ascii="Cambria" w:eastAsia="Calibri" w:hAnsi="Cambria" w:cs="Calibri"/>
          <w:spacing w:val="-3"/>
          <w:sz w:val="18"/>
          <w:szCs w:val="18"/>
        </w:rPr>
        <w:t xml:space="preserve"> </w:t>
      </w:r>
      <w:r w:rsidRPr="0042579D">
        <w:rPr>
          <w:rFonts w:ascii="Cambria" w:eastAsia="Calibri" w:hAnsi="Cambria" w:cs="Calibri"/>
          <w:sz w:val="18"/>
          <w:szCs w:val="18"/>
        </w:rPr>
        <w:t>/</w:t>
      </w:r>
      <w:r w:rsidRPr="0042579D">
        <w:rPr>
          <w:rFonts w:ascii="Cambria" w:eastAsia="Calibri" w:hAnsi="Cambria" w:cs="Calibri"/>
          <w:spacing w:val="-1"/>
          <w:sz w:val="18"/>
          <w:szCs w:val="18"/>
        </w:rPr>
        <w:t xml:space="preserve"> J</w:t>
      </w:r>
      <w:r w:rsidRPr="0042579D">
        <w:rPr>
          <w:rFonts w:ascii="Cambria" w:eastAsia="Calibri" w:hAnsi="Cambria" w:cs="Calibri"/>
          <w:spacing w:val="1"/>
          <w:sz w:val="18"/>
          <w:szCs w:val="18"/>
        </w:rPr>
        <w:t>un</w:t>
      </w:r>
      <w:r w:rsidRPr="0042579D">
        <w:rPr>
          <w:rFonts w:ascii="Cambria" w:eastAsia="Calibri" w:hAnsi="Cambria" w:cs="Calibri"/>
          <w:sz w:val="18"/>
          <w:szCs w:val="18"/>
        </w:rPr>
        <w:t>i</w:t>
      </w:r>
      <w:r w:rsidRPr="0042579D">
        <w:rPr>
          <w:rFonts w:ascii="Cambria" w:eastAsia="Calibri" w:hAnsi="Cambria" w:cs="Calibri"/>
          <w:spacing w:val="3"/>
          <w:sz w:val="18"/>
          <w:szCs w:val="18"/>
        </w:rPr>
        <w:t>a</w:t>
      </w:r>
      <w:r w:rsidRPr="0042579D">
        <w:rPr>
          <w:rFonts w:ascii="Cambria" w:eastAsia="Calibri" w:hAnsi="Cambria" w:cs="Calibri"/>
          <w:sz w:val="18"/>
          <w:szCs w:val="18"/>
        </w:rPr>
        <w:t>s</w:t>
      </w:r>
      <w:r w:rsidRPr="0042579D">
        <w:rPr>
          <w:rFonts w:ascii="Cambria" w:eastAsia="Calibri" w:hAnsi="Cambria" w:cs="Calibri"/>
          <w:spacing w:val="-6"/>
          <w:sz w:val="18"/>
          <w:szCs w:val="18"/>
        </w:rPr>
        <w:t xml:space="preserve"> </w:t>
      </w:r>
      <w:r w:rsidRPr="0042579D">
        <w:rPr>
          <w:rFonts w:ascii="Cambria" w:eastAsia="Calibri" w:hAnsi="Cambria" w:cs="Calibri"/>
          <w:sz w:val="18"/>
          <w:szCs w:val="18"/>
        </w:rPr>
        <w:t>in</w:t>
      </w:r>
      <w:r w:rsidRPr="0042579D">
        <w:rPr>
          <w:rFonts w:ascii="Cambria" w:eastAsia="Calibri" w:hAnsi="Cambria" w:cs="Calibri"/>
          <w:spacing w:val="-1"/>
          <w:sz w:val="18"/>
          <w:szCs w:val="18"/>
        </w:rPr>
        <w:t xml:space="preserve"> </w:t>
      </w:r>
      <w:r w:rsidRPr="0042579D">
        <w:rPr>
          <w:rFonts w:ascii="Cambria" w:eastAsia="Calibri" w:hAnsi="Cambria" w:cs="Calibri"/>
          <w:spacing w:val="1"/>
          <w:sz w:val="18"/>
          <w:szCs w:val="18"/>
        </w:rPr>
        <w:t>un</w:t>
      </w:r>
      <w:r w:rsidRPr="0042579D">
        <w:rPr>
          <w:rFonts w:ascii="Cambria" w:eastAsia="Calibri" w:hAnsi="Cambria" w:cs="Calibri"/>
          <w:sz w:val="18"/>
          <w:szCs w:val="18"/>
        </w:rPr>
        <w:t>likely</w:t>
      </w:r>
      <w:r w:rsidRPr="0042579D">
        <w:rPr>
          <w:rFonts w:ascii="Cambria" w:eastAsia="Calibri" w:hAnsi="Cambria" w:cs="Calibri"/>
          <w:spacing w:val="-5"/>
          <w:sz w:val="18"/>
          <w:szCs w:val="18"/>
        </w:rPr>
        <w:t xml:space="preserve"> </w:t>
      </w:r>
      <w:r w:rsidRPr="0042579D">
        <w:rPr>
          <w:rFonts w:ascii="Cambria" w:eastAsia="Calibri" w:hAnsi="Cambria" w:cs="Calibri"/>
          <w:spacing w:val="1"/>
          <w:sz w:val="18"/>
          <w:szCs w:val="18"/>
        </w:rPr>
        <w:t>t</w:t>
      </w:r>
      <w:r w:rsidRPr="0042579D">
        <w:rPr>
          <w:rFonts w:ascii="Cambria" w:eastAsia="Calibri" w:hAnsi="Cambria" w:cs="Calibri"/>
          <w:sz w:val="18"/>
          <w:szCs w:val="18"/>
        </w:rPr>
        <w:t>o</w:t>
      </w:r>
      <w:r w:rsidRPr="0042579D">
        <w:rPr>
          <w:rFonts w:ascii="Cambria" w:eastAsia="Calibri" w:hAnsi="Cambria" w:cs="Calibri"/>
          <w:spacing w:val="-2"/>
          <w:sz w:val="18"/>
          <w:szCs w:val="18"/>
        </w:rPr>
        <w:t xml:space="preserve"> </w:t>
      </w:r>
      <w:r w:rsidRPr="0042579D">
        <w:rPr>
          <w:rFonts w:ascii="Cambria" w:eastAsia="Calibri" w:hAnsi="Cambria" w:cs="Calibri"/>
          <w:spacing w:val="1"/>
          <w:sz w:val="18"/>
          <w:szCs w:val="18"/>
        </w:rPr>
        <w:t>h</w:t>
      </w:r>
      <w:r w:rsidRPr="0042579D">
        <w:rPr>
          <w:rFonts w:ascii="Cambria" w:eastAsia="Calibri" w:hAnsi="Cambria" w:cs="Calibri"/>
          <w:sz w:val="18"/>
          <w:szCs w:val="18"/>
        </w:rPr>
        <w:t>a</w:t>
      </w:r>
      <w:r w:rsidRPr="0042579D">
        <w:rPr>
          <w:rFonts w:ascii="Cambria" w:eastAsia="Calibri" w:hAnsi="Cambria" w:cs="Calibri"/>
          <w:spacing w:val="-1"/>
          <w:sz w:val="18"/>
          <w:szCs w:val="18"/>
        </w:rPr>
        <w:t>v</w:t>
      </w:r>
      <w:r w:rsidRPr="0042579D">
        <w:rPr>
          <w:rFonts w:ascii="Cambria" w:eastAsia="Calibri" w:hAnsi="Cambria" w:cs="Calibri"/>
          <w:sz w:val="18"/>
          <w:szCs w:val="18"/>
        </w:rPr>
        <w:t>e</w:t>
      </w:r>
      <w:r w:rsidRPr="0042579D">
        <w:rPr>
          <w:rFonts w:ascii="Cambria" w:eastAsia="Calibri" w:hAnsi="Cambria" w:cs="Calibri"/>
          <w:spacing w:val="-5"/>
          <w:sz w:val="18"/>
          <w:szCs w:val="18"/>
        </w:rPr>
        <w:t xml:space="preserve"> </w:t>
      </w:r>
      <w:r w:rsidRPr="0042579D">
        <w:rPr>
          <w:rFonts w:ascii="Cambria" w:eastAsia="Calibri" w:hAnsi="Cambria" w:cs="Calibri"/>
          <w:spacing w:val="1"/>
          <w:sz w:val="18"/>
          <w:szCs w:val="18"/>
        </w:rPr>
        <w:t>b</w:t>
      </w:r>
      <w:r w:rsidRPr="0042579D">
        <w:rPr>
          <w:rFonts w:ascii="Cambria" w:eastAsia="Calibri" w:hAnsi="Cambria" w:cs="Calibri"/>
          <w:spacing w:val="-1"/>
          <w:sz w:val="18"/>
          <w:szCs w:val="18"/>
        </w:rPr>
        <w:t>ee</w:t>
      </w:r>
      <w:r w:rsidRPr="0042579D">
        <w:rPr>
          <w:rFonts w:ascii="Cambria" w:eastAsia="Calibri" w:hAnsi="Cambria" w:cs="Calibri"/>
          <w:sz w:val="18"/>
          <w:szCs w:val="18"/>
        </w:rPr>
        <w:t>n</w:t>
      </w:r>
      <w:r w:rsidRPr="0042579D">
        <w:rPr>
          <w:rFonts w:ascii="Cambria" w:eastAsia="Calibri" w:hAnsi="Cambria" w:cs="Calibri"/>
          <w:spacing w:val="-3"/>
          <w:sz w:val="18"/>
          <w:szCs w:val="18"/>
        </w:rPr>
        <w:t xml:space="preserve"> </w:t>
      </w:r>
      <w:r w:rsidRPr="0042579D">
        <w:rPr>
          <w:rFonts w:ascii="Cambria" w:eastAsia="Calibri" w:hAnsi="Cambria" w:cs="Calibri"/>
          <w:spacing w:val="1"/>
          <w:sz w:val="18"/>
          <w:szCs w:val="18"/>
        </w:rPr>
        <w:t>on</w:t>
      </w:r>
      <w:r w:rsidRPr="0042579D">
        <w:rPr>
          <w:rFonts w:ascii="Cambria" w:eastAsia="Calibri" w:hAnsi="Cambria" w:cs="Calibri"/>
          <w:sz w:val="18"/>
          <w:szCs w:val="18"/>
        </w:rPr>
        <w:t>e</w:t>
      </w:r>
      <w:r w:rsidRPr="0042579D">
        <w:rPr>
          <w:rFonts w:ascii="Cambria" w:eastAsia="Calibri" w:hAnsi="Cambria" w:cs="Calibri"/>
          <w:spacing w:val="-4"/>
          <w:sz w:val="18"/>
          <w:szCs w:val="18"/>
        </w:rPr>
        <w:t xml:space="preserve"> </w:t>
      </w:r>
      <w:r w:rsidRPr="0042579D">
        <w:rPr>
          <w:rFonts w:ascii="Cambria" w:eastAsia="Calibri" w:hAnsi="Cambria" w:cs="Calibri"/>
          <w:spacing w:val="1"/>
          <w:sz w:val="18"/>
          <w:szCs w:val="18"/>
        </w:rPr>
        <w:t>o</w:t>
      </w:r>
      <w:r w:rsidRPr="0042579D">
        <w:rPr>
          <w:rFonts w:ascii="Cambria" w:eastAsia="Calibri" w:hAnsi="Cambria" w:cs="Calibri"/>
          <w:sz w:val="18"/>
          <w:szCs w:val="18"/>
        </w:rPr>
        <w:t>f</w:t>
      </w:r>
      <w:r w:rsidRPr="0042579D">
        <w:rPr>
          <w:rFonts w:ascii="Cambria" w:eastAsia="Calibri" w:hAnsi="Cambria" w:cs="Calibri"/>
          <w:spacing w:val="-3"/>
          <w:sz w:val="18"/>
          <w:szCs w:val="18"/>
        </w:rPr>
        <w:t xml:space="preserve"> </w:t>
      </w:r>
      <w:r w:rsidRPr="0042579D">
        <w:rPr>
          <w:rFonts w:ascii="Cambria" w:eastAsia="Calibri" w:hAnsi="Cambria" w:cs="Calibri"/>
          <w:spacing w:val="1"/>
          <w:sz w:val="18"/>
          <w:szCs w:val="18"/>
        </w:rPr>
        <w:t>th</w:t>
      </w:r>
      <w:r w:rsidRPr="0042579D">
        <w:rPr>
          <w:rFonts w:ascii="Cambria" w:eastAsia="Calibri" w:hAnsi="Cambria" w:cs="Calibri"/>
          <w:sz w:val="18"/>
          <w:szCs w:val="18"/>
        </w:rPr>
        <w:t>e</w:t>
      </w:r>
      <w:r w:rsidRPr="0042579D">
        <w:rPr>
          <w:rFonts w:ascii="Cambria" w:eastAsia="Calibri" w:hAnsi="Cambria" w:cs="Calibri"/>
          <w:spacing w:val="11"/>
          <w:sz w:val="18"/>
          <w:szCs w:val="18"/>
        </w:rPr>
        <w:t xml:space="preserve"> </w:t>
      </w:r>
      <w:r w:rsidRPr="0042579D">
        <w:rPr>
          <w:rFonts w:ascii="Cambria" w:eastAsia="Calibri" w:hAnsi="Cambria" w:cs="Calibri"/>
          <w:sz w:val="18"/>
          <w:szCs w:val="18"/>
        </w:rPr>
        <w:t>A</w:t>
      </w:r>
      <w:r w:rsidRPr="0042579D">
        <w:rPr>
          <w:rFonts w:ascii="Cambria" w:eastAsia="Calibri" w:hAnsi="Cambria" w:cs="Calibri"/>
          <w:spacing w:val="1"/>
          <w:sz w:val="18"/>
          <w:szCs w:val="18"/>
        </w:rPr>
        <w:t>p</w:t>
      </w:r>
      <w:r w:rsidRPr="0042579D">
        <w:rPr>
          <w:rFonts w:ascii="Cambria" w:eastAsia="Calibri" w:hAnsi="Cambria" w:cs="Calibri"/>
          <w:sz w:val="18"/>
          <w:szCs w:val="18"/>
        </w:rPr>
        <w:t>o</w:t>
      </w:r>
      <w:r w:rsidRPr="0042579D">
        <w:rPr>
          <w:rFonts w:ascii="Cambria" w:eastAsia="Calibri" w:hAnsi="Cambria" w:cs="Calibri"/>
          <w:spacing w:val="-1"/>
          <w:sz w:val="18"/>
          <w:szCs w:val="18"/>
        </w:rPr>
        <w:t>s</w:t>
      </w:r>
      <w:r w:rsidRPr="0042579D">
        <w:rPr>
          <w:rFonts w:ascii="Cambria" w:eastAsia="Calibri" w:hAnsi="Cambria" w:cs="Calibri"/>
          <w:sz w:val="18"/>
          <w:szCs w:val="18"/>
        </w:rPr>
        <w:t>tl</w:t>
      </w:r>
      <w:r w:rsidRPr="0042579D">
        <w:rPr>
          <w:rFonts w:ascii="Cambria" w:eastAsia="Calibri" w:hAnsi="Cambria" w:cs="Calibri"/>
          <w:spacing w:val="2"/>
          <w:sz w:val="18"/>
          <w:szCs w:val="18"/>
        </w:rPr>
        <w:t>e</w:t>
      </w:r>
      <w:r w:rsidRPr="0042579D">
        <w:rPr>
          <w:rFonts w:ascii="Cambria" w:eastAsia="Calibri" w:hAnsi="Cambria" w:cs="Calibri"/>
          <w:spacing w:val="-1"/>
          <w:sz w:val="18"/>
          <w:szCs w:val="18"/>
        </w:rPr>
        <w:t>s</w:t>
      </w:r>
      <w:r w:rsidRPr="0042579D">
        <w:rPr>
          <w:rFonts w:ascii="Cambria" w:eastAsia="Calibri" w:hAnsi="Cambria" w:cs="Calibri"/>
          <w:sz w:val="18"/>
          <w:szCs w:val="18"/>
        </w:rPr>
        <w:t>.</w:t>
      </w:r>
    </w:p>
  </w:footnote>
  <w:footnote w:id="12">
    <w:p w14:paraId="1EE06A8C" w14:textId="153E2DC5" w:rsidR="004B03F8" w:rsidRPr="0042579D" w:rsidRDefault="004B03F8" w:rsidP="0042579D">
      <w:pPr>
        <w:spacing w:after="0" w:line="240" w:lineRule="auto"/>
        <w:ind w:right="-20"/>
        <w:rPr>
          <w:rFonts w:ascii="Cambria" w:eastAsiaTheme="minorEastAsia" w:hAnsi="Cambria"/>
          <w:sz w:val="18"/>
          <w:szCs w:val="18"/>
        </w:rPr>
      </w:pPr>
      <w:r w:rsidRPr="0042579D">
        <w:rPr>
          <w:rStyle w:val="FootnoteReference"/>
          <w:rFonts w:ascii="Cambria" w:hAnsi="Cambria"/>
          <w:sz w:val="18"/>
          <w:szCs w:val="18"/>
        </w:rPr>
        <w:footnoteRef/>
      </w:r>
      <w:r w:rsidRPr="0042579D">
        <w:rPr>
          <w:rFonts w:ascii="Cambria" w:hAnsi="Cambria"/>
          <w:sz w:val="18"/>
          <w:szCs w:val="18"/>
        </w:rPr>
        <w:t xml:space="preserve"> </w:t>
      </w:r>
      <w:r w:rsidRPr="0042579D">
        <w:rPr>
          <w:rFonts w:ascii="Cambria" w:eastAsia="Calibri" w:hAnsi="Cambria" w:cs="Calibri"/>
          <w:spacing w:val="-1"/>
          <w:sz w:val="18"/>
          <w:szCs w:val="18"/>
        </w:rPr>
        <w:t>T</w:t>
      </w:r>
      <w:r w:rsidRPr="0042579D">
        <w:rPr>
          <w:rFonts w:ascii="Cambria" w:eastAsia="Calibri" w:hAnsi="Cambria" w:cs="Calibri"/>
          <w:spacing w:val="1"/>
          <w:sz w:val="18"/>
          <w:szCs w:val="18"/>
        </w:rPr>
        <w:t>h</w:t>
      </w:r>
      <w:r w:rsidRPr="0042579D">
        <w:rPr>
          <w:rFonts w:ascii="Cambria" w:eastAsia="Calibri" w:hAnsi="Cambria" w:cs="Calibri"/>
          <w:sz w:val="18"/>
          <w:szCs w:val="18"/>
        </w:rPr>
        <w:t>e</w:t>
      </w:r>
      <w:r w:rsidRPr="0042579D">
        <w:rPr>
          <w:rFonts w:ascii="Cambria" w:eastAsia="Calibri" w:hAnsi="Cambria" w:cs="Calibri"/>
          <w:spacing w:val="-4"/>
          <w:sz w:val="18"/>
          <w:szCs w:val="18"/>
        </w:rPr>
        <w:t xml:space="preserve"> </w:t>
      </w:r>
      <w:r w:rsidRPr="0042579D">
        <w:rPr>
          <w:rFonts w:ascii="Cambria" w:eastAsia="Calibri" w:hAnsi="Cambria" w:cs="Calibri"/>
          <w:sz w:val="18"/>
          <w:szCs w:val="18"/>
        </w:rPr>
        <w:t>G</w:t>
      </w:r>
      <w:r w:rsidRPr="0042579D">
        <w:rPr>
          <w:rFonts w:ascii="Cambria" w:eastAsia="Calibri" w:hAnsi="Cambria" w:cs="Calibri"/>
          <w:spacing w:val="2"/>
          <w:sz w:val="18"/>
          <w:szCs w:val="18"/>
        </w:rPr>
        <w:t>r</w:t>
      </w:r>
      <w:r w:rsidRPr="0042579D">
        <w:rPr>
          <w:rFonts w:ascii="Cambria" w:eastAsia="Calibri" w:hAnsi="Cambria" w:cs="Calibri"/>
          <w:spacing w:val="-1"/>
          <w:sz w:val="18"/>
          <w:szCs w:val="18"/>
        </w:rPr>
        <w:t>e</w:t>
      </w:r>
      <w:r w:rsidRPr="0042579D">
        <w:rPr>
          <w:rFonts w:ascii="Cambria" w:eastAsia="Calibri" w:hAnsi="Cambria" w:cs="Calibri"/>
          <w:sz w:val="18"/>
          <w:szCs w:val="18"/>
        </w:rPr>
        <w:t>ek</w:t>
      </w:r>
      <w:r w:rsidRPr="0042579D">
        <w:rPr>
          <w:rFonts w:ascii="Cambria" w:eastAsia="Calibri" w:hAnsi="Cambria" w:cs="Calibri"/>
          <w:spacing w:val="-4"/>
          <w:sz w:val="18"/>
          <w:szCs w:val="18"/>
        </w:rPr>
        <w:t xml:space="preserve"> </w:t>
      </w:r>
      <w:r w:rsidRPr="0042579D">
        <w:rPr>
          <w:rFonts w:ascii="Cambria" w:eastAsia="Calibri" w:hAnsi="Cambria" w:cs="Calibri"/>
          <w:spacing w:val="-1"/>
          <w:sz w:val="18"/>
          <w:szCs w:val="18"/>
        </w:rPr>
        <w:t>w</w:t>
      </w:r>
      <w:r w:rsidRPr="0042579D">
        <w:rPr>
          <w:rFonts w:ascii="Cambria" w:eastAsia="Calibri" w:hAnsi="Cambria" w:cs="Calibri"/>
          <w:sz w:val="18"/>
          <w:szCs w:val="18"/>
        </w:rPr>
        <w:t>ord</w:t>
      </w:r>
      <w:r w:rsidRPr="0042579D">
        <w:rPr>
          <w:rFonts w:ascii="Cambria" w:eastAsia="Calibri" w:hAnsi="Cambria" w:cs="Calibri"/>
          <w:spacing w:val="-2"/>
          <w:sz w:val="18"/>
          <w:szCs w:val="18"/>
        </w:rPr>
        <w:t xml:space="preserve"> </w:t>
      </w:r>
      <w:r w:rsidRPr="0042579D">
        <w:rPr>
          <w:rFonts w:ascii="Cambria" w:eastAsia="Calibri" w:hAnsi="Cambria" w:cs="Calibri"/>
          <w:i/>
          <w:spacing w:val="1"/>
          <w:sz w:val="18"/>
          <w:szCs w:val="18"/>
        </w:rPr>
        <w:t>d</w:t>
      </w:r>
      <w:r w:rsidRPr="0042579D">
        <w:rPr>
          <w:rFonts w:ascii="Cambria" w:eastAsia="Calibri" w:hAnsi="Cambria" w:cs="Calibri"/>
          <w:i/>
          <w:sz w:val="18"/>
          <w:szCs w:val="18"/>
        </w:rPr>
        <w:t>ia</w:t>
      </w:r>
      <w:r w:rsidRPr="0042579D">
        <w:rPr>
          <w:rFonts w:ascii="Cambria" w:eastAsia="Calibri" w:hAnsi="Cambria" w:cs="Calibri"/>
          <w:i/>
          <w:spacing w:val="1"/>
          <w:sz w:val="18"/>
          <w:szCs w:val="18"/>
        </w:rPr>
        <w:t>kono</w:t>
      </w:r>
      <w:r w:rsidRPr="0042579D">
        <w:rPr>
          <w:rFonts w:ascii="Cambria" w:eastAsia="Calibri" w:hAnsi="Cambria" w:cs="Calibri"/>
          <w:i/>
          <w:sz w:val="18"/>
          <w:szCs w:val="18"/>
        </w:rPr>
        <w:t>s</w:t>
      </w:r>
      <w:r w:rsidRPr="0042579D">
        <w:rPr>
          <w:rFonts w:ascii="Cambria" w:eastAsia="Calibri" w:hAnsi="Cambria" w:cs="Calibri"/>
          <w:i/>
          <w:spacing w:val="-6"/>
          <w:sz w:val="18"/>
          <w:szCs w:val="18"/>
        </w:rPr>
        <w:t xml:space="preserve"> </w:t>
      </w:r>
      <w:r w:rsidRPr="0042579D">
        <w:rPr>
          <w:rFonts w:ascii="Cambria" w:eastAsia="Calibri" w:hAnsi="Cambria" w:cs="Calibri"/>
          <w:spacing w:val="-1"/>
          <w:sz w:val="18"/>
          <w:szCs w:val="18"/>
        </w:rPr>
        <w:t>s</w:t>
      </w:r>
      <w:r w:rsidRPr="0042579D">
        <w:rPr>
          <w:rFonts w:ascii="Cambria" w:eastAsia="Calibri" w:hAnsi="Cambria" w:cs="Calibri"/>
          <w:spacing w:val="2"/>
          <w:sz w:val="18"/>
          <w:szCs w:val="18"/>
        </w:rPr>
        <w:t>i</w:t>
      </w:r>
      <w:r w:rsidRPr="0042579D">
        <w:rPr>
          <w:rFonts w:ascii="Cambria" w:eastAsia="Calibri" w:hAnsi="Cambria" w:cs="Calibri"/>
          <w:spacing w:val="1"/>
          <w:sz w:val="18"/>
          <w:szCs w:val="18"/>
        </w:rPr>
        <w:t>mp</w:t>
      </w:r>
      <w:r w:rsidRPr="0042579D">
        <w:rPr>
          <w:rFonts w:ascii="Cambria" w:eastAsia="Calibri" w:hAnsi="Cambria" w:cs="Calibri"/>
          <w:sz w:val="18"/>
          <w:szCs w:val="18"/>
        </w:rPr>
        <w:t>ly</w:t>
      </w:r>
      <w:r w:rsidRPr="0042579D">
        <w:rPr>
          <w:rFonts w:ascii="Cambria" w:eastAsia="Calibri" w:hAnsi="Cambria" w:cs="Calibri"/>
          <w:spacing w:val="-5"/>
          <w:sz w:val="18"/>
          <w:szCs w:val="18"/>
        </w:rPr>
        <w:t xml:space="preserve"> </w:t>
      </w:r>
      <w:r w:rsidRPr="0042579D">
        <w:rPr>
          <w:rFonts w:ascii="Cambria" w:eastAsia="Calibri" w:hAnsi="Cambria" w:cs="Calibri"/>
          <w:sz w:val="18"/>
          <w:szCs w:val="18"/>
        </w:rPr>
        <w:t>m</w:t>
      </w:r>
      <w:r w:rsidRPr="0042579D">
        <w:rPr>
          <w:rFonts w:ascii="Cambria" w:eastAsia="Calibri" w:hAnsi="Cambria" w:cs="Calibri"/>
          <w:spacing w:val="-1"/>
          <w:sz w:val="18"/>
          <w:szCs w:val="18"/>
        </w:rPr>
        <w:t>e</w:t>
      </w:r>
      <w:r w:rsidRPr="0042579D">
        <w:rPr>
          <w:rFonts w:ascii="Cambria" w:eastAsia="Calibri" w:hAnsi="Cambria" w:cs="Calibri"/>
          <w:sz w:val="18"/>
          <w:szCs w:val="18"/>
        </w:rPr>
        <w:t>a</w:t>
      </w:r>
      <w:r w:rsidRPr="0042579D">
        <w:rPr>
          <w:rFonts w:ascii="Cambria" w:eastAsia="Calibri" w:hAnsi="Cambria" w:cs="Calibri"/>
          <w:spacing w:val="1"/>
          <w:sz w:val="18"/>
          <w:szCs w:val="18"/>
        </w:rPr>
        <w:t>n</w:t>
      </w:r>
      <w:r w:rsidRPr="0042579D">
        <w:rPr>
          <w:rFonts w:ascii="Cambria" w:eastAsia="Calibri" w:hAnsi="Cambria" w:cs="Calibri"/>
          <w:sz w:val="18"/>
          <w:szCs w:val="18"/>
        </w:rPr>
        <w:t>s</w:t>
      </w:r>
      <w:r w:rsidRPr="0042579D">
        <w:rPr>
          <w:rFonts w:ascii="Cambria" w:eastAsia="Calibri" w:hAnsi="Cambria" w:cs="Calibri"/>
          <w:spacing w:val="-6"/>
          <w:sz w:val="18"/>
          <w:szCs w:val="18"/>
        </w:rPr>
        <w:t xml:space="preserve"> </w:t>
      </w:r>
      <w:r w:rsidRPr="0042579D">
        <w:rPr>
          <w:rFonts w:ascii="Cambria" w:eastAsia="Calibri" w:hAnsi="Cambria" w:cs="Calibri"/>
          <w:spacing w:val="1"/>
          <w:sz w:val="18"/>
          <w:szCs w:val="18"/>
        </w:rPr>
        <w:t>“s</w:t>
      </w:r>
      <w:r w:rsidRPr="0042579D">
        <w:rPr>
          <w:rFonts w:ascii="Cambria" w:eastAsia="Calibri" w:hAnsi="Cambria" w:cs="Calibri"/>
          <w:spacing w:val="-1"/>
          <w:sz w:val="18"/>
          <w:szCs w:val="18"/>
        </w:rPr>
        <w:t>e</w:t>
      </w:r>
      <w:r w:rsidRPr="0042579D">
        <w:rPr>
          <w:rFonts w:ascii="Cambria" w:eastAsia="Calibri" w:hAnsi="Cambria" w:cs="Calibri"/>
          <w:sz w:val="18"/>
          <w:szCs w:val="18"/>
        </w:rPr>
        <w:t>r</w:t>
      </w:r>
      <w:r w:rsidRPr="0042579D">
        <w:rPr>
          <w:rFonts w:ascii="Cambria" w:eastAsia="Calibri" w:hAnsi="Cambria" w:cs="Calibri"/>
          <w:spacing w:val="-1"/>
          <w:sz w:val="18"/>
          <w:szCs w:val="18"/>
        </w:rPr>
        <w:t>v</w:t>
      </w:r>
      <w:r w:rsidRPr="0042579D">
        <w:rPr>
          <w:rFonts w:ascii="Cambria" w:eastAsia="Calibri" w:hAnsi="Cambria" w:cs="Calibri"/>
          <w:sz w:val="18"/>
          <w:szCs w:val="18"/>
        </w:rPr>
        <w:t>a</w:t>
      </w:r>
      <w:r w:rsidRPr="0042579D">
        <w:rPr>
          <w:rFonts w:ascii="Cambria" w:eastAsia="Calibri" w:hAnsi="Cambria" w:cs="Calibri"/>
          <w:spacing w:val="1"/>
          <w:sz w:val="18"/>
          <w:szCs w:val="18"/>
        </w:rPr>
        <w:t>n</w:t>
      </w:r>
      <w:r w:rsidRPr="0042579D">
        <w:rPr>
          <w:rFonts w:ascii="Cambria" w:eastAsia="Calibri" w:hAnsi="Cambria" w:cs="Calibri"/>
          <w:sz w:val="18"/>
          <w:szCs w:val="18"/>
        </w:rPr>
        <w:t>t.”</w:t>
      </w:r>
      <w:r w:rsidRPr="0042579D">
        <w:rPr>
          <w:rFonts w:ascii="Cambria" w:eastAsia="Calibri" w:hAnsi="Cambria" w:cs="Calibri"/>
          <w:spacing w:val="-8"/>
          <w:sz w:val="18"/>
          <w:szCs w:val="18"/>
        </w:rPr>
        <w:t xml:space="preserve"> </w:t>
      </w:r>
      <w:r w:rsidRPr="0042579D">
        <w:rPr>
          <w:rFonts w:ascii="Cambria" w:eastAsia="Calibri" w:hAnsi="Cambria" w:cs="Calibri"/>
          <w:sz w:val="18"/>
          <w:szCs w:val="18"/>
        </w:rPr>
        <w:t>S</w:t>
      </w:r>
      <w:r w:rsidRPr="0042579D">
        <w:rPr>
          <w:rFonts w:ascii="Cambria" w:eastAsia="Calibri" w:hAnsi="Cambria" w:cs="Calibri"/>
          <w:spacing w:val="1"/>
          <w:sz w:val="18"/>
          <w:szCs w:val="18"/>
        </w:rPr>
        <w:t>om</w:t>
      </w:r>
      <w:r w:rsidRPr="0042579D">
        <w:rPr>
          <w:rFonts w:ascii="Cambria" w:eastAsia="Calibri" w:hAnsi="Cambria" w:cs="Calibri"/>
          <w:spacing w:val="-1"/>
          <w:sz w:val="18"/>
          <w:szCs w:val="18"/>
        </w:rPr>
        <w:t>e</w:t>
      </w:r>
      <w:r w:rsidRPr="0042579D">
        <w:rPr>
          <w:rFonts w:ascii="Cambria" w:eastAsia="Calibri" w:hAnsi="Cambria" w:cs="Calibri"/>
          <w:sz w:val="18"/>
          <w:szCs w:val="18"/>
        </w:rPr>
        <w:t>t</w:t>
      </w:r>
      <w:r w:rsidRPr="0042579D">
        <w:rPr>
          <w:rFonts w:ascii="Cambria" w:eastAsia="Calibri" w:hAnsi="Cambria" w:cs="Calibri"/>
          <w:spacing w:val="2"/>
          <w:sz w:val="18"/>
          <w:szCs w:val="18"/>
        </w:rPr>
        <w:t>i</w:t>
      </w:r>
      <w:r w:rsidRPr="0042579D">
        <w:rPr>
          <w:rFonts w:ascii="Cambria" w:eastAsia="Calibri" w:hAnsi="Cambria" w:cs="Calibri"/>
          <w:spacing w:val="-1"/>
          <w:sz w:val="18"/>
          <w:szCs w:val="18"/>
        </w:rPr>
        <w:t>m</w:t>
      </w:r>
      <w:r w:rsidRPr="0042579D">
        <w:rPr>
          <w:rFonts w:ascii="Cambria" w:eastAsia="Calibri" w:hAnsi="Cambria" w:cs="Calibri"/>
          <w:spacing w:val="1"/>
          <w:sz w:val="18"/>
          <w:szCs w:val="18"/>
        </w:rPr>
        <w:t>e</w:t>
      </w:r>
      <w:r w:rsidRPr="0042579D">
        <w:rPr>
          <w:rFonts w:ascii="Cambria" w:eastAsia="Calibri" w:hAnsi="Cambria" w:cs="Calibri"/>
          <w:sz w:val="18"/>
          <w:szCs w:val="18"/>
        </w:rPr>
        <w:t>s</w:t>
      </w:r>
      <w:r w:rsidRPr="0042579D">
        <w:rPr>
          <w:rFonts w:ascii="Cambria" w:eastAsia="Calibri" w:hAnsi="Cambria" w:cs="Calibri"/>
          <w:spacing w:val="-10"/>
          <w:sz w:val="18"/>
          <w:szCs w:val="18"/>
        </w:rPr>
        <w:t xml:space="preserve"> </w:t>
      </w:r>
      <w:r w:rsidRPr="0042579D">
        <w:rPr>
          <w:rFonts w:ascii="Cambria" w:eastAsia="Calibri" w:hAnsi="Cambria" w:cs="Calibri"/>
          <w:spacing w:val="1"/>
          <w:sz w:val="18"/>
          <w:szCs w:val="18"/>
        </w:rPr>
        <w:t>th</w:t>
      </w:r>
      <w:r w:rsidRPr="0042579D">
        <w:rPr>
          <w:rFonts w:ascii="Cambria" w:eastAsia="Calibri" w:hAnsi="Cambria" w:cs="Calibri"/>
          <w:sz w:val="18"/>
          <w:szCs w:val="18"/>
        </w:rPr>
        <w:t>is</w:t>
      </w:r>
      <w:r w:rsidRPr="0042579D">
        <w:rPr>
          <w:rFonts w:ascii="Cambria" w:eastAsia="Calibri" w:hAnsi="Cambria" w:cs="Calibri"/>
          <w:spacing w:val="-5"/>
          <w:sz w:val="18"/>
          <w:szCs w:val="18"/>
        </w:rPr>
        <w:t xml:space="preserve"> </w:t>
      </w:r>
      <w:r w:rsidRPr="0042579D">
        <w:rPr>
          <w:rFonts w:ascii="Cambria" w:eastAsia="Calibri" w:hAnsi="Cambria" w:cs="Calibri"/>
          <w:sz w:val="18"/>
          <w:szCs w:val="18"/>
        </w:rPr>
        <w:t>word</w:t>
      </w:r>
      <w:r w:rsidRPr="0042579D">
        <w:rPr>
          <w:rFonts w:ascii="Cambria" w:eastAsia="Calibri" w:hAnsi="Cambria" w:cs="Calibri"/>
          <w:spacing w:val="-3"/>
          <w:sz w:val="18"/>
          <w:szCs w:val="18"/>
        </w:rPr>
        <w:t xml:space="preserve"> </w:t>
      </w:r>
      <w:r w:rsidRPr="0042579D">
        <w:rPr>
          <w:rFonts w:ascii="Cambria" w:eastAsia="Calibri" w:hAnsi="Cambria" w:cs="Calibri"/>
          <w:spacing w:val="3"/>
          <w:sz w:val="18"/>
          <w:szCs w:val="18"/>
        </w:rPr>
        <w:t>i</w:t>
      </w:r>
      <w:r w:rsidRPr="0042579D">
        <w:rPr>
          <w:rFonts w:ascii="Cambria" w:eastAsia="Calibri" w:hAnsi="Cambria" w:cs="Calibri"/>
          <w:sz w:val="18"/>
          <w:szCs w:val="18"/>
        </w:rPr>
        <w:t>s</w:t>
      </w:r>
      <w:r w:rsidRPr="0042579D">
        <w:rPr>
          <w:rFonts w:ascii="Cambria" w:eastAsia="Calibri" w:hAnsi="Cambria" w:cs="Calibri"/>
          <w:spacing w:val="-2"/>
          <w:sz w:val="18"/>
          <w:szCs w:val="18"/>
        </w:rPr>
        <w:t xml:space="preserve"> </w:t>
      </w:r>
      <w:r w:rsidRPr="0042579D">
        <w:rPr>
          <w:rFonts w:ascii="Cambria" w:eastAsia="Calibri" w:hAnsi="Cambria" w:cs="Calibri"/>
          <w:spacing w:val="1"/>
          <w:sz w:val="18"/>
          <w:szCs w:val="18"/>
        </w:rPr>
        <w:t>u</w:t>
      </w:r>
      <w:r w:rsidRPr="0042579D">
        <w:rPr>
          <w:rFonts w:ascii="Cambria" w:eastAsia="Calibri" w:hAnsi="Cambria" w:cs="Calibri"/>
          <w:spacing w:val="-1"/>
          <w:sz w:val="18"/>
          <w:szCs w:val="18"/>
        </w:rPr>
        <w:t>se</w:t>
      </w:r>
      <w:r w:rsidRPr="0042579D">
        <w:rPr>
          <w:rFonts w:ascii="Cambria" w:eastAsia="Calibri" w:hAnsi="Cambria" w:cs="Calibri"/>
          <w:sz w:val="18"/>
          <w:szCs w:val="18"/>
        </w:rPr>
        <w:t>d</w:t>
      </w:r>
      <w:r w:rsidRPr="0042579D">
        <w:rPr>
          <w:rFonts w:ascii="Cambria" w:eastAsia="Calibri" w:hAnsi="Cambria" w:cs="Calibri"/>
          <w:spacing w:val="-3"/>
          <w:sz w:val="18"/>
          <w:szCs w:val="18"/>
        </w:rPr>
        <w:t xml:space="preserve"> </w:t>
      </w:r>
      <w:r w:rsidRPr="0042579D">
        <w:rPr>
          <w:rFonts w:ascii="Cambria" w:eastAsia="Calibri" w:hAnsi="Cambria" w:cs="Calibri"/>
          <w:spacing w:val="1"/>
          <w:sz w:val="18"/>
          <w:szCs w:val="18"/>
        </w:rPr>
        <w:t>a</w:t>
      </w:r>
      <w:r w:rsidRPr="0042579D">
        <w:rPr>
          <w:rFonts w:ascii="Cambria" w:eastAsia="Calibri" w:hAnsi="Cambria" w:cs="Calibri"/>
          <w:sz w:val="18"/>
          <w:szCs w:val="18"/>
        </w:rPr>
        <w:t>s</w:t>
      </w:r>
      <w:r w:rsidRPr="0042579D">
        <w:rPr>
          <w:rFonts w:ascii="Cambria" w:eastAsia="Calibri" w:hAnsi="Cambria" w:cs="Calibri"/>
          <w:spacing w:val="-3"/>
          <w:sz w:val="18"/>
          <w:szCs w:val="18"/>
        </w:rPr>
        <w:t xml:space="preserve"> </w:t>
      </w:r>
      <w:r w:rsidRPr="0042579D">
        <w:rPr>
          <w:rFonts w:ascii="Cambria" w:eastAsia="Calibri" w:hAnsi="Cambria" w:cs="Calibri"/>
          <w:sz w:val="18"/>
          <w:szCs w:val="18"/>
        </w:rPr>
        <w:t xml:space="preserve">a </w:t>
      </w:r>
      <w:r w:rsidRPr="0042579D">
        <w:rPr>
          <w:rFonts w:ascii="Cambria" w:eastAsia="Calibri" w:hAnsi="Cambria" w:cs="Calibri"/>
          <w:spacing w:val="1"/>
          <w:sz w:val="18"/>
          <w:szCs w:val="18"/>
        </w:rPr>
        <w:t>t</w:t>
      </w:r>
      <w:r w:rsidRPr="0042579D">
        <w:rPr>
          <w:rFonts w:ascii="Cambria" w:eastAsia="Calibri" w:hAnsi="Cambria" w:cs="Calibri"/>
          <w:sz w:val="18"/>
          <w:szCs w:val="18"/>
        </w:rPr>
        <w:t>it</w:t>
      </w:r>
      <w:r w:rsidRPr="0042579D">
        <w:rPr>
          <w:rFonts w:ascii="Cambria" w:eastAsia="Calibri" w:hAnsi="Cambria" w:cs="Calibri"/>
          <w:spacing w:val="2"/>
          <w:sz w:val="18"/>
          <w:szCs w:val="18"/>
        </w:rPr>
        <w:t>l</w:t>
      </w:r>
      <w:r w:rsidRPr="0042579D">
        <w:rPr>
          <w:rFonts w:ascii="Cambria" w:eastAsia="Calibri" w:hAnsi="Cambria" w:cs="Calibri"/>
          <w:spacing w:val="-1"/>
          <w:sz w:val="18"/>
          <w:szCs w:val="18"/>
        </w:rPr>
        <w:t>e</w:t>
      </w:r>
      <w:r w:rsidRPr="0042579D">
        <w:rPr>
          <w:rFonts w:ascii="Cambria" w:eastAsia="Calibri" w:hAnsi="Cambria" w:cs="Calibri"/>
          <w:sz w:val="18"/>
          <w:szCs w:val="18"/>
        </w:rPr>
        <w:t>,</w:t>
      </w:r>
      <w:r w:rsidRPr="0042579D">
        <w:rPr>
          <w:rFonts w:ascii="Cambria" w:eastAsia="Calibri" w:hAnsi="Cambria" w:cs="Calibri"/>
          <w:spacing w:val="-4"/>
          <w:sz w:val="18"/>
          <w:szCs w:val="18"/>
        </w:rPr>
        <w:t xml:space="preserve"> </w:t>
      </w:r>
      <w:r w:rsidRPr="0042579D">
        <w:rPr>
          <w:rFonts w:ascii="Cambria" w:eastAsia="Calibri" w:hAnsi="Cambria" w:cs="Calibri"/>
          <w:sz w:val="18"/>
          <w:szCs w:val="18"/>
        </w:rPr>
        <w:t>such</w:t>
      </w:r>
      <w:r w:rsidRPr="0042579D">
        <w:rPr>
          <w:rFonts w:ascii="Cambria" w:eastAsia="Calibri" w:hAnsi="Cambria" w:cs="Calibri"/>
          <w:spacing w:val="-3"/>
          <w:sz w:val="18"/>
          <w:szCs w:val="18"/>
        </w:rPr>
        <w:t xml:space="preserve"> </w:t>
      </w:r>
      <w:r w:rsidRPr="0042579D">
        <w:rPr>
          <w:rFonts w:ascii="Cambria" w:eastAsia="Calibri" w:hAnsi="Cambria" w:cs="Calibri"/>
          <w:spacing w:val="1"/>
          <w:sz w:val="18"/>
          <w:szCs w:val="18"/>
        </w:rPr>
        <w:t>a</w:t>
      </w:r>
      <w:r w:rsidRPr="0042579D">
        <w:rPr>
          <w:rFonts w:ascii="Cambria" w:eastAsia="Calibri" w:hAnsi="Cambria" w:cs="Calibri"/>
          <w:sz w:val="18"/>
          <w:szCs w:val="18"/>
        </w:rPr>
        <w:t>s</w:t>
      </w:r>
      <w:r w:rsidRPr="0042579D">
        <w:rPr>
          <w:rFonts w:ascii="Cambria" w:eastAsia="Calibri" w:hAnsi="Cambria" w:cs="Calibri"/>
          <w:spacing w:val="-3"/>
          <w:sz w:val="18"/>
          <w:szCs w:val="18"/>
        </w:rPr>
        <w:t xml:space="preserve"> </w:t>
      </w:r>
      <w:r w:rsidRPr="0042579D">
        <w:rPr>
          <w:rFonts w:ascii="Cambria" w:eastAsia="Calibri" w:hAnsi="Cambria" w:cs="Calibri"/>
          <w:sz w:val="18"/>
          <w:szCs w:val="18"/>
        </w:rPr>
        <w:t>in</w:t>
      </w:r>
      <w:r w:rsidRPr="0042579D">
        <w:rPr>
          <w:rFonts w:ascii="Cambria" w:eastAsia="Calibri" w:hAnsi="Cambria" w:cs="Calibri"/>
          <w:spacing w:val="-1"/>
          <w:sz w:val="18"/>
          <w:szCs w:val="18"/>
        </w:rPr>
        <w:t xml:space="preserve"> </w:t>
      </w:r>
      <w:r>
        <w:rPr>
          <w:rFonts w:ascii="Cambria" w:eastAsia="Calibri" w:hAnsi="Cambria" w:cs="Calibri"/>
          <w:spacing w:val="-1"/>
          <w:sz w:val="18"/>
          <w:szCs w:val="18"/>
        </w:rPr>
        <w:br/>
      </w:r>
      <w:r w:rsidRPr="0042579D">
        <w:rPr>
          <w:rFonts w:ascii="Cambria" w:eastAsia="Calibri" w:hAnsi="Cambria" w:cs="Calibri"/>
          <w:spacing w:val="1"/>
          <w:sz w:val="18"/>
          <w:szCs w:val="18"/>
        </w:rPr>
        <w:t>Ph</w:t>
      </w:r>
      <w:r w:rsidRPr="0042579D">
        <w:rPr>
          <w:rFonts w:ascii="Cambria" w:eastAsia="Calibri" w:hAnsi="Cambria" w:cs="Calibri"/>
          <w:sz w:val="18"/>
          <w:szCs w:val="18"/>
        </w:rPr>
        <w:t>il</w:t>
      </w:r>
      <w:r w:rsidRPr="0042579D">
        <w:rPr>
          <w:rFonts w:ascii="Cambria" w:eastAsia="Calibri" w:hAnsi="Cambria" w:cs="Calibri"/>
          <w:spacing w:val="-1"/>
          <w:sz w:val="18"/>
          <w:szCs w:val="18"/>
        </w:rPr>
        <w:t>i</w:t>
      </w:r>
      <w:r w:rsidRPr="0042579D">
        <w:rPr>
          <w:rFonts w:ascii="Cambria" w:eastAsia="Calibri" w:hAnsi="Cambria" w:cs="Calibri"/>
          <w:spacing w:val="1"/>
          <w:sz w:val="18"/>
          <w:szCs w:val="18"/>
        </w:rPr>
        <w:t>pp</w:t>
      </w:r>
      <w:r w:rsidRPr="0042579D">
        <w:rPr>
          <w:rFonts w:ascii="Cambria" w:eastAsia="Calibri" w:hAnsi="Cambria" w:cs="Calibri"/>
          <w:sz w:val="18"/>
          <w:szCs w:val="18"/>
        </w:rPr>
        <w:t>ia</w:t>
      </w:r>
      <w:r w:rsidRPr="0042579D">
        <w:rPr>
          <w:rFonts w:ascii="Cambria" w:eastAsia="Calibri" w:hAnsi="Cambria" w:cs="Calibri"/>
          <w:spacing w:val="1"/>
          <w:sz w:val="18"/>
          <w:szCs w:val="18"/>
        </w:rPr>
        <w:t>n</w:t>
      </w:r>
      <w:r w:rsidRPr="0042579D">
        <w:rPr>
          <w:rFonts w:ascii="Cambria" w:eastAsia="Calibri" w:hAnsi="Cambria" w:cs="Calibri"/>
          <w:sz w:val="18"/>
          <w:szCs w:val="18"/>
        </w:rPr>
        <w:t>s</w:t>
      </w:r>
      <w:r w:rsidRPr="0042579D">
        <w:rPr>
          <w:rFonts w:ascii="Cambria" w:eastAsia="Calibri" w:hAnsi="Cambria" w:cs="Calibri"/>
          <w:spacing w:val="-8"/>
          <w:sz w:val="18"/>
          <w:szCs w:val="18"/>
        </w:rPr>
        <w:t xml:space="preserve"> </w:t>
      </w:r>
      <w:r w:rsidRPr="0042579D">
        <w:rPr>
          <w:rFonts w:ascii="Cambria" w:eastAsia="Calibri" w:hAnsi="Cambria" w:cs="Calibri"/>
          <w:sz w:val="18"/>
          <w:szCs w:val="18"/>
        </w:rPr>
        <w:t>1:1</w:t>
      </w:r>
      <w:r w:rsidRPr="0042579D">
        <w:rPr>
          <w:rFonts w:ascii="Cambria" w:eastAsia="Calibri" w:hAnsi="Cambria" w:cs="Calibri"/>
          <w:spacing w:val="-3"/>
          <w:sz w:val="18"/>
          <w:szCs w:val="18"/>
        </w:rPr>
        <w:t xml:space="preserve"> </w:t>
      </w:r>
      <w:r w:rsidRPr="0042579D">
        <w:rPr>
          <w:rFonts w:ascii="Cambria" w:eastAsia="Calibri" w:hAnsi="Cambria" w:cs="Calibri"/>
          <w:spacing w:val="3"/>
          <w:sz w:val="18"/>
          <w:szCs w:val="18"/>
        </w:rPr>
        <w:t>a</w:t>
      </w:r>
      <w:r w:rsidRPr="0042579D">
        <w:rPr>
          <w:rFonts w:ascii="Cambria" w:eastAsia="Calibri" w:hAnsi="Cambria" w:cs="Calibri"/>
          <w:spacing w:val="1"/>
          <w:sz w:val="18"/>
          <w:szCs w:val="18"/>
        </w:rPr>
        <w:t>n</w:t>
      </w:r>
      <w:r w:rsidRPr="0042579D">
        <w:rPr>
          <w:rFonts w:ascii="Cambria" w:eastAsia="Calibri" w:hAnsi="Cambria" w:cs="Calibri"/>
          <w:sz w:val="18"/>
          <w:szCs w:val="18"/>
        </w:rPr>
        <w:t>d</w:t>
      </w:r>
      <w:r w:rsidRPr="0042579D">
        <w:rPr>
          <w:rFonts w:ascii="Cambria" w:eastAsia="Calibri" w:hAnsi="Cambria" w:cs="Calibri"/>
          <w:spacing w:val="-2"/>
          <w:sz w:val="18"/>
          <w:szCs w:val="18"/>
        </w:rPr>
        <w:t xml:space="preserve"> </w:t>
      </w:r>
      <w:r w:rsidRPr="0042579D">
        <w:rPr>
          <w:rFonts w:ascii="Cambria" w:eastAsia="Calibri" w:hAnsi="Cambria" w:cs="Calibri"/>
          <w:sz w:val="18"/>
          <w:szCs w:val="18"/>
        </w:rPr>
        <w:t>1</w:t>
      </w:r>
      <w:r>
        <w:rPr>
          <w:rFonts w:ascii="Cambria" w:eastAsia="Calibri" w:hAnsi="Cambria" w:cs="Calibri"/>
          <w:sz w:val="18"/>
          <w:szCs w:val="18"/>
        </w:rPr>
        <w:t xml:space="preserve"> </w:t>
      </w:r>
      <w:r w:rsidRPr="0042579D">
        <w:rPr>
          <w:rFonts w:ascii="Cambria" w:eastAsia="Calibri" w:hAnsi="Cambria" w:cs="Calibri"/>
          <w:spacing w:val="-1"/>
          <w:sz w:val="18"/>
          <w:szCs w:val="18"/>
        </w:rPr>
        <w:t>T</w:t>
      </w:r>
      <w:r w:rsidRPr="0042579D">
        <w:rPr>
          <w:rFonts w:ascii="Cambria" w:eastAsia="Calibri" w:hAnsi="Cambria" w:cs="Calibri"/>
          <w:sz w:val="18"/>
          <w:szCs w:val="18"/>
        </w:rPr>
        <w:t>i</w:t>
      </w:r>
      <w:r w:rsidRPr="0042579D">
        <w:rPr>
          <w:rFonts w:ascii="Cambria" w:eastAsia="Calibri" w:hAnsi="Cambria" w:cs="Calibri"/>
          <w:spacing w:val="-1"/>
          <w:sz w:val="18"/>
          <w:szCs w:val="18"/>
        </w:rPr>
        <w:t>m</w:t>
      </w:r>
      <w:r w:rsidRPr="0042579D">
        <w:rPr>
          <w:rFonts w:ascii="Cambria" w:eastAsia="Calibri" w:hAnsi="Cambria" w:cs="Calibri"/>
          <w:sz w:val="18"/>
          <w:szCs w:val="18"/>
        </w:rPr>
        <w:t>ot</w:t>
      </w:r>
      <w:r w:rsidRPr="0042579D">
        <w:rPr>
          <w:rFonts w:ascii="Cambria" w:eastAsia="Calibri" w:hAnsi="Cambria" w:cs="Calibri"/>
          <w:spacing w:val="1"/>
          <w:sz w:val="18"/>
          <w:szCs w:val="18"/>
        </w:rPr>
        <w:t>h</w:t>
      </w:r>
      <w:r w:rsidRPr="0042579D">
        <w:rPr>
          <w:rFonts w:ascii="Cambria" w:eastAsia="Calibri" w:hAnsi="Cambria" w:cs="Calibri"/>
          <w:sz w:val="18"/>
          <w:szCs w:val="18"/>
        </w:rPr>
        <w:t>y</w:t>
      </w:r>
      <w:r w:rsidRPr="0042579D">
        <w:rPr>
          <w:rFonts w:ascii="Cambria" w:eastAsia="Calibri" w:hAnsi="Cambria" w:cs="Calibri"/>
          <w:spacing w:val="-6"/>
          <w:sz w:val="18"/>
          <w:szCs w:val="18"/>
        </w:rPr>
        <w:t xml:space="preserve"> </w:t>
      </w:r>
      <w:r w:rsidRPr="0042579D">
        <w:rPr>
          <w:rFonts w:ascii="Cambria" w:eastAsia="Calibri" w:hAnsi="Cambria" w:cs="Calibri"/>
          <w:sz w:val="18"/>
          <w:szCs w:val="18"/>
        </w:rPr>
        <w:t>3:</w:t>
      </w:r>
      <w:r w:rsidRPr="0042579D">
        <w:rPr>
          <w:rFonts w:ascii="Cambria" w:eastAsia="Calibri" w:hAnsi="Cambria" w:cs="Calibri"/>
          <w:spacing w:val="3"/>
          <w:sz w:val="18"/>
          <w:szCs w:val="18"/>
        </w:rPr>
        <w:t>8</w:t>
      </w:r>
      <w:r w:rsidRPr="0042579D">
        <w:rPr>
          <w:rFonts w:ascii="Cambria" w:eastAsia="Calibri" w:hAnsi="Cambria" w:cs="Calibri"/>
          <w:sz w:val="18"/>
        </w:rPr>
        <w:sym w:font="Symbol" w:char="F02D"/>
      </w:r>
      <w:r w:rsidRPr="0042579D">
        <w:rPr>
          <w:rFonts w:ascii="Cambria" w:eastAsia="Calibri" w:hAnsi="Cambria" w:cs="Calibri"/>
          <w:sz w:val="18"/>
          <w:szCs w:val="18"/>
        </w:rPr>
        <w:t>13.</w:t>
      </w:r>
      <w:r w:rsidRPr="0042579D">
        <w:rPr>
          <w:rFonts w:ascii="Cambria" w:eastAsia="Calibri" w:hAnsi="Cambria" w:cs="Calibri"/>
          <w:spacing w:val="-6"/>
          <w:sz w:val="18"/>
          <w:szCs w:val="18"/>
        </w:rPr>
        <w:t xml:space="preserve"> </w:t>
      </w:r>
      <w:r w:rsidRPr="0042579D">
        <w:rPr>
          <w:rFonts w:ascii="Cambria" w:eastAsia="Calibri" w:hAnsi="Cambria" w:cs="Calibri"/>
          <w:sz w:val="18"/>
          <w:szCs w:val="18"/>
        </w:rPr>
        <w:t>At</w:t>
      </w:r>
      <w:r w:rsidRPr="0042579D">
        <w:rPr>
          <w:rFonts w:ascii="Cambria" w:eastAsia="Calibri" w:hAnsi="Cambria" w:cs="Calibri"/>
          <w:spacing w:val="-1"/>
          <w:sz w:val="18"/>
          <w:szCs w:val="18"/>
        </w:rPr>
        <w:t xml:space="preserve"> </w:t>
      </w:r>
      <w:r w:rsidRPr="0042579D">
        <w:rPr>
          <w:rFonts w:ascii="Cambria" w:eastAsia="Calibri" w:hAnsi="Cambria" w:cs="Calibri"/>
          <w:spacing w:val="1"/>
          <w:sz w:val="18"/>
          <w:szCs w:val="18"/>
        </w:rPr>
        <w:t>o</w:t>
      </w:r>
      <w:r w:rsidRPr="0042579D">
        <w:rPr>
          <w:rFonts w:ascii="Cambria" w:eastAsia="Calibri" w:hAnsi="Cambria" w:cs="Calibri"/>
          <w:sz w:val="18"/>
          <w:szCs w:val="18"/>
        </w:rPr>
        <w:t>t</w:t>
      </w:r>
      <w:r w:rsidRPr="0042579D">
        <w:rPr>
          <w:rFonts w:ascii="Cambria" w:eastAsia="Calibri" w:hAnsi="Cambria" w:cs="Calibri"/>
          <w:spacing w:val="1"/>
          <w:sz w:val="18"/>
          <w:szCs w:val="18"/>
        </w:rPr>
        <w:t>h</w:t>
      </w:r>
      <w:r w:rsidRPr="0042579D">
        <w:rPr>
          <w:rFonts w:ascii="Cambria" w:eastAsia="Calibri" w:hAnsi="Cambria" w:cs="Calibri"/>
          <w:spacing w:val="-1"/>
          <w:sz w:val="18"/>
          <w:szCs w:val="18"/>
        </w:rPr>
        <w:t>e</w:t>
      </w:r>
      <w:r w:rsidRPr="0042579D">
        <w:rPr>
          <w:rFonts w:ascii="Cambria" w:eastAsia="Calibri" w:hAnsi="Cambria" w:cs="Calibri"/>
          <w:sz w:val="18"/>
          <w:szCs w:val="18"/>
        </w:rPr>
        <w:t>r</w:t>
      </w:r>
      <w:r w:rsidRPr="0042579D">
        <w:rPr>
          <w:rFonts w:ascii="Cambria" w:eastAsia="Calibri" w:hAnsi="Cambria" w:cs="Calibri"/>
          <w:spacing w:val="-4"/>
          <w:sz w:val="18"/>
          <w:szCs w:val="18"/>
        </w:rPr>
        <w:t xml:space="preserve"> </w:t>
      </w:r>
      <w:r w:rsidRPr="0042579D">
        <w:rPr>
          <w:rFonts w:ascii="Cambria" w:eastAsia="Calibri" w:hAnsi="Cambria" w:cs="Calibri"/>
          <w:sz w:val="18"/>
          <w:szCs w:val="18"/>
        </w:rPr>
        <w:t>t</w:t>
      </w:r>
      <w:r w:rsidRPr="0042579D">
        <w:rPr>
          <w:rFonts w:ascii="Cambria" w:eastAsia="Calibri" w:hAnsi="Cambria" w:cs="Calibri"/>
          <w:spacing w:val="2"/>
          <w:sz w:val="18"/>
          <w:szCs w:val="18"/>
        </w:rPr>
        <w:t>i</w:t>
      </w:r>
      <w:r w:rsidRPr="0042579D">
        <w:rPr>
          <w:rFonts w:ascii="Cambria" w:eastAsia="Calibri" w:hAnsi="Cambria" w:cs="Calibri"/>
          <w:spacing w:val="-1"/>
          <w:sz w:val="18"/>
          <w:szCs w:val="18"/>
        </w:rPr>
        <w:t>m</w:t>
      </w:r>
      <w:r w:rsidRPr="0042579D">
        <w:rPr>
          <w:rFonts w:ascii="Cambria" w:eastAsia="Calibri" w:hAnsi="Cambria" w:cs="Calibri"/>
          <w:spacing w:val="1"/>
          <w:sz w:val="18"/>
          <w:szCs w:val="18"/>
        </w:rPr>
        <w:t>e</w:t>
      </w:r>
      <w:r w:rsidRPr="0042579D">
        <w:rPr>
          <w:rFonts w:ascii="Cambria" w:eastAsia="Calibri" w:hAnsi="Cambria" w:cs="Calibri"/>
          <w:sz w:val="18"/>
          <w:szCs w:val="18"/>
        </w:rPr>
        <w:t>s</w:t>
      </w:r>
      <w:r w:rsidRPr="0042579D">
        <w:rPr>
          <w:rFonts w:ascii="Cambria" w:eastAsia="Calibri" w:hAnsi="Cambria" w:cs="Calibri"/>
          <w:spacing w:val="-5"/>
          <w:sz w:val="18"/>
          <w:szCs w:val="18"/>
        </w:rPr>
        <w:t xml:space="preserve"> </w:t>
      </w:r>
      <w:r w:rsidRPr="0042579D">
        <w:rPr>
          <w:rFonts w:ascii="Cambria" w:eastAsia="Calibri" w:hAnsi="Cambria" w:cs="Calibri"/>
          <w:sz w:val="18"/>
          <w:szCs w:val="18"/>
        </w:rPr>
        <w:t>it is</w:t>
      </w:r>
      <w:r w:rsidRPr="0042579D">
        <w:rPr>
          <w:rFonts w:ascii="Cambria" w:eastAsia="Calibri" w:hAnsi="Cambria" w:cs="Calibri"/>
          <w:spacing w:val="-2"/>
          <w:sz w:val="18"/>
          <w:szCs w:val="18"/>
        </w:rPr>
        <w:t xml:space="preserve"> </w:t>
      </w:r>
      <w:r w:rsidRPr="0042579D">
        <w:rPr>
          <w:rFonts w:ascii="Cambria" w:eastAsia="Calibri" w:hAnsi="Cambria" w:cs="Calibri"/>
          <w:spacing w:val="2"/>
          <w:sz w:val="18"/>
          <w:szCs w:val="18"/>
        </w:rPr>
        <w:t>s</w:t>
      </w:r>
      <w:r w:rsidRPr="0042579D">
        <w:rPr>
          <w:rFonts w:ascii="Cambria" w:eastAsia="Calibri" w:hAnsi="Cambria" w:cs="Calibri"/>
          <w:sz w:val="18"/>
          <w:szCs w:val="18"/>
        </w:rPr>
        <w:t>i</w:t>
      </w:r>
      <w:r w:rsidRPr="0042579D">
        <w:rPr>
          <w:rFonts w:ascii="Cambria" w:eastAsia="Calibri" w:hAnsi="Cambria" w:cs="Calibri"/>
          <w:spacing w:val="-1"/>
          <w:sz w:val="18"/>
          <w:szCs w:val="18"/>
        </w:rPr>
        <w:t>m</w:t>
      </w:r>
      <w:r w:rsidRPr="0042579D">
        <w:rPr>
          <w:rFonts w:ascii="Cambria" w:eastAsia="Calibri" w:hAnsi="Cambria" w:cs="Calibri"/>
          <w:spacing w:val="1"/>
          <w:sz w:val="18"/>
          <w:szCs w:val="18"/>
        </w:rPr>
        <w:t>p</w:t>
      </w:r>
      <w:r w:rsidRPr="0042579D">
        <w:rPr>
          <w:rFonts w:ascii="Cambria" w:eastAsia="Calibri" w:hAnsi="Cambria" w:cs="Calibri"/>
          <w:sz w:val="18"/>
          <w:szCs w:val="18"/>
        </w:rPr>
        <w:t>ly</w:t>
      </w:r>
      <w:r w:rsidRPr="0042579D">
        <w:rPr>
          <w:rFonts w:ascii="Cambria" w:eastAsia="Calibri" w:hAnsi="Cambria" w:cs="Calibri"/>
          <w:spacing w:val="-4"/>
          <w:sz w:val="18"/>
          <w:szCs w:val="18"/>
        </w:rPr>
        <w:t xml:space="preserve"> </w:t>
      </w:r>
      <w:r w:rsidRPr="0042579D">
        <w:rPr>
          <w:rFonts w:ascii="Cambria" w:eastAsia="Calibri" w:hAnsi="Cambria" w:cs="Calibri"/>
          <w:spacing w:val="1"/>
          <w:sz w:val="18"/>
          <w:szCs w:val="18"/>
        </w:rPr>
        <w:t>u</w:t>
      </w:r>
      <w:r w:rsidRPr="0042579D">
        <w:rPr>
          <w:rFonts w:ascii="Cambria" w:eastAsia="Calibri" w:hAnsi="Cambria" w:cs="Calibri"/>
          <w:spacing w:val="-1"/>
          <w:sz w:val="18"/>
          <w:szCs w:val="18"/>
        </w:rPr>
        <w:t>se</w:t>
      </w:r>
      <w:r w:rsidRPr="0042579D">
        <w:rPr>
          <w:rFonts w:ascii="Cambria" w:eastAsia="Calibri" w:hAnsi="Cambria" w:cs="Calibri"/>
          <w:sz w:val="18"/>
          <w:szCs w:val="18"/>
        </w:rPr>
        <w:t>d</w:t>
      </w:r>
      <w:r w:rsidRPr="0042579D">
        <w:rPr>
          <w:rFonts w:ascii="Cambria" w:eastAsia="Calibri" w:hAnsi="Cambria" w:cs="Calibri"/>
          <w:spacing w:val="-3"/>
          <w:sz w:val="18"/>
          <w:szCs w:val="18"/>
        </w:rPr>
        <w:t xml:space="preserve"> </w:t>
      </w:r>
      <w:r w:rsidRPr="0042579D">
        <w:rPr>
          <w:rFonts w:ascii="Cambria" w:eastAsia="Calibri" w:hAnsi="Cambria" w:cs="Calibri"/>
          <w:spacing w:val="3"/>
          <w:sz w:val="18"/>
          <w:szCs w:val="18"/>
        </w:rPr>
        <w:t>a</w:t>
      </w:r>
      <w:r w:rsidRPr="0042579D">
        <w:rPr>
          <w:rFonts w:ascii="Cambria" w:eastAsia="Calibri" w:hAnsi="Cambria" w:cs="Calibri"/>
          <w:sz w:val="18"/>
          <w:szCs w:val="18"/>
        </w:rPr>
        <w:t>s</w:t>
      </w:r>
      <w:r w:rsidRPr="0042579D">
        <w:rPr>
          <w:rFonts w:ascii="Cambria" w:eastAsia="Calibri" w:hAnsi="Cambria" w:cs="Calibri"/>
          <w:spacing w:val="-3"/>
          <w:sz w:val="18"/>
          <w:szCs w:val="18"/>
        </w:rPr>
        <w:t xml:space="preserve"> </w:t>
      </w:r>
      <w:r w:rsidRPr="0042579D">
        <w:rPr>
          <w:rFonts w:ascii="Cambria" w:eastAsia="Calibri" w:hAnsi="Cambria" w:cs="Calibri"/>
          <w:sz w:val="18"/>
          <w:szCs w:val="18"/>
        </w:rPr>
        <w:t xml:space="preserve">a </w:t>
      </w:r>
      <w:r w:rsidRPr="0042579D">
        <w:rPr>
          <w:rFonts w:ascii="Cambria" w:eastAsia="Calibri" w:hAnsi="Cambria" w:cs="Calibri"/>
          <w:spacing w:val="1"/>
          <w:sz w:val="18"/>
          <w:szCs w:val="18"/>
        </w:rPr>
        <w:t>d</w:t>
      </w:r>
      <w:r w:rsidRPr="0042579D">
        <w:rPr>
          <w:rFonts w:ascii="Cambria" w:eastAsia="Calibri" w:hAnsi="Cambria" w:cs="Calibri"/>
          <w:spacing w:val="-1"/>
          <w:sz w:val="18"/>
          <w:szCs w:val="18"/>
        </w:rPr>
        <w:t>es</w:t>
      </w:r>
      <w:r w:rsidRPr="0042579D">
        <w:rPr>
          <w:rFonts w:ascii="Cambria" w:eastAsia="Calibri" w:hAnsi="Cambria" w:cs="Calibri"/>
          <w:sz w:val="18"/>
          <w:szCs w:val="18"/>
        </w:rPr>
        <w:t>c</w:t>
      </w:r>
      <w:r w:rsidRPr="0042579D">
        <w:rPr>
          <w:rFonts w:ascii="Cambria" w:eastAsia="Calibri" w:hAnsi="Cambria" w:cs="Calibri"/>
          <w:spacing w:val="2"/>
          <w:sz w:val="18"/>
          <w:szCs w:val="18"/>
        </w:rPr>
        <w:t>r</w:t>
      </w:r>
      <w:r w:rsidRPr="0042579D">
        <w:rPr>
          <w:rFonts w:ascii="Cambria" w:eastAsia="Calibri" w:hAnsi="Cambria" w:cs="Calibri"/>
          <w:sz w:val="18"/>
          <w:szCs w:val="18"/>
        </w:rPr>
        <w:t>i</w:t>
      </w:r>
      <w:r w:rsidRPr="0042579D">
        <w:rPr>
          <w:rFonts w:ascii="Cambria" w:eastAsia="Calibri" w:hAnsi="Cambria" w:cs="Calibri"/>
          <w:spacing w:val="1"/>
          <w:sz w:val="18"/>
          <w:szCs w:val="18"/>
        </w:rPr>
        <w:t>p</w:t>
      </w:r>
      <w:r w:rsidRPr="0042579D">
        <w:rPr>
          <w:rFonts w:ascii="Cambria" w:eastAsia="Calibri" w:hAnsi="Cambria" w:cs="Calibri"/>
          <w:sz w:val="18"/>
          <w:szCs w:val="18"/>
        </w:rPr>
        <w:t>ti</w:t>
      </w:r>
      <w:r w:rsidRPr="0042579D">
        <w:rPr>
          <w:rFonts w:ascii="Cambria" w:eastAsia="Calibri" w:hAnsi="Cambria" w:cs="Calibri"/>
          <w:spacing w:val="1"/>
          <w:sz w:val="18"/>
          <w:szCs w:val="18"/>
        </w:rPr>
        <w:t>o</w:t>
      </w:r>
      <w:r w:rsidRPr="0042579D">
        <w:rPr>
          <w:rFonts w:ascii="Cambria" w:eastAsia="Calibri" w:hAnsi="Cambria" w:cs="Calibri"/>
          <w:sz w:val="18"/>
          <w:szCs w:val="18"/>
        </w:rPr>
        <w:t>n</w:t>
      </w:r>
      <w:r w:rsidRPr="0042579D">
        <w:rPr>
          <w:rFonts w:ascii="Cambria" w:eastAsia="Calibri" w:hAnsi="Cambria" w:cs="Calibri"/>
          <w:spacing w:val="-8"/>
          <w:sz w:val="18"/>
          <w:szCs w:val="18"/>
        </w:rPr>
        <w:t xml:space="preserve"> </w:t>
      </w:r>
      <w:r w:rsidRPr="0042579D">
        <w:rPr>
          <w:rFonts w:ascii="Cambria" w:eastAsia="Calibri" w:hAnsi="Cambria" w:cs="Calibri"/>
          <w:spacing w:val="1"/>
          <w:sz w:val="18"/>
          <w:szCs w:val="18"/>
        </w:rPr>
        <w:t>o</w:t>
      </w:r>
      <w:r w:rsidRPr="0042579D">
        <w:rPr>
          <w:rFonts w:ascii="Cambria" w:eastAsia="Calibri" w:hAnsi="Cambria" w:cs="Calibri"/>
          <w:sz w:val="18"/>
          <w:szCs w:val="18"/>
        </w:rPr>
        <w:t>f</w:t>
      </w:r>
      <w:r w:rsidRPr="0042579D">
        <w:rPr>
          <w:rFonts w:ascii="Cambria" w:eastAsia="Calibri" w:hAnsi="Cambria" w:cs="Calibri"/>
          <w:spacing w:val="-3"/>
          <w:sz w:val="18"/>
          <w:szCs w:val="18"/>
        </w:rPr>
        <w:t xml:space="preserve"> </w:t>
      </w:r>
      <w:r w:rsidRPr="0042579D">
        <w:rPr>
          <w:rFonts w:ascii="Cambria" w:eastAsia="Calibri" w:hAnsi="Cambria" w:cs="Calibri"/>
          <w:spacing w:val="1"/>
          <w:sz w:val="18"/>
          <w:szCs w:val="18"/>
        </w:rPr>
        <w:t>th</w:t>
      </w:r>
      <w:r w:rsidRPr="0042579D">
        <w:rPr>
          <w:rFonts w:ascii="Cambria" w:eastAsia="Calibri" w:hAnsi="Cambria" w:cs="Calibri"/>
          <w:sz w:val="18"/>
          <w:szCs w:val="18"/>
        </w:rPr>
        <w:t>e</w:t>
      </w:r>
      <w:r w:rsidRPr="0042579D">
        <w:rPr>
          <w:rFonts w:ascii="Cambria" w:eastAsia="Calibri" w:hAnsi="Cambria" w:cs="Calibri"/>
          <w:spacing w:val="-4"/>
          <w:sz w:val="18"/>
          <w:szCs w:val="18"/>
        </w:rPr>
        <w:t xml:space="preserve"> </w:t>
      </w:r>
      <w:r w:rsidRPr="0042579D">
        <w:rPr>
          <w:rFonts w:ascii="Cambria" w:eastAsia="Calibri" w:hAnsi="Cambria" w:cs="Calibri"/>
          <w:spacing w:val="1"/>
          <w:sz w:val="18"/>
          <w:szCs w:val="18"/>
        </w:rPr>
        <w:t>k</w:t>
      </w:r>
      <w:r w:rsidRPr="0042579D">
        <w:rPr>
          <w:rFonts w:ascii="Cambria" w:eastAsia="Calibri" w:hAnsi="Cambria" w:cs="Calibri"/>
          <w:sz w:val="18"/>
          <w:szCs w:val="18"/>
        </w:rPr>
        <w:t>i</w:t>
      </w:r>
      <w:r w:rsidRPr="0042579D">
        <w:rPr>
          <w:rFonts w:ascii="Cambria" w:eastAsia="Calibri" w:hAnsi="Cambria" w:cs="Calibri"/>
          <w:spacing w:val="1"/>
          <w:sz w:val="18"/>
          <w:szCs w:val="18"/>
        </w:rPr>
        <w:t>n</w:t>
      </w:r>
      <w:r w:rsidRPr="0042579D">
        <w:rPr>
          <w:rFonts w:ascii="Cambria" w:eastAsia="Calibri" w:hAnsi="Cambria" w:cs="Calibri"/>
          <w:sz w:val="18"/>
          <w:szCs w:val="18"/>
        </w:rPr>
        <w:t>d</w:t>
      </w:r>
      <w:r w:rsidRPr="0042579D">
        <w:rPr>
          <w:rFonts w:ascii="Cambria" w:eastAsia="Calibri" w:hAnsi="Cambria" w:cs="Calibri"/>
          <w:spacing w:val="-2"/>
          <w:sz w:val="18"/>
          <w:szCs w:val="18"/>
        </w:rPr>
        <w:t xml:space="preserve"> </w:t>
      </w:r>
      <w:r w:rsidRPr="0042579D">
        <w:rPr>
          <w:rFonts w:ascii="Cambria" w:eastAsia="Calibri" w:hAnsi="Cambria" w:cs="Calibri"/>
          <w:spacing w:val="1"/>
          <w:sz w:val="18"/>
          <w:szCs w:val="18"/>
        </w:rPr>
        <w:t>o</w:t>
      </w:r>
      <w:r w:rsidRPr="0042579D">
        <w:rPr>
          <w:rFonts w:ascii="Cambria" w:eastAsia="Calibri" w:hAnsi="Cambria" w:cs="Calibri"/>
          <w:sz w:val="18"/>
          <w:szCs w:val="18"/>
        </w:rPr>
        <w:t>f</w:t>
      </w:r>
      <w:r w:rsidRPr="0042579D">
        <w:rPr>
          <w:rFonts w:ascii="Cambria" w:eastAsia="Calibri" w:hAnsi="Cambria" w:cs="Calibri"/>
          <w:spacing w:val="-3"/>
          <w:sz w:val="18"/>
          <w:szCs w:val="18"/>
        </w:rPr>
        <w:t xml:space="preserve"> </w:t>
      </w:r>
      <w:r w:rsidRPr="0042579D">
        <w:rPr>
          <w:rFonts w:ascii="Cambria" w:eastAsia="Calibri" w:hAnsi="Cambria" w:cs="Calibri"/>
          <w:sz w:val="18"/>
          <w:szCs w:val="18"/>
        </w:rPr>
        <w:t>role</w:t>
      </w:r>
      <w:r w:rsidRPr="0042579D">
        <w:rPr>
          <w:rFonts w:ascii="Cambria" w:eastAsia="Calibri" w:hAnsi="Cambria" w:cs="Calibri"/>
          <w:spacing w:val="-4"/>
          <w:sz w:val="18"/>
          <w:szCs w:val="18"/>
        </w:rPr>
        <w:t xml:space="preserve"> </w:t>
      </w:r>
      <w:r w:rsidRPr="0042579D">
        <w:rPr>
          <w:rFonts w:ascii="Cambria" w:eastAsia="Calibri" w:hAnsi="Cambria" w:cs="Calibri"/>
          <w:spacing w:val="1"/>
          <w:sz w:val="18"/>
          <w:szCs w:val="18"/>
        </w:rPr>
        <w:t>th</w:t>
      </w:r>
      <w:r w:rsidRPr="0042579D">
        <w:rPr>
          <w:rFonts w:ascii="Cambria" w:eastAsia="Calibri" w:hAnsi="Cambria" w:cs="Calibri"/>
          <w:sz w:val="18"/>
          <w:szCs w:val="18"/>
        </w:rPr>
        <w:t>at</w:t>
      </w:r>
      <w:r w:rsidRPr="0042579D">
        <w:rPr>
          <w:rFonts w:ascii="Cambria" w:eastAsia="Calibri" w:hAnsi="Cambria" w:cs="Calibri"/>
          <w:spacing w:val="-2"/>
          <w:sz w:val="18"/>
          <w:szCs w:val="18"/>
        </w:rPr>
        <w:t xml:space="preserve"> </w:t>
      </w:r>
      <w:r w:rsidRPr="0042579D">
        <w:rPr>
          <w:rFonts w:ascii="Cambria" w:eastAsia="Calibri" w:hAnsi="Cambria" w:cs="Calibri"/>
          <w:spacing w:val="1"/>
          <w:sz w:val="18"/>
          <w:szCs w:val="18"/>
        </w:rPr>
        <w:t>a</w:t>
      </w:r>
      <w:r w:rsidRPr="0042579D">
        <w:rPr>
          <w:rFonts w:ascii="Cambria" w:eastAsia="Calibri" w:hAnsi="Cambria" w:cs="Calibri"/>
          <w:sz w:val="18"/>
          <w:szCs w:val="18"/>
        </w:rPr>
        <w:t>ll</w:t>
      </w:r>
      <w:r w:rsidRPr="0042579D">
        <w:rPr>
          <w:rFonts w:ascii="Cambria" w:eastAsia="Calibri" w:hAnsi="Cambria" w:cs="Calibri"/>
          <w:spacing w:val="-5"/>
          <w:sz w:val="18"/>
          <w:szCs w:val="18"/>
        </w:rPr>
        <w:t xml:space="preserve"> </w:t>
      </w:r>
      <w:r w:rsidRPr="0042579D">
        <w:rPr>
          <w:rFonts w:ascii="Cambria" w:eastAsia="Calibri" w:hAnsi="Cambria" w:cs="Calibri"/>
          <w:sz w:val="18"/>
          <w:szCs w:val="18"/>
        </w:rPr>
        <w:t>C</w:t>
      </w:r>
      <w:r w:rsidRPr="0042579D">
        <w:rPr>
          <w:rFonts w:ascii="Cambria" w:eastAsia="Calibri" w:hAnsi="Cambria" w:cs="Calibri"/>
          <w:spacing w:val="1"/>
          <w:sz w:val="18"/>
          <w:szCs w:val="18"/>
        </w:rPr>
        <w:t>h</w:t>
      </w:r>
      <w:r w:rsidRPr="0042579D">
        <w:rPr>
          <w:rFonts w:ascii="Cambria" w:eastAsia="Calibri" w:hAnsi="Cambria" w:cs="Calibri"/>
          <w:sz w:val="18"/>
          <w:szCs w:val="18"/>
        </w:rPr>
        <w:t>ri</w:t>
      </w:r>
      <w:r w:rsidRPr="0042579D">
        <w:rPr>
          <w:rFonts w:ascii="Cambria" w:eastAsia="Calibri" w:hAnsi="Cambria" w:cs="Calibri"/>
          <w:spacing w:val="-1"/>
          <w:sz w:val="18"/>
          <w:szCs w:val="18"/>
        </w:rPr>
        <w:t>s</w:t>
      </w:r>
      <w:r w:rsidRPr="0042579D">
        <w:rPr>
          <w:rFonts w:ascii="Cambria" w:eastAsia="Calibri" w:hAnsi="Cambria" w:cs="Calibri"/>
          <w:sz w:val="18"/>
          <w:szCs w:val="18"/>
        </w:rPr>
        <w:t>ti</w:t>
      </w:r>
      <w:r w:rsidRPr="0042579D">
        <w:rPr>
          <w:rFonts w:ascii="Cambria" w:eastAsia="Calibri" w:hAnsi="Cambria" w:cs="Calibri"/>
          <w:spacing w:val="1"/>
          <w:sz w:val="18"/>
          <w:szCs w:val="18"/>
        </w:rPr>
        <w:t>an</w:t>
      </w:r>
      <w:r w:rsidRPr="0042579D">
        <w:rPr>
          <w:rFonts w:ascii="Cambria" w:eastAsia="Calibri" w:hAnsi="Cambria" w:cs="Calibri"/>
          <w:sz w:val="18"/>
          <w:szCs w:val="18"/>
        </w:rPr>
        <w:t>s</w:t>
      </w:r>
      <w:r w:rsidRPr="0042579D">
        <w:rPr>
          <w:rFonts w:ascii="Cambria" w:eastAsia="Calibri" w:hAnsi="Cambria" w:cs="Calibri"/>
          <w:spacing w:val="-6"/>
          <w:sz w:val="18"/>
          <w:szCs w:val="18"/>
        </w:rPr>
        <w:t xml:space="preserve"> </w:t>
      </w:r>
      <w:r w:rsidRPr="0042579D">
        <w:rPr>
          <w:rFonts w:ascii="Cambria" w:eastAsia="Calibri" w:hAnsi="Cambria" w:cs="Calibri"/>
          <w:spacing w:val="-1"/>
          <w:sz w:val="18"/>
          <w:szCs w:val="18"/>
        </w:rPr>
        <w:t>s</w:t>
      </w:r>
      <w:r w:rsidRPr="0042579D">
        <w:rPr>
          <w:rFonts w:ascii="Cambria" w:eastAsia="Calibri" w:hAnsi="Cambria" w:cs="Calibri"/>
          <w:spacing w:val="1"/>
          <w:sz w:val="18"/>
          <w:szCs w:val="18"/>
        </w:rPr>
        <w:t>h</w:t>
      </w:r>
      <w:r w:rsidRPr="0042579D">
        <w:rPr>
          <w:rFonts w:ascii="Cambria" w:eastAsia="Calibri" w:hAnsi="Cambria" w:cs="Calibri"/>
          <w:sz w:val="18"/>
          <w:szCs w:val="18"/>
        </w:rPr>
        <w:t>o</w:t>
      </w:r>
      <w:r w:rsidRPr="0042579D">
        <w:rPr>
          <w:rFonts w:ascii="Cambria" w:eastAsia="Calibri" w:hAnsi="Cambria" w:cs="Calibri"/>
          <w:spacing w:val="1"/>
          <w:sz w:val="18"/>
          <w:szCs w:val="18"/>
        </w:rPr>
        <w:t>u</w:t>
      </w:r>
      <w:r w:rsidRPr="0042579D">
        <w:rPr>
          <w:rFonts w:ascii="Cambria" w:eastAsia="Calibri" w:hAnsi="Cambria" w:cs="Calibri"/>
          <w:sz w:val="18"/>
          <w:szCs w:val="18"/>
        </w:rPr>
        <w:t>ld</w:t>
      </w:r>
      <w:r w:rsidRPr="0042579D">
        <w:rPr>
          <w:rFonts w:ascii="Cambria" w:eastAsia="Calibri" w:hAnsi="Cambria" w:cs="Calibri"/>
          <w:spacing w:val="-5"/>
          <w:sz w:val="18"/>
          <w:szCs w:val="18"/>
        </w:rPr>
        <w:t xml:space="preserve"> </w:t>
      </w:r>
      <w:r w:rsidRPr="0042579D">
        <w:rPr>
          <w:rFonts w:ascii="Cambria" w:eastAsia="Calibri" w:hAnsi="Cambria" w:cs="Calibri"/>
          <w:spacing w:val="1"/>
          <w:sz w:val="18"/>
          <w:szCs w:val="18"/>
        </w:rPr>
        <w:t>b</w:t>
      </w:r>
      <w:r w:rsidRPr="0042579D">
        <w:rPr>
          <w:rFonts w:ascii="Cambria" w:eastAsia="Calibri" w:hAnsi="Cambria" w:cs="Calibri"/>
          <w:sz w:val="18"/>
          <w:szCs w:val="18"/>
        </w:rPr>
        <w:t>e</w:t>
      </w:r>
      <w:r w:rsidRPr="0042579D">
        <w:rPr>
          <w:rFonts w:ascii="Cambria" w:eastAsia="Calibri" w:hAnsi="Cambria" w:cs="Calibri"/>
          <w:spacing w:val="-3"/>
          <w:sz w:val="18"/>
          <w:szCs w:val="18"/>
        </w:rPr>
        <w:t xml:space="preserve"> </w:t>
      </w:r>
      <w:r w:rsidRPr="0042579D">
        <w:rPr>
          <w:rFonts w:ascii="Cambria" w:eastAsia="Calibri" w:hAnsi="Cambria" w:cs="Calibri"/>
          <w:sz w:val="18"/>
          <w:szCs w:val="18"/>
        </w:rPr>
        <w:t>willing</w:t>
      </w:r>
      <w:r w:rsidRPr="0042579D">
        <w:rPr>
          <w:rFonts w:ascii="Cambria" w:eastAsia="Calibri" w:hAnsi="Cambria" w:cs="Calibri"/>
          <w:spacing w:val="-4"/>
          <w:sz w:val="18"/>
          <w:szCs w:val="18"/>
        </w:rPr>
        <w:t xml:space="preserve"> </w:t>
      </w:r>
      <w:r w:rsidRPr="0042579D">
        <w:rPr>
          <w:rFonts w:ascii="Cambria" w:eastAsia="Calibri" w:hAnsi="Cambria" w:cs="Calibri"/>
          <w:spacing w:val="3"/>
          <w:sz w:val="18"/>
          <w:szCs w:val="18"/>
        </w:rPr>
        <w:t>t</w:t>
      </w:r>
      <w:r w:rsidRPr="0042579D">
        <w:rPr>
          <w:rFonts w:ascii="Cambria" w:eastAsia="Calibri" w:hAnsi="Cambria" w:cs="Calibri"/>
          <w:sz w:val="18"/>
          <w:szCs w:val="18"/>
        </w:rPr>
        <w:t>o</w:t>
      </w:r>
      <w:r w:rsidRPr="0042579D">
        <w:rPr>
          <w:rFonts w:ascii="Cambria" w:eastAsia="Calibri" w:hAnsi="Cambria" w:cs="Calibri"/>
          <w:spacing w:val="-2"/>
          <w:sz w:val="18"/>
          <w:szCs w:val="18"/>
        </w:rPr>
        <w:t xml:space="preserve"> </w:t>
      </w:r>
      <w:r w:rsidRPr="0042579D">
        <w:rPr>
          <w:rFonts w:ascii="Cambria" w:eastAsia="Calibri" w:hAnsi="Cambria" w:cs="Calibri"/>
          <w:spacing w:val="1"/>
          <w:sz w:val="18"/>
          <w:szCs w:val="18"/>
        </w:rPr>
        <w:t>a</w:t>
      </w:r>
      <w:r w:rsidRPr="0042579D">
        <w:rPr>
          <w:rFonts w:ascii="Cambria" w:eastAsia="Calibri" w:hAnsi="Cambria" w:cs="Calibri"/>
          <w:spacing w:val="-1"/>
          <w:sz w:val="18"/>
          <w:szCs w:val="18"/>
        </w:rPr>
        <w:t>ss</w:t>
      </w:r>
      <w:r w:rsidRPr="0042579D">
        <w:rPr>
          <w:rFonts w:ascii="Cambria" w:eastAsia="Calibri" w:hAnsi="Cambria" w:cs="Calibri"/>
          <w:spacing w:val="1"/>
          <w:sz w:val="18"/>
          <w:szCs w:val="18"/>
        </w:rPr>
        <w:t>um</w:t>
      </w:r>
      <w:r w:rsidRPr="0042579D">
        <w:rPr>
          <w:rFonts w:ascii="Cambria" w:eastAsia="Calibri" w:hAnsi="Cambria" w:cs="Calibri"/>
          <w:spacing w:val="-1"/>
          <w:sz w:val="18"/>
          <w:szCs w:val="18"/>
        </w:rPr>
        <w:t>e</w:t>
      </w:r>
      <w:r w:rsidRPr="0042579D">
        <w:rPr>
          <w:rFonts w:ascii="Cambria" w:eastAsia="Calibri" w:hAnsi="Cambria" w:cs="Calibri"/>
          <w:sz w:val="18"/>
          <w:szCs w:val="18"/>
        </w:rPr>
        <w:t xml:space="preserve">, </w:t>
      </w:r>
      <w:r w:rsidRPr="0042579D">
        <w:rPr>
          <w:rFonts w:ascii="Cambria" w:eastAsia="Calibri" w:hAnsi="Cambria" w:cs="Calibri"/>
          <w:spacing w:val="-1"/>
          <w:sz w:val="18"/>
          <w:szCs w:val="18"/>
        </w:rPr>
        <w:t>s</w:t>
      </w:r>
      <w:r w:rsidRPr="0042579D">
        <w:rPr>
          <w:rFonts w:ascii="Cambria" w:eastAsia="Calibri" w:hAnsi="Cambria" w:cs="Calibri"/>
          <w:spacing w:val="1"/>
          <w:sz w:val="18"/>
          <w:szCs w:val="18"/>
        </w:rPr>
        <w:t>u</w:t>
      </w:r>
      <w:r w:rsidRPr="0042579D">
        <w:rPr>
          <w:rFonts w:ascii="Cambria" w:eastAsia="Calibri" w:hAnsi="Cambria" w:cs="Calibri"/>
          <w:sz w:val="18"/>
          <w:szCs w:val="18"/>
        </w:rPr>
        <w:t>ch</w:t>
      </w:r>
      <w:r w:rsidRPr="0042579D">
        <w:rPr>
          <w:rFonts w:ascii="Cambria" w:eastAsia="Calibri" w:hAnsi="Cambria" w:cs="Calibri"/>
          <w:spacing w:val="-4"/>
          <w:sz w:val="18"/>
          <w:szCs w:val="18"/>
        </w:rPr>
        <w:t xml:space="preserve"> </w:t>
      </w:r>
      <w:r w:rsidRPr="0042579D">
        <w:rPr>
          <w:rFonts w:ascii="Cambria" w:eastAsia="Calibri" w:hAnsi="Cambria" w:cs="Calibri"/>
          <w:spacing w:val="1"/>
          <w:sz w:val="18"/>
          <w:szCs w:val="18"/>
        </w:rPr>
        <w:t>a</w:t>
      </w:r>
      <w:r w:rsidRPr="0042579D">
        <w:rPr>
          <w:rFonts w:ascii="Cambria" w:eastAsia="Calibri" w:hAnsi="Cambria" w:cs="Calibri"/>
          <w:sz w:val="18"/>
          <w:szCs w:val="18"/>
        </w:rPr>
        <w:t>s</w:t>
      </w:r>
      <w:r w:rsidRPr="0042579D">
        <w:rPr>
          <w:rFonts w:ascii="Cambria" w:eastAsia="Calibri" w:hAnsi="Cambria" w:cs="Calibri"/>
          <w:spacing w:val="-2"/>
          <w:sz w:val="18"/>
          <w:szCs w:val="18"/>
        </w:rPr>
        <w:t xml:space="preserve"> </w:t>
      </w:r>
      <w:r w:rsidRPr="0042579D">
        <w:rPr>
          <w:rFonts w:ascii="Cambria" w:eastAsia="Calibri" w:hAnsi="Cambria" w:cs="Calibri"/>
          <w:sz w:val="18"/>
          <w:szCs w:val="18"/>
        </w:rPr>
        <w:t>in</w:t>
      </w:r>
      <w:r w:rsidRPr="0042579D">
        <w:rPr>
          <w:rFonts w:ascii="Cambria" w:eastAsia="Calibri" w:hAnsi="Cambria" w:cs="Calibri"/>
          <w:spacing w:val="-2"/>
          <w:sz w:val="18"/>
          <w:szCs w:val="18"/>
        </w:rPr>
        <w:t xml:space="preserve"> </w:t>
      </w:r>
      <w:r w:rsidRPr="0042579D">
        <w:rPr>
          <w:rFonts w:ascii="Cambria" w:eastAsia="Calibri" w:hAnsi="Cambria" w:cs="Calibri"/>
          <w:sz w:val="18"/>
          <w:szCs w:val="18"/>
        </w:rPr>
        <w:t>Ma</w:t>
      </w:r>
      <w:r w:rsidRPr="0042579D">
        <w:rPr>
          <w:rFonts w:ascii="Cambria" w:eastAsia="Calibri" w:hAnsi="Cambria" w:cs="Calibri"/>
          <w:spacing w:val="1"/>
          <w:sz w:val="18"/>
          <w:szCs w:val="18"/>
        </w:rPr>
        <w:t>t</w:t>
      </w:r>
      <w:r w:rsidRPr="0042579D">
        <w:rPr>
          <w:rFonts w:ascii="Cambria" w:eastAsia="Calibri" w:hAnsi="Cambria" w:cs="Calibri"/>
          <w:sz w:val="18"/>
          <w:szCs w:val="18"/>
        </w:rPr>
        <w:t>t</w:t>
      </w:r>
      <w:r w:rsidRPr="0042579D">
        <w:rPr>
          <w:rFonts w:ascii="Cambria" w:eastAsia="Calibri" w:hAnsi="Cambria" w:cs="Calibri"/>
          <w:spacing w:val="1"/>
          <w:sz w:val="18"/>
          <w:szCs w:val="18"/>
        </w:rPr>
        <w:t>h</w:t>
      </w:r>
      <w:r w:rsidRPr="0042579D">
        <w:rPr>
          <w:rFonts w:ascii="Cambria" w:eastAsia="Calibri" w:hAnsi="Cambria" w:cs="Calibri"/>
          <w:spacing w:val="-1"/>
          <w:sz w:val="18"/>
          <w:szCs w:val="18"/>
        </w:rPr>
        <w:t>e</w:t>
      </w:r>
      <w:r w:rsidRPr="0042579D">
        <w:rPr>
          <w:rFonts w:ascii="Cambria" w:eastAsia="Calibri" w:hAnsi="Cambria" w:cs="Calibri"/>
          <w:sz w:val="18"/>
          <w:szCs w:val="18"/>
        </w:rPr>
        <w:t>w</w:t>
      </w:r>
      <w:r w:rsidRPr="0042579D">
        <w:rPr>
          <w:rFonts w:ascii="Cambria" w:eastAsia="Calibri" w:hAnsi="Cambria" w:cs="Calibri"/>
          <w:spacing w:val="-8"/>
          <w:sz w:val="18"/>
          <w:szCs w:val="18"/>
        </w:rPr>
        <w:t xml:space="preserve"> </w:t>
      </w:r>
      <w:r w:rsidRPr="0042579D">
        <w:rPr>
          <w:rFonts w:ascii="Cambria" w:eastAsia="Calibri" w:hAnsi="Cambria" w:cs="Calibri"/>
          <w:spacing w:val="3"/>
          <w:sz w:val="18"/>
          <w:szCs w:val="18"/>
        </w:rPr>
        <w:t>2</w:t>
      </w:r>
      <w:r w:rsidRPr="0042579D">
        <w:rPr>
          <w:rFonts w:ascii="Cambria" w:eastAsia="Calibri" w:hAnsi="Cambria" w:cs="Calibri"/>
          <w:sz w:val="18"/>
          <w:szCs w:val="18"/>
        </w:rPr>
        <w:t>0</w:t>
      </w:r>
      <w:r w:rsidRPr="0042579D">
        <w:rPr>
          <w:rFonts w:ascii="Cambria" w:eastAsia="Calibri" w:hAnsi="Cambria" w:cs="Calibri"/>
          <w:spacing w:val="-1"/>
          <w:sz w:val="18"/>
          <w:szCs w:val="18"/>
        </w:rPr>
        <w:t>:</w:t>
      </w:r>
      <w:r w:rsidRPr="0042579D">
        <w:rPr>
          <w:rFonts w:ascii="Cambria" w:eastAsia="Calibri" w:hAnsi="Cambria" w:cs="Calibri"/>
          <w:sz w:val="18"/>
          <w:szCs w:val="18"/>
        </w:rPr>
        <w:t>26.</w:t>
      </w:r>
      <w:r w:rsidRPr="0042579D">
        <w:rPr>
          <w:rFonts w:ascii="Cambria" w:eastAsia="Calibri" w:hAnsi="Cambria" w:cs="Calibri"/>
          <w:spacing w:val="-5"/>
          <w:sz w:val="18"/>
          <w:szCs w:val="18"/>
        </w:rPr>
        <w:t xml:space="preserve"> </w:t>
      </w:r>
      <w:r w:rsidRPr="0042579D">
        <w:rPr>
          <w:rFonts w:ascii="Cambria" w:eastAsia="Calibri" w:hAnsi="Cambria" w:cs="Calibri"/>
          <w:sz w:val="18"/>
          <w:szCs w:val="18"/>
        </w:rPr>
        <w:t>In</w:t>
      </w:r>
      <w:r w:rsidRPr="0042579D">
        <w:rPr>
          <w:rFonts w:ascii="Cambria" w:eastAsia="Calibri" w:hAnsi="Cambria" w:cs="Calibri"/>
          <w:spacing w:val="2"/>
          <w:sz w:val="18"/>
          <w:szCs w:val="18"/>
        </w:rPr>
        <w:t xml:space="preserve"> </w:t>
      </w:r>
      <w:r w:rsidRPr="0042579D">
        <w:rPr>
          <w:rFonts w:ascii="Cambria" w:eastAsia="Calibri" w:hAnsi="Cambria" w:cs="Calibri"/>
          <w:spacing w:val="1"/>
          <w:sz w:val="18"/>
          <w:szCs w:val="18"/>
        </w:rPr>
        <w:t>n</w:t>
      </w:r>
      <w:r w:rsidRPr="0042579D">
        <w:rPr>
          <w:rFonts w:ascii="Cambria" w:eastAsia="Calibri" w:hAnsi="Cambria" w:cs="Calibri"/>
          <w:spacing w:val="-1"/>
          <w:sz w:val="18"/>
          <w:szCs w:val="18"/>
        </w:rPr>
        <w:t>e</w:t>
      </w:r>
      <w:r w:rsidRPr="0042579D">
        <w:rPr>
          <w:rFonts w:ascii="Cambria" w:eastAsia="Calibri" w:hAnsi="Cambria" w:cs="Calibri"/>
          <w:sz w:val="18"/>
          <w:szCs w:val="18"/>
        </w:rPr>
        <w:t>it</w:t>
      </w:r>
      <w:r w:rsidRPr="0042579D">
        <w:rPr>
          <w:rFonts w:ascii="Cambria" w:eastAsia="Calibri" w:hAnsi="Cambria" w:cs="Calibri"/>
          <w:spacing w:val="1"/>
          <w:sz w:val="18"/>
          <w:szCs w:val="18"/>
        </w:rPr>
        <w:t>h</w:t>
      </w:r>
      <w:r w:rsidRPr="0042579D">
        <w:rPr>
          <w:rFonts w:ascii="Cambria" w:eastAsia="Calibri" w:hAnsi="Cambria" w:cs="Calibri"/>
          <w:spacing w:val="-1"/>
          <w:sz w:val="18"/>
          <w:szCs w:val="18"/>
        </w:rPr>
        <w:t>e</w:t>
      </w:r>
      <w:r w:rsidRPr="0042579D">
        <w:rPr>
          <w:rFonts w:ascii="Cambria" w:eastAsia="Calibri" w:hAnsi="Cambria" w:cs="Calibri"/>
          <w:sz w:val="18"/>
          <w:szCs w:val="18"/>
        </w:rPr>
        <w:t>r</w:t>
      </w:r>
      <w:r w:rsidRPr="0042579D">
        <w:rPr>
          <w:rFonts w:ascii="Cambria" w:eastAsia="Calibri" w:hAnsi="Cambria" w:cs="Calibri"/>
          <w:spacing w:val="-6"/>
          <w:sz w:val="18"/>
          <w:szCs w:val="18"/>
        </w:rPr>
        <w:t xml:space="preserve"> </w:t>
      </w:r>
      <w:r w:rsidRPr="0042579D">
        <w:rPr>
          <w:rFonts w:ascii="Cambria" w:eastAsia="Calibri" w:hAnsi="Cambria" w:cs="Calibri"/>
          <w:sz w:val="18"/>
          <w:szCs w:val="18"/>
        </w:rPr>
        <w:t>Roma</w:t>
      </w:r>
      <w:r w:rsidRPr="0042579D">
        <w:rPr>
          <w:rFonts w:ascii="Cambria" w:eastAsia="Calibri" w:hAnsi="Cambria" w:cs="Calibri"/>
          <w:spacing w:val="3"/>
          <w:sz w:val="18"/>
          <w:szCs w:val="18"/>
        </w:rPr>
        <w:t>n</w:t>
      </w:r>
      <w:r w:rsidRPr="0042579D">
        <w:rPr>
          <w:rFonts w:ascii="Cambria" w:eastAsia="Calibri" w:hAnsi="Cambria" w:cs="Calibri"/>
          <w:sz w:val="18"/>
          <w:szCs w:val="18"/>
        </w:rPr>
        <w:t>s</w:t>
      </w:r>
      <w:r w:rsidRPr="0042579D">
        <w:rPr>
          <w:rFonts w:ascii="Cambria" w:eastAsia="Calibri" w:hAnsi="Cambria" w:cs="Calibri"/>
          <w:spacing w:val="-8"/>
          <w:sz w:val="18"/>
          <w:szCs w:val="18"/>
        </w:rPr>
        <w:t xml:space="preserve"> </w:t>
      </w:r>
      <w:r w:rsidRPr="0042579D">
        <w:rPr>
          <w:rFonts w:ascii="Cambria" w:eastAsia="Calibri" w:hAnsi="Cambria" w:cs="Calibri"/>
          <w:sz w:val="18"/>
          <w:szCs w:val="18"/>
        </w:rPr>
        <w:t>16:1</w:t>
      </w:r>
      <w:r w:rsidRPr="0042579D">
        <w:rPr>
          <w:rFonts w:ascii="Cambria" w:eastAsia="Calibri" w:hAnsi="Cambria" w:cs="Calibri"/>
          <w:spacing w:val="-4"/>
          <w:sz w:val="18"/>
          <w:szCs w:val="18"/>
        </w:rPr>
        <w:t xml:space="preserve"> </w:t>
      </w:r>
      <w:r w:rsidRPr="0042579D">
        <w:rPr>
          <w:rFonts w:ascii="Cambria" w:eastAsia="Calibri" w:hAnsi="Cambria" w:cs="Calibri"/>
          <w:spacing w:val="1"/>
          <w:sz w:val="18"/>
          <w:szCs w:val="18"/>
        </w:rPr>
        <w:t>n</w:t>
      </w:r>
      <w:r w:rsidRPr="0042579D">
        <w:rPr>
          <w:rFonts w:ascii="Cambria" w:eastAsia="Calibri" w:hAnsi="Cambria" w:cs="Calibri"/>
          <w:sz w:val="18"/>
          <w:szCs w:val="18"/>
        </w:rPr>
        <w:t>or</w:t>
      </w:r>
      <w:r w:rsidRPr="0042579D">
        <w:rPr>
          <w:rFonts w:ascii="Cambria" w:eastAsia="Calibri" w:hAnsi="Cambria" w:cs="Calibri"/>
          <w:spacing w:val="-3"/>
          <w:sz w:val="18"/>
          <w:szCs w:val="18"/>
        </w:rPr>
        <w:t xml:space="preserve"> </w:t>
      </w:r>
      <w:r w:rsidRPr="0042579D">
        <w:rPr>
          <w:rFonts w:ascii="Cambria" w:eastAsia="Calibri" w:hAnsi="Cambria" w:cs="Calibri"/>
          <w:sz w:val="18"/>
          <w:szCs w:val="18"/>
        </w:rPr>
        <w:t>1</w:t>
      </w:r>
      <w:r w:rsidRPr="0042579D">
        <w:rPr>
          <w:rFonts w:ascii="Cambria" w:eastAsia="Calibri" w:hAnsi="Cambria" w:cs="Calibri"/>
          <w:spacing w:val="1"/>
          <w:sz w:val="18"/>
          <w:szCs w:val="18"/>
        </w:rPr>
        <w:t xml:space="preserve"> </w:t>
      </w:r>
      <w:r w:rsidRPr="0042579D">
        <w:rPr>
          <w:rFonts w:ascii="Cambria" w:eastAsia="Calibri" w:hAnsi="Cambria" w:cs="Calibri"/>
          <w:spacing w:val="-1"/>
          <w:sz w:val="18"/>
          <w:szCs w:val="18"/>
        </w:rPr>
        <w:t>T</w:t>
      </w:r>
      <w:r w:rsidRPr="0042579D">
        <w:rPr>
          <w:rFonts w:ascii="Cambria" w:eastAsia="Calibri" w:hAnsi="Cambria" w:cs="Calibri"/>
          <w:spacing w:val="2"/>
          <w:sz w:val="18"/>
          <w:szCs w:val="18"/>
        </w:rPr>
        <w:t>i</w:t>
      </w:r>
      <w:r w:rsidRPr="0042579D">
        <w:rPr>
          <w:rFonts w:ascii="Cambria" w:eastAsia="Calibri" w:hAnsi="Cambria" w:cs="Calibri"/>
          <w:spacing w:val="-1"/>
          <w:sz w:val="18"/>
          <w:szCs w:val="18"/>
        </w:rPr>
        <w:t>m</w:t>
      </w:r>
      <w:r w:rsidRPr="0042579D">
        <w:rPr>
          <w:rFonts w:ascii="Cambria" w:eastAsia="Calibri" w:hAnsi="Cambria" w:cs="Calibri"/>
          <w:sz w:val="18"/>
          <w:szCs w:val="18"/>
        </w:rPr>
        <w:t>ot</w:t>
      </w:r>
      <w:r w:rsidRPr="0042579D">
        <w:rPr>
          <w:rFonts w:ascii="Cambria" w:eastAsia="Calibri" w:hAnsi="Cambria" w:cs="Calibri"/>
          <w:spacing w:val="1"/>
          <w:sz w:val="18"/>
          <w:szCs w:val="18"/>
        </w:rPr>
        <w:t>h</w:t>
      </w:r>
      <w:r w:rsidRPr="0042579D">
        <w:rPr>
          <w:rFonts w:ascii="Cambria" w:eastAsia="Calibri" w:hAnsi="Cambria" w:cs="Calibri"/>
          <w:sz w:val="18"/>
          <w:szCs w:val="18"/>
        </w:rPr>
        <w:t>y</w:t>
      </w:r>
      <w:r w:rsidRPr="0042579D">
        <w:rPr>
          <w:rFonts w:ascii="Cambria" w:eastAsia="Calibri" w:hAnsi="Cambria" w:cs="Calibri"/>
          <w:spacing w:val="-6"/>
          <w:sz w:val="18"/>
          <w:szCs w:val="18"/>
        </w:rPr>
        <w:t xml:space="preserve"> </w:t>
      </w:r>
      <w:r w:rsidRPr="0042579D">
        <w:rPr>
          <w:rFonts w:ascii="Cambria" w:eastAsia="Calibri" w:hAnsi="Cambria" w:cs="Calibri"/>
          <w:sz w:val="18"/>
          <w:szCs w:val="18"/>
        </w:rPr>
        <w:t>4:6</w:t>
      </w:r>
      <w:r w:rsidRPr="0042579D">
        <w:rPr>
          <w:rFonts w:ascii="Cambria" w:eastAsia="Calibri" w:hAnsi="Cambria" w:cs="Calibri"/>
          <w:spacing w:val="-3"/>
          <w:sz w:val="18"/>
          <w:szCs w:val="18"/>
        </w:rPr>
        <w:t xml:space="preserve"> </w:t>
      </w:r>
      <w:r w:rsidRPr="0042579D">
        <w:rPr>
          <w:rFonts w:ascii="Cambria" w:eastAsia="Calibri" w:hAnsi="Cambria" w:cs="Calibri"/>
          <w:sz w:val="18"/>
          <w:szCs w:val="18"/>
        </w:rPr>
        <w:t>is</w:t>
      </w:r>
      <w:r w:rsidRPr="0042579D">
        <w:rPr>
          <w:rFonts w:ascii="Cambria" w:eastAsia="Calibri" w:hAnsi="Cambria" w:cs="Calibri"/>
          <w:spacing w:val="-2"/>
          <w:sz w:val="18"/>
          <w:szCs w:val="18"/>
        </w:rPr>
        <w:t xml:space="preserve"> </w:t>
      </w:r>
      <w:r w:rsidRPr="0042579D">
        <w:rPr>
          <w:rFonts w:ascii="Cambria" w:eastAsia="Calibri" w:hAnsi="Cambria" w:cs="Calibri"/>
          <w:sz w:val="18"/>
          <w:szCs w:val="18"/>
        </w:rPr>
        <w:t>it c</w:t>
      </w:r>
      <w:r w:rsidRPr="0042579D">
        <w:rPr>
          <w:rFonts w:ascii="Cambria" w:eastAsia="Calibri" w:hAnsi="Cambria" w:cs="Calibri"/>
          <w:spacing w:val="3"/>
          <w:sz w:val="18"/>
          <w:szCs w:val="18"/>
        </w:rPr>
        <w:t>l</w:t>
      </w:r>
      <w:r w:rsidRPr="0042579D">
        <w:rPr>
          <w:rFonts w:ascii="Cambria" w:eastAsia="Calibri" w:hAnsi="Cambria" w:cs="Calibri"/>
          <w:spacing w:val="-1"/>
          <w:sz w:val="18"/>
          <w:szCs w:val="18"/>
        </w:rPr>
        <w:t>e</w:t>
      </w:r>
      <w:r w:rsidRPr="0042579D">
        <w:rPr>
          <w:rFonts w:ascii="Cambria" w:eastAsia="Calibri" w:hAnsi="Cambria" w:cs="Calibri"/>
          <w:sz w:val="18"/>
          <w:szCs w:val="18"/>
        </w:rPr>
        <w:t>ar</w:t>
      </w:r>
      <w:r w:rsidRPr="0042579D">
        <w:rPr>
          <w:rFonts w:ascii="Cambria" w:eastAsia="Calibri" w:hAnsi="Cambria" w:cs="Calibri"/>
          <w:spacing w:val="-4"/>
          <w:sz w:val="18"/>
          <w:szCs w:val="18"/>
        </w:rPr>
        <w:t xml:space="preserve"> </w:t>
      </w:r>
      <w:r w:rsidRPr="0042579D">
        <w:rPr>
          <w:rFonts w:ascii="Cambria" w:eastAsia="Calibri" w:hAnsi="Cambria" w:cs="Calibri"/>
          <w:spacing w:val="1"/>
          <w:sz w:val="18"/>
          <w:szCs w:val="18"/>
        </w:rPr>
        <w:t>th</w:t>
      </w:r>
      <w:r w:rsidRPr="0042579D">
        <w:rPr>
          <w:rFonts w:ascii="Cambria" w:eastAsia="Calibri" w:hAnsi="Cambria" w:cs="Calibri"/>
          <w:sz w:val="18"/>
          <w:szCs w:val="18"/>
        </w:rPr>
        <w:t>at</w:t>
      </w:r>
      <w:r w:rsidRPr="0042579D">
        <w:rPr>
          <w:rFonts w:ascii="Cambria" w:eastAsia="Calibri" w:hAnsi="Cambria" w:cs="Calibri"/>
          <w:spacing w:val="-2"/>
          <w:sz w:val="18"/>
          <w:szCs w:val="18"/>
        </w:rPr>
        <w:t xml:space="preserve"> </w:t>
      </w:r>
      <w:r w:rsidRPr="0042579D">
        <w:rPr>
          <w:rFonts w:ascii="Cambria" w:eastAsia="Calibri" w:hAnsi="Cambria" w:cs="Calibri"/>
          <w:spacing w:val="1"/>
          <w:sz w:val="18"/>
          <w:szCs w:val="18"/>
        </w:rPr>
        <w:t>th</w:t>
      </w:r>
      <w:r w:rsidRPr="0042579D">
        <w:rPr>
          <w:rFonts w:ascii="Cambria" w:eastAsia="Calibri" w:hAnsi="Cambria" w:cs="Calibri"/>
          <w:sz w:val="18"/>
          <w:szCs w:val="18"/>
        </w:rPr>
        <w:t>is</w:t>
      </w:r>
      <w:r w:rsidRPr="0042579D">
        <w:rPr>
          <w:rFonts w:ascii="Cambria" w:eastAsia="Calibri" w:hAnsi="Cambria" w:cs="Calibri"/>
          <w:spacing w:val="-4"/>
          <w:sz w:val="18"/>
          <w:szCs w:val="18"/>
        </w:rPr>
        <w:t xml:space="preserve"> </w:t>
      </w:r>
      <w:r w:rsidRPr="0042579D">
        <w:rPr>
          <w:rFonts w:ascii="Cambria" w:eastAsia="Calibri" w:hAnsi="Cambria" w:cs="Calibri"/>
          <w:sz w:val="18"/>
          <w:szCs w:val="18"/>
        </w:rPr>
        <w:t>word</w:t>
      </w:r>
      <w:r w:rsidRPr="0042579D">
        <w:rPr>
          <w:rFonts w:ascii="Cambria" w:eastAsia="Calibri" w:hAnsi="Cambria" w:cs="Calibri"/>
          <w:spacing w:val="-3"/>
          <w:sz w:val="18"/>
          <w:szCs w:val="18"/>
        </w:rPr>
        <w:t xml:space="preserve"> </w:t>
      </w:r>
      <w:r w:rsidRPr="0042579D">
        <w:rPr>
          <w:rFonts w:ascii="Cambria" w:eastAsia="Calibri" w:hAnsi="Cambria" w:cs="Calibri"/>
          <w:sz w:val="18"/>
          <w:szCs w:val="18"/>
        </w:rPr>
        <w:t>is</w:t>
      </w:r>
      <w:r w:rsidRPr="0042579D">
        <w:rPr>
          <w:rFonts w:ascii="Cambria" w:eastAsia="Calibri" w:hAnsi="Cambria" w:cs="Calibri"/>
          <w:spacing w:val="-2"/>
          <w:sz w:val="18"/>
          <w:szCs w:val="18"/>
        </w:rPr>
        <w:t xml:space="preserve"> </w:t>
      </w:r>
      <w:r w:rsidRPr="0042579D">
        <w:rPr>
          <w:rFonts w:ascii="Cambria" w:eastAsia="Calibri" w:hAnsi="Cambria" w:cs="Calibri"/>
          <w:spacing w:val="1"/>
          <w:sz w:val="18"/>
          <w:szCs w:val="18"/>
        </w:rPr>
        <w:t>b</w:t>
      </w:r>
      <w:r w:rsidRPr="0042579D">
        <w:rPr>
          <w:rFonts w:ascii="Cambria" w:eastAsia="Calibri" w:hAnsi="Cambria" w:cs="Calibri"/>
          <w:spacing w:val="-1"/>
          <w:sz w:val="18"/>
          <w:szCs w:val="18"/>
        </w:rPr>
        <w:t>e</w:t>
      </w:r>
      <w:r w:rsidRPr="0042579D">
        <w:rPr>
          <w:rFonts w:ascii="Cambria" w:eastAsia="Calibri" w:hAnsi="Cambria" w:cs="Calibri"/>
          <w:sz w:val="18"/>
          <w:szCs w:val="18"/>
        </w:rPr>
        <w:t>i</w:t>
      </w:r>
      <w:r w:rsidRPr="0042579D">
        <w:rPr>
          <w:rFonts w:ascii="Cambria" w:eastAsia="Calibri" w:hAnsi="Cambria" w:cs="Calibri"/>
          <w:spacing w:val="1"/>
          <w:sz w:val="18"/>
          <w:szCs w:val="18"/>
        </w:rPr>
        <w:t>n</w:t>
      </w:r>
      <w:r w:rsidRPr="0042579D">
        <w:rPr>
          <w:rFonts w:ascii="Cambria" w:eastAsia="Calibri" w:hAnsi="Cambria" w:cs="Calibri"/>
          <w:sz w:val="18"/>
          <w:szCs w:val="18"/>
        </w:rPr>
        <w:t>g</w:t>
      </w:r>
      <w:r w:rsidRPr="0042579D">
        <w:rPr>
          <w:rFonts w:ascii="Cambria" w:eastAsia="Calibri" w:hAnsi="Cambria" w:cs="Calibri"/>
          <w:spacing w:val="-4"/>
          <w:sz w:val="18"/>
          <w:szCs w:val="18"/>
        </w:rPr>
        <w:t xml:space="preserve"> </w:t>
      </w:r>
      <w:r w:rsidRPr="0042579D">
        <w:rPr>
          <w:rFonts w:ascii="Cambria" w:eastAsia="Calibri" w:hAnsi="Cambria" w:cs="Calibri"/>
          <w:spacing w:val="1"/>
          <w:sz w:val="18"/>
          <w:szCs w:val="18"/>
        </w:rPr>
        <w:t>us</w:t>
      </w:r>
      <w:r w:rsidRPr="0042579D">
        <w:rPr>
          <w:rFonts w:ascii="Cambria" w:eastAsia="Calibri" w:hAnsi="Cambria" w:cs="Calibri"/>
          <w:spacing w:val="-1"/>
          <w:sz w:val="18"/>
          <w:szCs w:val="18"/>
        </w:rPr>
        <w:t>e</w:t>
      </w:r>
      <w:r w:rsidRPr="0042579D">
        <w:rPr>
          <w:rFonts w:ascii="Cambria" w:eastAsia="Calibri" w:hAnsi="Cambria" w:cs="Calibri"/>
          <w:sz w:val="18"/>
          <w:szCs w:val="18"/>
        </w:rPr>
        <w:t>d</w:t>
      </w:r>
      <w:r w:rsidRPr="0042579D">
        <w:rPr>
          <w:rFonts w:ascii="Cambria" w:eastAsia="Calibri" w:hAnsi="Cambria" w:cs="Calibri"/>
          <w:spacing w:val="-3"/>
          <w:sz w:val="18"/>
          <w:szCs w:val="18"/>
        </w:rPr>
        <w:t xml:space="preserve"> </w:t>
      </w:r>
      <w:r w:rsidRPr="0042579D">
        <w:rPr>
          <w:rFonts w:ascii="Cambria" w:eastAsia="Calibri" w:hAnsi="Cambria" w:cs="Calibri"/>
          <w:spacing w:val="1"/>
          <w:sz w:val="18"/>
          <w:szCs w:val="18"/>
        </w:rPr>
        <w:t>a</w:t>
      </w:r>
      <w:r w:rsidRPr="0042579D">
        <w:rPr>
          <w:rFonts w:ascii="Cambria" w:eastAsia="Calibri" w:hAnsi="Cambria" w:cs="Calibri"/>
          <w:sz w:val="18"/>
          <w:szCs w:val="18"/>
        </w:rPr>
        <w:t>s</w:t>
      </w:r>
      <w:r w:rsidRPr="0042579D">
        <w:rPr>
          <w:rFonts w:ascii="Cambria" w:eastAsia="Calibri" w:hAnsi="Cambria" w:cs="Calibri"/>
          <w:spacing w:val="-3"/>
          <w:sz w:val="18"/>
          <w:szCs w:val="18"/>
        </w:rPr>
        <w:t xml:space="preserve"> </w:t>
      </w:r>
      <w:r w:rsidRPr="0042579D">
        <w:rPr>
          <w:rFonts w:ascii="Cambria" w:eastAsia="Calibri" w:hAnsi="Cambria" w:cs="Calibri"/>
          <w:sz w:val="18"/>
          <w:szCs w:val="18"/>
        </w:rPr>
        <w:t xml:space="preserve">a </w:t>
      </w:r>
      <w:r w:rsidRPr="0042579D">
        <w:rPr>
          <w:rFonts w:ascii="Cambria" w:eastAsia="Calibri" w:hAnsi="Cambria" w:cs="Calibri"/>
          <w:spacing w:val="1"/>
          <w:sz w:val="18"/>
          <w:szCs w:val="18"/>
        </w:rPr>
        <w:t>t</w:t>
      </w:r>
      <w:r w:rsidRPr="0042579D">
        <w:rPr>
          <w:rFonts w:ascii="Cambria" w:eastAsia="Calibri" w:hAnsi="Cambria" w:cs="Calibri"/>
          <w:sz w:val="18"/>
          <w:szCs w:val="18"/>
        </w:rPr>
        <w:t>itle.</w:t>
      </w:r>
      <w:r w:rsidRPr="0042579D">
        <w:rPr>
          <w:rFonts w:ascii="Cambria" w:eastAsia="Calibri" w:hAnsi="Cambria" w:cs="Calibri"/>
          <w:spacing w:val="-1"/>
          <w:sz w:val="18"/>
          <w:szCs w:val="18"/>
        </w:rPr>
        <w:t xml:space="preserve"> </w:t>
      </w:r>
      <w:r w:rsidRPr="0042579D">
        <w:rPr>
          <w:rFonts w:ascii="Cambria" w:eastAsia="Calibri" w:hAnsi="Cambria" w:cs="Calibri"/>
          <w:spacing w:val="1"/>
          <w:sz w:val="18"/>
          <w:szCs w:val="18"/>
        </w:rPr>
        <w:t>Y</w:t>
      </w:r>
      <w:r w:rsidRPr="0042579D">
        <w:rPr>
          <w:rFonts w:ascii="Cambria" w:eastAsia="Calibri" w:hAnsi="Cambria" w:cs="Calibri"/>
          <w:spacing w:val="-1"/>
          <w:sz w:val="18"/>
          <w:szCs w:val="18"/>
        </w:rPr>
        <w:t>e</w:t>
      </w:r>
      <w:r w:rsidRPr="0042579D">
        <w:rPr>
          <w:rFonts w:ascii="Cambria" w:eastAsia="Calibri" w:hAnsi="Cambria" w:cs="Calibri"/>
          <w:sz w:val="18"/>
          <w:szCs w:val="18"/>
        </w:rPr>
        <w:t>t</w:t>
      </w:r>
      <w:r w:rsidRPr="0042579D">
        <w:rPr>
          <w:rFonts w:ascii="Cambria" w:eastAsia="Calibri" w:hAnsi="Cambria" w:cs="Calibri"/>
          <w:spacing w:val="-2"/>
          <w:sz w:val="18"/>
          <w:szCs w:val="18"/>
        </w:rPr>
        <w:t xml:space="preserve"> </w:t>
      </w:r>
      <w:r w:rsidRPr="0042579D">
        <w:rPr>
          <w:rFonts w:ascii="Cambria" w:eastAsia="Calibri" w:hAnsi="Cambria" w:cs="Calibri"/>
          <w:spacing w:val="-1"/>
          <w:sz w:val="18"/>
          <w:szCs w:val="18"/>
        </w:rPr>
        <w:t>e</w:t>
      </w:r>
      <w:r w:rsidRPr="0042579D">
        <w:rPr>
          <w:rFonts w:ascii="Cambria" w:eastAsia="Calibri" w:hAnsi="Cambria" w:cs="Calibri"/>
          <w:spacing w:val="1"/>
          <w:sz w:val="18"/>
          <w:szCs w:val="18"/>
        </w:rPr>
        <w:t>v</w:t>
      </w:r>
      <w:r w:rsidRPr="0042579D">
        <w:rPr>
          <w:rFonts w:ascii="Cambria" w:eastAsia="Calibri" w:hAnsi="Cambria" w:cs="Calibri"/>
          <w:spacing w:val="-1"/>
          <w:sz w:val="18"/>
          <w:szCs w:val="18"/>
        </w:rPr>
        <w:t>e</w:t>
      </w:r>
      <w:r w:rsidRPr="0042579D">
        <w:rPr>
          <w:rFonts w:ascii="Cambria" w:eastAsia="Calibri" w:hAnsi="Cambria" w:cs="Calibri"/>
          <w:sz w:val="18"/>
          <w:szCs w:val="18"/>
        </w:rPr>
        <w:t>n</w:t>
      </w:r>
      <w:r w:rsidRPr="0042579D">
        <w:rPr>
          <w:rFonts w:ascii="Cambria" w:eastAsia="Calibri" w:hAnsi="Cambria" w:cs="Calibri"/>
          <w:spacing w:val="-3"/>
          <w:sz w:val="18"/>
          <w:szCs w:val="18"/>
        </w:rPr>
        <w:t xml:space="preserve"> </w:t>
      </w:r>
      <w:r w:rsidRPr="0042579D">
        <w:rPr>
          <w:rFonts w:ascii="Cambria" w:eastAsia="Calibri" w:hAnsi="Cambria" w:cs="Calibri"/>
          <w:sz w:val="18"/>
          <w:szCs w:val="18"/>
        </w:rPr>
        <w:t>if</w:t>
      </w:r>
      <w:r w:rsidRPr="0042579D">
        <w:rPr>
          <w:rFonts w:ascii="Cambria" w:eastAsia="Calibri" w:hAnsi="Cambria" w:cs="Calibri"/>
          <w:spacing w:val="-1"/>
          <w:sz w:val="18"/>
          <w:szCs w:val="18"/>
        </w:rPr>
        <w:t xml:space="preserve"> </w:t>
      </w:r>
      <w:r w:rsidRPr="0042579D">
        <w:rPr>
          <w:rFonts w:ascii="Cambria" w:eastAsia="Calibri" w:hAnsi="Cambria" w:cs="Calibri"/>
          <w:spacing w:val="11"/>
          <w:sz w:val="18"/>
          <w:szCs w:val="18"/>
        </w:rPr>
        <w:t>i</w:t>
      </w:r>
      <w:r w:rsidRPr="0042579D">
        <w:rPr>
          <w:rFonts w:ascii="Cambria" w:eastAsia="Calibri" w:hAnsi="Cambria" w:cs="Calibri"/>
          <w:sz w:val="18"/>
          <w:szCs w:val="18"/>
        </w:rPr>
        <w:t>t is</w:t>
      </w:r>
      <w:r w:rsidRPr="0042579D">
        <w:rPr>
          <w:rFonts w:ascii="Cambria" w:eastAsia="Calibri" w:hAnsi="Cambria" w:cs="Calibri"/>
          <w:spacing w:val="-2"/>
          <w:sz w:val="18"/>
          <w:szCs w:val="18"/>
        </w:rPr>
        <w:t xml:space="preserve"> </w:t>
      </w:r>
      <w:r w:rsidRPr="0042579D">
        <w:rPr>
          <w:rFonts w:ascii="Cambria" w:eastAsia="Calibri" w:hAnsi="Cambria" w:cs="Calibri"/>
          <w:spacing w:val="1"/>
          <w:sz w:val="18"/>
          <w:szCs w:val="18"/>
        </w:rPr>
        <w:t>b</w:t>
      </w:r>
      <w:r w:rsidRPr="0042579D">
        <w:rPr>
          <w:rFonts w:ascii="Cambria" w:eastAsia="Calibri" w:hAnsi="Cambria" w:cs="Calibri"/>
          <w:spacing w:val="-1"/>
          <w:sz w:val="18"/>
          <w:szCs w:val="18"/>
        </w:rPr>
        <w:t>e</w:t>
      </w:r>
      <w:r w:rsidRPr="0042579D">
        <w:rPr>
          <w:rFonts w:ascii="Cambria" w:eastAsia="Calibri" w:hAnsi="Cambria" w:cs="Calibri"/>
          <w:sz w:val="18"/>
          <w:szCs w:val="18"/>
        </w:rPr>
        <w:t>i</w:t>
      </w:r>
      <w:r w:rsidRPr="0042579D">
        <w:rPr>
          <w:rFonts w:ascii="Cambria" w:eastAsia="Calibri" w:hAnsi="Cambria" w:cs="Calibri"/>
          <w:spacing w:val="1"/>
          <w:sz w:val="18"/>
          <w:szCs w:val="18"/>
        </w:rPr>
        <w:t>n</w:t>
      </w:r>
      <w:r w:rsidRPr="0042579D">
        <w:rPr>
          <w:rFonts w:ascii="Cambria" w:eastAsia="Calibri" w:hAnsi="Cambria" w:cs="Calibri"/>
          <w:sz w:val="18"/>
          <w:szCs w:val="18"/>
        </w:rPr>
        <w:t>g</w:t>
      </w:r>
      <w:r w:rsidRPr="0042579D">
        <w:rPr>
          <w:rFonts w:ascii="Cambria" w:eastAsia="Calibri" w:hAnsi="Cambria" w:cs="Calibri"/>
          <w:spacing w:val="-4"/>
          <w:sz w:val="18"/>
          <w:szCs w:val="18"/>
        </w:rPr>
        <w:t xml:space="preserve"> </w:t>
      </w:r>
      <w:r w:rsidRPr="0042579D">
        <w:rPr>
          <w:rFonts w:ascii="Cambria" w:eastAsia="Calibri" w:hAnsi="Cambria" w:cs="Calibri"/>
          <w:spacing w:val="1"/>
          <w:sz w:val="18"/>
          <w:szCs w:val="18"/>
        </w:rPr>
        <w:t>us</w:t>
      </w:r>
      <w:r w:rsidRPr="0042579D">
        <w:rPr>
          <w:rFonts w:ascii="Cambria" w:eastAsia="Calibri" w:hAnsi="Cambria" w:cs="Calibri"/>
          <w:spacing w:val="-1"/>
          <w:sz w:val="18"/>
          <w:szCs w:val="18"/>
        </w:rPr>
        <w:t>e</w:t>
      </w:r>
      <w:r w:rsidRPr="0042579D">
        <w:rPr>
          <w:rFonts w:ascii="Cambria" w:eastAsia="Calibri" w:hAnsi="Cambria" w:cs="Calibri"/>
          <w:sz w:val="18"/>
          <w:szCs w:val="18"/>
        </w:rPr>
        <w:t>d</w:t>
      </w:r>
      <w:r w:rsidRPr="0042579D">
        <w:rPr>
          <w:rFonts w:ascii="Cambria" w:eastAsia="Calibri" w:hAnsi="Cambria" w:cs="Calibri"/>
          <w:spacing w:val="-3"/>
          <w:sz w:val="18"/>
          <w:szCs w:val="18"/>
        </w:rPr>
        <w:t xml:space="preserve"> </w:t>
      </w:r>
      <w:r w:rsidRPr="0042579D">
        <w:rPr>
          <w:rFonts w:ascii="Cambria" w:eastAsia="Calibri" w:hAnsi="Cambria" w:cs="Calibri"/>
          <w:spacing w:val="1"/>
          <w:sz w:val="18"/>
          <w:szCs w:val="18"/>
        </w:rPr>
        <w:t>th</w:t>
      </w:r>
      <w:r w:rsidRPr="0042579D">
        <w:rPr>
          <w:rFonts w:ascii="Cambria" w:eastAsia="Calibri" w:hAnsi="Cambria" w:cs="Calibri"/>
          <w:sz w:val="18"/>
          <w:szCs w:val="18"/>
        </w:rPr>
        <w:t>is</w:t>
      </w:r>
      <w:r w:rsidRPr="0042579D">
        <w:rPr>
          <w:rFonts w:ascii="Cambria" w:eastAsia="Calibri" w:hAnsi="Cambria" w:cs="Calibri"/>
          <w:spacing w:val="-4"/>
          <w:sz w:val="18"/>
          <w:szCs w:val="18"/>
        </w:rPr>
        <w:t xml:space="preserve"> </w:t>
      </w:r>
      <w:r w:rsidRPr="0042579D">
        <w:rPr>
          <w:rFonts w:ascii="Cambria" w:eastAsia="Calibri" w:hAnsi="Cambria" w:cs="Calibri"/>
          <w:sz w:val="18"/>
          <w:szCs w:val="18"/>
        </w:rPr>
        <w:t>wa</w:t>
      </w:r>
      <w:r w:rsidRPr="0042579D">
        <w:rPr>
          <w:rFonts w:ascii="Cambria" w:eastAsia="Calibri" w:hAnsi="Cambria" w:cs="Calibri"/>
          <w:spacing w:val="1"/>
          <w:sz w:val="18"/>
          <w:szCs w:val="18"/>
        </w:rPr>
        <w:t>y</w:t>
      </w:r>
      <w:r w:rsidRPr="0042579D">
        <w:rPr>
          <w:rFonts w:ascii="Cambria" w:eastAsia="Calibri" w:hAnsi="Cambria" w:cs="Calibri"/>
          <w:sz w:val="18"/>
          <w:szCs w:val="18"/>
        </w:rPr>
        <w:t>,</w:t>
      </w:r>
      <w:r w:rsidRPr="0042579D">
        <w:rPr>
          <w:rFonts w:ascii="Cambria" w:eastAsia="Calibri" w:hAnsi="Cambria" w:cs="Calibri"/>
          <w:spacing w:val="-4"/>
          <w:sz w:val="18"/>
          <w:szCs w:val="18"/>
        </w:rPr>
        <w:t xml:space="preserve"> </w:t>
      </w:r>
      <w:r w:rsidRPr="0042579D">
        <w:rPr>
          <w:rFonts w:ascii="Cambria" w:eastAsia="Calibri" w:hAnsi="Cambria" w:cs="Calibri"/>
          <w:spacing w:val="1"/>
          <w:sz w:val="18"/>
          <w:szCs w:val="18"/>
        </w:rPr>
        <w:t>th</w:t>
      </w:r>
      <w:r w:rsidRPr="0042579D">
        <w:rPr>
          <w:rFonts w:ascii="Cambria" w:eastAsia="Calibri" w:hAnsi="Cambria" w:cs="Calibri"/>
          <w:sz w:val="18"/>
          <w:szCs w:val="18"/>
        </w:rPr>
        <w:t>e</w:t>
      </w:r>
      <w:r w:rsidRPr="0042579D">
        <w:rPr>
          <w:rFonts w:ascii="Cambria" w:eastAsia="Calibri" w:hAnsi="Cambria" w:cs="Calibri"/>
          <w:spacing w:val="-4"/>
          <w:sz w:val="18"/>
          <w:szCs w:val="18"/>
        </w:rPr>
        <w:t xml:space="preserve"> </w:t>
      </w:r>
      <w:r w:rsidRPr="0042579D">
        <w:rPr>
          <w:rFonts w:ascii="Cambria" w:eastAsia="Calibri" w:hAnsi="Cambria" w:cs="Calibri"/>
          <w:spacing w:val="2"/>
          <w:sz w:val="18"/>
          <w:szCs w:val="18"/>
        </w:rPr>
        <w:t>e</w:t>
      </w:r>
      <w:r w:rsidRPr="0042579D">
        <w:rPr>
          <w:rFonts w:ascii="Cambria" w:eastAsia="Calibri" w:hAnsi="Cambria" w:cs="Calibri"/>
          <w:spacing w:val="-1"/>
          <w:sz w:val="18"/>
          <w:szCs w:val="18"/>
        </w:rPr>
        <w:t>v</w:t>
      </w:r>
      <w:r w:rsidRPr="0042579D">
        <w:rPr>
          <w:rFonts w:ascii="Cambria" w:eastAsia="Calibri" w:hAnsi="Cambria" w:cs="Calibri"/>
          <w:spacing w:val="2"/>
          <w:sz w:val="18"/>
          <w:szCs w:val="18"/>
        </w:rPr>
        <w:t>i</w:t>
      </w:r>
      <w:r w:rsidRPr="0042579D">
        <w:rPr>
          <w:rFonts w:ascii="Cambria" w:eastAsia="Calibri" w:hAnsi="Cambria" w:cs="Calibri"/>
          <w:spacing w:val="1"/>
          <w:sz w:val="18"/>
          <w:szCs w:val="18"/>
        </w:rPr>
        <w:t>d</w:t>
      </w:r>
      <w:r w:rsidRPr="0042579D">
        <w:rPr>
          <w:rFonts w:ascii="Cambria" w:eastAsia="Calibri" w:hAnsi="Cambria" w:cs="Calibri"/>
          <w:spacing w:val="-1"/>
          <w:sz w:val="18"/>
          <w:szCs w:val="18"/>
        </w:rPr>
        <w:t>e</w:t>
      </w:r>
      <w:r w:rsidRPr="0042579D">
        <w:rPr>
          <w:rFonts w:ascii="Cambria" w:eastAsia="Calibri" w:hAnsi="Cambria" w:cs="Calibri"/>
          <w:spacing w:val="1"/>
          <w:sz w:val="18"/>
          <w:szCs w:val="18"/>
        </w:rPr>
        <w:t>n</w:t>
      </w:r>
      <w:r w:rsidRPr="0042579D">
        <w:rPr>
          <w:rFonts w:ascii="Cambria" w:eastAsia="Calibri" w:hAnsi="Cambria" w:cs="Calibri"/>
          <w:sz w:val="18"/>
          <w:szCs w:val="18"/>
        </w:rPr>
        <w:t>ce</w:t>
      </w:r>
      <w:r w:rsidRPr="0042579D">
        <w:rPr>
          <w:rFonts w:ascii="Cambria" w:eastAsia="Calibri" w:hAnsi="Cambria" w:cs="Calibri"/>
          <w:spacing w:val="-8"/>
          <w:sz w:val="18"/>
          <w:szCs w:val="18"/>
        </w:rPr>
        <w:t xml:space="preserve"> </w:t>
      </w:r>
      <w:r w:rsidRPr="0042579D">
        <w:rPr>
          <w:rFonts w:ascii="Cambria" w:eastAsia="Calibri" w:hAnsi="Cambria" w:cs="Calibri"/>
          <w:sz w:val="18"/>
          <w:szCs w:val="18"/>
        </w:rPr>
        <w:t>fr</w:t>
      </w:r>
      <w:r w:rsidRPr="0042579D">
        <w:rPr>
          <w:rFonts w:ascii="Cambria" w:eastAsia="Calibri" w:hAnsi="Cambria" w:cs="Calibri"/>
          <w:spacing w:val="3"/>
          <w:sz w:val="18"/>
          <w:szCs w:val="18"/>
        </w:rPr>
        <w:t>o</w:t>
      </w:r>
      <w:r w:rsidRPr="0042579D">
        <w:rPr>
          <w:rFonts w:ascii="Cambria" w:eastAsia="Calibri" w:hAnsi="Cambria" w:cs="Calibri"/>
          <w:sz w:val="18"/>
          <w:szCs w:val="18"/>
        </w:rPr>
        <w:t>m</w:t>
      </w:r>
      <w:r w:rsidRPr="0042579D">
        <w:rPr>
          <w:rFonts w:ascii="Cambria" w:eastAsia="Calibri" w:hAnsi="Cambria" w:cs="Calibri"/>
          <w:spacing w:val="-5"/>
          <w:sz w:val="18"/>
          <w:szCs w:val="18"/>
        </w:rPr>
        <w:t xml:space="preserve"> </w:t>
      </w:r>
      <w:r w:rsidRPr="0042579D">
        <w:rPr>
          <w:rFonts w:ascii="Cambria" w:eastAsia="Calibri" w:hAnsi="Cambria" w:cs="Calibri"/>
          <w:spacing w:val="1"/>
          <w:sz w:val="18"/>
          <w:szCs w:val="18"/>
        </w:rPr>
        <w:t>b</w:t>
      </w:r>
      <w:r w:rsidRPr="0042579D">
        <w:rPr>
          <w:rFonts w:ascii="Cambria" w:eastAsia="Calibri" w:hAnsi="Cambria" w:cs="Calibri"/>
          <w:sz w:val="18"/>
          <w:szCs w:val="18"/>
        </w:rPr>
        <w:t>oth</w:t>
      </w:r>
      <w:r w:rsidRPr="0042579D">
        <w:rPr>
          <w:rFonts w:ascii="Cambria" w:eastAsia="Calibri" w:hAnsi="Cambria" w:cs="Calibri"/>
          <w:spacing w:val="-3"/>
          <w:sz w:val="18"/>
          <w:szCs w:val="18"/>
        </w:rPr>
        <w:t xml:space="preserve"> </w:t>
      </w:r>
      <w:r w:rsidRPr="0042579D">
        <w:rPr>
          <w:rFonts w:ascii="Cambria" w:eastAsia="Calibri" w:hAnsi="Cambria" w:cs="Calibri"/>
          <w:spacing w:val="1"/>
          <w:sz w:val="18"/>
          <w:szCs w:val="18"/>
        </w:rPr>
        <w:t>th</w:t>
      </w:r>
      <w:r w:rsidRPr="0042579D">
        <w:rPr>
          <w:rFonts w:ascii="Cambria" w:eastAsia="Calibri" w:hAnsi="Cambria" w:cs="Calibri"/>
          <w:sz w:val="18"/>
          <w:szCs w:val="18"/>
        </w:rPr>
        <w:t>e</w:t>
      </w:r>
      <w:r w:rsidRPr="0042579D">
        <w:rPr>
          <w:rFonts w:ascii="Cambria" w:eastAsia="Calibri" w:hAnsi="Cambria" w:cs="Calibri"/>
          <w:spacing w:val="-4"/>
          <w:sz w:val="18"/>
          <w:szCs w:val="18"/>
        </w:rPr>
        <w:t xml:space="preserve"> </w:t>
      </w:r>
      <w:r w:rsidRPr="0042579D">
        <w:rPr>
          <w:rFonts w:ascii="Cambria" w:eastAsia="Calibri" w:hAnsi="Cambria" w:cs="Calibri"/>
          <w:spacing w:val="1"/>
          <w:sz w:val="18"/>
          <w:szCs w:val="18"/>
        </w:rPr>
        <w:t>N</w:t>
      </w:r>
      <w:r w:rsidRPr="0042579D">
        <w:rPr>
          <w:rFonts w:ascii="Cambria" w:eastAsia="Calibri" w:hAnsi="Cambria" w:cs="Calibri"/>
          <w:spacing w:val="-1"/>
          <w:sz w:val="18"/>
          <w:szCs w:val="18"/>
        </w:rPr>
        <w:t>e</w:t>
      </w:r>
      <w:r w:rsidRPr="0042579D">
        <w:rPr>
          <w:rFonts w:ascii="Cambria" w:eastAsia="Calibri" w:hAnsi="Cambria" w:cs="Calibri"/>
          <w:sz w:val="18"/>
          <w:szCs w:val="18"/>
        </w:rPr>
        <w:t>w</w:t>
      </w:r>
      <w:r w:rsidRPr="0042579D">
        <w:rPr>
          <w:rFonts w:ascii="Cambria" w:eastAsia="Calibri" w:hAnsi="Cambria" w:cs="Calibri"/>
          <w:spacing w:val="-5"/>
          <w:sz w:val="18"/>
          <w:szCs w:val="18"/>
        </w:rPr>
        <w:t xml:space="preserve"> </w:t>
      </w:r>
      <w:r w:rsidRPr="0042579D">
        <w:rPr>
          <w:rFonts w:ascii="Cambria" w:eastAsia="Calibri" w:hAnsi="Cambria" w:cs="Calibri"/>
          <w:sz w:val="18"/>
          <w:szCs w:val="18"/>
        </w:rPr>
        <w:t>T</w:t>
      </w:r>
      <w:r w:rsidRPr="0042579D">
        <w:rPr>
          <w:rFonts w:ascii="Cambria" w:eastAsia="Calibri" w:hAnsi="Cambria" w:cs="Calibri"/>
          <w:spacing w:val="1"/>
          <w:sz w:val="18"/>
          <w:szCs w:val="18"/>
        </w:rPr>
        <w:t>es</w:t>
      </w:r>
      <w:r w:rsidRPr="0042579D">
        <w:rPr>
          <w:rFonts w:ascii="Cambria" w:eastAsia="Calibri" w:hAnsi="Cambria" w:cs="Calibri"/>
          <w:sz w:val="18"/>
          <w:szCs w:val="18"/>
        </w:rPr>
        <w:t>t</w:t>
      </w:r>
      <w:r w:rsidRPr="0042579D">
        <w:rPr>
          <w:rFonts w:ascii="Cambria" w:eastAsia="Calibri" w:hAnsi="Cambria" w:cs="Calibri"/>
          <w:spacing w:val="1"/>
          <w:sz w:val="18"/>
          <w:szCs w:val="18"/>
        </w:rPr>
        <w:t>a</w:t>
      </w:r>
      <w:r w:rsidRPr="0042579D">
        <w:rPr>
          <w:rFonts w:ascii="Cambria" w:eastAsia="Calibri" w:hAnsi="Cambria" w:cs="Calibri"/>
          <w:spacing w:val="-1"/>
          <w:sz w:val="18"/>
          <w:szCs w:val="18"/>
        </w:rPr>
        <w:t>me</w:t>
      </w:r>
      <w:r w:rsidRPr="0042579D">
        <w:rPr>
          <w:rFonts w:ascii="Cambria" w:eastAsia="Calibri" w:hAnsi="Cambria" w:cs="Calibri"/>
          <w:spacing w:val="1"/>
          <w:sz w:val="18"/>
          <w:szCs w:val="18"/>
        </w:rPr>
        <w:t>n</w:t>
      </w:r>
      <w:r w:rsidRPr="0042579D">
        <w:rPr>
          <w:rFonts w:ascii="Cambria" w:eastAsia="Calibri" w:hAnsi="Cambria" w:cs="Calibri"/>
          <w:sz w:val="18"/>
          <w:szCs w:val="18"/>
        </w:rPr>
        <w:t>t</w:t>
      </w:r>
      <w:r w:rsidRPr="0042579D">
        <w:rPr>
          <w:rFonts w:ascii="Cambria" w:eastAsia="Calibri" w:hAnsi="Cambria" w:cs="Calibri"/>
          <w:spacing w:val="-8"/>
          <w:sz w:val="18"/>
          <w:szCs w:val="18"/>
        </w:rPr>
        <w:t xml:space="preserve"> </w:t>
      </w:r>
      <w:r w:rsidRPr="0042579D">
        <w:rPr>
          <w:rFonts w:ascii="Cambria" w:eastAsia="Calibri" w:hAnsi="Cambria" w:cs="Calibri"/>
          <w:sz w:val="18"/>
          <w:szCs w:val="18"/>
        </w:rPr>
        <w:t>(</w:t>
      </w:r>
      <w:r w:rsidRPr="0042579D">
        <w:rPr>
          <w:rFonts w:ascii="Cambria" w:eastAsia="Calibri" w:hAnsi="Cambria" w:cs="Calibri"/>
          <w:spacing w:val="1"/>
          <w:sz w:val="18"/>
          <w:szCs w:val="18"/>
        </w:rPr>
        <w:t>s</w:t>
      </w:r>
      <w:r w:rsidRPr="0042579D">
        <w:rPr>
          <w:rFonts w:ascii="Cambria" w:eastAsia="Calibri" w:hAnsi="Cambria" w:cs="Calibri"/>
          <w:spacing w:val="-1"/>
          <w:sz w:val="18"/>
          <w:szCs w:val="18"/>
        </w:rPr>
        <w:t>e</w:t>
      </w:r>
      <w:r w:rsidRPr="0042579D">
        <w:rPr>
          <w:rFonts w:ascii="Cambria" w:eastAsia="Calibri" w:hAnsi="Cambria" w:cs="Calibri"/>
          <w:sz w:val="18"/>
          <w:szCs w:val="18"/>
        </w:rPr>
        <w:t>e</w:t>
      </w:r>
      <w:r w:rsidRPr="0042579D">
        <w:rPr>
          <w:rFonts w:ascii="Cambria" w:eastAsia="Calibri" w:hAnsi="Cambria" w:cs="Calibri"/>
          <w:spacing w:val="-4"/>
          <w:sz w:val="18"/>
          <w:szCs w:val="18"/>
        </w:rPr>
        <w:t xml:space="preserve"> </w:t>
      </w:r>
      <w:r w:rsidRPr="0042579D">
        <w:rPr>
          <w:rFonts w:ascii="Cambria" w:eastAsia="Calibri" w:hAnsi="Cambria" w:cs="Calibri"/>
          <w:sz w:val="18"/>
          <w:szCs w:val="18"/>
        </w:rPr>
        <w:t>1</w:t>
      </w:r>
      <w:r w:rsidRPr="0042579D">
        <w:rPr>
          <w:rFonts w:ascii="Cambria" w:eastAsia="Calibri" w:hAnsi="Cambria" w:cs="Calibri"/>
          <w:spacing w:val="2"/>
          <w:sz w:val="18"/>
          <w:szCs w:val="18"/>
        </w:rPr>
        <w:t xml:space="preserve"> </w:t>
      </w:r>
      <w:r w:rsidRPr="0042579D">
        <w:rPr>
          <w:rFonts w:ascii="Cambria" w:eastAsia="Calibri" w:hAnsi="Cambria" w:cs="Calibri"/>
          <w:spacing w:val="-1"/>
          <w:sz w:val="18"/>
          <w:szCs w:val="18"/>
        </w:rPr>
        <w:t>T</w:t>
      </w:r>
      <w:r w:rsidRPr="0042579D">
        <w:rPr>
          <w:rFonts w:ascii="Cambria" w:eastAsia="Calibri" w:hAnsi="Cambria" w:cs="Calibri"/>
          <w:sz w:val="18"/>
          <w:szCs w:val="18"/>
        </w:rPr>
        <w:t>im</w:t>
      </w:r>
      <w:r w:rsidRPr="0042579D">
        <w:rPr>
          <w:rFonts w:ascii="Cambria" w:eastAsia="Calibri" w:hAnsi="Cambria" w:cs="Calibri"/>
          <w:spacing w:val="-1"/>
          <w:sz w:val="18"/>
          <w:szCs w:val="18"/>
        </w:rPr>
        <w:t xml:space="preserve"> </w:t>
      </w:r>
      <w:r w:rsidRPr="0042579D">
        <w:rPr>
          <w:rFonts w:ascii="Cambria" w:eastAsia="Calibri" w:hAnsi="Cambria" w:cs="Calibri"/>
          <w:sz w:val="18"/>
          <w:szCs w:val="18"/>
        </w:rPr>
        <w:t>3</w:t>
      </w:r>
      <w:r w:rsidRPr="0042579D">
        <w:rPr>
          <w:rFonts w:ascii="Cambria" w:eastAsia="Calibri" w:hAnsi="Cambria" w:cs="Calibri"/>
          <w:spacing w:val="-1"/>
          <w:sz w:val="18"/>
          <w:szCs w:val="18"/>
        </w:rPr>
        <w:t>:</w:t>
      </w:r>
      <w:r w:rsidRPr="0042579D">
        <w:rPr>
          <w:rFonts w:ascii="Cambria" w:eastAsia="Calibri" w:hAnsi="Cambria" w:cs="Calibri"/>
          <w:spacing w:val="10"/>
          <w:sz w:val="18"/>
          <w:szCs w:val="18"/>
        </w:rPr>
        <w:t>1</w:t>
      </w:r>
      <w:r w:rsidRPr="0042579D">
        <w:rPr>
          <w:rFonts w:ascii="Cambria" w:eastAsia="Calibri" w:hAnsi="Cambria" w:cs="Calibri"/>
          <w:sz w:val="18"/>
        </w:rPr>
        <w:sym w:font="Symbol" w:char="F02D"/>
      </w:r>
      <w:r w:rsidRPr="0042579D">
        <w:rPr>
          <w:rFonts w:ascii="Cambria" w:eastAsia="Calibri" w:hAnsi="Cambria" w:cs="Calibri"/>
          <w:sz w:val="18"/>
          <w:szCs w:val="18"/>
        </w:rPr>
        <w:t>13</w:t>
      </w:r>
      <w:r w:rsidRPr="0042579D">
        <w:rPr>
          <w:rFonts w:ascii="Cambria" w:eastAsia="Calibri" w:hAnsi="Cambria" w:cs="Calibri"/>
          <w:spacing w:val="-5"/>
          <w:sz w:val="18"/>
          <w:szCs w:val="18"/>
        </w:rPr>
        <w:t xml:space="preserve"> </w:t>
      </w:r>
      <w:r w:rsidRPr="0042579D">
        <w:rPr>
          <w:rFonts w:ascii="Cambria" w:eastAsia="Calibri" w:hAnsi="Cambria" w:cs="Calibri"/>
          <w:spacing w:val="1"/>
          <w:sz w:val="18"/>
          <w:szCs w:val="18"/>
        </w:rPr>
        <w:t>an</w:t>
      </w:r>
      <w:r w:rsidRPr="0042579D">
        <w:rPr>
          <w:rFonts w:ascii="Cambria" w:eastAsia="Calibri" w:hAnsi="Cambria" w:cs="Calibri"/>
          <w:sz w:val="18"/>
          <w:szCs w:val="18"/>
        </w:rPr>
        <w:t>d</w:t>
      </w:r>
      <w:r w:rsidRPr="0042579D">
        <w:rPr>
          <w:rFonts w:ascii="Cambria" w:eastAsia="Calibri" w:hAnsi="Cambria" w:cs="Calibri"/>
          <w:spacing w:val="-2"/>
          <w:sz w:val="18"/>
          <w:szCs w:val="18"/>
        </w:rPr>
        <w:t xml:space="preserve"> </w:t>
      </w:r>
      <w:r w:rsidRPr="0042579D">
        <w:rPr>
          <w:rFonts w:ascii="Cambria" w:eastAsia="Calibri" w:hAnsi="Cambria" w:cs="Calibri"/>
          <w:sz w:val="18"/>
          <w:szCs w:val="18"/>
        </w:rPr>
        <w:t>Ac</w:t>
      </w:r>
      <w:r w:rsidRPr="0042579D">
        <w:rPr>
          <w:rFonts w:ascii="Cambria" w:eastAsia="Calibri" w:hAnsi="Cambria" w:cs="Calibri"/>
          <w:spacing w:val="1"/>
          <w:sz w:val="18"/>
          <w:szCs w:val="18"/>
        </w:rPr>
        <w:t>t</w:t>
      </w:r>
      <w:r w:rsidRPr="0042579D">
        <w:rPr>
          <w:rFonts w:ascii="Cambria" w:eastAsia="Calibri" w:hAnsi="Cambria" w:cs="Calibri"/>
          <w:sz w:val="18"/>
          <w:szCs w:val="18"/>
        </w:rPr>
        <w:t>s</w:t>
      </w:r>
      <w:r w:rsidRPr="0042579D">
        <w:rPr>
          <w:rFonts w:ascii="Cambria" w:eastAsia="Calibri" w:hAnsi="Cambria" w:cs="Calibri"/>
          <w:spacing w:val="-4"/>
          <w:sz w:val="18"/>
          <w:szCs w:val="18"/>
        </w:rPr>
        <w:t xml:space="preserve"> </w:t>
      </w:r>
      <w:r w:rsidRPr="0042579D">
        <w:rPr>
          <w:rFonts w:ascii="Cambria" w:eastAsia="Calibri" w:hAnsi="Cambria" w:cs="Calibri"/>
          <w:sz w:val="18"/>
          <w:szCs w:val="18"/>
        </w:rPr>
        <w:t>6</w:t>
      </w:r>
      <w:r w:rsidRPr="0042579D">
        <w:rPr>
          <w:rFonts w:ascii="Cambria" w:eastAsia="Calibri" w:hAnsi="Cambria" w:cs="Calibri"/>
          <w:spacing w:val="2"/>
          <w:sz w:val="18"/>
          <w:szCs w:val="18"/>
        </w:rPr>
        <w:t>:</w:t>
      </w:r>
      <w:r w:rsidRPr="0042579D">
        <w:rPr>
          <w:rFonts w:ascii="Cambria" w:eastAsia="Calibri" w:hAnsi="Cambria" w:cs="Calibri"/>
          <w:spacing w:val="1"/>
          <w:sz w:val="18"/>
          <w:szCs w:val="18"/>
        </w:rPr>
        <w:t>1</w:t>
      </w:r>
      <w:r w:rsidRPr="0042579D">
        <w:rPr>
          <w:rFonts w:ascii="Cambria" w:eastAsia="Calibri" w:hAnsi="Cambria" w:cs="Calibri"/>
          <w:sz w:val="18"/>
        </w:rPr>
        <w:sym w:font="Symbol" w:char="F02D"/>
      </w:r>
      <w:r w:rsidRPr="0042579D">
        <w:rPr>
          <w:rFonts w:ascii="Cambria" w:eastAsia="Calibri" w:hAnsi="Cambria" w:cs="Calibri"/>
          <w:spacing w:val="2"/>
          <w:sz w:val="18"/>
          <w:szCs w:val="18"/>
        </w:rPr>
        <w:t>6</w:t>
      </w:r>
      <w:r w:rsidRPr="0042579D">
        <w:rPr>
          <w:rFonts w:ascii="Cambria" w:eastAsia="Calibri" w:hAnsi="Cambria" w:cs="Calibri"/>
          <w:sz w:val="18"/>
          <w:szCs w:val="18"/>
        </w:rPr>
        <w:t>)</w:t>
      </w:r>
      <w:r w:rsidRPr="0042579D">
        <w:rPr>
          <w:rFonts w:ascii="Cambria" w:eastAsia="Calibri" w:hAnsi="Cambria" w:cs="Calibri"/>
          <w:spacing w:val="-5"/>
          <w:sz w:val="18"/>
          <w:szCs w:val="18"/>
        </w:rPr>
        <w:t xml:space="preserve"> </w:t>
      </w:r>
      <w:r w:rsidRPr="0042579D">
        <w:rPr>
          <w:rFonts w:ascii="Cambria" w:eastAsia="Calibri" w:hAnsi="Cambria" w:cs="Calibri"/>
          <w:spacing w:val="1"/>
          <w:sz w:val="18"/>
          <w:szCs w:val="18"/>
        </w:rPr>
        <w:t>an</w:t>
      </w:r>
      <w:r w:rsidRPr="0042579D">
        <w:rPr>
          <w:rFonts w:ascii="Cambria" w:eastAsia="Calibri" w:hAnsi="Cambria" w:cs="Calibri"/>
          <w:sz w:val="18"/>
          <w:szCs w:val="18"/>
        </w:rPr>
        <w:t>d</w:t>
      </w:r>
      <w:r w:rsidRPr="0042579D">
        <w:rPr>
          <w:rFonts w:ascii="Cambria" w:eastAsia="Calibri" w:hAnsi="Cambria" w:cs="Calibri"/>
          <w:spacing w:val="-2"/>
          <w:sz w:val="18"/>
          <w:szCs w:val="18"/>
        </w:rPr>
        <w:t xml:space="preserve"> </w:t>
      </w:r>
      <w:r w:rsidRPr="0042579D">
        <w:rPr>
          <w:rFonts w:ascii="Cambria" w:eastAsia="Calibri" w:hAnsi="Cambria" w:cs="Calibri"/>
          <w:spacing w:val="1"/>
          <w:sz w:val="18"/>
          <w:szCs w:val="18"/>
        </w:rPr>
        <w:t>th</w:t>
      </w:r>
      <w:r w:rsidRPr="0042579D">
        <w:rPr>
          <w:rFonts w:ascii="Cambria" w:eastAsia="Calibri" w:hAnsi="Cambria" w:cs="Calibri"/>
          <w:sz w:val="18"/>
          <w:szCs w:val="18"/>
        </w:rPr>
        <w:t>e</w:t>
      </w:r>
      <w:r w:rsidRPr="0042579D">
        <w:rPr>
          <w:rFonts w:ascii="Cambria" w:eastAsia="Calibri" w:hAnsi="Cambria" w:cs="Calibri"/>
          <w:spacing w:val="-4"/>
          <w:sz w:val="18"/>
          <w:szCs w:val="18"/>
        </w:rPr>
        <w:t xml:space="preserve"> </w:t>
      </w:r>
      <w:r w:rsidRPr="0042579D">
        <w:rPr>
          <w:rFonts w:ascii="Cambria" w:eastAsia="Calibri" w:hAnsi="Cambria" w:cs="Calibri"/>
          <w:sz w:val="18"/>
          <w:szCs w:val="18"/>
        </w:rPr>
        <w:t>early</w:t>
      </w:r>
      <w:r w:rsidRPr="0042579D">
        <w:rPr>
          <w:rFonts w:ascii="Cambria" w:eastAsia="Calibri" w:hAnsi="Cambria" w:cs="Calibri"/>
          <w:spacing w:val="-3"/>
          <w:sz w:val="18"/>
          <w:szCs w:val="18"/>
        </w:rPr>
        <w:t xml:space="preserve"> </w:t>
      </w:r>
      <w:r w:rsidRPr="0042579D">
        <w:rPr>
          <w:rFonts w:ascii="Cambria" w:eastAsia="Calibri" w:hAnsi="Cambria" w:cs="Calibri"/>
          <w:sz w:val="18"/>
          <w:szCs w:val="18"/>
        </w:rPr>
        <w:t>c</w:t>
      </w:r>
      <w:r w:rsidRPr="0042579D">
        <w:rPr>
          <w:rFonts w:ascii="Cambria" w:eastAsia="Calibri" w:hAnsi="Cambria" w:cs="Calibri"/>
          <w:spacing w:val="1"/>
          <w:sz w:val="18"/>
          <w:szCs w:val="18"/>
        </w:rPr>
        <w:t>hu</w:t>
      </w:r>
      <w:r w:rsidRPr="0042579D">
        <w:rPr>
          <w:rFonts w:ascii="Cambria" w:eastAsia="Calibri" w:hAnsi="Cambria" w:cs="Calibri"/>
          <w:sz w:val="18"/>
          <w:szCs w:val="18"/>
        </w:rPr>
        <w:t>rch</w:t>
      </w:r>
      <w:r w:rsidRPr="0042579D">
        <w:rPr>
          <w:rFonts w:ascii="Cambria" w:eastAsia="Calibri" w:hAnsi="Cambria" w:cs="Calibri"/>
          <w:spacing w:val="-6"/>
          <w:sz w:val="18"/>
          <w:szCs w:val="18"/>
        </w:rPr>
        <w:t xml:space="preserve"> </w:t>
      </w:r>
      <w:r w:rsidRPr="0042579D">
        <w:rPr>
          <w:rFonts w:ascii="Cambria" w:eastAsia="Calibri" w:hAnsi="Cambria" w:cs="Calibri"/>
          <w:sz w:val="18"/>
          <w:szCs w:val="18"/>
        </w:rPr>
        <w:t>is</w:t>
      </w:r>
      <w:r w:rsidRPr="0042579D">
        <w:rPr>
          <w:rFonts w:ascii="Cambria" w:eastAsia="Calibri" w:hAnsi="Cambria" w:cs="Calibri"/>
          <w:spacing w:val="-2"/>
          <w:sz w:val="18"/>
          <w:szCs w:val="18"/>
        </w:rPr>
        <w:t xml:space="preserve"> </w:t>
      </w:r>
      <w:r w:rsidRPr="0042579D">
        <w:rPr>
          <w:rFonts w:ascii="Cambria" w:eastAsia="Calibri" w:hAnsi="Cambria" w:cs="Calibri"/>
          <w:spacing w:val="1"/>
          <w:sz w:val="18"/>
          <w:szCs w:val="18"/>
        </w:rPr>
        <w:t>th</w:t>
      </w:r>
      <w:r w:rsidRPr="0042579D">
        <w:rPr>
          <w:rFonts w:ascii="Cambria" w:eastAsia="Calibri" w:hAnsi="Cambria" w:cs="Calibri"/>
          <w:sz w:val="18"/>
          <w:szCs w:val="18"/>
        </w:rPr>
        <w:t>at t</w:t>
      </w:r>
      <w:r w:rsidRPr="0042579D">
        <w:rPr>
          <w:rFonts w:ascii="Cambria" w:eastAsia="Calibri" w:hAnsi="Cambria" w:cs="Calibri"/>
          <w:spacing w:val="1"/>
          <w:sz w:val="18"/>
          <w:szCs w:val="18"/>
        </w:rPr>
        <w:t>h</w:t>
      </w:r>
      <w:r w:rsidRPr="0042579D">
        <w:rPr>
          <w:rFonts w:ascii="Cambria" w:eastAsia="Calibri" w:hAnsi="Cambria" w:cs="Calibri"/>
          <w:sz w:val="18"/>
          <w:szCs w:val="18"/>
        </w:rPr>
        <w:t>e</w:t>
      </w:r>
      <w:r w:rsidRPr="0042579D">
        <w:rPr>
          <w:rFonts w:ascii="Cambria" w:eastAsia="Calibri" w:hAnsi="Cambria" w:cs="Calibri"/>
          <w:spacing w:val="-4"/>
          <w:sz w:val="18"/>
          <w:szCs w:val="18"/>
        </w:rPr>
        <w:t xml:space="preserve"> </w:t>
      </w:r>
      <w:r w:rsidRPr="0042579D">
        <w:rPr>
          <w:rFonts w:ascii="Cambria" w:eastAsia="Calibri" w:hAnsi="Cambria" w:cs="Calibri"/>
          <w:spacing w:val="1"/>
          <w:sz w:val="18"/>
          <w:szCs w:val="18"/>
        </w:rPr>
        <w:t>o</w:t>
      </w:r>
      <w:r w:rsidRPr="0042579D">
        <w:rPr>
          <w:rFonts w:ascii="Cambria" w:eastAsia="Calibri" w:hAnsi="Cambria" w:cs="Calibri"/>
          <w:spacing w:val="-1"/>
          <w:sz w:val="18"/>
          <w:szCs w:val="18"/>
        </w:rPr>
        <w:t>ff</w:t>
      </w:r>
      <w:r w:rsidRPr="0042579D">
        <w:rPr>
          <w:rFonts w:ascii="Cambria" w:eastAsia="Calibri" w:hAnsi="Cambria" w:cs="Calibri"/>
          <w:sz w:val="18"/>
          <w:szCs w:val="18"/>
        </w:rPr>
        <w:t>i</w:t>
      </w:r>
      <w:r w:rsidRPr="0042579D">
        <w:rPr>
          <w:rFonts w:ascii="Cambria" w:eastAsia="Calibri" w:hAnsi="Cambria" w:cs="Calibri"/>
          <w:spacing w:val="2"/>
          <w:sz w:val="18"/>
          <w:szCs w:val="18"/>
        </w:rPr>
        <w:t>c</w:t>
      </w:r>
      <w:r w:rsidRPr="0042579D">
        <w:rPr>
          <w:rFonts w:ascii="Cambria" w:eastAsia="Calibri" w:hAnsi="Cambria" w:cs="Calibri"/>
          <w:sz w:val="18"/>
          <w:szCs w:val="18"/>
        </w:rPr>
        <w:t>e</w:t>
      </w:r>
      <w:r w:rsidRPr="0042579D">
        <w:rPr>
          <w:rFonts w:ascii="Cambria" w:eastAsia="Calibri" w:hAnsi="Cambria" w:cs="Calibri"/>
          <w:spacing w:val="-6"/>
          <w:sz w:val="18"/>
          <w:szCs w:val="18"/>
        </w:rPr>
        <w:t xml:space="preserve"> </w:t>
      </w:r>
      <w:r w:rsidRPr="0042579D">
        <w:rPr>
          <w:rFonts w:ascii="Cambria" w:eastAsia="Calibri" w:hAnsi="Cambria" w:cs="Calibri"/>
          <w:spacing w:val="1"/>
          <w:sz w:val="18"/>
          <w:szCs w:val="18"/>
        </w:rPr>
        <w:t>o</w:t>
      </w:r>
      <w:r w:rsidRPr="0042579D">
        <w:rPr>
          <w:rFonts w:ascii="Cambria" w:eastAsia="Calibri" w:hAnsi="Cambria" w:cs="Calibri"/>
          <w:sz w:val="18"/>
          <w:szCs w:val="18"/>
        </w:rPr>
        <w:t>f</w:t>
      </w:r>
      <w:r w:rsidRPr="0042579D">
        <w:rPr>
          <w:rFonts w:ascii="Cambria" w:eastAsia="Calibri" w:hAnsi="Cambria" w:cs="Calibri"/>
          <w:spacing w:val="-3"/>
          <w:sz w:val="18"/>
          <w:szCs w:val="18"/>
        </w:rPr>
        <w:t xml:space="preserve"> </w:t>
      </w:r>
      <w:r w:rsidRPr="0042579D">
        <w:rPr>
          <w:rFonts w:ascii="Cambria" w:eastAsia="Calibri" w:hAnsi="Cambria" w:cs="Calibri"/>
          <w:spacing w:val="1"/>
          <w:sz w:val="18"/>
          <w:szCs w:val="18"/>
        </w:rPr>
        <w:t>d</w:t>
      </w:r>
      <w:r w:rsidRPr="0042579D">
        <w:rPr>
          <w:rFonts w:ascii="Cambria" w:eastAsia="Calibri" w:hAnsi="Cambria" w:cs="Calibri"/>
          <w:spacing w:val="-1"/>
          <w:sz w:val="18"/>
          <w:szCs w:val="18"/>
        </w:rPr>
        <w:t>e</w:t>
      </w:r>
      <w:r w:rsidRPr="0042579D">
        <w:rPr>
          <w:rFonts w:ascii="Cambria" w:eastAsia="Calibri" w:hAnsi="Cambria" w:cs="Calibri"/>
          <w:sz w:val="18"/>
          <w:szCs w:val="18"/>
        </w:rPr>
        <w:t>ac</w:t>
      </w:r>
      <w:r w:rsidRPr="0042579D">
        <w:rPr>
          <w:rFonts w:ascii="Cambria" w:eastAsia="Calibri" w:hAnsi="Cambria" w:cs="Calibri"/>
          <w:spacing w:val="1"/>
          <w:sz w:val="18"/>
          <w:szCs w:val="18"/>
        </w:rPr>
        <w:t>o</w:t>
      </w:r>
      <w:r w:rsidRPr="0042579D">
        <w:rPr>
          <w:rFonts w:ascii="Cambria" w:eastAsia="Calibri" w:hAnsi="Cambria" w:cs="Calibri"/>
          <w:sz w:val="18"/>
          <w:szCs w:val="18"/>
        </w:rPr>
        <w:t>n</w:t>
      </w:r>
      <w:r w:rsidRPr="0042579D">
        <w:rPr>
          <w:rFonts w:ascii="Cambria" w:eastAsia="Calibri" w:hAnsi="Cambria" w:cs="Calibri"/>
          <w:spacing w:val="-5"/>
          <w:sz w:val="18"/>
          <w:szCs w:val="18"/>
        </w:rPr>
        <w:t xml:space="preserve"> </w:t>
      </w:r>
      <w:r w:rsidRPr="0042579D">
        <w:rPr>
          <w:rFonts w:ascii="Cambria" w:eastAsia="Calibri" w:hAnsi="Cambria" w:cs="Calibri"/>
          <w:sz w:val="18"/>
          <w:szCs w:val="18"/>
        </w:rPr>
        <w:t>w</w:t>
      </w:r>
      <w:r w:rsidRPr="0042579D">
        <w:rPr>
          <w:rFonts w:ascii="Cambria" w:eastAsia="Calibri" w:hAnsi="Cambria" w:cs="Calibri"/>
          <w:spacing w:val="3"/>
          <w:sz w:val="18"/>
          <w:szCs w:val="18"/>
        </w:rPr>
        <w:t>a</w:t>
      </w:r>
      <w:r w:rsidRPr="0042579D">
        <w:rPr>
          <w:rFonts w:ascii="Cambria" w:eastAsia="Calibri" w:hAnsi="Cambria" w:cs="Calibri"/>
          <w:sz w:val="18"/>
          <w:szCs w:val="18"/>
        </w:rPr>
        <w:t>s</w:t>
      </w:r>
      <w:r w:rsidRPr="0042579D">
        <w:rPr>
          <w:rFonts w:ascii="Cambria" w:eastAsia="Calibri" w:hAnsi="Cambria" w:cs="Calibri"/>
          <w:spacing w:val="-4"/>
          <w:sz w:val="18"/>
          <w:szCs w:val="18"/>
        </w:rPr>
        <w:t xml:space="preserve"> </w:t>
      </w:r>
      <w:r w:rsidRPr="0042579D">
        <w:rPr>
          <w:rFonts w:ascii="Cambria" w:eastAsia="Calibri" w:hAnsi="Cambria" w:cs="Calibri"/>
          <w:spacing w:val="1"/>
          <w:sz w:val="18"/>
          <w:szCs w:val="18"/>
        </w:rPr>
        <w:t>d</w:t>
      </w:r>
      <w:r w:rsidRPr="0042579D">
        <w:rPr>
          <w:rFonts w:ascii="Cambria" w:eastAsia="Calibri" w:hAnsi="Cambria" w:cs="Calibri"/>
          <w:sz w:val="18"/>
          <w:szCs w:val="18"/>
        </w:rPr>
        <w:t>i</w:t>
      </w:r>
      <w:r w:rsidRPr="0042579D">
        <w:rPr>
          <w:rFonts w:ascii="Cambria" w:eastAsia="Calibri" w:hAnsi="Cambria" w:cs="Calibri"/>
          <w:spacing w:val="-1"/>
          <w:sz w:val="18"/>
          <w:szCs w:val="18"/>
        </w:rPr>
        <w:t>f</w:t>
      </w:r>
      <w:r w:rsidRPr="0042579D">
        <w:rPr>
          <w:rFonts w:ascii="Cambria" w:eastAsia="Calibri" w:hAnsi="Cambria" w:cs="Calibri"/>
          <w:spacing w:val="1"/>
          <w:sz w:val="18"/>
          <w:szCs w:val="18"/>
        </w:rPr>
        <w:t>fe</w:t>
      </w:r>
      <w:r w:rsidRPr="0042579D">
        <w:rPr>
          <w:rFonts w:ascii="Cambria" w:eastAsia="Calibri" w:hAnsi="Cambria" w:cs="Calibri"/>
          <w:sz w:val="18"/>
          <w:szCs w:val="18"/>
        </w:rPr>
        <w:t>r</w:t>
      </w:r>
      <w:r w:rsidRPr="0042579D">
        <w:rPr>
          <w:rFonts w:ascii="Cambria" w:eastAsia="Calibri" w:hAnsi="Cambria" w:cs="Calibri"/>
          <w:spacing w:val="-1"/>
          <w:sz w:val="18"/>
          <w:szCs w:val="18"/>
        </w:rPr>
        <w:t>e</w:t>
      </w:r>
      <w:r w:rsidRPr="0042579D">
        <w:rPr>
          <w:rFonts w:ascii="Cambria" w:eastAsia="Calibri" w:hAnsi="Cambria" w:cs="Calibri"/>
          <w:spacing w:val="1"/>
          <w:sz w:val="18"/>
          <w:szCs w:val="18"/>
        </w:rPr>
        <w:t>n</w:t>
      </w:r>
      <w:r w:rsidRPr="0042579D">
        <w:rPr>
          <w:rFonts w:ascii="Cambria" w:eastAsia="Calibri" w:hAnsi="Cambria" w:cs="Calibri"/>
          <w:sz w:val="18"/>
          <w:szCs w:val="18"/>
        </w:rPr>
        <w:t>t</w:t>
      </w:r>
      <w:r w:rsidRPr="0042579D">
        <w:rPr>
          <w:rFonts w:ascii="Cambria" w:eastAsia="Calibri" w:hAnsi="Cambria" w:cs="Calibri"/>
          <w:spacing w:val="-6"/>
          <w:sz w:val="18"/>
          <w:szCs w:val="18"/>
        </w:rPr>
        <w:t xml:space="preserve"> </w:t>
      </w:r>
      <w:r w:rsidRPr="0042579D">
        <w:rPr>
          <w:rFonts w:ascii="Cambria" w:eastAsia="Calibri" w:hAnsi="Cambria" w:cs="Calibri"/>
          <w:spacing w:val="-1"/>
          <w:sz w:val="18"/>
          <w:szCs w:val="18"/>
        </w:rPr>
        <w:t>f</w:t>
      </w:r>
      <w:r w:rsidRPr="0042579D">
        <w:rPr>
          <w:rFonts w:ascii="Cambria" w:eastAsia="Calibri" w:hAnsi="Cambria" w:cs="Calibri"/>
          <w:sz w:val="18"/>
          <w:szCs w:val="18"/>
        </w:rPr>
        <w:t>r</w:t>
      </w:r>
      <w:r w:rsidRPr="0042579D">
        <w:rPr>
          <w:rFonts w:ascii="Cambria" w:eastAsia="Calibri" w:hAnsi="Cambria" w:cs="Calibri"/>
          <w:spacing w:val="1"/>
          <w:sz w:val="18"/>
          <w:szCs w:val="18"/>
        </w:rPr>
        <w:t>o</w:t>
      </w:r>
      <w:r w:rsidRPr="0042579D">
        <w:rPr>
          <w:rFonts w:ascii="Cambria" w:eastAsia="Calibri" w:hAnsi="Cambria" w:cs="Calibri"/>
          <w:sz w:val="18"/>
          <w:szCs w:val="18"/>
        </w:rPr>
        <w:t>m</w:t>
      </w:r>
      <w:r w:rsidRPr="0042579D">
        <w:rPr>
          <w:rFonts w:ascii="Cambria" w:eastAsia="Calibri" w:hAnsi="Cambria" w:cs="Calibri"/>
          <w:spacing w:val="-5"/>
          <w:sz w:val="18"/>
          <w:szCs w:val="18"/>
        </w:rPr>
        <w:t xml:space="preserve"> </w:t>
      </w:r>
      <w:r w:rsidRPr="0042579D">
        <w:rPr>
          <w:rFonts w:ascii="Cambria" w:eastAsia="Calibri" w:hAnsi="Cambria" w:cs="Calibri"/>
          <w:spacing w:val="1"/>
          <w:sz w:val="18"/>
          <w:szCs w:val="18"/>
        </w:rPr>
        <w:t>th</w:t>
      </w:r>
      <w:r w:rsidRPr="0042579D">
        <w:rPr>
          <w:rFonts w:ascii="Cambria" w:eastAsia="Calibri" w:hAnsi="Cambria" w:cs="Calibri"/>
          <w:sz w:val="18"/>
          <w:szCs w:val="18"/>
        </w:rPr>
        <w:t>at</w:t>
      </w:r>
      <w:r w:rsidRPr="0042579D">
        <w:rPr>
          <w:rFonts w:ascii="Cambria" w:eastAsia="Calibri" w:hAnsi="Cambria" w:cs="Calibri"/>
          <w:spacing w:val="-2"/>
          <w:sz w:val="18"/>
          <w:szCs w:val="18"/>
        </w:rPr>
        <w:t xml:space="preserve"> </w:t>
      </w:r>
      <w:r w:rsidRPr="0042579D">
        <w:rPr>
          <w:rFonts w:ascii="Cambria" w:eastAsia="Calibri" w:hAnsi="Cambria" w:cs="Calibri"/>
          <w:spacing w:val="1"/>
          <w:sz w:val="18"/>
          <w:szCs w:val="18"/>
        </w:rPr>
        <w:t>o</w:t>
      </w:r>
      <w:r w:rsidRPr="0042579D">
        <w:rPr>
          <w:rFonts w:ascii="Cambria" w:eastAsia="Calibri" w:hAnsi="Cambria" w:cs="Calibri"/>
          <w:sz w:val="18"/>
          <w:szCs w:val="18"/>
        </w:rPr>
        <w:t>f</w:t>
      </w:r>
      <w:r w:rsidRPr="0042579D">
        <w:rPr>
          <w:rFonts w:ascii="Cambria" w:eastAsia="Calibri" w:hAnsi="Cambria" w:cs="Calibri"/>
          <w:spacing w:val="-3"/>
          <w:sz w:val="18"/>
          <w:szCs w:val="18"/>
        </w:rPr>
        <w:t xml:space="preserve"> </w:t>
      </w:r>
      <w:r w:rsidRPr="0042579D">
        <w:rPr>
          <w:rFonts w:ascii="Cambria" w:eastAsia="Calibri" w:hAnsi="Cambria" w:cs="Calibri"/>
          <w:spacing w:val="1"/>
          <w:sz w:val="18"/>
          <w:szCs w:val="18"/>
        </w:rPr>
        <w:t>th</w:t>
      </w:r>
      <w:r w:rsidRPr="0042579D">
        <w:rPr>
          <w:rFonts w:ascii="Cambria" w:eastAsia="Calibri" w:hAnsi="Cambria" w:cs="Calibri"/>
          <w:sz w:val="18"/>
          <w:szCs w:val="18"/>
        </w:rPr>
        <w:t>e</w:t>
      </w:r>
      <w:r w:rsidRPr="0042579D">
        <w:rPr>
          <w:rFonts w:ascii="Cambria" w:eastAsia="Calibri" w:hAnsi="Cambria" w:cs="Calibri"/>
          <w:spacing w:val="-4"/>
          <w:sz w:val="18"/>
          <w:szCs w:val="18"/>
        </w:rPr>
        <w:t xml:space="preserve"> </w:t>
      </w:r>
      <w:r w:rsidRPr="0042579D">
        <w:rPr>
          <w:rFonts w:ascii="Cambria" w:eastAsia="Calibri" w:hAnsi="Cambria" w:cs="Calibri"/>
          <w:sz w:val="18"/>
          <w:szCs w:val="18"/>
        </w:rPr>
        <w:t>elde</w:t>
      </w:r>
      <w:r w:rsidRPr="0042579D">
        <w:rPr>
          <w:rFonts w:ascii="Cambria" w:eastAsia="Calibri" w:hAnsi="Cambria" w:cs="Calibri"/>
          <w:spacing w:val="2"/>
          <w:sz w:val="18"/>
          <w:szCs w:val="18"/>
        </w:rPr>
        <w:t>r</w:t>
      </w:r>
      <w:r w:rsidRPr="0042579D">
        <w:rPr>
          <w:rFonts w:ascii="Cambria" w:eastAsia="Calibri" w:hAnsi="Cambria" w:cs="Calibri"/>
          <w:sz w:val="18"/>
          <w:szCs w:val="18"/>
        </w:rPr>
        <w:t>s</w:t>
      </w:r>
      <w:r w:rsidRPr="0042579D">
        <w:rPr>
          <w:rFonts w:ascii="Cambria" w:eastAsia="Calibri" w:hAnsi="Cambria" w:cs="Calibri"/>
          <w:spacing w:val="-6"/>
          <w:sz w:val="18"/>
          <w:szCs w:val="18"/>
        </w:rPr>
        <w:t xml:space="preserve"> </w:t>
      </w:r>
      <w:r w:rsidRPr="0042579D">
        <w:rPr>
          <w:rFonts w:ascii="Cambria" w:eastAsia="Calibri" w:hAnsi="Cambria" w:cs="Calibri"/>
          <w:sz w:val="18"/>
          <w:szCs w:val="18"/>
        </w:rPr>
        <w:t>/</w:t>
      </w:r>
      <w:r w:rsidRPr="0042579D">
        <w:rPr>
          <w:rFonts w:ascii="Cambria" w:eastAsia="Calibri" w:hAnsi="Cambria" w:cs="Calibri"/>
          <w:spacing w:val="2"/>
          <w:sz w:val="18"/>
          <w:szCs w:val="18"/>
        </w:rPr>
        <w:t xml:space="preserve"> </w:t>
      </w:r>
      <w:r w:rsidRPr="0042579D">
        <w:rPr>
          <w:rFonts w:ascii="Cambria" w:eastAsia="Calibri" w:hAnsi="Cambria" w:cs="Calibri"/>
          <w:sz w:val="18"/>
          <w:szCs w:val="18"/>
        </w:rPr>
        <w:t>o</w:t>
      </w:r>
      <w:r w:rsidRPr="0042579D">
        <w:rPr>
          <w:rFonts w:ascii="Cambria" w:eastAsia="Calibri" w:hAnsi="Cambria" w:cs="Calibri"/>
          <w:spacing w:val="-1"/>
          <w:sz w:val="18"/>
          <w:szCs w:val="18"/>
        </w:rPr>
        <w:t>ve</w:t>
      </w:r>
      <w:r w:rsidRPr="0042579D">
        <w:rPr>
          <w:rFonts w:ascii="Cambria" w:eastAsia="Calibri" w:hAnsi="Cambria" w:cs="Calibri"/>
          <w:spacing w:val="2"/>
          <w:sz w:val="18"/>
          <w:szCs w:val="18"/>
        </w:rPr>
        <w:t>r</w:t>
      </w:r>
      <w:r w:rsidRPr="0042579D">
        <w:rPr>
          <w:rFonts w:ascii="Cambria" w:eastAsia="Calibri" w:hAnsi="Cambria" w:cs="Calibri"/>
          <w:spacing w:val="-1"/>
          <w:sz w:val="18"/>
          <w:szCs w:val="18"/>
        </w:rPr>
        <w:t>s</w:t>
      </w:r>
      <w:r w:rsidRPr="0042579D">
        <w:rPr>
          <w:rFonts w:ascii="Cambria" w:eastAsia="Calibri" w:hAnsi="Cambria" w:cs="Calibri"/>
          <w:spacing w:val="1"/>
          <w:sz w:val="18"/>
          <w:szCs w:val="18"/>
        </w:rPr>
        <w:t>e</w:t>
      </w:r>
      <w:r w:rsidRPr="0042579D">
        <w:rPr>
          <w:rFonts w:ascii="Cambria" w:eastAsia="Calibri" w:hAnsi="Cambria" w:cs="Calibri"/>
          <w:spacing w:val="-1"/>
          <w:sz w:val="18"/>
          <w:szCs w:val="18"/>
        </w:rPr>
        <w:t>e</w:t>
      </w:r>
      <w:r w:rsidRPr="0042579D">
        <w:rPr>
          <w:rFonts w:ascii="Cambria" w:eastAsia="Calibri" w:hAnsi="Cambria" w:cs="Calibri"/>
          <w:sz w:val="18"/>
          <w:szCs w:val="18"/>
        </w:rPr>
        <w:t>r</w:t>
      </w:r>
      <w:r w:rsidRPr="0042579D">
        <w:rPr>
          <w:rFonts w:ascii="Cambria" w:eastAsia="Calibri" w:hAnsi="Cambria" w:cs="Calibri"/>
          <w:spacing w:val="-1"/>
          <w:sz w:val="18"/>
          <w:szCs w:val="18"/>
        </w:rPr>
        <w:t>s</w:t>
      </w:r>
      <w:r w:rsidRPr="0042579D">
        <w:rPr>
          <w:rFonts w:ascii="Cambria" w:eastAsia="Calibri" w:hAnsi="Cambria" w:cs="Calibri"/>
          <w:sz w:val="18"/>
          <w:szCs w:val="18"/>
        </w:rPr>
        <w:t>,</w:t>
      </w:r>
      <w:r w:rsidRPr="0042579D">
        <w:rPr>
          <w:rFonts w:ascii="Cambria" w:eastAsia="Calibri" w:hAnsi="Cambria" w:cs="Calibri"/>
          <w:spacing w:val="-5"/>
          <w:sz w:val="18"/>
          <w:szCs w:val="18"/>
        </w:rPr>
        <w:t xml:space="preserve"> </w:t>
      </w:r>
      <w:r w:rsidRPr="0042579D">
        <w:rPr>
          <w:rFonts w:ascii="Cambria" w:eastAsia="Calibri" w:hAnsi="Cambria" w:cs="Calibri"/>
          <w:spacing w:val="-1"/>
          <w:sz w:val="18"/>
          <w:szCs w:val="18"/>
        </w:rPr>
        <w:t>w</w:t>
      </w:r>
      <w:r w:rsidRPr="0042579D">
        <w:rPr>
          <w:rFonts w:ascii="Cambria" w:eastAsia="Calibri" w:hAnsi="Cambria" w:cs="Calibri"/>
          <w:sz w:val="18"/>
          <w:szCs w:val="18"/>
        </w:rPr>
        <w:t>ith</w:t>
      </w:r>
      <w:r w:rsidRPr="0042579D">
        <w:rPr>
          <w:rFonts w:ascii="Cambria" w:eastAsia="Calibri" w:hAnsi="Cambria" w:cs="Calibri"/>
          <w:spacing w:val="-3"/>
          <w:sz w:val="18"/>
          <w:szCs w:val="18"/>
        </w:rPr>
        <w:t xml:space="preserve"> </w:t>
      </w:r>
      <w:r w:rsidRPr="0042579D">
        <w:rPr>
          <w:rFonts w:ascii="Cambria" w:eastAsia="Calibri" w:hAnsi="Cambria" w:cs="Calibri"/>
          <w:spacing w:val="1"/>
          <w:sz w:val="18"/>
          <w:szCs w:val="18"/>
        </w:rPr>
        <w:t>th</w:t>
      </w:r>
      <w:r w:rsidRPr="0042579D">
        <w:rPr>
          <w:rFonts w:ascii="Cambria" w:eastAsia="Calibri" w:hAnsi="Cambria" w:cs="Calibri"/>
          <w:sz w:val="18"/>
          <w:szCs w:val="18"/>
        </w:rPr>
        <w:t>e</w:t>
      </w:r>
      <w:r w:rsidRPr="0042579D">
        <w:rPr>
          <w:rFonts w:ascii="Cambria" w:eastAsia="Calibri" w:hAnsi="Cambria" w:cs="Calibri"/>
          <w:spacing w:val="-4"/>
          <w:sz w:val="18"/>
          <w:szCs w:val="18"/>
        </w:rPr>
        <w:t xml:space="preserve"> </w:t>
      </w:r>
      <w:r w:rsidRPr="0042579D">
        <w:rPr>
          <w:rFonts w:ascii="Cambria" w:eastAsia="Calibri" w:hAnsi="Cambria" w:cs="Calibri"/>
          <w:sz w:val="18"/>
          <w:szCs w:val="18"/>
        </w:rPr>
        <w:t>for</w:t>
      </w:r>
      <w:r w:rsidRPr="0042579D">
        <w:rPr>
          <w:rFonts w:ascii="Cambria" w:eastAsia="Calibri" w:hAnsi="Cambria" w:cs="Calibri"/>
          <w:spacing w:val="2"/>
          <w:sz w:val="18"/>
          <w:szCs w:val="18"/>
        </w:rPr>
        <w:t>m</w:t>
      </w:r>
      <w:r w:rsidRPr="0042579D">
        <w:rPr>
          <w:rFonts w:ascii="Cambria" w:eastAsia="Calibri" w:hAnsi="Cambria" w:cs="Calibri"/>
          <w:spacing w:val="-1"/>
          <w:sz w:val="18"/>
          <w:szCs w:val="18"/>
        </w:rPr>
        <w:t>e</w:t>
      </w:r>
      <w:r w:rsidRPr="0042579D">
        <w:rPr>
          <w:rFonts w:ascii="Cambria" w:eastAsia="Calibri" w:hAnsi="Cambria" w:cs="Calibri"/>
          <w:sz w:val="18"/>
          <w:szCs w:val="18"/>
        </w:rPr>
        <w:t>r</w:t>
      </w:r>
      <w:r w:rsidRPr="0042579D">
        <w:rPr>
          <w:rFonts w:ascii="Cambria" w:eastAsia="Calibri" w:hAnsi="Cambria" w:cs="Calibri"/>
          <w:spacing w:val="-6"/>
          <w:sz w:val="18"/>
          <w:szCs w:val="18"/>
        </w:rPr>
        <w:t xml:space="preserve"> </w:t>
      </w:r>
      <w:r w:rsidRPr="0042579D">
        <w:rPr>
          <w:rFonts w:ascii="Cambria" w:eastAsia="Calibri" w:hAnsi="Cambria" w:cs="Calibri"/>
          <w:spacing w:val="1"/>
          <w:sz w:val="18"/>
          <w:szCs w:val="18"/>
        </w:rPr>
        <w:t>be</w:t>
      </w:r>
      <w:r w:rsidRPr="0042579D">
        <w:rPr>
          <w:rFonts w:ascii="Cambria" w:eastAsia="Calibri" w:hAnsi="Cambria" w:cs="Calibri"/>
          <w:sz w:val="18"/>
          <w:szCs w:val="18"/>
        </w:rPr>
        <w:t>i</w:t>
      </w:r>
      <w:r w:rsidRPr="0042579D">
        <w:rPr>
          <w:rFonts w:ascii="Cambria" w:eastAsia="Calibri" w:hAnsi="Cambria" w:cs="Calibri"/>
          <w:spacing w:val="1"/>
          <w:sz w:val="18"/>
          <w:szCs w:val="18"/>
        </w:rPr>
        <w:t>n</w:t>
      </w:r>
      <w:r w:rsidRPr="0042579D">
        <w:rPr>
          <w:rFonts w:ascii="Cambria" w:eastAsia="Calibri" w:hAnsi="Cambria" w:cs="Calibri"/>
          <w:sz w:val="18"/>
          <w:szCs w:val="18"/>
        </w:rPr>
        <w:t>g</w:t>
      </w:r>
      <w:r w:rsidRPr="0042579D">
        <w:rPr>
          <w:rFonts w:ascii="Cambria" w:eastAsia="Calibri" w:hAnsi="Cambria" w:cs="Calibri"/>
          <w:spacing w:val="-4"/>
          <w:sz w:val="18"/>
          <w:szCs w:val="18"/>
        </w:rPr>
        <w:t xml:space="preserve"> </w:t>
      </w:r>
      <w:r w:rsidRPr="0042579D">
        <w:rPr>
          <w:rFonts w:ascii="Cambria" w:eastAsia="Calibri" w:hAnsi="Cambria" w:cs="Calibri"/>
          <w:spacing w:val="1"/>
          <w:sz w:val="18"/>
          <w:szCs w:val="18"/>
        </w:rPr>
        <w:t>a</w:t>
      </w:r>
      <w:r w:rsidRPr="0042579D">
        <w:rPr>
          <w:rFonts w:ascii="Cambria" w:eastAsia="Calibri" w:hAnsi="Cambria" w:cs="Calibri"/>
          <w:sz w:val="18"/>
          <w:szCs w:val="18"/>
        </w:rPr>
        <w:t>n</w:t>
      </w:r>
      <w:r w:rsidRPr="0042579D">
        <w:rPr>
          <w:rFonts w:ascii="Cambria" w:eastAsia="Calibri" w:hAnsi="Cambria" w:cs="Calibri"/>
          <w:spacing w:val="-1"/>
          <w:sz w:val="18"/>
          <w:szCs w:val="18"/>
        </w:rPr>
        <w:t xml:space="preserve"> </w:t>
      </w:r>
      <w:r w:rsidRPr="0042579D">
        <w:rPr>
          <w:rFonts w:ascii="Cambria" w:eastAsia="Calibri" w:hAnsi="Cambria" w:cs="Calibri"/>
          <w:spacing w:val="1"/>
          <w:sz w:val="18"/>
          <w:szCs w:val="18"/>
        </w:rPr>
        <w:t>au</w:t>
      </w:r>
      <w:r w:rsidRPr="0042579D">
        <w:rPr>
          <w:rFonts w:ascii="Cambria" w:eastAsia="Calibri" w:hAnsi="Cambria" w:cs="Calibri"/>
          <w:sz w:val="18"/>
          <w:szCs w:val="18"/>
        </w:rPr>
        <w:t>xiliary</w:t>
      </w:r>
      <w:r w:rsidRPr="0042579D">
        <w:rPr>
          <w:rFonts w:ascii="Cambria" w:eastAsia="Calibri" w:hAnsi="Cambria" w:cs="Calibri"/>
          <w:spacing w:val="-6"/>
          <w:sz w:val="18"/>
          <w:szCs w:val="18"/>
        </w:rPr>
        <w:t xml:space="preserve"> </w:t>
      </w:r>
      <w:r w:rsidRPr="0042579D">
        <w:rPr>
          <w:rFonts w:ascii="Cambria" w:eastAsia="Calibri" w:hAnsi="Cambria" w:cs="Calibri"/>
          <w:spacing w:val="1"/>
          <w:sz w:val="18"/>
          <w:szCs w:val="18"/>
        </w:rPr>
        <w:t>o</w:t>
      </w:r>
      <w:r w:rsidRPr="0042579D">
        <w:rPr>
          <w:rFonts w:ascii="Cambria" w:eastAsia="Calibri" w:hAnsi="Cambria" w:cs="Calibri"/>
          <w:spacing w:val="-1"/>
          <w:sz w:val="18"/>
          <w:szCs w:val="18"/>
        </w:rPr>
        <w:t>ff</w:t>
      </w:r>
      <w:r w:rsidRPr="0042579D">
        <w:rPr>
          <w:rFonts w:ascii="Cambria" w:eastAsia="Calibri" w:hAnsi="Cambria" w:cs="Calibri"/>
          <w:sz w:val="18"/>
          <w:szCs w:val="18"/>
        </w:rPr>
        <w:t>ice</w:t>
      </w:r>
      <w:r w:rsidRPr="0042579D">
        <w:rPr>
          <w:rFonts w:ascii="Cambria" w:eastAsia="Calibri" w:hAnsi="Cambria" w:cs="Calibri"/>
          <w:spacing w:val="-6"/>
          <w:sz w:val="18"/>
          <w:szCs w:val="18"/>
        </w:rPr>
        <w:t xml:space="preserve"> </w:t>
      </w:r>
      <w:r w:rsidRPr="0042579D">
        <w:rPr>
          <w:rFonts w:ascii="Cambria" w:eastAsia="Calibri" w:hAnsi="Cambria" w:cs="Calibri"/>
          <w:spacing w:val="1"/>
          <w:sz w:val="18"/>
          <w:szCs w:val="18"/>
        </w:rPr>
        <w:t>o</w:t>
      </w:r>
      <w:r w:rsidRPr="0042579D">
        <w:rPr>
          <w:rFonts w:ascii="Cambria" w:eastAsia="Calibri" w:hAnsi="Cambria" w:cs="Calibri"/>
          <w:sz w:val="18"/>
          <w:szCs w:val="18"/>
        </w:rPr>
        <w:t>f</w:t>
      </w:r>
      <w:r w:rsidRPr="0042579D">
        <w:rPr>
          <w:rFonts w:ascii="Cambria" w:eastAsia="Calibri" w:hAnsi="Cambria" w:cs="Calibri"/>
          <w:spacing w:val="-3"/>
          <w:sz w:val="18"/>
          <w:szCs w:val="18"/>
        </w:rPr>
        <w:t xml:space="preserve"> </w:t>
      </w:r>
      <w:r w:rsidRPr="0042579D">
        <w:rPr>
          <w:rFonts w:ascii="Cambria" w:eastAsia="Calibri" w:hAnsi="Cambria" w:cs="Calibri"/>
          <w:sz w:val="18"/>
          <w:szCs w:val="18"/>
        </w:rPr>
        <w:t>C</w:t>
      </w:r>
      <w:r w:rsidRPr="0042579D">
        <w:rPr>
          <w:rFonts w:ascii="Cambria" w:eastAsia="Calibri" w:hAnsi="Cambria" w:cs="Calibri"/>
          <w:spacing w:val="1"/>
          <w:sz w:val="18"/>
          <w:szCs w:val="18"/>
        </w:rPr>
        <w:t>h</w:t>
      </w:r>
      <w:r w:rsidRPr="0042579D">
        <w:rPr>
          <w:rFonts w:ascii="Cambria" w:eastAsia="Calibri" w:hAnsi="Cambria" w:cs="Calibri"/>
          <w:sz w:val="18"/>
          <w:szCs w:val="18"/>
        </w:rPr>
        <w:t>r</w:t>
      </w:r>
      <w:r w:rsidRPr="0042579D">
        <w:rPr>
          <w:rFonts w:ascii="Cambria" w:eastAsia="Calibri" w:hAnsi="Cambria" w:cs="Calibri"/>
          <w:spacing w:val="2"/>
          <w:sz w:val="18"/>
          <w:szCs w:val="18"/>
        </w:rPr>
        <w:t>i</w:t>
      </w:r>
      <w:r w:rsidRPr="0042579D">
        <w:rPr>
          <w:rFonts w:ascii="Cambria" w:eastAsia="Calibri" w:hAnsi="Cambria" w:cs="Calibri"/>
          <w:spacing w:val="-1"/>
          <w:sz w:val="18"/>
          <w:szCs w:val="18"/>
        </w:rPr>
        <w:t>s</w:t>
      </w:r>
      <w:r w:rsidRPr="0042579D">
        <w:rPr>
          <w:rFonts w:ascii="Cambria" w:eastAsia="Calibri" w:hAnsi="Cambria" w:cs="Calibri"/>
          <w:spacing w:val="3"/>
          <w:sz w:val="18"/>
          <w:szCs w:val="18"/>
        </w:rPr>
        <w:t>t</w:t>
      </w:r>
      <w:r w:rsidRPr="0042579D">
        <w:rPr>
          <w:rFonts w:ascii="Cambria" w:eastAsia="Calibri" w:hAnsi="Cambria" w:cs="Calibri"/>
          <w:sz w:val="18"/>
          <w:szCs w:val="18"/>
        </w:rPr>
        <w:t xml:space="preserve">ian </w:t>
      </w:r>
      <w:r w:rsidRPr="0042579D">
        <w:rPr>
          <w:rFonts w:ascii="Cambria" w:eastAsia="Calibri" w:hAnsi="Cambria" w:cs="Calibri"/>
          <w:spacing w:val="-1"/>
          <w:sz w:val="18"/>
          <w:szCs w:val="18"/>
        </w:rPr>
        <w:t>se</w:t>
      </w:r>
      <w:r w:rsidRPr="0042579D">
        <w:rPr>
          <w:rFonts w:ascii="Cambria" w:eastAsia="Calibri" w:hAnsi="Cambria" w:cs="Calibri"/>
          <w:spacing w:val="2"/>
          <w:sz w:val="18"/>
          <w:szCs w:val="18"/>
        </w:rPr>
        <w:t>r</w:t>
      </w:r>
      <w:r w:rsidRPr="0042579D">
        <w:rPr>
          <w:rFonts w:ascii="Cambria" w:eastAsia="Calibri" w:hAnsi="Cambria" w:cs="Calibri"/>
          <w:spacing w:val="-1"/>
          <w:sz w:val="18"/>
          <w:szCs w:val="18"/>
        </w:rPr>
        <w:t>v</w:t>
      </w:r>
      <w:r w:rsidRPr="0042579D">
        <w:rPr>
          <w:rFonts w:ascii="Cambria" w:eastAsia="Calibri" w:hAnsi="Cambria" w:cs="Calibri"/>
          <w:sz w:val="18"/>
          <w:szCs w:val="18"/>
        </w:rPr>
        <w:t>i</w:t>
      </w:r>
      <w:r w:rsidRPr="0042579D">
        <w:rPr>
          <w:rFonts w:ascii="Cambria" w:eastAsia="Calibri" w:hAnsi="Cambria" w:cs="Calibri"/>
          <w:spacing w:val="2"/>
          <w:sz w:val="18"/>
          <w:szCs w:val="18"/>
        </w:rPr>
        <w:t>c</w:t>
      </w:r>
      <w:r w:rsidRPr="0042579D">
        <w:rPr>
          <w:rFonts w:ascii="Cambria" w:eastAsia="Calibri" w:hAnsi="Cambria" w:cs="Calibri"/>
          <w:sz w:val="18"/>
          <w:szCs w:val="18"/>
        </w:rPr>
        <w:t>e</w:t>
      </w:r>
      <w:r w:rsidRPr="0042579D">
        <w:rPr>
          <w:rFonts w:ascii="Cambria" w:eastAsia="Calibri" w:hAnsi="Cambria" w:cs="Calibri"/>
          <w:spacing w:val="-7"/>
          <w:sz w:val="18"/>
          <w:szCs w:val="18"/>
        </w:rPr>
        <w:t xml:space="preserve"> </w:t>
      </w:r>
      <w:r w:rsidRPr="0042579D">
        <w:rPr>
          <w:rFonts w:ascii="Cambria" w:eastAsia="Calibri" w:hAnsi="Cambria" w:cs="Calibri"/>
          <w:spacing w:val="1"/>
          <w:sz w:val="18"/>
          <w:szCs w:val="18"/>
        </w:rPr>
        <w:t>an</w:t>
      </w:r>
      <w:r w:rsidRPr="0042579D">
        <w:rPr>
          <w:rFonts w:ascii="Cambria" w:eastAsia="Calibri" w:hAnsi="Cambria" w:cs="Calibri"/>
          <w:sz w:val="18"/>
          <w:szCs w:val="18"/>
        </w:rPr>
        <w:t>d</w:t>
      </w:r>
      <w:r w:rsidRPr="0042579D">
        <w:rPr>
          <w:rFonts w:ascii="Cambria" w:eastAsia="Calibri" w:hAnsi="Cambria" w:cs="Calibri"/>
          <w:spacing w:val="-2"/>
          <w:sz w:val="18"/>
          <w:szCs w:val="18"/>
        </w:rPr>
        <w:t xml:space="preserve"> </w:t>
      </w:r>
      <w:r w:rsidRPr="0042579D">
        <w:rPr>
          <w:rFonts w:ascii="Cambria" w:eastAsia="Calibri" w:hAnsi="Cambria" w:cs="Calibri"/>
          <w:spacing w:val="1"/>
          <w:sz w:val="18"/>
          <w:szCs w:val="18"/>
        </w:rPr>
        <w:t>th</w:t>
      </w:r>
      <w:r w:rsidRPr="0042579D">
        <w:rPr>
          <w:rFonts w:ascii="Cambria" w:eastAsia="Calibri" w:hAnsi="Cambria" w:cs="Calibri"/>
          <w:sz w:val="18"/>
          <w:szCs w:val="18"/>
        </w:rPr>
        <w:t>e</w:t>
      </w:r>
      <w:r w:rsidRPr="0042579D">
        <w:rPr>
          <w:rFonts w:ascii="Cambria" w:eastAsia="Calibri" w:hAnsi="Cambria" w:cs="Calibri"/>
          <w:spacing w:val="-4"/>
          <w:sz w:val="18"/>
          <w:szCs w:val="18"/>
        </w:rPr>
        <w:t xml:space="preserve"> </w:t>
      </w:r>
      <w:r w:rsidRPr="0042579D">
        <w:rPr>
          <w:rFonts w:ascii="Cambria" w:eastAsia="Calibri" w:hAnsi="Cambria" w:cs="Calibri"/>
          <w:sz w:val="18"/>
          <w:szCs w:val="18"/>
        </w:rPr>
        <w:t>l</w:t>
      </w:r>
      <w:r w:rsidRPr="0042579D">
        <w:rPr>
          <w:rFonts w:ascii="Cambria" w:eastAsia="Calibri" w:hAnsi="Cambria" w:cs="Calibri"/>
          <w:spacing w:val="1"/>
          <w:sz w:val="18"/>
          <w:szCs w:val="18"/>
        </w:rPr>
        <w:t>a</w:t>
      </w:r>
      <w:r w:rsidRPr="0042579D">
        <w:rPr>
          <w:rFonts w:ascii="Cambria" w:eastAsia="Calibri" w:hAnsi="Cambria" w:cs="Calibri"/>
          <w:sz w:val="18"/>
          <w:szCs w:val="18"/>
        </w:rPr>
        <w:t>t</w:t>
      </w:r>
      <w:r w:rsidRPr="0042579D">
        <w:rPr>
          <w:rFonts w:ascii="Cambria" w:eastAsia="Calibri" w:hAnsi="Cambria" w:cs="Calibri"/>
          <w:spacing w:val="1"/>
          <w:sz w:val="18"/>
          <w:szCs w:val="18"/>
        </w:rPr>
        <w:t>t</w:t>
      </w:r>
      <w:r w:rsidRPr="0042579D">
        <w:rPr>
          <w:rFonts w:ascii="Cambria" w:eastAsia="Calibri" w:hAnsi="Cambria" w:cs="Calibri"/>
          <w:spacing w:val="-1"/>
          <w:sz w:val="18"/>
          <w:szCs w:val="18"/>
        </w:rPr>
        <w:t>e</w:t>
      </w:r>
      <w:r w:rsidRPr="0042579D">
        <w:rPr>
          <w:rFonts w:ascii="Cambria" w:eastAsia="Calibri" w:hAnsi="Cambria" w:cs="Calibri"/>
          <w:sz w:val="18"/>
          <w:szCs w:val="18"/>
        </w:rPr>
        <w:t>r</w:t>
      </w:r>
      <w:r w:rsidRPr="0042579D">
        <w:rPr>
          <w:rFonts w:ascii="Cambria" w:eastAsia="Calibri" w:hAnsi="Cambria" w:cs="Calibri"/>
          <w:spacing w:val="-4"/>
          <w:sz w:val="18"/>
          <w:szCs w:val="18"/>
        </w:rPr>
        <w:t xml:space="preserve"> </w:t>
      </w:r>
      <w:r w:rsidRPr="0042579D">
        <w:rPr>
          <w:rFonts w:ascii="Cambria" w:eastAsia="Calibri" w:hAnsi="Cambria" w:cs="Calibri"/>
          <w:spacing w:val="1"/>
          <w:sz w:val="18"/>
          <w:szCs w:val="18"/>
        </w:rPr>
        <w:t>b</w:t>
      </w:r>
      <w:r w:rsidRPr="0042579D">
        <w:rPr>
          <w:rFonts w:ascii="Cambria" w:eastAsia="Calibri" w:hAnsi="Cambria" w:cs="Calibri"/>
          <w:spacing w:val="-1"/>
          <w:sz w:val="18"/>
          <w:szCs w:val="18"/>
        </w:rPr>
        <w:t>e</w:t>
      </w:r>
      <w:r w:rsidRPr="0042579D">
        <w:rPr>
          <w:rFonts w:ascii="Cambria" w:eastAsia="Calibri" w:hAnsi="Cambria" w:cs="Calibri"/>
          <w:sz w:val="18"/>
          <w:szCs w:val="18"/>
        </w:rPr>
        <w:t>i</w:t>
      </w:r>
      <w:r w:rsidRPr="0042579D">
        <w:rPr>
          <w:rFonts w:ascii="Cambria" w:eastAsia="Calibri" w:hAnsi="Cambria" w:cs="Calibri"/>
          <w:spacing w:val="1"/>
          <w:sz w:val="18"/>
          <w:szCs w:val="18"/>
        </w:rPr>
        <w:t>n</w:t>
      </w:r>
      <w:r w:rsidRPr="0042579D">
        <w:rPr>
          <w:rFonts w:ascii="Cambria" w:eastAsia="Calibri" w:hAnsi="Cambria" w:cs="Calibri"/>
          <w:sz w:val="18"/>
          <w:szCs w:val="18"/>
        </w:rPr>
        <w:t>g</w:t>
      </w:r>
      <w:r w:rsidRPr="0042579D">
        <w:rPr>
          <w:rFonts w:ascii="Cambria" w:eastAsia="Calibri" w:hAnsi="Cambria" w:cs="Calibri"/>
          <w:spacing w:val="-4"/>
          <w:sz w:val="18"/>
          <w:szCs w:val="18"/>
        </w:rPr>
        <w:t xml:space="preserve"> </w:t>
      </w:r>
      <w:r w:rsidRPr="0042579D">
        <w:rPr>
          <w:rFonts w:ascii="Cambria" w:eastAsia="Calibri" w:hAnsi="Cambria" w:cs="Calibri"/>
          <w:spacing w:val="1"/>
          <w:sz w:val="18"/>
          <w:szCs w:val="18"/>
        </w:rPr>
        <w:t>th</w:t>
      </w:r>
      <w:r w:rsidRPr="0042579D">
        <w:rPr>
          <w:rFonts w:ascii="Cambria" w:eastAsia="Calibri" w:hAnsi="Cambria" w:cs="Calibri"/>
          <w:sz w:val="18"/>
          <w:szCs w:val="18"/>
        </w:rPr>
        <w:t>e</w:t>
      </w:r>
      <w:r w:rsidRPr="0042579D">
        <w:rPr>
          <w:rFonts w:ascii="Cambria" w:eastAsia="Calibri" w:hAnsi="Cambria" w:cs="Calibri"/>
          <w:spacing w:val="-4"/>
          <w:sz w:val="18"/>
          <w:szCs w:val="18"/>
        </w:rPr>
        <w:t xml:space="preserve"> </w:t>
      </w:r>
      <w:r w:rsidRPr="0042579D">
        <w:rPr>
          <w:rFonts w:ascii="Cambria" w:eastAsia="Calibri" w:hAnsi="Cambria" w:cs="Calibri"/>
          <w:sz w:val="18"/>
          <w:szCs w:val="18"/>
        </w:rPr>
        <w:t>e</w:t>
      </w:r>
      <w:r w:rsidRPr="0042579D">
        <w:rPr>
          <w:rFonts w:ascii="Cambria" w:eastAsia="Calibri" w:hAnsi="Cambria" w:cs="Calibri"/>
          <w:spacing w:val="1"/>
          <w:sz w:val="18"/>
          <w:szCs w:val="18"/>
        </w:rPr>
        <w:t>qu</w:t>
      </w:r>
      <w:r w:rsidRPr="0042579D">
        <w:rPr>
          <w:rFonts w:ascii="Cambria" w:eastAsia="Calibri" w:hAnsi="Cambria" w:cs="Calibri"/>
          <w:sz w:val="18"/>
          <w:szCs w:val="18"/>
        </w:rPr>
        <w:t>i</w:t>
      </w:r>
      <w:r w:rsidRPr="0042579D">
        <w:rPr>
          <w:rFonts w:ascii="Cambria" w:eastAsia="Calibri" w:hAnsi="Cambria" w:cs="Calibri"/>
          <w:spacing w:val="-1"/>
          <w:sz w:val="18"/>
          <w:szCs w:val="18"/>
        </w:rPr>
        <w:t>v</w:t>
      </w:r>
      <w:r w:rsidRPr="0042579D">
        <w:rPr>
          <w:rFonts w:ascii="Cambria" w:eastAsia="Calibri" w:hAnsi="Cambria" w:cs="Calibri"/>
          <w:sz w:val="18"/>
          <w:szCs w:val="18"/>
        </w:rPr>
        <w:t>a</w:t>
      </w:r>
      <w:r w:rsidRPr="0042579D">
        <w:rPr>
          <w:rFonts w:ascii="Cambria" w:eastAsia="Calibri" w:hAnsi="Cambria" w:cs="Calibri"/>
          <w:spacing w:val="3"/>
          <w:sz w:val="18"/>
          <w:szCs w:val="18"/>
        </w:rPr>
        <w:t>l</w:t>
      </w:r>
      <w:r w:rsidRPr="0042579D">
        <w:rPr>
          <w:rFonts w:ascii="Cambria" w:eastAsia="Calibri" w:hAnsi="Cambria" w:cs="Calibri"/>
          <w:spacing w:val="-1"/>
          <w:sz w:val="18"/>
          <w:szCs w:val="18"/>
        </w:rPr>
        <w:t>e</w:t>
      </w:r>
      <w:r w:rsidRPr="0042579D">
        <w:rPr>
          <w:rFonts w:ascii="Cambria" w:eastAsia="Calibri" w:hAnsi="Cambria" w:cs="Calibri"/>
          <w:spacing w:val="1"/>
          <w:sz w:val="18"/>
          <w:szCs w:val="18"/>
        </w:rPr>
        <w:t>n</w:t>
      </w:r>
      <w:r w:rsidRPr="0042579D">
        <w:rPr>
          <w:rFonts w:ascii="Cambria" w:eastAsia="Calibri" w:hAnsi="Cambria" w:cs="Calibri"/>
          <w:sz w:val="18"/>
          <w:szCs w:val="18"/>
        </w:rPr>
        <w:t>t</w:t>
      </w:r>
      <w:r w:rsidRPr="0042579D">
        <w:rPr>
          <w:rFonts w:ascii="Cambria" w:eastAsia="Calibri" w:hAnsi="Cambria" w:cs="Calibri"/>
          <w:spacing w:val="-8"/>
          <w:sz w:val="18"/>
          <w:szCs w:val="18"/>
        </w:rPr>
        <w:t xml:space="preserve"> </w:t>
      </w:r>
      <w:r w:rsidRPr="0042579D">
        <w:rPr>
          <w:rFonts w:ascii="Cambria" w:eastAsia="Calibri" w:hAnsi="Cambria" w:cs="Calibri"/>
          <w:sz w:val="18"/>
          <w:szCs w:val="18"/>
        </w:rPr>
        <w:t>of</w:t>
      </w:r>
      <w:r w:rsidRPr="0042579D">
        <w:rPr>
          <w:rFonts w:ascii="Cambria" w:eastAsia="Calibri" w:hAnsi="Cambria" w:cs="Calibri"/>
          <w:spacing w:val="-3"/>
          <w:sz w:val="18"/>
          <w:szCs w:val="18"/>
        </w:rPr>
        <w:t xml:space="preserve"> </w:t>
      </w:r>
      <w:r w:rsidRPr="0042579D">
        <w:rPr>
          <w:rFonts w:ascii="Cambria" w:eastAsia="Calibri" w:hAnsi="Cambria" w:cs="Calibri"/>
          <w:sz w:val="18"/>
          <w:szCs w:val="18"/>
        </w:rPr>
        <w:t>w</w:t>
      </w:r>
      <w:r w:rsidRPr="0042579D">
        <w:rPr>
          <w:rFonts w:ascii="Cambria" w:eastAsia="Calibri" w:hAnsi="Cambria" w:cs="Calibri"/>
          <w:spacing w:val="1"/>
          <w:sz w:val="18"/>
          <w:szCs w:val="18"/>
        </w:rPr>
        <w:t>h</w:t>
      </w:r>
      <w:r w:rsidRPr="0042579D">
        <w:rPr>
          <w:rFonts w:ascii="Cambria" w:eastAsia="Calibri" w:hAnsi="Cambria" w:cs="Calibri"/>
          <w:sz w:val="18"/>
          <w:szCs w:val="18"/>
        </w:rPr>
        <w:t>at</w:t>
      </w:r>
      <w:r w:rsidRPr="0042579D">
        <w:rPr>
          <w:rFonts w:ascii="Cambria" w:eastAsia="Calibri" w:hAnsi="Cambria" w:cs="Calibri"/>
          <w:spacing w:val="-3"/>
          <w:sz w:val="18"/>
          <w:szCs w:val="18"/>
        </w:rPr>
        <w:t xml:space="preserve"> </w:t>
      </w:r>
      <w:r w:rsidRPr="0042579D">
        <w:rPr>
          <w:rFonts w:ascii="Cambria" w:eastAsia="Calibri" w:hAnsi="Cambria" w:cs="Calibri"/>
          <w:sz w:val="18"/>
          <w:szCs w:val="18"/>
        </w:rPr>
        <w:t>we</w:t>
      </w:r>
      <w:r w:rsidRPr="0042579D">
        <w:rPr>
          <w:rFonts w:ascii="Cambria" w:eastAsia="Calibri" w:hAnsi="Cambria" w:cs="Calibri"/>
          <w:spacing w:val="-3"/>
          <w:sz w:val="18"/>
          <w:szCs w:val="18"/>
        </w:rPr>
        <w:t xml:space="preserve"> </w:t>
      </w:r>
      <w:r w:rsidRPr="0042579D">
        <w:rPr>
          <w:rFonts w:ascii="Cambria" w:eastAsia="Calibri" w:hAnsi="Cambria" w:cs="Calibri"/>
          <w:spacing w:val="1"/>
          <w:sz w:val="18"/>
          <w:szCs w:val="18"/>
        </w:rPr>
        <w:t>n</w:t>
      </w:r>
      <w:r w:rsidRPr="0042579D">
        <w:rPr>
          <w:rFonts w:ascii="Cambria" w:eastAsia="Calibri" w:hAnsi="Cambria" w:cs="Calibri"/>
          <w:spacing w:val="3"/>
          <w:sz w:val="18"/>
          <w:szCs w:val="18"/>
        </w:rPr>
        <w:t>o</w:t>
      </w:r>
      <w:r w:rsidRPr="0042579D">
        <w:rPr>
          <w:rFonts w:ascii="Cambria" w:eastAsia="Calibri" w:hAnsi="Cambria" w:cs="Calibri"/>
          <w:sz w:val="18"/>
          <w:szCs w:val="18"/>
        </w:rPr>
        <w:t>w</w:t>
      </w:r>
      <w:r w:rsidRPr="0042579D">
        <w:rPr>
          <w:rFonts w:ascii="Cambria" w:eastAsia="Calibri" w:hAnsi="Cambria" w:cs="Calibri"/>
          <w:spacing w:val="-5"/>
          <w:sz w:val="18"/>
          <w:szCs w:val="18"/>
        </w:rPr>
        <w:t xml:space="preserve"> </w:t>
      </w:r>
      <w:r w:rsidRPr="0042579D">
        <w:rPr>
          <w:rFonts w:ascii="Cambria" w:eastAsia="Calibri" w:hAnsi="Cambria" w:cs="Calibri"/>
          <w:spacing w:val="1"/>
          <w:sz w:val="18"/>
          <w:szCs w:val="18"/>
        </w:rPr>
        <w:t>kn</w:t>
      </w:r>
      <w:r w:rsidRPr="0042579D">
        <w:rPr>
          <w:rFonts w:ascii="Cambria" w:eastAsia="Calibri" w:hAnsi="Cambria" w:cs="Calibri"/>
          <w:sz w:val="18"/>
          <w:szCs w:val="18"/>
        </w:rPr>
        <w:t>ow</w:t>
      </w:r>
      <w:r w:rsidRPr="0042579D">
        <w:rPr>
          <w:rFonts w:ascii="Cambria" w:eastAsia="Calibri" w:hAnsi="Cambria" w:cs="Calibri"/>
          <w:spacing w:val="-5"/>
          <w:sz w:val="18"/>
          <w:szCs w:val="18"/>
        </w:rPr>
        <w:t xml:space="preserve"> </w:t>
      </w:r>
      <w:r w:rsidRPr="0042579D">
        <w:rPr>
          <w:rFonts w:ascii="Cambria" w:eastAsia="Calibri" w:hAnsi="Cambria" w:cs="Calibri"/>
          <w:spacing w:val="1"/>
          <w:sz w:val="18"/>
          <w:szCs w:val="18"/>
        </w:rPr>
        <w:t>a</w:t>
      </w:r>
      <w:r w:rsidRPr="0042579D">
        <w:rPr>
          <w:rFonts w:ascii="Cambria" w:eastAsia="Calibri" w:hAnsi="Cambria" w:cs="Calibri"/>
          <w:sz w:val="18"/>
          <w:szCs w:val="18"/>
        </w:rPr>
        <w:t>s</w:t>
      </w:r>
      <w:r w:rsidRPr="0042579D">
        <w:rPr>
          <w:rFonts w:ascii="Cambria" w:eastAsia="Calibri" w:hAnsi="Cambria" w:cs="Calibri"/>
          <w:spacing w:val="-3"/>
          <w:sz w:val="18"/>
          <w:szCs w:val="18"/>
        </w:rPr>
        <w:t xml:space="preserve"> </w:t>
      </w:r>
      <w:r w:rsidRPr="0042579D">
        <w:rPr>
          <w:rFonts w:ascii="Cambria" w:eastAsia="Calibri" w:hAnsi="Cambria" w:cs="Calibri"/>
          <w:spacing w:val="1"/>
          <w:sz w:val="18"/>
          <w:szCs w:val="18"/>
        </w:rPr>
        <w:t>th</w:t>
      </w:r>
      <w:r w:rsidRPr="0042579D">
        <w:rPr>
          <w:rFonts w:ascii="Cambria" w:eastAsia="Calibri" w:hAnsi="Cambria" w:cs="Calibri"/>
          <w:sz w:val="18"/>
          <w:szCs w:val="18"/>
        </w:rPr>
        <w:t>e</w:t>
      </w:r>
      <w:r w:rsidRPr="0042579D">
        <w:rPr>
          <w:rFonts w:ascii="Cambria" w:eastAsia="Calibri" w:hAnsi="Cambria" w:cs="Calibri"/>
          <w:spacing w:val="-4"/>
          <w:sz w:val="18"/>
          <w:szCs w:val="18"/>
        </w:rPr>
        <w:t xml:space="preserve"> </w:t>
      </w:r>
      <w:r w:rsidRPr="0042579D">
        <w:rPr>
          <w:rFonts w:ascii="Cambria" w:eastAsia="Calibri" w:hAnsi="Cambria" w:cs="Calibri"/>
          <w:spacing w:val="1"/>
          <w:sz w:val="18"/>
          <w:szCs w:val="18"/>
        </w:rPr>
        <w:t>p</w:t>
      </w:r>
      <w:r w:rsidRPr="0042579D">
        <w:rPr>
          <w:rFonts w:ascii="Cambria" w:eastAsia="Calibri" w:hAnsi="Cambria" w:cs="Calibri"/>
          <w:sz w:val="18"/>
          <w:szCs w:val="18"/>
        </w:rPr>
        <w:t>astoral</w:t>
      </w:r>
      <w:r w:rsidRPr="0042579D">
        <w:rPr>
          <w:rFonts w:ascii="Cambria" w:eastAsia="Calibri" w:hAnsi="Cambria" w:cs="Calibri"/>
          <w:spacing w:val="-6"/>
          <w:sz w:val="18"/>
          <w:szCs w:val="18"/>
        </w:rPr>
        <w:t xml:space="preserve"> </w:t>
      </w:r>
      <w:r w:rsidRPr="0042579D">
        <w:rPr>
          <w:rFonts w:ascii="Cambria" w:eastAsia="Calibri" w:hAnsi="Cambria" w:cs="Calibri"/>
          <w:sz w:val="18"/>
          <w:szCs w:val="18"/>
        </w:rPr>
        <w:t>o</w:t>
      </w:r>
      <w:r w:rsidRPr="0042579D">
        <w:rPr>
          <w:rFonts w:ascii="Cambria" w:eastAsia="Calibri" w:hAnsi="Cambria" w:cs="Calibri"/>
          <w:spacing w:val="-1"/>
          <w:sz w:val="18"/>
          <w:szCs w:val="18"/>
        </w:rPr>
        <w:t>ff</w:t>
      </w:r>
      <w:r w:rsidRPr="0042579D">
        <w:rPr>
          <w:rFonts w:ascii="Cambria" w:eastAsia="Calibri" w:hAnsi="Cambria" w:cs="Calibri"/>
          <w:spacing w:val="2"/>
          <w:sz w:val="18"/>
          <w:szCs w:val="18"/>
        </w:rPr>
        <w:t>i</w:t>
      </w:r>
      <w:r w:rsidRPr="0042579D">
        <w:rPr>
          <w:rFonts w:ascii="Cambria" w:eastAsia="Calibri" w:hAnsi="Cambria" w:cs="Calibri"/>
          <w:sz w:val="18"/>
          <w:szCs w:val="18"/>
        </w:rPr>
        <w:t>c</w:t>
      </w:r>
      <w:r w:rsidRPr="0042579D">
        <w:rPr>
          <w:rFonts w:ascii="Cambria" w:eastAsia="Calibri" w:hAnsi="Cambria" w:cs="Calibri"/>
          <w:spacing w:val="-1"/>
          <w:sz w:val="18"/>
          <w:szCs w:val="18"/>
        </w:rPr>
        <w:t>e</w:t>
      </w:r>
      <w:r w:rsidRPr="0042579D">
        <w:rPr>
          <w:rFonts w:ascii="Cambria" w:eastAsia="Calibri" w:hAnsi="Cambria" w:cs="Calibri"/>
          <w:sz w:val="18"/>
          <w:szCs w:val="18"/>
        </w:rPr>
        <w:t>.</w:t>
      </w:r>
    </w:p>
  </w:footnote>
  <w:footnote w:id="13">
    <w:p w14:paraId="226443BE" w14:textId="77777777" w:rsidR="004B03F8" w:rsidRPr="0042579D" w:rsidRDefault="004B03F8" w:rsidP="0042579D">
      <w:pPr>
        <w:spacing w:after="0" w:line="240" w:lineRule="auto"/>
        <w:ind w:right="-20"/>
        <w:rPr>
          <w:rFonts w:ascii="Cambria" w:eastAsia="Calibri" w:hAnsi="Cambria" w:cs="Calibri"/>
          <w:sz w:val="18"/>
          <w:szCs w:val="18"/>
          <w:lang w:val="en-US"/>
        </w:rPr>
      </w:pPr>
      <w:r w:rsidRPr="0042579D">
        <w:rPr>
          <w:rStyle w:val="FootnoteReference"/>
          <w:rFonts w:ascii="Cambria" w:hAnsi="Cambria"/>
          <w:sz w:val="18"/>
          <w:szCs w:val="18"/>
        </w:rPr>
        <w:footnoteRef/>
      </w:r>
      <w:r w:rsidRPr="0042579D">
        <w:rPr>
          <w:rFonts w:ascii="Cambria" w:hAnsi="Cambria"/>
          <w:sz w:val="18"/>
          <w:szCs w:val="18"/>
        </w:rPr>
        <w:t xml:space="preserve"> </w:t>
      </w:r>
      <w:r w:rsidRPr="0042579D">
        <w:rPr>
          <w:rFonts w:ascii="Cambria" w:eastAsia="Calibri" w:hAnsi="Cambria" w:cs="Calibri"/>
          <w:position w:val="1"/>
          <w:sz w:val="18"/>
          <w:szCs w:val="18"/>
        </w:rPr>
        <w:t>In</w:t>
      </w:r>
      <w:r w:rsidRPr="0042579D">
        <w:rPr>
          <w:rFonts w:ascii="Cambria" w:eastAsia="Calibri" w:hAnsi="Cambria" w:cs="Calibri"/>
          <w:spacing w:val="-1"/>
          <w:position w:val="1"/>
          <w:sz w:val="18"/>
          <w:szCs w:val="18"/>
        </w:rPr>
        <w:t xml:space="preserve"> </w:t>
      </w:r>
      <w:r w:rsidRPr="0042579D">
        <w:rPr>
          <w:rFonts w:ascii="Cambria" w:eastAsia="Calibri" w:hAnsi="Cambria" w:cs="Calibri"/>
          <w:position w:val="1"/>
          <w:sz w:val="18"/>
          <w:szCs w:val="18"/>
        </w:rPr>
        <w:t>Ac</w:t>
      </w:r>
      <w:r w:rsidRPr="0042579D">
        <w:rPr>
          <w:rFonts w:ascii="Cambria" w:eastAsia="Calibri" w:hAnsi="Cambria" w:cs="Calibri"/>
          <w:spacing w:val="1"/>
          <w:position w:val="1"/>
          <w:sz w:val="18"/>
          <w:szCs w:val="18"/>
        </w:rPr>
        <w:t>t</w:t>
      </w:r>
      <w:r w:rsidRPr="0042579D">
        <w:rPr>
          <w:rFonts w:ascii="Cambria" w:eastAsia="Calibri" w:hAnsi="Cambria" w:cs="Calibri"/>
          <w:position w:val="1"/>
          <w:sz w:val="18"/>
          <w:szCs w:val="18"/>
        </w:rPr>
        <w:t>s</w:t>
      </w:r>
      <w:r w:rsidRPr="0042579D">
        <w:rPr>
          <w:rFonts w:ascii="Cambria" w:eastAsia="Calibri" w:hAnsi="Cambria" w:cs="Calibri"/>
          <w:spacing w:val="-4"/>
          <w:position w:val="1"/>
          <w:sz w:val="18"/>
          <w:szCs w:val="18"/>
        </w:rPr>
        <w:t xml:space="preserve"> </w:t>
      </w:r>
      <w:r w:rsidRPr="0042579D">
        <w:rPr>
          <w:rFonts w:ascii="Cambria" w:eastAsia="Calibri" w:hAnsi="Cambria" w:cs="Calibri"/>
          <w:position w:val="1"/>
          <w:sz w:val="18"/>
          <w:szCs w:val="18"/>
        </w:rPr>
        <w:t>18:</w:t>
      </w:r>
      <w:r w:rsidRPr="0042579D">
        <w:rPr>
          <w:rFonts w:ascii="Cambria" w:eastAsia="Calibri" w:hAnsi="Cambria" w:cs="Calibri"/>
          <w:spacing w:val="2"/>
          <w:position w:val="1"/>
          <w:sz w:val="18"/>
          <w:szCs w:val="18"/>
        </w:rPr>
        <w:t>2</w:t>
      </w:r>
      <w:r w:rsidRPr="0042579D">
        <w:rPr>
          <w:rFonts w:ascii="Cambria" w:eastAsia="Calibri" w:hAnsi="Cambria" w:cs="Calibri"/>
          <w:position w:val="1"/>
          <w:sz w:val="18"/>
          <w:szCs w:val="18"/>
        </w:rPr>
        <w:t>6</w:t>
      </w:r>
      <w:r w:rsidRPr="0042579D">
        <w:rPr>
          <w:rFonts w:ascii="Cambria" w:eastAsia="Calibri" w:hAnsi="Cambria" w:cs="Calibri"/>
          <w:spacing w:val="-5"/>
          <w:position w:val="1"/>
          <w:sz w:val="18"/>
          <w:szCs w:val="18"/>
        </w:rPr>
        <w:t xml:space="preserve"> </w:t>
      </w:r>
      <w:r w:rsidRPr="0042579D">
        <w:rPr>
          <w:rFonts w:ascii="Cambria" w:eastAsia="Calibri" w:hAnsi="Cambria" w:cs="Calibri"/>
          <w:position w:val="1"/>
          <w:sz w:val="18"/>
          <w:szCs w:val="18"/>
        </w:rPr>
        <w:t>we</w:t>
      </w:r>
      <w:r w:rsidRPr="0042579D">
        <w:rPr>
          <w:rFonts w:ascii="Cambria" w:eastAsia="Calibri" w:hAnsi="Cambria" w:cs="Calibri"/>
          <w:spacing w:val="-3"/>
          <w:position w:val="1"/>
          <w:sz w:val="18"/>
          <w:szCs w:val="18"/>
        </w:rPr>
        <w:t xml:space="preserve"> </w:t>
      </w:r>
      <w:r w:rsidRPr="0042579D">
        <w:rPr>
          <w:rFonts w:ascii="Cambria" w:eastAsia="Calibri" w:hAnsi="Cambria" w:cs="Calibri"/>
          <w:spacing w:val="1"/>
          <w:position w:val="1"/>
          <w:sz w:val="18"/>
          <w:szCs w:val="18"/>
        </w:rPr>
        <w:t>a</w:t>
      </w:r>
      <w:r w:rsidRPr="0042579D">
        <w:rPr>
          <w:rFonts w:ascii="Cambria" w:eastAsia="Calibri" w:hAnsi="Cambria" w:cs="Calibri"/>
          <w:spacing w:val="2"/>
          <w:position w:val="1"/>
          <w:sz w:val="18"/>
          <w:szCs w:val="18"/>
        </w:rPr>
        <w:t>r</w:t>
      </w:r>
      <w:r w:rsidRPr="0042579D">
        <w:rPr>
          <w:rFonts w:ascii="Cambria" w:eastAsia="Calibri" w:hAnsi="Cambria" w:cs="Calibri"/>
          <w:position w:val="1"/>
          <w:sz w:val="18"/>
          <w:szCs w:val="18"/>
        </w:rPr>
        <w:t>e</w:t>
      </w:r>
      <w:r w:rsidRPr="0042579D">
        <w:rPr>
          <w:rFonts w:ascii="Cambria" w:eastAsia="Calibri" w:hAnsi="Cambria" w:cs="Calibri"/>
          <w:spacing w:val="-4"/>
          <w:position w:val="1"/>
          <w:sz w:val="18"/>
          <w:szCs w:val="18"/>
        </w:rPr>
        <w:t xml:space="preserve"> </w:t>
      </w:r>
      <w:r w:rsidRPr="0042579D">
        <w:rPr>
          <w:rFonts w:ascii="Cambria" w:eastAsia="Calibri" w:hAnsi="Cambria" w:cs="Calibri"/>
          <w:spacing w:val="1"/>
          <w:position w:val="1"/>
          <w:sz w:val="18"/>
          <w:szCs w:val="18"/>
        </w:rPr>
        <w:t>t</w:t>
      </w:r>
      <w:r w:rsidRPr="0042579D">
        <w:rPr>
          <w:rFonts w:ascii="Cambria" w:eastAsia="Calibri" w:hAnsi="Cambria" w:cs="Calibri"/>
          <w:position w:val="1"/>
          <w:sz w:val="18"/>
          <w:szCs w:val="18"/>
        </w:rPr>
        <w:t>old</w:t>
      </w:r>
      <w:r w:rsidRPr="0042579D">
        <w:rPr>
          <w:rFonts w:ascii="Cambria" w:eastAsia="Calibri" w:hAnsi="Cambria" w:cs="Calibri"/>
          <w:spacing w:val="-3"/>
          <w:position w:val="1"/>
          <w:sz w:val="18"/>
          <w:szCs w:val="18"/>
        </w:rPr>
        <w:t xml:space="preserve"> </w:t>
      </w:r>
      <w:r w:rsidRPr="0042579D">
        <w:rPr>
          <w:rFonts w:ascii="Cambria" w:eastAsia="Calibri" w:hAnsi="Cambria" w:cs="Calibri"/>
          <w:spacing w:val="1"/>
          <w:position w:val="1"/>
          <w:sz w:val="18"/>
          <w:szCs w:val="18"/>
        </w:rPr>
        <w:t>th</w:t>
      </w:r>
      <w:r w:rsidRPr="0042579D">
        <w:rPr>
          <w:rFonts w:ascii="Cambria" w:eastAsia="Calibri" w:hAnsi="Cambria" w:cs="Calibri"/>
          <w:position w:val="1"/>
          <w:sz w:val="18"/>
          <w:szCs w:val="18"/>
        </w:rPr>
        <w:t>at</w:t>
      </w:r>
      <w:r w:rsidRPr="0042579D">
        <w:rPr>
          <w:rFonts w:ascii="Cambria" w:eastAsia="Calibri" w:hAnsi="Cambria" w:cs="Calibri"/>
          <w:spacing w:val="-2"/>
          <w:position w:val="1"/>
          <w:sz w:val="18"/>
          <w:szCs w:val="18"/>
        </w:rPr>
        <w:t xml:space="preserve"> </w:t>
      </w:r>
      <w:r w:rsidRPr="0042579D">
        <w:rPr>
          <w:rFonts w:ascii="Cambria" w:eastAsia="Calibri" w:hAnsi="Cambria" w:cs="Calibri"/>
          <w:spacing w:val="1"/>
          <w:position w:val="1"/>
          <w:sz w:val="18"/>
          <w:szCs w:val="18"/>
        </w:rPr>
        <w:t>P</w:t>
      </w:r>
      <w:r w:rsidRPr="0042579D">
        <w:rPr>
          <w:rFonts w:ascii="Cambria" w:eastAsia="Calibri" w:hAnsi="Cambria" w:cs="Calibri"/>
          <w:position w:val="1"/>
          <w:sz w:val="18"/>
          <w:szCs w:val="18"/>
        </w:rPr>
        <w:t>ri</w:t>
      </w:r>
      <w:r w:rsidRPr="0042579D">
        <w:rPr>
          <w:rFonts w:ascii="Cambria" w:eastAsia="Calibri" w:hAnsi="Cambria" w:cs="Calibri"/>
          <w:spacing w:val="-1"/>
          <w:position w:val="1"/>
          <w:sz w:val="18"/>
          <w:szCs w:val="18"/>
        </w:rPr>
        <w:t>s</w:t>
      </w:r>
      <w:r w:rsidRPr="0042579D">
        <w:rPr>
          <w:rFonts w:ascii="Cambria" w:eastAsia="Calibri" w:hAnsi="Cambria" w:cs="Calibri"/>
          <w:position w:val="1"/>
          <w:sz w:val="18"/>
          <w:szCs w:val="18"/>
        </w:rPr>
        <w:t>cill</w:t>
      </w:r>
      <w:r w:rsidRPr="0042579D">
        <w:rPr>
          <w:rFonts w:ascii="Cambria" w:eastAsia="Calibri" w:hAnsi="Cambria" w:cs="Calibri"/>
          <w:spacing w:val="4"/>
          <w:position w:val="1"/>
          <w:sz w:val="18"/>
          <w:szCs w:val="18"/>
        </w:rPr>
        <w:t>a</w:t>
      </w:r>
      <w:r w:rsidRPr="0042579D">
        <w:rPr>
          <w:rFonts w:ascii="Cambria" w:eastAsia="Calibri" w:hAnsi="Cambria" w:cs="Calibri"/>
          <w:position w:val="1"/>
          <w:sz w:val="18"/>
          <w:szCs w:val="18"/>
        </w:rPr>
        <w:t>,</w:t>
      </w:r>
      <w:r w:rsidRPr="0042579D">
        <w:rPr>
          <w:rFonts w:ascii="Cambria" w:eastAsia="Calibri" w:hAnsi="Cambria" w:cs="Calibri"/>
          <w:spacing w:val="-7"/>
          <w:position w:val="1"/>
          <w:sz w:val="18"/>
          <w:szCs w:val="18"/>
        </w:rPr>
        <w:t xml:space="preserve"> </w:t>
      </w:r>
      <w:r w:rsidRPr="0042579D">
        <w:rPr>
          <w:rFonts w:ascii="Cambria" w:eastAsia="Calibri" w:hAnsi="Cambria" w:cs="Calibri"/>
          <w:spacing w:val="1"/>
          <w:position w:val="1"/>
          <w:sz w:val="18"/>
          <w:szCs w:val="18"/>
        </w:rPr>
        <w:t>t</w:t>
      </w:r>
      <w:r w:rsidRPr="0042579D">
        <w:rPr>
          <w:rFonts w:ascii="Cambria" w:eastAsia="Calibri" w:hAnsi="Cambria" w:cs="Calibri"/>
          <w:position w:val="1"/>
          <w:sz w:val="18"/>
          <w:szCs w:val="18"/>
        </w:rPr>
        <w:t>og</w:t>
      </w:r>
      <w:r w:rsidRPr="0042579D">
        <w:rPr>
          <w:rFonts w:ascii="Cambria" w:eastAsia="Calibri" w:hAnsi="Cambria" w:cs="Calibri"/>
          <w:spacing w:val="-1"/>
          <w:position w:val="1"/>
          <w:sz w:val="18"/>
          <w:szCs w:val="18"/>
        </w:rPr>
        <w:t>e</w:t>
      </w:r>
      <w:r w:rsidRPr="0042579D">
        <w:rPr>
          <w:rFonts w:ascii="Cambria" w:eastAsia="Calibri" w:hAnsi="Cambria" w:cs="Calibri"/>
          <w:position w:val="1"/>
          <w:sz w:val="18"/>
          <w:szCs w:val="18"/>
        </w:rPr>
        <w:t>t</w:t>
      </w:r>
      <w:r w:rsidRPr="0042579D">
        <w:rPr>
          <w:rFonts w:ascii="Cambria" w:eastAsia="Calibri" w:hAnsi="Cambria" w:cs="Calibri"/>
          <w:spacing w:val="4"/>
          <w:position w:val="1"/>
          <w:sz w:val="18"/>
          <w:szCs w:val="18"/>
        </w:rPr>
        <w:t>h</w:t>
      </w:r>
      <w:r w:rsidRPr="0042579D">
        <w:rPr>
          <w:rFonts w:ascii="Cambria" w:eastAsia="Calibri" w:hAnsi="Cambria" w:cs="Calibri"/>
          <w:spacing w:val="-1"/>
          <w:position w:val="1"/>
          <w:sz w:val="18"/>
          <w:szCs w:val="18"/>
        </w:rPr>
        <w:t>e</w:t>
      </w:r>
      <w:r w:rsidRPr="0042579D">
        <w:rPr>
          <w:rFonts w:ascii="Cambria" w:eastAsia="Calibri" w:hAnsi="Cambria" w:cs="Calibri"/>
          <w:position w:val="1"/>
          <w:sz w:val="18"/>
          <w:szCs w:val="18"/>
        </w:rPr>
        <w:t>r</w:t>
      </w:r>
      <w:r w:rsidRPr="0042579D">
        <w:rPr>
          <w:rFonts w:ascii="Cambria" w:eastAsia="Calibri" w:hAnsi="Cambria" w:cs="Calibri"/>
          <w:spacing w:val="-7"/>
          <w:position w:val="1"/>
          <w:sz w:val="18"/>
          <w:szCs w:val="18"/>
        </w:rPr>
        <w:t xml:space="preserve"> </w:t>
      </w:r>
      <w:r w:rsidRPr="0042579D">
        <w:rPr>
          <w:rFonts w:ascii="Cambria" w:eastAsia="Calibri" w:hAnsi="Cambria" w:cs="Calibri"/>
          <w:spacing w:val="-1"/>
          <w:position w:val="1"/>
          <w:sz w:val="18"/>
          <w:szCs w:val="18"/>
        </w:rPr>
        <w:t>w</w:t>
      </w:r>
      <w:r w:rsidRPr="0042579D">
        <w:rPr>
          <w:rFonts w:ascii="Cambria" w:eastAsia="Calibri" w:hAnsi="Cambria" w:cs="Calibri"/>
          <w:position w:val="1"/>
          <w:sz w:val="18"/>
          <w:szCs w:val="18"/>
        </w:rPr>
        <w:t>ith</w:t>
      </w:r>
      <w:r w:rsidRPr="0042579D">
        <w:rPr>
          <w:rFonts w:ascii="Cambria" w:eastAsia="Calibri" w:hAnsi="Cambria" w:cs="Calibri"/>
          <w:spacing w:val="-3"/>
          <w:position w:val="1"/>
          <w:sz w:val="18"/>
          <w:szCs w:val="18"/>
        </w:rPr>
        <w:t xml:space="preserve"> </w:t>
      </w:r>
      <w:r w:rsidRPr="0042579D">
        <w:rPr>
          <w:rFonts w:ascii="Cambria" w:eastAsia="Calibri" w:hAnsi="Cambria" w:cs="Calibri"/>
          <w:spacing w:val="1"/>
          <w:position w:val="1"/>
          <w:sz w:val="18"/>
          <w:szCs w:val="18"/>
        </w:rPr>
        <w:t>h</w:t>
      </w:r>
      <w:r w:rsidRPr="0042579D">
        <w:rPr>
          <w:rFonts w:ascii="Cambria" w:eastAsia="Calibri" w:hAnsi="Cambria" w:cs="Calibri"/>
          <w:spacing w:val="-1"/>
          <w:position w:val="1"/>
          <w:sz w:val="18"/>
          <w:szCs w:val="18"/>
        </w:rPr>
        <w:t>e</w:t>
      </w:r>
      <w:r w:rsidRPr="0042579D">
        <w:rPr>
          <w:rFonts w:ascii="Cambria" w:eastAsia="Calibri" w:hAnsi="Cambria" w:cs="Calibri"/>
          <w:position w:val="1"/>
          <w:sz w:val="18"/>
          <w:szCs w:val="18"/>
        </w:rPr>
        <w:t>r</w:t>
      </w:r>
      <w:r w:rsidRPr="0042579D">
        <w:rPr>
          <w:rFonts w:ascii="Cambria" w:eastAsia="Calibri" w:hAnsi="Cambria" w:cs="Calibri"/>
          <w:spacing w:val="-3"/>
          <w:position w:val="1"/>
          <w:sz w:val="18"/>
          <w:szCs w:val="18"/>
        </w:rPr>
        <w:t xml:space="preserve"> </w:t>
      </w:r>
      <w:r w:rsidRPr="0042579D">
        <w:rPr>
          <w:rFonts w:ascii="Cambria" w:eastAsia="Calibri" w:hAnsi="Cambria" w:cs="Calibri"/>
          <w:spacing w:val="1"/>
          <w:position w:val="1"/>
          <w:sz w:val="18"/>
          <w:szCs w:val="18"/>
        </w:rPr>
        <w:t>hu</w:t>
      </w:r>
      <w:r w:rsidRPr="0042579D">
        <w:rPr>
          <w:rFonts w:ascii="Cambria" w:eastAsia="Calibri" w:hAnsi="Cambria" w:cs="Calibri"/>
          <w:spacing w:val="-1"/>
          <w:position w:val="1"/>
          <w:sz w:val="18"/>
          <w:szCs w:val="18"/>
        </w:rPr>
        <w:t>s</w:t>
      </w:r>
      <w:r w:rsidRPr="0042579D">
        <w:rPr>
          <w:rFonts w:ascii="Cambria" w:eastAsia="Calibri" w:hAnsi="Cambria" w:cs="Calibri"/>
          <w:spacing w:val="1"/>
          <w:position w:val="1"/>
          <w:sz w:val="18"/>
          <w:szCs w:val="18"/>
        </w:rPr>
        <w:t>b</w:t>
      </w:r>
      <w:r w:rsidRPr="0042579D">
        <w:rPr>
          <w:rFonts w:ascii="Cambria" w:eastAsia="Calibri" w:hAnsi="Cambria" w:cs="Calibri"/>
          <w:position w:val="1"/>
          <w:sz w:val="18"/>
          <w:szCs w:val="18"/>
        </w:rPr>
        <w:t>a</w:t>
      </w:r>
      <w:r w:rsidRPr="0042579D">
        <w:rPr>
          <w:rFonts w:ascii="Cambria" w:eastAsia="Calibri" w:hAnsi="Cambria" w:cs="Calibri"/>
          <w:spacing w:val="1"/>
          <w:position w:val="1"/>
          <w:sz w:val="18"/>
          <w:szCs w:val="18"/>
        </w:rPr>
        <w:t>n</w:t>
      </w:r>
      <w:r w:rsidRPr="0042579D">
        <w:rPr>
          <w:rFonts w:ascii="Cambria" w:eastAsia="Calibri" w:hAnsi="Cambria" w:cs="Calibri"/>
          <w:position w:val="1"/>
          <w:sz w:val="18"/>
          <w:szCs w:val="18"/>
        </w:rPr>
        <w:t>d</w:t>
      </w:r>
      <w:r w:rsidRPr="0042579D">
        <w:rPr>
          <w:rFonts w:ascii="Cambria" w:eastAsia="Calibri" w:hAnsi="Cambria" w:cs="Calibri"/>
          <w:spacing w:val="-6"/>
          <w:position w:val="1"/>
          <w:sz w:val="18"/>
          <w:szCs w:val="18"/>
        </w:rPr>
        <w:t xml:space="preserve"> </w:t>
      </w:r>
      <w:r w:rsidRPr="0042579D">
        <w:rPr>
          <w:rFonts w:ascii="Cambria" w:eastAsia="Calibri" w:hAnsi="Cambria" w:cs="Calibri"/>
          <w:position w:val="1"/>
          <w:sz w:val="18"/>
          <w:szCs w:val="18"/>
        </w:rPr>
        <w:t>A</w:t>
      </w:r>
      <w:r w:rsidRPr="0042579D">
        <w:rPr>
          <w:rFonts w:ascii="Cambria" w:eastAsia="Calibri" w:hAnsi="Cambria" w:cs="Calibri"/>
          <w:spacing w:val="1"/>
          <w:position w:val="1"/>
          <w:sz w:val="18"/>
          <w:szCs w:val="18"/>
        </w:rPr>
        <w:t>qu</w:t>
      </w:r>
      <w:r w:rsidRPr="0042579D">
        <w:rPr>
          <w:rFonts w:ascii="Cambria" w:eastAsia="Calibri" w:hAnsi="Cambria" w:cs="Calibri"/>
          <w:position w:val="1"/>
          <w:sz w:val="18"/>
          <w:szCs w:val="18"/>
        </w:rPr>
        <w:t>ila,</w:t>
      </w:r>
      <w:r w:rsidRPr="0042579D">
        <w:rPr>
          <w:rFonts w:ascii="Cambria" w:eastAsia="Calibri" w:hAnsi="Cambria" w:cs="Calibri"/>
          <w:spacing w:val="-5"/>
          <w:position w:val="1"/>
          <w:sz w:val="18"/>
          <w:szCs w:val="18"/>
        </w:rPr>
        <w:t xml:space="preserve"> </w:t>
      </w:r>
      <w:r w:rsidRPr="0042579D">
        <w:rPr>
          <w:rFonts w:ascii="Cambria" w:eastAsia="Calibri" w:hAnsi="Cambria" w:cs="Calibri"/>
          <w:spacing w:val="1"/>
          <w:position w:val="1"/>
          <w:sz w:val="18"/>
          <w:szCs w:val="18"/>
        </w:rPr>
        <w:t>t</w:t>
      </w:r>
      <w:r w:rsidRPr="0042579D">
        <w:rPr>
          <w:rFonts w:ascii="Cambria" w:eastAsia="Calibri" w:hAnsi="Cambria" w:cs="Calibri"/>
          <w:position w:val="1"/>
          <w:sz w:val="18"/>
          <w:szCs w:val="18"/>
        </w:rPr>
        <w:t>ook</w:t>
      </w:r>
      <w:r w:rsidRPr="0042579D">
        <w:rPr>
          <w:rFonts w:ascii="Cambria" w:eastAsia="Calibri" w:hAnsi="Cambria" w:cs="Calibri"/>
          <w:spacing w:val="-3"/>
          <w:position w:val="1"/>
          <w:sz w:val="18"/>
          <w:szCs w:val="18"/>
        </w:rPr>
        <w:t xml:space="preserve"> </w:t>
      </w:r>
      <w:r w:rsidRPr="0042579D">
        <w:rPr>
          <w:rFonts w:ascii="Cambria" w:eastAsia="Calibri" w:hAnsi="Cambria" w:cs="Calibri"/>
          <w:position w:val="1"/>
          <w:sz w:val="18"/>
          <w:szCs w:val="18"/>
        </w:rPr>
        <w:t>A</w:t>
      </w:r>
      <w:r w:rsidRPr="0042579D">
        <w:rPr>
          <w:rFonts w:ascii="Cambria" w:eastAsia="Calibri" w:hAnsi="Cambria" w:cs="Calibri"/>
          <w:spacing w:val="1"/>
          <w:position w:val="1"/>
          <w:sz w:val="18"/>
          <w:szCs w:val="18"/>
        </w:rPr>
        <w:t>p</w:t>
      </w:r>
      <w:r w:rsidRPr="0042579D">
        <w:rPr>
          <w:rFonts w:ascii="Cambria" w:eastAsia="Calibri" w:hAnsi="Cambria" w:cs="Calibri"/>
          <w:position w:val="1"/>
          <w:sz w:val="18"/>
          <w:szCs w:val="18"/>
        </w:rPr>
        <w:t>ollos</w:t>
      </w:r>
      <w:r w:rsidRPr="0042579D">
        <w:rPr>
          <w:rFonts w:ascii="Cambria" w:eastAsia="Calibri" w:hAnsi="Cambria" w:cs="Calibri"/>
          <w:spacing w:val="-7"/>
          <w:position w:val="1"/>
          <w:sz w:val="18"/>
          <w:szCs w:val="18"/>
        </w:rPr>
        <w:t xml:space="preserve"> </w:t>
      </w:r>
      <w:r w:rsidRPr="0042579D">
        <w:rPr>
          <w:rFonts w:ascii="Cambria" w:eastAsia="Calibri" w:hAnsi="Cambria" w:cs="Calibri"/>
          <w:spacing w:val="1"/>
          <w:position w:val="1"/>
          <w:sz w:val="18"/>
          <w:szCs w:val="18"/>
        </w:rPr>
        <w:t>a</w:t>
      </w:r>
      <w:r w:rsidRPr="0042579D">
        <w:rPr>
          <w:rFonts w:ascii="Cambria" w:eastAsia="Calibri" w:hAnsi="Cambria" w:cs="Calibri"/>
          <w:spacing w:val="-1"/>
          <w:position w:val="1"/>
          <w:sz w:val="18"/>
          <w:szCs w:val="18"/>
        </w:rPr>
        <w:t>s</w:t>
      </w:r>
      <w:r w:rsidRPr="0042579D">
        <w:rPr>
          <w:rFonts w:ascii="Cambria" w:eastAsia="Calibri" w:hAnsi="Cambria" w:cs="Calibri"/>
          <w:position w:val="1"/>
          <w:sz w:val="18"/>
          <w:szCs w:val="18"/>
        </w:rPr>
        <w:t>i</w:t>
      </w:r>
      <w:r w:rsidRPr="0042579D">
        <w:rPr>
          <w:rFonts w:ascii="Cambria" w:eastAsia="Calibri" w:hAnsi="Cambria" w:cs="Calibri"/>
          <w:spacing w:val="1"/>
          <w:position w:val="1"/>
          <w:sz w:val="18"/>
          <w:szCs w:val="18"/>
        </w:rPr>
        <w:t>d</w:t>
      </w:r>
      <w:r w:rsidRPr="0042579D">
        <w:rPr>
          <w:rFonts w:ascii="Cambria" w:eastAsia="Calibri" w:hAnsi="Cambria" w:cs="Calibri"/>
          <w:position w:val="1"/>
          <w:sz w:val="18"/>
          <w:szCs w:val="18"/>
        </w:rPr>
        <w:t>e</w:t>
      </w:r>
      <w:r w:rsidRPr="0042579D">
        <w:rPr>
          <w:rFonts w:ascii="Cambria" w:eastAsia="Calibri" w:hAnsi="Cambria" w:cs="Calibri"/>
          <w:spacing w:val="-5"/>
          <w:position w:val="1"/>
          <w:sz w:val="18"/>
          <w:szCs w:val="18"/>
        </w:rPr>
        <w:t xml:space="preserve"> </w:t>
      </w:r>
      <w:r w:rsidRPr="0042579D">
        <w:rPr>
          <w:rFonts w:ascii="Cambria" w:eastAsia="Calibri" w:hAnsi="Cambria" w:cs="Calibri"/>
          <w:spacing w:val="1"/>
          <w:position w:val="1"/>
          <w:sz w:val="18"/>
          <w:szCs w:val="18"/>
        </w:rPr>
        <w:t>p</w:t>
      </w:r>
      <w:r w:rsidRPr="0042579D">
        <w:rPr>
          <w:rFonts w:ascii="Cambria" w:eastAsia="Calibri" w:hAnsi="Cambria" w:cs="Calibri"/>
          <w:position w:val="1"/>
          <w:sz w:val="18"/>
          <w:szCs w:val="18"/>
        </w:rPr>
        <w:t>ri</w:t>
      </w:r>
      <w:r w:rsidRPr="0042579D">
        <w:rPr>
          <w:rFonts w:ascii="Cambria" w:eastAsia="Calibri" w:hAnsi="Cambria" w:cs="Calibri"/>
          <w:spacing w:val="-1"/>
          <w:position w:val="1"/>
          <w:sz w:val="18"/>
          <w:szCs w:val="18"/>
        </w:rPr>
        <w:t>v</w:t>
      </w:r>
      <w:r w:rsidRPr="0042579D">
        <w:rPr>
          <w:rFonts w:ascii="Cambria" w:eastAsia="Calibri" w:hAnsi="Cambria" w:cs="Calibri"/>
          <w:position w:val="1"/>
          <w:sz w:val="18"/>
          <w:szCs w:val="18"/>
        </w:rPr>
        <w:t>a</w:t>
      </w:r>
      <w:r w:rsidRPr="0042579D">
        <w:rPr>
          <w:rFonts w:ascii="Cambria" w:eastAsia="Calibri" w:hAnsi="Cambria" w:cs="Calibri"/>
          <w:spacing w:val="1"/>
          <w:position w:val="1"/>
          <w:sz w:val="18"/>
          <w:szCs w:val="18"/>
        </w:rPr>
        <w:t>t</w:t>
      </w:r>
      <w:r w:rsidRPr="0042579D">
        <w:rPr>
          <w:rFonts w:ascii="Cambria" w:eastAsia="Calibri" w:hAnsi="Cambria" w:cs="Calibri"/>
          <w:spacing w:val="-1"/>
          <w:position w:val="1"/>
          <w:sz w:val="18"/>
          <w:szCs w:val="18"/>
        </w:rPr>
        <w:t>e</w:t>
      </w:r>
      <w:r w:rsidRPr="0042579D">
        <w:rPr>
          <w:rFonts w:ascii="Cambria" w:eastAsia="Calibri" w:hAnsi="Cambria" w:cs="Calibri"/>
          <w:position w:val="1"/>
          <w:sz w:val="18"/>
          <w:szCs w:val="18"/>
        </w:rPr>
        <w:t>ly</w:t>
      </w:r>
      <w:r w:rsidRPr="0042579D">
        <w:rPr>
          <w:rFonts w:ascii="Cambria" w:eastAsia="Calibri" w:hAnsi="Cambria" w:cs="Calibri"/>
          <w:spacing w:val="-6"/>
          <w:position w:val="1"/>
          <w:sz w:val="18"/>
          <w:szCs w:val="18"/>
        </w:rPr>
        <w:t xml:space="preserve"> </w:t>
      </w:r>
      <w:r w:rsidRPr="0042579D">
        <w:rPr>
          <w:rFonts w:ascii="Cambria" w:eastAsia="Calibri" w:hAnsi="Cambria" w:cs="Calibri"/>
          <w:spacing w:val="1"/>
          <w:position w:val="1"/>
          <w:sz w:val="18"/>
          <w:szCs w:val="18"/>
        </w:rPr>
        <w:t>t</w:t>
      </w:r>
      <w:r w:rsidRPr="0042579D">
        <w:rPr>
          <w:rFonts w:ascii="Cambria" w:eastAsia="Calibri" w:hAnsi="Cambria" w:cs="Calibri"/>
          <w:position w:val="1"/>
          <w:sz w:val="18"/>
          <w:szCs w:val="18"/>
        </w:rPr>
        <w:t>o</w:t>
      </w:r>
      <w:r w:rsidRPr="0042579D">
        <w:rPr>
          <w:rFonts w:ascii="Cambria" w:eastAsia="Calibri" w:hAnsi="Cambria" w:cs="Calibri"/>
          <w:spacing w:val="-2"/>
          <w:position w:val="1"/>
          <w:sz w:val="18"/>
          <w:szCs w:val="18"/>
        </w:rPr>
        <w:t xml:space="preserve"> </w:t>
      </w:r>
      <w:r w:rsidRPr="0042579D">
        <w:rPr>
          <w:rFonts w:ascii="Cambria" w:eastAsia="Calibri" w:hAnsi="Cambria" w:cs="Calibri"/>
          <w:position w:val="1"/>
          <w:sz w:val="18"/>
          <w:szCs w:val="18"/>
        </w:rPr>
        <w:t>i</w:t>
      </w:r>
      <w:r w:rsidRPr="0042579D">
        <w:rPr>
          <w:rFonts w:ascii="Cambria" w:eastAsia="Calibri" w:hAnsi="Cambria" w:cs="Calibri"/>
          <w:spacing w:val="1"/>
          <w:position w:val="1"/>
          <w:sz w:val="18"/>
          <w:szCs w:val="18"/>
        </w:rPr>
        <w:t>n</w:t>
      </w:r>
      <w:r w:rsidRPr="0042579D">
        <w:rPr>
          <w:rFonts w:ascii="Cambria" w:eastAsia="Calibri" w:hAnsi="Cambria" w:cs="Calibri"/>
          <w:spacing w:val="-1"/>
          <w:position w:val="1"/>
          <w:sz w:val="18"/>
          <w:szCs w:val="18"/>
        </w:rPr>
        <w:t>s</w:t>
      </w:r>
      <w:r w:rsidRPr="0042579D">
        <w:rPr>
          <w:rFonts w:ascii="Cambria" w:eastAsia="Calibri" w:hAnsi="Cambria" w:cs="Calibri"/>
          <w:position w:val="1"/>
          <w:sz w:val="18"/>
          <w:szCs w:val="18"/>
        </w:rPr>
        <w:t>tr</w:t>
      </w:r>
      <w:r w:rsidRPr="0042579D">
        <w:rPr>
          <w:rFonts w:ascii="Cambria" w:eastAsia="Calibri" w:hAnsi="Cambria" w:cs="Calibri"/>
          <w:spacing w:val="1"/>
          <w:position w:val="1"/>
          <w:sz w:val="18"/>
          <w:szCs w:val="18"/>
        </w:rPr>
        <w:t>u</w:t>
      </w:r>
      <w:r w:rsidRPr="0042579D">
        <w:rPr>
          <w:rFonts w:ascii="Cambria" w:eastAsia="Calibri" w:hAnsi="Cambria" w:cs="Calibri"/>
          <w:position w:val="1"/>
          <w:sz w:val="18"/>
          <w:szCs w:val="18"/>
        </w:rPr>
        <w:t>ct</w:t>
      </w:r>
      <w:r w:rsidRPr="0042579D">
        <w:rPr>
          <w:rFonts w:ascii="Cambria" w:eastAsia="Calibri" w:hAnsi="Cambria" w:cs="Calibri"/>
          <w:spacing w:val="-6"/>
          <w:position w:val="1"/>
          <w:sz w:val="18"/>
          <w:szCs w:val="18"/>
        </w:rPr>
        <w:t xml:space="preserve"> </w:t>
      </w:r>
      <w:r w:rsidRPr="0042579D">
        <w:rPr>
          <w:rFonts w:ascii="Cambria" w:eastAsia="Calibri" w:hAnsi="Cambria" w:cs="Calibri"/>
          <w:spacing w:val="1"/>
          <w:position w:val="1"/>
          <w:sz w:val="18"/>
          <w:szCs w:val="18"/>
        </w:rPr>
        <w:t>h</w:t>
      </w:r>
      <w:r w:rsidRPr="0042579D">
        <w:rPr>
          <w:rFonts w:ascii="Cambria" w:eastAsia="Calibri" w:hAnsi="Cambria" w:cs="Calibri"/>
          <w:position w:val="1"/>
          <w:sz w:val="18"/>
          <w:szCs w:val="18"/>
        </w:rPr>
        <w:t>im</w:t>
      </w:r>
      <w:r w:rsidRPr="0042579D">
        <w:rPr>
          <w:rFonts w:ascii="Cambria" w:eastAsia="Calibri" w:hAnsi="Cambria" w:cs="Calibri"/>
          <w:spacing w:val="-1"/>
          <w:position w:val="1"/>
          <w:sz w:val="18"/>
          <w:szCs w:val="18"/>
        </w:rPr>
        <w:t xml:space="preserve"> </w:t>
      </w:r>
      <w:r w:rsidRPr="0042579D">
        <w:rPr>
          <w:rFonts w:ascii="Cambria" w:eastAsia="Calibri" w:hAnsi="Cambria" w:cs="Calibri"/>
          <w:spacing w:val="1"/>
          <w:position w:val="1"/>
          <w:sz w:val="18"/>
          <w:szCs w:val="18"/>
        </w:rPr>
        <w:t>m</w:t>
      </w:r>
      <w:r w:rsidRPr="0042579D">
        <w:rPr>
          <w:rFonts w:ascii="Cambria" w:eastAsia="Calibri" w:hAnsi="Cambria" w:cs="Calibri"/>
          <w:position w:val="1"/>
          <w:sz w:val="18"/>
          <w:szCs w:val="18"/>
        </w:rPr>
        <w:t>ore</w:t>
      </w:r>
    </w:p>
    <w:p w14:paraId="7B87A36A" w14:textId="77777777" w:rsidR="004B03F8" w:rsidRPr="0042579D" w:rsidRDefault="004B03F8" w:rsidP="0042579D">
      <w:pPr>
        <w:pStyle w:val="FootnoteText"/>
        <w:rPr>
          <w:rFonts w:ascii="Cambria" w:hAnsi="Cambria"/>
          <w:sz w:val="18"/>
          <w:szCs w:val="18"/>
        </w:rPr>
      </w:pPr>
      <w:r w:rsidRPr="0042579D">
        <w:rPr>
          <w:rFonts w:ascii="Cambria" w:eastAsia="Calibri" w:hAnsi="Cambria" w:cs="Calibri"/>
          <w:sz w:val="18"/>
          <w:szCs w:val="18"/>
        </w:rPr>
        <w:t>acc</w:t>
      </w:r>
      <w:r w:rsidRPr="0042579D">
        <w:rPr>
          <w:rFonts w:ascii="Cambria" w:eastAsia="Calibri" w:hAnsi="Cambria" w:cs="Calibri"/>
          <w:spacing w:val="1"/>
          <w:sz w:val="18"/>
          <w:szCs w:val="18"/>
        </w:rPr>
        <w:t>u</w:t>
      </w:r>
      <w:r w:rsidRPr="0042579D">
        <w:rPr>
          <w:rFonts w:ascii="Cambria" w:eastAsia="Calibri" w:hAnsi="Cambria" w:cs="Calibri"/>
          <w:sz w:val="18"/>
          <w:szCs w:val="18"/>
        </w:rPr>
        <w:t>rately</w:t>
      </w:r>
      <w:r w:rsidRPr="0042579D">
        <w:rPr>
          <w:rFonts w:ascii="Cambria" w:eastAsia="Calibri" w:hAnsi="Cambria" w:cs="Calibri"/>
          <w:spacing w:val="-7"/>
          <w:sz w:val="18"/>
          <w:szCs w:val="18"/>
        </w:rPr>
        <w:t xml:space="preserve"> </w:t>
      </w:r>
      <w:r w:rsidRPr="0042579D">
        <w:rPr>
          <w:rFonts w:ascii="Cambria" w:eastAsia="Calibri" w:hAnsi="Cambria" w:cs="Calibri"/>
          <w:sz w:val="18"/>
          <w:szCs w:val="18"/>
        </w:rPr>
        <w:t>in</w:t>
      </w:r>
      <w:r w:rsidRPr="0042579D">
        <w:rPr>
          <w:rFonts w:ascii="Cambria" w:eastAsia="Calibri" w:hAnsi="Cambria" w:cs="Calibri"/>
          <w:spacing w:val="-2"/>
          <w:sz w:val="18"/>
          <w:szCs w:val="18"/>
        </w:rPr>
        <w:t xml:space="preserve"> </w:t>
      </w:r>
      <w:r w:rsidRPr="0042579D">
        <w:rPr>
          <w:rFonts w:ascii="Cambria" w:eastAsia="Calibri" w:hAnsi="Cambria" w:cs="Calibri"/>
          <w:spacing w:val="1"/>
          <w:sz w:val="18"/>
          <w:szCs w:val="18"/>
        </w:rPr>
        <w:t>th</w:t>
      </w:r>
      <w:r w:rsidRPr="0042579D">
        <w:rPr>
          <w:rFonts w:ascii="Cambria" w:eastAsia="Calibri" w:hAnsi="Cambria" w:cs="Calibri"/>
          <w:sz w:val="18"/>
          <w:szCs w:val="18"/>
        </w:rPr>
        <w:t>e</w:t>
      </w:r>
      <w:r w:rsidRPr="0042579D">
        <w:rPr>
          <w:rFonts w:ascii="Cambria" w:eastAsia="Calibri" w:hAnsi="Cambria" w:cs="Calibri"/>
          <w:spacing w:val="-4"/>
          <w:sz w:val="18"/>
          <w:szCs w:val="18"/>
        </w:rPr>
        <w:t xml:space="preserve"> </w:t>
      </w:r>
      <w:r w:rsidRPr="0042579D">
        <w:rPr>
          <w:rFonts w:ascii="Cambria" w:eastAsia="Calibri" w:hAnsi="Cambria" w:cs="Calibri"/>
          <w:sz w:val="18"/>
          <w:szCs w:val="18"/>
        </w:rPr>
        <w:t>way</w:t>
      </w:r>
      <w:r w:rsidRPr="0042579D">
        <w:rPr>
          <w:rFonts w:ascii="Cambria" w:eastAsia="Calibri" w:hAnsi="Cambria" w:cs="Calibri"/>
          <w:spacing w:val="-2"/>
          <w:sz w:val="18"/>
          <w:szCs w:val="18"/>
        </w:rPr>
        <w:t xml:space="preserve"> </w:t>
      </w:r>
      <w:r w:rsidRPr="0042579D">
        <w:rPr>
          <w:rFonts w:ascii="Cambria" w:eastAsia="Calibri" w:hAnsi="Cambria" w:cs="Calibri"/>
          <w:spacing w:val="1"/>
          <w:sz w:val="18"/>
          <w:szCs w:val="18"/>
        </w:rPr>
        <w:t>o</w:t>
      </w:r>
      <w:r w:rsidRPr="0042579D">
        <w:rPr>
          <w:rFonts w:ascii="Cambria" w:eastAsia="Calibri" w:hAnsi="Cambria" w:cs="Calibri"/>
          <w:sz w:val="18"/>
          <w:szCs w:val="18"/>
        </w:rPr>
        <w:t>f</w:t>
      </w:r>
      <w:r w:rsidRPr="0042579D">
        <w:rPr>
          <w:rFonts w:ascii="Cambria" w:eastAsia="Calibri" w:hAnsi="Cambria" w:cs="Calibri"/>
          <w:spacing w:val="-3"/>
          <w:sz w:val="18"/>
          <w:szCs w:val="18"/>
        </w:rPr>
        <w:t xml:space="preserve"> </w:t>
      </w:r>
      <w:r w:rsidRPr="0042579D">
        <w:rPr>
          <w:rFonts w:ascii="Cambria" w:eastAsia="Calibri" w:hAnsi="Cambria" w:cs="Calibri"/>
          <w:sz w:val="18"/>
          <w:szCs w:val="18"/>
        </w:rPr>
        <w:t>Go</w:t>
      </w:r>
      <w:r w:rsidRPr="0042579D">
        <w:rPr>
          <w:rFonts w:ascii="Cambria" w:eastAsia="Calibri" w:hAnsi="Cambria" w:cs="Calibri"/>
          <w:spacing w:val="1"/>
          <w:sz w:val="18"/>
          <w:szCs w:val="18"/>
        </w:rPr>
        <w:t>d</w:t>
      </w:r>
      <w:r w:rsidRPr="0042579D">
        <w:rPr>
          <w:rFonts w:ascii="Cambria" w:eastAsia="Calibri" w:hAnsi="Cambria" w:cs="Calibri"/>
          <w:sz w:val="18"/>
          <w:szCs w:val="18"/>
        </w:rPr>
        <w:t>.</w:t>
      </w:r>
      <w:r w:rsidRPr="0042579D">
        <w:rPr>
          <w:rFonts w:ascii="Cambria" w:eastAsia="Calibri" w:hAnsi="Cambria" w:cs="Calibri"/>
          <w:spacing w:val="-4"/>
          <w:sz w:val="18"/>
          <w:szCs w:val="18"/>
        </w:rPr>
        <w:t xml:space="preserve"> </w:t>
      </w:r>
      <w:r w:rsidRPr="0042579D">
        <w:rPr>
          <w:rFonts w:ascii="Cambria" w:eastAsia="Calibri" w:hAnsi="Cambria" w:cs="Calibri"/>
          <w:sz w:val="18"/>
          <w:szCs w:val="18"/>
        </w:rPr>
        <w:t>It</w:t>
      </w:r>
      <w:r w:rsidRPr="0042579D">
        <w:rPr>
          <w:rFonts w:ascii="Cambria" w:eastAsia="Calibri" w:hAnsi="Cambria" w:cs="Calibri"/>
          <w:spacing w:val="-1"/>
          <w:sz w:val="18"/>
          <w:szCs w:val="18"/>
        </w:rPr>
        <w:t xml:space="preserve"> </w:t>
      </w:r>
      <w:r w:rsidRPr="0042579D">
        <w:rPr>
          <w:rFonts w:ascii="Cambria" w:eastAsia="Calibri" w:hAnsi="Cambria" w:cs="Calibri"/>
          <w:sz w:val="18"/>
          <w:szCs w:val="18"/>
        </w:rPr>
        <w:t>is</w:t>
      </w:r>
      <w:r w:rsidRPr="0042579D">
        <w:rPr>
          <w:rFonts w:ascii="Cambria" w:eastAsia="Calibri" w:hAnsi="Cambria" w:cs="Calibri"/>
          <w:spacing w:val="-2"/>
          <w:sz w:val="18"/>
          <w:szCs w:val="18"/>
        </w:rPr>
        <w:t xml:space="preserve"> </w:t>
      </w:r>
      <w:r w:rsidRPr="0042579D">
        <w:rPr>
          <w:rFonts w:ascii="Cambria" w:eastAsia="Calibri" w:hAnsi="Cambria" w:cs="Calibri"/>
          <w:spacing w:val="1"/>
          <w:sz w:val="18"/>
          <w:szCs w:val="18"/>
        </w:rPr>
        <w:t>qu</w:t>
      </w:r>
      <w:r w:rsidRPr="0042579D">
        <w:rPr>
          <w:rFonts w:ascii="Cambria" w:eastAsia="Calibri" w:hAnsi="Cambria" w:cs="Calibri"/>
          <w:sz w:val="18"/>
          <w:szCs w:val="18"/>
        </w:rPr>
        <w:t>ite</w:t>
      </w:r>
      <w:r w:rsidRPr="0042579D">
        <w:rPr>
          <w:rFonts w:ascii="Cambria" w:eastAsia="Calibri" w:hAnsi="Cambria" w:cs="Calibri"/>
          <w:spacing w:val="-4"/>
          <w:sz w:val="18"/>
          <w:szCs w:val="18"/>
        </w:rPr>
        <w:t xml:space="preserve"> </w:t>
      </w:r>
      <w:r w:rsidRPr="0042579D">
        <w:rPr>
          <w:rFonts w:ascii="Cambria" w:eastAsia="Calibri" w:hAnsi="Cambria" w:cs="Calibri"/>
          <w:sz w:val="18"/>
          <w:szCs w:val="18"/>
        </w:rPr>
        <w:t>a</w:t>
      </w:r>
      <w:r w:rsidRPr="0042579D">
        <w:rPr>
          <w:rFonts w:ascii="Cambria" w:eastAsia="Calibri" w:hAnsi="Cambria" w:cs="Calibri"/>
          <w:spacing w:val="-1"/>
          <w:sz w:val="18"/>
          <w:szCs w:val="18"/>
        </w:rPr>
        <w:t xml:space="preserve"> </w:t>
      </w:r>
      <w:r w:rsidRPr="0042579D">
        <w:rPr>
          <w:rFonts w:ascii="Cambria" w:eastAsia="Calibri" w:hAnsi="Cambria" w:cs="Calibri"/>
          <w:sz w:val="18"/>
          <w:szCs w:val="18"/>
        </w:rPr>
        <w:t>str</w:t>
      </w:r>
      <w:r w:rsidRPr="0042579D">
        <w:rPr>
          <w:rFonts w:ascii="Cambria" w:eastAsia="Calibri" w:hAnsi="Cambria" w:cs="Calibri"/>
          <w:spacing w:val="-1"/>
          <w:sz w:val="18"/>
          <w:szCs w:val="18"/>
        </w:rPr>
        <w:t>e</w:t>
      </w:r>
      <w:r w:rsidRPr="0042579D">
        <w:rPr>
          <w:rFonts w:ascii="Cambria" w:eastAsia="Calibri" w:hAnsi="Cambria" w:cs="Calibri"/>
          <w:sz w:val="18"/>
          <w:szCs w:val="18"/>
        </w:rPr>
        <w:t>tch</w:t>
      </w:r>
      <w:r w:rsidRPr="0042579D">
        <w:rPr>
          <w:rFonts w:ascii="Cambria" w:eastAsia="Calibri" w:hAnsi="Cambria" w:cs="Calibri"/>
          <w:spacing w:val="-5"/>
          <w:sz w:val="18"/>
          <w:szCs w:val="18"/>
        </w:rPr>
        <w:t xml:space="preserve"> </w:t>
      </w:r>
      <w:r w:rsidRPr="0042579D">
        <w:rPr>
          <w:rFonts w:ascii="Cambria" w:eastAsia="Calibri" w:hAnsi="Cambria" w:cs="Calibri"/>
          <w:spacing w:val="1"/>
          <w:sz w:val="18"/>
          <w:szCs w:val="18"/>
        </w:rPr>
        <w:t>t</w:t>
      </w:r>
      <w:r w:rsidRPr="0042579D">
        <w:rPr>
          <w:rFonts w:ascii="Cambria" w:eastAsia="Calibri" w:hAnsi="Cambria" w:cs="Calibri"/>
          <w:sz w:val="18"/>
          <w:szCs w:val="18"/>
        </w:rPr>
        <w:t>o</w:t>
      </w:r>
      <w:r w:rsidRPr="0042579D">
        <w:rPr>
          <w:rFonts w:ascii="Cambria" w:eastAsia="Calibri" w:hAnsi="Cambria" w:cs="Calibri"/>
          <w:spacing w:val="-2"/>
          <w:sz w:val="18"/>
          <w:szCs w:val="18"/>
        </w:rPr>
        <w:t xml:space="preserve"> </w:t>
      </w:r>
      <w:r w:rsidRPr="0042579D">
        <w:rPr>
          <w:rFonts w:ascii="Cambria" w:eastAsia="Calibri" w:hAnsi="Cambria" w:cs="Calibri"/>
          <w:sz w:val="18"/>
          <w:szCs w:val="18"/>
        </w:rPr>
        <w:t>c</w:t>
      </w:r>
      <w:r w:rsidRPr="0042579D">
        <w:rPr>
          <w:rFonts w:ascii="Cambria" w:eastAsia="Calibri" w:hAnsi="Cambria" w:cs="Calibri"/>
          <w:spacing w:val="1"/>
          <w:sz w:val="18"/>
          <w:szCs w:val="18"/>
        </w:rPr>
        <w:t>on</w:t>
      </w:r>
      <w:r w:rsidRPr="0042579D">
        <w:rPr>
          <w:rFonts w:ascii="Cambria" w:eastAsia="Calibri" w:hAnsi="Cambria" w:cs="Calibri"/>
          <w:sz w:val="18"/>
          <w:szCs w:val="18"/>
        </w:rPr>
        <w:t>clu</w:t>
      </w:r>
      <w:r w:rsidRPr="0042579D">
        <w:rPr>
          <w:rFonts w:ascii="Cambria" w:eastAsia="Calibri" w:hAnsi="Cambria" w:cs="Calibri"/>
          <w:spacing w:val="1"/>
          <w:sz w:val="18"/>
          <w:szCs w:val="18"/>
        </w:rPr>
        <w:t>d</w:t>
      </w:r>
      <w:r w:rsidRPr="0042579D">
        <w:rPr>
          <w:rFonts w:ascii="Cambria" w:eastAsia="Calibri" w:hAnsi="Cambria" w:cs="Calibri"/>
          <w:sz w:val="18"/>
          <w:szCs w:val="18"/>
        </w:rPr>
        <w:t>e</w:t>
      </w:r>
      <w:r w:rsidRPr="0042579D">
        <w:rPr>
          <w:rFonts w:ascii="Cambria" w:eastAsia="Calibri" w:hAnsi="Cambria" w:cs="Calibri"/>
          <w:spacing w:val="-8"/>
          <w:sz w:val="18"/>
          <w:szCs w:val="18"/>
        </w:rPr>
        <w:t xml:space="preserve"> </w:t>
      </w:r>
      <w:r w:rsidRPr="0042579D">
        <w:rPr>
          <w:rFonts w:ascii="Cambria" w:eastAsia="Calibri" w:hAnsi="Cambria" w:cs="Calibri"/>
          <w:sz w:val="18"/>
          <w:szCs w:val="18"/>
        </w:rPr>
        <w:t>from</w:t>
      </w:r>
      <w:r w:rsidRPr="0042579D">
        <w:rPr>
          <w:rFonts w:ascii="Cambria" w:eastAsia="Calibri" w:hAnsi="Cambria" w:cs="Calibri"/>
          <w:spacing w:val="-4"/>
          <w:sz w:val="18"/>
          <w:szCs w:val="18"/>
        </w:rPr>
        <w:t xml:space="preserve"> </w:t>
      </w:r>
      <w:r w:rsidRPr="0042579D">
        <w:rPr>
          <w:rFonts w:ascii="Cambria" w:eastAsia="Calibri" w:hAnsi="Cambria" w:cs="Calibri"/>
          <w:spacing w:val="1"/>
          <w:sz w:val="18"/>
          <w:szCs w:val="18"/>
        </w:rPr>
        <w:t>th</w:t>
      </w:r>
      <w:r w:rsidRPr="0042579D">
        <w:rPr>
          <w:rFonts w:ascii="Cambria" w:eastAsia="Calibri" w:hAnsi="Cambria" w:cs="Calibri"/>
          <w:spacing w:val="2"/>
          <w:sz w:val="18"/>
          <w:szCs w:val="18"/>
        </w:rPr>
        <w:t>i</w:t>
      </w:r>
      <w:r w:rsidRPr="0042579D">
        <w:rPr>
          <w:rFonts w:ascii="Cambria" w:eastAsia="Calibri" w:hAnsi="Cambria" w:cs="Calibri"/>
          <w:sz w:val="18"/>
          <w:szCs w:val="18"/>
        </w:rPr>
        <w:t>s</w:t>
      </w:r>
      <w:r w:rsidRPr="0042579D">
        <w:rPr>
          <w:rFonts w:ascii="Cambria" w:eastAsia="Calibri" w:hAnsi="Cambria" w:cs="Calibri"/>
          <w:spacing w:val="-4"/>
          <w:sz w:val="18"/>
          <w:szCs w:val="18"/>
        </w:rPr>
        <w:t xml:space="preserve"> </w:t>
      </w:r>
      <w:r w:rsidRPr="0042579D">
        <w:rPr>
          <w:rFonts w:ascii="Cambria" w:eastAsia="Calibri" w:hAnsi="Cambria" w:cs="Calibri"/>
          <w:spacing w:val="1"/>
          <w:sz w:val="18"/>
          <w:szCs w:val="18"/>
        </w:rPr>
        <w:t>th</w:t>
      </w:r>
      <w:r w:rsidRPr="0042579D">
        <w:rPr>
          <w:rFonts w:ascii="Cambria" w:eastAsia="Calibri" w:hAnsi="Cambria" w:cs="Calibri"/>
          <w:sz w:val="18"/>
          <w:szCs w:val="18"/>
        </w:rPr>
        <w:t>at</w:t>
      </w:r>
      <w:r w:rsidRPr="0042579D">
        <w:rPr>
          <w:rFonts w:ascii="Cambria" w:eastAsia="Calibri" w:hAnsi="Cambria" w:cs="Calibri"/>
          <w:spacing w:val="-2"/>
          <w:sz w:val="18"/>
          <w:szCs w:val="18"/>
        </w:rPr>
        <w:t xml:space="preserve"> </w:t>
      </w:r>
      <w:r w:rsidRPr="0042579D">
        <w:rPr>
          <w:rFonts w:ascii="Cambria" w:eastAsia="Calibri" w:hAnsi="Cambria" w:cs="Calibri"/>
          <w:sz w:val="18"/>
          <w:szCs w:val="18"/>
        </w:rPr>
        <w:t>she</w:t>
      </w:r>
      <w:r w:rsidRPr="0042579D">
        <w:rPr>
          <w:rFonts w:ascii="Cambria" w:eastAsia="Calibri" w:hAnsi="Cambria" w:cs="Calibri"/>
          <w:spacing w:val="-3"/>
          <w:sz w:val="18"/>
          <w:szCs w:val="18"/>
        </w:rPr>
        <w:t xml:space="preserve"> </w:t>
      </w:r>
      <w:r w:rsidRPr="0042579D">
        <w:rPr>
          <w:rFonts w:ascii="Cambria" w:eastAsia="Calibri" w:hAnsi="Cambria" w:cs="Calibri"/>
          <w:sz w:val="18"/>
          <w:szCs w:val="18"/>
        </w:rPr>
        <w:t>w</w:t>
      </w:r>
      <w:r w:rsidRPr="0042579D">
        <w:rPr>
          <w:rFonts w:ascii="Cambria" w:eastAsia="Calibri" w:hAnsi="Cambria" w:cs="Calibri"/>
          <w:spacing w:val="2"/>
          <w:sz w:val="18"/>
          <w:szCs w:val="18"/>
        </w:rPr>
        <w:t>a</w:t>
      </w:r>
      <w:r w:rsidRPr="0042579D">
        <w:rPr>
          <w:rFonts w:ascii="Cambria" w:eastAsia="Calibri" w:hAnsi="Cambria" w:cs="Calibri"/>
          <w:sz w:val="18"/>
          <w:szCs w:val="18"/>
        </w:rPr>
        <w:t>s</w:t>
      </w:r>
      <w:r w:rsidRPr="0042579D">
        <w:rPr>
          <w:rFonts w:ascii="Cambria" w:eastAsia="Calibri" w:hAnsi="Cambria" w:cs="Calibri"/>
          <w:spacing w:val="-4"/>
          <w:sz w:val="18"/>
          <w:szCs w:val="18"/>
        </w:rPr>
        <w:t xml:space="preserve"> </w:t>
      </w:r>
      <w:r w:rsidRPr="0042579D">
        <w:rPr>
          <w:rFonts w:ascii="Cambria" w:eastAsia="Calibri" w:hAnsi="Cambria" w:cs="Calibri"/>
          <w:sz w:val="18"/>
          <w:szCs w:val="18"/>
        </w:rPr>
        <w:t>r</w:t>
      </w:r>
      <w:r w:rsidRPr="0042579D">
        <w:rPr>
          <w:rFonts w:ascii="Cambria" w:eastAsia="Calibri" w:hAnsi="Cambria" w:cs="Calibri"/>
          <w:spacing w:val="-1"/>
          <w:sz w:val="18"/>
          <w:szCs w:val="18"/>
        </w:rPr>
        <w:t>e</w:t>
      </w:r>
      <w:r w:rsidRPr="0042579D">
        <w:rPr>
          <w:rFonts w:ascii="Cambria" w:eastAsia="Calibri" w:hAnsi="Cambria" w:cs="Calibri"/>
          <w:sz w:val="18"/>
          <w:szCs w:val="18"/>
        </w:rPr>
        <w:t>ga</w:t>
      </w:r>
      <w:r w:rsidRPr="0042579D">
        <w:rPr>
          <w:rFonts w:ascii="Cambria" w:eastAsia="Calibri" w:hAnsi="Cambria" w:cs="Calibri"/>
          <w:spacing w:val="3"/>
          <w:sz w:val="18"/>
          <w:szCs w:val="18"/>
        </w:rPr>
        <w:t>r</w:t>
      </w:r>
      <w:r w:rsidRPr="0042579D">
        <w:rPr>
          <w:rFonts w:ascii="Cambria" w:eastAsia="Calibri" w:hAnsi="Cambria" w:cs="Calibri"/>
          <w:spacing w:val="1"/>
          <w:sz w:val="18"/>
          <w:szCs w:val="18"/>
        </w:rPr>
        <w:t>d</w:t>
      </w:r>
      <w:r w:rsidRPr="0042579D">
        <w:rPr>
          <w:rFonts w:ascii="Cambria" w:eastAsia="Calibri" w:hAnsi="Cambria" w:cs="Calibri"/>
          <w:spacing w:val="-1"/>
          <w:sz w:val="18"/>
          <w:szCs w:val="18"/>
        </w:rPr>
        <w:t>e</w:t>
      </w:r>
      <w:r w:rsidRPr="0042579D">
        <w:rPr>
          <w:rFonts w:ascii="Cambria" w:eastAsia="Calibri" w:hAnsi="Cambria" w:cs="Calibri"/>
          <w:sz w:val="18"/>
          <w:szCs w:val="18"/>
        </w:rPr>
        <w:t>d</w:t>
      </w:r>
      <w:r w:rsidRPr="0042579D">
        <w:rPr>
          <w:rFonts w:ascii="Cambria" w:eastAsia="Calibri" w:hAnsi="Cambria" w:cs="Calibri"/>
          <w:spacing w:val="-6"/>
          <w:sz w:val="18"/>
          <w:szCs w:val="18"/>
        </w:rPr>
        <w:t xml:space="preserve"> </w:t>
      </w:r>
      <w:r w:rsidRPr="0042579D">
        <w:rPr>
          <w:rFonts w:ascii="Cambria" w:eastAsia="Calibri" w:hAnsi="Cambria" w:cs="Calibri"/>
          <w:spacing w:val="1"/>
          <w:sz w:val="18"/>
          <w:szCs w:val="18"/>
        </w:rPr>
        <w:t>a</w:t>
      </w:r>
      <w:r w:rsidRPr="0042579D">
        <w:rPr>
          <w:rFonts w:ascii="Cambria" w:eastAsia="Calibri" w:hAnsi="Cambria" w:cs="Calibri"/>
          <w:sz w:val="18"/>
          <w:szCs w:val="18"/>
        </w:rPr>
        <w:t>s</w:t>
      </w:r>
      <w:r w:rsidRPr="0042579D">
        <w:rPr>
          <w:rFonts w:ascii="Cambria" w:eastAsia="Calibri" w:hAnsi="Cambria" w:cs="Calibri"/>
          <w:spacing w:val="-3"/>
          <w:sz w:val="18"/>
          <w:szCs w:val="18"/>
        </w:rPr>
        <w:t xml:space="preserve"> </w:t>
      </w:r>
      <w:r w:rsidRPr="0042579D">
        <w:rPr>
          <w:rFonts w:ascii="Cambria" w:eastAsia="Calibri" w:hAnsi="Cambria" w:cs="Calibri"/>
          <w:sz w:val="18"/>
          <w:szCs w:val="18"/>
        </w:rPr>
        <w:t xml:space="preserve">a </w:t>
      </w:r>
      <w:r w:rsidRPr="0042579D">
        <w:rPr>
          <w:rFonts w:ascii="Cambria" w:eastAsia="Calibri" w:hAnsi="Cambria" w:cs="Calibri"/>
          <w:spacing w:val="1"/>
          <w:sz w:val="18"/>
          <w:szCs w:val="18"/>
        </w:rPr>
        <w:t>t</w:t>
      </w:r>
      <w:r w:rsidRPr="0042579D">
        <w:rPr>
          <w:rFonts w:ascii="Cambria" w:eastAsia="Calibri" w:hAnsi="Cambria" w:cs="Calibri"/>
          <w:spacing w:val="-1"/>
          <w:sz w:val="18"/>
          <w:szCs w:val="18"/>
        </w:rPr>
        <w:t>e</w:t>
      </w:r>
      <w:r w:rsidRPr="0042579D">
        <w:rPr>
          <w:rFonts w:ascii="Cambria" w:eastAsia="Calibri" w:hAnsi="Cambria" w:cs="Calibri"/>
          <w:sz w:val="18"/>
          <w:szCs w:val="18"/>
        </w:rPr>
        <w:t>ac</w:t>
      </w:r>
      <w:r w:rsidRPr="0042579D">
        <w:rPr>
          <w:rFonts w:ascii="Cambria" w:eastAsia="Calibri" w:hAnsi="Cambria" w:cs="Calibri"/>
          <w:spacing w:val="1"/>
          <w:sz w:val="18"/>
          <w:szCs w:val="18"/>
        </w:rPr>
        <w:t>h</w:t>
      </w:r>
      <w:r w:rsidRPr="0042579D">
        <w:rPr>
          <w:rFonts w:ascii="Cambria" w:eastAsia="Calibri" w:hAnsi="Cambria" w:cs="Calibri"/>
          <w:spacing w:val="-1"/>
          <w:sz w:val="18"/>
          <w:szCs w:val="18"/>
        </w:rPr>
        <w:t>e</w:t>
      </w:r>
      <w:r w:rsidRPr="0042579D">
        <w:rPr>
          <w:rFonts w:ascii="Cambria" w:eastAsia="Calibri" w:hAnsi="Cambria" w:cs="Calibri"/>
          <w:sz w:val="18"/>
          <w:szCs w:val="18"/>
        </w:rPr>
        <w:t>r</w:t>
      </w:r>
      <w:r w:rsidRPr="0042579D">
        <w:rPr>
          <w:rFonts w:ascii="Cambria" w:eastAsia="Calibri" w:hAnsi="Cambria" w:cs="Calibri"/>
          <w:spacing w:val="-6"/>
          <w:sz w:val="18"/>
          <w:szCs w:val="18"/>
        </w:rPr>
        <w:t xml:space="preserve"> </w:t>
      </w:r>
      <w:r w:rsidRPr="0042579D">
        <w:rPr>
          <w:rFonts w:ascii="Cambria" w:eastAsia="Calibri" w:hAnsi="Cambria" w:cs="Calibri"/>
          <w:sz w:val="18"/>
          <w:szCs w:val="18"/>
        </w:rPr>
        <w:t>to</w:t>
      </w:r>
      <w:r w:rsidRPr="0042579D">
        <w:rPr>
          <w:rFonts w:ascii="Cambria" w:eastAsia="Calibri" w:hAnsi="Cambria" w:cs="Calibri"/>
          <w:spacing w:val="-1"/>
          <w:sz w:val="18"/>
          <w:szCs w:val="18"/>
        </w:rPr>
        <w:t xml:space="preserve"> </w:t>
      </w:r>
      <w:r w:rsidRPr="0042579D">
        <w:rPr>
          <w:rFonts w:ascii="Cambria" w:eastAsia="Calibri" w:hAnsi="Cambria" w:cs="Calibri"/>
          <w:spacing w:val="1"/>
          <w:sz w:val="18"/>
          <w:szCs w:val="18"/>
        </w:rPr>
        <w:t>th</w:t>
      </w:r>
      <w:r w:rsidRPr="0042579D">
        <w:rPr>
          <w:rFonts w:ascii="Cambria" w:eastAsia="Calibri" w:hAnsi="Cambria" w:cs="Calibri"/>
          <w:sz w:val="18"/>
          <w:szCs w:val="18"/>
        </w:rPr>
        <w:t>e</w:t>
      </w:r>
      <w:r w:rsidRPr="0042579D">
        <w:rPr>
          <w:rFonts w:ascii="Cambria" w:eastAsia="Calibri" w:hAnsi="Cambria" w:cs="Calibri"/>
          <w:spacing w:val="-4"/>
          <w:sz w:val="18"/>
          <w:szCs w:val="18"/>
        </w:rPr>
        <w:t xml:space="preserve"> </w:t>
      </w:r>
      <w:r w:rsidRPr="0042579D">
        <w:rPr>
          <w:rFonts w:ascii="Cambria" w:eastAsia="Calibri" w:hAnsi="Cambria" w:cs="Calibri"/>
          <w:sz w:val="18"/>
          <w:szCs w:val="18"/>
        </w:rPr>
        <w:t>c</w:t>
      </w:r>
      <w:r w:rsidRPr="0042579D">
        <w:rPr>
          <w:rFonts w:ascii="Cambria" w:eastAsia="Calibri" w:hAnsi="Cambria" w:cs="Calibri"/>
          <w:spacing w:val="1"/>
          <w:sz w:val="18"/>
          <w:szCs w:val="18"/>
        </w:rPr>
        <w:t>hu</w:t>
      </w:r>
      <w:r w:rsidRPr="0042579D">
        <w:rPr>
          <w:rFonts w:ascii="Cambria" w:eastAsia="Calibri" w:hAnsi="Cambria" w:cs="Calibri"/>
          <w:sz w:val="18"/>
          <w:szCs w:val="18"/>
        </w:rPr>
        <w:t>r</w:t>
      </w:r>
      <w:r w:rsidRPr="0042579D">
        <w:rPr>
          <w:rFonts w:ascii="Cambria" w:eastAsia="Calibri" w:hAnsi="Cambria" w:cs="Calibri"/>
          <w:spacing w:val="2"/>
          <w:sz w:val="18"/>
          <w:szCs w:val="18"/>
        </w:rPr>
        <w:t>c</w:t>
      </w:r>
      <w:r w:rsidRPr="0042579D">
        <w:rPr>
          <w:rFonts w:ascii="Cambria" w:eastAsia="Calibri" w:hAnsi="Cambria" w:cs="Calibri"/>
          <w:sz w:val="18"/>
          <w:szCs w:val="18"/>
        </w:rPr>
        <w:t>h</w:t>
      </w:r>
      <w:r w:rsidRPr="0042579D">
        <w:rPr>
          <w:rFonts w:ascii="Cambria" w:eastAsia="Calibri" w:hAnsi="Cambria" w:cs="Calibri"/>
          <w:spacing w:val="-5"/>
          <w:sz w:val="18"/>
          <w:szCs w:val="18"/>
        </w:rPr>
        <w:t xml:space="preserve"> </w:t>
      </w:r>
      <w:r w:rsidRPr="0042579D">
        <w:rPr>
          <w:rFonts w:ascii="Cambria" w:eastAsia="Calibri" w:hAnsi="Cambria" w:cs="Calibri"/>
          <w:spacing w:val="1"/>
          <w:sz w:val="18"/>
          <w:szCs w:val="18"/>
        </w:rPr>
        <w:t>a</w:t>
      </w:r>
      <w:r w:rsidRPr="0042579D">
        <w:rPr>
          <w:rFonts w:ascii="Cambria" w:eastAsia="Calibri" w:hAnsi="Cambria" w:cs="Calibri"/>
          <w:sz w:val="18"/>
          <w:szCs w:val="18"/>
        </w:rPr>
        <w:t>s</w:t>
      </w:r>
      <w:r w:rsidRPr="0042579D">
        <w:rPr>
          <w:rFonts w:ascii="Cambria" w:eastAsia="Calibri" w:hAnsi="Cambria" w:cs="Calibri"/>
          <w:spacing w:val="9"/>
          <w:sz w:val="18"/>
          <w:szCs w:val="18"/>
        </w:rPr>
        <w:t xml:space="preserve"> </w:t>
      </w:r>
      <w:r w:rsidRPr="0042579D">
        <w:rPr>
          <w:rFonts w:ascii="Cambria" w:eastAsia="Calibri" w:hAnsi="Cambria" w:cs="Calibri"/>
          <w:sz w:val="18"/>
          <w:szCs w:val="18"/>
        </w:rPr>
        <w:t xml:space="preserve">a </w:t>
      </w:r>
      <w:r w:rsidRPr="0042579D">
        <w:rPr>
          <w:rFonts w:ascii="Cambria" w:eastAsia="Calibri" w:hAnsi="Cambria" w:cs="Calibri"/>
          <w:spacing w:val="-1"/>
          <w:sz w:val="18"/>
          <w:szCs w:val="18"/>
        </w:rPr>
        <w:t>w</w:t>
      </w:r>
      <w:r w:rsidRPr="0042579D">
        <w:rPr>
          <w:rFonts w:ascii="Cambria" w:eastAsia="Calibri" w:hAnsi="Cambria" w:cs="Calibri"/>
          <w:spacing w:val="1"/>
          <w:sz w:val="18"/>
          <w:szCs w:val="18"/>
        </w:rPr>
        <w:t>h</w:t>
      </w:r>
      <w:r w:rsidRPr="0042579D">
        <w:rPr>
          <w:rFonts w:ascii="Cambria" w:eastAsia="Calibri" w:hAnsi="Cambria" w:cs="Calibri"/>
          <w:sz w:val="18"/>
          <w:szCs w:val="18"/>
        </w:rPr>
        <w:t>ol</w:t>
      </w:r>
      <w:r w:rsidRPr="0042579D">
        <w:rPr>
          <w:rFonts w:ascii="Cambria" w:eastAsia="Calibri" w:hAnsi="Cambria" w:cs="Calibri"/>
          <w:spacing w:val="-1"/>
          <w:sz w:val="18"/>
          <w:szCs w:val="18"/>
        </w:rPr>
        <w:t>e</w:t>
      </w:r>
      <w:r w:rsidRPr="0042579D">
        <w:rPr>
          <w:rFonts w:ascii="Cambria" w:eastAsia="Calibri" w:hAnsi="Cambria" w:cs="Calibri"/>
          <w:sz w:val="18"/>
          <w:szCs w:val="18"/>
        </w:rPr>
        <w:t>.</w:t>
      </w:r>
    </w:p>
  </w:footnote>
  <w:footnote w:id="14">
    <w:p w14:paraId="1D952015" w14:textId="77777777" w:rsidR="004B03F8" w:rsidRPr="00417DA5" w:rsidRDefault="004B03F8" w:rsidP="00417DA5">
      <w:pPr>
        <w:spacing w:after="0" w:line="240" w:lineRule="auto"/>
        <w:ind w:right="-20"/>
        <w:rPr>
          <w:rFonts w:ascii="Cambria" w:hAnsi="Cambria"/>
          <w:sz w:val="18"/>
          <w:szCs w:val="18"/>
        </w:rPr>
      </w:pPr>
      <w:r w:rsidRPr="00417DA5">
        <w:rPr>
          <w:rStyle w:val="FootnoteReference"/>
          <w:rFonts w:ascii="Cambria" w:hAnsi="Cambria"/>
          <w:sz w:val="18"/>
          <w:szCs w:val="18"/>
        </w:rPr>
        <w:footnoteRef/>
      </w:r>
      <w:r w:rsidRPr="00417DA5">
        <w:rPr>
          <w:rFonts w:ascii="Cambria" w:hAnsi="Cambria"/>
          <w:sz w:val="18"/>
          <w:szCs w:val="18"/>
        </w:rPr>
        <w:t xml:space="preserve"> </w:t>
      </w:r>
      <w:r w:rsidRPr="00417DA5">
        <w:rPr>
          <w:rFonts w:ascii="Cambria" w:eastAsia="Calibri" w:hAnsi="Cambria" w:cs="Calibri"/>
          <w:sz w:val="18"/>
          <w:szCs w:val="18"/>
        </w:rPr>
        <w:t>In</w:t>
      </w:r>
      <w:r w:rsidRPr="00417DA5">
        <w:rPr>
          <w:rFonts w:ascii="Cambria" w:eastAsia="Calibri" w:hAnsi="Cambria" w:cs="Calibri"/>
          <w:spacing w:val="13"/>
          <w:sz w:val="18"/>
          <w:szCs w:val="18"/>
        </w:rPr>
        <w:t xml:space="preserve"> </w:t>
      </w:r>
      <w:r w:rsidRPr="00417DA5">
        <w:rPr>
          <w:rFonts w:ascii="Cambria" w:eastAsia="Calibri" w:hAnsi="Cambria" w:cs="Calibri"/>
          <w:sz w:val="18"/>
          <w:szCs w:val="18"/>
        </w:rPr>
        <w:t>1</w:t>
      </w:r>
      <w:r w:rsidRPr="00417DA5">
        <w:rPr>
          <w:rFonts w:ascii="Cambria" w:eastAsia="Calibri" w:hAnsi="Cambria" w:cs="Calibri"/>
          <w:spacing w:val="13"/>
          <w:sz w:val="18"/>
          <w:szCs w:val="18"/>
        </w:rPr>
        <w:t xml:space="preserve"> </w:t>
      </w:r>
      <w:r w:rsidRPr="00417DA5">
        <w:rPr>
          <w:rFonts w:ascii="Cambria" w:eastAsia="Calibri" w:hAnsi="Cambria" w:cs="Calibri"/>
          <w:spacing w:val="-1"/>
          <w:sz w:val="18"/>
          <w:szCs w:val="18"/>
        </w:rPr>
        <w:t>T</w:t>
      </w:r>
      <w:r w:rsidRPr="00417DA5">
        <w:rPr>
          <w:rFonts w:ascii="Cambria" w:eastAsia="Calibri" w:hAnsi="Cambria" w:cs="Calibri"/>
          <w:sz w:val="18"/>
          <w:szCs w:val="18"/>
        </w:rPr>
        <w:t>i</w:t>
      </w:r>
      <w:r w:rsidRPr="00417DA5">
        <w:rPr>
          <w:rFonts w:ascii="Cambria" w:eastAsia="Calibri" w:hAnsi="Cambria" w:cs="Calibri"/>
          <w:spacing w:val="-1"/>
          <w:sz w:val="18"/>
          <w:szCs w:val="18"/>
        </w:rPr>
        <w:t>m</w:t>
      </w:r>
      <w:r w:rsidRPr="00417DA5">
        <w:rPr>
          <w:rFonts w:ascii="Cambria" w:eastAsia="Calibri" w:hAnsi="Cambria" w:cs="Calibri"/>
          <w:sz w:val="18"/>
          <w:szCs w:val="18"/>
        </w:rPr>
        <w:t>ot</w:t>
      </w:r>
      <w:r w:rsidRPr="00417DA5">
        <w:rPr>
          <w:rFonts w:ascii="Cambria" w:eastAsia="Calibri" w:hAnsi="Cambria" w:cs="Calibri"/>
          <w:spacing w:val="1"/>
          <w:sz w:val="18"/>
          <w:szCs w:val="18"/>
        </w:rPr>
        <w:t>h</w:t>
      </w:r>
      <w:r w:rsidRPr="00417DA5">
        <w:rPr>
          <w:rFonts w:ascii="Cambria" w:eastAsia="Calibri" w:hAnsi="Cambria" w:cs="Calibri"/>
          <w:sz w:val="18"/>
          <w:szCs w:val="18"/>
        </w:rPr>
        <w:t>y</w:t>
      </w:r>
      <w:r w:rsidRPr="00417DA5">
        <w:rPr>
          <w:rFonts w:ascii="Cambria" w:eastAsia="Calibri" w:hAnsi="Cambria" w:cs="Calibri"/>
          <w:spacing w:val="8"/>
          <w:sz w:val="18"/>
          <w:szCs w:val="18"/>
        </w:rPr>
        <w:t xml:space="preserve"> </w:t>
      </w:r>
      <w:r w:rsidRPr="00417DA5">
        <w:rPr>
          <w:rFonts w:ascii="Cambria" w:eastAsia="Calibri" w:hAnsi="Cambria" w:cs="Calibri"/>
          <w:sz w:val="18"/>
          <w:szCs w:val="18"/>
        </w:rPr>
        <w:t>2</w:t>
      </w:r>
      <w:r w:rsidRPr="00417DA5">
        <w:rPr>
          <w:rFonts w:ascii="Cambria" w:eastAsia="Calibri" w:hAnsi="Cambria" w:cs="Calibri"/>
          <w:spacing w:val="13"/>
          <w:sz w:val="18"/>
          <w:szCs w:val="18"/>
        </w:rPr>
        <w:t xml:space="preserve"> </w:t>
      </w:r>
      <w:r w:rsidRPr="00417DA5">
        <w:rPr>
          <w:rFonts w:ascii="Cambria" w:eastAsia="Calibri" w:hAnsi="Cambria" w:cs="Calibri"/>
          <w:sz w:val="18"/>
          <w:szCs w:val="18"/>
        </w:rPr>
        <w:t>P</w:t>
      </w:r>
      <w:r w:rsidRPr="00417DA5">
        <w:rPr>
          <w:rFonts w:ascii="Cambria" w:eastAsia="Calibri" w:hAnsi="Cambria" w:cs="Calibri"/>
          <w:spacing w:val="1"/>
          <w:sz w:val="18"/>
          <w:szCs w:val="18"/>
        </w:rPr>
        <w:t>au</w:t>
      </w:r>
      <w:r w:rsidRPr="00417DA5">
        <w:rPr>
          <w:rFonts w:ascii="Cambria" w:eastAsia="Calibri" w:hAnsi="Cambria" w:cs="Calibri"/>
          <w:sz w:val="18"/>
          <w:szCs w:val="18"/>
        </w:rPr>
        <w:t>l</w:t>
      </w:r>
      <w:r w:rsidRPr="00417DA5">
        <w:rPr>
          <w:rFonts w:ascii="Cambria" w:eastAsia="Calibri" w:hAnsi="Cambria" w:cs="Calibri"/>
          <w:spacing w:val="10"/>
          <w:sz w:val="18"/>
          <w:szCs w:val="18"/>
        </w:rPr>
        <w:t xml:space="preserve"> </w:t>
      </w:r>
      <w:r w:rsidRPr="00417DA5">
        <w:rPr>
          <w:rFonts w:ascii="Cambria" w:eastAsia="Calibri" w:hAnsi="Cambria" w:cs="Calibri"/>
          <w:spacing w:val="-1"/>
          <w:sz w:val="18"/>
          <w:szCs w:val="18"/>
        </w:rPr>
        <w:t>s</w:t>
      </w:r>
      <w:r w:rsidRPr="00417DA5">
        <w:rPr>
          <w:rFonts w:ascii="Cambria" w:eastAsia="Calibri" w:hAnsi="Cambria" w:cs="Calibri"/>
          <w:sz w:val="18"/>
          <w:szCs w:val="18"/>
        </w:rPr>
        <w:t>a</w:t>
      </w:r>
      <w:r w:rsidRPr="00417DA5">
        <w:rPr>
          <w:rFonts w:ascii="Cambria" w:eastAsia="Calibri" w:hAnsi="Cambria" w:cs="Calibri"/>
          <w:spacing w:val="1"/>
          <w:sz w:val="18"/>
          <w:szCs w:val="18"/>
        </w:rPr>
        <w:t>y</w:t>
      </w:r>
      <w:r w:rsidRPr="00417DA5">
        <w:rPr>
          <w:rFonts w:ascii="Cambria" w:eastAsia="Calibri" w:hAnsi="Cambria" w:cs="Calibri"/>
          <w:sz w:val="18"/>
          <w:szCs w:val="18"/>
        </w:rPr>
        <w:t>s</w:t>
      </w:r>
      <w:r w:rsidRPr="00417DA5">
        <w:rPr>
          <w:rFonts w:ascii="Cambria" w:eastAsia="Calibri" w:hAnsi="Cambria" w:cs="Calibri"/>
          <w:spacing w:val="11"/>
          <w:sz w:val="18"/>
          <w:szCs w:val="18"/>
        </w:rPr>
        <w:t xml:space="preserve"> </w:t>
      </w:r>
      <w:r w:rsidRPr="00417DA5">
        <w:rPr>
          <w:rFonts w:ascii="Cambria" w:eastAsia="Calibri" w:hAnsi="Cambria" w:cs="Calibri"/>
          <w:spacing w:val="1"/>
          <w:sz w:val="18"/>
          <w:szCs w:val="18"/>
        </w:rPr>
        <w:t>n</w:t>
      </w:r>
      <w:r w:rsidRPr="00417DA5">
        <w:rPr>
          <w:rFonts w:ascii="Cambria" w:eastAsia="Calibri" w:hAnsi="Cambria" w:cs="Calibri"/>
          <w:sz w:val="18"/>
          <w:szCs w:val="18"/>
        </w:rPr>
        <w:t>o</w:t>
      </w:r>
      <w:r w:rsidRPr="00417DA5">
        <w:rPr>
          <w:rFonts w:ascii="Cambria" w:eastAsia="Calibri" w:hAnsi="Cambria" w:cs="Calibri"/>
          <w:spacing w:val="-2"/>
          <w:sz w:val="18"/>
          <w:szCs w:val="18"/>
        </w:rPr>
        <w:t>t</w:t>
      </w:r>
      <w:r w:rsidRPr="00417DA5">
        <w:rPr>
          <w:rFonts w:ascii="Cambria" w:eastAsia="Calibri" w:hAnsi="Cambria" w:cs="Calibri"/>
          <w:spacing w:val="1"/>
          <w:sz w:val="18"/>
          <w:szCs w:val="18"/>
        </w:rPr>
        <w:t>h</w:t>
      </w:r>
      <w:r w:rsidRPr="00417DA5">
        <w:rPr>
          <w:rFonts w:ascii="Cambria" w:eastAsia="Calibri" w:hAnsi="Cambria" w:cs="Calibri"/>
          <w:sz w:val="18"/>
          <w:szCs w:val="18"/>
        </w:rPr>
        <w:t>i</w:t>
      </w:r>
      <w:r w:rsidRPr="00417DA5">
        <w:rPr>
          <w:rFonts w:ascii="Cambria" w:eastAsia="Calibri" w:hAnsi="Cambria" w:cs="Calibri"/>
          <w:spacing w:val="1"/>
          <w:sz w:val="18"/>
          <w:szCs w:val="18"/>
        </w:rPr>
        <w:t>n</w:t>
      </w:r>
      <w:r w:rsidRPr="00417DA5">
        <w:rPr>
          <w:rFonts w:ascii="Cambria" w:eastAsia="Calibri" w:hAnsi="Cambria" w:cs="Calibri"/>
          <w:sz w:val="18"/>
          <w:szCs w:val="18"/>
        </w:rPr>
        <w:t>g</w:t>
      </w:r>
      <w:r w:rsidRPr="00417DA5">
        <w:rPr>
          <w:rFonts w:ascii="Cambria" w:eastAsia="Calibri" w:hAnsi="Cambria" w:cs="Calibri"/>
          <w:spacing w:val="13"/>
          <w:sz w:val="18"/>
          <w:szCs w:val="18"/>
        </w:rPr>
        <w:t xml:space="preserve"> </w:t>
      </w:r>
      <w:r w:rsidRPr="00417DA5">
        <w:rPr>
          <w:rFonts w:ascii="Cambria" w:eastAsia="Calibri" w:hAnsi="Cambria" w:cs="Calibri"/>
          <w:sz w:val="18"/>
          <w:szCs w:val="18"/>
        </w:rPr>
        <w:t>a</w:t>
      </w:r>
      <w:r w:rsidRPr="00417DA5">
        <w:rPr>
          <w:rFonts w:ascii="Cambria" w:eastAsia="Calibri" w:hAnsi="Cambria" w:cs="Calibri"/>
          <w:spacing w:val="1"/>
          <w:sz w:val="18"/>
          <w:szCs w:val="18"/>
        </w:rPr>
        <w:t>b</w:t>
      </w:r>
      <w:r w:rsidRPr="00417DA5">
        <w:rPr>
          <w:rFonts w:ascii="Cambria" w:eastAsia="Calibri" w:hAnsi="Cambria" w:cs="Calibri"/>
          <w:sz w:val="18"/>
          <w:szCs w:val="18"/>
        </w:rPr>
        <w:t>o</w:t>
      </w:r>
      <w:r w:rsidRPr="00417DA5">
        <w:rPr>
          <w:rFonts w:ascii="Cambria" w:eastAsia="Calibri" w:hAnsi="Cambria" w:cs="Calibri"/>
          <w:spacing w:val="1"/>
          <w:sz w:val="18"/>
          <w:szCs w:val="18"/>
        </w:rPr>
        <w:t>u</w:t>
      </w:r>
      <w:r w:rsidRPr="00417DA5">
        <w:rPr>
          <w:rFonts w:ascii="Cambria" w:eastAsia="Calibri" w:hAnsi="Cambria" w:cs="Calibri"/>
          <w:sz w:val="18"/>
          <w:szCs w:val="18"/>
        </w:rPr>
        <w:t>t</w:t>
      </w:r>
      <w:r w:rsidRPr="00417DA5">
        <w:rPr>
          <w:rFonts w:ascii="Cambria" w:eastAsia="Calibri" w:hAnsi="Cambria" w:cs="Calibri"/>
          <w:spacing w:val="8"/>
          <w:sz w:val="18"/>
          <w:szCs w:val="18"/>
        </w:rPr>
        <w:t xml:space="preserve"> </w:t>
      </w:r>
      <w:r w:rsidRPr="00417DA5">
        <w:rPr>
          <w:rFonts w:ascii="Cambria" w:eastAsia="Calibri" w:hAnsi="Cambria" w:cs="Calibri"/>
          <w:sz w:val="18"/>
          <w:szCs w:val="18"/>
        </w:rPr>
        <w:t>a</w:t>
      </w:r>
      <w:r w:rsidRPr="00417DA5">
        <w:rPr>
          <w:rFonts w:ascii="Cambria" w:eastAsia="Calibri" w:hAnsi="Cambria" w:cs="Calibri"/>
          <w:spacing w:val="1"/>
          <w:sz w:val="18"/>
          <w:szCs w:val="18"/>
        </w:rPr>
        <w:t>n</w:t>
      </w:r>
      <w:r w:rsidRPr="00417DA5">
        <w:rPr>
          <w:rFonts w:ascii="Cambria" w:eastAsia="Calibri" w:hAnsi="Cambria" w:cs="Calibri"/>
          <w:sz w:val="18"/>
          <w:szCs w:val="18"/>
        </w:rPr>
        <w:t>y</w:t>
      </w:r>
      <w:r w:rsidRPr="00417DA5">
        <w:rPr>
          <w:rFonts w:ascii="Cambria" w:eastAsia="Calibri" w:hAnsi="Cambria" w:cs="Calibri"/>
          <w:spacing w:val="10"/>
          <w:sz w:val="18"/>
          <w:szCs w:val="18"/>
        </w:rPr>
        <w:t xml:space="preserve"> </w:t>
      </w:r>
      <w:r w:rsidRPr="00417DA5">
        <w:rPr>
          <w:rFonts w:ascii="Cambria" w:eastAsia="Calibri" w:hAnsi="Cambria" w:cs="Calibri"/>
          <w:spacing w:val="1"/>
          <w:sz w:val="18"/>
          <w:szCs w:val="18"/>
        </w:rPr>
        <w:t>n</w:t>
      </w:r>
      <w:r w:rsidRPr="00417DA5">
        <w:rPr>
          <w:rFonts w:ascii="Cambria" w:eastAsia="Calibri" w:hAnsi="Cambria" w:cs="Calibri"/>
          <w:spacing w:val="-1"/>
          <w:sz w:val="18"/>
          <w:szCs w:val="18"/>
        </w:rPr>
        <w:t>ee</w:t>
      </w:r>
      <w:r w:rsidRPr="00417DA5">
        <w:rPr>
          <w:rFonts w:ascii="Cambria" w:eastAsia="Calibri" w:hAnsi="Cambria" w:cs="Calibri"/>
          <w:sz w:val="18"/>
          <w:szCs w:val="18"/>
        </w:rPr>
        <w:t>d</w:t>
      </w:r>
      <w:r w:rsidRPr="00417DA5">
        <w:rPr>
          <w:rFonts w:ascii="Cambria" w:eastAsia="Calibri" w:hAnsi="Cambria" w:cs="Calibri"/>
          <w:spacing w:val="11"/>
          <w:sz w:val="18"/>
          <w:szCs w:val="18"/>
        </w:rPr>
        <w:t xml:space="preserve"> </w:t>
      </w:r>
      <w:r w:rsidRPr="00417DA5">
        <w:rPr>
          <w:rFonts w:ascii="Cambria" w:eastAsia="Calibri" w:hAnsi="Cambria" w:cs="Calibri"/>
          <w:spacing w:val="-1"/>
          <w:sz w:val="18"/>
          <w:szCs w:val="18"/>
        </w:rPr>
        <w:t>f</w:t>
      </w:r>
      <w:r w:rsidRPr="00417DA5">
        <w:rPr>
          <w:rFonts w:ascii="Cambria" w:eastAsia="Calibri" w:hAnsi="Cambria" w:cs="Calibri"/>
          <w:sz w:val="18"/>
          <w:szCs w:val="18"/>
        </w:rPr>
        <w:t>or</w:t>
      </w:r>
      <w:r w:rsidRPr="00417DA5">
        <w:rPr>
          <w:rFonts w:ascii="Cambria" w:eastAsia="Calibri" w:hAnsi="Cambria" w:cs="Calibri"/>
          <w:spacing w:val="13"/>
          <w:sz w:val="18"/>
          <w:szCs w:val="18"/>
        </w:rPr>
        <w:t xml:space="preserve"> </w:t>
      </w:r>
      <w:r w:rsidRPr="00417DA5">
        <w:rPr>
          <w:rFonts w:ascii="Cambria" w:eastAsia="Calibri" w:hAnsi="Cambria" w:cs="Calibri"/>
          <w:sz w:val="18"/>
          <w:szCs w:val="18"/>
        </w:rPr>
        <w:t>c</w:t>
      </w:r>
      <w:r w:rsidRPr="00417DA5">
        <w:rPr>
          <w:rFonts w:ascii="Cambria" w:eastAsia="Calibri" w:hAnsi="Cambria" w:cs="Calibri"/>
          <w:spacing w:val="1"/>
          <w:sz w:val="18"/>
          <w:szCs w:val="18"/>
        </w:rPr>
        <w:t>u</w:t>
      </w:r>
      <w:r w:rsidRPr="00417DA5">
        <w:rPr>
          <w:rFonts w:ascii="Cambria" w:eastAsia="Calibri" w:hAnsi="Cambria" w:cs="Calibri"/>
          <w:sz w:val="18"/>
          <w:szCs w:val="18"/>
        </w:rPr>
        <w:t>lt</w:t>
      </w:r>
      <w:r w:rsidRPr="00417DA5">
        <w:rPr>
          <w:rFonts w:ascii="Cambria" w:eastAsia="Calibri" w:hAnsi="Cambria" w:cs="Calibri"/>
          <w:spacing w:val="1"/>
          <w:sz w:val="18"/>
          <w:szCs w:val="18"/>
        </w:rPr>
        <w:t>u</w:t>
      </w:r>
      <w:r w:rsidRPr="00417DA5">
        <w:rPr>
          <w:rFonts w:ascii="Cambria" w:eastAsia="Calibri" w:hAnsi="Cambria" w:cs="Calibri"/>
          <w:sz w:val="18"/>
          <w:szCs w:val="18"/>
        </w:rPr>
        <w:t>ral</w:t>
      </w:r>
      <w:r w:rsidRPr="00417DA5">
        <w:rPr>
          <w:rFonts w:ascii="Cambria" w:eastAsia="Calibri" w:hAnsi="Cambria" w:cs="Calibri"/>
          <w:spacing w:val="8"/>
          <w:sz w:val="18"/>
          <w:szCs w:val="18"/>
        </w:rPr>
        <w:t xml:space="preserve"> </w:t>
      </w:r>
      <w:r w:rsidRPr="00417DA5">
        <w:rPr>
          <w:rFonts w:ascii="Cambria" w:eastAsia="Calibri" w:hAnsi="Cambria" w:cs="Calibri"/>
          <w:spacing w:val="-1"/>
          <w:sz w:val="18"/>
          <w:szCs w:val="18"/>
        </w:rPr>
        <w:t>se</w:t>
      </w:r>
      <w:r w:rsidRPr="00417DA5">
        <w:rPr>
          <w:rFonts w:ascii="Cambria" w:eastAsia="Calibri" w:hAnsi="Cambria" w:cs="Calibri"/>
          <w:spacing w:val="1"/>
          <w:sz w:val="18"/>
          <w:szCs w:val="18"/>
        </w:rPr>
        <w:t>n</w:t>
      </w:r>
      <w:r w:rsidRPr="00417DA5">
        <w:rPr>
          <w:rFonts w:ascii="Cambria" w:eastAsia="Calibri" w:hAnsi="Cambria" w:cs="Calibri"/>
          <w:spacing w:val="-1"/>
          <w:sz w:val="18"/>
          <w:szCs w:val="18"/>
        </w:rPr>
        <w:t>s</w:t>
      </w:r>
      <w:r w:rsidRPr="00417DA5">
        <w:rPr>
          <w:rFonts w:ascii="Cambria" w:eastAsia="Calibri" w:hAnsi="Cambria" w:cs="Calibri"/>
          <w:sz w:val="18"/>
          <w:szCs w:val="18"/>
        </w:rPr>
        <w:t>it</w:t>
      </w:r>
      <w:r w:rsidRPr="00417DA5">
        <w:rPr>
          <w:rFonts w:ascii="Cambria" w:eastAsia="Calibri" w:hAnsi="Cambria" w:cs="Calibri"/>
          <w:spacing w:val="2"/>
          <w:sz w:val="18"/>
          <w:szCs w:val="18"/>
        </w:rPr>
        <w:t>i</w:t>
      </w:r>
      <w:r w:rsidRPr="00417DA5">
        <w:rPr>
          <w:rFonts w:ascii="Cambria" w:eastAsia="Calibri" w:hAnsi="Cambria" w:cs="Calibri"/>
          <w:spacing w:val="-1"/>
          <w:sz w:val="18"/>
          <w:szCs w:val="18"/>
        </w:rPr>
        <w:t>v</w:t>
      </w:r>
      <w:r w:rsidRPr="00417DA5">
        <w:rPr>
          <w:rFonts w:ascii="Cambria" w:eastAsia="Calibri" w:hAnsi="Cambria" w:cs="Calibri"/>
          <w:sz w:val="18"/>
          <w:szCs w:val="18"/>
        </w:rPr>
        <w:t>it</w:t>
      </w:r>
      <w:r w:rsidRPr="00417DA5">
        <w:rPr>
          <w:rFonts w:ascii="Cambria" w:eastAsia="Calibri" w:hAnsi="Cambria" w:cs="Calibri"/>
          <w:spacing w:val="1"/>
          <w:sz w:val="18"/>
          <w:szCs w:val="18"/>
        </w:rPr>
        <w:t>y</w:t>
      </w:r>
      <w:r w:rsidRPr="00417DA5">
        <w:rPr>
          <w:rFonts w:ascii="Cambria" w:eastAsia="Calibri" w:hAnsi="Cambria" w:cs="Calibri"/>
          <w:sz w:val="18"/>
          <w:szCs w:val="18"/>
        </w:rPr>
        <w:t>.</w:t>
      </w:r>
      <w:r w:rsidRPr="00417DA5">
        <w:rPr>
          <w:rFonts w:ascii="Cambria" w:eastAsia="Calibri" w:hAnsi="Cambria" w:cs="Calibri"/>
          <w:spacing w:val="6"/>
          <w:sz w:val="18"/>
          <w:szCs w:val="18"/>
        </w:rPr>
        <w:t xml:space="preserve"> </w:t>
      </w:r>
      <w:r w:rsidRPr="00417DA5">
        <w:rPr>
          <w:rFonts w:ascii="Cambria" w:eastAsia="Calibri" w:hAnsi="Cambria" w:cs="Calibri"/>
          <w:sz w:val="18"/>
          <w:szCs w:val="18"/>
        </w:rPr>
        <w:t>In</w:t>
      </w:r>
      <w:r w:rsidRPr="00417DA5">
        <w:rPr>
          <w:rFonts w:ascii="Cambria" w:eastAsia="Calibri" w:hAnsi="Cambria" w:cs="Calibri"/>
          <w:spacing w:val="14"/>
          <w:sz w:val="18"/>
          <w:szCs w:val="18"/>
        </w:rPr>
        <w:t xml:space="preserve"> </w:t>
      </w:r>
      <w:r w:rsidRPr="00417DA5">
        <w:rPr>
          <w:rFonts w:ascii="Cambria" w:eastAsia="Calibri" w:hAnsi="Cambria" w:cs="Calibri"/>
          <w:sz w:val="18"/>
          <w:szCs w:val="18"/>
        </w:rPr>
        <w:t>1</w:t>
      </w:r>
      <w:r w:rsidRPr="00417DA5">
        <w:rPr>
          <w:rFonts w:ascii="Cambria" w:eastAsia="Calibri" w:hAnsi="Cambria" w:cs="Calibri"/>
          <w:spacing w:val="13"/>
          <w:sz w:val="18"/>
          <w:szCs w:val="18"/>
        </w:rPr>
        <w:t xml:space="preserve"> </w:t>
      </w:r>
      <w:r w:rsidRPr="00417DA5">
        <w:rPr>
          <w:rFonts w:ascii="Cambria" w:eastAsia="Calibri" w:hAnsi="Cambria" w:cs="Calibri"/>
          <w:sz w:val="18"/>
          <w:szCs w:val="18"/>
        </w:rPr>
        <w:t>Cori</w:t>
      </w:r>
      <w:r w:rsidRPr="00417DA5">
        <w:rPr>
          <w:rFonts w:ascii="Cambria" w:eastAsia="Calibri" w:hAnsi="Cambria" w:cs="Calibri"/>
          <w:spacing w:val="1"/>
          <w:sz w:val="18"/>
          <w:szCs w:val="18"/>
        </w:rPr>
        <w:t>n</w:t>
      </w:r>
      <w:r w:rsidRPr="00417DA5">
        <w:rPr>
          <w:rFonts w:ascii="Cambria" w:eastAsia="Calibri" w:hAnsi="Cambria" w:cs="Calibri"/>
          <w:sz w:val="18"/>
          <w:szCs w:val="18"/>
        </w:rPr>
        <w:t>t</w:t>
      </w:r>
      <w:r w:rsidRPr="00417DA5">
        <w:rPr>
          <w:rFonts w:ascii="Cambria" w:eastAsia="Calibri" w:hAnsi="Cambria" w:cs="Calibri"/>
          <w:spacing w:val="1"/>
          <w:sz w:val="18"/>
          <w:szCs w:val="18"/>
        </w:rPr>
        <w:t>h</w:t>
      </w:r>
      <w:r w:rsidRPr="00417DA5">
        <w:rPr>
          <w:rFonts w:ascii="Cambria" w:eastAsia="Calibri" w:hAnsi="Cambria" w:cs="Calibri"/>
          <w:sz w:val="18"/>
          <w:szCs w:val="18"/>
        </w:rPr>
        <w:t>ia</w:t>
      </w:r>
      <w:r w:rsidRPr="00417DA5">
        <w:rPr>
          <w:rFonts w:ascii="Cambria" w:eastAsia="Calibri" w:hAnsi="Cambria" w:cs="Calibri"/>
          <w:spacing w:val="1"/>
          <w:sz w:val="18"/>
          <w:szCs w:val="18"/>
        </w:rPr>
        <w:t>n</w:t>
      </w:r>
      <w:r w:rsidRPr="00417DA5">
        <w:rPr>
          <w:rFonts w:ascii="Cambria" w:eastAsia="Calibri" w:hAnsi="Cambria" w:cs="Calibri"/>
          <w:sz w:val="18"/>
          <w:szCs w:val="18"/>
        </w:rPr>
        <w:t>s</w:t>
      </w:r>
      <w:r w:rsidRPr="00417DA5">
        <w:rPr>
          <w:rFonts w:ascii="Cambria" w:eastAsia="Calibri" w:hAnsi="Cambria" w:cs="Calibri"/>
          <w:spacing w:val="5"/>
          <w:sz w:val="18"/>
          <w:szCs w:val="18"/>
        </w:rPr>
        <w:t xml:space="preserve"> </w:t>
      </w:r>
      <w:r w:rsidRPr="00417DA5">
        <w:rPr>
          <w:rFonts w:ascii="Cambria" w:eastAsia="Calibri" w:hAnsi="Cambria" w:cs="Calibri"/>
          <w:sz w:val="18"/>
          <w:szCs w:val="18"/>
        </w:rPr>
        <w:t>14</w:t>
      </w:r>
      <w:r w:rsidRPr="00417DA5">
        <w:rPr>
          <w:rFonts w:ascii="Cambria" w:eastAsia="Calibri" w:hAnsi="Cambria" w:cs="Calibri"/>
          <w:spacing w:val="12"/>
          <w:sz w:val="18"/>
          <w:szCs w:val="18"/>
        </w:rPr>
        <w:t xml:space="preserve"> </w:t>
      </w:r>
      <w:r w:rsidRPr="00417DA5">
        <w:rPr>
          <w:rFonts w:ascii="Cambria" w:eastAsia="Calibri" w:hAnsi="Cambria" w:cs="Calibri"/>
          <w:spacing w:val="1"/>
          <w:sz w:val="18"/>
          <w:szCs w:val="18"/>
        </w:rPr>
        <w:t>h</w:t>
      </w:r>
      <w:r w:rsidRPr="00417DA5">
        <w:rPr>
          <w:rFonts w:ascii="Cambria" w:eastAsia="Calibri" w:hAnsi="Cambria" w:cs="Calibri"/>
          <w:sz w:val="18"/>
          <w:szCs w:val="18"/>
        </w:rPr>
        <w:t>e</w:t>
      </w:r>
      <w:r w:rsidRPr="00417DA5">
        <w:rPr>
          <w:rFonts w:ascii="Cambria" w:eastAsia="Calibri" w:hAnsi="Cambria" w:cs="Calibri"/>
          <w:spacing w:val="12"/>
          <w:sz w:val="18"/>
          <w:szCs w:val="18"/>
        </w:rPr>
        <w:t xml:space="preserve"> </w:t>
      </w:r>
      <w:r w:rsidRPr="00417DA5">
        <w:rPr>
          <w:rFonts w:ascii="Cambria" w:eastAsia="Calibri" w:hAnsi="Cambria" w:cs="Calibri"/>
          <w:spacing w:val="-1"/>
          <w:sz w:val="18"/>
          <w:szCs w:val="18"/>
        </w:rPr>
        <w:t>s</w:t>
      </w:r>
      <w:r w:rsidRPr="00417DA5">
        <w:rPr>
          <w:rFonts w:ascii="Cambria" w:eastAsia="Calibri" w:hAnsi="Cambria" w:cs="Calibri"/>
          <w:sz w:val="18"/>
          <w:szCs w:val="18"/>
        </w:rPr>
        <w:t>a</w:t>
      </w:r>
      <w:r w:rsidRPr="00417DA5">
        <w:rPr>
          <w:rFonts w:ascii="Cambria" w:eastAsia="Calibri" w:hAnsi="Cambria" w:cs="Calibri"/>
          <w:spacing w:val="1"/>
          <w:sz w:val="18"/>
          <w:szCs w:val="18"/>
        </w:rPr>
        <w:t>y</w:t>
      </w:r>
      <w:r w:rsidRPr="00417DA5">
        <w:rPr>
          <w:rFonts w:ascii="Cambria" w:eastAsia="Calibri" w:hAnsi="Cambria" w:cs="Calibri"/>
          <w:sz w:val="18"/>
          <w:szCs w:val="18"/>
        </w:rPr>
        <w:t>s</w:t>
      </w:r>
      <w:r w:rsidRPr="00417DA5">
        <w:rPr>
          <w:rFonts w:ascii="Cambria" w:eastAsia="Calibri" w:hAnsi="Cambria" w:cs="Calibri"/>
          <w:spacing w:val="11"/>
          <w:sz w:val="18"/>
          <w:szCs w:val="18"/>
        </w:rPr>
        <w:t xml:space="preserve"> </w:t>
      </w:r>
      <w:r w:rsidRPr="00417DA5">
        <w:rPr>
          <w:rFonts w:ascii="Cambria" w:eastAsia="Calibri" w:hAnsi="Cambria" w:cs="Calibri"/>
          <w:sz w:val="18"/>
          <w:szCs w:val="18"/>
        </w:rPr>
        <w:t>t</w:t>
      </w:r>
      <w:r w:rsidRPr="00417DA5">
        <w:rPr>
          <w:rFonts w:ascii="Cambria" w:eastAsia="Calibri" w:hAnsi="Cambria" w:cs="Calibri"/>
          <w:spacing w:val="1"/>
          <w:sz w:val="18"/>
          <w:szCs w:val="18"/>
        </w:rPr>
        <w:t>h</w:t>
      </w:r>
      <w:r w:rsidRPr="00417DA5">
        <w:rPr>
          <w:rFonts w:ascii="Cambria" w:eastAsia="Calibri" w:hAnsi="Cambria" w:cs="Calibri"/>
          <w:sz w:val="18"/>
          <w:szCs w:val="18"/>
        </w:rPr>
        <w:t>at</w:t>
      </w:r>
      <w:r w:rsidRPr="00417DA5">
        <w:rPr>
          <w:rFonts w:ascii="Cambria" w:eastAsia="Calibri" w:hAnsi="Cambria" w:cs="Calibri"/>
          <w:spacing w:val="12"/>
          <w:sz w:val="18"/>
          <w:szCs w:val="18"/>
        </w:rPr>
        <w:t xml:space="preserve"> </w:t>
      </w:r>
      <w:r w:rsidRPr="00417DA5">
        <w:rPr>
          <w:rFonts w:ascii="Cambria" w:eastAsia="Calibri" w:hAnsi="Cambria" w:cs="Calibri"/>
          <w:spacing w:val="1"/>
          <w:sz w:val="18"/>
          <w:szCs w:val="18"/>
        </w:rPr>
        <w:t>“</w:t>
      </w:r>
      <w:r w:rsidRPr="00417DA5">
        <w:rPr>
          <w:rFonts w:ascii="Cambria" w:eastAsia="Calibri" w:hAnsi="Cambria" w:cs="Calibri"/>
          <w:sz w:val="18"/>
          <w:szCs w:val="18"/>
        </w:rPr>
        <w:t>it</w:t>
      </w:r>
      <w:r w:rsidRPr="00417DA5">
        <w:rPr>
          <w:rFonts w:ascii="Cambria" w:eastAsia="Calibri" w:hAnsi="Cambria" w:cs="Calibri"/>
          <w:spacing w:val="13"/>
          <w:sz w:val="18"/>
          <w:szCs w:val="18"/>
        </w:rPr>
        <w:t xml:space="preserve"> </w:t>
      </w:r>
      <w:r w:rsidRPr="00417DA5">
        <w:rPr>
          <w:rFonts w:ascii="Cambria" w:eastAsia="Calibri" w:hAnsi="Cambria" w:cs="Calibri"/>
          <w:sz w:val="18"/>
          <w:szCs w:val="18"/>
        </w:rPr>
        <w:t>is</w:t>
      </w:r>
      <w:r w:rsidRPr="00417DA5">
        <w:rPr>
          <w:rFonts w:ascii="Cambria" w:eastAsia="Calibri" w:hAnsi="Cambria" w:cs="Calibri"/>
          <w:spacing w:val="12"/>
          <w:sz w:val="18"/>
          <w:szCs w:val="18"/>
        </w:rPr>
        <w:t xml:space="preserve"> </w:t>
      </w:r>
      <w:r w:rsidRPr="00417DA5">
        <w:rPr>
          <w:rFonts w:ascii="Cambria" w:eastAsia="Calibri" w:hAnsi="Cambria" w:cs="Calibri"/>
          <w:spacing w:val="-1"/>
          <w:sz w:val="18"/>
          <w:szCs w:val="18"/>
        </w:rPr>
        <w:t>s</w:t>
      </w:r>
      <w:r w:rsidRPr="00417DA5">
        <w:rPr>
          <w:rFonts w:ascii="Cambria" w:eastAsia="Calibri" w:hAnsi="Cambria" w:cs="Calibri"/>
          <w:spacing w:val="1"/>
          <w:sz w:val="18"/>
          <w:szCs w:val="18"/>
        </w:rPr>
        <w:t>h</w:t>
      </w:r>
      <w:r w:rsidRPr="00417DA5">
        <w:rPr>
          <w:rFonts w:ascii="Cambria" w:eastAsia="Calibri" w:hAnsi="Cambria" w:cs="Calibri"/>
          <w:sz w:val="18"/>
          <w:szCs w:val="18"/>
        </w:rPr>
        <w:t>am</w:t>
      </w:r>
      <w:r w:rsidRPr="00417DA5">
        <w:rPr>
          <w:rFonts w:ascii="Cambria" w:eastAsia="Calibri" w:hAnsi="Cambria" w:cs="Calibri"/>
          <w:spacing w:val="-1"/>
          <w:sz w:val="18"/>
          <w:szCs w:val="18"/>
        </w:rPr>
        <w:t>ef</w:t>
      </w:r>
      <w:r w:rsidRPr="00417DA5">
        <w:rPr>
          <w:rFonts w:ascii="Cambria" w:eastAsia="Calibri" w:hAnsi="Cambria" w:cs="Calibri"/>
          <w:spacing w:val="1"/>
          <w:sz w:val="18"/>
          <w:szCs w:val="18"/>
        </w:rPr>
        <w:t>u</w:t>
      </w:r>
      <w:r w:rsidRPr="00417DA5">
        <w:rPr>
          <w:rFonts w:ascii="Cambria" w:eastAsia="Calibri" w:hAnsi="Cambria" w:cs="Calibri"/>
          <w:sz w:val="18"/>
          <w:szCs w:val="18"/>
        </w:rPr>
        <w:t>l</w:t>
      </w:r>
      <w:r w:rsidRPr="00417DA5">
        <w:rPr>
          <w:rFonts w:ascii="Cambria" w:eastAsia="Calibri" w:hAnsi="Cambria" w:cs="Calibri"/>
          <w:spacing w:val="7"/>
          <w:sz w:val="18"/>
          <w:szCs w:val="18"/>
        </w:rPr>
        <w:t xml:space="preserve"> </w:t>
      </w:r>
      <w:r w:rsidRPr="00417DA5">
        <w:rPr>
          <w:rFonts w:ascii="Cambria" w:eastAsia="Calibri" w:hAnsi="Cambria" w:cs="Calibri"/>
          <w:spacing w:val="-1"/>
          <w:sz w:val="18"/>
          <w:szCs w:val="18"/>
        </w:rPr>
        <w:t>f</w:t>
      </w:r>
      <w:r w:rsidRPr="00417DA5">
        <w:rPr>
          <w:rFonts w:ascii="Cambria" w:eastAsia="Calibri" w:hAnsi="Cambria" w:cs="Calibri"/>
          <w:sz w:val="18"/>
          <w:szCs w:val="18"/>
        </w:rPr>
        <w:t>or</w:t>
      </w:r>
      <w:r w:rsidRPr="00417DA5">
        <w:rPr>
          <w:rFonts w:ascii="Cambria" w:eastAsia="Calibri" w:hAnsi="Cambria" w:cs="Calibri"/>
          <w:spacing w:val="13"/>
          <w:sz w:val="18"/>
          <w:szCs w:val="18"/>
        </w:rPr>
        <w:t xml:space="preserve"> </w:t>
      </w:r>
      <w:r w:rsidRPr="00417DA5">
        <w:rPr>
          <w:rFonts w:ascii="Cambria" w:eastAsia="Calibri" w:hAnsi="Cambria" w:cs="Calibri"/>
          <w:sz w:val="18"/>
          <w:szCs w:val="18"/>
        </w:rPr>
        <w:t xml:space="preserve">a </w:t>
      </w:r>
      <w:r w:rsidRPr="00417DA5">
        <w:rPr>
          <w:rFonts w:ascii="Cambria" w:eastAsia="Calibri" w:hAnsi="Cambria" w:cs="Calibri"/>
          <w:spacing w:val="-1"/>
          <w:position w:val="1"/>
          <w:sz w:val="18"/>
          <w:szCs w:val="18"/>
        </w:rPr>
        <w:t>w</w:t>
      </w:r>
      <w:r w:rsidRPr="00417DA5">
        <w:rPr>
          <w:rFonts w:ascii="Cambria" w:eastAsia="Calibri" w:hAnsi="Cambria" w:cs="Calibri"/>
          <w:position w:val="1"/>
          <w:sz w:val="18"/>
          <w:szCs w:val="18"/>
        </w:rPr>
        <w:t>o</w:t>
      </w:r>
      <w:r w:rsidRPr="00417DA5">
        <w:rPr>
          <w:rFonts w:ascii="Cambria" w:eastAsia="Calibri" w:hAnsi="Cambria" w:cs="Calibri"/>
          <w:spacing w:val="-1"/>
          <w:position w:val="1"/>
          <w:sz w:val="18"/>
          <w:szCs w:val="18"/>
        </w:rPr>
        <w:t>m</w:t>
      </w:r>
      <w:r w:rsidRPr="00417DA5">
        <w:rPr>
          <w:rFonts w:ascii="Cambria" w:eastAsia="Calibri" w:hAnsi="Cambria" w:cs="Calibri"/>
          <w:position w:val="1"/>
          <w:sz w:val="18"/>
          <w:szCs w:val="18"/>
        </w:rPr>
        <w:t>an</w:t>
      </w:r>
      <w:r w:rsidRPr="00417DA5">
        <w:rPr>
          <w:rFonts w:ascii="Cambria" w:eastAsia="Calibri" w:hAnsi="Cambria" w:cs="Calibri"/>
          <w:spacing w:val="3"/>
          <w:position w:val="1"/>
          <w:sz w:val="18"/>
          <w:szCs w:val="18"/>
        </w:rPr>
        <w:t xml:space="preserve"> </w:t>
      </w:r>
      <w:r w:rsidRPr="00417DA5">
        <w:rPr>
          <w:rFonts w:ascii="Cambria" w:eastAsia="Calibri" w:hAnsi="Cambria" w:cs="Calibri"/>
          <w:position w:val="1"/>
          <w:sz w:val="18"/>
          <w:szCs w:val="18"/>
        </w:rPr>
        <w:t>to</w:t>
      </w:r>
      <w:r w:rsidRPr="00417DA5">
        <w:rPr>
          <w:rFonts w:ascii="Cambria" w:eastAsia="Calibri" w:hAnsi="Cambria" w:cs="Calibri"/>
          <w:spacing w:val="6"/>
          <w:position w:val="1"/>
          <w:sz w:val="18"/>
          <w:szCs w:val="18"/>
        </w:rPr>
        <w:t xml:space="preserve"> </w:t>
      </w:r>
      <w:r w:rsidRPr="00417DA5">
        <w:rPr>
          <w:rFonts w:ascii="Cambria" w:eastAsia="Calibri" w:hAnsi="Cambria" w:cs="Calibri"/>
          <w:spacing w:val="-1"/>
          <w:position w:val="1"/>
          <w:sz w:val="18"/>
          <w:szCs w:val="18"/>
        </w:rPr>
        <w:t>s</w:t>
      </w:r>
      <w:r w:rsidRPr="00417DA5">
        <w:rPr>
          <w:rFonts w:ascii="Cambria" w:eastAsia="Calibri" w:hAnsi="Cambria" w:cs="Calibri"/>
          <w:spacing w:val="3"/>
          <w:position w:val="1"/>
          <w:sz w:val="18"/>
          <w:szCs w:val="18"/>
        </w:rPr>
        <w:t>p</w:t>
      </w:r>
      <w:r w:rsidRPr="00417DA5">
        <w:rPr>
          <w:rFonts w:ascii="Cambria" w:eastAsia="Calibri" w:hAnsi="Cambria" w:cs="Calibri"/>
          <w:spacing w:val="-1"/>
          <w:position w:val="1"/>
          <w:sz w:val="18"/>
          <w:szCs w:val="18"/>
        </w:rPr>
        <w:t>e</w:t>
      </w:r>
      <w:r w:rsidRPr="00417DA5">
        <w:rPr>
          <w:rFonts w:ascii="Cambria" w:eastAsia="Calibri" w:hAnsi="Cambria" w:cs="Calibri"/>
          <w:position w:val="1"/>
          <w:sz w:val="18"/>
          <w:szCs w:val="18"/>
        </w:rPr>
        <w:t>ak</w:t>
      </w:r>
      <w:r w:rsidRPr="00417DA5">
        <w:rPr>
          <w:rFonts w:ascii="Cambria" w:eastAsia="Calibri" w:hAnsi="Cambria" w:cs="Calibri"/>
          <w:spacing w:val="3"/>
          <w:position w:val="1"/>
          <w:sz w:val="18"/>
          <w:szCs w:val="18"/>
        </w:rPr>
        <w:t xml:space="preserve"> </w:t>
      </w:r>
      <w:r w:rsidRPr="00417DA5">
        <w:rPr>
          <w:rFonts w:ascii="Cambria" w:eastAsia="Calibri" w:hAnsi="Cambria" w:cs="Calibri"/>
          <w:position w:val="1"/>
          <w:sz w:val="18"/>
          <w:szCs w:val="18"/>
        </w:rPr>
        <w:t>in</w:t>
      </w:r>
      <w:r w:rsidRPr="00417DA5">
        <w:rPr>
          <w:rFonts w:ascii="Cambria" w:eastAsia="Calibri" w:hAnsi="Cambria" w:cs="Calibri"/>
          <w:spacing w:val="6"/>
          <w:position w:val="1"/>
          <w:sz w:val="18"/>
          <w:szCs w:val="18"/>
        </w:rPr>
        <w:t xml:space="preserve"> </w:t>
      </w:r>
      <w:r w:rsidRPr="00417DA5">
        <w:rPr>
          <w:rFonts w:ascii="Cambria" w:eastAsia="Calibri" w:hAnsi="Cambria" w:cs="Calibri"/>
          <w:position w:val="1"/>
          <w:sz w:val="18"/>
          <w:szCs w:val="18"/>
        </w:rPr>
        <w:t>c</w:t>
      </w:r>
      <w:r w:rsidRPr="00417DA5">
        <w:rPr>
          <w:rFonts w:ascii="Cambria" w:eastAsia="Calibri" w:hAnsi="Cambria" w:cs="Calibri"/>
          <w:spacing w:val="1"/>
          <w:position w:val="1"/>
          <w:sz w:val="18"/>
          <w:szCs w:val="18"/>
        </w:rPr>
        <w:t>hu</w:t>
      </w:r>
      <w:r w:rsidRPr="00417DA5">
        <w:rPr>
          <w:rFonts w:ascii="Cambria" w:eastAsia="Calibri" w:hAnsi="Cambria" w:cs="Calibri"/>
          <w:position w:val="1"/>
          <w:sz w:val="18"/>
          <w:szCs w:val="18"/>
        </w:rPr>
        <w:t>rc</w:t>
      </w:r>
      <w:r w:rsidRPr="00417DA5">
        <w:rPr>
          <w:rFonts w:ascii="Cambria" w:eastAsia="Calibri" w:hAnsi="Cambria" w:cs="Calibri"/>
          <w:spacing w:val="1"/>
          <w:position w:val="1"/>
          <w:sz w:val="18"/>
          <w:szCs w:val="18"/>
        </w:rPr>
        <w:t>h</w:t>
      </w:r>
      <w:r w:rsidRPr="00417DA5">
        <w:rPr>
          <w:rFonts w:ascii="Cambria" w:eastAsia="Calibri" w:hAnsi="Cambria" w:cs="Calibri"/>
          <w:position w:val="1"/>
          <w:sz w:val="18"/>
          <w:szCs w:val="18"/>
        </w:rPr>
        <w:t>.”</w:t>
      </w:r>
      <w:r w:rsidRPr="00417DA5">
        <w:rPr>
          <w:rFonts w:ascii="Cambria" w:eastAsia="Calibri" w:hAnsi="Cambria" w:cs="Calibri"/>
          <w:spacing w:val="1"/>
          <w:position w:val="1"/>
          <w:sz w:val="18"/>
          <w:szCs w:val="18"/>
        </w:rPr>
        <w:t xml:space="preserve"> </w:t>
      </w:r>
      <w:r w:rsidRPr="00417DA5">
        <w:rPr>
          <w:rFonts w:ascii="Cambria" w:eastAsia="Calibri" w:hAnsi="Cambria" w:cs="Calibri"/>
          <w:spacing w:val="-1"/>
          <w:position w:val="1"/>
          <w:sz w:val="18"/>
          <w:szCs w:val="18"/>
        </w:rPr>
        <w:t>G</w:t>
      </w:r>
      <w:r w:rsidRPr="00417DA5">
        <w:rPr>
          <w:rFonts w:ascii="Cambria" w:eastAsia="Calibri" w:hAnsi="Cambria" w:cs="Calibri"/>
          <w:position w:val="1"/>
          <w:sz w:val="18"/>
          <w:szCs w:val="18"/>
        </w:rPr>
        <w:t>i</w:t>
      </w:r>
      <w:r w:rsidRPr="00417DA5">
        <w:rPr>
          <w:rFonts w:ascii="Cambria" w:eastAsia="Calibri" w:hAnsi="Cambria" w:cs="Calibri"/>
          <w:spacing w:val="1"/>
          <w:position w:val="1"/>
          <w:sz w:val="18"/>
          <w:szCs w:val="18"/>
        </w:rPr>
        <w:t>v</w:t>
      </w:r>
      <w:r w:rsidRPr="00417DA5">
        <w:rPr>
          <w:rFonts w:ascii="Cambria" w:eastAsia="Calibri" w:hAnsi="Cambria" w:cs="Calibri"/>
          <w:spacing w:val="-1"/>
          <w:position w:val="1"/>
          <w:sz w:val="18"/>
          <w:szCs w:val="18"/>
        </w:rPr>
        <w:t>e</w:t>
      </w:r>
      <w:r w:rsidRPr="00417DA5">
        <w:rPr>
          <w:rFonts w:ascii="Cambria" w:eastAsia="Calibri" w:hAnsi="Cambria" w:cs="Calibri"/>
          <w:position w:val="1"/>
          <w:sz w:val="18"/>
          <w:szCs w:val="18"/>
        </w:rPr>
        <w:t>n</w:t>
      </w:r>
      <w:r w:rsidRPr="00417DA5">
        <w:rPr>
          <w:rFonts w:ascii="Cambria" w:eastAsia="Calibri" w:hAnsi="Cambria" w:cs="Calibri"/>
          <w:spacing w:val="3"/>
          <w:position w:val="1"/>
          <w:sz w:val="18"/>
          <w:szCs w:val="18"/>
        </w:rPr>
        <w:t xml:space="preserve"> </w:t>
      </w:r>
      <w:r w:rsidRPr="00417DA5">
        <w:rPr>
          <w:rFonts w:ascii="Cambria" w:eastAsia="Calibri" w:hAnsi="Cambria" w:cs="Calibri"/>
          <w:position w:val="1"/>
          <w:sz w:val="18"/>
          <w:szCs w:val="18"/>
        </w:rPr>
        <w:t>t</w:t>
      </w:r>
      <w:r w:rsidRPr="00417DA5">
        <w:rPr>
          <w:rFonts w:ascii="Cambria" w:eastAsia="Calibri" w:hAnsi="Cambria" w:cs="Calibri"/>
          <w:spacing w:val="1"/>
          <w:position w:val="1"/>
          <w:sz w:val="18"/>
          <w:szCs w:val="18"/>
        </w:rPr>
        <w:t>h</w:t>
      </w:r>
      <w:r w:rsidRPr="00417DA5">
        <w:rPr>
          <w:rFonts w:ascii="Cambria" w:eastAsia="Calibri" w:hAnsi="Cambria" w:cs="Calibri"/>
          <w:position w:val="1"/>
          <w:sz w:val="18"/>
          <w:szCs w:val="18"/>
        </w:rPr>
        <w:t>at</w:t>
      </w:r>
      <w:r w:rsidRPr="00417DA5">
        <w:rPr>
          <w:rFonts w:ascii="Cambria" w:eastAsia="Calibri" w:hAnsi="Cambria" w:cs="Calibri"/>
          <w:spacing w:val="5"/>
          <w:position w:val="1"/>
          <w:sz w:val="18"/>
          <w:szCs w:val="18"/>
        </w:rPr>
        <w:t xml:space="preserve"> </w:t>
      </w:r>
      <w:r w:rsidRPr="00417DA5">
        <w:rPr>
          <w:rFonts w:ascii="Cambria" w:eastAsia="Calibri" w:hAnsi="Cambria" w:cs="Calibri"/>
          <w:spacing w:val="1"/>
          <w:position w:val="1"/>
          <w:sz w:val="18"/>
          <w:szCs w:val="18"/>
        </w:rPr>
        <w:t>h</w:t>
      </w:r>
      <w:r w:rsidRPr="00417DA5">
        <w:rPr>
          <w:rFonts w:ascii="Cambria" w:eastAsia="Calibri" w:hAnsi="Cambria" w:cs="Calibri"/>
          <w:position w:val="1"/>
          <w:sz w:val="18"/>
          <w:szCs w:val="18"/>
        </w:rPr>
        <w:t>e</w:t>
      </w:r>
      <w:r w:rsidRPr="00417DA5">
        <w:rPr>
          <w:rFonts w:ascii="Cambria" w:eastAsia="Calibri" w:hAnsi="Cambria" w:cs="Calibri"/>
          <w:spacing w:val="5"/>
          <w:position w:val="1"/>
          <w:sz w:val="18"/>
          <w:szCs w:val="18"/>
        </w:rPr>
        <w:t xml:space="preserve"> </w:t>
      </w:r>
      <w:r w:rsidRPr="00417DA5">
        <w:rPr>
          <w:rFonts w:ascii="Cambria" w:eastAsia="Calibri" w:hAnsi="Cambria" w:cs="Calibri"/>
          <w:spacing w:val="1"/>
          <w:position w:val="1"/>
          <w:sz w:val="18"/>
          <w:szCs w:val="18"/>
        </w:rPr>
        <w:t>d</w:t>
      </w:r>
      <w:r w:rsidRPr="00417DA5">
        <w:rPr>
          <w:rFonts w:ascii="Cambria" w:eastAsia="Calibri" w:hAnsi="Cambria" w:cs="Calibri"/>
          <w:position w:val="1"/>
          <w:sz w:val="18"/>
          <w:szCs w:val="18"/>
        </w:rPr>
        <w:t>o</w:t>
      </w:r>
      <w:r w:rsidRPr="00417DA5">
        <w:rPr>
          <w:rFonts w:ascii="Cambria" w:eastAsia="Calibri" w:hAnsi="Cambria" w:cs="Calibri"/>
          <w:spacing w:val="-1"/>
          <w:position w:val="1"/>
          <w:sz w:val="18"/>
          <w:szCs w:val="18"/>
        </w:rPr>
        <w:t>e</w:t>
      </w:r>
      <w:r w:rsidRPr="00417DA5">
        <w:rPr>
          <w:rFonts w:ascii="Cambria" w:eastAsia="Calibri" w:hAnsi="Cambria" w:cs="Calibri"/>
          <w:position w:val="1"/>
          <w:sz w:val="18"/>
          <w:szCs w:val="18"/>
        </w:rPr>
        <w:t>s</w:t>
      </w:r>
      <w:r w:rsidRPr="00417DA5">
        <w:rPr>
          <w:rFonts w:ascii="Cambria" w:eastAsia="Calibri" w:hAnsi="Cambria" w:cs="Calibri"/>
          <w:spacing w:val="2"/>
          <w:position w:val="1"/>
          <w:sz w:val="18"/>
          <w:szCs w:val="18"/>
        </w:rPr>
        <w:t xml:space="preserve"> </w:t>
      </w:r>
      <w:r w:rsidRPr="00417DA5">
        <w:rPr>
          <w:rFonts w:ascii="Cambria" w:eastAsia="Calibri" w:hAnsi="Cambria" w:cs="Calibri"/>
          <w:spacing w:val="1"/>
          <w:position w:val="1"/>
          <w:sz w:val="18"/>
          <w:szCs w:val="18"/>
        </w:rPr>
        <w:t>n</w:t>
      </w:r>
      <w:r w:rsidRPr="00417DA5">
        <w:rPr>
          <w:rFonts w:ascii="Cambria" w:eastAsia="Calibri" w:hAnsi="Cambria" w:cs="Calibri"/>
          <w:position w:val="1"/>
          <w:sz w:val="18"/>
          <w:szCs w:val="18"/>
        </w:rPr>
        <w:t>ot</w:t>
      </w:r>
      <w:r w:rsidRPr="00417DA5">
        <w:rPr>
          <w:rFonts w:ascii="Cambria" w:eastAsia="Calibri" w:hAnsi="Cambria" w:cs="Calibri"/>
          <w:spacing w:val="7"/>
          <w:position w:val="1"/>
          <w:sz w:val="18"/>
          <w:szCs w:val="18"/>
        </w:rPr>
        <w:t xml:space="preserve"> </w:t>
      </w:r>
      <w:r w:rsidRPr="00417DA5">
        <w:rPr>
          <w:rFonts w:ascii="Cambria" w:eastAsia="Calibri" w:hAnsi="Cambria" w:cs="Calibri"/>
          <w:spacing w:val="-1"/>
          <w:position w:val="1"/>
          <w:sz w:val="18"/>
          <w:szCs w:val="18"/>
        </w:rPr>
        <w:t>s</w:t>
      </w:r>
      <w:r w:rsidRPr="00417DA5">
        <w:rPr>
          <w:rFonts w:ascii="Cambria" w:eastAsia="Calibri" w:hAnsi="Cambria" w:cs="Calibri"/>
          <w:spacing w:val="1"/>
          <w:position w:val="1"/>
          <w:sz w:val="18"/>
          <w:szCs w:val="18"/>
        </w:rPr>
        <w:t>p</w:t>
      </w:r>
      <w:r w:rsidRPr="00417DA5">
        <w:rPr>
          <w:rFonts w:ascii="Cambria" w:eastAsia="Calibri" w:hAnsi="Cambria" w:cs="Calibri"/>
          <w:spacing w:val="-1"/>
          <w:position w:val="1"/>
          <w:sz w:val="18"/>
          <w:szCs w:val="18"/>
        </w:rPr>
        <w:t>e</w:t>
      </w:r>
      <w:r w:rsidRPr="00417DA5">
        <w:rPr>
          <w:rFonts w:ascii="Cambria" w:eastAsia="Calibri" w:hAnsi="Cambria" w:cs="Calibri"/>
          <w:position w:val="1"/>
          <w:sz w:val="18"/>
          <w:szCs w:val="18"/>
        </w:rPr>
        <w:t>ll</w:t>
      </w:r>
      <w:r w:rsidRPr="00417DA5">
        <w:rPr>
          <w:rFonts w:ascii="Cambria" w:eastAsia="Calibri" w:hAnsi="Cambria" w:cs="Calibri"/>
          <w:spacing w:val="4"/>
          <w:position w:val="1"/>
          <w:sz w:val="18"/>
          <w:szCs w:val="18"/>
        </w:rPr>
        <w:t xml:space="preserve"> </w:t>
      </w:r>
      <w:r w:rsidRPr="00417DA5">
        <w:rPr>
          <w:rFonts w:ascii="Cambria" w:eastAsia="Calibri" w:hAnsi="Cambria" w:cs="Calibri"/>
          <w:spacing w:val="3"/>
          <w:position w:val="1"/>
          <w:sz w:val="18"/>
          <w:szCs w:val="18"/>
        </w:rPr>
        <w:t>t</w:t>
      </w:r>
      <w:r w:rsidRPr="00417DA5">
        <w:rPr>
          <w:rFonts w:ascii="Cambria" w:eastAsia="Calibri" w:hAnsi="Cambria" w:cs="Calibri"/>
          <w:spacing w:val="1"/>
          <w:position w:val="1"/>
          <w:sz w:val="18"/>
          <w:szCs w:val="18"/>
        </w:rPr>
        <w:t>h</w:t>
      </w:r>
      <w:r w:rsidRPr="00417DA5">
        <w:rPr>
          <w:rFonts w:ascii="Cambria" w:eastAsia="Calibri" w:hAnsi="Cambria" w:cs="Calibri"/>
          <w:position w:val="1"/>
          <w:sz w:val="18"/>
          <w:szCs w:val="18"/>
        </w:rPr>
        <w:t>is</w:t>
      </w:r>
      <w:r w:rsidRPr="00417DA5">
        <w:rPr>
          <w:rFonts w:ascii="Cambria" w:eastAsia="Calibri" w:hAnsi="Cambria" w:cs="Calibri"/>
          <w:spacing w:val="3"/>
          <w:position w:val="1"/>
          <w:sz w:val="18"/>
          <w:szCs w:val="18"/>
        </w:rPr>
        <w:t xml:space="preserve"> </w:t>
      </w:r>
      <w:r w:rsidRPr="00417DA5">
        <w:rPr>
          <w:rFonts w:ascii="Cambria" w:eastAsia="Calibri" w:hAnsi="Cambria" w:cs="Calibri"/>
          <w:position w:val="1"/>
          <w:sz w:val="18"/>
          <w:szCs w:val="18"/>
        </w:rPr>
        <w:t>o</w:t>
      </w:r>
      <w:r w:rsidRPr="00417DA5">
        <w:rPr>
          <w:rFonts w:ascii="Cambria" w:eastAsia="Calibri" w:hAnsi="Cambria" w:cs="Calibri"/>
          <w:spacing w:val="1"/>
          <w:position w:val="1"/>
          <w:sz w:val="18"/>
          <w:szCs w:val="18"/>
        </w:rPr>
        <w:t>u</w:t>
      </w:r>
      <w:r w:rsidRPr="00417DA5">
        <w:rPr>
          <w:rFonts w:ascii="Cambria" w:eastAsia="Calibri" w:hAnsi="Cambria" w:cs="Calibri"/>
          <w:position w:val="1"/>
          <w:sz w:val="18"/>
          <w:szCs w:val="18"/>
        </w:rPr>
        <w:t>t</w:t>
      </w:r>
      <w:r w:rsidRPr="00417DA5">
        <w:rPr>
          <w:rFonts w:ascii="Cambria" w:eastAsia="Calibri" w:hAnsi="Cambria" w:cs="Calibri"/>
          <w:spacing w:val="5"/>
          <w:position w:val="1"/>
          <w:sz w:val="18"/>
          <w:szCs w:val="18"/>
        </w:rPr>
        <w:t xml:space="preserve"> </w:t>
      </w:r>
      <w:r w:rsidRPr="00417DA5">
        <w:rPr>
          <w:rFonts w:ascii="Cambria" w:eastAsia="Calibri" w:hAnsi="Cambria" w:cs="Calibri"/>
          <w:spacing w:val="-1"/>
          <w:position w:val="1"/>
          <w:sz w:val="18"/>
          <w:szCs w:val="18"/>
        </w:rPr>
        <w:t>f</w:t>
      </w:r>
      <w:r w:rsidRPr="00417DA5">
        <w:rPr>
          <w:rFonts w:ascii="Cambria" w:eastAsia="Calibri" w:hAnsi="Cambria" w:cs="Calibri"/>
          <w:spacing w:val="1"/>
          <w:position w:val="1"/>
          <w:sz w:val="18"/>
          <w:szCs w:val="18"/>
        </w:rPr>
        <w:t>u</w:t>
      </w:r>
      <w:r w:rsidRPr="00417DA5">
        <w:rPr>
          <w:rFonts w:ascii="Cambria" w:eastAsia="Calibri" w:hAnsi="Cambria" w:cs="Calibri"/>
          <w:position w:val="1"/>
          <w:sz w:val="18"/>
          <w:szCs w:val="18"/>
        </w:rPr>
        <w:t>rt</w:t>
      </w:r>
      <w:r w:rsidRPr="00417DA5">
        <w:rPr>
          <w:rFonts w:ascii="Cambria" w:eastAsia="Calibri" w:hAnsi="Cambria" w:cs="Calibri"/>
          <w:spacing w:val="1"/>
          <w:position w:val="1"/>
          <w:sz w:val="18"/>
          <w:szCs w:val="18"/>
        </w:rPr>
        <w:t>h</w:t>
      </w:r>
      <w:r w:rsidRPr="00417DA5">
        <w:rPr>
          <w:rFonts w:ascii="Cambria" w:eastAsia="Calibri" w:hAnsi="Cambria" w:cs="Calibri"/>
          <w:spacing w:val="-1"/>
          <w:position w:val="1"/>
          <w:sz w:val="18"/>
          <w:szCs w:val="18"/>
        </w:rPr>
        <w:t>e</w:t>
      </w:r>
      <w:r w:rsidRPr="00417DA5">
        <w:rPr>
          <w:rFonts w:ascii="Cambria" w:eastAsia="Calibri" w:hAnsi="Cambria" w:cs="Calibri"/>
          <w:position w:val="1"/>
          <w:sz w:val="18"/>
          <w:szCs w:val="18"/>
        </w:rPr>
        <w:t>r,</w:t>
      </w:r>
      <w:r w:rsidRPr="00417DA5">
        <w:rPr>
          <w:rFonts w:ascii="Cambria" w:eastAsia="Calibri" w:hAnsi="Cambria" w:cs="Calibri"/>
          <w:spacing w:val="2"/>
          <w:position w:val="1"/>
          <w:sz w:val="18"/>
          <w:szCs w:val="18"/>
        </w:rPr>
        <w:t xml:space="preserve"> </w:t>
      </w:r>
      <w:r w:rsidRPr="00417DA5">
        <w:rPr>
          <w:rFonts w:ascii="Cambria" w:eastAsia="Calibri" w:hAnsi="Cambria" w:cs="Calibri"/>
          <w:position w:val="1"/>
          <w:sz w:val="18"/>
          <w:szCs w:val="18"/>
        </w:rPr>
        <w:t>t</w:t>
      </w:r>
      <w:r w:rsidRPr="00417DA5">
        <w:rPr>
          <w:rFonts w:ascii="Cambria" w:eastAsia="Calibri" w:hAnsi="Cambria" w:cs="Calibri"/>
          <w:spacing w:val="1"/>
          <w:position w:val="1"/>
          <w:sz w:val="18"/>
          <w:szCs w:val="18"/>
        </w:rPr>
        <w:t>h</w:t>
      </w:r>
      <w:r w:rsidRPr="00417DA5">
        <w:rPr>
          <w:rFonts w:ascii="Cambria" w:eastAsia="Calibri" w:hAnsi="Cambria" w:cs="Calibri"/>
          <w:position w:val="1"/>
          <w:sz w:val="18"/>
          <w:szCs w:val="18"/>
        </w:rPr>
        <w:t>is</w:t>
      </w:r>
      <w:r w:rsidRPr="00417DA5">
        <w:rPr>
          <w:rFonts w:ascii="Cambria" w:eastAsia="Calibri" w:hAnsi="Cambria" w:cs="Calibri"/>
          <w:spacing w:val="3"/>
          <w:position w:val="1"/>
          <w:sz w:val="18"/>
          <w:szCs w:val="18"/>
        </w:rPr>
        <w:t xml:space="preserve"> </w:t>
      </w:r>
      <w:r w:rsidRPr="00417DA5">
        <w:rPr>
          <w:rFonts w:ascii="Cambria" w:eastAsia="Calibri" w:hAnsi="Cambria" w:cs="Calibri"/>
          <w:position w:val="1"/>
          <w:sz w:val="18"/>
          <w:szCs w:val="18"/>
        </w:rPr>
        <w:t>co</w:t>
      </w:r>
      <w:r w:rsidRPr="00417DA5">
        <w:rPr>
          <w:rFonts w:ascii="Cambria" w:eastAsia="Calibri" w:hAnsi="Cambria" w:cs="Calibri"/>
          <w:spacing w:val="1"/>
          <w:position w:val="1"/>
          <w:sz w:val="18"/>
          <w:szCs w:val="18"/>
        </w:rPr>
        <w:t>u</w:t>
      </w:r>
      <w:r w:rsidRPr="00417DA5">
        <w:rPr>
          <w:rFonts w:ascii="Cambria" w:eastAsia="Calibri" w:hAnsi="Cambria" w:cs="Calibri"/>
          <w:position w:val="1"/>
          <w:sz w:val="18"/>
          <w:szCs w:val="18"/>
        </w:rPr>
        <w:t>ld</w:t>
      </w:r>
      <w:r w:rsidRPr="00417DA5">
        <w:rPr>
          <w:rFonts w:ascii="Cambria" w:eastAsia="Calibri" w:hAnsi="Cambria" w:cs="Calibri"/>
          <w:spacing w:val="6"/>
          <w:position w:val="1"/>
          <w:sz w:val="18"/>
          <w:szCs w:val="18"/>
        </w:rPr>
        <w:t xml:space="preserve"> </w:t>
      </w:r>
      <w:r w:rsidRPr="00417DA5">
        <w:rPr>
          <w:rFonts w:ascii="Cambria" w:eastAsia="Calibri" w:hAnsi="Cambria" w:cs="Calibri"/>
          <w:spacing w:val="-1"/>
          <w:position w:val="1"/>
          <w:sz w:val="18"/>
          <w:szCs w:val="18"/>
        </w:rPr>
        <w:t>m</w:t>
      </w:r>
      <w:r w:rsidRPr="00417DA5">
        <w:rPr>
          <w:rFonts w:ascii="Cambria" w:eastAsia="Calibri" w:hAnsi="Cambria" w:cs="Calibri"/>
          <w:spacing w:val="1"/>
          <w:position w:val="1"/>
          <w:sz w:val="18"/>
          <w:szCs w:val="18"/>
        </w:rPr>
        <w:t>e</w:t>
      </w:r>
      <w:r w:rsidRPr="00417DA5">
        <w:rPr>
          <w:rFonts w:ascii="Cambria" w:eastAsia="Calibri" w:hAnsi="Cambria" w:cs="Calibri"/>
          <w:position w:val="1"/>
          <w:sz w:val="18"/>
          <w:szCs w:val="18"/>
        </w:rPr>
        <w:t>an</w:t>
      </w:r>
      <w:r w:rsidRPr="00417DA5">
        <w:rPr>
          <w:rFonts w:ascii="Cambria" w:eastAsia="Calibri" w:hAnsi="Cambria" w:cs="Calibri"/>
          <w:spacing w:val="4"/>
          <w:position w:val="1"/>
          <w:sz w:val="18"/>
          <w:szCs w:val="18"/>
        </w:rPr>
        <w:t xml:space="preserve"> </w:t>
      </w:r>
      <w:r w:rsidRPr="00417DA5">
        <w:rPr>
          <w:rFonts w:ascii="Cambria" w:eastAsia="Calibri" w:hAnsi="Cambria" w:cs="Calibri"/>
          <w:spacing w:val="1"/>
          <w:position w:val="1"/>
          <w:sz w:val="18"/>
          <w:szCs w:val="18"/>
        </w:rPr>
        <w:t>“</w:t>
      </w:r>
      <w:r w:rsidRPr="00417DA5">
        <w:rPr>
          <w:rFonts w:ascii="Cambria" w:eastAsia="Calibri" w:hAnsi="Cambria" w:cs="Calibri"/>
          <w:spacing w:val="-1"/>
          <w:position w:val="1"/>
          <w:sz w:val="18"/>
          <w:szCs w:val="18"/>
        </w:rPr>
        <w:t>s</w:t>
      </w:r>
      <w:r w:rsidRPr="00417DA5">
        <w:rPr>
          <w:rFonts w:ascii="Cambria" w:eastAsia="Calibri" w:hAnsi="Cambria" w:cs="Calibri"/>
          <w:spacing w:val="1"/>
          <w:position w:val="1"/>
          <w:sz w:val="18"/>
          <w:szCs w:val="18"/>
        </w:rPr>
        <w:t>h</w:t>
      </w:r>
      <w:r w:rsidRPr="00417DA5">
        <w:rPr>
          <w:rFonts w:ascii="Cambria" w:eastAsia="Calibri" w:hAnsi="Cambria" w:cs="Calibri"/>
          <w:position w:val="1"/>
          <w:sz w:val="18"/>
          <w:szCs w:val="18"/>
        </w:rPr>
        <w:t>am</w:t>
      </w:r>
      <w:r w:rsidRPr="00417DA5">
        <w:rPr>
          <w:rFonts w:ascii="Cambria" w:eastAsia="Calibri" w:hAnsi="Cambria" w:cs="Calibri"/>
          <w:spacing w:val="-1"/>
          <w:position w:val="1"/>
          <w:sz w:val="18"/>
          <w:szCs w:val="18"/>
        </w:rPr>
        <w:t>ef</w:t>
      </w:r>
      <w:r w:rsidRPr="00417DA5">
        <w:rPr>
          <w:rFonts w:ascii="Cambria" w:eastAsia="Calibri" w:hAnsi="Cambria" w:cs="Calibri"/>
          <w:spacing w:val="1"/>
          <w:position w:val="1"/>
          <w:sz w:val="18"/>
          <w:szCs w:val="18"/>
        </w:rPr>
        <w:t>u</w:t>
      </w:r>
      <w:r w:rsidRPr="00417DA5">
        <w:rPr>
          <w:rFonts w:ascii="Cambria" w:eastAsia="Calibri" w:hAnsi="Cambria" w:cs="Calibri"/>
          <w:position w:val="1"/>
          <w:sz w:val="18"/>
          <w:szCs w:val="18"/>
        </w:rPr>
        <w:t>l</w:t>
      </w:r>
      <w:r w:rsidRPr="00417DA5">
        <w:rPr>
          <w:rFonts w:ascii="Cambria" w:eastAsia="Calibri" w:hAnsi="Cambria" w:cs="Calibri"/>
          <w:spacing w:val="2"/>
          <w:position w:val="1"/>
          <w:sz w:val="18"/>
          <w:szCs w:val="18"/>
        </w:rPr>
        <w:t xml:space="preserve"> </w:t>
      </w:r>
      <w:r w:rsidRPr="00417DA5">
        <w:rPr>
          <w:rFonts w:ascii="Cambria" w:eastAsia="Calibri" w:hAnsi="Cambria" w:cs="Calibri"/>
          <w:position w:val="1"/>
          <w:sz w:val="18"/>
          <w:szCs w:val="18"/>
        </w:rPr>
        <w:t>in</w:t>
      </w:r>
      <w:r w:rsidRPr="00417DA5">
        <w:rPr>
          <w:rFonts w:ascii="Cambria" w:eastAsia="Calibri" w:hAnsi="Cambria" w:cs="Calibri"/>
          <w:spacing w:val="6"/>
          <w:position w:val="1"/>
          <w:sz w:val="18"/>
          <w:szCs w:val="18"/>
        </w:rPr>
        <w:t xml:space="preserve"> </w:t>
      </w:r>
      <w:r w:rsidRPr="00417DA5">
        <w:rPr>
          <w:rFonts w:ascii="Cambria" w:eastAsia="Calibri" w:hAnsi="Cambria" w:cs="Calibri"/>
          <w:spacing w:val="-1"/>
          <w:position w:val="1"/>
          <w:sz w:val="18"/>
          <w:szCs w:val="18"/>
        </w:rPr>
        <w:t>G</w:t>
      </w:r>
      <w:r w:rsidRPr="00417DA5">
        <w:rPr>
          <w:rFonts w:ascii="Cambria" w:eastAsia="Calibri" w:hAnsi="Cambria" w:cs="Calibri"/>
          <w:position w:val="1"/>
          <w:sz w:val="18"/>
          <w:szCs w:val="18"/>
        </w:rPr>
        <w:t>o</w:t>
      </w:r>
      <w:r w:rsidRPr="00417DA5">
        <w:rPr>
          <w:rFonts w:ascii="Cambria" w:eastAsia="Calibri" w:hAnsi="Cambria" w:cs="Calibri"/>
          <w:spacing w:val="1"/>
          <w:position w:val="1"/>
          <w:sz w:val="18"/>
          <w:szCs w:val="18"/>
        </w:rPr>
        <w:t>d</w:t>
      </w:r>
      <w:r w:rsidRPr="00417DA5">
        <w:rPr>
          <w:rFonts w:ascii="Cambria" w:eastAsia="Calibri" w:hAnsi="Cambria" w:cs="Calibri"/>
          <w:position w:val="1"/>
          <w:sz w:val="18"/>
          <w:szCs w:val="18"/>
        </w:rPr>
        <w:t>’s</w:t>
      </w:r>
      <w:r w:rsidRPr="00417DA5">
        <w:rPr>
          <w:rFonts w:ascii="Cambria" w:eastAsia="Calibri" w:hAnsi="Cambria" w:cs="Calibri"/>
          <w:spacing w:val="4"/>
          <w:position w:val="1"/>
          <w:sz w:val="18"/>
          <w:szCs w:val="18"/>
        </w:rPr>
        <w:t xml:space="preserve"> </w:t>
      </w:r>
      <w:r w:rsidRPr="00417DA5">
        <w:rPr>
          <w:rFonts w:ascii="Cambria" w:eastAsia="Calibri" w:hAnsi="Cambria" w:cs="Calibri"/>
          <w:spacing w:val="-1"/>
          <w:position w:val="1"/>
          <w:sz w:val="18"/>
          <w:szCs w:val="18"/>
        </w:rPr>
        <w:t>s</w:t>
      </w:r>
      <w:r w:rsidRPr="00417DA5">
        <w:rPr>
          <w:rFonts w:ascii="Cambria" w:eastAsia="Calibri" w:hAnsi="Cambria" w:cs="Calibri"/>
          <w:position w:val="1"/>
          <w:sz w:val="18"/>
          <w:szCs w:val="18"/>
        </w:rPr>
        <w:t>igh</w:t>
      </w:r>
      <w:r w:rsidRPr="00417DA5">
        <w:rPr>
          <w:rFonts w:ascii="Cambria" w:eastAsia="Calibri" w:hAnsi="Cambria" w:cs="Calibri"/>
          <w:spacing w:val="1"/>
          <w:position w:val="1"/>
          <w:sz w:val="18"/>
          <w:szCs w:val="18"/>
        </w:rPr>
        <w:t>t</w:t>
      </w:r>
      <w:r w:rsidRPr="00417DA5">
        <w:rPr>
          <w:rFonts w:ascii="Cambria" w:eastAsia="Calibri" w:hAnsi="Cambria" w:cs="Calibri"/>
          <w:position w:val="1"/>
          <w:sz w:val="18"/>
          <w:szCs w:val="18"/>
        </w:rPr>
        <w:t>,”</w:t>
      </w:r>
      <w:r w:rsidRPr="00417DA5">
        <w:rPr>
          <w:rFonts w:ascii="Cambria" w:eastAsia="Calibri" w:hAnsi="Cambria" w:cs="Calibri"/>
          <w:spacing w:val="3"/>
          <w:position w:val="1"/>
          <w:sz w:val="18"/>
          <w:szCs w:val="18"/>
        </w:rPr>
        <w:t xml:space="preserve"> </w:t>
      </w:r>
      <w:r w:rsidRPr="00417DA5">
        <w:rPr>
          <w:rFonts w:ascii="Cambria" w:eastAsia="Calibri" w:hAnsi="Cambria" w:cs="Calibri"/>
          <w:position w:val="1"/>
          <w:sz w:val="18"/>
          <w:szCs w:val="18"/>
        </w:rPr>
        <w:t>or</w:t>
      </w:r>
      <w:r w:rsidRPr="00417DA5">
        <w:rPr>
          <w:rFonts w:ascii="Cambria" w:eastAsia="Calibri" w:hAnsi="Cambria" w:cs="Calibri"/>
          <w:spacing w:val="5"/>
          <w:position w:val="1"/>
          <w:sz w:val="18"/>
          <w:szCs w:val="18"/>
        </w:rPr>
        <w:t xml:space="preserve"> </w:t>
      </w:r>
      <w:r w:rsidRPr="00417DA5">
        <w:rPr>
          <w:rFonts w:ascii="Cambria" w:eastAsia="Calibri" w:hAnsi="Cambria" w:cs="Calibri"/>
          <w:position w:val="1"/>
          <w:sz w:val="18"/>
          <w:szCs w:val="18"/>
        </w:rPr>
        <w:t>it</w:t>
      </w:r>
      <w:r w:rsidRPr="00417DA5">
        <w:rPr>
          <w:rFonts w:ascii="Cambria" w:eastAsia="Calibri" w:hAnsi="Cambria" w:cs="Calibri"/>
          <w:spacing w:val="7"/>
          <w:position w:val="1"/>
          <w:sz w:val="18"/>
          <w:szCs w:val="18"/>
        </w:rPr>
        <w:t xml:space="preserve"> </w:t>
      </w:r>
      <w:r w:rsidRPr="00417DA5">
        <w:rPr>
          <w:rFonts w:ascii="Cambria" w:eastAsia="Calibri" w:hAnsi="Cambria" w:cs="Calibri"/>
          <w:w w:val="99"/>
          <w:position w:val="1"/>
          <w:sz w:val="18"/>
          <w:szCs w:val="18"/>
        </w:rPr>
        <w:t>co</w:t>
      </w:r>
      <w:r w:rsidRPr="00417DA5">
        <w:rPr>
          <w:rFonts w:ascii="Cambria" w:eastAsia="Calibri" w:hAnsi="Cambria" w:cs="Calibri"/>
          <w:spacing w:val="1"/>
          <w:position w:val="1"/>
          <w:sz w:val="18"/>
          <w:szCs w:val="18"/>
        </w:rPr>
        <w:t>u</w:t>
      </w:r>
      <w:r w:rsidRPr="00417DA5">
        <w:rPr>
          <w:rFonts w:ascii="Cambria" w:eastAsia="Calibri" w:hAnsi="Cambria" w:cs="Calibri"/>
          <w:position w:val="1"/>
          <w:sz w:val="18"/>
          <w:szCs w:val="18"/>
        </w:rPr>
        <w:t xml:space="preserve">ld </w:t>
      </w:r>
      <w:r w:rsidRPr="00417DA5">
        <w:rPr>
          <w:rFonts w:ascii="Cambria" w:eastAsia="Calibri" w:hAnsi="Cambria" w:cs="Calibri"/>
          <w:spacing w:val="-1"/>
          <w:sz w:val="18"/>
          <w:szCs w:val="18"/>
        </w:rPr>
        <w:t>me</w:t>
      </w:r>
      <w:r w:rsidRPr="00417DA5">
        <w:rPr>
          <w:rFonts w:ascii="Cambria" w:eastAsia="Calibri" w:hAnsi="Cambria" w:cs="Calibri"/>
          <w:sz w:val="18"/>
          <w:szCs w:val="18"/>
        </w:rPr>
        <w:t>an</w:t>
      </w:r>
      <w:r w:rsidRPr="00417DA5">
        <w:rPr>
          <w:rFonts w:ascii="Cambria" w:eastAsia="Calibri" w:hAnsi="Cambria" w:cs="Calibri"/>
          <w:spacing w:val="1"/>
          <w:sz w:val="18"/>
          <w:szCs w:val="18"/>
        </w:rPr>
        <w:t xml:space="preserve"> </w:t>
      </w:r>
      <w:r w:rsidRPr="00417DA5">
        <w:rPr>
          <w:rFonts w:ascii="Cambria" w:eastAsia="Calibri" w:hAnsi="Cambria" w:cs="Calibri"/>
          <w:spacing w:val="3"/>
          <w:sz w:val="18"/>
          <w:szCs w:val="18"/>
        </w:rPr>
        <w:t>“</w:t>
      </w:r>
      <w:r w:rsidRPr="00417DA5">
        <w:rPr>
          <w:rFonts w:ascii="Cambria" w:eastAsia="Calibri" w:hAnsi="Cambria" w:cs="Calibri"/>
          <w:spacing w:val="-1"/>
          <w:sz w:val="18"/>
          <w:szCs w:val="18"/>
        </w:rPr>
        <w:t>s</w:t>
      </w:r>
      <w:r w:rsidRPr="00417DA5">
        <w:rPr>
          <w:rFonts w:ascii="Cambria" w:eastAsia="Calibri" w:hAnsi="Cambria" w:cs="Calibri"/>
          <w:spacing w:val="1"/>
          <w:sz w:val="18"/>
          <w:szCs w:val="18"/>
        </w:rPr>
        <w:t>h</w:t>
      </w:r>
      <w:r w:rsidRPr="00417DA5">
        <w:rPr>
          <w:rFonts w:ascii="Cambria" w:eastAsia="Calibri" w:hAnsi="Cambria" w:cs="Calibri"/>
          <w:sz w:val="18"/>
          <w:szCs w:val="18"/>
        </w:rPr>
        <w:t>am</w:t>
      </w:r>
      <w:r w:rsidRPr="00417DA5">
        <w:rPr>
          <w:rFonts w:ascii="Cambria" w:eastAsia="Calibri" w:hAnsi="Cambria" w:cs="Calibri"/>
          <w:spacing w:val="1"/>
          <w:sz w:val="18"/>
          <w:szCs w:val="18"/>
        </w:rPr>
        <w:t>e</w:t>
      </w:r>
      <w:r w:rsidRPr="00417DA5">
        <w:rPr>
          <w:rFonts w:ascii="Cambria" w:eastAsia="Calibri" w:hAnsi="Cambria" w:cs="Calibri"/>
          <w:spacing w:val="-1"/>
          <w:sz w:val="18"/>
          <w:szCs w:val="18"/>
        </w:rPr>
        <w:t>f</w:t>
      </w:r>
      <w:r w:rsidRPr="00417DA5">
        <w:rPr>
          <w:rFonts w:ascii="Cambria" w:eastAsia="Calibri" w:hAnsi="Cambria" w:cs="Calibri"/>
          <w:spacing w:val="1"/>
          <w:sz w:val="18"/>
          <w:szCs w:val="18"/>
        </w:rPr>
        <w:t>u</w:t>
      </w:r>
      <w:r w:rsidRPr="00417DA5">
        <w:rPr>
          <w:rFonts w:ascii="Cambria" w:eastAsia="Calibri" w:hAnsi="Cambria" w:cs="Calibri"/>
          <w:sz w:val="18"/>
          <w:szCs w:val="18"/>
        </w:rPr>
        <w:t>l</w:t>
      </w:r>
      <w:r w:rsidRPr="00417DA5">
        <w:rPr>
          <w:rFonts w:ascii="Cambria" w:eastAsia="Calibri" w:hAnsi="Cambria" w:cs="Calibri"/>
          <w:spacing w:val="-3"/>
          <w:sz w:val="18"/>
          <w:szCs w:val="18"/>
        </w:rPr>
        <w:t xml:space="preserve"> </w:t>
      </w:r>
      <w:r w:rsidRPr="00417DA5">
        <w:rPr>
          <w:rFonts w:ascii="Cambria" w:eastAsia="Calibri" w:hAnsi="Cambria" w:cs="Calibri"/>
          <w:sz w:val="18"/>
          <w:szCs w:val="18"/>
        </w:rPr>
        <w:t>accor</w:t>
      </w:r>
      <w:r w:rsidRPr="00417DA5">
        <w:rPr>
          <w:rFonts w:ascii="Cambria" w:eastAsia="Calibri" w:hAnsi="Cambria" w:cs="Calibri"/>
          <w:spacing w:val="1"/>
          <w:sz w:val="18"/>
          <w:szCs w:val="18"/>
        </w:rPr>
        <w:t>d</w:t>
      </w:r>
      <w:r w:rsidRPr="00417DA5">
        <w:rPr>
          <w:rFonts w:ascii="Cambria" w:eastAsia="Calibri" w:hAnsi="Cambria" w:cs="Calibri"/>
          <w:sz w:val="18"/>
          <w:szCs w:val="18"/>
        </w:rPr>
        <w:t>i</w:t>
      </w:r>
      <w:r w:rsidRPr="00417DA5">
        <w:rPr>
          <w:rFonts w:ascii="Cambria" w:eastAsia="Calibri" w:hAnsi="Cambria" w:cs="Calibri"/>
          <w:spacing w:val="1"/>
          <w:sz w:val="18"/>
          <w:szCs w:val="18"/>
        </w:rPr>
        <w:t>n</w:t>
      </w:r>
      <w:r w:rsidRPr="00417DA5">
        <w:rPr>
          <w:rFonts w:ascii="Cambria" w:eastAsia="Calibri" w:hAnsi="Cambria" w:cs="Calibri"/>
          <w:sz w:val="18"/>
          <w:szCs w:val="18"/>
        </w:rPr>
        <w:t>g</w:t>
      </w:r>
      <w:r w:rsidRPr="00417DA5">
        <w:rPr>
          <w:rFonts w:ascii="Cambria" w:eastAsia="Calibri" w:hAnsi="Cambria" w:cs="Calibri"/>
          <w:spacing w:val="-1"/>
          <w:sz w:val="18"/>
          <w:szCs w:val="18"/>
        </w:rPr>
        <w:t xml:space="preserve"> </w:t>
      </w:r>
      <w:r w:rsidRPr="00417DA5">
        <w:rPr>
          <w:rFonts w:ascii="Cambria" w:eastAsia="Calibri" w:hAnsi="Cambria" w:cs="Calibri"/>
          <w:sz w:val="18"/>
          <w:szCs w:val="18"/>
        </w:rPr>
        <w:t>to</w:t>
      </w:r>
      <w:r w:rsidRPr="00417DA5">
        <w:rPr>
          <w:rFonts w:ascii="Cambria" w:eastAsia="Calibri" w:hAnsi="Cambria" w:cs="Calibri"/>
          <w:spacing w:val="4"/>
          <w:sz w:val="18"/>
          <w:szCs w:val="18"/>
        </w:rPr>
        <w:t xml:space="preserve"> </w:t>
      </w:r>
      <w:r w:rsidRPr="00417DA5">
        <w:rPr>
          <w:rFonts w:ascii="Cambria" w:eastAsia="Calibri" w:hAnsi="Cambria" w:cs="Calibri"/>
          <w:sz w:val="18"/>
          <w:szCs w:val="18"/>
        </w:rPr>
        <w:t>c</w:t>
      </w:r>
      <w:r w:rsidRPr="00417DA5">
        <w:rPr>
          <w:rFonts w:ascii="Cambria" w:eastAsia="Calibri" w:hAnsi="Cambria" w:cs="Calibri"/>
          <w:spacing w:val="1"/>
          <w:sz w:val="18"/>
          <w:szCs w:val="18"/>
        </w:rPr>
        <w:t>u</w:t>
      </w:r>
      <w:r w:rsidRPr="00417DA5">
        <w:rPr>
          <w:rFonts w:ascii="Cambria" w:eastAsia="Calibri" w:hAnsi="Cambria" w:cs="Calibri"/>
          <w:spacing w:val="3"/>
          <w:sz w:val="18"/>
          <w:szCs w:val="18"/>
        </w:rPr>
        <w:t>l</w:t>
      </w:r>
      <w:r w:rsidRPr="00417DA5">
        <w:rPr>
          <w:rFonts w:ascii="Cambria" w:eastAsia="Calibri" w:hAnsi="Cambria" w:cs="Calibri"/>
          <w:sz w:val="18"/>
          <w:szCs w:val="18"/>
        </w:rPr>
        <w:t>t</w:t>
      </w:r>
      <w:r w:rsidRPr="00417DA5">
        <w:rPr>
          <w:rFonts w:ascii="Cambria" w:eastAsia="Calibri" w:hAnsi="Cambria" w:cs="Calibri"/>
          <w:spacing w:val="1"/>
          <w:sz w:val="18"/>
          <w:szCs w:val="18"/>
        </w:rPr>
        <w:t>u</w:t>
      </w:r>
      <w:r w:rsidRPr="00417DA5">
        <w:rPr>
          <w:rFonts w:ascii="Cambria" w:eastAsia="Calibri" w:hAnsi="Cambria" w:cs="Calibri"/>
          <w:sz w:val="18"/>
          <w:szCs w:val="18"/>
        </w:rPr>
        <w:t xml:space="preserve">ral </w:t>
      </w:r>
      <w:r w:rsidRPr="00417DA5">
        <w:rPr>
          <w:rFonts w:ascii="Cambria" w:eastAsia="Calibri" w:hAnsi="Cambria" w:cs="Calibri"/>
          <w:spacing w:val="1"/>
          <w:sz w:val="18"/>
          <w:szCs w:val="18"/>
        </w:rPr>
        <w:t>n</w:t>
      </w:r>
      <w:r w:rsidRPr="00417DA5">
        <w:rPr>
          <w:rFonts w:ascii="Cambria" w:eastAsia="Calibri" w:hAnsi="Cambria" w:cs="Calibri"/>
          <w:sz w:val="18"/>
          <w:szCs w:val="18"/>
        </w:rPr>
        <w:t>or</w:t>
      </w:r>
      <w:r w:rsidRPr="00417DA5">
        <w:rPr>
          <w:rFonts w:ascii="Cambria" w:eastAsia="Calibri" w:hAnsi="Cambria" w:cs="Calibri"/>
          <w:spacing w:val="2"/>
          <w:sz w:val="18"/>
          <w:szCs w:val="18"/>
        </w:rPr>
        <w:t>m</w:t>
      </w:r>
      <w:r w:rsidRPr="00417DA5">
        <w:rPr>
          <w:rFonts w:ascii="Cambria" w:eastAsia="Calibri" w:hAnsi="Cambria" w:cs="Calibri"/>
          <w:spacing w:val="-1"/>
          <w:sz w:val="18"/>
          <w:szCs w:val="18"/>
        </w:rPr>
        <w:t>s</w:t>
      </w:r>
      <w:r w:rsidRPr="00417DA5">
        <w:rPr>
          <w:rFonts w:ascii="Cambria" w:eastAsia="Calibri" w:hAnsi="Cambria" w:cs="Calibri"/>
          <w:sz w:val="18"/>
          <w:szCs w:val="18"/>
        </w:rPr>
        <w:t>,”</w:t>
      </w:r>
      <w:r w:rsidRPr="00417DA5">
        <w:rPr>
          <w:rFonts w:ascii="Cambria" w:eastAsia="Calibri" w:hAnsi="Cambria" w:cs="Calibri"/>
          <w:spacing w:val="-1"/>
          <w:sz w:val="18"/>
          <w:szCs w:val="18"/>
        </w:rPr>
        <w:t xml:space="preserve"> </w:t>
      </w:r>
      <w:r w:rsidRPr="00417DA5">
        <w:rPr>
          <w:rFonts w:ascii="Cambria" w:eastAsia="Calibri" w:hAnsi="Cambria" w:cs="Calibri"/>
          <w:sz w:val="18"/>
          <w:szCs w:val="18"/>
        </w:rPr>
        <w:t>or</w:t>
      </w:r>
      <w:r w:rsidRPr="00417DA5">
        <w:rPr>
          <w:rFonts w:ascii="Cambria" w:eastAsia="Calibri" w:hAnsi="Cambria" w:cs="Calibri"/>
          <w:spacing w:val="3"/>
          <w:sz w:val="18"/>
          <w:szCs w:val="18"/>
        </w:rPr>
        <w:t xml:space="preserve"> </w:t>
      </w:r>
      <w:r w:rsidRPr="00417DA5">
        <w:rPr>
          <w:rFonts w:ascii="Cambria" w:eastAsia="Calibri" w:hAnsi="Cambria" w:cs="Calibri"/>
          <w:sz w:val="18"/>
          <w:szCs w:val="18"/>
        </w:rPr>
        <w:t>it</w:t>
      </w:r>
      <w:r w:rsidRPr="00417DA5">
        <w:rPr>
          <w:rFonts w:ascii="Cambria" w:eastAsia="Calibri" w:hAnsi="Cambria" w:cs="Calibri"/>
          <w:spacing w:val="4"/>
          <w:sz w:val="18"/>
          <w:szCs w:val="18"/>
        </w:rPr>
        <w:t xml:space="preserve"> </w:t>
      </w:r>
      <w:r w:rsidRPr="00417DA5">
        <w:rPr>
          <w:rFonts w:ascii="Cambria" w:eastAsia="Calibri" w:hAnsi="Cambria" w:cs="Calibri"/>
          <w:sz w:val="18"/>
          <w:szCs w:val="18"/>
        </w:rPr>
        <w:t>co</w:t>
      </w:r>
      <w:r w:rsidRPr="00417DA5">
        <w:rPr>
          <w:rFonts w:ascii="Cambria" w:eastAsia="Calibri" w:hAnsi="Cambria" w:cs="Calibri"/>
          <w:spacing w:val="1"/>
          <w:sz w:val="18"/>
          <w:szCs w:val="18"/>
        </w:rPr>
        <w:t>u</w:t>
      </w:r>
      <w:r w:rsidRPr="00417DA5">
        <w:rPr>
          <w:rFonts w:ascii="Cambria" w:eastAsia="Calibri" w:hAnsi="Cambria" w:cs="Calibri"/>
          <w:sz w:val="18"/>
          <w:szCs w:val="18"/>
        </w:rPr>
        <w:t>ld</w:t>
      </w:r>
      <w:r w:rsidRPr="00417DA5">
        <w:rPr>
          <w:rFonts w:ascii="Cambria" w:eastAsia="Calibri" w:hAnsi="Cambria" w:cs="Calibri"/>
          <w:spacing w:val="4"/>
          <w:sz w:val="18"/>
          <w:szCs w:val="18"/>
        </w:rPr>
        <w:t xml:space="preserve"> </w:t>
      </w:r>
      <w:r w:rsidRPr="00417DA5">
        <w:rPr>
          <w:rFonts w:ascii="Cambria" w:eastAsia="Calibri" w:hAnsi="Cambria" w:cs="Calibri"/>
          <w:spacing w:val="-1"/>
          <w:sz w:val="18"/>
          <w:szCs w:val="18"/>
        </w:rPr>
        <w:t>me</w:t>
      </w:r>
      <w:r w:rsidRPr="00417DA5">
        <w:rPr>
          <w:rFonts w:ascii="Cambria" w:eastAsia="Calibri" w:hAnsi="Cambria" w:cs="Calibri"/>
          <w:sz w:val="18"/>
          <w:szCs w:val="18"/>
        </w:rPr>
        <w:t>an</w:t>
      </w:r>
      <w:r w:rsidRPr="00417DA5">
        <w:rPr>
          <w:rFonts w:ascii="Cambria" w:eastAsia="Calibri" w:hAnsi="Cambria" w:cs="Calibri"/>
          <w:spacing w:val="1"/>
          <w:sz w:val="18"/>
          <w:szCs w:val="18"/>
        </w:rPr>
        <w:t xml:space="preserve"> b</w:t>
      </w:r>
      <w:r w:rsidRPr="00417DA5">
        <w:rPr>
          <w:rFonts w:ascii="Cambria" w:eastAsia="Calibri" w:hAnsi="Cambria" w:cs="Calibri"/>
          <w:sz w:val="18"/>
          <w:szCs w:val="18"/>
        </w:rPr>
        <w:t>ot</w:t>
      </w:r>
      <w:r w:rsidRPr="00417DA5">
        <w:rPr>
          <w:rFonts w:ascii="Cambria" w:eastAsia="Calibri" w:hAnsi="Cambria" w:cs="Calibri"/>
          <w:spacing w:val="1"/>
          <w:sz w:val="18"/>
          <w:szCs w:val="18"/>
        </w:rPr>
        <w:t>h</w:t>
      </w:r>
      <w:r w:rsidRPr="00417DA5">
        <w:rPr>
          <w:rFonts w:ascii="Cambria" w:eastAsia="Calibri" w:hAnsi="Cambria" w:cs="Calibri"/>
          <w:sz w:val="18"/>
          <w:szCs w:val="18"/>
        </w:rPr>
        <w:t>.</w:t>
      </w:r>
      <w:r w:rsidRPr="00417DA5">
        <w:rPr>
          <w:rFonts w:ascii="Cambria" w:eastAsia="Calibri" w:hAnsi="Cambria" w:cs="Calibri"/>
          <w:spacing w:val="1"/>
          <w:sz w:val="18"/>
          <w:szCs w:val="18"/>
        </w:rPr>
        <w:t xml:space="preserve"> Ev</w:t>
      </w:r>
      <w:r w:rsidRPr="00417DA5">
        <w:rPr>
          <w:rFonts w:ascii="Cambria" w:eastAsia="Calibri" w:hAnsi="Cambria" w:cs="Calibri"/>
          <w:spacing w:val="-1"/>
          <w:sz w:val="18"/>
          <w:szCs w:val="18"/>
        </w:rPr>
        <w:t>e</w:t>
      </w:r>
      <w:r w:rsidRPr="00417DA5">
        <w:rPr>
          <w:rFonts w:ascii="Cambria" w:eastAsia="Calibri" w:hAnsi="Cambria" w:cs="Calibri"/>
          <w:sz w:val="18"/>
          <w:szCs w:val="18"/>
        </w:rPr>
        <w:t>n</w:t>
      </w:r>
      <w:r w:rsidRPr="00417DA5">
        <w:rPr>
          <w:rFonts w:ascii="Cambria" w:eastAsia="Calibri" w:hAnsi="Cambria" w:cs="Calibri"/>
          <w:spacing w:val="2"/>
          <w:sz w:val="18"/>
          <w:szCs w:val="18"/>
        </w:rPr>
        <w:t xml:space="preserve"> </w:t>
      </w:r>
      <w:r w:rsidRPr="00417DA5">
        <w:rPr>
          <w:rFonts w:ascii="Cambria" w:eastAsia="Calibri" w:hAnsi="Cambria" w:cs="Calibri"/>
          <w:sz w:val="18"/>
          <w:szCs w:val="18"/>
        </w:rPr>
        <w:t>if</w:t>
      </w:r>
      <w:r w:rsidRPr="00417DA5">
        <w:rPr>
          <w:rFonts w:ascii="Cambria" w:eastAsia="Calibri" w:hAnsi="Cambria" w:cs="Calibri"/>
          <w:spacing w:val="5"/>
          <w:sz w:val="18"/>
          <w:szCs w:val="18"/>
        </w:rPr>
        <w:t xml:space="preserve"> </w:t>
      </w:r>
      <w:r w:rsidRPr="00417DA5">
        <w:rPr>
          <w:rFonts w:ascii="Cambria" w:eastAsia="Calibri" w:hAnsi="Cambria" w:cs="Calibri"/>
          <w:sz w:val="18"/>
          <w:szCs w:val="18"/>
        </w:rPr>
        <w:t>it</w:t>
      </w:r>
      <w:r w:rsidRPr="00417DA5">
        <w:rPr>
          <w:rFonts w:ascii="Cambria" w:eastAsia="Calibri" w:hAnsi="Cambria" w:cs="Calibri"/>
          <w:spacing w:val="7"/>
          <w:sz w:val="18"/>
          <w:szCs w:val="18"/>
        </w:rPr>
        <w:t xml:space="preserve"> </w:t>
      </w:r>
      <w:r w:rsidRPr="00417DA5">
        <w:rPr>
          <w:rFonts w:ascii="Cambria" w:eastAsia="Calibri" w:hAnsi="Cambria" w:cs="Calibri"/>
          <w:spacing w:val="-1"/>
          <w:sz w:val="18"/>
          <w:szCs w:val="18"/>
        </w:rPr>
        <w:t>me</w:t>
      </w:r>
      <w:r w:rsidRPr="00417DA5">
        <w:rPr>
          <w:rFonts w:ascii="Cambria" w:eastAsia="Calibri" w:hAnsi="Cambria" w:cs="Calibri"/>
          <w:sz w:val="18"/>
          <w:szCs w:val="18"/>
        </w:rPr>
        <w:t>a</w:t>
      </w:r>
      <w:r w:rsidRPr="00417DA5">
        <w:rPr>
          <w:rFonts w:ascii="Cambria" w:eastAsia="Calibri" w:hAnsi="Cambria" w:cs="Calibri"/>
          <w:spacing w:val="1"/>
          <w:sz w:val="18"/>
          <w:szCs w:val="18"/>
        </w:rPr>
        <w:t>n</w:t>
      </w:r>
      <w:r w:rsidRPr="00417DA5">
        <w:rPr>
          <w:rFonts w:ascii="Cambria" w:eastAsia="Calibri" w:hAnsi="Cambria" w:cs="Calibri"/>
          <w:sz w:val="18"/>
          <w:szCs w:val="18"/>
        </w:rPr>
        <w:t>s</w:t>
      </w:r>
      <w:r w:rsidRPr="00417DA5">
        <w:rPr>
          <w:rFonts w:ascii="Cambria" w:eastAsia="Calibri" w:hAnsi="Cambria" w:cs="Calibri"/>
          <w:spacing w:val="1"/>
          <w:sz w:val="18"/>
          <w:szCs w:val="18"/>
        </w:rPr>
        <w:t xml:space="preserve"> </w:t>
      </w:r>
      <w:r w:rsidRPr="00417DA5">
        <w:rPr>
          <w:rFonts w:ascii="Cambria" w:eastAsia="Calibri" w:hAnsi="Cambria" w:cs="Calibri"/>
          <w:spacing w:val="3"/>
          <w:sz w:val="18"/>
          <w:szCs w:val="18"/>
        </w:rPr>
        <w:t>t</w:t>
      </w:r>
      <w:r w:rsidRPr="00417DA5">
        <w:rPr>
          <w:rFonts w:ascii="Cambria" w:eastAsia="Calibri" w:hAnsi="Cambria" w:cs="Calibri"/>
          <w:spacing w:val="1"/>
          <w:sz w:val="18"/>
          <w:szCs w:val="18"/>
        </w:rPr>
        <w:t>h</w:t>
      </w:r>
      <w:r w:rsidRPr="00417DA5">
        <w:rPr>
          <w:rFonts w:ascii="Cambria" w:eastAsia="Calibri" w:hAnsi="Cambria" w:cs="Calibri"/>
          <w:sz w:val="18"/>
          <w:szCs w:val="18"/>
        </w:rPr>
        <w:t>e</w:t>
      </w:r>
      <w:r w:rsidRPr="00417DA5">
        <w:rPr>
          <w:rFonts w:ascii="Cambria" w:eastAsia="Calibri" w:hAnsi="Cambria" w:cs="Calibri"/>
          <w:spacing w:val="1"/>
          <w:sz w:val="18"/>
          <w:szCs w:val="18"/>
        </w:rPr>
        <w:t xml:space="preserve"> </w:t>
      </w:r>
      <w:r w:rsidRPr="00417DA5">
        <w:rPr>
          <w:rFonts w:ascii="Cambria" w:eastAsia="Calibri" w:hAnsi="Cambria" w:cs="Calibri"/>
          <w:sz w:val="18"/>
          <w:szCs w:val="18"/>
        </w:rPr>
        <w:t>la</w:t>
      </w:r>
      <w:r w:rsidRPr="00417DA5">
        <w:rPr>
          <w:rFonts w:ascii="Cambria" w:eastAsia="Calibri" w:hAnsi="Cambria" w:cs="Calibri"/>
          <w:spacing w:val="1"/>
          <w:sz w:val="18"/>
          <w:szCs w:val="18"/>
        </w:rPr>
        <w:t>t</w:t>
      </w:r>
      <w:r w:rsidRPr="00417DA5">
        <w:rPr>
          <w:rFonts w:ascii="Cambria" w:eastAsia="Calibri" w:hAnsi="Cambria" w:cs="Calibri"/>
          <w:sz w:val="18"/>
          <w:szCs w:val="18"/>
        </w:rPr>
        <w:t>ter, t</w:t>
      </w:r>
      <w:r w:rsidRPr="00417DA5">
        <w:rPr>
          <w:rFonts w:ascii="Cambria" w:eastAsia="Calibri" w:hAnsi="Cambria" w:cs="Calibri"/>
          <w:spacing w:val="1"/>
          <w:sz w:val="18"/>
          <w:szCs w:val="18"/>
        </w:rPr>
        <w:t>h</w:t>
      </w:r>
      <w:r w:rsidRPr="00417DA5">
        <w:rPr>
          <w:rFonts w:ascii="Cambria" w:eastAsia="Calibri" w:hAnsi="Cambria" w:cs="Calibri"/>
          <w:spacing w:val="2"/>
          <w:sz w:val="18"/>
          <w:szCs w:val="18"/>
        </w:rPr>
        <w:t>i</w:t>
      </w:r>
      <w:r w:rsidRPr="00417DA5">
        <w:rPr>
          <w:rFonts w:ascii="Cambria" w:eastAsia="Calibri" w:hAnsi="Cambria" w:cs="Calibri"/>
          <w:sz w:val="18"/>
          <w:szCs w:val="18"/>
        </w:rPr>
        <w:t>s</w:t>
      </w:r>
      <w:r w:rsidRPr="00417DA5">
        <w:rPr>
          <w:rFonts w:ascii="Cambria" w:eastAsia="Calibri" w:hAnsi="Cambria" w:cs="Calibri"/>
          <w:spacing w:val="1"/>
          <w:sz w:val="18"/>
          <w:szCs w:val="18"/>
        </w:rPr>
        <w:t xml:space="preserve"> </w:t>
      </w:r>
      <w:r w:rsidRPr="00417DA5">
        <w:rPr>
          <w:rFonts w:ascii="Cambria" w:eastAsia="Calibri" w:hAnsi="Cambria" w:cs="Calibri"/>
          <w:spacing w:val="2"/>
          <w:sz w:val="18"/>
          <w:szCs w:val="18"/>
        </w:rPr>
        <w:t>i</w:t>
      </w:r>
      <w:r w:rsidRPr="00417DA5">
        <w:rPr>
          <w:rFonts w:ascii="Cambria" w:eastAsia="Calibri" w:hAnsi="Cambria" w:cs="Calibri"/>
          <w:sz w:val="18"/>
          <w:szCs w:val="18"/>
        </w:rPr>
        <w:t>s</w:t>
      </w:r>
      <w:r w:rsidRPr="00417DA5">
        <w:rPr>
          <w:rFonts w:ascii="Cambria" w:eastAsia="Calibri" w:hAnsi="Cambria" w:cs="Calibri"/>
          <w:spacing w:val="3"/>
          <w:sz w:val="18"/>
          <w:szCs w:val="18"/>
        </w:rPr>
        <w:t xml:space="preserve"> </w:t>
      </w:r>
      <w:r w:rsidRPr="00417DA5">
        <w:rPr>
          <w:rFonts w:ascii="Cambria" w:eastAsia="Calibri" w:hAnsi="Cambria" w:cs="Calibri"/>
          <w:sz w:val="18"/>
          <w:szCs w:val="18"/>
        </w:rPr>
        <w:t>a</w:t>
      </w:r>
      <w:r w:rsidRPr="00417DA5">
        <w:rPr>
          <w:rFonts w:ascii="Cambria" w:eastAsia="Calibri" w:hAnsi="Cambria" w:cs="Calibri"/>
          <w:spacing w:val="7"/>
          <w:sz w:val="18"/>
          <w:szCs w:val="18"/>
        </w:rPr>
        <w:t xml:space="preserve"> </w:t>
      </w:r>
      <w:r w:rsidRPr="00417DA5">
        <w:rPr>
          <w:rFonts w:ascii="Cambria" w:eastAsia="Calibri" w:hAnsi="Cambria" w:cs="Calibri"/>
          <w:spacing w:val="-1"/>
          <w:sz w:val="18"/>
          <w:szCs w:val="18"/>
        </w:rPr>
        <w:t>s</w:t>
      </w:r>
      <w:r w:rsidRPr="00417DA5">
        <w:rPr>
          <w:rFonts w:ascii="Cambria" w:eastAsia="Calibri" w:hAnsi="Cambria" w:cs="Calibri"/>
          <w:sz w:val="18"/>
          <w:szCs w:val="18"/>
        </w:rPr>
        <w:t>l</w:t>
      </w:r>
      <w:r w:rsidRPr="00417DA5">
        <w:rPr>
          <w:rFonts w:ascii="Cambria" w:eastAsia="Calibri" w:hAnsi="Cambria" w:cs="Calibri"/>
          <w:spacing w:val="-1"/>
          <w:sz w:val="18"/>
          <w:szCs w:val="18"/>
        </w:rPr>
        <w:t>e</w:t>
      </w:r>
      <w:r w:rsidRPr="00417DA5">
        <w:rPr>
          <w:rFonts w:ascii="Cambria" w:eastAsia="Calibri" w:hAnsi="Cambria" w:cs="Calibri"/>
          <w:spacing w:val="1"/>
          <w:sz w:val="18"/>
          <w:szCs w:val="18"/>
        </w:rPr>
        <w:t>nd</w:t>
      </w:r>
      <w:r w:rsidRPr="00417DA5">
        <w:rPr>
          <w:rFonts w:ascii="Cambria" w:eastAsia="Calibri" w:hAnsi="Cambria" w:cs="Calibri"/>
          <w:spacing w:val="-1"/>
          <w:sz w:val="18"/>
          <w:szCs w:val="18"/>
        </w:rPr>
        <w:t>e</w:t>
      </w:r>
      <w:r w:rsidRPr="00417DA5">
        <w:rPr>
          <w:rFonts w:ascii="Cambria" w:eastAsia="Calibri" w:hAnsi="Cambria" w:cs="Calibri"/>
          <w:sz w:val="18"/>
          <w:szCs w:val="18"/>
        </w:rPr>
        <w:t>r</w:t>
      </w:r>
      <w:r w:rsidRPr="00417DA5">
        <w:rPr>
          <w:rFonts w:ascii="Cambria" w:eastAsia="Calibri" w:hAnsi="Cambria" w:cs="Calibri"/>
          <w:spacing w:val="1"/>
          <w:sz w:val="18"/>
          <w:szCs w:val="18"/>
        </w:rPr>
        <w:t xml:space="preserve"> b</w:t>
      </w:r>
      <w:r w:rsidRPr="00417DA5">
        <w:rPr>
          <w:rFonts w:ascii="Cambria" w:eastAsia="Calibri" w:hAnsi="Cambria" w:cs="Calibri"/>
          <w:sz w:val="18"/>
          <w:szCs w:val="18"/>
        </w:rPr>
        <w:t>as</w:t>
      </w:r>
      <w:r w:rsidRPr="00417DA5">
        <w:rPr>
          <w:rFonts w:ascii="Cambria" w:eastAsia="Calibri" w:hAnsi="Cambria" w:cs="Calibri"/>
          <w:spacing w:val="1"/>
          <w:sz w:val="18"/>
          <w:szCs w:val="18"/>
        </w:rPr>
        <w:t>i</w:t>
      </w:r>
      <w:r w:rsidRPr="00417DA5">
        <w:rPr>
          <w:rFonts w:ascii="Cambria" w:eastAsia="Calibri" w:hAnsi="Cambria" w:cs="Calibri"/>
          <w:sz w:val="18"/>
          <w:szCs w:val="18"/>
        </w:rPr>
        <w:t>s on</w:t>
      </w:r>
      <w:r w:rsidRPr="00417DA5">
        <w:rPr>
          <w:rFonts w:ascii="Cambria" w:eastAsia="Calibri" w:hAnsi="Cambria" w:cs="Calibri"/>
          <w:spacing w:val="6"/>
          <w:sz w:val="18"/>
          <w:szCs w:val="18"/>
        </w:rPr>
        <w:t xml:space="preserve"> </w:t>
      </w:r>
      <w:r w:rsidRPr="00417DA5">
        <w:rPr>
          <w:rFonts w:ascii="Cambria" w:eastAsia="Calibri" w:hAnsi="Cambria" w:cs="Calibri"/>
          <w:spacing w:val="-1"/>
          <w:sz w:val="18"/>
          <w:szCs w:val="18"/>
        </w:rPr>
        <w:t>w</w:t>
      </w:r>
      <w:r w:rsidRPr="00417DA5">
        <w:rPr>
          <w:rFonts w:ascii="Cambria" w:eastAsia="Calibri" w:hAnsi="Cambria" w:cs="Calibri"/>
          <w:spacing w:val="1"/>
          <w:sz w:val="18"/>
          <w:szCs w:val="18"/>
        </w:rPr>
        <w:t>h</w:t>
      </w:r>
      <w:r w:rsidRPr="00417DA5">
        <w:rPr>
          <w:rFonts w:ascii="Cambria" w:eastAsia="Calibri" w:hAnsi="Cambria" w:cs="Calibri"/>
          <w:sz w:val="18"/>
          <w:szCs w:val="18"/>
        </w:rPr>
        <w:t>ich to</w:t>
      </w:r>
      <w:r w:rsidRPr="00417DA5">
        <w:rPr>
          <w:rFonts w:ascii="Cambria" w:eastAsia="Calibri" w:hAnsi="Cambria" w:cs="Calibri"/>
          <w:spacing w:val="-1"/>
          <w:sz w:val="18"/>
          <w:szCs w:val="18"/>
        </w:rPr>
        <w:t xml:space="preserve"> </w:t>
      </w:r>
      <w:r w:rsidRPr="00417DA5">
        <w:rPr>
          <w:rFonts w:ascii="Cambria" w:eastAsia="Calibri" w:hAnsi="Cambria" w:cs="Calibri"/>
          <w:spacing w:val="1"/>
          <w:sz w:val="18"/>
          <w:szCs w:val="18"/>
        </w:rPr>
        <w:t>bu</w:t>
      </w:r>
      <w:r w:rsidRPr="00417DA5">
        <w:rPr>
          <w:rFonts w:ascii="Cambria" w:eastAsia="Calibri" w:hAnsi="Cambria" w:cs="Calibri"/>
          <w:sz w:val="18"/>
          <w:szCs w:val="18"/>
        </w:rPr>
        <w:t>ild</w:t>
      </w:r>
      <w:r w:rsidRPr="00417DA5">
        <w:rPr>
          <w:rFonts w:ascii="Cambria" w:eastAsia="Calibri" w:hAnsi="Cambria" w:cs="Calibri"/>
          <w:spacing w:val="-3"/>
          <w:sz w:val="18"/>
          <w:szCs w:val="18"/>
        </w:rPr>
        <w:t xml:space="preserve"> </w:t>
      </w:r>
      <w:r w:rsidRPr="00417DA5">
        <w:rPr>
          <w:rFonts w:ascii="Cambria" w:eastAsia="Calibri" w:hAnsi="Cambria" w:cs="Calibri"/>
          <w:sz w:val="18"/>
          <w:szCs w:val="18"/>
        </w:rPr>
        <w:t>an</w:t>
      </w:r>
      <w:r w:rsidRPr="00417DA5">
        <w:rPr>
          <w:rFonts w:ascii="Cambria" w:eastAsia="Calibri" w:hAnsi="Cambria" w:cs="Calibri"/>
          <w:spacing w:val="-1"/>
          <w:sz w:val="18"/>
          <w:szCs w:val="18"/>
        </w:rPr>
        <w:t xml:space="preserve"> </w:t>
      </w:r>
      <w:r w:rsidRPr="00417DA5">
        <w:rPr>
          <w:rFonts w:ascii="Cambria" w:eastAsia="Calibri" w:hAnsi="Cambria" w:cs="Calibri"/>
          <w:sz w:val="18"/>
          <w:szCs w:val="18"/>
        </w:rPr>
        <w:t>e</w:t>
      </w:r>
      <w:r w:rsidRPr="00417DA5">
        <w:rPr>
          <w:rFonts w:ascii="Cambria" w:eastAsia="Calibri" w:hAnsi="Cambria" w:cs="Calibri"/>
          <w:spacing w:val="1"/>
          <w:sz w:val="18"/>
          <w:szCs w:val="18"/>
        </w:rPr>
        <w:t>n</w:t>
      </w:r>
      <w:r w:rsidRPr="00417DA5">
        <w:rPr>
          <w:rFonts w:ascii="Cambria" w:eastAsia="Calibri" w:hAnsi="Cambria" w:cs="Calibri"/>
          <w:sz w:val="18"/>
          <w:szCs w:val="18"/>
        </w:rPr>
        <w:t>tire</w:t>
      </w:r>
      <w:r w:rsidRPr="00417DA5">
        <w:rPr>
          <w:rFonts w:ascii="Cambria" w:eastAsia="Calibri" w:hAnsi="Cambria" w:cs="Calibri"/>
          <w:spacing w:val="-5"/>
          <w:sz w:val="18"/>
          <w:szCs w:val="18"/>
        </w:rPr>
        <w:t xml:space="preserve"> </w:t>
      </w:r>
      <w:r w:rsidRPr="00417DA5">
        <w:rPr>
          <w:rFonts w:ascii="Cambria" w:eastAsia="Calibri" w:hAnsi="Cambria" w:cs="Calibri"/>
          <w:sz w:val="18"/>
          <w:szCs w:val="18"/>
        </w:rPr>
        <w:t>ca</w:t>
      </w:r>
      <w:r w:rsidRPr="00417DA5">
        <w:rPr>
          <w:rFonts w:ascii="Cambria" w:eastAsia="Calibri" w:hAnsi="Cambria" w:cs="Calibri"/>
          <w:spacing w:val="-1"/>
          <w:sz w:val="18"/>
          <w:szCs w:val="18"/>
        </w:rPr>
        <w:t>se</w:t>
      </w:r>
      <w:r w:rsidRPr="00417DA5">
        <w:rPr>
          <w:rFonts w:ascii="Cambria" w:eastAsia="Calibri" w:hAnsi="Cambria" w:cs="Calibri"/>
          <w:sz w:val="18"/>
          <w:szCs w:val="18"/>
        </w:rPr>
        <w:t>,</w:t>
      </w:r>
      <w:r w:rsidRPr="00417DA5">
        <w:rPr>
          <w:rFonts w:ascii="Cambria" w:eastAsia="Calibri" w:hAnsi="Cambria" w:cs="Calibri"/>
          <w:spacing w:val="-4"/>
          <w:sz w:val="18"/>
          <w:szCs w:val="18"/>
        </w:rPr>
        <w:t xml:space="preserve"> </w:t>
      </w:r>
      <w:r w:rsidRPr="00417DA5">
        <w:rPr>
          <w:rFonts w:ascii="Cambria" w:eastAsia="Calibri" w:hAnsi="Cambria" w:cs="Calibri"/>
          <w:spacing w:val="1"/>
          <w:sz w:val="18"/>
          <w:szCs w:val="18"/>
        </w:rPr>
        <w:t>an</w:t>
      </w:r>
      <w:r w:rsidRPr="00417DA5">
        <w:rPr>
          <w:rFonts w:ascii="Cambria" w:eastAsia="Calibri" w:hAnsi="Cambria" w:cs="Calibri"/>
          <w:sz w:val="18"/>
          <w:szCs w:val="18"/>
        </w:rPr>
        <w:t>d</w:t>
      </w:r>
      <w:r w:rsidRPr="00417DA5">
        <w:rPr>
          <w:rFonts w:ascii="Cambria" w:eastAsia="Calibri" w:hAnsi="Cambria" w:cs="Calibri"/>
          <w:spacing w:val="-2"/>
          <w:sz w:val="18"/>
          <w:szCs w:val="18"/>
        </w:rPr>
        <w:t xml:space="preserve"> </w:t>
      </w:r>
      <w:r w:rsidRPr="00417DA5">
        <w:rPr>
          <w:rFonts w:ascii="Cambria" w:eastAsia="Calibri" w:hAnsi="Cambria" w:cs="Calibri"/>
          <w:spacing w:val="-1"/>
          <w:sz w:val="18"/>
          <w:szCs w:val="18"/>
        </w:rPr>
        <w:t>d</w:t>
      </w:r>
      <w:r w:rsidRPr="00417DA5">
        <w:rPr>
          <w:rFonts w:ascii="Cambria" w:eastAsia="Calibri" w:hAnsi="Cambria" w:cs="Calibri"/>
          <w:sz w:val="18"/>
          <w:szCs w:val="18"/>
        </w:rPr>
        <w:t>o</w:t>
      </w:r>
      <w:r w:rsidRPr="00417DA5">
        <w:rPr>
          <w:rFonts w:ascii="Cambria" w:eastAsia="Calibri" w:hAnsi="Cambria" w:cs="Calibri"/>
          <w:spacing w:val="-1"/>
          <w:sz w:val="18"/>
          <w:szCs w:val="18"/>
        </w:rPr>
        <w:t>e</w:t>
      </w:r>
      <w:r w:rsidRPr="00417DA5">
        <w:rPr>
          <w:rFonts w:ascii="Cambria" w:eastAsia="Calibri" w:hAnsi="Cambria" w:cs="Calibri"/>
          <w:sz w:val="18"/>
          <w:szCs w:val="18"/>
        </w:rPr>
        <w:t>s</w:t>
      </w:r>
      <w:r w:rsidRPr="00417DA5">
        <w:rPr>
          <w:rFonts w:ascii="Cambria" w:eastAsia="Calibri" w:hAnsi="Cambria" w:cs="Calibri"/>
          <w:spacing w:val="-5"/>
          <w:sz w:val="18"/>
          <w:szCs w:val="18"/>
        </w:rPr>
        <w:t xml:space="preserve"> </w:t>
      </w:r>
      <w:r w:rsidRPr="00417DA5">
        <w:rPr>
          <w:rFonts w:ascii="Cambria" w:eastAsia="Calibri" w:hAnsi="Cambria" w:cs="Calibri"/>
          <w:spacing w:val="1"/>
          <w:sz w:val="18"/>
          <w:szCs w:val="18"/>
        </w:rPr>
        <w:t>n</w:t>
      </w:r>
      <w:r w:rsidRPr="00417DA5">
        <w:rPr>
          <w:rFonts w:ascii="Cambria" w:eastAsia="Calibri" w:hAnsi="Cambria" w:cs="Calibri"/>
          <w:sz w:val="18"/>
          <w:szCs w:val="18"/>
        </w:rPr>
        <w:t>ot</w:t>
      </w:r>
      <w:r w:rsidRPr="00417DA5">
        <w:rPr>
          <w:rFonts w:ascii="Cambria" w:eastAsia="Calibri" w:hAnsi="Cambria" w:cs="Calibri"/>
          <w:spacing w:val="-2"/>
          <w:sz w:val="18"/>
          <w:szCs w:val="18"/>
        </w:rPr>
        <w:t xml:space="preserve"> </w:t>
      </w:r>
      <w:r w:rsidRPr="00417DA5">
        <w:rPr>
          <w:rFonts w:ascii="Cambria" w:eastAsia="Calibri" w:hAnsi="Cambria" w:cs="Calibri"/>
          <w:spacing w:val="1"/>
          <w:sz w:val="18"/>
          <w:szCs w:val="18"/>
        </w:rPr>
        <w:t>nu</w:t>
      </w:r>
      <w:r w:rsidRPr="00417DA5">
        <w:rPr>
          <w:rFonts w:ascii="Cambria" w:eastAsia="Calibri" w:hAnsi="Cambria" w:cs="Calibri"/>
          <w:sz w:val="18"/>
          <w:szCs w:val="18"/>
        </w:rPr>
        <w:t>lli</w:t>
      </w:r>
      <w:r w:rsidRPr="00417DA5">
        <w:rPr>
          <w:rFonts w:ascii="Cambria" w:eastAsia="Calibri" w:hAnsi="Cambria" w:cs="Calibri"/>
          <w:spacing w:val="-1"/>
          <w:sz w:val="18"/>
          <w:szCs w:val="18"/>
        </w:rPr>
        <w:t>f</w:t>
      </w:r>
      <w:r w:rsidRPr="00417DA5">
        <w:rPr>
          <w:rFonts w:ascii="Cambria" w:eastAsia="Calibri" w:hAnsi="Cambria" w:cs="Calibri"/>
          <w:sz w:val="18"/>
          <w:szCs w:val="18"/>
        </w:rPr>
        <w:t>y</w:t>
      </w:r>
      <w:r w:rsidRPr="00417DA5">
        <w:rPr>
          <w:rFonts w:ascii="Cambria" w:eastAsia="Calibri" w:hAnsi="Cambria" w:cs="Calibri"/>
          <w:spacing w:val="-4"/>
          <w:sz w:val="18"/>
          <w:szCs w:val="18"/>
        </w:rPr>
        <w:t xml:space="preserve"> </w:t>
      </w:r>
      <w:r w:rsidRPr="00417DA5">
        <w:rPr>
          <w:rFonts w:ascii="Cambria" w:eastAsia="Calibri" w:hAnsi="Cambria" w:cs="Calibri"/>
          <w:spacing w:val="1"/>
          <w:sz w:val="18"/>
          <w:szCs w:val="18"/>
        </w:rPr>
        <w:t>th</w:t>
      </w:r>
      <w:r w:rsidRPr="00417DA5">
        <w:rPr>
          <w:rFonts w:ascii="Cambria" w:eastAsia="Calibri" w:hAnsi="Cambria" w:cs="Calibri"/>
          <w:sz w:val="18"/>
          <w:szCs w:val="18"/>
        </w:rPr>
        <w:t>e</w:t>
      </w:r>
      <w:r w:rsidRPr="00417DA5">
        <w:rPr>
          <w:rFonts w:ascii="Cambria" w:eastAsia="Calibri" w:hAnsi="Cambria" w:cs="Calibri"/>
          <w:spacing w:val="-4"/>
          <w:sz w:val="18"/>
          <w:szCs w:val="18"/>
        </w:rPr>
        <w:t xml:space="preserve"> </w:t>
      </w:r>
      <w:r w:rsidRPr="00417DA5">
        <w:rPr>
          <w:rFonts w:ascii="Cambria" w:eastAsia="Calibri" w:hAnsi="Cambria" w:cs="Calibri"/>
          <w:spacing w:val="1"/>
          <w:sz w:val="18"/>
          <w:szCs w:val="18"/>
        </w:rPr>
        <w:t>o</w:t>
      </w:r>
      <w:r w:rsidRPr="00417DA5">
        <w:rPr>
          <w:rFonts w:ascii="Cambria" w:eastAsia="Calibri" w:hAnsi="Cambria" w:cs="Calibri"/>
          <w:sz w:val="18"/>
          <w:szCs w:val="18"/>
        </w:rPr>
        <w:t>t</w:t>
      </w:r>
      <w:r w:rsidRPr="00417DA5">
        <w:rPr>
          <w:rFonts w:ascii="Cambria" w:eastAsia="Calibri" w:hAnsi="Cambria" w:cs="Calibri"/>
          <w:spacing w:val="1"/>
          <w:sz w:val="18"/>
          <w:szCs w:val="18"/>
        </w:rPr>
        <w:t>h</w:t>
      </w:r>
      <w:r w:rsidRPr="00417DA5">
        <w:rPr>
          <w:rFonts w:ascii="Cambria" w:eastAsia="Calibri" w:hAnsi="Cambria" w:cs="Calibri"/>
          <w:spacing w:val="-1"/>
          <w:sz w:val="18"/>
          <w:szCs w:val="18"/>
        </w:rPr>
        <w:t>e</w:t>
      </w:r>
      <w:r w:rsidRPr="00417DA5">
        <w:rPr>
          <w:rFonts w:ascii="Cambria" w:eastAsia="Calibri" w:hAnsi="Cambria" w:cs="Calibri"/>
          <w:sz w:val="18"/>
          <w:szCs w:val="18"/>
        </w:rPr>
        <w:t>r</w:t>
      </w:r>
      <w:r w:rsidRPr="00417DA5">
        <w:rPr>
          <w:rFonts w:ascii="Cambria" w:eastAsia="Calibri" w:hAnsi="Cambria" w:cs="Calibri"/>
          <w:spacing w:val="-4"/>
          <w:sz w:val="18"/>
          <w:szCs w:val="18"/>
        </w:rPr>
        <w:t xml:space="preserve"> </w:t>
      </w:r>
      <w:r w:rsidRPr="00417DA5">
        <w:rPr>
          <w:rFonts w:ascii="Cambria" w:eastAsia="Calibri" w:hAnsi="Cambria" w:cs="Calibri"/>
          <w:sz w:val="18"/>
          <w:szCs w:val="18"/>
        </w:rPr>
        <w:t>r</w:t>
      </w:r>
      <w:r w:rsidRPr="00417DA5">
        <w:rPr>
          <w:rFonts w:ascii="Cambria" w:eastAsia="Calibri" w:hAnsi="Cambria" w:cs="Calibri"/>
          <w:spacing w:val="-1"/>
          <w:sz w:val="18"/>
          <w:szCs w:val="18"/>
        </w:rPr>
        <w:t>e</w:t>
      </w:r>
      <w:r w:rsidRPr="00417DA5">
        <w:rPr>
          <w:rFonts w:ascii="Cambria" w:eastAsia="Calibri" w:hAnsi="Cambria" w:cs="Calibri"/>
          <w:sz w:val="18"/>
          <w:szCs w:val="18"/>
        </w:rPr>
        <w:t>as</w:t>
      </w:r>
      <w:r w:rsidRPr="00417DA5">
        <w:rPr>
          <w:rFonts w:ascii="Cambria" w:eastAsia="Calibri" w:hAnsi="Cambria" w:cs="Calibri"/>
          <w:spacing w:val="2"/>
          <w:sz w:val="18"/>
          <w:szCs w:val="18"/>
        </w:rPr>
        <w:t>o</w:t>
      </w:r>
      <w:r w:rsidRPr="00417DA5">
        <w:rPr>
          <w:rFonts w:ascii="Cambria" w:eastAsia="Calibri" w:hAnsi="Cambria" w:cs="Calibri"/>
          <w:spacing w:val="1"/>
          <w:sz w:val="18"/>
          <w:szCs w:val="18"/>
        </w:rPr>
        <w:t>n</w:t>
      </w:r>
      <w:r w:rsidRPr="00417DA5">
        <w:rPr>
          <w:rFonts w:ascii="Cambria" w:eastAsia="Calibri" w:hAnsi="Cambria" w:cs="Calibri"/>
          <w:sz w:val="18"/>
          <w:szCs w:val="18"/>
        </w:rPr>
        <w:t>s</w:t>
      </w:r>
      <w:r w:rsidRPr="00417DA5">
        <w:rPr>
          <w:rFonts w:ascii="Cambria" w:eastAsia="Calibri" w:hAnsi="Cambria" w:cs="Calibri"/>
          <w:spacing w:val="-7"/>
          <w:sz w:val="18"/>
          <w:szCs w:val="18"/>
        </w:rPr>
        <w:t xml:space="preserve"> </w:t>
      </w:r>
      <w:r w:rsidRPr="00417DA5">
        <w:rPr>
          <w:rFonts w:ascii="Cambria" w:eastAsia="Calibri" w:hAnsi="Cambria" w:cs="Calibri"/>
          <w:spacing w:val="1"/>
          <w:sz w:val="18"/>
          <w:szCs w:val="18"/>
        </w:rPr>
        <w:t>P</w:t>
      </w:r>
      <w:r w:rsidRPr="00417DA5">
        <w:rPr>
          <w:rFonts w:ascii="Cambria" w:eastAsia="Calibri" w:hAnsi="Cambria" w:cs="Calibri"/>
          <w:sz w:val="18"/>
          <w:szCs w:val="18"/>
        </w:rPr>
        <w:t>a</w:t>
      </w:r>
      <w:r w:rsidRPr="00417DA5">
        <w:rPr>
          <w:rFonts w:ascii="Cambria" w:eastAsia="Calibri" w:hAnsi="Cambria" w:cs="Calibri"/>
          <w:spacing w:val="1"/>
          <w:sz w:val="18"/>
          <w:szCs w:val="18"/>
        </w:rPr>
        <w:t>u</w:t>
      </w:r>
      <w:r w:rsidRPr="00417DA5">
        <w:rPr>
          <w:rFonts w:ascii="Cambria" w:eastAsia="Calibri" w:hAnsi="Cambria" w:cs="Calibri"/>
          <w:sz w:val="18"/>
          <w:szCs w:val="18"/>
        </w:rPr>
        <w:t>l</w:t>
      </w:r>
      <w:r w:rsidRPr="00417DA5">
        <w:rPr>
          <w:rFonts w:ascii="Cambria" w:eastAsia="Calibri" w:hAnsi="Cambria" w:cs="Calibri"/>
          <w:spacing w:val="-3"/>
          <w:sz w:val="18"/>
          <w:szCs w:val="18"/>
        </w:rPr>
        <w:t xml:space="preserve"> </w:t>
      </w:r>
      <w:r w:rsidRPr="00417DA5">
        <w:rPr>
          <w:rFonts w:ascii="Cambria" w:eastAsia="Calibri" w:hAnsi="Cambria" w:cs="Calibri"/>
          <w:sz w:val="18"/>
          <w:szCs w:val="18"/>
        </w:rPr>
        <w:t>gi</w:t>
      </w:r>
      <w:r w:rsidRPr="00417DA5">
        <w:rPr>
          <w:rFonts w:ascii="Cambria" w:eastAsia="Calibri" w:hAnsi="Cambria" w:cs="Calibri"/>
          <w:spacing w:val="-1"/>
          <w:sz w:val="18"/>
          <w:szCs w:val="18"/>
        </w:rPr>
        <w:t>v</w:t>
      </w:r>
      <w:r w:rsidRPr="00417DA5">
        <w:rPr>
          <w:rFonts w:ascii="Cambria" w:eastAsia="Calibri" w:hAnsi="Cambria" w:cs="Calibri"/>
          <w:spacing w:val="1"/>
          <w:sz w:val="18"/>
          <w:szCs w:val="18"/>
        </w:rPr>
        <w:t>e</w:t>
      </w:r>
      <w:r w:rsidRPr="00417DA5">
        <w:rPr>
          <w:rFonts w:ascii="Cambria" w:eastAsia="Calibri" w:hAnsi="Cambria" w:cs="Calibri"/>
          <w:sz w:val="18"/>
          <w:szCs w:val="18"/>
        </w:rPr>
        <w:t>s</w:t>
      </w:r>
      <w:r w:rsidRPr="00417DA5">
        <w:rPr>
          <w:rFonts w:ascii="Cambria" w:eastAsia="Calibri" w:hAnsi="Cambria" w:cs="Calibri"/>
          <w:spacing w:val="-5"/>
          <w:sz w:val="18"/>
          <w:szCs w:val="18"/>
        </w:rPr>
        <w:t xml:space="preserve"> </w:t>
      </w:r>
      <w:r w:rsidRPr="00417DA5">
        <w:rPr>
          <w:rFonts w:ascii="Cambria" w:eastAsia="Calibri" w:hAnsi="Cambria" w:cs="Calibri"/>
          <w:sz w:val="18"/>
          <w:szCs w:val="18"/>
        </w:rPr>
        <w:t>for</w:t>
      </w:r>
      <w:r w:rsidRPr="00417DA5">
        <w:rPr>
          <w:rFonts w:ascii="Cambria" w:eastAsia="Calibri" w:hAnsi="Cambria" w:cs="Calibri"/>
          <w:spacing w:val="-1"/>
          <w:sz w:val="18"/>
          <w:szCs w:val="18"/>
        </w:rPr>
        <w:t xml:space="preserve"> </w:t>
      </w:r>
      <w:r w:rsidRPr="00417DA5">
        <w:rPr>
          <w:rFonts w:ascii="Cambria" w:eastAsia="Calibri" w:hAnsi="Cambria" w:cs="Calibri"/>
          <w:spacing w:val="1"/>
          <w:sz w:val="18"/>
          <w:szCs w:val="18"/>
        </w:rPr>
        <w:t>h</w:t>
      </w:r>
      <w:r w:rsidRPr="00417DA5">
        <w:rPr>
          <w:rFonts w:ascii="Cambria" w:eastAsia="Calibri" w:hAnsi="Cambria" w:cs="Calibri"/>
          <w:spacing w:val="2"/>
          <w:sz w:val="18"/>
          <w:szCs w:val="18"/>
        </w:rPr>
        <w:t>i</w:t>
      </w:r>
      <w:r w:rsidRPr="00417DA5">
        <w:rPr>
          <w:rFonts w:ascii="Cambria" w:eastAsia="Calibri" w:hAnsi="Cambria" w:cs="Calibri"/>
          <w:sz w:val="18"/>
          <w:szCs w:val="18"/>
        </w:rPr>
        <w:t>s</w:t>
      </w:r>
      <w:r w:rsidRPr="00417DA5">
        <w:rPr>
          <w:rFonts w:ascii="Cambria" w:eastAsia="Calibri" w:hAnsi="Cambria" w:cs="Calibri"/>
          <w:spacing w:val="-3"/>
          <w:sz w:val="18"/>
          <w:szCs w:val="18"/>
        </w:rPr>
        <w:t xml:space="preserve"> </w:t>
      </w:r>
      <w:r w:rsidRPr="00417DA5">
        <w:rPr>
          <w:rFonts w:ascii="Cambria" w:eastAsia="Calibri" w:hAnsi="Cambria" w:cs="Calibri"/>
          <w:spacing w:val="1"/>
          <w:sz w:val="18"/>
          <w:szCs w:val="18"/>
        </w:rPr>
        <w:t>p</w:t>
      </w:r>
      <w:r w:rsidRPr="00417DA5">
        <w:rPr>
          <w:rFonts w:ascii="Cambria" w:eastAsia="Calibri" w:hAnsi="Cambria" w:cs="Calibri"/>
          <w:sz w:val="18"/>
          <w:szCs w:val="18"/>
        </w:rPr>
        <w:t>r</w:t>
      </w:r>
      <w:r w:rsidRPr="00417DA5">
        <w:rPr>
          <w:rFonts w:ascii="Cambria" w:eastAsia="Calibri" w:hAnsi="Cambria" w:cs="Calibri"/>
          <w:spacing w:val="1"/>
          <w:sz w:val="18"/>
          <w:szCs w:val="18"/>
        </w:rPr>
        <w:t>oh</w:t>
      </w:r>
      <w:r w:rsidRPr="00417DA5">
        <w:rPr>
          <w:rFonts w:ascii="Cambria" w:eastAsia="Calibri" w:hAnsi="Cambria" w:cs="Calibri"/>
          <w:sz w:val="18"/>
          <w:szCs w:val="18"/>
        </w:rPr>
        <w:t>i</w:t>
      </w:r>
      <w:r w:rsidRPr="00417DA5">
        <w:rPr>
          <w:rFonts w:ascii="Cambria" w:eastAsia="Calibri" w:hAnsi="Cambria" w:cs="Calibri"/>
          <w:spacing w:val="1"/>
          <w:sz w:val="18"/>
          <w:szCs w:val="18"/>
        </w:rPr>
        <w:t>b</w:t>
      </w:r>
      <w:r w:rsidRPr="00417DA5">
        <w:rPr>
          <w:rFonts w:ascii="Cambria" w:eastAsia="Calibri" w:hAnsi="Cambria" w:cs="Calibri"/>
          <w:sz w:val="18"/>
          <w:szCs w:val="18"/>
        </w:rPr>
        <w:t>iti</w:t>
      </w:r>
      <w:r w:rsidRPr="00417DA5">
        <w:rPr>
          <w:rFonts w:ascii="Cambria" w:eastAsia="Calibri" w:hAnsi="Cambria" w:cs="Calibri"/>
          <w:spacing w:val="1"/>
          <w:sz w:val="18"/>
          <w:szCs w:val="18"/>
        </w:rPr>
        <w:t>on</w:t>
      </w:r>
      <w:r w:rsidRPr="00417DA5">
        <w:rPr>
          <w:rFonts w:ascii="Cambria" w:eastAsia="Calibri" w:hAnsi="Cambria" w:cs="Calibri"/>
          <w:sz w:val="18"/>
          <w:szCs w:val="18"/>
        </w:rPr>
        <w:t>.</w:t>
      </w:r>
    </w:p>
  </w:footnote>
  <w:footnote w:id="15">
    <w:p w14:paraId="7CFC81CB" w14:textId="43A1D034" w:rsidR="004B03F8" w:rsidRPr="00417DA5" w:rsidRDefault="004B03F8" w:rsidP="00417DA5">
      <w:pPr>
        <w:pStyle w:val="FootnoteText"/>
        <w:rPr>
          <w:rFonts w:ascii="Cambria" w:hAnsi="Cambria"/>
          <w:sz w:val="18"/>
          <w:szCs w:val="18"/>
        </w:rPr>
      </w:pPr>
      <w:r w:rsidRPr="00417DA5">
        <w:rPr>
          <w:rStyle w:val="FootnoteReference"/>
          <w:rFonts w:ascii="Cambria" w:hAnsi="Cambria"/>
          <w:sz w:val="18"/>
          <w:szCs w:val="18"/>
        </w:rPr>
        <w:footnoteRef/>
      </w:r>
      <w:r w:rsidRPr="00417DA5">
        <w:rPr>
          <w:rFonts w:ascii="Cambria" w:hAnsi="Cambria"/>
          <w:sz w:val="18"/>
          <w:szCs w:val="18"/>
        </w:rPr>
        <w:t xml:space="preserve"> The book of Acts tells us that in Ephesus so many Gentiles converted to Christianity that the silver smiths, who profited from making idols, rioted because of how much business they lost as a result (Acts 19). In Paul’s letter to the Ephesians he devotes considerable attention to this incorporation of Gentiles into the church </w:t>
      </w:r>
      <w:r>
        <w:rPr>
          <w:rFonts w:ascii="Cambria" w:hAnsi="Cambria"/>
          <w:sz w:val="18"/>
          <w:szCs w:val="18"/>
        </w:rPr>
        <w:br/>
      </w:r>
      <w:r w:rsidRPr="00417DA5">
        <w:rPr>
          <w:rFonts w:ascii="Cambria" w:hAnsi="Cambria"/>
          <w:sz w:val="18"/>
          <w:szCs w:val="18"/>
        </w:rPr>
        <w:t xml:space="preserve">(Eph 2:11 – 3:6). Then, in 1 Corinthians he continually addresses issues that were of concern for people influenced by Greco-Roman culture rather than by Jewish culture. Evidence of this kind makes it hard to sustain the argument that these congregations were predominantly Jewish in their cultural orientation. </w:t>
      </w:r>
    </w:p>
  </w:footnote>
  <w:footnote w:id="16">
    <w:p w14:paraId="7E0C437A" w14:textId="77777777" w:rsidR="004B03F8" w:rsidRDefault="004B03F8" w:rsidP="00417DA5">
      <w:pPr>
        <w:pStyle w:val="FootnoteText"/>
      </w:pPr>
      <w:r w:rsidRPr="00417DA5">
        <w:rPr>
          <w:rStyle w:val="FootnoteReference"/>
          <w:rFonts w:ascii="Cambria" w:hAnsi="Cambria"/>
          <w:sz w:val="18"/>
          <w:szCs w:val="18"/>
        </w:rPr>
        <w:footnoteRef/>
      </w:r>
      <w:r w:rsidRPr="00417DA5">
        <w:rPr>
          <w:rFonts w:ascii="Cambria" w:hAnsi="Cambria"/>
          <w:sz w:val="18"/>
          <w:szCs w:val="18"/>
        </w:rPr>
        <w:t xml:space="preserve"> The DDS tries to argue that Paul’s statement in 1 Cor 14:37, “the things [plural] I am writing to you are a command of the Lord,” refers exclusively to the command to “pursue love” [singular] given 36 verses earlier and not to the verses that immediately precede it (paragraphs 11 and 12). Not only is this grammatically implausible, it means wrenching the statement out of its immediate context</w:t>
      </w:r>
      <w:r>
        <w:t xml:space="preserve">  </w:t>
      </w:r>
    </w:p>
  </w:footnote>
  <w:footnote w:id="17">
    <w:p w14:paraId="37858D8A" w14:textId="77777777" w:rsidR="004B03F8" w:rsidRPr="00417DA5" w:rsidRDefault="004B03F8" w:rsidP="0042579D">
      <w:pPr>
        <w:pStyle w:val="FootnoteText"/>
        <w:rPr>
          <w:rFonts w:ascii="Cambria" w:hAnsi="Cambria"/>
          <w:sz w:val="18"/>
          <w:szCs w:val="18"/>
        </w:rPr>
      </w:pPr>
      <w:r w:rsidRPr="00417DA5">
        <w:rPr>
          <w:rStyle w:val="FootnoteReference"/>
          <w:rFonts w:ascii="Cambria" w:hAnsi="Cambria"/>
          <w:sz w:val="18"/>
          <w:szCs w:val="18"/>
        </w:rPr>
        <w:footnoteRef/>
      </w:r>
      <w:r w:rsidRPr="00417DA5">
        <w:rPr>
          <w:rFonts w:ascii="Cambria" w:hAnsi="Cambria"/>
          <w:sz w:val="18"/>
          <w:szCs w:val="18"/>
        </w:rPr>
        <w:t xml:space="preserve"> AC V; VII; VIII; XXVII, 12; XXVIII; Apol. XIII, 11; XXVIII, 13-14; </w:t>
      </w:r>
      <w:r w:rsidRPr="00417DA5">
        <w:rPr>
          <w:rFonts w:ascii="Cambria" w:hAnsi="Cambria"/>
          <w:i/>
          <w:iCs/>
          <w:sz w:val="18"/>
          <w:szCs w:val="18"/>
        </w:rPr>
        <w:t xml:space="preserve">Treatise on the Power and Primacy of the Pope </w:t>
      </w:r>
      <w:r w:rsidRPr="00417DA5">
        <w:rPr>
          <w:rFonts w:ascii="Cambria" w:hAnsi="Cambria"/>
          <w:sz w:val="18"/>
          <w:szCs w:val="18"/>
        </w:rPr>
        <w:t xml:space="preserve">10, 26, 60-72; LC III, 86; SD X, 10; XII, 30. </w:t>
      </w:r>
    </w:p>
  </w:footnote>
  <w:footnote w:id="18">
    <w:p w14:paraId="6B511DD8" w14:textId="77777777" w:rsidR="004B03F8" w:rsidRPr="00995084" w:rsidRDefault="004B03F8" w:rsidP="00194B18">
      <w:pPr>
        <w:spacing w:before="33" w:after="0" w:line="240" w:lineRule="auto"/>
        <w:ind w:left="100" w:right="46"/>
        <w:rPr>
          <w:rFonts w:ascii="Cambria" w:eastAsia="Calibri" w:hAnsi="Cambria" w:cs="Calibri"/>
          <w:sz w:val="18"/>
          <w:szCs w:val="18"/>
        </w:rPr>
      </w:pPr>
      <w:r w:rsidRPr="00995084">
        <w:rPr>
          <w:rStyle w:val="FootnoteReference"/>
          <w:rFonts w:ascii="Cambria" w:hAnsi="Cambria"/>
          <w:sz w:val="18"/>
          <w:szCs w:val="18"/>
        </w:rPr>
        <w:footnoteRef/>
      </w:r>
      <w:r w:rsidRPr="00995084">
        <w:rPr>
          <w:rFonts w:ascii="Cambria" w:hAnsi="Cambria"/>
          <w:sz w:val="18"/>
          <w:szCs w:val="18"/>
        </w:rPr>
        <w:t xml:space="preserve"> </w:t>
      </w:r>
      <w:hyperlink r:id="rId1">
        <w:r w:rsidRPr="00995084">
          <w:rPr>
            <w:rFonts w:ascii="Cambria" w:eastAsia="Calibri" w:hAnsi="Cambria" w:cs="Calibri"/>
            <w:spacing w:val="1"/>
            <w:sz w:val="18"/>
            <w:szCs w:val="18"/>
          </w:rPr>
          <w:t>h</w:t>
        </w:r>
        <w:r w:rsidRPr="00995084">
          <w:rPr>
            <w:rFonts w:ascii="Cambria" w:eastAsia="Calibri" w:hAnsi="Cambria" w:cs="Calibri"/>
            <w:sz w:val="18"/>
            <w:szCs w:val="18"/>
          </w:rPr>
          <w:t>t</w:t>
        </w:r>
        <w:r w:rsidRPr="00995084">
          <w:rPr>
            <w:rFonts w:ascii="Cambria" w:eastAsia="Calibri" w:hAnsi="Cambria" w:cs="Calibri"/>
            <w:spacing w:val="1"/>
            <w:sz w:val="18"/>
            <w:szCs w:val="18"/>
          </w:rPr>
          <w:t>tp</w:t>
        </w:r>
        <w:r w:rsidRPr="00995084">
          <w:rPr>
            <w:rFonts w:ascii="Cambria" w:eastAsia="Calibri" w:hAnsi="Cambria" w:cs="Calibri"/>
            <w:spacing w:val="-1"/>
            <w:sz w:val="18"/>
            <w:szCs w:val="18"/>
          </w:rPr>
          <w:t>s</w:t>
        </w:r>
        <w:r w:rsidRPr="00995084">
          <w:rPr>
            <w:rFonts w:ascii="Cambria" w:eastAsia="Calibri" w:hAnsi="Cambria" w:cs="Calibri"/>
            <w:sz w:val="18"/>
            <w:szCs w:val="18"/>
          </w:rPr>
          <w:t>:</w:t>
        </w:r>
        <w:r w:rsidRPr="00995084">
          <w:rPr>
            <w:rFonts w:ascii="Cambria" w:eastAsia="Calibri" w:hAnsi="Cambria" w:cs="Calibri"/>
            <w:spacing w:val="-1"/>
            <w:sz w:val="18"/>
            <w:szCs w:val="18"/>
          </w:rPr>
          <w:t>/</w:t>
        </w:r>
        <w:r w:rsidRPr="00995084">
          <w:rPr>
            <w:rFonts w:ascii="Cambria" w:eastAsia="Calibri" w:hAnsi="Cambria" w:cs="Calibri"/>
            <w:sz w:val="18"/>
            <w:szCs w:val="18"/>
          </w:rPr>
          <w:t>/</w:t>
        </w:r>
        <w:r w:rsidRPr="00995084">
          <w:rPr>
            <w:rFonts w:ascii="Cambria" w:eastAsia="Calibri" w:hAnsi="Cambria" w:cs="Calibri"/>
            <w:spacing w:val="1"/>
            <w:sz w:val="18"/>
            <w:szCs w:val="18"/>
          </w:rPr>
          <w:t>w</w:t>
        </w:r>
        <w:r w:rsidRPr="00995084">
          <w:rPr>
            <w:rFonts w:ascii="Cambria" w:eastAsia="Calibri" w:hAnsi="Cambria" w:cs="Calibri"/>
            <w:spacing w:val="-1"/>
            <w:sz w:val="18"/>
            <w:szCs w:val="18"/>
          </w:rPr>
          <w:t>ww</w:t>
        </w:r>
        <w:r w:rsidRPr="00995084">
          <w:rPr>
            <w:rFonts w:ascii="Cambria" w:eastAsia="Calibri" w:hAnsi="Cambria" w:cs="Calibri"/>
            <w:sz w:val="18"/>
            <w:szCs w:val="18"/>
          </w:rPr>
          <w:t>.</w:t>
        </w:r>
        <w:r w:rsidRPr="00995084">
          <w:rPr>
            <w:rFonts w:ascii="Cambria" w:eastAsia="Calibri" w:hAnsi="Cambria" w:cs="Calibri"/>
            <w:spacing w:val="3"/>
            <w:sz w:val="18"/>
            <w:szCs w:val="18"/>
          </w:rPr>
          <w:t>p</w:t>
        </w:r>
        <w:r w:rsidRPr="00995084">
          <w:rPr>
            <w:rFonts w:ascii="Cambria" w:eastAsia="Calibri" w:hAnsi="Cambria" w:cs="Calibri"/>
            <w:spacing w:val="-1"/>
            <w:sz w:val="18"/>
            <w:szCs w:val="18"/>
          </w:rPr>
          <w:t>s</w:t>
        </w:r>
        <w:r w:rsidRPr="00995084">
          <w:rPr>
            <w:rFonts w:ascii="Cambria" w:eastAsia="Calibri" w:hAnsi="Cambria" w:cs="Calibri"/>
            <w:spacing w:val="1"/>
            <w:sz w:val="18"/>
            <w:szCs w:val="18"/>
          </w:rPr>
          <w:t>y</w:t>
        </w:r>
        <w:r w:rsidRPr="00995084">
          <w:rPr>
            <w:rFonts w:ascii="Cambria" w:eastAsia="Calibri" w:hAnsi="Cambria" w:cs="Calibri"/>
            <w:sz w:val="18"/>
            <w:szCs w:val="18"/>
          </w:rPr>
          <w:t>c</w:t>
        </w:r>
        <w:r w:rsidRPr="00995084">
          <w:rPr>
            <w:rFonts w:ascii="Cambria" w:eastAsia="Calibri" w:hAnsi="Cambria" w:cs="Calibri"/>
            <w:spacing w:val="1"/>
            <w:sz w:val="18"/>
            <w:szCs w:val="18"/>
          </w:rPr>
          <w:t>h</w:t>
        </w:r>
        <w:r w:rsidRPr="00995084">
          <w:rPr>
            <w:rFonts w:ascii="Cambria" w:eastAsia="Calibri" w:hAnsi="Cambria" w:cs="Calibri"/>
            <w:sz w:val="18"/>
            <w:szCs w:val="18"/>
          </w:rPr>
          <w:t>olog</w:t>
        </w:r>
        <w:r w:rsidRPr="00995084">
          <w:rPr>
            <w:rFonts w:ascii="Cambria" w:eastAsia="Calibri" w:hAnsi="Cambria" w:cs="Calibri"/>
            <w:spacing w:val="1"/>
            <w:sz w:val="18"/>
            <w:szCs w:val="18"/>
          </w:rPr>
          <w:t>y</w:t>
        </w:r>
        <w:r w:rsidRPr="00995084">
          <w:rPr>
            <w:rFonts w:ascii="Cambria" w:eastAsia="Calibri" w:hAnsi="Cambria" w:cs="Calibri"/>
            <w:sz w:val="18"/>
            <w:szCs w:val="18"/>
          </w:rPr>
          <w:t>t</w:t>
        </w:r>
        <w:r w:rsidRPr="00995084">
          <w:rPr>
            <w:rFonts w:ascii="Cambria" w:eastAsia="Calibri" w:hAnsi="Cambria" w:cs="Calibri"/>
            <w:spacing w:val="1"/>
            <w:sz w:val="18"/>
            <w:szCs w:val="18"/>
          </w:rPr>
          <w:t>od</w:t>
        </w:r>
        <w:r w:rsidRPr="00995084">
          <w:rPr>
            <w:rFonts w:ascii="Cambria" w:eastAsia="Calibri" w:hAnsi="Cambria" w:cs="Calibri"/>
            <w:sz w:val="18"/>
            <w:szCs w:val="18"/>
          </w:rPr>
          <w:t>a</w:t>
        </w:r>
        <w:r w:rsidRPr="00995084">
          <w:rPr>
            <w:rFonts w:ascii="Cambria" w:eastAsia="Calibri" w:hAnsi="Cambria" w:cs="Calibri"/>
            <w:spacing w:val="1"/>
            <w:sz w:val="18"/>
            <w:szCs w:val="18"/>
          </w:rPr>
          <w:t>y</w:t>
        </w:r>
        <w:r w:rsidRPr="00995084">
          <w:rPr>
            <w:rFonts w:ascii="Cambria" w:eastAsia="Calibri" w:hAnsi="Cambria" w:cs="Calibri"/>
            <w:sz w:val="18"/>
            <w:szCs w:val="18"/>
          </w:rPr>
          <w:t>.com/</w:t>
        </w:r>
        <w:r w:rsidRPr="00995084">
          <w:rPr>
            <w:rFonts w:ascii="Cambria" w:eastAsia="Calibri" w:hAnsi="Cambria" w:cs="Calibri"/>
            <w:spacing w:val="1"/>
            <w:sz w:val="18"/>
            <w:szCs w:val="18"/>
          </w:rPr>
          <w:t>b</w:t>
        </w:r>
        <w:r w:rsidRPr="00995084">
          <w:rPr>
            <w:rFonts w:ascii="Cambria" w:eastAsia="Calibri" w:hAnsi="Cambria" w:cs="Calibri"/>
            <w:sz w:val="18"/>
            <w:szCs w:val="18"/>
          </w:rPr>
          <w:t>log/t</w:t>
        </w:r>
        <w:r w:rsidRPr="00995084">
          <w:rPr>
            <w:rFonts w:ascii="Cambria" w:eastAsia="Calibri" w:hAnsi="Cambria" w:cs="Calibri"/>
            <w:spacing w:val="1"/>
            <w:sz w:val="18"/>
            <w:szCs w:val="18"/>
          </w:rPr>
          <w:t>a</w:t>
        </w:r>
        <w:r w:rsidRPr="00995084">
          <w:rPr>
            <w:rFonts w:ascii="Cambria" w:eastAsia="Calibri" w:hAnsi="Cambria" w:cs="Calibri"/>
            <w:sz w:val="18"/>
            <w:szCs w:val="18"/>
          </w:rPr>
          <w:t>lki</w:t>
        </w:r>
        <w:r w:rsidRPr="00995084">
          <w:rPr>
            <w:rFonts w:ascii="Cambria" w:eastAsia="Calibri" w:hAnsi="Cambria" w:cs="Calibri"/>
            <w:spacing w:val="1"/>
            <w:sz w:val="18"/>
            <w:szCs w:val="18"/>
          </w:rPr>
          <w:t>n</w:t>
        </w:r>
        <w:r w:rsidRPr="00995084">
          <w:rPr>
            <w:rFonts w:ascii="Cambria" w:eastAsia="Calibri" w:hAnsi="Cambria" w:cs="Calibri"/>
            <w:spacing w:val="3"/>
            <w:sz w:val="18"/>
            <w:szCs w:val="18"/>
          </w:rPr>
          <w:t>g</w:t>
        </w:r>
        <w:r w:rsidRPr="00995084">
          <w:rPr>
            <w:rFonts w:ascii="Cambria" w:eastAsia="Calibri" w:hAnsi="Cambria" w:cs="Calibri"/>
            <w:spacing w:val="-1"/>
            <w:sz w:val="18"/>
            <w:szCs w:val="18"/>
          </w:rPr>
          <w:t>-</w:t>
        </w:r>
        <w:r w:rsidRPr="00995084">
          <w:rPr>
            <w:rFonts w:ascii="Cambria" w:eastAsia="Calibri" w:hAnsi="Cambria" w:cs="Calibri"/>
            <w:sz w:val="18"/>
            <w:szCs w:val="18"/>
          </w:rPr>
          <w:t>a</w:t>
        </w:r>
        <w:r w:rsidRPr="00995084">
          <w:rPr>
            <w:rFonts w:ascii="Cambria" w:eastAsia="Calibri" w:hAnsi="Cambria" w:cs="Calibri"/>
            <w:spacing w:val="1"/>
            <w:sz w:val="18"/>
            <w:szCs w:val="18"/>
          </w:rPr>
          <w:t>b</w:t>
        </w:r>
        <w:r w:rsidRPr="00995084">
          <w:rPr>
            <w:rFonts w:ascii="Cambria" w:eastAsia="Calibri" w:hAnsi="Cambria" w:cs="Calibri"/>
            <w:sz w:val="18"/>
            <w:szCs w:val="18"/>
          </w:rPr>
          <w:t>o</w:t>
        </w:r>
        <w:r w:rsidRPr="00995084">
          <w:rPr>
            <w:rFonts w:ascii="Cambria" w:eastAsia="Calibri" w:hAnsi="Cambria" w:cs="Calibri"/>
            <w:spacing w:val="1"/>
            <w:sz w:val="18"/>
            <w:szCs w:val="18"/>
          </w:rPr>
          <w:t>ut</w:t>
        </w:r>
        <w:r w:rsidRPr="00995084">
          <w:rPr>
            <w:rFonts w:ascii="Cambria" w:eastAsia="Calibri" w:hAnsi="Cambria" w:cs="Calibri"/>
            <w:spacing w:val="-1"/>
            <w:sz w:val="18"/>
            <w:szCs w:val="18"/>
          </w:rPr>
          <w:t>-</w:t>
        </w:r>
        <w:r w:rsidRPr="00995084">
          <w:rPr>
            <w:rFonts w:ascii="Cambria" w:eastAsia="Calibri" w:hAnsi="Cambria" w:cs="Calibri"/>
            <w:sz w:val="18"/>
            <w:szCs w:val="18"/>
          </w:rPr>
          <w:t>tr</w:t>
        </w:r>
        <w:r w:rsidRPr="00995084">
          <w:rPr>
            <w:rFonts w:ascii="Cambria" w:eastAsia="Calibri" w:hAnsi="Cambria" w:cs="Calibri"/>
            <w:spacing w:val="3"/>
            <w:sz w:val="18"/>
            <w:szCs w:val="18"/>
          </w:rPr>
          <w:t>a</w:t>
        </w:r>
        <w:r w:rsidRPr="00995084">
          <w:rPr>
            <w:rFonts w:ascii="Cambria" w:eastAsia="Calibri" w:hAnsi="Cambria" w:cs="Calibri"/>
            <w:spacing w:val="1"/>
            <w:sz w:val="18"/>
            <w:szCs w:val="18"/>
          </w:rPr>
          <w:t>u</w:t>
        </w:r>
        <w:r w:rsidRPr="00995084">
          <w:rPr>
            <w:rFonts w:ascii="Cambria" w:eastAsia="Calibri" w:hAnsi="Cambria" w:cs="Calibri"/>
            <w:spacing w:val="-1"/>
            <w:sz w:val="18"/>
            <w:szCs w:val="18"/>
          </w:rPr>
          <w:t>m</w:t>
        </w:r>
        <w:r w:rsidRPr="00995084">
          <w:rPr>
            <w:rFonts w:ascii="Cambria" w:eastAsia="Calibri" w:hAnsi="Cambria" w:cs="Calibri"/>
            <w:sz w:val="18"/>
            <w:szCs w:val="18"/>
          </w:rPr>
          <w:t>a/201</w:t>
        </w:r>
        <w:r w:rsidRPr="00995084">
          <w:rPr>
            <w:rFonts w:ascii="Cambria" w:eastAsia="Calibri" w:hAnsi="Cambria" w:cs="Calibri"/>
            <w:spacing w:val="2"/>
            <w:sz w:val="18"/>
            <w:szCs w:val="18"/>
          </w:rPr>
          <w:t>5</w:t>
        </w:r>
        <w:r w:rsidRPr="00995084">
          <w:rPr>
            <w:rFonts w:ascii="Cambria" w:eastAsia="Calibri" w:hAnsi="Cambria" w:cs="Calibri"/>
            <w:sz w:val="18"/>
            <w:szCs w:val="18"/>
          </w:rPr>
          <w:t>09/t</w:t>
        </w:r>
        <w:r w:rsidRPr="00995084">
          <w:rPr>
            <w:rFonts w:ascii="Cambria" w:eastAsia="Calibri" w:hAnsi="Cambria" w:cs="Calibri"/>
            <w:spacing w:val="1"/>
            <w:sz w:val="18"/>
            <w:szCs w:val="18"/>
          </w:rPr>
          <w:t>h</w:t>
        </w:r>
        <w:r w:rsidRPr="00995084">
          <w:rPr>
            <w:rFonts w:ascii="Cambria" w:eastAsia="Calibri" w:hAnsi="Cambria" w:cs="Calibri"/>
            <w:spacing w:val="3"/>
            <w:sz w:val="18"/>
            <w:szCs w:val="18"/>
          </w:rPr>
          <w:t>e</w:t>
        </w:r>
        <w:r w:rsidRPr="00995084">
          <w:rPr>
            <w:rFonts w:ascii="Cambria" w:eastAsia="Calibri" w:hAnsi="Cambria" w:cs="Calibri"/>
            <w:spacing w:val="-1"/>
            <w:sz w:val="18"/>
            <w:szCs w:val="18"/>
          </w:rPr>
          <w:t>-</w:t>
        </w:r>
        <w:r w:rsidRPr="00995084">
          <w:rPr>
            <w:rFonts w:ascii="Cambria" w:eastAsia="Calibri" w:hAnsi="Cambria" w:cs="Calibri"/>
            <w:spacing w:val="1"/>
            <w:sz w:val="18"/>
            <w:szCs w:val="18"/>
          </w:rPr>
          <w:t>s</w:t>
        </w:r>
        <w:r w:rsidRPr="00995084">
          <w:rPr>
            <w:rFonts w:ascii="Cambria" w:eastAsia="Calibri" w:hAnsi="Cambria" w:cs="Calibri"/>
            <w:spacing w:val="-1"/>
            <w:sz w:val="18"/>
            <w:szCs w:val="18"/>
          </w:rPr>
          <w:t>e</w:t>
        </w:r>
        <w:r w:rsidRPr="00995084">
          <w:rPr>
            <w:rFonts w:ascii="Cambria" w:eastAsia="Calibri" w:hAnsi="Cambria" w:cs="Calibri"/>
            <w:sz w:val="18"/>
            <w:szCs w:val="18"/>
          </w:rPr>
          <w:t>x</w:t>
        </w:r>
        <w:r w:rsidRPr="00995084">
          <w:rPr>
            <w:rFonts w:ascii="Cambria" w:eastAsia="Calibri" w:hAnsi="Cambria" w:cs="Calibri"/>
            <w:spacing w:val="-1"/>
            <w:sz w:val="18"/>
            <w:szCs w:val="18"/>
          </w:rPr>
          <w:t>-</w:t>
        </w:r>
        <w:r w:rsidRPr="00995084">
          <w:rPr>
            <w:rFonts w:ascii="Cambria" w:eastAsia="Calibri" w:hAnsi="Cambria" w:cs="Calibri"/>
            <w:spacing w:val="3"/>
            <w:sz w:val="18"/>
            <w:szCs w:val="18"/>
          </w:rPr>
          <w:t>o</w:t>
        </w:r>
        <w:r w:rsidRPr="00995084">
          <w:rPr>
            <w:rFonts w:ascii="Cambria" w:eastAsia="Calibri" w:hAnsi="Cambria" w:cs="Calibri"/>
            <w:spacing w:val="-1"/>
            <w:sz w:val="18"/>
            <w:szCs w:val="18"/>
          </w:rPr>
          <w:t>f</w:t>
        </w:r>
        <w:r w:rsidRPr="00995084">
          <w:rPr>
            <w:rFonts w:ascii="Cambria" w:eastAsia="Calibri" w:hAnsi="Cambria" w:cs="Calibri"/>
            <w:spacing w:val="1"/>
            <w:sz w:val="18"/>
            <w:szCs w:val="18"/>
          </w:rPr>
          <w:t>f</w:t>
        </w:r>
        <w:r w:rsidRPr="00995084">
          <w:rPr>
            <w:rFonts w:ascii="Cambria" w:eastAsia="Calibri" w:hAnsi="Cambria" w:cs="Calibri"/>
            <w:spacing w:val="-1"/>
            <w:sz w:val="18"/>
            <w:szCs w:val="18"/>
          </w:rPr>
          <w:t>e</w:t>
        </w:r>
        <w:r w:rsidRPr="00995084">
          <w:rPr>
            <w:rFonts w:ascii="Cambria" w:eastAsia="Calibri" w:hAnsi="Cambria" w:cs="Calibri"/>
            <w:spacing w:val="1"/>
            <w:sz w:val="18"/>
            <w:szCs w:val="18"/>
          </w:rPr>
          <w:t>nder</w:t>
        </w:r>
        <w:r w:rsidRPr="00995084">
          <w:rPr>
            <w:rFonts w:ascii="Cambria" w:eastAsia="Calibri" w:hAnsi="Cambria" w:cs="Calibri"/>
            <w:spacing w:val="-1"/>
            <w:sz w:val="18"/>
            <w:szCs w:val="18"/>
          </w:rPr>
          <w:t>-</w:t>
        </w:r>
        <w:r w:rsidRPr="00995084">
          <w:rPr>
            <w:rFonts w:ascii="Cambria" w:eastAsia="Calibri" w:hAnsi="Cambria" w:cs="Calibri"/>
            <w:spacing w:val="1"/>
            <w:sz w:val="18"/>
            <w:szCs w:val="18"/>
          </w:rPr>
          <w:t>n</w:t>
        </w:r>
        <w:r w:rsidRPr="00995084">
          <w:rPr>
            <w:rFonts w:ascii="Cambria" w:eastAsia="Calibri" w:hAnsi="Cambria" w:cs="Calibri"/>
            <w:spacing w:val="-1"/>
            <w:sz w:val="18"/>
            <w:szCs w:val="18"/>
          </w:rPr>
          <w:t>e</w:t>
        </w:r>
        <w:r w:rsidRPr="00995084">
          <w:rPr>
            <w:rFonts w:ascii="Cambria" w:eastAsia="Calibri" w:hAnsi="Cambria" w:cs="Calibri"/>
            <w:sz w:val="18"/>
            <w:szCs w:val="18"/>
          </w:rPr>
          <w:t>x</w:t>
        </w:r>
        <w:r w:rsidRPr="00995084">
          <w:rPr>
            <w:rFonts w:ascii="Cambria" w:eastAsia="Calibri" w:hAnsi="Cambria" w:cs="Calibri"/>
            <w:spacing w:val="1"/>
            <w:sz w:val="18"/>
            <w:szCs w:val="18"/>
          </w:rPr>
          <w:t>t</w:t>
        </w:r>
        <w:r w:rsidRPr="00995084">
          <w:rPr>
            <w:rFonts w:ascii="Cambria" w:eastAsia="Calibri" w:hAnsi="Cambria" w:cs="Calibri"/>
            <w:spacing w:val="-1"/>
            <w:sz w:val="18"/>
            <w:szCs w:val="18"/>
          </w:rPr>
          <w:t>-</w:t>
        </w:r>
        <w:r w:rsidRPr="00995084">
          <w:rPr>
            <w:rFonts w:ascii="Cambria" w:eastAsia="Calibri" w:hAnsi="Cambria" w:cs="Calibri"/>
            <w:spacing w:val="1"/>
            <w:sz w:val="18"/>
            <w:szCs w:val="18"/>
          </w:rPr>
          <w:t>d</w:t>
        </w:r>
        <w:r w:rsidRPr="00995084">
          <w:rPr>
            <w:rFonts w:ascii="Cambria" w:eastAsia="Calibri" w:hAnsi="Cambria" w:cs="Calibri"/>
            <w:sz w:val="18"/>
            <w:szCs w:val="18"/>
          </w:rPr>
          <w:t>oo</w:t>
        </w:r>
        <w:r w:rsidRPr="00995084">
          <w:rPr>
            <w:rFonts w:ascii="Cambria" w:eastAsia="Calibri" w:hAnsi="Cambria" w:cs="Calibri"/>
            <w:spacing w:val="4"/>
            <w:sz w:val="18"/>
            <w:szCs w:val="18"/>
          </w:rPr>
          <w:t>r</w:t>
        </w:r>
        <w:r w:rsidRPr="00995084">
          <w:rPr>
            <w:rFonts w:ascii="Cambria" w:eastAsia="Calibri" w:hAnsi="Cambria" w:cs="Calibri"/>
            <w:spacing w:val="-1"/>
            <w:sz w:val="18"/>
            <w:szCs w:val="18"/>
          </w:rPr>
          <w:t>-w</w:t>
        </w:r>
        <w:r w:rsidRPr="00995084">
          <w:rPr>
            <w:rFonts w:ascii="Cambria" w:eastAsia="Calibri" w:hAnsi="Cambria" w:cs="Calibri"/>
            <w:spacing w:val="1"/>
            <w:sz w:val="18"/>
            <w:szCs w:val="18"/>
          </w:rPr>
          <w:t>hy</w:t>
        </w:r>
        <w:r w:rsidRPr="00995084">
          <w:rPr>
            <w:rFonts w:ascii="Cambria" w:eastAsia="Calibri" w:hAnsi="Cambria" w:cs="Calibri"/>
            <w:spacing w:val="-1"/>
            <w:sz w:val="18"/>
            <w:szCs w:val="18"/>
          </w:rPr>
          <w:t>-</w:t>
        </w:r>
        <w:r w:rsidRPr="00995084">
          <w:rPr>
            <w:rFonts w:ascii="Cambria" w:eastAsia="Calibri" w:hAnsi="Cambria" w:cs="Calibri"/>
            <w:spacing w:val="2"/>
            <w:sz w:val="18"/>
            <w:szCs w:val="18"/>
          </w:rPr>
          <w:t>r</w:t>
        </w:r>
        <w:r w:rsidRPr="00995084">
          <w:rPr>
            <w:rFonts w:ascii="Cambria" w:eastAsia="Calibri" w:hAnsi="Cambria" w:cs="Calibri"/>
            <w:spacing w:val="-1"/>
            <w:sz w:val="18"/>
            <w:szCs w:val="18"/>
          </w:rPr>
          <w:t>e</w:t>
        </w:r>
        <w:r w:rsidRPr="00995084">
          <w:rPr>
            <w:rFonts w:ascii="Cambria" w:eastAsia="Calibri" w:hAnsi="Cambria" w:cs="Calibri"/>
            <w:sz w:val="18"/>
            <w:szCs w:val="18"/>
          </w:rPr>
          <w:t>i</w:t>
        </w:r>
        <w:r w:rsidRPr="00995084">
          <w:rPr>
            <w:rFonts w:ascii="Cambria" w:eastAsia="Calibri" w:hAnsi="Cambria" w:cs="Calibri"/>
            <w:spacing w:val="1"/>
            <w:sz w:val="18"/>
            <w:szCs w:val="18"/>
          </w:rPr>
          <w:t>n</w:t>
        </w:r>
        <w:r w:rsidRPr="00995084">
          <w:rPr>
            <w:rFonts w:ascii="Cambria" w:eastAsia="Calibri" w:hAnsi="Cambria" w:cs="Calibri"/>
            <w:sz w:val="18"/>
            <w:szCs w:val="18"/>
          </w:rPr>
          <w:t>tegrati</w:t>
        </w:r>
        <w:r w:rsidRPr="00995084">
          <w:rPr>
            <w:rFonts w:ascii="Cambria" w:eastAsia="Calibri" w:hAnsi="Cambria" w:cs="Calibri"/>
            <w:spacing w:val="3"/>
            <w:sz w:val="18"/>
            <w:szCs w:val="18"/>
          </w:rPr>
          <w:t>o</w:t>
        </w:r>
        <w:r w:rsidRPr="00995084">
          <w:rPr>
            <w:rFonts w:ascii="Cambria" w:eastAsia="Calibri" w:hAnsi="Cambria" w:cs="Calibri"/>
            <w:spacing w:val="2"/>
            <w:sz w:val="18"/>
            <w:szCs w:val="18"/>
          </w:rPr>
          <w:t>n</w:t>
        </w:r>
        <w:r w:rsidRPr="00995084">
          <w:rPr>
            <w:rFonts w:ascii="Cambria" w:eastAsia="Calibri" w:hAnsi="Cambria" w:cs="Calibri"/>
            <w:spacing w:val="-1"/>
            <w:sz w:val="18"/>
            <w:szCs w:val="18"/>
          </w:rPr>
          <w:t>-</w:t>
        </w:r>
        <w:r w:rsidRPr="00995084">
          <w:rPr>
            <w:rFonts w:ascii="Cambria" w:eastAsia="Calibri" w:hAnsi="Cambria" w:cs="Calibri"/>
            <w:spacing w:val="1"/>
            <w:sz w:val="18"/>
            <w:szCs w:val="18"/>
          </w:rPr>
          <w:t>h</w:t>
        </w:r>
        <w:r w:rsidRPr="00995084">
          <w:rPr>
            <w:rFonts w:ascii="Cambria" w:eastAsia="Calibri" w:hAnsi="Cambria" w:cs="Calibri"/>
            <w:spacing w:val="-1"/>
            <w:sz w:val="18"/>
            <w:szCs w:val="18"/>
          </w:rPr>
          <w:t>e</w:t>
        </w:r>
        <w:r w:rsidRPr="00995084">
          <w:rPr>
            <w:rFonts w:ascii="Cambria" w:eastAsia="Calibri" w:hAnsi="Cambria" w:cs="Calibri"/>
            <w:sz w:val="18"/>
            <w:szCs w:val="18"/>
          </w:rPr>
          <w:t>l</w:t>
        </w:r>
        <w:r w:rsidRPr="00995084">
          <w:rPr>
            <w:rFonts w:ascii="Cambria" w:eastAsia="Calibri" w:hAnsi="Cambria" w:cs="Calibri"/>
            <w:spacing w:val="1"/>
            <w:sz w:val="18"/>
            <w:szCs w:val="18"/>
          </w:rPr>
          <w:t>p</w:t>
        </w:r>
        <w:r w:rsidRPr="00995084">
          <w:rPr>
            <w:rFonts w:ascii="Cambria" w:eastAsia="Calibri" w:hAnsi="Cambria" w:cs="Calibri"/>
            <w:sz w:val="18"/>
            <w:szCs w:val="18"/>
          </w:rPr>
          <w:t xml:space="preserve">s </w:t>
        </w:r>
      </w:hyperlink>
      <w:hyperlink r:id="rId2">
        <w:r w:rsidRPr="00995084">
          <w:rPr>
            <w:rFonts w:ascii="Cambria" w:eastAsia="Calibri" w:hAnsi="Cambria" w:cs="Calibri"/>
            <w:spacing w:val="1"/>
            <w:sz w:val="18"/>
            <w:szCs w:val="18"/>
          </w:rPr>
          <w:t>h</w:t>
        </w:r>
        <w:r w:rsidRPr="00995084">
          <w:rPr>
            <w:rFonts w:ascii="Cambria" w:eastAsia="Calibri" w:hAnsi="Cambria" w:cs="Calibri"/>
            <w:sz w:val="18"/>
            <w:szCs w:val="18"/>
          </w:rPr>
          <w:t>t</w:t>
        </w:r>
        <w:r w:rsidRPr="00995084">
          <w:rPr>
            <w:rFonts w:ascii="Cambria" w:eastAsia="Calibri" w:hAnsi="Cambria" w:cs="Calibri"/>
            <w:spacing w:val="1"/>
            <w:sz w:val="18"/>
            <w:szCs w:val="18"/>
          </w:rPr>
          <w:t>tp</w:t>
        </w:r>
        <w:r w:rsidRPr="00995084">
          <w:rPr>
            <w:rFonts w:ascii="Cambria" w:eastAsia="Calibri" w:hAnsi="Cambria" w:cs="Calibri"/>
            <w:spacing w:val="-1"/>
            <w:sz w:val="18"/>
            <w:szCs w:val="18"/>
          </w:rPr>
          <w:t>s</w:t>
        </w:r>
        <w:r w:rsidRPr="00995084">
          <w:rPr>
            <w:rFonts w:ascii="Cambria" w:eastAsia="Calibri" w:hAnsi="Cambria" w:cs="Calibri"/>
            <w:sz w:val="18"/>
            <w:szCs w:val="18"/>
          </w:rPr>
          <w:t>:</w:t>
        </w:r>
        <w:r w:rsidRPr="00995084">
          <w:rPr>
            <w:rFonts w:ascii="Cambria" w:eastAsia="Calibri" w:hAnsi="Cambria" w:cs="Calibri"/>
            <w:spacing w:val="-1"/>
            <w:sz w:val="18"/>
            <w:szCs w:val="18"/>
          </w:rPr>
          <w:t>/</w:t>
        </w:r>
        <w:r w:rsidRPr="00995084">
          <w:rPr>
            <w:rFonts w:ascii="Cambria" w:eastAsia="Calibri" w:hAnsi="Cambria" w:cs="Calibri"/>
            <w:sz w:val="18"/>
            <w:szCs w:val="18"/>
          </w:rPr>
          <w:t>/</w:t>
        </w:r>
        <w:r w:rsidRPr="00995084">
          <w:rPr>
            <w:rFonts w:ascii="Cambria" w:eastAsia="Calibri" w:hAnsi="Cambria" w:cs="Calibri"/>
            <w:spacing w:val="1"/>
            <w:sz w:val="18"/>
            <w:szCs w:val="18"/>
          </w:rPr>
          <w:t>w</w:t>
        </w:r>
        <w:r w:rsidRPr="00995084">
          <w:rPr>
            <w:rFonts w:ascii="Cambria" w:eastAsia="Calibri" w:hAnsi="Cambria" w:cs="Calibri"/>
            <w:spacing w:val="-1"/>
            <w:sz w:val="18"/>
            <w:szCs w:val="18"/>
          </w:rPr>
          <w:t>ww</w:t>
        </w:r>
        <w:r w:rsidRPr="00995084">
          <w:rPr>
            <w:rFonts w:ascii="Cambria" w:eastAsia="Calibri" w:hAnsi="Cambria" w:cs="Calibri"/>
            <w:sz w:val="18"/>
            <w:szCs w:val="18"/>
          </w:rPr>
          <w:t>.</w:t>
        </w:r>
        <w:r w:rsidRPr="00995084">
          <w:rPr>
            <w:rFonts w:ascii="Cambria" w:eastAsia="Calibri" w:hAnsi="Cambria" w:cs="Calibri"/>
            <w:spacing w:val="2"/>
            <w:sz w:val="18"/>
            <w:szCs w:val="18"/>
          </w:rPr>
          <w:t>r</w:t>
        </w:r>
        <w:r w:rsidRPr="00995084">
          <w:rPr>
            <w:rFonts w:ascii="Cambria" w:eastAsia="Calibri" w:hAnsi="Cambria" w:cs="Calibri"/>
            <w:spacing w:val="1"/>
            <w:sz w:val="18"/>
            <w:szCs w:val="18"/>
          </w:rPr>
          <w:t>e</w:t>
        </w:r>
        <w:r w:rsidRPr="00995084">
          <w:rPr>
            <w:rFonts w:ascii="Cambria" w:eastAsia="Calibri" w:hAnsi="Cambria" w:cs="Calibri"/>
            <w:spacing w:val="-1"/>
            <w:sz w:val="18"/>
            <w:szCs w:val="18"/>
          </w:rPr>
          <w:t>se</w:t>
        </w:r>
        <w:r w:rsidRPr="00995084">
          <w:rPr>
            <w:rFonts w:ascii="Cambria" w:eastAsia="Calibri" w:hAnsi="Cambria" w:cs="Calibri"/>
            <w:sz w:val="18"/>
            <w:szCs w:val="18"/>
          </w:rPr>
          <w:t>arc</w:t>
        </w:r>
        <w:r w:rsidRPr="00995084">
          <w:rPr>
            <w:rFonts w:ascii="Cambria" w:eastAsia="Calibri" w:hAnsi="Cambria" w:cs="Calibri"/>
            <w:spacing w:val="1"/>
            <w:sz w:val="18"/>
            <w:szCs w:val="18"/>
          </w:rPr>
          <w:t>h</w:t>
        </w:r>
        <w:r w:rsidRPr="00995084">
          <w:rPr>
            <w:rFonts w:ascii="Cambria" w:eastAsia="Calibri" w:hAnsi="Cambria" w:cs="Calibri"/>
            <w:sz w:val="18"/>
            <w:szCs w:val="18"/>
          </w:rPr>
          <w:t>ga</w:t>
        </w:r>
        <w:r w:rsidRPr="00995084">
          <w:rPr>
            <w:rFonts w:ascii="Cambria" w:eastAsia="Calibri" w:hAnsi="Cambria" w:cs="Calibri"/>
            <w:spacing w:val="3"/>
            <w:sz w:val="18"/>
            <w:szCs w:val="18"/>
          </w:rPr>
          <w:t>t</w:t>
        </w:r>
        <w:r w:rsidRPr="00995084">
          <w:rPr>
            <w:rFonts w:ascii="Cambria" w:eastAsia="Calibri" w:hAnsi="Cambria" w:cs="Calibri"/>
            <w:spacing w:val="-1"/>
            <w:sz w:val="18"/>
            <w:szCs w:val="18"/>
          </w:rPr>
          <w:t>e</w:t>
        </w:r>
        <w:r w:rsidRPr="00995084">
          <w:rPr>
            <w:rFonts w:ascii="Cambria" w:eastAsia="Calibri" w:hAnsi="Cambria" w:cs="Calibri"/>
            <w:sz w:val="18"/>
            <w:szCs w:val="18"/>
          </w:rPr>
          <w:t>.</w:t>
        </w:r>
        <w:r w:rsidRPr="00995084">
          <w:rPr>
            <w:rFonts w:ascii="Cambria" w:eastAsia="Calibri" w:hAnsi="Cambria" w:cs="Calibri"/>
            <w:spacing w:val="1"/>
            <w:sz w:val="18"/>
            <w:szCs w:val="18"/>
          </w:rPr>
          <w:t>ne</w:t>
        </w:r>
        <w:r w:rsidRPr="00995084">
          <w:rPr>
            <w:rFonts w:ascii="Cambria" w:eastAsia="Calibri" w:hAnsi="Cambria" w:cs="Calibri"/>
            <w:sz w:val="18"/>
            <w:szCs w:val="18"/>
          </w:rPr>
          <w:t>t/</w:t>
        </w:r>
        <w:r w:rsidRPr="00995084">
          <w:rPr>
            <w:rFonts w:ascii="Cambria" w:eastAsia="Calibri" w:hAnsi="Cambria" w:cs="Calibri"/>
            <w:spacing w:val="1"/>
            <w:sz w:val="18"/>
            <w:szCs w:val="18"/>
          </w:rPr>
          <w:t>pub</w:t>
        </w:r>
        <w:r w:rsidRPr="00995084">
          <w:rPr>
            <w:rFonts w:ascii="Cambria" w:eastAsia="Calibri" w:hAnsi="Cambria" w:cs="Calibri"/>
            <w:sz w:val="18"/>
            <w:szCs w:val="18"/>
          </w:rPr>
          <w:t>li</w:t>
        </w:r>
        <w:r w:rsidRPr="00995084">
          <w:rPr>
            <w:rFonts w:ascii="Cambria" w:eastAsia="Calibri" w:hAnsi="Cambria" w:cs="Calibri"/>
            <w:spacing w:val="-1"/>
            <w:sz w:val="18"/>
            <w:szCs w:val="18"/>
          </w:rPr>
          <w:t>c</w:t>
        </w:r>
        <w:r w:rsidRPr="00995084">
          <w:rPr>
            <w:rFonts w:ascii="Cambria" w:eastAsia="Calibri" w:hAnsi="Cambria" w:cs="Calibri"/>
            <w:sz w:val="18"/>
            <w:szCs w:val="18"/>
          </w:rPr>
          <w:t>a</w:t>
        </w:r>
        <w:r w:rsidRPr="00995084">
          <w:rPr>
            <w:rFonts w:ascii="Cambria" w:eastAsia="Calibri" w:hAnsi="Cambria" w:cs="Calibri"/>
            <w:spacing w:val="1"/>
            <w:sz w:val="18"/>
            <w:szCs w:val="18"/>
          </w:rPr>
          <w:t>t</w:t>
        </w:r>
        <w:r w:rsidRPr="00995084">
          <w:rPr>
            <w:rFonts w:ascii="Cambria" w:eastAsia="Calibri" w:hAnsi="Cambria" w:cs="Calibri"/>
            <w:sz w:val="18"/>
            <w:szCs w:val="18"/>
          </w:rPr>
          <w:t>io</w:t>
        </w:r>
        <w:r w:rsidRPr="00995084">
          <w:rPr>
            <w:rFonts w:ascii="Cambria" w:eastAsia="Calibri" w:hAnsi="Cambria" w:cs="Calibri"/>
            <w:spacing w:val="1"/>
            <w:sz w:val="18"/>
            <w:szCs w:val="18"/>
          </w:rPr>
          <w:t>n</w:t>
        </w:r>
        <w:r w:rsidRPr="00995084">
          <w:rPr>
            <w:rFonts w:ascii="Cambria" w:eastAsia="Calibri" w:hAnsi="Cambria" w:cs="Calibri"/>
            <w:sz w:val="18"/>
            <w:szCs w:val="18"/>
          </w:rPr>
          <w:t>/25</w:t>
        </w:r>
        <w:r w:rsidRPr="00995084">
          <w:rPr>
            <w:rFonts w:ascii="Cambria" w:eastAsia="Calibri" w:hAnsi="Cambria" w:cs="Calibri"/>
            <w:spacing w:val="-1"/>
            <w:sz w:val="18"/>
            <w:szCs w:val="18"/>
          </w:rPr>
          <w:t>4</w:t>
        </w:r>
        <w:r w:rsidRPr="00995084">
          <w:rPr>
            <w:rFonts w:ascii="Cambria" w:eastAsia="Calibri" w:hAnsi="Cambria" w:cs="Calibri"/>
            <w:sz w:val="18"/>
            <w:szCs w:val="18"/>
          </w:rPr>
          <w:t>24</w:t>
        </w:r>
        <w:r w:rsidRPr="00995084">
          <w:rPr>
            <w:rFonts w:ascii="Cambria" w:eastAsia="Calibri" w:hAnsi="Cambria" w:cs="Calibri"/>
            <w:spacing w:val="2"/>
            <w:sz w:val="18"/>
            <w:szCs w:val="18"/>
          </w:rPr>
          <w:t>3</w:t>
        </w:r>
        <w:r w:rsidRPr="00995084">
          <w:rPr>
            <w:rFonts w:ascii="Cambria" w:eastAsia="Calibri" w:hAnsi="Cambria" w:cs="Calibri"/>
            <w:sz w:val="18"/>
            <w:szCs w:val="18"/>
          </w:rPr>
          <w:t>49</w:t>
        </w:r>
        <w:r w:rsidRPr="00995084">
          <w:rPr>
            <w:rFonts w:ascii="Cambria" w:eastAsia="Calibri" w:hAnsi="Cambria" w:cs="Calibri"/>
            <w:spacing w:val="2"/>
            <w:sz w:val="18"/>
            <w:szCs w:val="18"/>
          </w:rPr>
          <w:t>6</w:t>
        </w:r>
        <w:r w:rsidRPr="00995084">
          <w:rPr>
            <w:rFonts w:ascii="Cambria" w:eastAsia="Calibri" w:hAnsi="Cambria" w:cs="Calibri"/>
            <w:spacing w:val="-1"/>
            <w:sz w:val="18"/>
            <w:szCs w:val="18"/>
          </w:rPr>
          <w:t>_</w:t>
        </w:r>
        <w:r w:rsidRPr="00995084">
          <w:rPr>
            <w:rFonts w:ascii="Cambria" w:eastAsia="Calibri" w:hAnsi="Cambria" w:cs="Calibri"/>
            <w:sz w:val="18"/>
            <w:szCs w:val="18"/>
          </w:rPr>
          <w:t>Fr</w:t>
        </w:r>
        <w:r w:rsidRPr="00995084">
          <w:rPr>
            <w:rFonts w:ascii="Cambria" w:eastAsia="Calibri" w:hAnsi="Cambria" w:cs="Calibri"/>
            <w:spacing w:val="3"/>
            <w:sz w:val="18"/>
            <w:szCs w:val="18"/>
          </w:rPr>
          <w:t>o</w:t>
        </w:r>
        <w:r w:rsidRPr="00995084">
          <w:rPr>
            <w:rFonts w:ascii="Cambria" w:eastAsia="Calibri" w:hAnsi="Cambria" w:cs="Calibri"/>
            <w:spacing w:val="-1"/>
            <w:sz w:val="18"/>
            <w:szCs w:val="18"/>
          </w:rPr>
          <w:t>m_</w:t>
        </w:r>
        <w:r w:rsidRPr="00995084">
          <w:rPr>
            <w:rFonts w:ascii="Cambria" w:eastAsia="Calibri" w:hAnsi="Cambria" w:cs="Calibri"/>
            <w:spacing w:val="1"/>
            <w:sz w:val="18"/>
            <w:szCs w:val="18"/>
          </w:rPr>
          <w:t>p</w:t>
        </w:r>
        <w:r w:rsidRPr="00995084">
          <w:rPr>
            <w:rFonts w:ascii="Cambria" w:eastAsia="Calibri" w:hAnsi="Cambria" w:cs="Calibri"/>
            <w:sz w:val="18"/>
            <w:szCs w:val="18"/>
          </w:rPr>
          <w:t>r</w:t>
        </w:r>
        <w:r w:rsidRPr="00995084">
          <w:rPr>
            <w:rFonts w:ascii="Cambria" w:eastAsia="Calibri" w:hAnsi="Cambria" w:cs="Calibri"/>
            <w:spacing w:val="2"/>
            <w:sz w:val="18"/>
            <w:szCs w:val="18"/>
          </w:rPr>
          <w:t>i</w:t>
        </w:r>
        <w:r w:rsidRPr="00995084">
          <w:rPr>
            <w:rFonts w:ascii="Cambria" w:eastAsia="Calibri" w:hAnsi="Cambria" w:cs="Calibri"/>
            <w:spacing w:val="-1"/>
            <w:sz w:val="18"/>
            <w:szCs w:val="18"/>
          </w:rPr>
          <w:t>s</w:t>
        </w:r>
        <w:r w:rsidRPr="00995084">
          <w:rPr>
            <w:rFonts w:ascii="Cambria" w:eastAsia="Calibri" w:hAnsi="Cambria" w:cs="Calibri"/>
            <w:sz w:val="18"/>
            <w:szCs w:val="18"/>
          </w:rPr>
          <w:t>o</w:t>
        </w:r>
        <w:r w:rsidRPr="00995084">
          <w:rPr>
            <w:rFonts w:ascii="Cambria" w:eastAsia="Calibri" w:hAnsi="Cambria" w:cs="Calibri"/>
            <w:spacing w:val="1"/>
            <w:sz w:val="18"/>
            <w:szCs w:val="18"/>
          </w:rPr>
          <w:t>n</w:t>
        </w:r>
        <w:r w:rsidRPr="00995084">
          <w:rPr>
            <w:rFonts w:ascii="Cambria" w:eastAsia="Calibri" w:hAnsi="Cambria" w:cs="Calibri"/>
            <w:spacing w:val="-1"/>
            <w:sz w:val="18"/>
            <w:szCs w:val="18"/>
          </w:rPr>
          <w:t>_</w:t>
        </w:r>
        <w:r w:rsidRPr="00995084">
          <w:rPr>
            <w:rFonts w:ascii="Cambria" w:eastAsia="Calibri" w:hAnsi="Cambria" w:cs="Calibri"/>
            <w:sz w:val="18"/>
            <w:szCs w:val="18"/>
          </w:rPr>
          <w:t>t</w:t>
        </w:r>
        <w:r w:rsidRPr="00995084">
          <w:rPr>
            <w:rFonts w:ascii="Cambria" w:eastAsia="Calibri" w:hAnsi="Cambria" w:cs="Calibri"/>
            <w:spacing w:val="1"/>
            <w:sz w:val="18"/>
            <w:szCs w:val="18"/>
          </w:rPr>
          <w:t>o</w:t>
        </w:r>
        <w:r w:rsidRPr="00995084">
          <w:rPr>
            <w:rFonts w:ascii="Cambria" w:eastAsia="Calibri" w:hAnsi="Cambria" w:cs="Calibri"/>
            <w:spacing w:val="-1"/>
            <w:sz w:val="18"/>
            <w:szCs w:val="18"/>
          </w:rPr>
          <w:t>_</w:t>
        </w:r>
        <w:r w:rsidRPr="00995084">
          <w:rPr>
            <w:rFonts w:ascii="Cambria" w:eastAsia="Calibri" w:hAnsi="Cambria" w:cs="Calibri"/>
            <w:sz w:val="18"/>
            <w:szCs w:val="18"/>
          </w:rPr>
          <w:t>i</w:t>
        </w:r>
        <w:r w:rsidRPr="00995084">
          <w:rPr>
            <w:rFonts w:ascii="Cambria" w:eastAsia="Calibri" w:hAnsi="Cambria" w:cs="Calibri"/>
            <w:spacing w:val="1"/>
            <w:sz w:val="18"/>
            <w:szCs w:val="18"/>
          </w:rPr>
          <w:t>n</w:t>
        </w:r>
        <w:r w:rsidRPr="00995084">
          <w:rPr>
            <w:rFonts w:ascii="Cambria" w:eastAsia="Calibri" w:hAnsi="Cambria" w:cs="Calibri"/>
            <w:spacing w:val="3"/>
            <w:sz w:val="18"/>
            <w:szCs w:val="18"/>
          </w:rPr>
          <w:t>t</w:t>
        </w:r>
        <w:r w:rsidRPr="00995084">
          <w:rPr>
            <w:rFonts w:ascii="Cambria" w:eastAsia="Calibri" w:hAnsi="Cambria" w:cs="Calibri"/>
            <w:spacing w:val="-1"/>
            <w:sz w:val="18"/>
            <w:szCs w:val="18"/>
          </w:rPr>
          <w:t>e</w:t>
        </w:r>
        <w:r w:rsidRPr="00995084">
          <w:rPr>
            <w:rFonts w:ascii="Cambria" w:eastAsia="Calibri" w:hAnsi="Cambria" w:cs="Calibri"/>
            <w:sz w:val="18"/>
            <w:szCs w:val="18"/>
          </w:rPr>
          <w:t>gra</w:t>
        </w:r>
        <w:r w:rsidRPr="00995084">
          <w:rPr>
            <w:rFonts w:ascii="Cambria" w:eastAsia="Calibri" w:hAnsi="Cambria" w:cs="Calibri"/>
            <w:spacing w:val="1"/>
            <w:sz w:val="18"/>
            <w:szCs w:val="18"/>
          </w:rPr>
          <w:t>t</w:t>
        </w:r>
        <w:r w:rsidRPr="00995084">
          <w:rPr>
            <w:rFonts w:ascii="Cambria" w:eastAsia="Calibri" w:hAnsi="Cambria" w:cs="Calibri"/>
            <w:sz w:val="18"/>
            <w:szCs w:val="18"/>
          </w:rPr>
          <w:t>io</w:t>
        </w:r>
        <w:r w:rsidRPr="00995084">
          <w:rPr>
            <w:rFonts w:ascii="Cambria" w:eastAsia="Calibri" w:hAnsi="Cambria" w:cs="Calibri"/>
            <w:spacing w:val="1"/>
            <w:sz w:val="18"/>
            <w:szCs w:val="18"/>
          </w:rPr>
          <w:t>n</w:t>
        </w:r>
        <w:r w:rsidRPr="00995084">
          <w:rPr>
            <w:rFonts w:ascii="Cambria" w:eastAsia="Calibri" w:hAnsi="Cambria" w:cs="Calibri"/>
            <w:spacing w:val="-1"/>
            <w:sz w:val="18"/>
            <w:szCs w:val="18"/>
          </w:rPr>
          <w:t>_</w:t>
        </w:r>
        <w:r w:rsidRPr="00995084">
          <w:rPr>
            <w:rFonts w:ascii="Cambria" w:eastAsia="Calibri" w:hAnsi="Cambria" w:cs="Calibri"/>
            <w:sz w:val="18"/>
            <w:szCs w:val="18"/>
          </w:rPr>
          <w:t>A</w:t>
        </w:r>
        <w:r w:rsidRPr="00995084">
          <w:rPr>
            <w:rFonts w:ascii="Cambria" w:eastAsia="Calibri" w:hAnsi="Cambria" w:cs="Calibri"/>
            <w:spacing w:val="3"/>
            <w:sz w:val="18"/>
            <w:szCs w:val="18"/>
          </w:rPr>
          <w:t>p</w:t>
        </w:r>
        <w:r w:rsidRPr="00995084">
          <w:rPr>
            <w:rFonts w:ascii="Cambria" w:eastAsia="Calibri" w:hAnsi="Cambria" w:cs="Calibri"/>
            <w:spacing w:val="1"/>
            <w:sz w:val="18"/>
            <w:szCs w:val="18"/>
          </w:rPr>
          <w:t>p</w:t>
        </w:r>
        <w:r w:rsidRPr="00995084">
          <w:rPr>
            <w:rFonts w:ascii="Cambria" w:eastAsia="Calibri" w:hAnsi="Cambria" w:cs="Calibri"/>
            <w:sz w:val="18"/>
            <w:szCs w:val="18"/>
          </w:rPr>
          <w:t>l</w:t>
        </w:r>
        <w:r w:rsidRPr="00995084">
          <w:rPr>
            <w:rFonts w:ascii="Cambria" w:eastAsia="Calibri" w:hAnsi="Cambria" w:cs="Calibri"/>
            <w:spacing w:val="1"/>
            <w:sz w:val="18"/>
            <w:szCs w:val="18"/>
          </w:rPr>
          <w:t>y</w:t>
        </w:r>
        <w:r w:rsidRPr="00995084">
          <w:rPr>
            <w:rFonts w:ascii="Cambria" w:eastAsia="Calibri" w:hAnsi="Cambria" w:cs="Calibri"/>
            <w:sz w:val="18"/>
            <w:szCs w:val="18"/>
          </w:rPr>
          <w:t>i</w:t>
        </w:r>
        <w:r w:rsidRPr="00995084">
          <w:rPr>
            <w:rFonts w:ascii="Cambria" w:eastAsia="Calibri" w:hAnsi="Cambria" w:cs="Calibri"/>
            <w:spacing w:val="1"/>
            <w:sz w:val="18"/>
            <w:szCs w:val="18"/>
          </w:rPr>
          <w:t>n</w:t>
        </w:r>
        <w:r w:rsidRPr="00995084">
          <w:rPr>
            <w:rFonts w:ascii="Cambria" w:eastAsia="Calibri" w:hAnsi="Cambria" w:cs="Calibri"/>
            <w:sz w:val="18"/>
            <w:szCs w:val="18"/>
          </w:rPr>
          <w:t>g</w:t>
        </w:r>
        <w:r w:rsidRPr="00995084">
          <w:rPr>
            <w:rFonts w:ascii="Cambria" w:eastAsia="Calibri" w:hAnsi="Cambria" w:cs="Calibri"/>
            <w:spacing w:val="-1"/>
            <w:sz w:val="18"/>
            <w:szCs w:val="18"/>
          </w:rPr>
          <w:t>_m</w:t>
        </w:r>
        <w:r w:rsidRPr="00995084">
          <w:rPr>
            <w:rFonts w:ascii="Cambria" w:eastAsia="Calibri" w:hAnsi="Cambria" w:cs="Calibri"/>
            <w:sz w:val="18"/>
            <w:szCs w:val="18"/>
          </w:rPr>
          <w:t>o</w:t>
        </w:r>
        <w:r w:rsidRPr="00995084">
          <w:rPr>
            <w:rFonts w:ascii="Cambria" w:eastAsia="Calibri" w:hAnsi="Cambria" w:cs="Calibri"/>
            <w:spacing w:val="1"/>
            <w:sz w:val="18"/>
            <w:szCs w:val="18"/>
          </w:rPr>
          <w:t>d</w:t>
        </w:r>
        <w:r w:rsidRPr="00995084">
          <w:rPr>
            <w:rFonts w:ascii="Cambria" w:eastAsia="Calibri" w:hAnsi="Cambria" w:cs="Calibri"/>
            <w:sz w:val="18"/>
            <w:szCs w:val="18"/>
          </w:rPr>
          <w:t>i</w:t>
        </w:r>
        <w:r w:rsidRPr="00995084">
          <w:rPr>
            <w:rFonts w:ascii="Cambria" w:eastAsia="Calibri" w:hAnsi="Cambria" w:cs="Calibri"/>
            <w:spacing w:val="-1"/>
            <w:sz w:val="18"/>
            <w:szCs w:val="18"/>
          </w:rPr>
          <w:t>f</w:t>
        </w:r>
        <w:r w:rsidRPr="00995084">
          <w:rPr>
            <w:rFonts w:ascii="Cambria" w:eastAsia="Calibri" w:hAnsi="Cambria" w:cs="Calibri"/>
            <w:spacing w:val="2"/>
            <w:sz w:val="18"/>
            <w:szCs w:val="18"/>
          </w:rPr>
          <w:t>i</w:t>
        </w:r>
        <w:r w:rsidRPr="00995084">
          <w:rPr>
            <w:rFonts w:ascii="Cambria" w:eastAsia="Calibri" w:hAnsi="Cambria" w:cs="Calibri"/>
            <w:spacing w:val="-1"/>
            <w:sz w:val="18"/>
            <w:szCs w:val="18"/>
          </w:rPr>
          <w:t>e</w:t>
        </w:r>
        <w:r w:rsidRPr="00995084">
          <w:rPr>
            <w:rFonts w:ascii="Cambria" w:eastAsia="Calibri" w:hAnsi="Cambria" w:cs="Calibri"/>
            <w:spacing w:val="1"/>
            <w:sz w:val="18"/>
            <w:szCs w:val="18"/>
          </w:rPr>
          <w:t>d</w:t>
        </w:r>
        <w:r w:rsidRPr="00995084">
          <w:rPr>
            <w:rFonts w:ascii="Cambria" w:eastAsia="Calibri" w:hAnsi="Cambria" w:cs="Calibri"/>
            <w:spacing w:val="-1"/>
            <w:sz w:val="18"/>
            <w:szCs w:val="18"/>
          </w:rPr>
          <w:t>_</w:t>
        </w:r>
        <w:r w:rsidRPr="00995084">
          <w:rPr>
            <w:rFonts w:ascii="Cambria" w:eastAsia="Calibri" w:hAnsi="Cambria" w:cs="Calibri"/>
            <w:sz w:val="18"/>
            <w:szCs w:val="18"/>
          </w:rPr>
          <w:t>la</w:t>
        </w:r>
        <w:r w:rsidRPr="00995084">
          <w:rPr>
            <w:rFonts w:ascii="Cambria" w:eastAsia="Calibri" w:hAnsi="Cambria" w:cs="Calibri"/>
            <w:spacing w:val="1"/>
            <w:sz w:val="18"/>
            <w:szCs w:val="18"/>
          </w:rPr>
          <w:t>b</w:t>
        </w:r>
        <w:r w:rsidRPr="00995084">
          <w:rPr>
            <w:rFonts w:ascii="Cambria" w:eastAsia="Calibri" w:hAnsi="Cambria" w:cs="Calibri"/>
            <w:spacing w:val="-1"/>
            <w:sz w:val="18"/>
            <w:szCs w:val="18"/>
          </w:rPr>
          <w:t>e</w:t>
        </w:r>
        <w:r w:rsidRPr="00995084">
          <w:rPr>
            <w:rFonts w:ascii="Cambria" w:eastAsia="Calibri" w:hAnsi="Cambria" w:cs="Calibri"/>
            <w:spacing w:val="2"/>
            <w:sz w:val="18"/>
            <w:szCs w:val="18"/>
          </w:rPr>
          <w:t>l</w:t>
        </w:r>
        <w:r w:rsidRPr="00995084">
          <w:rPr>
            <w:rFonts w:ascii="Cambria" w:eastAsia="Calibri" w:hAnsi="Cambria" w:cs="Calibri"/>
            <w:sz w:val="18"/>
            <w:szCs w:val="18"/>
          </w:rPr>
          <w:t>i</w:t>
        </w:r>
        <w:r w:rsidRPr="00995084">
          <w:rPr>
            <w:rFonts w:ascii="Cambria" w:eastAsia="Calibri" w:hAnsi="Cambria" w:cs="Calibri"/>
            <w:spacing w:val="1"/>
            <w:sz w:val="18"/>
            <w:szCs w:val="18"/>
          </w:rPr>
          <w:t>n</w:t>
        </w:r>
        <w:r w:rsidRPr="00995084">
          <w:rPr>
            <w:rFonts w:ascii="Cambria" w:eastAsia="Calibri" w:hAnsi="Cambria" w:cs="Calibri"/>
            <w:sz w:val="18"/>
            <w:szCs w:val="18"/>
          </w:rPr>
          <w:t>g</w:t>
        </w:r>
        <w:r w:rsidRPr="00995084">
          <w:rPr>
            <w:rFonts w:ascii="Cambria" w:eastAsia="Calibri" w:hAnsi="Cambria" w:cs="Calibri"/>
            <w:spacing w:val="-1"/>
            <w:sz w:val="18"/>
            <w:szCs w:val="18"/>
          </w:rPr>
          <w:t>_</w:t>
        </w:r>
        <w:r w:rsidRPr="00995084">
          <w:rPr>
            <w:rFonts w:ascii="Cambria" w:eastAsia="Calibri" w:hAnsi="Cambria" w:cs="Calibri"/>
            <w:sz w:val="18"/>
            <w:szCs w:val="18"/>
          </w:rPr>
          <w:t>t</w:t>
        </w:r>
        <w:r w:rsidRPr="00995084">
          <w:rPr>
            <w:rFonts w:ascii="Cambria" w:eastAsia="Calibri" w:hAnsi="Cambria" w:cs="Calibri"/>
            <w:spacing w:val="1"/>
            <w:sz w:val="18"/>
            <w:szCs w:val="18"/>
          </w:rPr>
          <w:t>he</w:t>
        </w:r>
        <w:r w:rsidRPr="00995084">
          <w:rPr>
            <w:rFonts w:ascii="Cambria" w:eastAsia="Calibri" w:hAnsi="Cambria" w:cs="Calibri"/>
            <w:sz w:val="18"/>
            <w:szCs w:val="18"/>
          </w:rPr>
          <w:t>or</w:t>
        </w:r>
        <w:r w:rsidRPr="00995084">
          <w:rPr>
            <w:rFonts w:ascii="Cambria" w:eastAsia="Calibri" w:hAnsi="Cambria" w:cs="Calibri"/>
            <w:spacing w:val="1"/>
            <w:sz w:val="18"/>
            <w:szCs w:val="18"/>
          </w:rPr>
          <w:t>y</w:t>
        </w:r>
        <w:r w:rsidRPr="00995084">
          <w:rPr>
            <w:rFonts w:ascii="Cambria" w:eastAsia="Calibri" w:hAnsi="Cambria" w:cs="Calibri"/>
            <w:spacing w:val="-1"/>
            <w:sz w:val="18"/>
            <w:szCs w:val="18"/>
          </w:rPr>
          <w:t>_</w:t>
        </w:r>
        <w:r w:rsidRPr="00995084">
          <w:rPr>
            <w:rFonts w:ascii="Cambria" w:eastAsia="Calibri" w:hAnsi="Cambria" w:cs="Calibri"/>
            <w:sz w:val="18"/>
            <w:szCs w:val="18"/>
          </w:rPr>
          <w:t>t</w:t>
        </w:r>
        <w:r w:rsidRPr="00995084">
          <w:rPr>
            <w:rFonts w:ascii="Cambria" w:eastAsia="Calibri" w:hAnsi="Cambria" w:cs="Calibri"/>
            <w:spacing w:val="1"/>
            <w:sz w:val="18"/>
            <w:szCs w:val="18"/>
          </w:rPr>
          <w:t>o</w:t>
        </w:r>
        <w:r w:rsidRPr="00995084">
          <w:rPr>
            <w:rFonts w:ascii="Cambria" w:eastAsia="Calibri" w:hAnsi="Cambria" w:cs="Calibri"/>
            <w:spacing w:val="-1"/>
            <w:sz w:val="18"/>
            <w:szCs w:val="18"/>
          </w:rPr>
          <w:t>_</w:t>
        </w:r>
        <w:r w:rsidRPr="00995084">
          <w:rPr>
            <w:rFonts w:ascii="Cambria" w:eastAsia="Calibri" w:hAnsi="Cambria" w:cs="Calibri"/>
            <w:spacing w:val="1"/>
            <w:sz w:val="18"/>
            <w:szCs w:val="18"/>
          </w:rPr>
          <w:t>s</w:t>
        </w:r>
        <w:r w:rsidRPr="00995084">
          <w:rPr>
            <w:rFonts w:ascii="Cambria" w:eastAsia="Calibri" w:hAnsi="Cambria" w:cs="Calibri"/>
            <w:sz w:val="18"/>
            <w:szCs w:val="18"/>
          </w:rPr>
          <w:t>e</w:t>
        </w:r>
      </w:hyperlink>
      <w:hyperlink r:id="rId3">
        <w:r w:rsidRPr="00995084">
          <w:rPr>
            <w:rFonts w:ascii="Cambria" w:eastAsia="Calibri" w:hAnsi="Cambria" w:cs="Calibri"/>
            <w:sz w:val="18"/>
            <w:szCs w:val="18"/>
          </w:rPr>
          <w:t>x</w:t>
        </w:r>
        <w:r w:rsidRPr="00995084">
          <w:rPr>
            <w:rFonts w:ascii="Cambria" w:eastAsia="Calibri" w:hAnsi="Cambria" w:cs="Calibri"/>
            <w:spacing w:val="-1"/>
            <w:sz w:val="18"/>
            <w:szCs w:val="18"/>
          </w:rPr>
          <w:t>_</w:t>
        </w:r>
        <w:r w:rsidRPr="00995084">
          <w:rPr>
            <w:rFonts w:ascii="Cambria" w:eastAsia="Calibri" w:hAnsi="Cambria" w:cs="Calibri"/>
            <w:sz w:val="18"/>
            <w:szCs w:val="18"/>
          </w:rPr>
          <w:t>o</w:t>
        </w:r>
        <w:r w:rsidRPr="00995084">
          <w:rPr>
            <w:rFonts w:ascii="Cambria" w:eastAsia="Calibri" w:hAnsi="Cambria" w:cs="Calibri"/>
            <w:spacing w:val="-1"/>
            <w:sz w:val="18"/>
            <w:szCs w:val="18"/>
          </w:rPr>
          <w:t>f</w:t>
        </w:r>
        <w:r w:rsidRPr="00995084">
          <w:rPr>
            <w:rFonts w:ascii="Cambria" w:eastAsia="Calibri" w:hAnsi="Cambria" w:cs="Calibri"/>
            <w:spacing w:val="1"/>
            <w:sz w:val="18"/>
            <w:szCs w:val="18"/>
          </w:rPr>
          <w:t>f</w:t>
        </w:r>
        <w:r w:rsidRPr="00995084">
          <w:rPr>
            <w:rFonts w:ascii="Cambria" w:eastAsia="Calibri" w:hAnsi="Cambria" w:cs="Calibri"/>
            <w:spacing w:val="-1"/>
            <w:sz w:val="18"/>
            <w:szCs w:val="18"/>
          </w:rPr>
          <w:t>e</w:t>
        </w:r>
        <w:r w:rsidRPr="00995084">
          <w:rPr>
            <w:rFonts w:ascii="Cambria" w:eastAsia="Calibri" w:hAnsi="Cambria" w:cs="Calibri"/>
            <w:spacing w:val="1"/>
            <w:sz w:val="18"/>
            <w:szCs w:val="18"/>
          </w:rPr>
          <w:t>nd</w:t>
        </w:r>
        <w:r w:rsidRPr="00995084">
          <w:rPr>
            <w:rFonts w:ascii="Cambria" w:eastAsia="Calibri" w:hAnsi="Cambria" w:cs="Calibri"/>
            <w:spacing w:val="-1"/>
            <w:sz w:val="18"/>
            <w:szCs w:val="18"/>
          </w:rPr>
          <w:t>e</w:t>
        </w:r>
        <w:r w:rsidRPr="00995084">
          <w:rPr>
            <w:rFonts w:ascii="Cambria" w:eastAsia="Calibri" w:hAnsi="Cambria" w:cs="Calibri"/>
            <w:spacing w:val="2"/>
            <w:sz w:val="18"/>
            <w:szCs w:val="18"/>
          </w:rPr>
          <w:t>r</w:t>
        </w:r>
        <w:r w:rsidRPr="00995084">
          <w:rPr>
            <w:rFonts w:ascii="Cambria" w:eastAsia="Calibri" w:hAnsi="Cambria" w:cs="Calibri"/>
            <w:sz w:val="18"/>
            <w:szCs w:val="18"/>
          </w:rPr>
          <w:t xml:space="preserve">s </w:t>
        </w:r>
      </w:hyperlink>
      <w:hyperlink r:id="rId4" w:history="1">
        <w:r w:rsidRPr="00995084">
          <w:rPr>
            <w:rStyle w:val="Hyperlink"/>
            <w:rFonts w:ascii="Cambria" w:eastAsia="Calibri" w:hAnsi="Cambria" w:cs="Calibri"/>
            <w:color w:val="auto"/>
            <w:spacing w:val="1"/>
            <w:sz w:val="18"/>
            <w:szCs w:val="18"/>
            <w:u w:val="none"/>
          </w:rPr>
          <w:t>h</w:t>
        </w:r>
        <w:r w:rsidRPr="00995084">
          <w:rPr>
            <w:rStyle w:val="Hyperlink"/>
            <w:rFonts w:ascii="Cambria" w:eastAsia="Calibri" w:hAnsi="Cambria" w:cs="Calibri"/>
            <w:color w:val="auto"/>
            <w:sz w:val="18"/>
            <w:szCs w:val="18"/>
            <w:u w:val="none"/>
          </w:rPr>
          <w:t>t</w:t>
        </w:r>
        <w:r w:rsidRPr="00995084">
          <w:rPr>
            <w:rStyle w:val="Hyperlink"/>
            <w:rFonts w:ascii="Cambria" w:eastAsia="Calibri" w:hAnsi="Cambria" w:cs="Calibri"/>
            <w:color w:val="auto"/>
            <w:spacing w:val="1"/>
            <w:sz w:val="18"/>
            <w:szCs w:val="18"/>
            <w:u w:val="none"/>
          </w:rPr>
          <w:t>tp</w:t>
        </w:r>
        <w:r w:rsidRPr="00995084">
          <w:rPr>
            <w:rStyle w:val="Hyperlink"/>
            <w:rFonts w:ascii="Cambria" w:eastAsia="Calibri" w:hAnsi="Cambria" w:cs="Calibri"/>
            <w:color w:val="auto"/>
            <w:spacing w:val="-1"/>
            <w:sz w:val="18"/>
            <w:szCs w:val="18"/>
            <w:u w:val="none"/>
          </w:rPr>
          <w:t>s</w:t>
        </w:r>
        <w:r w:rsidRPr="00995084">
          <w:rPr>
            <w:rStyle w:val="Hyperlink"/>
            <w:rFonts w:ascii="Cambria" w:eastAsia="Calibri" w:hAnsi="Cambria" w:cs="Calibri"/>
            <w:color w:val="auto"/>
            <w:sz w:val="18"/>
            <w:szCs w:val="18"/>
            <w:u w:val="none"/>
          </w:rPr>
          <w:t>:</w:t>
        </w:r>
        <w:r w:rsidRPr="00995084">
          <w:rPr>
            <w:rStyle w:val="Hyperlink"/>
            <w:rFonts w:ascii="Cambria" w:eastAsia="Calibri" w:hAnsi="Cambria" w:cs="Calibri"/>
            <w:color w:val="auto"/>
            <w:spacing w:val="-1"/>
            <w:sz w:val="18"/>
            <w:szCs w:val="18"/>
            <w:u w:val="none"/>
          </w:rPr>
          <w:t>/</w:t>
        </w:r>
        <w:r w:rsidRPr="00995084">
          <w:rPr>
            <w:rStyle w:val="Hyperlink"/>
            <w:rFonts w:ascii="Cambria" w:eastAsia="Calibri" w:hAnsi="Cambria" w:cs="Calibri"/>
            <w:color w:val="auto"/>
            <w:sz w:val="18"/>
            <w:szCs w:val="18"/>
            <w:u w:val="none"/>
          </w:rPr>
          <w:t>/</w:t>
        </w:r>
        <w:r w:rsidRPr="00995084">
          <w:rPr>
            <w:rStyle w:val="Hyperlink"/>
            <w:rFonts w:ascii="Cambria" w:eastAsia="Calibri" w:hAnsi="Cambria" w:cs="Calibri"/>
            <w:color w:val="auto"/>
            <w:spacing w:val="1"/>
            <w:sz w:val="18"/>
            <w:szCs w:val="18"/>
            <w:u w:val="none"/>
          </w:rPr>
          <w:t>w</w:t>
        </w:r>
        <w:r w:rsidRPr="00995084">
          <w:rPr>
            <w:rStyle w:val="Hyperlink"/>
            <w:rFonts w:ascii="Cambria" w:eastAsia="Calibri" w:hAnsi="Cambria" w:cs="Calibri"/>
            <w:color w:val="auto"/>
            <w:spacing w:val="-1"/>
            <w:sz w:val="18"/>
            <w:szCs w:val="18"/>
            <w:u w:val="none"/>
          </w:rPr>
          <w:t>ww</w:t>
        </w:r>
        <w:r w:rsidRPr="00995084">
          <w:rPr>
            <w:rStyle w:val="Hyperlink"/>
            <w:rFonts w:ascii="Cambria" w:eastAsia="Calibri" w:hAnsi="Cambria" w:cs="Calibri"/>
            <w:color w:val="auto"/>
            <w:sz w:val="18"/>
            <w:szCs w:val="18"/>
            <w:u w:val="none"/>
          </w:rPr>
          <w:t>.</w:t>
        </w:r>
        <w:r w:rsidRPr="00995084">
          <w:rPr>
            <w:rStyle w:val="Hyperlink"/>
            <w:rFonts w:ascii="Cambria" w:eastAsia="Calibri" w:hAnsi="Cambria" w:cs="Calibri"/>
            <w:b/>
            <w:color w:val="auto"/>
            <w:spacing w:val="2"/>
            <w:sz w:val="18"/>
            <w:szCs w:val="18"/>
            <w:u w:val="none"/>
          </w:rPr>
          <w:t>r</w:t>
        </w:r>
        <w:r w:rsidRPr="00995084">
          <w:rPr>
            <w:rStyle w:val="Hyperlink"/>
            <w:rFonts w:ascii="Cambria" w:eastAsia="Calibri" w:hAnsi="Cambria" w:cs="Calibri"/>
            <w:b/>
            <w:color w:val="auto"/>
            <w:spacing w:val="1"/>
            <w:sz w:val="18"/>
            <w:szCs w:val="18"/>
            <w:u w:val="none"/>
          </w:rPr>
          <w:t>e</w:t>
        </w:r>
        <w:r w:rsidRPr="00995084">
          <w:rPr>
            <w:rStyle w:val="Hyperlink"/>
            <w:rFonts w:ascii="Cambria" w:eastAsia="Calibri" w:hAnsi="Cambria" w:cs="Calibri"/>
            <w:b/>
            <w:color w:val="auto"/>
            <w:spacing w:val="-1"/>
            <w:sz w:val="18"/>
            <w:szCs w:val="18"/>
            <w:u w:val="none"/>
          </w:rPr>
          <w:t>se</w:t>
        </w:r>
        <w:r w:rsidRPr="00995084">
          <w:rPr>
            <w:rStyle w:val="Hyperlink"/>
            <w:rFonts w:ascii="Cambria" w:eastAsia="Calibri" w:hAnsi="Cambria" w:cs="Calibri"/>
            <w:b/>
            <w:color w:val="auto"/>
            <w:sz w:val="18"/>
            <w:szCs w:val="18"/>
            <w:u w:val="none"/>
          </w:rPr>
          <w:t>arc</w:t>
        </w:r>
        <w:r w:rsidRPr="00995084">
          <w:rPr>
            <w:rStyle w:val="Hyperlink"/>
            <w:rFonts w:ascii="Cambria" w:eastAsia="Calibri" w:hAnsi="Cambria" w:cs="Calibri"/>
            <w:b/>
            <w:color w:val="auto"/>
            <w:spacing w:val="1"/>
            <w:sz w:val="18"/>
            <w:szCs w:val="18"/>
            <w:u w:val="none"/>
          </w:rPr>
          <w:t>h</w:t>
        </w:r>
        <w:r w:rsidRPr="00995084">
          <w:rPr>
            <w:rStyle w:val="Hyperlink"/>
            <w:rFonts w:ascii="Cambria" w:eastAsia="Calibri" w:hAnsi="Cambria" w:cs="Calibri"/>
            <w:b/>
            <w:color w:val="auto"/>
            <w:sz w:val="18"/>
            <w:szCs w:val="18"/>
            <w:u w:val="none"/>
          </w:rPr>
          <w:t>ga</w:t>
        </w:r>
        <w:r w:rsidRPr="00995084">
          <w:rPr>
            <w:rStyle w:val="Hyperlink"/>
            <w:rFonts w:ascii="Cambria" w:eastAsia="Calibri" w:hAnsi="Cambria" w:cs="Calibri"/>
            <w:b/>
            <w:color w:val="auto"/>
            <w:spacing w:val="3"/>
            <w:sz w:val="18"/>
            <w:szCs w:val="18"/>
            <w:u w:val="none"/>
          </w:rPr>
          <w:t>t</w:t>
        </w:r>
        <w:r w:rsidRPr="00995084">
          <w:rPr>
            <w:rStyle w:val="Hyperlink"/>
            <w:rFonts w:ascii="Cambria" w:eastAsia="Calibri" w:hAnsi="Cambria" w:cs="Calibri"/>
            <w:b/>
            <w:color w:val="auto"/>
            <w:spacing w:val="-1"/>
            <w:sz w:val="18"/>
            <w:szCs w:val="18"/>
            <w:u w:val="none"/>
          </w:rPr>
          <w:t>e</w:t>
        </w:r>
        <w:r w:rsidRPr="00995084">
          <w:rPr>
            <w:rStyle w:val="Hyperlink"/>
            <w:rFonts w:ascii="Cambria" w:eastAsia="Calibri" w:hAnsi="Cambria" w:cs="Calibri"/>
            <w:color w:val="auto"/>
            <w:sz w:val="18"/>
            <w:szCs w:val="18"/>
            <w:u w:val="none"/>
          </w:rPr>
          <w:t>.</w:t>
        </w:r>
        <w:r w:rsidRPr="00995084">
          <w:rPr>
            <w:rStyle w:val="Hyperlink"/>
            <w:rFonts w:ascii="Cambria" w:eastAsia="Calibri" w:hAnsi="Cambria" w:cs="Calibri"/>
            <w:color w:val="auto"/>
            <w:spacing w:val="1"/>
            <w:sz w:val="18"/>
            <w:szCs w:val="18"/>
            <w:u w:val="none"/>
          </w:rPr>
          <w:t>ne</w:t>
        </w:r>
        <w:r w:rsidRPr="00995084">
          <w:rPr>
            <w:rStyle w:val="Hyperlink"/>
            <w:rFonts w:ascii="Cambria" w:eastAsia="Calibri" w:hAnsi="Cambria" w:cs="Calibri"/>
            <w:color w:val="auto"/>
            <w:sz w:val="18"/>
            <w:szCs w:val="18"/>
            <w:u w:val="none"/>
          </w:rPr>
          <w:t>t/</w:t>
        </w:r>
        <w:r w:rsidRPr="00995084">
          <w:rPr>
            <w:rStyle w:val="Hyperlink"/>
            <w:rFonts w:ascii="Cambria" w:eastAsia="Calibri" w:hAnsi="Cambria" w:cs="Calibri"/>
            <w:color w:val="auto"/>
            <w:spacing w:val="1"/>
            <w:sz w:val="18"/>
            <w:szCs w:val="18"/>
            <w:u w:val="none"/>
          </w:rPr>
          <w:t>p</w:t>
        </w:r>
        <w:r w:rsidRPr="00995084">
          <w:rPr>
            <w:rStyle w:val="Hyperlink"/>
            <w:rFonts w:ascii="Cambria" w:eastAsia="Calibri" w:hAnsi="Cambria" w:cs="Calibri"/>
            <w:color w:val="auto"/>
            <w:sz w:val="18"/>
            <w:szCs w:val="18"/>
            <w:u w:val="none"/>
          </w:rPr>
          <w:t>r</w:t>
        </w:r>
        <w:r w:rsidRPr="00995084">
          <w:rPr>
            <w:rStyle w:val="Hyperlink"/>
            <w:rFonts w:ascii="Cambria" w:eastAsia="Calibri" w:hAnsi="Cambria" w:cs="Calibri"/>
            <w:color w:val="auto"/>
            <w:spacing w:val="1"/>
            <w:sz w:val="18"/>
            <w:szCs w:val="18"/>
            <w:u w:val="none"/>
          </w:rPr>
          <w:t>o</w:t>
        </w:r>
        <w:r w:rsidRPr="00995084">
          <w:rPr>
            <w:rStyle w:val="Hyperlink"/>
            <w:rFonts w:ascii="Cambria" w:eastAsia="Calibri" w:hAnsi="Cambria" w:cs="Calibri"/>
            <w:color w:val="auto"/>
            <w:spacing w:val="-1"/>
            <w:sz w:val="18"/>
            <w:szCs w:val="18"/>
            <w:u w:val="none"/>
          </w:rPr>
          <w:t>f</w:t>
        </w:r>
        <w:r w:rsidRPr="00995084">
          <w:rPr>
            <w:rStyle w:val="Hyperlink"/>
            <w:rFonts w:ascii="Cambria" w:eastAsia="Calibri" w:hAnsi="Cambria" w:cs="Calibri"/>
            <w:color w:val="auto"/>
            <w:sz w:val="18"/>
            <w:szCs w:val="18"/>
            <w:u w:val="none"/>
          </w:rPr>
          <w:t>il</w:t>
        </w:r>
        <w:r w:rsidRPr="00995084">
          <w:rPr>
            <w:rStyle w:val="Hyperlink"/>
            <w:rFonts w:ascii="Cambria" w:eastAsia="Calibri" w:hAnsi="Cambria" w:cs="Calibri"/>
            <w:color w:val="auto"/>
            <w:spacing w:val="-1"/>
            <w:sz w:val="18"/>
            <w:szCs w:val="18"/>
            <w:u w:val="none"/>
          </w:rPr>
          <w:t>e</w:t>
        </w:r>
        <w:r w:rsidRPr="00995084">
          <w:rPr>
            <w:rStyle w:val="Hyperlink"/>
            <w:rFonts w:ascii="Cambria" w:eastAsia="Calibri" w:hAnsi="Cambria" w:cs="Calibri"/>
            <w:color w:val="auto"/>
            <w:sz w:val="18"/>
            <w:szCs w:val="18"/>
            <w:u w:val="none"/>
          </w:rPr>
          <w:t>/</w:t>
        </w:r>
        <w:r w:rsidRPr="00995084">
          <w:rPr>
            <w:rStyle w:val="Hyperlink"/>
            <w:rFonts w:ascii="Cambria" w:eastAsia="Calibri" w:hAnsi="Cambria" w:cs="Calibri"/>
            <w:color w:val="auto"/>
            <w:spacing w:val="1"/>
            <w:sz w:val="18"/>
            <w:szCs w:val="18"/>
            <w:u w:val="none"/>
          </w:rPr>
          <w:t>N</w:t>
        </w:r>
        <w:r w:rsidRPr="00995084">
          <w:rPr>
            <w:rStyle w:val="Hyperlink"/>
            <w:rFonts w:ascii="Cambria" w:eastAsia="Calibri" w:hAnsi="Cambria" w:cs="Calibri"/>
            <w:color w:val="auto"/>
            <w:sz w:val="18"/>
            <w:szCs w:val="18"/>
            <w:u w:val="none"/>
          </w:rPr>
          <w:t>ikl</w:t>
        </w:r>
        <w:r w:rsidRPr="00995084">
          <w:rPr>
            <w:rStyle w:val="Hyperlink"/>
            <w:rFonts w:ascii="Cambria" w:eastAsia="Calibri" w:hAnsi="Cambria" w:cs="Calibri"/>
            <w:color w:val="auto"/>
            <w:spacing w:val="3"/>
            <w:sz w:val="18"/>
            <w:szCs w:val="18"/>
            <w:u w:val="none"/>
          </w:rPr>
          <w:t>a</w:t>
        </w:r>
        <w:r w:rsidRPr="00995084">
          <w:rPr>
            <w:rStyle w:val="Hyperlink"/>
            <w:rFonts w:ascii="Cambria" w:eastAsia="Calibri" w:hAnsi="Cambria" w:cs="Calibri"/>
            <w:color w:val="auto"/>
            <w:spacing w:val="-1"/>
            <w:sz w:val="18"/>
            <w:szCs w:val="18"/>
            <w:u w:val="none"/>
          </w:rPr>
          <w:t>s_</w:t>
        </w:r>
        <w:r w:rsidRPr="00995084">
          <w:rPr>
            <w:rStyle w:val="Hyperlink"/>
            <w:rFonts w:ascii="Cambria" w:eastAsia="Calibri" w:hAnsi="Cambria" w:cs="Calibri"/>
            <w:color w:val="auto"/>
            <w:sz w:val="18"/>
            <w:szCs w:val="18"/>
            <w:u w:val="none"/>
          </w:rPr>
          <w:t>L</w:t>
        </w:r>
        <w:r w:rsidRPr="00995084">
          <w:rPr>
            <w:rStyle w:val="Hyperlink"/>
            <w:rFonts w:ascii="Cambria" w:eastAsia="Calibri" w:hAnsi="Cambria" w:cs="Calibri"/>
            <w:color w:val="auto"/>
            <w:spacing w:val="1"/>
            <w:sz w:val="18"/>
            <w:szCs w:val="18"/>
            <w:u w:val="none"/>
          </w:rPr>
          <w:t>an</w:t>
        </w:r>
        <w:r w:rsidRPr="00995084">
          <w:rPr>
            <w:rStyle w:val="Hyperlink"/>
            <w:rFonts w:ascii="Cambria" w:eastAsia="Calibri" w:hAnsi="Cambria" w:cs="Calibri"/>
            <w:color w:val="auto"/>
            <w:spacing w:val="2"/>
            <w:sz w:val="18"/>
            <w:szCs w:val="18"/>
            <w:u w:val="none"/>
          </w:rPr>
          <w:t>g</w:t>
        </w:r>
        <w:r w:rsidRPr="00995084">
          <w:rPr>
            <w:rStyle w:val="Hyperlink"/>
            <w:rFonts w:ascii="Cambria" w:eastAsia="Calibri" w:hAnsi="Cambria" w:cs="Calibri"/>
            <w:color w:val="auto"/>
            <w:spacing w:val="-1"/>
            <w:sz w:val="18"/>
            <w:szCs w:val="18"/>
            <w:u w:val="none"/>
          </w:rPr>
          <w:t>s</w:t>
        </w:r>
        <w:r w:rsidRPr="00995084">
          <w:rPr>
            <w:rStyle w:val="Hyperlink"/>
            <w:rFonts w:ascii="Cambria" w:eastAsia="Calibri" w:hAnsi="Cambria" w:cs="Calibri"/>
            <w:color w:val="auto"/>
            <w:sz w:val="18"/>
            <w:szCs w:val="18"/>
            <w:u w:val="none"/>
          </w:rPr>
          <w:t>tr</w:t>
        </w:r>
        <w:r w:rsidRPr="00995084">
          <w:rPr>
            <w:rStyle w:val="Hyperlink"/>
            <w:rFonts w:ascii="Cambria" w:eastAsia="Calibri" w:hAnsi="Cambria" w:cs="Calibri"/>
            <w:color w:val="auto"/>
            <w:spacing w:val="1"/>
            <w:sz w:val="18"/>
            <w:szCs w:val="18"/>
            <w:u w:val="none"/>
          </w:rPr>
          <w:t>oe</w:t>
        </w:r>
        <w:r w:rsidRPr="00995084">
          <w:rPr>
            <w:rStyle w:val="Hyperlink"/>
            <w:rFonts w:ascii="Cambria" w:eastAsia="Calibri" w:hAnsi="Cambria" w:cs="Calibri"/>
            <w:color w:val="auto"/>
            <w:spacing w:val="-1"/>
            <w:sz w:val="18"/>
            <w:szCs w:val="18"/>
            <w:u w:val="none"/>
          </w:rPr>
          <w:t>m</w:t>
        </w:r>
        <w:r w:rsidRPr="00995084">
          <w:rPr>
            <w:rStyle w:val="Hyperlink"/>
            <w:rFonts w:ascii="Cambria" w:eastAsia="Calibri" w:hAnsi="Cambria" w:cs="Calibri"/>
            <w:color w:val="auto"/>
            <w:spacing w:val="2"/>
            <w:sz w:val="18"/>
            <w:szCs w:val="18"/>
            <w:u w:val="none"/>
          </w:rPr>
          <w:t>/</w:t>
        </w:r>
        <w:r w:rsidRPr="00995084">
          <w:rPr>
            <w:rStyle w:val="Hyperlink"/>
            <w:rFonts w:ascii="Cambria" w:eastAsia="Calibri" w:hAnsi="Cambria" w:cs="Calibri"/>
            <w:color w:val="auto"/>
            <w:spacing w:val="1"/>
            <w:sz w:val="18"/>
            <w:szCs w:val="18"/>
            <w:u w:val="none"/>
          </w:rPr>
          <w:t>pub</w:t>
        </w:r>
        <w:r w:rsidRPr="00995084">
          <w:rPr>
            <w:rStyle w:val="Hyperlink"/>
            <w:rFonts w:ascii="Cambria" w:eastAsia="Calibri" w:hAnsi="Cambria" w:cs="Calibri"/>
            <w:color w:val="auto"/>
            <w:sz w:val="18"/>
            <w:szCs w:val="18"/>
            <w:u w:val="none"/>
          </w:rPr>
          <w:t>li</w:t>
        </w:r>
        <w:r w:rsidRPr="00995084">
          <w:rPr>
            <w:rStyle w:val="Hyperlink"/>
            <w:rFonts w:ascii="Cambria" w:eastAsia="Calibri" w:hAnsi="Cambria" w:cs="Calibri"/>
            <w:color w:val="auto"/>
            <w:spacing w:val="-1"/>
            <w:sz w:val="18"/>
            <w:szCs w:val="18"/>
            <w:u w:val="none"/>
          </w:rPr>
          <w:t>c</w:t>
        </w:r>
        <w:r w:rsidRPr="00995084">
          <w:rPr>
            <w:rStyle w:val="Hyperlink"/>
            <w:rFonts w:ascii="Cambria" w:eastAsia="Calibri" w:hAnsi="Cambria" w:cs="Calibri"/>
            <w:color w:val="auto"/>
            <w:sz w:val="18"/>
            <w:szCs w:val="18"/>
            <w:u w:val="none"/>
          </w:rPr>
          <w:t>a</w:t>
        </w:r>
        <w:r w:rsidRPr="00995084">
          <w:rPr>
            <w:rStyle w:val="Hyperlink"/>
            <w:rFonts w:ascii="Cambria" w:eastAsia="Calibri" w:hAnsi="Cambria" w:cs="Calibri"/>
            <w:color w:val="auto"/>
            <w:spacing w:val="1"/>
            <w:sz w:val="18"/>
            <w:szCs w:val="18"/>
            <w:u w:val="none"/>
          </w:rPr>
          <w:t>t</w:t>
        </w:r>
        <w:r w:rsidRPr="00995084">
          <w:rPr>
            <w:rStyle w:val="Hyperlink"/>
            <w:rFonts w:ascii="Cambria" w:eastAsia="Calibri" w:hAnsi="Cambria" w:cs="Calibri"/>
            <w:color w:val="auto"/>
            <w:sz w:val="18"/>
            <w:szCs w:val="18"/>
            <w:u w:val="none"/>
          </w:rPr>
          <w:t>io</w:t>
        </w:r>
        <w:r w:rsidRPr="00995084">
          <w:rPr>
            <w:rStyle w:val="Hyperlink"/>
            <w:rFonts w:ascii="Cambria" w:eastAsia="Calibri" w:hAnsi="Cambria" w:cs="Calibri"/>
            <w:color w:val="auto"/>
            <w:spacing w:val="1"/>
            <w:sz w:val="18"/>
            <w:szCs w:val="18"/>
            <w:u w:val="none"/>
          </w:rPr>
          <w:t>n</w:t>
        </w:r>
        <w:r w:rsidRPr="00995084">
          <w:rPr>
            <w:rStyle w:val="Hyperlink"/>
            <w:rFonts w:ascii="Cambria" w:eastAsia="Calibri" w:hAnsi="Cambria" w:cs="Calibri"/>
            <w:color w:val="auto"/>
            <w:sz w:val="18"/>
            <w:szCs w:val="18"/>
            <w:u w:val="none"/>
          </w:rPr>
          <w:t>/23</w:t>
        </w:r>
        <w:r w:rsidRPr="00995084">
          <w:rPr>
            <w:rStyle w:val="Hyperlink"/>
            <w:rFonts w:ascii="Cambria" w:eastAsia="Calibri" w:hAnsi="Cambria" w:cs="Calibri"/>
            <w:color w:val="auto"/>
            <w:spacing w:val="-1"/>
            <w:sz w:val="18"/>
            <w:szCs w:val="18"/>
            <w:u w:val="none"/>
          </w:rPr>
          <w:t>6</w:t>
        </w:r>
        <w:r w:rsidRPr="00995084">
          <w:rPr>
            <w:rStyle w:val="Hyperlink"/>
            <w:rFonts w:ascii="Cambria" w:eastAsia="Calibri" w:hAnsi="Cambria" w:cs="Calibri"/>
            <w:color w:val="auto"/>
            <w:sz w:val="18"/>
            <w:szCs w:val="18"/>
            <w:u w:val="none"/>
          </w:rPr>
          <w:t>246</w:t>
        </w:r>
        <w:r w:rsidRPr="00995084">
          <w:rPr>
            <w:rStyle w:val="Hyperlink"/>
            <w:rFonts w:ascii="Cambria" w:eastAsia="Calibri" w:hAnsi="Cambria" w:cs="Calibri"/>
            <w:color w:val="auto"/>
            <w:spacing w:val="1"/>
            <w:sz w:val="18"/>
            <w:szCs w:val="18"/>
            <w:u w:val="none"/>
          </w:rPr>
          <w:t>3</w:t>
        </w:r>
        <w:r w:rsidRPr="00995084">
          <w:rPr>
            <w:rStyle w:val="Hyperlink"/>
            <w:rFonts w:ascii="Cambria" w:eastAsia="Calibri" w:hAnsi="Cambria" w:cs="Calibri"/>
            <w:color w:val="auto"/>
            <w:sz w:val="18"/>
            <w:szCs w:val="18"/>
            <w:u w:val="none"/>
          </w:rPr>
          <w:t>8</w:t>
        </w:r>
        <w:r w:rsidRPr="00995084">
          <w:rPr>
            <w:rStyle w:val="Hyperlink"/>
            <w:rFonts w:ascii="Cambria" w:eastAsia="Calibri" w:hAnsi="Cambria" w:cs="Calibri"/>
            <w:color w:val="auto"/>
            <w:spacing w:val="6"/>
            <w:sz w:val="18"/>
            <w:szCs w:val="18"/>
            <w:u w:val="none"/>
          </w:rPr>
          <w:t>9</w:t>
        </w:r>
        <w:r w:rsidRPr="00995084">
          <w:rPr>
            <w:rStyle w:val="Hyperlink"/>
            <w:rFonts w:ascii="Cambria" w:eastAsia="Calibri" w:hAnsi="Cambria" w:cs="Calibri"/>
            <w:color w:val="auto"/>
            <w:spacing w:val="1"/>
            <w:sz w:val="18"/>
            <w:szCs w:val="18"/>
            <w:u w:val="none"/>
          </w:rPr>
          <w:t>_</w:t>
        </w:r>
        <w:r w:rsidRPr="00995084">
          <w:rPr>
            <w:rStyle w:val="Hyperlink"/>
            <w:rFonts w:ascii="Cambria" w:eastAsia="Calibri" w:hAnsi="Cambria" w:cs="Calibri"/>
            <w:color w:val="auto"/>
            <w:sz w:val="18"/>
            <w:szCs w:val="18"/>
            <w:u w:val="none"/>
          </w:rPr>
          <w:t>Ri</w:t>
        </w:r>
        <w:r w:rsidRPr="00995084">
          <w:rPr>
            <w:rStyle w:val="Hyperlink"/>
            <w:rFonts w:ascii="Cambria" w:eastAsia="Calibri" w:hAnsi="Cambria" w:cs="Calibri"/>
            <w:color w:val="auto"/>
            <w:spacing w:val="-1"/>
            <w:sz w:val="18"/>
            <w:szCs w:val="18"/>
            <w:u w:val="none"/>
          </w:rPr>
          <w:t>s</w:t>
        </w:r>
        <w:r w:rsidRPr="00995084">
          <w:rPr>
            <w:rStyle w:val="Hyperlink"/>
            <w:rFonts w:ascii="Cambria" w:eastAsia="Calibri" w:hAnsi="Cambria" w:cs="Calibri"/>
            <w:color w:val="auto"/>
            <w:spacing w:val="3"/>
            <w:sz w:val="18"/>
            <w:szCs w:val="18"/>
            <w:u w:val="none"/>
          </w:rPr>
          <w:t>k</w:t>
        </w:r>
        <w:r w:rsidRPr="00995084">
          <w:rPr>
            <w:rStyle w:val="Hyperlink"/>
            <w:rFonts w:ascii="Cambria" w:eastAsia="Calibri" w:hAnsi="Cambria" w:cs="Calibri"/>
            <w:color w:val="auto"/>
            <w:spacing w:val="1"/>
            <w:sz w:val="18"/>
            <w:szCs w:val="18"/>
            <w:u w:val="none"/>
          </w:rPr>
          <w:t>_</w:t>
        </w:r>
        <w:r w:rsidRPr="00995084">
          <w:rPr>
            <w:rStyle w:val="Hyperlink"/>
            <w:rFonts w:ascii="Cambria" w:eastAsia="Calibri" w:hAnsi="Cambria" w:cs="Calibri"/>
            <w:color w:val="auto"/>
            <w:sz w:val="18"/>
            <w:szCs w:val="18"/>
            <w:u w:val="none"/>
          </w:rPr>
          <w:t>o</w:t>
        </w:r>
        <w:r w:rsidRPr="00995084">
          <w:rPr>
            <w:rStyle w:val="Hyperlink"/>
            <w:rFonts w:ascii="Cambria" w:eastAsia="Calibri" w:hAnsi="Cambria" w:cs="Calibri"/>
            <w:color w:val="auto"/>
            <w:spacing w:val="-1"/>
            <w:sz w:val="18"/>
            <w:szCs w:val="18"/>
            <w:u w:val="none"/>
          </w:rPr>
          <w:t>f_</w:t>
        </w:r>
        <w:r w:rsidRPr="00995084">
          <w:rPr>
            <w:rStyle w:val="Hyperlink"/>
            <w:rFonts w:ascii="Cambria" w:eastAsia="Calibri" w:hAnsi="Cambria" w:cs="Calibri"/>
            <w:color w:val="auto"/>
            <w:spacing w:val="2"/>
            <w:sz w:val="18"/>
            <w:szCs w:val="18"/>
            <w:u w:val="none"/>
          </w:rPr>
          <w:t>S</w:t>
        </w:r>
        <w:r w:rsidRPr="00995084">
          <w:rPr>
            <w:rStyle w:val="Hyperlink"/>
            <w:rFonts w:ascii="Cambria" w:eastAsia="Calibri" w:hAnsi="Cambria" w:cs="Calibri"/>
            <w:color w:val="auto"/>
            <w:spacing w:val="-1"/>
            <w:sz w:val="18"/>
            <w:szCs w:val="18"/>
            <w:u w:val="none"/>
          </w:rPr>
          <w:t>e</w:t>
        </w:r>
        <w:r w:rsidRPr="00995084">
          <w:rPr>
            <w:rStyle w:val="Hyperlink"/>
            <w:rFonts w:ascii="Cambria" w:eastAsia="Calibri" w:hAnsi="Cambria" w:cs="Calibri"/>
            <w:color w:val="auto"/>
            <w:sz w:val="18"/>
            <w:szCs w:val="18"/>
            <w:u w:val="none"/>
          </w:rPr>
          <w:t>x</w:t>
        </w:r>
        <w:r w:rsidRPr="00995084">
          <w:rPr>
            <w:rStyle w:val="Hyperlink"/>
            <w:rFonts w:ascii="Cambria" w:eastAsia="Calibri" w:hAnsi="Cambria" w:cs="Calibri"/>
            <w:color w:val="auto"/>
            <w:spacing w:val="1"/>
            <w:sz w:val="18"/>
            <w:szCs w:val="18"/>
            <w:u w:val="none"/>
          </w:rPr>
          <w:t>u</w:t>
        </w:r>
        <w:r w:rsidRPr="00995084">
          <w:rPr>
            <w:rStyle w:val="Hyperlink"/>
            <w:rFonts w:ascii="Cambria" w:eastAsia="Calibri" w:hAnsi="Cambria" w:cs="Calibri"/>
            <w:color w:val="auto"/>
            <w:sz w:val="18"/>
            <w:szCs w:val="18"/>
            <w:u w:val="none"/>
          </w:rPr>
          <w:t>al_</w:t>
        </w:r>
        <w:r w:rsidRPr="00995084">
          <w:rPr>
            <w:rStyle w:val="Hyperlink"/>
            <w:rFonts w:ascii="Cambria" w:eastAsia="Calibri" w:hAnsi="Cambria" w:cs="Calibri"/>
            <w:color w:val="auto"/>
            <w:spacing w:val="2"/>
            <w:sz w:val="18"/>
            <w:szCs w:val="18"/>
            <w:u w:val="none"/>
          </w:rPr>
          <w:t>R</w:t>
        </w:r>
        <w:r w:rsidRPr="00995084">
          <w:rPr>
            <w:rStyle w:val="Hyperlink"/>
            <w:rFonts w:ascii="Cambria" w:eastAsia="Calibri" w:hAnsi="Cambria" w:cs="Calibri"/>
            <w:color w:val="auto"/>
            <w:spacing w:val="-1"/>
            <w:sz w:val="18"/>
            <w:szCs w:val="18"/>
            <w:u w:val="none"/>
          </w:rPr>
          <w:t>e</w:t>
        </w:r>
        <w:r w:rsidRPr="00995084">
          <w:rPr>
            <w:rStyle w:val="Hyperlink"/>
            <w:rFonts w:ascii="Cambria" w:eastAsia="Calibri" w:hAnsi="Cambria" w:cs="Calibri"/>
            <w:color w:val="auto"/>
            <w:sz w:val="18"/>
            <w:szCs w:val="18"/>
            <w:u w:val="none"/>
          </w:rPr>
          <w:t>cid</w:t>
        </w:r>
        <w:r w:rsidRPr="00995084">
          <w:rPr>
            <w:rStyle w:val="Hyperlink"/>
            <w:rFonts w:ascii="Cambria" w:eastAsia="Calibri" w:hAnsi="Cambria" w:cs="Calibri"/>
            <w:color w:val="auto"/>
            <w:spacing w:val="3"/>
            <w:sz w:val="18"/>
            <w:szCs w:val="18"/>
            <w:u w:val="none"/>
          </w:rPr>
          <w:t>i</w:t>
        </w:r>
        <w:r w:rsidRPr="00995084">
          <w:rPr>
            <w:rStyle w:val="Hyperlink"/>
            <w:rFonts w:ascii="Cambria" w:eastAsia="Calibri" w:hAnsi="Cambria" w:cs="Calibri"/>
            <w:color w:val="auto"/>
            <w:spacing w:val="-1"/>
            <w:sz w:val="18"/>
            <w:szCs w:val="18"/>
            <w:u w:val="none"/>
          </w:rPr>
          <w:t>v</w:t>
        </w:r>
        <w:r w:rsidRPr="00995084">
          <w:rPr>
            <w:rStyle w:val="Hyperlink"/>
            <w:rFonts w:ascii="Cambria" w:eastAsia="Calibri" w:hAnsi="Cambria" w:cs="Calibri"/>
            <w:color w:val="auto"/>
            <w:sz w:val="18"/>
            <w:szCs w:val="18"/>
            <w:u w:val="none"/>
          </w:rPr>
          <w:t>ismi</w:t>
        </w:r>
        <w:r w:rsidRPr="00995084">
          <w:rPr>
            <w:rStyle w:val="Hyperlink"/>
            <w:rFonts w:ascii="Cambria" w:eastAsia="Calibri" w:hAnsi="Cambria" w:cs="Calibri"/>
            <w:color w:val="auto"/>
            <w:spacing w:val="1"/>
            <w:sz w:val="18"/>
            <w:szCs w:val="18"/>
            <w:u w:val="none"/>
          </w:rPr>
          <w:t>n</w:t>
        </w:r>
        <w:r w:rsidRPr="00995084">
          <w:rPr>
            <w:rStyle w:val="Hyperlink"/>
            <w:rFonts w:ascii="Cambria" w:eastAsia="Calibri" w:hAnsi="Cambria" w:cs="Calibri"/>
            <w:color w:val="auto"/>
            <w:spacing w:val="-1"/>
            <w:sz w:val="18"/>
            <w:szCs w:val="18"/>
            <w:u w:val="none"/>
          </w:rPr>
          <w:t>_</w:t>
        </w:r>
        <w:r w:rsidRPr="00995084">
          <w:rPr>
            <w:rStyle w:val="Hyperlink"/>
            <w:rFonts w:ascii="Cambria" w:eastAsia="Calibri" w:hAnsi="Cambria" w:cs="Calibri"/>
            <w:color w:val="auto"/>
            <w:sz w:val="18"/>
            <w:szCs w:val="18"/>
            <w:u w:val="none"/>
          </w:rPr>
          <w:t>A</w:t>
        </w:r>
        <w:r w:rsidRPr="00995084">
          <w:rPr>
            <w:rStyle w:val="Hyperlink"/>
            <w:rFonts w:ascii="Cambria" w:eastAsia="Calibri" w:hAnsi="Cambria" w:cs="Calibri"/>
            <w:color w:val="auto"/>
            <w:spacing w:val="1"/>
            <w:sz w:val="18"/>
            <w:szCs w:val="18"/>
            <w:u w:val="none"/>
          </w:rPr>
          <w:t>d</w:t>
        </w:r>
        <w:r w:rsidRPr="00995084">
          <w:rPr>
            <w:rStyle w:val="Hyperlink"/>
            <w:rFonts w:ascii="Cambria" w:eastAsia="Calibri" w:hAnsi="Cambria" w:cs="Calibri"/>
            <w:color w:val="auto"/>
            <w:spacing w:val="3"/>
            <w:sz w:val="18"/>
            <w:szCs w:val="18"/>
            <w:u w:val="none"/>
          </w:rPr>
          <w:t>o</w:t>
        </w:r>
        <w:r w:rsidRPr="00995084">
          <w:rPr>
            <w:rStyle w:val="Hyperlink"/>
            <w:rFonts w:ascii="Cambria" w:eastAsia="Calibri" w:hAnsi="Cambria" w:cs="Calibri"/>
            <w:color w:val="auto"/>
            <w:sz w:val="18"/>
            <w:szCs w:val="18"/>
            <w:u w:val="none"/>
          </w:rPr>
          <w:t>l</w:t>
        </w:r>
        <w:r w:rsidRPr="00995084">
          <w:rPr>
            <w:rStyle w:val="Hyperlink"/>
            <w:rFonts w:ascii="Cambria" w:eastAsia="Calibri" w:hAnsi="Cambria" w:cs="Calibri"/>
            <w:color w:val="auto"/>
            <w:spacing w:val="-1"/>
            <w:sz w:val="18"/>
            <w:szCs w:val="18"/>
            <w:u w:val="none"/>
          </w:rPr>
          <w:t>es</w:t>
        </w:r>
        <w:r w:rsidRPr="00995084">
          <w:rPr>
            <w:rStyle w:val="Hyperlink"/>
            <w:rFonts w:ascii="Cambria" w:eastAsia="Calibri" w:hAnsi="Cambria" w:cs="Calibri"/>
            <w:color w:val="auto"/>
            <w:spacing w:val="2"/>
            <w:sz w:val="18"/>
            <w:szCs w:val="18"/>
            <w:u w:val="none"/>
          </w:rPr>
          <w:t>c</w:t>
        </w:r>
        <w:r w:rsidRPr="00995084">
          <w:rPr>
            <w:rStyle w:val="Hyperlink"/>
            <w:rFonts w:ascii="Cambria" w:eastAsia="Calibri" w:hAnsi="Cambria" w:cs="Calibri"/>
            <w:color w:val="auto"/>
            <w:spacing w:val="-1"/>
            <w:sz w:val="18"/>
            <w:szCs w:val="18"/>
            <w:u w:val="none"/>
          </w:rPr>
          <w:t>e</w:t>
        </w:r>
        <w:r w:rsidRPr="00995084">
          <w:rPr>
            <w:rStyle w:val="Hyperlink"/>
            <w:rFonts w:ascii="Cambria" w:eastAsia="Calibri" w:hAnsi="Cambria" w:cs="Calibri"/>
            <w:color w:val="auto"/>
            <w:spacing w:val="1"/>
            <w:sz w:val="18"/>
            <w:szCs w:val="18"/>
            <w:u w:val="none"/>
          </w:rPr>
          <w:t>n</w:t>
        </w:r>
        <w:r w:rsidRPr="00995084">
          <w:rPr>
            <w:rStyle w:val="Hyperlink"/>
            <w:rFonts w:ascii="Cambria" w:eastAsia="Calibri" w:hAnsi="Cambria" w:cs="Calibri"/>
            <w:color w:val="auto"/>
            <w:sz w:val="18"/>
            <w:szCs w:val="18"/>
            <w:u w:val="none"/>
          </w:rPr>
          <w:t>t</w:t>
        </w:r>
        <w:r w:rsidRPr="00995084">
          <w:rPr>
            <w:rStyle w:val="Hyperlink"/>
            <w:rFonts w:ascii="Cambria" w:eastAsia="Calibri" w:hAnsi="Cambria" w:cs="Calibri"/>
            <w:color w:val="auto"/>
            <w:spacing w:val="2"/>
            <w:sz w:val="18"/>
            <w:szCs w:val="18"/>
            <w:u w:val="none"/>
          </w:rPr>
          <w:t>s</w:t>
        </w:r>
        <w:r w:rsidRPr="00995084">
          <w:rPr>
            <w:rStyle w:val="Hyperlink"/>
            <w:rFonts w:ascii="Cambria" w:eastAsia="Calibri" w:hAnsi="Cambria" w:cs="Calibri"/>
            <w:color w:val="auto"/>
            <w:sz w:val="18"/>
            <w:szCs w:val="18"/>
            <w:u w:val="none"/>
          </w:rPr>
          <w:t>_</w:t>
        </w:r>
      </w:hyperlink>
      <w:hyperlink r:id="rId5">
        <w:r w:rsidRPr="00995084">
          <w:rPr>
            <w:rFonts w:ascii="Cambria" w:eastAsia="Calibri" w:hAnsi="Cambria" w:cs="Calibri"/>
            <w:sz w:val="18"/>
            <w:szCs w:val="18"/>
          </w:rPr>
          <w:t>W</w:t>
        </w:r>
        <w:r w:rsidRPr="00995084">
          <w:rPr>
            <w:rFonts w:ascii="Cambria" w:eastAsia="Calibri" w:hAnsi="Cambria" w:cs="Calibri"/>
            <w:spacing w:val="1"/>
            <w:sz w:val="18"/>
            <w:szCs w:val="18"/>
          </w:rPr>
          <w:t>h</w:t>
        </w:r>
        <w:r w:rsidRPr="00995084">
          <w:rPr>
            <w:rFonts w:ascii="Cambria" w:eastAsia="Calibri" w:hAnsi="Cambria" w:cs="Calibri"/>
            <w:sz w:val="18"/>
            <w:szCs w:val="18"/>
          </w:rPr>
          <w:t>o</w:t>
        </w:r>
        <w:r w:rsidRPr="00995084">
          <w:rPr>
            <w:rFonts w:ascii="Cambria" w:eastAsia="Calibri" w:hAnsi="Cambria" w:cs="Calibri"/>
            <w:spacing w:val="-1"/>
            <w:sz w:val="18"/>
            <w:szCs w:val="18"/>
          </w:rPr>
          <w:t>_</w:t>
        </w:r>
        <w:r w:rsidRPr="00995084">
          <w:rPr>
            <w:rFonts w:ascii="Cambria" w:eastAsia="Calibri" w:hAnsi="Cambria" w:cs="Calibri"/>
            <w:sz w:val="18"/>
            <w:szCs w:val="18"/>
          </w:rPr>
          <w:t>O</w:t>
        </w:r>
        <w:r w:rsidRPr="00995084">
          <w:rPr>
            <w:rFonts w:ascii="Cambria" w:eastAsia="Calibri" w:hAnsi="Cambria" w:cs="Calibri"/>
            <w:spacing w:val="-1"/>
            <w:sz w:val="18"/>
            <w:szCs w:val="18"/>
          </w:rPr>
          <w:t>f</w:t>
        </w:r>
        <w:r w:rsidRPr="00995084">
          <w:rPr>
            <w:rFonts w:ascii="Cambria" w:eastAsia="Calibri" w:hAnsi="Cambria" w:cs="Calibri"/>
            <w:spacing w:val="1"/>
            <w:sz w:val="18"/>
            <w:szCs w:val="18"/>
          </w:rPr>
          <w:t>f</w:t>
        </w:r>
        <w:r w:rsidRPr="00995084">
          <w:rPr>
            <w:rFonts w:ascii="Cambria" w:eastAsia="Calibri" w:hAnsi="Cambria" w:cs="Calibri"/>
            <w:spacing w:val="-1"/>
            <w:sz w:val="18"/>
            <w:szCs w:val="18"/>
          </w:rPr>
          <w:t>e</w:t>
        </w:r>
        <w:r w:rsidRPr="00995084">
          <w:rPr>
            <w:rFonts w:ascii="Cambria" w:eastAsia="Calibri" w:hAnsi="Cambria" w:cs="Calibri"/>
            <w:spacing w:val="1"/>
            <w:sz w:val="18"/>
            <w:szCs w:val="18"/>
          </w:rPr>
          <w:t>nd</w:t>
        </w:r>
        <w:r w:rsidRPr="00995084">
          <w:rPr>
            <w:rFonts w:ascii="Cambria" w:eastAsia="Calibri" w:hAnsi="Cambria" w:cs="Calibri"/>
            <w:spacing w:val="-1"/>
            <w:sz w:val="18"/>
            <w:szCs w:val="18"/>
          </w:rPr>
          <w:t>_</w:t>
        </w:r>
        <w:r w:rsidRPr="00995084">
          <w:rPr>
            <w:rFonts w:ascii="Cambria" w:eastAsia="Calibri" w:hAnsi="Cambria" w:cs="Calibri"/>
            <w:spacing w:val="2"/>
            <w:sz w:val="18"/>
            <w:szCs w:val="18"/>
          </w:rPr>
          <w:t>S</w:t>
        </w:r>
        <w:r w:rsidRPr="00995084">
          <w:rPr>
            <w:rFonts w:ascii="Cambria" w:eastAsia="Calibri" w:hAnsi="Cambria" w:cs="Calibri"/>
            <w:spacing w:val="-1"/>
            <w:sz w:val="18"/>
            <w:szCs w:val="18"/>
          </w:rPr>
          <w:t>e</w:t>
        </w:r>
        <w:r w:rsidRPr="00995084">
          <w:rPr>
            <w:rFonts w:ascii="Cambria" w:eastAsia="Calibri" w:hAnsi="Cambria" w:cs="Calibri"/>
            <w:sz w:val="18"/>
            <w:szCs w:val="18"/>
          </w:rPr>
          <w:t>x</w:t>
        </w:r>
        <w:r w:rsidRPr="00995084">
          <w:rPr>
            <w:rFonts w:ascii="Cambria" w:eastAsia="Calibri" w:hAnsi="Cambria" w:cs="Calibri"/>
            <w:spacing w:val="1"/>
            <w:sz w:val="18"/>
            <w:szCs w:val="18"/>
          </w:rPr>
          <w:t>u</w:t>
        </w:r>
        <w:r w:rsidRPr="00995084">
          <w:rPr>
            <w:rFonts w:ascii="Cambria" w:eastAsia="Calibri" w:hAnsi="Cambria" w:cs="Calibri"/>
            <w:sz w:val="18"/>
            <w:szCs w:val="18"/>
          </w:rPr>
          <w:t>all</w:t>
        </w:r>
        <w:r w:rsidRPr="00995084">
          <w:rPr>
            <w:rFonts w:ascii="Cambria" w:eastAsia="Calibri" w:hAnsi="Cambria" w:cs="Calibri"/>
            <w:spacing w:val="1"/>
            <w:sz w:val="18"/>
            <w:szCs w:val="18"/>
          </w:rPr>
          <w:t>y</w:t>
        </w:r>
        <w:r w:rsidRPr="00995084">
          <w:rPr>
            <w:rFonts w:ascii="Cambria" w:eastAsia="Calibri" w:hAnsi="Cambria" w:cs="Calibri"/>
            <w:spacing w:val="-1"/>
            <w:sz w:val="18"/>
            <w:szCs w:val="18"/>
          </w:rPr>
          <w:t>_</w:t>
        </w:r>
        <w:r w:rsidRPr="00995084">
          <w:rPr>
            <w:rFonts w:ascii="Cambria" w:eastAsia="Calibri" w:hAnsi="Cambria" w:cs="Calibri"/>
            <w:sz w:val="18"/>
            <w:szCs w:val="18"/>
          </w:rPr>
          <w:t>cor</w:t>
        </w:r>
        <w:r w:rsidRPr="00995084">
          <w:rPr>
            <w:rFonts w:ascii="Cambria" w:eastAsia="Calibri" w:hAnsi="Cambria" w:cs="Calibri"/>
            <w:spacing w:val="3"/>
            <w:sz w:val="18"/>
            <w:szCs w:val="18"/>
          </w:rPr>
          <w:t>r</w:t>
        </w:r>
        <w:r w:rsidRPr="00995084">
          <w:rPr>
            <w:rFonts w:ascii="Cambria" w:eastAsia="Calibri" w:hAnsi="Cambria" w:cs="Calibri"/>
            <w:spacing w:val="-1"/>
            <w:sz w:val="18"/>
            <w:szCs w:val="18"/>
          </w:rPr>
          <w:t>e</w:t>
        </w:r>
        <w:r w:rsidRPr="00995084">
          <w:rPr>
            <w:rFonts w:ascii="Cambria" w:eastAsia="Calibri" w:hAnsi="Cambria" w:cs="Calibri"/>
            <w:spacing w:val="2"/>
            <w:sz w:val="18"/>
            <w:szCs w:val="18"/>
          </w:rPr>
          <w:t>l</w:t>
        </w:r>
        <w:r w:rsidRPr="00995084">
          <w:rPr>
            <w:rFonts w:ascii="Cambria" w:eastAsia="Calibri" w:hAnsi="Cambria" w:cs="Calibri"/>
            <w:sz w:val="18"/>
            <w:szCs w:val="18"/>
          </w:rPr>
          <w:t>a</w:t>
        </w:r>
        <w:r w:rsidRPr="00995084">
          <w:rPr>
            <w:rFonts w:ascii="Cambria" w:eastAsia="Calibri" w:hAnsi="Cambria" w:cs="Calibri"/>
            <w:spacing w:val="1"/>
            <w:sz w:val="18"/>
            <w:szCs w:val="18"/>
          </w:rPr>
          <w:t>t</w:t>
        </w:r>
        <w:r w:rsidRPr="00995084">
          <w:rPr>
            <w:rFonts w:ascii="Cambria" w:eastAsia="Calibri" w:hAnsi="Cambria" w:cs="Calibri"/>
            <w:spacing w:val="-1"/>
            <w:sz w:val="18"/>
            <w:szCs w:val="18"/>
          </w:rPr>
          <w:t>es_</w:t>
        </w:r>
        <w:r w:rsidRPr="00995084">
          <w:rPr>
            <w:rFonts w:ascii="Cambria" w:eastAsia="Calibri" w:hAnsi="Cambria" w:cs="Calibri"/>
            <w:sz w:val="18"/>
            <w:szCs w:val="18"/>
          </w:rPr>
          <w:t>a</w:t>
        </w:r>
        <w:r w:rsidRPr="00995084">
          <w:rPr>
            <w:rFonts w:ascii="Cambria" w:eastAsia="Calibri" w:hAnsi="Cambria" w:cs="Calibri"/>
            <w:spacing w:val="1"/>
            <w:sz w:val="18"/>
            <w:szCs w:val="18"/>
          </w:rPr>
          <w:t>nd</w:t>
        </w:r>
        <w:r w:rsidRPr="00995084">
          <w:rPr>
            <w:rFonts w:ascii="Cambria" w:eastAsia="Calibri" w:hAnsi="Cambria" w:cs="Calibri"/>
            <w:spacing w:val="-1"/>
            <w:sz w:val="18"/>
            <w:szCs w:val="18"/>
          </w:rPr>
          <w:t>_</w:t>
        </w:r>
        <w:r w:rsidRPr="00995084">
          <w:rPr>
            <w:rFonts w:ascii="Cambria" w:eastAsia="Calibri" w:hAnsi="Cambria" w:cs="Calibri"/>
            <w:spacing w:val="3"/>
            <w:sz w:val="18"/>
            <w:szCs w:val="18"/>
          </w:rPr>
          <w:t>a</w:t>
        </w:r>
        <w:r w:rsidRPr="00995084">
          <w:rPr>
            <w:rFonts w:ascii="Cambria" w:eastAsia="Calibri" w:hAnsi="Cambria" w:cs="Calibri"/>
            <w:spacing w:val="1"/>
            <w:sz w:val="18"/>
            <w:szCs w:val="18"/>
          </w:rPr>
          <w:t>s</w:t>
        </w:r>
        <w:r w:rsidRPr="00995084">
          <w:rPr>
            <w:rFonts w:ascii="Cambria" w:eastAsia="Calibri" w:hAnsi="Cambria" w:cs="Calibri"/>
            <w:spacing w:val="-1"/>
            <w:sz w:val="18"/>
            <w:szCs w:val="18"/>
          </w:rPr>
          <w:t>s</w:t>
        </w:r>
        <w:r w:rsidRPr="00995084">
          <w:rPr>
            <w:rFonts w:ascii="Cambria" w:eastAsia="Calibri" w:hAnsi="Cambria" w:cs="Calibri"/>
            <w:spacing w:val="1"/>
            <w:sz w:val="18"/>
            <w:szCs w:val="18"/>
          </w:rPr>
          <w:t>e</w:t>
        </w:r>
        <w:r w:rsidRPr="00995084">
          <w:rPr>
            <w:rFonts w:ascii="Cambria" w:eastAsia="Calibri" w:hAnsi="Cambria" w:cs="Calibri"/>
            <w:spacing w:val="-1"/>
            <w:sz w:val="18"/>
            <w:szCs w:val="18"/>
          </w:rPr>
          <w:t>s</w:t>
        </w:r>
        <w:r w:rsidRPr="00995084">
          <w:rPr>
            <w:rFonts w:ascii="Cambria" w:eastAsia="Calibri" w:hAnsi="Cambria" w:cs="Calibri"/>
            <w:spacing w:val="1"/>
            <w:sz w:val="18"/>
            <w:szCs w:val="18"/>
          </w:rPr>
          <w:t>s</w:t>
        </w:r>
        <w:r w:rsidRPr="00995084">
          <w:rPr>
            <w:rFonts w:ascii="Cambria" w:eastAsia="Calibri" w:hAnsi="Cambria" w:cs="Calibri"/>
            <w:spacing w:val="-1"/>
            <w:sz w:val="18"/>
            <w:szCs w:val="18"/>
          </w:rPr>
          <w:t>me</w:t>
        </w:r>
        <w:r w:rsidRPr="00995084">
          <w:rPr>
            <w:rFonts w:ascii="Cambria" w:eastAsia="Calibri" w:hAnsi="Cambria" w:cs="Calibri"/>
            <w:spacing w:val="1"/>
            <w:sz w:val="18"/>
            <w:szCs w:val="18"/>
          </w:rPr>
          <w:t>n</w:t>
        </w:r>
        <w:r w:rsidRPr="00995084">
          <w:rPr>
            <w:rFonts w:ascii="Cambria" w:eastAsia="Calibri" w:hAnsi="Cambria" w:cs="Calibri"/>
            <w:sz w:val="18"/>
            <w:szCs w:val="18"/>
          </w:rPr>
          <w:t>t/li</w:t>
        </w:r>
        <w:r w:rsidRPr="00995084">
          <w:rPr>
            <w:rFonts w:ascii="Cambria" w:eastAsia="Calibri" w:hAnsi="Cambria" w:cs="Calibri"/>
            <w:spacing w:val="1"/>
            <w:sz w:val="18"/>
            <w:szCs w:val="18"/>
          </w:rPr>
          <w:t>n</w:t>
        </w:r>
        <w:r w:rsidRPr="00995084">
          <w:rPr>
            <w:rFonts w:ascii="Cambria" w:eastAsia="Calibri" w:hAnsi="Cambria" w:cs="Calibri"/>
            <w:spacing w:val="3"/>
            <w:sz w:val="18"/>
            <w:szCs w:val="18"/>
          </w:rPr>
          <w:t>k</w:t>
        </w:r>
        <w:r w:rsidRPr="00995084">
          <w:rPr>
            <w:rFonts w:ascii="Cambria" w:eastAsia="Calibri" w:hAnsi="Cambria" w:cs="Calibri"/>
            <w:spacing w:val="-1"/>
            <w:sz w:val="18"/>
            <w:szCs w:val="18"/>
          </w:rPr>
          <w:t>s</w:t>
        </w:r>
        <w:r w:rsidRPr="00995084">
          <w:rPr>
            <w:rFonts w:ascii="Cambria" w:eastAsia="Calibri" w:hAnsi="Cambria" w:cs="Calibri"/>
            <w:sz w:val="18"/>
            <w:szCs w:val="18"/>
          </w:rPr>
          <w:t>/</w:t>
        </w:r>
        <w:r w:rsidRPr="00995084">
          <w:rPr>
            <w:rFonts w:ascii="Cambria" w:eastAsia="Calibri" w:hAnsi="Cambria" w:cs="Calibri"/>
            <w:spacing w:val="2"/>
            <w:sz w:val="18"/>
            <w:szCs w:val="18"/>
          </w:rPr>
          <w:t>0</w:t>
        </w:r>
        <w:r w:rsidRPr="00995084">
          <w:rPr>
            <w:rFonts w:ascii="Cambria" w:eastAsia="Calibri" w:hAnsi="Cambria" w:cs="Calibri"/>
            <w:sz w:val="18"/>
            <w:szCs w:val="18"/>
          </w:rPr>
          <w:t>0</w:t>
        </w:r>
        <w:r w:rsidRPr="00995084">
          <w:rPr>
            <w:rFonts w:ascii="Cambria" w:eastAsia="Calibri" w:hAnsi="Cambria" w:cs="Calibri"/>
            <w:spacing w:val="1"/>
            <w:sz w:val="18"/>
            <w:szCs w:val="18"/>
          </w:rPr>
          <w:t>b</w:t>
        </w:r>
        <w:r w:rsidRPr="00995084">
          <w:rPr>
            <w:rFonts w:ascii="Cambria" w:eastAsia="Calibri" w:hAnsi="Cambria" w:cs="Calibri"/>
            <w:sz w:val="18"/>
            <w:szCs w:val="18"/>
          </w:rPr>
          <w:t>495</w:t>
        </w:r>
        <w:r w:rsidRPr="00995084">
          <w:rPr>
            <w:rFonts w:ascii="Cambria" w:eastAsia="Calibri" w:hAnsi="Cambria" w:cs="Calibri"/>
            <w:spacing w:val="-1"/>
            <w:sz w:val="18"/>
            <w:szCs w:val="18"/>
          </w:rPr>
          <w:t>1</w:t>
        </w:r>
        <w:r w:rsidRPr="00995084">
          <w:rPr>
            <w:rFonts w:ascii="Cambria" w:eastAsia="Calibri" w:hAnsi="Cambria" w:cs="Calibri"/>
            <w:sz w:val="18"/>
            <w:szCs w:val="18"/>
          </w:rPr>
          <w:t>8</w:t>
        </w:r>
        <w:r w:rsidRPr="00995084">
          <w:rPr>
            <w:rFonts w:ascii="Cambria" w:eastAsia="Calibri" w:hAnsi="Cambria" w:cs="Calibri"/>
            <w:spacing w:val="2"/>
            <w:sz w:val="18"/>
            <w:szCs w:val="18"/>
          </w:rPr>
          <w:t>5</w:t>
        </w:r>
        <w:r w:rsidRPr="00995084">
          <w:rPr>
            <w:rFonts w:ascii="Cambria" w:eastAsia="Calibri" w:hAnsi="Cambria" w:cs="Calibri"/>
            <w:sz w:val="18"/>
            <w:szCs w:val="18"/>
          </w:rPr>
          <w:t>863</w:t>
        </w:r>
        <w:r w:rsidRPr="00995084">
          <w:rPr>
            <w:rFonts w:ascii="Cambria" w:eastAsia="Calibri" w:hAnsi="Cambria" w:cs="Calibri"/>
            <w:spacing w:val="1"/>
            <w:sz w:val="18"/>
            <w:szCs w:val="18"/>
          </w:rPr>
          <w:t>8</w:t>
        </w:r>
        <w:r w:rsidRPr="00995084">
          <w:rPr>
            <w:rFonts w:ascii="Cambria" w:eastAsia="Calibri" w:hAnsi="Cambria" w:cs="Calibri"/>
            <w:sz w:val="18"/>
            <w:szCs w:val="18"/>
          </w:rPr>
          <w:t>1</w:t>
        </w:r>
        <w:r w:rsidRPr="00995084">
          <w:rPr>
            <w:rFonts w:ascii="Cambria" w:eastAsia="Calibri" w:hAnsi="Cambria" w:cs="Calibri"/>
            <w:spacing w:val="-1"/>
            <w:sz w:val="18"/>
            <w:szCs w:val="18"/>
          </w:rPr>
          <w:t>f</w:t>
        </w:r>
        <w:r w:rsidRPr="00995084">
          <w:rPr>
            <w:rFonts w:ascii="Cambria" w:eastAsia="Calibri" w:hAnsi="Cambria" w:cs="Calibri"/>
            <w:sz w:val="18"/>
            <w:szCs w:val="18"/>
          </w:rPr>
          <w:t>a</w:t>
        </w:r>
        <w:r w:rsidRPr="00995084">
          <w:rPr>
            <w:rFonts w:ascii="Cambria" w:eastAsia="Calibri" w:hAnsi="Cambria" w:cs="Calibri"/>
            <w:spacing w:val="2"/>
            <w:sz w:val="18"/>
            <w:szCs w:val="18"/>
          </w:rPr>
          <w:t>f</w:t>
        </w:r>
        <w:r w:rsidRPr="00995084">
          <w:rPr>
            <w:rFonts w:ascii="Cambria" w:eastAsia="Calibri" w:hAnsi="Cambria" w:cs="Calibri"/>
            <w:spacing w:val="-1"/>
            <w:sz w:val="18"/>
            <w:szCs w:val="18"/>
          </w:rPr>
          <w:t>e</w:t>
        </w:r>
        <w:r w:rsidRPr="00995084">
          <w:rPr>
            <w:rFonts w:ascii="Cambria" w:eastAsia="Calibri" w:hAnsi="Cambria" w:cs="Calibri"/>
            <w:sz w:val="18"/>
            <w:szCs w:val="18"/>
          </w:rPr>
          <w:t>0</w:t>
        </w:r>
        <w:r w:rsidRPr="00995084">
          <w:rPr>
            <w:rFonts w:ascii="Cambria" w:eastAsia="Calibri" w:hAnsi="Cambria" w:cs="Calibri"/>
            <w:spacing w:val="2"/>
            <w:sz w:val="18"/>
            <w:szCs w:val="18"/>
          </w:rPr>
          <w:t>0</w:t>
        </w:r>
        <w:r w:rsidRPr="00995084">
          <w:rPr>
            <w:rFonts w:ascii="Cambria" w:eastAsia="Calibri" w:hAnsi="Cambria" w:cs="Calibri"/>
            <w:sz w:val="18"/>
            <w:szCs w:val="18"/>
          </w:rPr>
          <w:t>000</w:t>
        </w:r>
        <w:r w:rsidRPr="00995084">
          <w:rPr>
            <w:rFonts w:ascii="Cambria" w:eastAsia="Calibri" w:hAnsi="Cambria" w:cs="Calibri"/>
            <w:spacing w:val="1"/>
            <w:sz w:val="18"/>
            <w:szCs w:val="18"/>
          </w:rPr>
          <w:t>0</w:t>
        </w:r>
        <w:r w:rsidRPr="00995084">
          <w:rPr>
            <w:rFonts w:ascii="Cambria" w:eastAsia="Calibri" w:hAnsi="Cambria" w:cs="Calibri"/>
            <w:sz w:val="18"/>
            <w:szCs w:val="18"/>
          </w:rPr>
          <w:t>/</w:t>
        </w:r>
        <w:r w:rsidRPr="00995084">
          <w:rPr>
            <w:rFonts w:ascii="Cambria" w:eastAsia="Calibri" w:hAnsi="Cambria" w:cs="Calibri"/>
            <w:spacing w:val="2"/>
            <w:sz w:val="18"/>
            <w:szCs w:val="18"/>
          </w:rPr>
          <w:t>R</w:t>
        </w:r>
        <w:r w:rsidRPr="00995084">
          <w:rPr>
            <w:rFonts w:ascii="Cambria" w:eastAsia="Calibri" w:hAnsi="Cambria" w:cs="Calibri"/>
            <w:sz w:val="18"/>
            <w:szCs w:val="18"/>
          </w:rPr>
          <w:t>i</w:t>
        </w:r>
        <w:r w:rsidRPr="00995084">
          <w:rPr>
            <w:rFonts w:ascii="Cambria" w:eastAsia="Calibri" w:hAnsi="Cambria" w:cs="Calibri"/>
            <w:spacing w:val="-1"/>
            <w:sz w:val="18"/>
            <w:szCs w:val="18"/>
          </w:rPr>
          <w:t>s</w:t>
        </w:r>
        <w:r w:rsidRPr="00995084">
          <w:rPr>
            <w:rFonts w:ascii="Cambria" w:eastAsia="Calibri" w:hAnsi="Cambria" w:cs="Calibri"/>
            <w:spacing w:val="7"/>
            <w:sz w:val="18"/>
            <w:szCs w:val="18"/>
          </w:rPr>
          <w:t>k</w:t>
        </w:r>
        <w:r w:rsidRPr="00995084">
          <w:rPr>
            <w:rFonts w:ascii="Cambria" w:eastAsia="Calibri" w:hAnsi="Cambria" w:cs="Calibri"/>
            <w:spacing w:val="-1"/>
            <w:sz w:val="18"/>
            <w:szCs w:val="18"/>
          </w:rPr>
          <w:t>-</w:t>
        </w:r>
        <w:r w:rsidRPr="00995084">
          <w:rPr>
            <w:rFonts w:ascii="Cambria" w:eastAsia="Calibri" w:hAnsi="Cambria" w:cs="Calibri"/>
            <w:spacing w:val="3"/>
            <w:sz w:val="18"/>
            <w:szCs w:val="18"/>
          </w:rPr>
          <w:t>o</w:t>
        </w:r>
        <w:r w:rsidRPr="00995084">
          <w:rPr>
            <w:rFonts w:ascii="Cambria" w:eastAsia="Calibri" w:hAnsi="Cambria" w:cs="Calibri"/>
            <w:spacing w:val="-1"/>
            <w:sz w:val="18"/>
            <w:szCs w:val="18"/>
          </w:rPr>
          <w:t>f-</w:t>
        </w:r>
        <w:r w:rsidRPr="00995084">
          <w:rPr>
            <w:rFonts w:ascii="Cambria" w:eastAsia="Calibri" w:hAnsi="Cambria" w:cs="Calibri"/>
            <w:spacing w:val="2"/>
            <w:sz w:val="18"/>
            <w:szCs w:val="18"/>
          </w:rPr>
          <w:t>S</w:t>
        </w:r>
        <w:r w:rsidRPr="00995084">
          <w:rPr>
            <w:rFonts w:ascii="Cambria" w:eastAsia="Calibri" w:hAnsi="Cambria" w:cs="Calibri"/>
            <w:spacing w:val="-1"/>
            <w:sz w:val="18"/>
            <w:szCs w:val="18"/>
          </w:rPr>
          <w:t>e</w:t>
        </w:r>
        <w:r w:rsidRPr="00995084">
          <w:rPr>
            <w:rFonts w:ascii="Cambria" w:eastAsia="Calibri" w:hAnsi="Cambria" w:cs="Calibri"/>
            <w:sz w:val="18"/>
            <w:szCs w:val="18"/>
          </w:rPr>
          <w:t>x</w:t>
        </w:r>
        <w:r w:rsidRPr="00995084">
          <w:rPr>
            <w:rFonts w:ascii="Cambria" w:eastAsia="Calibri" w:hAnsi="Cambria" w:cs="Calibri"/>
            <w:spacing w:val="1"/>
            <w:sz w:val="18"/>
            <w:szCs w:val="18"/>
          </w:rPr>
          <w:t>u</w:t>
        </w:r>
        <w:r w:rsidRPr="00995084">
          <w:rPr>
            <w:rFonts w:ascii="Cambria" w:eastAsia="Calibri" w:hAnsi="Cambria" w:cs="Calibri"/>
            <w:sz w:val="18"/>
            <w:szCs w:val="18"/>
          </w:rPr>
          <w:t>a</w:t>
        </w:r>
        <w:r w:rsidRPr="00995084">
          <w:rPr>
            <w:rFonts w:ascii="Cambria" w:eastAsia="Calibri" w:hAnsi="Cambria" w:cs="Calibri"/>
            <w:spacing w:val="1"/>
            <w:sz w:val="18"/>
            <w:szCs w:val="18"/>
          </w:rPr>
          <w:t>l</w:t>
        </w:r>
        <w:r w:rsidRPr="00995084">
          <w:rPr>
            <w:rFonts w:ascii="Cambria" w:eastAsia="Calibri" w:hAnsi="Cambria" w:cs="Calibri"/>
            <w:spacing w:val="-1"/>
            <w:sz w:val="18"/>
            <w:szCs w:val="18"/>
          </w:rPr>
          <w:t>-</w:t>
        </w:r>
        <w:r w:rsidRPr="00995084">
          <w:rPr>
            <w:rFonts w:ascii="Cambria" w:eastAsia="Calibri" w:hAnsi="Cambria" w:cs="Calibri"/>
            <w:spacing w:val="2"/>
            <w:sz w:val="18"/>
            <w:szCs w:val="18"/>
          </w:rPr>
          <w:t>R</w:t>
        </w:r>
        <w:r w:rsidRPr="00995084">
          <w:rPr>
            <w:rFonts w:ascii="Cambria" w:eastAsia="Calibri" w:hAnsi="Cambria" w:cs="Calibri"/>
            <w:spacing w:val="-1"/>
            <w:sz w:val="18"/>
            <w:szCs w:val="18"/>
          </w:rPr>
          <w:t>e</w:t>
        </w:r>
        <w:r w:rsidRPr="00995084">
          <w:rPr>
            <w:rFonts w:ascii="Cambria" w:eastAsia="Calibri" w:hAnsi="Cambria" w:cs="Calibri"/>
            <w:sz w:val="18"/>
            <w:szCs w:val="18"/>
          </w:rPr>
          <w:t>cid</w:t>
        </w:r>
        <w:r w:rsidRPr="00995084">
          <w:rPr>
            <w:rFonts w:ascii="Cambria" w:eastAsia="Calibri" w:hAnsi="Cambria" w:cs="Calibri"/>
            <w:spacing w:val="3"/>
            <w:sz w:val="18"/>
            <w:szCs w:val="18"/>
          </w:rPr>
          <w:t>i</w:t>
        </w:r>
        <w:r w:rsidRPr="00995084">
          <w:rPr>
            <w:rFonts w:ascii="Cambria" w:eastAsia="Calibri" w:hAnsi="Cambria" w:cs="Calibri"/>
            <w:spacing w:val="-1"/>
            <w:sz w:val="18"/>
            <w:szCs w:val="18"/>
          </w:rPr>
          <w:t>v</w:t>
        </w:r>
        <w:r w:rsidRPr="00995084">
          <w:rPr>
            <w:rFonts w:ascii="Cambria" w:eastAsia="Calibri" w:hAnsi="Cambria" w:cs="Calibri"/>
            <w:spacing w:val="2"/>
            <w:sz w:val="18"/>
            <w:szCs w:val="18"/>
          </w:rPr>
          <w:t>i</w:t>
        </w:r>
        <w:r w:rsidRPr="00995084">
          <w:rPr>
            <w:rFonts w:ascii="Cambria" w:eastAsia="Calibri" w:hAnsi="Cambria" w:cs="Calibri"/>
            <w:spacing w:val="-1"/>
            <w:sz w:val="18"/>
            <w:szCs w:val="18"/>
          </w:rPr>
          <w:t>s</w:t>
        </w:r>
        <w:r w:rsidRPr="00995084">
          <w:rPr>
            <w:rFonts w:ascii="Cambria" w:eastAsia="Calibri" w:hAnsi="Cambria" w:cs="Calibri"/>
            <w:spacing w:val="2"/>
            <w:sz w:val="18"/>
            <w:szCs w:val="18"/>
          </w:rPr>
          <w:t>m</w:t>
        </w:r>
        <w:r w:rsidRPr="00995084">
          <w:rPr>
            <w:rFonts w:ascii="Cambria" w:eastAsia="Calibri" w:hAnsi="Cambria" w:cs="Calibri"/>
            <w:spacing w:val="-1"/>
            <w:sz w:val="18"/>
            <w:szCs w:val="18"/>
          </w:rPr>
          <w:t>-</w:t>
        </w:r>
        <w:r w:rsidRPr="00995084">
          <w:rPr>
            <w:rFonts w:ascii="Cambria" w:eastAsia="Calibri" w:hAnsi="Cambria" w:cs="Calibri"/>
            <w:sz w:val="18"/>
            <w:szCs w:val="18"/>
          </w:rPr>
          <w:t>i</w:t>
        </w:r>
        <w:r w:rsidRPr="00995084">
          <w:rPr>
            <w:rFonts w:ascii="Cambria" w:eastAsia="Calibri" w:hAnsi="Cambria" w:cs="Calibri"/>
            <w:spacing w:val="1"/>
            <w:sz w:val="18"/>
            <w:szCs w:val="18"/>
          </w:rPr>
          <w:t>n</w:t>
        </w:r>
        <w:r w:rsidRPr="00995084">
          <w:rPr>
            <w:rFonts w:ascii="Cambria" w:eastAsia="Calibri" w:hAnsi="Cambria" w:cs="Calibri"/>
            <w:sz w:val="18"/>
            <w:szCs w:val="18"/>
          </w:rPr>
          <w:t>-</w:t>
        </w:r>
      </w:hyperlink>
      <w:hyperlink r:id="rId6">
        <w:r w:rsidRPr="00995084">
          <w:rPr>
            <w:rFonts w:ascii="Cambria" w:eastAsia="Calibri" w:hAnsi="Cambria" w:cs="Calibri"/>
            <w:w w:val="99"/>
            <w:sz w:val="18"/>
            <w:szCs w:val="18"/>
          </w:rPr>
          <w:t>A</w:t>
        </w:r>
        <w:r w:rsidRPr="00995084">
          <w:rPr>
            <w:rFonts w:ascii="Cambria" w:eastAsia="Calibri" w:hAnsi="Cambria" w:cs="Calibri"/>
            <w:spacing w:val="1"/>
            <w:w w:val="99"/>
            <w:sz w:val="18"/>
            <w:szCs w:val="18"/>
          </w:rPr>
          <w:t>d</w:t>
        </w:r>
        <w:r w:rsidRPr="00995084">
          <w:rPr>
            <w:rFonts w:ascii="Cambria" w:eastAsia="Calibri" w:hAnsi="Cambria" w:cs="Calibri"/>
            <w:w w:val="99"/>
            <w:sz w:val="18"/>
            <w:szCs w:val="18"/>
          </w:rPr>
          <w:t>ol</w:t>
        </w:r>
        <w:r w:rsidRPr="00995084">
          <w:rPr>
            <w:rFonts w:ascii="Cambria" w:eastAsia="Calibri" w:hAnsi="Cambria" w:cs="Calibri"/>
            <w:spacing w:val="-1"/>
            <w:w w:val="99"/>
            <w:sz w:val="18"/>
            <w:szCs w:val="18"/>
          </w:rPr>
          <w:t>es</w:t>
        </w:r>
        <w:r w:rsidRPr="00995084">
          <w:rPr>
            <w:rFonts w:ascii="Cambria" w:eastAsia="Calibri" w:hAnsi="Cambria" w:cs="Calibri"/>
            <w:spacing w:val="2"/>
            <w:w w:val="99"/>
            <w:sz w:val="18"/>
            <w:szCs w:val="18"/>
          </w:rPr>
          <w:t>c</w:t>
        </w:r>
        <w:r w:rsidRPr="00995084">
          <w:rPr>
            <w:rFonts w:ascii="Cambria" w:eastAsia="Calibri" w:hAnsi="Cambria" w:cs="Calibri"/>
            <w:spacing w:val="-1"/>
            <w:w w:val="99"/>
            <w:sz w:val="18"/>
            <w:szCs w:val="18"/>
          </w:rPr>
          <w:t>e</w:t>
        </w:r>
        <w:r w:rsidRPr="00995084">
          <w:rPr>
            <w:rFonts w:ascii="Cambria" w:eastAsia="Calibri" w:hAnsi="Cambria" w:cs="Calibri"/>
            <w:spacing w:val="1"/>
            <w:w w:val="99"/>
            <w:sz w:val="18"/>
            <w:szCs w:val="18"/>
          </w:rPr>
          <w:t>n</w:t>
        </w:r>
        <w:r w:rsidRPr="00995084">
          <w:rPr>
            <w:rFonts w:ascii="Cambria" w:eastAsia="Calibri" w:hAnsi="Cambria" w:cs="Calibri"/>
            <w:w w:val="99"/>
            <w:sz w:val="18"/>
            <w:szCs w:val="18"/>
          </w:rPr>
          <w:t>t</w:t>
        </w:r>
        <w:r w:rsidRPr="00995084">
          <w:rPr>
            <w:rFonts w:ascii="Cambria" w:eastAsia="Calibri" w:hAnsi="Cambria" w:cs="Calibri"/>
            <w:spacing w:val="3"/>
            <w:w w:val="99"/>
            <w:sz w:val="18"/>
            <w:szCs w:val="18"/>
          </w:rPr>
          <w:t>s</w:t>
        </w:r>
        <w:r w:rsidRPr="00995084">
          <w:rPr>
            <w:rFonts w:ascii="Cambria" w:eastAsia="Calibri" w:hAnsi="Cambria" w:cs="Calibri"/>
            <w:spacing w:val="-1"/>
            <w:w w:val="99"/>
            <w:sz w:val="18"/>
            <w:szCs w:val="18"/>
          </w:rPr>
          <w:t>-</w:t>
        </w:r>
        <w:r w:rsidRPr="00995084">
          <w:rPr>
            <w:rFonts w:ascii="Cambria" w:eastAsia="Calibri" w:hAnsi="Cambria" w:cs="Calibri"/>
            <w:w w:val="99"/>
            <w:sz w:val="18"/>
            <w:szCs w:val="18"/>
          </w:rPr>
          <w:t>W</w:t>
        </w:r>
        <w:r w:rsidRPr="00995084">
          <w:rPr>
            <w:rFonts w:ascii="Cambria" w:eastAsia="Calibri" w:hAnsi="Cambria" w:cs="Calibri"/>
            <w:spacing w:val="1"/>
            <w:w w:val="99"/>
            <w:sz w:val="18"/>
            <w:szCs w:val="18"/>
          </w:rPr>
          <w:t>ho</w:t>
        </w:r>
        <w:r w:rsidRPr="00995084">
          <w:rPr>
            <w:rFonts w:ascii="Cambria" w:eastAsia="Calibri" w:hAnsi="Cambria" w:cs="Calibri"/>
            <w:spacing w:val="-1"/>
            <w:w w:val="99"/>
            <w:sz w:val="18"/>
            <w:szCs w:val="18"/>
          </w:rPr>
          <w:t>-</w:t>
        </w:r>
        <w:r w:rsidRPr="00995084">
          <w:rPr>
            <w:rFonts w:ascii="Cambria" w:eastAsia="Calibri" w:hAnsi="Cambria" w:cs="Calibri"/>
            <w:spacing w:val="2"/>
            <w:w w:val="99"/>
            <w:sz w:val="18"/>
            <w:szCs w:val="18"/>
          </w:rPr>
          <w:t>O</w:t>
        </w:r>
        <w:r w:rsidRPr="00995084">
          <w:rPr>
            <w:rFonts w:ascii="Cambria" w:eastAsia="Calibri" w:hAnsi="Cambria" w:cs="Calibri"/>
            <w:spacing w:val="-1"/>
            <w:w w:val="99"/>
            <w:sz w:val="18"/>
            <w:szCs w:val="18"/>
          </w:rPr>
          <w:t>f</w:t>
        </w:r>
        <w:r w:rsidRPr="00995084">
          <w:rPr>
            <w:rFonts w:ascii="Cambria" w:eastAsia="Calibri" w:hAnsi="Cambria" w:cs="Calibri"/>
            <w:spacing w:val="1"/>
            <w:w w:val="99"/>
            <w:sz w:val="18"/>
            <w:szCs w:val="18"/>
          </w:rPr>
          <w:t>f</w:t>
        </w:r>
        <w:r w:rsidRPr="00995084">
          <w:rPr>
            <w:rFonts w:ascii="Cambria" w:eastAsia="Calibri" w:hAnsi="Cambria" w:cs="Calibri"/>
            <w:spacing w:val="-1"/>
            <w:w w:val="99"/>
            <w:sz w:val="18"/>
            <w:szCs w:val="18"/>
          </w:rPr>
          <w:t>e</w:t>
        </w:r>
        <w:r w:rsidRPr="00995084">
          <w:rPr>
            <w:rFonts w:ascii="Cambria" w:eastAsia="Calibri" w:hAnsi="Cambria" w:cs="Calibri"/>
            <w:spacing w:val="1"/>
            <w:w w:val="99"/>
            <w:sz w:val="18"/>
            <w:szCs w:val="18"/>
          </w:rPr>
          <w:t>n</w:t>
        </w:r>
        <w:r w:rsidRPr="00995084">
          <w:rPr>
            <w:rFonts w:ascii="Cambria" w:eastAsia="Calibri" w:hAnsi="Cambria" w:cs="Calibri"/>
            <w:spacing w:val="2"/>
            <w:w w:val="99"/>
            <w:sz w:val="18"/>
            <w:szCs w:val="18"/>
          </w:rPr>
          <w:t>d</w:t>
        </w:r>
        <w:r w:rsidRPr="00995084">
          <w:rPr>
            <w:rFonts w:ascii="Cambria" w:eastAsia="Calibri" w:hAnsi="Cambria" w:cs="Calibri"/>
            <w:spacing w:val="-1"/>
            <w:w w:val="99"/>
            <w:sz w:val="18"/>
            <w:szCs w:val="18"/>
          </w:rPr>
          <w:t>-</w:t>
        </w:r>
        <w:r w:rsidRPr="00995084">
          <w:rPr>
            <w:rFonts w:ascii="Cambria" w:eastAsia="Calibri" w:hAnsi="Cambria" w:cs="Calibri"/>
            <w:w w:val="99"/>
            <w:sz w:val="18"/>
            <w:szCs w:val="18"/>
          </w:rPr>
          <w:t>S</w:t>
        </w:r>
        <w:r w:rsidRPr="00995084">
          <w:rPr>
            <w:rFonts w:ascii="Cambria" w:eastAsia="Calibri" w:hAnsi="Cambria" w:cs="Calibri"/>
            <w:spacing w:val="1"/>
            <w:w w:val="99"/>
            <w:sz w:val="18"/>
            <w:szCs w:val="18"/>
          </w:rPr>
          <w:t>e</w:t>
        </w:r>
        <w:r w:rsidRPr="00995084">
          <w:rPr>
            <w:rFonts w:ascii="Cambria" w:eastAsia="Calibri" w:hAnsi="Cambria" w:cs="Calibri"/>
            <w:spacing w:val="2"/>
            <w:w w:val="99"/>
            <w:sz w:val="18"/>
            <w:szCs w:val="18"/>
          </w:rPr>
          <w:t>x</w:t>
        </w:r>
        <w:r w:rsidRPr="00995084">
          <w:rPr>
            <w:rFonts w:ascii="Cambria" w:eastAsia="Calibri" w:hAnsi="Cambria" w:cs="Calibri"/>
            <w:spacing w:val="1"/>
            <w:w w:val="99"/>
            <w:sz w:val="18"/>
            <w:szCs w:val="18"/>
          </w:rPr>
          <w:t>u</w:t>
        </w:r>
        <w:r w:rsidRPr="00995084">
          <w:rPr>
            <w:rFonts w:ascii="Cambria" w:eastAsia="Calibri" w:hAnsi="Cambria" w:cs="Calibri"/>
            <w:w w:val="99"/>
            <w:sz w:val="18"/>
            <w:szCs w:val="18"/>
          </w:rPr>
          <w:t>all</w:t>
        </w:r>
        <w:r w:rsidRPr="00995084">
          <w:rPr>
            <w:rFonts w:ascii="Cambria" w:eastAsia="Calibri" w:hAnsi="Cambria" w:cs="Calibri"/>
            <w:spacing w:val="2"/>
            <w:w w:val="99"/>
            <w:sz w:val="18"/>
            <w:szCs w:val="18"/>
          </w:rPr>
          <w:t>y</w:t>
        </w:r>
        <w:r w:rsidRPr="00995084">
          <w:rPr>
            <w:rFonts w:ascii="Cambria" w:eastAsia="Calibri" w:hAnsi="Cambria" w:cs="Calibri"/>
            <w:spacing w:val="-1"/>
            <w:w w:val="99"/>
            <w:sz w:val="18"/>
            <w:szCs w:val="18"/>
          </w:rPr>
          <w:t>-</w:t>
        </w:r>
        <w:r w:rsidRPr="00995084">
          <w:rPr>
            <w:rFonts w:ascii="Cambria" w:eastAsia="Calibri" w:hAnsi="Cambria" w:cs="Calibri"/>
            <w:w w:val="99"/>
            <w:sz w:val="18"/>
            <w:szCs w:val="18"/>
          </w:rPr>
          <w:t>correlat</w:t>
        </w:r>
        <w:r w:rsidRPr="00995084">
          <w:rPr>
            <w:rFonts w:ascii="Cambria" w:eastAsia="Calibri" w:hAnsi="Cambria" w:cs="Calibri"/>
            <w:spacing w:val="2"/>
            <w:w w:val="99"/>
            <w:sz w:val="18"/>
            <w:szCs w:val="18"/>
          </w:rPr>
          <w:t>e</w:t>
        </w:r>
        <w:r w:rsidRPr="00995084">
          <w:rPr>
            <w:rFonts w:ascii="Cambria" w:eastAsia="Calibri" w:hAnsi="Cambria" w:cs="Calibri"/>
            <w:w w:val="99"/>
            <w:sz w:val="18"/>
            <w:szCs w:val="18"/>
          </w:rPr>
          <w:t>s</w:t>
        </w:r>
        <w:r w:rsidRPr="00995084">
          <w:rPr>
            <w:rFonts w:ascii="Cambria" w:eastAsia="Calibri" w:hAnsi="Cambria" w:cs="Calibri"/>
            <w:spacing w:val="-1"/>
            <w:w w:val="99"/>
            <w:sz w:val="18"/>
            <w:szCs w:val="18"/>
          </w:rPr>
          <w:t>-</w:t>
        </w:r>
        <w:r w:rsidRPr="00995084">
          <w:rPr>
            <w:rFonts w:ascii="Cambria" w:eastAsia="Calibri" w:hAnsi="Cambria" w:cs="Calibri"/>
            <w:w w:val="99"/>
            <w:sz w:val="18"/>
            <w:szCs w:val="18"/>
          </w:rPr>
          <w:t>a</w:t>
        </w:r>
        <w:r w:rsidRPr="00995084">
          <w:rPr>
            <w:rFonts w:ascii="Cambria" w:eastAsia="Calibri" w:hAnsi="Cambria" w:cs="Calibri"/>
            <w:spacing w:val="1"/>
            <w:w w:val="99"/>
            <w:sz w:val="18"/>
            <w:szCs w:val="18"/>
          </w:rPr>
          <w:t>n</w:t>
        </w:r>
        <w:r w:rsidRPr="00995084">
          <w:rPr>
            <w:rFonts w:ascii="Cambria" w:eastAsia="Calibri" w:hAnsi="Cambria" w:cs="Calibri"/>
            <w:spacing w:val="4"/>
            <w:w w:val="99"/>
            <w:sz w:val="18"/>
            <w:szCs w:val="18"/>
          </w:rPr>
          <w:t>d</w:t>
        </w:r>
        <w:r w:rsidRPr="00995084">
          <w:rPr>
            <w:rFonts w:ascii="Cambria" w:eastAsia="Calibri" w:hAnsi="Cambria" w:cs="Calibri"/>
            <w:spacing w:val="-1"/>
            <w:w w:val="99"/>
            <w:sz w:val="18"/>
            <w:szCs w:val="18"/>
          </w:rPr>
          <w:t>-</w:t>
        </w:r>
        <w:r w:rsidRPr="00995084">
          <w:rPr>
            <w:rFonts w:ascii="Cambria" w:eastAsia="Calibri" w:hAnsi="Cambria" w:cs="Calibri"/>
            <w:w w:val="99"/>
            <w:sz w:val="18"/>
            <w:szCs w:val="18"/>
          </w:rPr>
          <w:t>a</w:t>
        </w:r>
        <w:r w:rsidRPr="00995084">
          <w:rPr>
            <w:rFonts w:ascii="Cambria" w:eastAsia="Calibri" w:hAnsi="Cambria" w:cs="Calibri"/>
            <w:spacing w:val="2"/>
            <w:w w:val="99"/>
            <w:sz w:val="18"/>
            <w:szCs w:val="18"/>
          </w:rPr>
          <w:t>s</w:t>
        </w:r>
        <w:r w:rsidRPr="00995084">
          <w:rPr>
            <w:rFonts w:ascii="Cambria" w:eastAsia="Calibri" w:hAnsi="Cambria" w:cs="Calibri"/>
            <w:spacing w:val="-1"/>
            <w:w w:val="99"/>
            <w:sz w:val="18"/>
            <w:szCs w:val="18"/>
          </w:rPr>
          <w:t>s</w:t>
        </w:r>
        <w:r w:rsidRPr="00995084">
          <w:rPr>
            <w:rFonts w:ascii="Cambria" w:eastAsia="Calibri" w:hAnsi="Cambria" w:cs="Calibri"/>
            <w:spacing w:val="1"/>
            <w:w w:val="99"/>
            <w:sz w:val="18"/>
            <w:szCs w:val="18"/>
          </w:rPr>
          <w:t>e</w:t>
        </w:r>
        <w:r w:rsidRPr="00995084">
          <w:rPr>
            <w:rFonts w:ascii="Cambria" w:eastAsia="Calibri" w:hAnsi="Cambria" w:cs="Calibri"/>
            <w:spacing w:val="-1"/>
            <w:w w:val="99"/>
            <w:sz w:val="18"/>
            <w:szCs w:val="18"/>
          </w:rPr>
          <w:t>s</w:t>
        </w:r>
        <w:r w:rsidRPr="00995084">
          <w:rPr>
            <w:rFonts w:ascii="Cambria" w:eastAsia="Calibri" w:hAnsi="Cambria" w:cs="Calibri"/>
            <w:spacing w:val="1"/>
            <w:w w:val="99"/>
            <w:sz w:val="18"/>
            <w:szCs w:val="18"/>
          </w:rPr>
          <w:t>s</w:t>
        </w:r>
        <w:r w:rsidRPr="00995084">
          <w:rPr>
            <w:rFonts w:ascii="Cambria" w:eastAsia="Calibri" w:hAnsi="Cambria" w:cs="Calibri"/>
            <w:spacing w:val="-1"/>
            <w:w w:val="99"/>
            <w:sz w:val="18"/>
            <w:szCs w:val="18"/>
          </w:rPr>
          <w:t>m</w:t>
        </w:r>
        <w:r w:rsidRPr="00995084">
          <w:rPr>
            <w:rFonts w:ascii="Cambria" w:eastAsia="Calibri" w:hAnsi="Cambria" w:cs="Calibri"/>
            <w:spacing w:val="1"/>
            <w:w w:val="99"/>
            <w:sz w:val="18"/>
            <w:szCs w:val="18"/>
          </w:rPr>
          <w:t>en</w:t>
        </w:r>
        <w:r w:rsidRPr="00995084">
          <w:rPr>
            <w:rFonts w:ascii="Cambria" w:eastAsia="Calibri" w:hAnsi="Cambria" w:cs="Calibri"/>
            <w:w w:val="99"/>
            <w:sz w:val="18"/>
            <w:szCs w:val="18"/>
          </w:rPr>
          <w:t>t.</w:t>
        </w:r>
        <w:r w:rsidRPr="00995084">
          <w:rPr>
            <w:rFonts w:ascii="Cambria" w:eastAsia="Calibri" w:hAnsi="Cambria" w:cs="Calibri"/>
            <w:spacing w:val="1"/>
            <w:w w:val="99"/>
            <w:sz w:val="18"/>
            <w:szCs w:val="18"/>
          </w:rPr>
          <w:t>pdf</w:t>
        </w:r>
        <w:r w:rsidRPr="00995084">
          <w:rPr>
            <w:rFonts w:ascii="Cambria" w:eastAsia="Calibri" w:hAnsi="Cambria" w:cs="Calibri"/>
            <w:w w:val="99"/>
            <w:sz w:val="18"/>
            <w:szCs w:val="18"/>
          </w:rPr>
          <w:t>,</w:t>
        </w:r>
        <w:r w:rsidRPr="00995084">
          <w:rPr>
            <w:rFonts w:ascii="Cambria" w:eastAsia="Calibri" w:hAnsi="Cambria" w:cs="Calibri"/>
            <w:spacing w:val="1"/>
            <w:w w:val="99"/>
            <w:sz w:val="18"/>
            <w:szCs w:val="18"/>
          </w:rPr>
          <w:t xml:space="preserve"> </w:t>
        </w:r>
      </w:hyperlink>
      <w:r w:rsidRPr="00995084">
        <w:rPr>
          <w:rFonts w:ascii="Cambria" w:eastAsia="Calibri" w:hAnsi="Cambria" w:cs="Calibri"/>
          <w:spacing w:val="1"/>
          <w:sz w:val="18"/>
          <w:szCs w:val="18"/>
        </w:rPr>
        <w:t>p7</w:t>
      </w:r>
      <w:r w:rsidRPr="00995084">
        <w:rPr>
          <w:rFonts w:ascii="Cambria" w:eastAsia="Calibri" w:hAnsi="Cambria" w:cs="Calibri"/>
          <w:spacing w:val="-1"/>
          <w:sz w:val="18"/>
          <w:szCs w:val="18"/>
        </w:rPr>
        <w:t>-</w:t>
      </w:r>
      <w:r w:rsidRPr="00995084">
        <w:rPr>
          <w:rFonts w:ascii="Cambria" w:eastAsia="Calibri" w:hAnsi="Cambria" w:cs="Calibri"/>
          <w:sz w:val="18"/>
          <w:szCs w:val="18"/>
        </w:rPr>
        <w:t xml:space="preserve">8. </w:t>
      </w:r>
      <w:hyperlink r:id="rId7">
        <w:r w:rsidRPr="00995084">
          <w:rPr>
            <w:rFonts w:ascii="Cambria" w:eastAsia="Calibri" w:hAnsi="Cambria" w:cs="Calibri"/>
            <w:spacing w:val="1"/>
            <w:sz w:val="18"/>
            <w:szCs w:val="18"/>
          </w:rPr>
          <w:t>h</w:t>
        </w:r>
        <w:r w:rsidRPr="00995084">
          <w:rPr>
            <w:rFonts w:ascii="Cambria" w:eastAsia="Calibri" w:hAnsi="Cambria" w:cs="Calibri"/>
            <w:sz w:val="18"/>
            <w:szCs w:val="18"/>
          </w:rPr>
          <w:t>t</w:t>
        </w:r>
        <w:r w:rsidRPr="00995084">
          <w:rPr>
            <w:rFonts w:ascii="Cambria" w:eastAsia="Calibri" w:hAnsi="Cambria" w:cs="Calibri"/>
            <w:spacing w:val="1"/>
            <w:sz w:val="18"/>
            <w:szCs w:val="18"/>
          </w:rPr>
          <w:t>tp</w:t>
        </w:r>
        <w:r w:rsidRPr="00995084">
          <w:rPr>
            <w:rFonts w:ascii="Cambria" w:eastAsia="Calibri" w:hAnsi="Cambria" w:cs="Calibri"/>
            <w:spacing w:val="-1"/>
            <w:sz w:val="18"/>
            <w:szCs w:val="18"/>
          </w:rPr>
          <w:t>s</w:t>
        </w:r>
        <w:r w:rsidRPr="00995084">
          <w:rPr>
            <w:rFonts w:ascii="Cambria" w:eastAsia="Calibri" w:hAnsi="Cambria" w:cs="Calibri"/>
            <w:sz w:val="18"/>
            <w:szCs w:val="18"/>
          </w:rPr>
          <w:t>:</w:t>
        </w:r>
        <w:r w:rsidRPr="00995084">
          <w:rPr>
            <w:rFonts w:ascii="Cambria" w:eastAsia="Calibri" w:hAnsi="Cambria" w:cs="Calibri"/>
            <w:spacing w:val="-1"/>
            <w:sz w:val="18"/>
            <w:szCs w:val="18"/>
          </w:rPr>
          <w:t>/</w:t>
        </w:r>
        <w:r w:rsidRPr="00995084">
          <w:rPr>
            <w:rFonts w:ascii="Cambria" w:eastAsia="Calibri" w:hAnsi="Cambria" w:cs="Calibri"/>
            <w:sz w:val="18"/>
            <w:szCs w:val="18"/>
          </w:rPr>
          <w:t>/</w:t>
        </w:r>
        <w:r w:rsidRPr="00995084">
          <w:rPr>
            <w:rFonts w:ascii="Cambria" w:eastAsia="Calibri" w:hAnsi="Cambria" w:cs="Calibri"/>
            <w:spacing w:val="1"/>
            <w:sz w:val="18"/>
            <w:szCs w:val="18"/>
          </w:rPr>
          <w:t>w</w:t>
        </w:r>
        <w:r w:rsidRPr="00995084">
          <w:rPr>
            <w:rFonts w:ascii="Cambria" w:eastAsia="Calibri" w:hAnsi="Cambria" w:cs="Calibri"/>
            <w:spacing w:val="-1"/>
            <w:sz w:val="18"/>
            <w:szCs w:val="18"/>
          </w:rPr>
          <w:t>ww</w:t>
        </w:r>
        <w:r w:rsidRPr="00995084">
          <w:rPr>
            <w:rFonts w:ascii="Cambria" w:eastAsia="Calibri" w:hAnsi="Cambria" w:cs="Calibri"/>
            <w:spacing w:val="2"/>
            <w:sz w:val="18"/>
            <w:szCs w:val="18"/>
          </w:rPr>
          <w:t>.</w:t>
        </w:r>
        <w:r w:rsidRPr="00995084">
          <w:rPr>
            <w:rFonts w:ascii="Cambria" w:eastAsia="Calibri" w:hAnsi="Cambria" w:cs="Calibri"/>
            <w:spacing w:val="1"/>
            <w:sz w:val="18"/>
            <w:szCs w:val="18"/>
          </w:rPr>
          <w:t>s</w:t>
        </w:r>
        <w:r w:rsidRPr="00995084">
          <w:rPr>
            <w:rFonts w:ascii="Cambria" w:eastAsia="Calibri" w:hAnsi="Cambria" w:cs="Calibri"/>
            <w:spacing w:val="-1"/>
            <w:sz w:val="18"/>
            <w:szCs w:val="18"/>
          </w:rPr>
          <w:t>m</w:t>
        </w:r>
        <w:r w:rsidRPr="00995084">
          <w:rPr>
            <w:rFonts w:ascii="Cambria" w:eastAsia="Calibri" w:hAnsi="Cambria" w:cs="Calibri"/>
            <w:sz w:val="18"/>
            <w:szCs w:val="18"/>
          </w:rPr>
          <w:t>art.go</w:t>
        </w:r>
        <w:r w:rsidRPr="00995084">
          <w:rPr>
            <w:rFonts w:ascii="Cambria" w:eastAsia="Calibri" w:hAnsi="Cambria" w:cs="Calibri"/>
            <w:spacing w:val="1"/>
            <w:sz w:val="18"/>
            <w:szCs w:val="18"/>
          </w:rPr>
          <w:t>v</w:t>
        </w:r>
        <w:r w:rsidRPr="00995084">
          <w:rPr>
            <w:rFonts w:ascii="Cambria" w:eastAsia="Calibri" w:hAnsi="Cambria" w:cs="Calibri"/>
            <w:sz w:val="18"/>
            <w:szCs w:val="18"/>
          </w:rPr>
          <w:t>/SO</w:t>
        </w:r>
        <w:r w:rsidRPr="00995084">
          <w:rPr>
            <w:rFonts w:ascii="Cambria" w:eastAsia="Calibri" w:hAnsi="Cambria" w:cs="Calibri"/>
            <w:spacing w:val="2"/>
            <w:sz w:val="18"/>
            <w:szCs w:val="18"/>
          </w:rPr>
          <w:t>M</w:t>
        </w:r>
        <w:r w:rsidRPr="00995084">
          <w:rPr>
            <w:rFonts w:ascii="Cambria" w:eastAsia="Calibri" w:hAnsi="Cambria" w:cs="Calibri"/>
            <w:sz w:val="18"/>
            <w:szCs w:val="18"/>
          </w:rPr>
          <w:t>API/</w:t>
        </w:r>
        <w:r w:rsidRPr="00995084">
          <w:rPr>
            <w:rFonts w:ascii="Cambria" w:eastAsia="Calibri" w:hAnsi="Cambria" w:cs="Calibri"/>
            <w:spacing w:val="1"/>
            <w:sz w:val="18"/>
            <w:szCs w:val="18"/>
          </w:rPr>
          <w:t>s</w:t>
        </w:r>
        <w:r w:rsidRPr="00995084">
          <w:rPr>
            <w:rFonts w:ascii="Cambria" w:eastAsia="Calibri" w:hAnsi="Cambria" w:cs="Calibri"/>
            <w:spacing w:val="-1"/>
            <w:sz w:val="18"/>
            <w:szCs w:val="18"/>
          </w:rPr>
          <w:t>e</w:t>
        </w:r>
        <w:r w:rsidRPr="00995084">
          <w:rPr>
            <w:rFonts w:ascii="Cambria" w:eastAsia="Calibri" w:hAnsi="Cambria" w:cs="Calibri"/>
            <w:sz w:val="18"/>
            <w:szCs w:val="18"/>
          </w:rPr>
          <w:t>c1/</w:t>
        </w:r>
        <w:r w:rsidRPr="00995084">
          <w:rPr>
            <w:rFonts w:ascii="Cambria" w:eastAsia="Calibri" w:hAnsi="Cambria" w:cs="Calibri"/>
            <w:spacing w:val="-1"/>
            <w:sz w:val="18"/>
            <w:szCs w:val="18"/>
          </w:rPr>
          <w:t>c</w:t>
        </w:r>
        <w:r w:rsidRPr="00995084">
          <w:rPr>
            <w:rFonts w:ascii="Cambria" w:eastAsia="Calibri" w:hAnsi="Cambria" w:cs="Calibri"/>
            <w:spacing w:val="1"/>
            <w:sz w:val="18"/>
            <w:szCs w:val="18"/>
          </w:rPr>
          <w:t>h</w:t>
        </w:r>
        <w:r w:rsidRPr="00995084">
          <w:rPr>
            <w:rFonts w:ascii="Cambria" w:eastAsia="Calibri" w:hAnsi="Cambria" w:cs="Calibri"/>
            <w:spacing w:val="2"/>
            <w:sz w:val="18"/>
            <w:szCs w:val="18"/>
          </w:rPr>
          <w:t>8</w:t>
        </w:r>
        <w:r w:rsidRPr="00995084">
          <w:rPr>
            <w:rFonts w:ascii="Cambria" w:eastAsia="Calibri" w:hAnsi="Cambria" w:cs="Calibri"/>
            <w:spacing w:val="1"/>
            <w:sz w:val="18"/>
            <w:szCs w:val="18"/>
          </w:rPr>
          <w:t>_</w:t>
        </w:r>
        <w:r w:rsidRPr="00995084">
          <w:rPr>
            <w:rFonts w:ascii="Cambria" w:eastAsia="Calibri" w:hAnsi="Cambria" w:cs="Calibri"/>
            <w:spacing w:val="-1"/>
            <w:sz w:val="18"/>
            <w:szCs w:val="18"/>
          </w:rPr>
          <w:t>s</w:t>
        </w:r>
        <w:r w:rsidRPr="00995084">
          <w:rPr>
            <w:rFonts w:ascii="Cambria" w:eastAsia="Calibri" w:hAnsi="Cambria" w:cs="Calibri"/>
            <w:sz w:val="18"/>
            <w:szCs w:val="18"/>
          </w:rPr>
          <w:t>tr</w:t>
        </w:r>
        <w:r w:rsidRPr="00995084">
          <w:rPr>
            <w:rFonts w:ascii="Cambria" w:eastAsia="Calibri" w:hAnsi="Cambria" w:cs="Calibri"/>
            <w:spacing w:val="1"/>
            <w:sz w:val="18"/>
            <w:szCs w:val="18"/>
          </w:rPr>
          <w:t>a</w:t>
        </w:r>
        <w:r w:rsidRPr="00995084">
          <w:rPr>
            <w:rFonts w:ascii="Cambria" w:eastAsia="Calibri" w:hAnsi="Cambria" w:cs="Calibri"/>
            <w:sz w:val="18"/>
            <w:szCs w:val="18"/>
          </w:rPr>
          <w:t>teg</w:t>
        </w:r>
        <w:r w:rsidRPr="00995084">
          <w:rPr>
            <w:rFonts w:ascii="Cambria" w:eastAsia="Calibri" w:hAnsi="Cambria" w:cs="Calibri"/>
            <w:spacing w:val="1"/>
            <w:sz w:val="18"/>
            <w:szCs w:val="18"/>
          </w:rPr>
          <w:t>i</w:t>
        </w:r>
        <w:r w:rsidRPr="00995084">
          <w:rPr>
            <w:rFonts w:ascii="Cambria" w:eastAsia="Calibri" w:hAnsi="Cambria" w:cs="Calibri"/>
            <w:spacing w:val="-1"/>
            <w:sz w:val="18"/>
            <w:szCs w:val="18"/>
          </w:rPr>
          <w:t>es</w:t>
        </w:r>
        <w:r w:rsidRPr="00995084">
          <w:rPr>
            <w:rFonts w:ascii="Cambria" w:eastAsia="Calibri" w:hAnsi="Cambria" w:cs="Calibri"/>
            <w:sz w:val="18"/>
            <w:szCs w:val="18"/>
          </w:rPr>
          <w:t>.</w:t>
        </w:r>
        <w:r w:rsidRPr="00995084">
          <w:rPr>
            <w:rFonts w:ascii="Cambria" w:eastAsia="Calibri" w:hAnsi="Cambria" w:cs="Calibri"/>
            <w:spacing w:val="1"/>
            <w:sz w:val="18"/>
            <w:szCs w:val="18"/>
          </w:rPr>
          <w:t>h</w:t>
        </w:r>
        <w:r w:rsidRPr="00995084">
          <w:rPr>
            <w:rFonts w:ascii="Cambria" w:eastAsia="Calibri" w:hAnsi="Cambria" w:cs="Calibri"/>
            <w:spacing w:val="3"/>
            <w:sz w:val="18"/>
            <w:szCs w:val="18"/>
          </w:rPr>
          <w:t>t</w:t>
        </w:r>
        <w:r w:rsidRPr="00995084">
          <w:rPr>
            <w:rFonts w:ascii="Cambria" w:eastAsia="Calibri" w:hAnsi="Cambria" w:cs="Calibri"/>
            <w:spacing w:val="-1"/>
            <w:sz w:val="18"/>
            <w:szCs w:val="18"/>
          </w:rPr>
          <w:t>m</w:t>
        </w:r>
        <w:r w:rsidRPr="00995084">
          <w:rPr>
            <w:rFonts w:ascii="Cambria" w:eastAsia="Calibri" w:hAnsi="Cambria" w:cs="Calibri"/>
            <w:sz w:val="18"/>
            <w:szCs w:val="18"/>
          </w:rPr>
          <w:t>l</w:t>
        </w:r>
      </w:hyperlink>
    </w:p>
    <w:p w14:paraId="21F2DB9C" w14:textId="77777777" w:rsidR="004B03F8" w:rsidRPr="00FE2C9C" w:rsidRDefault="004B03F8" w:rsidP="00194B18">
      <w:pPr>
        <w:pStyle w:val="FootnoteText"/>
      </w:pPr>
    </w:p>
  </w:footnote>
  <w:footnote w:id="19">
    <w:p w14:paraId="1BF8772A" w14:textId="10ED8D8C" w:rsidR="004B03F8" w:rsidRDefault="004B03F8" w:rsidP="00296DD9">
      <w:pPr>
        <w:spacing w:before="120" w:after="120" w:line="240" w:lineRule="auto"/>
        <w:contextualSpacing/>
      </w:pPr>
      <w:r w:rsidRPr="003B0B04">
        <w:rPr>
          <w:rStyle w:val="FootnoteReference"/>
          <w:rFonts w:ascii="Cambria" w:hAnsi="Cambria"/>
          <w:sz w:val="18"/>
          <w:szCs w:val="18"/>
        </w:rPr>
        <w:footnoteRef/>
      </w:r>
      <w:r w:rsidRPr="003B0B04">
        <w:rPr>
          <w:rFonts w:ascii="Cambria" w:hAnsi="Cambria"/>
          <w:sz w:val="18"/>
          <w:szCs w:val="18"/>
        </w:rPr>
        <w:t xml:space="preserve"> </w:t>
      </w:r>
      <w:r w:rsidRPr="003B0B04">
        <w:rPr>
          <w:rFonts w:ascii="Cambria" w:hAnsi="Cambria" w:cs="Arial"/>
          <w:sz w:val="18"/>
          <w:szCs w:val="18"/>
        </w:rPr>
        <w:t>Further development of Faith Trail Ministry to include markers for high school aged students and beyond</w:t>
      </w:r>
      <w:r>
        <w:rPr>
          <w:rFonts w:ascii="Cambria" w:hAnsi="Cambria" w:cs="Arial"/>
          <w:sz w:val="18"/>
          <w:szCs w:val="18"/>
        </w:rPr>
        <w:t xml:space="preserve">. </w:t>
      </w:r>
      <w:r w:rsidRPr="003B0B04">
        <w:rPr>
          <w:rFonts w:ascii="Cambria" w:hAnsi="Cambria" w:cs="Arial"/>
          <w:sz w:val="18"/>
          <w:szCs w:val="18"/>
        </w:rPr>
        <w:t>This has been partly mitigated by the development of Growing Faith Moments, however it still remains a resource development priority.</w:t>
      </w:r>
    </w:p>
  </w:footnote>
  <w:footnote w:id="20">
    <w:p w14:paraId="260046D9" w14:textId="77777777" w:rsidR="004B03F8" w:rsidRPr="003B0B04" w:rsidRDefault="004B03F8" w:rsidP="00930400">
      <w:pPr>
        <w:spacing w:before="120" w:after="120" w:line="240" w:lineRule="auto"/>
        <w:rPr>
          <w:rFonts w:ascii="Cambria" w:hAnsi="Cambria" w:cs="Arial"/>
          <w:sz w:val="18"/>
        </w:rPr>
      </w:pPr>
      <w:r w:rsidRPr="003B0B04">
        <w:rPr>
          <w:rStyle w:val="FootnoteReference"/>
          <w:rFonts w:ascii="Cambria" w:hAnsi="Cambria"/>
          <w:sz w:val="18"/>
        </w:rPr>
        <w:footnoteRef/>
      </w:r>
      <w:r w:rsidRPr="003B0B04">
        <w:rPr>
          <w:rFonts w:ascii="Cambria" w:hAnsi="Cambria"/>
          <w:sz w:val="18"/>
        </w:rPr>
        <w:t xml:space="preserve"> </w:t>
      </w:r>
      <w:r w:rsidRPr="003B0B04">
        <w:rPr>
          <w:rFonts w:ascii="Cambria" w:hAnsi="Cambria" w:cs="Arial"/>
          <w:sz w:val="18"/>
        </w:rPr>
        <w:t>Develop YouTube videos that support the guiding principles of CYFM that can be utilised by small groups. This has not yet taken place, but remains a priority, and will be considered in 2018.</w:t>
      </w:r>
    </w:p>
    <w:p w14:paraId="73AABC55" w14:textId="77777777" w:rsidR="004B03F8" w:rsidRDefault="004B03F8" w:rsidP="00930400">
      <w:pPr>
        <w:pStyle w:val="FootnoteText"/>
      </w:pPr>
    </w:p>
  </w:footnote>
  <w:footnote w:id="21">
    <w:p w14:paraId="7948B586" w14:textId="77777777" w:rsidR="004B03F8" w:rsidRPr="002C2D1C" w:rsidRDefault="004B03F8" w:rsidP="00930400">
      <w:pPr>
        <w:pStyle w:val="FootnoteText"/>
        <w:rPr>
          <w:rFonts w:ascii="Cambria" w:hAnsi="Cambria"/>
          <w:sz w:val="18"/>
          <w:szCs w:val="18"/>
        </w:rPr>
      </w:pPr>
      <w:r w:rsidRPr="002C2D1C">
        <w:rPr>
          <w:rStyle w:val="FootnoteReference"/>
          <w:rFonts w:ascii="Cambria" w:hAnsi="Cambria"/>
          <w:sz w:val="18"/>
          <w:szCs w:val="18"/>
        </w:rPr>
        <w:footnoteRef/>
      </w:r>
      <w:r w:rsidRPr="002C2D1C">
        <w:rPr>
          <w:rFonts w:ascii="Cambria" w:hAnsi="Cambria"/>
          <w:sz w:val="18"/>
          <w:szCs w:val="18"/>
        </w:rPr>
        <w:t xml:space="preserve"> In consultation with the College of Bishops this paper has been written in response to feedback from the LCA-wide consultations. The bishops asked the CTICR to ‘engage the current teaching of the church with the DDS’ in preparation for General Convention. This statement does not express the position of some members of the Commission. </w:t>
      </w:r>
    </w:p>
  </w:footnote>
  <w:footnote w:id="22">
    <w:p w14:paraId="7568E0AB" w14:textId="77777777" w:rsidR="004B03F8" w:rsidRPr="00EC0E3A" w:rsidRDefault="004B03F8" w:rsidP="00930400">
      <w:pPr>
        <w:pStyle w:val="FootnoteText"/>
        <w:rPr>
          <w:rFonts w:ascii="Cambria" w:hAnsi="Cambria"/>
          <w:sz w:val="18"/>
        </w:rPr>
      </w:pPr>
      <w:r w:rsidRPr="00EC0E3A">
        <w:rPr>
          <w:rStyle w:val="FootnoteReference"/>
          <w:rFonts w:ascii="Cambria" w:hAnsi="Cambria"/>
          <w:sz w:val="18"/>
        </w:rPr>
        <w:footnoteRef/>
      </w:r>
      <w:r w:rsidRPr="00EC0E3A">
        <w:rPr>
          <w:rFonts w:ascii="Cambria" w:hAnsi="Cambria"/>
          <w:sz w:val="18"/>
        </w:rPr>
        <w:t xml:space="preserve"> Neither of these reasons are mentioned at all in 1 Timothy 2. With 1 Corinthians 14 the situation is more complex. Earlier in the chapter Paul addresses disruptive speech by tongue speakers and prophets, and asks them to speak in an orderly manner. Yet when he addresses the women he says nothing about disruptive speech. Instead, he says they should not speak at all, since ‘it is shameful for a woman to speak in church’. Given that he does not spell this out further, this could mean ‘shameful in God’s sight’, or ‘shameful according to cultural norms’, or both. Even if it only means shameful according to cultural norms and not shameful before God, this is a slender basis on which to build an entire case, and does not nullify the other reasons Paul gives for this prohibition.</w:t>
      </w:r>
    </w:p>
  </w:footnote>
  <w:footnote w:id="23">
    <w:p w14:paraId="537FFE39" w14:textId="77777777" w:rsidR="004B03F8" w:rsidRDefault="004B03F8" w:rsidP="00930400">
      <w:pPr>
        <w:pStyle w:val="FootnoteText"/>
      </w:pPr>
      <w:r w:rsidRPr="00EC0E3A">
        <w:rPr>
          <w:rStyle w:val="FootnoteReference"/>
          <w:rFonts w:ascii="Cambria" w:hAnsi="Cambria"/>
          <w:sz w:val="18"/>
        </w:rPr>
        <w:footnoteRef/>
      </w:r>
      <w:r w:rsidRPr="00EC0E3A">
        <w:rPr>
          <w:rFonts w:ascii="Cambria" w:hAnsi="Cambria"/>
          <w:sz w:val="18"/>
        </w:rPr>
        <w:t xml:space="preserve"> The Greek word that is used here is </w:t>
      </w:r>
      <w:r w:rsidRPr="00EC0E3A">
        <w:rPr>
          <w:rFonts w:ascii="Cambria" w:hAnsi="Cambria"/>
          <w:i/>
          <w:sz w:val="18"/>
        </w:rPr>
        <w:t>andr</w:t>
      </w:r>
      <w:r w:rsidRPr="00EC0E3A">
        <w:rPr>
          <w:rFonts w:ascii="Cambria" w:hAnsi="Cambria" w:cstheme="minorHAnsi"/>
          <w:i/>
          <w:sz w:val="18"/>
        </w:rPr>
        <w:t>ō</w:t>
      </w:r>
      <w:r w:rsidRPr="00EC0E3A">
        <w:rPr>
          <w:rFonts w:ascii="Cambria" w:hAnsi="Cambria"/>
          <w:i/>
          <w:sz w:val="18"/>
        </w:rPr>
        <w:t>n</w:t>
      </w:r>
      <w:r w:rsidRPr="00EC0E3A">
        <w:rPr>
          <w:rFonts w:ascii="Cambria" w:hAnsi="Cambria"/>
          <w:sz w:val="18"/>
        </w:rPr>
        <w:t xml:space="preserve"> (which means men as opposed to women) and not </w:t>
      </w:r>
      <w:r w:rsidRPr="00EC0E3A">
        <w:rPr>
          <w:rFonts w:ascii="Cambria" w:hAnsi="Cambria"/>
          <w:i/>
          <w:sz w:val="18"/>
        </w:rPr>
        <w:t>anthr</w:t>
      </w:r>
      <w:r w:rsidRPr="00EC0E3A">
        <w:rPr>
          <w:rFonts w:ascii="Cambria" w:hAnsi="Cambria" w:cstheme="minorHAnsi"/>
          <w:i/>
          <w:sz w:val="18"/>
        </w:rPr>
        <w:t>ō</w:t>
      </w:r>
      <w:r w:rsidRPr="00EC0E3A">
        <w:rPr>
          <w:rFonts w:ascii="Cambria" w:hAnsi="Cambria"/>
          <w:i/>
          <w:sz w:val="18"/>
        </w:rPr>
        <w:t>p</w:t>
      </w:r>
      <w:r w:rsidRPr="00EC0E3A">
        <w:rPr>
          <w:rFonts w:ascii="Cambria" w:hAnsi="Cambria" w:cstheme="minorHAnsi"/>
          <w:i/>
          <w:sz w:val="18"/>
        </w:rPr>
        <w:t>ō</w:t>
      </w:r>
      <w:r w:rsidRPr="00EC0E3A">
        <w:rPr>
          <w:rFonts w:ascii="Cambria" w:hAnsi="Cambria"/>
          <w:i/>
          <w:sz w:val="18"/>
        </w:rPr>
        <w:t>n</w:t>
      </w:r>
      <w:r w:rsidRPr="00EC0E3A">
        <w:rPr>
          <w:rFonts w:ascii="Cambria" w:hAnsi="Cambria"/>
          <w:sz w:val="18"/>
        </w:rPr>
        <w:t xml:space="preserve"> (which can be used generically for either men or women).</w:t>
      </w:r>
    </w:p>
  </w:footnote>
  <w:footnote w:id="24">
    <w:p w14:paraId="7048C585" w14:textId="77777777" w:rsidR="004B03F8" w:rsidRPr="00EC0E3A" w:rsidRDefault="004B03F8" w:rsidP="00930400">
      <w:pPr>
        <w:pStyle w:val="FootnoteText"/>
        <w:rPr>
          <w:rFonts w:ascii="Cambria" w:hAnsi="Cambria"/>
          <w:sz w:val="18"/>
        </w:rPr>
      </w:pPr>
      <w:r w:rsidRPr="00EC0E3A">
        <w:rPr>
          <w:rStyle w:val="FootnoteReference"/>
          <w:rFonts w:ascii="Cambria" w:hAnsi="Cambria"/>
          <w:sz w:val="18"/>
        </w:rPr>
        <w:footnoteRef/>
      </w:r>
      <w:r w:rsidRPr="00EC0E3A">
        <w:rPr>
          <w:rFonts w:ascii="Cambria" w:hAnsi="Cambria"/>
          <w:sz w:val="18"/>
        </w:rPr>
        <w:t xml:space="preserve"> Note also how Paul goes straight from talking about the baptismal unity of all believers w</w:t>
      </w:r>
      <w:r>
        <w:rPr>
          <w:rFonts w:ascii="Cambria" w:hAnsi="Cambria"/>
          <w:sz w:val="18"/>
        </w:rPr>
        <w:t>ithin the body of Christ (1 Cor</w:t>
      </w:r>
      <w:r w:rsidRPr="00EC0E3A">
        <w:rPr>
          <w:rFonts w:ascii="Cambria" w:hAnsi="Cambria"/>
          <w:sz w:val="18"/>
        </w:rPr>
        <w:t xml:space="preserve"> 12:12–13), to talking about this body as something that is made up of many different y</w:t>
      </w:r>
      <w:r>
        <w:rPr>
          <w:rFonts w:ascii="Cambria" w:hAnsi="Cambria"/>
          <w:sz w:val="18"/>
        </w:rPr>
        <w:t>et complementary members (1 Cor</w:t>
      </w:r>
      <w:r w:rsidRPr="00EC0E3A">
        <w:rPr>
          <w:rFonts w:ascii="Cambria" w:hAnsi="Cambria"/>
          <w:sz w:val="18"/>
        </w:rPr>
        <w:t xml:space="preserve"> 12:14–31). Likewise, the Apostle Peter says in one breath that Christian women should be subor</w:t>
      </w:r>
      <w:r>
        <w:rPr>
          <w:rFonts w:ascii="Cambria" w:hAnsi="Cambria"/>
          <w:sz w:val="18"/>
        </w:rPr>
        <w:t>dinate to their husbands (1 Pet</w:t>
      </w:r>
      <w:r w:rsidRPr="00EC0E3A">
        <w:rPr>
          <w:rFonts w:ascii="Cambria" w:hAnsi="Cambria"/>
          <w:sz w:val="18"/>
        </w:rPr>
        <w:t xml:space="preserve"> 3:1–6), and in the next breath that they are joint heirs with their believing husba</w:t>
      </w:r>
      <w:r>
        <w:rPr>
          <w:rFonts w:ascii="Cambria" w:hAnsi="Cambria"/>
          <w:sz w:val="18"/>
        </w:rPr>
        <w:t>nds in the grace of life (1 Pet</w:t>
      </w:r>
      <w:r w:rsidRPr="00EC0E3A">
        <w:rPr>
          <w:rFonts w:ascii="Cambria" w:hAnsi="Cambria"/>
          <w:sz w:val="18"/>
        </w:rPr>
        <w:t xml:space="preserve"> 3:7). There is no conflict between the two, since our standing in God’s sight is not determined by the works we do in vocation, nor is it impaired by how humble our vocations may be in worldly eyes.</w:t>
      </w:r>
    </w:p>
  </w:footnote>
  <w:footnote w:id="25">
    <w:p w14:paraId="32CE5FFA" w14:textId="77777777" w:rsidR="004B03F8" w:rsidRDefault="004B03F8" w:rsidP="00930400">
      <w:pPr>
        <w:pStyle w:val="FootnoteText"/>
      </w:pPr>
      <w:r w:rsidRPr="00EC0E3A">
        <w:rPr>
          <w:rStyle w:val="FootnoteReference"/>
          <w:rFonts w:ascii="Cambria" w:hAnsi="Cambria"/>
          <w:sz w:val="18"/>
        </w:rPr>
        <w:footnoteRef/>
      </w:r>
      <w:r w:rsidRPr="00EC0E3A">
        <w:rPr>
          <w:rFonts w:ascii="Cambria" w:hAnsi="Cambria"/>
          <w:sz w:val="18"/>
        </w:rPr>
        <w:t xml:space="preserve"> The meaning of ‘speaking in the churches’ is clarified by the context. Paul distinguishes this kind of speaking from ‘speaking in tongues’ (1 Cor 14:27,28) and th</w:t>
      </w:r>
      <w:r>
        <w:rPr>
          <w:rFonts w:ascii="Cambria" w:hAnsi="Cambria"/>
          <w:sz w:val="18"/>
        </w:rPr>
        <w:t>e ‘speaking’ of prophecy (1 Cor</w:t>
      </w:r>
      <w:r w:rsidRPr="00EC0E3A">
        <w:rPr>
          <w:rFonts w:ascii="Cambria" w:hAnsi="Cambria"/>
          <w:sz w:val="18"/>
        </w:rPr>
        <w:t xml:space="preserve"> 14:29,30).</w:t>
      </w:r>
      <w:r w:rsidRPr="00EC0E3A">
        <w:rPr>
          <w:sz w:val="18"/>
        </w:rPr>
        <w:t xml:space="preserve"> </w:t>
      </w:r>
    </w:p>
  </w:footnote>
  <w:footnote w:id="26">
    <w:p w14:paraId="3244B996" w14:textId="77777777" w:rsidR="004B03F8" w:rsidRDefault="004B03F8" w:rsidP="00930400">
      <w:pPr>
        <w:pStyle w:val="NoSpacing"/>
        <w:rPr>
          <w:sz w:val="18"/>
          <w:szCs w:val="18"/>
        </w:rPr>
      </w:pPr>
      <w:r>
        <w:rPr>
          <w:rStyle w:val="FootnoteReference"/>
          <w:sz w:val="18"/>
          <w:szCs w:val="18"/>
        </w:rPr>
        <w:footnoteRef/>
      </w:r>
      <w:r>
        <w:rPr>
          <w:sz w:val="18"/>
          <w:szCs w:val="18"/>
        </w:rPr>
        <w:t xml:space="preserve"> Practical questions and pastoral concerns that would arise from a synodical decision to endorse the draft doctrinal statement should not cloud the discussion about the theological acceptability of the ordination of women. </w:t>
      </w:r>
    </w:p>
  </w:footnote>
  <w:footnote w:id="27">
    <w:p w14:paraId="11907913" w14:textId="77777777" w:rsidR="004B03F8" w:rsidRDefault="004B03F8" w:rsidP="00930400">
      <w:pPr>
        <w:pStyle w:val="NoSpacing"/>
        <w:rPr>
          <w:sz w:val="18"/>
          <w:szCs w:val="18"/>
        </w:rPr>
      </w:pPr>
      <w:r>
        <w:rPr>
          <w:rStyle w:val="FootnoteReference"/>
          <w:sz w:val="18"/>
          <w:szCs w:val="18"/>
        </w:rPr>
        <w:footnoteRef/>
      </w:r>
      <w:r>
        <w:rPr>
          <w:sz w:val="18"/>
          <w:szCs w:val="18"/>
        </w:rPr>
        <w:t xml:space="preserve"> Those provisos are: (i) that people be ready to submit to the authority of the Bible, (ii) that no clear word of scripture is denied, contradicted, or ignored, (iii) that such divergent views don’t impair, infringe upon, or violate the central doctrine of holy scripture, justification by grace through faith in Jesus Christ, (iv) that nothing be taught contrary to the </w:t>
      </w:r>
      <w:r>
        <w:rPr>
          <w:i/>
          <w:sz w:val="18"/>
          <w:szCs w:val="18"/>
        </w:rPr>
        <w:t xml:space="preserve">publica doctrina </w:t>
      </w:r>
      <w:r>
        <w:rPr>
          <w:sz w:val="18"/>
          <w:szCs w:val="18"/>
        </w:rPr>
        <w:t xml:space="preserve">of the Lutheran church as laid down in its Confessions, and (v) that such divergent views are not propagated as the </w:t>
      </w:r>
      <w:r>
        <w:rPr>
          <w:i/>
          <w:sz w:val="18"/>
          <w:szCs w:val="18"/>
        </w:rPr>
        <w:t xml:space="preserve">publica doctrina </w:t>
      </w:r>
      <w:r>
        <w:rPr>
          <w:sz w:val="18"/>
          <w:szCs w:val="18"/>
        </w:rPr>
        <w:t>of the Church and in no way impair the doctrine of the Bible. (</w:t>
      </w:r>
      <w:r>
        <w:rPr>
          <w:i/>
          <w:sz w:val="18"/>
          <w:szCs w:val="18"/>
        </w:rPr>
        <w:t xml:space="preserve">Theses on Principles governing Church Fellowship, </w:t>
      </w:r>
      <w:r>
        <w:rPr>
          <w:sz w:val="18"/>
          <w:szCs w:val="18"/>
        </w:rPr>
        <w:t>TA 1.3.e)</w:t>
      </w:r>
    </w:p>
  </w:footnote>
  <w:footnote w:id="28">
    <w:p w14:paraId="6E818F9D" w14:textId="77777777" w:rsidR="004B03F8" w:rsidRPr="00FD48C8" w:rsidRDefault="004B03F8" w:rsidP="00930400">
      <w:pPr>
        <w:pStyle w:val="FootnoteText"/>
        <w:rPr>
          <w:rFonts w:ascii="Cambria" w:hAnsi="Cambria"/>
          <w:sz w:val="18"/>
          <w:szCs w:val="18"/>
        </w:rPr>
      </w:pPr>
      <w:r w:rsidRPr="00FD48C8">
        <w:rPr>
          <w:rStyle w:val="FootnoteReference"/>
          <w:rFonts w:ascii="Cambria" w:hAnsi="Cambria"/>
          <w:sz w:val="18"/>
          <w:szCs w:val="18"/>
        </w:rPr>
        <w:footnoteRef/>
      </w:r>
      <w:r w:rsidRPr="00FD48C8">
        <w:rPr>
          <w:rFonts w:ascii="Cambria" w:hAnsi="Cambria"/>
          <w:sz w:val="18"/>
          <w:szCs w:val="18"/>
        </w:rPr>
        <w:t xml:space="preserve"> ‘The Permanent Status of Theses of Agreement’, A26.</w:t>
      </w:r>
    </w:p>
  </w:footnote>
  <w:footnote w:id="29">
    <w:p w14:paraId="7B6F5F56" w14:textId="77777777" w:rsidR="004B03F8" w:rsidRPr="00CE21E3" w:rsidRDefault="004B03F8" w:rsidP="00930400">
      <w:pPr>
        <w:pStyle w:val="FootnoteText"/>
        <w:rPr>
          <w:rFonts w:ascii="Cambria" w:hAnsi="Cambria"/>
          <w:sz w:val="18"/>
          <w:szCs w:val="18"/>
        </w:rPr>
      </w:pPr>
      <w:r w:rsidRPr="00CE21E3">
        <w:rPr>
          <w:rStyle w:val="FootnoteReference"/>
          <w:rFonts w:ascii="Cambria" w:hAnsi="Cambria"/>
          <w:sz w:val="18"/>
          <w:szCs w:val="18"/>
        </w:rPr>
        <w:footnoteRef/>
      </w:r>
      <w:r w:rsidRPr="00CE21E3">
        <w:rPr>
          <w:rFonts w:ascii="Cambria" w:hAnsi="Cambria"/>
          <w:sz w:val="18"/>
          <w:szCs w:val="18"/>
        </w:rPr>
        <w:t xml:space="preserve">  </w:t>
      </w:r>
      <w:r w:rsidRPr="00CE21E3">
        <w:rPr>
          <w:rFonts w:ascii="Cambria" w:hAnsi="Cambria"/>
          <w:iCs/>
          <w:sz w:val="18"/>
          <w:szCs w:val="18"/>
        </w:rPr>
        <w:t xml:space="preserve">The 1966 LCA </w:t>
      </w:r>
      <w:r w:rsidRPr="00CE21E3">
        <w:rPr>
          <w:rFonts w:ascii="Cambria" w:hAnsi="Cambria"/>
          <w:i/>
          <w:iCs/>
          <w:sz w:val="18"/>
          <w:szCs w:val="18"/>
        </w:rPr>
        <w:t>Statement on</w:t>
      </w:r>
      <w:r w:rsidRPr="00CE21E3">
        <w:rPr>
          <w:rFonts w:ascii="Cambria" w:hAnsi="Cambria"/>
          <w:iCs/>
          <w:sz w:val="18"/>
          <w:szCs w:val="18"/>
        </w:rPr>
        <w:t xml:space="preserve"> </w:t>
      </w:r>
      <w:r w:rsidRPr="00CE21E3">
        <w:rPr>
          <w:rFonts w:ascii="Cambria" w:hAnsi="Cambria"/>
          <w:i/>
          <w:iCs/>
          <w:sz w:val="18"/>
          <w:szCs w:val="18"/>
        </w:rPr>
        <w:t>rights of women to vote at meetings of the congregations</w:t>
      </w:r>
      <w:r w:rsidRPr="00CE21E3">
        <w:rPr>
          <w:rFonts w:ascii="Cambria" w:hAnsi="Cambria"/>
          <w:iCs/>
          <w:sz w:val="18"/>
          <w:szCs w:val="18"/>
        </w:rPr>
        <w:t xml:space="preserve"> (DSTO F1-2) states that women occupy ‘a subordinate position in creation’ and goes on to contextualise this more precisely: ‘This subordination shows itself, as far as the individual woman is concerned, in the marriage relation (Gen 3:16).’</w:t>
      </w:r>
    </w:p>
  </w:footnote>
  <w:footnote w:id="30">
    <w:p w14:paraId="7AA95642" w14:textId="77777777" w:rsidR="004B03F8" w:rsidRPr="00CE21E3" w:rsidRDefault="004B03F8" w:rsidP="00930400">
      <w:pPr>
        <w:pStyle w:val="ListParagraph"/>
        <w:ind w:left="0"/>
        <w:rPr>
          <w:rFonts w:ascii="Cambria" w:hAnsi="Cambria"/>
          <w:sz w:val="18"/>
          <w:szCs w:val="18"/>
        </w:rPr>
      </w:pPr>
      <w:r w:rsidRPr="00CE21E3">
        <w:rPr>
          <w:rStyle w:val="FootnoteReference"/>
          <w:rFonts w:ascii="Cambria" w:hAnsi="Cambria"/>
          <w:sz w:val="18"/>
          <w:szCs w:val="18"/>
        </w:rPr>
        <w:footnoteRef/>
      </w:r>
      <w:r w:rsidRPr="00CE21E3">
        <w:rPr>
          <w:rFonts w:ascii="Cambria" w:hAnsi="Cambria"/>
          <w:sz w:val="18"/>
          <w:szCs w:val="18"/>
        </w:rPr>
        <w:t xml:space="preserve">  </w:t>
      </w:r>
      <w:r w:rsidRPr="00CE21E3">
        <w:rPr>
          <w:rFonts w:ascii="Cambria" w:hAnsi="Cambria"/>
          <w:iCs/>
          <w:sz w:val="18"/>
          <w:szCs w:val="18"/>
        </w:rPr>
        <w:t xml:space="preserve">The 1978 LCA statement on </w:t>
      </w:r>
      <w:r w:rsidRPr="00CE21E3">
        <w:rPr>
          <w:rFonts w:ascii="Cambria" w:hAnsi="Cambria"/>
          <w:i/>
          <w:iCs/>
          <w:sz w:val="18"/>
          <w:szCs w:val="18"/>
        </w:rPr>
        <w:t>The Role of women in church</w:t>
      </w:r>
      <w:r w:rsidRPr="00CE21E3">
        <w:rPr>
          <w:rFonts w:ascii="Cambria" w:hAnsi="Cambria"/>
          <w:iCs/>
          <w:sz w:val="18"/>
          <w:szCs w:val="18"/>
        </w:rPr>
        <w:t xml:space="preserve"> (DSTO F3-4) affirms the general teaching that women hold a fundamentally subordinate position in the church, serving, but not fulfilling roles which require independent authoritative leadership. It makes no specific mention of relationships within marriage. </w:t>
      </w:r>
    </w:p>
  </w:footnote>
  <w:footnote w:id="31">
    <w:p w14:paraId="4D5F1118" w14:textId="77777777" w:rsidR="004B03F8" w:rsidRPr="00CE21E3" w:rsidRDefault="004B03F8" w:rsidP="00930400">
      <w:pPr>
        <w:pStyle w:val="ListParagraph"/>
        <w:spacing w:after="0"/>
        <w:ind w:left="0"/>
        <w:rPr>
          <w:rFonts w:ascii="Cambria" w:hAnsi="Cambria"/>
          <w:iCs/>
          <w:sz w:val="18"/>
          <w:szCs w:val="18"/>
        </w:rPr>
      </w:pPr>
      <w:r w:rsidRPr="00CE21E3">
        <w:rPr>
          <w:rStyle w:val="FootnoteReference"/>
          <w:rFonts w:ascii="Cambria" w:hAnsi="Cambria"/>
          <w:sz w:val="18"/>
          <w:szCs w:val="18"/>
        </w:rPr>
        <w:footnoteRef/>
      </w:r>
      <w:r w:rsidRPr="00CE21E3">
        <w:rPr>
          <w:rStyle w:val="FootnoteReference"/>
          <w:rFonts w:ascii="Cambria" w:hAnsi="Cambria"/>
          <w:sz w:val="18"/>
          <w:szCs w:val="18"/>
        </w:rPr>
        <w:t xml:space="preserve"> </w:t>
      </w:r>
      <w:r w:rsidRPr="00CE21E3">
        <w:rPr>
          <w:rFonts w:ascii="Cambria" w:hAnsi="Cambria"/>
          <w:i/>
          <w:iCs/>
          <w:sz w:val="18"/>
          <w:szCs w:val="18"/>
        </w:rPr>
        <w:t>The Service of Women on Boards and Committees of the Church</w:t>
      </w:r>
      <w:r w:rsidRPr="00CE21E3">
        <w:rPr>
          <w:rFonts w:ascii="Cambria" w:hAnsi="Cambria"/>
          <w:iCs/>
          <w:sz w:val="18"/>
          <w:szCs w:val="18"/>
        </w:rPr>
        <w:t xml:space="preserve"> (DSTO F5-6) does not mention anything about subordination and headship in marriage, but demonstrates that the LCA was by that time opening up to the greater involvement of women in district and general church bodies.</w:t>
      </w:r>
    </w:p>
  </w:footnote>
  <w:footnote w:id="32">
    <w:p w14:paraId="531FADF1" w14:textId="77777777" w:rsidR="004B03F8" w:rsidRDefault="004B03F8" w:rsidP="00930400">
      <w:pPr>
        <w:pStyle w:val="FootnoteText"/>
      </w:pPr>
      <w:r w:rsidRPr="00CE21E3">
        <w:rPr>
          <w:rStyle w:val="FootnoteReference"/>
          <w:rFonts w:ascii="Cambria" w:hAnsi="Cambria"/>
          <w:sz w:val="18"/>
          <w:szCs w:val="18"/>
        </w:rPr>
        <w:footnoteRef/>
      </w:r>
      <w:r w:rsidRPr="00CE21E3">
        <w:rPr>
          <w:rFonts w:ascii="Cambria" w:hAnsi="Cambria"/>
          <w:sz w:val="18"/>
          <w:szCs w:val="18"/>
        </w:rPr>
        <w:t xml:space="preserve"> </w:t>
      </w:r>
      <w:r w:rsidRPr="00CE21E3">
        <w:rPr>
          <w:rFonts w:ascii="Cambria" w:hAnsi="Cambria"/>
          <w:i/>
          <w:sz w:val="18"/>
          <w:szCs w:val="18"/>
        </w:rPr>
        <w:t xml:space="preserve">Church Rites, </w:t>
      </w:r>
      <w:r w:rsidRPr="00CE21E3">
        <w:rPr>
          <w:rFonts w:ascii="Cambria" w:hAnsi="Cambria"/>
          <w:sz w:val="18"/>
          <w:szCs w:val="18"/>
        </w:rPr>
        <w:t>Edited by David Schubert, 1994</w:t>
      </w:r>
      <w:r w:rsidRPr="00CE21E3">
        <w:rPr>
          <w:rFonts w:ascii="Cambria" w:hAnsi="Cambria"/>
          <w:i/>
          <w:sz w:val="18"/>
          <w:szCs w:val="18"/>
        </w:rPr>
        <w:t>. Adelaide: Open Book Publishers. 51.</w:t>
      </w:r>
      <w:r>
        <w:rPr>
          <w:i/>
        </w:rPr>
        <w:t xml:space="preserve"> </w:t>
      </w:r>
    </w:p>
  </w:footnote>
  <w:footnote w:id="33">
    <w:p w14:paraId="0160E9CB" w14:textId="77777777" w:rsidR="004B03F8" w:rsidRPr="00CE21E3" w:rsidRDefault="004B03F8" w:rsidP="00930400">
      <w:pPr>
        <w:spacing w:after="0"/>
        <w:rPr>
          <w:rFonts w:ascii="Cambria" w:hAnsi="Cambria"/>
          <w:sz w:val="18"/>
          <w:szCs w:val="18"/>
        </w:rPr>
      </w:pPr>
      <w:r w:rsidRPr="00CE21E3">
        <w:rPr>
          <w:rStyle w:val="FootnoteReference"/>
          <w:rFonts w:ascii="Cambria" w:hAnsi="Cambria"/>
          <w:sz w:val="18"/>
          <w:szCs w:val="18"/>
        </w:rPr>
        <w:footnoteRef/>
      </w:r>
      <w:r w:rsidRPr="00CE21E3">
        <w:rPr>
          <w:rFonts w:ascii="Cambria" w:hAnsi="Cambria"/>
          <w:sz w:val="18"/>
          <w:szCs w:val="18"/>
        </w:rPr>
        <w:t xml:space="preserve"> Violence is defined as any type of abusive behaviour, whether physical, emotional, social, economic or spiritual</w:t>
      </w:r>
      <w:r>
        <w:rPr>
          <w:rFonts w:ascii="Cambria" w:hAnsi="Cambria"/>
          <w:sz w:val="18"/>
          <w:szCs w:val="18"/>
        </w:rPr>
        <w:t xml:space="preserve">. </w:t>
      </w:r>
      <w:r w:rsidRPr="00CE21E3">
        <w:rPr>
          <w:rFonts w:ascii="Cambria" w:hAnsi="Cambria"/>
          <w:sz w:val="18"/>
          <w:szCs w:val="18"/>
        </w:rPr>
        <w:t>‘Domestic violence’ refers to a pattern of abusive behaviour in any relationship that is used by one partner to gain or maintain power and control over another intimate partner.</w:t>
      </w:r>
    </w:p>
  </w:footnote>
  <w:footnote w:id="34">
    <w:p w14:paraId="7DF5D228" w14:textId="77777777" w:rsidR="004B03F8" w:rsidRPr="00CE21E3" w:rsidRDefault="004B03F8" w:rsidP="00930400">
      <w:pPr>
        <w:pStyle w:val="FootnoteText"/>
        <w:rPr>
          <w:rFonts w:ascii="Cambria" w:hAnsi="Cambria"/>
          <w:sz w:val="18"/>
          <w:szCs w:val="18"/>
        </w:rPr>
      </w:pPr>
      <w:r w:rsidRPr="00CE21E3">
        <w:rPr>
          <w:rStyle w:val="FootnoteReference"/>
          <w:rFonts w:ascii="Cambria" w:hAnsi="Cambria"/>
          <w:sz w:val="18"/>
          <w:szCs w:val="18"/>
        </w:rPr>
        <w:footnoteRef/>
      </w:r>
      <w:r w:rsidRPr="00CE21E3">
        <w:rPr>
          <w:rFonts w:ascii="Cambria" w:hAnsi="Cambria"/>
          <w:sz w:val="18"/>
          <w:szCs w:val="18"/>
        </w:rPr>
        <w:t xml:space="preserve"> Knickmeyer Nicole, Levitt Heidi, Horne, Sharon G, Putting on Sunday Best, 2010</w:t>
      </w:r>
      <w:r>
        <w:rPr>
          <w:rFonts w:ascii="Cambria" w:hAnsi="Cambria"/>
          <w:sz w:val="18"/>
          <w:szCs w:val="18"/>
        </w:rPr>
        <w:t xml:space="preserve">. </w:t>
      </w:r>
      <w:r w:rsidRPr="00CE21E3">
        <w:rPr>
          <w:rFonts w:ascii="Cambria" w:hAnsi="Cambria"/>
          <w:sz w:val="18"/>
          <w:szCs w:val="18"/>
        </w:rPr>
        <w:t xml:space="preserve">The Silencing of Battered Women Within Christian Faith Communities, </w:t>
      </w:r>
      <w:r w:rsidRPr="00CE21E3">
        <w:rPr>
          <w:rFonts w:ascii="Cambria" w:hAnsi="Cambria"/>
          <w:i/>
          <w:sz w:val="18"/>
          <w:szCs w:val="18"/>
        </w:rPr>
        <w:t>Feminism and Psychology</w:t>
      </w:r>
      <w:r w:rsidRPr="00CE21E3">
        <w:rPr>
          <w:rFonts w:ascii="Cambria" w:hAnsi="Cambria"/>
          <w:sz w:val="18"/>
          <w:szCs w:val="18"/>
        </w:rPr>
        <w:t>, Sage Publications.</w:t>
      </w:r>
    </w:p>
    <w:p w14:paraId="5A8C3853" w14:textId="77777777" w:rsidR="004B03F8" w:rsidRPr="00CE21E3" w:rsidRDefault="004B03F8" w:rsidP="00930400">
      <w:pPr>
        <w:spacing w:after="0"/>
        <w:rPr>
          <w:rFonts w:ascii="Cambria" w:hAnsi="Cambria"/>
          <w:sz w:val="18"/>
          <w:szCs w:val="18"/>
        </w:rPr>
      </w:pPr>
      <w:r w:rsidRPr="00CE21E3">
        <w:rPr>
          <w:rFonts w:ascii="Cambria" w:hAnsi="Cambria"/>
          <w:sz w:val="18"/>
          <w:szCs w:val="18"/>
        </w:rPr>
        <w:t xml:space="preserve">Westenberg, Leonie, ‘When She Calls for Help’ – Domestic Violence in Christian Families, 2017,                            </w:t>
      </w:r>
      <w:r w:rsidRPr="00CE21E3">
        <w:rPr>
          <w:rFonts w:ascii="Cambria" w:hAnsi="Cambria"/>
          <w:i/>
          <w:sz w:val="18"/>
          <w:szCs w:val="18"/>
        </w:rPr>
        <w:t>Social Sciences</w:t>
      </w:r>
      <w:r w:rsidRPr="00CE21E3">
        <w:rPr>
          <w:rFonts w:ascii="Cambria" w:hAnsi="Cambria"/>
          <w:sz w:val="18"/>
          <w:szCs w:val="18"/>
        </w:rPr>
        <w:t xml:space="preserve">, 6, 71. </w:t>
      </w:r>
    </w:p>
  </w:footnote>
  <w:footnote w:id="35">
    <w:p w14:paraId="5059ADD4" w14:textId="77777777" w:rsidR="004B03F8" w:rsidRPr="00CE21E3" w:rsidRDefault="004B03F8" w:rsidP="00930400">
      <w:pPr>
        <w:spacing w:after="0"/>
        <w:rPr>
          <w:rFonts w:ascii="Cambria" w:hAnsi="Cambria"/>
          <w:sz w:val="18"/>
          <w:szCs w:val="18"/>
        </w:rPr>
      </w:pPr>
      <w:r w:rsidRPr="00CE21E3">
        <w:rPr>
          <w:rStyle w:val="FootnoteReference"/>
          <w:rFonts w:ascii="Cambria" w:hAnsi="Cambria"/>
          <w:sz w:val="18"/>
          <w:szCs w:val="18"/>
        </w:rPr>
        <w:footnoteRef/>
      </w:r>
      <w:r w:rsidRPr="00CE21E3">
        <w:rPr>
          <w:rFonts w:ascii="Cambria" w:hAnsi="Cambria"/>
          <w:sz w:val="18"/>
          <w:szCs w:val="18"/>
        </w:rPr>
        <w:t xml:space="preserve"> Wendt, Sarah, 2009, </w:t>
      </w:r>
      <w:r w:rsidRPr="00CE21E3">
        <w:rPr>
          <w:rFonts w:ascii="Cambria" w:hAnsi="Cambria"/>
          <w:i/>
          <w:sz w:val="18"/>
          <w:szCs w:val="18"/>
        </w:rPr>
        <w:t>Domestic Violence in Rural Australia</w:t>
      </w:r>
      <w:r w:rsidRPr="00CE21E3">
        <w:rPr>
          <w:rFonts w:ascii="Cambria" w:hAnsi="Cambria"/>
          <w:sz w:val="18"/>
          <w:szCs w:val="18"/>
        </w:rPr>
        <w:t>, The Federation Press, Sydney NSW.</w:t>
      </w:r>
    </w:p>
  </w:footnote>
  <w:footnote w:id="36">
    <w:p w14:paraId="1B6E8A84" w14:textId="77777777" w:rsidR="004B03F8" w:rsidRPr="00CE21E3" w:rsidRDefault="004B03F8" w:rsidP="00930400">
      <w:pPr>
        <w:pStyle w:val="FootnoteText"/>
        <w:rPr>
          <w:rFonts w:ascii="Cambria" w:hAnsi="Cambria"/>
          <w:sz w:val="18"/>
          <w:szCs w:val="18"/>
        </w:rPr>
      </w:pPr>
      <w:r w:rsidRPr="00CE21E3">
        <w:rPr>
          <w:rStyle w:val="FootnoteReference"/>
          <w:rFonts w:ascii="Cambria" w:hAnsi="Cambria"/>
          <w:sz w:val="18"/>
          <w:szCs w:val="18"/>
        </w:rPr>
        <w:footnoteRef/>
      </w:r>
      <w:r w:rsidRPr="00CE21E3">
        <w:rPr>
          <w:rFonts w:ascii="Cambria" w:hAnsi="Cambria"/>
          <w:sz w:val="18"/>
          <w:szCs w:val="18"/>
        </w:rPr>
        <w:t xml:space="preserve"> </w:t>
      </w:r>
      <w:r w:rsidRPr="00CE21E3">
        <w:rPr>
          <w:rFonts w:ascii="Cambria" w:hAnsi="Cambria"/>
          <w:i/>
          <w:sz w:val="18"/>
          <w:szCs w:val="18"/>
        </w:rPr>
        <w:t>Doctrinal Statements and Theological Opinions of the Lutheran Church of Australia</w:t>
      </w:r>
      <w:r w:rsidRPr="00CE21E3">
        <w:rPr>
          <w:rFonts w:ascii="Cambria" w:hAnsi="Cambria"/>
          <w:sz w:val="18"/>
          <w:szCs w:val="18"/>
        </w:rPr>
        <w:t xml:space="preserve"> (1980), H7-9.</w:t>
      </w:r>
    </w:p>
  </w:footnote>
  <w:footnote w:id="37">
    <w:p w14:paraId="7AC49E06" w14:textId="77777777" w:rsidR="004B03F8" w:rsidRPr="00CE21E3" w:rsidRDefault="004B03F8" w:rsidP="00930400">
      <w:pPr>
        <w:pStyle w:val="FootnoteText"/>
        <w:rPr>
          <w:rFonts w:ascii="Cambria" w:hAnsi="Cambria"/>
        </w:rPr>
      </w:pPr>
      <w:r w:rsidRPr="00CE21E3">
        <w:rPr>
          <w:rStyle w:val="FootnoteReference"/>
          <w:rFonts w:ascii="Cambria" w:hAnsi="Cambria"/>
          <w:sz w:val="18"/>
        </w:rPr>
        <w:footnoteRef/>
      </w:r>
      <w:r w:rsidRPr="00CE21E3">
        <w:rPr>
          <w:rFonts w:ascii="Cambria" w:hAnsi="Cambria"/>
          <w:sz w:val="18"/>
        </w:rPr>
        <w:t xml:space="preserve"> ‘Bishop John Henderson’s Message for White Ribbon Day, 25 November 2017’ The Lutheran (November 2017) 10-13. </w:t>
      </w:r>
    </w:p>
  </w:footnote>
  <w:footnote w:id="38">
    <w:p w14:paraId="2C8CB648" w14:textId="77777777" w:rsidR="004B03F8" w:rsidRPr="0062144A" w:rsidRDefault="004B03F8" w:rsidP="0054360D">
      <w:pPr>
        <w:tabs>
          <w:tab w:val="decimal" w:pos="6120"/>
          <w:tab w:val="decimal" w:pos="7920"/>
        </w:tabs>
        <w:rPr>
          <w:rFonts w:ascii="Cambria" w:hAnsi="Cambria"/>
          <w:sz w:val="18"/>
          <w:szCs w:val="18"/>
        </w:rPr>
      </w:pPr>
      <w:r w:rsidRPr="0062144A">
        <w:rPr>
          <w:rStyle w:val="FootnoteReference"/>
          <w:rFonts w:ascii="Cambria" w:hAnsi="Cambria"/>
          <w:sz w:val="18"/>
          <w:szCs w:val="18"/>
        </w:rPr>
        <w:footnoteRef/>
      </w:r>
      <w:r w:rsidRPr="0062144A">
        <w:rPr>
          <w:rFonts w:ascii="Cambria" w:hAnsi="Cambria"/>
          <w:sz w:val="18"/>
          <w:szCs w:val="18"/>
        </w:rPr>
        <w:t xml:space="preserve">  This total includes legacies amounting to $44,100, $99,045 and $179,754, received during 2015, 2016 and 2017. While recognised as income, this amount has been retained in the legacies reserve to be used for future purposes commensurate with the requests of the donors.</w:t>
      </w:r>
    </w:p>
  </w:footnote>
  <w:footnote w:id="39">
    <w:p w14:paraId="427D5699" w14:textId="77777777" w:rsidR="004B03F8" w:rsidRPr="00FE0662" w:rsidRDefault="004B03F8" w:rsidP="006F210A">
      <w:pPr>
        <w:pStyle w:val="FootnoteText"/>
        <w:rPr>
          <w:rFonts w:ascii="Cambria" w:hAnsi="Cambria"/>
          <w:sz w:val="18"/>
          <w:szCs w:val="18"/>
        </w:rPr>
      </w:pPr>
      <w:r w:rsidRPr="00FE0662">
        <w:rPr>
          <w:rStyle w:val="FootnoteReference"/>
          <w:rFonts w:ascii="Cambria" w:hAnsi="Cambria"/>
          <w:sz w:val="18"/>
          <w:szCs w:val="18"/>
        </w:rPr>
        <w:footnoteRef/>
      </w:r>
      <w:r w:rsidRPr="00FE0662">
        <w:rPr>
          <w:rFonts w:ascii="Cambria" w:hAnsi="Cambria"/>
          <w:sz w:val="18"/>
          <w:szCs w:val="18"/>
        </w:rPr>
        <w:t xml:space="preserve"> The report, </w:t>
      </w:r>
      <w:r w:rsidRPr="00FE0662">
        <w:rPr>
          <w:rFonts w:ascii="Cambria" w:hAnsi="Cambria"/>
          <w:i/>
          <w:sz w:val="18"/>
          <w:szCs w:val="18"/>
        </w:rPr>
        <w:t>Lutheran Church of Australia, Governance and Administration Review Final Report 20 February 2015</w:t>
      </w:r>
      <w:r w:rsidRPr="00FE0662">
        <w:rPr>
          <w:rFonts w:ascii="Cambria" w:hAnsi="Cambria"/>
          <w:sz w:val="18"/>
          <w:szCs w:val="18"/>
        </w:rPr>
        <w:t>, by Dr Maureen Cleary of Governance &amp; Management Pty Ltd was presented to the General Convention of Synod by GCC in September 2015. This report contained 27 recommendations, including the recommendation “</w:t>
      </w:r>
      <w:r w:rsidRPr="00FE0662">
        <w:rPr>
          <w:rFonts w:ascii="Cambria" w:hAnsi="Cambria"/>
          <w:i/>
          <w:sz w:val="18"/>
          <w:szCs w:val="18"/>
        </w:rPr>
        <w:t>That GCC enters into serious dialogue with the LEA Board about their desired governance structure</w:t>
      </w:r>
      <w:r w:rsidRPr="00FE0662">
        <w:rPr>
          <w:rFonts w:ascii="Cambria" w:hAnsi="Cambria"/>
          <w:sz w:val="18"/>
          <w:szCs w:val="18"/>
        </w:rPr>
        <w:t xml:space="preserve">”, which was accepted by GCC. This resulted in the first review of Lutheran schools and early childhood services undertaken in 2015-16. </w:t>
      </w:r>
    </w:p>
    <w:p w14:paraId="5D6FF10B" w14:textId="77777777" w:rsidR="004B03F8" w:rsidRDefault="004B03F8" w:rsidP="006F210A">
      <w:pPr>
        <w:pStyle w:val="FootnoteText"/>
      </w:pPr>
    </w:p>
  </w:footnote>
  <w:footnote w:id="40">
    <w:p w14:paraId="50111A0F" w14:textId="77777777" w:rsidR="004B03F8" w:rsidRPr="00CB68EB" w:rsidRDefault="004B03F8" w:rsidP="00C3276D">
      <w:pPr>
        <w:pStyle w:val="FootnoteText"/>
        <w:rPr>
          <w:sz w:val="18"/>
          <w:szCs w:val="18"/>
        </w:rPr>
      </w:pPr>
      <w:r>
        <w:rPr>
          <w:rStyle w:val="FootnoteReference"/>
        </w:rPr>
        <w:footnoteRef/>
      </w:r>
      <w:r>
        <w:t xml:space="preserve"> </w:t>
      </w:r>
      <w:r w:rsidRPr="00CB68EB">
        <w:rPr>
          <w:sz w:val="18"/>
          <w:szCs w:val="18"/>
        </w:rPr>
        <w:t>The specific resolutions are Nos. 150205 (re Governing Bodies) and 15026 (re National Office functions.)</w:t>
      </w:r>
    </w:p>
  </w:footnote>
  <w:footnote w:id="41">
    <w:p w14:paraId="3B219913" w14:textId="145944D7" w:rsidR="004B03F8" w:rsidRPr="002A2396" w:rsidRDefault="004B03F8" w:rsidP="00C3276D">
      <w:pPr>
        <w:spacing w:after="0"/>
        <w:jc w:val="both"/>
        <w:rPr>
          <w:rFonts w:ascii="Cambria" w:hAnsi="Cambria"/>
          <w:sz w:val="18"/>
          <w:szCs w:val="18"/>
        </w:rPr>
      </w:pPr>
      <w:r w:rsidRPr="002A2396">
        <w:rPr>
          <w:rStyle w:val="FootnoteReference"/>
          <w:rFonts w:ascii="Cambria" w:hAnsi="Cambria"/>
          <w:sz w:val="18"/>
          <w:szCs w:val="18"/>
        </w:rPr>
        <w:footnoteRef/>
      </w:r>
      <w:r w:rsidRPr="002A2396">
        <w:rPr>
          <w:rFonts w:ascii="Cambria" w:hAnsi="Cambria"/>
          <w:sz w:val="18"/>
          <w:szCs w:val="18"/>
        </w:rPr>
        <w:t xml:space="preserve"> Efficiency was defined within the evaluation tools as “</w:t>
      </w:r>
      <w:r w:rsidRPr="002A2396">
        <w:rPr>
          <w:rFonts w:ascii="Cambria" w:hAnsi="Cambria"/>
          <w:i/>
          <w:sz w:val="18"/>
          <w:szCs w:val="18"/>
        </w:rPr>
        <w:t xml:space="preserve">Efficiency here defined as ‘doing things </w:t>
      </w:r>
      <w:r w:rsidRPr="002A2396">
        <w:rPr>
          <w:rFonts w:ascii="Cambria" w:hAnsi="Cambria"/>
          <w:b/>
          <w:i/>
          <w:sz w:val="18"/>
          <w:szCs w:val="18"/>
        </w:rPr>
        <w:t>right</w:t>
      </w:r>
      <w:r w:rsidRPr="002A2396">
        <w:rPr>
          <w:rFonts w:ascii="Cambria" w:hAnsi="Cambria"/>
          <w:i/>
          <w:sz w:val="18"/>
          <w:szCs w:val="18"/>
        </w:rPr>
        <w:t>’, i.e. increasing the resources, including time, that your group can deploy to work on mission”.</w:t>
      </w:r>
    </w:p>
  </w:footnote>
  <w:footnote w:id="42">
    <w:p w14:paraId="12FA4FC3" w14:textId="4AEF0F17" w:rsidR="004B03F8" w:rsidRPr="002A2396" w:rsidRDefault="004B03F8" w:rsidP="00C3276D">
      <w:pPr>
        <w:spacing w:after="0"/>
        <w:jc w:val="both"/>
        <w:rPr>
          <w:rFonts w:ascii="Cambria" w:hAnsi="Cambria"/>
          <w:i/>
          <w:sz w:val="18"/>
          <w:szCs w:val="18"/>
        </w:rPr>
      </w:pPr>
      <w:r w:rsidRPr="002A2396">
        <w:rPr>
          <w:rStyle w:val="FootnoteReference"/>
          <w:rFonts w:ascii="Cambria" w:hAnsi="Cambria"/>
          <w:sz w:val="18"/>
          <w:szCs w:val="18"/>
        </w:rPr>
        <w:footnoteRef/>
      </w:r>
      <w:r w:rsidRPr="002A2396">
        <w:rPr>
          <w:rFonts w:ascii="Cambria" w:hAnsi="Cambria"/>
          <w:sz w:val="18"/>
          <w:szCs w:val="18"/>
        </w:rPr>
        <w:t xml:space="preserve"> Effectiveness was defined within the evaluation tools as “</w:t>
      </w:r>
      <w:r w:rsidRPr="002A2396">
        <w:rPr>
          <w:rFonts w:ascii="Cambria" w:hAnsi="Cambria"/>
          <w:i/>
          <w:sz w:val="18"/>
          <w:szCs w:val="18"/>
        </w:rPr>
        <w:t xml:space="preserve">Effectiveness defined here as the ability of your group to focus on ‘doing the </w:t>
      </w:r>
      <w:r w:rsidRPr="002A2396">
        <w:rPr>
          <w:rFonts w:ascii="Cambria" w:hAnsi="Cambria"/>
          <w:b/>
          <w:i/>
          <w:sz w:val="18"/>
          <w:szCs w:val="18"/>
        </w:rPr>
        <w:t>right</w:t>
      </w:r>
      <w:r w:rsidRPr="002A2396">
        <w:rPr>
          <w:rFonts w:ascii="Cambria" w:hAnsi="Cambria"/>
          <w:i/>
          <w:sz w:val="18"/>
          <w:szCs w:val="18"/>
        </w:rPr>
        <w:t xml:space="preserve"> things’ (e.g. Your group’s contribution to achieving/ progressing the LCA Strategic Directions and achieving more results in / progressing core missional work)”</w:t>
      </w:r>
    </w:p>
    <w:p w14:paraId="27D2A7DC" w14:textId="77777777" w:rsidR="004B03F8" w:rsidRPr="002964A9" w:rsidRDefault="004B03F8" w:rsidP="00C3276D">
      <w:pPr>
        <w:pStyle w:val="FootnoteText"/>
        <w:rPr>
          <w:sz w:val="18"/>
          <w:szCs w:val="18"/>
        </w:rPr>
      </w:pPr>
    </w:p>
  </w:footnote>
  <w:footnote w:id="43">
    <w:p w14:paraId="577E695A" w14:textId="7D746A7D" w:rsidR="004B03F8" w:rsidRPr="002A2396" w:rsidRDefault="004B03F8" w:rsidP="00C3276D">
      <w:pPr>
        <w:spacing w:after="0"/>
        <w:jc w:val="both"/>
        <w:rPr>
          <w:rFonts w:ascii="Cambria" w:hAnsi="Cambria"/>
          <w:sz w:val="18"/>
          <w:szCs w:val="18"/>
        </w:rPr>
      </w:pPr>
      <w:r w:rsidRPr="002A2396">
        <w:rPr>
          <w:rStyle w:val="FootnoteReference"/>
          <w:rFonts w:ascii="Cambria" w:hAnsi="Cambria"/>
          <w:sz w:val="18"/>
          <w:szCs w:val="18"/>
        </w:rPr>
        <w:footnoteRef/>
      </w:r>
      <w:r w:rsidRPr="002A2396">
        <w:rPr>
          <w:rFonts w:ascii="Cambria" w:hAnsi="Cambria"/>
          <w:sz w:val="18"/>
          <w:szCs w:val="18"/>
        </w:rPr>
        <w:t xml:space="preserve"> Efficiency was defined within the evaluation tools as “</w:t>
      </w:r>
      <w:r w:rsidRPr="002A2396">
        <w:rPr>
          <w:rFonts w:ascii="Cambria" w:hAnsi="Cambria"/>
          <w:i/>
          <w:sz w:val="18"/>
          <w:szCs w:val="18"/>
        </w:rPr>
        <w:t xml:space="preserve">Efficiency here defined as ‘doing things </w:t>
      </w:r>
      <w:r w:rsidRPr="002A2396">
        <w:rPr>
          <w:rFonts w:ascii="Cambria" w:hAnsi="Cambria"/>
          <w:b/>
          <w:i/>
          <w:sz w:val="18"/>
          <w:szCs w:val="18"/>
        </w:rPr>
        <w:t>right</w:t>
      </w:r>
      <w:r w:rsidRPr="002A2396">
        <w:rPr>
          <w:rFonts w:ascii="Cambria" w:hAnsi="Cambria"/>
          <w:i/>
          <w:sz w:val="18"/>
          <w:szCs w:val="18"/>
        </w:rPr>
        <w:t>’, i.e. increasing the resources, including time, that your group can deploy to work on mission”.</w:t>
      </w:r>
    </w:p>
  </w:footnote>
  <w:footnote w:id="44">
    <w:p w14:paraId="279C9802" w14:textId="739D53C3" w:rsidR="004B03F8" w:rsidRPr="002A2396" w:rsidRDefault="004B03F8" w:rsidP="00C3276D">
      <w:pPr>
        <w:spacing w:after="0"/>
        <w:jc w:val="both"/>
        <w:rPr>
          <w:rFonts w:ascii="Cambria" w:hAnsi="Cambria"/>
          <w:i/>
          <w:sz w:val="18"/>
          <w:szCs w:val="18"/>
        </w:rPr>
      </w:pPr>
      <w:r w:rsidRPr="002A2396">
        <w:rPr>
          <w:rStyle w:val="FootnoteReference"/>
          <w:rFonts w:ascii="Cambria" w:hAnsi="Cambria"/>
          <w:sz w:val="18"/>
          <w:szCs w:val="18"/>
        </w:rPr>
        <w:footnoteRef/>
      </w:r>
      <w:r w:rsidRPr="002A2396">
        <w:rPr>
          <w:rFonts w:ascii="Cambria" w:hAnsi="Cambria"/>
          <w:sz w:val="18"/>
          <w:szCs w:val="18"/>
        </w:rPr>
        <w:t xml:space="preserve"> Effectiveness was defined within the evaluation tools as “</w:t>
      </w:r>
      <w:r w:rsidRPr="002A2396">
        <w:rPr>
          <w:rFonts w:ascii="Cambria" w:hAnsi="Cambria"/>
          <w:i/>
          <w:sz w:val="18"/>
          <w:szCs w:val="18"/>
        </w:rPr>
        <w:t xml:space="preserve">Effectiveness defined here as the ability of your group to focus on ‘doing the </w:t>
      </w:r>
      <w:r w:rsidRPr="002A2396">
        <w:rPr>
          <w:rFonts w:ascii="Cambria" w:hAnsi="Cambria"/>
          <w:b/>
          <w:i/>
          <w:sz w:val="18"/>
          <w:szCs w:val="18"/>
        </w:rPr>
        <w:t>right</w:t>
      </w:r>
      <w:r w:rsidRPr="002A2396">
        <w:rPr>
          <w:rFonts w:ascii="Cambria" w:hAnsi="Cambria"/>
          <w:i/>
          <w:sz w:val="18"/>
          <w:szCs w:val="18"/>
        </w:rPr>
        <w:t xml:space="preserve"> things’ (e.g. Your group’s contribution to achieving/ progressing the LCA Strategic Directions and achieving more results in / progressing core missional work)”</w:t>
      </w:r>
    </w:p>
    <w:p w14:paraId="3D80574C" w14:textId="77777777" w:rsidR="004B03F8" w:rsidRPr="002964A9" w:rsidRDefault="004B03F8" w:rsidP="00C3276D">
      <w:pPr>
        <w:pStyle w:val="FootnoteText"/>
        <w:rPr>
          <w:sz w:val="18"/>
          <w:szCs w:val="18"/>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DB8498F"/>
    <w:multiLevelType w:val="hybridMultilevel"/>
    <w:tmpl w:val="EC68DDA0"/>
    <w:lvl w:ilvl="0" w:tplc="FFFFFFFF">
      <w:start w:val="1"/>
      <w:numFmt w:val="bullet"/>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FFFFFF89"/>
    <w:multiLevelType w:val="singleLevel"/>
    <w:tmpl w:val="6AA0F83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00000001"/>
    <w:lvl w:ilvl="0">
      <w:start w:val="6"/>
      <w:numFmt w:val="decimal"/>
      <w:lvlText w:val="%1"/>
      <w:lvlJc w:val="left"/>
      <w:pPr>
        <w:tabs>
          <w:tab w:val="num" w:pos="360"/>
        </w:tabs>
        <w:ind w:left="360" w:hanging="360"/>
      </w:pPr>
      <w:rPr>
        <w:rFonts w:cs="Times New Roman"/>
        <w:b/>
        <w:sz w:val="22"/>
        <w:szCs w:val="22"/>
      </w:rPr>
    </w:lvl>
    <w:lvl w:ilvl="1">
      <w:start w:val="1"/>
      <w:numFmt w:val="lowerLetter"/>
      <w:pStyle w:val="ACNCproformasublist"/>
      <w:lvlText w:val="%2)"/>
      <w:lvlJc w:val="left"/>
      <w:pPr>
        <w:tabs>
          <w:tab w:val="num" w:pos="360"/>
        </w:tabs>
        <w:ind w:left="360" w:hanging="360"/>
      </w:pPr>
      <w:rPr>
        <w:rFonts w:ascii="Calibri" w:eastAsia="Calibri" w:hAnsi="Calibri" w:cs="Calibri"/>
        <w:b w:val="0"/>
        <w:sz w:val="22"/>
        <w:szCs w:val="22"/>
      </w:rPr>
    </w:lvl>
    <w:lvl w:ilvl="2">
      <w:start w:val="1"/>
      <w:numFmt w:val="lowerLetter"/>
      <w:pStyle w:val="Style1"/>
      <w:lvlText w:val="%3)"/>
      <w:lvlJc w:val="left"/>
      <w:pPr>
        <w:tabs>
          <w:tab w:val="num" w:pos="720"/>
        </w:tabs>
        <w:ind w:left="720" w:hanging="720"/>
      </w:pPr>
      <w:rPr>
        <w:rFonts w:ascii="Times New Roman" w:eastAsia="Times New Roman" w:hAnsi="Times New Roman"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3" w15:restartNumberingAfterBreak="0">
    <w:nsid w:val="00000002"/>
    <w:multiLevelType w:val="multilevel"/>
    <w:tmpl w:val="8AF20FBC"/>
    <w:lvl w:ilvl="0">
      <w:start w:val="1"/>
      <w:numFmt w:val="decimal"/>
      <w:pStyle w:val="ACNCproformalist"/>
      <w:lvlText w:val="%1."/>
      <w:lvlJc w:val="left"/>
      <w:pPr>
        <w:tabs>
          <w:tab w:val="num" w:pos="1070"/>
        </w:tabs>
        <w:ind w:left="1070" w:hanging="360"/>
      </w:pPr>
      <w:rPr>
        <w:rFonts w:cs="Times New Roman"/>
        <w:b/>
        <w:sz w:val="22"/>
        <w:szCs w:val="22"/>
      </w:rPr>
    </w:lvl>
    <w:lvl w:ilvl="1">
      <w:start w:val="1"/>
      <w:numFmt w:val="decimal"/>
      <w:lvlText w:val="%1.%2"/>
      <w:lvlJc w:val="left"/>
      <w:pPr>
        <w:tabs>
          <w:tab w:val="num" w:pos="720"/>
        </w:tabs>
        <w:ind w:left="720" w:hanging="720"/>
      </w:pPr>
      <w:rPr>
        <w:rFonts w:ascii="Calibri" w:eastAsia="Calibri" w:hAnsi="Calibri" w:cs="Wingdings"/>
        <w:b w:val="0"/>
        <w:bCs w:val="0"/>
        <w:iCs w:val="0"/>
        <w:strike w:val="0"/>
        <w:dstrike w:val="0"/>
        <w:kern w:val="1"/>
        <w:position w:val="0"/>
        <w:sz w:val="22"/>
        <w:szCs w:val="22"/>
        <w:vertAlign w:val="baseline"/>
      </w:rPr>
    </w:lvl>
    <w:lvl w:ilvl="2">
      <w:start w:val="1"/>
      <w:numFmt w:val="lowerLetter"/>
      <w:lvlText w:val="(%3)"/>
      <w:lvlJc w:val="left"/>
      <w:pPr>
        <w:tabs>
          <w:tab w:val="num" w:pos="1224"/>
        </w:tabs>
        <w:ind w:left="1224" w:hanging="504"/>
      </w:pPr>
      <w:rPr>
        <w:rFonts w:hint="default"/>
        <w:b w:val="0"/>
        <w:i w:val="0"/>
        <w:sz w:val="22"/>
        <w:szCs w:val="22"/>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 w15:restartNumberingAfterBreak="0">
    <w:nsid w:val="00642B5C"/>
    <w:multiLevelType w:val="hybridMultilevel"/>
    <w:tmpl w:val="443294F6"/>
    <w:lvl w:ilvl="0" w:tplc="4E045790">
      <w:start w:val="1"/>
      <w:numFmt w:val="bullet"/>
      <w:lvlText w:val=""/>
      <w:lvlJc w:val="left"/>
      <w:pPr>
        <w:ind w:left="720" w:hanging="360"/>
      </w:pPr>
      <w:rPr>
        <w:rFonts w:ascii="Symbol" w:hAnsi="Symbol" w:hint="default"/>
        <w:sz w:val="22"/>
        <w:szCs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09A48BE"/>
    <w:multiLevelType w:val="hybridMultilevel"/>
    <w:tmpl w:val="D1DA1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10252E3"/>
    <w:multiLevelType w:val="hybridMultilevel"/>
    <w:tmpl w:val="275664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1107790"/>
    <w:multiLevelType w:val="hybridMultilevel"/>
    <w:tmpl w:val="BDD40146"/>
    <w:lvl w:ilvl="0" w:tplc="4F0620E6">
      <w:start w:val="1"/>
      <w:numFmt w:val="bullet"/>
      <w:lvlText w:val=""/>
      <w:lvlJc w:val="left"/>
      <w:pPr>
        <w:ind w:left="720" w:hanging="360"/>
      </w:pPr>
      <w:rPr>
        <w:rFonts w:ascii="Symbol" w:hAnsi="Symbol" w:hint="default"/>
        <w:color w:val="auto"/>
        <w:sz w:val="22"/>
        <w:szCs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01387BAA"/>
    <w:multiLevelType w:val="hybridMultilevel"/>
    <w:tmpl w:val="E0ACA20C"/>
    <w:lvl w:ilvl="0" w:tplc="04090001">
      <w:start w:val="1"/>
      <w:numFmt w:val="bullet"/>
      <w:lvlText w:val=""/>
      <w:lvlJc w:val="left"/>
      <w:pPr>
        <w:ind w:left="1497" w:hanging="360"/>
      </w:pPr>
      <w:rPr>
        <w:rFonts w:ascii="Symbol" w:hAnsi="Symbol" w:hint="default"/>
      </w:rPr>
    </w:lvl>
    <w:lvl w:ilvl="1" w:tplc="04090003" w:tentative="1">
      <w:start w:val="1"/>
      <w:numFmt w:val="bullet"/>
      <w:lvlText w:val="o"/>
      <w:lvlJc w:val="left"/>
      <w:pPr>
        <w:ind w:left="2217" w:hanging="360"/>
      </w:pPr>
      <w:rPr>
        <w:rFonts w:ascii="Courier New" w:hAnsi="Courier New" w:cs="Courier New" w:hint="default"/>
      </w:rPr>
    </w:lvl>
    <w:lvl w:ilvl="2" w:tplc="04090005" w:tentative="1">
      <w:start w:val="1"/>
      <w:numFmt w:val="bullet"/>
      <w:lvlText w:val=""/>
      <w:lvlJc w:val="left"/>
      <w:pPr>
        <w:ind w:left="2937" w:hanging="360"/>
      </w:pPr>
      <w:rPr>
        <w:rFonts w:ascii="Wingdings" w:hAnsi="Wingdings" w:hint="default"/>
      </w:rPr>
    </w:lvl>
    <w:lvl w:ilvl="3" w:tplc="04090001" w:tentative="1">
      <w:start w:val="1"/>
      <w:numFmt w:val="bullet"/>
      <w:lvlText w:val=""/>
      <w:lvlJc w:val="left"/>
      <w:pPr>
        <w:ind w:left="3657" w:hanging="360"/>
      </w:pPr>
      <w:rPr>
        <w:rFonts w:ascii="Symbol" w:hAnsi="Symbol" w:hint="default"/>
      </w:rPr>
    </w:lvl>
    <w:lvl w:ilvl="4" w:tplc="04090003" w:tentative="1">
      <w:start w:val="1"/>
      <w:numFmt w:val="bullet"/>
      <w:lvlText w:val="o"/>
      <w:lvlJc w:val="left"/>
      <w:pPr>
        <w:ind w:left="4377" w:hanging="360"/>
      </w:pPr>
      <w:rPr>
        <w:rFonts w:ascii="Courier New" w:hAnsi="Courier New" w:cs="Courier New" w:hint="default"/>
      </w:rPr>
    </w:lvl>
    <w:lvl w:ilvl="5" w:tplc="04090005" w:tentative="1">
      <w:start w:val="1"/>
      <w:numFmt w:val="bullet"/>
      <w:lvlText w:val=""/>
      <w:lvlJc w:val="left"/>
      <w:pPr>
        <w:ind w:left="5097" w:hanging="360"/>
      </w:pPr>
      <w:rPr>
        <w:rFonts w:ascii="Wingdings" w:hAnsi="Wingdings" w:hint="default"/>
      </w:rPr>
    </w:lvl>
    <w:lvl w:ilvl="6" w:tplc="04090001" w:tentative="1">
      <w:start w:val="1"/>
      <w:numFmt w:val="bullet"/>
      <w:lvlText w:val=""/>
      <w:lvlJc w:val="left"/>
      <w:pPr>
        <w:ind w:left="5817" w:hanging="360"/>
      </w:pPr>
      <w:rPr>
        <w:rFonts w:ascii="Symbol" w:hAnsi="Symbol" w:hint="default"/>
      </w:rPr>
    </w:lvl>
    <w:lvl w:ilvl="7" w:tplc="04090003" w:tentative="1">
      <w:start w:val="1"/>
      <w:numFmt w:val="bullet"/>
      <w:lvlText w:val="o"/>
      <w:lvlJc w:val="left"/>
      <w:pPr>
        <w:ind w:left="6537" w:hanging="360"/>
      </w:pPr>
      <w:rPr>
        <w:rFonts w:ascii="Courier New" w:hAnsi="Courier New" w:cs="Courier New" w:hint="default"/>
      </w:rPr>
    </w:lvl>
    <w:lvl w:ilvl="8" w:tplc="04090005" w:tentative="1">
      <w:start w:val="1"/>
      <w:numFmt w:val="bullet"/>
      <w:lvlText w:val=""/>
      <w:lvlJc w:val="left"/>
      <w:pPr>
        <w:ind w:left="7257" w:hanging="360"/>
      </w:pPr>
      <w:rPr>
        <w:rFonts w:ascii="Wingdings" w:hAnsi="Wingdings" w:hint="default"/>
      </w:rPr>
    </w:lvl>
  </w:abstractNum>
  <w:abstractNum w:abstractNumId="9" w15:restartNumberingAfterBreak="0">
    <w:nsid w:val="02120F19"/>
    <w:multiLevelType w:val="hybridMultilevel"/>
    <w:tmpl w:val="C9FEC2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03C53ED3"/>
    <w:multiLevelType w:val="multilevel"/>
    <w:tmpl w:val="A600E68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435209B"/>
    <w:multiLevelType w:val="hybridMultilevel"/>
    <w:tmpl w:val="0B2C06D0"/>
    <w:lvl w:ilvl="0" w:tplc="0C090001">
      <w:start w:val="1"/>
      <w:numFmt w:val="bullet"/>
      <w:lvlText w:val=""/>
      <w:lvlJc w:val="left"/>
      <w:pPr>
        <w:ind w:left="2880" w:hanging="360"/>
      </w:pPr>
      <w:rPr>
        <w:rFonts w:ascii="Symbol" w:hAnsi="Symbol"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2" w15:restartNumberingAfterBreak="0">
    <w:nsid w:val="045D23E5"/>
    <w:multiLevelType w:val="hybridMultilevel"/>
    <w:tmpl w:val="A7CE356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3" w15:restartNumberingAfterBreak="0">
    <w:nsid w:val="04642769"/>
    <w:multiLevelType w:val="hybridMultilevel"/>
    <w:tmpl w:val="4E0812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049877F8"/>
    <w:multiLevelType w:val="hybridMultilevel"/>
    <w:tmpl w:val="726AD7D8"/>
    <w:lvl w:ilvl="0" w:tplc="C58285C0">
      <w:start w:val="1"/>
      <w:numFmt w:val="decimal"/>
      <w:lvlText w:val="%1."/>
      <w:lvlJc w:val="left"/>
      <w:pPr>
        <w:ind w:left="1146" w:hanging="360"/>
      </w:pPr>
    </w:lvl>
    <w:lvl w:ilvl="1" w:tplc="04090019">
      <w:start w:val="1"/>
      <w:numFmt w:val="lowerLetter"/>
      <w:lvlText w:val="%2."/>
      <w:lvlJc w:val="left"/>
      <w:pPr>
        <w:ind w:left="1866" w:hanging="360"/>
      </w:pPr>
    </w:lvl>
    <w:lvl w:ilvl="2" w:tplc="0409001B">
      <w:start w:val="1"/>
      <w:numFmt w:val="lowerRoman"/>
      <w:lvlText w:val="%3."/>
      <w:lvlJc w:val="right"/>
      <w:pPr>
        <w:ind w:left="2586" w:hanging="180"/>
      </w:pPr>
    </w:lvl>
    <w:lvl w:ilvl="3" w:tplc="0409000F">
      <w:start w:val="1"/>
      <w:numFmt w:val="decimal"/>
      <w:lvlText w:val="%4."/>
      <w:lvlJc w:val="left"/>
      <w:pPr>
        <w:ind w:left="3306" w:hanging="360"/>
      </w:pPr>
    </w:lvl>
    <w:lvl w:ilvl="4" w:tplc="04090019">
      <w:start w:val="1"/>
      <w:numFmt w:val="lowerLetter"/>
      <w:lvlText w:val="%5."/>
      <w:lvlJc w:val="left"/>
      <w:pPr>
        <w:ind w:left="4026" w:hanging="360"/>
      </w:pPr>
    </w:lvl>
    <w:lvl w:ilvl="5" w:tplc="0409001B">
      <w:start w:val="1"/>
      <w:numFmt w:val="lowerRoman"/>
      <w:lvlText w:val="%6."/>
      <w:lvlJc w:val="right"/>
      <w:pPr>
        <w:ind w:left="4746" w:hanging="180"/>
      </w:pPr>
    </w:lvl>
    <w:lvl w:ilvl="6" w:tplc="0409000F">
      <w:start w:val="1"/>
      <w:numFmt w:val="decimal"/>
      <w:lvlText w:val="%7."/>
      <w:lvlJc w:val="left"/>
      <w:pPr>
        <w:ind w:left="5466" w:hanging="360"/>
      </w:pPr>
    </w:lvl>
    <w:lvl w:ilvl="7" w:tplc="04090019">
      <w:start w:val="1"/>
      <w:numFmt w:val="lowerLetter"/>
      <w:lvlText w:val="%8."/>
      <w:lvlJc w:val="left"/>
      <w:pPr>
        <w:ind w:left="6186" w:hanging="360"/>
      </w:pPr>
    </w:lvl>
    <w:lvl w:ilvl="8" w:tplc="0409001B">
      <w:start w:val="1"/>
      <w:numFmt w:val="lowerRoman"/>
      <w:lvlText w:val="%9."/>
      <w:lvlJc w:val="right"/>
      <w:pPr>
        <w:ind w:left="6906" w:hanging="180"/>
      </w:pPr>
    </w:lvl>
  </w:abstractNum>
  <w:abstractNum w:abstractNumId="15" w15:restartNumberingAfterBreak="0">
    <w:nsid w:val="051E7B3F"/>
    <w:multiLevelType w:val="hybridMultilevel"/>
    <w:tmpl w:val="D1AC32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059C5B04"/>
    <w:multiLevelType w:val="hybridMultilevel"/>
    <w:tmpl w:val="DD42A6A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05A255D4"/>
    <w:multiLevelType w:val="hybridMultilevel"/>
    <w:tmpl w:val="D2ACC73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05AB2BE3"/>
    <w:multiLevelType w:val="hybridMultilevel"/>
    <w:tmpl w:val="AB461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05E3094B"/>
    <w:multiLevelType w:val="hybridMultilevel"/>
    <w:tmpl w:val="BECAFDC0"/>
    <w:lvl w:ilvl="0" w:tplc="40C087B8">
      <w:start w:val="1"/>
      <w:numFmt w:val="decimal"/>
      <w:lvlText w:val="%1."/>
      <w:lvlJc w:val="left"/>
      <w:pPr>
        <w:ind w:left="720" w:hanging="360"/>
      </w:pPr>
      <w:rPr>
        <w:sz w:val="22"/>
        <w:szCs w:val="22"/>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0" w15:restartNumberingAfterBreak="0">
    <w:nsid w:val="06127FBF"/>
    <w:multiLevelType w:val="hybridMultilevel"/>
    <w:tmpl w:val="0BDC3A08"/>
    <w:lvl w:ilvl="0" w:tplc="0C09000F">
      <w:start w:val="1"/>
      <w:numFmt w:val="decimal"/>
      <w:lvlText w:val="%1."/>
      <w:lvlJc w:val="left"/>
      <w:pPr>
        <w:ind w:left="360" w:hanging="360"/>
      </w:pPr>
      <w:rPr>
        <w:rFonts w:hint="default"/>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06307C65"/>
    <w:multiLevelType w:val="hybridMultilevel"/>
    <w:tmpl w:val="F300D780"/>
    <w:lvl w:ilvl="0" w:tplc="234C6CEA">
      <w:start w:val="1"/>
      <w:numFmt w:val="bullet"/>
      <w:lvlText w:val=""/>
      <w:lvlJc w:val="left"/>
      <w:pPr>
        <w:ind w:left="2700" w:hanging="360"/>
      </w:pPr>
      <w:rPr>
        <w:rFonts w:ascii="Symbol" w:hAnsi="Symbol"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06CE3C29"/>
    <w:multiLevelType w:val="hybridMultilevel"/>
    <w:tmpl w:val="6844856C"/>
    <w:lvl w:ilvl="0" w:tplc="4A923966">
      <w:start w:val="1"/>
      <w:numFmt w:val="decimal"/>
      <w:lvlText w:val="%1."/>
      <w:lvlJc w:val="left"/>
      <w:pPr>
        <w:ind w:left="720" w:hanging="360"/>
      </w:pPr>
      <w:rPr>
        <w:rFonts w:asciiTheme="minorHAnsi" w:hAnsiTheme="minorHAnsi" w:cstheme="minorBidi"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3" w15:restartNumberingAfterBreak="0">
    <w:nsid w:val="073067B4"/>
    <w:multiLevelType w:val="hybridMultilevel"/>
    <w:tmpl w:val="CC1244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07422D93"/>
    <w:multiLevelType w:val="hybridMultilevel"/>
    <w:tmpl w:val="D4D0E134"/>
    <w:lvl w:ilvl="0" w:tplc="39665498">
      <w:start w:val="1"/>
      <w:numFmt w:val="lowerLetter"/>
      <w:lvlText w:val="%1)"/>
      <w:lvlJc w:val="left"/>
      <w:pPr>
        <w:ind w:left="-198" w:hanging="360"/>
      </w:pPr>
      <w:rPr>
        <w:b w:val="0"/>
      </w:rPr>
    </w:lvl>
    <w:lvl w:ilvl="1" w:tplc="0C090019">
      <w:start w:val="1"/>
      <w:numFmt w:val="lowerLetter"/>
      <w:lvlText w:val="%2."/>
      <w:lvlJc w:val="left"/>
      <w:pPr>
        <w:ind w:left="522" w:hanging="360"/>
      </w:pPr>
    </w:lvl>
    <w:lvl w:ilvl="2" w:tplc="0C09001B">
      <w:start w:val="1"/>
      <w:numFmt w:val="lowerRoman"/>
      <w:lvlText w:val="%3."/>
      <w:lvlJc w:val="right"/>
      <w:pPr>
        <w:ind w:left="1242" w:hanging="180"/>
      </w:pPr>
    </w:lvl>
    <w:lvl w:ilvl="3" w:tplc="0C09000F">
      <w:start w:val="1"/>
      <w:numFmt w:val="decimal"/>
      <w:lvlText w:val="%4."/>
      <w:lvlJc w:val="left"/>
      <w:pPr>
        <w:ind w:left="1962" w:hanging="360"/>
      </w:pPr>
    </w:lvl>
    <w:lvl w:ilvl="4" w:tplc="0C090019">
      <w:start w:val="1"/>
      <w:numFmt w:val="lowerLetter"/>
      <w:lvlText w:val="%5."/>
      <w:lvlJc w:val="left"/>
      <w:pPr>
        <w:ind w:left="2682" w:hanging="360"/>
      </w:pPr>
    </w:lvl>
    <w:lvl w:ilvl="5" w:tplc="0C09001B">
      <w:start w:val="1"/>
      <w:numFmt w:val="lowerRoman"/>
      <w:lvlText w:val="%6."/>
      <w:lvlJc w:val="right"/>
      <w:pPr>
        <w:ind w:left="3402" w:hanging="180"/>
      </w:pPr>
    </w:lvl>
    <w:lvl w:ilvl="6" w:tplc="0C09000F">
      <w:start w:val="1"/>
      <w:numFmt w:val="decimal"/>
      <w:lvlText w:val="%7."/>
      <w:lvlJc w:val="left"/>
      <w:pPr>
        <w:ind w:left="4122" w:hanging="360"/>
      </w:pPr>
    </w:lvl>
    <w:lvl w:ilvl="7" w:tplc="0C090019">
      <w:start w:val="1"/>
      <w:numFmt w:val="lowerLetter"/>
      <w:lvlText w:val="%8."/>
      <w:lvlJc w:val="left"/>
      <w:pPr>
        <w:ind w:left="4842" w:hanging="360"/>
      </w:pPr>
    </w:lvl>
    <w:lvl w:ilvl="8" w:tplc="0C09001B">
      <w:start w:val="1"/>
      <w:numFmt w:val="lowerRoman"/>
      <w:lvlText w:val="%9."/>
      <w:lvlJc w:val="right"/>
      <w:pPr>
        <w:ind w:left="5562" w:hanging="180"/>
      </w:pPr>
    </w:lvl>
  </w:abstractNum>
  <w:abstractNum w:abstractNumId="25" w15:restartNumberingAfterBreak="0">
    <w:nsid w:val="07840151"/>
    <w:multiLevelType w:val="hybridMultilevel"/>
    <w:tmpl w:val="892E16A8"/>
    <w:lvl w:ilvl="0" w:tplc="7038AD1E">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9633AE7"/>
    <w:multiLevelType w:val="hybridMultilevel"/>
    <w:tmpl w:val="BDA602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09831B2D"/>
    <w:multiLevelType w:val="hybridMultilevel"/>
    <w:tmpl w:val="A8205BB2"/>
    <w:lvl w:ilvl="0" w:tplc="379E2D06">
      <w:start w:val="1"/>
      <w:numFmt w:val="bullet"/>
      <w:lvlText w:val=""/>
      <w:lvlJc w:val="left"/>
      <w:pPr>
        <w:ind w:left="1440" w:hanging="360"/>
      </w:pPr>
      <w:rPr>
        <w:rFonts w:ascii="Symbol" w:hAnsi="Symbol" w:hint="default"/>
        <w:sz w:val="22"/>
        <w:szCs w:val="22"/>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09E96B84"/>
    <w:multiLevelType w:val="hybridMultilevel"/>
    <w:tmpl w:val="445849FE"/>
    <w:lvl w:ilvl="0" w:tplc="15C0D15A">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0A1A36F7"/>
    <w:multiLevelType w:val="hybridMultilevel"/>
    <w:tmpl w:val="2390C114"/>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0" w15:restartNumberingAfterBreak="0">
    <w:nsid w:val="0A8827E2"/>
    <w:multiLevelType w:val="hybridMultilevel"/>
    <w:tmpl w:val="70EC905A"/>
    <w:lvl w:ilvl="0" w:tplc="0C090005">
      <w:start w:val="1"/>
      <w:numFmt w:val="bullet"/>
      <w:lvlText w:val=""/>
      <w:lvlJc w:val="left"/>
      <w:pPr>
        <w:ind w:left="360" w:hanging="360"/>
      </w:pPr>
      <w:rPr>
        <w:rFonts w:ascii="Wingdings" w:hAnsi="Wingdings" w:hint="default"/>
      </w:rPr>
    </w:lvl>
    <w:lvl w:ilvl="1" w:tplc="A05EB666">
      <w:start w:val="1"/>
      <w:numFmt w:val="bullet"/>
      <w:lvlText w:val="•"/>
      <w:lvlJc w:val="left"/>
      <w:pPr>
        <w:ind w:left="1080" w:hanging="360"/>
      </w:pPr>
      <w:rPr>
        <w:rFonts w:ascii="Times New Roman" w:hAnsi="Times New Roman" w:cs="Times New Roman" w:hint="default"/>
        <w:sz w:val="22"/>
        <w:szCs w:val="22"/>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1" w15:restartNumberingAfterBreak="0">
    <w:nsid w:val="0ACA1BCF"/>
    <w:multiLevelType w:val="hybridMultilevel"/>
    <w:tmpl w:val="DC7C337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2" w15:restartNumberingAfterBreak="0">
    <w:nsid w:val="0AE812CC"/>
    <w:multiLevelType w:val="hybridMultilevel"/>
    <w:tmpl w:val="B630C4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0BF0307E"/>
    <w:multiLevelType w:val="hybridMultilevel"/>
    <w:tmpl w:val="00EEF6D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4" w15:restartNumberingAfterBreak="0">
    <w:nsid w:val="0C8201BE"/>
    <w:multiLevelType w:val="multilevel"/>
    <w:tmpl w:val="3CDE7B2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15:restartNumberingAfterBreak="0">
    <w:nsid w:val="0CD0458D"/>
    <w:multiLevelType w:val="hybridMultilevel"/>
    <w:tmpl w:val="0B54D4A8"/>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36" w15:restartNumberingAfterBreak="0">
    <w:nsid w:val="0D6D3A8C"/>
    <w:multiLevelType w:val="hybridMultilevel"/>
    <w:tmpl w:val="1D7439D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0D8A125D"/>
    <w:multiLevelType w:val="hybridMultilevel"/>
    <w:tmpl w:val="88104F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0DCE5B53"/>
    <w:multiLevelType w:val="hybridMultilevel"/>
    <w:tmpl w:val="E962FCA0"/>
    <w:lvl w:ilvl="0" w:tplc="2C4CA756">
      <w:start w:val="8"/>
      <w:numFmt w:val="upperLetter"/>
      <w:lvlText w:val="%1."/>
      <w:lvlJc w:val="left"/>
      <w:pPr>
        <w:ind w:left="2880" w:hanging="360"/>
      </w:pPr>
      <w:rPr>
        <w:rFonts w:hint="default"/>
      </w:rPr>
    </w:lvl>
    <w:lvl w:ilvl="1" w:tplc="3A82E49C">
      <w:start w:val="1"/>
      <w:numFmt w:val="decimal"/>
      <w:lvlText w:val="%2)"/>
      <w:lvlJc w:val="left"/>
      <w:pPr>
        <w:ind w:left="1440" w:hanging="360"/>
      </w:pPr>
      <w:rPr>
        <w:rFonts w:hint="default"/>
        <w: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DF65A79"/>
    <w:multiLevelType w:val="hybridMultilevel"/>
    <w:tmpl w:val="7BE0A1F2"/>
    <w:lvl w:ilvl="0" w:tplc="612084C2">
      <w:start w:val="1"/>
      <w:numFmt w:val="decimal"/>
      <w:lvlText w:val="%1."/>
      <w:lvlJc w:val="left"/>
      <w:pPr>
        <w:ind w:left="720" w:hanging="360"/>
      </w:pPr>
      <w:rPr>
        <w:i w:val="0"/>
        <w:sz w:val="22"/>
        <w:szCs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0" w15:restartNumberingAfterBreak="0">
    <w:nsid w:val="0E297158"/>
    <w:multiLevelType w:val="hybridMultilevel"/>
    <w:tmpl w:val="1A9C48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0E3F3EEB"/>
    <w:multiLevelType w:val="hybridMultilevel"/>
    <w:tmpl w:val="3C1A263A"/>
    <w:lvl w:ilvl="0" w:tplc="0C09000F">
      <w:start w:val="1"/>
      <w:numFmt w:val="decimal"/>
      <w:lvlText w:val="%1."/>
      <w:lvlJc w:val="left"/>
      <w:pPr>
        <w:ind w:left="720" w:hanging="360"/>
      </w:pPr>
      <w:rPr>
        <w:rFonts w:cs="Times New Roman"/>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42" w15:restartNumberingAfterBreak="0">
    <w:nsid w:val="0E7021C1"/>
    <w:multiLevelType w:val="hybridMultilevel"/>
    <w:tmpl w:val="2BCA6ED0"/>
    <w:lvl w:ilvl="0" w:tplc="48CA0474">
      <w:start w:val="1"/>
      <w:numFmt w:val="decimal"/>
      <w:lvlText w:val="%1."/>
      <w:lvlJc w:val="left"/>
      <w:pPr>
        <w:ind w:left="720" w:hanging="360"/>
      </w:pPr>
      <w:rPr>
        <w:rFonts w:asciiTheme="minorHAnsi" w:hAnsiTheme="minorHAnsi" w:cstheme="minorBidi"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3" w15:restartNumberingAfterBreak="0">
    <w:nsid w:val="0E882A1A"/>
    <w:multiLevelType w:val="hybridMultilevel"/>
    <w:tmpl w:val="AD727B0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 w15:restartNumberingAfterBreak="0">
    <w:nsid w:val="0EFF6E51"/>
    <w:multiLevelType w:val="hybridMultilevel"/>
    <w:tmpl w:val="DE58787C"/>
    <w:lvl w:ilvl="0" w:tplc="AF980D74">
      <w:start w:val="1"/>
      <w:numFmt w:val="decimal"/>
      <w:lvlText w:val="%1."/>
      <w:lvlJc w:val="left"/>
      <w:pPr>
        <w:ind w:left="360" w:hanging="360"/>
      </w:pPr>
      <w:rPr>
        <w:rFonts w:asciiTheme="minorHAnsi" w:eastAsiaTheme="minorHAnsi" w:hAnsiTheme="minorHAnsi" w:cstheme="minorHAnsi"/>
      </w:rPr>
    </w:lvl>
    <w:lvl w:ilvl="1" w:tplc="0C090001">
      <w:start w:val="1"/>
      <w:numFmt w:val="bullet"/>
      <w:lvlText w:val=""/>
      <w:lvlJc w:val="left"/>
      <w:pPr>
        <w:ind w:left="1080" w:hanging="360"/>
      </w:pPr>
      <w:rPr>
        <w:rFonts w:ascii="Symbol" w:hAnsi="Symbol" w:hint="default"/>
      </w:r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45" w15:restartNumberingAfterBreak="0">
    <w:nsid w:val="0F014DD4"/>
    <w:multiLevelType w:val="hybridMultilevel"/>
    <w:tmpl w:val="E80A502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6" w15:restartNumberingAfterBreak="0">
    <w:nsid w:val="0F2E0256"/>
    <w:multiLevelType w:val="hybridMultilevel"/>
    <w:tmpl w:val="7CD2F7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0F351119"/>
    <w:multiLevelType w:val="hybridMultilevel"/>
    <w:tmpl w:val="391679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0F80478D"/>
    <w:multiLevelType w:val="hybridMultilevel"/>
    <w:tmpl w:val="75EC7ED2"/>
    <w:lvl w:ilvl="0" w:tplc="A4689410">
      <w:start w:val="1"/>
      <w:numFmt w:val="bullet"/>
      <w:lvlText w:val=""/>
      <w:lvlJc w:val="left"/>
      <w:pPr>
        <w:ind w:left="360" w:hanging="360"/>
      </w:pPr>
      <w:rPr>
        <w:rFonts w:ascii="Symbol" w:hAnsi="Symbol" w:hint="default"/>
        <w:sz w:val="22"/>
        <w:szCs w:val="22"/>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9" w15:restartNumberingAfterBreak="0">
    <w:nsid w:val="100F52DC"/>
    <w:multiLevelType w:val="hybridMultilevel"/>
    <w:tmpl w:val="5106CC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0" w15:restartNumberingAfterBreak="0">
    <w:nsid w:val="111D27AD"/>
    <w:multiLevelType w:val="hybridMultilevel"/>
    <w:tmpl w:val="9B545CFC"/>
    <w:lvl w:ilvl="0" w:tplc="45EE40B2">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1" w15:restartNumberingAfterBreak="0">
    <w:nsid w:val="11E774EE"/>
    <w:multiLevelType w:val="hybridMultilevel"/>
    <w:tmpl w:val="2B8271B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2" w15:restartNumberingAfterBreak="0">
    <w:nsid w:val="126721B7"/>
    <w:multiLevelType w:val="hybridMultilevel"/>
    <w:tmpl w:val="B7E8E38A"/>
    <w:lvl w:ilvl="0" w:tplc="0C090001">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12AE5E3B"/>
    <w:multiLevelType w:val="hybridMultilevel"/>
    <w:tmpl w:val="70B40F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12B61377"/>
    <w:multiLevelType w:val="hybridMultilevel"/>
    <w:tmpl w:val="C1EC0BB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5" w15:restartNumberingAfterBreak="0">
    <w:nsid w:val="13107E46"/>
    <w:multiLevelType w:val="hybridMultilevel"/>
    <w:tmpl w:val="119021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13457032"/>
    <w:multiLevelType w:val="hybridMultilevel"/>
    <w:tmpl w:val="1FAC8CB2"/>
    <w:lvl w:ilvl="0" w:tplc="8794ADB2">
      <w:start w:val="1"/>
      <w:numFmt w:val="bullet"/>
      <w:lvlText w:val="•"/>
      <w:lvlJc w:val="left"/>
      <w:pPr>
        <w:ind w:left="1497" w:hanging="360"/>
      </w:pPr>
      <w:rPr>
        <w:rFonts w:ascii="Arial" w:hAnsi="Arial" w:hint="default"/>
      </w:rPr>
    </w:lvl>
    <w:lvl w:ilvl="1" w:tplc="04090003" w:tentative="1">
      <w:start w:val="1"/>
      <w:numFmt w:val="bullet"/>
      <w:lvlText w:val="o"/>
      <w:lvlJc w:val="left"/>
      <w:pPr>
        <w:ind w:left="2217" w:hanging="360"/>
      </w:pPr>
      <w:rPr>
        <w:rFonts w:ascii="Courier New" w:hAnsi="Courier New" w:cs="Courier New" w:hint="default"/>
      </w:rPr>
    </w:lvl>
    <w:lvl w:ilvl="2" w:tplc="04090005" w:tentative="1">
      <w:start w:val="1"/>
      <w:numFmt w:val="bullet"/>
      <w:lvlText w:val=""/>
      <w:lvlJc w:val="left"/>
      <w:pPr>
        <w:ind w:left="2937" w:hanging="360"/>
      </w:pPr>
      <w:rPr>
        <w:rFonts w:ascii="Wingdings" w:hAnsi="Wingdings" w:hint="default"/>
      </w:rPr>
    </w:lvl>
    <w:lvl w:ilvl="3" w:tplc="04090001" w:tentative="1">
      <w:start w:val="1"/>
      <w:numFmt w:val="bullet"/>
      <w:lvlText w:val=""/>
      <w:lvlJc w:val="left"/>
      <w:pPr>
        <w:ind w:left="3657" w:hanging="360"/>
      </w:pPr>
      <w:rPr>
        <w:rFonts w:ascii="Symbol" w:hAnsi="Symbol" w:hint="default"/>
      </w:rPr>
    </w:lvl>
    <w:lvl w:ilvl="4" w:tplc="04090003" w:tentative="1">
      <w:start w:val="1"/>
      <w:numFmt w:val="bullet"/>
      <w:lvlText w:val="o"/>
      <w:lvlJc w:val="left"/>
      <w:pPr>
        <w:ind w:left="4377" w:hanging="360"/>
      </w:pPr>
      <w:rPr>
        <w:rFonts w:ascii="Courier New" w:hAnsi="Courier New" w:cs="Courier New" w:hint="default"/>
      </w:rPr>
    </w:lvl>
    <w:lvl w:ilvl="5" w:tplc="04090005" w:tentative="1">
      <w:start w:val="1"/>
      <w:numFmt w:val="bullet"/>
      <w:lvlText w:val=""/>
      <w:lvlJc w:val="left"/>
      <w:pPr>
        <w:ind w:left="5097" w:hanging="360"/>
      </w:pPr>
      <w:rPr>
        <w:rFonts w:ascii="Wingdings" w:hAnsi="Wingdings" w:hint="default"/>
      </w:rPr>
    </w:lvl>
    <w:lvl w:ilvl="6" w:tplc="04090001" w:tentative="1">
      <w:start w:val="1"/>
      <w:numFmt w:val="bullet"/>
      <w:lvlText w:val=""/>
      <w:lvlJc w:val="left"/>
      <w:pPr>
        <w:ind w:left="5817" w:hanging="360"/>
      </w:pPr>
      <w:rPr>
        <w:rFonts w:ascii="Symbol" w:hAnsi="Symbol" w:hint="default"/>
      </w:rPr>
    </w:lvl>
    <w:lvl w:ilvl="7" w:tplc="04090003" w:tentative="1">
      <w:start w:val="1"/>
      <w:numFmt w:val="bullet"/>
      <w:lvlText w:val="o"/>
      <w:lvlJc w:val="left"/>
      <w:pPr>
        <w:ind w:left="6537" w:hanging="360"/>
      </w:pPr>
      <w:rPr>
        <w:rFonts w:ascii="Courier New" w:hAnsi="Courier New" w:cs="Courier New" w:hint="default"/>
      </w:rPr>
    </w:lvl>
    <w:lvl w:ilvl="8" w:tplc="04090005" w:tentative="1">
      <w:start w:val="1"/>
      <w:numFmt w:val="bullet"/>
      <w:lvlText w:val=""/>
      <w:lvlJc w:val="left"/>
      <w:pPr>
        <w:ind w:left="7257" w:hanging="360"/>
      </w:pPr>
      <w:rPr>
        <w:rFonts w:ascii="Wingdings" w:hAnsi="Wingdings" w:hint="default"/>
      </w:rPr>
    </w:lvl>
  </w:abstractNum>
  <w:abstractNum w:abstractNumId="57" w15:restartNumberingAfterBreak="0">
    <w:nsid w:val="13764102"/>
    <w:multiLevelType w:val="hybridMultilevel"/>
    <w:tmpl w:val="472AAA9C"/>
    <w:lvl w:ilvl="0" w:tplc="C8501A2A">
      <w:start w:val="1"/>
      <w:numFmt w:val="decimal"/>
      <w:lvlText w:val="%1."/>
      <w:lvlJc w:val="left"/>
      <w:pPr>
        <w:ind w:left="720" w:hanging="360"/>
      </w:pPr>
      <w:rPr>
        <w:sz w:val="22"/>
        <w:szCs w:val="22"/>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8" w15:restartNumberingAfterBreak="0">
    <w:nsid w:val="137C3666"/>
    <w:multiLevelType w:val="hybridMultilevel"/>
    <w:tmpl w:val="36B421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13960ADB"/>
    <w:multiLevelType w:val="hybridMultilevel"/>
    <w:tmpl w:val="2C703BE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60" w15:restartNumberingAfterBreak="0">
    <w:nsid w:val="139A407F"/>
    <w:multiLevelType w:val="hybridMultilevel"/>
    <w:tmpl w:val="01A8D914"/>
    <w:lvl w:ilvl="0" w:tplc="0409000F">
      <w:start w:val="1"/>
      <w:numFmt w:val="decimal"/>
      <w:lvlText w:val="%1."/>
      <w:lvlJc w:val="left"/>
      <w:pPr>
        <w:ind w:left="2831" w:hanging="360"/>
      </w:pPr>
    </w:lvl>
    <w:lvl w:ilvl="1" w:tplc="04090019" w:tentative="1">
      <w:start w:val="1"/>
      <w:numFmt w:val="lowerLetter"/>
      <w:lvlText w:val="%2."/>
      <w:lvlJc w:val="left"/>
      <w:pPr>
        <w:ind w:left="3551" w:hanging="360"/>
      </w:pPr>
    </w:lvl>
    <w:lvl w:ilvl="2" w:tplc="0409001B" w:tentative="1">
      <w:start w:val="1"/>
      <w:numFmt w:val="lowerRoman"/>
      <w:lvlText w:val="%3."/>
      <w:lvlJc w:val="right"/>
      <w:pPr>
        <w:ind w:left="4271" w:hanging="180"/>
      </w:pPr>
    </w:lvl>
    <w:lvl w:ilvl="3" w:tplc="0409000F" w:tentative="1">
      <w:start w:val="1"/>
      <w:numFmt w:val="decimal"/>
      <w:lvlText w:val="%4."/>
      <w:lvlJc w:val="left"/>
      <w:pPr>
        <w:ind w:left="4991" w:hanging="360"/>
      </w:pPr>
    </w:lvl>
    <w:lvl w:ilvl="4" w:tplc="04090019" w:tentative="1">
      <w:start w:val="1"/>
      <w:numFmt w:val="lowerLetter"/>
      <w:lvlText w:val="%5."/>
      <w:lvlJc w:val="left"/>
      <w:pPr>
        <w:ind w:left="5711" w:hanging="360"/>
      </w:pPr>
    </w:lvl>
    <w:lvl w:ilvl="5" w:tplc="0409001B" w:tentative="1">
      <w:start w:val="1"/>
      <w:numFmt w:val="lowerRoman"/>
      <w:lvlText w:val="%6."/>
      <w:lvlJc w:val="right"/>
      <w:pPr>
        <w:ind w:left="6431" w:hanging="180"/>
      </w:pPr>
    </w:lvl>
    <w:lvl w:ilvl="6" w:tplc="0409000F" w:tentative="1">
      <w:start w:val="1"/>
      <w:numFmt w:val="decimal"/>
      <w:lvlText w:val="%7."/>
      <w:lvlJc w:val="left"/>
      <w:pPr>
        <w:ind w:left="7151" w:hanging="360"/>
      </w:pPr>
    </w:lvl>
    <w:lvl w:ilvl="7" w:tplc="04090019" w:tentative="1">
      <w:start w:val="1"/>
      <w:numFmt w:val="lowerLetter"/>
      <w:lvlText w:val="%8."/>
      <w:lvlJc w:val="left"/>
      <w:pPr>
        <w:ind w:left="7871" w:hanging="360"/>
      </w:pPr>
    </w:lvl>
    <w:lvl w:ilvl="8" w:tplc="0409001B" w:tentative="1">
      <w:start w:val="1"/>
      <w:numFmt w:val="lowerRoman"/>
      <w:lvlText w:val="%9."/>
      <w:lvlJc w:val="right"/>
      <w:pPr>
        <w:ind w:left="8591" w:hanging="180"/>
      </w:pPr>
    </w:lvl>
  </w:abstractNum>
  <w:abstractNum w:abstractNumId="61" w15:restartNumberingAfterBreak="0">
    <w:nsid w:val="13B53F24"/>
    <w:multiLevelType w:val="hybridMultilevel"/>
    <w:tmpl w:val="F9F253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14257277"/>
    <w:multiLevelType w:val="hybridMultilevel"/>
    <w:tmpl w:val="C5F005C6"/>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63" w15:restartNumberingAfterBreak="0">
    <w:nsid w:val="14BC1789"/>
    <w:multiLevelType w:val="hybridMultilevel"/>
    <w:tmpl w:val="2A7E99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15731B48"/>
    <w:multiLevelType w:val="hybridMultilevel"/>
    <w:tmpl w:val="0AA49E1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65" w15:restartNumberingAfterBreak="0">
    <w:nsid w:val="15A63E96"/>
    <w:multiLevelType w:val="hybridMultilevel"/>
    <w:tmpl w:val="83A2436E"/>
    <w:lvl w:ilvl="0" w:tplc="0C090001">
      <w:start w:val="1"/>
      <w:numFmt w:val="bullet"/>
      <w:lvlText w:val=""/>
      <w:lvlJc w:val="left"/>
      <w:pPr>
        <w:ind w:left="1633" w:hanging="360"/>
      </w:pPr>
      <w:rPr>
        <w:rFonts w:ascii="Symbol" w:hAnsi="Symbol" w:hint="default"/>
      </w:rPr>
    </w:lvl>
    <w:lvl w:ilvl="1" w:tplc="0C090003">
      <w:start w:val="1"/>
      <w:numFmt w:val="bullet"/>
      <w:lvlText w:val="o"/>
      <w:lvlJc w:val="left"/>
      <w:pPr>
        <w:ind w:left="2353" w:hanging="360"/>
      </w:pPr>
      <w:rPr>
        <w:rFonts w:ascii="Courier New" w:hAnsi="Courier New" w:cs="Courier New" w:hint="default"/>
      </w:rPr>
    </w:lvl>
    <w:lvl w:ilvl="2" w:tplc="0C090005">
      <w:start w:val="1"/>
      <w:numFmt w:val="bullet"/>
      <w:lvlText w:val=""/>
      <w:lvlJc w:val="left"/>
      <w:pPr>
        <w:ind w:left="3073" w:hanging="360"/>
      </w:pPr>
      <w:rPr>
        <w:rFonts w:ascii="Wingdings" w:hAnsi="Wingdings" w:hint="default"/>
      </w:rPr>
    </w:lvl>
    <w:lvl w:ilvl="3" w:tplc="0C090001">
      <w:start w:val="1"/>
      <w:numFmt w:val="bullet"/>
      <w:lvlText w:val=""/>
      <w:lvlJc w:val="left"/>
      <w:pPr>
        <w:ind w:left="3793" w:hanging="360"/>
      </w:pPr>
      <w:rPr>
        <w:rFonts w:ascii="Symbol" w:hAnsi="Symbol" w:hint="default"/>
      </w:rPr>
    </w:lvl>
    <w:lvl w:ilvl="4" w:tplc="0C090003">
      <w:start w:val="1"/>
      <w:numFmt w:val="bullet"/>
      <w:lvlText w:val="o"/>
      <w:lvlJc w:val="left"/>
      <w:pPr>
        <w:ind w:left="4513" w:hanging="360"/>
      </w:pPr>
      <w:rPr>
        <w:rFonts w:ascii="Courier New" w:hAnsi="Courier New" w:cs="Courier New" w:hint="default"/>
      </w:rPr>
    </w:lvl>
    <w:lvl w:ilvl="5" w:tplc="0C090005">
      <w:start w:val="1"/>
      <w:numFmt w:val="bullet"/>
      <w:lvlText w:val=""/>
      <w:lvlJc w:val="left"/>
      <w:pPr>
        <w:ind w:left="5233" w:hanging="360"/>
      </w:pPr>
      <w:rPr>
        <w:rFonts w:ascii="Wingdings" w:hAnsi="Wingdings" w:hint="default"/>
      </w:rPr>
    </w:lvl>
    <w:lvl w:ilvl="6" w:tplc="0C090001">
      <w:start w:val="1"/>
      <w:numFmt w:val="bullet"/>
      <w:lvlText w:val=""/>
      <w:lvlJc w:val="left"/>
      <w:pPr>
        <w:ind w:left="5953" w:hanging="360"/>
      </w:pPr>
      <w:rPr>
        <w:rFonts w:ascii="Symbol" w:hAnsi="Symbol" w:hint="default"/>
      </w:rPr>
    </w:lvl>
    <w:lvl w:ilvl="7" w:tplc="0C090003">
      <w:start w:val="1"/>
      <w:numFmt w:val="bullet"/>
      <w:lvlText w:val="o"/>
      <w:lvlJc w:val="left"/>
      <w:pPr>
        <w:ind w:left="6673" w:hanging="360"/>
      </w:pPr>
      <w:rPr>
        <w:rFonts w:ascii="Courier New" w:hAnsi="Courier New" w:cs="Courier New" w:hint="default"/>
      </w:rPr>
    </w:lvl>
    <w:lvl w:ilvl="8" w:tplc="0C090005">
      <w:start w:val="1"/>
      <w:numFmt w:val="bullet"/>
      <w:lvlText w:val=""/>
      <w:lvlJc w:val="left"/>
      <w:pPr>
        <w:ind w:left="7393" w:hanging="360"/>
      </w:pPr>
      <w:rPr>
        <w:rFonts w:ascii="Wingdings" w:hAnsi="Wingdings" w:hint="default"/>
      </w:rPr>
    </w:lvl>
  </w:abstractNum>
  <w:abstractNum w:abstractNumId="66" w15:restartNumberingAfterBreak="0">
    <w:nsid w:val="162F4A97"/>
    <w:multiLevelType w:val="hybridMultilevel"/>
    <w:tmpl w:val="88222B1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7" w15:restartNumberingAfterBreak="0">
    <w:nsid w:val="16805109"/>
    <w:multiLevelType w:val="hybridMultilevel"/>
    <w:tmpl w:val="16B8D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17042518"/>
    <w:multiLevelType w:val="hybridMultilevel"/>
    <w:tmpl w:val="C2F2646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9" w15:restartNumberingAfterBreak="0">
    <w:nsid w:val="181352AE"/>
    <w:multiLevelType w:val="hybridMultilevel"/>
    <w:tmpl w:val="2DA46388"/>
    <w:lvl w:ilvl="0" w:tplc="0C090019">
      <w:start w:val="1"/>
      <w:numFmt w:val="low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70" w15:restartNumberingAfterBreak="0">
    <w:nsid w:val="18622ADB"/>
    <w:multiLevelType w:val="hybridMultilevel"/>
    <w:tmpl w:val="9514C2B8"/>
    <w:lvl w:ilvl="0" w:tplc="0C090019">
      <w:start w:val="1"/>
      <w:numFmt w:val="lowerLetter"/>
      <w:lvlText w:val="%1."/>
      <w:lvlJc w:val="left"/>
      <w:pPr>
        <w:ind w:left="1146" w:hanging="360"/>
      </w:p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71" w15:restartNumberingAfterBreak="0">
    <w:nsid w:val="18C208A2"/>
    <w:multiLevelType w:val="hybridMultilevel"/>
    <w:tmpl w:val="08B4256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2" w15:restartNumberingAfterBreak="0">
    <w:nsid w:val="19022498"/>
    <w:multiLevelType w:val="hybridMultilevel"/>
    <w:tmpl w:val="1354C0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3" w15:restartNumberingAfterBreak="0">
    <w:nsid w:val="19324CA2"/>
    <w:multiLevelType w:val="hybridMultilevel"/>
    <w:tmpl w:val="42784472"/>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195E7367"/>
    <w:multiLevelType w:val="hybridMultilevel"/>
    <w:tmpl w:val="214A5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19A20682"/>
    <w:multiLevelType w:val="hybridMultilevel"/>
    <w:tmpl w:val="973E8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19D81B82"/>
    <w:multiLevelType w:val="hybridMultilevel"/>
    <w:tmpl w:val="EA821386"/>
    <w:lvl w:ilvl="0" w:tplc="5762ADBA">
      <w:numFmt w:val="bullet"/>
      <w:lvlText w:val=""/>
      <w:lvlJc w:val="left"/>
      <w:pPr>
        <w:ind w:left="720" w:hanging="360"/>
      </w:pPr>
      <w:rPr>
        <w:rFonts w:ascii="Symbol" w:eastAsiaTheme="minorHAnsi" w:hAnsi="Symbol" w:cstheme="minorBidi" w:hint="default"/>
        <w:sz w:val="22"/>
        <w:szCs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7" w15:restartNumberingAfterBreak="0">
    <w:nsid w:val="1A40470D"/>
    <w:multiLevelType w:val="hybridMultilevel"/>
    <w:tmpl w:val="BD68D0A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1A672377"/>
    <w:multiLevelType w:val="hybridMultilevel"/>
    <w:tmpl w:val="715AF6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15:restartNumberingAfterBreak="0">
    <w:nsid w:val="1AB01401"/>
    <w:multiLevelType w:val="hybridMultilevel"/>
    <w:tmpl w:val="52A03DD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80" w15:restartNumberingAfterBreak="0">
    <w:nsid w:val="1AB07802"/>
    <w:multiLevelType w:val="hybridMultilevel"/>
    <w:tmpl w:val="8B3601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1" w15:restartNumberingAfterBreak="0">
    <w:nsid w:val="1B530169"/>
    <w:multiLevelType w:val="hybridMultilevel"/>
    <w:tmpl w:val="81A62B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2" w15:restartNumberingAfterBreak="0">
    <w:nsid w:val="1B6B1BEF"/>
    <w:multiLevelType w:val="hybridMultilevel"/>
    <w:tmpl w:val="2340B138"/>
    <w:lvl w:ilvl="0" w:tplc="3196D806">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1BD3172C"/>
    <w:multiLevelType w:val="hybridMultilevel"/>
    <w:tmpl w:val="5EDA3914"/>
    <w:lvl w:ilvl="0" w:tplc="0C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4" w15:restartNumberingAfterBreak="0">
    <w:nsid w:val="1BFB283F"/>
    <w:multiLevelType w:val="hybridMultilevel"/>
    <w:tmpl w:val="1BACFF2E"/>
    <w:lvl w:ilvl="0" w:tplc="3C145B74">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1C5F2F4F"/>
    <w:multiLevelType w:val="hybridMultilevel"/>
    <w:tmpl w:val="8FF8B13A"/>
    <w:lvl w:ilvl="0" w:tplc="0C09000F">
      <w:start w:val="1"/>
      <w:numFmt w:val="decimal"/>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1CB46C0F"/>
    <w:multiLevelType w:val="hybridMultilevel"/>
    <w:tmpl w:val="A13CF6A8"/>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1D0C1B0F"/>
    <w:multiLevelType w:val="hybridMultilevel"/>
    <w:tmpl w:val="B3B847FA"/>
    <w:lvl w:ilvl="0" w:tplc="D7B601EE">
      <w:start w:val="1"/>
      <w:numFmt w:val="bullet"/>
      <w:lvlText w:val=""/>
      <w:lvlJc w:val="left"/>
      <w:pPr>
        <w:ind w:left="720" w:hanging="360"/>
      </w:pPr>
      <w:rPr>
        <w:rFonts w:ascii="Symbol" w:hAnsi="Symbol" w:hint="default"/>
        <w:sz w:val="22"/>
        <w:szCs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8" w15:restartNumberingAfterBreak="0">
    <w:nsid w:val="1D6C7ED9"/>
    <w:multiLevelType w:val="hybridMultilevel"/>
    <w:tmpl w:val="2144A8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9" w15:restartNumberingAfterBreak="0">
    <w:nsid w:val="1D724406"/>
    <w:multiLevelType w:val="hybridMultilevel"/>
    <w:tmpl w:val="E0CA5EA6"/>
    <w:lvl w:ilvl="0" w:tplc="7630AB68">
      <w:start w:val="1"/>
      <w:numFmt w:val="bullet"/>
      <w:lvlText w:val=""/>
      <w:lvlJc w:val="left"/>
      <w:pPr>
        <w:ind w:left="720" w:hanging="360"/>
      </w:pPr>
      <w:rPr>
        <w:rFonts w:ascii="Symbol" w:hAnsi="Symbol" w:hint="default"/>
        <w:sz w:val="22"/>
        <w:szCs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0" w15:restartNumberingAfterBreak="0">
    <w:nsid w:val="1D742613"/>
    <w:multiLevelType w:val="hybridMultilevel"/>
    <w:tmpl w:val="A8962BF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1" w15:restartNumberingAfterBreak="0">
    <w:nsid w:val="1DE352CB"/>
    <w:multiLevelType w:val="hybridMultilevel"/>
    <w:tmpl w:val="6A8E3E68"/>
    <w:lvl w:ilvl="0" w:tplc="978A02C8">
      <w:start w:val="1"/>
      <w:numFmt w:val="decimal"/>
      <w:lvlText w:val="%1."/>
      <w:lvlJc w:val="left"/>
      <w:pPr>
        <w:ind w:left="502" w:hanging="360"/>
      </w:pPr>
      <w:rPr>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1E530CFC"/>
    <w:multiLevelType w:val="hybridMultilevel"/>
    <w:tmpl w:val="F3603436"/>
    <w:lvl w:ilvl="0" w:tplc="51D251D0">
      <w:start w:val="1"/>
      <w:numFmt w:val="decimal"/>
      <w:lvlText w:val="%1."/>
      <w:lvlJc w:val="left"/>
      <w:pPr>
        <w:ind w:left="720" w:hanging="360"/>
      </w:pPr>
      <w:rPr>
        <w:sz w:val="22"/>
        <w:szCs w:val="22"/>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3" w15:restartNumberingAfterBreak="0">
    <w:nsid w:val="1EB83180"/>
    <w:multiLevelType w:val="hybridMultilevel"/>
    <w:tmpl w:val="82382B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1EF72F92"/>
    <w:multiLevelType w:val="hybridMultilevel"/>
    <w:tmpl w:val="4126C9D4"/>
    <w:lvl w:ilvl="0" w:tplc="04090001">
      <w:start w:val="1"/>
      <w:numFmt w:val="bullet"/>
      <w:lvlText w:val=""/>
      <w:lvlJc w:val="left"/>
      <w:pPr>
        <w:ind w:left="1497" w:hanging="360"/>
      </w:pPr>
      <w:rPr>
        <w:rFonts w:ascii="Symbol" w:hAnsi="Symbol" w:hint="default"/>
      </w:rPr>
    </w:lvl>
    <w:lvl w:ilvl="1" w:tplc="04090003" w:tentative="1">
      <w:start w:val="1"/>
      <w:numFmt w:val="bullet"/>
      <w:lvlText w:val="o"/>
      <w:lvlJc w:val="left"/>
      <w:pPr>
        <w:ind w:left="2217" w:hanging="360"/>
      </w:pPr>
      <w:rPr>
        <w:rFonts w:ascii="Courier New" w:hAnsi="Courier New" w:cs="Courier New" w:hint="default"/>
      </w:rPr>
    </w:lvl>
    <w:lvl w:ilvl="2" w:tplc="04090005" w:tentative="1">
      <w:start w:val="1"/>
      <w:numFmt w:val="bullet"/>
      <w:lvlText w:val=""/>
      <w:lvlJc w:val="left"/>
      <w:pPr>
        <w:ind w:left="2937" w:hanging="360"/>
      </w:pPr>
      <w:rPr>
        <w:rFonts w:ascii="Wingdings" w:hAnsi="Wingdings" w:hint="default"/>
      </w:rPr>
    </w:lvl>
    <w:lvl w:ilvl="3" w:tplc="04090001" w:tentative="1">
      <w:start w:val="1"/>
      <w:numFmt w:val="bullet"/>
      <w:lvlText w:val=""/>
      <w:lvlJc w:val="left"/>
      <w:pPr>
        <w:ind w:left="3657" w:hanging="360"/>
      </w:pPr>
      <w:rPr>
        <w:rFonts w:ascii="Symbol" w:hAnsi="Symbol" w:hint="default"/>
      </w:rPr>
    </w:lvl>
    <w:lvl w:ilvl="4" w:tplc="04090003" w:tentative="1">
      <w:start w:val="1"/>
      <w:numFmt w:val="bullet"/>
      <w:lvlText w:val="o"/>
      <w:lvlJc w:val="left"/>
      <w:pPr>
        <w:ind w:left="4377" w:hanging="360"/>
      </w:pPr>
      <w:rPr>
        <w:rFonts w:ascii="Courier New" w:hAnsi="Courier New" w:cs="Courier New" w:hint="default"/>
      </w:rPr>
    </w:lvl>
    <w:lvl w:ilvl="5" w:tplc="04090005" w:tentative="1">
      <w:start w:val="1"/>
      <w:numFmt w:val="bullet"/>
      <w:lvlText w:val=""/>
      <w:lvlJc w:val="left"/>
      <w:pPr>
        <w:ind w:left="5097" w:hanging="360"/>
      </w:pPr>
      <w:rPr>
        <w:rFonts w:ascii="Wingdings" w:hAnsi="Wingdings" w:hint="default"/>
      </w:rPr>
    </w:lvl>
    <w:lvl w:ilvl="6" w:tplc="04090001" w:tentative="1">
      <w:start w:val="1"/>
      <w:numFmt w:val="bullet"/>
      <w:lvlText w:val=""/>
      <w:lvlJc w:val="left"/>
      <w:pPr>
        <w:ind w:left="5817" w:hanging="360"/>
      </w:pPr>
      <w:rPr>
        <w:rFonts w:ascii="Symbol" w:hAnsi="Symbol" w:hint="default"/>
      </w:rPr>
    </w:lvl>
    <w:lvl w:ilvl="7" w:tplc="04090003" w:tentative="1">
      <w:start w:val="1"/>
      <w:numFmt w:val="bullet"/>
      <w:lvlText w:val="o"/>
      <w:lvlJc w:val="left"/>
      <w:pPr>
        <w:ind w:left="6537" w:hanging="360"/>
      </w:pPr>
      <w:rPr>
        <w:rFonts w:ascii="Courier New" w:hAnsi="Courier New" w:cs="Courier New" w:hint="default"/>
      </w:rPr>
    </w:lvl>
    <w:lvl w:ilvl="8" w:tplc="04090005" w:tentative="1">
      <w:start w:val="1"/>
      <w:numFmt w:val="bullet"/>
      <w:lvlText w:val=""/>
      <w:lvlJc w:val="left"/>
      <w:pPr>
        <w:ind w:left="7257" w:hanging="360"/>
      </w:pPr>
      <w:rPr>
        <w:rFonts w:ascii="Wingdings" w:hAnsi="Wingdings" w:hint="default"/>
      </w:rPr>
    </w:lvl>
  </w:abstractNum>
  <w:abstractNum w:abstractNumId="95" w15:restartNumberingAfterBreak="0">
    <w:nsid w:val="1F5F2640"/>
    <w:multiLevelType w:val="hybridMultilevel"/>
    <w:tmpl w:val="2BCA5ACC"/>
    <w:lvl w:ilvl="0" w:tplc="0C090001">
      <w:start w:val="1"/>
      <w:numFmt w:val="bullet"/>
      <w:lvlText w:val=""/>
      <w:lvlJc w:val="left"/>
      <w:pPr>
        <w:ind w:left="720" w:hanging="360"/>
      </w:pPr>
      <w:rPr>
        <w:rFonts w:ascii="Symbol" w:hAnsi="Symbol" w:hint="default"/>
      </w:rPr>
    </w:lvl>
    <w:lvl w:ilvl="1" w:tplc="1110F7F4">
      <w:numFmt w:val="bullet"/>
      <w:lvlText w:val="•"/>
      <w:lvlJc w:val="left"/>
      <w:pPr>
        <w:ind w:left="1800" w:hanging="720"/>
      </w:pPr>
      <w:rPr>
        <w:rFonts w:ascii="Century Gothic" w:eastAsiaTheme="minorHAnsi" w:hAnsi="Century Gothic" w:cstheme="minorBidi"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6" w15:restartNumberingAfterBreak="0">
    <w:nsid w:val="20202D17"/>
    <w:multiLevelType w:val="hybridMultilevel"/>
    <w:tmpl w:val="E5A817C4"/>
    <w:lvl w:ilvl="0" w:tplc="0C090001">
      <w:start w:val="1"/>
      <w:numFmt w:val="bullet"/>
      <w:lvlText w:val=""/>
      <w:lvlJc w:val="left"/>
      <w:pPr>
        <w:ind w:left="2007" w:hanging="360"/>
      </w:pPr>
      <w:rPr>
        <w:rFonts w:ascii="Symbol" w:hAnsi="Symbol" w:hint="default"/>
        <w:sz w:val="22"/>
        <w:szCs w:val="22"/>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97" w15:restartNumberingAfterBreak="0">
    <w:nsid w:val="204953DD"/>
    <w:multiLevelType w:val="hybridMultilevel"/>
    <w:tmpl w:val="191CC5CA"/>
    <w:lvl w:ilvl="0" w:tplc="60F86860">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8" w15:restartNumberingAfterBreak="0">
    <w:nsid w:val="20563020"/>
    <w:multiLevelType w:val="hybridMultilevel"/>
    <w:tmpl w:val="21DEA87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9" w15:restartNumberingAfterBreak="0">
    <w:nsid w:val="20D1367D"/>
    <w:multiLevelType w:val="hybridMultilevel"/>
    <w:tmpl w:val="43EE911E"/>
    <w:lvl w:ilvl="0" w:tplc="C8F4CBC2">
      <w:start w:val="1"/>
      <w:numFmt w:val="decimal"/>
      <w:lvlText w:val="%1."/>
      <w:lvlJc w:val="left"/>
      <w:pPr>
        <w:ind w:left="360" w:hanging="360"/>
      </w:pPr>
      <w:rPr>
        <w:b/>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00" w15:restartNumberingAfterBreak="0">
    <w:nsid w:val="2126557B"/>
    <w:multiLevelType w:val="hybridMultilevel"/>
    <w:tmpl w:val="E8BAA744"/>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7C4036BE">
      <w:start w:val="1"/>
      <w:numFmt w:val="decimal"/>
      <w:lvlText w:val="%4."/>
      <w:lvlJc w:val="left"/>
      <w:pPr>
        <w:ind w:left="2520" w:hanging="360"/>
      </w:pPr>
      <w:rPr>
        <w:b/>
      </w:r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01" w15:restartNumberingAfterBreak="0">
    <w:nsid w:val="222F2AD5"/>
    <w:multiLevelType w:val="hybridMultilevel"/>
    <w:tmpl w:val="F2F2AEC6"/>
    <w:lvl w:ilvl="0" w:tplc="04090011">
      <w:start w:val="1"/>
      <w:numFmt w:val="decimal"/>
      <w:lvlText w:val="%1)"/>
      <w:lvlJc w:val="left"/>
      <w:pPr>
        <w:ind w:left="720" w:hanging="360"/>
      </w:pPr>
    </w:lvl>
    <w:lvl w:ilvl="1" w:tplc="0C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225560DC"/>
    <w:multiLevelType w:val="hybridMultilevel"/>
    <w:tmpl w:val="539A90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3" w15:restartNumberingAfterBreak="0">
    <w:nsid w:val="225A0E46"/>
    <w:multiLevelType w:val="hybridMultilevel"/>
    <w:tmpl w:val="9AA661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4" w15:restartNumberingAfterBreak="0">
    <w:nsid w:val="243243FE"/>
    <w:multiLevelType w:val="hybridMultilevel"/>
    <w:tmpl w:val="4B00B8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5" w15:restartNumberingAfterBreak="0">
    <w:nsid w:val="244B0C33"/>
    <w:multiLevelType w:val="hybridMultilevel"/>
    <w:tmpl w:val="09C080DA"/>
    <w:lvl w:ilvl="0" w:tplc="04090011">
      <w:start w:val="1"/>
      <w:numFmt w:val="decimal"/>
      <w:lvlText w:val="%1)"/>
      <w:lvlJc w:val="left"/>
      <w:pPr>
        <w:ind w:left="720" w:hanging="360"/>
      </w:pPr>
    </w:lvl>
    <w:lvl w:ilvl="1" w:tplc="0C09000F">
      <w:start w:val="1"/>
      <w:numFmt w:val="decimal"/>
      <w:lvlText w:val="%2."/>
      <w:lvlJc w:val="left"/>
      <w:pPr>
        <w:ind w:left="1440" w:hanging="360"/>
      </w:pPr>
    </w:lvl>
    <w:lvl w:ilvl="2" w:tplc="0C090019">
      <w:start w:val="1"/>
      <w:numFmt w:val="lowerLetter"/>
      <w:lvlText w:val="%3."/>
      <w:lvlJc w:val="left"/>
      <w:pPr>
        <w:ind w:left="2340" w:hanging="360"/>
      </w:pPr>
      <w:rPr>
        <w:rFonts w:hint="default"/>
        <w:b/>
        <w:i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24534B2A"/>
    <w:multiLevelType w:val="hybridMultilevel"/>
    <w:tmpl w:val="BF4E8D72"/>
    <w:lvl w:ilvl="0" w:tplc="56B60C6E">
      <w:start w:val="1"/>
      <w:numFmt w:val="decimal"/>
      <w:lvlText w:val="%1."/>
      <w:lvlJc w:val="left"/>
      <w:pPr>
        <w:ind w:left="737" w:hanging="420"/>
      </w:pPr>
    </w:lvl>
    <w:lvl w:ilvl="1" w:tplc="0C090019">
      <w:start w:val="1"/>
      <w:numFmt w:val="lowerLetter"/>
      <w:lvlText w:val="%2."/>
      <w:lvlJc w:val="left"/>
      <w:pPr>
        <w:ind w:left="1581" w:hanging="360"/>
      </w:pPr>
    </w:lvl>
    <w:lvl w:ilvl="2" w:tplc="0C09001B">
      <w:start w:val="1"/>
      <w:numFmt w:val="lowerRoman"/>
      <w:lvlText w:val="%3."/>
      <w:lvlJc w:val="right"/>
      <w:pPr>
        <w:ind w:left="2301" w:hanging="180"/>
      </w:pPr>
    </w:lvl>
    <w:lvl w:ilvl="3" w:tplc="0C09000F">
      <w:start w:val="1"/>
      <w:numFmt w:val="decimal"/>
      <w:lvlText w:val="%4."/>
      <w:lvlJc w:val="left"/>
      <w:pPr>
        <w:ind w:left="3021" w:hanging="360"/>
      </w:pPr>
    </w:lvl>
    <w:lvl w:ilvl="4" w:tplc="0C090019">
      <w:start w:val="1"/>
      <w:numFmt w:val="lowerLetter"/>
      <w:lvlText w:val="%5."/>
      <w:lvlJc w:val="left"/>
      <w:pPr>
        <w:ind w:left="3741" w:hanging="360"/>
      </w:pPr>
    </w:lvl>
    <w:lvl w:ilvl="5" w:tplc="0C09001B">
      <w:start w:val="1"/>
      <w:numFmt w:val="lowerRoman"/>
      <w:lvlText w:val="%6."/>
      <w:lvlJc w:val="right"/>
      <w:pPr>
        <w:ind w:left="4461" w:hanging="180"/>
      </w:pPr>
    </w:lvl>
    <w:lvl w:ilvl="6" w:tplc="0C09000F">
      <w:start w:val="1"/>
      <w:numFmt w:val="decimal"/>
      <w:lvlText w:val="%7."/>
      <w:lvlJc w:val="left"/>
      <w:pPr>
        <w:ind w:left="5181" w:hanging="360"/>
      </w:pPr>
    </w:lvl>
    <w:lvl w:ilvl="7" w:tplc="0C090019">
      <w:start w:val="1"/>
      <w:numFmt w:val="lowerLetter"/>
      <w:lvlText w:val="%8."/>
      <w:lvlJc w:val="left"/>
      <w:pPr>
        <w:ind w:left="5901" w:hanging="360"/>
      </w:pPr>
    </w:lvl>
    <w:lvl w:ilvl="8" w:tplc="0C09001B">
      <w:start w:val="1"/>
      <w:numFmt w:val="lowerRoman"/>
      <w:lvlText w:val="%9."/>
      <w:lvlJc w:val="right"/>
      <w:pPr>
        <w:ind w:left="6621" w:hanging="180"/>
      </w:pPr>
    </w:lvl>
  </w:abstractNum>
  <w:abstractNum w:abstractNumId="107" w15:restartNumberingAfterBreak="0">
    <w:nsid w:val="249533A0"/>
    <w:multiLevelType w:val="hybridMultilevel"/>
    <w:tmpl w:val="76F03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25601838"/>
    <w:multiLevelType w:val="hybridMultilevel"/>
    <w:tmpl w:val="B40CDD2C"/>
    <w:lvl w:ilvl="0" w:tplc="69764458">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9" w15:restartNumberingAfterBreak="0">
    <w:nsid w:val="256438B8"/>
    <w:multiLevelType w:val="hybridMultilevel"/>
    <w:tmpl w:val="A3242480"/>
    <w:lvl w:ilvl="0" w:tplc="847874F4">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0" w15:restartNumberingAfterBreak="0">
    <w:nsid w:val="26122EE7"/>
    <w:multiLevelType w:val="hybridMultilevel"/>
    <w:tmpl w:val="7F741700"/>
    <w:lvl w:ilvl="0" w:tplc="CC08EC5A">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1" w15:restartNumberingAfterBreak="0">
    <w:nsid w:val="2673558A"/>
    <w:multiLevelType w:val="hybridMultilevel"/>
    <w:tmpl w:val="A4501F9A"/>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12" w15:restartNumberingAfterBreak="0">
    <w:nsid w:val="274669BF"/>
    <w:multiLevelType w:val="hybridMultilevel"/>
    <w:tmpl w:val="10B2E6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Arial"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Arial"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Arial" w:hint="default"/>
      </w:rPr>
    </w:lvl>
    <w:lvl w:ilvl="8" w:tplc="0C090005">
      <w:start w:val="1"/>
      <w:numFmt w:val="bullet"/>
      <w:lvlText w:val=""/>
      <w:lvlJc w:val="left"/>
      <w:pPr>
        <w:ind w:left="6480" w:hanging="360"/>
      </w:pPr>
      <w:rPr>
        <w:rFonts w:ascii="Wingdings" w:hAnsi="Wingdings" w:hint="default"/>
      </w:rPr>
    </w:lvl>
  </w:abstractNum>
  <w:abstractNum w:abstractNumId="113" w15:restartNumberingAfterBreak="0">
    <w:nsid w:val="27592F5E"/>
    <w:multiLevelType w:val="hybridMultilevel"/>
    <w:tmpl w:val="D4289A8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4" w15:restartNumberingAfterBreak="0">
    <w:nsid w:val="27BB74EE"/>
    <w:multiLevelType w:val="hybridMultilevel"/>
    <w:tmpl w:val="3BFA5E94"/>
    <w:lvl w:ilvl="0" w:tplc="0C090001">
      <w:start w:val="1"/>
      <w:numFmt w:val="bullet"/>
      <w:lvlText w:val=""/>
      <w:lvlJc w:val="left"/>
      <w:pPr>
        <w:ind w:left="720" w:hanging="360"/>
      </w:pPr>
      <w:rPr>
        <w:rFonts w:ascii="Symbol" w:hAnsi="Symbol" w:hint="default"/>
      </w:rPr>
    </w:lvl>
    <w:lvl w:ilvl="1" w:tplc="62720B0C">
      <w:start w:val="1"/>
      <w:numFmt w:val="bullet"/>
      <w:lvlText w:val="•"/>
      <w:lvlJc w:val="left"/>
      <w:pPr>
        <w:ind w:left="1440" w:hanging="360"/>
      </w:pPr>
      <w:rPr>
        <w:rFonts w:ascii="Arial"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28A5715B"/>
    <w:multiLevelType w:val="hybridMultilevel"/>
    <w:tmpl w:val="15DC08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6" w15:restartNumberingAfterBreak="0">
    <w:nsid w:val="2912544B"/>
    <w:multiLevelType w:val="hybridMultilevel"/>
    <w:tmpl w:val="14CC21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294D1E45"/>
    <w:multiLevelType w:val="hybridMultilevel"/>
    <w:tmpl w:val="4DB471D6"/>
    <w:lvl w:ilvl="0" w:tplc="A282C2B0">
      <w:start w:val="1"/>
      <w:numFmt w:val="decimal"/>
      <w:lvlText w:val="%1."/>
      <w:lvlJc w:val="left"/>
      <w:pPr>
        <w:ind w:left="720" w:hanging="360"/>
      </w:pPr>
      <w:rPr>
        <w:rFonts w:cs="Times New Roman"/>
        <w:sz w:val="22"/>
        <w:szCs w:val="22"/>
      </w:rPr>
    </w:lvl>
    <w:lvl w:ilvl="1" w:tplc="14090019">
      <w:start w:val="1"/>
      <w:numFmt w:val="lowerLetter"/>
      <w:lvlText w:val="%2."/>
      <w:lvlJc w:val="left"/>
      <w:pPr>
        <w:ind w:left="1440" w:hanging="360"/>
      </w:pPr>
      <w:rPr>
        <w:rFonts w:cs="Times New Roman"/>
      </w:rPr>
    </w:lvl>
    <w:lvl w:ilvl="2" w:tplc="1409001B">
      <w:start w:val="1"/>
      <w:numFmt w:val="lowerRoman"/>
      <w:lvlText w:val="%3."/>
      <w:lvlJc w:val="right"/>
      <w:pPr>
        <w:ind w:left="2160" w:hanging="180"/>
      </w:pPr>
      <w:rPr>
        <w:rFonts w:cs="Times New Roman"/>
      </w:rPr>
    </w:lvl>
    <w:lvl w:ilvl="3" w:tplc="1409000F">
      <w:start w:val="1"/>
      <w:numFmt w:val="decimal"/>
      <w:lvlText w:val="%4."/>
      <w:lvlJc w:val="left"/>
      <w:pPr>
        <w:ind w:left="2880" w:hanging="360"/>
      </w:pPr>
      <w:rPr>
        <w:rFonts w:cs="Times New Roman"/>
      </w:rPr>
    </w:lvl>
    <w:lvl w:ilvl="4" w:tplc="14090019">
      <w:start w:val="1"/>
      <w:numFmt w:val="lowerLetter"/>
      <w:lvlText w:val="%5."/>
      <w:lvlJc w:val="left"/>
      <w:pPr>
        <w:ind w:left="3600" w:hanging="360"/>
      </w:pPr>
      <w:rPr>
        <w:rFonts w:cs="Times New Roman"/>
      </w:rPr>
    </w:lvl>
    <w:lvl w:ilvl="5" w:tplc="1409001B">
      <w:start w:val="1"/>
      <w:numFmt w:val="lowerRoman"/>
      <w:lvlText w:val="%6."/>
      <w:lvlJc w:val="right"/>
      <w:pPr>
        <w:ind w:left="4320" w:hanging="180"/>
      </w:pPr>
      <w:rPr>
        <w:rFonts w:cs="Times New Roman"/>
      </w:rPr>
    </w:lvl>
    <w:lvl w:ilvl="6" w:tplc="1409000F">
      <w:start w:val="1"/>
      <w:numFmt w:val="decimal"/>
      <w:lvlText w:val="%7."/>
      <w:lvlJc w:val="left"/>
      <w:pPr>
        <w:ind w:left="5040" w:hanging="360"/>
      </w:pPr>
      <w:rPr>
        <w:rFonts w:cs="Times New Roman"/>
      </w:rPr>
    </w:lvl>
    <w:lvl w:ilvl="7" w:tplc="14090019">
      <w:start w:val="1"/>
      <w:numFmt w:val="lowerLetter"/>
      <w:lvlText w:val="%8."/>
      <w:lvlJc w:val="left"/>
      <w:pPr>
        <w:ind w:left="5760" w:hanging="360"/>
      </w:pPr>
      <w:rPr>
        <w:rFonts w:cs="Times New Roman"/>
      </w:rPr>
    </w:lvl>
    <w:lvl w:ilvl="8" w:tplc="1409001B">
      <w:start w:val="1"/>
      <w:numFmt w:val="lowerRoman"/>
      <w:lvlText w:val="%9."/>
      <w:lvlJc w:val="right"/>
      <w:pPr>
        <w:ind w:left="6480" w:hanging="180"/>
      </w:pPr>
      <w:rPr>
        <w:rFonts w:cs="Times New Roman"/>
      </w:rPr>
    </w:lvl>
  </w:abstractNum>
  <w:abstractNum w:abstractNumId="118" w15:restartNumberingAfterBreak="0">
    <w:nsid w:val="29782B8A"/>
    <w:multiLevelType w:val="hybridMultilevel"/>
    <w:tmpl w:val="33E2F6E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9" w15:restartNumberingAfterBreak="0">
    <w:nsid w:val="2A3D1CEF"/>
    <w:multiLevelType w:val="hybridMultilevel"/>
    <w:tmpl w:val="18362ACC"/>
    <w:lvl w:ilvl="0" w:tplc="F002FB52">
      <w:start w:val="1"/>
      <w:numFmt w:val="decimal"/>
      <w:lvlText w:val="%1."/>
      <w:lvlJc w:val="left"/>
      <w:pPr>
        <w:ind w:left="1506" w:hanging="360"/>
      </w:pPr>
      <w:rPr>
        <w:b/>
      </w:rPr>
    </w:lvl>
    <w:lvl w:ilvl="1" w:tplc="0C090019">
      <w:start w:val="1"/>
      <w:numFmt w:val="lowerLetter"/>
      <w:lvlText w:val="%2."/>
      <w:lvlJc w:val="left"/>
      <w:pPr>
        <w:ind w:left="2226" w:hanging="360"/>
      </w:pPr>
    </w:lvl>
    <w:lvl w:ilvl="2" w:tplc="0C09001B">
      <w:start w:val="1"/>
      <w:numFmt w:val="lowerRoman"/>
      <w:lvlText w:val="%3."/>
      <w:lvlJc w:val="right"/>
      <w:pPr>
        <w:ind w:left="2946" w:hanging="180"/>
      </w:pPr>
    </w:lvl>
    <w:lvl w:ilvl="3" w:tplc="0C09000F">
      <w:start w:val="1"/>
      <w:numFmt w:val="decimal"/>
      <w:lvlText w:val="%4."/>
      <w:lvlJc w:val="left"/>
      <w:pPr>
        <w:ind w:left="3666" w:hanging="360"/>
      </w:pPr>
    </w:lvl>
    <w:lvl w:ilvl="4" w:tplc="0C090019">
      <w:start w:val="1"/>
      <w:numFmt w:val="lowerLetter"/>
      <w:lvlText w:val="%5."/>
      <w:lvlJc w:val="left"/>
      <w:pPr>
        <w:ind w:left="4386" w:hanging="360"/>
      </w:pPr>
    </w:lvl>
    <w:lvl w:ilvl="5" w:tplc="0C09001B">
      <w:start w:val="1"/>
      <w:numFmt w:val="lowerRoman"/>
      <w:lvlText w:val="%6."/>
      <w:lvlJc w:val="right"/>
      <w:pPr>
        <w:ind w:left="5106" w:hanging="180"/>
      </w:pPr>
    </w:lvl>
    <w:lvl w:ilvl="6" w:tplc="0C09000F">
      <w:start w:val="1"/>
      <w:numFmt w:val="decimal"/>
      <w:lvlText w:val="%7."/>
      <w:lvlJc w:val="left"/>
      <w:pPr>
        <w:ind w:left="5826" w:hanging="360"/>
      </w:pPr>
    </w:lvl>
    <w:lvl w:ilvl="7" w:tplc="0C090019">
      <w:start w:val="1"/>
      <w:numFmt w:val="lowerLetter"/>
      <w:lvlText w:val="%8."/>
      <w:lvlJc w:val="left"/>
      <w:pPr>
        <w:ind w:left="6546" w:hanging="360"/>
      </w:pPr>
    </w:lvl>
    <w:lvl w:ilvl="8" w:tplc="0C09001B">
      <w:start w:val="1"/>
      <w:numFmt w:val="lowerRoman"/>
      <w:lvlText w:val="%9."/>
      <w:lvlJc w:val="right"/>
      <w:pPr>
        <w:ind w:left="7266" w:hanging="180"/>
      </w:pPr>
    </w:lvl>
  </w:abstractNum>
  <w:abstractNum w:abstractNumId="120" w15:restartNumberingAfterBreak="0">
    <w:nsid w:val="2B325F75"/>
    <w:multiLevelType w:val="hybridMultilevel"/>
    <w:tmpl w:val="CEF633B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1" w15:restartNumberingAfterBreak="0">
    <w:nsid w:val="2B8428C2"/>
    <w:multiLevelType w:val="hybridMultilevel"/>
    <w:tmpl w:val="90907422"/>
    <w:lvl w:ilvl="0" w:tplc="0C090001">
      <w:start w:val="1"/>
      <w:numFmt w:val="bullet"/>
      <w:lvlText w:val=""/>
      <w:lvlJc w:val="left"/>
      <w:pPr>
        <w:ind w:left="720" w:hanging="360"/>
      </w:pPr>
      <w:rPr>
        <w:rFonts w:ascii="Symbol" w:hAnsi="Symbol" w:hint="default"/>
      </w:rPr>
    </w:lvl>
    <w:lvl w:ilvl="1" w:tplc="62720B0C">
      <w:start w:val="1"/>
      <w:numFmt w:val="bullet"/>
      <w:lvlText w:val="•"/>
      <w:lvlJc w:val="left"/>
      <w:pPr>
        <w:ind w:left="1440" w:hanging="360"/>
      </w:pPr>
      <w:rPr>
        <w:rFonts w:ascii="Arial"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2C502B13"/>
    <w:multiLevelType w:val="hybridMultilevel"/>
    <w:tmpl w:val="448860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3" w15:restartNumberingAfterBreak="0">
    <w:nsid w:val="2CCB2D7B"/>
    <w:multiLevelType w:val="hybridMultilevel"/>
    <w:tmpl w:val="6BCE3224"/>
    <w:lvl w:ilvl="0" w:tplc="91BC5410">
      <w:start w:val="1"/>
      <w:numFmt w:val="decimal"/>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124" w15:restartNumberingAfterBreak="0">
    <w:nsid w:val="2CED2C11"/>
    <w:multiLevelType w:val="hybridMultilevel"/>
    <w:tmpl w:val="7DBAB50A"/>
    <w:lvl w:ilvl="0" w:tplc="0C090001">
      <w:start w:val="1"/>
      <w:numFmt w:val="bullet"/>
      <w:lvlText w:val=""/>
      <w:lvlJc w:val="left"/>
      <w:pPr>
        <w:tabs>
          <w:tab w:val="num" w:pos="1440"/>
        </w:tabs>
        <w:ind w:left="1440" w:hanging="360"/>
      </w:pPr>
      <w:rPr>
        <w:rFonts w:ascii="Symbol" w:hAnsi="Symbol" w:hint="default"/>
      </w:rPr>
    </w:lvl>
    <w:lvl w:ilvl="1" w:tplc="0C090003">
      <w:start w:val="1"/>
      <w:numFmt w:val="bullet"/>
      <w:lvlText w:val="o"/>
      <w:lvlJc w:val="left"/>
      <w:pPr>
        <w:tabs>
          <w:tab w:val="num" w:pos="2160"/>
        </w:tabs>
        <w:ind w:left="2160" w:hanging="360"/>
      </w:pPr>
      <w:rPr>
        <w:rFonts w:ascii="Courier New" w:hAnsi="Courier New" w:cs="Courier New" w:hint="default"/>
      </w:rPr>
    </w:lvl>
    <w:lvl w:ilvl="2" w:tplc="0C090005">
      <w:start w:val="1"/>
      <w:numFmt w:val="bullet"/>
      <w:lvlText w:val=""/>
      <w:lvlJc w:val="left"/>
      <w:pPr>
        <w:tabs>
          <w:tab w:val="num" w:pos="2880"/>
        </w:tabs>
        <w:ind w:left="2880" w:hanging="360"/>
      </w:pPr>
      <w:rPr>
        <w:rFonts w:ascii="Wingdings" w:hAnsi="Wingdings" w:hint="default"/>
      </w:rPr>
    </w:lvl>
    <w:lvl w:ilvl="3" w:tplc="0C090001">
      <w:start w:val="1"/>
      <w:numFmt w:val="bullet"/>
      <w:lvlText w:val=""/>
      <w:lvlJc w:val="left"/>
      <w:pPr>
        <w:tabs>
          <w:tab w:val="num" w:pos="3600"/>
        </w:tabs>
        <w:ind w:left="3600" w:hanging="360"/>
      </w:pPr>
      <w:rPr>
        <w:rFonts w:ascii="Symbol" w:hAnsi="Symbol" w:hint="default"/>
      </w:rPr>
    </w:lvl>
    <w:lvl w:ilvl="4" w:tplc="0C090003">
      <w:start w:val="1"/>
      <w:numFmt w:val="bullet"/>
      <w:lvlText w:val="o"/>
      <w:lvlJc w:val="left"/>
      <w:pPr>
        <w:tabs>
          <w:tab w:val="num" w:pos="4320"/>
        </w:tabs>
        <w:ind w:left="4320" w:hanging="360"/>
      </w:pPr>
      <w:rPr>
        <w:rFonts w:ascii="Courier New" w:hAnsi="Courier New" w:cs="Courier New" w:hint="default"/>
      </w:rPr>
    </w:lvl>
    <w:lvl w:ilvl="5" w:tplc="0C090005">
      <w:start w:val="1"/>
      <w:numFmt w:val="bullet"/>
      <w:lvlText w:val=""/>
      <w:lvlJc w:val="left"/>
      <w:pPr>
        <w:tabs>
          <w:tab w:val="num" w:pos="5040"/>
        </w:tabs>
        <w:ind w:left="5040" w:hanging="360"/>
      </w:pPr>
      <w:rPr>
        <w:rFonts w:ascii="Wingdings" w:hAnsi="Wingdings" w:hint="default"/>
      </w:rPr>
    </w:lvl>
    <w:lvl w:ilvl="6" w:tplc="0C090001">
      <w:start w:val="1"/>
      <w:numFmt w:val="bullet"/>
      <w:lvlText w:val=""/>
      <w:lvlJc w:val="left"/>
      <w:pPr>
        <w:tabs>
          <w:tab w:val="num" w:pos="5760"/>
        </w:tabs>
        <w:ind w:left="5760" w:hanging="360"/>
      </w:pPr>
      <w:rPr>
        <w:rFonts w:ascii="Symbol" w:hAnsi="Symbol" w:hint="default"/>
      </w:rPr>
    </w:lvl>
    <w:lvl w:ilvl="7" w:tplc="0C090003">
      <w:start w:val="1"/>
      <w:numFmt w:val="bullet"/>
      <w:lvlText w:val="o"/>
      <w:lvlJc w:val="left"/>
      <w:pPr>
        <w:tabs>
          <w:tab w:val="num" w:pos="6480"/>
        </w:tabs>
        <w:ind w:left="6480" w:hanging="360"/>
      </w:pPr>
      <w:rPr>
        <w:rFonts w:ascii="Courier New" w:hAnsi="Courier New" w:cs="Courier New" w:hint="default"/>
      </w:rPr>
    </w:lvl>
    <w:lvl w:ilvl="8" w:tplc="0C090005">
      <w:start w:val="1"/>
      <w:numFmt w:val="bullet"/>
      <w:lvlText w:val=""/>
      <w:lvlJc w:val="left"/>
      <w:pPr>
        <w:tabs>
          <w:tab w:val="num" w:pos="7200"/>
        </w:tabs>
        <w:ind w:left="7200" w:hanging="360"/>
      </w:pPr>
      <w:rPr>
        <w:rFonts w:ascii="Wingdings" w:hAnsi="Wingdings" w:hint="default"/>
      </w:rPr>
    </w:lvl>
  </w:abstractNum>
  <w:abstractNum w:abstractNumId="125" w15:restartNumberingAfterBreak="0">
    <w:nsid w:val="2DC22A1F"/>
    <w:multiLevelType w:val="hybridMultilevel"/>
    <w:tmpl w:val="94224A94"/>
    <w:lvl w:ilvl="0" w:tplc="3DFAEB7C">
      <w:start w:val="1"/>
      <w:numFmt w:val="decimal"/>
      <w:lvlText w:val="%1."/>
      <w:lvlJc w:val="left"/>
      <w:pPr>
        <w:ind w:left="720" w:hanging="360"/>
      </w:pPr>
      <w:rPr>
        <w:rFonts w:asciiTheme="minorHAnsi" w:hAnsiTheme="minorHAnsi" w:cstheme="minorBidi"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6" w15:restartNumberingAfterBreak="0">
    <w:nsid w:val="2F5C1903"/>
    <w:multiLevelType w:val="hybridMultilevel"/>
    <w:tmpl w:val="983832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7" w15:restartNumberingAfterBreak="0">
    <w:nsid w:val="300576A9"/>
    <w:multiLevelType w:val="hybridMultilevel"/>
    <w:tmpl w:val="015C8C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8" w15:restartNumberingAfterBreak="0">
    <w:nsid w:val="30061AF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7025"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9" w15:restartNumberingAfterBreak="0">
    <w:nsid w:val="300C05C2"/>
    <w:multiLevelType w:val="hybridMultilevel"/>
    <w:tmpl w:val="17183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0" w15:restartNumberingAfterBreak="0">
    <w:nsid w:val="30237636"/>
    <w:multiLevelType w:val="hybridMultilevel"/>
    <w:tmpl w:val="B08ECED4"/>
    <w:lvl w:ilvl="0" w:tplc="0C090017">
      <w:start w:val="1"/>
      <w:numFmt w:val="lowerLetter"/>
      <w:lvlText w:val="%1)"/>
      <w:lvlJc w:val="left"/>
      <w:pPr>
        <w:ind w:left="654" w:hanging="360"/>
      </w:pPr>
    </w:lvl>
    <w:lvl w:ilvl="1" w:tplc="0C090019">
      <w:start w:val="1"/>
      <w:numFmt w:val="lowerLetter"/>
      <w:lvlText w:val="%2."/>
      <w:lvlJc w:val="left"/>
      <w:pPr>
        <w:ind w:left="1374" w:hanging="360"/>
      </w:pPr>
    </w:lvl>
    <w:lvl w:ilvl="2" w:tplc="0C09001B">
      <w:start w:val="1"/>
      <w:numFmt w:val="lowerRoman"/>
      <w:lvlText w:val="%3."/>
      <w:lvlJc w:val="right"/>
      <w:pPr>
        <w:ind w:left="2094" w:hanging="180"/>
      </w:pPr>
    </w:lvl>
    <w:lvl w:ilvl="3" w:tplc="0C09000F">
      <w:start w:val="1"/>
      <w:numFmt w:val="decimal"/>
      <w:lvlText w:val="%4."/>
      <w:lvlJc w:val="left"/>
      <w:pPr>
        <w:ind w:left="2814" w:hanging="360"/>
      </w:pPr>
    </w:lvl>
    <w:lvl w:ilvl="4" w:tplc="0C090019">
      <w:start w:val="1"/>
      <w:numFmt w:val="lowerLetter"/>
      <w:lvlText w:val="%5."/>
      <w:lvlJc w:val="left"/>
      <w:pPr>
        <w:ind w:left="3534" w:hanging="360"/>
      </w:pPr>
    </w:lvl>
    <w:lvl w:ilvl="5" w:tplc="0C09001B">
      <w:start w:val="1"/>
      <w:numFmt w:val="lowerRoman"/>
      <w:lvlText w:val="%6."/>
      <w:lvlJc w:val="right"/>
      <w:pPr>
        <w:ind w:left="4254" w:hanging="180"/>
      </w:pPr>
    </w:lvl>
    <w:lvl w:ilvl="6" w:tplc="0C09000F">
      <w:start w:val="1"/>
      <w:numFmt w:val="decimal"/>
      <w:lvlText w:val="%7."/>
      <w:lvlJc w:val="left"/>
      <w:pPr>
        <w:ind w:left="4974" w:hanging="360"/>
      </w:pPr>
    </w:lvl>
    <w:lvl w:ilvl="7" w:tplc="0C090019">
      <w:start w:val="1"/>
      <w:numFmt w:val="lowerLetter"/>
      <w:lvlText w:val="%8."/>
      <w:lvlJc w:val="left"/>
      <w:pPr>
        <w:ind w:left="5694" w:hanging="360"/>
      </w:pPr>
    </w:lvl>
    <w:lvl w:ilvl="8" w:tplc="0C09001B">
      <w:start w:val="1"/>
      <w:numFmt w:val="lowerRoman"/>
      <w:lvlText w:val="%9."/>
      <w:lvlJc w:val="right"/>
      <w:pPr>
        <w:ind w:left="6414" w:hanging="180"/>
      </w:pPr>
    </w:lvl>
  </w:abstractNum>
  <w:abstractNum w:abstractNumId="131" w15:restartNumberingAfterBreak="0">
    <w:nsid w:val="313446C9"/>
    <w:multiLevelType w:val="multilevel"/>
    <w:tmpl w:val="E43A14C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sz w:val="22"/>
        <w:szCs w:val="22"/>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2" w15:restartNumberingAfterBreak="0">
    <w:nsid w:val="313735C9"/>
    <w:multiLevelType w:val="hybridMultilevel"/>
    <w:tmpl w:val="519C5964"/>
    <w:lvl w:ilvl="0" w:tplc="0C090001">
      <w:start w:val="1"/>
      <w:numFmt w:val="bullet"/>
      <w:lvlText w:val=""/>
      <w:lvlJc w:val="left"/>
      <w:pPr>
        <w:ind w:left="781" w:hanging="360"/>
      </w:pPr>
      <w:rPr>
        <w:rFonts w:ascii="Symbol" w:hAnsi="Symbol" w:hint="default"/>
      </w:rPr>
    </w:lvl>
    <w:lvl w:ilvl="1" w:tplc="9AB8F8CC">
      <w:start w:val="1"/>
      <w:numFmt w:val="bullet"/>
      <w:lvlText w:val="•"/>
      <w:lvlJc w:val="left"/>
      <w:pPr>
        <w:ind w:left="1501" w:hanging="360"/>
      </w:pPr>
      <w:rPr>
        <w:rFonts w:ascii="Times New Roman" w:hAnsi="Times New Roman" w:cs="Times New Roman" w:hint="default"/>
      </w:rPr>
    </w:lvl>
    <w:lvl w:ilvl="2" w:tplc="0C090005">
      <w:start w:val="1"/>
      <w:numFmt w:val="bullet"/>
      <w:lvlText w:val=""/>
      <w:lvlJc w:val="left"/>
      <w:pPr>
        <w:ind w:left="2221" w:hanging="360"/>
      </w:pPr>
      <w:rPr>
        <w:rFonts w:ascii="Wingdings" w:hAnsi="Wingdings" w:hint="default"/>
      </w:rPr>
    </w:lvl>
    <w:lvl w:ilvl="3" w:tplc="0C090001">
      <w:start w:val="1"/>
      <w:numFmt w:val="bullet"/>
      <w:lvlText w:val=""/>
      <w:lvlJc w:val="left"/>
      <w:pPr>
        <w:ind w:left="2941" w:hanging="360"/>
      </w:pPr>
      <w:rPr>
        <w:rFonts w:ascii="Symbol" w:hAnsi="Symbol" w:hint="default"/>
      </w:rPr>
    </w:lvl>
    <w:lvl w:ilvl="4" w:tplc="0C090003">
      <w:start w:val="1"/>
      <w:numFmt w:val="bullet"/>
      <w:lvlText w:val="o"/>
      <w:lvlJc w:val="left"/>
      <w:pPr>
        <w:ind w:left="3661" w:hanging="360"/>
      </w:pPr>
      <w:rPr>
        <w:rFonts w:ascii="Courier New" w:hAnsi="Courier New" w:cs="Courier New" w:hint="default"/>
      </w:rPr>
    </w:lvl>
    <w:lvl w:ilvl="5" w:tplc="0C090005">
      <w:start w:val="1"/>
      <w:numFmt w:val="bullet"/>
      <w:lvlText w:val=""/>
      <w:lvlJc w:val="left"/>
      <w:pPr>
        <w:ind w:left="4381" w:hanging="360"/>
      </w:pPr>
      <w:rPr>
        <w:rFonts w:ascii="Wingdings" w:hAnsi="Wingdings" w:hint="default"/>
      </w:rPr>
    </w:lvl>
    <w:lvl w:ilvl="6" w:tplc="0C090001">
      <w:start w:val="1"/>
      <w:numFmt w:val="bullet"/>
      <w:lvlText w:val=""/>
      <w:lvlJc w:val="left"/>
      <w:pPr>
        <w:ind w:left="5101" w:hanging="360"/>
      </w:pPr>
      <w:rPr>
        <w:rFonts w:ascii="Symbol" w:hAnsi="Symbol" w:hint="default"/>
      </w:rPr>
    </w:lvl>
    <w:lvl w:ilvl="7" w:tplc="0C090003">
      <w:start w:val="1"/>
      <w:numFmt w:val="bullet"/>
      <w:lvlText w:val="o"/>
      <w:lvlJc w:val="left"/>
      <w:pPr>
        <w:ind w:left="5821" w:hanging="360"/>
      </w:pPr>
      <w:rPr>
        <w:rFonts w:ascii="Courier New" w:hAnsi="Courier New" w:cs="Courier New" w:hint="default"/>
      </w:rPr>
    </w:lvl>
    <w:lvl w:ilvl="8" w:tplc="0C090005">
      <w:start w:val="1"/>
      <w:numFmt w:val="bullet"/>
      <w:lvlText w:val=""/>
      <w:lvlJc w:val="left"/>
      <w:pPr>
        <w:ind w:left="6541" w:hanging="360"/>
      </w:pPr>
      <w:rPr>
        <w:rFonts w:ascii="Wingdings" w:hAnsi="Wingdings" w:hint="default"/>
      </w:rPr>
    </w:lvl>
  </w:abstractNum>
  <w:abstractNum w:abstractNumId="133" w15:restartNumberingAfterBreak="0">
    <w:nsid w:val="314D05FE"/>
    <w:multiLevelType w:val="hybridMultilevel"/>
    <w:tmpl w:val="2B360E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4" w15:restartNumberingAfterBreak="0">
    <w:nsid w:val="317A5A56"/>
    <w:multiLevelType w:val="hybridMultilevel"/>
    <w:tmpl w:val="8B9A3094"/>
    <w:lvl w:ilvl="0" w:tplc="0AA2449C">
      <w:start w:val="1"/>
      <w:numFmt w:val="lowerLetter"/>
      <w:lvlText w:val="%1."/>
      <w:lvlJc w:val="left"/>
      <w:pPr>
        <w:ind w:left="720" w:hanging="360"/>
      </w:pPr>
      <w:rPr>
        <w:sz w:val="22"/>
        <w:szCs w:val="22"/>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5" w15:restartNumberingAfterBreak="0">
    <w:nsid w:val="31E26C88"/>
    <w:multiLevelType w:val="hybridMultilevel"/>
    <w:tmpl w:val="C5F005C6"/>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36" w15:restartNumberingAfterBreak="0">
    <w:nsid w:val="31E73326"/>
    <w:multiLevelType w:val="hybridMultilevel"/>
    <w:tmpl w:val="D70A4882"/>
    <w:lvl w:ilvl="0" w:tplc="0C090001">
      <w:start w:val="1"/>
      <w:numFmt w:val="bullet"/>
      <w:lvlText w:val=""/>
      <w:lvlJc w:val="left"/>
      <w:pPr>
        <w:ind w:left="720" w:hanging="360"/>
      </w:pPr>
      <w:rPr>
        <w:rFonts w:ascii="Symbol" w:hAnsi="Symbol" w:hint="default"/>
      </w:rPr>
    </w:lvl>
    <w:lvl w:ilvl="1" w:tplc="62720B0C">
      <w:start w:val="1"/>
      <w:numFmt w:val="bullet"/>
      <w:lvlText w:val="•"/>
      <w:lvlJc w:val="left"/>
      <w:pPr>
        <w:ind w:left="1440" w:hanging="360"/>
      </w:pPr>
      <w:rPr>
        <w:rFonts w:ascii="Arial"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7" w15:restartNumberingAfterBreak="0">
    <w:nsid w:val="321C1B02"/>
    <w:multiLevelType w:val="hybridMultilevel"/>
    <w:tmpl w:val="C5F26B14"/>
    <w:lvl w:ilvl="0" w:tplc="65168FCE">
      <w:start w:val="1"/>
      <w:numFmt w:val="decimal"/>
      <w:lvlText w:val="%1."/>
      <w:lvlJc w:val="left"/>
      <w:pPr>
        <w:ind w:left="720" w:hanging="360"/>
      </w:pPr>
      <w:rPr>
        <w:rFonts w:asciiTheme="minorHAnsi" w:hAnsiTheme="minorHAnsi" w:cstheme="minorBidi" w:hint="default"/>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8" w15:restartNumberingAfterBreak="0">
    <w:nsid w:val="32FE762A"/>
    <w:multiLevelType w:val="hybridMultilevel"/>
    <w:tmpl w:val="DF92940C"/>
    <w:lvl w:ilvl="0" w:tplc="0C090001">
      <w:start w:val="1"/>
      <w:numFmt w:val="bullet"/>
      <w:lvlText w:val=""/>
      <w:lvlJc w:val="left"/>
      <w:pPr>
        <w:ind w:left="720" w:hanging="360"/>
      </w:pPr>
      <w:rPr>
        <w:rFonts w:ascii="Symbol" w:hAnsi="Symbol" w:hint="default"/>
      </w:rPr>
    </w:lvl>
    <w:lvl w:ilvl="1" w:tplc="62720B0C">
      <w:start w:val="1"/>
      <w:numFmt w:val="bullet"/>
      <w:lvlText w:val="•"/>
      <w:lvlJc w:val="left"/>
      <w:pPr>
        <w:ind w:left="1440" w:hanging="360"/>
      </w:pPr>
      <w:rPr>
        <w:rFonts w:ascii="Arial"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9" w15:restartNumberingAfterBreak="0">
    <w:nsid w:val="33840A47"/>
    <w:multiLevelType w:val="hybridMultilevel"/>
    <w:tmpl w:val="6EFA0366"/>
    <w:lvl w:ilvl="0" w:tplc="E376E6A2">
      <w:start w:val="1"/>
      <w:numFmt w:val="decimal"/>
      <w:lvlText w:val="%1."/>
      <w:lvlJc w:val="left"/>
      <w:pPr>
        <w:ind w:left="720" w:hanging="360"/>
      </w:pPr>
      <w:rPr>
        <w:sz w:val="22"/>
        <w:szCs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0" w15:restartNumberingAfterBreak="0">
    <w:nsid w:val="33EC2863"/>
    <w:multiLevelType w:val="hybridMultilevel"/>
    <w:tmpl w:val="1DD0FE6C"/>
    <w:lvl w:ilvl="0" w:tplc="0C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1" w15:restartNumberingAfterBreak="0">
    <w:nsid w:val="347B1AEA"/>
    <w:multiLevelType w:val="hybridMultilevel"/>
    <w:tmpl w:val="CC7C412C"/>
    <w:lvl w:ilvl="0" w:tplc="751AC7DC">
      <w:start w:val="1"/>
      <w:numFmt w:val="decimal"/>
      <w:lvlText w:val="%1."/>
      <w:lvlJc w:val="left"/>
      <w:pPr>
        <w:tabs>
          <w:tab w:val="num" w:pos="851"/>
        </w:tabs>
        <w:ind w:left="851" w:hanging="454"/>
      </w:pPr>
      <w:rPr>
        <w:rFonts w:hint="default"/>
      </w:rPr>
    </w:lvl>
    <w:lvl w:ilvl="1" w:tplc="0C090019">
      <w:start w:val="1"/>
      <w:numFmt w:val="lowerLetter"/>
      <w:lvlText w:val="%2."/>
      <w:lvlJc w:val="left"/>
      <w:pPr>
        <w:ind w:left="1364" w:hanging="360"/>
      </w:pPr>
    </w:lvl>
    <w:lvl w:ilvl="2" w:tplc="C674CC50">
      <w:start w:val="1"/>
      <w:numFmt w:val="lowerLetter"/>
      <w:lvlText w:val="%3."/>
      <w:lvlJc w:val="left"/>
      <w:pPr>
        <w:ind w:left="2084" w:hanging="180"/>
      </w:pPr>
      <w:rPr>
        <w:sz w:val="22"/>
        <w:szCs w:val="22"/>
      </w:r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42" w15:restartNumberingAfterBreak="0">
    <w:nsid w:val="34BD6682"/>
    <w:multiLevelType w:val="hybridMultilevel"/>
    <w:tmpl w:val="9CF6073E"/>
    <w:lvl w:ilvl="0" w:tplc="37CC0844">
      <w:start w:val="1"/>
      <w:numFmt w:val="decimal"/>
      <w:lvlText w:val="%1."/>
      <w:lvlJc w:val="left"/>
      <w:pPr>
        <w:ind w:left="2831" w:hanging="360"/>
      </w:pPr>
      <w:rPr>
        <w:b w:val="0"/>
        <w:i/>
        <w:sz w:val="22"/>
        <w:szCs w:val="22"/>
      </w:rPr>
    </w:lvl>
    <w:lvl w:ilvl="1" w:tplc="04090019" w:tentative="1">
      <w:start w:val="1"/>
      <w:numFmt w:val="lowerLetter"/>
      <w:lvlText w:val="%2."/>
      <w:lvlJc w:val="left"/>
      <w:pPr>
        <w:ind w:left="3551" w:hanging="360"/>
      </w:pPr>
    </w:lvl>
    <w:lvl w:ilvl="2" w:tplc="0409001B" w:tentative="1">
      <w:start w:val="1"/>
      <w:numFmt w:val="lowerRoman"/>
      <w:lvlText w:val="%3."/>
      <w:lvlJc w:val="right"/>
      <w:pPr>
        <w:ind w:left="4271" w:hanging="180"/>
      </w:pPr>
    </w:lvl>
    <w:lvl w:ilvl="3" w:tplc="0409000F" w:tentative="1">
      <w:start w:val="1"/>
      <w:numFmt w:val="decimal"/>
      <w:lvlText w:val="%4."/>
      <w:lvlJc w:val="left"/>
      <w:pPr>
        <w:ind w:left="4991" w:hanging="360"/>
      </w:pPr>
    </w:lvl>
    <w:lvl w:ilvl="4" w:tplc="04090019" w:tentative="1">
      <w:start w:val="1"/>
      <w:numFmt w:val="lowerLetter"/>
      <w:lvlText w:val="%5."/>
      <w:lvlJc w:val="left"/>
      <w:pPr>
        <w:ind w:left="5711" w:hanging="360"/>
      </w:pPr>
    </w:lvl>
    <w:lvl w:ilvl="5" w:tplc="0409001B" w:tentative="1">
      <w:start w:val="1"/>
      <w:numFmt w:val="lowerRoman"/>
      <w:lvlText w:val="%6."/>
      <w:lvlJc w:val="right"/>
      <w:pPr>
        <w:ind w:left="6431" w:hanging="180"/>
      </w:pPr>
    </w:lvl>
    <w:lvl w:ilvl="6" w:tplc="0409000F" w:tentative="1">
      <w:start w:val="1"/>
      <w:numFmt w:val="decimal"/>
      <w:lvlText w:val="%7."/>
      <w:lvlJc w:val="left"/>
      <w:pPr>
        <w:ind w:left="7151" w:hanging="360"/>
      </w:pPr>
    </w:lvl>
    <w:lvl w:ilvl="7" w:tplc="04090019" w:tentative="1">
      <w:start w:val="1"/>
      <w:numFmt w:val="lowerLetter"/>
      <w:lvlText w:val="%8."/>
      <w:lvlJc w:val="left"/>
      <w:pPr>
        <w:ind w:left="7871" w:hanging="360"/>
      </w:pPr>
    </w:lvl>
    <w:lvl w:ilvl="8" w:tplc="0409001B" w:tentative="1">
      <w:start w:val="1"/>
      <w:numFmt w:val="lowerRoman"/>
      <w:lvlText w:val="%9."/>
      <w:lvlJc w:val="right"/>
      <w:pPr>
        <w:ind w:left="8591" w:hanging="180"/>
      </w:pPr>
    </w:lvl>
  </w:abstractNum>
  <w:abstractNum w:abstractNumId="143" w15:restartNumberingAfterBreak="0">
    <w:nsid w:val="34C82B51"/>
    <w:multiLevelType w:val="hybridMultilevel"/>
    <w:tmpl w:val="06788AF4"/>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44" w15:restartNumberingAfterBreak="0">
    <w:nsid w:val="34FC623E"/>
    <w:multiLevelType w:val="hybridMultilevel"/>
    <w:tmpl w:val="706C4754"/>
    <w:lvl w:ilvl="0" w:tplc="0C090019">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5" w15:restartNumberingAfterBreak="0">
    <w:nsid w:val="35874A81"/>
    <w:multiLevelType w:val="hybridMultilevel"/>
    <w:tmpl w:val="6A3E6868"/>
    <w:lvl w:ilvl="0" w:tplc="F3E2C962">
      <w:start w:val="1"/>
      <w:numFmt w:val="decimal"/>
      <w:lvlText w:val="%1."/>
      <w:lvlJc w:val="left"/>
      <w:pPr>
        <w:tabs>
          <w:tab w:val="num" w:pos="720"/>
        </w:tabs>
        <w:ind w:left="720" w:hanging="360"/>
      </w:pPr>
      <w:rPr>
        <w:rFonts w:cs="Times New Roman"/>
        <w:sz w:val="22"/>
        <w:szCs w:val="22"/>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6" w15:restartNumberingAfterBreak="0">
    <w:nsid w:val="35EC67C6"/>
    <w:multiLevelType w:val="hybridMultilevel"/>
    <w:tmpl w:val="CF22D6DC"/>
    <w:lvl w:ilvl="0" w:tplc="91BC5410">
      <w:start w:val="1"/>
      <w:numFmt w:val="decimal"/>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147" w15:restartNumberingAfterBreak="0">
    <w:nsid w:val="36092955"/>
    <w:multiLevelType w:val="hybridMultilevel"/>
    <w:tmpl w:val="E58CD8E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8" w15:restartNumberingAfterBreak="0">
    <w:nsid w:val="364A6675"/>
    <w:multiLevelType w:val="hybridMultilevel"/>
    <w:tmpl w:val="E57458EE"/>
    <w:lvl w:ilvl="0" w:tplc="0C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9" w15:restartNumberingAfterBreak="0">
    <w:nsid w:val="3656427C"/>
    <w:multiLevelType w:val="hybridMultilevel"/>
    <w:tmpl w:val="93464B72"/>
    <w:lvl w:ilvl="0" w:tplc="9AB8F8C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0" w15:restartNumberingAfterBreak="0">
    <w:nsid w:val="36604A54"/>
    <w:multiLevelType w:val="hybridMultilevel"/>
    <w:tmpl w:val="A6F0C8D8"/>
    <w:lvl w:ilvl="0" w:tplc="8E606DA8">
      <w:start w:val="1"/>
      <w:numFmt w:val="bullet"/>
      <w:lvlText w:val=""/>
      <w:lvlJc w:val="left"/>
      <w:pPr>
        <w:ind w:left="720" w:hanging="360"/>
      </w:pPr>
      <w:rPr>
        <w:rFonts w:ascii="Symbol" w:hAnsi="Symbol" w:hint="default"/>
        <w:sz w:val="22"/>
        <w:szCs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1" w15:restartNumberingAfterBreak="0">
    <w:nsid w:val="367A1A48"/>
    <w:multiLevelType w:val="hybridMultilevel"/>
    <w:tmpl w:val="C32E6FE0"/>
    <w:lvl w:ilvl="0" w:tplc="9AB8F8CC">
      <w:start w:val="1"/>
      <w:numFmt w:val="bullet"/>
      <w:lvlText w:val="•"/>
      <w:lvlJc w:val="left"/>
      <w:pPr>
        <w:ind w:left="720" w:hanging="360"/>
      </w:pPr>
      <w:rPr>
        <w:rFonts w:ascii="Times New Roman" w:hAnsi="Times New Roman"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2" w15:restartNumberingAfterBreak="0">
    <w:nsid w:val="368B36E4"/>
    <w:multiLevelType w:val="hybridMultilevel"/>
    <w:tmpl w:val="0CE4E0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3" w15:restartNumberingAfterBreak="0">
    <w:nsid w:val="36993D75"/>
    <w:multiLevelType w:val="hybridMultilevel"/>
    <w:tmpl w:val="CB8EC2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4" w15:restartNumberingAfterBreak="0">
    <w:nsid w:val="36C27946"/>
    <w:multiLevelType w:val="hybridMultilevel"/>
    <w:tmpl w:val="84645E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5" w15:restartNumberingAfterBreak="0">
    <w:nsid w:val="36C85F52"/>
    <w:multiLevelType w:val="hybridMultilevel"/>
    <w:tmpl w:val="FE66139C"/>
    <w:lvl w:ilvl="0" w:tplc="9AC85B7E">
      <w:start w:val="1"/>
      <w:numFmt w:val="decimal"/>
      <w:lvlText w:val="%1."/>
      <w:lvlJc w:val="left"/>
      <w:pPr>
        <w:ind w:left="1080" w:hanging="360"/>
      </w:pPr>
      <w:rPr>
        <w:rFonts w:cs="Times New Roman"/>
        <w:sz w:val="22"/>
        <w:szCs w:val="22"/>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56" w15:restartNumberingAfterBreak="0">
    <w:nsid w:val="374E7615"/>
    <w:multiLevelType w:val="hybridMultilevel"/>
    <w:tmpl w:val="CF2C65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7" w15:restartNumberingAfterBreak="0">
    <w:nsid w:val="37C12521"/>
    <w:multiLevelType w:val="multilevel"/>
    <w:tmpl w:val="7FA0BC4A"/>
    <w:lvl w:ilvl="0">
      <w:start w:val="1"/>
      <w:numFmt w:val="decimal"/>
      <w:lvlText w:val="%1."/>
      <w:lvlJc w:val="left"/>
      <w:pPr>
        <w:ind w:left="5747" w:hanging="360"/>
      </w:pPr>
      <w:rPr>
        <w:rFonts w:ascii="Cambria" w:hAnsi="Cambria" w:hint="default"/>
        <w:b/>
        <w:sz w:val="28"/>
        <w:szCs w:val="28"/>
      </w:rPr>
    </w:lvl>
    <w:lvl w:ilvl="1">
      <w:start w:val="1"/>
      <w:numFmt w:val="decimal"/>
      <w:lvlText w:val="%1.%2."/>
      <w:lvlJc w:val="left"/>
      <w:pPr>
        <w:ind w:left="858" w:hanging="432"/>
      </w:pPr>
      <w:rPr>
        <w:rFonts w:ascii="Cambria" w:hAnsi="Cambria" w:hint="default"/>
        <w:b/>
        <w:sz w:val="22"/>
      </w:rPr>
    </w:lvl>
    <w:lvl w:ilvl="2">
      <w:start w:val="1"/>
      <w:numFmt w:val="decimal"/>
      <w:lvlText w:val="%1.%2.%3."/>
      <w:lvlJc w:val="left"/>
      <w:pPr>
        <w:ind w:left="2206" w:hanging="504"/>
      </w:pPr>
      <w:rPr>
        <w:rFonts w:ascii="Cambria" w:hAnsi="Cambria" w:hint="default"/>
        <w:b/>
        <w:sz w:val="20"/>
      </w:rPr>
    </w:lvl>
    <w:lvl w:ilvl="3">
      <w:start w:val="1"/>
      <w:numFmt w:val="decimal"/>
      <w:lvlText w:val="%1.%2.%3.%4."/>
      <w:lvlJc w:val="left"/>
      <w:pPr>
        <w:ind w:left="7541" w:hanging="648"/>
      </w:pPr>
    </w:lvl>
    <w:lvl w:ilvl="4">
      <w:start w:val="1"/>
      <w:numFmt w:val="decimal"/>
      <w:lvlText w:val="%1.%2.%3.%4.%5."/>
      <w:lvlJc w:val="left"/>
      <w:pPr>
        <w:ind w:left="8045" w:hanging="792"/>
      </w:pPr>
    </w:lvl>
    <w:lvl w:ilvl="5">
      <w:start w:val="1"/>
      <w:numFmt w:val="decimal"/>
      <w:lvlText w:val="%1.%2.%3.%4.%5.%6."/>
      <w:lvlJc w:val="left"/>
      <w:pPr>
        <w:ind w:left="8549" w:hanging="936"/>
      </w:pPr>
    </w:lvl>
    <w:lvl w:ilvl="6">
      <w:start w:val="1"/>
      <w:numFmt w:val="decimal"/>
      <w:lvlText w:val="%1.%2.%3.%4.%5.%6.%7."/>
      <w:lvlJc w:val="left"/>
      <w:pPr>
        <w:ind w:left="9053" w:hanging="1080"/>
      </w:pPr>
    </w:lvl>
    <w:lvl w:ilvl="7">
      <w:start w:val="1"/>
      <w:numFmt w:val="decimal"/>
      <w:lvlText w:val="%1.%2.%3.%4.%5.%6.%7.%8."/>
      <w:lvlJc w:val="left"/>
      <w:pPr>
        <w:ind w:left="9557" w:hanging="1224"/>
      </w:pPr>
    </w:lvl>
    <w:lvl w:ilvl="8">
      <w:start w:val="1"/>
      <w:numFmt w:val="decimal"/>
      <w:lvlText w:val="%1.%2.%3.%4.%5.%6.%7.%8.%9."/>
      <w:lvlJc w:val="left"/>
      <w:pPr>
        <w:ind w:left="10133" w:hanging="1440"/>
      </w:pPr>
    </w:lvl>
  </w:abstractNum>
  <w:abstractNum w:abstractNumId="158" w15:restartNumberingAfterBreak="0">
    <w:nsid w:val="37FC0D70"/>
    <w:multiLevelType w:val="hybridMultilevel"/>
    <w:tmpl w:val="7FDC9B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9" w15:restartNumberingAfterBreak="0">
    <w:nsid w:val="38501865"/>
    <w:multiLevelType w:val="multilevel"/>
    <w:tmpl w:val="2800E134"/>
    <w:lvl w:ilvl="0">
      <w:start w:val="1"/>
      <w:numFmt w:val="decimal"/>
      <w:lvlText w:val="%1."/>
      <w:lvlJc w:val="left"/>
      <w:pPr>
        <w:tabs>
          <w:tab w:val="num" w:pos="643"/>
        </w:tabs>
        <w:ind w:left="643" w:hanging="360"/>
      </w:pPr>
      <w:rPr>
        <w:position w:val="0"/>
      </w:rPr>
    </w:lvl>
    <w:lvl w:ilvl="1">
      <w:start w:val="1"/>
      <w:numFmt w:val="bullet"/>
      <w:lvlText w:val=""/>
      <w:lvlJc w:val="left"/>
      <w:pPr>
        <w:tabs>
          <w:tab w:val="num" w:pos="1363"/>
        </w:tabs>
        <w:ind w:left="1003" w:hanging="360"/>
      </w:pPr>
      <w:rPr>
        <w:rFonts w:ascii="Symbol" w:hAnsi="Symbol" w:hint="default"/>
        <w:position w:val="0"/>
      </w:rPr>
    </w:lvl>
    <w:lvl w:ilvl="2">
      <w:start w:val="1"/>
      <w:numFmt w:val="decimal"/>
      <w:lvlText w:val="%1."/>
      <w:lvlJc w:val="left"/>
      <w:pPr>
        <w:tabs>
          <w:tab w:val="num" w:pos="2083"/>
        </w:tabs>
        <w:ind w:left="1363" w:hanging="360"/>
      </w:pPr>
      <w:rPr>
        <w:position w:val="0"/>
      </w:rPr>
    </w:lvl>
    <w:lvl w:ilvl="3">
      <w:start w:val="1"/>
      <w:numFmt w:val="decimal"/>
      <w:lvlText w:val="%1."/>
      <w:lvlJc w:val="left"/>
      <w:pPr>
        <w:tabs>
          <w:tab w:val="num" w:pos="2803"/>
        </w:tabs>
        <w:ind w:left="1723" w:hanging="360"/>
      </w:pPr>
      <w:rPr>
        <w:position w:val="0"/>
      </w:rPr>
    </w:lvl>
    <w:lvl w:ilvl="4">
      <w:start w:val="1"/>
      <w:numFmt w:val="decimal"/>
      <w:lvlText w:val="%1."/>
      <w:lvlJc w:val="left"/>
      <w:pPr>
        <w:tabs>
          <w:tab w:val="num" w:pos="3523"/>
        </w:tabs>
        <w:ind w:left="2083" w:hanging="360"/>
      </w:pPr>
      <w:rPr>
        <w:position w:val="0"/>
      </w:rPr>
    </w:lvl>
    <w:lvl w:ilvl="5">
      <w:start w:val="1"/>
      <w:numFmt w:val="decimal"/>
      <w:lvlText w:val="%1."/>
      <w:lvlJc w:val="left"/>
      <w:pPr>
        <w:tabs>
          <w:tab w:val="num" w:pos="4243"/>
        </w:tabs>
        <w:ind w:left="2443" w:hanging="360"/>
      </w:pPr>
      <w:rPr>
        <w:position w:val="0"/>
      </w:rPr>
    </w:lvl>
    <w:lvl w:ilvl="6">
      <w:start w:val="1"/>
      <w:numFmt w:val="decimal"/>
      <w:lvlText w:val="%1."/>
      <w:lvlJc w:val="left"/>
      <w:pPr>
        <w:tabs>
          <w:tab w:val="num" w:pos="4963"/>
        </w:tabs>
        <w:ind w:left="2803" w:hanging="360"/>
      </w:pPr>
      <w:rPr>
        <w:position w:val="0"/>
      </w:rPr>
    </w:lvl>
    <w:lvl w:ilvl="7">
      <w:start w:val="1"/>
      <w:numFmt w:val="decimal"/>
      <w:lvlText w:val="%1."/>
      <w:lvlJc w:val="left"/>
      <w:pPr>
        <w:tabs>
          <w:tab w:val="num" w:pos="5683"/>
        </w:tabs>
        <w:ind w:left="3163" w:hanging="360"/>
      </w:pPr>
      <w:rPr>
        <w:position w:val="0"/>
      </w:rPr>
    </w:lvl>
    <w:lvl w:ilvl="8">
      <w:start w:val="1"/>
      <w:numFmt w:val="decimal"/>
      <w:lvlText w:val="%1."/>
      <w:lvlJc w:val="left"/>
      <w:pPr>
        <w:tabs>
          <w:tab w:val="num" w:pos="6403"/>
        </w:tabs>
        <w:ind w:left="3523" w:hanging="360"/>
      </w:pPr>
      <w:rPr>
        <w:position w:val="0"/>
      </w:rPr>
    </w:lvl>
  </w:abstractNum>
  <w:abstractNum w:abstractNumId="160" w15:restartNumberingAfterBreak="0">
    <w:nsid w:val="386C52FC"/>
    <w:multiLevelType w:val="hybridMultilevel"/>
    <w:tmpl w:val="10A296D0"/>
    <w:lvl w:ilvl="0" w:tplc="70E8D1A4">
      <w:start w:val="1"/>
      <w:numFmt w:val="decimal"/>
      <w:lvlText w:val="%1."/>
      <w:lvlJc w:val="left"/>
      <w:pPr>
        <w:ind w:left="720" w:hanging="360"/>
      </w:pPr>
      <w:rPr>
        <w:b/>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61" w15:restartNumberingAfterBreak="0">
    <w:nsid w:val="387B7CB8"/>
    <w:multiLevelType w:val="hybridMultilevel"/>
    <w:tmpl w:val="CCD4985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2" w15:restartNumberingAfterBreak="0">
    <w:nsid w:val="38997D5E"/>
    <w:multiLevelType w:val="hybridMultilevel"/>
    <w:tmpl w:val="A56EDE6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3" w15:restartNumberingAfterBreak="0">
    <w:nsid w:val="39570E7C"/>
    <w:multiLevelType w:val="hybridMultilevel"/>
    <w:tmpl w:val="9D621D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4" w15:restartNumberingAfterBreak="0">
    <w:nsid w:val="3A256249"/>
    <w:multiLevelType w:val="hybridMultilevel"/>
    <w:tmpl w:val="B56430B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3A896773"/>
    <w:multiLevelType w:val="hybridMultilevel"/>
    <w:tmpl w:val="148C9B4C"/>
    <w:lvl w:ilvl="0" w:tplc="EBBC44FA">
      <w:start w:val="1"/>
      <w:numFmt w:val="bullet"/>
      <w:pStyle w:val="Achievement"/>
      <w:lvlText w:val=""/>
      <w:lvlJc w:val="left"/>
      <w:pPr>
        <w:tabs>
          <w:tab w:val="num" w:pos="360"/>
        </w:tabs>
        <w:ind w:left="245" w:hanging="245"/>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6" w15:restartNumberingAfterBreak="0">
    <w:nsid w:val="3AA34378"/>
    <w:multiLevelType w:val="hybridMultilevel"/>
    <w:tmpl w:val="4BE2B5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7" w15:restartNumberingAfterBreak="0">
    <w:nsid w:val="3AD94BD8"/>
    <w:multiLevelType w:val="hybridMultilevel"/>
    <w:tmpl w:val="68A292A2"/>
    <w:lvl w:ilvl="0" w:tplc="D79889A6">
      <w:start w:val="1"/>
      <w:numFmt w:val="bullet"/>
      <w:lvlText w:val=""/>
      <w:lvlJc w:val="left"/>
      <w:pPr>
        <w:ind w:left="720" w:hanging="360"/>
      </w:pPr>
      <w:rPr>
        <w:rFonts w:ascii="Symbol" w:hAnsi="Symbol" w:hint="default"/>
        <w:sz w:val="22"/>
        <w:szCs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8" w15:restartNumberingAfterBreak="0">
    <w:nsid w:val="3AEA5717"/>
    <w:multiLevelType w:val="hybridMultilevel"/>
    <w:tmpl w:val="C29C53E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9" w15:restartNumberingAfterBreak="0">
    <w:nsid w:val="3AEC35A5"/>
    <w:multiLevelType w:val="hybridMultilevel"/>
    <w:tmpl w:val="6DAE1C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0" w15:restartNumberingAfterBreak="0">
    <w:nsid w:val="3B184F26"/>
    <w:multiLevelType w:val="hybridMultilevel"/>
    <w:tmpl w:val="61A453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1" w15:restartNumberingAfterBreak="0">
    <w:nsid w:val="3B7C46B7"/>
    <w:multiLevelType w:val="hybridMultilevel"/>
    <w:tmpl w:val="313C30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Arial"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Arial"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Arial" w:hint="default"/>
      </w:rPr>
    </w:lvl>
    <w:lvl w:ilvl="8" w:tplc="0C090005">
      <w:start w:val="1"/>
      <w:numFmt w:val="bullet"/>
      <w:lvlText w:val=""/>
      <w:lvlJc w:val="left"/>
      <w:pPr>
        <w:ind w:left="6480" w:hanging="360"/>
      </w:pPr>
      <w:rPr>
        <w:rFonts w:ascii="Wingdings" w:hAnsi="Wingdings" w:hint="default"/>
      </w:rPr>
    </w:lvl>
  </w:abstractNum>
  <w:abstractNum w:abstractNumId="172" w15:restartNumberingAfterBreak="0">
    <w:nsid w:val="3BFC7EFC"/>
    <w:multiLevelType w:val="hybridMultilevel"/>
    <w:tmpl w:val="97DE8C28"/>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3" w15:restartNumberingAfterBreak="0">
    <w:nsid w:val="3CD56A33"/>
    <w:multiLevelType w:val="hybridMultilevel"/>
    <w:tmpl w:val="FCE0B898"/>
    <w:lvl w:ilvl="0" w:tplc="0C090001">
      <w:start w:val="1"/>
      <w:numFmt w:val="bullet"/>
      <w:lvlText w:val=""/>
      <w:lvlJc w:val="left"/>
      <w:pPr>
        <w:tabs>
          <w:tab w:val="num" w:pos="720"/>
        </w:tabs>
        <w:ind w:left="720" w:hanging="360"/>
      </w:pPr>
      <w:rPr>
        <w:rFonts w:ascii="Symbol" w:hAnsi="Symbol" w:hint="default"/>
      </w:rPr>
    </w:lvl>
    <w:lvl w:ilvl="1" w:tplc="1C460E86">
      <w:start w:val="1"/>
      <w:numFmt w:val="bullet"/>
      <w:lvlText w:val="•"/>
      <w:lvlJc w:val="left"/>
      <w:pPr>
        <w:tabs>
          <w:tab w:val="num" w:pos="1440"/>
        </w:tabs>
        <w:ind w:left="1440" w:hanging="360"/>
      </w:pPr>
      <w:rPr>
        <w:rFonts w:ascii="Arial" w:hAnsi="Arial" w:cs="Times New Roman" w:hint="default"/>
      </w:rPr>
    </w:lvl>
    <w:lvl w:ilvl="2" w:tplc="67581C20">
      <w:start w:val="1"/>
      <w:numFmt w:val="bullet"/>
      <w:lvlText w:val="•"/>
      <w:lvlJc w:val="left"/>
      <w:pPr>
        <w:tabs>
          <w:tab w:val="num" w:pos="2160"/>
        </w:tabs>
        <w:ind w:left="2160" w:hanging="360"/>
      </w:pPr>
      <w:rPr>
        <w:rFonts w:ascii="Arial" w:hAnsi="Arial" w:cs="Times New Roman" w:hint="default"/>
      </w:rPr>
    </w:lvl>
    <w:lvl w:ilvl="3" w:tplc="5ADC334C">
      <w:start w:val="1"/>
      <w:numFmt w:val="bullet"/>
      <w:lvlText w:val="•"/>
      <w:lvlJc w:val="left"/>
      <w:pPr>
        <w:tabs>
          <w:tab w:val="num" w:pos="2880"/>
        </w:tabs>
        <w:ind w:left="2880" w:hanging="360"/>
      </w:pPr>
      <w:rPr>
        <w:rFonts w:ascii="Arial" w:hAnsi="Arial" w:cs="Times New Roman" w:hint="default"/>
      </w:rPr>
    </w:lvl>
    <w:lvl w:ilvl="4" w:tplc="66E0FDC6">
      <w:start w:val="1"/>
      <w:numFmt w:val="bullet"/>
      <w:lvlText w:val="•"/>
      <w:lvlJc w:val="left"/>
      <w:pPr>
        <w:tabs>
          <w:tab w:val="num" w:pos="3600"/>
        </w:tabs>
        <w:ind w:left="3600" w:hanging="360"/>
      </w:pPr>
      <w:rPr>
        <w:rFonts w:ascii="Arial" w:hAnsi="Arial" w:cs="Times New Roman" w:hint="default"/>
      </w:rPr>
    </w:lvl>
    <w:lvl w:ilvl="5" w:tplc="415A9440">
      <w:start w:val="1"/>
      <w:numFmt w:val="bullet"/>
      <w:lvlText w:val="•"/>
      <w:lvlJc w:val="left"/>
      <w:pPr>
        <w:tabs>
          <w:tab w:val="num" w:pos="4320"/>
        </w:tabs>
        <w:ind w:left="4320" w:hanging="360"/>
      </w:pPr>
      <w:rPr>
        <w:rFonts w:ascii="Arial" w:hAnsi="Arial" w:cs="Times New Roman" w:hint="default"/>
      </w:rPr>
    </w:lvl>
    <w:lvl w:ilvl="6" w:tplc="C13A800E">
      <w:start w:val="1"/>
      <w:numFmt w:val="bullet"/>
      <w:lvlText w:val="•"/>
      <w:lvlJc w:val="left"/>
      <w:pPr>
        <w:tabs>
          <w:tab w:val="num" w:pos="5040"/>
        </w:tabs>
        <w:ind w:left="5040" w:hanging="360"/>
      </w:pPr>
      <w:rPr>
        <w:rFonts w:ascii="Arial" w:hAnsi="Arial" w:cs="Times New Roman" w:hint="default"/>
      </w:rPr>
    </w:lvl>
    <w:lvl w:ilvl="7" w:tplc="0CB24814">
      <w:start w:val="1"/>
      <w:numFmt w:val="bullet"/>
      <w:lvlText w:val="•"/>
      <w:lvlJc w:val="left"/>
      <w:pPr>
        <w:tabs>
          <w:tab w:val="num" w:pos="5760"/>
        </w:tabs>
        <w:ind w:left="5760" w:hanging="360"/>
      </w:pPr>
      <w:rPr>
        <w:rFonts w:ascii="Arial" w:hAnsi="Arial" w:cs="Times New Roman" w:hint="default"/>
      </w:rPr>
    </w:lvl>
    <w:lvl w:ilvl="8" w:tplc="BE94A670">
      <w:start w:val="1"/>
      <w:numFmt w:val="bullet"/>
      <w:lvlText w:val="•"/>
      <w:lvlJc w:val="left"/>
      <w:pPr>
        <w:tabs>
          <w:tab w:val="num" w:pos="6480"/>
        </w:tabs>
        <w:ind w:left="6480" w:hanging="360"/>
      </w:pPr>
      <w:rPr>
        <w:rFonts w:ascii="Arial" w:hAnsi="Arial" w:cs="Times New Roman" w:hint="default"/>
      </w:rPr>
    </w:lvl>
  </w:abstractNum>
  <w:abstractNum w:abstractNumId="174" w15:restartNumberingAfterBreak="0">
    <w:nsid w:val="3EC13F22"/>
    <w:multiLevelType w:val="hybridMultilevel"/>
    <w:tmpl w:val="60B210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5" w15:restartNumberingAfterBreak="0">
    <w:nsid w:val="3EC72A05"/>
    <w:multiLevelType w:val="hybridMultilevel"/>
    <w:tmpl w:val="0F08FC0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76" w15:restartNumberingAfterBreak="0">
    <w:nsid w:val="3EFB51ED"/>
    <w:multiLevelType w:val="hybridMultilevel"/>
    <w:tmpl w:val="90B61228"/>
    <w:lvl w:ilvl="0" w:tplc="0C090019">
      <w:start w:val="1"/>
      <w:numFmt w:val="lowerLetter"/>
      <w:lvlText w:val="%1."/>
      <w:lvlJc w:val="left"/>
      <w:pPr>
        <w:ind w:left="1287" w:hanging="360"/>
      </w:pPr>
    </w:lvl>
    <w:lvl w:ilvl="1" w:tplc="0C090019">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77" w15:restartNumberingAfterBreak="0">
    <w:nsid w:val="3F6B1BB1"/>
    <w:multiLevelType w:val="hybridMultilevel"/>
    <w:tmpl w:val="2DFC9654"/>
    <w:lvl w:ilvl="0" w:tplc="8794ADB2">
      <w:start w:val="1"/>
      <w:numFmt w:val="bullet"/>
      <w:lvlText w:val="•"/>
      <w:lvlJc w:val="left"/>
      <w:pPr>
        <w:tabs>
          <w:tab w:val="num" w:pos="720"/>
        </w:tabs>
        <w:ind w:left="720" w:hanging="360"/>
      </w:pPr>
      <w:rPr>
        <w:rFonts w:ascii="Arial" w:hAnsi="Arial" w:cs="Times New Roman" w:hint="default"/>
      </w:rPr>
    </w:lvl>
    <w:lvl w:ilvl="1" w:tplc="1C460E86">
      <w:start w:val="1"/>
      <w:numFmt w:val="bullet"/>
      <w:lvlText w:val="•"/>
      <w:lvlJc w:val="left"/>
      <w:pPr>
        <w:tabs>
          <w:tab w:val="num" w:pos="1440"/>
        </w:tabs>
        <w:ind w:left="1440" w:hanging="360"/>
      </w:pPr>
      <w:rPr>
        <w:rFonts w:ascii="Arial" w:hAnsi="Arial" w:cs="Times New Roman" w:hint="default"/>
      </w:rPr>
    </w:lvl>
    <w:lvl w:ilvl="2" w:tplc="67581C20">
      <w:start w:val="1"/>
      <w:numFmt w:val="bullet"/>
      <w:lvlText w:val="•"/>
      <w:lvlJc w:val="left"/>
      <w:pPr>
        <w:tabs>
          <w:tab w:val="num" w:pos="2160"/>
        </w:tabs>
        <w:ind w:left="2160" w:hanging="360"/>
      </w:pPr>
      <w:rPr>
        <w:rFonts w:ascii="Arial" w:hAnsi="Arial" w:cs="Times New Roman" w:hint="default"/>
      </w:rPr>
    </w:lvl>
    <w:lvl w:ilvl="3" w:tplc="5ADC334C">
      <w:start w:val="1"/>
      <w:numFmt w:val="bullet"/>
      <w:lvlText w:val="•"/>
      <w:lvlJc w:val="left"/>
      <w:pPr>
        <w:tabs>
          <w:tab w:val="num" w:pos="2880"/>
        </w:tabs>
        <w:ind w:left="2880" w:hanging="360"/>
      </w:pPr>
      <w:rPr>
        <w:rFonts w:ascii="Arial" w:hAnsi="Arial" w:cs="Times New Roman" w:hint="default"/>
      </w:rPr>
    </w:lvl>
    <w:lvl w:ilvl="4" w:tplc="66E0FDC6">
      <w:start w:val="1"/>
      <w:numFmt w:val="bullet"/>
      <w:lvlText w:val="•"/>
      <w:lvlJc w:val="left"/>
      <w:pPr>
        <w:tabs>
          <w:tab w:val="num" w:pos="3600"/>
        </w:tabs>
        <w:ind w:left="3600" w:hanging="360"/>
      </w:pPr>
      <w:rPr>
        <w:rFonts w:ascii="Arial" w:hAnsi="Arial" w:cs="Times New Roman" w:hint="default"/>
      </w:rPr>
    </w:lvl>
    <w:lvl w:ilvl="5" w:tplc="415A9440">
      <w:start w:val="1"/>
      <w:numFmt w:val="bullet"/>
      <w:lvlText w:val="•"/>
      <w:lvlJc w:val="left"/>
      <w:pPr>
        <w:tabs>
          <w:tab w:val="num" w:pos="4320"/>
        </w:tabs>
        <w:ind w:left="4320" w:hanging="360"/>
      </w:pPr>
      <w:rPr>
        <w:rFonts w:ascii="Arial" w:hAnsi="Arial" w:cs="Times New Roman" w:hint="default"/>
      </w:rPr>
    </w:lvl>
    <w:lvl w:ilvl="6" w:tplc="C13A800E">
      <w:start w:val="1"/>
      <w:numFmt w:val="bullet"/>
      <w:lvlText w:val="•"/>
      <w:lvlJc w:val="left"/>
      <w:pPr>
        <w:tabs>
          <w:tab w:val="num" w:pos="5040"/>
        </w:tabs>
        <w:ind w:left="5040" w:hanging="360"/>
      </w:pPr>
      <w:rPr>
        <w:rFonts w:ascii="Arial" w:hAnsi="Arial" w:cs="Times New Roman" w:hint="default"/>
      </w:rPr>
    </w:lvl>
    <w:lvl w:ilvl="7" w:tplc="0CB24814">
      <w:start w:val="1"/>
      <w:numFmt w:val="bullet"/>
      <w:lvlText w:val="•"/>
      <w:lvlJc w:val="left"/>
      <w:pPr>
        <w:tabs>
          <w:tab w:val="num" w:pos="5760"/>
        </w:tabs>
        <w:ind w:left="5760" w:hanging="360"/>
      </w:pPr>
      <w:rPr>
        <w:rFonts w:ascii="Arial" w:hAnsi="Arial" w:cs="Times New Roman" w:hint="default"/>
      </w:rPr>
    </w:lvl>
    <w:lvl w:ilvl="8" w:tplc="BE94A670">
      <w:start w:val="1"/>
      <w:numFmt w:val="bullet"/>
      <w:lvlText w:val="•"/>
      <w:lvlJc w:val="left"/>
      <w:pPr>
        <w:tabs>
          <w:tab w:val="num" w:pos="6480"/>
        </w:tabs>
        <w:ind w:left="6480" w:hanging="360"/>
      </w:pPr>
      <w:rPr>
        <w:rFonts w:ascii="Arial" w:hAnsi="Arial" w:cs="Times New Roman" w:hint="default"/>
      </w:rPr>
    </w:lvl>
  </w:abstractNum>
  <w:abstractNum w:abstractNumId="178" w15:restartNumberingAfterBreak="0">
    <w:nsid w:val="3FA3232A"/>
    <w:multiLevelType w:val="hybridMultilevel"/>
    <w:tmpl w:val="6180DA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9" w15:restartNumberingAfterBreak="0">
    <w:nsid w:val="3FB371B4"/>
    <w:multiLevelType w:val="hybridMultilevel"/>
    <w:tmpl w:val="190056F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80" w15:restartNumberingAfterBreak="0">
    <w:nsid w:val="3FB65C02"/>
    <w:multiLevelType w:val="hybridMultilevel"/>
    <w:tmpl w:val="A79819E2"/>
    <w:lvl w:ilvl="0" w:tplc="5BF4F4AC">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1" w15:restartNumberingAfterBreak="0">
    <w:nsid w:val="3FC0785F"/>
    <w:multiLevelType w:val="hybridMultilevel"/>
    <w:tmpl w:val="E41486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2" w15:restartNumberingAfterBreak="0">
    <w:nsid w:val="3FD52108"/>
    <w:multiLevelType w:val="hybridMultilevel"/>
    <w:tmpl w:val="F65810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3" w15:restartNumberingAfterBreak="0">
    <w:nsid w:val="406E056D"/>
    <w:multiLevelType w:val="hybridMultilevel"/>
    <w:tmpl w:val="189C66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4" w15:restartNumberingAfterBreak="0">
    <w:nsid w:val="40E01C7D"/>
    <w:multiLevelType w:val="hybridMultilevel"/>
    <w:tmpl w:val="4566CB5C"/>
    <w:lvl w:ilvl="0" w:tplc="17BAC460">
      <w:start w:val="50"/>
      <w:numFmt w:val="bullet"/>
      <w:lvlText w:val="-"/>
      <w:lvlJc w:val="left"/>
      <w:pPr>
        <w:ind w:left="720" w:hanging="360"/>
      </w:pPr>
      <w:rPr>
        <w:rFonts w:ascii="Calibri" w:eastAsia="Times New Roman" w:hAnsi="Calibri" w:cs="Calibri" w:hint="default"/>
        <w:b w:val="0"/>
        <w:w w:val="1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5" w15:restartNumberingAfterBreak="0">
    <w:nsid w:val="41005952"/>
    <w:multiLevelType w:val="hybridMultilevel"/>
    <w:tmpl w:val="1262AE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6" w15:restartNumberingAfterBreak="0">
    <w:nsid w:val="410F2414"/>
    <w:multiLevelType w:val="hybridMultilevel"/>
    <w:tmpl w:val="B0CE5466"/>
    <w:lvl w:ilvl="0" w:tplc="0C090001">
      <w:start w:val="1"/>
      <w:numFmt w:val="bullet"/>
      <w:lvlText w:val=""/>
      <w:lvlJc w:val="left"/>
      <w:pPr>
        <w:ind w:left="720" w:hanging="360"/>
      </w:pPr>
      <w:rPr>
        <w:rFonts w:ascii="Symbol" w:hAnsi="Symbol" w:hint="default"/>
      </w:rPr>
    </w:lvl>
    <w:lvl w:ilvl="1" w:tplc="62720B0C">
      <w:start w:val="1"/>
      <w:numFmt w:val="bullet"/>
      <w:lvlText w:val="•"/>
      <w:lvlJc w:val="left"/>
      <w:pPr>
        <w:ind w:left="1440" w:hanging="360"/>
      </w:pPr>
      <w:rPr>
        <w:rFonts w:ascii="Arial"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7" w15:restartNumberingAfterBreak="0">
    <w:nsid w:val="41AB6D41"/>
    <w:multiLevelType w:val="hybridMultilevel"/>
    <w:tmpl w:val="408816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8" w15:restartNumberingAfterBreak="0">
    <w:nsid w:val="41C3053F"/>
    <w:multiLevelType w:val="multilevel"/>
    <w:tmpl w:val="CEFAFB1A"/>
    <w:lvl w:ilvl="0">
      <w:start w:val="1"/>
      <w:numFmt w:val="lowerLetter"/>
      <w:lvlText w:val="%1."/>
      <w:lvlJc w:val="left"/>
      <w:pPr>
        <w:ind w:left="1440" w:hanging="360"/>
      </w:pPr>
    </w:lvl>
    <w:lvl w:ilvl="1">
      <w:start w:val="1"/>
      <w:numFmt w:val="lowerRoman"/>
      <w:lvlText w:val="%2."/>
      <w:lvlJc w:val="left"/>
      <w:pPr>
        <w:ind w:left="2160" w:hanging="360"/>
      </w:pPr>
    </w:lvl>
    <w:lvl w:ilvl="2">
      <w:start w:val="1"/>
      <w:numFmt w:val="none"/>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89" w15:restartNumberingAfterBreak="0">
    <w:nsid w:val="421A1874"/>
    <w:multiLevelType w:val="hybridMultilevel"/>
    <w:tmpl w:val="B63A483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90" w15:restartNumberingAfterBreak="0">
    <w:nsid w:val="42863DCC"/>
    <w:multiLevelType w:val="hybridMultilevel"/>
    <w:tmpl w:val="0AF805B4"/>
    <w:lvl w:ilvl="0" w:tplc="0C090019">
      <w:start w:val="1"/>
      <w:numFmt w:val="low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1" w15:restartNumberingAfterBreak="0">
    <w:nsid w:val="42C67312"/>
    <w:multiLevelType w:val="hybridMultilevel"/>
    <w:tmpl w:val="9AAE7E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2" w15:restartNumberingAfterBreak="0">
    <w:nsid w:val="42E46F99"/>
    <w:multiLevelType w:val="hybridMultilevel"/>
    <w:tmpl w:val="DFB0E39C"/>
    <w:lvl w:ilvl="0" w:tplc="DBF6EDEC">
      <w:start w:val="1"/>
      <w:numFmt w:val="decimal"/>
      <w:lvlText w:val="%1."/>
      <w:lvlJc w:val="left"/>
      <w:pPr>
        <w:ind w:left="720" w:hanging="360"/>
      </w:pPr>
      <w:rPr>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9678FF54">
      <w:start w:val="1"/>
      <w:numFmt w:val="decimal"/>
      <w:lvlText w:val="%4."/>
      <w:lvlJc w:val="left"/>
      <w:pPr>
        <w:ind w:left="2062" w:hanging="360"/>
      </w:pPr>
      <w:rPr>
        <w:rFonts w:ascii="Cambria" w:hAnsi="Cambria"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3" w15:restartNumberingAfterBreak="0">
    <w:nsid w:val="42E87861"/>
    <w:multiLevelType w:val="hybridMultilevel"/>
    <w:tmpl w:val="C098195A"/>
    <w:lvl w:ilvl="0" w:tplc="D70C8856">
      <w:start w:val="1"/>
      <w:numFmt w:val="decimal"/>
      <w:lvlText w:val="%1."/>
      <w:lvlJc w:val="left"/>
      <w:pPr>
        <w:ind w:left="720" w:hanging="360"/>
      </w:pPr>
      <w:rPr>
        <w:rFonts w:asciiTheme="minorHAnsi" w:hAnsiTheme="minorHAnsi" w:cstheme="minorBidi"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94" w15:restartNumberingAfterBreak="0">
    <w:nsid w:val="43583CDF"/>
    <w:multiLevelType w:val="hybridMultilevel"/>
    <w:tmpl w:val="BA1074FA"/>
    <w:lvl w:ilvl="0" w:tplc="1004EF56">
      <w:start w:val="1"/>
      <w:numFmt w:val="decimal"/>
      <w:lvlText w:val="%1."/>
      <w:lvlJc w:val="left"/>
      <w:pPr>
        <w:ind w:left="720" w:hanging="360"/>
      </w:pPr>
      <w:rPr>
        <w:sz w:val="22"/>
        <w:szCs w:val="22"/>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95" w15:restartNumberingAfterBreak="0">
    <w:nsid w:val="43734996"/>
    <w:multiLevelType w:val="hybridMultilevel"/>
    <w:tmpl w:val="860056C8"/>
    <w:lvl w:ilvl="0" w:tplc="0C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6" w15:restartNumberingAfterBreak="0">
    <w:nsid w:val="43BE01C8"/>
    <w:multiLevelType w:val="hybridMultilevel"/>
    <w:tmpl w:val="ECECA7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7" w15:restartNumberingAfterBreak="0">
    <w:nsid w:val="43F72A57"/>
    <w:multiLevelType w:val="hybridMultilevel"/>
    <w:tmpl w:val="099021DE"/>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8" w15:restartNumberingAfterBreak="0">
    <w:nsid w:val="44913939"/>
    <w:multiLevelType w:val="hybridMultilevel"/>
    <w:tmpl w:val="1312E3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9" w15:restartNumberingAfterBreak="0">
    <w:nsid w:val="44A06686"/>
    <w:multiLevelType w:val="hybridMultilevel"/>
    <w:tmpl w:val="C25AA8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0" w15:restartNumberingAfterBreak="0">
    <w:nsid w:val="44C21695"/>
    <w:multiLevelType w:val="hybridMultilevel"/>
    <w:tmpl w:val="171865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1" w15:restartNumberingAfterBreak="0">
    <w:nsid w:val="44F07854"/>
    <w:multiLevelType w:val="hybridMultilevel"/>
    <w:tmpl w:val="16F634B6"/>
    <w:lvl w:ilvl="0" w:tplc="0C090019">
      <w:start w:val="1"/>
      <w:numFmt w:val="low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202" w15:restartNumberingAfterBreak="0">
    <w:nsid w:val="45E47275"/>
    <w:multiLevelType w:val="hybridMultilevel"/>
    <w:tmpl w:val="A970BACA"/>
    <w:lvl w:ilvl="0" w:tplc="0C090001">
      <w:start w:val="1"/>
      <w:numFmt w:val="bullet"/>
      <w:lvlText w:val=""/>
      <w:lvlJc w:val="left"/>
      <w:pPr>
        <w:ind w:left="720" w:hanging="360"/>
      </w:pPr>
      <w:rPr>
        <w:rFonts w:ascii="Symbol" w:hAnsi="Symbol" w:hint="default"/>
      </w:rPr>
    </w:lvl>
    <w:lvl w:ilvl="1" w:tplc="62720B0C">
      <w:start w:val="1"/>
      <w:numFmt w:val="bullet"/>
      <w:lvlText w:val="•"/>
      <w:lvlJc w:val="left"/>
      <w:pPr>
        <w:ind w:left="1440" w:hanging="360"/>
      </w:pPr>
      <w:rPr>
        <w:rFonts w:ascii="Arial"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3" w15:restartNumberingAfterBreak="0">
    <w:nsid w:val="46AC7C10"/>
    <w:multiLevelType w:val="hybridMultilevel"/>
    <w:tmpl w:val="9B3CD5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4" w15:restartNumberingAfterBreak="0">
    <w:nsid w:val="46E924E7"/>
    <w:multiLevelType w:val="hybridMultilevel"/>
    <w:tmpl w:val="D9DE97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5" w15:restartNumberingAfterBreak="0">
    <w:nsid w:val="46FD0CE7"/>
    <w:multiLevelType w:val="hybridMultilevel"/>
    <w:tmpl w:val="6302D94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06" w15:restartNumberingAfterBreak="0">
    <w:nsid w:val="470004D9"/>
    <w:multiLevelType w:val="hybridMultilevel"/>
    <w:tmpl w:val="3FC82A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7" w15:restartNumberingAfterBreak="0">
    <w:nsid w:val="47001236"/>
    <w:multiLevelType w:val="multilevel"/>
    <w:tmpl w:val="3CDE7B2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8" w15:restartNumberingAfterBreak="0">
    <w:nsid w:val="47BB0974"/>
    <w:multiLevelType w:val="hybridMultilevel"/>
    <w:tmpl w:val="B94C26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9" w15:restartNumberingAfterBreak="0">
    <w:nsid w:val="483D09D6"/>
    <w:multiLevelType w:val="hybridMultilevel"/>
    <w:tmpl w:val="E196DEB0"/>
    <w:lvl w:ilvl="0" w:tplc="A2A4D732">
      <w:start w:val="1"/>
      <w:numFmt w:val="decimal"/>
      <w:lvlText w:val="%1."/>
      <w:lvlJc w:val="left"/>
      <w:pPr>
        <w:ind w:left="720" w:hanging="360"/>
      </w:pPr>
      <w:rPr>
        <w:sz w:val="22"/>
        <w:szCs w:val="22"/>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10" w15:restartNumberingAfterBreak="0">
    <w:nsid w:val="48471554"/>
    <w:multiLevelType w:val="hybridMultilevel"/>
    <w:tmpl w:val="7F1E47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1" w15:restartNumberingAfterBreak="0">
    <w:nsid w:val="49A039EB"/>
    <w:multiLevelType w:val="multilevel"/>
    <w:tmpl w:val="34B461D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074"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2" w15:restartNumberingAfterBreak="0">
    <w:nsid w:val="49F340A1"/>
    <w:multiLevelType w:val="hybridMultilevel"/>
    <w:tmpl w:val="DB10A3BE"/>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Times New Roman"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Times New Roman"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Times New Roman"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213" w15:restartNumberingAfterBreak="0">
    <w:nsid w:val="4A3468F3"/>
    <w:multiLevelType w:val="hybridMultilevel"/>
    <w:tmpl w:val="27B226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4" w15:restartNumberingAfterBreak="0">
    <w:nsid w:val="4AA67616"/>
    <w:multiLevelType w:val="hybridMultilevel"/>
    <w:tmpl w:val="3FAE7C38"/>
    <w:lvl w:ilvl="0" w:tplc="B59A7D60">
      <w:numFmt w:val="bullet"/>
      <w:lvlText w:val="•"/>
      <w:lvlJc w:val="left"/>
      <w:pPr>
        <w:ind w:left="720" w:hanging="360"/>
      </w:pPr>
      <w:rPr>
        <w:rFonts w:ascii="Cambria" w:eastAsiaTheme="minorHAnsi" w:hAnsi="Cambria" w:cs="Century Gothic"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5" w15:restartNumberingAfterBreak="0">
    <w:nsid w:val="4AB96FB5"/>
    <w:multiLevelType w:val="hybridMultilevel"/>
    <w:tmpl w:val="B67A176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16" w15:restartNumberingAfterBreak="0">
    <w:nsid w:val="4ADF1FF0"/>
    <w:multiLevelType w:val="hybridMultilevel"/>
    <w:tmpl w:val="E0B039A6"/>
    <w:lvl w:ilvl="0" w:tplc="9AB8F8CC">
      <w:start w:val="1"/>
      <w:numFmt w:val="bullet"/>
      <w:lvlText w:val="•"/>
      <w:lvlJc w:val="left"/>
      <w:pPr>
        <w:ind w:left="1004" w:hanging="360"/>
      </w:pPr>
      <w:rPr>
        <w:rFonts w:ascii="Times New Roman" w:hAnsi="Times New Roman" w:cs="Times New Roman"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17" w15:restartNumberingAfterBreak="0">
    <w:nsid w:val="4B1E0345"/>
    <w:multiLevelType w:val="hybridMultilevel"/>
    <w:tmpl w:val="0BA636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8" w15:restartNumberingAfterBreak="0">
    <w:nsid w:val="4B803330"/>
    <w:multiLevelType w:val="hybridMultilevel"/>
    <w:tmpl w:val="047087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9" w15:restartNumberingAfterBreak="0">
    <w:nsid w:val="4BB40194"/>
    <w:multiLevelType w:val="hybridMultilevel"/>
    <w:tmpl w:val="A000B4E4"/>
    <w:lvl w:ilvl="0" w:tplc="12AA5F4A">
      <w:start w:val="1"/>
      <w:numFmt w:val="bullet"/>
      <w:lvlText w:val=""/>
      <w:lvlJc w:val="left"/>
      <w:pPr>
        <w:ind w:left="720" w:hanging="360"/>
      </w:pPr>
      <w:rPr>
        <w:rFonts w:ascii="Symbol" w:hAnsi="Symbol" w:hint="default"/>
        <w:sz w:val="22"/>
        <w:szCs w:val="22"/>
      </w:rPr>
    </w:lvl>
    <w:lvl w:ilvl="1" w:tplc="2D8EFE94">
      <w:start w:val="1"/>
      <w:numFmt w:val="bullet"/>
      <w:lvlText w:val="•"/>
      <w:lvlJc w:val="left"/>
      <w:pPr>
        <w:ind w:left="1440" w:hanging="360"/>
      </w:pPr>
      <w:rPr>
        <w:rFonts w:ascii="Times New Roman" w:hAnsi="Times New Roman" w:cs="Times New Roman" w:hint="default"/>
        <w:sz w:val="22"/>
        <w:szCs w:val="22"/>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0" w15:restartNumberingAfterBreak="0">
    <w:nsid w:val="4C495420"/>
    <w:multiLevelType w:val="hybridMultilevel"/>
    <w:tmpl w:val="4094F06E"/>
    <w:lvl w:ilvl="0" w:tplc="1784937E">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21" w15:restartNumberingAfterBreak="0">
    <w:nsid w:val="4CB51413"/>
    <w:multiLevelType w:val="hybridMultilevel"/>
    <w:tmpl w:val="B96265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2" w15:restartNumberingAfterBreak="0">
    <w:nsid w:val="4DA0268A"/>
    <w:multiLevelType w:val="hybridMultilevel"/>
    <w:tmpl w:val="14E282C2"/>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223" w15:restartNumberingAfterBreak="0">
    <w:nsid w:val="4E0F4EF1"/>
    <w:multiLevelType w:val="hybridMultilevel"/>
    <w:tmpl w:val="349471FC"/>
    <w:lvl w:ilvl="0" w:tplc="B59A7D60">
      <w:numFmt w:val="bullet"/>
      <w:lvlText w:val="•"/>
      <w:lvlJc w:val="left"/>
      <w:pPr>
        <w:ind w:left="720" w:hanging="360"/>
      </w:pPr>
      <w:rPr>
        <w:rFonts w:ascii="Cambria" w:eastAsiaTheme="minorHAnsi" w:hAnsi="Cambria" w:cs="Century Gothic" w:hint="default"/>
      </w:rPr>
    </w:lvl>
    <w:lvl w:ilvl="1" w:tplc="28FCB190">
      <w:start w:val="1"/>
      <w:numFmt w:val="bullet"/>
      <w:lvlText w:val=""/>
      <w:lvlJc w:val="left"/>
      <w:pPr>
        <w:ind w:left="1440" w:hanging="360"/>
      </w:pPr>
      <w:rPr>
        <w:rFonts w:ascii="Symbol" w:eastAsiaTheme="minorHAnsi" w:hAnsi="Symbol"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4" w15:restartNumberingAfterBreak="0">
    <w:nsid w:val="4EFA02AA"/>
    <w:multiLevelType w:val="hybridMultilevel"/>
    <w:tmpl w:val="D75CA772"/>
    <w:lvl w:ilvl="0" w:tplc="0C090001">
      <w:start w:val="1"/>
      <w:numFmt w:val="bullet"/>
      <w:lvlText w:val=""/>
      <w:lvlJc w:val="left"/>
      <w:pPr>
        <w:ind w:left="1037" w:hanging="360"/>
      </w:pPr>
      <w:rPr>
        <w:rFonts w:ascii="Symbol" w:hAnsi="Symbol" w:hint="default"/>
      </w:rPr>
    </w:lvl>
    <w:lvl w:ilvl="1" w:tplc="0C090003">
      <w:start w:val="1"/>
      <w:numFmt w:val="bullet"/>
      <w:lvlText w:val="o"/>
      <w:lvlJc w:val="left"/>
      <w:pPr>
        <w:ind w:left="1757" w:hanging="360"/>
      </w:pPr>
      <w:rPr>
        <w:rFonts w:ascii="Courier New" w:hAnsi="Courier New" w:cs="Courier New" w:hint="default"/>
      </w:rPr>
    </w:lvl>
    <w:lvl w:ilvl="2" w:tplc="0C090005">
      <w:start w:val="1"/>
      <w:numFmt w:val="bullet"/>
      <w:lvlText w:val=""/>
      <w:lvlJc w:val="left"/>
      <w:pPr>
        <w:ind w:left="2477" w:hanging="360"/>
      </w:pPr>
      <w:rPr>
        <w:rFonts w:ascii="Wingdings" w:hAnsi="Wingdings" w:hint="default"/>
      </w:rPr>
    </w:lvl>
    <w:lvl w:ilvl="3" w:tplc="0C090001">
      <w:start w:val="1"/>
      <w:numFmt w:val="bullet"/>
      <w:lvlText w:val=""/>
      <w:lvlJc w:val="left"/>
      <w:pPr>
        <w:ind w:left="3197" w:hanging="360"/>
      </w:pPr>
      <w:rPr>
        <w:rFonts w:ascii="Symbol" w:hAnsi="Symbol" w:hint="default"/>
      </w:rPr>
    </w:lvl>
    <w:lvl w:ilvl="4" w:tplc="0C090003">
      <w:start w:val="1"/>
      <w:numFmt w:val="bullet"/>
      <w:lvlText w:val="o"/>
      <w:lvlJc w:val="left"/>
      <w:pPr>
        <w:ind w:left="3917" w:hanging="360"/>
      </w:pPr>
      <w:rPr>
        <w:rFonts w:ascii="Courier New" w:hAnsi="Courier New" w:cs="Courier New" w:hint="default"/>
      </w:rPr>
    </w:lvl>
    <w:lvl w:ilvl="5" w:tplc="0C090005">
      <w:start w:val="1"/>
      <w:numFmt w:val="bullet"/>
      <w:lvlText w:val=""/>
      <w:lvlJc w:val="left"/>
      <w:pPr>
        <w:ind w:left="4637" w:hanging="360"/>
      </w:pPr>
      <w:rPr>
        <w:rFonts w:ascii="Wingdings" w:hAnsi="Wingdings" w:hint="default"/>
      </w:rPr>
    </w:lvl>
    <w:lvl w:ilvl="6" w:tplc="0C090001">
      <w:start w:val="1"/>
      <w:numFmt w:val="bullet"/>
      <w:lvlText w:val=""/>
      <w:lvlJc w:val="left"/>
      <w:pPr>
        <w:ind w:left="5357" w:hanging="360"/>
      </w:pPr>
      <w:rPr>
        <w:rFonts w:ascii="Symbol" w:hAnsi="Symbol" w:hint="default"/>
      </w:rPr>
    </w:lvl>
    <w:lvl w:ilvl="7" w:tplc="0C090003">
      <w:start w:val="1"/>
      <w:numFmt w:val="bullet"/>
      <w:lvlText w:val="o"/>
      <w:lvlJc w:val="left"/>
      <w:pPr>
        <w:ind w:left="6077" w:hanging="360"/>
      </w:pPr>
      <w:rPr>
        <w:rFonts w:ascii="Courier New" w:hAnsi="Courier New" w:cs="Courier New" w:hint="default"/>
      </w:rPr>
    </w:lvl>
    <w:lvl w:ilvl="8" w:tplc="0C090005">
      <w:start w:val="1"/>
      <w:numFmt w:val="bullet"/>
      <w:lvlText w:val=""/>
      <w:lvlJc w:val="left"/>
      <w:pPr>
        <w:ind w:left="6797" w:hanging="360"/>
      </w:pPr>
      <w:rPr>
        <w:rFonts w:ascii="Wingdings" w:hAnsi="Wingdings" w:hint="default"/>
      </w:rPr>
    </w:lvl>
  </w:abstractNum>
  <w:abstractNum w:abstractNumId="225" w15:restartNumberingAfterBreak="0">
    <w:nsid w:val="4F5827D9"/>
    <w:multiLevelType w:val="hybridMultilevel"/>
    <w:tmpl w:val="13785590"/>
    <w:lvl w:ilvl="0" w:tplc="0409000F">
      <w:start w:val="1"/>
      <w:numFmt w:val="decimal"/>
      <w:lvlText w:val="%1."/>
      <w:lvlJc w:val="left"/>
      <w:pPr>
        <w:ind w:left="786"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6" w15:restartNumberingAfterBreak="0">
    <w:nsid w:val="4FA24B40"/>
    <w:multiLevelType w:val="hybridMultilevel"/>
    <w:tmpl w:val="09FA1A1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7" w15:restartNumberingAfterBreak="0">
    <w:nsid w:val="4FFC326C"/>
    <w:multiLevelType w:val="hybridMultilevel"/>
    <w:tmpl w:val="76A06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8" w15:restartNumberingAfterBreak="0">
    <w:nsid w:val="50C973DC"/>
    <w:multiLevelType w:val="hybridMultilevel"/>
    <w:tmpl w:val="44062A54"/>
    <w:lvl w:ilvl="0" w:tplc="0C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9" w15:restartNumberingAfterBreak="0">
    <w:nsid w:val="50D656B2"/>
    <w:multiLevelType w:val="multilevel"/>
    <w:tmpl w:val="5D54F170"/>
    <w:styleLink w:val="Style2"/>
    <w:lvl w:ilvl="0">
      <w:start w:val="1"/>
      <w:numFmt w:val="decimal"/>
      <w:lvlText w:val="%1."/>
      <w:lvlJc w:val="left"/>
      <w:pPr>
        <w:ind w:left="360" w:hanging="360"/>
      </w:pPr>
      <w:rPr>
        <w:rFonts w:ascii="Cambria" w:hAnsi="Cambria"/>
        <w:b/>
        <w:sz w:val="24"/>
      </w:rPr>
    </w:lvl>
    <w:lvl w:ilvl="1">
      <w:start w:val="1"/>
      <w:numFmt w:val="decimal"/>
      <w:lvlText w:val="%1.%2."/>
      <w:lvlJc w:val="left"/>
      <w:pPr>
        <w:ind w:left="792" w:hanging="432"/>
      </w:pPr>
      <w:rPr>
        <w:rFonts w:ascii="Cambria" w:hAnsi="Cambria"/>
        <w:b/>
        <w:sz w:val="22"/>
      </w:rPr>
    </w:lvl>
    <w:lvl w:ilvl="2">
      <w:start w:val="1"/>
      <w:numFmt w:val="decimal"/>
      <w:lvlText w:val="%1.%2.%3."/>
      <w:lvlJc w:val="left"/>
      <w:pPr>
        <w:ind w:left="1224" w:hanging="504"/>
      </w:pPr>
      <w:rPr>
        <w:rFonts w:ascii="Cambria" w:hAnsi="Cambria"/>
        <w:b/>
        <w:sz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0" w15:restartNumberingAfterBreak="0">
    <w:nsid w:val="51600E7F"/>
    <w:multiLevelType w:val="hybridMultilevel"/>
    <w:tmpl w:val="7974D916"/>
    <w:lvl w:ilvl="0" w:tplc="AB824D18">
      <w:start w:val="1"/>
      <w:numFmt w:val="lowerLetter"/>
      <w:lvlText w:val="%1."/>
      <w:lvlJc w:val="left"/>
      <w:pPr>
        <w:ind w:left="360" w:hanging="360"/>
      </w:pPr>
      <w:rPr>
        <w:rFonts w:asciiTheme="minorHAnsi" w:eastAsiaTheme="minorHAnsi" w:hAnsiTheme="minorHAnsi" w:cstheme="minorBidi"/>
        <w:b w: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1" w15:restartNumberingAfterBreak="0">
    <w:nsid w:val="51FD2DE6"/>
    <w:multiLevelType w:val="hybridMultilevel"/>
    <w:tmpl w:val="E3C0E6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2" w15:restartNumberingAfterBreak="0">
    <w:nsid w:val="523629D5"/>
    <w:multiLevelType w:val="hybridMultilevel"/>
    <w:tmpl w:val="35E64644"/>
    <w:lvl w:ilvl="0" w:tplc="0C090019">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3" w15:restartNumberingAfterBreak="0">
    <w:nsid w:val="52444854"/>
    <w:multiLevelType w:val="hybridMultilevel"/>
    <w:tmpl w:val="041CF5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4" w15:restartNumberingAfterBreak="0">
    <w:nsid w:val="529E48BC"/>
    <w:multiLevelType w:val="hybridMultilevel"/>
    <w:tmpl w:val="3A2C11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5" w15:restartNumberingAfterBreak="0">
    <w:nsid w:val="52BD57A7"/>
    <w:multiLevelType w:val="hybridMultilevel"/>
    <w:tmpl w:val="C7581C36"/>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236" w15:restartNumberingAfterBreak="0">
    <w:nsid w:val="5328770D"/>
    <w:multiLevelType w:val="hybridMultilevel"/>
    <w:tmpl w:val="E4BCB316"/>
    <w:lvl w:ilvl="0" w:tplc="330E2272">
      <w:start w:val="3"/>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7" w15:restartNumberingAfterBreak="0">
    <w:nsid w:val="53E25184"/>
    <w:multiLevelType w:val="hybridMultilevel"/>
    <w:tmpl w:val="BD807DC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38" w15:restartNumberingAfterBreak="0">
    <w:nsid w:val="53F34A31"/>
    <w:multiLevelType w:val="hybridMultilevel"/>
    <w:tmpl w:val="21F40A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9" w15:restartNumberingAfterBreak="0">
    <w:nsid w:val="54423511"/>
    <w:multiLevelType w:val="hybridMultilevel"/>
    <w:tmpl w:val="33F6C0C6"/>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240" w15:restartNumberingAfterBreak="0">
    <w:nsid w:val="549A599E"/>
    <w:multiLevelType w:val="hybridMultilevel"/>
    <w:tmpl w:val="82767260"/>
    <w:lvl w:ilvl="0" w:tplc="62720B0C">
      <w:start w:val="1"/>
      <w:numFmt w:val="bullet"/>
      <w:lvlText w:val="•"/>
      <w:lvlJc w:val="left"/>
      <w:pPr>
        <w:tabs>
          <w:tab w:val="num" w:pos="720"/>
        </w:tabs>
        <w:ind w:left="720" w:hanging="360"/>
      </w:pPr>
      <w:rPr>
        <w:rFonts w:ascii="Arial" w:hAnsi="Arial" w:hint="default"/>
      </w:rPr>
    </w:lvl>
    <w:lvl w:ilvl="1" w:tplc="26586238">
      <w:start w:val="118"/>
      <w:numFmt w:val="bullet"/>
      <w:lvlText w:val=""/>
      <w:lvlJc w:val="left"/>
      <w:pPr>
        <w:tabs>
          <w:tab w:val="num" w:pos="1440"/>
        </w:tabs>
        <w:ind w:left="1440" w:hanging="360"/>
      </w:pPr>
      <w:rPr>
        <w:rFonts w:ascii="Wingdings" w:hAnsi="Wingdings" w:hint="default"/>
      </w:rPr>
    </w:lvl>
    <w:lvl w:ilvl="2" w:tplc="96500DC0" w:tentative="1">
      <w:start w:val="1"/>
      <w:numFmt w:val="bullet"/>
      <w:lvlText w:val="•"/>
      <w:lvlJc w:val="left"/>
      <w:pPr>
        <w:tabs>
          <w:tab w:val="num" w:pos="2160"/>
        </w:tabs>
        <w:ind w:left="2160" w:hanging="360"/>
      </w:pPr>
      <w:rPr>
        <w:rFonts w:ascii="Arial" w:hAnsi="Arial" w:hint="default"/>
      </w:rPr>
    </w:lvl>
    <w:lvl w:ilvl="3" w:tplc="F6F48CB6" w:tentative="1">
      <w:start w:val="1"/>
      <w:numFmt w:val="bullet"/>
      <w:lvlText w:val="•"/>
      <w:lvlJc w:val="left"/>
      <w:pPr>
        <w:tabs>
          <w:tab w:val="num" w:pos="2880"/>
        </w:tabs>
        <w:ind w:left="2880" w:hanging="360"/>
      </w:pPr>
      <w:rPr>
        <w:rFonts w:ascii="Arial" w:hAnsi="Arial" w:hint="default"/>
      </w:rPr>
    </w:lvl>
    <w:lvl w:ilvl="4" w:tplc="B84E3D78" w:tentative="1">
      <w:start w:val="1"/>
      <w:numFmt w:val="bullet"/>
      <w:lvlText w:val="•"/>
      <w:lvlJc w:val="left"/>
      <w:pPr>
        <w:tabs>
          <w:tab w:val="num" w:pos="3600"/>
        </w:tabs>
        <w:ind w:left="3600" w:hanging="360"/>
      </w:pPr>
      <w:rPr>
        <w:rFonts w:ascii="Arial" w:hAnsi="Arial" w:hint="default"/>
      </w:rPr>
    </w:lvl>
    <w:lvl w:ilvl="5" w:tplc="A68CD32A" w:tentative="1">
      <w:start w:val="1"/>
      <w:numFmt w:val="bullet"/>
      <w:lvlText w:val="•"/>
      <w:lvlJc w:val="left"/>
      <w:pPr>
        <w:tabs>
          <w:tab w:val="num" w:pos="4320"/>
        </w:tabs>
        <w:ind w:left="4320" w:hanging="360"/>
      </w:pPr>
      <w:rPr>
        <w:rFonts w:ascii="Arial" w:hAnsi="Arial" w:hint="default"/>
      </w:rPr>
    </w:lvl>
    <w:lvl w:ilvl="6" w:tplc="77625512" w:tentative="1">
      <w:start w:val="1"/>
      <w:numFmt w:val="bullet"/>
      <w:lvlText w:val="•"/>
      <w:lvlJc w:val="left"/>
      <w:pPr>
        <w:tabs>
          <w:tab w:val="num" w:pos="5040"/>
        </w:tabs>
        <w:ind w:left="5040" w:hanging="360"/>
      </w:pPr>
      <w:rPr>
        <w:rFonts w:ascii="Arial" w:hAnsi="Arial" w:hint="default"/>
      </w:rPr>
    </w:lvl>
    <w:lvl w:ilvl="7" w:tplc="02943984" w:tentative="1">
      <w:start w:val="1"/>
      <w:numFmt w:val="bullet"/>
      <w:lvlText w:val="•"/>
      <w:lvlJc w:val="left"/>
      <w:pPr>
        <w:tabs>
          <w:tab w:val="num" w:pos="5760"/>
        </w:tabs>
        <w:ind w:left="5760" w:hanging="360"/>
      </w:pPr>
      <w:rPr>
        <w:rFonts w:ascii="Arial" w:hAnsi="Arial" w:hint="default"/>
      </w:rPr>
    </w:lvl>
    <w:lvl w:ilvl="8" w:tplc="D4929C82" w:tentative="1">
      <w:start w:val="1"/>
      <w:numFmt w:val="bullet"/>
      <w:lvlText w:val="•"/>
      <w:lvlJc w:val="left"/>
      <w:pPr>
        <w:tabs>
          <w:tab w:val="num" w:pos="6480"/>
        </w:tabs>
        <w:ind w:left="6480" w:hanging="360"/>
      </w:pPr>
      <w:rPr>
        <w:rFonts w:ascii="Arial" w:hAnsi="Arial" w:hint="default"/>
      </w:rPr>
    </w:lvl>
  </w:abstractNum>
  <w:abstractNum w:abstractNumId="241" w15:restartNumberingAfterBreak="0">
    <w:nsid w:val="54C844C3"/>
    <w:multiLevelType w:val="hybridMultilevel"/>
    <w:tmpl w:val="6DE67F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2" w15:restartNumberingAfterBreak="0">
    <w:nsid w:val="5568455E"/>
    <w:multiLevelType w:val="hybridMultilevel"/>
    <w:tmpl w:val="EDCEAF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3" w15:restartNumberingAfterBreak="0">
    <w:nsid w:val="55E45B51"/>
    <w:multiLevelType w:val="hybridMultilevel"/>
    <w:tmpl w:val="E56C0D5C"/>
    <w:lvl w:ilvl="0" w:tplc="0C090001">
      <w:start w:val="1"/>
      <w:numFmt w:val="bullet"/>
      <w:lvlText w:val=""/>
      <w:lvlJc w:val="left"/>
      <w:pPr>
        <w:ind w:left="611" w:hanging="360"/>
      </w:pPr>
      <w:rPr>
        <w:rFonts w:ascii="Symbol" w:hAnsi="Symbol" w:hint="default"/>
      </w:rPr>
    </w:lvl>
    <w:lvl w:ilvl="1" w:tplc="0C090003">
      <w:start w:val="1"/>
      <w:numFmt w:val="bullet"/>
      <w:lvlText w:val="o"/>
      <w:lvlJc w:val="left"/>
      <w:pPr>
        <w:ind w:left="1331" w:hanging="360"/>
      </w:pPr>
      <w:rPr>
        <w:rFonts w:ascii="Courier New" w:hAnsi="Courier New" w:cs="Courier New" w:hint="default"/>
      </w:rPr>
    </w:lvl>
    <w:lvl w:ilvl="2" w:tplc="0C090005">
      <w:start w:val="1"/>
      <w:numFmt w:val="bullet"/>
      <w:lvlText w:val=""/>
      <w:lvlJc w:val="left"/>
      <w:pPr>
        <w:ind w:left="2051" w:hanging="360"/>
      </w:pPr>
      <w:rPr>
        <w:rFonts w:ascii="Wingdings" w:hAnsi="Wingdings" w:hint="default"/>
      </w:rPr>
    </w:lvl>
    <w:lvl w:ilvl="3" w:tplc="0C090001">
      <w:start w:val="1"/>
      <w:numFmt w:val="bullet"/>
      <w:lvlText w:val=""/>
      <w:lvlJc w:val="left"/>
      <w:pPr>
        <w:ind w:left="2771" w:hanging="360"/>
      </w:pPr>
      <w:rPr>
        <w:rFonts w:ascii="Symbol" w:hAnsi="Symbol" w:hint="default"/>
      </w:rPr>
    </w:lvl>
    <w:lvl w:ilvl="4" w:tplc="0C090003">
      <w:start w:val="1"/>
      <w:numFmt w:val="bullet"/>
      <w:lvlText w:val="o"/>
      <w:lvlJc w:val="left"/>
      <w:pPr>
        <w:ind w:left="3491" w:hanging="360"/>
      </w:pPr>
      <w:rPr>
        <w:rFonts w:ascii="Courier New" w:hAnsi="Courier New" w:cs="Courier New" w:hint="default"/>
      </w:rPr>
    </w:lvl>
    <w:lvl w:ilvl="5" w:tplc="0C090005">
      <w:start w:val="1"/>
      <w:numFmt w:val="bullet"/>
      <w:lvlText w:val=""/>
      <w:lvlJc w:val="left"/>
      <w:pPr>
        <w:ind w:left="4211" w:hanging="360"/>
      </w:pPr>
      <w:rPr>
        <w:rFonts w:ascii="Wingdings" w:hAnsi="Wingdings" w:hint="default"/>
      </w:rPr>
    </w:lvl>
    <w:lvl w:ilvl="6" w:tplc="0C090001">
      <w:start w:val="1"/>
      <w:numFmt w:val="bullet"/>
      <w:lvlText w:val=""/>
      <w:lvlJc w:val="left"/>
      <w:pPr>
        <w:ind w:left="4931" w:hanging="360"/>
      </w:pPr>
      <w:rPr>
        <w:rFonts w:ascii="Symbol" w:hAnsi="Symbol" w:hint="default"/>
      </w:rPr>
    </w:lvl>
    <w:lvl w:ilvl="7" w:tplc="0C090003">
      <w:start w:val="1"/>
      <w:numFmt w:val="bullet"/>
      <w:lvlText w:val="o"/>
      <w:lvlJc w:val="left"/>
      <w:pPr>
        <w:ind w:left="5651" w:hanging="360"/>
      </w:pPr>
      <w:rPr>
        <w:rFonts w:ascii="Courier New" w:hAnsi="Courier New" w:cs="Courier New" w:hint="default"/>
      </w:rPr>
    </w:lvl>
    <w:lvl w:ilvl="8" w:tplc="0C090005">
      <w:start w:val="1"/>
      <w:numFmt w:val="bullet"/>
      <w:lvlText w:val=""/>
      <w:lvlJc w:val="left"/>
      <w:pPr>
        <w:ind w:left="6371" w:hanging="360"/>
      </w:pPr>
      <w:rPr>
        <w:rFonts w:ascii="Wingdings" w:hAnsi="Wingdings" w:hint="default"/>
      </w:rPr>
    </w:lvl>
  </w:abstractNum>
  <w:abstractNum w:abstractNumId="244" w15:restartNumberingAfterBreak="0">
    <w:nsid w:val="55EC7B10"/>
    <w:multiLevelType w:val="hybridMultilevel"/>
    <w:tmpl w:val="C9903734"/>
    <w:lvl w:ilvl="0" w:tplc="0C090001">
      <w:start w:val="1"/>
      <w:numFmt w:val="bullet"/>
      <w:lvlText w:val=""/>
      <w:lvlJc w:val="left"/>
      <w:pPr>
        <w:ind w:left="720" w:hanging="360"/>
      </w:pPr>
      <w:rPr>
        <w:rFonts w:ascii="Symbol" w:hAnsi="Symbol" w:hint="default"/>
      </w:rPr>
    </w:lvl>
    <w:lvl w:ilvl="1" w:tplc="62720B0C">
      <w:start w:val="1"/>
      <w:numFmt w:val="bullet"/>
      <w:lvlText w:val="•"/>
      <w:lvlJc w:val="left"/>
      <w:pPr>
        <w:ind w:left="1440" w:hanging="360"/>
      </w:pPr>
      <w:rPr>
        <w:rFonts w:ascii="Arial"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5" w15:restartNumberingAfterBreak="0">
    <w:nsid w:val="569C5C7A"/>
    <w:multiLevelType w:val="hybridMultilevel"/>
    <w:tmpl w:val="DBBC4C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6" w15:restartNumberingAfterBreak="0">
    <w:nsid w:val="56AA03F6"/>
    <w:multiLevelType w:val="hybridMultilevel"/>
    <w:tmpl w:val="2A4CFAD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7" w15:restartNumberingAfterBreak="0">
    <w:nsid w:val="57134E8B"/>
    <w:multiLevelType w:val="hybridMultilevel"/>
    <w:tmpl w:val="4846F600"/>
    <w:lvl w:ilvl="0" w:tplc="0C090001">
      <w:start w:val="1"/>
      <w:numFmt w:val="bullet"/>
      <w:lvlText w:val=""/>
      <w:lvlJc w:val="left"/>
      <w:pPr>
        <w:ind w:left="720" w:hanging="360"/>
      </w:pPr>
      <w:rPr>
        <w:rFonts w:ascii="Symbol" w:hAnsi="Symbol" w:hint="default"/>
      </w:rPr>
    </w:lvl>
    <w:lvl w:ilvl="1" w:tplc="0BB8EE48">
      <w:numFmt w:val="bullet"/>
      <w:lvlText w:val="•"/>
      <w:lvlJc w:val="left"/>
      <w:pPr>
        <w:ind w:left="1800" w:hanging="720"/>
      </w:pPr>
      <w:rPr>
        <w:rFonts w:ascii="Century Gothic" w:eastAsiaTheme="minorHAnsi" w:hAnsi="Century Gothic"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8" w15:restartNumberingAfterBreak="0">
    <w:nsid w:val="57192B90"/>
    <w:multiLevelType w:val="hybridMultilevel"/>
    <w:tmpl w:val="F774AD9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9" w15:restartNumberingAfterBreak="0">
    <w:nsid w:val="573A155D"/>
    <w:multiLevelType w:val="hybridMultilevel"/>
    <w:tmpl w:val="A1388134"/>
    <w:lvl w:ilvl="0" w:tplc="082E390A">
      <w:numFmt w:val="bullet"/>
      <w:lvlText w:val="•"/>
      <w:lvlJc w:val="left"/>
      <w:pPr>
        <w:ind w:left="1040" w:hanging="680"/>
      </w:pPr>
      <w:rPr>
        <w:rFonts w:ascii="Calibri" w:eastAsia="Arial" w:hAnsi="Calibri" w:cs="Calibri" w:hint="default"/>
        <w:w w:val="13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0" w15:restartNumberingAfterBreak="0">
    <w:nsid w:val="578A0D7F"/>
    <w:multiLevelType w:val="hybridMultilevel"/>
    <w:tmpl w:val="7E609C2E"/>
    <w:lvl w:ilvl="0" w:tplc="2AB27672">
      <w:start w:val="1"/>
      <w:numFmt w:val="decimal"/>
      <w:lvlText w:val="%1."/>
      <w:lvlJc w:val="left"/>
      <w:pPr>
        <w:ind w:left="720" w:hanging="360"/>
      </w:pPr>
      <w:rPr>
        <w:rFonts w:asciiTheme="minorHAnsi" w:hAnsiTheme="minorHAnsi" w:cstheme="minorBidi"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51" w15:restartNumberingAfterBreak="0">
    <w:nsid w:val="57DC48E4"/>
    <w:multiLevelType w:val="hybridMultilevel"/>
    <w:tmpl w:val="5F6C130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2" w15:restartNumberingAfterBreak="0">
    <w:nsid w:val="57E06B08"/>
    <w:multiLevelType w:val="hybridMultilevel"/>
    <w:tmpl w:val="DB94790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3" w15:restartNumberingAfterBreak="0">
    <w:nsid w:val="58A903EC"/>
    <w:multiLevelType w:val="hybridMultilevel"/>
    <w:tmpl w:val="A36AC656"/>
    <w:lvl w:ilvl="0" w:tplc="5CBE7A52">
      <w:start w:val="1"/>
      <w:numFmt w:val="bullet"/>
      <w:lvlText w:val="•"/>
      <w:lvlJc w:val="left"/>
      <w:pPr>
        <w:ind w:left="720" w:hanging="360"/>
      </w:pPr>
      <w:rPr>
        <w:rFonts w:ascii="Times New Roman" w:hAnsi="Times New Roman" w:cs="Times New Roman"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4" w15:restartNumberingAfterBreak="0">
    <w:nsid w:val="58D6437B"/>
    <w:multiLevelType w:val="hybridMultilevel"/>
    <w:tmpl w:val="20828F22"/>
    <w:lvl w:ilvl="0" w:tplc="0C090001">
      <w:start w:val="1"/>
      <w:numFmt w:val="bullet"/>
      <w:lvlText w:val=""/>
      <w:lvlJc w:val="left"/>
      <w:pPr>
        <w:ind w:left="360" w:hanging="360"/>
      </w:pPr>
      <w:rPr>
        <w:rFonts w:ascii="Symbol" w:hAnsi="Symbol" w:hint="default"/>
      </w:rPr>
    </w:lvl>
    <w:lvl w:ilvl="1" w:tplc="8794ADB2">
      <w:start w:val="1"/>
      <w:numFmt w:val="bullet"/>
      <w:lvlText w:val="•"/>
      <w:lvlJc w:val="left"/>
      <w:pPr>
        <w:ind w:left="1080" w:hanging="360"/>
      </w:pPr>
      <w:rPr>
        <w:rFonts w:ascii="Arial" w:hAnsi="Aria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5" w15:restartNumberingAfterBreak="0">
    <w:nsid w:val="591F542E"/>
    <w:multiLevelType w:val="hybridMultilevel"/>
    <w:tmpl w:val="D95ADF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79844342">
      <w:start w:val="1"/>
      <w:numFmt w:val="decimal"/>
      <w:lvlText w:val="%4."/>
      <w:lvlJc w:val="left"/>
      <w:pPr>
        <w:ind w:left="2880" w:hanging="360"/>
      </w:pPr>
      <w:rPr>
        <w:sz w:val="22"/>
        <w:szCs w:val="22"/>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15:restartNumberingAfterBreak="0">
    <w:nsid w:val="594868F0"/>
    <w:multiLevelType w:val="hybridMultilevel"/>
    <w:tmpl w:val="58BCA312"/>
    <w:lvl w:ilvl="0" w:tplc="5F26A294">
      <w:start w:val="1"/>
      <w:numFmt w:val="bullet"/>
      <w:lvlText w:val=""/>
      <w:lvlJc w:val="left"/>
      <w:pPr>
        <w:ind w:left="720" w:hanging="360"/>
      </w:pPr>
      <w:rPr>
        <w:rFonts w:ascii="Symbol" w:hAnsi="Symbol" w:hint="default"/>
        <w:sz w:val="22"/>
        <w:szCs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7" w15:restartNumberingAfterBreak="0">
    <w:nsid w:val="595A13ED"/>
    <w:multiLevelType w:val="hybridMultilevel"/>
    <w:tmpl w:val="2E2A49F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8" w15:restartNumberingAfterBreak="0">
    <w:nsid w:val="59A42F1D"/>
    <w:multiLevelType w:val="hybridMultilevel"/>
    <w:tmpl w:val="3A9CE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9" w15:restartNumberingAfterBreak="0">
    <w:nsid w:val="59EB6293"/>
    <w:multiLevelType w:val="hybridMultilevel"/>
    <w:tmpl w:val="5C8025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0" w15:restartNumberingAfterBreak="0">
    <w:nsid w:val="5C0B6099"/>
    <w:multiLevelType w:val="hybridMultilevel"/>
    <w:tmpl w:val="1AA0D25A"/>
    <w:lvl w:ilvl="0" w:tplc="0C090001">
      <w:start w:val="1"/>
      <w:numFmt w:val="bullet"/>
      <w:lvlText w:val=""/>
      <w:lvlJc w:val="left"/>
      <w:pPr>
        <w:ind w:left="360" w:hanging="360"/>
      </w:pPr>
      <w:rPr>
        <w:rFonts w:ascii="Symbol" w:hAnsi="Symbol" w:hint="default"/>
        <w:sz w:val="22"/>
        <w:szCs w:val="2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61" w15:restartNumberingAfterBreak="0">
    <w:nsid w:val="5C1E35E8"/>
    <w:multiLevelType w:val="hybridMultilevel"/>
    <w:tmpl w:val="6CD0DC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2" w15:restartNumberingAfterBreak="0">
    <w:nsid w:val="5C416929"/>
    <w:multiLevelType w:val="hybridMultilevel"/>
    <w:tmpl w:val="E4401E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3" w15:restartNumberingAfterBreak="0">
    <w:nsid w:val="5C5E56F6"/>
    <w:multiLevelType w:val="hybridMultilevel"/>
    <w:tmpl w:val="B6A42F0C"/>
    <w:lvl w:ilvl="0" w:tplc="5172125E">
      <w:start w:val="1"/>
      <w:numFmt w:val="decimal"/>
      <w:lvlText w:val="%1."/>
      <w:lvlJc w:val="left"/>
      <w:pPr>
        <w:ind w:left="720" w:hanging="360"/>
      </w:pPr>
      <w:rPr>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4" w15:restartNumberingAfterBreak="0">
    <w:nsid w:val="5C8344C8"/>
    <w:multiLevelType w:val="hybridMultilevel"/>
    <w:tmpl w:val="311411AC"/>
    <w:lvl w:ilvl="0" w:tplc="5CEE84CA">
      <w:start w:val="1"/>
      <w:numFmt w:val="decimal"/>
      <w:lvlText w:val="%1."/>
      <w:lvlJc w:val="left"/>
      <w:pPr>
        <w:ind w:left="1152" w:hanging="360"/>
      </w:pPr>
      <w:rPr>
        <w:i w:val="0"/>
      </w:rPr>
    </w:lvl>
    <w:lvl w:ilvl="1" w:tplc="04090019">
      <w:start w:val="1"/>
      <w:numFmt w:val="lowerLetter"/>
      <w:lvlText w:val="%2."/>
      <w:lvlJc w:val="left"/>
      <w:pPr>
        <w:ind w:left="1872" w:hanging="360"/>
      </w:pPr>
    </w:lvl>
    <w:lvl w:ilvl="2" w:tplc="0409001B">
      <w:start w:val="1"/>
      <w:numFmt w:val="lowerRoman"/>
      <w:lvlText w:val="%3."/>
      <w:lvlJc w:val="right"/>
      <w:pPr>
        <w:ind w:left="2592" w:hanging="180"/>
      </w:pPr>
    </w:lvl>
    <w:lvl w:ilvl="3" w:tplc="0409000F">
      <w:start w:val="1"/>
      <w:numFmt w:val="decimal"/>
      <w:lvlText w:val="%4."/>
      <w:lvlJc w:val="left"/>
      <w:pPr>
        <w:ind w:left="3312" w:hanging="360"/>
      </w:pPr>
    </w:lvl>
    <w:lvl w:ilvl="4" w:tplc="04090019">
      <w:start w:val="1"/>
      <w:numFmt w:val="lowerLetter"/>
      <w:lvlText w:val="%5."/>
      <w:lvlJc w:val="left"/>
      <w:pPr>
        <w:ind w:left="4032" w:hanging="360"/>
      </w:pPr>
    </w:lvl>
    <w:lvl w:ilvl="5" w:tplc="0409001B">
      <w:start w:val="1"/>
      <w:numFmt w:val="lowerRoman"/>
      <w:lvlText w:val="%6."/>
      <w:lvlJc w:val="right"/>
      <w:pPr>
        <w:ind w:left="4752" w:hanging="180"/>
      </w:pPr>
    </w:lvl>
    <w:lvl w:ilvl="6" w:tplc="0409000F">
      <w:start w:val="1"/>
      <w:numFmt w:val="decimal"/>
      <w:lvlText w:val="%7."/>
      <w:lvlJc w:val="left"/>
      <w:pPr>
        <w:ind w:left="5472" w:hanging="360"/>
      </w:pPr>
    </w:lvl>
    <w:lvl w:ilvl="7" w:tplc="04090019">
      <w:start w:val="1"/>
      <w:numFmt w:val="lowerLetter"/>
      <w:lvlText w:val="%8."/>
      <w:lvlJc w:val="left"/>
      <w:pPr>
        <w:ind w:left="6192" w:hanging="360"/>
      </w:pPr>
    </w:lvl>
    <w:lvl w:ilvl="8" w:tplc="0409001B">
      <w:start w:val="1"/>
      <w:numFmt w:val="lowerRoman"/>
      <w:lvlText w:val="%9."/>
      <w:lvlJc w:val="right"/>
      <w:pPr>
        <w:ind w:left="6912" w:hanging="180"/>
      </w:pPr>
    </w:lvl>
  </w:abstractNum>
  <w:abstractNum w:abstractNumId="265" w15:restartNumberingAfterBreak="0">
    <w:nsid w:val="5CA86DF7"/>
    <w:multiLevelType w:val="hybridMultilevel"/>
    <w:tmpl w:val="89226D76"/>
    <w:lvl w:ilvl="0" w:tplc="E0C68AC4">
      <w:start w:val="1"/>
      <w:numFmt w:val="bullet"/>
      <w:lvlText w:val=""/>
      <w:lvlJc w:val="left"/>
      <w:pPr>
        <w:ind w:left="1440" w:hanging="360"/>
      </w:pPr>
      <w:rPr>
        <w:rFonts w:ascii="Symbol" w:hAnsi="Symbol" w:hint="default"/>
        <w:sz w:val="22"/>
        <w:szCs w:val="22"/>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6" w15:restartNumberingAfterBreak="0">
    <w:nsid w:val="5CE45BC9"/>
    <w:multiLevelType w:val="hybridMultilevel"/>
    <w:tmpl w:val="D7706C58"/>
    <w:lvl w:ilvl="0" w:tplc="0C090005">
      <w:start w:val="1"/>
      <w:numFmt w:val="bullet"/>
      <w:lvlText w:val=""/>
      <w:lvlJc w:val="left"/>
      <w:pPr>
        <w:ind w:left="360" w:hanging="360"/>
      </w:pPr>
      <w:rPr>
        <w:rFonts w:ascii="Wingdings" w:hAnsi="Wingdings"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67" w15:restartNumberingAfterBreak="0">
    <w:nsid w:val="5D990170"/>
    <w:multiLevelType w:val="hybridMultilevel"/>
    <w:tmpl w:val="8F7A9C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8" w15:restartNumberingAfterBreak="0">
    <w:nsid w:val="5DB2488D"/>
    <w:multiLevelType w:val="hybridMultilevel"/>
    <w:tmpl w:val="13BC7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9" w15:restartNumberingAfterBreak="0">
    <w:nsid w:val="5F2D1DEB"/>
    <w:multiLevelType w:val="hybridMultilevel"/>
    <w:tmpl w:val="14FEDD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0" w15:restartNumberingAfterBreak="0">
    <w:nsid w:val="5FC96435"/>
    <w:multiLevelType w:val="hybridMultilevel"/>
    <w:tmpl w:val="1BEEF7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1" w15:restartNumberingAfterBreak="0">
    <w:nsid w:val="5FF628C8"/>
    <w:multiLevelType w:val="multilevel"/>
    <w:tmpl w:val="A7D4F9C2"/>
    <w:lvl w:ilvl="0">
      <w:start w:val="1"/>
      <w:numFmt w:val="decimal"/>
      <w:pStyle w:val="CCPoutline"/>
      <w:lvlText w:val="%1."/>
      <w:lvlJc w:val="left"/>
      <w:pPr>
        <w:tabs>
          <w:tab w:val="num" w:pos="709"/>
        </w:tabs>
        <w:ind w:left="709" w:hanging="709"/>
      </w:pPr>
    </w:lvl>
    <w:lvl w:ilvl="1">
      <w:start w:val="1"/>
      <w:numFmt w:val="decimal"/>
      <w:lvlText w:val="%1.%2"/>
      <w:lvlJc w:val="left"/>
      <w:pPr>
        <w:tabs>
          <w:tab w:val="num" w:pos="1446"/>
        </w:tabs>
        <w:ind w:left="1446" w:hanging="737"/>
      </w:pPr>
    </w:lvl>
    <w:lvl w:ilvl="2">
      <w:start w:val="1"/>
      <w:numFmt w:val="decimal"/>
      <w:lvlText w:val="%1.%2.%3"/>
      <w:lvlJc w:val="left"/>
      <w:pPr>
        <w:tabs>
          <w:tab w:val="num" w:pos="2183"/>
        </w:tabs>
        <w:ind w:left="2183" w:hanging="737"/>
      </w:pPr>
    </w:lvl>
    <w:lvl w:ilvl="3">
      <w:start w:val="1"/>
      <w:numFmt w:val="lowerLetter"/>
      <w:lvlText w:val="(%4)"/>
      <w:lvlJc w:val="left"/>
      <w:pPr>
        <w:tabs>
          <w:tab w:val="num" w:pos="3147"/>
        </w:tabs>
        <w:ind w:left="3147" w:hanging="964"/>
      </w:pPr>
    </w:lvl>
    <w:lvl w:ilvl="4">
      <w:start w:val="1"/>
      <w:numFmt w:val="lowerRoman"/>
      <w:lvlText w:val="(%5)"/>
      <w:lvlJc w:val="left"/>
      <w:pPr>
        <w:tabs>
          <w:tab w:val="num" w:pos="4338"/>
        </w:tabs>
        <w:ind w:left="4338" w:hanging="1191"/>
      </w:pPr>
    </w:lvl>
    <w:lvl w:ilvl="5">
      <w:start w:val="1"/>
      <w:numFmt w:val="upperLetter"/>
      <w:lvlText w:val="(%6)"/>
      <w:lvlJc w:val="left"/>
      <w:pPr>
        <w:tabs>
          <w:tab w:val="num" w:pos="5755"/>
        </w:tabs>
        <w:ind w:left="5755" w:hanging="1417"/>
      </w:pPr>
    </w:lvl>
    <w:lvl w:ilvl="6">
      <w:start w:val="1"/>
      <w:numFmt w:val="upperRoman"/>
      <w:lvlText w:val="(%7)"/>
      <w:lvlJc w:val="left"/>
      <w:pPr>
        <w:tabs>
          <w:tab w:val="num" w:pos="3240"/>
        </w:tabs>
        <w:ind w:left="3240" w:hanging="1080"/>
      </w:pPr>
    </w:lvl>
    <w:lvl w:ilvl="7">
      <w:start w:val="1"/>
      <w:numFmt w:val="none"/>
      <w:lvlText w:val=""/>
      <w:lvlJc w:val="left"/>
      <w:pPr>
        <w:tabs>
          <w:tab w:val="num" w:pos="2520"/>
        </w:tabs>
        <w:ind w:left="2160" w:firstLine="0"/>
      </w:pPr>
    </w:lvl>
    <w:lvl w:ilvl="8">
      <w:start w:val="1"/>
      <w:numFmt w:val="none"/>
      <w:lvlText w:val=""/>
      <w:lvlJc w:val="left"/>
      <w:pPr>
        <w:tabs>
          <w:tab w:val="num" w:pos="2520"/>
        </w:tabs>
        <w:ind w:left="2160" w:firstLine="0"/>
      </w:pPr>
    </w:lvl>
  </w:abstractNum>
  <w:abstractNum w:abstractNumId="272" w15:restartNumberingAfterBreak="0">
    <w:nsid w:val="6030656D"/>
    <w:multiLevelType w:val="hybridMultilevel"/>
    <w:tmpl w:val="8B9AF652"/>
    <w:lvl w:ilvl="0" w:tplc="2848956A">
      <w:start w:val="1"/>
      <w:numFmt w:val="decimal"/>
      <w:lvlText w:val="%1."/>
      <w:lvlJc w:val="left"/>
      <w:pPr>
        <w:ind w:left="720" w:hanging="360"/>
      </w:pPr>
      <w:rPr>
        <w:sz w:val="22"/>
        <w:szCs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3" w15:restartNumberingAfterBreak="0">
    <w:nsid w:val="60393618"/>
    <w:multiLevelType w:val="hybridMultilevel"/>
    <w:tmpl w:val="EB9C79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4" w15:restartNumberingAfterBreak="0">
    <w:nsid w:val="60A27104"/>
    <w:multiLevelType w:val="hybridMultilevel"/>
    <w:tmpl w:val="BDDC477C"/>
    <w:lvl w:ilvl="0" w:tplc="CF60221E">
      <w:start w:val="1"/>
      <w:numFmt w:val="decimal"/>
      <w:lvlText w:val="%1."/>
      <w:lvlJc w:val="left"/>
      <w:pPr>
        <w:ind w:left="360" w:hanging="360"/>
      </w:pPr>
      <w:rPr>
        <w:b w:val="0"/>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275" w15:restartNumberingAfterBreak="0">
    <w:nsid w:val="60BB2119"/>
    <w:multiLevelType w:val="hybridMultilevel"/>
    <w:tmpl w:val="D2DCBA42"/>
    <w:lvl w:ilvl="0" w:tplc="B358DF3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6" w15:restartNumberingAfterBreak="0">
    <w:nsid w:val="60C403CD"/>
    <w:multiLevelType w:val="hybridMultilevel"/>
    <w:tmpl w:val="07DCC6F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7" w15:restartNumberingAfterBreak="0">
    <w:nsid w:val="60F431D5"/>
    <w:multiLevelType w:val="hybridMultilevel"/>
    <w:tmpl w:val="B0D6A0DA"/>
    <w:lvl w:ilvl="0" w:tplc="751AC7DC">
      <w:start w:val="1"/>
      <w:numFmt w:val="decimal"/>
      <w:lvlText w:val="%1."/>
      <w:lvlJc w:val="left"/>
      <w:pPr>
        <w:tabs>
          <w:tab w:val="num" w:pos="851"/>
        </w:tabs>
        <w:ind w:left="851" w:hanging="454"/>
      </w:pPr>
      <w:rPr>
        <w:rFonts w:hint="default"/>
      </w:rPr>
    </w:lvl>
    <w:lvl w:ilvl="1" w:tplc="0C090019">
      <w:start w:val="1"/>
      <w:numFmt w:val="lowerLetter"/>
      <w:lvlText w:val="%2."/>
      <w:lvlJc w:val="left"/>
      <w:pPr>
        <w:ind w:left="1364" w:hanging="360"/>
      </w:pPr>
    </w:lvl>
    <w:lvl w:ilvl="2" w:tplc="75387D6A">
      <w:start w:val="1"/>
      <w:numFmt w:val="lowerLetter"/>
      <w:lvlText w:val="%3."/>
      <w:lvlJc w:val="left"/>
      <w:pPr>
        <w:ind w:left="2084" w:hanging="180"/>
      </w:pPr>
      <w:rPr>
        <w:sz w:val="22"/>
        <w:szCs w:val="22"/>
      </w:r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78" w15:restartNumberingAfterBreak="0">
    <w:nsid w:val="60F72707"/>
    <w:multiLevelType w:val="hybridMultilevel"/>
    <w:tmpl w:val="C32AB8E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9" w15:restartNumberingAfterBreak="0">
    <w:nsid w:val="6123535C"/>
    <w:multiLevelType w:val="hybridMultilevel"/>
    <w:tmpl w:val="E92A728E"/>
    <w:lvl w:ilvl="0" w:tplc="2D826354">
      <w:start w:val="1"/>
      <w:numFmt w:val="decimal"/>
      <w:lvlText w:val="%1."/>
      <w:lvlJc w:val="left"/>
      <w:pPr>
        <w:ind w:left="720" w:hanging="360"/>
      </w:pPr>
      <w:rPr>
        <w:b w:val="0"/>
        <w:sz w:val="22"/>
        <w:szCs w:val="22"/>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80" w15:restartNumberingAfterBreak="0">
    <w:nsid w:val="61E84A2B"/>
    <w:multiLevelType w:val="hybridMultilevel"/>
    <w:tmpl w:val="AAC6DF94"/>
    <w:lvl w:ilvl="0" w:tplc="DC86C13A">
      <w:start w:val="1"/>
      <w:numFmt w:val="decimal"/>
      <w:lvlText w:val="%1."/>
      <w:lvlJc w:val="left"/>
      <w:pPr>
        <w:ind w:left="720" w:hanging="360"/>
      </w:pPr>
      <w:rPr>
        <w:sz w:val="22"/>
        <w:szCs w:val="22"/>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81" w15:restartNumberingAfterBreak="0">
    <w:nsid w:val="62D851DD"/>
    <w:multiLevelType w:val="hybridMultilevel"/>
    <w:tmpl w:val="B9903B1A"/>
    <w:lvl w:ilvl="0" w:tplc="45EE40B2">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2" w15:restartNumberingAfterBreak="0">
    <w:nsid w:val="62F76227"/>
    <w:multiLevelType w:val="hybridMultilevel"/>
    <w:tmpl w:val="5C7C89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3" w15:restartNumberingAfterBreak="0">
    <w:nsid w:val="630F7EAC"/>
    <w:multiLevelType w:val="hybridMultilevel"/>
    <w:tmpl w:val="CB2A9974"/>
    <w:lvl w:ilvl="0" w:tplc="0C090001">
      <w:start w:val="1"/>
      <w:numFmt w:val="bullet"/>
      <w:lvlText w:val=""/>
      <w:lvlJc w:val="left"/>
      <w:pPr>
        <w:ind w:left="360" w:hanging="360"/>
      </w:pPr>
      <w:rPr>
        <w:rFonts w:ascii="Symbol" w:hAnsi="Symbol" w:hint="default"/>
        <w:sz w:val="22"/>
        <w:szCs w:val="2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84" w15:restartNumberingAfterBreak="0">
    <w:nsid w:val="63797355"/>
    <w:multiLevelType w:val="multilevel"/>
    <w:tmpl w:val="C11E5280"/>
    <w:styleLink w:val="List0"/>
    <w:lvl w:ilvl="0">
      <w:start w:val="1"/>
      <w:numFmt w:val="decimal"/>
      <w:lvlText w:val="%1."/>
      <w:lvlJc w:val="left"/>
      <w:pPr>
        <w:tabs>
          <w:tab w:val="num" w:pos="643"/>
        </w:tabs>
        <w:ind w:left="643" w:hanging="360"/>
      </w:pPr>
      <w:rPr>
        <w:position w:val="0"/>
      </w:rPr>
    </w:lvl>
    <w:lvl w:ilvl="1">
      <w:start w:val="1"/>
      <w:numFmt w:val="decimal"/>
      <w:lvlText w:val="%1."/>
      <w:lvlJc w:val="left"/>
      <w:pPr>
        <w:tabs>
          <w:tab w:val="num" w:pos="1363"/>
        </w:tabs>
        <w:ind w:left="1003" w:hanging="360"/>
      </w:pPr>
      <w:rPr>
        <w:position w:val="0"/>
      </w:rPr>
    </w:lvl>
    <w:lvl w:ilvl="2">
      <w:start w:val="1"/>
      <w:numFmt w:val="decimal"/>
      <w:lvlText w:val="%1."/>
      <w:lvlJc w:val="left"/>
      <w:pPr>
        <w:tabs>
          <w:tab w:val="num" w:pos="2083"/>
        </w:tabs>
        <w:ind w:left="1363" w:hanging="360"/>
      </w:pPr>
      <w:rPr>
        <w:position w:val="0"/>
      </w:rPr>
    </w:lvl>
    <w:lvl w:ilvl="3">
      <w:start w:val="1"/>
      <w:numFmt w:val="decimal"/>
      <w:lvlText w:val="%1."/>
      <w:lvlJc w:val="left"/>
      <w:pPr>
        <w:tabs>
          <w:tab w:val="num" w:pos="2803"/>
        </w:tabs>
        <w:ind w:left="1723" w:hanging="360"/>
      </w:pPr>
      <w:rPr>
        <w:position w:val="0"/>
      </w:rPr>
    </w:lvl>
    <w:lvl w:ilvl="4">
      <w:start w:val="1"/>
      <w:numFmt w:val="decimal"/>
      <w:lvlText w:val="%1."/>
      <w:lvlJc w:val="left"/>
      <w:pPr>
        <w:tabs>
          <w:tab w:val="num" w:pos="3523"/>
        </w:tabs>
        <w:ind w:left="2083" w:hanging="360"/>
      </w:pPr>
      <w:rPr>
        <w:position w:val="0"/>
      </w:rPr>
    </w:lvl>
    <w:lvl w:ilvl="5">
      <w:start w:val="1"/>
      <w:numFmt w:val="decimal"/>
      <w:lvlText w:val="%1."/>
      <w:lvlJc w:val="left"/>
      <w:pPr>
        <w:tabs>
          <w:tab w:val="num" w:pos="4243"/>
        </w:tabs>
        <w:ind w:left="2443" w:hanging="360"/>
      </w:pPr>
      <w:rPr>
        <w:position w:val="0"/>
      </w:rPr>
    </w:lvl>
    <w:lvl w:ilvl="6">
      <w:start w:val="1"/>
      <w:numFmt w:val="decimal"/>
      <w:lvlText w:val="%1."/>
      <w:lvlJc w:val="left"/>
      <w:pPr>
        <w:tabs>
          <w:tab w:val="num" w:pos="4963"/>
        </w:tabs>
        <w:ind w:left="2803" w:hanging="360"/>
      </w:pPr>
      <w:rPr>
        <w:position w:val="0"/>
      </w:rPr>
    </w:lvl>
    <w:lvl w:ilvl="7">
      <w:start w:val="1"/>
      <w:numFmt w:val="decimal"/>
      <w:lvlText w:val="%1."/>
      <w:lvlJc w:val="left"/>
      <w:pPr>
        <w:tabs>
          <w:tab w:val="num" w:pos="5683"/>
        </w:tabs>
        <w:ind w:left="3163" w:hanging="360"/>
      </w:pPr>
      <w:rPr>
        <w:position w:val="0"/>
      </w:rPr>
    </w:lvl>
    <w:lvl w:ilvl="8">
      <w:start w:val="1"/>
      <w:numFmt w:val="decimal"/>
      <w:lvlText w:val="%1."/>
      <w:lvlJc w:val="left"/>
      <w:pPr>
        <w:tabs>
          <w:tab w:val="num" w:pos="6403"/>
        </w:tabs>
        <w:ind w:left="3523" w:hanging="360"/>
      </w:pPr>
      <w:rPr>
        <w:position w:val="0"/>
      </w:rPr>
    </w:lvl>
  </w:abstractNum>
  <w:abstractNum w:abstractNumId="285" w15:restartNumberingAfterBreak="0">
    <w:nsid w:val="63D70049"/>
    <w:multiLevelType w:val="hybridMultilevel"/>
    <w:tmpl w:val="1A6294E6"/>
    <w:lvl w:ilvl="0" w:tplc="8794ADB2">
      <w:start w:val="1"/>
      <w:numFmt w:val="bullet"/>
      <w:lvlText w:val="•"/>
      <w:lvlJc w:val="left"/>
      <w:pPr>
        <w:ind w:left="1800" w:hanging="360"/>
      </w:pPr>
      <w:rPr>
        <w:rFonts w:ascii="Arial" w:hAnsi="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6" w15:restartNumberingAfterBreak="0">
    <w:nsid w:val="63D8278E"/>
    <w:multiLevelType w:val="hybridMultilevel"/>
    <w:tmpl w:val="29CCC3E2"/>
    <w:lvl w:ilvl="0" w:tplc="59CEC306">
      <w:start w:val="1"/>
      <w:numFmt w:val="decimal"/>
      <w:lvlText w:val="%1."/>
      <w:lvlJc w:val="left"/>
      <w:pPr>
        <w:tabs>
          <w:tab w:val="num" w:pos="851"/>
        </w:tabs>
        <w:ind w:left="851" w:hanging="454"/>
      </w:pPr>
      <w:rPr>
        <w:rFonts w:hint="default"/>
        <w:sz w:val="22"/>
        <w:szCs w:val="22"/>
      </w:rPr>
    </w:lvl>
    <w:lvl w:ilvl="1" w:tplc="0C090019">
      <w:start w:val="1"/>
      <w:numFmt w:val="lowerLetter"/>
      <w:lvlText w:val="%2."/>
      <w:lvlJc w:val="left"/>
      <w:pPr>
        <w:ind w:left="1364" w:hanging="360"/>
      </w:pPr>
    </w:lvl>
    <w:lvl w:ilvl="2" w:tplc="0C09001B">
      <w:start w:val="1"/>
      <w:numFmt w:val="lowerRoman"/>
      <w:lvlText w:val="%3."/>
      <w:lvlJc w:val="right"/>
      <w:pPr>
        <w:ind w:left="2084" w:hanging="180"/>
      </w:pPr>
    </w:lvl>
    <w:lvl w:ilvl="3" w:tplc="010442F4">
      <w:start w:val="1"/>
      <w:numFmt w:val="upperLetter"/>
      <w:lvlText w:val="%4)"/>
      <w:lvlJc w:val="left"/>
      <w:pPr>
        <w:ind w:left="2804" w:hanging="360"/>
      </w:pPr>
      <w:rPr>
        <w:rFonts w:hint="default"/>
        <w:i/>
      </w:r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87" w15:restartNumberingAfterBreak="0">
    <w:nsid w:val="64CA57C6"/>
    <w:multiLevelType w:val="hybridMultilevel"/>
    <w:tmpl w:val="2B4A0F2E"/>
    <w:lvl w:ilvl="0" w:tplc="0C09000F">
      <w:start w:val="1"/>
      <w:numFmt w:val="decimal"/>
      <w:lvlText w:val="%1."/>
      <w:lvlJc w:val="left"/>
      <w:pPr>
        <w:ind w:left="9717" w:hanging="360"/>
      </w:pPr>
    </w:lvl>
    <w:lvl w:ilvl="1" w:tplc="0C090019" w:tentative="1">
      <w:start w:val="1"/>
      <w:numFmt w:val="lowerLetter"/>
      <w:lvlText w:val="%2."/>
      <w:lvlJc w:val="left"/>
      <w:pPr>
        <w:ind w:left="10437" w:hanging="360"/>
      </w:pPr>
    </w:lvl>
    <w:lvl w:ilvl="2" w:tplc="0C09001B" w:tentative="1">
      <w:start w:val="1"/>
      <w:numFmt w:val="lowerRoman"/>
      <w:lvlText w:val="%3."/>
      <w:lvlJc w:val="right"/>
      <w:pPr>
        <w:ind w:left="11157" w:hanging="180"/>
      </w:pPr>
    </w:lvl>
    <w:lvl w:ilvl="3" w:tplc="0C09000F" w:tentative="1">
      <w:start w:val="1"/>
      <w:numFmt w:val="decimal"/>
      <w:lvlText w:val="%4."/>
      <w:lvlJc w:val="left"/>
      <w:pPr>
        <w:ind w:left="11877" w:hanging="360"/>
      </w:pPr>
    </w:lvl>
    <w:lvl w:ilvl="4" w:tplc="0C090019" w:tentative="1">
      <w:start w:val="1"/>
      <w:numFmt w:val="lowerLetter"/>
      <w:lvlText w:val="%5."/>
      <w:lvlJc w:val="left"/>
      <w:pPr>
        <w:ind w:left="12597" w:hanging="360"/>
      </w:pPr>
    </w:lvl>
    <w:lvl w:ilvl="5" w:tplc="0C09001B" w:tentative="1">
      <w:start w:val="1"/>
      <w:numFmt w:val="lowerRoman"/>
      <w:lvlText w:val="%6."/>
      <w:lvlJc w:val="right"/>
      <w:pPr>
        <w:ind w:left="13317" w:hanging="180"/>
      </w:pPr>
    </w:lvl>
    <w:lvl w:ilvl="6" w:tplc="0C09000F" w:tentative="1">
      <w:start w:val="1"/>
      <w:numFmt w:val="decimal"/>
      <w:lvlText w:val="%7."/>
      <w:lvlJc w:val="left"/>
      <w:pPr>
        <w:ind w:left="14037" w:hanging="360"/>
      </w:pPr>
    </w:lvl>
    <w:lvl w:ilvl="7" w:tplc="0C090019" w:tentative="1">
      <w:start w:val="1"/>
      <w:numFmt w:val="lowerLetter"/>
      <w:lvlText w:val="%8."/>
      <w:lvlJc w:val="left"/>
      <w:pPr>
        <w:ind w:left="14757" w:hanging="360"/>
      </w:pPr>
    </w:lvl>
    <w:lvl w:ilvl="8" w:tplc="0C09001B" w:tentative="1">
      <w:start w:val="1"/>
      <w:numFmt w:val="lowerRoman"/>
      <w:lvlText w:val="%9."/>
      <w:lvlJc w:val="right"/>
      <w:pPr>
        <w:ind w:left="15477" w:hanging="180"/>
      </w:pPr>
    </w:lvl>
  </w:abstractNum>
  <w:abstractNum w:abstractNumId="288" w15:restartNumberingAfterBreak="0">
    <w:nsid w:val="64D21A81"/>
    <w:multiLevelType w:val="hybridMultilevel"/>
    <w:tmpl w:val="EA2E92D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89" w15:restartNumberingAfterBreak="0">
    <w:nsid w:val="654009DF"/>
    <w:multiLevelType w:val="hybridMultilevel"/>
    <w:tmpl w:val="7298CA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0" w15:restartNumberingAfterBreak="0">
    <w:nsid w:val="657A4F93"/>
    <w:multiLevelType w:val="hybridMultilevel"/>
    <w:tmpl w:val="F476EAA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91" w15:restartNumberingAfterBreak="0">
    <w:nsid w:val="65926C0A"/>
    <w:multiLevelType w:val="hybridMultilevel"/>
    <w:tmpl w:val="F2C050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2" w15:restartNumberingAfterBreak="0">
    <w:nsid w:val="65C04AC4"/>
    <w:multiLevelType w:val="hybridMultilevel"/>
    <w:tmpl w:val="4D3696C8"/>
    <w:lvl w:ilvl="0" w:tplc="FE5CCDDA">
      <w:start w:val="1"/>
      <w:numFmt w:val="decimal"/>
      <w:lvlText w:val="%1."/>
      <w:lvlJc w:val="left"/>
      <w:pPr>
        <w:ind w:left="720" w:hanging="360"/>
      </w:pPr>
      <w:rPr>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3" w15:restartNumberingAfterBreak="0">
    <w:nsid w:val="65D61D60"/>
    <w:multiLevelType w:val="hybridMultilevel"/>
    <w:tmpl w:val="ED0A3ACC"/>
    <w:lvl w:ilvl="0" w:tplc="CC9E61DC">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294" w15:restartNumberingAfterBreak="0">
    <w:nsid w:val="6628491B"/>
    <w:multiLevelType w:val="hybridMultilevel"/>
    <w:tmpl w:val="B00C2CB0"/>
    <w:lvl w:ilvl="0" w:tplc="8794ADB2">
      <w:start w:val="1"/>
      <w:numFmt w:val="bullet"/>
      <w:lvlText w:val="•"/>
      <w:lvlJc w:val="left"/>
      <w:pPr>
        <w:ind w:left="1497" w:hanging="360"/>
      </w:pPr>
      <w:rPr>
        <w:rFonts w:ascii="Arial" w:hAnsi="Arial" w:hint="default"/>
      </w:rPr>
    </w:lvl>
    <w:lvl w:ilvl="1" w:tplc="04090003" w:tentative="1">
      <w:start w:val="1"/>
      <w:numFmt w:val="bullet"/>
      <w:lvlText w:val="o"/>
      <w:lvlJc w:val="left"/>
      <w:pPr>
        <w:ind w:left="2217" w:hanging="360"/>
      </w:pPr>
      <w:rPr>
        <w:rFonts w:ascii="Courier New" w:hAnsi="Courier New" w:cs="Courier New" w:hint="default"/>
      </w:rPr>
    </w:lvl>
    <w:lvl w:ilvl="2" w:tplc="04090005" w:tentative="1">
      <w:start w:val="1"/>
      <w:numFmt w:val="bullet"/>
      <w:lvlText w:val=""/>
      <w:lvlJc w:val="left"/>
      <w:pPr>
        <w:ind w:left="2937" w:hanging="360"/>
      </w:pPr>
      <w:rPr>
        <w:rFonts w:ascii="Wingdings" w:hAnsi="Wingdings" w:hint="default"/>
      </w:rPr>
    </w:lvl>
    <w:lvl w:ilvl="3" w:tplc="04090001" w:tentative="1">
      <w:start w:val="1"/>
      <w:numFmt w:val="bullet"/>
      <w:lvlText w:val=""/>
      <w:lvlJc w:val="left"/>
      <w:pPr>
        <w:ind w:left="3657" w:hanging="360"/>
      </w:pPr>
      <w:rPr>
        <w:rFonts w:ascii="Symbol" w:hAnsi="Symbol" w:hint="default"/>
      </w:rPr>
    </w:lvl>
    <w:lvl w:ilvl="4" w:tplc="04090003" w:tentative="1">
      <w:start w:val="1"/>
      <w:numFmt w:val="bullet"/>
      <w:lvlText w:val="o"/>
      <w:lvlJc w:val="left"/>
      <w:pPr>
        <w:ind w:left="4377" w:hanging="360"/>
      </w:pPr>
      <w:rPr>
        <w:rFonts w:ascii="Courier New" w:hAnsi="Courier New" w:cs="Courier New" w:hint="default"/>
      </w:rPr>
    </w:lvl>
    <w:lvl w:ilvl="5" w:tplc="04090005" w:tentative="1">
      <w:start w:val="1"/>
      <w:numFmt w:val="bullet"/>
      <w:lvlText w:val=""/>
      <w:lvlJc w:val="left"/>
      <w:pPr>
        <w:ind w:left="5097" w:hanging="360"/>
      </w:pPr>
      <w:rPr>
        <w:rFonts w:ascii="Wingdings" w:hAnsi="Wingdings" w:hint="default"/>
      </w:rPr>
    </w:lvl>
    <w:lvl w:ilvl="6" w:tplc="04090001" w:tentative="1">
      <w:start w:val="1"/>
      <w:numFmt w:val="bullet"/>
      <w:lvlText w:val=""/>
      <w:lvlJc w:val="left"/>
      <w:pPr>
        <w:ind w:left="5817" w:hanging="360"/>
      </w:pPr>
      <w:rPr>
        <w:rFonts w:ascii="Symbol" w:hAnsi="Symbol" w:hint="default"/>
      </w:rPr>
    </w:lvl>
    <w:lvl w:ilvl="7" w:tplc="04090003" w:tentative="1">
      <w:start w:val="1"/>
      <w:numFmt w:val="bullet"/>
      <w:lvlText w:val="o"/>
      <w:lvlJc w:val="left"/>
      <w:pPr>
        <w:ind w:left="6537" w:hanging="360"/>
      </w:pPr>
      <w:rPr>
        <w:rFonts w:ascii="Courier New" w:hAnsi="Courier New" w:cs="Courier New" w:hint="default"/>
      </w:rPr>
    </w:lvl>
    <w:lvl w:ilvl="8" w:tplc="04090005" w:tentative="1">
      <w:start w:val="1"/>
      <w:numFmt w:val="bullet"/>
      <w:lvlText w:val=""/>
      <w:lvlJc w:val="left"/>
      <w:pPr>
        <w:ind w:left="7257" w:hanging="360"/>
      </w:pPr>
      <w:rPr>
        <w:rFonts w:ascii="Wingdings" w:hAnsi="Wingdings" w:hint="default"/>
      </w:rPr>
    </w:lvl>
  </w:abstractNum>
  <w:abstractNum w:abstractNumId="295" w15:restartNumberingAfterBreak="0">
    <w:nsid w:val="663374E6"/>
    <w:multiLevelType w:val="hybridMultilevel"/>
    <w:tmpl w:val="84FC458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96" w15:restartNumberingAfterBreak="0">
    <w:nsid w:val="66505916"/>
    <w:multiLevelType w:val="hybridMultilevel"/>
    <w:tmpl w:val="CF84A4C0"/>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297" w15:restartNumberingAfterBreak="0">
    <w:nsid w:val="66522447"/>
    <w:multiLevelType w:val="hybridMultilevel"/>
    <w:tmpl w:val="D46812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8" w15:restartNumberingAfterBreak="0">
    <w:nsid w:val="67100D39"/>
    <w:multiLevelType w:val="hybridMultilevel"/>
    <w:tmpl w:val="E7B230A6"/>
    <w:lvl w:ilvl="0" w:tplc="F882153A">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99" w15:restartNumberingAfterBreak="0">
    <w:nsid w:val="679221E2"/>
    <w:multiLevelType w:val="hybridMultilevel"/>
    <w:tmpl w:val="85744676"/>
    <w:lvl w:ilvl="0" w:tplc="0C090001">
      <w:start w:val="1"/>
      <w:numFmt w:val="bullet"/>
      <w:lvlText w:val=""/>
      <w:lvlJc w:val="left"/>
      <w:pPr>
        <w:ind w:left="781" w:hanging="360"/>
      </w:pPr>
      <w:rPr>
        <w:rFonts w:ascii="Symbol" w:hAnsi="Symbol" w:hint="default"/>
      </w:rPr>
    </w:lvl>
    <w:lvl w:ilvl="1" w:tplc="0C090003">
      <w:start w:val="1"/>
      <w:numFmt w:val="bullet"/>
      <w:lvlText w:val="o"/>
      <w:lvlJc w:val="left"/>
      <w:pPr>
        <w:ind w:left="1501" w:hanging="360"/>
      </w:pPr>
      <w:rPr>
        <w:rFonts w:ascii="Courier New" w:hAnsi="Courier New" w:cs="Courier New" w:hint="default"/>
      </w:rPr>
    </w:lvl>
    <w:lvl w:ilvl="2" w:tplc="0C090005">
      <w:start w:val="1"/>
      <w:numFmt w:val="bullet"/>
      <w:lvlText w:val=""/>
      <w:lvlJc w:val="left"/>
      <w:pPr>
        <w:ind w:left="2221" w:hanging="360"/>
      </w:pPr>
      <w:rPr>
        <w:rFonts w:ascii="Wingdings" w:hAnsi="Wingdings" w:hint="default"/>
      </w:rPr>
    </w:lvl>
    <w:lvl w:ilvl="3" w:tplc="0C090001">
      <w:start w:val="1"/>
      <w:numFmt w:val="bullet"/>
      <w:lvlText w:val=""/>
      <w:lvlJc w:val="left"/>
      <w:pPr>
        <w:ind w:left="2941" w:hanging="360"/>
      </w:pPr>
      <w:rPr>
        <w:rFonts w:ascii="Symbol" w:hAnsi="Symbol" w:hint="default"/>
      </w:rPr>
    </w:lvl>
    <w:lvl w:ilvl="4" w:tplc="0C090003">
      <w:start w:val="1"/>
      <w:numFmt w:val="bullet"/>
      <w:lvlText w:val="o"/>
      <w:lvlJc w:val="left"/>
      <w:pPr>
        <w:ind w:left="3661" w:hanging="360"/>
      </w:pPr>
      <w:rPr>
        <w:rFonts w:ascii="Courier New" w:hAnsi="Courier New" w:cs="Courier New" w:hint="default"/>
      </w:rPr>
    </w:lvl>
    <w:lvl w:ilvl="5" w:tplc="0C090005">
      <w:start w:val="1"/>
      <w:numFmt w:val="bullet"/>
      <w:lvlText w:val=""/>
      <w:lvlJc w:val="left"/>
      <w:pPr>
        <w:ind w:left="4381" w:hanging="360"/>
      </w:pPr>
      <w:rPr>
        <w:rFonts w:ascii="Wingdings" w:hAnsi="Wingdings" w:hint="default"/>
      </w:rPr>
    </w:lvl>
    <w:lvl w:ilvl="6" w:tplc="0C090001">
      <w:start w:val="1"/>
      <w:numFmt w:val="bullet"/>
      <w:lvlText w:val=""/>
      <w:lvlJc w:val="left"/>
      <w:pPr>
        <w:ind w:left="5101" w:hanging="360"/>
      </w:pPr>
      <w:rPr>
        <w:rFonts w:ascii="Symbol" w:hAnsi="Symbol" w:hint="default"/>
      </w:rPr>
    </w:lvl>
    <w:lvl w:ilvl="7" w:tplc="0C090003">
      <w:start w:val="1"/>
      <w:numFmt w:val="bullet"/>
      <w:lvlText w:val="o"/>
      <w:lvlJc w:val="left"/>
      <w:pPr>
        <w:ind w:left="5821" w:hanging="360"/>
      </w:pPr>
      <w:rPr>
        <w:rFonts w:ascii="Courier New" w:hAnsi="Courier New" w:cs="Courier New" w:hint="default"/>
      </w:rPr>
    </w:lvl>
    <w:lvl w:ilvl="8" w:tplc="0C090005">
      <w:start w:val="1"/>
      <w:numFmt w:val="bullet"/>
      <w:lvlText w:val=""/>
      <w:lvlJc w:val="left"/>
      <w:pPr>
        <w:ind w:left="6541" w:hanging="360"/>
      </w:pPr>
      <w:rPr>
        <w:rFonts w:ascii="Wingdings" w:hAnsi="Wingdings" w:hint="default"/>
      </w:rPr>
    </w:lvl>
  </w:abstractNum>
  <w:abstractNum w:abstractNumId="300" w15:restartNumberingAfterBreak="0">
    <w:nsid w:val="67B55B9C"/>
    <w:multiLevelType w:val="hybridMultilevel"/>
    <w:tmpl w:val="77A8C7DE"/>
    <w:lvl w:ilvl="0" w:tplc="0C090001">
      <w:start w:val="1"/>
      <w:numFmt w:val="bullet"/>
      <w:lvlText w:val=""/>
      <w:lvlJc w:val="left"/>
      <w:pPr>
        <w:tabs>
          <w:tab w:val="num" w:pos="1440"/>
        </w:tabs>
        <w:ind w:left="1440" w:hanging="360"/>
      </w:pPr>
      <w:rPr>
        <w:rFonts w:ascii="Symbol" w:hAnsi="Symbol" w:hint="default"/>
      </w:rPr>
    </w:lvl>
    <w:lvl w:ilvl="1" w:tplc="0C090003">
      <w:start w:val="1"/>
      <w:numFmt w:val="bullet"/>
      <w:lvlText w:val="o"/>
      <w:lvlJc w:val="left"/>
      <w:pPr>
        <w:tabs>
          <w:tab w:val="num" w:pos="2160"/>
        </w:tabs>
        <w:ind w:left="2160" w:hanging="360"/>
      </w:pPr>
      <w:rPr>
        <w:rFonts w:ascii="Courier New" w:hAnsi="Courier New" w:cs="Courier New" w:hint="default"/>
      </w:rPr>
    </w:lvl>
    <w:lvl w:ilvl="2" w:tplc="0C090005">
      <w:start w:val="1"/>
      <w:numFmt w:val="bullet"/>
      <w:lvlText w:val=""/>
      <w:lvlJc w:val="left"/>
      <w:pPr>
        <w:tabs>
          <w:tab w:val="num" w:pos="2880"/>
        </w:tabs>
        <w:ind w:left="2880" w:hanging="360"/>
      </w:pPr>
      <w:rPr>
        <w:rFonts w:ascii="Wingdings" w:hAnsi="Wingdings" w:hint="default"/>
      </w:rPr>
    </w:lvl>
    <w:lvl w:ilvl="3" w:tplc="0C090001">
      <w:start w:val="1"/>
      <w:numFmt w:val="bullet"/>
      <w:lvlText w:val=""/>
      <w:lvlJc w:val="left"/>
      <w:pPr>
        <w:tabs>
          <w:tab w:val="num" w:pos="3600"/>
        </w:tabs>
        <w:ind w:left="3600" w:hanging="360"/>
      </w:pPr>
      <w:rPr>
        <w:rFonts w:ascii="Symbol" w:hAnsi="Symbol" w:hint="default"/>
      </w:rPr>
    </w:lvl>
    <w:lvl w:ilvl="4" w:tplc="0C090003">
      <w:start w:val="1"/>
      <w:numFmt w:val="bullet"/>
      <w:lvlText w:val="o"/>
      <w:lvlJc w:val="left"/>
      <w:pPr>
        <w:tabs>
          <w:tab w:val="num" w:pos="4320"/>
        </w:tabs>
        <w:ind w:left="4320" w:hanging="360"/>
      </w:pPr>
      <w:rPr>
        <w:rFonts w:ascii="Courier New" w:hAnsi="Courier New" w:cs="Courier New" w:hint="default"/>
      </w:rPr>
    </w:lvl>
    <w:lvl w:ilvl="5" w:tplc="0C090005">
      <w:start w:val="1"/>
      <w:numFmt w:val="bullet"/>
      <w:lvlText w:val=""/>
      <w:lvlJc w:val="left"/>
      <w:pPr>
        <w:tabs>
          <w:tab w:val="num" w:pos="5040"/>
        </w:tabs>
        <w:ind w:left="5040" w:hanging="360"/>
      </w:pPr>
      <w:rPr>
        <w:rFonts w:ascii="Wingdings" w:hAnsi="Wingdings" w:hint="default"/>
      </w:rPr>
    </w:lvl>
    <w:lvl w:ilvl="6" w:tplc="0C090001">
      <w:start w:val="1"/>
      <w:numFmt w:val="bullet"/>
      <w:lvlText w:val=""/>
      <w:lvlJc w:val="left"/>
      <w:pPr>
        <w:tabs>
          <w:tab w:val="num" w:pos="5760"/>
        </w:tabs>
        <w:ind w:left="5760" w:hanging="360"/>
      </w:pPr>
      <w:rPr>
        <w:rFonts w:ascii="Symbol" w:hAnsi="Symbol" w:hint="default"/>
      </w:rPr>
    </w:lvl>
    <w:lvl w:ilvl="7" w:tplc="0C090003">
      <w:start w:val="1"/>
      <w:numFmt w:val="bullet"/>
      <w:lvlText w:val="o"/>
      <w:lvlJc w:val="left"/>
      <w:pPr>
        <w:tabs>
          <w:tab w:val="num" w:pos="6480"/>
        </w:tabs>
        <w:ind w:left="6480" w:hanging="360"/>
      </w:pPr>
      <w:rPr>
        <w:rFonts w:ascii="Courier New" w:hAnsi="Courier New" w:cs="Courier New" w:hint="default"/>
      </w:rPr>
    </w:lvl>
    <w:lvl w:ilvl="8" w:tplc="0C090005">
      <w:start w:val="1"/>
      <w:numFmt w:val="bullet"/>
      <w:lvlText w:val=""/>
      <w:lvlJc w:val="left"/>
      <w:pPr>
        <w:tabs>
          <w:tab w:val="num" w:pos="7200"/>
        </w:tabs>
        <w:ind w:left="7200" w:hanging="360"/>
      </w:pPr>
      <w:rPr>
        <w:rFonts w:ascii="Wingdings" w:hAnsi="Wingdings" w:hint="default"/>
      </w:rPr>
    </w:lvl>
  </w:abstractNum>
  <w:abstractNum w:abstractNumId="301" w15:restartNumberingAfterBreak="0">
    <w:nsid w:val="67D360E0"/>
    <w:multiLevelType w:val="hybridMultilevel"/>
    <w:tmpl w:val="5F6C130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2" w15:restartNumberingAfterBreak="0">
    <w:nsid w:val="685A008B"/>
    <w:multiLevelType w:val="hybridMultilevel"/>
    <w:tmpl w:val="A1A60BFE"/>
    <w:lvl w:ilvl="0" w:tplc="6A06EEE0">
      <w:start w:val="1"/>
      <w:numFmt w:val="decimal"/>
      <w:lvlText w:val="%1."/>
      <w:lvlJc w:val="left"/>
      <w:pPr>
        <w:ind w:left="360" w:hanging="360"/>
      </w:pPr>
      <w:rPr>
        <w:i w:val="0"/>
        <w:sz w:val="22"/>
        <w:szCs w:val="22"/>
      </w:rPr>
    </w:lvl>
    <w:lvl w:ilvl="1" w:tplc="14090019">
      <w:start w:val="1"/>
      <w:numFmt w:val="lowerLetter"/>
      <w:lvlText w:val="%2."/>
      <w:lvlJc w:val="left"/>
      <w:pPr>
        <w:ind w:left="1080" w:hanging="360"/>
      </w:pPr>
    </w:lvl>
    <w:lvl w:ilvl="2" w:tplc="1409001B">
      <w:start w:val="1"/>
      <w:numFmt w:val="lowerRoman"/>
      <w:lvlText w:val="%3."/>
      <w:lvlJc w:val="right"/>
      <w:pPr>
        <w:ind w:left="1800" w:hanging="180"/>
      </w:pPr>
    </w:lvl>
    <w:lvl w:ilvl="3" w:tplc="400EDFB8">
      <w:start w:val="1"/>
      <w:numFmt w:val="decimal"/>
      <w:lvlText w:val="%4."/>
      <w:lvlJc w:val="left"/>
      <w:pPr>
        <w:ind w:left="2520" w:hanging="360"/>
      </w:pPr>
      <w:rPr>
        <w:b w:val="0"/>
        <w:sz w:val="22"/>
        <w:szCs w:val="22"/>
      </w:rPr>
    </w:lvl>
    <w:lvl w:ilvl="4" w:tplc="14090019">
      <w:start w:val="1"/>
      <w:numFmt w:val="lowerLetter"/>
      <w:lvlText w:val="%5."/>
      <w:lvlJc w:val="left"/>
      <w:pPr>
        <w:ind w:left="3240" w:hanging="360"/>
      </w:pPr>
    </w:lvl>
    <w:lvl w:ilvl="5" w:tplc="1409001B">
      <w:start w:val="1"/>
      <w:numFmt w:val="lowerRoman"/>
      <w:lvlText w:val="%6."/>
      <w:lvlJc w:val="right"/>
      <w:pPr>
        <w:ind w:left="3960" w:hanging="180"/>
      </w:pPr>
    </w:lvl>
    <w:lvl w:ilvl="6" w:tplc="1409000F">
      <w:start w:val="1"/>
      <w:numFmt w:val="decimal"/>
      <w:lvlText w:val="%7."/>
      <w:lvlJc w:val="left"/>
      <w:pPr>
        <w:ind w:left="4680" w:hanging="360"/>
      </w:pPr>
    </w:lvl>
    <w:lvl w:ilvl="7" w:tplc="14090019">
      <w:start w:val="1"/>
      <w:numFmt w:val="lowerLetter"/>
      <w:lvlText w:val="%8."/>
      <w:lvlJc w:val="left"/>
      <w:pPr>
        <w:ind w:left="5400" w:hanging="360"/>
      </w:pPr>
    </w:lvl>
    <w:lvl w:ilvl="8" w:tplc="1409001B">
      <w:start w:val="1"/>
      <w:numFmt w:val="lowerRoman"/>
      <w:lvlText w:val="%9."/>
      <w:lvlJc w:val="right"/>
      <w:pPr>
        <w:ind w:left="6120" w:hanging="180"/>
      </w:pPr>
    </w:lvl>
  </w:abstractNum>
  <w:abstractNum w:abstractNumId="303" w15:restartNumberingAfterBreak="0">
    <w:nsid w:val="68CB037F"/>
    <w:multiLevelType w:val="hybridMultilevel"/>
    <w:tmpl w:val="8354D694"/>
    <w:lvl w:ilvl="0" w:tplc="0C090001">
      <w:start w:val="1"/>
      <w:numFmt w:val="bullet"/>
      <w:lvlText w:val=""/>
      <w:lvlJc w:val="left"/>
      <w:pPr>
        <w:ind w:left="360" w:hanging="360"/>
      </w:pPr>
      <w:rPr>
        <w:rFonts w:ascii="Symbol" w:hAnsi="Symbol" w:hint="default"/>
      </w:rPr>
    </w:lvl>
    <w:lvl w:ilvl="1" w:tplc="8794ADB2">
      <w:start w:val="1"/>
      <w:numFmt w:val="bullet"/>
      <w:lvlText w:val="•"/>
      <w:lvlJc w:val="left"/>
      <w:pPr>
        <w:ind w:left="1080" w:hanging="360"/>
      </w:pPr>
      <w:rPr>
        <w:rFonts w:ascii="Arial" w:hAnsi="Aria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4" w15:restartNumberingAfterBreak="0">
    <w:nsid w:val="69442C80"/>
    <w:multiLevelType w:val="hybridMultilevel"/>
    <w:tmpl w:val="A998DB6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5" w15:restartNumberingAfterBreak="0">
    <w:nsid w:val="69CB5674"/>
    <w:multiLevelType w:val="hybridMultilevel"/>
    <w:tmpl w:val="C63A3AA6"/>
    <w:lvl w:ilvl="0" w:tplc="0C090001">
      <w:start w:val="1"/>
      <w:numFmt w:val="bullet"/>
      <w:lvlText w:val=""/>
      <w:lvlJc w:val="left"/>
      <w:pPr>
        <w:tabs>
          <w:tab w:val="num" w:pos="720"/>
        </w:tabs>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06" w15:restartNumberingAfterBreak="0">
    <w:nsid w:val="6AA87889"/>
    <w:multiLevelType w:val="hybridMultilevel"/>
    <w:tmpl w:val="EDE02CF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07" w15:restartNumberingAfterBreak="0">
    <w:nsid w:val="6AAC190C"/>
    <w:multiLevelType w:val="hybridMultilevel"/>
    <w:tmpl w:val="09EAD47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8" w15:restartNumberingAfterBreak="0">
    <w:nsid w:val="6BA440E8"/>
    <w:multiLevelType w:val="hybridMultilevel"/>
    <w:tmpl w:val="B10CBAD2"/>
    <w:lvl w:ilvl="0" w:tplc="0C090001">
      <w:start w:val="1"/>
      <w:numFmt w:val="bullet"/>
      <w:lvlText w:val=""/>
      <w:lvlJc w:val="left"/>
      <w:pPr>
        <w:tabs>
          <w:tab w:val="num" w:pos="780"/>
        </w:tabs>
        <w:ind w:left="780" w:hanging="360"/>
      </w:pPr>
      <w:rPr>
        <w:rFonts w:ascii="Symbol" w:hAnsi="Symbol" w:hint="default"/>
      </w:rPr>
    </w:lvl>
    <w:lvl w:ilvl="1" w:tplc="0C090003">
      <w:start w:val="1"/>
      <w:numFmt w:val="bullet"/>
      <w:lvlText w:val="o"/>
      <w:lvlJc w:val="left"/>
      <w:pPr>
        <w:tabs>
          <w:tab w:val="num" w:pos="1500"/>
        </w:tabs>
        <w:ind w:left="1500" w:hanging="360"/>
      </w:pPr>
      <w:rPr>
        <w:rFonts w:ascii="Courier New" w:hAnsi="Courier New" w:cs="Courier New" w:hint="default"/>
      </w:rPr>
    </w:lvl>
    <w:lvl w:ilvl="2" w:tplc="0C090005">
      <w:start w:val="1"/>
      <w:numFmt w:val="bullet"/>
      <w:lvlText w:val=""/>
      <w:lvlJc w:val="left"/>
      <w:pPr>
        <w:tabs>
          <w:tab w:val="num" w:pos="2220"/>
        </w:tabs>
        <w:ind w:left="2220" w:hanging="360"/>
      </w:pPr>
      <w:rPr>
        <w:rFonts w:ascii="Wingdings" w:hAnsi="Wingdings" w:hint="default"/>
      </w:rPr>
    </w:lvl>
    <w:lvl w:ilvl="3" w:tplc="0C090001">
      <w:start w:val="1"/>
      <w:numFmt w:val="bullet"/>
      <w:lvlText w:val=""/>
      <w:lvlJc w:val="left"/>
      <w:pPr>
        <w:tabs>
          <w:tab w:val="num" w:pos="2940"/>
        </w:tabs>
        <w:ind w:left="2940" w:hanging="360"/>
      </w:pPr>
      <w:rPr>
        <w:rFonts w:ascii="Symbol" w:hAnsi="Symbol" w:hint="default"/>
      </w:rPr>
    </w:lvl>
    <w:lvl w:ilvl="4" w:tplc="0C090003">
      <w:start w:val="1"/>
      <w:numFmt w:val="bullet"/>
      <w:lvlText w:val="o"/>
      <w:lvlJc w:val="left"/>
      <w:pPr>
        <w:tabs>
          <w:tab w:val="num" w:pos="3660"/>
        </w:tabs>
        <w:ind w:left="3660" w:hanging="360"/>
      </w:pPr>
      <w:rPr>
        <w:rFonts w:ascii="Courier New" w:hAnsi="Courier New" w:cs="Courier New" w:hint="default"/>
      </w:rPr>
    </w:lvl>
    <w:lvl w:ilvl="5" w:tplc="0C090005">
      <w:start w:val="1"/>
      <w:numFmt w:val="bullet"/>
      <w:lvlText w:val=""/>
      <w:lvlJc w:val="left"/>
      <w:pPr>
        <w:tabs>
          <w:tab w:val="num" w:pos="4380"/>
        </w:tabs>
        <w:ind w:left="4380" w:hanging="360"/>
      </w:pPr>
      <w:rPr>
        <w:rFonts w:ascii="Wingdings" w:hAnsi="Wingdings" w:hint="default"/>
      </w:rPr>
    </w:lvl>
    <w:lvl w:ilvl="6" w:tplc="0C090001">
      <w:start w:val="1"/>
      <w:numFmt w:val="bullet"/>
      <w:lvlText w:val=""/>
      <w:lvlJc w:val="left"/>
      <w:pPr>
        <w:tabs>
          <w:tab w:val="num" w:pos="5100"/>
        </w:tabs>
        <w:ind w:left="5100" w:hanging="360"/>
      </w:pPr>
      <w:rPr>
        <w:rFonts w:ascii="Symbol" w:hAnsi="Symbol" w:hint="default"/>
      </w:rPr>
    </w:lvl>
    <w:lvl w:ilvl="7" w:tplc="0C090003">
      <w:start w:val="1"/>
      <w:numFmt w:val="bullet"/>
      <w:lvlText w:val="o"/>
      <w:lvlJc w:val="left"/>
      <w:pPr>
        <w:tabs>
          <w:tab w:val="num" w:pos="5820"/>
        </w:tabs>
        <w:ind w:left="5820" w:hanging="360"/>
      </w:pPr>
      <w:rPr>
        <w:rFonts w:ascii="Courier New" w:hAnsi="Courier New" w:cs="Courier New" w:hint="default"/>
      </w:rPr>
    </w:lvl>
    <w:lvl w:ilvl="8" w:tplc="0C090005">
      <w:start w:val="1"/>
      <w:numFmt w:val="bullet"/>
      <w:lvlText w:val=""/>
      <w:lvlJc w:val="left"/>
      <w:pPr>
        <w:tabs>
          <w:tab w:val="num" w:pos="6540"/>
        </w:tabs>
        <w:ind w:left="6540" w:hanging="360"/>
      </w:pPr>
      <w:rPr>
        <w:rFonts w:ascii="Wingdings" w:hAnsi="Wingdings" w:hint="default"/>
      </w:rPr>
    </w:lvl>
  </w:abstractNum>
  <w:abstractNum w:abstractNumId="309" w15:restartNumberingAfterBreak="0">
    <w:nsid w:val="6C4B4782"/>
    <w:multiLevelType w:val="hybridMultilevel"/>
    <w:tmpl w:val="F96EA04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10" w15:restartNumberingAfterBreak="0">
    <w:nsid w:val="6C4E3E26"/>
    <w:multiLevelType w:val="hybridMultilevel"/>
    <w:tmpl w:val="0E460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1" w15:restartNumberingAfterBreak="0">
    <w:nsid w:val="6C596198"/>
    <w:multiLevelType w:val="hybridMultilevel"/>
    <w:tmpl w:val="62EEB49A"/>
    <w:lvl w:ilvl="0" w:tplc="F44CA64A">
      <w:start w:val="1"/>
      <w:numFmt w:val="bullet"/>
      <w:lvlText w:val=""/>
      <w:lvlJc w:val="left"/>
      <w:pPr>
        <w:ind w:left="720" w:hanging="360"/>
      </w:pPr>
      <w:rPr>
        <w:rFonts w:ascii="Symbol" w:hAnsi="Symbol" w:hint="default"/>
        <w:sz w:val="22"/>
        <w:szCs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2" w15:restartNumberingAfterBreak="0">
    <w:nsid w:val="6C5B2D73"/>
    <w:multiLevelType w:val="hybridMultilevel"/>
    <w:tmpl w:val="BC163016"/>
    <w:lvl w:ilvl="0" w:tplc="0C090001">
      <w:start w:val="1"/>
      <w:numFmt w:val="bullet"/>
      <w:lvlText w:val=""/>
      <w:lvlJc w:val="left"/>
      <w:pPr>
        <w:ind w:left="720" w:hanging="360"/>
      </w:pPr>
      <w:rPr>
        <w:rFonts w:ascii="Symbol" w:hAnsi="Symbol" w:hint="default"/>
      </w:rPr>
    </w:lvl>
    <w:lvl w:ilvl="1" w:tplc="62720B0C">
      <w:start w:val="1"/>
      <w:numFmt w:val="bullet"/>
      <w:lvlText w:val="•"/>
      <w:lvlJc w:val="left"/>
      <w:pPr>
        <w:ind w:left="1440" w:hanging="360"/>
      </w:pPr>
      <w:rPr>
        <w:rFonts w:ascii="Arial"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3" w15:restartNumberingAfterBreak="0">
    <w:nsid w:val="6C8F0745"/>
    <w:multiLevelType w:val="multilevel"/>
    <w:tmpl w:val="0860907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sz w:val="22"/>
        <w:szCs w:val="22"/>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4" w15:restartNumberingAfterBreak="0">
    <w:nsid w:val="6D6D4893"/>
    <w:multiLevelType w:val="hybridMultilevel"/>
    <w:tmpl w:val="081A13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5" w15:restartNumberingAfterBreak="0">
    <w:nsid w:val="6DB21D59"/>
    <w:multiLevelType w:val="hybridMultilevel"/>
    <w:tmpl w:val="CE38B536"/>
    <w:lvl w:ilvl="0" w:tplc="7CA0838A">
      <w:start w:val="1"/>
      <w:numFmt w:val="decimal"/>
      <w:lvlText w:val="%1."/>
      <w:lvlJc w:val="left"/>
      <w:pPr>
        <w:tabs>
          <w:tab w:val="num" w:pos="1080"/>
        </w:tabs>
        <w:ind w:left="1080" w:hanging="720"/>
      </w:pPr>
      <w:rPr>
        <w:rFonts w:cs="Times New Roman"/>
        <w:sz w:val="22"/>
        <w:szCs w:val="22"/>
      </w:rPr>
    </w:lvl>
    <w:lvl w:ilvl="1" w:tplc="0C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16" w15:restartNumberingAfterBreak="0">
    <w:nsid w:val="6E3B1E14"/>
    <w:multiLevelType w:val="hybridMultilevel"/>
    <w:tmpl w:val="5E902794"/>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317" w15:restartNumberingAfterBreak="0">
    <w:nsid w:val="6F8758F6"/>
    <w:multiLevelType w:val="hybridMultilevel"/>
    <w:tmpl w:val="11263756"/>
    <w:lvl w:ilvl="0" w:tplc="934EBE54">
      <w:start w:val="4"/>
      <w:numFmt w:val="decimal"/>
      <w:lvlText w:val="%1)"/>
      <w:lvlJc w:val="left"/>
      <w:pPr>
        <w:tabs>
          <w:tab w:val="num" w:pos="1080"/>
        </w:tabs>
        <w:ind w:left="1080" w:hanging="360"/>
      </w:pPr>
      <w:rPr>
        <w:rFonts w:cs="Times New Roman"/>
      </w:rPr>
    </w:lvl>
    <w:lvl w:ilvl="1" w:tplc="0C090019">
      <w:start w:val="1"/>
      <w:numFmt w:val="lowerLetter"/>
      <w:lvlText w:val="%2."/>
      <w:lvlJc w:val="left"/>
      <w:pPr>
        <w:tabs>
          <w:tab w:val="num" w:pos="1800"/>
        </w:tabs>
        <w:ind w:left="1800" w:hanging="360"/>
      </w:pPr>
      <w:rPr>
        <w:rFonts w:cs="Times New Roman"/>
      </w:rPr>
    </w:lvl>
    <w:lvl w:ilvl="2" w:tplc="0C09001B">
      <w:start w:val="1"/>
      <w:numFmt w:val="lowerRoman"/>
      <w:lvlText w:val="%3."/>
      <w:lvlJc w:val="right"/>
      <w:pPr>
        <w:tabs>
          <w:tab w:val="num" w:pos="2520"/>
        </w:tabs>
        <w:ind w:left="2520" w:hanging="180"/>
      </w:pPr>
      <w:rPr>
        <w:rFonts w:cs="Times New Roman"/>
      </w:rPr>
    </w:lvl>
    <w:lvl w:ilvl="3" w:tplc="0C09000F">
      <w:start w:val="1"/>
      <w:numFmt w:val="decimal"/>
      <w:lvlText w:val="%4."/>
      <w:lvlJc w:val="left"/>
      <w:pPr>
        <w:tabs>
          <w:tab w:val="num" w:pos="3240"/>
        </w:tabs>
        <w:ind w:left="3240" w:hanging="360"/>
      </w:pPr>
      <w:rPr>
        <w:rFonts w:cs="Times New Roman"/>
      </w:rPr>
    </w:lvl>
    <w:lvl w:ilvl="4" w:tplc="0C090019">
      <w:start w:val="1"/>
      <w:numFmt w:val="lowerLetter"/>
      <w:lvlText w:val="%5."/>
      <w:lvlJc w:val="left"/>
      <w:pPr>
        <w:tabs>
          <w:tab w:val="num" w:pos="3960"/>
        </w:tabs>
        <w:ind w:left="3960" w:hanging="360"/>
      </w:pPr>
      <w:rPr>
        <w:rFonts w:cs="Times New Roman"/>
      </w:rPr>
    </w:lvl>
    <w:lvl w:ilvl="5" w:tplc="0C09001B">
      <w:start w:val="1"/>
      <w:numFmt w:val="lowerRoman"/>
      <w:lvlText w:val="%6."/>
      <w:lvlJc w:val="right"/>
      <w:pPr>
        <w:tabs>
          <w:tab w:val="num" w:pos="4680"/>
        </w:tabs>
        <w:ind w:left="4680" w:hanging="180"/>
      </w:pPr>
      <w:rPr>
        <w:rFonts w:cs="Times New Roman"/>
      </w:rPr>
    </w:lvl>
    <w:lvl w:ilvl="6" w:tplc="0C09000F">
      <w:start w:val="1"/>
      <w:numFmt w:val="decimal"/>
      <w:lvlText w:val="%7."/>
      <w:lvlJc w:val="left"/>
      <w:pPr>
        <w:tabs>
          <w:tab w:val="num" w:pos="5400"/>
        </w:tabs>
        <w:ind w:left="5400" w:hanging="360"/>
      </w:pPr>
      <w:rPr>
        <w:rFonts w:cs="Times New Roman"/>
      </w:rPr>
    </w:lvl>
    <w:lvl w:ilvl="7" w:tplc="0C090019">
      <w:start w:val="1"/>
      <w:numFmt w:val="lowerLetter"/>
      <w:lvlText w:val="%8."/>
      <w:lvlJc w:val="left"/>
      <w:pPr>
        <w:tabs>
          <w:tab w:val="num" w:pos="6120"/>
        </w:tabs>
        <w:ind w:left="6120" w:hanging="360"/>
      </w:pPr>
      <w:rPr>
        <w:rFonts w:cs="Times New Roman"/>
      </w:rPr>
    </w:lvl>
    <w:lvl w:ilvl="8" w:tplc="0C09001B">
      <w:start w:val="1"/>
      <w:numFmt w:val="lowerRoman"/>
      <w:lvlText w:val="%9."/>
      <w:lvlJc w:val="right"/>
      <w:pPr>
        <w:tabs>
          <w:tab w:val="num" w:pos="6840"/>
        </w:tabs>
        <w:ind w:left="6840" w:hanging="180"/>
      </w:pPr>
      <w:rPr>
        <w:rFonts w:cs="Times New Roman"/>
      </w:rPr>
    </w:lvl>
  </w:abstractNum>
  <w:abstractNum w:abstractNumId="318" w15:restartNumberingAfterBreak="0">
    <w:nsid w:val="701A768A"/>
    <w:multiLevelType w:val="hybridMultilevel"/>
    <w:tmpl w:val="DA8820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9" w15:restartNumberingAfterBreak="0">
    <w:nsid w:val="70E31022"/>
    <w:multiLevelType w:val="hybridMultilevel"/>
    <w:tmpl w:val="467A4D9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20" w15:restartNumberingAfterBreak="0">
    <w:nsid w:val="7170274F"/>
    <w:multiLevelType w:val="hybridMultilevel"/>
    <w:tmpl w:val="95123B6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1" w15:restartNumberingAfterBreak="0">
    <w:nsid w:val="7222479D"/>
    <w:multiLevelType w:val="multilevel"/>
    <w:tmpl w:val="C11E5280"/>
    <w:numStyleLink w:val="List0"/>
  </w:abstractNum>
  <w:abstractNum w:abstractNumId="322" w15:restartNumberingAfterBreak="0">
    <w:nsid w:val="723A7BBB"/>
    <w:multiLevelType w:val="hybridMultilevel"/>
    <w:tmpl w:val="A67C4E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3" w15:restartNumberingAfterBreak="0">
    <w:nsid w:val="723B16F8"/>
    <w:multiLevelType w:val="hybridMultilevel"/>
    <w:tmpl w:val="D45EBA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4" w15:restartNumberingAfterBreak="0">
    <w:nsid w:val="72573465"/>
    <w:multiLevelType w:val="hybridMultilevel"/>
    <w:tmpl w:val="AEAA25D2"/>
    <w:lvl w:ilvl="0" w:tplc="B59A7D60">
      <w:numFmt w:val="bullet"/>
      <w:lvlText w:val="•"/>
      <w:lvlJc w:val="left"/>
      <w:pPr>
        <w:ind w:left="360" w:hanging="360"/>
      </w:pPr>
      <w:rPr>
        <w:rFonts w:ascii="Cambria" w:eastAsiaTheme="minorHAnsi" w:hAnsi="Cambria" w:cs="Century Gothic"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5" w15:restartNumberingAfterBreak="0">
    <w:nsid w:val="73374BFA"/>
    <w:multiLevelType w:val="hybridMultilevel"/>
    <w:tmpl w:val="F1A042FA"/>
    <w:lvl w:ilvl="0" w:tplc="8794ADB2">
      <w:start w:val="1"/>
      <w:numFmt w:val="bullet"/>
      <w:lvlText w:val="•"/>
      <w:lvlJc w:val="left"/>
      <w:pPr>
        <w:ind w:left="1004" w:hanging="360"/>
      </w:pPr>
      <w:rPr>
        <w:rFonts w:ascii="Arial" w:hAnsi="Aria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26" w15:restartNumberingAfterBreak="0">
    <w:nsid w:val="735E274C"/>
    <w:multiLevelType w:val="hybridMultilevel"/>
    <w:tmpl w:val="96441728"/>
    <w:lvl w:ilvl="0" w:tplc="0C090019">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7" w15:restartNumberingAfterBreak="0">
    <w:nsid w:val="739730AF"/>
    <w:multiLevelType w:val="hybridMultilevel"/>
    <w:tmpl w:val="220EE6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8" w15:restartNumberingAfterBreak="0">
    <w:nsid w:val="74455B8C"/>
    <w:multiLevelType w:val="hybridMultilevel"/>
    <w:tmpl w:val="C51C7498"/>
    <w:lvl w:ilvl="0" w:tplc="04090015">
      <w:start w:val="1"/>
      <w:numFmt w:val="upperLetter"/>
      <w:lvlText w:val="%1."/>
      <w:lvlJc w:val="left"/>
      <w:pPr>
        <w:ind w:left="720" w:hanging="360"/>
      </w:pPr>
    </w:lvl>
    <w:lvl w:ilvl="1" w:tplc="3E8CEDA2">
      <w:start w:val="1"/>
      <w:numFmt w:val="decimal"/>
      <w:lvlText w:val="%2)"/>
      <w:lvlJc w:val="left"/>
      <w:pPr>
        <w:ind w:left="1440" w:hanging="360"/>
      </w:pPr>
      <w:rPr>
        <w:rFonts w:hint="default"/>
        <w:i/>
      </w:rPr>
    </w:lvl>
    <w:lvl w:ilvl="2" w:tplc="0409001B" w:tentative="1">
      <w:start w:val="1"/>
      <w:numFmt w:val="lowerRoman"/>
      <w:lvlText w:val="%3."/>
      <w:lvlJc w:val="right"/>
      <w:pPr>
        <w:ind w:left="2160" w:hanging="180"/>
      </w:pPr>
    </w:lvl>
    <w:lvl w:ilvl="3" w:tplc="8D5C6FDC">
      <w:start w:val="1"/>
      <w:numFmt w:val="upperLetter"/>
      <w:lvlText w:val="%4."/>
      <w:lvlJc w:val="left"/>
      <w:pPr>
        <w:ind w:left="2880" w:hanging="360"/>
      </w:pPr>
      <w:rPr>
        <w:sz w:val="22"/>
        <w:szCs w:val="22"/>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9" w15:restartNumberingAfterBreak="0">
    <w:nsid w:val="74AA7B87"/>
    <w:multiLevelType w:val="hybridMultilevel"/>
    <w:tmpl w:val="1BF4B3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0" w15:restartNumberingAfterBreak="0">
    <w:nsid w:val="74CC147C"/>
    <w:multiLevelType w:val="hybridMultilevel"/>
    <w:tmpl w:val="9E4C44D4"/>
    <w:lvl w:ilvl="0" w:tplc="EC0410D4">
      <w:start w:val="1"/>
      <w:numFmt w:val="bullet"/>
      <w:lvlText w:val="•"/>
      <w:lvlJc w:val="left"/>
      <w:pPr>
        <w:ind w:left="720" w:hanging="360"/>
      </w:pPr>
      <w:rPr>
        <w:rFonts w:ascii="Times New Roman" w:hAnsi="Times New Roman" w:cs="Times New Roman"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1" w15:restartNumberingAfterBreak="0">
    <w:nsid w:val="750508CD"/>
    <w:multiLevelType w:val="hybridMultilevel"/>
    <w:tmpl w:val="8C1A3B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2" w15:restartNumberingAfterBreak="0">
    <w:nsid w:val="760334A5"/>
    <w:multiLevelType w:val="hybridMultilevel"/>
    <w:tmpl w:val="5F6C130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3" w15:restartNumberingAfterBreak="0">
    <w:nsid w:val="778B4FF9"/>
    <w:multiLevelType w:val="hybridMultilevel"/>
    <w:tmpl w:val="EE78F46A"/>
    <w:lvl w:ilvl="0" w:tplc="3F04F804">
      <w:start w:val="1"/>
      <w:numFmt w:val="decimal"/>
      <w:lvlText w:val="%1."/>
      <w:lvlJc w:val="left"/>
      <w:pPr>
        <w:ind w:left="720" w:hanging="360"/>
      </w:pPr>
      <w:rPr>
        <w:rFonts w:ascii="Cambria" w:eastAsiaTheme="minorHAnsi" w:hAnsi="Cambria" w:cs="Aria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4" w15:restartNumberingAfterBreak="0">
    <w:nsid w:val="77CB7E9A"/>
    <w:multiLevelType w:val="hybridMultilevel"/>
    <w:tmpl w:val="65B2C2C0"/>
    <w:lvl w:ilvl="0" w:tplc="0C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5" w15:restartNumberingAfterBreak="0">
    <w:nsid w:val="78220747"/>
    <w:multiLevelType w:val="hybridMultilevel"/>
    <w:tmpl w:val="F8D0FD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6" w15:restartNumberingAfterBreak="0">
    <w:nsid w:val="782A32F9"/>
    <w:multiLevelType w:val="hybridMultilevel"/>
    <w:tmpl w:val="5BD20830"/>
    <w:lvl w:ilvl="0" w:tplc="801425E4">
      <w:start w:val="1"/>
      <w:numFmt w:val="decimal"/>
      <w:lvlText w:val="%1."/>
      <w:lvlJc w:val="left"/>
      <w:pPr>
        <w:ind w:left="720" w:hanging="360"/>
      </w:pPr>
      <w:rPr>
        <w:b/>
        <w:sz w:val="22"/>
        <w:szCs w:val="22"/>
      </w:rPr>
    </w:lvl>
    <w:lvl w:ilvl="1" w:tplc="04090019">
      <w:start w:val="1"/>
      <w:numFmt w:val="lowerLetter"/>
      <w:lvlText w:val="%2."/>
      <w:lvlJc w:val="left"/>
      <w:pPr>
        <w:ind w:left="1440" w:hanging="360"/>
      </w:pPr>
    </w:lvl>
    <w:lvl w:ilvl="2" w:tplc="04090019">
      <w:start w:val="1"/>
      <w:numFmt w:val="lowerLetter"/>
      <w:lvlText w:val="%3."/>
      <w:lvlJc w:val="left"/>
      <w:pPr>
        <w:ind w:left="2160" w:hanging="180"/>
      </w:pPr>
    </w:lvl>
    <w:lvl w:ilvl="3" w:tplc="9D869330">
      <w:start w:val="2013"/>
      <w:numFmt w:val="decimal"/>
      <w:lvlText w:val="%4"/>
      <w:lvlJc w:val="left"/>
      <w:pPr>
        <w:ind w:left="3000" w:hanging="480"/>
      </w:pPr>
      <w:rPr>
        <w:rFonts w:cs="Iskoola Pota"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7" w15:restartNumberingAfterBreak="0">
    <w:nsid w:val="79A620B0"/>
    <w:multiLevelType w:val="hybridMultilevel"/>
    <w:tmpl w:val="95101B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8" w15:restartNumberingAfterBreak="0">
    <w:nsid w:val="79D25205"/>
    <w:multiLevelType w:val="multilevel"/>
    <w:tmpl w:val="A85C4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9" w15:restartNumberingAfterBreak="0">
    <w:nsid w:val="7AB53E35"/>
    <w:multiLevelType w:val="multilevel"/>
    <w:tmpl w:val="642A3986"/>
    <w:styleLink w:val="WWNum1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40" w15:restartNumberingAfterBreak="0">
    <w:nsid w:val="7AD464AF"/>
    <w:multiLevelType w:val="hybridMultilevel"/>
    <w:tmpl w:val="BC0EF27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341" w15:restartNumberingAfterBreak="0">
    <w:nsid w:val="7AFB4379"/>
    <w:multiLevelType w:val="hybridMultilevel"/>
    <w:tmpl w:val="C0C4B04C"/>
    <w:lvl w:ilvl="0" w:tplc="F9748E40">
      <w:start w:val="1"/>
      <w:numFmt w:val="decimal"/>
      <w:lvlText w:val="%1."/>
      <w:lvlJc w:val="left"/>
      <w:pPr>
        <w:ind w:left="720" w:hanging="360"/>
      </w:pPr>
      <w:rPr>
        <w:b/>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42" w15:restartNumberingAfterBreak="0">
    <w:nsid w:val="7BE7301B"/>
    <w:multiLevelType w:val="hybridMultilevel"/>
    <w:tmpl w:val="662053E8"/>
    <w:lvl w:ilvl="0" w:tplc="0C090001">
      <w:start w:val="1"/>
      <w:numFmt w:val="bullet"/>
      <w:lvlText w:val=""/>
      <w:lvlJc w:val="left"/>
      <w:pPr>
        <w:tabs>
          <w:tab w:val="num" w:pos="1440"/>
        </w:tabs>
        <w:ind w:left="1440" w:hanging="360"/>
      </w:pPr>
      <w:rPr>
        <w:rFonts w:ascii="Symbol" w:hAnsi="Symbol" w:hint="default"/>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start w:val="1"/>
      <w:numFmt w:val="bullet"/>
      <w:lvlText w:val=""/>
      <w:lvlJc w:val="left"/>
      <w:pPr>
        <w:tabs>
          <w:tab w:val="num" w:pos="2520"/>
        </w:tabs>
        <w:ind w:left="2520" w:hanging="360"/>
      </w:pPr>
      <w:rPr>
        <w:rFonts w:ascii="Wingdings" w:hAnsi="Wingdings" w:hint="default"/>
      </w:rPr>
    </w:lvl>
    <w:lvl w:ilvl="3" w:tplc="0C090001">
      <w:start w:val="1"/>
      <w:numFmt w:val="bullet"/>
      <w:lvlText w:val=""/>
      <w:lvlJc w:val="left"/>
      <w:pPr>
        <w:tabs>
          <w:tab w:val="num" w:pos="3240"/>
        </w:tabs>
        <w:ind w:left="3240" w:hanging="360"/>
      </w:pPr>
      <w:rPr>
        <w:rFonts w:ascii="Symbol" w:hAnsi="Symbol" w:hint="default"/>
      </w:rPr>
    </w:lvl>
    <w:lvl w:ilvl="4" w:tplc="0C090003">
      <w:start w:val="1"/>
      <w:numFmt w:val="bullet"/>
      <w:lvlText w:val="o"/>
      <w:lvlJc w:val="left"/>
      <w:pPr>
        <w:tabs>
          <w:tab w:val="num" w:pos="3960"/>
        </w:tabs>
        <w:ind w:left="3960" w:hanging="360"/>
      </w:pPr>
      <w:rPr>
        <w:rFonts w:ascii="Courier New" w:hAnsi="Courier New" w:cs="Courier New" w:hint="default"/>
      </w:rPr>
    </w:lvl>
    <w:lvl w:ilvl="5" w:tplc="0C090005">
      <w:start w:val="1"/>
      <w:numFmt w:val="bullet"/>
      <w:lvlText w:val=""/>
      <w:lvlJc w:val="left"/>
      <w:pPr>
        <w:tabs>
          <w:tab w:val="num" w:pos="4680"/>
        </w:tabs>
        <w:ind w:left="4680" w:hanging="360"/>
      </w:pPr>
      <w:rPr>
        <w:rFonts w:ascii="Wingdings" w:hAnsi="Wingdings" w:hint="default"/>
      </w:rPr>
    </w:lvl>
    <w:lvl w:ilvl="6" w:tplc="0C090001">
      <w:start w:val="1"/>
      <w:numFmt w:val="bullet"/>
      <w:lvlText w:val=""/>
      <w:lvlJc w:val="left"/>
      <w:pPr>
        <w:tabs>
          <w:tab w:val="num" w:pos="5400"/>
        </w:tabs>
        <w:ind w:left="5400" w:hanging="360"/>
      </w:pPr>
      <w:rPr>
        <w:rFonts w:ascii="Symbol" w:hAnsi="Symbol" w:hint="default"/>
      </w:rPr>
    </w:lvl>
    <w:lvl w:ilvl="7" w:tplc="0C090003">
      <w:start w:val="1"/>
      <w:numFmt w:val="bullet"/>
      <w:lvlText w:val="o"/>
      <w:lvlJc w:val="left"/>
      <w:pPr>
        <w:tabs>
          <w:tab w:val="num" w:pos="6120"/>
        </w:tabs>
        <w:ind w:left="6120" w:hanging="360"/>
      </w:pPr>
      <w:rPr>
        <w:rFonts w:ascii="Courier New" w:hAnsi="Courier New" w:cs="Courier New" w:hint="default"/>
      </w:rPr>
    </w:lvl>
    <w:lvl w:ilvl="8" w:tplc="0C090005">
      <w:start w:val="1"/>
      <w:numFmt w:val="bullet"/>
      <w:lvlText w:val=""/>
      <w:lvlJc w:val="left"/>
      <w:pPr>
        <w:tabs>
          <w:tab w:val="num" w:pos="6840"/>
        </w:tabs>
        <w:ind w:left="6840" w:hanging="360"/>
      </w:pPr>
      <w:rPr>
        <w:rFonts w:ascii="Wingdings" w:hAnsi="Wingdings" w:hint="default"/>
      </w:rPr>
    </w:lvl>
  </w:abstractNum>
  <w:abstractNum w:abstractNumId="343" w15:restartNumberingAfterBreak="0">
    <w:nsid w:val="7BF66537"/>
    <w:multiLevelType w:val="hybridMultilevel"/>
    <w:tmpl w:val="5B46EA0E"/>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44" w15:restartNumberingAfterBreak="0">
    <w:nsid w:val="7CAC294A"/>
    <w:multiLevelType w:val="multilevel"/>
    <w:tmpl w:val="F2EE5A6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5" w15:restartNumberingAfterBreak="0">
    <w:nsid w:val="7CB20C39"/>
    <w:multiLevelType w:val="hybridMultilevel"/>
    <w:tmpl w:val="F1841FE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6" w15:restartNumberingAfterBreak="0">
    <w:nsid w:val="7CD95F90"/>
    <w:multiLevelType w:val="hybridMultilevel"/>
    <w:tmpl w:val="E8D4D0EE"/>
    <w:lvl w:ilvl="0" w:tplc="04090001">
      <w:start w:val="1"/>
      <w:numFmt w:val="bullet"/>
      <w:lvlText w:val=""/>
      <w:lvlJc w:val="left"/>
      <w:pPr>
        <w:ind w:left="1003" w:hanging="360"/>
      </w:pPr>
      <w:rPr>
        <w:rFonts w:ascii="Symbol" w:hAnsi="Symbol"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347" w15:restartNumberingAfterBreak="0">
    <w:nsid w:val="7D6854DF"/>
    <w:multiLevelType w:val="hybridMultilevel"/>
    <w:tmpl w:val="58645184"/>
    <w:lvl w:ilvl="0" w:tplc="0C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8" w15:restartNumberingAfterBreak="0">
    <w:nsid w:val="7D8069C2"/>
    <w:multiLevelType w:val="hybridMultilevel"/>
    <w:tmpl w:val="0F28E996"/>
    <w:lvl w:ilvl="0" w:tplc="0409000F">
      <w:start w:val="1"/>
      <w:numFmt w:val="decimal"/>
      <w:lvlText w:val="%1."/>
      <w:lvlJc w:val="left"/>
      <w:pPr>
        <w:ind w:left="2628" w:hanging="360"/>
      </w:pPr>
    </w:lvl>
    <w:lvl w:ilvl="1" w:tplc="04090019">
      <w:start w:val="1"/>
      <w:numFmt w:val="lowerLetter"/>
      <w:lvlText w:val="%2."/>
      <w:lvlJc w:val="left"/>
      <w:pPr>
        <w:ind w:left="3348" w:hanging="360"/>
      </w:pPr>
    </w:lvl>
    <w:lvl w:ilvl="2" w:tplc="0409001B">
      <w:start w:val="1"/>
      <w:numFmt w:val="lowerRoman"/>
      <w:lvlText w:val="%3."/>
      <w:lvlJc w:val="right"/>
      <w:pPr>
        <w:ind w:left="4068" w:hanging="180"/>
      </w:pPr>
    </w:lvl>
    <w:lvl w:ilvl="3" w:tplc="0409000F">
      <w:start w:val="1"/>
      <w:numFmt w:val="decimal"/>
      <w:lvlText w:val="%4."/>
      <w:lvlJc w:val="left"/>
      <w:pPr>
        <w:ind w:left="4788" w:hanging="360"/>
      </w:pPr>
    </w:lvl>
    <w:lvl w:ilvl="4" w:tplc="04090019">
      <w:start w:val="1"/>
      <w:numFmt w:val="lowerLetter"/>
      <w:lvlText w:val="%5."/>
      <w:lvlJc w:val="left"/>
      <w:pPr>
        <w:ind w:left="5508" w:hanging="360"/>
      </w:pPr>
    </w:lvl>
    <w:lvl w:ilvl="5" w:tplc="0409001B">
      <w:start w:val="1"/>
      <w:numFmt w:val="lowerRoman"/>
      <w:lvlText w:val="%6."/>
      <w:lvlJc w:val="right"/>
      <w:pPr>
        <w:ind w:left="6228" w:hanging="180"/>
      </w:pPr>
    </w:lvl>
    <w:lvl w:ilvl="6" w:tplc="0409000F">
      <w:start w:val="1"/>
      <w:numFmt w:val="decimal"/>
      <w:lvlText w:val="%7."/>
      <w:lvlJc w:val="left"/>
      <w:pPr>
        <w:ind w:left="6948" w:hanging="360"/>
      </w:pPr>
    </w:lvl>
    <w:lvl w:ilvl="7" w:tplc="04090019">
      <w:start w:val="1"/>
      <w:numFmt w:val="lowerLetter"/>
      <w:lvlText w:val="%8."/>
      <w:lvlJc w:val="left"/>
      <w:pPr>
        <w:ind w:left="7668" w:hanging="360"/>
      </w:pPr>
    </w:lvl>
    <w:lvl w:ilvl="8" w:tplc="0409001B">
      <w:start w:val="1"/>
      <w:numFmt w:val="lowerRoman"/>
      <w:lvlText w:val="%9."/>
      <w:lvlJc w:val="right"/>
      <w:pPr>
        <w:ind w:left="8388" w:hanging="180"/>
      </w:pPr>
    </w:lvl>
  </w:abstractNum>
  <w:abstractNum w:abstractNumId="349" w15:restartNumberingAfterBreak="0">
    <w:nsid w:val="7DE223F6"/>
    <w:multiLevelType w:val="hybridMultilevel"/>
    <w:tmpl w:val="88048C9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50" w15:restartNumberingAfterBreak="0">
    <w:nsid w:val="7E014C2E"/>
    <w:multiLevelType w:val="hybridMultilevel"/>
    <w:tmpl w:val="9724C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1" w15:restartNumberingAfterBreak="0">
    <w:nsid w:val="7F8C025F"/>
    <w:multiLevelType w:val="hybridMultilevel"/>
    <w:tmpl w:val="73BA171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52" w15:restartNumberingAfterBreak="0">
    <w:nsid w:val="7FA522AB"/>
    <w:multiLevelType w:val="hybridMultilevel"/>
    <w:tmpl w:val="7F94E2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7"/>
  </w:num>
  <w:num w:numId="5">
    <w:abstractNumId w:val="116"/>
  </w:num>
  <w:num w:numId="6">
    <w:abstractNumId w:val="46"/>
  </w:num>
  <w:num w:numId="7">
    <w:abstractNumId w:val="166"/>
  </w:num>
  <w:num w:numId="8">
    <w:abstractNumId w:val="247"/>
  </w:num>
  <w:num w:numId="9">
    <w:abstractNumId w:val="61"/>
  </w:num>
  <w:num w:numId="10">
    <w:abstractNumId w:val="200"/>
  </w:num>
  <w:num w:numId="1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4"/>
  </w:num>
  <w:num w:numId="13">
    <w:abstractNumId w:val="126"/>
  </w:num>
  <w:num w:numId="14">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9"/>
  </w:num>
  <w:num w:numId="17">
    <w:abstractNumId w:val="2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1"/>
  </w:num>
  <w:num w:numId="19">
    <w:abstractNumId w:val="2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2"/>
  </w:num>
  <w:num w:numId="22">
    <w:abstractNumId w:val="103"/>
  </w:num>
  <w:num w:numId="23">
    <w:abstractNumId w:val="316"/>
  </w:num>
  <w:num w:numId="24">
    <w:abstractNumId w:val="80"/>
  </w:num>
  <w:num w:numId="25">
    <w:abstractNumId w:val="171"/>
  </w:num>
  <w:num w:numId="26">
    <w:abstractNumId w:val="112"/>
  </w:num>
  <w:num w:numId="27">
    <w:abstractNumId w:val="3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7"/>
  </w:num>
  <w:num w:numId="29">
    <w:abstractNumId w:val="70"/>
  </w:num>
  <w:num w:numId="30">
    <w:abstractNumId w:val="243"/>
  </w:num>
  <w:num w:numId="31">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5"/>
  </w:num>
  <w:num w:numId="34">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20"/>
  </w:num>
  <w:num w:numId="37">
    <w:abstractNumId w:val="69"/>
  </w:num>
  <w:num w:numId="38">
    <w:abstractNumId w:val="134"/>
  </w:num>
  <w:num w:numId="39">
    <w:abstractNumId w:val="299"/>
  </w:num>
  <w:num w:numId="40">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9"/>
  </w:num>
  <w:num w:numId="42">
    <w:abstractNumId w:val="52"/>
  </w:num>
  <w:num w:numId="43">
    <w:abstractNumId w:val="253"/>
  </w:num>
  <w:num w:numId="44">
    <w:abstractNumId w:val="21"/>
  </w:num>
  <w:num w:numId="45">
    <w:abstractNumId w:val="132"/>
  </w:num>
  <w:num w:numId="46">
    <w:abstractNumId w:val="150"/>
  </w:num>
  <w:num w:numId="47">
    <w:abstractNumId w:val="311"/>
  </w:num>
  <w:num w:numId="48">
    <w:abstractNumId w:val="89"/>
  </w:num>
  <w:num w:numId="49">
    <w:abstractNumId w:val="4"/>
  </w:num>
  <w:num w:numId="50">
    <w:abstractNumId w:val="9"/>
  </w:num>
  <w:num w:numId="51">
    <w:abstractNumId w:val="87"/>
  </w:num>
  <w:num w:numId="52">
    <w:abstractNumId w:val="7"/>
  </w:num>
  <w:num w:numId="53">
    <w:abstractNumId w:val="79"/>
  </w:num>
  <w:num w:numId="54">
    <w:abstractNumId w:val="242"/>
  </w:num>
  <w:num w:numId="55">
    <w:abstractNumId w:val="289"/>
  </w:num>
  <w:num w:numId="56">
    <w:abstractNumId w:val="6"/>
  </w:num>
  <w:num w:numId="57">
    <w:abstractNumId w:val="323"/>
  </w:num>
  <w:num w:numId="58">
    <w:abstractNumId w:val="270"/>
  </w:num>
  <w:num w:numId="59">
    <w:abstractNumId w:val="88"/>
  </w:num>
  <w:num w:numId="60">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75"/>
  </w:num>
  <w:num w:numId="62">
    <w:abstractNumId w:val="220"/>
  </w:num>
  <w:num w:numId="63">
    <w:abstractNumId w:val="349"/>
  </w:num>
  <w:num w:numId="64">
    <w:abstractNumId w:val="71"/>
  </w:num>
  <w:num w:numId="65">
    <w:abstractNumId w:val="152"/>
  </w:num>
  <w:num w:numId="66">
    <w:abstractNumId w:val="219"/>
  </w:num>
  <w:num w:numId="67">
    <w:abstractNumId w:val="2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64"/>
  </w:num>
  <w:num w:numId="70">
    <w:abstractNumId w:val="39"/>
    <w:lvlOverride w:ilvl="0">
      <w:startOverride w:val="1"/>
    </w:lvlOverride>
    <w:lvlOverride w:ilvl="1"/>
    <w:lvlOverride w:ilvl="2"/>
    <w:lvlOverride w:ilvl="3"/>
    <w:lvlOverride w:ilvl="4"/>
    <w:lvlOverride w:ilvl="5"/>
    <w:lvlOverride w:ilvl="6"/>
    <w:lvlOverride w:ilvl="7"/>
    <w:lvlOverride w:ilvl="8"/>
  </w:num>
  <w:num w:numId="71">
    <w:abstractNumId w:val="96"/>
  </w:num>
  <w:num w:numId="72">
    <w:abstractNumId w:val="154"/>
  </w:num>
  <w:num w:numId="73">
    <w:abstractNumId w:val="3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2"/>
  </w:num>
  <w:num w:numId="75">
    <w:abstractNumId w:val="191"/>
  </w:num>
  <w:num w:numId="76">
    <w:abstractNumId w:val="3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10"/>
  </w:num>
  <w:num w:numId="78">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15"/>
  </w:num>
  <w:num w:numId="80">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9"/>
  </w:num>
  <w:num w:numId="82">
    <w:abstractNumId w:val="209"/>
  </w:num>
  <w:num w:numId="83">
    <w:abstractNumId w:val="194"/>
  </w:num>
  <w:num w:numId="84">
    <w:abstractNumId w:val="45"/>
  </w:num>
  <w:num w:numId="85">
    <w:abstractNumId w:val="189"/>
  </w:num>
  <w:num w:numId="86">
    <w:abstractNumId w:val="57"/>
  </w:num>
  <w:num w:numId="87">
    <w:abstractNumId w:val="290"/>
  </w:num>
  <w:num w:numId="88">
    <w:abstractNumId w:val="92"/>
  </w:num>
  <w:num w:numId="89">
    <w:abstractNumId w:val="118"/>
  </w:num>
  <w:num w:numId="90">
    <w:abstractNumId w:val="226"/>
  </w:num>
  <w:num w:numId="91">
    <w:abstractNumId w:val="68"/>
  </w:num>
  <w:num w:numId="92">
    <w:abstractNumId w:val="265"/>
  </w:num>
  <w:num w:numId="93">
    <w:abstractNumId w:val="139"/>
  </w:num>
  <w:num w:numId="94">
    <w:abstractNumId w:val="272"/>
  </w:num>
  <w:num w:numId="95">
    <w:abstractNumId w:val="251"/>
  </w:num>
  <w:num w:numId="96">
    <w:abstractNumId w:val="275"/>
  </w:num>
  <w:num w:numId="97">
    <w:abstractNumId w:val="143"/>
  </w:num>
  <w:num w:numId="98">
    <w:abstractNumId w:val="296"/>
  </w:num>
  <w:num w:numId="99">
    <w:abstractNumId w:val="43"/>
  </w:num>
  <w:num w:numId="100">
    <w:abstractNumId w:val="259"/>
  </w:num>
  <w:num w:numId="101">
    <w:abstractNumId w:val="278"/>
  </w:num>
  <w:num w:numId="102">
    <w:abstractNumId w:val="40"/>
  </w:num>
  <w:num w:numId="103">
    <w:abstractNumId w:val="314"/>
  </w:num>
  <w:num w:numId="104">
    <w:abstractNumId w:val="282"/>
  </w:num>
  <w:num w:numId="105">
    <w:abstractNumId w:val="208"/>
  </w:num>
  <w:num w:numId="106">
    <w:abstractNumId w:val="241"/>
  </w:num>
  <w:num w:numId="107">
    <w:abstractNumId w:val="258"/>
  </w:num>
  <w:num w:numId="108">
    <w:abstractNumId w:val="331"/>
  </w:num>
  <w:num w:numId="109">
    <w:abstractNumId w:val="81"/>
  </w:num>
  <w:num w:numId="110">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96"/>
  </w:num>
  <w:num w:numId="113">
    <w:abstractNumId w:val="332"/>
  </w:num>
  <w:num w:numId="114">
    <w:abstractNumId w:val="53"/>
  </w:num>
  <w:num w:numId="115">
    <w:abstractNumId w:val="27"/>
  </w:num>
  <w:num w:numId="116">
    <w:abstractNumId w:val="301"/>
  </w:num>
  <w:num w:numId="117">
    <w:abstractNumId w:val="2"/>
  </w:num>
  <w:num w:numId="118">
    <w:abstractNumId w:val="3"/>
  </w:num>
  <w:num w:numId="119">
    <w:abstractNumId w:val="271"/>
  </w:num>
  <w:num w:numId="120">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3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3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
  </w:num>
  <w:num w:numId="124">
    <w:abstractNumId w:val="165"/>
  </w:num>
  <w:num w:numId="125">
    <w:abstractNumId w:val="321"/>
    <w:lvlOverride w:ilvl="0">
      <w:lvl w:ilvl="0">
        <w:start w:val="1"/>
        <w:numFmt w:val="decimal"/>
        <w:lvlText w:val="%1."/>
        <w:lvlJc w:val="left"/>
        <w:pPr>
          <w:tabs>
            <w:tab w:val="num" w:pos="643"/>
          </w:tabs>
          <w:ind w:left="643" w:hanging="360"/>
        </w:pPr>
        <w:rPr>
          <w:position w:val="0"/>
          <w:sz w:val="22"/>
          <w:szCs w:val="22"/>
        </w:rPr>
      </w:lvl>
    </w:lvlOverride>
    <w:lvlOverride w:ilvl="1">
      <w:lvl w:ilvl="1">
        <w:start w:val="1"/>
        <w:numFmt w:val="decimal"/>
        <w:lvlText w:val="%1."/>
        <w:lvlJc w:val="left"/>
        <w:pPr>
          <w:tabs>
            <w:tab w:val="num" w:pos="1363"/>
          </w:tabs>
          <w:ind w:left="1003" w:hanging="360"/>
        </w:pPr>
        <w:rPr>
          <w:position w:val="0"/>
        </w:rPr>
      </w:lvl>
    </w:lvlOverride>
    <w:lvlOverride w:ilvl="2">
      <w:lvl w:ilvl="2">
        <w:start w:val="1"/>
        <w:numFmt w:val="decimal"/>
        <w:lvlText w:val="%1."/>
        <w:lvlJc w:val="left"/>
        <w:pPr>
          <w:tabs>
            <w:tab w:val="num" w:pos="2083"/>
          </w:tabs>
          <w:ind w:left="1363" w:hanging="360"/>
        </w:pPr>
        <w:rPr>
          <w:position w:val="0"/>
        </w:rPr>
      </w:lvl>
    </w:lvlOverride>
    <w:lvlOverride w:ilvl="3">
      <w:lvl w:ilvl="3">
        <w:start w:val="1"/>
        <w:numFmt w:val="decimal"/>
        <w:lvlText w:val="%1."/>
        <w:lvlJc w:val="left"/>
        <w:pPr>
          <w:tabs>
            <w:tab w:val="num" w:pos="2803"/>
          </w:tabs>
          <w:ind w:left="1723" w:hanging="360"/>
        </w:pPr>
        <w:rPr>
          <w:position w:val="0"/>
        </w:rPr>
      </w:lvl>
    </w:lvlOverride>
    <w:lvlOverride w:ilvl="4">
      <w:lvl w:ilvl="4">
        <w:start w:val="1"/>
        <w:numFmt w:val="decimal"/>
        <w:lvlText w:val="%1."/>
        <w:lvlJc w:val="left"/>
        <w:pPr>
          <w:tabs>
            <w:tab w:val="num" w:pos="3523"/>
          </w:tabs>
          <w:ind w:left="2083" w:hanging="360"/>
        </w:pPr>
        <w:rPr>
          <w:position w:val="0"/>
        </w:rPr>
      </w:lvl>
    </w:lvlOverride>
    <w:lvlOverride w:ilvl="5">
      <w:lvl w:ilvl="5">
        <w:start w:val="1"/>
        <w:numFmt w:val="decimal"/>
        <w:lvlText w:val="%1."/>
        <w:lvlJc w:val="left"/>
        <w:pPr>
          <w:tabs>
            <w:tab w:val="num" w:pos="4243"/>
          </w:tabs>
          <w:ind w:left="2443" w:hanging="360"/>
        </w:pPr>
        <w:rPr>
          <w:position w:val="0"/>
        </w:rPr>
      </w:lvl>
    </w:lvlOverride>
    <w:lvlOverride w:ilvl="6">
      <w:lvl w:ilvl="6">
        <w:start w:val="1"/>
        <w:numFmt w:val="decimal"/>
        <w:lvlText w:val="%1."/>
        <w:lvlJc w:val="left"/>
        <w:pPr>
          <w:tabs>
            <w:tab w:val="num" w:pos="4963"/>
          </w:tabs>
          <w:ind w:left="2803" w:hanging="360"/>
        </w:pPr>
        <w:rPr>
          <w:position w:val="0"/>
        </w:rPr>
      </w:lvl>
    </w:lvlOverride>
    <w:lvlOverride w:ilvl="7">
      <w:lvl w:ilvl="7">
        <w:start w:val="1"/>
        <w:numFmt w:val="decimal"/>
        <w:lvlText w:val="%1."/>
        <w:lvlJc w:val="left"/>
        <w:pPr>
          <w:tabs>
            <w:tab w:val="num" w:pos="5683"/>
          </w:tabs>
          <w:ind w:left="3163" w:hanging="360"/>
        </w:pPr>
        <w:rPr>
          <w:position w:val="0"/>
        </w:rPr>
      </w:lvl>
    </w:lvlOverride>
    <w:lvlOverride w:ilvl="8">
      <w:lvl w:ilvl="8">
        <w:start w:val="1"/>
        <w:numFmt w:val="decimal"/>
        <w:lvlText w:val="%1."/>
        <w:lvlJc w:val="left"/>
        <w:pPr>
          <w:tabs>
            <w:tab w:val="num" w:pos="6403"/>
          </w:tabs>
          <w:ind w:left="3523" w:hanging="360"/>
        </w:pPr>
        <w:rPr>
          <w:position w:val="0"/>
        </w:rPr>
      </w:lvl>
    </w:lvlOverride>
  </w:num>
  <w:num w:numId="126">
    <w:abstractNumId w:val="1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229"/>
  </w:num>
  <w:num w:numId="128">
    <w:abstractNumId w:val="284"/>
  </w:num>
  <w:num w:numId="129">
    <w:abstractNumId w:val="339"/>
    <w:lvlOverride w:ilvl="0">
      <w:lvl w:ilvl="0">
        <w:start w:val="1"/>
        <w:numFmt w:val="decimal"/>
        <w:lvlText w:val="%1."/>
        <w:lvlJc w:val="left"/>
        <w:pPr>
          <w:ind w:left="720" w:hanging="360"/>
        </w:pPr>
        <w:rPr>
          <w:sz w:val="22"/>
          <w:szCs w:val="22"/>
        </w:rPr>
      </w:lvl>
    </w:lvlOverride>
  </w:num>
  <w:num w:numId="130">
    <w:abstractNumId w:val="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313"/>
  </w:num>
  <w:num w:numId="133">
    <w:abstractNumId w:val="82"/>
  </w:num>
  <w:num w:numId="134">
    <w:abstractNumId w:val="338"/>
  </w:num>
  <w:num w:numId="135">
    <w:abstractNumId w:val="60"/>
  </w:num>
  <w:num w:numId="136">
    <w:abstractNumId w:val="263"/>
  </w:num>
  <w:num w:numId="137">
    <w:abstractNumId w:val="286"/>
  </w:num>
  <w:num w:numId="138">
    <w:abstractNumId w:val="277"/>
  </w:num>
  <w:num w:numId="139">
    <w:abstractNumId w:val="141"/>
  </w:num>
  <w:num w:numId="140">
    <w:abstractNumId w:val="142"/>
  </w:num>
  <w:num w:numId="141">
    <w:abstractNumId w:val="292"/>
  </w:num>
  <w:num w:numId="142">
    <w:abstractNumId w:val="328"/>
  </w:num>
  <w:num w:numId="143">
    <w:abstractNumId w:val="38"/>
  </w:num>
  <w:num w:numId="144">
    <w:abstractNumId w:val="255"/>
  </w:num>
  <w:num w:numId="145">
    <w:abstractNumId w:val="339"/>
    <w:lvlOverride w:ilvl="0">
      <w:startOverride w:val="1"/>
      <w:lvl w:ilvl="0">
        <w:start w:val="1"/>
        <w:numFmt w:val="decimal"/>
        <w:lvlText w:val="%1."/>
        <w:lvlJc w:val="left"/>
        <w:pPr>
          <w:ind w:left="720" w:hanging="360"/>
        </w:pPr>
        <w:rPr>
          <w:sz w:val="22"/>
          <w:szCs w:val="22"/>
        </w:rPr>
      </w:lvl>
    </w:lvlOverride>
  </w:num>
  <w:num w:numId="146">
    <w:abstractNumId w:val="25"/>
  </w:num>
  <w:num w:numId="147">
    <w:abstractNumId w:val="93"/>
  </w:num>
  <w:num w:numId="148">
    <w:abstractNumId w:val="336"/>
  </w:num>
  <w:num w:numId="149">
    <w:abstractNumId w:val="107"/>
  </w:num>
  <w:num w:numId="150">
    <w:abstractNumId w:val="84"/>
  </w:num>
  <w:num w:numId="151">
    <w:abstractNumId w:val="346"/>
  </w:num>
  <w:num w:numId="152">
    <w:abstractNumId w:val="3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05"/>
  </w:num>
  <w:num w:numId="154">
    <w:abstractNumId w:val="101"/>
  </w:num>
  <w:num w:numId="155">
    <w:abstractNumId w:val="131"/>
  </w:num>
  <w:num w:numId="156">
    <w:abstractNumId w:val="203"/>
  </w:num>
  <w:num w:numId="157">
    <w:abstractNumId w:val="147"/>
  </w:num>
  <w:num w:numId="158">
    <w:abstractNumId w:val="345"/>
  </w:num>
  <w:num w:numId="159">
    <w:abstractNumId w:val="90"/>
  </w:num>
  <w:num w:numId="160">
    <w:abstractNumId w:val="217"/>
  </w:num>
  <w:num w:numId="161">
    <w:abstractNumId w:val="104"/>
  </w:num>
  <w:num w:numId="162">
    <w:abstractNumId w:val="324"/>
  </w:num>
  <w:num w:numId="163">
    <w:abstractNumId w:val="350"/>
  </w:num>
  <w:num w:numId="164">
    <w:abstractNumId w:val="55"/>
  </w:num>
  <w:num w:numId="165">
    <w:abstractNumId w:val="73"/>
  </w:num>
  <w:num w:numId="166">
    <w:abstractNumId w:val="303"/>
  </w:num>
  <w:num w:numId="167">
    <w:abstractNumId w:val="254"/>
  </w:num>
  <w:num w:numId="168">
    <w:abstractNumId w:val="48"/>
  </w:num>
  <w:num w:numId="169">
    <w:abstractNumId w:val="28"/>
  </w:num>
  <w:num w:numId="170">
    <w:abstractNumId w:val="108"/>
  </w:num>
  <w:num w:numId="171">
    <w:abstractNumId w:val="109"/>
  </w:num>
  <w:num w:numId="172">
    <w:abstractNumId w:val="133"/>
  </w:num>
  <w:num w:numId="173">
    <w:abstractNumId w:val="127"/>
  </w:num>
  <w:num w:numId="174">
    <w:abstractNumId w:val="97"/>
  </w:num>
  <w:num w:numId="175">
    <w:abstractNumId w:val="78"/>
  </w:num>
  <w:num w:numId="176">
    <w:abstractNumId w:val="206"/>
  </w:num>
  <w:num w:numId="177">
    <w:abstractNumId w:val="110"/>
  </w:num>
  <w:num w:numId="178">
    <w:abstractNumId w:val="180"/>
  </w:num>
  <w:num w:numId="179">
    <w:abstractNumId w:val="176"/>
  </w:num>
  <w:num w:numId="180">
    <w:abstractNumId w:val="297"/>
  </w:num>
  <w:num w:numId="181">
    <w:abstractNumId w:val="32"/>
  </w:num>
  <w:num w:numId="182">
    <w:abstractNumId w:val="245"/>
  </w:num>
  <w:num w:numId="183">
    <w:abstractNumId w:val="163"/>
  </w:num>
  <w:num w:numId="184">
    <w:abstractNumId w:val="156"/>
  </w:num>
  <w:num w:numId="185">
    <w:abstractNumId w:val="17"/>
  </w:num>
  <w:num w:numId="186">
    <w:abstractNumId w:val="33"/>
  </w:num>
  <w:num w:numId="187">
    <w:abstractNumId w:val="113"/>
  </w:num>
  <w:num w:numId="188">
    <w:abstractNumId w:val="168"/>
  </w:num>
  <w:num w:numId="189">
    <w:abstractNumId w:val="307"/>
  </w:num>
  <w:num w:numId="190">
    <w:abstractNumId w:val="246"/>
  </w:num>
  <w:num w:numId="191">
    <w:abstractNumId w:val="319"/>
  </w:num>
  <w:num w:numId="192">
    <w:abstractNumId w:val="252"/>
  </w:num>
  <w:num w:numId="193">
    <w:abstractNumId w:val="162"/>
  </w:num>
  <w:num w:numId="194">
    <w:abstractNumId w:val="2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291"/>
  </w:num>
  <w:num w:numId="197">
    <w:abstractNumId w:val="4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3"/>
  </w:num>
  <w:num w:numId="199">
    <w:abstractNumId w:val="2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236"/>
  </w:num>
  <w:num w:numId="201">
    <w:abstractNumId w:val="218"/>
  </w:num>
  <w:num w:numId="202">
    <w:abstractNumId w:val="74"/>
  </w:num>
  <w:num w:numId="203">
    <w:abstractNumId w:val="281"/>
  </w:num>
  <w:num w:numId="204">
    <w:abstractNumId w:val="50"/>
  </w:num>
  <w:num w:numId="205">
    <w:abstractNumId w:val="76"/>
  </w:num>
  <w:num w:numId="206">
    <w:abstractNumId w:val="23"/>
  </w:num>
  <w:num w:numId="207">
    <w:abstractNumId w:val="2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86"/>
  </w:num>
  <w:num w:numId="210">
    <w:abstractNumId w:val="177"/>
  </w:num>
  <w:num w:numId="211">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65"/>
  </w:num>
  <w:num w:numId="213">
    <w:abstractNumId w:val="233"/>
  </w:num>
  <w:num w:numId="214">
    <w:abstractNumId w:val="182"/>
  </w:num>
  <w:num w:numId="215">
    <w:abstractNumId w:val="185"/>
  </w:num>
  <w:num w:numId="216">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2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238"/>
  </w:num>
  <w:num w:numId="223">
    <w:abstractNumId w:val="231"/>
  </w:num>
  <w:num w:numId="224">
    <w:abstractNumId w:val="173"/>
  </w:num>
  <w:num w:numId="225">
    <w:abstractNumId w:val="205"/>
  </w:num>
  <w:num w:numId="2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309"/>
  </w:num>
  <w:num w:numId="229">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115"/>
  </w:num>
  <w:num w:numId="233">
    <w:abstractNumId w:val="12"/>
  </w:num>
  <w:num w:numId="234">
    <w:abstractNumId w:val="266"/>
  </w:num>
  <w:num w:numId="235">
    <w:abstractNumId w:val="30"/>
  </w:num>
  <w:num w:numId="236">
    <w:abstractNumId w:val="187"/>
  </w:num>
  <w:num w:numId="23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0"/>
  </w:num>
  <w:num w:numId="239">
    <w:abstractNumId w:val="305"/>
  </w:num>
  <w:num w:numId="240">
    <w:abstractNumId w:val="343"/>
  </w:num>
  <w:num w:numId="241">
    <w:abstractNumId w:val="124"/>
  </w:num>
  <w:num w:numId="242">
    <w:abstractNumId w:val="342"/>
  </w:num>
  <w:num w:numId="243">
    <w:abstractNumId w:val="300"/>
  </w:num>
  <w:num w:numId="244">
    <w:abstractNumId w:val="120"/>
  </w:num>
  <w:num w:numId="245">
    <w:abstractNumId w:val="198"/>
  </w:num>
  <w:num w:numId="246">
    <w:abstractNumId w:val="318"/>
  </w:num>
  <w:num w:numId="247">
    <w:abstractNumId w:val="129"/>
  </w:num>
  <w:num w:numId="248">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3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3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3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49"/>
  </w:num>
  <w:num w:numId="260">
    <w:abstractNumId w:val="213"/>
  </w:num>
  <w:num w:numId="261">
    <w:abstractNumId w:val="228"/>
  </w:num>
  <w:num w:numId="262">
    <w:abstractNumId w:val="83"/>
  </w:num>
  <w:num w:numId="263">
    <w:abstractNumId w:val="212"/>
  </w:num>
  <w:num w:numId="264">
    <w:abstractNumId w:val="347"/>
  </w:num>
  <w:num w:numId="265">
    <w:abstractNumId w:val="334"/>
  </w:num>
  <w:num w:numId="266">
    <w:abstractNumId w:val="148"/>
  </w:num>
  <w:num w:numId="267">
    <w:abstractNumId w:val="195"/>
  </w:num>
  <w:num w:numId="268">
    <w:abstractNumId w:val="172"/>
  </w:num>
  <w:num w:numId="269">
    <w:abstractNumId w:val="158"/>
  </w:num>
  <w:num w:numId="270">
    <w:abstractNumId w:val="234"/>
  </w:num>
  <w:num w:numId="271">
    <w:abstractNumId w:val="224"/>
  </w:num>
  <w:num w:numId="272">
    <w:abstractNumId w:val="256"/>
  </w:num>
  <w:num w:numId="273">
    <w:abstractNumId w:val="181"/>
  </w:num>
  <w:num w:numId="274">
    <w:abstractNumId w:val="249"/>
  </w:num>
  <w:num w:numId="275">
    <w:abstractNumId w:val="184"/>
  </w:num>
  <w:num w:numId="276">
    <w:abstractNumId w:val="197"/>
  </w:num>
  <w:num w:numId="277">
    <w:abstractNumId w:val="161"/>
  </w:num>
  <w:num w:numId="278">
    <w:abstractNumId w:val="268"/>
  </w:num>
  <w:num w:numId="279">
    <w:abstractNumId w:val="221"/>
  </w:num>
  <w:num w:numId="280">
    <w:abstractNumId w:val="262"/>
  </w:num>
  <w:num w:numId="281">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235"/>
  </w:num>
  <w:num w:numId="283">
    <w:abstractNumId w:val="122"/>
  </w:num>
  <w:num w:numId="284">
    <w:abstractNumId w:val="2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174"/>
  </w:num>
  <w:num w:numId="286">
    <w:abstractNumId w:val="167"/>
  </w:num>
  <w:num w:numId="287">
    <w:abstractNumId w:val="352"/>
  </w:num>
  <w:num w:numId="288">
    <w:abstractNumId w:val="333"/>
  </w:num>
  <w:num w:numId="289">
    <w:abstractNumId w:val="18"/>
  </w:num>
  <w:num w:numId="290">
    <w:abstractNumId w:val="75"/>
  </w:num>
  <w:num w:numId="29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abstractNumId w:val="273"/>
  </w:num>
  <w:num w:numId="294">
    <w:abstractNumId w:val="261"/>
  </w:num>
  <w:num w:numId="29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269"/>
  </w:num>
  <w:num w:numId="297">
    <w:abstractNumId w:val="15"/>
  </w:num>
  <w:num w:numId="298">
    <w:abstractNumId w:val="340"/>
  </w:num>
  <w:num w:numId="299">
    <w:abstractNumId w:val="11"/>
  </w:num>
  <w:num w:numId="300">
    <w:abstractNumId w:val="170"/>
  </w:num>
  <w:num w:numId="301">
    <w:abstractNumId w:val="218"/>
  </w:num>
  <w:num w:numId="302">
    <w:abstractNumId w:val="337"/>
  </w:num>
  <w:num w:numId="303">
    <w:abstractNumId w:val="239"/>
  </w:num>
  <w:num w:numId="304">
    <w:abstractNumId w:val="308"/>
  </w:num>
  <w:num w:numId="305">
    <w:abstractNumId w:val="339"/>
  </w:num>
  <w:num w:numId="306">
    <w:abstractNumId w:val="47"/>
  </w:num>
  <w:num w:numId="307">
    <w:abstractNumId w:val="5"/>
  </w:num>
  <w:num w:numId="308">
    <w:abstractNumId w:val="178"/>
  </w:num>
  <w:num w:numId="309">
    <w:abstractNumId w:val="164"/>
  </w:num>
  <w:num w:numId="310">
    <w:abstractNumId w:val="276"/>
  </w:num>
  <w:num w:numId="311">
    <w:abstractNumId w:val="16"/>
  </w:num>
  <w:num w:numId="312">
    <w:abstractNumId w:val="8"/>
  </w:num>
  <w:num w:numId="313">
    <w:abstractNumId w:val="344"/>
  </w:num>
  <w:num w:numId="314">
    <w:abstractNumId w:val="94"/>
  </w:num>
  <w:num w:numId="315">
    <w:abstractNumId w:val="285"/>
  </w:num>
  <w:num w:numId="316">
    <w:abstractNumId w:val="216"/>
  </w:num>
  <w:num w:numId="317">
    <w:abstractNumId w:val="294"/>
  </w:num>
  <w:num w:numId="318">
    <w:abstractNumId w:val="56"/>
  </w:num>
  <w:num w:numId="319">
    <w:abstractNumId w:val="325"/>
  </w:num>
  <w:num w:numId="320">
    <w:abstractNumId w:val="223"/>
  </w:num>
  <w:num w:numId="3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214"/>
  </w:num>
  <w:num w:numId="32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abstractNumId w:val="151"/>
  </w:num>
  <w:num w:numId="325">
    <w:abstractNumId w:val="330"/>
  </w:num>
  <w:num w:numId="326">
    <w:abstractNumId w:val="10"/>
  </w:num>
  <w:num w:numId="327">
    <w:abstractNumId w:val="287"/>
  </w:num>
  <w:num w:numId="328">
    <w:abstractNumId w:val="267"/>
  </w:num>
  <w:num w:numId="329">
    <w:abstractNumId w:val="54"/>
  </w:num>
  <w:num w:numId="330">
    <w:abstractNumId w:val="59"/>
  </w:num>
  <w:num w:numId="331">
    <w:abstractNumId w:val="77"/>
  </w:num>
  <w:num w:numId="332">
    <w:abstractNumId w:val="190"/>
  </w:num>
  <w:num w:numId="333">
    <w:abstractNumId w:val="326"/>
  </w:num>
  <w:num w:numId="334">
    <w:abstractNumId w:val="304"/>
  </w:num>
  <w:num w:numId="335">
    <w:abstractNumId w:val="232"/>
  </w:num>
  <w:num w:numId="336">
    <w:abstractNumId w:val="230"/>
  </w:num>
  <w:num w:numId="337">
    <w:abstractNumId w:val="144"/>
  </w:num>
  <w:num w:numId="338">
    <w:abstractNumId w:val="58"/>
  </w:num>
  <w:num w:numId="339">
    <w:abstractNumId w:val="199"/>
  </w:num>
  <w:num w:numId="340">
    <w:abstractNumId w:val="26"/>
  </w:num>
  <w:num w:numId="341">
    <w:abstractNumId w:val="322"/>
  </w:num>
  <w:num w:numId="342">
    <w:abstractNumId w:val="91"/>
  </w:num>
  <w:num w:numId="343">
    <w:abstractNumId w:val="183"/>
  </w:num>
  <w:num w:numId="344">
    <w:abstractNumId w:val="63"/>
  </w:num>
  <w:num w:numId="345">
    <w:abstractNumId w:val="36"/>
  </w:num>
  <w:num w:numId="34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240"/>
  </w:num>
  <w:num w:numId="348">
    <w:abstractNumId w:val="248"/>
  </w:num>
  <w:num w:numId="349">
    <w:abstractNumId w:val="20"/>
  </w:num>
  <w:num w:numId="350">
    <w:abstractNumId w:val="85"/>
  </w:num>
  <w:num w:numId="351">
    <w:abstractNumId w:val="202"/>
  </w:num>
  <w:num w:numId="352">
    <w:abstractNumId w:val="114"/>
  </w:num>
  <w:num w:numId="353">
    <w:abstractNumId w:val="136"/>
  </w:num>
  <w:num w:numId="354">
    <w:abstractNumId w:val="244"/>
  </w:num>
  <w:num w:numId="355">
    <w:abstractNumId w:val="130"/>
  </w:num>
  <w:num w:numId="356">
    <w:abstractNumId w:val="312"/>
  </w:num>
  <w:num w:numId="357">
    <w:abstractNumId w:val="121"/>
  </w:num>
  <w:num w:numId="358">
    <w:abstractNumId w:val="138"/>
  </w:num>
  <w:num w:numId="359">
    <w:abstractNumId w:val="186"/>
  </w:num>
  <w:num w:numId="360">
    <w:abstractNumId w:val="260"/>
  </w:num>
  <w:num w:numId="361">
    <w:abstractNumId w:val="283"/>
  </w:num>
  <w:numIdMacAtCleanup w:val="3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mirrorMargins/>
  <w:activeWritingStyle w:appName="MSWord" w:lang="fr-FR" w:vendorID="64" w:dllVersion="6" w:nlCheck="1" w:checkStyle="0"/>
  <w:activeWritingStyle w:appName="MSWord" w:lang="en-US" w:vendorID="64" w:dllVersion="6" w:nlCheck="1" w:checkStyle="1"/>
  <w:activeWritingStyle w:appName="MSWord" w:lang="en-AU" w:vendorID="64" w:dllVersion="6" w:nlCheck="1" w:checkStyle="1"/>
  <w:activeWritingStyle w:appName="MSWord" w:lang="en-NZ" w:vendorID="64" w:dllVersion="6" w:nlCheck="1" w:checkStyle="1"/>
  <w:activeWritingStyle w:appName="MSWord" w:lang="en-SG"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activeWritingStyle w:appName="MSWord" w:lang="en-SG" w:vendorID="64" w:dllVersion="0" w:nlCheck="1" w:checkStyle="0"/>
  <w:activeWritingStyle w:appName="MSWord" w:lang="en-NZ" w:vendorID="64" w:dllVersion="0" w:nlCheck="1" w:checkStyle="0"/>
  <w:activeWritingStyle w:appName="MSWord" w:lang="en-AU" w:vendorID="64" w:dllVersion="131078" w:nlCheck="1" w:checkStyle="1"/>
  <w:activeWritingStyle w:appName="MSWord" w:lang="en-US" w:vendorID="64" w:dllVersion="131078" w:nlCheck="1" w:checkStyle="1"/>
  <w:activeWritingStyle w:appName="MSWord" w:lang="en-SG" w:vendorID="64" w:dllVersion="131078" w:nlCheck="1" w:checkStyle="1"/>
  <w:activeWritingStyle w:appName="MSWord" w:lang="fr-FR" w:vendorID="64" w:dllVersion="131078" w:nlCheck="1" w:checkStyle="0"/>
  <w:activeWritingStyle w:appName="MSWord" w:lang="en-NZ" w:vendorID="64" w:dllVersion="131078" w:nlCheck="1" w:checkStyle="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zAxMrK0MDYzN7e0sDBW0lEKTi0uzszPAykwNKsFAL10VFMtAAAA"/>
  </w:docVars>
  <w:rsids>
    <w:rsidRoot w:val="00635B59"/>
    <w:rsid w:val="00001890"/>
    <w:rsid w:val="000018CD"/>
    <w:rsid w:val="00011993"/>
    <w:rsid w:val="0001243B"/>
    <w:rsid w:val="00013152"/>
    <w:rsid w:val="00017D5B"/>
    <w:rsid w:val="00017DFB"/>
    <w:rsid w:val="00027472"/>
    <w:rsid w:val="00027F19"/>
    <w:rsid w:val="000306B1"/>
    <w:rsid w:val="00031E04"/>
    <w:rsid w:val="000338FE"/>
    <w:rsid w:val="00035944"/>
    <w:rsid w:val="00057DCE"/>
    <w:rsid w:val="00061992"/>
    <w:rsid w:val="00062E69"/>
    <w:rsid w:val="00066091"/>
    <w:rsid w:val="00075925"/>
    <w:rsid w:val="000759D1"/>
    <w:rsid w:val="0008109B"/>
    <w:rsid w:val="000855E6"/>
    <w:rsid w:val="00092F00"/>
    <w:rsid w:val="0009771E"/>
    <w:rsid w:val="000A20CC"/>
    <w:rsid w:val="000A2198"/>
    <w:rsid w:val="000A2BE4"/>
    <w:rsid w:val="000A5F86"/>
    <w:rsid w:val="000A7008"/>
    <w:rsid w:val="000A734E"/>
    <w:rsid w:val="000B3A2F"/>
    <w:rsid w:val="000B779B"/>
    <w:rsid w:val="000C3458"/>
    <w:rsid w:val="000C46B7"/>
    <w:rsid w:val="000C542B"/>
    <w:rsid w:val="000C601D"/>
    <w:rsid w:val="000D28AC"/>
    <w:rsid w:val="000D65AE"/>
    <w:rsid w:val="000D7692"/>
    <w:rsid w:val="000E1E6A"/>
    <w:rsid w:val="000E25A3"/>
    <w:rsid w:val="000F212A"/>
    <w:rsid w:val="000F46AF"/>
    <w:rsid w:val="000F6859"/>
    <w:rsid w:val="000F780F"/>
    <w:rsid w:val="001103FC"/>
    <w:rsid w:val="0014004D"/>
    <w:rsid w:val="001450DB"/>
    <w:rsid w:val="00151EB0"/>
    <w:rsid w:val="00151EE3"/>
    <w:rsid w:val="00152E5E"/>
    <w:rsid w:val="001547D3"/>
    <w:rsid w:val="001551C0"/>
    <w:rsid w:val="0015713F"/>
    <w:rsid w:val="00161FEB"/>
    <w:rsid w:val="00163343"/>
    <w:rsid w:val="0016732E"/>
    <w:rsid w:val="0017247F"/>
    <w:rsid w:val="00172B61"/>
    <w:rsid w:val="00173CFF"/>
    <w:rsid w:val="00174A5E"/>
    <w:rsid w:val="0017619D"/>
    <w:rsid w:val="00177701"/>
    <w:rsid w:val="00180211"/>
    <w:rsid w:val="001817EA"/>
    <w:rsid w:val="001836A4"/>
    <w:rsid w:val="00184568"/>
    <w:rsid w:val="00185BF6"/>
    <w:rsid w:val="00186381"/>
    <w:rsid w:val="00194B18"/>
    <w:rsid w:val="001A226A"/>
    <w:rsid w:val="001A61F8"/>
    <w:rsid w:val="001A730F"/>
    <w:rsid w:val="001A7664"/>
    <w:rsid w:val="001A7FB6"/>
    <w:rsid w:val="001B46FC"/>
    <w:rsid w:val="001B4B1A"/>
    <w:rsid w:val="001B6B3E"/>
    <w:rsid w:val="001C0F75"/>
    <w:rsid w:val="001C40BF"/>
    <w:rsid w:val="001C7AAD"/>
    <w:rsid w:val="001D1F0D"/>
    <w:rsid w:val="001D2990"/>
    <w:rsid w:val="001D5DFD"/>
    <w:rsid w:val="001E7966"/>
    <w:rsid w:val="00200A11"/>
    <w:rsid w:val="00201F24"/>
    <w:rsid w:val="00202891"/>
    <w:rsid w:val="00205EE9"/>
    <w:rsid w:val="00206BF6"/>
    <w:rsid w:val="00207C37"/>
    <w:rsid w:val="00207D69"/>
    <w:rsid w:val="002129F5"/>
    <w:rsid w:val="002163A8"/>
    <w:rsid w:val="00222A88"/>
    <w:rsid w:val="0023022A"/>
    <w:rsid w:val="00231B8F"/>
    <w:rsid w:val="00232D1E"/>
    <w:rsid w:val="002405C1"/>
    <w:rsid w:val="00250D17"/>
    <w:rsid w:val="002611D2"/>
    <w:rsid w:val="00262C3C"/>
    <w:rsid w:val="002653B6"/>
    <w:rsid w:val="00265A2C"/>
    <w:rsid w:val="002743BF"/>
    <w:rsid w:val="00275B7A"/>
    <w:rsid w:val="0027799A"/>
    <w:rsid w:val="00284D80"/>
    <w:rsid w:val="0028517C"/>
    <w:rsid w:val="00285470"/>
    <w:rsid w:val="00290C36"/>
    <w:rsid w:val="00290CB8"/>
    <w:rsid w:val="00295E5B"/>
    <w:rsid w:val="00296BF2"/>
    <w:rsid w:val="00296DD9"/>
    <w:rsid w:val="002A18E0"/>
    <w:rsid w:val="002A2396"/>
    <w:rsid w:val="002B6AF4"/>
    <w:rsid w:val="002C1425"/>
    <w:rsid w:val="002C2D1C"/>
    <w:rsid w:val="002D5564"/>
    <w:rsid w:val="002E1492"/>
    <w:rsid w:val="002E45F0"/>
    <w:rsid w:val="002E57B0"/>
    <w:rsid w:val="002E592D"/>
    <w:rsid w:val="002E6DED"/>
    <w:rsid w:val="002E7D54"/>
    <w:rsid w:val="002F2CC0"/>
    <w:rsid w:val="002F429B"/>
    <w:rsid w:val="003022F9"/>
    <w:rsid w:val="0030234B"/>
    <w:rsid w:val="00304861"/>
    <w:rsid w:val="0030592C"/>
    <w:rsid w:val="00312596"/>
    <w:rsid w:val="00315DB5"/>
    <w:rsid w:val="00320689"/>
    <w:rsid w:val="0033400D"/>
    <w:rsid w:val="00334F3F"/>
    <w:rsid w:val="00336CE0"/>
    <w:rsid w:val="00343D9F"/>
    <w:rsid w:val="00351A0F"/>
    <w:rsid w:val="00355E83"/>
    <w:rsid w:val="003627D9"/>
    <w:rsid w:val="0036300A"/>
    <w:rsid w:val="00365833"/>
    <w:rsid w:val="00375EAE"/>
    <w:rsid w:val="0037789C"/>
    <w:rsid w:val="0038338F"/>
    <w:rsid w:val="00385E67"/>
    <w:rsid w:val="00392322"/>
    <w:rsid w:val="003A4DEF"/>
    <w:rsid w:val="003A5884"/>
    <w:rsid w:val="003B0B04"/>
    <w:rsid w:val="003B5E6B"/>
    <w:rsid w:val="003B6C7A"/>
    <w:rsid w:val="003B7FFC"/>
    <w:rsid w:val="003C390F"/>
    <w:rsid w:val="003C6F36"/>
    <w:rsid w:val="003D0188"/>
    <w:rsid w:val="003D30D4"/>
    <w:rsid w:val="003D43D6"/>
    <w:rsid w:val="003E0EEF"/>
    <w:rsid w:val="003E1DAE"/>
    <w:rsid w:val="003E5DAE"/>
    <w:rsid w:val="003F06BE"/>
    <w:rsid w:val="003F5E80"/>
    <w:rsid w:val="004035FE"/>
    <w:rsid w:val="004058B9"/>
    <w:rsid w:val="004113A1"/>
    <w:rsid w:val="00417DA5"/>
    <w:rsid w:val="0042278A"/>
    <w:rsid w:val="0042579D"/>
    <w:rsid w:val="00426F4F"/>
    <w:rsid w:val="00427D2C"/>
    <w:rsid w:val="00427D86"/>
    <w:rsid w:val="00431A4D"/>
    <w:rsid w:val="004374CA"/>
    <w:rsid w:val="004403DD"/>
    <w:rsid w:val="00440B9A"/>
    <w:rsid w:val="00445FD0"/>
    <w:rsid w:val="00446899"/>
    <w:rsid w:val="00446D14"/>
    <w:rsid w:val="00447E5E"/>
    <w:rsid w:val="00453D5A"/>
    <w:rsid w:val="00454D5F"/>
    <w:rsid w:val="004551C1"/>
    <w:rsid w:val="00465A26"/>
    <w:rsid w:val="004710F8"/>
    <w:rsid w:val="004714EB"/>
    <w:rsid w:val="0047297B"/>
    <w:rsid w:val="0047649D"/>
    <w:rsid w:val="0047781D"/>
    <w:rsid w:val="004803C3"/>
    <w:rsid w:val="00482C48"/>
    <w:rsid w:val="004850C6"/>
    <w:rsid w:val="00491DC4"/>
    <w:rsid w:val="004965BF"/>
    <w:rsid w:val="00496EFD"/>
    <w:rsid w:val="004A174D"/>
    <w:rsid w:val="004A186C"/>
    <w:rsid w:val="004A27B4"/>
    <w:rsid w:val="004A6CF9"/>
    <w:rsid w:val="004A79CA"/>
    <w:rsid w:val="004B03F8"/>
    <w:rsid w:val="004B29FF"/>
    <w:rsid w:val="004B2BB9"/>
    <w:rsid w:val="004C0EDE"/>
    <w:rsid w:val="004C60F2"/>
    <w:rsid w:val="004C6612"/>
    <w:rsid w:val="004E11B6"/>
    <w:rsid w:val="004E1A9E"/>
    <w:rsid w:val="004F2EB9"/>
    <w:rsid w:val="004F6C40"/>
    <w:rsid w:val="004F6D73"/>
    <w:rsid w:val="005003B6"/>
    <w:rsid w:val="00505B68"/>
    <w:rsid w:val="00507840"/>
    <w:rsid w:val="00510CA5"/>
    <w:rsid w:val="005139CD"/>
    <w:rsid w:val="00516DCF"/>
    <w:rsid w:val="00523DF6"/>
    <w:rsid w:val="005276ED"/>
    <w:rsid w:val="0053046D"/>
    <w:rsid w:val="0053396D"/>
    <w:rsid w:val="0054360D"/>
    <w:rsid w:val="005443C4"/>
    <w:rsid w:val="0055189F"/>
    <w:rsid w:val="0056020E"/>
    <w:rsid w:val="00565A2C"/>
    <w:rsid w:val="00590B48"/>
    <w:rsid w:val="005925B7"/>
    <w:rsid w:val="00593002"/>
    <w:rsid w:val="0059571B"/>
    <w:rsid w:val="005973AA"/>
    <w:rsid w:val="005A2015"/>
    <w:rsid w:val="005A231D"/>
    <w:rsid w:val="005B1CDB"/>
    <w:rsid w:val="005B38D8"/>
    <w:rsid w:val="005B39C4"/>
    <w:rsid w:val="005B418B"/>
    <w:rsid w:val="005C2E7F"/>
    <w:rsid w:val="005C47FE"/>
    <w:rsid w:val="005C750C"/>
    <w:rsid w:val="005D4CD4"/>
    <w:rsid w:val="005D571C"/>
    <w:rsid w:val="005D6A6C"/>
    <w:rsid w:val="005E5BC9"/>
    <w:rsid w:val="005F21CD"/>
    <w:rsid w:val="005F342E"/>
    <w:rsid w:val="00600FB7"/>
    <w:rsid w:val="006156DC"/>
    <w:rsid w:val="00615824"/>
    <w:rsid w:val="0062144A"/>
    <w:rsid w:val="006267A9"/>
    <w:rsid w:val="006318AE"/>
    <w:rsid w:val="0063233B"/>
    <w:rsid w:val="0063463C"/>
    <w:rsid w:val="00634B13"/>
    <w:rsid w:val="00635B59"/>
    <w:rsid w:val="00636BE7"/>
    <w:rsid w:val="006404F0"/>
    <w:rsid w:val="00645463"/>
    <w:rsid w:val="00646FB6"/>
    <w:rsid w:val="00660B38"/>
    <w:rsid w:val="00665F66"/>
    <w:rsid w:val="006714F7"/>
    <w:rsid w:val="006722F4"/>
    <w:rsid w:val="00680D5E"/>
    <w:rsid w:val="006821BB"/>
    <w:rsid w:val="006862AD"/>
    <w:rsid w:val="006868B2"/>
    <w:rsid w:val="006870C6"/>
    <w:rsid w:val="0069116C"/>
    <w:rsid w:val="00693866"/>
    <w:rsid w:val="006940AF"/>
    <w:rsid w:val="0069436A"/>
    <w:rsid w:val="00696058"/>
    <w:rsid w:val="006963B4"/>
    <w:rsid w:val="0069692D"/>
    <w:rsid w:val="00697150"/>
    <w:rsid w:val="006A2A40"/>
    <w:rsid w:val="006B0C69"/>
    <w:rsid w:val="006B7A8C"/>
    <w:rsid w:val="006C6F9E"/>
    <w:rsid w:val="006D20AF"/>
    <w:rsid w:val="006E0371"/>
    <w:rsid w:val="006E3741"/>
    <w:rsid w:val="006F210A"/>
    <w:rsid w:val="006F3CF5"/>
    <w:rsid w:val="006F7DEE"/>
    <w:rsid w:val="00700F9F"/>
    <w:rsid w:val="00712620"/>
    <w:rsid w:val="007153CC"/>
    <w:rsid w:val="00715CCE"/>
    <w:rsid w:val="007246FF"/>
    <w:rsid w:val="007272E6"/>
    <w:rsid w:val="00727D1E"/>
    <w:rsid w:val="007365CB"/>
    <w:rsid w:val="0073799A"/>
    <w:rsid w:val="007408EE"/>
    <w:rsid w:val="0074205D"/>
    <w:rsid w:val="00742F47"/>
    <w:rsid w:val="007455D0"/>
    <w:rsid w:val="00757ACA"/>
    <w:rsid w:val="007630AE"/>
    <w:rsid w:val="00765A6A"/>
    <w:rsid w:val="00766B14"/>
    <w:rsid w:val="00773FBA"/>
    <w:rsid w:val="007754B5"/>
    <w:rsid w:val="0078070F"/>
    <w:rsid w:val="007817B7"/>
    <w:rsid w:val="00784AE4"/>
    <w:rsid w:val="00786120"/>
    <w:rsid w:val="00791D9D"/>
    <w:rsid w:val="00797627"/>
    <w:rsid w:val="007A0FE8"/>
    <w:rsid w:val="007A25A3"/>
    <w:rsid w:val="007A331A"/>
    <w:rsid w:val="007C7BAB"/>
    <w:rsid w:val="007D5F04"/>
    <w:rsid w:val="007D61C4"/>
    <w:rsid w:val="007E51ED"/>
    <w:rsid w:val="007E5E33"/>
    <w:rsid w:val="007F6871"/>
    <w:rsid w:val="008006D9"/>
    <w:rsid w:val="00802695"/>
    <w:rsid w:val="00806DE1"/>
    <w:rsid w:val="00810CF3"/>
    <w:rsid w:val="00811661"/>
    <w:rsid w:val="00814F5E"/>
    <w:rsid w:val="00820D7D"/>
    <w:rsid w:val="008218E0"/>
    <w:rsid w:val="00821D9E"/>
    <w:rsid w:val="0082667F"/>
    <w:rsid w:val="008275E5"/>
    <w:rsid w:val="00831091"/>
    <w:rsid w:val="008504A2"/>
    <w:rsid w:val="00851A8E"/>
    <w:rsid w:val="008521C8"/>
    <w:rsid w:val="008605F9"/>
    <w:rsid w:val="00860C7B"/>
    <w:rsid w:val="0086151F"/>
    <w:rsid w:val="00865FC1"/>
    <w:rsid w:val="00873979"/>
    <w:rsid w:val="00874956"/>
    <w:rsid w:val="00876946"/>
    <w:rsid w:val="00877D54"/>
    <w:rsid w:val="008822A1"/>
    <w:rsid w:val="00885847"/>
    <w:rsid w:val="00886863"/>
    <w:rsid w:val="008910E1"/>
    <w:rsid w:val="00892E6E"/>
    <w:rsid w:val="008A59F5"/>
    <w:rsid w:val="008A6D7D"/>
    <w:rsid w:val="008B3AF3"/>
    <w:rsid w:val="008B50D1"/>
    <w:rsid w:val="008C2DAC"/>
    <w:rsid w:val="008C2E06"/>
    <w:rsid w:val="008C6D35"/>
    <w:rsid w:val="008D2B65"/>
    <w:rsid w:val="008D5436"/>
    <w:rsid w:val="008F137A"/>
    <w:rsid w:val="008F179B"/>
    <w:rsid w:val="00906B06"/>
    <w:rsid w:val="009102EF"/>
    <w:rsid w:val="00910D02"/>
    <w:rsid w:val="0091260C"/>
    <w:rsid w:val="00912E0C"/>
    <w:rsid w:val="00914ADA"/>
    <w:rsid w:val="009200D2"/>
    <w:rsid w:val="00926CFA"/>
    <w:rsid w:val="00930400"/>
    <w:rsid w:val="009323C8"/>
    <w:rsid w:val="009334B2"/>
    <w:rsid w:val="00933F77"/>
    <w:rsid w:val="00934A96"/>
    <w:rsid w:val="00936958"/>
    <w:rsid w:val="00951CFA"/>
    <w:rsid w:val="00956B12"/>
    <w:rsid w:val="00964A90"/>
    <w:rsid w:val="009670D0"/>
    <w:rsid w:val="009717C9"/>
    <w:rsid w:val="009720CB"/>
    <w:rsid w:val="00975F5B"/>
    <w:rsid w:val="00987AD1"/>
    <w:rsid w:val="00995084"/>
    <w:rsid w:val="00997CE5"/>
    <w:rsid w:val="009A0DA6"/>
    <w:rsid w:val="009A5284"/>
    <w:rsid w:val="009A52D0"/>
    <w:rsid w:val="009A61BA"/>
    <w:rsid w:val="009B2534"/>
    <w:rsid w:val="009C0457"/>
    <w:rsid w:val="009C149D"/>
    <w:rsid w:val="009C3A51"/>
    <w:rsid w:val="009D0CDE"/>
    <w:rsid w:val="009D7F4D"/>
    <w:rsid w:val="009E4431"/>
    <w:rsid w:val="009E5C60"/>
    <w:rsid w:val="009E6DC6"/>
    <w:rsid w:val="009F3F08"/>
    <w:rsid w:val="009F3FAB"/>
    <w:rsid w:val="009F6A8F"/>
    <w:rsid w:val="00A029DA"/>
    <w:rsid w:val="00A0565F"/>
    <w:rsid w:val="00A0610C"/>
    <w:rsid w:val="00A13DD7"/>
    <w:rsid w:val="00A22649"/>
    <w:rsid w:val="00A22B46"/>
    <w:rsid w:val="00A26F67"/>
    <w:rsid w:val="00A33B80"/>
    <w:rsid w:val="00A36650"/>
    <w:rsid w:val="00A4145E"/>
    <w:rsid w:val="00A4510B"/>
    <w:rsid w:val="00A50C96"/>
    <w:rsid w:val="00A60838"/>
    <w:rsid w:val="00A64CD8"/>
    <w:rsid w:val="00A65E86"/>
    <w:rsid w:val="00A72495"/>
    <w:rsid w:val="00A72EB9"/>
    <w:rsid w:val="00A77848"/>
    <w:rsid w:val="00A80EF2"/>
    <w:rsid w:val="00A971D9"/>
    <w:rsid w:val="00AA4320"/>
    <w:rsid w:val="00AA46B0"/>
    <w:rsid w:val="00AA6507"/>
    <w:rsid w:val="00AB6DB8"/>
    <w:rsid w:val="00AC77C5"/>
    <w:rsid w:val="00AC7AA2"/>
    <w:rsid w:val="00AD09CB"/>
    <w:rsid w:val="00AD32D2"/>
    <w:rsid w:val="00AD3E1B"/>
    <w:rsid w:val="00AD55DF"/>
    <w:rsid w:val="00AD63AF"/>
    <w:rsid w:val="00AD7835"/>
    <w:rsid w:val="00AD784D"/>
    <w:rsid w:val="00AE3064"/>
    <w:rsid w:val="00AF3346"/>
    <w:rsid w:val="00AF5A42"/>
    <w:rsid w:val="00B0361B"/>
    <w:rsid w:val="00B1099D"/>
    <w:rsid w:val="00B27191"/>
    <w:rsid w:val="00B27318"/>
    <w:rsid w:val="00B2736C"/>
    <w:rsid w:val="00B32FBC"/>
    <w:rsid w:val="00B34F86"/>
    <w:rsid w:val="00B36F23"/>
    <w:rsid w:val="00B4011D"/>
    <w:rsid w:val="00B4053A"/>
    <w:rsid w:val="00B51786"/>
    <w:rsid w:val="00B5293D"/>
    <w:rsid w:val="00B52A87"/>
    <w:rsid w:val="00B5659D"/>
    <w:rsid w:val="00B5685C"/>
    <w:rsid w:val="00B613C1"/>
    <w:rsid w:val="00B6261C"/>
    <w:rsid w:val="00B671CE"/>
    <w:rsid w:val="00B720B6"/>
    <w:rsid w:val="00B81951"/>
    <w:rsid w:val="00B908E2"/>
    <w:rsid w:val="00B91354"/>
    <w:rsid w:val="00B916AC"/>
    <w:rsid w:val="00B95F9C"/>
    <w:rsid w:val="00BA4592"/>
    <w:rsid w:val="00BA48A2"/>
    <w:rsid w:val="00BA758E"/>
    <w:rsid w:val="00BA7F24"/>
    <w:rsid w:val="00BB1828"/>
    <w:rsid w:val="00BB5587"/>
    <w:rsid w:val="00BC69A3"/>
    <w:rsid w:val="00BD0B4C"/>
    <w:rsid w:val="00BD228D"/>
    <w:rsid w:val="00BD2750"/>
    <w:rsid w:val="00BE1D35"/>
    <w:rsid w:val="00BF2CE5"/>
    <w:rsid w:val="00BF752B"/>
    <w:rsid w:val="00C12CF3"/>
    <w:rsid w:val="00C17BB3"/>
    <w:rsid w:val="00C2017B"/>
    <w:rsid w:val="00C3276D"/>
    <w:rsid w:val="00C3381F"/>
    <w:rsid w:val="00C35C11"/>
    <w:rsid w:val="00C400F1"/>
    <w:rsid w:val="00C45A0A"/>
    <w:rsid w:val="00C53D51"/>
    <w:rsid w:val="00C6103C"/>
    <w:rsid w:val="00C64B1F"/>
    <w:rsid w:val="00C67D2A"/>
    <w:rsid w:val="00C70D28"/>
    <w:rsid w:val="00C7268C"/>
    <w:rsid w:val="00C72D0C"/>
    <w:rsid w:val="00C778CD"/>
    <w:rsid w:val="00C8156C"/>
    <w:rsid w:val="00C8498A"/>
    <w:rsid w:val="00CA5ECD"/>
    <w:rsid w:val="00CB1007"/>
    <w:rsid w:val="00CB5729"/>
    <w:rsid w:val="00CB6550"/>
    <w:rsid w:val="00CC0100"/>
    <w:rsid w:val="00CC1481"/>
    <w:rsid w:val="00CC32B1"/>
    <w:rsid w:val="00CC5821"/>
    <w:rsid w:val="00CE0DB0"/>
    <w:rsid w:val="00CE2064"/>
    <w:rsid w:val="00CE21E3"/>
    <w:rsid w:val="00CE5065"/>
    <w:rsid w:val="00CE705A"/>
    <w:rsid w:val="00CF1773"/>
    <w:rsid w:val="00CF1FE7"/>
    <w:rsid w:val="00CF3A28"/>
    <w:rsid w:val="00CF5733"/>
    <w:rsid w:val="00D02AC0"/>
    <w:rsid w:val="00D02F1D"/>
    <w:rsid w:val="00D03BF5"/>
    <w:rsid w:val="00D04794"/>
    <w:rsid w:val="00D07614"/>
    <w:rsid w:val="00D07CC0"/>
    <w:rsid w:val="00D102C4"/>
    <w:rsid w:val="00D11971"/>
    <w:rsid w:val="00D13737"/>
    <w:rsid w:val="00D21557"/>
    <w:rsid w:val="00D301AB"/>
    <w:rsid w:val="00D355C0"/>
    <w:rsid w:val="00D35736"/>
    <w:rsid w:val="00D4753A"/>
    <w:rsid w:val="00D5015A"/>
    <w:rsid w:val="00D50899"/>
    <w:rsid w:val="00D51701"/>
    <w:rsid w:val="00D53590"/>
    <w:rsid w:val="00D545E8"/>
    <w:rsid w:val="00D63B36"/>
    <w:rsid w:val="00D70185"/>
    <w:rsid w:val="00D72874"/>
    <w:rsid w:val="00D74AB1"/>
    <w:rsid w:val="00D876B0"/>
    <w:rsid w:val="00D9315D"/>
    <w:rsid w:val="00D94020"/>
    <w:rsid w:val="00DA16F1"/>
    <w:rsid w:val="00DA2FB1"/>
    <w:rsid w:val="00DA6FB3"/>
    <w:rsid w:val="00DB03F1"/>
    <w:rsid w:val="00DB0A9F"/>
    <w:rsid w:val="00DB1A87"/>
    <w:rsid w:val="00DB2C41"/>
    <w:rsid w:val="00DB36A0"/>
    <w:rsid w:val="00DB39C0"/>
    <w:rsid w:val="00DB6931"/>
    <w:rsid w:val="00DC2E03"/>
    <w:rsid w:val="00DD35C5"/>
    <w:rsid w:val="00DE0769"/>
    <w:rsid w:val="00DE09B1"/>
    <w:rsid w:val="00DE0B7B"/>
    <w:rsid w:val="00DE367C"/>
    <w:rsid w:val="00DE6169"/>
    <w:rsid w:val="00DE6A49"/>
    <w:rsid w:val="00DF5F0C"/>
    <w:rsid w:val="00E0197D"/>
    <w:rsid w:val="00E03BEC"/>
    <w:rsid w:val="00E0762F"/>
    <w:rsid w:val="00E07887"/>
    <w:rsid w:val="00E07C9E"/>
    <w:rsid w:val="00E14888"/>
    <w:rsid w:val="00E16555"/>
    <w:rsid w:val="00E25D29"/>
    <w:rsid w:val="00E31E45"/>
    <w:rsid w:val="00E3447E"/>
    <w:rsid w:val="00E357A7"/>
    <w:rsid w:val="00E40C28"/>
    <w:rsid w:val="00E4168D"/>
    <w:rsid w:val="00E4352B"/>
    <w:rsid w:val="00E45DE8"/>
    <w:rsid w:val="00E52CAD"/>
    <w:rsid w:val="00E532DD"/>
    <w:rsid w:val="00E54EAA"/>
    <w:rsid w:val="00E61D18"/>
    <w:rsid w:val="00E63049"/>
    <w:rsid w:val="00E65192"/>
    <w:rsid w:val="00E723CA"/>
    <w:rsid w:val="00E72999"/>
    <w:rsid w:val="00E73594"/>
    <w:rsid w:val="00E836FF"/>
    <w:rsid w:val="00E847E2"/>
    <w:rsid w:val="00E85ED0"/>
    <w:rsid w:val="00E87E30"/>
    <w:rsid w:val="00E900C3"/>
    <w:rsid w:val="00E90AF4"/>
    <w:rsid w:val="00E93035"/>
    <w:rsid w:val="00E944C2"/>
    <w:rsid w:val="00EA13AA"/>
    <w:rsid w:val="00EA7B5F"/>
    <w:rsid w:val="00EB6C06"/>
    <w:rsid w:val="00EC0E3A"/>
    <w:rsid w:val="00EC2137"/>
    <w:rsid w:val="00EC5001"/>
    <w:rsid w:val="00ED1C4A"/>
    <w:rsid w:val="00ED76E9"/>
    <w:rsid w:val="00EE0EC4"/>
    <w:rsid w:val="00EE4048"/>
    <w:rsid w:val="00EE7998"/>
    <w:rsid w:val="00EF3605"/>
    <w:rsid w:val="00EF3A21"/>
    <w:rsid w:val="00EF6495"/>
    <w:rsid w:val="00EF7FF8"/>
    <w:rsid w:val="00F1055F"/>
    <w:rsid w:val="00F13AC6"/>
    <w:rsid w:val="00F2518B"/>
    <w:rsid w:val="00F2534E"/>
    <w:rsid w:val="00F304FE"/>
    <w:rsid w:val="00F318C1"/>
    <w:rsid w:val="00F34402"/>
    <w:rsid w:val="00F34C07"/>
    <w:rsid w:val="00F36700"/>
    <w:rsid w:val="00F427BC"/>
    <w:rsid w:val="00F47478"/>
    <w:rsid w:val="00F50F2B"/>
    <w:rsid w:val="00F52205"/>
    <w:rsid w:val="00F55252"/>
    <w:rsid w:val="00F631B1"/>
    <w:rsid w:val="00F676DD"/>
    <w:rsid w:val="00F70E51"/>
    <w:rsid w:val="00F714CC"/>
    <w:rsid w:val="00F71FBF"/>
    <w:rsid w:val="00F7348A"/>
    <w:rsid w:val="00F80178"/>
    <w:rsid w:val="00F80405"/>
    <w:rsid w:val="00F81620"/>
    <w:rsid w:val="00F817BE"/>
    <w:rsid w:val="00F82E00"/>
    <w:rsid w:val="00F84A93"/>
    <w:rsid w:val="00F923DF"/>
    <w:rsid w:val="00F93F61"/>
    <w:rsid w:val="00FA1B55"/>
    <w:rsid w:val="00FA26AE"/>
    <w:rsid w:val="00FB02A4"/>
    <w:rsid w:val="00FB3F12"/>
    <w:rsid w:val="00FB59B1"/>
    <w:rsid w:val="00FC18BC"/>
    <w:rsid w:val="00FD168A"/>
    <w:rsid w:val="00FD48C8"/>
    <w:rsid w:val="00FD7787"/>
    <w:rsid w:val="00FE0662"/>
    <w:rsid w:val="00FE22E6"/>
    <w:rsid w:val="00FE2411"/>
    <w:rsid w:val="00FF011D"/>
    <w:rsid w:val="00FF2727"/>
    <w:rsid w:val="00FF349B"/>
    <w:rsid w:val="00FF35A8"/>
    <w:rsid w:val="00FF4780"/>
    <w:rsid w:val="00FF75F2"/>
    <w:rsid w:val="00FF7E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5B3837D4"/>
  <w15:chartTrackingRefBased/>
  <w15:docId w15:val="{7614C4ED-6EC8-4AED-AFDB-F0C80A07C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28AC"/>
  </w:style>
  <w:style w:type="paragraph" w:styleId="Heading1">
    <w:name w:val="heading 1"/>
    <w:basedOn w:val="NoSpacing"/>
    <w:next w:val="NoSpacing"/>
    <w:link w:val="Heading1Char"/>
    <w:uiPriority w:val="9"/>
    <w:qFormat/>
    <w:rsid w:val="005D571C"/>
    <w:pPr>
      <w:keepNext/>
      <w:keepLines/>
      <w:pBdr>
        <w:bottom w:val="single" w:sz="4" w:space="1" w:color="auto"/>
      </w:pBdr>
      <w:spacing w:before="240"/>
      <w:outlineLvl w:val="0"/>
    </w:pPr>
    <w:rPr>
      <w:rFonts w:eastAsiaTheme="majorEastAsia" w:cstheme="majorBidi"/>
      <w:b/>
      <w:caps/>
      <w:sz w:val="40"/>
      <w:szCs w:val="32"/>
    </w:rPr>
  </w:style>
  <w:style w:type="paragraph" w:styleId="Heading2">
    <w:name w:val="heading 2"/>
    <w:basedOn w:val="Heading1"/>
    <w:next w:val="NoSpacing"/>
    <w:link w:val="Heading2Char"/>
    <w:unhideWhenUsed/>
    <w:qFormat/>
    <w:rsid w:val="005D571C"/>
    <w:pPr>
      <w:spacing w:before="0"/>
      <w:outlineLvl w:val="1"/>
    </w:pPr>
    <w:rPr>
      <w:caps w:val="0"/>
      <w:sz w:val="36"/>
    </w:rPr>
  </w:style>
  <w:style w:type="paragraph" w:styleId="Heading3">
    <w:name w:val="heading 3"/>
    <w:basedOn w:val="NoSpacing"/>
    <w:next w:val="NoSpacing"/>
    <w:link w:val="Heading3Char"/>
    <w:unhideWhenUsed/>
    <w:qFormat/>
    <w:rsid w:val="00964A90"/>
    <w:pPr>
      <w:keepNext/>
      <w:keepLines/>
      <w:spacing w:after="120"/>
      <w:outlineLvl w:val="2"/>
    </w:pPr>
    <w:rPr>
      <w:rFonts w:eastAsiaTheme="majorEastAsia" w:cstheme="majorBidi"/>
      <w:b/>
      <w:caps/>
      <w:sz w:val="28"/>
      <w:szCs w:val="24"/>
    </w:rPr>
  </w:style>
  <w:style w:type="paragraph" w:styleId="Heading4">
    <w:name w:val="heading 4"/>
    <w:basedOn w:val="Normal"/>
    <w:next w:val="Normal"/>
    <w:link w:val="Heading4Char"/>
    <w:unhideWhenUsed/>
    <w:rsid w:val="006F7DE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nhideWhenUsed/>
    <w:rsid w:val="00757ACA"/>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nhideWhenUsed/>
    <w:rsid w:val="00757ACA"/>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9"/>
    <w:unhideWhenUsed/>
    <w:qFormat/>
    <w:rsid w:val="0042579D"/>
    <w:pPr>
      <w:keepNext/>
      <w:keepLines/>
      <w:spacing w:before="200" w:after="0" w:line="256" w:lineRule="auto"/>
      <w:ind w:left="1296" w:hanging="1296"/>
      <w:outlineLvl w:val="6"/>
    </w:pPr>
    <w:rPr>
      <w:rFonts w:asciiTheme="majorHAnsi" w:eastAsiaTheme="majorEastAsia" w:hAnsiTheme="majorHAnsi" w:cstheme="majorBidi"/>
      <w:i/>
      <w:iCs/>
      <w:color w:val="404040" w:themeColor="text1" w:themeTint="BF"/>
      <w:lang w:val="en-US" w:eastAsia="ja-JP"/>
    </w:rPr>
  </w:style>
  <w:style w:type="paragraph" w:styleId="Heading8">
    <w:name w:val="heading 8"/>
    <w:basedOn w:val="Normal"/>
    <w:next w:val="Normal"/>
    <w:link w:val="Heading8Char"/>
    <w:uiPriority w:val="9"/>
    <w:semiHidden/>
    <w:unhideWhenUsed/>
    <w:rsid w:val="0042579D"/>
    <w:pPr>
      <w:keepNext/>
      <w:keepLines/>
      <w:spacing w:before="200" w:after="0" w:line="256" w:lineRule="auto"/>
      <w:ind w:left="1440" w:hanging="1440"/>
      <w:outlineLvl w:val="7"/>
    </w:pPr>
    <w:rPr>
      <w:rFonts w:asciiTheme="majorHAnsi" w:eastAsiaTheme="majorEastAsia" w:hAnsiTheme="majorHAnsi" w:cstheme="majorBidi"/>
      <w:color w:val="404040" w:themeColor="text1" w:themeTint="BF"/>
      <w:sz w:val="20"/>
      <w:szCs w:val="20"/>
      <w:lang w:val="en-US" w:eastAsia="ja-JP"/>
    </w:rPr>
  </w:style>
  <w:style w:type="paragraph" w:styleId="Heading9">
    <w:name w:val="heading 9"/>
    <w:basedOn w:val="Normal"/>
    <w:next w:val="Normal"/>
    <w:link w:val="Heading9Char"/>
    <w:uiPriority w:val="9"/>
    <w:semiHidden/>
    <w:unhideWhenUsed/>
    <w:qFormat/>
    <w:rsid w:val="0042579D"/>
    <w:pPr>
      <w:keepNext/>
      <w:keepLines/>
      <w:spacing w:before="200" w:after="0" w:line="256" w:lineRule="auto"/>
      <w:ind w:left="1584" w:hanging="1584"/>
      <w:outlineLvl w:val="8"/>
    </w:pPr>
    <w:rPr>
      <w:rFonts w:asciiTheme="majorHAnsi" w:eastAsiaTheme="majorEastAsia" w:hAnsiTheme="majorHAnsi" w:cstheme="majorBidi"/>
      <w:i/>
      <w:iCs/>
      <w:color w:val="404040" w:themeColor="text1" w:themeTint="BF"/>
      <w:sz w:val="20"/>
      <w:szCs w:val="20"/>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rsid w:val="0037789C"/>
    <w:pPr>
      <w:spacing w:after="0" w:line="240" w:lineRule="auto"/>
    </w:pPr>
    <w:rPr>
      <w:rFonts w:ascii="Cambria" w:hAnsi="Cambria"/>
    </w:rPr>
  </w:style>
  <w:style w:type="character" w:customStyle="1" w:styleId="Heading1Char">
    <w:name w:val="Heading 1 Char"/>
    <w:basedOn w:val="DefaultParagraphFont"/>
    <w:link w:val="Heading1"/>
    <w:uiPriority w:val="9"/>
    <w:rsid w:val="005D571C"/>
    <w:rPr>
      <w:rFonts w:ascii="Cambria" w:eastAsiaTheme="majorEastAsia" w:hAnsi="Cambria" w:cstheme="majorBidi"/>
      <w:b/>
      <w:caps/>
      <w:sz w:val="40"/>
      <w:szCs w:val="32"/>
    </w:rPr>
  </w:style>
  <w:style w:type="character" w:customStyle="1" w:styleId="Heading2Char">
    <w:name w:val="Heading 2 Char"/>
    <w:basedOn w:val="DefaultParagraphFont"/>
    <w:link w:val="Heading2"/>
    <w:rsid w:val="005D571C"/>
    <w:rPr>
      <w:rFonts w:ascii="Cambria" w:eastAsiaTheme="majorEastAsia" w:hAnsi="Cambria" w:cstheme="majorBidi"/>
      <w:b/>
      <w:sz w:val="36"/>
      <w:szCs w:val="32"/>
    </w:rPr>
  </w:style>
  <w:style w:type="paragraph" w:styleId="Title">
    <w:name w:val="Title"/>
    <w:aliases w:val="Head 3"/>
    <w:basedOn w:val="NoSpacing"/>
    <w:next w:val="NoSpacing"/>
    <w:link w:val="TitleChar"/>
    <w:uiPriority w:val="10"/>
    <w:rsid w:val="000D28AC"/>
    <w:pPr>
      <w:contextualSpacing/>
    </w:pPr>
    <w:rPr>
      <w:rFonts w:asciiTheme="majorHAnsi" w:eastAsiaTheme="majorEastAsia" w:hAnsiTheme="majorHAnsi" w:cstheme="majorBidi"/>
      <w:b/>
      <w:caps/>
      <w:spacing w:val="-10"/>
      <w:kern w:val="28"/>
      <w:sz w:val="24"/>
      <w:szCs w:val="56"/>
    </w:rPr>
  </w:style>
  <w:style w:type="character" w:customStyle="1" w:styleId="TitleChar">
    <w:name w:val="Title Char"/>
    <w:aliases w:val="Head 3 Char"/>
    <w:basedOn w:val="DefaultParagraphFont"/>
    <w:link w:val="Title"/>
    <w:uiPriority w:val="10"/>
    <w:rsid w:val="000D28AC"/>
    <w:rPr>
      <w:rFonts w:asciiTheme="majorHAnsi" w:eastAsiaTheme="majorEastAsia" w:hAnsiTheme="majorHAnsi" w:cstheme="majorBidi"/>
      <w:b/>
      <w:caps/>
      <w:spacing w:val="-10"/>
      <w:kern w:val="28"/>
      <w:sz w:val="24"/>
      <w:szCs w:val="56"/>
    </w:rPr>
  </w:style>
  <w:style w:type="character" w:customStyle="1" w:styleId="Heading3Char">
    <w:name w:val="Heading 3 Char"/>
    <w:basedOn w:val="DefaultParagraphFont"/>
    <w:link w:val="Heading3"/>
    <w:rsid w:val="00964A90"/>
    <w:rPr>
      <w:rFonts w:ascii="Cambria" w:eastAsiaTheme="majorEastAsia" w:hAnsi="Cambria" w:cstheme="majorBidi"/>
      <w:b/>
      <w:caps/>
      <w:sz w:val="28"/>
      <w:szCs w:val="24"/>
    </w:rPr>
  </w:style>
  <w:style w:type="paragraph" w:styleId="Subtitle">
    <w:name w:val="Subtitle"/>
    <w:aliases w:val="Head 4"/>
    <w:basedOn w:val="NoSpacing"/>
    <w:next w:val="NoSpacing"/>
    <w:link w:val="SubtitleChar"/>
    <w:uiPriority w:val="99"/>
    <w:qFormat/>
    <w:rsid w:val="002C1425"/>
    <w:pPr>
      <w:numPr>
        <w:ilvl w:val="1"/>
      </w:numPr>
    </w:pPr>
    <w:rPr>
      <w:rFonts w:eastAsiaTheme="minorEastAsia"/>
      <w:b/>
      <w:caps/>
      <w:sz w:val="24"/>
    </w:rPr>
  </w:style>
  <w:style w:type="character" w:customStyle="1" w:styleId="SubtitleChar">
    <w:name w:val="Subtitle Char"/>
    <w:aliases w:val="Head 4 Char"/>
    <w:basedOn w:val="DefaultParagraphFont"/>
    <w:link w:val="Subtitle"/>
    <w:uiPriority w:val="99"/>
    <w:rsid w:val="002C1425"/>
    <w:rPr>
      <w:rFonts w:ascii="Cambria" w:eastAsiaTheme="minorEastAsia" w:hAnsi="Cambria"/>
      <w:b/>
      <w:caps/>
      <w:sz w:val="24"/>
    </w:rPr>
  </w:style>
  <w:style w:type="paragraph" w:styleId="TOC2">
    <w:name w:val="toc 2"/>
    <w:basedOn w:val="Normal"/>
    <w:next w:val="Normal"/>
    <w:autoRedefine/>
    <w:uiPriority w:val="39"/>
    <w:unhideWhenUsed/>
    <w:rsid w:val="005D571C"/>
    <w:pPr>
      <w:spacing w:after="100"/>
      <w:ind w:left="220"/>
    </w:pPr>
  </w:style>
  <w:style w:type="paragraph" w:styleId="TOC1">
    <w:name w:val="toc 1"/>
    <w:basedOn w:val="Normal"/>
    <w:next w:val="Normal"/>
    <w:autoRedefine/>
    <w:uiPriority w:val="39"/>
    <w:unhideWhenUsed/>
    <w:rsid w:val="005D571C"/>
    <w:pPr>
      <w:spacing w:after="100"/>
    </w:pPr>
  </w:style>
  <w:style w:type="character" w:styleId="Hyperlink">
    <w:name w:val="Hyperlink"/>
    <w:basedOn w:val="DefaultParagraphFont"/>
    <w:uiPriority w:val="99"/>
    <w:unhideWhenUsed/>
    <w:rsid w:val="005D571C"/>
    <w:rPr>
      <w:color w:val="0563C1" w:themeColor="hyperlink"/>
      <w:u w:val="single"/>
    </w:rPr>
  </w:style>
  <w:style w:type="paragraph" w:styleId="Header">
    <w:name w:val="header"/>
    <w:basedOn w:val="Normal"/>
    <w:link w:val="HeaderChar"/>
    <w:uiPriority w:val="99"/>
    <w:unhideWhenUsed/>
    <w:qFormat/>
    <w:rsid w:val="002C14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1425"/>
  </w:style>
  <w:style w:type="paragraph" w:styleId="Footer">
    <w:name w:val="footer"/>
    <w:basedOn w:val="Normal"/>
    <w:link w:val="FooterChar"/>
    <w:uiPriority w:val="99"/>
    <w:unhideWhenUsed/>
    <w:rsid w:val="002C14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1425"/>
  </w:style>
  <w:style w:type="paragraph" w:styleId="ListParagraph">
    <w:name w:val="List Paragraph"/>
    <w:basedOn w:val="Normal"/>
    <w:link w:val="ListParagraphChar"/>
    <w:uiPriority w:val="34"/>
    <w:qFormat/>
    <w:rsid w:val="00061992"/>
    <w:pPr>
      <w:spacing w:line="256" w:lineRule="auto"/>
      <w:ind w:left="720"/>
      <w:contextualSpacing/>
    </w:pPr>
    <w:rPr>
      <w:rFonts w:ascii="Cheltenham" w:eastAsiaTheme="minorEastAsia" w:hAnsi="Cheltenham"/>
      <w:lang w:val="en-US" w:eastAsia="ja-JP"/>
    </w:rPr>
  </w:style>
  <w:style w:type="paragraph" w:customStyle="1" w:styleId="Standard">
    <w:name w:val="Standard"/>
    <w:rsid w:val="005139CD"/>
    <w:pPr>
      <w:suppressAutoHyphens/>
      <w:autoSpaceDN w:val="0"/>
      <w:spacing w:after="200" w:line="276" w:lineRule="auto"/>
    </w:pPr>
    <w:rPr>
      <w:rFonts w:ascii="Calibri" w:eastAsia="SimSun" w:hAnsi="Calibri" w:cs="F"/>
      <w:kern w:val="3"/>
    </w:rPr>
  </w:style>
  <w:style w:type="character" w:customStyle="1" w:styleId="Heading4Char">
    <w:name w:val="Heading 4 Char"/>
    <w:basedOn w:val="DefaultParagraphFont"/>
    <w:link w:val="Heading4"/>
    <w:rsid w:val="006F7DEE"/>
    <w:rPr>
      <w:rFonts w:asciiTheme="majorHAnsi" w:eastAsiaTheme="majorEastAsia" w:hAnsiTheme="majorHAnsi" w:cstheme="majorBidi"/>
      <w:i/>
      <w:iCs/>
      <w:color w:val="2F5496" w:themeColor="accent1" w:themeShade="BF"/>
    </w:rPr>
  </w:style>
  <w:style w:type="character" w:styleId="SubtleEmphasis">
    <w:name w:val="Subtle Emphasis"/>
    <w:basedOn w:val="DefaultParagraphFont"/>
    <w:uiPriority w:val="19"/>
    <w:rsid w:val="0055189F"/>
    <w:rPr>
      <w:i/>
      <w:iCs/>
      <w:color w:val="404040" w:themeColor="text1" w:themeTint="BF"/>
    </w:rPr>
  </w:style>
  <w:style w:type="character" w:styleId="FootnoteReference">
    <w:name w:val="footnote reference"/>
    <w:basedOn w:val="DefaultParagraphFont"/>
    <w:uiPriority w:val="99"/>
    <w:semiHidden/>
    <w:unhideWhenUsed/>
    <w:rsid w:val="00FD7787"/>
    <w:rPr>
      <w:vertAlign w:val="superscript"/>
    </w:rPr>
  </w:style>
  <w:style w:type="character" w:customStyle="1" w:styleId="NoSpacingChar">
    <w:name w:val="No Spacing Char"/>
    <w:basedOn w:val="DefaultParagraphFont"/>
    <w:link w:val="NoSpacing"/>
    <w:rsid w:val="00FD7787"/>
    <w:rPr>
      <w:rFonts w:ascii="Cambria" w:hAnsi="Cambria"/>
    </w:rPr>
  </w:style>
  <w:style w:type="paragraph" w:customStyle="1" w:styleId="Footnote">
    <w:name w:val="Footnote"/>
    <w:basedOn w:val="FootnoteText"/>
    <w:link w:val="FootnoteChar"/>
    <w:rsid w:val="00FD7787"/>
    <w:rPr>
      <w:rFonts w:ascii="Century Gothic" w:hAnsi="Century Gothic"/>
      <w:sz w:val="16"/>
    </w:rPr>
  </w:style>
  <w:style w:type="character" w:customStyle="1" w:styleId="FootnoteChar">
    <w:name w:val="Footnote Char"/>
    <w:basedOn w:val="DefaultParagraphFont"/>
    <w:link w:val="Footnote"/>
    <w:rsid w:val="00FD7787"/>
    <w:rPr>
      <w:rFonts w:ascii="Century Gothic" w:hAnsi="Century Gothic"/>
      <w:sz w:val="16"/>
      <w:szCs w:val="20"/>
    </w:rPr>
  </w:style>
  <w:style w:type="character" w:customStyle="1" w:styleId="ListParagraphChar">
    <w:name w:val="List Paragraph Char"/>
    <w:link w:val="ListParagraph"/>
    <w:uiPriority w:val="34"/>
    <w:locked/>
    <w:rsid w:val="00FD7787"/>
    <w:rPr>
      <w:rFonts w:ascii="Cheltenham" w:eastAsiaTheme="minorEastAsia" w:hAnsi="Cheltenham"/>
      <w:lang w:val="en-US" w:eastAsia="ja-JP"/>
    </w:rPr>
  </w:style>
  <w:style w:type="paragraph" w:styleId="FootnoteText">
    <w:name w:val="footnote text"/>
    <w:basedOn w:val="Normal"/>
    <w:link w:val="FootnoteTextChar"/>
    <w:uiPriority w:val="99"/>
    <w:unhideWhenUsed/>
    <w:rsid w:val="00FD7787"/>
    <w:pPr>
      <w:spacing w:after="0" w:line="240" w:lineRule="auto"/>
    </w:pPr>
    <w:rPr>
      <w:sz w:val="20"/>
      <w:szCs w:val="20"/>
    </w:rPr>
  </w:style>
  <w:style w:type="character" w:customStyle="1" w:styleId="FootnoteTextChar">
    <w:name w:val="Footnote Text Char"/>
    <w:basedOn w:val="DefaultParagraphFont"/>
    <w:link w:val="FootnoteText"/>
    <w:uiPriority w:val="99"/>
    <w:rsid w:val="00FD7787"/>
    <w:rPr>
      <w:sz w:val="20"/>
      <w:szCs w:val="20"/>
    </w:rPr>
  </w:style>
  <w:style w:type="table" w:styleId="TableGrid">
    <w:name w:val="Table Grid"/>
    <w:basedOn w:val="TableNormal"/>
    <w:uiPriority w:val="39"/>
    <w:rsid w:val="00186381"/>
    <w:pPr>
      <w:spacing w:after="0" w:line="240" w:lineRule="auto"/>
    </w:pPr>
    <w:rPr>
      <w:rFonts w:eastAsiaTheme="minorEastAsia"/>
      <w:lang w:val="en-US" w:bidi="en-US"/>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PlainTable2">
    <w:name w:val="Plain Table 2"/>
    <w:basedOn w:val="TableNormal"/>
    <w:uiPriority w:val="42"/>
    <w:rsid w:val="0018638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ommentText">
    <w:name w:val="annotation text"/>
    <w:basedOn w:val="Normal"/>
    <w:link w:val="CommentTextChar"/>
    <w:uiPriority w:val="99"/>
    <w:unhideWhenUsed/>
    <w:rsid w:val="00186381"/>
    <w:pPr>
      <w:spacing w:after="120" w:line="240" w:lineRule="auto"/>
      <w:jc w:val="both"/>
    </w:pPr>
    <w:rPr>
      <w:rFonts w:ascii="Cheltenham" w:hAnsi="Cheltenham"/>
      <w:sz w:val="20"/>
      <w:szCs w:val="20"/>
      <w:lang w:val="en-US"/>
    </w:rPr>
  </w:style>
  <w:style w:type="character" w:customStyle="1" w:styleId="CommentTextChar">
    <w:name w:val="Comment Text Char"/>
    <w:basedOn w:val="DefaultParagraphFont"/>
    <w:link w:val="CommentText"/>
    <w:uiPriority w:val="99"/>
    <w:rsid w:val="00186381"/>
    <w:rPr>
      <w:rFonts w:ascii="Cheltenham" w:hAnsi="Cheltenham"/>
      <w:sz w:val="20"/>
      <w:szCs w:val="20"/>
      <w:lang w:val="en-US"/>
    </w:rPr>
  </w:style>
  <w:style w:type="character" w:styleId="CommentReference">
    <w:name w:val="annotation reference"/>
    <w:basedOn w:val="DefaultParagraphFont"/>
    <w:unhideWhenUsed/>
    <w:rsid w:val="00186381"/>
    <w:rPr>
      <w:sz w:val="16"/>
      <w:szCs w:val="16"/>
    </w:rPr>
  </w:style>
  <w:style w:type="paragraph" w:styleId="BalloonText">
    <w:name w:val="Balloon Text"/>
    <w:basedOn w:val="Normal"/>
    <w:link w:val="BalloonTextChar"/>
    <w:uiPriority w:val="99"/>
    <w:unhideWhenUsed/>
    <w:rsid w:val="0018638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186381"/>
    <w:rPr>
      <w:rFonts w:ascii="Segoe UI" w:hAnsi="Segoe UI" w:cs="Segoe UI"/>
      <w:sz w:val="18"/>
      <w:szCs w:val="18"/>
    </w:rPr>
  </w:style>
  <w:style w:type="table" w:styleId="PlainTable1">
    <w:name w:val="Plain Table 1"/>
    <w:basedOn w:val="TableNormal"/>
    <w:uiPriority w:val="41"/>
    <w:rsid w:val="00811661"/>
    <w:pPr>
      <w:spacing w:after="0" w:line="240" w:lineRule="auto"/>
    </w:pPr>
    <w:rPr>
      <w:rFonts w:ascii="Century Gothic" w:hAnsi="Century Gothic"/>
      <w:sz w:val="20"/>
      <w:szCs w:val="20"/>
      <w:lang w:val="en-US"/>
    </w:r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dnoteText">
    <w:name w:val="endnote text"/>
    <w:basedOn w:val="Normal"/>
    <w:link w:val="EndnoteTextChar"/>
    <w:uiPriority w:val="99"/>
    <w:unhideWhenUsed/>
    <w:rsid w:val="00BA758E"/>
    <w:pPr>
      <w:spacing w:after="0" w:line="240" w:lineRule="auto"/>
    </w:pPr>
    <w:rPr>
      <w:sz w:val="20"/>
      <w:szCs w:val="20"/>
    </w:rPr>
  </w:style>
  <w:style w:type="character" w:customStyle="1" w:styleId="EndnoteTextChar">
    <w:name w:val="Endnote Text Char"/>
    <w:basedOn w:val="DefaultParagraphFont"/>
    <w:link w:val="EndnoteText"/>
    <w:uiPriority w:val="99"/>
    <w:rsid w:val="00BA758E"/>
    <w:rPr>
      <w:sz w:val="20"/>
      <w:szCs w:val="20"/>
    </w:rPr>
  </w:style>
  <w:style w:type="character" w:styleId="EndnoteReference">
    <w:name w:val="endnote reference"/>
    <w:basedOn w:val="DefaultParagraphFont"/>
    <w:unhideWhenUsed/>
    <w:rsid w:val="00BA758E"/>
    <w:rPr>
      <w:vertAlign w:val="superscript"/>
    </w:rPr>
  </w:style>
  <w:style w:type="table" w:customStyle="1" w:styleId="TableGrid1">
    <w:name w:val="Table Grid1"/>
    <w:basedOn w:val="TableNormal"/>
    <w:uiPriority w:val="59"/>
    <w:rsid w:val="00BA758E"/>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16334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Default">
    <w:name w:val="Default"/>
    <w:rsid w:val="002743BF"/>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character" w:customStyle="1" w:styleId="BORChar">
    <w:name w:val="BOR Char"/>
    <w:basedOn w:val="DefaultParagraphFont"/>
    <w:link w:val="BOR"/>
    <w:locked/>
    <w:rsid w:val="0059571B"/>
    <w:rPr>
      <w:rFonts w:ascii="Georgia" w:hAnsi="Georgia"/>
    </w:rPr>
  </w:style>
  <w:style w:type="paragraph" w:customStyle="1" w:styleId="BOR">
    <w:name w:val="BOR"/>
    <w:basedOn w:val="Normal"/>
    <w:link w:val="BORChar"/>
    <w:qFormat/>
    <w:rsid w:val="0059571B"/>
    <w:pPr>
      <w:spacing w:line="252" w:lineRule="auto"/>
      <w:jc w:val="both"/>
    </w:pPr>
    <w:rPr>
      <w:rFonts w:ascii="Georgia" w:hAnsi="Georgia"/>
    </w:rPr>
  </w:style>
  <w:style w:type="character" w:styleId="Emphasis">
    <w:name w:val="Emphasis"/>
    <w:basedOn w:val="DefaultParagraphFont"/>
    <w:uiPriority w:val="20"/>
    <w:rsid w:val="003D43D6"/>
    <w:rPr>
      <w:i/>
      <w:iCs/>
      <w:color w:val="auto"/>
    </w:rPr>
  </w:style>
  <w:style w:type="character" w:customStyle="1" w:styleId="Heading5Char">
    <w:name w:val="Heading 5 Char"/>
    <w:basedOn w:val="DefaultParagraphFont"/>
    <w:link w:val="Heading5"/>
    <w:rsid w:val="00757ACA"/>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rsid w:val="00757ACA"/>
    <w:rPr>
      <w:rFonts w:asciiTheme="majorHAnsi" w:eastAsiaTheme="majorEastAsia" w:hAnsiTheme="majorHAnsi" w:cstheme="majorBidi"/>
      <w:color w:val="1F3763" w:themeColor="accent1" w:themeShade="7F"/>
    </w:rPr>
  </w:style>
  <w:style w:type="paragraph" w:customStyle="1" w:styleId="ACNCproformalist">
    <w:name w:val="ACNC_proforma_list"/>
    <w:basedOn w:val="Normal"/>
    <w:rsid w:val="001B46FC"/>
    <w:pPr>
      <w:numPr>
        <w:numId w:val="118"/>
      </w:numPr>
      <w:suppressAutoHyphens/>
      <w:spacing w:before="120" w:after="0" w:line="240" w:lineRule="auto"/>
    </w:pPr>
    <w:rPr>
      <w:rFonts w:ascii="Calibri" w:eastAsia="Calibri" w:hAnsi="Calibri" w:cs="Arial"/>
      <w:lang w:eastAsia="zh-CN"/>
    </w:rPr>
  </w:style>
  <w:style w:type="paragraph" w:customStyle="1" w:styleId="ACNCproformasublist">
    <w:name w:val="ACNC_proforma_sublist"/>
    <w:basedOn w:val="ListParagraph"/>
    <w:rsid w:val="001B46FC"/>
    <w:pPr>
      <w:numPr>
        <w:ilvl w:val="1"/>
        <w:numId w:val="117"/>
      </w:numPr>
      <w:suppressAutoHyphens/>
      <w:spacing w:after="0" w:line="240" w:lineRule="auto"/>
      <w:outlineLvl w:val="1"/>
    </w:pPr>
    <w:rPr>
      <w:rFonts w:ascii="Calibri" w:eastAsia="Calibri" w:hAnsi="Calibri" w:cs="Arial"/>
      <w:lang w:val="en-AU" w:eastAsia="zh-CN"/>
    </w:rPr>
  </w:style>
  <w:style w:type="paragraph" w:customStyle="1" w:styleId="Style1">
    <w:name w:val="Style1"/>
    <w:basedOn w:val="ListParagraph"/>
    <w:rsid w:val="001B46FC"/>
    <w:pPr>
      <w:numPr>
        <w:ilvl w:val="2"/>
        <w:numId w:val="117"/>
      </w:numPr>
      <w:suppressAutoHyphens/>
      <w:spacing w:after="0" w:line="240" w:lineRule="auto"/>
      <w:outlineLvl w:val="2"/>
    </w:pPr>
    <w:rPr>
      <w:rFonts w:ascii="Calibri" w:eastAsia="Times New Roman" w:hAnsi="Calibri" w:cs="Times New Roman"/>
      <w:lang w:val="en-AU" w:eastAsia="zh-CN"/>
    </w:rPr>
  </w:style>
  <w:style w:type="paragraph" w:customStyle="1" w:styleId="Number2">
    <w:name w:val="Number 2"/>
    <w:basedOn w:val="Heading2"/>
    <w:rsid w:val="001B46FC"/>
    <w:pPr>
      <w:keepNext w:val="0"/>
      <w:keepLines w:val="0"/>
      <w:numPr>
        <w:ilvl w:val="1"/>
      </w:numPr>
      <w:pBdr>
        <w:bottom w:val="none" w:sz="0" w:space="0" w:color="auto"/>
      </w:pBdr>
      <w:tabs>
        <w:tab w:val="num" w:pos="1559"/>
      </w:tabs>
      <w:spacing w:after="240"/>
      <w:ind w:left="1559" w:hanging="708"/>
      <w:jc w:val="both"/>
    </w:pPr>
    <w:rPr>
      <w:rFonts w:ascii="Times New Roman" w:eastAsia="Times New Roman" w:hAnsi="Times New Roman" w:cs="Times New Roman"/>
      <w:b w:val="0"/>
      <w:sz w:val="24"/>
      <w:szCs w:val="20"/>
    </w:rPr>
  </w:style>
  <w:style w:type="paragraph" w:customStyle="1" w:styleId="Number3">
    <w:name w:val="Number 3"/>
    <w:basedOn w:val="Heading3"/>
    <w:rsid w:val="001B46FC"/>
    <w:pPr>
      <w:keepNext w:val="0"/>
      <w:keepLines w:val="0"/>
      <w:numPr>
        <w:ilvl w:val="2"/>
      </w:numPr>
      <w:tabs>
        <w:tab w:val="num" w:pos="3829"/>
      </w:tabs>
      <w:spacing w:after="240"/>
      <w:ind w:left="3829" w:hanging="851"/>
      <w:jc w:val="both"/>
    </w:pPr>
    <w:rPr>
      <w:rFonts w:ascii="Times New Roman" w:eastAsia="Times New Roman" w:hAnsi="Times New Roman" w:cs="Times New Roman"/>
      <w:b w:val="0"/>
      <w:caps w:val="0"/>
      <w:sz w:val="24"/>
      <w:szCs w:val="20"/>
    </w:rPr>
  </w:style>
  <w:style w:type="paragraph" w:customStyle="1" w:styleId="Number2Arial">
    <w:name w:val="Number 2 + Arial"/>
    <w:aliases w:val="11 pt,Left,Left:  1.5 cm,First line:  0 cm + 11 pt,After:  ..."/>
    <w:basedOn w:val="Heading2"/>
    <w:link w:val="Number2ArialChar"/>
    <w:rsid w:val="001B46FC"/>
    <w:pPr>
      <w:keepNext w:val="0"/>
      <w:keepLines w:val="0"/>
      <w:numPr>
        <w:ilvl w:val="1"/>
      </w:numPr>
      <w:pBdr>
        <w:bottom w:val="none" w:sz="0" w:space="0" w:color="auto"/>
      </w:pBdr>
      <w:tabs>
        <w:tab w:val="left" w:pos="851"/>
        <w:tab w:val="num" w:pos="1559"/>
        <w:tab w:val="left" w:pos="1701"/>
        <w:tab w:val="left" w:pos="2552"/>
        <w:tab w:val="left" w:pos="3402"/>
        <w:tab w:val="left" w:pos="4253"/>
      </w:tabs>
      <w:spacing w:after="240"/>
      <w:ind w:left="851" w:hanging="851"/>
    </w:pPr>
    <w:rPr>
      <w:rFonts w:ascii="Arial" w:eastAsia="Times New Roman" w:hAnsi="Arial" w:cs="Arial"/>
      <w:b w:val="0"/>
      <w:sz w:val="24"/>
      <w:szCs w:val="20"/>
    </w:rPr>
  </w:style>
  <w:style w:type="character" w:customStyle="1" w:styleId="Number2ArialChar">
    <w:name w:val="Number 2 + Arial Char"/>
    <w:aliases w:val="11 pt Char,Left Char,Left:  1.5 cm Char,First line:  0 cm + 11 pt Char,After:  ... Char Char"/>
    <w:link w:val="Number2Arial"/>
    <w:rsid w:val="001B46FC"/>
    <w:rPr>
      <w:rFonts w:ascii="Arial" w:eastAsia="Times New Roman" w:hAnsi="Arial" w:cs="Arial"/>
      <w:sz w:val="24"/>
      <w:szCs w:val="20"/>
    </w:rPr>
  </w:style>
  <w:style w:type="paragraph" w:customStyle="1" w:styleId="Level1">
    <w:name w:val="Level 1"/>
    <w:basedOn w:val="Normal"/>
    <w:rsid w:val="001B46FC"/>
    <w:pPr>
      <w:spacing w:after="240" w:line="240" w:lineRule="auto"/>
      <w:ind w:left="709" w:hanging="902"/>
      <w:jc w:val="both"/>
    </w:pPr>
    <w:rPr>
      <w:rFonts w:ascii="Times New Roman" w:eastAsia="Times New Roman" w:hAnsi="Times New Roman" w:cs="Times New Roman"/>
      <w:sz w:val="24"/>
      <w:szCs w:val="20"/>
    </w:rPr>
  </w:style>
  <w:style w:type="paragraph" w:customStyle="1" w:styleId="CCPoutline">
    <w:name w:val="CCP outline"/>
    <w:basedOn w:val="Normal"/>
    <w:rsid w:val="001B46FC"/>
    <w:pPr>
      <w:widowControl w:val="0"/>
      <w:numPr>
        <w:numId w:val="119"/>
      </w:numPr>
      <w:tabs>
        <w:tab w:val="left" w:pos="709"/>
        <w:tab w:val="left" w:pos="1418"/>
        <w:tab w:val="left" w:pos="2126"/>
        <w:tab w:val="left" w:pos="2835"/>
        <w:tab w:val="left" w:pos="3544"/>
        <w:tab w:val="left" w:pos="4253"/>
        <w:tab w:val="left" w:pos="4961"/>
        <w:tab w:val="left" w:pos="5670"/>
      </w:tabs>
      <w:spacing w:after="240" w:line="240" w:lineRule="auto"/>
      <w:ind w:left="0" w:firstLine="0"/>
      <w:jc w:val="both"/>
    </w:pPr>
    <w:rPr>
      <w:rFonts w:ascii="Times New Roman" w:eastAsia="Times New Roman" w:hAnsi="Times New Roman" w:cs="Times New Roman"/>
      <w:snapToGrid w:val="0"/>
      <w:sz w:val="24"/>
      <w:szCs w:val="20"/>
    </w:rPr>
  </w:style>
  <w:style w:type="paragraph" w:customStyle="1" w:styleId="ccpnormal">
    <w:name w:val="ccp normal"/>
    <w:basedOn w:val="Normal"/>
    <w:next w:val="Normal"/>
    <w:rsid w:val="001B46FC"/>
    <w:pPr>
      <w:widowControl w:val="0"/>
      <w:spacing w:after="240" w:line="240" w:lineRule="auto"/>
      <w:ind w:left="706" w:hanging="902"/>
      <w:jc w:val="both"/>
    </w:pPr>
    <w:rPr>
      <w:rFonts w:ascii="Times New Roman" w:eastAsia="Times New Roman" w:hAnsi="Times New Roman" w:cs="Times New Roman"/>
      <w:sz w:val="24"/>
      <w:szCs w:val="20"/>
    </w:rPr>
  </w:style>
  <w:style w:type="character" w:customStyle="1" w:styleId="Heading7Char">
    <w:name w:val="Heading 7 Char"/>
    <w:basedOn w:val="DefaultParagraphFont"/>
    <w:link w:val="Heading7"/>
    <w:uiPriority w:val="99"/>
    <w:rsid w:val="0042579D"/>
    <w:rPr>
      <w:rFonts w:asciiTheme="majorHAnsi" w:eastAsiaTheme="majorEastAsia" w:hAnsiTheme="majorHAnsi" w:cstheme="majorBidi"/>
      <w:i/>
      <w:iCs/>
      <w:color w:val="404040" w:themeColor="text1" w:themeTint="BF"/>
      <w:lang w:val="en-US" w:eastAsia="ja-JP"/>
    </w:rPr>
  </w:style>
  <w:style w:type="character" w:customStyle="1" w:styleId="Heading8Char">
    <w:name w:val="Heading 8 Char"/>
    <w:basedOn w:val="DefaultParagraphFont"/>
    <w:link w:val="Heading8"/>
    <w:uiPriority w:val="9"/>
    <w:semiHidden/>
    <w:rsid w:val="0042579D"/>
    <w:rPr>
      <w:rFonts w:asciiTheme="majorHAnsi" w:eastAsiaTheme="majorEastAsia" w:hAnsiTheme="majorHAnsi" w:cstheme="majorBidi"/>
      <w:color w:val="404040" w:themeColor="text1" w:themeTint="BF"/>
      <w:sz w:val="20"/>
      <w:szCs w:val="20"/>
      <w:lang w:val="en-US" w:eastAsia="ja-JP"/>
    </w:rPr>
  </w:style>
  <w:style w:type="character" w:customStyle="1" w:styleId="Heading9Char">
    <w:name w:val="Heading 9 Char"/>
    <w:basedOn w:val="DefaultParagraphFont"/>
    <w:link w:val="Heading9"/>
    <w:uiPriority w:val="9"/>
    <w:semiHidden/>
    <w:rsid w:val="0042579D"/>
    <w:rPr>
      <w:rFonts w:asciiTheme="majorHAnsi" w:eastAsiaTheme="majorEastAsia" w:hAnsiTheme="majorHAnsi" w:cstheme="majorBidi"/>
      <w:i/>
      <w:iCs/>
      <w:color w:val="404040" w:themeColor="text1" w:themeTint="BF"/>
      <w:sz w:val="20"/>
      <w:szCs w:val="20"/>
      <w:lang w:val="en-US" w:eastAsia="ja-JP"/>
    </w:rPr>
  </w:style>
  <w:style w:type="character" w:styleId="FollowedHyperlink">
    <w:name w:val="FollowedHyperlink"/>
    <w:basedOn w:val="DefaultParagraphFont"/>
    <w:uiPriority w:val="99"/>
    <w:semiHidden/>
    <w:unhideWhenUsed/>
    <w:rsid w:val="0042579D"/>
    <w:rPr>
      <w:color w:val="954F72" w:themeColor="followedHyperlink"/>
      <w:u w:val="single"/>
    </w:rPr>
  </w:style>
  <w:style w:type="character" w:styleId="Strong">
    <w:name w:val="Strong"/>
    <w:basedOn w:val="DefaultParagraphFont"/>
    <w:uiPriority w:val="22"/>
    <w:rsid w:val="0042579D"/>
    <w:rPr>
      <w:b/>
      <w:bCs/>
      <w:color w:val="000000" w:themeColor="text1"/>
    </w:rPr>
  </w:style>
  <w:style w:type="paragraph" w:customStyle="1" w:styleId="msonormal0">
    <w:name w:val="msonormal"/>
    <w:basedOn w:val="Normal"/>
    <w:uiPriority w:val="99"/>
    <w:rsid w:val="0042579D"/>
    <w:pPr>
      <w:spacing w:after="200" w:line="276" w:lineRule="auto"/>
    </w:pPr>
    <w:rPr>
      <w:rFonts w:ascii="Times New Roman" w:hAnsi="Times New Roman" w:cs="Times New Roman"/>
      <w:sz w:val="24"/>
      <w:szCs w:val="24"/>
    </w:rPr>
  </w:style>
  <w:style w:type="paragraph" w:styleId="NormalWeb">
    <w:name w:val="Normal (Web)"/>
    <w:basedOn w:val="Normal"/>
    <w:uiPriority w:val="99"/>
    <w:semiHidden/>
    <w:unhideWhenUsed/>
    <w:rsid w:val="0042579D"/>
    <w:pPr>
      <w:spacing w:after="200" w:line="276" w:lineRule="auto"/>
    </w:pPr>
    <w:rPr>
      <w:rFonts w:ascii="Times New Roman" w:hAnsi="Times New Roman" w:cs="Times New Roman"/>
      <w:sz w:val="24"/>
      <w:szCs w:val="24"/>
    </w:rPr>
  </w:style>
  <w:style w:type="paragraph" w:styleId="Caption">
    <w:name w:val="caption"/>
    <w:basedOn w:val="Normal"/>
    <w:next w:val="Normal"/>
    <w:uiPriority w:val="35"/>
    <w:semiHidden/>
    <w:unhideWhenUsed/>
    <w:qFormat/>
    <w:rsid w:val="0042579D"/>
    <w:pPr>
      <w:spacing w:after="200" w:line="240" w:lineRule="auto"/>
    </w:pPr>
    <w:rPr>
      <w:rFonts w:ascii="Cheltenham" w:eastAsiaTheme="minorEastAsia" w:hAnsi="Cheltenham"/>
      <w:i/>
      <w:iCs/>
      <w:color w:val="44546A" w:themeColor="text2"/>
      <w:sz w:val="18"/>
      <w:szCs w:val="18"/>
      <w:lang w:val="en-US" w:eastAsia="ja-JP"/>
    </w:rPr>
  </w:style>
  <w:style w:type="paragraph" w:styleId="List">
    <w:name w:val="List"/>
    <w:basedOn w:val="Normal"/>
    <w:uiPriority w:val="99"/>
    <w:semiHidden/>
    <w:unhideWhenUsed/>
    <w:rsid w:val="0042579D"/>
    <w:pPr>
      <w:spacing w:line="256" w:lineRule="auto"/>
      <w:ind w:left="283" w:hanging="283"/>
      <w:contextualSpacing/>
    </w:pPr>
    <w:rPr>
      <w:rFonts w:ascii="Cheltenham" w:eastAsiaTheme="minorEastAsia" w:hAnsi="Cheltenham"/>
      <w:lang w:val="en-US" w:eastAsia="ja-JP"/>
    </w:rPr>
  </w:style>
  <w:style w:type="paragraph" w:styleId="ListBullet">
    <w:name w:val="List Bullet"/>
    <w:basedOn w:val="Normal"/>
    <w:uiPriority w:val="99"/>
    <w:unhideWhenUsed/>
    <w:rsid w:val="0042579D"/>
    <w:pPr>
      <w:numPr>
        <w:numId w:val="123"/>
      </w:numPr>
      <w:spacing w:line="256" w:lineRule="auto"/>
      <w:contextualSpacing/>
    </w:pPr>
    <w:rPr>
      <w:rFonts w:ascii="Cheltenham" w:eastAsiaTheme="minorEastAsia" w:hAnsi="Cheltenham"/>
      <w:lang w:val="en-US" w:eastAsia="ja-JP"/>
    </w:rPr>
  </w:style>
  <w:style w:type="paragraph" w:styleId="List2">
    <w:name w:val="List 2"/>
    <w:basedOn w:val="List"/>
    <w:uiPriority w:val="99"/>
    <w:unhideWhenUsed/>
    <w:rsid w:val="0042579D"/>
    <w:pPr>
      <w:spacing w:before="240" w:after="0" w:line="240" w:lineRule="auto"/>
      <w:ind w:left="1134" w:hanging="567"/>
      <w:contextualSpacing w:val="0"/>
      <w:jc w:val="both"/>
    </w:pPr>
    <w:rPr>
      <w:rFonts w:ascii="Optima" w:eastAsia="Calibri" w:hAnsi="Optima" w:cs="Times New Roman"/>
      <w:color w:val="000034"/>
      <w:sz w:val="24"/>
      <w:szCs w:val="24"/>
      <w:lang w:val="en-AU" w:eastAsia="en-US"/>
    </w:rPr>
  </w:style>
  <w:style w:type="paragraph" w:styleId="BodyText">
    <w:name w:val="Body Text"/>
    <w:basedOn w:val="Normal"/>
    <w:link w:val="BodyTextChar"/>
    <w:uiPriority w:val="99"/>
    <w:unhideWhenUsed/>
    <w:rsid w:val="0042579D"/>
    <w:pPr>
      <w:spacing w:after="120" w:line="276" w:lineRule="auto"/>
    </w:pPr>
    <w:rPr>
      <w:rFonts w:ascii="Cheltenham" w:hAnsi="Cheltenham"/>
    </w:rPr>
  </w:style>
  <w:style w:type="character" w:customStyle="1" w:styleId="BodyTextChar">
    <w:name w:val="Body Text Char"/>
    <w:basedOn w:val="DefaultParagraphFont"/>
    <w:link w:val="BodyText"/>
    <w:uiPriority w:val="99"/>
    <w:rsid w:val="0042579D"/>
    <w:rPr>
      <w:rFonts w:ascii="Cheltenham" w:hAnsi="Cheltenham"/>
    </w:rPr>
  </w:style>
  <w:style w:type="paragraph" w:styleId="BodyTextIndent">
    <w:name w:val="Body Text Indent"/>
    <w:basedOn w:val="Normal"/>
    <w:link w:val="BodyTextIndentChar"/>
    <w:uiPriority w:val="99"/>
    <w:unhideWhenUsed/>
    <w:rsid w:val="0042579D"/>
    <w:pPr>
      <w:tabs>
        <w:tab w:val="left" w:pos="454"/>
        <w:tab w:val="left" w:pos="851"/>
        <w:tab w:val="left" w:pos="1418"/>
        <w:tab w:val="left" w:pos="1985"/>
        <w:tab w:val="left" w:pos="2552"/>
      </w:tabs>
      <w:spacing w:after="0" w:line="240" w:lineRule="exact"/>
      <w:ind w:left="720" w:hanging="720"/>
    </w:pPr>
    <w:rPr>
      <w:rFonts w:ascii="Times New Roman" w:eastAsia="Times New Roman" w:hAnsi="Times New Roman" w:cs="Times New Roman"/>
      <w:sz w:val="24"/>
      <w:szCs w:val="20"/>
      <w:lang w:val="en-GB"/>
    </w:rPr>
  </w:style>
  <w:style w:type="character" w:customStyle="1" w:styleId="BodyTextIndentChar">
    <w:name w:val="Body Text Indent Char"/>
    <w:basedOn w:val="DefaultParagraphFont"/>
    <w:link w:val="BodyTextIndent"/>
    <w:uiPriority w:val="99"/>
    <w:rsid w:val="0042579D"/>
    <w:rPr>
      <w:rFonts w:ascii="Times New Roman" w:eastAsia="Times New Roman" w:hAnsi="Times New Roman" w:cs="Times New Roman"/>
      <w:sz w:val="24"/>
      <w:szCs w:val="20"/>
      <w:lang w:val="en-GB"/>
    </w:rPr>
  </w:style>
  <w:style w:type="paragraph" w:styleId="BodyText2">
    <w:name w:val="Body Text 2"/>
    <w:basedOn w:val="Normal"/>
    <w:link w:val="BodyText2Char"/>
    <w:uiPriority w:val="99"/>
    <w:unhideWhenUsed/>
    <w:rsid w:val="0042579D"/>
    <w:pPr>
      <w:tabs>
        <w:tab w:val="left" w:pos="426"/>
        <w:tab w:val="left" w:pos="851"/>
        <w:tab w:val="left" w:pos="1276"/>
        <w:tab w:val="left" w:pos="1701"/>
        <w:tab w:val="left" w:pos="2127"/>
        <w:tab w:val="left" w:pos="2552"/>
      </w:tabs>
      <w:spacing w:after="0" w:line="240" w:lineRule="auto"/>
    </w:pPr>
    <w:rPr>
      <w:rFonts w:ascii="Arial" w:eastAsia="Times New Roman" w:hAnsi="Arial" w:cs="Times New Roman"/>
      <w:noProof/>
      <w:szCs w:val="20"/>
    </w:rPr>
  </w:style>
  <w:style w:type="character" w:customStyle="1" w:styleId="BodyText2Char">
    <w:name w:val="Body Text 2 Char"/>
    <w:basedOn w:val="DefaultParagraphFont"/>
    <w:link w:val="BodyText2"/>
    <w:uiPriority w:val="99"/>
    <w:rsid w:val="0042579D"/>
    <w:rPr>
      <w:rFonts w:ascii="Arial" w:eastAsia="Times New Roman" w:hAnsi="Arial" w:cs="Times New Roman"/>
      <w:noProof/>
      <w:szCs w:val="20"/>
    </w:rPr>
  </w:style>
  <w:style w:type="paragraph" w:styleId="BodyTextIndent2">
    <w:name w:val="Body Text Indent 2"/>
    <w:basedOn w:val="Normal"/>
    <w:link w:val="BodyTextIndent2Char"/>
    <w:uiPriority w:val="99"/>
    <w:unhideWhenUsed/>
    <w:rsid w:val="0042579D"/>
    <w:pPr>
      <w:tabs>
        <w:tab w:val="left" w:pos="454"/>
        <w:tab w:val="left" w:pos="851"/>
        <w:tab w:val="left" w:pos="1418"/>
        <w:tab w:val="left" w:pos="1985"/>
        <w:tab w:val="left" w:pos="2552"/>
      </w:tabs>
      <w:spacing w:after="0" w:line="240" w:lineRule="exact"/>
      <w:ind w:left="1440" w:hanging="1008"/>
    </w:pPr>
    <w:rPr>
      <w:rFonts w:ascii="Times New Roman" w:eastAsia="Times New Roman" w:hAnsi="Times New Roman" w:cs="Times New Roman"/>
      <w:sz w:val="24"/>
      <w:szCs w:val="20"/>
      <w:lang w:val="en-GB"/>
    </w:rPr>
  </w:style>
  <w:style w:type="character" w:customStyle="1" w:styleId="BodyTextIndent2Char">
    <w:name w:val="Body Text Indent 2 Char"/>
    <w:basedOn w:val="DefaultParagraphFont"/>
    <w:link w:val="BodyTextIndent2"/>
    <w:uiPriority w:val="99"/>
    <w:rsid w:val="0042579D"/>
    <w:rPr>
      <w:rFonts w:ascii="Times New Roman" w:eastAsia="Times New Roman" w:hAnsi="Times New Roman" w:cs="Times New Roman"/>
      <w:sz w:val="24"/>
      <w:szCs w:val="20"/>
      <w:lang w:val="en-GB"/>
    </w:rPr>
  </w:style>
  <w:style w:type="paragraph" w:styleId="BodyTextIndent3">
    <w:name w:val="Body Text Indent 3"/>
    <w:basedOn w:val="Normal"/>
    <w:link w:val="BodyTextIndent3Char"/>
    <w:uiPriority w:val="99"/>
    <w:unhideWhenUsed/>
    <w:rsid w:val="0042579D"/>
    <w:pPr>
      <w:tabs>
        <w:tab w:val="left" w:pos="454"/>
        <w:tab w:val="left" w:pos="851"/>
        <w:tab w:val="left" w:pos="1418"/>
        <w:tab w:val="left" w:pos="1985"/>
        <w:tab w:val="left" w:pos="2552"/>
      </w:tabs>
      <w:spacing w:after="0" w:line="240" w:lineRule="exact"/>
      <w:ind w:left="1440" w:hanging="720"/>
    </w:pPr>
    <w:rPr>
      <w:rFonts w:ascii="Times New Roman" w:eastAsia="Times New Roman" w:hAnsi="Times New Roman" w:cs="Times New Roman"/>
      <w:sz w:val="24"/>
      <w:szCs w:val="20"/>
      <w:lang w:val="en-GB"/>
    </w:rPr>
  </w:style>
  <w:style w:type="character" w:customStyle="1" w:styleId="BodyTextIndent3Char">
    <w:name w:val="Body Text Indent 3 Char"/>
    <w:basedOn w:val="DefaultParagraphFont"/>
    <w:link w:val="BodyTextIndent3"/>
    <w:uiPriority w:val="99"/>
    <w:rsid w:val="0042579D"/>
    <w:rPr>
      <w:rFonts w:ascii="Times New Roman" w:eastAsia="Times New Roman" w:hAnsi="Times New Roman" w:cs="Times New Roman"/>
      <w:sz w:val="24"/>
      <w:szCs w:val="20"/>
      <w:lang w:val="en-GB"/>
    </w:rPr>
  </w:style>
  <w:style w:type="paragraph" w:styleId="BlockText">
    <w:name w:val="Block Text"/>
    <w:basedOn w:val="Normal"/>
    <w:uiPriority w:val="99"/>
    <w:semiHidden/>
    <w:unhideWhenUsed/>
    <w:rsid w:val="0042579D"/>
    <w:pPr>
      <w:tabs>
        <w:tab w:val="decimal" w:pos="5850"/>
        <w:tab w:val="decimal" w:pos="7200"/>
      </w:tabs>
      <w:spacing w:after="0" w:line="240" w:lineRule="auto"/>
      <w:ind w:left="360" w:right="-331" w:hanging="360"/>
      <w:jc w:val="both"/>
    </w:pPr>
    <w:rPr>
      <w:rFonts w:ascii="Times New Roman" w:eastAsia="Times New Roman" w:hAnsi="Times New Roman" w:cs="Times New Roman"/>
      <w:sz w:val="24"/>
      <w:szCs w:val="20"/>
    </w:rPr>
  </w:style>
  <w:style w:type="paragraph" w:styleId="PlainText">
    <w:name w:val="Plain Text"/>
    <w:basedOn w:val="Normal"/>
    <w:link w:val="PlainTextChar"/>
    <w:uiPriority w:val="99"/>
    <w:unhideWhenUsed/>
    <w:rsid w:val="0042579D"/>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42579D"/>
    <w:rPr>
      <w:rFonts w:ascii="Calibri" w:hAnsi="Calibri"/>
      <w:szCs w:val="21"/>
    </w:rPr>
  </w:style>
  <w:style w:type="paragraph" w:styleId="CommentSubject">
    <w:name w:val="annotation subject"/>
    <w:basedOn w:val="CommentText"/>
    <w:next w:val="CommentText"/>
    <w:link w:val="CommentSubjectChar"/>
    <w:uiPriority w:val="99"/>
    <w:unhideWhenUsed/>
    <w:rsid w:val="0042579D"/>
    <w:pPr>
      <w:spacing w:after="200"/>
      <w:jc w:val="left"/>
    </w:pPr>
    <w:rPr>
      <w:rFonts w:asciiTheme="minorHAnsi" w:hAnsiTheme="minorHAnsi"/>
      <w:b/>
      <w:bCs/>
    </w:rPr>
  </w:style>
  <w:style w:type="character" w:customStyle="1" w:styleId="CommentSubjectChar">
    <w:name w:val="Comment Subject Char"/>
    <w:basedOn w:val="CommentTextChar"/>
    <w:link w:val="CommentSubject"/>
    <w:uiPriority w:val="99"/>
    <w:rsid w:val="0042579D"/>
    <w:rPr>
      <w:rFonts w:ascii="Cheltenham" w:hAnsi="Cheltenham"/>
      <w:b/>
      <w:bCs/>
      <w:sz w:val="20"/>
      <w:szCs w:val="20"/>
      <w:lang w:val="en-US"/>
    </w:rPr>
  </w:style>
  <w:style w:type="paragraph" w:styleId="Revision">
    <w:name w:val="Revision"/>
    <w:uiPriority w:val="99"/>
    <w:semiHidden/>
    <w:rsid w:val="0042579D"/>
    <w:pPr>
      <w:spacing w:after="0" w:line="240" w:lineRule="auto"/>
    </w:pPr>
    <w:rPr>
      <w:rFonts w:ascii="Times New Roman" w:eastAsia="Times New Roman" w:hAnsi="Times New Roman" w:cs="Times New Roman"/>
      <w:noProof/>
      <w:sz w:val="24"/>
      <w:szCs w:val="20"/>
    </w:rPr>
  </w:style>
  <w:style w:type="paragraph" w:styleId="Quote">
    <w:name w:val="Quote"/>
    <w:basedOn w:val="Normal"/>
    <w:next w:val="Normal"/>
    <w:link w:val="QuoteChar"/>
    <w:uiPriority w:val="29"/>
    <w:rsid w:val="0042579D"/>
    <w:pPr>
      <w:spacing w:before="160" w:line="256" w:lineRule="auto"/>
      <w:ind w:left="720" w:right="720"/>
    </w:pPr>
    <w:rPr>
      <w:rFonts w:ascii="Cheltenham" w:eastAsiaTheme="minorEastAsia" w:hAnsi="Cheltenham"/>
      <w:i/>
      <w:iCs/>
      <w:color w:val="000000" w:themeColor="text1"/>
      <w:lang w:val="en-US" w:eastAsia="ja-JP"/>
    </w:rPr>
  </w:style>
  <w:style w:type="character" w:customStyle="1" w:styleId="QuoteChar">
    <w:name w:val="Quote Char"/>
    <w:basedOn w:val="DefaultParagraphFont"/>
    <w:link w:val="Quote"/>
    <w:uiPriority w:val="29"/>
    <w:rsid w:val="0042579D"/>
    <w:rPr>
      <w:rFonts w:ascii="Cheltenham" w:eastAsiaTheme="minorEastAsia" w:hAnsi="Cheltenham"/>
      <w:i/>
      <w:iCs/>
      <w:color w:val="000000" w:themeColor="text1"/>
      <w:lang w:val="en-US" w:eastAsia="ja-JP"/>
    </w:rPr>
  </w:style>
  <w:style w:type="paragraph" w:styleId="IntenseQuote">
    <w:name w:val="Intense Quote"/>
    <w:basedOn w:val="Normal"/>
    <w:next w:val="Normal"/>
    <w:link w:val="IntenseQuoteChar"/>
    <w:uiPriority w:val="30"/>
    <w:rsid w:val="0042579D"/>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line="256" w:lineRule="auto"/>
      <w:ind w:left="936" w:right="936"/>
      <w:jc w:val="center"/>
    </w:pPr>
    <w:rPr>
      <w:rFonts w:ascii="Cheltenham" w:eastAsiaTheme="minorEastAsia" w:hAnsi="Cheltenham"/>
      <w:color w:val="000000" w:themeColor="text1"/>
      <w:lang w:val="en-US" w:eastAsia="ja-JP"/>
    </w:rPr>
  </w:style>
  <w:style w:type="character" w:customStyle="1" w:styleId="IntenseQuoteChar">
    <w:name w:val="Intense Quote Char"/>
    <w:basedOn w:val="DefaultParagraphFont"/>
    <w:link w:val="IntenseQuote"/>
    <w:uiPriority w:val="30"/>
    <w:rsid w:val="0042579D"/>
    <w:rPr>
      <w:rFonts w:ascii="Cheltenham" w:eastAsiaTheme="minorEastAsia" w:hAnsi="Cheltenham"/>
      <w:color w:val="000000" w:themeColor="text1"/>
      <w:shd w:val="clear" w:color="auto" w:fill="F2F2F2" w:themeFill="background1" w:themeFillShade="F2"/>
      <w:lang w:val="en-US" w:eastAsia="ja-JP"/>
    </w:rPr>
  </w:style>
  <w:style w:type="paragraph" w:styleId="TOCHeading">
    <w:name w:val="TOC Heading"/>
    <w:basedOn w:val="Heading1"/>
    <w:next w:val="Normal"/>
    <w:uiPriority w:val="39"/>
    <w:unhideWhenUsed/>
    <w:qFormat/>
    <w:rsid w:val="0042579D"/>
    <w:pPr>
      <w:pBdr>
        <w:bottom w:val="single" w:sz="4" w:space="1" w:color="595959" w:themeColor="text1" w:themeTint="A6"/>
      </w:pBdr>
      <w:spacing w:before="360" w:after="160" w:line="256" w:lineRule="auto"/>
      <w:ind w:left="432" w:hanging="432"/>
      <w:outlineLvl w:val="9"/>
    </w:pPr>
    <w:rPr>
      <w:rFonts w:asciiTheme="majorHAnsi" w:hAnsiTheme="majorHAnsi"/>
      <w:bCs/>
      <w:caps w:val="0"/>
      <w:smallCaps/>
      <w:color w:val="000000" w:themeColor="text1"/>
      <w:sz w:val="36"/>
      <w:szCs w:val="36"/>
      <w:lang w:val="en-US" w:eastAsia="ja-JP"/>
    </w:rPr>
  </w:style>
  <w:style w:type="character" w:customStyle="1" w:styleId="BOR2Char">
    <w:name w:val="BOR 2 Char"/>
    <w:basedOn w:val="DefaultParagraphFont"/>
    <w:link w:val="BOR2"/>
    <w:locked/>
    <w:rsid w:val="0042579D"/>
    <w:rPr>
      <w:rFonts w:ascii="Georgia" w:hAnsi="Georgia"/>
    </w:rPr>
  </w:style>
  <w:style w:type="paragraph" w:customStyle="1" w:styleId="BOR2">
    <w:name w:val="BOR 2"/>
    <w:basedOn w:val="Normal"/>
    <w:link w:val="BOR2Char"/>
    <w:rsid w:val="0042579D"/>
    <w:pPr>
      <w:spacing w:line="252" w:lineRule="auto"/>
      <w:ind w:left="567"/>
      <w:jc w:val="both"/>
    </w:pPr>
    <w:rPr>
      <w:rFonts w:ascii="Georgia" w:hAnsi="Georgia"/>
    </w:rPr>
  </w:style>
  <w:style w:type="paragraph" w:customStyle="1" w:styleId="p4">
    <w:name w:val="p4"/>
    <w:basedOn w:val="Normal"/>
    <w:uiPriority w:val="99"/>
    <w:rsid w:val="0042579D"/>
    <w:pPr>
      <w:widowControl w:val="0"/>
      <w:tabs>
        <w:tab w:val="left" w:pos="4260"/>
        <w:tab w:val="left" w:pos="4480"/>
      </w:tabs>
      <w:snapToGrid w:val="0"/>
      <w:spacing w:after="0" w:line="200" w:lineRule="atLeast"/>
      <w:ind w:left="3024" w:hanging="144"/>
    </w:pPr>
    <w:rPr>
      <w:rFonts w:ascii="Times New Roman" w:eastAsia="Times New Roman" w:hAnsi="Times New Roman" w:cs="Times New Roman"/>
      <w:sz w:val="24"/>
      <w:szCs w:val="20"/>
    </w:rPr>
  </w:style>
  <w:style w:type="paragraph" w:customStyle="1" w:styleId="Achievement">
    <w:name w:val="Achievement"/>
    <w:basedOn w:val="Normal"/>
    <w:uiPriority w:val="99"/>
    <w:rsid w:val="0042579D"/>
    <w:pPr>
      <w:numPr>
        <w:numId w:val="124"/>
      </w:numPr>
      <w:spacing w:after="0" w:line="240" w:lineRule="auto"/>
      <w:ind w:right="245"/>
    </w:pPr>
    <w:rPr>
      <w:rFonts w:ascii="Times New Roman" w:eastAsia="MS Mincho" w:hAnsi="Times New Roman" w:cs="Times New Roman"/>
      <w:sz w:val="24"/>
      <w:szCs w:val="24"/>
      <w:lang w:eastAsia="ja-JP"/>
    </w:rPr>
  </w:style>
  <w:style w:type="character" w:customStyle="1" w:styleId="IntermediateactionChar">
    <w:name w:val="Intermediate action Char"/>
    <w:link w:val="Intermediateaction"/>
    <w:locked/>
    <w:rsid w:val="0042579D"/>
    <w:rPr>
      <w:rFonts w:ascii="Calibri" w:eastAsia="PMingLiU" w:hAnsi="Calibri" w:cs="Times New Roman"/>
      <w:b/>
      <w:bCs/>
      <w:color w:val="FF0000"/>
      <w:lang w:eastAsia="zh-TW"/>
    </w:rPr>
  </w:style>
  <w:style w:type="paragraph" w:customStyle="1" w:styleId="Intermediateaction">
    <w:name w:val="Intermediate action"/>
    <w:basedOn w:val="Normal"/>
    <w:link w:val="IntermediateactionChar"/>
    <w:rsid w:val="0042579D"/>
    <w:pPr>
      <w:spacing w:after="200" w:line="276" w:lineRule="auto"/>
      <w:ind w:left="720"/>
      <w:contextualSpacing/>
    </w:pPr>
    <w:rPr>
      <w:rFonts w:ascii="Calibri" w:eastAsia="PMingLiU" w:hAnsi="Calibri" w:cs="Times New Roman"/>
      <w:b/>
      <w:bCs/>
      <w:color w:val="FF0000"/>
      <w:lang w:eastAsia="zh-TW"/>
    </w:rPr>
  </w:style>
  <w:style w:type="paragraph" w:customStyle="1" w:styleId="Body1">
    <w:name w:val="Body 1"/>
    <w:uiPriority w:val="99"/>
    <w:rsid w:val="0042579D"/>
    <w:pPr>
      <w:spacing w:after="200" w:line="276" w:lineRule="auto"/>
      <w:outlineLvl w:val="0"/>
    </w:pPr>
    <w:rPr>
      <w:rFonts w:ascii="Helvetica" w:eastAsia="Arial Unicode MS" w:hAnsi="Helvetica" w:cs="Times New Roman"/>
      <w:color w:val="000000"/>
      <w:szCs w:val="20"/>
      <w:u w:color="000000"/>
      <w:lang w:val="en-US"/>
    </w:rPr>
  </w:style>
  <w:style w:type="character" w:customStyle="1" w:styleId="HEADINGBORChar">
    <w:name w:val="HEADING BOR Char"/>
    <w:basedOn w:val="Heading1Char"/>
    <w:link w:val="HEADINGBOR"/>
    <w:locked/>
    <w:rsid w:val="0042579D"/>
    <w:rPr>
      <w:rFonts w:ascii="Georgia" w:eastAsiaTheme="majorEastAsia" w:hAnsi="Georgia" w:cstheme="majorBidi"/>
      <w:b w:val="0"/>
      <w:caps w:val="0"/>
      <w:color w:val="000000" w:themeColor="text1"/>
      <w:sz w:val="36"/>
      <w:szCs w:val="36"/>
      <w:lang w:val="en-US" w:eastAsia="ja-JP"/>
    </w:rPr>
  </w:style>
  <w:style w:type="paragraph" w:customStyle="1" w:styleId="HEADINGBOR">
    <w:name w:val="HEADING BOR"/>
    <w:basedOn w:val="Heading1"/>
    <w:link w:val="HEADINGBORChar"/>
    <w:qFormat/>
    <w:rsid w:val="0042579D"/>
    <w:pPr>
      <w:pBdr>
        <w:bottom w:val="single" w:sz="4" w:space="1" w:color="595959" w:themeColor="text1" w:themeTint="A6"/>
      </w:pBdr>
      <w:spacing w:before="360" w:after="160" w:line="256" w:lineRule="auto"/>
      <w:ind w:left="432" w:hanging="432"/>
    </w:pPr>
    <w:rPr>
      <w:rFonts w:ascii="Georgia" w:hAnsi="Georgia"/>
      <w:b w:val="0"/>
      <w:caps w:val="0"/>
      <w:color w:val="000000" w:themeColor="text1"/>
      <w:sz w:val="36"/>
      <w:szCs w:val="36"/>
      <w:lang w:val="en-US" w:eastAsia="ja-JP"/>
    </w:rPr>
  </w:style>
  <w:style w:type="character" w:customStyle="1" w:styleId="headsubChar">
    <w:name w:val="head sub Char"/>
    <w:basedOn w:val="BORChar"/>
    <w:link w:val="headsub"/>
    <w:locked/>
    <w:rsid w:val="0042579D"/>
    <w:rPr>
      <w:rFonts w:ascii="Georgia" w:hAnsi="Georgia"/>
      <w:b/>
      <w:sz w:val="28"/>
      <w:szCs w:val="28"/>
    </w:rPr>
  </w:style>
  <w:style w:type="paragraph" w:customStyle="1" w:styleId="headsub">
    <w:name w:val="head sub"/>
    <w:basedOn w:val="BOR"/>
    <w:link w:val="headsubChar"/>
    <w:rsid w:val="0042579D"/>
    <w:pPr>
      <w:spacing w:after="0" w:line="22" w:lineRule="atLeast"/>
      <w:jc w:val="left"/>
    </w:pPr>
    <w:rPr>
      <w:b/>
      <w:sz w:val="28"/>
      <w:szCs w:val="28"/>
    </w:rPr>
  </w:style>
  <w:style w:type="character" w:customStyle="1" w:styleId="subheadChar">
    <w:name w:val="subhead Char"/>
    <w:basedOn w:val="DefaultParagraphFont"/>
    <w:link w:val="subhead"/>
    <w:locked/>
    <w:rsid w:val="0042579D"/>
    <w:rPr>
      <w:rFonts w:ascii="Georgia" w:hAnsi="Georgia"/>
      <w:b/>
      <w:sz w:val="24"/>
      <w:szCs w:val="24"/>
    </w:rPr>
  </w:style>
  <w:style w:type="paragraph" w:customStyle="1" w:styleId="subhead">
    <w:name w:val="subhead"/>
    <w:basedOn w:val="Normal"/>
    <w:link w:val="subheadChar"/>
    <w:rsid w:val="0042579D"/>
    <w:pPr>
      <w:spacing w:after="0" w:line="240" w:lineRule="auto"/>
      <w:ind w:left="360"/>
    </w:pPr>
    <w:rPr>
      <w:rFonts w:ascii="Georgia" w:hAnsi="Georgia"/>
      <w:b/>
      <w:sz w:val="24"/>
      <w:szCs w:val="24"/>
    </w:rPr>
  </w:style>
  <w:style w:type="paragraph" w:customStyle="1" w:styleId="chapter-1">
    <w:name w:val="chapter-1"/>
    <w:basedOn w:val="Normal"/>
    <w:uiPriority w:val="99"/>
    <w:rsid w:val="0042579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
    <w:name w:val="Body"/>
    <w:uiPriority w:val="99"/>
    <w:rsid w:val="0042579D"/>
    <w:pPr>
      <w:spacing w:after="0" w:line="240" w:lineRule="auto"/>
    </w:pPr>
    <w:rPr>
      <w:rFonts w:ascii="Helvetica" w:eastAsia="Arial Unicode MS" w:hAnsi="Arial Unicode MS" w:cs="Arial Unicode MS"/>
      <w:color w:val="000000"/>
      <w:lang w:val="en-US" w:eastAsia="en-AU"/>
    </w:rPr>
  </w:style>
  <w:style w:type="paragraph" w:customStyle="1" w:styleId="c1">
    <w:name w:val="c1"/>
    <w:basedOn w:val="Normal"/>
    <w:uiPriority w:val="99"/>
    <w:rsid w:val="0042579D"/>
    <w:pPr>
      <w:widowControl w:val="0"/>
      <w:snapToGrid w:val="0"/>
      <w:spacing w:after="0" w:line="240" w:lineRule="atLeast"/>
      <w:jc w:val="center"/>
    </w:pPr>
    <w:rPr>
      <w:rFonts w:ascii="Times New Roman" w:eastAsia="Times New Roman" w:hAnsi="Times New Roman" w:cs="Times New Roman"/>
      <w:sz w:val="24"/>
      <w:szCs w:val="20"/>
    </w:rPr>
  </w:style>
  <w:style w:type="paragraph" w:customStyle="1" w:styleId="c2">
    <w:name w:val="c2"/>
    <w:basedOn w:val="Normal"/>
    <w:uiPriority w:val="99"/>
    <w:rsid w:val="0042579D"/>
    <w:pPr>
      <w:widowControl w:val="0"/>
      <w:snapToGrid w:val="0"/>
      <w:spacing w:after="0" w:line="240" w:lineRule="atLeast"/>
      <w:jc w:val="center"/>
    </w:pPr>
    <w:rPr>
      <w:rFonts w:ascii="Times New Roman" w:eastAsia="Times New Roman" w:hAnsi="Times New Roman" w:cs="Times New Roman"/>
      <w:sz w:val="24"/>
      <w:szCs w:val="20"/>
    </w:rPr>
  </w:style>
  <w:style w:type="paragraph" w:customStyle="1" w:styleId="c3">
    <w:name w:val="c3"/>
    <w:basedOn w:val="Normal"/>
    <w:uiPriority w:val="99"/>
    <w:rsid w:val="0042579D"/>
    <w:pPr>
      <w:widowControl w:val="0"/>
      <w:snapToGrid w:val="0"/>
      <w:spacing w:after="0" w:line="240" w:lineRule="atLeast"/>
      <w:jc w:val="center"/>
    </w:pPr>
    <w:rPr>
      <w:rFonts w:ascii="Times New Roman" w:eastAsia="Times New Roman" w:hAnsi="Times New Roman" w:cs="Times New Roman"/>
      <w:sz w:val="24"/>
      <w:szCs w:val="20"/>
    </w:rPr>
  </w:style>
  <w:style w:type="paragraph" w:customStyle="1" w:styleId="c5">
    <w:name w:val="c5"/>
    <w:basedOn w:val="Normal"/>
    <w:uiPriority w:val="99"/>
    <w:rsid w:val="0042579D"/>
    <w:pPr>
      <w:widowControl w:val="0"/>
      <w:snapToGrid w:val="0"/>
      <w:spacing w:after="0" w:line="240" w:lineRule="atLeast"/>
      <w:jc w:val="center"/>
    </w:pPr>
    <w:rPr>
      <w:rFonts w:ascii="Times New Roman" w:eastAsia="Times New Roman" w:hAnsi="Times New Roman" w:cs="Times New Roman"/>
      <w:sz w:val="24"/>
      <w:szCs w:val="20"/>
    </w:rPr>
  </w:style>
  <w:style w:type="paragraph" w:customStyle="1" w:styleId="p16">
    <w:name w:val="p16"/>
    <w:basedOn w:val="Normal"/>
    <w:uiPriority w:val="99"/>
    <w:rsid w:val="0042579D"/>
    <w:pPr>
      <w:widowControl w:val="0"/>
      <w:tabs>
        <w:tab w:val="left" w:pos="4260"/>
        <w:tab w:val="left" w:pos="4480"/>
      </w:tabs>
      <w:snapToGrid w:val="0"/>
      <w:spacing w:after="0" w:line="200" w:lineRule="atLeast"/>
      <w:ind w:left="3024" w:hanging="144"/>
      <w:jc w:val="both"/>
    </w:pPr>
    <w:rPr>
      <w:rFonts w:ascii="Times New Roman" w:eastAsia="Times New Roman" w:hAnsi="Times New Roman" w:cs="Times New Roman"/>
      <w:sz w:val="24"/>
      <w:szCs w:val="20"/>
    </w:rPr>
  </w:style>
  <w:style w:type="paragraph" w:customStyle="1" w:styleId="p18">
    <w:name w:val="p18"/>
    <w:basedOn w:val="Normal"/>
    <w:uiPriority w:val="99"/>
    <w:rsid w:val="0042579D"/>
    <w:pPr>
      <w:widowControl w:val="0"/>
      <w:tabs>
        <w:tab w:val="left" w:pos="4740"/>
      </w:tabs>
      <w:snapToGrid w:val="0"/>
      <w:spacing w:after="0" w:line="200" w:lineRule="atLeast"/>
      <w:ind w:left="3312" w:hanging="288"/>
      <w:jc w:val="both"/>
    </w:pPr>
    <w:rPr>
      <w:rFonts w:ascii="Times New Roman" w:eastAsia="Times New Roman" w:hAnsi="Times New Roman" w:cs="Times New Roman"/>
      <w:sz w:val="24"/>
      <w:szCs w:val="20"/>
    </w:rPr>
  </w:style>
  <w:style w:type="paragraph" w:customStyle="1" w:styleId="p19">
    <w:name w:val="p19"/>
    <w:basedOn w:val="Normal"/>
    <w:uiPriority w:val="99"/>
    <w:rsid w:val="0042579D"/>
    <w:pPr>
      <w:widowControl w:val="0"/>
      <w:snapToGrid w:val="0"/>
      <w:spacing w:after="0" w:line="200" w:lineRule="atLeast"/>
      <w:ind w:left="3040"/>
      <w:jc w:val="both"/>
    </w:pPr>
    <w:rPr>
      <w:rFonts w:ascii="Times New Roman" w:eastAsia="Times New Roman" w:hAnsi="Times New Roman" w:cs="Times New Roman"/>
      <w:sz w:val="24"/>
      <w:szCs w:val="20"/>
    </w:rPr>
  </w:style>
  <w:style w:type="paragraph" w:customStyle="1" w:styleId="p22">
    <w:name w:val="p22"/>
    <w:basedOn w:val="Normal"/>
    <w:uiPriority w:val="99"/>
    <w:rsid w:val="0042579D"/>
    <w:pPr>
      <w:widowControl w:val="0"/>
      <w:tabs>
        <w:tab w:val="left" w:pos="4260"/>
      </w:tabs>
      <w:snapToGrid w:val="0"/>
      <w:spacing w:after="0" w:line="240" w:lineRule="atLeast"/>
      <w:ind w:left="2820"/>
      <w:jc w:val="both"/>
    </w:pPr>
    <w:rPr>
      <w:rFonts w:ascii="Times New Roman" w:eastAsia="Times New Roman" w:hAnsi="Times New Roman" w:cs="Times New Roman"/>
      <w:sz w:val="24"/>
      <w:szCs w:val="20"/>
    </w:rPr>
  </w:style>
  <w:style w:type="paragraph" w:customStyle="1" w:styleId="p23">
    <w:name w:val="p23"/>
    <w:basedOn w:val="Normal"/>
    <w:uiPriority w:val="99"/>
    <w:rsid w:val="0042579D"/>
    <w:pPr>
      <w:widowControl w:val="0"/>
      <w:tabs>
        <w:tab w:val="left" w:pos="4520"/>
        <w:tab w:val="left" w:pos="4780"/>
      </w:tabs>
      <w:snapToGrid w:val="0"/>
      <w:spacing w:after="0" w:line="240" w:lineRule="atLeast"/>
      <w:ind w:left="3312" w:hanging="288"/>
      <w:jc w:val="both"/>
    </w:pPr>
    <w:rPr>
      <w:rFonts w:ascii="Times New Roman" w:eastAsia="Times New Roman" w:hAnsi="Times New Roman" w:cs="Times New Roman"/>
      <w:sz w:val="24"/>
      <w:szCs w:val="20"/>
    </w:rPr>
  </w:style>
  <w:style w:type="paragraph" w:customStyle="1" w:styleId="p24">
    <w:name w:val="p24"/>
    <w:basedOn w:val="Normal"/>
    <w:uiPriority w:val="99"/>
    <w:rsid w:val="0042579D"/>
    <w:pPr>
      <w:widowControl w:val="0"/>
      <w:tabs>
        <w:tab w:val="left" w:pos="4260"/>
      </w:tabs>
      <w:snapToGrid w:val="0"/>
      <w:spacing w:after="0" w:line="200" w:lineRule="atLeast"/>
      <w:ind w:left="3312" w:hanging="432"/>
      <w:jc w:val="both"/>
    </w:pPr>
    <w:rPr>
      <w:rFonts w:ascii="Times New Roman" w:eastAsia="Times New Roman" w:hAnsi="Times New Roman" w:cs="Times New Roman"/>
      <w:sz w:val="24"/>
      <w:szCs w:val="20"/>
    </w:rPr>
  </w:style>
  <w:style w:type="paragraph" w:customStyle="1" w:styleId="p26">
    <w:name w:val="p26"/>
    <w:basedOn w:val="Normal"/>
    <w:uiPriority w:val="99"/>
    <w:rsid w:val="0042579D"/>
    <w:pPr>
      <w:widowControl w:val="0"/>
      <w:tabs>
        <w:tab w:val="left" w:pos="4020"/>
        <w:tab w:val="left" w:pos="4300"/>
      </w:tabs>
      <w:snapToGrid w:val="0"/>
      <w:spacing w:after="0" w:line="200" w:lineRule="atLeast"/>
      <w:ind w:left="2880" w:hanging="288"/>
    </w:pPr>
    <w:rPr>
      <w:rFonts w:ascii="Times New Roman" w:eastAsia="Times New Roman" w:hAnsi="Times New Roman" w:cs="Times New Roman"/>
      <w:sz w:val="24"/>
      <w:szCs w:val="20"/>
    </w:rPr>
  </w:style>
  <w:style w:type="paragraph" w:customStyle="1" w:styleId="p27">
    <w:name w:val="p27"/>
    <w:basedOn w:val="Normal"/>
    <w:uiPriority w:val="99"/>
    <w:rsid w:val="0042579D"/>
    <w:pPr>
      <w:widowControl w:val="0"/>
      <w:tabs>
        <w:tab w:val="left" w:pos="3760"/>
        <w:tab w:val="left" w:pos="4020"/>
      </w:tabs>
      <w:snapToGrid w:val="0"/>
      <w:spacing w:after="0" w:line="240" w:lineRule="atLeast"/>
      <w:ind w:left="2592" w:hanging="288"/>
    </w:pPr>
    <w:rPr>
      <w:rFonts w:ascii="Times New Roman" w:eastAsia="Times New Roman" w:hAnsi="Times New Roman" w:cs="Times New Roman"/>
      <w:sz w:val="24"/>
      <w:szCs w:val="20"/>
    </w:rPr>
  </w:style>
  <w:style w:type="paragraph" w:customStyle="1" w:styleId="p11">
    <w:name w:val="p11"/>
    <w:basedOn w:val="Normal"/>
    <w:uiPriority w:val="99"/>
    <w:rsid w:val="0042579D"/>
    <w:pPr>
      <w:widowControl w:val="0"/>
      <w:tabs>
        <w:tab w:val="left" w:pos="4300"/>
        <w:tab w:val="left" w:pos="4520"/>
      </w:tabs>
      <w:snapToGrid w:val="0"/>
      <w:spacing w:after="0" w:line="200" w:lineRule="atLeast"/>
      <w:ind w:left="3024" w:hanging="144"/>
    </w:pPr>
    <w:rPr>
      <w:rFonts w:ascii="Times New Roman" w:eastAsia="Times New Roman" w:hAnsi="Times New Roman" w:cs="Times New Roman"/>
      <w:sz w:val="24"/>
      <w:szCs w:val="20"/>
    </w:rPr>
  </w:style>
  <w:style w:type="character" w:styleId="IntenseEmphasis">
    <w:name w:val="Intense Emphasis"/>
    <w:basedOn w:val="DefaultParagraphFont"/>
    <w:uiPriority w:val="21"/>
    <w:rsid w:val="0042579D"/>
    <w:rPr>
      <w:b/>
      <w:bCs/>
      <w:i/>
      <w:iCs/>
      <w:caps/>
    </w:rPr>
  </w:style>
  <w:style w:type="character" w:styleId="SubtleReference">
    <w:name w:val="Subtle Reference"/>
    <w:basedOn w:val="DefaultParagraphFont"/>
    <w:uiPriority w:val="31"/>
    <w:rsid w:val="0042579D"/>
    <w:rPr>
      <w:smallCaps/>
      <w:color w:val="404040" w:themeColor="text1" w:themeTint="BF"/>
      <w:u w:val="single" w:color="7F7F7F" w:themeColor="text1" w:themeTint="80"/>
    </w:rPr>
  </w:style>
  <w:style w:type="character" w:styleId="IntenseReference">
    <w:name w:val="Intense Reference"/>
    <w:basedOn w:val="DefaultParagraphFont"/>
    <w:uiPriority w:val="32"/>
    <w:rsid w:val="0042579D"/>
    <w:rPr>
      <w:b/>
      <w:bCs/>
      <w:smallCaps/>
      <w:u w:val="single"/>
    </w:rPr>
  </w:style>
  <w:style w:type="character" w:styleId="BookTitle">
    <w:name w:val="Book Title"/>
    <w:basedOn w:val="DefaultParagraphFont"/>
    <w:uiPriority w:val="33"/>
    <w:rsid w:val="0042579D"/>
    <w:rPr>
      <w:b w:val="0"/>
      <w:bCs w:val="0"/>
      <w:smallCaps/>
      <w:spacing w:val="5"/>
    </w:rPr>
  </w:style>
  <w:style w:type="character" w:customStyle="1" w:styleId="text">
    <w:name w:val="text"/>
    <w:basedOn w:val="DefaultParagraphFont"/>
    <w:rsid w:val="0042579D"/>
  </w:style>
  <w:style w:type="table" w:customStyle="1" w:styleId="TableGrid4">
    <w:name w:val="Table Grid4"/>
    <w:basedOn w:val="TableNormal"/>
    <w:uiPriority w:val="59"/>
    <w:rsid w:val="0042579D"/>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42579D"/>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rsid w:val="0042579D"/>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
    <w:name w:val="Style2"/>
    <w:uiPriority w:val="99"/>
    <w:rsid w:val="0042579D"/>
    <w:pPr>
      <w:numPr>
        <w:numId w:val="127"/>
      </w:numPr>
    </w:pPr>
  </w:style>
  <w:style w:type="numbering" w:customStyle="1" w:styleId="List0">
    <w:name w:val="List 0"/>
    <w:rsid w:val="0042579D"/>
    <w:pPr>
      <w:numPr>
        <w:numId w:val="128"/>
      </w:numPr>
    </w:pPr>
  </w:style>
  <w:style w:type="numbering" w:customStyle="1" w:styleId="WWNum19">
    <w:name w:val="WWNum19"/>
    <w:rsid w:val="0042579D"/>
    <w:pPr>
      <w:numPr>
        <w:numId w:val="305"/>
      </w:numPr>
    </w:pPr>
  </w:style>
  <w:style w:type="numbering" w:customStyle="1" w:styleId="NoList1">
    <w:name w:val="No List1"/>
    <w:next w:val="NoList"/>
    <w:uiPriority w:val="99"/>
    <w:semiHidden/>
    <w:unhideWhenUsed/>
    <w:rsid w:val="00194B18"/>
  </w:style>
  <w:style w:type="character" w:styleId="PageNumber">
    <w:name w:val="page number"/>
    <w:rsid w:val="00194B18"/>
  </w:style>
  <w:style w:type="paragraph" w:customStyle="1" w:styleId="BodyText-6ptspacingafter">
    <w:name w:val="Body Text - 6pt spacing after"/>
    <w:basedOn w:val="BodyText"/>
    <w:link w:val="BodyText-6ptspacingafterChar"/>
    <w:qFormat/>
    <w:rsid w:val="00791D9D"/>
    <w:pPr>
      <w:spacing w:line="240" w:lineRule="auto"/>
    </w:pPr>
    <w:rPr>
      <w:rFonts w:ascii="Calibri" w:eastAsia="Times New Roman" w:hAnsi="Calibri" w:cs="Calibri"/>
      <w:lang w:eastAsia="en-AU" w:bidi="he-IL"/>
    </w:rPr>
  </w:style>
  <w:style w:type="character" w:customStyle="1" w:styleId="BodyText-6ptspacingafterChar">
    <w:name w:val="Body Text - 6pt spacing after Char"/>
    <w:basedOn w:val="BodyTextChar"/>
    <w:link w:val="BodyText-6ptspacingafter"/>
    <w:rsid w:val="00791D9D"/>
    <w:rPr>
      <w:rFonts w:ascii="Calibri" w:eastAsia="Times New Roman" w:hAnsi="Calibri" w:cs="Calibri"/>
      <w:lang w:eastAsia="en-AU" w:bidi="he-IL"/>
    </w:rPr>
  </w:style>
  <w:style w:type="table" w:styleId="PlainTable4">
    <w:name w:val="Plain Table 4"/>
    <w:basedOn w:val="TableNormal"/>
    <w:uiPriority w:val="44"/>
    <w:rsid w:val="00791D9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a13">
    <w:name w:val="Pa13"/>
    <w:basedOn w:val="Normal"/>
    <w:next w:val="Normal"/>
    <w:uiPriority w:val="99"/>
    <w:rsid w:val="00797627"/>
    <w:pPr>
      <w:autoSpaceDE w:val="0"/>
      <w:autoSpaceDN w:val="0"/>
      <w:adjustRightInd w:val="0"/>
      <w:spacing w:after="0" w:line="191" w:lineRule="atLeast"/>
    </w:pPr>
    <w:rPr>
      <w:rFonts w:ascii="Helvetica Neue LT Std" w:hAnsi="Helvetica Neue LT Std"/>
      <w:sz w:val="24"/>
      <w:szCs w:val="24"/>
    </w:rPr>
  </w:style>
  <w:style w:type="paragraph" w:customStyle="1" w:styleId="Pa14">
    <w:name w:val="Pa14"/>
    <w:basedOn w:val="Normal"/>
    <w:next w:val="Normal"/>
    <w:uiPriority w:val="99"/>
    <w:rsid w:val="00797627"/>
    <w:pPr>
      <w:autoSpaceDE w:val="0"/>
      <w:autoSpaceDN w:val="0"/>
      <w:adjustRightInd w:val="0"/>
      <w:spacing w:after="0" w:line="201" w:lineRule="atLeast"/>
    </w:pPr>
    <w:rPr>
      <w:rFonts w:ascii="Helvetica Neue LT Std" w:hAnsi="Helvetica Neue LT Std"/>
      <w:sz w:val="24"/>
      <w:szCs w:val="24"/>
    </w:rPr>
  </w:style>
  <w:style w:type="table" w:styleId="MediumShading1-Accent1">
    <w:name w:val="Medium Shading 1 Accent 1"/>
    <w:basedOn w:val="TableNormal"/>
    <w:uiPriority w:val="63"/>
    <w:semiHidden/>
    <w:unhideWhenUsed/>
    <w:rsid w:val="0062144A"/>
    <w:pPr>
      <w:spacing w:after="0" w:line="240" w:lineRule="auto"/>
    </w:pPr>
    <w:rPr>
      <w:lang w:val="en-US"/>
    </w:rPr>
    <w:tblPr>
      <w:tblStyleRowBandSize w:val="1"/>
      <w:tblStyleColBandSize w:val="1"/>
      <w:tblInd w:w="0" w:type="nil"/>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Lines="0" w:before="0" w:beforeAutospacing="0" w:afterLines="0" w:after="0" w:afterAutospacing="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TableGridLight">
    <w:name w:val="Grid Table Light"/>
    <w:basedOn w:val="TableNormal"/>
    <w:uiPriority w:val="40"/>
    <w:rsid w:val="000D769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3">
    <w:name w:val="toc 3"/>
    <w:basedOn w:val="Normal"/>
    <w:next w:val="Normal"/>
    <w:autoRedefine/>
    <w:uiPriority w:val="39"/>
    <w:unhideWhenUsed/>
    <w:rsid w:val="004C0EDE"/>
    <w:pPr>
      <w:spacing w:after="100"/>
      <w:ind w:left="440"/>
    </w:pPr>
  </w:style>
  <w:style w:type="paragraph" w:styleId="TOC4">
    <w:name w:val="toc 4"/>
    <w:basedOn w:val="Normal"/>
    <w:next w:val="Normal"/>
    <w:autoRedefine/>
    <w:uiPriority w:val="39"/>
    <w:unhideWhenUsed/>
    <w:rsid w:val="004C0EDE"/>
    <w:pPr>
      <w:spacing w:after="100"/>
      <w:ind w:left="660"/>
    </w:pPr>
    <w:rPr>
      <w:rFonts w:eastAsiaTheme="minorEastAsia"/>
      <w:lang w:eastAsia="en-AU"/>
    </w:rPr>
  </w:style>
  <w:style w:type="paragraph" w:styleId="TOC5">
    <w:name w:val="toc 5"/>
    <w:basedOn w:val="Normal"/>
    <w:next w:val="Normal"/>
    <w:autoRedefine/>
    <w:uiPriority w:val="39"/>
    <w:unhideWhenUsed/>
    <w:rsid w:val="004C0EDE"/>
    <w:pPr>
      <w:spacing w:after="100"/>
      <w:ind w:left="880"/>
    </w:pPr>
    <w:rPr>
      <w:rFonts w:eastAsiaTheme="minorEastAsia"/>
      <w:lang w:eastAsia="en-AU"/>
    </w:rPr>
  </w:style>
  <w:style w:type="paragraph" w:styleId="TOC6">
    <w:name w:val="toc 6"/>
    <w:basedOn w:val="Normal"/>
    <w:next w:val="Normal"/>
    <w:autoRedefine/>
    <w:uiPriority w:val="39"/>
    <w:unhideWhenUsed/>
    <w:rsid w:val="004C0EDE"/>
    <w:pPr>
      <w:spacing w:after="100"/>
      <w:ind w:left="1100"/>
    </w:pPr>
    <w:rPr>
      <w:rFonts w:eastAsiaTheme="minorEastAsia"/>
      <w:lang w:eastAsia="en-AU"/>
    </w:rPr>
  </w:style>
  <w:style w:type="paragraph" w:styleId="TOC7">
    <w:name w:val="toc 7"/>
    <w:basedOn w:val="Normal"/>
    <w:next w:val="Normal"/>
    <w:autoRedefine/>
    <w:uiPriority w:val="39"/>
    <w:unhideWhenUsed/>
    <w:rsid w:val="004C0EDE"/>
    <w:pPr>
      <w:spacing w:after="100"/>
      <w:ind w:left="1320"/>
    </w:pPr>
    <w:rPr>
      <w:rFonts w:eastAsiaTheme="minorEastAsia"/>
      <w:lang w:eastAsia="en-AU"/>
    </w:rPr>
  </w:style>
  <w:style w:type="paragraph" w:styleId="TOC8">
    <w:name w:val="toc 8"/>
    <w:basedOn w:val="Normal"/>
    <w:next w:val="Normal"/>
    <w:autoRedefine/>
    <w:uiPriority w:val="39"/>
    <w:unhideWhenUsed/>
    <w:rsid w:val="004C0EDE"/>
    <w:pPr>
      <w:spacing w:after="100"/>
      <w:ind w:left="1540"/>
    </w:pPr>
    <w:rPr>
      <w:rFonts w:eastAsiaTheme="minorEastAsia"/>
      <w:lang w:eastAsia="en-AU"/>
    </w:rPr>
  </w:style>
  <w:style w:type="paragraph" w:styleId="TOC9">
    <w:name w:val="toc 9"/>
    <w:basedOn w:val="Normal"/>
    <w:next w:val="Normal"/>
    <w:autoRedefine/>
    <w:uiPriority w:val="39"/>
    <w:unhideWhenUsed/>
    <w:rsid w:val="004C0EDE"/>
    <w:pPr>
      <w:spacing w:after="100"/>
      <w:ind w:left="1760"/>
    </w:pPr>
    <w:rPr>
      <w:rFonts w:eastAsiaTheme="minorEastAsia"/>
      <w:lang w:eastAsia="en-AU"/>
    </w:rPr>
  </w:style>
  <w:style w:type="character" w:customStyle="1" w:styleId="UnresolvedMention1">
    <w:name w:val="Unresolved Mention1"/>
    <w:basedOn w:val="DefaultParagraphFont"/>
    <w:uiPriority w:val="99"/>
    <w:semiHidden/>
    <w:unhideWhenUsed/>
    <w:rsid w:val="004C0EDE"/>
    <w:rPr>
      <w:color w:val="808080"/>
      <w:shd w:val="clear" w:color="auto" w:fill="E6E6E6"/>
    </w:rPr>
  </w:style>
  <w:style w:type="character" w:customStyle="1" w:styleId="small-caps">
    <w:name w:val="small-caps"/>
    <w:basedOn w:val="DefaultParagraphFont"/>
    <w:rsid w:val="00646FB6"/>
  </w:style>
  <w:style w:type="character" w:customStyle="1" w:styleId="UnresolvedMention">
    <w:name w:val="Unresolved Mention"/>
    <w:basedOn w:val="DefaultParagraphFont"/>
    <w:uiPriority w:val="99"/>
    <w:semiHidden/>
    <w:unhideWhenUsed/>
    <w:rsid w:val="002E149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56836">
      <w:bodyDiv w:val="1"/>
      <w:marLeft w:val="0"/>
      <w:marRight w:val="0"/>
      <w:marTop w:val="0"/>
      <w:marBottom w:val="0"/>
      <w:divBdr>
        <w:top w:val="none" w:sz="0" w:space="0" w:color="auto"/>
        <w:left w:val="none" w:sz="0" w:space="0" w:color="auto"/>
        <w:bottom w:val="none" w:sz="0" w:space="0" w:color="auto"/>
        <w:right w:val="none" w:sz="0" w:space="0" w:color="auto"/>
      </w:divBdr>
    </w:div>
    <w:div w:id="72901166">
      <w:bodyDiv w:val="1"/>
      <w:marLeft w:val="0"/>
      <w:marRight w:val="0"/>
      <w:marTop w:val="0"/>
      <w:marBottom w:val="0"/>
      <w:divBdr>
        <w:top w:val="none" w:sz="0" w:space="0" w:color="auto"/>
        <w:left w:val="none" w:sz="0" w:space="0" w:color="auto"/>
        <w:bottom w:val="none" w:sz="0" w:space="0" w:color="auto"/>
        <w:right w:val="none" w:sz="0" w:space="0" w:color="auto"/>
      </w:divBdr>
    </w:div>
    <w:div w:id="106968070">
      <w:bodyDiv w:val="1"/>
      <w:marLeft w:val="0"/>
      <w:marRight w:val="0"/>
      <w:marTop w:val="0"/>
      <w:marBottom w:val="0"/>
      <w:divBdr>
        <w:top w:val="none" w:sz="0" w:space="0" w:color="auto"/>
        <w:left w:val="none" w:sz="0" w:space="0" w:color="auto"/>
        <w:bottom w:val="none" w:sz="0" w:space="0" w:color="auto"/>
        <w:right w:val="none" w:sz="0" w:space="0" w:color="auto"/>
      </w:divBdr>
    </w:div>
    <w:div w:id="129174592">
      <w:bodyDiv w:val="1"/>
      <w:marLeft w:val="0"/>
      <w:marRight w:val="0"/>
      <w:marTop w:val="0"/>
      <w:marBottom w:val="0"/>
      <w:divBdr>
        <w:top w:val="none" w:sz="0" w:space="0" w:color="auto"/>
        <w:left w:val="none" w:sz="0" w:space="0" w:color="auto"/>
        <w:bottom w:val="none" w:sz="0" w:space="0" w:color="auto"/>
        <w:right w:val="none" w:sz="0" w:space="0" w:color="auto"/>
      </w:divBdr>
    </w:div>
    <w:div w:id="141237627">
      <w:bodyDiv w:val="1"/>
      <w:marLeft w:val="0"/>
      <w:marRight w:val="0"/>
      <w:marTop w:val="0"/>
      <w:marBottom w:val="0"/>
      <w:divBdr>
        <w:top w:val="none" w:sz="0" w:space="0" w:color="auto"/>
        <w:left w:val="none" w:sz="0" w:space="0" w:color="auto"/>
        <w:bottom w:val="none" w:sz="0" w:space="0" w:color="auto"/>
        <w:right w:val="none" w:sz="0" w:space="0" w:color="auto"/>
      </w:divBdr>
    </w:div>
    <w:div w:id="151534048">
      <w:bodyDiv w:val="1"/>
      <w:marLeft w:val="0"/>
      <w:marRight w:val="0"/>
      <w:marTop w:val="0"/>
      <w:marBottom w:val="0"/>
      <w:divBdr>
        <w:top w:val="none" w:sz="0" w:space="0" w:color="auto"/>
        <w:left w:val="none" w:sz="0" w:space="0" w:color="auto"/>
        <w:bottom w:val="none" w:sz="0" w:space="0" w:color="auto"/>
        <w:right w:val="none" w:sz="0" w:space="0" w:color="auto"/>
      </w:divBdr>
    </w:div>
    <w:div w:id="167066305">
      <w:bodyDiv w:val="1"/>
      <w:marLeft w:val="0"/>
      <w:marRight w:val="0"/>
      <w:marTop w:val="0"/>
      <w:marBottom w:val="0"/>
      <w:divBdr>
        <w:top w:val="none" w:sz="0" w:space="0" w:color="auto"/>
        <w:left w:val="none" w:sz="0" w:space="0" w:color="auto"/>
        <w:bottom w:val="none" w:sz="0" w:space="0" w:color="auto"/>
        <w:right w:val="none" w:sz="0" w:space="0" w:color="auto"/>
      </w:divBdr>
    </w:div>
    <w:div w:id="198902318">
      <w:bodyDiv w:val="1"/>
      <w:marLeft w:val="0"/>
      <w:marRight w:val="0"/>
      <w:marTop w:val="0"/>
      <w:marBottom w:val="0"/>
      <w:divBdr>
        <w:top w:val="none" w:sz="0" w:space="0" w:color="auto"/>
        <w:left w:val="none" w:sz="0" w:space="0" w:color="auto"/>
        <w:bottom w:val="none" w:sz="0" w:space="0" w:color="auto"/>
        <w:right w:val="none" w:sz="0" w:space="0" w:color="auto"/>
      </w:divBdr>
    </w:div>
    <w:div w:id="213125192">
      <w:bodyDiv w:val="1"/>
      <w:marLeft w:val="0"/>
      <w:marRight w:val="0"/>
      <w:marTop w:val="0"/>
      <w:marBottom w:val="0"/>
      <w:divBdr>
        <w:top w:val="none" w:sz="0" w:space="0" w:color="auto"/>
        <w:left w:val="none" w:sz="0" w:space="0" w:color="auto"/>
        <w:bottom w:val="none" w:sz="0" w:space="0" w:color="auto"/>
        <w:right w:val="none" w:sz="0" w:space="0" w:color="auto"/>
      </w:divBdr>
    </w:div>
    <w:div w:id="246158590">
      <w:bodyDiv w:val="1"/>
      <w:marLeft w:val="0"/>
      <w:marRight w:val="0"/>
      <w:marTop w:val="0"/>
      <w:marBottom w:val="0"/>
      <w:divBdr>
        <w:top w:val="none" w:sz="0" w:space="0" w:color="auto"/>
        <w:left w:val="none" w:sz="0" w:space="0" w:color="auto"/>
        <w:bottom w:val="none" w:sz="0" w:space="0" w:color="auto"/>
        <w:right w:val="none" w:sz="0" w:space="0" w:color="auto"/>
      </w:divBdr>
    </w:div>
    <w:div w:id="248732910">
      <w:bodyDiv w:val="1"/>
      <w:marLeft w:val="0"/>
      <w:marRight w:val="0"/>
      <w:marTop w:val="0"/>
      <w:marBottom w:val="0"/>
      <w:divBdr>
        <w:top w:val="none" w:sz="0" w:space="0" w:color="auto"/>
        <w:left w:val="none" w:sz="0" w:space="0" w:color="auto"/>
        <w:bottom w:val="none" w:sz="0" w:space="0" w:color="auto"/>
        <w:right w:val="none" w:sz="0" w:space="0" w:color="auto"/>
      </w:divBdr>
    </w:div>
    <w:div w:id="263802879">
      <w:bodyDiv w:val="1"/>
      <w:marLeft w:val="0"/>
      <w:marRight w:val="0"/>
      <w:marTop w:val="0"/>
      <w:marBottom w:val="0"/>
      <w:divBdr>
        <w:top w:val="none" w:sz="0" w:space="0" w:color="auto"/>
        <w:left w:val="none" w:sz="0" w:space="0" w:color="auto"/>
        <w:bottom w:val="none" w:sz="0" w:space="0" w:color="auto"/>
        <w:right w:val="none" w:sz="0" w:space="0" w:color="auto"/>
      </w:divBdr>
    </w:div>
    <w:div w:id="355346810">
      <w:bodyDiv w:val="1"/>
      <w:marLeft w:val="0"/>
      <w:marRight w:val="0"/>
      <w:marTop w:val="0"/>
      <w:marBottom w:val="0"/>
      <w:divBdr>
        <w:top w:val="none" w:sz="0" w:space="0" w:color="auto"/>
        <w:left w:val="none" w:sz="0" w:space="0" w:color="auto"/>
        <w:bottom w:val="none" w:sz="0" w:space="0" w:color="auto"/>
        <w:right w:val="none" w:sz="0" w:space="0" w:color="auto"/>
      </w:divBdr>
    </w:div>
    <w:div w:id="370956186">
      <w:bodyDiv w:val="1"/>
      <w:marLeft w:val="0"/>
      <w:marRight w:val="0"/>
      <w:marTop w:val="0"/>
      <w:marBottom w:val="0"/>
      <w:divBdr>
        <w:top w:val="none" w:sz="0" w:space="0" w:color="auto"/>
        <w:left w:val="none" w:sz="0" w:space="0" w:color="auto"/>
        <w:bottom w:val="none" w:sz="0" w:space="0" w:color="auto"/>
        <w:right w:val="none" w:sz="0" w:space="0" w:color="auto"/>
      </w:divBdr>
    </w:div>
    <w:div w:id="388067352">
      <w:bodyDiv w:val="1"/>
      <w:marLeft w:val="0"/>
      <w:marRight w:val="0"/>
      <w:marTop w:val="0"/>
      <w:marBottom w:val="0"/>
      <w:divBdr>
        <w:top w:val="none" w:sz="0" w:space="0" w:color="auto"/>
        <w:left w:val="none" w:sz="0" w:space="0" w:color="auto"/>
        <w:bottom w:val="none" w:sz="0" w:space="0" w:color="auto"/>
        <w:right w:val="none" w:sz="0" w:space="0" w:color="auto"/>
      </w:divBdr>
    </w:div>
    <w:div w:id="513618067">
      <w:bodyDiv w:val="1"/>
      <w:marLeft w:val="0"/>
      <w:marRight w:val="0"/>
      <w:marTop w:val="0"/>
      <w:marBottom w:val="0"/>
      <w:divBdr>
        <w:top w:val="none" w:sz="0" w:space="0" w:color="auto"/>
        <w:left w:val="none" w:sz="0" w:space="0" w:color="auto"/>
        <w:bottom w:val="none" w:sz="0" w:space="0" w:color="auto"/>
        <w:right w:val="none" w:sz="0" w:space="0" w:color="auto"/>
      </w:divBdr>
    </w:div>
    <w:div w:id="546645332">
      <w:bodyDiv w:val="1"/>
      <w:marLeft w:val="0"/>
      <w:marRight w:val="0"/>
      <w:marTop w:val="0"/>
      <w:marBottom w:val="0"/>
      <w:divBdr>
        <w:top w:val="none" w:sz="0" w:space="0" w:color="auto"/>
        <w:left w:val="none" w:sz="0" w:space="0" w:color="auto"/>
        <w:bottom w:val="none" w:sz="0" w:space="0" w:color="auto"/>
        <w:right w:val="none" w:sz="0" w:space="0" w:color="auto"/>
      </w:divBdr>
    </w:div>
    <w:div w:id="560096919">
      <w:bodyDiv w:val="1"/>
      <w:marLeft w:val="0"/>
      <w:marRight w:val="0"/>
      <w:marTop w:val="0"/>
      <w:marBottom w:val="0"/>
      <w:divBdr>
        <w:top w:val="none" w:sz="0" w:space="0" w:color="auto"/>
        <w:left w:val="none" w:sz="0" w:space="0" w:color="auto"/>
        <w:bottom w:val="none" w:sz="0" w:space="0" w:color="auto"/>
        <w:right w:val="none" w:sz="0" w:space="0" w:color="auto"/>
      </w:divBdr>
    </w:div>
    <w:div w:id="570969361">
      <w:bodyDiv w:val="1"/>
      <w:marLeft w:val="0"/>
      <w:marRight w:val="0"/>
      <w:marTop w:val="0"/>
      <w:marBottom w:val="0"/>
      <w:divBdr>
        <w:top w:val="none" w:sz="0" w:space="0" w:color="auto"/>
        <w:left w:val="none" w:sz="0" w:space="0" w:color="auto"/>
        <w:bottom w:val="none" w:sz="0" w:space="0" w:color="auto"/>
        <w:right w:val="none" w:sz="0" w:space="0" w:color="auto"/>
      </w:divBdr>
    </w:div>
    <w:div w:id="715394033">
      <w:bodyDiv w:val="1"/>
      <w:marLeft w:val="0"/>
      <w:marRight w:val="0"/>
      <w:marTop w:val="0"/>
      <w:marBottom w:val="0"/>
      <w:divBdr>
        <w:top w:val="none" w:sz="0" w:space="0" w:color="auto"/>
        <w:left w:val="none" w:sz="0" w:space="0" w:color="auto"/>
        <w:bottom w:val="none" w:sz="0" w:space="0" w:color="auto"/>
        <w:right w:val="none" w:sz="0" w:space="0" w:color="auto"/>
      </w:divBdr>
    </w:div>
    <w:div w:id="721753346">
      <w:bodyDiv w:val="1"/>
      <w:marLeft w:val="0"/>
      <w:marRight w:val="0"/>
      <w:marTop w:val="0"/>
      <w:marBottom w:val="0"/>
      <w:divBdr>
        <w:top w:val="none" w:sz="0" w:space="0" w:color="auto"/>
        <w:left w:val="none" w:sz="0" w:space="0" w:color="auto"/>
        <w:bottom w:val="none" w:sz="0" w:space="0" w:color="auto"/>
        <w:right w:val="none" w:sz="0" w:space="0" w:color="auto"/>
      </w:divBdr>
    </w:div>
    <w:div w:id="734011245">
      <w:bodyDiv w:val="1"/>
      <w:marLeft w:val="0"/>
      <w:marRight w:val="0"/>
      <w:marTop w:val="0"/>
      <w:marBottom w:val="0"/>
      <w:divBdr>
        <w:top w:val="none" w:sz="0" w:space="0" w:color="auto"/>
        <w:left w:val="none" w:sz="0" w:space="0" w:color="auto"/>
        <w:bottom w:val="none" w:sz="0" w:space="0" w:color="auto"/>
        <w:right w:val="none" w:sz="0" w:space="0" w:color="auto"/>
      </w:divBdr>
    </w:div>
    <w:div w:id="784810835">
      <w:bodyDiv w:val="1"/>
      <w:marLeft w:val="0"/>
      <w:marRight w:val="0"/>
      <w:marTop w:val="0"/>
      <w:marBottom w:val="0"/>
      <w:divBdr>
        <w:top w:val="none" w:sz="0" w:space="0" w:color="auto"/>
        <w:left w:val="none" w:sz="0" w:space="0" w:color="auto"/>
        <w:bottom w:val="none" w:sz="0" w:space="0" w:color="auto"/>
        <w:right w:val="none" w:sz="0" w:space="0" w:color="auto"/>
      </w:divBdr>
    </w:div>
    <w:div w:id="800422847">
      <w:bodyDiv w:val="1"/>
      <w:marLeft w:val="0"/>
      <w:marRight w:val="0"/>
      <w:marTop w:val="0"/>
      <w:marBottom w:val="0"/>
      <w:divBdr>
        <w:top w:val="none" w:sz="0" w:space="0" w:color="auto"/>
        <w:left w:val="none" w:sz="0" w:space="0" w:color="auto"/>
        <w:bottom w:val="none" w:sz="0" w:space="0" w:color="auto"/>
        <w:right w:val="none" w:sz="0" w:space="0" w:color="auto"/>
      </w:divBdr>
    </w:div>
    <w:div w:id="802430204">
      <w:bodyDiv w:val="1"/>
      <w:marLeft w:val="0"/>
      <w:marRight w:val="0"/>
      <w:marTop w:val="0"/>
      <w:marBottom w:val="0"/>
      <w:divBdr>
        <w:top w:val="none" w:sz="0" w:space="0" w:color="auto"/>
        <w:left w:val="none" w:sz="0" w:space="0" w:color="auto"/>
        <w:bottom w:val="none" w:sz="0" w:space="0" w:color="auto"/>
        <w:right w:val="none" w:sz="0" w:space="0" w:color="auto"/>
      </w:divBdr>
    </w:div>
    <w:div w:id="808787105">
      <w:bodyDiv w:val="1"/>
      <w:marLeft w:val="0"/>
      <w:marRight w:val="0"/>
      <w:marTop w:val="0"/>
      <w:marBottom w:val="0"/>
      <w:divBdr>
        <w:top w:val="none" w:sz="0" w:space="0" w:color="auto"/>
        <w:left w:val="none" w:sz="0" w:space="0" w:color="auto"/>
        <w:bottom w:val="none" w:sz="0" w:space="0" w:color="auto"/>
        <w:right w:val="none" w:sz="0" w:space="0" w:color="auto"/>
      </w:divBdr>
    </w:div>
    <w:div w:id="830021474">
      <w:bodyDiv w:val="1"/>
      <w:marLeft w:val="0"/>
      <w:marRight w:val="0"/>
      <w:marTop w:val="0"/>
      <w:marBottom w:val="0"/>
      <w:divBdr>
        <w:top w:val="none" w:sz="0" w:space="0" w:color="auto"/>
        <w:left w:val="none" w:sz="0" w:space="0" w:color="auto"/>
        <w:bottom w:val="none" w:sz="0" w:space="0" w:color="auto"/>
        <w:right w:val="none" w:sz="0" w:space="0" w:color="auto"/>
      </w:divBdr>
    </w:div>
    <w:div w:id="830679711">
      <w:bodyDiv w:val="1"/>
      <w:marLeft w:val="0"/>
      <w:marRight w:val="0"/>
      <w:marTop w:val="0"/>
      <w:marBottom w:val="0"/>
      <w:divBdr>
        <w:top w:val="none" w:sz="0" w:space="0" w:color="auto"/>
        <w:left w:val="none" w:sz="0" w:space="0" w:color="auto"/>
        <w:bottom w:val="none" w:sz="0" w:space="0" w:color="auto"/>
        <w:right w:val="none" w:sz="0" w:space="0" w:color="auto"/>
      </w:divBdr>
    </w:div>
    <w:div w:id="872039566">
      <w:bodyDiv w:val="1"/>
      <w:marLeft w:val="0"/>
      <w:marRight w:val="0"/>
      <w:marTop w:val="0"/>
      <w:marBottom w:val="0"/>
      <w:divBdr>
        <w:top w:val="none" w:sz="0" w:space="0" w:color="auto"/>
        <w:left w:val="none" w:sz="0" w:space="0" w:color="auto"/>
        <w:bottom w:val="none" w:sz="0" w:space="0" w:color="auto"/>
        <w:right w:val="none" w:sz="0" w:space="0" w:color="auto"/>
      </w:divBdr>
    </w:div>
    <w:div w:id="876309646">
      <w:bodyDiv w:val="1"/>
      <w:marLeft w:val="0"/>
      <w:marRight w:val="0"/>
      <w:marTop w:val="0"/>
      <w:marBottom w:val="0"/>
      <w:divBdr>
        <w:top w:val="none" w:sz="0" w:space="0" w:color="auto"/>
        <w:left w:val="none" w:sz="0" w:space="0" w:color="auto"/>
        <w:bottom w:val="none" w:sz="0" w:space="0" w:color="auto"/>
        <w:right w:val="none" w:sz="0" w:space="0" w:color="auto"/>
      </w:divBdr>
    </w:div>
    <w:div w:id="905992800">
      <w:bodyDiv w:val="1"/>
      <w:marLeft w:val="0"/>
      <w:marRight w:val="0"/>
      <w:marTop w:val="0"/>
      <w:marBottom w:val="0"/>
      <w:divBdr>
        <w:top w:val="none" w:sz="0" w:space="0" w:color="auto"/>
        <w:left w:val="none" w:sz="0" w:space="0" w:color="auto"/>
        <w:bottom w:val="none" w:sz="0" w:space="0" w:color="auto"/>
        <w:right w:val="none" w:sz="0" w:space="0" w:color="auto"/>
      </w:divBdr>
    </w:div>
    <w:div w:id="910192116">
      <w:bodyDiv w:val="1"/>
      <w:marLeft w:val="0"/>
      <w:marRight w:val="0"/>
      <w:marTop w:val="0"/>
      <w:marBottom w:val="0"/>
      <w:divBdr>
        <w:top w:val="none" w:sz="0" w:space="0" w:color="auto"/>
        <w:left w:val="none" w:sz="0" w:space="0" w:color="auto"/>
        <w:bottom w:val="none" w:sz="0" w:space="0" w:color="auto"/>
        <w:right w:val="none" w:sz="0" w:space="0" w:color="auto"/>
      </w:divBdr>
    </w:div>
    <w:div w:id="921723004">
      <w:bodyDiv w:val="1"/>
      <w:marLeft w:val="0"/>
      <w:marRight w:val="0"/>
      <w:marTop w:val="0"/>
      <w:marBottom w:val="0"/>
      <w:divBdr>
        <w:top w:val="none" w:sz="0" w:space="0" w:color="auto"/>
        <w:left w:val="none" w:sz="0" w:space="0" w:color="auto"/>
        <w:bottom w:val="none" w:sz="0" w:space="0" w:color="auto"/>
        <w:right w:val="none" w:sz="0" w:space="0" w:color="auto"/>
      </w:divBdr>
    </w:div>
    <w:div w:id="956107401">
      <w:bodyDiv w:val="1"/>
      <w:marLeft w:val="0"/>
      <w:marRight w:val="0"/>
      <w:marTop w:val="0"/>
      <w:marBottom w:val="0"/>
      <w:divBdr>
        <w:top w:val="none" w:sz="0" w:space="0" w:color="auto"/>
        <w:left w:val="none" w:sz="0" w:space="0" w:color="auto"/>
        <w:bottom w:val="none" w:sz="0" w:space="0" w:color="auto"/>
        <w:right w:val="none" w:sz="0" w:space="0" w:color="auto"/>
      </w:divBdr>
    </w:div>
    <w:div w:id="956445929">
      <w:bodyDiv w:val="1"/>
      <w:marLeft w:val="0"/>
      <w:marRight w:val="0"/>
      <w:marTop w:val="0"/>
      <w:marBottom w:val="0"/>
      <w:divBdr>
        <w:top w:val="none" w:sz="0" w:space="0" w:color="auto"/>
        <w:left w:val="none" w:sz="0" w:space="0" w:color="auto"/>
        <w:bottom w:val="none" w:sz="0" w:space="0" w:color="auto"/>
        <w:right w:val="none" w:sz="0" w:space="0" w:color="auto"/>
      </w:divBdr>
    </w:div>
    <w:div w:id="1002122569">
      <w:bodyDiv w:val="1"/>
      <w:marLeft w:val="0"/>
      <w:marRight w:val="0"/>
      <w:marTop w:val="0"/>
      <w:marBottom w:val="0"/>
      <w:divBdr>
        <w:top w:val="none" w:sz="0" w:space="0" w:color="auto"/>
        <w:left w:val="none" w:sz="0" w:space="0" w:color="auto"/>
        <w:bottom w:val="none" w:sz="0" w:space="0" w:color="auto"/>
        <w:right w:val="none" w:sz="0" w:space="0" w:color="auto"/>
      </w:divBdr>
    </w:div>
    <w:div w:id="1015421862">
      <w:bodyDiv w:val="1"/>
      <w:marLeft w:val="0"/>
      <w:marRight w:val="0"/>
      <w:marTop w:val="0"/>
      <w:marBottom w:val="0"/>
      <w:divBdr>
        <w:top w:val="none" w:sz="0" w:space="0" w:color="auto"/>
        <w:left w:val="none" w:sz="0" w:space="0" w:color="auto"/>
        <w:bottom w:val="none" w:sz="0" w:space="0" w:color="auto"/>
        <w:right w:val="none" w:sz="0" w:space="0" w:color="auto"/>
      </w:divBdr>
    </w:div>
    <w:div w:id="1024674279">
      <w:bodyDiv w:val="1"/>
      <w:marLeft w:val="0"/>
      <w:marRight w:val="0"/>
      <w:marTop w:val="0"/>
      <w:marBottom w:val="0"/>
      <w:divBdr>
        <w:top w:val="none" w:sz="0" w:space="0" w:color="auto"/>
        <w:left w:val="none" w:sz="0" w:space="0" w:color="auto"/>
        <w:bottom w:val="none" w:sz="0" w:space="0" w:color="auto"/>
        <w:right w:val="none" w:sz="0" w:space="0" w:color="auto"/>
      </w:divBdr>
    </w:div>
    <w:div w:id="1070426858">
      <w:bodyDiv w:val="1"/>
      <w:marLeft w:val="0"/>
      <w:marRight w:val="0"/>
      <w:marTop w:val="0"/>
      <w:marBottom w:val="0"/>
      <w:divBdr>
        <w:top w:val="none" w:sz="0" w:space="0" w:color="auto"/>
        <w:left w:val="none" w:sz="0" w:space="0" w:color="auto"/>
        <w:bottom w:val="none" w:sz="0" w:space="0" w:color="auto"/>
        <w:right w:val="none" w:sz="0" w:space="0" w:color="auto"/>
      </w:divBdr>
    </w:div>
    <w:div w:id="1111902477">
      <w:bodyDiv w:val="1"/>
      <w:marLeft w:val="0"/>
      <w:marRight w:val="0"/>
      <w:marTop w:val="0"/>
      <w:marBottom w:val="0"/>
      <w:divBdr>
        <w:top w:val="none" w:sz="0" w:space="0" w:color="auto"/>
        <w:left w:val="none" w:sz="0" w:space="0" w:color="auto"/>
        <w:bottom w:val="none" w:sz="0" w:space="0" w:color="auto"/>
        <w:right w:val="none" w:sz="0" w:space="0" w:color="auto"/>
      </w:divBdr>
    </w:div>
    <w:div w:id="1146430950">
      <w:bodyDiv w:val="1"/>
      <w:marLeft w:val="0"/>
      <w:marRight w:val="0"/>
      <w:marTop w:val="0"/>
      <w:marBottom w:val="0"/>
      <w:divBdr>
        <w:top w:val="none" w:sz="0" w:space="0" w:color="auto"/>
        <w:left w:val="none" w:sz="0" w:space="0" w:color="auto"/>
        <w:bottom w:val="none" w:sz="0" w:space="0" w:color="auto"/>
        <w:right w:val="none" w:sz="0" w:space="0" w:color="auto"/>
      </w:divBdr>
    </w:div>
    <w:div w:id="1149206225">
      <w:bodyDiv w:val="1"/>
      <w:marLeft w:val="0"/>
      <w:marRight w:val="0"/>
      <w:marTop w:val="0"/>
      <w:marBottom w:val="0"/>
      <w:divBdr>
        <w:top w:val="none" w:sz="0" w:space="0" w:color="auto"/>
        <w:left w:val="none" w:sz="0" w:space="0" w:color="auto"/>
        <w:bottom w:val="none" w:sz="0" w:space="0" w:color="auto"/>
        <w:right w:val="none" w:sz="0" w:space="0" w:color="auto"/>
      </w:divBdr>
    </w:div>
    <w:div w:id="1156723948">
      <w:bodyDiv w:val="1"/>
      <w:marLeft w:val="0"/>
      <w:marRight w:val="0"/>
      <w:marTop w:val="0"/>
      <w:marBottom w:val="0"/>
      <w:divBdr>
        <w:top w:val="none" w:sz="0" w:space="0" w:color="auto"/>
        <w:left w:val="none" w:sz="0" w:space="0" w:color="auto"/>
        <w:bottom w:val="none" w:sz="0" w:space="0" w:color="auto"/>
        <w:right w:val="none" w:sz="0" w:space="0" w:color="auto"/>
      </w:divBdr>
    </w:div>
    <w:div w:id="1191451674">
      <w:bodyDiv w:val="1"/>
      <w:marLeft w:val="0"/>
      <w:marRight w:val="0"/>
      <w:marTop w:val="0"/>
      <w:marBottom w:val="0"/>
      <w:divBdr>
        <w:top w:val="none" w:sz="0" w:space="0" w:color="auto"/>
        <w:left w:val="none" w:sz="0" w:space="0" w:color="auto"/>
        <w:bottom w:val="none" w:sz="0" w:space="0" w:color="auto"/>
        <w:right w:val="none" w:sz="0" w:space="0" w:color="auto"/>
      </w:divBdr>
    </w:div>
    <w:div w:id="1232696248">
      <w:bodyDiv w:val="1"/>
      <w:marLeft w:val="0"/>
      <w:marRight w:val="0"/>
      <w:marTop w:val="0"/>
      <w:marBottom w:val="0"/>
      <w:divBdr>
        <w:top w:val="none" w:sz="0" w:space="0" w:color="auto"/>
        <w:left w:val="none" w:sz="0" w:space="0" w:color="auto"/>
        <w:bottom w:val="none" w:sz="0" w:space="0" w:color="auto"/>
        <w:right w:val="none" w:sz="0" w:space="0" w:color="auto"/>
      </w:divBdr>
    </w:div>
    <w:div w:id="1238246316">
      <w:bodyDiv w:val="1"/>
      <w:marLeft w:val="0"/>
      <w:marRight w:val="0"/>
      <w:marTop w:val="0"/>
      <w:marBottom w:val="0"/>
      <w:divBdr>
        <w:top w:val="none" w:sz="0" w:space="0" w:color="auto"/>
        <w:left w:val="none" w:sz="0" w:space="0" w:color="auto"/>
        <w:bottom w:val="none" w:sz="0" w:space="0" w:color="auto"/>
        <w:right w:val="none" w:sz="0" w:space="0" w:color="auto"/>
      </w:divBdr>
    </w:div>
    <w:div w:id="1250969393">
      <w:bodyDiv w:val="1"/>
      <w:marLeft w:val="0"/>
      <w:marRight w:val="0"/>
      <w:marTop w:val="0"/>
      <w:marBottom w:val="0"/>
      <w:divBdr>
        <w:top w:val="none" w:sz="0" w:space="0" w:color="auto"/>
        <w:left w:val="none" w:sz="0" w:space="0" w:color="auto"/>
        <w:bottom w:val="none" w:sz="0" w:space="0" w:color="auto"/>
        <w:right w:val="none" w:sz="0" w:space="0" w:color="auto"/>
      </w:divBdr>
    </w:div>
    <w:div w:id="1260987372">
      <w:bodyDiv w:val="1"/>
      <w:marLeft w:val="0"/>
      <w:marRight w:val="0"/>
      <w:marTop w:val="0"/>
      <w:marBottom w:val="0"/>
      <w:divBdr>
        <w:top w:val="none" w:sz="0" w:space="0" w:color="auto"/>
        <w:left w:val="none" w:sz="0" w:space="0" w:color="auto"/>
        <w:bottom w:val="none" w:sz="0" w:space="0" w:color="auto"/>
        <w:right w:val="none" w:sz="0" w:space="0" w:color="auto"/>
      </w:divBdr>
    </w:div>
    <w:div w:id="1267080848">
      <w:bodyDiv w:val="1"/>
      <w:marLeft w:val="0"/>
      <w:marRight w:val="0"/>
      <w:marTop w:val="0"/>
      <w:marBottom w:val="0"/>
      <w:divBdr>
        <w:top w:val="none" w:sz="0" w:space="0" w:color="auto"/>
        <w:left w:val="none" w:sz="0" w:space="0" w:color="auto"/>
        <w:bottom w:val="none" w:sz="0" w:space="0" w:color="auto"/>
        <w:right w:val="none" w:sz="0" w:space="0" w:color="auto"/>
      </w:divBdr>
    </w:div>
    <w:div w:id="1297488830">
      <w:bodyDiv w:val="1"/>
      <w:marLeft w:val="0"/>
      <w:marRight w:val="0"/>
      <w:marTop w:val="0"/>
      <w:marBottom w:val="0"/>
      <w:divBdr>
        <w:top w:val="none" w:sz="0" w:space="0" w:color="auto"/>
        <w:left w:val="none" w:sz="0" w:space="0" w:color="auto"/>
        <w:bottom w:val="none" w:sz="0" w:space="0" w:color="auto"/>
        <w:right w:val="none" w:sz="0" w:space="0" w:color="auto"/>
      </w:divBdr>
    </w:div>
    <w:div w:id="1322734573">
      <w:bodyDiv w:val="1"/>
      <w:marLeft w:val="0"/>
      <w:marRight w:val="0"/>
      <w:marTop w:val="0"/>
      <w:marBottom w:val="0"/>
      <w:divBdr>
        <w:top w:val="none" w:sz="0" w:space="0" w:color="auto"/>
        <w:left w:val="none" w:sz="0" w:space="0" w:color="auto"/>
        <w:bottom w:val="none" w:sz="0" w:space="0" w:color="auto"/>
        <w:right w:val="none" w:sz="0" w:space="0" w:color="auto"/>
      </w:divBdr>
    </w:div>
    <w:div w:id="1334912275">
      <w:bodyDiv w:val="1"/>
      <w:marLeft w:val="0"/>
      <w:marRight w:val="0"/>
      <w:marTop w:val="0"/>
      <w:marBottom w:val="0"/>
      <w:divBdr>
        <w:top w:val="none" w:sz="0" w:space="0" w:color="auto"/>
        <w:left w:val="none" w:sz="0" w:space="0" w:color="auto"/>
        <w:bottom w:val="none" w:sz="0" w:space="0" w:color="auto"/>
        <w:right w:val="none" w:sz="0" w:space="0" w:color="auto"/>
      </w:divBdr>
    </w:div>
    <w:div w:id="1382291948">
      <w:bodyDiv w:val="1"/>
      <w:marLeft w:val="0"/>
      <w:marRight w:val="0"/>
      <w:marTop w:val="0"/>
      <w:marBottom w:val="0"/>
      <w:divBdr>
        <w:top w:val="none" w:sz="0" w:space="0" w:color="auto"/>
        <w:left w:val="none" w:sz="0" w:space="0" w:color="auto"/>
        <w:bottom w:val="none" w:sz="0" w:space="0" w:color="auto"/>
        <w:right w:val="none" w:sz="0" w:space="0" w:color="auto"/>
      </w:divBdr>
    </w:div>
    <w:div w:id="1400594574">
      <w:bodyDiv w:val="1"/>
      <w:marLeft w:val="0"/>
      <w:marRight w:val="0"/>
      <w:marTop w:val="0"/>
      <w:marBottom w:val="0"/>
      <w:divBdr>
        <w:top w:val="none" w:sz="0" w:space="0" w:color="auto"/>
        <w:left w:val="none" w:sz="0" w:space="0" w:color="auto"/>
        <w:bottom w:val="none" w:sz="0" w:space="0" w:color="auto"/>
        <w:right w:val="none" w:sz="0" w:space="0" w:color="auto"/>
      </w:divBdr>
    </w:div>
    <w:div w:id="1434940463">
      <w:bodyDiv w:val="1"/>
      <w:marLeft w:val="0"/>
      <w:marRight w:val="0"/>
      <w:marTop w:val="0"/>
      <w:marBottom w:val="0"/>
      <w:divBdr>
        <w:top w:val="none" w:sz="0" w:space="0" w:color="auto"/>
        <w:left w:val="none" w:sz="0" w:space="0" w:color="auto"/>
        <w:bottom w:val="none" w:sz="0" w:space="0" w:color="auto"/>
        <w:right w:val="none" w:sz="0" w:space="0" w:color="auto"/>
      </w:divBdr>
    </w:div>
    <w:div w:id="1451437550">
      <w:bodyDiv w:val="1"/>
      <w:marLeft w:val="0"/>
      <w:marRight w:val="0"/>
      <w:marTop w:val="0"/>
      <w:marBottom w:val="0"/>
      <w:divBdr>
        <w:top w:val="none" w:sz="0" w:space="0" w:color="auto"/>
        <w:left w:val="none" w:sz="0" w:space="0" w:color="auto"/>
        <w:bottom w:val="none" w:sz="0" w:space="0" w:color="auto"/>
        <w:right w:val="none" w:sz="0" w:space="0" w:color="auto"/>
      </w:divBdr>
    </w:div>
    <w:div w:id="1469543922">
      <w:bodyDiv w:val="1"/>
      <w:marLeft w:val="0"/>
      <w:marRight w:val="0"/>
      <w:marTop w:val="0"/>
      <w:marBottom w:val="0"/>
      <w:divBdr>
        <w:top w:val="none" w:sz="0" w:space="0" w:color="auto"/>
        <w:left w:val="none" w:sz="0" w:space="0" w:color="auto"/>
        <w:bottom w:val="none" w:sz="0" w:space="0" w:color="auto"/>
        <w:right w:val="none" w:sz="0" w:space="0" w:color="auto"/>
      </w:divBdr>
    </w:div>
    <w:div w:id="1471944316">
      <w:bodyDiv w:val="1"/>
      <w:marLeft w:val="0"/>
      <w:marRight w:val="0"/>
      <w:marTop w:val="0"/>
      <w:marBottom w:val="0"/>
      <w:divBdr>
        <w:top w:val="none" w:sz="0" w:space="0" w:color="auto"/>
        <w:left w:val="none" w:sz="0" w:space="0" w:color="auto"/>
        <w:bottom w:val="none" w:sz="0" w:space="0" w:color="auto"/>
        <w:right w:val="none" w:sz="0" w:space="0" w:color="auto"/>
      </w:divBdr>
    </w:div>
    <w:div w:id="1494446396">
      <w:bodyDiv w:val="1"/>
      <w:marLeft w:val="0"/>
      <w:marRight w:val="0"/>
      <w:marTop w:val="0"/>
      <w:marBottom w:val="0"/>
      <w:divBdr>
        <w:top w:val="none" w:sz="0" w:space="0" w:color="auto"/>
        <w:left w:val="none" w:sz="0" w:space="0" w:color="auto"/>
        <w:bottom w:val="none" w:sz="0" w:space="0" w:color="auto"/>
        <w:right w:val="none" w:sz="0" w:space="0" w:color="auto"/>
      </w:divBdr>
    </w:div>
    <w:div w:id="1591308797">
      <w:bodyDiv w:val="1"/>
      <w:marLeft w:val="0"/>
      <w:marRight w:val="0"/>
      <w:marTop w:val="0"/>
      <w:marBottom w:val="0"/>
      <w:divBdr>
        <w:top w:val="none" w:sz="0" w:space="0" w:color="auto"/>
        <w:left w:val="none" w:sz="0" w:space="0" w:color="auto"/>
        <w:bottom w:val="none" w:sz="0" w:space="0" w:color="auto"/>
        <w:right w:val="none" w:sz="0" w:space="0" w:color="auto"/>
      </w:divBdr>
    </w:div>
    <w:div w:id="1597443638">
      <w:bodyDiv w:val="1"/>
      <w:marLeft w:val="0"/>
      <w:marRight w:val="0"/>
      <w:marTop w:val="0"/>
      <w:marBottom w:val="0"/>
      <w:divBdr>
        <w:top w:val="none" w:sz="0" w:space="0" w:color="auto"/>
        <w:left w:val="none" w:sz="0" w:space="0" w:color="auto"/>
        <w:bottom w:val="none" w:sz="0" w:space="0" w:color="auto"/>
        <w:right w:val="none" w:sz="0" w:space="0" w:color="auto"/>
      </w:divBdr>
    </w:div>
    <w:div w:id="1607882978">
      <w:bodyDiv w:val="1"/>
      <w:marLeft w:val="0"/>
      <w:marRight w:val="0"/>
      <w:marTop w:val="0"/>
      <w:marBottom w:val="0"/>
      <w:divBdr>
        <w:top w:val="none" w:sz="0" w:space="0" w:color="auto"/>
        <w:left w:val="none" w:sz="0" w:space="0" w:color="auto"/>
        <w:bottom w:val="none" w:sz="0" w:space="0" w:color="auto"/>
        <w:right w:val="none" w:sz="0" w:space="0" w:color="auto"/>
      </w:divBdr>
    </w:div>
    <w:div w:id="1624340997">
      <w:bodyDiv w:val="1"/>
      <w:marLeft w:val="0"/>
      <w:marRight w:val="0"/>
      <w:marTop w:val="0"/>
      <w:marBottom w:val="0"/>
      <w:divBdr>
        <w:top w:val="none" w:sz="0" w:space="0" w:color="auto"/>
        <w:left w:val="none" w:sz="0" w:space="0" w:color="auto"/>
        <w:bottom w:val="none" w:sz="0" w:space="0" w:color="auto"/>
        <w:right w:val="none" w:sz="0" w:space="0" w:color="auto"/>
      </w:divBdr>
    </w:div>
    <w:div w:id="1629622225">
      <w:bodyDiv w:val="1"/>
      <w:marLeft w:val="0"/>
      <w:marRight w:val="0"/>
      <w:marTop w:val="0"/>
      <w:marBottom w:val="0"/>
      <w:divBdr>
        <w:top w:val="none" w:sz="0" w:space="0" w:color="auto"/>
        <w:left w:val="none" w:sz="0" w:space="0" w:color="auto"/>
        <w:bottom w:val="none" w:sz="0" w:space="0" w:color="auto"/>
        <w:right w:val="none" w:sz="0" w:space="0" w:color="auto"/>
      </w:divBdr>
    </w:div>
    <w:div w:id="1655573280">
      <w:bodyDiv w:val="1"/>
      <w:marLeft w:val="0"/>
      <w:marRight w:val="0"/>
      <w:marTop w:val="0"/>
      <w:marBottom w:val="0"/>
      <w:divBdr>
        <w:top w:val="none" w:sz="0" w:space="0" w:color="auto"/>
        <w:left w:val="none" w:sz="0" w:space="0" w:color="auto"/>
        <w:bottom w:val="none" w:sz="0" w:space="0" w:color="auto"/>
        <w:right w:val="none" w:sz="0" w:space="0" w:color="auto"/>
      </w:divBdr>
    </w:div>
    <w:div w:id="1691948070">
      <w:bodyDiv w:val="1"/>
      <w:marLeft w:val="0"/>
      <w:marRight w:val="0"/>
      <w:marTop w:val="0"/>
      <w:marBottom w:val="0"/>
      <w:divBdr>
        <w:top w:val="none" w:sz="0" w:space="0" w:color="auto"/>
        <w:left w:val="none" w:sz="0" w:space="0" w:color="auto"/>
        <w:bottom w:val="none" w:sz="0" w:space="0" w:color="auto"/>
        <w:right w:val="none" w:sz="0" w:space="0" w:color="auto"/>
      </w:divBdr>
    </w:div>
    <w:div w:id="1696078443">
      <w:bodyDiv w:val="1"/>
      <w:marLeft w:val="0"/>
      <w:marRight w:val="0"/>
      <w:marTop w:val="0"/>
      <w:marBottom w:val="0"/>
      <w:divBdr>
        <w:top w:val="none" w:sz="0" w:space="0" w:color="auto"/>
        <w:left w:val="none" w:sz="0" w:space="0" w:color="auto"/>
        <w:bottom w:val="none" w:sz="0" w:space="0" w:color="auto"/>
        <w:right w:val="none" w:sz="0" w:space="0" w:color="auto"/>
      </w:divBdr>
    </w:div>
    <w:div w:id="1731224592">
      <w:bodyDiv w:val="1"/>
      <w:marLeft w:val="0"/>
      <w:marRight w:val="0"/>
      <w:marTop w:val="0"/>
      <w:marBottom w:val="0"/>
      <w:divBdr>
        <w:top w:val="none" w:sz="0" w:space="0" w:color="auto"/>
        <w:left w:val="none" w:sz="0" w:space="0" w:color="auto"/>
        <w:bottom w:val="none" w:sz="0" w:space="0" w:color="auto"/>
        <w:right w:val="none" w:sz="0" w:space="0" w:color="auto"/>
      </w:divBdr>
    </w:div>
    <w:div w:id="1737314493">
      <w:bodyDiv w:val="1"/>
      <w:marLeft w:val="0"/>
      <w:marRight w:val="0"/>
      <w:marTop w:val="0"/>
      <w:marBottom w:val="0"/>
      <w:divBdr>
        <w:top w:val="none" w:sz="0" w:space="0" w:color="auto"/>
        <w:left w:val="none" w:sz="0" w:space="0" w:color="auto"/>
        <w:bottom w:val="none" w:sz="0" w:space="0" w:color="auto"/>
        <w:right w:val="none" w:sz="0" w:space="0" w:color="auto"/>
      </w:divBdr>
    </w:div>
    <w:div w:id="1751148594">
      <w:bodyDiv w:val="1"/>
      <w:marLeft w:val="0"/>
      <w:marRight w:val="0"/>
      <w:marTop w:val="0"/>
      <w:marBottom w:val="0"/>
      <w:divBdr>
        <w:top w:val="none" w:sz="0" w:space="0" w:color="auto"/>
        <w:left w:val="none" w:sz="0" w:space="0" w:color="auto"/>
        <w:bottom w:val="none" w:sz="0" w:space="0" w:color="auto"/>
        <w:right w:val="none" w:sz="0" w:space="0" w:color="auto"/>
      </w:divBdr>
      <w:divsChild>
        <w:div w:id="1017387754">
          <w:marLeft w:val="0"/>
          <w:marRight w:val="0"/>
          <w:marTop w:val="0"/>
          <w:marBottom w:val="0"/>
          <w:divBdr>
            <w:top w:val="none" w:sz="0" w:space="0" w:color="auto"/>
            <w:left w:val="none" w:sz="0" w:space="0" w:color="auto"/>
            <w:bottom w:val="none" w:sz="0" w:space="0" w:color="auto"/>
            <w:right w:val="none" w:sz="0" w:space="0" w:color="auto"/>
          </w:divBdr>
        </w:div>
        <w:div w:id="249002566">
          <w:marLeft w:val="0"/>
          <w:marRight w:val="0"/>
          <w:marTop w:val="0"/>
          <w:marBottom w:val="0"/>
          <w:divBdr>
            <w:top w:val="none" w:sz="0" w:space="0" w:color="auto"/>
            <w:left w:val="none" w:sz="0" w:space="0" w:color="auto"/>
            <w:bottom w:val="none" w:sz="0" w:space="0" w:color="auto"/>
            <w:right w:val="none" w:sz="0" w:space="0" w:color="auto"/>
          </w:divBdr>
        </w:div>
        <w:div w:id="2073043648">
          <w:marLeft w:val="0"/>
          <w:marRight w:val="0"/>
          <w:marTop w:val="0"/>
          <w:marBottom w:val="0"/>
          <w:divBdr>
            <w:top w:val="none" w:sz="0" w:space="0" w:color="auto"/>
            <w:left w:val="none" w:sz="0" w:space="0" w:color="auto"/>
            <w:bottom w:val="none" w:sz="0" w:space="0" w:color="auto"/>
            <w:right w:val="none" w:sz="0" w:space="0" w:color="auto"/>
          </w:divBdr>
        </w:div>
        <w:div w:id="750665691">
          <w:marLeft w:val="0"/>
          <w:marRight w:val="0"/>
          <w:marTop w:val="0"/>
          <w:marBottom w:val="0"/>
          <w:divBdr>
            <w:top w:val="none" w:sz="0" w:space="0" w:color="auto"/>
            <w:left w:val="none" w:sz="0" w:space="0" w:color="auto"/>
            <w:bottom w:val="none" w:sz="0" w:space="0" w:color="auto"/>
            <w:right w:val="none" w:sz="0" w:space="0" w:color="auto"/>
          </w:divBdr>
        </w:div>
        <w:div w:id="1219971420">
          <w:marLeft w:val="0"/>
          <w:marRight w:val="0"/>
          <w:marTop w:val="0"/>
          <w:marBottom w:val="0"/>
          <w:divBdr>
            <w:top w:val="none" w:sz="0" w:space="0" w:color="auto"/>
            <w:left w:val="none" w:sz="0" w:space="0" w:color="auto"/>
            <w:bottom w:val="none" w:sz="0" w:space="0" w:color="auto"/>
            <w:right w:val="none" w:sz="0" w:space="0" w:color="auto"/>
          </w:divBdr>
        </w:div>
        <w:div w:id="1822649624">
          <w:marLeft w:val="0"/>
          <w:marRight w:val="0"/>
          <w:marTop w:val="0"/>
          <w:marBottom w:val="0"/>
          <w:divBdr>
            <w:top w:val="none" w:sz="0" w:space="0" w:color="auto"/>
            <w:left w:val="none" w:sz="0" w:space="0" w:color="auto"/>
            <w:bottom w:val="none" w:sz="0" w:space="0" w:color="auto"/>
            <w:right w:val="none" w:sz="0" w:space="0" w:color="auto"/>
          </w:divBdr>
        </w:div>
      </w:divsChild>
    </w:div>
    <w:div w:id="1752047802">
      <w:bodyDiv w:val="1"/>
      <w:marLeft w:val="0"/>
      <w:marRight w:val="0"/>
      <w:marTop w:val="0"/>
      <w:marBottom w:val="0"/>
      <w:divBdr>
        <w:top w:val="none" w:sz="0" w:space="0" w:color="auto"/>
        <w:left w:val="none" w:sz="0" w:space="0" w:color="auto"/>
        <w:bottom w:val="none" w:sz="0" w:space="0" w:color="auto"/>
        <w:right w:val="none" w:sz="0" w:space="0" w:color="auto"/>
      </w:divBdr>
    </w:div>
    <w:div w:id="1765490662">
      <w:bodyDiv w:val="1"/>
      <w:marLeft w:val="0"/>
      <w:marRight w:val="0"/>
      <w:marTop w:val="0"/>
      <w:marBottom w:val="0"/>
      <w:divBdr>
        <w:top w:val="none" w:sz="0" w:space="0" w:color="auto"/>
        <w:left w:val="none" w:sz="0" w:space="0" w:color="auto"/>
        <w:bottom w:val="none" w:sz="0" w:space="0" w:color="auto"/>
        <w:right w:val="none" w:sz="0" w:space="0" w:color="auto"/>
      </w:divBdr>
    </w:div>
    <w:div w:id="1801728971">
      <w:bodyDiv w:val="1"/>
      <w:marLeft w:val="0"/>
      <w:marRight w:val="0"/>
      <w:marTop w:val="0"/>
      <w:marBottom w:val="0"/>
      <w:divBdr>
        <w:top w:val="none" w:sz="0" w:space="0" w:color="auto"/>
        <w:left w:val="none" w:sz="0" w:space="0" w:color="auto"/>
        <w:bottom w:val="none" w:sz="0" w:space="0" w:color="auto"/>
        <w:right w:val="none" w:sz="0" w:space="0" w:color="auto"/>
      </w:divBdr>
    </w:div>
    <w:div w:id="1818642868">
      <w:bodyDiv w:val="1"/>
      <w:marLeft w:val="0"/>
      <w:marRight w:val="0"/>
      <w:marTop w:val="0"/>
      <w:marBottom w:val="0"/>
      <w:divBdr>
        <w:top w:val="none" w:sz="0" w:space="0" w:color="auto"/>
        <w:left w:val="none" w:sz="0" w:space="0" w:color="auto"/>
        <w:bottom w:val="none" w:sz="0" w:space="0" w:color="auto"/>
        <w:right w:val="none" w:sz="0" w:space="0" w:color="auto"/>
      </w:divBdr>
    </w:div>
    <w:div w:id="1845706033">
      <w:bodyDiv w:val="1"/>
      <w:marLeft w:val="0"/>
      <w:marRight w:val="0"/>
      <w:marTop w:val="0"/>
      <w:marBottom w:val="0"/>
      <w:divBdr>
        <w:top w:val="none" w:sz="0" w:space="0" w:color="auto"/>
        <w:left w:val="none" w:sz="0" w:space="0" w:color="auto"/>
        <w:bottom w:val="none" w:sz="0" w:space="0" w:color="auto"/>
        <w:right w:val="none" w:sz="0" w:space="0" w:color="auto"/>
      </w:divBdr>
    </w:div>
    <w:div w:id="1846900537">
      <w:bodyDiv w:val="1"/>
      <w:marLeft w:val="0"/>
      <w:marRight w:val="0"/>
      <w:marTop w:val="0"/>
      <w:marBottom w:val="0"/>
      <w:divBdr>
        <w:top w:val="none" w:sz="0" w:space="0" w:color="auto"/>
        <w:left w:val="none" w:sz="0" w:space="0" w:color="auto"/>
        <w:bottom w:val="none" w:sz="0" w:space="0" w:color="auto"/>
        <w:right w:val="none" w:sz="0" w:space="0" w:color="auto"/>
      </w:divBdr>
    </w:div>
    <w:div w:id="1874228967">
      <w:bodyDiv w:val="1"/>
      <w:marLeft w:val="0"/>
      <w:marRight w:val="0"/>
      <w:marTop w:val="0"/>
      <w:marBottom w:val="0"/>
      <w:divBdr>
        <w:top w:val="none" w:sz="0" w:space="0" w:color="auto"/>
        <w:left w:val="none" w:sz="0" w:space="0" w:color="auto"/>
        <w:bottom w:val="none" w:sz="0" w:space="0" w:color="auto"/>
        <w:right w:val="none" w:sz="0" w:space="0" w:color="auto"/>
      </w:divBdr>
    </w:div>
    <w:div w:id="1903366366">
      <w:bodyDiv w:val="1"/>
      <w:marLeft w:val="0"/>
      <w:marRight w:val="0"/>
      <w:marTop w:val="0"/>
      <w:marBottom w:val="0"/>
      <w:divBdr>
        <w:top w:val="none" w:sz="0" w:space="0" w:color="auto"/>
        <w:left w:val="none" w:sz="0" w:space="0" w:color="auto"/>
        <w:bottom w:val="none" w:sz="0" w:space="0" w:color="auto"/>
        <w:right w:val="none" w:sz="0" w:space="0" w:color="auto"/>
      </w:divBdr>
    </w:div>
    <w:div w:id="1931229469">
      <w:bodyDiv w:val="1"/>
      <w:marLeft w:val="0"/>
      <w:marRight w:val="0"/>
      <w:marTop w:val="0"/>
      <w:marBottom w:val="0"/>
      <w:divBdr>
        <w:top w:val="none" w:sz="0" w:space="0" w:color="auto"/>
        <w:left w:val="none" w:sz="0" w:space="0" w:color="auto"/>
        <w:bottom w:val="none" w:sz="0" w:space="0" w:color="auto"/>
        <w:right w:val="none" w:sz="0" w:space="0" w:color="auto"/>
      </w:divBdr>
    </w:div>
    <w:div w:id="1938442121">
      <w:bodyDiv w:val="1"/>
      <w:marLeft w:val="0"/>
      <w:marRight w:val="0"/>
      <w:marTop w:val="0"/>
      <w:marBottom w:val="0"/>
      <w:divBdr>
        <w:top w:val="none" w:sz="0" w:space="0" w:color="auto"/>
        <w:left w:val="none" w:sz="0" w:space="0" w:color="auto"/>
        <w:bottom w:val="none" w:sz="0" w:space="0" w:color="auto"/>
        <w:right w:val="none" w:sz="0" w:space="0" w:color="auto"/>
      </w:divBdr>
    </w:div>
    <w:div w:id="1948583254">
      <w:bodyDiv w:val="1"/>
      <w:marLeft w:val="0"/>
      <w:marRight w:val="0"/>
      <w:marTop w:val="0"/>
      <w:marBottom w:val="0"/>
      <w:divBdr>
        <w:top w:val="none" w:sz="0" w:space="0" w:color="auto"/>
        <w:left w:val="none" w:sz="0" w:space="0" w:color="auto"/>
        <w:bottom w:val="none" w:sz="0" w:space="0" w:color="auto"/>
        <w:right w:val="none" w:sz="0" w:space="0" w:color="auto"/>
      </w:divBdr>
    </w:div>
    <w:div w:id="2004316143">
      <w:bodyDiv w:val="1"/>
      <w:marLeft w:val="0"/>
      <w:marRight w:val="0"/>
      <w:marTop w:val="0"/>
      <w:marBottom w:val="0"/>
      <w:divBdr>
        <w:top w:val="none" w:sz="0" w:space="0" w:color="auto"/>
        <w:left w:val="none" w:sz="0" w:space="0" w:color="auto"/>
        <w:bottom w:val="none" w:sz="0" w:space="0" w:color="auto"/>
        <w:right w:val="none" w:sz="0" w:space="0" w:color="auto"/>
      </w:divBdr>
    </w:div>
    <w:div w:id="2010987783">
      <w:bodyDiv w:val="1"/>
      <w:marLeft w:val="0"/>
      <w:marRight w:val="0"/>
      <w:marTop w:val="0"/>
      <w:marBottom w:val="0"/>
      <w:divBdr>
        <w:top w:val="none" w:sz="0" w:space="0" w:color="auto"/>
        <w:left w:val="none" w:sz="0" w:space="0" w:color="auto"/>
        <w:bottom w:val="none" w:sz="0" w:space="0" w:color="auto"/>
        <w:right w:val="none" w:sz="0" w:space="0" w:color="auto"/>
      </w:divBdr>
    </w:div>
    <w:div w:id="2013222401">
      <w:bodyDiv w:val="1"/>
      <w:marLeft w:val="0"/>
      <w:marRight w:val="0"/>
      <w:marTop w:val="0"/>
      <w:marBottom w:val="0"/>
      <w:divBdr>
        <w:top w:val="none" w:sz="0" w:space="0" w:color="auto"/>
        <w:left w:val="none" w:sz="0" w:space="0" w:color="auto"/>
        <w:bottom w:val="none" w:sz="0" w:space="0" w:color="auto"/>
        <w:right w:val="none" w:sz="0" w:space="0" w:color="auto"/>
      </w:divBdr>
    </w:div>
    <w:div w:id="2014717239">
      <w:bodyDiv w:val="1"/>
      <w:marLeft w:val="0"/>
      <w:marRight w:val="0"/>
      <w:marTop w:val="0"/>
      <w:marBottom w:val="0"/>
      <w:divBdr>
        <w:top w:val="none" w:sz="0" w:space="0" w:color="auto"/>
        <w:left w:val="none" w:sz="0" w:space="0" w:color="auto"/>
        <w:bottom w:val="none" w:sz="0" w:space="0" w:color="auto"/>
        <w:right w:val="none" w:sz="0" w:space="0" w:color="auto"/>
      </w:divBdr>
    </w:div>
    <w:div w:id="2031760711">
      <w:bodyDiv w:val="1"/>
      <w:marLeft w:val="0"/>
      <w:marRight w:val="0"/>
      <w:marTop w:val="0"/>
      <w:marBottom w:val="0"/>
      <w:divBdr>
        <w:top w:val="none" w:sz="0" w:space="0" w:color="auto"/>
        <w:left w:val="none" w:sz="0" w:space="0" w:color="auto"/>
        <w:bottom w:val="none" w:sz="0" w:space="0" w:color="auto"/>
        <w:right w:val="none" w:sz="0" w:space="0" w:color="auto"/>
      </w:divBdr>
    </w:div>
    <w:div w:id="2061123355">
      <w:bodyDiv w:val="1"/>
      <w:marLeft w:val="0"/>
      <w:marRight w:val="0"/>
      <w:marTop w:val="0"/>
      <w:marBottom w:val="0"/>
      <w:divBdr>
        <w:top w:val="none" w:sz="0" w:space="0" w:color="auto"/>
        <w:left w:val="none" w:sz="0" w:space="0" w:color="auto"/>
        <w:bottom w:val="none" w:sz="0" w:space="0" w:color="auto"/>
        <w:right w:val="none" w:sz="0" w:space="0" w:color="auto"/>
      </w:divBdr>
    </w:div>
    <w:div w:id="2074425396">
      <w:bodyDiv w:val="1"/>
      <w:marLeft w:val="0"/>
      <w:marRight w:val="0"/>
      <w:marTop w:val="0"/>
      <w:marBottom w:val="0"/>
      <w:divBdr>
        <w:top w:val="none" w:sz="0" w:space="0" w:color="auto"/>
        <w:left w:val="none" w:sz="0" w:space="0" w:color="auto"/>
        <w:bottom w:val="none" w:sz="0" w:space="0" w:color="auto"/>
        <w:right w:val="none" w:sz="0" w:space="0" w:color="auto"/>
      </w:divBdr>
    </w:div>
    <w:div w:id="2082676547">
      <w:bodyDiv w:val="1"/>
      <w:marLeft w:val="0"/>
      <w:marRight w:val="0"/>
      <w:marTop w:val="0"/>
      <w:marBottom w:val="0"/>
      <w:divBdr>
        <w:top w:val="none" w:sz="0" w:space="0" w:color="auto"/>
        <w:left w:val="none" w:sz="0" w:space="0" w:color="auto"/>
        <w:bottom w:val="none" w:sz="0" w:space="0" w:color="auto"/>
        <w:right w:val="none" w:sz="0" w:space="0" w:color="auto"/>
      </w:divBdr>
    </w:div>
    <w:div w:id="2093355755">
      <w:bodyDiv w:val="1"/>
      <w:marLeft w:val="0"/>
      <w:marRight w:val="0"/>
      <w:marTop w:val="0"/>
      <w:marBottom w:val="0"/>
      <w:divBdr>
        <w:top w:val="none" w:sz="0" w:space="0" w:color="auto"/>
        <w:left w:val="none" w:sz="0" w:space="0" w:color="auto"/>
        <w:bottom w:val="none" w:sz="0" w:space="0" w:color="auto"/>
        <w:right w:val="none" w:sz="0" w:space="0" w:color="auto"/>
      </w:divBdr>
    </w:div>
    <w:div w:id="2097045010">
      <w:bodyDiv w:val="1"/>
      <w:marLeft w:val="0"/>
      <w:marRight w:val="0"/>
      <w:marTop w:val="0"/>
      <w:marBottom w:val="0"/>
      <w:divBdr>
        <w:top w:val="none" w:sz="0" w:space="0" w:color="auto"/>
        <w:left w:val="none" w:sz="0" w:space="0" w:color="auto"/>
        <w:bottom w:val="none" w:sz="0" w:space="0" w:color="auto"/>
        <w:right w:val="none" w:sz="0" w:space="0" w:color="auto"/>
      </w:divBdr>
    </w:div>
    <w:div w:id="2114475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ncca.org.au/index.php/departments/faith-unity" TargetMode="External"/><Relationship Id="rId26" Type="http://schemas.openxmlformats.org/officeDocument/2006/relationships/hyperlink" Target="http://www.lca.org.au/policies" TargetMode="External"/><Relationship Id="rId39" Type="http://schemas.openxmlformats.org/officeDocument/2006/relationships/hyperlink" Target="http://www.livestream.com/luthworship" TargetMode="External"/><Relationship Id="rId21" Type="http://schemas.openxmlformats.org/officeDocument/2006/relationships/hyperlink" Target="mailto:preventDFV@lca.org.au" TargetMode="External"/><Relationship Id="rId34" Type="http://schemas.openxmlformats.org/officeDocument/2006/relationships/hyperlink" Target="http://www.messagesofhope.org.au" TargetMode="External"/><Relationship Id="rId42" Type="http://schemas.openxmlformats.org/officeDocument/2006/relationships/hyperlink" Target="http://www.messagesofhope.org.au" TargetMode="External"/><Relationship Id="rId47" Type="http://schemas.openxmlformats.org/officeDocument/2006/relationships/hyperlink" Target="http://www.messagesofhope.org.nz" TargetMode="External"/><Relationship Id="rId50" Type="http://schemas.openxmlformats.org/officeDocument/2006/relationships/image" Target="media/image60.jpeg"/><Relationship Id="rId55" Type="http://schemas.openxmlformats.org/officeDocument/2006/relationships/image" Target="media/image9.jpeg"/><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www.ncca.org.au/index.php/departments/eco-mission" TargetMode="External"/><Relationship Id="rId29" Type="http://schemas.openxmlformats.org/officeDocument/2006/relationships/image" Target="media/image5.jpg"/><Relationship Id="rId41" Type="http://schemas.openxmlformats.org/officeDocument/2006/relationships/hyperlink" Target="http://www.happyland.com.au" TargetMode="External"/><Relationship Id="rId54" Type="http://schemas.openxmlformats.org/officeDocument/2006/relationships/image" Target="media/image80.jpeg"/><Relationship Id="rId62"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jpeg"/><Relationship Id="rId32" Type="http://schemas.openxmlformats.org/officeDocument/2006/relationships/hyperlink" Target="http://www.lutheransforlife.lca.org.au" TargetMode="External"/><Relationship Id="rId37" Type="http://schemas.openxmlformats.org/officeDocument/2006/relationships/hyperlink" Target="http://www.messagesofhope.org.au" TargetMode="External"/><Relationship Id="rId40" Type="http://schemas.openxmlformats.org/officeDocument/2006/relationships/hyperlink" Target="http://www.messagesofhope.org.au/dementia" TargetMode="External"/><Relationship Id="rId45" Type="http://schemas.openxmlformats.org/officeDocument/2006/relationships/hyperlink" Target="http://www.mountainside.co.nz" TargetMode="External"/><Relationship Id="rId53" Type="http://schemas.openxmlformats.org/officeDocument/2006/relationships/image" Target="media/image8.jpeg"/><Relationship Id="rId58" Type="http://schemas.openxmlformats.org/officeDocument/2006/relationships/chart" Target="charts/chart2.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3.jpeg"/><Relationship Id="rId28" Type="http://schemas.openxmlformats.org/officeDocument/2006/relationships/hyperlink" Target="http://www.convention2018.lca.org.au" TargetMode="External"/><Relationship Id="rId36" Type="http://schemas.openxmlformats.org/officeDocument/2006/relationships/hyperlink" Target="http://www.happyland.com.au" TargetMode="External"/><Relationship Id="rId49" Type="http://schemas.openxmlformats.org/officeDocument/2006/relationships/image" Target="media/image6.jpeg"/><Relationship Id="rId57" Type="http://schemas.openxmlformats.org/officeDocument/2006/relationships/chart" Target="charts/chart1.xml"/><Relationship Id="rId61" Type="http://schemas.openxmlformats.org/officeDocument/2006/relationships/image" Target="media/image10.png"/><Relationship Id="rId10" Type="http://schemas.openxmlformats.org/officeDocument/2006/relationships/footnotes" Target="footnotes.xml"/><Relationship Id="rId19" Type="http://schemas.openxmlformats.org/officeDocument/2006/relationships/hyperlink" Target="http://www.ncca.org.au/index.php/departments/safe-church-program" TargetMode="External"/><Relationship Id="rId31" Type="http://schemas.openxmlformats.org/officeDocument/2006/relationships/hyperlink" Target="http://www.lcamission.org.au/" TargetMode="External"/><Relationship Id="rId44" Type="http://schemas.openxmlformats.org/officeDocument/2006/relationships/hyperlink" Target="http://www.lutheran.org.nz" TargetMode="External"/><Relationship Id="rId52" Type="http://schemas.openxmlformats.org/officeDocument/2006/relationships/image" Target="media/image70.jpg"/><Relationship Id="rId60" Type="http://schemas.openxmlformats.org/officeDocument/2006/relationships/hyperlink" Target="mailto:gccblea@lca.org.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yperlink" Target="http://www.lca.org.au/pastoral-ministry-research-paper-released/" TargetMode="External"/><Relationship Id="rId27" Type="http://schemas.openxmlformats.org/officeDocument/2006/relationships/hyperlink" Target="mailto:preventDFV@lca.org.au" TargetMode="External"/><Relationship Id="rId30" Type="http://schemas.openxmlformats.org/officeDocument/2006/relationships/footer" Target="footer4.xml"/><Relationship Id="rId35" Type="http://schemas.openxmlformats.org/officeDocument/2006/relationships/hyperlink" Target="http://www.messagesofhope.org.nz" TargetMode="External"/><Relationship Id="rId43" Type="http://schemas.openxmlformats.org/officeDocument/2006/relationships/hyperlink" Target="http://www.messagesofhope.org.nz" TargetMode="External"/><Relationship Id="rId48" Type="http://schemas.openxmlformats.org/officeDocument/2006/relationships/hyperlink" Target="http://www.lutheranmedia.org.au/donations" TargetMode="External"/><Relationship Id="rId56" Type="http://schemas.openxmlformats.org/officeDocument/2006/relationships/image" Target="media/image90.jpeg"/><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7.jp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www.ncca.org.au" TargetMode="External"/><Relationship Id="rId25" Type="http://schemas.openxmlformats.org/officeDocument/2006/relationships/hyperlink" Target="http://www.lca.org.au/psd-training" TargetMode="External"/><Relationship Id="rId33" Type="http://schemas.openxmlformats.org/officeDocument/2006/relationships/hyperlink" Target="http://www.lutheranmedia.org.au" TargetMode="External"/><Relationship Id="rId38" Type="http://schemas.openxmlformats.org/officeDocument/2006/relationships/hyperlink" Target="http://www.messagesofhope.org.nz" TargetMode="External"/><Relationship Id="rId46" Type="http://schemas.openxmlformats.org/officeDocument/2006/relationships/hyperlink" Target="http://www.messagesofhope.org.au" TargetMode="External"/><Relationship Id="rId59" Type="http://schemas.openxmlformats.org/officeDocument/2006/relationships/chart" Target="charts/chart3.xml"/></Relationships>
</file>

<file path=word/_rels/footnotes.xml.rels><?xml version="1.0" encoding="UTF-8" standalone="yes"?>
<Relationships xmlns="http://schemas.openxmlformats.org/package/2006/relationships"><Relationship Id="rId3" Type="http://schemas.openxmlformats.org/officeDocument/2006/relationships/hyperlink" Target="https://www.researchgate.net/publication/254243496_From_prison_to_integration_Applying_modified_labeling_theory_to_sex_offenders" TargetMode="External"/><Relationship Id="rId7" Type="http://schemas.openxmlformats.org/officeDocument/2006/relationships/hyperlink" Target="https://www.smart.gov/SOMAPI/sec1/ch8_strategies.html" TargetMode="External"/><Relationship Id="rId2" Type="http://schemas.openxmlformats.org/officeDocument/2006/relationships/hyperlink" Target="https://www.researchgate.net/publication/254243496_From_prison_to_integration_Applying_modified_labeling_theory_to_sex_offenders" TargetMode="External"/><Relationship Id="rId1" Type="http://schemas.openxmlformats.org/officeDocument/2006/relationships/hyperlink" Target="https://www.psychologytoday.com/blog/talking-about-trauma/201509/the-sex-offender-next-door-why-reintegration-helps" TargetMode="External"/><Relationship Id="rId6" Type="http://schemas.openxmlformats.org/officeDocument/2006/relationships/hyperlink" Target="https://www.researchgate.net/profile/Niklas_Langstroem/publication/236246389_Risk_of_Sexual_Recidivism_in_Adolescents_Who_Offend_Sexually_correlates_and_assessment/links/00b49518586381fafe000000/Risk-of-Sexual-Recidivism-in-Adolescents-Who-Offend-Sexually-correlates-and-assessment.pdf" TargetMode="External"/><Relationship Id="rId5" Type="http://schemas.openxmlformats.org/officeDocument/2006/relationships/hyperlink" Target="https://www.researchgate.net/profile/Niklas_Langstroem/publication/236246389_Risk_of_Sexual_Recidivism_in_Adolescents_Who_Offend_Sexually_correlates_and_assessment/links/00b49518586381fafe000000/Risk-of-Sexual-Recidivism-in-Adolescents-Who-Offend-Sexually-correlates-and-assessment.pdf" TargetMode="External"/><Relationship Id="rId4" Type="http://schemas.openxmlformats.org/officeDocument/2006/relationships/hyperlink" Target="https://www.researchgate.net/profile/Niklas_Langstroem/publication/236246389_Risk_of_Sexual_Recidivismin_Adolescents_"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sharepoint.lutheran.edu.au:448/Office/Statistics/SchoolOpenings.xls"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https://sharepoint.lutheran.edu.au:448/Office/Statistics/Archive/LEAStatisticalReport2017ES.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sharepoint.lutheran.edu.au:448/Office/Statistics/Archive/LEAStatisticalReport2017E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en-AU"/>
              <a:t>Growth of Lutheran schools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endParaRPr lang="en-US"/>
        </a:p>
      </c:txPr>
    </c:title>
    <c:autoTitleDeleted val="0"/>
    <c:plotArea>
      <c:layout>
        <c:manualLayout>
          <c:layoutTarget val="inner"/>
          <c:xMode val="edge"/>
          <c:yMode val="edge"/>
          <c:x val="2.8803351662738938E-2"/>
          <c:y val="0.18886406915670975"/>
          <c:w val="0.96566256986926124"/>
          <c:h val="0.71511013879170615"/>
        </c:manualLayout>
      </c:layout>
      <c:lineChart>
        <c:grouping val="standard"/>
        <c:varyColors val="0"/>
        <c:ser>
          <c:idx val="1"/>
          <c:order val="0"/>
          <c:spPr>
            <a:ln w="19050" cap="rnd" cmpd="sng" algn="ctr">
              <a:solidFill>
                <a:schemeClr val="tx1"/>
              </a:solidFill>
              <a:prstDash val="solid"/>
              <a:round/>
            </a:ln>
            <a:effectLst/>
          </c:spPr>
          <c:marker>
            <c:symbol val="none"/>
          </c:marker>
          <c:dLbls>
            <c:dLbl>
              <c:idx val="0"/>
              <c:layout>
                <c:manualLayout>
                  <c:x val="-2.3566378633150045E-2"/>
                  <c:y val="3.14960629921259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4C6-43A4-9FF0-0F64E94DAB50}"/>
                </c:ext>
              </c:extLst>
            </c:dLbl>
            <c:dLbl>
              <c:idx val="1"/>
              <c:layout>
                <c:manualLayout>
                  <c:x val="-2.8803351662738962E-2"/>
                  <c:y val="4.04949381327334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4C6-43A4-9FF0-0F64E94DAB50}"/>
                </c:ext>
              </c:extLst>
            </c:dLbl>
            <c:dLbl>
              <c:idx val="2"/>
              <c:layout>
                <c:manualLayout>
                  <c:x val="-2.0947892118355592E-2"/>
                  <c:y val="3.5995500562429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4C6-43A4-9FF0-0F64E94DAB50}"/>
                </c:ext>
              </c:extLst>
            </c:dLbl>
            <c:dLbl>
              <c:idx val="3"/>
              <c:layout>
                <c:manualLayout>
                  <c:x val="-2.3566378633150038E-2"/>
                  <c:y val="4.04949381327334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4C6-43A4-9FF0-0F64E94DAB50}"/>
                </c:ext>
              </c:extLst>
            </c:dLbl>
            <c:dLbl>
              <c:idx val="4"/>
              <c:layout>
                <c:manualLayout>
                  <c:x val="-2.0947892118355592E-2"/>
                  <c:y val="4.49943757030370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4C6-43A4-9FF0-0F64E94DAB50}"/>
                </c:ext>
              </c:extLst>
            </c:dLbl>
            <c:dLbl>
              <c:idx val="5"/>
              <c:layout>
                <c:manualLayout>
                  <c:x val="-1.8329405603561142E-2"/>
                  <c:y val="4.49943757030370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4C6-43A4-9FF0-0F64E94DAB50}"/>
                </c:ext>
              </c:extLst>
            </c:dLbl>
            <c:dLbl>
              <c:idx val="6"/>
              <c:layout>
                <c:manualLayout>
                  <c:x val="-1.3092432573972244E-2"/>
                  <c:y val="2.69966254218222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4C6-43A4-9FF0-0F64E94DAB50}"/>
                </c:ext>
              </c:extLst>
            </c:dLbl>
            <c:dLbl>
              <c:idx val="7"/>
              <c:layout>
                <c:manualLayout>
                  <c:x val="-1.5710919088766789E-2"/>
                  <c:y val="4.49943757030371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4C6-43A4-9FF0-0F64E94DAB50}"/>
                </c:ext>
              </c:extLst>
            </c:dLbl>
            <c:dLbl>
              <c:idx val="8"/>
              <c:layout>
                <c:manualLayout>
                  <c:x val="-1.3092432573972244E-2"/>
                  <c:y val="3.14960629921259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4C6-43A4-9FF0-0F64E94DAB50}"/>
                </c:ext>
              </c:extLst>
            </c:dLbl>
            <c:dLbl>
              <c:idx val="9"/>
              <c:layout>
                <c:manualLayout>
                  <c:x val="-1.8329405603561142E-2"/>
                  <c:y val="3.14960629921259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4C6-43A4-9FF0-0F64E94DAB50}"/>
                </c:ext>
              </c:extLst>
            </c:dLbl>
            <c:dLbl>
              <c:idx val="10"/>
              <c:layout>
                <c:manualLayout>
                  <c:x val="-2.0947892118355592E-2"/>
                  <c:y val="3.14960629921259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4C6-43A4-9FF0-0F64E94DAB50}"/>
                </c:ext>
              </c:extLst>
            </c:dLbl>
            <c:dLbl>
              <c:idx val="11"/>
              <c:layout>
                <c:manualLayout>
                  <c:x val="-3.1421838177533384E-2"/>
                  <c:y val="2.6996625421822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4C6-43A4-9FF0-0F64E94DAB50}"/>
                </c:ext>
              </c:extLst>
            </c:dLbl>
            <c:dLbl>
              <c:idx val="12"/>
              <c:layout>
                <c:manualLayout>
                  <c:x val="-3.1421838177533482E-2"/>
                  <c:y val="3.14960629921260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4C6-43A4-9FF0-0F64E94DAB50}"/>
                </c:ext>
              </c:extLst>
            </c:dLbl>
            <c:dLbl>
              <c:idx val="13"/>
              <c:layout>
                <c:manualLayout>
                  <c:x val="-3.927729772191673E-2"/>
                  <c:y val="3.59955005624296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4C6-43A4-9FF0-0F64E94DAB50}"/>
                </c:ext>
              </c:extLst>
            </c:dLbl>
            <c:dLbl>
              <c:idx val="14"/>
              <c:layout>
                <c:manualLayout>
                  <c:x val="-4.7132757266300077E-2"/>
                  <c:y val="4.04949381327333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4C6-43A4-9FF0-0F64E94DAB50}"/>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'[SchoolOpenings.xls]School numbers 1919-2017'!$G$93:$U$93</c:f>
              <c:numCache>
                <c:formatCode>General</c:formatCode>
                <c:ptCount val="15"/>
                <c:pt idx="0">
                  <c:v>1919</c:v>
                </c:pt>
                <c:pt idx="1">
                  <c:v>1929</c:v>
                </c:pt>
                <c:pt idx="2">
                  <c:v>1939</c:v>
                </c:pt>
                <c:pt idx="3">
                  <c:v>1949</c:v>
                </c:pt>
                <c:pt idx="4">
                  <c:v>1959</c:v>
                </c:pt>
                <c:pt idx="5">
                  <c:v>1969</c:v>
                </c:pt>
                <c:pt idx="6">
                  <c:v>1979</c:v>
                </c:pt>
                <c:pt idx="7">
                  <c:v>1989</c:v>
                </c:pt>
                <c:pt idx="8">
                  <c:v>1999</c:v>
                </c:pt>
                <c:pt idx="9">
                  <c:v>2009</c:v>
                </c:pt>
                <c:pt idx="10">
                  <c:v>2014</c:v>
                </c:pt>
                <c:pt idx="11">
                  <c:v>2015</c:v>
                </c:pt>
                <c:pt idx="12">
                  <c:v>2016</c:v>
                </c:pt>
                <c:pt idx="13">
                  <c:v>2017</c:v>
                </c:pt>
                <c:pt idx="14">
                  <c:v>2018</c:v>
                </c:pt>
              </c:numCache>
            </c:numRef>
          </c:cat>
          <c:val>
            <c:numRef>
              <c:f>'[SchoolOpenings.xls]School numbers 1919-2017'!$G$94:$U$94</c:f>
              <c:numCache>
                <c:formatCode>General</c:formatCode>
                <c:ptCount val="15"/>
                <c:pt idx="0">
                  <c:v>14</c:v>
                </c:pt>
                <c:pt idx="1">
                  <c:v>18</c:v>
                </c:pt>
                <c:pt idx="2">
                  <c:v>25</c:v>
                </c:pt>
                <c:pt idx="3">
                  <c:v>29</c:v>
                </c:pt>
                <c:pt idx="4">
                  <c:v>26</c:v>
                </c:pt>
                <c:pt idx="5">
                  <c:v>28</c:v>
                </c:pt>
                <c:pt idx="6">
                  <c:v>38</c:v>
                </c:pt>
                <c:pt idx="7">
                  <c:v>70</c:v>
                </c:pt>
                <c:pt idx="8">
                  <c:v>81</c:v>
                </c:pt>
                <c:pt idx="9">
                  <c:v>85</c:v>
                </c:pt>
                <c:pt idx="10">
                  <c:v>86</c:v>
                </c:pt>
                <c:pt idx="11">
                  <c:v>85</c:v>
                </c:pt>
                <c:pt idx="12">
                  <c:v>84</c:v>
                </c:pt>
                <c:pt idx="13">
                  <c:v>83</c:v>
                </c:pt>
                <c:pt idx="14">
                  <c:v>80</c:v>
                </c:pt>
              </c:numCache>
            </c:numRef>
          </c:val>
          <c:smooth val="0"/>
          <c:extLst>
            <c:ext xmlns:c16="http://schemas.microsoft.com/office/drawing/2014/chart" uri="{C3380CC4-5D6E-409C-BE32-E72D297353CC}">
              <c16:uniqueId val="{0000000F-14C6-43A4-9FF0-0F64E94DAB50}"/>
            </c:ext>
          </c:extLst>
        </c:ser>
        <c:dLbls>
          <c:showLegendKey val="0"/>
          <c:showVal val="0"/>
          <c:showCatName val="0"/>
          <c:showSerName val="0"/>
          <c:showPercent val="0"/>
          <c:showBubbleSize val="0"/>
        </c:dLbls>
        <c:smooth val="0"/>
        <c:axId val="883030056"/>
        <c:axId val="883027312"/>
      </c:lineChart>
      <c:catAx>
        <c:axId val="883030056"/>
        <c:scaling>
          <c:orientation val="minMax"/>
        </c:scaling>
        <c:delete val="0"/>
        <c:axPos val="b"/>
        <c:numFmt formatCode="General" sourceLinked="1"/>
        <c:majorTickMark val="none"/>
        <c:minorTickMark val="none"/>
        <c:tickLblPos val="nextTo"/>
        <c:spPr>
          <a:noFill/>
          <a:ln w="9525" cap="flat" cmpd="sng" algn="ctr">
            <a:solidFill>
              <a:schemeClr val="tx1"/>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883027312"/>
        <c:crosses val="autoZero"/>
        <c:auto val="1"/>
        <c:lblAlgn val="ctr"/>
        <c:lblOffset val="100"/>
        <c:noMultiLvlLbl val="0"/>
      </c:catAx>
      <c:valAx>
        <c:axId val="883027312"/>
        <c:scaling>
          <c:orientation val="minMax"/>
        </c:scaling>
        <c:delete val="1"/>
        <c:axPos val="l"/>
        <c:numFmt formatCode="General" sourceLinked="1"/>
        <c:majorTickMark val="out"/>
        <c:minorTickMark val="none"/>
        <c:tickLblPos val="nextTo"/>
        <c:crossAx val="883030056"/>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solidFill>
            <a:schemeClr val="tx1"/>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50" b="1" i="0" u="none" strike="noStrike" baseline="0">
                <a:solidFill>
                  <a:srgbClr val="000000"/>
                </a:solidFill>
                <a:latin typeface="Arial"/>
                <a:ea typeface="Arial"/>
                <a:cs typeface="Arial"/>
              </a:defRPr>
            </a:pPr>
            <a:r>
              <a:rPr lang="en-AU" sz="1800"/>
              <a:t>Staff </a:t>
            </a:r>
          </a:p>
        </c:rich>
      </c:tx>
      <c:layout>
        <c:manualLayout>
          <c:xMode val="edge"/>
          <c:yMode val="edge"/>
          <c:x val="4.7541033748734161E-2"/>
          <c:y val="2.9411764705882353E-2"/>
        </c:manualLayout>
      </c:layout>
      <c:overlay val="0"/>
      <c:spPr>
        <a:noFill/>
        <a:ln w="25400">
          <a:noFill/>
        </a:ln>
      </c:spPr>
    </c:title>
    <c:autoTitleDeleted val="0"/>
    <c:plotArea>
      <c:layout>
        <c:manualLayout>
          <c:layoutTarget val="inner"/>
          <c:xMode val="edge"/>
          <c:yMode val="edge"/>
          <c:x val="4.3728549077507041E-2"/>
          <c:y val="0.15560878000429629"/>
          <c:w val="0.9453645348420826"/>
          <c:h val="0.72347891685991539"/>
        </c:manualLayout>
      </c:layout>
      <c:lineChart>
        <c:grouping val="standard"/>
        <c:varyColors val="0"/>
        <c:ser>
          <c:idx val="0"/>
          <c:order val="0"/>
          <c:tx>
            <c:strRef>
              <c:f>'[LEAStatisticalReport2017ES.xls]Trend 83-'!$A$47</c:f>
              <c:strCache>
                <c:ptCount val="1"/>
                <c:pt idx="0">
                  <c:v>TOTAL STAFF</c:v>
                </c:pt>
              </c:strCache>
            </c:strRef>
          </c:tx>
          <c:spPr>
            <a:ln w="38100">
              <a:solidFill>
                <a:schemeClr val="tx1"/>
              </a:solidFill>
              <a:prstDash val="sysDot"/>
            </a:ln>
          </c:spPr>
          <c:marker>
            <c:symbol val="none"/>
          </c:marker>
          <c:cat>
            <c:numRef>
              <c:f>'[LEAStatisticalReport2017ES.xls]Trend 83-'!$B$46:$AJ$46</c:f>
              <c:numCache>
                <c:formatCode>General</c:formatCode>
                <c:ptCount val="35"/>
                <c:pt idx="0">
                  <c:v>83</c:v>
                </c:pt>
                <c:pt idx="1">
                  <c:v>84</c:v>
                </c:pt>
                <c:pt idx="2">
                  <c:v>85</c:v>
                </c:pt>
                <c:pt idx="3">
                  <c:v>86</c:v>
                </c:pt>
                <c:pt idx="4">
                  <c:v>87</c:v>
                </c:pt>
                <c:pt idx="5">
                  <c:v>88</c:v>
                </c:pt>
                <c:pt idx="6">
                  <c:v>89</c:v>
                </c:pt>
                <c:pt idx="7">
                  <c:v>90</c:v>
                </c:pt>
                <c:pt idx="8">
                  <c:v>91</c:v>
                </c:pt>
                <c:pt idx="9">
                  <c:v>92</c:v>
                </c:pt>
                <c:pt idx="10">
                  <c:v>93</c:v>
                </c:pt>
                <c:pt idx="11">
                  <c:v>94</c:v>
                </c:pt>
                <c:pt idx="12">
                  <c:v>95</c:v>
                </c:pt>
                <c:pt idx="13">
                  <c:v>96</c:v>
                </c:pt>
                <c:pt idx="14">
                  <c:v>97</c:v>
                </c:pt>
                <c:pt idx="15">
                  <c:v>98</c:v>
                </c:pt>
                <c:pt idx="16">
                  <c:v>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numCache>
            </c:numRef>
          </c:cat>
          <c:val>
            <c:numRef>
              <c:f>'[LEAStatisticalReport2017ES.xls]Trend 83-'!$B$47:$AJ$47</c:f>
              <c:numCache>
                <c:formatCode>General</c:formatCode>
                <c:ptCount val="35"/>
                <c:pt idx="0">
                  <c:v>623</c:v>
                </c:pt>
                <c:pt idx="1">
                  <c:v>683</c:v>
                </c:pt>
                <c:pt idx="2">
                  <c:v>749</c:v>
                </c:pt>
                <c:pt idx="3">
                  <c:v>818</c:v>
                </c:pt>
                <c:pt idx="4">
                  <c:v>730</c:v>
                </c:pt>
                <c:pt idx="5">
                  <c:v>956</c:v>
                </c:pt>
                <c:pt idx="6">
                  <c:v>982</c:v>
                </c:pt>
                <c:pt idx="7">
                  <c:v>1024</c:v>
                </c:pt>
                <c:pt idx="8">
                  <c:v>1069</c:v>
                </c:pt>
                <c:pt idx="9">
                  <c:v>1136</c:v>
                </c:pt>
                <c:pt idx="10">
                  <c:v>1238</c:v>
                </c:pt>
                <c:pt idx="11">
                  <c:v>1314</c:v>
                </c:pt>
                <c:pt idx="12">
                  <c:v>1374</c:v>
                </c:pt>
                <c:pt idx="13">
                  <c:v>1435</c:v>
                </c:pt>
                <c:pt idx="14">
                  <c:v>1412</c:v>
                </c:pt>
                <c:pt idx="15">
                  <c:v>1461</c:v>
                </c:pt>
                <c:pt idx="16">
                  <c:v>1581</c:v>
                </c:pt>
                <c:pt idx="17">
                  <c:v>1624</c:v>
                </c:pt>
                <c:pt idx="18">
                  <c:v>1746</c:v>
                </c:pt>
                <c:pt idx="19">
                  <c:v>1888</c:v>
                </c:pt>
                <c:pt idx="20">
                  <c:v>1993</c:v>
                </c:pt>
                <c:pt idx="21">
                  <c:v>2175</c:v>
                </c:pt>
                <c:pt idx="22">
                  <c:v>2231.0700000000002</c:v>
                </c:pt>
                <c:pt idx="23">
                  <c:v>2351.9499999999998</c:v>
                </c:pt>
                <c:pt idx="24">
                  <c:v>2498.0070000000001</c:v>
                </c:pt>
                <c:pt idx="25">
                  <c:v>2629.02</c:v>
                </c:pt>
                <c:pt idx="26">
                  <c:v>2691.4300000000003</c:v>
                </c:pt>
                <c:pt idx="27">
                  <c:v>2777.1800000000003</c:v>
                </c:pt>
                <c:pt idx="28">
                  <c:v>2833.18</c:v>
                </c:pt>
                <c:pt idx="29">
                  <c:v>2906.973</c:v>
                </c:pt>
                <c:pt idx="30">
                  <c:v>2788.462</c:v>
                </c:pt>
                <c:pt idx="31">
                  <c:v>2874.6299999999997</c:v>
                </c:pt>
                <c:pt idx="32">
                  <c:v>2916.36</c:v>
                </c:pt>
                <c:pt idx="33">
                  <c:v>2982.75</c:v>
                </c:pt>
                <c:pt idx="34">
                  <c:v>2991.0499999999997</c:v>
                </c:pt>
              </c:numCache>
            </c:numRef>
          </c:val>
          <c:smooth val="0"/>
          <c:extLst>
            <c:ext xmlns:c16="http://schemas.microsoft.com/office/drawing/2014/chart" uri="{C3380CC4-5D6E-409C-BE32-E72D297353CC}">
              <c16:uniqueId val="{00000000-0598-4B2E-B0DF-69377160FE0B}"/>
            </c:ext>
          </c:extLst>
        </c:ser>
        <c:ser>
          <c:idx val="1"/>
          <c:order val="1"/>
          <c:tx>
            <c:strRef>
              <c:f>'[LEAStatisticalReport2017ES.xls]Trend 83-'!$A$48</c:f>
              <c:strCache>
                <c:ptCount val="1"/>
                <c:pt idx="0">
                  <c:v>Lutheran  </c:v>
                </c:pt>
              </c:strCache>
            </c:strRef>
          </c:tx>
          <c:spPr>
            <a:ln w="38100" cmpd="dbl">
              <a:solidFill>
                <a:schemeClr val="tx1"/>
              </a:solidFill>
              <a:prstDash val="lgDash"/>
            </a:ln>
          </c:spPr>
          <c:marker>
            <c:symbol val="none"/>
          </c:marker>
          <c:cat>
            <c:numRef>
              <c:f>'[LEAStatisticalReport2017ES.xls]Trend 83-'!$B$46:$AJ$46</c:f>
              <c:numCache>
                <c:formatCode>General</c:formatCode>
                <c:ptCount val="35"/>
                <c:pt idx="0">
                  <c:v>83</c:v>
                </c:pt>
                <c:pt idx="1">
                  <c:v>84</c:v>
                </c:pt>
                <c:pt idx="2">
                  <c:v>85</c:v>
                </c:pt>
                <c:pt idx="3">
                  <c:v>86</c:v>
                </c:pt>
                <c:pt idx="4">
                  <c:v>87</c:v>
                </c:pt>
                <c:pt idx="5">
                  <c:v>88</c:v>
                </c:pt>
                <c:pt idx="6">
                  <c:v>89</c:v>
                </c:pt>
                <c:pt idx="7">
                  <c:v>90</c:v>
                </c:pt>
                <c:pt idx="8">
                  <c:v>91</c:v>
                </c:pt>
                <c:pt idx="9">
                  <c:v>92</c:v>
                </c:pt>
                <c:pt idx="10">
                  <c:v>93</c:v>
                </c:pt>
                <c:pt idx="11">
                  <c:v>94</c:v>
                </c:pt>
                <c:pt idx="12">
                  <c:v>95</c:v>
                </c:pt>
                <c:pt idx="13">
                  <c:v>96</c:v>
                </c:pt>
                <c:pt idx="14">
                  <c:v>97</c:v>
                </c:pt>
                <c:pt idx="15">
                  <c:v>98</c:v>
                </c:pt>
                <c:pt idx="16">
                  <c:v>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numCache>
            </c:numRef>
          </c:cat>
          <c:val>
            <c:numRef>
              <c:f>'[LEAStatisticalReport2017ES.xls]Trend 83-'!$B$48:$AJ$48</c:f>
              <c:numCache>
                <c:formatCode>General</c:formatCode>
                <c:ptCount val="35"/>
                <c:pt idx="0">
                  <c:v>464</c:v>
                </c:pt>
                <c:pt idx="1">
                  <c:v>505</c:v>
                </c:pt>
                <c:pt idx="2">
                  <c:v>552</c:v>
                </c:pt>
                <c:pt idx="3">
                  <c:v>597</c:v>
                </c:pt>
                <c:pt idx="4">
                  <c:v>553</c:v>
                </c:pt>
                <c:pt idx="5">
                  <c:v>683</c:v>
                </c:pt>
                <c:pt idx="6">
                  <c:v>701</c:v>
                </c:pt>
                <c:pt idx="7">
                  <c:v>724</c:v>
                </c:pt>
                <c:pt idx="8">
                  <c:v>758</c:v>
                </c:pt>
                <c:pt idx="9">
                  <c:v>800</c:v>
                </c:pt>
                <c:pt idx="10">
                  <c:v>881</c:v>
                </c:pt>
                <c:pt idx="11">
                  <c:v>914</c:v>
                </c:pt>
                <c:pt idx="12">
                  <c:v>926</c:v>
                </c:pt>
                <c:pt idx="13">
                  <c:v>928</c:v>
                </c:pt>
                <c:pt idx="14">
                  <c:v>886</c:v>
                </c:pt>
                <c:pt idx="15">
                  <c:v>882</c:v>
                </c:pt>
                <c:pt idx="16">
                  <c:v>911</c:v>
                </c:pt>
                <c:pt idx="17">
                  <c:v>911</c:v>
                </c:pt>
                <c:pt idx="18">
                  <c:v>931</c:v>
                </c:pt>
                <c:pt idx="19">
                  <c:v>959</c:v>
                </c:pt>
                <c:pt idx="20">
                  <c:v>970</c:v>
                </c:pt>
                <c:pt idx="21">
                  <c:v>999</c:v>
                </c:pt>
                <c:pt idx="22">
                  <c:v>995.06</c:v>
                </c:pt>
                <c:pt idx="23">
                  <c:v>1023.4</c:v>
                </c:pt>
                <c:pt idx="24">
                  <c:v>1038.472</c:v>
                </c:pt>
                <c:pt idx="25">
                  <c:v>1065.75</c:v>
                </c:pt>
                <c:pt idx="26">
                  <c:v>1040.5900000000001</c:v>
                </c:pt>
                <c:pt idx="27">
                  <c:v>1042.038</c:v>
                </c:pt>
                <c:pt idx="28">
                  <c:v>1035.8530000000001</c:v>
                </c:pt>
                <c:pt idx="29">
                  <c:v>1063.3180000000002</c:v>
                </c:pt>
                <c:pt idx="30">
                  <c:v>1027.1999999999998</c:v>
                </c:pt>
                <c:pt idx="31">
                  <c:v>970.45799999999997</c:v>
                </c:pt>
                <c:pt idx="32">
                  <c:v>950.21999999999991</c:v>
                </c:pt>
                <c:pt idx="33">
                  <c:v>931.5</c:v>
                </c:pt>
                <c:pt idx="34">
                  <c:v>934.28</c:v>
                </c:pt>
              </c:numCache>
            </c:numRef>
          </c:val>
          <c:smooth val="0"/>
          <c:extLst>
            <c:ext xmlns:c16="http://schemas.microsoft.com/office/drawing/2014/chart" uri="{C3380CC4-5D6E-409C-BE32-E72D297353CC}">
              <c16:uniqueId val="{00000001-0598-4B2E-B0DF-69377160FE0B}"/>
            </c:ext>
          </c:extLst>
        </c:ser>
        <c:ser>
          <c:idx val="2"/>
          <c:order val="2"/>
          <c:tx>
            <c:strRef>
              <c:f>'[LEAStatisticalReport2017ES.xls]Trend 83-'!$A$49</c:f>
              <c:strCache>
                <c:ptCount val="1"/>
                <c:pt idx="0">
                  <c:v>Other</c:v>
                </c:pt>
              </c:strCache>
            </c:strRef>
          </c:tx>
          <c:spPr>
            <a:ln w="38100">
              <a:solidFill>
                <a:schemeClr val="tx1"/>
              </a:solidFill>
              <a:prstDash val="dash"/>
            </a:ln>
          </c:spPr>
          <c:marker>
            <c:symbol val="none"/>
          </c:marker>
          <c:cat>
            <c:numRef>
              <c:f>'[LEAStatisticalReport2017ES.xls]Trend 83-'!$B$46:$AJ$46</c:f>
              <c:numCache>
                <c:formatCode>General</c:formatCode>
                <c:ptCount val="35"/>
                <c:pt idx="0">
                  <c:v>83</c:v>
                </c:pt>
                <c:pt idx="1">
                  <c:v>84</c:v>
                </c:pt>
                <c:pt idx="2">
                  <c:v>85</c:v>
                </c:pt>
                <c:pt idx="3">
                  <c:v>86</c:v>
                </c:pt>
                <c:pt idx="4">
                  <c:v>87</c:v>
                </c:pt>
                <c:pt idx="5">
                  <c:v>88</c:v>
                </c:pt>
                <c:pt idx="6">
                  <c:v>89</c:v>
                </c:pt>
                <c:pt idx="7">
                  <c:v>90</c:v>
                </c:pt>
                <c:pt idx="8">
                  <c:v>91</c:v>
                </c:pt>
                <c:pt idx="9">
                  <c:v>92</c:v>
                </c:pt>
                <c:pt idx="10">
                  <c:v>93</c:v>
                </c:pt>
                <c:pt idx="11">
                  <c:v>94</c:v>
                </c:pt>
                <c:pt idx="12">
                  <c:v>95</c:v>
                </c:pt>
                <c:pt idx="13">
                  <c:v>96</c:v>
                </c:pt>
                <c:pt idx="14">
                  <c:v>97</c:v>
                </c:pt>
                <c:pt idx="15">
                  <c:v>98</c:v>
                </c:pt>
                <c:pt idx="16">
                  <c:v>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numCache>
            </c:numRef>
          </c:cat>
          <c:val>
            <c:numRef>
              <c:f>'[LEAStatisticalReport2017ES.xls]Trend 83-'!$B$49:$AJ$49</c:f>
              <c:numCache>
                <c:formatCode>General</c:formatCode>
                <c:ptCount val="35"/>
                <c:pt idx="0">
                  <c:v>159</c:v>
                </c:pt>
                <c:pt idx="1">
                  <c:v>178</c:v>
                </c:pt>
                <c:pt idx="2">
                  <c:v>197</c:v>
                </c:pt>
                <c:pt idx="3">
                  <c:v>221</c:v>
                </c:pt>
                <c:pt idx="4">
                  <c:v>177</c:v>
                </c:pt>
                <c:pt idx="5">
                  <c:v>273</c:v>
                </c:pt>
                <c:pt idx="6">
                  <c:v>281</c:v>
                </c:pt>
                <c:pt idx="7">
                  <c:v>300</c:v>
                </c:pt>
                <c:pt idx="8">
                  <c:v>311</c:v>
                </c:pt>
                <c:pt idx="9">
                  <c:v>336</c:v>
                </c:pt>
                <c:pt idx="10">
                  <c:v>357</c:v>
                </c:pt>
                <c:pt idx="11">
                  <c:v>400</c:v>
                </c:pt>
                <c:pt idx="12">
                  <c:v>448</c:v>
                </c:pt>
                <c:pt idx="13">
                  <c:v>507</c:v>
                </c:pt>
                <c:pt idx="14">
                  <c:v>526</c:v>
                </c:pt>
                <c:pt idx="15">
                  <c:v>579</c:v>
                </c:pt>
                <c:pt idx="16">
                  <c:v>670</c:v>
                </c:pt>
                <c:pt idx="17">
                  <c:v>713</c:v>
                </c:pt>
                <c:pt idx="18">
                  <c:v>815</c:v>
                </c:pt>
                <c:pt idx="19">
                  <c:v>929</c:v>
                </c:pt>
                <c:pt idx="20">
                  <c:v>1023</c:v>
                </c:pt>
                <c:pt idx="21">
                  <c:v>1176</c:v>
                </c:pt>
                <c:pt idx="22">
                  <c:v>1236.01</c:v>
                </c:pt>
                <c:pt idx="23">
                  <c:v>1328.55</c:v>
                </c:pt>
                <c:pt idx="24">
                  <c:v>1459.5349999999999</c:v>
                </c:pt>
                <c:pt idx="25">
                  <c:v>1563.27</c:v>
                </c:pt>
                <c:pt idx="26">
                  <c:v>1650.84</c:v>
                </c:pt>
                <c:pt idx="27">
                  <c:v>1735.1420000000001</c:v>
                </c:pt>
                <c:pt idx="28">
                  <c:v>1797.3269999999998</c:v>
                </c:pt>
                <c:pt idx="29">
                  <c:v>1843.655</c:v>
                </c:pt>
                <c:pt idx="30">
                  <c:v>1761.2620000000002</c:v>
                </c:pt>
                <c:pt idx="31">
                  <c:v>1904.172</c:v>
                </c:pt>
                <c:pt idx="32">
                  <c:v>1966.1399999999999</c:v>
                </c:pt>
                <c:pt idx="33">
                  <c:v>2051.25</c:v>
                </c:pt>
                <c:pt idx="34">
                  <c:v>2056.77</c:v>
                </c:pt>
              </c:numCache>
            </c:numRef>
          </c:val>
          <c:smooth val="0"/>
          <c:extLst>
            <c:ext xmlns:c16="http://schemas.microsoft.com/office/drawing/2014/chart" uri="{C3380CC4-5D6E-409C-BE32-E72D297353CC}">
              <c16:uniqueId val="{00000002-0598-4B2E-B0DF-69377160FE0B}"/>
            </c:ext>
          </c:extLst>
        </c:ser>
        <c:dLbls>
          <c:showLegendKey val="0"/>
          <c:showVal val="0"/>
          <c:showCatName val="0"/>
          <c:showSerName val="0"/>
          <c:showPercent val="0"/>
          <c:showBubbleSize val="0"/>
        </c:dLbls>
        <c:smooth val="0"/>
        <c:axId val="883027704"/>
        <c:axId val="883028880"/>
      </c:lineChart>
      <c:catAx>
        <c:axId val="883027704"/>
        <c:scaling>
          <c:orientation val="minMax"/>
        </c:scaling>
        <c:delete val="0"/>
        <c:axPos val="b"/>
        <c:numFmt formatCode="General" sourceLinked="1"/>
        <c:majorTickMark val="out"/>
        <c:minorTickMark val="none"/>
        <c:tickLblPos val="nextTo"/>
        <c:spPr>
          <a:ln w="3175">
            <a:solidFill>
              <a:srgbClr val="000000"/>
            </a:solidFill>
            <a:prstDash val="solid"/>
          </a:ln>
        </c:spPr>
        <c:txPr>
          <a:bodyPr rot="-2700000" vert="horz"/>
          <a:lstStyle/>
          <a:p>
            <a:pPr>
              <a:defRPr sz="600" b="0" i="0" u="none" strike="noStrike" baseline="0">
                <a:solidFill>
                  <a:srgbClr val="000000"/>
                </a:solidFill>
                <a:latin typeface="Arial"/>
                <a:ea typeface="Arial"/>
                <a:cs typeface="Arial"/>
              </a:defRPr>
            </a:pPr>
            <a:endParaRPr lang="en-US"/>
          </a:p>
        </c:txPr>
        <c:crossAx val="883028880"/>
        <c:crosses val="autoZero"/>
        <c:auto val="1"/>
        <c:lblAlgn val="ctr"/>
        <c:lblOffset val="100"/>
        <c:tickLblSkip val="1"/>
        <c:tickMarkSkip val="1"/>
        <c:noMultiLvlLbl val="0"/>
      </c:catAx>
      <c:valAx>
        <c:axId val="88302888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883027704"/>
        <c:crosses val="autoZero"/>
        <c:crossBetween val="between"/>
      </c:valAx>
      <c:spPr>
        <a:solidFill>
          <a:srgbClr val="FFFFFF"/>
        </a:solidFill>
        <a:ln w="12700">
          <a:solidFill>
            <a:srgbClr val="808080"/>
          </a:solidFill>
          <a:prstDash val="solid"/>
        </a:ln>
      </c:spPr>
    </c:plotArea>
    <c:legend>
      <c:legendPos val="t"/>
      <c:layout>
        <c:manualLayout>
          <c:xMode val="edge"/>
          <c:yMode val="edge"/>
          <c:x val="0.41639382478764958"/>
          <c:y val="1.6339869281045753E-2"/>
          <c:w val="0.57704953809907633"/>
          <c:h val="9.1503611068224314E-2"/>
        </c:manualLayout>
      </c:layout>
      <c:overlay val="0"/>
      <c:spPr>
        <a:solidFill>
          <a:srgbClr val="FFFFFF"/>
        </a:solidFill>
        <a:ln w="3175">
          <a:noFill/>
          <a:prstDash val="solid"/>
        </a:ln>
      </c:spPr>
      <c:txPr>
        <a:bodyPr/>
        <a:lstStyle/>
        <a:p>
          <a:pPr>
            <a:defRPr sz="1000" b="0" i="0" u="none" strike="noStrike" baseline="0">
              <a:solidFill>
                <a:srgbClr val="000000"/>
              </a:solidFill>
              <a:latin typeface="Arial"/>
              <a:ea typeface="Arial"/>
              <a:cs typeface="Arial"/>
            </a:defRPr>
          </a:pPr>
          <a:endParaRPr lang="en-US"/>
        </a:p>
      </c:txPr>
    </c:legend>
    <c:plotVisOnly val="1"/>
    <c:dispBlanksAs val="gap"/>
    <c:showDLblsOverMax val="0"/>
  </c:chart>
  <c:spPr>
    <a:noFill/>
    <a:ln w="3175">
      <a:noFill/>
      <a:prstDash val="solid"/>
    </a:ln>
  </c:spPr>
  <c:txPr>
    <a:bodyPr/>
    <a:lstStyle/>
    <a:p>
      <a:pPr>
        <a:defRPr sz="550"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800" b="1" i="0" u="none" strike="noStrike" baseline="0">
                <a:solidFill>
                  <a:srgbClr val="000000"/>
                </a:solidFill>
                <a:latin typeface="Calibri"/>
                <a:ea typeface="Calibri"/>
                <a:cs typeface="Calibri"/>
              </a:defRPr>
            </a:pPr>
            <a:r>
              <a:rPr lang="en-AU" sz="1800"/>
              <a:t>Enrolments </a:t>
            </a:r>
          </a:p>
        </c:rich>
      </c:tx>
      <c:layout>
        <c:manualLayout>
          <c:xMode val="edge"/>
          <c:yMode val="edge"/>
          <c:x val="8.3519935594905087E-2"/>
          <c:y val="7.8563411896745237E-3"/>
        </c:manualLayout>
      </c:layout>
      <c:overlay val="0"/>
    </c:title>
    <c:autoTitleDeleted val="0"/>
    <c:plotArea>
      <c:layout>
        <c:manualLayout>
          <c:layoutTarget val="inner"/>
          <c:xMode val="edge"/>
          <c:yMode val="edge"/>
          <c:x val="7.3289902280130298E-2"/>
          <c:y val="0.13131356308384326"/>
          <c:w val="0.92019543973941365"/>
          <c:h val="0.75421123412258695"/>
        </c:manualLayout>
      </c:layout>
      <c:lineChart>
        <c:grouping val="standard"/>
        <c:varyColors val="0"/>
        <c:ser>
          <c:idx val="0"/>
          <c:order val="0"/>
          <c:tx>
            <c:strRef>
              <c:f>'[LEAStatisticalReport2017ES.xls]Trend 83-'!$A$189</c:f>
              <c:strCache>
                <c:ptCount val="1"/>
                <c:pt idx="0">
                  <c:v>TOTAL STUDENTS</c:v>
                </c:pt>
              </c:strCache>
            </c:strRef>
          </c:tx>
          <c:spPr>
            <a:ln>
              <a:solidFill>
                <a:schemeClr val="tx1"/>
              </a:solidFill>
              <a:prstDash val="sysDot"/>
            </a:ln>
          </c:spPr>
          <c:marker>
            <c:symbol val="none"/>
          </c:marker>
          <c:cat>
            <c:numRef>
              <c:f>'[LEAStatisticalReport2017ES.xls]Trend 83-'!$B$188:$AJ$188</c:f>
              <c:numCache>
                <c:formatCode>General</c:formatCode>
                <c:ptCount val="35"/>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numCache>
            </c:numRef>
          </c:cat>
          <c:val>
            <c:numRef>
              <c:f>'[LEAStatisticalReport2017ES.xls]Trend 83-'!$B$189:$AJ$189</c:f>
              <c:numCache>
                <c:formatCode>General</c:formatCode>
                <c:ptCount val="35"/>
                <c:pt idx="0">
                  <c:v>9956</c:v>
                </c:pt>
                <c:pt idx="1">
                  <c:v>10805</c:v>
                </c:pt>
                <c:pt idx="2">
                  <c:v>11623</c:v>
                </c:pt>
                <c:pt idx="3">
                  <c:v>12539</c:v>
                </c:pt>
                <c:pt idx="4">
                  <c:v>13442</c:v>
                </c:pt>
                <c:pt idx="5">
                  <c:v>14185</c:v>
                </c:pt>
                <c:pt idx="6">
                  <c:v>14887</c:v>
                </c:pt>
                <c:pt idx="7">
                  <c:v>15672</c:v>
                </c:pt>
                <c:pt idx="8">
                  <c:v>16279</c:v>
                </c:pt>
                <c:pt idx="9">
                  <c:v>17131</c:v>
                </c:pt>
                <c:pt idx="10">
                  <c:v>18285</c:v>
                </c:pt>
                <c:pt idx="11">
                  <c:v>19466</c:v>
                </c:pt>
                <c:pt idx="12">
                  <c:v>20392</c:v>
                </c:pt>
                <c:pt idx="13">
                  <c:v>21179</c:v>
                </c:pt>
                <c:pt idx="14">
                  <c:v>22075</c:v>
                </c:pt>
                <c:pt idx="15">
                  <c:v>22963</c:v>
                </c:pt>
                <c:pt idx="16">
                  <c:v>24031</c:v>
                </c:pt>
                <c:pt idx="17">
                  <c:v>24950</c:v>
                </c:pt>
                <c:pt idx="18">
                  <c:v>26257</c:v>
                </c:pt>
                <c:pt idx="19">
                  <c:v>27550</c:v>
                </c:pt>
                <c:pt idx="20">
                  <c:v>28706</c:v>
                </c:pt>
                <c:pt idx="21">
                  <c:v>29887</c:v>
                </c:pt>
                <c:pt idx="22">
                  <c:v>31190.2</c:v>
                </c:pt>
                <c:pt idx="23">
                  <c:v>32158</c:v>
                </c:pt>
                <c:pt idx="24">
                  <c:v>32994</c:v>
                </c:pt>
                <c:pt idx="25">
                  <c:v>34251</c:v>
                </c:pt>
                <c:pt idx="26">
                  <c:v>35451</c:v>
                </c:pt>
                <c:pt idx="27">
                  <c:v>36485</c:v>
                </c:pt>
                <c:pt idx="28">
                  <c:v>37313</c:v>
                </c:pt>
                <c:pt idx="29">
                  <c:v>38289</c:v>
                </c:pt>
                <c:pt idx="30">
                  <c:v>39147</c:v>
                </c:pt>
                <c:pt idx="31">
                  <c:v>39764.100000000006</c:v>
                </c:pt>
                <c:pt idx="32">
                  <c:v>40224.6</c:v>
                </c:pt>
                <c:pt idx="33">
                  <c:v>40201.1</c:v>
                </c:pt>
                <c:pt idx="34">
                  <c:v>40283.199999999997</c:v>
                </c:pt>
              </c:numCache>
            </c:numRef>
          </c:val>
          <c:smooth val="0"/>
          <c:extLst>
            <c:ext xmlns:c16="http://schemas.microsoft.com/office/drawing/2014/chart" uri="{C3380CC4-5D6E-409C-BE32-E72D297353CC}">
              <c16:uniqueId val="{00000000-DD70-4254-8008-0E1CD4DD48C5}"/>
            </c:ext>
          </c:extLst>
        </c:ser>
        <c:ser>
          <c:idx val="1"/>
          <c:order val="1"/>
          <c:tx>
            <c:strRef>
              <c:f>'[LEAStatisticalReport2017ES.xls]Trend 83-'!$A$190</c:f>
              <c:strCache>
                <c:ptCount val="1"/>
                <c:pt idx="0">
                  <c:v>Lutheran</c:v>
                </c:pt>
              </c:strCache>
            </c:strRef>
          </c:tx>
          <c:spPr>
            <a:ln cmpd="dbl">
              <a:solidFill>
                <a:schemeClr val="tx1"/>
              </a:solidFill>
              <a:prstDash val="lgDash"/>
            </a:ln>
          </c:spPr>
          <c:marker>
            <c:symbol val="none"/>
          </c:marker>
          <c:cat>
            <c:numRef>
              <c:f>'[LEAStatisticalReport2017ES.xls]Trend 83-'!$B$188:$AJ$188</c:f>
              <c:numCache>
                <c:formatCode>General</c:formatCode>
                <c:ptCount val="35"/>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numCache>
            </c:numRef>
          </c:cat>
          <c:val>
            <c:numRef>
              <c:f>'[LEAStatisticalReport2017ES.xls]Trend 83-'!$B$190:$AJ$190</c:f>
              <c:numCache>
                <c:formatCode>General</c:formatCode>
                <c:ptCount val="35"/>
                <c:pt idx="0">
                  <c:v>5246</c:v>
                </c:pt>
                <c:pt idx="1">
                  <c:v>5527</c:v>
                </c:pt>
                <c:pt idx="2">
                  <c:v>5590</c:v>
                </c:pt>
                <c:pt idx="3">
                  <c:v>5791</c:v>
                </c:pt>
                <c:pt idx="4">
                  <c:v>6198</c:v>
                </c:pt>
                <c:pt idx="5">
                  <c:v>6355</c:v>
                </c:pt>
                <c:pt idx="6">
                  <c:v>6504</c:v>
                </c:pt>
                <c:pt idx="7">
                  <c:v>6561</c:v>
                </c:pt>
                <c:pt idx="8">
                  <c:v>6684</c:v>
                </c:pt>
                <c:pt idx="9">
                  <c:v>6670</c:v>
                </c:pt>
                <c:pt idx="10">
                  <c:v>6875</c:v>
                </c:pt>
                <c:pt idx="11">
                  <c:v>7002</c:v>
                </c:pt>
                <c:pt idx="12">
                  <c:v>7155</c:v>
                </c:pt>
                <c:pt idx="13">
                  <c:v>7100</c:v>
                </c:pt>
                <c:pt idx="14">
                  <c:v>6861</c:v>
                </c:pt>
                <c:pt idx="15">
                  <c:v>6829</c:v>
                </c:pt>
                <c:pt idx="16">
                  <c:v>6769</c:v>
                </c:pt>
                <c:pt idx="17">
                  <c:v>6542</c:v>
                </c:pt>
                <c:pt idx="18">
                  <c:v>6406</c:v>
                </c:pt>
                <c:pt idx="19">
                  <c:v>6491</c:v>
                </c:pt>
                <c:pt idx="20">
                  <c:v>6643</c:v>
                </c:pt>
                <c:pt idx="21">
                  <c:v>6570</c:v>
                </c:pt>
                <c:pt idx="22">
                  <c:v>6620.6</c:v>
                </c:pt>
                <c:pt idx="23">
                  <c:v>6506</c:v>
                </c:pt>
                <c:pt idx="24">
                  <c:v>6457</c:v>
                </c:pt>
                <c:pt idx="25">
                  <c:v>6422</c:v>
                </c:pt>
                <c:pt idx="26">
                  <c:v>6181</c:v>
                </c:pt>
                <c:pt idx="27">
                  <c:v>6262</c:v>
                </c:pt>
                <c:pt idx="28">
                  <c:v>6127</c:v>
                </c:pt>
                <c:pt idx="29">
                  <c:v>6105</c:v>
                </c:pt>
                <c:pt idx="30">
                  <c:v>6102</c:v>
                </c:pt>
                <c:pt idx="31">
                  <c:v>6049.4</c:v>
                </c:pt>
                <c:pt idx="32">
                  <c:v>5851.4</c:v>
                </c:pt>
                <c:pt idx="33">
                  <c:v>5983.6</c:v>
                </c:pt>
                <c:pt idx="34">
                  <c:v>5523.7000000000007</c:v>
                </c:pt>
              </c:numCache>
            </c:numRef>
          </c:val>
          <c:smooth val="0"/>
          <c:extLst>
            <c:ext xmlns:c16="http://schemas.microsoft.com/office/drawing/2014/chart" uri="{C3380CC4-5D6E-409C-BE32-E72D297353CC}">
              <c16:uniqueId val="{00000001-DD70-4254-8008-0E1CD4DD48C5}"/>
            </c:ext>
          </c:extLst>
        </c:ser>
        <c:ser>
          <c:idx val="2"/>
          <c:order val="2"/>
          <c:tx>
            <c:strRef>
              <c:f>'[LEAStatisticalReport2017ES.xls]Trend 83-'!$A$191</c:f>
              <c:strCache>
                <c:ptCount val="1"/>
                <c:pt idx="0">
                  <c:v>Other</c:v>
                </c:pt>
              </c:strCache>
            </c:strRef>
          </c:tx>
          <c:spPr>
            <a:ln>
              <a:solidFill>
                <a:schemeClr val="tx1"/>
              </a:solidFill>
              <a:prstDash val="dash"/>
            </a:ln>
          </c:spPr>
          <c:marker>
            <c:symbol val="none"/>
          </c:marker>
          <c:cat>
            <c:numRef>
              <c:f>'[LEAStatisticalReport2017ES.xls]Trend 83-'!$B$188:$AJ$188</c:f>
              <c:numCache>
                <c:formatCode>General</c:formatCode>
                <c:ptCount val="35"/>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numCache>
            </c:numRef>
          </c:cat>
          <c:val>
            <c:numRef>
              <c:f>'[LEAStatisticalReport2017ES.xls]Trend 83-'!$B$191:$AJ$191</c:f>
              <c:numCache>
                <c:formatCode>General</c:formatCode>
                <c:ptCount val="35"/>
                <c:pt idx="0">
                  <c:v>4710</c:v>
                </c:pt>
                <c:pt idx="1">
                  <c:v>5278</c:v>
                </c:pt>
                <c:pt idx="2">
                  <c:v>6033</c:v>
                </c:pt>
                <c:pt idx="3">
                  <c:v>6748</c:v>
                </c:pt>
                <c:pt idx="4">
                  <c:v>7244</c:v>
                </c:pt>
                <c:pt idx="5">
                  <c:v>7830</c:v>
                </c:pt>
                <c:pt idx="6">
                  <c:v>8383</c:v>
                </c:pt>
                <c:pt idx="7">
                  <c:v>9111</c:v>
                </c:pt>
                <c:pt idx="8">
                  <c:v>9595</c:v>
                </c:pt>
                <c:pt idx="9">
                  <c:v>10461</c:v>
                </c:pt>
                <c:pt idx="10">
                  <c:v>11410</c:v>
                </c:pt>
                <c:pt idx="11">
                  <c:v>12464</c:v>
                </c:pt>
                <c:pt idx="12">
                  <c:v>13237</c:v>
                </c:pt>
                <c:pt idx="13">
                  <c:v>14079</c:v>
                </c:pt>
                <c:pt idx="14">
                  <c:v>15214</c:v>
                </c:pt>
                <c:pt idx="15">
                  <c:v>16134</c:v>
                </c:pt>
                <c:pt idx="16">
                  <c:v>17262</c:v>
                </c:pt>
                <c:pt idx="17">
                  <c:v>18408</c:v>
                </c:pt>
                <c:pt idx="18">
                  <c:v>19851</c:v>
                </c:pt>
                <c:pt idx="19">
                  <c:v>21059</c:v>
                </c:pt>
                <c:pt idx="20">
                  <c:v>22063</c:v>
                </c:pt>
                <c:pt idx="21">
                  <c:v>23317</c:v>
                </c:pt>
                <c:pt idx="22">
                  <c:v>24569.599999999999</c:v>
                </c:pt>
                <c:pt idx="23">
                  <c:v>25652</c:v>
                </c:pt>
                <c:pt idx="24">
                  <c:v>26537</c:v>
                </c:pt>
                <c:pt idx="25">
                  <c:v>27829</c:v>
                </c:pt>
                <c:pt idx="26">
                  <c:v>29270</c:v>
                </c:pt>
                <c:pt idx="27">
                  <c:v>30223</c:v>
                </c:pt>
                <c:pt idx="28">
                  <c:v>31186</c:v>
                </c:pt>
                <c:pt idx="29">
                  <c:v>32184</c:v>
                </c:pt>
                <c:pt idx="30">
                  <c:v>33045</c:v>
                </c:pt>
                <c:pt idx="31">
                  <c:v>33714.699999999997</c:v>
                </c:pt>
                <c:pt idx="32">
                  <c:v>34373.199999999997</c:v>
                </c:pt>
                <c:pt idx="33">
                  <c:v>34217.5</c:v>
                </c:pt>
                <c:pt idx="34">
                  <c:v>34759.5</c:v>
                </c:pt>
              </c:numCache>
            </c:numRef>
          </c:val>
          <c:smooth val="0"/>
          <c:extLst>
            <c:ext xmlns:c16="http://schemas.microsoft.com/office/drawing/2014/chart" uri="{C3380CC4-5D6E-409C-BE32-E72D297353CC}">
              <c16:uniqueId val="{00000002-DD70-4254-8008-0E1CD4DD48C5}"/>
            </c:ext>
          </c:extLst>
        </c:ser>
        <c:dLbls>
          <c:showLegendKey val="0"/>
          <c:showVal val="0"/>
          <c:showCatName val="0"/>
          <c:showSerName val="0"/>
          <c:showPercent val="0"/>
          <c:showBubbleSize val="0"/>
        </c:dLbls>
        <c:smooth val="0"/>
        <c:axId val="894443456"/>
        <c:axId val="894440712"/>
      </c:lineChart>
      <c:catAx>
        <c:axId val="894443456"/>
        <c:scaling>
          <c:orientation val="minMax"/>
        </c:scaling>
        <c:delete val="0"/>
        <c:axPos val="b"/>
        <c:numFmt formatCode="General" sourceLinked="1"/>
        <c:majorTickMark val="out"/>
        <c:minorTickMark val="none"/>
        <c:tickLblPos val="nextTo"/>
        <c:txPr>
          <a:bodyPr rot="-2700000" vert="horz"/>
          <a:lstStyle/>
          <a:p>
            <a:pPr>
              <a:defRPr sz="700" b="0" i="0" u="none" strike="noStrike" baseline="0">
                <a:solidFill>
                  <a:srgbClr val="000000"/>
                </a:solidFill>
                <a:latin typeface="Calibri"/>
                <a:ea typeface="Calibri"/>
                <a:cs typeface="Calibri"/>
              </a:defRPr>
            </a:pPr>
            <a:endParaRPr lang="en-US"/>
          </a:p>
        </c:txPr>
        <c:crossAx val="894440712"/>
        <c:crosses val="autoZero"/>
        <c:auto val="1"/>
        <c:lblAlgn val="ctr"/>
        <c:lblOffset val="100"/>
        <c:tickLblSkip val="1"/>
        <c:tickMarkSkip val="1"/>
        <c:noMultiLvlLbl val="0"/>
      </c:catAx>
      <c:valAx>
        <c:axId val="894440712"/>
        <c:scaling>
          <c:orientation val="minMax"/>
        </c:scaling>
        <c:delete val="0"/>
        <c:axPos val="l"/>
        <c:majorGridlines/>
        <c:numFmt formatCode="General" sourceLinked="1"/>
        <c:majorTickMark val="out"/>
        <c:min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894443456"/>
        <c:crosses val="autoZero"/>
        <c:crossBetween val="between"/>
      </c:valAx>
    </c:plotArea>
    <c:legend>
      <c:legendPos val="r"/>
      <c:layout>
        <c:manualLayout>
          <c:xMode val="edge"/>
          <c:yMode val="edge"/>
          <c:x val="0.36807807474769877"/>
          <c:y val="1.6835016835016835E-2"/>
          <c:w val="0.6254071527444045"/>
          <c:h val="8.4175791157418439E-2"/>
        </c:manualLayout>
      </c:layout>
      <c:overlay val="0"/>
      <c:txPr>
        <a:bodyPr/>
        <a:lstStyle/>
        <a:p>
          <a:pPr>
            <a:defRPr sz="1000" b="0"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0cd5321d-9c9c-41e7-9cf6-adac16b55843" ContentTypeId="0x01"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4C78DF2EA2A390449597FE675B4EED6B" ma:contentTypeVersion="0" ma:contentTypeDescription="Create a new document." ma:contentTypeScope="" ma:versionID="21ef672569e88ecb447d275ab051d19b">
  <xsd:schema xmlns:xsd="http://www.w3.org/2001/XMLSchema" xmlns:xs="http://www.w3.org/2001/XMLSchema" xmlns:p="http://schemas.microsoft.com/office/2006/metadata/properties" targetNamespace="http://schemas.microsoft.com/office/2006/metadata/properties" ma:root="true" ma:fieldsID="1ae53d147369609339da0000e6a4a43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4C572C-C844-4BBB-9588-08CEAF0FC90D}">
  <ds:schemaRefs>
    <ds:schemaRef ds:uri="Microsoft.SharePoint.Taxonomy.ContentTypeSync"/>
  </ds:schemaRefs>
</ds:datastoreItem>
</file>

<file path=customXml/itemProps2.xml><?xml version="1.0" encoding="utf-8"?>
<ds:datastoreItem xmlns:ds="http://schemas.openxmlformats.org/officeDocument/2006/customXml" ds:itemID="{1DE9DB32-D37D-417D-A8CC-71DD4DAD7F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E318F0F7-141D-400A-B921-186EAA7B773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FB10574-1480-4083-B05B-D2AC52EAD494}">
  <ds:schemaRefs>
    <ds:schemaRef ds:uri="http://schemas.microsoft.com/sharepoint/v3/contenttype/forms"/>
  </ds:schemaRefs>
</ds:datastoreItem>
</file>

<file path=customXml/itemProps5.xml><?xml version="1.0" encoding="utf-8"?>
<ds:datastoreItem xmlns:ds="http://schemas.openxmlformats.org/officeDocument/2006/customXml" ds:itemID="{1267FC73-0336-4D6E-8690-C11D20415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444</Pages>
  <Words>176519</Words>
  <Characters>1006164</Characters>
  <Application>Microsoft Office Word</Application>
  <DocSecurity>0</DocSecurity>
  <Lines>8384</Lines>
  <Paragraphs>2360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1180323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Schirmer</dc:creator>
  <cp:keywords/>
  <dc:description/>
  <cp:lastModifiedBy>Macqueen, Linda</cp:lastModifiedBy>
  <cp:revision>37</cp:revision>
  <cp:lastPrinted>2018-08-19T10:02:00Z</cp:lastPrinted>
  <dcterms:created xsi:type="dcterms:W3CDTF">2018-08-20T12:45:00Z</dcterms:created>
  <dcterms:modified xsi:type="dcterms:W3CDTF">2018-09-11T11:04:00Z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0x0101004C78DF2EA2A390449597FE675B4EED6B</vt:lpwstr>
  </property>
</Properties>
</file>